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oter2.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28EF0" w14:textId="77777777" w:rsidR="004B2E7C" w:rsidRDefault="004B2E7C" w:rsidP="00434A6A">
      <w:pPr>
        <w:rPr>
          <w:b/>
          <w:bCs/>
          <w:sz w:val="36"/>
          <w:szCs w:val="36"/>
          <w:u w:val="single"/>
          <w:rtl/>
        </w:rPr>
      </w:pPr>
    </w:p>
    <w:p w14:paraId="68E27A5B" w14:textId="20CCEC1D" w:rsidR="004B2E7C" w:rsidRDefault="004B2E7C" w:rsidP="003E7880">
      <w:pPr>
        <w:jc w:val="center"/>
        <w:rPr>
          <w:b/>
          <w:bCs/>
          <w:color w:val="4F81BD" w:themeColor="accent1"/>
          <w:sz w:val="94"/>
          <w:szCs w:val="94"/>
          <w:rtl/>
        </w:rPr>
      </w:pPr>
      <w:bookmarkStart w:id="0" w:name="_Toc24883508"/>
      <w:r w:rsidRPr="001663E3">
        <w:rPr>
          <w:rFonts w:hint="cs"/>
          <w:b/>
          <w:bCs/>
          <w:color w:val="4F81BD" w:themeColor="accent1"/>
          <w:sz w:val="94"/>
          <w:szCs w:val="94"/>
          <w:rtl/>
        </w:rPr>
        <w:t xml:space="preserve">שלחן ערוך </w:t>
      </w:r>
      <w:r w:rsidR="001663E3" w:rsidRPr="001663E3">
        <w:rPr>
          <w:rFonts w:hint="cs"/>
          <w:b/>
          <w:bCs/>
          <w:color w:val="4F81BD" w:themeColor="accent1"/>
          <w:sz w:val="94"/>
          <w:szCs w:val="94"/>
          <w:rtl/>
        </w:rPr>
        <w:t>מהמקורות</w:t>
      </w:r>
    </w:p>
    <w:p w14:paraId="708AD3FF" w14:textId="77777777" w:rsidR="001663E3" w:rsidRPr="001663E3" w:rsidRDefault="001663E3" w:rsidP="003E7880">
      <w:pPr>
        <w:jc w:val="center"/>
        <w:rPr>
          <w:b/>
          <w:bCs/>
          <w:color w:val="4F81BD" w:themeColor="accent1"/>
          <w:sz w:val="94"/>
          <w:szCs w:val="94"/>
          <w:rtl/>
        </w:rPr>
      </w:pPr>
    </w:p>
    <w:p w14:paraId="027712CE" w14:textId="77777777" w:rsidR="001663E3" w:rsidRPr="001663E3" w:rsidRDefault="001663E3" w:rsidP="001663E3">
      <w:pPr>
        <w:jc w:val="center"/>
        <w:rPr>
          <w:b/>
          <w:bCs/>
          <w:color w:val="4F81BD" w:themeColor="accent1"/>
          <w:sz w:val="62"/>
          <w:szCs w:val="62"/>
          <w:rtl/>
        </w:rPr>
      </w:pPr>
      <w:r w:rsidRPr="001663E3">
        <w:rPr>
          <w:rFonts w:hint="cs"/>
          <w:b/>
          <w:bCs/>
          <w:color w:val="4F81BD" w:themeColor="accent1"/>
          <w:sz w:val="62"/>
          <w:szCs w:val="62"/>
          <w:rtl/>
        </w:rPr>
        <w:t xml:space="preserve">אורח חיים: רמב - שדמ </w:t>
      </w:r>
    </w:p>
    <w:p w14:paraId="166399E5" w14:textId="2E603B37" w:rsidR="004B2E7C" w:rsidRPr="00B70D2D" w:rsidRDefault="004B2E7C" w:rsidP="001663E3">
      <w:pPr>
        <w:jc w:val="center"/>
        <w:rPr>
          <w:color w:val="FF0000"/>
          <w:rtl/>
        </w:rPr>
        <w:sectPr w:rsidR="004B2E7C" w:rsidRPr="00B70D2D" w:rsidSect="00B12B82">
          <w:footnotePr>
            <w:numRestart w:val="eachSect"/>
          </w:footnotePr>
          <w:pgSz w:w="11906" w:h="16838"/>
          <w:pgMar w:top="1440" w:right="1800" w:bottom="1440" w:left="1800" w:header="720" w:footer="720" w:gutter="0"/>
          <w:cols w:space="720"/>
          <w:bidi/>
          <w:rtlGutter/>
          <w:docGrid w:linePitch="360"/>
        </w:sectPr>
      </w:pPr>
      <w:r w:rsidRPr="001663E3">
        <w:rPr>
          <w:rFonts w:hint="cs"/>
          <w:b/>
          <w:bCs/>
          <w:color w:val="4F81BD" w:themeColor="accent1"/>
          <w:sz w:val="62"/>
          <w:szCs w:val="62"/>
          <w:rtl/>
        </w:rPr>
        <w:t>הלכות שבת</w:t>
      </w:r>
      <w:bookmarkStart w:id="1" w:name="_Toc24883509"/>
      <w:bookmarkEnd w:id="0"/>
      <w:r w:rsidR="001663E3" w:rsidRPr="001663E3">
        <w:rPr>
          <w:rFonts w:hint="cs"/>
          <w:b/>
          <w:bCs/>
          <w:color w:val="4F81BD" w:themeColor="accent1"/>
          <w:sz w:val="62"/>
          <w:szCs w:val="62"/>
          <w:rtl/>
        </w:rPr>
        <w:t xml:space="preserve"> </w:t>
      </w:r>
      <w:r w:rsidR="001663E3">
        <w:rPr>
          <w:b/>
          <w:bCs/>
          <w:color w:val="4F81BD" w:themeColor="accent1"/>
          <w:sz w:val="68"/>
          <w:szCs w:val="68"/>
          <w:rtl/>
        </w:rPr>
        <w:br/>
      </w:r>
      <w:bookmarkEnd w:id="1"/>
      <w:r w:rsidR="00B70D2D">
        <w:rPr>
          <w:rFonts w:hint="cs"/>
          <w:color w:val="FF0000"/>
          <w:rtl/>
        </w:rPr>
        <w:t xml:space="preserve">הסימנים </w:t>
      </w:r>
      <w:r w:rsidR="001663E3">
        <w:rPr>
          <w:rFonts w:hint="cs"/>
          <w:color w:val="FF0000"/>
          <w:rtl/>
        </w:rPr>
        <w:t xml:space="preserve">שאכתוב </w:t>
      </w:r>
      <w:r w:rsidR="00B70D2D">
        <w:rPr>
          <w:rFonts w:hint="cs"/>
          <w:color w:val="FF0000"/>
          <w:rtl/>
        </w:rPr>
        <w:t>להלן עדיין אינם מסוכמים (אע"ג שבחלקם כבר הבאתי את הגמרות)</w:t>
      </w:r>
      <w:r w:rsidR="00B70D2D">
        <w:rPr>
          <w:color w:val="FF0000"/>
          <w:rtl/>
        </w:rPr>
        <w:br/>
      </w:r>
      <w:r w:rsidR="00B70D2D" w:rsidRPr="00B70D2D">
        <w:rPr>
          <w:rFonts w:cs="Arial" w:hint="cs"/>
          <w:color w:val="FF0000"/>
          <w:rtl/>
        </w:rPr>
        <w:t>רנג-רנה, רנז, רנט, רעב-רעח, רפ-שו, שיט-שמד</w:t>
      </w:r>
      <w:r w:rsidR="00762C23">
        <w:rPr>
          <w:rFonts w:cs="Arial" w:hint="cs"/>
          <w:color w:val="FF0000"/>
          <w:rtl/>
        </w:rPr>
        <w:t xml:space="preserve"> </w:t>
      </w:r>
    </w:p>
    <w:p w14:paraId="5A76D07E" w14:textId="77777777" w:rsidR="00E9422A" w:rsidRPr="0014675A" w:rsidRDefault="00E9422A" w:rsidP="00E9422A">
      <w:pPr>
        <w:pStyle w:val="2"/>
        <w:rPr>
          <w:b w:val="0"/>
          <w:rtl/>
        </w:rPr>
      </w:pPr>
      <w:r w:rsidRPr="0014675A">
        <w:rPr>
          <w:rFonts w:hint="cs"/>
          <w:rtl/>
        </w:rPr>
        <w:lastRenderedPageBreak/>
        <w:t>מטר</w:t>
      </w:r>
      <w:r>
        <w:rPr>
          <w:rFonts w:hint="cs"/>
          <w:rtl/>
        </w:rPr>
        <w:t>ו</w:t>
      </w:r>
      <w:r w:rsidRPr="0014675A">
        <w:rPr>
          <w:rFonts w:hint="cs"/>
          <w:rtl/>
        </w:rPr>
        <w:t xml:space="preserve">ת </w:t>
      </w:r>
      <w:r w:rsidRPr="00E9422A">
        <w:rPr>
          <w:rFonts w:hint="cs"/>
          <w:rtl/>
        </w:rPr>
        <w:t>הספר</w:t>
      </w:r>
    </w:p>
    <w:p w14:paraId="1B295342" w14:textId="77777777" w:rsidR="00E9422A" w:rsidRDefault="00E9422A" w:rsidP="00FF2D21">
      <w:pPr>
        <w:pStyle w:val="aa"/>
        <w:numPr>
          <w:ilvl w:val="0"/>
          <w:numId w:val="160"/>
        </w:numPr>
        <w:spacing w:after="160" w:line="259" w:lineRule="auto"/>
      </w:pPr>
      <w:r>
        <w:rPr>
          <w:rFonts w:hint="cs"/>
          <w:rtl/>
        </w:rPr>
        <w:t>לימוד ההלכה מהמקורות, על פי סדר השלחן ערוך, בצורה מלאה</w:t>
      </w:r>
      <w:r>
        <w:rPr>
          <w:rStyle w:val="a9"/>
          <w:rtl/>
        </w:rPr>
        <w:footnoteReference w:id="2"/>
      </w:r>
      <w:r>
        <w:rPr>
          <w:rFonts w:hint="cs"/>
          <w:rtl/>
        </w:rPr>
        <w:t xml:space="preserve"> ללא דילוג קיצור או סיכום. וזאת על מנת שתיהיה תורתנו כללים כללים, ועל מנת שנוכל להבין את הסברא מאחורי שמאחורי ההלכה הפסוקה, ובכך התורה פחות תשתכח ממנו בע"ה, וכן כדי שנוכל לדעת כיצד לפסוק במקרים שלא מובאים במפורש בהלכה הפסוקה.</w:t>
      </w:r>
    </w:p>
    <w:p w14:paraId="1B6BCA85" w14:textId="77777777" w:rsidR="00E9422A" w:rsidRDefault="00E9422A" w:rsidP="00FF2D21">
      <w:pPr>
        <w:pStyle w:val="aa"/>
        <w:numPr>
          <w:ilvl w:val="0"/>
          <w:numId w:val="160"/>
        </w:numPr>
        <w:spacing w:after="160" w:line="259" w:lineRule="auto"/>
      </w:pPr>
      <w:r>
        <w:rPr>
          <w:rFonts w:hint="cs"/>
          <w:rtl/>
        </w:rPr>
        <w:t>לימוד מספר אחד שיאגד בתוכו את כל השכבות הנצרכות ללימוד ההלכה.</w:t>
      </w:r>
    </w:p>
    <w:p w14:paraId="114504FF" w14:textId="1F0AB9B6" w:rsidR="00E9422A" w:rsidRDefault="00E9422A" w:rsidP="00FF2D21">
      <w:pPr>
        <w:pStyle w:val="aa"/>
        <w:numPr>
          <w:ilvl w:val="0"/>
          <w:numId w:val="160"/>
        </w:numPr>
        <w:spacing w:after="160" w:line="259" w:lineRule="auto"/>
      </w:pPr>
      <w:r>
        <w:rPr>
          <w:rFonts w:hint="cs"/>
          <w:rtl/>
        </w:rPr>
        <w:t xml:space="preserve">ספר שיתאים: </w:t>
      </w:r>
      <w:r>
        <w:rPr>
          <w:rtl/>
        </w:rPr>
        <w:br/>
      </w:r>
      <w:r>
        <w:rPr>
          <w:rFonts w:hint="cs"/>
          <w:rtl/>
        </w:rPr>
        <w:t>לתלמידי חכמים - שרוצים להעמיק/להזכר בסוגיא</w:t>
      </w:r>
      <w:r>
        <w:rPr>
          <w:rStyle w:val="a9"/>
          <w:rtl/>
        </w:rPr>
        <w:footnoteReference w:id="3"/>
      </w:r>
      <w:r>
        <w:rPr>
          <w:rFonts w:hint="cs"/>
          <w:rtl/>
        </w:rPr>
        <w:t xml:space="preserve"> </w:t>
      </w:r>
      <w:r>
        <w:rPr>
          <w:rtl/>
        </w:rPr>
        <w:br/>
      </w:r>
      <w:r>
        <w:rPr>
          <w:rFonts w:hint="cs"/>
          <w:rtl/>
        </w:rPr>
        <w:t xml:space="preserve">לבעלי בתים - שרוצים ללמוד בצורה יותר קלה תוך הבנת עומק הסברא. </w:t>
      </w:r>
      <w:r>
        <w:rPr>
          <w:rtl/>
        </w:rPr>
        <w:br/>
      </w:r>
      <w:r>
        <w:rPr>
          <w:rFonts w:hint="cs"/>
          <w:rtl/>
        </w:rPr>
        <w:t>וכן לכל אלו שרוצים לעשות חזרות על מה שלמדו בצורה מהירה</w:t>
      </w:r>
      <w:r>
        <w:rPr>
          <w:rStyle w:val="a9"/>
          <w:rtl/>
        </w:rPr>
        <w:footnoteReference w:id="4"/>
      </w:r>
      <w:r>
        <w:rPr>
          <w:rFonts w:hint="cs"/>
          <w:rtl/>
        </w:rPr>
        <w:t>.</w:t>
      </w:r>
    </w:p>
    <w:p w14:paraId="1FDD525A" w14:textId="77777777" w:rsidR="00E9422A" w:rsidRDefault="00E9422A" w:rsidP="00FF2D21">
      <w:pPr>
        <w:pStyle w:val="aa"/>
        <w:numPr>
          <w:ilvl w:val="0"/>
          <w:numId w:val="160"/>
        </w:numPr>
        <w:spacing w:after="160" w:line="259" w:lineRule="auto"/>
        <w:rPr>
          <w:rtl/>
        </w:rPr>
      </w:pPr>
      <w:r>
        <w:rPr>
          <w:rFonts w:hint="cs"/>
          <w:rtl/>
        </w:rPr>
        <w:t xml:space="preserve">ספר הניתן לעריכה (ב- </w:t>
      </w:r>
      <w:r>
        <w:t>word</w:t>
      </w:r>
      <w:r>
        <w:rPr>
          <w:rFonts w:hint="cs"/>
          <w:rtl/>
        </w:rPr>
        <w:t xml:space="preserve"> וכדו'), כדי שכל לומד יוכל לשנות להוסיף לשנות להרחיב או לקצר. וכך יוכל הלומד לחפש את שאלתו בצורה מהירה, להסיף את מסקנותיו עם השנים. להשוות בין סוגיות בקלות ובמהירות, ועוד מעלות רבות הידועות ללומדים מתוך מחשב.</w:t>
      </w:r>
    </w:p>
    <w:p w14:paraId="08AD0484" w14:textId="77777777" w:rsidR="00E9422A" w:rsidRPr="0014675A" w:rsidRDefault="00E9422A" w:rsidP="00E9422A">
      <w:pPr>
        <w:pStyle w:val="2"/>
        <w:rPr>
          <w:b w:val="0"/>
          <w:rtl/>
        </w:rPr>
      </w:pPr>
      <w:r w:rsidRPr="0014675A">
        <w:rPr>
          <w:rFonts w:hint="cs"/>
          <w:rtl/>
        </w:rPr>
        <w:t>מעלות הספר</w:t>
      </w:r>
    </w:p>
    <w:p w14:paraId="7092E9CE" w14:textId="77777777" w:rsidR="00E9422A" w:rsidRDefault="00E9422A" w:rsidP="00E9422A">
      <w:pPr>
        <w:rPr>
          <w:u w:val="single"/>
          <w:rtl/>
        </w:rPr>
      </w:pPr>
      <w:r w:rsidRPr="00FB4C82">
        <w:rPr>
          <w:rFonts w:hint="cs"/>
          <w:u w:val="single"/>
          <w:rtl/>
        </w:rPr>
        <w:t>מקורות</w:t>
      </w:r>
      <w:r>
        <w:rPr>
          <w:rFonts w:hint="cs"/>
          <w:u w:val="single"/>
          <w:rtl/>
        </w:rPr>
        <w:t>:</w:t>
      </w:r>
    </w:p>
    <w:p w14:paraId="4F208A55" w14:textId="77777777" w:rsidR="00E9422A" w:rsidRDefault="00E9422A" w:rsidP="00FF2D21">
      <w:pPr>
        <w:pStyle w:val="aa"/>
        <w:numPr>
          <w:ilvl w:val="0"/>
          <w:numId w:val="158"/>
        </w:numPr>
        <w:spacing w:after="160" w:line="259" w:lineRule="auto"/>
      </w:pPr>
      <w:r>
        <w:rPr>
          <w:rFonts w:hint="cs"/>
          <w:rtl/>
        </w:rPr>
        <w:t>המקורות (משנה, תלמוד ירושלמי, תלמוד בבלי, מדרשי הלכה) הועתקו וסודרו בצורה שלמה ורציפה, תוך השמטת הקטעים שלא נוגעים לעניין המדובר.</w:t>
      </w:r>
    </w:p>
    <w:p w14:paraId="2E67BA85" w14:textId="0BA02F03" w:rsidR="00E9422A" w:rsidRDefault="00E9422A" w:rsidP="00FF2D21">
      <w:pPr>
        <w:pStyle w:val="aa"/>
        <w:numPr>
          <w:ilvl w:val="0"/>
          <w:numId w:val="158"/>
        </w:numPr>
        <w:spacing w:after="160" w:line="259" w:lineRule="auto"/>
      </w:pPr>
      <w:r>
        <w:rPr>
          <w:rFonts w:hint="cs"/>
          <w:rtl/>
        </w:rPr>
        <w:t>ציון מדוייק של מקור הדברים</w:t>
      </w:r>
      <w:r w:rsidR="00FF2D21">
        <w:rPr>
          <w:rFonts w:hint="cs"/>
          <w:rtl/>
        </w:rPr>
        <w:t>.</w:t>
      </w:r>
      <w:r>
        <w:rPr>
          <w:rFonts w:hint="cs"/>
          <w:rtl/>
        </w:rPr>
        <w:t xml:space="preserve"> וכן ציון של מעבר בין דפי</w:t>
      </w:r>
      <w:r w:rsidR="00FF2D21">
        <w:rPr>
          <w:rFonts w:hint="cs"/>
          <w:rtl/>
        </w:rPr>
        <w:t>/עמודי</w:t>
      </w:r>
      <w:r>
        <w:rPr>
          <w:rFonts w:hint="cs"/>
          <w:rtl/>
        </w:rPr>
        <w:t xml:space="preserve"> הגמרא. </w:t>
      </w:r>
    </w:p>
    <w:p w14:paraId="5C6B3969" w14:textId="77777777" w:rsidR="00E9422A" w:rsidRDefault="00E9422A" w:rsidP="00FF2D21">
      <w:pPr>
        <w:pStyle w:val="aa"/>
        <w:numPr>
          <w:ilvl w:val="0"/>
          <w:numId w:val="158"/>
        </w:numPr>
        <w:spacing w:after="160" w:line="259" w:lineRule="auto"/>
      </w:pPr>
      <w:r>
        <w:rPr>
          <w:rFonts w:hint="cs"/>
          <w:rtl/>
        </w:rPr>
        <w:t xml:space="preserve">גרסאות מתוקנות על פי הראשונים והאחרונים הדנים בסוגייא. </w:t>
      </w:r>
    </w:p>
    <w:p w14:paraId="18865AB9" w14:textId="2B17CFFB" w:rsidR="00E9422A" w:rsidRDefault="00E9422A" w:rsidP="00FF2D21">
      <w:pPr>
        <w:pStyle w:val="aa"/>
        <w:numPr>
          <w:ilvl w:val="0"/>
          <w:numId w:val="158"/>
        </w:numPr>
        <w:spacing w:after="160" w:line="259" w:lineRule="auto"/>
      </w:pPr>
      <w:r>
        <w:rPr>
          <w:rFonts w:hint="cs"/>
          <w:rtl/>
        </w:rPr>
        <w:t xml:space="preserve">נוספו מקורות שהובאו בראשונים או באחרונים </w:t>
      </w:r>
      <w:r w:rsidR="00FF2D21" w:rsidRPr="00FF2D21">
        <w:rPr>
          <w:rFonts w:hint="cs"/>
          <w:sz w:val="16"/>
          <w:szCs w:val="16"/>
          <w:rtl/>
        </w:rPr>
        <w:t>(ציוני הגר"א באר הגולה ושאר אחרונים</w:t>
      </w:r>
      <w:r w:rsidR="00FF2D21">
        <w:rPr>
          <w:rFonts w:hint="cs"/>
          <w:sz w:val="16"/>
          <w:szCs w:val="16"/>
          <w:rtl/>
        </w:rPr>
        <w:t>)</w:t>
      </w:r>
      <w:r w:rsidR="00FF2D21">
        <w:rPr>
          <w:rFonts w:hint="cs"/>
          <w:rtl/>
        </w:rPr>
        <w:t xml:space="preserve"> </w:t>
      </w:r>
      <w:r>
        <w:rPr>
          <w:rFonts w:hint="cs"/>
          <w:rtl/>
        </w:rPr>
        <w:t>אע"פ שלא הובאו בב"י</w:t>
      </w:r>
      <w:r w:rsidR="00FF2D21">
        <w:rPr>
          <w:rFonts w:hint="cs"/>
          <w:rtl/>
        </w:rPr>
        <w:t xml:space="preserve">, מכיון שהן נצרכות להבנת/הרחבת הסוגיא. </w:t>
      </w:r>
    </w:p>
    <w:p w14:paraId="75531C0F" w14:textId="77777777" w:rsidR="00E9422A" w:rsidRDefault="00E9422A" w:rsidP="00FF2D21">
      <w:pPr>
        <w:pStyle w:val="aa"/>
        <w:numPr>
          <w:ilvl w:val="0"/>
          <w:numId w:val="158"/>
        </w:numPr>
        <w:spacing w:after="160" w:line="259" w:lineRule="auto"/>
        <w:rPr>
          <w:rtl/>
        </w:rPr>
      </w:pPr>
      <w:r>
        <w:rPr>
          <w:rFonts w:hint="cs"/>
          <w:rtl/>
        </w:rPr>
        <w:t>כל מה שכתבו הטור הב"י והדרכ"מ - העותקו לספר זה. למעט דברים שנכפלו בחינם, או אריכות של קושיות ופירוקים, או שהפוסקים הנ"ל העתיקו את לשון הגמרא או הראשונים שאז העתקי את המקור ומחקתי את מה שהם העתיקו</w:t>
      </w:r>
      <w:r>
        <w:rPr>
          <w:rStyle w:val="a9"/>
          <w:rtl/>
        </w:rPr>
        <w:footnoteReference w:id="5"/>
      </w:r>
      <w:r>
        <w:rPr>
          <w:rFonts w:hint="cs"/>
          <w:rtl/>
        </w:rPr>
        <w:t xml:space="preserve">.  </w:t>
      </w:r>
    </w:p>
    <w:p w14:paraId="106855C7" w14:textId="77777777" w:rsidR="00E9422A" w:rsidRPr="00FB4C82" w:rsidRDefault="00E9422A" w:rsidP="00E9422A">
      <w:pPr>
        <w:rPr>
          <w:u w:val="single"/>
          <w:rtl/>
        </w:rPr>
      </w:pPr>
      <w:r w:rsidRPr="00FB4C82">
        <w:rPr>
          <w:rFonts w:hint="cs"/>
          <w:u w:val="single"/>
          <w:rtl/>
        </w:rPr>
        <w:t xml:space="preserve">פוסקים: </w:t>
      </w:r>
    </w:p>
    <w:p w14:paraId="0DAF5D2E" w14:textId="77777777" w:rsidR="00E9422A" w:rsidRDefault="00E9422A" w:rsidP="00FF2D21">
      <w:pPr>
        <w:pStyle w:val="aa"/>
        <w:numPr>
          <w:ilvl w:val="0"/>
          <w:numId w:val="159"/>
        </w:numPr>
        <w:spacing w:after="160" w:line="259" w:lineRule="auto"/>
      </w:pPr>
      <w:r>
        <w:rPr>
          <w:rFonts w:hint="cs"/>
          <w:rtl/>
        </w:rPr>
        <w:t>דברי הראשונים ואחרונים מובאים בלשונם אחת לאחת! כדי שכל אחד יוכל לעמוד על כוונתם ללא הטיית העורך. לפעמים הבאנו מספר לשונות</w:t>
      </w:r>
      <w:r>
        <w:rPr>
          <w:rStyle w:val="a9"/>
          <w:rtl/>
        </w:rPr>
        <w:footnoteReference w:id="6"/>
      </w:r>
      <w:r>
        <w:rPr>
          <w:rFonts w:hint="cs"/>
          <w:rtl/>
        </w:rPr>
        <w:t xml:space="preserve"> אע"פ שמסכימים לדעה אחת, וזאת כיון שאפשר לדייק מהם פרטי דינים נוספים. </w:t>
      </w:r>
    </w:p>
    <w:p w14:paraId="1B9675CB" w14:textId="77777777" w:rsidR="00E9422A" w:rsidRDefault="00E9422A" w:rsidP="00FF2D21">
      <w:pPr>
        <w:pStyle w:val="aa"/>
        <w:numPr>
          <w:ilvl w:val="0"/>
          <w:numId w:val="159"/>
        </w:numPr>
        <w:spacing w:after="160" w:line="259" w:lineRule="auto"/>
      </w:pPr>
      <w:r>
        <w:rPr>
          <w:rFonts w:hint="cs"/>
          <w:rtl/>
        </w:rPr>
        <w:t>דברי הראשונים הועתקו בצורה מלאה, אע"פ שהב"י העתיק רק חלק מדבריהם. וזאת על מנת שנוכל לעמוד על דבריהם בצורה הטובה ביותר.</w:t>
      </w:r>
    </w:p>
    <w:p w14:paraId="7631BC8B" w14:textId="77777777" w:rsidR="00E9422A" w:rsidRDefault="00E9422A" w:rsidP="00FF2D21">
      <w:pPr>
        <w:pStyle w:val="aa"/>
        <w:numPr>
          <w:ilvl w:val="0"/>
          <w:numId w:val="159"/>
        </w:numPr>
        <w:spacing w:after="160" w:line="259" w:lineRule="auto"/>
      </w:pPr>
      <w:r>
        <w:rPr>
          <w:rFonts w:hint="cs"/>
          <w:rtl/>
        </w:rPr>
        <w:t>הובאו ראשונים שלא הובאו בבית יוסף, הן כאלו שלא היו לפניו, והן כאלו שהאחרונים הוציאו מהם דינים נוספים או שונים.</w:t>
      </w:r>
    </w:p>
    <w:p w14:paraId="6D1B0B7E" w14:textId="77777777" w:rsidR="00E9422A" w:rsidRDefault="00E9422A" w:rsidP="00FF2D21">
      <w:pPr>
        <w:pStyle w:val="aa"/>
        <w:numPr>
          <w:ilvl w:val="0"/>
          <w:numId w:val="159"/>
        </w:numPr>
        <w:spacing w:after="160" w:line="259" w:lineRule="auto"/>
        <w:rPr>
          <w:rtl/>
        </w:rPr>
      </w:pPr>
      <w:r>
        <w:rPr>
          <w:rFonts w:hint="cs"/>
          <w:rtl/>
        </w:rPr>
        <w:t>ציון מקורות מדוייקים לדברי הראשונים והאחרונים. וכן שינוי הציונים שצויינו בטעות על דברי הרמ"א.</w:t>
      </w:r>
    </w:p>
    <w:p w14:paraId="4194C94C" w14:textId="06FA52C7" w:rsidR="00E9422A" w:rsidRPr="00A56589" w:rsidRDefault="00E9422A" w:rsidP="00E9422A">
      <w:pPr>
        <w:rPr>
          <w:u w:val="single"/>
          <w:rtl/>
        </w:rPr>
      </w:pPr>
      <w:r w:rsidRPr="00A56589">
        <w:rPr>
          <w:rFonts w:hint="cs"/>
          <w:u w:val="single"/>
          <w:rtl/>
        </w:rPr>
        <w:t>סדר, ליקוט, השוואה</w:t>
      </w:r>
      <w:r w:rsidR="00FF2D21">
        <w:rPr>
          <w:rFonts w:hint="cs"/>
          <w:u w:val="single"/>
          <w:rtl/>
        </w:rPr>
        <w:t>,</w:t>
      </w:r>
      <w:r w:rsidRPr="00A56589">
        <w:rPr>
          <w:rFonts w:hint="cs"/>
          <w:u w:val="single"/>
          <w:rtl/>
        </w:rPr>
        <w:t xml:space="preserve"> חיבור</w:t>
      </w:r>
      <w:r w:rsidR="00FF2D21">
        <w:rPr>
          <w:rFonts w:hint="cs"/>
          <w:u w:val="single"/>
          <w:rtl/>
        </w:rPr>
        <w:t xml:space="preserve"> והרחבה</w:t>
      </w:r>
      <w:r w:rsidRPr="00A56589">
        <w:rPr>
          <w:rFonts w:hint="cs"/>
          <w:u w:val="single"/>
          <w:rtl/>
        </w:rPr>
        <w:t xml:space="preserve">: </w:t>
      </w:r>
    </w:p>
    <w:p w14:paraId="03FB5170" w14:textId="77777777" w:rsidR="00E9422A" w:rsidRDefault="00E9422A" w:rsidP="00FF2D21">
      <w:pPr>
        <w:pStyle w:val="aa"/>
        <w:numPr>
          <w:ilvl w:val="0"/>
          <w:numId w:val="161"/>
        </w:numPr>
        <w:spacing w:after="160" w:line="259" w:lineRule="auto"/>
      </w:pPr>
      <w:r>
        <w:rPr>
          <w:rFonts w:hint="cs"/>
          <w:rtl/>
        </w:rPr>
        <w:t xml:space="preserve">הספר ערוך על סדר השלחן ערוך, כשבכל סעיף הבאנו את דברי הגמרא והראשונים השייכים לאותו סעיף. </w:t>
      </w:r>
    </w:p>
    <w:p w14:paraId="5B6FED95" w14:textId="77777777" w:rsidR="00E9422A" w:rsidRDefault="00E9422A" w:rsidP="00FF2D21">
      <w:pPr>
        <w:pStyle w:val="aa"/>
        <w:numPr>
          <w:ilvl w:val="0"/>
          <w:numId w:val="161"/>
        </w:numPr>
        <w:spacing w:after="160" w:line="259" w:lineRule="auto"/>
      </w:pPr>
      <w:r>
        <w:rPr>
          <w:rFonts w:hint="cs"/>
          <w:rtl/>
        </w:rPr>
        <w:t>בכל סעיף יש חלוקה לכותרות לפי הנושא המדובר, ותתי כותרות כדי לפתוח תת נושא היוצא מהכותרת הראשית.</w:t>
      </w:r>
    </w:p>
    <w:p w14:paraId="6FFA5A4C" w14:textId="77777777" w:rsidR="00E9422A" w:rsidRDefault="00E9422A" w:rsidP="00FF2D21">
      <w:pPr>
        <w:pStyle w:val="aa"/>
        <w:numPr>
          <w:ilvl w:val="0"/>
          <w:numId w:val="161"/>
        </w:numPr>
        <w:spacing w:after="160" w:line="259" w:lineRule="auto"/>
      </w:pPr>
      <w:r>
        <w:rPr>
          <w:rFonts w:hint="cs"/>
          <w:rtl/>
        </w:rPr>
        <w:t>המקורות מפוסקים על מנת שיוכל הלומד לרוץ בהבנת הדברים.</w:t>
      </w:r>
    </w:p>
    <w:p w14:paraId="72670866" w14:textId="77777777" w:rsidR="00E9422A" w:rsidRDefault="00E9422A" w:rsidP="00FF2D21">
      <w:pPr>
        <w:pStyle w:val="aa"/>
        <w:numPr>
          <w:ilvl w:val="0"/>
          <w:numId w:val="161"/>
        </w:numPr>
        <w:spacing w:after="160" w:line="259" w:lineRule="auto"/>
      </w:pPr>
      <w:r>
        <w:rPr>
          <w:rFonts w:hint="cs"/>
          <w:rtl/>
        </w:rPr>
        <w:t>השוונו בין סימנים וסעיפים שמשלימים זה את זה, תוך ציון מהיכן נלקחו הדברים.</w:t>
      </w:r>
    </w:p>
    <w:p w14:paraId="75BA1561" w14:textId="4C464B6C" w:rsidR="00E9422A" w:rsidRDefault="00E9422A" w:rsidP="00FF2D21">
      <w:pPr>
        <w:pStyle w:val="aa"/>
        <w:numPr>
          <w:ilvl w:val="0"/>
          <w:numId w:val="161"/>
        </w:numPr>
        <w:spacing w:after="160" w:line="259" w:lineRule="auto"/>
      </w:pPr>
      <w:r>
        <w:rPr>
          <w:rFonts w:hint="cs"/>
          <w:rtl/>
        </w:rPr>
        <w:t>דברי הב"י שמפוזרים בכל מיני מקומות - לוקטו לסעיף המיועד.</w:t>
      </w:r>
    </w:p>
    <w:p w14:paraId="3FC851BD" w14:textId="4C0DAC1B" w:rsidR="00FF2D21" w:rsidRDefault="00FF2D21" w:rsidP="00FF2D21">
      <w:pPr>
        <w:pStyle w:val="aa"/>
        <w:numPr>
          <w:ilvl w:val="0"/>
          <w:numId w:val="161"/>
        </w:numPr>
        <w:spacing w:after="160" w:line="259" w:lineRule="auto"/>
      </w:pPr>
      <w:r>
        <w:rPr>
          <w:rFonts w:hint="cs"/>
          <w:rtl/>
        </w:rPr>
        <w:t>פתחתי ראשי תיבות מסובכים.</w:t>
      </w:r>
    </w:p>
    <w:p w14:paraId="4390665E" w14:textId="1C1EF453" w:rsidR="00FF2D21" w:rsidRDefault="00FF2D21" w:rsidP="00FF2D21">
      <w:pPr>
        <w:pStyle w:val="aa"/>
        <w:numPr>
          <w:ilvl w:val="0"/>
          <w:numId w:val="161"/>
        </w:numPr>
        <w:spacing w:after="160" w:line="259" w:lineRule="auto"/>
      </w:pPr>
      <w:r>
        <w:rPr>
          <w:rFonts w:hint="cs"/>
          <w:rtl/>
        </w:rPr>
        <w:lastRenderedPageBreak/>
        <w:t>מושגים קשים שאינם מהסוגייא - הרחבתי/הפשטתי על מנת שיוכל הלומד לרוץ בלימוד.</w:t>
      </w:r>
    </w:p>
    <w:p w14:paraId="7ED332D4" w14:textId="77777777" w:rsidR="00E9422A" w:rsidRPr="00A56589" w:rsidRDefault="00E9422A" w:rsidP="00E9422A">
      <w:pPr>
        <w:rPr>
          <w:u w:val="single"/>
          <w:rtl/>
        </w:rPr>
      </w:pPr>
      <w:r w:rsidRPr="00A56589">
        <w:rPr>
          <w:rFonts w:hint="cs"/>
          <w:u w:val="single"/>
          <w:rtl/>
        </w:rPr>
        <w:t>אחרונים:</w:t>
      </w:r>
    </w:p>
    <w:p w14:paraId="0751F451" w14:textId="3B266ED3" w:rsidR="00E9422A" w:rsidRDefault="00E9422A" w:rsidP="00FF2D21">
      <w:pPr>
        <w:pStyle w:val="aa"/>
        <w:numPr>
          <w:ilvl w:val="0"/>
          <w:numId w:val="162"/>
        </w:numPr>
        <w:spacing w:after="160" w:line="259" w:lineRule="auto"/>
      </w:pPr>
      <w:r>
        <w:rPr>
          <w:rFonts w:hint="cs"/>
          <w:rtl/>
        </w:rPr>
        <w:t>כמעט ולא הבא</w:t>
      </w:r>
      <w:r w:rsidR="00FF2D21">
        <w:rPr>
          <w:rFonts w:hint="cs"/>
          <w:rtl/>
        </w:rPr>
        <w:t>תי</w:t>
      </w:r>
      <w:r>
        <w:rPr>
          <w:rFonts w:hint="cs"/>
          <w:rtl/>
        </w:rPr>
        <w:t xml:space="preserve"> </w:t>
      </w:r>
      <w:r w:rsidR="00FF2D21">
        <w:rPr>
          <w:rFonts w:hint="cs"/>
          <w:rtl/>
        </w:rPr>
        <w:t>מ</w:t>
      </w:r>
      <w:r>
        <w:rPr>
          <w:rFonts w:hint="cs"/>
          <w:rtl/>
        </w:rPr>
        <w:t>דברי האחרונים בני דורנו בספר זה</w:t>
      </w:r>
      <w:r w:rsidR="00FF2D21">
        <w:rPr>
          <w:rFonts w:hint="cs"/>
          <w:rtl/>
        </w:rPr>
        <w:t>,</w:t>
      </w:r>
      <w:r>
        <w:rPr>
          <w:rFonts w:hint="cs"/>
          <w:rtl/>
        </w:rPr>
        <w:t xml:space="preserve"> וזאת משום שמטרת הספר היא ללמוד את מקור</w:t>
      </w:r>
      <w:r w:rsidR="00FF2D21">
        <w:rPr>
          <w:rFonts w:hint="cs"/>
          <w:rtl/>
        </w:rPr>
        <w:t>ות</w:t>
      </w:r>
      <w:r>
        <w:rPr>
          <w:rFonts w:hint="cs"/>
          <w:rtl/>
        </w:rPr>
        <w:t xml:space="preserve"> ההלכה</w:t>
      </w:r>
      <w:r w:rsidR="00FF2D21">
        <w:rPr>
          <w:rFonts w:hint="cs"/>
          <w:rtl/>
        </w:rPr>
        <w:t xml:space="preserve"> וסברתה</w:t>
      </w:r>
      <w:r>
        <w:rPr>
          <w:rFonts w:hint="cs"/>
          <w:rtl/>
        </w:rPr>
        <w:t xml:space="preserve">. </w:t>
      </w:r>
    </w:p>
    <w:p w14:paraId="6E16804B" w14:textId="77777777" w:rsidR="00E9422A" w:rsidRPr="0002122C" w:rsidRDefault="00E9422A" w:rsidP="00E9422A">
      <w:pPr>
        <w:rPr>
          <w:u w:val="single"/>
          <w:rtl/>
        </w:rPr>
      </w:pPr>
      <w:r w:rsidRPr="0002122C">
        <w:rPr>
          <w:rFonts w:hint="cs"/>
          <w:u w:val="single"/>
          <w:rtl/>
        </w:rPr>
        <w:t>סימנים:</w:t>
      </w:r>
    </w:p>
    <w:p w14:paraId="42ADB4FA" w14:textId="0E00E09E" w:rsidR="00FF2D21" w:rsidRDefault="00E9422A" w:rsidP="00FF2D21">
      <w:pPr>
        <w:pStyle w:val="aa"/>
        <w:numPr>
          <w:ilvl w:val="0"/>
          <w:numId w:val="163"/>
        </w:numPr>
        <w:spacing w:after="160" w:line="259" w:lineRule="auto"/>
        <w:rPr>
          <w:rtl/>
        </w:rPr>
      </w:pPr>
      <w:r>
        <w:rPr>
          <w:rFonts w:hint="cs"/>
          <w:rtl/>
        </w:rPr>
        <w:t xml:space="preserve">השתדלתי להביא על כל דף גמרא סימן, על מנת לזכור שהסוגיא הנלמדת נמצאת בדף המסוים הזה. למשל, במסכת בבא קמא דף צ"ז מובאת סוגיא בעניין </w:t>
      </w:r>
      <w:r w:rsidRPr="0049674D">
        <w:rPr>
          <w:rFonts w:cs="Arial"/>
          <w:rtl/>
        </w:rPr>
        <w:t>המלוה את חבירו על המטבע ונפסל המטבע</w:t>
      </w:r>
      <w:r w:rsidR="00FF2D21">
        <w:rPr>
          <w:rFonts w:cs="Arial" w:hint="cs"/>
          <w:rtl/>
        </w:rPr>
        <w:t xml:space="preserve"> באותו מקום</w:t>
      </w:r>
      <w:r>
        <w:rPr>
          <w:rFonts w:cs="Arial" w:hint="cs"/>
          <w:rtl/>
        </w:rPr>
        <w:t xml:space="preserve">, באיזו מטבע צריך להחזיר לו. והסימן לסוגיא הוא - </w:t>
      </w:r>
      <w:r w:rsidRPr="0002122C">
        <w:rPr>
          <w:rFonts w:cs="Arial" w:hint="cs"/>
          <w:b/>
          <w:bCs/>
          <w:rtl/>
        </w:rPr>
        <w:t>צ</w:t>
      </w:r>
      <w:r>
        <w:rPr>
          <w:rFonts w:cs="Arial" w:hint="cs"/>
          <w:rtl/>
        </w:rPr>
        <w:t xml:space="preserve">נחו </w:t>
      </w:r>
      <w:r w:rsidRPr="0002122C">
        <w:rPr>
          <w:rFonts w:cs="Arial" w:hint="cs"/>
          <w:b/>
          <w:bCs/>
          <w:rtl/>
        </w:rPr>
        <w:t>ז</w:t>
      </w:r>
      <w:r>
        <w:rPr>
          <w:rFonts w:cs="Arial" w:hint="cs"/>
          <w:rtl/>
        </w:rPr>
        <w:t>וזים.</w:t>
      </w:r>
    </w:p>
    <w:p w14:paraId="57B35327" w14:textId="5825423D" w:rsidR="00FF2D21" w:rsidRDefault="00FF2D21" w:rsidP="00FF2D21">
      <w:pPr>
        <w:pStyle w:val="2"/>
        <w:rPr>
          <w:rtl/>
        </w:rPr>
      </w:pPr>
      <w:r>
        <w:rPr>
          <w:rFonts w:hint="cs"/>
          <w:rtl/>
        </w:rPr>
        <w:t>דברים אחדים</w:t>
      </w:r>
    </w:p>
    <w:p w14:paraId="17AB0675" w14:textId="6135EF94" w:rsidR="004B2E7C" w:rsidRDefault="004B2E7C" w:rsidP="00434A6A">
      <w:pPr>
        <w:rPr>
          <w:rtl/>
        </w:rPr>
      </w:pPr>
      <w:r>
        <w:rPr>
          <w:rFonts w:hint="cs"/>
          <w:rtl/>
        </w:rPr>
        <w:t xml:space="preserve">הספר אינו גמור, צריך </w:t>
      </w:r>
      <w:r w:rsidR="00FF2D21">
        <w:rPr>
          <w:rFonts w:hint="cs"/>
          <w:rtl/>
        </w:rPr>
        <w:t xml:space="preserve">בחלק מהמקומות </w:t>
      </w:r>
      <w:r>
        <w:rPr>
          <w:rFonts w:hint="cs"/>
          <w:rtl/>
        </w:rPr>
        <w:t xml:space="preserve">עוד </w:t>
      </w:r>
      <w:r w:rsidR="00FF2D21">
        <w:rPr>
          <w:rFonts w:hint="cs"/>
          <w:rtl/>
        </w:rPr>
        <w:t xml:space="preserve">הגהה סידור </w:t>
      </w:r>
      <w:r>
        <w:rPr>
          <w:rFonts w:hint="cs"/>
          <w:rtl/>
        </w:rPr>
        <w:t>השלמות</w:t>
      </w:r>
      <w:r w:rsidR="00FF2D21">
        <w:rPr>
          <w:rFonts w:hint="cs"/>
          <w:rtl/>
        </w:rPr>
        <w:t xml:space="preserve"> וכו'</w:t>
      </w:r>
      <w:r>
        <w:rPr>
          <w:rFonts w:hint="cs"/>
          <w:rtl/>
        </w:rPr>
        <w:t>. ה' יהיה בעזרי ואעשה זאת בלנ"ד בהמשך.</w:t>
      </w:r>
    </w:p>
    <w:p w14:paraId="17237213" w14:textId="6D34EE89" w:rsidR="004B2E7C" w:rsidRDefault="004B2E7C" w:rsidP="00434A6A">
      <w:pPr>
        <w:rPr>
          <w:rtl/>
        </w:rPr>
      </w:pPr>
      <w:r>
        <w:rPr>
          <w:rFonts w:hint="cs"/>
          <w:rtl/>
        </w:rPr>
        <w:t>נשארו מספר מקומות שנשארתי בצריך עיון</w:t>
      </w:r>
      <w:r w:rsidR="00942E39">
        <w:rPr>
          <w:rFonts w:hint="cs"/>
          <w:rtl/>
        </w:rPr>
        <w:t>,</w:t>
      </w:r>
      <w:r>
        <w:rPr>
          <w:rFonts w:hint="cs"/>
          <w:rtl/>
        </w:rPr>
        <w:t xml:space="preserve"> </w:t>
      </w:r>
      <w:r w:rsidR="00942E39">
        <w:rPr>
          <w:rFonts w:hint="cs"/>
          <w:rtl/>
        </w:rPr>
        <w:t xml:space="preserve">חלקם </w:t>
      </w:r>
      <w:r>
        <w:rPr>
          <w:rFonts w:hint="cs"/>
          <w:rtl/>
        </w:rPr>
        <w:t xml:space="preserve">סימנתי באדום. </w:t>
      </w:r>
    </w:p>
    <w:p w14:paraId="22AFE70C" w14:textId="0B152C4A" w:rsidR="00FF2D21" w:rsidRDefault="00FF2D21" w:rsidP="00434A6A">
      <w:pPr>
        <w:rPr>
          <w:rtl/>
        </w:rPr>
      </w:pPr>
      <w:r>
        <w:rPr>
          <w:rFonts w:hint="cs"/>
          <w:rtl/>
        </w:rPr>
        <w:t>השם הטוב יהיה בעזרי ויזכני לסיים את החיבור על כל חלקי השלחן ערוך.</w:t>
      </w:r>
    </w:p>
    <w:p w14:paraId="76BD3B66" w14:textId="3A97426E" w:rsidR="004B2E7C" w:rsidRDefault="004B2E7C" w:rsidP="00434A6A">
      <w:pPr>
        <w:rPr>
          <w:rtl/>
        </w:rPr>
      </w:pPr>
      <w:r>
        <w:rPr>
          <w:rFonts w:hint="cs"/>
          <w:rtl/>
        </w:rPr>
        <w:t xml:space="preserve">השארתי את הספר בקובץ וורד על מנת שכל אחד יוכל לתקן לשנות ולהוסיף כראות עיניו. </w:t>
      </w:r>
      <w:r w:rsidRPr="00374629">
        <w:rPr>
          <w:rFonts w:hint="cs"/>
          <w:b/>
          <w:bCs/>
          <w:rtl/>
        </w:rPr>
        <w:t xml:space="preserve">עם זאת אבקש אם אפשר למי שמצא טעות שישלח לי על מנת שאוכל </w:t>
      </w:r>
      <w:r w:rsidR="00FF2D21">
        <w:rPr>
          <w:rFonts w:hint="cs"/>
          <w:b/>
          <w:bCs/>
          <w:rtl/>
        </w:rPr>
        <w:t>לבדוק, ואם אכן טעיתי - א</w:t>
      </w:r>
      <w:r w:rsidRPr="00374629">
        <w:rPr>
          <w:rFonts w:hint="cs"/>
          <w:b/>
          <w:bCs/>
          <w:rtl/>
        </w:rPr>
        <w:t>תקן אצלי</w:t>
      </w:r>
      <w:r>
        <w:rPr>
          <w:rFonts w:hint="cs"/>
          <w:rtl/>
        </w:rPr>
        <w:t xml:space="preserve">. </w:t>
      </w:r>
    </w:p>
    <w:p w14:paraId="2E3E575A" w14:textId="02CED410" w:rsidR="00E9422A" w:rsidRDefault="00E9422A" w:rsidP="00E9422A">
      <w:pPr>
        <w:rPr>
          <w:rtl/>
        </w:rPr>
      </w:pPr>
      <w:r>
        <w:rPr>
          <w:rFonts w:hint="cs"/>
          <w:rtl/>
        </w:rPr>
        <w:t>למי שלומד מהמחשב מומלץ לחלק את הסיכום לכמה חלקים על מנת שהמחשב ירוץ ולא יתקע על כל שינוי בסיכום. או לחילופין לעבוד על מצב טיוטה (נמצא בתפריט תצוגה, מצד ימין)</w:t>
      </w:r>
      <w:r w:rsidR="00FF2D21">
        <w:rPr>
          <w:rFonts w:hint="cs"/>
          <w:rtl/>
        </w:rPr>
        <w:t>. והאפשרות האחרונה עדיפה</w:t>
      </w:r>
      <w:r>
        <w:rPr>
          <w:rFonts w:hint="cs"/>
          <w:rtl/>
        </w:rPr>
        <w:t>.</w:t>
      </w:r>
    </w:p>
    <w:p w14:paraId="53E84D4D" w14:textId="77777777" w:rsidR="00E9422A" w:rsidRDefault="00E9422A" w:rsidP="00E9422A">
      <w:pPr>
        <w:rPr>
          <w:rtl/>
        </w:rPr>
      </w:pPr>
      <w:r>
        <w:rPr>
          <w:rFonts w:hint="cs"/>
          <w:rtl/>
        </w:rPr>
        <w:t xml:space="preserve">אין להעתיק/להדפיס/לעשות מספר זה שום דבר שהוא לצורך מכירה/מסחר. </w:t>
      </w:r>
    </w:p>
    <w:p w14:paraId="549CAD77" w14:textId="77777777" w:rsidR="004B2E7C" w:rsidRDefault="004B2E7C" w:rsidP="00434A6A">
      <w:pPr>
        <w:rPr>
          <w:rtl/>
        </w:rPr>
      </w:pPr>
      <w:r>
        <w:rPr>
          <w:rFonts w:hint="cs"/>
          <w:rtl/>
        </w:rPr>
        <w:t>יצחק ממן</w:t>
      </w:r>
    </w:p>
    <w:p w14:paraId="19B7A059" w14:textId="77777777" w:rsidR="004B2E7C" w:rsidRDefault="004B2E7C" w:rsidP="00434A6A">
      <w:pPr>
        <w:rPr>
          <w:rtl/>
        </w:rPr>
      </w:pPr>
      <w:r>
        <w:rPr>
          <w:rFonts w:hint="cs"/>
          <w:rtl/>
        </w:rPr>
        <w:t xml:space="preserve">מייל </w:t>
      </w:r>
      <w:r>
        <w:rPr>
          <w:rtl/>
        </w:rPr>
        <w:t>–</w:t>
      </w:r>
      <w:r>
        <w:rPr>
          <w:rFonts w:hint="cs"/>
          <w:rtl/>
        </w:rPr>
        <w:t xml:space="preserve"> </w:t>
      </w:r>
      <w:hyperlink r:id="rId8" w:history="1">
        <w:r w:rsidRPr="0066196F">
          <w:rPr>
            <w:rStyle w:val="Hyperlink"/>
          </w:rPr>
          <w:t>itzakmaman@gmail.com</w:t>
        </w:r>
      </w:hyperlink>
      <w:r>
        <w:rPr>
          <w:rFonts w:hint="cs"/>
          <w:rtl/>
        </w:rPr>
        <w:t xml:space="preserve">         </w:t>
      </w:r>
    </w:p>
    <w:p w14:paraId="348F424F" w14:textId="77777777" w:rsidR="004B2E7C" w:rsidRDefault="004B2E7C" w:rsidP="00434A6A">
      <w:pPr>
        <w:rPr>
          <w:rtl/>
        </w:rPr>
      </w:pPr>
      <w:r>
        <w:rPr>
          <w:rFonts w:hint="cs"/>
          <w:rtl/>
        </w:rPr>
        <w:t xml:space="preserve">טלפון </w:t>
      </w:r>
      <w:r>
        <w:rPr>
          <w:rtl/>
        </w:rPr>
        <w:t>–</w:t>
      </w:r>
      <w:r>
        <w:rPr>
          <w:rFonts w:hint="cs"/>
          <w:rtl/>
        </w:rPr>
        <w:t xml:space="preserve"> 0545662712 </w:t>
      </w:r>
    </w:p>
    <w:p w14:paraId="76EFB194" w14:textId="2E7FFA21" w:rsidR="004B2E7C" w:rsidRDefault="004B2E7C" w:rsidP="00434A6A">
      <w:pPr>
        <w:rPr>
          <w:rtl/>
        </w:rPr>
      </w:pPr>
      <w:r>
        <w:rPr>
          <w:rFonts w:hint="cs"/>
          <w:rtl/>
        </w:rPr>
        <w:t>בנוסף, אפשר להכנס לאתר 'ברית יצחק' (</w:t>
      </w:r>
      <w:r>
        <w:t>brit-itzak.com</w:t>
      </w:r>
      <w:r>
        <w:rPr>
          <w:rFonts w:hint="cs"/>
          <w:rtl/>
        </w:rPr>
        <w:t xml:space="preserve">), שם אני מעדכן מדי פעם את </w:t>
      </w:r>
      <w:r w:rsidR="00E9422A">
        <w:rPr>
          <w:rFonts w:hint="cs"/>
          <w:rtl/>
        </w:rPr>
        <w:t>הקבצים לפי ההתקדמות שלי.</w:t>
      </w:r>
      <w:r>
        <w:rPr>
          <w:rFonts w:hint="cs"/>
          <w:rtl/>
        </w:rPr>
        <w:t xml:space="preserve"> ו</w:t>
      </w:r>
      <w:r w:rsidR="00E9422A">
        <w:rPr>
          <w:rFonts w:hint="cs"/>
          <w:rtl/>
        </w:rPr>
        <w:t xml:space="preserve">כן יש שם </w:t>
      </w:r>
      <w:r>
        <w:rPr>
          <w:rFonts w:hint="cs"/>
          <w:rtl/>
        </w:rPr>
        <w:t>טבלאות</w:t>
      </w:r>
      <w:r w:rsidR="00E9422A">
        <w:rPr>
          <w:rFonts w:hint="cs"/>
          <w:rtl/>
        </w:rPr>
        <w:t xml:space="preserve"> של סימנים לזכירת דפי הגמרא</w:t>
      </w:r>
      <w:r>
        <w:rPr>
          <w:rFonts w:hint="cs"/>
          <w:rtl/>
        </w:rPr>
        <w:t xml:space="preserve">. </w:t>
      </w:r>
    </w:p>
    <w:p w14:paraId="647C75A5" w14:textId="77777777" w:rsidR="004B2E7C" w:rsidRDefault="00A87EFB" w:rsidP="00434A6A">
      <w:hyperlink r:id="rId9" w:history="1">
        <w:r w:rsidR="004B2E7C" w:rsidRPr="009F570C">
          <w:rPr>
            <w:rStyle w:val="Hyperlink"/>
            <w:rFonts w:hint="cs"/>
            <w:rtl/>
          </w:rPr>
          <w:t>לסכומי דיינות לחץ כאן</w:t>
        </w:r>
      </w:hyperlink>
      <w:r w:rsidR="004B2E7C">
        <w:rPr>
          <w:rFonts w:hint="cs"/>
          <w:rtl/>
        </w:rPr>
        <w:t xml:space="preserve"> </w:t>
      </w:r>
    </w:p>
    <w:p w14:paraId="15BA36F3" w14:textId="77777777" w:rsidR="004B2E7C" w:rsidRPr="00845316" w:rsidRDefault="00A87EFB" w:rsidP="00434A6A">
      <w:pPr>
        <w:rPr>
          <w:rFonts w:asciiTheme="minorBidi" w:hAnsiTheme="minorBidi"/>
          <w:rtl/>
        </w:rPr>
      </w:pPr>
      <w:hyperlink r:id="rId10" w:history="1">
        <w:r w:rsidR="004B2E7C" w:rsidRPr="009F570C">
          <w:rPr>
            <w:rStyle w:val="Hyperlink"/>
            <w:rFonts w:hint="cs"/>
            <w:rtl/>
          </w:rPr>
          <w:t>לסכומי רבנות לחץ כאן</w:t>
        </w:r>
      </w:hyperlink>
      <w:r w:rsidR="004B2E7C">
        <w:rPr>
          <w:rFonts w:hint="cs"/>
          <w:rtl/>
        </w:rPr>
        <w:t xml:space="preserve"> </w:t>
      </w:r>
    </w:p>
    <w:p w14:paraId="23DAD35C" w14:textId="77777777" w:rsidR="004B2E7C" w:rsidRDefault="004B2E7C" w:rsidP="00434A6A">
      <w:pPr>
        <w:pStyle w:val="1"/>
        <w:rPr>
          <w:rtl/>
        </w:rPr>
        <w:sectPr w:rsidR="004B2E7C" w:rsidSect="00BD29B1">
          <w:headerReference w:type="default" r:id="rId11"/>
          <w:footerReference w:type="default" r:id="rId12"/>
          <w:footnotePr>
            <w:numRestart w:val="eachSect"/>
          </w:footnotePr>
          <w:pgSz w:w="11906" w:h="16838"/>
          <w:pgMar w:top="720" w:right="1134" w:bottom="720" w:left="1134" w:header="0" w:footer="0" w:gutter="0"/>
          <w:cols w:space="720"/>
          <w:bidi/>
          <w:rtlGutter/>
          <w:docGrid w:linePitch="360"/>
        </w:sectPr>
      </w:pPr>
    </w:p>
    <w:p w14:paraId="1CEB240D" w14:textId="77777777" w:rsidR="004B2E7C" w:rsidRDefault="004B2E7C" w:rsidP="00434A6A">
      <w:pPr>
        <w:pStyle w:val="1"/>
        <w:rPr>
          <w:rtl/>
        </w:rPr>
      </w:pPr>
      <w:r>
        <w:rPr>
          <w:rFonts w:hint="cs"/>
          <w:rtl/>
        </w:rPr>
        <w:lastRenderedPageBreak/>
        <w:t xml:space="preserve">סימן רמב: </w:t>
      </w:r>
      <w:r>
        <w:rPr>
          <w:rtl/>
        </w:rPr>
        <w:t xml:space="preserve">להזהר בכבוד שבת, ובו סעיף אחד. </w:t>
      </w:r>
    </w:p>
    <w:p w14:paraId="03D2BFF9" w14:textId="77777777" w:rsidR="004B2E7C" w:rsidRDefault="004B2E7C" w:rsidP="00434A6A">
      <w:pPr>
        <w:pStyle w:val="2"/>
        <w:rPr>
          <w:rtl/>
        </w:rPr>
      </w:pPr>
      <w:r>
        <w:rPr>
          <w:rtl/>
        </w:rPr>
        <w:t>סעיף א</w:t>
      </w:r>
      <w:r>
        <w:rPr>
          <w:rFonts w:hint="cs"/>
          <w:rtl/>
        </w:rPr>
        <w:t>: חייב עני לכבד את השבת. כיבוס בגדים ביום חמישי לכבוד השבת.</w:t>
      </w:r>
    </w:p>
    <w:p w14:paraId="471B5E3E" w14:textId="77777777" w:rsidR="004B2E7C" w:rsidRDefault="004B2E7C" w:rsidP="00434A6A">
      <w:pPr>
        <w:rPr>
          <w:rFonts w:cs="Arial"/>
          <w:sz w:val="16"/>
          <w:szCs w:val="16"/>
          <w:rtl/>
        </w:rPr>
      </w:pPr>
      <w:r>
        <w:rPr>
          <w:rFonts w:cs="Arial" w:hint="cs"/>
          <w:b/>
          <w:bCs/>
          <w:rtl/>
        </w:rPr>
        <w:t>שבת</w:t>
      </w:r>
      <w:r w:rsidRPr="00D07B8D">
        <w:rPr>
          <w:rFonts w:cs="Arial" w:hint="cs"/>
          <w:b/>
          <w:bCs/>
          <w:sz w:val="16"/>
          <w:szCs w:val="16"/>
          <w:rtl/>
        </w:rPr>
        <w:t xml:space="preserve"> (</w:t>
      </w:r>
      <w:r>
        <w:rPr>
          <w:rFonts w:cs="Arial" w:hint="cs"/>
          <w:b/>
          <w:bCs/>
          <w:sz w:val="16"/>
          <w:szCs w:val="16"/>
          <w:rtl/>
        </w:rPr>
        <w:t>פ' כל כתבי</w:t>
      </w:r>
      <w:r w:rsidRPr="00D07B8D">
        <w:rPr>
          <w:rFonts w:cs="Arial" w:hint="cs"/>
          <w:b/>
          <w:bCs/>
          <w:sz w:val="16"/>
          <w:szCs w:val="16"/>
          <w:rtl/>
        </w:rPr>
        <w:t>)</w:t>
      </w:r>
      <w:r>
        <w:rPr>
          <w:rFonts w:cs="Arial" w:hint="cs"/>
          <w:b/>
          <w:bCs/>
          <w:rtl/>
        </w:rPr>
        <w:t xml:space="preserve"> קיח ע"א:</w:t>
      </w:r>
      <w:r>
        <w:rPr>
          <w:rFonts w:cs="Arial" w:hint="cs"/>
          <w:rtl/>
        </w:rPr>
        <w:t xml:space="preserve"> </w:t>
      </w:r>
      <w:r w:rsidRPr="00D07B8D">
        <w:rPr>
          <w:rFonts w:cs="Arial"/>
          <w:u w:val="single"/>
          <w:rtl/>
        </w:rPr>
        <w:t>אמר רבי יוחנן משום רבי יוסי</w:t>
      </w:r>
      <w:r w:rsidRPr="00D07B8D">
        <w:rPr>
          <w:rFonts w:cs="Arial"/>
          <w:rtl/>
        </w:rPr>
        <w:t>: כל המענג את השבת נותנין לו נחלה בלי מצרים</w:t>
      </w:r>
      <w:r>
        <w:rPr>
          <w:rStyle w:val="a9"/>
          <w:rFonts w:cs="Arial"/>
          <w:rtl/>
        </w:rPr>
        <w:footnoteReference w:id="7"/>
      </w:r>
      <w:r w:rsidRPr="00D07B8D">
        <w:rPr>
          <w:rFonts w:cs="Arial"/>
          <w:rtl/>
        </w:rPr>
        <w:t>, שנאמר אז תתענג על ה' והרכבתיך על במתי ארץ והאכלתיך</w:t>
      </w:r>
      <w:r>
        <w:rPr>
          <w:rFonts w:cs="Arial" w:hint="cs"/>
          <w:rtl/>
        </w:rPr>
        <w:t xml:space="preserve"> </w:t>
      </w:r>
      <w:r w:rsidRPr="00D07B8D">
        <w:rPr>
          <w:rFonts w:hint="cs"/>
          <w:sz w:val="16"/>
          <w:szCs w:val="16"/>
          <w:rtl/>
        </w:rPr>
        <w:t>(</w:t>
      </w:r>
      <w:r>
        <w:rPr>
          <w:rFonts w:hint="cs"/>
          <w:sz w:val="16"/>
          <w:szCs w:val="16"/>
          <w:rtl/>
        </w:rPr>
        <w:t>קיח:</w:t>
      </w:r>
      <w:r w:rsidRPr="00D07B8D">
        <w:rPr>
          <w:rFonts w:hint="cs"/>
          <w:sz w:val="16"/>
          <w:szCs w:val="16"/>
          <w:rtl/>
        </w:rPr>
        <w:t>)</w:t>
      </w:r>
      <w:r>
        <w:rPr>
          <w:rFonts w:hint="cs"/>
          <w:rtl/>
        </w:rPr>
        <w:t xml:space="preserve"> </w:t>
      </w:r>
      <w:r w:rsidRPr="00D07B8D">
        <w:rPr>
          <w:rFonts w:cs="Arial"/>
          <w:rtl/>
        </w:rPr>
        <w:t xml:space="preserve">נחלת יעקב אביך וגו'. לא כאברהם שכתוב בו קום התהלך בארץ לארכה וגו', ולא כיצחק שכתוב בו כי לך ולזרעך אתן את כל הארצת האל, אלא כיעקב שכתוב בו ופרצת ימה וקדמה וצפונה ונגבה. </w:t>
      </w:r>
      <w:r w:rsidRPr="00D07B8D">
        <w:rPr>
          <w:rFonts w:cs="Arial"/>
          <w:u w:val="single"/>
          <w:rtl/>
        </w:rPr>
        <w:t>רב נחמן בר יצחק אמר</w:t>
      </w:r>
      <w:r w:rsidRPr="00D07B8D">
        <w:rPr>
          <w:rFonts w:cs="Arial"/>
          <w:rtl/>
        </w:rPr>
        <w:t>: ניצול משעבוד גליות</w:t>
      </w:r>
      <w:r>
        <w:rPr>
          <w:rStyle w:val="a9"/>
          <w:rFonts w:cs="Arial"/>
          <w:rtl/>
        </w:rPr>
        <w:footnoteReference w:id="8"/>
      </w:r>
      <w:r w:rsidRPr="00D07B8D">
        <w:rPr>
          <w:rFonts w:cs="Arial"/>
          <w:rtl/>
        </w:rPr>
        <w:t xml:space="preserve">, כתיב הכא והרכבתיך על במתי ארץ וכתיב התם ואתה על במותימו תדרך. </w:t>
      </w:r>
      <w:r w:rsidRPr="00D07B8D">
        <w:rPr>
          <w:rFonts w:cs="Arial"/>
          <w:u w:val="single"/>
          <w:rtl/>
        </w:rPr>
        <w:t>אמר רב יהודה אמר רב</w:t>
      </w:r>
      <w:r w:rsidRPr="00D07B8D">
        <w:rPr>
          <w:rFonts w:cs="Arial"/>
          <w:rtl/>
        </w:rPr>
        <w:t>: כל המענג את השבת נותנין לו משאלות לבו</w:t>
      </w:r>
      <w:r>
        <w:rPr>
          <w:rStyle w:val="a9"/>
          <w:rFonts w:cs="Arial"/>
          <w:rtl/>
        </w:rPr>
        <w:footnoteReference w:id="9"/>
      </w:r>
      <w:r w:rsidRPr="00D07B8D">
        <w:rPr>
          <w:rFonts w:cs="Arial"/>
          <w:rtl/>
        </w:rPr>
        <w:t xml:space="preserve">, שנאמר והתענג על ה' ויתן לך משאלות לבך. עונג זה איני יודע מהו, כשהוא אומר וקראת לשבת ענג, הוי אומר: זה ענג שבת. במה מענגו? </w:t>
      </w:r>
      <w:r w:rsidRPr="00A07185">
        <w:rPr>
          <w:rFonts w:cs="Arial"/>
          <w:u w:val="single"/>
          <w:rtl/>
        </w:rPr>
        <w:t>רב יהודה בריה דרב שמואל בר שילת משמיה דרב אמר:</w:t>
      </w:r>
      <w:r w:rsidRPr="00D07B8D">
        <w:rPr>
          <w:rFonts w:cs="Arial"/>
          <w:rtl/>
        </w:rPr>
        <w:t xml:space="preserve"> בתבשיל של תרדין, ודגים גדולים, וראשי שומין. </w:t>
      </w:r>
      <w:r w:rsidRPr="00A07185">
        <w:rPr>
          <w:rFonts w:cs="Arial"/>
          <w:u w:val="single"/>
          <w:rtl/>
        </w:rPr>
        <w:t>רב חייא בר אשי אמר רב</w:t>
      </w:r>
      <w:r w:rsidRPr="00D07B8D">
        <w:rPr>
          <w:rFonts w:cs="Arial"/>
          <w:rtl/>
        </w:rPr>
        <w:t xml:space="preserve">: אפילו דבר מועט, ולכבוד שבת עשאו - הרי זה עונג. מאי היא? </w:t>
      </w:r>
      <w:r w:rsidRPr="00A07185">
        <w:rPr>
          <w:rFonts w:cs="Arial"/>
          <w:u w:val="single"/>
          <w:rtl/>
        </w:rPr>
        <w:t>אמר רב פפא</w:t>
      </w:r>
      <w:r w:rsidRPr="00D07B8D">
        <w:rPr>
          <w:rFonts w:cs="Arial"/>
          <w:rtl/>
        </w:rPr>
        <w:t>: כסא דהרסנא</w:t>
      </w:r>
      <w:r>
        <w:rPr>
          <w:rFonts w:cs="Arial" w:hint="cs"/>
          <w:rtl/>
        </w:rPr>
        <w:t>.</w:t>
      </w:r>
      <w:r w:rsidRPr="00D07B8D">
        <w:rPr>
          <w:rFonts w:cs="Arial"/>
          <w:rtl/>
        </w:rPr>
        <w:t xml:space="preserve"> </w:t>
      </w:r>
      <w:r w:rsidRPr="00D07B8D">
        <w:rPr>
          <w:rFonts w:cs="Arial"/>
          <w:u w:val="single"/>
          <w:rtl/>
        </w:rPr>
        <w:t>אמר רבי חייא בר אבא אמר רבי יוחנן</w:t>
      </w:r>
      <w:r w:rsidRPr="00D07B8D">
        <w:rPr>
          <w:rFonts w:cs="Arial"/>
          <w:rtl/>
        </w:rPr>
        <w:t>: כל המשמר שבת כהלכתו, אפילו עובד עבודה זרה כדור אנוש - מוחלין לו</w:t>
      </w:r>
      <w:r>
        <w:rPr>
          <w:rStyle w:val="a9"/>
          <w:rFonts w:cs="Arial"/>
          <w:rtl/>
        </w:rPr>
        <w:footnoteReference w:id="10"/>
      </w:r>
      <w:r w:rsidRPr="00D07B8D">
        <w:rPr>
          <w:rFonts w:cs="Arial"/>
          <w:rtl/>
        </w:rPr>
        <w:t xml:space="preserve">, שנאמר אשרי אנוש יעשה זאת וגו' מחללו, אל תקרי מחללו אלא מחול לו. </w:t>
      </w:r>
      <w:r w:rsidRPr="00D07B8D">
        <w:rPr>
          <w:rFonts w:cs="Arial"/>
          <w:u w:val="single"/>
          <w:rtl/>
        </w:rPr>
        <w:t>אמר רב יהודה אמר רב</w:t>
      </w:r>
      <w:r w:rsidRPr="00D07B8D">
        <w:rPr>
          <w:rFonts w:cs="Arial"/>
          <w:rtl/>
        </w:rPr>
        <w:t>: אלמלי שמרו ישראל שבת ראשונה לא שלטה בהן אומה ולשון, שנאמר ויהי ביום השביעי יצאו מן העם ללקט וכתיב בתריה ויבא עמלק</w:t>
      </w:r>
      <w:r>
        <w:rPr>
          <w:rStyle w:val="a9"/>
          <w:rFonts w:cs="Arial"/>
          <w:rtl/>
        </w:rPr>
        <w:footnoteReference w:id="11"/>
      </w:r>
      <w:r w:rsidRPr="00D07B8D">
        <w:rPr>
          <w:rFonts w:cs="Arial"/>
          <w:rtl/>
        </w:rPr>
        <w:t xml:space="preserve">. </w:t>
      </w:r>
      <w:r w:rsidRPr="00D07B8D">
        <w:rPr>
          <w:rFonts w:cs="Arial"/>
          <w:u w:val="single"/>
          <w:rtl/>
        </w:rPr>
        <w:t>אמר רבי יוחנן משום רבי שמעון בן יוחי</w:t>
      </w:r>
      <w:r w:rsidRPr="00D07B8D">
        <w:rPr>
          <w:rFonts w:cs="Arial"/>
          <w:rtl/>
        </w:rPr>
        <w:t xml:space="preserve">: אלמלי משמרין ישראל שתי שבתות כהלכתן - מיד נגאלים, שנאמר כה אמר ה' לסריסים אשר ישמרו את שבתותי וכתיב בתריה והביאותים אל הר קדשי וגו'. </w:t>
      </w:r>
      <w:r>
        <w:rPr>
          <w:rFonts w:cs="Arial" w:hint="cs"/>
          <w:sz w:val="16"/>
          <w:szCs w:val="16"/>
          <w:rtl/>
        </w:rPr>
        <w:t>(והעתיק הטור את דברי חז"ל הנ"ל)</w:t>
      </w:r>
    </w:p>
    <w:p w14:paraId="7FFB3F7F" w14:textId="77777777" w:rsidR="004B2E7C" w:rsidRPr="00305B05" w:rsidRDefault="004B2E7C" w:rsidP="00434A6A">
      <w:pPr>
        <w:rPr>
          <w:rtl/>
        </w:rPr>
      </w:pPr>
      <w:r>
        <w:rPr>
          <w:rFonts w:cs="Arial" w:hint="cs"/>
          <w:b/>
          <w:bCs/>
          <w:rtl/>
        </w:rPr>
        <w:t>שבת</w:t>
      </w:r>
      <w:r w:rsidRPr="00D07B8D">
        <w:rPr>
          <w:rFonts w:cs="Arial" w:hint="cs"/>
          <w:b/>
          <w:bCs/>
          <w:sz w:val="16"/>
          <w:szCs w:val="16"/>
          <w:rtl/>
        </w:rPr>
        <w:t xml:space="preserve"> (</w:t>
      </w:r>
      <w:r>
        <w:rPr>
          <w:rFonts w:cs="Arial" w:hint="cs"/>
          <w:b/>
          <w:bCs/>
          <w:sz w:val="16"/>
          <w:szCs w:val="16"/>
          <w:rtl/>
        </w:rPr>
        <w:t>פ' כל כתבי</w:t>
      </w:r>
      <w:r w:rsidRPr="00D07B8D">
        <w:rPr>
          <w:rFonts w:cs="Arial" w:hint="cs"/>
          <w:b/>
          <w:bCs/>
          <w:sz w:val="16"/>
          <w:szCs w:val="16"/>
          <w:rtl/>
        </w:rPr>
        <w:t>)</w:t>
      </w:r>
      <w:r>
        <w:rPr>
          <w:rFonts w:cs="Arial" w:hint="cs"/>
          <w:b/>
          <w:bCs/>
          <w:rtl/>
        </w:rPr>
        <w:t xml:space="preserve"> קיט ע"א:</w:t>
      </w:r>
      <w:r>
        <w:rPr>
          <w:rFonts w:cs="Arial" w:hint="cs"/>
          <w:rtl/>
        </w:rPr>
        <w:t xml:space="preserve"> </w:t>
      </w:r>
      <w:r w:rsidRPr="00B96C06">
        <w:rPr>
          <w:rFonts w:cs="Arial"/>
          <w:u w:val="single"/>
          <w:rtl/>
        </w:rPr>
        <w:t>בעא מיניה רבי מרבי ישמעאל ברבי יוסי</w:t>
      </w:r>
      <w:r w:rsidRPr="00B96C06">
        <w:rPr>
          <w:rFonts w:cs="Arial"/>
          <w:rtl/>
        </w:rPr>
        <w:t xml:space="preserve">: עשירים שבארץ ישראל במה הן זוכין? אמר לו: בשביל שמעשרין, שנאמר עשר תעשר - עשר בשביל שתתעשר. שבבבל במה הן זוכין? </w:t>
      </w:r>
      <w:r w:rsidRPr="00B96C06">
        <w:rPr>
          <w:rFonts w:cs="Arial"/>
          <w:u w:val="single"/>
          <w:rtl/>
        </w:rPr>
        <w:t>אמר לו</w:t>
      </w:r>
      <w:r w:rsidRPr="00B96C06">
        <w:rPr>
          <w:rFonts w:cs="Arial"/>
          <w:rtl/>
        </w:rPr>
        <w:t xml:space="preserve">: בשביל שמכבדין את התורה. ושבשאר ארצות במה הן זוכין? </w:t>
      </w:r>
      <w:r w:rsidRPr="00B96C06">
        <w:rPr>
          <w:rFonts w:cs="Arial"/>
          <w:u w:val="single"/>
          <w:rtl/>
        </w:rPr>
        <w:t>אמר לו</w:t>
      </w:r>
      <w:r w:rsidRPr="00B96C06">
        <w:rPr>
          <w:rFonts w:cs="Arial"/>
          <w:rtl/>
        </w:rPr>
        <w:t xml:space="preserve">: בשביל שמכבדין את השבת. </w:t>
      </w:r>
      <w:r w:rsidRPr="00B96C06">
        <w:rPr>
          <w:rFonts w:cs="Arial"/>
          <w:u w:val="single"/>
          <w:rtl/>
        </w:rPr>
        <w:t>דאמר רבי חייא בר אבא</w:t>
      </w:r>
      <w:r w:rsidRPr="00B96C06">
        <w:rPr>
          <w:rFonts w:cs="Arial"/>
          <w:rtl/>
        </w:rPr>
        <w:t>: פעם אחת נתארחתי אצל בעל הבית בלודקיא, והביאו לפניו שלחן של זהב משוי ששה עשר בני אדם, ושש עשרה שלשלאות של כסף קבועות בו, וקערות וכוסות וקיתוניות וצלוחיות קבועות בו, ועליו כל מיני מאכל וכל מיני מגדים ובשמים, וכשמניחים אותו אומרים. לה' הארץ ומלואה וגו', וכשמסלקין אותו אומרים השמים שמים לה' והארץ נתן לבני אדם. אמרתי לו: בני, במה זכית לכך? אמר לי: קצב הייתי, ומכל בהמה שהיתה נאה אמרתי: זו תהא לשבת. אמרתי לו: אשריך שזכית, וברוך המקום שזיכך לכך.</w:t>
      </w:r>
    </w:p>
    <w:p w14:paraId="64BFD635" w14:textId="77777777" w:rsidR="004B2E7C" w:rsidRDefault="004B2E7C" w:rsidP="00434A6A">
      <w:pPr>
        <w:rPr>
          <w:rFonts w:cs="Arial"/>
          <w:rtl/>
        </w:rPr>
      </w:pPr>
      <w:r w:rsidRPr="00305B05">
        <w:rPr>
          <w:rFonts w:cs="Arial" w:hint="cs"/>
          <w:b/>
          <w:bCs/>
          <w:rtl/>
        </w:rPr>
        <w:t xml:space="preserve">פסחים </w:t>
      </w:r>
      <w:r>
        <w:rPr>
          <w:rFonts w:cs="Arial" w:hint="cs"/>
          <w:b/>
          <w:bCs/>
          <w:sz w:val="16"/>
          <w:szCs w:val="16"/>
          <w:rtl/>
        </w:rPr>
        <w:t xml:space="preserve">(פ' אלו דברים) </w:t>
      </w:r>
      <w:r w:rsidRPr="00305B05">
        <w:rPr>
          <w:rFonts w:cs="Arial" w:hint="cs"/>
          <w:b/>
          <w:bCs/>
          <w:rtl/>
        </w:rPr>
        <w:t>סח ע"ב:</w:t>
      </w:r>
      <w:r>
        <w:rPr>
          <w:rFonts w:cs="Arial" w:hint="cs"/>
          <w:rtl/>
        </w:rPr>
        <w:t xml:space="preserve"> </w:t>
      </w:r>
      <w:r w:rsidRPr="00305B05">
        <w:rPr>
          <w:rFonts w:cs="Arial"/>
          <w:rtl/>
        </w:rPr>
        <w:t xml:space="preserve">דתניא, </w:t>
      </w:r>
      <w:r w:rsidRPr="00305B05">
        <w:rPr>
          <w:rFonts w:cs="Arial"/>
          <w:u w:val="single"/>
          <w:rtl/>
        </w:rPr>
        <w:t>רבי אליעזר אומר</w:t>
      </w:r>
      <w:r w:rsidRPr="00305B05">
        <w:rPr>
          <w:rFonts w:cs="Arial"/>
          <w:rtl/>
        </w:rPr>
        <w:t xml:space="preserve">: אין לו לאדם ביום טוב אלא או אוכל ושותה או יושב ושונה. </w:t>
      </w:r>
      <w:r w:rsidRPr="00305B05">
        <w:rPr>
          <w:rFonts w:cs="Arial"/>
          <w:u w:val="single"/>
          <w:rtl/>
        </w:rPr>
        <w:t>רבי יהושע אומר</w:t>
      </w:r>
      <w:r w:rsidRPr="00305B05">
        <w:rPr>
          <w:rFonts w:cs="Arial"/>
          <w:rtl/>
        </w:rPr>
        <w:t xml:space="preserve">: חלקהו, חציו לאכילה ושתיה וחציו לבית המדרש. </w:t>
      </w:r>
      <w:r w:rsidRPr="00305B05">
        <w:rPr>
          <w:rFonts w:cs="Arial"/>
          <w:u w:val="single"/>
          <w:rtl/>
        </w:rPr>
        <w:t>ואמר רבי יוחנן</w:t>
      </w:r>
      <w:r w:rsidRPr="00305B05">
        <w:rPr>
          <w:rFonts w:cs="Arial"/>
          <w:rtl/>
        </w:rPr>
        <w:t>: ושניהם מקרא אחד דרשו, כתוב אחד אומר עצרת לה' אלהיך, וכתוב אחד אומר עצרת תהיה לכם. רבי אליעזר סבר: או כולו לה' או כולו לכם. ורבי יהושע סבר: חלקהו, חציו לה' וחציו לכם.</w:t>
      </w:r>
      <w:r>
        <w:rPr>
          <w:rFonts w:cs="Arial" w:hint="cs"/>
          <w:rtl/>
        </w:rPr>
        <w:t>..</w:t>
      </w:r>
      <w:r w:rsidRPr="00305B05">
        <w:rPr>
          <w:rFonts w:cs="Arial"/>
          <w:rtl/>
        </w:rPr>
        <w:t xml:space="preserve"> </w:t>
      </w:r>
      <w:r w:rsidRPr="00305B05">
        <w:rPr>
          <w:rFonts w:cs="Arial"/>
          <w:u w:val="single"/>
          <w:rtl/>
        </w:rPr>
        <w:t>אמר רבה</w:t>
      </w:r>
      <w:r w:rsidRPr="00305B05">
        <w:rPr>
          <w:rFonts w:cs="Arial"/>
          <w:rtl/>
        </w:rPr>
        <w:t>: הכל מודים בשבת דבעינן נמי לכם. מאי טעמא - וקראת לשבת ענג.</w:t>
      </w:r>
      <w:r w:rsidRPr="00305B05">
        <w:rPr>
          <w:rFonts w:cs="Arial" w:hint="cs"/>
          <w:sz w:val="16"/>
          <w:szCs w:val="16"/>
          <w:rtl/>
        </w:rPr>
        <w:t xml:space="preserve"> </w:t>
      </w:r>
      <w:r>
        <w:rPr>
          <w:rFonts w:cs="Arial" w:hint="cs"/>
          <w:sz w:val="16"/>
          <w:szCs w:val="16"/>
          <w:rtl/>
        </w:rPr>
        <w:t>(והעתיק הטור את דברי חז"ל הנ"ל)</w:t>
      </w:r>
    </w:p>
    <w:p w14:paraId="2E899ED3" w14:textId="77777777" w:rsidR="004B2E7C" w:rsidRDefault="004B2E7C" w:rsidP="00434A6A">
      <w:pPr>
        <w:rPr>
          <w:rFonts w:cs="Arial"/>
          <w:rtl/>
        </w:rPr>
      </w:pPr>
      <w:r>
        <w:rPr>
          <w:rFonts w:cs="Arial" w:hint="cs"/>
          <w:b/>
          <w:bCs/>
          <w:rtl/>
        </w:rPr>
        <w:t>שבת</w:t>
      </w:r>
      <w:r w:rsidRPr="00D07B8D">
        <w:rPr>
          <w:rFonts w:cs="Arial" w:hint="cs"/>
          <w:b/>
          <w:bCs/>
          <w:sz w:val="16"/>
          <w:szCs w:val="16"/>
          <w:rtl/>
        </w:rPr>
        <w:t xml:space="preserve"> (</w:t>
      </w:r>
      <w:r>
        <w:rPr>
          <w:rFonts w:cs="Arial" w:hint="cs"/>
          <w:b/>
          <w:bCs/>
          <w:sz w:val="16"/>
          <w:szCs w:val="16"/>
          <w:rtl/>
        </w:rPr>
        <w:t>פ' כל כתבי</w:t>
      </w:r>
      <w:r w:rsidRPr="00D07B8D">
        <w:rPr>
          <w:rFonts w:cs="Arial" w:hint="cs"/>
          <w:b/>
          <w:bCs/>
          <w:sz w:val="16"/>
          <w:szCs w:val="16"/>
          <w:rtl/>
        </w:rPr>
        <w:t>)</w:t>
      </w:r>
      <w:r>
        <w:rPr>
          <w:rFonts w:cs="Arial" w:hint="cs"/>
          <w:b/>
          <w:bCs/>
          <w:rtl/>
        </w:rPr>
        <w:t xml:space="preserve"> קיח ע"א:</w:t>
      </w:r>
      <w:r>
        <w:rPr>
          <w:rFonts w:cs="Arial" w:hint="cs"/>
          <w:rtl/>
        </w:rPr>
        <w:t xml:space="preserve"> </w:t>
      </w:r>
      <w:r w:rsidRPr="00E21B7B">
        <w:rPr>
          <w:rFonts w:cs="Arial"/>
          <w:rtl/>
        </w:rPr>
        <w:t>רבי עקיבא היא, דאמר: עשה שבתך חול, ואל תצטרך לבריות.</w:t>
      </w:r>
      <w:r>
        <w:rPr>
          <w:rFonts w:cs="Arial" w:hint="cs"/>
          <w:rtl/>
        </w:rPr>
        <w:t xml:space="preserve"> </w:t>
      </w:r>
      <w:r w:rsidRPr="00E21B7B">
        <w:rPr>
          <w:rFonts w:cs="Arial" w:hint="cs"/>
          <w:sz w:val="16"/>
          <w:szCs w:val="16"/>
          <w:rtl/>
        </w:rPr>
        <w:t>(</w:t>
      </w:r>
      <w:r w:rsidRPr="00E21B7B">
        <w:rPr>
          <w:rFonts w:cs="Arial"/>
          <w:sz w:val="16"/>
          <w:szCs w:val="16"/>
          <w:rtl/>
        </w:rPr>
        <w:t>היינו בדלא אפשר ליה</w:t>
      </w:r>
      <w:r>
        <w:rPr>
          <w:rFonts w:cs="Arial" w:hint="cs"/>
          <w:sz w:val="16"/>
          <w:szCs w:val="16"/>
          <w:rtl/>
        </w:rPr>
        <w:t>,</w:t>
      </w:r>
      <w:r w:rsidRPr="00E21B7B">
        <w:rPr>
          <w:rFonts w:cs="Arial"/>
          <w:sz w:val="16"/>
          <w:szCs w:val="16"/>
          <w:rtl/>
        </w:rPr>
        <w:t xml:space="preserve"> אבל אפשר ליה</w:t>
      </w:r>
      <w:r>
        <w:rPr>
          <w:rFonts w:cs="Arial" w:hint="cs"/>
          <w:sz w:val="16"/>
          <w:szCs w:val="16"/>
          <w:rtl/>
        </w:rPr>
        <w:t xml:space="preserve"> -</w:t>
      </w:r>
      <w:r w:rsidRPr="00E21B7B">
        <w:rPr>
          <w:rFonts w:cs="Arial"/>
          <w:sz w:val="16"/>
          <w:szCs w:val="16"/>
          <w:rtl/>
        </w:rPr>
        <w:t xml:space="preserve"> צריך לכבדו כפי יכולתו</w:t>
      </w:r>
      <w:r>
        <w:rPr>
          <w:rFonts w:cs="Arial" w:hint="cs"/>
          <w:sz w:val="16"/>
          <w:szCs w:val="16"/>
          <w:rtl/>
        </w:rPr>
        <w:t>,</w:t>
      </w:r>
      <w:r w:rsidRPr="00E21B7B">
        <w:rPr>
          <w:rFonts w:cs="Arial"/>
          <w:sz w:val="16"/>
          <w:szCs w:val="16"/>
          <w:rtl/>
        </w:rPr>
        <w:t xml:space="preserve"> דגרסינן בפרק כל כתבי (קיט</w:t>
      </w:r>
      <w:r w:rsidRPr="00E21B7B">
        <w:rPr>
          <w:rFonts w:cs="Arial" w:hint="cs"/>
          <w:sz w:val="16"/>
          <w:szCs w:val="16"/>
          <w:rtl/>
        </w:rPr>
        <w:t>.</w:t>
      </w:r>
      <w:r w:rsidRPr="00E21B7B">
        <w:rPr>
          <w:rFonts w:cs="Arial"/>
          <w:sz w:val="16"/>
          <w:szCs w:val="16"/>
          <w:rtl/>
        </w:rPr>
        <w:t>) עשירים שבכל הארצות במה הם זוכים במה שמכבדין את השבת</w:t>
      </w:r>
      <w:r>
        <w:rPr>
          <w:rFonts w:cs="Arial" w:hint="cs"/>
          <w:sz w:val="16"/>
          <w:szCs w:val="16"/>
          <w:rtl/>
        </w:rPr>
        <w:t>, טור.</w:t>
      </w:r>
      <w:r w:rsidRPr="00D15317">
        <w:rPr>
          <w:rFonts w:cs="Arial"/>
          <w:rtl/>
        </w:rPr>
        <w:t xml:space="preserve"> </w:t>
      </w:r>
      <w:r>
        <w:rPr>
          <w:rFonts w:cs="Arial" w:hint="cs"/>
          <w:sz w:val="16"/>
          <w:szCs w:val="16"/>
          <w:rtl/>
        </w:rPr>
        <w:t>וכתב הב"י ד</w:t>
      </w:r>
      <w:r w:rsidRPr="00D15317">
        <w:rPr>
          <w:rFonts w:cs="Arial"/>
          <w:sz w:val="16"/>
          <w:szCs w:val="16"/>
          <w:rtl/>
        </w:rPr>
        <w:t>כ</w:t>
      </w:r>
      <w:r>
        <w:rPr>
          <w:rFonts w:cs="Arial" w:hint="cs"/>
          <w:sz w:val="16"/>
          <w:szCs w:val="16"/>
          <w:rtl/>
        </w:rPr>
        <w:t>"כ</w:t>
      </w:r>
      <w:r w:rsidRPr="00D15317">
        <w:rPr>
          <w:rFonts w:cs="Arial"/>
          <w:sz w:val="16"/>
          <w:szCs w:val="16"/>
          <w:rtl/>
        </w:rPr>
        <w:t xml:space="preserve"> התוספות ברפ"ב דביצה (טו: ד"ה לוו) אהא דאמרינן לוו עלי ואני פורע דהא דאמרינן עשה שבתך חול ואל תצטרך לבריות הני מילי כשאין לו לפרוע</w:t>
      </w:r>
      <w:r>
        <w:rPr>
          <w:rFonts w:cs="Arial" w:hint="cs"/>
          <w:sz w:val="16"/>
          <w:szCs w:val="16"/>
          <w:rtl/>
        </w:rPr>
        <w:t>.</w:t>
      </w:r>
      <w:r w:rsidRPr="00D15317">
        <w:rPr>
          <w:rFonts w:cs="Arial"/>
          <w:sz w:val="16"/>
          <w:szCs w:val="16"/>
          <w:rtl/>
        </w:rPr>
        <w:t xml:space="preserve"> וכך הם דברי הרמב"ם שכתב בפ"ל (מהל</w:t>
      </w:r>
      <w:r>
        <w:rPr>
          <w:rFonts w:cs="Arial" w:hint="cs"/>
          <w:sz w:val="16"/>
          <w:szCs w:val="16"/>
          <w:rtl/>
        </w:rPr>
        <w:t xml:space="preserve">' </w:t>
      </w:r>
      <w:r w:rsidRPr="00D15317">
        <w:rPr>
          <w:rFonts w:cs="Arial"/>
          <w:sz w:val="16"/>
          <w:szCs w:val="16"/>
          <w:rtl/>
        </w:rPr>
        <w:t>שבת ה"ז) אינו חייב להצר עצמו ולשאול מאחרים כדי להרבות במאכל בשבת אמרו חכמים הראשונים עשה שבתך חול ואל תצטרך לבריות</w:t>
      </w:r>
      <w:r>
        <w:rPr>
          <w:rFonts w:cs="Arial" w:hint="cs"/>
          <w:sz w:val="16"/>
          <w:szCs w:val="16"/>
          <w:rtl/>
        </w:rPr>
        <w:t>)</w:t>
      </w:r>
    </w:p>
    <w:p w14:paraId="709EC9E2" w14:textId="77777777" w:rsidR="004B2E7C" w:rsidRDefault="004B2E7C" w:rsidP="00434A6A">
      <w:pPr>
        <w:rPr>
          <w:rFonts w:cs="Arial"/>
          <w:rtl/>
        </w:rPr>
      </w:pPr>
      <w:r w:rsidRPr="00892C7A">
        <w:rPr>
          <w:rFonts w:cs="Arial" w:hint="cs"/>
          <w:b/>
          <w:bCs/>
          <w:rtl/>
        </w:rPr>
        <w:t xml:space="preserve">פסחים </w:t>
      </w:r>
      <w:r>
        <w:rPr>
          <w:rFonts w:cs="Arial" w:hint="cs"/>
          <w:b/>
          <w:bCs/>
          <w:sz w:val="16"/>
          <w:szCs w:val="16"/>
          <w:rtl/>
        </w:rPr>
        <w:t xml:space="preserve">(פ' ערבי פסחים) </w:t>
      </w:r>
      <w:r w:rsidRPr="00892C7A">
        <w:rPr>
          <w:rFonts w:cs="Arial" w:hint="cs"/>
          <w:b/>
          <w:bCs/>
          <w:rtl/>
        </w:rPr>
        <w:t xml:space="preserve">צט ע"ב: </w:t>
      </w:r>
      <w:r w:rsidRPr="00892C7A">
        <w:rPr>
          <w:rFonts w:cs="Arial"/>
          <w:u w:val="double"/>
          <w:rtl/>
        </w:rPr>
        <w:t>משנה</w:t>
      </w:r>
      <w:r>
        <w:rPr>
          <w:rFonts w:cs="Arial" w:hint="cs"/>
          <w:rtl/>
        </w:rPr>
        <w:t>:</w:t>
      </w:r>
      <w:r w:rsidRPr="00892C7A">
        <w:rPr>
          <w:rFonts w:cs="Arial"/>
          <w:rtl/>
        </w:rPr>
        <w:t xml:space="preserve"> ערב פסחים סמוך למנחה לא יאכל אדם עד שתחשך. אפילו עני שבישראל לא יאכל עד שיסב. ולא יפחתו לו מארבע כוסות של יין, ואפילו מן התמחוי.</w:t>
      </w:r>
      <w:r>
        <w:rPr>
          <w:rFonts w:cs="Arial" w:hint="cs"/>
          <w:rtl/>
        </w:rPr>
        <w:t xml:space="preserve">       </w:t>
      </w:r>
      <w:r w:rsidRPr="00892C7A">
        <w:rPr>
          <w:rFonts w:cs="Arial" w:hint="cs"/>
          <w:u w:val="double"/>
          <w:rtl/>
        </w:rPr>
        <w:t>גמרא</w:t>
      </w:r>
      <w:r>
        <w:rPr>
          <w:rFonts w:cs="Arial" w:hint="cs"/>
          <w:rtl/>
        </w:rPr>
        <w:t xml:space="preserve">: </w:t>
      </w:r>
      <w:r w:rsidRPr="00892C7A">
        <w:rPr>
          <w:rFonts w:cs="Arial"/>
          <w:rtl/>
        </w:rPr>
        <w:t>ואפילו מן התמחוי וכו'. פשיטא! לא נצרכא אלא אפילו לרבי עקיבא, דאמר: עשה שבתך חול ואל תצטרך לבריות - הכא משום פרסומי ניסא מודה</w:t>
      </w:r>
      <w:r>
        <w:rPr>
          <w:rFonts w:cs="Arial" w:hint="cs"/>
          <w:rtl/>
        </w:rPr>
        <w:t>.</w:t>
      </w:r>
      <w:r w:rsidRPr="00892C7A">
        <w:rPr>
          <w:rFonts w:cs="Arial"/>
          <w:rtl/>
        </w:rPr>
        <w:t xml:space="preserve"> תנא דבי אליהו: אף על פי שאמר רבי עקיבא עשה שבתך חול ואל תצטרך לבריות, אבל עושה הוא דבר מועט בתוך ביתו. מאי נינהו? </w:t>
      </w:r>
      <w:r w:rsidRPr="008F0E1B">
        <w:rPr>
          <w:rFonts w:cs="Arial"/>
          <w:u w:val="single"/>
          <w:rtl/>
        </w:rPr>
        <w:t>אמר רב פפא</w:t>
      </w:r>
      <w:r w:rsidRPr="00892C7A">
        <w:rPr>
          <w:rFonts w:cs="Arial"/>
          <w:rtl/>
        </w:rPr>
        <w:t xml:space="preserve">: כסא דהרסנא. כדתנן, </w:t>
      </w:r>
      <w:r w:rsidRPr="008F0E1B">
        <w:rPr>
          <w:rFonts w:cs="Arial"/>
          <w:u w:val="single"/>
          <w:rtl/>
        </w:rPr>
        <w:t>רבי יהודה בן תימא אומר</w:t>
      </w:r>
      <w:r w:rsidRPr="00892C7A">
        <w:rPr>
          <w:rFonts w:cs="Arial"/>
          <w:rtl/>
        </w:rPr>
        <w:t>: הוי עז</w:t>
      </w:r>
      <w:r>
        <w:rPr>
          <w:rStyle w:val="a9"/>
          <w:rFonts w:cs="Arial"/>
          <w:rtl/>
        </w:rPr>
        <w:footnoteReference w:id="12"/>
      </w:r>
      <w:r w:rsidRPr="00892C7A">
        <w:rPr>
          <w:rFonts w:cs="Arial"/>
          <w:rtl/>
        </w:rPr>
        <w:t xml:space="preserve"> כנמר וקל כנשר רץ כצבי וגבור כארי לעשות רצון אביך שבשמים.  </w:t>
      </w:r>
    </w:p>
    <w:p w14:paraId="16B3DD03" w14:textId="77777777" w:rsidR="004B2E7C" w:rsidRPr="003E5920" w:rsidRDefault="004B2E7C" w:rsidP="00434A6A">
      <w:pPr>
        <w:rPr>
          <w:rFonts w:cs="Arial"/>
          <w:u w:val="single"/>
          <w:rtl/>
        </w:rPr>
      </w:pPr>
      <w:r w:rsidRPr="003E5920">
        <w:rPr>
          <w:rFonts w:cs="Arial" w:hint="cs"/>
          <w:u w:val="single"/>
          <w:rtl/>
        </w:rPr>
        <w:lastRenderedPageBreak/>
        <w:t xml:space="preserve">האם עני </w:t>
      </w:r>
      <w:r>
        <w:rPr>
          <w:rFonts w:cs="Arial" w:hint="cs"/>
          <w:sz w:val="16"/>
          <w:szCs w:val="16"/>
          <w:u w:val="single"/>
          <w:rtl/>
        </w:rPr>
        <w:t>(שנצרך לבריות)</w:t>
      </w:r>
      <w:r>
        <w:rPr>
          <w:rFonts w:cs="Arial" w:hint="cs"/>
          <w:u w:val="single"/>
          <w:rtl/>
        </w:rPr>
        <w:t xml:space="preserve"> </w:t>
      </w:r>
      <w:r w:rsidRPr="003E5920">
        <w:rPr>
          <w:rFonts w:cs="Arial" w:hint="cs"/>
          <w:u w:val="single"/>
          <w:rtl/>
        </w:rPr>
        <w:t>חייב לענג את השבת:</w:t>
      </w:r>
    </w:p>
    <w:p w14:paraId="0D3283F3" w14:textId="77777777" w:rsidR="004B2E7C" w:rsidRDefault="004B2E7C" w:rsidP="00FF2D21">
      <w:pPr>
        <w:pStyle w:val="aa"/>
        <w:numPr>
          <w:ilvl w:val="0"/>
          <w:numId w:val="100"/>
        </w:numPr>
        <w:rPr>
          <w:rFonts w:cs="Arial"/>
        </w:rPr>
      </w:pPr>
      <w:r>
        <w:rPr>
          <w:rFonts w:cs="Arial" w:hint="cs"/>
          <w:rtl/>
        </w:rPr>
        <w:t xml:space="preserve">טור- </w:t>
      </w:r>
      <w:r w:rsidRPr="00A95FA2">
        <w:rPr>
          <w:rFonts w:cs="Arial"/>
          <w:rtl/>
        </w:rPr>
        <w:t>הא דא"ר חייא בר אשי א"ר אפי' דבר מועט ועשאו לכבוד שבת הוי עונג ואמר רב פפא אפי' כסא דהרסנא היינו למי שהשעה דחוקה לו</w:t>
      </w:r>
      <w:r>
        <w:rPr>
          <w:rFonts w:cs="Arial" w:hint="cs"/>
          <w:rtl/>
        </w:rPr>
        <w:t>,</w:t>
      </w:r>
      <w:r w:rsidRPr="00A95FA2">
        <w:rPr>
          <w:rFonts w:cs="Arial"/>
          <w:rtl/>
        </w:rPr>
        <w:t xml:space="preserve"> וכמה פעמים נשאתי ונתתי בדבר לפני א"א ז"ל כמוני היום שיש לי מעט משלי ואינו מספיק לי וצריך אני לאחרים אם אני בכלל עשה שבתך חול אם לאו</w:t>
      </w:r>
      <w:r>
        <w:rPr>
          <w:rFonts w:cs="Arial" w:hint="cs"/>
          <w:rtl/>
        </w:rPr>
        <w:t>,</w:t>
      </w:r>
      <w:r w:rsidRPr="00A95FA2">
        <w:rPr>
          <w:rFonts w:cs="Arial"/>
          <w:rtl/>
        </w:rPr>
        <w:t xml:space="preserve"> ולא השיבני דבר ברור</w:t>
      </w:r>
      <w:r>
        <w:rPr>
          <w:rFonts w:cs="Arial" w:hint="cs"/>
          <w:rtl/>
        </w:rPr>
        <w:t>.</w:t>
      </w:r>
      <w:r w:rsidRPr="00A95FA2">
        <w:rPr>
          <w:rFonts w:cs="Arial"/>
          <w:rtl/>
        </w:rPr>
        <w:t xml:space="preserve"> אח"כ מצאתי בפרקי אבות לרש"י שפי' על ההיא משנה דר"י בן תימא אומר הוי עז כנמר שכתב וז"ל</w:t>
      </w:r>
      <w:r>
        <w:rPr>
          <w:rFonts w:cs="Arial" w:hint="cs"/>
          <w:rtl/>
        </w:rPr>
        <w:t>-</w:t>
      </w:r>
      <w:r w:rsidRPr="00A95FA2">
        <w:rPr>
          <w:rFonts w:cs="Arial"/>
          <w:rtl/>
        </w:rPr>
        <w:t xml:space="preserve"> תכף לאותה משנה ר"ע אומר עשה שבתך חול שנויה ההיא דבן תימא לאורויי דר"ע לא אמר אלא למי שהשעה דחוקה לו ביותר</w:t>
      </w:r>
      <w:r>
        <w:rPr>
          <w:rFonts w:cs="Arial" w:hint="cs"/>
          <w:rtl/>
        </w:rPr>
        <w:t>,</w:t>
      </w:r>
      <w:r w:rsidRPr="00A95FA2">
        <w:rPr>
          <w:rFonts w:cs="Arial"/>
          <w:rtl/>
        </w:rPr>
        <w:t xml:space="preserve"> אבל צריך אדם לזרז עצמו כנמר וכנשר לכבד שבתות ביותר ע"כ. ע</w:t>
      </w:r>
      <w:r>
        <w:rPr>
          <w:rFonts w:cs="Arial" w:hint="cs"/>
          <w:rtl/>
        </w:rPr>
        <w:t xml:space="preserve">ל </w:t>
      </w:r>
      <w:r w:rsidRPr="00A95FA2">
        <w:rPr>
          <w:rFonts w:cs="Arial"/>
          <w:rtl/>
        </w:rPr>
        <w:t>כ</w:t>
      </w:r>
      <w:r>
        <w:rPr>
          <w:rFonts w:cs="Arial" w:hint="cs"/>
          <w:rtl/>
        </w:rPr>
        <w:t>ן</w:t>
      </w:r>
      <w:r w:rsidRPr="00A95FA2">
        <w:rPr>
          <w:rFonts w:cs="Arial"/>
          <w:rtl/>
        </w:rPr>
        <w:t xml:space="preserve"> צריך כל אדם לצמצם בשאר ימים כדי לכבד השבת</w:t>
      </w:r>
      <w:r>
        <w:rPr>
          <w:rFonts w:cs="Arial" w:hint="cs"/>
          <w:rtl/>
        </w:rPr>
        <w:t>,</w:t>
      </w:r>
      <w:r w:rsidRPr="00A95FA2">
        <w:rPr>
          <w:rFonts w:cs="Arial"/>
          <w:rtl/>
        </w:rPr>
        <w:t xml:space="preserve"> ואל יאמר היאך אחסר פרנסתי</w:t>
      </w:r>
      <w:r>
        <w:rPr>
          <w:rFonts w:cs="Arial" w:hint="cs"/>
          <w:rtl/>
        </w:rPr>
        <w:t>,</w:t>
      </w:r>
      <w:r w:rsidRPr="00A95FA2">
        <w:rPr>
          <w:rFonts w:cs="Arial"/>
          <w:rtl/>
        </w:rPr>
        <w:t xml:space="preserve"> כי אדרבה אם יוסיף יוסיפו לו</w:t>
      </w:r>
      <w:r>
        <w:rPr>
          <w:rFonts w:cs="Arial" w:hint="cs"/>
          <w:rtl/>
        </w:rPr>
        <w:t>,</w:t>
      </w:r>
      <w:r w:rsidRPr="00A95FA2">
        <w:rPr>
          <w:rFonts w:cs="Arial"/>
          <w:rtl/>
        </w:rPr>
        <w:t xml:space="preserve"> כדקתני תחליפא אחוה דרבנאי חוזאה כל פרנסתו של אדם קצובה לו מר"ה לר"ה חוץ מהוצאת שבת וי"ט</w:t>
      </w:r>
      <w:r>
        <w:rPr>
          <w:rStyle w:val="a9"/>
          <w:rFonts w:cs="Arial"/>
          <w:rtl/>
        </w:rPr>
        <w:footnoteReference w:id="13"/>
      </w:r>
      <w:r w:rsidRPr="00A95FA2">
        <w:rPr>
          <w:rFonts w:cs="Arial"/>
          <w:rtl/>
        </w:rPr>
        <w:t xml:space="preserve"> והוצאת בניו לת"ת</w:t>
      </w:r>
      <w:r>
        <w:rPr>
          <w:rFonts w:cs="Arial" w:hint="cs"/>
          <w:rtl/>
        </w:rPr>
        <w:t>,</w:t>
      </w:r>
      <w:r w:rsidRPr="00A95FA2">
        <w:rPr>
          <w:rFonts w:cs="Arial"/>
          <w:rtl/>
        </w:rPr>
        <w:t xml:space="preserve"> אם מוסיף יוסיפו לו</w:t>
      </w:r>
      <w:r>
        <w:rPr>
          <w:rFonts w:cs="Arial" w:hint="cs"/>
          <w:rtl/>
        </w:rPr>
        <w:t>.</w:t>
      </w:r>
      <w:r w:rsidRPr="00A95FA2">
        <w:rPr>
          <w:rFonts w:cs="Arial"/>
          <w:rtl/>
        </w:rPr>
        <w:t xml:space="preserve"> ואמרי</w:t>
      </w:r>
      <w:r>
        <w:rPr>
          <w:rFonts w:cs="Arial" w:hint="cs"/>
          <w:rtl/>
        </w:rPr>
        <w:t>נן</w:t>
      </w:r>
      <w:r w:rsidRPr="00A95FA2">
        <w:rPr>
          <w:rFonts w:cs="Arial"/>
          <w:rtl/>
        </w:rPr>
        <w:t xml:space="preserve"> נמי גבי הוצאת שבת ויו"ט אומר הקדוש ברוך הוא בני לוו עלי ואני פורע</w:t>
      </w:r>
      <w:r>
        <w:rPr>
          <w:rFonts w:cs="Arial" w:hint="cs"/>
          <w:rtl/>
        </w:rPr>
        <w:t>.</w:t>
      </w:r>
      <w:r w:rsidRPr="00A95FA2">
        <w:rPr>
          <w:rFonts w:cs="Arial"/>
          <w:rtl/>
        </w:rPr>
        <w:t xml:space="preserve"> וכיון שכן הוא אל ידאג כי נאמן הוא בעל חובו לפרוע לו חובו. </w:t>
      </w:r>
      <w:r>
        <w:rPr>
          <w:rFonts w:cs="Arial" w:hint="cs"/>
          <w:color w:val="E36C0A" w:themeColor="accent6" w:themeShade="BF"/>
          <w:rtl/>
        </w:rPr>
        <w:t>(</w:t>
      </w:r>
      <w:r w:rsidRPr="0095772C">
        <w:rPr>
          <w:rFonts w:cs="Arial" w:hint="cs"/>
          <w:color w:val="E36C0A" w:themeColor="accent6" w:themeShade="BF"/>
          <w:rtl/>
        </w:rPr>
        <w:t>וכ"פ בשו"ע</w:t>
      </w:r>
      <w:r>
        <w:rPr>
          <w:rFonts w:cs="Arial" w:hint="cs"/>
          <w:color w:val="E36C0A" w:themeColor="accent6" w:themeShade="BF"/>
          <w:rtl/>
        </w:rPr>
        <w:t>)</w:t>
      </w:r>
    </w:p>
    <w:p w14:paraId="65FCBC2B" w14:textId="77777777" w:rsidR="004B2E7C" w:rsidRPr="004D4099" w:rsidRDefault="004B2E7C" w:rsidP="00434A6A">
      <w:pPr>
        <w:rPr>
          <w:rFonts w:cs="Arial"/>
          <w:sz w:val="16"/>
          <w:szCs w:val="16"/>
          <w:rtl/>
        </w:rPr>
      </w:pPr>
      <w:r w:rsidRPr="004D4099">
        <w:rPr>
          <w:rFonts w:cs="Arial" w:hint="cs"/>
          <w:b/>
          <w:bCs/>
          <w:rtl/>
        </w:rPr>
        <w:t xml:space="preserve">ביצה </w:t>
      </w:r>
      <w:r w:rsidRPr="004D4099">
        <w:rPr>
          <w:rFonts w:cs="Arial" w:hint="cs"/>
          <w:b/>
          <w:bCs/>
          <w:sz w:val="16"/>
          <w:szCs w:val="16"/>
          <w:rtl/>
        </w:rPr>
        <w:t>(פ"ב)</w:t>
      </w:r>
      <w:r w:rsidRPr="004D4099">
        <w:rPr>
          <w:rFonts w:cs="Arial" w:hint="cs"/>
          <w:b/>
          <w:bCs/>
          <w:rtl/>
        </w:rPr>
        <w:t xml:space="preserve"> טז ע"א:</w:t>
      </w:r>
      <w:r>
        <w:rPr>
          <w:rFonts w:cs="Arial" w:hint="cs"/>
          <w:rtl/>
        </w:rPr>
        <w:t xml:space="preserve"> </w:t>
      </w:r>
      <w:r w:rsidRPr="004D4099">
        <w:rPr>
          <w:rFonts w:cs="Arial"/>
          <w:rtl/>
        </w:rPr>
        <w:t>תניא, אמרו עליו על שמאי הזקן, כל ימיו היה אוכל לכבוד שבת. מצא בהמה נאה אומר: זו לשבת. מצא אחרת נאה הימנה - מניח את השניה ואוכל את הראשונה. אבל הלל הזקן מדה אחרת היתה לו, שכל מעשיו לשם שמים. שנאמר ברוך ה' יום יום. תניא נמי הכי: בית שמאי אומרים: מחד שביך לשבתיך, ובית הלל אומרים: ברוך ה' יום יום.</w:t>
      </w:r>
      <w:r>
        <w:rPr>
          <w:rFonts w:cs="Arial" w:hint="cs"/>
          <w:sz w:val="16"/>
          <w:szCs w:val="16"/>
          <w:rtl/>
        </w:rPr>
        <w:t xml:space="preserve"> (והעתיק הטור את דברי הגמרא)</w:t>
      </w:r>
    </w:p>
    <w:p w14:paraId="2BCBB4FC" w14:textId="77777777" w:rsidR="004B2E7C" w:rsidRPr="00D15317" w:rsidRDefault="004B2E7C" w:rsidP="00434A6A">
      <w:pPr>
        <w:rPr>
          <w:rFonts w:cs="Arial"/>
        </w:rPr>
      </w:pPr>
      <w:r w:rsidRPr="004D4099">
        <w:rPr>
          <w:rFonts w:cs="Arial" w:hint="cs"/>
          <w:b/>
          <w:bCs/>
          <w:rtl/>
        </w:rPr>
        <w:t>בבא קמא פב ע"א:</w:t>
      </w:r>
      <w:r>
        <w:rPr>
          <w:rFonts w:cs="Arial" w:hint="cs"/>
          <w:rtl/>
        </w:rPr>
        <w:t xml:space="preserve"> </w:t>
      </w:r>
      <w:r w:rsidRPr="004D4099">
        <w:rPr>
          <w:rFonts w:cs="Arial"/>
          <w:rtl/>
        </w:rPr>
        <w:t>עשרה תקנות תיקן עזרא:</w:t>
      </w:r>
      <w:r>
        <w:rPr>
          <w:rFonts w:cs="Arial" w:hint="cs"/>
          <w:rtl/>
        </w:rPr>
        <w:t>...</w:t>
      </w:r>
      <w:r w:rsidRPr="004D4099">
        <w:rPr>
          <w:rFonts w:cs="Arial"/>
          <w:rtl/>
        </w:rPr>
        <w:t xml:space="preserve"> ומכבסים בחמישי בשבת</w:t>
      </w:r>
      <w:r>
        <w:rPr>
          <w:rFonts w:cs="Arial" w:hint="cs"/>
          <w:rtl/>
        </w:rPr>
        <w:t>.</w:t>
      </w:r>
      <w:r w:rsidRPr="004D4099">
        <w:rPr>
          <w:rFonts w:cs="Arial" w:hint="cs"/>
          <w:sz w:val="16"/>
          <w:szCs w:val="16"/>
          <w:rtl/>
        </w:rPr>
        <w:t xml:space="preserve"> </w:t>
      </w:r>
      <w:r>
        <w:rPr>
          <w:rFonts w:cs="Arial" w:hint="cs"/>
          <w:sz w:val="16"/>
          <w:szCs w:val="16"/>
          <w:rtl/>
        </w:rPr>
        <w:t xml:space="preserve">(והעתיק הטור את דברי הגמרא. </w:t>
      </w:r>
      <w:r w:rsidRPr="0095772C">
        <w:rPr>
          <w:rFonts w:cs="Arial" w:hint="cs"/>
          <w:color w:val="E36C0A" w:themeColor="accent6" w:themeShade="BF"/>
          <w:sz w:val="16"/>
          <w:szCs w:val="16"/>
          <w:rtl/>
        </w:rPr>
        <w:t>וכ"פ בשו"ע</w:t>
      </w:r>
      <w:r>
        <w:rPr>
          <w:rFonts w:cs="Arial" w:hint="cs"/>
          <w:sz w:val="16"/>
          <w:szCs w:val="16"/>
          <w:rtl/>
        </w:rPr>
        <w:t>)</w:t>
      </w:r>
    </w:p>
    <w:p w14:paraId="40EAE896" w14:textId="77777777" w:rsidR="004B2E7C" w:rsidRPr="00364FAE" w:rsidRDefault="004B2E7C" w:rsidP="00434A6A">
      <w:pPr>
        <w:rPr>
          <w:rFonts w:cs="Arial"/>
          <w:sz w:val="16"/>
          <w:szCs w:val="16"/>
          <w:u w:val="single"/>
          <w:rtl/>
        </w:rPr>
      </w:pPr>
      <w:r w:rsidRPr="00364FAE">
        <w:rPr>
          <w:rFonts w:cs="Arial" w:hint="cs"/>
          <w:u w:val="single"/>
          <w:rtl/>
        </w:rPr>
        <w:t>מנהג לאכול מולייתא ב</w:t>
      </w:r>
      <w:r>
        <w:rPr>
          <w:rFonts w:cs="Arial" w:hint="cs"/>
          <w:u w:val="single"/>
          <w:rtl/>
        </w:rPr>
        <w:t xml:space="preserve">ליל </w:t>
      </w:r>
      <w:r w:rsidRPr="00364FAE">
        <w:rPr>
          <w:rFonts w:cs="Arial" w:hint="cs"/>
          <w:u w:val="single"/>
          <w:rtl/>
        </w:rPr>
        <w:t>שבת:</w:t>
      </w:r>
      <w:r w:rsidRPr="00364FAE">
        <w:rPr>
          <w:rFonts w:cs="Arial" w:hint="cs"/>
          <w:sz w:val="16"/>
          <w:szCs w:val="16"/>
          <w:rtl/>
        </w:rPr>
        <w:t xml:space="preserve"> (דרכ"מ אות א)</w:t>
      </w:r>
    </w:p>
    <w:p w14:paraId="0EE98F72" w14:textId="77777777" w:rsidR="004B2E7C" w:rsidRPr="00A95FA2" w:rsidRDefault="004B2E7C" w:rsidP="00FF2D21">
      <w:pPr>
        <w:pStyle w:val="aa"/>
        <w:numPr>
          <w:ilvl w:val="0"/>
          <w:numId w:val="101"/>
        </w:numPr>
        <w:rPr>
          <w:rtl/>
        </w:rPr>
      </w:pPr>
      <w:r w:rsidRPr="00364FAE">
        <w:rPr>
          <w:rFonts w:cs="Arial"/>
          <w:rtl/>
        </w:rPr>
        <w:t xml:space="preserve">מהרי"ל </w:t>
      </w:r>
      <w:r w:rsidRPr="00364FAE">
        <w:rPr>
          <w:rFonts w:cs="Arial"/>
          <w:sz w:val="16"/>
          <w:szCs w:val="16"/>
          <w:rtl/>
        </w:rPr>
        <w:t>(מנהגים הל</w:t>
      </w:r>
      <w:r w:rsidRPr="00364FAE">
        <w:rPr>
          <w:rFonts w:cs="Arial" w:hint="cs"/>
          <w:sz w:val="16"/>
          <w:szCs w:val="16"/>
          <w:rtl/>
        </w:rPr>
        <w:t>'</w:t>
      </w:r>
      <w:r w:rsidRPr="00364FAE">
        <w:rPr>
          <w:rFonts w:cs="Arial"/>
          <w:sz w:val="16"/>
          <w:szCs w:val="16"/>
          <w:rtl/>
        </w:rPr>
        <w:t xml:space="preserve"> שבת סי</w:t>
      </w:r>
      <w:r w:rsidRPr="00364FAE">
        <w:rPr>
          <w:rFonts w:cs="Arial" w:hint="cs"/>
          <w:sz w:val="16"/>
          <w:szCs w:val="16"/>
          <w:rtl/>
        </w:rPr>
        <w:t>'</w:t>
      </w:r>
      <w:r w:rsidRPr="00364FAE">
        <w:rPr>
          <w:rFonts w:cs="Arial"/>
          <w:sz w:val="16"/>
          <w:szCs w:val="16"/>
          <w:rtl/>
        </w:rPr>
        <w:t xml:space="preserve"> ו)</w:t>
      </w:r>
      <w:r w:rsidRPr="00364FAE">
        <w:rPr>
          <w:rFonts w:cs="Arial" w:hint="cs"/>
          <w:rtl/>
        </w:rPr>
        <w:t>-</w:t>
      </w:r>
      <w:r w:rsidRPr="00364FAE">
        <w:rPr>
          <w:rFonts w:cs="Arial"/>
          <w:rtl/>
        </w:rPr>
        <w:t xml:space="preserve"> טעמא דאוכלים מולייתא בליל שבת זכר למן שהיה מונח טל למעלה וטל למטה הכי נמי הבשר מונח בין ב' דפי העיסה</w:t>
      </w:r>
      <w:r w:rsidRPr="00364FAE">
        <w:rPr>
          <w:rFonts w:cs="Arial" w:hint="cs"/>
          <w:rtl/>
        </w:rPr>
        <w:t>.</w:t>
      </w:r>
    </w:p>
    <w:p w14:paraId="3130D0CC" w14:textId="77777777" w:rsidR="004B2E7C" w:rsidRPr="005275DF" w:rsidRDefault="004B2E7C" w:rsidP="00434A6A">
      <w:pPr>
        <w:rPr>
          <w:rFonts w:asciiTheme="minorBidi" w:hAnsiTheme="minorBidi"/>
          <w:rtl/>
        </w:rPr>
      </w:pPr>
      <w:bookmarkStart w:id="2" w:name="_Hlk56025120"/>
      <w:r w:rsidRPr="005275DF">
        <w:rPr>
          <w:rFonts w:asciiTheme="minorBidi" w:hAnsiTheme="minorBidi"/>
          <w:b/>
          <w:bCs/>
          <w:sz w:val="32"/>
          <w:szCs w:val="28"/>
          <w:u w:val="single"/>
          <w:rtl/>
        </w:rPr>
        <w:t xml:space="preserve">שו"ע: </w:t>
      </w:r>
    </w:p>
    <w:bookmarkEnd w:id="2"/>
    <w:p w14:paraId="38C6E76B" w14:textId="77777777" w:rsidR="004B2E7C" w:rsidRDefault="004B2E7C" w:rsidP="00434A6A">
      <w:pPr>
        <w:rPr>
          <w:rtl/>
        </w:rPr>
      </w:pPr>
      <w:r>
        <w:rPr>
          <w:rFonts w:cs="Arial"/>
          <w:rtl/>
        </w:rPr>
        <w:t>אפילו מי שצריך לאחרים, אם יש לו מעט משלו צריך לזרז עצמו לכבד את השבת</w:t>
      </w:r>
      <w:r>
        <w:rPr>
          <w:rStyle w:val="a9"/>
          <w:rFonts w:cs="Arial"/>
          <w:rtl/>
        </w:rPr>
        <w:footnoteReference w:id="14"/>
      </w:r>
      <w:r>
        <w:rPr>
          <w:rFonts w:cs="Arial" w:hint="cs"/>
          <w:rtl/>
        </w:rPr>
        <w:t>.</w:t>
      </w:r>
      <w:r>
        <w:rPr>
          <w:rFonts w:cs="Arial"/>
          <w:rtl/>
        </w:rPr>
        <w:t xml:space="preserve"> ולא אמרו עשה שבתך חול ואל תצטרך לבריות, אלא למי שהשעה דחוקה לו ביותר</w:t>
      </w:r>
      <w:r>
        <w:rPr>
          <w:rFonts w:cs="Arial" w:hint="cs"/>
          <w:rtl/>
        </w:rPr>
        <w:t>.</w:t>
      </w:r>
      <w:r>
        <w:rPr>
          <w:rFonts w:cs="Arial"/>
          <w:rtl/>
        </w:rPr>
        <w:t xml:space="preserve"> על כן צריך לצמצם בשאר ימים כדי לכבד השבת. מתקנת עזרא שיהיו מכבסים בגדים בחמישי בשבת, מפני כבוד השבת. </w:t>
      </w:r>
      <w:r w:rsidRPr="00A95FA2">
        <w:rPr>
          <w:rFonts w:cs="Arial"/>
          <w:sz w:val="18"/>
          <w:szCs w:val="18"/>
          <w:rtl/>
        </w:rPr>
        <w:t>הגה: נוהגין ללוש כדי שיעור חלה</w:t>
      </w:r>
      <w:r>
        <w:rPr>
          <w:rStyle w:val="a9"/>
          <w:rFonts w:cs="Arial"/>
          <w:sz w:val="18"/>
          <w:szCs w:val="18"/>
          <w:rtl/>
        </w:rPr>
        <w:footnoteReference w:id="15"/>
      </w:r>
      <w:r w:rsidRPr="00A95FA2">
        <w:rPr>
          <w:rFonts w:cs="Arial"/>
          <w:sz w:val="18"/>
          <w:szCs w:val="18"/>
          <w:rtl/>
        </w:rPr>
        <w:t xml:space="preserve"> בבית, לעשות מהם לחמים לבצוע עליהם בשבת ויו"ט (סמך ממרדכי ריש מסכת ר"ה), והוא מכבוד שבת ויו"ט, ואין לשנות. יש שכתבו שבמקצת מקומות נהגו לאכול מוליתא, שקורין פשטיד"א, בליל שבת, זכר למן שהיה מכוסה למעלה ולמטה (מהרי"ל</w:t>
      </w:r>
      <w:r>
        <w:rPr>
          <w:rFonts w:cs="Arial" w:hint="cs"/>
          <w:sz w:val="18"/>
          <w:szCs w:val="18"/>
          <w:rtl/>
        </w:rPr>
        <w:t>).</w:t>
      </w:r>
      <w:r w:rsidRPr="00A95FA2">
        <w:rPr>
          <w:rFonts w:cs="Arial"/>
          <w:sz w:val="18"/>
          <w:szCs w:val="18"/>
          <w:rtl/>
        </w:rPr>
        <w:t xml:space="preserve"> ולא ראיתי לחוש לזה.</w:t>
      </w:r>
    </w:p>
    <w:p w14:paraId="41A8CE62" w14:textId="77777777" w:rsidR="004B2E7C" w:rsidRDefault="004B2E7C" w:rsidP="00434A6A">
      <w:pPr>
        <w:rPr>
          <w:rtl/>
        </w:rPr>
      </w:pPr>
    </w:p>
    <w:p w14:paraId="04026FA1" w14:textId="77777777" w:rsidR="004B2E7C" w:rsidRDefault="004B2E7C" w:rsidP="00434A6A">
      <w:pPr>
        <w:pStyle w:val="1"/>
        <w:rPr>
          <w:rtl/>
        </w:rPr>
        <w:sectPr w:rsidR="004B2E7C" w:rsidSect="00BD29B1">
          <w:headerReference w:type="default" r:id="rId13"/>
          <w:footnotePr>
            <w:numRestart w:val="eachSect"/>
          </w:footnotePr>
          <w:pgSz w:w="11906" w:h="16838"/>
          <w:pgMar w:top="720" w:right="1134" w:bottom="720" w:left="1134" w:header="0" w:footer="0" w:gutter="0"/>
          <w:cols w:space="720"/>
          <w:bidi/>
          <w:rtlGutter/>
          <w:docGrid w:linePitch="360"/>
        </w:sectPr>
      </w:pPr>
    </w:p>
    <w:p w14:paraId="6C8127C9" w14:textId="77777777" w:rsidR="004B2E7C" w:rsidRDefault="004B2E7C" w:rsidP="00434A6A">
      <w:pPr>
        <w:pStyle w:val="1"/>
        <w:rPr>
          <w:rtl/>
        </w:rPr>
      </w:pPr>
      <w:r>
        <w:rPr>
          <w:rFonts w:hint="cs"/>
          <w:rtl/>
        </w:rPr>
        <w:lastRenderedPageBreak/>
        <w:t>סימן רמג:</w:t>
      </w:r>
      <w:r w:rsidRPr="0085796F">
        <w:rPr>
          <w:rtl/>
        </w:rPr>
        <w:t xml:space="preserve"> </w:t>
      </w:r>
      <w:r>
        <w:rPr>
          <w:rtl/>
        </w:rPr>
        <w:t xml:space="preserve">דין המשכיר שדה ומרחץ לכותי, ובו ב' סעיפים. </w:t>
      </w:r>
    </w:p>
    <w:p w14:paraId="31E041FB" w14:textId="77777777" w:rsidR="004B2E7C" w:rsidRDefault="004B2E7C" w:rsidP="00434A6A">
      <w:pPr>
        <w:pStyle w:val="2"/>
        <w:rPr>
          <w:rtl/>
        </w:rPr>
      </w:pPr>
      <w:r>
        <w:rPr>
          <w:rtl/>
        </w:rPr>
        <w:t>סעיף א</w:t>
      </w:r>
      <w:r>
        <w:rPr>
          <w:rFonts w:hint="cs"/>
          <w:rtl/>
        </w:rPr>
        <w:t>: השכרת שדה/מרחץ לגוי.</w:t>
      </w:r>
    </w:p>
    <w:p w14:paraId="03500CAF" w14:textId="77777777" w:rsidR="004B2E7C" w:rsidRDefault="004B2E7C" w:rsidP="00434A6A">
      <w:pPr>
        <w:rPr>
          <w:rtl/>
        </w:rPr>
      </w:pPr>
      <w:r w:rsidRPr="007051FD">
        <w:rPr>
          <w:rFonts w:cs="Arial" w:hint="cs"/>
          <w:b/>
          <w:bCs/>
          <w:rtl/>
        </w:rPr>
        <w:t xml:space="preserve">עבודה זרה </w:t>
      </w:r>
      <w:r>
        <w:rPr>
          <w:rFonts w:cs="Arial" w:hint="cs"/>
          <w:b/>
          <w:bCs/>
          <w:sz w:val="16"/>
          <w:szCs w:val="16"/>
          <w:rtl/>
        </w:rPr>
        <w:t>(ספ"ק)</w:t>
      </w:r>
      <w:r>
        <w:rPr>
          <w:rFonts w:cs="Arial" w:hint="cs"/>
          <w:b/>
          <w:bCs/>
          <w:rtl/>
        </w:rPr>
        <w:t xml:space="preserve"> </w:t>
      </w:r>
      <w:r w:rsidRPr="007051FD">
        <w:rPr>
          <w:rFonts w:cs="Arial" w:hint="cs"/>
          <w:b/>
          <w:bCs/>
          <w:rtl/>
        </w:rPr>
        <w:t xml:space="preserve">כא ע"ב: </w:t>
      </w:r>
      <w:r w:rsidRPr="00E86646">
        <w:rPr>
          <w:rFonts w:cs="Arial"/>
          <w:rtl/>
        </w:rPr>
        <w:t xml:space="preserve">ובכל מקום לא ישכור וכו'. תניא, </w:t>
      </w:r>
      <w:r w:rsidRPr="007051FD">
        <w:rPr>
          <w:rFonts w:cs="Arial"/>
          <w:u w:val="single"/>
          <w:rtl/>
        </w:rPr>
        <w:t>רבן שמעון בן גמליאל אומר</w:t>
      </w:r>
      <w:r w:rsidRPr="00E86646">
        <w:rPr>
          <w:rFonts w:cs="Arial"/>
          <w:rtl/>
        </w:rPr>
        <w:t>: לא ישכור אדם מרחצו ל</w:t>
      </w:r>
      <w:r>
        <w:rPr>
          <w:rFonts w:cs="Arial"/>
          <w:rtl/>
        </w:rPr>
        <w:t>גוי</w:t>
      </w:r>
      <w:r w:rsidRPr="00E86646">
        <w:rPr>
          <w:rFonts w:cs="Arial"/>
          <w:rtl/>
        </w:rPr>
        <w:t>, מפני שנקרא על שמו, ו</w:t>
      </w:r>
      <w:r>
        <w:rPr>
          <w:rFonts w:cs="Arial"/>
          <w:rtl/>
        </w:rPr>
        <w:t>גוי</w:t>
      </w:r>
      <w:r w:rsidRPr="00E86646">
        <w:rPr>
          <w:rFonts w:cs="Arial"/>
          <w:rtl/>
        </w:rPr>
        <w:t xml:space="preserve"> זה עושה בו מלאכה בשבתות ובימים טובים.</w:t>
      </w:r>
      <w:r>
        <w:rPr>
          <w:rFonts w:cs="Arial" w:hint="cs"/>
          <w:rtl/>
        </w:rPr>
        <w:t>.</w:t>
      </w:r>
      <w:r w:rsidRPr="00E86646">
        <w:rPr>
          <w:rFonts w:cs="Arial"/>
          <w:rtl/>
        </w:rPr>
        <w:t>. אבל שדהו ל</w:t>
      </w:r>
      <w:r>
        <w:rPr>
          <w:rFonts w:cs="Arial"/>
          <w:rtl/>
        </w:rPr>
        <w:t>גוי</w:t>
      </w:r>
      <w:r w:rsidRPr="00E86646">
        <w:rPr>
          <w:rFonts w:cs="Arial"/>
          <w:rtl/>
        </w:rPr>
        <w:t xml:space="preserve"> מאי? שרי</w:t>
      </w:r>
      <w:r>
        <w:rPr>
          <w:rStyle w:val="a9"/>
          <w:rFonts w:cs="Arial"/>
          <w:rtl/>
        </w:rPr>
        <w:footnoteReference w:id="16"/>
      </w:r>
      <w:r w:rsidRPr="00E86646">
        <w:rPr>
          <w:rFonts w:cs="Arial"/>
          <w:rtl/>
        </w:rPr>
        <w:t>, מאי טעמא? אריסא אריסותיה קעביד, מרחץ נמי אמרי: אריסא אריסותיה קעביד! אריסא דמרחץ לא עבדי אנשי</w:t>
      </w:r>
      <w:r>
        <w:rPr>
          <w:rStyle w:val="a9"/>
          <w:rFonts w:cs="Arial"/>
          <w:rtl/>
        </w:rPr>
        <w:footnoteReference w:id="17"/>
      </w:r>
      <w:r w:rsidRPr="00E86646">
        <w:rPr>
          <w:rFonts w:cs="Arial"/>
          <w:rtl/>
        </w:rPr>
        <w:t xml:space="preserve">. תניא, </w:t>
      </w:r>
      <w:r w:rsidRPr="007051FD">
        <w:rPr>
          <w:rFonts w:cs="Arial"/>
          <w:u w:val="single"/>
          <w:rtl/>
        </w:rPr>
        <w:t>ר"ש בן אלעזר אומר</w:t>
      </w:r>
      <w:r w:rsidRPr="00E86646">
        <w:rPr>
          <w:rFonts w:cs="Arial"/>
          <w:rtl/>
        </w:rPr>
        <w:t xml:space="preserve">: לא ישכיר אדם שדהו לכותי, מפני שנקראת על שמו, וכותי זה עושה בו מלאכה בחוש"מ. אבל </w:t>
      </w:r>
      <w:r>
        <w:rPr>
          <w:rFonts w:cs="Arial"/>
          <w:rtl/>
        </w:rPr>
        <w:t>גוי</w:t>
      </w:r>
      <w:r w:rsidRPr="00E86646">
        <w:rPr>
          <w:rFonts w:cs="Arial"/>
          <w:rtl/>
        </w:rPr>
        <w:t xml:space="preserve"> מאי? שרי, דאמרי: אריסא אריסותיה עביד</w:t>
      </w:r>
      <w:r>
        <w:rPr>
          <w:rFonts w:cs="Arial" w:hint="cs"/>
          <w:rtl/>
        </w:rPr>
        <w:t>.</w:t>
      </w:r>
      <w:r w:rsidRPr="00E86646">
        <w:rPr>
          <w:rFonts w:cs="Arial"/>
          <w:rtl/>
        </w:rPr>
        <w:t xml:space="preserve"> א"ה, כותי נמי אמרי: אריסא אריסותיה עביד!</w:t>
      </w:r>
      <w:r w:rsidRPr="00775DCC">
        <w:rPr>
          <w:rtl/>
        </w:rPr>
        <w:t xml:space="preserve"> </w:t>
      </w:r>
      <w:r>
        <w:rPr>
          <w:rFonts w:cs="Arial" w:hint="cs"/>
          <w:sz w:val="14"/>
          <w:szCs w:val="14"/>
          <w:rtl/>
        </w:rPr>
        <w:t xml:space="preserve">(כב.) </w:t>
      </w:r>
      <w:r w:rsidRPr="00775DCC">
        <w:rPr>
          <w:rFonts w:cs="Arial"/>
          <w:rtl/>
        </w:rPr>
        <w:t>אריסותא לר"ש בן אלעזר לית ליה</w:t>
      </w:r>
      <w:r>
        <w:rPr>
          <w:rFonts w:cs="Arial" w:hint="cs"/>
          <w:rtl/>
        </w:rPr>
        <w:t>.</w:t>
      </w:r>
      <w:r w:rsidRPr="00775DCC">
        <w:rPr>
          <w:rFonts w:cs="Arial"/>
          <w:rtl/>
        </w:rPr>
        <w:t xml:space="preserve"> אלא </w:t>
      </w:r>
      <w:r>
        <w:rPr>
          <w:rFonts w:cs="Arial"/>
          <w:rtl/>
        </w:rPr>
        <w:t>גוי</w:t>
      </w:r>
      <w:r w:rsidRPr="00775DCC">
        <w:rPr>
          <w:rFonts w:cs="Arial"/>
          <w:rtl/>
        </w:rPr>
        <w:t xml:space="preserve"> מ"ט מותר? דאמרינן ליה וציית</w:t>
      </w:r>
      <w:r>
        <w:rPr>
          <w:rFonts w:cs="Arial" w:hint="cs"/>
          <w:rtl/>
        </w:rPr>
        <w:t>.</w:t>
      </w:r>
      <w:r w:rsidRPr="00775DCC">
        <w:rPr>
          <w:rFonts w:cs="Arial"/>
          <w:rtl/>
        </w:rPr>
        <w:t xml:space="preserve"> כותי נמי אמרינן ליה וציית! כותי לא ציית, דאמר: אנא גמירנא טפי מינך. א"ה, מאי איריא מפני שנקראת על שמו? תיפוק ליה משום לפני עור לא תתן מכשול! חדא ועוד קאמר, חדא משום לפני עור, ועוד מפני שנקראת על שמו.</w:t>
      </w:r>
      <w:r w:rsidRPr="00C70593">
        <w:rPr>
          <w:rFonts w:cs="Arial"/>
          <w:sz w:val="16"/>
          <w:szCs w:val="16"/>
          <w:rtl/>
        </w:rPr>
        <w:t xml:space="preserve"> </w:t>
      </w:r>
      <w:r>
        <w:rPr>
          <w:rFonts w:cs="Arial" w:hint="cs"/>
          <w:sz w:val="16"/>
          <w:szCs w:val="16"/>
          <w:rtl/>
        </w:rPr>
        <w:t>(</w:t>
      </w:r>
      <w:r w:rsidRPr="00C70593">
        <w:rPr>
          <w:rFonts w:cs="Arial"/>
          <w:sz w:val="16"/>
          <w:szCs w:val="16"/>
          <w:rtl/>
        </w:rPr>
        <w:t>ואף על גב דרבי שמעון בן אלעזר פליג התם ארבן שמעון בן גמליאל פסקו התוספות (ד"ה אריסא) והרא"ש (סי' כג) הלכה כרשב"ג</w:t>
      </w:r>
      <w:r>
        <w:rPr>
          <w:rFonts w:cs="Arial" w:hint="cs"/>
          <w:sz w:val="16"/>
          <w:szCs w:val="16"/>
          <w:rtl/>
        </w:rPr>
        <w:t>.</w:t>
      </w:r>
      <w:r w:rsidRPr="00C70593">
        <w:rPr>
          <w:rFonts w:cs="Arial"/>
          <w:sz w:val="16"/>
          <w:szCs w:val="16"/>
          <w:rtl/>
        </w:rPr>
        <w:t xml:space="preserve"> וכן דעת הרי"ף שם (ו:) וסוף פרק כל כתבי (מו:)</w:t>
      </w:r>
      <w:r>
        <w:rPr>
          <w:rFonts w:cs="Arial" w:hint="cs"/>
          <w:sz w:val="16"/>
          <w:szCs w:val="16"/>
          <w:rtl/>
        </w:rPr>
        <w:t>.</w:t>
      </w:r>
      <w:r w:rsidRPr="00C70593">
        <w:rPr>
          <w:rFonts w:cs="Arial"/>
          <w:sz w:val="16"/>
          <w:szCs w:val="16"/>
          <w:rtl/>
        </w:rPr>
        <w:t xml:space="preserve"> וכן פסק הרמב"ם בפ"ו (הט"ו)</w:t>
      </w:r>
      <w:r>
        <w:rPr>
          <w:rFonts w:cs="Arial" w:hint="cs"/>
          <w:sz w:val="16"/>
          <w:szCs w:val="16"/>
          <w:rtl/>
        </w:rPr>
        <w:t>.</w:t>
      </w:r>
      <w:r w:rsidRPr="00C70593">
        <w:rPr>
          <w:rFonts w:cs="Arial"/>
          <w:sz w:val="16"/>
          <w:szCs w:val="16"/>
          <w:rtl/>
        </w:rPr>
        <w:t xml:space="preserve"> וכן דעת סמ"ג (לאוין סה יט ע"ג) וסמ"ק (סי' רפב עמ' שא) והתרומה (הל' שבת סי' רכא, והל' ע"ז סי' קמה)</w:t>
      </w:r>
      <w:r>
        <w:rPr>
          <w:rFonts w:cs="Arial" w:hint="cs"/>
          <w:sz w:val="16"/>
          <w:szCs w:val="16"/>
          <w:rtl/>
        </w:rPr>
        <w:t>, ב"י)</w:t>
      </w:r>
    </w:p>
    <w:p w14:paraId="31034887" w14:textId="77777777" w:rsidR="004B2E7C" w:rsidRPr="00C70593" w:rsidRDefault="004B2E7C" w:rsidP="00434A6A">
      <w:pPr>
        <w:rPr>
          <w:u w:val="single"/>
          <w:rtl/>
        </w:rPr>
      </w:pPr>
      <w:r>
        <w:rPr>
          <w:rFonts w:hint="cs"/>
          <w:u w:val="single"/>
          <w:rtl/>
        </w:rPr>
        <w:t>ה</w:t>
      </w:r>
      <w:r w:rsidRPr="00C70593">
        <w:rPr>
          <w:rFonts w:hint="cs"/>
          <w:u w:val="single"/>
          <w:rtl/>
        </w:rPr>
        <w:t>שכרת שדה</w:t>
      </w:r>
      <w:r>
        <w:rPr>
          <w:rFonts w:hint="cs"/>
          <w:u w:val="single"/>
          <w:rtl/>
        </w:rPr>
        <w:t>/</w:t>
      </w:r>
      <w:r w:rsidRPr="00C70593">
        <w:rPr>
          <w:rFonts w:hint="cs"/>
          <w:u w:val="single"/>
          <w:rtl/>
        </w:rPr>
        <w:t>מרחץ לגוי</w:t>
      </w:r>
      <w:r>
        <w:rPr>
          <w:rFonts w:hint="cs"/>
          <w:u w:val="single"/>
          <w:rtl/>
        </w:rPr>
        <w:t>,</w:t>
      </w:r>
      <w:r w:rsidRPr="00C70593">
        <w:rPr>
          <w:rFonts w:hint="cs"/>
          <w:u w:val="single"/>
          <w:rtl/>
        </w:rPr>
        <w:t xml:space="preserve"> </w:t>
      </w:r>
      <w:r>
        <w:rPr>
          <w:rFonts w:hint="cs"/>
          <w:u w:val="single"/>
          <w:rtl/>
        </w:rPr>
        <w:t xml:space="preserve">ובתוך </w:t>
      </w:r>
      <w:r w:rsidRPr="00C70593">
        <w:rPr>
          <w:rFonts w:hint="cs"/>
          <w:u w:val="single"/>
          <w:rtl/>
        </w:rPr>
        <w:t>בתקופת השכירות יש שבת:</w:t>
      </w:r>
    </w:p>
    <w:p w14:paraId="66022A4D" w14:textId="77777777" w:rsidR="004B2E7C" w:rsidRDefault="004B2E7C" w:rsidP="00FF2D21">
      <w:pPr>
        <w:pStyle w:val="aa"/>
        <w:numPr>
          <w:ilvl w:val="0"/>
          <w:numId w:val="101"/>
        </w:numPr>
      </w:pPr>
      <w:r w:rsidRPr="00E86646">
        <w:rPr>
          <w:rFonts w:cs="Arial" w:hint="cs"/>
          <w:rtl/>
        </w:rPr>
        <w:t xml:space="preserve">טור- </w:t>
      </w:r>
      <w:r w:rsidRPr="00E86646">
        <w:rPr>
          <w:rFonts w:cs="Arial"/>
          <w:rtl/>
        </w:rPr>
        <w:t>גרסינן בפ"ק דע"ז תניא רשבג"א לא ישכיר אדם מרחצאו ל</w:t>
      </w:r>
      <w:r>
        <w:rPr>
          <w:rFonts w:cs="Arial"/>
          <w:rtl/>
        </w:rPr>
        <w:t>גוי</w:t>
      </w:r>
      <w:r w:rsidRPr="00E86646">
        <w:rPr>
          <w:rFonts w:cs="Arial"/>
          <w:rtl/>
        </w:rPr>
        <w:t xml:space="preserve"> מפני שנקראת על שמו</w:t>
      </w:r>
      <w:r>
        <w:rPr>
          <w:rFonts w:cs="Arial" w:hint="cs"/>
          <w:rtl/>
        </w:rPr>
        <w:t>,</w:t>
      </w:r>
      <w:r w:rsidRPr="00E86646">
        <w:rPr>
          <w:rFonts w:cs="Arial"/>
          <w:rtl/>
        </w:rPr>
        <w:t xml:space="preserve"> ו</w:t>
      </w:r>
      <w:r>
        <w:rPr>
          <w:rFonts w:cs="Arial"/>
          <w:rtl/>
        </w:rPr>
        <w:t>גוי</w:t>
      </w:r>
      <w:r w:rsidRPr="00E86646">
        <w:rPr>
          <w:rFonts w:cs="Arial"/>
          <w:rtl/>
        </w:rPr>
        <w:t xml:space="preserve"> זה עושה בו מלאכה בשבת</w:t>
      </w:r>
      <w:r>
        <w:rPr>
          <w:rFonts w:cs="Arial" w:hint="cs"/>
          <w:rtl/>
        </w:rPr>
        <w:t>.</w:t>
      </w:r>
      <w:r w:rsidRPr="00E86646">
        <w:rPr>
          <w:rFonts w:cs="Arial"/>
          <w:rtl/>
        </w:rPr>
        <w:t xml:space="preserve"> אבל שדה מותר</w:t>
      </w:r>
      <w:r>
        <w:rPr>
          <w:rFonts w:cs="Arial" w:hint="cs"/>
          <w:rtl/>
        </w:rPr>
        <w:t>,</w:t>
      </w:r>
      <w:r w:rsidRPr="00E86646">
        <w:rPr>
          <w:rFonts w:cs="Arial"/>
          <w:rtl/>
        </w:rPr>
        <w:t xml:space="preserve"> שכן דרך לקבל שדה באריסות</w:t>
      </w:r>
      <w:r>
        <w:rPr>
          <w:rFonts w:cs="Arial" w:hint="cs"/>
          <w:rtl/>
        </w:rPr>
        <w:t>,</w:t>
      </w:r>
      <w:r w:rsidRPr="00E86646">
        <w:rPr>
          <w:rFonts w:cs="Arial"/>
          <w:rtl/>
        </w:rPr>
        <w:t xml:space="preserve"> ואף על פי שיודעים שהיא של ישראל אומרים ה</w:t>
      </w:r>
      <w:r>
        <w:rPr>
          <w:rFonts w:cs="Arial"/>
          <w:rtl/>
        </w:rPr>
        <w:t>גוי</w:t>
      </w:r>
      <w:r w:rsidRPr="00E86646">
        <w:rPr>
          <w:rFonts w:cs="Arial"/>
          <w:rtl/>
        </w:rPr>
        <w:t xml:space="preserve"> לקחה באריסות ולעצמו הוא עובד</w:t>
      </w:r>
      <w:r>
        <w:rPr>
          <w:rStyle w:val="a9"/>
          <w:rFonts w:cs="Arial"/>
          <w:rtl/>
        </w:rPr>
        <w:footnoteReference w:id="18"/>
      </w:r>
      <w:r>
        <w:rPr>
          <w:rFonts w:cs="Arial" w:hint="cs"/>
          <w:rtl/>
        </w:rPr>
        <w:t>.</w:t>
      </w:r>
      <w:r w:rsidRPr="00E86646">
        <w:rPr>
          <w:rFonts w:cs="Arial"/>
          <w:rtl/>
        </w:rPr>
        <w:t xml:space="preserve"> מה שאין כן במרחץ שאין דרך להחכירו</w:t>
      </w:r>
      <w:r>
        <w:rPr>
          <w:rFonts w:cs="Arial" w:hint="cs"/>
          <w:rtl/>
        </w:rPr>
        <w:t>.</w:t>
      </w:r>
      <w:r w:rsidRPr="00E86646">
        <w:rPr>
          <w:rFonts w:cs="Arial"/>
          <w:rtl/>
        </w:rPr>
        <w:t xml:space="preserve"> </w:t>
      </w:r>
      <w:r w:rsidRPr="00685AA6">
        <w:rPr>
          <w:rFonts w:hint="cs"/>
          <w:color w:val="E36C0A" w:themeColor="accent6" w:themeShade="BF"/>
          <w:rtl/>
        </w:rPr>
        <w:t>(וכ"פ בשו"ע)</w:t>
      </w:r>
    </w:p>
    <w:p w14:paraId="7C1DB2D9" w14:textId="77777777" w:rsidR="004B2E7C" w:rsidRPr="00707FE2" w:rsidRDefault="004B2E7C" w:rsidP="00434A6A">
      <w:pPr>
        <w:ind w:left="360"/>
        <w:rPr>
          <w:u w:val="dotted"/>
        </w:rPr>
      </w:pPr>
      <w:r w:rsidRPr="00707FE2">
        <w:rPr>
          <w:rFonts w:hint="cs"/>
          <w:u w:val="dotted"/>
          <w:rtl/>
        </w:rPr>
        <w:t>ומה הדין בדבר שיש ספק אם יש דרך להחכירו:</w:t>
      </w:r>
    </w:p>
    <w:p w14:paraId="1A6317BC" w14:textId="77777777" w:rsidR="004B2E7C" w:rsidRDefault="004B2E7C" w:rsidP="00FF2D21">
      <w:pPr>
        <w:pStyle w:val="aa"/>
        <w:numPr>
          <w:ilvl w:val="0"/>
          <w:numId w:val="101"/>
        </w:numPr>
      </w:pPr>
      <w:r w:rsidRPr="00E86646">
        <w:rPr>
          <w:rFonts w:cs="Arial"/>
          <w:rtl/>
        </w:rPr>
        <w:t xml:space="preserve">רמב"ן </w:t>
      </w:r>
      <w:r w:rsidRPr="00707FE2">
        <w:rPr>
          <w:rFonts w:cs="Arial"/>
          <w:sz w:val="16"/>
          <w:szCs w:val="16"/>
          <w:rtl/>
        </w:rPr>
        <w:t>(ע"ז כא: ד"ה אבל</w:t>
      </w:r>
      <w:r>
        <w:rPr>
          <w:rFonts w:cs="Arial" w:hint="cs"/>
          <w:sz w:val="16"/>
          <w:szCs w:val="16"/>
          <w:rtl/>
        </w:rPr>
        <w:t>, הביאוהו הרא"ש [סי' כה] והטור</w:t>
      </w:r>
      <w:r w:rsidRPr="00707FE2">
        <w:rPr>
          <w:rFonts w:cs="Arial"/>
          <w:sz w:val="16"/>
          <w:szCs w:val="16"/>
          <w:rtl/>
        </w:rPr>
        <w:t>)</w:t>
      </w:r>
      <w:r>
        <w:rPr>
          <w:rFonts w:cs="Arial" w:hint="cs"/>
          <w:rtl/>
        </w:rPr>
        <w:t xml:space="preserve">- </w:t>
      </w:r>
      <w:r w:rsidRPr="00707FE2">
        <w:rPr>
          <w:rFonts w:cs="Arial"/>
          <w:rtl/>
        </w:rPr>
        <w:t>וחזינא למקצת רבוותא דמספקא להו בפורני</w:t>
      </w:r>
      <w:r>
        <w:rPr>
          <w:rFonts w:cs="Arial" w:hint="cs"/>
          <w:sz w:val="16"/>
          <w:szCs w:val="16"/>
          <w:rtl/>
        </w:rPr>
        <w:t xml:space="preserve"> {תנור}</w:t>
      </w:r>
      <w:r w:rsidRPr="00707FE2">
        <w:rPr>
          <w:rFonts w:cs="Arial"/>
          <w:rtl/>
        </w:rPr>
        <w:t xml:space="preserve"> אי עביד ביה אינשי אריסותא כשדה ושרי או כמרחץ ואסור. ומסתברא ודאי דאסור דלא תלינן אלא במילתא דלכ"ע עבדי הכי, דהא תלמוד שכירות דשדה יותר היא מפורסמת להתירא מן האריסות שזה נוטל בפירות למחצה לשליש ולרביע ונהנה מיהת במעשה שבת וזה אין לו בשדה כלום, ואפ"ה פירשו בגמ' היתר השכירות משום דאמרינן אריסותיה קעביד ולא תלו בשכירות. והטעם לפי שכל השדות לאריס הן עומדות כדאמרינן בכתובות (פ</w:t>
      </w:r>
      <w:r>
        <w:rPr>
          <w:rFonts w:cs="Arial" w:hint="cs"/>
          <w:rtl/>
        </w:rPr>
        <w:t>.</w:t>
      </w:r>
      <w:r w:rsidRPr="00707FE2">
        <w:rPr>
          <w:rFonts w:cs="Arial"/>
          <w:rtl/>
        </w:rPr>
        <w:t>) ארעא לאריסי קיימא, וכשאדם רואה זה הגוי עומד ועושה תדיר בשדה על כרחם יתלו באריסות והוא מותר לפיכך אף השכירות מותר בו, והמרחץ שאין סתמו עומד לאריסות הן תולין בשכירות ואסור, והדבר ידוע שאין פורני עומד לאריסות הלכך אף השכירות אסור בו ואפילו במשכירו לשנה ולחדש.</w:t>
      </w:r>
      <w:r>
        <w:rPr>
          <w:rFonts w:cs="Arial" w:hint="cs"/>
          <w:rtl/>
        </w:rPr>
        <w:t>..</w:t>
      </w:r>
      <w:r w:rsidRPr="00707FE2">
        <w:rPr>
          <w:rFonts w:cs="Arial"/>
          <w:rtl/>
        </w:rPr>
        <w:t xml:space="preserve"> ובריחיים התירו רבים לפי הענין שלהם שהם עומדים לאריסות</w:t>
      </w:r>
      <w:r>
        <w:rPr>
          <w:rFonts w:cs="Arial" w:hint="cs"/>
          <w:rtl/>
        </w:rPr>
        <w:t>.</w:t>
      </w:r>
      <w:r w:rsidRPr="00707FE2">
        <w:rPr>
          <w:rFonts w:cs="Arial"/>
          <w:rtl/>
        </w:rPr>
        <w:t xml:space="preserve"> אבל בעל מתיבות</w:t>
      </w:r>
      <w:r>
        <w:rPr>
          <w:rFonts w:cs="Arial" w:hint="cs"/>
          <w:sz w:val="16"/>
          <w:szCs w:val="16"/>
          <w:rtl/>
        </w:rPr>
        <w:t xml:space="preserve"> (סי א)</w:t>
      </w:r>
      <w:r w:rsidRPr="00707FE2">
        <w:rPr>
          <w:rFonts w:cs="Arial"/>
          <w:rtl/>
        </w:rPr>
        <w:t xml:space="preserve"> כתב בפורני וריחים דכשדה נינהו</w:t>
      </w:r>
      <w:r>
        <w:rPr>
          <w:rFonts w:cs="Arial" w:hint="cs"/>
          <w:rtl/>
        </w:rPr>
        <w:t>.</w:t>
      </w:r>
      <w:r w:rsidRPr="00707FE2">
        <w:rPr>
          <w:rFonts w:cs="Arial"/>
          <w:rtl/>
        </w:rPr>
        <w:t xml:space="preserve"> ובשם רב האיי ז"ל מצאתי שכיון שהשכירה שנים הרבה</w:t>
      </w:r>
      <w:r>
        <w:rPr>
          <w:rStyle w:val="a9"/>
          <w:rFonts w:cs="Arial"/>
          <w:rtl/>
        </w:rPr>
        <w:footnoteReference w:id="19"/>
      </w:r>
      <w:r w:rsidRPr="00707FE2">
        <w:rPr>
          <w:rFonts w:cs="Arial"/>
          <w:rtl/>
        </w:rPr>
        <w:t xml:space="preserve"> ונתפרסם מותר, וכן נהגו היתר בבבל</w:t>
      </w:r>
      <w:r>
        <w:rPr>
          <w:rFonts w:cs="Arial" w:hint="cs"/>
          <w:rtl/>
        </w:rPr>
        <w:t>.</w:t>
      </w:r>
    </w:p>
    <w:p w14:paraId="66924629" w14:textId="77777777" w:rsidR="004B2E7C" w:rsidRPr="00D57B1E" w:rsidRDefault="004B2E7C" w:rsidP="00434A6A">
      <w:pPr>
        <w:ind w:left="360"/>
        <w:rPr>
          <w:u w:val="dotted"/>
        </w:rPr>
      </w:pPr>
      <w:r w:rsidRPr="00D57B1E">
        <w:rPr>
          <w:rFonts w:hint="cs"/>
          <w:u w:val="dotted"/>
          <w:rtl/>
        </w:rPr>
        <w:t>ומה הדין אם נתברר ונתפרסם שדרך</w:t>
      </w:r>
      <w:r>
        <w:rPr>
          <w:rFonts w:hint="cs"/>
          <w:u w:val="dotted"/>
          <w:rtl/>
        </w:rPr>
        <w:t xml:space="preserve"> מקום מסויים </w:t>
      </w:r>
      <w:r w:rsidRPr="00D57B1E">
        <w:rPr>
          <w:rFonts w:hint="cs"/>
          <w:u w:val="dotted"/>
          <w:rtl/>
        </w:rPr>
        <w:t>לה</w:t>
      </w:r>
      <w:r>
        <w:rPr>
          <w:rFonts w:hint="cs"/>
          <w:u w:val="dotted"/>
          <w:rtl/>
        </w:rPr>
        <w:t>שכ</w:t>
      </w:r>
      <w:r w:rsidRPr="00D57B1E">
        <w:rPr>
          <w:rFonts w:hint="cs"/>
          <w:u w:val="dotted"/>
          <w:rtl/>
        </w:rPr>
        <w:t>יר דבר מסויים:</w:t>
      </w:r>
    </w:p>
    <w:p w14:paraId="149A7BF2" w14:textId="77777777" w:rsidR="004B2E7C" w:rsidRDefault="004B2E7C" w:rsidP="00FF2D21">
      <w:pPr>
        <w:pStyle w:val="aa"/>
        <w:numPr>
          <w:ilvl w:val="0"/>
          <w:numId w:val="101"/>
        </w:numPr>
      </w:pPr>
      <w:r>
        <w:rPr>
          <w:rFonts w:cs="Arial" w:hint="cs"/>
          <w:rtl/>
        </w:rPr>
        <w:t xml:space="preserve">רא"ש </w:t>
      </w:r>
      <w:r w:rsidRPr="00D57B1E">
        <w:rPr>
          <w:rFonts w:cs="Arial"/>
          <w:sz w:val="16"/>
          <w:szCs w:val="16"/>
          <w:rtl/>
        </w:rPr>
        <w:t xml:space="preserve">(סי' כה) </w:t>
      </w:r>
      <w:r>
        <w:rPr>
          <w:rFonts w:cs="Arial" w:hint="cs"/>
          <w:rtl/>
        </w:rPr>
        <w:t>וטור-</w:t>
      </w:r>
      <w:r w:rsidRPr="00E86646">
        <w:rPr>
          <w:rFonts w:cs="Arial"/>
          <w:rtl/>
        </w:rPr>
        <w:t xml:space="preserve"> ולפי זה</w:t>
      </w:r>
      <w:r>
        <w:rPr>
          <w:rFonts w:cs="Arial" w:hint="cs"/>
          <w:sz w:val="16"/>
          <w:szCs w:val="16"/>
          <w:rtl/>
        </w:rPr>
        <w:t xml:space="preserve"> {היינו לפי דברי רב האי}</w:t>
      </w:r>
      <w:r>
        <w:rPr>
          <w:rFonts w:cs="Arial" w:hint="cs"/>
          <w:rtl/>
        </w:rPr>
        <w:t>,</w:t>
      </w:r>
      <w:r w:rsidRPr="00E86646">
        <w:rPr>
          <w:rFonts w:cs="Arial"/>
          <w:rtl/>
        </w:rPr>
        <w:t xml:space="preserve"> נתברר ונתפרסם הדבר בכל גבולינו שכל מי שיש לו מרחץ או תנור אינו שוכר פועלים לעשות לו מלאכה בהם ולוקח הוא הריוח של הרחיצה והאפייה</w:t>
      </w:r>
      <w:r>
        <w:rPr>
          <w:rFonts w:cs="Arial" w:hint="cs"/>
          <w:rtl/>
        </w:rPr>
        <w:t>,</w:t>
      </w:r>
      <w:r w:rsidRPr="00E86646">
        <w:rPr>
          <w:rFonts w:cs="Arial"/>
          <w:rtl/>
        </w:rPr>
        <w:t xml:space="preserve"> אלא משכירו לאחד </w:t>
      </w:r>
      <w:r w:rsidRPr="00E86646">
        <w:rPr>
          <w:rFonts w:cs="Arial"/>
          <w:rtl/>
        </w:rPr>
        <w:lastRenderedPageBreak/>
        <w:t>לשנה או לחדשים בדבר ידוע ושיטול החוכר כל הריוח שיבא ממנו</w:t>
      </w:r>
      <w:r>
        <w:rPr>
          <w:rFonts w:cs="Arial" w:hint="cs"/>
          <w:rtl/>
        </w:rPr>
        <w:t>,</w:t>
      </w:r>
      <w:r w:rsidRPr="00E86646">
        <w:rPr>
          <w:rFonts w:cs="Arial"/>
          <w:rtl/>
        </w:rPr>
        <w:t xml:space="preserve"> הילכך</w:t>
      </w:r>
      <w:r>
        <w:rPr>
          <w:rFonts w:cs="Arial" w:hint="cs"/>
          <w:rtl/>
        </w:rPr>
        <w:t xml:space="preserve"> </w:t>
      </w:r>
      <w:r w:rsidRPr="00E86646">
        <w:rPr>
          <w:rFonts w:cs="Arial"/>
          <w:rtl/>
        </w:rPr>
        <w:t>מותר בקבלנות</w:t>
      </w:r>
      <w:r>
        <w:rPr>
          <w:rStyle w:val="a9"/>
          <w:rFonts w:cs="Arial"/>
          <w:rtl/>
        </w:rPr>
        <w:footnoteReference w:id="20"/>
      </w:r>
      <w:r>
        <w:rPr>
          <w:rFonts w:cs="Arial" w:hint="cs"/>
          <w:rtl/>
        </w:rPr>
        <w:t>,</w:t>
      </w:r>
      <w:r w:rsidRPr="00E86646">
        <w:rPr>
          <w:rFonts w:cs="Arial"/>
          <w:rtl/>
        </w:rPr>
        <w:t xml:space="preserve"> שאין מלאכת ה</w:t>
      </w:r>
      <w:r>
        <w:rPr>
          <w:rFonts w:cs="Arial"/>
          <w:rtl/>
        </w:rPr>
        <w:t>גוי</w:t>
      </w:r>
      <w:r w:rsidRPr="00E86646">
        <w:rPr>
          <w:rFonts w:cs="Arial"/>
          <w:rtl/>
        </w:rPr>
        <w:t xml:space="preserve"> נקראת על שם ישראל</w:t>
      </w:r>
      <w:r>
        <w:rPr>
          <w:rFonts w:cs="Arial" w:hint="cs"/>
          <w:rtl/>
        </w:rPr>
        <w:t>.</w:t>
      </w:r>
      <w:r w:rsidRPr="00E86646">
        <w:rPr>
          <w:rFonts w:cs="Arial"/>
          <w:rtl/>
        </w:rPr>
        <w:t xml:space="preserve"> אבל אם היה משכירו לימים </w:t>
      </w:r>
      <w:r>
        <w:rPr>
          <w:rFonts w:cs="Arial" w:hint="cs"/>
          <w:rtl/>
        </w:rPr>
        <w:t xml:space="preserve">- </w:t>
      </w:r>
      <w:r w:rsidRPr="00E86646">
        <w:rPr>
          <w:rFonts w:cs="Arial"/>
          <w:rtl/>
        </w:rPr>
        <w:t>אסור</w:t>
      </w:r>
      <w:r>
        <w:rPr>
          <w:rStyle w:val="a9"/>
          <w:rFonts w:cs="Arial"/>
          <w:rtl/>
        </w:rPr>
        <w:footnoteReference w:id="21"/>
      </w:r>
      <w:r w:rsidRPr="00E86646">
        <w:rPr>
          <w:rFonts w:cs="Arial"/>
          <w:rtl/>
        </w:rPr>
        <w:t xml:space="preserve"> ליקח שכר שבת ויום טוב</w:t>
      </w:r>
      <w:r>
        <w:rPr>
          <w:rFonts w:cs="Arial" w:hint="cs"/>
          <w:sz w:val="16"/>
          <w:szCs w:val="16"/>
          <w:rtl/>
        </w:rPr>
        <w:t xml:space="preserve"> (ל' הטור)</w:t>
      </w:r>
      <w:r>
        <w:rPr>
          <w:rStyle w:val="a9"/>
          <w:rFonts w:cs="Arial"/>
          <w:rtl/>
        </w:rPr>
        <w:footnoteReference w:id="22"/>
      </w:r>
      <w:r w:rsidRPr="00336C16">
        <w:rPr>
          <w:rFonts w:cs="Arial" w:hint="cs"/>
          <w:rtl/>
        </w:rPr>
        <w:t>.</w:t>
      </w:r>
      <w:r w:rsidRPr="00E86646">
        <w:rPr>
          <w:rFonts w:cs="Arial"/>
          <w:rtl/>
        </w:rPr>
        <w:t xml:space="preserve"> </w:t>
      </w:r>
      <w:r w:rsidRPr="00685AA6">
        <w:rPr>
          <w:rFonts w:hint="cs"/>
          <w:color w:val="E36C0A" w:themeColor="accent6" w:themeShade="BF"/>
          <w:rtl/>
        </w:rPr>
        <w:t>(וכ"פ בשו"ע</w:t>
      </w:r>
      <w:r>
        <w:rPr>
          <w:rFonts w:hint="cs"/>
          <w:color w:val="E36C0A" w:themeColor="accent6" w:themeShade="BF"/>
          <w:sz w:val="16"/>
          <w:szCs w:val="16"/>
          <w:rtl/>
        </w:rPr>
        <w:t xml:space="preserve"> </w:t>
      </w:r>
      <w:r w:rsidRPr="00580330">
        <w:rPr>
          <w:rFonts w:hint="cs"/>
          <w:color w:val="000000" w:themeColor="text1"/>
          <w:sz w:val="16"/>
          <w:szCs w:val="16"/>
          <w:rtl/>
        </w:rPr>
        <w:t>[בסע' ב]</w:t>
      </w:r>
      <w:r w:rsidRPr="00685AA6">
        <w:rPr>
          <w:rFonts w:hint="cs"/>
          <w:color w:val="E36C0A" w:themeColor="accent6" w:themeShade="BF"/>
          <w:rtl/>
        </w:rPr>
        <w:t>)</w:t>
      </w:r>
    </w:p>
    <w:p w14:paraId="0591BFB8" w14:textId="77777777" w:rsidR="004B2E7C" w:rsidRDefault="004B2E7C" w:rsidP="00FF2D21">
      <w:pPr>
        <w:pStyle w:val="aa"/>
        <w:numPr>
          <w:ilvl w:val="0"/>
          <w:numId w:val="101"/>
        </w:numPr>
        <w:rPr>
          <w:rtl/>
        </w:rPr>
      </w:pPr>
      <w:r>
        <w:rPr>
          <w:rFonts w:cs="Arial" w:hint="cs"/>
          <w:rtl/>
        </w:rPr>
        <w:t>הר"ם</w:t>
      </w:r>
      <w:r>
        <w:rPr>
          <w:rStyle w:val="a9"/>
          <w:rFonts w:cs="Arial"/>
          <w:rtl/>
        </w:rPr>
        <w:footnoteReference w:id="23"/>
      </w:r>
      <w:r w:rsidRPr="002E1714">
        <w:rPr>
          <w:rFonts w:cs="Arial" w:hint="cs"/>
          <w:sz w:val="16"/>
          <w:szCs w:val="16"/>
          <w:rtl/>
        </w:rPr>
        <w:t xml:space="preserve"> (כ"כ התוס' בשמו [</w:t>
      </w:r>
      <w:r w:rsidRPr="002E1714">
        <w:rPr>
          <w:rFonts w:cs="Arial"/>
          <w:sz w:val="16"/>
          <w:szCs w:val="16"/>
          <w:rtl/>
        </w:rPr>
        <w:t>ע</w:t>
      </w:r>
      <w:r w:rsidRPr="002E1714">
        <w:rPr>
          <w:rFonts w:cs="Arial" w:hint="cs"/>
          <w:sz w:val="16"/>
          <w:szCs w:val="16"/>
          <w:rtl/>
        </w:rPr>
        <w:t>"</w:t>
      </w:r>
      <w:r w:rsidRPr="002E1714">
        <w:rPr>
          <w:rFonts w:cs="Arial"/>
          <w:sz w:val="16"/>
          <w:szCs w:val="16"/>
          <w:rtl/>
        </w:rPr>
        <w:t xml:space="preserve">ז </w:t>
      </w:r>
      <w:r w:rsidRPr="002E1714">
        <w:rPr>
          <w:rFonts w:cs="Arial" w:hint="cs"/>
          <w:sz w:val="16"/>
          <w:szCs w:val="16"/>
          <w:rtl/>
        </w:rPr>
        <w:t xml:space="preserve">ספ"ק </w:t>
      </w:r>
      <w:r w:rsidRPr="002E1714">
        <w:rPr>
          <w:rFonts w:cs="Arial"/>
          <w:sz w:val="16"/>
          <w:szCs w:val="16"/>
          <w:rtl/>
        </w:rPr>
        <w:t>כא: ד"ה אריסא</w:t>
      </w:r>
      <w:r w:rsidRPr="002E1714">
        <w:rPr>
          <w:rFonts w:cs="Arial" w:hint="cs"/>
          <w:sz w:val="16"/>
          <w:szCs w:val="16"/>
          <w:rtl/>
        </w:rPr>
        <w:t>]</w:t>
      </w:r>
      <w:r w:rsidRPr="002E1714">
        <w:rPr>
          <w:rFonts w:cs="Arial"/>
          <w:sz w:val="16"/>
          <w:szCs w:val="16"/>
          <w:rtl/>
        </w:rPr>
        <w:t>)</w:t>
      </w:r>
      <w:r>
        <w:rPr>
          <w:rFonts w:cs="Arial" w:hint="cs"/>
          <w:rtl/>
        </w:rPr>
        <w:t>-</w:t>
      </w:r>
      <w:r w:rsidRPr="00580330">
        <w:rPr>
          <w:rFonts w:cs="Arial"/>
          <w:rtl/>
        </w:rPr>
        <w:t xml:space="preserve"> להכי מותר באריסות שדה דכיון שאינו נוטל מעות בשכרו אלא נוטל בגוף הקרקע דמי לשותף</w:t>
      </w:r>
      <w:r>
        <w:rPr>
          <w:rFonts w:cs="Arial" w:hint="cs"/>
          <w:rtl/>
        </w:rPr>
        <w:t>,</w:t>
      </w:r>
      <w:r w:rsidRPr="00580330">
        <w:rPr>
          <w:rFonts w:cs="Arial"/>
          <w:rtl/>
        </w:rPr>
        <w:t xml:space="preserve"> אבל בקבלנות דבית שנוטל מעות בשכרו לא הוי כשותף ואסור</w:t>
      </w:r>
      <w:r>
        <w:rPr>
          <w:rFonts w:cs="Arial" w:hint="cs"/>
          <w:rtl/>
        </w:rPr>
        <w:t>,</w:t>
      </w:r>
      <w:r w:rsidRPr="00580330">
        <w:rPr>
          <w:rFonts w:cs="Arial"/>
          <w:rtl/>
        </w:rPr>
        <w:t xml:space="preserve"> ולהכי קאמר הכא דמרחץ אסור דאריסותא למרחץ לא עבדי אינשי דכיון שנוטל מעות בשכרו ולא שייך ליטול זה בגוף המרחץ אסור</w:t>
      </w:r>
      <w:r>
        <w:rPr>
          <w:rFonts w:cs="Arial" w:hint="cs"/>
          <w:rtl/>
        </w:rPr>
        <w:t>.</w:t>
      </w:r>
      <w:r w:rsidRPr="00580330">
        <w:rPr>
          <w:rFonts w:cs="Arial"/>
          <w:rtl/>
        </w:rPr>
        <w:t xml:space="preserve"> ולפ"ז יש להתיר להשכיר ריחיים לגוי היכא שנוטל בקמח לפי חלקו ואינו נוטל מעות דהוי כמו שותפין</w:t>
      </w:r>
      <w:r>
        <w:rPr>
          <w:rStyle w:val="a9"/>
          <w:rFonts w:cs="Arial"/>
          <w:rtl/>
        </w:rPr>
        <w:footnoteReference w:id="24"/>
      </w:r>
      <w:r w:rsidRPr="00580330">
        <w:rPr>
          <w:rFonts w:cs="Arial"/>
          <w:rtl/>
        </w:rPr>
        <w:t xml:space="preserve">. </w:t>
      </w:r>
    </w:p>
    <w:p w14:paraId="4374B04A"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E9BD46E" w14:textId="77777777" w:rsidR="004B2E7C" w:rsidRDefault="004B2E7C" w:rsidP="00434A6A">
      <w:pPr>
        <w:rPr>
          <w:rtl/>
        </w:rPr>
      </w:pPr>
      <w:r>
        <w:rPr>
          <w:rFonts w:cs="Arial"/>
          <w:rtl/>
        </w:rPr>
        <w:t xml:space="preserve">לא ישכיר אדם מרחץ שלו </w:t>
      </w:r>
      <w:r>
        <w:rPr>
          <w:rFonts w:cs="Arial" w:hint="cs"/>
          <w:rtl/>
        </w:rPr>
        <w:t>לגוי</w:t>
      </w:r>
      <w:r>
        <w:rPr>
          <w:rFonts w:cs="Arial"/>
          <w:rtl/>
        </w:rPr>
        <w:t xml:space="preserve">, מפני שנקרא על שמו, </w:t>
      </w:r>
      <w:r>
        <w:rPr>
          <w:rFonts w:cs="Arial" w:hint="cs"/>
          <w:rtl/>
        </w:rPr>
        <w:t>וגוי</w:t>
      </w:r>
      <w:r>
        <w:rPr>
          <w:rFonts w:cs="Arial"/>
          <w:rtl/>
        </w:rPr>
        <w:t xml:space="preserve"> זה עושה מלאכה בו בשבת, דסתם מרחץ לאו לאריסותא עביד, ואמרי שכל הריוח של ישראל ושכר את </w:t>
      </w:r>
      <w:r>
        <w:rPr>
          <w:rFonts w:cs="Arial" w:hint="cs"/>
          <w:rtl/>
        </w:rPr>
        <w:t>הגוי</w:t>
      </w:r>
      <w:r>
        <w:rPr>
          <w:rFonts w:cs="Arial"/>
          <w:rtl/>
        </w:rPr>
        <w:t xml:space="preserve"> בכך וכך ליום, ונמצא </w:t>
      </w:r>
      <w:r>
        <w:rPr>
          <w:rFonts w:cs="Arial" w:hint="cs"/>
          <w:rtl/>
        </w:rPr>
        <w:t>הגוי</w:t>
      </w:r>
      <w:r>
        <w:rPr>
          <w:rFonts w:cs="Arial"/>
          <w:rtl/>
        </w:rPr>
        <w:t xml:space="preserve"> עושה מלאכה בשליחותו של ישראל</w:t>
      </w:r>
      <w:r>
        <w:rPr>
          <w:rFonts w:cs="Arial" w:hint="cs"/>
          <w:rtl/>
        </w:rPr>
        <w:t>.</w:t>
      </w:r>
      <w:r>
        <w:rPr>
          <w:rFonts w:cs="Arial"/>
          <w:rtl/>
        </w:rPr>
        <w:t xml:space="preserve"> אבל שדה מותר, שכן דרך לקבל שדה באריסות, ואף על פי שיודעים שהוא של ישראל, אומרים: </w:t>
      </w:r>
      <w:r>
        <w:rPr>
          <w:rFonts w:cs="Arial" w:hint="cs"/>
          <w:rtl/>
        </w:rPr>
        <w:t>הגוי</w:t>
      </w:r>
      <w:r>
        <w:rPr>
          <w:rFonts w:cs="Arial"/>
          <w:rtl/>
        </w:rPr>
        <w:t xml:space="preserve"> לקחה באריסות, ולעצמו הוא עובד</w:t>
      </w:r>
      <w:r>
        <w:rPr>
          <w:rFonts w:cs="Arial" w:hint="cs"/>
          <w:rtl/>
        </w:rPr>
        <w:t>.</w:t>
      </w:r>
      <w:r>
        <w:rPr>
          <w:rFonts w:cs="Arial"/>
          <w:rtl/>
        </w:rPr>
        <w:t xml:space="preserve"> ותנור, דינו כמרחץ</w:t>
      </w:r>
      <w:r>
        <w:rPr>
          <w:rFonts w:cs="Arial" w:hint="cs"/>
          <w:rtl/>
        </w:rPr>
        <w:t>.</w:t>
      </w:r>
      <w:r>
        <w:rPr>
          <w:rFonts w:cs="Arial"/>
          <w:rtl/>
        </w:rPr>
        <w:t xml:space="preserve"> ורחיים, דינם כשדה. </w:t>
      </w:r>
      <w:r w:rsidRPr="0095772C">
        <w:rPr>
          <w:rFonts w:cs="Arial"/>
          <w:sz w:val="18"/>
          <w:szCs w:val="18"/>
          <w:rtl/>
        </w:rPr>
        <w:t>הגה: ואף על פי שלא לקחה ה</w:t>
      </w:r>
      <w:r>
        <w:rPr>
          <w:rFonts w:cs="Arial" w:hint="cs"/>
          <w:sz w:val="18"/>
          <w:szCs w:val="18"/>
          <w:rtl/>
        </w:rPr>
        <w:t>גו</w:t>
      </w:r>
      <w:r w:rsidRPr="0095772C">
        <w:rPr>
          <w:rFonts w:cs="Arial"/>
          <w:sz w:val="18"/>
          <w:szCs w:val="18"/>
          <w:rtl/>
        </w:rPr>
        <w:t>י רק לשליש או לרביע, ויש לישראל הנאה במה שה</w:t>
      </w:r>
      <w:r>
        <w:rPr>
          <w:rFonts w:cs="Arial" w:hint="cs"/>
          <w:sz w:val="18"/>
          <w:szCs w:val="18"/>
          <w:rtl/>
        </w:rPr>
        <w:t>גו</w:t>
      </w:r>
      <w:r w:rsidRPr="0095772C">
        <w:rPr>
          <w:rFonts w:cs="Arial"/>
          <w:sz w:val="18"/>
          <w:szCs w:val="18"/>
          <w:rtl/>
        </w:rPr>
        <w:t>י עובד בשבת, שרי, ד</w:t>
      </w:r>
      <w:r>
        <w:rPr>
          <w:rFonts w:cs="Arial" w:hint="cs"/>
          <w:sz w:val="18"/>
          <w:szCs w:val="18"/>
          <w:rtl/>
        </w:rPr>
        <w:t>גו</w:t>
      </w:r>
      <w:r w:rsidRPr="0095772C">
        <w:rPr>
          <w:rFonts w:cs="Arial"/>
          <w:sz w:val="18"/>
          <w:szCs w:val="18"/>
          <w:rtl/>
        </w:rPr>
        <w:t>י אדעתא דנפשיה עובד</w:t>
      </w:r>
      <w:r>
        <w:rPr>
          <w:rStyle w:val="a9"/>
          <w:rFonts w:cs="Arial"/>
          <w:sz w:val="18"/>
          <w:szCs w:val="18"/>
          <w:rtl/>
        </w:rPr>
        <w:footnoteReference w:id="25"/>
      </w:r>
      <w:r w:rsidRPr="0095772C">
        <w:rPr>
          <w:rFonts w:cs="Arial"/>
          <w:sz w:val="18"/>
          <w:szCs w:val="18"/>
          <w:rtl/>
        </w:rPr>
        <w:t xml:space="preserve"> (ב"י בשם מיימוני פ"ז וב"י סימן רמ"ה בשם סה"ת). </w:t>
      </w:r>
    </w:p>
    <w:p w14:paraId="6B318016" w14:textId="77777777" w:rsidR="004B2E7C" w:rsidRDefault="004B2E7C" w:rsidP="00434A6A">
      <w:pPr>
        <w:rPr>
          <w:rtl/>
        </w:rPr>
      </w:pPr>
    </w:p>
    <w:p w14:paraId="650BBD35" w14:textId="77777777" w:rsidR="004B2E7C" w:rsidRDefault="004B2E7C" w:rsidP="00434A6A">
      <w:pPr>
        <w:pStyle w:val="2"/>
        <w:rPr>
          <w:rtl/>
        </w:rPr>
      </w:pPr>
      <w:r>
        <w:rPr>
          <w:rtl/>
        </w:rPr>
        <w:lastRenderedPageBreak/>
        <w:t>סעיף ב</w:t>
      </w:r>
      <w:r>
        <w:rPr>
          <w:rFonts w:hint="cs"/>
          <w:rtl/>
        </w:rPr>
        <w:t>: השכרת דבר שדרך להשכירו או שנתפרסם שרגיל להשכירו.</w:t>
      </w:r>
    </w:p>
    <w:p w14:paraId="0E6685C8" w14:textId="77777777" w:rsidR="004B2E7C" w:rsidRDefault="004B2E7C" w:rsidP="00434A6A">
      <w:pPr>
        <w:rPr>
          <w:rtl/>
        </w:rPr>
      </w:pPr>
      <w:r>
        <w:rPr>
          <w:rFonts w:hint="cs"/>
          <w:rtl/>
        </w:rPr>
        <w:t>עיין במקורות בסעיף א'.</w:t>
      </w:r>
    </w:p>
    <w:p w14:paraId="0E26EFE0" w14:textId="77777777" w:rsidR="004B2E7C" w:rsidRPr="00580330" w:rsidRDefault="004B2E7C" w:rsidP="00434A6A">
      <w:pPr>
        <w:rPr>
          <w:u w:val="single"/>
          <w:rtl/>
        </w:rPr>
      </w:pPr>
      <w:r w:rsidRPr="00580330">
        <w:rPr>
          <w:rFonts w:cs="Arial"/>
          <w:u w:val="single"/>
          <w:rtl/>
        </w:rPr>
        <w:t>ישראל שקנה מרחץ</w:t>
      </w:r>
      <w:r>
        <w:rPr>
          <w:rFonts w:cs="Arial" w:hint="cs"/>
          <w:u w:val="single"/>
          <w:rtl/>
        </w:rPr>
        <w:t>/תנור</w:t>
      </w:r>
      <w:r w:rsidRPr="00580330">
        <w:rPr>
          <w:rFonts w:cs="Arial"/>
          <w:u w:val="single"/>
          <w:rtl/>
        </w:rPr>
        <w:t xml:space="preserve"> מגוי והשכיר</w:t>
      </w:r>
      <w:r>
        <w:rPr>
          <w:rFonts w:cs="Arial" w:hint="cs"/>
          <w:u w:val="single"/>
          <w:rtl/>
        </w:rPr>
        <w:t>ו</w:t>
      </w:r>
      <w:r w:rsidRPr="00580330">
        <w:rPr>
          <w:rFonts w:cs="Arial"/>
          <w:u w:val="single"/>
          <w:rtl/>
        </w:rPr>
        <w:t xml:space="preserve"> לגוי</w:t>
      </w:r>
      <w:r w:rsidRPr="00580330">
        <w:rPr>
          <w:rFonts w:hint="cs"/>
          <w:u w:val="single"/>
          <w:rtl/>
        </w:rPr>
        <w:t>:</w:t>
      </w:r>
    </w:p>
    <w:p w14:paraId="06CD09EB" w14:textId="77777777" w:rsidR="004B2E7C" w:rsidRDefault="004B2E7C" w:rsidP="00FF2D21">
      <w:pPr>
        <w:pStyle w:val="aa"/>
        <w:numPr>
          <w:ilvl w:val="0"/>
          <w:numId w:val="101"/>
        </w:numPr>
        <w:rPr>
          <w:rFonts w:cs="Arial"/>
        </w:rPr>
      </w:pPr>
      <w:r>
        <w:rPr>
          <w:rFonts w:cs="Arial" w:hint="cs"/>
          <w:rtl/>
        </w:rPr>
        <w:t xml:space="preserve">תשובות רב נטורנאי גאון </w:t>
      </w:r>
      <w:r>
        <w:rPr>
          <w:rFonts w:cs="Arial" w:hint="cs"/>
          <w:sz w:val="16"/>
          <w:szCs w:val="16"/>
          <w:rtl/>
        </w:rPr>
        <w:t>(או"ח סי' נט, מהדו' ברודי)</w:t>
      </w:r>
      <w:r>
        <w:rPr>
          <w:rFonts w:cs="Arial" w:hint="cs"/>
          <w:rtl/>
        </w:rPr>
        <w:t xml:space="preserve">- </w:t>
      </w:r>
      <w:r w:rsidRPr="00B259D0">
        <w:rPr>
          <w:rFonts w:cs="Arial"/>
          <w:rtl/>
        </w:rPr>
        <w:t>ונשאל מלפני רב נטרונאי גאון ז"ל</w:t>
      </w:r>
      <w:r>
        <w:rPr>
          <w:rFonts w:cs="Arial" w:hint="cs"/>
          <w:rtl/>
        </w:rPr>
        <w:t>.</w:t>
      </w:r>
      <w:r w:rsidRPr="00B259D0">
        <w:rPr>
          <w:rFonts w:cs="Arial"/>
          <w:rtl/>
        </w:rPr>
        <w:t xml:space="preserve"> ישראל שקנה מרחץ או פורני והשכירם לגוים לשנה או לחדש, והגוי עושה בהם בשבת ובחול, שכרו מותר או לא. כי מצאנו מקצת גאונים אוסרים מפני שנקראת על שמו, ויש מי שמתיר ואומר: אין שביתה לכלים, וזה שאמרו (ע"ז כא</w:t>
      </w:r>
      <w:r>
        <w:rPr>
          <w:rFonts w:cs="Arial" w:hint="cs"/>
          <w:rtl/>
        </w:rPr>
        <w:t>:</w:t>
      </w:r>
      <w:r w:rsidRPr="00B259D0">
        <w:rPr>
          <w:rFonts w:cs="Arial"/>
          <w:rtl/>
        </w:rPr>
        <w:t>) מפני שנקראת על שמו, אינו אלא בישראל שבנה לעצמו מרחץ או פורני וישב הוא בעצמו בהם, ופעמים שישכירה וישאר שמו עליה, שהעוברים והשבים אומרים "הלא זה מרחץ של פלוני", אבל מי שלא ישב עליו ולא נקרא עליו שמו מעולם, אלא מגוי קנאו ולגוי השכירו ולא נקרא עליו שם יהודי מעולם, למה נאסר אותו. ילמדנו אדוננו.</w:t>
      </w:r>
      <w:r>
        <w:rPr>
          <w:rFonts w:cs="Arial" w:hint="cs"/>
          <w:rtl/>
        </w:rPr>
        <w:t xml:space="preserve"> </w:t>
      </w:r>
      <w:r w:rsidRPr="00B259D0">
        <w:rPr>
          <w:rFonts w:cs="Arial"/>
          <w:rtl/>
        </w:rPr>
        <w:t>והשיב: כך ראינו, כי ודאי שביתת כלים לבית שמאי היא ואין הלכה כמותם. ושאמרתם שכרו אסור - אפילו במקום שאסור להשכיר את המרחץ לגוי, אם השכירו לו עבדיה לאיסור</w:t>
      </w:r>
      <w:r>
        <w:rPr>
          <w:rFonts w:cs="Arial" w:hint="cs"/>
          <w:rtl/>
        </w:rPr>
        <w:t>א,</w:t>
      </w:r>
      <w:r w:rsidRPr="00B259D0">
        <w:rPr>
          <w:rFonts w:cs="Arial"/>
          <w:rtl/>
        </w:rPr>
        <w:t xml:space="preserve"> ולא יעמיד ביד הגוי שכרו</w:t>
      </w:r>
      <w:r>
        <w:rPr>
          <w:rFonts w:cs="Arial" w:hint="cs"/>
          <w:rtl/>
        </w:rPr>
        <w:t>,</w:t>
      </w:r>
      <w:r w:rsidRPr="00B259D0">
        <w:rPr>
          <w:rFonts w:cs="Arial"/>
          <w:rtl/>
        </w:rPr>
        <w:t xml:space="preserve"> שכבר מותר</w:t>
      </w:r>
      <w:r>
        <w:rPr>
          <w:rStyle w:val="a9"/>
          <w:rFonts w:cs="Arial"/>
          <w:rtl/>
        </w:rPr>
        <w:footnoteReference w:id="26"/>
      </w:r>
      <w:r w:rsidRPr="00B259D0">
        <w:rPr>
          <w:rFonts w:cs="Arial"/>
          <w:rtl/>
        </w:rPr>
        <w:t>. וזה שלא נקרא שמו עליו מעולם, ואין בו עליו חשש מראית עין כל עיקר, אין אנו רואים בו איסור</w:t>
      </w:r>
      <w:r w:rsidRPr="00B259D0">
        <w:rPr>
          <w:rFonts w:cs="Arial" w:hint="cs"/>
          <w:rtl/>
        </w:rPr>
        <w:t>.</w:t>
      </w:r>
      <w:r w:rsidRPr="00A630B7">
        <w:rPr>
          <w:rFonts w:cs="Arial"/>
          <w:rtl/>
        </w:rPr>
        <w:t xml:space="preserve"> </w:t>
      </w:r>
      <w:r>
        <w:rPr>
          <w:rFonts w:cs="Arial" w:hint="cs"/>
          <w:rtl/>
        </w:rPr>
        <w:t xml:space="preserve">(וכ"פ המג"א </w:t>
      </w:r>
      <w:r>
        <w:rPr>
          <w:rFonts w:cs="Arial" w:hint="cs"/>
          <w:sz w:val="16"/>
          <w:szCs w:val="16"/>
          <w:rtl/>
        </w:rPr>
        <w:t xml:space="preserve">[סק"ג] </w:t>
      </w:r>
      <w:r>
        <w:rPr>
          <w:rFonts w:cs="Arial" w:hint="cs"/>
          <w:rtl/>
        </w:rPr>
        <w:t>והמשנ"ב</w:t>
      </w:r>
      <w:r>
        <w:rPr>
          <w:rFonts w:cs="Arial" w:hint="cs"/>
          <w:sz w:val="16"/>
          <w:szCs w:val="16"/>
          <w:rtl/>
        </w:rPr>
        <w:t xml:space="preserve"> [סקי"ב]</w:t>
      </w:r>
      <w:r>
        <w:rPr>
          <w:rFonts w:cs="Arial" w:hint="cs"/>
          <w:rtl/>
        </w:rPr>
        <w:t>)</w:t>
      </w:r>
    </w:p>
    <w:p w14:paraId="03022FED" w14:textId="77777777" w:rsidR="004B2E7C" w:rsidRPr="009B2EA3" w:rsidRDefault="004B2E7C" w:rsidP="00434A6A">
      <w:pPr>
        <w:rPr>
          <w:rFonts w:cs="Arial"/>
          <w:u w:val="single"/>
        </w:rPr>
      </w:pPr>
      <w:r w:rsidRPr="009B2EA3">
        <w:rPr>
          <w:rFonts w:cs="Arial" w:hint="cs"/>
          <w:u w:val="single"/>
          <w:rtl/>
        </w:rPr>
        <w:t>מקום שאין נוהגים להשכיר מרחץ, ויש לאדם מרחץ בביתו שרוחצים בו רק הוא ושכניו:</w:t>
      </w:r>
    </w:p>
    <w:p w14:paraId="05F54961" w14:textId="77777777" w:rsidR="004B2E7C" w:rsidRPr="002F7579" w:rsidRDefault="004B2E7C" w:rsidP="00FF2D21">
      <w:pPr>
        <w:pStyle w:val="aa"/>
        <w:numPr>
          <w:ilvl w:val="0"/>
          <w:numId w:val="101"/>
        </w:numPr>
        <w:rPr>
          <w:rtl/>
        </w:rPr>
      </w:pPr>
      <w:r w:rsidRPr="00580330">
        <w:rPr>
          <w:rFonts w:cs="Arial"/>
          <w:rtl/>
        </w:rPr>
        <w:t xml:space="preserve">מהר"י אבוהב </w:t>
      </w:r>
      <w:r w:rsidRPr="009B2EA3">
        <w:rPr>
          <w:rFonts w:cs="Arial" w:hint="cs"/>
          <w:sz w:val="16"/>
          <w:szCs w:val="16"/>
          <w:rtl/>
        </w:rPr>
        <w:t xml:space="preserve">(כ"כ הב"י בשמו) </w:t>
      </w:r>
      <w:r w:rsidRPr="00580330">
        <w:rPr>
          <w:rFonts w:cs="Arial"/>
          <w:rtl/>
        </w:rPr>
        <w:t xml:space="preserve">בשם ר"ח </w:t>
      </w:r>
      <w:r w:rsidRPr="009B2EA3">
        <w:rPr>
          <w:rFonts w:cs="Arial"/>
          <w:sz w:val="16"/>
          <w:szCs w:val="16"/>
          <w:rtl/>
        </w:rPr>
        <w:t>(ע"ז יט</w:t>
      </w:r>
      <w:r>
        <w:rPr>
          <w:rFonts w:cs="Arial" w:hint="cs"/>
          <w:sz w:val="16"/>
          <w:szCs w:val="16"/>
          <w:rtl/>
        </w:rPr>
        <w:t>:</w:t>
      </w:r>
      <w:r w:rsidRPr="009B2EA3">
        <w:rPr>
          <w:rFonts w:cs="Arial"/>
          <w:sz w:val="16"/>
          <w:szCs w:val="16"/>
          <w:rtl/>
        </w:rPr>
        <w:t>)</w:t>
      </w:r>
      <w:r w:rsidRPr="009B2EA3">
        <w:rPr>
          <w:rFonts w:cs="Arial"/>
          <w:rtl/>
        </w:rPr>
        <w:t xml:space="preserve"> </w:t>
      </w:r>
      <w:r>
        <w:rPr>
          <w:rFonts w:cs="Arial" w:hint="cs"/>
          <w:rtl/>
        </w:rPr>
        <w:t>ו</w:t>
      </w:r>
      <w:r w:rsidRPr="00E86646">
        <w:rPr>
          <w:rFonts w:cs="Arial"/>
          <w:rtl/>
        </w:rPr>
        <w:t>או</w:t>
      </w:r>
      <w:r>
        <w:rPr>
          <w:rFonts w:cs="Arial" w:hint="cs"/>
          <w:rtl/>
        </w:rPr>
        <w:t>"</w:t>
      </w:r>
      <w:r w:rsidRPr="00E86646">
        <w:rPr>
          <w:rFonts w:cs="Arial"/>
          <w:rtl/>
        </w:rPr>
        <w:t xml:space="preserve">ז </w:t>
      </w:r>
      <w:r w:rsidRPr="009B2EA3">
        <w:rPr>
          <w:rFonts w:cs="Arial"/>
          <w:sz w:val="16"/>
          <w:szCs w:val="16"/>
          <w:rtl/>
        </w:rPr>
        <w:t>(הל' ערב שבת סי' ב סוף סק"ד</w:t>
      </w:r>
      <w:r w:rsidRPr="009B2EA3">
        <w:rPr>
          <w:rFonts w:cs="Arial" w:hint="cs"/>
          <w:sz w:val="16"/>
          <w:szCs w:val="16"/>
          <w:rtl/>
        </w:rPr>
        <w:t>, כ"כ הדרכ"מ [אות ב] בשמו</w:t>
      </w:r>
      <w:r w:rsidRPr="009B2EA3">
        <w:rPr>
          <w:rFonts w:cs="Arial"/>
          <w:sz w:val="16"/>
          <w:szCs w:val="16"/>
          <w:rtl/>
        </w:rPr>
        <w:t>)</w:t>
      </w:r>
      <w:r>
        <w:rPr>
          <w:rFonts w:cs="Arial" w:hint="cs"/>
          <w:rtl/>
        </w:rPr>
        <w:t xml:space="preserve">- </w:t>
      </w:r>
      <w:r w:rsidRPr="00580330">
        <w:rPr>
          <w:rFonts w:cs="Arial"/>
          <w:rtl/>
        </w:rPr>
        <w:t xml:space="preserve">אם יש לישראל דירה ובתוכה מרחץ שאין רוחצין בו אלא שכני הדירה </w:t>
      </w:r>
      <w:r>
        <w:rPr>
          <w:rFonts w:cs="Arial" w:hint="cs"/>
          <w:rtl/>
        </w:rPr>
        <w:t xml:space="preserve">- </w:t>
      </w:r>
      <w:r w:rsidRPr="00580330">
        <w:rPr>
          <w:rFonts w:cs="Arial"/>
          <w:rtl/>
        </w:rPr>
        <w:t>מותר להשכיר לגוי</w:t>
      </w:r>
      <w:r>
        <w:rPr>
          <w:rFonts w:cs="Arial" w:hint="cs"/>
          <w:rtl/>
        </w:rPr>
        <w:t>.</w:t>
      </w:r>
      <w:r w:rsidRPr="00580330">
        <w:rPr>
          <w:rFonts w:cs="Arial"/>
          <w:rtl/>
        </w:rPr>
        <w:t xml:space="preserve"> ונפקא מינה למקום שאין נוהגין להשכיר מרחץ ואפ"ה בכהאי גוונא שרי משום דמאחר שאין רוחצין בו אלא שכני הדירה כבר ידוע להם שהשכירו לגוי</w:t>
      </w:r>
      <w:r>
        <w:rPr>
          <w:rFonts w:cs="Arial" w:hint="cs"/>
          <w:sz w:val="16"/>
          <w:szCs w:val="16"/>
          <w:rtl/>
        </w:rPr>
        <w:t xml:space="preserve"> (ל' הב"י בשם מהר"י אבוהב)</w:t>
      </w:r>
      <w:r>
        <w:rPr>
          <w:rFonts w:cs="Arial" w:hint="cs"/>
          <w:rtl/>
        </w:rPr>
        <w:t>.</w:t>
      </w:r>
      <w:r>
        <w:rPr>
          <w:rFonts w:hint="cs"/>
          <w:rtl/>
        </w:rPr>
        <w:t xml:space="preserve"> </w:t>
      </w:r>
      <w:r w:rsidRPr="000302A8">
        <w:rPr>
          <w:rFonts w:hint="cs"/>
          <w:color w:val="00B0F0"/>
          <w:rtl/>
        </w:rPr>
        <w:t>(וכ"פ הרמ"א)</w:t>
      </w:r>
    </w:p>
    <w:p w14:paraId="2E0CBD26"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39C11A09" w14:textId="77777777" w:rsidR="004B2E7C" w:rsidRDefault="004B2E7C" w:rsidP="00434A6A">
      <w:pPr>
        <w:rPr>
          <w:rtl/>
        </w:rPr>
      </w:pPr>
      <w:r>
        <w:rPr>
          <w:rFonts w:cs="Arial"/>
          <w:rtl/>
        </w:rPr>
        <w:t>אפי</w:t>
      </w:r>
      <w:r>
        <w:rPr>
          <w:rFonts w:cs="Arial" w:hint="cs"/>
          <w:rtl/>
        </w:rPr>
        <w:t>לו</w:t>
      </w:r>
      <w:r>
        <w:rPr>
          <w:rFonts w:cs="Arial"/>
          <w:rtl/>
        </w:rPr>
        <w:t xml:space="preserve"> מרחץ או תנור, אם השכירם שנה אחר שנה ונתפרסם הדבר על ידי כך שאין דרכו לשכור פועלים אלא להשכירם, וכן אם מנהג רוב אנשי אותו המקום להשכירם או ליתנם באריסות, מותר להשכירם </w:t>
      </w:r>
      <w:r>
        <w:rPr>
          <w:rFonts w:cs="Arial" w:hint="cs"/>
          <w:rtl/>
        </w:rPr>
        <w:t>לגוי</w:t>
      </w:r>
      <w:r>
        <w:rPr>
          <w:rFonts w:cs="Arial"/>
          <w:rtl/>
        </w:rPr>
        <w:t xml:space="preserve"> או ליתנם לו באריסות. </w:t>
      </w:r>
      <w:r w:rsidRPr="0095772C">
        <w:rPr>
          <w:rFonts w:cs="Arial"/>
          <w:sz w:val="18"/>
          <w:szCs w:val="18"/>
          <w:rtl/>
        </w:rPr>
        <w:t xml:space="preserve">הגה: ואפילו במקום האסור, אם אין המרחץ או התנור של ישראל רק שכרם </w:t>
      </w:r>
      <w:r>
        <w:rPr>
          <w:rFonts w:cs="Arial" w:hint="cs"/>
          <w:sz w:val="18"/>
          <w:szCs w:val="18"/>
          <w:rtl/>
        </w:rPr>
        <w:t>מגוי</w:t>
      </w:r>
      <w:r w:rsidRPr="0095772C">
        <w:rPr>
          <w:rFonts w:cs="Arial"/>
          <w:sz w:val="18"/>
          <w:szCs w:val="18"/>
          <w:rtl/>
        </w:rPr>
        <w:t xml:space="preserve"> וחזר והשכירם </w:t>
      </w:r>
      <w:r>
        <w:rPr>
          <w:rFonts w:cs="Arial" w:hint="cs"/>
          <w:sz w:val="18"/>
          <w:szCs w:val="18"/>
          <w:rtl/>
        </w:rPr>
        <w:t>לגוי</w:t>
      </w:r>
      <w:r w:rsidRPr="0095772C">
        <w:rPr>
          <w:rFonts w:cs="Arial"/>
          <w:sz w:val="18"/>
          <w:szCs w:val="18"/>
          <w:rtl/>
        </w:rPr>
        <w:t>, שרי, דאין שם הישראל נקרא עליו (א</w:t>
      </w:r>
      <w:r>
        <w:rPr>
          <w:rFonts w:cs="Arial" w:hint="cs"/>
          <w:sz w:val="18"/>
          <w:szCs w:val="18"/>
          <w:rtl/>
        </w:rPr>
        <w:t>ו</w:t>
      </w:r>
      <w:r w:rsidRPr="0095772C">
        <w:rPr>
          <w:rFonts w:cs="Arial"/>
          <w:sz w:val="18"/>
          <w:szCs w:val="18"/>
          <w:rtl/>
        </w:rPr>
        <w:t>"ז בשם גאונים). וכן אם יש מרחץ בבית דירה</w:t>
      </w:r>
      <w:r>
        <w:rPr>
          <w:rStyle w:val="a9"/>
          <w:rFonts w:cs="Arial"/>
          <w:sz w:val="18"/>
          <w:szCs w:val="18"/>
          <w:rtl/>
        </w:rPr>
        <w:footnoteReference w:id="27"/>
      </w:r>
      <w:r w:rsidRPr="0095772C">
        <w:rPr>
          <w:rFonts w:cs="Arial"/>
          <w:sz w:val="18"/>
          <w:szCs w:val="18"/>
          <w:rtl/>
        </w:rPr>
        <w:t xml:space="preserve">, ואין רוחצין במרחץ רק אותן שבביתו והם יודעים ששכרו </w:t>
      </w:r>
      <w:r>
        <w:rPr>
          <w:rFonts w:cs="Arial" w:hint="cs"/>
          <w:sz w:val="18"/>
          <w:szCs w:val="18"/>
          <w:rtl/>
        </w:rPr>
        <w:t>גוי</w:t>
      </w:r>
      <w:r w:rsidRPr="0095772C">
        <w:rPr>
          <w:rFonts w:cs="Arial"/>
          <w:sz w:val="18"/>
          <w:szCs w:val="18"/>
          <w:rtl/>
        </w:rPr>
        <w:t>, שרי (ב"י בשם מהרי"א ור"ח וא"ז). ואם עבר והשכירו במקום האסור, י"א ששכרו מותר</w:t>
      </w:r>
      <w:r>
        <w:rPr>
          <w:rStyle w:val="a9"/>
          <w:rFonts w:cs="Arial"/>
          <w:sz w:val="18"/>
          <w:szCs w:val="18"/>
          <w:rtl/>
        </w:rPr>
        <w:footnoteReference w:id="28"/>
      </w:r>
      <w:r w:rsidRPr="0095772C">
        <w:rPr>
          <w:rFonts w:cs="Arial"/>
          <w:sz w:val="18"/>
          <w:szCs w:val="18"/>
          <w:rtl/>
        </w:rPr>
        <w:t xml:space="preserve"> (ב"י בשם הגאונים), וי"א שאסור (מרדכי פ"ק דשבת), וכן עיקר (וע"ל ס</w:t>
      </w:r>
      <w:r>
        <w:rPr>
          <w:rFonts w:cs="Arial" w:hint="cs"/>
          <w:sz w:val="18"/>
          <w:szCs w:val="18"/>
          <w:rtl/>
        </w:rPr>
        <w:t>"ס</w:t>
      </w:r>
      <w:r w:rsidRPr="0095772C">
        <w:rPr>
          <w:rFonts w:cs="Arial"/>
          <w:sz w:val="18"/>
          <w:szCs w:val="18"/>
          <w:rtl/>
        </w:rPr>
        <w:t xml:space="preserve"> רמ"ה).</w:t>
      </w:r>
    </w:p>
    <w:p w14:paraId="4010A18D" w14:textId="77777777" w:rsidR="004B2E7C" w:rsidRDefault="004B2E7C" w:rsidP="00434A6A">
      <w:pPr>
        <w:rPr>
          <w:rtl/>
        </w:rPr>
      </w:pPr>
    </w:p>
    <w:p w14:paraId="59126AF3" w14:textId="77777777" w:rsidR="004B2E7C" w:rsidRDefault="004B2E7C" w:rsidP="00434A6A">
      <w:pPr>
        <w:pStyle w:val="1"/>
        <w:rPr>
          <w:rtl/>
        </w:rPr>
        <w:sectPr w:rsidR="004B2E7C" w:rsidSect="00BD29B1">
          <w:headerReference w:type="default" r:id="rId14"/>
          <w:footnotePr>
            <w:numRestart w:val="eachSect"/>
          </w:footnotePr>
          <w:pgSz w:w="11906" w:h="16838"/>
          <w:pgMar w:top="720" w:right="1134" w:bottom="720" w:left="1134" w:header="0" w:footer="0" w:gutter="0"/>
          <w:cols w:space="720"/>
          <w:bidi/>
          <w:rtlGutter/>
          <w:docGrid w:linePitch="360"/>
        </w:sectPr>
      </w:pPr>
    </w:p>
    <w:p w14:paraId="329DC61E" w14:textId="77777777" w:rsidR="004B2E7C" w:rsidRDefault="004B2E7C" w:rsidP="00434A6A">
      <w:pPr>
        <w:pStyle w:val="1"/>
        <w:rPr>
          <w:rtl/>
        </w:rPr>
      </w:pPr>
      <w:r>
        <w:rPr>
          <w:rFonts w:hint="cs"/>
          <w:rtl/>
        </w:rPr>
        <w:lastRenderedPageBreak/>
        <w:t>סימן רמד:</w:t>
      </w:r>
      <w:r w:rsidRPr="0085796F">
        <w:rPr>
          <w:rtl/>
        </w:rPr>
        <w:t xml:space="preserve"> </w:t>
      </w:r>
      <w:r>
        <w:rPr>
          <w:rtl/>
        </w:rPr>
        <w:t xml:space="preserve">איזה מלאכות יכול </w:t>
      </w:r>
      <w:r>
        <w:rPr>
          <w:rFonts w:hint="cs"/>
          <w:rtl/>
        </w:rPr>
        <w:t>הגוי</w:t>
      </w:r>
      <w:r>
        <w:rPr>
          <w:rtl/>
        </w:rPr>
        <w:t xml:space="preserve"> לעשות בעד הישראל, ובו ו' סעיפים. </w:t>
      </w:r>
    </w:p>
    <w:p w14:paraId="69C63E91" w14:textId="77777777" w:rsidR="004B2E7C" w:rsidRDefault="004B2E7C" w:rsidP="00434A6A">
      <w:pPr>
        <w:pStyle w:val="2"/>
        <w:rPr>
          <w:rtl/>
        </w:rPr>
      </w:pPr>
      <w:r>
        <w:rPr>
          <w:rtl/>
        </w:rPr>
        <w:t>סעיף א</w:t>
      </w:r>
      <w:r>
        <w:rPr>
          <w:rFonts w:hint="cs"/>
          <w:rtl/>
        </w:rPr>
        <w:t>:</w:t>
      </w:r>
      <w:r w:rsidRPr="00B371FD">
        <w:rPr>
          <w:rtl/>
        </w:rPr>
        <w:t xml:space="preserve"> </w:t>
      </w:r>
      <w:r w:rsidRPr="001A71FD">
        <w:rPr>
          <w:rtl/>
        </w:rPr>
        <w:t xml:space="preserve">ישראל שכר </w:t>
      </w:r>
      <w:r>
        <w:rPr>
          <w:rtl/>
        </w:rPr>
        <w:t>גוי</w:t>
      </w:r>
      <w:r w:rsidRPr="001A71FD">
        <w:rPr>
          <w:rtl/>
        </w:rPr>
        <w:t xml:space="preserve"> לבנות לו בית בקבלנות</w:t>
      </w:r>
      <w:r>
        <w:rPr>
          <w:rFonts w:hint="cs"/>
          <w:rtl/>
        </w:rPr>
        <w:t>.</w:t>
      </w:r>
    </w:p>
    <w:p w14:paraId="755B406D" w14:textId="77777777" w:rsidR="004B2E7C" w:rsidRPr="00AC64E4" w:rsidRDefault="004B2E7C" w:rsidP="00434A6A">
      <w:pPr>
        <w:rPr>
          <w:sz w:val="16"/>
          <w:szCs w:val="16"/>
          <w:rtl/>
        </w:rPr>
      </w:pPr>
      <w:r w:rsidRPr="003B04BC">
        <w:rPr>
          <w:rFonts w:cs="Arial" w:hint="cs"/>
          <w:b/>
          <w:bCs/>
          <w:rtl/>
        </w:rPr>
        <w:t xml:space="preserve">ירושלמי שבת פ"א ה"ח: </w:t>
      </w:r>
      <w:r w:rsidRPr="003B04BC">
        <w:rPr>
          <w:rFonts w:cs="Arial"/>
          <w:rtl/>
        </w:rPr>
        <w:t xml:space="preserve">תני אומנין </w:t>
      </w:r>
      <w:r>
        <w:rPr>
          <w:rFonts w:cs="Arial"/>
          <w:rtl/>
        </w:rPr>
        <w:t>גוי</w:t>
      </w:r>
      <w:r w:rsidRPr="003B04BC">
        <w:rPr>
          <w:rFonts w:cs="Arial"/>
          <w:rtl/>
        </w:rPr>
        <w:t>שהיו עושין עם ישראל</w:t>
      </w:r>
      <w:r>
        <w:rPr>
          <w:rFonts w:cs="Arial" w:hint="cs"/>
          <w:rtl/>
        </w:rPr>
        <w:t>,</w:t>
      </w:r>
      <w:r w:rsidRPr="003B04BC">
        <w:rPr>
          <w:rFonts w:cs="Arial"/>
          <w:rtl/>
        </w:rPr>
        <w:t xml:space="preserve"> בתוך ביתו של ישראל </w:t>
      </w:r>
      <w:r>
        <w:rPr>
          <w:rFonts w:cs="Arial" w:hint="cs"/>
          <w:rtl/>
        </w:rPr>
        <w:t xml:space="preserve">- </w:t>
      </w:r>
      <w:r w:rsidRPr="003B04BC">
        <w:rPr>
          <w:rFonts w:cs="Arial"/>
          <w:rtl/>
        </w:rPr>
        <w:t>אסור</w:t>
      </w:r>
      <w:r>
        <w:rPr>
          <w:rFonts w:cs="Arial" w:hint="cs"/>
          <w:rtl/>
        </w:rPr>
        <w:t>.</w:t>
      </w:r>
      <w:r w:rsidRPr="003B04BC">
        <w:rPr>
          <w:rFonts w:cs="Arial"/>
          <w:rtl/>
        </w:rPr>
        <w:t xml:space="preserve"> ובתוך בתיהן</w:t>
      </w:r>
      <w:r>
        <w:rPr>
          <w:rFonts w:cs="Arial" w:hint="cs"/>
          <w:rtl/>
        </w:rPr>
        <w:t xml:space="preserve"> -</w:t>
      </w:r>
      <w:r w:rsidRPr="003B04BC">
        <w:rPr>
          <w:rFonts w:cs="Arial"/>
          <w:rtl/>
        </w:rPr>
        <w:t xml:space="preserve"> מותר. </w:t>
      </w:r>
      <w:r w:rsidRPr="003B04BC">
        <w:rPr>
          <w:rFonts w:cs="Arial"/>
          <w:u w:val="single"/>
          <w:rtl/>
        </w:rPr>
        <w:t>א"ר שמעון בן לעזר</w:t>
      </w:r>
      <w:r>
        <w:rPr>
          <w:rFonts w:cs="Arial" w:hint="cs"/>
          <w:rtl/>
        </w:rPr>
        <w:t>:</w:t>
      </w:r>
      <w:r w:rsidRPr="003B04BC">
        <w:rPr>
          <w:rFonts w:cs="Arial"/>
          <w:rtl/>
        </w:rPr>
        <w:t xml:space="preserve"> במה דברים אמורים</w:t>
      </w:r>
      <w:r>
        <w:rPr>
          <w:rFonts w:cs="Arial" w:hint="cs"/>
          <w:rtl/>
        </w:rPr>
        <w:t>,</w:t>
      </w:r>
      <w:r w:rsidRPr="003B04BC">
        <w:rPr>
          <w:rFonts w:cs="Arial"/>
          <w:rtl/>
        </w:rPr>
        <w:t xml:space="preserve"> בקיבולת. אבל בשכר יום </w:t>
      </w:r>
      <w:r>
        <w:rPr>
          <w:rFonts w:cs="Arial" w:hint="cs"/>
          <w:rtl/>
        </w:rPr>
        <w:t xml:space="preserve">- </w:t>
      </w:r>
      <w:r w:rsidRPr="003B04BC">
        <w:rPr>
          <w:rFonts w:cs="Arial"/>
          <w:rtl/>
        </w:rPr>
        <w:t>אסור. במה דברים אמורים</w:t>
      </w:r>
      <w:r>
        <w:rPr>
          <w:rFonts w:cs="Arial" w:hint="cs"/>
          <w:rtl/>
        </w:rPr>
        <w:t>,</w:t>
      </w:r>
      <w:r w:rsidRPr="003B04BC">
        <w:rPr>
          <w:rFonts w:cs="Arial"/>
          <w:rtl/>
        </w:rPr>
        <w:t xml:space="preserve"> בתלוש מן הקרקע. אבל במחובר לקרקע </w:t>
      </w:r>
      <w:r>
        <w:rPr>
          <w:rFonts w:cs="Arial" w:hint="cs"/>
          <w:rtl/>
        </w:rPr>
        <w:t xml:space="preserve">- </w:t>
      </w:r>
      <w:r w:rsidRPr="003B04BC">
        <w:rPr>
          <w:rFonts w:cs="Arial"/>
          <w:rtl/>
        </w:rPr>
        <w:t xml:space="preserve">אסור. ובעיר אחרת </w:t>
      </w:r>
      <w:r>
        <w:rPr>
          <w:rFonts w:cs="Arial" w:hint="cs"/>
          <w:rtl/>
        </w:rPr>
        <w:t xml:space="preserve">- </w:t>
      </w:r>
      <w:r w:rsidRPr="003B04BC">
        <w:rPr>
          <w:rFonts w:cs="Arial"/>
          <w:rtl/>
        </w:rPr>
        <w:t>בין כך ובין כך מותר. מהו בין כך ובין כך מותר</w:t>
      </w:r>
      <w:r>
        <w:rPr>
          <w:rFonts w:cs="Arial" w:hint="cs"/>
          <w:rtl/>
        </w:rPr>
        <w:t>?</w:t>
      </w:r>
      <w:r w:rsidRPr="003B04BC">
        <w:rPr>
          <w:rFonts w:cs="Arial"/>
          <w:rtl/>
        </w:rPr>
        <w:t xml:space="preserve"> בין בתלוש ובין במחובר</w:t>
      </w:r>
      <w:r>
        <w:rPr>
          <w:rFonts w:cs="Arial" w:hint="cs"/>
          <w:rtl/>
        </w:rPr>
        <w:t>,</w:t>
      </w:r>
      <w:r w:rsidRPr="003B04BC">
        <w:rPr>
          <w:rFonts w:cs="Arial"/>
          <w:rtl/>
        </w:rPr>
        <w:t xml:space="preserve"> בין בשכיר בין בקיבולת. </w:t>
      </w:r>
      <w:r w:rsidRPr="003B04BC">
        <w:rPr>
          <w:rFonts w:cs="Arial"/>
          <w:u w:val="single"/>
          <w:rtl/>
        </w:rPr>
        <w:t>א"ר אילא</w:t>
      </w:r>
      <w:r>
        <w:rPr>
          <w:rFonts w:cs="Arial" w:hint="cs"/>
          <w:rtl/>
        </w:rPr>
        <w:t>:</w:t>
      </w:r>
      <w:r w:rsidRPr="003B04BC">
        <w:rPr>
          <w:rFonts w:cs="Arial"/>
          <w:rtl/>
        </w:rPr>
        <w:t xml:space="preserve"> בין בתלוש בין במחובר ובלבד בקיבולת. </w:t>
      </w:r>
      <w:r w:rsidRPr="003B04BC">
        <w:rPr>
          <w:rFonts w:cs="Arial"/>
          <w:u w:val="single"/>
          <w:rtl/>
        </w:rPr>
        <w:t>ר"ש בר כרסנה בשם ר' אחא</w:t>
      </w:r>
      <w:r>
        <w:rPr>
          <w:rFonts w:cs="Arial" w:hint="cs"/>
          <w:rtl/>
        </w:rPr>
        <w:t>:</w:t>
      </w:r>
      <w:r w:rsidRPr="003B04BC">
        <w:rPr>
          <w:rFonts w:cs="Arial"/>
          <w:rtl/>
        </w:rPr>
        <w:t xml:space="preserve"> בשבת ובאבל ובע"ז הלכה כר"ש בן אלעזר.</w:t>
      </w:r>
      <w:r>
        <w:rPr>
          <w:rFonts w:hint="cs"/>
          <w:sz w:val="16"/>
          <w:szCs w:val="16"/>
          <w:rtl/>
        </w:rPr>
        <w:t xml:space="preserve"> (הביאוהו התוס' [</w:t>
      </w:r>
      <w:r w:rsidRPr="00161425">
        <w:rPr>
          <w:rFonts w:cs="Arial" w:hint="cs"/>
          <w:sz w:val="16"/>
          <w:szCs w:val="16"/>
          <w:rtl/>
        </w:rPr>
        <w:t xml:space="preserve">יז: ד"ה אין נותנין, </w:t>
      </w:r>
      <w:r w:rsidRPr="00161425">
        <w:rPr>
          <w:rFonts w:cs="Arial"/>
          <w:sz w:val="16"/>
          <w:szCs w:val="16"/>
          <w:rtl/>
        </w:rPr>
        <w:t>כא: ד"ה אריסא</w:t>
      </w:r>
      <w:r>
        <w:rPr>
          <w:rFonts w:hint="cs"/>
          <w:sz w:val="16"/>
          <w:szCs w:val="16"/>
          <w:rtl/>
        </w:rPr>
        <w:t>] הרא"ש [ע"ז פ"א סי' כג] והה"מ [פ"ו הי"ב])</w:t>
      </w:r>
    </w:p>
    <w:p w14:paraId="48C38A30" w14:textId="77777777" w:rsidR="004B2E7C" w:rsidRDefault="004B2E7C" w:rsidP="00434A6A">
      <w:pPr>
        <w:rPr>
          <w:rFonts w:cs="Arial"/>
          <w:rtl/>
        </w:rPr>
      </w:pPr>
      <w:r w:rsidRPr="003B04BC">
        <w:rPr>
          <w:rFonts w:cs="Arial"/>
          <w:b/>
          <w:bCs/>
          <w:rtl/>
        </w:rPr>
        <w:t>מו</w:t>
      </w:r>
      <w:r w:rsidRPr="003B04BC">
        <w:rPr>
          <w:rFonts w:cs="Arial" w:hint="cs"/>
          <w:b/>
          <w:bCs/>
          <w:rtl/>
        </w:rPr>
        <w:t xml:space="preserve">עד </w:t>
      </w:r>
      <w:r w:rsidRPr="003B04BC">
        <w:rPr>
          <w:rFonts w:cs="Arial"/>
          <w:b/>
          <w:bCs/>
          <w:rtl/>
        </w:rPr>
        <w:t>ק</w:t>
      </w:r>
      <w:r w:rsidRPr="003B04BC">
        <w:rPr>
          <w:rFonts w:cs="Arial" w:hint="cs"/>
          <w:b/>
          <w:bCs/>
          <w:rtl/>
        </w:rPr>
        <w:t xml:space="preserve">טן </w:t>
      </w:r>
      <w:r w:rsidRPr="003B04BC">
        <w:rPr>
          <w:rFonts w:cs="Arial" w:hint="cs"/>
          <w:b/>
          <w:bCs/>
          <w:sz w:val="16"/>
          <w:szCs w:val="16"/>
          <w:rtl/>
        </w:rPr>
        <w:t xml:space="preserve">(ר"פ </w:t>
      </w:r>
      <w:r w:rsidRPr="003B04BC">
        <w:rPr>
          <w:rFonts w:cs="Arial"/>
          <w:b/>
          <w:bCs/>
          <w:sz w:val="16"/>
          <w:szCs w:val="16"/>
          <w:rtl/>
        </w:rPr>
        <w:t>מי שהפך</w:t>
      </w:r>
      <w:r w:rsidRPr="003B04BC">
        <w:rPr>
          <w:rFonts w:cs="Arial" w:hint="cs"/>
          <w:b/>
          <w:bCs/>
          <w:sz w:val="16"/>
          <w:szCs w:val="16"/>
          <w:rtl/>
        </w:rPr>
        <w:t>)</w:t>
      </w:r>
      <w:r w:rsidRPr="003B04BC">
        <w:rPr>
          <w:rFonts w:cs="Arial"/>
          <w:b/>
          <w:bCs/>
          <w:sz w:val="16"/>
          <w:szCs w:val="16"/>
          <w:rtl/>
        </w:rPr>
        <w:t xml:space="preserve"> </w:t>
      </w:r>
      <w:r w:rsidRPr="003B04BC">
        <w:rPr>
          <w:rFonts w:cs="Arial"/>
          <w:b/>
          <w:bCs/>
          <w:rtl/>
        </w:rPr>
        <w:t>יב</w:t>
      </w:r>
      <w:r w:rsidRPr="003B04BC">
        <w:rPr>
          <w:rFonts w:cs="Arial" w:hint="cs"/>
          <w:b/>
          <w:bCs/>
          <w:rtl/>
        </w:rPr>
        <w:t xml:space="preserve"> ע"א:</w:t>
      </w:r>
      <w:r>
        <w:rPr>
          <w:rFonts w:cs="Arial"/>
          <w:rtl/>
        </w:rPr>
        <w:t xml:space="preserve"> </w:t>
      </w:r>
      <w:r w:rsidRPr="003B04BC">
        <w:rPr>
          <w:rFonts w:cs="Arial"/>
          <w:u w:val="single"/>
          <w:rtl/>
        </w:rPr>
        <w:t>אמר שמואל</w:t>
      </w:r>
      <w:r w:rsidRPr="003B04BC">
        <w:rPr>
          <w:rFonts w:cs="Arial"/>
          <w:rtl/>
        </w:rPr>
        <w:t xml:space="preserve">: מקבלי קיבולת, בתוך התחום אסור, חוץ לתחום - מותר. </w:t>
      </w:r>
      <w:r w:rsidRPr="003B04BC">
        <w:rPr>
          <w:rFonts w:cs="Arial"/>
          <w:u w:val="single"/>
          <w:rtl/>
        </w:rPr>
        <w:t>אמר רב פפא</w:t>
      </w:r>
      <w:r w:rsidRPr="003B04BC">
        <w:rPr>
          <w:rFonts w:cs="Arial"/>
          <w:rtl/>
        </w:rPr>
        <w:t xml:space="preserve">: ואפילו חוץ לתחום לא אמרן אלא דליכא מתא דמקרבא להתם, אבל איכא מתא דמקרבא להתם - אסור. </w:t>
      </w:r>
      <w:r w:rsidRPr="003B04BC">
        <w:rPr>
          <w:rFonts w:cs="Arial"/>
          <w:u w:val="single"/>
          <w:rtl/>
        </w:rPr>
        <w:t>אמר רב משרשיא</w:t>
      </w:r>
      <w:r w:rsidRPr="003B04BC">
        <w:rPr>
          <w:rFonts w:cs="Arial"/>
          <w:rtl/>
        </w:rPr>
        <w:t>: וכי ליכא מתא דמקרבא להתם נמי, לא אמרן אלא בשבתות ובימים טובים, דלא שכיחי אינשי דאזלי להתם. אבל בחולו של מועד, דשכיחי אינשי דאזלי ואתו להתם - אסור</w:t>
      </w:r>
      <w:r>
        <w:rPr>
          <w:rFonts w:cs="Arial" w:hint="cs"/>
          <w:rtl/>
        </w:rPr>
        <w:t>.</w:t>
      </w:r>
      <w:r>
        <w:rPr>
          <w:rFonts w:cs="Arial"/>
          <w:rtl/>
        </w:rPr>
        <w:t xml:space="preserve"> </w:t>
      </w:r>
      <w:r w:rsidRPr="005D2892">
        <w:rPr>
          <w:rFonts w:cs="Arial" w:hint="cs"/>
          <w:sz w:val="16"/>
          <w:szCs w:val="16"/>
          <w:rtl/>
        </w:rPr>
        <w:t>(</w:t>
      </w:r>
      <w:r w:rsidRPr="005D2892">
        <w:rPr>
          <w:rFonts w:cs="Arial"/>
          <w:sz w:val="16"/>
          <w:szCs w:val="16"/>
          <w:rtl/>
        </w:rPr>
        <w:t>ואע</w:t>
      </w:r>
      <w:r w:rsidRPr="005D2892">
        <w:rPr>
          <w:rFonts w:cs="Arial" w:hint="cs"/>
          <w:sz w:val="16"/>
          <w:szCs w:val="16"/>
          <w:rtl/>
        </w:rPr>
        <w:t>"</w:t>
      </w:r>
      <w:r w:rsidRPr="005D2892">
        <w:rPr>
          <w:rFonts w:cs="Arial"/>
          <w:sz w:val="16"/>
          <w:szCs w:val="16"/>
          <w:rtl/>
        </w:rPr>
        <w:t>פ שר</w:t>
      </w:r>
      <w:r w:rsidRPr="005D2892">
        <w:rPr>
          <w:rFonts w:cs="Arial" w:hint="cs"/>
          <w:sz w:val="16"/>
          <w:szCs w:val="16"/>
          <w:rtl/>
        </w:rPr>
        <w:t>"</w:t>
      </w:r>
      <w:r w:rsidRPr="005D2892">
        <w:rPr>
          <w:rFonts w:cs="Arial"/>
          <w:sz w:val="16"/>
          <w:szCs w:val="16"/>
          <w:rtl/>
        </w:rPr>
        <w:t>ת מפרש דבאבל מיירי</w:t>
      </w:r>
      <w:r w:rsidRPr="005D2892">
        <w:rPr>
          <w:rFonts w:cs="Arial" w:hint="cs"/>
          <w:sz w:val="16"/>
          <w:szCs w:val="16"/>
          <w:rtl/>
        </w:rPr>
        <w:t>,</w:t>
      </w:r>
      <w:r w:rsidRPr="005D2892">
        <w:rPr>
          <w:rFonts w:cs="Arial"/>
          <w:sz w:val="16"/>
          <w:szCs w:val="16"/>
          <w:rtl/>
        </w:rPr>
        <w:t xml:space="preserve"> עיקר פירושה בשבת קאי</w:t>
      </w:r>
      <w:r w:rsidRPr="005D2892">
        <w:rPr>
          <w:rFonts w:cs="Arial" w:hint="cs"/>
          <w:sz w:val="16"/>
          <w:szCs w:val="16"/>
          <w:rtl/>
        </w:rPr>
        <w:t>,</w:t>
      </w:r>
      <w:r w:rsidRPr="005D2892">
        <w:rPr>
          <w:rFonts w:cs="Arial"/>
          <w:sz w:val="16"/>
          <w:szCs w:val="16"/>
          <w:rtl/>
        </w:rPr>
        <w:t xml:space="preserve"> וכמ"ש הר"ן בספ"ק דעבודה זרה (ו: ד"ה ומהא) ובס"פ כל כתבי (מו: ד"ה ולענין קבלנות) והרמב"ן בספר תורת האדם (ענין אבילות ע' קעב)</w:t>
      </w:r>
      <w:r w:rsidRPr="005D2892">
        <w:rPr>
          <w:rFonts w:cs="Arial" w:hint="cs"/>
          <w:sz w:val="16"/>
          <w:szCs w:val="16"/>
          <w:rtl/>
        </w:rPr>
        <w:t>, ב"י)</w:t>
      </w:r>
    </w:p>
    <w:p w14:paraId="10991F31" w14:textId="77777777" w:rsidR="004B2E7C" w:rsidRPr="005D2892" w:rsidRDefault="004B2E7C" w:rsidP="00434A6A">
      <w:pPr>
        <w:rPr>
          <w:rFonts w:cs="Arial"/>
          <w:rtl/>
        </w:rPr>
      </w:pPr>
      <w:r w:rsidRPr="00EC7331">
        <w:rPr>
          <w:rFonts w:cs="Arial" w:hint="cs"/>
          <w:b/>
          <w:bCs/>
          <w:rtl/>
        </w:rPr>
        <w:t xml:space="preserve">שבת </w:t>
      </w:r>
      <w:r w:rsidRPr="00EC7331">
        <w:rPr>
          <w:rFonts w:cs="Arial" w:hint="cs"/>
          <w:b/>
          <w:bCs/>
          <w:sz w:val="16"/>
          <w:szCs w:val="16"/>
          <w:rtl/>
        </w:rPr>
        <w:t xml:space="preserve">(פ"ק) </w:t>
      </w:r>
      <w:r w:rsidRPr="00EC7331">
        <w:rPr>
          <w:rFonts w:cs="Arial" w:hint="cs"/>
          <w:b/>
          <w:bCs/>
          <w:rtl/>
        </w:rPr>
        <w:t>יז ע"ב:</w:t>
      </w:r>
      <w:r>
        <w:rPr>
          <w:rFonts w:cs="Arial" w:hint="cs"/>
          <w:rtl/>
        </w:rPr>
        <w:t xml:space="preserve"> </w:t>
      </w:r>
      <w:r w:rsidRPr="00EC7331">
        <w:rPr>
          <w:rFonts w:cs="Arial" w:hint="cs"/>
          <w:u w:val="double"/>
          <w:rtl/>
        </w:rPr>
        <w:t>משנה</w:t>
      </w:r>
      <w:r>
        <w:rPr>
          <w:rFonts w:cs="Arial" w:hint="cs"/>
          <w:rtl/>
        </w:rPr>
        <w:t xml:space="preserve">:... </w:t>
      </w:r>
      <w:r w:rsidRPr="00EC7331">
        <w:rPr>
          <w:rFonts w:cs="Arial"/>
          <w:u w:val="single"/>
          <w:rtl/>
        </w:rPr>
        <w:t>בית שמאי אומרים</w:t>
      </w:r>
      <w:r w:rsidRPr="00AC64E4">
        <w:rPr>
          <w:rFonts w:cs="Arial"/>
          <w:rtl/>
        </w:rPr>
        <w:t xml:space="preserve">: אין נותנין עורות לעבדן, ולא כלים לכובס נכרי אלא כדי שיעשו מבעוד יום, </w:t>
      </w:r>
      <w:r w:rsidRPr="00EC7331">
        <w:rPr>
          <w:rFonts w:cs="Arial"/>
          <w:u w:val="single"/>
          <w:rtl/>
        </w:rPr>
        <w:t>ובכולן בית הלל</w:t>
      </w:r>
      <w:r w:rsidRPr="00AC64E4">
        <w:rPr>
          <w:rFonts w:cs="Arial"/>
          <w:rtl/>
        </w:rPr>
        <w:t xml:space="preserve"> מתירין עם</w:t>
      </w:r>
      <w:r>
        <w:rPr>
          <w:rFonts w:hint="cs"/>
          <w:sz w:val="14"/>
          <w:szCs w:val="14"/>
          <w:rtl/>
        </w:rPr>
        <w:t xml:space="preserve"> (יח.)</w:t>
      </w:r>
      <w:r w:rsidRPr="00AC64E4">
        <w:rPr>
          <w:rtl/>
        </w:rPr>
        <w:t xml:space="preserve"> </w:t>
      </w:r>
      <w:r w:rsidRPr="00AC64E4">
        <w:rPr>
          <w:rFonts w:cs="Arial"/>
          <w:rtl/>
        </w:rPr>
        <w:t>השמש</w:t>
      </w:r>
      <w:r>
        <w:rPr>
          <w:rStyle w:val="a9"/>
          <w:rFonts w:cs="Arial"/>
          <w:rtl/>
        </w:rPr>
        <w:footnoteReference w:id="29"/>
      </w:r>
      <w:r w:rsidRPr="00AC64E4">
        <w:rPr>
          <w:rFonts w:cs="Arial"/>
          <w:rtl/>
        </w:rPr>
        <w:t xml:space="preserve">. </w:t>
      </w:r>
      <w:r w:rsidRPr="00EC7331">
        <w:rPr>
          <w:rFonts w:cs="Arial"/>
          <w:u w:val="single"/>
          <w:rtl/>
        </w:rPr>
        <w:t>אמר רבן שמעון בן גמליאל</w:t>
      </w:r>
      <w:r w:rsidRPr="00AC64E4">
        <w:rPr>
          <w:rFonts w:cs="Arial"/>
          <w:rtl/>
        </w:rPr>
        <w:t>: נוהגין היו בית אבא שהיו נותנין כלי לבן לכובס נכרי שלשה ימים קודם לשבת.</w:t>
      </w:r>
      <w:r>
        <w:rPr>
          <w:rFonts w:cs="Arial" w:hint="cs"/>
          <w:rtl/>
        </w:rPr>
        <w:t>..</w:t>
      </w:r>
    </w:p>
    <w:p w14:paraId="5D4E66C7" w14:textId="77777777" w:rsidR="004B2E7C" w:rsidRPr="00B371FD" w:rsidRDefault="004B2E7C" w:rsidP="00434A6A">
      <w:pPr>
        <w:rPr>
          <w:u w:val="single"/>
          <w:rtl/>
        </w:rPr>
      </w:pPr>
      <w:r w:rsidRPr="00B371FD">
        <w:rPr>
          <w:rFonts w:cs="Arial"/>
          <w:u w:val="single"/>
          <w:rtl/>
        </w:rPr>
        <w:t>ישראל ששכר גוי לבנות לו בית בקבלנות</w:t>
      </w:r>
      <w:r w:rsidRPr="00B371FD">
        <w:rPr>
          <w:rFonts w:hint="cs"/>
          <w:u w:val="single"/>
          <w:rtl/>
        </w:rPr>
        <w:t xml:space="preserve"> </w:t>
      </w:r>
      <w:r w:rsidRPr="00B371FD">
        <w:rPr>
          <w:u w:val="single"/>
          <w:rtl/>
        </w:rPr>
        <w:t>–</w:t>
      </w:r>
      <w:r w:rsidRPr="00B371FD">
        <w:rPr>
          <w:rFonts w:hint="cs"/>
          <w:u w:val="single"/>
          <w:rtl/>
        </w:rPr>
        <w:t xml:space="preserve"> האם יכול</w:t>
      </w:r>
      <w:r>
        <w:rPr>
          <w:rFonts w:hint="cs"/>
          <w:u w:val="single"/>
          <w:rtl/>
        </w:rPr>
        <w:t xml:space="preserve"> לתת</w:t>
      </w:r>
      <w:r w:rsidRPr="00B371FD">
        <w:rPr>
          <w:rFonts w:hint="cs"/>
          <w:u w:val="single"/>
          <w:rtl/>
        </w:rPr>
        <w:t xml:space="preserve"> </w:t>
      </w:r>
      <w:r>
        <w:rPr>
          <w:rFonts w:hint="cs"/>
          <w:u w:val="single"/>
          <w:rtl/>
        </w:rPr>
        <w:t>ל</w:t>
      </w:r>
      <w:r w:rsidRPr="00B371FD">
        <w:rPr>
          <w:rFonts w:hint="cs"/>
          <w:u w:val="single"/>
          <w:rtl/>
        </w:rPr>
        <w:t>גוי להמשיך לבנות בשבת:</w:t>
      </w:r>
    </w:p>
    <w:p w14:paraId="23C9C12D" w14:textId="77777777" w:rsidR="004B2E7C" w:rsidRPr="00D120D4" w:rsidRDefault="004B2E7C" w:rsidP="00FF2D21">
      <w:pPr>
        <w:pStyle w:val="aa"/>
        <w:numPr>
          <w:ilvl w:val="0"/>
          <w:numId w:val="101"/>
        </w:numPr>
        <w:rPr>
          <w:rFonts w:cs="Arial"/>
        </w:rPr>
      </w:pPr>
      <w:r>
        <w:rPr>
          <w:rFonts w:cs="Arial" w:hint="cs"/>
          <w:rtl/>
        </w:rPr>
        <w:t xml:space="preserve">ר"ת </w:t>
      </w:r>
      <w:r w:rsidRPr="00680550">
        <w:rPr>
          <w:rFonts w:cs="Arial"/>
          <w:sz w:val="16"/>
          <w:szCs w:val="16"/>
          <w:rtl/>
        </w:rPr>
        <w:t>(ספר הישר שו"ת סי' ו)</w:t>
      </w:r>
      <w:r w:rsidRPr="001A71FD">
        <w:rPr>
          <w:rFonts w:cs="Arial" w:hint="cs"/>
          <w:rtl/>
        </w:rPr>
        <w:t xml:space="preserve">- </w:t>
      </w:r>
      <w:r w:rsidRPr="00C87EAB">
        <w:rPr>
          <w:rFonts w:cs="Arial"/>
          <w:rtl/>
        </w:rPr>
        <w:t>נ"ל דמותר ישראל להניח לגוי המקבל קיבולתו לעשותה בשבתות ובימים טובים</w:t>
      </w:r>
      <w:r>
        <w:rPr>
          <w:rStyle w:val="a9"/>
          <w:rFonts w:cs="Arial"/>
          <w:rtl/>
        </w:rPr>
        <w:footnoteReference w:id="30"/>
      </w:r>
      <w:r>
        <w:rPr>
          <w:rFonts w:cs="Arial" w:hint="cs"/>
          <w:rtl/>
        </w:rPr>
        <w:t>...</w:t>
      </w:r>
      <w:r w:rsidRPr="00C87EAB">
        <w:rPr>
          <w:rFonts w:cs="Arial"/>
          <w:rtl/>
        </w:rPr>
        <w:t xml:space="preserve"> </w:t>
      </w:r>
      <w:r w:rsidRPr="00A54E82">
        <w:rPr>
          <w:rFonts w:cs="Arial"/>
          <w:rtl/>
        </w:rPr>
        <w:t>ואלו בא מעשה לידי הייתי מורה לעצמי</w:t>
      </w:r>
      <w:r>
        <w:rPr>
          <w:rStyle w:val="a9"/>
          <w:rFonts w:cs="Arial"/>
          <w:rtl/>
        </w:rPr>
        <w:footnoteReference w:id="31"/>
      </w:r>
      <w:r w:rsidRPr="00A54E82">
        <w:rPr>
          <w:rFonts w:cs="Arial"/>
          <w:rtl/>
        </w:rPr>
        <w:t>.</w:t>
      </w:r>
    </w:p>
    <w:p w14:paraId="0E04AFDF" w14:textId="77777777" w:rsidR="004B2E7C" w:rsidRDefault="004B2E7C" w:rsidP="00FF2D21">
      <w:pPr>
        <w:pStyle w:val="aa"/>
        <w:numPr>
          <w:ilvl w:val="0"/>
          <w:numId w:val="101"/>
        </w:numPr>
        <w:rPr>
          <w:rFonts w:cs="Arial"/>
        </w:rPr>
      </w:pPr>
      <w:r w:rsidRPr="00AC64E4">
        <w:rPr>
          <w:rFonts w:cs="Arial"/>
          <w:rtl/>
        </w:rPr>
        <w:t xml:space="preserve">רמב"ם </w:t>
      </w:r>
      <w:r w:rsidRPr="00AC64E4">
        <w:rPr>
          <w:rFonts w:cs="Arial" w:hint="cs"/>
          <w:sz w:val="16"/>
          <w:szCs w:val="16"/>
          <w:rtl/>
        </w:rPr>
        <w:t>(</w:t>
      </w:r>
      <w:r w:rsidRPr="00AC64E4">
        <w:rPr>
          <w:rFonts w:cs="Arial"/>
          <w:sz w:val="16"/>
          <w:szCs w:val="16"/>
          <w:rtl/>
        </w:rPr>
        <w:t>פ"ו הי"ב-יד)</w:t>
      </w:r>
      <w:r w:rsidRPr="0099728C">
        <w:rPr>
          <w:rFonts w:cs="Arial" w:hint="cs"/>
          <w:rtl/>
        </w:rPr>
        <w:t xml:space="preserve"> </w:t>
      </w:r>
      <w:r>
        <w:rPr>
          <w:rFonts w:cs="Arial" w:hint="cs"/>
          <w:rtl/>
        </w:rPr>
        <w:t xml:space="preserve">תוס' </w:t>
      </w:r>
      <w:r w:rsidRPr="00161425">
        <w:rPr>
          <w:rFonts w:cs="Arial"/>
          <w:sz w:val="16"/>
          <w:szCs w:val="16"/>
          <w:rtl/>
        </w:rPr>
        <w:t>(</w:t>
      </w:r>
      <w:r>
        <w:rPr>
          <w:rFonts w:cs="Arial" w:hint="cs"/>
          <w:sz w:val="16"/>
          <w:szCs w:val="16"/>
          <w:rtl/>
        </w:rPr>
        <w:t xml:space="preserve">שבת </w:t>
      </w:r>
      <w:r w:rsidRPr="00161425">
        <w:rPr>
          <w:rFonts w:cs="Arial" w:hint="cs"/>
          <w:sz w:val="16"/>
          <w:szCs w:val="16"/>
          <w:rtl/>
        </w:rPr>
        <w:t xml:space="preserve">יז: ד"ה אין נותנין, </w:t>
      </w:r>
      <w:r>
        <w:rPr>
          <w:rFonts w:cs="Arial" w:hint="cs"/>
          <w:sz w:val="16"/>
          <w:szCs w:val="16"/>
          <w:rtl/>
        </w:rPr>
        <w:t xml:space="preserve">ע"ז </w:t>
      </w:r>
      <w:r w:rsidRPr="00161425">
        <w:rPr>
          <w:rFonts w:cs="Arial"/>
          <w:sz w:val="16"/>
          <w:szCs w:val="16"/>
          <w:rtl/>
        </w:rPr>
        <w:t xml:space="preserve">כא: ד"ה אריסא) </w:t>
      </w:r>
      <w:r>
        <w:rPr>
          <w:rFonts w:cs="Arial" w:hint="cs"/>
          <w:rtl/>
        </w:rPr>
        <w:t xml:space="preserve">ורא"ש </w:t>
      </w:r>
      <w:r w:rsidRPr="00161425">
        <w:rPr>
          <w:rFonts w:cs="Arial"/>
          <w:sz w:val="16"/>
          <w:szCs w:val="16"/>
          <w:rtl/>
        </w:rPr>
        <w:t>(</w:t>
      </w:r>
      <w:r>
        <w:rPr>
          <w:rFonts w:cs="Arial" w:hint="cs"/>
          <w:sz w:val="16"/>
          <w:szCs w:val="16"/>
          <w:rtl/>
        </w:rPr>
        <w:t xml:space="preserve">ע"ז פ"א </w:t>
      </w:r>
      <w:r w:rsidRPr="00161425">
        <w:rPr>
          <w:rFonts w:cs="Arial"/>
          <w:sz w:val="16"/>
          <w:szCs w:val="16"/>
          <w:rtl/>
        </w:rPr>
        <w:t>סי' כג</w:t>
      </w:r>
      <w:r w:rsidRPr="00161425">
        <w:rPr>
          <w:rFonts w:cs="Arial" w:hint="cs"/>
          <w:sz w:val="16"/>
          <w:szCs w:val="16"/>
          <w:rtl/>
        </w:rPr>
        <w:t>)</w:t>
      </w:r>
      <w:r w:rsidRPr="00AC64E4">
        <w:rPr>
          <w:rFonts w:cs="Arial" w:hint="cs"/>
          <w:rtl/>
        </w:rPr>
        <w:t>-</w:t>
      </w:r>
      <w:r w:rsidRPr="00AC64E4">
        <w:rPr>
          <w:rFonts w:cs="Arial"/>
          <w:rtl/>
        </w:rPr>
        <w:t xml:space="preserve"> פוסק אדם עם הגוי על המלאכה וקוצץ דמים</w:t>
      </w:r>
      <w:r>
        <w:rPr>
          <w:rStyle w:val="a9"/>
          <w:rFonts w:cs="Arial"/>
          <w:rtl/>
        </w:rPr>
        <w:footnoteReference w:id="32"/>
      </w:r>
      <w:r w:rsidRPr="00AC64E4">
        <w:rPr>
          <w:rFonts w:cs="Arial"/>
          <w:rtl/>
        </w:rPr>
        <w:t xml:space="preserve"> והגוי עושה לעצמו ואף על פי שהוא עושה בשבת מותר</w:t>
      </w:r>
      <w:r w:rsidRPr="00AC64E4">
        <w:rPr>
          <w:rFonts w:cs="Arial" w:hint="cs"/>
          <w:rtl/>
        </w:rPr>
        <w:t>...</w:t>
      </w:r>
      <w:r w:rsidRPr="00AC64E4">
        <w:rPr>
          <w:rFonts w:cs="Arial"/>
          <w:rtl/>
        </w:rPr>
        <w:t xml:space="preserve"> במה דברים אמורים</w:t>
      </w:r>
      <w:r w:rsidRPr="00AC64E4">
        <w:rPr>
          <w:rFonts w:cs="Arial" w:hint="cs"/>
          <w:rtl/>
        </w:rPr>
        <w:t xml:space="preserve">, </w:t>
      </w:r>
      <w:r w:rsidRPr="00AC64E4">
        <w:rPr>
          <w:rFonts w:cs="Arial"/>
          <w:rtl/>
        </w:rPr>
        <w:t>בצנעה</w:t>
      </w:r>
      <w:r w:rsidRPr="00AC64E4">
        <w:rPr>
          <w:rFonts w:cs="Arial" w:hint="cs"/>
          <w:rtl/>
        </w:rPr>
        <w:t>,</w:t>
      </w:r>
      <w:r w:rsidRPr="00AC64E4">
        <w:rPr>
          <w:rFonts w:cs="Arial"/>
          <w:rtl/>
        </w:rPr>
        <w:t xml:space="preserve"> שאין מכירים הכל שזו המלאכה הנעשית בשבת של ישראל היא, אבל אם היתה ידועה וגלויה ומפורסמת </w:t>
      </w:r>
      <w:r w:rsidRPr="00AC64E4">
        <w:rPr>
          <w:rFonts w:cs="Arial" w:hint="cs"/>
          <w:rtl/>
        </w:rPr>
        <w:t xml:space="preserve">- </w:t>
      </w:r>
      <w:r w:rsidRPr="00AC64E4">
        <w:rPr>
          <w:rFonts w:cs="Arial"/>
          <w:rtl/>
        </w:rPr>
        <w:t>אסורה</w:t>
      </w:r>
      <w:r>
        <w:rPr>
          <w:rFonts w:cs="Arial" w:hint="cs"/>
          <w:rtl/>
        </w:rPr>
        <w:t>,</w:t>
      </w:r>
      <w:r w:rsidRPr="00AC64E4">
        <w:rPr>
          <w:rFonts w:cs="Arial"/>
          <w:rtl/>
        </w:rPr>
        <w:t xml:space="preserve"> שהרואה את הגוי עוסק אינו יודע שקצץ</w:t>
      </w:r>
      <w:r w:rsidRPr="00AC64E4">
        <w:rPr>
          <w:rFonts w:cs="Arial" w:hint="cs"/>
          <w:rtl/>
        </w:rPr>
        <w:t>,</w:t>
      </w:r>
      <w:r w:rsidRPr="00AC64E4">
        <w:rPr>
          <w:rFonts w:cs="Arial"/>
          <w:rtl/>
        </w:rPr>
        <w:t xml:space="preserve"> ואומר שפלוני שכר הגוי לעשות לו מלאכה בשבת. לפיכך הפוסק עם הגוי לבנות לו חצרו או כתלו או לקצור את שדהו</w:t>
      </w:r>
      <w:r>
        <w:rPr>
          <w:rFonts w:cs="Arial" w:hint="cs"/>
          <w:rtl/>
        </w:rPr>
        <w:t>...</w:t>
      </w:r>
      <w:r w:rsidRPr="00AC64E4">
        <w:rPr>
          <w:rFonts w:cs="Arial"/>
          <w:rtl/>
        </w:rPr>
        <w:t xml:space="preserve"> אם היתה המלאכה במדינה או בתוך התחום </w:t>
      </w:r>
      <w:r w:rsidRPr="00AC64E4">
        <w:rPr>
          <w:rFonts w:cs="Arial" w:hint="cs"/>
          <w:rtl/>
        </w:rPr>
        <w:t xml:space="preserve">- </w:t>
      </w:r>
      <w:r w:rsidRPr="00AC64E4">
        <w:rPr>
          <w:rFonts w:cs="Arial"/>
          <w:rtl/>
        </w:rPr>
        <w:t>אסור לו להניחן לעשות בשבת</w:t>
      </w:r>
      <w:r w:rsidRPr="00AC64E4">
        <w:rPr>
          <w:rFonts w:cs="Arial" w:hint="cs"/>
          <w:rtl/>
        </w:rPr>
        <w:t>,</w:t>
      </w:r>
      <w:r w:rsidRPr="00AC64E4">
        <w:rPr>
          <w:rFonts w:cs="Arial"/>
          <w:rtl/>
        </w:rPr>
        <w:t xml:space="preserve"> מפני הרואים שאינם יודעים שפסק</w:t>
      </w:r>
      <w:r w:rsidRPr="00AC64E4">
        <w:rPr>
          <w:rFonts w:cs="Arial" w:hint="cs"/>
          <w:rtl/>
        </w:rPr>
        <w:t>.</w:t>
      </w:r>
      <w:r w:rsidRPr="00AC64E4">
        <w:rPr>
          <w:rFonts w:cs="Arial"/>
          <w:rtl/>
        </w:rPr>
        <w:t xml:space="preserve"> ואם היתה המלאכה חוץ לתחום </w:t>
      </w:r>
      <w:r w:rsidRPr="00AC64E4">
        <w:rPr>
          <w:rFonts w:cs="Arial" w:hint="cs"/>
          <w:rtl/>
        </w:rPr>
        <w:t xml:space="preserve">- </w:t>
      </w:r>
      <w:r w:rsidRPr="00AC64E4">
        <w:rPr>
          <w:rFonts w:cs="Arial"/>
          <w:rtl/>
        </w:rPr>
        <w:t>מותר</w:t>
      </w:r>
      <w:r w:rsidRPr="00AC64E4">
        <w:rPr>
          <w:rFonts w:cs="Arial" w:hint="cs"/>
          <w:rtl/>
        </w:rPr>
        <w:t>,</w:t>
      </w:r>
      <w:r w:rsidRPr="00AC64E4">
        <w:rPr>
          <w:rFonts w:cs="Arial"/>
          <w:rtl/>
        </w:rPr>
        <w:t xml:space="preserve"> שאין שם ישראל שיראה את הפועלין כשהן עושין בשבת</w:t>
      </w:r>
      <w:r>
        <w:rPr>
          <w:rFonts w:cs="Arial" w:hint="cs"/>
          <w:sz w:val="16"/>
          <w:szCs w:val="16"/>
          <w:rtl/>
        </w:rPr>
        <w:t xml:space="preserve"> (ל' הרמב"ם)</w:t>
      </w:r>
      <w:r w:rsidRPr="00AC64E4">
        <w:rPr>
          <w:rFonts w:cs="Arial"/>
          <w:rtl/>
        </w:rPr>
        <w:t xml:space="preserve">. </w:t>
      </w:r>
      <w:r w:rsidRPr="0099728C">
        <w:rPr>
          <w:rFonts w:cs="Arial" w:hint="cs"/>
          <w:color w:val="E36C0A" w:themeColor="accent6" w:themeShade="BF"/>
          <w:rtl/>
        </w:rPr>
        <w:t>(וכ</w:t>
      </w:r>
      <w:r>
        <w:rPr>
          <w:rFonts w:cs="Arial" w:hint="cs"/>
          <w:color w:val="E36C0A" w:themeColor="accent6" w:themeShade="BF"/>
          <w:rtl/>
        </w:rPr>
        <w:t>"</w:t>
      </w:r>
      <w:r w:rsidRPr="0099728C">
        <w:rPr>
          <w:rFonts w:cs="Arial" w:hint="cs"/>
          <w:color w:val="E36C0A" w:themeColor="accent6" w:themeShade="BF"/>
          <w:rtl/>
        </w:rPr>
        <w:t>פ בשו"ע)</w:t>
      </w:r>
    </w:p>
    <w:p w14:paraId="64DBAD4A" w14:textId="77777777" w:rsidR="004B2E7C" w:rsidRPr="00544CD2" w:rsidRDefault="004B2E7C" w:rsidP="00434A6A">
      <w:pPr>
        <w:ind w:left="360"/>
        <w:rPr>
          <w:rFonts w:cs="Arial"/>
          <w:u w:val="dotted"/>
        </w:rPr>
      </w:pPr>
      <w:r w:rsidRPr="00544CD2">
        <w:rPr>
          <w:rFonts w:cs="Arial" w:hint="cs"/>
          <w:u w:val="dotted"/>
          <w:rtl/>
        </w:rPr>
        <w:t>ומה הדין אם לא נתן לא בקבלנות אלא שכר אותו לימים רבים:</w:t>
      </w:r>
    </w:p>
    <w:p w14:paraId="5A93E153" w14:textId="77777777" w:rsidR="004B2E7C" w:rsidRDefault="004B2E7C" w:rsidP="00FF2D21">
      <w:pPr>
        <w:pStyle w:val="aa"/>
        <w:numPr>
          <w:ilvl w:val="0"/>
          <w:numId w:val="101"/>
        </w:numPr>
        <w:rPr>
          <w:rFonts w:cs="Arial"/>
        </w:rPr>
      </w:pPr>
      <w:r>
        <w:rPr>
          <w:rFonts w:cs="Arial" w:hint="cs"/>
          <w:rtl/>
        </w:rPr>
        <w:t xml:space="preserve">רמב"ם </w:t>
      </w:r>
      <w:r w:rsidRPr="00161425">
        <w:rPr>
          <w:rFonts w:cs="Arial" w:hint="cs"/>
          <w:sz w:val="16"/>
          <w:szCs w:val="16"/>
          <w:rtl/>
        </w:rPr>
        <w:t>(</w:t>
      </w:r>
      <w:r w:rsidRPr="00161425">
        <w:rPr>
          <w:rFonts w:cs="Arial"/>
          <w:sz w:val="16"/>
          <w:szCs w:val="16"/>
          <w:rtl/>
        </w:rPr>
        <w:t>פ"ו הי"ב</w:t>
      </w:r>
      <w:r>
        <w:rPr>
          <w:rFonts w:cs="Arial" w:hint="cs"/>
          <w:sz w:val="16"/>
          <w:szCs w:val="16"/>
          <w:rtl/>
        </w:rPr>
        <w:t>)</w:t>
      </w:r>
      <w:r>
        <w:rPr>
          <w:rFonts w:cs="Arial" w:hint="cs"/>
          <w:rtl/>
        </w:rPr>
        <w:t xml:space="preserve"> וטור-</w:t>
      </w:r>
      <w:r w:rsidRPr="00EC7331">
        <w:rPr>
          <w:rFonts w:cs="Arial"/>
          <w:rtl/>
        </w:rPr>
        <w:t xml:space="preserve"> פוסק אדם עם הגוי על המלאכה וקוצץ דמים והגוי עושה לעצמו ואף על פי שהוא עושה בשבת מותר, וכן השוכר את הגוי לימים הרבה מותר אף על פי שהוא עושה בשבת</w:t>
      </w:r>
      <w:r>
        <w:rPr>
          <w:rFonts w:cs="Arial" w:hint="cs"/>
          <w:rtl/>
        </w:rPr>
        <w:t>.</w:t>
      </w:r>
      <w:r w:rsidRPr="00EC7331">
        <w:rPr>
          <w:rFonts w:cs="Arial"/>
          <w:rtl/>
        </w:rPr>
        <w:t xml:space="preserve"> כיצד</w:t>
      </w:r>
      <w:r>
        <w:rPr>
          <w:rFonts w:cs="Arial" w:hint="cs"/>
          <w:rtl/>
        </w:rPr>
        <w:t>,</w:t>
      </w:r>
      <w:r w:rsidRPr="00EC7331">
        <w:rPr>
          <w:rFonts w:cs="Arial"/>
          <w:rtl/>
        </w:rPr>
        <w:t xml:space="preserve"> כגון ששכר הגוי לשנה או לשתים שיכתוב לו או שיארוג לו, הרי זה כותב ואורג בשבת ומותר כאלו קצץ עמו שיכתוב לו ספר או שיארוג לו בגד שהוא עושה בכל עת שירצה, והוא שלא יחשוב עמו יום יום.</w:t>
      </w:r>
      <w:r>
        <w:rPr>
          <w:rFonts w:cs="Arial" w:hint="cs"/>
          <w:rtl/>
        </w:rPr>
        <w:t xml:space="preserve">.. </w:t>
      </w:r>
      <w:r w:rsidRPr="00AC64E4">
        <w:rPr>
          <w:rFonts w:cs="Arial"/>
          <w:rtl/>
        </w:rPr>
        <w:t>או ששכרו שנה או שתים לבנות לו חצר או ליטע לו כרם</w:t>
      </w:r>
      <w:r>
        <w:rPr>
          <w:rFonts w:cs="Arial" w:hint="cs"/>
          <w:rtl/>
        </w:rPr>
        <w:t>...</w:t>
      </w:r>
      <w:r w:rsidRPr="00AC64E4">
        <w:rPr>
          <w:rFonts w:cs="Arial"/>
          <w:rtl/>
        </w:rPr>
        <w:t xml:space="preserve"> </w:t>
      </w:r>
      <w:r>
        <w:rPr>
          <w:rFonts w:cs="Arial" w:hint="cs"/>
          <w:rtl/>
        </w:rPr>
        <w:t>ו</w:t>
      </w:r>
      <w:r w:rsidRPr="00AC64E4">
        <w:rPr>
          <w:rFonts w:cs="Arial"/>
          <w:rtl/>
        </w:rPr>
        <w:t>היתה המלאכה חוץ לתחום</w:t>
      </w:r>
      <w:r>
        <w:rPr>
          <w:rFonts w:cs="Arial" w:hint="cs"/>
          <w:rtl/>
        </w:rPr>
        <w:t>.</w:t>
      </w:r>
    </w:p>
    <w:p w14:paraId="76380723" w14:textId="77777777" w:rsidR="004B2E7C" w:rsidRDefault="004B2E7C" w:rsidP="00FF2D21">
      <w:pPr>
        <w:pStyle w:val="aa"/>
        <w:numPr>
          <w:ilvl w:val="0"/>
          <w:numId w:val="101"/>
        </w:numPr>
        <w:rPr>
          <w:rFonts w:cs="Arial"/>
        </w:rPr>
      </w:pPr>
      <w:r>
        <w:rPr>
          <w:rFonts w:cs="Arial" w:hint="cs"/>
          <w:rtl/>
        </w:rPr>
        <w:t xml:space="preserve">ראב"ד </w:t>
      </w:r>
      <w:r>
        <w:rPr>
          <w:rFonts w:cs="Arial" w:hint="cs"/>
          <w:sz w:val="16"/>
          <w:szCs w:val="16"/>
          <w:rtl/>
        </w:rPr>
        <w:t>(בהשגות שם)</w:t>
      </w:r>
      <w:r>
        <w:rPr>
          <w:rFonts w:cs="Arial" w:hint="cs"/>
          <w:rtl/>
        </w:rPr>
        <w:t>-</w:t>
      </w:r>
      <w:r w:rsidRPr="00EC7331">
        <w:rPr>
          <w:rFonts w:cs="Arial"/>
          <w:rtl/>
        </w:rPr>
        <w:t xml:space="preserve"> א"א דבר זה לא סביר ולא נהיר שאע"פ שאינו מדקדק עמו כשהוא בטל מ"מ אותה מלאכה משתרשא ליה ואין זה דומה לקבלנות.</w:t>
      </w:r>
    </w:p>
    <w:p w14:paraId="5E76CFAF" w14:textId="77777777" w:rsidR="004B2E7C" w:rsidRPr="00A85EC3" w:rsidRDefault="004B2E7C" w:rsidP="00434A6A">
      <w:pPr>
        <w:ind w:left="360"/>
        <w:rPr>
          <w:rFonts w:cs="Arial"/>
          <w:u w:val="dotted"/>
        </w:rPr>
      </w:pPr>
      <w:r w:rsidRPr="00A85EC3">
        <w:rPr>
          <w:rFonts w:cs="Arial" w:hint="cs"/>
          <w:u w:val="dotted"/>
          <w:rtl/>
        </w:rPr>
        <w:t xml:space="preserve">הא דהתירו לתת לגוי </w:t>
      </w:r>
      <w:r>
        <w:rPr>
          <w:rFonts w:cs="Arial" w:hint="cs"/>
          <w:u w:val="dotted"/>
          <w:rtl/>
        </w:rPr>
        <w:t>להמשיך לעבוד בשבת באופנים הנ"ל</w:t>
      </w:r>
      <w:r w:rsidRPr="00A85EC3">
        <w:rPr>
          <w:rFonts w:cs="Arial" w:hint="cs"/>
          <w:u w:val="dotted"/>
          <w:rtl/>
        </w:rPr>
        <w:t xml:space="preserve"> </w:t>
      </w:r>
      <w:r w:rsidRPr="00A85EC3">
        <w:rPr>
          <w:rFonts w:cs="Arial"/>
          <w:u w:val="dotted"/>
          <w:rtl/>
        </w:rPr>
        <w:t>–</w:t>
      </w:r>
      <w:r w:rsidRPr="00A85EC3">
        <w:rPr>
          <w:rFonts w:cs="Arial" w:hint="cs"/>
          <w:u w:val="dotted"/>
          <w:rtl/>
        </w:rPr>
        <w:t xml:space="preserve"> האם מדובר שעושה כן בביתו או אצל הישראל:</w:t>
      </w:r>
    </w:p>
    <w:p w14:paraId="0F0A6417" w14:textId="77777777" w:rsidR="004B2E7C" w:rsidRPr="00644451" w:rsidRDefault="004B2E7C" w:rsidP="00FF2D21">
      <w:pPr>
        <w:pStyle w:val="aa"/>
        <w:numPr>
          <w:ilvl w:val="0"/>
          <w:numId w:val="101"/>
        </w:numPr>
        <w:rPr>
          <w:rFonts w:cs="Arial"/>
        </w:rPr>
      </w:pPr>
      <w:r w:rsidRPr="0057021B">
        <w:rPr>
          <w:rFonts w:hint="cs"/>
          <w:rtl/>
        </w:rPr>
        <w:t xml:space="preserve">תוס' </w:t>
      </w:r>
      <w:r>
        <w:rPr>
          <w:rFonts w:hint="cs"/>
          <w:sz w:val="16"/>
          <w:szCs w:val="16"/>
          <w:rtl/>
        </w:rPr>
        <w:t xml:space="preserve">(ע"ז </w:t>
      </w:r>
      <w:r w:rsidRPr="00161425">
        <w:rPr>
          <w:rFonts w:cs="Arial"/>
          <w:sz w:val="16"/>
          <w:szCs w:val="16"/>
          <w:rtl/>
        </w:rPr>
        <w:t>כא: ד"ה אריסא</w:t>
      </w:r>
      <w:r>
        <w:rPr>
          <w:rFonts w:hint="cs"/>
          <w:sz w:val="16"/>
          <w:szCs w:val="16"/>
          <w:rtl/>
        </w:rPr>
        <w:t>)</w:t>
      </w:r>
      <w:r>
        <w:rPr>
          <w:rFonts w:cs="Arial" w:hint="cs"/>
          <w:rtl/>
        </w:rPr>
        <w:t xml:space="preserve"> </w:t>
      </w:r>
      <w:r>
        <w:rPr>
          <w:rFonts w:hint="cs"/>
          <w:rtl/>
        </w:rPr>
        <w:t xml:space="preserve">התרומה </w:t>
      </w:r>
      <w:r>
        <w:rPr>
          <w:rFonts w:hint="cs"/>
          <w:sz w:val="16"/>
          <w:szCs w:val="16"/>
          <w:rtl/>
        </w:rPr>
        <w:t>(סו"ס רכב)</w:t>
      </w:r>
      <w:r>
        <w:rPr>
          <w:rFonts w:cs="Arial" w:hint="cs"/>
          <w:rtl/>
        </w:rPr>
        <w:t xml:space="preserve"> </w:t>
      </w:r>
      <w:r w:rsidRPr="00EC7331">
        <w:rPr>
          <w:rFonts w:cs="Arial"/>
          <w:rtl/>
        </w:rPr>
        <w:t xml:space="preserve">רשב"א </w:t>
      </w:r>
      <w:r w:rsidRPr="00EC7331">
        <w:rPr>
          <w:rFonts w:cs="Arial"/>
          <w:sz w:val="16"/>
          <w:szCs w:val="16"/>
          <w:rtl/>
        </w:rPr>
        <w:t>(בחי' יט. ד"ה הא דתנן</w:t>
      </w:r>
      <w:r w:rsidRPr="00EC7331">
        <w:rPr>
          <w:rFonts w:cs="Arial" w:hint="cs"/>
          <w:sz w:val="16"/>
          <w:szCs w:val="16"/>
          <w:rtl/>
        </w:rPr>
        <w:t>, הביאו הה"מ שם</w:t>
      </w:r>
      <w:r w:rsidRPr="00EC7331">
        <w:rPr>
          <w:rFonts w:cs="Arial"/>
          <w:sz w:val="16"/>
          <w:szCs w:val="16"/>
          <w:rtl/>
        </w:rPr>
        <w:t>)</w:t>
      </w:r>
      <w:r>
        <w:rPr>
          <w:rFonts w:cs="Arial" w:hint="cs"/>
          <w:rtl/>
        </w:rPr>
        <w:t xml:space="preserve"> ורא"ש </w:t>
      </w:r>
      <w:r>
        <w:rPr>
          <w:rFonts w:cs="Arial" w:hint="cs"/>
          <w:sz w:val="16"/>
          <w:szCs w:val="16"/>
          <w:rtl/>
        </w:rPr>
        <w:t>(ע"ז פ"א סי' כג)</w:t>
      </w:r>
      <w:r>
        <w:rPr>
          <w:rFonts w:cs="Arial" w:hint="cs"/>
          <w:rtl/>
        </w:rPr>
        <w:t>-</w:t>
      </w:r>
      <w:r w:rsidRPr="00EC7331">
        <w:rPr>
          <w:rFonts w:cs="Arial"/>
          <w:rtl/>
        </w:rPr>
        <w:t xml:space="preserve"> ודוקא בביתו של גוי אבל בביתו של ישראל אפילו בקיבולת מטלטלין אסור</w:t>
      </w:r>
      <w:r>
        <w:rPr>
          <w:rStyle w:val="a9"/>
          <w:rFonts w:cs="Arial"/>
          <w:rtl/>
        </w:rPr>
        <w:footnoteReference w:id="33"/>
      </w:r>
      <w:r>
        <w:rPr>
          <w:rFonts w:cs="Arial" w:hint="cs"/>
          <w:sz w:val="16"/>
          <w:szCs w:val="16"/>
          <w:rtl/>
        </w:rPr>
        <w:t xml:space="preserve"> (ל' הה"מ בשם הרשב"א)</w:t>
      </w:r>
      <w:r w:rsidRPr="00EC7331">
        <w:rPr>
          <w:rFonts w:cs="Arial" w:hint="cs"/>
          <w:rtl/>
        </w:rPr>
        <w:t>.</w:t>
      </w:r>
    </w:p>
    <w:p w14:paraId="1CAE6EF8" w14:textId="77777777" w:rsidR="004B2E7C" w:rsidRPr="00F631D9" w:rsidRDefault="004B2E7C" w:rsidP="00434A6A">
      <w:pPr>
        <w:rPr>
          <w:rFonts w:cs="Arial"/>
          <w:u w:val="single"/>
          <w:rtl/>
        </w:rPr>
      </w:pPr>
      <w:r w:rsidRPr="00F631D9">
        <w:rPr>
          <w:rFonts w:cs="Arial" w:hint="cs"/>
          <w:u w:val="single"/>
          <w:rtl/>
        </w:rPr>
        <w:t xml:space="preserve">ישראל שגר ביישוב לבדו </w:t>
      </w:r>
      <w:r w:rsidRPr="00F631D9">
        <w:rPr>
          <w:rFonts w:cs="Arial"/>
          <w:u w:val="single"/>
          <w:rtl/>
        </w:rPr>
        <w:t>–</w:t>
      </w:r>
      <w:r w:rsidRPr="00F631D9">
        <w:rPr>
          <w:rFonts w:cs="Arial" w:hint="cs"/>
          <w:u w:val="single"/>
          <w:rtl/>
        </w:rPr>
        <w:t xml:space="preserve"> האם מותר לו ליתן לגוי לעבוד בשבת: </w:t>
      </w:r>
    </w:p>
    <w:p w14:paraId="6AE3E4CD" w14:textId="77777777" w:rsidR="004B2E7C" w:rsidRPr="00F631D9" w:rsidRDefault="004B2E7C" w:rsidP="00FF2D21">
      <w:pPr>
        <w:pStyle w:val="aa"/>
        <w:numPr>
          <w:ilvl w:val="0"/>
          <w:numId w:val="101"/>
        </w:numPr>
        <w:rPr>
          <w:rFonts w:cs="Arial"/>
        </w:rPr>
      </w:pPr>
      <w:r w:rsidRPr="00544CD2">
        <w:rPr>
          <w:rFonts w:cs="Arial"/>
          <w:rtl/>
        </w:rPr>
        <w:t xml:space="preserve">מהר"ם </w:t>
      </w:r>
      <w:r w:rsidRPr="004D59C1">
        <w:rPr>
          <w:rFonts w:cs="Arial" w:hint="cs"/>
          <w:sz w:val="16"/>
          <w:szCs w:val="16"/>
          <w:rtl/>
        </w:rPr>
        <w:t>(</w:t>
      </w:r>
      <w:r w:rsidRPr="004D59C1">
        <w:rPr>
          <w:rFonts w:cs="Arial"/>
          <w:sz w:val="16"/>
          <w:szCs w:val="16"/>
          <w:rtl/>
        </w:rPr>
        <w:t>ב"ב ד"פ סי' תכז, וד"ק סי' מב)</w:t>
      </w:r>
      <w:r>
        <w:rPr>
          <w:rFonts w:cs="Arial" w:hint="cs"/>
          <w:rtl/>
        </w:rPr>
        <w:t>-</w:t>
      </w:r>
      <w:r w:rsidRPr="00544CD2">
        <w:rPr>
          <w:rFonts w:cs="Arial"/>
          <w:rtl/>
        </w:rPr>
        <w:t xml:space="preserve"> יהודי הדר בישוב לבדו אסור ליתן לגוי מעות להשכיר לו פועלים בשבת וביום טוב אף על גב דליכא מתא דמקרבא להתם וחוץ לתחום</w:t>
      </w:r>
      <w:r>
        <w:rPr>
          <w:rFonts w:cs="Arial" w:hint="cs"/>
          <w:rtl/>
        </w:rPr>
        <w:t>.</w:t>
      </w:r>
      <w:r w:rsidRPr="00544CD2">
        <w:rPr>
          <w:rFonts w:cs="Arial"/>
          <w:rtl/>
        </w:rPr>
        <w:t xml:space="preserve"> והא דשרי תלמודא (מו"ק יב.) התם היינו דליכא מתא דמקרבא להתם לתוך התחום אבל הכא הרי עירו מקרבא להתם</w:t>
      </w:r>
      <w:r>
        <w:rPr>
          <w:rFonts w:cs="Arial" w:hint="cs"/>
          <w:rtl/>
        </w:rPr>
        <w:t>,</w:t>
      </w:r>
      <w:r w:rsidRPr="00544CD2">
        <w:rPr>
          <w:rFonts w:cs="Arial"/>
          <w:rtl/>
        </w:rPr>
        <w:t xml:space="preserve"> ואם כן בני ביתו חשדי ליה ואורחים דמיקלעי לגביה חשדי ליה</w:t>
      </w:r>
      <w:r>
        <w:rPr>
          <w:rFonts w:cs="Arial" w:hint="cs"/>
          <w:rtl/>
        </w:rPr>
        <w:t xml:space="preserve">. </w:t>
      </w:r>
      <w:r w:rsidRPr="0099728C">
        <w:rPr>
          <w:rFonts w:cs="Arial" w:hint="cs"/>
          <w:color w:val="00B0F0"/>
          <w:rtl/>
        </w:rPr>
        <w:t>(וכ"פ הרמ"א)</w:t>
      </w:r>
    </w:p>
    <w:p w14:paraId="43CD7BF7" w14:textId="77777777" w:rsidR="004B2E7C" w:rsidRPr="0037656C" w:rsidRDefault="004B2E7C" w:rsidP="00434A6A">
      <w:pPr>
        <w:rPr>
          <w:u w:val="single"/>
          <w:rtl/>
        </w:rPr>
      </w:pPr>
      <w:r w:rsidRPr="0037656C">
        <w:rPr>
          <w:rFonts w:cs="Arial"/>
          <w:u w:val="single"/>
          <w:rtl/>
        </w:rPr>
        <w:t xml:space="preserve">ישראל ששכר גוי </w:t>
      </w:r>
      <w:r>
        <w:rPr>
          <w:rFonts w:cs="Arial" w:hint="cs"/>
          <w:u w:val="single"/>
          <w:rtl/>
        </w:rPr>
        <w:t xml:space="preserve">בדבר ידוע </w:t>
      </w:r>
      <w:r>
        <w:rPr>
          <w:rFonts w:cs="Arial" w:hint="cs"/>
          <w:sz w:val="16"/>
          <w:szCs w:val="16"/>
          <w:u w:val="single"/>
          <w:rtl/>
        </w:rPr>
        <w:t xml:space="preserve">(קבלנות) </w:t>
      </w:r>
      <w:r w:rsidRPr="0037656C">
        <w:rPr>
          <w:rFonts w:cs="Arial"/>
          <w:u w:val="single"/>
          <w:rtl/>
        </w:rPr>
        <w:t>ל</w:t>
      </w:r>
      <w:r>
        <w:rPr>
          <w:rFonts w:cs="Arial" w:hint="cs"/>
          <w:u w:val="single"/>
          <w:rtl/>
        </w:rPr>
        <w:t xml:space="preserve">עבוד </w:t>
      </w:r>
      <w:r w:rsidRPr="0037656C">
        <w:rPr>
          <w:rFonts w:cs="Arial"/>
          <w:u w:val="single"/>
          <w:rtl/>
        </w:rPr>
        <w:t>ב</w:t>
      </w:r>
      <w:r>
        <w:rPr>
          <w:rFonts w:cs="Arial" w:hint="cs"/>
          <w:u w:val="single"/>
          <w:rtl/>
        </w:rPr>
        <w:t>שדהו</w:t>
      </w:r>
      <w:r w:rsidRPr="0037656C">
        <w:rPr>
          <w:rFonts w:hint="cs"/>
          <w:u w:val="single"/>
          <w:rtl/>
        </w:rPr>
        <w:t xml:space="preserve"> </w:t>
      </w:r>
      <w:r w:rsidRPr="0037656C">
        <w:rPr>
          <w:u w:val="single"/>
          <w:rtl/>
        </w:rPr>
        <w:t>–</w:t>
      </w:r>
      <w:r w:rsidRPr="0037656C">
        <w:rPr>
          <w:rFonts w:hint="cs"/>
          <w:u w:val="single"/>
          <w:rtl/>
        </w:rPr>
        <w:t xml:space="preserve"> האם </w:t>
      </w:r>
      <w:r>
        <w:rPr>
          <w:rFonts w:hint="cs"/>
          <w:u w:val="single"/>
          <w:rtl/>
        </w:rPr>
        <w:t xml:space="preserve">דינו שווה לדין בית </w:t>
      </w:r>
      <w:r w:rsidRPr="0037656C">
        <w:rPr>
          <w:rFonts w:hint="cs"/>
          <w:sz w:val="16"/>
          <w:szCs w:val="16"/>
          <w:u w:val="single"/>
          <w:rtl/>
        </w:rPr>
        <w:t>(לעניין קיבולת)</w:t>
      </w:r>
      <w:r w:rsidRPr="0037656C">
        <w:rPr>
          <w:rFonts w:hint="cs"/>
          <w:u w:val="single"/>
          <w:rtl/>
        </w:rPr>
        <w:t>:</w:t>
      </w:r>
    </w:p>
    <w:p w14:paraId="3D19975C" w14:textId="77777777" w:rsidR="004B2E7C" w:rsidRPr="0037656C" w:rsidRDefault="004B2E7C" w:rsidP="00FF2D21">
      <w:pPr>
        <w:pStyle w:val="aa"/>
        <w:numPr>
          <w:ilvl w:val="0"/>
          <w:numId w:val="101"/>
        </w:numPr>
        <w:rPr>
          <w:rFonts w:cs="Arial"/>
        </w:rPr>
      </w:pPr>
      <w:r w:rsidRPr="0037656C">
        <w:rPr>
          <w:rFonts w:cs="Arial"/>
          <w:rtl/>
        </w:rPr>
        <w:t>תוס</w:t>
      </w:r>
      <w:r>
        <w:rPr>
          <w:rFonts w:cs="Arial" w:hint="cs"/>
          <w:rtl/>
        </w:rPr>
        <w:t>'</w:t>
      </w:r>
      <w:r w:rsidRPr="0037656C">
        <w:rPr>
          <w:rFonts w:cs="Arial"/>
          <w:rtl/>
        </w:rPr>
        <w:t xml:space="preserve"> </w:t>
      </w:r>
      <w:r>
        <w:rPr>
          <w:rFonts w:cs="Arial" w:hint="cs"/>
          <w:rtl/>
        </w:rPr>
        <w:t>התרומה סמ"ג מרדכי הגה"מ סמ"ק הה"מ ור"ן</w:t>
      </w:r>
      <w:r>
        <w:rPr>
          <w:rStyle w:val="a9"/>
          <w:rFonts w:cs="Arial"/>
          <w:rtl/>
        </w:rPr>
        <w:footnoteReference w:id="34"/>
      </w:r>
      <w:r>
        <w:rPr>
          <w:rFonts w:cs="Arial" w:hint="cs"/>
          <w:rtl/>
        </w:rPr>
        <w:t xml:space="preserve">- </w:t>
      </w:r>
      <w:r>
        <w:rPr>
          <w:rStyle w:val="a9"/>
          <w:rFonts w:cs="Arial"/>
          <w:rtl/>
        </w:rPr>
        <w:footnoteReference w:id="35"/>
      </w:r>
      <w:r w:rsidRPr="0037656C">
        <w:rPr>
          <w:rFonts w:cs="Arial"/>
          <w:rtl/>
        </w:rPr>
        <w:t>דין השדה שוה לדין בית לענין קיבולת</w:t>
      </w:r>
      <w:r w:rsidRPr="0037656C">
        <w:rPr>
          <w:rFonts w:cs="Arial" w:hint="cs"/>
          <w:rtl/>
        </w:rPr>
        <w:t>,</w:t>
      </w:r>
      <w:r w:rsidRPr="0037656C">
        <w:rPr>
          <w:rFonts w:cs="Arial"/>
          <w:rtl/>
        </w:rPr>
        <w:t xml:space="preserve"> כלומר שהישראל השוכר את הגוי בדבר ידוע שיעשה לו מלאכת שדהו </w:t>
      </w:r>
      <w:r w:rsidRPr="0037656C">
        <w:rPr>
          <w:rFonts w:cs="Arial" w:hint="cs"/>
          <w:rtl/>
        </w:rPr>
        <w:t xml:space="preserve">- </w:t>
      </w:r>
      <w:r w:rsidRPr="0037656C">
        <w:rPr>
          <w:rFonts w:cs="Arial"/>
          <w:rtl/>
        </w:rPr>
        <w:t>אסור להניחו לעשות לו מלאכה בשבת</w:t>
      </w:r>
      <w:r w:rsidRPr="0037656C">
        <w:rPr>
          <w:rFonts w:cs="Arial" w:hint="cs"/>
          <w:rtl/>
        </w:rPr>
        <w:t>.</w:t>
      </w:r>
      <w:r w:rsidRPr="0037656C">
        <w:rPr>
          <w:rFonts w:cs="Arial"/>
          <w:rtl/>
        </w:rPr>
        <w:t xml:space="preserve"> ולא מן הדין</w:t>
      </w:r>
      <w:r w:rsidRPr="0037656C">
        <w:rPr>
          <w:rFonts w:cs="Arial" w:hint="cs"/>
          <w:rtl/>
        </w:rPr>
        <w:t>,</w:t>
      </w:r>
      <w:r w:rsidRPr="0037656C">
        <w:rPr>
          <w:rFonts w:cs="Arial"/>
          <w:rtl/>
        </w:rPr>
        <w:t xml:space="preserve"> דמדינא ודאי שרי דגוי בדנפשיה קא עביד</w:t>
      </w:r>
      <w:r w:rsidRPr="0037656C">
        <w:rPr>
          <w:rFonts w:cs="Arial" w:hint="cs"/>
          <w:rtl/>
        </w:rPr>
        <w:t>,</w:t>
      </w:r>
      <w:r w:rsidRPr="0037656C">
        <w:rPr>
          <w:rFonts w:cs="Arial"/>
          <w:rtl/>
        </w:rPr>
        <w:t xml:space="preserve"> אלא מפני הרואים שיאמרו שהוא שכיר יום והוא עושה מלאכתו ע"י גוי בשבת</w:t>
      </w:r>
      <w:r w:rsidRPr="0037656C">
        <w:rPr>
          <w:rFonts w:cs="Arial" w:hint="cs"/>
          <w:rtl/>
        </w:rPr>
        <w:t>.</w:t>
      </w:r>
      <w:r w:rsidRPr="0037656C">
        <w:rPr>
          <w:rFonts w:cs="Arial"/>
          <w:rtl/>
        </w:rPr>
        <w:t xml:space="preserve"> ומפני כך אם היתה המלאכה חוץ לתחום כל עיירות ישראל דליכא רואים</w:t>
      </w:r>
      <w:r w:rsidRPr="0037656C">
        <w:rPr>
          <w:rFonts w:cs="Arial" w:hint="cs"/>
          <w:rtl/>
        </w:rPr>
        <w:t xml:space="preserve"> </w:t>
      </w:r>
      <w:r>
        <w:rPr>
          <w:rFonts w:cs="Arial"/>
          <w:rtl/>
        </w:rPr>
        <w:t>–</w:t>
      </w:r>
      <w:r w:rsidRPr="0037656C">
        <w:rPr>
          <w:rFonts w:cs="Arial"/>
          <w:rtl/>
        </w:rPr>
        <w:t xml:space="preserve"> שרי</w:t>
      </w:r>
      <w:r>
        <w:rPr>
          <w:rFonts w:cs="Arial" w:hint="cs"/>
          <w:sz w:val="16"/>
          <w:szCs w:val="16"/>
          <w:rtl/>
        </w:rPr>
        <w:t xml:space="preserve"> (ל' הב"י)</w:t>
      </w:r>
      <w:r w:rsidRPr="0037656C">
        <w:rPr>
          <w:rFonts w:cs="Arial"/>
          <w:rtl/>
        </w:rPr>
        <w:t xml:space="preserve">. </w:t>
      </w:r>
      <w:r w:rsidRPr="0099728C">
        <w:rPr>
          <w:rFonts w:cs="Arial" w:hint="cs"/>
          <w:color w:val="E36C0A" w:themeColor="accent6" w:themeShade="BF"/>
          <w:rtl/>
        </w:rPr>
        <w:t>(וכ</w:t>
      </w:r>
      <w:r>
        <w:rPr>
          <w:rFonts w:cs="Arial" w:hint="cs"/>
          <w:color w:val="E36C0A" w:themeColor="accent6" w:themeShade="BF"/>
          <w:rtl/>
        </w:rPr>
        <w:t>"</w:t>
      </w:r>
      <w:r w:rsidRPr="0099728C">
        <w:rPr>
          <w:rFonts w:cs="Arial" w:hint="cs"/>
          <w:color w:val="E36C0A" w:themeColor="accent6" w:themeShade="BF"/>
          <w:rtl/>
        </w:rPr>
        <w:t>פ בשו"ע)</w:t>
      </w:r>
    </w:p>
    <w:p w14:paraId="19D07C17" w14:textId="77777777" w:rsidR="004B2E7C" w:rsidRDefault="004B2E7C" w:rsidP="00FF2D21">
      <w:pPr>
        <w:pStyle w:val="aa"/>
        <w:numPr>
          <w:ilvl w:val="0"/>
          <w:numId w:val="101"/>
        </w:numPr>
        <w:rPr>
          <w:rFonts w:cs="Arial"/>
        </w:rPr>
      </w:pPr>
      <w:r>
        <w:rPr>
          <w:rFonts w:cs="Arial" w:hint="cs"/>
          <w:rtl/>
        </w:rPr>
        <w:t xml:space="preserve">יש אומרים </w:t>
      </w:r>
      <w:r>
        <w:rPr>
          <w:rFonts w:cs="Arial" w:hint="cs"/>
          <w:sz w:val="16"/>
          <w:szCs w:val="16"/>
          <w:rtl/>
        </w:rPr>
        <w:t>(הביאום</w:t>
      </w:r>
      <w:r w:rsidRPr="0037656C">
        <w:rPr>
          <w:rFonts w:cs="Arial"/>
          <w:sz w:val="16"/>
          <w:szCs w:val="16"/>
          <w:rtl/>
        </w:rPr>
        <w:t xml:space="preserve"> ה</w:t>
      </w:r>
      <w:r>
        <w:rPr>
          <w:rFonts w:cs="Arial" w:hint="cs"/>
          <w:sz w:val="16"/>
          <w:szCs w:val="16"/>
          <w:rtl/>
        </w:rPr>
        <w:t>ה"מ</w:t>
      </w:r>
      <w:r w:rsidRPr="0037656C">
        <w:rPr>
          <w:rFonts w:cs="Arial"/>
          <w:sz w:val="16"/>
          <w:szCs w:val="16"/>
          <w:rtl/>
        </w:rPr>
        <w:t xml:space="preserve"> </w:t>
      </w:r>
      <w:r>
        <w:rPr>
          <w:rFonts w:cs="Arial" w:hint="cs"/>
          <w:sz w:val="16"/>
          <w:szCs w:val="16"/>
          <w:rtl/>
        </w:rPr>
        <w:t>[</w:t>
      </w:r>
      <w:r w:rsidRPr="0037656C">
        <w:rPr>
          <w:rFonts w:cs="Arial"/>
          <w:sz w:val="16"/>
          <w:szCs w:val="16"/>
          <w:rtl/>
        </w:rPr>
        <w:t>פ"ו הט"ו</w:t>
      </w:r>
      <w:r>
        <w:rPr>
          <w:rFonts w:cs="Arial" w:hint="cs"/>
          <w:sz w:val="16"/>
          <w:szCs w:val="16"/>
          <w:rtl/>
        </w:rPr>
        <w:t>]</w:t>
      </w:r>
      <w:r w:rsidRPr="0037656C">
        <w:rPr>
          <w:rFonts w:cs="Arial"/>
          <w:sz w:val="16"/>
          <w:szCs w:val="16"/>
          <w:rtl/>
        </w:rPr>
        <w:t xml:space="preserve"> והר"ן </w:t>
      </w:r>
      <w:r>
        <w:rPr>
          <w:rFonts w:cs="Arial" w:hint="cs"/>
          <w:sz w:val="16"/>
          <w:szCs w:val="16"/>
          <w:rtl/>
        </w:rPr>
        <w:t>[</w:t>
      </w:r>
      <w:r w:rsidRPr="0037656C">
        <w:rPr>
          <w:rFonts w:cs="Arial"/>
          <w:sz w:val="16"/>
          <w:szCs w:val="16"/>
          <w:rtl/>
        </w:rPr>
        <w:t>ספ"ק דע</w:t>
      </w:r>
      <w:r>
        <w:rPr>
          <w:rFonts w:cs="Arial" w:hint="cs"/>
          <w:sz w:val="16"/>
          <w:szCs w:val="16"/>
          <w:rtl/>
        </w:rPr>
        <w:t xml:space="preserve">"ז </w:t>
      </w:r>
      <w:r w:rsidRPr="0037656C">
        <w:rPr>
          <w:rFonts w:cs="Arial"/>
          <w:sz w:val="16"/>
          <w:szCs w:val="16"/>
          <w:rtl/>
        </w:rPr>
        <w:t>שם</w:t>
      </w:r>
      <w:r>
        <w:rPr>
          <w:rFonts w:cs="Arial" w:hint="cs"/>
          <w:sz w:val="16"/>
          <w:szCs w:val="16"/>
          <w:rtl/>
        </w:rPr>
        <w:t>,</w:t>
      </w:r>
      <w:r w:rsidRPr="0037656C">
        <w:rPr>
          <w:rFonts w:cs="Arial"/>
          <w:sz w:val="16"/>
          <w:szCs w:val="16"/>
          <w:rtl/>
        </w:rPr>
        <w:t xml:space="preserve"> וס"פ כל כתבי שם</w:t>
      </w:r>
      <w:r>
        <w:rPr>
          <w:rFonts w:cs="Arial" w:hint="cs"/>
          <w:sz w:val="16"/>
          <w:szCs w:val="16"/>
          <w:rtl/>
        </w:rPr>
        <w:t>])</w:t>
      </w:r>
      <w:r>
        <w:rPr>
          <w:rFonts w:cs="Arial" w:hint="cs"/>
          <w:rtl/>
        </w:rPr>
        <w:t>- מותר בזה,</w:t>
      </w:r>
      <w:r w:rsidRPr="0037656C">
        <w:rPr>
          <w:rFonts w:cs="Arial"/>
          <w:rtl/>
        </w:rPr>
        <w:t xml:space="preserve"> לפי שהרואים תולים באריסות</w:t>
      </w:r>
      <w:r w:rsidRPr="0037656C">
        <w:rPr>
          <w:rFonts w:cs="Arial" w:hint="cs"/>
          <w:rtl/>
        </w:rPr>
        <w:t>,</w:t>
      </w:r>
      <w:r w:rsidRPr="0037656C">
        <w:rPr>
          <w:rFonts w:cs="Arial"/>
          <w:rtl/>
        </w:rPr>
        <w:t xml:space="preserve"> וכשאמר שמואל מקבלי קיבולת תוך התחום אסור לא אמר אלא בקיבולת בנין</w:t>
      </w:r>
      <w:r>
        <w:rPr>
          <w:rStyle w:val="a9"/>
          <w:rFonts w:cs="Arial"/>
          <w:rtl/>
        </w:rPr>
        <w:footnoteReference w:id="36"/>
      </w:r>
      <w:r w:rsidRPr="0037656C">
        <w:rPr>
          <w:rFonts w:cs="Arial" w:hint="cs"/>
          <w:rtl/>
        </w:rPr>
        <w:t>.</w:t>
      </w:r>
      <w:r w:rsidRPr="0037656C">
        <w:rPr>
          <w:rFonts w:cs="Arial"/>
          <w:rtl/>
        </w:rPr>
        <w:t xml:space="preserve"> </w:t>
      </w:r>
    </w:p>
    <w:p w14:paraId="6E3545C2" w14:textId="77777777" w:rsidR="004B2E7C" w:rsidRPr="00C8171F" w:rsidRDefault="004B2E7C" w:rsidP="00434A6A">
      <w:pPr>
        <w:ind w:left="360"/>
        <w:rPr>
          <w:rFonts w:cs="Arial"/>
          <w:u w:val="dotted"/>
        </w:rPr>
      </w:pPr>
      <w:r w:rsidRPr="00C8171F">
        <w:rPr>
          <w:rFonts w:cs="Arial" w:hint="cs"/>
          <w:u w:val="dotted"/>
          <w:rtl/>
        </w:rPr>
        <w:t xml:space="preserve">ומה הדין </w:t>
      </w:r>
      <w:r>
        <w:rPr>
          <w:rFonts w:cs="Arial" w:hint="cs"/>
          <w:u w:val="dotted"/>
          <w:rtl/>
        </w:rPr>
        <w:t>משכיר לו בדבר ידוע</w:t>
      </w:r>
      <w:r w:rsidRPr="00C8171F">
        <w:rPr>
          <w:rFonts w:cs="Arial" w:hint="cs"/>
          <w:u w:val="dotted"/>
          <w:rtl/>
        </w:rPr>
        <w:t xml:space="preserve"> תנור/ריחיים/מרחץ </w:t>
      </w:r>
      <w:r w:rsidRPr="00C8171F">
        <w:rPr>
          <w:rFonts w:cs="Arial" w:hint="cs"/>
          <w:sz w:val="16"/>
          <w:szCs w:val="16"/>
          <w:u w:val="dotted"/>
          <w:rtl/>
        </w:rPr>
        <w:t>(במקום שאין דרך להחכירם)</w:t>
      </w:r>
      <w:r w:rsidRPr="00C8171F">
        <w:rPr>
          <w:rFonts w:cs="Arial" w:hint="cs"/>
          <w:u w:val="dotted"/>
          <w:rtl/>
        </w:rPr>
        <w:t>:</w:t>
      </w:r>
    </w:p>
    <w:p w14:paraId="0CC227A7" w14:textId="77777777" w:rsidR="004B2E7C" w:rsidRDefault="004B2E7C" w:rsidP="00FF2D21">
      <w:pPr>
        <w:pStyle w:val="aa"/>
        <w:numPr>
          <w:ilvl w:val="0"/>
          <w:numId w:val="101"/>
        </w:numPr>
        <w:rPr>
          <w:rFonts w:cs="Arial"/>
        </w:rPr>
      </w:pPr>
      <w:r>
        <w:rPr>
          <w:rFonts w:cs="Arial" w:hint="cs"/>
          <w:rtl/>
        </w:rPr>
        <w:t xml:space="preserve">ב"י- </w:t>
      </w:r>
      <w:r w:rsidRPr="0037656C">
        <w:rPr>
          <w:rFonts w:cs="Arial"/>
          <w:rtl/>
        </w:rPr>
        <w:t>ומכאן נלמוד לתנור וריחיים ומרחץ שאסור לשכור גוי בדבר ידוע לשנה או לחודש כדי שיקבל עליו לעשות כל המלאכה הצריכה להם</w:t>
      </w:r>
      <w:r>
        <w:rPr>
          <w:rFonts w:cs="Arial" w:hint="cs"/>
          <w:rtl/>
        </w:rPr>
        <w:t>.</w:t>
      </w:r>
      <w:r w:rsidRPr="0037656C">
        <w:rPr>
          <w:rFonts w:cs="Arial"/>
          <w:rtl/>
        </w:rPr>
        <w:t xml:space="preserve"> ומ"ש רבינו ירוחם בחי"ב (ני"ב פב ע"ד) בשם רב נטרונאי בריחיים של מים שמותר ליתנם לגוי בקבלנות הוא לדעת המתירים אבל לדעת האוסרים בקרקע משום דמיחזי להו לאינשי כשכיר יום הוא הדין בריחיים דמאי שנא</w:t>
      </w:r>
      <w:r w:rsidRPr="0037656C">
        <w:rPr>
          <w:rFonts w:cs="Arial" w:hint="cs"/>
          <w:rtl/>
        </w:rPr>
        <w:t>.</w:t>
      </w:r>
      <w:r w:rsidRPr="0037656C">
        <w:rPr>
          <w:rFonts w:cs="Arial"/>
          <w:rtl/>
        </w:rPr>
        <w:t xml:space="preserve"> אי נמי הא דשרי היינו חוץ לתחום כל עיירות ישראל</w:t>
      </w:r>
      <w:r w:rsidRPr="0037656C">
        <w:rPr>
          <w:rFonts w:cs="Arial" w:hint="cs"/>
          <w:rtl/>
        </w:rPr>
        <w:t>.</w:t>
      </w:r>
      <w:r w:rsidRPr="0037656C">
        <w:rPr>
          <w:rFonts w:cs="Arial"/>
          <w:rtl/>
        </w:rPr>
        <w:t xml:space="preserve"> ויותר נראה לומר דרב נטרונאי ה"ק דריחיים של מים הם כלים ומותר להשכירם לגוי</w:t>
      </w:r>
      <w:r w:rsidRPr="0037656C">
        <w:rPr>
          <w:rFonts w:cs="Arial" w:hint="cs"/>
          <w:rtl/>
        </w:rPr>
        <w:t>.</w:t>
      </w:r>
      <w:r w:rsidRPr="0037656C">
        <w:rPr>
          <w:rFonts w:cs="Arial"/>
          <w:rtl/>
        </w:rPr>
        <w:t xml:space="preserve"> ופירוש בקבלנות כלומר שהגוי מקבל עליו כל מה שיעלו פירותיה בין רב למעט בדבר ידוע שנותן לישראל בכל חודש או בכל שנה</w:t>
      </w:r>
      <w:r w:rsidRPr="0037656C">
        <w:rPr>
          <w:rFonts w:cs="Arial" w:hint="cs"/>
          <w:rtl/>
        </w:rPr>
        <w:t>.</w:t>
      </w:r>
      <w:r w:rsidRPr="0037656C">
        <w:rPr>
          <w:rFonts w:cs="Arial"/>
          <w:rtl/>
        </w:rPr>
        <w:t xml:space="preserve"> והדברים מוכיחים שכן הוא</w:t>
      </w:r>
      <w:r w:rsidRPr="0037656C">
        <w:rPr>
          <w:rFonts w:cs="Arial" w:hint="cs"/>
          <w:rtl/>
        </w:rPr>
        <w:t>,</w:t>
      </w:r>
      <w:r w:rsidRPr="0037656C">
        <w:rPr>
          <w:rFonts w:cs="Arial"/>
          <w:rtl/>
        </w:rPr>
        <w:t xml:space="preserve"> דמייתי לה גבי שביתת כלים</w:t>
      </w:r>
      <w:r w:rsidRPr="0037656C">
        <w:rPr>
          <w:rFonts w:cs="Arial" w:hint="cs"/>
          <w:rtl/>
        </w:rPr>
        <w:t>.</w:t>
      </w:r>
      <w:r w:rsidRPr="0037656C">
        <w:rPr>
          <w:rFonts w:cs="Arial"/>
          <w:rtl/>
        </w:rPr>
        <w:t xml:space="preserve"> </w:t>
      </w:r>
    </w:p>
    <w:p w14:paraId="0F77F508" w14:textId="77777777" w:rsidR="004B2E7C" w:rsidRPr="00644451" w:rsidRDefault="004B2E7C" w:rsidP="00434A6A">
      <w:pPr>
        <w:rPr>
          <w:rFonts w:cs="Arial"/>
          <w:u w:val="single"/>
        </w:rPr>
      </w:pPr>
      <w:r w:rsidRPr="00644451">
        <w:rPr>
          <w:rFonts w:cs="Arial" w:hint="cs"/>
          <w:u w:val="single"/>
          <w:rtl/>
        </w:rPr>
        <w:t xml:space="preserve">גוי שעושה מלאכה דאורייתא </w:t>
      </w:r>
      <w:r>
        <w:rPr>
          <w:rFonts w:cs="Arial" w:hint="cs"/>
          <w:u w:val="single"/>
          <w:rtl/>
        </w:rPr>
        <w:t xml:space="preserve">בשבת </w:t>
      </w:r>
      <w:r w:rsidRPr="00644451">
        <w:rPr>
          <w:rFonts w:cs="Arial" w:hint="cs"/>
          <w:u w:val="single"/>
          <w:rtl/>
        </w:rPr>
        <w:t>בשביל הישראל:</w:t>
      </w:r>
    </w:p>
    <w:p w14:paraId="07FFF2B3" w14:textId="77777777" w:rsidR="004B2E7C" w:rsidRPr="00644451" w:rsidRDefault="004B2E7C" w:rsidP="00FF2D21">
      <w:pPr>
        <w:pStyle w:val="aa"/>
        <w:numPr>
          <w:ilvl w:val="0"/>
          <w:numId w:val="101"/>
        </w:numPr>
        <w:rPr>
          <w:rFonts w:cs="Arial"/>
          <w:rtl/>
        </w:rPr>
      </w:pPr>
      <w:r w:rsidRPr="00104DD8">
        <w:rPr>
          <w:rFonts w:cs="Arial"/>
          <w:rtl/>
        </w:rPr>
        <w:t xml:space="preserve">סמ"ג </w:t>
      </w:r>
      <w:r w:rsidRPr="00104DD8">
        <w:rPr>
          <w:rFonts w:cs="Arial" w:hint="cs"/>
          <w:sz w:val="16"/>
          <w:szCs w:val="16"/>
          <w:rtl/>
        </w:rPr>
        <w:t xml:space="preserve">(לאוין </w:t>
      </w:r>
      <w:r w:rsidRPr="00104DD8">
        <w:rPr>
          <w:rFonts w:cs="Arial"/>
          <w:sz w:val="16"/>
          <w:szCs w:val="16"/>
          <w:rtl/>
        </w:rPr>
        <w:t>סי</w:t>
      </w:r>
      <w:r w:rsidRPr="00104DD8">
        <w:rPr>
          <w:rFonts w:cs="Arial" w:hint="cs"/>
          <w:sz w:val="16"/>
          <w:szCs w:val="16"/>
          <w:rtl/>
        </w:rPr>
        <w:t>'</w:t>
      </w:r>
      <w:r w:rsidRPr="00104DD8">
        <w:rPr>
          <w:rFonts w:cs="Arial"/>
          <w:sz w:val="16"/>
          <w:szCs w:val="16"/>
          <w:rtl/>
        </w:rPr>
        <w:t xml:space="preserve"> עה כד ריש ע"ד)</w:t>
      </w:r>
      <w:r>
        <w:rPr>
          <w:rFonts w:cs="Arial" w:hint="cs"/>
          <w:rtl/>
        </w:rPr>
        <w:t>-</w:t>
      </w:r>
      <w:r w:rsidRPr="00104DD8">
        <w:rPr>
          <w:rFonts w:cs="Arial"/>
          <w:rtl/>
        </w:rPr>
        <w:t xml:space="preserve"> תניא במכילתא (בא פרשה ט) כל מלאכה לא יעשה בהם</w:t>
      </w:r>
      <w:r w:rsidRPr="00104DD8">
        <w:rPr>
          <w:rFonts w:cs="Arial" w:hint="cs"/>
          <w:rtl/>
        </w:rPr>
        <w:t>,</w:t>
      </w:r>
      <w:r w:rsidRPr="00104DD8">
        <w:rPr>
          <w:rFonts w:cs="Arial"/>
          <w:rtl/>
        </w:rPr>
        <w:t xml:space="preserve"> לא תעשה אתה ולא יעשה חבירך ולא יעשה הגוי מלאכתך</w:t>
      </w:r>
      <w:r w:rsidRPr="00104DD8">
        <w:rPr>
          <w:rFonts w:cs="Arial" w:hint="cs"/>
          <w:rtl/>
        </w:rPr>
        <w:t>.</w:t>
      </w:r>
      <w:r w:rsidRPr="00104DD8">
        <w:rPr>
          <w:rFonts w:cs="Arial"/>
          <w:rtl/>
        </w:rPr>
        <w:t xml:space="preserve"> משמע מכאן שאסור לישראל להניח לגוי לעשות מלאכתו בין ביום טוב בין בשבת דאורייתא</w:t>
      </w:r>
      <w:r w:rsidRPr="00104DD8">
        <w:rPr>
          <w:rFonts w:cs="Arial" w:hint="cs"/>
          <w:rtl/>
        </w:rPr>
        <w:t>.</w:t>
      </w:r>
      <w:r w:rsidRPr="00104DD8">
        <w:rPr>
          <w:rFonts w:cs="Arial"/>
          <w:rtl/>
        </w:rPr>
        <w:t xml:space="preserve"> אבל אם מסר לו הישראל המלאכה מערב שבת מותר ובלבד שיהיה בביתו של גוי כאשר ביארנו בהלכות שבת (יט ע"ג)</w:t>
      </w:r>
      <w:r w:rsidRPr="00104DD8">
        <w:rPr>
          <w:rFonts w:cs="Arial" w:hint="cs"/>
          <w:rtl/>
        </w:rPr>
        <w:t>.</w:t>
      </w:r>
      <w:r w:rsidRPr="00104DD8">
        <w:rPr>
          <w:rFonts w:cs="Arial"/>
          <w:rtl/>
        </w:rPr>
        <w:t xml:space="preserve"> אמנם י"ל שהיא אסמכתא בעלמא</w:t>
      </w:r>
      <w:r w:rsidRPr="00104DD8">
        <w:rPr>
          <w:rFonts w:cs="Arial" w:hint="cs"/>
          <w:rtl/>
        </w:rPr>
        <w:t>,</w:t>
      </w:r>
      <w:r w:rsidRPr="00104DD8">
        <w:rPr>
          <w:rFonts w:cs="Arial"/>
          <w:rtl/>
        </w:rPr>
        <w:t xml:space="preserve"> שאם היתה מן התורה לא היו חכמים מתירין לעשותה אף בביתו של גוי ואף מסרה מע"ש</w:t>
      </w:r>
      <w:r w:rsidRPr="00104DD8">
        <w:rPr>
          <w:rFonts w:cs="Arial" w:hint="cs"/>
          <w:rtl/>
        </w:rPr>
        <w:t>,</w:t>
      </w:r>
      <w:r w:rsidRPr="00104DD8">
        <w:rPr>
          <w:rFonts w:cs="Arial"/>
          <w:rtl/>
        </w:rPr>
        <w:t xml:space="preserve"> ולשון לא יעשה הכתוב בתורה מוכיח קצת שהיא דרשה גמורה</w:t>
      </w:r>
      <w:r>
        <w:rPr>
          <w:rStyle w:val="a9"/>
          <w:rFonts w:cs="Arial"/>
          <w:rtl/>
        </w:rPr>
        <w:footnoteReference w:id="37"/>
      </w:r>
      <w:r w:rsidRPr="00104DD8">
        <w:rPr>
          <w:rFonts w:cs="Arial" w:hint="cs"/>
          <w:rtl/>
        </w:rPr>
        <w:t>.</w:t>
      </w:r>
    </w:p>
    <w:p w14:paraId="010E78C0"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33B0850" w14:textId="77777777" w:rsidR="004B2E7C" w:rsidRDefault="004B2E7C" w:rsidP="00434A6A">
      <w:pPr>
        <w:rPr>
          <w:rtl/>
        </w:rPr>
      </w:pPr>
      <w:r>
        <w:rPr>
          <w:rFonts w:cs="Arial"/>
          <w:rtl/>
        </w:rPr>
        <w:t>פוסק עם ה</w:t>
      </w:r>
      <w:r>
        <w:rPr>
          <w:rFonts w:cs="Arial" w:hint="cs"/>
          <w:rtl/>
        </w:rPr>
        <w:t>גו</w:t>
      </w:r>
      <w:r>
        <w:rPr>
          <w:rFonts w:cs="Arial"/>
          <w:rtl/>
        </w:rPr>
        <w:t>י על המלאכה, וקוצץ דמים, והגוי עושה לעצמו, ואף על פי שהוא עושה בשבת, מותר</w:t>
      </w:r>
      <w:r>
        <w:rPr>
          <w:rFonts w:cs="Arial" w:hint="cs"/>
          <w:rtl/>
        </w:rPr>
        <w:t>.</w:t>
      </w:r>
      <w:r>
        <w:rPr>
          <w:rFonts w:cs="Arial"/>
          <w:rtl/>
        </w:rPr>
        <w:t xml:space="preserve"> ב</w:t>
      </w:r>
      <w:r>
        <w:rPr>
          <w:rFonts w:cs="Arial" w:hint="cs"/>
          <w:rtl/>
        </w:rPr>
        <w:t xml:space="preserve">מה </w:t>
      </w:r>
      <w:r>
        <w:rPr>
          <w:rFonts w:cs="Arial"/>
          <w:rtl/>
        </w:rPr>
        <w:t>ד</w:t>
      </w:r>
      <w:r>
        <w:rPr>
          <w:rFonts w:cs="Arial" w:hint="cs"/>
          <w:rtl/>
        </w:rPr>
        <w:t xml:space="preserve">ברים </w:t>
      </w:r>
      <w:r>
        <w:rPr>
          <w:rFonts w:cs="Arial"/>
          <w:rtl/>
        </w:rPr>
        <w:t>א</w:t>
      </w:r>
      <w:r>
        <w:rPr>
          <w:rFonts w:cs="Arial" w:hint="cs"/>
          <w:rtl/>
        </w:rPr>
        <w:t>מורים</w:t>
      </w:r>
      <w:r>
        <w:rPr>
          <w:rFonts w:cs="Arial"/>
          <w:rtl/>
        </w:rPr>
        <w:t>, בצנעה, שאין מכירים הכל</w:t>
      </w:r>
      <w:r>
        <w:rPr>
          <w:rStyle w:val="a9"/>
          <w:rFonts w:cs="Arial"/>
          <w:rtl/>
        </w:rPr>
        <w:footnoteReference w:id="38"/>
      </w:r>
      <w:r>
        <w:rPr>
          <w:rFonts w:cs="Arial"/>
          <w:rtl/>
        </w:rPr>
        <w:t xml:space="preserve"> שזו המלאכה הנעשית בשבת של ישראל היא, אבל אם היתה ידועה ומפורסמת, אסור שהרואה את ה</w:t>
      </w:r>
      <w:r>
        <w:rPr>
          <w:rFonts w:cs="Arial" w:hint="cs"/>
          <w:rtl/>
        </w:rPr>
        <w:t>גו</w:t>
      </w:r>
      <w:r>
        <w:rPr>
          <w:rFonts w:cs="Arial"/>
          <w:rtl/>
        </w:rPr>
        <w:t>י עוסק אינו יודע שקצץ, ואומר שפלוני שכר ה</w:t>
      </w:r>
      <w:r>
        <w:rPr>
          <w:rFonts w:cs="Arial" w:hint="cs"/>
          <w:rtl/>
        </w:rPr>
        <w:t>גו</w:t>
      </w:r>
      <w:r>
        <w:rPr>
          <w:rFonts w:cs="Arial"/>
          <w:rtl/>
        </w:rPr>
        <w:t>י לעשות מלאכה בשבת</w:t>
      </w:r>
      <w:r>
        <w:rPr>
          <w:rFonts w:cs="Arial" w:hint="cs"/>
          <w:rtl/>
        </w:rPr>
        <w:t>.</w:t>
      </w:r>
      <w:r>
        <w:rPr>
          <w:rFonts w:cs="Arial"/>
          <w:rtl/>
        </w:rPr>
        <w:t xml:space="preserve"> לפיכך הפוסק עם ה</w:t>
      </w:r>
      <w:r>
        <w:rPr>
          <w:rFonts w:cs="Arial" w:hint="cs"/>
          <w:rtl/>
        </w:rPr>
        <w:t>גו</w:t>
      </w:r>
      <w:r>
        <w:rPr>
          <w:rFonts w:cs="Arial"/>
          <w:rtl/>
        </w:rPr>
        <w:t>י לבנות לו</w:t>
      </w:r>
      <w:r>
        <w:rPr>
          <w:rStyle w:val="a9"/>
          <w:rFonts w:cs="Arial"/>
          <w:rtl/>
        </w:rPr>
        <w:footnoteReference w:id="39"/>
      </w:r>
      <w:r>
        <w:rPr>
          <w:rFonts w:cs="Arial"/>
          <w:rtl/>
        </w:rPr>
        <w:t xml:space="preserve"> חצירו או כותלו, או לקצור לו שדהו, אם היתה המלאכה במדינה או בתוך התחום, אסור לו להניחה לעשות לו מלאכה בשבת, מפני הרואים שאינם יודעים שפסק</w:t>
      </w:r>
      <w:r>
        <w:rPr>
          <w:rFonts w:cs="Arial" w:hint="cs"/>
          <w:rtl/>
        </w:rPr>
        <w:t>.</w:t>
      </w:r>
      <w:r>
        <w:rPr>
          <w:rFonts w:cs="Arial"/>
          <w:rtl/>
        </w:rPr>
        <w:t xml:space="preserve"> </w:t>
      </w:r>
      <w:r w:rsidRPr="00791DD6">
        <w:rPr>
          <w:rFonts w:cs="Arial"/>
          <w:sz w:val="18"/>
          <w:szCs w:val="18"/>
          <w:rtl/>
        </w:rPr>
        <w:t>הגה: ואפי' אם דר בין ה</w:t>
      </w:r>
      <w:r>
        <w:rPr>
          <w:rFonts w:cs="Arial"/>
          <w:sz w:val="18"/>
          <w:szCs w:val="18"/>
          <w:rtl/>
        </w:rPr>
        <w:t>גוים</w:t>
      </w:r>
      <w:r>
        <w:rPr>
          <w:rStyle w:val="a9"/>
          <w:rFonts w:cs="Arial"/>
          <w:sz w:val="18"/>
          <w:szCs w:val="18"/>
          <w:rtl/>
        </w:rPr>
        <w:footnoteReference w:id="40"/>
      </w:r>
      <w:r w:rsidRPr="00791DD6">
        <w:rPr>
          <w:rFonts w:cs="Arial"/>
          <w:sz w:val="18"/>
          <w:szCs w:val="18"/>
          <w:rtl/>
        </w:rPr>
        <w:t>, יש לחוש לאורחים הבאים שם, או לבני ביתו שיחשדו אותו (ב"י בשם תשובת אשכנזים)</w:t>
      </w:r>
      <w:r>
        <w:rPr>
          <w:rFonts w:cs="Arial" w:hint="cs"/>
          <w:sz w:val="18"/>
          <w:szCs w:val="18"/>
          <w:rtl/>
        </w:rPr>
        <w:t>.</w:t>
      </w:r>
      <w:r w:rsidRPr="00791DD6">
        <w:rPr>
          <w:rFonts w:cs="Arial"/>
          <w:sz w:val="18"/>
          <w:szCs w:val="18"/>
          <w:rtl/>
        </w:rPr>
        <w:t xml:space="preserve"> </w:t>
      </w:r>
      <w:r w:rsidRPr="004735D1">
        <w:rPr>
          <w:rFonts w:cs="Arial"/>
          <w:rtl/>
        </w:rPr>
        <w:t>ואם היתה המלאכה חוץ לתחום</w:t>
      </w:r>
      <w:r>
        <w:rPr>
          <w:rStyle w:val="a9"/>
          <w:rFonts w:cs="Arial"/>
          <w:rtl/>
        </w:rPr>
        <w:footnoteReference w:id="41"/>
      </w:r>
      <w:r w:rsidRPr="004735D1">
        <w:rPr>
          <w:rFonts w:cs="Arial"/>
          <w:rtl/>
        </w:rPr>
        <w:t xml:space="preserve">, וגם אין עיר אחרת בתוך תחומו של מקום, שעושים בו מלאכה, מותר. </w:t>
      </w:r>
      <w:r w:rsidRPr="0099728C">
        <w:rPr>
          <w:rFonts w:cs="Arial" w:hint="cs"/>
          <w:sz w:val="18"/>
          <w:szCs w:val="18"/>
          <w:rtl/>
        </w:rPr>
        <w:t>(</w:t>
      </w:r>
      <w:r w:rsidRPr="0099728C">
        <w:rPr>
          <w:rFonts w:cs="Arial"/>
          <w:sz w:val="18"/>
          <w:szCs w:val="18"/>
          <w:rtl/>
        </w:rPr>
        <w:t>וגוי שהכניס צאן של ישראל לדיר שדהו</w:t>
      </w:r>
      <w:r w:rsidRPr="0099728C">
        <w:rPr>
          <w:rFonts w:cs="Arial" w:hint="cs"/>
          <w:sz w:val="18"/>
          <w:szCs w:val="18"/>
          <w:rtl/>
        </w:rPr>
        <w:t xml:space="preserve"> </w:t>
      </w:r>
      <w:r w:rsidRPr="0099728C">
        <w:rPr>
          <w:rFonts w:cs="Arial"/>
          <w:sz w:val="18"/>
          <w:szCs w:val="18"/>
          <w:rtl/>
        </w:rPr>
        <w:t xml:space="preserve">ע"ל סימן תקל"ז סעיף י"ד). </w:t>
      </w:r>
    </w:p>
    <w:p w14:paraId="2ABA9F22" w14:textId="77777777" w:rsidR="004B2E7C" w:rsidRPr="00704D8A" w:rsidRDefault="004B2E7C" w:rsidP="00434A6A">
      <w:pPr>
        <w:rPr>
          <w:u w:val="single"/>
          <w:rtl/>
        </w:rPr>
      </w:pPr>
      <w:r w:rsidRPr="00704D8A">
        <w:rPr>
          <w:rFonts w:hint="cs"/>
          <w:u w:val="single"/>
          <w:rtl/>
        </w:rPr>
        <w:t>האם גם בדבר של רבים חוששים</w:t>
      </w:r>
      <w:r>
        <w:rPr>
          <w:rFonts w:hint="cs"/>
          <w:u w:val="single"/>
          <w:rtl/>
        </w:rPr>
        <w:t xml:space="preserve"> </w:t>
      </w:r>
      <w:r w:rsidRPr="00704D8A">
        <w:rPr>
          <w:rFonts w:hint="cs"/>
          <w:u w:val="single"/>
          <w:rtl/>
        </w:rPr>
        <w:t>שמא יאמרו שהגוי שעובד הוא שכיר יום:</w:t>
      </w:r>
    </w:p>
    <w:p w14:paraId="5477B7ED" w14:textId="77777777" w:rsidR="004B2E7C" w:rsidRDefault="004B2E7C" w:rsidP="00FF2D21">
      <w:pPr>
        <w:pStyle w:val="aa"/>
        <w:numPr>
          <w:ilvl w:val="0"/>
          <w:numId w:val="101"/>
        </w:numPr>
        <w:rPr>
          <w:rtl/>
        </w:rPr>
      </w:pPr>
      <w:r w:rsidRPr="00CC383D">
        <w:rPr>
          <w:rFonts w:cs="Arial" w:hint="cs"/>
          <w:rtl/>
        </w:rPr>
        <w:t xml:space="preserve">מג"א </w:t>
      </w:r>
      <w:r w:rsidRPr="00CC383D">
        <w:rPr>
          <w:rFonts w:cs="Arial" w:hint="cs"/>
          <w:sz w:val="16"/>
          <w:szCs w:val="16"/>
          <w:rtl/>
        </w:rPr>
        <w:t>(סק"ח)</w:t>
      </w:r>
      <w:r w:rsidRPr="00CC383D">
        <w:rPr>
          <w:rFonts w:cs="Arial" w:hint="cs"/>
          <w:rtl/>
        </w:rPr>
        <w:t xml:space="preserve">- </w:t>
      </w:r>
      <w:r w:rsidRPr="00CC383D">
        <w:rPr>
          <w:rFonts w:cs="Arial"/>
          <w:rtl/>
        </w:rPr>
        <w:t xml:space="preserve">פה בעירנו נוהגין היתר לשכור </w:t>
      </w:r>
      <w:r>
        <w:rPr>
          <w:rFonts w:cs="Arial"/>
          <w:rtl/>
        </w:rPr>
        <w:t>גוי</w:t>
      </w:r>
      <w:r w:rsidRPr="00CC383D">
        <w:rPr>
          <w:rFonts w:cs="Arial"/>
          <w:rtl/>
        </w:rPr>
        <w:t>בקבלנות ליקח הזבל מן הרחוב וה</w:t>
      </w:r>
      <w:r>
        <w:rPr>
          <w:rFonts w:cs="Arial"/>
          <w:rtl/>
        </w:rPr>
        <w:t>גוי</w:t>
      </w:r>
      <w:r w:rsidRPr="00CC383D">
        <w:rPr>
          <w:rFonts w:cs="Arial"/>
          <w:rtl/>
        </w:rPr>
        <w:t>עושים המלאכה בשבת ואף ע"ג דמלאכה דאורייתא כדאמרינן היתה לו גבשושית ונטלה חייב משום בונה דמתקן הרחוב וצ"ל דגדול א' הורה להם כך משום דבשל רבים ליכא חשדא כמ"ש בי</w:t>
      </w:r>
      <w:r>
        <w:rPr>
          <w:rFonts w:cs="Arial" w:hint="cs"/>
          <w:rtl/>
        </w:rPr>
        <w:t>ו</w:t>
      </w:r>
      <w:r w:rsidRPr="00CC383D">
        <w:rPr>
          <w:rFonts w:cs="Arial"/>
          <w:rtl/>
        </w:rPr>
        <w:t>"ד סימן קמ"א ס"ד</w:t>
      </w:r>
      <w:r>
        <w:rPr>
          <w:rFonts w:cs="Arial" w:hint="cs"/>
          <w:rtl/>
        </w:rPr>
        <w:t>,</w:t>
      </w:r>
      <w:r w:rsidRPr="00CC383D">
        <w:rPr>
          <w:rFonts w:cs="Arial"/>
          <w:rtl/>
        </w:rPr>
        <w:t xml:space="preserve"> אבל בשכיר יום פשיטא דאסור</w:t>
      </w:r>
      <w:r>
        <w:rPr>
          <w:rFonts w:cs="Arial" w:hint="cs"/>
          <w:rtl/>
        </w:rPr>
        <w:t>.</w:t>
      </w:r>
      <w:r w:rsidRPr="00CC383D">
        <w:rPr>
          <w:rFonts w:cs="Arial"/>
          <w:rtl/>
        </w:rPr>
        <w:t xml:space="preserve"> וא"כ היה נראה להתיר לבנות בית הכנסת בשבת בקבלנות</w:t>
      </w:r>
      <w:r>
        <w:rPr>
          <w:rFonts w:cs="Arial" w:hint="cs"/>
          <w:rtl/>
        </w:rPr>
        <w:t>.</w:t>
      </w:r>
      <w:r w:rsidRPr="00CC383D">
        <w:rPr>
          <w:rFonts w:cs="Arial"/>
          <w:rtl/>
        </w:rPr>
        <w:t xml:space="preserve"> ומ"מ ראיתי שהגדולים לא רצו להתירו כי בזמן הזה אין ה</w:t>
      </w:r>
      <w:r>
        <w:rPr>
          <w:rFonts w:cs="Arial"/>
          <w:rtl/>
        </w:rPr>
        <w:t>גוי</w:t>
      </w:r>
      <w:r>
        <w:rPr>
          <w:rFonts w:cs="Arial" w:hint="cs"/>
          <w:rtl/>
        </w:rPr>
        <w:t xml:space="preserve">ם </w:t>
      </w:r>
      <w:r w:rsidRPr="00CC383D">
        <w:rPr>
          <w:rFonts w:cs="Arial"/>
          <w:rtl/>
        </w:rPr>
        <w:t>מניחין לשום אדם לעשות מלאכת פרהסיא ביום חגם ואם נניח אנחנו לעשות איכא חילול השם</w:t>
      </w:r>
      <w:r>
        <w:rPr>
          <w:rStyle w:val="a9"/>
          <w:rFonts w:cs="Arial"/>
          <w:rtl/>
        </w:rPr>
        <w:footnoteReference w:id="42"/>
      </w:r>
      <w:r>
        <w:rPr>
          <w:rFonts w:cs="Arial" w:hint="cs"/>
          <w:rtl/>
        </w:rPr>
        <w:t>,</w:t>
      </w:r>
      <w:r w:rsidRPr="00CC383D">
        <w:rPr>
          <w:rFonts w:cs="Arial"/>
          <w:rtl/>
        </w:rPr>
        <w:t xml:space="preserve"> אבל תיקון הרחוב אין נקרא ע"ש הישראל כ"כ</w:t>
      </w:r>
      <w:r>
        <w:rPr>
          <w:rFonts w:cs="Arial" w:hint="cs"/>
          <w:rtl/>
        </w:rPr>
        <w:t>.</w:t>
      </w:r>
      <w:r w:rsidRPr="00CC383D">
        <w:rPr>
          <w:rFonts w:cs="Arial"/>
          <w:rtl/>
        </w:rPr>
        <w:t xml:space="preserve"> ומ"מ במקום שאין נוהגין היתר ברחוב אין להקל</w:t>
      </w:r>
      <w:r>
        <w:rPr>
          <w:rFonts w:hint="cs"/>
          <w:rtl/>
        </w:rPr>
        <w:t>.</w:t>
      </w:r>
    </w:p>
    <w:p w14:paraId="0FD7D5C1" w14:textId="77777777" w:rsidR="004B2E7C" w:rsidRDefault="004B2E7C" w:rsidP="00434A6A">
      <w:pPr>
        <w:rPr>
          <w:rtl/>
        </w:rPr>
      </w:pPr>
    </w:p>
    <w:p w14:paraId="66301664" w14:textId="77777777" w:rsidR="004B2E7C" w:rsidRDefault="004B2E7C" w:rsidP="00434A6A">
      <w:pPr>
        <w:pStyle w:val="2"/>
        <w:rPr>
          <w:rtl/>
        </w:rPr>
      </w:pPr>
      <w:r>
        <w:rPr>
          <w:rtl/>
        </w:rPr>
        <w:t>סעיף ב</w:t>
      </w:r>
      <w:r>
        <w:rPr>
          <w:rFonts w:hint="cs"/>
          <w:rtl/>
        </w:rPr>
        <w:t>: גוי שעושה מלאכה בביתו ע"מ להשתמש בה במחובר בבית ישראל.</w:t>
      </w:r>
    </w:p>
    <w:p w14:paraId="5DD7ECE4" w14:textId="77777777" w:rsidR="004B2E7C" w:rsidRPr="00AC64E4" w:rsidRDefault="004B2E7C" w:rsidP="00434A6A">
      <w:pPr>
        <w:rPr>
          <w:sz w:val="16"/>
          <w:szCs w:val="16"/>
          <w:rtl/>
        </w:rPr>
      </w:pPr>
      <w:r w:rsidRPr="003B04BC">
        <w:rPr>
          <w:rFonts w:cs="Arial" w:hint="cs"/>
          <w:b/>
          <w:bCs/>
          <w:rtl/>
        </w:rPr>
        <w:t xml:space="preserve">ירושלמי שבת פ"א ה"ח: </w:t>
      </w:r>
      <w:r w:rsidRPr="003B04BC">
        <w:rPr>
          <w:rFonts w:cs="Arial"/>
          <w:rtl/>
        </w:rPr>
        <w:t xml:space="preserve">תני אומנין </w:t>
      </w:r>
      <w:r>
        <w:rPr>
          <w:rFonts w:cs="Arial"/>
          <w:rtl/>
        </w:rPr>
        <w:t>גוי</w:t>
      </w:r>
      <w:r>
        <w:rPr>
          <w:rFonts w:cs="Arial" w:hint="cs"/>
          <w:rtl/>
        </w:rPr>
        <w:t xml:space="preserve">ם </w:t>
      </w:r>
      <w:r w:rsidRPr="003B04BC">
        <w:rPr>
          <w:rFonts w:cs="Arial"/>
          <w:rtl/>
        </w:rPr>
        <w:t>שהיו עושין עם ישראל</w:t>
      </w:r>
      <w:r>
        <w:rPr>
          <w:rFonts w:cs="Arial" w:hint="cs"/>
          <w:rtl/>
        </w:rPr>
        <w:t>,</w:t>
      </w:r>
      <w:r w:rsidRPr="003B04BC">
        <w:rPr>
          <w:rFonts w:cs="Arial"/>
          <w:rtl/>
        </w:rPr>
        <w:t xml:space="preserve"> בתוך ביתו של ישראל </w:t>
      </w:r>
      <w:r>
        <w:rPr>
          <w:rFonts w:cs="Arial" w:hint="cs"/>
          <w:rtl/>
        </w:rPr>
        <w:t xml:space="preserve">- </w:t>
      </w:r>
      <w:r w:rsidRPr="003B04BC">
        <w:rPr>
          <w:rFonts w:cs="Arial"/>
          <w:rtl/>
        </w:rPr>
        <w:t>אסור</w:t>
      </w:r>
      <w:r>
        <w:rPr>
          <w:rFonts w:cs="Arial" w:hint="cs"/>
          <w:rtl/>
        </w:rPr>
        <w:t>.</w:t>
      </w:r>
      <w:r w:rsidRPr="003B04BC">
        <w:rPr>
          <w:rFonts w:cs="Arial"/>
          <w:rtl/>
        </w:rPr>
        <w:t xml:space="preserve"> ובתוך בתיהן</w:t>
      </w:r>
      <w:r>
        <w:rPr>
          <w:rFonts w:cs="Arial" w:hint="cs"/>
          <w:rtl/>
        </w:rPr>
        <w:t xml:space="preserve"> -</w:t>
      </w:r>
      <w:r w:rsidRPr="003B04BC">
        <w:rPr>
          <w:rFonts w:cs="Arial"/>
          <w:rtl/>
        </w:rPr>
        <w:t xml:space="preserve"> מותר. </w:t>
      </w:r>
      <w:r w:rsidRPr="003B04BC">
        <w:rPr>
          <w:rFonts w:cs="Arial"/>
          <w:u w:val="single"/>
          <w:rtl/>
        </w:rPr>
        <w:t>א"ר שמעון בן לעזר</w:t>
      </w:r>
      <w:r>
        <w:rPr>
          <w:rFonts w:cs="Arial" w:hint="cs"/>
          <w:rtl/>
        </w:rPr>
        <w:t>:</w:t>
      </w:r>
      <w:r w:rsidRPr="003B04BC">
        <w:rPr>
          <w:rFonts w:cs="Arial"/>
          <w:rtl/>
        </w:rPr>
        <w:t xml:space="preserve"> במה דברים אמורים</w:t>
      </w:r>
      <w:r>
        <w:rPr>
          <w:rFonts w:cs="Arial" w:hint="cs"/>
          <w:rtl/>
        </w:rPr>
        <w:t>,</w:t>
      </w:r>
      <w:r w:rsidRPr="003B04BC">
        <w:rPr>
          <w:rFonts w:cs="Arial"/>
          <w:rtl/>
        </w:rPr>
        <w:t xml:space="preserve"> בקיבולת. אבל בשכר יום </w:t>
      </w:r>
      <w:r>
        <w:rPr>
          <w:rFonts w:cs="Arial" w:hint="cs"/>
          <w:rtl/>
        </w:rPr>
        <w:t xml:space="preserve">- </w:t>
      </w:r>
      <w:r w:rsidRPr="003B04BC">
        <w:rPr>
          <w:rFonts w:cs="Arial"/>
          <w:rtl/>
        </w:rPr>
        <w:t>אסור. במה דברים אמורים</w:t>
      </w:r>
      <w:r>
        <w:rPr>
          <w:rFonts w:cs="Arial" w:hint="cs"/>
          <w:rtl/>
        </w:rPr>
        <w:t>,</w:t>
      </w:r>
      <w:r w:rsidRPr="003B04BC">
        <w:rPr>
          <w:rFonts w:cs="Arial"/>
          <w:rtl/>
        </w:rPr>
        <w:t xml:space="preserve"> בתלוש מן הקרקע. אבל במחובר לקרקע </w:t>
      </w:r>
      <w:r>
        <w:rPr>
          <w:rFonts w:cs="Arial" w:hint="cs"/>
          <w:rtl/>
        </w:rPr>
        <w:t xml:space="preserve">- </w:t>
      </w:r>
      <w:r w:rsidRPr="003B04BC">
        <w:rPr>
          <w:rFonts w:cs="Arial"/>
          <w:rtl/>
        </w:rPr>
        <w:t xml:space="preserve">אסור. ובעיר אחרת </w:t>
      </w:r>
      <w:r>
        <w:rPr>
          <w:rFonts w:cs="Arial" w:hint="cs"/>
          <w:rtl/>
        </w:rPr>
        <w:t xml:space="preserve">- </w:t>
      </w:r>
      <w:r w:rsidRPr="003B04BC">
        <w:rPr>
          <w:rFonts w:cs="Arial"/>
          <w:rtl/>
        </w:rPr>
        <w:t>בין כך ובין כך מותר. מהו בין כך ובין כך מותר</w:t>
      </w:r>
      <w:r>
        <w:rPr>
          <w:rFonts w:cs="Arial" w:hint="cs"/>
          <w:rtl/>
        </w:rPr>
        <w:t>?</w:t>
      </w:r>
      <w:r w:rsidRPr="003B04BC">
        <w:rPr>
          <w:rFonts w:cs="Arial"/>
          <w:rtl/>
        </w:rPr>
        <w:t xml:space="preserve"> בין בתלוש ובין במחובר</w:t>
      </w:r>
      <w:r>
        <w:rPr>
          <w:rFonts w:cs="Arial" w:hint="cs"/>
          <w:rtl/>
        </w:rPr>
        <w:t>,</w:t>
      </w:r>
      <w:r w:rsidRPr="003B04BC">
        <w:rPr>
          <w:rFonts w:cs="Arial"/>
          <w:rtl/>
        </w:rPr>
        <w:t xml:space="preserve"> בין בשכיר בין בקיבולת. </w:t>
      </w:r>
      <w:r w:rsidRPr="003B04BC">
        <w:rPr>
          <w:rFonts w:cs="Arial"/>
          <w:u w:val="single"/>
          <w:rtl/>
        </w:rPr>
        <w:t>א"ר אילא</w:t>
      </w:r>
      <w:r>
        <w:rPr>
          <w:rFonts w:cs="Arial" w:hint="cs"/>
          <w:rtl/>
        </w:rPr>
        <w:t>:</w:t>
      </w:r>
      <w:r w:rsidRPr="003B04BC">
        <w:rPr>
          <w:rFonts w:cs="Arial"/>
          <w:rtl/>
        </w:rPr>
        <w:t xml:space="preserve"> בין בתלוש בין במחובר ובלבד בקיבולת. </w:t>
      </w:r>
      <w:r w:rsidRPr="003B04BC">
        <w:rPr>
          <w:rFonts w:cs="Arial"/>
          <w:u w:val="single"/>
          <w:rtl/>
        </w:rPr>
        <w:t>ר"ש בר כרסנה בשם ר' אחא</w:t>
      </w:r>
      <w:r>
        <w:rPr>
          <w:rFonts w:cs="Arial" w:hint="cs"/>
          <w:rtl/>
        </w:rPr>
        <w:t>:</w:t>
      </w:r>
      <w:r w:rsidRPr="003B04BC">
        <w:rPr>
          <w:rFonts w:cs="Arial"/>
          <w:rtl/>
        </w:rPr>
        <w:t xml:space="preserve"> בשבת ובאבל ובע"ז הלכה כר"ש בן אלעזר.</w:t>
      </w:r>
      <w:r>
        <w:rPr>
          <w:rFonts w:hint="cs"/>
          <w:sz w:val="16"/>
          <w:szCs w:val="16"/>
          <w:rtl/>
        </w:rPr>
        <w:t xml:space="preserve"> (</w:t>
      </w:r>
      <w:r w:rsidRPr="0057021B">
        <w:rPr>
          <w:rFonts w:cs="Arial"/>
          <w:sz w:val="16"/>
          <w:szCs w:val="16"/>
          <w:rtl/>
        </w:rPr>
        <w:t xml:space="preserve">אלמא פסיק הלכה כר"ש בן אלעזר דאמר בעירו במחובר דאסור אף בקיבולת והוא הדין בתוך התחום ולא מבעיא הבנין עצמו דאסור אלא אף לפסול האבנים ולתקן הקורות ואפילו רחוק מן החומה ואפילו בביתו של </w:t>
      </w:r>
      <w:r>
        <w:rPr>
          <w:rFonts w:cs="Arial" w:hint="cs"/>
          <w:sz w:val="16"/>
          <w:szCs w:val="16"/>
          <w:rtl/>
        </w:rPr>
        <w:t>גוי</w:t>
      </w:r>
      <w:r w:rsidRPr="0057021B">
        <w:rPr>
          <w:rFonts w:cs="Arial"/>
          <w:sz w:val="16"/>
          <w:szCs w:val="16"/>
          <w:rtl/>
        </w:rPr>
        <w:t xml:space="preserve"> אסור כיון דלצורך מחובר הוא</w:t>
      </w:r>
      <w:r>
        <w:rPr>
          <w:rFonts w:cs="Arial" w:hint="cs"/>
          <w:sz w:val="16"/>
          <w:szCs w:val="16"/>
          <w:rtl/>
        </w:rPr>
        <w:t>,</w:t>
      </w:r>
      <w:r w:rsidRPr="0057021B">
        <w:rPr>
          <w:rFonts w:cs="Arial"/>
          <w:sz w:val="16"/>
          <w:szCs w:val="16"/>
          <w:rtl/>
        </w:rPr>
        <w:t xml:space="preserve"> דהא במחובר כה"ג פליגי ופסיק הלכה כר"ש בן אלעזר</w:t>
      </w:r>
      <w:r>
        <w:rPr>
          <w:rFonts w:cs="Arial" w:hint="cs"/>
          <w:sz w:val="16"/>
          <w:szCs w:val="16"/>
          <w:rtl/>
        </w:rPr>
        <w:t>.</w:t>
      </w:r>
      <w:r w:rsidRPr="0057021B">
        <w:rPr>
          <w:rFonts w:cs="Arial"/>
          <w:sz w:val="16"/>
          <w:szCs w:val="16"/>
          <w:rtl/>
        </w:rPr>
        <w:t xml:space="preserve"> דאילו לעשות הבנין עצמו</w:t>
      </w:r>
      <w:r>
        <w:rPr>
          <w:rFonts w:cs="Arial" w:hint="cs"/>
          <w:sz w:val="16"/>
          <w:szCs w:val="16"/>
          <w:rtl/>
        </w:rPr>
        <w:t>,</w:t>
      </w:r>
      <w:r w:rsidRPr="0057021B">
        <w:rPr>
          <w:rFonts w:cs="Arial"/>
          <w:sz w:val="16"/>
          <w:szCs w:val="16"/>
          <w:rtl/>
        </w:rPr>
        <w:t xml:space="preserve"> אפילו רבנן מודו דאסור</w:t>
      </w:r>
      <w:r>
        <w:rPr>
          <w:rFonts w:cs="Arial" w:hint="cs"/>
          <w:sz w:val="16"/>
          <w:szCs w:val="16"/>
          <w:rtl/>
        </w:rPr>
        <w:t>,</w:t>
      </w:r>
      <w:r w:rsidRPr="0057021B">
        <w:rPr>
          <w:rFonts w:cs="Arial"/>
          <w:sz w:val="16"/>
          <w:szCs w:val="16"/>
          <w:rtl/>
        </w:rPr>
        <w:t xml:space="preserve"> דברשות ישראל הוא</w:t>
      </w:r>
      <w:r>
        <w:rPr>
          <w:rFonts w:cs="Arial" w:hint="cs"/>
          <w:sz w:val="16"/>
          <w:szCs w:val="16"/>
          <w:rtl/>
        </w:rPr>
        <w:t>.</w:t>
      </w:r>
      <w:r w:rsidRPr="0057021B">
        <w:rPr>
          <w:rFonts w:cs="Arial"/>
          <w:sz w:val="16"/>
          <w:szCs w:val="16"/>
          <w:rtl/>
        </w:rPr>
        <w:t xml:space="preserve"> ולא שרו אף תלוש אלא בביתו של </w:t>
      </w:r>
      <w:r>
        <w:rPr>
          <w:rFonts w:cs="Arial" w:hint="cs"/>
          <w:sz w:val="16"/>
          <w:szCs w:val="16"/>
          <w:rtl/>
        </w:rPr>
        <w:t>גוי</w:t>
      </w:r>
      <w:r w:rsidRPr="0057021B">
        <w:rPr>
          <w:rFonts w:cs="Arial"/>
          <w:sz w:val="16"/>
          <w:szCs w:val="16"/>
          <w:rtl/>
        </w:rPr>
        <w:t xml:space="preserve"> כגון כלים לכובס שמתקנם ביד </w:t>
      </w:r>
      <w:r>
        <w:rPr>
          <w:rFonts w:cs="Arial" w:hint="cs"/>
          <w:sz w:val="16"/>
          <w:szCs w:val="16"/>
          <w:rtl/>
        </w:rPr>
        <w:t>גוי,</w:t>
      </w:r>
      <w:r w:rsidRPr="0057021B">
        <w:rPr>
          <w:rFonts w:cs="Arial"/>
          <w:sz w:val="16"/>
          <w:szCs w:val="16"/>
          <w:rtl/>
        </w:rPr>
        <w:t xml:space="preserve"> </w:t>
      </w:r>
      <w:r>
        <w:rPr>
          <w:rFonts w:hint="cs"/>
          <w:sz w:val="16"/>
          <w:szCs w:val="16"/>
          <w:rtl/>
        </w:rPr>
        <w:t>תוס' (</w:t>
      </w:r>
      <w:r w:rsidRPr="00161425">
        <w:rPr>
          <w:rFonts w:cs="Arial"/>
          <w:sz w:val="16"/>
          <w:szCs w:val="16"/>
          <w:rtl/>
        </w:rPr>
        <w:t>כא: ד"ה אריסא</w:t>
      </w:r>
      <w:r>
        <w:rPr>
          <w:rFonts w:hint="cs"/>
          <w:sz w:val="16"/>
          <w:szCs w:val="16"/>
          <w:rtl/>
        </w:rPr>
        <w:t>). וכ"כ הרא"ש (סי' כג))</w:t>
      </w:r>
    </w:p>
    <w:p w14:paraId="3FA7DC9E" w14:textId="77777777" w:rsidR="004B2E7C" w:rsidRPr="0099728C" w:rsidRDefault="004B2E7C" w:rsidP="00434A6A">
      <w:pPr>
        <w:rPr>
          <w:rFonts w:cs="Arial"/>
          <w:u w:val="single"/>
          <w:rtl/>
        </w:rPr>
      </w:pPr>
      <w:r w:rsidRPr="0099728C">
        <w:rPr>
          <w:rFonts w:hint="cs"/>
          <w:u w:val="single"/>
          <w:rtl/>
        </w:rPr>
        <w:t>גוי שעושה מלאכה בביתו ע"מ להשתמש בה במחובר בבית ישראל</w:t>
      </w:r>
      <w:r w:rsidRPr="0099728C">
        <w:rPr>
          <w:rFonts w:cs="Arial" w:hint="cs"/>
          <w:u w:val="single"/>
          <w:rtl/>
        </w:rPr>
        <w:t>:</w:t>
      </w:r>
    </w:p>
    <w:p w14:paraId="25C7618E" w14:textId="77777777" w:rsidR="004B2E7C" w:rsidRDefault="004B2E7C" w:rsidP="00FF2D21">
      <w:pPr>
        <w:pStyle w:val="aa"/>
        <w:numPr>
          <w:ilvl w:val="0"/>
          <w:numId w:val="101"/>
        </w:numPr>
        <w:rPr>
          <w:rFonts w:cs="Arial"/>
        </w:rPr>
      </w:pPr>
      <w:r>
        <w:rPr>
          <w:rFonts w:cs="Arial" w:hint="cs"/>
          <w:rtl/>
        </w:rPr>
        <w:t xml:space="preserve">תוס' </w:t>
      </w:r>
      <w:r w:rsidRPr="00161425">
        <w:rPr>
          <w:rFonts w:cs="Arial"/>
          <w:sz w:val="16"/>
          <w:szCs w:val="16"/>
          <w:rtl/>
        </w:rPr>
        <w:t>(</w:t>
      </w:r>
      <w:r>
        <w:rPr>
          <w:rFonts w:cs="Arial" w:hint="cs"/>
          <w:sz w:val="16"/>
          <w:szCs w:val="16"/>
          <w:rtl/>
        </w:rPr>
        <w:t xml:space="preserve">שבת </w:t>
      </w:r>
      <w:r w:rsidRPr="00161425">
        <w:rPr>
          <w:rFonts w:cs="Arial" w:hint="cs"/>
          <w:sz w:val="16"/>
          <w:szCs w:val="16"/>
          <w:rtl/>
        </w:rPr>
        <w:t>יז: ד"ה אין נותנין,</w:t>
      </w:r>
      <w:r>
        <w:rPr>
          <w:rFonts w:cs="Arial" w:hint="cs"/>
          <w:sz w:val="16"/>
          <w:szCs w:val="16"/>
          <w:rtl/>
        </w:rPr>
        <w:t xml:space="preserve"> ע"ז</w:t>
      </w:r>
      <w:r w:rsidRPr="00161425">
        <w:rPr>
          <w:rFonts w:cs="Arial" w:hint="cs"/>
          <w:sz w:val="16"/>
          <w:szCs w:val="16"/>
          <w:rtl/>
        </w:rPr>
        <w:t xml:space="preserve"> </w:t>
      </w:r>
      <w:r w:rsidRPr="00161425">
        <w:rPr>
          <w:rFonts w:cs="Arial"/>
          <w:sz w:val="16"/>
          <w:szCs w:val="16"/>
          <w:rtl/>
        </w:rPr>
        <w:t xml:space="preserve">כא: ד"ה אריסא) </w:t>
      </w:r>
      <w:r>
        <w:rPr>
          <w:rFonts w:cs="Arial" w:hint="cs"/>
          <w:rtl/>
        </w:rPr>
        <w:t xml:space="preserve">ורא"ש </w:t>
      </w:r>
      <w:r w:rsidRPr="00161425">
        <w:rPr>
          <w:rFonts w:cs="Arial"/>
          <w:sz w:val="16"/>
          <w:szCs w:val="16"/>
          <w:rtl/>
        </w:rPr>
        <w:t>(</w:t>
      </w:r>
      <w:r>
        <w:rPr>
          <w:rFonts w:cs="Arial" w:hint="cs"/>
          <w:sz w:val="16"/>
          <w:szCs w:val="16"/>
          <w:rtl/>
        </w:rPr>
        <w:t xml:space="preserve">ע"ז פ"א </w:t>
      </w:r>
      <w:r w:rsidRPr="00161425">
        <w:rPr>
          <w:rFonts w:cs="Arial"/>
          <w:sz w:val="16"/>
          <w:szCs w:val="16"/>
          <w:rtl/>
        </w:rPr>
        <w:t>סי' כג</w:t>
      </w:r>
      <w:r w:rsidRPr="00161425">
        <w:rPr>
          <w:rFonts w:cs="Arial" w:hint="cs"/>
          <w:sz w:val="16"/>
          <w:szCs w:val="16"/>
          <w:rtl/>
        </w:rPr>
        <w:t>)</w:t>
      </w:r>
      <w:r>
        <w:rPr>
          <w:rFonts w:cs="Arial" w:hint="cs"/>
          <w:rtl/>
        </w:rPr>
        <w:t xml:space="preserve">- </w:t>
      </w:r>
      <w:r w:rsidRPr="001A71FD">
        <w:rPr>
          <w:rFonts w:cs="Arial"/>
          <w:rtl/>
        </w:rPr>
        <w:t>אפילו סיתת ה</w:t>
      </w:r>
      <w:r>
        <w:rPr>
          <w:rFonts w:cs="Arial"/>
          <w:rtl/>
        </w:rPr>
        <w:t>גוי</w:t>
      </w:r>
      <w:r w:rsidRPr="001A71FD">
        <w:rPr>
          <w:rFonts w:cs="Arial"/>
          <w:rtl/>
        </w:rPr>
        <w:t xml:space="preserve"> האבנים בביתו בשבת אסור לישראל לשקען בבנין</w:t>
      </w:r>
      <w:r>
        <w:rPr>
          <w:rFonts w:cs="Arial" w:hint="cs"/>
          <w:rtl/>
        </w:rPr>
        <w:t xml:space="preserve"> </w:t>
      </w:r>
      <w:r>
        <w:rPr>
          <w:rFonts w:cs="Arial" w:hint="cs"/>
          <w:sz w:val="16"/>
          <w:szCs w:val="16"/>
          <w:rtl/>
        </w:rPr>
        <w:t>(ל' הטור)</w:t>
      </w:r>
      <w:r>
        <w:rPr>
          <w:rFonts w:cs="Arial" w:hint="cs"/>
          <w:rtl/>
        </w:rPr>
        <w:t>.</w:t>
      </w:r>
      <w:r w:rsidRPr="001A71FD">
        <w:rPr>
          <w:rFonts w:cs="Arial"/>
          <w:rtl/>
        </w:rPr>
        <w:t xml:space="preserve"> </w:t>
      </w:r>
      <w:r w:rsidRPr="0099728C">
        <w:rPr>
          <w:rFonts w:cs="Arial" w:hint="cs"/>
          <w:color w:val="E36C0A" w:themeColor="accent6" w:themeShade="BF"/>
          <w:rtl/>
        </w:rPr>
        <w:t>(וכ</w:t>
      </w:r>
      <w:r>
        <w:rPr>
          <w:rFonts w:cs="Arial" w:hint="cs"/>
          <w:color w:val="E36C0A" w:themeColor="accent6" w:themeShade="BF"/>
          <w:rtl/>
        </w:rPr>
        <w:t>"</w:t>
      </w:r>
      <w:r w:rsidRPr="0099728C">
        <w:rPr>
          <w:rFonts w:cs="Arial" w:hint="cs"/>
          <w:color w:val="E36C0A" w:themeColor="accent6" w:themeShade="BF"/>
          <w:rtl/>
        </w:rPr>
        <w:t>פ בשו"ע)</w:t>
      </w:r>
    </w:p>
    <w:p w14:paraId="6CF65B5A" w14:textId="77777777" w:rsidR="004B2E7C" w:rsidRDefault="004B2E7C" w:rsidP="00FF2D21">
      <w:pPr>
        <w:pStyle w:val="aa"/>
        <w:numPr>
          <w:ilvl w:val="0"/>
          <w:numId w:val="101"/>
        </w:numPr>
      </w:pPr>
      <w:r>
        <w:rPr>
          <w:rFonts w:cs="Arial" w:hint="cs"/>
          <w:rtl/>
        </w:rPr>
        <w:t xml:space="preserve">רי"ו </w:t>
      </w:r>
      <w:r w:rsidRPr="004831FE">
        <w:rPr>
          <w:rFonts w:cs="Arial" w:hint="cs"/>
          <w:sz w:val="16"/>
          <w:szCs w:val="16"/>
          <w:rtl/>
        </w:rPr>
        <w:t>(</w:t>
      </w:r>
      <w:r w:rsidRPr="004831FE">
        <w:rPr>
          <w:rFonts w:cs="Arial"/>
          <w:sz w:val="16"/>
          <w:szCs w:val="16"/>
          <w:rtl/>
        </w:rPr>
        <w:t>חי"ב ני"ב פב ריש ע"ב)</w:t>
      </w:r>
      <w:r>
        <w:rPr>
          <w:rFonts w:cs="Arial" w:hint="cs"/>
          <w:rtl/>
        </w:rPr>
        <w:t>-</w:t>
      </w:r>
      <w:r w:rsidRPr="0099728C">
        <w:rPr>
          <w:rFonts w:cs="Arial"/>
          <w:rtl/>
        </w:rPr>
        <w:t xml:space="preserve"> </w:t>
      </w:r>
      <w:r>
        <w:rPr>
          <w:rStyle w:val="a9"/>
          <w:rFonts w:cs="Arial"/>
          <w:rtl/>
        </w:rPr>
        <w:footnoteReference w:id="43"/>
      </w:r>
      <w:r w:rsidRPr="0099728C">
        <w:rPr>
          <w:rFonts w:cs="Arial"/>
          <w:rtl/>
        </w:rPr>
        <w:t>יש מהגדולים שהחמירו על עצמם אפילו שקיבל הגוי לסתת האבנים בידו בדבר ידוע ותקנם בביתו של גוי עצמו</w:t>
      </w:r>
      <w:r>
        <w:rPr>
          <w:rStyle w:val="a9"/>
          <w:rFonts w:cs="Arial"/>
          <w:rtl/>
        </w:rPr>
        <w:footnoteReference w:id="44"/>
      </w:r>
      <w:r>
        <w:rPr>
          <w:rFonts w:cs="Arial" w:hint="cs"/>
          <w:rtl/>
        </w:rPr>
        <w:t>.</w:t>
      </w:r>
    </w:p>
    <w:p w14:paraId="421B7292" w14:textId="77777777" w:rsidR="004B2E7C" w:rsidRDefault="004B2E7C" w:rsidP="00FF2D21">
      <w:pPr>
        <w:pStyle w:val="aa"/>
        <w:numPr>
          <w:ilvl w:val="0"/>
          <w:numId w:val="101"/>
        </w:numPr>
      </w:pPr>
      <w:r>
        <w:rPr>
          <w:rFonts w:hint="cs"/>
          <w:rtl/>
        </w:rPr>
        <w:t xml:space="preserve">התרומה </w:t>
      </w:r>
      <w:r>
        <w:rPr>
          <w:rFonts w:hint="cs"/>
          <w:sz w:val="16"/>
          <w:szCs w:val="16"/>
          <w:rtl/>
        </w:rPr>
        <w:t>(סו"ס רכב)</w:t>
      </w:r>
      <w:r>
        <w:rPr>
          <w:rFonts w:hint="cs"/>
          <w:rtl/>
        </w:rPr>
        <w:t>-</w:t>
      </w:r>
      <w:r w:rsidRPr="00C93FCD">
        <w:rPr>
          <w:rtl/>
        </w:rPr>
        <w:t xml:space="preserve"> </w:t>
      </w:r>
      <w:r w:rsidRPr="00C93FCD">
        <w:rPr>
          <w:rFonts w:cs="Arial"/>
          <w:rtl/>
        </w:rPr>
        <w:t>לתקן האבנים או לתקן הקורות והנסרים דזהו תלוש מותר לתקנן ל</w:t>
      </w:r>
      <w:r>
        <w:rPr>
          <w:rFonts w:cs="Arial" w:hint="cs"/>
          <w:rtl/>
        </w:rPr>
        <w:t>גוי</w:t>
      </w:r>
      <w:r w:rsidRPr="00C93FCD">
        <w:rPr>
          <w:rFonts w:cs="Arial"/>
          <w:rtl/>
        </w:rPr>
        <w:t xml:space="preserve"> רחוק</w:t>
      </w:r>
      <w:r>
        <w:rPr>
          <w:rStyle w:val="a9"/>
          <w:rFonts w:cs="Arial"/>
          <w:rtl/>
        </w:rPr>
        <w:footnoteReference w:id="45"/>
      </w:r>
      <w:r w:rsidRPr="00C93FCD">
        <w:rPr>
          <w:rFonts w:cs="Arial"/>
          <w:rtl/>
        </w:rPr>
        <w:t xml:space="preserve"> ממקום החומה ומקום בנין הבית שלא יהא נראה בשביל בנין ישראל הוא מתקן</w:t>
      </w:r>
      <w:r>
        <w:rPr>
          <w:rFonts w:cs="Arial" w:hint="cs"/>
          <w:rtl/>
        </w:rPr>
        <w:t>.</w:t>
      </w:r>
      <w:r w:rsidRPr="00C93FCD">
        <w:rPr>
          <w:rFonts w:cs="Arial"/>
          <w:rtl/>
        </w:rPr>
        <w:t xml:space="preserve"> ושמא גם זה אסור כיון שצורך מחובר הוא ובמחובר כי האי דוקא פליגי ופסיק כרבי שמעון בן אלעזר דלעשות הבנין שמא אף רבנן מודו דאסור דברשות ישראל הוא דאף תלוש כמו כלים לכובס נכרי דשרי היינו דוקא ברשות ה</w:t>
      </w:r>
      <w:r>
        <w:rPr>
          <w:rFonts w:cs="Arial" w:hint="cs"/>
          <w:rtl/>
        </w:rPr>
        <w:t>גוי.</w:t>
      </w:r>
    </w:p>
    <w:p w14:paraId="32073404" w14:textId="77777777" w:rsidR="004B2E7C" w:rsidRPr="00791DD6" w:rsidRDefault="004B2E7C" w:rsidP="00FF2D21">
      <w:pPr>
        <w:pStyle w:val="aa"/>
        <w:numPr>
          <w:ilvl w:val="0"/>
          <w:numId w:val="101"/>
        </w:numPr>
        <w:rPr>
          <w:rtl/>
        </w:rPr>
      </w:pPr>
      <w:r w:rsidRPr="00791DD6">
        <w:rPr>
          <w:rFonts w:cs="Arial"/>
          <w:rtl/>
        </w:rPr>
        <w:t>כל בו</w:t>
      </w:r>
      <w:r w:rsidRPr="00C93FCD">
        <w:rPr>
          <w:rFonts w:cs="Arial"/>
          <w:sz w:val="16"/>
          <w:szCs w:val="16"/>
          <w:rtl/>
        </w:rPr>
        <w:t xml:space="preserve"> (סי' לא, ל סוף ע"ג</w:t>
      </w:r>
      <w:r w:rsidRPr="00C93FCD">
        <w:rPr>
          <w:rFonts w:cs="Arial" w:hint="cs"/>
          <w:sz w:val="16"/>
          <w:szCs w:val="16"/>
          <w:rtl/>
        </w:rPr>
        <w:t>, כ"כ הדרכ"מ [אות ב] בשמו</w:t>
      </w:r>
      <w:r w:rsidRPr="00C93FCD">
        <w:rPr>
          <w:rFonts w:cs="Arial"/>
          <w:sz w:val="16"/>
          <w:szCs w:val="16"/>
          <w:rtl/>
        </w:rPr>
        <w:t>)</w:t>
      </w:r>
      <w:r>
        <w:rPr>
          <w:rFonts w:cs="Arial" w:hint="cs"/>
          <w:rtl/>
        </w:rPr>
        <w:t>-</w:t>
      </w:r>
      <w:r w:rsidRPr="00791DD6">
        <w:rPr>
          <w:rFonts w:cs="Arial"/>
          <w:rtl/>
        </w:rPr>
        <w:t xml:space="preserve"> אם אינו מפורסם שהוא של ישראל שרי</w:t>
      </w:r>
      <w:r>
        <w:rPr>
          <w:rFonts w:cs="Arial" w:hint="cs"/>
          <w:rtl/>
        </w:rPr>
        <w:t xml:space="preserve">. </w:t>
      </w:r>
      <w:r w:rsidRPr="00C93FCD">
        <w:rPr>
          <w:rFonts w:cs="Arial" w:hint="cs"/>
          <w:color w:val="00B0F0"/>
          <w:rtl/>
        </w:rPr>
        <w:t>(וכ"פ הרמ"א)</w:t>
      </w:r>
    </w:p>
    <w:p w14:paraId="59634349"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0192C73" w14:textId="77777777" w:rsidR="004B2E7C" w:rsidRDefault="004B2E7C" w:rsidP="00434A6A">
      <w:pPr>
        <w:rPr>
          <w:rtl/>
        </w:rPr>
      </w:pPr>
      <w:r>
        <w:rPr>
          <w:rFonts w:cs="Arial"/>
          <w:rtl/>
        </w:rPr>
        <w:t>לפסול האבנים ולתקן הקורות, אפי</w:t>
      </w:r>
      <w:r>
        <w:rPr>
          <w:rFonts w:cs="Arial" w:hint="cs"/>
          <w:rtl/>
        </w:rPr>
        <w:t>לו</w:t>
      </w:r>
      <w:r>
        <w:rPr>
          <w:rFonts w:cs="Arial"/>
          <w:rtl/>
        </w:rPr>
        <w:t xml:space="preserve"> בביתו של גוי אסור</w:t>
      </w:r>
      <w:r>
        <w:rPr>
          <w:rStyle w:val="a9"/>
          <w:rFonts w:cs="Arial"/>
          <w:rtl/>
        </w:rPr>
        <w:footnoteReference w:id="46"/>
      </w:r>
      <w:r>
        <w:rPr>
          <w:rFonts w:cs="Arial"/>
          <w:rtl/>
        </w:rPr>
        <w:t>, כיון דלצורך מחובר הוא</w:t>
      </w:r>
      <w:r>
        <w:rPr>
          <w:rFonts w:cs="Arial" w:hint="cs"/>
          <w:rtl/>
        </w:rPr>
        <w:t>.</w:t>
      </w:r>
      <w:r>
        <w:rPr>
          <w:rFonts w:cs="Arial"/>
          <w:rtl/>
        </w:rPr>
        <w:t xml:space="preserve"> ואם עשו כן, לא ישקעם בבנין. </w:t>
      </w:r>
      <w:r w:rsidRPr="00791DD6">
        <w:rPr>
          <w:rFonts w:cs="Arial"/>
          <w:sz w:val="18"/>
          <w:szCs w:val="18"/>
          <w:rtl/>
        </w:rPr>
        <w:t>הגה: וי"א</w:t>
      </w:r>
      <w:r>
        <w:rPr>
          <w:rStyle w:val="a9"/>
          <w:rFonts w:cs="Arial"/>
          <w:sz w:val="18"/>
          <w:szCs w:val="18"/>
          <w:rtl/>
        </w:rPr>
        <w:footnoteReference w:id="47"/>
      </w:r>
      <w:r w:rsidRPr="00791DD6">
        <w:rPr>
          <w:rFonts w:cs="Arial"/>
          <w:sz w:val="18"/>
          <w:szCs w:val="18"/>
          <w:rtl/>
        </w:rPr>
        <w:t xml:space="preserve"> דאם אינו מפורסם שהוא של ישראל, שרי</w:t>
      </w:r>
      <w:r>
        <w:rPr>
          <w:rStyle w:val="a9"/>
          <w:rFonts w:cs="Arial"/>
          <w:sz w:val="18"/>
          <w:szCs w:val="18"/>
          <w:rtl/>
        </w:rPr>
        <w:footnoteReference w:id="48"/>
      </w:r>
      <w:r w:rsidRPr="00791DD6">
        <w:rPr>
          <w:rFonts w:cs="Arial"/>
          <w:sz w:val="18"/>
          <w:szCs w:val="18"/>
          <w:rtl/>
        </w:rPr>
        <w:t xml:space="preserve"> (כל בו). </w:t>
      </w:r>
    </w:p>
    <w:p w14:paraId="70CB04F3" w14:textId="77777777" w:rsidR="004B2E7C" w:rsidRDefault="004B2E7C" w:rsidP="00434A6A">
      <w:pPr>
        <w:rPr>
          <w:rtl/>
        </w:rPr>
      </w:pPr>
    </w:p>
    <w:p w14:paraId="3789E1ED" w14:textId="77777777" w:rsidR="004B2E7C" w:rsidRDefault="004B2E7C" w:rsidP="00434A6A">
      <w:pPr>
        <w:pStyle w:val="2"/>
        <w:rPr>
          <w:rtl/>
        </w:rPr>
      </w:pPr>
      <w:r>
        <w:rPr>
          <w:rtl/>
        </w:rPr>
        <w:t>סעיף ג</w:t>
      </w:r>
      <w:r>
        <w:rPr>
          <w:rFonts w:hint="cs"/>
          <w:rtl/>
        </w:rPr>
        <w:t>: אדם חשוב שגוי בונה לו בית בקבלנות חוץ לתחום.</w:t>
      </w:r>
    </w:p>
    <w:p w14:paraId="3FAD207B" w14:textId="77777777" w:rsidR="004B2E7C" w:rsidRDefault="004B2E7C" w:rsidP="00434A6A">
      <w:pPr>
        <w:rPr>
          <w:rtl/>
        </w:rPr>
      </w:pPr>
      <w:r w:rsidRPr="003B04BC">
        <w:rPr>
          <w:rFonts w:cs="Arial"/>
          <w:b/>
          <w:bCs/>
          <w:rtl/>
        </w:rPr>
        <w:t>מו</w:t>
      </w:r>
      <w:r w:rsidRPr="003B04BC">
        <w:rPr>
          <w:rFonts w:cs="Arial" w:hint="cs"/>
          <w:b/>
          <w:bCs/>
          <w:rtl/>
        </w:rPr>
        <w:t xml:space="preserve">עד </w:t>
      </w:r>
      <w:r w:rsidRPr="003B04BC">
        <w:rPr>
          <w:rFonts w:cs="Arial"/>
          <w:b/>
          <w:bCs/>
          <w:rtl/>
        </w:rPr>
        <w:t>ק</w:t>
      </w:r>
      <w:r w:rsidRPr="003B04BC">
        <w:rPr>
          <w:rFonts w:cs="Arial" w:hint="cs"/>
          <w:b/>
          <w:bCs/>
          <w:rtl/>
        </w:rPr>
        <w:t xml:space="preserve">טן </w:t>
      </w:r>
      <w:r w:rsidRPr="003B04BC">
        <w:rPr>
          <w:rFonts w:cs="Arial" w:hint="cs"/>
          <w:b/>
          <w:bCs/>
          <w:sz w:val="16"/>
          <w:szCs w:val="16"/>
          <w:rtl/>
        </w:rPr>
        <w:t xml:space="preserve">(ר"פ </w:t>
      </w:r>
      <w:r w:rsidRPr="003B04BC">
        <w:rPr>
          <w:rFonts w:cs="Arial"/>
          <w:b/>
          <w:bCs/>
          <w:sz w:val="16"/>
          <w:szCs w:val="16"/>
          <w:rtl/>
        </w:rPr>
        <w:t>מי שהפך</w:t>
      </w:r>
      <w:r w:rsidRPr="003B04BC">
        <w:rPr>
          <w:rFonts w:cs="Arial" w:hint="cs"/>
          <w:b/>
          <w:bCs/>
          <w:sz w:val="16"/>
          <w:szCs w:val="16"/>
          <w:rtl/>
        </w:rPr>
        <w:t>)</w:t>
      </w:r>
      <w:r w:rsidRPr="003B04BC">
        <w:rPr>
          <w:rFonts w:cs="Arial"/>
          <w:b/>
          <w:bCs/>
          <w:sz w:val="16"/>
          <w:szCs w:val="16"/>
          <w:rtl/>
        </w:rPr>
        <w:t xml:space="preserve"> </w:t>
      </w:r>
      <w:r w:rsidRPr="003B04BC">
        <w:rPr>
          <w:rFonts w:cs="Arial"/>
          <w:b/>
          <w:bCs/>
          <w:rtl/>
        </w:rPr>
        <w:t>יב</w:t>
      </w:r>
      <w:r w:rsidRPr="003B04BC">
        <w:rPr>
          <w:rFonts w:cs="Arial" w:hint="cs"/>
          <w:b/>
          <w:bCs/>
          <w:rtl/>
        </w:rPr>
        <w:t xml:space="preserve"> ע"א:</w:t>
      </w:r>
      <w:r>
        <w:rPr>
          <w:rFonts w:cs="Arial" w:hint="cs"/>
          <w:rtl/>
        </w:rPr>
        <w:t xml:space="preserve"> </w:t>
      </w:r>
      <w:r w:rsidRPr="0025578A">
        <w:rPr>
          <w:rFonts w:cs="Arial"/>
          <w:u w:val="single"/>
          <w:rtl/>
        </w:rPr>
        <w:t>מר זוטרא בריה דרב נחמן</w:t>
      </w:r>
      <w:r w:rsidRPr="0025578A">
        <w:rPr>
          <w:rFonts w:cs="Arial"/>
          <w:rtl/>
        </w:rPr>
        <w:t xml:space="preserve"> בנו ליה אפדנא מקבלי קיבולת חוץ לתחום. איקלע רב ספרא ורב הונא בר חיננא, ולא עלו לגביה. ואיכא דאמרי: הוא נמי לא על בגוויה. והאמר שמואל: מקבלי קיבולת, בתוך התחום - אסור, חוץ לתחום - מותר! אדם חשוב שאני. ואיכא דאמרי: סיועי סייע בתיבנא בהדייהו</w:t>
      </w:r>
      <w:r>
        <w:rPr>
          <w:rStyle w:val="a9"/>
          <w:rFonts w:cs="Arial"/>
          <w:rtl/>
        </w:rPr>
        <w:footnoteReference w:id="49"/>
      </w:r>
      <w:r>
        <w:rPr>
          <w:rFonts w:hint="cs"/>
          <w:rtl/>
        </w:rPr>
        <w:t>.</w:t>
      </w:r>
    </w:p>
    <w:p w14:paraId="6FC3F149" w14:textId="77777777" w:rsidR="004B2E7C" w:rsidRPr="00AD6F6B" w:rsidRDefault="004B2E7C" w:rsidP="00434A6A">
      <w:pPr>
        <w:rPr>
          <w:u w:val="single"/>
          <w:rtl/>
        </w:rPr>
      </w:pPr>
      <w:r w:rsidRPr="00AD6F6B">
        <w:rPr>
          <w:rFonts w:hint="cs"/>
          <w:u w:val="single"/>
          <w:rtl/>
        </w:rPr>
        <w:t>אדם חשוב שגוי בונה לו בית בקבלנות חוץ לתחום:</w:t>
      </w:r>
    </w:p>
    <w:p w14:paraId="4B0C7F38" w14:textId="77777777" w:rsidR="004B2E7C" w:rsidRDefault="004B2E7C" w:rsidP="00FF2D21">
      <w:pPr>
        <w:pStyle w:val="aa"/>
        <w:numPr>
          <w:ilvl w:val="0"/>
          <w:numId w:val="102"/>
        </w:numPr>
        <w:rPr>
          <w:rFonts w:cs="Arial"/>
        </w:rPr>
      </w:pPr>
      <w:r>
        <w:rPr>
          <w:rFonts w:cs="Arial" w:hint="cs"/>
          <w:rtl/>
        </w:rPr>
        <w:t>רי"ו</w:t>
      </w:r>
      <w:r w:rsidRPr="00AD6F6B">
        <w:rPr>
          <w:rFonts w:cs="Arial"/>
          <w:rtl/>
        </w:rPr>
        <w:t xml:space="preserve"> </w:t>
      </w:r>
      <w:r w:rsidRPr="00AD6F6B">
        <w:rPr>
          <w:rFonts w:cs="Arial" w:hint="cs"/>
          <w:sz w:val="16"/>
          <w:szCs w:val="16"/>
          <w:rtl/>
        </w:rPr>
        <w:t>(</w:t>
      </w:r>
      <w:r w:rsidRPr="00AD6F6B">
        <w:rPr>
          <w:rFonts w:cs="Arial"/>
          <w:sz w:val="16"/>
          <w:szCs w:val="16"/>
          <w:rtl/>
        </w:rPr>
        <w:t>חי"ב ני"ב פב:)</w:t>
      </w:r>
      <w:r>
        <w:rPr>
          <w:rFonts w:cs="Arial" w:hint="cs"/>
          <w:rtl/>
        </w:rPr>
        <w:t>-</w:t>
      </w:r>
      <w:r w:rsidRPr="00AD6F6B">
        <w:rPr>
          <w:rFonts w:cs="Arial"/>
          <w:rtl/>
        </w:rPr>
        <w:t xml:space="preserve"> מוכח במועד קטן דאם הוא אדם חשוב ובנו לו חוץ לתחום שלא יכנס שם מההיא עובדא דמר זוטרא בנו ליה אפדנא</w:t>
      </w:r>
      <w:r>
        <w:rPr>
          <w:rFonts w:cs="Arial" w:hint="cs"/>
          <w:rtl/>
        </w:rPr>
        <w:t>. וה</w:t>
      </w:r>
      <w:r w:rsidRPr="00AD6F6B">
        <w:rPr>
          <w:rFonts w:cs="Arial"/>
          <w:rtl/>
        </w:rPr>
        <w:t xml:space="preserve">ראב"ד </w:t>
      </w:r>
      <w:r>
        <w:rPr>
          <w:rFonts w:cs="Arial" w:hint="cs"/>
          <w:rtl/>
        </w:rPr>
        <w:t xml:space="preserve">פירש </w:t>
      </w:r>
      <w:r w:rsidRPr="00AD6F6B">
        <w:rPr>
          <w:rFonts w:cs="Arial"/>
          <w:rtl/>
        </w:rPr>
        <w:t xml:space="preserve">ההיא עובדא </w:t>
      </w:r>
      <w:r>
        <w:rPr>
          <w:rFonts w:cs="Arial" w:hint="cs"/>
          <w:rtl/>
        </w:rPr>
        <w:t>ד</w:t>
      </w:r>
      <w:r w:rsidRPr="00AD6F6B">
        <w:rPr>
          <w:rFonts w:cs="Arial"/>
          <w:rtl/>
        </w:rPr>
        <w:t>לא היתה קבלנות גמורה</w:t>
      </w:r>
      <w:r>
        <w:rPr>
          <w:rFonts w:cs="Arial" w:hint="cs"/>
          <w:rtl/>
        </w:rPr>
        <w:t>,</w:t>
      </w:r>
      <w:r w:rsidRPr="00AD6F6B">
        <w:rPr>
          <w:rFonts w:cs="Arial"/>
          <w:rtl/>
        </w:rPr>
        <w:t xml:space="preserve"> אלא היו לוקחים תבן ממקום של מר זוטרא</w:t>
      </w:r>
      <w:r>
        <w:rPr>
          <w:rFonts w:cs="Arial" w:hint="cs"/>
          <w:rtl/>
        </w:rPr>
        <w:t>,</w:t>
      </w:r>
      <w:r w:rsidRPr="00AD6F6B">
        <w:rPr>
          <w:rFonts w:cs="Arial"/>
          <w:rtl/>
        </w:rPr>
        <w:t xml:space="preserve"> שהיו מערבין בטיט הלבנים כי כך התקינו</w:t>
      </w:r>
      <w:r w:rsidRPr="00AD6F6B">
        <w:rPr>
          <w:rFonts w:cs="Arial" w:hint="cs"/>
          <w:rtl/>
        </w:rPr>
        <w:t>,</w:t>
      </w:r>
      <w:r w:rsidRPr="00AD6F6B">
        <w:rPr>
          <w:rFonts w:cs="Arial"/>
          <w:rtl/>
        </w:rPr>
        <w:t xml:space="preserve"> אפילו שהיה לדבר ידוע שכירותם</w:t>
      </w:r>
      <w:r w:rsidRPr="00AD6F6B">
        <w:rPr>
          <w:rFonts w:cs="Arial" w:hint="cs"/>
          <w:rtl/>
        </w:rPr>
        <w:t>,</w:t>
      </w:r>
      <w:r w:rsidRPr="00AD6F6B">
        <w:rPr>
          <w:rFonts w:cs="Arial"/>
          <w:rtl/>
        </w:rPr>
        <w:t xml:space="preserve"> ובנו בה ביום טוב שלא מידיעת מר זוטרא</w:t>
      </w:r>
      <w:r w:rsidRPr="00AD6F6B">
        <w:rPr>
          <w:rFonts w:cs="Arial" w:hint="cs"/>
          <w:rtl/>
        </w:rPr>
        <w:t>,</w:t>
      </w:r>
      <w:r w:rsidRPr="00AD6F6B">
        <w:rPr>
          <w:rFonts w:cs="Arial"/>
          <w:rtl/>
        </w:rPr>
        <w:t xml:space="preserve"> ולפיכך לא היה רוצה ליכנס לאותו בית</w:t>
      </w:r>
      <w:r w:rsidRPr="00AD6F6B">
        <w:rPr>
          <w:rFonts w:cs="Arial" w:hint="cs"/>
          <w:rtl/>
        </w:rPr>
        <w:t>.</w:t>
      </w:r>
      <w:r w:rsidRPr="00AD6F6B">
        <w:rPr>
          <w:rFonts w:cs="Arial"/>
          <w:rtl/>
        </w:rPr>
        <w:t xml:space="preserve"> אבל אם היה קבלנות גמורה מבית חוץ לתחום שמותר כמו שכתבתי, נראה כי אפילו אדם חשוב מות</w:t>
      </w:r>
      <w:r w:rsidRPr="00AD6F6B">
        <w:rPr>
          <w:rFonts w:cs="Arial" w:hint="cs"/>
          <w:rtl/>
        </w:rPr>
        <w:t>ר</w:t>
      </w:r>
      <w:r>
        <w:rPr>
          <w:rStyle w:val="a9"/>
          <w:rFonts w:cs="Arial"/>
          <w:rtl/>
        </w:rPr>
        <w:footnoteReference w:id="50"/>
      </w:r>
      <w:r w:rsidRPr="00AD6F6B">
        <w:rPr>
          <w:rFonts w:cs="Arial" w:hint="cs"/>
          <w:rtl/>
        </w:rPr>
        <w:t>.</w:t>
      </w:r>
    </w:p>
    <w:p w14:paraId="3979715E" w14:textId="77777777" w:rsidR="004B2E7C" w:rsidRPr="00A91926" w:rsidRDefault="004B2E7C" w:rsidP="00434A6A">
      <w:pPr>
        <w:rPr>
          <w:rFonts w:cs="Arial"/>
          <w:u w:val="single"/>
          <w:rtl/>
        </w:rPr>
      </w:pPr>
      <w:r w:rsidRPr="00A91926">
        <w:rPr>
          <w:rFonts w:cs="Arial" w:hint="cs"/>
          <w:u w:val="single"/>
          <w:rtl/>
        </w:rPr>
        <w:t xml:space="preserve">אדם רגיל שבנה לו גוי את הבית בשבת </w:t>
      </w:r>
      <w:r w:rsidRPr="00A91926">
        <w:rPr>
          <w:rFonts w:cs="Arial" w:hint="cs"/>
          <w:b/>
          <w:bCs/>
          <w:u w:val="single"/>
          <w:rtl/>
        </w:rPr>
        <w:t>באיסור</w:t>
      </w:r>
      <w:r w:rsidRPr="00A91926">
        <w:rPr>
          <w:rFonts w:cs="Arial" w:hint="cs"/>
          <w:u w:val="single"/>
          <w:rtl/>
        </w:rPr>
        <w:t xml:space="preserve"> </w:t>
      </w:r>
      <w:r w:rsidRPr="00A91926">
        <w:rPr>
          <w:rFonts w:cs="Arial"/>
          <w:u w:val="single"/>
          <w:rtl/>
        </w:rPr>
        <w:t>–</w:t>
      </w:r>
      <w:r w:rsidRPr="00A91926">
        <w:rPr>
          <w:rFonts w:cs="Arial" w:hint="cs"/>
          <w:u w:val="single"/>
          <w:rtl/>
        </w:rPr>
        <w:t xml:space="preserve"> האם יכול להשתמש בבית:</w:t>
      </w:r>
    </w:p>
    <w:p w14:paraId="02FEFDD1" w14:textId="77777777" w:rsidR="004B2E7C" w:rsidRDefault="004B2E7C" w:rsidP="00FF2D21">
      <w:pPr>
        <w:pStyle w:val="aa"/>
        <w:numPr>
          <w:ilvl w:val="0"/>
          <w:numId w:val="102"/>
        </w:numPr>
        <w:rPr>
          <w:rFonts w:cs="Arial"/>
        </w:rPr>
      </w:pPr>
      <w:r>
        <w:rPr>
          <w:rFonts w:cs="Arial" w:hint="cs"/>
          <w:rtl/>
        </w:rPr>
        <w:t>טור</w:t>
      </w:r>
      <w:r>
        <w:rPr>
          <w:rFonts w:cs="Arial" w:hint="cs"/>
          <w:sz w:val="16"/>
          <w:szCs w:val="16"/>
          <w:rtl/>
        </w:rPr>
        <w:t xml:space="preserve"> (או"ח סי' תקמג)</w:t>
      </w:r>
      <w:r>
        <w:rPr>
          <w:rFonts w:cs="Arial" w:hint="cs"/>
          <w:rtl/>
        </w:rPr>
        <w:t xml:space="preserve">- </w:t>
      </w:r>
      <w:r w:rsidRPr="00A91926">
        <w:rPr>
          <w:rFonts w:cs="Arial"/>
          <w:rtl/>
        </w:rPr>
        <w:t>כל מלאכה או דבר שאסור לעשותו</w:t>
      </w:r>
      <w:r>
        <w:rPr>
          <w:rFonts w:cs="Arial" w:hint="cs"/>
          <w:rtl/>
        </w:rPr>
        <w:t>,</w:t>
      </w:r>
      <w:r w:rsidRPr="00A91926">
        <w:rPr>
          <w:rFonts w:cs="Arial"/>
          <w:rtl/>
        </w:rPr>
        <w:t xml:space="preserve"> אסור לומר ל</w:t>
      </w:r>
      <w:r>
        <w:rPr>
          <w:rFonts w:cs="Arial" w:hint="cs"/>
          <w:rtl/>
        </w:rPr>
        <w:t>גוי</w:t>
      </w:r>
      <w:r w:rsidRPr="00A91926">
        <w:rPr>
          <w:rFonts w:cs="Arial"/>
          <w:rtl/>
        </w:rPr>
        <w:t xml:space="preserve"> לעשותו</w:t>
      </w:r>
      <w:r>
        <w:rPr>
          <w:rFonts w:cs="Arial" w:hint="cs"/>
          <w:rtl/>
        </w:rPr>
        <w:t>.</w:t>
      </w:r>
      <w:r w:rsidRPr="00A91926">
        <w:rPr>
          <w:rFonts w:cs="Arial"/>
          <w:rtl/>
        </w:rPr>
        <w:t xml:space="preserve"> ואפילו דבר שמותר לעשות בי</w:t>
      </w:r>
      <w:r>
        <w:rPr>
          <w:rFonts w:cs="Arial" w:hint="cs"/>
          <w:rtl/>
        </w:rPr>
        <w:t>ו</w:t>
      </w:r>
      <w:r w:rsidRPr="00A91926">
        <w:rPr>
          <w:rFonts w:cs="Arial"/>
          <w:rtl/>
        </w:rPr>
        <w:t>"ט</w:t>
      </w:r>
      <w:r>
        <w:rPr>
          <w:rFonts w:cs="Arial" w:hint="cs"/>
          <w:rtl/>
        </w:rPr>
        <w:t>,</w:t>
      </w:r>
      <w:r w:rsidRPr="00A91926">
        <w:rPr>
          <w:rFonts w:cs="Arial"/>
          <w:rtl/>
        </w:rPr>
        <w:t xml:space="preserve"> כגון ג</w:t>
      </w:r>
      <w:r>
        <w:rPr>
          <w:rFonts w:cs="Arial" w:hint="cs"/>
          <w:rtl/>
        </w:rPr>
        <w:t>וי</w:t>
      </w:r>
      <w:r w:rsidRPr="00A91926">
        <w:rPr>
          <w:rFonts w:cs="Arial"/>
          <w:rtl/>
        </w:rPr>
        <w:t xml:space="preserve"> שקבל לבנות ביתו של ישראל מעי</w:t>
      </w:r>
      <w:r>
        <w:rPr>
          <w:rFonts w:cs="Arial" w:hint="cs"/>
          <w:rtl/>
        </w:rPr>
        <w:t>ו</w:t>
      </w:r>
      <w:r w:rsidRPr="00A91926">
        <w:rPr>
          <w:rFonts w:cs="Arial"/>
          <w:rtl/>
        </w:rPr>
        <w:t>"ט בקבלנות</w:t>
      </w:r>
      <w:r>
        <w:rPr>
          <w:rFonts w:cs="Arial" w:hint="cs"/>
          <w:rtl/>
        </w:rPr>
        <w:t>,</w:t>
      </w:r>
      <w:r w:rsidRPr="00A91926">
        <w:rPr>
          <w:rFonts w:cs="Arial"/>
          <w:rtl/>
        </w:rPr>
        <w:t xml:space="preserve"> שמותר לו לבנותו בי</w:t>
      </w:r>
      <w:r>
        <w:rPr>
          <w:rFonts w:cs="Arial" w:hint="cs"/>
          <w:rtl/>
        </w:rPr>
        <w:t>ו</w:t>
      </w:r>
      <w:r w:rsidRPr="00A91926">
        <w:rPr>
          <w:rFonts w:cs="Arial"/>
          <w:rtl/>
        </w:rPr>
        <w:t>"ט אם הוא חוץ לתחום העיר וגם אין עיר אחרת בתוך תחומו של הבית</w:t>
      </w:r>
      <w:r>
        <w:rPr>
          <w:rFonts w:cs="Arial" w:hint="cs"/>
          <w:rtl/>
        </w:rPr>
        <w:t xml:space="preserve"> -</w:t>
      </w:r>
      <w:r w:rsidRPr="00A91926">
        <w:rPr>
          <w:rFonts w:cs="Arial"/>
          <w:rtl/>
        </w:rPr>
        <w:t xml:space="preserve"> בח</w:t>
      </w:r>
      <w:r>
        <w:rPr>
          <w:rFonts w:cs="Arial" w:hint="cs"/>
          <w:rtl/>
        </w:rPr>
        <w:t xml:space="preserve">ול </w:t>
      </w:r>
      <w:r w:rsidRPr="00A91926">
        <w:rPr>
          <w:rFonts w:cs="Arial"/>
          <w:rtl/>
        </w:rPr>
        <w:t>ה</w:t>
      </w:r>
      <w:r>
        <w:rPr>
          <w:rFonts w:cs="Arial" w:hint="cs"/>
          <w:rtl/>
        </w:rPr>
        <w:t>מועד</w:t>
      </w:r>
      <w:r w:rsidRPr="00A91926">
        <w:rPr>
          <w:rFonts w:cs="Arial"/>
          <w:rtl/>
        </w:rPr>
        <w:t xml:space="preserve"> אסור אפילו חוץ לתחום</w:t>
      </w:r>
      <w:r>
        <w:rPr>
          <w:rFonts w:cs="Arial" w:hint="cs"/>
          <w:rtl/>
        </w:rPr>
        <w:t>,</w:t>
      </w:r>
      <w:r w:rsidRPr="00A91926">
        <w:rPr>
          <w:rFonts w:cs="Arial"/>
          <w:rtl/>
        </w:rPr>
        <w:t xml:space="preserve"> שהרי יכולין לילך שם</w:t>
      </w:r>
      <w:r>
        <w:rPr>
          <w:rFonts w:cs="Arial" w:hint="cs"/>
          <w:rtl/>
        </w:rPr>
        <w:t>,</w:t>
      </w:r>
      <w:r w:rsidRPr="00A91926">
        <w:rPr>
          <w:rFonts w:cs="Arial"/>
          <w:rtl/>
        </w:rPr>
        <w:t xml:space="preserve"> הלכך אין חילוק בין חוץ לתחום או תוך התחום</w:t>
      </w:r>
      <w:r>
        <w:rPr>
          <w:rFonts w:cs="Arial" w:hint="cs"/>
          <w:rtl/>
        </w:rPr>
        <w:t>.</w:t>
      </w:r>
      <w:r w:rsidRPr="00A91926">
        <w:rPr>
          <w:rFonts w:cs="Arial"/>
          <w:rtl/>
        </w:rPr>
        <w:t xml:space="preserve"> ואפילו נבנה הבית באיסור ע"י </w:t>
      </w:r>
      <w:r>
        <w:rPr>
          <w:rFonts w:cs="Arial" w:hint="cs"/>
          <w:rtl/>
        </w:rPr>
        <w:t>גוי</w:t>
      </w:r>
      <w:r w:rsidRPr="00A91926">
        <w:rPr>
          <w:rFonts w:cs="Arial"/>
          <w:rtl/>
        </w:rPr>
        <w:t xml:space="preserve"> נכון להחמיר שלא יכנסו בו</w:t>
      </w:r>
      <w:r>
        <w:rPr>
          <w:rStyle w:val="a9"/>
          <w:rFonts w:cs="Arial"/>
          <w:rtl/>
        </w:rPr>
        <w:footnoteReference w:id="51"/>
      </w:r>
      <w:r>
        <w:rPr>
          <w:rFonts w:cs="Arial" w:hint="cs"/>
          <w:rtl/>
        </w:rPr>
        <w:t>.</w:t>
      </w:r>
    </w:p>
    <w:p w14:paraId="0B5BE62A"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F998551" w14:textId="77777777" w:rsidR="004B2E7C" w:rsidRDefault="004B2E7C" w:rsidP="00434A6A">
      <w:pPr>
        <w:rPr>
          <w:rtl/>
        </w:rPr>
      </w:pPr>
      <w:r>
        <w:rPr>
          <w:rFonts w:cs="Arial"/>
          <w:rtl/>
        </w:rPr>
        <w:t xml:space="preserve">אם בנו </w:t>
      </w:r>
      <w:r>
        <w:rPr>
          <w:rFonts w:cs="Arial" w:hint="cs"/>
          <w:rtl/>
        </w:rPr>
        <w:t>גוים</w:t>
      </w:r>
      <w:r>
        <w:rPr>
          <w:rFonts w:cs="Arial"/>
          <w:rtl/>
        </w:rPr>
        <w:t xml:space="preserve"> לישראל בית בשבת באיסור, נכון להחמיר שלא יכנסו בו</w:t>
      </w:r>
      <w:r>
        <w:rPr>
          <w:rStyle w:val="a9"/>
          <w:rFonts w:cs="Arial"/>
          <w:rtl/>
        </w:rPr>
        <w:footnoteReference w:id="52"/>
      </w:r>
      <w:r>
        <w:rPr>
          <w:rFonts w:cs="Arial"/>
          <w:rtl/>
        </w:rPr>
        <w:t xml:space="preserve">. </w:t>
      </w:r>
      <w:r w:rsidRPr="00791DD6">
        <w:rPr>
          <w:rFonts w:cs="Arial"/>
          <w:sz w:val="18"/>
          <w:szCs w:val="18"/>
          <w:rtl/>
        </w:rPr>
        <w:t xml:space="preserve">הגה: מיהו אם התנה ישראל עם </w:t>
      </w:r>
      <w:r>
        <w:rPr>
          <w:rFonts w:cs="Arial"/>
          <w:sz w:val="18"/>
          <w:szCs w:val="18"/>
          <w:rtl/>
        </w:rPr>
        <w:t>גוי</w:t>
      </w:r>
      <w:r w:rsidRPr="00791DD6">
        <w:rPr>
          <w:rFonts w:cs="Arial"/>
          <w:sz w:val="18"/>
          <w:szCs w:val="18"/>
          <w:rtl/>
        </w:rPr>
        <w:t xml:space="preserve"> שלא לעשות לו מלאכה בשבת, וה</w:t>
      </w:r>
      <w:r>
        <w:rPr>
          <w:rFonts w:cs="Arial"/>
          <w:sz w:val="18"/>
          <w:szCs w:val="18"/>
          <w:rtl/>
        </w:rPr>
        <w:t>גוי</w:t>
      </w:r>
      <w:r w:rsidRPr="00791DD6">
        <w:rPr>
          <w:rFonts w:cs="Arial"/>
          <w:sz w:val="18"/>
          <w:szCs w:val="18"/>
          <w:rtl/>
        </w:rPr>
        <w:t xml:space="preserve"> עשאה בעל כרחו</w:t>
      </w:r>
      <w:r>
        <w:rPr>
          <w:rStyle w:val="a9"/>
          <w:rFonts w:cs="Arial"/>
          <w:sz w:val="18"/>
          <w:szCs w:val="18"/>
          <w:rtl/>
        </w:rPr>
        <w:footnoteReference w:id="53"/>
      </w:r>
      <w:r>
        <w:rPr>
          <w:rFonts w:cs="Arial" w:hint="cs"/>
          <w:sz w:val="18"/>
          <w:szCs w:val="18"/>
          <w:rtl/>
        </w:rPr>
        <w:t xml:space="preserve"> </w:t>
      </w:r>
      <w:r w:rsidRPr="00791DD6">
        <w:rPr>
          <w:rFonts w:cs="Arial"/>
          <w:sz w:val="18"/>
          <w:szCs w:val="18"/>
          <w:rtl/>
        </w:rPr>
        <w:t>למהר להשלים מלאכתו, אין לחוש (מרדכי ר</w:t>
      </w:r>
      <w:r>
        <w:rPr>
          <w:rFonts w:cs="Arial" w:hint="cs"/>
          <w:sz w:val="18"/>
          <w:szCs w:val="18"/>
          <w:rtl/>
        </w:rPr>
        <w:t>"</w:t>
      </w:r>
      <w:r w:rsidRPr="00791DD6">
        <w:rPr>
          <w:rFonts w:cs="Arial"/>
          <w:sz w:val="18"/>
          <w:szCs w:val="18"/>
          <w:rtl/>
        </w:rPr>
        <w:t>פ מי שהפך ור</w:t>
      </w:r>
      <w:r>
        <w:rPr>
          <w:rFonts w:cs="Arial" w:hint="cs"/>
          <w:sz w:val="18"/>
          <w:szCs w:val="18"/>
          <w:rtl/>
        </w:rPr>
        <w:t>י"ו</w:t>
      </w:r>
      <w:r w:rsidRPr="00791DD6">
        <w:rPr>
          <w:rFonts w:cs="Arial"/>
          <w:sz w:val="18"/>
          <w:szCs w:val="18"/>
          <w:rtl/>
        </w:rPr>
        <w:t xml:space="preserve"> וב</w:t>
      </w:r>
      <w:r>
        <w:rPr>
          <w:rFonts w:cs="Arial" w:hint="cs"/>
          <w:sz w:val="18"/>
          <w:szCs w:val="18"/>
          <w:rtl/>
        </w:rPr>
        <w:t>"י</w:t>
      </w:r>
      <w:r w:rsidRPr="00791DD6">
        <w:rPr>
          <w:rFonts w:cs="Arial"/>
          <w:sz w:val="18"/>
          <w:szCs w:val="18"/>
          <w:rtl/>
        </w:rPr>
        <w:t>, וע"ל סימן תקמ"ג).</w:t>
      </w:r>
      <w:r>
        <w:rPr>
          <w:rFonts w:cs="Arial"/>
          <w:rtl/>
        </w:rPr>
        <w:t xml:space="preserve"> </w:t>
      </w:r>
    </w:p>
    <w:p w14:paraId="1F9C5DC5" w14:textId="77777777" w:rsidR="004B2E7C" w:rsidRDefault="004B2E7C" w:rsidP="00434A6A">
      <w:pPr>
        <w:rPr>
          <w:rtl/>
        </w:rPr>
      </w:pPr>
    </w:p>
    <w:p w14:paraId="4CC60198" w14:textId="77777777" w:rsidR="004B2E7C" w:rsidRDefault="004B2E7C" w:rsidP="00434A6A">
      <w:pPr>
        <w:pStyle w:val="2"/>
        <w:rPr>
          <w:rtl/>
        </w:rPr>
      </w:pPr>
      <w:r>
        <w:rPr>
          <w:rtl/>
        </w:rPr>
        <w:t>סעיף ד</w:t>
      </w:r>
      <w:r>
        <w:rPr>
          <w:rFonts w:hint="cs"/>
          <w:rtl/>
        </w:rPr>
        <w:t>: מלאכת פרהסיא.</w:t>
      </w:r>
    </w:p>
    <w:p w14:paraId="6337F271" w14:textId="77777777" w:rsidR="004B2E7C" w:rsidRPr="008379D8" w:rsidRDefault="004B2E7C" w:rsidP="00434A6A">
      <w:pPr>
        <w:rPr>
          <w:rFonts w:cs="Arial"/>
          <w:u w:val="single"/>
          <w:rtl/>
        </w:rPr>
      </w:pPr>
      <w:r w:rsidRPr="008379D8">
        <w:rPr>
          <w:rFonts w:cs="Arial" w:hint="cs"/>
          <w:u w:val="single"/>
          <w:rtl/>
        </w:rPr>
        <w:t>מלאכת פרהסיא שנעשית ע"י גוי בשביל ישראל</w:t>
      </w:r>
      <w:r>
        <w:rPr>
          <w:rFonts w:cs="Arial" w:hint="cs"/>
          <w:u w:val="single"/>
          <w:rtl/>
        </w:rPr>
        <w:t xml:space="preserve"> </w:t>
      </w:r>
      <w:r>
        <w:rPr>
          <w:rFonts w:cs="Arial"/>
          <w:u w:val="single"/>
          <w:rtl/>
        </w:rPr>
        <w:t>–</w:t>
      </w:r>
      <w:r>
        <w:rPr>
          <w:rFonts w:cs="Arial" w:hint="cs"/>
          <w:u w:val="single"/>
          <w:rtl/>
        </w:rPr>
        <w:t xml:space="preserve"> האם צריך שיהיה מחוץ לתחום כמו במחובר</w:t>
      </w:r>
      <w:r w:rsidRPr="008379D8">
        <w:rPr>
          <w:rFonts w:cs="Arial" w:hint="cs"/>
          <w:u w:val="single"/>
          <w:rtl/>
        </w:rPr>
        <w:t>:</w:t>
      </w:r>
    </w:p>
    <w:p w14:paraId="745CCB2A" w14:textId="77777777" w:rsidR="004B2E7C" w:rsidRPr="00791DD6" w:rsidRDefault="004B2E7C" w:rsidP="00FF2D21">
      <w:pPr>
        <w:pStyle w:val="aa"/>
        <w:numPr>
          <w:ilvl w:val="0"/>
          <w:numId w:val="102"/>
        </w:numPr>
        <w:rPr>
          <w:rtl/>
        </w:rPr>
      </w:pPr>
      <w:r w:rsidRPr="008379D8">
        <w:rPr>
          <w:rFonts w:cs="Arial"/>
          <w:rtl/>
        </w:rPr>
        <w:t xml:space="preserve">תורת האדם </w:t>
      </w:r>
      <w:r w:rsidRPr="008379D8">
        <w:rPr>
          <w:rFonts w:cs="Arial"/>
          <w:sz w:val="16"/>
          <w:szCs w:val="16"/>
          <w:rtl/>
        </w:rPr>
        <w:t>(</w:t>
      </w:r>
      <w:r>
        <w:rPr>
          <w:rFonts w:cs="Arial" w:hint="cs"/>
          <w:sz w:val="16"/>
          <w:szCs w:val="16"/>
          <w:rtl/>
        </w:rPr>
        <w:t>שער האבל, ענין אבלות, ד"ה אמר שמואל מקבלי</w:t>
      </w:r>
      <w:r w:rsidRPr="008379D8">
        <w:rPr>
          <w:rFonts w:cs="Arial"/>
          <w:sz w:val="16"/>
          <w:szCs w:val="16"/>
          <w:rtl/>
        </w:rPr>
        <w:t>)</w:t>
      </w:r>
      <w:r>
        <w:rPr>
          <w:rFonts w:cs="Arial" w:hint="cs"/>
          <w:rtl/>
        </w:rPr>
        <w:t>-</w:t>
      </w:r>
      <w:r w:rsidRPr="008379D8">
        <w:rPr>
          <w:rFonts w:cs="Arial"/>
          <w:rtl/>
        </w:rPr>
        <w:t xml:space="preserve"> כל קבולת כיון שקצץ לו דמים מלאכה דגוי היא ומותרת במטלטלין בכל מקום, ובא שמואל</w:t>
      </w:r>
      <w:r>
        <w:rPr>
          <w:rFonts w:cs="Arial" w:hint="cs"/>
          <w:sz w:val="16"/>
          <w:szCs w:val="16"/>
          <w:rtl/>
        </w:rPr>
        <w:t xml:space="preserve"> (מו"ק יב.)</w:t>
      </w:r>
      <w:r w:rsidRPr="008379D8">
        <w:rPr>
          <w:rFonts w:cs="Arial"/>
          <w:rtl/>
        </w:rPr>
        <w:t xml:space="preserve"> ואסר בקרקעות תוך התחום מפני חשד, והוא הדין למטלטלין כגון ספינה הידועה לישראל דמלאכת פרהסיא היא</w:t>
      </w:r>
      <w:r>
        <w:rPr>
          <w:rStyle w:val="a9"/>
          <w:rFonts w:cs="Arial"/>
          <w:rtl/>
        </w:rPr>
        <w:footnoteReference w:id="54"/>
      </w:r>
      <w:r w:rsidRPr="008379D8">
        <w:rPr>
          <w:rFonts w:cs="Arial" w:hint="cs"/>
          <w:rtl/>
        </w:rPr>
        <w:t>.</w:t>
      </w:r>
      <w:r w:rsidRPr="00E757AD">
        <w:rPr>
          <w:rFonts w:cs="Arial" w:hint="cs"/>
          <w:color w:val="E36C0A" w:themeColor="accent6" w:themeShade="BF"/>
          <w:rtl/>
        </w:rPr>
        <w:t xml:space="preserve"> </w:t>
      </w:r>
      <w:r w:rsidRPr="0099728C">
        <w:rPr>
          <w:rFonts w:cs="Arial" w:hint="cs"/>
          <w:color w:val="E36C0A" w:themeColor="accent6" w:themeShade="BF"/>
          <w:rtl/>
        </w:rPr>
        <w:t>(וכ</w:t>
      </w:r>
      <w:r>
        <w:rPr>
          <w:rFonts w:cs="Arial" w:hint="cs"/>
          <w:color w:val="E36C0A" w:themeColor="accent6" w:themeShade="BF"/>
          <w:rtl/>
        </w:rPr>
        <w:t>"</w:t>
      </w:r>
      <w:r w:rsidRPr="0099728C">
        <w:rPr>
          <w:rFonts w:cs="Arial" w:hint="cs"/>
          <w:color w:val="E36C0A" w:themeColor="accent6" w:themeShade="BF"/>
          <w:rtl/>
        </w:rPr>
        <w:t>פ בשו"ע)</w:t>
      </w:r>
    </w:p>
    <w:p w14:paraId="26EAFC9A"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FE95A9E" w14:textId="77777777" w:rsidR="004B2E7C" w:rsidRDefault="004B2E7C" w:rsidP="00434A6A">
      <w:pPr>
        <w:rPr>
          <w:rtl/>
        </w:rPr>
      </w:pPr>
      <w:r>
        <w:rPr>
          <w:rFonts w:cs="Arial"/>
          <w:rtl/>
        </w:rPr>
        <w:t>מלאכת פרהסיא, אפילו במטלטלין כגון ספינה</w:t>
      </w:r>
      <w:r>
        <w:rPr>
          <w:rStyle w:val="a9"/>
          <w:rFonts w:cs="Arial"/>
          <w:rtl/>
        </w:rPr>
        <w:footnoteReference w:id="55"/>
      </w:r>
      <w:r>
        <w:rPr>
          <w:rFonts w:cs="Arial"/>
          <w:rtl/>
        </w:rPr>
        <w:t xml:space="preserve"> הידועה לישראל, דינה כמו מלאכת מחובר. </w:t>
      </w:r>
    </w:p>
    <w:p w14:paraId="56461B7D" w14:textId="77777777" w:rsidR="004B2E7C" w:rsidRDefault="004B2E7C" w:rsidP="00434A6A">
      <w:pPr>
        <w:rPr>
          <w:rtl/>
        </w:rPr>
      </w:pPr>
    </w:p>
    <w:p w14:paraId="5A997E2C" w14:textId="77777777" w:rsidR="004B2E7C" w:rsidRDefault="004B2E7C" w:rsidP="00434A6A">
      <w:pPr>
        <w:pStyle w:val="2"/>
        <w:rPr>
          <w:rtl/>
        </w:rPr>
      </w:pPr>
      <w:r>
        <w:rPr>
          <w:rtl/>
        </w:rPr>
        <w:t>סעיף ה</w:t>
      </w:r>
      <w:r>
        <w:rPr>
          <w:rFonts w:hint="cs"/>
          <w:rtl/>
        </w:rPr>
        <w:t xml:space="preserve">: </w:t>
      </w:r>
      <w:r w:rsidRPr="001A71FD">
        <w:rPr>
          <w:rtl/>
        </w:rPr>
        <w:t xml:space="preserve">ישראל שכר </w:t>
      </w:r>
      <w:r>
        <w:rPr>
          <w:rtl/>
        </w:rPr>
        <w:t>גוי</w:t>
      </w:r>
      <w:r w:rsidRPr="001A71FD">
        <w:rPr>
          <w:rtl/>
        </w:rPr>
        <w:t xml:space="preserve"> </w:t>
      </w:r>
      <w:r>
        <w:rPr>
          <w:rFonts w:hint="cs"/>
          <w:rtl/>
        </w:rPr>
        <w:t xml:space="preserve">לזמן </w:t>
      </w:r>
      <w:r w:rsidRPr="001A71FD">
        <w:rPr>
          <w:rtl/>
        </w:rPr>
        <w:t>ל</w:t>
      </w:r>
      <w:r>
        <w:rPr>
          <w:rFonts w:hint="cs"/>
          <w:rtl/>
        </w:rPr>
        <w:t>עשות לו מלאכה במטלטלין.</w:t>
      </w:r>
    </w:p>
    <w:p w14:paraId="4D8A502D" w14:textId="77777777" w:rsidR="004B2E7C" w:rsidRPr="00D41AD3" w:rsidRDefault="004B2E7C" w:rsidP="00434A6A">
      <w:pPr>
        <w:rPr>
          <w:u w:val="single"/>
          <w:rtl/>
        </w:rPr>
      </w:pPr>
      <w:r w:rsidRPr="00D41AD3">
        <w:rPr>
          <w:u w:val="single"/>
          <w:rtl/>
        </w:rPr>
        <w:t xml:space="preserve">ישראל שכר גוי </w:t>
      </w:r>
      <w:r w:rsidRPr="00D41AD3">
        <w:rPr>
          <w:rFonts w:hint="cs"/>
          <w:u w:val="single"/>
          <w:rtl/>
        </w:rPr>
        <w:t xml:space="preserve">לזמן </w:t>
      </w:r>
      <w:r w:rsidRPr="00D41AD3">
        <w:rPr>
          <w:u w:val="single"/>
          <w:rtl/>
        </w:rPr>
        <w:t>ל</w:t>
      </w:r>
      <w:r w:rsidRPr="00D41AD3">
        <w:rPr>
          <w:rFonts w:hint="cs"/>
          <w:u w:val="single"/>
          <w:rtl/>
        </w:rPr>
        <w:t>עשות לו מלאכה במטלטלין:</w:t>
      </w:r>
    </w:p>
    <w:p w14:paraId="4E32A14B" w14:textId="77777777" w:rsidR="004B2E7C" w:rsidRDefault="004B2E7C" w:rsidP="00FF2D21">
      <w:pPr>
        <w:pStyle w:val="aa"/>
        <w:numPr>
          <w:ilvl w:val="0"/>
          <w:numId w:val="102"/>
        </w:numPr>
        <w:rPr>
          <w:rFonts w:cs="Arial"/>
        </w:rPr>
      </w:pPr>
      <w:r>
        <w:rPr>
          <w:rFonts w:cs="Arial" w:hint="cs"/>
          <w:rtl/>
        </w:rPr>
        <w:t xml:space="preserve">רמב"ם </w:t>
      </w:r>
      <w:r w:rsidRPr="00161425">
        <w:rPr>
          <w:rFonts w:cs="Arial" w:hint="cs"/>
          <w:sz w:val="16"/>
          <w:szCs w:val="16"/>
          <w:rtl/>
        </w:rPr>
        <w:t>(</w:t>
      </w:r>
      <w:r w:rsidRPr="00161425">
        <w:rPr>
          <w:rFonts w:cs="Arial"/>
          <w:sz w:val="16"/>
          <w:szCs w:val="16"/>
          <w:rtl/>
        </w:rPr>
        <w:t>פ"ו הי"ב</w:t>
      </w:r>
      <w:r>
        <w:rPr>
          <w:rFonts w:cs="Arial" w:hint="cs"/>
          <w:sz w:val="16"/>
          <w:szCs w:val="16"/>
          <w:rtl/>
        </w:rPr>
        <w:t>)</w:t>
      </w:r>
      <w:r>
        <w:rPr>
          <w:rFonts w:cs="Arial" w:hint="cs"/>
          <w:rtl/>
        </w:rPr>
        <w:t xml:space="preserve"> וטור-</w:t>
      </w:r>
      <w:r w:rsidRPr="00EC7331">
        <w:rPr>
          <w:rFonts w:cs="Arial"/>
          <w:rtl/>
        </w:rPr>
        <w:t xml:space="preserve"> פוסק אדם עם הגוי על המלאכה וקוצץ דמים והגוי עושה לעצמו ואף על פי שהוא עושה בשבת מותר, וכן השוכר את הגוי לימים הרבה מותר אף על פי שהוא עושה בשבת</w:t>
      </w:r>
      <w:r>
        <w:rPr>
          <w:rFonts w:cs="Arial" w:hint="cs"/>
          <w:rtl/>
        </w:rPr>
        <w:t>.</w:t>
      </w:r>
      <w:r w:rsidRPr="00EC7331">
        <w:rPr>
          <w:rFonts w:cs="Arial"/>
          <w:rtl/>
        </w:rPr>
        <w:t xml:space="preserve"> כיצד</w:t>
      </w:r>
      <w:r>
        <w:rPr>
          <w:rFonts w:cs="Arial" w:hint="cs"/>
          <w:rtl/>
        </w:rPr>
        <w:t>,</w:t>
      </w:r>
      <w:r w:rsidRPr="00EC7331">
        <w:rPr>
          <w:rFonts w:cs="Arial"/>
          <w:rtl/>
        </w:rPr>
        <w:t xml:space="preserve"> כגון ששכר הגוי לשנה או לשתים שיכתוב לו או שיארוג לו, הרי זה כותב ואורג בשבת ומותר כאלו קצץ עמו שיכתוב לו ספר או שיארוג לו בגד שהוא עושה בכל עת שירצה, והוא שלא יחשוב עמו יום יום</w:t>
      </w:r>
      <w:r>
        <w:rPr>
          <w:rStyle w:val="a9"/>
          <w:rFonts w:cs="Arial"/>
          <w:rtl/>
        </w:rPr>
        <w:footnoteReference w:id="56"/>
      </w:r>
      <w:r w:rsidRPr="00EC7331">
        <w:rPr>
          <w:rFonts w:cs="Arial"/>
          <w:rtl/>
        </w:rPr>
        <w:t>.</w:t>
      </w:r>
      <w:r>
        <w:rPr>
          <w:rFonts w:cs="Arial" w:hint="cs"/>
          <w:color w:val="E36C0A" w:themeColor="accent6" w:themeShade="BF"/>
          <w:rtl/>
        </w:rPr>
        <w:t xml:space="preserve"> </w:t>
      </w:r>
      <w:r w:rsidRPr="0099728C">
        <w:rPr>
          <w:rFonts w:cs="Arial" w:hint="cs"/>
          <w:color w:val="E36C0A" w:themeColor="accent6" w:themeShade="BF"/>
          <w:rtl/>
        </w:rPr>
        <w:t>(וכ</w:t>
      </w:r>
      <w:r>
        <w:rPr>
          <w:rFonts w:cs="Arial" w:hint="cs"/>
          <w:color w:val="E36C0A" w:themeColor="accent6" w:themeShade="BF"/>
          <w:rtl/>
        </w:rPr>
        <w:t>"</w:t>
      </w:r>
      <w:r w:rsidRPr="0099728C">
        <w:rPr>
          <w:rFonts w:cs="Arial" w:hint="cs"/>
          <w:color w:val="E36C0A" w:themeColor="accent6" w:themeShade="BF"/>
          <w:rtl/>
        </w:rPr>
        <w:t>פ בשו"ע)</w:t>
      </w:r>
    </w:p>
    <w:p w14:paraId="07629703" w14:textId="77777777" w:rsidR="004B2E7C" w:rsidRDefault="004B2E7C" w:rsidP="00FF2D21">
      <w:pPr>
        <w:pStyle w:val="aa"/>
        <w:numPr>
          <w:ilvl w:val="0"/>
          <w:numId w:val="102"/>
        </w:numPr>
        <w:rPr>
          <w:rFonts w:cs="Arial"/>
        </w:rPr>
      </w:pPr>
      <w:r>
        <w:rPr>
          <w:rFonts w:cs="Arial" w:hint="cs"/>
          <w:rtl/>
        </w:rPr>
        <w:t xml:space="preserve">ראב"ד </w:t>
      </w:r>
      <w:r>
        <w:rPr>
          <w:rFonts w:cs="Arial" w:hint="cs"/>
          <w:sz w:val="16"/>
          <w:szCs w:val="16"/>
          <w:rtl/>
        </w:rPr>
        <w:t>(בהשגות שם)</w:t>
      </w:r>
      <w:r>
        <w:rPr>
          <w:rFonts w:cs="Arial" w:hint="cs"/>
          <w:rtl/>
        </w:rPr>
        <w:t>-</w:t>
      </w:r>
      <w:r w:rsidRPr="00EC7331">
        <w:rPr>
          <w:rFonts w:cs="Arial"/>
          <w:rtl/>
        </w:rPr>
        <w:t xml:space="preserve"> א"א דבר זה לא סביר ולא נהיר שאע"פ שאינו מדקדק עמו כשהוא בטל מ"מ אותה מלאכה משתרשא ליה ואין זה דומה לקבלנות.</w:t>
      </w:r>
    </w:p>
    <w:p w14:paraId="6C47FC9E" w14:textId="77777777" w:rsidR="004B2E7C" w:rsidRPr="00791DD6" w:rsidRDefault="004B2E7C" w:rsidP="00FF2D21">
      <w:pPr>
        <w:pStyle w:val="aa"/>
        <w:numPr>
          <w:ilvl w:val="0"/>
          <w:numId w:val="102"/>
        </w:numPr>
        <w:rPr>
          <w:rtl/>
        </w:rPr>
      </w:pPr>
      <w:r>
        <w:rPr>
          <w:rFonts w:cs="Arial" w:hint="cs"/>
          <w:rtl/>
        </w:rPr>
        <w:t xml:space="preserve">הגמ"ר </w:t>
      </w:r>
      <w:r w:rsidRPr="00D41AD3">
        <w:rPr>
          <w:rFonts w:cs="Arial" w:hint="cs"/>
          <w:sz w:val="16"/>
          <w:szCs w:val="16"/>
          <w:rtl/>
        </w:rPr>
        <w:t xml:space="preserve">(ס"פ </w:t>
      </w:r>
      <w:r w:rsidRPr="00D41AD3">
        <w:rPr>
          <w:rFonts w:cs="Arial"/>
          <w:sz w:val="16"/>
          <w:szCs w:val="16"/>
          <w:rtl/>
        </w:rPr>
        <w:t xml:space="preserve">כל כתבי </w:t>
      </w:r>
      <w:r w:rsidRPr="00D41AD3">
        <w:rPr>
          <w:rFonts w:cs="Arial" w:hint="cs"/>
          <w:sz w:val="16"/>
          <w:szCs w:val="16"/>
          <w:rtl/>
        </w:rPr>
        <w:t>ס</w:t>
      </w:r>
      <w:r w:rsidRPr="00D41AD3">
        <w:rPr>
          <w:rFonts w:cs="Arial"/>
          <w:sz w:val="16"/>
          <w:szCs w:val="16"/>
          <w:rtl/>
        </w:rPr>
        <w:t>י' תסב)</w:t>
      </w:r>
      <w:r w:rsidRPr="002679D6">
        <w:rPr>
          <w:rFonts w:cs="Arial"/>
          <w:rtl/>
        </w:rPr>
        <w:t xml:space="preserve"> בשם רא"ם</w:t>
      </w:r>
      <w:r>
        <w:rPr>
          <w:rFonts w:cs="Arial" w:hint="cs"/>
          <w:rtl/>
        </w:rPr>
        <w:t xml:space="preserve">- </w:t>
      </w:r>
      <w:r w:rsidRPr="002679D6">
        <w:rPr>
          <w:rFonts w:cs="Arial"/>
          <w:rtl/>
        </w:rPr>
        <w:t>גוי המושכר לשנה או פחות אדעתא דנפשייהו עבדי בשביל ריוח שלהם</w:t>
      </w:r>
      <w:r>
        <w:rPr>
          <w:rFonts w:cs="Arial" w:hint="cs"/>
          <w:rtl/>
        </w:rPr>
        <w:t>,</w:t>
      </w:r>
      <w:r w:rsidRPr="002679D6">
        <w:rPr>
          <w:rFonts w:cs="Arial"/>
          <w:rtl/>
        </w:rPr>
        <w:t xml:space="preserve"> ואין עליו למחות אם באים לכבות הדליקה</w:t>
      </w:r>
      <w:r>
        <w:rPr>
          <w:rFonts w:cs="Arial" w:hint="cs"/>
          <w:rtl/>
        </w:rPr>
        <w:t>,</w:t>
      </w:r>
      <w:r w:rsidRPr="002679D6">
        <w:rPr>
          <w:rFonts w:cs="Arial"/>
          <w:rtl/>
        </w:rPr>
        <w:t xml:space="preserve"> דדמי קצת לשילוח אגרות דאם קצץ לו דמים מותר</w:t>
      </w:r>
      <w:r>
        <w:rPr>
          <w:rStyle w:val="a9"/>
          <w:rFonts w:cs="Arial"/>
          <w:rtl/>
        </w:rPr>
        <w:footnoteReference w:id="57"/>
      </w:r>
      <w:r>
        <w:rPr>
          <w:rFonts w:cs="Arial" w:hint="cs"/>
          <w:rtl/>
        </w:rPr>
        <w:t>.</w:t>
      </w:r>
    </w:p>
    <w:p w14:paraId="20B331E3"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58D87F1" w14:textId="77777777" w:rsidR="004B2E7C" w:rsidRDefault="004B2E7C" w:rsidP="00434A6A">
      <w:pPr>
        <w:rPr>
          <w:rtl/>
        </w:rPr>
      </w:pPr>
      <w:r>
        <w:rPr>
          <w:rFonts w:cs="Arial"/>
          <w:rtl/>
        </w:rPr>
        <w:t>אם שכר גוי לשנה או לשתים שיכתוב לו או שיארוג לו בגד, הרי זה כותב ואורג בשבת כאלו קצץ עמו שיכתוב לו ספר או שיארוג לו בגד, שהוא עושה בכל עת שירצה</w:t>
      </w:r>
      <w:r>
        <w:rPr>
          <w:rFonts w:cs="Arial" w:hint="cs"/>
          <w:rtl/>
        </w:rPr>
        <w:t>.</w:t>
      </w:r>
      <w:r>
        <w:rPr>
          <w:rFonts w:cs="Arial"/>
          <w:rtl/>
        </w:rPr>
        <w:t xml:space="preserve"> והוא שלא יחשוב עמו יום יום ולא יעשה המלאכה בבית ישראל</w:t>
      </w:r>
      <w:r>
        <w:rPr>
          <w:rFonts w:cs="Arial" w:hint="cs"/>
          <w:rtl/>
        </w:rPr>
        <w:t>.</w:t>
      </w:r>
      <w:r>
        <w:rPr>
          <w:rFonts w:cs="Arial"/>
          <w:rtl/>
        </w:rPr>
        <w:t xml:space="preserve"> ויש מי שאוסר בשוכר גוי לזמן. </w:t>
      </w:r>
      <w:r w:rsidRPr="00E757AD">
        <w:rPr>
          <w:rFonts w:cs="Arial"/>
          <w:sz w:val="18"/>
          <w:szCs w:val="18"/>
          <w:rtl/>
        </w:rPr>
        <w:t>הגה: ודוקא ששכרו למלאכה מיוחדת, כגון בגד לארוג או ספר לכתוב, אבל כששכרו לכל המלאכות שיצטרך תוך זמן השכירות, לכ</w:t>
      </w:r>
      <w:r>
        <w:rPr>
          <w:rFonts w:cs="Arial" w:hint="cs"/>
          <w:sz w:val="18"/>
          <w:szCs w:val="18"/>
          <w:rtl/>
        </w:rPr>
        <w:t>ו</w:t>
      </w:r>
      <w:r w:rsidRPr="00E757AD">
        <w:rPr>
          <w:rFonts w:cs="Arial"/>
          <w:sz w:val="18"/>
          <w:szCs w:val="18"/>
          <w:rtl/>
        </w:rPr>
        <w:t xml:space="preserve">"ע אסור (ב"י וכמו שיתבאר סוף סימן רמ"ז). </w:t>
      </w:r>
    </w:p>
    <w:p w14:paraId="71A4DE0C" w14:textId="77777777" w:rsidR="004B2E7C" w:rsidRDefault="004B2E7C" w:rsidP="00434A6A">
      <w:pPr>
        <w:rPr>
          <w:rtl/>
        </w:rPr>
      </w:pPr>
    </w:p>
    <w:p w14:paraId="5CE766B9" w14:textId="77777777" w:rsidR="004B2E7C" w:rsidRDefault="004B2E7C" w:rsidP="00434A6A">
      <w:pPr>
        <w:pStyle w:val="2"/>
        <w:rPr>
          <w:rtl/>
        </w:rPr>
      </w:pPr>
      <w:r>
        <w:rPr>
          <w:rtl/>
        </w:rPr>
        <w:t>סעיף ו</w:t>
      </w:r>
      <w:r>
        <w:rPr>
          <w:rFonts w:hint="cs"/>
          <w:rtl/>
        </w:rPr>
        <w:t>:</w:t>
      </w:r>
      <w:r w:rsidRPr="001B7775">
        <w:rPr>
          <w:rtl/>
        </w:rPr>
        <w:t xml:space="preserve"> </w:t>
      </w:r>
      <w:r>
        <w:rPr>
          <w:rFonts w:hint="cs"/>
          <w:rtl/>
        </w:rPr>
        <w:t>ישראל</w:t>
      </w:r>
      <w:r>
        <w:rPr>
          <w:rtl/>
        </w:rPr>
        <w:t xml:space="preserve"> </w:t>
      </w:r>
      <w:r>
        <w:rPr>
          <w:rFonts w:hint="cs"/>
          <w:rtl/>
        </w:rPr>
        <w:t>ש</w:t>
      </w:r>
      <w:r>
        <w:rPr>
          <w:rtl/>
        </w:rPr>
        <w:t xml:space="preserve">קנה </w:t>
      </w:r>
      <w:r>
        <w:rPr>
          <w:rFonts w:hint="cs"/>
          <w:rtl/>
        </w:rPr>
        <w:t>את ה</w:t>
      </w:r>
      <w:r>
        <w:rPr>
          <w:rtl/>
        </w:rPr>
        <w:t xml:space="preserve">מכס ומשכיר גוי </w:t>
      </w:r>
      <w:r>
        <w:rPr>
          <w:rFonts w:hint="cs"/>
          <w:rtl/>
        </w:rPr>
        <w:t xml:space="preserve">בשבת </w:t>
      </w:r>
      <w:r>
        <w:rPr>
          <w:rtl/>
        </w:rPr>
        <w:t xml:space="preserve">לקבל </w:t>
      </w:r>
      <w:r>
        <w:rPr>
          <w:rFonts w:hint="cs"/>
          <w:rtl/>
        </w:rPr>
        <w:t>את ה</w:t>
      </w:r>
      <w:r>
        <w:rPr>
          <w:rtl/>
        </w:rPr>
        <w:t>מכס</w:t>
      </w:r>
      <w:r>
        <w:rPr>
          <w:rFonts w:hint="cs"/>
          <w:rtl/>
        </w:rPr>
        <w:t>.</w:t>
      </w:r>
    </w:p>
    <w:p w14:paraId="345CA47E" w14:textId="77777777" w:rsidR="004B2E7C" w:rsidRPr="001B7775" w:rsidRDefault="004B2E7C" w:rsidP="00434A6A">
      <w:pPr>
        <w:rPr>
          <w:u w:val="single"/>
          <w:rtl/>
        </w:rPr>
      </w:pPr>
      <w:r w:rsidRPr="001B7775">
        <w:rPr>
          <w:rFonts w:hint="cs"/>
          <w:u w:val="single"/>
          <w:rtl/>
        </w:rPr>
        <w:t>ישראל</w:t>
      </w:r>
      <w:r w:rsidRPr="001B7775">
        <w:rPr>
          <w:rFonts w:cs="Arial"/>
          <w:u w:val="single"/>
          <w:rtl/>
        </w:rPr>
        <w:t xml:space="preserve"> </w:t>
      </w:r>
      <w:r w:rsidRPr="001B7775">
        <w:rPr>
          <w:rFonts w:hint="cs"/>
          <w:u w:val="single"/>
          <w:rtl/>
        </w:rPr>
        <w:t>ש</w:t>
      </w:r>
      <w:r w:rsidRPr="001B7775">
        <w:rPr>
          <w:rFonts w:cs="Arial"/>
          <w:u w:val="single"/>
          <w:rtl/>
        </w:rPr>
        <w:t xml:space="preserve">קנה </w:t>
      </w:r>
      <w:r w:rsidRPr="001B7775">
        <w:rPr>
          <w:rFonts w:hint="cs"/>
          <w:u w:val="single"/>
          <w:rtl/>
        </w:rPr>
        <w:t>את ה</w:t>
      </w:r>
      <w:r w:rsidRPr="001B7775">
        <w:rPr>
          <w:rFonts w:cs="Arial"/>
          <w:u w:val="single"/>
          <w:rtl/>
        </w:rPr>
        <w:t xml:space="preserve">מכס ומשכיר גוי </w:t>
      </w:r>
      <w:r w:rsidRPr="001B7775">
        <w:rPr>
          <w:rFonts w:hint="cs"/>
          <w:u w:val="single"/>
          <w:rtl/>
        </w:rPr>
        <w:t xml:space="preserve">בשבת </w:t>
      </w:r>
      <w:r w:rsidRPr="001B7775">
        <w:rPr>
          <w:rFonts w:cs="Arial"/>
          <w:u w:val="single"/>
          <w:rtl/>
        </w:rPr>
        <w:t xml:space="preserve">לקבל </w:t>
      </w:r>
      <w:r w:rsidRPr="001B7775">
        <w:rPr>
          <w:rFonts w:hint="cs"/>
          <w:u w:val="single"/>
          <w:rtl/>
        </w:rPr>
        <w:t>את ה</w:t>
      </w:r>
      <w:r w:rsidRPr="001B7775">
        <w:rPr>
          <w:rFonts w:cs="Arial"/>
          <w:u w:val="single"/>
          <w:rtl/>
        </w:rPr>
        <w:t>מכס</w:t>
      </w:r>
      <w:r w:rsidRPr="001B7775">
        <w:rPr>
          <w:rFonts w:hint="cs"/>
          <w:u w:val="single"/>
          <w:rtl/>
        </w:rPr>
        <w:t>:</w:t>
      </w:r>
    </w:p>
    <w:p w14:paraId="611F5515" w14:textId="77777777" w:rsidR="004B2E7C" w:rsidRPr="00791DD6" w:rsidRDefault="004B2E7C" w:rsidP="00FF2D21">
      <w:pPr>
        <w:pStyle w:val="aa"/>
        <w:numPr>
          <w:ilvl w:val="0"/>
          <w:numId w:val="102"/>
        </w:numPr>
        <w:rPr>
          <w:rtl/>
        </w:rPr>
      </w:pPr>
      <w:r w:rsidRPr="002679D6">
        <w:rPr>
          <w:rFonts w:cs="Arial"/>
          <w:rtl/>
        </w:rPr>
        <w:t xml:space="preserve">מרדכי </w:t>
      </w:r>
      <w:r w:rsidRPr="002679D6">
        <w:rPr>
          <w:rFonts w:cs="Arial" w:hint="cs"/>
          <w:sz w:val="16"/>
          <w:szCs w:val="16"/>
          <w:rtl/>
        </w:rPr>
        <w:t>(</w:t>
      </w:r>
      <w:r w:rsidRPr="002679D6">
        <w:rPr>
          <w:rFonts w:cs="Arial"/>
          <w:sz w:val="16"/>
          <w:szCs w:val="16"/>
          <w:rtl/>
        </w:rPr>
        <w:t>פ"ק דשבת סי' רמו)</w:t>
      </w:r>
      <w:r w:rsidRPr="002679D6">
        <w:rPr>
          <w:rFonts w:cs="Arial" w:hint="cs"/>
          <w:rtl/>
        </w:rPr>
        <w:t xml:space="preserve">- </w:t>
      </w:r>
      <w:r w:rsidRPr="002679D6">
        <w:rPr>
          <w:rFonts w:cs="Arial"/>
          <w:rtl/>
        </w:rPr>
        <w:t xml:space="preserve">פסק רבינו מאיר על אודות היהודים הקונים המכסים ומשכירים להם גוים לקבל מכס בשבת </w:t>
      </w:r>
      <w:r>
        <w:rPr>
          <w:rFonts w:cs="Arial" w:hint="cs"/>
          <w:rtl/>
        </w:rPr>
        <w:t xml:space="preserve">- </w:t>
      </w:r>
      <w:r w:rsidRPr="002679D6">
        <w:rPr>
          <w:rFonts w:cs="Arial"/>
          <w:rtl/>
        </w:rPr>
        <w:t>נראה דבקיבולת מותר</w:t>
      </w:r>
      <w:r>
        <w:rPr>
          <w:rFonts w:cs="Arial" w:hint="cs"/>
          <w:rtl/>
        </w:rPr>
        <w:t>,</w:t>
      </w:r>
      <w:r w:rsidRPr="002679D6">
        <w:rPr>
          <w:rFonts w:cs="Arial"/>
          <w:rtl/>
        </w:rPr>
        <w:t xml:space="preserve"> דבית הלל מתירין עם השמש ליתן עורות לעבדן אע</w:t>
      </w:r>
      <w:r>
        <w:rPr>
          <w:rFonts w:cs="Arial" w:hint="cs"/>
          <w:rtl/>
        </w:rPr>
        <w:t>"</w:t>
      </w:r>
      <w:r w:rsidRPr="002679D6">
        <w:rPr>
          <w:rFonts w:cs="Arial"/>
          <w:rtl/>
        </w:rPr>
        <w:t>ג דמלאכה דאורייתא היא</w:t>
      </w:r>
      <w:r>
        <w:rPr>
          <w:rFonts w:cs="Arial" w:hint="cs"/>
          <w:rtl/>
        </w:rPr>
        <w:t>.</w:t>
      </w:r>
      <w:r w:rsidRPr="002679D6">
        <w:rPr>
          <w:rFonts w:cs="Arial"/>
          <w:rtl/>
        </w:rPr>
        <w:t xml:space="preserve"> אבל בשכירות אסור</w:t>
      </w:r>
      <w:r>
        <w:rPr>
          <w:rFonts w:cs="Arial" w:hint="cs"/>
          <w:rtl/>
        </w:rPr>
        <w:t>,</w:t>
      </w:r>
      <w:r w:rsidRPr="002679D6">
        <w:rPr>
          <w:rFonts w:cs="Arial"/>
          <w:rtl/>
        </w:rPr>
        <w:t xml:space="preserve"> כדגרסינן בירושלמי פ"ק דעבודה זרה (ה"א) אומנים גוים שהיו עושים עם ישראל בתוך ביתו אסור בתוך בתיהם מותר אמר רבי שמעון בן אלעזר במה דברים אמורים בקיבולת אבל בשכיר יום אסור במה דברים אמורים בתלוש אבל במחובר אסור</w:t>
      </w:r>
      <w:r>
        <w:rPr>
          <w:rFonts w:cs="Arial" w:hint="cs"/>
          <w:rtl/>
        </w:rPr>
        <w:t>.</w:t>
      </w:r>
      <w:r w:rsidRPr="002679D6">
        <w:rPr>
          <w:rFonts w:cs="Arial"/>
          <w:rtl/>
        </w:rPr>
        <w:t xml:space="preserve"> ופסיק התם כוותיה</w:t>
      </w:r>
      <w:r>
        <w:rPr>
          <w:rFonts w:cs="Arial" w:hint="cs"/>
          <w:rtl/>
        </w:rPr>
        <w:t>.</w:t>
      </w:r>
      <w:r w:rsidRPr="002679D6">
        <w:rPr>
          <w:rFonts w:cs="Arial"/>
          <w:rtl/>
        </w:rPr>
        <w:t xml:space="preserve"> והיכי דמי קיבולת גבי מכס</w:t>
      </w:r>
      <w:r>
        <w:rPr>
          <w:rFonts w:cs="Arial" w:hint="cs"/>
          <w:rtl/>
        </w:rPr>
        <w:t>,</w:t>
      </w:r>
      <w:r w:rsidRPr="002679D6">
        <w:rPr>
          <w:rFonts w:cs="Arial"/>
          <w:rtl/>
        </w:rPr>
        <w:t xml:space="preserve"> כגון שהשכירו כך</w:t>
      </w:r>
      <w:r>
        <w:rPr>
          <w:rFonts w:cs="Arial" w:hint="cs"/>
          <w:rtl/>
        </w:rPr>
        <w:t>,</w:t>
      </w:r>
      <w:r w:rsidRPr="002679D6">
        <w:rPr>
          <w:rFonts w:cs="Arial"/>
          <w:rtl/>
        </w:rPr>
        <w:t xml:space="preserve"> לכשתגבה ק' ליטרין אתן לך כך וכך</w:t>
      </w:r>
      <w:r>
        <w:rPr>
          <w:rFonts w:cs="Arial" w:hint="cs"/>
          <w:rtl/>
        </w:rPr>
        <w:t>.</w:t>
      </w:r>
      <w:r w:rsidRPr="002679D6">
        <w:rPr>
          <w:rFonts w:cs="Arial"/>
          <w:rtl/>
        </w:rPr>
        <w:t xml:space="preserve"> ואת"ל שיש לחלק בין הנך שאין הישראל קובע מלאכתו לגוי לעשות רק בשבת</w:t>
      </w:r>
      <w:r>
        <w:rPr>
          <w:rFonts w:cs="Arial" w:hint="cs"/>
          <w:rtl/>
        </w:rPr>
        <w:t>,</w:t>
      </w:r>
      <w:r w:rsidRPr="002679D6">
        <w:rPr>
          <w:rFonts w:cs="Arial"/>
          <w:rtl/>
        </w:rPr>
        <w:t xml:space="preserve"> ובנדון זה קובע לו ליטול המכס בשבת</w:t>
      </w:r>
      <w:r>
        <w:rPr>
          <w:rFonts w:cs="Arial" w:hint="cs"/>
          <w:rtl/>
        </w:rPr>
        <w:t>,</w:t>
      </w:r>
      <w:r w:rsidRPr="002679D6">
        <w:rPr>
          <w:rFonts w:cs="Arial"/>
          <w:rtl/>
        </w:rPr>
        <w:t xml:space="preserve"> מ"מ נראה להביא ראיה להתיר מדתניא פ</w:t>
      </w:r>
      <w:r>
        <w:rPr>
          <w:rFonts w:cs="Arial" w:hint="cs"/>
          <w:rtl/>
        </w:rPr>
        <w:t>'</w:t>
      </w:r>
      <w:r w:rsidRPr="002679D6">
        <w:rPr>
          <w:rFonts w:cs="Arial"/>
          <w:rtl/>
        </w:rPr>
        <w:t xml:space="preserve"> מי שהחשיך (קנג.) דמשום פסידא שרו ליה רבנן</w:t>
      </w:r>
      <w:r>
        <w:rPr>
          <w:rFonts w:cs="Arial" w:hint="cs"/>
          <w:rtl/>
        </w:rPr>
        <w:t>,</w:t>
      </w:r>
      <w:r w:rsidRPr="002679D6">
        <w:rPr>
          <w:rFonts w:cs="Arial"/>
          <w:rtl/>
        </w:rPr>
        <w:t xml:space="preserve"> דאי לא שרו ליה אתי לאתויי </w:t>
      </w:r>
      <w:r>
        <w:rPr>
          <w:rFonts w:cs="Arial" w:hint="cs"/>
          <w:rtl/>
        </w:rPr>
        <w:t>ד'</w:t>
      </w:r>
      <w:r w:rsidRPr="002679D6">
        <w:rPr>
          <w:rFonts w:cs="Arial"/>
          <w:rtl/>
        </w:rPr>
        <w:t xml:space="preserve"> אמות ברשות הרבים</w:t>
      </w:r>
      <w:r>
        <w:rPr>
          <w:rFonts w:cs="Arial" w:hint="cs"/>
          <w:rtl/>
        </w:rPr>
        <w:t>,</w:t>
      </w:r>
      <w:r w:rsidRPr="002679D6">
        <w:rPr>
          <w:rFonts w:cs="Arial"/>
          <w:rtl/>
        </w:rPr>
        <w:t xml:space="preserve"> הכא נמי לא שנא</w:t>
      </w:r>
      <w:r>
        <w:rPr>
          <w:rFonts w:cs="Arial" w:hint="cs"/>
          <w:rtl/>
        </w:rPr>
        <w:t>,</w:t>
      </w:r>
      <w:r w:rsidRPr="002679D6">
        <w:rPr>
          <w:rFonts w:cs="Arial"/>
          <w:rtl/>
        </w:rPr>
        <w:t xml:space="preserve"> וכל שכן להציל מידם דאי לא שרו ליה יפסיד כל חובו בדיחוי כל שהוא</w:t>
      </w:r>
      <w:r>
        <w:rPr>
          <w:rFonts w:cs="Arial" w:hint="cs"/>
          <w:rtl/>
        </w:rPr>
        <w:t>.</w:t>
      </w:r>
      <w:r w:rsidRPr="002679D6">
        <w:rPr>
          <w:rFonts w:cs="Arial"/>
          <w:rtl/>
        </w:rPr>
        <w:t xml:space="preserve"> אבל לישב אצל הגוי המקבל המכס אסור</w:t>
      </w:r>
      <w:r>
        <w:rPr>
          <w:rFonts w:cs="Arial" w:hint="cs"/>
          <w:rtl/>
        </w:rPr>
        <w:t>,</w:t>
      </w:r>
      <w:r w:rsidRPr="002679D6">
        <w:rPr>
          <w:rFonts w:cs="Arial"/>
          <w:rtl/>
        </w:rPr>
        <w:t xml:space="preserve"> כדאמרינן ס"פ בכל מערבין (עירובין לח:) לא יהלך אדם בתוך שדהו לידע מה היא צריכה ולא יטייל על פתח מדינה כדי ליכנס לבית המרחץ מיד</w:t>
      </w:r>
      <w:r>
        <w:rPr>
          <w:rStyle w:val="a9"/>
          <w:rFonts w:cs="Arial"/>
          <w:rtl/>
        </w:rPr>
        <w:footnoteReference w:id="58"/>
      </w:r>
      <w:r w:rsidRPr="002679D6">
        <w:rPr>
          <w:rFonts w:cs="Arial"/>
          <w:rtl/>
        </w:rPr>
        <w:t xml:space="preserve">. </w:t>
      </w:r>
      <w:r w:rsidRPr="0099728C">
        <w:rPr>
          <w:rFonts w:cs="Arial" w:hint="cs"/>
          <w:color w:val="E36C0A" w:themeColor="accent6" w:themeShade="BF"/>
          <w:rtl/>
        </w:rPr>
        <w:t>(וכ</w:t>
      </w:r>
      <w:r>
        <w:rPr>
          <w:rFonts w:cs="Arial" w:hint="cs"/>
          <w:color w:val="E36C0A" w:themeColor="accent6" w:themeShade="BF"/>
          <w:rtl/>
        </w:rPr>
        <w:t>"</w:t>
      </w:r>
      <w:r w:rsidRPr="0099728C">
        <w:rPr>
          <w:rFonts w:cs="Arial" w:hint="cs"/>
          <w:color w:val="E36C0A" w:themeColor="accent6" w:themeShade="BF"/>
          <w:rtl/>
        </w:rPr>
        <w:t>פ בשו"ע)</w:t>
      </w:r>
      <w:r>
        <w:rPr>
          <w:rFonts w:hint="cs"/>
          <w:rtl/>
        </w:rPr>
        <w:t xml:space="preserve"> </w:t>
      </w:r>
      <w:r w:rsidRPr="00C72FF6">
        <w:rPr>
          <w:rFonts w:hint="cs"/>
          <w:color w:val="00B0F0"/>
          <w:rtl/>
        </w:rPr>
        <w:t>(וכ"פ הרמ"א)</w:t>
      </w:r>
    </w:p>
    <w:p w14:paraId="0A0FE245"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E682A2A" w14:textId="77777777" w:rsidR="004B2E7C" w:rsidRDefault="004B2E7C" w:rsidP="00434A6A">
      <w:pPr>
        <w:rPr>
          <w:rtl/>
        </w:rPr>
      </w:pPr>
      <w:r>
        <w:rPr>
          <w:rFonts w:cs="Arial"/>
          <w:rtl/>
        </w:rPr>
        <w:t>יהודי הקונה מכס ומשכיר לו גוי לקבל מכס בשבת, מותר אם הוא בקבולת</w:t>
      </w:r>
      <w:r>
        <w:rPr>
          <w:rStyle w:val="a9"/>
          <w:rFonts w:cs="Arial"/>
          <w:rtl/>
        </w:rPr>
        <w:footnoteReference w:id="59"/>
      </w:r>
      <w:r>
        <w:rPr>
          <w:rFonts w:cs="Arial"/>
          <w:rtl/>
        </w:rPr>
        <w:t>, דהיינו שאומר לו לכשתגבה מאה דינרים אתן לך כך וכך</w:t>
      </w:r>
      <w:r>
        <w:rPr>
          <w:rStyle w:val="a9"/>
          <w:rFonts w:cs="Arial"/>
          <w:rtl/>
        </w:rPr>
        <w:footnoteReference w:id="60"/>
      </w:r>
      <w:r>
        <w:rPr>
          <w:rFonts w:cs="Arial"/>
          <w:rtl/>
        </w:rPr>
        <w:t xml:space="preserve">. </w:t>
      </w:r>
      <w:r w:rsidRPr="00E757AD">
        <w:rPr>
          <w:rFonts w:cs="Arial"/>
          <w:sz w:val="18"/>
          <w:szCs w:val="18"/>
          <w:rtl/>
        </w:rPr>
        <w:t>הגה: וכן יוכל להשכיר המכס לכל השבתות לגוי, והגוי יקח הריוח של שבתות לעצמו</w:t>
      </w:r>
      <w:r>
        <w:rPr>
          <w:rStyle w:val="a9"/>
          <w:rFonts w:cs="Arial"/>
          <w:sz w:val="18"/>
          <w:szCs w:val="18"/>
          <w:rtl/>
        </w:rPr>
        <w:footnoteReference w:id="61"/>
      </w:r>
      <w:r w:rsidRPr="00E757AD">
        <w:rPr>
          <w:rFonts w:cs="Arial"/>
          <w:sz w:val="18"/>
          <w:szCs w:val="18"/>
          <w:rtl/>
        </w:rPr>
        <w:t>, ולא חיישינן שיאמרו לצורך ישראל הוא עושה, דבמקום פסידא כי האי גוונא לא חששו</w:t>
      </w:r>
      <w:r>
        <w:rPr>
          <w:rStyle w:val="a9"/>
          <w:rFonts w:cs="Arial"/>
          <w:sz w:val="18"/>
          <w:szCs w:val="18"/>
          <w:rtl/>
        </w:rPr>
        <w:footnoteReference w:id="62"/>
      </w:r>
      <w:r w:rsidRPr="00E757AD">
        <w:rPr>
          <w:rFonts w:cs="Arial"/>
          <w:sz w:val="18"/>
          <w:szCs w:val="18"/>
          <w:rtl/>
        </w:rPr>
        <w:t xml:space="preserve"> (ב</w:t>
      </w:r>
      <w:r>
        <w:rPr>
          <w:rFonts w:cs="Arial" w:hint="cs"/>
          <w:sz w:val="18"/>
          <w:szCs w:val="18"/>
          <w:rtl/>
        </w:rPr>
        <w:t>"י</w:t>
      </w:r>
      <w:r w:rsidRPr="00E757AD">
        <w:rPr>
          <w:rFonts w:cs="Arial"/>
          <w:sz w:val="18"/>
          <w:szCs w:val="18"/>
          <w:rtl/>
        </w:rPr>
        <w:t>)</w:t>
      </w:r>
      <w:r>
        <w:rPr>
          <w:rFonts w:cs="Arial" w:hint="cs"/>
          <w:sz w:val="18"/>
          <w:szCs w:val="18"/>
          <w:rtl/>
        </w:rPr>
        <w:t xml:space="preserve">. </w:t>
      </w:r>
      <w:r w:rsidRPr="00E757AD">
        <w:rPr>
          <w:rFonts w:cs="Arial"/>
          <w:sz w:val="18"/>
          <w:szCs w:val="18"/>
          <w:rtl/>
        </w:rPr>
        <w:t>וישראל הממונה על מטבע של מלך, דינו כדין הממונה על המכס</w:t>
      </w:r>
      <w:r>
        <w:rPr>
          <w:rStyle w:val="a9"/>
          <w:rFonts w:cs="Arial"/>
          <w:sz w:val="18"/>
          <w:szCs w:val="18"/>
          <w:rtl/>
        </w:rPr>
        <w:footnoteReference w:id="63"/>
      </w:r>
      <w:r w:rsidRPr="00E757AD">
        <w:rPr>
          <w:rFonts w:cs="Arial"/>
          <w:sz w:val="18"/>
          <w:szCs w:val="18"/>
          <w:rtl/>
        </w:rPr>
        <w:t>, ואע</w:t>
      </w:r>
      <w:r>
        <w:rPr>
          <w:rFonts w:cs="Arial" w:hint="cs"/>
          <w:sz w:val="18"/>
          <w:szCs w:val="18"/>
          <w:rtl/>
        </w:rPr>
        <w:t>"</w:t>
      </w:r>
      <w:r w:rsidRPr="00E757AD">
        <w:rPr>
          <w:rFonts w:cs="Arial"/>
          <w:sz w:val="18"/>
          <w:szCs w:val="18"/>
          <w:rtl/>
        </w:rPr>
        <w:t>פ שמשמיעים קול בשבת בהכאת המטבע (הגה</w:t>
      </w:r>
      <w:r>
        <w:rPr>
          <w:rFonts w:cs="Arial" w:hint="cs"/>
          <w:sz w:val="18"/>
          <w:szCs w:val="18"/>
          <w:rtl/>
        </w:rPr>
        <w:t>"</w:t>
      </w:r>
      <w:r w:rsidRPr="00E757AD">
        <w:rPr>
          <w:rFonts w:cs="Arial"/>
          <w:sz w:val="18"/>
          <w:szCs w:val="18"/>
          <w:rtl/>
        </w:rPr>
        <w:t>מ פ"ו וע"ל סי' רנב)</w:t>
      </w:r>
      <w:r>
        <w:rPr>
          <w:rFonts w:cs="Arial" w:hint="cs"/>
          <w:sz w:val="18"/>
          <w:szCs w:val="18"/>
          <w:rtl/>
        </w:rPr>
        <w:t>.</w:t>
      </w:r>
      <w:r w:rsidRPr="00E757AD">
        <w:rPr>
          <w:rFonts w:cs="Arial"/>
          <w:sz w:val="18"/>
          <w:szCs w:val="18"/>
          <w:rtl/>
        </w:rPr>
        <w:t xml:space="preserve"> ויזהר שלא ישב הישראל</w:t>
      </w:r>
      <w:r>
        <w:rPr>
          <w:rStyle w:val="a9"/>
          <w:rFonts w:cs="Arial"/>
          <w:sz w:val="18"/>
          <w:szCs w:val="18"/>
          <w:rtl/>
        </w:rPr>
        <w:footnoteReference w:id="64"/>
      </w:r>
      <w:r w:rsidRPr="00E757AD">
        <w:rPr>
          <w:rFonts w:cs="Arial"/>
          <w:sz w:val="18"/>
          <w:szCs w:val="18"/>
          <w:rtl/>
        </w:rPr>
        <w:t xml:space="preserve"> אצל הגוי בשבת כשעוסק במלאכתו במטבע, או בקבלת המכס (מרדכי פ"ק דשבת).</w:t>
      </w:r>
    </w:p>
    <w:p w14:paraId="1D265079" w14:textId="77777777" w:rsidR="004B2E7C" w:rsidRDefault="004B2E7C" w:rsidP="00434A6A">
      <w:pPr>
        <w:rPr>
          <w:rtl/>
        </w:rPr>
      </w:pPr>
    </w:p>
    <w:p w14:paraId="61E9E2CF" w14:textId="77777777" w:rsidR="004B2E7C" w:rsidRDefault="004B2E7C" w:rsidP="00434A6A">
      <w:pPr>
        <w:pStyle w:val="1"/>
        <w:rPr>
          <w:rtl/>
        </w:rPr>
        <w:sectPr w:rsidR="004B2E7C" w:rsidSect="00BD29B1">
          <w:headerReference w:type="default" r:id="rId15"/>
          <w:footnotePr>
            <w:numRestart w:val="eachSect"/>
          </w:footnotePr>
          <w:pgSz w:w="11906" w:h="16838"/>
          <w:pgMar w:top="720" w:right="1134" w:bottom="720" w:left="1134" w:header="0" w:footer="0" w:gutter="0"/>
          <w:cols w:space="720"/>
          <w:bidi/>
          <w:rtlGutter/>
          <w:docGrid w:linePitch="360"/>
        </w:sectPr>
      </w:pPr>
    </w:p>
    <w:p w14:paraId="64AF0985" w14:textId="77777777" w:rsidR="004B2E7C" w:rsidRDefault="004B2E7C" w:rsidP="00434A6A">
      <w:pPr>
        <w:pStyle w:val="1"/>
        <w:rPr>
          <w:rtl/>
        </w:rPr>
      </w:pPr>
      <w:r>
        <w:rPr>
          <w:rFonts w:hint="cs"/>
          <w:rtl/>
        </w:rPr>
        <w:t>סימן רמה:</w:t>
      </w:r>
      <w:r w:rsidRPr="0085796F">
        <w:rPr>
          <w:rtl/>
        </w:rPr>
        <w:t xml:space="preserve"> </w:t>
      </w:r>
      <w:r>
        <w:rPr>
          <w:rtl/>
        </w:rPr>
        <w:t xml:space="preserve">ישראל וגוי שותפין, איך יתנהגו בשבת, ובו ו' סעיפים. </w:t>
      </w:r>
    </w:p>
    <w:p w14:paraId="2A0D29DB" w14:textId="77777777" w:rsidR="004B2E7C" w:rsidRDefault="004B2E7C" w:rsidP="00434A6A">
      <w:pPr>
        <w:pStyle w:val="2"/>
        <w:rPr>
          <w:rtl/>
        </w:rPr>
      </w:pPr>
      <w:r>
        <w:rPr>
          <w:rtl/>
        </w:rPr>
        <w:t>סעיף א</w:t>
      </w:r>
      <w:r>
        <w:rPr>
          <w:rFonts w:hint="cs"/>
          <w:rtl/>
        </w:rPr>
        <w:t>:</w:t>
      </w:r>
      <w:r w:rsidRPr="00197DAC">
        <w:rPr>
          <w:rtl/>
        </w:rPr>
        <w:t xml:space="preserve"> </w:t>
      </w:r>
      <w:r w:rsidRPr="007F0059">
        <w:rPr>
          <w:rtl/>
        </w:rPr>
        <w:t>ישראל ו</w:t>
      </w:r>
      <w:r>
        <w:rPr>
          <w:rtl/>
        </w:rPr>
        <w:t>גוי</w:t>
      </w:r>
      <w:r w:rsidRPr="007F0059">
        <w:rPr>
          <w:rtl/>
        </w:rPr>
        <w:t xml:space="preserve"> שקבלו שדה בשותפות</w:t>
      </w:r>
      <w:r>
        <w:rPr>
          <w:rFonts w:hint="cs"/>
          <w:rtl/>
        </w:rPr>
        <w:t>.</w:t>
      </w:r>
    </w:p>
    <w:p w14:paraId="560B77AC" w14:textId="77777777" w:rsidR="004B2E7C" w:rsidRPr="00734B96" w:rsidRDefault="004B2E7C" w:rsidP="00434A6A">
      <w:pPr>
        <w:rPr>
          <w:rtl/>
        </w:rPr>
      </w:pPr>
      <w:r>
        <w:rPr>
          <w:rFonts w:cs="Arial" w:hint="cs"/>
          <w:b/>
          <w:bCs/>
          <w:rtl/>
        </w:rPr>
        <w:t xml:space="preserve">עבודה זרה </w:t>
      </w:r>
      <w:r>
        <w:rPr>
          <w:rFonts w:cs="Arial" w:hint="cs"/>
          <w:b/>
          <w:bCs/>
          <w:sz w:val="16"/>
          <w:szCs w:val="16"/>
          <w:rtl/>
        </w:rPr>
        <w:t>(ס"פ לפני אידיהן)</w:t>
      </w:r>
      <w:r>
        <w:rPr>
          <w:rFonts w:cs="Arial" w:hint="cs"/>
          <w:b/>
          <w:bCs/>
          <w:rtl/>
        </w:rPr>
        <w:t xml:space="preserve"> כב ע"א: </w:t>
      </w:r>
      <w:r w:rsidRPr="00734B96">
        <w:rPr>
          <w:rFonts w:cs="Arial"/>
          <w:rtl/>
        </w:rPr>
        <w:t>הנהו מוריקאי</w:t>
      </w:r>
      <w:r>
        <w:rPr>
          <w:rStyle w:val="a9"/>
          <w:rFonts w:cs="Arial"/>
          <w:rtl/>
        </w:rPr>
        <w:footnoteReference w:id="65"/>
      </w:r>
      <w:r>
        <w:rPr>
          <w:rFonts w:cs="Arial" w:hint="cs"/>
          <w:rtl/>
        </w:rPr>
        <w:t>,</w:t>
      </w:r>
      <w:r w:rsidRPr="00734B96">
        <w:rPr>
          <w:rFonts w:cs="Arial"/>
          <w:rtl/>
        </w:rPr>
        <w:t xml:space="preserve"> ד</w:t>
      </w:r>
      <w:r>
        <w:rPr>
          <w:rFonts w:cs="Arial"/>
          <w:rtl/>
        </w:rPr>
        <w:t>גוי</w:t>
      </w:r>
      <w:r w:rsidRPr="00734B96">
        <w:rPr>
          <w:rFonts w:cs="Arial"/>
          <w:rtl/>
        </w:rPr>
        <w:t xml:space="preserve"> נקיט בשבתא</w:t>
      </w:r>
      <w:r>
        <w:rPr>
          <w:rStyle w:val="a9"/>
          <w:rFonts w:cs="Arial"/>
          <w:rtl/>
        </w:rPr>
        <w:footnoteReference w:id="66"/>
      </w:r>
      <w:r>
        <w:rPr>
          <w:rFonts w:cs="Arial" w:hint="cs"/>
          <w:rtl/>
        </w:rPr>
        <w:t xml:space="preserve">, </w:t>
      </w:r>
      <w:r w:rsidRPr="00734B96">
        <w:rPr>
          <w:rFonts w:cs="Arial"/>
          <w:rtl/>
        </w:rPr>
        <w:t xml:space="preserve">וישראל בחד בשבתא, </w:t>
      </w:r>
      <w:r w:rsidRPr="00262D6E">
        <w:rPr>
          <w:rFonts w:cs="Arial"/>
          <w:u w:val="single"/>
          <w:rtl/>
        </w:rPr>
        <w:t>אתו לקמיה דרבא</w:t>
      </w:r>
      <w:r w:rsidRPr="00734B96">
        <w:rPr>
          <w:rFonts w:cs="Arial"/>
          <w:rtl/>
        </w:rPr>
        <w:t xml:space="preserve">, שרא להו. </w:t>
      </w:r>
      <w:r w:rsidRPr="0023751E">
        <w:rPr>
          <w:rFonts w:cs="Arial"/>
          <w:u w:val="single"/>
          <w:rtl/>
        </w:rPr>
        <w:t>איתיביה רבינא לרבא</w:t>
      </w:r>
      <w:r w:rsidRPr="00734B96">
        <w:rPr>
          <w:rFonts w:cs="Arial"/>
          <w:rtl/>
        </w:rPr>
        <w:t>: ישראל ו</w:t>
      </w:r>
      <w:r>
        <w:rPr>
          <w:rFonts w:cs="Arial"/>
          <w:rtl/>
        </w:rPr>
        <w:t>גוי</w:t>
      </w:r>
      <w:r w:rsidRPr="00734B96">
        <w:rPr>
          <w:rFonts w:cs="Arial"/>
          <w:rtl/>
        </w:rPr>
        <w:t xml:space="preserve"> שקיבלו</w:t>
      </w:r>
      <w:r>
        <w:rPr>
          <w:rStyle w:val="a9"/>
          <w:rFonts w:cs="Arial"/>
          <w:rtl/>
        </w:rPr>
        <w:footnoteReference w:id="67"/>
      </w:r>
      <w:r w:rsidRPr="00734B96">
        <w:rPr>
          <w:rFonts w:cs="Arial"/>
          <w:rtl/>
        </w:rPr>
        <w:t xml:space="preserve"> שדה בשותפות, לא יאמר ישראל</w:t>
      </w:r>
      <w:r>
        <w:rPr>
          <w:rStyle w:val="a9"/>
          <w:rFonts w:cs="Arial"/>
          <w:rtl/>
        </w:rPr>
        <w:footnoteReference w:id="68"/>
      </w:r>
      <w:r w:rsidRPr="00734B96">
        <w:rPr>
          <w:rFonts w:cs="Arial"/>
          <w:rtl/>
        </w:rPr>
        <w:t xml:space="preserve"> ל</w:t>
      </w:r>
      <w:r>
        <w:rPr>
          <w:rFonts w:cs="Arial"/>
          <w:rtl/>
        </w:rPr>
        <w:t>גוי</w:t>
      </w:r>
      <w:r w:rsidRPr="00734B96">
        <w:rPr>
          <w:rFonts w:cs="Arial"/>
          <w:rtl/>
        </w:rPr>
        <w:t xml:space="preserve"> טול חלקך בשבת ואני בחול</w:t>
      </w:r>
      <w:r>
        <w:rPr>
          <w:rStyle w:val="a9"/>
          <w:rFonts w:cs="Arial"/>
          <w:rtl/>
        </w:rPr>
        <w:footnoteReference w:id="69"/>
      </w:r>
      <w:r w:rsidRPr="00734B96">
        <w:rPr>
          <w:rFonts w:cs="Arial"/>
          <w:rtl/>
        </w:rPr>
        <w:t>, ואם התנו מתחלה</w:t>
      </w:r>
      <w:r>
        <w:rPr>
          <w:rStyle w:val="a9"/>
          <w:rFonts w:cs="Arial"/>
          <w:rtl/>
        </w:rPr>
        <w:footnoteReference w:id="70"/>
      </w:r>
      <w:r w:rsidRPr="00734B96">
        <w:rPr>
          <w:rFonts w:cs="Arial"/>
          <w:rtl/>
        </w:rPr>
        <w:t xml:space="preserve"> - מותר</w:t>
      </w:r>
      <w:r>
        <w:rPr>
          <w:rStyle w:val="a9"/>
          <w:rFonts w:cs="Arial"/>
          <w:rtl/>
        </w:rPr>
        <w:footnoteReference w:id="71"/>
      </w:r>
      <w:r w:rsidRPr="00734B96">
        <w:rPr>
          <w:rFonts w:cs="Arial"/>
          <w:rtl/>
        </w:rPr>
        <w:t>, ואם באו לחשבון</w:t>
      </w:r>
      <w:r>
        <w:rPr>
          <w:rStyle w:val="a9"/>
          <w:rFonts w:cs="Arial"/>
          <w:rtl/>
        </w:rPr>
        <w:footnoteReference w:id="72"/>
      </w:r>
      <w:r w:rsidRPr="00734B96">
        <w:rPr>
          <w:rFonts w:cs="Arial"/>
          <w:rtl/>
        </w:rPr>
        <w:t xml:space="preserve"> - אסור</w:t>
      </w:r>
      <w:r>
        <w:rPr>
          <w:rStyle w:val="a9"/>
          <w:rFonts w:cs="Arial"/>
          <w:rtl/>
        </w:rPr>
        <w:footnoteReference w:id="73"/>
      </w:r>
      <w:r w:rsidRPr="00734B96">
        <w:rPr>
          <w:rFonts w:cs="Arial"/>
          <w:rtl/>
        </w:rPr>
        <w:t>! איכסיף. לסוף איגלאי מלתא דהתנו מעיקרא הוו.</w:t>
      </w:r>
      <w:r>
        <w:rPr>
          <w:rFonts w:cs="Arial" w:hint="cs"/>
          <w:rtl/>
        </w:rPr>
        <w:t>..</w:t>
      </w:r>
      <w:r w:rsidRPr="00734B96">
        <w:rPr>
          <w:rFonts w:cs="Arial"/>
          <w:rtl/>
        </w:rPr>
        <w:t xml:space="preserve"> איבעיא להו: סתמא מאי</w:t>
      </w:r>
      <w:r>
        <w:rPr>
          <w:rStyle w:val="a9"/>
          <w:rFonts w:cs="Arial"/>
          <w:rtl/>
        </w:rPr>
        <w:footnoteReference w:id="74"/>
      </w:r>
      <w:r w:rsidRPr="00734B96">
        <w:rPr>
          <w:rFonts w:cs="Arial"/>
          <w:rtl/>
        </w:rPr>
        <w:t>? ת"ש: אם התנו מתחילה - מותר, הא סתמא אסור. אימא סיפא: אם באו לחשבון</w:t>
      </w:r>
      <w:r>
        <w:rPr>
          <w:rStyle w:val="a9"/>
          <w:rFonts w:cs="Arial"/>
          <w:rtl/>
        </w:rPr>
        <w:footnoteReference w:id="75"/>
      </w:r>
      <w:r w:rsidRPr="00734B96">
        <w:rPr>
          <w:rFonts w:cs="Arial"/>
          <w:rtl/>
        </w:rPr>
        <w:t xml:space="preserve"> - אסור, הא סתמא</w:t>
      </w:r>
      <w:r>
        <w:rPr>
          <w:rStyle w:val="a9"/>
          <w:rFonts w:cs="Arial"/>
          <w:rtl/>
        </w:rPr>
        <w:footnoteReference w:id="76"/>
      </w:r>
      <w:r w:rsidRPr="00734B96">
        <w:rPr>
          <w:rFonts w:cs="Arial"/>
          <w:rtl/>
        </w:rPr>
        <w:t xml:space="preserve"> מותר! אלא מהא ליכא למשמע מינה.</w:t>
      </w:r>
    </w:p>
    <w:p w14:paraId="10FAD568" w14:textId="77777777" w:rsidR="004B2E7C" w:rsidRPr="00197DAC" w:rsidRDefault="004B2E7C" w:rsidP="00434A6A">
      <w:pPr>
        <w:rPr>
          <w:u w:val="single"/>
          <w:rtl/>
        </w:rPr>
      </w:pPr>
      <w:r w:rsidRPr="00197DAC">
        <w:rPr>
          <w:rFonts w:cs="Arial"/>
          <w:u w:val="single"/>
          <w:rtl/>
        </w:rPr>
        <w:t>ישראל וגוי שקבלו שדה בשותפות</w:t>
      </w:r>
      <w:r>
        <w:rPr>
          <w:rFonts w:cs="Arial" w:hint="cs"/>
          <w:u w:val="single"/>
          <w:rtl/>
        </w:rPr>
        <w:t xml:space="preserve"> </w:t>
      </w:r>
      <w:r>
        <w:rPr>
          <w:rFonts w:cs="Arial"/>
          <w:u w:val="single"/>
          <w:rtl/>
        </w:rPr>
        <w:t>–</w:t>
      </w:r>
      <w:r>
        <w:rPr>
          <w:rFonts w:cs="Arial" w:hint="cs"/>
          <w:u w:val="single"/>
          <w:rtl/>
        </w:rPr>
        <w:t xml:space="preserve"> מה יעשו עם הריוח של יום השבת</w:t>
      </w:r>
      <w:r w:rsidRPr="00197DAC">
        <w:rPr>
          <w:rFonts w:hint="cs"/>
          <w:u w:val="single"/>
          <w:rtl/>
        </w:rPr>
        <w:t>:</w:t>
      </w:r>
    </w:p>
    <w:p w14:paraId="01D9BB0C" w14:textId="77777777" w:rsidR="004B2E7C" w:rsidRPr="00DC27D1" w:rsidRDefault="004B2E7C" w:rsidP="00FF2D21">
      <w:pPr>
        <w:pStyle w:val="aa"/>
        <w:numPr>
          <w:ilvl w:val="0"/>
          <w:numId w:val="102"/>
        </w:numPr>
      </w:pPr>
      <w:r w:rsidRPr="007F0059">
        <w:rPr>
          <w:rFonts w:cs="Arial" w:hint="cs"/>
          <w:rtl/>
        </w:rPr>
        <w:t xml:space="preserve">טור- </w:t>
      </w:r>
      <w:r w:rsidRPr="007F0059">
        <w:rPr>
          <w:rFonts w:cs="Arial"/>
          <w:rtl/>
        </w:rPr>
        <w:t>ישראל ו</w:t>
      </w:r>
      <w:r>
        <w:rPr>
          <w:rFonts w:cs="Arial"/>
          <w:rtl/>
        </w:rPr>
        <w:t>גוי</w:t>
      </w:r>
      <w:r w:rsidRPr="007F0059">
        <w:rPr>
          <w:rFonts w:cs="Arial"/>
          <w:rtl/>
        </w:rPr>
        <w:t xml:space="preserve"> שקבלו שדה בשותפות לא יאמר ישראל ל</w:t>
      </w:r>
      <w:r>
        <w:rPr>
          <w:rFonts w:cs="Arial"/>
          <w:rtl/>
        </w:rPr>
        <w:t>גוי</w:t>
      </w:r>
      <w:r w:rsidRPr="007F0059">
        <w:rPr>
          <w:rFonts w:cs="Arial"/>
          <w:rtl/>
        </w:rPr>
        <w:t xml:space="preserve"> </w:t>
      </w:r>
      <w:r>
        <w:rPr>
          <w:rFonts w:cs="Arial" w:hint="cs"/>
          <w:rtl/>
        </w:rPr>
        <w:t>'</w:t>
      </w:r>
      <w:r w:rsidRPr="007F0059">
        <w:rPr>
          <w:rFonts w:cs="Arial"/>
          <w:rtl/>
        </w:rPr>
        <w:t>טול אתה חלקך בשבת ואני בחול</w:t>
      </w:r>
      <w:r>
        <w:rPr>
          <w:rFonts w:cs="Arial" w:hint="cs"/>
          <w:rtl/>
        </w:rPr>
        <w:t>'.</w:t>
      </w:r>
      <w:r w:rsidRPr="007F0059">
        <w:rPr>
          <w:rFonts w:cs="Arial"/>
          <w:rtl/>
        </w:rPr>
        <w:t xml:space="preserve"> ואפילו לא אמר כן בפירוש אלא כשבאין לחשבון אומר הישראל </w:t>
      </w:r>
      <w:r>
        <w:rPr>
          <w:rFonts w:cs="Arial" w:hint="cs"/>
          <w:rtl/>
        </w:rPr>
        <w:t>'</w:t>
      </w:r>
      <w:r w:rsidRPr="007F0059">
        <w:rPr>
          <w:rFonts w:cs="Arial"/>
          <w:rtl/>
        </w:rPr>
        <w:t>אטול של יום ראשון כנגד יום שבת שנטלת</w:t>
      </w:r>
      <w:r>
        <w:rPr>
          <w:rFonts w:cs="Arial" w:hint="cs"/>
          <w:rtl/>
        </w:rPr>
        <w:t>'</w:t>
      </w:r>
      <w:r w:rsidRPr="007F0059">
        <w:rPr>
          <w:rFonts w:cs="Arial"/>
          <w:rtl/>
        </w:rPr>
        <w:t xml:space="preserve"> </w:t>
      </w:r>
      <w:r>
        <w:rPr>
          <w:rFonts w:cs="Arial" w:hint="cs"/>
          <w:rtl/>
        </w:rPr>
        <w:t xml:space="preserve">- </w:t>
      </w:r>
      <w:r w:rsidRPr="007F0059">
        <w:rPr>
          <w:rFonts w:cs="Arial"/>
          <w:rtl/>
        </w:rPr>
        <w:t>אסור</w:t>
      </w:r>
      <w:r>
        <w:rPr>
          <w:rStyle w:val="a9"/>
          <w:rFonts w:cs="Arial"/>
          <w:rtl/>
        </w:rPr>
        <w:footnoteReference w:id="77"/>
      </w:r>
      <w:r>
        <w:rPr>
          <w:rFonts w:cs="Arial" w:hint="cs"/>
          <w:rtl/>
        </w:rPr>
        <w:t>.</w:t>
      </w:r>
      <w:r w:rsidRPr="007F0059">
        <w:rPr>
          <w:rFonts w:cs="Arial"/>
          <w:rtl/>
        </w:rPr>
        <w:t xml:space="preserve"> אבל אם מתחלה כשקבלו השותפות התנו</w:t>
      </w:r>
      <w:r>
        <w:rPr>
          <w:rStyle w:val="a9"/>
          <w:rFonts w:cs="Arial"/>
          <w:rtl/>
        </w:rPr>
        <w:footnoteReference w:id="78"/>
      </w:r>
      <w:r w:rsidRPr="007F0059">
        <w:rPr>
          <w:rFonts w:cs="Arial"/>
          <w:rtl/>
        </w:rPr>
        <w:t xml:space="preserve"> שיטול ה</w:t>
      </w:r>
      <w:r>
        <w:rPr>
          <w:rFonts w:cs="Arial"/>
          <w:rtl/>
        </w:rPr>
        <w:t>גוי</w:t>
      </w:r>
      <w:r w:rsidRPr="007F0059">
        <w:rPr>
          <w:rFonts w:cs="Arial"/>
          <w:rtl/>
        </w:rPr>
        <w:t xml:space="preserve"> של שבת והישראל יום ראשון כנגדו </w:t>
      </w:r>
      <w:r>
        <w:rPr>
          <w:rFonts w:cs="Arial" w:hint="cs"/>
          <w:rtl/>
        </w:rPr>
        <w:t xml:space="preserve">- </w:t>
      </w:r>
      <w:r w:rsidRPr="007F0059">
        <w:rPr>
          <w:rFonts w:cs="Arial"/>
          <w:rtl/>
        </w:rPr>
        <w:t>מותר</w:t>
      </w:r>
      <w:r>
        <w:rPr>
          <w:rStyle w:val="a9"/>
          <w:rFonts w:cs="Arial"/>
          <w:rtl/>
        </w:rPr>
        <w:footnoteReference w:id="79"/>
      </w:r>
      <w:r>
        <w:rPr>
          <w:rFonts w:cs="Arial" w:hint="cs"/>
          <w:rtl/>
        </w:rPr>
        <w:t>.</w:t>
      </w:r>
    </w:p>
    <w:p w14:paraId="18E95AAF" w14:textId="77777777" w:rsidR="004B2E7C" w:rsidRDefault="004B2E7C" w:rsidP="00FF2D21">
      <w:pPr>
        <w:pStyle w:val="aa"/>
        <w:numPr>
          <w:ilvl w:val="0"/>
          <w:numId w:val="102"/>
        </w:numPr>
      </w:pPr>
      <w:r>
        <w:rPr>
          <w:rFonts w:cs="Arial"/>
          <w:rtl/>
        </w:rPr>
        <w:t xml:space="preserve">רמב"ם </w:t>
      </w:r>
      <w:r w:rsidRPr="0069257A">
        <w:rPr>
          <w:rFonts w:cs="Arial" w:hint="cs"/>
          <w:sz w:val="16"/>
          <w:szCs w:val="16"/>
          <w:rtl/>
        </w:rPr>
        <w:t>(</w:t>
      </w:r>
      <w:r w:rsidRPr="0069257A">
        <w:rPr>
          <w:rFonts w:cs="Arial"/>
          <w:sz w:val="16"/>
          <w:szCs w:val="16"/>
          <w:rtl/>
        </w:rPr>
        <w:t>פ"ו הי"ז)</w:t>
      </w:r>
      <w:r>
        <w:rPr>
          <w:rFonts w:cs="Arial" w:hint="cs"/>
          <w:rtl/>
        </w:rPr>
        <w:t>-</w:t>
      </w:r>
      <w:r>
        <w:rPr>
          <w:rFonts w:cs="Arial"/>
          <w:rtl/>
        </w:rPr>
        <w:t xml:space="preserve"> </w:t>
      </w:r>
      <w:r w:rsidRPr="0069257A">
        <w:rPr>
          <w:rFonts w:cs="Arial"/>
          <w:rtl/>
        </w:rPr>
        <w:t>המשתתף עם הגוי במלאכה או בסחורה או בחנות, אם התנו בתחלה שיהיה שכר השבת לגוי לבדו אם מעט אם הרבה ושכר יום אחד כנגד יום השבת לישראל לבדו מותר, ואם לא התנו בתחלה, כשיבואו לחלוק נוטל הגוי שכר השבתות כולן לבדו והשאר חולקין אותו, ואינו מוסיף לו כלום כנגד יום השבת אלא א"כ התנה בתחלה, וכן אם קבלו שדה בשותפות דין אחד הוא</w:t>
      </w:r>
      <w:r>
        <w:rPr>
          <w:rStyle w:val="a9"/>
          <w:rFonts w:cs="Arial"/>
          <w:rtl/>
        </w:rPr>
        <w:footnoteReference w:id="80"/>
      </w:r>
      <w:r>
        <w:rPr>
          <w:rFonts w:cs="Arial" w:hint="cs"/>
          <w:rtl/>
        </w:rPr>
        <w:t>.</w:t>
      </w:r>
      <w:r w:rsidRPr="007F0059">
        <w:rPr>
          <w:rFonts w:cs="Arial"/>
          <w:rtl/>
        </w:rPr>
        <w:t xml:space="preserve"> </w:t>
      </w:r>
      <w:r w:rsidRPr="0099728C">
        <w:rPr>
          <w:rFonts w:cs="Arial" w:hint="cs"/>
          <w:color w:val="E36C0A" w:themeColor="accent6" w:themeShade="BF"/>
          <w:rtl/>
        </w:rPr>
        <w:t>(וכ</w:t>
      </w:r>
      <w:r>
        <w:rPr>
          <w:rFonts w:cs="Arial" w:hint="cs"/>
          <w:color w:val="E36C0A" w:themeColor="accent6" w:themeShade="BF"/>
          <w:rtl/>
        </w:rPr>
        <w:t>"</w:t>
      </w:r>
      <w:r w:rsidRPr="0099728C">
        <w:rPr>
          <w:rFonts w:cs="Arial" w:hint="cs"/>
          <w:color w:val="E36C0A" w:themeColor="accent6" w:themeShade="BF"/>
          <w:rtl/>
        </w:rPr>
        <w:t>פ בשו"ע)</w:t>
      </w:r>
    </w:p>
    <w:p w14:paraId="4B489C34" w14:textId="77777777" w:rsidR="004B2E7C" w:rsidRPr="00734B96" w:rsidRDefault="004B2E7C" w:rsidP="00434A6A">
      <w:pPr>
        <w:ind w:left="360"/>
        <w:rPr>
          <w:u w:val="dotted"/>
        </w:rPr>
      </w:pPr>
      <w:r>
        <w:rPr>
          <w:rFonts w:hint="cs"/>
          <w:u w:val="dotted"/>
          <w:rtl/>
        </w:rPr>
        <w:t>ה</w:t>
      </w:r>
      <w:r w:rsidRPr="00734B96">
        <w:rPr>
          <w:rFonts w:hint="cs"/>
          <w:u w:val="dotted"/>
          <w:rtl/>
        </w:rPr>
        <w:t xml:space="preserve">אם </w:t>
      </w:r>
      <w:r>
        <w:rPr>
          <w:rFonts w:hint="cs"/>
          <w:u w:val="dotted"/>
          <w:rtl/>
        </w:rPr>
        <w:t xml:space="preserve">יש הבדל בין דבר שמשביח בשבת </w:t>
      </w:r>
      <w:r>
        <w:rPr>
          <w:rFonts w:hint="cs"/>
          <w:sz w:val="16"/>
          <w:szCs w:val="16"/>
          <w:u w:val="dotted"/>
          <w:rtl/>
        </w:rPr>
        <w:t>(כגון שדה)</w:t>
      </w:r>
      <w:r>
        <w:rPr>
          <w:rFonts w:hint="cs"/>
          <w:u w:val="dotted"/>
          <w:rtl/>
        </w:rPr>
        <w:t xml:space="preserve"> לבין דבר שלא</w:t>
      </w:r>
      <w:r>
        <w:rPr>
          <w:rFonts w:hint="cs"/>
          <w:sz w:val="16"/>
          <w:szCs w:val="16"/>
          <w:u w:val="dotted"/>
          <w:rtl/>
        </w:rPr>
        <w:t xml:space="preserve"> (כגון תנור/מלאכה)</w:t>
      </w:r>
      <w:r w:rsidRPr="00734B96">
        <w:rPr>
          <w:rFonts w:hint="cs"/>
          <w:u w:val="dotted"/>
          <w:rtl/>
        </w:rPr>
        <w:t>:</w:t>
      </w:r>
    </w:p>
    <w:p w14:paraId="3B9D6350" w14:textId="77777777" w:rsidR="004B2E7C" w:rsidRDefault="004B2E7C" w:rsidP="00FF2D21">
      <w:pPr>
        <w:pStyle w:val="aa"/>
        <w:numPr>
          <w:ilvl w:val="0"/>
          <w:numId w:val="102"/>
        </w:numPr>
      </w:pPr>
      <w:r>
        <w:rPr>
          <w:rFonts w:cs="Arial" w:hint="cs"/>
          <w:rtl/>
        </w:rPr>
        <w:t xml:space="preserve">תוס' </w:t>
      </w:r>
      <w:r>
        <w:rPr>
          <w:rFonts w:cs="Arial" w:hint="cs"/>
          <w:sz w:val="16"/>
          <w:szCs w:val="16"/>
          <w:rtl/>
        </w:rPr>
        <w:t>(ע"ז כב. ד"ה לא יאמר, וכ"כ הרא"ש [ספ"ק סי' כד])</w:t>
      </w:r>
      <w:r>
        <w:rPr>
          <w:rFonts w:cs="Arial" w:hint="cs"/>
          <w:rtl/>
        </w:rPr>
        <w:t xml:space="preserve">- </w:t>
      </w:r>
      <w:r w:rsidRPr="00235027">
        <w:rPr>
          <w:rFonts w:cs="Arial"/>
          <w:rtl/>
        </w:rPr>
        <w:t>מעשה כך היה בימי ר</w:t>
      </w:r>
      <w:r>
        <w:rPr>
          <w:rFonts w:cs="Arial" w:hint="cs"/>
          <w:rtl/>
        </w:rPr>
        <w:t>"ת</w:t>
      </w:r>
      <w:r w:rsidRPr="00235027">
        <w:rPr>
          <w:rFonts w:cs="Arial"/>
          <w:rtl/>
        </w:rPr>
        <w:t xml:space="preserve"> שגבה ישראל אחד בחובו תנור אחד מ</w:t>
      </w:r>
      <w:r>
        <w:rPr>
          <w:rFonts w:cs="Arial"/>
          <w:rtl/>
        </w:rPr>
        <w:t>גוי</w:t>
      </w:r>
      <w:r>
        <w:rPr>
          <w:rFonts w:cs="Arial" w:hint="cs"/>
          <w:rtl/>
        </w:rPr>
        <w:t>,</w:t>
      </w:r>
      <w:r w:rsidRPr="00235027">
        <w:rPr>
          <w:rFonts w:cs="Arial"/>
          <w:rtl/>
        </w:rPr>
        <w:t xml:space="preserve"> והיה לו לאופה המסיק התנור חלקו בתנור</w:t>
      </w:r>
      <w:r>
        <w:rPr>
          <w:rFonts w:cs="Arial" w:hint="cs"/>
          <w:rtl/>
        </w:rPr>
        <w:t>,</w:t>
      </w:r>
      <w:r w:rsidRPr="00235027">
        <w:rPr>
          <w:rFonts w:cs="Arial"/>
          <w:rtl/>
        </w:rPr>
        <w:t xml:space="preserve"> והיה לו ליהודי ליטול כך וכך ימים בחלקו</w:t>
      </w:r>
      <w:r>
        <w:rPr>
          <w:rFonts w:cs="Arial" w:hint="cs"/>
          <w:rtl/>
        </w:rPr>
        <w:t>,</w:t>
      </w:r>
      <w:r w:rsidRPr="00235027">
        <w:rPr>
          <w:rFonts w:cs="Arial"/>
          <w:rtl/>
        </w:rPr>
        <w:t xml:space="preserve"> ולאופה כמו כן כך וכך</w:t>
      </w:r>
      <w:r>
        <w:rPr>
          <w:rFonts w:cs="Arial" w:hint="cs"/>
          <w:rtl/>
        </w:rPr>
        <w:t>,</w:t>
      </w:r>
      <w:r w:rsidRPr="00235027">
        <w:rPr>
          <w:rFonts w:cs="Arial"/>
          <w:rtl/>
        </w:rPr>
        <w:t xml:space="preserve"> ולא התנו מתחלה זה לזה טול אתה חלקך בשבת ואני חלקי בחול</w:t>
      </w:r>
      <w:r>
        <w:rPr>
          <w:rFonts w:cs="Arial" w:hint="cs"/>
          <w:rtl/>
        </w:rPr>
        <w:t>.</w:t>
      </w:r>
      <w:r w:rsidRPr="00235027">
        <w:rPr>
          <w:rFonts w:cs="Arial"/>
          <w:rtl/>
        </w:rPr>
        <w:t xml:space="preserve"> והיה ר"י ר"ל דמותר</w:t>
      </w:r>
      <w:r>
        <w:rPr>
          <w:rFonts w:cs="Arial" w:hint="cs"/>
          <w:rtl/>
        </w:rPr>
        <w:t>,</w:t>
      </w:r>
      <w:r w:rsidRPr="00235027">
        <w:rPr>
          <w:rFonts w:cs="Arial"/>
          <w:rtl/>
        </w:rPr>
        <w:t xml:space="preserve"> דלא דמי לשדה דהכא דגבי שדה חלק הישראל משביח אף בחול במה שה</w:t>
      </w:r>
      <w:r>
        <w:rPr>
          <w:rFonts w:cs="Arial"/>
          <w:rtl/>
        </w:rPr>
        <w:t>גוי</w:t>
      </w:r>
      <w:r w:rsidRPr="00235027">
        <w:rPr>
          <w:rFonts w:cs="Arial"/>
          <w:rtl/>
        </w:rPr>
        <w:t xml:space="preserve"> טורח בו בשבת</w:t>
      </w:r>
      <w:r>
        <w:rPr>
          <w:rFonts w:cs="Arial" w:hint="cs"/>
          <w:rtl/>
        </w:rPr>
        <w:t>,</w:t>
      </w:r>
      <w:r w:rsidRPr="00235027">
        <w:rPr>
          <w:rFonts w:cs="Arial"/>
          <w:rtl/>
        </w:rPr>
        <w:t xml:space="preserve"> אבל בתנור אינו משביח כלל במה שה</w:t>
      </w:r>
      <w:r>
        <w:rPr>
          <w:rFonts w:cs="Arial"/>
          <w:rtl/>
        </w:rPr>
        <w:t>גוי</w:t>
      </w:r>
      <w:r w:rsidRPr="00235027">
        <w:rPr>
          <w:rFonts w:cs="Arial"/>
          <w:rtl/>
        </w:rPr>
        <w:t xml:space="preserve"> עושה בו בשבת וזה בחול ואף בלא התנו מתחלה</w:t>
      </w:r>
      <w:r>
        <w:rPr>
          <w:rFonts w:cs="Arial" w:hint="cs"/>
          <w:rtl/>
        </w:rPr>
        <w:t>.</w:t>
      </w:r>
      <w:r w:rsidRPr="00235027">
        <w:rPr>
          <w:rFonts w:cs="Arial"/>
          <w:rtl/>
        </w:rPr>
        <w:t xml:space="preserve"> ולא הודה ר"ת לזה</w:t>
      </w:r>
      <w:r>
        <w:rPr>
          <w:rFonts w:cs="Arial" w:hint="cs"/>
          <w:rtl/>
        </w:rPr>
        <w:t>,</w:t>
      </w:r>
      <w:r w:rsidRPr="00235027">
        <w:rPr>
          <w:rFonts w:cs="Arial"/>
          <w:rtl/>
        </w:rPr>
        <w:t xml:space="preserve"> ונראה לו דאין לחלק בין תנור לשדה דאע"פ שאינו משביח במלאכה בשבת מ"מ הוי כאילו מעמיד פועל בידים</w:t>
      </w:r>
      <w:r>
        <w:rPr>
          <w:rStyle w:val="a9"/>
          <w:rFonts w:cs="Arial"/>
          <w:rtl/>
        </w:rPr>
        <w:footnoteReference w:id="81"/>
      </w:r>
      <w:r>
        <w:rPr>
          <w:rFonts w:cs="Arial" w:hint="cs"/>
          <w:rtl/>
        </w:rPr>
        <w:t>...</w:t>
      </w:r>
      <w:r w:rsidRPr="00235027">
        <w:rPr>
          <w:rFonts w:cs="Arial"/>
          <w:rtl/>
        </w:rPr>
        <w:t xml:space="preserve"> וגם ר"י חזר בו והביא ראיה לדברי ר"ת דאין חילוק בין תנור לשדה דהא מרחץ כתנור דמי ובתוספתא דמסכת דמאי </w:t>
      </w:r>
      <w:r>
        <w:rPr>
          <w:rFonts w:cs="Arial" w:hint="cs"/>
          <w:rtl/>
        </w:rPr>
        <w:t>(</w:t>
      </w:r>
      <w:r w:rsidRPr="00235027">
        <w:rPr>
          <w:rFonts w:cs="Arial"/>
          <w:rtl/>
        </w:rPr>
        <w:t>פ"ו</w:t>
      </w:r>
      <w:r>
        <w:rPr>
          <w:rFonts w:cs="Arial" w:hint="cs"/>
          <w:rtl/>
        </w:rPr>
        <w:t xml:space="preserve"> ה"ג)</w:t>
      </w:r>
      <w:r w:rsidRPr="00235027">
        <w:rPr>
          <w:rFonts w:cs="Arial"/>
          <w:rtl/>
        </w:rPr>
        <w:t xml:space="preserve"> תניא ישראל ו</w:t>
      </w:r>
      <w:r>
        <w:rPr>
          <w:rFonts w:cs="Arial"/>
          <w:rtl/>
        </w:rPr>
        <w:t>גוי</w:t>
      </w:r>
      <w:r w:rsidRPr="00235027">
        <w:rPr>
          <w:rFonts w:cs="Arial"/>
          <w:rtl/>
        </w:rPr>
        <w:t xml:space="preserve"> שלקחו שדה ומרחץ בשותפות לא יאמר לו ישראל ל</w:t>
      </w:r>
      <w:r>
        <w:rPr>
          <w:rFonts w:cs="Arial"/>
          <w:rtl/>
        </w:rPr>
        <w:t>גוי</w:t>
      </w:r>
      <w:r w:rsidRPr="00235027">
        <w:rPr>
          <w:rFonts w:cs="Arial"/>
          <w:rtl/>
        </w:rPr>
        <w:t xml:space="preserve"> כו'</w:t>
      </w:r>
      <w:r>
        <w:rPr>
          <w:rFonts w:cs="Arial" w:hint="cs"/>
          <w:rtl/>
        </w:rPr>
        <w:t>.</w:t>
      </w:r>
      <w:r w:rsidRPr="00235027">
        <w:rPr>
          <w:rFonts w:cs="Arial"/>
          <w:rtl/>
        </w:rPr>
        <w:t xml:space="preserve"> קצרו של דבר בין כרם בין שדה בין מרחץ או תנור</w:t>
      </w:r>
      <w:r>
        <w:rPr>
          <w:rFonts w:cs="Arial" w:hint="cs"/>
          <w:rtl/>
        </w:rPr>
        <w:t>,</w:t>
      </w:r>
      <w:r w:rsidRPr="00235027">
        <w:rPr>
          <w:rFonts w:cs="Arial"/>
          <w:rtl/>
        </w:rPr>
        <w:t xml:space="preserve"> אם לקחו ישראל ו</w:t>
      </w:r>
      <w:r>
        <w:rPr>
          <w:rFonts w:cs="Arial"/>
          <w:rtl/>
        </w:rPr>
        <w:t>גוי</w:t>
      </w:r>
      <w:r w:rsidRPr="00235027">
        <w:rPr>
          <w:rFonts w:cs="Arial"/>
          <w:rtl/>
        </w:rPr>
        <w:t xml:space="preserve"> בשותפות אסור לומר טול אתה חלקך כו' אא</w:t>
      </w:r>
      <w:r>
        <w:rPr>
          <w:rFonts w:cs="Arial" w:hint="cs"/>
          <w:rtl/>
        </w:rPr>
        <w:t>"</w:t>
      </w:r>
      <w:r w:rsidRPr="00235027">
        <w:rPr>
          <w:rFonts w:cs="Arial"/>
          <w:rtl/>
        </w:rPr>
        <w:t>כ התנו מתחלה קודם שלקחוהו שאין לישראל בשבת שום חלק</w:t>
      </w:r>
      <w:r>
        <w:rPr>
          <w:rFonts w:cs="Arial" w:hint="cs"/>
          <w:rtl/>
        </w:rPr>
        <w:t>.</w:t>
      </w:r>
      <w:r w:rsidRPr="00235027">
        <w:rPr>
          <w:rFonts w:cs="Arial"/>
          <w:rtl/>
        </w:rPr>
        <w:t xml:space="preserve"> וגם ר"ת באותו מעשה דתנור צוה לקבל החוב מן ה</w:t>
      </w:r>
      <w:r>
        <w:rPr>
          <w:rFonts w:cs="Arial"/>
          <w:rtl/>
        </w:rPr>
        <w:t>גוי</w:t>
      </w:r>
      <w:r w:rsidRPr="00235027">
        <w:rPr>
          <w:rFonts w:cs="Arial"/>
          <w:rtl/>
        </w:rPr>
        <w:t xml:space="preserve"> ולחזור ולהלוות ולהתנות מתחלה</w:t>
      </w:r>
      <w:r>
        <w:rPr>
          <w:rFonts w:cs="Arial" w:hint="cs"/>
          <w:rtl/>
        </w:rPr>
        <w:t>.</w:t>
      </w:r>
      <w:r w:rsidRPr="00235027">
        <w:rPr>
          <w:rFonts w:cs="Arial"/>
          <w:rtl/>
        </w:rPr>
        <w:t xml:space="preserve"> מיהו היכא שלקחו הישראל במשכון נראה שא"צ להתנות כלום כיון שהוא ברשות ה</w:t>
      </w:r>
      <w:r>
        <w:rPr>
          <w:rFonts w:cs="Arial"/>
          <w:rtl/>
        </w:rPr>
        <w:t>גוי</w:t>
      </w:r>
      <w:r w:rsidRPr="00235027">
        <w:rPr>
          <w:rFonts w:cs="Arial"/>
          <w:rtl/>
        </w:rPr>
        <w:t xml:space="preserve"> ושכר התנור הוא לישראל מרבית שה</w:t>
      </w:r>
      <w:r>
        <w:rPr>
          <w:rFonts w:cs="Arial"/>
          <w:rtl/>
        </w:rPr>
        <w:t>גוי</w:t>
      </w:r>
      <w:r w:rsidRPr="00235027">
        <w:rPr>
          <w:rFonts w:cs="Arial"/>
          <w:rtl/>
        </w:rPr>
        <w:t xml:space="preserve"> נותן לו ואין הישראל קונה חלק בתנור דדוקא נקט לקחו</w:t>
      </w:r>
      <w:r>
        <w:rPr>
          <w:rStyle w:val="a9"/>
          <w:rFonts w:cs="Arial"/>
          <w:rtl/>
        </w:rPr>
        <w:footnoteReference w:id="82"/>
      </w:r>
      <w:r>
        <w:rPr>
          <w:rFonts w:cs="Arial" w:hint="cs"/>
          <w:rtl/>
        </w:rPr>
        <w:t>.</w:t>
      </w:r>
      <w:r w:rsidRPr="0069257A">
        <w:rPr>
          <w:rFonts w:cs="Arial"/>
          <w:rtl/>
        </w:rPr>
        <w:t xml:space="preserve"> </w:t>
      </w:r>
      <w:r w:rsidRPr="0099728C">
        <w:rPr>
          <w:rFonts w:cs="Arial" w:hint="cs"/>
          <w:color w:val="E36C0A" w:themeColor="accent6" w:themeShade="BF"/>
          <w:rtl/>
        </w:rPr>
        <w:t>(וכ</w:t>
      </w:r>
      <w:r>
        <w:rPr>
          <w:rFonts w:cs="Arial" w:hint="cs"/>
          <w:color w:val="E36C0A" w:themeColor="accent6" w:themeShade="BF"/>
          <w:rtl/>
        </w:rPr>
        <w:t>"</w:t>
      </w:r>
      <w:r w:rsidRPr="0099728C">
        <w:rPr>
          <w:rFonts w:cs="Arial" w:hint="cs"/>
          <w:color w:val="E36C0A" w:themeColor="accent6" w:themeShade="BF"/>
          <w:rtl/>
        </w:rPr>
        <w:t>פ בשו"ע)</w:t>
      </w:r>
    </w:p>
    <w:p w14:paraId="1FF7C789" w14:textId="77777777" w:rsidR="004B2E7C" w:rsidRPr="00734B96" w:rsidRDefault="004B2E7C" w:rsidP="00434A6A">
      <w:pPr>
        <w:ind w:left="360"/>
        <w:rPr>
          <w:u w:val="dotted"/>
        </w:rPr>
      </w:pPr>
      <w:r w:rsidRPr="00734B96">
        <w:rPr>
          <w:rFonts w:hint="cs"/>
          <w:u w:val="dotted"/>
          <w:rtl/>
        </w:rPr>
        <w:t>ומה הדין אם לא התנו מתחילה ובאו לחלוק את הרווחים:</w:t>
      </w:r>
    </w:p>
    <w:p w14:paraId="7FAE9394" w14:textId="77777777" w:rsidR="004B2E7C" w:rsidRPr="00197DAC" w:rsidRDefault="004B2E7C" w:rsidP="00FF2D21">
      <w:pPr>
        <w:pStyle w:val="aa"/>
        <w:numPr>
          <w:ilvl w:val="0"/>
          <w:numId w:val="102"/>
        </w:numPr>
      </w:pPr>
      <w:r>
        <w:rPr>
          <w:rFonts w:cs="Arial" w:hint="cs"/>
          <w:rtl/>
        </w:rPr>
        <w:t xml:space="preserve">רא"ש </w:t>
      </w:r>
      <w:r>
        <w:rPr>
          <w:rFonts w:cs="Arial" w:hint="cs"/>
          <w:sz w:val="16"/>
          <w:szCs w:val="16"/>
          <w:rtl/>
        </w:rPr>
        <w:t>(ספ"ק ס"ס כד)</w:t>
      </w:r>
      <w:r w:rsidRPr="004F1E8E">
        <w:rPr>
          <w:rFonts w:cs="Arial" w:hint="cs"/>
          <w:rtl/>
        </w:rPr>
        <w:t xml:space="preserve"> </w:t>
      </w:r>
      <w:r>
        <w:rPr>
          <w:rFonts w:cs="Arial" w:hint="cs"/>
          <w:rtl/>
        </w:rPr>
        <w:t>ורי"ו</w:t>
      </w:r>
      <w:r w:rsidRPr="007F0059">
        <w:rPr>
          <w:rFonts w:cs="Arial"/>
          <w:rtl/>
        </w:rPr>
        <w:t xml:space="preserve"> </w:t>
      </w:r>
      <w:r w:rsidRPr="004F1E8E">
        <w:rPr>
          <w:rFonts w:cs="Arial" w:hint="cs"/>
          <w:sz w:val="16"/>
          <w:szCs w:val="16"/>
          <w:rtl/>
        </w:rPr>
        <w:t>(</w:t>
      </w:r>
      <w:r w:rsidRPr="004F1E8E">
        <w:rPr>
          <w:rFonts w:cs="Arial"/>
          <w:sz w:val="16"/>
          <w:szCs w:val="16"/>
          <w:rtl/>
        </w:rPr>
        <w:t>חי"ב ני"ב פב סוע"ב)</w:t>
      </w:r>
      <w:r>
        <w:rPr>
          <w:rFonts w:cs="Arial" w:hint="cs"/>
          <w:rtl/>
        </w:rPr>
        <w:t xml:space="preserve">- </w:t>
      </w:r>
      <w:r w:rsidRPr="007F0059">
        <w:rPr>
          <w:rFonts w:cs="Arial"/>
          <w:rtl/>
        </w:rPr>
        <w:t>ואם לא התנו תחלה וגם לא באו לומר שיקח הישראל יום אחר כנגד שבת אלא חלקו סתם מיבעיא ולא איפשטא</w:t>
      </w:r>
      <w:r>
        <w:rPr>
          <w:rFonts w:cs="Arial" w:hint="cs"/>
          <w:rtl/>
        </w:rPr>
        <w:t>...</w:t>
      </w:r>
      <w:r w:rsidRPr="007F0059">
        <w:rPr>
          <w:rFonts w:cs="Arial"/>
          <w:rtl/>
        </w:rPr>
        <w:t xml:space="preserve"> </w:t>
      </w:r>
      <w:r>
        <w:rPr>
          <w:rFonts w:cs="Arial" w:hint="cs"/>
          <w:rtl/>
        </w:rPr>
        <w:t>ו</w:t>
      </w:r>
      <w:r w:rsidRPr="007F0059">
        <w:rPr>
          <w:rFonts w:cs="Arial"/>
          <w:rtl/>
        </w:rPr>
        <w:t>כיון דספיקא דרבנן הוא אזלינן לקולא</w:t>
      </w:r>
      <w:r>
        <w:rPr>
          <w:rStyle w:val="a9"/>
          <w:rFonts w:cs="Arial"/>
          <w:rtl/>
        </w:rPr>
        <w:footnoteReference w:id="83"/>
      </w:r>
      <w:r w:rsidRPr="007F0059">
        <w:rPr>
          <w:rFonts w:cs="Arial"/>
          <w:rtl/>
        </w:rPr>
        <w:t xml:space="preserve"> וא"צ להניח ל</w:t>
      </w:r>
      <w:r>
        <w:rPr>
          <w:rFonts w:cs="Arial"/>
          <w:rtl/>
        </w:rPr>
        <w:t>גוי</w:t>
      </w:r>
      <w:r w:rsidRPr="007F0059">
        <w:rPr>
          <w:rFonts w:cs="Arial"/>
          <w:rtl/>
        </w:rPr>
        <w:t xml:space="preserve"> ליטול כל השבתות לבדו</w:t>
      </w:r>
      <w:r>
        <w:rPr>
          <w:rFonts w:cs="Arial" w:hint="cs"/>
          <w:sz w:val="16"/>
          <w:szCs w:val="16"/>
          <w:rtl/>
        </w:rPr>
        <w:t xml:space="preserve"> (ל' הטור בשם הרא"ש)</w:t>
      </w:r>
      <w:r>
        <w:rPr>
          <w:rFonts w:cs="Arial" w:hint="cs"/>
          <w:rtl/>
        </w:rPr>
        <w:t>.</w:t>
      </w:r>
      <w:r w:rsidRPr="007F0059">
        <w:rPr>
          <w:rFonts w:cs="Arial"/>
          <w:rtl/>
        </w:rPr>
        <w:t xml:space="preserve"> </w:t>
      </w:r>
    </w:p>
    <w:p w14:paraId="67609989" w14:textId="77777777" w:rsidR="004B2E7C" w:rsidRPr="00DC27D1" w:rsidRDefault="004B2E7C" w:rsidP="00FF2D21">
      <w:pPr>
        <w:pStyle w:val="aa"/>
        <w:numPr>
          <w:ilvl w:val="0"/>
          <w:numId w:val="102"/>
        </w:numPr>
        <w:rPr>
          <w:rtl/>
        </w:rPr>
      </w:pPr>
      <w:r w:rsidRPr="00DC27D1">
        <w:rPr>
          <w:rFonts w:cs="Arial"/>
          <w:rtl/>
        </w:rPr>
        <w:t xml:space="preserve">רמב"ם </w:t>
      </w:r>
      <w:r w:rsidRPr="00DC27D1">
        <w:rPr>
          <w:rFonts w:cs="Arial" w:hint="cs"/>
          <w:sz w:val="16"/>
          <w:szCs w:val="16"/>
          <w:rtl/>
        </w:rPr>
        <w:t>(</w:t>
      </w:r>
      <w:r w:rsidRPr="00DC27D1">
        <w:rPr>
          <w:rFonts w:cs="Arial"/>
          <w:sz w:val="16"/>
          <w:szCs w:val="16"/>
          <w:rtl/>
        </w:rPr>
        <w:t>פ"ו הי</w:t>
      </w:r>
      <w:r w:rsidRPr="00DC27D1">
        <w:rPr>
          <w:rFonts w:cs="Arial" w:hint="cs"/>
          <w:sz w:val="16"/>
          <w:szCs w:val="16"/>
          <w:rtl/>
        </w:rPr>
        <w:t>"</w:t>
      </w:r>
      <w:r w:rsidRPr="00DC27D1">
        <w:rPr>
          <w:rFonts w:cs="Arial"/>
          <w:sz w:val="16"/>
          <w:szCs w:val="16"/>
          <w:rtl/>
        </w:rPr>
        <w:t>ח)</w:t>
      </w:r>
      <w:r w:rsidRPr="00DC27D1">
        <w:rPr>
          <w:rFonts w:cs="Arial" w:hint="cs"/>
          <w:rtl/>
        </w:rPr>
        <w:t>-</w:t>
      </w:r>
      <w:r w:rsidRPr="00DC27D1">
        <w:rPr>
          <w:rFonts w:cs="Arial"/>
          <w:rtl/>
        </w:rPr>
        <w:t xml:space="preserve"> ואם לא התנו ובאו לחלוק השכר ולא היה שכר שבת ידוע </w:t>
      </w:r>
      <w:r>
        <w:rPr>
          <w:rFonts w:cs="Arial" w:hint="cs"/>
          <w:rtl/>
        </w:rPr>
        <w:t xml:space="preserve">- </w:t>
      </w:r>
      <w:r w:rsidRPr="00DC27D1">
        <w:rPr>
          <w:rFonts w:cs="Arial"/>
          <w:rtl/>
        </w:rPr>
        <w:t>יראה לי שהגוי נוטל לבדו שביע השכר והשאר חולקין</w:t>
      </w:r>
      <w:r>
        <w:rPr>
          <w:rStyle w:val="a9"/>
          <w:rFonts w:cs="Arial"/>
          <w:rtl/>
        </w:rPr>
        <w:footnoteReference w:id="84"/>
      </w:r>
      <w:r w:rsidRPr="00DC27D1">
        <w:rPr>
          <w:rFonts w:cs="Arial" w:hint="cs"/>
          <w:rtl/>
        </w:rPr>
        <w:t>.</w:t>
      </w:r>
      <w:r w:rsidRPr="00DC27D1">
        <w:rPr>
          <w:rFonts w:cs="Arial"/>
          <w:rtl/>
        </w:rPr>
        <w:t xml:space="preserve"> </w:t>
      </w:r>
      <w:r w:rsidRPr="0099728C">
        <w:rPr>
          <w:rFonts w:cs="Arial" w:hint="cs"/>
          <w:color w:val="E36C0A" w:themeColor="accent6" w:themeShade="BF"/>
          <w:rtl/>
        </w:rPr>
        <w:t>(וכ</w:t>
      </w:r>
      <w:r>
        <w:rPr>
          <w:rFonts w:cs="Arial" w:hint="cs"/>
          <w:color w:val="E36C0A" w:themeColor="accent6" w:themeShade="BF"/>
          <w:rtl/>
        </w:rPr>
        <w:t>"</w:t>
      </w:r>
      <w:r w:rsidRPr="0099728C">
        <w:rPr>
          <w:rFonts w:cs="Arial" w:hint="cs"/>
          <w:color w:val="E36C0A" w:themeColor="accent6" w:themeShade="BF"/>
          <w:rtl/>
        </w:rPr>
        <w:t>פ בשו"ע)</w:t>
      </w:r>
    </w:p>
    <w:p w14:paraId="7FEF17E0" w14:textId="77777777" w:rsidR="004B2E7C" w:rsidRDefault="004B2E7C" w:rsidP="00434A6A">
      <w:pPr>
        <w:rPr>
          <w:rFonts w:cs="Arial"/>
          <w:rtl/>
        </w:rPr>
      </w:pPr>
      <w:r w:rsidRPr="006479C1">
        <w:rPr>
          <w:rFonts w:cs="Arial"/>
          <w:u w:val="single"/>
          <w:rtl/>
        </w:rPr>
        <w:t>גוף התנור של ישראל</w:t>
      </w:r>
      <w:r w:rsidRPr="006479C1">
        <w:rPr>
          <w:rFonts w:cs="Arial" w:hint="cs"/>
          <w:u w:val="single"/>
          <w:rtl/>
        </w:rPr>
        <w:t>,</w:t>
      </w:r>
      <w:r w:rsidRPr="006479C1">
        <w:rPr>
          <w:rFonts w:cs="Arial"/>
          <w:u w:val="single"/>
          <w:rtl/>
        </w:rPr>
        <w:t xml:space="preserve"> והאופה המסיקו נוטל חלקו בתנור</w:t>
      </w:r>
      <w:r>
        <w:rPr>
          <w:rFonts w:cs="Arial" w:hint="cs"/>
          <w:u w:val="single"/>
          <w:rtl/>
        </w:rPr>
        <w:t xml:space="preserve"> -</w:t>
      </w:r>
      <w:r w:rsidRPr="006479C1">
        <w:rPr>
          <w:rFonts w:cs="Arial"/>
          <w:u w:val="single"/>
          <w:rtl/>
        </w:rPr>
        <w:t xml:space="preserve"> היהודי נוטל כך וכך ימים</w:t>
      </w:r>
      <w:r w:rsidRPr="006479C1">
        <w:rPr>
          <w:rFonts w:cs="Arial" w:hint="cs"/>
          <w:u w:val="single"/>
          <w:rtl/>
        </w:rPr>
        <w:t>,</w:t>
      </w:r>
      <w:r w:rsidRPr="006479C1">
        <w:rPr>
          <w:rFonts w:cs="Arial"/>
          <w:u w:val="single"/>
          <w:rtl/>
        </w:rPr>
        <w:t xml:space="preserve"> והאופה נוטל כך וכך ימים</w:t>
      </w:r>
      <w:r w:rsidRPr="006479C1">
        <w:rPr>
          <w:rFonts w:cs="Arial" w:hint="cs"/>
          <w:u w:val="single"/>
          <w:rtl/>
        </w:rPr>
        <w:t>:</w:t>
      </w:r>
      <w:r>
        <w:rPr>
          <w:rFonts w:cs="Arial"/>
          <w:rtl/>
        </w:rPr>
        <w:t xml:space="preserve"> </w:t>
      </w:r>
    </w:p>
    <w:p w14:paraId="1273D6ED" w14:textId="77777777" w:rsidR="004B2E7C" w:rsidRPr="004F1E8E" w:rsidRDefault="004B2E7C" w:rsidP="00FF2D21">
      <w:pPr>
        <w:pStyle w:val="aa"/>
        <w:numPr>
          <w:ilvl w:val="0"/>
          <w:numId w:val="103"/>
        </w:numPr>
      </w:pPr>
      <w:r w:rsidRPr="006479C1">
        <w:rPr>
          <w:rFonts w:cs="Arial"/>
          <w:rtl/>
        </w:rPr>
        <w:t xml:space="preserve">הר"ר אלחנן </w:t>
      </w:r>
      <w:r>
        <w:rPr>
          <w:rFonts w:cs="Arial" w:hint="cs"/>
          <w:sz w:val="16"/>
          <w:szCs w:val="16"/>
          <w:rtl/>
        </w:rPr>
        <w:t>(כ"כ בשמו התוס' [ע"ז כב. ד"ה לא יאמר])</w:t>
      </w:r>
      <w:r>
        <w:rPr>
          <w:rFonts w:cs="Arial" w:hint="cs"/>
          <w:rtl/>
        </w:rPr>
        <w:t xml:space="preserve">- </w:t>
      </w:r>
      <w:r w:rsidRPr="006479C1">
        <w:rPr>
          <w:rFonts w:cs="Arial"/>
          <w:rtl/>
        </w:rPr>
        <w:t>בתנור אפי</w:t>
      </w:r>
      <w:r>
        <w:rPr>
          <w:rFonts w:cs="Arial" w:hint="cs"/>
          <w:rtl/>
        </w:rPr>
        <w:t>לו</w:t>
      </w:r>
      <w:r w:rsidRPr="006479C1">
        <w:rPr>
          <w:rFonts w:cs="Arial"/>
          <w:rtl/>
        </w:rPr>
        <w:t xml:space="preserve"> התנו מתחלה לא יועיל כיון שכל התנור של ישראל הוא וה"ל כמשכיר תנורו בשבת ואומר ל</w:t>
      </w:r>
      <w:r>
        <w:rPr>
          <w:rFonts w:cs="Arial" w:hint="cs"/>
          <w:rtl/>
        </w:rPr>
        <w:t>גוי</w:t>
      </w:r>
      <w:r w:rsidRPr="006479C1">
        <w:rPr>
          <w:rFonts w:cs="Arial"/>
          <w:rtl/>
        </w:rPr>
        <w:t xml:space="preserve"> טול שכר תנורי בשבת כשתסיקנו לי בחול</w:t>
      </w:r>
      <w:r>
        <w:rPr>
          <w:rFonts w:cs="Arial" w:hint="cs"/>
          <w:rtl/>
        </w:rPr>
        <w:t>.</w:t>
      </w:r>
      <w:r w:rsidRPr="006479C1">
        <w:rPr>
          <w:rFonts w:cs="Arial"/>
          <w:rtl/>
        </w:rPr>
        <w:t xml:space="preserve"> ולא דמי לישראל ו</w:t>
      </w:r>
      <w:r>
        <w:rPr>
          <w:rFonts w:cs="Arial" w:hint="cs"/>
          <w:rtl/>
        </w:rPr>
        <w:t>גוי</w:t>
      </w:r>
      <w:r w:rsidRPr="006479C1">
        <w:rPr>
          <w:rFonts w:cs="Arial"/>
          <w:rtl/>
        </w:rPr>
        <w:t xml:space="preserve"> שלקחו שדה בשותפות שיש </w:t>
      </w:r>
      <w:r>
        <w:rPr>
          <w:rFonts w:cs="Arial" w:hint="cs"/>
          <w:rtl/>
        </w:rPr>
        <w:t>לגוי</w:t>
      </w:r>
      <w:r w:rsidRPr="006479C1">
        <w:rPr>
          <w:rFonts w:cs="Arial"/>
          <w:rtl/>
        </w:rPr>
        <w:t xml:space="preserve"> חלק בגוף הקרקע</w:t>
      </w:r>
      <w:r>
        <w:rPr>
          <w:rStyle w:val="a9"/>
          <w:rFonts w:cs="Arial"/>
          <w:rtl/>
        </w:rPr>
        <w:footnoteReference w:id="85"/>
      </w:r>
      <w:r>
        <w:rPr>
          <w:rFonts w:cs="Arial" w:hint="cs"/>
          <w:rtl/>
        </w:rPr>
        <w:t>.</w:t>
      </w:r>
    </w:p>
    <w:p w14:paraId="010900F7" w14:textId="77777777" w:rsidR="004B2E7C" w:rsidRPr="004F1E8E" w:rsidRDefault="004B2E7C" w:rsidP="00434A6A">
      <w:pPr>
        <w:rPr>
          <w:u w:val="single"/>
        </w:rPr>
      </w:pPr>
      <w:r w:rsidRPr="004F1E8E">
        <w:rPr>
          <w:rFonts w:cs="Arial"/>
          <w:u w:val="single"/>
          <w:rtl/>
        </w:rPr>
        <w:t xml:space="preserve">ישראל וגוי </w:t>
      </w:r>
      <w:r>
        <w:rPr>
          <w:rFonts w:cs="Arial" w:hint="cs"/>
          <w:u w:val="single"/>
          <w:rtl/>
        </w:rPr>
        <w:t xml:space="preserve">לקחו מרחץ </w:t>
      </w:r>
      <w:r w:rsidRPr="004F1E8E">
        <w:rPr>
          <w:rFonts w:cs="Arial"/>
          <w:u w:val="single"/>
          <w:rtl/>
        </w:rPr>
        <w:t>בשותפות</w:t>
      </w:r>
      <w:r w:rsidRPr="004F1E8E">
        <w:rPr>
          <w:rFonts w:cs="Arial" w:hint="cs"/>
          <w:u w:val="single"/>
          <w:rtl/>
        </w:rPr>
        <w:t>,</w:t>
      </w:r>
      <w:r w:rsidRPr="004F1E8E">
        <w:rPr>
          <w:rFonts w:cs="Arial"/>
          <w:u w:val="single"/>
          <w:rtl/>
        </w:rPr>
        <w:t xml:space="preserve"> </w:t>
      </w:r>
      <w:r>
        <w:rPr>
          <w:rFonts w:cs="Arial" w:hint="cs"/>
          <w:u w:val="single"/>
          <w:rtl/>
        </w:rPr>
        <w:t>ה</w:t>
      </w:r>
      <w:r w:rsidRPr="004F1E8E">
        <w:rPr>
          <w:rFonts w:cs="Arial"/>
          <w:u w:val="single"/>
          <w:rtl/>
        </w:rPr>
        <w:t xml:space="preserve">גוי מחממו בשבת ונותן מחצית </w:t>
      </w:r>
      <w:r>
        <w:rPr>
          <w:rFonts w:cs="Arial" w:hint="cs"/>
          <w:u w:val="single"/>
          <w:rtl/>
        </w:rPr>
        <w:t>הריוח</w:t>
      </w:r>
      <w:r w:rsidRPr="004F1E8E">
        <w:rPr>
          <w:rFonts w:cs="Arial"/>
          <w:u w:val="single"/>
          <w:rtl/>
        </w:rPr>
        <w:t xml:space="preserve"> לישראל</w:t>
      </w:r>
      <w:r w:rsidRPr="004F1E8E">
        <w:rPr>
          <w:rFonts w:cs="Arial" w:hint="cs"/>
          <w:u w:val="single"/>
          <w:rtl/>
        </w:rPr>
        <w:t>,</w:t>
      </w:r>
      <w:r w:rsidRPr="004F1E8E">
        <w:rPr>
          <w:rFonts w:cs="Arial"/>
          <w:u w:val="single"/>
          <w:rtl/>
        </w:rPr>
        <w:t xml:space="preserve"> ובי</w:t>
      </w:r>
      <w:r>
        <w:rPr>
          <w:rFonts w:cs="Arial" w:hint="cs"/>
          <w:u w:val="single"/>
          <w:rtl/>
        </w:rPr>
        <w:t>מי</w:t>
      </w:r>
      <w:r w:rsidRPr="004F1E8E">
        <w:rPr>
          <w:rFonts w:cs="Arial"/>
          <w:u w:val="single"/>
          <w:rtl/>
        </w:rPr>
        <w:t xml:space="preserve"> החול שניהם מחממים אותו</w:t>
      </w:r>
      <w:r w:rsidRPr="004F1E8E">
        <w:rPr>
          <w:rFonts w:hint="cs"/>
          <w:u w:val="single"/>
          <w:rtl/>
        </w:rPr>
        <w:t>:</w:t>
      </w:r>
    </w:p>
    <w:p w14:paraId="5176C66A" w14:textId="77777777" w:rsidR="004B2E7C" w:rsidRPr="00E34B4E" w:rsidRDefault="004B2E7C" w:rsidP="00FF2D21">
      <w:pPr>
        <w:pStyle w:val="aa"/>
        <w:numPr>
          <w:ilvl w:val="0"/>
          <w:numId w:val="103"/>
        </w:numPr>
        <w:rPr>
          <w:rtl/>
        </w:rPr>
      </w:pPr>
      <w:r w:rsidRPr="004F1E8E">
        <w:rPr>
          <w:rFonts w:cs="Arial"/>
          <w:rtl/>
        </w:rPr>
        <w:t>ר"ן</w:t>
      </w:r>
      <w:r w:rsidRPr="004F1E8E">
        <w:rPr>
          <w:rFonts w:cs="Arial" w:hint="cs"/>
          <w:rtl/>
        </w:rPr>
        <w:t xml:space="preserve"> </w:t>
      </w:r>
      <w:r w:rsidRPr="004F1E8E">
        <w:rPr>
          <w:rFonts w:cs="Arial" w:hint="cs"/>
          <w:sz w:val="16"/>
          <w:szCs w:val="16"/>
          <w:rtl/>
        </w:rPr>
        <w:t xml:space="preserve">(ספ"ק דע"ז </w:t>
      </w:r>
      <w:r w:rsidRPr="004F1E8E">
        <w:rPr>
          <w:rFonts w:cs="Arial"/>
          <w:sz w:val="16"/>
          <w:szCs w:val="16"/>
          <w:rtl/>
        </w:rPr>
        <w:t>ו: ד"ה ומהא)</w:t>
      </w:r>
      <w:r w:rsidRPr="004F1E8E">
        <w:rPr>
          <w:rFonts w:cs="Arial" w:hint="cs"/>
          <w:rtl/>
        </w:rPr>
        <w:t xml:space="preserve">- </w:t>
      </w:r>
      <w:r w:rsidRPr="004F1E8E">
        <w:rPr>
          <w:rFonts w:cs="Arial"/>
          <w:rtl/>
        </w:rPr>
        <w:t>מרחץ שלקחוהו ישראל וגוי בשותפות</w:t>
      </w:r>
      <w:r w:rsidRPr="004F1E8E">
        <w:rPr>
          <w:rFonts w:cs="Arial" w:hint="cs"/>
          <w:rtl/>
        </w:rPr>
        <w:t>,</w:t>
      </w:r>
      <w:r w:rsidRPr="004F1E8E">
        <w:rPr>
          <w:rFonts w:cs="Arial"/>
          <w:rtl/>
        </w:rPr>
        <w:t xml:space="preserve"> וגוי מחממו בשבת בשביל חלקו ונותן מחצית מה שמשתכר בו לישראל</w:t>
      </w:r>
      <w:r w:rsidRPr="004F1E8E">
        <w:rPr>
          <w:rFonts w:cs="Arial" w:hint="cs"/>
          <w:rtl/>
        </w:rPr>
        <w:t>,</w:t>
      </w:r>
      <w:r w:rsidRPr="004F1E8E">
        <w:rPr>
          <w:rFonts w:cs="Arial"/>
          <w:rtl/>
        </w:rPr>
        <w:t xml:space="preserve"> ובימות החול שניהם מחממים אותו</w:t>
      </w:r>
      <w:r w:rsidRPr="004F1E8E">
        <w:rPr>
          <w:rFonts w:cs="Arial" w:hint="cs"/>
          <w:rtl/>
        </w:rPr>
        <w:t xml:space="preserve"> -</w:t>
      </w:r>
      <w:r w:rsidRPr="004F1E8E">
        <w:rPr>
          <w:rFonts w:cs="Arial"/>
          <w:rtl/>
        </w:rPr>
        <w:t xml:space="preserve"> נראה לי דשרי</w:t>
      </w:r>
      <w:r w:rsidRPr="004F1E8E">
        <w:rPr>
          <w:rFonts w:cs="Arial" w:hint="cs"/>
          <w:rtl/>
        </w:rPr>
        <w:t>,</w:t>
      </w:r>
      <w:r w:rsidRPr="004F1E8E">
        <w:rPr>
          <w:rFonts w:cs="Arial"/>
          <w:rtl/>
        </w:rPr>
        <w:t xml:space="preserve"> דגוי אדעתא דמחצה שלו קא עביד אע</w:t>
      </w:r>
      <w:r w:rsidRPr="004F1E8E">
        <w:rPr>
          <w:rFonts w:cs="Arial" w:hint="cs"/>
          <w:rtl/>
        </w:rPr>
        <w:t>"</w:t>
      </w:r>
      <w:r w:rsidRPr="004F1E8E">
        <w:rPr>
          <w:rFonts w:cs="Arial"/>
          <w:rtl/>
        </w:rPr>
        <w:t>פ שישראל משתכר במלאכה שלו ה"ל כבעל שדה לגבי אריס דאמרינן דכיון דאריס אדעתא דנפשיה עביד אע</w:t>
      </w:r>
      <w:r w:rsidRPr="004F1E8E">
        <w:rPr>
          <w:rFonts w:cs="Arial" w:hint="cs"/>
          <w:rtl/>
        </w:rPr>
        <w:t>"</w:t>
      </w:r>
      <w:r w:rsidRPr="004F1E8E">
        <w:rPr>
          <w:rFonts w:cs="Arial"/>
          <w:rtl/>
        </w:rPr>
        <w:t>ג דמטי ליה לישראל רווחא שרי וליכא משום שכר שבת כלל</w:t>
      </w:r>
      <w:r w:rsidRPr="004F1E8E">
        <w:rPr>
          <w:rFonts w:cs="Arial" w:hint="cs"/>
          <w:rtl/>
        </w:rPr>
        <w:t>.</w:t>
      </w:r>
      <w:r w:rsidRPr="004F1E8E">
        <w:rPr>
          <w:rFonts w:cs="Arial"/>
          <w:rtl/>
        </w:rPr>
        <w:t xml:space="preserve"> וגם ליכא מפני שהיא נקראת על שמו דכיון שהכל יודעין שמרחץ זה יש לגוי חלק בו ה"ל כשדה דכיון דעביד לאריסותא אמרי אריסותיה הוא דעביד</w:t>
      </w:r>
      <w:r>
        <w:rPr>
          <w:rStyle w:val="a9"/>
          <w:rFonts w:cs="Arial"/>
          <w:rtl/>
        </w:rPr>
        <w:footnoteReference w:id="86"/>
      </w:r>
      <w:r w:rsidRPr="004F1E8E">
        <w:rPr>
          <w:rFonts w:cs="Arial" w:hint="cs"/>
          <w:rtl/>
        </w:rPr>
        <w:t>.</w:t>
      </w:r>
      <w:r w:rsidRPr="004F1E8E">
        <w:rPr>
          <w:rFonts w:cs="Arial"/>
          <w:rtl/>
        </w:rPr>
        <w:t xml:space="preserve"> ולא תיקשי לך מההיא דתניא בדמאי </w:t>
      </w:r>
      <w:r w:rsidRPr="004F1E8E">
        <w:rPr>
          <w:rFonts w:cs="Arial"/>
          <w:sz w:val="16"/>
          <w:szCs w:val="16"/>
          <w:rtl/>
        </w:rPr>
        <w:t xml:space="preserve">(תוספתא פ"ו הי"ג) </w:t>
      </w:r>
      <w:r w:rsidRPr="004F1E8E">
        <w:rPr>
          <w:rFonts w:cs="Arial"/>
          <w:rtl/>
        </w:rPr>
        <w:t>ישראל וגוי שלקחו שדה או מרחץ בשותפות לא יאמר לו טול חלקך בשבת וכו'</w:t>
      </w:r>
      <w:r w:rsidRPr="004F1E8E">
        <w:rPr>
          <w:rFonts w:cs="Arial" w:hint="cs"/>
          <w:rtl/>
        </w:rPr>
        <w:t>,</w:t>
      </w:r>
      <w:r w:rsidRPr="004F1E8E">
        <w:rPr>
          <w:rFonts w:cs="Arial"/>
          <w:rtl/>
        </w:rPr>
        <w:t xml:space="preserve"> דהתם כיון שישראל נוטל בחול כנגדו נמצא שנעשה הגוי שלוחו בשבת</w:t>
      </w:r>
      <w:r w:rsidRPr="004F1E8E">
        <w:rPr>
          <w:rFonts w:cs="Arial" w:hint="cs"/>
          <w:rtl/>
        </w:rPr>
        <w:t>,</w:t>
      </w:r>
      <w:r w:rsidRPr="004F1E8E">
        <w:rPr>
          <w:rFonts w:cs="Arial"/>
          <w:rtl/>
        </w:rPr>
        <w:t xml:space="preserve"> אבל הכא ששניהם מחממים בחול את המרחץ כשהגוי מחממו בשבת לאו שליחותא דישראל קא עביד אלא אדעתא דנפשיה קא טרח כאריס וישראל מטי ליה הנאה ממילא</w:t>
      </w:r>
      <w:r w:rsidRPr="004F1E8E">
        <w:rPr>
          <w:rFonts w:cs="Arial" w:hint="cs"/>
          <w:rtl/>
        </w:rPr>
        <w:t>.</w:t>
      </w:r>
      <w:r w:rsidRPr="004F1E8E">
        <w:rPr>
          <w:rFonts w:cs="Arial"/>
          <w:rtl/>
        </w:rPr>
        <w:t xml:space="preserve"> ומכל מקום דוקא ליקח מה שנשתכר המרחץ בשבת בהבלעת שאר ימים</w:t>
      </w:r>
      <w:r w:rsidRPr="004F1E8E">
        <w:rPr>
          <w:rFonts w:cs="Arial" w:hint="cs"/>
          <w:rtl/>
        </w:rPr>
        <w:t>,</w:t>
      </w:r>
      <w:r w:rsidRPr="004F1E8E">
        <w:rPr>
          <w:rFonts w:cs="Arial"/>
          <w:rtl/>
        </w:rPr>
        <w:t xml:space="preserve"> אבל אם בפני עצמו לוקח </w:t>
      </w:r>
      <w:r w:rsidRPr="004F1E8E">
        <w:rPr>
          <w:rFonts w:cs="Arial" w:hint="cs"/>
          <w:rtl/>
        </w:rPr>
        <w:t xml:space="preserve">- </w:t>
      </w:r>
      <w:r w:rsidRPr="004F1E8E">
        <w:rPr>
          <w:rFonts w:cs="Arial"/>
          <w:rtl/>
        </w:rPr>
        <w:t>לא</w:t>
      </w:r>
      <w:r w:rsidRPr="004F1E8E">
        <w:rPr>
          <w:rFonts w:cs="Arial" w:hint="cs"/>
          <w:rtl/>
        </w:rPr>
        <w:t>,</w:t>
      </w:r>
      <w:r w:rsidRPr="004F1E8E">
        <w:rPr>
          <w:rFonts w:cs="Arial"/>
          <w:rtl/>
        </w:rPr>
        <w:t xml:space="preserve"> ואע</w:t>
      </w:r>
      <w:r w:rsidRPr="004F1E8E">
        <w:rPr>
          <w:rFonts w:cs="Arial" w:hint="cs"/>
          <w:rtl/>
        </w:rPr>
        <w:t>"</w:t>
      </w:r>
      <w:r w:rsidRPr="004F1E8E">
        <w:rPr>
          <w:rFonts w:cs="Arial"/>
          <w:rtl/>
        </w:rPr>
        <w:t>ג דבהיתרא אתא לידיה מיחזי כשכר שבת</w:t>
      </w:r>
      <w:r>
        <w:rPr>
          <w:rStyle w:val="a9"/>
          <w:rFonts w:cs="Arial"/>
          <w:rtl/>
        </w:rPr>
        <w:footnoteReference w:id="87"/>
      </w:r>
      <w:r w:rsidRPr="004F1E8E">
        <w:rPr>
          <w:rFonts w:cs="Arial"/>
          <w:rtl/>
        </w:rPr>
        <w:t xml:space="preserve">. </w:t>
      </w:r>
      <w:r w:rsidRPr="00C83005">
        <w:rPr>
          <w:rFonts w:hint="cs"/>
          <w:color w:val="00B0F0"/>
          <w:rtl/>
        </w:rPr>
        <w:t>(וכ"פ הרמ"א)</w:t>
      </w:r>
    </w:p>
    <w:p w14:paraId="54A6C3AC"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CAD89C2" w14:textId="77777777" w:rsidR="004B2E7C" w:rsidRDefault="004B2E7C" w:rsidP="00434A6A">
      <w:pPr>
        <w:rPr>
          <w:rtl/>
        </w:rPr>
      </w:pPr>
      <w:r>
        <w:rPr>
          <w:rFonts w:cs="Arial"/>
          <w:rtl/>
        </w:rPr>
        <w:t>ישראל וגוי שיש להם שדה או תנור</w:t>
      </w:r>
      <w:r>
        <w:rPr>
          <w:rStyle w:val="a9"/>
          <w:rFonts w:cs="Arial"/>
          <w:rtl/>
        </w:rPr>
        <w:footnoteReference w:id="88"/>
      </w:r>
      <w:r>
        <w:rPr>
          <w:rFonts w:cs="Arial"/>
          <w:rtl/>
        </w:rPr>
        <w:t xml:space="preserve"> או מרחץ או רחיים של מים בשותפות, או שהם שותפין בחנות בסחורה, אם התנו מתחלה בשעה שבאו להשתתף שיהיה שכר השבת לגוי לבדו, אם מעט ואם הרבה</w:t>
      </w:r>
      <w:r>
        <w:rPr>
          <w:rStyle w:val="a9"/>
          <w:rFonts w:cs="Arial"/>
          <w:rtl/>
        </w:rPr>
        <w:footnoteReference w:id="89"/>
      </w:r>
      <w:r>
        <w:rPr>
          <w:rFonts w:cs="Arial"/>
          <w:rtl/>
        </w:rPr>
        <w:t>, ושכר יום א' כנגד יום השבת לישראל לבדו, מותר. ואם לא התנו בתחלה</w:t>
      </w:r>
      <w:r>
        <w:rPr>
          <w:rStyle w:val="a9"/>
          <w:rFonts w:cs="Arial"/>
          <w:rtl/>
        </w:rPr>
        <w:footnoteReference w:id="90"/>
      </w:r>
      <w:r>
        <w:rPr>
          <w:rFonts w:cs="Arial"/>
          <w:rtl/>
        </w:rPr>
        <w:t>, כשיבואו לחלוק נוטל גוי שכר השבתות כולם, והשאר חולקים אותו</w:t>
      </w:r>
      <w:r>
        <w:rPr>
          <w:rFonts w:cs="Arial" w:hint="cs"/>
          <w:rtl/>
        </w:rPr>
        <w:t>.</w:t>
      </w:r>
      <w:r>
        <w:rPr>
          <w:rFonts w:cs="Arial"/>
          <w:rtl/>
        </w:rPr>
        <w:t xml:space="preserve"> ואם לא היה שכר השבת ידוע, יטול הגוי לבדו שביעית השכר, וחולקים השאר. </w:t>
      </w:r>
      <w:r w:rsidRPr="00BA5710">
        <w:rPr>
          <w:rFonts w:cs="Arial"/>
          <w:sz w:val="18"/>
          <w:szCs w:val="18"/>
          <w:rtl/>
        </w:rPr>
        <w:t>הגה: ויש מתירין השכר בדיעבד, אפילו לא התנו וחלקו סתם</w:t>
      </w:r>
      <w:r>
        <w:rPr>
          <w:rStyle w:val="a9"/>
          <w:rFonts w:cs="Arial"/>
          <w:sz w:val="18"/>
          <w:szCs w:val="18"/>
          <w:rtl/>
        </w:rPr>
        <w:footnoteReference w:id="91"/>
      </w:r>
      <w:r w:rsidRPr="00BA5710">
        <w:rPr>
          <w:rFonts w:cs="Arial"/>
          <w:sz w:val="18"/>
          <w:szCs w:val="18"/>
          <w:rtl/>
        </w:rPr>
        <w:t xml:space="preserve"> (רא"ש ור</w:t>
      </w:r>
      <w:r>
        <w:rPr>
          <w:rFonts w:cs="Arial" w:hint="cs"/>
          <w:sz w:val="18"/>
          <w:szCs w:val="18"/>
          <w:rtl/>
        </w:rPr>
        <w:t>י"ו</w:t>
      </w:r>
      <w:r w:rsidRPr="00BA5710">
        <w:rPr>
          <w:rFonts w:cs="Arial"/>
          <w:sz w:val="18"/>
          <w:szCs w:val="18"/>
          <w:rtl/>
        </w:rPr>
        <w:t>). ונ"ל דבהפסד גדול יש לסמוך עלייהו</w:t>
      </w:r>
      <w:r>
        <w:rPr>
          <w:rFonts w:cs="Arial" w:hint="cs"/>
          <w:sz w:val="18"/>
          <w:szCs w:val="18"/>
          <w:rtl/>
        </w:rPr>
        <w:t>.</w:t>
      </w:r>
      <w:r w:rsidRPr="00BA5710">
        <w:rPr>
          <w:rFonts w:cs="Arial"/>
          <w:sz w:val="18"/>
          <w:szCs w:val="18"/>
          <w:rtl/>
        </w:rPr>
        <w:t xml:space="preserve"> וי"א שכל זה לא מיירי אלא בשותפות שכל אחד עוסק ביומו (ב"י), אבל כששניהם עוסקים ביחד כל ימי החול, ובשבת עסק הגוי לבדו, מותר לחלוק עמו כל השכר, דגוי אדעתא דנפשיה קא עביד, ואין הישראל נהנה במלאכתו בשבת, כיון שאין המלאכה מוטלת עליו לעשות</w:t>
      </w:r>
      <w:r>
        <w:rPr>
          <w:rFonts w:cs="Arial" w:hint="cs"/>
          <w:sz w:val="18"/>
          <w:szCs w:val="18"/>
          <w:rtl/>
        </w:rPr>
        <w:t>.</w:t>
      </w:r>
      <w:r w:rsidRPr="00BA5710">
        <w:rPr>
          <w:rFonts w:cs="Arial"/>
          <w:sz w:val="18"/>
          <w:szCs w:val="18"/>
          <w:rtl/>
        </w:rPr>
        <w:t xml:space="preserve"> ומ"מ לא יטול שכר שבת אלא בהבלעה עם שאר הימים (ר"ן פ"ק דשבת </w:t>
      </w:r>
      <w:r>
        <w:rPr>
          <w:rFonts w:cs="Arial" w:hint="cs"/>
          <w:sz w:val="18"/>
          <w:szCs w:val="18"/>
          <w:rtl/>
        </w:rPr>
        <w:t>ו</w:t>
      </w:r>
      <w:r w:rsidRPr="00BA5710">
        <w:rPr>
          <w:rFonts w:cs="Arial"/>
          <w:sz w:val="18"/>
          <w:szCs w:val="18"/>
          <w:rtl/>
        </w:rPr>
        <w:t>ס</w:t>
      </w:r>
      <w:r>
        <w:rPr>
          <w:rFonts w:cs="Arial" w:hint="cs"/>
          <w:sz w:val="18"/>
          <w:szCs w:val="18"/>
          <w:rtl/>
        </w:rPr>
        <w:t>"פ</w:t>
      </w:r>
      <w:r w:rsidRPr="00BA5710">
        <w:rPr>
          <w:rFonts w:cs="Arial"/>
          <w:sz w:val="18"/>
          <w:szCs w:val="18"/>
          <w:rtl/>
        </w:rPr>
        <w:t xml:space="preserve"> כל כתבי).</w:t>
      </w:r>
      <w:r>
        <w:rPr>
          <w:rFonts w:cs="Arial"/>
          <w:rtl/>
        </w:rPr>
        <w:t xml:space="preserve"> </w:t>
      </w:r>
    </w:p>
    <w:p w14:paraId="488A9D03" w14:textId="77777777" w:rsidR="004B2E7C" w:rsidRDefault="004B2E7C" w:rsidP="00434A6A">
      <w:pPr>
        <w:rPr>
          <w:rtl/>
        </w:rPr>
      </w:pPr>
    </w:p>
    <w:p w14:paraId="08B64526" w14:textId="77777777" w:rsidR="004B2E7C" w:rsidRDefault="004B2E7C" w:rsidP="00434A6A">
      <w:pPr>
        <w:pStyle w:val="2"/>
        <w:rPr>
          <w:rtl/>
        </w:rPr>
      </w:pPr>
      <w:r>
        <w:rPr>
          <w:rtl/>
        </w:rPr>
        <w:t>סעיף ב</w:t>
      </w:r>
      <w:r>
        <w:rPr>
          <w:rFonts w:hint="cs"/>
          <w:rtl/>
        </w:rPr>
        <w:t>: התנו מתחילה, אבל הגוי נתרצה לחלוק בשוה.</w:t>
      </w:r>
    </w:p>
    <w:p w14:paraId="53877A1A" w14:textId="77777777" w:rsidR="004B2E7C" w:rsidRPr="00FA6D11" w:rsidRDefault="004B2E7C" w:rsidP="00434A6A">
      <w:pPr>
        <w:rPr>
          <w:u w:val="single"/>
          <w:rtl/>
        </w:rPr>
      </w:pPr>
      <w:r w:rsidRPr="00FA6D11">
        <w:rPr>
          <w:rFonts w:hint="cs"/>
          <w:u w:val="single"/>
          <w:rtl/>
        </w:rPr>
        <w:t>התנו מתחילה, אבל הגוי נתרצה לחלוק בשוה:</w:t>
      </w:r>
    </w:p>
    <w:p w14:paraId="0F64133C" w14:textId="77777777" w:rsidR="004B2E7C" w:rsidRPr="00FA6D11" w:rsidRDefault="004B2E7C" w:rsidP="00FF2D21">
      <w:pPr>
        <w:pStyle w:val="aa"/>
        <w:numPr>
          <w:ilvl w:val="0"/>
          <w:numId w:val="103"/>
        </w:numPr>
      </w:pPr>
      <w:r w:rsidRPr="00FA6D11">
        <w:rPr>
          <w:rFonts w:cs="Arial"/>
          <w:rtl/>
        </w:rPr>
        <w:t>מהר"י אבוהב</w:t>
      </w:r>
      <w:r w:rsidRPr="00FA6D11">
        <w:rPr>
          <w:rFonts w:cs="Arial" w:hint="cs"/>
          <w:sz w:val="16"/>
          <w:szCs w:val="16"/>
          <w:rtl/>
        </w:rPr>
        <w:t xml:space="preserve"> (כ"כ הב"י בשמו)</w:t>
      </w:r>
      <w:r w:rsidRPr="00FA6D11">
        <w:rPr>
          <w:rFonts w:cs="Arial" w:hint="cs"/>
          <w:rtl/>
        </w:rPr>
        <w:t xml:space="preserve">- </w:t>
      </w:r>
      <w:r w:rsidRPr="00FA6D11">
        <w:rPr>
          <w:rFonts w:cs="Arial"/>
          <w:rtl/>
        </w:rPr>
        <w:t xml:space="preserve">לדברי הפוסקים לחומרא יש להסתפק היכא שהתנו מתחלה ואח"כ חלקו סתם אם הוא מותר. </w:t>
      </w:r>
    </w:p>
    <w:p w14:paraId="0D42ABD5" w14:textId="77777777" w:rsidR="004B2E7C" w:rsidRPr="007F0059" w:rsidRDefault="004B2E7C" w:rsidP="00FF2D21">
      <w:pPr>
        <w:pStyle w:val="aa"/>
        <w:numPr>
          <w:ilvl w:val="0"/>
          <w:numId w:val="103"/>
        </w:numPr>
        <w:rPr>
          <w:rtl/>
        </w:rPr>
      </w:pPr>
      <w:r>
        <w:rPr>
          <w:rFonts w:cs="Arial" w:hint="cs"/>
          <w:rtl/>
        </w:rPr>
        <w:t xml:space="preserve">ב"י- </w:t>
      </w:r>
      <w:r w:rsidRPr="00FA6D11">
        <w:rPr>
          <w:rFonts w:cs="Arial"/>
          <w:rtl/>
        </w:rPr>
        <w:t>מדחזינן דהרמב"ם שסובר בבעיא זו לחומרא פירש דאם באו לחשבון א</w:t>
      </w:r>
      <w:r>
        <w:rPr>
          <w:rFonts w:cs="Arial" w:hint="cs"/>
          <w:rtl/>
        </w:rPr>
        <w:t>-'</w:t>
      </w:r>
      <w:r w:rsidRPr="00FA6D11">
        <w:rPr>
          <w:rFonts w:cs="Arial"/>
          <w:rtl/>
        </w:rPr>
        <w:t>לא התנו</w:t>
      </w:r>
      <w:r>
        <w:rPr>
          <w:rFonts w:cs="Arial" w:hint="cs"/>
          <w:rtl/>
        </w:rPr>
        <w:t>'</w:t>
      </w:r>
      <w:r w:rsidRPr="00FA6D11">
        <w:rPr>
          <w:rFonts w:cs="Arial"/>
          <w:rtl/>
        </w:rPr>
        <w:t xml:space="preserve"> קאי</w:t>
      </w:r>
      <w:r>
        <w:rPr>
          <w:rFonts w:cs="Arial" w:hint="cs"/>
          <w:rtl/>
        </w:rPr>
        <w:t>,</w:t>
      </w:r>
      <w:r w:rsidRPr="00FA6D11">
        <w:rPr>
          <w:rFonts w:cs="Arial"/>
          <w:rtl/>
        </w:rPr>
        <w:t xml:space="preserve"> ולא אהתנו כדפירש הראב"ד</w:t>
      </w:r>
      <w:r>
        <w:rPr>
          <w:rFonts w:cs="Arial" w:hint="cs"/>
          <w:rtl/>
        </w:rPr>
        <w:t>,</w:t>
      </w:r>
      <w:r w:rsidRPr="00FA6D11">
        <w:rPr>
          <w:rFonts w:cs="Arial"/>
          <w:rtl/>
        </w:rPr>
        <w:t xml:space="preserve"> ממילא שמעינן שהכל תלוי בהתנו ולא התנו</w:t>
      </w:r>
      <w:r>
        <w:rPr>
          <w:rFonts w:cs="Arial" w:hint="cs"/>
          <w:rtl/>
        </w:rPr>
        <w:t>,</w:t>
      </w:r>
      <w:r w:rsidRPr="00FA6D11">
        <w:rPr>
          <w:rFonts w:cs="Arial"/>
          <w:rtl/>
        </w:rPr>
        <w:t xml:space="preserve"> דכל היכא דהתנו </w:t>
      </w:r>
      <w:r>
        <w:rPr>
          <w:rFonts w:cs="Arial" w:hint="cs"/>
          <w:rtl/>
        </w:rPr>
        <w:t xml:space="preserve">- </w:t>
      </w:r>
      <w:r w:rsidRPr="00FA6D11">
        <w:rPr>
          <w:rFonts w:cs="Arial"/>
          <w:rtl/>
        </w:rPr>
        <w:t>בכל גוונא שרי</w:t>
      </w:r>
      <w:r w:rsidRPr="00FA6D11">
        <w:rPr>
          <w:rFonts w:cs="Arial" w:hint="cs"/>
          <w:rtl/>
        </w:rPr>
        <w:t>.</w:t>
      </w:r>
      <w:r>
        <w:rPr>
          <w:rFonts w:hint="cs"/>
          <w:rtl/>
        </w:rPr>
        <w:t xml:space="preserve"> </w:t>
      </w:r>
      <w:r w:rsidRPr="0099728C">
        <w:rPr>
          <w:rFonts w:cs="Arial" w:hint="cs"/>
          <w:color w:val="E36C0A" w:themeColor="accent6" w:themeShade="BF"/>
          <w:rtl/>
        </w:rPr>
        <w:t>(וכ</w:t>
      </w:r>
      <w:r>
        <w:rPr>
          <w:rFonts w:cs="Arial" w:hint="cs"/>
          <w:color w:val="E36C0A" w:themeColor="accent6" w:themeShade="BF"/>
          <w:rtl/>
        </w:rPr>
        <w:t>"</w:t>
      </w:r>
      <w:r w:rsidRPr="0099728C">
        <w:rPr>
          <w:rFonts w:cs="Arial" w:hint="cs"/>
          <w:color w:val="E36C0A" w:themeColor="accent6" w:themeShade="BF"/>
          <w:rtl/>
        </w:rPr>
        <w:t>פ בשו"ע)</w:t>
      </w:r>
    </w:p>
    <w:p w14:paraId="51C6C559"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18DBF4C" w14:textId="77777777" w:rsidR="004B2E7C" w:rsidRDefault="004B2E7C" w:rsidP="00434A6A">
      <w:pPr>
        <w:rPr>
          <w:rtl/>
        </w:rPr>
      </w:pPr>
      <w:r>
        <w:rPr>
          <w:rFonts w:cs="Arial"/>
          <w:rtl/>
        </w:rPr>
        <w:t>היכא שהתנו בתחלה, אם אח</w:t>
      </w:r>
      <w:r>
        <w:rPr>
          <w:rFonts w:cs="Arial" w:hint="cs"/>
          <w:rtl/>
        </w:rPr>
        <w:t xml:space="preserve">ר </w:t>
      </w:r>
      <w:r>
        <w:rPr>
          <w:rFonts w:cs="Arial"/>
          <w:rtl/>
        </w:rPr>
        <w:t>כ</w:t>
      </w:r>
      <w:r>
        <w:rPr>
          <w:rFonts w:cs="Arial" w:hint="cs"/>
          <w:rtl/>
        </w:rPr>
        <w:t>ך</w:t>
      </w:r>
      <w:r>
        <w:rPr>
          <w:rFonts w:cs="Arial"/>
          <w:rtl/>
        </w:rPr>
        <w:t xml:space="preserve"> בשעת חלוקה נתרצה הגוי לחלוק בשוה, מותר</w:t>
      </w:r>
      <w:r>
        <w:rPr>
          <w:rStyle w:val="a9"/>
          <w:rFonts w:cs="Arial"/>
          <w:rtl/>
        </w:rPr>
        <w:footnoteReference w:id="92"/>
      </w:r>
      <w:r>
        <w:rPr>
          <w:rFonts w:cs="Arial"/>
          <w:rtl/>
        </w:rPr>
        <w:t xml:space="preserve">. </w:t>
      </w:r>
    </w:p>
    <w:p w14:paraId="45F0A9E4" w14:textId="77777777" w:rsidR="004B2E7C" w:rsidRDefault="004B2E7C" w:rsidP="00434A6A">
      <w:pPr>
        <w:rPr>
          <w:rtl/>
        </w:rPr>
      </w:pPr>
    </w:p>
    <w:p w14:paraId="3CB25D28" w14:textId="77777777" w:rsidR="004B2E7C" w:rsidRDefault="004B2E7C" w:rsidP="00434A6A">
      <w:pPr>
        <w:pStyle w:val="2"/>
        <w:rPr>
          <w:rtl/>
        </w:rPr>
      </w:pPr>
      <w:r>
        <w:rPr>
          <w:rtl/>
        </w:rPr>
        <w:t>סעיף ג</w:t>
      </w:r>
      <w:r>
        <w:rPr>
          <w:rFonts w:hint="cs"/>
          <w:rtl/>
        </w:rPr>
        <w:t>: תיקון למי שלא התנה עם הגוי מתחילה.</w:t>
      </w:r>
    </w:p>
    <w:p w14:paraId="21AC8C64" w14:textId="77777777" w:rsidR="004B2E7C" w:rsidRPr="00E919E3" w:rsidRDefault="004B2E7C" w:rsidP="00434A6A">
      <w:pPr>
        <w:rPr>
          <w:u w:val="single"/>
          <w:rtl/>
        </w:rPr>
      </w:pPr>
      <w:r w:rsidRPr="00E919E3">
        <w:rPr>
          <w:rFonts w:hint="cs"/>
          <w:u w:val="single"/>
          <w:rtl/>
        </w:rPr>
        <w:t>תיקון למי שלא התנה עם הגוי מתחילה:</w:t>
      </w:r>
    </w:p>
    <w:p w14:paraId="7392AF64" w14:textId="77777777" w:rsidR="004B2E7C" w:rsidRPr="00E919E3" w:rsidRDefault="004B2E7C" w:rsidP="00FF2D21">
      <w:pPr>
        <w:pStyle w:val="aa"/>
        <w:numPr>
          <w:ilvl w:val="0"/>
          <w:numId w:val="104"/>
        </w:numPr>
        <w:rPr>
          <w:rtl/>
        </w:rPr>
      </w:pPr>
      <w:r w:rsidRPr="002024CD">
        <w:rPr>
          <w:rFonts w:cs="Arial" w:hint="cs"/>
          <w:rtl/>
        </w:rPr>
        <w:t xml:space="preserve">תוס' </w:t>
      </w:r>
      <w:r w:rsidRPr="002024CD">
        <w:rPr>
          <w:rFonts w:cs="Arial"/>
          <w:sz w:val="16"/>
          <w:szCs w:val="16"/>
          <w:rtl/>
        </w:rPr>
        <w:t>(כב. ד"ה לא יאמר)</w:t>
      </w:r>
      <w:r w:rsidRPr="002024CD">
        <w:rPr>
          <w:rFonts w:cs="Arial" w:hint="cs"/>
          <w:rtl/>
        </w:rPr>
        <w:t xml:space="preserve">- </w:t>
      </w:r>
      <w:r w:rsidRPr="002024CD">
        <w:rPr>
          <w:rFonts w:cs="Arial"/>
          <w:rtl/>
        </w:rPr>
        <w:t>מעשה כך היה בימי רבינו תם שגבה ישראל אחד בחובו תנור אחד מגוי והיה לו לאופה המסיק התנור חלקו בתנור והיה לו ליהודי ליטול כך וכך ימים בחלקו ולאופה כמו כן כך וכך</w:t>
      </w:r>
      <w:r w:rsidRPr="002024CD">
        <w:rPr>
          <w:rFonts w:cs="Arial" w:hint="cs"/>
          <w:rtl/>
        </w:rPr>
        <w:t>,</w:t>
      </w:r>
      <w:r w:rsidRPr="002024CD">
        <w:rPr>
          <w:rFonts w:cs="Arial"/>
          <w:rtl/>
        </w:rPr>
        <w:t xml:space="preserve"> ולא התנו מתחלה זה לזה טול אתה חלקך בשבת ואני חלקי בחול</w:t>
      </w:r>
      <w:r w:rsidRPr="002024CD">
        <w:rPr>
          <w:rFonts w:cs="Arial" w:hint="cs"/>
          <w:rtl/>
        </w:rPr>
        <w:t>...</w:t>
      </w:r>
      <w:r w:rsidRPr="002024CD">
        <w:rPr>
          <w:rFonts w:cs="Arial"/>
          <w:rtl/>
        </w:rPr>
        <w:t xml:space="preserve"> </w:t>
      </w:r>
      <w:r w:rsidRPr="002024CD">
        <w:rPr>
          <w:rFonts w:cs="Arial" w:hint="cs"/>
          <w:rtl/>
        </w:rPr>
        <w:t xml:space="preserve">- </w:t>
      </w:r>
      <w:r w:rsidRPr="002024CD">
        <w:rPr>
          <w:rFonts w:cs="Arial"/>
          <w:rtl/>
        </w:rPr>
        <w:t>אסור לומר טול אתה חלקך כו' אלא אם כן התנו מתחלה קודם שלקחוהו שאין לישראל בשבת שום חלק וגם ר"ת באותו מעשה דתנור צוה לקבל החוב מן הגוי ולחזור ולהלוות ולהתנות מתחלה</w:t>
      </w:r>
      <w:r>
        <w:rPr>
          <w:rStyle w:val="a9"/>
          <w:rFonts w:cs="Arial"/>
          <w:rtl/>
        </w:rPr>
        <w:footnoteReference w:id="93"/>
      </w:r>
      <w:r w:rsidRPr="002024CD">
        <w:rPr>
          <w:rFonts w:cs="Arial" w:hint="cs"/>
          <w:rtl/>
        </w:rPr>
        <w:t>.</w:t>
      </w:r>
      <w:r>
        <w:rPr>
          <w:rFonts w:hint="cs"/>
          <w:rtl/>
        </w:rPr>
        <w:t xml:space="preserve"> </w:t>
      </w:r>
      <w:r w:rsidRPr="0099728C">
        <w:rPr>
          <w:rFonts w:cs="Arial" w:hint="cs"/>
          <w:color w:val="E36C0A" w:themeColor="accent6" w:themeShade="BF"/>
          <w:rtl/>
        </w:rPr>
        <w:t>(וכ</w:t>
      </w:r>
      <w:r>
        <w:rPr>
          <w:rFonts w:cs="Arial" w:hint="cs"/>
          <w:color w:val="E36C0A" w:themeColor="accent6" w:themeShade="BF"/>
          <w:rtl/>
        </w:rPr>
        <w:t>"</w:t>
      </w:r>
      <w:r w:rsidRPr="0099728C">
        <w:rPr>
          <w:rFonts w:cs="Arial" w:hint="cs"/>
          <w:color w:val="E36C0A" w:themeColor="accent6" w:themeShade="BF"/>
          <w:rtl/>
        </w:rPr>
        <w:t>פ בשו"ע)</w:t>
      </w:r>
    </w:p>
    <w:p w14:paraId="5D5F9214"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3673E1C2" w14:textId="77777777" w:rsidR="004B2E7C" w:rsidRDefault="004B2E7C" w:rsidP="00434A6A">
      <w:pPr>
        <w:rPr>
          <w:rFonts w:cs="Arial"/>
          <w:rtl/>
        </w:rPr>
      </w:pPr>
      <w:r>
        <w:rPr>
          <w:rFonts w:cs="Arial"/>
          <w:rtl/>
        </w:rPr>
        <w:t>היכא שלא התנו בתחלה, יש תיקון ע</w:t>
      </w:r>
      <w:r>
        <w:rPr>
          <w:rFonts w:cs="Arial" w:hint="cs"/>
          <w:rtl/>
        </w:rPr>
        <w:t>ל יד</w:t>
      </w:r>
      <w:r>
        <w:rPr>
          <w:rFonts w:cs="Arial"/>
          <w:rtl/>
        </w:rPr>
        <w:t>י שיחזיר</w:t>
      </w:r>
      <w:r>
        <w:rPr>
          <w:rStyle w:val="a9"/>
          <w:rFonts w:cs="Arial"/>
          <w:rtl/>
        </w:rPr>
        <w:footnoteReference w:id="94"/>
      </w:r>
      <w:r>
        <w:rPr>
          <w:rFonts w:cs="Arial"/>
          <w:rtl/>
        </w:rPr>
        <w:t xml:space="preserve"> המוכר להם דמי הקרקע או ימכרוהו לאיש אחר</w:t>
      </w:r>
      <w:r>
        <w:rPr>
          <w:rFonts w:cs="Arial" w:hint="cs"/>
          <w:rtl/>
        </w:rPr>
        <w:t>,</w:t>
      </w:r>
      <w:r>
        <w:rPr>
          <w:rFonts w:cs="Arial"/>
          <w:rtl/>
        </w:rPr>
        <w:t xml:space="preserve"> ויחזרו ויקנוהו בשותפות, ויתנו בשעת הקניה</w:t>
      </w:r>
      <w:r>
        <w:rPr>
          <w:rFonts w:cs="Arial" w:hint="cs"/>
          <w:rtl/>
        </w:rPr>
        <w:t>.</w:t>
      </w:r>
      <w:r>
        <w:rPr>
          <w:rFonts w:cs="Arial"/>
          <w:rtl/>
        </w:rPr>
        <w:t xml:space="preserve"> ואם נשתתפו בחנות ולא התנו, יחזור כל אחד ויטול חלקו, ויבטלו השותפות, ואחר כך יחזרו להשתתף, ויתנו בתחלה</w:t>
      </w:r>
      <w:r>
        <w:rPr>
          <w:rFonts w:cs="Arial" w:hint="cs"/>
          <w:rtl/>
        </w:rPr>
        <w:t>.</w:t>
      </w:r>
      <w:r>
        <w:rPr>
          <w:rFonts w:cs="Arial"/>
          <w:rtl/>
        </w:rPr>
        <w:t xml:space="preserve"> ואם קבלו הקרקע לעשות בו מלאכה בשותפות, יבטלו השיתוף וימחלו זה לזה, ואחר כך יחזרו להשתתף ויתנו בתחלה. </w:t>
      </w:r>
      <w:r w:rsidRPr="00E919E3">
        <w:rPr>
          <w:rFonts w:cs="Arial"/>
          <w:sz w:val="18"/>
          <w:szCs w:val="18"/>
          <w:rtl/>
        </w:rPr>
        <w:t>הגה: ואם ירצה להשכיר לגוי חלקו בשבת, או לשכרו בקבולת, שרי</w:t>
      </w:r>
      <w:r>
        <w:rPr>
          <w:rStyle w:val="a9"/>
          <w:rFonts w:cs="Arial"/>
          <w:sz w:val="18"/>
          <w:szCs w:val="18"/>
          <w:rtl/>
        </w:rPr>
        <w:footnoteReference w:id="95"/>
      </w:r>
      <w:r w:rsidRPr="00E919E3">
        <w:rPr>
          <w:rFonts w:cs="Arial"/>
          <w:sz w:val="18"/>
          <w:szCs w:val="18"/>
          <w:rtl/>
        </w:rPr>
        <w:t xml:space="preserve"> וכמו שנתבאר לעיל ס"ס רמ"ד לענין מכס ומטבע דשרי, וכ"ש כאן דשרי עם שותפות הגוי.</w:t>
      </w:r>
    </w:p>
    <w:p w14:paraId="16A896D0" w14:textId="77777777" w:rsidR="004B2E7C" w:rsidRDefault="004B2E7C" w:rsidP="00434A6A">
      <w:pPr>
        <w:rPr>
          <w:rtl/>
        </w:rPr>
      </w:pPr>
      <w:r>
        <w:rPr>
          <w:rFonts w:cs="Arial"/>
          <w:rtl/>
        </w:rPr>
        <w:t xml:space="preserve"> </w:t>
      </w:r>
    </w:p>
    <w:p w14:paraId="5CAE5A0A" w14:textId="77777777" w:rsidR="004B2E7C" w:rsidRDefault="004B2E7C" w:rsidP="00434A6A">
      <w:pPr>
        <w:pStyle w:val="2"/>
        <w:rPr>
          <w:rtl/>
        </w:rPr>
      </w:pPr>
      <w:r>
        <w:rPr>
          <w:rtl/>
        </w:rPr>
        <w:t>סעיף ד</w:t>
      </w:r>
      <w:r>
        <w:rPr>
          <w:rFonts w:hint="cs"/>
          <w:rtl/>
        </w:rPr>
        <w:t xml:space="preserve">: </w:t>
      </w:r>
      <w:r w:rsidRPr="007F0059">
        <w:rPr>
          <w:rtl/>
        </w:rPr>
        <w:t>הנותן מעות ל</w:t>
      </w:r>
      <w:r>
        <w:rPr>
          <w:rtl/>
        </w:rPr>
        <w:t>גוי</w:t>
      </w:r>
      <w:r w:rsidRPr="007F0059">
        <w:rPr>
          <w:rtl/>
        </w:rPr>
        <w:t xml:space="preserve"> להתעסק בהם</w:t>
      </w:r>
      <w:r>
        <w:rPr>
          <w:rFonts w:hint="cs"/>
          <w:rtl/>
        </w:rPr>
        <w:t xml:space="preserve"> בשבת.</w:t>
      </w:r>
    </w:p>
    <w:p w14:paraId="27C11F7B" w14:textId="77777777" w:rsidR="004B2E7C" w:rsidRPr="008F784E" w:rsidRDefault="004B2E7C" w:rsidP="00434A6A">
      <w:pPr>
        <w:rPr>
          <w:u w:val="single"/>
          <w:rtl/>
        </w:rPr>
      </w:pPr>
      <w:r w:rsidRPr="008F784E">
        <w:rPr>
          <w:rFonts w:cs="Arial"/>
          <w:u w:val="single"/>
          <w:rtl/>
        </w:rPr>
        <w:t>הנותן מעות לגוי להתעסק בהם</w:t>
      </w:r>
      <w:r w:rsidRPr="008F784E">
        <w:rPr>
          <w:rFonts w:hint="cs"/>
          <w:u w:val="single"/>
          <w:rtl/>
        </w:rPr>
        <w:t xml:space="preserve"> בשבת</w:t>
      </w:r>
      <w:r>
        <w:rPr>
          <w:rFonts w:hint="cs"/>
          <w:u w:val="single"/>
          <w:rtl/>
        </w:rPr>
        <w:t xml:space="preserve"> </w:t>
      </w:r>
      <w:r>
        <w:rPr>
          <w:u w:val="single"/>
          <w:rtl/>
        </w:rPr>
        <w:t>–</w:t>
      </w:r>
      <w:r>
        <w:rPr>
          <w:rFonts w:hint="cs"/>
          <w:u w:val="single"/>
          <w:rtl/>
        </w:rPr>
        <w:t xml:space="preserve"> האם יכול לקבל ממנו חלק ממה שהרויח בשבת</w:t>
      </w:r>
      <w:r w:rsidRPr="008F784E">
        <w:rPr>
          <w:rFonts w:hint="cs"/>
          <w:u w:val="single"/>
          <w:rtl/>
        </w:rPr>
        <w:t>:</w:t>
      </w:r>
    </w:p>
    <w:p w14:paraId="36E1701A" w14:textId="77777777" w:rsidR="004B2E7C" w:rsidRPr="00FD120E" w:rsidRDefault="004B2E7C" w:rsidP="00FF2D21">
      <w:pPr>
        <w:pStyle w:val="aa"/>
        <w:numPr>
          <w:ilvl w:val="0"/>
          <w:numId w:val="102"/>
        </w:numPr>
      </w:pPr>
      <w:r w:rsidRPr="00DC27D1">
        <w:rPr>
          <w:rFonts w:cs="Arial"/>
          <w:rtl/>
        </w:rPr>
        <w:t xml:space="preserve">רמב"ם </w:t>
      </w:r>
      <w:r w:rsidRPr="00DC27D1">
        <w:rPr>
          <w:rFonts w:cs="Arial" w:hint="cs"/>
          <w:sz w:val="16"/>
          <w:szCs w:val="16"/>
          <w:rtl/>
        </w:rPr>
        <w:t>(</w:t>
      </w:r>
      <w:r w:rsidRPr="00DC27D1">
        <w:rPr>
          <w:rFonts w:cs="Arial"/>
          <w:sz w:val="16"/>
          <w:szCs w:val="16"/>
          <w:rtl/>
        </w:rPr>
        <w:t>פ"ו הי</w:t>
      </w:r>
      <w:r w:rsidRPr="00DC27D1">
        <w:rPr>
          <w:rFonts w:cs="Arial" w:hint="cs"/>
          <w:sz w:val="16"/>
          <w:szCs w:val="16"/>
          <w:rtl/>
        </w:rPr>
        <w:t>"</w:t>
      </w:r>
      <w:r w:rsidRPr="00DC27D1">
        <w:rPr>
          <w:rFonts w:cs="Arial"/>
          <w:sz w:val="16"/>
          <w:szCs w:val="16"/>
          <w:rtl/>
        </w:rPr>
        <w:t>ח)</w:t>
      </w:r>
      <w:r>
        <w:rPr>
          <w:rFonts w:cs="Arial" w:hint="cs"/>
          <w:rtl/>
        </w:rPr>
        <w:t xml:space="preserve"> </w:t>
      </w:r>
      <w:r w:rsidRPr="007F0059">
        <w:rPr>
          <w:rFonts w:cs="Arial"/>
          <w:rtl/>
        </w:rPr>
        <w:t xml:space="preserve">סמ"ג </w:t>
      </w:r>
      <w:r w:rsidRPr="008F784E">
        <w:rPr>
          <w:rFonts w:cs="Arial"/>
          <w:sz w:val="16"/>
          <w:szCs w:val="16"/>
          <w:rtl/>
        </w:rPr>
        <w:t>(לאוין סה כא ע"ד)</w:t>
      </w:r>
      <w:r w:rsidRPr="008F784E">
        <w:rPr>
          <w:rFonts w:cs="Arial" w:hint="cs"/>
          <w:sz w:val="16"/>
          <w:szCs w:val="16"/>
          <w:rtl/>
        </w:rPr>
        <w:t xml:space="preserve"> </w:t>
      </w:r>
      <w:r>
        <w:rPr>
          <w:rFonts w:cs="Arial" w:hint="cs"/>
          <w:rtl/>
        </w:rPr>
        <w:t xml:space="preserve">סמ"ק </w:t>
      </w:r>
      <w:r>
        <w:rPr>
          <w:rFonts w:cs="Arial" w:hint="cs"/>
          <w:sz w:val="16"/>
          <w:szCs w:val="16"/>
          <w:rtl/>
        </w:rPr>
        <w:t>(סי' רפב ד"ה וישראל וגוי)</w:t>
      </w:r>
      <w:r>
        <w:rPr>
          <w:rFonts w:cs="Arial" w:hint="cs"/>
          <w:rtl/>
        </w:rPr>
        <w:t xml:space="preserve"> וטור</w:t>
      </w:r>
      <w:r w:rsidRPr="00DC27D1">
        <w:rPr>
          <w:rFonts w:cs="Arial" w:hint="cs"/>
          <w:rtl/>
        </w:rPr>
        <w:t>-</w:t>
      </w:r>
      <w:r>
        <w:rPr>
          <w:rFonts w:cs="Arial" w:hint="cs"/>
          <w:rtl/>
        </w:rPr>
        <w:t xml:space="preserve"> </w:t>
      </w:r>
      <w:r w:rsidRPr="008F784E">
        <w:rPr>
          <w:rFonts w:cs="Arial"/>
          <w:rtl/>
        </w:rPr>
        <w:t>הנותן מעות לגוי להתעסק בהן, אף על פי שהגוי נושא ונותן בשבת חולק עמו בשכר בשוה</w:t>
      </w:r>
      <w:r>
        <w:rPr>
          <w:rStyle w:val="a9"/>
          <w:rFonts w:cs="Arial"/>
          <w:rtl/>
        </w:rPr>
        <w:footnoteReference w:id="96"/>
      </w:r>
      <w:r>
        <w:rPr>
          <w:rFonts w:cs="Arial" w:hint="cs"/>
          <w:rtl/>
        </w:rPr>
        <w:t>.</w:t>
      </w:r>
      <w:r w:rsidRPr="008F784E">
        <w:rPr>
          <w:rFonts w:cs="Arial"/>
          <w:rtl/>
        </w:rPr>
        <w:t xml:space="preserve"> וכן הורו כל הגאונים</w:t>
      </w:r>
      <w:r>
        <w:rPr>
          <w:rFonts w:cs="Arial" w:hint="cs"/>
          <w:sz w:val="16"/>
          <w:szCs w:val="16"/>
          <w:rtl/>
        </w:rPr>
        <w:t xml:space="preserve"> (ל' הרמב"ם)</w:t>
      </w:r>
      <w:r>
        <w:rPr>
          <w:rFonts w:cs="Arial" w:hint="cs"/>
          <w:rtl/>
        </w:rPr>
        <w:t>.</w:t>
      </w:r>
      <w:r w:rsidRPr="0070465B">
        <w:rPr>
          <w:rFonts w:cs="Arial" w:hint="cs"/>
          <w:color w:val="E36C0A" w:themeColor="accent6" w:themeShade="BF"/>
          <w:rtl/>
        </w:rPr>
        <w:t xml:space="preserve"> </w:t>
      </w:r>
      <w:r w:rsidRPr="007234BD">
        <w:rPr>
          <w:rFonts w:cs="Arial"/>
          <w:rtl/>
        </w:rPr>
        <w:t>וז"ל תשובת הגאונים כתב רב שרירא וששאלתם בר ישראל דיהב זוזי לגוי בשותפות או מטלטלין כדי למכור אותם ולעשות בהם סחורה ושקל וטרא בהו בשבת ובחול</w:t>
      </w:r>
      <w:r w:rsidRPr="007234BD">
        <w:rPr>
          <w:rFonts w:cs="Arial" w:hint="cs"/>
          <w:rtl/>
        </w:rPr>
        <w:t xml:space="preserve">, </w:t>
      </w:r>
      <w:r w:rsidRPr="007234BD">
        <w:rPr>
          <w:rFonts w:cs="Arial"/>
          <w:rtl/>
        </w:rPr>
        <w:t>שרי לישראל למישקל מההוא רווחא או לא. תשובה</w:t>
      </w:r>
      <w:r w:rsidRPr="007234BD">
        <w:rPr>
          <w:rFonts w:cs="Arial" w:hint="cs"/>
          <w:rtl/>
        </w:rPr>
        <w:t>-</w:t>
      </w:r>
      <w:r w:rsidRPr="007234BD">
        <w:rPr>
          <w:rFonts w:cs="Arial"/>
          <w:rtl/>
        </w:rPr>
        <w:t xml:space="preserve"> הדין חזינא דהאי דאמור רבנן משמא דראשונים דשרי</w:t>
      </w:r>
      <w:r w:rsidRPr="007234BD">
        <w:rPr>
          <w:rFonts w:cs="Arial" w:hint="cs"/>
          <w:rtl/>
        </w:rPr>
        <w:t>,</w:t>
      </w:r>
      <w:r w:rsidRPr="007234BD">
        <w:rPr>
          <w:rFonts w:cs="Arial"/>
          <w:rtl/>
        </w:rPr>
        <w:t xml:space="preserve"> אף אנחנא הכי שמיע לן מרבוותא דילן</w:t>
      </w:r>
      <w:r w:rsidRPr="007234BD">
        <w:rPr>
          <w:rFonts w:cs="Arial" w:hint="cs"/>
          <w:rtl/>
        </w:rPr>
        <w:t>,</w:t>
      </w:r>
      <w:r w:rsidRPr="007234BD">
        <w:rPr>
          <w:rFonts w:cs="Arial"/>
          <w:rtl/>
        </w:rPr>
        <w:t xml:space="preserve"> דכד הוו הנך זוזי מעיקרא ביד גוי דעביד בהו כדחזי הוא לבדו</w:t>
      </w:r>
      <w:r w:rsidRPr="007234BD">
        <w:rPr>
          <w:rFonts w:cs="Arial" w:hint="cs"/>
          <w:rtl/>
        </w:rPr>
        <w:t>,</w:t>
      </w:r>
      <w:r w:rsidRPr="007234BD">
        <w:rPr>
          <w:rFonts w:cs="Arial"/>
          <w:rtl/>
        </w:rPr>
        <w:t xml:space="preserve"> ולא שקיל ישראל וטרי בהדיה</w:t>
      </w:r>
      <w:r w:rsidRPr="007234BD">
        <w:rPr>
          <w:rFonts w:cs="Arial" w:hint="cs"/>
          <w:rtl/>
        </w:rPr>
        <w:t>,</w:t>
      </w:r>
      <w:r w:rsidRPr="007234BD">
        <w:rPr>
          <w:rFonts w:cs="Arial"/>
          <w:rtl/>
        </w:rPr>
        <w:t xml:space="preserve"> דלא אשכחן בכי הא מילתא איסור</w:t>
      </w:r>
      <w:r w:rsidRPr="007234BD">
        <w:rPr>
          <w:rFonts w:cs="Arial" w:hint="cs"/>
          <w:rtl/>
        </w:rPr>
        <w:t>.</w:t>
      </w:r>
      <w:r w:rsidRPr="007234BD">
        <w:rPr>
          <w:rFonts w:cs="Arial"/>
          <w:rtl/>
        </w:rPr>
        <w:t xml:space="preserve"> אבל היכא דאיכא חנותא דידיעא בשותפות דיליה </w:t>
      </w:r>
      <w:r w:rsidRPr="007234BD">
        <w:rPr>
          <w:rFonts w:cs="Arial" w:hint="cs"/>
          <w:rtl/>
        </w:rPr>
        <w:t xml:space="preserve">- </w:t>
      </w:r>
      <w:r w:rsidRPr="007234BD">
        <w:rPr>
          <w:rFonts w:cs="Arial"/>
          <w:rtl/>
        </w:rPr>
        <w:t>אסור, דהא מותר לישראל להשכיר שדהו לגוי ואע</w:t>
      </w:r>
      <w:r w:rsidRPr="007234BD">
        <w:rPr>
          <w:rFonts w:cs="Arial" w:hint="cs"/>
          <w:rtl/>
        </w:rPr>
        <w:t>"</w:t>
      </w:r>
      <w:r w:rsidRPr="007234BD">
        <w:rPr>
          <w:rFonts w:cs="Arial"/>
          <w:rtl/>
        </w:rPr>
        <w:t>ג דקא עביד בשבתא</w:t>
      </w:r>
      <w:r w:rsidRPr="007234BD">
        <w:rPr>
          <w:rFonts w:cs="Arial" w:hint="cs"/>
          <w:rtl/>
        </w:rPr>
        <w:t>.</w:t>
      </w:r>
      <w:r w:rsidRPr="007234BD">
        <w:rPr>
          <w:rFonts w:cs="Arial"/>
          <w:rtl/>
        </w:rPr>
        <w:t xml:space="preserve"> ושמע מינה דהיכא דזוזי דישראל בידא דגוי</w:t>
      </w:r>
      <w:r w:rsidRPr="007234BD">
        <w:rPr>
          <w:rFonts w:cs="Arial" w:hint="cs"/>
          <w:rtl/>
        </w:rPr>
        <w:t>,</w:t>
      </w:r>
      <w:r w:rsidRPr="007234BD">
        <w:rPr>
          <w:rFonts w:cs="Arial"/>
          <w:rtl/>
        </w:rPr>
        <w:t xml:space="preserve"> ועביד גוי כדחזי זבין ומזבין כדניחא ליה</w:t>
      </w:r>
      <w:r w:rsidRPr="007234BD">
        <w:rPr>
          <w:rFonts w:cs="Arial" w:hint="cs"/>
          <w:rtl/>
        </w:rPr>
        <w:t>,</w:t>
      </w:r>
      <w:r w:rsidRPr="007234BD">
        <w:rPr>
          <w:rFonts w:cs="Arial"/>
          <w:rtl/>
        </w:rPr>
        <w:t xml:space="preserve"> ולא צריך ישראל למיעבד מדעם שעומד גוי תחתיו בשבת ועביד מאי דהוה עביד ישראל</w:t>
      </w:r>
      <w:r w:rsidRPr="007234BD">
        <w:rPr>
          <w:rFonts w:cs="Arial" w:hint="cs"/>
          <w:rtl/>
        </w:rPr>
        <w:t xml:space="preserve"> -</w:t>
      </w:r>
      <w:r w:rsidRPr="007234BD">
        <w:rPr>
          <w:rFonts w:cs="Arial"/>
          <w:rtl/>
        </w:rPr>
        <w:t xml:space="preserve"> לית על ישראל איסורא בהכי</w:t>
      </w:r>
      <w:r w:rsidRPr="007234BD">
        <w:rPr>
          <w:rFonts w:cs="Arial" w:hint="cs"/>
          <w:rtl/>
        </w:rPr>
        <w:t>.</w:t>
      </w:r>
      <w:r w:rsidRPr="007234BD">
        <w:rPr>
          <w:rFonts w:cs="Arial"/>
          <w:rtl/>
        </w:rPr>
        <w:t xml:space="preserve"> אבל היכא דשותפין אינון</w:t>
      </w:r>
      <w:r w:rsidRPr="007234BD">
        <w:rPr>
          <w:rFonts w:cs="Arial" w:hint="cs"/>
          <w:rtl/>
        </w:rPr>
        <w:t>,</w:t>
      </w:r>
      <w:r w:rsidRPr="007234BD">
        <w:rPr>
          <w:rFonts w:cs="Arial"/>
          <w:rtl/>
        </w:rPr>
        <w:t xml:space="preserve"> וישראל וגוי עבדי תרווייהו</w:t>
      </w:r>
      <w:r w:rsidRPr="007234BD">
        <w:rPr>
          <w:rFonts w:cs="Arial" w:hint="cs"/>
          <w:rtl/>
        </w:rPr>
        <w:t>,</w:t>
      </w:r>
      <w:r w:rsidRPr="007234BD">
        <w:rPr>
          <w:rFonts w:cs="Arial"/>
          <w:rtl/>
        </w:rPr>
        <w:t xml:space="preserve"> וביומא דשבתא עביד גוי במקום ישראל</w:t>
      </w:r>
      <w:r w:rsidRPr="007234BD">
        <w:rPr>
          <w:rFonts w:cs="Arial" w:hint="cs"/>
          <w:rtl/>
        </w:rPr>
        <w:t>,</w:t>
      </w:r>
      <w:r w:rsidRPr="007234BD">
        <w:rPr>
          <w:rFonts w:cs="Arial"/>
          <w:rtl/>
        </w:rPr>
        <w:t xml:space="preserve"> ואתו לאחשובי הדדי על מעשה שבת </w:t>
      </w:r>
      <w:r w:rsidRPr="007234BD">
        <w:rPr>
          <w:rFonts w:cs="Arial" w:hint="cs"/>
          <w:rtl/>
        </w:rPr>
        <w:t xml:space="preserve">- </w:t>
      </w:r>
      <w:r w:rsidRPr="007234BD">
        <w:rPr>
          <w:rFonts w:cs="Arial"/>
          <w:rtl/>
        </w:rPr>
        <w:t>אסור</w:t>
      </w:r>
      <w:r w:rsidRPr="007234BD">
        <w:rPr>
          <w:rFonts w:cs="Arial" w:hint="cs"/>
          <w:rtl/>
        </w:rPr>
        <w:t>,</w:t>
      </w:r>
      <w:r w:rsidRPr="007234BD">
        <w:rPr>
          <w:rFonts w:cs="Arial"/>
          <w:rtl/>
        </w:rPr>
        <w:t xml:space="preserve"> דתניא ישראל וגוי שקבלו שדה בשותפות וכו' ואם באו לחשבון אסור</w:t>
      </w:r>
      <w:r w:rsidRPr="007234BD">
        <w:rPr>
          <w:rFonts w:cs="Arial" w:hint="cs"/>
          <w:rtl/>
        </w:rPr>
        <w:t>,</w:t>
      </w:r>
      <w:r w:rsidRPr="007234BD">
        <w:rPr>
          <w:rFonts w:cs="Arial"/>
          <w:rtl/>
        </w:rPr>
        <w:t xml:space="preserve"> פירוש אם באו לחשבון דאע</w:t>
      </w:r>
      <w:r w:rsidRPr="007234BD">
        <w:rPr>
          <w:rFonts w:cs="Arial" w:hint="cs"/>
          <w:rtl/>
        </w:rPr>
        <w:t>"</w:t>
      </w:r>
      <w:r w:rsidRPr="007234BD">
        <w:rPr>
          <w:rFonts w:cs="Arial"/>
          <w:rtl/>
        </w:rPr>
        <w:t>ג דהויא שבת בחלקו דגוי ואחד בשבת בחלקו של ישראל שרי אם לא יבואו לחשבון</w:t>
      </w:r>
      <w:r w:rsidRPr="007234BD">
        <w:rPr>
          <w:rFonts w:cs="Arial" w:hint="cs"/>
          <w:rtl/>
        </w:rPr>
        <w:t>,</w:t>
      </w:r>
      <w:r w:rsidRPr="007234BD">
        <w:rPr>
          <w:rFonts w:cs="Arial"/>
          <w:rtl/>
        </w:rPr>
        <w:t xml:space="preserve"> אלא שבת הוא דגוי אם מרובה אם מועט כל דהוי ומקבל גוי על נפשיה דאי לא אתי ליה בשבת אלא דבר מועט לא מחשב</w:t>
      </w:r>
      <w:r w:rsidRPr="007234BD">
        <w:rPr>
          <w:rFonts w:cs="Arial" w:hint="cs"/>
          <w:rtl/>
        </w:rPr>
        <w:t>.</w:t>
      </w:r>
      <w:r w:rsidRPr="007234BD">
        <w:rPr>
          <w:rFonts w:cs="Arial"/>
          <w:rtl/>
        </w:rPr>
        <w:t xml:space="preserve"> אבל אם באו לחשבון</w:t>
      </w:r>
      <w:r w:rsidRPr="007234BD">
        <w:rPr>
          <w:rFonts w:cs="Arial" w:hint="cs"/>
          <w:rtl/>
        </w:rPr>
        <w:t>,</w:t>
      </w:r>
      <w:r w:rsidRPr="007234BD">
        <w:rPr>
          <w:rFonts w:cs="Arial"/>
          <w:rtl/>
        </w:rPr>
        <w:t xml:space="preserve"> דא"ל את שקלת בחדא בשבתא מאה זוזי ואנא שקלית בשבת צ' זוזי מלא לי</w:t>
      </w:r>
      <w:r w:rsidRPr="007234BD">
        <w:rPr>
          <w:rFonts w:cs="Arial" w:hint="cs"/>
          <w:rtl/>
        </w:rPr>
        <w:t>,</w:t>
      </w:r>
      <w:r w:rsidRPr="007234BD">
        <w:rPr>
          <w:rFonts w:cs="Arial"/>
          <w:rtl/>
        </w:rPr>
        <w:t xml:space="preserve"> וכל שכן אי בר ישראל תבע כהדין </w:t>
      </w:r>
      <w:r w:rsidRPr="007234BD">
        <w:rPr>
          <w:rFonts w:cs="Arial" w:hint="cs"/>
          <w:rtl/>
        </w:rPr>
        <w:t xml:space="preserve">- </w:t>
      </w:r>
      <w:r w:rsidRPr="007234BD">
        <w:rPr>
          <w:rFonts w:cs="Arial"/>
          <w:rtl/>
        </w:rPr>
        <w:t>אסור</w:t>
      </w:r>
      <w:r w:rsidRPr="007234BD">
        <w:rPr>
          <w:rFonts w:cs="Arial" w:hint="cs"/>
          <w:rtl/>
        </w:rPr>
        <w:t>.</w:t>
      </w:r>
      <w:r w:rsidRPr="007234BD">
        <w:rPr>
          <w:rFonts w:cs="Arial" w:hint="cs"/>
          <w:color w:val="E36C0A" w:themeColor="accent6" w:themeShade="BF"/>
          <w:rtl/>
        </w:rPr>
        <w:t xml:space="preserve"> </w:t>
      </w:r>
      <w:r w:rsidRPr="0099728C">
        <w:rPr>
          <w:rFonts w:cs="Arial" w:hint="cs"/>
          <w:color w:val="E36C0A" w:themeColor="accent6" w:themeShade="BF"/>
          <w:rtl/>
        </w:rPr>
        <w:t>(וכ</w:t>
      </w:r>
      <w:r>
        <w:rPr>
          <w:rFonts w:cs="Arial" w:hint="cs"/>
          <w:color w:val="E36C0A" w:themeColor="accent6" w:themeShade="BF"/>
          <w:rtl/>
        </w:rPr>
        <w:t>"</w:t>
      </w:r>
      <w:r w:rsidRPr="0099728C">
        <w:rPr>
          <w:rFonts w:cs="Arial" w:hint="cs"/>
          <w:color w:val="E36C0A" w:themeColor="accent6" w:themeShade="BF"/>
          <w:rtl/>
        </w:rPr>
        <w:t>פ בשו"ע)</w:t>
      </w:r>
      <w:r>
        <w:rPr>
          <w:rFonts w:hint="cs"/>
          <w:rtl/>
        </w:rPr>
        <w:t xml:space="preserve"> </w:t>
      </w:r>
      <w:r w:rsidRPr="007234BD">
        <w:rPr>
          <w:rFonts w:hint="cs"/>
          <w:color w:val="00B0F0"/>
          <w:rtl/>
        </w:rPr>
        <w:t>(וכ"פ הרמ"א)</w:t>
      </w:r>
    </w:p>
    <w:p w14:paraId="019654B0"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F3BA319" w14:textId="77777777" w:rsidR="004B2E7C" w:rsidRDefault="004B2E7C" w:rsidP="00434A6A">
      <w:pPr>
        <w:rPr>
          <w:rtl/>
        </w:rPr>
      </w:pPr>
      <w:r>
        <w:rPr>
          <w:rFonts w:cs="Arial"/>
          <w:rtl/>
        </w:rPr>
        <w:t>יכול ישראל ליתן לגוי מעות להתעסק בהם, ואף על פי שהגוי נושא ונותן בהם בשבת חולק עמו כל השכר בשוה, מפני שאין מלאכה זו מוטלת על ישראל לעשותה שנא</w:t>
      </w:r>
      <w:r>
        <w:rPr>
          <w:rFonts w:cs="Arial" w:hint="cs"/>
          <w:rtl/>
        </w:rPr>
        <w:t>מר</w:t>
      </w:r>
      <w:r>
        <w:rPr>
          <w:rFonts w:cs="Arial"/>
          <w:rtl/>
        </w:rPr>
        <w:t xml:space="preserve"> שהגוי עושה שליחותו, וכן אין העסק ניכר ממי הוא. </w:t>
      </w:r>
      <w:r w:rsidRPr="00711351">
        <w:rPr>
          <w:rFonts w:cs="Arial"/>
          <w:sz w:val="18"/>
          <w:szCs w:val="18"/>
          <w:rtl/>
        </w:rPr>
        <w:t>הגה: ודוקא בכה</w:t>
      </w:r>
      <w:r>
        <w:rPr>
          <w:rFonts w:cs="Arial" w:hint="cs"/>
          <w:sz w:val="18"/>
          <w:szCs w:val="18"/>
          <w:rtl/>
        </w:rPr>
        <w:t>"</w:t>
      </w:r>
      <w:r w:rsidRPr="00711351">
        <w:rPr>
          <w:rFonts w:cs="Arial"/>
          <w:sz w:val="18"/>
          <w:szCs w:val="18"/>
          <w:rtl/>
        </w:rPr>
        <w:t xml:space="preserve">ג שגוי נושא ונותן לחוד עם המעות, אבל אם כל אחד עוסק ביומו וישראל צריך לעסוק נגד מה שעסק הגוי בשבת, אסור (ב"י בשם גאון). וישראל שיש לו משכון מן הגוי, עיין לקמן סימן שכ"ה סעיף ב' וג'. </w:t>
      </w:r>
    </w:p>
    <w:p w14:paraId="2DECFB02" w14:textId="77777777" w:rsidR="004B2E7C" w:rsidRDefault="004B2E7C" w:rsidP="00434A6A">
      <w:pPr>
        <w:rPr>
          <w:rtl/>
        </w:rPr>
      </w:pPr>
    </w:p>
    <w:p w14:paraId="77664394" w14:textId="77777777" w:rsidR="004B2E7C" w:rsidRDefault="004B2E7C" w:rsidP="00434A6A">
      <w:pPr>
        <w:pStyle w:val="2"/>
        <w:rPr>
          <w:rtl/>
        </w:rPr>
      </w:pPr>
      <w:r>
        <w:rPr>
          <w:rtl/>
        </w:rPr>
        <w:t>סעיף ה</w:t>
      </w:r>
      <w:r>
        <w:rPr>
          <w:rFonts w:hint="cs"/>
          <w:rtl/>
        </w:rPr>
        <w:t>: תנור שלקחו הישראל מן הגוי במשכון.</w:t>
      </w:r>
    </w:p>
    <w:p w14:paraId="293B8C63" w14:textId="77777777" w:rsidR="004B2E7C" w:rsidRPr="00364636" w:rsidRDefault="004B2E7C" w:rsidP="00434A6A">
      <w:pPr>
        <w:rPr>
          <w:u w:val="single"/>
        </w:rPr>
      </w:pPr>
      <w:r w:rsidRPr="00364636">
        <w:rPr>
          <w:rFonts w:hint="cs"/>
          <w:u w:val="single"/>
          <w:rtl/>
        </w:rPr>
        <w:t>נותן לגוי מטלטלין למכור:</w:t>
      </w:r>
    </w:p>
    <w:p w14:paraId="6C85831C" w14:textId="77777777" w:rsidR="004B2E7C" w:rsidRPr="00364636" w:rsidRDefault="004B2E7C" w:rsidP="00FF2D21">
      <w:pPr>
        <w:pStyle w:val="aa"/>
        <w:numPr>
          <w:ilvl w:val="0"/>
          <w:numId w:val="102"/>
        </w:numPr>
        <w:rPr>
          <w:rtl/>
        </w:rPr>
      </w:pPr>
      <w:r>
        <w:rPr>
          <w:rFonts w:cs="Arial" w:hint="cs"/>
          <w:rtl/>
        </w:rPr>
        <w:t xml:space="preserve">סמ"ג </w:t>
      </w:r>
      <w:r w:rsidRPr="00FD120E">
        <w:rPr>
          <w:rFonts w:cs="Arial" w:hint="cs"/>
          <w:sz w:val="16"/>
          <w:szCs w:val="16"/>
          <w:rtl/>
        </w:rPr>
        <w:t>(כ"כ בשמו ה</w:t>
      </w:r>
      <w:r w:rsidRPr="00FD120E">
        <w:rPr>
          <w:rFonts w:cs="Arial"/>
          <w:sz w:val="16"/>
          <w:szCs w:val="16"/>
          <w:rtl/>
        </w:rPr>
        <w:t xml:space="preserve">מרדכי </w:t>
      </w:r>
      <w:r w:rsidRPr="00FD120E">
        <w:rPr>
          <w:rFonts w:cs="Arial" w:hint="cs"/>
          <w:sz w:val="16"/>
          <w:szCs w:val="16"/>
          <w:rtl/>
        </w:rPr>
        <w:t>[</w:t>
      </w:r>
      <w:r w:rsidRPr="00FD120E">
        <w:rPr>
          <w:rFonts w:cs="Arial"/>
          <w:sz w:val="16"/>
          <w:szCs w:val="16"/>
          <w:rtl/>
        </w:rPr>
        <w:t>פ"ק דשבת סי' רמט</w:t>
      </w:r>
      <w:r w:rsidRPr="00FD120E">
        <w:rPr>
          <w:rFonts w:cs="Arial" w:hint="cs"/>
          <w:sz w:val="16"/>
          <w:szCs w:val="16"/>
          <w:rtl/>
        </w:rPr>
        <w:t>]</w:t>
      </w:r>
      <w:r w:rsidRPr="00FD120E">
        <w:rPr>
          <w:rFonts w:cs="Arial"/>
          <w:sz w:val="16"/>
          <w:szCs w:val="16"/>
          <w:rtl/>
        </w:rPr>
        <w:t>)</w:t>
      </w:r>
      <w:r>
        <w:rPr>
          <w:rFonts w:cs="Arial" w:hint="cs"/>
          <w:rtl/>
        </w:rPr>
        <w:t xml:space="preserve"> ו</w:t>
      </w:r>
      <w:r w:rsidRPr="00FD120E">
        <w:rPr>
          <w:rFonts w:cs="Arial"/>
          <w:rtl/>
        </w:rPr>
        <w:t xml:space="preserve">סמ"ק </w:t>
      </w:r>
      <w:r w:rsidRPr="00FD120E">
        <w:rPr>
          <w:rFonts w:cs="Arial"/>
          <w:sz w:val="16"/>
          <w:szCs w:val="16"/>
          <w:rtl/>
        </w:rPr>
        <w:t xml:space="preserve">(סי' רפב </w:t>
      </w:r>
      <w:r>
        <w:rPr>
          <w:rFonts w:cs="Arial" w:hint="cs"/>
          <w:sz w:val="16"/>
          <w:szCs w:val="16"/>
          <w:rtl/>
        </w:rPr>
        <w:t>ד"ה אין משלחין</w:t>
      </w:r>
      <w:r w:rsidRPr="00FD120E">
        <w:rPr>
          <w:rFonts w:cs="Arial"/>
          <w:sz w:val="16"/>
          <w:szCs w:val="16"/>
          <w:rtl/>
        </w:rPr>
        <w:t>)</w:t>
      </w:r>
      <w:r>
        <w:rPr>
          <w:rFonts w:cs="Arial" w:hint="cs"/>
          <w:rtl/>
        </w:rPr>
        <w:t xml:space="preserve">- </w:t>
      </w:r>
      <w:r w:rsidRPr="003E70A8">
        <w:rPr>
          <w:rFonts w:cs="Arial"/>
          <w:rtl/>
        </w:rPr>
        <w:t>אין משלחין איגרו' ביד גוי בערב שבת אם יודע שנושאו בשבת אבל אם קצץ לו דמים מותר, וכן הדין בנותנים לגוי מלבושים למכור</w:t>
      </w:r>
      <w:r>
        <w:rPr>
          <w:rFonts w:cs="Arial" w:hint="cs"/>
          <w:sz w:val="16"/>
          <w:szCs w:val="16"/>
          <w:rtl/>
        </w:rPr>
        <w:t xml:space="preserve"> (ל' הסמ"ק)</w:t>
      </w:r>
      <w:r>
        <w:rPr>
          <w:rFonts w:cs="Arial" w:hint="cs"/>
          <w:rtl/>
        </w:rPr>
        <w:t>.</w:t>
      </w:r>
      <w:r w:rsidRPr="00FD120E">
        <w:rPr>
          <w:rFonts w:cs="Arial"/>
          <w:rtl/>
        </w:rPr>
        <w:t xml:space="preserve"> </w:t>
      </w:r>
      <w:r w:rsidRPr="003E70A8">
        <w:rPr>
          <w:rFonts w:cs="Arial"/>
          <w:rtl/>
        </w:rPr>
        <w:t xml:space="preserve">ובלבד שלא יאמר לו מכור בשבת אלא בסתמא מכור וקנה לכשתחפוץ </w:t>
      </w:r>
      <w:r>
        <w:rPr>
          <w:rFonts w:cs="Arial" w:hint="cs"/>
          <w:sz w:val="16"/>
          <w:szCs w:val="16"/>
          <w:rtl/>
        </w:rPr>
        <w:t>(ל' המרדכי בשם הסמ"ג)</w:t>
      </w:r>
      <w:r w:rsidRPr="00FD120E">
        <w:rPr>
          <w:rFonts w:cs="Arial" w:hint="cs"/>
          <w:rtl/>
        </w:rPr>
        <w:t>.</w:t>
      </w:r>
      <w:r w:rsidRPr="00364636">
        <w:rPr>
          <w:rFonts w:cs="Arial" w:hint="cs"/>
          <w:color w:val="E36C0A" w:themeColor="accent6" w:themeShade="BF"/>
          <w:rtl/>
        </w:rPr>
        <w:t xml:space="preserve"> </w:t>
      </w:r>
      <w:r w:rsidRPr="0099728C">
        <w:rPr>
          <w:rFonts w:cs="Arial" w:hint="cs"/>
          <w:color w:val="E36C0A" w:themeColor="accent6" w:themeShade="BF"/>
          <w:rtl/>
        </w:rPr>
        <w:t>(וכ</w:t>
      </w:r>
      <w:r>
        <w:rPr>
          <w:rFonts w:cs="Arial" w:hint="cs"/>
          <w:color w:val="E36C0A" w:themeColor="accent6" w:themeShade="BF"/>
          <w:rtl/>
        </w:rPr>
        <w:t>"</w:t>
      </w:r>
      <w:r w:rsidRPr="0099728C">
        <w:rPr>
          <w:rFonts w:cs="Arial" w:hint="cs"/>
          <w:color w:val="E36C0A" w:themeColor="accent6" w:themeShade="BF"/>
          <w:rtl/>
        </w:rPr>
        <w:t>פ בשו"ע)</w:t>
      </w:r>
    </w:p>
    <w:p w14:paraId="5903BE82" w14:textId="77777777" w:rsidR="004B2E7C" w:rsidRPr="00E919E3" w:rsidRDefault="004B2E7C" w:rsidP="00434A6A">
      <w:pPr>
        <w:rPr>
          <w:u w:val="single"/>
          <w:rtl/>
        </w:rPr>
      </w:pPr>
      <w:r w:rsidRPr="00E919E3">
        <w:rPr>
          <w:rFonts w:hint="cs"/>
          <w:u w:val="single"/>
          <w:rtl/>
        </w:rPr>
        <w:t>תיקון למי שלא התנה עם הגוי מתחילה:</w:t>
      </w:r>
    </w:p>
    <w:p w14:paraId="7FB06C72" w14:textId="77777777" w:rsidR="004B2E7C" w:rsidRPr="007F0059" w:rsidRDefault="004B2E7C" w:rsidP="00FF2D21">
      <w:pPr>
        <w:pStyle w:val="aa"/>
        <w:numPr>
          <w:ilvl w:val="0"/>
          <w:numId w:val="102"/>
        </w:numPr>
        <w:rPr>
          <w:rtl/>
        </w:rPr>
      </w:pPr>
      <w:r w:rsidRPr="00364636">
        <w:rPr>
          <w:rFonts w:cs="Arial" w:hint="cs"/>
          <w:rtl/>
        </w:rPr>
        <w:t xml:space="preserve">תוס' </w:t>
      </w:r>
      <w:r w:rsidRPr="00364636">
        <w:rPr>
          <w:rFonts w:cs="Arial"/>
          <w:sz w:val="16"/>
          <w:szCs w:val="16"/>
          <w:rtl/>
        </w:rPr>
        <w:t>(כב. ד"ה לא יאמר)</w:t>
      </w:r>
      <w:r>
        <w:rPr>
          <w:rFonts w:cs="Arial" w:hint="cs"/>
          <w:rtl/>
        </w:rPr>
        <w:t xml:space="preserve"> ורא"ש </w:t>
      </w:r>
      <w:r>
        <w:rPr>
          <w:rFonts w:cs="Arial" w:hint="cs"/>
          <w:sz w:val="16"/>
          <w:szCs w:val="16"/>
          <w:rtl/>
        </w:rPr>
        <w:t>(ספ"ק דע"ז סי' כד)</w:t>
      </w:r>
      <w:r w:rsidRPr="00364636">
        <w:rPr>
          <w:rFonts w:cs="Arial" w:hint="cs"/>
          <w:rtl/>
        </w:rPr>
        <w:t>-</w:t>
      </w:r>
      <w:r w:rsidRPr="00364636">
        <w:rPr>
          <w:rtl/>
        </w:rPr>
        <w:t xml:space="preserve"> </w:t>
      </w:r>
      <w:r w:rsidRPr="00364636">
        <w:rPr>
          <w:rFonts w:cs="Arial"/>
          <w:rtl/>
        </w:rPr>
        <w:t>מיהו היכא שלקחו הישראל במשכון נראה שא"צ להתנות כלום</w:t>
      </w:r>
      <w:r>
        <w:rPr>
          <w:rStyle w:val="a9"/>
          <w:rFonts w:cs="Arial"/>
          <w:rtl/>
        </w:rPr>
        <w:footnoteReference w:id="97"/>
      </w:r>
      <w:r w:rsidRPr="00364636">
        <w:rPr>
          <w:rFonts w:cs="Arial"/>
          <w:rtl/>
        </w:rPr>
        <w:t xml:space="preserve"> כיון שהוא ברשות </w:t>
      </w:r>
      <w:r>
        <w:rPr>
          <w:rFonts w:cs="Arial" w:hint="cs"/>
          <w:rtl/>
        </w:rPr>
        <w:t>הגוי</w:t>
      </w:r>
      <w:r w:rsidRPr="00364636">
        <w:rPr>
          <w:rFonts w:cs="Arial"/>
          <w:rtl/>
        </w:rPr>
        <w:t xml:space="preserve"> ושכר התנור הוא לישראל מרבית </w:t>
      </w:r>
      <w:r>
        <w:rPr>
          <w:rFonts w:cs="Arial" w:hint="cs"/>
          <w:rtl/>
        </w:rPr>
        <w:t>שהגוי</w:t>
      </w:r>
      <w:r w:rsidRPr="00364636">
        <w:rPr>
          <w:rFonts w:cs="Arial"/>
          <w:rtl/>
        </w:rPr>
        <w:t xml:space="preserve"> נותן לו ואין הישראל קונה חלק בתנור</w:t>
      </w:r>
      <w:r>
        <w:rPr>
          <w:rFonts w:cs="Arial" w:hint="cs"/>
          <w:rtl/>
        </w:rPr>
        <w:t>,</w:t>
      </w:r>
      <w:r w:rsidRPr="00364636">
        <w:rPr>
          <w:rFonts w:cs="Arial"/>
          <w:rtl/>
        </w:rPr>
        <w:t xml:space="preserve"> דדוקא נקט לקחו</w:t>
      </w:r>
      <w:r>
        <w:rPr>
          <w:rFonts w:cs="Arial" w:hint="cs"/>
          <w:sz w:val="16"/>
          <w:szCs w:val="16"/>
          <w:rtl/>
        </w:rPr>
        <w:t xml:space="preserve"> (ל' התוס')</w:t>
      </w:r>
      <w:r w:rsidRPr="00364636">
        <w:rPr>
          <w:rFonts w:cs="Arial"/>
          <w:rtl/>
        </w:rPr>
        <w:t>.</w:t>
      </w:r>
      <w:r w:rsidRPr="00364636">
        <w:rPr>
          <w:rFonts w:cs="Arial" w:hint="cs"/>
          <w:color w:val="E36C0A" w:themeColor="accent6" w:themeShade="BF"/>
          <w:rtl/>
        </w:rPr>
        <w:t xml:space="preserve"> </w:t>
      </w:r>
      <w:r w:rsidRPr="0099728C">
        <w:rPr>
          <w:rFonts w:cs="Arial" w:hint="cs"/>
          <w:color w:val="E36C0A" w:themeColor="accent6" w:themeShade="BF"/>
          <w:rtl/>
        </w:rPr>
        <w:t>(וכ</w:t>
      </w:r>
      <w:r>
        <w:rPr>
          <w:rFonts w:cs="Arial" w:hint="cs"/>
          <w:color w:val="E36C0A" w:themeColor="accent6" w:themeShade="BF"/>
          <w:rtl/>
        </w:rPr>
        <w:t>"</w:t>
      </w:r>
      <w:r w:rsidRPr="0099728C">
        <w:rPr>
          <w:rFonts w:cs="Arial" w:hint="cs"/>
          <w:color w:val="E36C0A" w:themeColor="accent6" w:themeShade="BF"/>
          <w:rtl/>
        </w:rPr>
        <w:t>פ בשו"ע)</w:t>
      </w:r>
    </w:p>
    <w:p w14:paraId="2E3D4ED8"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01069102" w14:textId="77777777" w:rsidR="004B2E7C" w:rsidRDefault="004B2E7C" w:rsidP="00434A6A">
      <w:pPr>
        <w:rPr>
          <w:rtl/>
        </w:rPr>
      </w:pPr>
      <w:r>
        <w:rPr>
          <w:rFonts w:cs="Arial"/>
          <w:rtl/>
        </w:rPr>
        <w:t>מותר לישראל ליתן סחורה לגוי למכור, אם קצץ לו שכר, ובלבד שלא יאמר לו מכור בשבת</w:t>
      </w:r>
      <w:r>
        <w:rPr>
          <w:rStyle w:val="a9"/>
          <w:rFonts w:cs="Arial"/>
          <w:rtl/>
        </w:rPr>
        <w:footnoteReference w:id="98"/>
      </w:r>
      <w:r>
        <w:rPr>
          <w:rFonts w:cs="Arial"/>
          <w:rtl/>
        </w:rPr>
        <w:t>. תנור שלקחו ישראל משכון מגוי, וקבל עליו הגוי שמה שיעלה שכר התנור יתן לישראל ברבית מעותיו, מותר ליטול שכר שבת</w:t>
      </w:r>
      <w:r>
        <w:rPr>
          <w:rStyle w:val="a9"/>
          <w:rFonts w:cs="Arial"/>
          <w:rtl/>
        </w:rPr>
        <w:footnoteReference w:id="99"/>
      </w:r>
      <w:r>
        <w:rPr>
          <w:rFonts w:cs="Arial"/>
          <w:rtl/>
        </w:rPr>
        <w:t xml:space="preserve"> לפי שהוא ברשות הגוי ואין לישראל חלק בו וגם אין הישראל אומר לו לעסוק בשבת, והגוי כי טרח בנפשיה טרח, לקיים תנאו. </w:t>
      </w:r>
    </w:p>
    <w:p w14:paraId="73F5B9B6" w14:textId="77777777" w:rsidR="004B2E7C" w:rsidRDefault="004B2E7C" w:rsidP="00434A6A">
      <w:pPr>
        <w:rPr>
          <w:rtl/>
        </w:rPr>
      </w:pPr>
    </w:p>
    <w:p w14:paraId="34E27FF8" w14:textId="77777777" w:rsidR="004B2E7C" w:rsidRDefault="004B2E7C" w:rsidP="00434A6A">
      <w:pPr>
        <w:pStyle w:val="2"/>
        <w:rPr>
          <w:rtl/>
        </w:rPr>
      </w:pPr>
      <w:r>
        <w:rPr>
          <w:rtl/>
        </w:rPr>
        <w:t>סעיף ו</w:t>
      </w:r>
      <w:r>
        <w:rPr>
          <w:rFonts w:hint="cs"/>
          <w:rtl/>
        </w:rPr>
        <w:t xml:space="preserve">: </w:t>
      </w:r>
      <w:r w:rsidRPr="00531F88">
        <w:rPr>
          <w:rtl/>
        </w:rPr>
        <w:t xml:space="preserve">גוים </w:t>
      </w:r>
      <w:r w:rsidRPr="00531F88">
        <w:rPr>
          <w:rFonts w:hint="cs"/>
          <w:rtl/>
        </w:rPr>
        <w:t xml:space="preserve">שאפו </w:t>
      </w:r>
      <w:r w:rsidRPr="00531F88">
        <w:rPr>
          <w:rtl/>
        </w:rPr>
        <w:t>בתנורו של ישראל בשבת בעל כרחו</w:t>
      </w:r>
      <w:r>
        <w:rPr>
          <w:rFonts w:hint="cs"/>
          <w:rtl/>
        </w:rPr>
        <w:t>.</w:t>
      </w:r>
    </w:p>
    <w:p w14:paraId="70540E0E" w14:textId="77777777" w:rsidR="004B2E7C" w:rsidRPr="0025732D" w:rsidRDefault="004B2E7C" w:rsidP="00434A6A">
      <w:pPr>
        <w:rPr>
          <w:u w:val="single"/>
          <w:rtl/>
        </w:rPr>
      </w:pPr>
      <w:r w:rsidRPr="00531F88">
        <w:rPr>
          <w:rFonts w:cs="Arial"/>
          <w:u w:val="single"/>
          <w:rtl/>
        </w:rPr>
        <w:t xml:space="preserve">גוים </w:t>
      </w:r>
      <w:r w:rsidRPr="00531F88">
        <w:rPr>
          <w:rFonts w:cs="Arial" w:hint="cs"/>
          <w:u w:val="single"/>
          <w:rtl/>
        </w:rPr>
        <w:t xml:space="preserve">שאפו </w:t>
      </w:r>
      <w:r w:rsidRPr="00531F88">
        <w:rPr>
          <w:rFonts w:cs="Arial"/>
          <w:u w:val="single"/>
          <w:rtl/>
        </w:rPr>
        <w:t>בתנורו של ישראל בשבת בעל כרחו</w:t>
      </w:r>
      <w:r>
        <w:rPr>
          <w:rFonts w:cs="Arial" w:hint="cs"/>
          <w:u w:val="single"/>
          <w:rtl/>
        </w:rPr>
        <w:t>, ונתנו לו שכר</w:t>
      </w:r>
      <w:r w:rsidRPr="0025732D">
        <w:rPr>
          <w:rFonts w:cs="Arial" w:hint="cs"/>
          <w:u w:val="single"/>
          <w:rtl/>
        </w:rPr>
        <w:t>:</w:t>
      </w:r>
    </w:p>
    <w:p w14:paraId="63AC1B6E" w14:textId="77777777" w:rsidR="004B2E7C" w:rsidRPr="0025732D" w:rsidRDefault="004B2E7C" w:rsidP="00FF2D21">
      <w:pPr>
        <w:pStyle w:val="aa"/>
        <w:numPr>
          <w:ilvl w:val="0"/>
          <w:numId w:val="102"/>
        </w:numPr>
      </w:pPr>
      <w:r w:rsidRPr="00467E65">
        <w:rPr>
          <w:rFonts w:cs="Arial"/>
          <w:rtl/>
        </w:rPr>
        <w:t xml:space="preserve">מרדכי </w:t>
      </w:r>
      <w:r w:rsidRPr="00467E65">
        <w:rPr>
          <w:rFonts w:cs="Arial" w:hint="cs"/>
          <w:sz w:val="16"/>
          <w:szCs w:val="16"/>
          <w:rtl/>
        </w:rPr>
        <w:t>(</w:t>
      </w:r>
      <w:r w:rsidRPr="00467E65">
        <w:rPr>
          <w:rFonts w:cs="Arial"/>
          <w:sz w:val="16"/>
          <w:szCs w:val="16"/>
          <w:rtl/>
        </w:rPr>
        <w:t>פ"ק דשבת סי' רמו)</w:t>
      </w:r>
      <w:r>
        <w:rPr>
          <w:rFonts w:cs="Arial" w:hint="cs"/>
          <w:rtl/>
        </w:rPr>
        <w:t xml:space="preserve">- </w:t>
      </w:r>
      <w:r w:rsidRPr="00467E65">
        <w:rPr>
          <w:rFonts w:cs="Arial"/>
          <w:rtl/>
        </w:rPr>
        <w:t xml:space="preserve">אם אפו גוים בתנורו של ישראל בשבת בעל כרחו ונתנו לו פת בשכר התנור </w:t>
      </w:r>
      <w:r>
        <w:rPr>
          <w:rFonts w:cs="Arial" w:hint="cs"/>
          <w:rtl/>
        </w:rPr>
        <w:t xml:space="preserve">- </w:t>
      </w:r>
      <w:r w:rsidRPr="00467E65">
        <w:rPr>
          <w:rFonts w:cs="Arial"/>
          <w:rtl/>
        </w:rPr>
        <w:t xml:space="preserve">אסור ליהנות ממנו. </w:t>
      </w:r>
      <w:r w:rsidRPr="0099728C">
        <w:rPr>
          <w:rFonts w:cs="Arial" w:hint="cs"/>
          <w:color w:val="E36C0A" w:themeColor="accent6" w:themeShade="BF"/>
          <w:rtl/>
        </w:rPr>
        <w:t>(וכ</w:t>
      </w:r>
      <w:r>
        <w:rPr>
          <w:rFonts w:cs="Arial" w:hint="cs"/>
          <w:color w:val="E36C0A" w:themeColor="accent6" w:themeShade="BF"/>
          <w:rtl/>
        </w:rPr>
        <w:t>"</w:t>
      </w:r>
      <w:r w:rsidRPr="0099728C">
        <w:rPr>
          <w:rFonts w:cs="Arial" w:hint="cs"/>
          <w:color w:val="E36C0A" w:themeColor="accent6" w:themeShade="BF"/>
          <w:rtl/>
        </w:rPr>
        <w:t>פ בשו"ע)</w:t>
      </w:r>
    </w:p>
    <w:p w14:paraId="5CA53DF9" w14:textId="77777777" w:rsidR="004B2E7C" w:rsidRPr="0025732D" w:rsidRDefault="004B2E7C" w:rsidP="00434A6A">
      <w:pPr>
        <w:rPr>
          <w:u w:val="single"/>
        </w:rPr>
      </w:pPr>
      <w:r w:rsidRPr="0025732D">
        <w:rPr>
          <w:rFonts w:hint="cs"/>
          <w:u w:val="single"/>
          <w:rtl/>
        </w:rPr>
        <w:t xml:space="preserve">שכר שבת </w:t>
      </w:r>
      <w:r>
        <w:rPr>
          <w:rFonts w:hint="cs"/>
          <w:u w:val="single"/>
          <w:rtl/>
        </w:rPr>
        <w:t xml:space="preserve">- </w:t>
      </w:r>
      <w:r w:rsidRPr="0025732D">
        <w:rPr>
          <w:rFonts w:hint="cs"/>
          <w:u w:val="single"/>
          <w:rtl/>
        </w:rPr>
        <w:t>בדיעבד:</w:t>
      </w:r>
    </w:p>
    <w:p w14:paraId="4A4772B1" w14:textId="77777777" w:rsidR="004B2E7C" w:rsidRPr="005A2779" w:rsidRDefault="004B2E7C" w:rsidP="00FF2D21">
      <w:pPr>
        <w:pStyle w:val="aa"/>
        <w:numPr>
          <w:ilvl w:val="0"/>
          <w:numId w:val="102"/>
        </w:numPr>
      </w:pPr>
      <w:r w:rsidRPr="00467E65">
        <w:rPr>
          <w:rFonts w:cs="Arial"/>
          <w:rtl/>
        </w:rPr>
        <w:t xml:space="preserve">מרדכי </w:t>
      </w:r>
      <w:r w:rsidRPr="00467E65">
        <w:rPr>
          <w:rFonts w:cs="Arial" w:hint="cs"/>
          <w:sz w:val="16"/>
          <w:szCs w:val="16"/>
          <w:rtl/>
        </w:rPr>
        <w:t>(</w:t>
      </w:r>
      <w:r w:rsidRPr="00467E65">
        <w:rPr>
          <w:rFonts w:cs="Arial"/>
          <w:sz w:val="16"/>
          <w:szCs w:val="16"/>
          <w:rtl/>
        </w:rPr>
        <w:t>פ"ק דשבת סי' רמו)</w:t>
      </w:r>
      <w:r>
        <w:rPr>
          <w:rFonts w:cs="Arial" w:hint="cs"/>
          <w:rtl/>
        </w:rPr>
        <w:t xml:space="preserve">- </w:t>
      </w:r>
      <w:r w:rsidRPr="00467E65">
        <w:rPr>
          <w:rFonts w:cs="Arial"/>
          <w:rtl/>
        </w:rPr>
        <w:t xml:space="preserve">כל שכר שבת וחילופי שבת </w:t>
      </w:r>
      <w:r>
        <w:rPr>
          <w:rFonts w:cs="Arial" w:hint="cs"/>
          <w:rtl/>
        </w:rPr>
        <w:t xml:space="preserve">- </w:t>
      </w:r>
      <w:r w:rsidRPr="00467E65">
        <w:rPr>
          <w:rFonts w:cs="Arial"/>
          <w:rtl/>
        </w:rPr>
        <w:t>אסור אפילו בדיעבד</w:t>
      </w:r>
      <w:r>
        <w:rPr>
          <w:rFonts w:cs="Arial" w:hint="cs"/>
          <w:rtl/>
        </w:rPr>
        <w:t>,</w:t>
      </w:r>
      <w:r w:rsidRPr="00467E65">
        <w:rPr>
          <w:rFonts w:cs="Arial"/>
          <w:rtl/>
        </w:rPr>
        <w:t xml:space="preserve"> דהא קתני ואם באו לחשבון אסור והא אם באו לחשבון כמה נטל הגוי בשבת וכמה הישראל באחד בשבת דיעבד הוא ואסור</w:t>
      </w:r>
      <w:r>
        <w:rPr>
          <w:rStyle w:val="a9"/>
          <w:rFonts w:cs="Arial"/>
          <w:rtl/>
        </w:rPr>
        <w:footnoteReference w:id="100"/>
      </w:r>
      <w:r>
        <w:rPr>
          <w:rFonts w:cs="Arial" w:hint="cs"/>
          <w:rtl/>
        </w:rPr>
        <w:t>.</w:t>
      </w:r>
      <w:r w:rsidRPr="00467E65">
        <w:rPr>
          <w:rFonts w:cs="Arial"/>
          <w:rtl/>
        </w:rPr>
        <w:t xml:space="preserve"> </w:t>
      </w:r>
    </w:p>
    <w:p w14:paraId="3207C618" w14:textId="77777777" w:rsidR="004B2E7C" w:rsidRPr="004D38ED" w:rsidRDefault="004B2E7C" w:rsidP="00434A6A">
      <w:pPr>
        <w:rPr>
          <w:u w:val="single"/>
        </w:rPr>
      </w:pPr>
      <w:r w:rsidRPr="004D38ED">
        <w:rPr>
          <w:rFonts w:cs="Arial"/>
          <w:u w:val="single"/>
          <w:rtl/>
        </w:rPr>
        <w:t>ישראל וגוי שקבלו מטבע מן המלך</w:t>
      </w:r>
      <w:r w:rsidRPr="004D38ED">
        <w:rPr>
          <w:rFonts w:hint="cs"/>
          <w:u w:val="single"/>
          <w:rtl/>
        </w:rPr>
        <w:t>:</w:t>
      </w:r>
    </w:p>
    <w:p w14:paraId="6F475FBB" w14:textId="77777777" w:rsidR="004B2E7C" w:rsidRDefault="004B2E7C" w:rsidP="00FF2D21">
      <w:pPr>
        <w:pStyle w:val="aa"/>
        <w:numPr>
          <w:ilvl w:val="0"/>
          <w:numId w:val="102"/>
        </w:numPr>
      </w:pPr>
      <w:r>
        <w:rPr>
          <w:rFonts w:cs="Arial" w:hint="cs"/>
          <w:rtl/>
        </w:rPr>
        <w:t xml:space="preserve">הג"א </w:t>
      </w:r>
      <w:r w:rsidRPr="00917CA8">
        <w:rPr>
          <w:rFonts w:cs="Arial" w:hint="cs"/>
          <w:sz w:val="16"/>
          <w:szCs w:val="16"/>
          <w:rtl/>
        </w:rPr>
        <w:t>(</w:t>
      </w:r>
      <w:r w:rsidRPr="00917CA8">
        <w:rPr>
          <w:rFonts w:cs="Arial"/>
          <w:sz w:val="16"/>
          <w:szCs w:val="16"/>
          <w:rtl/>
        </w:rPr>
        <w:t>ספ"ק דעבודה זרה סי' כד)</w:t>
      </w:r>
      <w:r>
        <w:rPr>
          <w:rFonts w:cs="Arial" w:hint="cs"/>
          <w:rtl/>
        </w:rPr>
        <w:t xml:space="preserve"> בשם או"ז-</w:t>
      </w:r>
      <w:r w:rsidRPr="00467E65">
        <w:rPr>
          <w:rFonts w:cs="Arial"/>
          <w:rtl/>
        </w:rPr>
        <w:t xml:space="preserve"> ישראל וגוי שקבלו מטבע מן המלך</w:t>
      </w:r>
      <w:r>
        <w:rPr>
          <w:rFonts w:cs="Arial" w:hint="cs"/>
          <w:rtl/>
        </w:rPr>
        <w:t>,</w:t>
      </w:r>
      <w:r w:rsidRPr="00467E65">
        <w:rPr>
          <w:rFonts w:cs="Arial"/>
          <w:rtl/>
        </w:rPr>
        <w:t xml:space="preserve"> אם התנו עד שלא קבלו המטבע שיעשה הגוי בשבת והישראל בחול </w:t>
      </w:r>
      <w:r>
        <w:rPr>
          <w:rFonts w:cs="Arial" w:hint="cs"/>
          <w:rtl/>
        </w:rPr>
        <w:t xml:space="preserve">- </w:t>
      </w:r>
      <w:r w:rsidRPr="00467E65">
        <w:rPr>
          <w:rFonts w:cs="Arial"/>
          <w:rtl/>
        </w:rPr>
        <w:t>מותר</w:t>
      </w:r>
      <w:r>
        <w:rPr>
          <w:rFonts w:cs="Arial" w:hint="cs"/>
          <w:rtl/>
        </w:rPr>
        <w:t>.</w:t>
      </w:r>
      <w:r w:rsidRPr="00467E65">
        <w:rPr>
          <w:rFonts w:cs="Arial"/>
          <w:rtl/>
        </w:rPr>
        <w:t xml:space="preserve"> ואם לא התנו מתחלה</w:t>
      </w:r>
      <w:r>
        <w:rPr>
          <w:rFonts w:cs="Arial" w:hint="cs"/>
          <w:rtl/>
        </w:rPr>
        <w:t>,</w:t>
      </w:r>
      <w:r w:rsidRPr="00467E65">
        <w:rPr>
          <w:rFonts w:cs="Arial"/>
          <w:rtl/>
        </w:rPr>
        <w:t xml:space="preserve"> אם ישראל פיקח ישכיר את הגוי</w:t>
      </w:r>
      <w:r>
        <w:rPr>
          <w:rStyle w:val="a9"/>
          <w:rFonts w:cs="Arial"/>
          <w:rtl/>
        </w:rPr>
        <w:footnoteReference w:id="101"/>
      </w:r>
      <w:r w:rsidRPr="00467E65">
        <w:rPr>
          <w:rFonts w:cs="Arial"/>
          <w:rtl/>
        </w:rPr>
        <w:t xml:space="preserve"> שיעשה חלקו בשבת דבדידהו קא טרחי ומותר</w:t>
      </w:r>
      <w:r>
        <w:rPr>
          <w:rFonts w:cs="Arial" w:hint="cs"/>
          <w:rtl/>
        </w:rPr>
        <w:t>.</w:t>
      </w:r>
      <w:r w:rsidRPr="00467E65">
        <w:rPr>
          <w:rFonts w:cs="Arial"/>
          <w:rtl/>
        </w:rPr>
        <w:t xml:space="preserve"> כללא דמילתא</w:t>
      </w:r>
      <w:r>
        <w:rPr>
          <w:rFonts w:cs="Arial" w:hint="cs"/>
          <w:rtl/>
        </w:rPr>
        <w:t>,</w:t>
      </w:r>
      <w:r w:rsidRPr="00467E65">
        <w:rPr>
          <w:rFonts w:cs="Arial"/>
          <w:rtl/>
        </w:rPr>
        <w:t xml:space="preserve"> בשכירות דבדידיה קא טרח </w:t>
      </w:r>
      <w:r>
        <w:rPr>
          <w:rFonts w:cs="Arial" w:hint="cs"/>
          <w:rtl/>
        </w:rPr>
        <w:t xml:space="preserve">- </w:t>
      </w:r>
      <w:r w:rsidRPr="00467E65">
        <w:rPr>
          <w:rFonts w:cs="Arial"/>
          <w:rtl/>
        </w:rPr>
        <w:t>מותר</w:t>
      </w:r>
      <w:r>
        <w:rPr>
          <w:rFonts w:cs="Arial" w:hint="cs"/>
          <w:rtl/>
        </w:rPr>
        <w:t>,</w:t>
      </w:r>
      <w:r w:rsidRPr="00467E65">
        <w:rPr>
          <w:rFonts w:cs="Arial"/>
          <w:rtl/>
        </w:rPr>
        <w:t xml:space="preserve"> ואסור ליהנות ממנו בשבת שלא בשכירות</w:t>
      </w:r>
      <w:r>
        <w:rPr>
          <w:rFonts w:cs="Arial" w:hint="cs"/>
          <w:rtl/>
        </w:rPr>
        <w:t>,</w:t>
      </w:r>
      <w:r w:rsidRPr="00467E65">
        <w:rPr>
          <w:rFonts w:cs="Arial"/>
          <w:rtl/>
        </w:rPr>
        <w:t xml:space="preserve"> דשליחותיה קא עביד</w:t>
      </w:r>
      <w:r>
        <w:rPr>
          <w:rFonts w:cs="Arial" w:hint="cs"/>
          <w:sz w:val="16"/>
          <w:szCs w:val="16"/>
          <w:rtl/>
        </w:rPr>
        <w:t xml:space="preserve"> (ל' ההג"א, עם תיקון לשון ע"פ הב"י)</w:t>
      </w:r>
      <w:r>
        <w:rPr>
          <w:rFonts w:cs="Arial" w:hint="cs"/>
          <w:rtl/>
        </w:rPr>
        <w:t>.</w:t>
      </w:r>
      <w:r w:rsidRPr="00467E65">
        <w:rPr>
          <w:rFonts w:cs="Arial"/>
          <w:rtl/>
        </w:rPr>
        <w:t xml:space="preserve"> </w:t>
      </w:r>
    </w:p>
    <w:p w14:paraId="2030810C" w14:textId="77777777" w:rsidR="004B2E7C" w:rsidRPr="00917CA8" w:rsidRDefault="004B2E7C" w:rsidP="00434A6A">
      <w:pPr>
        <w:rPr>
          <w:u w:val="single"/>
        </w:rPr>
      </w:pPr>
      <w:r w:rsidRPr="00917CA8">
        <w:rPr>
          <w:rFonts w:hint="cs"/>
          <w:u w:val="single"/>
          <w:rtl/>
        </w:rPr>
        <w:t>ישראל וגוי ששותפים בבהמה:</w:t>
      </w:r>
    </w:p>
    <w:p w14:paraId="7FD3636D" w14:textId="77777777" w:rsidR="004B2E7C" w:rsidRPr="007F0059" w:rsidRDefault="004B2E7C" w:rsidP="00FF2D21">
      <w:pPr>
        <w:pStyle w:val="aa"/>
        <w:numPr>
          <w:ilvl w:val="0"/>
          <w:numId w:val="102"/>
        </w:numPr>
        <w:rPr>
          <w:rtl/>
        </w:rPr>
      </w:pPr>
      <w:r>
        <w:rPr>
          <w:rFonts w:cs="Arial" w:hint="cs"/>
          <w:rtl/>
        </w:rPr>
        <w:t>עיין בסוף סימן רמו (סע' ה).</w:t>
      </w:r>
    </w:p>
    <w:p w14:paraId="6B9A4408"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830D56E" w14:textId="77777777" w:rsidR="004B2E7C" w:rsidRDefault="004B2E7C" w:rsidP="00434A6A">
      <w:pPr>
        <w:rPr>
          <w:rtl/>
        </w:rPr>
      </w:pPr>
      <w:r>
        <w:rPr>
          <w:rFonts w:cs="Arial"/>
          <w:rtl/>
        </w:rPr>
        <w:t>אם אפו אינם יהודים בתנורו של ישראל בשבת</w:t>
      </w:r>
      <w:r>
        <w:rPr>
          <w:rStyle w:val="a9"/>
          <w:rFonts w:cs="Arial"/>
          <w:rtl/>
        </w:rPr>
        <w:footnoteReference w:id="102"/>
      </w:r>
      <w:r>
        <w:rPr>
          <w:rFonts w:cs="Arial"/>
          <w:rtl/>
        </w:rPr>
        <w:t>, על כרחו, ונתנו לו פת</w:t>
      </w:r>
      <w:r>
        <w:rPr>
          <w:rStyle w:val="a9"/>
          <w:rFonts w:cs="Arial"/>
          <w:rtl/>
        </w:rPr>
        <w:footnoteReference w:id="103"/>
      </w:r>
      <w:r>
        <w:rPr>
          <w:rFonts w:cs="Arial"/>
          <w:rtl/>
        </w:rPr>
        <w:t xml:space="preserve"> בשכר התנור, אסור ליהנות ממנו.</w:t>
      </w:r>
    </w:p>
    <w:p w14:paraId="24788D71" w14:textId="77777777" w:rsidR="004B2E7C" w:rsidRDefault="004B2E7C" w:rsidP="00434A6A">
      <w:pPr>
        <w:rPr>
          <w:rtl/>
        </w:rPr>
      </w:pPr>
    </w:p>
    <w:p w14:paraId="3FD6EF88" w14:textId="77777777" w:rsidR="004B2E7C" w:rsidRDefault="004B2E7C" w:rsidP="00434A6A">
      <w:pPr>
        <w:pStyle w:val="1"/>
        <w:rPr>
          <w:rtl/>
        </w:rPr>
        <w:sectPr w:rsidR="004B2E7C" w:rsidSect="00BD29B1">
          <w:headerReference w:type="default" r:id="rId16"/>
          <w:footnotePr>
            <w:numRestart w:val="eachSect"/>
          </w:footnotePr>
          <w:pgSz w:w="11906" w:h="16838"/>
          <w:pgMar w:top="720" w:right="1134" w:bottom="720" w:left="1134" w:header="0" w:footer="0" w:gutter="0"/>
          <w:cols w:space="720"/>
          <w:bidi/>
          <w:rtlGutter/>
          <w:docGrid w:linePitch="360"/>
        </w:sectPr>
      </w:pPr>
    </w:p>
    <w:p w14:paraId="33B01930" w14:textId="77777777" w:rsidR="004B2E7C" w:rsidRDefault="004B2E7C" w:rsidP="00434A6A">
      <w:pPr>
        <w:pStyle w:val="1"/>
        <w:rPr>
          <w:rtl/>
        </w:rPr>
      </w:pPr>
      <w:r>
        <w:rPr>
          <w:rFonts w:hint="cs"/>
          <w:rtl/>
        </w:rPr>
        <w:t>סימן רמו:</w:t>
      </w:r>
      <w:r w:rsidRPr="0085796F">
        <w:rPr>
          <w:rtl/>
        </w:rPr>
        <w:t xml:space="preserve"> </w:t>
      </w:r>
      <w:r>
        <w:rPr>
          <w:rtl/>
        </w:rPr>
        <w:t xml:space="preserve">דיני השאלה והשכרה לגוי בשבת, ובו ה' סעיפים. </w:t>
      </w:r>
    </w:p>
    <w:p w14:paraId="05C305AE" w14:textId="77777777" w:rsidR="004B2E7C" w:rsidRDefault="004B2E7C" w:rsidP="00434A6A">
      <w:pPr>
        <w:pStyle w:val="2"/>
        <w:rPr>
          <w:rtl/>
        </w:rPr>
      </w:pPr>
      <w:r>
        <w:rPr>
          <w:rtl/>
        </w:rPr>
        <w:t>סעיף א</w:t>
      </w:r>
      <w:r>
        <w:rPr>
          <w:rFonts w:hint="cs"/>
          <w:rtl/>
        </w:rPr>
        <w:t xml:space="preserve">: </w:t>
      </w:r>
      <w:r w:rsidRPr="00EA3E8D">
        <w:rPr>
          <w:rFonts w:hint="cs"/>
          <w:rtl/>
        </w:rPr>
        <w:t>השכרת</w:t>
      </w:r>
      <w:r>
        <w:rPr>
          <w:rFonts w:hint="cs"/>
          <w:rtl/>
        </w:rPr>
        <w:t>/השאלת</w:t>
      </w:r>
      <w:r w:rsidRPr="00EA3E8D">
        <w:rPr>
          <w:rFonts w:hint="cs"/>
          <w:rtl/>
        </w:rPr>
        <w:t xml:space="preserve"> כלים לגוי בערב שבת</w:t>
      </w:r>
      <w:r>
        <w:rPr>
          <w:rFonts w:hint="cs"/>
          <w:rtl/>
        </w:rPr>
        <w:t>.</w:t>
      </w:r>
    </w:p>
    <w:p w14:paraId="25BDA361" w14:textId="77777777" w:rsidR="004B2E7C" w:rsidRPr="008F63DB" w:rsidRDefault="004B2E7C" w:rsidP="00434A6A">
      <w:pPr>
        <w:rPr>
          <w:rFonts w:cs="Arial"/>
          <w:rtl/>
        </w:rPr>
      </w:pPr>
      <w:r w:rsidRPr="00DE37AA">
        <w:rPr>
          <w:rFonts w:cs="Arial" w:hint="cs"/>
          <w:b/>
          <w:bCs/>
          <w:rtl/>
        </w:rPr>
        <w:t xml:space="preserve">שבת </w:t>
      </w:r>
      <w:r w:rsidRPr="00DE37AA">
        <w:rPr>
          <w:rFonts w:cs="Arial" w:hint="cs"/>
          <w:b/>
          <w:bCs/>
          <w:sz w:val="16"/>
          <w:szCs w:val="16"/>
          <w:rtl/>
        </w:rPr>
        <w:t xml:space="preserve">(פ"ק) </w:t>
      </w:r>
      <w:r w:rsidRPr="00DE37AA">
        <w:rPr>
          <w:rFonts w:cs="Arial" w:hint="cs"/>
          <w:b/>
          <w:bCs/>
          <w:rtl/>
        </w:rPr>
        <w:t>י</w:t>
      </w:r>
      <w:r>
        <w:rPr>
          <w:rFonts w:cs="Arial" w:hint="cs"/>
          <w:b/>
          <w:bCs/>
          <w:rtl/>
        </w:rPr>
        <w:t>ח</w:t>
      </w:r>
      <w:r w:rsidRPr="00DE37AA">
        <w:rPr>
          <w:rFonts w:cs="Arial" w:hint="cs"/>
          <w:b/>
          <w:bCs/>
          <w:rtl/>
        </w:rPr>
        <w:t xml:space="preserve"> ע"א: </w:t>
      </w:r>
      <w:r w:rsidRPr="00C67EDB">
        <w:rPr>
          <w:rFonts w:cs="Arial"/>
          <w:rtl/>
        </w:rPr>
        <w:t>תנו רבנן: פותקין מים לגינה ערב שבת עם חשיכה, ומתמלאת והולכת כל היום כולו. ומניחין מוגמר תחת הכלים ומתגמרין והולכין כל היום כולו</w:t>
      </w:r>
      <w:r>
        <w:rPr>
          <w:rFonts w:cs="Arial" w:hint="cs"/>
          <w:rtl/>
        </w:rPr>
        <w:t>...</w:t>
      </w:r>
      <w:r w:rsidRPr="00C67EDB">
        <w:rPr>
          <w:rFonts w:cs="Arial"/>
          <w:rtl/>
        </w:rPr>
        <w:t xml:space="preserve"> </w:t>
      </w:r>
      <w:r w:rsidRPr="008F63DB">
        <w:rPr>
          <w:rFonts w:cs="Arial"/>
          <w:u w:val="single"/>
          <w:rtl/>
        </w:rPr>
        <w:t>והשתא דאמר רב אושעיא אמר רב אסי</w:t>
      </w:r>
      <w:r w:rsidRPr="00C67EDB">
        <w:rPr>
          <w:rFonts w:cs="Arial"/>
          <w:rtl/>
        </w:rPr>
        <w:t>: מאן תנא שביתת כלים דאורייתא - בית שמאי היא</w:t>
      </w:r>
      <w:r>
        <w:rPr>
          <w:rFonts w:cs="Arial" w:hint="cs"/>
          <w:rtl/>
        </w:rPr>
        <w:t>,</w:t>
      </w:r>
      <w:r w:rsidRPr="00C67EDB">
        <w:rPr>
          <w:rFonts w:cs="Arial"/>
          <w:rtl/>
        </w:rPr>
        <w:t xml:space="preserve"> ולא בית הלל. לבית שמאי, בין דקעביד מעשה בין דלא קעביד מעשה - אסור. לבית הלל, אף על גב דקעביד מעשה - שרי.</w:t>
      </w:r>
    </w:p>
    <w:p w14:paraId="7731786E" w14:textId="77777777" w:rsidR="004B2E7C" w:rsidRDefault="004B2E7C" w:rsidP="00434A6A">
      <w:pPr>
        <w:rPr>
          <w:rFonts w:cs="Arial"/>
          <w:rtl/>
        </w:rPr>
      </w:pPr>
      <w:r w:rsidRPr="00DE37AA">
        <w:rPr>
          <w:rFonts w:cs="Arial" w:hint="cs"/>
          <w:b/>
          <w:bCs/>
          <w:rtl/>
        </w:rPr>
        <w:t xml:space="preserve">שבת </w:t>
      </w:r>
      <w:r w:rsidRPr="00DE37AA">
        <w:rPr>
          <w:rFonts w:cs="Arial" w:hint="cs"/>
          <w:b/>
          <w:bCs/>
          <w:sz w:val="16"/>
          <w:szCs w:val="16"/>
          <w:rtl/>
        </w:rPr>
        <w:t xml:space="preserve">(פ"ק) </w:t>
      </w:r>
      <w:r w:rsidRPr="00DE37AA">
        <w:rPr>
          <w:rFonts w:cs="Arial" w:hint="cs"/>
          <w:b/>
          <w:bCs/>
          <w:rtl/>
        </w:rPr>
        <w:t xml:space="preserve">יט ע"א: </w:t>
      </w:r>
      <w:r w:rsidRPr="00DE37AA">
        <w:rPr>
          <w:rFonts w:cs="Arial"/>
          <w:rtl/>
        </w:rPr>
        <w:t>תנו רבנן: לא ישכיר אדם כליו לנכרי בערב שבת, ברביעי ובחמישי מותר.</w:t>
      </w:r>
      <w:r w:rsidRPr="0072300F">
        <w:rPr>
          <w:rFonts w:cs="Arial"/>
          <w:sz w:val="16"/>
          <w:szCs w:val="16"/>
          <w:rtl/>
        </w:rPr>
        <w:t xml:space="preserve"> </w:t>
      </w:r>
      <w:r>
        <w:rPr>
          <w:rFonts w:cs="Arial" w:hint="cs"/>
          <w:sz w:val="16"/>
          <w:szCs w:val="16"/>
          <w:rtl/>
        </w:rPr>
        <w:t>(</w:t>
      </w:r>
      <w:r w:rsidRPr="0072300F">
        <w:rPr>
          <w:rFonts w:cs="Arial"/>
          <w:sz w:val="16"/>
          <w:szCs w:val="16"/>
          <w:rtl/>
        </w:rPr>
        <w:t>הרי"ף השמיט</w:t>
      </w:r>
      <w:r w:rsidRPr="0072300F">
        <w:rPr>
          <w:rFonts w:cs="Arial" w:hint="cs"/>
          <w:sz w:val="16"/>
          <w:szCs w:val="16"/>
          <w:rtl/>
        </w:rPr>
        <w:t xml:space="preserve"> את הברייתא דלעיל</w:t>
      </w:r>
      <w:r w:rsidRPr="0072300F">
        <w:rPr>
          <w:rFonts w:cs="Arial"/>
          <w:sz w:val="16"/>
          <w:szCs w:val="16"/>
          <w:rtl/>
        </w:rPr>
        <w:t xml:space="preserve"> וכתבו הרא"ש (סי' לו) והר"ן (ז. ד"ה גרסינן) שטעמו משום דסבירא ליה דהאי ברייתא אתיא כבית שמאי דאמרי אדם מצווה על שביתת כליו אבל לדידן דקי</w:t>
      </w:r>
      <w:r w:rsidRPr="0072300F">
        <w:rPr>
          <w:rFonts w:cs="Arial" w:hint="cs"/>
          <w:sz w:val="16"/>
          <w:szCs w:val="16"/>
          <w:rtl/>
        </w:rPr>
        <w:t>י"</w:t>
      </w:r>
      <w:r w:rsidRPr="0072300F">
        <w:rPr>
          <w:rFonts w:cs="Arial"/>
          <w:sz w:val="16"/>
          <w:szCs w:val="16"/>
          <w:rtl/>
        </w:rPr>
        <w:t>ל כבית הלל דאין אדם מצווה על שביתת כליו אפילו בערב שבת מותר</w:t>
      </w:r>
      <w:r w:rsidRPr="0072300F">
        <w:rPr>
          <w:rFonts w:cs="Arial" w:hint="cs"/>
          <w:sz w:val="16"/>
          <w:szCs w:val="16"/>
          <w:rtl/>
        </w:rPr>
        <w:t>. וכן דעת הרמב"ם (פ"ו הט"ז).</w:t>
      </w:r>
      <w:r>
        <w:rPr>
          <w:rFonts w:cs="Arial" w:hint="cs"/>
          <w:sz w:val="16"/>
          <w:szCs w:val="16"/>
          <w:rtl/>
        </w:rPr>
        <w:t>..</w:t>
      </w:r>
      <w:r w:rsidRPr="0072300F">
        <w:rPr>
          <w:rFonts w:cs="Arial" w:hint="cs"/>
          <w:sz w:val="16"/>
          <w:szCs w:val="16"/>
          <w:rtl/>
        </w:rPr>
        <w:t xml:space="preserve"> </w:t>
      </w:r>
      <w:r w:rsidRPr="0072300F">
        <w:rPr>
          <w:rFonts w:cs="Arial"/>
          <w:sz w:val="16"/>
          <w:szCs w:val="16"/>
          <w:rtl/>
        </w:rPr>
        <w:t>אבל דעת התוספות (ד"ה לא ישכיר) והרא"ש והר"ן והרז"ה (ז.) דככולי עלמא אתיא</w:t>
      </w:r>
      <w:r>
        <w:rPr>
          <w:rFonts w:cs="Arial" w:hint="cs"/>
          <w:sz w:val="16"/>
          <w:szCs w:val="16"/>
          <w:rtl/>
        </w:rPr>
        <w:t>.</w:t>
      </w:r>
      <w:r w:rsidRPr="0072300F">
        <w:rPr>
          <w:rFonts w:cs="Arial"/>
          <w:sz w:val="16"/>
          <w:szCs w:val="16"/>
          <w:rtl/>
        </w:rPr>
        <w:t xml:space="preserve"> וכ</w:t>
      </w:r>
      <w:r>
        <w:rPr>
          <w:rFonts w:cs="Arial" w:hint="cs"/>
          <w:sz w:val="16"/>
          <w:szCs w:val="16"/>
          <w:rtl/>
        </w:rPr>
        <w:t>"</w:t>
      </w:r>
      <w:r w:rsidRPr="0072300F">
        <w:rPr>
          <w:rFonts w:cs="Arial"/>
          <w:sz w:val="16"/>
          <w:szCs w:val="16"/>
          <w:rtl/>
        </w:rPr>
        <w:t>כ סמ"ג (לאוין סה יט ע"ב) וסמ"ק (סי' רפב עמ' שא) וספר התרומה (סי' רכא) והגמ</w:t>
      </w:r>
      <w:r>
        <w:rPr>
          <w:rFonts w:cs="Arial" w:hint="cs"/>
          <w:sz w:val="16"/>
          <w:szCs w:val="16"/>
          <w:rtl/>
        </w:rPr>
        <w:t>"</w:t>
      </w:r>
      <w:r w:rsidRPr="0072300F">
        <w:rPr>
          <w:rFonts w:cs="Arial"/>
          <w:sz w:val="16"/>
          <w:szCs w:val="16"/>
          <w:rtl/>
        </w:rPr>
        <w:t>ר פ"ק דשבת (סי' תנב)</w:t>
      </w:r>
      <w:r w:rsidRPr="0072300F">
        <w:rPr>
          <w:rFonts w:cs="Arial" w:hint="cs"/>
          <w:sz w:val="16"/>
          <w:szCs w:val="16"/>
          <w:rtl/>
        </w:rPr>
        <w:t>, ב"י</w:t>
      </w:r>
      <w:r>
        <w:rPr>
          <w:rFonts w:cs="Arial" w:hint="cs"/>
          <w:sz w:val="16"/>
          <w:szCs w:val="16"/>
          <w:rtl/>
        </w:rPr>
        <w:t>)</w:t>
      </w:r>
    </w:p>
    <w:p w14:paraId="3FE61D01" w14:textId="77777777" w:rsidR="004B2E7C" w:rsidRPr="00EA3E8D" w:rsidRDefault="004B2E7C" w:rsidP="00434A6A">
      <w:pPr>
        <w:rPr>
          <w:rFonts w:cs="Arial"/>
          <w:u w:val="single"/>
          <w:rtl/>
        </w:rPr>
      </w:pPr>
      <w:r w:rsidRPr="00EA3E8D">
        <w:rPr>
          <w:rFonts w:cs="Arial" w:hint="cs"/>
          <w:u w:val="single"/>
          <w:rtl/>
        </w:rPr>
        <w:t>השכרת כלים לגוי בערב שבת:</w:t>
      </w:r>
      <w:r w:rsidRPr="00EA3E8D">
        <w:rPr>
          <w:rFonts w:cs="Arial"/>
          <w:u w:val="single"/>
          <w:rtl/>
        </w:rPr>
        <w:t xml:space="preserve"> </w:t>
      </w:r>
    </w:p>
    <w:p w14:paraId="79F391BE" w14:textId="77777777" w:rsidR="004B2E7C" w:rsidRDefault="004B2E7C" w:rsidP="00FF2D21">
      <w:pPr>
        <w:pStyle w:val="aa"/>
        <w:numPr>
          <w:ilvl w:val="0"/>
          <w:numId w:val="105"/>
        </w:numPr>
        <w:rPr>
          <w:rFonts w:cs="Arial"/>
        </w:rPr>
      </w:pPr>
      <w:r>
        <w:rPr>
          <w:rFonts w:cs="Arial" w:hint="cs"/>
          <w:rtl/>
        </w:rPr>
        <w:t xml:space="preserve">רי"ף </w:t>
      </w:r>
      <w:r>
        <w:rPr>
          <w:rFonts w:cs="Arial" w:hint="cs"/>
          <w:sz w:val="16"/>
          <w:szCs w:val="16"/>
          <w:rtl/>
        </w:rPr>
        <w:t>(ז.)</w:t>
      </w:r>
      <w:r>
        <w:rPr>
          <w:rFonts w:cs="Arial" w:hint="cs"/>
          <w:rtl/>
        </w:rPr>
        <w:t xml:space="preserve"> ו</w:t>
      </w:r>
      <w:r w:rsidRPr="00045C5E">
        <w:rPr>
          <w:rFonts w:cs="Arial"/>
          <w:rtl/>
        </w:rPr>
        <w:t xml:space="preserve">רמב"ם </w:t>
      </w:r>
      <w:r w:rsidRPr="00045C5E">
        <w:rPr>
          <w:rFonts w:cs="Arial" w:hint="cs"/>
          <w:sz w:val="16"/>
          <w:szCs w:val="16"/>
          <w:rtl/>
        </w:rPr>
        <w:t>(</w:t>
      </w:r>
      <w:r w:rsidRPr="00045C5E">
        <w:rPr>
          <w:rFonts w:cs="Arial"/>
          <w:sz w:val="16"/>
          <w:szCs w:val="16"/>
          <w:rtl/>
        </w:rPr>
        <w:t>פ"ו הט"ז)</w:t>
      </w:r>
      <w:r w:rsidRPr="00045C5E">
        <w:rPr>
          <w:rFonts w:cs="Arial" w:hint="cs"/>
          <w:rtl/>
        </w:rPr>
        <w:t xml:space="preserve">- </w:t>
      </w:r>
      <w:r w:rsidRPr="00045C5E">
        <w:rPr>
          <w:rFonts w:cs="Arial"/>
          <w:rtl/>
        </w:rPr>
        <w:t>מותר להשאיל כלים ולהשכירן לגוי ואף על פי שהוא עושה בהן מלאכה בשבת</w:t>
      </w:r>
      <w:r>
        <w:rPr>
          <w:rFonts w:cs="Arial" w:hint="cs"/>
          <w:rtl/>
        </w:rPr>
        <w:t>,</w:t>
      </w:r>
      <w:r w:rsidRPr="00045C5E">
        <w:rPr>
          <w:rFonts w:cs="Arial"/>
          <w:rtl/>
        </w:rPr>
        <w:t xml:space="preserve"> מפני שאין אנו מצווים על שביתת הכלים</w:t>
      </w:r>
      <w:r>
        <w:rPr>
          <w:rFonts w:cs="Arial" w:hint="cs"/>
          <w:rtl/>
        </w:rPr>
        <w:t>.</w:t>
      </w:r>
      <w:r w:rsidRPr="00045C5E">
        <w:rPr>
          <w:rFonts w:cs="Arial"/>
          <w:rtl/>
        </w:rPr>
        <w:t xml:space="preserve"> אבל בהמתו ועבדו אסור</w:t>
      </w:r>
      <w:r>
        <w:rPr>
          <w:rFonts w:cs="Arial" w:hint="cs"/>
          <w:rtl/>
        </w:rPr>
        <w:t>,</w:t>
      </w:r>
      <w:r w:rsidRPr="00045C5E">
        <w:rPr>
          <w:rFonts w:cs="Arial"/>
          <w:rtl/>
        </w:rPr>
        <w:t xml:space="preserve"> מפני שאנו מצווין על שביתת בהמה ועבד</w:t>
      </w:r>
      <w:r>
        <w:rPr>
          <w:rFonts w:cs="Arial" w:hint="cs"/>
          <w:sz w:val="16"/>
          <w:szCs w:val="16"/>
          <w:rtl/>
        </w:rPr>
        <w:t xml:space="preserve"> (ל' הרמב"ם)</w:t>
      </w:r>
      <w:r w:rsidRPr="00045C5E">
        <w:rPr>
          <w:rFonts w:cs="Arial"/>
          <w:rtl/>
        </w:rPr>
        <w:t xml:space="preserve">. </w:t>
      </w:r>
      <w:r w:rsidRPr="00E11C6C">
        <w:rPr>
          <w:rFonts w:cs="Arial" w:hint="cs"/>
          <w:color w:val="E36C0A" w:themeColor="accent6" w:themeShade="BF"/>
          <w:rtl/>
        </w:rPr>
        <w:t>(וכ"פ בשו"ע)</w:t>
      </w:r>
    </w:p>
    <w:p w14:paraId="102B12D3" w14:textId="77777777" w:rsidR="004B2E7C" w:rsidRDefault="004B2E7C" w:rsidP="00FF2D21">
      <w:pPr>
        <w:pStyle w:val="aa"/>
        <w:numPr>
          <w:ilvl w:val="0"/>
          <w:numId w:val="105"/>
        </w:numPr>
        <w:rPr>
          <w:rFonts w:cs="Arial"/>
        </w:rPr>
      </w:pPr>
      <w:r w:rsidRPr="00EF2D60">
        <w:rPr>
          <w:rFonts w:cs="Arial" w:hint="cs"/>
          <w:rtl/>
        </w:rPr>
        <w:t>תוס'</w:t>
      </w:r>
      <w:r w:rsidRPr="0072300F">
        <w:rPr>
          <w:rFonts w:cs="Arial" w:hint="cs"/>
          <w:sz w:val="16"/>
          <w:szCs w:val="16"/>
          <w:rtl/>
        </w:rPr>
        <w:t xml:space="preserve"> </w:t>
      </w:r>
      <w:r>
        <w:rPr>
          <w:rFonts w:cs="Arial" w:hint="cs"/>
          <w:sz w:val="16"/>
          <w:szCs w:val="16"/>
          <w:rtl/>
        </w:rPr>
        <w:t xml:space="preserve">(שם </w:t>
      </w:r>
      <w:r w:rsidRPr="0072300F">
        <w:rPr>
          <w:rFonts w:cs="Arial" w:hint="cs"/>
          <w:sz w:val="16"/>
          <w:szCs w:val="16"/>
          <w:rtl/>
        </w:rPr>
        <w:t>ד"ה לא ישכיר)</w:t>
      </w:r>
      <w:r>
        <w:rPr>
          <w:rFonts w:cs="Arial" w:hint="cs"/>
          <w:rtl/>
        </w:rPr>
        <w:t xml:space="preserve"> ראב"ד</w:t>
      </w:r>
      <w:r>
        <w:rPr>
          <w:rFonts w:cs="Arial" w:hint="cs"/>
          <w:sz w:val="16"/>
          <w:szCs w:val="16"/>
          <w:rtl/>
        </w:rPr>
        <w:t xml:space="preserve"> (בהשגות שם)</w:t>
      </w:r>
      <w:r>
        <w:rPr>
          <w:rFonts w:cs="Arial" w:hint="cs"/>
          <w:rtl/>
        </w:rPr>
        <w:t xml:space="preserve"> ה"ר יונה </w:t>
      </w:r>
      <w:r>
        <w:rPr>
          <w:rFonts w:cs="Arial" w:hint="cs"/>
          <w:sz w:val="16"/>
          <w:szCs w:val="16"/>
          <w:rtl/>
        </w:rPr>
        <w:t>(כ"כ הב"י בשמו)</w:t>
      </w:r>
      <w:r>
        <w:rPr>
          <w:rFonts w:cs="Arial" w:hint="cs"/>
          <w:rtl/>
        </w:rPr>
        <w:t xml:space="preserve"> </w:t>
      </w:r>
      <w:r w:rsidRPr="00EA3E8D">
        <w:rPr>
          <w:rFonts w:cs="Arial"/>
          <w:rtl/>
        </w:rPr>
        <w:t xml:space="preserve">רא"ש </w:t>
      </w:r>
      <w:r w:rsidRPr="00C02137">
        <w:rPr>
          <w:rFonts w:cs="Arial"/>
          <w:sz w:val="16"/>
          <w:szCs w:val="16"/>
          <w:rtl/>
        </w:rPr>
        <w:t xml:space="preserve">(סי' לו) </w:t>
      </w:r>
      <w:r w:rsidRPr="0072300F">
        <w:rPr>
          <w:rFonts w:cs="Arial" w:hint="cs"/>
          <w:rtl/>
        </w:rPr>
        <w:t>טור</w:t>
      </w:r>
      <w:r w:rsidRPr="00C02137">
        <w:rPr>
          <w:rFonts w:cs="Arial"/>
          <w:rtl/>
        </w:rPr>
        <w:t xml:space="preserve"> </w:t>
      </w:r>
      <w:r w:rsidRPr="00EA3E8D">
        <w:rPr>
          <w:rFonts w:cs="Arial"/>
          <w:rtl/>
        </w:rPr>
        <w:t xml:space="preserve">ור"ן </w:t>
      </w:r>
      <w:r w:rsidRPr="00C02137">
        <w:rPr>
          <w:rFonts w:cs="Arial"/>
          <w:sz w:val="16"/>
          <w:szCs w:val="16"/>
          <w:rtl/>
        </w:rPr>
        <w:t>(ז. ד"ה גרסינן)</w:t>
      </w:r>
      <w:r w:rsidRPr="0072300F">
        <w:rPr>
          <w:rFonts w:cs="Arial" w:hint="cs"/>
          <w:rtl/>
        </w:rPr>
        <w:t xml:space="preserve">- </w:t>
      </w:r>
      <w:r w:rsidRPr="0072300F">
        <w:rPr>
          <w:rFonts w:cs="Arial"/>
          <w:rtl/>
        </w:rPr>
        <w:t>תנו רבנן לא ישכיר אדם כליו לגוי בע</w:t>
      </w:r>
      <w:r>
        <w:rPr>
          <w:rFonts w:cs="Arial" w:hint="cs"/>
          <w:rtl/>
        </w:rPr>
        <w:t>ר</w:t>
      </w:r>
      <w:r w:rsidRPr="0072300F">
        <w:rPr>
          <w:rFonts w:cs="Arial"/>
          <w:rtl/>
        </w:rPr>
        <w:t>"ש</w:t>
      </w:r>
      <w:r>
        <w:rPr>
          <w:rFonts w:cs="Arial" w:hint="cs"/>
          <w:rtl/>
        </w:rPr>
        <w:t>,</w:t>
      </w:r>
      <w:r w:rsidRPr="0072300F">
        <w:rPr>
          <w:rFonts w:cs="Arial"/>
          <w:rtl/>
        </w:rPr>
        <w:t xml:space="preserve"> וב</w:t>
      </w:r>
      <w:r>
        <w:rPr>
          <w:rFonts w:cs="Arial" w:hint="cs"/>
          <w:rtl/>
        </w:rPr>
        <w:t>רביעי</w:t>
      </w:r>
      <w:r w:rsidRPr="0072300F">
        <w:rPr>
          <w:rFonts w:cs="Arial"/>
          <w:rtl/>
        </w:rPr>
        <w:t xml:space="preserve"> וב</w:t>
      </w:r>
      <w:r>
        <w:rPr>
          <w:rFonts w:cs="Arial" w:hint="cs"/>
          <w:rtl/>
        </w:rPr>
        <w:t>חמישי</w:t>
      </w:r>
      <w:r w:rsidRPr="0072300F">
        <w:rPr>
          <w:rFonts w:cs="Arial"/>
          <w:rtl/>
        </w:rPr>
        <w:t xml:space="preserve"> מותר</w:t>
      </w:r>
      <w:r>
        <w:rPr>
          <w:rFonts w:cs="Arial" w:hint="cs"/>
          <w:rtl/>
        </w:rPr>
        <w:t>.</w:t>
      </w:r>
      <w:r w:rsidRPr="0072300F">
        <w:rPr>
          <w:rFonts w:cs="Arial"/>
          <w:rtl/>
        </w:rPr>
        <w:t xml:space="preserve"> ומיירי בהבלעה שמשכירים לחדש</w:t>
      </w:r>
      <w:r>
        <w:rPr>
          <w:rFonts w:cs="Arial" w:hint="cs"/>
          <w:rtl/>
        </w:rPr>
        <w:t>,</w:t>
      </w:r>
      <w:r w:rsidRPr="0072300F">
        <w:rPr>
          <w:rFonts w:cs="Arial"/>
          <w:rtl/>
        </w:rPr>
        <w:t xml:space="preserve"> הילכך ב</w:t>
      </w:r>
      <w:r>
        <w:rPr>
          <w:rFonts w:cs="Arial" w:hint="cs"/>
          <w:rtl/>
        </w:rPr>
        <w:t>רביעי ובחמישי</w:t>
      </w:r>
      <w:r w:rsidRPr="0072300F">
        <w:rPr>
          <w:rFonts w:cs="Arial"/>
          <w:rtl/>
        </w:rPr>
        <w:t xml:space="preserve"> מותר</w:t>
      </w:r>
      <w:r>
        <w:rPr>
          <w:rFonts w:cs="Arial" w:hint="cs"/>
          <w:rtl/>
        </w:rPr>
        <w:t xml:space="preserve">, </w:t>
      </w:r>
      <w:r w:rsidRPr="0072300F">
        <w:rPr>
          <w:rFonts w:cs="Arial"/>
          <w:rtl/>
        </w:rPr>
        <w:t>ואפ"ה</w:t>
      </w:r>
      <w:r>
        <w:rPr>
          <w:rFonts w:cs="Arial" w:hint="cs"/>
          <w:rtl/>
        </w:rPr>
        <w:t>,</w:t>
      </w:r>
      <w:r w:rsidRPr="0072300F">
        <w:rPr>
          <w:rFonts w:cs="Arial"/>
          <w:rtl/>
        </w:rPr>
        <w:t xml:space="preserve"> </w:t>
      </w:r>
      <w:r>
        <w:rPr>
          <w:rFonts w:cs="Arial" w:hint="cs"/>
          <w:rtl/>
        </w:rPr>
        <w:t>בער"ש</w:t>
      </w:r>
      <w:r w:rsidRPr="0072300F">
        <w:rPr>
          <w:rFonts w:cs="Arial"/>
          <w:rtl/>
        </w:rPr>
        <w:t xml:space="preserve"> אסור</w:t>
      </w:r>
      <w:r>
        <w:rPr>
          <w:rStyle w:val="a9"/>
          <w:rFonts w:cs="Arial"/>
          <w:rtl/>
        </w:rPr>
        <w:footnoteReference w:id="104"/>
      </w:r>
      <w:r w:rsidRPr="0072300F">
        <w:rPr>
          <w:rFonts w:cs="Arial" w:hint="cs"/>
          <w:rtl/>
        </w:rPr>
        <w:t>.</w:t>
      </w:r>
      <w:r w:rsidRPr="0072300F">
        <w:rPr>
          <w:rFonts w:cs="Arial"/>
          <w:rtl/>
        </w:rPr>
        <w:t xml:space="preserve"> אבל בשכיר יום אפילו ב</w:t>
      </w:r>
      <w:r>
        <w:rPr>
          <w:rFonts w:cs="Arial" w:hint="cs"/>
          <w:rtl/>
        </w:rPr>
        <w:t>רביעי ובחמישי</w:t>
      </w:r>
      <w:r w:rsidRPr="0072300F">
        <w:rPr>
          <w:rFonts w:cs="Arial"/>
          <w:rtl/>
        </w:rPr>
        <w:t xml:space="preserve"> נמי אסור</w:t>
      </w:r>
      <w:r>
        <w:rPr>
          <w:rStyle w:val="a9"/>
          <w:rFonts w:cs="Arial"/>
          <w:rtl/>
        </w:rPr>
        <w:footnoteReference w:id="105"/>
      </w:r>
      <w:r>
        <w:rPr>
          <w:rFonts w:cs="Arial" w:hint="cs"/>
          <w:sz w:val="16"/>
          <w:szCs w:val="16"/>
          <w:rtl/>
        </w:rPr>
        <w:t xml:space="preserve"> (ל' הטור)</w:t>
      </w:r>
      <w:r w:rsidRPr="0072300F">
        <w:rPr>
          <w:rFonts w:cs="Arial" w:hint="cs"/>
          <w:rtl/>
        </w:rPr>
        <w:t>.</w:t>
      </w:r>
      <w:r w:rsidRPr="0072300F">
        <w:rPr>
          <w:rFonts w:cs="Arial"/>
          <w:rtl/>
        </w:rPr>
        <w:t xml:space="preserve"> </w:t>
      </w:r>
      <w:r w:rsidRPr="00E11C6C">
        <w:rPr>
          <w:rFonts w:cs="Arial" w:hint="cs"/>
          <w:color w:val="00B0F0"/>
          <w:rtl/>
        </w:rPr>
        <w:t>(וכ"פ הרמ"א)</w:t>
      </w:r>
    </w:p>
    <w:p w14:paraId="5F7DD23C" w14:textId="77777777" w:rsidR="004B2E7C" w:rsidRDefault="004B2E7C" w:rsidP="00FF2D21">
      <w:pPr>
        <w:pStyle w:val="aa"/>
        <w:numPr>
          <w:ilvl w:val="0"/>
          <w:numId w:val="105"/>
        </w:numPr>
        <w:rPr>
          <w:rFonts w:cs="Arial"/>
        </w:rPr>
      </w:pPr>
      <w:r>
        <w:rPr>
          <w:rFonts w:cs="Arial" w:hint="cs"/>
          <w:rtl/>
        </w:rPr>
        <w:t xml:space="preserve">רוקח </w:t>
      </w:r>
      <w:r>
        <w:rPr>
          <w:rFonts w:cs="Arial" w:hint="cs"/>
          <w:sz w:val="16"/>
          <w:szCs w:val="16"/>
          <w:rtl/>
        </w:rPr>
        <w:t>(הל' שבת סי' מא)</w:t>
      </w:r>
      <w:r>
        <w:rPr>
          <w:rFonts w:cs="Arial" w:hint="cs"/>
          <w:rtl/>
        </w:rPr>
        <w:t xml:space="preserve">- </w:t>
      </w:r>
      <w:r w:rsidRPr="009B6548">
        <w:rPr>
          <w:rFonts w:cs="Arial"/>
          <w:rtl/>
        </w:rPr>
        <w:t>כלים שעושין בהן מעשה כגון מדה ומחרישה וכלי נגר וקורדום אדם מוזהר על שביתתה אפילו השאילם באמצע השבת צריך ללקחם בע"ש</w:t>
      </w:r>
      <w:r>
        <w:rPr>
          <w:rStyle w:val="a9"/>
          <w:rFonts w:cs="Arial"/>
          <w:rtl/>
        </w:rPr>
        <w:footnoteReference w:id="106"/>
      </w:r>
      <w:r>
        <w:rPr>
          <w:rFonts w:cs="Arial" w:hint="cs"/>
          <w:rtl/>
        </w:rPr>
        <w:t>.</w:t>
      </w:r>
    </w:p>
    <w:p w14:paraId="78F740BA" w14:textId="77777777" w:rsidR="004B2E7C" w:rsidRDefault="004B2E7C" w:rsidP="00FF2D21">
      <w:pPr>
        <w:pStyle w:val="aa"/>
        <w:numPr>
          <w:ilvl w:val="1"/>
          <w:numId w:val="105"/>
        </w:numPr>
        <w:rPr>
          <w:rFonts w:cs="Arial"/>
        </w:rPr>
      </w:pPr>
      <w:r>
        <w:rPr>
          <w:rFonts w:cs="Arial" w:hint="cs"/>
          <w:rtl/>
        </w:rPr>
        <w:t xml:space="preserve">ב"י- </w:t>
      </w:r>
      <w:r>
        <w:rPr>
          <w:rFonts w:cs="Arial"/>
          <w:rtl/>
        </w:rPr>
        <w:t xml:space="preserve">ולענין הלכה כיון דהרי"ף והרמב"ם מסכימים לדעת אחת </w:t>
      </w:r>
      <w:r>
        <w:rPr>
          <w:rFonts w:cs="Arial" w:hint="cs"/>
          <w:rtl/>
        </w:rPr>
        <w:t xml:space="preserve">- </w:t>
      </w:r>
      <w:r>
        <w:rPr>
          <w:rFonts w:cs="Arial"/>
          <w:rtl/>
        </w:rPr>
        <w:t>הכי נקטינן</w:t>
      </w:r>
      <w:r>
        <w:rPr>
          <w:rStyle w:val="a9"/>
          <w:rFonts w:cs="Arial"/>
          <w:rtl/>
        </w:rPr>
        <w:footnoteReference w:id="107"/>
      </w:r>
      <w:r>
        <w:rPr>
          <w:rFonts w:cs="Arial" w:hint="cs"/>
          <w:rtl/>
        </w:rPr>
        <w:t>.</w:t>
      </w:r>
    </w:p>
    <w:p w14:paraId="407B2637" w14:textId="77777777" w:rsidR="004B2E7C" w:rsidRPr="00AC37EB" w:rsidRDefault="004B2E7C" w:rsidP="00434A6A">
      <w:pPr>
        <w:ind w:left="360"/>
        <w:rPr>
          <w:rFonts w:cs="Arial"/>
          <w:u w:val="dotted"/>
        </w:rPr>
      </w:pPr>
      <w:r w:rsidRPr="00AC37EB">
        <w:rPr>
          <w:rFonts w:cs="Arial" w:hint="cs"/>
          <w:u w:val="dotted"/>
          <w:rtl/>
        </w:rPr>
        <w:t xml:space="preserve">לרא"ש וסיעתו </w:t>
      </w:r>
      <w:r w:rsidRPr="00AC37EB">
        <w:rPr>
          <w:rFonts w:cs="Arial"/>
          <w:u w:val="dotted"/>
          <w:rtl/>
        </w:rPr>
        <w:t>–</w:t>
      </w:r>
      <w:r w:rsidRPr="00AC37EB">
        <w:rPr>
          <w:rFonts w:cs="Arial" w:hint="cs"/>
          <w:u w:val="dotted"/>
          <w:rtl/>
        </w:rPr>
        <w:t xml:space="preserve"> האם מותר להשכיר </w:t>
      </w:r>
      <w:r>
        <w:rPr>
          <w:rFonts w:cs="Arial" w:hint="cs"/>
          <w:sz w:val="16"/>
          <w:szCs w:val="16"/>
          <w:u w:val="dotted"/>
          <w:rtl/>
        </w:rPr>
        <w:t>(ברביעי וחמישי)</w:t>
      </w:r>
      <w:r>
        <w:rPr>
          <w:rFonts w:cs="Arial" w:hint="cs"/>
          <w:u w:val="dotted"/>
          <w:rtl/>
        </w:rPr>
        <w:t xml:space="preserve"> </w:t>
      </w:r>
      <w:r w:rsidRPr="00AC37EB">
        <w:rPr>
          <w:rFonts w:cs="Arial" w:hint="cs"/>
          <w:u w:val="dotted"/>
          <w:rtl/>
        </w:rPr>
        <w:t>כלים שלא עושים בהם מלאכה:</w:t>
      </w:r>
    </w:p>
    <w:p w14:paraId="4F75F58E" w14:textId="77777777" w:rsidR="004B2E7C" w:rsidRDefault="004B2E7C" w:rsidP="00FF2D21">
      <w:pPr>
        <w:pStyle w:val="aa"/>
        <w:numPr>
          <w:ilvl w:val="0"/>
          <w:numId w:val="105"/>
        </w:numPr>
        <w:rPr>
          <w:rFonts w:cs="Arial"/>
        </w:rPr>
      </w:pPr>
      <w:r>
        <w:rPr>
          <w:rFonts w:cs="Arial" w:hint="cs"/>
          <w:rtl/>
        </w:rPr>
        <w:t xml:space="preserve">ראב"ד </w:t>
      </w:r>
      <w:r>
        <w:rPr>
          <w:rFonts w:cs="Arial" w:hint="cs"/>
          <w:sz w:val="16"/>
          <w:szCs w:val="16"/>
          <w:rtl/>
        </w:rPr>
        <w:t>(בהשגות שם, וכ"כ הה"מ בשמו)</w:t>
      </w:r>
      <w:r>
        <w:rPr>
          <w:rFonts w:cs="Arial" w:hint="cs"/>
          <w:rtl/>
        </w:rPr>
        <w:t xml:space="preserve"> ה"ר יונה </w:t>
      </w:r>
      <w:r>
        <w:rPr>
          <w:rFonts w:cs="Arial" w:hint="cs"/>
          <w:sz w:val="16"/>
          <w:szCs w:val="16"/>
          <w:rtl/>
        </w:rPr>
        <w:t>(כ"כ הרא"ש [שם] והטור בשמו)</w:t>
      </w:r>
      <w:r>
        <w:rPr>
          <w:rFonts w:cs="Arial" w:hint="cs"/>
          <w:rtl/>
        </w:rPr>
        <w:t xml:space="preserve"> וטור-</w:t>
      </w:r>
      <w:r w:rsidRPr="0072300F">
        <w:rPr>
          <w:rFonts w:cs="Arial"/>
          <w:rtl/>
        </w:rPr>
        <w:t xml:space="preserve"> הא דאסור </w:t>
      </w:r>
      <w:r>
        <w:rPr>
          <w:rFonts w:cs="Arial" w:hint="cs"/>
          <w:rtl/>
        </w:rPr>
        <w:t>בער"ש</w:t>
      </w:r>
      <w:r w:rsidRPr="0072300F">
        <w:rPr>
          <w:rFonts w:cs="Arial"/>
          <w:rtl/>
        </w:rPr>
        <w:t xml:space="preserve"> אפילו בהבלעה</w:t>
      </w:r>
      <w:r w:rsidRPr="0072300F">
        <w:rPr>
          <w:rFonts w:cs="Arial" w:hint="cs"/>
          <w:rtl/>
        </w:rPr>
        <w:t>,</w:t>
      </w:r>
      <w:r w:rsidRPr="0072300F">
        <w:rPr>
          <w:rFonts w:cs="Arial"/>
          <w:rtl/>
        </w:rPr>
        <w:t xml:space="preserve"> היינו דוקא בכלים שעושין בהן מלאכה כגון מחרישה וכיוצא בה</w:t>
      </w:r>
      <w:r>
        <w:rPr>
          <w:rStyle w:val="a9"/>
          <w:rFonts w:cs="Arial"/>
          <w:rtl/>
        </w:rPr>
        <w:footnoteReference w:id="108"/>
      </w:r>
      <w:r>
        <w:rPr>
          <w:rFonts w:cs="Arial" w:hint="cs"/>
          <w:rtl/>
        </w:rPr>
        <w:t>...</w:t>
      </w:r>
      <w:r w:rsidRPr="0072300F">
        <w:rPr>
          <w:rFonts w:cs="Arial"/>
          <w:rtl/>
        </w:rPr>
        <w:t xml:space="preserve"> אבל כלים שאין עושין בהן מלאכה </w:t>
      </w:r>
      <w:r w:rsidRPr="0072300F">
        <w:rPr>
          <w:rFonts w:cs="Arial" w:hint="cs"/>
          <w:rtl/>
        </w:rPr>
        <w:t xml:space="preserve">- </w:t>
      </w:r>
      <w:r w:rsidRPr="0072300F">
        <w:rPr>
          <w:rFonts w:cs="Arial"/>
          <w:rtl/>
        </w:rPr>
        <w:t>אפילו בע</w:t>
      </w:r>
      <w:r>
        <w:rPr>
          <w:rFonts w:cs="Arial" w:hint="cs"/>
          <w:rtl/>
        </w:rPr>
        <w:t>ר</w:t>
      </w:r>
      <w:r w:rsidRPr="0072300F">
        <w:rPr>
          <w:rFonts w:cs="Arial"/>
          <w:rtl/>
        </w:rPr>
        <w:t>"ש מותר בהבלעה</w:t>
      </w:r>
      <w:r>
        <w:rPr>
          <w:rStyle w:val="a9"/>
          <w:rFonts w:cs="Arial"/>
          <w:rtl/>
        </w:rPr>
        <w:footnoteReference w:id="109"/>
      </w:r>
      <w:r>
        <w:rPr>
          <w:rFonts w:cs="Arial" w:hint="cs"/>
          <w:sz w:val="16"/>
          <w:szCs w:val="16"/>
          <w:rtl/>
        </w:rPr>
        <w:t xml:space="preserve"> (ל' הטור בשם ה"ר יונה)</w:t>
      </w:r>
      <w:r w:rsidRPr="0072300F">
        <w:rPr>
          <w:rFonts w:cs="Arial" w:hint="cs"/>
          <w:rtl/>
        </w:rPr>
        <w:t>.</w:t>
      </w:r>
      <w:r w:rsidRPr="0072300F">
        <w:rPr>
          <w:rFonts w:cs="Arial"/>
          <w:rtl/>
        </w:rPr>
        <w:t xml:space="preserve"> </w:t>
      </w:r>
      <w:r w:rsidRPr="00E11C6C">
        <w:rPr>
          <w:rFonts w:cs="Arial" w:hint="cs"/>
          <w:color w:val="00B0F0"/>
          <w:rtl/>
        </w:rPr>
        <w:t>(וכ"פ הרמ"א)</w:t>
      </w:r>
    </w:p>
    <w:p w14:paraId="7B5A1FCD" w14:textId="77777777" w:rsidR="004B2E7C" w:rsidRDefault="004B2E7C" w:rsidP="00FF2D21">
      <w:pPr>
        <w:pStyle w:val="aa"/>
        <w:numPr>
          <w:ilvl w:val="0"/>
          <w:numId w:val="105"/>
        </w:numPr>
        <w:rPr>
          <w:rFonts w:cs="Arial"/>
        </w:rPr>
      </w:pPr>
      <w:r w:rsidRPr="003F0E95">
        <w:rPr>
          <w:rFonts w:cs="Arial" w:hint="cs"/>
          <w:rtl/>
        </w:rPr>
        <w:t>תוס'</w:t>
      </w:r>
      <w:r>
        <w:rPr>
          <w:rFonts w:cs="Arial" w:hint="cs"/>
          <w:rtl/>
        </w:rPr>
        <w:t xml:space="preserve"> </w:t>
      </w:r>
      <w:r>
        <w:rPr>
          <w:rFonts w:cs="Arial" w:hint="cs"/>
          <w:sz w:val="16"/>
          <w:szCs w:val="16"/>
          <w:rtl/>
        </w:rPr>
        <w:t>(שם)</w:t>
      </w:r>
      <w:r>
        <w:rPr>
          <w:rFonts w:cs="Arial" w:hint="cs"/>
          <w:rtl/>
        </w:rPr>
        <w:t>- אפילו</w:t>
      </w:r>
      <w:r w:rsidRPr="003F0E95">
        <w:rPr>
          <w:rFonts w:cs="Arial"/>
          <w:rtl/>
        </w:rPr>
        <w:t xml:space="preserve"> בחלוק וטלית וכיוצא בהן איירי</w:t>
      </w:r>
      <w:r>
        <w:rPr>
          <w:rFonts w:cs="Arial" w:hint="cs"/>
          <w:sz w:val="16"/>
          <w:szCs w:val="16"/>
          <w:rtl/>
        </w:rPr>
        <w:t xml:space="preserve"> {בברייתא}</w:t>
      </w:r>
      <w:r w:rsidRPr="003F0E95">
        <w:rPr>
          <w:rFonts w:cs="Arial"/>
          <w:rtl/>
        </w:rPr>
        <w:t xml:space="preserve"> דלא שייך שביתת כלים</w:t>
      </w:r>
      <w:r>
        <w:rPr>
          <w:rFonts w:cs="Arial" w:hint="cs"/>
          <w:rtl/>
        </w:rPr>
        <w:t>.</w:t>
      </w:r>
    </w:p>
    <w:p w14:paraId="4B82E5CC" w14:textId="77777777" w:rsidR="004B2E7C" w:rsidRPr="00AC37EB" w:rsidRDefault="004B2E7C" w:rsidP="00434A6A">
      <w:pPr>
        <w:ind w:left="360"/>
        <w:rPr>
          <w:rFonts w:cs="Arial"/>
          <w:u w:val="dotted"/>
        </w:rPr>
      </w:pPr>
      <w:r w:rsidRPr="00AC37EB">
        <w:rPr>
          <w:rFonts w:cs="Arial" w:hint="cs"/>
          <w:u w:val="dotted"/>
          <w:rtl/>
        </w:rPr>
        <w:t xml:space="preserve">לרא"ש וסיעתו </w:t>
      </w:r>
      <w:r w:rsidRPr="00AC37EB">
        <w:rPr>
          <w:rFonts w:cs="Arial"/>
          <w:u w:val="dotted"/>
          <w:rtl/>
        </w:rPr>
        <w:t>–</w:t>
      </w:r>
      <w:r w:rsidRPr="00AC37EB">
        <w:rPr>
          <w:rFonts w:cs="Arial" w:hint="cs"/>
          <w:u w:val="dotted"/>
          <w:rtl/>
        </w:rPr>
        <w:t xml:space="preserve"> האם מותר </w:t>
      </w:r>
      <w:r w:rsidRPr="00AC37EB">
        <w:rPr>
          <w:rFonts w:cs="Arial" w:hint="cs"/>
          <w:b/>
          <w:bCs/>
          <w:u w:val="dotted"/>
          <w:rtl/>
        </w:rPr>
        <w:t>להשאיל</w:t>
      </w:r>
      <w:r w:rsidRPr="00AC37EB">
        <w:rPr>
          <w:rFonts w:cs="Arial" w:hint="cs"/>
          <w:u w:val="dotted"/>
          <w:rtl/>
        </w:rPr>
        <w:t xml:space="preserve"> בערב שבת:</w:t>
      </w:r>
    </w:p>
    <w:p w14:paraId="77B6935B" w14:textId="77777777" w:rsidR="004B2E7C" w:rsidRPr="00305FB3" w:rsidRDefault="004B2E7C" w:rsidP="00FF2D21">
      <w:pPr>
        <w:pStyle w:val="aa"/>
        <w:numPr>
          <w:ilvl w:val="0"/>
          <w:numId w:val="105"/>
        </w:numPr>
        <w:rPr>
          <w:rFonts w:cs="Arial"/>
          <w:rtl/>
        </w:rPr>
      </w:pPr>
      <w:r>
        <w:rPr>
          <w:rFonts w:cs="Arial" w:hint="cs"/>
          <w:rtl/>
        </w:rPr>
        <w:t xml:space="preserve">תוס' </w:t>
      </w:r>
      <w:r>
        <w:rPr>
          <w:rFonts w:cs="Arial" w:hint="cs"/>
          <w:sz w:val="16"/>
          <w:szCs w:val="16"/>
          <w:rtl/>
        </w:rPr>
        <w:t xml:space="preserve">(שם) </w:t>
      </w:r>
      <w:r>
        <w:rPr>
          <w:rFonts w:cs="Arial" w:hint="cs"/>
          <w:rtl/>
        </w:rPr>
        <w:t xml:space="preserve">סמ"ג </w:t>
      </w:r>
      <w:r>
        <w:rPr>
          <w:rFonts w:cs="Arial" w:hint="cs"/>
          <w:sz w:val="16"/>
          <w:szCs w:val="16"/>
          <w:rtl/>
        </w:rPr>
        <w:t>(</w:t>
      </w:r>
      <w:r w:rsidRPr="0072300F">
        <w:rPr>
          <w:rFonts w:cs="Arial"/>
          <w:sz w:val="16"/>
          <w:szCs w:val="16"/>
          <w:rtl/>
        </w:rPr>
        <w:t>לאוין סה יט ע"ב</w:t>
      </w:r>
      <w:r>
        <w:rPr>
          <w:rFonts w:cs="Arial" w:hint="cs"/>
          <w:sz w:val="16"/>
          <w:szCs w:val="16"/>
          <w:rtl/>
        </w:rPr>
        <w:t>)</w:t>
      </w:r>
      <w:r>
        <w:rPr>
          <w:rFonts w:cs="Arial" w:hint="cs"/>
          <w:rtl/>
        </w:rPr>
        <w:t xml:space="preserve"> </w:t>
      </w:r>
      <w:r>
        <w:rPr>
          <w:rFonts w:cs="Arial"/>
          <w:rtl/>
        </w:rPr>
        <w:t>ס</w:t>
      </w:r>
      <w:r>
        <w:rPr>
          <w:rFonts w:cs="Arial" w:hint="cs"/>
          <w:rtl/>
        </w:rPr>
        <w:t>ה"</w:t>
      </w:r>
      <w:r>
        <w:rPr>
          <w:rFonts w:cs="Arial"/>
          <w:rtl/>
        </w:rPr>
        <w:t xml:space="preserve">ת </w:t>
      </w:r>
      <w:r w:rsidRPr="00305FB3">
        <w:rPr>
          <w:rFonts w:cs="Arial"/>
          <w:sz w:val="16"/>
          <w:szCs w:val="16"/>
          <w:rtl/>
        </w:rPr>
        <w:t>(</w:t>
      </w:r>
      <w:r>
        <w:rPr>
          <w:rFonts w:cs="Arial" w:hint="cs"/>
          <w:sz w:val="16"/>
          <w:szCs w:val="16"/>
          <w:rtl/>
        </w:rPr>
        <w:t>סי' רכא</w:t>
      </w:r>
      <w:r w:rsidRPr="00305FB3">
        <w:rPr>
          <w:rFonts w:cs="Arial"/>
          <w:sz w:val="16"/>
          <w:szCs w:val="16"/>
          <w:rtl/>
        </w:rPr>
        <w:t>)</w:t>
      </w:r>
      <w:r w:rsidRPr="00305FB3">
        <w:rPr>
          <w:rFonts w:cs="Arial" w:hint="cs"/>
          <w:sz w:val="16"/>
          <w:szCs w:val="16"/>
          <w:rtl/>
        </w:rPr>
        <w:t xml:space="preserve"> </w:t>
      </w:r>
      <w:r>
        <w:rPr>
          <w:rFonts w:cs="Arial"/>
          <w:rtl/>
        </w:rPr>
        <w:t xml:space="preserve">מרדכי </w:t>
      </w:r>
      <w:r w:rsidRPr="00305FB3">
        <w:rPr>
          <w:rFonts w:cs="Arial"/>
          <w:sz w:val="16"/>
          <w:szCs w:val="16"/>
          <w:rtl/>
        </w:rPr>
        <w:t xml:space="preserve">(סי' רמג) </w:t>
      </w:r>
      <w:r>
        <w:rPr>
          <w:rFonts w:cs="Arial"/>
          <w:rtl/>
        </w:rPr>
        <w:t xml:space="preserve">סמ"ק </w:t>
      </w:r>
      <w:r w:rsidRPr="00305FB3">
        <w:rPr>
          <w:rFonts w:cs="Arial"/>
          <w:sz w:val="16"/>
          <w:szCs w:val="16"/>
          <w:rtl/>
        </w:rPr>
        <w:t>(</w:t>
      </w:r>
      <w:r>
        <w:rPr>
          <w:rFonts w:cs="Arial" w:hint="cs"/>
          <w:sz w:val="16"/>
          <w:szCs w:val="16"/>
          <w:rtl/>
        </w:rPr>
        <w:t>סי' רפב</w:t>
      </w:r>
      <w:r w:rsidRPr="00305FB3">
        <w:rPr>
          <w:rFonts w:cs="Arial"/>
          <w:sz w:val="16"/>
          <w:szCs w:val="16"/>
          <w:rtl/>
        </w:rPr>
        <w:t xml:space="preserve">) </w:t>
      </w:r>
      <w:r>
        <w:rPr>
          <w:rFonts w:cs="Arial"/>
          <w:rtl/>
        </w:rPr>
        <w:t>הגה</w:t>
      </w:r>
      <w:r>
        <w:rPr>
          <w:rFonts w:cs="Arial" w:hint="cs"/>
          <w:rtl/>
        </w:rPr>
        <w:t xml:space="preserve">"מ </w:t>
      </w:r>
      <w:r w:rsidRPr="00305FB3">
        <w:rPr>
          <w:rFonts w:cs="Arial" w:hint="cs"/>
          <w:sz w:val="16"/>
          <w:szCs w:val="16"/>
          <w:rtl/>
        </w:rPr>
        <w:t>(</w:t>
      </w:r>
      <w:r w:rsidRPr="00305FB3">
        <w:rPr>
          <w:rFonts w:cs="Arial"/>
          <w:sz w:val="16"/>
          <w:szCs w:val="16"/>
          <w:rtl/>
        </w:rPr>
        <w:t>פ"ו אות פ)</w:t>
      </w:r>
      <w:r>
        <w:rPr>
          <w:rFonts w:cs="Arial" w:hint="cs"/>
          <w:rtl/>
        </w:rPr>
        <w:t xml:space="preserve"> וטור- </w:t>
      </w:r>
      <w:r w:rsidRPr="0072300F">
        <w:rPr>
          <w:rFonts w:cs="Arial"/>
          <w:rtl/>
        </w:rPr>
        <w:t>ודוקא להשכיר אסור משום שכר שבת</w:t>
      </w:r>
      <w:r w:rsidRPr="0072300F">
        <w:rPr>
          <w:rFonts w:cs="Arial" w:hint="cs"/>
          <w:rtl/>
        </w:rPr>
        <w:t>,</w:t>
      </w:r>
      <w:r w:rsidRPr="0072300F">
        <w:rPr>
          <w:rFonts w:cs="Arial"/>
          <w:rtl/>
        </w:rPr>
        <w:t xml:space="preserve"> אבל להשאיל לו</w:t>
      </w:r>
      <w:r>
        <w:rPr>
          <w:rFonts w:cs="Arial" w:hint="cs"/>
          <w:rtl/>
        </w:rPr>
        <w:t>...</w:t>
      </w:r>
      <w:r w:rsidRPr="0072300F">
        <w:rPr>
          <w:rFonts w:cs="Arial"/>
          <w:rtl/>
        </w:rPr>
        <w:t xml:space="preserve"> </w:t>
      </w:r>
      <w:r>
        <w:rPr>
          <w:rFonts w:cs="Arial" w:hint="cs"/>
          <w:rtl/>
        </w:rPr>
        <w:t xml:space="preserve">- </w:t>
      </w:r>
      <w:r w:rsidRPr="0072300F">
        <w:rPr>
          <w:rFonts w:cs="Arial"/>
          <w:rtl/>
        </w:rPr>
        <w:t>מותר אפילו בע</w:t>
      </w:r>
      <w:r>
        <w:rPr>
          <w:rFonts w:cs="Arial" w:hint="cs"/>
          <w:rtl/>
        </w:rPr>
        <w:t>ר</w:t>
      </w:r>
      <w:r w:rsidRPr="0072300F">
        <w:rPr>
          <w:rFonts w:cs="Arial"/>
          <w:rtl/>
        </w:rPr>
        <w:t>"ש</w:t>
      </w:r>
      <w:r>
        <w:rPr>
          <w:rStyle w:val="a9"/>
          <w:rFonts w:cs="Arial"/>
          <w:rtl/>
        </w:rPr>
        <w:footnoteReference w:id="110"/>
      </w:r>
      <w:r>
        <w:rPr>
          <w:rFonts w:cs="Arial" w:hint="cs"/>
          <w:rtl/>
        </w:rPr>
        <w:t>,</w:t>
      </w:r>
      <w:r w:rsidRPr="0072300F">
        <w:rPr>
          <w:rFonts w:cs="Arial"/>
          <w:rtl/>
        </w:rPr>
        <w:t xml:space="preserve"> כיון דקי"ל כבית הלל דשביתת כלים לאו דאורייתא</w:t>
      </w:r>
      <w:r w:rsidRPr="0072300F">
        <w:rPr>
          <w:rFonts w:cs="Arial" w:hint="cs"/>
          <w:rtl/>
        </w:rPr>
        <w:t>.</w:t>
      </w:r>
      <w:r w:rsidRPr="0072300F">
        <w:rPr>
          <w:rFonts w:cs="Arial"/>
          <w:rtl/>
        </w:rPr>
        <w:t xml:space="preserve"> ומ"מ בשבת אסור להשאילם לו</w:t>
      </w:r>
      <w:r>
        <w:rPr>
          <w:rFonts w:cs="Arial" w:hint="cs"/>
          <w:sz w:val="16"/>
          <w:szCs w:val="16"/>
          <w:rtl/>
        </w:rPr>
        <w:t xml:space="preserve"> (ל' הטור)</w:t>
      </w:r>
      <w:r w:rsidRPr="0072300F">
        <w:rPr>
          <w:rFonts w:cs="Arial" w:hint="cs"/>
          <w:rtl/>
        </w:rPr>
        <w:t>.</w:t>
      </w:r>
      <w:r>
        <w:rPr>
          <w:rFonts w:cs="Arial" w:hint="cs"/>
          <w:rtl/>
        </w:rPr>
        <w:t xml:space="preserve"> </w:t>
      </w:r>
      <w:r w:rsidRPr="00E11C6C">
        <w:rPr>
          <w:rFonts w:cs="Arial" w:hint="cs"/>
          <w:color w:val="00B0F0"/>
          <w:rtl/>
        </w:rPr>
        <w:t>(וכ"פ הרמ"א)</w:t>
      </w:r>
    </w:p>
    <w:p w14:paraId="323FF881"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B2D3CCF" w14:textId="77777777" w:rsidR="004B2E7C" w:rsidRDefault="004B2E7C" w:rsidP="00434A6A">
      <w:pPr>
        <w:rPr>
          <w:rtl/>
        </w:rPr>
      </w:pPr>
      <w:r>
        <w:rPr>
          <w:rFonts w:cs="Arial"/>
          <w:rtl/>
        </w:rPr>
        <w:t>מותר להשאיל ולהשכיר כליו לגוי, ואף על פי שהוא עושה בהם מלאכה בשבת, מפני שאין אנו מצווים על שביתת כלים</w:t>
      </w:r>
      <w:r>
        <w:rPr>
          <w:rFonts w:cs="Arial" w:hint="cs"/>
          <w:rtl/>
        </w:rPr>
        <w:t>.</w:t>
      </w:r>
      <w:r>
        <w:rPr>
          <w:rFonts w:cs="Arial"/>
          <w:rtl/>
        </w:rPr>
        <w:t xml:space="preserve"> וי</w:t>
      </w:r>
      <w:r>
        <w:rPr>
          <w:rFonts w:cs="Arial" w:hint="cs"/>
          <w:rtl/>
        </w:rPr>
        <w:t xml:space="preserve">ש </w:t>
      </w:r>
      <w:r>
        <w:rPr>
          <w:rFonts w:cs="Arial"/>
          <w:rtl/>
        </w:rPr>
        <w:t>א</w:t>
      </w:r>
      <w:r>
        <w:rPr>
          <w:rFonts w:cs="Arial" w:hint="cs"/>
          <w:rtl/>
        </w:rPr>
        <w:t>ומרים</w:t>
      </w:r>
      <w:r>
        <w:rPr>
          <w:rFonts w:cs="Arial"/>
          <w:rtl/>
        </w:rPr>
        <w:t xml:space="preserve"> דכלים שעושין בהם מלאכה, כגון מחרישה וכיוצא בה</w:t>
      </w:r>
      <w:r>
        <w:rPr>
          <w:rStyle w:val="a9"/>
          <w:rFonts w:cs="Arial"/>
          <w:rtl/>
        </w:rPr>
        <w:footnoteReference w:id="111"/>
      </w:r>
      <w:r>
        <w:rPr>
          <w:rFonts w:cs="Arial"/>
          <w:rtl/>
        </w:rPr>
        <w:t>, אסור להשכיר לגוי בע</w:t>
      </w:r>
      <w:r>
        <w:rPr>
          <w:rFonts w:cs="Arial" w:hint="cs"/>
          <w:rtl/>
        </w:rPr>
        <w:t xml:space="preserve">רב </w:t>
      </w:r>
      <w:r>
        <w:rPr>
          <w:rFonts w:cs="Arial"/>
          <w:rtl/>
        </w:rPr>
        <w:t>ש</w:t>
      </w:r>
      <w:r>
        <w:rPr>
          <w:rFonts w:cs="Arial" w:hint="cs"/>
          <w:rtl/>
        </w:rPr>
        <w:t>בת.</w:t>
      </w:r>
      <w:r>
        <w:rPr>
          <w:rFonts w:cs="Arial"/>
          <w:rtl/>
        </w:rPr>
        <w:t xml:space="preserve"> וביום הה' מותר להשכיר לו, ובלבד שלא יטול שכר שבת אלא בהבלעה, כגון שישכיר לו לחדש או לשבוע</w:t>
      </w:r>
      <w:r>
        <w:rPr>
          <w:rFonts w:cs="Arial" w:hint="cs"/>
          <w:rtl/>
        </w:rPr>
        <w:t>.</w:t>
      </w:r>
      <w:r>
        <w:rPr>
          <w:rFonts w:cs="Arial"/>
          <w:rtl/>
        </w:rPr>
        <w:t xml:space="preserve"> ולהשאיל לו, מותר אפילו בערב שבת. </w:t>
      </w:r>
      <w:r w:rsidRPr="0034300D">
        <w:rPr>
          <w:rFonts w:cs="Arial"/>
          <w:sz w:val="18"/>
          <w:szCs w:val="18"/>
          <w:rtl/>
        </w:rPr>
        <w:t>הגה: וכן עיקר כסברא האחרונה</w:t>
      </w:r>
      <w:r>
        <w:rPr>
          <w:rFonts w:cs="Arial" w:hint="cs"/>
          <w:sz w:val="18"/>
          <w:szCs w:val="18"/>
          <w:rtl/>
        </w:rPr>
        <w:t>,</w:t>
      </w:r>
      <w:r w:rsidRPr="0034300D">
        <w:rPr>
          <w:rFonts w:cs="Arial"/>
          <w:sz w:val="18"/>
          <w:szCs w:val="18"/>
          <w:rtl/>
        </w:rPr>
        <w:t xml:space="preserve"> ומותר להשאיל לו בערב שבת (טור וסמ"ק ותוס') אע</w:t>
      </w:r>
      <w:r>
        <w:rPr>
          <w:rFonts w:cs="Arial" w:hint="cs"/>
          <w:sz w:val="18"/>
          <w:szCs w:val="18"/>
          <w:rtl/>
        </w:rPr>
        <w:t>"</w:t>
      </w:r>
      <w:r w:rsidRPr="0034300D">
        <w:rPr>
          <w:rFonts w:cs="Arial"/>
          <w:sz w:val="18"/>
          <w:szCs w:val="18"/>
          <w:rtl/>
        </w:rPr>
        <w:t>ג שמתנה שהגוי יחזור וישאיל לו, ולא אמרינן בכה</w:t>
      </w:r>
      <w:r>
        <w:rPr>
          <w:rFonts w:cs="Arial" w:hint="cs"/>
          <w:sz w:val="18"/>
          <w:szCs w:val="18"/>
          <w:rtl/>
        </w:rPr>
        <w:t>"</w:t>
      </w:r>
      <w:r w:rsidRPr="0034300D">
        <w:rPr>
          <w:rFonts w:cs="Arial"/>
          <w:sz w:val="18"/>
          <w:szCs w:val="18"/>
          <w:rtl/>
        </w:rPr>
        <w:t>ג דהוי כשכירות (הגה</w:t>
      </w:r>
      <w:r>
        <w:rPr>
          <w:rFonts w:cs="Arial" w:hint="cs"/>
          <w:sz w:val="18"/>
          <w:szCs w:val="18"/>
          <w:rtl/>
        </w:rPr>
        <w:t>"</w:t>
      </w:r>
      <w:r w:rsidRPr="0034300D">
        <w:rPr>
          <w:rFonts w:cs="Arial"/>
          <w:sz w:val="18"/>
          <w:szCs w:val="18"/>
          <w:rtl/>
        </w:rPr>
        <w:t xml:space="preserve">מ). </w:t>
      </w:r>
    </w:p>
    <w:p w14:paraId="7182CA21" w14:textId="77777777" w:rsidR="004B2E7C" w:rsidRDefault="004B2E7C" w:rsidP="00434A6A">
      <w:pPr>
        <w:rPr>
          <w:rtl/>
        </w:rPr>
      </w:pPr>
    </w:p>
    <w:p w14:paraId="41915AA2" w14:textId="77777777" w:rsidR="004B2E7C" w:rsidRDefault="004B2E7C" w:rsidP="00434A6A">
      <w:pPr>
        <w:pStyle w:val="2"/>
        <w:rPr>
          <w:rtl/>
        </w:rPr>
      </w:pPr>
      <w:r>
        <w:rPr>
          <w:rtl/>
        </w:rPr>
        <w:t>סעיף ב</w:t>
      </w:r>
      <w:r>
        <w:rPr>
          <w:rFonts w:hint="cs"/>
          <w:rtl/>
        </w:rPr>
        <w:t>: השאלת כלי לגוי בשבת.</w:t>
      </w:r>
    </w:p>
    <w:p w14:paraId="004EE26E" w14:textId="77777777" w:rsidR="004B2E7C" w:rsidRDefault="004B2E7C" w:rsidP="00434A6A">
      <w:pPr>
        <w:rPr>
          <w:rFonts w:cs="Arial"/>
          <w:rtl/>
        </w:rPr>
      </w:pPr>
      <w:r w:rsidRPr="00971B6E">
        <w:rPr>
          <w:rFonts w:cs="Arial" w:hint="cs"/>
          <w:b/>
          <w:bCs/>
          <w:rtl/>
        </w:rPr>
        <w:t xml:space="preserve">שבת </w:t>
      </w:r>
      <w:r>
        <w:rPr>
          <w:rFonts w:cs="Arial" w:hint="cs"/>
          <w:b/>
          <w:bCs/>
          <w:sz w:val="16"/>
          <w:szCs w:val="16"/>
          <w:rtl/>
        </w:rPr>
        <w:t xml:space="preserve">(פ"ק) </w:t>
      </w:r>
      <w:r w:rsidRPr="00971B6E">
        <w:rPr>
          <w:rFonts w:cs="Arial" w:hint="cs"/>
          <w:b/>
          <w:bCs/>
          <w:rtl/>
        </w:rPr>
        <w:t xml:space="preserve">יח ע"ב: </w:t>
      </w:r>
      <w:r w:rsidRPr="00971B6E">
        <w:rPr>
          <w:rFonts w:cs="Arial"/>
          <w:rtl/>
        </w:rPr>
        <w:t xml:space="preserve">בית שמאי אומרים אין מוכרין. תנו רבנן, </w:t>
      </w:r>
      <w:r w:rsidRPr="00971B6E">
        <w:rPr>
          <w:rFonts w:cs="Arial"/>
          <w:u w:val="single"/>
          <w:rtl/>
        </w:rPr>
        <w:t>בית שמאי אומרים</w:t>
      </w:r>
      <w:r w:rsidRPr="00971B6E">
        <w:rPr>
          <w:rFonts w:cs="Arial"/>
          <w:rtl/>
        </w:rPr>
        <w:t xml:space="preserve">: לא ימכור אדם חפצו לנכרי, ולא ישאילנו ולא ילונו ולא יתן לו במתנה, אלא כדי שיגיע לביתו. </w:t>
      </w:r>
      <w:r w:rsidRPr="00971B6E">
        <w:rPr>
          <w:rFonts w:cs="Arial"/>
          <w:u w:val="single"/>
          <w:rtl/>
        </w:rPr>
        <w:t>ובית הלל אומרים</w:t>
      </w:r>
      <w:r w:rsidRPr="00971B6E">
        <w:rPr>
          <w:rFonts w:cs="Arial"/>
          <w:rtl/>
        </w:rPr>
        <w:t xml:space="preserve">: כדי שיגיע לבית הסמוך לחומה. </w:t>
      </w:r>
      <w:r w:rsidRPr="00971B6E">
        <w:rPr>
          <w:rFonts w:cs="Arial"/>
          <w:u w:val="single"/>
          <w:rtl/>
        </w:rPr>
        <w:t>רבי עקיבא אומר</w:t>
      </w:r>
      <w:r w:rsidRPr="00971B6E">
        <w:rPr>
          <w:rFonts w:cs="Arial"/>
          <w:rtl/>
        </w:rPr>
        <w:t xml:space="preserve">: כדי שיצא מפתח ביתו. </w:t>
      </w:r>
      <w:r w:rsidRPr="00971B6E">
        <w:rPr>
          <w:rFonts w:cs="Arial"/>
          <w:u w:val="single"/>
          <w:rtl/>
        </w:rPr>
        <w:t>אמר רבי יוסי ברבי יהודה</w:t>
      </w:r>
      <w:r w:rsidRPr="00971B6E">
        <w:rPr>
          <w:rFonts w:cs="Arial"/>
          <w:rtl/>
        </w:rPr>
        <w:t xml:space="preserve">: הן הן דברי רבי עקיבא, הן הן דברי בית הלל, לא בא רבי עקיבא אלא לפרש דברי בית הלל. </w:t>
      </w:r>
    </w:p>
    <w:p w14:paraId="6D5146D0" w14:textId="77777777" w:rsidR="004B2E7C" w:rsidRPr="00880656" w:rsidRDefault="004B2E7C" w:rsidP="00434A6A">
      <w:pPr>
        <w:rPr>
          <w:rFonts w:cs="Arial"/>
          <w:u w:val="single"/>
          <w:rtl/>
        </w:rPr>
      </w:pPr>
      <w:r w:rsidRPr="00880656">
        <w:rPr>
          <w:rFonts w:cs="Arial" w:hint="cs"/>
          <w:u w:val="single"/>
          <w:rtl/>
        </w:rPr>
        <w:t>האם מותר להשאיל כלי לגוי בשבת:</w:t>
      </w:r>
    </w:p>
    <w:p w14:paraId="621683E3" w14:textId="77777777" w:rsidR="004B2E7C" w:rsidRPr="0034300D" w:rsidRDefault="004B2E7C" w:rsidP="00FF2D21">
      <w:pPr>
        <w:pStyle w:val="aa"/>
        <w:numPr>
          <w:ilvl w:val="0"/>
          <w:numId w:val="105"/>
        </w:numPr>
        <w:rPr>
          <w:rtl/>
        </w:rPr>
      </w:pPr>
      <w:r w:rsidRPr="00880656">
        <w:rPr>
          <w:rFonts w:cs="Arial"/>
          <w:rtl/>
        </w:rPr>
        <w:t>רמב"ם</w:t>
      </w:r>
      <w:r>
        <w:rPr>
          <w:rStyle w:val="a9"/>
          <w:rFonts w:cs="Arial"/>
          <w:rtl/>
        </w:rPr>
        <w:footnoteReference w:id="112"/>
      </w:r>
      <w:r w:rsidRPr="00880656">
        <w:rPr>
          <w:rFonts w:cs="Arial"/>
          <w:rtl/>
        </w:rPr>
        <w:t xml:space="preserve"> </w:t>
      </w:r>
      <w:r w:rsidRPr="00880656">
        <w:rPr>
          <w:rFonts w:cs="Arial" w:hint="cs"/>
          <w:sz w:val="16"/>
          <w:szCs w:val="16"/>
          <w:rtl/>
        </w:rPr>
        <w:t>(</w:t>
      </w:r>
      <w:r w:rsidRPr="00880656">
        <w:rPr>
          <w:rFonts w:cs="Arial"/>
          <w:sz w:val="16"/>
          <w:szCs w:val="16"/>
          <w:rtl/>
        </w:rPr>
        <w:t>פ"ו</w:t>
      </w:r>
      <w:r w:rsidRPr="00880656">
        <w:rPr>
          <w:rFonts w:cs="Arial" w:hint="cs"/>
          <w:sz w:val="16"/>
          <w:szCs w:val="16"/>
          <w:rtl/>
        </w:rPr>
        <w:t xml:space="preserve"> </w:t>
      </w:r>
      <w:r w:rsidRPr="00880656">
        <w:rPr>
          <w:rFonts w:cs="Arial"/>
          <w:sz w:val="16"/>
          <w:szCs w:val="16"/>
          <w:rtl/>
        </w:rPr>
        <w:t>הי"ט)</w:t>
      </w:r>
      <w:r w:rsidRPr="00880656">
        <w:rPr>
          <w:rFonts w:cs="Arial" w:hint="cs"/>
          <w:sz w:val="16"/>
          <w:szCs w:val="16"/>
          <w:rtl/>
        </w:rPr>
        <w:t xml:space="preserve"> </w:t>
      </w:r>
      <w:r w:rsidRPr="00880656">
        <w:rPr>
          <w:rFonts w:cs="Arial"/>
          <w:rtl/>
        </w:rPr>
        <w:t xml:space="preserve">תרומה </w:t>
      </w:r>
      <w:r w:rsidRPr="00880656">
        <w:rPr>
          <w:rFonts w:cs="Arial"/>
          <w:sz w:val="16"/>
          <w:szCs w:val="16"/>
          <w:rtl/>
        </w:rPr>
        <w:t xml:space="preserve">(סי' רכא) </w:t>
      </w:r>
      <w:r w:rsidRPr="00880656">
        <w:rPr>
          <w:rFonts w:cs="Arial"/>
          <w:rtl/>
        </w:rPr>
        <w:t xml:space="preserve">סמ"ג </w:t>
      </w:r>
      <w:r w:rsidRPr="00880656">
        <w:rPr>
          <w:rFonts w:cs="Arial"/>
          <w:sz w:val="16"/>
          <w:szCs w:val="16"/>
          <w:rtl/>
        </w:rPr>
        <w:t xml:space="preserve">(לאוין סה יט ע"ב) </w:t>
      </w:r>
      <w:r w:rsidRPr="00880656">
        <w:rPr>
          <w:rFonts w:cs="Arial"/>
          <w:rtl/>
        </w:rPr>
        <w:t xml:space="preserve">מרדכי </w:t>
      </w:r>
      <w:r w:rsidRPr="00880656">
        <w:rPr>
          <w:rFonts w:cs="Arial" w:hint="cs"/>
          <w:sz w:val="16"/>
          <w:szCs w:val="16"/>
          <w:rtl/>
        </w:rPr>
        <w:t>(</w:t>
      </w:r>
      <w:r w:rsidRPr="00880656">
        <w:rPr>
          <w:rFonts w:cs="Arial"/>
          <w:sz w:val="16"/>
          <w:szCs w:val="16"/>
          <w:rtl/>
        </w:rPr>
        <w:t>פ"ק דשבת סי' רמג)</w:t>
      </w:r>
      <w:r>
        <w:rPr>
          <w:rFonts w:cs="Arial" w:hint="cs"/>
          <w:rtl/>
        </w:rPr>
        <w:t xml:space="preserve"> </w:t>
      </w:r>
      <w:r w:rsidRPr="00880656">
        <w:rPr>
          <w:rFonts w:cs="Arial"/>
          <w:rtl/>
        </w:rPr>
        <w:t xml:space="preserve">סמ"ק </w:t>
      </w:r>
      <w:r w:rsidRPr="00880656">
        <w:rPr>
          <w:rFonts w:cs="Arial"/>
          <w:sz w:val="16"/>
          <w:szCs w:val="16"/>
          <w:rtl/>
        </w:rPr>
        <w:t xml:space="preserve">(סי' רפב עמ' שא) </w:t>
      </w:r>
      <w:r>
        <w:rPr>
          <w:rFonts w:cs="Arial" w:hint="cs"/>
          <w:rtl/>
        </w:rPr>
        <w:t>וטור</w:t>
      </w:r>
      <w:r w:rsidRPr="00880656">
        <w:rPr>
          <w:rFonts w:cs="Arial" w:hint="cs"/>
          <w:rtl/>
        </w:rPr>
        <w:t>-</w:t>
      </w:r>
      <w:r w:rsidRPr="00880656">
        <w:rPr>
          <w:rFonts w:cs="Arial"/>
          <w:rtl/>
        </w:rPr>
        <w:t xml:space="preserve"> בשבת עצמה אסור להשאיל לגוי, וכן תנו רבנן (שבת יח</w:t>
      </w:r>
      <w:r w:rsidRPr="00880656">
        <w:rPr>
          <w:rFonts w:cs="Arial" w:hint="cs"/>
          <w:rtl/>
        </w:rPr>
        <w:t>:</w:t>
      </w:r>
      <w:r w:rsidRPr="00880656">
        <w:rPr>
          <w:rFonts w:cs="Arial"/>
          <w:rtl/>
        </w:rPr>
        <w:t>) בית שמאי אומרים לא ימכור אדם חפצו לגוי ולא ישאילנו ולא ילוונו ולא יתן לו במתנה אלא כדי שיגיע בביתו למקום שרוצה הגוי להוליכו שם שיהיה שם קודם השבת, ורבי עקיבא אומר לבית הילל כדי שיצא הגוי מפתח ביתו של ישראל שהשאילו</w:t>
      </w:r>
      <w:r w:rsidRPr="00880656">
        <w:rPr>
          <w:rFonts w:cs="Arial" w:hint="cs"/>
          <w:rtl/>
        </w:rPr>
        <w:t>,</w:t>
      </w:r>
      <w:r w:rsidRPr="00880656">
        <w:rPr>
          <w:rFonts w:cs="Arial"/>
          <w:rtl/>
        </w:rPr>
        <w:t xml:space="preserve"> אף על פי שהגוי נושאו בשבת</w:t>
      </w:r>
      <w:r w:rsidRPr="00880656">
        <w:rPr>
          <w:rFonts w:cs="Arial" w:hint="cs"/>
          <w:rtl/>
        </w:rPr>
        <w:t>.</w:t>
      </w:r>
      <w:r w:rsidRPr="00880656">
        <w:rPr>
          <w:rFonts w:cs="Arial"/>
          <w:rtl/>
        </w:rPr>
        <w:t xml:space="preserve"> אבל בשבת עצמה אוסר הוא להשאיל לגוי כ"א מערב שבת עם חשיכה כדי שיצא מפתח ביתו</w:t>
      </w:r>
      <w:r w:rsidRPr="00880656">
        <w:rPr>
          <w:rFonts w:cs="Arial" w:hint="cs"/>
          <w:rtl/>
        </w:rPr>
        <w:t>.</w:t>
      </w:r>
      <w:r w:rsidRPr="00880656">
        <w:rPr>
          <w:rFonts w:cs="Arial"/>
          <w:rtl/>
        </w:rPr>
        <w:t xml:space="preserve"> וטעמא שהרואה סבור שישראל צוה לגוי להוליכו </w:t>
      </w:r>
      <w:r w:rsidRPr="00880656">
        <w:rPr>
          <w:rFonts w:cs="Arial" w:hint="cs"/>
          <w:rtl/>
        </w:rPr>
        <w:t xml:space="preserve">חוץ </w:t>
      </w:r>
      <w:r w:rsidRPr="00880656">
        <w:rPr>
          <w:rFonts w:cs="Arial"/>
          <w:rtl/>
        </w:rPr>
        <w:t>לבית ברשות הרבים</w:t>
      </w:r>
      <w:r w:rsidRPr="00880656">
        <w:rPr>
          <w:rFonts w:cs="Arial" w:hint="cs"/>
          <w:rtl/>
        </w:rPr>
        <w:t>,</w:t>
      </w:r>
      <w:r w:rsidRPr="00880656">
        <w:rPr>
          <w:rFonts w:cs="Arial"/>
          <w:rtl/>
        </w:rPr>
        <w:t xml:space="preserve"> שהרי בשבת עצמו מוציאו מבית ישראל</w:t>
      </w:r>
      <w:r w:rsidRPr="00880656">
        <w:rPr>
          <w:rFonts w:cs="Arial" w:hint="cs"/>
          <w:rtl/>
        </w:rPr>
        <w:t>,</w:t>
      </w:r>
      <w:r w:rsidRPr="00880656">
        <w:rPr>
          <w:rFonts w:cs="Arial"/>
          <w:rtl/>
        </w:rPr>
        <w:t xml:space="preserve"> ולא ידעו שהגוי נושאו לצורך עצמו</w:t>
      </w:r>
      <w:r>
        <w:rPr>
          <w:rFonts w:hint="cs"/>
          <w:sz w:val="16"/>
          <w:szCs w:val="16"/>
          <w:rtl/>
        </w:rPr>
        <w:t xml:space="preserve"> (ל' הסמ"ג)</w:t>
      </w:r>
      <w:r>
        <w:rPr>
          <w:rFonts w:hint="cs"/>
          <w:rtl/>
        </w:rPr>
        <w:t>.</w:t>
      </w:r>
    </w:p>
    <w:p w14:paraId="14CE7A1A"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02EFABB" w14:textId="77777777" w:rsidR="004B2E7C" w:rsidRDefault="004B2E7C" w:rsidP="00434A6A">
      <w:pPr>
        <w:rPr>
          <w:rtl/>
        </w:rPr>
      </w:pPr>
      <w:r>
        <w:rPr>
          <w:rFonts w:cs="Arial"/>
          <w:rtl/>
        </w:rPr>
        <w:t>אסור להשאיל שום כלי לגוי בשבת, ואפילו בערב שבת אם הוא סמוך לחשיכה</w:t>
      </w:r>
      <w:r>
        <w:rPr>
          <w:rStyle w:val="a9"/>
          <w:rFonts w:cs="Arial"/>
          <w:rtl/>
        </w:rPr>
        <w:footnoteReference w:id="113"/>
      </w:r>
      <w:r>
        <w:rPr>
          <w:rFonts w:cs="Arial"/>
          <w:rtl/>
        </w:rPr>
        <w:t>, כל שאין שהות להוציאו מפתח ביתו של המשאיל קודם חשיכה</w:t>
      </w:r>
      <w:r>
        <w:rPr>
          <w:rStyle w:val="a9"/>
          <w:rFonts w:cs="Arial"/>
          <w:rtl/>
        </w:rPr>
        <w:footnoteReference w:id="114"/>
      </w:r>
      <w:r>
        <w:rPr>
          <w:rFonts w:cs="Arial"/>
          <w:rtl/>
        </w:rPr>
        <w:t>, מפני שהרואה סבור שישראל צוהו להוציאו</w:t>
      </w:r>
      <w:r>
        <w:rPr>
          <w:rStyle w:val="a9"/>
          <w:rFonts w:cs="Arial"/>
          <w:rtl/>
        </w:rPr>
        <w:footnoteReference w:id="115"/>
      </w:r>
      <w:r>
        <w:rPr>
          <w:rFonts w:cs="Arial"/>
          <w:rtl/>
        </w:rPr>
        <w:t xml:space="preserve">. </w:t>
      </w:r>
    </w:p>
    <w:p w14:paraId="3555B61F" w14:textId="77777777" w:rsidR="004B2E7C" w:rsidRDefault="004B2E7C" w:rsidP="00434A6A">
      <w:pPr>
        <w:rPr>
          <w:rtl/>
        </w:rPr>
      </w:pPr>
    </w:p>
    <w:p w14:paraId="3438831A" w14:textId="77777777" w:rsidR="004B2E7C" w:rsidRDefault="004B2E7C" w:rsidP="00434A6A">
      <w:pPr>
        <w:pStyle w:val="2"/>
        <w:rPr>
          <w:rtl/>
        </w:rPr>
      </w:pPr>
      <w:r>
        <w:rPr>
          <w:rtl/>
        </w:rPr>
        <w:t>סעיף ג</w:t>
      </w:r>
      <w:r>
        <w:rPr>
          <w:rFonts w:hint="cs"/>
          <w:rtl/>
        </w:rPr>
        <w:t xml:space="preserve">: </w:t>
      </w:r>
      <w:r w:rsidRPr="00EA3E8D">
        <w:rPr>
          <w:rFonts w:hint="cs"/>
          <w:rtl/>
        </w:rPr>
        <w:t>השכרת</w:t>
      </w:r>
      <w:r>
        <w:rPr>
          <w:rFonts w:hint="cs"/>
          <w:rtl/>
        </w:rPr>
        <w:t>/השאלת</w:t>
      </w:r>
      <w:r w:rsidRPr="00EA3E8D">
        <w:rPr>
          <w:rFonts w:hint="cs"/>
          <w:rtl/>
        </w:rPr>
        <w:t xml:space="preserve"> </w:t>
      </w:r>
      <w:r>
        <w:rPr>
          <w:rFonts w:hint="cs"/>
          <w:rtl/>
        </w:rPr>
        <w:t>בהמתו</w:t>
      </w:r>
      <w:r w:rsidRPr="00EA3E8D">
        <w:rPr>
          <w:rFonts w:hint="cs"/>
          <w:rtl/>
        </w:rPr>
        <w:t xml:space="preserve"> לגוי</w:t>
      </w:r>
      <w:r>
        <w:rPr>
          <w:rFonts w:hint="cs"/>
          <w:rtl/>
        </w:rPr>
        <w:t>.</w:t>
      </w:r>
    </w:p>
    <w:p w14:paraId="770A4CFD" w14:textId="77777777" w:rsidR="004B2E7C" w:rsidRDefault="004B2E7C" w:rsidP="00434A6A">
      <w:pPr>
        <w:rPr>
          <w:rtl/>
        </w:rPr>
      </w:pPr>
      <w:r w:rsidRPr="008F63DB">
        <w:rPr>
          <w:rFonts w:cs="Arial" w:hint="cs"/>
          <w:b/>
          <w:bCs/>
          <w:rtl/>
        </w:rPr>
        <w:t xml:space="preserve">שמות </w:t>
      </w:r>
      <w:r w:rsidRPr="008F63DB">
        <w:rPr>
          <w:rFonts w:cs="Arial"/>
          <w:b/>
          <w:bCs/>
          <w:sz w:val="16"/>
          <w:szCs w:val="16"/>
          <w:rtl/>
        </w:rPr>
        <w:t>(</w:t>
      </w:r>
      <w:r w:rsidRPr="008F63DB">
        <w:rPr>
          <w:rFonts w:cs="Arial" w:hint="cs"/>
          <w:b/>
          <w:bCs/>
          <w:sz w:val="16"/>
          <w:szCs w:val="16"/>
          <w:rtl/>
        </w:rPr>
        <w:t xml:space="preserve">פרשת </w:t>
      </w:r>
      <w:r w:rsidRPr="008F63DB">
        <w:rPr>
          <w:rFonts w:cs="Arial"/>
          <w:b/>
          <w:bCs/>
          <w:sz w:val="16"/>
          <w:szCs w:val="16"/>
          <w:rtl/>
        </w:rPr>
        <w:t>י</w:t>
      </w:r>
      <w:r w:rsidRPr="008F63DB">
        <w:rPr>
          <w:rFonts w:cs="Arial" w:hint="cs"/>
          <w:b/>
          <w:bCs/>
          <w:sz w:val="16"/>
          <w:szCs w:val="16"/>
          <w:rtl/>
        </w:rPr>
        <w:t>תרו</w:t>
      </w:r>
      <w:r w:rsidRPr="008F63DB">
        <w:rPr>
          <w:rFonts w:cs="Arial"/>
          <w:b/>
          <w:bCs/>
          <w:sz w:val="16"/>
          <w:szCs w:val="16"/>
          <w:rtl/>
        </w:rPr>
        <w:t>)</w:t>
      </w:r>
      <w:r w:rsidRPr="008F63DB">
        <w:rPr>
          <w:rFonts w:cs="Arial" w:hint="cs"/>
          <w:b/>
          <w:bCs/>
          <w:sz w:val="16"/>
          <w:szCs w:val="16"/>
          <w:rtl/>
        </w:rPr>
        <w:t xml:space="preserve"> </w:t>
      </w:r>
      <w:r w:rsidRPr="008F63DB">
        <w:rPr>
          <w:rFonts w:cs="Arial" w:hint="cs"/>
          <w:b/>
          <w:bCs/>
          <w:rtl/>
        </w:rPr>
        <w:t>פרק כ פסוק י:</w:t>
      </w:r>
      <w:r w:rsidRPr="008F63DB">
        <w:rPr>
          <w:rFonts w:cs="Arial"/>
          <w:rtl/>
        </w:rPr>
        <w:t xml:space="preserve"> וְי֙וֹם֙ הַשְּׁבִיעִ֔֜י שַׁבָּ֣֖ת׀ לַיקֹוָ֣ק אֱלֹהֶ֑֔יךָ לֹֽ֣א־תַעֲשֶׂ֣֨ה כָל־מְלָאכָ֡֜ה אַתָּ֣ה׀ וּבִנְךָֽ֣־וּ֠בִתֶּ֗ךָ עַבְדְּךָ֤֨ וַאֲמָֽתְךָ֙֜ </w:t>
      </w:r>
      <w:r w:rsidRPr="00B14264">
        <w:rPr>
          <w:rFonts w:cs="Arial"/>
          <w:rtl/>
        </w:rPr>
        <w:t>וּבְהֶמְתֶּ֗֔ךָ</w:t>
      </w:r>
      <w:r w:rsidRPr="008F63DB">
        <w:rPr>
          <w:rFonts w:cs="Arial"/>
          <w:rtl/>
        </w:rPr>
        <w:t xml:space="preserve"> וְגֵרְךָ֖֨ אֲשֶׁ֣ר בִּשְׁעָרֶֽ֔יךָ</w:t>
      </w:r>
      <w:r>
        <w:rPr>
          <w:rFonts w:cs="Arial" w:hint="cs"/>
          <w:rtl/>
        </w:rPr>
        <w:t>:</w:t>
      </w:r>
    </w:p>
    <w:p w14:paraId="6138903A" w14:textId="77777777" w:rsidR="004B2E7C" w:rsidRDefault="004B2E7C" w:rsidP="00434A6A">
      <w:pPr>
        <w:rPr>
          <w:rtl/>
        </w:rPr>
      </w:pPr>
      <w:r w:rsidRPr="00B14264">
        <w:rPr>
          <w:rFonts w:cs="Arial" w:hint="cs"/>
          <w:b/>
          <w:bCs/>
          <w:rtl/>
        </w:rPr>
        <w:t xml:space="preserve">שמות </w:t>
      </w:r>
      <w:r w:rsidRPr="00B14264">
        <w:rPr>
          <w:rFonts w:cs="Arial" w:hint="cs"/>
          <w:b/>
          <w:bCs/>
          <w:sz w:val="16"/>
          <w:szCs w:val="16"/>
          <w:rtl/>
        </w:rPr>
        <w:t xml:space="preserve">(פרשת משפטים) </w:t>
      </w:r>
      <w:r w:rsidRPr="00B14264">
        <w:rPr>
          <w:rFonts w:cs="Arial" w:hint="cs"/>
          <w:b/>
          <w:bCs/>
          <w:rtl/>
        </w:rPr>
        <w:t>פרק כג פסוק יב:</w:t>
      </w:r>
      <w:r>
        <w:rPr>
          <w:rFonts w:cs="Arial" w:hint="cs"/>
          <w:rtl/>
        </w:rPr>
        <w:t xml:space="preserve"> </w:t>
      </w:r>
      <w:r w:rsidRPr="00B14264">
        <w:rPr>
          <w:rFonts w:cs="Arial"/>
          <w:rtl/>
        </w:rPr>
        <w:t>שֵׁ֤שֶׁת יָמִים֙ תַּעֲשֶׂ֣ה מַעֲשֶׂ֔יךָ וּבַיּ֥וֹם הַשְּׁבִיעִ֖י תִּשְׁבֹּ֑ת לְמַ֣עַן יָנ֗וּחַ שֽׁוֹרְךָ֙ וַחֲמֹרֶ֔ךָ וְיִנָּפֵ֥שׁ בֶּן־אֲמָתְךָ֖ וְהַגֵּֽר:</w:t>
      </w:r>
    </w:p>
    <w:p w14:paraId="5201E6E6" w14:textId="77777777" w:rsidR="004B2E7C" w:rsidRPr="008F63DB" w:rsidRDefault="004B2E7C" w:rsidP="00434A6A">
      <w:pPr>
        <w:rPr>
          <w:rtl/>
        </w:rPr>
      </w:pPr>
      <w:r w:rsidRPr="00B14264">
        <w:rPr>
          <w:rFonts w:cs="Arial" w:hint="cs"/>
          <w:b/>
          <w:bCs/>
          <w:rtl/>
        </w:rPr>
        <w:t>עבודה זרה</w:t>
      </w:r>
      <w:r>
        <w:rPr>
          <w:rFonts w:cs="Arial" w:hint="cs"/>
          <w:b/>
          <w:bCs/>
          <w:sz w:val="16"/>
          <w:szCs w:val="16"/>
          <w:rtl/>
        </w:rPr>
        <w:t xml:space="preserve"> (פ"ק)</w:t>
      </w:r>
      <w:r w:rsidRPr="00B14264">
        <w:rPr>
          <w:rFonts w:cs="Arial" w:hint="cs"/>
          <w:b/>
          <w:bCs/>
          <w:rtl/>
        </w:rPr>
        <w:t xml:space="preserve"> טו ע"ב:</w:t>
      </w:r>
      <w:r>
        <w:rPr>
          <w:rFonts w:cs="Arial" w:hint="cs"/>
          <w:rtl/>
        </w:rPr>
        <w:t xml:space="preserve"> </w:t>
      </w:r>
      <w:r w:rsidRPr="00B14264">
        <w:rPr>
          <w:rFonts w:cs="Arial"/>
          <w:u w:val="single"/>
          <w:rtl/>
        </w:rPr>
        <w:t>אמר רבה</w:t>
      </w:r>
      <w:r w:rsidRPr="00B14264">
        <w:rPr>
          <w:rFonts w:cs="Arial"/>
          <w:rtl/>
        </w:rPr>
        <w:t>:</w:t>
      </w:r>
      <w:r>
        <w:rPr>
          <w:rFonts w:cs="Arial" w:hint="cs"/>
          <w:rtl/>
        </w:rPr>
        <w:t>...</w:t>
      </w:r>
      <w:r w:rsidRPr="00B14264">
        <w:rPr>
          <w:rFonts w:cs="Arial"/>
          <w:rtl/>
        </w:rPr>
        <w:t xml:space="preserve"> אדם מצווה על שביתת בהמתו בשבת</w:t>
      </w:r>
      <w:r>
        <w:rPr>
          <w:rFonts w:cs="Arial" w:hint="cs"/>
          <w:rtl/>
        </w:rPr>
        <w:t>.</w:t>
      </w:r>
    </w:p>
    <w:p w14:paraId="2E03D9A0" w14:textId="77777777" w:rsidR="004B2E7C" w:rsidRPr="00800B8D" w:rsidRDefault="004B2E7C" w:rsidP="00434A6A">
      <w:pPr>
        <w:rPr>
          <w:rFonts w:cs="Arial"/>
          <w:rtl/>
        </w:rPr>
      </w:pPr>
      <w:r w:rsidRPr="00DE37AA">
        <w:rPr>
          <w:rFonts w:cs="Arial" w:hint="cs"/>
          <w:b/>
          <w:bCs/>
          <w:rtl/>
        </w:rPr>
        <w:t xml:space="preserve">שבת </w:t>
      </w:r>
      <w:r w:rsidRPr="00DE37AA">
        <w:rPr>
          <w:rFonts w:cs="Arial" w:hint="cs"/>
          <w:b/>
          <w:bCs/>
          <w:sz w:val="16"/>
          <w:szCs w:val="16"/>
          <w:rtl/>
        </w:rPr>
        <w:t xml:space="preserve">(פ"ק) </w:t>
      </w:r>
      <w:r w:rsidRPr="00DE37AA">
        <w:rPr>
          <w:rFonts w:cs="Arial" w:hint="cs"/>
          <w:b/>
          <w:bCs/>
          <w:rtl/>
        </w:rPr>
        <w:t>י</w:t>
      </w:r>
      <w:r>
        <w:rPr>
          <w:rFonts w:cs="Arial" w:hint="cs"/>
          <w:b/>
          <w:bCs/>
          <w:rtl/>
        </w:rPr>
        <w:t>ח</w:t>
      </w:r>
      <w:r w:rsidRPr="00DE37AA">
        <w:rPr>
          <w:rFonts w:cs="Arial" w:hint="cs"/>
          <w:b/>
          <w:bCs/>
          <w:rtl/>
        </w:rPr>
        <w:t xml:space="preserve"> ע"א: </w:t>
      </w:r>
      <w:r w:rsidRPr="00C67EDB">
        <w:rPr>
          <w:rFonts w:cs="Arial"/>
          <w:rtl/>
        </w:rPr>
        <w:t>תנו רבנן: פותקין מים לגינה ערב שבת עם חשיכה, ומתמלאת והולכת כל היום כולו. ומניחין מוגמר תחת הכלים ומתגמרין והולכין כל היום כולו</w:t>
      </w:r>
      <w:r>
        <w:rPr>
          <w:rFonts w:cs="Arial" w:hint="cs"/>
          <w:rtl/>
        </w:rPr>
        <w:t>...</w:t>
      </w:r>
      <w:r w:rsidRPr="00C67EDB">
        <w:rPr>
          <w:rFonts w:cs="Arial"/>
          <w:rtl/>
        </w:rPr>
        <w:t xml:space="preserve"> </w:t>
      </w:r>
      <w:r w:rsidRPr="008F63DB">
        <w:rPr>
          <w:rFonts w:cs="Arial"/>
          <w:u w:val="single"/>
          <w:rtl/>
        </w:rPr>
        <w:t>והשתא דאמר רב אושעיא אמר רב אסי</w:t>
      </w:r>
      <w:r w:rsidRPr="00C67EDB">
        <w:rPr>
          <w:rFonts w:cs="Arial"/>
          <w:rtl/>
        </w:rPr>
        <w:t>: מאן תנא שביתת כלים דאורייתא - בית שמאי היא</w:t>
      </w:r>
      <w:r>
        <w:rPr>
          <w:rFonts w:cs="Arial" w:hint="cs"/>
          <w:rtl/>
        </w:rPr>
        <w:t>,</w:t>
      </w:r>
      <w:r w:rsidRPr="00C67EDB">
        <w:rPr>
          <w:rFonts w:cs="Arial"/>
          <w:rtl/>
        </w:rPr>
        <w:t xml:space="preserve"> ולא בית הלל. לבית שמאי, בין דקעביד מעשה בין דלא קעביד מעשה - אסור. לבית הלל, אף על גב דקעביד מעשה - שרי.</w:t>
      </w:r>
      <w:r>
        <w:rPr>
          <w:rFonts w:cs="Arial" w:hint="cs"/>
          <w:rtl/>
        </w:rPr>
        <w:t>..</w:t>
      </w:r>
      <w:r w:rsidRPr="00C67EDB">
        <w:rPr>
          <w:rFonts w:cs="Arial"/>
          <w:rtl/>
        </w:rPr>
        <w:t xml:space="preserve"> גיגית ונר וקדרה ושפוד</w:t>
      </w:r>
      <w:r>
        <w:rPr>
          <w:rStyle w:val="a9"/>
          <w:rFonts w:cs="Arial"/>
          <w:rtl/>
        </w:rPr>
        <w:footnoteReference w:id="116"/>
      </w:r>
      <w:r w:rsidRPr="00C67EDB">
        <w:rPr>
          <w:rFonts w:cs="Arial"/>
          <w:rtl/>
        </w:rPr>
        <w:t xml:space="preserve"> מאי טעמא שרו בית שמאי? דמפקר להו</w:t>
      </w:r>
      <w:r>
        <w:rPr>
          <w:rStyle w:val="a9"/>
          <w:rFonts w:cs="Arial"/>
          <w:rtl/>
        </w:rPr>
        <w:footnoteReference w:id="117"/>
      </w:r>
      <w:r w:rsidRPr="00C67EDB">
        <w:rPr>
          <w:rFonts w:cs="Arial"/>
          <w:rtl/>
        </w:rPr>
        <w:t xml:space="preserve"> אפקורי.</w:t>
      </w:r>
      <w:r w:rsidRPr="00800B8D">
        <w:rPr>
          <w:rtl/>
        </w:rPr>
        <w:t xml:space="preserve"> </w:t>
      </w:r>
      <w:r w:rsidRPr="00800B8D">
        <w:rPr>
          <w:rFonts w:cs="Arial" w:hint="cs"/>
          <w:sz w:val="16"/>
          <w:szCs w:val="16"/>
          <w:rtl/>
        </w:rPr>
        <w:t>(</w:t>
      </w:r>
      <w:r w:rsidRPr="00800B8D">
        <w:rPr>
          <w:rFonts w:cs="Arial"/>
          <w:sz w:val="16"/>
          <w:szCs w:val="16"/>
          <w:rtl/>
        </w:rPr>
        <w:t>אע</w:t>
      </w:r>
      <w:r>
        <w:rPr>
          <w:rFonts w:cs="Arial" w:hint="cs"/>
          <w:sz w:val="16"/>
          <w:szCs w:val="16"/>
          <w:rtl/>
        </w:rPr>
        <w:t>"</w:t>
      </w:r>
      <w:r w:rsidRPr="00800B8D">
        <w:rPr>
          <w:rFonts w:cs="Arial"/>
          <w:sz w:val="16"/>
          <w:szCs w:val="16"/>
          <w:rtl/>
        </w:rPr>
        <w:t>ג דאמר בנדרים מה.) דבעינן הפקר בפני ג'</w:t>
      </w:r>
      <w:r>
        <w:rPr>
          <w:rFonts w:cs="Arial" w:hint="cs"/>
          <w:sz w:val="16"/>
          <w:szCs w:val="16"/>
          <w:rtl/>
        </w:rPr>
        <w:t>,</w:t>
      </w:r>
      <w:r w:rsidRPr="00800B8D">
        <w:rPr>
          <w:rFonts w:cs="Arial"/>
          <w:sz w:val="16"/>
          <w:szCs w:val="16"/>
          <w:rtl/>
        </w:rPr>
        <w:t xml:space="preserve"> הכא לא בעינן</w:t>
      </w:r>
      <w:r>
        <w:rPr>
          <w:rFonts w:cs="Arial" w:hint="cs"/>
          <w:sz w:val="16"/>
          <w:szCs w:val="16"/>
          <w:rtl/>
        </w:rPr>
        <w:t>,</w:t>
      </w:r>
      <w:r w:rsidRPr="00800B8D">
        <w:rPr>
          <w:rFonts w:cs="Arial"/>
          <w:sz w:val="16"/>
          <w:szCs w:val="16"/>
          <w:rtl/>
        </w:rPr>
        <w:t xml:space="preserve"> דמסתמא מפקיר להו</w:t>
      </w:r>
      <w:r>
        <w:rPr>
          <w:rFonts w:cs="Arial" w:hint="cs"/>
          <w:sz w:val="16"/>
          <w:szCs w:val="16"/>
          <w:rtl/>
        </w:rPr>
        <w:t>.</w:t>
      </w:r>
      <w:r w:rsidRPr="00800B8D">
        <w:rPr>
          <w:rFonts w:cs="Arial"/>
          <w:sz w:val="16"/>
          <w:szCs w:val="16"/>
          <w:rtl/>
        </w:rPr>
        <w:t xml:space="preserve"> ואין לסמוך על זה להשכיר סוס לנכרי ולהפקיר</w:t>
      </w:r>
      <w:r>
        <w:rPr>
          <w:rFonts w:cs="Arial" w:hint="cs"/>
          <w:sz w:val="16"/>
          <w:szCs w:val="16"/>
          <w:rtl/>
        </w:rPr>
        <w:t>,</w:t>
      </w:r>
      <w:r w:rsidRPr="00800B8D">
        <w:rPr>
          <w:rFonts w:cs="Arial"/>
          <w:sz w:val="16"/>
          <w:szCs w:val="16"/>
          <w:rtl/>
        </w:rPr>
        <w:t xml:space="preserve"> דהכא שאני משום דלא אפשר בענין אחר</w:t>
      </w:r>
      <w:r>
        <w:rPr>
          <w:rFonts w:cs="Arial" w:hint="cs"/>
          <w:sz w:val="16"/>
          <w:szCs w:val="16"/>
          <w:rtl/>
        </w:rPr>
        <w:t>,</w:t>
      </w:r>
      <w:r w:rsidRPr="00800B8D">
        <w:rPr>
          <w:rFonts w:cs="Arial"/>
          <w:sz w:val="16"/>
          <w:szCs w:val="16"/>
          <w:rtl/>
        </w:rPr>
        <w:t xml:space="preserve"> ועוד שאין הדבר מפורסם</w:t>
      </w:r>
      <w:r>
        <w:rPr>
          <w:rFonts w:cs="Arial" w:hint="cs"/>
          <w:sz w:val="16"/>
          <w:szCs w:val="16"/>
          <w:rtl/>
        </w:rPr>
        <w:t xml:space="preserve">, תוס' (יח: ד"ה דמפקרא). וכ"כ הרא"ש </w:t>
      </w:r>
      <w:r w:rsidRPr="00707400">
        <w:rPr>
          <w:rFonts w:cs="Arial"/>
          <w:sz w:val="16"/>
          <w:szCs w:val="16"/>
          <w:rtl/>
        </w:rPr>
        <w:t>(</w:t>
      </w:r>
      <w:r w:rsidRPr="00707400">
        <w:rPr>
          <w:rFonts w:cs="Arial" w:hint="cs"/>
          <w:sz w:val="16"/>
          <w:szCs w:val="16"/>
          <w:rtl/>
        </w:rPr>
        <w:t xml:space="preserve">פ"ק דשבת </w:t>
      </w:r>
      <w:r w:rsidRPr="00707400">
        <w:rPr>
          <w:rFonts w:cs="Arial"/>
          <w:sz w:val="16"/>
          <w:szCs w:val="16"/>
          <w:rtl/>
        </w:rPr>
        <w:t>סי' לג)</w:t>
      </w:r>
      <w:r>
        <w:rPr>
          <w:rFonts w:cs="Arial" w:hint="cs"/>
          <w:sz w:val="16"/>
          <w:szCs w:val="16"/>
          <w:rtl/>
        </w:rPr>
        <w:t>)</w:t>
      </w:r>
    </w:p>
    <w:p w14:paraId="64C0A152" w14:textId="77777777" w:rsidR="004B2E7C" w:rsidRPr="00880656" w:rsidRDefault="004B2E7C" w:rsidP="00434A6A">
      <w:pPr>
        <w:rPr>
          <w:rFonts w:cs="Arial"/>
          <w:u w:val="single"/>
          <w:rtl/>
        </w:rPr>
      </w:pPr>
      <w:r w:rsidRPr="00880656">
        <w:rPr>
          <w:rFonts w:cs="Arial" w:hint="cs"/>
          <w:u w:val="single"/>
          <w:rtl/>
        </w:rPr>
        <w:t>האם מותר ל</w:t>
      </w:r>
      <w:r>
        <w:rPr>
          <w:rFonts w:cs="Arial" w:hint="cs"/>
          <w:u w:val="single"/>
          <w:rtl/>
        </w:rPr>
        <w:t>השכיר/ל</w:t>
      </w:r>
      <w:r w:rsidRPr="00880656">
        <w:rPr>
          <w:rFonts w:cs="Arial" w:hint="cs"/>
          <w:u w:val="single"/>
          <w:rtl/>
        </w:rPr>
        <w:t xml:space="preserve">השאיל </w:t>
      </w:r>
      <w:r>
        <w:rPr>
          <w:rFonts w:cs="Arial" w:hint="cs"/>
          <w:u w:val="single"/>
          <w:rtl/>
        </w:rPr>
        <w:t xml:space="preserve">בהמתו לגוי </w:t>
      </w:r>
      <w:r>
        <w:rPr>
          <w:rFonts w:cs="Arial"/>
          <w:u w:val="single"/>
          <w:rtl/>
        </w:rPr>
        <w:t>–</w:t>
      </w:r>
      <w:r>
        <w:rPr>
          <w:rFonts w:cs="Arial" w:hint="cs"/>
          <w:u w:val="single"/>
          <w:rtl/>
        </w:rPr>
        <w:t xml:space="preserve"> כשיש חשש שיעשה בה מלאכה בשבת</w:t>
      </w:r>
      <w:r w:rsidRPr="00880656">
        <w:rPr>
          <w:rFonts w:cs="Arial" w:hint="cs"/>
          <w:u w:val="single"/>
          <w:rtl/>
        </w:rPr>
        <w:t>:</w:t>
      </w:r>
    </w:p>
    <w:p w14:paraId="4CF9AA98" w14:textId="77777777" w:rsidR="004B2E7C" w:rsidRDefault="004B2E7C" w:rsidP="00FF2D21">
      <w:pPr>
        <w:pStyle w:val="aa"/>
        <w:numPr>
          <w:ilvl w:val="0"/>
          <w:numId w:val="105"/>
        </w:numPr>
      </w:pPr>
      <w:r w:rsidRPr="00883986">
        <w:rPr>
          <w:rFonts w:cs="Arial"/>
          <w:rtl/>
        </w:rPr>
        <w:t xml:space="preserve">רמב"ם </w:t>
      </w:r>
      <w:r w:rsidRPr="00883986">
        <w:rPr>
          <w:rFonts w:cs="Arial" w:hint="cs"/>
          <w:sz w:val="16"/>
          <w:szCs w:val="16"/>
          <w:rtl/>
        </w:rPr>
        <w:t>(</w:t>
      </w:r>
      <w:r w:rsidRPr="00883986">
        <w:rPr>
          <w:rFonts w:cs="Arial"/>
          <w:sz w:val="16"/>
          <w:szCs w:val="16"/>
          <w:rtl/>
        </w:rPr>
        <w:t>פ"ו</w:t>
      </w:r>
      <w:r w:rsidRPr="00883986">
        <w:rPr>
          <w:rFonts w:cs="Arial" w:hint="cs"/>
          <w:sz w:val="16"/>
          <w:szCs w:val="16"/>
          <w:rtl/>
        </w:rPr>
        <w:t xml:space="preserve"> </w:t>
      </w:r>
      <w:r w:rsidRPr="00883986">
        <w:rPr>
          <w:rFonts w:cs="Arial"/>
          <w:sz w:val="16"/>
          <w:szCs w:val="16"/>
          <w:rtl/>
        </w:rPr>
        <w:t>הט</w:t>
      </w:r>
      <w:r>
        <w:rPr>
          <w:rFonts w:cs="Arial" w:hint="cs"/>
          <w:sz w:val="16"/>
          <w:szCs w:val="16"/>
          <w:rtl/>
        </w:rPr>
        <w:t>"ז</w:t>
      </w:r>
      <w:r w:rsidRPr="00883986">
        <w:rPr>
          <w:rFonts w:cs="Arial"/>
          <w:sz w:val="16"/>
          <w:szCs w:val="16"/>
          <w:rtl/>
        </w:rPr>
        <w:t>)</w:t>
      </w:r>
      <w:r w:rsidRPr="00883986">
        <w:rPr>
          <w:rFonts w:cs="Arial" w:hint="cs"/>
          <w:sz w:val="16"/>
          <w:szCs w:val="16"/>
          <w:rtl/>
        </w:rPr>
        <w:t xml:space="preserve"> </w:t>
      </w:r>
      <w:r w:rsidRPr="00883986">
        <w:rPr>
          <w:rFonts w:cs="Arial"/>
          <w:rtl/>
        </w:rPr>
        <w:t xml:space="preserve">תרומה </w:t>
      </w:r>
      <w:r w:rsidRPr="00883986">
        <w:rPr>
          <w:rFonts w:cs="Arial"/>
          <w:sz w:val="16"/>
          <w:szCs w:val="16"/>
          <w:rtl/>
        </w:rPr>
        <w:t xml:space="preserve">(סי' רכא) </w:t>
      </w:r>
      <w:r w:rsidRPr="00883986">
        <w:rPr>
          <w:rFonts w:cs="Arial"/>
          <w:rtl/>
        </w:rPr>
        <w:t xml:space="preserve">סמ"ג </w:t>
      </w:r>
      <w:r w:rsidRPr="00883986">
        <w:rPr>
          <w:rFonts w:cs="Arial"/>
          <w:sz w:val="16"/>
          <w:szCs w:val="16"/>
          <w:rtl/>
        </w:rPr>
        <w:t xml:space="preserve">(לאוין סה יט ע"ב) </w:t>
      </w:r>
      <w:r w:rsidRPr="00883986">
        <w:rPr>
          <w:rFonts w:cs="Arial"/>
          <w:rtl/>
        </w:rPr>
        <w:t xml:space="preserve">מרדכי </w:t>
      </w:r>
      <w:r w:rsidRPr="00883986">
        <w:rPr>
          <w:rFonts w:cs="Arial" w:hint="cs"/>
          <w:sz w:val="16"/>
          <w:szCs w:val="16"/>
          <w:rtl/>
        </w:rPr>
        <w:t>(</w:t>
      </w:r>
      <w:r w:rsidRPr="00883986">
        <w:rPr>
          <w:rFonts w:cs="Arial"/>
          <w:sz w:val="16"/>
          <w:szCs w:val="16"/>
          <w:rtl/>
        </w:rPr>
        <w:t>פ"ק דשבת סי' רמג)</w:t>
      </w:r>
      <w:r w:rsidRPr="00883986">
        <w:rPr>
          <w:rFonts w:cs="Arial" w:hint="cs"/>
          <w:rtl/>
        </w:rPr>
        <w:t xml:space="preserve"> </w:t>
      </w:r>
      <w:r w:rsidRPr="00883986">
        <w:rPr>
          <w:rFonts w:cs="Arial"/>
          <w:rtl/>
        </w:rPr>
        <w:t xml:space="preserve">סמ"ק </w:t>
      </w:r>
      <w:r w:rsidRPr="00883986">
        <w:rPr>
          <w:rFonts w:cs="Arial"/>
          <w:sz w:val="16"/>
          <w:szCs w:val="16"/>
          <w:rtl/>
        </w:rPr>
        <w:t xml:space="preserve">(סי' רפב עמ' שא) </w:t>
      </w:r>
      <w:r w:rsidRPr="00883986">
        <w:rPr>
          <w:rFonts w:cs="Arial" w:hint="cs"/>
          <w:rtl/>
        </w:rPr>
        <w:t xml:space="preserve">וטור- </w:t>
      </w:r>
      <w:r w:rsidRPr="00E83810">
        <w:rPr>
          <w:rFonts w:cs="Arial"/>
          <w:rtl/>
        </w:rPr>
        <w:t xml:space="preserve">אבל בהמתו אסור לא להשאיל </w:t>
      </w:r>
      <w:r>
        <w:rPr>
          <w:rFonts w:cs="Arial" w:hint="cs"/>
          <w:rtl/>
        </w:rPr>
        <w:t>לגוי</w:t>
      </w:r>
      <w:r w:rsidRPr="00E83810">
        <w:rPr>
          <w:rFonts w:cs="Arial"/>
          <w:rtl/>
        </w:rPr>
        <w:t xml:space="preserve"> ולא להשכיר </w:t>
      </w:r>
      <w:r>
        <w:rPr>
          <w:rFonts w:cs="Arial" w:hint="cs"/>
          <w:rtl/>
        </w:rPr>
        <w:t>לגוי</w:t>
      </w:r>
      <w:r w:rsidRPr="00E83810">
        <w:rPr>
          <w:rFonts w:cs="Arial"/>
          <w:rtl/>
        </w:rPr>
        <w:t xml:space="preserve"> אפי' ברביעי אם סבור שיעשה בה מלאכה בשבת</w:t>
      </w:r>
      <w:r>
        <w:rPr>
          <w:rStyle w:val="a9"/>
          <w:rFonts w:cs="Arial"/>
          <w:rtl/>
        </w:rPr>
        <w:footnoteReference w:id="118"/>
      </w:r>
      <w:r>
        <w:rPr>
          <w:rFonts w:cs="Arial" w:hint="cs"/>
          <w:sz w:val="16"/>
          <w:szCs w:val="16"/>
          <w:rtl/>
        </w:rPr>
        <w:t xml:space="preserve"> (ל' התרומה)</w:t>
      </w:r>
      <w:r w:rsidRPr="00883986">
        <w:rPr>
          <w:rFonts w:cs="Arial" w:hint="cs"/>
          <w:rtl/>
        </w:rPr>
        <w:t>.</w:t>
      </w:r>
      <w:r w:rsidRPr="00883986">
        <w:rPr>
          <w:rFonts w:cs="Arial"/>
          <w:rtl/>
        </w:rPr>
        <w:t xml:space="preserve"> </w:t>
      </w:r>
      <w:r w:rsidRPr="00E11C6C">
        <w:rPr>
          <w:rFonts w:cs="Arial" w:hint="cs"/>
          <w:color w:val="E36C0A" w:themeColor="accent6" w:themeShade="BF"/>
          <w:rtl/>
        </w:rPr>
        <w:t>(וכ"פ בשו"ע)</w:t>
      </w:r>
    </w:p>
    <w:p w14:paraId="211260F6" w14:textId="77777777" w:rsidR="004B2E7C" w:rsidRPr="00C45B6F" w:rsidRDefault="004B2E7C" w:rsidP="00FF2D21">
      <w:pPr>
        <w:pStyle w:val="aa"/>
        <w:numPr>
          <w:ilvl w:val="0"/>
          <w:numId w:val="105"/>
        </w:numPr>
      </w:pPr>
      <w:r>
        <w:rPr>
          <w:rFonts w:cs="Arial"/>
          <w:rtl/>
        </w:rPr>
        <w:t xml:space="preserve">רוקח </w:t>
      </w:r>
      <w:r w:rsidRPr="006D66DD">
        <w:rPr>
          <w:rFonts w:cs="Arial" w:hint="cs"/>
          <w:sz w:val="16"/>
          <w:szCs w:val="16"/>
          <w:rtl/>
        </w:rPr>
        <w:t>(</w:t>
      </w:r>
      <w:r w:rsidRPr="006D66DD">
        <w:rPr>
          <w:rFonts w:cs="Arial"/>
          <w:sz w:val="16"/>
          <w:szCs w:val="16"/>
          <w:rtl/>
        </w:rPr>
        <w:t>סי</w:t>
      </w:r>
      <w:r w:rsidRPr="006D66DD">
        <w:rPr>
          <w:rFonts w:cs="Arial" w:hint="cs"/>
          <w:sz w:val="16"/>
          <w:szCs w:val="16"/>
          <w:rtl/>
        </w:rPr>
        <w:t>'</w:t>
      </w:r>
      <w:r w:rsidRPr="006D66DD">
        <w:rPr>
          <w:rFonts w:cs="Arial"/>
          <w:sz w:val="16"/>
          <w:szCs w:val="16"/>
          <w:rtl/>
        </w:rPr>
        <w:t xml:space="preserve"> ש</w:t>
      </w:r>
      <w:r w:rsidRPr="006D66DD">
        <w:rPr>
          <w:rFonts w:cs="Arial" w:hint="cs"/>
          <w:sz w:val="16"/>
          <w:szCs w:val="16"/>
          <w:rtl/>
        </w:rPr>
        <w:t>)</w:t>
      </w:r>
      <w:r>
        <w:rPr>
          <w:rFonts w:cs="Arial" w:hint="cs"/>
          <w:rtl/>
        </w:rPr>
        <w:t>-</w:t>
      </w:r>
      <w:r>
        <w:rPr>
          <w:rFonts w:cs="Arial"/>
          <w:rtl/>
        </w:rPr>
        <w:t xml:space="preserve"> בהמת ישראל ביד גוי אם הגוי עושה בה מלאכה בשבת מאחר שאין לוקח שכירות –</w:t>
      </w:r>
      <w:r>
        <w:rPr>
          <w:rFonts w:cs="Arial" w:hint="cs"/>
          <w:rtl/>
        </w:rPr>
        <w:t xml:space="preserve"> </w:t>
      </w:r>
      <w:r>
        <w:rPr>
          <w:rFonts w:cs="Arial"/>
          <w:rtl/>
        </w:rPr>
        <w:t>מותר</w:t>
      </w:r>
      <w:r>
        <w:rPr>
          <w:rFonts w:cs="Arial" w:hint="cs"/>
          <w:rtl/>
        </w:rPr>
        <w:t>,</w:t>
      </w:r>
      <w:r>
        <w:rPr>
          <w:rFonts w:cs="Arial"/>
          <w:rtl/>
        </w:rPr>
        <w:t xml:space="preserve"> ואם ישראל רואה מוחה ביד</w:t>
      </w:r>
      <w:r>
        <w:rPr>
          <w:rFonts w:cs="Arial" w:hint="cs"/>
          <w:rtl/>
        </w:rPr>
        <w:t>ו</w:t>
      </w:r>
      <w:r>
        <w:rPr>
          <w:rStyle w:val="a9"/>
          <w:rFonts w:cs="Arial"/>
          <w:rtl/>
        </w:rPr>
        <w:footnoteReference w:id="119"/>
      </w:r>
      <w:r>
        <w:rPr>
          <w:rFonts w:cs="Arial" w:hint="cs"/>
          <w:rtl/>
        </w:rPr>
        <w:t>.</w:t>
      </w:r>
    </w:p>
    <w:p w14:paraId="591E8BBE" w14:textId="77777777" w:rsidR="004B2E7C" w:rsidRPr="00C45B6F" w:rsidRDefault="004B2E7C" w:rsidP="00434A6A">
      <w:pPr>
        <w:ind w:left="360"/>
        <w:rPr>
          <w:u w:val="dotted"/>
        </w:rPr>
      </w:pPr>
      <w:r w:rsidRPr="00C45B6F">
        <w:rPr>
          <w:rFonts w:hint="cs"/>
          <w:u w:val="dotted"/>
          <w:rtl/>
        </w:rPr>
        <w:t>ומה הדין אם יפקירנה הישראל:</w:t>
      </w:r>
    </w:p>
    <w:p w14:paraId="03E3D1B7" w14:textId="77777777" w:rsidR="004B2E7C" w:rsidRPr="003F7122" w:rsidRDefault="004B2E7C" w:rsidP="00FF2D21">
      <w:pPr>
        <w:pStyle w:val="aa"/>
        <w:numPr>
          <w:ilvl w:val="0"/>
          <w:numId w:val="105"/>
        </w:numPr>
      </w:pPr>
      <w:r w:rsidRPr="006D66DD">
        <w:rPr>
          <w:rFonts w:cs="Arial"/>
          <w:rtl/>
        </w:rPr>
        <w:t>תוס</w:t>
      </w:r>
      <w:r>
        <w:rPr>
          <w:rFonts w:cs="Arial" w:hint="cs"/>
          <w:rtl/>
        </w:rPr>
        <w:t>'</w:t>
      </w:r>
      <w:r w:rsidRPr="006D66DD">
        <w:rPr>
          <w:rFonts w:cs="Arial"/>
          <w:rtl/>
        </w:rPr>
        <w:t xml:space="preserve"> </w:t>
      </w:r>
      <w:r w:rsidRPr="00707400">
        <w:rPr>
          <w:rFonts w:cs="Arial"/>
          <w:sz w:val="16"/>
          <w:szCs w:val="16"/>
          <w:rtl/>
        </w:rPr>
        <w:t xml:space="preserve">(יח: ד"ה דמפקרא) </w:t>
      </w:r>
      <w:r w:rsidRPr="006D66DD">
        <w:rPr>
          <w:rFonts w:cs="Arial"/>
          <w:rtl/>
        </w:rPr>
        <w:t xml:space="preserve">רא"ש </w:t>
      </w:r>
      <w:r w:rsidRPr="00707400">
        <w:rPr>
          <w:rFonts w:cs="Arial"/>
          <w:sz w:val="16"/>
          <w:szCs w:val="16"/>
          <w:rtl/>
        </w:rPr>
        <w:t>(</w:t>
      </w:r>
      <w:r w:rsidRPr="00707400">
        <w:rPr>
          <w:rFonts w:cs="Arial" w:hint="cs"/>
          <w:sz w:val="16"/>
          <w:szCs w:val="16"/>
          <w:rtl/>
        </w:rPr>
        <w:t xml:space="preserve">פ"ק דשבת </w:t>
      </w:r>
      <w:r w:rsidRPr="00707400">
        <w:rPr>
          <w:rFonts w:cs="Arial"/>
          <w:sz w:val="16"/>
          <w:szCs w:val="16"/>
          <w:rtl/>
        </w:rPr>
        <w:t>סי' לג)</w:t>
      </w:r>
      <w:r>
        <w:rPr>
          <w:rFonts w:cs="Arial" w:hint="cs"/>
          <w:rtl/>
        </w:rPr>
        <w:t xml:space="preserve"> וטור- </w:t>
      </w:r>
      <w:r w:rsidRPr="00883986">
        <w:rPr>
          <w:rFonts w:cs="Arial"/>
          <w:rtl/>
        </w:rPr>
        <w:t>ואפילו אם יפקירנה בינו לבין עצמו</w:t>
      </w:r>
      <w:r>
        <w:rPr>
          <w:rStyle w:val="a9"/>
          <w:rFonts w:cs="Arial"/>
          <w:rtl/>
        </w:rPr>
        <w:footnoteReference w:id="120"/>
      </w:r>
      <w:r w:rsidRPr="00883986">
        <w:rPr>
          <w:rFonts w:cs="Arial"/>
          <w:rtl/>
        </w:rPr>
        <w:t xml:space="preserve"> אסור</w:t>
      </w:r>
      <w:r w:rsidRPr="00883986">
        <w:rPr>
          <w:rFonts w:cs="Arial" w:hint="cs"/>
          <w:rtl/>
        </w:rPr>
        <w:t>,</w:t>
      </w:r>
      <w:r w:rsidRPr="00883986">
        <w:rPr>
          <w:rFonts w:cs="Arial"/>
          <w:rtl/>
        </w:rPr>
        <w:t xml:space="preserve"> שהכל יודעין שהיא בהמתו של ישראל ואין הכל יודעין שהפקירה</w:t>
      </w:r>
      <w:r w:rsidRPr="00883986">
        <w:rPr>
          <w:rFonts w:cs="Arial" w:hint="cs"/>
          <w:rtl/>
        </w:rPr>
        <w:t>,</w:t>
      </w:r>
      <w:r w:rsidRPr="00883986">
        <w:rPr>
          <w:rFonts w:cs="Arial"/>
          <w:rtl/>
        </w:rPr>
        <w:t xml:space="preserve"> ואומרים בהמתו של ישראל עושה מלאכה בשבת</w:t>
      </w:r>
      <w:r>
        <w:rPr>
          <w:rFonts w:cs="Arial" w:hint="cs"/>
          <w:sz w:val="16"/>
          <w:szCs w:val="16"/>
          <w:rtl/>
        </w:rPr>
        <w:t xml:space="preserve"> (ל' הטור)</w:t>
      </w:r>
      <w:r>
        <w:rPr>
          <w:rStyle w:val="a9"/>
          <w:rFonts w:cs="Arial"/>
          <w:rtl/>
        </w:rPr>
        <w:footnoteReference w:id="121"/>
      </w:r>
      <w:r w:rsidRPr="00883986">
        <w:rPr>
          <w:rFonts w:cs="Arial" w:hint="cs"/>
          <w:rtl/>
        </w:rPr>
        <w:t>.</w:t>
      </w:r>
      <w:r w:rsidRPr="00707400">
        <w:rPr>
          <w:rFonts w:cs="Arial"/>
          <w:rtl/>
        </w:rPr>
        <w:t xml:space="preserve"> </w:t>
      </w:r>
      <w:r>
        <w:rPr>
          <w:rFonts w:hint="cs"/>
          <w:rtl/>
        </w:rPr>
        <w:t xml:space="preserve"> </w:t>
      </w:r>
    </w:p>
    <w:p w14:paraId="55F11D37" w14:textId="77777777" w:rsidR="004B2E7C" w:rsidRDefault="004B2E7C" w:rsidP="00FF2D21">
      <w:pPr>
        <w:pStyle w:val="aa"/>
        <w:numPr>
          <w:ilvl w:val="0"/>
          <w:numId w:val="105"/>
        </w:numPr>
      </w:pPr>
      <w:r>
        <w:rPr>
          <w:rFonts w:cs="Arial"/>
          <w:rtl/>
        </w:rPr>
        <w:t>סמ"ק</w:t>
      </w:r>
      <w:r>
        <w:rPr>
          <w:rStyle w:val="a9"/>
          <w:rFonts w:cs="Arial"/>
          <w:rtl/>
        </w:rPr>
        <w:footnoteReference w:id="122"/>
      </w:r>
      <w:r>
        <w:rPr>
          <w:rFonts w:cs="Arial"/>
          <w:rtl/>
        </w:rPr>
        <w:t xml:space="preserve"> </w:t>
      </w:r>
      <w:r w:rsidRPr="00077796">
        <w:rPr>
          <w:rFonts w:cs="Arial"/>
          <w:sz w:val="16"/>
          <w:szCs w:val="16"/>
          <w:rtl/>
        </w:rPr>
        <w:t>(סי' רפב עמ' שא)</w:t>
      </w:r>
      <w:r>
        <w:rPr>
          <w:rFonts w:cs="Arial" w:hint="cs"/>
          <w:rtl/>
        </w:rPr>
        <w:t xml:space="preserve">- </w:t>
      </w:r>
      <w:r w:rsidRPr="00FD5C71">
        <w:rPr>
          <w:rFonts w:cs="Arial"/>
          <w:rtl/>
        </w:rPr>
        <w:t>אם בהבלעה</w:t>
      </w:r>
      <w:r>
        <w:rPr>
          <w:rStyle w:val="a9"/>
          <w:rFonts w:cs="Arial"/>
          <w:rtl/>
        </w:rPr>
        <w:footnoteReference w:id="123"/>
      </w:r>
      <w:r w:rsidRPr="00FD5C71">
        <w:rPr>
          <w:rFonts w:cs="Arial"/>
          <w:rtl/>
        </w:rPr>
        <w:t xml:space="preserve"> ורחוק משבת שני ימים או יותר יש מתירין ועל יד הפקר.</w:t>
      </w:r>
    </w:p>
    <w:p w14:paraId="1DFAA89D" w14:textId="77777777" w:rsidR="004B2E7C" w:rsidRPr="00770457" w:rsidRDefault="004B2E7C" w:rsidP="00434A6A">
      <w:pPr>
        <w:ind w:left="720"/>
        <w:rPr>
          <w:u w:val="wave"/>
        </w:rPr>
      </w:pPr>
      <w:r w:rsidRPr="00770457">
        <w:rPr>
          <w:rFonts w:hint="cs"/>
          <w:u w:val="wave"/>
          <w:rtl/>
        </w:rPr>
        <w:t>ל</w:t>
      </w:r>
      <w:r>
        <w:rPr>
          <w:rFonts w:hint="cs"/>
          <w:u w:val="wave"/>
          <w:rtl/>
        </w:rPr>
        <w:t>דברי ה</w:t>
      </w:r>
      <w:r w:rsidRPr="00770457">
        <w:rPr>
          <w:rFonts w:hint="cs"/>
          <w:u w:val="wave"/>
          <w:rtl/>
        </w:rPr>
        <w:t>מתירים</w:t>
      </w:r>
      <w:r>
        <w:rPr>
          <w:rFonts w:hint="cs"/>
          <w:u w:val="wave"/>
          <w:rtl/>
        </w:rPr>
        <w:t xml:space="preserve"> הנ"ל</w:t>
      </w:r>
      <w:r w:rsidRPr="00770457">
        <w:rPr>
          <w:rFonts w:hint="cs"/>
          <w:u w:val="wave"/>
          <w:rtl/>
        </w:rPr>
        <w:t xml:space="preserve"> - כיצד יעשה המפקיר כדי שלא יזכה בה אדם אחר:</w:t>
      </w:r>
    </w:p>
    <w:p w14:paraId="34235C83" w14:textId="77777777" w:rsidR="004B2E7C" w:rsidRPr="007E480B" w:rsidRDefault="004B2E7C" w:rsidP="00FF2D21">
      <w:pPr>
        <w:pStyle w:val="aa"/>
        <w:numPr>
          <w:ilvl w:val="0"/>
          <w:numId w:val="105"/>
        </w:numPr>
      </w:pPr>
      <w:r>
        <w:rPr>
          <w:rFonts w:cs="Arial" w:hint="cs"/>
          <w:rtl/>
        </w:rPr>
        <w:t xml:space="preserve">ר"פ </w:t>
      </w:r>
      <w:r>
        <w:rPr>
          <w:rFonts w:cs="Arial" w:hint="cs"/>
          <w:sz w:val="16"/>
          <w:szCs w:val="16"/>
          <w:rtl/>
        </w:rPr>
        <w:t>(בהגהות סמ"ק שם אות א, הביאו הטור)</w:t>
      </w:r>
      <w:r>
        <w:rPr>
          <w:rFonts w:cs="Arial" w:hint="cs"/>
          <w:rtl/>
        </w:rPr>
        <w:t xml:space="preserve">- </w:t>
      </w:r>
      <w:r w:rsidRPr="00222B55">
        <w:rPr>
          <w:rFonts w:cs="Arial"/>
          <w:rtl/>
        </w:rPr>
        <w:t>ויפרש בשעת הפקר שאינו מפקירה כי אם בשבת כל זמן שהוא ביד הגוי</w:t>
      </w:r>
      <w:r>
        <w:rPr>
          <w:rFonts w:cs="Arial" w:hint="cs"/>
          <w:rtl/>
        </w:rPr>
        <w:t>,</w:t>
      </w:r>
      <w:r w:rsidRPr="00222B55">
        <w:rPr>
          <w:rFonts w:cs="Arial"/>
          <w:rtl/>
        </w:rPr>
        <w:t xml:space="preserve"> כדי שלא יזכה בו אחר</w:t>
      </w:r>
      <w:r>
        <w:rPr>
          <w:rFonts w:cs="Arial" w:hint="cs"/>
          <w:rtl/>
        </w:rPr>
        <w:t>.</w:t>
      </w:r>
      <w:r w:rsidRPr="00222B55">
        <w:rPr>
          <w:rFonts w:cs="Arial"/>
          <w:rtl/>
        </w:rPr>
        <w:t xml:space="preserve"> </w:t>
      </w:r>
      <w:r>
        <w:rPr>
          <w:rFonts w:cs="Arial" w:hint="cs"/>
          <w:rtl/>
        </w:rPr>
        <w:t>ו</w:t>
      </w:r>
      <w:r w:rsidRPr="00222B55">
        <w:rPr>
          <w:rFonts w:cs="Arial"/>
          <w:rtl/>
        </w:rPr>
        <w:t>א</w:t>
      </w:r>
      <w:r>
        <w:rPr>
          <w:rFonts w:cs="Arial" w:hint="cs"/>
          <w:rtl/>
        </w:rPr>
        <w:t>ע"פ</w:t>
      </w:r>
      <w:r w:rsidRPr="00222B55">
        <w:rPr>
          <w:rFonts w:cs="Arial"/>
          <w:rtl/>
        </w:rPr>
        <w:t xml:space="preserve"> שאינו מפקיר לגמרי</w:t>
      </w:r>
      <w:r>
        <w:rPr>
          <w:rFonts w:cs="Arial" w:hint="cs"/>
          <w:rtl/>
        </w:rPr>
        <w:t>,</w:t>
      </w:r>
      <w:r w:rsidRPr="00222B55">
        <w:rPr>
          <w:rFonts w:cs="Arial"/>
          <w:rtl/>
        </w:rPr>
        <w:t xml:space="preserve"> מ"מ הוי הפקר, כדמוכח בנדרים</w:t>
      </w:r>
      <w:r w:rsidRPr="00770457">
        <w:rPr>
          <w:rFonts w:cs="Arial"/>
          <w:sz w:val="16"/>
          <w:szCs w:val="16"/>
          <w:rtl/>
        </w:rPr>
        <w:t xml:space="preserve"> </w:t>
      </w:r>
      <w:r w:rsidRPr="00770457">
        <w:rPr>
          <w:rFonts w:cs="Arial" w:hint="cs"/>
          <w:sz w:val="16"/>
          <w:szCs w:val="16"/>
          <w:rtl/>
        </w:rPr>
        <w:t xml:space="preserve">(ס"פ אין בין המודר </w:t>
      </w:r>
      <w:r w:rsidRPr="00770457">
        <w:rPr>
          <w:rFonts w:cs="Arial"/>
          <w:sz w:val="16"/>
          <w:szCs w:val="16"/>
          <w:rtl/>
        </w:rPr>
        <w:t>מ</w:t>
      </w:r>
      <w:r w:rsidRPr="00770457">
        <w:rPr>
          <w:rFonts w:cs="Arial" w:hint="cs"/>
          <w:sz w:val="16"/>
          <w:szCs w:val="16"/>
          <w:rtl/>
        </w:rPr>
        <w:t>ד.)</w:t>
      </w:r>
      <w:r>
        <w:rPr>
          <w:rFonts w:cs="Arial" w:hint="cs"/>
          <w:rtl/>
        </w:rPr>
        <w:t>.</w:t>
      </w:r>
      <w:r w:rsidRPr="00222B55">
        <w:rPr>
          <w:rFonts w:cs="Arial"/>
          <w:rtl/>
        </w:rPr>
        <w:t xml:space="preserve"> ונראה דאפילו בסתם נמי דעתו לזה</w:t>
      </w:r>
      <w:r>
        <w:rPr>
          <w:rFonts w:cs="Arial" w:hint="cs"/>
          <w:rtl/>
        </w:rPr>
        <w:t>,</w:t>
      </w:r>
      <w:r w:rsidRPr="00222B55">
        <w:rPr>
          <w:rFonts w:cs="Arial"/>
          <w:rtl/>
        </w:rPr>
        <w:t xml:space="preserve"> דהא אין דעתו להפקיר כ</w:t>
      </w:r>
      <w:r>
        <w:rPr>
          <w:rFonts w:cs="Arial" w:hint="cs"/>
          <w:rtl/>
        </w:rPr>
        <w:t xml:space="preserve">י </w:t>
      </w:r>
      <w:r w:rsidRPr="00222B55">
        <w:rPr>
          <w:rFonts w:cs="Arial"/>
          <w:rtl/>
        </w:rPr>
        <w:t>א</w:t>
      </w:r>
      <w:r>
        <w:rPr>
          <w:rFonts w:cs="Arial" w:hint="cs"/>
          <w:rtl/>
        </w:rPr>
        <w:t>ם</w:t>
      </w:r>
      <w:r w:rsidRPr="00222B55">
        <w:rPr>
          <w:rFonts w:cs="Arial"/>
          <w:rtl/>
        </w:rPr>
        <w:t xml:space="preserve"> משום שביתת שבת להפקיע איסור דשביתת בהמה דהוי דאורייתא.</w:t>
      </w:r>
    </w:p>
    <w:p w14:paraId="4BA0E063" w14:textId="77777777" w:rsidR="004B2E7C" w:rsidRPr="00BD66BE" w:rsidRDefault="004B2E7C" w:rsidP="00434A6A">
      <w:pPr>
        <w:ind w:left="720"/>
        <w:rPr>
          <w:u w:val="wave"/>
        </w:rPr>
      </w:pPr>
      <w:r w:rsidRPr="00BD66BE">
        <w:rPr>
          <w:rFonts w:hint="cs"/>
          <w:u w:val="wave"/>
          <w:rtl/>
        </w:rPr>
        <w:t xml:space="preserve">לדברי המתירים הנ"ל </w:t>
      </w:r>
      <w:r w:rsidRPr="00BD66BE">
        <w:rPr>
          <w:u w:val="wave"/>
          <w:rtl/>
        </w:rPr>
        <w:t>–</w:t>
      </w:r>
      <w:r w:rsidRPr="00BD66BE">
        <w:rPr>
          <w:rFonts w:hint="cs"/>
          <w:u w:val="wave"/>
          <w:rtl/>
        </w:rPr>
        <w:t xml:space="preserve"> האם יכול להפקיר בינו לבין עצמו או שצריך להפקיר בפני ג':</w:t>
      </w:r>
    </w:p>
    <w:p w14:paraId="75CD04C9" w14:textId="77777777" w:rsidR="004B2E7C" w:rsidRDefault="004B2E7C" w:rsidP="00FF2D21">
      <w:pPr>
        <w:pStyle w:val="aa"/>
        <w:numPr>
          <w:ilvl w:val="0"/>
          <w:numId w:val="105"/>
        </w:numPr>
        <w:rPr>
          <w:rtl/>
        </w:rPr>
      </w:pPr>
      <w:r>
        <w:rPr>
          <w:rFonts w:cs="Arial" w:hint="cs"/>
          <w:rtl/>
        </w:rPr>
        <w:t xml:space="preserve">ב"י- </w:t>
      </w:r>
      <w:r w:rsidRPr="007E480B">
        <w:rPr>
          <w:rFonts w:cs="Arial"/>
          <w:rtl/>
        </w:rPr>
        <w:t>נראה דאפילו לדברי המתירים דוקא בהפקר בפני שלשה מהני</w:t>
      </w:r>
      <w:r>
        <w:rPr>
          <w:rFonts w:cs="Arial" w:hint="cs"/>
          <w:rtl/>
        </w:rPr>
        <w:t>,</w:t>
      </w:r>
      <w:r w:rsidRPr="007E480B">
        <w:rPr>
          <w:rFonts w:cs="Arial"/>
          <w:rtl/>
        </w:rPr>
        <w:t xml:space="preserve"> אבל בינו לבין עצמו לא</w:t>
      </w:r>
      <w:r>
        <w:rPr>
          <w:rFonts w:cs="Arial" w:hint="cs"/>
          <w:rtl/>
        </w:rPr>
        <w:t>.</w:t>
      </w:r>
      <w:r w:rsidRPr="007E480B">
        <w:rPr>
          <w:rFonts w:cs="Arial"/>
          <w:rtl/>
        </w:rPr>
        <w:t xml:space="preserve"> דאל"כ מאי שייך למיחש שמא יזכה בה אחר</w:t>
      </w:r>
      <w:r w:rsidRPr="007E480B">
        <w:rPr>
          <w:rFonts w:cs="Arial" w:hint="cs"/>
          <w:rtl/>
        </w:rPr>
        <w:t>.</w:t>
      </w:r>
      <w:r w:rsidRPr="007E480B">
        <w:rPr>
          <w:rFonts w:cs="Arial"/>
          <w:rtl/>
        </w:rPr>
        <w:t xml:space="preserve"> מיהו אפשר שכיון שהדבר ידוע שכל מי שבהמתו ביד גוי הוא מפקירה בשבת</w:t>
      </w:r>
      <w:r w:rsidRPr="007E480B">
        <w:rPr>
          <w:rFonts w:cs="Arial" w:hint="cs"/>
          <w:rtl/>
        </w:rPr>
        <w:t>,</w:t>
      </w:r>
      <w:r w:rsidRPr="007E480B">
        <w:rPr>
          <w:rFonts w:cs="Arial"/>
          <w:rtl/>
        </w:rPr>
        <w:t xml:space="preserve"> סתמו כפירושו</w:t>
      </w:r>
      <w:r>
        <w:rPr>
          <w:rStyle w:val="a9"/>
          <w:rFonts w:cs="Arial"/>
          <w:rtl/>
        </w:rPr>
        <w:footnoteReference w:id="124"/>
      </w:r>
      <w:r>
        <w:rPr>
          <w:rFonts w:cs="Arial" w:hint="cs"/>
          <w:rtl/>
        </w:rPr>
        <w:t>...</w:t>
      </w:r>
      <w:r w:rsidRPr="007E480B">
        <w:rPr>
          <w:rFonts w:cs="Arial"/>
          <w:rtl/>
        </w:rPr>
        <w:t xml:space="preserve"> הלכך איכא למיחש שמא יזכה בה אחר</w:t>
      </w:r>
      <w:r>
        <w:rPr>
          <w:rStyle w:val="a9"/>
          <w:rFonts w:cs="Arial"/>
          <w:rtl/>
        </w:rPr>
        <w:footnoteReference w:id="125"/>
      </w:r>
      <w:r>
        <w:rPr>
          <w:rFonts w:cs="Arial" w:hint="cs"/>
          <w:rtl/>
        </w:rPr>
        <w:t>.</w:t>
      </w:r>
      <w:r w:rsidRPr="007E480B">
        <w:rPr>
          <w:rFonts w:cs="Arial"/>
          <w:rtl/>
        </w:rPr>
        <w:t xml:space="preserve"> ולכך צריך שיפרש שאינו מפקירה אלא ביום השבת</w:t>
      </w:r>
      <w:r w:rsidRPr="007E480B">
        <w:rPr>
          <w:rFonts w:cs="Arial" w:hint="cs"/>
          <w:rtl/>
        </w:rPr>
        <w:t>,</w:t>
      </w:r>
      <w:r w:rsidRPr="007E480B">
        <w:rPr>
          <w:rFonts w:cs="Arial"/>
          <w:rtl/>
        </w:rPr>
        <w:t xml:space="preserve"> דכיון דביום השבת רשות הגוי עליה שהיא מושכרת או שאולה לו אין אחר יכול לזכות בה</w:t>
      </w:r>
      <w:r w:rsidRPr="007E480B">
        <w:rPr>
          <w:rFonts w:cs="Arial" w:hint="cs"/>
          <w:rtl/>
        </w:rPr>
        <w:t>,</w:t>
      </w:r>
      <w:r w:rsidRPr="007E480B">
        <w:rPr>
          <w:rFonts w:cs="Arial"/>
          <w:rtl/>
        </w:rPr>
        <w:t xml:space="preserve"> ולכי נפיק שבתא ה"ל כאילו חזר וזכה בה שלא הפקירה אלא בשבת לבד</w:t>
      </w:r>
      <w:r w:rsidRPr="007E480B">
        <w:rPr>
          <w:rFonts w:cs="Arial" w:hint="cs"/>
          <w:rtl/>
        </w:rPr>
        <w:t>.</w:t>
      </w:r>
    </w:p>
    <w:p w14:paraId="553D9685" w14:textId="77777777" w:rsidR="004B2E7C" w:rsidRPr="003F7122" w:rsidRDefault="004B2E7C" w:rsidP="00434A6A">
      <w:pPr>
        <w:ind w:left="360"/>
        <w:rPr>
          <w:u w:val="dotted"/>
        </w:rPr>
      </w:pPr>
      <w:r w:rsidRPr="003F7122">
        <w:rPr>
          <w:rFonts w:hint="cs"/>
          <w:u w:val="dotted"/>
          <w:rtl/>
        </w:rPr>
        <w:t>ומה הדין אם יקנה אותה לגוי:</w:t>
      </w:r>
    </w:p>
    <w:p w14:paraId="36C43DC4" w14:textId="77777777" w:rsidR="004B2E7C" w:rsidRDefault="004B2E7C" w:rsidP="00FF2D21">
      <w:pPr>
        <w:pStyle w:val="aa"/>
        <w:numPr>
          <w:ilvl w:val="0"/>
          <w:numId w:val="105"/>
        </w:numPr>
        <w:rPr>
          <w:rFonts w:cs="Arial"/>
        </w:rPr>
      </w:pPr>
      <w:r w:rsidRPr="003F7122">
        <w:rPr>
          <w:rFonts w:cs="Arial"/>
          <w:rtl/>
        </w:rPr>
        <w:t xml:space="preserve">ספר המצות בשם רבינו שמשון משאנץ </w:t>
      </w:r>
      <w:r w:rsidRPr="003F7122">
        <w:rPr>
          <w:rFonts w:cs="Arial" w:hint="cs"/>
          <w:sz w:val="16"/>
          <w:szCs w:val="16"/>
          <w:rtl/>
        </w:rPr>
        <w:t>(</w:t>
      </w:r>
      <w:r>
        <w:rPr>
          <w:rFonts w:cs="Arial" w:hint="cs"/>
          <w:sz w:val="16"/>
          <w:szCs w:val="16"/>
          <w:rtl/>
        </w:rPr>
        <w:t>כ"כ ההגמ"ר [</w:t>
      </w:r>
      <w:r w:rsidRPr="003F7122">
        <w:rPr>
          <w:rFonts w:cs="Arial"/>
          <w:sz w:val="16"/>
          <w:szCs w:val="16"/>
          <w:rtl/>
        </w:rPr>
        <w:t>פ"ק דשבת סי' תנב</w:t>
      </w:r>
      <w:r>
        <w:rPr>
          <w:rFonts w:cs="Arial" w:hint="cs"/>
          <w:sz w:val="16"/>
          <w:szCs w:val="16"/>
          <w:rtl/>
        </w:rPr>
        <w:t>] בשמו</w:t>
      </w:r>
      <w:r w:rsidRPr="003F7122">
        <w:rPr>
          <w:rFonts w:cs="Arial"/>
          <w:sz w:val="16"/>
          <w:szCs w:val="16"/>
          <w:rtl/>
        </w:rPr>
        <w:t xml:space="preserve">) </w:t>
      </w:r>
      <w:r>
        <w:rPr>
          <w:rFonts w:cs="Arial" w:hint="cs"/>
          <w:rtl/>
        </w:rPr>
        <w:t>ו</w:t>
      </w:r>
      <w:r w:rsidRPr="003F7122">
        <w:rPr>
          <w:rFonts w:cs="Arial"/>
          <w:rtl/>
        </w:rPr>
        <w:t xml:space="preserve">אגור </w:t>
      </w:r>
      <w:r w:rsidRPr="003F7122">
        <w:rPr>
          <w:rFonts w:cs="Arial"/>
          <w:sz w:val="16"/>
          <w:szCs w:val="16"/>
          <w:rtl/>
        </w:rPr>
        <w:t>(סי' שמב)</w:t>
      </w:r>
      <w:r>
        <w:rPr>
          <w:rFonts w:cs="Arial" w:hint="cs"/>
          <w:rtl/>
        </w:rPr>
        <w:t xml:space="preserve">- </w:t>
      </w:r>
      <w:r w:rsidRPr="003F7122">
        <w:rPr>
          <w:rFonts w:cs="Arial"/>
          <w:rtl/>
        </w:rPr>
        <w:t>אם אמר בהמתי קנויה לך מותר</w:t>
      </w:r>
      <w:r>
        <w:rPr>
          <w:rStyle w:val="a9"/>
          <w:rFonts w:cs="Arial"/>
          <w:rtl/>
        </w:rPr>
        <w:footnoteReference w:id="126"/>
      </w:r>
      <w:r>
        <w:rPr>
          <w:rFonts w:cs="Arial" w:hint="cs"/>
          <w:rtl/>
        </w:rPr>
        <w:t>.</w:t>
      </w:r>
      <w:r w:rsidRPr="003F7122">
        <w:rPr>
          <w:rFonts w:cs="Arial"/>
          <w:rtl/>
        </w:rPr>
        <w:t xml:space="preserve"> </w:t>
      </w:r>
    </w:p>
    <w:p w14:paraId="21824CB1" w14:textId="77777777" w:rsidR="004B2E7C" w:rsidRPr="003F7122" w:rsidRDefault="004B2E7C" w:rsidP="00FF2D21">
      <w:pPr>
        <w:pStyle w:val="aa"/>
        <w:numPr>
          <w:ilvl w:val="0"/>
          <w:numId w:val="105"/>
        </w:numPr>
        <w:rPr>
          <w:rFonts w:cs="Arial"/>
        </w:rPr>
      </w:pPr>
      <w:r w:rsidRPr="0034300D">
        <w:rPr>
          <w:rFonts w:cs="Arial"/>
          <w:rtl/>
        </w:rPr>
        <w:t>או</w:t>
      </w:r>
      <w:r>
        <w:rPr>
          <w:rFonts w:cs="Arial" w:hint="cs"/>
          <w:rtl/>
        </w:rPr>
        <w:t>"</w:t>
      </w:r>
      <w:r w:rsidRPr="0034300D">
        <w:rPr>
          <w:rFonts w:cs="Arial"/>
          <w:rtl/>
        </w:rPr>
        <w:t xml:space="preserve">ז </w:t>
      </w:r>
      <w:r w:rsidRPr="003F7122">
        <w:rPr>
          <w:rFonts w:cs="Arial"/>
          <w:sz w:val="16"/>
          <w:szCs w:val="16"/>
          <w:rtl/>
        </w:rPr>
        <w:t>(הל</w:t>
      </w:r>
      <w:r w:rsidRPr="003F7122">
        <w:rPr>
          <w:rFonts w:cs="Arial" w:hint="cs"/>
          <w:sz w:val="16"/>
          <w:szCs w:val="16"/>
          <w:rtl/>
        </w:rPr>
        <w:t>'</w:t>
      </w:r>
      <w:r w:rsidRPr="003F7122">
        <w:rPr>
          <w:rFonts w:cs="Arial"/>
          <w:sz w:val="16"/>
          <w:szCs w:val="16"/>
          <w:rtl/>
        </w:rPr>
        <w:t xml:space="preserve"> ערב שבת סי' ב סוף ס"ה</w:t>
      </w:r>
      <w:r>
        <w:rPr>
          <w:rFonts w:cs="Arial" w:hint="cs"/>
          <w:sz w:val="16"/>
          <w:szCs w:val="16"/>
          <w:rtl/>
        </w:rPr>
        <w:t>, הביאו הדרכ"מ [אות ג]</w:t>
      </w:r>
      <w:r w:rsidRPr="003F7122">
        <w:rPr>
          <w:rFonts w:cs="Arial"/>
          <w:sz w:val="16"/>
          <w:szCs w:val="16"/>
          <w:rtl/>
        </w:rPr>
        <w:t>)</w:t>
      </w:r>
      <w:r>
        <w:rPr>
          <w:rFonts w:cs="Arial" w:hint="cs"/>
          <w:rtl/>
        </w:rPr>
        <w:t xml:space="preserve">- </w:t>
      </w:r>
      <w:r w:rsidRPr="0034300D">
        <w:rPr>
          <w:rFonts w:cs="Arial"/>
          <w:rtl/>
        </w:rPr>
        <w:t>אף אם אמר בהמתי קנויה לך אין להתיר בזמן הזה</w:t>
      </w:r>
      <w:r>
        <w:rPr>
          <w:rFonts w:cs="Arial" w:hint="cs"/>
          <w:rtl/>
        </w:rPr>
        <w:t>.</w:t>
      </w:r>
    </w:p>
    <w:p w14:paraId="1EC4D687" w14:textId="77777777" w:rsidR="004B2E7C" w:rsidRPr="00077796" w:rsidRDefault="004B2E7C" w:rsidP="00434A6A">
      <w:pPr>
        <w:ind w:left="360"/>
        <w:rPr>
          <w:u w:val="dotted"/>
        </w:rPr>
      </w:pPr>
      <w:r>
        <w:rPr>
          <w:rFonts w:hint="cs"/>
          <w:u w:val="dotted"/>
          <w:rtl/>
        </w:rPr>
        <w:t xml:space="preserve">האם יכול להתנות </w:t>
      </w:r>
      <w:r w:rsidRPr="00077796">
        <w:rPr>
          <w:rFonts w:hint="cs"/>
          <w:u w:val="dotted"/>
          <w:rtl/>
        </w:rPr>
        <w:t>עם הגוי שיחזירנה לו קודם השבת:</w:t>
      </w:r>
    </w:p>
    <w:p w14:paraId="0066C3AD" w14:textId="77777777" w:rsidR="004B2E7C" w:rsidRPr="00234714" w:rsidRDefault="004B2E7C" w:rsidP="00FF2D21">
      <w:pPr>
        <w:pStyle w:val="aa"/>
        <w:numPr>
          <w:ilvl w:val="0"/>
          <w:numId w:val="105"/>
        </w:numPr>
      </w:pPr>
      <w:r w:rsidRPr="00077796">
        <w:rPr>
          <w:rFonts w:cs="Arial"/>
          <w:rtl/>
        </w:rPr>
        <w:t xml:space="preserve">ריב"ש </w:t>
      </w:r>
      <w:r w:rsidRPr="00077796">
        <w:rPr>
          <w:rFonts w:cs="Arial"/>
          <w:sz w:val="16"/>
          <w:szCs w:val="16"/>
          <w:rtl/>
        </w:rPr>
        <w:t>(סי</w:t>
      </w:r>
      <w:r w:rsidRPr="00077796">
        <w:rPr>
          <w:rFonts w:cs="Arial" w:hint="cs"/>
          <w:sz w:val="16"/>
          <w:szCs w:val="16"/>
          <w:rtl/>
        </w:rPr>
        <w:t>'</w:t>
      </w:r>
      <w:r w:rsidRPr="00077796">
        <w:rPr>
          <w:rFonts w:cs="Arial"/>
          <w:sz w:val="16"/>
          <w:szCs w:val="16"/>
          <w:rtl/>
        </w:rPr>
        <w:t xml:space="preserve"> כה)</w:t>
      </w:r>
      <w:r w:rsidRPr="00077796">
        <w:rPr>
          <w:rFonts w:cs="Arial" w:hint="cs"/>
          <w:rtl/>
        </w:rPr>
        <w:t>-</w:t>
      </w:r>
      <w:r w:rsidRPr="00077796">
        <w:rPr>
          <w:rFonts w:cs="Arial"/>
          <w:rtl/>
        </w:rPr>
        <w:t xml:space="preserve"> נראה שאם מתנה עמו על מנת שיחזירנה </w:t>
      </w:r>
      <w:r w:rsidRPr="00077796">
        <w:rPr>
          <w:rFonts w:cs="Arial" w:hint="cs"/>
          <w:rtl/>
        </w:rPr>
        <w:t>ל</w:t>
      </w:r>
      <w:r w:rsidRPr="00077796">
        <w:rPr>
          <w:rFonts w:cs="Arial"/>
          <w:rtl/>
        </w:rPr>
        <w:t>ו קודם השבת אפשר לסמוך עליו בזה.</w:t>
      </w:r>
      <w:r>
        <w:rPr>
          <w:rFonts w:cs="Arial" w:hint="cs"/>
          <w:rtl/>
        </w:rPr>
        <w:t xml:space="preserve"> </w:t>
      </w:r>
      <w:r w:rsidRPr="00D633CE">
        <w:rPr>
          <w:rFonts w:hint="cs"/>
          <w:color w:val="00B0F0"/>
          <w:rtl/>
        </w:rPr>
        <w:t>(וכ"פ הרמ"א)</w:t>
      </w:r>
    </w:p>
    <w:p w14:paraId="016D7408" w14:textId="77777777" w:rsidR="004B2E7C" w:rsidRPr="00234714" w:rsidRDefault="004B2E7C" w:rsidP="00434A6A">
      <w:pPr>
        <w:ind w:left="720"/>
        <w:rPr>
          <w:u w:val="wave"/>
        </w:rPr>
      </w:pPr>
      <w:r>
        <w:rPr>
          <w:rFonts w:hint="cs"/>
          <w:u w:val="wave"/>
          <w:rtl/>
        </w:rPr>
        <w:t>ומה הדין אם הגוי לא החזיר לו את הבהמה קודם השבת:</w:t>
      </w:r>
    </w:p>
    <w:p w14:paraId="5F090284" w14:textId="77777777" w:rsidR="004B2E7C" w:rsidRDefault="004B2E7C" w:rsidP="00FF2D21">
      <w:pPr>
        <w:pStyle w:val="aa"/>
        <w:numPr>
          <w:ilvl w:val="0"/>
          <w:numId w:val="105"/>
        </w:numPr>
      </w:pPr>
      <w:r>
        <w:rPr>
          <w:rFonts w:cs="Arial" w:hint="cs"/>
          <w:rtl/>
        </w:rPr>
        <w:t xml:space="preserve">ריב"ש </w:t>
      </w:r>
      <w:r>
        <w:rPr>
          <w:rFonts w:cs="Arial" w:hint="cs"/>
          <w:sz w:val="16"/>
          <w:szCs w:val="16"/>
          <w:rtl/>
        </w:rPr>
        <w:t>(שם)</w:t>
      </w:r>
      <w:r>
        <w:rPr>
          <w:rFonts w:cs="Arial" w:hint="cs"/>
          <w:rtl/>
        </w:rPr>
        <w:t xml:space="preserve">- </w:t>
      </w:r>
      <w:r w:rsidRPr="00077796">
        <w:rPr>
          <w:rFonts w:cs="Arial"/>
          <w:rtl/>
        </w:rPr>
        <w:t xml:space="preserve">ואם השכירה והשאילה לגוי והתנה עמו להחזירה קודם השבת והגוי מעכבה בשבת </w:t>
      </w:r>
      <w:r>
        <w:rPr>
          <w:rFonts w:cs="Arial" w:hint="cs"/>
          <w:rtl/>
        </w:rPr>
        <w:t xml:space="preserve">- </w:t>
      </w:r>
      <w:r w:rsidRPr="00077796">
        <w:rPr>
          <w:rFonts w:cs="Arial"/>
          <w:rtl/>
        </w:rPr>
        <w:t>טוב להפקירה בינו לבין עצמו קודם השבת כדי שינצל מאיסורא דאוריית</w:t>
      </w:r>
      <w:r>
        <w:rPr>
          <w:rFonts w:cs="Arial" w:hint="cs"/>
          <w:rtl/>
        </w:rPr>
        <w:t xml:space="preserve">א. </w:t>
      </w:r>
      <w:r w:rsidRPr="00E11C6C">
        <w:rPr>
          <w:rFonts w:cs="Arial" w:hint="cs"/>
          <w:color w:val="E36C0A" w:themeColor="accent6" w:themeShade="BF"/>
          <w:rtl/>
        </w:rPr>
        <w:t>(וכ"פ בשו"ע)</w:t>
      </w:r>
      <w:r w:rsidRPr="00234714">
        <w:rPr>
          <w:rFonts w:hint="cs"/>
          <w:color w:val="00B0F0"/>
          <w:rtl/>
        </w:rPr>
        <w:t xml:space="preserve"> </w:t>
      </w:r>
    </w:p>
    <w:p w14:paraId="77B25F39" w14:textId="77777777" w:rsidR="004B2E7C" w:rsidRPr="007E480B" w:rsidRDefault="004B2E7C" w:rsidP="00434A6A">
      <w:pPr>
        <w:ind w:left="360"/>
        <w:rPr>
          <w:u w:val="dotted"/>
        </w:rPr>
      </w:pPr>
      <w:r w:rsidRPr="007E480B">
        <w:rPr>
          <w:rFonts w:hint="cs"/>
          <w:u w:val="dotted"/>
          <w:rtl/>
        </w:rPr>
        <w:t>האם יכול להת</w:t>
      </w:r>
      <w:r>
        <w:rPr>
          <w:rFonts w:hint="cs"/>
          <w:u w:val="dotted"/>
          <w:rtl/>
        </w:rPr>
        <w:t>נ</w:t>
      </w:r>
      <w:r w:rsidRPr="007E480B">
        <w:rPr>
          <w:rFonts w:hint="cs"/>
          <w:u w:val="dotted"/>
          <w:rtl/>
        </w:rPr>
        <w:t>ות עם הגוי שתנוח הבהמה בשבת:</w:t>
      </w:r>
    </w:p>
    <w:p w14:paraId="10FC07FE" w14:textId="77777777" w:rsidR="004B2E7C" w:rsidRPr="007E480B" w:rsidRDefault="004B2E7C" w:rsidP="00FF2D21">
      <w:pPr>
        <w:pStyle w:val="aa"/>
        <w:numPr>
          <w:ilvl w:val="0"/>
          <w:numId w:val="105"/>
        </w:numPr>
      </w:pPr>
      <w:r w:rsidRPr="007E480B">
        <w:rPr>
          <w:rFonts w:cs="Arial"/>
          <w:rtl/>
        </w:rPr>
        <w:t xml:space="preserve">כל בו </w:t>
      </w:r>
      <w:r w:rsidRPr="00D633CE">
        <w:rPr>
          <w:rFonts w:cs="Arial"/>
          <w:sz w:val="16"/>
          <w:szCs w:val="16"/>
          <w:rtl/>
        </w:rPr>
        <w:t xml:space="preserve">(סי' לא כט ע"ד) </w:t>
      </w:r>
      <w:r w:rsidRPr="007E480B">
        <w:rPr>
          <w:rFonts w:cs="Arial"/>
          <w:rtl/>
        </w:rPr>
        <w:t>בשם ה"ר פרץ</w:t>
      </w:r>
      <w:r>
        <w:rPr>
          <w:rFonts w:cs="Arial" w:hint="cs"/>
          <w:rtl/>
        </w:rPr>
        <w:t xml:space="preserve">- </w:t>
      </w:r>
      <w:r w:rsidRPr="007E480B">
        <w:rPr>
          <w:rFonts w:cs="Arial"/>
          <w:rtl/>
        </w:rPr>
        <w:t>אם התנה שתנוח בשבת מותר להשכיר שלשה ימים קודם השבת</w:t>
      </w:r>
      <w:r>
        <w:rPr>
          <w:rStyle w:val="a9"/>
          <w:rFonts w:cs="Arial"/>
          <w:rtl/>
        </w:rPr>
        <w:footnoteReference w:id="127"/>
      </w:r>
      <w:r w:rsidRPr="007E480B">
        <w:rPr>
          <w:rFonts w:cs="Arial"/>
          <w:rtl/>
        </w:rPr>
        <w:t xml:space="preserve">. </w:t>
      </w:r>
    </w:p>
    <w:p w14:paraId="2FCB5F89" w14:textId="77777777" w:rsidR="004B2E7C" w:rsidRDefault="004B2E7C" w:rsidP="00FF2D21">
      <w:pPr>
        <w:pStyle w:val="aa"/>
        <w:numPr>
          <w:ilvl w:val="0"/>
          <w:numId w:val="105"/>
        </w:numPr>
        <w:rPr>
          <w:rtl/>
        </w:rPr>
      </w:pPr>
      <w:r w:rsidRPr="007E480B">
        <w:rPr>
          <w:rFonts w:cs="Arial"/>
          <w:rtl/>
        </w:rPr>
        <w:t xml:space="preserve">תרומה </w:t>
      </w:r>
      <w:r w:rsidRPr="00D633CE">
        <w:rPr>
          <w:rFonts w:cs="Arial"/>
          <w:sz w:val="16"/>
          <w:szCs w:val="16"/>
          <w:rtl/>
        </w:rPr>
        <w:t>(סי' רכא)</w:t>
      </w:r>
      <w:r w:rsidRPr="00D633CE">
        <w:rPr>
          <w:rFonts w:cs="Arial" w:hint="cs"/>
          <w:sz w:val="16"/>
          <w:szCs w:val="16"/>
          <w:rtl/>
        </w:rPr>
        <w:t xml:space="preserve"> </w:t>
      </w:r>
      <w:r w:rsidRPr="007E480B">
        <w:rPr>
          <w:rFonts w:cs="Arial"/>
          <w:rtl/>
        </w:rPr>
        <w:t>סמ"ג</w:t>
      </w:r>
      <w:r>
        <w:rPr>
          <w:rStyle w:val="a9"/>
          <w:rFonts w:cs="Arial"/>
          <w:rtl/>
        </w:rPr>
        <w:footnoteReference w:id="128"/>
      </w:r>
      <w:r w:rsidRPr="007E480B">
        <w:rPr>
          <w:rFonts w:cs="Arial"/>
          <w:rtl/>
        </w:rPr>
        <w:t xml:space="preserve"> </w:t>
      </w:r>
      <w:r w:rsidRPr="00D633CE">
        <w:rPr>
          <w:rFonts w:cs="Arial"/>
          <w:sz w:val="16"/>
          <w:szCs w:val="16"/>
          <w:rtl/>
        </w:rPr>
        <w:t xml:space="preserve">(לאוין סה יט ע"ג) </w:t>
      </w:r>
      <w:r w:rsidRPr="007E480B">
        <w:rPr>
          <w:rFonts w:cs="Arial"/>
          <w:rtl/>
        </w:rPr>
        <w:t xml:space="preserve">מרדכי </w:t>
      </w:r>
      <w:r w:rsidRPr="00D633CE">
        <w:rPr>
          <w:rFonts w:cs="Arial" w:hint="cs"/>
          <w:sz w:val="16"/>
          <w:szCs w:val="16"/>
          <w:rtl/>
        </w:rPr>
        <w:t>(</w:t>
      </w:r>
      <w:r w:rsidRPr="00D633CE">
        <w:rPr>
          <w:rFonts w:cs="Arial"/>
          <w:sz w:val="16"/>
          <w:szCs w:val="16"/>
          <w:rtl/>
        </w:rPr>
        <w:t>פ"ק דשבת סי' רמג)</w:t>
      </w:r>
      <w:r>
        <w:rPr>
          <w:rFonts w:cs="Arial" w:hint="cs"/>
          <w:rtl/>
        </w:rPr>
        <w:t xml:space="preserve">- </w:t>
      </w:r>
      <w:r w:rsidRPr="007E480B">
        <w:rPr>
          <w:rFonts w:cs="Arial"/>
          <w:rtl/>
        </w:rPr>
        <w:t>אם יודע שהגוי עושה בה מלאכה אסור בכל גוונא</w:t>
      </w:r>
      <w:r>
        <w:rPr>
          <w:rFonts w:cs="Arial" w:hint="cs"/>
          <w:sz w:val="16"/>
          <w:szCs w:val="16"/>
          <w:rtl/>
        </w:rPr>
        <w:t xml:space="preserve"> (כ"כ הב"י שמשמע מדבריהם)</w:t>
      </w:r>
      <w:r>
        <w:rPr>
          <w:rFonts w:cs="Arial" w:hint="cs"/>
          <w:rtl/>
        </w:rPr>
        <w:t>.</w:t>
      </w:r>
      <w:r w:rsidRPr="007E480B">
        <w:rPr>
          <w:rFonts w:cs="Arial"/>
          <w:rtl/>
        </w:rPr>
        <w:t xml:space="preserve"> ואין הגוי נאמן לומר שלא עשה בה מלאכה בשבת</w:t>
      </w:r>
      <w:r>
        <w:rPr>
          <w:rFonts w:cs="Arial" w:hint="cs"/>
          <w:sz w:val="14"/>
          <w:szCs w:val="14"/>
          <w:rtl/>
        </w:rPr>
        <w:t xml:space="preserve"> </w:t>
      </w:r>
      <w:r w:rsidRPr="00D633CE">
        <w:rPr>
          <w:rFonts w:cs="Arial" w:hint="cs"/>
          <w:sz w:val="16"/>
          <w:szCs w:val="16"/>
          <w:rtl/>
        </w:rPr>
        <w:t>(ל' הב"י בשם הסמ"ג)</w:t>
      </w:r>
      <w:r w:rsidRPr="007E480B">
        <w:rPr>
          <w:rFonts w:cs="Arial" w:hint="cs"/>
          <w:rtl/>
        </w:rPr>
        <w:t>.</w:t>
      </w:r>
      <w:r w:rsidRPr="00D633CE">
        <w:rPr>
          <w:rFonts w:hint="cs"/>
          <w:color w:val="00B0F0"/>
          <w:rtl/>
        </w:rPr>
        <w:t xml:space="preserve"> (וכ"פ הרמ"א)</w:t>
      </w:r>
    </w:p>
    <w:p w14:paraId="281CD074"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475C921" w14:textId="77777777" w:rsidR="004B2E7C" w:rsidRDefault="004B2E7C" w:rsidP="00434A6A">
      <w:pPr>
        <w:rPr>
          <w:rtl/>
        </w:rPr>
      </w:pPr>
      <w:r>
        <w:rPr>
          <w:rFonts w:cs="Arial"/>
          <w:rtl/>
        </w:rPr>
        <w:t>אסור להשכיר או להשאיל בהמתו לגוי כדי</w:t>
      </w:r>
      <w:r>
        <w:rPr>
          <w:rStyle w:val="a9"/>
          <w:rFonts w:cs="Arial"/>
          <w:rtl/>
        </w:rPr>
        <w:footnoteReference w:id="129"/>
      </w:r>
      <w:r>
        <w:rPr>
          <w:rFonts w:cs="Arial"/>
          <w:rtl/>
        </w:rPr>
        <w:t xml:space="preserve"> שיעשה בה מלאכה בשבת, שאדם מצווה על שביתת בהמתו</w:t>
      </w:r>
      <w:r>
        <w:rPr>
          <w:rStyle w:val="a9"/>
          <w:rFonts w:cs="Arial"/>
          <w:rtl/>
        </w:rPr>
        <w:footnoteReference w:id="130"/>
      </w:r>
      <w:r>
        <w:rPr>
          <w:rFonts w:cs="Arial"/>
          <w:rtl/>
        </w:rPr>
        <w:t xml:space="preserve">. </w:t>
      </w:r>
      <w:r w:rsidRPr="0034300D">
        <w:rPr>
          <w:rFonts w:cs="Arial"/>
          <w:sz w:val="18"/>
          <w:szCs w:val="18"/>
          <w:rtl/>
        </w:rPr>
        <w:t>הגה: אבל יכול להשכירה או להשאילה, ולהתנות שיחזירנה לו קודם השבת</w:t>
      </w:r>
      <w:r>
        <w:rPr>
          <w:rFonts w:cs="Arial" w:hint="cs"/>
          <w:sz w:val="18"/>
          <w:szCs w:val="18"/>
          <w:rtl/>
        </w:rPr>
        <w:t xml:space="preserve"> (ריב"ש).</w:t>
      </w:r>
      <w:r w:rsidRPr="0034300D">
        <w:rPr>
          <w:rFonts w:cs="Arial"/>
          <w:sz w:val="18"/>
          <w:szCs w:val="18"/>
          <w:rtl/>
        </w:rPr>
        <w:t xml:space="preserve"> אבל לא מהני אם מתנה עם הגוי שתנוח בשבת, כי אין הגוי נאמן על כך</w:t>
      </w:r>
      <w:r>
        <w:rPr>
          <w:rStyle w:val="a9"/>
          <w:rFonts w:cs="Arial"/>
          <w:sz w:val="18"/>
          <w:szCs w:val="18"/>
          <w:rtl/>
        </w:rPr>
        <w:footnoteReference w:id="131"/>
      </w:r>
      <w:r w:rsidRPr="0034300D">
        <w:rPr>
          <w:rFonts w:cs="Arial"/>
          <w:sz w:val="18"/>
          <w:szCs w:val="18"/>
          <w:rtl/>
        </w:rPr>
        <w:t xml:space="preserve"> (סמ"ג וסה"ת ומרדכי פ"ק דשבת)</w:t>
      </w:r>
      <w:r>
        <w:rPr>
          <w:rFonts w:cs="Arial"/>
          <w:rtl/>
        </w:rPr>
        <w:t xml:space="preserve"> ואם השאילה או השכירה לגוי, והתנה עמו להחזירה לו קודם השבת</w:t>
      </w:r>
      <w:r>
        <w:rPr>
          <w:rFonts w:cs="Arial" w:hint="cs"/>
          <w:rtl/>
        </w:rPr>
        <w:t>,</w:t>
      </w:r>
      <w:r>
        <w:rPr>
          <w:rFonts w:cs="Arial"/>
          <w:rtl/>
        </w:rPr>
        <w:t xml:space="preserve"> ועיכבה בשבת, יפקירנה</w:t>
      </w:r>
      <w:r w:rsidRPr="0077769A">
        <w:rPr>
          <w:rStyle w:val="a9"/>
          <w:rFonts w:cs="Arial"/>
          <w:rtl/>
        </w:rPr>
        <w:footnoteReference w:id="132"/>
      </w:r>
      <w:r>
        <w:rPr>
          <w:rFonts w:cs="Arial"/>
          <w:rtl/>
        </w:rPr>
        <w:t xml:space="preserve"> בינו לבין עצמו</w:t>
      </w:r>
      <w:r>
        <w:rPr>
          <w:rStyle w:val="a9"/>
          <w:rFonts w:cs="Arial"/>
          <w:rtl/>
        </w:rPr>
        <w:footnoteReference w:id="133"/>
      </w:r>
      <w:r>
        <w:rPr>
          <w:rFonts w:cs="Arial"/>
          <w:rtl/>
        </w:rPr>
        <w:t xml:space="preserve"> קודם השבת, או יאמר בהמתו קנויה לגוי</w:t>
      </w:r>
      <w:r>
        <w:rPr>
          <w:rStyle w:val="a9"/>
          <w:rFonts w:cs="Arial"/>
          <w:rtl/>
        </w:rPr>
        <w:footnoteReference w:id="134"/>
      </w:r>
      <w:r>
        <w:rPr>
          <w:rFonts w:cs="Arial"/>
          <w:rtl/>
        </w:rPr>
        <w:t xml:space="preserve">, כדי שינצל מאיסורא דאורייתא. </w:t>
      </w:r>
      <w:r w:rsidRPr="0034300D">
        <w:rPr>
          <w:rFonts w:cs="Arial"/>
          <w:sz w:val="18"/>
          <w:szCs w:val="18"/>
          <w:rtl/>
        </w:rPr>
        <w:t>הגה: ואם רוצה, יכול להפקירה לפני ג' בני אדם כדין שאר הפקר</w:t>
      </w:r>
      <w:r>
        <w:rPr>
          <w:rFonts w:cs="Arial" w:hint="cs"/>
          <w:sz w:val="18"/>
          <w:szCs w:val="18"/>
          <w:rtl/>
        </w:rPr>
        <w:t xml:space="preserve"> (ב"י בהב' הרא"ש).</w:t>
      </w:r>
      <w:r w:rsidRPr="0034300D">
        <w:rPr>
          <w:rFonts w:cs="Arial"/>
          <w:sz w:val="18"/>
          <w:szCs w:val="18"/>
          <w:rtl/>
        </w:rPr>
        <w:t xml:space="preserve"> ואפילו הכי אין שום אדם יכול לזכות בה</w:t>
      </w:r>
      <w:r>
        <w:rPr>
          <w:rFonts w:cs="Arial" w:hint="cs"/>
          <w:sz w:val="18"/>
          <w:szCs w:val="18"/>
          <w:rtl/>
        </w:rPr>
        <w:t>,</w:t>
      </w:r>
      <w:r w:rsidRPr="0034300D">
        <w:rPr>
          <w:rFonts w:cs="Arial"/>
          <w:sz w:val="18"/>
          <w:szCs w:val="18"/>
          <w:rtl/>
        </w:rPr>
        <w:t xml:space="preserve"> דודאי אין כוונתו רק כדי להפקיע מעליו איסור שבת</w:t>
      </w:r>
      <w:r>
        <w:rPr>
          <w:rFonts w:cs="Arial" w:hint="cs"/>
          <w:sz w:val="18"/>
          <w:szCs w:val="18"/>
          <w:rtl/>
        </w:rPr>
        <w:t xml:space="preserve"> </w:t>
      </w:r>
      <w:r w:rsidRPr="0034300D">
        <w:rPr>
          <w:rFonts w:cs="Arial"/>
          <w:sz w:val="18"/>
          <w:szCs w:val="18"/>
          <w:rtl/>
        </w:rPr>
        <w:t>(</w:t>
      </w:r>
      <w:r>
        <w:rPr>
          <w:rFonts w:cs="Arial" w:hint="cs"/>
          <w:sz w:val="18"/>
          <w:szCs w:val="18"/>
          <w:rtl/>
        </w:rPr>
        <w:t>טור בשם ר"פ</w:t>
      </w:r>
      <w:r w:rsidRPr="0034300D">
        <w:rPr>
          <w:rFonts w:cs="Arial"/>
          <w:sz w:val="18"/>
          <w:szCs w:val="18"/>
          <w:rtl/>
        </w:rPr>
        <w:t>). ודוקא בשבת, אבל בי</w:t>
      </w:r>
      <w:r>
        <w:rPr>
          <w:rFonts w:cs="Arial" w:hint="cs"/>
          <w:sz w:val="18"/>
          <w:szCs w:val="18"/>
          <w:rtl/>
        </w:rPr>
        <w:t>ו</w:t>
      </w:r>
      <w:r w:rsidRPr="0034300D">
        <w:rPr>
          <w:rFonts w:cs="Arial"/>
          <w:sz w:val="18"/>
          <w:szCs w:val="18"/>
          <w:rtl/>
        </w:rPr>
        <w:t>"ט אין אדם מצווה על שביתת בהמתו ביום טוב</w:t>
      </w:r>
      <w:r>
        <w:rPr>
          <w:rStyle w:val="a9"/>
          <w:rFonts w:cs="Arial"/>
          <w:sz w:val="18"/>
          <w:szCs w:val="18"/>
          <w:rtl/>
        </w:rPr>
        <w:footnoteReference w:id="135"/>
      </w:r>
      <w:r w:rsidRPr="0034300D">
        <w:rPr>
          <w:rFonts w:cs="Arial"/>
          <w:sz w:val="18"/>
          <w:szCs w:val="18"/>
          <w:rtl/>
        </w:rPr>
        <w:t xml:space="preserve"> (ב"י סי' שה בשם שבה</w:t>
      </w:r>
      <w:r>
        <w:rPr>
          <w:rFonts w:cs="Arial" w:hint="cs"/>
          <w:sz w:val="18"/>
          <w:szCs w:val="18"/>
          <w:rtl/>
        </w:rPr>
        <w:t>"ל</w:t>
      </w:r>
      <w:r w:rsidRPr="0034300D">
        <w:rPr>
          <w:rFonts w:cs="Arial"/>
          <w:sz w:val="18"/>
          <w:szCs w:val="18"/>
          <w:rtl/>
        </w:rPr>
        <w:t xml:space="preserve">). </w:t>
      </w:r>
    </w:p>
    <w:p w14:paraId="65B1F2C5" w14:textId="77777777" w:rsidR="004B2E7C" w:rsidRDefault="004B2E7C" w:rsidP="00434A6A">
      <w:pPr>
        <w:rPr>
          <w:rtl/>
        </w:rPr>
      </w:pPr>
    </w:p>
    <w:p w14:paraId="76BB4C1A" w14:textId="77777777" w:rsidR="004B2E7C" w:rsidRDefault="004B2E7C" w:rsidP="00434A6A">
      <w:pPr>
        <w:pStyle w:val="2"/>
        <w:rPr>
          <w:rtl/>
        </w:rPr>
      </w:pPr>
      <w:r>
        <w:rPr>
          <w:rtl/>
        </w:rPr>
        <w:t>סעיף ד</w:t>
      </w:r>
      <w:r>
        <w:rPr>
          <w:rFonts w:hint="cs"/>
          <w:rtl/>
        </w:rPr>
        <w:t>: גוי שמשתמש בבהמת ישראל בשבת עי"ז שקיבל עליה אחריות.</w:t>
      </w:r>
    </w:p>
    <w:p w14:paraId="0A6367CD" w14:textId="77777777" w:rsidR="004B2E7C" w:rsidRPr="005B0441" w:rsidRDefault="004B2E7C" w:rsidP="00434A6A">
      <w:pPr>
        <w:rPr>
          <w:rtl/>
        </w:rPr>
      </w:pPr>
      <w:r w:rsidRPr="005B0441">
        <w:rPr>
          <w:rFonts w:hint="cs"/>
          <w:u w:val="single"/>
          <w:rtl/>
        </w:rPr>
        <w:t>האם ישראל יכול להשכיר לגוי בהמתו גם לשבת ע"י שהגוי יקבל על הב</w:t>
      </w:r>
      <w:r>
        <w:rPr>
          <w:rFonts w:hint="cs"/>
          <w:u w:val="single"/>
          <w:rtl/>
        </w:rPr>
        <w:t>ה</w:t>
      </w:r>
      <w:r w:rsidRPr="005B0441">
        <w:rPr>
          <w:rFonts w:hint="cs"/>
          <w:u w:val="single"/>
          <w:rtl/>
        </w:rPr>
        <w:t xml:space="preserve">מה אחריות </w:t>
      </w:r>
      <w:r>
        <w:rPr>
          <w:rFonts w:hint="cs"/>
          <w:u w:val="single"/>
          <w:rtl/>
        </w:rPr>
        <w:t>גמורה</w:t>
      </w:r>
      <w:r w:rsidRPr="005B0441">
        <w:rPr>
          <w:rFonts w:hint="cs"/>
          <w:u w:val="single"/>
          <w:rtl/>
        </w:rPr>
        <w:t>:</w:t>
      </w:r>
    </w:p>
    <w:p w14:paraId="2291DBBF" w14:textId="77777777" w:rsidR="004B2E7C" w:rsidRPr="005B0441" w:rsidRDefault="004B2E7C" w:rsidP="00FF2D21">
      <w:pPr>
        <w:pStyle w:val="aa"/>
        <w:numPr>
          <w:ilvl w:val="0"/>
          <w:numId w:val="105"/>
        </w:numPr>
        <w:rPr>
          <w:rFonts w:cs="Arial"/>
          <w:rtl/>
        </w:rPr>
      </w:pPr>
      <w:r w:rsidRPr="005B0441">
        <w:rPr>
          <w:rFonts w:cs="Arial" w:hint="cs"/>
          <w:rtl/>
        </w:rPr>
        <w:t xml:space="preserve">רש"י </w:t>
      </w:r>
      <w:r w:rsidRPr="005B0441">
        <w:rPr>
          <w:rFonts w:cs="Arial" w:hint="cs"/>
          <w:sz w:val="16"/>
          <w:szCs w:val="16"/>
          <w:rtl/>
        </w:rPr>
        <w:t>(בשו"ת סי' צה, וכ"כ בשמו התרומה</w:t>
      </w:r>
      <w:r w:rsidRPr="005B0441">
        <w:rPr>
          <w:rFonts w:cs="Arial"/>
          <w:sz w:val="16"/>
          <w:szCs w:val="16"/>
          <w:rtl/>
        </w:rPr>
        <w:t xml:space="preserve"> </w:t>
      </w:r>
      <w:r w:rsidRPr="005B0441">
        <w:rPr>
          <w:rFonts w:cs="Arial" w:hint="cs"/>
          <w:sz w:val="16"/>
          <w:szCs w:val="16"/>
          <w:rtl/>
        </w:rPr>
        <w:t>[</w:t>
      </w:r>
      <w:r w:rsidRPr="005B0441">
        <w:rPr>
          <w:rFonts w:cs="Arial"/>
          <w:sz w:val="16"/>
          <w:szCs w:val="16"/>
          <w:rtl/>
        </w:rPr>
        <w:t>סי</w:t>
      </w:r>
      <w:r w:rsidRPr="005B0441">
        <w:rPr>
          <w:rFonts w:cs="Arial" w:hint="cs"/>
          <w:sz w:val="16"/>
          <w:szCs w:val="16"/>
          <w:rtl/>
        </w:rPr>
        <w:t>'</w:t>
      </w:r>
      <w:r w:rsidRPr="005B0441">
        <w:rPr>
          <w:rFonts w:cs="Arial"/>
          <w:sz w:val="16"/>
          <w:szCs w:val="16"/>
          <w:rtl/>
        </w:rPr>
        <w:t xml:space="preserve"> </w:t>
      </w:r>
      <w:r w:rsidRPr="005B0441">
        <w:rPr>
          <w:rFonts w:cs="Arial" w:hint="cs"/>
          <w:sz w:val="16"/>
          <w:szCs w:val="16"/>
          <w:rtl/>
        </w:rPr>
        <w:t>קמח] סמ"ג [לאוין סה ד"ה ישראל שיש] והגה"מ [פ"ו הי"ח])</w:t>
      </w:r>
      <w:r w:rsidRPr="005B0441">
        <w:rPr>
          <w:rFonts w:cs="Arial" w:hint="cs"/>
          <w:rtl/>
        </w:rPr>
        <w:t xml:space="preserve">- </w:t>
      </w:r>
      <w:r w:rsidRPr="005B0441">
        <w:rPr>
          <w:rFonts w:cs="Arial"/>
          <w:rtl/>
        </w:rPr>
        <w:t>ישראל שיש לו שוורים ומשכירן לגוי לחרוש עד אחר זמן וחורש בהן בשבת. זה שאלו בימי רש"י. ויש שהתירו</w:t>
      </w:r>
      <w:r>
        <w:rPr>
          <w:rStyle w:val="a9"/>
          <w:rFonts w:cs="Arial"/>
          <w:rtl/>
        </w:rPr>
        <w:footnoteReference w:id="136"/>
      </w:r>
      <w:r w:rsidRPr="005B0441">
        <w:rPr>
          <w:rFonts w:cs="Arial"/>
          <w:rtl/>
        </w:rPr>
        <w:t xml:space="preserve"> אם הגוי קיבל עליו אחריות מיתה וגניבה ויוקרא וזולא</w:t>
      </w:r>
      <w:r>
        <w:rPr>
          <w:rFonts w:cs="Arial" w:hint="cs"/>
          <w:rtl/>
        </w:rPr>
        <w:t>,</w:t>
      </w:r>
      <w:r w:rsidRPr="005B0441">
        <w:rPr>
          <w:rFonts w:cs="Arial"/>
          <w:rtl/>
        </w:rPr>
        <w:t xml:space="preserve"> דהוי לישראל כנכסי צאן ברזל. ויש אסרו בכל עניין, שאין הגוי רשאי למוכרן, ונקראת בהמת ישראל בכל מקום שהיא, וישראל מצווה על שביתת בהמתו</w:t>
      </w:r>
      <w:r w:rsidRPr="005B0441">
        <w:rPr>
          <w:rFonts w:cs="Arial" w:hint="cs"/>
          <w:sz w:val="16"/>
          <w:szCs w:val="16"/>
          <w:rtl/>
        </w:rPr>
        <w:t xml:space="preserve"> (ל' המחבר של שו"ת רש"י)</w:t>
      </w:r>
      <w:r w:rsidRPr="005B0441">
        <w:rPr>
          <w:rFonts w:cs="Arial"/>
          <w:rtl/>
        </w:rPr>
        <w:t xml:space="preserve">. </w:t>
      </w:r>
    </w:p>
    <w:p w14:paraId="50A7F1AC"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5EF31AB" w14:textId="77777777" w:rsidR="004B2E7C" w:rsidRDefault="004B2E7C" w:rsidP="00434A6A">
      <w:pPr>
        <w:rPr>
          <w:rtl/>
        </w:rPr>
      </w:pPr>
      <w:r>
        <w:rPr>
          <w:rFonts w:cs="Arial"/>
          <w:rtl/>
        </w:rPr>
        <w:t>ישראל שהשכיר שוורים לגוי לחרוש בהם, וחורש בהם, יש מתירים אם קבל עליו הגוי אחריות מיתה וגזילה וגניבה ויוקרא וזולא</w:t>
      </w:r>
      <w:r>
        <w:rPr>
          <w:rFonts w:cs="Arial" w:hint="cs"/>
          <w:rtl/>
        </w:rPr>
        <w:t>.</w:t>
      </w:r>
      <w:r>
        <w:rPr>
          <w:rFonts w:cs="Arial"/>
          <w:rtl/>
        </w:rPr>
        <w:t xml:space="preserve"> וי</w:t>
      </w:r>
      <w:r>
        <w:rPr>
          <w:rFonts w:cs="Arial" w:hint="cs"/>
          <w:rtl/>
        </w:rPr>
        <w:t xml:space="preserve">ש </w:t>
      </w:r>
      <w:r>
        <w:rPr>
          <w:rFonts w:cs="Arial"/>
          <w:rtl/>
        </w:rPr>
        <w:t>א</w:t>
      </w:r>
      <w:r>
        <w:rPr>
          <w:rFonts w:cs="Arial" w:hint="cs"/>
          <w:rtl/>
        </w:rPr>
        <w:t>וסרים</w:t>
      </w:r>
      <w:r>
        <w:rPr>
          <w:rFonts w:cs="Arial"/>
          <w:rtl/>
        </w:rPr>
        <w:t xml:space="preserve"> דכיון שאין הגוי יכול למכרה אם ירצה, נקראת בהמת ישראל. </w:t>
      </w:r>
      <w:r>
        <w:rPr>
          <w:rFonts w:cs="Arial" w:hint="cs"/>
          <w:sz w:val="18"/>
          <w:szCs w:val="18"/>
          <w:rtl/>
        </w:rPr>
        <w:t xml:space="preserve">[הגה] </w:t>
      </w:r>
      <w:r w:rsidRPr="00615193">
        <w:rPr>
          <w:rFonts w:cs="Arial"/>
          <w:sz w:val="18"/>
          <w:szCs w:val="18"/>
          <w:rtl/>
        </w:rPr>
        <w:t>ועיין למטה בסימן זה.</w:t>
      </w:r>
    </w:p>
    <w:p w14:paraId="54515353" w14:textId="77777777" w:rsidR="004B2E7C" w:rsidRDefault="004B2E7C" w:rsidP="00434A6A">
      <w:pPr>
        <w:rPr>
          <w:rtl/>
        </w:rPr>
      </w:pPr>
    </w:p>
    <w:p w14:paraId="4EF667B3" w14:textId="77777777" w:rsidR="004B2E7C" w:rsidRDefault="004B2E7C" w:rsidP="00434A6A">
      <w:pPr>
        <w:pStyle w:val="2"/>
        <w:rPr>
          <w:rtl/>
        </w:rPr>
      </w:pPr>
      <w:r>
        <w:rPr>
          <w:rtl/>
        </w:rPr>
        <w:t>סעיף ה</w:t>
      </w:r>
      <w:r>
        <w:rPr>
          <w:rFonts w:hint="cs"/>
          <w:rtl/>
        </w:rPr>
        <w:t>:</w:t>
      </w:r>
      <w:r w:rsidRPr="009B75CC">
        <w:rPr>
          <w:rFonts w:hint="cs"/>
          <w:rtl/>
        </w:rPr>
        <w:t xml:space="preserve"> </w:t>
      </w:r>
      <w:r>
        <w:rPr>
          <w:rFonts w:hint="cs"/>
          <w:rtl/>
        </w:rPr>
        <w:t>ישראל וגוי השותפים בבהמה.</w:t>
      </w:r>
    </w:p>
    <w:p w14:paraId="5DF521FB" w14:textId="77777777" w:rsidR="004B2E7C" w:rsidRPr="00917CA8" w:rsidRDefault="004B2E7C" w:rsidP="00434A6A">
      <w:pPr>
        <w:rPr>
          <w:u w:val="single"/>
        </w:rPr>
      </w:pPr>
      <w:r w:rsidRPr="00917CA8">
        <w:rPr>
          <w:rFonts w:hint="cs"/>
          <w:u w:val="single"/>
          <w:rtl/>
        </w:rPr>
        <w:t xml:space="preserve">ישראל וגוי </w:t>
      </w:r>
      <w:r>
        <w:rPr>
          <w:rFonts w:hint="cs"/>
          <w:u w:val="single"/>
          <w:rtl/>
        </w:rPr>
        <w:t>ה</w:t>
      </w:r>
      <w:r w:rsidRPr="00917CA8">
        <w:rPr>
          <w:rFonts w:hint="cs"/>
          <w:u w:val="single"/>
          <w:rtl/>
        </w:rPr>
        <w:t>שותפים בבהמה:</w:t>
      </w:r>
      <w:r>
        <w:rPr>
          <w:rFonts w:cs="Arial" w:hint="cs"/>
          <w:rtl/>
        </w:rPr>
        <w:t xml:space="preserve"> </w:t>
      </w:r>
      <w:r w:rsidRPr="00604B30">
        <w:rPr>
          <w:rFonts w:cs="Arial" w:hint="cs"/>
          <w:sz w:val="16"/>
          <w:szCs w:val="16"/>
          <w:rtl/>
        </w:rPr>
        <w:t>(</w:t>
      </w:r>
      <w:r>
        <w:rPr>
          <w:rFonts w:cs="Arial" w:hint="cs"/>
          <w:sz w:val="16"/>
          <w:szCs w:val="16"/>
          <w:rtl/>
        </w:rPr>
        <w:t>העותק מהב"י ב</w:t>
      </w:r>
      <w:r w:rsidRPr="00604B30">
        <w:rPr>
          <w:rFonts w:cs="Arial" w:hint="cs"/>
          <w:sz w:val="16"/>
          <w:szCs w:val="16"/>
          <w:rtl/>
        </w:rPr>
        <w:t>סוף סי' רמה</w:t>
      </w:r>
      <w:r>
        <w:rPr>
          <w:rFonts w:cs="Arial" w:hint="cs"/>
          <w:sz w:val="16"/>
          <w:szCs w:val="16"/>
          <w:rtl/>
        </w:rPr>
        <w:t>, והביא הדרכ"מ [כאן אות ו] חלק מהדברים</w:t>
      </w:r>
      <w:r w:rsidRPr="00604B30">
        <w:rPr>
          <w:rFonts w:cs="Arial" w:hint="cs"/>
          <w:sz w:val="16"/>
          <w:szCs w:val="16"/>
          <w:rtl/>
        </w:rPr>
        <w:t>)</w:t>
      </w:r>
    </w:p>
    <w:p w14:paraId="20257FDD" w14:textId="77777777" w:rsidR="004B2E7C" w:rsidRPr="001B7CDE" w:rsidRDefault="004B2E7C" w:rsidP="00FF2D21">
      <w:pPr>
        <w:pStyle w:val="aa"/>
        <w:numPr>
          <w:ilvl w:val="0"/>
          <w:numId w:val="102"/>
        </w:numPr>
      </w:pPr>
      <w:r w:rsidRPr="0034300D">
        <w:rPr>
          <w:rFonts w:cs="Arial"/>
          <w:rtl/>
        </w:rPr>
        <w:t xml:space="preserve">כל בו </w:t>
      </w:r>
      <w:r w:rsidRPr="00604B30">
        <w:rPr>
          <w:rFonts w:cs="Arial"/>
          <w:sz w:val="16"/>
          <w:szCs w:val="16"/>
          <w:rtl/>
        </w:rPr>
        <w:t>(סי' לא, כט ע"ד)</w:t>
      </w:r>
      <w:r>
        <w:rPr>
          <w:rFonts w:cs="Arial" w:hint="cs"/>
          <w:rtl/>
        </w:rPr>
        <w:t>-</w:t>
      </w:r>
      <w:r w:rsidRPr="0034300D">
        <w:rPr>
          <w:rFonts w:cs="Arial"/>
          <w:rtl/>
        </w:rPr>
        <w:t xml:space="preserve"> בהמה של שותפות ישראל וגוי הוה כאלו כולה של ישראל.</w:t>
      </w:r>
    </w:p>
    <w:p w14:paraId="59A7076B" w14:textId="77777777" w:rsidR="004B2E7C" w:rsidRPr="00364636" w:rsidRDefault="004B2E7C" w:rsidP="00FF2D21">
      <w:pPr>
        <w:pStyle w:val="aa"/>
        <w:numPr>
          <w:ilvl w:val="0"/>
          <w:numId w:val="102"/>
        </w:numPr>
      </w:pPr>
      <w:r>
        <w:rPr>
          <w:rFonts w:cs="Arial" w:hint="cs"/>
          <w:rtl/>
        </w:rPr>
        <w:t xml:space="preserve">שבה"ל </w:t>
      </w:r>
      <w:r w:rsidRPr="004D38ED">
        <w:rPr>
          <w:rFonts w:cs="Arial"/>
          <w:sz w:val="16"/>
          <w:szCs w:val="16"/>
          <w:rtl/>
        </w:rPr>
        <w:t>(סי' קיג)</w:t>
      </w:r>
      <w:r w:rsidRPr="00B13F4D">
        <w:rPr>
          <w:rFonts w:cs="Arial"/>
          <w:rtl/>
        </w:rPr>
        <w:t xml:space="preserve"> </w:t>
      </w:r>
      <w:r>
        <w:rPr>
          <w:rFonts w:cs="Arial" w:hint="cs"/>
          <w:rtl/>
        </w:rPr>
        <w:t>ו</w:t>
      </w:r>
      <w:r w:rsidRPr="00467E65">
        <w:rPr>
          <w:rFonts w:cs="Arial"/>
          <w:rtl/>
        </w:rPr>
        <w:t>ריב"ש</w:t>
      </w:r>
      <w:r>
        <w:rPr>
          <w:rStyle w:val="a9"/>
          <w:rFonts w:cs="Arial"/>
          <w:rtl/>
        </w:rPr>
        <w:footnoteReference w:id="137"/>
      </w:r>
      <w:r w:rsidRPr="00467E65">
        <w:rPr>
          <w:rFonts w:cs="Arial"/>
          <w:rtl/>
        </w:rPr>
        <w:t xml:space="preserve"> </w:t>
      </w:r>
      <w:r w:rsidRPr="004D38ED">
        <w:rPr>
          <w:rFonts w:cs="Arial"/>
          <w:sz w:val="16"/>
          <w:szCs w:val="16"/>
          <w:rtl/>
        </w:rPr>
        <w:t>(סי' קנא)</w:t>
      </w:r>
      <w:r>
        <w:rPr>
          <w:rFonts w:cs="Arial" w:hint="cs"/>
          <w:rtl/>
        </w:rPr>
        <w:t xml:space="preserve">- אם </w:t>
      </w:r>
      <w:r w:rsidRPr="00467E65">
        <w:rPr>
          <w:rFonts w:cs="Arial"/>
          <w:rtl/>
        </w:rPr>
        <w:t>ישראל וגוי שותפים בבהמה</w:t>
      </w:r>
      <w:r>
        <w:rPr>
          <w:rFonts w:cs="Arial" w:hint="cs"/>
          <w:rtl/>
        </w:rPr>
        <w:t xml:space="preserve">... - </w:t>
      </w:r>
      <w:r w:rsidRPr="00467E65">
        <w:rPr>
          <w:rFonts w:cs="Arial"/>
          <w:rtl/>
        </w:rPr>
        <w:t>יש לו להתנות תחלה עם הגוי הימים שיבואו לי לא תתנם לי אלא ביום פלוני יום ב' או יום ג'</w:t>
      </w:r>
      <w:r>
        <w:rPr>
          <w:rStyle w:val="a9"/>
          <w:rFonts w:cs="Arial"/>
          <w:rtl/>
        </w:rPr>
        <w:footnoteReference w:id="138"/>
      </w:r>
      <w:r>
        <w:rPr>
          <w:rFonts w:cs="Arial" w:hint="cs"/>
          <w:sz w:val="16"/>
          <w:szCs w:val="16"/>
          <w:rtl/>
        </w:rPr>
        <w:t xml:space="preserve"> (ל' הב"י בשם שבה"ל)</w:t>
      </w:r>
      <w:r w:rsidRPr="004D38ED">
        <w:rPr>
          <w:rFonts w:cs="Arial" w:hint="cs"/>
          <w:rtl/>
        </w:rPr>
        <w:t>.</w:t>
      </w:r>
      <w:r w:rsidRPr="004D38ED">
        <w:rPr>
          <w:rFonts w:cs="Arial"/>
          <w:rtl/>
        </w:rPr>
        <w:t xml:space="preserve"> </w:t>
      </w:r>
      <w:r w:rsidRPr="00E11C6C">
        <w:rPr>
          <w:rFonts w:cs="Arial" w:hint="cs"/>
          <w:color w:val="E36C0A" w:themeColor="accent6" w:themeShade="BF"/>
          <w:rtl/>
        </w:rPr>
        <w:t>(וכ"פ בשו"ע)</w:t>
      </w:r>
      <w:r w:rsidRPr="001751B1">
        <w:rPr>
          <w:rFonts w:hint="cs"/>
          <w:color w:val="00B0F0"/>
          <w:rtl/>
        </w:rPr>
        <w:t xml:space="preserve"> </w:t>
      </w:r>
      <w:r w:rsidRPr="00D633CE">
        <w:rPr>
          <w:rFonts w:hint="cs"/>
          <w:color w:val="00B0F0"/>
          <w:rtl/>
        </w:rPr>
        <w:t>(וכ"פ הרמ"א)</w:t>
      </w:r>
    </w:p>
    <w:p w14:paraId="77D46E4E" w14:textId="77777777" w:rsidR="004B2E7C" w:rsidRPr="00364636" w:rsidRDefault="004B2E7C" w:rsidP="00FF2D21">
      <w:pPr>
        <w:pStyle w:val="aa"/>
        <w:numPr>
          <w:ilvl w:val="0"/>
          <w:numId w:val="102"/>
        </w:numPr>
      </w:pPr>
      <w:r w:rsidRPr="00467E65">
        <w:rPr>
          <w:rFonts w:cs="Arial"/>
          <w:rtl/>
        </w:rPr>
        <w:t>ריצב"א</w:t>
      </w:r>
      <w:r>
        <w:rPr>
          <w:rStyle w:val="a9"/>
          <w:rFonts w:cs="Arial"/>
          <w:rtl/>
        </w:rPr>
        <w:footnoteReference w:id="139"/>
      </w:r>
      <w:r w:rsidRPr="00467E65">
        <w:rPr>
          <w:rFonts w:cs="Arial"/>
          <w:rtl/>
        </w:rPr>
        <w:t xml:space="preserve"> </w:t>
      </w:r>
      <w:r>
        <w:rPr>
          <w:rFonts w:cs="Arial" w:hint="cs"/>
          <w:sz w:val="16"/>
          <w:szCs w:val="16"/>
          <w:rtl/>
        </w:rPr>
        <w:t xml:space="preserve">(בתשו', וכ"כ בשמו </w:t>
      </w:r>
      <w:r w:rsidRPr="005F0561">
        <w:rPr>
          <w:rFonts w:cs="Arial"/>
          <w:sz w:val="16"/>
          <w:szCs w:val="16"/>
          <w:rtl/>
        </w:rPr>
        <w:t>הג</w:t>
      </w:r>
      <w:r w:rsidRPr="005F0561">
        <w:rPr>
          <w:rFonts w:cs="Arial" w:hint="cs"/>
          <w:sz w:val="16"/>
          <w:szCs w:val="16"/>
          <w:rtl/>
        </w:rPr>
        <w:t>ה"מ</w:t>
      </w:r>
      <w:r w:rsidRPr="005F0561">
        <w:rPr>
          <w:rFonts w:cs="Arial"/>
          <w:sz w:val="16"/>
          <w:szCs w:val="16"/>
          <w:rtl/>
        </w:rPr>
        <w:t xml:space="preserve"> </w:t>
      </w:r>
      <w:r w:rsidRPr="005F0561">
        <w:rPr>
          <w:rFonts w:cs="Arial" w:hint="cs"/>
          <w:sz w:val="16"/>
          <w:szCs w:val="16"/>
          <w:rtl/>
        </w:rPr>
        <w:t>(</w:t>
      </w:r>
      <w:r w:rsidRPr="005F0561">
        <w:rPr>
          <w:rFonts w:cs="Arial"/>
          <w:sz w:val="16"/>
          <w:szCs w:val="16"/>
          <w:rtl/>
        </w:rPr>
        <w:t xml:space="preserve">פ"כ אות א) </w:t>
      </w:r>
      <w:r w:rsidRPr="005F0561">
        <w:rPr>
          <w:rFonts w:cs="Arial" w:hint="cs"/>
          <w:sz w:val="16"/>
          <w:szCs w:val="16"/>
          <w:rtl/>
        </w:rPr>
        <w:t>הג"א</w:t>
      </w:r>
      <w:r w:rsidRPr="005F0561">
        <w:rPr>
          <w:rFonts w:cs="Arial"/>
          <w:sz w:val="16"/>
          <w:szCs w:val="16"/>
          <w:rtl/>
        </w:rPr>
        <w:t xml:space="preserve"> </w:t>
      </w:r>
      <w:r w:rsidRPr="005F0561">
        <w:rPr>
          <w:rFonts w:cs="Arial" w:hint="cs"/>
          <w:sz w:val="16"/>
          <w:szCs w:val="16"/>
          <w:rtl/>
        </w:rPr>
        <w:t>(</w:t>
      </w:r>
      <w:r w:rsidRPr="005F0561">
        <w:rPr>
          <w:rFonts w:cs="Arial"/>
          <w:sz w:val="16"/>
          <w:szCs w:val="16"/>
          <w:rtl/>
        </w:rPr>
        <w:t>ספ"ק דע</w:t>
      </w:r>
      <w:r w:rsidRPr="005F0561">
        <w:rPr>
          <w:rFonts w:cs="Arial" w:hint="cs"/>
          <w:sz w:val="16"/>
          <w:szCs w:val="16"/>
          <w:rtl/>
        </w:rPr>
        <w:t>"ז</w:t>
      </w:r>
      <w:r w:rsidRPr="005F0561">
        <w:rPr>
          <w:rFonts w:cs="Arial"/>
          <w:sz w:val="16"/>
          <w:szCs w:val="16"/>
          <w:rtl/>
        </w:rPr>
        <w:t xml:space="preserve"> סי' כד</w:t>
      </w:r>
      <w:r w:rsidRPr="005F0561">
        <w:rPr>
          <w:rFonts w:cs="Arial" w:hint="cs"/>
          <w:sz w:val="16"/>
          <w:szCs w:val="16"/>
          <w:rtl/>
        </w:rPr>
        <w:t>) ורי"ו</w:t>
      </w:r>
      <w:r w:rsidRPr="005F0561">
        <w:rPr>
          <w:rFonts w:cs="Arial"/>
          <w:sz w:val="16"/>
          <w:szCs w:val="16"/>
          <w:rtl/>
        </w:rPr>
        <w:t xml:space="preserve"> </w:t>
      </w:r>
      <w:r w:rsidRPr="005F0561">
        <w:rPr>
          <w:rFonts w:cs="Arial" w:hint="cs"/>
          <w:sz w:val="16"/>
          <w:szCs w:val="16"/>
          <w:rtl/>
        </w:rPr>
        <w:t>(</w:t>
      </w:r>
      <w:r w:rsidRPr="005F0561">
        <w:rPr>
          <w:rFonts w:cs="Arial"/>
          <w:sz w:val="16"/>
          <w:szCs w:val="16"/>
          <w:rtl/>
        </w:rPr>
        <w:t>חי"ב ני"ב פב ע"ג)</w:t>
      </w:r>
      <w:r>
        <w:rPr>
          <w:rFonts w:cs="Arial" w:hint="cs"/>
          <w:sz w:val="16"/>
          <w:szCs w:val="16"/>
          <w:rtl/>
        </w:rPr>
        <w:t>)</w:t>
      </w:r>
      <w:r>
        <w:rPr>
          <w:rFonts w:cs="Arial" w:hint="cs"/>
          <w:rtl/>
        </w:rPr>
        <w:t xml:space="preserve">- </w:t>
      </w:r>
      <w:r w:rsidRPr="00467E65">
        <w:rPr>
          <w:rFonts w:cs="Arial"/>
          <w:rtl/>
        </w:rPr>
        <w:t>וששאלת על ישראל שיש לו עם הגוי שדות בשותפות ושוורים. בשביל השדות אין איסור וכו' אבל מחמת השוורים יש לאסור</w:t>
      </w:r>
      <w:r>
        <w:rPr>
          <w:rFonts w:cs="Arial" w:hint="cs"/>
          <w:rtl/>
        </w:rPr>
        <w:t>,</w:t>
      </w:r>
      <w:r w:rsidRPr="00467E65">
        <w:rPr>
          <w:rFonts w:cs="Arial"/>
          <w:rtl/>
        </w:rPr>
        <w:t xml:space="preserve"> דאדם מצווה על שביתת בהמתו</w:t>
      </w:r>
      <w:r>
        <w:rPr>
          <w:rFonts w:cs="Arial" w:hint="cs"/>
          <w:rtl/>
        </w:rPr>
        <w:t>.</w:t>
      </w:r>
      <w:r w:rsidRPr="00467E65">
        <w:rPr>
          <w:rFonts w:cs="Arial"/>
          <w:rtl/>
        </w:rPr>
        <w:t xml:space="preserve"> ואיני מוצא תקנה להתיר אם לא שימכור אותם לגוי האריס</w:t>
      </w:r>
      <w:r>
        <w:rPr>
          <w:rFonts w:cs="Arial" w:hint="cs"/>
          <w:rtl/>
        </w:rPr>
        <w:t>,</w:t>
      </w:r>
      <w:r w:rsidRPr="00467E65">
        <w:rPr>
          <w:rFonts w:cs="Arial"/>
          <w:rtl/>
        </w:rPr>
        <w:t xml:space="preserve"> או שילוה לו אותם בהלואה גמורה שיהא רשות ביד הגוי להוציאם שלא ברשות ישראל אם ירצה</w:t>
      </w:r>
      <w:r>
        <w:rPr>
          <w:rFonts w:cs="Arial" w:hint="cs"/>
          <w:rtl/>
        </w:rPr>
        <w:t>,</w:t>
      </w:r>
      <w:r w:rsidRPr="00467E65">
        <w:rPr>
          <w:rFonts w:cs="Arial"/>
          <w:rtl/>
        </w:rPr>
        <w:t xml:space="preserve"> ויזקוף הדמים על הגוי ואחריות השוורים על הגוי</w:t>
      </w:r>
      <w:r>
        <w:rPr>
          <w:rFonts w:cs="Arial" w:hint="cs"/>
          <w:rtl/>
        </w:rPr>
        <w:t>.</w:t>
      </w:r>
      <w:r w:rsidRPr="00467E65">
        <w:rPr>
          <w:rFonts w:cs="Arial"/>
          <w:rtl/>
        </w:rPr>
        <w:t xml:space="preserve"> ולא בתורת שאלה כי אם בתורת הלואה כדפרישית</w:t>
      </w:r>
      <w:r>
        <w:rPr>
          <w:rFonts w:cs="Arial" w:hint="cs"/>
          <w:rtl/>
        </w:rPr>
        <w:t>.</w:t>
      </w:r>
      <w:r w:rsidRPr="00467E65">
        <w:rPr>
          <w:rFonts w:cs="Arial"/>
          <w:rtl/>
        </w:rPr>
        <w:t xml:space="preserve"> ועוד נראה בעיני שאפילו לא יהא רשות ביד הגוי להוציאם שלא ברשות הישראל יש למצוא תקנה</w:t>
      </w:r>
      <w:r>
        <w:rPr>
          <w:rFonts w:cs="Arial" w:hint="cs"/>
          <w:rtl/>
        </w:rPr>
        <w:t>,</w:t>
      </w:r>
      <w:r w:rsidRPr="00467E65">
        <w:rPr>
          <w:rFonts w:cs="Arial"/>
          <w:rtl/>
        </w:rPr>
        <w:t xml:space="preserve"> כגון שיזקוף הדמים על הגוי במלוה ויחזור הגוי וימשכן אותם לישראל</w:t>
      </w:r>
      <w:r>
        <w:rPr>
          <w:rFonts w:cs="Arial" w:hint="cs"/>
          <w:rtl/>
        </w:rPr>
        <w:t>.</w:t>
      </w:r>
      <w:r w:rsidRPr="00467E65">
        <w:rPr>
          <w:rFonts w:cs="Arial"/>
          <w:rtl/>
        </w:rPr>
        <w:t xml:space="preserve"> ולא ימשכנם להרהן אצלו</w:t>
      </w:r>
      <w:r>
        <w:rPr>
          <w:rFonts w:cs="Arial" w:hint="cs"/>
          <w:rtl/>
        </w:rPr>
        <w:t>,</w:t>
      </w:r>
      <w:r w:rsidRPr="00467E65">
        <w:rPr>
          <w:rFonts w:cs="Arial"/>
          <w:rtl/>
        </w:rPr>
        <w:t xml:space="preserve"> אלא שיעשם אפותיקי כל זמן שלא יפרע לו מעותיו</w:t>
      </w:r>
      <w:r>
        <w:rPr>
          <w:rFonts w:cs="Arial" w:hint="cs"/>
          <w:rtl/>
        </w:rPr>
        <w:t>,</w:t>
      </w:r>
      <w:r w:rsidRPr="00467E65">
        <w:rPr>
          <w:rFonts w:cs="Arial"/>
          <w:rtl/>
        </w:rPr>
        <w:t xml:space="preserve"> דבענין זה לא יצאו מרשותו כלל</w:t>
      </w:r>
      <w:r>
        <w:rPr>
          <w:rFonts w:cs="Arial" w:hint="cs"/>
          <w:rtl/>
        </w:rPr>
        <w:t>.</w:t>
      </w:r>
      <w:r w:rsidRPr="00467E65">
        <w:rPr>
          <w:rFonts w:cs="Arial"/>
          <w:rtl/>
        </w:rPr>
        <w:t xml:space="preserve"> ואפילו אם יהרהנם אצלו יש להתיר אלא שלא יאמר לו מעכשיו</w:t>
      </w:r>
      <w:r>
        <w:rPr>
          <w:rFonts w:cs="Arial" w:hint="cs"/>
          <w:rtl/>
        </w:rPr>
        <w:t>,</w:t>
      </w:r>
      <w:r w:rsidRPr="00467E65">
        <w:rPr>
          <w:rFonts w:cs="Arial"/>
          <w:rtl/>
        </w:rPr>
        <w:t xml:space="preserve"> דקיימא לן כרבא דאמר (פסחים ל:) מכאן ולהבא הוא מתיר</w:t>
      </w:r>
      <w:r>
        <w:rPr>
          <w:rFonts w:cs="Arial" w:hint="cs"/>
          <w:rtl/>
        </w:rPr>
        <w:t>.</w:t>
      </w:r>
      <w:r>
        <w:rPr>
          <w:rFonts w:hint="cs"/>
          <w:rtl/>
        </w:rPr>
        <w:t xml:space="preserve"> </w:t>
      </w:r>
      <w:r w:rsidRPr="00E11C6C">
        <w:rPr>
          <w:rFonts w:cs="Arial" w:hint="cs"/>
          <w:color w:val="E36C0A" w:themeColor="accent6" w:themeShade="BF"/>
          <w:rtl/>
        </w:rPr>
        <w:t>(וכ"פ בשו"ע)</w:t>
      </w:r>
      <w:r w:rsidRPr="001751B1">
        <w:rPr>
          <w:rFonts w:hint="cs"/>
          <w:color w:val="00B0F0"/>
          <w:rtl/>
        </w:rPr>
        <w:t xml:space="preserve"> </w:t>
      </w:r>
      <w:r w:rsidRPr="00D633CE">
        <w:rPr>
          <w:rFonts w:hint="cs"/>
          <w:color w:val="00B0F0"/>
          <w:rtl/>
        </w:rPr>
        <w:t>(וכ"פ הרמ"א)</w:t>
      </w:r>
    </w:p>
    <w:p w14:paraId="2B98AFC2" w14:textId="77777777" w:rsidR="004B2E7C" w:rsidRPr="00B13F4D" w:rsidRDefault="004B2E7C" w:rsidP="00434A6A">
      <w:pPr>
        <w:ind w:left="360"/>
        <w:rPr>
          <w:u w:val="dotted"/>
        </w:rPr>
      </w:pPr>
      <w:r w:rsidRPr="00B13F4D">
        <w:rPr>
          <w:rFonts w:hint="cs"/>
          <w:u w:val="dotted"/>
          <w:rtl/>
        </w:rPr>
        <w:t xml:space="preserve">לריב"ש וסיעתו </w:t>
      </w:r>
      <w:r w:rsidRPr="00B13F4D">
        <w:rPr>
          <w:rFonts w:hint="cs"/>
          <w:sz w:val="16"/>
          <w:szCs w:val="16"/>
          <w:u w:val="dotted"/>
          <w:rtl/>
        </w:rPr>
        <w:t xml:space="preserve">(שמתירים ע"י תנאי) </w:t>
      </w:r>
      <w:r w:rsidRPr="00B13F4D">
        <w:rPr>
          <w:u w:val="dotted"/>
          <w:rtl/>
        </w:rPr>
        <w:t>–</w:t>
      </w:r>
      <w:r w:rsidRPr="00B13F4D">
        <w:rPr>
          <w:rFonts w:hint="cs"/>
          <w:u w:val="dotted"/>
          <w:rtl/>
        </w:rPr>
        <w:t xml:space="preserve"> מה הדין אם לא </w:t>
      </w:r>
      <w:r>
        <w:rPr>
          <w:rFonts w:hint="cs"/>
          <w:u w:val="dotted"/>
          <w:rtl/>
        </w:rPr>
        <w:t>התנו מתחילה</w:t>
      </w:r>
      <w:r w:rsidRPr="00B13F4D">
        <w:rPr>
          <w:rFonts w:hint="cs"/>
          <w:u w:val="dotted"/>
          <w:rtl/>
        </w:rPr>
        <w:t>:</w:t>
      </w:r>
    </w:p>
    <w:p w14:paraId="1B9B5E0D" w14:textId="77777777" w:rsidR="004B2E7C" w:rsidRDefault="004B2E7C" w:rsidP="00FF2D21">
      <w:pPr>
        <w:pStyle w:val="aa"/>
        <w:numPr>
          <w:ilvl w:val="0"/>
          <w:numId w:val="102"/>
        </w:numPr>
      </w:pPr>
      <w:r w:rsidRPr="00467E65">
        <w:rPr>
          <w:rFonts w:cs="Arial"/>
          <w:rtl/>
        </w:rPr>
        <w:t xml:space="preserve">ריב"ש </w:t>
      </w:r>
      <w:r w:rsidRPr="004D38ED">
        <w:rPr>
          <w:rFonts w:cs="Arial"/>
          <w:sz w:val="16"/>
          <w:szCs w:val="16"/>
          <w:rtl/>
        </w:rPr>
        <w:t>(סי' קנא)</w:t>
      </w:r>
      <w:r>
        <w:rPr>
          <w:rFonts w:cs="Arial" w:hint="cs"/>
          <w:rtl/>
        </w:rPr>
        <w:t>-</w:t>
      </w:r>
      <w:r w:rsidRPr="00467E65">
        <w:rPr>
          <w:rFonts w:cs="Arial"/>
          <w:rtl/>
        </w:rPr>
        <w:t xml:space="preserve"> אבל אם לא התנו מתחלה</w:t>
      </w:r>
      <w:r>
        <w:rPr>
          <w:rFonts w:cs="Arial" w:hint="cs"/>
          <w:rtl/>
        </w:rPr>
        <w:t>,</w:t>
      </w:r>
      <w:r w:rsidRPr="00467E65">
        <w:rPr>
          <w:rFonts w:cs="Arial"/>
          <w:rtl/>
        </w:rPr>
        <w:t xml:space="preserve"> אלא אחר שנשתתפו אומרים טול אתה חלקך בשבת ואנו חלקינו בחול </w:t>
      </w:r>
      <w:r>
        <w:rPr>
          <w:rFonts w:cs="Arial" w:hint="cs"/>
          <w:rtl/>
        </w:rPr>
        <w:t xml:space="preserve">- </w:t>
      </w:r>
      <w:r w:rsidRPr="00467E65">
        <w:rPr>
          <w:rFonts w:cs="Arial"/>
          <w:rtl/>
        </w:rPr>
        <w:t>זה אסור אף אם אין כאן משום שביתת בהמתו</w:t>
      </w:r>
      <w:r>
        <w:rPr>
          <w:rFonts w:cs="Arial" w:hint="cs"/>
          <w:rtl/>
        </w:rPr>
        <w:t>,</w:t>
      </w:r>
      <w:r w:rsidRPr="00467E65">
        <w:rPr>
          <w:rFonts w:cs="Arial"/>
          <w:rtl/>
        </w:rPr>
        <w:t xml:space="preserve"> מאחר שיש לגוי חלק בבהמות ואינו נמנע מעשות בהם מלאכה על כרחו של ישראל עדיין יש איסור בלוקח ריוח יום החול כנגד יום השבת</w:t>
      </w:r>
      <w:r>
        <w:rPr>
          <w:rFonts w:cs="Arial" w:hint="cs"/>
          <w:rtl/>
        </w:rPr>
        <w:t>,</w:t>
      </w:r>
      <w:r w:rsidRPr="00467E65">
        <w:rPr>
          <w:rFonts w:cs="Arial"/>
          <w:rtl/>
        </w:rPr>
        <w:t xml:space="preserve"> שהרי לוקח שכר שבת שלא בהבלעה</w:t>
      </w:r>
      <w:r>
        <w:rPr>
          <w:rFonts w:cs="Arial" w:hint="cs"/>
          <w:rtl/>
        </w:rPr>
        <w:t>,</w:t>
      </w:r>
      <w:r w:rsidRPr="00467E65">
        <w:rPr>
          <w:rFonts w:cs="Arial"/>
          <w:rtl/>
        </w:rPr>
        <w:t xml:space="preserve"> ובכגון זה שלא התנו מתחלה יותר היה אפשר להתיר בשלא יאמר לו כלל טול אתה חלקך אלא שיתן הגוי לישראלים חלקם בריוח כל השבוע ביחד</w:t>
      </w:r>
      <w:r>
        <w:rPr>
          <w:rFonts w:cs="Arial" w:hint="cs"/>
          <w:rtl/>
        </w:rPr>
        <w:t>,</w:t>
      </w:r>
      <w:r w:rsidRPr="00467E65">
        <w:rPr>
          <w:rFonts w:cs="Arial"/>
          <w:rtl/>
        </w:rPr>
        <w:t xml:space="preserve"> לפי שאז יקבלו שכר שבת בהבלעה</w:t>
      </w:r>
      <w:r>
        <w:rPr>
          <w:rFonts w:cs="Arial" w:hint="cs"/>
          <w:rtl/>
        </w:rPr>
        <w:t>.</w:t>
      </w:r>
      <w:r w:rsidRPr="00467E65">
        <w:rPr>
          <w:rFonts w:cs="Arial"/>
          <w:rtl/>
        </w:rPr>
        <w:t xml:space="preserve"> ומשום שביתת בהמתו ליכא</w:t>
      </w:r>
      <w:r>
        <w:rPr>
          <w:rFonts w:cs="Arial" w:hint="cs"/>
          <w:rtl/>
        </w:rPr>
        <w:t>,</w:t>
      </w:r>
      <w:r w:rsidRPr="00467E65">
        <w:rPr>
          <w:rFonts w:cs="Arial"/>
          <w:rtl/>
        </w:rPr>
        <w:t xml:space="preserve"> כיון שהגוי עושה בה מלאכה מחמת חלקו על כרחו של ישראל ושלא ברצונו</w:t>
      </w:r>
      <w:r>
        <w:rPr>
          <w:rFonts w:cs="Arial" w:hint="cs"/>
          <w:rtl/>
        </w:rPr>
        <w:t>.</w:t>
      </w:r>
      <w:r w:rsidRPr="00467E65">
        <w:rPr>
          <w:rFonts w:cs="Arial"/>
          <w:rtl/>
        </w:rPr>
        <w:t xml:space="preserve"> אלא שעשו הישראלים איסור מתחלה להשתתף עם הגוי בלא תנאי והגוי יעשה מלאכה בבהמות על כרחם</w:t>
      </w:r>
      <w:r>
        <w:rPr>
          <w:rFonts w:cs="Arial" w:hint="cs"/>
          <w:rtl/>
        </w:rPr>
        <w:t>.</w:t>
      </w:r>
    </w:p>
    <w:p w14:paraId="3273D185" w14:textId="77777777" w:rsidR="004B2E7C" w:rsidRPr="003931EB" w:rsidRDefault="004B2E7C" w:rsidP="00434A6A">
      <w:pPr>
        <w:ind w:left="360"/>
        <w:rPr>
          <w:u w:val="dotted"/>
        </w:rPr>
      </w:pPr>
      <w:r w:rsidRPr="003931EB">
        <w:rPr>
          <w:rFonts w:hint="cs"/>
          <w:u w:val="dotted"/>
          <w:rtl/>
        </w:rPr>
        <w:t>מה הדין אם</w:t>
      </w:r>
      <w:r w:rsidRPr="001E0E12">
        <w:rPr>
          <w:rFonts w:hint="cs"/>
          <w:sz w:val="16"/>
          <w:szCs w:val="16"/>
          <w:u w:val="dotted"/>
          <w:rtl/>
        </w:rPr>
        <w:t xml:space="preserve"> </w:t>
      </w:r>
      <w:r>
        <w:rPr>
          <w:rFonts w:hint="cs"/>
          <w:u w:val="dotted"/>
          <w:rtl/>
        </w:rPr>
        <w:t>ה</w:t>
      </w:r>
      <w:r w:rsidRPr="003931EB">
        <w:rPr>
          <w:rFonts w:hint="cs"/>
          <w:u w:val="dotted"/>
          <w:rtl/>
        </w:rPr>
        <w:t>זהיר</w:t>
      </w:r>
      <w:r>
        <w:rPr>
          <w:rFonts w:hint="cs"/>
          <w:u w:val="dotted"/>
          <w:rtl/>
        </w:rPr>
        <w:t xml:space="preserve"> הישראל</w:t>
      </w:r>
      <w:r w:rsidRPr="003931EB">
        <w:rPr>
          <w:rFonts w:hint="cs"/>
          <w:u w:val="dotted"/>
          <w:rtl/>
        </w:rPr>
        <w:t xml:space="preserve"> את הגוי שלא לעשות בה מלאכה</w:t>
      </w:r>
      <w:r>
        <w:rPr>
          <w:rFonts w:hint="cs"/>
          <w:u w:val="dotted"/>
          <w:rtl/>
        </w:rPr>
        <w:t>, ואם יעבור יעשה יתחייב באונסין</w:t>
      </w:r>
      <w:r w:rsidRPr="003931EB">
        <w:rPr>
          <w:rFonts w:hint="cs"/>
          <w:u w:val="dotted"/>
          <w:rtl/>
        </w:rPr>
        <w:t xml:space="preserve">: </w:t>
      </w:r>
    </w:p>
    <w:p w14:paraId="2039A905" w14:textId="77777777" w:rsidR="004B2E7C" w:rsidRPr="007F0059" w:rsidRDefault="004B2E7C" w:rsidP="00FF2D21">
      <w:pPr>
        <w:pStyle w:val="aa"/>
        <w:numPr>
          <w:ilvl w:val="0"/>
          <w:numId w:val="102"/>
        </w:numPr>
        <w:rPr>
          <w:rtl/>
        </w:rPr>
      </w:pPr>
      <w:r>
        <w:rPr>
          <w:rFonts w:cs="Arial" w:hint="cs"/>
          <w:rtl/>
        </w:rPr>
        <w:t>ב"י</w:t>
      </w:r>
      <w:r>
        <w:rPr>
          <w:rFonts w:cs="Arial" w:hint="cs"/>
          <w:sz w:val="16"/>
          <w:szCs w:val="16"/>
          <w:rtl/>
        </w:rPr>
        <w:t xml:space="preserve"> (סוף סי' רמה)</w:t>
      </w:r>
      <w:r>
        <w:rPr>
          <w:rFonts w:cs="Arial" w:hint="cs"/>
          <w:rtl/>
        </w:rPr>
        <w:t xml:space="preserve">- </w:t>
      </w:r>
      <w:r w:rsidRPr="00467E65">
        <w:rPr>
          <w:rFonts w:cs="Arial"/>
          <w:rtl/>
        </w:rPr>
        <w:t>ונראה שאם הישראל מזהיר את הגוי האריס שלא לעשות בה מלאכה בשבת</w:t>
      </w:r>
      <w:r>
        <w:rPr>
          <w:rFonts w:cs="Arial" w:hint="cs"/>
          <w:rtl/>
        </w:rPr>
        <w:t>,</w:t>
      </w:r>
      <w:r w:rsidRPr="00467E65">
        <w:rPr>
          <w:rFonts w:cs="Arial"/>
          <w:rtl/>
        </w:rPr>
        <w:t xml:space="preserve"> ואם יעבור ויעשה בה מלאכה בשבת תהיה אחריות שבת עליו אפילו מאונסין </w:t>
      </w:r>
      <w:r>
        <w:rPr>
          <w:rFonts w:cs="Arial"/>
          <w:rtl/>
        </w:rPr>
        <w:t>–</w:t>
      </w:r>
      <w:r>
        <w:rPr>
          <w:rFonts w:cs="Arial" w:hint="cs"/>
          <w:rtl/>
        </w:rPr>
        <w:t xml:space="preserve"> </w:t>
      </w:r>
      <w:r w:rsidRPr="00467E65">
        <w:rPr>
          <w:rFonts w:cs="Arial"/>
          <w:rtl/>
        </w:rPr>
        <w:t>שרי</w:t>
      </w:r>
      <w:r>
        <w:rPr>
          <w:rFonts w:cs="Arial" w:hint="cs"/>
          <w:rtl/>
        </w:rPr>
        <w:t>,</w:t>
      </w:r>
      <w:r w:rsidRPr="00467E65">
        <w:rPr>
          <w:rFonts w:cs="Arial"/>
          <w:rtl/>
        </w:rPr>
        <w:t xml:space="preserve"> דאם בא לעשות בה מלאכה אינה בהמת ישראל שהרי קנאה הגוי להתחייב באונסיה</w:t>
      </w:r>
      <w:r>
        <w:rPr>
          <w:rStyle w:val="a9"/>
          <w:rFonts w:cs="Arial"/>
          <w:rtl/>
        </w:rPr>
        <w:footnoteReference w:id="140"/>
      </w:r>
      <w:r>
        <w:rPr>
          <w:rFonts w:cs="Arial" w:hint="cs"/>
          <w:rtl/>
        </w:rPr>
        <w:t>.</w:t>
      </w:r>
      <w:r>
        <w:rPr>
          <w:rFonts w:cs="Arial" w:hint="cs"/>
          <w:color w:val="E36C0A" w:themeColor="accent6" w:themeShade="BF"/>
          <w:rtl/>
        </w:rPr>
        <w:t xml:space="preserve"> </w:t>
      </w:r>
      <w:r w:rsidRPr="00E11C6C">
        <w:rPr>
          <w:rFonts w:cs="Arial" w:hint="cs"/>
          <w:color w:val="E36C0A" w:themeColor="accent6" w:themeShade="BF"/>
          <w:rtl/>
        </w:rPr>
        <w:t>(וכ"פ בשו"ע)</w:t>
      </w:r>
      <w:r w:rsidRPr="001751B1">
        <w:rPr>
          <w:rFonts w:hint="cs"/>
          <w:color w:val="00B0F0"/>
          <w:rtl/>
        </w:rPr>
        <w:t xml:space="preserve"> </w:t>
      </w:r>
      <w:r w:rsidRPr="00D633CE">
        <w:rPr>
          <w:rFonts w:hint="cs"/>
          <w:color w:val="00B0F0"/>
          <w:rtl/>
        </w:rPr>
        <w:t>(וכ"פ הרמ"א)</w:t>
      </w:r>
    </w:p>
    <w:p w14:paraId="5F15E627"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62B4EFE" w14:textId="77777777" w:rsidR="004B2E7C" w:rsidRDefault="004B2E7C" w:rsidP="00434A6A">
      <w:pPr>
        <w:rPr>
          <w:rFonts w:cs="Arial"/>
          <w:rtl/>
        </w:rPr>
      </w:pPr>
      <w:r>
        <w:rPr>
          <w:rFonts w:cs="Arial"/>
          <w:rtl/>
        </w:rPr>
        <w:t>אם ישראל וגוי שותפין בבהמה, מותר לעשות בה הגוי מלאכה בשבת על ידי שיתנה עם הגוי בתחלה כשקנו אותה שיטול הגוי בשבת וישראל ביום חול</w:t>
      </w:r>
      <w:r>
        <w:rPr>
          <w:rStyle w:val="a9"/>
          <w:rFonts w:cs="Arial"/>
          <w:rtl/>
        </w:rPr>
        <w:footnoteReference w:id="141"/>
      </w:r>
      <w:r>
        <w:rPr>
          <w:rFonts w:cs="Arial" w:hint="cs"/>
          <w:rtl/>
        </w:rPr>
        <w:t>.</w:t>
      </w:r>
      <w:r>
        <w:rPr>
          <w:rFonts w:cs="Arial"/>
          <w:rtl/>
        </w:rPr>
        <w:t xml:space="preserve"> ואם לא התנו מתחלה</w:t>
      </w:r>
      <w:r>
        <w:rPr>
          <w:rStyle w:val="a9"/>
          <w:rFonts w:cs="Arial"/>
          <w:rtl/>
        </w:rPr>
        <w:footnoteReference w:id="142"/>
      </w:r>
      <w:r>
        <w:rPr>
          <w:rFonts w:cs="Arial" w:hint="cs"/>
          <w:rtl/>
        </w:rPr>
        <w:t>,</w:t>
      </w:r>
      <w:r>
        <w:rPr>
          <w:rFonts w:cs="Arial"/>
          <w:rtl/>
        </w:rPr>
        <w:t xml:space="preserve"> אסור אף על פי שהתנו אח</w:t>
      </w:r>
      <w:r>
        <w:rPr>
          <w:rFonts w:cs="Arial" w:hint="cs"/>
          <w:rtl/>
        </w:rPr>
        <w:t xml:space="preserve">ר </w:t>
      </w:r>
      <w:r>
        <w:rPr>
          <w:rFonts w:cs="Arial"/>
          <w:rtl/>
        </w:rPr>
        <w:t>כ</w:t>
      </w:r>
      <w:r>
        <w:rPr>
          <w:rFonts w:cs="Arial" w:hint="cs"/>
          <w:rtl/>
        </w:rPr>
        <w:t>ך</w:t>
      </w:r>
      <w:r>
        <w:rPr>
          <w:rStyle w:val="a9"/>
          <w:rFonts w:cs="Arial"/>
          <w:rtl/>
        </w:rPr>
        <w:footnoteReference w:id="143"/>
      </w:r>
      <w:r>
        <w:rPr>
          <w:rFonts w:cs="Arial" w:hint="cs"/>
          <w:rtl/>
        </w:rPr>
        <w:t>.</w:t>
      </w:r>
      <w:r>
        <w:rPr>
          <w:rFonts w:cs="Arial"/>
          <w:rtl/>
        </w:rPr>
        <w:t xml:space="preserve"> ואם ילוה אותה לגוי בהלואה גמורה, שיהא רשות בידו להוציאה אם ירצה, שלא ברשות ישראל, ויזקוף הדמים</w:t>
      </w:r>
      <w:r>
        <w:rPr>
          <w:rStyle w:val="a9"/>
          <w:rFonts w:cs="Arial"/>
          <w:rtl/>
        </w:rPr>
        <w:footnoteReference w:id="144"/>
      </w:r>
      <w:r>
        <w:rPr>
          <w:rFonts w:cs="Arial"/>
          <w:rtl/>
        </w:rPr>
        <w:t xml:space="preserve"> על הגוי ואחריות השוורים על הגוי, מותר. ויש מתירים אפי</w:t>
      </w:r>
      <w:r>
        <w:rPr>
          <w:rFonts w:cs="Arial" w:hint="cs"/>
          <w:rtl/>
        </w:rPr>
        <w:t>לו</w:t>
      </w:r>
      <w:r>
        <w:rPr>
          <w:rFonts w:cs="Arial"/>
          <w:rtl/>
        </w:rPr>
        <w:t xml:space="preserve"> לא יהא רשות ביד הגוי להוציא, ע</w:t>
      </w:r>
      <w:r>
        <w:rPr>
          <w:rFonts w:cs="Arial" w:hint="cs"/>
          <w:rtl/>
        </w:rPr>
        <w:t>ל יד</w:t>
      </w:r>
      <w:r>
        <w:rPr>
          <w:rFonts w:cs="Arial"/>
          <w:rtl/>
        </w:rPr>
        <w:t>י שיזקוף הדמים על הגוי במלוה ויחזור הגוי ויעשה אפותיקי לישראל</w:t>
      </w:r>
      <w:r>
        <w:rPr>
          <w:rStyle w:val="a9"/>
          <w:rFonts w:cs="Arial"/>
          <w:rtl/>
        </w:rPr>
        <w:footnoteReference w:id="145"/>
      </w:r>
      <w:r>
        <w:rPr>
          <w:rFonts w:cs="Arial"/>
          <w:rtl/>
        </w:rPr>
        <w:t>, או יהרהנם אצלו</w:t>
      </w:r>
      <w:r>
        <w:rPr>
          <w:rStyle w:val="a9"/>
          <w:rFonts w:cs="Arial"/>
          <w:rtl/>
        </w:rPr>
        <w:footnoteReference w:id="146"/>
      </w:r>
      <w:r>
        <w:rPr>
          <w:rFonts w:cs="Arial"/>
          <w:rtl/>
        </w:rPr>
        <w:t>, ובלבד שלא יאמר לו: מעכשיו</w:t>
      </w:r>
      <w:r>
        <w:rPr>
          <w:rStyle w:val="a9"/>
          <w:rFonts w:cs="Arial"/>
          <w:rtl/>
        </w:rPr>
        <w:footnoteReference w:id="147"/>
      </w:r>
      <w:r>
        <w:rPr>
          <w:rFonts w:cs="Arial" w:hint="cs"/>
          <w:rtl/>
        </w:rPr>
        <w:t>.</w:t>
      </w:r>
      <w:r>
        <w:rPr>
          <w:rFonts w:cs="Arial"/>
          <w:rtl/>
        </w:rPr>
        <w:t xml:space="preserve"> ויש מתירים ע</w:t>
      </w:r>
      <w:r>
        <w:rPr>
          <w:rFonts w:cs="Arial" w:hint="cs"/>
          <w:rtl/>
        </w:rPr>
        <w:t>ל יד</w:t>
      </w:r>
      <w:r>
        <w:rPr>
          <w:rFonts w:cs="Arial"/>
          <w:rtl/>
        </w:rPr>
        <w:t>י שיזהיר את הגוי שלא יעשה בה מלאכה בשבת ואם יעבור ויעשה תהיה אחריות עליו ואפילו מהאונסים</w:t>
      </w:r>
      <w:r>
        <w:rPr>
          <w:rStyle w:val="a9"/>
          <w:rFonts w:cs="Arial"/>
          <w:rtl/>
        </w:rPr>
        <w:footnoteReference w:id="148"/>
      </w:r>
      <w:r>
        <w:rPr>
          <w:rFonts w:cs="Arial"/>
          <w:rtl/>
        </w:rPr>
        <w:t>, ויכתוב כן בערכאותיהם</w:t>
      </w:r>
      <w:r>
        <w:rPr>
          <w:rStyle w:val="a9"/>
          <w:rFonts w:cs="Arial"/>
          <w:rtl/>
        </w:rPr>
        <w:footnoteReference w:id="149"/>
      </w:r>
      <w:r>
        <w:rPr>
          <w:rFonts w:cs="Arial"/>
          <w:rtl/>
        </w:rPr>
        <w:t xml:space="preserve">, דהשתא אם בא לעשות מלאכה בשבת אינה בהמת ישראל, שהרי קנאה הגוי להתחייב באונסיה. </w:t>
      </w:r>
      <w:r w:rsidRPr="009B75CC">
        <w:rPr>
          <w:rFonts w:cs="Arial"/>
          <w:sz w:val="18"/>
          <w:szCs w:val="18"/>
          <w:rtl/>
        </w:rPr>
        <w:t>הגה: וכל צדדי היתרים אלו הלכתא נינהו ויכול לעשות איזה מהן שירצה</w:t>
      </w:r>
      <w:r>
        <w:rPr>
          <w:rStyle w:val="a9"/>
          <w:rFonts w:cs="Arial"/>
          <w:sz w:val="18"/>
          <w:szCs w:val="18"/>
          <w:rtl/>
        </w:rPr>
        <w:footnoteReference w:id="150"/>
      </w:r>
      <w:r>
        <w:rPr>
          <w:rFonts w:cs="Arial" w:hint="cs"/>
          <w:sz w:val="18"/>
          <w:szCs w:val="18"/>
          <w:rtl/>
        </w:rPr>
        <w:t>.</w:t>
      </w:r>
      <w:r w:rsidRPr="009B75CC">
        <w:rPr>
          <w:rFonts w:cs="Arial"/>
          <w:sz w:val="18"/>
          <w:szCs w:val="18"/>
          <w:rtl/>
        </w:rPr>
        <w:t xml:space="preserve"> אפילו אם הבהמה כולה של ישראל דינו כאילו היתה בשותפות הגוי, רק שיפרסם שעשה דרך היתר.</w:t>
      </w:r>
    </w:p>
    <w:p w14:paraId="26824489" w14:textId="77777777" w:rsidR="004B2E7C" w:rsidRDefault="004B2E7C" w:rsidP="00434A6A">
      <w:pPr>
        <w:rPr>
          <w:rFonts w:cs="Arial"/>
          <w:rtl/>
        </w:rPr>
      </w:pPr>
      <w:r w:rsidRPr="004B4D84">
        <w:rPr>
          <w:rFonts w:cs="Arial"/>
          <w:u w:val="single"/>
          <w:rtl/>
        </w:rPr>
        <w:t>ישראל שיש לו סוס ובא המושל המכירו להשאילו או להשכירו והוא אינו יכול למאן נגדו מפני איבה</w:t>
      </w:r>
      <w:r w:rsidRPr="004B4D84">
        <w:rPr>
          <w:rFonts w:cs="Arial" w:hint="cs"/>
          <w:u w:val="single"/>
          <w:rtl/>
        </w:rPr>
        <w:t>:</w:t>
      </w:r>
      <w:r w:rsidRPr="009836E4">
        <w:rPr>
          <w:rFonts w:cs="Arial"/>
          <w:rtl/>
        </w:rPr>
        <w:t xml:space="preserve"> </w:t>
      </w:r>
    </w:p>
    <w:p w14:paraId="6E8C0293" w14:textId="77777777" w:rsidR="004B2E7C" w:rsidRPr="004B4D84" w:rsidRDefault="004B2E7C" w:rsidP="00FF2D21">
      <w:pPr>
        <w:pStyle w:val="aa"/>
        <w:numPr>
          <w:ilvl w:val="0"/>
          <w:numId w:val="105"/>
        </w:numPr>
        <w:rPr>
          <w:rFonts w:cs="Arial"/>
          <w:rtl/>
        </w:rPr>
      </w:pPr>
      <w:r w:rsidRPr="004B4D84">
        <w:rPr>
          <w:rFonts w:cs="Arial" w:hint="cs"/>
          <w:rtl/>
        </w:rPr>
        <w:t>משנ"ב</w:t>
      </w:r>
      <w:r w:rsidRPr="004B4D84">
        <w:rPr>
          <w:rFonts w:cs="Arial" w:hint="cs"/>
          <w:sz w:val="16"/>
          <w:szCs w:val="16"/>
          <w:rtl/>
        </w:rPr>
        <w:t xml:space="preserve"> (סקל"ד)</w:t>
      </w:r>
      <w:r w:rsidRPr="004B4D84">
        <w:rPr>
          <w:rFonts w:cs="Arial" w:hint="cs"/>
          <w:rtl/>
        </w:rPr>
        <w:t xml:space="preserve">- </w:t>
      </w:r>
      <w:r w:rsidRPr="004B4D84">
        <w:rPr>
          <w:rFonts w:cs="Arial"/>
          <w:rtl/>
        </w:rPr>
        <w:t>ישראל שיש לו סוס ובא המושל המכירו להשאילו או להשכירו והוא אינו יכול למאן נגדו מפני איבה</w:t>
      </w:r>
      <w:r>
        <w:rPr>
          <w:rFonts w:cs="Arial" w:hint="cs"/>
          <w:rtl/>
        </w:rPr>
        <w:t xml:space="preserve"> -</w:t>
      </w:r>
      <w:r w:rsidRPr="004B4D84">
        <w:rPr>
          <w:rFonts w:cs="Arial"/>
          <w:rtl/>
        </w:rPr>
        <w:t xml:space="preserve"> ימכרנו לו בדבר מועט ואז יוכל המושל לעשות בו כרצונו</w:t>
      </w:r>
      <w:r>
        <w:rPr>
          <w:rFonts w:cs="Arial" w:hint="cs"/>
          <w:rtl/>
        </w:rPr>
        <w:t>.</w:t>
      </w:r>
      <w:r w:rsidRPr="004B4D84">
        <w:rPr>
          <w:rFonts w:cs="Arial"/>
          <w:rtl/>
        </w:rPr>
        <w:t xml:space="preserve"> ואם אח"כ יחזור ויתן לו הסוס וגם השכירות </w:t>
      </w:r>
      <w:r>
        <w:rPr>
          <w:rFonts w:cs="Arial" w:hint="cs"/>
          <w:rtl/>
        </w:rPr>
        <w:t xml:space="preserve">- </w:t>
      </w:r>
      <w:r w:rsidRPr="004B4D84">
        <w:rPr>
          <w:rFonts w:cs="Arial"/>
          <w:rtl/>
        </w:rPr>
        <w:t>מתנה בעלמא יהיב ליה</w:t>
      </w:r>
      <w:r>
        <w:rPr>
          <w:rFonts w:cs="Arial" w:hint="cs"/>
          <w:rtl/>
        </w:rPr>
        <w:t>.</w:t>
      </w:r>
      <w:r w:rsidRPr="004B4D84">
        <w:rPr>
          <w:rFonts w:cs="Arial"/>
          <w:rtl/>
        </w:rPr>
        <w:t xml:space="preserve"> תשו' שבות יעקב</w:t>
      </w:r>
      <w:r>
        <w:rPr>
          <w:rFonts w:cs="Arial" w:hint="cs"/>
          <w:rtl/>
        </w:rPr>
        <w:t>.</w:t>
      </w:r>
      <w:r w:rsidRPr="004B4D84">
        <w:rPr>
          <w:rFonts w:cs="Arial"/>
          <w:rtl/>
        </w:rPr>
        <w:t xml:space="preserve"> ועיין בשע"ת שהסכים ג"כ עמו נגד היד אהרן</w:t>
      </w:r>
      <w:r w:rsidRPr="004B4D84">
        <w:rPr>
          <w:rFonts w:cs="Arial" w:hint="cs"/>
          <w:rtl/>
        </w:rPr>
        <w:t>.</w:t>
      </w:r>
    </w:p>
    <w:p w14:paraId="0C4BB432" w14:textId="77777777" w:rsidR="004B2E7C" w:rsidRDefault="004B2E7C" w:rsidP="00434A6A">
      <w:pPr>
        <w:rPr>
          <w:rtl/>
        </w:rPr>
      </w:pPr>
    </w:p>
    <w:p w14:paraId="4F4CA021" w14:textId="77777777" w:rsidR="004B2E7C" w:rsidRDefault="004B2E7C" w:rsidP="00434A6A">
      <w:pPr>
        <w:pStyle w:val="1"/>
        <w:rPr>
          <w:rtl/>
        </w:rPr>
        <w:sectPr w:rsidR="004B2E7C" w:rsidSect="00BD29B1">
          <w:headerReference w:type="default" r:id="rId17"/>
          <w:footnotePr>
            <w:numRestart w:val="eachSect"/>
          </w:footnotePr>
          <w:pgSz w:w="11906" w:h="16838"/>
          <w:pgMar w:top="720" w:right="1134" w:bottom="720" w:left="1134" w:header="0" w:footer="0" w:gutter="0"/>
          <w:cols w:space="720"/>
          <w:bidi/>
          <w:rtlGutter/>
          <w:docGrid w:linePitch="360"/>
        </w:sectPr>
      </w:pPr>
    </w:p>
    <w:p w14:paraId="49A7F425" w14:textId="77777777" w:rsidR="004B2E7C" w:rsidRDefault="004B2E7C" w:rsidP="00434A6A">
      <w:pPr>
        <w:pStyle w:val="1"/>
        <w:rPr>
          <w:rtl/>
        </w:rPr>
      </w:pPr>
      <w:r>
        <w:rPr>
          <w:rFonts w:hint="cs"/>
          <w:rtl/>
        </w:rPr>
        <w:t>סימן רמז:</w:t>
      </w:r>
      <w:r w:rsidRPr="0085796F">
        <w:rPr>
          <w:rtl/>
        </w:rPr>
        <w:t xml:space="preserve"> </w:t>
      </w:r>
      <w:r>
        <w:rPr>
          <w:rtl/>
        </w:rPr>
        <w:t xml:space="preserve">דין גוי המביאים כתבים בשבת, ובו ו' סעיפים. </w:t>
      </w:r>
    </w:p>
    <w:p w14:paraId="4B4E0755" w14:textId="77777777" w:rsidR="004B2E7C" w:rsidRDefault="004B2E7C" w:rsidP="00434A6A">
      <w:pPr>
        <w:pStyle w:val="2"/>
        <w:rPr>
          <w:rtl/>
        </w:rPr>
      </w:pPr>
      <w:r>
        <w:rPr>
          <w:rtl/>
        </w:rPr>
        <w:t>סעיף א</w:t>
      </w:r>
      <w:r>
        <w:rPr>
          <w:rFonts w:hint="cs"/>
          <w:rtl/>
        </w:rPr>
        <w:t>:</w:t>
      </w:r>
      <w:r w:rsidRPr="00A226DF">
        <w:rPr>
          <w:rFonts w:hint="cs"/>
          <w:rtl/>
        </w:rPr>
        <w:t xml:space="preserve"> </w:t>
      </w:r>
      <w:r>
        <w:rPr>
          <w:rFonts w:hint="cs"/>
          <w:rtl/>
        </w:rPr>
        <w:t xml:space="preserve">שילוח </w:t>
      </w:r>
      <w:r w:rsidRPr="00526215">
        <w:rPr>
          <w:rtl/>
        </w:rPr>
        <w:t xml:space="preserve">אגרות ביד </w:t>
      </w:r>
      <w:r>
        <w:rPr>
          <w:rtl/>
        </w:rPr>
        <w:t>גוי</w:t>
      </w:r>
      <w:r w:rsidRPr="00526215">
        <w:rPr>
          <w:rtl/>
        </w:rPr>
        <w:t xml:space="preserve"> בערב שבת</w:t>
      </w:r>
      <w:r>
        <w:rPr>
          <w:rFonts w:hint="cs"/>
          <w:rtl/>
        </w:rPr>
        <w:t>.</w:t>
      </w:r>
    </w:p>
    <w:p w14:paraId="0B7C2432" w14:textId="77777777" w:rsidR="004B2E7C" w:rsidRDefault="004B2E7C" w:rsidP="00434A6A">
      <w:pPr>
        <w:rPr>
          <w:rtl/>
        </w:rPr>
      </w:pPr>
      <w:r w:rsidRPr="00DE37AA">
        <w:rPr>
          <w:rFonts w:cs="Arial" w:hint="cs"/>
          <w:b/>
          <w:bCs/>
          <w:rtl/>
        </w:rPr>
        <w:t xml:space="preserve">שבת </w:t>
      </w:r>
      <w:r w:rsidRPr="00DE37AA">
        <w:rPr>
          <w:rFonts w:cs="Arial" w:hint="cs"/>
          <w:b/>
          <w:bCs/>
          <w:sz w:val="16"/>
          <w:szCs w:val="16"/>
          <w:rtl/>
        </w:rPr>
        <w:t xml:space="preserve">(פ"ק) </w:t>
      </w:r>
      <w:r w:rsidRPr="00DE37AA">
        <w:rPr>
          <w:rFonts w:cs="Arial" w:hint="cs"/>
          <w:b/>
          <w:bCs/>
          <w:rtl/>
        </w:rPr>
        <w:t>י</w:t>
      </w:r>
      <w:r>
        <w:rPr>
          <w:rFonts w:cs="Arial" w:hint="cs"/>
          <w:b/>
          <w:bCs/>
          <w:rtl/>
        </w:rPr>
        <w:t>ט</w:t>
      </w:r>
      <w:r w:rsidRPr="00DE37AA">
        <w:rPr>
          <w:rFonts w:cs="Arial" w:hint="cs"/>
          <w:b/>
          <w:bCs/>
          <w:rtl/>
        </w:rPr>
        <w:t xml:space="preserve"> ע"א:</w:t>
      </w:r>
      <w:r>
        <w:rPr>
          <w:rFonts w:cs="Arial" w:hint="cs"/>
          <w:rtl/>
        </w:rPr>
        <w:t xml:space="preserve"> </w:t>
      </w:r>
      <w:r w:rsidRPr="007D58F8">
        <w:rPr>
          <w:rFonts w:cs="Arial"/>
          <w:rtl/>
        </w:rPr>
        <w:t xml:space="preserve">תנו רבנן: לא ישכיר אדם כליו לנכרי בערב שבת, ברביעי ובחמישי מותר. כיוצא בו, אין משלחין איגרות ביד נכרי בערב שבת, ברביעי ובחמישי מותר. אמרו עליו על רבי יוסי הכהן, ואמרי לה על רבי יוסי החסיד, שלא נמצא כתב ידו ביד נכרי מעולם. תנו רבנן: אין משלחין איגרת ביד נכרי ערב שבת, אלא אם כן קוצץ לו דמים. </w:t>
      </w:r>
      <w:r w:rsidRPr="00E3209F">
        <w:rPr>
          <w:rFonts w:cs="Arial"/>
          <w:u w:val="single"/>
          <w:rtl/>
        </w:rPr>
        <w:t>בית שמאי אומרים</w:t>
      </w:r>
      <w:r w:rsidRPr="007D58F8">
        <w:rPr>
          <w:rFonts w:cs="Arial"/>
          <w:rtl/>
        </w:rPr>
        <w:t>: כדי שיגיע לביתו</w:t>
      </w:r>
      <w:r>
        <w:rPr>
          <w:rStyle w:val="a9"/>
          <w:rFonts w:cs="Arial"/>
          <w:rtl/>
        </w:rPr>
        <w:footnoteReference w:id="151"/>
      </w:r>
      <w:r>
        <w:rPr>
          <w:rFonts w:cs="Arial" w:hint="cs"/>
          <w:rtl/>
        </w:rPr>
        <w:t>.</w:t>
      </w:r>
      <w:r w:rsidRPr="007D58F8">
        <w:rPr>
          <w:rFonts w:cs="Arial"/>
          <w:rtl/>
        </w:rPr>
        <w:t xml:space="preserve"> </w:t>
      </w:r>
      <w:r w:rsidRPr="00E3209F">
        <w:rPr>
          <w:rFonts w:cs="Arial"/>
          <w:u w:val="single"/>
          <w:rtl/>
        </w:rPr>
        <w:t>ובית הלל אומרים</w:t>
      </w:r>
      <w:r w:rsidRPr="007D58F8">
        <w:rPr>
          <w:rFonts w:cs="Arial"/>
          <w:rtl/>
        </w:rPr>
        <w:t>: כדי שיגיע לבית הסמוך לחומה</w:t>
      </w:r>
      <w:r>
        <w:rPr>
          <w:rStyle w:val="a9"/>
          <w:rFonts w:cs="Arial"/>
          <w:rtl/>
        </w:rPr>
        <w:footnoteReference w:id="152"/>
      </w:r>
      <w:r w:rsidRPr="007D58F8">
        <w:rPr>
          <w:rFonts w:cs="Arial"/>
          <w:rtl/>
        </w:rPr>
        <w:t xml:space="preserve">. והלא קצץ! </w:t>
      </w:r>
      <w:r w:rsidRPr="00E3209F">
        <w:rPr>
          <w:rFonts w:cs="Arial"/>
          <w:u w:val="single"/>
          <w:rtl/>
        </w:rPr>
        <w:t>אמר רב ששת</w:t>
      </w:r>
      <w:r>
        <w:rPr>
          <w:rFonts w:cs="Arial" w:hint="cs"/>
          <w:rtl/>
        </w:rPr>
        <w:t>:</w:t>
      </w:r>
      <w:r w:rsidRPr="007D58F8">
        <w:rPr>
          <w:rFonts w:cs="Arial"/>
          <w:rtl/>
        </w:rPr>
        <w:t xml:space="preserve"> הכי קאמר</w:t>
      </w:r>
      <w:r>
        <w:rPr>
          <w:rFonts w:cs="Arial" w:hint="cs"/>
          <w:rtl/>
        </w:rPr>
        <w:t>,</w:t>
      </w:r>
      <w:r w:rsidRPr="007D58F8">
        <w:rPr>
          <w:rFonts w:cs="Arial"/>
          <w:rtl/>
        </w:rPr>
        <w:t xml:space="preserve"> ואם לא קצץ, </w:t>
      </w:r>
      <w:r w:rsidRPr="00E3209F">
        <w:rPr>
          <w:rFonts w:cs="Arial"/>
          <w:u w:val="single"/>
          <w:rtl/>
        </w:rPr>
        <w:t>בית שמאי אומרים</w:t>
      </w:r>
      <w:r w:rsidRPr="007D58F8">
        <w:rPr>
          <w:rFonts w:cs="Arial"/>
          <w:rtl/>
        </w:rPr>
        <w:t>: עד שיגיע לביתו</w:t>
      </w:r>
      <w:r>
        <w:rPr>
          <w:rFonts w:cs="Arial" w:hint="cs"/>
          <w:rtl/>
        </w:rPr>
        <w:t>.</w:t>
      </w:r>
      <w:r w:rsidRPr="007D58F8">
        <w:rPr>
          <w:rFonts w:cs="Arial"/>
          <w:rtl/>
        </w:rPr>
        <w:t xml:space="preserve"> </w:t>
      </w:r>
      <w:r w:rsidRPr="00E3209F">
        <w:rPr>
          <w:rFonts w:cs="Arial"/>
          <w:u w:val="single"/>
          <w:rtl/>
        </w:rPr>
        <w:t>ובית הלל אומרים</w:t>
      </w:r>
      <w:r w:rsidRPr="007D58F8">
        <w:rPr>
          <w:rFonts w:cs="Arial"/>
          <w:rtl/>
        </w:rPr>
        <w:t>: עד שיגיע לבית הסמוך לחומה. והאמרת רישא אין משלחין</w:t>
      </w:r>
      <w:r>
        <w:rPr>
          <w:rStyle w:val="a9"/>
          <w:rFonts w:cs="Arial"/>
          <w:rtl/>
        </w:rPr>
        <w:footnoteReference w:id="153"/>
      </w:r>
      <w:r w:rsidRPr="007D58F8">
        <w:rPr>
          <w:rFonts w:cs="Arial"/>
          <w:rtl/>
        </w:rPr>
        <w:t>! לא קשיא, הא - דקביע בי דואר</w:t>
      </w:r>
      <w:r>
        <w:rPr>
          <w:rStyle w:val="a9"/>
          <w:rFonts w:cs="Arial"/>
          <w:rtl/>
        </w:rPr>
        <w:footnoteReference w:id="154"/>
      </w:r>
      <w:r w:rsidRPr="007D58F8">
        <w:rPr>
          <w:rFonts w:cs="Arial"/>
          <w:rtl/>
        </w:rPr>
        <w:t xml:space="preserve"> במתא, והא - דלא קביע בי דואר במתא.</w:t>
      </w:r>
      <w:r w:rsidRPr="00EA0A60">
        <w:rPr>
          <w:rFonts w:cs="Arial"/>
          <w:rtl/>
        </w:rPr>
        <w:t xml:space="preserve"> </w:t>
      </w:r>
      <w:r w:rsidRPr="00EA0A60">
        <w:rPr>
          <w:rFonts w:cs="Arial" w:hint="cs"/>
          <w:sz w:val="16"/>
          <w:szCs w:val="16"/>
          <w:rtl/>
        </w:rPr>
        <w:t>(</w:t>
      </w:r>
      <w:r w:rsidRPr="00EA0A60">
        <w:rPr>
          <w:rFonts w:cs="Arial"/>
          <w:sz w:val="16"/>
          <w:szCs w:val="16"/>
          <w:rtl/>
        </w:rPr>
        <w:t>וכתבו הרי"ף (ז.) והרא"ש (סי' לז) שמעינן השתא היכא דקצץ לו דמים משלחין בין מגיע בין לא מגיע</w:t>
      </w:r>
      <w:r w:rsidRPr="00EA0A60">
        <w:rPr>
          <w:rFonts w:cs="Arial" w:hint="cs"/>
          <w:sz w:val="16"/>
          <w:szCs w:val="16"/>
          <w:rtl/>
        </w:rPr>
        <w:t>.</w:t>
      </w:r>
      <w:r w:rsidRPr="00EA0A60">
        <w:rPr>
          <w:rFonts w:cs="Arial"/>
          <w:sz w:val="16"/>
          <w:szCs w:val="16"/>
          <w:rtl/>
        </w:rPr>
        <w:t xml:space="preserve"> והיכא דלא קצץ לו דמים</w:t>
      </w:r>
      <w:r w:rsidRPr="00EA0A60">
        <w:rPr>
          <w:rFonts w:cs="Arial" w:hint="cs"/>
          <w:sz w:val="16"/>
          <w:szCs w:val="16"/>
          <w:rtl/>
        </w:rPr>
        <w:t>,</w:t>
      </w:r>
      <w:r w:rsidRPr="00EA0A60">
        <w:rPr>
          <w:rFonts w:cs="Arial"/>
          <w:sz w:val="16"/>
          <w:szCs w:val="16"/>
          <w:rtl/>
        </w:rPr>
        <w:t xml:space="preserve"> אי קביע דואר במתא</w:t>
      </w:r>
      <w:r w:rsidRPr="00EA0A60">
        <w:rPr>
          <w:rFonts w:cs="Arial" w:hint="cs"/>
          <w:sz w:val="16"/>
          <w:szCs w:val="16"/>
          <w:rtl/>
        </w:rPr>
        <w:t>,</w:t>
      </w:r>
      <w:r w:rsidRPr="00EA0A60">
        <w:rPr>
          <w:rFonts w:cs="Arial"/>
          <w:sz w:val="16"/>
          <w:szCs w:val="16"/>
          <w:rtl/>
        </w:rPr>
        <w:t xml:space="preserve"> אין משלחין אלא בכדי שיגיע לבית הסמוך לחומה</w:t>
      </w:r>
      <w:r w:rsidRPr="00EA0A60">
        <w:rPr>
          <w:rFonts w:cs="Arial" w:hint="cs"/>
          <w:sz w:val="16"/>
          <w:szCs w:val="16"/>
          <w:rtl/>
        </w:rPr>
        <w:t>.</w:t>
      </w:r>
      <w:r w:rsidRPr="00EA0A60">
        <w:rPr>
          <w:rFonts w:cs="Arial"/>
          <w:sz w:val="16"/>
          <w:szCs w:val="16"/>
          <w:rtl/>
        </w:rPr>
        <w:t xml:space="preserve"> ואי לא קביע דואר במתא</w:t>
      </w:r>
      <w:r w:rsidRPr="00EA0A60">
        <w:rPr>
          <w:rFonts w:cs="Arial" w:hint="cs"/>
          <w:sz w:val="16"/>
          <w:szCs w:val="16"/>
          <w:rtl/>
        </w:rPr>
        <w:t>,</w:t>
      </w:r>
      <w:r w:rsidRPr="00EA0A60">
        <w:rPr>
          <w:rFonts w:cs="Arial"/>
          <w:sz w:val="16"/>
          <w:szCs w:val="16"/>
          <w:rtl/>
        </w:rPr>
        <w:t xml:space="preserve"> אין משלחין כלל אלא אם כן קצץ</w:t>
      </w:r>
      <w:r>
        <w:rPr>
          <w:rFonts w:cs="Arial" w:hint="cs"/>
          <w:sz w:val="14"/>
          <w:szCs w:val="14"/>
          <w:rtl/>
        </w:rPr>
        <w:t xml:space="preserve"> [עכ"ל]</w:t>
      </w:r>
      <w:r>
        <w:rPr>
          <w:rFonts w:cs="Arial" w:hint="cs"/>
          <w:sz w:val="16"/>
          <w:szCs w:val="16"/>
          <w:rtl/>
        </w:rPr>
        <w:t>, ב"י)</w:t>
      </w:r>
    </w:p>
    <w:p w14:paraId="34853D40" w14:textId="77777777" w:rsidR="004B2E7C" w:rsidRPr="00A226DF" w:rsidRDefault="004B2E7C" w:rsidP="00434A6A">
      <w:pPr>
        <w:rPr>
          <w:u w:val="single"/>
          <w:rtl/>
        </w:rPr>
      </w:pPr>
      <w:r w:rsidRPr="00A226DF">
        <w:rPr>
          <w:rFonts w:cs="Arial" w:hint="cs"/>
          <w:u w:val="single"/>
          <w:rtl/>
        </w:rPr>
        <w:t xml:space="preserve">שילוח </w:t>
      </w:r>
      <w:r w:rsidRPr="00A226DF">
        <w:rPr>
          <w:rFonts w:cs="Arial"/>
          <w:u w:val="single"/>
          <w:rtl/>
        </w:rPr>
        <w:t>אגרות ביד גוי בערב שבת</w:t>
      </w:r>
      <w:r>
        <w:rPr>
          <w:rFonts w:hint="cs"/>
          <w:u w:val="single"/>
          <w:rtl/>
        </w:rPr>
        <w:t>:</w:t>
      </w:r>
    </w:p>
    <w:p w14:paraId="768B84BB" w14:textId="77777777" w:rsidR="004B2E7C" w:rsidRDefault="004B2E7C" w:rsidP="00FF2D21">
      <w:pPr>
        <w:pStyle w:val="aa"/>
        <w:numPr>
          <w:ilvl w:val="0"/>
          <w:numId w:val="105"/>
        </w:numPr>
      </w:pPr>
      <w:r>
        <w:rPr>
          <w:rFonts w:cs="Arial" w:hint="cs"/>
          <w:rtl/>
        </w:rPr>
        <w:t xml:space="preserve">רי"ף </w:t>
      </w:r>
      <w:r w:rsidRPr="00882F59">
        <w:rPr>
          <w:rFonts w:cs="Arial" w:hint="cs"/>
          <w:sz w:val="16"/>
          <w:szCs w:val="16"/>
          <w:rtl/>
        </w:rPr>
        <w:t xml:space="preserve">(ז.) </w:t>
      </w:r>
      <w:r w:rsidRPr="00526215">
        <w:rPr>
          <w:rFonts w:cs="Arial"/>
          <w:rtl/>
        </w:rPr>
        <w:t>רמב"ם</w:t>
      </w:r>
      <w:r>
        <w:rPr>
          <w:rFonts w:cs="Arial" w:hint="cs"/>
          <w:sz w:val="16"/>
          <w:szCs w:val="16"/>
          <w:rtl/>
        </w:rPr>
        <w:t xml:space="preserve"> (פ"ו ה"כ)</w:t>
      </w:r>
      <w:r>
        <w:rPr>
          <w:rFonts w:cs="Arial" w:hint="cs"/>
          <w:rtl/>
        </w:rPr>
        <w:t xml:space="preserve"> רא"ש</w:t>
      </w:r>
      <w:r w:rsidRPr="00882F59">
        <w:rPr>
          <w:rFonts w:cs="Arial" w:hint="cs"/>
          <w:sz w:val="16"/>
          <w:szCs w:val="16"/>
          <w:rtl/>
        </w:rPr>
        <w:t xml:space="preserve"> (סי' לז) </w:t>
      </w:r>
      <w:r>
        <w:rPr>
          <w:rFonts w:cs="Arial" w:hint="cs"/>
          <w:rtl/>
        </w:rPr>
        <w:t>וטור-</w:t>
      </w:r>
      <w:r w:rsidRPr="00526215">
        <w:rPr>
          <w:rFonts w:cs="Arial"/>
          <w:rtl/>
        </w:rPr>
        <w:t xml:space="preserve"> </w:t>
      </w:r>
      <w:r w:rsidRPr="00552E6D">
        <w:rPr>
          <w:rFonts w:cs="Arial"/>
          <w:rtl/>
        </w:rPr>
        <w:t xml:space="preserve">הנותן אגרת לגוי להוליכה לעיר אחרת אם קצץ עמו שכר הולכה </w:t>
      </w:r>
      <w:r>
        <w:rPr>
          <w:rFonts w:cs="Arial" w:hint="cs"/>
          <w:rtl/>
        </w:rPr>
        <w:t xml:space="preserve">- </w:t>
      </w:r>
      <w:r w:rsidRPr="00552E6D">
        <w:rPr>
          <w:rFonts w:cs="Arial"/>
          <w:rtl/>
        </w:rPr>
        <w:t>מותר, ואפילו נתנה לו ערב שבת עם חשיכה, והוא שיצא בה מפתח ביתו קודם השבת</w:t>
      </w:r>
      <w:r>
        <w:rPr>
          <w:rFonts w:cs="Arial" w:hint="cs"/>
          <w:sz w:val="16"/>
          <w:szCs w:val="16"/>
          <w:rtl/>
        </w:rPr>
        <w:t xml:space="preserve"> (ל' הרמב"ם)</w:t>
      </w:r>
      <w:r>
        <w:rPr>
          <w:rFonts w:cs="Arial" w:hint="cs"/>
          <w:rtl/>
        </w:rPr>
        <w:t>.</w:t>
      </w:r>
      <w:r w:rsidRPr="00552E6D">
        <w:rPr>
          <w:rFonts w:cs="Arial"/>
          <w:rtl/>
        </w:rPr>
        <w:t xml:space="preserve"> </w:t>
      </w:r>
      <w:r w:rsidRPr="00ED4352">
        <w:rPr>
          <w:rFonts w:hint="cs"/>
          <w:color w:val="E36C0A" w:themeColor="accent6" w:themeShade="BF"/>
          <w:rtl/>
        </w:rPr>
        <w:t>(וכ"פ בשו"ע)</w:t>
      </w:r>
    </w:p>
    <w:p w14:paraId="616FFAE2" w14:textId="77777777" w:rsidR="004B2E7C" w:rsidRPr="0048141A" w:rsidRDefault="004B2E7C" w:rsidP="00434A6A">
      <w:pPr>
        <w:ind w:left="360"/>
        <w:rPr>
          <w:u w:val="dotted"/>
        </w:rPr>
      </w:pPr>
      <w:r w:rsidRPr="0048141A">
        <w:rPr>
          <w:rFonts w:hint="cs"/>
          <w:u w:val="dotted"/>
          <w:rtl/>
        </w:rPr>
        <w:t>ומה דין אם לא קצץ עמו שכר:</w:t>
      </w:r>
    </w:p>
    <w:p w14:paraId="1FF8A12C" w14:textId="77777777" w:rsidR="004B2E7C" w:rsidRPr="0048141A" w:rsidRDefault="004B2E7C" w:rsidP="00FF2D21">
      <w:pPr>
        <w:pStyle w:val="aa"/>
        <w:numPr>
          <w:ilvl w:val="0"/>
          <w:numId w:val="105"/>
        </w:numPr>
      </w:pPr>
      <w:r>
        <w:rPr>
          <w:rFonts w:cs="Arial" w:hint="cs"/>
          <w:rtl/>
        </w:rPr>
        <w:t xml:space="preserve">רי"ף </w:t>
      </w:r>
      <w:r w:rsidRPr="00882F59">
        <w:rPr>
          <w:rFonts w:cs="Arial" w:hint="cs"/>
          <w:sz w:val="16"/>
          <w:szCs w:val="16"/>
          <w:rtl/>
        </w:rPr>
        <w:t xml:space="preserve">(ז.) </w:t>
      </w:r>
      <w:r w:rsidRPr="00526215">
        <w:rPr>
          <w:rFonts w:cs="Arial"/>
          <w:rtl/>
        </w:rPr>
        <w:t>רמב"ם</w:t>
      </w:r>
      <w:r>
        <w:rPr>
          <w:rFonts w:cs="Arial" w:hint="cs"/>
          <w:sz w:val="16"/>
          <w:szCs w:val="16"/>
          <w:rtl/>
        </w:rPr>
        <w:t xml:space="preserve"> (פ"ו ה"כ)</w:t>
      </w:r>
      <w:r>
        <w:rPr>
          <w:rFonts w:cs="Arial" w:hint="cs"/>
          <w:rtl/>
        </w:rPr>
        <w:t xml:space="preserve"> רא"ש</w:t>
      </w:r>
      <w:r w:rsidRPr="00882F59">
        <w:rPr>
          <w:rFonts w:cs="Arial" w:hint="cs"/>
          <w:sz w:val="16"/>
          <w:szCs w:val="16"/>
          <w:rtl/>
        </w:rPr>
        <w:t xml:space="preserve"> (סי' לז) </w:t>
      </w:r>
      <w:r>
        <w:rPr>
          <w:rFonts w:cs="Arial" w:hint="cs"/>
          <w:rtl/>
        </w:rPr>
        <w:t xml:space="preserve">וטור- </w:t>
      </w:r>
      <w:r w:rsidRPr="00552E6D">
        <w:rPr>
          <w:rFonts w:cs="Arial"/>
          <w:rtl/>
        </w:rPr>
        <w:t>ואם לא קצץ</w:t>
      </w:r>
      <w:r>
        <w:rPr>
          <w:rFonts w:cs="Arial" w:hint="cs"/>
          <w:rtl/>
        </w:rPr>
        <w:t>,</w:t>
      </w:r>
      <w:r w:rsidRPr="00552E6D">
        <w:rPr>
          <w:rFonts w:cs="Arial"/>
          <w:rtl/>
        </w:rPr>
        <w:t xml:space="preserve"> אם יש במדינה </w:t>
      </w:r>
      <w:r>
        <w:rPr>
          <w:rFonts w:cs="Arial" w:hint="cs"/>
          <w:rtl/>
        </w:rPr>
        <w:t>בי דואר - מותר ליתן לגוי האגרת,</w:t>
      </w:r>
      <w:r w:rsidRPr="00882F59">
        <w:rPr>
          <w:rFonts w:cs="Arial"/>
          <w:rtl/>
        </w:rPr>
        <w:t xml:space="preserve"> </w:t>
      </w:r>
      <w:r w:rsidRPr="00552E6D">
        <w:rPr>
          <w:rFonts w:cs="Arial"/>
          <w:rtl/>
        </w:rPr>
        <w:t>והוא שיהיה שהות ביום כדי שיגיע לבית הסמוך לחומה</w:t>
      </w:r>
      <w:r>
        <w:rPr>
          <w:rStyle w:val="a9"/>
          <w:rFonts w:cs="Arial"/>
          <w:rtl/>
        </w:rPr>
        <w:footnoteReference w:id="155"/>
      </w:r>
      <w:r w:rsidRPr="00552E6D">
        <w:rPr>
          <w:rFonts w:cs="Arial"/>
          <w:rtl/>
        </w:rPr>
        <w:t xml:space="preserve"> קודם השבת</w:t>
      </w:r>
      <w:r>
        <w:rPr>
          <w:rFonts w:cs="Arial" w:hint="cs"/>
          <w:sz w:val="16"/>
          <w:szCs w:val="16"/>
          <w:rtl/>
        </w:rPr>
        <w:t xml:space="preserve"> (ע"פ ל' הרמב"ם)</w:t>
      </w:r>
      <w:r>
        <w:rPr>
          <w:rFonts w:cs="Arial" w:hint="cs"/>
          <w:rtl/>
        </w:rPr>
        <w:t>.</w:t>
      </w:r>
      <w:r w:rsidRPr="00905F32">
        <w:rPr>
          <w:rFonts w:hint="cs"/>
          <w:color w:val="E36C0A" w:themeColor="accent6" w:themeShade="BF"/>
          <w:rtl/>
        </w:rPr>
        <w:t xml:space="preserve"> </w:t>
      </w:r>
      <w:r w:rsidRPr="00ED4352">
        <w:rPr>
          <w:rFonts w:hint="cs"/>
          <w:color w:val="E36C0A" w:themeColor="accent6" w:themeShade="BF"/>
          <w:rtl/>
        </w:rPr>
        <w:t>(וכ"פ בשו"ע)</w:t>
      </w:r>
    </w:p>
    <w:p w14:paraId="204BCC22" w14:textId="77777777" w:rsidR="004B2E7C" w:rsidRPr="0048141A" w:rsidRDefault="004B2E7C" w:rsidP="00434A6A">
      <w:pPr>
        <w:ind w:left="720"/>
        <w:rPr>
          <w:u w:val="wave"/>
        </w:rPr>
      </w:pPr>
      <w:r>
        <w:rPr>
          <w:rFonts w:hint="cs"/>
          <w:u w:val="wave"/>
          <w:rtl/>
        </w:rPr>
        <w:t>מה זה בי דואר ובאיזו מדינה מדובר שהבי דואר נמצא</w:t>
      </w:r>
      <w:r>
        <w:rPr>
          <w:rFonts w:hint="cs"/>
          <w:sz w:val="16"/>
          <w:szCs w:val="16"/>
          <w:u w:val="wave"/>
          <w:rtl/>
        </w:rPr>
        <w:t xml:space="preserve"> (וממילא משמע לאיזו חומה צריך הגוי להגיע)</w:t>
      </w:r>
      <w:r w:rsidRPr="0048141A">
        <w:rPr>
          <w:rFonts w:hint="cs"/>
          <w:u w:val="wave"/>
          <w:rtl/>
        </w:rPr>
        <w:t>:</w:t>
      </w:r>
    </w:p>
    <w:p w14:paraId="16E30234" w14:textId="77777777" w:rsidR="004B2E7C" w:rsidRDefault="004B2E7C" w:rsidP="00FF2D21">
      <w:pPr>
        <w:pStyle w:val="aa"/>
        <w:numPr>
          <w:ilvl w:val="0"/>
          <w:numId w:val="105"/>
        </w:numPr>
      </w:pPr>
      <w:r>
        <w:rPr>
          <w:rFonts w:cs="Arial" w:hint="cs"/>
          <w:rtl/>
        </w:rPr>
        <w:t>רמב"ם</w:t>
      </w:r>
      <w:r>
        <w:rPr>
          <w:rFonts w:cs="Arial" w:hint="cs"/>
          <w:sz w:val="16"/>
          <w:szCs w:val="16"/>
          <w:rtl/>
        </w:rPr>
        <w:t xml:space="preserve"> (שם)</w:t>
      </w:r>
      <w:r>
        <w:rPr>
          <w:rFonts w:cs="Arial" w:hint="cs"/>
          <w:rtl/>
        </w:rPr>
        <w:t xml:space="preserve">- </w:t>
      </w:r>
      <w:r w:rsidRPr="00552E6D">
        <w:rPr>
          <w:rFonts w:cs="Arial"/>
          <w:rtl/>
        </w:rPr>
        <w:t>אדם קבוע שהוא מקבץ האגרות ושולח אותם לכל מדינה ומדינה עם שלוחיו</w:t>
      </w:r>
      <w:r>
        <w:rPr>
          <w:rStyle w:val="a9"/>
          <w:rFonts w:cs="Arial"/>
          <w:rtl/>
        </w:rPr>
        <w:footnoteReference w:id="156"/>
      </w:r>
      <w:r>
        <w:rPr>
          <w:rFonts w:cs="Arial" w:hint="cs"/>
          <w:rtl/>
        </w:rPr>
        <w:t>.</w:t>
      </w:r>
    </w:p>
    <w:p w14:paraId="1DD8542B" w14:textId="77777777" w:rsidR="004B2E7C" w:rsidRPr="00882F59" w:rsidRDefault="004B2E7C" w:rsidP="00FF2D21">
      <w:pPr>
        <w:pStyle w:val="aa"/>
        <w:numPr>
          <w:ilvl w:val="0"/>
          <w:numId w:val="105"/>
        </w:numPr>
      </w:pPr>
      <w:r>
        <w:rPr>
          <w:rFonts w:cs="Arial" w:hint="cs"/>
          <w:rtl/>
        </w:rPr>
        <w:t xml:space="preserve">רש"י </w:t>
      </w:r>
      <w:r>
        <w:rPr>
          <w:rFonts w:cs="Arial" w:hint="cs"/>
          <w:sz w:val="16"/>
          <w:szCs w:val="16"/>
          <w:rtl/>
        </w:rPr>
        <w:t xml:space="preserve">(ד"ה לבית הסמוך, וסד"ה שכיחא במתא) </w:t>
      </w:r>
      <w:r>
        <w:rPr>
          <w:rFonts w:cs="Arial" w:hint="cs"/>
          <w:rtl/>
        </w:rPr>
        <w:t xml:space="preserve">וטור- </w:t>
      </w:r>
      <w:r w:rsidRPr="00526215">
        <w:rPr>
          <w:rFonts w:cs="Arial"/>
          <w:rtl/>
        </w:rPr>
        <w:t>איש ידוע שכל כתב שמביאים לעיר נותנים אותו לידו</w:t>
      </w:r>
      <w:r>
        <w:rPr>
          <w:rFonts w:cs="Arial" w:hint="cs"/>
          <w:rtl/>
        </w:rPr>
        <w:t>,</w:t>
      </w:r>
      <w:r w:rsidRPr="00526215">
        <w:rPr>
          <w:rFonts w:cs="Arial"/>
          <w:rtl/>
        </w:rPr>
        <w:t xml:space="preserve"> והוא מגיעו ליד מי שנשתלח לו</w:t>
      </w:r>
      <w:r>
        <w:rPr>
          <w:rStyle w:val="a9"/>
          <w:rFonts w:cs="Arial"/>
          <w:rtl/>
        </w:rPr>
        <w:footnoteReference w:id="157"/>
      </w:r>
      <w:r>
        <w:rPr>
          <w:rFonts w:cs="Arial" w:hint="cs"/>
          <w:sz w:val="16"/>
          <w:szCs w:val="16"/>
          <w:rtl/>
        </w:rPr>
        <w:t xml:space="preserve"> (ל' הטור)</w:t>
      </w:r>
      <w:r>
        <w:rPr>
          <w:rFonts w:hint="cs"/>
          <w:rtl/>
        </w:rPr>
        <w:t xml:space="preserve">. (וכ"פ המשנ"ב </w:t>
      </w:r>
      <w:r>
        <w:rPr>
          <w:rFonts w:hint="cs"/>
          <w:sz w:val="16"/>
          <w:szCs w:val="16"/>
          <w:rtl/>
        </w:rPr>
        <w:t>[סק"ה, וסק"ט]</w:t>
      </w:r>
      <w:r>
        <w:rPr>
          <w:rFonts w:hint="cs"/>
          <w:rtl/>
        </w:rPr>
        <w:t>)</w:t>
      </w:r>
    </w:p>
    <w:p w14:paraId="0F21AFD8" w14:textId="77777777" w:rsidR="004B2E7C" w:rsidRPr="00882F59" w:rsidRDefault="004B2E7C" w:rsidP="00434A6A">
      <w:pPr>
        <w:ind w:left="360"/>
        <w:rPr>
          <w:u w:val="dotted"/>
        </w:rPr>
      </w:pPr>
      <w:r w:rsidRPr="00882F59">
        <w:rPr>
          <w:rFonts w:hint="cs"/>
          <w:u w:val="dotted"/>
          <w:rtl/>
        </w:rPr>
        <w:t>ומה הדין אם אין שם בי דואר וגם לא קצץ:</w:t>
      </w:r>
    </w:p>
    <w:p w14:paraId="1A63AA1E" w14:textId="77777777" w:rsidR="004B2E7C" w:rsidRDefault="004B2E7C" w:rsidP="00FF2D21">
      <w:pPr>
        <w:pStyle w:val="aa"/>
        <w:numPr>
          <w:ilvl w:val="0"/>
          <w:numId w:val="105"/>
        </w:numPr>
        <w:rPr>
          <w:rtl/>
        </w:rPr>
      </w:pPr>
      <w:r>
        <w:rPr>
          <w:rFonts w:cs="Arial" w:hint="cs"/>
          <w:rtl/>
        </w:rPr>
        <w:t>רמב"ם</w:t>
      </w:r>
      <w:r>
        <w:rPr>
          <w:rFonts w:cs="Arial" w:hint="cs"/>
          <w:sz w:val="16"/>
          <w:szCs w:val="16"/>
          <w:rtl/>
        </w:rPr>
        <w:t xml:space="preserve"> (שם)</w:t>
      </w:r>
      <w:r>
        <w:rPr>
          <w:rFonts w:cs="Arial" w:hint="cs"/>
          <w:rtl/>
        </w:rPr>
        <w:t xml:space="preserve">- </w:t>
      </w:r>
      <w:r w:rsidRPr="00295EC8">
        <w:rPr>
          <w:rFonts w:cs="Arial"/>
          <w:rtl/>
        </w:rPr>
        <w:t xml:space="preserve">ואם אין שם אדם קבוע לכך אלא הגוי שנותנין לו האגרת הוא שמוליכה לעיר אחרת </w:t>
      </w:r>
      <w:r>
        <w:rPr>
          <w:rFonts w:cs="Arial" w:hint="cs"/>
          <w:rtl/>
        </w:rPr>
        <w:t xml:space="preserve">- </w:t>
      </w:r>
      <w:r w:rsidRPr="00552E6D">
        <w:rPr>
          <w:rFonts w:cs="Arial"/>
          <w:rtl/>
        </w:rPr>
        <w:t xml:space="preserve">אסור לשלוח ביד גוי האגרת </w:t>
      </w:r>
      <w:r w:rsidRPr="00295EC8">
        <w:rPr>
          <w:rFonts w:cs="Arial"/>
          <w:b/>
          <w:bCs/>
          <w:rtl/>
        </w:rPr>
        <w:t>לעולם</w:t>
      </w:r>
      <w:r w:rsidRPr="00552E6D">
        <w:rPr>
          <w:rFonts w:cs="Arial"/>
          <w:rtl/>
        </w:rPr>
        <w:t xml:space="preserve"> אלא אם כן קצץ לו דמים</w:t>
      </w:r>
      <w:r>
        <w:rPr>
          <w:rStyle w:val="a9"/>
          <w:rFonts w:cs="Arial"/>
          <w:rtl/>
        </w:rPr>
        <w:footnoteReference w:id="158"/>
      </w:r>
      <w:r w:rsidRPr="00552E6D">
        <w:rPr>
          <w:rFonts w:cs="Arial"/>
          <w:rtl/>
        </w:rPr>
        <w:t>.</w:t>
      </w:r>
      <w:r>
        <w:rPr>
          <w:rFonts w:hint="cs"/>
          <w:rtl/>
        </w:rPr>
        <w:t xml:space="preserve"> </w:t>
      </w:r>
      <w:r w:rsidRPr="00ED4352">
        <w:rPr>
          <w:rFonts w:hint="cs"/>
          <w:color w:val="E36C0A" w:themeColor="accent6" w:themeShade="BF"/>
          <w:rtl/>
        </w:rPr>
        <w:t>(וכ"פ בשו"ע)</w:t>
      </w:r>
    </w:p>
    <w:p w14:paraId="7C8200A9" w14:textId="77777777" w:rsidR="004B2E7C" w:rsidRPr="00295EC8" w:rsidRDefault="004B2E7C" w:rsidP="00FF2D21">
      <w:pPr>
        <w:pStyle w:val="aa"/>
        <w:numPr>
          <w:ilvl w:val="0"/>
          <w:numId w:val="105"/>
        </w:numPr>
      </w:pPr>
      <w:r w:rsidRPr="00074C87">
        <w:rPr>
          <w:rFonts w:cs="Arial"/>
          <w:rtl/>
        </w:rPr>
        <w:t xml:space="preserve">רא"ש </w:t>
      </w:r>
      <w:r w:rsidRPr="00D617AB">
        <w:rPr>
          <w:rFonts w:cs="Arial" w:hint="cs"/>
          <w:sz w:val="16"/>
          <w:szCs w:val="16"/>
          <w:rtl/>
        </w:rPr>
        <w:t>(</w:t>
      </w:r>
      <w:r w:rsidRPr="00D617AB">
        <w:rPr>
          <w:rFonts w:cs="Arial"/>
          <w:sz w:val="16"/>
          <w:szCs w:val="16"/>
          <w:rtl/>
        </w:rPr>
        <w:t>פ"ק דשבת סוס"י לו)</w:t>
      </w:r>
      <w:r>
        <w:rPr>
          <w:rFonts w:cs="Arial" w:hint="cs"/>
          <w:rtl/>
        </w:rPr>
        <w:t xml:space="preserve"> </w:t>
      </w:r>
      <w:r w:rsidRPr="00526215">
        <w:rPr>
          <w:rFonts w:cs="Arial" w:hint="cs"/>
          <w:rtl/>
        </w:rPr>
        <w:t>טור</w:t>
      </w:r>
      <w:r>
        <w:rPr>
          <w:rFonts w:cs="Arial" w:hint="cs"/>
          <w:rtl/>
        </w:rPr>
        <w:t xml:space="preserve"> ור"ן</w:t>
      </w:r>
      <w:r>
        <w:rPr>
          <w:rFonts w:cs="Arial" w:hint="cs"/>
          <w:sz w:val="16"/>
          <w:szCs w:val="16"/>
          <w:rtl/>
        </w:rPr>
        <w:t xml:space="preserve"> (כ"כ הב"י בשמו [בסי' רנב סע' ב])</w:t>
      </w:r>
      <w:r>
        <w:rPr>
          <w:rFonts w:cs="Arial" w:hint="cs"/>
          <w:rtl/>
        </w:rPr>
        <w:t xml:space="preserve">- </w:t>
      </w:r>
      <w:r w:rsidRPr="00526215">
        <w:rPr>
          <w:rFonts w:cs="Arial"/>
          <w:rtl/>
        </w:rPr>
        <w:t xml:space="preserve">ואם אין אדם ידוע בעיר לקבל הכתבים </w:t>
      </w:r>
      <w:r>
        <w:rPr>
          <w:rFonts w:cs="Arial" w:hint="cs"/>
          <w:rtl/>
        </w:rPr>
        <w:t xml:space="preserve">- </w:t>
      </w:r>
      <w:r w:rsidRPr="00526215">
        <w:rPr>
          <w:rFonts w:cs="Arial"/>
          <w:rtl/>
        </w:rPr>
        <w:t>אין משלחין אותו בע"ש אא"כ קצץ</w:t>
      </w:r>
      <w:r>
        <w:rPr>
          <w:rFonts w:cs="Arial" w:hint="cs"/>
          <w:rtl/>
        </w:rPr>
        <w:t>,</w:t>
      </w:r>
      <w:r w:rsidRPr="00526215">
        <w:rPr>
          <w:rFonts w:cs="Arial"/>
          <w:rtl/>
        </w:rPr>
        <w:t xml:space="preserve"> </w:t>
      </w:r>
      <w:r w:rsidRPr="0048141A">
        <w:rPr>
          <w:rFonts w:cs="Arial"/>
          <w:rtl/>
        </w:rPr>
        <w:t xml:space="preserve">ובד' ובה' </w:t>
      </w:r>
      <w:r>
        <w:rPr>
          <w:rFonts w:cs="Arial"/>
          <w:rtl/>
        </w:rPr>
        <w:t>–</w:t>
      </w:r>
      <w:r>
        <w:rPr>
          <w:rFonts w:cs="Arial" w:hint="cs"/>
          <w:rtl/>
        </w:rPr>
        <w:t xml:space="preserve"> </w:t>
      </w:r>
      <w:r w:rsidRPr="0048141A">
        <w:rPr>
          <w:rFonts w:cs="Arial"/>
          <w:rtl/>
        </w:rPr>
        <w:t>מותר</w:t>
      </w:r>
      <w:r>
        <w:rPr>
          <w:rFonts w:cs="Arial" w:hint="cs"/>
          <w:sz w:val="16"/>
          <w:szCs w:val="16"/>
          <w:rtl/>
        </w:rPr>
        <w:t xml:space="preserve"> (ל' הטור)</w:t>
      </w:r>
      <w:r w:rsidRPr="0048141A">
        <w:rPr>
          <w:rFonts w:cs="Arial" w:hint="cs"/>
          <w:rtl/>
        </w:rPr>
        <w:t>.</w:t>
      </w:r>
      <w:r w:rsidRPr="0048141A">
        <w:rPr>
          <w:rFonts w:cs="Arial"/>
          <w:rtl/>
        </w:rPr>
        <w:t xml:space="preserve"> </w:t>
      </w:r>
      <w:r w:rsidRPr="00295EC8">
        <w:rPr>
          <w:rFonts w:hint="cs"/>
          <w:color w:val="00B0F0"/>
          <w:rtl/>
        </w:rPr>
        <w:t>(וכ"פ הרמ"א)</w:t>
      </w:r>
    </w:p>
    <w:p w14:paraId="22604357" w14:textId="77777777" w:rsidR="004B2E7C" w:rsidRPr="00295EC8" w:rsidRDefault="004B2E7C" w:rsidP="00434A6A">
      <w:pPr>
        <w:rPr>
          <w:u w:val="single"/>
        </w:rPr>
      </w:pPr>
      <w:r>
        <w:rPr>
          <w:rFonts w:hint="cs"/>
          <w:u w:val="single"/>
          <w:rtl/>
        </w:rPr>
        <w:t>ישראל שק</w:t>
      </w:r>
      <w:r w:rsidRPr="00295EC8">
        <w:rPr>
          <w:rFonts w:hint="cs"/>
          <w:u w:val="single"/>
          <w:rtl/>
        </w:rPr>
        <w:t>צץ ע</w:t>
      </w:r>
      <w:r>
        <w:rPr>
          <w:rFonts w:hint="cs"/>
          <w:u w:val="single"/>
          <w:rtl/>
        </w:rPr>
        <w:t>ם הגוי</w:t>
      </w:r>
      <w:r w:rsidRPr="00295EC8">
        <w:rPr>
          <w:rFonts w:hint="cs"/>
          <w:u w:val="single"/>
          <w:rtl/>
        </w:rPr>
        <w:t xml:space="preserve"> שכר </w:t>
      </w:r>
      <w:r>
        <w:rPr>
          <w:rFonts w:hint="cs"/>
          <w:u w:val="single"/>
          <w:rtl/>
        </w:rPr>
        <w:t xml:space="preserve">ואמר לו </w:t>
      </w:r>
      <w:r w:rsidRPr="00295EC8">
        <w:rPr>
          <w:rFonts w:hint="cs"/>
          <w:u w:val="single"/>
          <w:rtl/>
        </w:rPr>
        <w:t>לילך בשבת:</w:t>
      </w:r>
    </w:p>
    <w:p w14:paraId="62042277" w14:textId="77777777" w:rsidR="004B2E7C" w:rsidRDefault="004B2E7C" w:rsidP="00FF2D21">
      <w:pPr>
        <w:pStyle w:val="aa"/>
        <w:numPr>
          <w:ilvl w:val="0"/>
          <w:numId w:val="105"/>
        </w:numPr>
      </w:pPr>
      <w:r w:rsidRPr="00295EC8">
        <w:rPr>
          <w:rFonts w:cs="Arial"/>
          <w:rtl/>
        </w:rPr>
        <w:t xml:space="preserve">מהר"י אבוהב </w:t>
      </w:r>
      <w:r>
        <w:rPr>
          <w:rFonts w:cs="Arial" w:hint="cs"/>
          <w:sz w:val="16"/>
          <w:szCs w:val="16"/>
          <w:rtl/>
        </w:rPr>
        <w:t xml:space="preserve">(כ"כ הב"י בשמו) </w:t>
      </w:r>
      <w:r w:rsidRPr="00295EC8">
        <w:rPr>
          <w:rFonts w:cs="Arial"/>
          <w:rtl/>
        </w:rPr>
        <w:t>בשם הרשב"א</w:t>
      </w:r>
      <w:r w:rsidRPr="00295EC8">
        <w:rPr>
          <w:rFonts w:cs="Arial" w:hint="cs"/>
          <w:rtl/>
        </w:rPr>
        <w:t xml:space="preserve">- </w:t>
      </w:r>
      <w:r w:rsidRPr="00295EC8">
        <w:rPr>
          <w:rFonts w:cs="Arial"/>
          <w:rtl/>
        </w:rPr>
        <w:t>אם קצץ ואמר לילך בשבת אסור</w:t>
      </w:r>
      <w:r>
        <w:rPr>
          <w:rStyle w:val="a9"/>
          <w:rFonts w:cs="Arial"/>
          <w:rtl/>
        </w:rPr>
        <w:footnoteReference w:id="159"/>
      </w:r>
      <w:r w:rsidRPr="00295EC8">
        <w:rPr>
          <w:rFonts w:cs="Arial" w:hint="cs"/>
          <w:rtl/>
        </w:rPr>
        <w:t>.</w:t>
      </w:r>
      <w:r w:rsidRPr="00295EC8">
        <w:rPr>
          <w:rFonts w:cs="Arial"/>
          <w:rtl/>
        </w:rPr>
        <w:t xml:space="preserve"> </w:t>
      </w:r>
      <w:r w:rsidRPr="00ED4352">
        <w:rPr>
          <w:rFonts w:hint="cs"/>
          <w:color w:val="E36C0A" w:themeColor="accent6" w:themeShade="BF"/>
          <w:rtl/>
        </w:rPr>
        <w:t>(וכ"פ בשו"ע)</w:t>
      </w:r>
    </w:p>
    <w:p w14:paraId="53AB2278" w14:textId="77777777" w:rsidR="004B2E7C" w:rsidRPr="00FA60EF" w:rsidRDefault="004B2E7C" w:rsidP="00434A6A">
      <w:pPr>
        <w:ind w:left="360"/>
        <w:rPr>
          <w:u w:val="dotted"/>
        </w:rPr>
      </w:pPr>
      <w:r w:rsidRPr="00FA60EF">
        <w:rPr>
          <w:rFonts w:hint="cs"/>
          <w:u w:val="dotted"/>
          <w:rtl/>
        </w:rPr>
        <w:t>ומה הדין אם לא אמר לו הישראל לילך בשבת אלא הגוי מעצמו אמר שילך בשבת:</w:t>
      </w:r>
    </w:p>
    <w:p w14:paraId="67563D5E" w14:textId="77777777" w:rsidR="004B2E7C" w:rsidRPr="00526215" w:rsidRDefault="004B2E7C" w:rsidP="00FF2D21">
      <w:pPr>
        <w:pStyle w:val="aa"/>
        <w:numPr>
          <w:ilvl w:val="0"/>
          <w:numId w:val="105"/>
        </w:numPr>
        <w:rPr>
          <w:rtl/>
        </w:rPr>
      </w:pPr>
      <w:r>
        <w:rPr>
          <w:rFonts w:cs="Arial" w:hint="cs"/>
          <w:rtl/>
        </w:rPr>
        <w:t xml:space="preserve">ב"י- </w:t>
      </w:r>
      <w:r w:rsidRPr="00295EC8">
        <w:rPr>
          <w:rFonts w:cs="Arial"/>
          <w:rtl/>
        </w:rPr>
        <w:t>ונראה לי דהיינו דוקא כשקצץ הישראל עמו לילך בשבת</w:t>
      </w:r>
      <w:r>
        <w:rPr>
          <w:rFonts w:cs="Arial" w:hint="cs"/>
          <w:rtl/>
        </w:rPr>
        <w:t>,</w:t>
      </w:r>
      <w:r w:rsidRPr="00295EC8">
        <w:rPr>
          <w:rFonts w:cs="Arial"/>
          <w:rtl/>
        </w:rPr>
        <w:t xml:space="preserve"> אבל אם הגוי מעצמו אמר לילך בשבת </w:t>
      </w:r>
      <w:r>
        <w:rPr>
          <w:rFonts w:cs="Arial" w:hint="cs"/>
          <w:rtl/>
        </w:rPr>
        <w:t xml:space="preserve">- </w:t>
      </w:r>
      <w:r w:rsidRPr="00295EC8">
        <w:rPr>
          <w:rFonts w:cs="Arial"/>
          <w:rtl/>
        </w:rPr>
        <w:t>שרי דבדידיה קא טרח כדי שיטול שכר</w:t>
      </w:r>
      <w:r>
        <w:rPr>
          <w:rFonts w:cs="Arial" w:hint="cs"/>
          <w:rtl/>
        </w:rPr>
        <w:t>,</w:t>
      </w:r>
      <w:r w:rsidRPr="00295EC8">
        <w:rPr>
          <w:rFonts w:cs="Arial"/>
          <w:rtl/>
        </w:rPr>
        <w:t xml:space="preserve"> וכיון שהישראל לא צוהו שילך בשבת שרי</w:t>
      </w:r>
      <w:r w:rsidRPr="00295EC8">
        <w:rPr>
          <w:rFonts w:cs="Arial" w:hint="cs"/>
          <w:rtl/>
        </w:rPr>
        <w:t>.</w:t>
      </w:r>
      <w:r>
        <w:rPr>
          <w:rFonts w:hint="cs"/>
          <w:rtl/>
        </w:rPr>
        <w:t xml:space="preserve"> (וכ"פ המשנ"ב</w:t>
      </w:r>
      <w:r>
        <w:rPr>
          <w:rFonts w:hint="cs"/>
          <w:sz w:val="16"/>
          <w:szCs w:val="16"/>
          <w:rtl/>
        </w:rPr>
        <w:t xml:space="preserve"> [סק"ג]</w:t>
      </w:r>
      <w:r>
        <w:rPr>
          <w:rFonts w:hint="cs"/>
          <w:rtl/>
        </w:rPr>
        <w:t>)</w:t>
      </w:r>
    </w:p>
    <w:p w14:paraId="727D2EF0"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77EADB0" w14:textId="77777777" w:rsidR="004B2E7C" w:rsidRDefault="004B2E7C" w:rsidP="00434A6A">
      <w:pPr>
        <w:rPr>
          <w:rtl/>
        </w:rPr>
      </w:pPr>
      <w:r>
        <w:rPr>
          <w:rFonts w:cs="Arial"/>
          <w:rtl/>
        </w:rPr>
        <w:t>שולח אדם אגרת</w:t>
      </w:r>
      <w:r>
        <w:rPr>
          <w:rStyle w:val="a9"/>
          <w:rFonts w:cs="Arial"/>
          <w:rtl/>
        </w:rPr>
        <w:footnoteReference w:id="160"/>
      </w:r>
      <w:r>
        <w:rPr>
          <w:rFonts w:cs="Arial"/>
          <w:rtl/>
        </w:rPr>
        <w:t xml:space="preserve"> ביד גוי, ואפילו בערב שבת עם חשיכה</w:t>
      </w:r>
      <w:r>
        <w:rPr>
          <w:rFonts w:cs="Arial" w:hint="cs"/>
          <w:rtl/>
        </w:rPr>
        <w:t>,</w:t>
      </w:r>
      <w:r>
        <w:rPr>
          <w:rFonts w:cs="Arial"/>
          <w:rtl/>
        </w:rPr>
        <w:t xml:space="preserve"> והוא שקצץ לו דמים, ובלבד שלא יאמר לו שילך בשבת</w:t>
      </w:r>
      <w:r>
        <w:rPr>
          <w:rStyle w:val="a9"/>
          <w:rFonts w:cs="Arial"/>
          <w:rtl/>
        </w:rPr>
        <w:footnoteReference w:id="161"/>
      </w:r>
      <w:r>
        <w:rPr>
          <w:rFonts w:cs="Arial" w:hint="cs"/>
          <w:rtl/>
        </w:rPr>
        <w:t>.</w:t>
      </w:r>
      <w:r>
        <w:rPr>
          <w:rFonts w:cs="Arial"/>
          <w:rtl/>
        </w:rPr>
        <w:t xml:space="preserve"> ואם לא קצץ, אי לא קביע בי דואר במתא</w:t>
      </w:r>
      <w:r>
        <w:rPr>
          <w:rStyle w:val="a9"/>
          <w:rFonts w:cs="Arial"/>
          <w:rtl/>
        </w:rPr>
        <w:footnoteReference w:id="162"/>
      </w:r>
      <w:r>
        <w:rPr>
          <w:rFonts w:cs="Arial"/>
          <w:rtl/>
        </w:rPr>
        <w:t>, אסור</w:t>
      </w:r>
      <w:r>
        <w:rPr>
          <w:rStyle w:val="a9"/>
          <w:rFonts w:cs="Arial"/>
          <w:rtl/>
        </w:rPr>
        <w:footnoteReference w:id="163"/>
      </w:r>
      <w:r>
        <w:rPr>
          <w:rFonts w:cs="Arial"/>
          <w:rtl/>
        </w:rPr>
        <w:t xml:space="preserve"> לשלוח אפילו מיום ראשון</w:t>
      </w:r>
      <w:r>
        <w:rPr>
          <w:rStyle w:val="a9"/>
          <w:rFonts w:cs="Arial"/>
          <w:rtl/>
        </w:rPr>
        <w:footnoteReference w:id="164"/>
      </w:r>
      <w:r>
        <w:rPr>
          <w:rFonts w:cs="Arial" w:hint="cs"/>
          <w:rtl/>
        </w:rPr>
        <w:t>.</w:t>
      </w:r>
      <w:r>
        <w:rPr>
          <w:rFonts w:cs="Arial"/>
          <w:rtl/>
        </w:rPr>
        <w:t xml:space="preserve"> ואי קביע בי דואר במתא, משלחן אפילו בערב שבת</w:t>
      </w:r>
      <w:r>
        <w:rPr>
          <w:rFonts w:cs="Arial" w:hint="cs"/>
          <w:rtl/>
        </w:rPr>
        <w:t>,</w:t>
      </w:r>
      <w:r>
        <w:rPr>
          <w:rFonts w:cs="Arial"/>
          <w:rtl/>
        </w:rPr>
        <w:t xml:space="preserve"> והוא שיהא שהות ביום כדי שיוכל להגיע לבית הסמוך לחומה. </w:t>
      </w:r>
      <w:r w:rsidRPr="00526215">
        <w:rPr>
          <w:rFonts w:cs="Arial"/>
          <w:sz w:val="18"/>
          <w:szCs w:val="18"/>
          <w:rtl/>
        </w:rPr>
        <w:t>הגה: ויש מתירין</w:t>
      </w:r>
      <w:r>
        <w:rPr>
          <w:rStyle w:val="a9"/>
          <w:rFonts w:cs="Arial"/>
          <w:sz w:val="18"/>
          <w:szCs w:val="18"/>
          <w:rtl/>
        </w:rPr>
        <w:footnoteReference w:id="165"/>
      </w:r>
      <w:r w:rsidRPr="00526215">
        <w:rPr>
          <w:rFonts w:cs="Arial"/>
          <w:sz w:val="18"/>
          <w:szCs w:val="18"/>
          <w:rtl/>
        </w:rPr>
        <w:t xml:space="preserve"> אפילו לא קצץ ואפי</w:t>
      </w:r>
      <w:r>
        <w:rPr>
          <w:rFonts w:cs="Arial" w:hint="cs"/>
          <w:sz w:val="18"/>
          <w:szCs w:val="18"/>
          <w:rtl/>
        </w:rPr>
        <w:t>לו</w:t>
      </w:r>
      <w:r w:rsidRPr="00526215">
        <w:rPr>
          <w:rFonts w:cs="Arial"/>
          <w:sz w:val="18"/>
          <w:szCs w:val="18"/>
          <w:rtl/>
        </w:rPr>
        <w:t xml:space="preserve"> לא קביע בי דואר במתא</w:t>
      </w:r>
      <w:r>
        <w:rPr>
          <w:rStyle w:val="a9"/>
          <w:rFonts w:cs="Arial"/>
          <w:sz w:val="18"/>
          <w:szCs w:val="18"/>
          <w:rtl/>
        </w:rPr>
        <w:footnoteReference w:id="166"/>
      </w:r>
      <w:r w:rsidRPr="00526215">
        <w:rPr>
          <w:rFonts w:cs="Arial"/>
          <w:sz w:val="18"/>
          <w:szCs w:val="18"/>
          <w:rtl/>
        </w:rPr>
        <w:t>, אם משלחו ביום ה' או קודם לכן</w:t>
      </w:r>
      <w:r>
        <w:rPr>
          <w:rFonts w:cs="Arial" w:hint="cs"/>
          <w:sz w:val="18"/>
          <w:szCs w:val="18"/>
          <w:rtl/>
        </w:rPr>
        <w:t>.</w:t>
      </w:r>
      <w:r w:rsidRPr="00526215">
        <w:rPr>
          <w:rFonts w:cs="Arial"/>
          <w:sz w:val="18"/>
          <w:szCs w:val="18"/>
          <w:rtl/>
        </w:rPr>
        <w:t xml:space="preserve"> ויש לסמוך עלייהו אם צריכים לכך. </w:t>
      </w:r>
    </w:p>
    <w:p w14:paraId="61DA268E" w14:textId="77777777" w:rsidR="004B2E7C" w:rsidRDefault="004B2E7C" w:rsidP="00434A6A">
      <w:pPr>
        <w:rPr>
          <w:rtl/>
        </w:rPr>
      </w:pPr>
    </w:p>
    <w:p w14:paraId="09060BD4" w14:textId="77777777" w:rsidR="004B2E7C" w:rsidRDefault="004B2E7C" w:rsidP="00434A6A">
      <w:pPr>
        <w:pStyle w:val="2"/>
        <w:rPr>
          <w:rtl/>
        </w:rPr>
      </w:pPr>
      <w:r>
        <w:rPr>
          <w:rtl/>
        </w:rPr>
        <w:t>סעיף ב</w:t>
      </w:r>
      <w:r>
        <w:rPr>
          <w:rFonts w:hint="cs"/>
          <w:rtl/>
        </w:rPr>
        <w:t>: מה נקרא קציצת שכר.</w:t>
      </w:r>
    </w:p>
    <w:p w14:paraId="48006941" w14:textId="77777777" w:rsidR="004B2E7C" w:rsidRDefault="004B2E7C" w:rsidP="00434A6A">
      <w:pPr>
        <w:rPr>
          <w:rtl/>
        </w:rPr>
      </w:pPr>
      <w:r w:rsidRPr="00DE37AA">
        <w:rPr>
          <w:rFonts w:cs="Arial" w:hint="cs"/>
          <w:b/>
          <w:bCs/>
          <w:rtl/>
        </w:rPr>
        <w:t xml:space="preserve">שבת </w:t>
      </w:r>
      <w:r w:rsidRPr="00DE37AA">
        <w:rPr>
          <w:rFonts w:cs="Arial" w:hint="cs"/>
          <w:b/>
          <w:bCs/>
          <w:sz w:val="16"/>
          <w:szCs w:val="16"/>
          <w:rtl/>
        </w:rPr>
        <w:t xml:space="preserve">(פ"ק) </w:t>
      </w:r>
      <w:r w:rsidRPr="00DE37AA">
        <w:rPr>
          <w:rFonts w:cs="Arial" w:hint="cs"/>
          <w:b/>
          <w:bCs/>
          <w:rtl/>
        </w:rPr>
        <w:t>י</w:t>
      </w:r>
      <w:r>
        <w:rPr>
          <w:rFonts w:cs="Arial" w:hint="cs"/>
          <w:b/>
          <w:bCs/>
          <w:rtl/>
        </w:rPr>
        <w:t>ט</w:t>
      </w:r>
      <w:r w:rsidRPr="00DE37AA">
        <w:rPr>
          <w:rFonts w:cs="Arial" w:hint="cs"/>
          <w:b/>
          <w:bCs/>
          <w:rtl/>
        </w:rPr>
        <w:t xml:space="preserve"> ע"א:</w:t>
      </w:r>
      <w:r>
        <w:rPr>
          <w:rFonts w:cs="Arial" w:hint="cs"/>
          <w:rtl/>
        </w:rPr>
        <w:t xml:space="preserve"> </w:t>
      </w:r>
      <w:r w:rsidRPr="007D58F8">
        <w:rPr>
          <w:rFonts w:cs="Arial"/>
          <w:rtl/>
        </w:rPr>
        <w:t xml:space="preserve">תנו רבנן: אין משלחין איגרת ביד נכרי ערב שבת, אלא אם כן קוצץ לו דמים. </w:t>
      </w:r>
    </w:p>
    <w:p w14:paraId="52D2C704" w14:textId="77777777" w:rsidR="004B2E7C" w:rsidRPr="0058021E" w:rsidRDefault="004B2E7C" w:rsidP="00434A6A">
      <w:pPr>
        <w:rPr>
          <w:u w:val="single"/>
          <w:rtl/>
        </w:rPr>
      </w:pPr>
      <w:r w:rsidRPr="0058021E">
        <w:rPr>
          <w:rFonts w:hint="cs"/>
          <w:u w:val="single"/>
          <w:rtl/>
        </w:rPr>
        <w:t>מה נקרא קציצת שכר:</w:t>
      </w:r>
    </w:p>
    <w:p w14:paraId="7B29CD93" w14:textId="77777777" w:rsidR="004B2E7C" w:rsidRPr="00526215" w:rsidRDefault="004B2E7C" w:rsidP="00FF2D21">
      <w:pPr>
        <w:pStyle w:val="aa"/>
        <w:numPr>
          <w:ilvl w:val="0"/>
          <w:numId w:val="105"/>
        </w:numPr>
        <w:rPr>
          <w:rtl/>
        </w:rPr>
      </w:pPr>
      <w:r w:rsidRPr="00304E94">
        <w:rPr>
          <w:rFonts w:cs="Arial"/>
          <w:rtl/>
        </w:rPr>
        <w:t>רשב"א</w:t>
      </w:r>
      <w:r w:rsidRPr="00304E94">
        <w:rPr>
          <w:rFonts w:cs="Arial"/>
          <w:sz w:val="16"/>
          <w:szCs w:val="16"/>
          <w:rtl/>
        </w:rPr>
        <w:t xml:space="preserve"> (ח"ג סי' שסח)</w:t>
      </w:r>
      <w:r>
        <w:rPr>
          <w:rFonts w:cs="Arial" w:hint="cs"/>
          <w:rtl/>
        </w:rPr>
        <w:t>-</w:t>
      </w:r>
      <w:r w:rsidRPr="00304E94">
        <w:rPr>
          <w:rFonts w:cs="Arial"/>
          <w:rtl/>
        </w:rPr>
        <w:t xml:space="preserve"> שאלת</w:t>
      </w:r>
      <w:r>
        <w:rPr>
          <w:rFonts w:cs="Arial" w:hint="cs"/>
          <w:rtl/>
        </w:rPr>
        <w:t>,</w:t>
      </w:r>
      <w:r w:rsidRPr="00304E94">
        <w:rPr>
          <w:rFonts w:cs="Arial"/>
          <w:rtl/>
        </w:rPr>
        <w:t xml:space="preserve"> קצץ האמור בפרק קמא דשבת</w:t>
      </w:r>
      <w:r>
        <w:rPr>
          <w:rFonts w:cs="Arial" w:hint="cs"/>
          <w:rtl/>
        </w:rPr>
        <w:t>,</w:t>
      </w:r>
      <w:r w:rsidRPr="00304E94">
        <w:rPr>
          <w:rFonts w:cs="Arial"/>
          <w:rtl/>
        </w:rPr>
        <w:t xml:space="preserve"> מהו</w:t>
      </w:r>
      <w:r>
        <w:rPr>
          <w:rFonts w:cs="Arial" w:hint="cs"/>
          <w:rtl/>
        </w:rPr>
        <w:t>.</w:t>
      </w:r>
      <w:r w:rsidRPr="00304E94">
        <w:rPr>
          <w:rFonts w:cs="Arial"/>
          <w:rtl/>
        </w:rPr>
        <w:t xml:space="preserve"> שאני סבור דלא סוף דבר קצץ בתחלה שיאמר </w:t>
      </w:r>
      <w:r>
        <w:rPr>
          <w:rFonts w:cs="Arial" w:hint="cs"/>
          <w:rtl/>
        </w:rPr>
        <w:t>'</w:t>
      </w:r>
      <w:r w:rsidRPr="00304E94">
        <w:rPr>
          <w:rFonts w:cs="Arial"/>
          <w:rtl/>
        </w:rPr>
        <w:t>כך וכך אתן לך</w:t>
      </w:r>
      <w:r>
        <w:rPr>
          <w:rFonts w:cs="Arial" w:hint="cs"/>
          <w:rtl/>
        </w:rPr>
        <w:t>',</w:t>
      </w:r>
      <w:r w:rsidRPr="00304E94">
        <w:rPr>
          <w:rFonts w:cs="Arial"/>
          <w:rtl/>
        </w:rPr>
        <w:t xml:space="preserve"> אלא כל שעושה על מנת לפורעו</w:t>
      </w:r>
      <w:r>
        <w:rPr>
          <w:rFonts w:cs="Arial" w:hint="cs"/>
          <w:rtl/>
        </w:rPr>
        <w:t>,</w:t>
      </w:r>
      <w:r w:rsidRPr="00304E94">
        <w:rPr>
          <w:rFonts w:cs="Arial"/>
          <w:rtl/>
        </w:rPr>
        <w:t xml:space="preserve"> אף על פי שלבסוף יתפשר עמו </w:t>
      </w:r>
      <w:r>
        <w:rPr>
          <w:rFonts w:cs="Arial" w:hint="cs"/>
          <w:rtl/>
        </w:rPr>
        <w:t xml:space="preserve">- </w:t>
      </w:r>
      <w:r w:rsidRPr="00304E94">
        <w:rPr>
          <w:rFonts w:cs="Arial"/>
          <w:rtl/>
        </w:rPr>
        <w:t>מותר</w:t>
      </w:r>
      <w:r>
        <w:rPr>
          <w:rFonts w:cs="Arial" w:hint="cs"/>
          <w:rtl/>
        </w:rPr>
        <w:t>,</w:t>
      </w:r>
      <w:r w:rsidRPr="00304E94">
        <w:rPr>
          <w:rFonts w:cs="Arial"/>
          <w:rtl/>
        </w:rPr>
        <w:t xml:space="preserve"> דכי עסיק בדידיה קא עסיק</w:t>
      </w:r>
      <w:r>
        <w:rPr>
          <w:rFonts w:cs="Arial" w:hint="cs"/>
          <w:rtl/>
        </w:rPr>
        <w:t>.</w:t>
      </w:r>
      <w:r w:rsidRPr="00304E94">
        <w:rPr>
          <w:rFonts w:cs="Arial"/>
          <w:rtl/>
        </w:rPr>
        <w:t xml:space="preserve"> ולא אתא אלא למעוטי שכיר לשנה או לחודש דלא מתהני גוי</w:t>
      </w:r>
      <w:r>
        <w:rPr>
          <w:rFonts w:cs="Arial" w:hint="cs"/>
          <w:rtl/>
        </w:rPr>
        <w:t>,</w:t>
      </w:r>
      <w:r w:rsidRPr="00304E94">
        <w:rPr>
          <w:rFonts w:cs="Arial"/>
          <w:rtl/>
        </w:rPr>
        <w:t xml:space="preserve"> ובדישראל קא עסיק. </w:t>
      </w:r>
      <w:r>
        <w:rPr>
          <w:rFonts w:cs="Arial" w:hint="cs"/>
          <w:rtl/>
        </w:rPr>
        <w:t xml:space="preserve">   </w:t>
      </w:r>
      <w:r w:rsidRPr="00304E94">
        <w:rPr>
          <w:rFonts w:cs="Arial"/>
          <w:rtl/>
        </w:rPr>
        <w:t>תשובה</w:t>
      </w:r>
      <w:r>
        <w:rPr>
          <w:rFonts w:cs="Arial" w:hint="cs"/>
          <w:rtl/>
        </w:rPr>
        <w:t>-</w:t>
      </w:r>
      <w:r w:rsidRPr="00304E94">
        <w:rPr>
          <w:rFonts w:cs="Arial"/>
          <w:rtl/>
        </w:rPr>
        <w:t xml:space="preserve"> איברא לאו קצץ ממש קאמר</w:t>
      </w:r>
      <w:r>
        <w:rPr>
          <w:rFonts w:cs="Arial" w:hint="cs"/>
          <w:rtl/>
        </w:rPr>
        <w:t>,</w:t>
      </w:r>
      <w:r w:rsidRPr="00304E94">
        <w:rPr>
          <w:rFonts w:cs="Arial"/>
          <w:rtl/>
        </w:rPr>
        <w:t xml:space="preserve"> ומיהו מסתברא שקצץ או שהתנה עמו שיתן לו שכרו</w:t>
      </w:r>
      <w:r>
        <w:rPr>
          <w:rFonts w:cs="Arial" w:hint="cs"/>
          <w:rtl/>
        </w:rPr>
        <w:t>,</w:t>
      </w:r>
      <w:r w:rsidRPr="00304E94">
        <w:rPr>
          <w:rFonts w:cs="Arial"/>
          <w:rtl/>
        </w:rPr>
        <w:t xml:space="preserve"> דהשתא בדידיה קא עסיק</w:t>
      </w:r>
      <w:r>
        <w:rPr>
          <w:rFonts w:cs="Arial" w:hint="cs"/>
          <w:rtl/>
        </w:rPr>
        <w:t>.</w:t>
      </w:r>
      <w:r w:rsidRPr="00304E94">
        <w:rPr>
          <w:rFonts w:cs="Arial"/>
          <w:rtl/>
        </w:rPr>
        <w:t xml:space="preserve"> אבל בסתם</w:t>
      </w:r>
      <w:r>
        <w:rPr>
          <w:rFonts w:cs="Arial" w:hint="cs"/>
          <w:rtl/>
        </w:rPr>
        <w:t>,</w:t>
      </w:r>
      <w:r w:rsidRPr="00304E94">
        <w:rPr>
          <w:rFonts w:cs="Arial"/>
          <w:rtl/>
        </w:rPr>
        <w:t xml:space="preserve"> לא</w:t>
      </w:r>
      <w:r>
        <w:rPr>
          <w:rFonts w:cs="Arial" w:hint="cs"/>
          <w:rtl/>
        </w:rPr>
        <w:t>.</w:t>
      </w:r>
      <w:r w:rsidRPr="00304E94">
        <w:rPr>
          <w:rFonts w:cs="Arial"/>
          <w:rtl/>
        </w:rPr>
        <w:t xml:space="preserve"> אף על פי שיש בדעת הגוי שיתן לו המשלח או מי שנשתלח לו שכר ויתפשר</w:t>
      </w:r>
      <w:r>
        <w:rPr>
          <w:rFonts w:cs="Arial" w:hint="cs"/>
          <w:rtl/>
        </w:rPr>
        <w:t>.</w:t>
      </w:r>
      <w:r w:rsidRPr="00304E94">
        <w:rPr>
          <w:rFonts w:cs="Arial"/>
          <w:rtl/>
        </w:rPr>
        <w:t xml:space="preserve"> לפי שכל שלא קצץ ולא התנה לו שכר אין דעת הגוי סמוכה בכך</w:t>
      </w:r>
      <w:r>
        <w:rPr>
          <w:rFonts w:cs="Arial" w:hint="cs"/>
          <w:rtl/>
        </w:rPr>
        <w:t>,</w:t>
      </w:r>
      <w:r w:rsidRPr="00304E94">
        <w:rPr>
          <w:rFonts w:cs="Arial"/>
          <w:rtl/>
        </w:rPr>
        <w:t xml:space="preserve"> ובדישראל קא עסיק</w:t>
      </w:r>
      <w:r>
        <w:rPr>
          <w:rFonts w:cs="Arial" w:hint="cs"/>
          <w:rtl/>
        </w:rPr>
        <w:t>.</w:t>
      </w:r>
      <w:r>
        <w:rPr>
          <w:rFonts w:hint="cs"/>
          <w:rtl/>
        </w:rPr>
        <w:t xml:space="preserve"> </w:t>
      </w:r>
      <w:r w:rsidRPr="00ED4352">
        <w:rPr>
          <w:rFonts w:hint="cs"/>
          <w:color w:val="E36C0A" w:themeColor="accent6" w:themeShade="BF"/>
          <w:rtl/>
        </w:rPr>
        <w:t>(וכ"פ בשו"ע)</w:t>
      </w:r>
    </w:p>
    <w:p w14:paraId="0DC07A8A"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C29B69B" w14:textId="77777777" w:rsidR="004B2E7C" w:rsidRDefault="004B2E7C" w:rsidP="00434A6A">
      <w:pPr>
        <w:rPr>
          <w:rtl/>
        </w:rPr>
      </w:pPr>
      <w:r>
        <w:rPr>
          <w:rFonts w:cs="Arial"/>
          <w:rtl/>
        </w:rPr>
        <w:t>אם התנה עמו שיתן לו שכרו, אף על פי שלא פירש כמה יתן לו, דינו כקוצץ, דסמכא דעתיה דגוי ובדידיה קא טרח</w:t>
      </w:r>
      <w:r>
        <w:rPr>
          <w:rFonts w:cs="Arial" w:hint="cs"/>
          <w:rtl/>
        </w:rPr>
        <w:t>.</w:t>
      </w:r>
      <w:r>
        <w:rPr>
          <w:rFonts w:cs="Arial"/>
          <w:rtl/>
        </w:rPr>
        <w:t xml:space="preserve"> אבל בסתם, אף על פי שיש בדעתו</w:t>
      </w:r>
      <w:r>
        <w:rPr>
          <w:rStyle w:val="a9"/>
          <w:rFonts w:cs="Arial"/>
          <w:rtl/>
        </w:rPr>
        <w:footnoteReference w:id="167"/>
      </w:r>
      <w:r>
        <w:rPr>
          <w:rFonts w:cs="Arial"/>
          <w:rtl/>
        </w:rPr>
        <w:t xml:space="preserve"> שיתן לו שכר, אסור, דלא סמכא דעתיה ובדישראל קא טרח. </w:t>
      </w:r>
    </w:p>
    <w:p w14:paraId="574F342B" w14:textId="77777777" w:rsidR="004B2E7C" w:rsidRDefault="004B2E7C" w:rsidP="00434A6A">
      <w:pPr>
        <w:rPr>
          <w:rtl/>
        </w:rPr>
      </w:pPr>
    </w:p>
    <w:p w14:paraId="149149FD" w14:textId="77777777" w:rsidR="004B2E7C" w:rsidRDefault="004B2E7C" w:rsidP="00434A6A">
      <w:pPr>
        <w:pStyle w:val="2"/>
        <w:rPr>
          <w:rtl/>
        </w:rPr>
      </w:pPr>
      <w:r>
        <w:rPr>
          <w:rtl/>
        </w:rPr>
        <w:t>סעיף ג</w:t>
      </w:r>
      <w:r>
        <w:rPr>
          <w:rFonts w:hint="cs"/>
          <w:rtl/>
        </w:rPr>
        <w:t>: ישראל ששכר שליח למספר ימים על מנת לשלח אגרת.</w:t>
      </w:r>
    </w:p>
    <w:p w14:paraId="24D025C2" w14:textId="77777777" w:rsidR="004B2E7C" w:rsidRPr="00526215" w:rsidRDefault="004B2E7C" w:rsidP="00434A6A">
      <w:pPr>
        <w:rPr>
          <w:rtl/>
        </w:rPr>
      </w:pPr>
      <w:r w:rsidRPr="00DE37AA">
        <w:rPr>
          <w:rFonts w:cs="Arial" w:hint="cs"/>
          <w:b/>
          <w:bCs/>
          <w:rtl/>
        </w:rPr>
        <w:t xml:space="preserve">שבת </w:t>
      </w:r>
      <w:r w:rsidRPr="00DE37AA">
        <w:rPr>
          <w:rFonts w:cs="Arial" w:hint="cs"/>
          <w:b/>
          <w:bCs/>
          <w:sz w:val="16"/>
          <w:szCs w:val="16"/>
          <w:rtl/>
        </w:rPr>
        <w:t xml:space="preserve">(פ"ק) </w:t>
      </w:r>
      <w:r w:rsidRPr="00DE37AA">
        <w:rPr>
          <w:rFonts w:cs="Arial" w:hint="cs"/>
          <w:b/>
          <w:bCs/>
          <w:rtl/>
        </w:rPr>
        <w:t>י</w:t>
      </w:r>
      <w:r>
        <w:rPr>
          <w:rFonts w:cs="Arial" w:hint="cs"/>
          <w:b/>
          <w:bCs/>
          <w:rtl/>
        </w:rPr>
        <w:t>ט</w:t>
      </w:r>
      <w:r w:rsidRPr="00DE37AA">
        <w:rPr>
          <w:rFonts w:cs="Arial" w:hint="cs"/>
          <w:b/>
          <w:bCs/>
          <w:rtl/>
        </w:rPr>
        <w:t xml:space="preserve"> ע"א:</w:t>
      </w:r>
      <w:r>
        <w:rPr>
          <w:rFonts w:cs="Arial" w:hint="cs"/>
          <w:rtl/>
        </w:rPr>
        <w:t xml:space="preserve"> </w:t>
      </w:r>
      <w:r w:rsidRPr="007D58F8">
        <w:rPr>
          <w:rFonts w:cs="Arial"/>
          <w:rtl/>
        </w:rPr>
        <w:t>תנו רבנן: לא ישכיר אדם כליו לנכרי בערב שבת, ברביעי ובחמישי מותר. כיוצא בו, אין משלחין איגרות ביד נכרי בערב שבת, ברביעי ובחמישי מותר.</w:t>
      </w:r>
      <w:r w:rsidRPr="00EA0A60">
        <w:rPr>
          <w:rFonts w:cs="Arial"/>
          <w:rtl/>
        </w:rPr>
        <w:t xml:space="preserve"> </w:t>
      </w:r>
      <w:r w:rsidRPr="00EA0A60">
        <w:rPr>
          <w:rFonts w:cs="Arial" w:hint="cs"/>
          <w:sz w:val="16"/>
          <w:szCs w:val="16"/>
          <w:rtl/>
        </w:rPr>
        <w:t>(</w:t>
      </w:r>
      <w:r w:rsidRPr="00215158">
        <w:rPr>
          <w:rFonts w:cs="Arial"/>
          <w:sz w:val="16"/>
          <w:szCs w:val="16"/>
          <w:rtl/>
        </w:rPr>
        <w:t>והרי"ף והרמב"ם השמיטוה</w:t>
      </w:r>
      <w:r>
        <w:rPr>
          <w:rFonts w:cs="Arial" w:hint="cs"/>
          <w:sz w:val="16"/>
          <w:szCs w:val="16"/>
          <w:rtl/>
        </w:rPr>
        <w:t>.</w:t>
      </w:r>
      <w:r w:rsidRPr="00215158">
        <w:rPr>
          <w:rFonts w:cs="Arial"/>
          <w:sz w:val="16"/>
          <w:szCs w:val="16"/>
          <w:rtl/>
        </w:rPr>
        <w:t xml:space="preserve"> אבל הרא"ש (סו"ס לו) והר"ן (ז. ד"ה גרסינן) כתבוה</w:t>
      </w:r>
      <w:r>
        <w:rPr>
          <w:rFonts w:cs="Arial" w:hint="cs"/>
          <w:sz w:val="16"/>
          <w:szCs w:val="16"/>
          <w:rtl/>
        </w:rPr>
        <w:t>.</w:t>
      </w:r>
      <w:r w:rsidRPr="00215158">
        <w:rPr>
          <w:rFonts w:cs="Arial"/>
          <w:sz w:val="16"/>
          <w:szCs w:val="16"/>
          <w:rtl/>
        </w:rPr>
        <w:t xml:space="preserve"> ופירשה הר"ן בשלא קצץ</w:t>
      </w:r>
      <w:r>
        <w:rPr>
          <w:rFonts w:cs="Arial" w:hint="cs"/>
          <w:sz w:val="16"/>
          <w:szCs w:val="16"/>
          <w:rtl/>
        </w:rPr>
        <w:t>,</w:t>
      </w:r>
      <w:r w:rsidRPr="00215158">
        <w:rPr>
          <w:rFonts w:cs="Arial"/>
          <w:sz w:val="16"/>
          <w:szCs w:val="16"/>
          <w:rtl/>
        </w:rPr>
        <w:t xml:space="preserve"> וכגון ששכרו לימים דבר קצוב בכל יום בהליכתו ובחזרתו</w:t>
      </w:r>
      <w:r>
        <w:rPr>
          <w:rFonts w:cs="Arial" w:hint="cs"/>
          <w:sz w:val="16"/>
          <w:szCs w:val="16"/>
          <w:rtl/>
        </w:rPr>
        <w:t>,</w:t>
      </w:r>
      <w:r w:rsidRPr="00215158">
        <w:rPr>
          <w:rFonts w:cs="Arial"/>
          <w:sz w:val="16"/>
          <w:szCs w:val="16"/>
          <w:rtl/>
        </w:rPr>
        <w:t xml:space="preserve"> אלא שאינו מקפיד עמו מתי ילך</w:t>
      </w:r>
      <w:r>
        <w:rPr>
          <w:rFonts w:cs="Arial" w:hint="cs"/>
          <w:sz w:val="16"/>
          <w:szCs w:val="16"/>
          <w:rtl/>
        </w:rPr>
        <w:t>.</w:t>
      </w:r>
      <w:r w:rsidRPr="00215158">
        <w:rPr>
          <w:rFonts w:cs="Arial"/>
          <w:sz w:val="16"/>
          <w:szCs w:val="16"/>
          <w:rtl/>
        </w:rPr>
        <w:t xml:space="preserve"> ובכי הא בערב שבת אסור</w:t>
      </w:r>
      <w:r>
        <w:rPr>
          <w:rFonts w:cs="Arial" w:hint="cs"/>
          <w:sz w:val="16"/>
          <w:szCs w:val="16"/>
          <w:rtl/>
        </w:rPr>
        <w:t>,</w:t>
      </w:r>
      <w:r w:rsidRPr="00215158">
        <w:rPr>
          <w:rFonts w:cs="Arial"/>
          <w:sz w:val="16"/>
          <w:szCs w:val="16"/>
          <w:rtl/>
        </w:rPr>
        <w:t xml:space="preserve"> דכיון שהוא שוכרו לימים</w:t>
      </w:r>
      <w:r>
        <w:rPr>
          <w:rFonts w:cs="Arial" w:hint="cs"/>
          <w:sz w:val="16"/>
          <w:szCs w:val="16"/>
          <w:rtl/>
        </w:rPr>
        <w:t xml:space="preserve">, </w:t>
      </w:r>
      <w:r w:rsidRPr="00215158">
        <w:rPr>
          <w:rFonts w:cs="Arial"/>
          <w:sz w:val="16"/>
          <w:szCs w:val="16"/>
          <w:rtl/>
        </w:rPr>
        <w:t>והוא שוכרו בערב שבת</w:t>
      </w:r>
      <w:r>
        <w:rPr>
          <w:rFonts w:cs="Arial" w:hint="cs"/>
          <w:sz w:val="16"/>
          <w:szCs w:val="16"/>
          <w:rtl/>
        </w:rPr>
        <w:t>,</w:t>
      </w:r>
      <w:r w:rsidRPr="00215158">
        <w:rPr>
          <w:rFonts w:cs="Arial"/>
          <w:sz w:val="16"/>
          <w:szCs w:val="16"/>
          <w:rtl/>
        </w:rPr>
        <w:t xml:space="preserve"> כשיוצא בשבת נראה כאילו התנה עמו כך</w:t>
      </w:r>
      <w:r>
        <w:rPr>
          <w:rFonts w:cs="Arial" w:hint="cs"/>
          <w:sz w:val="16"/>
          <w:szCs w:val="16"/>
          <w:rtl/>
        </w:rPr>
        <w:t>.</w:t>
      </w:r>
      <w:r w:rsidRPr="00215158">
        <w:rPr>
          <w:rFonts w:cs="Arial"/>
          <w:sz w:val="16"/>
          <w:szCs w:val="16"/>
          <w:rtl/>
        </w:rPr>
        <w:t xml:space="preserve"> אבל ברביעי ובחמישי מותר הואיל ואינו מקפיד עמו מתי ילך עכ"ל</w:t>
      </w:r>
      <w:r>
        <w:rPr>
          <w:rFonts w:cs="Arial" w:hint="cs"/>
          <w:sz w:val="16"/>
          <w:szCs w:val="16"/>
          <w:rtl/>
        </w:rPr>
        <w:t xml:space="preserve"> </w:t>
      </w:r>
      <w:r w:rsidRPr="00C77A7F">
        <w:rPr>
          <w:rFonts w:cs="Arial" w:hint="cs"/>
          <w:color w:val="E36C0A" w:themeColor="accent6" w:themeShade="BF"/>
          <w:sz w:val="16"/>
          <w:szCs w:val="16"/>
          <w:rtl/>
        </w:rPr>
        <w:t>(וכ"פ בשו"ע)</w:t>
      </w:r>
      <w:r>
        <w:rPr>
          <w:rFonts w:cs="Arial" w:hint="cs"/>
          <w:sz w:val="16"/>
          <w:szCs w:val="16"/>
          <w:rtl/>
        </w:rPr>
        <w:t>, ב"י)</w:t>
      </w:r>
    </w:p>
    <w:p w14:paraId="60455BD1"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FE040AF" w14:textId="77777777" w:rsidR="004B2E7C" w:rsidRDefault="004B2E7C" w:rsidP="00434A6A">
      <w:pPr>
        <w:rPr>
          <w:rtl/>
        </w:rPr>
      </w:pPr>
      <w:r>
        <w:rPr>
          <w:rFonts w:cs="Arial"/>
          <w:rtl/>
        </w:rPr>
        <w:t>אם שכרו לימים</w:t>
      </w:r>
      <w:r>
        <w:rPr>
          <w:rStyle w:val="a9"/>
          <w:rFonts w:cs="Arial"/>
          <w:rtl/>
        </w:rPr>
        <w:footnoteReference w:id="168"/>
      </w:r>
      <w:r>
        <w:rPr>
          <w:rFonts w:cs="Arial"/>
          <w:rtl/>
        </w:rPr>
        <w:t xml:space="preserve"> דבר קצוב בכל יום בהליכתו ובחזרתו, אלא שאינו מקפיד עמו מתי ילך</w:t>
      </w:r>
      <w:r>
        <w:rPr>
          <w:rFonts w:cs="Arial" w:hint="cs"/>
          <w:rtl/>
        </w:rPr>
        <w:t>,</w:t>
      </w:r>
      <w:r>
        <w:rPr>
          <w:rFonts w:cs="Arial"/>
          <w:rtl/>
        </w:rPr>
        <w:t xml:space="preserve"> אם הוא בערב שבת, אסור</w:t>
      </w:r>
      <w:r>
        <w:rPr>
          <w:rStyle w:val="a9"/>
          <w:rFonts w:cs="Arial"/>
          <w:rtl/>
        </w:rPr>
        <w:footnoteReference w:id="169"/>
      </w:r>
      <w:r>
        <w:rPr>
          <w:rFonts w:cs="Arial"/>
          <w:rtl/>
        </w:rPr>
        <w:t xml:space="preserve">, דכשיוצא בשבת נראה כאילו התנה עמו כך. </w:t>
      </w:r>
    </w:p>
    <w:p w14:paraId="391E58A9" w14:textId="77777777" w:rsidR="004B2E7C" w:rsidRDefault="004B2E7C" w:rsidP="00434A6A">
      <w:pPr>
        <w:rPr>
          <w:rtl/>
        </w:rPr>
      </w:pPr>
    </w:p>
    <w:p w14:paraId="5C3C1220" w14:textId="77777777" w:rsidR="004B2E7C" w:rsidRDefault="004B2E7C" w:rsidP="00434A6A">
      <w:pPr>
        <w:pStyle w:val="2"/>
        <w:rPr>
          <w:rtl/>
        </w:rPr>
      </w:pPr>
      <w:r>
        <w:rPr>
          <w:rtl/>
        </w:rPr>
        <w:t>סעיף ד</w:t>
      </w:r>
      <w:r>
        <w:rPr>
          <w:rFonts w:hint="cs"/>
          <w:rtl/>
        </w:rPr>
        <w:t>: גוי שרוצה להוליך כתב בחינם.</w:t>
      </w:r>
    </w:p>
    <w:p w14:paraId="07904173" w14:textId="77777777" w:rsidR="004B2E7C" w:rsidRPr="00622A6D" w:rsidRDefault="004B2E7C" w:rsidP="00434A6A">
      <w:pPr>
        <w:rPr>
          <w:u w:val="single"/>
          <w:rtl/>
        </w:rPr>
      </w:pPr>
      <w:r w:rsidRPr="00622A6D">
        <w:rPr>
          <w:rFonts w:hint="cs"/>
          <w:u w:val="single"/>
          <w:rtl/>
        </w:rPr>
        <w:t xml:space="preserve">גוי שרוצה להוליך כתב בחינם </w:t>
      </w:r>
      <w:r w:rsidRPr="00622A6D">
        <w:rPr>
          <w:u w:val="single"/>
          <w:rtl/>
        </w:rPr>
        <w:t>–</w:t>
      </w:r>
      <w:r w:rsidRPr="00622A6D">
        <w:rPr>
          <w:rFonts w:hint="cs"/>
          <w:u w:val="single"/>
          <w:rtl/>
        </w:rPr>
        <w:t xml:space="preserve"> האם מותר לשלוח איתו בערב שבת:</w:t>
      </w:r>
    </w:p>
    <w:p w14:paraId="442B9ADD" w14:textId="77777777" w:rsidR="004B2E7C" w:rsidRPr="00526215" w:rsidRDefault="004B2E7C" w:rsidP="00FF2D21">
      <w:pPr>
        <w:pStyle w:val="aa"/>
        <w:numPr>
          <w:ilvl w:val="0"/>
          <w:numId w:val="105"/>
        </w:numPr>
        <w:rPr>
          <w:rtl/>
        </w:rPr>
      </w:pPr>
      <w:r w:rsidRPr="00747CFE">
        <w:rPr>
          <w:rFonts w:cs="Arial"/>
          <w:rtl/>
        </w:rPr>
        <w:t>מהר"י אבוהב</w:t>
      </w:r>
      <w:r w:rsidRPr="00747CFE">
        <w:rPr>
          <w:rFonts w:cs="Arial" w:hint="cs"/>
          <w:sz w:val="16"/>
          <w:szCs w:val="16"/>
          <w:rtl/>
        </w:rPr>
        <w:t xml:space="preserve"> (כ"כ הב"י בשמו)</w:t>
      </w:r>
      <w:r w:rsidRPr="00747CFE">
        <w:rPr>
          <w:rFonts w:cs="Arial" w:hint="cs"/>
          <w:rtl/>
        </w:rPr>
        <w:t xml:space="preserve">- </w:t>
      </w:r>
      <w:r w:rsidRPr="00747CFE">
        <w:rPr>
          <w:rFonts w:cs="Arial"/>
          <w:rtl/>
        </w:rPr>
        <w:t>אם הגוי אמר לישראל שרוצה להוליך לו כתב בחנם למקום שהוא רוצה נראה דאפילו בערב שבת שרי שהרי הגוי מאליו הוא עושה זה ואינו אלא להחזיק טובה לישראל מפני מה שקבל ממנו וה"ל כאילו קצץ</w:t>
      </w:r>
      <w:r>
        <w:rPr>
          <w:rFonts w:cs="Arial" w:hint="cs"/>
          <w:rtl/>
        </w:rPr>
        <w:t>.</w:t>
      </w:r>
      <w:r w:rsidRPr="00747CFE">
        <w:rPr>
          <w:rFonts w:cs="Arial"/>
          <w:rtl/>
        </w:rPr>
        <w:t xml:space="preserve"> מיהו אין להתיר במי ששלח אגרות ולא קצץ מתחלה במה שיש לו לקצץ אחר כך שהרי במה שהגוי הולך במלאכתו דישראל קא טרח</w:t>
      </w:r>
      <w:r>
        <w:rPr>
          <w:rFonts w:cs="Arial" w:hint="cs"/>
          <w:rtl/>
        </w:rPr>
        <w:t>.</w:t>
      </w:r>
      <w:r w:rsidRPr="00622A6D">
        <w:rPr>
          <w:rFonts w:hint="cs"/>
          <w:color w:val="E36C0A" w:themeColor="accent6" w:themeShade="BF"/>
          <w:rtl/>
        </w:rPr>
        <w:t xml:space="preserve"> </w:t>
      </w:r>
      <w:r w:rsidRPr="00ED4352">
        <w:rPr>
          <w:rFonts w:hint="cs"/>
          <w:color w:val="E36C0A" w:themeColor="accent6" w:themeShade="BF"/>
          <w:rtl/>
        </w:rPr>
        <w:t>(וכ"פ בשו"ע)</w:t>
      </w:r>
    </w:p>
    <w:p w14:paraId="57E0F211"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BB35196" w14:textId="77777777" w:rsidR="004B2E7C" w:rsidRDefault="004B2E7C" w:rsidP="00434A6A">
      <w:pPr>
        <w:rPr>
          <w:rtl/>
        </w:rPr>
      </w:pPr>
      <w:r>
        <w:rPr>
          <w:rFonts w:cs="Arial"/>
          <w:rtl/>
        </w:rPr>
        <w:t>(אם) הגוי מוליך הכתב בחנם, אפי</w:t>
      </w:r>
      <w:r>
        <w:rPr>
          <w:rFonts w:cs="Arial" w:hint="cs"/>
          <w:rtl/>
        </w:rPr>
        <w:t>לו</w:t>
      </w:r>
      <w:r>
        <w:rPr>
          <w:rFonts w:cs="Arial"/>
          <w:rtl/>
        </w:rPr>
        <w:t xml:space="preserve"> נתנה לו בערב שבת, מותר, שהרי הגוי מאליו הוא עושה זה ואינו אלא להחזיק טובה לישראל מפני מה שקיבל ממנו, והוה ליה כאילו קצץ. </w:t>
      </w:r>
      <w:r w:rsidRPr="00526215">
        <w:rPr>
          <w:rFonts w:cs="Arial"/>
          <w:sz w:val="18"/>
          <w:szCs w:val="18"/>
          <w:rtl/>
        </w:rPr>
        <w:t>הגה: ויש חולקים וסבירא להו דכל שעושה בחנם, אסור, וטוב להחמיר</w:t>
      </w:r>
      <w:r>
        <w:rPr>
          <w:rStyle w:val="a9"/>
          <w:rFonts w:cs="Arial"/>
          <w:sz w:val="18"/>
          <w:szCs w:val="18"/>
          <w:rtl/>
        </w:rPr>
        <w:footnoteReference w:id="170"/>
      </w:r>
      <w:r w:rsidRPr="00526215">
        <w:rPr>
          <w:rFonts w:cs="Arial"/>
          <w:sz w:val="18"/>
          <w:szCs w:val="18"/>
          <w:rtl/>
        </w:rPr>
        <w:t xml:space="preserve">. אבל במקום שהגוי מתחיל עם הישראל לומר שילך לו בחנם, ודאי דעתו על הטובה שיקבל ממנו, ושרי (ב"י). </w:t>
      </w:r>
    </w:p>
    <w:p w14:paraId="594DD868" w14:textId="77777777" w:rsidR="004B2E7C" w:rsidRDefault="004B2E7C" w:rsidP="00434A6A">
      <w:pPr>
        <w:rPr>
          <w:rtl/>
        </w:rPr>
      </w:pPr>
    </w:p>
    <w:p w14:paraId="1A7403CC" w14:textId="77777777" w:rsidR="004B2E7C" w:rsidRDefault="004B2E7C" w:rsidP="00434A6A">
      <w:pPr>
        <w:pStyle w:val="2"/>
        <w:rPr>
          <w:rtl/>
        </w:rPr>
      </w:pPr>
      <w:r>
        <w:rPr>
          <w:rtl/>
        </w:rPr>
        <w:t>סעיף ה</w:t>
      </w:r>
      <w:r>
        <w:rPr>
          <w:rFonts w:hint="cs"/>
          <w:rtl/>
        </w:rPr>
        <w:t>: שליחת אגרת עם גוי שהולך בלאו הכי לאותו המקום.</w:t>
      </w:r>
    </w:p>
    <w:p w14:paraId="6FC25FCE" w14:textId="77777777" w:rsidR="004B2E7C" w:rsidRPr="00622A6D" w:rsidRDefault="004B2E7C" w:rsidP="00434A6A">
      <w:pPr>
        <w:rPr>
          <w:u w:val="single"/>
          <w:rtl/>
        </w:rPr>
      </w:pPr>
      <w:r w:rsidRPr="00622A6D">
        <w:rPr>
          <w:rFonts w:hint="cs"/>
          <w:u w:val="single"/>
          <w:rtl/>
        </w:rPr>
        <w:t>שליחת אגרת עם גוי שהולך בלאו הכי לאותו המקום:</w:t>
      </w:r>
    </w:p>
    <w:p w14:paraId="0EE2529B" w14:textId="77777777" w:rsidR="004B2E7C" w:rsidRPr="00526215" w:rsidRDefault="004B2E7C" w:rsidP="00FF2D21">
      <w:pPr>
        <w:pStyle w:val="aa"/>
        <w:numPr>
          <w:ilvl w:val="0"/>
          <w:numId w:val="105"/>
        </w:numPr>
        <w:rPr>
          <w:rtl/>
        </w:rPr>
      </w:pPr>
      <w:r w:rsidRPr="00747CFE">
        <w:rPr>
          <w:rFonts w:cs="Arial"/>
          <w:rtl/>
        </w:rPr>
        <w:t>מהר"י אבוהב</w:t>
      </w:r>
      <w:r w:rsidRPr="00747CFE">
        <w:rPr>
          <w:rFonts w:cs="Arial" w:hint="cs"/>
          <w:sz w:val="16"/>
          <w:szCs w:val="16"/>
          <w:rtl/>
        </w:rPr>
        <w:t xml:space="preserve"> (כ"כ הב"י בשמו)</w:t>
      </w:r>
      <w:r w:rsidRPr="00747CFE">
        <w:rPr>
          <w:rFonts w:cs="Arial" w:hint="cs"/>
          <w:rtl/>
        </w:rPr>
        <w:t xml:space="preserve">- </w:t>
      </w:r>
      <w:r w:rsidRPr="00747CFE">
        <w:rPr>
          <w:rFonts w:cs="Arial"/>
          <w:rtl/>
        </w:rPr>
        <w:t xml:space="preserve">נראה שאם הגוי הולך מעצמו למקום אחר וישראל נותן לו אגרת </w:t>
      </w:r>
      <w:r>
        <w:rPr>
          <w:rFonts w:cs="Arial" w:hint="cs"/>
          <w:rtl/>
        </w:rPr>
        <w:t xml:space="preserve">- </w:t>
      </w:r>
      <w:r w:rsidRPr="00747CFE">
        <w:rPr>
          <w:rFonts w:cs="Arial"/>
          <w:rtl/>
        </w:rPr>
        <w:t>מותר בכל גוונא</w:t>
      </w:r>
      <w:r>
        <w:rPr>
          <w:rFonts w:cs="Arial" w:hint="cs"/>
          <w:rtl/>
        </w:rPr>
        <w:t>.</w:t>
      </w:r>
      <w:r w:rsidRPr="00747CFE">
        <w:rPr>
          <w:rFonts w:cs="Arial"/>
          <w:rtl/>
        </w:rPr>
        <w:t xml:space="preserve"> והוא שלא יהיה הגוי מכירו</w:t>
      </w:r>
      <w:r>
        <w:rPr>
          <w:rFonts w:cs="Arial" w:hint="cs"/>
          <w:rtl/>
        </w:rPr>
        <w:t>,</w:t>
      </w:r>
      <w:r w:rsidRPr="00747CFE">
        <w:rPr>
          <w:rFonts w:cs="Arial"/>
          <w:rtl/>
        </w:rPr>
        <w:t xml:space="preserve"> שאם הוא מכירו איכא למיחש שמא ירבה בשבילו הדרך</w:t>
      </w:r>
      <w:r>
        <w:rPr>
          <w:rStyle w:val="a9"/>
          <w:rFonts w:cs="Arial"/>
          <w:rtl/>
        </w:rPr>
        <w:footnoteReference w:id="171"/>
      </w:r>
      <w:r w:rsidRPr="00747CFE">
        <w:rPr>
          <w:rFonts w:cs="Arial"/>
          <w:rtl/>
        </w:rPr>
        <w:t>.</w:t>
      </w:r>
    </w:p>
    <w:p w14:paraId="1B87C606"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2C4931F" w14:textId="77777777" w:rsidR="004B2E7C" w:rsidRDefault="004B2E7C" w:rsidP="00434A6A">
      <w:pPr>
        <w:rPr>
          <w:rtl/>
        </w:rPr>
      </w:pPr>
      <w:r>
        <w:rPr>
          <w:rFonts w:cs="Arial"/>
          <w:rtl/>
        </w:rPr>
        <w:t>אם הגוי הולך מעצמו למקום אחר וישראל נותן לו אגרת, מותר בכל גוונא</w:t>
      </w:r>
      <w:r>
        <w:rPr>
          <w:rStyle w:val="a9"/>
          <w:rFonts w:cs="Arial"/>
          <w:rtl/>
        </w:rPr>
        <w:footnoteReference w:id="172"/>
      </w:r>
      <w:r>
        <w:rPr>
          <w:rFonts w:cs="Arial"/>
          <w:rtl/>
        </w:rPr>
        <w:t xml:space="preserve">. </w:t>
      </w:r>
    </w:p>
    <w:p w14:paraId="0A4CD5EB" w14:textId="77777777" w:rsidR="004B2E7C" w:rsidRDefault="004B2E7C" w:rsidP="00434A6A">
      <w:pPr>
        <w:rPr>
          <w:rtl/>
        </w:rPr>
      </w:pPr>
    </w:p>
    <w:p w14:paraId="40B7610D" w14:textId="77777777" w:rsidR="004B2E7C" w:rsidRDefault="004B2E7C" w:rsidP="00434A6A">
      <w:pPr>
        <w:pStyle w:val="2"/>
        <w:rPr>
          <w:rtl/>
        </w:rPr>
      </w:pPr>
      <w:r>
        <w:rPr>
          <w:rtl/>
        </w:rPr>
        <w:t>סעיף ו</w:t>
      </w:r>
      <w:r>
        <w:rPr>
          <w:rFonts w:hint="cs"/>
          <w:rtl/>
        </w:rPr>
        <w:t>: ישראל ששכר גוי לשנה (וכדו') לכל המלאכות, ורוצה לשלח איתו אגרת.</w:t>
      </w:r>
    </w:p>
    <w:p w14:paraId="561310E7" w14:textId="77777777" w:rsidR="004B2E7C" w:rsidRPr="00025218" w:rsidRDefault="004B2E7C" w:rsidP="00434A6A">
      <w:pPr>
        <w:rPr>
          <w:u w:val="single"/>
          <w:rtl/>
        </w:rPr>
      </w:pPr>
      <w:r w:rsidRPr="00025218">
        <w:rPr>
          <w:rFonts w:hint="cs"/>
          <w:u w:val="single"/>
          <w:rtl/>
        </w:rPr>
        <w:t>ישראל ששכר גוי לשנה (וכדו') לכל המלאכות, ורוצה לשלח איתו אגרת:</w:t>
      </w:r>
    </w:p>
    <w:p w14:paraId="347C5E50" w14:textId="77777777" w:rsidR="004B2E7C" w:rsidRPr="00526215" w:rsidRDefault="004B2E7C" w:rsidP="00FF2D21">
      <w:pPr>
        <w:pStyle w:val="aa"/>
        <w:numPr>
          <w:ilvl w:val="0"/>
          <w:numId w:val="105"/>
        </w:numPr>
        <w:rPr>
          <w:rtl/>
        </w:rPr>
      </w:pPr>
      <w:r w:rsidRPr="00747CFE">
        <w:rPr>
          <w:rFonts w:cs="Arial"/>
          <w:rtl/>
        </w:rPr>
        <w:t>מהר"י אבוהב</w:t>
      </w:r>
      <w:r w:rsidRPr="00747CFE">
        <w:rPr>
          <w:rFonts w:cs="Arial" w:hint="cs"/>
          <w:sz w:val="16"/>
          <w:szCs w:val="16"/>
          <w:rtl/>
        </w:rPr>
        <w:t xml:space="preserve"> (כ"כ הב"י בשמו)</w:t>
      </w:r>
      <w:r w:rsidRPr="00747CFE">
        <w:rPr>
          <w:rFonts w:cs="Arial" w:hint="cs"/>
          <w:rtl/>
        </w:rPr>
        <w:t xml:space="preserve">- </w:t>
      </w:r>
      <w:r w:rsidRPr="00747CFE">
        <w:rPr>
          <w:rFonts w:cs="Arial"/>
          <w:rtl/>
        </w:rPr>
        <w:t xml:space="preserve">מי שיש לו שכיר גוי לשנה או יותר </w:t>
      </w:r>
      <w:r>
        <w:rPr>
          <w:rFonts w:cs="Arial" w:hint="cs"/>
          <w:rtl/>
        </w:rPr>
        <w:t xml:space="preserve">- </w:t>
      </w:r>
      <w:r w:rsidRPr="00747CFE">
        <w:rPr>
          <w:rFonts w:cs="Arial"/>
          <w:rtl/>
        </w:rPr>
        <w:t>אסור לשלחו בערב שבת באגרות</w:t>
      </w:r>
      <w:r>
        <w:rPr>
          <w:rStyle w:val="a9"/>
          <w:rFonts w:cs="Arial"/>
          <w:rtl/>
        </w:rPr>
        <w:footnoteReference w:id="173"/>
      </w:r>
      <w:r>
        <w:rPr>
          <w:rFonts w:cs="Arial" w:hint="cs"/>
          <w:rtl/>
        </w:rPr>
        <w:t>.</w:t>
      </w:r>
      <w:r w:rsidRPr="00747CFE">
        <w:rPr>
          <w:rFonts w:cs="Arial"/>
          <w:rtl/>
        </w:rPr>
        <w:t xml:space="preserve"> שהרי מצד מאמר הישראל הוא עושה</w:t>
      </w:r>
      <w:r>
        <w:rPr>
          <w:rFonts w:cs="Arial" w:hint="cs"/>
          <w:rtl/>
        </w:rPr>
        <w:t>,</w:t>
      </w:r>
      <w:r w:rsidRPr="00747CFE">
        <w:rPr>
          <w:rFonts w:cs="Arial"/>
          <w:rtl/>
        </w:rPr>
        <w:t xml:space="preserve"> והישראל נהנה מזה הנאה גמורה שיעשה זה בשבת ולא ביום אחר</w:t>
      </w:r>
      <w:r>
        <w:rPr>
          <w:rFonts w:cs="Arial" w:hint="cs"/>
          <w:rtl/>
        </w:rPr>
        <w:t>,</w:t>
      </w:r>
      <w:r w:rsidRPr="00747CFE">
        <w:rPr>
          <w:rFonts w:cs="Arial"/>
          <w:rtl/>
        </w:rPr>
        <w:t xml:space="preserve"> לפי שהימים האחרים יתעסק במלאכה אחרת</w:t>
      </w:r>
      <w:r>
        <w:rPr>
          <w:rFonts w:cs="Arial" w:hint="cs"/>
          <w:rtl/>
        </w:rPr>
        <w:t>.</w:t>
      </w:r>
      <w:r w:rsidRPr="00747CFE">
        <w:rPr>
          <w:rFonts w:cs="Arial"/>
          <w:rtl/>
        </w:rPr>
        <w:t xml:space="preserve"> </w:t>
      </w:r>
      <w:r w:rsidRPr="00ED4352">
        <w:rPr>
          <w:rFonts w:hint="cs"/>
          <w:color w:val="E36C0A" w:themeColor="accent6" w:themeShade="BF"/>
          <w:rtl/>
        </w:rPr>
        <w:t>(וכ"פ בשו"ע)</w:t>
      </w:r>
    </w:p>
    <w:p w14:paraId="223AE839"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8EB9F49" w14:textId="77777777" w:rsidR="004B2E7C" w:rsidRDefault="004B2E7C" w:rsidP="00434A6A">
      <w:pPr>
        <w:rPr>
          <w:rtl/>
        </w:rPr>
      </w:pPr>
      <w:r>
        <w:rPr>
          <w:rFonts w:cs="Arial"/>
          <w:rtl/>
        </w:rPr>
        <w:t>מי שיש לו שכיר גוי לשנה או יותר, אסור לשלחו ערב שבת באגרת</w:t>
      </w:r>
      <w:r>
        <w:rPr>
          <w:rStyle w:val="a9"/>
          <w:rFonts w:cs="Arial"/>
          <w:rtl/>
        </w:rPr>
        <w:footnoteReference w:id="174"/>
      </w:r>
      <w:r>
        <w:rPr>
          <w:rFonts w:cs="Arial"/>
          <w:rtl/>
        </w:rPr>
        <w:t xml:space="preserve">. </w:t>
      </w:r>
      <w:r w:rsidRPr="00526215">
        <w:rPr>
          <w:rFonts w:cs="Arial"/>
          <w:sz w:val="18"/>
          <w:szCs w:val="18"/>
          <w:rtl/>
        </w:rPr>
        <w:t>הגה: ומיהו אם לא שכרו רק לשליחות אגרת, יש מתירין, כמו שנתבאר לעיל</w:t>
      </w:r>
      <w:r>
        <w:rPr>
          <w:rStyle w:val="a9"/>
          <w:rFonts w:cs="Arial"/>
          <w:sz w:val="18"/>
          <w:szCs w:val="18"/>
          <w:rtl/>
        </w:rPr>
        <w:footnoteReference w:id="175"/>
      </w:r>
      <w:r w:rsidRPr="00526215">
        <w:rPr>
          <w:rFonts w:cs="Arial"/>
          <w:sz w:val="18"/>
          <w:szCs w:val="18"/>
          <w:rtl/>
        </w:rPr>
        <w:t xml:space="preserve"> סימן רמ"ד.</w:t>
      </w:r>
    </w:p>
    <w:p w14:paraId="124A7F6D" w14:textId="77777777" w:rsidR="004B2E7C" w:rsidRDefault="004B2E7C" w:rsidP="00434A6A">
      <w:pPr>
        <w:rPr>
          <w:rtl/>
        </w:rPr>
      </w:pPr>
    </w:p>
    <w:p w14:paraId="4F072C26" w14:textId="77777777" w:rsidR="004B2E7C" w:rsidRDefault="004B2E7C" w:rsidP="00434A6A">
      <w:pPr>
        <w:pStyle w:val="1"/>
        <w:rPr>
          <w:rtl/>
        </w:rPr>
        <w:sectPr w:rsidR="004B2E7C" w:rsidSect="00BD29B1">
          <w:headerReference w:type="default" r:id="rId18"/>
          <w:footnotePr>
            <w:numRestart w:val="eachSect"/>
          </w:footnotePr>
          <w:pgSz w:w="11906" w:h="16838"/>
          <w:pgMar w:top="720" w:right="1134" w:bottom="720" w:left="1134" w:header="0" w:footer="0" w:gutter="0"/>
          <w:cols w:space="720"/>
          <w:bidi/>
          <w:rtlGutter/>
          <w:docGrid w:linePitch="360"/>
        </w:sectPr>
      </w:pPr>
    </w:p>
    <w:p w14:paraId="61358671" w14:textId="77777777" w:rsidR="004B2E7C" w:rsidRDefault="004B2E7C" w:rsidP="00434A6A">
      <w:pPr>
        <w:pStyle w:val="1"/>
        <w:rPr>
          <w:rtl/>
        </w:rPr>
      </w:pPr>
      <w:r>
        <w:rPr>
          <w:rFonts w:hint="cs"/>
          <w:rtl/>
        </w:rPr>
        <w:t>סימן רמח:</w:t>
      </w:r>
      <w:r w:rsidRPr="0085796F">
        <w:rPr>
          <w:rtl/>
        </w:rPr>
        <w:t xml:space="preserve"> </w:t>
      </w:r>
      <w:r>
        <w:rPr>
          <w:rtl/>
        </w:rPr>
        <w:t xml:space="preserve">דין המפליג בספינה וההולך בשיירא בשבת, ובו ד' סעיפים. </w:t>
      </w:r>
    </w:p>
    <w:p w14:paraId="5D7398AE" w14:textId="77777777" w:rsidR="004B2E7C" w:rsidRDefault="004B2E7C" w:rsidP="00434A6A">
      <w:pPr>
        <w:pStyle w:val="2"/>
        <w:rPr>
          <w:rtl/>
        </w:rPr>
      </w:pPr>
      <w:r>
        <w:rPr>
          <w:rtl/>
        </w:rPr>
        <w:t>סעיף א</w:t>
      </w:r>
      <w:r>
        <w:rPr>
          <w:rFonts w:hint="cs"/>
          <w:rtl/>
        </w:rPr>
        <w:t>: הפלגה בספינה קודם השבת.</w:t>
      </w:r>
    </w:p>
    <w:p w14:paraId="36B5402D" w14:textId="77777777" w:rsidR="004B2E7C" w:rsidRDefault="004B2E7C" w:rsidP="00434A6A">
      <w:pPr>
        <w:rPr>
          <w:rFonts w:cs="Arial"/>
          <w:rtl/>
        </w:rPr>
      </w:pPr>
      <w:r w:rsidRPr="00DE37AA">
        <w:rPr>
          <w:rFonts w:cs="Arial" w:hint="cs"/>
          <w:b/>
          <w:bCs/>
          <w:rtl/>
        </w:rPr>
        <w:t xml:space="preserve">שבת </w:t>
      </w:r>
      <w:r w:rsidRPr="00DE37AA">
        <w:rPr>
          <w:rFonts w:cs="Arial" w:hint="cs"/>
          <w:b/>
          <w:bCs/>
          <w:sz w:val="16"/>
          <w:szCs w:val="16"/>
          <w:rtl/>
        </w:rPr>
        <w:t xml:space="preserve">(פ"ק) </w:t>
      </w:r>
      <w:r w:rsidRPr="00DE37AA">
        <w:rPr>
          <w:rFonts w:cs="Arial" w:hint="cs"/>
          <w:b/>
          <w:bCs/>
          <w:rtl/>
        </w:rPr>
        <w:t>י</w:t>
      </w:r>
      <w:r>
        <w:rPr>
          <w:rFonts w:cs="Arial" w:hint="cs"/>
          <w:b/>
          <w:bCs/>
          <w:rtl/>
        </w:rPr>
        <w:t>ט</w:t>
      </w:r>
      <w:r w:rsidRPr="00DE37AA">
        <w:rPr>
          <w:rFonts w:cs="Arial" w:hint="cs"/>
          <w:b/>
          <w:bCs/>
          <w:rtl/>
        </w:rPr>
        <w:t xml:space="preserve"> ע"א:</w:t>
      </w:r>
      <w:r>
        <w:rPr>
          <w:rFonts w:cs="Arial" w:hint="cs"/>
          <w:rtl/>
        </w:rPr>
        <w:t xml:space="preserve"> </w:t>
      </w:r>
      <w:r w:rsidRPr="000E2D07">
        <w:rPr>
          <w:rFonts w:cs="Arial"/>
          <w:rtl/>
        </w:rPr>
        <w:t xml:space="preserve">תנו רבנן: אין מפליגין בספינה פחות משלשה ימים קודם לשבת. במה דברים אמורים - לדבר הרשות, אבל לדבר מצוה - שפיר דמי. ופוסק עמו על מנת לשבות, ואינו שובת, </w:t>
      </w:r>
      <w:r w:rsidRPr="00C310F5">
        <w:rPr>
          <w:rFonts w:cs="Arial"/>
          <w:u w:val="single"/>
          <w:rtl/>
        </w:rPr>
        <w:t>דברי רבי</w:t>
      </w:r>
      <w:r w:rsidRPr="000E2D07">
        <w:rPr>
          <w:rFonts w:cs="Arial"/>
          <w:rtl/>
        </w:rPr>
        <w:t xml:space="preserve">. </w:t>
      </w:r>
      <w:r w:rsidRPr="00C310F5">
        <w:rPr>
          <w:rFonts w:cs="Arial"/>
          <w:u w:val="single"/>
          <w:rtl/>
        </w:rPr>
        <w:t>רבן שמעון בן גמליאל אומר</w:t>
      </w:r>
      <w:r w:rsidRPr="000E2D07">
        <w:rPr>
          <w:rFonts w:cs="Arial"/>
          <w:rtl/>
        </w:rPr>
        <w:t>: אינו צריך. ומצור לצידן</w:t>
      </w:r>
      <w:r>
        <w:rPr>
          <w:rStyle w:val="a9"/>
          <w:rFonts w:cs="Arial"/>
          <w:rtl/>
        </w:rPr>
        <w:footnoteReference w:id="176"/>
      </w:r>
      <w:r w:rsidRPr="000E2D07">
        <w:rPr>
          <w:rFonts w:cs="Arial"/>
          <w:rtl/>
        </w:rPr>
        <w:t xml:space="preserve">, אפילו בערב שבת מותר. </w:t>
      </w:r>
      <w:r w:rsidRPr="007D58F8">
        <w:rPr>
          <w:rFonts w:cs="Arial"/>
          <w:rtl/>
        </w:rPr>
        <w:t xml:space="preserve"> </w:t>
      </w:r>
    </w:p>
    <w:p w14:paraId="626BC694" w14:textId="77777777" w:rsidR="004B2E7C" w:rsidRDefault="004B2E7C" w:rsidP="00434A6A">
      <w:pPr>
        <w:rPr>
          <w:rFonts w:cs="Arial"/>
          <w:rtl/>
        </w:rPr>
      </w:pPr>
      <w:r>
        <w:rPr>
          <w:rFonts w:cs="Arial" w:hint="cs"/>
          <w:b/>
          <w:bCs/>
          <w:rtl/>
        </w:rPr>
        <w:t xml:space="preserve">ירושלמי שבת פ"א ה"ח: </w:t>
      </w:r>
      <w:r w:rsidRPr="0005052C">
        <w:rPr>
          <w:rFonts w:cs="Arial"/>
          <w:rtl/>
        </w:rPr>
        <w:t>אין מפרישין לים הגדול לא בע"ש ולא בחמישי בשבת. ב"ש אוסרים אפי' ברביעי. וב"ה מתירין.</w:t>
      </w:r>
      <w:r w:rsidRPr="0005052C">
        <w:rPr>
          <w:rtl/>
        </w:rPr>
        <w:t xml:space="preserve"> </w:t>
      </w:r>
      <w:r w:rsidRPr="0005052C">
        <w:rPr>
          <w:rFonts w:cs="Arial"/>
          <w:rtl/>
        </w:rPr>
        <w:t>אם היה דבר של סכנה כגון</w:t>
      </w:r>
      <w:r>
        <w:rPr>
          <w:rStyle w:val="a9"/>
          <w:rFonts w:cs="Arial"/>
          <w:rtl/>
        </w:rPr>
        <w:footnoteReference w:id="177"/>
      </w:r>
      <w:r w:rsidRPr="0005052C">
        <w:rPr>
          <w:rFonts w:cs="Arial"/>
          <w:rtl/>
        </w:rPr>
        <w:t xml:space="preserve"> מצור לצידון מותר.</w:t>
      </w:r>
    </w:p>
    <w:p w14:paraId="5BADF980" w14:textId="77777777" w:rsidR="004B2E7C" w:rsidRPr="00823DAA" w:rsidRDefault="004B2E7C" w:rsidP="00434A6A">
      <w:pPr>
        <w:rPr>
          <w:rFonts w:cs="Arial"/>
          <w:u w:val="single"/>
          <w:rtl/>
        </w:rPr>
      </w:pPr>
      <w:r w:rsidRPr="00823DAA">
        <w:rPr>
          <w:rFonts w:cs="Arial" w:hint="cs"/>
          <w:u w:val="single"/>
          <w:rtl/>
        </w:rPr>
        <w:t>הפלגה בספינה קודם השבת:</w:t>
      </w:r>
    </w:p>
    <w:p w14:paraId="3C498642" w14:textId="77777777" w:rsidR="004B2E7C" w:rsidRPr="00823DAA" w:rsidRDefault="004B2E7C" w:rsidP="00FF2D21">
      <w:pPr>
        <w:pStyle w:val="aa"/>
        <w:numPr>
          <w:ilvl w:val="0"/>
          <w:numId w:val="105"/>
        </w:numPr>
        <w:rPr>
          <w:rFonts w:cs="Arial"/>
          <w:rtl/>
        </w:rPr>
      </w:pPr>
      <w:r w:rsidRPr="00823DAA">
        <w:rPr>
          <w:rFonts w:cs="Arial"/>
          <w:rtl/>
        </w:rPr>
        <w:t xml:space="preserve">רמב"ם </w:t>
      </w:r>
      <w:r w:rsidRPr="00823DAA">
        <w:rPr>
          <w:rFonts w:cs="Arial" w:hint="cs"/>
          <w:sz w:val="16"/>
          <w:szCs w:val="16"/>
          <w:rtl/>
        </w:rPr>
        <w:t>(</w:t>
      </w:r>
      <w:r w:rsidRPr="00823DAA">
        <w:rPr>
          <w:rFonts w:cs="Arial"/>
          <w:sz w:val="16"/>
          <w:szCs w:val="16"/>
          <w:rtl/>
        </w:rPr>
        <w:t>פ"ל הי"ג)</w:t>
      </w:r>
      <w:r w:rsidRPr="00823DAA">
        <w:rPr>
          <w:rFonts w:cs="Arial" w:hint="cs"/>
          <w:rtl/>
        </w:rPr>
        <w:t xml:space="preserve">- </w:t>
      </w:r>
      <w:r w:rsidRPr="00823DAA">
        <w:rPr>
          <w:rFonts w:cs="Arial"/>
          <w:rtl/>
        </w:rPr>
        <w:t>אין מפליגין בספינה פחות משלשה ימים קודם השבת</w:t>
      </w:r>
      <w:r>
        <w:rPr>
          <w:rFonts w:cs="Arial" w:hint="cs"/>
          <w:rtl/>
        </w:rPr>
        <w:t>...</w:t>
      </w:r>
      <w:r w:rsidRPr="00823DAA">
        <w:rPr>
          <w:rFonts w:cs="Arial"/>
          <w:rtl/>
        </w:rPr>
        <w:t xml:space="preserve"> ולדבר מצוה מפליג בים אפילו בערב שבת</w:t>
      </w:r>
      <w:r>
        <w:rPr>
          <w:rFonts w:cs="Arial" w:hint="cs"/>
          <w:rtl/>
        </w:rPr>
        <w:t>.</w:t>
      </w:r>
      <w:r w:rsidRPr="00823DAA">
        <w:rPr>
          <w:rFonts w:cs="Arial"/>
          <w:rtl/>
        </w:rPr>
        <w:t xml:space="preserve"> ופוסק עמו לשבות</w:t>
      </w:r>
      <w:r>
        <w:rPr>
          <w:rStyle w:val="a9"/>
          <w:rFonts w:cs="Arial"/>
          <w:rtl/>
        </w:rPr>
        <w:footnoteReference w:id="178"/>
      </w:r>
      <w:r w:rsidRPr="00823DAA">
        <w:rPr>
          <w:rFonts w:cs="Arial"/>
          <w:rtl/>
        </w:rPr>
        <w:t xml:space="preserve"> ואינו שובת</w:t>
      </w:r>
      <w:r>
        <w:rPr>
          <w:rFonts w:cs="Arial" w:hint="cs"/>
          <w:rtl/>
        </w:rPr>
        <w:t>.</w:t>
      </w:r>
      <w:r w:rsidRPr="00823DAA">
        <w:rPr>
          <w:rFonts w:cs="Arial"/>
          <w:rtl/>
        </w:rPr>
        <w:t xml:space="preserve"> </w:t>
      </w:r>
      <w:r w:rsidRPr="00ED4352">
        <w:rPr>
          <w:rFonts w:hint="cs"/>
          <w:color w:val="E36C0A" w:themeColor="accent6" w:themeShade="BF"/>
          <w:rtl/>
        </w:rPr>
        <w:t>(וכ"פ בשו"ע)</w:t>
      </w:r>
    </w:p>
    <w:p w14:paraId="6BB054E3" w14:textId="77777777" w:rsidR="004B2E7C" w:rsidRDefault="004B2E7C" w:rsidP="00FF2D21">
      <w:pPr>
        <w:pStyle w:val="aa"/>
        <w:numPr>
          <w:ilvl w:val="0"/>
          <w:numId w:val="105"/>
        </w:numPr>
        <w:rPr>
          <w:rFonts w:cs="Arial"/>
        </w:rPr>
      </w:pPr>
      <w:r w:rsidRPr="000E2D07">
        <w:rPr>
          <w:rFonts w:cs="Arial" w:hint="cs"/>
          <w:rtl/>
        </w:rPr>
        <w:t xml:space="preserve">טור- </w:t>
      </w:r>
      <w:r w:rsidRPr="00823DAA">
        <w:rPr>
          <w:rFonts w:cs="Arial"/>
          <w:rtl/>
        </w:rPr>
        <w:t>אין מפליגין בספינה פחות מג' ימים קודם השבת</w:t>
      </w:r>
      <w:r>
        <w:rPr>
          <w:rFonts w:cs="Arial" w:hint="cs"/>
          <w:rtl/>
        </w:rPr>
        <w:t>.</w:t>
      </w:r>
      <w:r w:rsidRPr="00823DAA">
        <w:rPr>
          <w:rFonts w:cs="Arial"/>
          <w:rtl/>
        </w:rPr>
        <w:t xml:space="preserve"> בד"א לדבר הרשות</w:t>
      </w:r>
      <w:r>
        <w:rPr>
          <w:rFonts w:cs="Arial" w:hint="cs"/>
          <w:rtl/>
        </w:rPr>
        <w:t>,</w:t>
      </w:r>
      <w:r w:rsidRPr="00823DAA">
        <w:rPr>
          <w:rFonts w:cs="Arial"/>
          <w:rtl/>
        </w:rPr>
        <w:t xml:space="preserve"> אבל לדבר מצוה מותר</w:t>
      </w:r>
      <w:r>
        <w:rPr>
          <w:rFonts w:cs="Arial" w:hint="cs"/>
          <w:rtl/>
        </w:rPr>
        <w:t>.</w:t>
      </w:r>
      <w:r w:rsidRPr="00823DAA">
        <w:rPr>
          <w:rFonts w:cs="Arial"/>
          <w:rtl/>
        </w:rPr>
        <w:t xml:space="preserve"> ופוסק עמו שישבות </w:t>
      </w:r>
      <w:r>
        <w:rPr>
          <w:rFonts w:cs="Arial" w:hint="cs"/>
          <w:rtl/>
        </w:rPr>
        <w:t>,</w:t>
      </w:r>
      <w:r w:rsidRPr="00823DAA">
        <w:rPr>
          <w:rFonts w:cs="Arial"/>
          <w:rtl/>
        </w:rPr>
        <w:t>רשב"ג אומר א"צ לפסוק והלכה כמותו</w:t>
      </w:r>
      <w:r>
        <w:rPr>
          <w:rFonts w:cs="Arial" w:hint="cs"/>
          <w:rtl/>
        </w:rPr>
        <w:t>.</w:t>
      </w:r>
      <w:r w:rsidRPr="00823DAA">
        <w:rPr>
          <w:rFonts w:cs="Arial"/>
          <w:rtl/>
        </w:rPr>
        <w:t xml:space="preserve"> </w:t>
      </w:r>
    </w:p>
    <w:p w14:paraId="66B56A2B" w14:textId="77777777" w:rsidR="004B2E7C" w:rsidRPr="00823DAA" w:rsidRDefault="004B2E7C" w:rsidP="00FF2D21">
      <w:pPr>
        <w:pStyle w:val="aa"/>
        <w:numPr>
          <w:ilvl w:val="0"/>
          <w:numId w:val="105"/>
        </w:numPr>
        <w:rPr>
          <w:rFonts w:cs="Arial"/>
        </w:rPr>
      </w:pPr>
      <w:r>
        <w:rPr>
          <w:rFonts w:cs="Arial"/>
          <w:rtl/>
        </w:rPr>
        <w:t xml:space="preserve">רשב"ם </w:t>
      </w:r>
      <w:r>
        <w:rPr>
          <w:rFonts w:cs="Arial" w:hint="cs"/>
          <w:sz w:val="16"/>
          <w:szCs w:val="16"/>
          <w:rtl/>
        </w:rPr>
        <w:t>(</w:t>
      </w:r>
      <w:r w:rsidRPr="00AF4F25">
        <w:rPr>
          <w:rFonts w:cs="Arial" w:hint="cs"/>
          <w:sz w:val="16"/>
          <w:szCs w:val="16"/>
          <w:rtl/>
        </w:rPr>
        <w:t>כ"כ בשמו</w:t>
      </w:r>
      <w:r w:rsidRPr="00AF4F25">
        <w:rPr>
          <w:rFonts w:cs="Arial"/>
          <w:sz w:val="16"/>
          <w:szCs w:val="16"/>
          <w:rtl/>
        </w:rPr>
        <w:t xml:space="preserve"> התוס</w:t>
      </w:r>
      <w:r w:rsidRPr="00AF4F25">
        <w:rPr>
          <w:rFonts w:cs="Arial" w:hint="cs"/>
          <w:sz w:val="16"/>
          <w:szCs w:val="16"/>
          <w:rtl/>
        </w:rPr>
        <w:t>'</w:t>
      </w:r>
      <w:r w:rsidRPr="00AF4F25">
        <w:rPr>
          <w:rFonts w:cs="Arial"/>
          <w:sz w:val="16"/>
          <w:szCs w:val="16"/>
          <w:rtl/>
        </w:rPr>
        <w:t xml:space="preserve"> (עירובין מג. ד"ה הלכה) והרא"ש (סי' ג) בריש פרק מי שהוציאוהו</w:t>
      </w:r>
      <w:r w:rsidRPr="00AF4F25">
        <w:rPr>
          <w:rFonts w:cs="Arial" w:hint="cs"/>
          <w:sz w:val="16"/>
          <w:szCs w:val="16"/>
          <w:rtl/>
        </w:rPr>
        <w:t>)</w:t>
      </w:r>
      <w:r>
        <w:rPr>
          <w:rFonts w:cs="Arial" w:hint="cs"/>
          <w:rtl/>
        </w:rPr>
        <w:t xml:space="preserve">- </w:t>
      </w:r>
      <w:r>
        <w:rPr>
          <w:rFonts w:cs="Arial"/>
          <w:rtl/>
        </w:rPr>
        <w:t>האי ברייתא דאסרה להפליג פחות מג' ימים קודם השבת אתיא כבית שמאי דלא שרו לעשות מלאכה בערב שבת אלא בכדי שיעשו מבעוד יום</w:t>
      </w:r>
      <w:r>
        <w:rPr>
          <w:rFonts w:cs="Arial" w:hint="cs"/>
          <w:rtl/>
        </w:rPr>
        <w:t>.</w:t>
      </w:r>
      <w:r>
        <w:rPr>
          <w:rFonts w:cs="Arial"/>
          <w:rtl/>
        </w:rPr>
        <w:t xml:space="preserve"> אבל לבית הלל דשרו עם השמש</w:t>
      </w:r>
      <w:r>
        <w:rPr>
          <w:rFonts w:cs="Arial" w:hint="cs"/>
          <w:rtl/>
        </w:rPr>
        <w:t>,</w:t>
      </w:r>
      <w:r>
        <w:rPr>
          <w:rFonts w:cs="Arial"/>
          <w:rtl/>
        </w:rPr>
        <w:t xml:space="preserve"> אף על פי שהמלאכה נעשית בשבת שרי ליכנס</w:t>
      </w:r>
      <w:r>
        <w:rPr>
          <w:rStyle w:val="a9"/>
          <w:rFonts w:cs="Arial"/>
          <w:rtl/>
        </w:rPr>
        <w:footnoteReference w:id="179"/>
      </w:r>
      <w:r>
        <w:rPr>
          <w:rFonts w:cs="Arial"/>
          <w:rtl/>
        </w:rPr>
        <w:t xml:space="preserve">. </w:t>
      </w:r>
    </w:p>
    <w:p w14:paraId="58B6EE6D" w14:textId="77777777" w:rsidR="004B2E7C" w:rsidRPr="00823DAA" w:rsidRDefault="004B2E7C" w:rsidP="00434A6A">
      <w:pPr>
        <w:ind w:left="360"/>
        <w:rPr>
          <w:rFonts w:cs="Arial"/>
          <w:u w:val="dotted"/>
        </w:rPr>
      </w:pPr>
      <w:r w:rsidRPr="00823DAA">
        <w:rPr>
          <w:rFonts w:cs="Arial" w:hint="cs"/>
          <w:u w:val="dotted"/>
          <w:rtl/>
        </w:rPr>
        <w:t>לאיזה יום הכוונה כשאומרים 'שלשה ימים קודם השבת', והאם אותו יום בכלל האיסור:</w:t>
      </w:r>
    </w:p>
    <w:p w14:paraId="7CE5C0A2" w14:textId="77777777" w:rsidR="004B2E7C" w:rsidRDefault="004B2E7C" w:rsidP="00FF2D21">
      <w:pPr>
        <w:pStyle w:val="aa"/>
        <w:numPr>
          <w:ilvl w:val="0"/>
          <w:numId w:val="105"/>
        </w:numPr>
        <w:rPr>
          <w:rFonts w:cs="Arial"/>
        </w:rPr>
      </w:pPr>
      <w:r w:rsidRPr="00C87834">
        <w:rPr>
          <w:rFonts w:cs="Arial"/>
          <w:rtl/>
        </w:rPr>
        <w:t xml:space="preserve">רז"ה </w:t>
      </w:r>
      <w:r w:rsidRPr="00A7536D">
        <w:rPr>
          <w:rFonts w:cs="Arial"/>
          <w:sz w:val="16"/>
          <w:szCs w:val="16"/>
          <w:rtl/>
        </w:rPr>
        <w:t>(ז.</w:t>
      </w:r>
      <w:r>
        <w:rPr>
          <w:rFonts w:cs="Arial" w:hint="cs"/>
          <w:sz w:val="16"/>
          <w:szCs w:val="16"/>
          <w:rtl/>
        </w:rPr>
        <w:t>,</w:t>
      </w:r>
      <w:r w:rsidRPr="00A7536D">
        <w:rPr>
          <w:rFonts w:cs="Arial" w:hint="cs"/>
          <w:sz w:val="16"/>
          <w:szCs w:val="16"/>
          <w:rtl/>
        </w:rPr>
        <w:t xml:space="preserve"> </w:t>
      </w:r>
      <w:r>
        <w:rPr>
          <w:rFonts w:cs="Arial" w:hint="cs"/>
          <w:sz w:val="16"/>
          <w:szCs w:val="16"/>
          <w:rtl/>
        </w:rPr>
        <w:t>כ"כ הר"ן בשמו [</w:t>
      </w:r>
      <w:r w:rsidRPr="00A7536D">
        <w:rPr>
          <w:rFonts w:cs="Arial"/>
          <w:sz w:val="16"/>
          <w:szCs w:val="16"/>
          <w:rtl/>
        </w:rPr>
        <w:t>ז: דיבור ראשון</w:t>
      </w:r>
      <w:r>
        <w:rPr>
          <w:rFonts w:cs="Arial" w:hint="cs"/>
          <w:sz w:val="16"/>
          <w:szCs w:val="16"/>
          <w:rtl/>
        </w:rPr>
        <w:t>]</w:t>
      </w:r>
      <w:r w:rsidRPr="00A7536D">
        <w:rPr>
          <w:rFonts w:cs="Arial"/>
          <w:sz w:val="16"/>
          <w:szCs w:val="16"/>
          <w:rtl/>
        </w:rPr>
        <w:t>)</w:t>
      </w:r>
      <w:r w:rsidRPr="00A7536D">
        <w:rPr>
          <w:rFonts w:cs="Arial"/>
          <w:rtl/>
        </w:rPr>
        <w:t xml:space="preserve"> </w:t>
      </w:r>
      <w:r>
        <w:rPr>
          <w:rFonts w:cs="Arial" w:hint="cs"/>
          <w:rtl/>
        </w:rPr>
        <w:t>ו</w:t>
      </w:r>
      <w:r w:rsidRPr="00C87834">
        <w:rPr>
          <w:rFonts w:cs="Arial"/>
          <w:rtl/>
        </w:rPr>
        <w:t xml:space="preserve">ריב"ש </w:t>
      </w:r>
      <w:r w:rsidRPr="00A7536D">
        <w:rPr>
          <w:rFonts w:cs="Arial"/>
          <w:sz w:val="16"/>
          <w:szCs w:val="16"/>
          <w:rtl/>
        </w:rPr>
        <w:t>(סי' יז</w:t>
      </w:r>
      <w:r w:rsidRPr="00A7536D">
        <w:rPr>
          <w:rFonts w:cs="Arial" w:hint="cs"/>
          <w:sz w:val="16"/>
          <w:szCs w:val="16"/>
          <w:rtl/>
        </w:rPr>
        <w:t>, הביאם הב"י בסוף סימן זה</w:t>
      </w:r>
      <w:r w:rsidRPr="00A7536D">
        <w:rPr>
          <w:rFonts w:cs="Arial"/>
          <w:sz w:val="16"/>
          <w:szCs w:val="16"/>
          <w:rtl/>
        </w:rPr>
        <w:t>)</w:t>
      </w:r>
      <w:r>
        <w:rPr>
          <w:rFonts w:cs="Arial" w:hint="cs"/>
          <w:rtl/>
        </w:rPr>
        <w:t xml:space="preserve">- </w:t>
      </w:r>
      <w:r w:rsidRPr="00C87834">
        <w:rPr>
          <w:rFonts w:cs="Arial"/>
          <w:rtl/>
        </w:rPr>
        <w:t>ג' ימים גמורים קודם שבת בעינן כלומר דמיום רביעי אסור להפליג ויום רביעי בכלל האיסור</w:t>
      </w:r>
      <w:r>
        <w:rPr>
          <w:rFonts w:cs="Arial" w:hint="cs"/>
          <w:rtl/>
        </w:rPr>
        <w:t>...</w:t>
      </w:r>
      <w:r w:rsidRPr="00C87834">
        <w:rPr>
          <w:rFonts w:cs="Arial"/>
          <w:rtl/>
        </w:rPr>
        <w:t xml:space="preserve"> דטעמא משום דכל ג' ימים קודם השבת </w:t>
      </w:r>
      <w:r>
        <w:rPr>
          <w:rFonts w:cs="Arial" w:hint="cs"/>
          <w:rtl/>
        </w:rPr>
        <w:t>'</w:t>
      </w:r>
      <w:r w:rsidRPr="00C87834">
        <w:rPr>
          <w:rFonts w:cs="Arial"/>
          <w:rtl/>
        </w:rPr>
        <w:t>קמי שבתא</w:t>
      </w:r>
      <w:r>
        <w:rPr>
          <w:rFonts w:cs="Arial" w:hint="cs"/>
          <w:rtl/>
        </w:rPr>
        <w:t>'</w:t>
      </w:r>
      <w:r w:rsidRPr="00C87834">
        <w:rPr>
          <w:rFonts w:cs="Arial"/>
          <w:rtl/>
        </w:rPr>
        <w:t xml:space="preserve"> מיקרי ונראה כמתנה לדחות את השבת</w:t>
      </w:r>
      <w:r>
        <w:rPr>
          <w:rFonts w:cs="Arial" w:hint="cs"/>
          <w:rtl/>
        </w:rPr>
        <w:t>,</w:t>
      </w:r>
      <w:r w:rsidRPr="00C87834">
        <w:rPr>
          <w:rFonts w:cs="Arial"/>
          <w:rtl/>
        </w:rPr>
        <w:t xml:space="preserve"> ובסוף פרק מי שאחזו </w:t>
      </w:r>
      <w:r w:rsidRPr="00A7536D">
        <w:rPr>
          <w:rFonts w:cs="Arial"/>
          <w:sz w:val="16"/>
          <w:szCs w:val="16"/>
          <w:rtl/>
        </w:rPr>
        <w:t xml:space="preserve">(גיטין עז.) </w:t>
      </w:r>
      <w:r w:rsidRPr="00C87834">
        <w:rPr>
          <w:rFonts w:cs="Arial"/>
          <w:rtl/>
        </w:rPr>
        <w:t>אמרינן דארבעה וחמשה ומעלי שבתא קמי שבתא</w:t>
      </w:r>
      <w:r>
        <w:rPr>
          <w:rFonts w:cs="Arial" w:hint="cs"/>
          <w:sz w:val="16"/>
          <w:szCs w:val="16"/>
          <w:rtl/>
        </w:rPr>
        <w:t xml:space="preserve"> (ל' הב"י בשם הר"ן בשם הרז"ה)</w:t>
      </w:r>
      <w:r>
        <w:rPr>
          <w:rFonts w:cs="Arial" w:hint="cs"/>
          <w:rtl/>
        </w:rPr>
        <w:t>.</w:t>
      </w:r>
      <w:r w:rsidRPr="00C87834">
        <w:rPr>
          <w:rFonts w:cs="Arial"/>
          <w:rtl/>
        </w:rPr>
        <w:t xml:space="preserve"> </w:t>
      </w:r>
    </w:p>
    <w:p w14:paraId="151BFC6B" w14:textId="77777777" w:rsidR="004B2E7C" w:rsidRDefault="004B2E7C" w:rsidP="00FF2D21">
      <w:pPr>
        <w:pStyle w:val="aa"/>
        <w:numPr>
          <w:ilvl w:val="0"/>
          <w:numId w:val="105"/>
        </w:numPr>
        <w:rPr>
          <w:rFonts w:cs="Arial"/>
        </w:rPr>
      </w:pPr>
      <w:r w:rsidRPr="00C87834">
        <w:rPr>
          <w:rFonts w:cs="Arial"/>
          <w:rtl/>
        </w:rPr>
        <w:t xml:space="preserve">רא"ש </w:t>
      </w:r>
      <w:r w:rsidRPr="00FE2575">
        <w:rPr>
          <w:rFonts w:cs="Arial"/>
          <w:sz w:val="16"/>
          <w:szCs w:val="16"/>
          <w:rtl/>
        </w:rPr>
        <w:t>(סי' לח)</w:t>
      </w:r>
      <w:r>
        <w:rPr>
          <w:rFonts w:cs="Arial" w:hint="cs"/>
          <w:rtl/>
        </w:rPr>
        <w:t>-</w:t>
      </w:r>
      <w:r w:rsidRPr="00C87834">
        <w:rPr>
          <w:rFonts w:cs="Arial"/>
          <w:rtl/>
        </w:rPr>
        <w:t xml:space="preserve"> יום רביעי מותר</w:t>
      </w:r>
      <w:r>
        <w:rPr>
          <w:rFonts w:cs="Arial" w:hint="cs"/>
          <w:rtl/>
        </w:rPr>
        <w:t>,</w:t>
      </w:r>
      <w:r w:rsidRPr="00C87834">
        <w:rPr>
          <w:rFonts w:cs="Arial"/>
          <w:rtl/>
        </w:rPr>
        <w:t xml:space="preserve"> דהא דתני בתוספתא בית הלל מתירין ארביעי נמי קאי</w:t>
      </w:r>
      <w:r>
        <w:rPr>
          <w:rFonts w:cs="Arial" w:hint="cs"/>
          <w:sz w:val="16"/>
          <w:szCs w:val="16"/>
          <w:rtl/>
        </w:rPr>
        <w:t xml:space="preserve"> (ל' הב"י בשמו)</w:t>
      </w:r>
      <w:r w:rsidRPr="00C87834">
        <w:rPr>
          <w:rFonts w:cs="Arial"/>
          <w:rtl/>
        </w:rPr>
        <w:t xml:space="preserve">. </w:t>
      </w:r>
    </w:p>
    <w:p w14:paraId="6DAF4832" w14:textId="77777777" w:rsidR="004B2E7C" w:rsidRDefault="004B2E7C" w:rsidP="00FF2D21">
      <w:pPr>
        <w:pStyle w:val="aa"/>
        <w:numPr>
          <w:ilvl w:val="0"/>
          <w:numId w:val="105"/>
        </w:numPr>
        <w:rPr>
          <w:rFonts w:cs="Arial"/>
        </w:rPr>
      </w:pPr>
      <w:r w:rsidRPr="00C87834">
        <w:rPr>
          <w:rFonts w:cs="Arial"/>
          <w:rtl/>
        </w:rPr>
        <w:t>רמב"ן</w:t>
      </w:r>
      <w:r w:rsidRPr="00FE2575">
        <w:rPr>
          <w:rFonts w:cs="Arial" w:hint="cs"/>
          <w:sz w:val="16"/>
          <w:szCs w:val="16"/>
          <w:rtl/>
        </w:rPr>
        <w:t xml:space="preserve"> (כ"כ בשמו רי"ו [</w:t>
      </w:r>
      <w:r w:rsidRPr="00FE2575">
        <w:rPr>
          <w:rFonts w:cs="Arial"/>
          <w:sz w:val="16"/>
          <w:szCs w:val="16"/>
          <w:rtl/>
        </w:rPr>
        <w:t>חי"ח ני"ב קא ריש ע"ב</w:t>
      </w:r>
      <w:r w:rsidRPr="00FE2575">
        <w:rPr>
          <w:rFonts w:cs="Arial" w:hint="cs"/>
          <w:sz w:val="16"/>
          <w:szCs w:val="16"/>
          <w:rtl/>
        </w:rPr>
        <w:t>]</w:t>
      </w:r>
      <w:r w:rsidRPr="00FE2575">
        <w:rPr>
          <w:rFonts w:cs="Arial"/>
          <w:sz w:val="16"/>
          <w:szCs w:val="16"/>
          <w:rtl/>
        </w:rPr>
        <w:t>)</w:t>
      </w:r>
      <w:r>
        <w:rPr>
          <w:rFonts w:cs="Arial" w:hint="cs"/>
          <w:rtl/>
        </w:rPr>
        <w:t>-</w:t>
      </w:r>
      <w:r w:rsidRPr="00C87834">
        <w:rPr>
          <w:rFonts w:cs="Arial"/>
          <w:rtl/>
        </w:rPr>
        <w:t xml:space="preserve"> בחמישי נמי שרי</w:t>
      </w:r>
      <w:r>
        <w:rPr>
          <w:rFonts w:cs="Arial" w:hint="cs"/>
          <w:rtl/>
        </w:rPr>
        <w:t>,</w:t>
      </w:r>
      <w:r w:rsidRPr="00C87834">
        <w:rPr>
          <w:rFonts w:cs="Arial"/>
          <w:rtl/>
        </w:rPr>
        <w:t xml:space="preserve"> שיום שבת יום ג' להפלגתו הוא</w:t>
      </w:r>
      <w:r>
        <w:rPr>
          <w:rStyle w:val="a9"/>
          <w:rFonts w:cs="Arial"/>
          <w:rtl/>
        </w:rPr>
        <w:footnoteReference w:id="180"/>
      </w:r>
      <w:r>
        <w:rPr>
          <w:rFonts w:cs="Arial" w:hint="cs"/>
          <w:sz w:val="16"/>
          <w:szCs w:val="16"/>
          <w:rtl/>
        </w:rPr>
        <w:t xml:space="preserve"> (ל' הב"י)</w:t>
      </w:r>
      <w:r>
        <w:rPr>
          <w:rFonts w:cs="Arial" w:hint="cs"/>
          <w:rtl/>
        </w:rPr>
        <w:t>.</w:t>
      </w:r>
    </w:p>
    <w:p w14:paraId="78719042" w14:textId="77777777" w:rsidR="004B2E7C" w:rsidRPr="00823DAA" w:rsidRDefault="004B2E7C" w:rsidP="00434A6A">
      <w:pPr>
        <w:rPr>
          <w:rFonts w:cs="Arial"/>
          <w:u w:val="single"/>
          <w:rtl/>
        </w:rPr>
      </w:pPr>
      <w:r w:rsidRPr="00823DAA">
        <w:rPr>
          <w:rFonts w:cs="Arial" w:hint="cs"/>
          <w:u w:val="single"/>
          <w:rtl/>
        </w:rPr>
        <w:t>הפלגה בספינה קודם השבת</w:t>
      </w:r>
      <w:r>
        <w:rPr>
          <w:rFonts w:cs="Arial" w:hint="cs"/>
          <w:u w:val="single"/>
          <w:rtl/>
        </w:rPr>
        <w:t xml:space="preserve"> לדרך שהיא מהלך יום אחד</w:t>
      </w:r>
      <w:r w:rsidRPr="00823DAA">
        <w:rPr>
          <w:rFonts w:cs="Arial" w:hint="cs"/>
          <w:u w:val="single"/>
          <w:rtl/>
        </w:rPr>
        <w:t>:</w:t>
      </w:r>
    </w:p>
    <w:p w14:paraId="37B83BF9" w14:textId="77777777" w:rsidR="004B2E7C" w:rsidRPr="00823DAA" w:rsidRDefault="004B2E7C" w:rsidP="00FF2D21">
      <w:pPr>
        <w:pStyle w:val="aa"/>
        <w:numPr>
          <w:ilvl w:val="0"/>
          <w:numId w:val="105"/>
        </w:numPr>
        <w:rPr>
          <w:rFonts w:cs="Arial"/>
          <w:rtl/>
        </w:rPr>
      </w:pPr>
      <w:r w:rsidRPr="00823DAA">
        <w:rPr>
          <w:rFonts w:cs="Arial"/>
          <w:rtl/>
        </w:rPr>
        <w:t xml:space="preserve">רמב"ם </w:t>
      </w:r>
      <w:r w:rsidRPr="00823DAA">
        <w:rPr>
          <w:rFonts w:cs="Arial" w:hint="cs"/>
          <w:sz w:val="16"/>
          <w:szCs w:val="16"/>
          <w:rtl/>
        </w:rPr>
        <w:t>(</w:t>
      </w:r>
      <w:r w:rsidRPr="00823DAA">
        <w:rPr>
          <w:rFonts w:cs="Arial"/>
          <w:sz w:val="16"/>
          <w:szCs w:val="16"/>
          <w:rtl/>
        </w:rPr>
        <w:t>פ"ל הי"ג)</w:t>
      </w:r>
      <w:r w:rsidRPr="00823DAA">
        <w:rPr>
          <w:rFonts w:cs="Arial" w:hint="cs"/>
          <w:rtl/>
        </w:rPr>
        <w:t xml:space="preserve">- </w:t>
      </w:r>
      <w:r w:rsidRPr="00823DAA">
        <w:rPr>
          <w:rFonts w:cs="Arial"/>
          <w:rtl/>
        </w:rPr>
        <w:t>ומצור לצידן וכיוצא בהן אפילו לדבר הרשות מותר להפליג בערב שבת</w:t>
      </w:r>
      <w:r>
        <w:rPr>
          <w:rFonts w:cs="Arial" w:hint="cs"/>
          <w:rtl/>
        </w:rPr>
        <w:t>.</w:t>
      </w:r>
      <w:r w:rsidRPr="00823DAA">
        <w:rPr>
          <w:rFonts w:cs="Arial"/>
          <w:rtl/>
        </w:rPr>
        <w:t xml:space="preserve"> ומקום שנהגו שלא יפליגו בערב שבת כלל אין מפליגין.</w:t>
      </w:r>
      <w:r w:rsidRPr="00747CFE">
        <w:rPr>
          <w:rFonts w:cs="Arial"/>
          <w:rtl/>
        </w:rPr>
        <w:t xml:space="preserve"> </w:t>
      </w:r>
      <w:r w:rsidRPr="00ED4352">
        <w:rPr>
          <w:rFonts w:hint="cs"/>
          <w:color w:val="E36C0A" w:themeColor="accent6" w:themeShade="BF"/>
          <w:rtl/>
        </w:rPr>
        <w:t>(וכ"פ בשו"ע)</w:t>
      </w:r>
    </w:p>
    <w:p w14:paraId="31E18D02" w14:textId="77777777" w:rsidR="004B2E7C" w:rsidRPr="00823DAA" w:rsidRDefault="004B2E7C" w:rsidP="00FF2D21">
      <w:pPr>
        <w:pStyle w:val="aa"/>
        <w:numPr>
          <w:ilvl w:val="0"/>
          <w:numId w:val="105"/>
        </w:numPr>
        <w:rPr>
          <w:rFonts w:cs="Arial"/>
        </w:rPr>
      </w:pPr>
      <w:r w:rsidRPr="000E2D07">
        <w:rPr>
          <w:rFonts w:cs="Arial" w:hint="cs"/>
          <w:rtl/>
        </w:rPr>
        <w:t xml:space="preserve">טור- </w:t>
      </w:r>
      <w:r w:rsidRPr="00823DAA">
        <w:rPr>
          <w:rFonts w:cs="Arial"/>
          <w:rtl/>
        </w:rPr>
        <w:t>דרך מועט כמו מצור לצידון שלא היה ביניהם רק מהלך יום מותר אפילו בע"ש</w:t>
      </w:r>
      <w:r>
        <w:rPr>
          <w:rFonts w:cs="Arial" w:hint="cs"/>
          <w:rtl/>
        </w:rPr>
        <w:t>.</w:t>
      </w:r>
    </w:p>
    <w:p w14:paraId="34EB5F7E" w14:textId="77777777" w:rsidR="004B2E7C" w:rsidRPr="007C1CD4" w:rsidRDefault="004B2E7C" w:rsidP="00434A6A">
      <w:pPr>
        <w:ind w:left="360"/>
        <w:rPr>
          <w:rFonts w:cs="Arial"/>
          <w:u w:val="dotted"/>
        </w:rPr>
      </w:pPr>
      <w:r>
        <w:rPr>
          <w:rFonts w:cs="Arial" w:hint="cs"/>
          <w:u w:val="dotted"/>
          <w:rtl/>
        </w:rPr>
        <w:t xml:space="preserve">ומה הדין אם </w:t>
      </w:r>
      <w:r w:rsidRPr="007C1CD4">
        <w:rPr>
          <w:rFonts w:cs="Arial" w:hint="cs"/>
          <w:u w:val="dotted"/>
          <w:rtl/>
        </w:rPr>
        <w:t xml:space="preserve">לפעמים </w:t>
      </w:r>
      <w:r>
        <w:rPr>
          <w:rFonts w:cs="Arial" w:hint="cs"/>
          <w:u w:val="dotted"/>
          <w:rtl/>
        </w:rPr>
        <w:t xml:space="preserve">הדרך </w:t>
      </w:r>
      <w:r w:rsidRPr="007C1CD4">
        <w:rPr>
          <w:rFonts w:cs="Arial" w:hint="cs"/>
          <w:u w:val="dotted"/>
          <w:rtl/>
        </w:rPr>
        <w:t>לוקחת יותר מיום אחד</w:t>
      </w:r>
      <w:r>
        <w:rPr>
          <w:rFonts w:cs="Arial" w:hint="cs"/>
          <w:u w:val="dotted"/>
          <w:rtl/>
        </w:rPr>
        <w:t>:</w:t>
      </w:r>
    </w:p>
    <w:p w14:paraId="44BB2F7A" w14:textId="77777777" w:rsidR="004B2E7C" w:rsidRDefault="004B2E7C" w:rsidP="00FF2D21">
      <w:pPr>
        <w:pStyle w:val="aa"/>
        <w:numPr>
          <w:ilvl w:val="0"/>
          <w:numId w:val="105"/>
        </w:numPr>
        <w:rPr>
          <w:rFonts w:cs="Arial"/>
        </w:rPr>
      </w:pPr>
      <w:r>
        <w:rPr>
          <w:rFonts w:cs="Arial" w:hint="cs"/>
          <w:rtl/>
        </w:rPr>
        <w:t xml:space="preserve">ב"י- </w:t>
      </w:r>
      <w:r w:rsidRPr="007C1CD4">
        <w:rPr>
          <w:rFonts w:cs="Arial"/>
          <w:rtl/>
        </w:rPr>
        <w:t>ונראה שאף על פי שלפעמים מתאחרים יותר מיום אחד</w:t>
      </w:r>
      <w:r w:rsidRPr="007C1CD4">
        <w:rPr>
          <w:rFonts w:cs="Arial" w:hint="cs"/>
          <w:rtl/>
        </w:rPr>
        <w:t>,</w:t>
      </w:r>
      <w:r w:rsidRPr="007C1CD4">
        <w:rPr>
          <w:rFonts w:cs="Arial"/>
          <w:rtl/>
        </w:rPr>
        <w:t xml:space="preserve"> אם כשיש רוח טוב הולכים ביום אחד </w:t>
      </w:r>
      <w:r w:rsidRPr="007C1CD4">
        <w:rPr>
          <w:rFonts w:cs="Arial" w:hint="cs"/>
          <w:rtl/>
        </w:rPr>
        <w:t xml:space="preserve">- </w:t>
      </w:r>
      <w:r w:rsidRPr="007C1CD4">
        <w:rPr>
          <w:rFonts w:cs="Arial"/>
          <w:rtl/>
        </w:rPr>
        <w:t>שרי להפליג בע"ש</w:t>
      </w:r>
      <w:r w:rsidRPr="007C1CD4">
        <w:rPr>
          <w:rFonts w:cs="Arial" w:hint="cs"/>
          <w:rtl/>
        </w:rPr>
        <w:t>.</w:t>
      </w:r>
      <w:r w:rsidRPr="007C1CD4">
        <w:rPr>
          <w:rFonts w:cs="Arial"/>
          <w:rtl/>
        </w:rPr>
        <w:t xml:space="preserve"> וכן כתבו סמ"ג (לאוין סה יז ע"ד) והתרומה (סי' רכה עיין שם)</w:t>
      </w:r>
      <w:r w:rsidRPr="007C1CD4">
        <w:rPr>
          <w:rFonts w:cs="Arial" w:hint="cs"/>
          <w:rtl/>
        </w:rPr>
        <w:t>.</w:t>
      </w:r>
      <w:r w:rsidRPr="007C1CD4">
        <w:rPr>
          <w:rFonts w:cs="Arial"/>
          <w:rtl/>
        </w:rPr>
        <w:t xml:space="preserve"> מיהו הני מילי בשיש שהות מעת שהספינה מפלגת להגיע שם קודם הלילה על ידי רוח טוב</w:t>
      </w:r>
      <w:r w:rsidRPr="007C1CD4">
        <w:rPr>
          <w:rFonts w:cs="Arial" w:hint="cs"/>
          <w:rtl/>
        </w:rPr>
        <w:t>.</w:t>
      </w:r>
      <w:r w:rsidRPr="007C1CD4">
        <w:rPr>
          <w:rFonts w:cs="Arial"/>
          <w:rtl/>
        </w:rPr>
        <w:t xml:space="preserve"> אבל אם הוא מהלך יום אחד על ידי רוח טוב ושהה שעה אחת או שתים </w:t>
      </w:r>
      <w:r w:rsidRPr="007C1CD4">
        <w:rPr>
          <w:rFonts w:cs="Arial" w:hint="cs"/>
          <w:rtl/>
        </w:rPr>
        <w:t xml:space="preserve">- </w:t>
      </w:r>
      <w:r w:rsidRPr="007C1CD4">
        <w:rPr>
          <w:rFonts w:cs="Arial"/>
          <w:rtl/>
        </w:rPr>
        <w:t>אסור לו להפליג</w:t>
      </w:r>
      <w:r w:rsidRPr="007C1CD4">
        <w:rPr>
          <w:rFonts w:cs="Arial" w:hint="cs"/>
          <w:rtl/>
        </w:rPr>
        <w:t>.</w:t>
      </w:r>
      <w:r w:rsidRPr="007C1CD4">
        <w:rPr>
          <w:rFonts w:cs="Arial"/>
          <w:rtl/>
        </w:rPr>
        <w:t xml:space="preserve"> שהרי אי אפשר להגיע שם קודם הלילה אפילו על ידי רוח טוב</w:t>
      </w:r>
      <w:r w:rsidRPr="007C1CD4">
        <w:rPr>
          <w:rFonts w:cs="Arial" w:hint="cs"/>
          <w:rtl/>
        </w:rPr>
        <w:t>.</w:t>
      </w:r>
      <w:r w:rsidRPr="007C1CD4">
        <w:rPr>
          <w:rFonts w:cs="Arial"/>
          <w:rtl/>
        </w:rPr>
        <w:t xml:space="preserve"> וכן נראה מדברי סמ"ג (שם)</w:t>
      </w:r>
      <w:r w:rsidRPr="007C1CD4">
        <w:rPr>
          <w:rFonts w:cs="Arial" w:hint="cs"/>
          <w:rtl/>
        </w:rPr>
        <w:t>.</w:t>
      </w:r>
      <w:r w:rsidRPr="00747CFE">
        <w:rPr>
          <w:rFonts w:cs="Arial"/>
          <w:rtl/>
        </w:rPr>
        <w:t xml:space="preserve"> </w:t>
      </w:r>
      <w:r w:rsidRPr="00ED4352">
        <w:rPr>
          <w:rFonts w:hint="cs"/>
          <w:color w:val="E36C0A" w:themeColor="accent6" w:themeShade="BF"/>
          <w:rtl/>
        </w:rPr>
        <w:t>(וכ"פ בשו"ע)</w:t>
      </w:r>
    </w:p>
    <w:p w14:paraId="5C1938D4" w14:textId="77777777" w:rsidR="004B2E7C" w:rsidRPr="00915985" w:rsidRDefault="004B2E7C" w:rsidP="00434A6A">
      <w:pPr>
        <w:rPr>
          <w:rFonts w:cs="Arial"/>
          <w:rtl/>
        </w:rPr>
      </w:pPr>
      <w:bookmarkStart w:id="3" w:name="_Hlk68102396"/>
      <w:r>
        <w:rPr>
          <w:rFonts w:cs="Arial" w:hint="cs"/>
          <w:b/>
          <w:bCs/>
          <w:rtl/>
        </w:rPr>
        <w:t xml:space="preserve">פסחים </w:t>
      </w:r>
      <w:r>
        <w:rPr>
          <w:rFonts w:cs="Arial" w:hint="cs"/>
          <w:b/>
          <w:bCs/>
          <w:sz w:val="16"/>
          <w:szCs w:val="16"/>
          <w:rtl/>
        </w:rPr>
        <w:t>(פ' מקום שנהגו)</w:t>
      </w:r>
      <w:r>
        <w:rPr>
          <w:rFonts w:cs="Arial" w:hint="cs"/>
          <w:b/>
          <w:bCs/>
          <w:rtl/>
        </w:rPr>
        <w:t xml:space="preserve"> נ ע"ב: </w:t>
      </w:r>
      <w:bookmarkEnd w:id="3"/>
      <w:r w:rsidRPr="00915985">
        <w:rPr>
          <w:rFonts w:cs="Arial"/>
          <w:rtl/>
        </w:rPr>
        <w:t xml:space="preserve">בני ביישן נהוג דלא הוו אזלין מצור לצידון במעלי שבתא. אתו בנייהו קמיה דרבי יוחנן, </w:t>
      </w:r>
      <w:r w:rsidRPr="00915985">
        <w:rPr>
          <w:rFonts w:cs="Arial"/>
          <w:u w:val="single"/>
          <w:rtl/>
        </w:rPr>
        <w:t>אמרו לו</w:t>
      </w:r>
      <w:r w:rsidRPr="00915985">
        <w:rPr>
          <w:rFonts w:cs="Arial"/>
          <w:rtl/>
        </w:rPr>
        <w:t xml:space="preserve">: אבהתין אפשר להו, אנן לא אפשר לן. </w:t>
      </w:r>
      <w:r w:rsidRPr="00915985">
        <w:rPr>
          <w:rFonts w:cs="Arial"/>
          <w:u w:val="single"/>
          <w:rtl/>
        </w:rPr>
        <w:t>אמר להו</w:t>
      </w:r>
      <w:r w:rsidRPr="00915985">
        <w:rPr>
          <w:rFonts w:cs="Arial"/>
          <w:rtl/>
        </w:rPr>
        <w:t>: כבר קיבלו אבותיכם עליהם, שנאמר שמע בני מוסר אביך ואל תטש תורת אמך.</w:t>
      </w:r>
    </w:p>
    <w:p w14:paraId="4EA6113B" w14:textId="77777777" w:rsidR="004B2E7C" w:rsidRPr="00823DAA" w:rsidRDefault="004B2E7C" w:rsidP="00434A6A">
      <w:pPr>
        <w:rPr>
          <w:rFonts w:cs="Arial"/>
          <w:u w:val="single"/>
          <w:rtl/>
        </w:rPr>
      </w:pPr>
      <w:r>
        <w:rPr>
          <w:rFonts w:cs="Arial" w:hint="cs"/>
          <w:u w:val="single"/>
          <w:rtl/>
        </w:rPr>
        <w:t>מקום שנהגו לא להפליג כלל בערב שבת</w:t>
      </w:r>
      <w:r w:rsidRPr="00823DAA">
        <w:rPr>
          <w:rFonts w:cs="Arial" w:hint="cs"/>
          <w:u w:val="single"/>
          <w:rtl/>
        </w:rPr>
        <w:t>:</w:t>
      </w:r>
    </w:p>
    <w:p w14:paraId="53EFD3B5" w14:textId="77777777" w:rsidR="004B2E7C" w:rsidRPr="00AF4F25" w:rsidRDefault="004B2E7C" w:rsidP="00FF2D21">
      <w:pPr>
        <w:pStyle w:val="aa"/>
        <w:numPr>
          <w:ilvl w:val="0"/>
          <w:numId w:val="105"/>
        </w:numPr>
        <w:rPr>
          <w:rFonts w:cs="Arial"/>
          <w:rtl/>
        </w:rPr>
      </w:pPr>
      <w:r w:rsidRPr="00823DAA">
        <w:rPr>
          <w:rFonts w:cs="Arial"/>
          <w:rtl/>
        </w:rPr>
        <w:t xml:space="preserve">רמב"ם </w:t>
      </w:r>
      <w:r w:rsidRPr="00823DAA">
        <w:rPr>
          <w:rFonts w:cs="Arial" w:hint="cs"/>
          <w:sz w:val="16"/>
          <w:szCs w:val="16"/>
          <w:rtl/>
        </w:rPr>
        <w:t>(</w:t>
      </w:r>
      <w:r w:rsidRPr="00823DAA">
        <w:rPr>
          <w:rFonts w:cs="Arial"/>
          <w:sz w:val="16"/>
          <w:szCs w:val="16"/>
          <w:rtl/>
        </w:rPr>
        <w:t>פ"ל הי"ג)</w:t>
      </w:r>
      <w:r w:rsidRPr="00823DAA">
        <w:rPr>
          <w:rFonts w:cs="Arial" w:hint="cs"/>
          <w:rtl/>
        </w:rPr>
        <w:t>-</w:t>
      </w:r>
      <w:r w:rsidRPr="00823DAA">
        <w:rPr>
          <w:rFonts w:cs="Arial"/>
          <w:rtl/>
        </w:rPr>
        <w:t xml:space="preserve"> ומקום שנהגו שלא יפליגו בערב שבת כלל אין מפליגין</w:t>
      </w:r>
      <w:r>
        <w:rPr>
          <w:rStyle w:val="a9"/>
          <w:rFonts w:cs="Arial"/>
          <w:rtl/>
        </w:rPr>
        <w:footnoteReference w:id="181"/>
      </w:r>
      <w:r w:rsidRPr="00823DAA">
        <w:rPr>
          <w:rFonts w:cs="Arial"/>
          <w:rtl/>
        </w:rPr>
        <w:t>.</w:t>
      </w:r>
      <w:r w:rsidRPr="00747CFE">
        <w:rPr>
          <w:rFonts w:cs="Arial"/>
          <w:rtl/>
        </w:rPr>
        <w:t xml:space="preserve"> </w:t>
      </w:r>
      <w:r w:rsidRPr="00ED4352">
        <w:rPr>
          <w:rFonts w:hint="cs"/>
          <w:color w:val="E36C0A" w:themeColor="accent6" w:themeShade="BF"/>
          <w:rtl/>
        </w:rPr>
        <w:t>(וכ"פ בשו"ע)</w:t>
      </w:r>
    </w:p>
    <w:p w14:paraId="3299A756"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BB56D40" w14:textId="77777777" w:rsidR="004B2E7C" w:rsidRDefault="004B2E7C" w:rsidP="00434A6A">
      <w:pPr>
        <w:rPr>
          <w:rtl/>
        </w:rPr>
      </w:pPr>
      <w:r>
        <w:rPr>
          <w:rFonts w:cs="Arial"/>
          <w:rtl/>
        </w:rPr>
        <w:t>מותר להפליג בספינה אפי</w:t>
      </w:r>
      <w:r>
        <w:rPr>
          <w:rFonts w:cs="Arial" w:hint="cs"/>
          <w:rtl/>
        </w:rPr>
        <w:t>לו</w:t>
      </w:r>
      <w:r>
        <w:rPr>
          <w:rFonts w:cs="Arial"/>
          <w:rtl/>
        </w:rPr>
        <w:t xml:space="preserve"> בערב שבת</w:t>
      </w:r>
      <w:r>
        <w:rPr>
          <w:rStyle w:val="a9"/>
          <w:rFonts w:cs="Arial"/>
          <w:rtl/>
        </w:rPr>
        <w:footnoteReference w:id="182"/>
      </w:r>
      <w:r>
        <w:rPr>
          <w:rFonts w:cs="Arial"/>
          <w:rtl/>
        </w:rPr>
        <w:t>, אם הולך לדבר מצוה</w:t>
      </w:r>
      <w:r>
        <w:rPr>
          <w:rFonts w:cs="Arial" w:hint="cs"/>
          <w:rtl/>
        </w:rPr>
        <w:t>.</w:t>
      </w:r>
      <w:r>
        <w:rPr>
          <w:rFonts w:cs="Arial"/>
          <w:rtl/>
        </w:rPr>
        <w:t xml:space="preserve"> ופוסק עמו</w:t>
      </w:r>
      <w:r>
        <w:rPr>
          <w:rStyle w:val="a9"/>
          <w:rFonts w:cs="Arial"/>
          <w:rtl/>
        </w:rPr>
        <w:footnoteReference w:id="183"/>
      </w:r>
      <w:r>
        <w:rPr>
          <w:rFonts w:cs="Arial"/>
          <w:rtl/>
        </w:rPr>
        <w:t xml:space="preserve"> שישבות</w:t>
      </w:r>
      <w:r>
        <w:rPr>
          <w:rStyle w:val="a9"/>
          <w:rFonts w:cs="Arial"/>
          <w:rtl/>
        </w:rPr>
        <w:footnoteReference w:id="184"/>
      </w:r>
      <w:r>
        <w:rPr>
          <w:rFonts w:cs="Arial"/>
          <w:rtl/>
        </w:rPr>
        <w:t>, ואם אח</w:t>
      </w:r>
      <w:r>
        <w:rPr>
          <w:rFonts w:cs="Arial" w:hint="cs"/>
          <w:rtl/>
        </w:rPr>
        <w:t xml:space="preserve">ר </w:t>
      </w:r>
      <w:r>
        <w:rPr>
          <w:rFonts w:cs="Arial"/>
          <w:rtl/>
        </w:rPr>
        <w:t>כ</w:t>
      </w:r>
      <w:r>
        <w:rPr>
          <w:rFonts w:cs="Arial" w:hint="cs"/>
          <w:rtl/>
        </w:rPr>
        <w:t>ך</w:t>
      </w:r>
      <w:r>
        <w:rPr>
          <w:rFonts w:cs="Arial"/>
          <w:rtl/>
        </w:rPr>
        <w:t xml:space="preserve"> לא ישבות אין בכך כלום</w:t>
      </w:r>
      <w:r>
        <w:rPr>
          <w:rFonts w:cs="Arial" w:hint="cs"/>
          <w:rtl/>
        </w:rPr>
        <w:t>.</w:t>
      </w:r>
      <w:r>
        <w:rPr>
          <w:rFonts w:cs="Arial"/>
          <w:rtl/>
        </w:rPr>
        <w:t xml:space="preserve"> אבל לדבר הרשות אין מפליגין בספינה פחות מג' ימים</w:t>
      </w:r>
      <w:r>
        <w:rPr>
          <w:rStyle w:val="a9"/>
          <w:rFonts w:cs="Arial"/>
          <w:rtl/>
        </w:rPr>
        <w:footnoteReference w:id="185"/>
      </w:r>
      <w:r>
        <w:rPr>
          <w:rFonts w:cs="Arial"/>
          <w:rtl/>
        </w:rPr>
        <w:t xml:space="preserve"> קודם השבת</w:t>
      </w:r>
      <w:r>
        <w:rPr>
          <w:rStyle w:val="a9"/>
          <w:rFonts w:cs="Arial"/>
          <w:rtl/>
        </w:rPr>
        <w:footnoteReference w:id="186"/>
      </w:r>
      <w:r>
        <w:rPr>
          <w:rFonts w:cs="Arial"/>
          <w:rtl/>
        </w:rPr>
        <w:t xml:space="preserve">. </w:t>
      </w:r>
      <w:r w:rsidRPr="00B72CF0">
        <w:rPr>
          <w:rFonts w:cs="Arial"/>
          <w:sz w:val="18"/>
          <w:szCs w:val="18"/>
          <w:rtl/>
        </w:rPr>
        <w:t>הגה: אבל קודם שלשה ימים שרי, אפי' בספינה שמושכים אותה ע"י בהמות</w:t>
      </w:r>
      <w:r>
        <w:rPr>
          <w:rStyle w:val="a9"/>
          <w:rFonts w:cs="Arial"/>
          <w:sz w:val="18"/>
          <w:szCs w:val="18"/>
          <w:rtl/>
        </w:rPr>
        <w:footnoteReference w:id="187"/>
      </w:r>
      <w:r w:rsidRPr="00B72CF0">
        <w:rPr>
          <w:rFonts w:cs="Arial"/>
          <w:sz w:val="18"/>
          <w:szCs w:val="18"/>
          <w:rtl/>
        </w:rPr>
        <w:t>, ואפילו אין בגובה המים י' טפחים</w:t>
      </w:r>
      <w:r>
        <w:rPr>
          <w:rStyle w:val="a9"/>
          <w:rFonts w:cs="Arial"/>
          <w:sz w:val="18"/>
          <w:szCs w:val="18"/>
          <w:rtl/>
        </w:rPr>
        <w:footnoteReference w:id="188"/>
      </w:r>
      <w:r w:rsidRPr="00B72CF0">
        <w:rPr>
          <w:rFonts w:cs="Arial"/>
          <w:sz w:val="18"/>
          <w:szCs w:val="18"/>
          <w:rtl/>
        </w:rPr>
        <w:t xml:space="preserve"> (מהרי"ק שורש מה) ואפילו במקום שיצטרך הישראל לעשות אחר כך מלאכה בשבת להוליך הספינה</w:t>
      </w:r>
      <w:r>
        <w:rPr>
          <w:rStyle w:val="a9"/>
          <w:rFonts w:cs="Arial"/>
          <w:sz w:val="18"/>
          <w:szCs w:val="18"/>
          <w:rtl/>
        </w:rPr>
        <w:footnoteReference w:id="189"/>
      </w:r>
      <w:r w:rsidRPr="00B72CF0">
        <w:rPr>
          <w:rFonts w:cs="Arial"/>
          <w:sz w:val="18"/>
          <w:szCs w:val="18"/>
          <w:rtl/>
        </w:rPr>
        <w:t xml:space="preserve"> (ריב"ש סי</w:t>
      </w:r>
      <w:r>
        <w:rPr>
          <w:rFonts w:cs="Arial" w:hint="cs"/>
          <w:sz w:val="18"/>
          <w:szCs w:val="18"/>
          <w:rtl/>
        </w:rPr>
        <w:t xml:space="preserve">' </w:t>
      </w:r>
      <w:r w:rsidRPr="00B72CF0">
        <w:rPr>
          <w:rFonts w:cs="Arial"/>
          <w:sz w:val="18"/>
          <w:szCs w:val="18"/>
          <w:rtl/>
        </w:rPr>
        <w:t>קא).</w:t>
      </w:r>
      <w:r>
        <w:rPr>
          <w:rFonts w:cs="Arial"/>
          <w:rtl/>
        </w:rPr>
        <w:t xml:space="preserve"> ואם הוא דרך מועט, כמו מצור לצידון שאין ביניהם כי אם מהלך יום אחד, מותר להפליג בערב שבת בבקר</w:t>
      </w:r>
      <w:r>
        <w:rPr>
          <w:rStyle w:val="a9"/>
          <w:rFonts w:cs="Arial"/>
          <w:rtl/>
        </w:rPr>
        <w:footnoteReference w:id="190"/>
      </w:r>
      <w:r>
        <w:rPr>
          <w:rFonts w:cs="Arial"/>
          <w:rtl/>
        </w:rPr>
        <w:t>, מפני שאפשר שיגיע שם קודם השבת</w:t>
      </w:r>
      <w:r>
        <w:rPr>
          <w:rFonts w:cs="Arial" w:hint="cs"/>
          <w:rtl/>
        </w:rPr>
        <w:t>.</w:t>
      </w:r>
      <w:r>
        <w:rPr>
          <w:rFonts w:cs="Arial"/>
          <w:rtl/>
        </w:rPr>
        <w:t xml:space="preserve"> ומקום שנהגו שלא להפליג בערב שבת כלל, אפילו דרך מועט, אין מפליגין. </w:t>
      </w:r>
    </w:p>
    <w:p w14:paraId="0A2D1662" w14:textId="77777777" w:rsidR="004B2E7C" w:rsidRDefault="004B2E7C" w:rsidP="00434A6A">
      <w:pPr>
        <w:rPr>
          <w:rtl/>
        </w:rPr>
      </w:pPr>
    </w:p>
    <w:p w14:paraId="7EC050D0" w14:textId="77777777" w:rsidR="004B2E7C" w:rsidRDefault="004B2E7C" w:rsidP="00434A6A">
      <w:pPr>
        <w:pStyle w:val="2"/>
        <w:rPr>
          <w:rtl/>
        </w:rPr>
      </w:pPr>
      <w:r>
        <w:rPr>
          <w:rtl/>
        </w:rPr>
        <w:t>סעיף ב</w:t>
      </w:r>
      <w:r>
        <w:rPr>
          <w:rFonts w:hint="cs"/>
          <w:rtl/>
        </w:rPr>
        <w:t>: טעם האיסור להפליג בספינה בערב שבת. ומתי מותר להפליג גם בערב שבת.</w:t>
      </w:r>
    </w:p>
    <w:p w14:paraId="32E94A01" w14:textId="77777777" w:rsidR="004B2E7C" w:rsidRPr="005811CD" w:rsidRDefault="004B2E7C" w:rsidP="00434A6A">
      <w:pPr>
        <w:rPr>
          <w:u w:val="single"/>
          <w:rtl/>
        </w:rPr>
      </w:pPr>
      <w:r>
        <w:rPr>
          <w:rFonts w:hint="cs"/>
          <w:u w:val="single"/>
          <w:rtl/>
        </w:rPr>
        <w:t xml:space="preserve">מדוע </w:t>
      </w:r>
      <w:r w:rsidRPr="005811CD">
        <w:rPr>
          <w:rFonts w:hint="cs"/>
          <w:u w:val="single"/>
          <w:rtl/>
        </w:rPr>
        <w:t>אסור להפליג בספינה בערב שבת:</w:t>
      </w:r>
    </w:p>
    <w:p w14:paraId="3AC8C761" w14:textId="77777777" w:rsidR="004B2E7C" w:rsidRPr="00865494" w:rsidRDefault="004B2E7C" w:rsidP="00FF2D21">
      <w:pPr>
        <w:pStyle w:val="aa"/>
        <w:numPr>
          <w:ilvl w:val="0"/>
          <w:numId w:val="105"/>
        </w:numPr>
        <w:rPr>
          <w:rFonts w:cs="Arial"/>
        </w:rPr>
      </w:pPr>
      <w:r>
        <w:rPr>
          <w:rFonts w:cs="Arial" w:hint="cs"/>
          <w:rtl/>
        </w:rPr>
        <w:t>ר"ח</w:t>
      </w:r>
      <w:r>
        <w:rPr>
          <w:rStyle w:val="a9"/>
          <w:rFonts w:cs="Arial"/>
          <w:rtl/>
        </w:rPr>
        <w:footnoteReference w:id="191"/>
      </w:r>
      <w:r>
        <w:rPr>
          <w:rFonts w:cs="Arial" w:hint="cs"/>
          <w:rtl/>
        </w:rPr>
        <w:t xml:space="preserve"> </w:t>
      </w:r>
      <w:r>
        <w:rPr>
          <w:rFonts w:cs="Arial" w:hint="cs"/>
          <w:sz w:val="16"/>
          <w:szCs w:val="16"/>
          <w:rtl/>
        </w:rPr>
        <w:t>(שבת יט.)</w:t>
      </w:r>
      <w:r>
        <w:rPr>
          <w:rFonts w:cs="Arial" w:hint="cs"/>
          <w:rtl/>
        </w:rPr>
        <w:t>-</w:t>
      </w:r>
      <w:r w:rsidRPr="000E2D07">
        <w:rPr>
          <w:rFonts w:cs="Arial"/>
          <w:rtl/>
        </w:rPr>
        <w:t xml:space="preserve"> הטעם משום איסור תחומין</w:t>
      </w:r>
      <w:r>
        <w:rPr>
          <w:rFonts w:cs="Arial" w:hint="cs"/>
          <w:rtl/>
        </w:rPr>
        <w:t>.</w:t>
      </w:r>
      <w:r w:rsidRPr="000E2D07">
        <w:rPr>
          <w:rFonts w:cs="Arial"/>
          <w:rtl/>
        </w:rPr>
        <w:t xml:space="preserve"> ולכך מתירין בספינה גדולה שהולכת למעלה מ</w:t>
      </w:r>
      <w:r>
        <w:rPr>
          <w:rFonts w:cs="Arial" w:hint="cs"/>
          <w:rtl/>
        </w:rPr>
        <w:t>עשרה</w:t>
      </w:r>
      <w:r w:rsidRPr="00865494">
        <w:rPr>
          <w:rStyle w:val="a9"/>
          <w:rFonts w:cs="Arial"/>
          <w:rtl/>
        </w:rPr>
        <w:footnoteReference w:id="192"/>
      </w:r>
      <w:r>
        <w:rPr>
          <w:rFonts w:cs="Arial" w:hint="cs"/>
          <w:sz w:val="16"/>
          <w:szCs w:val="16"/>
          <w:rtl/>
        </w:rPr>
        <w:t xml:space="preserve"> (ל' הטור)</w:t>
      </w:r>
      <w:r>
        <w:rPr>
          <w:rFonts w:cs="Arial" w:hint="cs"/>
          <w:rtl/>
        </w:rPr>
        <w:t>.</w:t>
      </w:r>
    </w:p>
    <w:p w14:paraId="4395A4DC" w14:textId="77777777" w:rsidR="004B2E7C" w:rsidRDefault="004B2E7C" w:rsidP="00FF2D21">
      <w:pPr>
        <w:pStyle w:val="aa"/>
        <w:numPr>
          <w:ilvl w:val="0"/>
          <w:numId w:val="105"/>
        </w:numPr>
        <w:rPr>
          <w:rFonts w:cs="Arial"/>
        </w:rPr>
      </w:pPr>
      <w:r w:rsidRPr="006A1B03">
        <w:rPr>
          <w:rFonts w:cs="Arial"/>
          <w:rtl/>
        </w:rPr>
        <w:t>רי"ף</w:t>
      </w:r>
      <w:r>
        <w:rPr>
          <w:rStyle w:val="a9"/>
          <w:rFonts w:cs="Arial"/>
          <w:rtl/>
        </w:rPr>
        <w:footnoteReference w:id="193"/>
      </w:r>
      <w:r w:rsidRPr="006A1B03">
        <w:rPr>
          <w:rFonts w:cs="Arial"/>
          <w:rtl/>
        </w:rPr>
        <w:t xml:space="preserve"> </w:t>
      </w:r>
      <w:r w:rsidRPr="00523802">
        <w:rPr>
          <w:rFonts w:cs="Arial"/>
          <w:sz w:val="16"/>
          <w:szCs w:val="16"/>
          <w:rtl/>
        </w:rPr>
        <w:t>(</w:t>
      </w:r>
      <w:r>
        <w:rPr>
          <w:rFonts w:cs="Arial" w:hint="cs"/>
          <w:sz w:val="16"/>
          <w:szCs w:val="16"/>
          <w:rtl/>
        </w:rPr>
        <w:t xml:space="preserve">שבת </w:t>
      </w:r>
      <w:r w:rsidRPr="00523802">
        <w:rPr>
          <w:rFonts w:cs="Arial"/>
          <w:sz w:val="16"/>
          <w:szCs w:val="16"/>
          <w:rtl/>
        </w:rPr>
        <w:t xml:space="preserve">ז:) </w:t>
      </w:r>
      <w:r>
        <w:rPr>
          <w:rFonts w:cs="Arial" w:hint="cs"/>
          <w:rtl/>
        </w:rPr>
        <w:t>רמב"ם</w:t>
      </w:r>
      <w:r>
        <w:rPr>
          <w:rStyle w:val="a9"/>
          <w:rFonts w:cs="Arial"/>
          <w:rtl/>
        </w:rPr>
        <w:footnoteReference w:id="194"/>
      </w:r>
      <w:r>
        <w:rPr>
          <w:rFonts w:cs="Arial" w:hint="cs"/>
          <w:rtl/>
        </w:rPr>
        <w:t xml:space="preserve"> </w:t>
      </w:r>
      <w:r w:rsidRPr="00823DAA">
        <w:rPr>
          <w:rFonts w:cs="Arial" w:hint="cs"/>
          <w:sz w:val="16"/>
          <w:szCs w:val="16"/>
          <w:rtl/>
        </w:rPr>
        <w:t>(</w:t>
      </w:r>
      <w:r w:rsidRPr="00823DAA">
        <w:rPr>
          <w:rFonts w:cs="Arial"/>
          <w:sz w:val="16"/>
          <w:szCs w:val="16"/>
          <w:rtl/>
        </w:rPr>
        <w:t>פ"ל הי"ג)</w:t>
      </w:r>
      <w:r>
        <w:rPr>
          <w:rFonts w:cs="Arial" w:hint="cs"/>
          <w:rtl/>
        </w:rPr>
        <w:t xml:space="preserve"> </w:t>
      </w:r>
      <w:r w:rsidRPr="006A1B03">
        <w:rPr>
          <w:rFonts w:cs="Arial"/>
          <w:rtl/>
        </w:rPr>
        <w:t xml:space="preserve">ורא"ש </w:t>
      </w:r>
      <w:r w:rsidRPr="00523802">
        <w:rPr>
          <w:rFonts w:cs="Arial"/>
          <w:sz w:val="16"/>
          <w:szCs w:val="16"/>
          <w:rtl/>
        </w:rPr>
        <w:t>(</w:t>
      </w:r>
      <w:r>
        <w:rPr>
          <w:rFonts w:cs="Arial" w:hint="cs"/>
          <w:sz w:val="16"/>
          <w:szCs w:val="16"/>
          <w:rtl/>
        </w:rPr>
        <w:t xml:space="preserve">שבת פ"ק </w:t>
      </w:r>
      <w:r w:rsidRPr="00523802">
        <w:rPr>
          <w:rFonts w:cs="Arial"/>
          <w:sz w:val="16"/>
          <w:szCs w:val="16"/>
          <w:rtl/>
        </w:rPr>
        <w:t>סי' לח)</w:t>
      </w:r>
      <w:r>
        <w:rPr>
          <w:rFonts w:cs="Arial" w:hint="cs"/>
          <w:rtl/>
        </w:rPr>
        <w:t>-</w:t>
      </w:r>
      <w:r w:rsidRPr="000E2D07">
        <w:rPr>
          <w:rFonts w:cs="Arial"/>
          <w:rtl/>
        </w:rPr>
        <w:t xml:space="preserve"> משום עונג שבת</w:t>
      </w:r>
      <w:r>
        <w:rPr>
          <w:rFonts w:cs="Arial" w:hint="cs"/>
          <w:rtl/>
        </w:rPr>
        <w:t>,</w:t>
      </w:r>
      <w:r w:rsidRPr="000E2D07">
        <w:rPr>
          <w:rFonts w:cs="Arial"/>
          <w:rtl/>
        </w:rPr>
        <w:t xml:space="preserve"> שכל ג' ימים הראשונים גופו משתבר ואין רוחו חוזרת עד אחר ג' ימים</w:t>
      </w:r>
      <w:r>
        <w:rPr>
          <w:rFonts w:cs="Arial" w:hint="cs"/>
          <w:rtl/>
        </w:rPr>
        <w:t>.</w:t>
      </w:r>
      <w:r w:rsidRPr="000E2D07">
        <w:rPr>
          <w:rFonts w:cs="Arial"/>
          <w:rtl/>
        </w:rPr>
        <w:t xml:space="preserve"> ולכן מתירין</w:t>
      </w:r>
      <w:r>
        <w:rPr>
          <w:rStyle w:val="a9"/>
          <w:rFonts w:cs="Arial"/>
          <w:rtl/>
        </w:rPr>
        <w:footnoteReference w:id="195"/>
      </w:r>
      <w:r w:rsidRPr="000E2D07">
        <w:rPr>
          <w:rFonts w:cs="Arial"/>
          <w:rtl/>
        </w:rPr>
        <w:t xml:space="preserve"> בנהרות הנובעים</w:t>
      </w:r>
      <w:r>
        <w:rPr>
          <w:rFonts w:cs="Arial" w:hint="cs"/>
          <w:rtl/>
        </w:rPr>
        <w:t>,</w:t>
      </w:r>
      <w:r w:rsidRPr="000E2D07">
        <w:rPr>
          <w:rFonts w:cs="Arial"/>
          <w:rtl/>
        </w:rPr>
        <w:t xml:space="preserve"> שאינו מצטער</w:t>
      </w:r>
      <w:r>
        <w:rPr>
          <w:rFonts w:cs="Arial" w:hint="cs"/>
          <w:sz w:val="16"/>
          <w:szCs w:val="16"/>
          <w:rtl/>
        </w:rPr>
        <w:t xml:space="preserve"> (ל' הטור)</w:t>
      </w:r>
      <w:r>
        <w:rPr>
          <w:rFonts w:cs="Arial" w:hint="cs"/>
          <w:rtl/>
        </w:rPr>
        <w:t>.</w:t>
      </w:r>
      <w:r w:rsidRPr="000E2D07">
        <w:rPr>
          <w:rFonts w:cs="Arial"/>
          <w:rtl/>
        </w:rPr>
        <w:t xml:space="preserve"> </w:t>
      </w:r>
      <w:r w:rsidRPr="00ED4352">
        <w:rPr>
          <w:rFonts w:hint="cs"/>
          <w:color w:val="E36C0A" w:themeColor="accent6" w:themeShade="BF"/>
          <w:rtl/>
        </w:rPr>
        <w:t>(וכ"פ בשו"ע)</w:t>
      </w:r>
    </w:p>
    <w:p w14:paraId="5EE276D8" w14:textId="77777777" w:rsidR="004B2E7C" w:rsidRDefault="004B2E7C" w:rsidP="00FF2D21">
      <w:pPr>
        <w:pStyle w:val="aa"/>
        <w:numPr>
          <w:ilvl w:val="0"/>
          <w:numId w:val="105"/>
        </w:numPr>
        <w:rPr>
          <w:rFonts w:cs="Arial"/>
        </w:rPr>
      </w:pPr>
      <w:r>
        <w:rPr>
          <w:rFonts w:cs="Arial" w:hint="cs"/>
          <w:rtl/>
        </w:rPr>
        <w:t>ריצב"א</w:t>
      </w:r>
      <w:r>
        <w:rPr>
          <w:rStyle w:val="a9"/>
          <w:rFonts w:cs="Arial"/>
          <w:rtl/>
        </w:rPr>
        <w:footnoteReference w:id="196"/>
      </w:r>
      <w:r>
        <w:rPr>
          <w:rFonts w:cs="Arial" w:hint="cs"/>
          <w:rtl/>
        </w:rPr>
        <w:t xml:space="preserve"> </w:t>
      </w:r>
      <w:r>
        <w:rPr>
          <w:rFonts w:cs="Arial" w:hint="cs"/>
          <w:sz w:val="16"/>
          <w:szCs w:val="16"/>
          <w:rtl/>
        </w:rPr>
        <w:t xml:space="preserve">(כ"כ בשמו התוס' [ערובין מג.]) </w:t>
      </w:r>
      <w:r>
        <w:rPr>
          <w:rFonts w:cs="Arial" w:hint="cs"/>
          <w:rtl/>
        </w:rPr>
        <w:t>ותוס'</w:t>
      </w:r>
      <w:r>
        <w:rPr>
          <w:rFonts w:cs="Arial" w:hint="cs"/>
          <w:sz w:val="16"/>
          <w:szCs w:val="16"/>
          <w:rtl/>
        </w:rPr>
        <w:t xml:space="preserve"> (שבת יט. ד"ה אין מפליגין)</w:t>
      </w:r>
      <w:r>
        <w:rPr>
          <w:rFonts w:cs="Arial" w:hint="cs"/>
          <w:rtl/>
        </w:rPr>
        <w:t xml:space="preserve">- </w:t>
      </w:r>
      <w:r w:rsidRPr="004E2F41">
        <w:rPr>
          <w:rFonts w:cs="Arial"/>
          <w:rtl/>
        </w:rPr>
        <w:t>אפילו תוך התחום אסור משום שט</w:t>
      </w:r>
      <w:r>
        <w:rPr>
          <w:rStyle w:val="a9"/>
          <w:rFonts w:cs="Arial"/>
          <w:rtl/>
        </w:rPr>
        <w:footnoteReference w:id="197"/>
      </w:r>
      <w:r>
        <w:rPr>
          <w:rFonts w:cs="Arial" w:hint="cs"/>
          <w:rtl/>
        </w:rPr>
        <w:t>,</w:t>
      </w:r>
      <w:r w:rsidRPr="004E2F41">
        <w:rPr>
          <w:rFonts w:cs="Arial"/>
          <w:rtl/>
        </w:rPr>
        <w:t xml:space="preserve"> כדמוכח בפ' תולין (לקמן קלט: ושם) גבי ההוא צורבא מדרבנן דאמר למינם בעינא ואזיל לאידך גיסא ושמר פירי משמע דתוך התחום היה ואפ"ה בלא הערמה אסור</w:t>
      </w:r>
      <w:r>
        <w:rPr>
          <w:rFonts w:cs="Arial" w:hint="cs"/>
          <w:sz w:val="16"/>
          <w:szCs w:val="16"/>
          <w:rtl/>
        </w:rPr>
        <w:t xml:space="preserve"> (ל' התוס' בשבת)</w:t>
      </w:r>
      <w:r w:rsidRPr="004E2F41">
        <w:rPr>
          <w:rFonts w:cs="Arial"/>
          <w:rtl/>
        </w:rPr>
        <w:t>.</w:t>
      </w:r>
    </w:p>
    <w:p w14:paraId="30F61E07" w14:textId="77777777" w:rsidR="004B2E7C" w:rsidRDefault="004B2E7C" w:rsidP="00FF2D21">
      <w:pPr>
        <w:pStyle w:val="aa"/>
        <w:numPr>
          <w:ilvl w:val="0"/>
          <w:numId w:val="105"/>
        </w:numPr>
        <w:rPr>
          <w:rFonts w:cs="Arial"/>
        </w:rPr>
      </w:pPr>
      <w:r w:rsidRPr="000447C3">
        <w:rPr>
          <w:rFonts w:cs="Arial"/>
          <w:rtl/>
        </w:rPr>
        <w:t>רז</w:t>
      </w:r>
      <w:r>
        <w:rPr>
          <w:rFonts w:cs="Arial" w:hint="cs"/>
          <w:rtl/>
        </w:rPr>
        <w:t>"ה</w:t>
      </w:r>
      <w:r>
        <w:rPr>
          <w:rFonts w:cs="Arial" w:hint="cs"/>
          <w:sz w:val="16"/>
          <w:szCs w:val="16"/>
          <w:rtl/>
        </w:rPr>
        <w:t xml:space="preserve"> (כ"כ בשמו הר"ן</w:t>
      </w:r>
      <w:r>
        <w:rPr>
          <w:rFonts w:cs="Arial" w:hint="cs"/>
          <w:sz w:val="14"/>
          <w:szCs w:val="14"/>
          <w:rtl/>
        </w:rPr>
        <w:t xml:space="preserve"> [שבת ז:]</w:t>
      </w:r>
      <w:r>
        <w:rPr>
          <w:rFonts w:cs="Arial" w:hint="cs"/>
          <w:sz w:val="16"/>
          <w:szCs w:val="16"/>
          <w:rtl/>
        </w:rPr>
        <w:t xml:space="preserve">, ועי' בריטב"א </w:t>
      </w:r>
      <w:r>
        <w:rPr>
          <w:rFonts w:cs="Arial" w:hint="cs"/>
          <w:sz w:val="14"/>
          <w:szCs w:val="14"/>
          <w:rtl/>
        </w:rPr>
        <w:t>[ערובין מג:]</w:t>
      </w:r>
      <w:r>
        <w:rPr>
          <w:rFonts w:cs="Arial" w:hint="cs"/>
          <w:sz w:val="16"/>
          <w:szCs w:val="16"/>
          <w:rtl/>
        </w:rPr>
        <w:t>)</w:t>
      </w:r>
      <w:r>
        <w:rPr>
          <w:rFonts w:cs="Arial" w:hint="cs"/>
          <w:rtl/>
        </w:rPr>
        <w:t>-</w:t>
      </w:r>
      <w:r w:rsidRPr="000447C3">
        <w:rPr>
          <w:rFonts w:cs="Arial"/>
          <w:rtl/>
        </w:rPr>
        <w:t xml:space="preserve"> בין בזו בין במה שאמרו אין צרין על עיירות של נכרים דכולהו מקום סכנה הוא וכל שלשה ימים קודם השבת קמי שבתא מיקרי ונראה כמתנה לדחות את השבת מפני שאין דבר שעומד בפני פקוח נפש וה"ה להפריש במדברות ולכל מקום סכנה שאדם עתיד לחלל בו את השבת</w:t>
      </w:r>
      <w:r>
        <w:rPr>
          <w:rStyle w:val="a9"/>
          <w:rFonts w:cs="Arial"/>
          <w:rtl/>
        </w:rPr>
        <w:footnoteReference w:id="198"/>
      </w:r>
      <w:r>
        <w:rPr>
          <w:rFonts w:cs="Arial" w:hint="cs"/>
          <w:sz w:val="16"/>
          <w:szCs w:val="16"/>
          <w:rtl/>
        </w:rPr>
        <w:t xml:space="preserve"> (ל' הר"ן בשמו)</w:t>
      </w:r>
      <w:r>
        <w:rPr>
          <w:rFonts w:cs="Arial" w:hint="cs"/>
          <w:rtl/>
        </w:rPr>
        <w:t>.</w:t>
      </w:r>
      <w:r w:rsidRPr="000447C3">
        <w:rPr>
          <w:rFonts w:cs="Arial"/>
          <w:rtl/>
        </w:rPr>
        <w:t xml:space="preserve"> </w:t>
      </w:r>
    </w:p>
    <w:p w14:paraId="6CEAB90C" w14:textId="77777777" w:rsidR="004B2E7C" w:rsidRPr="00872FFD" w:rsidRDefault="004B2E7C" w:rsidP="00FF2D21">
      <w:pPr>
        <w:pStyle w:val="aa"/>
        <w:numPr>
          <w:ilvl w:val="0"/>
          <w:numId w:val="105"/>
        </w:numPr>
        <w:rPr>
          <w:rFonts w:cs="Arial"/>
        </w:rPr>
      </w:pPr>
      <w:r>
        <w:rPr>
          <w:rFonts w:cs="Arial"/>
          <w:rtl/>
        </w:rPr>
        <w:t xml:space="preserve">רמב"ן </w:t>
      </w:r>
      <w:r>
        <w:rPr>
          <w:rFonts w:cs="Arial" w:hint="cs"/>
          <w:sz w:val="16"/>
          <w:szCs w:val="16"/>
          <w:rtl/>
        </w:rPr>
        <w:t>(כ"כ בשמו הר"ן</w:t>
      </w:r>
      <w:r>
        <w:rPr>
          <w:rFonts w:cs="Arial" w:hint="cs"/>
          <w:sz w:val="14"/>
          <w:szCs w:val="14"/>
          <w:rtl/>
        </w:rPr>
        <w:t xml:space="preserve"> [שבת ז:]</w:t>
      </w:r>
      <w:r>
        <w:rPr>
          <w:rFonts w:cs="Arial" w:hint="cs"/>
          <w:sz w:val="16"/>
          <w:szCs w:val="16"/>
          <w:rtl/>
        </w:rPr>
        <w:t xml:space="preserve"> ורי"ו </w:t>
      </w:r>
      <w:r w:rsidRPr="00856BCC">
        <w:rPr>
          <w:rFonts w:cs="Arial" w:hint="cs"/>
          <w:sz w:val="14"/>
          <w:szCs w:val="14"/>
          <w:rtl/>
        </w:rPr>
        <w:t>[חי"ח ני"ב קא סוע"א]</w:t>
      </w:r>
      <w:r>
        <w:rPr>
          <w:rFonts w:cs="Arial" w:hint="cs"/>
          <w:sz w:val="16"/>
          <w:szCs w:val="16"/>
          <w:rtl/>
        </w:rPr>
        <w:t>)</w:t>
      </w:r>
      <w:r>
        <w:rPr>
          <w:rFonts w:cs="Arial" w:hint="cs"/>
          <w:rtl/>
        </w:rPr>
        <w:t>-</w:t>
      </w:r>
      <w:r>
        <w:rPr>
          <w:rFonts w:cs="Arial"/>
          <w:rtl/>
        </w:rPr>
        <w:t xml:space="preserve"> מפני שנראה כמי שמתנה עם הגוי לחלל שבת דהא ממטו לה לספינה וקושרים בה כמה קשרים בפריסת הקלע</w:t>
      </w:r>
      <w:r>
        <w:rPr>
          <w:rFonts w:cs="Arial" w:hint="cs"/>
          <w:rtl/>
        </w:rPr>
        <w:t>.</w:t>
      </w:r>
      <w:r>
        <w:rPr>
          <w:rFonts w:cs="Arial"/>
          <w:rtl/>
        </w:rPr>
        <w:t xml:space="preserve"> ודוקא כשהספינה לא היתה הולכת לולי ישראל וברביעי ובחמישי מותר</w:t>
      </w:r>
      <w:r>
        <w:rPr>
          <w:rFonts w:cs="Arial" w:hint="cs"/>
          <w:rtl/>
        </w:rPr>
        <w:t>,</w:t>
      </w:r>
      <w:r>
        <w:rPr>
          <w:rFonts w:cs="Arial"/>
          <w:rtl/>
        </w:rPr>
        <w:t xml:space="preserve"> דגוי במלאכתו הוא עוסק</w:t>
      </w:r>
      <w:r>
        <w:rPr>
          <w:rFonts w:cs="Arial" w:hint="cs"/>
          <w:rtl/>
        </w:rPr>
        <w:t>,</w:t>
      </w:r>
      <w:r>
        <w:rPr>
          <w:rFonts w:cs="Arial"/>
          <w:rtl/>
        </w:rPr>
        <w:t xml:space="preserve"> ואינו נראה כשלוחו של ישראל</w:t>
      </w:r>
      <w:r>
        <w:rPr>
          <w:rFonts w:cs="Arial" w:hint="cs"/>
          <w:rtl/>
        </w:rPr>
        <w:t>,</w:t>
      </w:r>
      <w:r>
        <w:rPr>
          <w:rFonts w:cs="Arial"/>
          <w:rtl/>
        </w:rPr>
        <w:t xml:space="preserve"> דקבלנות הוא עושה</w:t>
      </w:r>
      <w:r>
        <w:rPr>
          <w:rFonts w:cs="Arial" w:hint="cs"/>
          <w:rtl/>
        </w:rPr>
        <w:t>.</w:t>
      </w:r>
      <w:r>
        <w:rPr>
          <w:rFonts w:cs="Arial"/>
          <w:rtl/>
        </w:rPr>
        <w:t xml:space="preserve"> ולפיכך בזמן הזה כשמפליגין בספינה גדולה שרובה גוים ובלא ישראל היתה הולכת מותר להפליג בערב שבת ואפילו בשבת בים הגדול שהוא למעלה מעשרה</w:t>
      </w:r>
      <w:r>
        <w:rPr>
          <w:rFonts w:cs="Arial" w:hint="cs"/>
          <w:sz w:val="16"/>
          <w:szCs w:val="16"/>
          <w:rtl/>
        </w:rPr>
        <w:t xml:space="preserve"> (ל' רי"ו בשם הרמב"ן)</w:t>
      </w:r>
      <w:r>
        <w:rPr>
          <w:rFonts w:cs="Arial"/>
          <w:rtl/>
        </w:rPr>
        <w:t>.</w:t>
      </w:r>
    </w:p>
    <w:p w14:paraId="03C9FEA5" w14:textId="77777777" w:rsidR="004B2E7C" w:rsidRPr="00FA6D46" w:rsidRDefault="004B2E7C" w:rsidP="00434A6A">
      <w:pPr>
        <w:ind w:left="360"/>
        <w:rPr>
          <w:rFonts w:cs="Arial"/>
          <w:u w:val="dotted"/>
        </w:rPr>
      </w:pPr>
      <w:r>
        <w:rPr>
          <w:rFonts w:cs="Arial" w:hint="cs"/>
          <w:u w:val="dotted"/>
          <w:rtl/>
        </w:rPr>
        <w:t>לדעת הרי"ף וסיעתו - האם יש איסור משום תחומין בספינה</w:t>
      </w:r>
      <w:r>
        <w:rPr>
          <w:rStyle w:val="a9"/>
          <w:rFonts w:cs="Arial"/>
          <w:u w:val="dotted"/>
          <w:rtl/>
        </w:rPr>
        <w:footnoteReference w:id="199"/>
      </w:r>
      <w:r w:rsidRPr="00FA6D46">
        <w:rPr>
          <w:rFonts w:cs="Arial" w:hint="cs"/>
          <w:u w:val="dotted"/>
          <w:rtl/>
        </w:rPr>
        <w:t>:</w:t>
      </w:r>
    </w:p>
    <w:p w14:paraId="773AA806" w14:textId="77777777" w:rsidR="004B2E7C" w:rsidRDefault="004B2E7C" w:rsidP="00FF2D21">
      <w:pPr>
        <w:pStyle w:val="aa"/>
        <w:numPr>
          <w:ilvl w:val="0"/>
          <w:numId w:val="105"/>
        </w:numPr>
        <w:rPr>
          <w:rFonts w:cs="Arial"/>
        </w:rPr>
      </w:pPr>
      <w:r w:rsidRPr="00FA6D46">
        <w:rPr>
          <w:rFonts w:cs="Arial"/>
          <w:rtl/>
        </w:rPr>
        <w:t>מהר</w:t>
      </w:r>
      <w:r w:rsidRPr="00FA6D46">
        <w:rPr>
          <w:rFonts w:cs="Arial" w:hint="cs"/>
          <w:rtl/>
        </w:rPr>
        <w:t>י"</w:t>
      </w:r>
      <w:r w:rsidRPr="00FA6D46">
        <w:rPr>
          <w:rFonts w:cs="Arial"/>
          <w:rtl/>
        </w:rPr>
        <w:t>ק</w:t>
      </w:r>
      <w:r w:rsidRPr="00FA6D46">
        <w:rPr>
          <w:rFonts w:cs="Arial"/>
          <w:sz w:val="16"/>
          <w:szCs w:val="16"/>
          <w:rtl/>
        </w:rPr>
        <w:t xml:space="preserve"> </w:t>
      </w:r>
      <w:r w:rsidRPr="00FA6D46">
        <w:rPr>
          <w:rFonts w:cs="Arial" w:hint="cs"/>
          <w:sz w:val="16"/>
          <w:szCs w:val="16"/>
          <w:rtl/>
        </w:rPr>
        <w:t>(</w:t>
      </w:r>
      <w:r w:rsidRPr="00FA6D46">
        <w:rPr>
          <w:rFonts w:cs="Arial"/>
          <w:sz w:val="16"/>
          <w:szCs w:val="16"/>
          <w:rtl/>
        </w:rPr>
        <w:t>שורש מה</w:t>
      </w:r>
      <w:r w:rsidRPr="00FA6D46">
        <w:rPr>
          <w:rFonts w:cs="Arial" w:hint="cs"/>
          <w:sz w:val="16"/>
          <w:szCs w:val="16"/>
          <w:rtl/>
        </w:rPr>
        <w:t>)</w:t>
      </w:r>
      <w:r w:rsidRPr="00FA6D46">
        <w:rPr>
          <w:rFonts w:cs="Arial" w:hint="cs"/>
          <w:rtl/>
        </w:rPr>
        <w:t xml:space="preserve">- </w:t>
      </w:r>
      <w:r w:rsidRPr="00FA6D46">
        <w:rPr>
          <w:rFonts w:cs="Arial"/>
          <w:rtl/>
        </w:rPr>
        <w:t>לכולי עלמא אם נכנס בספינה ג' ימים קודם השבת</w:t>
      </w:r>
      <w:r>
        <w:rPr>
          <w:rFonts w:cs="Arial" w:hint="cs"/>
          <w:rtl/>
        </w:rPr>
        <w:t>,</w:t>
      </w:r>
      <w:r w:rsidRPr="00FA6D46">
        <w:rPr>
          <w:rFonts w:cs="Arial"/>
          <w:rtl/>
        </w:rPr>
        <w:t xml:space="preserve"> אף על פי שהספינה הולכת במים שאין בהם עשרה טפחים</w:t>
      </w:r>
      <w:r>
        <w:rPr>
          <w:rFonts w:cs="Arial" w:hint="cs"/>
          <w:rtl/>
        </w:rPr>
        <w:t>,</w:t>
      </w:r>
      <w:r w:rsidRPr="00FA6D46">
        <w:rPr>
          <w:rFonts w:cs="Arial"/>
          <w:rtl/>
        </w:rPr>
        <w:t xml:space="preserve"> ואפילו אם אין בהם שלשה טפחים </w:t>
      </w:r>
      <w:r>
        <w:rPr>
          <w:rFonts w:cs="Arial" w:hint="cs"/>
          <w:rtl/>
        </w:rPr>
        <w:t xml:space="preserve">- </w:t>
      </w:r>
      <w:r w:rsidRPr="00FA6D46">
        <w:rPr>
          <w:rFonts w:cs="Arial"/>
          <w:rtl/>
        </w:rPr>
        <w:t>שרי</w:t>
      </w:r>
      <w:r>
        <w:rPr>
          <w:rFonts w:cs="Arial" w:hint="cs"/>
          <w:rtl/>
        </w:rPr>
        <w:t>.</w:t>
      </w:r>
      <w:r w:rsidRPr="00FA6D46">
        <w:rPr>
          <w:rFonts w:cs="Arial"/>
          <w:rtl/>
        </w:rPr>
        <w:t xml:space="preserve"> ואף על פי שסתר הרי"ף דברי רבינו חננאל (יט.) שמעמיד ההיא דאין מפליגין ג' ימים קודם השבת למטה מעשרה ומשום איסור תחומין</w:t>
      </w:r>
      <w:r>
        <w:rPr>
          <w:rFonts w:cs="Arial" w:hint="cs"/>
          <w:rtl/>
        </w:rPr>
        <w:t>,</w:t>
      </w:r>
      <w:r w:rsidRPr="00FA6D46">
        <w:rPr>
          <w:rFonts w:cs="Arial"/>
          <w:rtl/>
        </w:rPr>
        <w:t xml:space="preserve"> דאם כן אפילו במפליג ג' ימים קודם יהיה אסור</w:t>
      </w:r>
      <w:r>
        <w:rPr>
          <w:rFonts w:cs="Arial" w:hint="cs"/>
          <w:rtl/>
        </w:rPr>
        <w:t>.</w:t>
      </w:r>
      <w:r w:rsidRPr="00FA6D46">
        <w:rPr>
          <w:rFonts w:cs="Arial"/>
          <w:rtl/>
        </w:rPr>
        <w:t xml:space="preserve"> והיה נראה לכאורה דלמטה מעשרה אסור אפילו בהפליג ג' ימים קודם השבת</w:t>
      </w:r>
      <w:r>
        <w:rPr>
          <w:rFonts w:cs="Arial" w:hint="cs"/>
          <w:rtl/>
        </w:rPr>
        <w:t>.</w:t>
      </w:r>
      <w:r w:rsidRPr="00FA6D46">
        <w:rPr>
          <w:rFonts w:cs="Arial"/>
          <w:rtl/>
        </w:rPr>
        <w:t xml:space="preserve"> מכל מקום נראה לעניות דעתי דלדברי ר"ח קאמר</w:t>
      </w:r>
      <w:r>
        <w:rPr>
          <w:rFonts w:cs="Arial" w:hint="cs"/>
          <w:rtl/>
        </w:rPr>
        <w:t>,</w:t>
      </w:r>
      <w:r w:rsidRPr="00FA6D46">
        <w:rPr>
          <w:rFonts w:cs="Arial"/>
          <w:rtl/>
        </w:rPr>
        <w:t xml:space="preserve"> דלדידיה דסבר למעלה מעשרה שרי משום דאין תחומין ודוקא למטה מעשרה אסור בלא הפליג ג' ימים קודם השבת משום איסור תחומין</w:t>
      </w:r>
      <w:r>
        <w:rPr>
          <w:rFonts w:cs="Arial" w:hint="cs"/>
          <w:rtl/>
        </w:rPr>
        <w:t>,</w:t>
      </w:r>
      <w:r w:rsidRPr="00FA6D46">
        <w:rPr>
          <w:rFonts w:cs="Arial"/>
          <w:rtl/>
        </w:rPr>
        <w:t xml:space="preserve"> יש להקשות אפילו קודם ג' ימים נמי</w:t>
      </w:r>
      <w:r>
        <w:rPr>
          <w:rFonts w:cs="Arial" w:hint="cs"/>
          <w:rtl/>
        </w:rPr>
        <w:t>.</w:t>
      </w:r>
      <w:r w:rsidRPr="00FA6D46">
        <w:rPr>
          <w:rFonts w:cs="Arial"/>
          <w:rtl/>
        </w:rPr>
        <w:t xml:space="preserve"> אבל לדעת הרי"ף גופיה איכא למימר דלא סבירא ליה לאסור משום תחומין כלל</w:t>
      </w:r>
      <w:r>
        <w:rPr>
          <w:rStyle w:val="a9"/>
          <w:rFonts w:cs="Arial"/>
          <w:rtl/>
        </w:rPr>
        <w:footnoteReference w:id="200"/>
      </w:r>
      <w:r w:rsidRPr="00E50D01">
        <w:rPr>
          <w:rFonts w:cs="Arial" w:hint="cs"/>
          <w:rtl/>
        </w:rPr>
        <w:t>.</w:t>
      </w:r>
      <w:r>
        <w:rPr>
          <w:rFonts w:cs="Arial" w:hint="cs"/>
          <w:rtl/>
        </w:rPr>
        <w:t xml:space="preserve"> </w:t>
      </w:r>
      <w:r w:rsidRPr="00513309">
        <w:rPr>
          <w:rFonts w:cs="Arial" w:hint="cs"/>
          <w:color w:val="00B0F0"/>
          <w:rtl/>
        </w:rPr>
        <w:t>(וכ"פ הרמ"א</w:t>
      </w:r>
      <w:r w:rsidRPr="00513309">
        <w:rPr>
          <w:rFonts w:cs="Arial" w:hint="cs"/>
          <w:color w:val="00B0F0"/>
          <w:sz w:val="16"/>
          <w:szCs w:val="16"/>
          <w:rtl/>
        </w:rPr>
        <w:t xml:space="preserve"> </w:t>
      </w:r>
      <w:r>
        <w:rPr>
          <w:rFonts w:cs="Arial" w:hint="cs"/>
          <w:sz w:val="16"/>
          <w:szCs w:val="16"/>
          <w:rtl/>
        </w:rPr>
        <w:t>[בסע' א]</w:t>
      </w:r>
      <w:r w:rsidRPr="00513309">
        <w:rPr>
          <w:rFonts w:cs="Arial" w:hint="cs"/>
          <w:color w:val="00B0F0"/>
          <w:rtl/>
        </w:rPr>
        <w:t>)</w:t>
      </w:r>
    </w:p>
    <w:p w14:paraId="204CF534" w14:textId="77777777" w:rsidR="004B2E7C" w:rsidRPr="000B48F0" w:rsidRDefault="004B2E7C" w:rsidP="00434A6A">
      <w:pPr>
        <w:rPr>
          <w:rFonts w:cs="Arial"/>
        </w:rPr>
      </w:pPr>
      <w:r w:rsidRPr="000B48F0">
        <w:rPr>
          <w:rFonts w:cs="Arial" w:hint="cs"/>
          <w:b/>
          <w:bCs/>
          <w:rtl/>
        </w:rPr>
        <w:t>ער</w:t>
      </w:r>
      <w:r>
        <w:rPr>
          <w:rFonts w:cs="Arial" w:hint="cs"/>
          <w:b/>
          <w:bCs/>
          <w:rtl/>
        </w:rPr>
        <w:t>וב</w:t>
      </w:r>
      <w:r w:rsidRPr="000B48F0">
        <w:rPr>
          <w:rFonts w:cs="Arial" w:hint="cs"/>
          <w:b/>
          <w:bCs/>
          <w:rtl/>
        </w:rPr>
        <w:t xml:space="preserve">ין </w:t>
      </w:r>
      <w:r>
        <w:rPr>
          <w:rFonts w:cs="Arial" w:hint="cs"/>
          <w:b/>
          <w:bCs/>
          <w:sz w:val="16"/>
          <w:szCs w:val="16"/>
          <w:rtl/>
        </w:rPr>
        <w:t xml:space="preserve">(ר"פ מי שהוציאוהו) </w:t>
      </w:r>
      <w:r w:rsidRPr="000B48F0">
        <w:rPr>
          <w:rFonts w:cs="Arial" w:hint="cs"/>
          <w:b/>
          <w:bCs/>
          <w:rtl/>
        </w:rPr>
        <w:t>מג ע"א:</w:t>
      </w:r>
      <w:r>
        <w:rPr>
          <w:rFonts w:cs="Arial" w:hint="cs"/>
          <w:rtl/>
        </w:rPr>
        <w:t xml:space="preserve"> </w:t>
      </w:r>
      <w:r w:rsidRPr="000B48F0">
        <w:rPr>
          <w:rFonts w:cs="Arial"/>
          <w:u w:val="single"/>
          <w:rtl/>
        </w:rPr>
        <w:t>בעי רב חנניא</w:t>
      </w:r>
      <w:r w:rsidRPr="000B48F0">
        <w:rPr>
          <w:rFonts w:cs="Arial"/>
          <w:rtl/>
        </w:rPr>
        <w:t>: יש תחומין למעלה מעשרה או אין תחומין למעלה מעשרה? עמוד גבוה עשרה ורחב ארבעה לא תיבעי לך - דארעא סמיכתא היא. כי תיבעי לך - בעמוד גבוה עשרה ואינו רחב ארבעה. אי נמי - דקאזיל בקפיצה. לישנא אחרינא: בספינה מאי?</w:t>
      </w:r>
      <w:r>
        <w:rPr>
          <w:rFonts w:cs="Arial" w:hint="cs"/>
          <w:rtl/>
        </w:rPr>
        <w:t>...</w:t>
      </w:r>
      <w:r w:rsidRPr="000B48F0">
        <w:rPr>
          <w:rFonts w:cs="Arial"/>
          <w:rtl/>
        </w:rPr>
        <w:t xml:space="preserve"> </w:t>
      </w:r>
      <w:r>
        <w:rPr>
          <w:rFonts w:hint="cs"/>
          <w:sz w:val="14"/>
          <w:szCs w:val="14"/>
          <w:rtl/>
        </w:rPr>
        <w:t>(מג:)</w:t>
      </w:r>
      <w:r>
        <w:rPr>
          <w:rFonts w:cs="Arial" w:hint="cs"/>
          <w:rtl/>
        </w:rPr>
        <w:t xml:space="preserve"> </w:t>
      </w:r>
      <w:r w:rsidRPr="00290B0D">
        <w:rPr>
          <w:rFonts w:cs="Arial"/>
          <w:rtl/>
        </w:rPr>
        <w:t>האי תנא ספוקי מספקא ליה אי יש תחומין או אין תחומין, ולחומרא.</w:t>
      </w:r>
    </w:p>
    <w:p w14:paraId="43678BA8" w14:textId="77777777" w:rsidR="004B2E7C" w:rsidRPr="000B48F0" w:rsidRDefault="004B2E7C" w:rsidP="00434A6A">
      <w:pPr>
        <w:rPr>
          <w:rFonts w:cs="Arial"/>
          <w:u w:val="single"/>
        </w:rPr>
      </w:pPr>
      <w:r w:rsidRPr="000B48F0">
        <w:rPr>
          <w:rFonts w:cs="Arial" w:hint="cs"/>
          <w:u w:val="single"/>
          <w:rtl/>
        </w:rPr>
        <w:t xml:space="preserve">האם יש איסור תחומין </w:t>
      </w:r>
      <w:r w:rsidRPr="000B48F0">
        <w:rPr>
          <w:rFonts w:cs="Arial" w:hint="cs"/>
          <w:b/>
          <w:bCs/>
          <w:u w:val="single"/>
          <w:rtl/>
        </w:rPr>
        <w:t>בים</w:t>
      </w:r>
      <w:r w:rsidRPr="000B48F0">
        <w:rPr>
          <w:rFonts w:cs="Arial" w:hint="cs"/>
          <w:u w:val="single"/>
          <w:rtl/>
        </w:rPr>
        <w:t xml:space="preserve"> כשקרקע הספינה גבוה עשרה טפחים מקרקעית הים:</w:t>
      </w:r>
    </w:p>
    <w:p w14:paraId="7665759C" w14:textId="77777777" w:rsidR="004B2E7C" w:rsidRDefault="004B2E7C" w:rsidP="00FF2D21">
      <w:pPr>
        <w:pStyle w:val="aa"/>
        <w:numPr>
          <w:ilvl w:val="0"/>
          <w:numId w:val="105"/>
        </w:numPr>
        <w:rPr>
          <w:rFonts w:cs="Arial"/>
        </w:rPr>
      </w:pPr>
      <w:r w:rsidRPr="007D5698">
        <w:rPr>
          <w:rFonts w:cs="Arial"/>
          <w:rtl/>
        </w:rPr>
        <w:t xml:space="preserve">ר"ת </w:t>
      </w:r>
      <w:r>
        <w:rPr>
          <w:rFonts w:cs="Arial" w:hint="cs"/>
          <w:sz w:val="16"/>
          <w:szCs w:val="16"/>
          <w:rtl/>
        </w:rPr>
        <w:t>(כ"כ בשמו הגה"מ פ"ל אות מ)</w:t>
      </w:r>
      <w:r>
        <w:rPr>
          <w:rFonts w:cs="Arial" w:hint="cs"/>
          <w:rtl/>
        </w:rPr>
        <w:t xml:space="preserve">- </w:t>
      </w:r>
      <w:r w:rsidRPr="007D5698">
        <w:rPr>
          <w:rFonts w:cs="Arial"/>
          <w:rtl/>
        </w:rPr>
        <w:t>הטעם מפני איסור תחומין ואם כן לא אסרינן אלא בספינה גוששת אבל שאינה גוששת מותר שאין תחומין למעלה מעשרה ועל זה סומכין העולם ליכנס בספינה מערב שבת ולפרוש בים הגדול</w:t>
      </w:r>
      <w:r>
        <w:rPr>
          <w:rFonts w:cs="Arial" w:hint="cs"/>
          <w:rtl/>
        </w:rPr>
        <w:t>.</w:t>
      </w:r>
    </w:p>
    <w:p w14:paraId="2D5DC9C0" w14:textId="77777777" w:rsidR="004B2E7C" w:rsidRDefault="004B2E7C" w:rsidP="00FF2D21">
      <w:pPr>
        <w:pStyle w:val="aa"/>
        <w:numPr>
          <w:ilvl w:val="0"/>
          <w:numId w:val="105"/>
        </w:numPr>
        <w:rPr>
          <w:rFonts w:cs="Arial"/>
        </w:rPr>
      </w:pPr>
      <w:r>
        <w:rPr>
          <w:rFonts w:cs="Arial" w:hint="cs"/>
          <w:rtl/>
        </w:rPr>
        <w:t>מ</w:t>
      </w:r>
      <w:r w:rsidRPr="007D5698">
        <w:rPr>
          <w:rFonts w:cs="Arial"/>
          <w:rtl/>
        </w:rPr>
        <w:t>הר"</w:t>
      </w:r>
      <w:r>
        <w:rPr>
          <w:rFonts w:cs="Arial" w:hint="cs"/>
          <w:rtl/>
        </w:rPr>
        <w:t>ם</w:t>
      </w:r>
      <w:r>
        <w:rPr>
          <w:rFonts w:cs="Arial" w:hint="cs"/>
          <w:sz w:val="16"/>
          <w:szCs w:val="16"/>
          <w:rtl/>
        </w:rPr>
        <w:t xml:space="preserve"> (כ"כ בשמו הגה"מ [שם])</w:t>
      </w:r>
      <w:r>
        <w:rPr>
          <w:rFonts w:cs="Arial" w:hint="cs"/>
          <w:rtl/>
        </w:rPr>
        <w:t>-</w:t>
      </w:r>
      <w:r w:rsidRPr="007D5698">
        <w:rPr>
          <w:rFonts w:cs="Arial"/>
          <w:rtl/>
        </w:rPr>
        <w:t xml:space="preserve"> </w:t>
      </w:r>
      <w:r w:rsidRPr="009D3B89">
        <w:rPr>
          <w:rFonts w:cs="Arial"/>
          <w:rtl/>
        </w:rPr>
        <w:t xml:space="preserve">בפרק מי שהוציאוהו </w:t>
      </w:r>
      <w:r w:rsidRPr="007D5698">
        <w:rPr>
          <w:rFonts w:cs="Arial"/>
          <w:rtl/>
        </w:rPr>
        <w:t xml:space="preserve">(ערובין מג.) </w:t>
      </w:r>
      <w:r w:rsidRPr="009D3B89">
        <w:rPr>
          <w:rFonts w:cs="Arial"/>
          <w:rtl/>
        </w:rPr>
        <w:t>מיבעיא ליה אי יש תחומין למעלה מעשרה או לא ולא איפשיטא</w:t>
      </w:r>
      <w:r>
        <w:rPr>
          <w:rFonts w:cs="Arial" w:hint="cs"/>
          <w:rtl/>
        </w:rPr>
        <w:t>,</w:t>
      </w:r>
      <w:r w:rsidRPr="009D3B89">
        <w:rPr>
          <w:rFonts w:cs="Arial"/>
          <w:rtl/>
        </w:rPr>
        <w:t xml:space="preserve"> </w:t>
      </w:r>
      <w:r>
        <w:rPr>
          <w:rFonts w:cs="Arial" w:hint="cs"/>
          <w:rtl/>
        </w:rPr>
        <w:t>ו</w:t>
      </w:r>
      <w:r w:rsidRPr="009D3B89">
        <w:rPr>
          <w:rFonts w:cs="Arial"/>
          <w:rtl/>
        </w:rPr>
        <w:t>כיון דלא איפשיטא עבדינן לחומרא</w:t>
      </w:r>
      <w:r>
        <w:rPr>
          <w:rFonts w:cs="Arial" w:hint="cs"/>
          <w:sz w:val="16"/>
          <w:szCs w:val="16"/>
          <w:rtl/>
        </w:rPr>
        <w:t xml:space="preserve"> (ל' הגה"מ בשם מהר"ם)</w:t>
      </w:r>
      <w:r>
        <w:rPr>
          <w:rFonts w:cs="Arial" w:hint="cs"/>
          <w:rtl/>
        </w:rPr>
        <w:t>.</w:t>
      </w:r>
      <w:r w:rsidRPr="007D5698">
        <w:rPr>
          <w:rFonts w:cs="Arial"/>
          <w:rtl/>
        </w:rPr>
        <w:t xml:space="preserve"> </w:t>
      </w:r>
    </w:p>
    <w:p w14:paraId="021189C5" w14:textId="77777777" w:rsidR="004B2E7C" w:rsidRDefault="004B2E7C" w:rsidP="00FF2D21">
      <w:pPr>
        <w:pStyle w:val="aa"/>
        <w:numPr>
          <w:ilvl w:val="0"/>
          <w:numId w:val="105"/>
        </w:numPr>
        <w:rPr>
          <w:rFonts w:cs="Arial"/>
        </w:rPr>
      </w:pPr>
      <w:r w:rsidRPr="007D5698">
        <w:rPr>
          <w:rFonts w:cs="Arial"/>
          <w:rtl/>
        </w:rPr>
        <w:t>רמב"ם</w:t>
      </w:r>
      <w:r>
        <w:rPr>
          <w:rFonts w:cs="Arial" w:hint="cs"/>
          <w:rtl/>
        </w:rPr>
        <w:t xml:space="preserve"> </w:t>
      </w:r>
      <w:r>
        <w:rPr>
          <w:rFonts w:cs="Arial" w:hint="cs"/>
          <w:sz w:val="16"/>
          <w:szCs w:val="16"/>
          <w:rtl/>
        </w:rPr>
        <w:t>(כ"כ הב"י בשם הרמב"ם בתשובה [עי' בשו"ת הרמב"ם סי' שח])</w:t>
      </w:r>
      <w:r>
        <w:rPr>
          <w:rFonts w:cs="Arial" w:hint="cs"/>
          <w:rtl/>
        </w:rPr>
        <w:t>-</w:t>
      </w:r>
      <w:r w:rsidRPr="007D5698">
        <w:rPr>
          <w:rFonts w:cs="Arial"/>
          <w:rtl/>
        </w:rPr>
        <w:t xml:space="preserve"> </w:t>
      </w:r>
      <w:r>
        <w:rPr>
          <w:rFonts w:cs="Arial" w:hint="cs"/>
          <w:rtl/>
        </w:rPr>
        <w:t>שאלת על</w:t>
      </w:r>
      <w:r w:rsidRPr="007D5698">
        <w:rPr>
          <w:rFonts w:cs="Arial"/>
          <w:rtl/>
        </w:rPr>
        <w:t xml:space="preserve"> דעת חכמי בבל </w:t>
      </w:r>
      <w:r>
        <w:rPr>
          <w:rFonts w:cs="Arial" w:hint="cs"/>
          <w:rtl/>
        </w:rPr>
        <w:t>ש</w:t>
      </w:r>
      <w:r w:rsidRPr="007D5698">
        <w:rPr>
          <w:rFonts w:cs="Arial"/>
          <w:rtl/>
        </w:rPr>
        <w:t>א</w:t>
      </w:r>
      <w:r>
        <w:rPr>
          <w:rFonts w:cs="Arial" w:hint="cs"/>
          <w:rtl/>
        </w:rPr>
        <w:t>ו</w:t>
      </w:r>
      <w:r w:rsidRPr="007D5698">
        <w:rPr>
          <w:rFonts w:cs="Arial"/>
          <w:rtl/>
        </w:rPr>
        <w:t>סר</w:t>
      </w:r>
      <w:r>
        <w:rPr>
          <w:rFonts w:cs="Arial" w:hint="cs"/>
          <w:rtl/>
        </w:rPr>
        <w:t>ים</w:t>
      </w:r>
      <w:r w:rsidRPr="007D5698">
        <w:rPr>
          <w:rFonts w:cs="Arial"/>
          <w:rtl/>
        </w:rPr>
        <w:t xml:space="preserve"> ההליכה בנהרות משום דכיון דבעיא דאם יש תחומין למעלה מעשרה לא איפשיטא וקיימא לן דתחום י"ב מיל הוי דאורייתא אם כן הוי ספיקא דאורייתא ולחומרא</w:t>
      </w:r>
      <w:r w:rsidRPr="007D5698">
        <w:rPr>
          <w:rFonts w:cs="Arial" w:hint="cs"/>
          <w:rtl/>
        </w:rPr>
        <w:t>.</w:t>
      </w:r>
      <w:r w:rsidRPr="007D5698">
        <w:rPr>
          <w:rFonts w:cs="Arial"/>
          <w:rtl/>
        </w:rPr>
        <w:t xml:space="preserve"> </w:t>
      </w:r>
      <w:r>
        <w:rPr>
          <w:rFonts w:cs="Arial" w:hint="cs"/>
          <w:rtl/>
        </w:rPr>
        <w:t xml:space="preserve">תשובה- אין כן דעתי, אלא </w:t>
      </w:r>
      <w:r w:rsidRPr="007D5698">
        <w:rPr>
          <w:rFonts w:cs="Arial"/>
          <w:rtl/>
        </w:rPr>
        <w:t>ביבשה דאיכא איסור תחומין דאורייתא אין הכי נמי</w:t>
      </w:r>
      <w:r w:rsidRPr="007D5698">
        <w:rPr>
          <w:rFonts w:cs="Arial" w:hint="cs"/>
          <w:rtl/>
        </w:rPr>
        <w:t>,</w:t>
      </w:r>
      <w:r w:rsidRPr="007D5698">
        <w:rPr>
          <w:rFonts w:cs="Arial"/>
          <w:rtl/>
        </w:rPr>
        <w:t xml:space="preserve"> דכיון דבעיין לא איפשיטא נקטינן לחומרא</w:t>
      </w:r>
      <w:r w:rsidRPr="007D5698">
        <w:rPr>
          <w:rFonts w:cs="Arial" w:hint="cs"/>
          <w:rtl/>
        </w:rPr>
        <w:t>.</w:t>
      </w:r>
      <w:r w:rsidRPr="007D5698">
        <w:rPr>
          <w:rFonts w:cs="Arial"/>
          <w:rtl/>
        </w:rPr>
        <w:t xml:space="preserve"> אבל במים שאין שם איסור תחומין דאורייתא משום דלא דמי למחנה ישראל כיון דלא מיתסר אלא מדרבנן נקטינן בעיין לקולא דאין תחומין למעלה מעשרה</w:t>
      </w:r>
      <w:r w:rsidRPr="007D5698">
        <w:rPr>
          <w:rFonts w:cs="Arial" w:hint="cs"/>
          <w:rtl/>
        </w:rPr>
        <w:t>.</w:t>
      </w:r>
      <w:r w:rsidRPr="007D5698">
        <w:rPr>
          <w:rFonts w:cs="Arial"/>
          <w:rtl/>
        </w:rPr>
        <w:t xml:space="preserve"> ואפילו היכא דמספקא לן אם הם למעלה מעשרה אם לאו מותר להלך בהם עד שיתאמת לנו שבגבהן פחות מעשרה טפחים שאז אסור להלך בהם חוץ לתחום מדרבנן</w:t>
      </w:r>
      <w:r>
        <w:rPr>
          <w:rFonts w:cs="Arial" w:hint="cs"/>
          <w:sz w:val="16"/>
          <w:szCs w:val="16"/>
          <w:rtl/>
        </w:rPr>
        <w:t xml:space="preserve"> (ע"פ ל' הב"י בשם הרמב"ם)</w:t>
      </w:r>
      <w:r w:rsidRPr="007D5698">
        <w:rPr>
          <w:rFonts w:cs="Arial"/>
          <w:rtl/>
        </w:rPr>
        <w:t xml:space="preserve">. </w:t>
      </w:r>
      <w:r w:rsidRPr="00ED4352">
        <w:rPr>
          <w:rFonts w:hint="cs"/>
          <w:color w:val="E36C0A" w:themeColor="accent6" w:themeShade="BF"/>
          <w:rtl/>
        </w:rPr>
        <w:t>(וכ"פ בשו"ע)</w:t>
      </w:r>
    </w:p>
    <w:p w14:paraId="75DEF4D3" w14:textId="77777777" w:rsidR="004B2E7C" w:rsidRDefault="004B2E7C" w:rsidP="00FF2D21">
      <w:pPr>
        <w:pStyle w:val="aa"/>
        <w:numPr>
          <w:ilvl w:val="0"/>
          <w:numId w:val="105"/>
        </w:numPr>
        <w:rPr>
          <w:rFonts w:cs="Arial"/>
        </w:rPr>
      </w:pPr>
      <w:r w:rsidRPr="00872FFD">
        <w:rPr>
          <w:rFonts w:cs="Arial"/>
          <w:rtl/>
        </w:rPr>
        <w:t>רמב"ן</w:t>
      </w:r>
      <w:r w:rsidRPr="00872FFD">
        <w:rPr>
          <w:rFonts w:cs="Arial"/>
          <w:sz w:val="16"/>
          <w:szCs w:val="16"/>
          <w:rtl/>
        </w:rPr>
        <w:t xml:space="preserve"> </w:t>
      </w:r>
      <w:r>
        <w:rPr>
          <w:rFonts w:cs="Arial" w:hint="cs"/>
          <w:sz w:val="16"/>
          <w:szCs w:val="16"/>
          <w:rtl/>
        </w:rPr>
        <w:t>(ב</w:t>
      </w:r>
      <w:r w:rsidRPr="00872FFD">
        <w:rPr>
          <w:rFonts w:cs="Arial"/>
          <w:sz w:val="16"/>
          <w:szCs w:val="16"/>
          <w:rtl/>
        </w:rPr>
        <w:t xml:space="preserve">חי' </w:t>
      </w:r>
      <w:r>
        <w:rPr>
          <w:rFonts w:cs="Arial" w:hint="cs"/>
          <w:sz w:val="16"/>
          <w:szCs w:val="16"/>
          <w:rtl/>
        </w:rPr>
        <w:t>מג.</w:t>
      </w:r>
      <w:r w:rsidRPr="00872FFD">
        <w:rPr>
          <w:rFonts w:cs="Arial"/>
          <w:sz w:val="16"/>
          <w:szCs w:val="16"/>
          <w:rtl/>
        </w:rPr>
        <w:t xml:space="preserve"> סוד"ה ובתוספות) </w:t>
      </w:r>
      <w:r>
        <w:rPr>
          <w:rFonts w:cs="Arial"/>
          <w:rtl/>
        </w:rPr>
        <w:t>ו</w:t>
      </w:r>
      <w:r>
        <w:rPr>
          <w:rFonts w:cs="Arial" w:hint="cs"/>
          <w:rtl/>
        </w:rPr>
        <w:t>ה</w:t>
      </w:r>
      <w:r>
        <w:rPr>
          <w:rFonts w:cs="Arial"/>
          <w:rtl/>
        </w:rPr>
        <w:t>רז</w:t>
      </w:r>
      <w:r>
        <w:rPr>
          <w:rFonts w:cs="Arial" w:hint="cs"/>
          <w:rtl/>
        </w:rPr>
        <w:t>"ה</w:t>
      </w:r>
      <w:r>
        <w:rPr>
          <w:rFonts w:cs="Arial"/>
          <w:rtl/>
        </w:rPr>
        <w:t xml:space="preserve"> </w:t>
      </w:r>
      <w:r w:rsidRPr="00872FFD">
        <w:rPr>
          <w:rFonts w:cs="Arial"/>
          <w:sz w:val="16"/>
          <w:szCs w:val="16"/>
          <w:rtl/>
        </w:rPr>
        <w:t>(בעל המאור יא</w:t>
      </w:r>
      <w:r>
        <w:rPr>
          <w:rFonts w:cs="Arial" w:hint="cs"/>
          <w:sz w:val="16"/>
          <w:szCs w:val="16"/>
          <w:rtl/>
        </w:rPr>
        <w:t>:</w:t>
      </w:r>
      <w:r w:rsidRPr="00872FFD">
        <w:rPr>
          <w:rFonts w:cs="Arial"/>
          <w:sz w:val="16"/>
          <w:szCs w:val="16"/>
          <w:rtl/>
        </w:rPr>
        <w:t xml:space="preserve"> ד"ה והא דבעא</w:t>
      </w:r>
      <w:r>
        <w:rPr>
          <w:rFonts w:cs="Arial" w:hint="cs"/>
          <w:sz w:val="16"/>
          <w:szCs w:val="16"/>
          <w:rtl/>
        </w:rPr>
        <w:t>,</w:t>
      </w:r>
      <w:r w:rsidRPr="00872FFD">
        <w:rPr>
          <w:rFonts w:cs="Arial" w:hint="cs"/>
          <w:sz w:val="16"/>
          <w:szCs w:val="16"/>
          <w:rtl/>
        </w:rPr>
        <w:t xml:space="preserve"> </w:t>
      </w:r>
      <w:r>
        <w:rPr>
          <w:rFonts w:cs="Arial" w:hint="cs"/>
          <w:sz w:val="16"/>
          <w:szCs w:val="16"/>
          <w:rtl/>
        </w:rPr>
        <w:t>כ"כ הריטב"א בשמם [</w:t>
      </w:r>
      <w:r w:rsidRPr="00872FFD">
        <w:rPr>
          <w:rFonts w:cs="Arial"/>
          <w:sz w:val="16"/>
          <w:szCs w:val="16"/>
          <w:rtl/>
        </w:rPr>
        <w:t>מג: ד"ה בחד</w:t>
      </w:r>
      <w:r>
        <w:rPr>
          <w:rFonts w:cs="Arial" w:hint="cs"/>
          <w:sz w:val="16"/>
          <w:szCs w:val="16"/>
          <w:rtl/>
        </w:rPr>
        <w:t>]</w:t>
      </w:r>
      <w:r w:rsidRPr="00872FFD">
        <w:rPr>
          <w:rFonts w:cs="Arial"/>
          <w:sz w:val="16"/>
          <w:szCs w:val="16"/>
          <w:rtl/>
        </w:rPr>
        <w:t>)</w:t>
      </w:r>
      <w:r>
        <w:rPr>
          <w:rFonts w:cs="Arial" w:hint="cs"/>
          <w:rtl/>
        </w:rPr>
        <w:t xml:space="preserve">- </w:t>
      </w:r>
      <w:r>
        <w:rPr>
          <w:rFonts w:cs="Arial"/>
          <w:rtl/>
        </w:rPr>
        <w:t>לקולא נקטינן לה</w:t>
      </w:r>
      <w:r>
        <w:rPr>
          <w:rFonts w:cs="Arial" w:hint="cs"/>
          <w:rtl/>
        </w:rPr>
        <w:t>,</w:t>
      </w:r>
      <w:r>
        <w:rPr>
          <w:rFonts w:cs="Arial"/>
          <w:rtl/>
        </w:rPr>
        <w:t xml:space="preserve"> דספיקא דרבנן הוא</w:t>
      </w:r>
      <w:r>
        <w:rPr>
          <w:rFonts w:cs="Arial" w:hint="cs"/>
          <w:rtl/>
        </w:rPr>
        <w:t>.</w:t>
      </w:r>
    </w:p>
    <w:p w14:paraId="05632D95" w14:textId="77777777" w:rsidR="004B2E7C" w:rsidRPr="00A20484" w:rsidRDefault="004B2E7C" w:rsidP="00434A6A">
      <w:pPr>
        <w:rPr>
          <w:rFonts w:cs="Arial"/>
          <w:u w:val="single"/>
        </w:rPr>
      </w:pPr>
      <w:r w:rsidRPr="00A20484">
        <w:rPr>
          <w:rFonts w:cs="Arial" w:hint="cs"/>
          <w:u w:val="single"/>
          <w:rtl/>
        </w:rPr>
        <w:t>סיכו</w:t>
      </w:r>
      <w:r>
        <w:rPr>
          <w:rFonts w:cs="Arial" w:hint="cs"/>
          <w:u w:val="single"/>
          <w:rtl/>
        </w:rPr>
        <w:t>מו</w:t>
      </w:r>
      <w:r w:rsidRPr="00A20484">
        <w:rPr>
          <w:rFonts w:cs="Arial" w:hint="cs"/>
          <w:u w:val="single"/>
          <w:rtl/>
        </w:rPr>
        <w:t xml:space="preserve"> </w:t>
      </w:r>
      <w:r>
        <w:rPr>
          <w:rFonts w:cs="Arial" w:hint="cs"/>
          <w:u w:val="single"/>
          <w:rtl/>
        </w:rPr>
        <w:t>של הב"י ל</w:t>
      </w:r>
      <w:r w:rsidRPr="00A20484">
        <w:rPr>
          <w:rFonts w:cs="Arial" w:hint="cs"/>
          <w:u w:val="single"/>
          <w:rtl/>
        </w:rPr>
        <w:t>פרטי הלכה זו:</w:t>
      </w:r>
    </w:p>
    <w:p w14:paraId="48D858F6" w14:textId="77777777" w:rsidR="004B2E7C" w:rsidRDefault="004B2E7C" w:rsidP="00FF2D21">
      <w:pPr>
        <w:pStyle w:val="aa"/>
        <w:numPr>
          <w:ilvl w:val="0"/>
          <w:numId w:val="107"/>
        </w:numPr>
        <w:rPr>
          <w:rFonts w:cs="Arial"/>
        </w:rPr>
      </w:pPr>
      <w:r w:rsidRPr="00A20484">
        <w:rPr>
          <w:rFonts w:cs="Arial" w:hint="cs"/>
          <w:rtl/>
        </w:rPr>
        <w:t xml:space="preserve">ב"י- </w:t>
      </w:r>
      <w:r w:rsidRPr="00A20484">
        <w:rPr>
          <w:rFonts w:cs="Arial"/>
          <w:rtl/>
        </w:rPr>
        <w:t xml:space="preserve">לדעת הרי"ף והרמב"ם והרא"ש בימים המלוחים </w:t>
      </w:r>
      <w:r>
        <w:rPr>
          <w:rFonts w:cs="Arial" w:hint="cs"/>
          <w:rtl/>
        </w:rPr>
        <w:t xml:space="preserve">- </w:t>
      </w:r>
      <w:r w:rsidRPr="00A20484">
        <w:rPr>
          <w:rFonts w:cs="Arial"/>
          <w:rtl/>
        </w:rPr>
        <w:t>בכל גוונא אסור</w:t>
      </w:r>
      <w:r>
        <w:rPr>
          <w:rFonts w:cs="Arial" w:hint="cs"/>
          <w:rtl/>
        </w:rPr>
        <w:t>,</w:t>
      </w:r>
      <w:r w:rsidRPr="00A20484">
        <w:rPr>
          <w:rFonts w:cs="Arial"/>
          <w:rtl/>
        </w:rPr>
        <w:t xml:space="preserve"> משום ביטול עונג שבת</w:t>
      </w:r>
      <w:r w:rsidRPr="00A20484">
        <w:rPr>
          <w:rFonts w:cs="Arial" w:hint="cs"/>
          <w:rtl/>
        </w:rPr>
        <w:t>.</w:t>
      </w:r>
      <w:r>
        <w:rPr>
          <w:rFonts w:cs="Arial" w:hint="cs"/>
          <w:rtl/>
        </w:rPr>
        <w:t xml:space="preserve"> </w:t>
      </w:r>
      <w:r w:rsidRPr="00A20484">
        <w:rPr>
          <w:rFonts w:cs="Arial"/>
          <w:rtl/>
        </w:rPr>
        <w:t xml:space="preserve">ובנהרות הנובעים אם אינם עמוקים עשרה </w:t>
      </w:r>
      <w:r>
        <w:rPr>
          <w:rFonts w:cs="Arial" w:hint="cs"/>
          <w:rtl/>
        </w:rPr>
        <w:t xml:space="preserve">- </w:t>
      </w:r>
      <w:r w:rsidRPr="00A20484">
        <w:rPr>
          <w:rFonts w:cs="Arial"/>
          <w:rtl/>
        </w:rPr>
        <w:t>לכולי עלמא אסור</w:t>
      </w:r>
      <w:r>
        <w:rPr>
          <w:rFonts w:cs="Arial" w:hint="cs"/>
          <w:rtl/>
        </w:rPr>
        <w:t>,</w:t>
      </w:r>
      <w:r w:rsidRPr="00A20484">
        <w:rPr>
          <w:rFonts w:cs="Arial"/>
          <w:rtl/>
        </w:rPr>
        <w:t xml:space="preserve"> משום דאע</w:t>
      </w:r>
      <w:r>
        <w:rPr>
          <w:rFonts w:cs="Arial" w:hint="cs"/>
          <w:rtl/>
        </w:rPr>
        <w:t>"</w:t>
      </w:r>
      <w:r w:rsidRPr="00A20484">
        <w:rPr>
          <w:rFonts w:cs="Arial"/>
          <w:rtl/>
        </w:rPr>
        <w:t>ג דלית בהו ביטול עונג איכא איסור תחומין כל שאין מקרקע הספינה לקרקע הנהר עשרה טפחים</w:t>
      </w:r>
      <w:r w:rsidRPr="00A20484">
        <w:rPr>
          <w:rFonts w:cs="Arial" w:hint="cs"/>
          <w:rtl/>
        </w:rPr>
        <w:t>.</w:t>
      </w:r>
      <w:r w:rsidRPr="00A20484">
        <w:rPr>
          <w:rFonts w:cs="Arial"/>
          <w:rtl/>
        </w:rPr>
        <w:t xml:space="preserve"> אבל אם יש מקרקע הספינה לקרקע הנהר יותר מעשרה טפחים להרא"ש </w:t>
      </w:r>
      <w:r w:rsidRPr="00757D00">
        <w:rPr>
          <w:rFonts w:cs="Arial"/>
          <w:sz w:val="16"/>
          <w:szCs w:val="16"/>
          <w:rtl/>
        </w:rPr>
        <w:t xml:space="preserve">(שם פ"ד סי' ג, ובשו"ת כלל כב סי' יב) </w:t>
      </w:r>
      <w:r w:rsidRPr="00A20484">
        <w:rPr>
          <w:rFonts w:cs="Arial"/>
          <w:rtl/>
        </w:rPr>
        <w:t xml:space="preserve">והר"מ </w:t>
      </w:r>
      <w:r w:rsidRPr="00757D00">
        <w:rPr>
          <w:rFonts w:cs="Arial"/>
          <w:sz w:val="16"/>
          <w:szCs w:val="16"/>
          <w:rtl/>
        </w:rPr>
        <w:t>(הנ"ל בהגה</w:t>
      </w:r>
      <w:r w:rsidRPr="00757D00">
        <w:rPr>
          <w:rFonts w:cs="Arial" w:hint="cs"/>
          <w:sz w:val="16"/>
          <w:szCs w:val="16"/>
          <w:rtl/>
        </w:rPr>
        <w:t>"</w:t>
      </w:r>
      <w:r w:rsidRPr="00757D00">
        <w:rPr>
          <w:rFonts w:cs="Arial"/>
          <w:sz w:val="16"/>
          <w:szCs w:val="16"/>
          <w:rtl/>
        </w:rPr>
        <w:t xml:space="preserve">מ) </w:t>
      </w:r>
      <w:r w:rsidRPr="00A20484">
        <w:rPr>
          <w:rFonts w:cs="Arial"/>
          <w:rtl/>
        </w:rPr>
        <w:t>דנקטי בעיא דתחומין למעלה מעשרה לחומרא ולא חלקו בין ים ליבשה</w:t>
      </w:r>
      <w:r>
        <w:rPr>
          <w:rFonts w:cs="Arial" w:hint="cs"/>
          <w:rtl/>
        </w:rPr>
        <w:t xml:space="preserve"> -</w:t>
      </w:r>
      <w:r w:rsidRPr="00A20484">
        <w:rPr>
          <w:rFonts w:cs="Arial"/>
          <w:rtl/>
        </w:rPr>
        <w:t xml:space="preserve"> אסור</w:t>
      </w:r>
      <w:r w:rsidRPr="00A20484">
        <w:rPr>
          <w:rFonts w:cs="Arial" w:hint="cs"/>
          <w:rtl/>
        </w:rPr>
        <w:t>.</w:t>
      </w:r>
      <w:r w:rsidRPr="00A20484">
        <w:rPr>
          <w:rFonts w:cs="Arial"/>
          <w:rtl/>
        </w:rPr>
        <w:t xml:space="preserve"> ולהרמב"ם דנקיט לה בימים ובנהרות לקולא </w:t>
      </w:r>
      <w:r>
        <w:rPr>
          <w:rFonts w:cs="Arial" w:hint="cs"/>
          <w:rtl/>
        </w:rPr>
        <w:t xml:space="preserve">- </w:t>
      </w:r>
      <w:r w:rsidRPr="00A20484">
        <w:rPr>
          <w:rFonts w:cs="Arial"/>
          <w:rtl/>
        </w:rPr>
        <w:t>שרי</w:t>
      </w:r>
      <w:r w:rsidRPr="00A20484">
        <w:rPr>
          <w:rFonts w:cs="Arial" w:hint="cs"/>
          <w:rtl/>
        </w:rPr>
        <w:t>.</w:t>
      </w:r>
      <w:r w:rsidRPr="00A20484">
        <w:rPr>
          <w:rFonts w:cs="Arial"/>
          <w:rtl/>
        </w:rPr>
        <w:t xml:space="preserve"> ולהרמב"ן </w:t>
      </w:r>
      <w:r w:rsidRPr="00757D00">
        <w:rPr>
          <w:rFonts w:cs="Arial"/>
          <w:sz w:val="16"/>
          <w:szCs w:val="16"/>
          <w:rtl/>
        </w:rPr>
        <w:t xml:space="preserve">(חי' עירובין מג סוד"ה ובתוס') </w:t>
      </w:r>
      <w:r w:rsidRPr="00A20484">
        <w:rPr>
          <w:rFonts w:cs="Arial"/>
          <w:rtl/>
        </w:rPr>
        <w:t xml:space="preserve">והרשב"א </w:t>
      </w:r>
      <w:r w:rsidRPr="00757D00">
        <w:rPr>
          <w:rFonts w:cs="Arial"/>
          <w:sz w:val="16"/>
          <w:szCs w:val="16"/>
          <w:rtl/>
        </w:rPr>
        <w:t>(חי' שם ד"ה האי, עבוה</w:t>
      </w:r>
      <w:r w:rsidRPr="00757D00">
        <w:rPr>
          <w:rFonts w:cs="Arial" w:hint="cs"/>
          <w:sz w:val="16"/>
          <w:szCs w:val="16"/>
          <w:rtl/>
        </w:rPr>
        <w:t>"</w:t>
      </w:r>
      <w:r w:rsidRPr="00757D00">
        <w:rPr>
          <w:rFonts w:cs="Arial"/>
          <w:sz w:val="16"/>
          <w:szCs w:val="16"/>
          <w:rtl/>
        </w:rPr>
        <w:t xml:space="preserve">ק ש"ד פ"ח ה"ג, ועיין בשו"ת ח"ד סי' מח) </w:t>
      </w:r>
      <w:r>
        <w:rPr>
          <w:rFonts w:cs="Arial" w:hint="cs"/>
          <w:rtl/>
        </w:rPr>
        <w:t xml:space="preserve">- </w:t>
      </w:r>
      <w:r w:rsidRPr="00A20484">
        <w:rPr>
          <w:rFonts w:cs="Arial"/>
          <w:rtl/>
        </w:rPr>
        <w:t>נמי שרי</w:t>
      </w:r>
      <w:r>
        <w:rPr>
          <w:rFonts w:cs="Arial" w:hint="cs"/>
          <w:rtl/>
        </w:rPr>
        <w:t>,</w:t>
      </w:r>
      <w:r w:rsidRPr="00A20484">
        <w:rPr>
          <w:rFonts w:cs="Arial"/>
          <w:rtl/>
        </w:rPr>
        <w:t xml:space="preserve"> שאע</w:t>
      </w:r>
      <w:r>
        <w:rPr>
          <w:rFonts w:cs="Arial" w:hint="cs"/>
          <w:rtl/>
        </w:rPr>
        <w:t>"</w:t>
      </w:r>
      <w:r w:rsidRPr="00A20484">
        <w:rPr>
          <w:rFonts w:cs="Arial"/>
          <w:rtl/>
        </w:rPr>
        <w:t>פ שלא חלקו בין ים ליבשה הא נקטינן לה לבעיא דתחומין למעלה מעשרה לקולא</w:t>
      </w:r>
      <w:r>
        <w:rPr>
          <w:rStyle w:val="a9"/>
          <w:rFonts w:cs="Arial"/>
          <w:rtl/>
        </w:rPr>
        <w:footnoteReference w:id="201"/>
      </w:r>
      <w:r w:rsidRPr="00A20484">
        <w:rPr>
          <w:rFonts w:cs="Arial"/>
          <w:rtl/>
        </w:rPr>
        <w:t xml:space="preserve"> כמו שכתב רבינו ירוחם בחי"ח </w:t>
      </w:r>
      <w:r w:rsidRPr="00757D00">
        <w:rPr>
          <w:rFonts w:cs="Arial"/>
          <w:sz w:val="16"/>
          <w:szCs w:val="16"/>
          <w:rtl/>
        </w:rPr>
        <w:t>(ני"ב צו ע"ד)</w:t>
      </w:r>
      <w:r>
        <w:rPr>
          <w:rStyle w:val="a9"/>
          <w:rtl/>
        </w:rPr>
        <w:footnoteReference w:id="202"/>
      </w:r>
      <w:r w:rsidRPr="00B17738">
        <w:rPr>
          <w:rFonts w:cs="Arial" w:hint="cs"/>
          <w:rtl/>
        </w:rPr>
        <w:t>.</w:t>
      </w:r>
    </w:p>
    <w:p w14:paraId="2ED9B92C" w14:textId="77777777" w:rsidR="004B2E7C" w:rsidRPr="00251D09" w:rsidRDefault="004B2E7C" w:rsidP="00434A6A">
      <w:pPr>
        <w:rPr>
          <w:rFonts w:cs="Arial"/>
          <w:u w:val="single"/>
        </w:rPr>
      </w:pPr>
      <w:r w:rsidRPr="00251D09">
        <w:rPr>
          <w:rFonts w:cs="Arial" w:hint="cs"/>
          <w:u w:val="single"/>
          <w:rtl/>
        </w:rPr>
        <w:t>הפלגה בספינה שמושכים אותה ע"י בהמות:</w:t>
      </w:r>
      <w:r w:rsidRPr="00251D09">
        <w:rPr>
          <w:rFonts w:cs="Arial" w:hint="cs"/>
          <w:sz w:val="16"/>
          <w:szCs w:val="16"/>
          <w:rtl/>
        </w:rPr>
        <w:t xml:space="preserve"> (דרכ"מ אות ג)</w:t>
      </w:r>
    </w:p>
    <w:p w14:paraId="71A1A4B9" w14:textId="77777777" w:rsidR="004B2E7C" w:rsidRPr="00513309" w:rsidRDefault="004B2E7C" w:rsidP="00FF2D21">
      <w:pPr>
        <w:pStyle w:val="aa"/>
        <w:numPr>
          <w:ilvl w:val="0"/>
          <w:numId w:val="107"/>
        </w:numPr>
        <w:rPr>
          <w:rFonts w:cs="Arial"/>
          <w:rtl/>
        </w:rPr>
      </w:pPr>
      <w:r w:rsidRPr="000E2D07">
        <w:rPr>
          <w:rFonts w:cs="Arial"/>
          <w:rtl/>
        </w:rPr>
        <w:t>מהרי"ק</w:t>
      </w:r>
      <w:r w:rsidRPr="003D6B55">
        <w:rPr>
          <w:rFonts w:cs="Arial"/>
          <w:sz w:val="16"/>
          <w:szCs w:val="16"/>
          <w:rtl/>
        </w:rPr>
        <w:t xml:space="preserve"> </w:t>
      </w:r>
      <w:r w:rsidRPr="003D6B55">
        <w:rPr>
          <w:rFonts w:cs="Arial" w:hint="cs"/>
          <w:sz w:val="16"/>
          <w:szCs w:val="16"/>
          <w:rtl/>
        </w:rPr>
        <w:t>(</w:t>
      </w:r>
      <w:r w:rsidRPr="003D6B55">
        <w:rPr>
          <w:rFonts w:cs="Arial"/>
          <w:sz w:val="16"/>
          <w:szCs w:val="16"/>
          <w:rtl/>
        </w:rPr>
        <w:t>שורש ל אות ה</w:t>
      </w:r>
      <w:r w:rsidRPr="003D6B55">
        <w:rPr>
          <w:rFonts w:cs="Arial" w:hint="cs"/>
          <w:sz w:val="16"/>
          <w:szCs w:val="16"/>
          <w:rtl/>
        </w:rPr>
        <w:t>,</w:t>
      </w:r>
      <w:r w:rsidRPr="003D6B55">
        <w:rPr>
          <w:rFonts w:cs="Arial"/>
          <w:sz w:val="16"/>
          <w:szCs w:val="16"/>
          <w:rtl/>
        </w:rPr>
        <w:t xml:space="preserve"> ושורש מה</w:t>
      </w:r>
      <w:r w:rsidRPr="003D6B55">
        <w:rPr>
          <w:rFonts w:cs="Arial" w:hint="cs"/>
          <w:sz w:val="16"/>
          <w:szCs w:val="16"/>
          <w:rtl/>
        </w:rPr>
        <w:t>)</w:t>
      </w:r>
      <w:r>
        <w:rPr>
          <w:rFonts w:cs="Arial" w:hint="cs"/>
          <w:rtl/>
        </w:rPr>
        <w:t>-</w:t>
      </w:r>
      <w:r w:rsidRPr="000E2D07">
        <w:rPr>
          <w:rFonts w:cs="Arial"/>
          <w:rtl/>
        </w:rPr>
        <w:t xml:space="preserve"> אי הולך ג' ימים קודם השבת שרי אפילו בספינה שמושכים אותה על ידי בהמות כגון בנהרות שסוסים מושכים הספינה על שפת הנהר ולא דמי לקרון</w:t>
      </w:r>
      <w:r>
        <w:rPr>
          <w:rFonts w:cs="Arial" w:hint="cs"/>
          <w:rtl/>
        </w:rPr>
        <w:t xml:space="preserve">. </w:t>
      </w:r>
      <w:r w:rsidRPr="00513309">
        <w:rPr>
          <w:rFonts w:cs="Arial" w:hint="cs"/>
          <w:color w:val="00B0F0"/>
          <w:rtl/>
        </w:rPr>
        <w:t>(וכ"פ הרמ"א)</w:t>
      </w:r>
    </w:p>
    <w:p w14:paraId="613941F2"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CA3BAC0" w14:textId="77777777" w:rsidR="004B2E7C" w:rsidRDefault="004B2E7C" w:rsidP="00434A6A">
      <w:pPr>
        <w:rPr>
          <w:rtl/>
        </w:rPr>
      </w:pPr>
      <w:r>
        <w:rPr>
          <w:rFonts w:cs="Arial"/>
          <w:rtl/>
        </w:rPr>
        <w:t>הא דאין מפליגין בספינה פחות משלשה ימים קודם השבת, הטעם משום עונג שבת, שכל שלשה ימים הראשונים יש להם צער ובלבול</w:t>
      </w:r>
      <w:r>
        <w:rPr>
          <w:rFonts w:cs="Arial" w:hint="cs"/>
          <w:rtl/>
        </w:rPr>
        <w:t>.</w:t>
      </w:r>
      <w:r>
        <w:rPr>
          <w:rFonts w:cs="Arial"/>
          <w:rtl/>
        </w:rPr>
        <w:t xml:space="preserve"> ודוקא למפליגים בימים המלוחים, אבל בנהרות אין שום צער למפליגים בהם, ולפיכך מותר להפליג בהם אפילו בערב שבת, והוא שלא יהא ידוע לנו שאין בעומקם עשרה טפחים, אבל במקום שידוע לנו שמקרקע הספינה לקרקע הנהר פחות מעשרה טפחים, אסור </w:t>
      </w:r>
      <w:r w:rsidRPr="005811CD">
        <w:rPr>
          <w:rFonts w:cs="Arial"/>
          <w:sz w:val="18"/>
          <w:szCs w:val="18"/>
          <w:rtl/>
        </w:rPr>
        <w:t xml:space="preserve">(לצאת חוץ לתחום) </w:t>
      </w:r>
      <w:r>
        <w:rPr>
          <w:rFonts w:cs="Arial"/>
          <w:rtl/>
        </w:rPr>
        <w:t xml:space="preserve">משום איסור תחומין. </w:t>
      </w:r>
      <w:r w:rsidRPr="00B72CF0">
        <w:rPr>
          <w:rFonts w:cs="Arial"/>
          <w:sz w:val="18"/>
          <w:szCs w:val="18"/>
          <w:rtl/>
        </w:rPr>
        <w:t>הגה: וכן בספינה שיצטרך הישראל לבא לידי מלאכה בשבת אסור ליכנס בה שלשה ימים קודם השבת, אפילו הם נהרות הנובעים והיא למעלה מעשרה (ריב"ש סי</w:t>
      </w:r>
      <w:r>
        <w:rPr>
          <w:rFonts w:cs="Arial" w:hint="cs"/>
          <w:sz w:val="18"/>
          <w:szCs w:val="18"/>
          <w:rtl/>
        </w:rPr>
        <w:t xml:space="preserve">' </w:t>
      </w:r>
      <w:r w:rsidRPr="00B72CF0">
        <w:rPr>
          <w:rFonts w:cs="Arial"/>
          <w:sz w:val="18"/>
          <w:szCs w:val="18"/>
          <w:rtl/>
        </w:rPr>
        <w:t xml:space="preserve">קא </w:t>
      </w:r>
      <w:r>
        <w:rPr>
          <w:rFonts w:cs="Arial" w:hint="cs"/>
          <w:sz w:val="18"/>
          <w:szCs w:val="18"/>
          <w:rtl/>
        </w:rPr>
        <w:t>ו</w:t>
      </w:r>
      <w:r w:rsidRPr="00B72CF0">
        <w:rPr>
          <w:rFonts w:cs="Arial"/>
          <w:sz w:val="18"/>
          <w:szCs w:val="18"/>
          <w:rtl/>
        </w:rPr>
        <w:t>מהרי"ק)</w:t>
      </w:r>
      <w:r w:rsidRPr="005811CD">
        <w:rPr>
          <w:rFonts w:cs="Arial" w:hint="cs"/>
          <w:sz w:val="18"/>
          <w:szCs w:val="18"/>
          <w:rtl/>
        </w:rPr>
        <w:t>.</w:t>
      </w:r>
      <w:r w:rsidRPr="005811CD">
        <w:rPr>
          <w:rFonts w:cs="Arial"/>
          <w:sz w:val="18"/>
          <w:szCs w:val="18"/>
          <w:rtl/>
        </w:rPr>
        <w:t xml:space="preserve"> אבל אין איסור במה שהבהמות מושכות הספינה בשפת הנהר, ולא דמי להליכה בקרון שאסור</w:t>
      </w:r>
      <w:r>
        <w:rPr>
          <w:rFonts w:cs="Arial" w:hint="cs"/>
          <w:sz w:val="18"/>
          <w:szCs w:val="18"/>
          <w:rtl/>
        </w:rPr>
        <w:t xml:space="preserve"> (מהרי"ק)</w:t>
      </w:r>
      <w:r w:rsidRPr="005811CD">
        <w:rPr>
          <w:rFonts w:cs="Arial"/>
          <w:sz w:val="18"/>
          <w:szCs w:val="18"/>
          <w:rtl/>
        </w:rPr>
        <w:t xml:space="preserve">. </w:t>
      </w:r>
    </w:p>
    <w:p w14:paraId="60404FC9" w14:textId="77777777" w:rsidR="004B2E7C" w:rsidRDefault="004B2E7C" w:rsidP="00434A6A">
      <w:pPr>
        <w:rPr>
          <w:rtl/>
        </w:rPr>
      </w:pPr>
    </w:p>
    <w:p w14:paraId="1E41AB90" w14:textId="77777777" w:rsidR="004B2E7C" w:rsidRDefault="004B2E7C" w:rsidP="00434A6A">
      <w:pPr>
        <w:pStyle w:val="2"/>
        <w:rPr>
          <w:rtl/>
        </w:rPr>
      </w:pPr>
      <w:r>
        <w:rPr>
          <w:rtl/>
        </w:rPr>
        <w:t>סעיף ג</w:t>
      </w:r>
      <w:r>
        <w:rPr>
          <w:rFonts w:hint="cs"/>
          <w:rtl/>
        </w:rPr>
        <w:t>: כניסה לספינה בשבת.</w:t>
      </w:r>
    </w:p>
    <w:p w14:paraId="585F691C" w14:textId="77777777" w:rsidR="004B2E7C" w:rsidRPr="00757D00" w:rsidRDefault="004B2E7C" w:rsidP="00434A6A">
      <w:pPr>
        <w:rPr>
          <w:u w:val="single"/>
          <w:rtl/>
        </w:rPr>
      </w:pPr>
      <w:r>
        <w:rPr>
          <w:rFonts w:hint="cs"/>
          <w:u w:val="single"/>
          <w:rtl/>
        </w:rPr>
        <w:t>במקרים שמותר להפליג בספינה בער"ש</w:t>
      </w:r>
      <w:r>
        <w:rPr>
          <w:rStyle w:val="a9"/>
          <w:u w:val="single"/>
          <w:rtl/>
        </w:rPr>
        <w:footnoteReference w:id="203"/>
      </w:r>
      <w:r>
        <w:rPr>
          <w:rFonts w:hint="cs"/>
          <w:u w:val="single"/>
          <w:rtl/>
        </w:rPr>
        <w:t>, האם א</w:t>
      </w:r>
      <w:r w:rsidRPr="00757D00">
        <w:rPr>
          <w:rFonts w:hint="cs"/>
          <w:u w:val="single"/>
          <w:rtl/>
        </w:rPr>
        <w:t>דם שקנה שביתה בספינה</w:t>
      </w:r>
      <w:r>
        <w:rPr>
          <w:rFonts w:hint="cs"/>
          <w:u w:val="single"/>
          <w:rtl/>
        </w:rPr>
        <w:t xml:space="preserve"> מער"ש </w:t>
      </w:r>
      <w:r w:rsidRPr="00757D00">
        <w:rPr>
          <w:rFonts w:hint="cs"/>
          <w:u w:val="single"/>
          <w:rtl/>
        </w:rPr>
        <w:t>יכול להכנס בה בשבת:</w:t>
      </w:r>
    </w:p>
    <w:p w14:paraId="5F50410B" w14:textId="77777777" w:rsidR="004B2E7C" w:rsidRPr="009F5FB0" w:rsidRDefault="004B2E7C" w:rsidP="00FF2D21">
      <w:pPr>
        <w:pStyle w:val="aa"/>
        <w:numPr>
          <w:ilvl w:val="0"/>
          <w:numId w:val="105"/>
        </w:numPr>
        <w:rPr>
          <w:rFonts w:cs="Arial"/>
        </w:rPr>
      </w:pPr>
      <w:r w:rsidRPr="009606CF">
        <w:rPr>
          <w:rFonts w:cs="Arial"/>
          <w:rtl/>
        </w:rPr>
        <w:t xml:space="preserve">ר"י </w:t>
      </w:r>
      <w:r>
        <w:rPr>
          <w:rFonts w:cs="Arial" w:hint="cs"/>
          <w:sz w:val="16"/>
          <w:szCs w:val="16"/>
          <w:rtl/>
        </w:rPr>
        <w:t xml:space="preserve">(כ"כ בשמו תוס' </w:t>
      </w:r>
      <w:r w:rsidRPr="00856BCC">
        <w:rPr>
          <w:rFonts w:cs="Arial" w:hint="cs"/>
          <w:sz w:val="14"/>
          <w:szCs w:val="14"/>
          <w:rtl/>
        </w:rPr>
        <w:t>[ערובין מג.]</w:t>
      </w:r>
      <w:r>
        <w:rPr>
          <w:rFonts w:cs="Arial" w:hint="cs"/>
          <w:sz w:val="16"/>
          <w:szCs w:val="16"/>
          <w:rtl/>
        </w:rPr>
        <w:t xml:space="preserve"> וטור)</w:t>
      </w:r>
      <w:r>
        <w:rPr>
          <w:rFonts w:cs="Arial" w:hint="cs"/>
          <w:rtl/>
        </w:rPr>
        <w:t xml:space="preserve"> </w:t>
      </w:r>
      <w:r w:rsidRPr="000B48F0">
        <w:rPr>
          <w:rFonts w:cs="Arial"/>
          <w:rtl/>
        </w:rPr>
        <w:t>רשב"א</w:t>
      </w:r>
      <w:r>
        <w:rPr>
          <w:rStyle w:val="a9"/>
          <w:rFonts w:cs="Arial"/>
          <w:rtl/>
        </w:rPr>
        <w:footnoteReference w:id="204"/>
      </w:r>
      <w:r w:rsidRPr="000B48F0">
        <w:rPr>
          <w:rFonts w:cs="Arial"/>
          <w:rtl/>
        </w:rPr>
        <w:t xml:space="preserve"> </w:t>
      </w:r>
      <w:r w:rsidRPr="000B48F0">
        <w:rPr>
          <w:rFonts w:cs="Arial" w:hint="cs"/>
          <w:sz w:val="16"/>
          <w:szCs w:val="16"/>
          <w:rtl/>
        </w:rPr>
        <w:t>(בתשו', כ"כ הב"י שמו)</w:t>
      </w:r>
      <w:r>
        <w:rPr>
          <w:rFonts w:cs="Arial" w:hint="cs"/>
          <w:rtl/>
        </w:rPr>
        <w:t xml:space="preserve"> ורא"ש</w:t>
      </w:r>
      <w:r>
        <w:rPr>
          <w:rStyle w:val="a9"/>
          <w:rFonts w:cs="Arial"/>
          <w:rtl/>
        </w:rPr>
        <w:footnoteReference w:id="205"/>
      </w:r>
      <w:r>
        <w:rPr>
          <w:rFonts w:cs="Arial" w:hint="cs"/>
          <w:sz w:val="16"/>
          <w:szCs w:val="16"/>
          <w:rtl/>
        </w:rPr>
        <w:t xml:space="preserve"> (ערובין פ"ד סי' ג, ובתשו' </w:t>
      </w:r>
      <w:r w:rsidRPr="00016172">
        <w:rPr>
          <w:rFonts w:cs="Arial"/>
          <w:sz w:val="16"/>
          <w:szCs w:val="16"/>
          <w:rtl/>
        </w:rPr>
        <w:t>כלל כב סי' יב</w:t>
      </w:r>
      <w:r>
        <w:rPr>
          <w:rFonts w:cs="Arial" w:hint="cs"/>
          <w:sz w:val="16"/>
          <w:szCs w:val="16"/>
          <w:rtl/>
        </w:rPr>
        <w:t>)</w:t>
      </w:r>
      <w:r>
        <w:rPr>
          <w:rFonts w:cs="Arial" w:hint="cs"/>
          <w:rtl/>
        </w:rPr>
        <w:t xml:space="preserve">- </w:t>
      </w:r>
      <w:r w:rsidRPr="000E2D07">
        <w:rPr>
          <w:rFonts w:cs="Arial"/>
          <w:rtl/>
        </w:rPr>
        <w:t>אס</w:t>
      </w:r>
      <w:r>
        <w:rPr>
          <w:rFonts w:cs="Arial" w:hint="cs"/>
          <w:rtl/>
        </w:rPr>
        <w:t>ו</w:t>
      </w:r>
      <w:r w:rsidRPr="000E2D07">
        <w:rPr>
          <w:rFonts w:cs="Arial"/>
          <w:rtl/>
        </w:rPr>
        <w:t>ר</w:t>
      </w:r>
      <w:r>
        <w:rPr>
          <w:rStyle w:val="a9"/>
          <w:rFonts w:cs="Arial"/>
          <w:rtl/>
        </w:rPr>
        <w:footnoteReference w:id="206"/>
      </w:r>
      <w:r w:rsidRPr="000E2D07">
        <w:rPr>
          <w:rFonts w:cs="Arial"/>
          <w:rtl/>
        </w:rPr>
        <w:t xml:space="preserve"> אפילו בתוך התחום</w:t>
      </w:r>
      <w:r>
        <w:rPr>
          <w:rFonts w:cs="Arial" w:hint="cs"/>
          <w:rtl/>
        </w:rPr>
        <w:t>,</w:t>
      </w:r>
      <w:r w:rsidRPr="000E2D07">
        <w:rPr>
          <w:rFonts w:cs="Arial"/>
          <w:rtl/>
        </w:rPr>
        <w:t xml:space="preserve"> מפני שהוא נראה שט על פני המים שהוא אסור</w:t>
      </w:r>
      <w:r>
        <w:rPr>
          <w:rStyle w:val="a9"/>
          <w:rFonts w:cs="Arial"/>
          <w:rtl/>
        </w:rPr>
        <w:footnoteReference w:id="207"/>
      </w:r>
      <w:r>
        <w:rPr>
          <w:rFonts w:cs="Arial" w:hint="cs"/>
          <w:sz w:val="16"/>
          <w:szCs w:val="16"/>
          <w:rtl/>
        </w:rPr>
        <w:t xml:space="preserve"> (ל' הטור בשם ר"י)</w:t>
      </w:r>
      <w:r>
        <w:rPr>
          <w:rFonts w:cs="Arial" w:hint="cs"/>
          <w:rtl/>
        </w:rPr>
        <w:t>. ו</w:t>
      </w:r>
      <w:r w:rsidRPr="009606CF">
        <w:rPr>
          <w:rFonts w:cs="Arial"/>
          <w:rtl/>
        </w:rPr>
        <w:t>אותן בני אדם שמדליקין נרות בספינה בערב שבת ואוכלין שם וסומכין על כך להפליג בספינה בשבת לא שפיר עבדי דסוף סוף הם מפליגין בשבת</w:t>
      </w:r>
      <w:r>
        <w:rPr>
          <w:rFonts w:cs="Arial" w:hint="cs"/>
          <w:sz w:val="16"/>
          <w:szCs w:val="16"/>
          <w:rtl/>
        </w:rPr>
        <w:t xml:space="preserve"> (ל' התוס' בשם ר"י)</w:t>
      </w:r>
      <w:r w:rsidRPr="00620E29">
        <w:rPr>
          <w:rStyle w:val="a9"/>
          <w:rFonts w:cs="Arial"/>
          <w:rtl/>
        </w:rPr>
        <w:footnoteReference w:id="208"/>
      </w:r>
      <w:r w:rsidRPr="00620E29">
        <w:rPr>
          <w:rFonts w:cs="Arial"/>
          <w:rtl/>
        </w:rPr>
        <w:t xml:space="preserve">. </w:t>
      </w:r>
    </w:p>
    <w:p w14:paraId="24DC3617" w14:textId="77777777" w:rsidR="004B2E7C" w:rsidRDefault="004B2E7C" w:rsidP="00FF2D21">
      <w:pPr>
        <w:pStyle w:val="aa"/>
        <w:numPr>
          <w:ilvl w:val="0"/>
          <w:numId w:val="105"/>
        </w:numPr>
        <w:rPr>
          <w:rFonts w:cs="Arial"/>
        </w:rPr>
      </w:pPr>
      <w:r w:rsidRPr="000E2D07">
        <w:rPr>
          <w:rFonts w:cs="Arial"/>
          <w:rtl/>
        </w:rPr>
        <w:t>בה"ג</w:t>
      </w:r>
      <w:r>
        <w:rPr>
          <w:rFonts w:cs="Arial" w:hint="cs"/>
          <w:rtl/>
        </w:rPr>
        <w:t xml:space="preserve"> </w:t>
      </w:r>
      <w:r w:rsidRPr="005D1B72">
        <w:rPr>
          <w:rFonts w:cs="Arial"/>
          <w:sz w:val="16"/>
          <w:szCs w:val="16"/>
          <w:rtl/>
        </w:rPr>
        <w:t>(הל' שבת פ"א יז ע"ג)</w:t>
      </w:r>
      <w:r>
        <w:rPr>
          <w:rFonts w:cs="Arial" w:hint="cs"/>
          <w:rtl/>
        </w:rPr>
        <w:t xml:space="preserve"> ר"ן</w:t>
      </w:r>
      <w:r>
        <w:rPr>
          <w:rFonts w:cs="Arial" w:hint="cs"/>
          <w:sz w:val="16"/>
          <w:szCs w:val="16"/>
          <w:rtl/>
        </w:rPr>
        <w:t xml:space="preserve"> (ז: ד"ה ולפיכך)</w:t>
      </w:r>
      <w:r>
        <w:rPr>
          <w:rFonts w:cs="Arial" w:hint="cs"/>
          <w:rtl/>
        </w:rPr>
        <w:t xml:space="preserve"> וריב"ש</w:t>
      </w:r>
      <w:r>
        <w:rPr>
          <w:rFonts w:cs="Arial" w:hint="cs"/>
          <w:sz w:val="16"/>
          <w:szCs w:val="16"/>
          <w:rtl/>
        </w:rPr>
        <w:t xml:space="preserve"> (סי' יז-יח, קא, קנב, כ"כ בשמו הדרכ"מ אות ב)</w:t>
      </w:r>
      <w:r>
        <w:rPr>
          <w:rFonts w:cs="Arial" w:hint="cs"/>
          <w:rtl/>
        </w:rPr>
        <w:t>-</w:t>
      </w:r>
      <w:r w:rsidRPr="000E2D07">
        <w:rPr>
          <w:rFonts w:cs="Arial"/>
          <w:rtl/>
        </w:rPr>
        <w:t xml:space="preserve"> אם קנה שביתה בספינה מע"ש מותר ליכנס בה אפילו בשבת</w:t>
      </w:r>
      <w:r>
        <w:rPr>
          <w:rFonts w:cs="Arial" w:hint="cs"/>
          <w:sz w:val="16"/>
          <w:szCs w:val="16"/>
          <w:rtl/>
        </w:rPr>
        <w:t xml:space="preserve"> (ל' הטור בשם בה"ג)</w:t>
      </w:r>
      <w:r>
        <w:rPr>
          <w:rStyle w:val="a9"/>
          <w:rFonts w:cs="Arial"/>
          <w:rtl/>
        </w:rPr>
        <w:footnoteReference w:id="209"/>
      </w:r>
      <w:r>
        <w:rPr>
          <w:rFonts w:cs="Arial" w:hint="cs"/>
          <w:rtl/>
        </w:rPr>
        <w:t>.</w:t>
      </w:r>
      <w:r w:rsidRPr="00B240FA">
        <w:rPr>
          <w:rtl/>
        </w:rPr>
        <w:t xml:space="preserve"> </w:t>
      </w:r>
      <w:r w:rsidRPr="00B240FA">
        <w:rPr>
          <w:rFonts w:cs="Arial"/>
          <w:rtl/>
        </w:rPr>
        <w:t>ולפיכך נוהגין עכשיו שמתכנסין לתוך הספינה מע"ש ומסדרים שם שולחן ומדליקין את הנרות לקנות שם שביתה ואחר כך חוזרין ונכנסין לה בשבת ועושין כך מפני שהספינה עתידה לצאת בשבת חוץ לתחום ויהא אסור לזוז בתוכה מד' אמות שלו לפי שלא שבת באויר מחיצות מבעוד יום</w:t>
      </w:r>
      <w:r>
        <w:rPr>
          <w:rFonts w:cs="Arial" w:hint="cs"/>
          <w:rtl/>
        </w:rPr>
        <w:t>...</w:t>
      </w:r>
      <w:r w:rsidRPr="00B240FA">
        <w:rPr>
          <w:rFonts w:cs="Arial"/>
          <w:rtl/>
        </w:rPr>
        <w:t xml:space="preserve"> אבל כיון שנכנס לה מע"ש נעשה כמערב ברגליו ואומר כאן תהיה שביתתי וכיון דקונה שם שביתה שובת באויר מחיצות מבעו"י הוא ומהלך את כולה דכד' אמות היא אצלו</w:t>
      </w:r>
      <w:r>
        <w:rPr>
          <w:rFonts w:cs="Arial" w:hint="cs"/>
          <w:sz w:val="16"/>
          <w:szCs w:val="16"/>
          <w:rtl/>
        </w:rPr>
        <w:t xml:space="preserve"> (ל' הר"ן)</w:t>
      </w:r>
      <w:r>
        <w:rPr>
          <w:rFonts w:cs="Arial" w:hint="cs"/>
          <w:rtl/>
        </w:rPr>
        <w:t xml:space="preserve">. </w:t>
      </w:r>
      <w:r w:rsidRPr="008A2DDC">
        <w:rPr>
          <w:rFonts w:cs="Arial" w:hint="cs"/>
          <w:color w:val="00B0F0"/>
          <w:rtl/>
        </w:rPr>
        <w:t>(וכ"כ הרמ"א)</w:t>
      </w:r>
    </w:p>
    <w:p w14:paraId="2F13C3D5" w14:textId="77777777" w:rsidR="004B2E7C" w:rsidRPr="00D049CD" w:rsidRDefault="004B2E7C" w:rsidP="00FF2D21">
      <w:pPr>
        <w:pStyle w:val="aa"/>
        <w:numPr>
          <w:ilvl w:val="0"/>
          <w:numId w:val="105"/>
        </w:numPr>
        <w:rPr>
          <w:rFonts w:cs="Arial"/>
        </w:rPr>
      </w:pPr>
      <w:r w:rsidRPr="00872FFD">
        <w:rPr>
          <w:rFonts w:cs="Arial"/>
          <w:rtl/>
        </w:rPr>
        <w:t>רמב"ן</w:t>
      </w:r>
      <w:r w:rsidRPr="00872FFD">
        <w:rPr>
          <w:rFonts w:cs="Arial"/>
          <w:sz w:val="16"/>
          <w:szCs w:val="16"/>
          <w:rtl/>
        </w:rPr>
        <w:t xml:space="preserve"> </w:t>
      </w:r>
      <w:r>
        <w:rPr>
          <w:rFonts w:cs="Arial" w:hint="cs"/>
          <w:sz w:val="16"/>
          <w:szCs w:val="16"/>
          <w:rtl/>
        </w:rPr>
        <w:t>(ב</w:t>
      </w:r>
      <w:r w:rsidRPr="00872FFD">
        <w:rPr>
          <w:rFonts w:cs="Arial"/>
          <w:sz w:val="16"/>
          <w:szCs w:val="16"/>
          <w:rtl/>
        </w:rPr>
        <w:t xml:space="preserve">חי' </w:t>
      </w:r>
      <w:r>
        <w:rPr>
          <w:rFonts w:cs="Arial" w:hint="cs"/>
          <w:sz w:val="16"/>
          <w:szCs w:val="16"/>
          <w:rtl/>
        </w:rPr>
        <w:t>מג.</w:t>
      </w:r>
      <w:r w:rsidRPr="00872FFD">
        <w:rPr>
          <w:rFonts w:cs="Arial"/>
          <w:sz w:val="16"/>
          <w:szCs w:val="16"/>
          <w:rtl/>
        </w:rPr>
        <w:t xml:space="preserve"> סוד"ה ובתוספות</w:t>
      </w:r>
      <w:r>
        <w:rPr>
          <w:rFonts w:cs="Arial" w:hint="cs"/>
          <w:sz w:val="16"/>
          <w:szCs w:val="16"/>
          <w:rtl/>
        </w:rPr>
        <w:t>, כ"כ הריטב"א בשמו [</w:t>
      </w:r>
      <w:r w:rsidRPr="00872FFD">
        <w:rPr>
          <w:rFonts w:cs="Arial"/>
          <w:sz w:val="16"/>
          <w:szCs w:val="16"/>
          <w:rtl/>
        </w:rPr>
        <w:t>מג: ד"ה בחד</w:t>
      </w:r>
      <w:r>
        <w:rPr>
          <w:rFonts w:cs="Arial" w:hint="cs"/>
          <w:sz w:val="16"/>
          <w:szCs w:val="16"/>
          <w:rtl/>
        </w:rPr>
        <w:t>]</w:t>
      </w:r>
      <w:r w:rsidRPr="00872FFD">
        <w:rPr>
          <w:rFonts w:cs="Arial"/>
          <w:sz w:val="16"/>
          <w:szCs w:val="16"/>
          <w:rtl/>
        </w:rPr>
        <w:t>)</w:t>
      </w:r>
      <w:r>
        <w:rPr>
          <w:rFonts w:cs="Arial" w:hint="cs"/>
          <w:rtl/>
        </w:rPr>
        <w:t xml:space="preserve">- כיון דספיקא דרבנן </w:t>
      </w:r>
      <w:r>
        <w:rPr>
          <w:rFonts w:cs="Arial" w:hint="cs"/>
          <w:sz w:val="16"/>
          <w:szCs w:val="16"/>
          <w:rtl/>
        </w:rPr>
        <w:t xml:space="preserve">{האם יש תחומין למעלה מעשרה} </w:t>
      </w:r>
      <w:r w:rsidRPr="004C7EE6">
        <w:rPr>
          <w:rFonts w:cs="Arial"/>
          <w:rtl/>
        </w:rPr>
        <w:t>לקולא</w:t>
      </w:r>
      <w:r>
        <w:rPr>
          <w:rFonts w:cs="Arial" w:hint="cs"/>
          <w:rtl/>
        </w:rPr>
        <w:t xml:space="preserve"> -</w:t>
      </w:r>
      <w:r w:rsidRPr="004C7EE6">
        <w:rPr>
          <w:rFonts w:cs="Arial"/>
          <w:rtl/>
        </w:rPr>
        <w:t xml:space="preserve"> נקטינן לה</w:t>
      </w:r>
      <w:r>
        <w:rPr>
          <w:rFonts w:cs="Arial" w:hint="cs"/>
          <w:rtl/>
        </w:rPr>
        <w:t>קל,</w:t>
      </w:r>
      <w:r w:rsidRPr="004C7EE6">
        <w:rPr>
          <w:rFonts w:cs="Arial"/>
          <w:rtl/>
        </w:rPr>
        <w:t xml:space="preserve"> ועל כן </w:t>
      </w:r>
      <w:r>
        <w:rPr>
          <w:rFonts w:cs="Arial" w:hint="cs"/>
          <w:rtl/>
        </w:rPr>
        <w:t xml:space="preserve">יש להתיר </w:t>
      </w:r>
      <w:r w:rsidRPr="004C7EE6">
        <w:rPr>
          <w:rFonts w:cs="Arial"/>
          <w:rtl/>
        </w:rPr>
        <w:t>ליכנס בספינה של גוים</w:t>
      </w:r>
      <w:r>
        <w:rPr>
          <w:rFonts w:cs="Arial" w:hint="cs"/>
          <w:sz w:val="16"/>
          <w:szCs w:val="16"/>
          <w:rtl/>
        </w:rPr>
        <w:t xml:space="preserve"> </w:t>
      </w:r>
      <w:r w:rsidRPr="004C7EE6">
        <w:rPr>
          <w:rFonts w:cs="Arial"/>
          <w:rtl/>
        </w:rPr>
        <w:t>בשבת</w:t>
      </w:r>
      <w:r>
        <w:rPr>
          <w:rFonts w:cs="Arial" w:hint="cs"/>
          <w:sz w:val="16"/>
          <w:szCs w:val="16"/>
          <w:rtl/>
        </w:rPr>
        <w:t xml:space="preserve"> {כשיש רוב גוים על הספינה</w:t>
      </w:r>
      <w:r>
        <w:rPr>
          <w:rStyle w:val="a9"/>
          <w:rFonts w:cs="Arial"/>
          <w:sz w:val="16"/>
          <w:szCs w:val="16"/>
          <w:rtl/>
        </w:rPr>
        <w:footnoteReference w:id="210"/>
      </w:r>
      <w:r>
        <w:rPr>
          <w:rFonts w:cs="Arial" w:hint="cs"/>
          <w:sz w:val="16"/>
          <w:szCs w:val="16"/>
          <w:rtl/>
        </w:rPr>
        <w:t>}</w:t>
      </w:r>
      <w:r>
        <w:rPr>
          <w:rFonts w:cs="Arial" w:hint="cs"/>
          <w:rtl/>
        </w:rPr>
        <w:t>,</w:t>
      </w:r>
      <w:r w:rsidRPr="004C7EE6">
        <w:rPr>
          <w:rFonts w:cs="Arial"/>
          <w:rtl/>
        </w:rPr>
        <w:t xml:space="preserve"> וכן לירד ממנה בהגיען ליבשה בשבת</w:t>
      </w:r>
      <w:r>
        <w:rPr>
          <w:rStyle w:val="a9"/>
          <w:rFonts w:cs="Arial"/>
          <w:rtl/>
        </w:rPr>
        <w:footnoteReference w:id="211"/>
      </w:r>
      <w:r w:rsidRPr="004C7EE6">
        <w:rPr>
          <w:rFonts w:cs="Arial" w:hint="cs"/>
          <w:rtl/>
        </w:rPr>
        <w:t>,</w:t>
      </w:r>
      <w:r w:rsidRPr="004C7EE6">
        <w:rPr>
          <w:rFonts w:cs="Arial"/>
          <w:rtl/>
        </w:rPr>
        <w:t xml:space="preserve"> שהרי לא קנו שביתה בים למעלה מעשרה</w:t>
      </w:r>
      <w:r>
        <w:rPr>
          <w:rStyle w:val="a9"/>
          <w:rFonts w:cs="Arial"/>
          <w:rtl/>
        </w:rPr>
        <w:footnoteReference w:id="212"/>
      </w:r>
      <w:r w:rsidRPr="004C7EE6">
        <w:rPr>
          <w:rFonts w:cs="Arial" w:hint="cs"/>
          <w:rtl/>
        </w:rPr>
        <w:t>.</w:t>
      </w:r>
      <w:r w:rsidRPr="004C7EE6">
        <w:rPr>
          <w:rFonts w:cs="Arial"/>
          <w:rtl/>
        </w:rPr>
        <w:t xml:space="preserve"> </w:t>
      </w:r>
      <w:r w:rsidRPr="00D049CD">
        <w:rPr>
          <w:rFonts w:cs="Arial"/>
          <w:rtl/>
        </w:rPr>
        <w:t xml:space="preserve"> </w:t>
      </w:r>
    </w:p>
    <w:p w14:paraId="244C940E" w14:textId="77777777" w:rsidR="004B2E7C" w:rsidRDefault="004B2E7C" w:rsidP="00FF2D21">
      <w:pPr>
        <w:pStyle w:val="aa"/>
        <w:numPr>
          <w:ilvl w:val="1"/>
          <w:numId w:val="105"/>
        </w:numPr>
        <w:rPr>
          <w:rFonts w:cs="Arial"/>
        </w:rPr>
      </w:pPr>
      <w:r>
        <w:rPr>
          <w:rFonts w:cs="Arial" w:hint="cs"/>
          <w:rtl/>
        </w:rPr>
        <w:t xml:space="preserve">ב"י- </w:t>
      </w:r>
      <w:r w:rsidRPr="004C7EE6">
        <w:rPr>
          <w:rFonts w:cs="Arial"/>
          <w:rtl/>
        </w:rPr>
        <w:t>ולענין הלכה דבר זה תלוי במנהג המדינה</w:t>
      </w:r>
      <w:r>
        <w:rPr>
          <w:rFonts w:cs="Arial" w:hint="cs"/>
          <w:rtl/>
        </w:rPr>
        <w:t>.</w:t>
      </w:r>
      <w:r w:rsidRPr="004C7EE6">
        <w:rPr>
          <w:rFonts w:cs="Arial"/>
          <w:rtl/>
        </w:rPr>
        <w:t xml:space="preserve"> במקום שנהגו היתר</w:t>
      </w:r>
      <w:r>
        <w:rPr>
          <w:rFonts w:cs="Arial" w:hint="cs"/>
          <w:rtl/>
        </w:rPr>
        <w:t xml:space="preserve"> -</w:t>
      </w:r>
      <w:r w:rsidRPr="004C7EE6">
        <w:rPr>
          <w:rFonts w:cs="Arial"/>
          <w:rtl/>
        </w:rPr>
        <w:t xml:space="preserve"> מותר</w:t>
      </w:r>
      <w:r>
        <w:rPr>
          <w:rFonts w:cs="Arial" w:hint="cs"/>
          <w:rtl/>
        </w:rPr>
        <w:t>.</w:t>
      </w:r>
      <w:r w:rsidRPr="004C7EE6">
        <w:rPr>
          <w:rFonts w:cs="Arial"/>
          <w:rtl/>
        </w:rPr>
        <w:t xml:space="preserve"> ובמקום שנהגו איסור </w:t>
      </w:r>
      <w:r>
        <w:rPr>
          <w:rFonts w:cs="Arial" w:hint="cs"/>
          <w:rtl/>
        </w:rPr>
        <w:t xml:space="preserve">- </w:t>
      </w:r>
      <w:r w:rsidRPr="004C7EE6">
        <w:rPr>
          <w:rFonts w:cs="Arial"/>
          <w:rtl/>
        </w:rPr>
        <w:t>אסור להתיר להם</w:t>
      </w:r>
      <w:r w:rsidRPr="004C7EE6">
        <w:rPr>
          <w:rFonts w:cs="Arial" w:hint="cs"/>
          <w:rtl/>
        </w:rPr>
        <w:t>.</w:t>
      </w:r>
      <w:r>
        <w:rPr>
          <w:rFonts w:cs="Arial" w:hint="cs"/>
          <w:rtl/>
        </w:rPr>
        <w:t xml:space="preserve">.. </w:t>
      </w:r>
      <w:r w:rsidRPr="00251D09">
        <w:rPr>
          <w:rFonts w:cs="Arial"/>
          <w:rtl/>
        </w:rPr>
        <w:t>והרב המגיד כתב בפ"ל (הי"ג) ועכשיו נהגו להפליג אפילו בים הגדול בערב שבת ובשבת</w:t>
      </w:r>
      <w:r w:rsidRPr="00251D09">
        <w:rPr>
          <w:rFonts w:cs="Arial" w:hint="cs"/>
          <w:rtl/>
        </w:rPr>
        <w:t>.</w:t>
      </w:r>
      <w:r w:rsidRPr="00251D09">
        <w:rPr>
          <w:rFonts w:cs="Arial"/>
          <w:rtl/>
        </w:rPr>
        <w:t xml:space="preserve"> והרמב"ן חיפש ללמד עליהם זכות</w:t>
      </w:r>
      <w:r w:rsidRPr="00251D09">
        <w:rPr>
          <w:rFonts w:cs="Arial" w:hint="cs"/>
          <w:rtl/>
        </w:rPr>
        <w:t xml:space="preserve">, </w:t>
      </w:r>
      <w:r w:rsidRPr="00251D09">
        <w:rPr>
          <w:rFonts w:cs="Arial"/>
          <w:rtl/>
        </w:rPr>
        <w:t>והוא עצמו כתב ובעל נפש יחוש לעצמו</w:t>
      </w:r>
      <w:r w:rsidRPr="00251D09">
        <w:rPr>
          <w:rFonts w:cs="Arial" w:hint="cs"/>
          <w:rtl/>
        </w:rPr>
        <w:t>.</w:t>
      </w:r>
      <w:r w:rsidRPr="00251D09">
        <w:rPr>
          <w:rFonts w:cs="Arial"/>
          <w:rtl/>
        </w:rPr>
        <w:t xml:space="preserve"> גם הרשב"א (עי' עבודת הקודש בית נתיבות שער ד' ריש פ"ח) כתב שאין דבריו נכונים</w:t>
      </w:r>
      <w:r w:rsidRPr="00251D09">
        <w:rPr>
          <w:rFonts w:cs="Arial" w:hint="cs"/>
          <w:sz w:val="16"/>
          <w:szCs w:val="16"/>
          <w:rtl/>
        </w:rPr>
        <w:t xml:space="preserve"> [עכ"ל הה"מ]</w:t>
      </w:r>
      <w:r w:rsidRPr="00251D09">
        <w:rPr>
          <w:rFonts w:cs="Arial"/>
          <w:rtl/>
        </w:rPr>
        <w:t>. וכבר היה אפשר ללמד עליהם זכות משום דכולהו חשיבי הולך לדבר מצוה לדעת רבינו תם שכתב רבינו בסמוך</w:t>
      </w:r>
      <w:r w:rsidRPr="00251D09">
        <w:rPr>
          <w:rFonts w:cs="Arial" w:hint="cs"/>
          <w:rtl/>
        </w:rPr>
        <w:t>.</w:t>
      </w:r>
      <w:r w:rsidRPr="00251D09">
        <w:rPr>
          <w:rFonts w:cs="Arial"/>
          <w:rtl/>
        </w:rPr>
        <w:t xml:space="preserve"> אלא שאין נראה כן מדברי הפוסקים כמו שאכתוב בסמוך (ח' ע"ב ד"ה ולענין דבר מצוה)</w:t>
      </w:r>
      <w:r w:rsidRPr="00251D09">
        <w:rPr>
          <w:rFonts w:cs="Arial" w:hint="cs"/>
          <w:rtl/>
        </w:rPr>
        <w:t>.</w:t>
      </w:r>
      <w:r w:rsidRPr="00251D09">
        <w:rPr>
          <w:rFonts w:cs="Arial"/>
          <w:rtl/>
        </w:rPr>
        <w:t xml:space="preserve"> ולענין הלכה במקום שנהגו היתר אין מוחין בידן כיון שיש להם על מי שיסמוכו</w:t>
      </w:r>
      <w:r>
        <w:rPr>
          <w:rStyle w:val="a9"/>
          <w:rFonts w:cs="Arial"/>
          <w:rtl/>
        </w:rPr>
        <w:footnoteReference w:id="213"/>
      </w:r>
      <w:r w:rsidRPr="00251D09">
        <w:rPr>
          <w:rFonts w:cs="Arial" w:hint="cs"/>
          <w:rtl/>
        </w:rPr>
        <w:t>.</w:t>
      </w:r>
    </w:p>
    <w:p w14:paraId="28D8901D" w14:textId="77777777" w:rsidR="004B2E7C" w:rsidRPr="007C541D" w:rsidRDefault="004B2E7C" w:rsidP="00434A6A">
      <w:pPr>
        <w:ind w:left="360"/>
        <w:rPr>
          <w:rFonts w:cs="Arial"/>
          <w:u w:val="dotted"/>
        </w:rPr>
      </w:pPr>
      <w:r w:rsidRPr="007C541D">
        <w:rPr>
          <w:rFonts w:cs="Arial" w:hint="cs"/>
          <w:u w:val="dotted"/>
          <w:rtl/>
        </w:rPr>
        <w:t>ומה הדין אם לא יצא מ</w:t>
      </w:r>
      <w:r>
        <w:rPr>
          <w:rFonts w:cs="Arial" w:hint="cs"/>
          <w:u w:val="dotted"/>
          <w:rtl/>
        </w:rPr>
        <w:t>ה</w:t>
      </w:r>
      <w:r w:rsidRPr="007C541D">
        <w:rPr>
          <w:rFonts w:cs="Arial" w:hint="cs"/>
          <w:u w:val="dotted"/>
          <w:rtl/>
        </w:rPr>
        <w:t>ספינה מ</w:t>
      </w:r>
      <w:r>
        <w:rPr>
          <w:rFonts w:cs="Arial" w:hint="cs"/>
          <w:u w:val="dotted"/>
          <w:rtl/>
        </w:rPr>
        <w:t>אז שקנה בה שביתה ב</w:t>
      </w:r>
      <w:r w:rsidRPr="007C541D">
        <w:rPr>
          <w:rFonts w:cs="Arial" w:hint="cs"/>
          <w:u w:val="dotted"/>
          <w:rtl/>
        </w:rPr>
        <w:t>ער</w:t>
      </w:r>
      <w:r>
        <w:rPr>
          <w:rFonts w:cs="Arial" w:hint="cs"/>
          <w:u w:val="dotted"/>
          <w:rtl/>
        </w:rPr>
        <w:t xml:space="preserve">ב </w:t>
      </w:r>
      <w:r w:rsidRPr="007C541D">
        <w:rPr>
          <w:rFonts w:cs="Arial" w:hint="cs"/>
          <w:u w:val="dotted"/>
          <w:rtl/>
        </w:rPr>
        <w:t>ש</w:t>
      </w:r>
      <w:r>
        <w:rPr>
          <w:rFonts w:cs="Arial" w:hint="cs"/>
          <w:u w:val="dotted"/>
          <w:rtl/>
        </w:rPr>
        <w:t>בת</w:t>
      </w:r>
      <w:r w:rsidRPr="007C541D">
        <w:rPr>
          <w:rFonts w:cs="Arial" w:hint="cs"/>
          <w:u w:val="dotted"/>
          <w:rtl/>
        </w:rPr>
        <w:t>:</w:t>
      </w:r>
    </w:p>
    <w:p w14:paraId="171D76C3" w14:textId="77777777" w:rsidR="004B2E7C" w:rsidRPr="007C541D" w:rsidRDefault="004B2E7C" w:rsidP="00FF2D21">
      <w:pPr>
        <w:pStyle w:val="aa"/>
        <w:numPr>
          <w:ilvl w:val="0"/>
          <w:numId w:val="108"/>
        </w:numPr>
        <w:rPr>
          <w:rFonts w:cs="Arial"/>
          <w:rtl/>
        </w:rPr>
      </w:pPr>
      <w:r>
        <w:rPr>
          <w:rFonts w:cs="Arial" w:hint="cs"/>
          <w:rtl/>
        </w:rPr>
        <w:t xml:space="preserve">ב"י- גם התוס' </w:t>
      </w:r>
      <w:r>
        <w:rPr>
          <w:rFonts w:cs="Arial" w:hint="cs"/>
          <w:sz w:val="16"/>
          <w:szCs w:val="16"/>
          <w:rtl/>
        </w:rPr>
        <w:t xml:space="preserve">(שם) </w:t>
      </w:r>
      <w:r>
        <w:rPr>
          <w:rFonts w:cs="Arial" w:hint="cs"/>
          <w:rtl/>
        </w:rPr>
        <w:t xml:space="preserve">והרא"ש </w:t>
      </w:r>
      <w:r>
        <w:rPr>
          <w:rFonts w:cs="Arial" w:hint="cs"/>
          <w:sz w:val="16"/>
          <w:szCs w:val="16"/>
          <w:rtl/>
        </w:rPr>
        <w:t xml:space="preserve">(שם) </w:t>
      </w:r>
      <w:r w:rsidRPr="007C541D">
        <w:rPr>
          <w:rFonts w:cs="Arial"/>
          <w:rtl/>
        </w:rPr>
        <w:t>אינם אוסרין אלא כשאחר שקדשו שם יוצאין מחוץ לספינה ואחר כך חוזרין ונכנסין בה בשבת</w:t>
      </w:r>
      <w:r>
        <w:rPr>
          <w:rFonts w:cs="Arial" w:hint="cs"/>
          <w:rtl/>
        </w:rPr>
        <w:t>,</w:t>
      </w:r>
      <w:r w:rsidRPr="007C541D">
        <w:rPr>
          <w:rFonts w:cs="Arial"/>
          <w:rtl/>
        </w:rPr>
        <w:t xml:space="preserve"> מפני שהם מפליגין בשבת</w:t>
      </w:r>
      <w:r w:rsidRPr="007C541D">
        <w:rPr>
          <w:rFonts w:cs="Arial" w:hint="cs"/>
          <w:rtl/>
        </w:rPr>
        <w:t>.</w:t>
      </w:r>
      <w:r w:rsidRPr="007C541D">
        <w:rPr>
          <w:rFonts w:cs="Arial"/>
          <w:rtl/>
        </w:rPr>
        <w:t xml:space="preserve"> הא אם נכנס בה בערב שבת ולא יצא משם עד שהפליגה </w:t>
      </w:r>
      <w:r>
        <w:rPr>
          <w:rFonts w:cs="Arial" w:hint="cs"/>
          <w:rtl/>
        </w:rPr>
        <w:t xml:space="preserve">- </w:t>
      </w:r>
      <w:r w:rsidRPr="007C541D">
        <w:rPr>
          <w:rFonts w:cs="Arial"/>
          <w:rtl/>
        </w:rPr>
        <w:t>שרי</w:t>
      </w:r>
      <w:r w:rsidRPr="007C541D">
        <w:rPr>
          <w:rFonts w:cs="Arial" w:hint="cs"/>
          <w:rtl/>
        </w:rPr>
        <w:t>.</w:t>
      </w:r>
      <w:r w:rsidRPr="007C541D">
        <w:rPr>
          <w:rFonts w:cs="Arial"/>
          <w:rtl/>
        </w:rPr>
        <w:t xml:space="preserve"> דכיון שאינו נכנס עכשיו לתוכה שכבר היה שם מבעוד יום לא מיקרי מפליג</w:t>
      </w:r>
      <w:r w:rsidRPr="007C541D">
        <w:rPr>
          <w:rFonts w:cs="Arial" w:hint="cs"/>
          <w:rtl/>
        </w:rPr>
        <w:t>,</w:t>
      </w:r>
      <w:r w:rsidRPr="007C541D">
        <w:rPr>
          <w:rFonts w:cs="Arial"/>
          <w:rtl/>
        </w:rPr>
        <w:t xml:space="preserve"> דאיהו לאו מידי עביד</w:t>
      </w:r>
      <w:r w:rsidRPr="007C541D">
        <w:rPr>
          <w:rFonts w:cs="Arial" w:hint="cs"/>
          <w:rtl/>
        </w:rPr>
        <w:t>.</w:t>
      </w:r>
      <w:r w:rsidRPr="007C541D">
        <w:rPr>
          <w:rFonts w:cs="Arial"/>
          <w:rtl/>
        </w:rPr>
        <w:t xml:space="preserve"> וכן כתב הרא"ש בתשובה (כלל כב סי' יב)</w:t>
      </w:r>
      <w:r w:rsidRPr="007C541D">
        <w:rPr>
          <w:rFonts w:cs="Arial" w:hint="cs"/>
          <w:rtl/>
        </w:rPr>
        <w:t>,</w:t>
      </w:r>
      <w:r w:rsidRPr="007C541D">
        <w:rPr>
          <w:rFonts w:cs="Arial"/>
          <w:rtl/>
        </w:rPr>
        <w:t xml:space="preserve"> וכן נראה מדברי הרשב"א שכתבתי בסמוך</w:t>
      </w:r>
      <w:r>
        <w:rPr>
          <w:rFonts w:cs="Arial" w:hint="cs"/>
          <w:rtl/>
        </w:rPr>
        <w:t>.</w:t>
      </w:r>
      <w:r w:rsidRPr="007C541D">
        <w:rPr>
          <w:rFonts w:cs="Arial" w:hint="cs"/>
          <w:color w:val="E36C0A" w:themeColor="accent6" w:themeShade="BF"/>
          <w:rtl/>
        </w:rPr>
        <w:t xml:space="preserve"> (וכ"פ בשו"ע)</w:t>
      </w:r>
      <w:r w:rsidRPr="007C541D">
        <w:rPr>
          <w:rFonts w:cs="Arial"/>
          <w:rtl/>
        </w:rPr>
        <w:t xml:space="preserve"> </w:t>
      </w:r>
    </w:p>
    <w:p w14:paraId="6061E297"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63EAD33" w14:textId="77777777" w:rsidR="004B2E7C" w:rsidRDefault="004B2E7C" w:rsidP="00434A6A">
      <w:pPr>
        <w:rPr>
          <w:rFonts w:cs="Arial"/>
          <w:rtl/>
        </w:rPr>
      </w:pPr>
      <w:r>
        <w:rPr>
          <w:rFonts w:cs="Arial"/>
          <w:rtl/>
        </w:rPr>
        <w:t xml:space="preserve">היכא דמותר להפליג מערב שבת, אם נכנס בספינה מערב שבת וקנה בה שביתה, אף על פי שמפלגת בשבת, מותר והוא שלא יצא מהספינה מעת שקנה שביתה. </w:t>
      </w:r>
      <w:r w:rsidRPr="00B72CF0">
        <w:rPr>
          <w:rFonts w:cs="Arial"/>
          <w:sz w:val="18"/>
          <w:szCs w:val="18"/>
          <w:rtl/>
        </w:rPr>
        <w:t>הגה: ויש אומרים דאפילו יצא מן הספינה, שרי, דמאחר שקנה בה שביתה מע"ש</w:t>
      </w:r>
      <w:r>
        <w:rPr>
          <w:rStyle w:val="a9"/>
          <w:rFonts w:cs="Arial"/>
          <w:sz w:val="18"/>
          <w:szCs w:val="18"/>
          <w:rtl/>
        </w:rPr>
        <w:footnoteReference w:id="214"/>
      </w:r>
      <w:r w:rsidRPr="00B72CF0">
        <w:rPr>
          <w:rFonts w:cs="Arial"/>
          <w:sz w:val="18"/>
          <w:szCs w:val="18"/>
          <w:rtl/>
        </w:rPr>
        <w:t xml:space="preserve"> מותר אח"כ ליכנס בה</w:t>
      </w:r>
      <w:r>
        <w:rPr>
          <w:rStyle w:val="a9"/>
          <w:rFonts w:cs="Arial"/>
          <w:sz w:val="18"/>
          <w:szCs w:val="18"/>
          <w:rtl/>
        </w:rPr>
        <w:footnoteReference w:id="215"/>
      </w:r>
      <w:r w:rsidRPr="00B72CF0">
        <w:rPr>
          <w:rFonts w:cs="Arial"/>
          <w:sz w:val="18"/>
          <w:szCs w:val="18"/>
          <w:rtl/>
        </w:rPr>
        <w:t xml:space="preserve"> בשבת ולהפליג</w:t>
      </w:r>
      <w:r>
        <w:rPr>
          <w:rFonts w:cs="Arial" w:hint="cs"/>
          <w:sz w:val="18"/>
          <w:szCs w:val="18"/>
          <w:rtl/>
        </w:rPr>
        <w:t xml:space="preserve"> (בה"ג)</w:t>
      </w:r>
      <w:r w:rsidRPr="00B72CF0">
        <w:rPr>
          <w:rFonts w:cs="Arial"/>
          <w:sz w:val="18"/>
          <w:szCs w:val="18"/>
          <w:rtl/>
        </w:rPr>
        <w:t>. יש שעושין קידוש בספינה</w:t>
      </w:r>
      <w:r>
        <w:rPr>
          <w:rStyle w:val="a9"/>
          <w:rFonts w:cs="Arial"/>
          <w:sz w:val="18"/>
          <w:szCs w:val="18"/>
          <w:rtl/>
        </w:rPr>
        <w:footnoteReference w:id="216"/>
      </w:r>
      <w:r w:rsidRPr="00B72CF0">
        <w:rPr>
          <w:rFonts w:cs="Arial"/>
          <w:sz w:val="18"/>
          <w:szCs w:val="18"/>
          <w:rtl/>
        </w:rPr>
        <w:t>, ואח"כ חוזרים לביתם ולנים שם, ולמחר חוזרין לספינה ומפליגין</w:t>
      </w:r>
      <w:r>
        <w:rPr>
          <w:rFonts w:cs="Arial" w:hint="cs"/>
          <w:sz w:val="18"/>
          <w:szCs w:val="18"/>
          <w:rtl/>
        </w:rPr>
        <w:t xml:space="preserve"> </w:t>
      </w:r>
      <w:r w:rsidRPr="00B72CF0">
        <w:rPr>
          <w:rFonts w:cs="Arial"/>
          <w:sz w:val="18"/>
          <w:szCs w:val="18"/>
          <w:rtl/>
        </w:rPr>
        <w:t>(ר"</w:t>
      </w:r>
      <w:r>
        <w:rPr>
          <w:rFonts w:cs="Arial" w:hint="cs"/>
          <w:sz w:val="18"/>
          <w:szCs w:val="18"/>
          <w:rtl/>
        </w:rPr>
        <w:t>ן).</w:t>
      </w:r>
      <w:r w:rsidRPr="00B72CF0">
        <w:rPr>
          <w:rFonts w:cs="Arial"/>
          <w:sz w:val="18"/>
          <w:szCs w:val="18"/>
          <w:rtl/>
        </w:rPr>
        <w:t xml:space="preserve"> וכן נהגו בקצת מקומות ואין למחות </w:t>
      </w:r>
      <w:r>
        <w:rPr>
          <w:rFonts w:cs="Arial" w:hint="cs"/>
          <w:sz w:val="18"/>
          <w:szCs w:val="18"/>
          <w:rtl/>
        </w:rPr>
        <w:t>(</w:t>
      </w:r>
      <w:r w:rsidRPr="00B72CF0">
        <w:rPr>
          <w:rFonts w:cs="Arial"/>
          <w:sz w:val="18"/>
          <w:szCs w:val="18"/>
          <w:rtl/>
        </w:rPr>
        <w:t>ריב"ש)</w:t>
      </w:r>
      <w:r>
        <w:rPr>
          <w:rFonts w:cs="Arial" w:hint="cs"/>
          <w:sz w:val="18"/>
          <w:szCs w:val="18"/>
          <w:rtl/>
        </w:rPr>
        <w:t>.</w:t>
      </w:r>
      <w:r w:rsidRPr="00B72CF0">
        <w:rPr>
          <w:rFonts w:cs="Arial"/>
          <w:sz w:val="18"/>
          <w:szCs w:val="18"/>
          <w:rtl/>
        </w:rPr>
        <w:t xml:space="preserve"> ועיין לקמן סימן של"ט ות"ד.</w:t>
      </w:r>
    </w:p>
    <w:p w14:paraId="4D87380C" w14:textId="77777777" w:rsidR="004B2E7C" w:rsidRDefault="004B2E7C" w:rsidP="00434A6A">
      <w:pPr>
        <w:rPr>
          <w:rtl/>
        </w:rPr>
      </w:pPr>
      <w:r>
        <w:rPr>
          <w:rFonts w:cs="Arial"/>
          <w:rtl/>
        </w:rPr>
        <w:t xml:space="preserve"> </w:t>
      </w:r>
    </w:p>
    <w:p w14:paraId="577DF8E1" w14:textId="77777777" w:rsidR="004B2E7C" w:rsidRDefault="004B2E7C" w:rsidP="00434A6A">
      <w:pPr>
        <w:pStyle w:val="2"/>
        <w:rPr>
          <w:rtl/>
        </w:rPr>
      </w:pPr>
      <w:r>
        <w:rPr>
          <w:rtl/>
        </w:rPr>
        <w:t>סעיף ד</w:t>
      </w:r>
      <w:r>
        <w:rPr>
          <w:rFonts w:hint="cs"/>
          <w:rtl/>
        </w:rPr>
        <w:t>:</w:t>
      </w:r>
      <w:r w:rsidRPr="007E6E98">
        <w:rPr>
          <w:rtl/>
        </w:rPr>
        <w:t xml:space="preserve"> </w:t>
      </w:r>
      <w:r>
        <w:rPr>
          <w:rtl/>
        </w:rPr>
        <w:t>היוצא בשיירא במדבר</w:t>
      </w:r>
      <w:r>
        <w:rPr>
          <w:rFonts w:hint="cs"/>
          <w:rtl/>
        </w:rPr>
        <w:t>, ויצטרך</w:t>
      </w:r>
      <w:r>
        <w:rPr>
          <w:rtl/>
        </w:rPr>
        <w:t xml:space="preserve"> לחלל שבת מפני הסכנה</w:t>
      </w:r>
      <w:r>
        <w:rPr>
          <w:rFonts w:hint="cs"/>
          <w:rtl/>
        </w:rPr>
        <w:t>.</w:t>
      </w:r>
    </w:p>
    <w:p w14:paraId="16C1A562" w14:textId="77777777" w:rsidR="004B2E7C" w:rsidRPr="007E6E98" w:rsidRDefault="004B2E7C" w:rsidP="00434A6A">
      <w:pPr>
        <w:rPr>
          <w:u w:val="single"/>
          <w:rtl/>
        </w:rPr>
      </w:pPr>
      <w:r w:rsidRPr="007E6E98">
        <w:rPr>
          <w:rFonts w:cs="Arial"/>
          <w:u w:val="single"/>
          <w:rtl/>
        </w:rPr>
        <w:t>היוצאים בשיירא במדבר, ו</w:t>
      </w:r>
      <w:r w:rsidRPr="007E6E98">
        <w:rPr>
          <w:rFonts w:cs="Arial" w:hint="cs"/>
          <w:u w:val="single"/>
          <w:rtl/>
        </w:rPr>
        <w:t xml:space="preserve">יצטרך </w:t>
      </w:r>
      <w:r w:rsidRPr="007E6E98">
        <w:rPr>
          <w:rFonts w:cs="Arial"/>
          <w:u w:val="single"/>
          <w:rtl/>
        </w:rPr>
        <w:t>לחלל שבת מפני הסכנה</w:t>
      </w:r>
      <w:r w:rsidRPr="007E6E98">
        <w:rPr>
          <w:rFonts w:cs="Arial" w:hint="cs"/>
          <w:u w:val="single"/>
          <w:rtl/>
        </w:rPr>
        <w:t xml:space="preserve"> </w:t>
      </w:r>
      <w:r w:rsidRPr="007E6E98">
        <w:rPr>
          <w:rFonts w:cs="Arial"/>
          <w:u w:val="single"/>
          <w:rtl/>
        </w:rPr>
        <w:t>–</w:t>
      </w:r>
      <w:r w:rsidRPr="007E6E98">
        <w:rPr>
          <w:rFonts w:cs="Arial" w:hint="cs"/>
          <w:u w:val="single"/>
          <w:rtl/>
        </w:rPr>
        <w:t xml:space="preserve"> האם מותר לו לצאת בכל אופן:</w:t>
      </w:r>
    </w:p>
    <w:p w14:paraId="1DF26BAF" w14:textId="77777777" w:rsidR="004B2E7C" w:rsidRDefault="004B2E7C" w:rsidP="00FF2D21">
      <w:pPr>
        <w:pStyle w:val="aa"/>
        <w:numPr>
          <w:ilvl w:val="0"/>
          <w:numId w:val="108"/>
        </w:numPr>
      </w:pPr>
      <w:r w:rsidRPr="0044683A">
        <w:rPr>
          <w:rFonts w:cs="Arial"/>
          <w:rtl/>
        </w:rPr>
        <w:t xml:space="preserve">ריב"ש </w:t>
      </w:r>
      <w:r w:rsidRPr="0044683A">
        <w:rPr>
          <w:rFonts w:cs="Arial" w:hint="cs"/>
          <w:sz w:val="16"/>
          <w:szCs w:val="16"/>
          <w:rtl/>
        </w:rPr>
        <w:t>(</w:t>
      </w:r>
      <w:r w:rsidRPr="0044683A">
        <w:rPr>
          <w:rFonts w:cs="Arial"/>
          <w:sz w:val="16"/>
          <w:szCs w:val="16"/>
          <w:rtl/>
        </w:rPr>
        <w:t>סי' יז)</w:t>
      </w:r>
      <w:r w:rsidRPr="00FC60CC">
        <w:rPr>
          <w:rFonts w:cs="Arial" w:hint="cs"/>
          <w:rtl/>
        </w:rPr>
        <w:t xml:space="preserve"> </w:t>
      </w:r>
      <w:r>
        <w:rPr>
          <w:rFonts w:cs="Arial" w:hint="cs"/>
          <w:rtl/>
        </w:rPr>
        <w:t xml:space="preserve">ותשב"ץ </w:t>
      </w:r>
      <w:r w:rsidRPr="00FC60CC">
        <w:rPr>
          <w:rFonts w:cs="Arial"/>
          <w:sz w:val="16"/>
          <w:szCs w:val="16"/>
          <w:rtl/>
        </w:rPr>
        <w:t>(ח"א סי' כא)</w:t>
      </w:r>
      <w:r w:rsidRPr="0044683A">
        <w:rPr>
          <w:rFonts w:cs="Arial" w:hint="cs"/>
          <w:rtl/>
        </w:rPr>
        <w:t>-</w:t>
      </w:r>
      <w:r w:rsidRPr="0044683A">
        <w:rPr>
          <w:rFonts w:cs="Arial"/>
          <w:rtl/>
        </w:rPr>
        <w:t xml:space="preserve"> שאלת על היוצאים בשיירא במדבר</w:t>
      </w:r>
      <w:r w:rsidRPr="0044683A">
        <w:rPr>
          <w:rFonts w:cs="Arial" w:hint="cs"/>
          <w:rtl/>
        </w:rPr>
        <w:t>,</w:t>
      </w:r>
      <w:r w:rsidRPr="0044683A">
        <w:rPr>
          <w:rFonts w:cs="Arial"/>
          <w:rtl/>
        </w:rPr>
        <w:t xml:space="preserve"> והכל יודעים שהם צריכים לחלל שבת</w:t>
      </w:r>
      <w:r w:rsidRPr="0044683A">
        <w:rPr>
          <w:rFonts w:cs="Arial" w:hint="cs"/>
          <w:rtl/>
        </w:rPr>
        <w:t>,</w:t>
      </w:r>
      <w:r w:rsidRPr="0044683A">
        <w:rPr>
          <w:rFonts w:cs="Arial"/>
          <w:rtl/>
        </w:rPr>
        <w:t xml:space="preserve"> כי מפני הסכנה לא יוכלו לעכב במדבר לבדם בשבת</w:t>
      </w:r>
      <w:r w:rsidRPr="0044683A">
        <w:rPr>
          <w:rFonts w:cs="Arial" w:hint="cs"/>
          <w:rtl/>
        </w:rPr>
        <w:t>.</w:t>
      </w:r>
      <w:r w:rsidRPr="0044683A">
        <w:rPr>
          <w:rFonts w:cs="Arial"/>
          <w:rtl/>
        </w:rPr>
        <w:t xml:space="preserve"> ולכן נסתפקת אם ראוי למחות בידם שלא יצאו בשיירא במדבר</w:t>
      </w:r>
      <w:r>
        <w:rPr>
          <w:rFonts w:cs="Arial" w:hint="cs"/>
          <w:rtl/>
        </w:rPr>
        <w:t>.</w:t>
      </w:r>
      <w:r w:rsidRPr="0044683A">
        <w:rPr>
          <w:rFonts w:cs="Arial"/>
          <w:rtl/>
        </w:rPr>
        <w:tab/>
      </w:r>
      <w:r>
        <w:rPr>
          <w:rFonts w:cs="Arial" w:hint="cs"/>
          <w:rtl/>
        </w:rPr>
        <w:t xml:space="preserve">     </w:t>
      </w:r>
      <w:r w:rsidRPr="0044683A">
        <w:rPr>
          <w:rFonts w:cs="Arial"/>
          <w:rtl/>
        </w:rPr>
        <w:t>תשובה</w:t>
      </w:r>
      <w:r>
        <w:rPr>
          <w:rFonts w:cs="Arial" w:hint="cs"/>
          <w:rtl/>
        </w:rPr>
        <w:t>:</w:t>
      </w:r>
      <w:r w:rsidRPr="0044683A">
        <w:rPr>
          <w:rFonts w:cs="Arial"/>
          <w:rtl/>
        </w:rPr>
        <w:t xml:space="preserve"> דבר זה מתורת הרז"ה למדנו</w:t>
      </w:r>
      <w:r>
        <w:rPr>
          <w:rFonts w:cs="Arial" w:hint="cs"/>
          <w:rtl/>
        </w:rPr>
        <w:t>,</w:t>
      </w:r>
      <w:r w:rsidRPr="0044683A">
        <w:rPr>
          <w:rFonts w:cs="Arial"/>
          <w:rtl/>
        </w:rPr>
        <w:t xml:space="preserve"> שנתן טעם בההיא דאין מפליגין בספינה ואין צרין על עיירות של גוים פחות מג' ימים קודם השבת</w:t>
      </w:r>
      <w:r>
        <w:rPr>
          <w:rFonts w:cs="Arial" w:hint="cs"/>
          <w:rtl/>
        </w:rPr>
        <w:t>,</w:t>
      </w:r>
      <w:r w:rsidRPr="0044683A">
        <w:rPr>
          <w:rFonts w:cs="Arial"/>
          <w:rtl/>
        </w:rPr>
        <w:t xml:space="preserve"> משום דמקום סכנה הוא</w:t>
      </w:r>
      <w:r>
        <w:rPr>
          <w:rFonts w:cs="Arial" w:hint="cs"/>
          <w:rtl/>
        </w:rPr>
        <w:t>,</w:t>
      </w:r>
      <w:r w:rsidRPr="0044683A">
        <w:rPr>
          <w:rFonts w:cs="Arial"/>
          <w:rtl/>
        </w:rPr>
        <w:t xml:space="preserve"> וכל ג' ימים קודם לשבת קמי שבתא מיקרי</w:t>
      </w:r>
      <w:r>
        <w:rPr>
          <w:rFonts w:cs="Arial" w:hint="cs"/>
          <w:rtl/>
        </w:rPr>
        <w:t>,</w:t>
      </w:r>
      <w:r w:rsidRPr="0044683A">
        <w:rPr>
          <w:rFonts w:cs="Arial"/>
          <w:rtl/>
        </w:rPr>
        <w:t xml:space="preserve"> ונראה כמתנה לדחות את השבת מפני שאין לך דבר שעומד בפני פיקוח נפש</w:t>
      </w:r>
      <w:r>
        <w:rPr>
          <w:rFonts w:cs="Arial" w:hint="cs"/>
          <w:rtl/>
        </w:rPr>
        <w:t>.</w:t>
      </w:r>
      <w:r w:rsidRPr="0044683A">
        <w:rPr>
          <w:rFonts w:cs="Arial"/>
          <w:rtl/>
        </w:rPr>
        <w:t xml:space="preserve"> והוא הדין למפריש במדבר וכל מקום סכנה שאדם עתיד לחלל בו את השבת</w:t>
      </w:r>
      <w:r>
        <w:rPr>
          <w:rFonts w:cs="Arial" w:hint="cs"/>
          <w:rtl/>
        </w:rPr>
        <w:t>.</w:t>
      </w:r>
      <w:r w:rsidRPr="0044683A">
        <w:rPr>
          <w:rFonts w:cs="Arial"/>
          <w:rtl/>
        </w:rPr>
        <w:t xml:space="preserve"> ע</w:t>
      </w:r>
      <w:r>
        <w:rPr>
          <w:rFonts w:cs="Arial" w:hint="cs"/>
          <w:rtl/>
        </w:rPr>
        <w:t>כ"ל</w:t>
      </w:r>
      <w:r w:rsidRPr="0044683A">
        <w:rPr>
          <w:rFonts w:cs="Arial"/>
          <w:rtl/>
        </w:rPr>
        <w:t xml:space="preserve"> הרז"ה</w:t>
      </w:r>
      <w:r>
        <w:rPr>
          <w:rFonts w:cs="Arial" w:hint="cs"/>
          <w:rtl/>
        </w:rPr>
        <w:t>.</w:t>
      </w:r>
      <w:r w:rsidRPr="0044683A">
        <w:rPr>
          <w:rFonts w:cs="Arial"/>
          <w:rtl/>
        </w:rPr>
        <w:t xml:space="preserve"> ולפי זה כל היוצא מן היישוב למדבר ביום א' וב' וג' </w:t>
      </w:r>
      <w:r>
        <w:rPr>
          <w:rFonts w:cs="Arial" w:hint="cs"/>
          <w:rtl/>
        </w:rPr>
        <w:t xml:space="preserve">- </w:t>
      </w:r>
      <w:r w:rsidRPr="0044683A">
        <w:rPr>
          <w:rFonts w:cs="Arial"/>
          <w:rtl/>
        </w:rPr>
        <w:t>מותר</w:t>
      </w:r>
      <w:r>
        <w:rPr>
          <w:rFonts w:cs="Arial" w:hint="cs"/>
          <w:rtl/>
        </w:rPr>
        <w:t>,</w:t>
      </w:r>
      <w:r w:rsidRPr="0044683A">
        <w:rPr>
          <w:rFonts w:cs="Arial"/>
          <w:rtl/>
        </w:rPr>
        <w:t xml:space="preserve"> לפי שאלו הג' ימים מתייחסים לשבוע שעברה ונקראים בתר שבתא כדאיתא בפרק מי שאחזו (גיטין עז.)</w:t>
      </w:r>
      <w:r>
        <w:rPr>
          <w:rFonts w:cs="Arial" w:hint="cs"/>
          <w:rtl/>
        </w:rPr>
        <w:t>.</w:t>
      </w:r>
      <w:r w:rsidRPr="0044683A">
        <w:rPr>
          <w:rFonts w:cs="Arial"/>
          <w:rtl/>
        </w:rPr>
        <w:t xml:space="preserve"> ואין לו להמנע מחמת שבת הבא</w:t>
      </w:r>
      <w:r>
        <w:rPr>
          <w:rFonts w:cs="Arial" w:hint="cs"/>
          <w:rtl/>
        </w:rPr>
        <w:t>,</w:t>
      </w:r>
      <w:r w:rsidRPr="0044683A">
        <w:rPr>
          <w:rFonts w:cs="Arial"/>
          <w:rtl/>
        </w:rPr>
        <w:t xml:space="preserve"> שאז אם יארע לו סכנה ויצטרך לחללו מפני פיקוח נפש מותר הוא ואין כאן חילול</w:t>
      </w:r>
      <w:r>
        <w:rPr>
          <w:rFonts w:cs="Arial" w:hint="cs"/>
          <w:rtl/>
        </w:rPr>
        <w:t>.</w:t>
      </w:r>
      <w:r w:rsidRPr="0044683A">
        <w:rPr>
          <w:rFonts w:cs="Arial"/>
          <w:rtl/>
        </w:rPr>
        <w:t xml:space="preserve"> אבל ביוצא מן היישוב למדבר ביום ד' ה' ו' </w:t>
      </w:r>
      <w:r>
        <w:rPr>
          <w:rFonts w:cs="Arial" w:hint="cs"/>
          <w:rtl/>
        </w:rPr>
        <w:t xml:space="preserve">- </w:t>
      </w:r>
      <w:r w:rsidRPr="0044683A">
        <w:rPr>
          <w:rFonts w:cs="Arial"/>
          <w:rtl/>
        </w:rPr>
        <w:t>אסור</w:t>
      </w:r>
      <w:r>
        <w:rPr>
          <w:rFonts w:cs="Arial" w:hint="cs"/>
          <w:rtl/>
        </w:rPr>
        <w:t>,</w:t>
      </w:r>
      <w:r w:rsidRPr="0044683A">
        <w:rPr>
          <w:rFonts w:cs="Arial"/>
          <w:rtl/>
        </w:rPr>
        <w:t xml:space="preserve"> לפי שג' ימים אלו מתייחסים לשבת הבא ונקראים קמי שבתא</w:t>
      </w:r>
      <w:r>
        <w:rPr>
          <w:rFonts w:cs="Arial" w:hint="cs"/>
          <w:rtl/>
        </w:rPr>
        <w:t>.</w:t>
      </w:r>
      <w:r w:rsidRPr="0044683A">
        <w:rPr>
          <w:rFonts w:cs="Arial"/>
          <w:rtl/>
        </w:rPr>
        <w:t xml:space="preserve"> ואם כן נראה כנכנס בכוונה למקום סכנה כדי שיחלל בו את השבת</w:t>
      </w:r>
      <w:r>
        <w:rPr>
          <w:rFonts w:cs="Arial" w:hint="cs"/>
          <w:rtl/>
        </w:rPr>
        <w:t>.</w:t>
      </w:r>
      <w:r w:rsidRPr="0044683A">
        <w:rPr>
          <w:rFonts w:cs="Arial"/>
          <w:rtl/>
        </w:rPr>
        <w:t xml:space="preserve"> ואף על פי שהרי"ף והרמב"ם פירשו ברייתא זו בדרך אחרת</w:t>
      </w:r>
      <w:r>
        <w:rPr>
          <w:rFonts w:cs="Arial" w:hint="cs"/>
          <w:rtl/>
        </w:rPr>
        <w:t>,</w:t>
      </w:r>
      <w:r w:rsidRPr="0044683A">
        <w:rPr>
          <w:rFonts w:cs="Arial"/>
          <w:rtl/>
        </w:rPr>
        <w:t xml:space="preserve"> מכל מקום הדין דין אמת</w:t>
      </w:r>
      <w:r>
        <w:rPr>
          <w:rFonts w:cs="Arial" w:hint="cs"/>
          <w:rtl/>
        </w:rPr>
        <w:t>.</w:t>
      </w:r>
      <w:r w:rsidRPr="0044683A">
        <w:rPr>
          <w:rFonts w:cs="Arial"/>
          <w:rtl/>
        </w:rPr>
        <w:t xml:space="preserve"> וכן כתב מורי הר"ן ז"ל בפירוש ההלכו</w:t>
      </w:r>
      <w:r>
        <w:rPr>
          <w:rFonts w:cs="Arial" w:hint="cs"/>
          <w:rtl/>
        </w:rPr>
        <w:t>ת</w:t>
      </w:r>
      <w:r>
        <w:rPr>
          <w:rFonts w:cs="Arial" w:hint="cs"/>
          <w:sz w:val="16"/>
          <w:szCs w:val="16"/>
          <w:rtl/>
        </w:rPr>
        <w:t xml:space="preserve"> (ל' הריב"ש)</w:t>
      </w:r>
      <w:r>
        <w:rPr>
          <w:rFonts w:cs="Arial" w:hint="cs"/>
          <w:rtl/>
        </w:rPr>
        <w:t>.</w:t>
      </w:r>
      <w:r w:rsidRPr="005D1BF7">
        <w:rPr>
          <w:rFonts w:cs="Arial" w:hint="cs"/>
          <w:color w:val="E36C0A" w:themeColor="accent6" w:themeShade="BF"/>
          <w:rtl/>
        </w:rPr>
        <w:t xml:space="preserve"> </w:t>
      </w:r>
      <w:r w:rsidRPr="007C541D">
        <w:rPr>
          <w:rFonts w:cs="Arial" w:hint="cs"/>
          <w:color w:val="E36C0A" w:themeColor="accent6" w:themeShade="BF"/>
          <w:rtl/>
        </w:rPr>
        <w:t>(וכ"פ בשו"ע)</w:t>
      </w:r>
    </w:p>
    <w:p w14:paraId="7819CC32" w14:textId="77777777" w:rsidR="004B2E7C" w:rsidRPr="007E6E98" w:rsidRDefault="004B2E7C" w:rsidP="00434A6A">
      <w:pPr>
        <w:rPr>
          <w:u w:val="single"/>
        </w:rPr>
      </w:pPr>
      <w:r w:rsidRPr="007E6E98">
        <w:rPr>
          <w:rFonts w:hint="cs"/>
          <w:u w:val="single"/>
          <w:rtl/>
        </w:rPr>
        <w:t>הצטרפות לשיירא בערב שבת</w:t>
      </w:r>
      <w:r>
        <w:rPr>
          <w:rFonts w:hint="cs"/>
          <w:u w:val="single"/>
          <w:rtl/>
        </w:rPr>
        <w:t>,</w:t>
      </w:r>
      <w:r w:rsidRPr="007E6E98">
        <w:rPr>
          <w:rFonts w:hint="cs"/>
          <w:u w:val="single"/>
          <w:rtl/>
        </w:rPr>
        <w:t xml:space="preserve"> כשרוצה לעלות לארץ ישראל:</w:t>
      </w:r>
    </w:p>
    <w:p w14:paraId="10BBA024" w14:textId="77777777" w:rsidR="004B2E7C" w:rsidRPr="005D1BF7" w:rsidRDefault="004B2E7C" w:rsidP="00FF2D21">
      <w:pPr>
        <w:pStyle w:val="aa"/>
        <w:numPr>
          <w:ilvl w:val="0"/>
          <w:numId w:val="108"/>
        </w:numPr>
      </w:pPr>
      <w:r>
        <w:rPr>
          <w:rFonts w:cs="Arial" w:hint="cs"/>
          <w:rtl/>
        </w:rPr>
        <w:t xml:space="preserve">ריב"ש </w:t>
      </w:r>
      <w:r>
        <w:rPr>
          <w:rFonts w:cs="Arial" w:hint="cs"/>
          <w:sz w:val="16"/>
          <w:szCs w:val="16"/>
          <w:rtl/>
        </w:rPr>
        <w:t>(סי' קא)</w:t>
      </w:r>
      <w:r>
        <w:rPr>
          <w:rFonts w:cs="Arial" w:hint="cs"/>
          <w:rtl/>
        </w:rPr>
        <w:t xml:space="preserve"> ותשב"ץ </w:t>
      </w:r>
      <w:r w:rsidRPr="00FC60CC">
        <w:rPr>
          <w:rFonts w:cs="Arial"/>
          <w:sz w:val="16"/>
          <w:szCs w:val="16"/>
          <w:rtl/>
        </w:rPr>
        <w:t>(ח"א סי' כא)</w:t>
      </w:r>
      <w:r>
        <w:rPr>
          <w:rFonts w:cs="Arial" w:hint="cs"/>
          <w:rtl/>
        </w:rPr>
        <w:t xml:space="preserve">- </w:t>
      </w:r>
      <w:r w:rsidRPr="0044683A">
        <w:rPr>
          <w:rFonts w:cs="Arial"/>
          <w:rtl/>
        </w:rPr>
        <w:t>העולה לארץ ישראל</w:t>
      </w:r>
      <w:r>
        <w:rPr>
          <w:rFonts w:cs="Arial" w:hint="cs"/>
          <w:rtl/>
        </w:rPr>
        <w:t>,</w:t>
      </w:r>
      <w:r w:rsidRPr="0044683A">
        <w:rPr>
          <w:rFonts w:cs="Arial"/>
          <w:rtl/>
        </w:rPr>
        <w:t xml:space="preserve"> אם נזדמנה לו שיירא אפילו בערב שבת</w:t>
      </w:r>
      <w:r>
        <w:rPr>
          <w:rFonts w:cs="Arial" w:hint="cs"/>
          <w:rtl/>
        </w:rPr>
        <w:t>,</w:t>
      </w:r>
      <w:r w:rsidRPr="0044683A">
        <w:rPr>
          <w:rFonts w:cs="Arial"/>
          <w:rtl/>
        </w:rPr>
        <w:t xml:space="preserve"> כיון דדבר מצוה הוא </w:t>
      </w:r>
      <w:r>
        <w:rPr>
          <w:rFonts w:cs="Arial" w:hint="cs"/>
          <w:rtl/>
        </w:rPr>
        <w:t xml:space="preserve">- </w:t>
      </w:r>
      <w:r w:rsidRPr="0044683A">
        <w:rPr>
          <w:rFonts w:cs="Arial"/>
          <w:rtl/>
        </w:rPr>
        <w:t>יכול הוא לפרוש</w:t>
      </w:r>
      <w:r>
        <w:rPr>
          <w:rFonts w:cs="Arial" w:hint="cs"/>
          <w:rtl/>
        </w:rPr>
        <w:t>.</w:t>
      </w:r>
      <w:r w:rsidRPr="0044683A">
        <w:rPr>
          <w:rFonts w:cs="Arial"/>
          <w:rtl/>
        </w:rPr>
        <w:t xml:space="preserve"> ופוסק עמהם לשבות</w:t>
      </w:r>
      <w:r>
        <w:rPr>
          <w:rFonts w:cs="Arial" w:hint="cs"/>
          <w:rtl/>
        </w:rPr>
        <w:t>,</w:t>
      </w:r>
      <w:r w:rsidRPr="0044683A">
        <w:rPr>
          <w:rFonts w:cs="Arial"/>
          <w:rtl/>
        </w:rPr>
        <w:t xml:space="preserve"> ואם אחר שיהיה במדבר לא ירצו לשבות עמו </w:t>
      </w:r>
      <w:r>
        <w:rPr>
          <w:rFonts w:cs="Arial" w:hint="cs"/>
          <w:rtl/>
        </w:rPr>
        <w:t xml:space="preserve">- </w:t>
      </w:r>
      <w:r w:rsidRPr="0044683A">
        <w:rPr>
          <w:rFonts w:cs="Arial"/>
          <w:rtl/>
        </w:rPr>
        <w:t>יכול ללכת עמהם יותר מתחום שבת מפני פיקוח נפש</w:t>
      </w:r>
      <w:r>
        <w:rPr>
          <w:rFonts w:cs="Arial" w:hint="cs"/>
          <w:rtl/>
        </w:rPr>
        <w:t>.</w:t>
      </w:r>
      <w:r w:rsidRPr="0044683A">
        <w:rPr>
          <w:rFonts w:cs="Arial"/>
          <w:rtl/>
        </w:rPr>
        <w:t xml:space="preserve"> ואפילו להרי"ף (עירובין ה.) והרמב"ם (פכ"ז סוה"ב) דתחום ג' פרסאות דאורייתא מותר</w:t>
      </w:r>
      <w:r>
        <w:rPr>
          <w:rFonts w:cs="Arial" w:hint="cs"/>
          <w:rtl/>
        </w:rPr>
        <w:t>,</w:t>
      </w:r>
      <w:r w:rsidRPr="0044683A">
        <w:rPr>
          <w:rFonts w:cs="Arial"/>
          <w:rtl/>
        </w:rPr>
        <w:t xml:space="preserve"> לפי שאין דבר שעומד בפני פיקוח נפש</w:t>
      </w:r>
      <w:r>
        <w:rPr>
          <w:rFonts w:cs="Arial" w:hint="cs"/>
          <w:rtl/>
        </w:rPr>
        <w:t>.</w:t>
      </w:r>
      <w:r w:rsidRPr="0044683A">
        <w:rPr>
          <w:rFonts w:cs="Arial"/>
          <w:rtl/>
        </w:rPr>
        <w:t xml:space="preserve"> ואם נכנס לעיר אחת בשבת </w:t>
      </w:r>
      <w:r>
        <w:rPr>
          <w:rFonts w:cs="Arial" w:hint="cs"/>
          <w:rtl/>
        </w:rPr>
        <w:t xml:space="preserve">- </w:t>
      </w:r>
      <w:r w:rsidRPr="0044683A">
        <w:rPr>
          <w:rFonts w:cs="Arial"/>
          <w:rtl/>
        </w:rPr>
        <w:t>מהלך את כולה</w:t>
      </w:r>
      <w:r>
        <w:rPr>
          <w:rFonts w:cs="Arial" w:hint="cs"/>
          <w:rtl/>
        </w:rPr>
        <w:t>,</w:t>
      </w:r>
      <w:r w:rsidRPr="0044683A">
        <w:rPr>
          <w:rFonts w:cs="Arial"/>
          <w:rtl/>
        </w:rPr>
        <w:t xml:space="preserve"> ואפילו לדברי האוסרים ביצא לדעת ונכנס לעיר</w:t>
      </w:r>
      <w:r>
        <w:rPr>
          <w:rFonts w:cs="Arial" w:hint="cs"/>
          <w:rtl/>
        </w:rPr>
        <w:t>.</w:t>
      </w:r>
      <w:r w:rsidRPr="0044683A">
        <w:rPr>
          <w:rFonts w:cs="Arial"/>
          <w:rtl/>
        </w:rPr>
        <w:t xml:space="preserve"> דשאני הכא</w:t>
      </w:r>
      <w:r>
        <w:rPr>
          <w:rFonts w:cs="Arial" w:hint="cs"/>
          <w:rtl/>
        </w:rPr>
        <w:t>,</w:t>
      </w:r>
      <w:r w:rsidRPr="0044683A">
        <w:rPr>
          <w:rFonts w:cs="Arial"/>
          <w:rtl/>
        </w:rPr>
        <w:t xml:space="preserve"> שמפני פיקוח נפש הוא שעבר תחומו</w:t>
      </w:r>
      <w:r>
        <w:rPr>
          <w:rFonts w:cs="Arial" w:hint="cs"/>
          <w:rtl/>
        </w:rPr>
        <w:t>,</w:t>
      </w:r>
      <w:r w:rsidRPr="0044683A">
        <w:rPr>
          <w:rFonts w:cs="Arial"/>
          <w:rtl/>
        </w:rPr>
        <w:t xml:space="preserve"> ויציאתו בערב שבת ברשות היתה</w:t>
      </w:r>
      <w:r>
        <w:rPr>
          <w:rFonts w:cs="Arial" w:hint="cs"/>
          <w:rtl/>
        </w:rPr>
        <w:t>,</w:t>
      </w:r>
      <w:r w:rsidRPr="0044683A">
        <w:rPr>
          <w:rFonts w:cs="Arial"/>
          <w:rtl/>
        </w:rPr>
        <w:t xml:space="preserve"> אם כן הרי הוא כמי שהוציאוהו גוים שאם נכנס לעיר מהלך את כולה</w:t>
      </w:r>
      <w:r>
        <w:rPr>
          <w:rFonts w:cs="Arial" w:hint="cs"/>
          <w:rtl/>
        </w:rPr>
        <w:t>.</w:t>
      </w:r>
      <w:r w:rsidRPr="0044683A">
        <w:rPr>
          <w:rFonts w:cs="Arial"/>
          <w:rtl/>
        </w:rPr>
        <w:t xml:space="preserve"> ואפילו הניחוהו מחוץ לעיר ורוצה ליכנס בעיר</w:t>
      </w:r>
      <w:r>
        <w:rPr>
          <w:rFonts w:cs="Arial" w:hint="cs"/>
          <w:rtl/>
        </w:rPr>
        <w:t xml:space="preserve"> -</w:t>
      </w:r>
      <w:r w:rsidRPr="0044683A">
        <w:rPr>
          <w:rFonts w:cs="Arial"/>
          <w:rtl/>
        </w:rPr>
        <w:t xml:space="preserve"> מותר</w:t>
      </w:r>
      <w:r>
        <w:rPr>
          <w:rFonts w:cs="Arial" w:hint="cs"/>
          <w:rtl/>
        </w:rPr>
        <w:t>,</w:t>
      </w:r>
      <w:r w:rsidRPr="0044683A">
        <w:rPr>
          <w:rFonts w:cs="Arial"/>
          <w:rtl/>
        </w:rPr>
        <w:t xml:space="preserve"> דכיון דלדבר מצוה נפק יש לו אלפים אמה לכל רוח וכדאמרינן בפרק מי שהוציאוהו (עירובין מד:)</w:t>
      </w:r>
      <w:r>
        <w:rPr>
          <w:rFonts w:cs="Arial" w:hint="cs"/>
          <w:sz w:val="16"/>
          <w:szCs w:val="16"/>
          <w:rtl/>
        </w:rPr>
        <w:t xml:space="preserve"> (ל' הב"י בשם התשב"ץ)</w:t>
      </w:r>
      <w:r>
        <w:rPr>
          <w:rFonts w:cs="Arial" w:hint="cs"/>
          <w:rtl/>
        </w:rPr>
        <w:t>.</w:t>
      </w:r>
      <w:r w:rsidRPr="005D1BF7">
        <w:rPr>
          <w:rFonts w:cs="Arial" w:hint="cs"/>
          <w:color w:val="E36C0A" w:themeColor="accent6" w:themeShade="BF"/>
          <w:rtl/>
        </w:rPr>
        <w:t xml:space="preserve"> </w:t>
      </w:r>
      <w:r w:rsidRPr="007C541D">
        <w:rPr>
          <w:rFonts w:cs="Arial" w:hint="cs"/>
          <w:color w:val="E36C0A" w:themeColor="accent6" w:themeShade="BF"/>
          <w:rtl/>
        </w:rPr>
        <w:t>(וכ"פ בשו"ע)</w:t>
      </w:r>
    </w:p>
    <w:p w14:paraId="08FB2FDE" w14:textId="77777777" w:rsidR="004B2E7C" w:rsidRPr="005D1BF7" w:rsidRDefault="004B2E7C" w:rsidP="00434A6A">
      <w:pPr>
        <w:rPr>
          <w:u w:val="single"/>
          <w:rtl/>
        </w:rPr>
      </w:pPr>
      <w:r w:rsidRPr="005D1BF7">
        <w:rPr>
          <w:rFonts w:hint="cs"/>
          <w:u w:val="single"/>
          <w:rtl/>
        </w:rPr>
        <w:t>מה נחשב דבר מצוה לעניין הפלגה או הליכה בשיירא:</w:t>
      </w:r>
    </w:p>
    <w:p w14:paraId="27680043" w14:textId="77777777" w:rsidR="004B2E7C" w:rsidRDefault="004B2E7C" w:rsidP="00FF2D21">
      <w:pPr>
        <w:pStyle w:val="aa"/>
        <w:numPr>
          <w:ilvl w:val="0"/>
          <w:numId w:val="105"/>
        </w:numPr>
        <w:rPr>
          <w:rFonts w:cs="Arial"/>
        </w:rPr>
      </w:pPr>
      <w:r w:rsidRPr="000E2D07">
        <w:rPr>
          <w:rFonts w:cs="Arial"/>
          <w:rtl/>
        </w:rPr>
        <w:t>ר"ת</w:t>
      </w:r>
      <w:r>
        <w:rPr>
          <w:rFonts w:cs="Arial" w:hint="cs"/>
          <w:rtl/>
        </w:rPr>
        <w:t xml:space="preserve"> </w:t>
      </w:r>
      <w:r>
        <w:rPr>
          <w:rFonts w:cs="Arial" w:hint="cs"/>
          <w:sz w:val="16"/>
          <w:szCs w:val="16"/>
          <w:rtl/>
        </w:rPr>
        <w:t>(כ"כ בשמו מרדכי</w:t>
      </w:r>
      <w:r>
        <w:rPr>
          <w:rStyle w:val="a9"/>
          <w:rFonts w:cs="Arial"/>
          <w:sz w:val="16"/>
          <w:szCs w:val="16"/>
          <w:rtl/>
        </w:rPr>
        <w:footnoteReference w:id="217"/>
      </w:r>
      <w:r>
        <w:rPr>
          <w:rFonts w:cs="Arial" w:hint="cs"/>
          <w:sz w:val="16"/>
          <w:szCs w:val="16"/>
          <w:rtl/>
        </w:rPr>
        <w:t xml:space="preserve"> [סי' רנח] וטור) </w:t>
      </w:r>
      <w:r>
        <w:rPr>
          <w:rFonts w:cs="Arial" w:hint="cs"/>
          <w:rtl/>
        </w:rPr>
        <w:t xml:space="preserve">ה"ר יואל הלוי </w:t>
      </w:r>
      <w:r>
        <w:rPr>
          <w:rFonts w:cs="Arial" w:hint="cs"/>
          <w:sz w:val="16"/>
          <w:szCs w:val="16"/>
          <w:rtl/>
        </w:rPr>
        <w:t>(אבי הראבי"ה, כ"כ הראבי"ה בשמו)</w:t>
      </w:r>
      <w:r>
        <w:rPr>
          <w:rFonts w:cs="Arial" w:hint="cs"/>
          <w:rtl/>
        </w:rPr>
        <w:t xml:space="preserve"> ראבי"ה </w:t>
      </w:r>
      <w:r>
        <w:rPr>
          <w:rFonts w:cs="Arial" w:hint="cs"/>
          <w:sz w:val="16"/>
          <w:szCs w:val="16"/>
          <w:rtl/>
        </w:rPr>
        <w:t>(סי' קצח)</w:t>
      </w:r>
      <w:r>
        <w:rPr>
          <w:rFonts w:cs="Arial" w:hint="cs"/>
          <w:rtl/>
        </w:rPr>
        <w:t xml:space="preserve"> וטור-</w:t>
      </w:r>
      <w:r w:rsidRPr="000E2D07">
        <w:rPr>
          <w:rFonts w:cs="Arial"/>
          <w:rtl/>
        </w:rPr>
        <w:t xml:space="preserve"> כל מקום שאדם הולך כגון לסחורה או לראות פני חבירו חשיב הכל דבר מצוה ואין חשובה דבר הרשות אלא כשהולך לטייל</w:t>
      </w:r>
      <w:r>
        <w:rPr>
          <w:rFonts w:cs="Arial" w:hint="cs"/>
          <w:sz w:val="16"/>
          <w:szCs w:val="16"/>
          <w:rtl/>
        </w:rPr>
        <w:t xml:space="preserve"> (ל' הטור בשם ר"ת)</w:t>
      </w:r>
      <w:r>
        <w:rPr>
          <w:rFonts w:cs="Arial" w:hint="cs"/>
          <w:rtl/>
        </w:rPr>
        <w:t>.</w:t>
      </w:r>
      <w:r w:rsidRPr="000E2D07">
        <w:rPr>
          <w:rFonts w:cs="Arial"/>
          <w:rtl/>
        </w:rPr>
        <w:t xml:space="preserve"> </w:t>
      </w:r>
      <w:r w:rsidRPr="00F95DA6">
        <w:rPr>
          <w:rFonts w:cs="Arial" w:hint="cs"/>
          <w:color w:val="00B0F0"/>
          <w:rtl/>
        </w:rPr>
        <w:t>(וכ"כ הרמ"א)</w:t>
      </w:r>
    </w:p>
    <w:p w14:paraId="5BDECF0C" w14:textId="77777777" w:rsidR="004B2E7C" w:rsidRPr="00207EEC" w:rsidRDefault="004B2E7C" w:rsidP="00FF2D21">
      <w:pPr>
        <w:pStyle w:val="aa"/>
        <w:numPr>
          <w:ilvl w:val="0"/>
          <w:numId w:val="105"/>
        </w:numPr>
        <w:rPr>
          <w:rFonts w:cs="Arial"/>
          <w:rtl/>
        </w:rPr>
      </w:pPr>
      <w:r>
        <w:rPr>
          <w:rFonts w:cs="Arial" w:hint="cs"/>
          <w:rtl/>
        </w:rPr>
        <w:t xml:space="preserve">ב"י- </w:t>
      </w:r>
      <w:r w:rsidRPr="00207EEC">
        <w:rPr>
          <w:rFonts w:cs="Arial"/>
          <w:rtl/>
        </w:rPr>
        <w:t>מכל מקום נראה לי שאין כל הפוסקים מודים לרבינו תם בזה דאם כן למה להו לאהדורי אטעמי דהיתרא במה שנהגו עכשיו להפליג בים בערב שבת תיפוק לי משום דכל ההולכים בספינות אינם מפליגין אלא לסחורה או לראות פני חביריהם ולא לטייל</w:t>
      </w:r>
      <w:r>
        <w:rPr>
          <w:rFonts w:cs="Arial" w:hint="cs"/>
          <w:rtl/>
        </w:rPr>
        <w:t>.</w:t>
      </w:r>
      <w:r w:rsidRPr="00207EEC">
        <w:rPr>
          <w:rFonts w:cs="Arial"/>
          <w:rtl/>
        </w:rPr>
        <w:t xml:space="preserve"> וכן משמע מדברי הרי"ף והרא"ש שכתבו והיינו טעמא דלדבר מצוה שרי משום דפטירי ממצות עונג דאמר מר (סוכה כה.) העוסק במצוה פטור מן המצוה</w:t>
      </w:r>
      <w:r>
        <w:rPr>
          <w:rFonts w:cs="Arial" w:hint="cs"/>
          <w:rtl/>
        </w:rPr>
        <w:t>,</w:t>
      </w:r>
      <w:r w:rsidRPr="00207EEC">
        <w:rPr>
          <w:rFonts w:cs="Arial"/>
          <w:rtl/>
        </w:rPr>
        <w:t xml:space="preserve"> ואי הולכים בסחורה חשיבי עוסקין במצוה אם כן פטרת את כל העולם ממצות</w:t>
      </w:r>
      <w:r>
        <w:rPr>
          <w:rFonts w:cs="Arial" w:hint="cs"/>
          <w:rtl/>
        </w:rPr>
        <w:t>.</w:t>
      </w:r>
      <w:r w:rsidRPr="00207EEC">
        <w:rPr>
          <w:rFonts w:cs="Arial"/>
          <w:rtl/>
        </w:rPr>
        <w:t xml:space="preserve"> אלא ודאי לית להו הא דרבינו תם. והכי משמע קצת מעובדא דבני בישן דאיתא בריש פרק מקום שנהגו (פסחים נ:) דנהוג דלא אזלי מצור לצידון במעלי שבתא</w:t>
      </w:r>
      <w:r>
        <w:rPr>
          <w:rFonts w:cs="Arial" w:hint="cs"/>
          <w:rtl/>
        </w:rPr>
        <w:t>,</w:t>
      </w:r>
      <w:r w:rsidRPr="00207EEC">
        <w:rPr>
          <w:rFonts w:cs="Arial"/>
          <w:rtl/>
        </w:rPr>
        <w:t xml:space="preserve"> אתו לקמיה דרבי יוחנן אמרו ליה אבהתין הוה אפשר להו אנן לא אפשר לן</w:t>
      </w:r>
      <w:r>
        <w:rPr>
          <w:rFonts w:cs="Arial" w:hint="cs"/>
          <w:rtl/>
        </w:rPr>
        <w:t>.</w:t>
      </w:r>
      <w:r w:rsidRPr="00207EEC">
        <w:rPr>
          <w:rFonts w:cs="Arial"/>
          <w:rtl/>
        </w:rPr>
        <w:t xml:space="preserve"> אמר להם כבר קבלו עליהם אבותיכם</w:t>
      </w:r>
      <w:r>
        <w:rPr>
          <w:rFonts w:cs="Arial" w:hint="cs"/>
          <w:rtl/>
        </w:rPr>
        <w:t>.</w:t>
      </w:r>
      <w:r w:rsidRPr="00207EEC">
        <w:rPr>
          <w:rFonts w:cs="Arial"/>
          <w:rtl/>
        </w:rPr>
        <w:t xml:space="preserve"> ומשמע ודאי דהני לא היו הולכים לטייל</w:t>
      </w:r>
      <w:r>
        <w:rPr>
          <w:rFonts w:cs="Arial" w:hint="cs"/>
          <w:rtl/>
        </w:rPr>
        <w:t>,</w:t>
      </w:r>
      <w:r w:rsidRPr="00207EEC">
        <w:rPr>
          <w:rFonts w:cs="Arial"/>
          <w:rtl/>
        </w:rPr>
        <w:t xml:space="preserve"> דאם כן מאי הוה אפשר להו ולא אפשר לן דקאמר</w:t>
      </w:r>
      <w:r>
        <w:rPr>
          <w:rFonts w:cs="Arial" w:hint="cs"/>
          <w:rtl/>
        </w:rPr>
        <w:t>.</w:t>
      </w:r>
      <w:r w:rsidRPr="00207EEC">
        <w:rPr>
          <w:rFonts w:cs="Arial"/>
          <w:rtl/>
        </w:rPr>
        <w:t xml:space="preserve"> ואם איתא דכל שאינו הולך לטייל חשיב לדבר מצוה למה החמירו הראשונים על עצמם</w:t>
      </w:r>
      <w:r>
        <w:rPr>
          <w:rFonts w:cs="Arial" w:hint="cs"/>
          <w:rtl/>
        </w:rPr>
        <w:t>,</w:t>
      </w:r>
      <w:r w:rsidRPr="00207EEC">
        <w:rPr>
          <w:rFonts w:cs="Arial"/>
          <w:rtl/>
        </w:rPr>
        <w:t xml:space="preserve"> וכי מדת חסידות הוא להחמיר אדם על עצמו בדבר מצוה</w:t>
      </w:r>
      <w:r>
        <w:rPr>
          <w:rFonts w:cs="Arial" w:hint="cs"/>
          <w:rtl/>
        </w:rPr>
        <w:t>.</w:t>
      </w:r>
      <w:r w:rsidRPr="00207EEC">
        <w:rPr>
          <w:rFonts w:cs="Arial"/>
          <w:rtl/>
        </w:rPr>
        <w:t xml:space="preserve"> וכן כתב הריב"ש בתשובה (סי' קא) שזה שכתב רבינו בשם רבינו תם קולא יתירה היא</w:t>
      </w:r>
      <w:r w:rsidRPr="00207EEC">
        <w:rPr>
          <w:rFonts w:cs="Arial" w:hint="cs"/>
          <w:rtl/>
        </w:rPr>
        <w:t>.</w:t>
      </w:r>
      <w:r w:rsidRPr="00207EEC">
        <w:rPr>
          <w:rFonts w:cs="Arial"/>
          <w:rtl/>
        </w:rPr>
        <w:t xml:space="preserve"> ומכל מקום כתב שלעלות לארץ ישראל הוי שפיר לדבר מצוה וכן כתב הר"ש (שו"ת תשב"ץ ח"א סי' כא)</w:t>
      </w:r>
      <w:r>
        <w:rPr>
          <w:rStyle w:val="a9"/>
          <w:rFonts w:cs="Arial"/>
          <w:rtl/>
        </w:rPr>
        <w:footnoteReference w:id="218"/>
      </w:r>
      <w:r w:rsidRPr="00207EEC">
        <w:rPr>
          <w:rFonts w:cs="Arial" w:hint="cs"/>
          <w:rtl/>
        </w:rPr>
        <w:t>.</w:t>
      </w:r>
      <w:r w:rsidRPr="00207EEC">
        <w:rPr>
          <w:rFonts w:cs="Arial"/>
          <w:rtl/>
        </w:rPr>
        <w:t xml:space="preserve"> </w:t>
      </w:r>
    </w:p>
    <w:p w14:paraId="0DB9EEDB"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310D05D3" w14:textId="77777777" w:rsidR="004B2E7C" w:rsidRDefault="004B2E7C" w:rsidP="00434A6A">
      <w:pPr>
        <w:rPr>
          <w:rtl/>
        </w:rPr>
      </w:pPr>
      <w:r>
        <w:rPr>
          <w:rFonts w:cs="Arial"/>
          <w:rtl/>
        </w:rPr>
        <w:t>היוצאים בשיירא במדבר, והכל יודעים שהם צריכים לחלל שבת</w:t>
      </w:r>
      <w:r>
        <w:rPr>
          <w:rStyle w:val="a9"/>
          <w:rFonts w:cs="Arial"/>
          <w:rtl/>
        </w:rPr>
        <w:footnoteReference w:id="219"/>
      </w:r>
      <w:r>
        <w:rPr>
          <w:rFonts w:cs="Arial"/>
          <w:rtl/>
        </w:rPr>
        <w:t xml:space="preserve"> כי מפני הסכנה לא יוכלו לעכב במדבר בשבת לבדם, ג' ימים קודם שבת אסורים לצאת</w:t>
      </w:r>
      <w:r>
        <w:rPr>
          <w:rFonts w:cs="Arial" w:hint="cs"/>
          <w:rtl/>
        </w:rPr>
        <w:t>.</w:t>
      </w:r>
      <w:r>
        <w:rPr>
          <w:rFonts w:cs="Arial"/>
          <w:rtl/>
        </w:rPr>
        <w:t xml:space="preserve"> וביום ראשון ובשני ובשלישי מותר לצאת</w:t>
      </w:r>
      <w:r>
        <w:rPr>
          <w:rStyle w:val="a9"/>
          <w:rFonts w:cs="Arial"/>
          <w:rtl/>
        </w:rPr>
        <w:footnoteReference w:id="220"/>
      </w:r>
      <w:r>
        <w:rPr>
          <w:rFonts w:cs="Arial" w:hint="cs"/>
          <w:rtl/>
        </w:rPr>
        <w:t>,</w:t>
      </w:r>
      <w:r>
        <w:rPr>
          <w:rFonts w:cs="Arial"/>
          <w:rtl/>
        </w:rPr>
        <w:t xml:space="preserve"> ואם אחר כך יארע</w:t>
      </w:r>
      <w:r>
        <w:rPr>
          <w:rStyle w:val="a9"/>
          <w:rFonts w:cs="Arial"/>
          <w:rtl/>
        </w:rPr>
        <w:footnoteReference w:id="221"/>
      </w:r>
      <w:r>
        <w:rPr>
          <w:rFonts w:cs="Arial"/>
          <w:rtl/>
        </w:rPr>
        <w:t xml:space="preserve"> לו סכנה ויצטרך לחלל שבת מפני פיקוח נפש, מותר, ואין כאן חילול</w:t>
      </w:r>
      <w:r>
        <w:rPr>
          <w:rFonts w:cs="Arial" w:hint="cs"/>
          <w:rtl/>
        </w:rPr>
        <w:t>.</w:t>
      </w:r>
      <w:r>
        <w:rPr>
          <w:rFonts w:cs="Arial"/>
          <w:rtl/>
        </w:rPr>
        <w:t xml:space="preserve"> והעולה</w:t>
      </w:r>
      <w:r>
        <w:rPr>
          <w:rStyle w:val="a9"/>
          <w:rFonts w:cs="Arial"/>
          <w:rtl/>
        </w:rPr>
        <w:footnoteReference w:id="222"/>
      </w:r>
      <w:r>
        <w:rPr>
          <w:rFonts w:cs="Arial"/>
          <w:rtl/>
        </w:rPr>
        <w:t xml:space="preserve"> לארץ ישראל, אם נזדמנה לו שיירא אפילו בערב שבת, כיון דדבר מצוה הוא, יכול לפרוש</w:t>
      </w:r>
      <w:r>
        <w:rPr>
          <w:rFonts w:cs="Arial" w:hint="cs"/>
          <w:rtl/>
        </w:rPr>
        <w:t>,</w:t>
      </w:r>
      <w:r>
        <w:rPr>
          <w:rFonts w:cs="Arial"/>
          <w:rtl/>
        </w:rPr>
        <w:t xml:space="preserve"> ופוסק עמהם לשבות</w:t>
      </w:r>
      <w:r>
        <w:rPr>
          <w:rStyle w:val="a9"/>
          <w:rFonts w:cs="Arial"/>
          <w:rtl/>
        </w:rPr>
        <w:footnoteReference w:id="223"/>
      </w:r>
      <w:r>
        <w:rPr>
          <w:rFonts w:cs="Arial"/>
          <w:rtl/>
        </w:rPr>
        <w:t>, ואם אחר שיהיו במדבר לא ירצו לשבות עמו, יכול ללכת עמהם חוץ לתחום</w:t>
      </w:r>
      <w:r>
        <w:rPr>
          <w:rStyle w:val="a9"/>
          <w:rFonts w:cs="Arial"/>
          <w:rtl/>
        </w:rPr>
        <w:footnoteReference w:id="224"/>
      </w:r>
      <w:r>
        <w:rPr>
          <w:rFonts w:cs="Arial"/>
          <w:rtl/>
        </w:rPr>
        <w:t xml:space="preserve"> מפני פיקוח נפש</w:t>
      </w:r>
      <w:r>
        <w:rPr>
          <w:rStyle w:val="a9"/>
          <w:rFonts w:cs="Arial"/>
          <w:rtl/>
        </w:rPr>
        <w:footnoteReference w:id="225"/>
      </w:r>
      <w:r>
        <w:rPr>
          <w:rFonts w:cs="Arial" w:hint="cs"/>
          <w:rtl/>
        </w:rPr>
        <w:t>.</w:t>
      </w:r>
      <w:r>
        <w:rPr>
          <w:rFonts w:cs="Arial"/>
          <w:rtl/>
        </w:rPr>
        <w:t xml:space="preserve"> ואם נכנס לעיר אחת בשבת, מהלך את כולה</w:t>
      </w:r>
      <w:r>
        <w:rPr>
          <w:rStyle w:val="a9"/>
          <w:rFonts w:cs="Arial"/>
          <w:rtl/>
        </w:rPr>
        <w:footnoteReference w:id="226"/>
      </w:r>
      <w:r>
        <w:rPr>
          <w:rFonts w:cs="Arial" w:hint="cs"/>
          <w:rtl/>
        </w:rPr>
        <w:t>.</w:t>
      </w:r>
      <w:r>
        <w:rPr>
          <w:rFonts w:cs="Arial"/>
          <w:rtl/>
        </w:rPr>
        <w:t xml:space="preserve"> ואפילו הניחוהו מחוץ לעיר ורוצה ליכנס לעיר, מותר, דכיון דלדבר מצוה</w:t>
      </w:r>
      <w:r>
        <w:rPr>
          <w:rStyle w:val="a9"/>
          <w:rFonts w:cs="Arial"/>
          <w:rtl/>
        </w:rPr>
        <w:footnoteReference w:id="227"/>
      </w:r>
      <w:r>
        <w:rPr>
          <w:rFonts w:cs="Arial"/>
          <w:rtl/>
        </w:rPr>
        <w:t xml:space="preserve"> נפק יש לו אלפים אמה לכל רוח. </w:t>
      </w:r>
      <w:r w:rsidRPr="00B72CF0">
        <w:rPr>
          <w:rFonts w:cs="Arial"/>
          <w:sz w:val="18"/>
          <w:szCs w:val="18"/>
          <w:rtl/>
        </w:rPr>
        <w:t>הגה: יש אומרים שכל מקום שאדם הולך לסחורה</w:t>
      </w:r>
      <w:r>
        <w:rPr>
          <w:rStyle w:val="a9"/>
          <w:rFonts w:cs="Arial"/>
          <w:sz w:val="18"/>
          <w:szCs w:val="18"/>
          <w:rtl/>
        </w:rPr>
        <w:footnoteReference w:id="228"/>
      </w:r>
      <w:r w:rsidRPr="00B72CF0">
        <w:rPr>
          <w:rFonts w:cs="Arial"/>
          <w:sz w:val="18"/>
          <w:szCs w:val="18"/>
          <w:rtl/>
        </w:rPr>
        <w:t xml:space="preserve"> או לראות פני חבירו חשוב הכל דבר מצוה</w:t>
      </w:r>
      <w:r>
        <w:rPr>
          <w:rFonts w:cs="Arial" w:hint="cs"/>
          <w:sz w:val="18"/>
          <w:szCs w:val="18"/>
          <w:rtl/>
        </w:rPr>
        <w:t>,</w:t>
      </w:r>
      <w:r w:rsidRPr="00B72CF0">
        <w:rPr>
          <w:rFonts w:cs="Arial"/>
          <w:sz w:val="18"/>
          <w:szCs w:val="18"/>
          <w:rtl/>
        </w:rPr>
        <w:t xml:space="preserve"> ואינו חשוב דבר הרשות רק כשהולך לטייל</w:t>
      </w:r>
      <w:r>
        <w:rPr>
          <w:rFonts w:cs="Arial" w:hint="cs"/>
          <w:sz w:val="18"/>
          <w:szCs w:val="18"/>
          <w:rtl/>
        </w:rPr>
        <w:t>.</w:t>
      </w:r>
      <w:r w:rsidRPr="00B72CF0">
        <w:rPr>
          <w:rFonts w:cs="Arial"/>
          <w:sz w:val="18"/>
          <w:szCs w:val="18"/>
          <w:rtl/>
        </w:rPr>
        <w:t xml:space="preserve"> ועל כן נהגו בקצת מקומות להקל בענין הפלגת הספינות והליכת שיירא</w:t>
      </w:r>
      <w:r>
        <w:rPr>
          <w:rStyle w:val="a9"/>
          <w:rFonts w:cs="Arial"/>
          <w:sz w:val="18"/>
          <w:szCs w:val="18"/>
          <w:rtl/>
        </w:rPr>
        <w:footnoteReference w:id="229"/>
      </w:r>
      <w:r w:rsidRPr="00B72CF0">
        <w:rPr>
          <w:rFonts w:cs="Arial"/>
          <w:sz w:val="18"/>
          <w:szCs w:val="18"/>
          <w:rtl/>
        </w:rPr>
        <w:t xml:space="preserve"> תוך שלשה ימים, כי חשובים הכל לדבר מצוה</w:t>
      </w:r>
      <w:r>
        <w:rPr>
          <w:rFonts w:cs="Arial" w:hint="cs"/>
          <w:sz w:val="18"/>
          <w:szCs w:val="18"/>
          <w:rtl/>
        </w:rPr>
        <w:t>.</w:t>
      </w:r>
      <w:r w:rsidRPr="00B72CF0">
        <w:rPr>
          <w:rFonts w:cs="Arial"/>
          <w:sz w:val="18"/>
          <w:szCs w:val="18"/>
          <w:rtl/>
        </w:rPr>
        <w:t xml:space="preserve"> ואין למחות</w:t>
      </w:r>
      <w:r>
        <w:rPr>
          <w:rStyle w:val="a9"/>
          <w:rFonts w:cs="Arial"/>
          <w:sz w:val="18"/>
          <w:szCs w:val="18"/>
          <w:rtl/>
        </w:rPr>
        <w:footnoteReference w:id="230"/>
      </w:r>
      <w:r w:rsidRPr="00B72CF0">
        <w:rPr>
          <w:rFonts w:cs="Arial"/>
          <w:sz w:val="18"/>
          <w:szCs w:val="18"/>
          <w:rtl/>
        </w:rPr>
        <w:t xml:space="preserve"> בידן, הואיל ויש להם על מי שיסמוכו.</w:t>
      </w:r>
    </w:p>
    <w:p w14:paraId="5BA54751" w14:textId="77777777" w:rsidR="004B2E7C" w:rsidRDefault="004B2E7C" w:rsidP="00434A6A">
      <w:pPr>
        <w:rPr>
          <w:rtl/>
        </w:rPr>
      </w:pPr>
    </w:p>
    <w:p w14:paraId="6EADDC31" w14:textId="77777777" w:rsidR="004B2E7C" w:rsidRDefault="004B2E7C" w:rsidP="00434A6A">
      <w:pPr>
        <w:pStyle w:val="1"/>
        <w:rPr>
          <w:rtl/>
        </w:rPr>
        <w:sectPr w:rsidR="004B2E7C" w:rsidSect="00BD29B1">
          <w:headerReference w:type="default" r:id="rId19"/>
          <w:footnotePr>
            <w:numRestart w:val="eachSect"/>
          </w:footnotePr>
          <w:pgSz w:w="11906" w:h="16838"/>
          <w:pgMar w:top="720" w:right="1134" w:bottom="720" w:left="1134" w:header="0" w:footer="0" w:gutter="0"/>
          <w:cols w:space="720"/>
          <w:bidi/>
          <w:rtlGutter/>
          <w:docGrid w:linePitch="360"/>
        </w:sectPr>
      </w:pPr>
    </w:p>
    <w:p w14:paraId="1EE547FA" w14:textId="77777777" w:rsidR="004B2E7C" w:rsidRDefault="004B2E7C" w:rsidP="00434A6A">
      <w:pPr>
        <w:pStyle w:val="1"/>
        <w:rPr>
          <w:rtl/>
        </w:rPr>
      </w:pPr>
      <w:r>
        <w:rPr>
          <w:rFonts w:hint="cs"/>
          <w:rtl/>
        </w:rPr>
        <w:t>סימן רמט:</w:t>
      </w:r>
      <w:r w:rsidRPr="0085796F">
        <w:rPr>
          <w:rtl/>
        </w:rPr>
        <w:t xml:space="preserve"> </w:t>
      </w:r>
      <w:r>
        <w:rPr>
          <w:rtl/>
        </w:rPr>
        <w:t xml:space="preserve">דינים השייכים לערב שבת, ובו ד' סעיפים. </w:t>
      </w:r>
    </w:p>
    <w:p w14:paraId="5D07052E" w14:textId="77777777" w:rsidR="004B2E7C" w:rsidRDefault="004B2E7C" w:rsidP="00434A6A">
      <w:pPr>
        <w:pStyle w:val="2"/>
        <w:rPr>
          <w:rtl/>
        </w:rPr>
      </w:pPr>
      <w:r>
        <w:rPr>
          <w:rtl/>
        </w:rPr>
        <w:t>סעיף א</w:t>
      </w:r>
      <w:r>
        <w:rPr>
          <w:rFonts w:hint="cs"/>
          <w:rtl/>
        </w:rPr>
        <w:t>: הליכת מרחק גדול קודם השבת.</w:t>
      </w:r>
    </w:p>
    <w:p w14:paraId="715E9ADD" w14:textId="77777777" w:rsidR="004B2E7C" w:rsidRDefault="004B2E7C" w:rsidP="00434A6A">
      <w:pPr>
        <w:rPr>
          <w:rtl/>
        </w:rPr>
      </w:pPr>
      <w:r w:rsidRPr="00165195">
        <w:rPr>
          <w:rFonts w:hint="cs"/>
          <w:b/>
          <w:bCs/>
          <w:rtl/>
        </w:rPr>
        <w:t>שבת</w:t>
      </w:r>
      <w:r>
        <w:rPr>
          <w:rFonts w:hint="cs"/>
          <w:b/>
          <w:bCs/>
          <w:sz w:val="16"/>
          <w:szCs w:val="16"/>
          <w:rtl/>
        </w:rPr>
        <w:t xml:space="preserve"> (פ"ק)</w:t>
      </w:r>
      <w:r w:rsidRPr="00165195">
        <w:rPr>
          <w:rFonts w:hint="cs"/>
          <w:b/>
          <w:bCs/>
          <w:rtl/>
        </w:rPr>
        <w:t xml:space="preserve"> יט ע"א:</w:t>
      </w:r>
      <w:r>
        <w:rPr>
          <w:rFonts w:hint="cs"/>
          <w:rtl/>
        </w:rPr>
        <w:t xml:space="preserve"> </w:t>
      </w:r>
      <w:r w:rsidRPr="00165195">
        <w:rPr>
          <w:rFonts w:cs="Arial"/>
          <w:rtl/>
        </w:rPr>
        <w:t>תנו רבנן: אין צרין על עיירות של נכרים פחות משלשה ימים קודם לשבת, ואם התחילו - אין מפסיקין. וכן היה שמאי אומר: עד רדתה - אפילו בשבת.</w:t>
      </w:r>
      <w:r w:rsidRPr="00165195">
        <w:rPr>
          <w:rFonts w:cs="Arial"/>
          <w:sz w:val="16"/>
          <w:szCs w:val="16"/>
          <w:rtl/>
        </w:rPr>
        <w:t xml:space="preserve"> </w:t>
      </w:r>
      <w:r>
        <w:rPr>
          <w:rFonts w:cs="Arial" w:hint="cs"/>
          <w:sz w:val="16"/>
          <w:szCs w:val="16"/>
          <w:rtl/>
        </w:rPr>
        <w:t>(</w:t>
      </w:r>
      <w:r w:rsidRPr="00165195">
        <w:rPr>
          <w:rFonts w:cs="Arial"/>
          <w:sz w:val="16"/>
          <w:szCs w:val="16"/>
          <w:rtl/>
        </w:rPr>
        <w:t>וכתבו הרי"ף (ז:) והרא"ש (סי' לח) דטעמא משום דלא מתהני להו מיכלא ומשתיא תוך ג' ימים הראשונים משום טרדא ופחדא דליבא ולבתר תלתא יומי פרח פחדייהו ומקיימי ליה לעונג שבת וכן כתב הרמב"ם בפ"ל (הי"ג)</w:t>
      </w:r>
      <w:r>
        <w:rPr>
          <w:rFonts w:cs="Arial" w:hint="cs"/>
          <w:sz w:val="16"/>
          <w:szCs w:val="16"/>
          <w:rtl/>
        </w:rPr>
        <w:t>, ב"י)</w:t>
      </w:r>
    </w:p>
    <w:p w14:paraId="5567F25E" w14:textId="77777777" w:rsidR="004B2E7C" w:rsidRDefault="004B2E7C" w:rsidP="00434A6A">
      <w:pPr>
        <w:rPr>
          <w:rtl/>
        </w:rPr>
      </w:pPr>
      <w:r>
        <w:rPr>
          <w:rFonts w:cs="Arial" w:hint="cs"/>
          <w:b/>
          <w:bCs/>
          <w:rtl/>
        </w:rPr>
        <w:t xml:space="preserve">ירושלמי שבת פ"א ה"ח: </w:t>
      </w:r>
      <w:r w:rsidRPr="007B32AB">
        <w:rPr>
          <w:rFonts w:cs="Arial"/>
          <w:rtl/>
        </w:rPr>
        <w:t xml:space="preserve">אין מקיפין על עיר של </w:t>
      </w:r>
      <w:r>
        <w:rPr>
          <w:rFonts w:cs="Arial"/>
          <w:rtl/>
        </w:rPr>
        <w:t>גוים</w:t>
      </w:r>
      <w:r w:rsidRPr="007B32AB">
        <w:rPr>
          <w:rFonts w:cs="Arial"/>
          <w:rtl/>
        </w:rPr>
        <w:t xml:space="preserve"> פחות מג' ימים קודם לשבת. הדא דתימר במלחמת הרשות. אבל במלחמת חובה אפילו בשבת שכן מצינו שלא נכבשה יריחו אלא בשבת דכתיב [יהושע ו ג] כה תעשה ששת ימים. וכתיב [שם ד] וביום השביעי תסובו את העיר שבע פעמים. וכתיב [דברים כ כ] עד רדתה אפילו בשבת</w:t>
      </w:r>
      <w:r>
        <w:rPr>
          <w:rFonts w:cs="Arial" w:hint="cs"/>
          <w:rtl/>
        </w:rPr>
        <w:t>.</w:t>
      </w:r>
    </w:p>
    <w:p w14:paraId="0FC9D126" w14:textId="77777777" w:rsidR="004B2E7C" w:rsidRPr="00D378C5" w:rsidRDefault="004B2E7C" w:rsidP="00434A6A">
      <w:pPr>
        <w:rPr>
          <w:u w:val="single"/>
          <w:rtl/>
        </w:rPr>
      </w:pPr>
      <w:r w:rsidRPr="00D378C5">
        <w:rPr>
          <w:rFonts w:hint="cs"/>
          <w:u w:val="single"/>
          <w:rtl/>
        </w:rPr>
        <w:t>מצור על עיר קודם השבת:</w:t>
      </w:r>
    </w:p>
    <w:p w14:paraId="4C695FD8" w14:textId="77777777" w:rsidR="004B2E7C" w:rsidRDefault="004B2E7C" w:rsidP="00FF2D21">
      <w:pPr>
        <w:pStyle w:val="aa"/>
        <w:numPr>
          <w:ilvl w:val="0"/>
          <w:numId w:val="109"/>
        </w:numPr>
      </w:pPr>
      <w:r>
        <w:rPr>
          <w:rFonts w:cs="Arial" w:hint="cs"/>
          <w:rtl/>
        </w:rPr>
        <w:t xml:space="preserve">רמב"ם </w:t>
      </w:r>
      <w:r>
        <w:rPr>
          <w:rFonts w:cs="Arial" w:hint="cs"/>
          <w:sz w:val="16"/>
          <w:szCs w:val="16"/>
          <w:rtl/>
        </w:rPr>
        <w:t>(פ"ב מהל' שבת הכ"ה, ופ"ו מהל' מלכים הי"א)</w:t>
      </w:r>
      <w:r>
        <w:rPr>
          <w:rFonts w:cs="Arial" w:hint="cs"/>
          <w:rtl/>
        </w:rPr>
        <w:t xml:space="preserve"> ו</w:t>
      </w:r>
      <w:r w:rsidRPr="0087246C">
        <w:rPr>
          <w:rFonts w:cs="Arial" w:hint="cs"/>
          <w:rtl/>
        </w:rPr>
        <w:t xml:space="preserve">טור- </w:t>
      </w:r>
      <w:r w:rsidRPr="0087246C">
        <w:rPr>
          <w:rFonts w:cs="Arial"/>
          <w:rtl/>
        </w:rPr>
        <w:t xml:space="preserve">אין צרין במלחמת הרשות על עיירות של </w:t>
      </w:r>
      <w:r>
        <w:rPr>
          <w:rFonts w:cs="Arial" w:hint="cs"/>
          <w:rtl/>
        </w:rPr>
        <w:t>גוי</w:t>
      </w:r>
      <w:r w:rsidRPr="0087246C">
        <w:rPr>
          <w:rFonts w:cs="Arial"/>
          <w:rtl/>
        </w:rPr>
        <w:t>ם אא"כ התחילו ג</w:t>
      </w:r>
      <w:r>
        <w:rPr>
          <w:rFonts w:cs="Arial" w:hint="cs"/>
          <w:rtl/>
        </w:rPr>
        <w:t xml:space="preserve">' </w:t>
      </w:r>
      <w:r w:rsidRPr="0087246C">
        <w:rPr>
          <w:rFonts w:cs="Arial"/>
          <w:rtl/>
        </w:rPr>
        <w:t>י</w:t>
      </w:r>
      <w:r>
        <w:rPr>
          <w:rFonts w:cs="Arial" w:hint="cs"/>
          <w:rtl/>
        </w:rPr>
        <w:t>מים</w:t>
      </w:r>
      <w:r w:rsidRPr="0087246C">
        <w:rPr>
          <w:rFonts w:cs="Arial"/>
          <w:rtl/>
        </w:rPr>
        <w:t xml:space="preserve"> קודם השבת</w:t>
      </w:r>
      <w:r>
        <w:rPr>
          <w:rFonts w:cs="Arial" w:hint="cs"/>
          <w:rtl/>
        </w:rPr>
        <w:t>.</w:t>
      </w:r>
      <w:r w:rsidRPr="0087246C">
        <w:rPr>
          <w:rFonts w:cs="Arial"/>
          <w:rtl/>
        </w:rPr>
        <w:t xml:space="preserve"> ואם התחילו אין מפסיקין</w:t>
      </w:r>
      <w:r>
        <w:rPr>
          <w:rFonts w:cs="Arial" w:hint="cs"/>
          <w:rtl/>
        </w:rPr>
        <w:t>.</w:t>
      </w:r>
      <w:r w:rsidRPr="0087246C">
        <w:rPr>
          <w:rFonts w:cs="Arial"/>
          <w:rtl/>
        </w:rPr>
        <w:t xml:space="preserve"> אבל מלחמת מצוה</w:t>
      </w:r>
      <w:r>
        <w:rPr>
          <w:rStyle w:val="a9"/>
          <w:rFonts w:cs="Arial"/>
          <w:rtl/>
        </w:rPr>
        <w:footnoteReference w:id="231"/>
      </w:r>
      <w:r w:rsidRPr="0087246C">
        <w:rPr>
          <w:rFonts w:cs="Arial"/>
          <w:rtl/>
        </w:rPr>
        <w:t xml:space="preserve"> מתחילין אפילו בשבת</w:t>
      </w:r>
      <w:r>
        <w:rPr>
          <w:rFonts w:cs="Arial" w:hint="cs"/>
          <w:sz w:val="16"/>
          <w:szCs w:val="16"/>
          <w:rtl/>
        </w:rPr>
        <w:t xml:space="preserve"> (ל' הטור)</w:t>
      </w:r>
      <w:r w:rsidRPr="0087246C">
        <w:rPr>
          <w:rFonts w:cs="Arial"/>
          <w:rtl/>
        </w:rPr>
        <w:t xml:space="preserve">. </w:t>
      </w:r>
    </w:p>
    <w:p w14:paraId="018EAE6D" w14:textId="77777777" w:rsidR="004B2E7C" w:rsidRDefault="004B2E7C" w:rsidP="00434A6A">
      <w:r w:rsidRPr="00CA4911">
        <w:rPr>
          <w:rFonts w:cs="Arial" w:hint="cs"/>
          <w:b/>
          <w:bCs/>
          <w:rtl/>
        </w:rPr>
        <w:t xml:space="preserve">סוכה </w:t>
      </w:r>
      <w:r>
        <w:rPr>
          <w:rFonts w:cs="Arial" w:hint="cs"/>
          <w:b/>
          <w:bCs/>
          <w:sz w:val="16"/>
          <w:szCs w:val="16"/>
          <w:rtl/>
        </w:rPr>
        <w:t xml:space="preserve">(ר"פ לולב וערבה) </w:t>
      </w:r>
      <w:r w:rsidRPr="00CA4911">
        <w:rPr>
          <w:rFonts w:cs="Arial" w:hint="cs"/>
          <w:b/>
          <w:bCs/>
          <w:rtl/>
        </w:rPr>
        <w:t xml:space="preserve">מד ע"ב: </w:t>
      </w:r>
      <w:r w:rsidRPr="00CA4911">
        <w:rPr>
          <w:rFonts w:cs="Arial"/>
          <w:u w:val="single"/>
          <w:rtl/>
        </w:rPr>
        <w:t>אמר אייבו משום רבי אלעזר בר צדוק</w:t>
      </w:r>
      <w:r w:rsidRPr="00CA4911">
        <w:rPr>
          <w:rFonts w:cs="Arial"/>
          <w:rtl/>
        </w:rPr>
        <w:t>: אל יהלך אדם בערבי שבתות יותר משלש פרסאות</w:t>
      </w:r>
      <w:r>
        <w:rPr>
          <w:rStyle w:val="a9"/>
          <w:rFonts w:cs="Arial"/>
          <w:rtl/>
        </w:rPr>
        <w:footnoteReference w:id="232"/>
      </w:r>
      <w:r w:rsidRPr="00CA4911">
        <w:rPr>
          <w:rFonts w:cs="Arial"/>
          <w:rtl/>
        </w:rPr>
        <w:t xml:space="preserve">. </w:t>
      </w:r>
      <w:r w:rsidRPr="00CA4911">
        <w:rPr>
          <w:rFonts w:cs="Arial"/>
          <w:u w:val="single"/>
          <w:rtl/>
        </w:rPr>
        <w:t>אמר רב כהנא</w:t>
      </w:r>
      <w:r w:rsidRPr="00CA4911">
        <w:rPr>
          <w:rFonts w:cs="Arial"/>
          <w:rtl/>
        </w:rPr>
        <w:t>: לא אמרן אלא לביתיה</w:t>
      </w:r>
      <w:r>
        <w:rPr>
          <w:rStyle w:val="a9"/>
          <w:rFonts w:cs="Arial"/>
          <w:rtl/>
        </w:rPr>
        <w:footnoteReference w:id="233"/>
      </w:r>
      <w:r w:rsidRPr="00CA4911">
        <w:rPr>
          <w:rFonts w:cs="Arial"/>
          <w:rtl/>
        </w:rPr>
        <w:t>, אבל לאושפיזיה - אמאי דנקיט סמיך</w:t>
      </w:r>
      <w:r>
        <w:rPr>
          <w:rStyle w:val="a9"/>
          <w:rFonts w:cs="Arial"/>
          <w:rtl/>
        </w:rPr>
        <w:footnoteReference w:id="234"/>
      </w:r>
      <w:r w:rsidRPr="00CA4911">
        <w:rPr>
          <w:rFonts w:cs="Arial"/>
          <w:rtl/>
        </w:rPr>
        <w:t xml:space="preserve">. </w:t>
      </w:r>
      <w:r w:rsidRPr="00CA4911">
        <w:rPr>
          <w:rFonts w:cs="Arial"/>
          <w:u w:val="single"/>
          <w:rtl/>
        </w:rPr>
        <w:t>ואיכא דאמרי אמר רב כהנא</w:t>
      </w:r>
      <w:r w:rsidRPr="00CA4911">
        <w:rPr>
          <w:rFonts w:cs="Arial"/>
          <w:rtl/>
        </w:rPr>
        <w:t>: לא נצרכא אלא אפילו לביתיה</w:t>
      </w:r>
      <w:r>
        <w:rPr>
          <w:rStyle w:val="a9"/>
          <w:rFonts w:cs="Arial"/>
          <w:rtl/>
        </w:rPr>
        <w:footnoteReference w:id="235"/>
      </w:r>
      <w:r w:rsidRPr="00CA4911">
        <w:rPr>
          <w:rFonts w:cs="Arial"/>
          <w:rtl/>
        </w:rPr>
        <w:t xml:space="preserve">. </w:t>
      </w:r>
      <w:r w:rsidRPr="00CA4911">
        <w:rPr>
          <w:rFonts w:cs="Arial"/>
          <w:u w:val="single"/>
          <w:rtl/>
        </w:rPr>
        <w:t>אמר רב כהנא</w:t>
      </w:r>
      <w:r w:rsidRPr="00CA4911">
        <w:rPr>
          <w:rFonts w:cs="Arial"/>
          <w:rtl/>
        </w:rPr>
        <w:t>: בדידי הוה עובדא, ואפילו כסא דהרסנא לא אשכחי.</w:t>
      </w:r>
      <w:r w:rsidRPr="00547294">
        <w:rPr>
          <w:rFonts w:cs="Arial"/>
          <w:sz w:val="16"/>
          <w:szCs w:val="16"/>
          <w:rtl/>
        </w:rPr>
        <w:t xml:space="preserve"> </w:t>
      </w:r>
      <w:r>
        <w:rPr>
          <w:rFonts w:cs="Arial" w:hint="cs"/>
          <w:sz w:val="16"/>
          <w:szCs w:val="16"/>
          <w:rtl/>
        </w:rPr>
        <w:t>(</w:t>
      </w:r>
      <w:r w:rsidRPr="00547294">
        <w:rPr>
          <w:rFonts w:cs="Arial"/>
          <w:sz w:val="16"/>
          <w:szCs w:val="16"/>
          <w:rtl/>
        </w:rPr>
        <w:t>וכתבו זה הרי"ף (ז:) והרא"ש (סי' לח) בסוף פרק קמא דשבת, ומשמע דכלישנא בתרא נקטינן וכן פסק הרמב"ם בפ"ל (הי"א) וכך הם דברי רבינו</w:t>
      </w:r>
      <w:r>
        <w:rPr>
          <w:rFonts w:cs="Arial" w:hint="cs"/>
          <w:sz w:val="16"/>
          <w:szCs w:val="16"/>
          <w:rtl/>
        </w:rPr>
        <w:t>, ב"י)</w:t>
      </w:r>
    </w:p>
    <w:p w14:paraId="59C62D9D" w14:textId="77777777" w:rsidR="004B2E7C" w:rsidRPr="00D378C5" w:rsidRDefault="004B2E7C" w:rsidP="00434A6A">
      <w:pPr>
        <w:rPr>
          <w:u w:val="single"/>
        </w:rPr>
      </w:pPr>
      <w:r w:rsidRPr="00D378C5">
        <w:rPr>
          <w:rFonts w:hint="cs"/>
          <w:u w:val="single"/>
          <w:rtl/>
        </w:rPr>
        <w:t>הליכת מרחק גדול קודם השבת:</w:t>
      </w:r>
    </w:p>
    <w:p w14:paraId="22D0CBB6" w14:textId="77777777" w:rsidR="004B2E7C" w:rsidRPr="00DA3258" w:rsidRDefault="004B2E7C" w:rsidP="00FF2D21">
      <w:pPr>
        <w:pStyle w:val="aa"/>
        <w:numPr>
          <w:ilvl w:val="0"/>
          <w:numId w:val="109"/>
        </w:numPr>
      </w:pPr>
      <w:r>
        <w:rPr>
          <w:rFonts w:cs="Arial" w:hint="cs"/>
          <w:rtl/>
        </w:rPr>
        <w:t xml:space="preserve">טור- </w:t>
      </w:r>
      <w:r w:rsidRPr="0087246C">
        <w:rPr>
          <w:rFonts w:cs="Arial"/>
          <w:rtl/>
        </w:rPr>
        <w:t>אין הולכין בע"ש יותר מג' פרסאות</w:t>
      </w:r>
      <w:r>
        <w:rPr>
          <w:rFonts w:cs="Arial" w:hint="cs"/>
          <w:rtl/>
        </w:rPr>
        <w:t>,</w:t>
      </w:r>
      <w:r w:rsidRPr="0087246C">
        <w:rPr>
          <w:rFonts w:cs="Arial"/>
          <w:rtl/>
        </w:rPr>
        <w:t xml:space="preserve"> כדי שיגיע למלון בעוד היום גדול ויכול להכין צרכי סעודה לשבת</w:t>
      </w:r>
      <w:r>
        <w:rPr>
          <w:rFonts w:cs="Arial" w:hint="cs"/>
          <w:rtl/>
        </w:rPr>
        <w:t>.</w:t>
      </w:r>
      <w:r w:rsidRPr="0087246C">
        <w:rPr>
          <w:rFonts w:cs="Arial"/>
          <w:rtl/>
        </w:rPr>
        <w:t xml:space="preserve"> לא שנא אם הולך לביתו או לבית האושפיזא</w:t>
      </w:r>
      <w:r>
        <w:rPr>
          <w:rFonts w:cs="Arial" w:hint="cs"/>
          <w:rtl/>
        </w:rPr>
        <w:t>.</w:t>
      </w:r>
      <w:r w:rsidRPr="0087246C">
        <w:rPr>
          <w:rFonts w:cs="Arial"/>
          <w:rtl/>
        </w:rPr>
        <w:t xml:space="preserve"> </w:t>
      </w:r>
      <w:r w:rsidRPr="007C541D">
        <w:rPr>
          <w:rFonts w:cs="Arial" w:hint="cs"/>
          <w:color w:val="E36C0A" w:themeColor="accent6" w:themeShade="BF"/>
          <w:rtl/>
        </w:rPr>
        <w:t>(וכ"פ בשו"ע)</w:t>
      </w:r>
    </w:p>
    <w:p w14:paraId="3F23C4BB" w14:textId="77777777" w:rsidR="004B2E7C" w:rsidRPr="00DA3258" w:rsidRDefault="004B2E7C" w:rsidP="00434A6A">
      <w:pPr>
        <w:ind w:left="360"/>
        <w:rPr>
          <w:u w:val="dotted"/>
        </w:rPr>
      </w:pPr>
      <w:r w:rsidRPr="00DA3258">
        <w:rPr>
          <w:rFonts w:hint="cs"/>
          <w:u w:val="dotted"/>
          <w:rtl/>
        </w:rPr>
        <w:t>ומה הדין אם במקום שהוא נמצא אי אפשר להכין צרכי שבת:</w:t>
      </w:r>
    </w:p>
    <w:p w14:paraId="5A3F1BF0" w14:textId="77777777" w:rsidR="004B2E7C" w:rsidRPr="00DA3258" w:rsidRDefault="004B2E7C" w:rsidP="00FF2D21">
      <w:pPr>
        <w:pStyle w:val="aa"/>
        <w:numPr>
          <w:ilvl w:val="0"/>
          <w:numId w:val="109"/>
        </w:numPr>
      </w:pPr>
      <w:r>
        <w:rPr>
          <w:rFonts w:cs="Arial" w:hint="cs"/>
          <w:rtl/>
        </w:rPr>
        <w:t xml:space="preserve">ב"י- </w:t>
      </w:r>
      <w:r w:rsidRPr="00DA3258">
        <w:rPr>
          <w:rFonts w:cs="Arial"/>
          <w:rtl/>
        </w:rPr>
        <w:t>ונראה לי דהיינו כשהוא במקום יישוב</w:t>
      </w:r>
      <w:r w:rsidRPr="00DA3258">
        <w:rPr>
          <w:rFonts w:cs="Arial" w:hint="cs"/>
          <w:rtl/>
        </w:rPr>
        <w:t>,</w:t>
      </w:r>
      <w:r w:rsidRPr="00DA3258">
        <w:rPr>
          <w:rFonts w:cs="Arial"/>
          <w:rtl/>
        </w:rPr>
        <w:t xml:space="preserve"> שיוכל להכין צרכי שבת</w:t>
      </w:r>
      <w:r w:rsidRPr="00DA3258">
        <w:rPr>
          <w:rFonts w:cs="Arial" w:hint="cs"/>
          <w:rtl/>
        </w:rPr>
        <w:t>.</w:t>
      </w:r>
      <w:r w:rsidRPr="00DA3258">
        <w:rPr>
          <w:rFonts w:cs="Arial"/>
          <w:rtl/>
        </w:rPr>
        <w:t xml:space="preserve"> אבל אם הוא במקום שאי אפשר להכין צרכי שבת</w:t>
      </w:r>
      <w:r w:rsidRPr="00DA3258">
        <w:rPr>
          <w:rFonts w:cs="Arial" w:hint="cs"/>
          <w:rtl/>
        </w:rPr>
        <w:t>,</w:t>
      </w:r>
      <w:r w:rsidRPr="00DA3258">
        <w:rPr>
          <w:rFonts w:cs="Arial"/>
          <w:rtl/>
        </w:rPr>
        <w:t xml:space="preserve"> מוטב שיבוא לביתו אולי יוכל להכין צרכי שבת משישאר שם שודאי לא יוכל להכין צרכי שבת</w:t>
      </w:r>
      <w:r w:rsidRPr="00DA3258">
        <w:rPr>
          <w:rFonts w:cs="Arial" w:hint="cs"/>
          <w:rtl/>
        </w:rPr>
        <w:t>.</w:t>
      </w:r>
      <w:r w:rsidRPr="00DA3258">
        <w:rPr>
          <w:rFonts w:cs="Arial"/>
          <w:rtl/>
        </w:rPr>
        <w:t xml:space="preserve"> ואף על פי שהוא הולך להתארח אצל אחרים מותר מטעם זה</w:t>
      </w:r>
      <w:r w:rsidRPr="00DA3258">
        <w:rPr>
          <w:rFonts w:cs="Arial" w:hint="cs"/>
          <w:rtl/>
        </w:rPr>
        <w:t>.</w:t>
      </w:r>
      <w:r w:rsidRPr="00DA3258">
        <w:rPr>
          <w:rFonts w:cs="Arial"/>
          <w:rtl/>
        </w:rPr>
        <w:t xml:space="preserve"> ואף על פי שכתב הרמב"ם שטעם האיסור כשמתארח אצל אחרים הוא מפני שמביישן מפני שלא הכינו דבר הראוי לאורחים</w:t>
      </w:r>
      <w:r w:rsidRPr="00DA3258">
        <w:rPr>
          <w:rFonts w:cs="Arial" w:hint="cs"/>
          <w:rtl/>
        </w:rPr>
        <w:t>,</w:t>
      </w:r>
      <w:r w:rsidRPr="00DA3258">
        <w:rPr>
          <w:rFonts w:cs="Arial"/>
          <w:rtl/>
        </w:rPr>
        <w:t xml:space="preserve"> כיון שהוא במקום שלא יוכל להכין צרכי שבת אין לחוש לכך. </w:t>
      </w:r>
      <w:r w:rsidRPr="007C541D">
        <w:rPr>
          <w:rFonts w:cs="Arial" w:hint="cs"/>
          <w:color w:val="E36C0A" w:themeColor="accent6" w:themeShade="BF"/>
          <w:rtl/>
        </w:rPr>
        <w:t>(וכ"פ בשו"ע)</w:t>
      </w:r>
    </w:p>
    <w:p w14:paraId="421FB681" w14:textId="77777777" w:rsidR="004B2E7C" w:rsidRPr="00DA3258" w:rsidRDefault="004B2E7C" w:rsidP="00434A6A">
      <w:pPr>
        <w:ind w:left="360"/>
        <w:rPr>
          <w:u w:val="dotted"/>
        </w:rPr>
      </w:pPr>
      <w:r w:rsidRPr="00DA3258">
        <w:rPr>
          <w:rFonts w:hint="cs"/>
          <w:u w:val="dotted"/>
          <w:rtl/>
        </w:rPr>
        <w:t>ומה הדין אם הוא נמצא בדרך ולא במקום יישוב:</w:t>
      </w:r>
    </w:p>
    <w:p w14:paraId="55A9576B" w14:textId="77777777" w:rsidR="004B2E7C" w:rsidRPr="00DA3258" w:rsidRDefault="004B2E7C" w:rsidP="00FF2D21">
      <w:pPr>
        <w:pStyle w:val="aa"/>
        <w:numPr>
          <w:ilvl w:val="0"/>
          <w:numId w:val="109"/>
        </w:numPr>
      </w:pPr>
      <w:r>
        <w:rPr>
          <w:rFonts w:cs="Arial" w:hint="cs"/>
          <w:rtl/>
        </w:rPr>
        <w:t xml:space="preserve">ב"י- </w:t>
      </w:r>
      <w:r w:rsidRPr="00DA3258">
        <w:rPr>
          <w:rFonts w:cs="Arial"/>
          <w:rtl/>
        </w:rPr>
        <w:t>ואפילו אם יש עמו צידה כדי צרכי שבת</w:t>
      </w:r>
      <w:r w:rsidRPr="00DA3258">
        <w:rPr>
          <w:rFonts w:cs="Arial" w:hint="cs"/>
          <w:rtl/>
        </w:rPr>
        <w:t>,</w:t>
      </w:r>
      <w:r w:rsidRPr="00DA3258">
        <w:rPr>
          <w:rFonts w:cs="Arial"/>
          <w:rtl/>
        </w:rPr>
        <w:t xml:space="preserve"> אם אינו עומד בשבת במקום יישוב בטוח </w:t>
      </w:r>
      <w:r w:rsidRPr="00DA3258">
        <w:rPr>
          <w:rFonts w:cs="Arial" w:hint="cs"/>
          <w:rtl/>
        </w:rPr>
        <w:t xml:space="preserve">- </w:t>
      </w:r>
      <w:r w:rsidRPr="00DA3258">
        <w:rPr>
          <w:rFonts w:cs="Arial"/>
          <w:rtl/>
        </w:rPr>
        <w:t>מותר לילך כמה פרסאות</w:t>
      </w:r>
      <w:r w:rsidRPr="00DA3258">
        <w:rPr>
          <w:rFonts w:cs="Arial" w:hint="cs"/>
          <w:rtl/>
        </w:rPr>
        <w:t>,</w:t>
      </w:r>
      <w:r w:rsidRPr="00DA3258">
        <w:rPr>
          <w:rFonts w:cs="Arial"/>
          <w:rtl/>
        </w:rPr>
        <w:t xml:space="preserve"> דמקום יישוב בעינן</w:t>
      </w:r>
      <w:r w:rsidRPr="00DA3258">
        <w:rPr>
          <w:rFonts w:cs="Arial" w:hint="cs"/>
          <w:rtl/>
        </w:rPr>
        <w:t>.</w:t>
      </w:r>
      <w:r w:rsidRPr="00DA3258">
        <w:rPr>
          <w:rFonts w:cs="Arial"/>
          <w:rtl/>
        </w:rPr>
        <w:t xml:space="preserve"> דאילו עומד בדרך אינו מקום בטוח</w:t>
      </w:r>
      <w:r w:rsidRPr="00DA3258">
        <w:rPr>
          <w:rFonts w:cs="Arial" w:hint="cs"/>
          <w:rtl/>
        </w:rPr>
        <w:t>,</w:t>
      </w:r>
      <w:r w:rsidRPr="00DA3258">
        <w:rPr>
          <w:rFonts w:cs="Arial"/>
          <w:rtl/>
        </w:rPr>
        <w:t xml:space="preserve"> דכל הדרכים בחזקת סכנה</w:t>
      </w:r>
      <w:r w:rsidRPr="00DA3258">
        <w:rPr>
          <w:rFonts w:cs="Arial"/>
          <w:sz w:val="16"/>
          <w:szCs w:val="16"/>
          <w:rtl/>
        </w:rPr>
        <w:t xml:space="preserve"> (ירושלמי ברכות פ"ד ה"ד)</w:t>
      </w:r>
      <w:r w:rsidRPr="00DA3258">
        <w:rPr>
          <w:rFonts w:cs="Arial" w:hint="cs"/>
          <w:rtl/>
        </w:rPr>
        <w:t>.</w:t>
      </w:r>
      <w:r w:rsidRPr="00DA3258">
        <w:rPr>
          <w:rFonts w:cs="Arial"/>
          <w:rtl/>
        </w:rPr>
        <w:t xml:space="preserve"> </w:t>
      </w:r>
      <w:r w:rsidRPr="007C541D">
        <w:rPr>
          <w:rFonts w:cs="Arial" w:hint="cs"/>
          <w:color w:val="E36C0A" w:themeColor="accent6" w:themeShade="BF"/>
          <w:rtl/>
        </w:rPr>
        <w:t>(וכ"פ בשו"ע)</w:t>
      </w:r>
    </w:p>
    <w:p w14:paraId="5C8B7491" w14:textId="77777777" w:rsidR="004B2E7C" w:rsidRPr="00DA3258" w:rsidRDefault="004B2E7C" w:rsidP="00434A6A">
      <w:pPr>
        <w:ind w:left="360"/>
        <w:rPr>
          <w:u w:val="dotted"/>
        </w:rPr>
      </w:pPr>
      <w:r w:rsidRPr="00DA3258">
        <w:rPr>
          <w:rFonts w:hint="cs"/>
          <w:u w:val="dotted"/>
          <w:rtl/>
        </w:rPr>
        <w:t xml:space="preserve">ומה הדין אם האנשים </w:t>
      </w:r>
      <w:r w:rsidRPr="00DA3258">
        <w:rPr>
          <w:rFonts w:hint="cs"/>
          <w:sz w:val="16"/>
          <w:szCs w:val="16"/>
          <w:u w:val="dotted"/>
          <w:rtl/>
        </w:rPr>
        <w:t>(במקום שאליו הוא הולך</w:t>
      </w:r>
      <w:r>
        <w:rPr>
          <w:rFonts w:hint="cs"/>
          <w:sz w:val="16"/>
          <w:szCs w:val="16"/>
          <w:u w:val="dotted"/>
          <w:rtl/>
        </w:rPr>
        <w:t>)</w:t>
      </w:r>
      <w:r w:rsidRPr="00DA3258">
        <w:rPr>
          <w:rFonts w:hint="cs"/>
          <w:u w:val="dotted"/>
          <w:rtl/>
        </w:rPr>
        <w:t xml:space="preserve"> יודעים שהוא יגיע לשבות עמהם:</w:t>
      </w:r>
    </w:p>
    <w:p w14:paraId="6D03D090" w14:textId="77777777" w:rsidR="004B2E7C" w:rsidRPr="00B72CF0" w:rsidRDefault="004B2E7C" w:rsidP="00FF2D21">
      <w:pPr>
        <w:pStyle w:val="aa"/>
        <w:numPr>
          <w:ilvl w:val="0"/>
          <w:numId w:val="109"/>
        </w:numPr>
        <w:rPr>
          <w:rtl/>
        </w:rPr>
      </w:pPr>
      <w:r w:rsidRPr="00DA3258">
        <w:rPr>
          <w:rFonts w:cs="Arial" w:hint="cs"/>
          <w:rtl/>
        </w:rPr>
        <w:t>רי"ו</w:t>
      </w:r>
      <w:r w:rsidRPr="00DA3258">
        <w:rPr>
          <w:rFonts w:cs="Arial"/>
          <w:rtl/>
        </w:rPr>
        <w:t xml:space="preserve"> </w:t>
      </w:r>
      <w:r w:rsidRPr="00DA3258">
        <w:rPr>
          <w:rFonts w:cs="Arial" w:hint="cs"/>
          <w:sz w:val="16"/>
          <w:szCs w:val="16"/>
          <w:rtl/>
        </w:rPr>
        <w:t>(</w:t>
      </w:r>
      <w:r w:rsidRPr="00DA3258">
        <w:rPr>
          <w:rFonts w:cs="Arial"/>
          <w:sz w:val="16"/>
          <w:szCs w:val="16"/>
          <w:rtl/>
        </w:rPr>
        <w:t>ח"א ני"ב סד ע"ד)</w:t>
      </w:r>
      <w:r w:rsidRPr="00DA3258">
        <w:rPr>
          <w:rFonts w:cs="Arial" w:hint="cs"/>
          <w:rtl/>
        </w:rPr>
        <w:t>-</w:t>
      </w:r>
      <w:r w:rsidRPr="00DA3258">
        <w:rPr>
          <w:rFonts w:cs="Arial"/>
          <w:rtl/>
        </w:rPr>
        <w:t xml:space="preserve"> </w:t>
      </w:r>
      <w:r w:rsidRPr="000B43D7">
        <w:rPr>
          <w:rFonts w:cs="Arial"/>
          <w:rtl/>
        </w:rPr>
        <w:t>נראה כי הכל לפי הענין שאם שלח שליח לפניו או צוה קודם לביתו להכין לו אין זה מן הכלל כי כל זה משום עונג שבת</w:t>
      </w:r>
      <w:r>
        <w:rPr>
          <w:rStyle w:val="a9"/>
          <w:rFonts w:cs="Arial"/>
          <w:rtl/>
        </w:rPr>
        <w:footnoteReference w:id="236"/>
      </w:r>
      <w:r w:rsidRPr="000B43D7">
        <w:rPr>
          <w:rFonts w:cs="Arial"/>
          <w:rtl/>
        </w:rPr>
        <w:t xml:space="preserve">. </w:t>
      </w:r>
      <w:r w:rsidRPr="007C541D">
        <w:rPr>
          <w:rFonts w:cs="Arial" w:hint="cs"/>
          <w:color w:val="E36C0A" w:themeColor="accent6" w:themeShade="BF"/>
          <w:rtl/>
        </w:rPr>
        <w:t>(וכ"פ בשו"ע)</w:t>
      </w:r>
    </w:p>
    <w:p w14:paraId="4665281C"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31C0A77E" w14:textId="77777777" w:rsidR="004B2E7C" w:rsidRDefault="004B2E7C" w:rsidP="00434A6A">
      <w:pPr>
        <w:rPr>
          <w:rtl/>
        </w:rPr>
      </w:pPr>
      <w:r>
        <w:rPr>
          <w:rFonts w:cs="Arial"/>
          <w:rtl/>
        </w:rPr>
        <w:t>אין הולכים בערב שבת יותר מג' פרסאות</w:t>
      </w:r>
      <w:r>
        <w:rPr>
          <w:rStyle w:val="a9"/>
          <w:rFonts w:cs="Arial"/>
          <w:rtl/>
        </w:rPr>
        <w:footnoteReference w:id="237"/>
      </w:r>
      <w:r>
        <w:rPr>
          <w:rFonts w:cs="Arial"/>
          <w:rtl/>
        </w:rPr>
        <w:t>, כדי שיגיע לביתו בעוד היום גדול ויוכל להכין צרכי סעודה לשבת, בין שהולך לבית אחרים בין שהולך לביתו</w:t>
      </w:r>
      <w:r>
        <w:rPr>
          <w:rStyle w:val="a9"/>
          <w:rFonts w:cs="Arial"/>
          <w:rtl/>
        </w:rPr>
        <w:footnoteReference w:id="238"/>
      </w:r>
      <w:r>
        <w:rPr>
          <w:rFonts w:cs="Arial" w:hint="cs"/>
          <w:rtl/>
        </w:rPr>
        <w:t>.</w:t>
      </w:r>
      <w:r>
        <w:rPr>
          <w:rFonts w:cs="Arial"/>
          <w:rtl/>
        </w:rPr>
        <w:t xml:space="preserve"> וה</w:t>
      </w:r>
      <w:r>
        <w:rPr>
          <w:rFonts w:cs="Arial" w:hint="cs"/>
          <w:rtl/>
        </w:rPr>
        <w:t xml:space="preserve">ני </w:t>
      </w:r>
      <w:r>
        <w:rPr>
          <w:rFonts w:cs="Arial"/>
          <w:rtl/>
        </w:rPr>
        <w:t>מ</w:t>
      </w:r>
      <w:r>
        <w:rPr>
          <w:rFonts w:cs="Arial" w:hint="cs"/>
          <w:rtl/>
        </w:rPr>
        <w:t>ילי</w:t>
      </w:r>
      <w:r>
        <w:rPr>
          <w:rFonts w:cs="Arial"/>
          <w:rtl/>
        </w:rPr>
        <w:t xml:space="preserve"> כשהוא ביישוב, במקום שיוכל להכין צרכי שבת</w:t>
      </w:r>
      <w:r>
        <w:rPr>
          <w:rStyle w:val="a9"/>
          <w:rFonts w:cs="Arial"/>
          <w:rtl/>
        </w:rPr>
        <w:footnoteReference w:id="239"/>
      </w:r>
      <w:r>
        <w:rPr>
          <w:rFonts w:cs="Arial"/>
          <w:rtl/>
        </w:rPr>
        <w:t>, אבל אם במקום שהוא שם א</w:t>
      </w:r>
      <w:r>
        <w:rPr>
          <w:rFonts w:cs="Arial" w:hint="cs"/>
          <w:rtl/>
        </w:rPr>
        <w:t xml:space="preserve">י </w:t>
      </w:r>
      <w:r>
        <w:rPr>
          <w:rFonts w:cs="Arial"/>
          <w:rtl/>
        </w:rPr>
        <w:t>א</w:t>
      </w:r>
      <w:r>
        <w:rPr>
          <w:rFonts w:cs="Arial" w:hint="cs"/>
          <w:rtl/>
        </w:rPr>
        <w:t>פשר</w:t>
      </w:r>
      <w:r>
        <w:rPr>
          <w:rFonts w:cs="Arial"/>
          <w:rtl/>
        </w:rPr>
        <w:t xml:space="preserve"> לו להכין צרכי שבת, או שאינו מקום יישוב בטוח, מותר לילך אפילו כמה פרסאות</w:t>
      </w:r>
      <w:r>
        <w:rPr>
          <w:rFonts w:cs="Arial" w:hint="cs"/>
          <w:rtl/>
        </w:rPr>
        <w:t>.</w:t>
      </w:r>
      <w:r>
        <w:rPr>
          <w:rFonts w:cs="Arial"/>
          <w:rtl/>
        </w:rPr>
        <w:t xml:space="preserve"> ואם שלח להודיעם שהוא הולך שם לשבת, מותר לילך כמה פרסאות בכל גוונא. </w:t>
      </w:r>
    </w:p>
    <w:p w14:paraId="46E66723" w14:textId="77777777" w:rsidR="004B2E7C" w:rsidRDefault="004B2E7C" w:rsidP="00434A6A">
      <w:pPr>
        <w:rPr>
          <w:rtl/>
        </w:rPr>
      </w:pPr>
    </w:p>
    <w:p w14:paraId="100F85CE" w14:textId="77777777" w:rsidR="004B2E7C" w:rsidRDefault="004B2E7C" w:rsidP="00434A6A">
      <w:pPr>
        <w:pStyle w:val="2"/>
        <w:rPr>
          <w:rtl/>
        </w:rPr>
      </w:pPr>
      <w:r>
        <w:rPr>
          <w:rtl/>
        </w:rPr>
        <w:t>סעיף ב</w:t>
      </w:r>
      <w:r>
        <w:rPr>
          <w:rFonts w:hint="cs"/>
          <w:rtl/>
        </w:rPr>
        <w:t>: קביעת סעודה ביום שישי.</w:t>
      </w:r>
    </w:p>
    <w:p w14:paraId="3E8CEC61" w14:textId="77777777" w:rsidR="004B2E7C" w:rsidRDefault="004B2E7C" w:rsidP="00434A6A">
      <w:pPr>
        <w:rPr>
          <w:rtl/>
        </w:rPr>
      </w:pPr>
      <w:r w:rsidRPr="0016340D">
        <w:rPr>
          <w:rFonts w:cs="Arial" w:hint="cs"/>
          <w:b/>
          <w:bCs/>
          <w:rtl/>
        </w:rPr>
        <w:t xml:space="preserve">פסחים </w:t>
      </w:r>
      <w:r>
        <w:rPr>
          <w:rFonts w:cs="Arial" w:hint="cs"/>
          <w:b/>
          <w:bCs/>
          <w:sz w:val="16"/>
          <w:szCs w:val="16"/>
          <w:rtl/>
        </w:rPr>
        <w:t>(פ' ערבי פסחים)</w:t>
      </w:r>
      <w:r>
        <w:rPr>
          <w:rFonts w:cs="Arial" w:hint="cs"/>
          <w:b/>
          <w:bCs/>
          <w:rtl/>
        </w:rPr>
        <w:t xml:space="preserve"> </w:t>
      </w:r>
      <w:r w:rsidRPr="0016340D">
        <w:rPr>
          <w:rFonts w:cs="Arial" w:hint="cs"/>
          <w:b/>
          <w:bCs/>
          <w:rtl/>
        </w:rPr>
        <w:t xml:space="preserve">צט ע"ב: </w:t>
      </w:r>
      <w:r w:rsidRPr="0016340D">
        <w:rPr>
          <w:rFonts w:cs="Arial"/>
          <w:u w:val="double"/>
          <w:rtl/>
        </w:rPr>
        <w:t>משנה</w:t>
      </w:r>
      <w:r>
        <w:rPr>
          <w:rFonts w:cs="Arial" w:hint="cs"/>
          <w:rtl/>
        </w:rPr>
        <w:t>:</w:t>
      </w:r>
      <w:r>
        <w:rPr>
          <w:rFonts w:cs="Arial"/>
          <w:rtl/>
        </w:rPr>
        <w:t xml:space="preserve"> ערב פסחים סמוך למנחה לא יאכל אדם עד שתחשך.</w:t>
      </w:r>
      <w:r>
        <w:rPr>
          <w:rFonts w:cs="Arial" w:hint="cs"/>
          <w:rtl/>
        </w:rPr>
        <w:t>.</w:t>
      </w:r>
      <w:r>
        <w:rPr>
          <w:rFonts w:cs="Arial"/>
          <w:rtl/>
        </w:rPr>
        <w:t xml:space="preserve">. </w:t>
      </w:r>
      <w:r>
        <w:rPr>
          <w:rFonts w:hint="cs"/>
          <w:rtl/>
        </w:rPr>
        <w:t xml:space="preserve">       </w:t>
      </w:r>
      <w:r w:rsidRPr="0016340D">
        <w:rPr>
          <w:rFonts w:cs="Arial"/>
          <w:u w:val="double"/>
          <w:rtl/>
        </w:rPr>
        <w:t>גמרא</w:t>
      </w:r>
      <w:r>
        <w:rPr>
          <w:rFonts w:cs="Arial" w:hint="cs"/>
          <w:rtl/>
        </w:rPr>
        <w:t>:</w:t>
      </w:r>
      <w:r>
        <w:rPr>
          <w:rFonts w:cs="Arial"/>
          <w:rtl/>
        </w:rPr>
        <w:t xml:space="preserve"> מאי איריא ערבי פסחים? אפילו ערבי שבתות וימים טובים נמי, דתניא: לא יאכל אדם בערבי שבתות וימים טובים מן המנחה ולמעלה, כדי שיכנס לשבת כשהוא תאוה, </w:t>
      </w:r>
      <w:r w:rsidRPr="005D0BB7">
        <w:rPr>
          <w:rFonts w:cs="Arial"/>
          <w:u w:val="single"/>
          <w:rtl/>
        </w:rPr>
        <w:t>דברי רבי יהודה</w:t>
      </w:r>
      <w:r>
        <w:rPr>
          <w:rFonts w:cs="Arial"/>
          <w:rtl/>
        </w:rPr>
        <w:t xml:space="preserve">. </w:t>
      </w:r>
      <w:r w:rsidRPr="005D0BB7">
        <w:rPr>
          <w:rFonts w:cs="Arial"/>
          <w:u w:val="single"/>
          <w:rtl/>
        </w:rPr>
        <w:t>רבי יוסי אומר</w:t>
      </w:r>
      <w:r>
        <w:rPr>
          <w:rFonts w:cs="Arial"/>
          <w:rtl/>
        </w:rPr>
        <w:t xml:space="preserve">: אוכל והולך עד שתחשך. </w:t>
      </w:r>
      <w:r w:rsidRPr="00CC2E99">
        <w:rPr>
          <w:rFonts w:cs="Arial"/>
          <w:u w:val="single"/>
          <w:rtl/>
        </w:rPr>
        <w:t>אמר רב הונא</w:t>
      </w:r>
      <w:r>
        <w:rPr>
          <w:rFonts w:cs="Arial"/>
          <w:rtl/>
        </w:rPr>
        <w:t xml:space="preserve">: לא צריכא אלא לרבי יוסי, דאמר: אוכל והולך עד שתחשך, הני מילי - בערבי שבתות וימים טובים, אבל בערב הפסח, משום חיובא דמצה - מודה. </w:t>
      </w:r>
      <w:r w:rsidRPr="00CC2E99">
        <w:rPr>
          <w:rFonts w:cs="Arial"/>
          <w:u w:val="single"/>
          <w:rtl/>
        </w:rPr>
        <w:t>רב פפא אמר</w:t>
      </w:r>
      <w:r>
        <w:rPr>
          <w:rFonts w:cs="Arial"/>
          <w:rtl/>
        </w:rPr>
        <w:t xml:space="preserve">: אפילו תימא רבי יהודה, התם בערבי שבתות וימים טובים - מן המנחה ולמעלה הוא דאסיר, סמוך למנחה - שרי. אבל בערב הפסח, אפילו סמוך למנחה - נמי אסור. ובערב שבת סמוך למנחה שרי? והתניא: לא יאכל אדם בערב שבת וימים טובים מתשע שעות ולמעלה, כדי שיכנס לשבת כשהוא תאוה, </w:t>
      </w:r>
      <w:r w:rsidRPr="00CC2E99">
        <w:rPr>
          <w:rFonts w:cs="Arial"/>
          <w:u w:val="single"/>
          <w:rtl/>
        </w:rPr>
        <w:t>דברי רבי יהודה</w:t>
      </w:r>
      <w:r>
        <w:rPr>
          <w:rFonts w:cs="Arial"/>
          <w:rtl/>
        </w:rPr>
        <w:t xml:space="preserve">, </w:t>
      </w:r>
      <w:r w:rsidRPr="00CC2E99">
        <w:rPr>
          <w:rFonts w:cs="Arial"/>
          <w:u w:val="single"/>
          <w:rtl/>
        </w:rPr>
        <w:t>רבי יוסי אומר</w:t>
      </w:r>
      <w:r>
        <w:rPr>
          <w:rFonts w:cs="Arial"/>
          <w:rtl/>
        </w:rPr>
        <w:t xml:space="preserve">: אוכל והולך עד שתחשך! </w:t>
      </w:r>
      <w:r w:rsidRPr="00CC2E99">
        <w:rPr>
          <w:rFonts w:cs="Arial"/>
          <w:u w:val="single"/>
          <w:rtl/>
        </w:rPr>
        <w:t>אמר מר זוטרא</w:t>
      </w:r>
      <w:r>
        <w:rPr>
          <w:rFonts w:cs="Arial"/>
          <w:rtl/>
        </w:rPr>
        <w:t>: מאן לימא לן דמתרצתא היא?</w:t>
      </w:r>
      <w:r w:rsidRPr="001E6B13">
        <w:rPr>
          <w:rtl/>
        </w:rPr>
        <w:t xml:space="preserve"> </w:t>
      </w:r>
      <w:r>
        <w:rPr>
          <w:rFonts w:cs="Arial" w:hint="cs"/>
          <w:sz w:val="14"/>
          <w:szCs w:val="14"/>
          <w:rtl/>
        </w:rPr>
        <w:t xml:space="preserve">(ק.) </w:t>
      </w:r>
      <w:r w:rsidRPr="001E6B13">
        <w:rPr>
          <w:rFonts w:cs="Arial"/>
          <w:rtl/>
        </w:rPr>
        <w:t xml:space="preserve">דילמא משבשתא היא? </w:t>
      </w:r>
      <w:r w:rsidRPr="00CC2E99">
        <w:rPr>
          <w:rFonts w:cs="Arial"/>
          <w:u w:val="single"/>
          <w:rtl/>
        </w:rPr>
        <w:t>אמר ליה מרימר, ואיתימא רב יימר</w:t>
      </w:r>
      <w:r w:rsidRPr="001E6B13">
        <w:rPr>
          <w:rFonts w:cs="Arial"/>
          <w:rtl/>
        </w:rPr>
        <w:t xml:space="preserve">: אנא איקלעי לפירקיה דרב פנחס בריה דרב אמי, וקם תנא ותני קמיה, וקיבלה מיניה. אי הכי קשיא! אלא: מחוורתא כדרב הונא. ולרב הונא מי ניחא? </w:t>
      </w:r>
      <w:r w:rsidRPr="00CC2E99">
        <w:rPr>
          <w:rFonts w:cs="Arial"/>
          <w:u w:val="single"/>
          <w:rtl/>
        </w:rPr>
        <w:t>והאמר רבי ירמיה אמר רבי יוחנן, ואיתימא אמר רבי אבהו אמר רבי יוסי בר רבי חנינא</w:t>
      </w:r>
      <w:r w:rsidRPr="001E6B13">
        <w:rPr>
          <w:rFonts w:cs="Arial"/>
          <w:rtl/>
        </w:rPr>
        <w:t xml:space="preserve">: הלכה כרבי יהודה בערב הפסח, והלכה כרבי יוסי בערב שבת. הלכה כרבי יהודה בערב הפסח - מכלל דפליג רבי יוסי בתרוייהו! לא, הלכה - מכלל דפליגי בהפסקה. דתניא: מפסיקין לשבתות, </w:t>
      </w:r>
      <w:r w:rsidRPr="00CC2E99">
        <w:rPr>
          <w:rFonts w:cs="Arial"/>
          <w:u w:val="single"/>
          <w:rtl/>
        </w:rPr>
        <w:t>דברי רבי יהודה</w:t>
      </w:r>
      <w:r w:rsidRPr="001E6B13">
        <w:rPr>
          <w:rFonts w:cs="Arial"/>
          <w:rtl/>
        </w:rPr>
        <w:t xml:space="preserve">. </w:t>
      </w:r>
      <w:r w:rsidRPr="00CC2E99">
        <w:rPr>
          <w:rFonts w:cs="Arial"/>
          <w:u w:val="single"/>
          <w:rtl/>
        </w:rPr>
        <w:t>רבי יוסי אומר</w:t>
      </w:r>
      <w:r w:rsidRPr="001E6B13">
        <w:rPr>
          <w:rFonts w:cs="Arial"/>
          <w:rtl/>
        </w:rPr>
        <w:t>: אין מפסיקין. ומעשה ברבן שמעון בן גמליאל ורבי יהודה ורבי יוסי שהיו מסובין בעכו, וקדש עליהם היום. אמר לו רבן שמעון בן גמליאל לרבי יוסי: ברבי, רצונך נפסיק, וניחוש לדברי יהודה חבירנו? אמר לו: בכל יום ויום אתה מחבב דבריי לפני רבי יהודה, ועכשיו אתה מחבב דברי רבי יהודה בפני, הגם לכבוש את המלכה עמי בבית? אמר לו: אם כן לא נפסיק, שמא יראו התלמידים, ויקבעו הלכה לדורות. אמרו: לא זזו משם עד שקבעו הלכה כרבי יוסי.</w:t>
      </w:r>
      <w:r>
        <w:rPr>
          <w:rFonts w:hint="cs"/>
          <w:rtl/>
        </w:rPr>
        <w:t xml:space="preserve"> </w:t>
      </w:r>
      <w:r w:rsidRPr="005D0BB7">
        <w:rPr>
          <w:rFonts w:hint="cs"/>
          <w:sz w:val="16"/>
          <w:szCs w:val="16"/>
          <w:rtl/>
        </w:rPr>
        <w:t>(</w:t>
      </w:r>
      <w:r w:rsidRPr="005D0BB7">
        <w:rPr>
          <w:rFonts w:cs="Arial" w:hint="cs"/>
          <w:sz w:val="16"/>
          <w:szCs w:val="16"/>
          <w:rtl/>
        </w:rPr>
        <w:t>ו</w:t>
      </w:r>
      <w:r w:rsidRPr="005D0BB7">
        <w:rPr>
          <w:rFonts w:cs="Arial"/>
          <w:sz w:val="16"/>
          <w:szCs w:val="16"/>
          <w:rtl/>
        </w:rPr>
        <w:t>קיי</w:t>
      </w:r>
      <w:r w:rsidRPr="005D0BB7">
        <w:rPr>
          <w:rFonts w:cs="Arial" w:hint="cs"/>
          <w:sz w:val="16"/>
          <w:szCs w:val="16"/>
          <w:rtl/>
        </w:rPr>
        <w:t>"</w:t>
      </w:r>
      <w:r w:rsidRPr="005D0BB7">
        <w:rPr>
          <w:rFonts w:cs="Arial"/>
          <w:sz w:val="16"/>
          <w:szCs w:val="16"/>
          <w:rtl/>
        </w:rPr>
        <w:t>ל דבערב שבת מותר לאכול עד הלילה כרבי יוסי דאמר בפרק ערבי פסחים (פסחים צט:) אוכל והולך עד שתחשך כלומר מתחיל לאכול עד שתחשך</w:t>
      </w:r>
      <w:r w:rsidRPr="005D0BB7">
        <w:rPr>
          <w:rFonts w:cs="Arial" w:hint="cs"/>
          <w:sz w:val="16"/>
          <w:szCs w:val="16"/>
          <w:rtl/>
        </w:rPr>
        <w:t>.</w:t>
      </w:r>
      <w:r w:rsidRPr="005D0BB7">
        <w:rPr>
          <w:rFonts w:cs="Arial"/>
          <w:sz w:val="16"/>
          <w:szCs w:val="16"/>
          <w:rtl/>
        </w:rPr>
        <w:t xml:space="preserve"> וכן פירש הר"ן שם (יט. ד"ה רבי יוסי) דברי הרי"ף</w:t>
      </w:r>
      <w:r w:rsidRPr="005D0BB7">
        <w:rPr>
          <w:rFonts w:cs="Arial" w:hint="cs"/>
          <w:sz w:val="16"/>
          <w:szCs w:val="16"/>
          <w:rtl/>
        </w:rPr>
        <w:t>.</w:t>
      </w:r>
      <w:r w:rsidRPr="005D0BB7">
        <w:rPr>
          <w:rFonts w:cs="Arial"/>
          <w:sz w:val="16"/>
          <w:szCs w:val="16"/>
          <w:rtl/>
        </w:rPr>
        <w:t xml:space="preserve"> וכן כתב הרא"ש (סי' ב) בשם הרמב"ן (במלחמות שם יט:) שכך הוא דעת הרי"ף</w:t>
      </w:r>
      <w:r w:rsidRPr="005D0BB7">
        <w:rPr>
          <w:rFonts w:cs="Arial" w:hint="cs"/>
          <w:sz w:val="16"/>
          <w:szCs w:val="16"/>
          <w:rtl/>
        </w:rPr>
        <w:t>,</w:t>
      </w:r>
      <w:r w:rsidRPr="005D0BB7">
        <w:rPr>
          <w:rFonts w:cs="Arial"/>
          <w:sz w:val="16"/>
          <w:szCs w:val="16"/>
          <w:rtl/>
        </w:rPr>
        <w:t xml:space="preserve"> וכן הסכים הרא"ש</w:t>
      </w:r>
      <w:r w:rsidRPr="005D0BB7">
        <w:rPr>
          <w:rFonts w:cs="Arial" w:hint="cs"/>
          <w:sz w:val="16"/>
          <w:szCs w:val="16"/>
          <w:rtl/>
        </w:rPr>
        <w:t>.</w:t>
      </w:r>
      <w:r w:rsidRPr="005D0BB7">
        <w:rPr>
          <w:rFonts w:cs="Arial"/>
          <w:sz w:val="16"/>
          <w:szCs w:val="16"/>
          <w:rtl/>
        </w:rPr>
        <w:t xml:space="preserve"> ודלא כבה"ג (סי' ב הל' קידוש והבדלה יג.) שכתב דאפילו רבי יוסי מודה דמט' שעות ולמעלה אסור להתחיל</w:t>
      </w:r>
      <w:r w:rsidRPr="005D0BB7">
        <w:rPr>
          <w:rFonts w:cs="Arial" w:hint="cs"/>
          <w:sz w:val="16"/>
          <w:szCs w:val="16"/>
          <w:rtl/>
        </w:rPr>
        <w:t>, ב"י)</w:t>
      </w:r>
    </w:p>
    <w:p w14:paraId="3F551616" w14:textId="77777777" w:rsidR="004B2E7C" w:rsidRDefault="004B2E7C" w:rsidP="00434A6A">
      <w:pPr>
        <w:rPr>
          <w:rtl/>
        </w:rPr>
      </w:pPr>
      <w:r w:rsidRPr="00FF30D0">
        <w:rPr>
          <w:rFonts w:cs="Arial" w:hint="cs"/>
          <w:b/>
          <w:bCs/>
          <w:rtl/>
        </w:rPr>
        <w:t xml:space="preserve">גיטין </w:t>
      </w:r>
      <w:r w:rsidRPr="00FF30D0">
        <w:rPr>
          <w:rFonts w:cs="Arial" w:hint="cs"/>
          <w:b/>
          <w:bCs/>
          <w:sz w:val="16"/>
          <w:szCs w:val="16"/>
          <w:rtl/>
        </w:rPr>
        <w:t xml:space="preserve">(פ' השולח) </w:t>
      </w:r>
      <w:r w:rsidRPr="00FF30D0">
        <w:rPr>
          <w:rFonts w:cs="Arial" w:hint="cs"/>
          <w:b/>
          <w:bCs/>
          <w:rtl/>
        </w:rPr>
        <w:t xml:space="preserve">לח ע"ב: </w:t>
      </w:r>
      <w:r w:rsidRPr="00FF30D0">
        <w:rPr>
          <w:rFonts w:cs="Arial"/>
          <w:u w:val="single"/>
          <w:rtl/>
        </w:rPr>
        <w:t>אמר רבה</w:t>
      </w:r>
      <w:r>
        <w:rPr>
          <w:rFonts w:cs="Arial" w:hint="cs"/>
          <w:rtl/>
        </w:rPr>
        <w:t>:</w:t>
      </w:r>
      <w:r w:rsidRPr="00FF30D0">
        <w:rPr>
          <w:rFonts w:cs="Arial"/>
          <w:rtl/>
        </w:rPr>
        <w:t xml:space="preserve"> בהני תלת מילי נחתי בעלי בתים מנכסיהון</w:t>
      </w:r>
      <w:r>
        <w:rPr>
          <w:rFonts w:cs="Arial" w:hint="cs"/>
          <w:rtl/>
        </w:rPr>
        <w:t xml:space="preserve"> -</w:t>
      </w:r>
      <w:r w:rsidRPr="00FF30D0">
        <w:rPr>
          <w:rFonts w:cs="Arial"/>
          <w:rtl/>
        </w:rPr>
        <w:t xml:space="preserve"> דמפקי עבדייהו לחירותא, ודסיירי נכסייהו בשבתא, ודקבעי סעודתייהו בשבתא בעידן בי מדרשא, </w:t>
      </w:r>
      <w:r w:rsidRPr="002D513B">
        <w:rPr>
          <w:rFonts w:cs="Arial"/>
          <w:u w:val="single"/>
          <w:rtl/>
        </w:rPr>
        <w:t>דא"ר חייא בר אבא א"ר יוחנן</w:t>
      </w:r>
      <w:r w:rsidRPr="00FF30D0">
        <w:rPr>
          <w:rFonts w:cs="Arial"/>
          <w:rtl/>
        </w:rPr>
        <w:t>: שתי משפחות היו בירושלים, אחת קבעה סעודתא בשבתא ואחת קבעה סעודתא בערב שבת, ושתיהן נעקרו.</w:t>
      </w:r>
    </w:p>
    <w:p w14:paraId="3E3D2375" w14:textId="77777777" w:rsidR="004B2E7C" w:rsidRPr="00CC2E99" w:rsidRDefault="004B2E7C" w:rsidP="00434A6A">
      <w:pPr>
        <w:rPr>
          <w:u w:val="single"/>
          <w:rtl/>
        </w:rPr>
      </w:pPr>
      <w:r w:rsidRPr="00CC2E99">
        <w:rPr>
          <w:rFonts w:hint="cs"/>
          <w:u w:val="single"/>
          <w:rtl/>
        </w:rPr>
        <w:t>קביעת סעודה ביום שישי:</w:t>
      </w:r>
    </w:p>
    <w:p w14:paraId="4A8614B2" w14:textId="77777777" w:rsidR="004B2E7C" w:rsidRDefault="004B2E7C" w:rsidP="00FF2D21">
      <w:pPr>
        <w:pStyle w:val="aa"/>
        <w:numPr>
          <w:ilvl w:val="0"/>
          <w:numId w:val="109"/>
        </w:numPr>
      </w:pPr>
      <w:r>
        <w:rPr>
          <w:rFonts w:cs="Arial" w:hint="cs"/>
          <w:rtl/>
        </w:rPr>
        <w:t xml:space="preserve">טור- </w:t>
      </w:r>
      <w:r w:rsidRPr="0087246C">
        <w:rPr>
          <w:rFonts w:cs="Arial"/>
          <w:rtl/>
        </w:rPr>
        <w:t>אין קובעין סעודה בע"ש</w:t>
      </w:r>
      <w:r>
        <w:rPr>
          <w:rFonts w:cs="Arial" w:hint="cs"/>
          <w:rtl/>
        </w:rPr>
        <w:t>,</w:t>
      </w:r>
      <w:r w:rsidRPr="0087246C">
        <w:rPr>
          <w:rFonts w:cs="Arial"/>
          <w:rtl/>
        </w:rPr>
        <w:t xml:space="preserve"> משום כבוד שבת</w:t>
      </w:r>
      <w:r>
        <w:rPr>
          <w:rFonts w:cs="Arial" w:hint="cs"/>
          <w:rtl/>
        </w:rPr>
        <w:t>.</w:t>
      </w:r>
      <w:r w:rsidRPr="0087246C">
        <w:rPr>
          <w:rFonts w:cs="Arial"/>
          <w:rtl/>
        </w:rPr>
        <w:t xml:space="preserve"> ומותר לאכול עד שתחשך</w:t>
      </w:r>
      <w:r>
        <w:rPr>
          <w:rFonts w:cs="Arial" w:hint="cs"/>
          <w:rtl/>
        </w:rPr>
        <w:t>,</w:t>
      </w:r>
      <w:r w:rsidRPr="0087246C">
        <w:rPr>
          <w:rFonts w:cs="Arial"/>
          <w:rtl/>
        </w:rPr>
        <w:t xml:space="preserve"> ומ"מ אסור לקבוע בו סעודה</w:t>
      </w:r>
      <w:r>
        <w:rPr>
          <w:rStyle w:val="a9"/>
          <w:rFonts w:cs="Arial"/>
          <w:rtl/>
        </w:rPr>
        <w:footnoteReference w:id="240"/>
      </w:r>
      <w:r>
        <w:rPr>
          <w:rFonts w:cs="Arial" w:hint="cs"/>
          <w:rtl/>
        </w:rPr>
        <w:t xml:space="preserve">, </w:t>
      </w:r>
      <w:r w:rsidRPr="0087246C">
        <w:rPr>
          <w:rFonts w:cs="Arial"/>
          <w:rtl/>
        </w:rPr>
        <w:t>כדי שיכנס לשבת כשהוא תאב לאכול</w:t>
      </w:r>
      <w:r>
        <w:rPr>
          <w:rFonts w:cs="Arial" w:hint="cs"/>
          <w:rtl/>
        </w:rPr>
        <w:t>.</w:t>
      </w:r>
      <w:r w:rsidRPr="0087246C">
        <w:rPr>
          <w:rFonts w:cs="Arial"/>
          <w:rtl/>
        </w:rPr>
        <w:t xml:space="preserve"> </w:t>
      </w:r>
      <w:r w:rsidRPr="00FF30D0">
        <w:rPr>
          <w:rFonts w:cs="Arial"/>
          <w:rtl/>
        </w:rPr>
        <w:t xml:space="preserve">לשון הרמב"ם מצוה שימנע אדם מן המנחה ולמעלה לקבוע סעודתו </w:t>
      </w:r>
      <w:r w:rsidRPr="00FF30D0">
        <w:rPr>
          <w:rFonts w:cs="Arial" w:hint="cs"/>
          <w:sz w:val="16"/>
          <w:szCs w:val="16"/>
          <w:rtl/>
        </w:rPr>
        <w:t>{עכ"ל הרמב"ם}</w:t>
      </w:r>
      <w:r w:rsidRPr="00FF30D0">
        <w:rPr>
          <w:rFonts w:cs="Arial" w:hint="cs"/>
          <w:rtl/>
        </w:rPr>
        <w:t xml:space="preserve">. </w:t>
      </w:r>
      <w:r w:rsidRPr="00FF30D0">
        <w:rPr>
          <w:rFonts w:cs="Arial"/>
          <w:rtl/>
        </w:rPr>
        <w:t>ונראה דאף קודם המנחה נמי אין לקבוע דע"ש סתמא קאמר</w:t>
      </w:r>
      <w:r>
        <w:rPr>
          <w:rStyle w:val="a9"/>
          <w:rFonts w:cs="Arial"/>
          <w:rtl/>
        </w:rPr>
        <w:footnoteReference w:id="241"/>
      </w:r>
      <w:r>
        <w:rPr>
          <w:rFonts w:cs="Arial" w:hint="cs"/>
          <w:rtl/>
        </w:rPr>
        <w:t>.</w:t>
      </w:r>
      <w:r w:rsidRPr="00FF30D0">
        <w:rPr>
          <w:rFonts w:cs="Arial"/>
          <w:rtl/>
        </w:rPr>
        <w:t xml:space="preserve"> דגרסי' בפ' השולח (לח</w:t>
      </w:r>
      <w:r w:rsidRPr="00FF30D0">
        <w:rPr>
          <w:rFonts w:cs="Arial" w:hint="cs"/>
          <w:rtl/>
        </w:rPr>
        <w:t>:</w:t>
      </w:r>
      <w:r w:rsidRPr="00FF30D0">
        <w:rPr>
          <w:rFonts w:cs="Arial"/>
          <w:rtl/>
        </w:rPr>
        <w:t>) א"ר חייא בר אבא א"ר יוחנן ב' משפחות היו בירושלים אחת קבעה סעודתה בע"ש ואחת בשבת פי' בשעת בית המדרש ושתיהן נעקרו</w:t>
      </w:r>
      <w:r w:rsidRPr="00FF30D0">
        <w:rPr>
          <w:rFonts w:cs="Arial" w:hint="cs"/>
          <w:rtl/>
        </w:rPr>
        <w:t>.</w:t>
      </w:r>
      <w:r w:rsidRPr="00FF30D0">
        <w:rPr>
          <w:rFonts w:cs="Arial"/>
          <w:rtl/>
        </w:rPr>
        <w:t xml:space="preserve"> </w:t>
      </w:r>
    </w:p>
    <w:p w14:paraId="14D4DEA9" w14:textId="77777777" w:rsidR="004B2E7C" w:rsidRPr="002B7C8F" w:rsidRDefault="004B2E7C" w:rsidP="00FF2D21">
      <w:pPr>
        <w:pStyle w:val="aa"/>
        <w:numPr>
          <w:ilvl w:val="0"/>
          <w:numId w:val="109"/>
        </w:numPr>
      </w:pPr>
      <w:r>
        <w:rPr>
          <w:rFonts w:cs="Arial" w:hint="cs"/>
          <w:rtl/>
        </w:rPr>
        <w:t xml:space="preserve">רמב"ם </w:t>
      </w:r>
      <w:r w:rsidRPr="002B7C8F">
        <w:rPr>
          <w:rFonts w:cs="Arial" w:hint="cs"/>
          <w:sz w:val="16"/>
          <w:szCs w:val="16"/>
          <w:rtl/>
        </w:rPr>
        <w:t>(פ"ל ה"ד)</w:t>
      </w:r>
      <w:r>
        <w:rPr>
          <w:rFonts w:cs="Arial" w:hint="cs"/>
          <w:rtl/>
        </w:rPr>
        <w:t xml:space="preserve">- </w:t>
      </w:r>
      <w:r w:rsidRPr="002B7C8F">
        <w:rPr>
          <w:rFonts w:cs="Arial"/>
          <w:rtl/>
        </w:rPr>
        <w:t>אסור לקבוע סעודה ומשתה בערב שבת מפני כבוד השבת</w:t>
      </w:r>
      <w:r>
        <w:rPr>
          <w:rFonts w:cs="Arial" w:hint="cs"/>
          <w:rtl/>
        </w:rPr>
        <w:t>.</w:t>
      </w:r>
      <w:r w:rsidRPr="002B7C8F">
        <w:rPr>
          <w:rFonts w:cs="Arial"/>
          <w:rtl/>
        </w:rPr>
        <w:t xml:space="preserve"> ומותר לאכול ולשתות עד שתחשך</w:t>
      </w:r>
      <w:r>
        <w:rPr>
          <w:rStyle w:val="a9"/>
          <w:rFonts w:cs="Arial"/>
          <w:rtl/>
        </w:rPr>
        <w:footnoteReference w:id="242"/>
      </w:r>
      <w:r>
        <w:rPr>
          <w:rFonts w:cs="Arial" w:hint="cs"/>
          <w:rtl/>
        </w:rPr>
        <w:t>.</w:t>
      </w:r>
      <w:r w:rsidRPr="002B7C8F">
        <w:rPr>
          <w:rFonts w:cs="Arial"/>
          <w:rtl/>
        </w:rPr>
        <w:t xml:space="preserve"> ואף על פי כן מכבוד השבת שימנע אדם מן המנחה</w:t>
      </w:r>
      <w:r>
        <w:rPr>
          <w:rStyle w:val="a9"/>
          <w:rFonts w:cs="Arial"/>
          <w:rtl/>
        </w:rPr>
        <w:footnoteReference w:id="243"/>
      </w:r>
      <w:r w:rsidRPr="002B7C8F">
        <w:rPr>
          <w:rFonts w:cs="Arial"/>
          <w:rtl/>
        </w:rPr>
        <w:t xml:space="preserve"> ולמעלה מלקבוע סעודה</w:t>
      </w:r>
      <w:r>
        <w:rPr>
          <w:rFonts w:cs="Arial" w:hint="cs"/>
          <w:rtl/>
        </w:rPr>
        <w:t>,</w:t>
      </w:r>
      <w:r w:rsidRPr="002B7C8F">
        <w:rPr>
          <w:rFonts w:cs="Arial"/>
          <w:rtl/>
        </w:rPr>
        <w:t xml:space="preserve"> כדי שיכנס לשבת כשהוא מתאוה לאכול</w:t>
      </w:r>
      <w:r>
        <w:rPr>
          <w:rStyle w:val="a9"/>
          <w:rFonts w:cs="Arial"/>
          <w:rtl/>
        </w:rPr>
        <w:footnoteReference w:id="244"/>
      </w:r>
      <w:r w:rsidRPr="002B7C8F">
        <w:rPr>
          <w:rFonts w:cs="Arial"/>
          <w:rtl/>
        </w:rPr>
        <w:t xml:space="preserve">. </w:t>
      </w:r>
      <w:r w:rsidRPr="0026703B">
        <w:rPr>
          <w:rFonts w:hint="cs"/>
          <w:color w:val="E36C0A" w:themeColor="accent6" w:themeShade="BF"/>
          <w:rtl/>
        </w:rPr>
        <w:t>(וכ"פ בשו"ע)</w:t>
      </w:r>
    </w:p>
    <w:p w14:paraId="456EC5BF" w14:textId="77777777" w:rsidR="004B2E7C" w:rsidRDefault="004B2E7C" w:rsidP="00FF2D21">
      <w:pPr>
        <w:pStyle w:val="aa"/>
        <w:numPr>
          <w:ilvl w:val="0"/>
          <w:numId w:val="109"/>
        </w:numPr>
      </w:pPr>
      <w:r w:rsidRPr="002B7C8F">
        <w:rPr>
          <w:rFonts w:cs="Arial"/>
          <w:rtl/>
        </w:rPr>
        <w:t xml:space="preserve">ראב"ד </w:t>
      </w:r>
      <w:r>
        <w:rPr>
          <w:rFonts w:cs="Arial" w:hint="cs"/>
          <w:sz w:val="16"/>
          <w:szCs w:val="16"/>
          <w:rtl/>
        </w:rPr>
        <w:t>(בהשגות)</w:t>
      </w:r>
      <w:r>
        <w:rPr>
          <w:rFonts w:cs="Arial" w:hint="cs"/>
          <w:rtl/>
        </w:rPr>
        <w:t xml:space="preserve">- </w:t>
      </w:r>
      <w:r w:rsidRPr="002B7C8F">
        <w:rPr>
          <w:rFonts w:cs="Arial"/>
          <w:rtl/>
        </w:rPr>
        <w:t>אסור לקבוע סעודה בערב שבת. א"א דוקא שאסור לקבוע מחצות ולמעלה.</w:t>
      </w:r>
    </w:p>
    <w:p w14:paraId="45A50DBF" w14:textId="77777777" w:rsidR="004B2E7C" w:rsidRDefault="004B2E7C" w:rsidP="00434A6A">
      <w:pPr>
        <w:rPr>
          <w:rFonts w:cs="Arial"/>
          <w:rtl/>
        </w:rPr>
      </w:pPr>
      <w:r w:rsidRPr="001F4DBC">
        <w:rPr>
          <w:rFonts w:cs="Arial" w:hint="cs"/>
          <w:u w:val="single"/>
          <w:rtl/>
        </w:rPr>
        <w:t>אכילת מזונות קודם סעוד</w:t>
      </w:r>
      <w:r>
        <w:rPr>
          <w:rFonts w:cs="Arial" w:hint="cs"/>
          <w:u w:val="single"/>
          <w:rtl/>
        </w:rPr>
        <w:t>ת</w:t>
      </w:r>
      <w:r w:rsidRPr="001F4DBC">
        <w:rPr>
          <w:rFonts w:cs="Arial" w:hint="cs"/>
          <w:u w:val="single"/>
          <w:rtl/>
        </w:rPr>
        <w:t xml:space="preserve"> </w:t>
      </w:r>
      <w:r>
        <w:rPr>
          <w:rFonts w:cs="Arial" w:hint="cs"/>
          <w:u w:val="single"/>
          <w:rtl/>
        </w:rPr>
        <w:t xml:space="preserve">ער"ש </w:t>
      </w:r>
      <w:r w:rsidRPr="001F4DBC">
        <w:rPr>
          <w:rFonts w:cs="Arial" w:hint="cs"/>
          <w:u w:val="single"/>
          <w:rtl/>
        </w:rPr>
        <w:t xml:space="preserve">כדי להשלים למאה ברכות </w:t>
      </w:r>
      <w:r w:rsidRPr="001F4DBC">
        <w:rPr>
          <w:rFonts w:cs="Arial"/>
          <w:u w:val="single"/>
          <w:rtl/>
        </w:rPr>
        <w:t>–</w:t>
      </w:r>
      <w:r w:rsidRPr="001F4DBC">
        <w:rPr>
          <w:rFonts w:cs="Arial" w:hint="cs"/>
          <w:u w:val="single"/>
          <w:rtl/>
        </w:rPr>
        <w:t xml:space="preserve"> האם יש בעיה מצד פגיעה בתאבון:</w:t>
      </w:r>
      <w:r>
        <w:rPr>
          <w:rFonts w:cs="Arial" w:hint="cs"/>
          <w:rtl/>
        </w:rPr>
        <w:t xml:space="preserve"> </w:t>
      </w:r>
      <w:r w:rsidRPr="001F4DBC">
        <w:rPr>
          <w:rFonts w:cs="Arial"/>
          <w:sz w:val="16"/>
          <w:szCs w:val="16"/>
          <w:rtl/>
        </w:rPr>
        <w:t>(</w:t>
      </w:r>
      <w:r w:rsidRPr="001F4DBC">
        <w:rPr>
          <w:rFonts w:cs="Arial" w:hint="cs"/>
          <w:sz w:val="16"/>
          <w:szCs w:val="16"/>
          <w:rtl/>
        </w:rPr>
        <w:t xml:space="preserve">דרכ"מ אות </w:t>
      </w:r>
      <w:r w:rsidRPr="001F4DBC">
        <w:rPr>
          <w:rFonts w:cs="Arial"/>
          <w:sz w:val="16"/>
          <w:szCs w:val="16"/>
          <w:rtl/>
        </w:rPr>
        <w:t>ד)</w:t>
      </w:r>
      <w:r w:rsidRPr="00896369">
        <w:rPr>
          <w:rFonts w:cs="Arial"/>
          <w:rtl/>
        </w:rPr>
        <w:t xml:space="preserve"> </w:t>
      </w:r>
    </w:p>
    <w:p w14:paraId="680D3EA9" w14:textId="77777777" w:rsidR="004B2E7C" w:rsidRPr="00B72CF0" w:rsidRDefault="004B2E7C" w:rsidP="00FF2D21">
      <w:pPr>
        <w:pStyle w:val="aa"/>
        <w:numPr>
          <w:ilvl w:val="0"/>
          <w:numId w:val="110"/>
        </w:numPr>
        <w:rPr>
          <w:rtl/>
        </w:rPr>
      </w:pPr>
      <w:r w:rsidRPr="001F4DBC">
        <w:rPr>
          <w:rFonts w:cs="Arial"/>
          <w:rtl/>
        </w:rPr>
        <w:t>או</w:t>
      </w:r>
      <w:r>
        <w:rPr>
          <w:rFonts w:cs="Arial" w:hint="cs"/>
          <w:rtl/>
        </w:rPr>
        <w:t>"</w:t>
      </w:r>
      <w:r w:rsidRPr="001F4DBC">
        <w:rPr>
          <w:rFonts w:cs="Arial"/>
          <w:rtl/>
        </w:rPr>
        <w:t xml:space="preserve">ז </w:t>
      </w:r>
      <w:r w:rsidRPr="00DD01F4">
        <w:rPr>
          <w:rFonts w:cs="Arial"/>
          <w:sz w:val="16"/>
          <w:szCs w:val="16"/>
          <w:rtl/>
        </w:rPr>
        <w:t>(הל' ערב שבת סי' כא</w:t>
      </w:r>
      <w:r w:rsidRPr="00DD01F4">
        <w:rPr>
          <w:rFonts w:cs="Arial" w:hint="cs"/>
          <w:sz w:val="16"/>
          <w:szCs w:val="16"/>
          <w:rtl/>
        </w:rPr>
        <w:t>)</w:t>
      </w:r>
      <w:r>
        <w:rPr>
          <w:rFonts w:cs="Arial" w:hint="cs"/>
          <w:rtl/>
        </w:rPr>
        <w:t xml:space="preserve">- </w:t>
      </w:r>
      <w:r w:rsidRPr="001F4DBC">
        <w:rPr>
          <w:rFonts w:cs="Arial"/>
          <w:rtl/>
        </w:rPr>
        <w:t xml:space="preserve">כתב רא"ם (עי' יראים השלם סי' צב) דמצוה על כל ישראל לאכול סעודת שבת לתיאבון ומאחר דעיקר סעודה הוא לחם צריך למיכליה לתיאבון לכן כל בן ברית אסור לאכול גרימז"ל בשבת קודם הסעודה משום דלא אכיל עיקר סעודת שבת לתיאבון והעושהו לא ניתן להשבון עכ"ל </w:t>
      </w:r>
      <w:r>
        <w:rPr>
          <w:rFonts w:cs="Arial" w:hint="cs"/>
          <w:sz w:val="16"/>
          <w:szCs w:val="16"/>
          <w:rtl/>
        </w:rPr>
        <w:t>{הרא"ם}</w:t>
      </w:r>
      <w:r>
        <w:rPr>
          <w:rFonts w:cs="Arial" w:hint="cs"/>
          <w:rtl/>
        </w:rPr>
        <w:t xml:space="preserve">. </w:t>
      </w:r>
      <w:r w:rsidRPr="001F4DBC">
        <w:rPr>
          <w:rFonts w:cs="Arial"/>
          <w:rtl/>
        </w:rPr>
        <w:t>והוא אזיל לטעמיה דסבירא ליה דאסור להתחיל אחר מנחה בערב שבת אבל לדידן דקיימא לן דמותר לאכול אחר המנחה שמע מינה דאין צריך לאכול סעודת שבת לתיאבון ולכן מותר לאכול אלו הגרימז"ל מבעוד יום וכ"כ בתשובות (עי' פרדס לרש"י עמ' קפט) דערב שבת לאחר קידוש היו מביאים גרימז"ל לפני רבי קלונימוס ושאר הזקנים והיו מברכין עליהם בורא מיני מזונות ואחר כך ברכה אחת מעין שלש כדי להרבות ולהשלים מאה ברכות ואח"כ היו אוכלים לחם לצורך הסעודה</w:t>
      </w:r>
      <w:r>
        <w:rPr>
          <w:rFonts w:cs="Arial" w:hint="cs"/>
          <w:rtl/>
        </w:rPr>
        <w:t>.</w:t>
      </w:r>
    </w:p>
    <w:p w14:paraId="5F29D746" w14:textId="77777777" w:rsidR="004B2E7C" w:rsidRDefault="004B2E7C" w:rsidP="00434A6A">
      <w:pPr>
        <w:rPr>
          <w:rtl/>
        </w:rPr>
      </w:pPr>
      <w:r w:rsidRPr="00DD01F4">
        <w:rPr>
          <w:rFonts w:cs="Arial" w:hint="cs"/>
          <w:b/>
          <w:bCs/>
          <w:rtl/>
        </w:rPr>
        <w:t xml:space="preserve">ירושלמי ביצה פ"ה ה"ב: </w:t>
      </w:r>
      <w:r w:rsidRPr="00DD01F4">
        <w:rPr>
          <w:rFonts w:cs="Arial"/>
          <w:u w:val="single"/>
          <w:rtl/>
        </w:rPr>
        <w:t>רבי בא בר כהן אמר קומי ר' יוסה ר' אחא בשם ר' יעקב בר אידי</w:t>
      </w:r>
      <w:r w:rsidRPr="00DD01F4">
        <w:rPr>
          <w:rFonts w:cs="Arial" w:hint="cs"/>
          <w:rtl/>
        </w:rPr>
        <w:t>:</w:t>
      </w:r>
      <w:r w:rsidRPr="00DD01F4">
        <w:rPr>
          <w:rFonts w:cs="Arial"/>
          <w:rtl/>
        </w:rPr>
        <w:t xml:space="preserve"> אסור לארס אשה בע"ש</w:t>
      </w:r>
      <w:r w:rsidRPr="00DD01F4">
        <w:rPr>
          <w:rFonts w:cs="Arial" w:hint="cs"/>
          <w:rtl/>
        </w:rPr>
        <w:t>.</w:t>
      </w:r>
      <w:r w:rsidRPr="00DD01F4">
        <w:rPr>
          <w:rFonts w:cs="Arial"/>
          <w:rtl/>
        </w:rPr>
        <w:t xml:space="preserve"> הדא דאת אמר </w:t>
      </w:r>
      <w:r w:rsidRPr="00DD01F4">
        <w:rPr>
          <w:rFonts w:cs="Arial" w:hint="cs"/>
          <w:rtl/>
        </w:rPr>
        <w:t xml:space="preserve">- </w:t>
      </w:r>
      <w:r w:rsidRPr="00DD01F4">
        <w:rPr>
          <w:rFonts w:cs="Arial"/>
          <w:rtl/>
        </w:rPr>
        <w:t>שלא לעשות סעודת אירוסין</w:t>
      </w:r>
      <w:r w:rsidRPr="00DD01F4">
        <w:rPr>
          <w:rFonts w:cs="Arial" w:hint="cs"/>
          <w:rtl/>
        </w:rPr>
        <w:t>,</w:t>
      </w:r>
      <w:r w:rsidRPr="00DD01F4">
        <w:rPr>
          <w:rFonts w:cs="Arial"/>
          <w:rtl/>
        </w:rPr>
        <w:t xml:space="preserve"> הא לארס </w:t>
      </w:r>
      <w:r w:rsidRPr="00DD01F4">
        <w:rPr>
          <w:rFonts w:cs="Arial" w:hint="cs"/>
          <w:rtl/>
        </w:rPr>
        <w:t xml:space="preserve">- </w:t>
      </w:r>
      <w:r w:rsidRPr="00DD01F4">
        <w:rPr>
          <w:rFonts w:cs="Arial"/>
          <w:rtl/>
        </w:rPr>
        <w:t>יארס</w:t>
      </w:r>
      <w:r w:rsidRPr="00DD01F4">
        <w:rPr>
          <w:rFonts w:cs="Arial" w:hint="cs"/>
          <w:rtl/>
        </w:rPr>
        <w:t>.</w:t>
      </w:r>
      <w:r w:rsidRPr="00DD01F4">
        <w:rPr>
          <w:rFonts w:cs="Arial"/>
          <w:rtl/>
        </w:rPr>
        <w:t xml:space="preserve"> </w:t>
      </w:r>
      <w:r w:rsidRPr="00DD01F4">
        <w:rPr>
          <w:rFonts w:cs="Arial" w:hint="cs"/>
          <w:sz w:val="16"/>
          <w:szCs w:val="16"/>
          <w:rtl/>
        </w:rPr>
        <w:t>(</w:t>
      </w:r>
      <w:r w:rsidRPr="00DD01F4">
        <w:rPr>
          <w:rFonts w:cs="Arial"/>
          <w:sz w:val="16"/>
          <w:szCs w:val="16"/>
          <w:rtl/>
        </w:rPr>
        <w:t>ודבר פשוט הוא דלא אסר אלא לעשות סעודת אירוסין לסעוד בערב שבת עצמו אבל להכינה מערב שבת לשבת שרי וכן נהגו</w:t>
      </w:r>
      <w:r w:rsidRPr="00DD01F4">
        <w:rPr>
          <w:rFonts w:cs="Arial" w:hint="cs"/>
          <w:sz w:val="16"/>
          <w:szCs w:val="16"/>
          <w:rtl/>
        </w:rPr>
        <w:t>, ב"י</w:t>
      </w:r>
      <w:r>
        <w:rPr>
          <w:rFonts w:cs="Arial" w:hint="cs"/>
          <w:sz w:val="16"/>
          <w:szCs w:val="16"/>
          <w:rtl/>
        </w:rPr>
        <w:t xml:space="preserve">. </w:t>
      </w:r>
      <w:r w:rsidRPr="00C3197F">
        <w:rPr>
          <w:rFonts w:cs="Arial" w:hint="cs"/>
          <w:color w:val="E36C0A" w:themeColor="accent6" w:themeShade="BF"/>
          <w:sz w:val="16"/>
          <w:szCs w:val="16"/>
          <w:rtl/>
        </w:rPr>
        <w:t>(וכ"פ בשו"ע)</w:t>
      </w:r>
      <w:r w:rsidRPr="00DD01F4">
        <w:rPr>
          <w:rFonts w:cs="Arial" w:hint="cs"/>
          <w:sz w:val="16"/>
          <w:szCs w:val="16"/>
          <w:rtl/>
        </w:rPr>
        <w:t>)</w:t>
      </w:r>
    </w:p>
    <w:p w14:paraId="63347843"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EF68864" w14:textId="77777777" w:rsidR="004B2E7C" w:rsidRDefault="004B2E7C" w:rsidP="00434A6A">
      <w:pPr>
        <w:rPr>
          <w:rFonts w:cs="Arial"/>
          <w:sz w:val="18"/>
          <w:szCs w:val="18"/>
          <w:rtl/>
        </w:rPr>
      </w:pPr>
      <w:r>
        <w:rPr>
          <w:rFonts w:cs="Arial"/>
          <w:rtl/>
        </w:rPr>
        <w:t>אסור לקבוע בערב שבת</w:t>
      </w:r>
      <w:r>
        <w:rPr>
          <w:rStyle w:val="a9"/>
          <w:rFonts w:cs="Arial"/>
          <w:rtl/>
        </w:rPr>
        <w:footnoteReference w:id="245"/>
      </w:r>
      <w:r>
        <w:rPr>
          <w:rFonts w:cs="Arial"/>
          <w:rtl/>
        </w:rPr>
        <w:t xml:space="preserve"> סעודה ומשתה שאינו רגיל בימי החול, ואפילו היא סעודת אירוסין</w:t>
      </w:r>
      <w:r>
        <w:rPr>
          <w:rStyle w:val="a9"/>
          <w:rFonts w:cs="Arial"/>
          <w:rtl/>
        </w:rPr>
        <w:footnoteReference w:id="246"/>
      </w:r>
      <w:r>
        <w:rPr>
          <w:rFonts w:cs="Arial"/>
          <w:rtl/>
        </w:rPr>
        <w:t>, מפני כבוד השבת</w:t>
      </w:r>
      <w:r>
        <w:rPr>
          <w:rStyle w:val="a9"/>
          <w:rFonts w:cs="Arial"/>
          <w:rtl/>
        </w:rPr>
        <w:footnoteReference w:id="247"/>
      </w:r>
      <w:r>
        <w:rPr>
          <w:rFonts w:cs="Arial"/>
          <w:rtl/>
        </w:rPr>
        <w:t>, שיכנס לשבת כשהוא תאב לאכול</w:t>
      </w:r>
      <w:r>
        <w:rPr>
          <w:rStyle w:val="a9"/>
          <w:rFonts w:cs="Arial"/>
          <w:rtl/>
        </w:rPr>
        <w:footnoteReference w:id="248"/>
      </w:r>
      <w:r>
        <w:rPr>
          <w:rFonts w:cs="Arial" w:hint="cs"/>
          <w:rtl/>
        </w:rPr>
        <w:t>.</w:t>
      </w:r>
      <w:r>
        <w:rPr>
          <w:rFonts w:cs="Arial"/>
          <w:rtl/>
        </w:rPr>
        <w:t xml:space="preserve"> וכל היום בכלל האיסור. </w:t>
      </w:r>
      <w:r w:rsidRPr="000033CD">
        <w:rPr>
          <w:rFonts w:cs="Arial"/>
          <w:sz w:val="18"/>
          <w:szCs w:val="18"/>
          <w:rtl/>
        </w:rPr>
        <w:t>הגה: וסעודה שזמנה ערב שבת, כגון ברית מילה</w:t>
      </w:r>
      <w:r>
        <w:rPr>
          <w:rStyle w:val="a9"/>
          <w:rFonts w:cs="Arial"/>
          <w:sz w:val="18"/>
          <w:szCs w:val="18"/>
          <w:rtl/>
        </w:rPr>
        <w:footnoteReference w:id="249"/>
      </w:r>
      <w:r w:rsidRPr="000033CD">
        <w:rPr>
          <w:rFonts w:cs="Arial"/>
          <w:sz w:val="18"/>
          <w:szCs w:val="18"/>
          <w:rtl/>
        </w:rPr>
        <w:t xml:space="preserve"> או פדיון הבן, מותר</w:t>
      </w:r>
      <w:r>
        <w:rPr>
          <w:rStyle w:val="a9"/>
          <w:rFonts w:cs="Arial"/>
          <w:sz w:val="18"/>
          <w:szCs w:val="18"/>
          <w:rtl/>
        </w:rPr>
        <w:footnoteReference w:id="250"/>
      </w:r>
      <w:r w:rsidRPr="000033CD">
        <w:rPr>
          <w:rFonts w:cs="Arial"/>
          <w:sz w:val="18"/>
          <w:szCs w:val="18"/>
          <w:rtl/>
        </w:rPr>
        <w:t xml:space="preserve">, כן נ"ל וכן המנהג פשוט. </w:t>
      </w:r>
      <w:r w:rsidRPr="0026703B">
        <w:rPr>
          <w:rFonts w:cs="Arial"/>
          <w:rtl/>
        </w:rPr>
        <w:t>ולאכול ולשתות בלי קביעות סעודה, אפילו סעודה שרגיל בה בחול, כל היום מותר להתחיל מן הדין</w:t>
      </w:r>
      <w:r>
        <w:rPr>
          <w:rStyle w:val="a9"/>
          <w:rFonts w:cs="Arial"/>
          <w:rtl/>
        </w:rPr>
        <w:footnoteReference w:id="251"/>
      </w:r>
      <w:r w:rsidRPr="0026703B">
        <w:rPr>
          <w:rFonts w:cs="Arial"/>
          <w:rtl/>
        </w:rPr>
        <w:t>, אבל מצוה להמנע מלקבוע סעודה שנהוג בה בחול, מט' שעות ולמעלה</w:t>
      </w:r>
      <w:r>
        <w:rPr>
          <w:rStyle w:val="a9"/>
          <w:rFonts w:cs="Arial"/>
          <w:rtl/>
        </w:rPr>
        <w:footnoteReference w:id="252"/>
      </w:r>
      <w:r w:rsidRPr="0026703B">
        <w:rPr>
          <w:rFonts w:cs="Arial"/>
          <w:rtl/>
        </w:rPr>
        <w:t>.</w:t>
      </w:r>
      <w:r w:rsidRPr="000033CD">
        <w:rPr>
          <w:rFonts w:cs="Arial"/>
          <w:sz w:val="18"/>
          <w:szCs w:val="18"/>
          <w:rtl/>
        </w:rPr>
        <w:t xml:space="preserve"> </w:t>
      </w:r>
    </w:p>
    <w:p w14:paraId="02DB4D4F" w14:textId="77777777" w:rsidR="004B2E7C" w:rsidRPr="000033CD" w:rsidRDefault="004B2E7C" w:rsidP="00434A6A">
      <w:pPr>
        <w:rPr>
          <w:rtl/>
        </w:rPr>
      </w:pPr>
    </w:p>
    <w:p w14:paraId="32316F3F" w14:textId="77777777" w:rsidR="004B2E7C" w:rsidRDefault="004B2E7C" w:rsidP="00434A6A">
      <w:pPr>
        <w:pStyle w:val="2"/>
        <w:rPr>
          <w:rtl/>
        </w:rPr>
      </w:pPr>
      <w:r>
        <w:rPr>
          <w:rtl/>
        </w:rPr>
        <w:t>סעיף ג</w:t>
      </w:r>
      <w:r>
        <w:rPr>
          <w:rFonts w:hint="cs"/>
          <w:rtl/>
        </w:rPr>
        <w:t>: אנשי מעשה מתענים בערב שבת.</w:t>
      </w:r>
    </w:p>
    <w:p w14:paraId="2D85896D" w14:textId="77777777" w:rsidR="004B2E7C" w:rsidRDefault="004B2E7C" w:rsidP="00434A6A">
      <w:pPr>
        <w:rPr>
          <w:rtl/>
        </w:rPr>
      </w:pPr>
      <w:r w:rsidRPr="007D1FF9">
        <w:rPr>
          <w:rFonts w:cs="Arial" w:hint="cs"/>
          <w:b/>
          <w:bCs/>
          <w:rtl/>
        </w:rPr>
        <w:t>ע</w:t>
      </w:r>
      <w:r>
        <w:rPr>
          <w:rFonts w:cs="Arial" w:hint="cs"/>
          <w:b/>
          <w:bCs/>
          <w:rtl/>
        </w:rPr>
        <w:t>י</w:t>
      </w:r>
      <w:r w:rsidRPr="007D1FF9">
        <w:rPr>
          <w:rFonts w:cs="Arial" w:hint="cs"/>
          <w:b/>
          <w:bCs/>
          <w:rtl/>
        </w:rPr>
        <w:t>רובין</w:t>
      </w:r>
      <w:r>
        <w:rPr>
          <w:rFonts w:cs="Arial" w:hint="cs"/>
          <w:b/>
          <w:bCs/>
          <w:sz w:val="16"/>
          <w:szCs w:val="16"/>
          <w:rtl/>
        </w:rPr>
        <w:t xml:space="preserve"> (פ' בכל מערבין)</w:t>
      </w:r>
      <w:r w:rsidRPr="007D1FF9">
        <w:rPr>
          <w:rFonts w:cs="Arial" w:hint="cs"/>
          <w:b/>
          <w:bCs/>
          <w:rtl/>
        </w:rPr>
        <w:t xml:space="preserve"> מ ע"ב: </w:t>
      </w:r>
      <w:r w:rsidRPr="007D1FF9">
        <w:rPr>
          <w:rFonts w:cs="Arial"/>
          <w:u w:val="single"/>
          <w:rtl/>
        </w:rPr>
        <w:t>ואמר רבה כי הוינן בי רב הונא איבעיא לן</w:t>
      </w:r>
      <w:r w:rsidRPr="007D1FF9">
        <w:rPr>
          <w:rFonts w:cs="Arial"/>
          <w:rtl/>
        </w:rPr>
        <w:t xml:space="preserve">: בר בי רב דיתיב בתעניתא במעלי שבתא, מהו לאשלומי? </w:t>
      </w:r>
      <w:r w:rsidRPr="007D1FF9">
        <w:rPr>
          <w:rFonts w:cs="Arial" w:hint="cs"/>
          <w:sz w:val="16"/>
          <w:szCs w:val="16"/>
          <w:rtl/>
        </w:rPr>
        <w:t>(</w:t>
      </w:r>
      <w:r w:rsidRPr="007D1FF9">
        <w:rPr>
          <w:rFonts w:cs="Arial"/>
          <w:sz w:val="16"/>
          <w:szCs w:val="16"/>
          <w:rtl/>
        </w:rPr>
        <w:t>אלמא שדרך ת"ח להתענות בע"ש</w:t>
      </w:r>
      <w:r>
        <w:rPr>
          <w:rFonts w:cs="Arial" w:hint="cs"/>
          <w:sz w:val="16"/>
          <w:szCs w:val="16"/>
          <w:rtl/>
        </w:rPr>
        <w:t>, טור)</w:t>
      </w:r>
    </w:p>
    <w:p w14:paraId="76F5D44A" w14:textId="77777777" w:rsidR="004B2E7C" w:rsidRPr="007D1FF9" w:rsidRDefault="004B2E7C" w:rsidP="00434A6A">
      <w:pPr>
        <w:rPr>
          <w:sz w:val="16"/>
          <w:szCs w:val="16"/>
          <w:rtl/>
        </w:rPr>
      </w:pPr>
      <w:r w:rsidRPr="007D1FF9">
        <w:rPr>
          <w:rFonts w:cs="Arial" w:hint="cs"/>
          <w:b/>
          <w:bCs/>
          <w:rtl/>
        </w:rPr>
        <w:t xml:space="preserve">ירושלמי תענית פ"ב הי"ב: </w:t>
      </w:r>
      <w:r w:rsidRPr="007D1FF9">
        <w:rPr>
          <w:rFonts w:cs="Arial"/>
          <w:rtl/>
        </w:rPr>
        <w:t>רבי יונתן ציים כל ערובת ריש שתא</w:t>
      </w:r>
      <w:r>
        <w:rPr>
          <w:rFonts w:cs="Arial" w:hint="cs"/>
          <w:rtl/>
        </w:rPr>
        <w:t>.</w:t>
      </w:r>
      <w:r w:rsidRPr="007D1FF9">
        <w:rPr>
          <w:rFonts w:cs="Arial"/>
          <w:rtl/>
        </w:rPr>
        <w:t xml:space="preserve"> רבי אבון ציים כל ערובת שובא</w:t>
      </w:r>
      <w:r>
        <w:rPr>
          <w:rFonts w:hint="cs"/>
          <w:rtl/>
        </w:rPr>
        <w:t>.</w:t>
      </w:r>
      <w:r>
        <w:rPr>
          <w:rFonts w:hint="cs"/>
          <w:sz w:val="16"/>
          <w:szCs w:val="16"/>
          <w:rtl/>
        </w:rPr>
        <w:t xml:space="preserve"> (הב"י כתב שהראיה שהביא הטור מהגמ' בעירובין אינה מוכרחת, וכתב שהראיה מהירושלמי הנ"ל היא מבוארת)</w:t>
      </w:r>
    </w:p>
    <w:p w14:paraId="4FDE15D7" w14:textId="77777777" w:rsidR="004B2E7C" w:rsidRPr="007D1FF9" w:rsidRDefault="004B2E7C" w:rsidP="00434A6A">
      <w:pPr>
        <w:rPr>
          <w:u w:val="single"/>
          <w:rtl/>
        </w:rPr>
      </w:pPr>
      <w:r w:rsidRPr="007D1FF9">
        <w:rPr>
          <w:rFonts w:hint="cs"/>
          <w:u w:val="single"/>
          <w:rtl/>
        </w:rPr>
        <w:t>אנשי מעשה מתענים בערב שבת:</w:t>
      </w:r>
    </w:p>
    <w:p w14:paraId="15F8B5CB" w14:textId="77777777" w:rsidR="004B2E7C" w:rsidRPr="00E559BA" w:rsidRDefault="004B2E7C" w:rsidP="00FF2D21">
      <w:pPr>
        <w:pStyle w:val="aa"/>
        <w:numPr>
          <w:ilvl w:val="0"/>
          <w:numId w:val="109"/>
        </w:numPr>
      </w:pPr>
      <w:r>
        <w:rPr>
          <w:rFonts w:cs="Arial" w:hint="cs"/>
          <w:rtl/>
        </w:rPr>
        <w:t xml:space="preserve">טור- </w:t>
      </w:r>
      <w:r w:rsidRPr="0087246C">
        <w:rPr>
          <w:rFonts w:cs="Arial"/>
          <w:rtl/>
        </w:rPr>
        <w:t>יראה שדרך אנשי מעשה להתענות כל היום</w:t>
      </w:r>
      <w:r>
        <w:rPr>
          <w:rStyle w:val="a9"/>
          <w:rFonts w:cs="Arial"/>
          <w:rtl/>
        </w:rPr>
        <w:footnoteReference w:id="253"/>
      </w:r>
      <w:r>
        <w:rPr>
          <w:rFonts w:cs="Arial" w:hint="cs"/>
          <w:rtl/>
        </w:rPr>
        <w:t>.</w:t>
      </w:r>
      <w:r w:rsidRPr="0087246C">
        <w:rPr>
          <w:rFonts w:cs="Arial"/>
          <w:rtl/>
        </w:rPr>
        <w:t xml:space="preserve"> </w:t>
      </w:r>
      <w:r w:rsidRPr="00EA45F1">
        <w:rPr>
          <w:rFonts w:hint="cs"/>
          <w:color w:val="E36C0A" w:themeColor="accent6" w:themeShade="BF"/>
          <w:rtl/>
        </w:rPr>
        <w:t>(וכ"פ בשו"ע)</w:t>
      </w:r>
    </w:p>
    <w:p w14:paraId="0162FAAD"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D376EBA" w14:textId="77777777" w:rsidR="004B2E7C" w:rsidRDefault="004B2E7C" w:rsidP="00434A6A">
      <w:pPr>
        <w:rPr>
          <w:rtl/>
        </w:rPr>
      </w:pPr>
      <w:r>
        <w:rPr>
          <w:rFonts w:cs="Arial"/>
          <w:rtl/>
        </w:rPr>
        <w:t>דרך אנשי מעשה להתענות בכל ערב שבת</w:t>
      </w:r>
      <w:r>
        <w:rPr>
          <w:rStyle w:val="a9"/>
          <w:rFonts w:cs="Arial"/>
          <w:rtl/>
        </w:rPr>
        <w:footnoteReference w:id="254"/>
      </w:r>
      <w:r>
        <w:rPr>
          <w:rFonts w:cs="Arial"/>
          <w:rtl/>
        </w:rPr>
        <w:t xml:space="preserve">. </w:t>
      </w:r>
    </w:p>
    <w:p w14:paraId="629FB208" w14:textId="77777777" w:rsidR="004B2E7C" w:rsidRDefault="004B2E7C" w:rsidP="00434A6A">
      <w:pPr>
        <w:rPr>
          <w:rtl/>
        </w:rPr>
      </w:pPr>
    </w:p>
    <w:p w14:paraId="237DC7C2" w14:textId="77777777" w:rsidR="004B2E7C" w:rsidRDefault="004B2E7C" w:rsidP="00434A6A">
      <w:pPr>
        <w:pStyle w:val="2"/>
        <w:rPr>
          <w:rtl/>
        </w:rPr>
      </w:pPr>
      <w:r>
        <w:rPr>
          <w:rtl/>
        </w:rPr>
        <w:t>סעיף ד</w:t>
      </w:r>
      <w:r>
        <w:rPr>
          <w:rFonts w:hint="cs"/>
          <w:rtl/>
        </w:rPr>
        <w:t>: עד מתי יתענה בערב שבת</w:t>
      </w:r>
      <w:r w:rsidRPr="00372929">
        <w:rPr>
          <w:rFonts w:hint="cs"/>
          <w:sz w:val="20"/>
          <w:szCs w:val="20"/>
          <w:rtl/>
        </w:rPr>
        <w:t xml:space="preserve"> (מי שקיבל עליו תענית)</w:t>
      </w:r>
      <w:r>
        <w:rPr>
          <w:rFonts w:hint="cs"/>
          <w:rtl/>
        </w:rPr>
        <w:t>.</w:t>
      </w:r>
    </w:p>
    <w:p w14:paraId="2B6511B4" w14:textId="77777777" w:rsidR="004B2E7C" w:rsidRDefault="004B2E7C" w:rsidP="00434A6A">
      <w:pPr>
        <w:rPr>
          <w:rFonts w:cs="Arial"/>
          <w:rtl/>
        </w:rPr>
      </w:pPr>
      <w:r w:rsidRPr="007D1FF9">
        <w:rPr>
          <w:rFonts w:cs="Arial" w:hint="cs"/>
          <w:b/>
          <w:bCs/>
          <w:rtl/>
        </w:rPr>
        <w:t>ע</w:t>
      </w:r>
      <w:r>
        <w:rPr>
          <w:rFonts w:cs="Arial" w:hint="cs"/>
          <w:b/>
          <w:bCs/>
          <w:rtl/>
        </w:rPr>
        <w:t>י</w:t>
      </w:r>
      <w:r w:rsidRPr="007D1FF9">
        <w:rPr>
          <w:rFonts w:cs="Arial" w:hint="cs"/>
          <w:b/>
          <w:bCs/>
          <w:rtl/>
        </w:rPr>
        <w:t>רובין</w:t>
      </w:r>
      <w:r>
        <w:rPr>
          <w:rFonts w:cs="Arial" w:hint="cs"/>
          <w:b/>
          <w:bCs/>
          <w:sz w:val="16"/>
          <w:szCs w:val="16"/>
          <w:rtl/>
        </w:rPr>
        <w:t xml:space="preserve"> (פ' בכל מערבין)</w:t>
      </w:r>
      <w:r w:rsidRPr="007D1FF9">
        <w:rPr>
          <w:rFonts w:cs="Arial" w:hint="cs"/>
          <w:b/>
          <w:bCs/>
          <w:rtl/>
        </w:rPr>
        <w:t xml:space="preserve"> מ ע"ב: </w:t>
      </w:r>
      <w:r w:rsidRPr="007D1FF9">
        <w:rPr>
          <w:rFonts w:cs="Arial"/>
          <w:u w:val="single"/>
          <w:rtl/>
        </w:rPr>
        <w:t>ואמר רבה כי הוינן בי רב הונא איבעיא לן</w:t>
      </w:r>
      <w:r w:rsidRPr="007D1FF9">
        <w:rPr>
          <w:rFonts w:cs="Arial"/>
          <w:rtl/>
        </w:rPr>
        <w:t>: בר בי רב דיתיב בתעניתא במעלי שבתא, מהו לאשלומי?</w:t>
      </w:r>
      <w:r w:rsidRPr="00207D20">
        <w:rPr>
          <w:rtl/>
        </w:rPr>
        <w:t xml:space="preserve"> </w:t>
      </w:r>
      <w:r w:rsidRPr="00207D20">
        <w:rPr>
          <w:rFonts w:cs="Arial"/>
          <w:rtl/>
        </w:rPr>
        <w:t xml:space="preserve">לא הוה בידיה. אתאי לקמיה דרב יהודה ולא הוה בידיה. </w:t>
      </w:r>
      <w:r w:rsidRPr="00207D20">
        <w:rPr>
          <w:rFonts w:cs="Arial"/>
          <w:u w:val="single"/>
          <w:rtl/>
        </w:rPr>
        <w:t>אמר רבא</w:t>
      </w:r>
      <w:r w:rsidRPr="00207D20">
        <w:rPr>
          <w:rFonts w:cs="Arial"/>
          <w:rtl/>
        </w:rPr>
        <w:t>: נחזייה אנן: דתניא: תשעה באב שחל להיות בשבת,</w:t>
      </w:r>
      <w:r w:rsidRPr="00207D20">
        <w:rPr>
          <w:rtl/>
        </w:rPr>
        <w:t xml:space="preserve"> </w:t>
      </w:r>
      <w:r>
        <w:rPr>
          <w:rFonts w:hint="cs"/>
          <w:sz w:val="14"/>
          <w:szCs w:val="14"/>
          <w:rtl/>
        </w:rPr>
        <w:t xml:space="preserve">(מא.) </w:t>
      </w:r>
      <w:r w:rsidRPr="00207D20">
        <w:rPr>
          <w:rFonts w:cs="Arial"/>
          <w:rtl/>
        </w:rPr>
        <w:t xml:space="preserve">וכן ערב תשעה באב שחל להיות בשבת - אוכל ושותה כל צרכו, ומעלה על שולחנו אפילו כסעודת שלמה בשעתו. חל להיות תשעה באב בערב שבת מביאין לו כביצה ואוכל, כדי שלא יכנס לשבת כשהוא מעונה. תניא, </w:t>
      </w:r>
      <w:r w:rsidRPr="00207D20">
        <w:rPr>
          <w:rFonts w:cs="Arial"/>
          <w:u w:val="single"/>
          <w:rtl/>
        </w:rPr>
        <w:t>אמר רבי יהודה</w:t>
      </w:r>
      <w:r w:rsidRPr="00207D20">
        <w:rPr>
          <w:rFonts w:cs="Arial"/>
          <w:rtl/>
        </w:rPr>
        <w:t xml:space="preserve">: פעם אחת היינו יושבין לפני רבי עקיבא, ותשעה באב שחל להיות בערב שבת היה, והביאו לו ביצה מגולגלת וגמעה בלא מלח. ולא שהיה תאב לה, אלא להראות לתלמידים הלכה. </w:t>
      </w:r>
      <w:r w:rsidRPr="00207D20">
        <w:rPr>
          <w:rFonts w:cs="Arial"/>
          <w:u w:val="single"/>
          <w:rtl/>
        </w:rPr>
        <w:t>ורבי יוסי אומר</w:t>
      </w:r>
      <w:r w:rsidRPr="00207D20">
        <w:rPr>
          <w:rFonts w:cs="Arial"/>
          <w:rtl/>
        </w:rPr>
        <w:t>: מתענה ומשלים. אמר להן רבי יוסי: אי אתם מודים לי בתשעה באב שחל להיות באחד בשבת, שמפסיק מבעוד יום? אמרו לו: אבל</w:t>
      </w:r>
      <w:r>
        <w:rPr>
          <w:rStyle w:val="a9"/>
          <w:rFonts w:cs="Arial"/>
          <w:rtl/>
        </w:rPr>
        <w:footnoteReference w:id="255"/>
      </w:r>
      <w:r w:rsidRPr="00207D20">
        <w:rPr>
          <w:rFonts w:cs="Arial"/>
          <w:rtl/>
        </w:rPr>
        <w:t xml:space="preserve">. אמר להם: מה לי ליכנס בה כשהוא מעונה, מה לי לצאת ממנה כשהוא מעונה? אמרו לו: אם אמרת לצאת ממנה - שהרי אכל ושתה כל היום כולו, תאמר ליכנס בה כשהוא מעונה - שלא אכל ושתה כל היום כולו. </w:t>
      </w:r>
      <w:r w:rsidRPr="00207D20">
        <w:rPr>
          <w:rFonts w:cs="Arial"/>
          <w:u w:val="single"/>
          <w:rtl/>
        </w:rPr>
        <w:t>ואמר עולא</w:t>
      </w:r>
      <w:r w:rsidRPr="00207D20">
        <w:rPr>
          <w:rFonts w:cs="Arial"/>
          <w:rtl/>
        </w:rPr>
        <w:t>: הלכה כרבי יוסי. ומי עבדינן כרבי יוסי? ורמינהי: אין גוזרין תענית על הציבור בראשי חדשים בחנוכה ובפורים, ואם התחילו</w:t>
      </w:r>
      <w:r>
        <w:rPr>
          <w:rStyle w:val="a9"/>
          <w:rFonts w:cs="Arial"/>
          <w:rtl/>
        </w:rPr>
        <w:footnoteReference w:id="256"/>
      </w:r>
      <w:r w:rsidRPr="00207D20">
        <w:rPr>
          <w:rFonts w:cs="Arial"/>
          <w:rtl/>
        </w:rPr>
        <w:t xml:space="preserve"> - אין מפסיקין, </w:t>
      </w:r>
      <w:r w:rsidRPr="000E4158">
        <w:rPr>
          <w:rFonts w:cs="Arial"/>
          <w:u w:val="single"/>
          <w:rtl/>
        </w:rPr>
        <w:t>דברי רבן גמליאל</w:t>
      </w:r>
      <w:r w:rsidRPr="00207D20">
        <w:rPr>
          <w:rFonts w:cs="Arial"/>
          <w:rtl/>
        </w:rPr>
        <w:t xml:space="preserve">. </w:t>
      </w:r>
      <w:r w:rsidRPr="000E4158">
        <w:rPr>
          <w:rFonts w:cs="Arial"/>
          <w:u w:val="single"/>
          <w:rtl/>
        </w:rPr>
        <w:t>אמר רבי מאיר</w:t>
      </w:r>
      <w:r w:rsidRPr="00207D20">
        <w:rPr>
          <w:rFonts w:cs="Arial"/>
          <w:rtl/>
        </w:rPr>
        <w:t>: אף על פי שאמר רבן גמליאל, אין מפסיקין - מודה היה שאין משלימין</w:t>
      </w:r>
      <w:r>
        <w:rPr>
          <w:rStyle w:val="a9"/>
          <w:rFonts w:cs="Arial"/>
          <w:rtl/>
        </w:rPr>
        <w:footnoteReference w:id="257"/>
      </w:r>
      <w:r w:rsidRPr="00207D20">
        <w:rPr>
          <w:rFonts w:cs="Arial"/>
          <w:rtl/>
        </w:rPr>
        <w:t>, וכן בתשעה באב שחל להיות בערב שבת</w:t>
      </w:r>
      <w:r>
        <w:rPr>
          <w:rStyle w:val="a9"/>
          <w:rFonts w:cs="Arial"/>
          <w:rtl/>
        </w:rPr>
        <w:footnoteReference w:id="258"/>
      </w:r>
      <w:r w:rsidRPr="00207D20">
        <w:rPr>
          <w:rFonts w:cs="Arial"/>
          <w:rtl/>
        </w:rPr>
        <w:t>. ותניא: לאחר פטירתו של ר' גמליאל נכנס רבי יהושע להפר את דבריו</w:t>
      </w:r>
      <w:r>
        <w:rPr>
          <w:rStyle w:val="a9"/>
          <w:rFonts w:cs="Arial"/>
          <w:rtl/>
        </w:rPr>
        <w:footnoteReference w:id="259"/>
      </w:r>
      <w:r w:rsidRPr="00207D20">
        <w:rPr>
          <w:rFonts w:cs="Arial"/>
          <w:rtl/>
        </w:rPr>
        <w:t xml:space="preserve">. </w:t>
      </w:r>
      <w:r w:rsidRPr="000E4158">
        <w:rPr>
          <w:rFonts w:cs="Arial"/>
          <w:u w:val="single"/>
          <w:rtl/>
        </w:rPr>
        <w:t>עמד רבי יוחנן בן נורי על רגליו ואמר</w:t>
      </w:r>
      <w:r w:rsidRPr="00207D20">
        <w:rPr>
          <w:rFonts w:cs="Arial"/>
          <w:rtl/>
        </w:rPr>
        <w:t>: חזי אנא דבתר רישא גופא אזיל, כל ימיו של רבן גמליאל קבענו הלכה כמותו, עכשיו אתה מבקש לבטל דבריו? יהושע, אין שומעין לך, שכבר נקבעה הלכה כרבן גמליאל. ולא היה אדם שערער בדבר כלום</w:t>
      </w:r>
      <w:r>
        <w:rPr>
          <w:rStyle w:val="a9"/>
          <w:rFonts w:cs="Arial"/>
          <w:rtl/>
        </w:rPr>
        <w:footnoteReference w:id="260"/>
      </w:r>
      <w:r w:rsidRPr="00207D20">
        <w:rPr>
          <w:rFonts w:cs="Arial"/>
          <w:rtl/>
        </w:rPr>
        <w:t>. בדורו של רבן גמליאל עבוד כרבן גמליאל, בדורו של רבי יוסי</w:t>
      </w:r>
      <w:r>
        <w:rPr>
          <w:rStyle w:val="a9"/>
          <w:rFonts w:cs="Arial"/>
          <w:rtl/>
        </w:rPr>
        <w:footnoteReference w:id="261"/>
      </w:r>
      <w:r w:rsidRPr="00207D20">
        <w:rPr>
          <w:rFonts w:cs="Arial"/>
          <w:rtl/>
        </w:rPr>
        <w:t xml:space="preserve"> - עבוד כרבי יוסי. ובדורו של רבן גמליאל עבוד כרבן גמליאל? והתניא, אמר רבי אלעזר ברבי</w:t>
      </w:r>
      <w:r>
        <w:rPr>
          <w:rFonts w:cs="Arial" w:hint="cs"/>
          <w:rtl/>
        </w:rPr>
        <w:t xml:space="preserve"> </w:t>
      </w:r>
      <w:r w:rsidRPr="00207D20">
        <w:rPr>
          <w:rFonts w:cs="Arial"/>
          <w:rtl/>
        </w:rPr>
        <w:t>צדוק: אני מבני סנאב בן בנימין</w:t>
      </w:r>
      <w:r>
        <w:rPr>
          <w:rStyle w:val="a9"/>
          <w:rFonts w:cs="Arial"/>
          <w:rtl/>
        </w:rPr>
        <w:footnoteReference w:id="262"/>
      </w:r>
      <w:r w:rsidRPr="00207D20">
        <w:rPr>
          <w:rFonts w:cs="Arial"/>
          <w:rtl/>
        </w:rPr>
        <w:t>. פעם אחת חל תשעה באב להיות בשבת, ודחינוהו לאחר השבת</w:t>
      </w:r>
      <w:r>
        <w:rPr>
          <w:rStyle w:val="a9"/>
          <w:rFonts w:cs="Arial"/>
          <w:rtl/>
        </w:rPr>
        <w:footnoteReference w:id="263"/>
      </w:r>
      <w:r w:rsidRPr="00207D20">
        <w:rPr>
          <w:rFonts w:cs="Arial"/>
          <w:rtl/>
        </w:rPr>
        <w:t xml:space="preserve"> והתענינו בו ולא השלמנוהו, מפני שיום טוב שלנו היה. טעמא דיום טוב, הא ערב יום טוב - משלימין! </w:t>
      </w:r>
      <w:r w:rsidRPr="000E4158">
        <w:rPr>
          <w:rFonts w:cs="Arial"/>
          <w:u w:val="single"/>
          <w:rtl/>
        </w:rPr>
        <w:t>אמר רבינא</w:t>
      </w:r>
      <w:r w:rsidRPr="00207D20">
        <w:rPr>
          <w:rFonts w:cs="Arial"/>
          <w:rtl/>
        </w:rPr>
        <w:t>: שאני יום טוב של דבריהם</w:t>
      </w:r>
      <w:r>
        <w:rPr>
          <w:rStyle w:val="a9"/>
          <w:rFonts w:cs="Arial"/>
          <w:rtl/>
        </w:rPr>
        <w:footnoteReference w:id="264"/>
      </w:r>
      <w:r w:rsidRPr="00207D20">
        <w:rPr>
          <w:rFonts w:cs="Arial"/>
          <w:rtl/>
        </w:rPr>
        <w:t>, מתוך שמתענין בו שעות - משלימין בו ערביות. שבת, הואיל ואין מתענין בה שעות - אין משלימין בה ערביות.</w:t>
      </w:r>
      <w:r>
        <w:rPr>
          <w:rFonts w:cs="Arial" w:hint="cs"/>
          <w:rtl/>
        </w:rPr>
        <w:t xml:space="preserve"> </w:t>
      </w:r>
      <w:r w:rsidRPr="00C965C6">
        <w:rPr>
          <w:rFonts w:cs="Arial"/>
          <w:u w:val="single"/>
          <w:rtl/>
        </w:rPr>
        <w:t>אמר רב יוסף</w:t>
      </w:r>
      <w:r w:rsidRPr="00C965C6">
        <w:rPr>
          <w:rFonts w:cs="Arial"/>
          <w:rtl/>
        </w:rPr>
        <w:t>: לא שמיע לי הא שמעתא</w:t>
      </w:r>
      <w:r>
        <w:rPr>
          <w:rStyle w:val="a9"/>
          <w:rFonts w:cs="Arial"/>
          <w:rtl/>
        </w:rPr>
        <w:footnoteReference w:id="265"/>
      </w:r>
      <w:r w:rsidRPr="00C965C6">
        <w:rPr>
          <w:rFonts w:cs="Arial"/>
          <w:rtl/>
        </w:rPr>
        <w:t>. אמר ליה אביי: את אמרת ניהלן</w:t>
      </w:r>
      <w:r>
        <w:rPr>
          <w:rStyle w:val="a9"/>
          <w:rFonts w:cs="Arial"/>
          <w:rtl/>
        </w:rPr>
        <w:footnoteReference w:id="266"/>
      </w:r>
      <w:r w:rsidRPr="00C965C6">
        <w:rPr>
          <w:rFonts w:cs="Arial"/>
          <w:rtl/>
        </w:rPr>
        <w:t>, ואהא אמרת ניהלן: אין גוזרין תענית על הצבור בראשי חדשים וכו'. ואמרינן עלה</w:t>
      </w:r>
      <w:r>
        <w:rPr>
          <w:rFonts w:cs="Arial" w:hint="cs"/>
          <w:rtl/>
        </w:rPr>
        <w:t>,</w:t>
      </w:r>
      <w:r w:rsidRPr="00C965C6">
        <w:rPr>
          <w:rFonts w:cs="Arial"/>
          <w:rtl/>
        </w:rPr>
        <w:t xml:space="preserve"> </w:t>
      </w:r>
      <w:r w:rsidRPr="00372929">
        <w:rPr>
          <w:rFonts w:cs="Arial"/>
          <w:u w:val="single"/>
          <w:rtl/>
        </w:rPr>
        <w:t>אמר רב יהודה אמר רב</w:t>
      </w:r>
      <w:r w:rsidRPr="00C965C6">
        <w:rPr>
          <w:rFonts w:cs="Arial"/>
          <w:rtl/>
        </w:rPr>
        <w:t>: זו דברי רבי מאיר</w:t>
      </w:r>
      <w:r>
        <w:rPr>
          <w:rStyle w:val="a9"/>
          <w:rFonts w:cs="Arial"/>
          <w:rtl/>
        </w:rPr>
        <w:footnoteReference w:id="267"/>
      </w:r>
      <w:r w:rsidRPr="00C965C6">
        <w:rPr>
          <w:rFonts w:cs="Arial"/>
          <w:rtl/>
        </w:rPr>
        <w:t xml:space="preserve"> שאמר משום רבן גמליאל, אבל חכמים אומרים: מתענה ומשלים. מאי לאו</w:t>
      </w:r>
      <w:r>
        <w:rPr>
          <w:rStyle w:val="a9"/>
          <w:rFonts w:cs="Arial"/>
          <w:rtl/>
        </w:rPr>
        <w:footnoteReference w:id="268"/>
      </w:r>
      <w:r w:rsidRPr="00C965C6">
        <w:rPr>
          <w:rFonts w:cs="Arial"/>
          <w:rtl/>
        </w:rPr>
        <w:t xml:space="preserve"> אכולהו? לא, אחנוכה ופורים. הכי נמי מסתברא, </w:t>
      </w:r>
      <w:r>
        <w:rPr>
          <w:rFonts w:cs="Arial" w:hint="cs"/>
          <w:sz w:val="14"/>
          <w:szCs w:val="14"/>
          <w:rtl/>
        </w:rPr>
        <w:t xml:space="preserve">(מא:) </w:t>
      </w:r>
      <w:r w:rsidRPr="00C965C6">
        <w:rPr>
          <w:rFonts w:cs="Arial"/>
          <w:rtl/>
        </w:rPr>
        <w:t>דאי סלקא דעתך אכולהו</w:t>
      </w:r>
      <w:r>
        <w:rPr>
          <w:rStyle w:val="a9"/>
          <w:rFonts w:cs="Arial"/>
          <w:rtl/>
        </w:rPr>
        <w:footnoteReference w:id="269"/>
      </w:r>
      <w:r w:rsidRPr="00C965C6">
        <w:rPr>
          <w:rFonts w:cs="Arial"/>
          <w:rtl/>
        </w:rPr>
        <w:t xml:space="preserve"> - הא בעי מיניה רבה מרב יהודה</w:t>
      </w:r>
      <w:r>
        <w:rPr>
          <w:rStyle w:val="a9"/>
          <w:rFonts w:cs="Arial"/>
          <w:rtl/>
        </w:rPr>
        <w:footnoteReference w:id="270"/>
      </w:r>
      <w:r w:rsidRPr="00C965C6">
        <w:rPr>
          <w:rFonts w:cs="Arial"/>
          <w:rtl/>
        </w:rPr>
        <w:t xml:space="preserve"> ולא פשט ליה! ולטעמיך, הא דדרש מר זוטרא משמיה דרב הונא: הלכה, מתענה ומשלים</w:t>
      </w:r>
      <w:r>
        <w:rPr>
          <w:rStyle w:val="a9"/>
          <w:rFonts w:cs="Arial"/>
          <w:rtl/>
        </w:rPr>
        <w:footnoteReference w:id="271"/>
      </w:r>
      <w:r w:rsidRPr="00C965C6">
        <w:rPr>
          <w:rFonts w:cs="Arial"/>
          <w:rtl/>
        </w:rPr>
        <w:t>. הא בעא מיניה רבה מרב הונא</w:t>
      </w:r>
      <w:r>
        <w:rPr>
          <w:rStyle w:val="a9"/>
          <w:rFonts w:cs="Arial"/>
          <w:rtl/>
        </w:rPr>
        <w:footnoteReference w:id="272"/>
      </w:r>
      <w:r w:rsidRPr="00C965C6">
        <w:rPr>
          <w:rFonts w:cs="Arial"/>
          <w:rtl/>
        </w:rPr>
        <w:t xml:space="preserve"> ולא פשט ליה! אלא: הא - מקמי דשמעה, והא - לבתר דשמעה</w:t>
      </w:r>
      <w:r>
        <w:rPr>
          <w:rStyle w:val="a9"/>
          <w:rFonts w:cs="Arial"/>
          <w:rtl/>
        </w:rPr>
        <w:footnoteReference w:id="273"/>
      </w:r>
      <w:r w:rsidRPr="00C965C6">
        <w:rPr>
          <w:rFonts w:cs="Arial"/>
          <w:rtl/>
        </w:rPr>
        <w:t>. הכא נמי</w:t>
      </w:r>
      <w:r>
        <w:rPr>
          <w:rStyle w:val="a9"/>
          <w:rFonts w:cs="Arial"/>
          <w:rtl/>
        </w:rPr>
        <w:footnoteReference w:id="274"/>
      </w:r>
      <w:r w:rsidRPr="00C965C6">
        <w:rPr>
          <w:rFonts w:cs="Arial"/>
          <w:rtl/>
        </w:rPr>
        <w:t>, הא - מקמי דשמעה</w:t>
      </w:r>
      <w:r>
        <w:rPr>
          <w:rStyle w:val="a9"/>
          <w:rFonts w:cs="Arial"/>
          <w:rtl/>
        </w:rPr>
        <w:footnoteReference w:id="275"/>
      </w:r>
      <w:r w:rsidRPr="00C965C6">
        <w:rPr>
          <w:rFonts w:cs="Arial"/>
          <w:rtl/>
        </w:rPr>
        <w:t>, הא - לבתר דשמעה</w:t>
      </w:r>
      <w:r>
        <w:rPr>
          <w:rStyle w:val="a9"/>
          <w:rFonts w:cs="Arial"/>
          <w:rtl/>
        </w:rPr>
        <w:footnoteReference w:id="276"/>
      </w:r>
      <w:r w:rsidRPr="00C965C6">
        <w:rPr>
          <w:rFonts w:cs="Arial"/>
          <w:rtl/>
        </w:rPr>
        <w:t>. דרש מר זוטרא משמיה דרב הונא: הלכה, מתענין ומשלימין.</w:t>
      </w:r>
    </w:p>
    <w:p w14:paraId="5F64F105" w14:textId="77777777" w:rsidR="004B2E7C" w:rsidRDefault="004B2E7C" w:rsidP="00434A6A">
      <w:pPr>
        <w:rPr>
          <w:rFonts w:cs="Arial"/>
          <w:u w:val="single"/>
          <w:rtl/>
        </w:rPr>
      </w:pPr>
      <w:r w:rsidRPr="00B476FE">
        <w:rPr>
          <w:rFonts w:cs="Arial" w:hint="cs"/>
          <w:u w:val="single"/>
          <w:rtl/>
        </w:rPr>
        <w:t>הא דדרש מר זוטרא משמיה דרב הונא 'הלכה מתענין ומשלימין</w:t>
      </w:r>
      <w:r>
        <w:rPr>
          <w:rFonts w:cs="Arial" w:hint="cs"/>
          <w:u w:val="single"/>
          <w:rtl/>
        </w:rPr>
        <w:t>'</w:t>
      </w:r>
      <w:r w:rsidRPr="00B476FE">
        <w:rPr>
          <w:rFonts w:cs="Arial" w:hint="cs"/>
          <w:u w:val="single"/>
          <w:rtl/>
        </w:rPr>
        <w:t xml:space="preserve"> </w:t>
      </w:r>
      <w:r w:rsidRPr="00B476FE">
        <w:rPr>
          <w:rFonts w:cs="Arial"/>
          <w:u w:val="single"/>
          <w:rtl/>
        </w:rPr>
        <w:t>–</w:t>
      </w:r>
      <w:r w:rsidRPr="00B476FE">
        <w:rPr>
          <w:rFonts w:cs="Arial" w:hint="cs"/>
          <w:u w:val="single"/>
          <w:rtl/>
        </w:rPr>
        <w:t xml:space="preserve"> האם </w:t>
      </w:r>
      <w:r>
        <w:rPr>
          <w:rFonts w:cs="Arial" w:hint="cs"/>
          <w:u w:val="single"/>
          <w:rtl/>
        </w:rPr>
        <w:t>אמר ד</w:t>
      </w:r>
      <w:r w:rsidRPr="00B476FE">
        <w:rPr>
          <w:rFonts w:cs="Arial" w:hint="cs"/>
          <w:u w:val="single"/>
          <w:rtl/>
        </w:rPr>
        <w:t>הוי חובה או מותר:</w:t>
      </w:r>
    </w:p>
    <w:p w14:paraId="3E7F235C" w14:textId="77777777" w:rsidR="004B2E7C" w:rsidRDefault="004B2E7C" w:rsidP="00FF2D21">
      <w:pPr>
        <w:pStyle w:val="aa"/>
        <w:numPr>
          <w:ilvl w:val="0"/>
          <w:numId w:val="109"/>
        </w:numPr>
        <w:rPr>
          <w:rFonts w:cs="Arial"/>
        </w:rPr>
      </w:pPr>
      <w:r>
        <w:rPr>
          <w:rFonts w:cs="Arial"/>
          <w:rtl/>
        </w:rPr>
        <w:t xml:space="preserve">ראבי"ה </w:t>
      </w:r>
      <w:r w:rsidRPr="00391A2E">
        <w:rPr>
          <w:rFonts w:cs="Arial"/>
          <w:sz w:val="16"/>
          <w:szCs w:val="16"/>
          <w:rtl/>
        </w:rPr>
        <w:t>(סי' תתנח)</w:t>
      </w:r>
      <w:r>
        <w:rPr>
          <w:rFonts w:cs="Arial" w:hint="cs"/>
          <w:rtl/>
        </w:rPr>
        <w:t xml:space="preserve"> ו</w:t>
      </w:r>
      <w:r w:rsidRPr="00F50410">
        <w:rPr>
          <w:rFonts w:cs="Arial"/>
          <w:rtl/>
        </w:rPr>
        <w:t>רוקח</w:t>
      </w:r>
      <w:r>
        <w:rPr>
          <w:rStyle w:val="a9"/>
          <w:rFonts w:cs="Arial"/>
          <w:rtl/>
        </w:rPr>
        <w:footnoteReference w:id="277"/>
      </w:r>
      <w:r w:rsidRPr="00F50410">
        <w:rPr>
          <w:rFonts w:cs="Arial"/>
          <w:rtl/>
        </w:rPr>
        <w:t xml:space="preserve"> </w:t>
      </w:r>
      <w:r w:rsidRPr="00F50410">
        <w:rPr>
          <w:rFonts w:cs="Arial"/>
          <w:sz w:val="16"/>
          <w:szCs w:val="16"/>
          <w:rtl/>
        </w:rPr>
        <w:t>(סי' לו)</w:t>
      </w:r>
      <w:r w:rsidRPr="00F50410">
        <w:rPr>
          <w:rFonts w:cs="Arial" w:hint="cs"/>
          <w:rtl/>
        </w:rPr>
        <w:t>-</w:t>
      </w:r>
      <w:r w:rsidRPr="00F50410">
        <w:rPr>
          <w:rFonts w:cs="Arial"/>
          <w:rtl/>
        </w:rPr>
        <w:t xml:space="preserve"> צריך להשלים</w:t>
      </w:r>
      <w:r w:rsidRPr="00F50410">
        <w:rPr>
          <w:rFonts w:cs="Arial" w:hint="cs"/>
          <w:rtl/>
        </w:rPr>
        <w:t xml:space="preserve"> עד הלילה</w:t>
      </w:r>
      <w:r w:rsidRPr="00F50410">
        <w:rPr>
          <w:rFonts w:cs="Arial"/>
          <w:rtl/>
        </w:rPr>
        <w:t>.</w:t>
      </w:r>
    </w:p>
    <w:p w14:paraId="2E7C5265" w14:textId="77777777" w:rsidR="004B2E7C" w:rsidRDefault="004B2E7C" w:rsidP="00FF2D21">
      <w:pPr>
        <w:pStyle w:val="aa"/>
        <w:numPr>
          <w:ilvl w:val="0"/>
          <w:numId w:val="109"/>
        </w:numPr>
      </w:pPr>
      <w:r w:rsidRPr="00F50410">
        <w:rPr>
          <w:rFonts w:cs="Arial"/>
          <w:rtl/>
        </w:rPr>
        <w:t xml:space="preserve">ראב"ד </w:t>
      </w:r>
      <w:r>
        <w:rPr>
          <w:rFonts w:cs="Arial" w:hint="cs"/>
          <w:sz w:val="16"/>
          <w:szCs w:val="16"/>
          <w:rtl/>
        </w:rPr>
        <w:t>(כ"כ בשמו הה"מ [פ"ה מתענית ה"ה])</w:t>
      </w:r>
      <w:r>
        <w:rPr>
          <w:rFonts w:cs="Arial" w:hint="cs"/>
          <w:rtl/>
        </w:rPr>
        <w:t xml:space="preserve">- </w:t>
      </w:r>
      <w:r w:rsidRPr="00F50410">
        <w:rPr>
          <w:rFonts w:cs="Arial"/>
          <w:rtl/>
        </w:rPr>
        <w:t>לא אמרו משלים אלא שאינו אוכל קודם שקיעת החמה אבל ודאי משתשקע החמה מתוספת שבת הוא וכבר קדש היום אם רצה לאכול אוכל שכיון שנכנס לתחום שבת שוב אינו רשאי להתענו</w:t>
      </w:r>
      <w:r>
        <w:rPr>
          <w:rFonts w:cs="Arial" w:hint="cs"/>
          <w:sz w:val="16"/>
          <w:szCs w:val="16"/>
          <w:rtl/>
        </w:rPr>
        <w:t xml:space="preserve"> (ל' הה"מ בשמו)</w:t>
      </w:r>
      <w:r>
        <w:rPr>
          <w:rStyle w:val="a9"/>
          <w:rFonts w:cs="Arial"/>
          <w:rtl/>
        </w:rPr>
        <w:footnoteReference w:id="278"/>
      </w:r>
      <w:r>
        <w:rPr>
          <w:rFonts w:cs="Arial" w:hint="cs"/>
          <w:rtl/>
        </w:rPr>
        <w:t>.</w:t>
      </w:r>
    </w:p>
    <w:p w14:paraId="7271BB97" w14:textId="77777777" w:rsidR="004B2E7C" w:rsidRDefault="004B2E7C" w:rsidP="00FF2D21">
      <w:pPr>
        <w:pStyle w:val="aa"/>
        <w:numPr>
          <w:ilvl w:val="0"/>
          <w:numId w:val="109"/>
        </w:numPr>
        <w:rPr>
          <w:rFonts w:cs="Arial"/>
        </w:rPr>
      </w:pPr>
      <w:r w:rsidRPr="00391A2E">
        <w:rPr>
          <w:rFonts w:cs="Arial" w:hint="cs"/>
          <w:rtl/>
        </w:rPr>
        <w:t>תוס'</w:t>
      </w:r>
      <w:r w:rsidRPr="00391A2E">
        <w:rPr>
          <w:rFonts w:cs="Arial" w:hint="cs"/>
          <w:sz w:val="16"/>
          <w:szCs w:val="16"/>
          <w:rtl/>
        </w:rPr>
        <w:t xml:space="preserve"> (עירובין מא: ד"ה והלכתא)</w:t>
      </w:r>
      <w:r w:rsidRPr="00391A2E">
        <w:rPr>
          <w:rFonts w:cs="Arial"/>
          <w:rtl/>
        </w:rPr>
        <w:t xml:space="preserve"> </w:t>
      </w:r>
      <w:r>
        <w:rPr>
          <w:rFonts w:cs="Arial"/>
          <w:rtl/>
        </w:rPr>
        <w:t xml:space="preserve">מרדכי </w:t>
      </w:r>
      <w:r w:rsidRPr="00391A2E">
        <w:rPr>
          <w:rFonts w:cs="Arial"/>
          <w:sz w:val="16"/>
          <w:szCs w:val="16"/>
          <w:rtl/>
        </w:rPr>
        <w:t xml:space="preserve">(סי' תצד) </w:t>
      </w:r>
      <w:r>
        <w:rPr>
          <w:rFonts w:cs="Arial"/>
          <w:rtl/>
        </w:rPr>
        <w:t xml:space="preserve">רא"ש </w:t>
      </w:r>
      <w:r w:rsidRPr="00391A2E">
        <w:rPr>
          <w:rFonts w:cs="Arial" w:hint="cs"/>
          <w:sz w:val="16"/>
          <w:szCs w:val="16"/>
          <w:rtl/>
        </w:rPr>
        <w:t xml:space="preserve">(ספ"ב דתענית </w:t>
      </w:r>
      <w:r w:rsidRPr="00391A2E">
        <w:rPr>
          <w:rFonts w:cs="Arial"/>
          <w:sz w:val="16"/>
          <w:szCs w:val="16"/>
          <w:rtl/>
        </w:rPr>
        <w:t xml:space="preserve">סי' כה) </w:t>
      </w:r>
      <w:r>
        <w:rPr>
          <w:rFonts w:cs="Arial"/>
          <w:rtl/>
        </w:rPr>
        <w:t>הגה</w:t>
      </w:r>
      <w:r>
        <w:rPr>
          <w:rFonts w:cs="Arial" w:hint="cs"/>
          <w:rtl/>
        </w:rPr>
        <w:t xml:space="preserve">"מ </w:t>
      </w:r>
      <w:r w:rsidRPr="00391A2E">
        <w:rPr>
          <w:rFonts w:cs="Arial" w:hint="cs"/>
          <w:sz w:val="16"/>
          <w:szCs w:val="16"/>
          <w:rtl/>
        </w:rPr>
        <w:t>(</w:t>
      </w:r>
      <w:r w:rsidRPr="00391A2E">
        <w:rPr>
          <w:rFonts w:cs="Arial"/>
          <w:sz w:val="16"/>
          <w:szCs w:val="16"/>
          <w:rtl/>
        </w:rPr>
        <w:t>פ"א מתענית</w:t>
      </w:r>
      <w:r w:rsidRPr="00391A2E">
        <w:rPr>
          <w:rFonts w:cs="Arial" w:hint="cs"/>
          <w:sz w:val="16"/>
          <w:szCs w:val="16"/>
          <w:rtl/>
        </w:rPr>
        <w:t xml:space="preserve"> </w:t>
      </w:r>
      <w:r w:rsidRPr="00391A2E">
        <w:rPr>
          <w:rFonts w:cs="Arial"/>
          <w:sz w:val="16"/>
          <w:szCs w:val="16"/>
          <w:rtl/>
        </w:rPr>
        <w:t xml:space="preserve">אות ג) </w:t>
      </w:r>
      <w:r>
        <w:rPr>
          <w:rFonts w:cs="Arial" w:hint="cs"/>
          <w:rtl/>
        </w:rPr>
        <w:t>וטור</w:t>
      </w:r>
      <w:r w:rsidRPr="00391A2E">
        <w:rPr>
          <w:rFonts w:cs="Arial" w:hint="cs"/>
          <w:rtl/>
        </w:rPr>
        <w:t xml:space="preserve">- </w:t>
      </w:r>
      <w:r w:rsidRPr="00391A2E">
        <w:rPr>
          <w:rFonts w:cs="Arial"/>
          <w:rtl/>
        </w:rPr>
        <w:t>פירוש אם ירצה להשלים</w:t>
      </w:r>
      <w:r w:rsidRPr="00391A2E">
        <w:rPr>
          <w:rFonts w:cs="Arial" w:hint="cs"/>
          <w:rtl/>
        </w:rPr>
        <w:t>,</w:t>
      </w:r>
      <w:r w:rsidRPr="00391A2E">
        <w:rPr>
          <w:rFonts w:cs="Arial"/>
          <w:rtl/>
        </w:rPr>
        <w:t xml:space="preserve"> דשרי להשלים</w:t>
      </w:r>
      <w:r w:rsidRPr="00391A2E">
        <w:rPr>
          <w:rFonts w:cs="Arial" w:hint="cs"/>
          <w:rtl/>
        </w:rPr>
        <w:t>,</w:t>
      </w:r>
      <w:r w:rsidRPr="00391A2E">
        <w:rPr>
          <w:rFonts w:cs="Arial"/>
          <w:rtl/>
        </w:rPr>
        <w:t xml:space="preserve"> דבעיא הוא אי שרי להשלים אי לא</w:t>
      </w:r>
      <w:r>
        <w:rPr>
          <w:rFonts w:cs="Arial" w:hint="cs"/>
          <w:sz w:val="16"/>
          <w:szCs w:val="16"/>
          <w:rtl/>
        </w:rPr>
        <w:t xml:space="preserve"> (ל' התוס')</w:t>
      </w:r>
      <w:r w:rsidRPr="00391A2E">
        <w:rPr>
          <w:rFonts w:cs="Arial"/>
          <w:rtl/>
        </w:rPr>
        <w:t xml:space="preserve">. </w:t>
      </w:r>
    </w:p>
    <w:p w14:paraId="103673F7" w14:textId="77777777" w:rsidR="004B2E7C" w:rsidRPr="00106649" w:rsidRDefault="004B2E7C" w:rsidP="00FF2D21">
      <w:pPr>
        <w:pStyle w:val="aa"/>
        <w:numPr>
          <w:ilvl w:val="0"/>
          <w:numId w:val="109"/>
        </w:numPr>
      </w:pPr>
      <w:r w:rsidRPr="00106649">
        <w:rPr>
          <w:rFonts w:cs="Arial"/>
          <w:rtl/>
        </w:rPr>
        <w:t>מרדכי</w:t>
      </w:r>
      <w:r w:rsidRPr="00106649">
        <w:rPr>
          <w:rFonts w:cs="Arial"/>
          <w:sz w:val="16"/>
          <w:szCs w:val="16"/>
          <w:rtl/>
        </w:rPr>
        <w:t xml:space="preserve"> </w:t>
      </w:r>
      <w:r>
        <w:rPr>
          <w:rFonts w:cs="Arial" w:hint="cs"/>
          <w:sz w:val="16"/>
          <w:szCs w:val="16"/>
          <w:rtl/>
        </w:rPr>
        <w:t>(</w:t>
      </w:r>
      <w:r w:rsidRPr="00106649">
        <w:rPr>
          <w:rFonts w:cs="Arial" w:hint="cs"/>
          <w:sz w:val="16"/>
          <w:szCs w:val="16"/>
          <w:rtl/>
        </w:rPr>
        <w:t>עירובין סי' תצד</w:t>
      </w:r>
      <w:r w:rsidRPr="00106649">
        <w:rPr>
          <w:rFonts w:cs="Arial"/>
          <w:sz w:val="16"/>
          <w:szCs w:val="16"/>
          <w:rtl/>
        </w:rPr>
        <w:t>)</w:t>
      </w:r>
      <w:r>
        <w:rPr>
          <w:rFonts w:cs="Arial" w:hint="cs"/>
          <w:rtl/>
        </w:rPr>
        <w:t>-</w:t>
      </w:r>
      <w:r w:rsidRPr="003746CA">
        <w:rPr>
          <w:rFonts w:cs="Arial"/>
          <w:rtl/>
        </w:rPr>
        <w:t xml:space="preserve"> פעם אחת אירע עשרה בטבת יום ששי וכשרצה ר"י לילך לב"ה טעם התבשיל כדי שלא יכנס לשבת כשהוא מעונה</w:t>
      </w:r>
      <w:r>
        <w:rPr>
          <w:rStyle w:val="a9"/>
          <w:rFonts w:cs="Arial"/>
          <w:rtl/>
        </w:rPr>
        <w:footnoteReference w:id="279"/>
      </w:r>
      <w:r>
        <w:rPr>
          <w:rFonts w:cs="Arial" w:hint="cs"/>
          <w:rtl/>
        </w:rPr>
        <w:t>.</w:t>
      </w:r>
      <w:r w:rsidRPr="003746CA">
        <w:rPr>
          <w:rFonts w:cs="Arial"/>
          <w:rtl/>
        </w:rPr>
        <w:t xml:space="preserve"> ותימא הא קאמר הכא מתענה ומשלים</w:t>
      </w:r>
      <w:r>
        <w:rPr>
          <w:rFonts w:cs="Arial" w:hint="cs"/>
          <w:rtl/>
        </w:rPr>
        <w:t>.</w:t>
      </w:r>
      <w:r w:rsidRPr="003746CA">
        <w:rPr>
          <w:rFonts w:cs="Arial"/>
          <w:rtl/>
        </w:rPr>
        <w:t xml:space="preserve"> ויש לומר דאיבעיא להו מהו להשלים ומסיק דמתענה ומשלים כלומר יכול הוא להשלים אם ירצה</w:t>
      </w:r>
      <w:r>
        <w:rPr>
          <w:rFonts w:cs="Arial" w:hint="cs"/>
          <w:rtl/>
        </w:rPr>
        <w:t>,</w:t>
      </w:r>
      <w:r w:rsidRPr="003746CA">
        <w:rPr>
          <w:rFonts w:cs="Arial"/>
          <w:rtl/>
        </w:rPr>
        <w:t xml:space="preserve"> </w:t>
      </w:r>
      <w:r w:rsidRPr="004D6A2F">
        <w:rPr>
          <w:rFonts w:cs="Arial"/>
          <w:b/>
          <w:bCs/>
          <w:rtl/>
        </w:rPr>
        <w:t>ומיהו טוב שלא להשלים</w:t>
      </w:r>
      <w:r>
        <w:rPr>
          <w:rStyle w:val="a9"/>
          <w:rFonts w:cs="Arial"/>
          <w:b/>
          <w:bCs/>
          <w:rtl/>
        </w:rPr>
        <w:footnoteReference w:id="280"/>
      </w:r>
      <w:r w:rsidRPr="003746CA">
        <w:rPr>
          <w:rFonts w:cs="Arial"/>
          <w:rtl/>
        </w:rPr>
        <w:t xml:space="preserve"> שלא יכנס לשבת כשהוא מעונה</w:t>
      </w:r>
      <w:r>
        <w:rPr>
          <w:rFonts w:cs="Arial" w:hint="cs"/>
          <w:rtl/>
        </w:rPr>
        <w:t>.</w:t>
      </w:r>
    </w:p>
    <w:p w14:paraId="140B719F" w14:textId="77777777" w:rsidR="004B2E7C" w:rsidRPr="005B3FB0" w:rsidRDefault="004B2E7C" w:rsidP="00434A6A">
      <w:pPr>
        <w:ind w:left="360"/>
        <w:rPr>
          <w:u w:val="dotted"/>
        </w:rPr>
      </w:pPr>
      <w:r w:rsidRPr="005B3FB0">
        <w:rPr>
          <w:rFonts w:hint="cs"/>
          <w:u w:val="dotted"/>
          <w:rtl/>
        </w:rPr>
        <w:t>מה נקרא 'השלמה' לעניין תענית ב</w:t>
      </w:r>
      <w:r>
        <w:rPr>
          <w:rFonts w:hint="cs"/>
          <w:u w:val="dotted"/>
          <w:rtl/>
        </w:rPr>
        <w:t>ע</w:t>
      </w:r>
      <w:r w:rsidRPr="005B3FB0">
        <w:rPr>
          <w:rFonts w:hint="cs"/>
          <w:u w:val="dotted"/>
          <w:rtl/>
        </w:rPr>
        <w:t>רב שבת:</w:t>
      </w:r>
    </w:p>
    <w:p w14:paraId="16129EA8" w14:textId="77777777" w:rsidR="004B2E7C" w:rsidRDefault="004B2E7C" w:rsidP="00FF2D21">
      <w:pPr>
        <w:pStyle w:val="aa"/>
        <w:numPr>
          <w:ilvl w:val="0"/>
          <w:numId w:val="109"/>
        </w:numPr>
        <w:rPr>
          <w:rFonts w:cs="Arial"/>
        </w:rPr>
      </w:pPr>
      <w:r w:rsidRPr="00F50410">
        <w:rPr>
          <w:rFonts w:cs="Arial"/>
          <w:rtl/>
        </w:rPr>
        <w:t xml:space="preserve">רוקח </w:t>
      </w:r>
      <w:r w:rsidRPr="00F50410">
        <w:rPr>
          <w:rFonts w:cs="Arial"/>
          <w:sz w:val="16"/>
          <w:szCs w:val="16"/>
          <w:rtl/>
        </w:rPr>
        <w:t>(סי' לו)</w:t>
      </w:r>
      <w:r w:rsidRPr="00F50410">
        <w:rPr>
          <w:rFonts w:cs="Arial" w:hint="cs"/>
          <w:rtl/>
        </w:rPr>
        <w:t>-</w:t>
      </w:r>
      <w:r w:rsidRPr="00F50410">
        <w:rPr>
          <w:rFonts w:cs="Arial"/>
          <w:rtl/>
        </w:rPr>
        <w:t xml:space="preserve"> </w:t>
      </w:r>
      <w:r w:rsidRPr="00F50410">
        <w:rPr>
          <w:rFonts w:cs="Arial" w:hint="cs"/>
          <w:rtl/>
        </w:rPr>
        <w:t>עד הלילה</w:t>
      </w:r>
      <w:r w:rsidRPr="00F50410">
        <w:rPr>
          <w:rFonts w:cs="Arial"/>
          <w:rtl/>
        </w:rPr>
        <w:t>.</w:t>
      </w:r>
    </w:p>
    <w:p w14:paraId="635D47DB" w14:textId="77777777" w:rsidR="004B2E7C" w:rsidRDefault="004B2E7C" w:rsidP="00FF2D21">
      <w:pPr>
        <w:pStyle w:val="aa"/>
        <w:numPr>
          <w:ilvl w:val="0"/>
          <w:numId w:val="109"/>
        </w:numPr>
      </w:pPr>
      <w:r>
        <w:rPr>
          <w:rFonts w:cs="Arial" w:hint="cs"/>
          <w:rtl/>
        </w:rPr>
        <w:t xml:space="preserve">מהר"ם </w:t>
      </w:r>
      <w:r w:rsidRPr="003746CA">
        <w:rPr>
          <w:rFonts w:cs="Arial" w:hint="cs"/>
          <w:sz w:val="16"/>
          <w:szCs w:val="16"/>
          <w:rtl/>
        </w:rPr>
        <w:t>(</w:t>
      </w:r>
      <w:r>
        <w:rPr>
          <w:rFonts w:cs="Arial" w:hint="cs"/>
          <w:sz w:val="16"/>
          <w:szCs w:val="16"/>
          <w:rtl/>
        </w:rPr>
        <w:t>ב</w:t>
      </w:r>
      <w:r w:rsidRPr="003746CA">
        <w:rPr>
          <w:rFonts w:cs="Arial"/>
          <w:sz w:val="16"/>
          <w:szCs w:val="16"/>
          <w:rtl/>
        </w:rPr>
        <w:t>שו"ת</w:t>
      </w:r>
      <w:r>
        <w:rPr>
          <w:rFonts w:cs="Arial" w:hint="cs"/>
          <w:sz w:val="16"/>
          <w:szCs w:val="16"/>
          <w:rtl/>
        </w:rPr>
        <w:t>,</w:t>
      </w:r>
      <w:r w:rsidRPr="003746CA">
        <w:rPr>
          <w:rFonts w:cs="Arial"/>
          <w:sz w:val="16"/>
          <w:szCs w:val="16"/>
          <w:rtl/>
        </w:rPr>
        <w:t xml:space="preserve"> ספר סיני וליקוטים סי</w:t>
      </w:r>
      <w:r>
        <w:rPr>
          <w:rFonts w:cs="Arial" w:hint="cs"/>
          <w:sz w:val="16"/>
          <w:szCs w:val="16"/>
          <w:rtl/>
        </w:rPr>
        <w:t>'</w:t>
      </w:r>
      <w:r w:rsidRPr="003746CA">
        <w:rPr>
          <w:rFonts w:cs="Arial"/>
          <w:sz w:val="16"/>
          <w:szCs w:val="16"/>
          <w:rtl/>
        </w:rPr>
        <w:t xml:space="preserve"> תעח</w:t>
      </w:r>
      <w:r>
        <w:rPr>
          <w:rFonts w:cs="Arial" w:hint="cs"/>
          <w:sz w:val="16"/>
          <w:szCs w:val="16"/>
          <w:rtl/>
        </w:rPr>
        <w:t>, הביאו דבריו המרדכי [סי' תצד] טור</w:t>
      </w:r>
      <w:r>
        <w:rPr>
          <w:rStyle w:val="a9"/>
          <w:rFonts w:cs="Arial"/>
          <w:sz w:val="16"/>
          <w:szCs w:val="16"/>
          <w:rtl/>
        </w:rPr>
        <w:footnoteReference w:id="281"/>
      </w:r>
      <w:r>
        <w:rPr>
          <w:rFonts w:cs="Arial" w:hint="cs"/>
          <w:sz w:val="16"/>
          <w:szCs w:val="16"/>
          <w:rtl/>
        </w:rPr>
        <w:t xml:space="preserve"> ותשב"ץ קטן [בתחילת הספר]</w:t>
      </w:r>
      <w:r w:rsidRPr="003746CA">
        <w:rPr>
          <w:rFonts w:cs="Arial" w:hint="cs"/>
          <w:sz w:val="16"/>
          <w:szCs w:val="16"/>
          <w:rtl/>
        </w:rPr>
        <w:t>)</w:t>
      </w:r>
      <w:r>
        <w:rPr>
          <w:rFonts w:cs="Arial" w:hint="cs"/>
          <w:rtl/>
        </w:rPr>
        <w:t xml:space="preserve">- </w:t>
      </w:r>
      <w:r w:rsidRPr="003746CA">
        <w:rPr>
          <w:rFonts w:cs="Arial"/>
          <w:rtl/>
        </w:rPr>
        <w:t xml:space="preserve">השלמת תענית ערב שבת סגי עד לאחר תפלת ערבית שמפלג מנחה ואילך, והיינו השלמה דקאמרינן בפרק בכל מערבין </w:t>
      </w:r>
      <w:r w:rsidRPr="00424A83">
        <w:rPr>
          <w:rFonts w:cs="Arial" w:hint="cs"/>
          <w:sz w:val="16"/>
          <w:szCs w:val="16"/>
          <w:rtl/>
        </w:rPr>
        <w:t>(</w:t>
      </w:r>
      <w:r w:rsidRPr="00424A83">
        <w:rPr>
          <w:rFonts w:cs="Arial"/>
          <w:sz w:val="16"/>
          <w:szCs w:val="16"/>
          <w:rtl/>
        </w:rPr>
        <w:t>עירובין מא</w:t>
      </w:r>
      <w:r w:rsidRPr="00424A83">
        <w:rPr>
          <w:rFonts w:cs="Arial" w:hint="cs"/>
          <w:sz w:val="16"/>
          <w:szCs w:val="16"/>
          <w:rtl/>
        </w:rPr>
        <w:t>.)</w:t>
      </w:r>
      <w:r w:rsidRPr="003746CA">
        <w:rPr>
          <w:rFonts w:cs="Arial"/>
          <w:rtl/>
        </w:rPr>
        <w:t xml:space="preserve"> מתענה ומשלים</w:t>
      </w:r>
      <w:r>
        <w:rPr>
          <w:rFonts w:cs="Arial" w:hint="cs"/>
          <w:rtl/>
        </w:rPr>
        <w:t>.</w:t>
      </w:r>
      <w:r w:rsidRPr="003746CA">
        <w:rPr>
          <w:rFonts w:cs="Arial"/>
          <w:rtl/>
        </w:rPr>
        <w:t xml:space="preserve"> </w:t>
      </w:r>
      <w:r w:rsidRPr="00784D29">
        <w:rPr>
          <w:rFonts w:hint="cs"/>
          <w:color w:val="00B0F0"/>
          <w:rtl/>
        </w:rPr>
        <w:t>(וכ"כ הרמ"א)</w:t>
      </w:r>
    </w:p>
    <w:p w14:paraId="0C9A7893" w14:textId="77777777" w:rsidR="004B2E7C" w:rsidRPr="003746CA" w:rsidRDefault="004B2E7C" w:rsidP="00FF2D21">
      <w:pPr>
        <w:pStyle w:val="aa"/>
        <w:numPr>
          <w:ilvl w:val="0"/>
          <w:numId w:val="109"/>
        </w:numPr>
      </w:pPr>
      <w:r>
        <w:rPr>
          <w:rFonts w:cs="Arial" w:hint="cs"/>
          <w:rtl/>
        </w:rPr>
        <w:t xml:space="preserve">הגה"מ </w:t>
      </w:r>
      <w:r w:rsidRPr="00424A83">
        <w:rPr>
          <w:rFonts w:cs="Arial" w:hint="cs"/>
          <w:sz w:val="16"/>
          <w:szCs w:val="16"/>
          <w:rtl/>
        </w:rPr>
        <w:t>(פ"א מתענית אות ג)</w:t>
      </w:r>
      <w:r>
        <w:rPr>
          <w:rFonts w:cs="Arial" w:hint="cs"/>
          <w:rtl/>
        </w:rPr>
        <w:t xml:space="preserve">- </w:t>
      </w:r>
      <w:r w:rsidRPr="005B3FB0">
        <w:rPr>
          <w:rFonts w:cs="Arial"/>
          <w:rtl/>
        </w:rPr>
        <w:t>פירוש השלמה היינו שמתענה אחר שקבל שבת ותפלת שבת היא מפלג המנחה ולמעלה ואפילו אם עוד היום גדול מקרי שפיר השלמה</w:t>
      </w:r>
      <w:r>
        <w:rPr>
          <w:rFonts w:cs="Arial" w:hint="cs"/>
          <w:rtl/>
        </w:rPr>
        <w:t>.</w:t>
      </w:r>
      <w:r w:rsidRPr="005B3FB0">
        <w:rPr>
          <w:rFonts w:cs="Arial"/>
          <w:rtl/>
        </w:rPr>
        <w:t xml:space="preserve"> וכן מצאתי בשר"ח שכתב ר"י ככל אשר כתבתי</w:t>
      </w:r>
      <w:r>
        <w:rPr>
          <w:rStyle w:val="a9"/>
          <w:rFonts w:cs="Arial"/>
          <w:rtl/>
        </w:rPr>
        <w:footnoteReference w:id="282"/>
      </w:r>
      <w:r>
        <w:rPr>
          <w:rFonts w:cs="Arial" w:hint="cs"/>
          <w:rtl/>
        </w:rPr>
        <w:t>.</w:t>
      </w:r>
    </w:p>
    <w:p w14:paraId="1D1054FB" w14:textId="77777777" w:rsidR="004B2E7C" w:rsidRDefault="004B2E7C" w:rsidP="00FF2D21">
      <w:pPr>
        <w:pStyle w:val="aa"/>
        <w:numPr>
          <w:ilvl w:val="0"/>
          <w:numId w:val="109"/>
        </w:numPr>
        <w:rPr>
          <w:rFonts w:cs="Arial"/>
        </w:rPr>
      </w:pPr>
      <w:r>
        <w:rPr>
          <w:rFonts w:cs="Arial"/>
          <w:rtl/>
        </w:rPr>
        <w:t xml:space="preserve">ראבי"ה </w:t>
      </w:r>
      <w:r w:rsidRPr="00391A2E">
        <w:rPr>
          <w:rFonts w:cs="Arial"/>
          <w:sz w:val="16"/>
          <w:szCs w:val="16"/>
          <w:rtl/>
        </w:rPr>
        <w:t>(סי' תתנח)</w:t>
      </w:r>
      <w:r>
        <w:rPr>
          <w:rStyle w:val="a9"/>
          <w:rFonts w:cs="Arial"/>
          <w:rtl/>
        </w:rPr>
        <w:footnoteReference w:id="283"/>
      </w:r>
      <w:r>
        <w:rPr>
          <w:rFonts w:cs="Arial" w:hint="cs"/>
          <w:sz w:val="16"/>
          <w:szCs w:val="16"/>
          <w:rtl/>
        </w:rPr>
        <w:t xml:space="preserve"> </w:t>
      </w:r>
      <w:r w:rsidRPr="00F50410">
        <w:rPr>
          <w:rFonts w:cs="Arial" w:hint="cs"/>
          <w:rtl/>
        </w:rPr>
        <w:t xml:space="preserve">רא"ש </w:t>
      </w:r>
      <w:r>
        <w:rPr>
          <w:rFonts w:cs="Arial" w:hint="cs"/>
          <w:sz w:val="16"/>
          <w:szCs w:val="16"/>
          <w:rtl/>
        </w:rPr>
        <w:t xml:space="preserve">(שם) </w:t>
      </w:r>
      <w:r w:rsidRPr="00F50410">
        <w:rPr>
          <w:rFonts w:cs="Arial" w:hint="cs"/>
          <w:rtl/>
        </w:rPr>
        <w:t xml:space="preserve">וטור- </w:t>
      </w:r>
      <w:r w:rsidRPr="00F50410">
        <w:rPr>
          <w:rFonts w:cs="Arial"/>
          <w:rtl/>
        </w:rPr>
        <w:t xml:space="preserve">כיון שיכול להשלים אם ירצה והוא קיבל עליו תענית סתם וכל תענית שלא שקעה עליו החמה אינו תענית </w:t>
      </w:r>
      <w:r w:rsidRPr="00F50410">
        <w:rPr>
          <w:rFonts w:cs="Arial" w:hint="cs"/>
          <w:rtl/>
        </w:rPr>
        <w:t xml:space="preserve">- </w:t>
      </w:r>
      <w:r w:rsidRPr="00F50410">
        <w:rPr>
          <w:rFonts w:cs="Arial"/>
          <w:rtl/>
        </w:rPr>
        <w:t>צריך להשלים עד צאת הכוכבים</w:t>
      </w:r>
      <w:r w:rsidRPr="00F50410">
        <w:rPr>
          <w:rFonts w:cs="Arial" w:hint="cs"/>
          <w:rtl/>
        </w:rPr>
        <w:t>,</w:t>
      </w:r>
      <w:r w:rsidRPr="00F50410">
        <w:rPr>
          <w:rFonts w:cs="Arial"/>
          <w:rtl/>
        </w:rPr>
        <w:t xml:space="preserve"> אם לא שפירש בשעת קבלת תענית עד שישלים תפלתו עם הצבור</w:t>
      </w:r>
      <w:r>
        <w:rPr>
          <w:rFonts w:cs="Arial" w:hint="cs"/>
          <w:sz w:val="16"/>
          <w:szCs w:val="16"/>
          <w:rtl/>
        </w:rPr>
        <w:t xml:space="preserve"> (ל' הטור)</w:t>
      </w:r>
      <w:r w:rsidRPr="00F50410">
        <w:rPr>
          <w:rFonts w:cs="Arial" w:hint="cs"/>
          <w:rtl/>
        </w:rPr>
        <w:t>.</w:t>
      </w:r>
      <w:r w:rsidRPr="00F50410">
        <w:rPr>
          <w:rFonts w:cs="Arial"/>
          <w:rtl/>
        </w:rPr>
        <w:t xml:space="preserve"> </w:t>
      </w:r>
      <w:r w:rsidRPr="00784D29">
        <w:rPr>
          <w:rFonts w:hint="cs"/>
          <w:color w:val="E36C0A" w:themeColor="accent6" w:themeShade="BF"/>
          <w:rtl/>
        </w:rPr>
        <w:t>(וכ"פ בשו"ע)</w:t>
      </w:r>
    </w:p>
    <w:p w14:paraId="1698CFCB" w14:textId="77777777" w:rsidR="004B2E7C" w:rsidRPr="004D6A2F" w:rsidRDefault="004B2E7C" w:rsidP="00FF2D21">
      <w:pPr>
        <w:pStyle w:val="aa"/>
        <w:numPr>
          <w:ilvl w:val="0"/>
          <w:numId w:val="109"/>
        </w:numPr>
        <w:rPr>
          <w:rFonts w:cs="Arial"/>
        </w:rPr>
      </w:pPr>
      <w:r w:rsidRPr="004D6A2F">
        <w:rPr>
          <w:rFonts w:cs="Arial"/>
          <w:rtl/>
        </w:rPr>
        <w:t xml:space="preserve">מהרי"ל </w:t>
      </w:r>
      <w:r w:rsidRPr="004D6A2F">
        <w:rPr>
          <w:rFonts w:cs="Arial"/>
          <w:sz w:val="16"/>
          <w:szCs w:val="16"/>
          <w:rtl/>
        </w:rPr>
        <w:t>(שו"ת מהרי"ל סי' לג וקנז</w:t>
      </w:r>
      <w:r w:rsidRPr="004D6A2F">
        <w:rPr>
          <w:rFonts w:cs="Arial" w:hint="cs"/>
          <w:sz w:val="16"/>
          <w:szCs w:val="16"/>
          <w:rtl/>
        </w:rPr>
        <w:t>, הביאו הדרכ"מ אות ב</w:t>
      </w:r>
      <w:r w:rsidRPr="004D6A2F">
        <w:rPr>
          <w:rFonts w:cs="Arial"/>
          <w:sz w:val="16"/>
          <w:szCs w:val="16"/>
          <w:rtl/>
        </w:rPr>
        <w:t>)</w:t>
      </w:r>
      <w:r>
        <w:rPr>
          <w:rFonts w:cs="Arial" w:hint="cs"/>
          <w:rtl/>
        </w:rPr>
        <w:t>-</w:t>
      </w:r>
      <w:r w:rsidRPr="004D6A2F">
        <w:rPr>
          <w:rFonts w:cs="Arial"/>
          <w:rtl/>
        </w:rPr>
        <w:t xml:space="preserve"> תענית צבור ישלימו עד הלילה</w:t>
      </w:r>
      <w:r>
        <w:rPr>
          <w:rFonts w:cs="Arial" w:hint="cs"/>
          <w:rtl/>
        </w:rPr>
        <w:t>.</w:t>
      </w:r>
      <w:r w:rsidRPr="004D6A2F">
        <w:rPr>
          <w:rFonts w:cs="Arial"/>
          <w:rtl/>
        </w:rPr>
        <w:t xml:space="preserve"> אבל תענית יחיד לא ישלים</w:t>
      </w:r>
      <w:r>
        <w:rPr>
          <w:rFonts w:cs="Arial" w:hint="cs"/>
          <w:rtl/>
        </w:rPr>
        <w:t>,</w:t>
      </w:r>
      <w:r w:rsidRPr="004D6A2F">
        <w:rPr>
          <w:rFonts w:cs="Arial"/>
          <w:rtl/>
        </w:rPr>
        <w:t xml:space="preserve"> אלא אוכל מיד בצאתו מבית הכנסת</w:t>
      </w:r>
      <w:r>
        <w:rPr>
          <w:rFonts w:cs="Arial" w:hint="cs"/>
          <w:rtl/>
        </w:rPr>
        <w:t>.</w:t>
      </w:r>
      <w:r w:rsidRPr="004D6A2F">
        <w:rPr>
          <w:rFonts w:hint="cs"/>
          <w:color w:val="00B0F0"/>
          <w:rtl/>
        </w:rPr>
        <w:t xml:space="preserve"> </w:t>
      </w:r>
      <w:r w:rsidRPr="00784D29">
        <w:rPr>
          <w:rFonts w:hint="cs"/>
          <w:color w:val="00B0F0"/>
          <w:rtl/>
        </w:rPr>
        <w:t>(וכ"</w:t>
      </w:r>
      <w:r>
        <w:rPr>
          <w:rFonts w:hint="cs"/>
          <w:color w:val="00B0F0"/>
          <w:rtl/>
        </w:rPr>
        <w:t>פ</w:t>
      </w:r>
      <w:r w:rsidRPr="00784D29">
        <w:rPr>
          <w:rFonts w:hint="cs"/>
          <w:color w:val="00B0F0"/>
          <w:rtl/>
        </w:rPr>
        <w:t xml:space="preserve"> הרמ"א)</w:t>
      </w:r>
    </w:p>
    <w:p w14:paraId="7F685178" w14:textId="77777777" w:rsidR="004B2E7C" w:rsidRPr="006746E3" w:rsidRDefault="004B2E7C" w:rsidP="00434A6A">
      <w:pPr>
        <w:ind w:left="360"/>
        <w:rPr>
          <w:rFonts w:cs="Arial"/>
          <w:u w:val="dotted"/>
        </w:rPr>
      </w:pPr>
      <w:r w:rsidRPr="006746E3">
        <w:rPr>
          <w:rFonts w:cs="Arial" w:hint="cs"/>
          <w:u w:val="dotted"/>
          <w:rtl/>
        </w:rPr>
        <w:t>ומה הדין בתענית חלום:</w:t>
      </w:r>
    </w:p>
    <w:p w14:paraId="600A67AC" w14:textId="77777777" w:rsidR="004B2E7C" w:rsidRDefault="004B2E7C" w:rsidP="00FF2D21">
      <w:pPr>
        <w:pStyle w:val="aa"/>
        <w:numPr>
          <w:ilvl w:val="0"/>
          <w:numId w:val="109"/>
        </w:numPr>
      </w:pPr>
      <w:r>
        <w:rPr>
          <w:rFonts w:cs="Arial" w:hint="cs"/>
          <w:rtl/>
        </w:rPr>
        <w:t>הגה"מ</w:t>
      </w:r>
      <w:r>
        <w:rPr>
          <w:rStyle w:val="a9"/>
          <w:rFonts w:cs="Arial"/>
          <w:rtl/>
        </w:rPr>
        <w:footnoteReference w:id="284"/>
      </w:r>
      <w:r>
        <w:rPr>
          <w:rFonts w:cs="Arial" w:hint="cs"/>
          <w:rtl/>
        </w:rPr>
        <w:t xml:space="preserve"> </w:t>
      </w:r>
      <w:r w:rsidRPr="00424A83">
        <w:rPr>
          <w:rFonts w:cs="Arial" w:hint="cs"/>
          <w:sz w:val="16"/>
          <w:szCs w:val="16"/>
          <w:rtl/>
        </w:rPr>
        <w:t>(פ"א מתענית אות ג)</w:t>
      </w:r>
      <w:r>
        <w:rPr>
          <w:rFonts w:cs="Arial" w:hint="cs"/>
          <w:rtl/>
        </w:rPr>
        <w:t xml:space="preserve"> וטור- </w:t>
      </w:r>
      <w:r w:rsidRPr="0087246C">
        <w:rPr>
          <w:rFonts w:cs="Arial"/>
          <w:rtl/>
        </w:rPr>
        <w:t xml:space="preserve">אבל אם מתענה בע"ש תענית חלום </w:t>
      </w:r>
      <w:r>
        <w:rPr>
          <w:rFonts w:cs="Arial" w:hint="cs"/>
          <w:rtl/>
        </w:rPr>
        <w:t xml:space="preserve">- </w:t>
      </w:r>
      <w:r w:rsidRPr="0087246C">
        <w:rPr>
          <w:rFonts w:cs="Arial"/>
          <w:rtl/>
        </w:rPr>
        <w:t>מתענה עד צאת הכוכבים</w:t>
      </w:r>
      <w:r>
        <w:rPr>
          <w:rFonts w:cs="Arial" w:hint="cs"/>
          <w:rtl/>
        </w:rPr>
        <w:t>,</w:t>
      </w:r>
      <w:r w:rsidRPr="0087246C">
        <w:rPr>
          <w:rFonts w:cs="Arial"/>
          <w:rtl/>
        </w:rPr>
        <w:t xml:space="preserve"> כיון שיכול להתענות אפי' בשבת כ"ש שמשלים עד הלילה</w:t>
      </w:r>
      <w:r>
        <w:rPr>
          <w:rFonts w:cs="Arial" w:hint="cs"/>
          <w:sz w:val="16"/>
          <w:szCs w:val="16"/>
          <w:rtl/>
        </w:rPr>
        <w:t xml:space="preserve"> (ל' הטור)</w:t>
      </w:r>
      <w:r>
        <w:rPr>
          <w:rFonts w:cs="Arial" w:hint="cs"/>
          <w:rtl/>
        </w:rPr>
        <w:t>.</w:t>
      </w:r>
      <w:r>
        <w:rPr>
          <w:rFonts w:hint="cs"/>
          <w:rtl/>
        </w:rPr>
        <w:t xml:space="preserve"> </w:t>
      </w:r>
      <w:r w:rsidRPr="00784D29">
        <w:rPr>
          <w:rFonts w:hint="cs"/>
          <w:color w:val="E36C0A" w:themeColor="accent6" w:themeShade="BF"/>
          <w:rtl/>
        </w:rPr>
        <w:t>(וכ"פ בשו"ע)</w:t>
      </w:r>
    </w:p>
    <w:p w14:paraId="0A380DBA" w14:textId="77777777" w:rsidR="004B2E7C" w:rsidRPr="00B72CF0" w:rsidRDefault="004B2E7C" w:rsidP="00FF2D21">
      <w:pPr>
        <w:pStyle w:val="aa"/>
        <w:numPr>
          <w:ilvl w:val="0"/>
          <w:numId w:val="109"/>
        </w:numPr>
        <w:rPr>
          <w:rtl/>
        </w:rPr>
      </w:pPr>
      <w:r>
        <w:rPr>
          <w:rFonts w:cs="Arial"/>
          <w:rtl/>
        </w:rPr>
        <w:t>ראבי"ה</w:t>
      </w:r>
      <w:r>
        <w:rPr>
          <w:rStyle w:val="a9"/>
          <w:rFonts w:cs="Arial"/>
          <w:rtl/>
        </w:rPr>
        <w:footnoteReference w:id="285"/>
      </w:r>
      <w:r>
        <w:rPr>
          <w:rFonts w:cs="Arial"/>
          <w:rtl/>
        </w:rPr>
        <w:t xml:space="preserve"> </w:t>
      </w:r>
      <w:r w:rsidRPr="00391A2E">
        <w:rPr>
          <w:rFonts w:cs="Arial"/>
          <w:sz w:val="16"/>
          <w:szCs w:val="16"/>
          <w:rtl/>
        </w:rPr>
        <w:t>(סי' תתנח</w:t>
      </w:r>
      <w:r>
        <w:rPr>
          <w:rFonts w:cs="Arial" w:hint="cs"/>
          <w:sz w:val="16"/>
          <w:szCs w:val="16"/>
          <w:rtl/>
        </w:rPr>
        <w:t>, והעתיק דבריו ה</w:t>
      </w:r>
      <w:r w:rsidRPr="00443D17">
        <w:rPr>
          <w:rFonts w:cs="Arial"/>
          <w:sz w:val="16"/>
          <w:szCs w:val="16"/>
          <w:rtl/>
        </w:rPr>
        <w:t>או</w:t>
      </w:r>
      <w:r>
        <w:rPr>
          <w:rFonts w:cs="Arial" w:hint="cs"/>
          <w:sz w:val="16"/>
          <w:szCs w:val="16"/>
          <w:rtl/>
        </w:rPr>
        <w:t>"ז</w:t>
      </w:r>
      <w:r w:rsidRPr="00443D17">
        <w:rPr>
          <w:rFonts w:cs="Arial"/>
          <w:rtl/>
        </w:rPr>
        <w:t xml:space="preserve"> </w:t>
      </w:r>
      <w:r>
        <w:rPr>
          <w:rFonts w:cs="Arial" w:hint="cs"/>
          <w:sz w:val="16"/>
          <w:szCs w:val="16"/>
          <w:rtl/>
        </w:rPr>
        <w:t>[</w:t>
      </w:r>
      <w:r w:rsidRPr="00443D17">
        <w:rPr>
          <w:rFonts w:cs="Arial"/>
          <w:sz w:val="16"/>
          <w:szCs w:val="16"/>
          <w:rtl/>
        </w:rPr>
        <w:t>הל' תענית סי' תד</w:t>
      </w:r>
      <w:r>
        <w:rPr>
          <w:rFonts w:cs="Arial" w:hint="cs"/>
          <w:sz w:val="16"/>
          <w:szCs w:val="16"/>
          <w:rtl/>
        </w:rPr>
        <w:t>],</w:t>
      </w:r>
      <w:r w:rsidRPr="00443D17">
        <w:rPr>
          <w:rFonts w:cs="Arial" w:hint="cs"/>
          <w:sz w:val="16"/>
          <w:szCs w:val="16"/>
          <w:rtl/>
        </w:rPr>
        <w:t xml:space="preserve"> ו</w:t>
      </w:r>
      <w:r>
        <w:rPr>
          <w:rFonts w:cs="Arial" w:hint="cs"/>
          <w:sz w:val="16"/>
          <w:szCs w:val="16"/>
          <w:rtl/>
        </w:rPr>
        <w:t>הביאו</w:t>
      </w:r>
      <w:r w:rsidRPr="00443D17">
        <w:rPr>
          <w:rFonts w:cs="Arial" w:hint="cs"/>
          <w:sz w:val="16"/>
          <w:szCs w:val="16"/>
          <w:rtl/>
        </w:rPr>
        <w:t xml:space="preserve"> </w:t>
      </w:r>
      <w:r>
        <w:rPr>
          <w:rFonts w:cs="Arial" w:hint="cs"/>
          <w:sz w:val="16"/>
          <w:szCs w:val="16"/>
          <w:rtl/>
        </w:rPr>
        <w:t>ה</w:t>
      </w:r>
      <w:r w:rsidRPr="00443D17">
        <w:rPr>
          <w:rFonts w:cs="Arial" w:hint="cs"/>
          <w:sz w:val="16"/>
          <w:szCs w:val="16"/>
          <w:rtl/>
        </w:rPr>
        <w:t>הג"א</w:t>
      </w:r>
      <w:r w:rsidRPr="00443D17">
        <w:rPr>
          <w:rFonts w:cs="Arial"/>
          <w:sz w:val="16"/>
          <w:szCs w:val="16"/>
          <w:rtl/>
        </w:rPr>
        <w:t xml:space="preserve"> </w:t>
      </w:r>
      <w:r w:rsidRPr="00443D17">
        <w:rPr>
          <w:rFonts w:cs="Arial" w:hint="cs"/>
          <w:sz w:val="16"/>
          <w:szCs w:val="16"/>
          <w:rtl/>
        </w:rPr>
        <w:t>[</w:t>
      </w:r>
      <w:r w:rsidRPr="00443D17">
        <w:rPr>
          <w:rFonts w:cs="Arial"/>
          <w:sz w:val="16"/>
          <w:szCs w:val="16"/>
          <w:rtl/>
        </w:rPr>
        <w:t>פ</w:t>
      </w:r>
      <w:r w:rsidRPr="00443D17">
        <w:rPr>
          <w:rFonts w:cs="Arial" w:hint="cs"/>
          <w:sz w:val="16"/>
          <w:szCs w:val="16"/>
          <w:rtl/>
        </w:rPr>
        <w:t>"ק</w:t>
      </w:r>
      <w:r w:rsidRPr="00443D17">
        <w:rPr>
          <w:rFonts w:cs="Arial"/>
          <w:sz w:val="16"/>
          <w:szCs w:val="16"/>
          <w:rtl/>
        </w:rPr>
        <w:t xml:space="preserve"> דתענית סי' יב</w:t>
      </w:r>
      <w:r w:rsidRPr="00443D17">
        <w:rPr>
          <w:rFonts w:cs="Arial" w:hint="cs"/>
          <w:sz w:val="16"/>
          <w:szCs w:val="16"/>
          <w:rtl/>
        </w:rPr>
        <w:t>]</w:t>
      </w:r>
      <w:r w:rsidRPr="00443D17">
        <w:rPr>
          <w:rFonts w:cs="Arial"/>
          <w:sz w:val="16"/>
          <w:szCs w:val="16"/>
          <w:rtl/>
        </w:rPr>
        <w:t>)</w:t>
      </w:r>
      <w:r w:rsidRPr="00443D17">
        <w:rPr>
          <w:rFonts w:cs="Arial" w:hint="cs"/>
          <w:rtl/>
        </w:rPr>
        <w:t>-</w:t>
      </w:r>
      <w:r w:rsidRPr="00443D17">
        <w:rPr>
          <w:rFonts w:cs="Arial"/>
          <w:rtl/>
        </w:rPr>
        <w:t xml:space="preserve"> בתענית חלום אין צריך להמתין עד שקיעת החמה אלא מיד בצאתו מבית הכנסת ערבית מותר לאכול</w:t>
      </w:r>
      <w:r>
        <w:rPr>
          <w:rStyle w:val="a9"/>
          <w:rFonts w:cs="Arial"/>
          <w:rtl/>
        </w:rPr>
        <w:footnoteReference w:id="286"/>
      </w:r>
      <w:r w:rsidRPr="00443D17">
        <w:rPr>
          <w:rFonts w:cs="Arial" w:hint="cs"/>
          <w:rtl/>
        </w:rPr>
        <w:t>.</w:t>
      </w:r>
    </w:p>
    <w:p w14:paraId="23733CB0"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6EBF48C" w14:textId="77777777" w:rsidR="004B2E7C" w:rsidRDefault="004B2E7C" w:rsidP="00434A6A">
      <w:pPr>
        <w:rPr>
          <w:rtl/>
        </w:rPr>
      </w:pPr>
      <w:r>
        <w:rPr>
          <w:rFonts w:cs="Arial"/>
          <w:rtl/>
        </w:rPr>
        <w:t>אם קבל עליו להתענות בע</w:t>
      </w:r>
      <w:r>
        <w:rPr>
          <w:rFonts w:cs="Arial" w:hint="cs"/>
          <w:rtl/>
        </w:rPr>
        <w:t xml:space="preserve">רב </w:t>
      </w:r>
      <w:r>
        <w:rPr>
          <w:rFonts w:cs="Arial"/>
          <w:rtl/>
        </w:rPr>
        <w:t>ש</w:t>
      </w:r>
      <w:r>
        <w:rPr>
          <w:rFonts w:cs="Arial" w:hint="cs"/>
          <w:rtl/>
        </w:rPr>
        <w:t>בת</w:t>
      </w:r>
      <w:r>
        <w:rPr>
          <w:rFonts w:cs="Arial"/>
          <w:rtl/>
        </w:rPr>
        <w:t>, צריך להתענות עד צאת הכוכבים</w:t>
      </w:r>
      <w:r>
        <w:rPr>
          <w:rStyle w:val="a9"/>
          <w:rFonts w:cs="Arial"/>
          <w:rtl/>
        </w:rPr>
        <w:footnoteReference w:id="287"/>
      </w:r>
      <w:r>
        <w:rPr>
          <w:rFonts w:cs="Arial"/>
          <w:rtl/>
        </w:rPr>
        <w:t>, אם לא שפירש</w:t>
      </w:r>
      <w:r>
        <w:rPr>
          <w:rStyle w:val="a9"/>
          <w:rFonts w:cs="Arial"/>
          <w:rtl/>
        </w:rPr>
        <w:footnoteReference w:id="288"/>
      </w:r>
      <w:r>
        <w:rPr>
          <w:rFonts w:cs="Arial"/>
          <w:rtl/>
        </w:rPr>
        <w:t xml:space="preserve"> בשעת קבלת התענית עד שישלים הצבור תפלתן. </w:t>
      </w:r>
      <w:r w:rsidRPr="00B72CF0">
        <w:rPr>
          <w:rFonts w:cs="Arial"/>
          <w:sz w:val="18"/>
          <w:szCs w:val="18"/>
          <w:rtl/>
        </w:rPr>
        <w:t>הגה: וי"א דלא ישלים, אלא מיד שיוצאים מבית הכנסת, יאכל</w:t>
      </w:r>
      <w:r>
        <w:rPr>
          <w:rStyle w:val="a9"/>
          <w:rFonts w:cs="Arial"/>
          <w:sz w:val="18"/>
          <w:szCs w:val="18"/>
          <w:rtl/>
        </w:rPr>
        <w:footnoteReference w:id="289"/>
      </w:r>
      <w:r w:rsidRPr="00B72CF0">
        <w:rPr>
          <w:rFonts w:cs="Arial"/>
          <w:sz w:val="18"/>
          <w:szCs w:val="18"/>
          <w:rtl/>
        </w:rPr>
        <w:t xml:space="preserve"> (טור ומרדכי ס"פ בכל מערבין בשם הר"מ והגה</w:t>
      </w:r>
      <w:r>
        <w:rPr>
          <w:rFonts w:cs="Arial" w:hint="cs"/>
          <w:sz w:val="18"/>
          <w:szCs w:val="18"/>
          <w:rtl/>
        </w:rPr>
        <w:t>"</w:t>
      </w:r>
      <w:r w:rsidRPr="00B72CF0">
        <w:rPr>
          <w:rFonts w:cs="Arial"/>
          <w:sz w:val="18"/>
          <w:szCs w:val="18"/>
          <w:rtl/>
        </w:rPr>
        <w:t>מ פ</w:t>
      </w:r>
      <w:r>
        <w:rPr>
          <w:rFonts w:cs="Arial" w:hint="cs"/>
          <w:sz w:val="18"/>
          <w:szCs w:val="18"/>
          <w:rtl/>
        </w:rPr>
        <w:t>"</w:t>
      </w:r>
      <w:r w:rsidRPr="00B72CF0">
        <w:rPr>
          <w:rFonts w:cs="Arial"/>
          <w:sz w:val="18"/>
          <w:szCs w:val="18"/>
          <w:rtl/>
        </w:rPr>
        <w:t>א מהל</w:t>
      </w:r>
      <w:r>
        <w:rPr>
          <w:rFonts w:cs="Arial" w:hint="cs"/>
          <w:sz w:val="18"/>
          <w:szCs w:val="18"/>
          <w:rtl/>
        </w:rPr>
        <w:t>'</w:t>
      </w:r>
      <w:r w:rsidRPr="00B72CF0">
        <w:rPr>
          <w:rFonts w:cs="Arial"/>
          <w:sz w:val="18"/>
          <w:szCs w:val="18"/>
          <w:rtl/>
        </w:rPr>
        <w:t xml:space="preserve"> תענית). לכן בתענית יחיד</w:t>
      </w:r>
      <w:r>
        <w:rPr>
          <w:rStyle w:val="a9"/>
          <w:rFonts w:cs="Arial"/>
          <w:sz w:val="18"/>
          <w:szCs w:val="18"/>
          <w:rtl/>
        </w:rPr>
        <w:footnoteReference w:id="290"/>
      </w:r>
      <w:r w:rsidRPr="00B72CF0">
        <w:rPr>
          <w:rFonts w:cs="Arial"/>
          <w:sz w:val="18"/>
          <w:szCs w:val="18"/>
          <w:rtl/>
        </w:rPr>
        <w:t xml:space="preserve"> לא ישלים, וטוב לפרש כן בשעת קבלת התענית</w:t>
      </w:r>
      <w:r>
        <w:rPr>
          <w:rFonts w:cs="Arial" w:hint="cs"/>
          <w:sz w:val="18"/>
          <w:szCs w:val="18"/>
          <w:rtl/>
        </w:rPr>
        <w:t>.</w:t>
      </w:r>
      <w:r w:rsidRPr="00B72CF0">
        <w:rPr>
          <w:rFonts w:cs="Arial"/>
          <w:sz w:val="18"/>
          <w:szCs w:val="18"/>
          <w:rtl/>
        </w:rPr>
        <w:t xml:space="preserve"> ובתענית צבור ישלים, והכי נהוג (מהרי"ל).</w:t>
      </w:r>
      <w:r>
        <w:rPr>
          <w:rFonts w:cs="Arial"/>
          <w:rtl/>
        </w:rPr>
        <w:t xml:space="preserve"> ואם הוא תענית חלום, צריך להתענות עד צאת הכוכבים</w:t>
      </w:r>
      <w:r>
        <w:rPr>
          <w:rStyle w:val="a9"/>
          <w:rFonts w:cs="Arial"/>
          <w:rtl/>
        </w:rPr>
        <w:footnoteReference w:id="291"/>
      </w:r>
      <w:r>
        <w:rPr>
          <w:rFonts w:cs="Arial"/>
          <w:rtl/>
        </w:rPr>
        <w:t>.</w:t>
      </w:r>
    </w:p>
    <w:p w14:paraId="751152B5" w14:textId="77777777" w:rsidR="004B2E7C" w:rsidRDefault="004B2E7C" w:rsidP="00434A6A">
      <w:pPr>
        <w:rPr>
          <w:rtl/>
        </w:rPr>
      </w:pPr>
    </w:p>
    <w:p w14:paraId="349EDE45" w14:textId="77777777" w:rsidR="004B2E7C" w:rsidRDefault="004B2E7C" w:rsidP="00434A6A">
      <w:pPr>
        <w:pStyle w:val="1"/>
        <w:rPr>
          <w:rtl/>
        </w:rPr>
        <w:sectPr w:rsidR="004B2E7C" w:rsidSect="00BD29B1">
          <w:headerReference w:type="default" r:id="rId20"/>
          <w:footnotePr>
            <w:numRestart w:val="eachSect"/>
          </w:footnotePr>
          <w:pgSz w:w="11906" w:h="16838"/>
          <w:pgMar w:top="720" w:right="1134" w:bottom="720" w:left="1134" w:header="0" w:footer="0" w:gutter="0"/>
          <w:cols w:space="720"/>
          <w:bidi/>
          <w:rtlGutter/>
          <w:docGrid w:linePitch="360"/>
        </w:sectPr>
      </w:pPr>
    </w:p>
    <w:p w14:paraId="4DC1C1ED" w14:textId="77777777" w:rsidR="004B2E7C" w:rsidRDefault="004B2E7C" w:rsidP="00434A6A">
      <w:pPr>
        <w:pStyle w:val="1"/>
        <w:rPr>
          <w:rtl/>
        </w:rPr>
      </w:pPr>
      <w:r>
        <w:rPr>
          <w:rFonts w:hint="cs"/>
          <w:rtl/>
        </w:rPr>
        <w:t>סימן רנ:</w:t>
      </w:r>
      <w:r w:rsidRPr="0085796F">
        <w:rPr>
          <w:rtl/>
        </w:rPr>
        <w:t xml:space="preserve"> </w:t>
      </w:r>
      <w:r>
        <w:rPr>
          <w:rtl/>
        </w:rPr>
        <w:t xml:space="preserve">הכנת הסעודות לשבת, ובו ב' סעיפים. </w:t>
      </w:r>
    </w:p>
    <w:p w14:paraId="1D39782B" w14:textId="77777777" w:rsidR="004B2E7C" w:rsidRDefault="004B2E7C" w:rsidP="00434A6A">
      <w:pPr>
        <w:pStyle w:val="2"/>
        <w:rPr>
          <w:rtl/>
        </w:rPr>
      </w:pPr>
      <w:r>
        <w:rPr>
          <w:rtl/>
        </w:rPr>
        <w:t>סעיף א</w:t>
      </w:r>
      <w:r>
        <w:rPr>
          <w:rFonts w:hint="cs"/>
          <w:rtl/>
        </w:rPr>
        <w:t>: להשכים ולעשות בעצמו הכנות שבת.</w:t>
      </w:r>
    </w:p>
    <w:p w14:paraId="40C3BFA5" w14:textId="77777777" w:rsidR="004B2E7C" w:rsidRPr="00172909" w:rsidRDefault="004B2E7C" w:rsidP="00434A6A">
      <w:pPr>
        <w:rPr>
          <w:rtl/>
        </w:rPr>
      </w:pPr>
      <w:r w:rsidRPr="00172909">
        <w:rPr>
          <w:rFonts w:cs="Arial" w:hint="cs"/>
          <w:b/>
          <w:bCs/>
          <w:rtl/>
        </w:rPr>
        <w:t xml:space="preserve">שבת </w:t>
      </w:r>
      <w:r>
        <w:rPr>
          <w:rFonts w:cs="Arial" w:hint="cs"/>
          <w:b/>
          <w:bCs/>
          <w:sz w:val="16"/>
          <w:szCs w:val="16"/>
          <w:rtl/>
        </w:rPr>
        <w:t xml:space="preserve">(פ' כל כתבי) </w:t>
      </w:r>
      <w:r w:rsidRPr="00172909">
        <w:rPr>
          <w:rFonts w:cs="Arial" w:hint="cs"/>
          <w:b/>
          <w:bCs/>
          <w:rtl/>
        </w:rPr>
        <w:t xml:space="preserve">קיט ע"א: </w:t>
      </w:r>
      <w:r w:rsidRPr="00172909">
        <w:rPr>
          <w:rFonts w:cs="Arial"/>
          <w:rtl/>
        </w:rPr>
        <w:t>רבה בר רב הונא איקלע לבי רבה בר רב נחמן, קריבו ליה תלת סאוי טחיי. אמר להו: מי הוה ידעיתון דאתינא? אמרו ליה: מי עדיפת לן מינה. רבי אבא זבן בתליסר אסתירי פשיטי בישרא מתליסר טבחי, ומשלים להו אצינורא דדשא, ואמר להו: אשור הייא, אשור הייא! רבי אבהו הוה יתיב אתכתקא דשינא ומושיף נורא.</w:t>
      </w:r>
      <w:r>
        <w:rPr>
          <w:rFonts w:cs="Arial" w:hint="cs"/>
          <w:rtl/>
        </w:rPr>
        <w:t>.</w:t>
      </w:r>
      <w:r w:rsidRPr="00172909">
        <w:rPr>
          <w:rFonts w:cs="Arial"/>
          <w:rtl/>
        </w:rPr>
        <w:t>. רב ספרא מחריך רישא - רבא מלח שיבוטא. רב הונא מדליק שרגי, רב פפא גדיל פתילתא. רב חסדא פרים סילקא. רבה ורב יוסף מצלחי ציבי. רבי זירא מצתת צתותי. רב נחמן בר יצחק מכתף ועייל מכתף ונפיק, אמר: אילו מקלעין לי רבי אמי ורבי אסי מי לא מכתיפנא קמייהו? ואיכא דאמרי: רבי אמי ורבי אסי מכתפי ועיילי מכתפי ונפקי, אמרי: אילו איקלע לן רבי יוחנן, מי לא מכתפינן קמיה?</w:t>
      </w:r>
    </w:p>
    <w:p w14:paraId="309BF55C" w14:textId="77777777" w:rsidR="004B2E7C" w:rsidRPr="00C966F7" w:rsidRDefault="004B2E7C" w:rsidP="00434A6A">
      <w:pPr>
        <w:rPr>
          <w:u w:val="single"/>
          <w:rtl/>
        </w:rPr>
      </w:pPr>
      <w:r w:rsidRPr="00C966F7">
        <w:rPr>
          <w:rFonts w:hint="cs"/>
          <w:u w:val="single"/>
          <w:rtl/>
        </w:rPr>
        <w:t>השכמה בבוקר להכין צרכי שבת:</w:t>
      </w:r>
    </w:p>
    <w:p w14:paraId="6A208AC8" w14:textId="77777777" w:rsidR="004B2E7C" w:rsidRDefault="004B2E7C" w:rsidP="00FF2D21">
      <w:pPr>
        <w:pStyle w:val="aa"/>
        <w:numPr>
          <w:ilvl w:val="0"/>
          <w:numId w:val="111"/>
        </w:numPr>
      </w:pPr>
      <w:r w:rsidRPr="00C966F7">
        <w:rPr>
          <w:rFonts w:cs="Arial"/>
          <w:rtl/>
        </w:rPr>
        <w:t>שבה</w:t>
      </w:r>
      <w:r w:rsidRPr="00C966F7">
        <w:rPr>
          <w:rFonts w:cs="Arial" w:hint="cs"/>
          <w:rtl/>
        </w:rPr>
        <w:t>"</w:t>
      </w:r>
      <w:r w:rsidRPr="00C966F7">
        <w:rPr>
          <w:rFonts w:cs="Arial"/>
          <w:rtl/>
        </w:rPr>
        <w:t>ל</w:t>
      </w:r>
      <w:r>
        <w:rPr>
          <w:rStyle w:val="a9"/>
          <w:rFonts w:cs="Arial"/>
          <w:rtl/>
        </w:rPr>
        <w:footnoteReference w:id="292"/>
      </w:r>
      <w:r w:rsidRPr="00C966F7">
        <w:rPr>
          <w:rFonts w:cs="Arial"/>
          <w:rtl/>
        </w:rPr>
        <w:t xml:space="preserve"> </w:t>
      </w:r>
      <w:r w:rsidRPr="00C966F7">
        <w:rPr>
          <w:rFonts w:cs="Arial"/>
          <w:sz w:val="16"/>
          <w:szCs w:val="16"/>
          <w:rtl/>
        </w:rPr>
        <w:t>(סי' נה)</w:t>
      </w:r>
      <w:r>
        <w:rPr>
          <w:rFonts w:cs="Arial" w:hint="cs"/>
          <w:rtl/>
        </w:rPr>
        <w:t xml:space="preserve"> ו</w:t>
      </w:r>
      <w:r w:rsidRPr="00163F72">
        <w:rPr>
          <w:rFonts w:cs="Arial" w:hint="cs"/>
          <w:rtl/>
        </w:rPr>
        <w:t xml:space="preserve">טור- </w:t>
      </w:r>
      <w:r w:rsidRPr="00163F72">
        <w:rPr>
          <w:rFonts w:cs="Arial"/>
          <w:rtl/>
        </w:rPr>
        <w:t>וישכים בבקר ביום ו' להכין צרכי שבת</w:t>
      </w:r>
      <w:r>
        <w:rPr>
          <w:rFonts w:cs="Arial" w:hint="cs"/>
          <w:rtl/>
        </w:rPr>
        <w:t>,</w:t>
      </w:r>
      <w:r w:rsidRPr="00163F72">
        <w:rPr>
          <w:rFonts w:cs="Arial"/>
          <w:rtl/>
        </w:rPr>
        <w:t xml:space="preserve"> דכתיב והיה ביום הששי והכינו</w:t>
      </w:r>
      <w:r>
        <w:rPr>
          <w:rFonts w:cs="Arial" w:hint="cs"/>
          <w:rtl/>
        </w:rPr>
        <w:t>,</w:t>
      </w:r>
      <w:r w:rsidRPr="00163F72">
        <w:rPr>
          <w:rFonts w:cs="Arial"/>
          <w:rtl/>
        </w:rPr>
        <w:t xml:space="preserve"> משמע הזמנה</w:t>
      </w:r>
      <w:r>
        <w:rPr>
          <w:rFonts w:cs="Arial" w:hint="cs"/>
          <w:rtl/>
        </w:rPr>
        <w:t>.</w:t>
      </w:r>
      <w:r w:rsidRPr="00163F72">
        <w:rPr>
          <w:rFonts w:cs="Arial"/>
          <w:rtl/>
        </w:rPr>
        <w:t xml:space="preserve"> בבוקר</w:t>
      </w:r>
      <w:r>
        <w:rPr>
          <w:rFonts w:cs="Arial" w:hint="cs"/>
          <w:rtl/>
        </w:rPr>
        <w:t>,</w:t>
      </w:r>
      <w:r w:rsidRPr="00163F72">
        <w:rPr>
          <w:rFonts w:cs="Arial"/>
          <w:rtl/>
        </w:rPr>
        <w:t xml:space="preserve"> דומיא דהבאה דכתיב והכינו את אשר יביאו</w:t>
      </w:r>
      <w:r>
        <w:rPr>
          <w:rFonts w:cs="Arial" w:hint="cs"/>
          <w:rtl/>
        </w:rPr>
        <w:t>,</w:t>
      </w:r>
      <w:r w:rsidRPr="00163F72">
        <w:rPr>
          <w:rFonts w:cs="Arial"/>
          <w:rtl/>
        </w:rPr>
        <w:t xml:space="preserve"> והבאה היתה בבקר לאלתר</w:t>
      </w:r>
      <w:r>
        <w:rPr>
          <w:rFonts w:cs="Arial" w:hint="cs"/>
          <w:sz w:val="16"/>
          <w:szCs w:val="16"/>
          <w:rtl/>
        </w:rPr>
        <w:t xml:space="preserve"> (ל' הטור)</w:t>
      </w:r>
      <w:r>
        <w:rPr>
          <w:rFonts w:cs="Arial" w:hint="cs"/>
          <w:rtl/>
        </w:rPr>
        <w:t>.</w:t>
      </w:r>
      <w:r w:rsidRPr="00163F72">
        <w:rPr>
          <w:rFonts w:cs="Arial"/>
          <w:rtl/>
        </w:rPr>
        <w:t xml:space="preserve"> </w:t>
      </w:r>
      <w:r w:rsidRPr="007363D9">
        <w:rPr>
          <w:rFonts w:hint="cs"/>
          <w:color w:val="E36C0A" w:themeColor="accent6" w:themeShade="BF"/>
          <w:rtl/>
        </w:rPr>
        <w:t>(וכ"פ בשו"ע)</w:t>
      </w:r>
    </w:p>
    <w:p w14:paraId="7D791BFB" w14:textId="77777777" w:rsidR="004B2E7C" w:rsidRPr="00C966F7" w:rsidRDefault="004B2E7C" w:rsidP="00434A6A">
      <w:pPr>
        <w:rPr>
          <w:u w:val="single"/>
        </w:rPr>
      </w:pPr>
      <w:r w:rsidRPr="00C966F7">
        <w:rPr>
          <w:rFonts w:hint="cs"/>
          <w:u w:val="single"/>
          <w:rtl/>
        </w:rPr>
        <w:t>הכנת צרכי שבת בעצמו:</w:t>
      </w:r>
    </w:p>
    <w:p w14:paraId="2A3359A8" w14:textId="77777777" w:rsidR="004B2E7C" w:rsidRPr="00163F72" w:rsidRDefault="004B2E7C" w:rsidP="00FF2D21">
      <w:pPr>
        <w:pStyle w:val="aa"/>
        <w:numPr>
          <w:ilvl w:val="0"/>
          <w:numId w:val="111"/>
        </w:numPr>
      </w:pPr>
      <w:r>
        <w:rPr>
          <w:rFonts w:cs="Arial" w:hint="cs"/>
          <w:rtl/>
        </w:rPr>
        <w:t xml:space="preserve">טור- </w:t>
      </w:r>
      <w:r w:rsidRPr="00163F72">
        <w:rPr>
          <w:rFonts w:cs="Arial"/>
          <w:rtl/>
        </w:rPr>
        <w:t>ואף אם יש לו כמה עבדים לשמשו ישתדל בעצמו להכין שום דבר לצרכי שבת כדי לכבדו</w:t>
      </w:r>
      <w:r>
        <w:rPr>
          <w:rFonts w:cs="Arial" w:hint="cs"/>
          <w:rtl/>
        </w:rPr>
        <w:t>,</w:t>
      </w:r>
      <w:r w:rsidRPr="00163F72">
        <w:rPr>
          <w:rFonts w:cs="Arial"/>
          <w:rtl/>
        </w:rPr>
        <w:t xml:space="preserve"> כדאיתא בפרק כל כתבי (קיט</w:t>
      </w:r>
      <w:r>
        <w:rPr>
          <w:rFonts w:cs="Arial" w:hint="cs"/>
          <w:rtl/>
        </w:rPr>
        <w:t>.</w:t>
      </w:r>
      <w:r w:rsidRPr="00163F72">
        <w:rPr>
          <w:rFonts w:cs="Arial"/>
          <w:rtl/>
        </w:rPr>
        <w:t>) רב חסדא פרים סילקי</w:t>
      </w:r>
      <w:r>
        <w:rPr>
          <w:rFonts w:cs="Arial" w:hint="cs"/>
          <w:rtl/>
        </w:rPr>
        <w:t>,</w:t>
      </w:r>
      <w:r w:rsidRPr="00163F72">
        <w:rPr>
          <w:rFonts w:cs="Arial"/>
          <w:rtl/>
        </w:rPr>
        <w:t xml:space="preserve"> פי' היה מחתך הירק לצורך סעודת שבת</w:t>
      </w:r>
      <w:r>
        <w:rPr>
          <w:rFonts w:cs="Arial" w:hint="cs"/>
          <w:rtl/>
        </w:rPr>
        <w:t>.</w:t>
      </w:r>
      <w:r w:rsidRPr="00163F72">
        <w:rPr>
          <w:rFonts w:cs="Arial"/>
          <w:rtl/>
        </w:rPr>
        <w:t xml:space="preserve"> רבה ורב יוסף מצלחי ציבי</w:t>
      </w:r>
      <w:r>
        <w:rPr>
          <w:rFonts w:cs="Arial" w:hint="cs"/>
          <w:rtl/>
        </w:rPr>
        <w:t>,</w:t>
      </w:r>
      <w:r w:rsidRPr="00163F72">
        <w:rPr>
          <w:rFonts w:cs="Arial"/>
          <w:rtl/>
        </w:rPr>
        <w:t xml:space="preserve"> היו מבקעין העצים</w:t>
      </w:r>
      <w:r>
        <w:rPr>
          <w:rFonts w:cs="Arial" w:hint="cs"/>
          <w:rtl/>
        </w:rPr>
        <w:t>.</w:t>
      </w:r>
      <w:r w:rsidRPr="00163F72">
        <w:rPr>
          <w:rFonts w:cs="Arial"/>
          <w:rtl/>
        </w:rPr>
        <w:t xml:space="preserve"> ר' זעירא מצתת צתותי</w:t>
      </w:r>
      <w:r>
        <w:rPr>
          <w:rFonts w:cs="Arial" w:hint="cs"/>
          <w:rtl/>
        </w:rPr>
        <w:t>,</w:t>
      </w:r>
      <w:r w:rsidRPr="00163F72">
        <w:rPr>
          <w:rFonts w:cs="Arial"/>
          <w:rtl/>
        </w:rPr>
        <w:t xml:space="preserve"> היה מדליק האש</w:t>
      </w:r>
      <w:r>
        <w:rPr>
          <w:rFonts w:cs="Arial" w:hint="cs"/>
          <w:rtl/>
        </w:rPr>
        <w:t>.</w:t>
      </w:r>
      <w:r w:rsidRPr="00163F72">
        <w:rPr>
          <w:rFonts w:cs="Arial"/>
          <w:rtl/>
        </w:rPr>
        <w:t xml:space="preserve"> רב נחמן בר יצחק מכתף ועייל מכתף ונפיק אמר אי מקלעי רבי אמי ורבי אסי מי לא מכתפנא קמייהו</w:t>
      </w:r>
      <w:r>
        <w:rPr>
          <w:rFonts w:cs="Arial" w:hint="cs"/>
          <w:rtl/>
        </w:rPr>
        <w:t>,</w:t>
      </w:r>
      <w:r w:rsidRPr="00163F72">
        <w:rPr>
          <w:rFonts w:cs="Arial"/>
          <w:rtl/>
        </w:rPr>
        <w:t xml:space="preserve"> פי' היה מתקן הבית מכניס הכלים הצריכין לשבת ומפנה כלי החול</w:t>
      </w:r>
      <w:r>
        <w:rPr>
          <w:rFonts w:cs="Arial" w:hint="cs"/>
          <w:rtl/>
        </w:rPr>
        <w:t>.</w:t>
      </w:r>
      <w:r w:rsidRPr="00163F72">
        <w:rPr>
          <w:rFonts w:cs="Arial"/>
          <w:rtl/>
        </w:rPr>
        <w:t xml:space="preserve"> ומהם ילמוד כל אדם ולא יאמר לא אפגום כבודי כי זה כבודו שמכבד השבת</w:t>
      </w:r>
      <w:r w:rsidRPr="00163F72">
        <w:rPr>
          <w:rFonts w:cs="Arial" w:hint="cs"/>
          <w:rtl/>
        </w:rPr>
        <w:t>.</w:t>
      </w:r>
      <w:r>
        <w:rPr>
          <w:rFonts w:hint="cs"/>
          <w:rtl/>
        </w:rPr>
        <w:t xml:space="preserve"> </w:t>
      </w:r>
      <w:r w:rsidRPr="007363D9">
        <w:rPr>
          <w:rFonts w:hint="cs"/>
          <w:color w:val="E36C0A" w:themeColor="accent6" w:themeShade="BF"/>
          <w:rtl/>
        </w:rPr>
        <w:t>(וכ"פ בשו"ע)</w:t>
      </w:r>
    </w:p>
    <w:p w14:paraId="0F03440C" w14:textId="77777777" w:rsidR="004B2E7C" w:rsidRPr="00C966F7" w:rsidRDefault="004B2E7C" w:rsidP="00434A6A">
      <w:pPr>
        <w:rPr>
          <w:u w:val="single"/>
        </w:rPr>
      </w:pPr>
      <w:r w:rsidRPr="00C966F7">
        <w:rPr>
          <w:rFonts w:hint="cs"/>
          <w:u w:val="single"/>
          <w:rtl/>
        </w:rPr>
        <w:t>השחזת סכין לכבוד שבת:</w:t>
      </w:r>
    </w:p>
    <w:p w14:paraId="0B5634D0" w14:textId="77777777" w:rsidR="004B2E7C" w:rsidRDefault="004B2E7C" w:rsidP="00FF2D21">
      <w:pPr>
        <w:pStyle w:val="aa"/>
        <w:numPr>
          <w:ilvl w:val="0"/>
          <w:numId w:val="111"/>
        </w:numPr>
      </w:pPr>
      <w:r>
        <w:rPr>
          <w:rFonts w:cs="Arial" w:hint="cs"/>
          <w:rtl/>
        </w:rPr>
        <w:t xml:space="preserve">ב"י- </w:t>
      </w:r>
      <w:r w:rsidRPr="00163F72">
        <w:rPr>
          <w:rFonts w:cs="Arial"/>
          <w:rtl/>
        </w:rPr>
        <w:t>כתוב בכל בו (סי' לא כה ע"ג) ומשחיזין הסכין בכל ערב שבת דהכי תניא בספרי וידעת כי שלום אהלך (איוב ה כד) זו השחזת סכין ומצאתי כתוב בשם ספר חיי עולם (ספר היראה לר"י אות שט) דמוכח לה מדכתיב והכינו את והוא כמו לאתים ולמזמרות (ישעיה ב ד)</w:t>
      </w:r>
      <w:r>
        <w:rPr>
          <w:rFonts w:cs="Arial" w:hint="cs"/>
          <w:rtl/>
        </w:rPr>
        <w:t>.</w:t>
      </w:r>
      <w:r>
        <w:rPr>
          <w:rFonts w:hint="cs"/>
          <w:rtl/>
        </w:rPr>
        <w:t xml:space="preserve"> </w:t>
      </w:r>
      <w:r w:rsidRPr="007363D9">
        <w:rPr>
          <w:rFonts w:hint="cs"/>
          <w:color w:val="00B0F0"/>
          <w:rtl/>
        </w:rPr>
        <w:t>(וכ"פ הרמ"א)</w:t>
      </w:r>
    </w:p>
    <w:p w14:paraId="0534C8BD" w14:textId="77777777" w:rsidR="004B2E7C" w:rsidRDefault="004B2E7C" w:rsidP="00434A6A">
      <w:pPr>
        <w:rPr>
          <w:rtl/>
        </w:rPr>
      </w:pPr>
      <w:r w:rsidRPr="008B53AB">
        <w:rPr>
          <w:rFonts w:cs="Arial" w:hint="cs"/>
          <w:b/>
          <w:bCs/>
          <w:rtl/>
        </w:rPr>
        <w:t xml:space="preserve">ביצה </w:t>
      </w:r>
      <w:r>
        <w:rPr>
          <w:rFonts w:cs="Arial" w:hint="cs"/>
          <w:b/>
          <w:bCs/>
          <w:sz w:val="16"/>
          <w:szCs w:val="16"/>
          <w:rtl/>
        </w:rPr>
        <w:t xml:space="preserve">(פ"ק) </w:t>
      </w:r>
      <w:r w:rsidRPr="008B53AB">
        <w:rPr>
          <w:rFonts w:cs="Arial" w:hint="cs"/>
          <w:b/>
          <w:bCs/>
          <w:rtl/>
        </w:rPr>
        <w:t xml:space="preserve">טז ע"א: </w:t>
      </w:r>
      <w:r w:rsidRPr="008B53AB">
        <w:rPr>
          <w:rFonts w:cs="Arial"/>
          <w:rtl/>
        </w:rPr>
        <w:t>תניא, אמרו עליו על שמאי הזקן, כל ימיו היה אוכל לכבוד שבת. מצא בהמה נאה אומר: זו לשבת. מצא אחרת נאה הימנה - מניח את השניה ואוכל את הראשונה. אבל הלל הזקן מדה אחרת היתה לו, שכל מעשיו לשם שמים. שנאמר ברוך ה' יום יום. תניא נמי הכי: בית שמאי אומרים: מחד שביך לשבתיך, ובית הלל אומרים: ברוך ה' יום יום.</w:t>
      </w:r>
    </w:p>
    <w:p w14:paraId="55059E7A" w14:textId="77777777" w:rsidR="004B2E7C" w:rsidRDefault="004B2E7C" w:rsidP="00434A6A">
      <w:r w:rsidRPr="008B53AB">
        <w:rPr>
          <w:rFonts w:cs="Arial"/>
          <w:b/>
          <w:bCs/>
          <w:rtl/>
        </w:rPr>
        <w:t xml:space="preserve">מכילתא דרבי ישמעאל </w:t>
      </w:r>
      <w:r w:rsidRPr="008B53AB">
        <w:rPr>
          <w:rFonts w:cs="Arial" w:hint="cs"/>
          <w:b/>
          <w:bCs/>
          <w:sz w:val="16"/>
          <w:szCs w:val="16"/>
          <w:rtl/>
        </w:rPr>
        <w:t>(</w:t>
      </w:r>
      <w:r w:rsidRPr="008B53AB">
        <w:rPr>
          <w:rFonts w:cs="Arial"/>
          <w:b/>
          <w:bCs/>
          <w:sz w:val="16"/>
          <w:szCs w:val="16"/>
          <w:rtl/>
        </w:rPr>
        <w:t>יתרו מסכתא דבחדש פרשה ז</w:t>
      </w:r>
      <w:r w:rsidRPr="008B53AB">
        <w:rPr>
          <w:rFonts w:cs="Arial" w:hint="cs"/>
          <w:b/>
          <w:bCs/>
          <w:sz w:val="16"/>
          <w:szCs w:val="16"/>
          <w:rtl/>
        </w:rPr>
        <w:t>)</w:t>
      </w:r>
      <w:r w:rsidRPr="008B53AB">
        <w:rPr>
          <w:rFonts w:cs="Arial" w:hint="cs"/>
          <w:b/>
          <w:bCs/>
          <w:rtl/>
        </w:rPr>
        <w:t xml:space="preserve">: </w:t>
      </w:r>
      <w:r w:rsidRPr="008B53AB">
        <w:rPr>
          <w:rFonts w:cs="Arial"/>
          <w:rtl/>
        </w:rPr>
        <w:t>אלעזר בן חנניה בן חזקיה בן חנניה בן גרון אומר, זכור את יום השבת לקדשו, תהא זוכרו מאחד בשבת, שאם יתמנה לך מנה יפה תהא מתקנו לשם שבת.</w:t>
      </w:r>
    </w:p>
    <w:p w14:paraId="539D816A" w14:textId="77777777" w:rsidR="004B2E7C" w:rsidRPr="00140B2C" w:rsidRDefault="004B2E7C" w:rsidP="00434A6A">
      <w:r w:rsidRPr="00140B2C">
        <w:rPr>
          <w:rFonts w:hint="cs"/>
          <w:u w:val="single"/>
          <w:rtl/>
        </w:rPr>
        <w:t>האם צריך להכין מיום ראשון לשבת:</w:t>
      </w:r>
      <w:r>
        <w:rPr>
          <w:rFonts w:hint="cs"/>
          <w:rtl/>
        </w:rPr>
        <w:t xml:space="preserve"> </w:t>
      </w:r>
      <w:r>
        <w:rPr>
          <w:rFonts w:cs="Arial" w:hint="cs"/>
          <w:sz w:val="16"/>
          <w:szCs w:val="16"/>
          <w:rtl/>
        </w:rPr>
        <w:t xml:space="preserve"> </w:t>
      </w:r>
      <w:r w:rsidRPr="00140B2C">
        <w:rPr>
          <w:rFonts w:cs="Arial"/>
          <w:sz w:val="16"/>
          <w:szCs w:val="16"/>
          <w:rtl/>
        </w:rPr>
        <w:t>(</w:t>
      </w:r>
      <w:r w:rsidRPr="00140B2C">
        <w:rPr>
          <w:rFonts w:cs="Arial" w:hint="cs"/>
          <w:sz w:val="16"/>
          <w:szCs w:val="16"/>
          <w:rtl/>
        </w:rPr>
        <w:t xml:space="preserve">דרכ"מ אות </w:t>
      </w:r>
      <w:r w:rsidRPr="00140B2C">
        <w:rPr>
          <w:rFonts w:cs="Arial"/>
          <w:sz w:val="16"/>
          <w:szCs w:val="16"/>
          <w:rtl/>
        </w:rPr>
        <w:t>א)</w:t>
      </w:r>
      <w:r w:rsidRPr="00140B2C">
        <w:rPr>
          <w:rFonts w:cs="Arial"/>
          <w:rtl/>
        </w:rPr>
        <w:t xml:space="preserve"> </w:t>
      </w:r>
    </w:p>
    <w:p w14:paraId="5C7AAA34" w14:textId="77777777" w:rsidR="004B2E7C" w:rsidRPr="00140B2C" w:rsidRDefault="004B2E7C" w:rsidP="00FF2D21">
      <w:pPr>
        <w:pStyle w:val="aa"/>
        <w:numPr>
          <w:ilvl w:val="0"/>
          <w:numId w:val="111"/>
        </w:numPr>
      </w:pPr>
      <w:r w:rsidRPr="00163F72">
        <w:rPr>
          <w:rFonts w:cs="Arial"/>
          <w:rtl/>
        </w:rPr>
        <w:t xml:space="preserve">אור זרוע </w:t>
      </w:r>
      <w:r w:rsidRPr="00140B2C">
        <w:rPr>
          <w:rFonts w:cs="Arial"/>
          <w:sz w:val="16"/>
          <w:szCs w:val="16"/>
          <w:rtl/>
        </w:rPr>
        <w:t>(עי' הל' ערב שבת סי' יח ס"ג)</w:t>
      </w:r>
      <w:r>
        <w:rPr>
          <w:rFonts w:cs="Arial" w:hint="cs"/>
          <w:rtl/>
        </w:rPr>
        <w:t>-</w:t>
      </w:r>
      <w:r w:rsidRPr="00163F72">
        <w:rPr>
          <w:rFonts w:cs="Arial"/>
          <w:rtl/>
        </w:rPr>
        <w:t xml:space="preserve"> מצוה להכין מיום ראשון בשבת לשבת כמו שעשה שמאי (ביצה טז</w:t>
      </w:r>
      <w:r>
        <w:rPr>
          <w:rFonts w:cs="Arial" w:hint="cs"/>
          <w:rtl/>
        </w:rPr>
        <w:t>.</w:t>
      </w:r>
      <w:r w:rsidRPr="00163F72">
        <w:rPr>
          <w:rFonts w:cs="Arial"/>
          <w:rtl/>
        </w:rPr>
        <w:t>) שאכל כל ימיו לכבוד שבת ואף על פי שאמרו שם בגמרא אבל הלל הזקן מדה אחרת היתה בו שכל מעשיו לשם שמים וכו' הכי פירושו שאף על פי שכל מעשיו לשם שמים היתה בו מדה זאת אבל גם הלל מודה שמדת שמאי עדיפא טפי וכן משמע במעשה דהאי קצב (שבת קיט</w:t>
      </w:r>
      <w:r>
        <w:rPr>
          <w:rFonts w:cs="Arial" w:hint="cs"/>
          <w:rtl/>
        </w:rPr>
        <w:t>.</w:t>
      </w:r>
      <w:r w:rsidRPr="00163F72">
        <w:rPr>
          <w:rFonts w:cs="Arial"/>
          <w:rtl/>
        </w:rPr>
        <w:t>) דיש לעשות כשמאי</w:t>
      </w:r>
      <w:r>
        <w:rPr>
          <w:rFonts w:cs="Arial" w:hint="cs"/>
          <w:sz w:val="16"/>
          <w:szCs w:val="16"/>
          <w:rtl/>
        </w:rPr>
        <w:t xml:space="preserve"> (ל' הדרכ"מ בשמו)</w:t>
      </w:r>
      <w:r>
        <w:rPr>
          <w:rFonts w:cs="Arial" w:hint="cs"/>
          <w:rtl/>
        </w:rPr>
        <w:t>.</w:t>
      </w:r>
      <w:r w:rsidRPr="00163F72">
        <w:rPr>
          <w:rFonts w:cs="Arial"/>
          <w:rtl/>
        </w:rPr>
        <w:t xml:space="preserve"> </w:t>
      </w:r>
      <w:r>
        <w:rPr>
          <w:rFonts w:cs="Arial" w:hint="cs"/>
          <w:rtl/>
        </w:rPr>
        <w:t>(וכ"פ במשנ"ב</w:t>
      </w:r>
      <w:r>
        <w:rPr>
          <w:rStyle w:val="a9"/>
          <w:rFonts w:cs="Arial"/>
          <w:rtl/>
        </w:rPr>
        <w:footnoteReference w:id="293"/>
      </w:r>
      <w:r>
        <w:rPr>
          <w:rFonts w:cs="Arial" w:hint="cs"/>
          <w:sz w:val="16"/>
          <w:szCs w:val="16"/>
          <w:rtl/>
        </w:rPr>
        <w:t xml:space="preserve"> [סק"ב]</w:t>
      </w:r>
      <w:r>
        <w:rPr>
          <w:rFonts w:cs="Arial" w:hint="cs"/>
          <w:rtl/>
        </w:rPr>
        <w:t>)</w:t>
      </w:r>
    </w:p>
    <w:p w14:paraId="68E07FE7" w14:textId="77777777" w:rsidR="004B2E7C" w:rsidRPr="00B72CF0" w:rsidRDefault="004B2E7C" w:rsidP="00FF2D21">
      <w:pPr>
        <w:pStyle w:val="aa"/>
        <w:numPr>
          <w:ilvl w:val="0"/>
          <w:numId w:val="111"/>
        </w:numPr>
        <w:rPr>
          <w:rtl/>
        </w:rPr>
      </w:pPr>
      <w:r w:rsidRPr="00163F72">
        <w:rPr>
          <w:rFonts w:cs="Arial"/>
          <w:rtl/>
        </w:rPr>
        <w:t xml:space="preserve">רמב"ן </w:t>
      </w:r>
      <w:r w:rsidRPr="00140B2C">
        <w:rPr>
          <w:rFonts w:cs="Arial" w:hint="cs"/>
          <w:sz w:val="16"/>
          <w:szCs w:val="16"/>
          <w:rtl/>
        </w:rPr>
        <w:t>(</w:t>
      </w:r>
      <w:r w:rsidRPr="00140B2C">
        <w:rPr>
          <w:rFonts w:cs="Arial"/>
          <w:sz w:val="16"/>
          <w:szCs w:val="16"/>
          <w:rtl/>
        </w:rPr>
        <w:t>פרשת יתרו שמות כ ח)</w:t>
      </w:r>
      <w:r>
        <w:rPr>
          <w:rFonts w:cs="Arial" w:hint="cs"/>
          <w:rtl/>
        </w:rPr>
        <w:t xml:space="preserve">- </w:t>
      </w:r>
      <w:r w:rsidRPr="00163F72">
        <w:rPr>
          <w:rFonts w:cs="Arial"/>
          <w:rtl/>
        </w:rPr>
        <w:t>בית הלל חולק על בית שמאי ולית הלכתא כבית שמאי</w:t>
      </w:r>
      <w:r>
        <w:rPr>
          <w:rStyle w:val="a9"/>
          <w:rFonts w:cs="Arial"/>
          <w:rtl/>
        </w:rPr>
        <w:footnoteReference w:id="294"/>
      </w:r>
      <w:r>
        <w:rPr>
          <w:rFonts w:cs="Arial" w:hint="cs"/>
          <w:sz w:val="16"/>
          <w:szCs w:val="16"/>
          <w:rtl/>
        </w:rPr>
        <w:t xml:space="preserve"> (ל' הדרכ"מ בשמו)</w:t>
      </w:r>
      <w:r>
        <w:rPr>
          <w:rFonts w:cs="Arial" w:hint="cs"/>
          <w:rtl/>
        </w:rPr>
        <w:t>.</w:t>
      </w:r>
    </w:p>
    <w:p w14:paraId="0797BA28"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2CD3FF6" w14:textId="77777777" w:rsidR="004B2E7C" w:rsidRDefault="004B2E7C" w:rsidP="00434A6A">
      <w:pPr>
        <w:rPr>
          <w:rFonts w:cs="Arial"/>
          <w:rtl/>
        </w:rPr>
      </w:pPr>
      <w:r>
        <w:rPr>
          <w:rFonts w:cs="Arial"/>
          <w:rtl/>
        </w:rPr>
        <w:t>ישכים בבוקר</w:t>
      </w:r>
      <w:r>
        <w:rPr>
          <w:rStyle w:val="a9"/>
          <w:rFonts w:cs="Arial"/>
          <w:rtl/>
        </w:rPr>
        <w:footnoteReference w:id="295"/>
      </w:r>
      <w:r>
        <w:rPr>
          <w:rFonts w:cs="Arial"/>
          <w:rtl/>
        </w:rPr>
        <w:t xml:space="preserve"> ביום ששי</w:t>
      </w:r>
      <w:r>
        <w:rPr>
          <w:rStyle w:val="a9"/>
          <w:rFonts w:cs="Arial"/>
          <w:rtl/>
        </w:rPr>
        <w:footnoteReference w:id="296"/>
      </w:r>
      <w:r>
        <w:rPr>
          <w:rFonts w:cs="Arial"/>
          <w:rtl/>
        </w:rPr>
        <w:t xml:space="preserve"> להכין צרכי שבת</w:t>
      </w:r>
      <w:r>
        <w:rPr>
          <w:rFonts w:cs="Arial" w:hint="cs"/>
          <w:rtl/>
        </w:rPr>
        <w:t>.</w:t>
      </w:r>
      <w:r>
        <w:rPr>
          <w:rFonts w:cs="Arial"/>
          <w:rtl/>
        </w:rPr>
        <w:t xml:space="preserve"> ואפילו יש לו כמה עבדים לשמשו</w:t>
      </w:r>
      <w:r>
        <w:rPr>
          <w:rFonts w:cs="Arial" w:hint="cs"/>
          <w:rtl/>
        </w:rPr>
        <w:t>,</w:t>
      </w:r>
      <w:r>
        <w:rPr>
          <w:rFonts w:cs="Arial"/>
          <w:rtl/>
        </w:rPr>
        <w:t xml:space="preserve"> ישתדל להכין בעצמו</w:t>
      </w:r>
      <w:r>
        <w:rPr>
          <w:rStyle w:val="a9"/>
          <w:rFonts w:cs="Arial"/>
          <w:rtl/>
        </w:rPr>
        <w:footnoteReference w:id="297"/>
      </w:r>
      <w:r>
        <w:rPr>
          <w:rFonts w:cs="Arial"/>
          <w:rtl/>
        </w:rPr>
        <w:t xml:space="preserve"> שום דבר לצרכי שבת כדי לכבדו</w:t>
      </w:r>
      <w:r>
        <w:rPr>
          <w:rFonts w:cs="Arial" w:hint="cs"/>
          <w:rtl/>
        </w:rPr>
        <w:t>.</w:t>
      </w:r>
      <w:r>
        <w:rPr>
          <w:rFonts w:cs="Arial"/>
          <w:rtl/>
        </w:rPr>
        <w:t xml:space="preserve"> כי רב חסדא היה מחתך הירק דק דק</w:t>
      </w:r>
      <w:r>
        <w:rPr>
          <w:rFonts w:cs="Arial" w:hint="cs"/>
          <w:rtl/>
        </w:rPr>
        <w:t>.</w:t>
      </w:r>
      <w:r>
        <w:rPr>
          <w:rFonts w:cs="Arial"/>
          <w:rtl/>
        </w:rPr>
        <w:t xml:space="preserve"> ורבה ורב יוסף היו מבקעין עצים</w:t>
      </w:r>
      <w:r>
        <w:rPr>
          <w:rFonts w:cs="Arial" w:hint="cs"/>
          <w:rtl/>
        </w:rPr>
        <w:t>.</w:t>
      </w:r>
      <w:r>
        <w:rPr>
          <w:rFonts w:cs="Arial"/>
          <w:rtl/>
        </w:rPr>
        <w:t xml:space="preserve"> ור</w:t>
      </w:r>
      <w:r>
        <w:rPr>
          <w:rFonts w:cs="Arial" w:hint="cs"/>
          <w:rtl/>
        </w:rPr>
        <w:t xml:space="preserve">בי </w:t>
      </w:r>
      <w:r>
        <w:rPr>
          <w:rFonts w:cs="Arial"/>
          <w:rtl/>
        </w:rPr>
        <w:t>ז</w:t>
      </w:r>
      <w:r>
        <w:rPr>
          <w:rFonts w:cs="Arial" w:hint="cs"/>
          <w:rtl/>
        </w:rPr>
        <w:t>ירא</w:t>
      </w:r>
      <w:r>
        <w:rPr>
          <w:rFonts w:cs="Arial"/>
          <w:rtl/>
        </w:rPr>
        <w:t xml:space="preserve"> היה מדליק האש</w:t>
      </w:r>
      <w:r>
        <w:rPr>
          <w:rFonts w:cs="Arial" w:hint="cs"/>
          <w:rtl/>
        </w:rPr>
        <w:t>.</w:t>
      </w:r>
      <w:r>
        <w:rPr>
          <w:rFonts w:cs="Arial"/>
          <w:rtl/>
        </w:rPr>
        <w:t xml:space="preserve"> ורב נחמן היה מתקן הבית ומכניס כלים הצריכים לשבת ומפנה כלי החול</w:t>
      </w:r>
      <w:r>
        <w:rPr>
          <w:rFonts w:cs="Arial" w:hint="cs"/>
          <w:rtl/>
        </w:rPr>
        <w:t>.</w:t>
      </w:r>
      <w:r>
        <w:rPr>
          <w:rFonts w:cs="Arial"/>
          <w:rtl/>
        </w:rPr>
        <w:t xml:space="preserve"> ומהם ילמד כל אדם, ולא יאמר: לא אפגום כבודי, כי זה הוא כבודו שמכבד השבת. </w:t>
      </w:r>
      <w:r w:rsidRPr="00B72CF0">
        <w:rPr>
          <w:rFonts w:cs="Arial"/>
          <w:sz w:val="18"/>
          <w:szCs w:val="18"/>
          <w:rtl/>
        </w:rPr>
        <w:t>הגה: ויש להשחיז הסכין בערב שבת, כי זהו מכבוד השבת שמכין עצמו לאכילה (כל בו וב"י בשם ספר חיי עולם).</w:t>
      </w:r>
    </w:p>
    <w:p w14:paraId="771B9961" w14:textId="77777777" w:rsidR="004B2E7C" w:rsidRDefault="004B2E7C" w:rsidP="00434A6A">
      <w:pPr>
        <w:rPr>
          <w:rtl/>
        </w:rPr>
      </w:pPr>
      <w:r>
        <w:rPr>
          <w:rFonts w:cs="Arial"/>
          <w:rtl/>
        </w:rPr>
        <w:t xml:space="preserve"> </w:t>
      </w:r>
    </w:p>
    <w:p w14:paraId="78D81658" w14:textId="77777777" w:rsidR="004B2E7C" w:rsidRPr="00B72CF0" w:rsidRDefault="004B2E7C" w:rsidP="00434A6A">
      <w:pPr>
        <w:pStyle w:val="2"/>
        <w:rPr>
          <w:rtl/>
        </w:rPr>
      </w:pPr>
      <w:r>
        <w:rPr>
          <w:rtl/>
        </w:rPr>
        <w:t>סעיף ב</w:t>
      </w:r>
      <w:r>
        <w:rPr>
          <w:rFonts w:hint="cs"/>
          <w:rtl/>
        </w:rPr>
        <w:t>: להרבות בבשר ויין ומגדנות.</w:t>
      </w:r>
    </w:p>
    <w:p w14:paraId="14DE34C5"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B9B145A" w14:textId="77777777" w:rsidR="004B2E7C" w:rsidRDefault="004B2E7C" w:rsidP="00434A6A">
      <w:pPr>
        <w:rPr>
          <w:rFonts w:cs="Arial"/>
          <w:rtl/>
        </w:rPr>
      </w:pPr>
      <w:r>
        <w:rPr>
          <w:rFonts w:cs="Arial"/>
          <w:rtl/>
        </w:rPr>
        <w:t>ירבה בבשר ויין ומגדנות כפי יכלתו.</w:t>
      </w:r>
    </w:p>
    <w:p w14:paraId="77688FAB" w14:textId="77777777" w:rsidR="004B2E7C" w:rsidRDefault="004B2E7C" w:rsidP="00434A6A">
      <w:pPr>
        <w:rPr>
          <w:rtl/>
        </w:rPr>
      </w:pPr>
    </w:p>
    <w:p w14:paraId="015C7E33" w14:textId="77777777" w:rsidR="004B2E7C" w:rsidRDefault="004B2E7C" w:rsidP="00434A6A">
      <w:pPr>
        <w:pStyle w:val="1"/>
        <w:rPr>
          <w:rtl/>
        </w:rPr>
        <w:sectPr w:rsidR="004B2E7C" w:rsidSect="00BD29B1">
          <w:headerReference w:type="default" r:id="rId21"/>
          <w:footnotePr>
            <w:numRestart w:val="eachSect"/>
          </w:footnotePr>
          <w:pgSz w:w="11906" w:h="16838"/>
          <w:pgMar w:top="720" w:right="1134" w:bottom="720" w:left="1134" w:header="0" w:footer="0" w:gutter="0"/>
          <w:cols w:space="720"/>
          <w:bidi/>
          <w:rtlGutter/>
          <w:docGrid w:linePitch="360"/>
        </w:sectPr>
      </w:pPr>
    </w:p>
    <w:p w14:paraId="54620D5E" w14:textId="77777777" w:rsidR="004B2E7C" w:rsidRDefault="004B2E7C" w:rsidP="00434A6A">
      <w:pPr>
        <w:pStyle w:val="1"/>
        <w:rPr>
          <w:rtl/>
        </w:rPr>
      </w:pPr>
      <w:r>
        <w:rPr>
          <w:rFonts w:hint="cs"/>
          <w:rtl/>
        </w:rPr>
        <w:t>סימן רנא:</w:t>
      </w:r>
      <w:r w:rsidRPr="0085796F">
        <w:rPr>
          <w:rtl/>
        </w:rPr>
        <w:t xml:space="preserve"> </w:t>
      </w:r>
      <w:r>
        <w:rPr>
          <w:rtl/>
        </w:rPr>
        <w:t xml:space="preserve">שלא לעשות מלאכה בערב שבת מן המנחה ולמעלה, ובו ב' סעיפים. </w:t>
      </w:r>
    </w:p>
    <w:p w14:paraId="50A7BABF" w14:textId="77777777" w:rsidR="004B2E7C" w:rsidRDefault="004B2E7C" w:rsidP="00434A6A">
      <w:pPr>
        <w:pStyle w:val="2"/>
        <w:rPr>
          <w:rtl/>
        </w:rPr>
      </w:pPr>
      <w:r>
        <w:rPr>
          <w:rtl/>
        </w:rPr>
        <w:t>סעיף א</w:t>
      </w:r>
      <w:r>
        <w:rPr>
          <w:rFonts w:hint="cs"/>
          <w:rtl/>
        </w:rPr>
        <w:t>: עשיית מלאכה בערב שבת.</w:t>
      </w:r>
    </w:p>
    <w:p w14:paraId="4DB41065" w14:textId="77777777" w:rsidR="004B2E7C" w:rsidRDefault="004B2E7C" w:rsidP="00434A6A">
      <w:pPr>
        <w:rPr>
          <w:rtl/>
        </w:rPr>
      </w:pPr>
      <w:r w:rsidRPr="00A55BC2">
        <w:rPr>
          <w:rFonts w:cs="Arial" w:hint="cs"/>
          <w:b/>
          <w:bCs/>
          <w:rtl/>
        </w:rPr>
        <w:t xml:space="preserve">פסחים </w:t>
      </w:r>
      <w:r>
        <w:rPr>
          <w:rFonts w:cs="Arial" w:hint="cs"/>
          <w:b/>
          <w:bCs/>
          <w:sz w:val="16"/>
          <w:szCs w:val="16"/>
          <w:rtl/>
        </w:rPr>
        <w:t xml:space="preserve">(ר"פ מקום שנהגו) </w:t>
      </w:r>
      <w:r w:rsidRPr="00A55BC2">
        <w:rPr>
          <w:rFonts w:cs="Arial" w:hint="cs"/>
          <w:b/>
          <w:bCs/>
          <w:rtl/>
        </w:rPr>
        <w:t xml:space="preserve">נ ע"א: </w:t>
      </w:r>
      <w:r w:rsidRPr="00A55BC2">
        <w:rPr>
          <w:rFonts w:cs="Arial"/>
          <w:u w:val="double"/>
          <w:rtl/>
        </w:rPr>
        <w:t>משנה</w:t>
      </w:r>
      <w:r>
        <w:rPr>
          <w:rFonts w:cs="Arial" w:hint="cs"/>
          <w:rtl/>
        </w:rPr>
        <w:t>:</w:t>
      </w:r>
      <w:r w:rsidRPr="00A55BC2">
        <w:rPr>
          <w:rFonts w:cs="Arial"/>
          <w:rtl/>
        </w:rPr>
        <w:t xml:space="preserve"> מקום שנהגו לעשות מלאכה בערבי פסחים עד חצות - עושין, מקום שנהגו שלא לעשות - אין עושין. ההולך ממקום שעושין למקום שאין עושין, או ממקום שאין עושין למקום שעושין - נותנין עליו חומרי מקום שיצא משם, וחומרי מקום שהלך לשם.</w:t>
      </w:r>
      <w:r w:rsidRPr="00A55BC2">
        <w:rPr>
          <w:rtl/>
        </w:rPr>
        <w:t xml:space="preserve"> </w:t>
      </w:r>
      <w:r>
        <w:rPr>
          <w:rFonts w:hint="cs"/>
          <w:sz w:val="14"/>
          <w:szCs w:val="14"/>
          <w:rtl/>
        </w:rPr>
        <w:t xml:space="preserve">(נ:) </w:t>
      </w:r>
      <w:r w:rsidRPr="00A55BC2">
        <w:rPr>
          <w:rFonts w:cs="Arial"/>
          <w:rtl/>
        </w:rPr>
        <w:t>ואל ישנה אדם מפני המחלוקת.</w:t>
      </w:r>
      <w:r>
        <w:rPr>
          <w:rFonts w:hint="cs"/>
          <w:rtl/>
        </w:rPr>
        <w:t xml:space="preserve">      </w:t>
      </w:r>
      <w:r w:rsidRPr="00A55BC2">
        <w:rPr>
          <w:rFonts w:hint="cs"/>
          <w:u w:val="double"/>
          <w:rtl/>
        </w:rPr>
        <w:t>גמ</w:t>
      </w:r>
      <w:r>
        <w:rPr>
          <w:rFonts w:hint="cs"/>
          <w:u w:val="double"/>
          <w:rtl/>
        </w:rPr>
        <w:t>רא</w:t>
      </w:r>
      <w:r>
        <w:rPr>
          <w:rFonts w:hint="cs"/>
          <w:rtl/>
        </w:rPr>
        <w:t xml:space="preserve">: </w:t>
      </w:r>
      <w:r w:rsidRPr="00A55BC2">
        <w:rPr>
          <w:rFonts w:cs="Arial"/>
          <w:rtl/>
        </w:rPr>
        <w:t>מאי איריא ערבי פסחים? אפילו ערבי שבתות וערבי ימים טובים נמי! דתניא: העושה מלאכה בערבי שבתות וימים טובים, מן המנחה ולמעלה - אינו רואה סימן ברכה לעולם. התם מן המנחה ולמעלה הוא דאסור, סמוך למנחה - לא. הכא - מחצות. אי נמי: התם - סימן ברכה הוא דלא חזי, אבל שמותי - לא משמתינן ליה. הכא שמותי נמי משמתינן ליה.</w:t>
      </w:r>
    </w:p>
    <w:p w14:paraId="0FE5D8D2" w14:textId="77777777" w:rsidR="004B2E7C" w:rsidRPr="00A55BC2" w:rsidRDefault="004B2E7C" w:rsidP="00434A6A">
      <w:pPr>
        <w:rPr>
          <w:u w:val="single"/>
          <w:rtl/>
        </w:rPr>
      </w:pPr>
      <w:r w:rsidRPr="00A55BC2">
        <w:rPr>
          <w:rFonts w:hint="cs"/>
          <w:u w:val="single"/>
          <w:rtl/>
        </w:rPr>
        <w:t>עשיית מלאכה בערב שבת:</w:t>
      </w:r>
    </w:p>
    <w:p w14:paraId="7FBBB9DD" w14:textId="77777777" w:rsidR="004B2E7C" w:rsidRPr="0072340C" w:rsidRDefault="004B2E7C" w:rsidP="00FF2D21">
      <w:pPr>
        <w:pStyle w:val="aa"/>
        <w:numPr>
          <w:ilvl w:val="0"/>
          <w:numId w:val="112"/>
        </w:numPr>
      </w:pPr>
      <w:r>
        <w:rPr>
          <w:rFonts w:cs="Arial" w:hint="cs"/>
          <w:rtl/>
        </w:rPr>
        <w:t xml:space="preserve">מהר"ם </w:t>
      </w:r>
      <w:r w:rsidRPr="00A06209">
        <w:rPr>
          <w:rFonts w:cs="Arial"/>
          <w:sz w:val="16"/>
          <w:szCs w:val="16"/>
          <w:rtl/>
        </w:rPr>
        <w:t xml:space="preserve">(תשב"ץ קטן </w:t>
      </w:r>
      <w:r>
        <w:rPr>
          <w:rFonts w:cs="Arial" w:hint="cs"/>
          <w:sz w:val="16"/>
          <w:szCs w:val="16"/>
          <w:rtl/>
        </w:rPr>
        <w:t>[</w:t>
      </w:r>
      <w:r w:rsidRPr="00A06209">
        <w:rPr>
          <w:rFonts w:cs="Arial"/>
          <w:sz w:val="16"/>
          <w:szCs w:val="16"/>
          <w:rtl/>
        </w:rPr>
        <w:t>סי' צ</w:t>
      </w:r>
      <w:r>
        <w:rPr>
          <w:rFonts w:cs="Arial" w:hint="cs"/>
          <w:sz w:val="16"/>
          <w:szCs w:val="16"/>
          <w:rtl/>
        </w:rPr>
        <w:t>] ובמרדכי [סי' תרג]</w:t>
      </w:r>
      <w:r w:rsidRPr="00A06209">
        <w:rPr>
          <w:rFonts w:cs="Arial"/>
          <w:sz w:val="16"/>
          <w:szCs w:val="16"/>
          <w:rtl/>
        </w:rPr>
        <w:t>)</w:t>
      </w:r>
      <w:r>
        <w:rPr>
          <w:rFonts w:cs="Arial" w:hint="cs"/>
          <w:rtl/>
        </w:rPr>
        <w:t xml:space="preserve"> ו</w:t>
      </w:r>
      <w:r w:rsidRPr="00F24CBE">
        <w:rPr>
          <w:rFonts w:cs="Arial" w:hint="cs"/>
          <w:rtl/>
        </w:rPr>
        <w:t xml:space="preserve">טור- </w:t>
      </w:r>
      <w:r w:rsidRPr="00F24CBE">
        <w:rPr>
          <w:rFonts w:cs="Arial"/>
          <w:rtl/>
        </w:rPr>
        <w:t>העושה מלאכה בע"ש מן המנחה ולמעלה</w:t>
      </w:r>
      <w:r>
        <w:rPr>
          <w:rFonts w:cs="Arial" w:hint="cs"/>
          <w:rtl/>
        </w:rPr>
        <w:t>,</w:t>
      </w:r>
      <w:r w:rsidRPr="00F24CBE">
        <w:rPr>
          <w:rFonts w:cs="Arial"/>
          <w:rtl/>
        </w:rPr>
        <w:t xml:space="preserve"> דהיינו מו' שעות ומחצ</w:t>
      </w:r>
      <w:r>
        <w:rPr>
          <w:rFonts w:cs="Arial" w:hint="cs"/>
          <w:rtl/>
        </w:rPr>
        <w:t>ה</w:t>
      </w:r>
      <w:r w:rsidRPr="00F24CBE">
        <w:rPr>
          <w:rFonts w:cs="Arial"/>
          <w:rtl/>
        </w:rPr>
        <w:t xml:space="preserve"> ולמעל</w:t>
      </w:r>
      <w:r>
        <w:rPr>
          <w:rFonts w:cs="Arial" w:hint="cs"/>
          <w:rtl/>
        </w:rPr>
        <w:t>ה -</w:t>
      </w:r>
      <w:r w:rsidRPr="00F24CBE">
        <w:rPr>
          <w:rFonts w:cs="Arial"/>
          <w:rtl/>
        </w:rPr>
        <w:t xml:space="preserve"> אינו רואה סימן ברכה</w:t>
      </w:r>
      <w:r>
        <w:rPr>
          <w:rStyle w:val="a9"/>
          <w:rFonts w:cs="Arial"/>
          <w:rtl/>
        </w:rPr>
        <w:footnoteReference w:id="298"/>
      </w:r>
      <w:r>
        <w:rPr>
          <w:rFonts w:cs="Arial" w:hint="cs"/>
          <w:sz w:val="16"/>
          <w:szCs w:val="16"/>
          <w:rtl/>
        </w:rPr>
        <w:t xml:space="preserve"> (ל' הטור)</w:t>
      </w:r>
      <w:r>
        <w:rPr>
          <w:rFonts w:cs="Arial" w:hint="cs"/>
          <w:rtl/>
        </w:rPr>
        <w:t>.</w:t>
      </w:r>
    </w:p>
    <w:p w14:paraId="5FD661B9" w14:textId="77777777" w:rsidR="004B2E7C" w:rsidRPr="0072340C" w:rsidRDefault="004B2E7C" w:rsidP="00FF2D21">
      <w:pPr>
        <w:pStyle w:val="aa"/>
        <w:numPr>
          <w:ilvl w:val="0"/>
          <w:numId w:val="112"/>
        </w:numPr>
      </w:pPr>
      <w:r>
        <w:rPr>
          <w:rFonts w:cs="Arial"/>
          <w:rtl/>
        </w:rPr>
        <w:t>רש"י</w:t>
      </w:r>
      <w:r>
        <w:rPr>
          <w:rFonts w:cs="Arial" w:hint="cs"/>
          <w:rtl/>
        </w:rPr>
        <w:t xml:space="preserve"> </w:t>
      </w:r>
      <w:r>
        <w:rPr>
          <w:rFonts w:cs="Arial" w:hint="cs"/>
          <w:sz w:val="16"/>
          <w:szCs w:val="16"/>
          <w:rtl/>
        </w:rPr>
        <w:t>(פסחים נ: ד"ה מן המנחה, וד"ה סמוך למנחה)</w:t>
      </w:r>
      <w:r>
        <w:rPr>
          <w:rFonts w:cs="Arial" w:hint="cs"/>
          <w:rtl/>
        </w:rPr>
        <w:t xml:space="preserve"> ורא"ם </w:t>
      </w:r>
      <w:r>
        <w:rPr>
          <w:rFonts w:cs="Arial" w:hint="cs"/>
          <w:sz w:val="16"/>
          <w:szCs w:val="16"/>
          <w:rtl/>
        </w:rPr>
        <w:t>(חי' רא"מ על הסמ"ג ל"ת עה)</w:t>
      </w:r>
      <w:r>
        <w:rPr>
          <w:rFonts w:cs="Arial" w:hint="cs"/>
          <w:rtl/>
        </w:rPr>
        <w:t>- מן המנחה היינו תשע שעות ומחצה. וסמוך למנחה, היינו קודם לכן</w:t>
      </w:r>
      <w:r>
        <w:rPr>
          <w:rStyle w:val="a9"/>
          <w:rFonts w:cs="Arial"/>
          <w:rtl/>
        </w:rPr>
        <w:footnoteReference w:id="299"/>
      </w:r>
      <w:r>
        <w:rPr>
          <w:rFonts w:cs="Arial" w:hint="cs"/>
          <w:rtl/>
        </w:rPr>
        <w:t xml:space="preserve">. </w:t>
      </w:r>
      <w:r w:rsidRPr="00DA5B65">
        <w:rPr>
          <w:rFonts w:hint="cs"/>
          <w:color w:val="E36C0A" w:themeColor="accent6" w:themeShade="BF"/>
          <w:rtl/>
        </w:rPr>
        <w:t>(וכ"פ בשו"ע)</w:t>
      </w:r>
    </w:p>
    <w:p w14:paraId="3E6FDB96"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447DA1D" w14:textId="77777777" w:rsidR="004B2E7C" w:rsidRDefault="004B2E7C" w:rsidP="00434A6A">
      <w:pPr>
        <w:rPr>
          <w:rFonts w:cs="Arial"/>
          <w:rtl/>
        </w:rPr>
      </w:pPr>
      <w:r>
        <w:rPr>
          <w:rFonts w:cs="Arial"/>
          <w:rtl/>
        </w:rPr>
        <w:t>העושה מלאכה</w:t>
      </w:r>
      <w:r>
        <w:rPr>
          <w:rStyle w:val="a9"/>
          <w:rFonts w:cs="Arial"/>
          <w:rtl/>
        </w:rPr>
        <w:footnoteReference w:id="300"/>
      </w:r>
      <w:r>
        <w:rPr>
          <w:rFonts w:cs="Arial"/>
          <w:rtl/>
        </w:rPr>
        <w:t xml:space="preserve"> בע</w:t>
      </w:r>
      <w:r>
        <w:rPr>
          <w:rFonts w:cs="Arial" w:hint="cs"/>
          <w:rtl/>
        </w:rPr>
        <w:t xml:space="preserve">רב </w:t>
      </w:r>
      <w:r>
        <w:rPr>
          <w:rFonts w:cs="Arial"/>
          <w:rtl/>
        </w:rPr>
        <w:t>ש</w:t>
      </w:r>
      <w:r>
        <w:rPr>
          <w:rFonts w:cs="Arial" w:hint="cs"/>
          <w:rtl/>
        </w:rPr>
        <w:t>בת</w:t>
      </w:r>
      <w:r>
        <w:rPr>
          <w:rFonts w:cs="Arial"/>
          <w:rtl/>
        </w:rPr>
        <w:t xml:space="preserve"> מן המנחה ולמעלה אינו רואה סימן ברכה</w:t>
      </w:r>
      <w:r>
        <w:rPr>
          <w:rFonts w:cs="Arial" w:hint="cs"/>
          <w:rtl/>
        </w:rPr>
        <w:t>.</w:t>
      </w:r>
      <w:r>
        <w:rPr>
          <w:rFonts w:cs="Arial"/>
          <w:rtl/>
        </w:rPr>
        <w:t xml:space="preserve"> יש מפרשים: מנחה גדולה</w:t>
      </w:r>
      <w:r>
        <w:rPr>
          <w:rStyle w:val="a9"/>
          <w:rFonts w:cs="Arial"/>
          <w:rtl/>
        </w:rPr>
        <w:footnoteReference w:id="301"/>
      </w:r>
      <w:r>
        <w:rPr>
          <w:rFonts w:cs="Arial"/>
          <w:rtl/>
        </w:rPr>
        <w:t xml:space="preserve">, ויש מפרשים: מנחה קטנה. </w:t>
      </w:r>
      <w:r>
        <w:rPr>
          <w:rStyle w:val="a9"/>
          <w:rFonts w:cs="Arial"/>
          <w:sz w:val="18"/>
          <w:szCs w:val="18"/>
          <w:rtl/>
        </w:rPr>
        <w:footnoteReference w:id="302"/>
      </w:r>
      <w:r w:rsidRPr="00B72CF0">
        <w:rPr>
          <w:rFonts w:cs="Arial"/>
          <w:sz w:val="18"/>
          <w:szCs w:val="18"/>
          <w:rtl/>
        </w:rPr>
        <w:t>הגה: ודוקא כשעושה המלאכה דרך קבע, אבל אם עושה אותה דרך עראי</w:t>
      </w:r>
      <w:r>
        <w:rPr>
          <w:rStyle w:val="a9"/>
          <w:rFonts w:cs="Arial"/>
          <w:sz w:val="18"/>
          <w:szCs w:val="18"/>
          <w:rtl/>
        </w:rPr>
        <w:footnoteReference w:id="303"/>
      </w:r>
      <w:r w:rsidRPr="00B72CF0">
        <w:rPr>
          <w:rFonts w:cs="Arial"/>
          <w:sz w:val="18"/>
          <w:szCs w:val="18"/>
          <w:rtl/>
        </w:rPr>
        <w:t>, לפי שעה, ולא קבע עליה, שרי (א</w:t>
      </w:r>
      <w:r>
        <w:rPr>
          <w:rFonts w:cs="Arial" w:hint="cs"/>
          <w:sz w:val="18"/>
          <w:szCs w:val="18"/>
          <w:rtl/>
        </w:rPr>
        <w:t>ו</w:t>
      </w:r>
      <w:r w:rsidRPr="00B72CF0">
        <w:rPr>
          <w:rFonts w:cs="Arial"/>
          <w:sz w:val="18"/>
          <w:szCs w:val="18"/>
          <w:rtl/>
        </w:rPr>
        <w:t>"ז). ולכן מותר לכתוב אגרת שלומים וכל כיוצא בזה (ד"ע).</w:t>
      </w:r>
    </w:p>
    <w:p w14:paraId="33877575" w14:textId="77777777" w:rsidR="004B2E7C" w:rsidRDefault="004B2E7C" w:rsidP="00434A6A">
      <w:pPr>
        <w:rPr>
          <w:rtl/>
        </w:rPr>
      </w:pPr>
      <w:r>
        <w:rPr>
          <w:rFonts w:cs="Arial"/>
          <w:rtl/>
        </w:rPr>
        <w:t xml:space="preserve"> </w:t>
      </w:r>
    </w:p>
    <w:p w14:paraId="6EB1EB0F" w14:textId="77777777" w:rsidR="004B2E7C" w:rsidRDefault="004B2E7C" w:rsidP="00434A6A">
      <w:pPr>
        <w:pStyle w:val="2"/>
        <w:rPr>
          <w:rtl/>
        </w:rPr>
      </w:pPr>
      <w:r>
        <w:rPr>
          <w:rtl/>
        </w:rPr>
        <w:t>סעיף ב</w:t>
      </w:r>
      <w:r>
        <w:rPr>
          <w:rFonts w:hint="cs"/>
          <w:rtl/>
        </w:rPr>
        <w:t>: מלאכה בערב שבת לצורך השבת. כתיבת ספר קודש בערב שבת.</w:t>
      </w:r>
    </w:p>
    <w:p w14:paraId="3A938B52" w14:textId="77777777" w:rsidR="004B2E7C" w:rsidRPr="00C40444" w:rsidRDefault="004B2E7C" w:rsidP="00434A6A">
      <w:pPr>
        <w:rPr>
          <w:u w:val="single"/>
          <w:rtl/>
        </w:rPr>
      </w:pPr>
      <w:r>
        <w:rPr>
          <w:rFonts w:hint="cs"/>
          <w:u w:val="single"/>
          <w:rtl/>
        </w:rPr>
        <w:t xml:space="preserve">עשיית </w:t>
      </w:r>
      <w:r w:rsidRPr="00C40444">
        <w:rPr>
          <w:rFonts w:hint="cs"/>
          <w:u w:val="single"/>
          <w:rtl/>
        </w:rPr>
        <w:t>מלאכה בערב שבת לצורך השבת:</w:t>
      </w:r>
    </w:p>
    <w:p w14:paraId="49549FC8" w14:textId="77777777" w:rsidR="004B2E7C" w:rsidRDefault="004B2E7C" w:rsidP="00FF2D21">
      <w:pPr>
        <w:pStyle w:val="aa"/>
        <w:numPr>
          <w:ilvl w:val="0"/>
          <w:numId w:val="112"/>
        </w:numPr>
      </w:pPr>
      <w:r>
        <w:rPr>
          <w:rFonts w:cs="Arial" w:hint="cs"/>
          <w:rtl/>
        </w:rPr>
        <w:t xml:space="preserve">ראבי"ה </w:t>
      </w:r>
      <w:r w:rsidRPr="00DA5B65">
        <w:rPr>
          <w:rFonts w:cs="Arial" w:hint="cs"/>
          <w:sz w:val="16"/>
          <w:szCs w:val="16"/>
          <w:rtl/>
        </w:rPr>
        <w:t>(</w:t>
      </w:r>
      <w:r w:rsidRPr="00DA5B65">
        <w:rPr>
          <w:rFonts w:cs="Arial"/>
          <w:sz w:val="16"/>
          <w:szCs w:val="16"/>
          <w:rtl/>
        </w:rPr>
        <w:t>סי' תצה)</w:t>
      </w:r>
      <w:r>
        <w:rPr>
          <w:rFonts w:cs="Arial" w:hint="cs"/>
          <w:rtl/>
        </w:rPr>
        <w:t xml:space="preserve"> </w:t>
      </w:r>
      <w:r>
        <w:rPr>
          <w:rFonts w:cs="Arial"/>
          <w:rtl/>
        </w:rPr>
        <w:t xml:space="preserve">רא"ש </w:t>
      </w:r>
      <w:r w:rsidRPr="00DA5B65">
        <w:rPr>
          <w:rFonts w:cs="Arial"/>
          <w:sz w:val="16"/>
          <w:szCs w:val="16"/>
          <w:rtl/>
        </w:rPr>
        <w:t>(פ"ד דפסחים סוס"י א')</w:t>
      </w:r>
      <w:r>
        <w:rPr>
          <w:rFonts w:cs="Arial" w:hint="cs"/>
          <w:rtl/>
        </w:rPr>
        <w:t xml:space="preserve"> הגה"מ </w:t>
      </w:r>
      <w:r w:rsidRPr="00DA5B65">
        <w:rPr>
          <w:rFonts w:cs="Arial" w:hint="cs"/>
          <w:sz w:val="16"/>
          <w:szCs w:val="16"/>
          <w:rtl/>
        </w:rPr>
        <w:t>(</w:t>
      </w:r>
      <w:r w:rsidRPr="00DA5B65">
        <w:rPr>
          <w:rFonts w:cs="Arial"/>
          <w:sz w:val="16"/>
          <w:szCs w:val="16"/>
          <w:rtl/>
        </w:rPr>
        <w:t>פ"ח מהל</w:t>
      </w:r>
      <w:r w:rsidRPr="00DA5B65">
        <w:rPr>
          <w:rFonts w:cs="Arial" w:hint="cs"/>
          <w:sz w:val="16"/>
          <w:szCs w:val="16"/>
          <w:rtl/>
        </w:rPr>
        <w:t>'</w:t>
      </w:r>
      <w:r w:rsidRPr="00DA5B65">
        <w:rPr>
          <w:rFonts w:cs="Arial"/>
          <w:sz w:val="16"/>
          <w:szCs w:val="16"/>
          <w:rtl/>
        </w:rPr>
        <w:t xml:space="preserve"> יום טוב אות ע) </w:t>
      </w:r>
      <w:r>
        <w:rPr>
          <w:rFonts w:cs="Arial" w:hint="cs"/>
          <w:rtl/>
        </w:rPr>
        <w:t>טור</w:t>
      </w:r>
      <w:r w:rsidRPr="00DA5B65">
        <w:rPr>
          <w:rFonts w:cs="Arial" w:hint="cs"/>
          <w:rtl/>
        </w:rPr>
        <w:t xml:space="preserve"> </w:t>
      </w:r>
      <w:r>
        <w:rPr>
          <w:rFonts w:cs="Arial" w:hint="cs"/>
          <w:rtl/>
        </w:rPr>
        <w:t>ורי"ו</w:t>
      </w:r>
      <w:r w:rsidRPr="00DA5B65">
        <w:rPr>
          <w:rFonts w:cs="Arial" w:hint="cs"/>
          <w:sz w:val="16"/>
          <w:szCs w:val="16"/>
          <w:rtl/>
        </w:rPr>
        <w:t xml:space="preserve"> (נ"</w:t>
      </w:r>
      <w:r w:rsidRPr="00DA5B65">
        <w:rPr>
          <w:rFonts w:cs="Arial"/>
          <w:sz w:val="16"/>
          <w:szCs w:val="16"/>
          <w:rtl/>
        </w:rPr>
        <w:t>ה ח"א ל"ט עמוד ב')</w:t>
      </w:r>
      <w:r>
        <w:rPr>
          <w:rFonts w:cs="Arial" w:hint="cs"/>
          <w:rtl/>
        </w:rPr>
        <w:t xml:space="preserve">- </w:t>
      </w:r>
      <w:r w:rsidRPr="00C40444">
        <w:rPr>
          <w:rFonts w:cs="Arial"/>
          <w:rtl/>
        </w:rPr>
        <w:t xml:space="preserve">ונראה לי דהני מילי כגון שהוא עושה מלאכה להשתכר, אבל מתקן בגדיו לכבוד שבת ויום טוב. </w:t>
      </w:r>
      <w:r w:rsidRPr="00DA5B65">
        <w:rPr>
          <w:rFonts w:hint="cs"/>
          <w:color w:val="E36C0A" w:themeColor="accent6" w:themeShade="BF"/>
          <w:rtl/>
        </w:rPr>
        <w:t>(וכ"פ בשו"ע)</w:t>
      </w:r>
    </w:p>
    <w:p w14:paraId="4E829113" w14:textId="77777777" w:rsidR="004B2E7C" w:rsidRPr="00C40444" w:rsidRDefault="004B2E7C" w:rsidP="00FF2D21">
      <w:pPr>
        <w:pStyle w:val="aa"/>
        <w:numPr>
          <w:ilvl w:val="0"/>
          <w:numId w:val="112"/>
        </w:numPr>
      </w:pPr>
      <w:r w:rsidRPr="00F24CBE">
        <w:rPr>
          <w:rFonts w:cs="Arial"/>
          <w:rtl/>
        </w:rPr>
        <w:t xml:space="preserve">אור זרוע </w:t>
      </w:r>
      <w:r w:rsidRPr="001E5F43">
        <w:rPr>
          <w:rFonts w:cs="Arial"/>
          <w:sz w:val="16"/>
          <w:szCs w:val="16"/>
          <w:rtl/>
        </w:rPr>
        <w:t>(הל' ערב שבת סי' יג</w:t>
      </w:r>
      <w:r>
        <w:rPr>
          <w:rFonts w:cs="Arial" w:hint="cs"/>
          <w:sz w:val="16"/>
          <w:szCs w:val="16"/>
          <w:rtl/>
        </w:rPr>
        <w:t>, הביאו הדרכ"מ [אות ב]</w:t>
      </w:r>
      <w:r w:rsidRPr="001E5F43">
        <w:rPr>
          <w:rFonts w:cs="Arial"/>
          <w:sz w:val="16"/>
          <w:szCs w:val="16"/>
          <w:rtl/>
        </w:rPr>
        <w:t>)</w:t>
      </w:r>
      <w:r>
        <w:rPr>
          <w:rFonts w:cs="Arial" w:hint="cs"/>
          <w:rtl/>
        </w:rPr>
        <w:t xml:space="preserve">- </w:t>
      </w:r>
      <w:r w:rsidRPr="001E5F43">
        <w:rPr>
          <w:rFonts w:cs="Arial"/>
          <w:rtl/>
        </w:rPr>
        <w:t>נראה בעיני דהאי דאסר הכא מלאכה בע"ש מן המנחה ולמעלה היינו דוקא מלאכה קבועה שאסור לקבוע עצמו במלאכה כדי להשתכר בה מפני שצריך לעסוק בצורכי</w:t>
      </w:r>
      <w:r>
        <w:rPr>
          <w:rFonts w:cs="Arial" w:hint="cs"/>
          <w:rtl/>
        </w:rPr>
        <w:t xml:space="preserve"> </w:t>
      </w:r>
      <w:r w:rsidRPr="001E5F43">
        <w:rPr>
          <w:rFonts w:cs="Arial"/>
          <w:rtl/>
        </w:rPr>
        <w:t>שבת</w:t>
      </w:r>
      <w:r>
        <w:rPr>
          <w:rFonts w:cs="Arial" w:hint="cs"/>
          <w:rtl/>
        </w:rPr>
        <w:t xml:space="preserve">. </w:t>
      </w:r>
      <w:r w:rsidRPr="001E5F43">
        <w:rPr>
          <w:rFonts w:cs="Arial"/>
          <w:rtl/>
        </w:rPr>
        <w:t xml:space="preserve">אבל מלאכה בעלמא שהוא לשעה ואינו קובע עצמו עליה </w:t>
      </w:r>
      <w:r>
        <w:rPr>
          <w:rFonts w:cs="Arial" w:hint="cs"/>
          <w:rtl/>
        </w:rPr>
        <w:t xml:space="preserve">- </w:t>
      </w:r>
      <w:r w:rsidRPr="001E5F43">
        <w:rPr>
          <w:rFonts w:cs="Arial"/>
          <w:rtl/>
        </w:rPr>
        <w:t>ההיא ודאי שריא</w:t>
      </w:r>
      <w:r>
        <w:rPr>
          <w:rFonts w:cs="Arial" w:hint="cs"/>
          <w:rtl/>
        </w:rPr>
        <w:t>,</w:t>
      </w:r>
      <w:r w:rsidRPr="001E5F43">
        <w:rPr>
          <w:rFonts w:cs="Arial"/>
          <w:rtl/>
        </w:rPr>
        <w:t xml:space="preserve"> כדתנן פ"ק דשבת בש"א אין שורין דיו וסממנין וכרישין אלא כדי שישורו מבעוד יום וב"ה מתירין</w:t>
      </w:r>
      <w:r>
        <w:rPr>
          <w:rFonts w:hint="cs"/>
          <w:rtl/>
        </w:rPr>
        <w:t>.</w:t>
      </w:r>
      <w:r w:rsidRPr="00E32885">
        <w:rPr>
          <w:rFonts w:hint="cs"/>
          <w:color w:val="00B0F0"/>
          <w:rtl/>
        </w:rPr>
        <w:t xml:space="preserve"> (וכ"</w:t>
      </w:r>
      <w:r>
        <w:rPr>
          <w:rFonts w:hint="cs"/>
          <w:color w:val="00B0F0"/>
          <w:rtl/>
        </w:rPr>
        <w:t>פ</w:t>
      </w:r>
      <w:r w:rsidRPr="00E32885">
        <w:rPr>
          <w:rFonts w:hint="cs"/>
          <w:color w:val="00B0F0"/>
          <w:rtl/>
        </w:rPr>
        <w:t xml:space="preserve"> הרמ"א</w:t>
      </w:r>
      <w:r>
        <w:rPr>
          <w:rFonts w:hint="cs"/>
          <w:color w:val="00B0F0"/>
          <w:sz w:val="16"/>
          <w:szCs w:val="16"/>
          <w:rtl/>
        </w:rPr>
        <w:t xml:space="preserve"> </w:t>
      </w:r>
      <w:r w:rsidRPr="00E32885">
        <w:rPr>
          <w:rFonts w:hint="cs"/>
          <w:color w:val="000000" w:themeColor="text1"/>
          <w:sz w:val="16"/>
          <w:szCs w:val="16"/>
          <w:rtl/>
        </w:rPr>
        <w:t>[בסע' א]</w:t>
      </w:r>
      <w:r w:rsidRPr="00E32885">
        <w:rPr>
          <w:rFonts w:hint="cs"/>
          <w:color w:val="00B0F0"/>
          <w:rtl/>
        </w:rPr>
        <w:t>)</w:t>
      </w:r>
    </w:p>
    <w:p w14:paraId="02046271" w14:textId="77777777" w:rsidR="004B2E7C" w:rsidRPr="00C40444" w:rsidRDefault="004B2E7C" w:rsidP="00434A6A">
      <w:pPr>
        <w:ind w:left="360"/>
        <w:rPr>
          <w:u w:val="dotted"/>
        </w:rPr>
      </w:pPr>
      <w:r w:rsidRPr="00C40444">
        <w:rPr>
          <w:rFonts w:hint="cs"/>
          <w:u w:val="dotted"/>
          <w:rtl/>
        </w:rPr>
        <w:t>ומה הדין אם עושה מלאכה בלי שכר אבל אינה לצורך השבת:</w:t>
      </w:r>
    </w:p>
    <w:p w14:paraId="7D414909" w14:textId="77777777" w:rsidR="004B2E7C" w:rsidRDefault="004B2E7C" w:rsidP="00FF2D21">
      <w:pPr>
        <w:pStyle w:val="aa"/>
        <w:numPr>
          <w:ilvl w:val="0"/>
          <w:numId w:val="112"/>
        </w:numPr>
      </w:pPr>
      <w:r>
        <w:rPr>
          <w:rFonts w:cs="Arial" w:hint="cs"/>
          <w:rtl/>
        </w:rPr>
        <w:t xml:space="preserve">טור- </w:t>
      </w:r>
      <w:r w:rsidRPr="00F24CBE">
        <w:rPr>
          <w:rFonts w:cs="Arial"/>
          <w:rtl/>
        </w:rPr>
        <w:t xml:space="preserve">משמע מסוף דבריו שאפי' אם אינו עושה להשתכר אם אינו עושה לצורך שבת </w:t>
      </w:r>
      <w:r>
        <w:rPr>
          <w:rFonts w:cs="Arial" w:hint="cs"/>
          <w:rtl/>
        </w:rPr>
        <w:t xml:space="preserve">- </w:t>
      </w:r>
      <w:r w:rsidRPr="00F24CBE">
        <w:rPr>
          <w:rFonts w:cs="Arial"/>
          <w:rtl/>
        </w:rPr>
        <w:t>אסור</w:t>
      </w:r>
      <w:r>
        <w:rPr>
          <w:rStyle w:val="a9"/>
          <w:rFonts w:cs="Arial"/>
          <w:rtl/>
        </w:rPr>
        <w:footnoteReference w:id="304"/>
      </w:r>
      <w:r>
        <w:rPr>
          <w:rFonts w:cs="Arial" w:hint="cs"/>
          <w:rtl/>
        </w:rPr>
        <w:t>.</w:t>
      </w:r>
      <w:r w:rsidRPr="00F24CBE">
        <w:rPr>
          <w:rFonts w:cs="Arial"/>
          <w:rtl/>
        </w:rPr>
        <w:t xml:space="preserve"> </w:t>
      </w:r>
    </w:p>
    <w:p w14:paraId="4C9BE31F" w14:textId="77777777" w:rsidR="004B2E7C" w:rsidRPr="001E5F43" w:rsidRDefault="004B2E7C" w:rsidP="00434A6A">
      <w:pPr>
        <w:ind w:left="360"/>
        <w:rPr>
          <w:u w:val="dotted"/>
        </w:rPr>
      </w:pPr>
      <w:r w:rsidRPr="001E5F43">
        <w:rPr>
          <w:rFonts w:hint="cs"/>
          <w:u w:val="dotted"/>
          <w:rtl/>
        </w:rPr>
        <w:t xml:space="preserve">ומה הדין אם עושה מלאכה לצורך השבת בלי שכר </w:t>
      </w:r>
      <w:r w:rsidRPr="001E5F43">
        <w:rPr>
          <w:u w:val="dotted"/>
          <w:rtl/>
        </w:rPr>
        <w:t>–</w:t>
      </w:r>
      <w:r w:rsidRPr="001E5F43">
        <w:rPr>
          <w:rFonts w:hint="cs"/>
          <w:u w:val="dotted"/>
          <w:rtl/>
        </w:rPr>
        <w:t xml:space="preserve"> לצורך חברו:</w:t>
      </w:r>
    </w:p>
    <w:p w14:paraId="1364E89E" w14:textId="77777777" w:rsidR="004B2E7C" w:rsidRPr="00C40444" w:rsidRDefault="004B2E7C" w:rsidP="00FF2D21">
      <w:pPr>
        <w:pStyle w:val="aa"/>
        <w:numPr>
          <w:ilvl w:val="0"/>
          <w:numId w:val="112"/>
        </w:numPr>
      </w:pPr>
      <w:r>
        <w:rPr>
          <w:rFonts w:cs="Arial" w:hint="cs"/>
          <w:rtl/>
        </w:rPr>
        <w:t xml:space="preserve">ב"י- </w:t>
      </w:r>
      <w:r w:rsidRPr="00C40444">
        <w:rPr>
          <w:rFonts w:cs="Arial"/>
          <w:rtl/>
        </w:rPr>
        <w:t>משמע לי דבגדיו וכליו לאו דוקא</w:t>
      </w:r>
      <w:r>
        <w:rPr>
          <w:rFonts w:cs="Arial" w:hint="cs"/>
          <w:rtl/>
        </w:rPr>
        <w:t>,</w:t>
      </w:r>
      <w:r w:rsidRPr="00C40444">
        <w:rPr>
          <w:rFonts w:cs="Arial"/>
          <w:rtl/>
        </w:rPr>
        <w:t xml:space="preserve"> דהוא הדין לבגדי חבירו וכליו שמותר לתקנן לצורך שבת כל שאינו נוטל עליהם שכר</w:t>
      </w:r>
      <w:r w:rsidRPr="00C40444">
        <w:rPr>
          <w:rFonts w:cs="Arial" w:hint="cs"/>
          <w:rtl/>
        </w:rPr>
        <w:t>.</w:t>
      </w:r>
      <w:r>
        <w:rPr>
          <w:rFonts w:hint="cs"/>
          <w:rtl/>
        </w:rPr>
        <w:t xml:space="preserve"> </w:t>
      </w:r>
      <w:r w:rsidRPr="00E32885">
        <w:rPr>
          <w:rFonts w:hint="cs"/>
          <w:color w:val="00B0F0"/>
          <w:rtl/>
        </w:rPr>
        <w:t>(וכ"פ הרמ"א)</w:t>
      </w:r>
    </w:p>
    <w:p w14:paraId="213CAC66" w14:textId="77777777" w:rsidR="004B2E7C" w:rsidRPr="00C40444" w:rsidRDefault="004B2E7C" w:rsidP="00434A6A">
      <w:pPr>
        <w:rPr>
          <w:u w:val="single"/>
        </w:rPr>
      </w:pPr>
      <w:r w:rsidRPr="00C40444">
        <w:rPr>
          <w:rFonts w:hint="cs"/>
          <w:u w:val="single"/>
          <w:rtl/>
        </w:rPr>
        <w:t>כתיבת ספר קודש בערב שבת:</w:t>
      </w:r>
    </w:p>
    <w:p w14:paraId="2FAE84F8" w14:textId="77777777" w:rsidR="004B2E7C" w:rsidRDefault="004B2E7C" w:rsidP="00FF2D21">
      <w:pPr>
        <w:pStyle w:val="aa"/>
        <w:numPr>
          <w:ilvl w:val="0"/>
          <w:numId w:val="112"/>
        </w:numPr>
      </w:pPr>
      <w:r>
        <w:rPr>
          <w:rFonts w:cs="Arial" w:hint="cs"/>
          <w:rtl/>
        </w:rPr>
        <w:t xml:space="preserve">מהר"ם </w:t>
      </w:r>
      <w:r w:rsidRPr="00A06209">
        <w:rPr>
          <w:rFonts w:cs="Arial"/>
          <w:sz w:val="16"/>
          <w:szCs w:val="16"/>
          <w:rtl/>
        </w:rPr>
        <w:t xml:space="preserve">(תשב"ץ קטן </w:t>
      </w:r>
      <w:r>
        <w:rPr>
          <w:rFonts w:cs="Arial" w:hint="cs"/>
          <w:sz w:val="16"/>
          <w:szCs w:val="16"/>
          <w:rtl/>
        </w:rPr>
        <w:t>[</w:t>
      </w:r>
      <w:r w:rsidRPr="00A06209">
        <w:rPr>
          <w:rFonts w:cs="Arial"/>
          <w:sz w:val="16"/>
          <w:szCs w:val="16"/>
          <w:rtl/>
        </w:rPr>
        <w:t>סי' צ</w:t>
      </w:r>
      <w:r>
        <w:rPr>
          <w:rFonts w:cs="Arial" w:hint="cs"/>
          <w:sz w:val="16"/>
          <w:szCs w:val="16"/>
          <w:rtl/>
        </w:rPr>
        <w:t>] ובמרדכי [סי' תרג]</w:t>
      </w:r>
      <w:r w:rsidRPr="00A06209">
        <w:rPr>
          <w:rFonts w:cs="Arial"/>
          <w:sz w:val="16"/>
          <w:szCs w:val="16"/>
          <w:rtl/>
        </w:rPr>
        <w:t>)</w:t>
      </w:r>
      <w:r>
        <w:rPr>
          <w:rFonts w:cs="Arial" w:hint="cs"/>
          <w:rtl/>
        </w:rPr>
        <w:t xml:space="preserve"> </w:t>
      </w:r>
      <w:r w:rsidRPr="00F24CBE">
        <w:rPr>
          <w:rFonts w:cs="Arial"/>
          <w:rtl/>
        </w:rPr>
        <w:t xml:space="preserve">רא"ש </w:t>
      </w:r>
      <w:r>
        <w:rPr>
          <w:rFonts w:cs="Arial" w:hint="cs"/>
          <w:rtl/>
        </w:rPr>
        <w:t xml:space="preserve">וטור- </w:t>
      </w:r>
      <w:r w:rsidRPr="00F24CBE">
        <w:rPr>
          <w:rFonts w:cs="Arial"/>
          <w:rtl/>
        </w:rPr>
        <w:t>מי שכותב לעצמו ספרים דרך לימודו מותר כל היום</w:t>
      </w:r>
      <w:r>
        <w:rPr>
          <w:rStyle w:val="a9"/>
          <w:rFonts w:cs="Arial"/>
          <w:rtl/>
        </w:rPr>
        <w:footnoteReference w:id="305"/>
      </w:r>
      <w:r>
        <w:rPr>
          <w:rFonts w:cs="Arial" w:hint="cs"/>
          <w:sz w:val="16"/>
          <w:szCs w:val="16"/>
          <w:rtl/>
        </w:rPr>
        <w:t xml:space="preserve"> (ל' הטור בשם הרא"ש)</w:t>
      </w:r>
      <w:r>
        <w:rPr>
          <w:rFonts w:cs="Arial" w:hint="cs"/>
          <w:rtl/>
        </w:rPr>
        <w:t>.</w:t>
      </w:r>
      <w:r w:rsidRPr="004F604B">
        <w:rPr>
          <w:rFonts w:hint="cs"/>
          <w:color w:val="E36C0A" w:themeColor="accent6" w:themeShade="BF"/>
          <w:rtl/>
        </w:rPr>
        <w:t xml:space="preserve"> </w:t>
      </w:r>
      <w:r w:rsidRPr="00DA5B65">
        <w:rPr>
          <w:rFonts w:hint="cs"/>
          <w:color w:val="E36C0A" w:themeColor="accent6" w:themeShade="BF"/>
          <w:rtl/>
        </w:rPr>
        <w:t>(וכ"פ בשו"ע)</w:t>
      </w:r>
    </w:p>
    <w:p w14:paraId="552FF59C" w14:textId="77777777" w:rsidR="004B2E7C" w:rsidRPr="001E5F43" w:rsidRDefault="004B2E7C" w:rsidP="00434A6A">
      <w:pPr>
        <w:ind w:left="360"/>
        <w:rPr>
          <w:u w:val="dotted"/>
          <w:rtl/>
        </w:rPr>
      </w:pPr>
      <w:r w:rsidRPr="001E5F43">
        <w:rPr>
          <w:rFonts w:hint="cs"/>
          <w:u w:val="dotted"/>
          <w:rtl/>
        </w:rPr>
        <w:t>ומה הדין בכתיבת אגרת שלומים:</w:t>
      </w:r>
    </w:p>
    <w:p w14:paraId="2BEE4182" w14:textId="77777777" w:rsidR="004B2E7C" w:rsidRDefault="004B2E7C" w:rsidP="00FF2D21">
      <w:pPr>
        <w:pStyle w:val="aa"/>
        <w:numPr>
          <w:ilvl w:val="0"/>
          <w:numId w:val="112"/>
        </w:numPr>
      </w:pPr>
      <w:r>
        <w:rPr>
          <w:rFonts w:cs="Arial" w:hint="cs"/>
          <w:rtl/>
        </w:rPr>
        <w:t xml:space="preserve">דרכ"מ </w:t>
      </w:r>
      <w:r>
        <w:rPr>
          <w:rFonts w:cs="Arial" w:hint="cs"/>
          <w:sz w:val="16"/>
          <w:szCs w:val="16"/>
          <w:rtl/>
        </w:rPr>
        <w:t>(אות ג)</w:t>
      </w:r>
      <w:r>
        <w:rPr>
          <w:rFonts w:cs="Arial" w:hint="cs"/>
          <w:rtl/>
        </w:rPr>
        <w:t xml:space="preserve">- </w:t>
      </w:r>
      <w:r w:rsidRPr="00F24CBE">
        <w:rPr>
          <w:rFonts w:cs="Arial"/>
          <w:rtl/>
        </w:rPr>
        <w:t>צריך עיון אם מותר לכתוב אגרת שלומים. ונראה דשרי דלא עדיף מחול המועד דשרי</w:t>
      </w:r>
      <w:r>
        <w:rPr>
          <w:rFonts w:cs="Arial" w:hint="cs"/>
          <w:rtl/>
        </w:rPr>
        <w:t>.</w:t>
      </w:r>
      <w:r w:rsidRPr="00E32885">
        <w:rPr>
          <w:rFonts w:hint="cs"/>
          <w:color w:val="00B0F0"/>
          <w:rtl/>
        </w:rPr>
        <w:t xml:space="preserve"> (וכ"</w:t>
      </w:r>
      <w:r>
        <w:rPr>
          <w:rFonts w:hint="cs"/>
          <w:color w:val="00B0F0"/>
          <w:rtl/>
        </w:rPr>
        <w:t>פ</w:t>
      </w:r>
      <w:r w:rsidRPr="00E32885">
        <w:rPr>
          <w:rFonts w:hint="cs"/>
          <w:color w:val="00B0F0"/>
          <w:rtl/>
        </w:rPr>
        <w:t xml:space="preserve"> הרמ"א</w:t>
      </w:r>
      <w:r>
        <w:rPr>
          <w:rFonts w:hint="cs"/>
          <w:color w:val="00B0F0"/>
          <w:sz w:val="16"/>
          <w:szCs w:val="16"/>
          <w:rtl/>
        </w:rPr>
        <w:t xml:space="preserve"> </w:t>
      </w:r>
      <w:r w:rsidRPr="00E32885">
        <w:rPr>
          <w:rFonts w:hint="cs"/>
          <w:color w:val="000000" w:themeColor="text1"/>
          <w:sz w:val="16"/>
          <w:szCs w:val="16"/>
          <w:rtl/>
        </w:rPr>
        <w:t>[בסע' א]</w:t>
      </w:r>
      <w:r w:rsidRPr="00E32885">
        <w:rPr>
          <w:rFonts w:hint="cs"/>
          <w:color w:val="00B0F0"/>
          <w:rtl/>
        </w:rPr>
        <w:t>)</w:t>
      </w:r>
    </w:p>
    <w:p w14:paraId="6E53D7EA" w14:textId="77777777" w:rsidR="004B2E7C" w:rsidRPr="001E5F43" w:rsidRDefault="004B2E7C" w:rsidP="00434A6A">
      <w:pPr>
        <w:rPr>
          <w:u w:val="single"/>
        </w:rPr>
      </w:pPr>
      <w:r w:rsidRPr="001E5F43">
        <w:rPr>
          <w:rFonts w:hint="cs"/>
          <w:u w:val="single"/>
          <w:rtl/>
        </w:rPr>
        <w:t>תספורת בערב שבת:</w:t>
      </w:r>
    </w:p>
    <w:p w14:paraId="218F14FC" w14:textId="77777777" w:rsidR="004B2E7C" w:rsidRDefault="004B2E7C" w:rsidP="00FF2D21">
      <w:pPr>
        <w:pStyle w:val="aa"/>
        <w:numPr>
          <w:ilvl w:val="0"/>
          <w:numId w:val="112"/>
        </w:numPr>
      </w:pPr>
      <w:r>
        <w:rPr>
          <w:rFonts w:cs="Arial"/>
          <w:rtl/>
        </w:rPr>
        <w:t xml:space="preserve">כל בו </w:t>
      </w:r>
      <w:r w:rsidRPr="001E5F43">
        <w:rPr>
          <w:rFonts w:cs="Arial" w:hint="cs"/>
          <w:sz w:val="16"/>
          <w:szCs w:val="16"/>
          <w:rtl/>
        </w:rPr>
        <w:t>(</w:t>
      </w:r>
      <w:r w:rsidRPr="001E5F43">
        <w:rPr>
          <w:rFonts w:cs="Arial"/>
          <w:sz w:val="16"/>
          <w:szCs w:val="16"/>
          <w:rtl/>
        </w:rPr>
        <w:t>סי</w:t>
      </w:r>
      <w:r w:rsidRPr="001E5F43">
        <w:rPr>
          <w:rFonts w:cs="Arial" w:hint="cs"/>
          <w:sz w:val="16"/>
          <w:szCs w:val="16"/>
          <w:rtl/>
        </w:rPr>
        <w:t>'</w:t>
      </w:r>
      <w:r w:rsidRPr="001E5F43">
        <w:rPr>
          <w:rFonts w:cs="Arial"/>
          <w:sz w:val="16"/>
          <w:szCs w:val="16"/>
          <w:rtl/>
        </w:rPr>
        <w:t xml:space="preserve"> נח יז עמוד ב)</w:t>
      </w:r>
      <w:r>
        <w:rPr>
          <w:rFonts w:cs="Arial" w:hint="cs"/>
          <w:rtl/>
        </w:rPr>
        <w:t>-</w:t>
      </w:r>
      <w:r>
        <w:rPr>
          <w:rFonts w:cs="Arial"/>
          <w:rtl/>
        </w:rPr>
        <w:t xml:space="preserve"> נראה שאסור לספר מספר ישראל בערבי שבתות וימים טובים מן המנחה ולמעלה</w:t>
      </w:r>
      <w:r>
        <w:rPr>
          <w:rFonts w:cs="Arial" w:hint="cs"/>
          <w:rtl/>
        </w:rPr>
        <w:t>.</w:t>
      </w:r>
      <w:r>
        <w:rPr>
          <w:rFonts w:cs="Arial"/>
          <w:rtl/>
        </w:rPr>
        <w:t xml:space="preserve"> ואפשר להתיר תספורת מעשה הדיוט</w:t>
      </w:r>
      <w:r>
        <w:rPr>
          <w:rFonts w:cs="Arial" w:hint="cs"/>
          <w:rtl/>
        </w:rPr>
        <w:t>,</w:t>
      </w:r>
      <w:r>
        <w:rPr>
          <w:rFonts w:cs="Arial"/>
          <w:rtl/>
        </w:rPr>
        <w:t xml:space="preserve"> דלא גרע מחול המועד דאמרינן (מו"ק ח:) הדיוט תופר כדרכו</w:t>
      </w:r>
      <w:r>
        <w:rPr>
          <w:rStyle w:val="a9"/>
          <w:rFonts w:cs="Arial"/>
          <w:rtl/>
        </w:rPr>
        <w:footnoteReference w:id="306"/>
      </w:r>
      <w:r>
        <w:rPr>
          <w:rFonts w:cs="Arial" w:hint="cs"/>
          <w:rtl/>
        </w:rPr>
        <w:t>.</w:t>
      </w:r>
      <w:r w:rsidRPr="00E32885">
        <w:rPr>
          <w:rFonts w:hint="cs"/>
          <w:color w:val="00B0F0"/>
          <w:rtl/>
        </w:rPr>
        <w:t>(וכ"</w:t>
      </w:r>
      <w:r>
        <w:rPr>
          <w:rFonts w:hint="cs"/>
          <w:color w:val="00B0F0"/>
          <w:rtl/>
        </w:rPr>
        <w:t>פ</w:t>
      </w:r>
      <w:r w:rsidRPr="00E32885">
        <w:rPr>
          <w:rFonts w:hint="cs"/>
          <w:color w:val="00B0F0"/>
          <w:rtl/>
        </w:rPr>
        <w:t xml:space="preserve"> הרמ"א)</w:t>
      </w:r>
    </w:p>
    <w:p w14:paraId="0924CD75" w14:textId="77777777" w:rsidR="004B2E7C" w:rsidRDefault="004B2E7C" w:rsidP="00434A6A">
      <w:r w:rsidRPr="004F604B">
        <w:rPr>
          <w:rFonts w:cs="Arial"/>
          <w:b/>
          <w:bCs/>
          <w:rtl/>
        </w:rPr>
        <w:t xml:space="preserve">ויקרא רבה </w:t>
      </w:r>
      <w:r w:rsidRPr="004F604B">
        <w:rPr>
          <w:rFonts w:cs="Arial" w:hint="cs"/>
          <w:b/>
          <w:bCs/>
          <w:sz w:val="16"/>
          <w:szCs w:val="16"/>
          <w:rtl/>
        </w:rPr>
        <w:t>(</w:t>
      </w:r>
      <w:r w:rsidRPr="004F604B">
        <w:rPr>
          <w:rFonts w:cs="Arial"/>
          <w:b/>
          <w:bCs/>
          <w:sz w:val="16"/>
          <w:szCs w:val="16"/>
          <w:rtl/>
        </w:rPr>
        <w:t>פרשת תזריע</w:t>
      </w:r>
      <w:r w:rsidRPr="004F604B">
        <w:rPr>
          <w:rFonts w:cs="Arial" w:hint="cs"/>
          <w:b/>
          <w:bCs/>
          <w:sz w:val="16"/>
          <w:szCs w:val="16"/>
          <w:rtl/>
        </w:rPr>
        <w:t>)</w:t>
      </w:r>
      <w:r w:rsidRPr="004F604B">
        <w:rPr>
          <w:rFonts w:cs="Arial"/>
          <w:b/>
          <w:bCs/>
          <w:sz w:val="16"/>
          <w:szCs w:val="16"/>
          <w:rtl/>
        </w:rPr>
        <w:t xml:space="preserve"> </w:t>
      </w:r>
      <w:r w:rsidRPr="004F604B">
        <w:rPr>
          <w:rFonts w:cs="Arial"/>
          <w:b/>
          <w:bCs/>
          <w:rtl/>
        </w:rPr>
        <w:t>פרשה טו סימן ד</w:t>
      </w:r>
      <w:r w:rsidRPr="004F604B">
        <w:rPr>
          <w:rFonts w:cs="Arial" w:hint="cs"/>
          <w:b/>
          <w:bCs/>
          <w:rtl/>
        </w:rPr>
        <w:t>:</w:t>
      </w:r>
      <w:r>
        <w:rPr>
          <w:rFonts w:cs="Arial" w:hint="cs"/>
          <w:rtl/>
        </w:rPr>
        <w:t xml:space="preserve"> </w:t>
      </w:r>
      <w:r w:rsidRPr="004F604B">
        <w:rPr>
          <w:rFonts w:cs="Arial"/>
          <w:rtl/>
        </w:rPr>
        <w:t>ואין קורין בכתבי הקדש אלא מן המנחה ולמעלה אבל שונין בהן ודורשין בהן אם צריך לדבר לבדוק נוטל ובודק</w:t>
      </w:r>
      <w:r>
        <w:rPr>
          <w:rFonts w:hint="cs"/>
          <w:rtl/>
        </w:rPr>
        <w:t>.</w:t>
      </w:r>
    </w:p>
    <w:p w14:paraId="63EAC709" w14:textId="77777777" w:rsidR="004B2E7C" w:rsidRPr="004F604B" w:rsidRDefault="004B2E7C" w:rsidP="00434A6A">
      <w:pPr>
        <w:rPr>
          <w:sz w:val="16"/>
          <w:szCs w:val="16"/>
        </w:rPr>
      </w:pPr>
      <w:r w:rsidRPr="004F604B">
        <w:rPr>
          <w:rFonts w:hint="cs"/>
          <w:u w:val="single"/>
          <w:rtl/>
        </w:rPr>
        <w:t>קריאה בכתבי הקודש</w:t>
      </w:r>
      <w:r>
        <w:rPr>
          <w:rFonts w:hint="cs"/>
          <w:sz w:val="16"/>
          <w:szCs w:val="16"/>
          <w:u w:val="single"/>
          <w:rtl/>
        </w:rPr>
        <w:t xml:space="preserve"> (כ"ד ספרי נ"ך)</w:t>
      </w:r>
      <w:r w:rsidRPr="004F604B">
        <w:rPr>
          <w:rFonts w:hint="cs"/>
          <w:u w:val="single"/>
          <w:rtl/>
        </w:rPr>
        <w:t xml:space="preserve"> מן המנחה ולמעלה:</w:t>
      </w:r>
      <w:r>
        <w:rPr>
          <w:rFonts w:hint="cs"/>
          <w:sz w:val="16"/>
          <w:szCs w:val="16"/>
          <w:rtl/>
        </w:rPr>
        <w:t xml:space="preserve">  </w:t>
      </w:r>
    </w:p>
    <w:p w14:paraId="40E293B0" w14:textId="77777777" w:rsidR="004B2E7C" w:rsidRPr="00852D4A" w:rsidRDefault="004B2E7C" w:rsidP="00FF2D21">
      <w:pPr>
        <w:pStyle w:val="aa"/>
        <w:numPr>
          <w:ilvl w:val="0"/>
          <w:numId w:val="112"/>
        </w:numPr>
        <w:rPr>
          <w:rtl/>
        </w:rPr>
      </w:pPr>
      <w:r>
        <w:rPr>
          <w:rFonts w:cs="Arial" w:hint="cs"/>
          <w:rtl/>
        </w:rPr>
        <w:t xml:space="preserve">דרכ"מ </w:t>
      </w:r>
      <w:r>
        <w:rPr>
          <w:rFonts w:hint="cs"/>
          <w:sz w:val="16"/>
          <w:szCs w:val="16"/>
          <w:rtl/>
        </w:rPr>
        <w:t>(אות ד)</w:t>
      </w:r>
      <w:r>
        <w:rPr>
          <w:rFonts w:cs="Arial" w:hint="cs"/>
          <w:rtl/>
        </w:rPr>
        <w:t xml:space="preserve">- </w:t>
      </w:r>
      <w:r w:rsidRPr="00F24CBE">
        <w:rPr>
          <w:rFonts w:cs="Arial"/>
          <w:rtl/>
        </w:rPr>
        <w:t xml:space="preserve">במדרש פרשת כי תזריע (ויקרא רבה פרשה טו אות ד) משמע דאין קורין בכתבי קודש מן </w:t>
      </w:r>
      <w:r>
        <w:rPr>
          <w:rStyle w:val="a9"/>
          <w:rFonts w:cs="Arial"/>
          <w:rtl/>
        </w:rPr>
        <w:footnoteReference w:id="307"/>
      </w:r>
      <w:r w:rsidRPr="00F24CBE">
        <w:rPr>
          <w:rFonts w:cs="Arial"/>
          <w:rtl/>
        </w:rPr>
        <w:t>המנחה ולמעלה אבל שונין ודורשין בהן ואם צריך לו דבר לבדוק בודק אחריו. ונראה לי הטעם משום שהוא ממשיך ויתבטל מלהכין צרכי שבת וכן איתא בגמרא (שבת קטז ב) לענין קריאתו בשבת</w:t>
      </w:r>
      <w:r>
        <w:rPr>
          <w:rFonts w:cs="Arial" w:hint="cs"/>
          <w:rtl/>
        </w:rPr>
        <w:t>.</w:t>
      </w:r>
    </w:p>
    <w:p w14:paraId="4F48A499" w14:textId="77777777" w:rsidR="004B2E7C" w:rsidRPr="00A06209" w:rsidRDefault="004B2E7C" w:rsidP="00434A6A">
      <w:r w:rsidRPr="00A06209">
        <w:rPr>
          <w:rFonts w:cs="Arial" w:hint="cs"/>
          <w:u w:val="single"/>
          <w:rtl/>
        </w:rPr>
        <w:t>מיעוט בלימוד תורה בערב שבת:</w:t>
      </w:r>
      <w:r>
        <w:rPr>
          <w:rFonts w:cs="Arial" w:hint="cs"/>
          <w:rtl/>
        </w:rPr>
        <w:t xml:space="preserve"> </w:t>
      </w:r>
      <w:r>
        <w:rPr>
          <w:rFonts w:cs="Arial" w:hint="cs"/>
          <w:sz w:val="16"/>
          <w:szCs w:val="16"/>
          <w:rtl/>
        </w:rPr>
        <w:t xml:space="preserve"> </w:t>
      </w:r>
      <w:r w:rsidRPr="00A06209">
        <w:rPr>
          <w:rFonts w:cs="Arial"/>
          <w:sz w:val="16"/>
          <w:szCs w:val="16"/>
          <w:rtl/>
        </w:rPr>
        <w:t>(</w:t>
      </w:r>
      <w:r w:rsidRPr="00A06209">
        <w:rPr>
          <w:rFonts w:cs="Arial" w:hint="cs"/>
          <w:sz w:val="16"/>
          <w:szCs w:val="16"/>
          <w:rtl/>
        </w:rPr>
        <w:t xml:space="preserve">דרכ"מ אות </w:t>
      </w:r>
      <w:r w:rsidRPr="00A06209">
        <w:rPr>
          <w:rFonts w:cs="Arial"/>
          <w:sz w:val="16"/>
          <w:szCs w:val="16"/>
          <w:rtl/>
        </w:rPr>
        <w:t xml:space="preserve">א) </w:t>
      </w:r>
    </w:p>
    <w:p w14:paraId="30DF5D5F" w14:textId="77777777" w:rsidR="004B2E7C" w:rsidRDefault="004B2E7C" w:rsidP="00FF2D21">
      <w:pPr>
        <w:pStyle w:val="aa"/>
        <w:numPr>
          <w:ilvl w:val="0"/>
          <w:numId w:val="112"/>
        </w:numPr>
        <w:rPr>
          <w:rtl/>
        </w:rPr>
      </w:pPr>
      <w:r w:rsidRPr="00F24CBE">
        <w:rPr>
          <w:rFonts w:cs="Arial"/>
          <w:rtl/>
        </w:rPr>
        <w:t>שלטי הגבורים</w:t>
      </w:r>
      <w:r w:rsidRPr="00A06209">
        <w:rPr>
          <w:rFonts w:cs="Arial"/>
          <w:sz w:val="16"/>
          <w:szCs w:val="16"/>
          <w:rtl/>
        </w:rPr>
        <w:t xml:space="preserve"> </w:t>
      </w:r>
      <w:r w:rsidRPr="00A06209">
        <w:rPr>
          <w:rFonts w:cs="Arial" w:hint="cs"/>
          <w:sz w:val="16"/>
          <w:szCs w:val="16"/>
          <w:rtl/>
        </w:rPr>
        <w:t>(</w:t>
      </w:r>
      <w:r w:rsidRPr="00A06209">
        <w:rPr>
          <w:rFonts w:cs="Arial"/>
          <w:sz w:val="16"/>
          <w:szCs w:val="16"/>
          <w:rtl/>
        </w:rPr>
        <w:t>שבת מד</w:t>
      </w:r>
      <w:r w:rsidRPr="00A06209">
        <w:rPr>
          <w:rFonts w:cs="Arial" w:hint="cs"/>
          <w:sz w:val="16"/>
          <w:szCs w:val="16"/>
          <w:rtl/>
        </w:rPr>
        <w:t>.</w:t>
      </w:r>
      <w:r w:rsidRPr="00A06209">
        <w:rPr>
          <w:rFonts w:cs="Arial"/>
          <w:sz w:val="16"/>
          <w:szCs w:val="16"/>
          <w:rtl/>
        </w:rPr>
        <w:t>)</w:t>
      </w:r>
      <w:r>
        <w:rPr>
          <w:rFonts w:cs="Arial" w:hint="cs"/>
          <w:rtl/>
        </w:rPr>
        <w:t>-</w:t>
      </w:r>
      <w:r w:rsidRPr="00F24CBE">
        <w:rPr>
          <w:rFonts w:cs="Arial"/>
          <w:rtl/>
        </w:rPr>
        <w:t xml:space="preserve"> בירושלמי פרק קמא דתענית (ה"ח) שאסור לארס אשה בערב שבת, וכן לדברי תורה, נראה שממעטים בדברי תורה כדי שיתעסקו בצרכי שבת</w:t>
      </w:r>
      <w:r>
        <w:rPr>
          <w:rStyle w:val="a9"/>
          <w:rFonts w:cs="Arial"/>
          <w:rtl/>
        </w:rPr>
        <w:footnoteReference w:id="308"/>
      </w:r>
      <w:r>
        <w:rPr>
          <w:rFonts w:cs="Arial" w:hint="cs"/>
          <w:rtl/>
        </w:rPr>
        <w:t>.</w:t>
      </w:r>
      <w:r w:rsidRPr="00E32885">
        <w:rPr>
          <w:rFonts w:cs="Arial"/>
          <w:color w:val="00B0F0"/>
          <w:rtl/>
        </w:rPr>
        <w:t xml:space="preserve"> </w:t>
      </w:r>
      <w:r w:rsidRPr="00E32885">
        <w:rPr>
          <w:rFonts w:hint="cs"/>
          <w:color w:val="00B0F0"/>
          <w:rtl/>
        </w:rPr>
        <w:t>(וכ"</w:t>
      </w:r>
      <w:r>
        <w:rPr>
          <w:rFonts w:hint="cs"/>
          <w:color w:val="00B0F0"/>
          <w:rtl/>
        </w:rPr>
        <w:t>פ</w:t>
      </w:r>
      <w:r w:rsidRPr="00E32885">
        <w:rPr>
          <w:rFonts w:hint="cs"/>
          <w:color w:val="00B0F0"/>
          <w:rtl/>
        </w:rPr>
        <w:t xml:space="preserve"> הרמ"א)</w:t>
      </w:r>
    </w:p>
    <w:p w14:paraId="040DCC8C"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06CD1D5" w14:textId="77777777" w:rsidR="004B2E7C" w:rsidRDefault="004B2E7C" w:rsidP="00434A6A">
      <w:pPr>
        <w:rPr>
          <w:rtl/>
        </w:rPr>
      </w:pPr>
      <w:r>
        <w:rPr>
          <w:rFonts w:cs="Arial"/>
          <w:rtl/>
        </w:rPr>
        <w:t xml:space="preserve">לתקן בגדיו וכליו לצורך שבת, מותר כל היום. </w:t>
      </w:r>
      <w:r w:rsidRPr="00B72CF0">
        <w:rPr>
          <w:rFonts w:cs="Arial"/>
          <w:sz w:val="18"/>
          <w:szCs w:val="18"/>
          <w:rtl/>
        </w:rPr>
        <w:t>הגה: וה"ה בגדי חבירו אם הוא לצורך שבת ואינו נוטל עליו שכר</w:t>
      </w:r>
      <w:r>
        <w:rPr>
          <w:rStyle w:val="a9"/>
          <w:rFonts w:cs="Arial"/>
          <w:sz w:val="18"/>
          <w:szCs w:val="18"/>
          <w:rtl/>
        </w:rPr>
        <w:footnoteReference w:id="309"/>
      </w:r>
      <w:r w:rsidRPr="00B72CF0">
        <w:rPr>
          <w:rFonts w:cs="Arial"/>
          <w:sz w:val="18"/>
          <w:szCs w:val="18"/>
          <w:rtl/>
        </w:rPr>
        <w:t xml:space="preserve"> (ב"י)</w:t>
      </w:r>
      <w:r>
        <w:rPr>
          <w:rFonts w:cs="Arial" w:hint="cs"/>
          <w:sz w:val="18"/>
          <w:szCs w:val="18"/>
          <w:rtl/>
        </w:rPr>
        <w:t>.</w:t>
      </w:r>
      <w:r w:rsidRPr="00B72CF0">
        <w:rPr>
          <w:rFonts w:cs="Arial"/>
          <w:sz w:val="18"/>
          <w:szCs w:val="18"/>
          <w:rtl/>
        </w:rPr>
        <w:t xml:space="preserve"> </w:t>
      </w:r>
      <w:r w:rsidRPr="00B72CF0">
        <w:rPr>
          <w:rFonts w:cs="Arial"/>
          <w:rtl/>
        </w:rPr>
        <w:t>וה</w:t>
      </w:r>
      <w:r>
        <w:rPr>
          <w:rFonts w:cs="Arial" w:hint="cs"/>
          <w:rtl/>
        </w:rPr>
        <w:t xml:space="preserve">וא </w:t>
      </w:r>
      <w:r w:rsidRPr="00B72CF0">
        <w:rPr>
          <w:rFonts w:cs="Arial"/>
          <w:rtl/>
        </w:rPr>
        <w:t>ה</w:t>
      </w:r>
      <w:r>
        <w:rPr>
          <w:rFonts w:cs="Arial" w:hint="cs"/>
          <w:rtl/>
        </w:rPr>
        <w:t>דין</w:t>
      </w:r>
      <w:r w:rsidRPr="00B72CF0">
        <w:rPr>
          <w:rFonts w:cs="Arial"/>
          <w:rtl/>
        </w:rPr>
        <w:t xml:space="preserve"> למי שכותב ספרים לעצמו דרך למודו.</w:t>
      </w:r>
      <w:r w:rsidRPr="00B72CF0">
        <w:rPr>
          <w:rFonts w:cs="Arial"/>
          <w:sz w:val="18"/>
          <w:szCs w:val="18"/>
          <w:rtl/>
        </w:rPr>
        <w:t xml:space="preserve"> הגה: אבל אסור לכתוב לחבירו בשכר</w:t>
      </w:r>
      <w:r>
        <w:rPr>
          <w:rStyle w:val="a9"/>
          <w:rFonts w:cs="Arial"/>
          <w:sz w:val="18"/>
          <w:szCs w:val="18"/>
          <w:rtl/>
        </w:rPr>
        <w:footnoteReference w:id="310"/>
      </w:r>
      <w:r w:rsidRPr="00B72CF0">
        <w:rPr>
          <w:rFonts w:cs="Arial"/>
          <w:sz w:val="18"/>
          <w:szCs w:val="18"/>
          <w:rtl/>
        </w:rPr>
        <w:t xml:space="preserve"> (מרדכי). ומסתפרין כל היום, אפי' מספר ישראל</w:t>
      </w:r>
      <w:r>
        <w:rPr>
          <w:rStyle w:val="a9"/>
          <w:rFonts w:cs="Arial"/>
          <w:sz w:val="18"/>
          <w:szCs w:val="18"/>
          <w:rtl/>
        </w:rPr>
        <w:footnoteReference w:id="311"/>
      </w:r>
      <w:r w:rsidRPr="00B72CF0">
        <w:rPr>
          <w:rFonts w:cs="Arial"/>
          <w:sz w:val="18"/>
          <w:szCs w:val="18"/>
          <w:rtl/>
        </w:rPr>
        <w:t xml:space="preserve"> (כל בו וב"י). ויש לאדם למעט קצת בלמודו בע"ש</w:t>
      </w:r>
      <w:r>
        <w:rPr>
          <w:rStyle w:val="a9"/>
          <w:rFonts w:cs="Arial"/>
          <w:sz w:val="18"/>
          <w:szCs w:val="18"/>
          <w:rtl/>
        </w:rPr>
        <w:footnoteReference w:id="312"/>
      </w:r>
      <w:r w:rsidRPr="00B72CF0">
        <w:rPr>
          <w:rFonts w:cs="Arial"/>
          <w:sz w:val="18"/>
          <w:szCs w:val="18"/>
          <w:rtl/>
        </w:rPr>
        <w:t>, כדי שיכין</w:t>
      </w:r>
      <w:r>
        <w:rPr>
          <w:rStyle w:val="a9"/>
          <w:rFonts w:cs="Arial"/>
          <w:sz w:val="18"/>
          <w:szCs w:val="18"/>
          <w:rtl/>
        </w:rPr>
        <w:footnoteReference w:id="313"/>
      </w:r>
      <w:r w:rsidRPr="00B72CF0">
        <w:rPr>
          <w:rFonts w:cs="Arial"/>
          <w:sz w:val="18"/>
          <w:szCs w:val="18"/>
          <w:rtl/>
        </w:rPr>
        <w:t xml:space="preserve"> צרכי שבת (ש</w:t>
      </w:r>
      <w:r>
        <w:rPr>
          <w:rFonts w:cs="Arial" w:hint="cs"/>
          <w:sz w:val="18"/>
          <w:szCs w:val="18"/>
          <w:rtl/>
        </w:rPr>
        <w:t>לט"</w:t>
      </w:r>
      <w:r w:rsidRPr="00B72CF0">
        <w:rPr>
          <w:rFonts w:cs="Arial"/>
          <w:sz w:val="18"/>
          <w:szCs w:val="18"/>
          <w:rtl/>
        </w:rPr>
        <w:t>ג).</w:t>
      </w:r>
    </w:p>
    <w:p w14:paraId="09BA89FC" w14:textId="77777777" w:rsidR="004B2E7C" w:rsidRDefault="004B2E7C" w:rsidP="00434A6A">
      <w:pPr>
        <w:rPr>
          <w:rtl/>
        </w:rPr>
      </w:pPr>
    </w:p>
    <w:p w14:paraId="544C4576" w14:textId="77777777" w:rsidR="004B2E7C" w:rsidRDefault="004B2E7C" w:rsidP="00434A6A">
      <w:pPr>
        <w:pStyle w:val="1"/>
        <w:rPr>
          <w:rtl/>
        </w:rPr>
        <w:sectPr w:rsidR="004B2E7C" w:rsidSect="00BD29B1">
          <w:headerReference w:type="default" r:id="rId22"/>
          <w:footnotePr>
            <w:numRestart w:val="eachSect"/>
          </w:footnotePr>
          <w:pgSz w:w="11906" w:h="16838"/>
          <w:pgMar w:top="720" w:right="1134" w:bottom="720" w:left="1134" w:header="0" w:footer="0" w:gutter="0"/>
          <w:cols w:space="720"/>
          <w:bidi/>
          <w:rtlGutter/>
          <w:docGrid w:linePitch="360"/>
        </w:sectPr>
      </w:pPr>
    </w:p>
    <w:p w14:paraId="0D11B38F" w14:textId="77777777" w:rsidR="004B2E7C" w:rsidRDefault="004B2E7C" w:rsidP="00434A6A">
      <w:pPr>
        <w:pStyle w:val="1"/>
        <w:rPr>
          <w:rtl/>
        </w:rPr>
      </w:pPr>
      <w:r>
        <w:rPr>
          <w:rFonts w:hint="cs"/>
          <w:rtl/>
        </w:rPr>
        <w:t>סימן רנב:</w:t>
      </w:r>
      <w:r w:rsidRPr="0085796F">
        <w:rPr>
          <w:rtl/>
        </w:rPr>
        <w:t xml:space="preserve"> </w:t>
      </w:r>
      <w:r>
        <w:rPr>
          <w:rtl/>
        </w:rPr>
        <w:t xml:space="preserve">מלאכות המותרים והאסורים להתחיל בע"ש כדי שיהיו נגמרים בשבת, ובו ז' סעיפים. </w:t>
      </w:r>
    </w:p>
    <w:p w14:paraId="7B2239CE" w14:textId="77777777" w:rsidR="004B2E7C" w:rsidRPr="004C7089" w:rsidRDefault="004B2E7C" w:rsidP="00434A6A">
      <w:pPr>
        <w:pStyle w:val="2"/>
        <w:rPr>
          <w:rtl/>
        </w:rPr>
      </w:pPr>
      <w:r>
        <w:rPr>
          <w:rtl/>
        </w:rPr>
        <w:t>סעיף א</w:t>
      </w:r>
      <w:r>
        <w:rPr>
          <w:rFonts w:hint="cs"/>
          <w:rtl/>
        </w:rPr>
        <w:t>:</w:t>
      </w:r>
      <w:r w:rsidRPr="004C7089">
        <w:rPr>
          <w:rFonts w:hint="cs"/>
          <w:rtl/>
        </w:rPr>
        <w:t xml:space="preserve"> </w:t>
      </w:r>
      <w:r>
        <w:rPr>
          <w:rFonts w:hint="cs"/>
          <w:rtl/>
        </w:rPr>
        <w:t>התחלת מלאכה בערב שבת, והיא תיגמר מאיליה בשבת.</w:t>
      </w:r>
    </w:p>
    <w:p w14:paraId="6B109143" w14:textId="77777777" w:rsidR="004B2E7C" w:rsidRDefault="004B2E7C" w:rsidP="00434A6A">
      <w:pPr>
        <w:rPr>
          <w:rtl/>
        </w:rPr>
      </w:pPr>
      <w:r w:rsidRPr="000C4F52">
        <w:rPr>
          <w:rFonts w:cs="Arial" w:hint="cs"/>
          <w:b/>
          <w:bCs/>
          <w:rtl/>
        </w:rPr>
        <w:t xml:space="preserve">שבת </w:t>
      </w:r>
      <w:r w:rsidRPr="000C4F52">
        <w:rPr>
          <w:rFonts w:cs="Arial" w:hint="cs"/>
          <w:b/>
          <w:bCs/>
          <w:sz w:val="16"/>
          <w:szCs w:val="16"/>
          <w:rtl/>
        </w:rPr>
        <w:t xml:space="preserve">(פ"ק) </w:t>
      </w:r>
      <w:r w:rsidRPr="000C4F52">
        <w:rPr>
          <w:rFonts w:cs="Arial" w:hint="cs"/>
          <w:b/>
          <w:bCs/>
          <w:rtl/>
        </w:rPr>
        <w:t xml:space="preserve">יז ע"ב: </w:t>
      </w:r>
      <w:r w:rsidRPr="000C4F52">
        <w:rPr>
          <w:rFonts w:cs="Arial"/>
          <w:u w:val="double"/>
          <w:rtl/>
        </w:rPr>
        <w:t>משנה</w:t>
      </w:r>
      <w:r>
        <w:rPr>
          <w:rFonts w:cs="Arial" w:hint="cs"/>
          <w:rtl/>
        </w:rPr>
        <w:t>:</w:t>
      </w:r>
      <w:r w:rsidRPr="000C4F52">
        <w:rPr>
          <w:rFonts w:cs="Arial"/>
          <w:rtl/>
        </w:rPr>
        <w:t xml:space="preserve"> </w:t>
      </w:r>
      <w:r w:rsidRPr="000C4F52">
        <w:rPr>
          <w:rFonts w:cs="Arial"/>
          <w:u w:val="single"/>
          <w:rtl/>
        </w:rPr>
        <w:t>בית שמאי אומרים</w:t>
      </w:r>
      <w:r w:rsidRPr="000C4F52">
        <w:rPr>
          <w:rFonts w:cs="Arial"/>
          <w:rtl/>
        </w:rPr>
        <w:t xml:space="preserve">: אין שורין דיו וסמנים וכרשינין אלא כדי שישורו מבעוד יום, </w:t>
      </w:r>
      <w:r w:rsidRPr="000C4F52">
        <w:rPr>
          <w:rFonts w:cs="Arial"/>
          <w:u w:val="single"/>
          <w:rtl/>
        </w:rPr>
        <w:t xml:space="preserve">ובית הלל </w:t>
      </w:r>
      <w:r w:rsidRPr="000C4F52">
        <w:rPr>
          <w:rFonts w:cs="Arial"/>
          <w:rtl/>
        </w:rPr>
        <w:t xml:space="preserve">מתירין. </w:t>
      </w:r>
      <w:r w:rsidRPr="000C4F52">
        <w:rPr>
          <w:rFonts w:cs="Arial"/>
          <w:u w:val="single"/>
          <w:rtl/>
        </w:rPr>
        <w:t>בית שמאי אומרים</w:t>
      </w:r>
      <w:r w:rsidRPr="000C4F52">
        <w:rPr>
          <w:rFonts w:cs="Arial"/>
          <w:rtl/>
        </w:rPr>
        <w:t xml:space="preserve">: אין נותנין אונין של פשתן לתוך התנור אלא כדי שיהבילו מבעוד יום, ולא את הצמר ליורה אלא כדי שיקלוט העין, </w:t>
      </w:r>
      <w:r w:rsidRPr="000C4F52">
        <w:rPr>
          <w:rFonts w:cs="Arial"/>
          <w:u w:val="single"/>
          <w:rtl/>
        </w:rPr>
        <w:t xml:space="preserve">ובית הלל </w:t>
      </w:r>
      <w:r w:rsidRPr="000C4F52">
        <w:rPr>
          <w:rFonts w:cs="Arial"/>
          <w:rtl/>
        </w:rPr>
        <w:t xml:space="preserve">מתירין. </w:t>
      </w:r>
      <w:r w:rsidRPr="000C4F52">
        <w:rPr>
          <w:rFonts w:cs="Arial"/>
          <w:u w:val="single"/>
          <w:rtl/>
        </w:rPr>
        <w:t>בית שמאי אומרים</w:t>
      </w:r>
      <w:r w:rsidRPr="000C4F52">
        <w:rPr>
          <w:rFonts w:cs="Arial"/>
          <w:rtl/>
        </w:rPr>
        <w:t xml:space="preserve">: אין פורסין מצודות חיה ועופות ודגים אלא כדי שיצודו מבעוד יום, </w:t>
      </w:r>
      <w:r w:rsidRPr="000C4F52">
        <w:rPr>
          <w:rFonts w:cs="Arial"/>
          <w:u w:val="single"/>
          <w:rtl/>
        </w:rPr>
        <w:t>ובית הלל</w:t>
      </w:r>
      <w:r>
        <w:rPr>
          <w:rFonts w:cs="Arial" w:hint="cs"/>
          <w:rtl/>
        </w:rPr>
        <w:t xml:space="preserve"> </w:t>
      </w:r>
      <w:r w:rsidRPr="000C4F52">
        <w:rPr>
          <w:rFonts w:cs="Arial"/>
          <w:rtl/>
        </w:rPr>
        <w:t xml:space="preserve">מתירין. </w:t>
      </w:r>
      <w:r w:rsidRPr="000C4F52">
        <w:rPr>
          <w:rFonts w:cs="Arial"/>
          <w:u w:val="single"/>
          <w:rtl/>
        </w:rPr>
        <w:t>בית שמאי אומרים</w:t>
      </w:r>
      <w:r w:rsidRPr="000C4F52">
        <w:rPr>
          <w:rFonts w:cs="Arial"/>
          <w:rtl/>
        </w:rPr>
        <w:t xml:space="preserve">: אין מוכרין לנכרי, ואין טוענין עמו, ואין מגביהין עליו אלא כדי שיגיע למקום קרוב, </w:t>
      </w:r>
      <w:r w:rsidRPr="000C4F52">
        <w:rPr>
          <w:rFonts w:cs="Arial"/>
          <w:u w:val="single"/>
          <w:rtl/>
        </w:rPr>
        <w:t>ובית הלל</w:t>
      </w:r>
      <w:r>
        <w:rPr>
          <w:rFonts w:cs="Arial" w:hint="cs"/>
          <w:rtl/>
        </w:rPr>
        <w:t xml:space="preserve"> </w:t>
      </w:r>
      <w:r w:rsidRPr="000C4F52">
        <w:rPr>
          <w:rFonts w:cs="Arial"/>
          <w:rtl/>
        </w:rPr>
        <w:t>מתירין.</w:t>
      </w:r>
      <w:r>
        <w:rPr>
          <w:rFonts w:cs="Arial" w:hint="cs"/>
          <w:rtl/>
        </w:rPr>
        <w:t>..</w:t>
      </w:r>
      <w:r w:rsidRPr="000C4F52">
        <w:rPr>
          <w:rFonts w:cs="Arial"/>
          <w:rtl/>
        </w:rPr>
        <w:t xml:space="preserve"> </w:t>
      </w:r>
      <w:r>
        <w:rPr>
          <w:rFonts w:hint="cs"/>
          <w:sz w:val="14"/>
          <w:szCs w:val="14"/>
          <w:rtl/>
        </w:rPr>
        <w:t xml:space="preserve">(יח.) </w:t>
      </w:r>
      <w:r w:rsidRPr="000C4F52">
        <w:rPr>
          <w:rFonts w:cs="Arial"/>
          <w:rtl/>
        </w:rPr>
        <w:t>ושוין אלו ואלו שטוענין קורת בית הבד ועגולי הגת.</w:t>
      </w:r>
      <w:r>
        <w:rPr>
          <w:rFonts w:hint="cs"/>
          <w:rtl/>
        </w:rPr>
        <w:t xml:space="preserve">     </w:t>
      </w:r>
      <w:r w:rsidRPr="00E0518C">
        <w:rPr>
          <w:rFonts w:hint="cs"/>
          <w:u w:val="double"/>
          <w:rtl/>
        </w:rPr>
        <w:t>גמרא</w:t>
      </w:r>
      <w:r>
        <w:rPr>
          <w:rFonts w:hint="cs"/>
          <w:sz w:val="14"/>
          <w:szCs w:val="14"/>
          <w:u w:val="double"/>
          <w:rtl/>
        </w:rPr>
        <w:t xml:space="preserve"> </w:t>
      </w:r>
      <w:r w:rsidRPr="00E0518C">
        <w:rPr>
          <w:rFonts w:hint="cs"/>
          <w:sz w:val="14"/>
          <w:szCs w:val="14"/>
          <w:u w:val="double"/>
          <w:rtl/>
        </w:rPr>
        <w:t>(יח:)</w:t>
      </w:r>
      <w:r w:rsidRPr="00E0518C">
        <w:rPr>
          <w:rFonts w:hint="cs"/>
          <w:u w:val="double"/>
          <w:rtl/>
        </w:rPr>
        <w:t>:</w:t>
      </w:r>
      <w:r>
        <w:rPr>
          <w:rFonts w:hint="cs"/>
          <w:rtl/>
        </w:rPr>
        <w:t xml:space="preserve"> </w:t>
      </w:r>
      <w:r w:rsidRPr="00E0518C">
        <w:rPr>
          <w:rFonts w:cs="Arial"/>
          <w:rtl/>
        </w:rPr>
        <w:t xml:space="preserve">מאן תנא להא, דתנו רבנן: לא תמלא אשה קדרה עססיות ותורמסין ותניח לתוך התנור ערב שבת עם חשכה. ואם נתנן - למוצאי שבת אסורין בכדי שיעשו. כיוצא בו, לא ימלא נחתום חבית של מים ויניח לתוך התנור ערב שבת עם חשכה, ואם עשה כן - למוצאי שבת אסורין בכדי שיעשו. לימא בית שמאי היא ולא בית הלל! אפילו תימא בית הלל, גזירה שמא יחתה בגחלים. - אי הכי, מוגמר וגפרית נמי לגזור! התם לא מחתי להו, דאי מחתי - סליק בהו קוטרא, וקשי להו. אונין של פשתן נמי ליגזור! התם, כיון דקשי להו זיקא - לא מגלו ליה. צמר ליורה לגזור! </w:t>
      </w:r>
      <w:r w:rsidRPr="00E0518C">
        <w:rPr>
          <w:rFonts w:cs="Arial"/>
          <w:u w:val="single"/>
          <w:rtl/>
        </w:rPr>
        <w:t>אמר שמואל</w:t>
      </w:r>
      <w:r w:rsidRPr="00E0518C">
        <w:rPr>
          <w:rFonts w:cs="Arial"/>
          <w:rtl/>
        </w:rPr>
        <w:t>: ביורה עקורה. וניחוש שמא מגיס בה! בעקורה וטוחה.</w:t>
      </w:r>
      <w:r>
        <w:rPr>
          <w:rFonts w:hint="cs"/>
          <w:rtl/>
        </w:rPr>
        <w:t>..</w:t>
      </w:r>
      <w:r w:rsidRPr="00E0518C">
        <w:rPr>
          <w:rtl/>
        </w:rPr>
        <w:t xml:space="preserve"> </w:t>
      </w:r>
      <w:r w:rsidRPr="00E0518C">
        <w:rPr>
          <w:rFonts w:cs="Arial"/>
          <w:rtl/>
        </w:rPr>
        <w:t xml:space="preserve">בית שמאי אומרים אין מוכרין. תנו רבנן, </w:t>
      </w:r>
      <w:r w:rsidRPr="00E0518C">
        <w:rPr>
          <w:rFonts w:cs="Arial"/>
          <w:u w:val="single"/>
          <w:rtl/>
        </w:rPr>
        <w:t>בית שמאי אומרים</w:t>
      </w:r>
      <w:r w:rsidRPr="00E0518C">
        <w:rPr>
          <w:rFonts w:cs="Arial"/>
          <w:rtl/>
        </w:rPr>
        <w:t>: לא ימכור אדם חפצו לנכרי, ולא ישאילנו ולא ילונו ולא יתן לו במתנה, אלא כדי שיגיע</w:t>
      </w:r>
      <w:r>
        <w:rPr>
          <w:rStyle w:val="a9"/>
          <w:rFonts w:cs="Arial"/>
          <w:rtl/>
        </w:rPr>
        <w:footnoteReference w:id="314"/>
      </w:r>
      <w:r w:rsidRPr="00E0518C">
        <w:rPr>
          <w:rFonts w:cs="Arial"/>
          <w:rtl/>
        </w:rPr>
        <w:t xml:space="preserve"> לביתו. </w:t>
      </w:r>
      <w:r w:rsidRPr="00E0518C">
        <w:rPr>
          <w:rFonts w:cs="Arial"/>
          <w:u w:val="single"/>
          <w:rtl/>
        </w:rPr>
        <w:t>ובית הלל אומרים</w:t>
      </w:r>
      <w:r w:rsidRPr="00E0518C">
        <w:rPr>
          <w:rFonts w:cs="Arial"/>
          <w:rtl/>
        </w:rPr>
        <w:t>: כדי שיגיע לבית הסמוך לחומה</w:t>
      </w:r>
      <w:r>
        <w:rPr>
          <w:rStyle w:val="a9"/>
          <w:rFonts w:cs="Arial"/>
          <w:rtl/>
        </w:rPr>
        <w:footnoteReference w:id="315"/>
      </w:r>
      <w:r w:rsidRPr="00E0518C">
        <w:rPr>
          <w:rFonts w:cs="Arial"/>
          <w:rtl/>
        </w:rPr>
        <w:t xml:space="preserve">. </w:t>
      </w:r>
      <w:r w:rsidRPr="00E0518C">
        <w:rPr>
          <w:rFonts w:cs="Arial"/>
          <w:u w:val="single"/>
          <w:rtl/>
        </w:rPr>
        <w:t>רבי עקיבא אומר</w:t>
      </w:r>
      <w:r w:rsidRPr="00E0518C">
        <w:rPr>
          <w:rFonts w:cs="Arial"/>
          <w:rtl/>
        </w:rPr>
        <w:t>: כדי שיצא מפתח ביתו</w:t>
      </w:r>
      <w:r>
        <w:rPr>
          <w:rStyle w:val="a9"/>
          <w:rFonts w:cs="Arial"/>
          <w:rtl/>
        </w:rPr>
        <w:footnoteReference w:id="316"/>
      </w:r>
      <w:r w:rsidRPr="00E0518C">
        <w:rPr>
          <w:rFonts w:cs="Arial"/>
          <w:rtl/>
        </w:rPr>
        <w:t xml:space="preserve">. </w:t>
      </w:r>
      <w:r w:rsidRPr="00E0518C">
        <w:rPr>
          <w:rFonts w:cs="Arial"/>
          <w:u w:val="single"/>
          <w:rtl/>
        </w:rPr>
        <w:t>אמר רבי יוסי ברבי יהודה</w:t>
      </w:r>
      <w:r w:rsidRPr="00E0518C">
        <w:rPr>
          <w:rFonts w:cs="Arial"/>
          <w:rtl/>
        </w:rPr>
        <w:t>: הן הן דברי רבי עקיבא, הן הן דברי בית הלל, לא בא רבי עקיבא אלא לפרש דברי בית הלל</w:t>
      </w:r>
      <w:r>
        <w:rPr>
          <w:rStyle w:val="a9"/>
          <w:rFonts w:cs="Arial"/>
          <w:rtl/>
        </w:rPr>
        <w:footnoteReference w:id="317"/>
      </w:r>
      <w:r w:rsidRPr="00E0518C">
        <w:rPr>
          <w:rFonts w:cs="Arial"/>
          <w:rtl/>
        </w:rPr>
        <w:t>.</w:t>
      </w:r>
      <w:r w:rsidRPr="004C7089">
        <w:rPr>
          <w:rFonts w:cs="Arial" w:hint="cs"/>
          <w:sz w:val="16"/>
          <w:szCs w:val="16"/>
          <w:rtl/>
        </w:rPr>
        <w:t>(</w:t>
      </w:r>
      <w:r w:rsidRPr="004C7089">
        <w:rPr>
          <w:rFonts w:cs="Arial"/>
          <w:sz w:val="16"/>
          <w:szCs w:val="16"/>
          <w:rtl/>
        </w:rPr>
        <w:t>וקיימא לן כבית הלל ואליבא דר' עקיבא</w:t>
      </w:r>
      <w:r w:rsidRPr="004C7089">
        <w:rPr>
          <w:rFonts w:cs="Arial" w:hint="cs"/>
          <w:sz w:val="16"/>
          <w:szCs w:val="16"/>
          <w:rtl/>
        </w:rPr>
        <w:t>, ב"י)</w:t>
      </w:r>
    </w:p>
    <w:p w14:paraId="75A1BA3D" w14:textId="77777777" w:rsidR="004B2E7C" w:rsidRPr="004C7089" w:rsidRDefault="004B2E7C" w:rsidP="00434A6A">
      <w:pPr>
        <w:rPr>
          <w:u w:val="single"/>
          <w:rtl/>
        </w:rPr>
      </w:pPr>
      <w:r w:rsidRPr="004C7089">
        <w:rPr>
          <w:rFonts w:hint="cs"/>
          <w:u w:val="single"/>
          <w:rtl/>
        </w:rPr>
        <w:t>התחלת מלאכה בערב שבת, והיא תיגמר מאיליה בשבת:</w:t>
      </w:r>
    </w:p>
    <w:p w14:paraId="58729C96" w14:textId="77777777" w:rsidR="004B2E7C" w:rsidRPr="003F0C08" w:rsidRDefault="004B2E7C" w:rsidP="00FF2D21">
      <w:pPr>
        <w:pStyle w:val="aa"/>
        <w:numPr>
          <w:ilvl w:val="0"/>
          <w:numId w:val="112"/>
        </w:numPr>
      </w:pPr>
      <w:r>
        <w:rPr>
          <w:rFonts w:cs="Arial" w:hint="cs"/>
          <w:rtl/>
        </w:rPr>
        <w:t xml:space="preserve">טור- </w:t>
      </w:r>
      <w:r w:rsidRPr="00074C87">
        <w:rPr>
          <w:rFonts w:cs="Arial"/>
          <w:rtl/>
        </w:rPr>
        <w:t>מותר להתחיל במלאכה בע"ש סמוך לחשיכה אף על פי שאינו יכול לגומרה מבע</w:t>
      </w:r>
      <w:r>
        <w:rPr>
          <w:rFonts w:cs="Arial" w:hint="cs"/>
          <w:rtl/>
        </w:rPr>
        <w:t xml:space="preserve">וד </w:t>
      </w:r>
      <w:r w:rsidRPr="00074C87">
        <w:rPr>
          <w:rFonts w:cs="Arial"/>
          <w:rtl/>
        </w:rPr>
        <w:t>י</w:t>
      </w:r>
      <w:r>
        <w:rPr>
          <w:rFonts w:cs="Arial" w:hint="cs"/>
          <w:rtl/>
        </w:rPr>
        <w:t>ום</w:t>
      </w:r>
      <w:r w:rsidRPr="00074C87">
        <w:rPr>
          <w:rFonts w:cs="Arial"/>
          <w:rtl/>
        </w:rPr>
        <w:t xml:space="preserve"> והיא נגמרת מאיליה בשבת</w:t>
      </w:r>
      <w:r>
        <w:rPr>
          <w:rFonts w:cs="Arial" w:hint="cs"/>
          <w:rtl/>
        </w:rPr>
        <w:t>.</w:t>
      </w:r>
      <w:r w:rsidRPr="00074C87">
        <w:rPr>
          <w:rFonts w:cs="Arial"/>
          <w:rtl/>
        </w:rPr>
        <w:t xml:space="preserve"> כגון לשרות דיו וסמנין במים והן נשרים כל השבת</w:t>
      </w:r>
      <w:r>
        <w:rPr>
          <w:rFonts w:cs="Arial" w:hint="cs"/>
          <w:rtl/>
        </w:rPr>
        <w:t>.</w:t>
      </w:r>
      <w:r w:rsidRPr="00074C87">
        <w:rPr>
          <w:rFonts w:cs="Arial"/>
          <w:rtl/>
        </w:rPr>
        <w:t xml:space="preserve"> ולתת אונין של פשתן לתנור כדי שיתלבנו</w:t>
      </w:r>
      <w:r>
        <w:rPr>
          <w:rFonts w:cs="Arial" w:hint="cs"/>
          <w:rtl/>
        </w:rPr>
        <w:t>.</w:t>
      </w:r>
      <w:r w:rsidRPr="00074C87">
        <w:rPr>
          <w:rFonts w:cs="Arial"/>
          <w:rtl/>
        </w:rPr>
        <w:t xml:space="preserve"> ולתת צמר לתוך היורה שאינה על גבי האש וטוחה בטיט</w:t>
      </w:r>
      <w:r>
        <w:rPr>
          <w:rFonts w:cs="Arial" w:hint="cs"/>
          <w:rtl/>
        </w:rPr>
        <w:t>.</w:t>
      </w:r>
      <w:r w:rsidRPr="00074C87">
        <w:rPr>
          <w:rFonts w:cs="Arial"/>
          <w:rtl/>
        </w:rPr>
        <w:t xml:space="preserve"> אבל אם היתה על האש אסור שמא יחתה בגחלים</w:t>
      </w:r>
      <w:r>
        <w:rPr>
          <w:rFonts w:cs="Arial" w:hint="cs"/>
          <w:rtl/>
        </w:rPr>
        <w:t>.</w:t>
      </w:r>
      <w:r w:rsidRPr="00074C87">
        <w:rPr>
          <w:rFonts w:cs="Arial"/>
          <w:rtl/>
        </w:rPr>
        <w:t xml:space="preserve"> או אפי' אינה על האש אם היא פתוחה אסור שמא יגיס בה בכף והמגיס בקדרה אפי' אינה על האש חייב משום מבשל</w:t>
      </w:r>
      <w:r>
        <w:rPr>
          <w:rFonts w:cs="Arial" w:hint="cs"/>
          <w:rtl/>
        </w:rPr>
        <w:t>.</w:t>
      </w:r>
      <w:r w:rsidRPr="00074C87">
        <w:rPr>
          <w:rFonts w:cs="Arial"/>
          <w:rtl/>
        </w:rPr>
        <w:t xml:space="preserve"> ומותר לפרוס מצודות חיה ועוף ודגים והן ניצודים בשבת</w:t>
      </w:r>
      <w:r>
        <w:rPr>
          <w:rFonts w:cs="Arial" w:hint="cs"/>
          <w:rtl/>
        </w:rPr>
        <w:t>.</w:t>
      </w:r>
      <w:r w:rsidRPr="00074C87">
        <w:rPr>
          <w:rFonts w:cs="Arial"/>
          <w:rtl/>
        </w:rPr>
        <w:t xml:space="preserve"> </w:t>
      </w:r>
    </w:p>
    <w:p w14:paraId="3FEE0C05" w14:textId="77777777" w:rsidR="004B2E7C" w:rsidRPr="003F0C08" w:rsidRDefault="004B2E7C" w:rsidP="00434A6A">
      <w:pPr>
        <w:rPr>
          <w:u w:val="single"/>
        </w:rPr>
      </w:pPr>
      <w:r>
        <w:rPr>
          <w:rFonts w:hint="cs"/>
          <w:u w:val="single"/>
          <w:rtl/>
        </w:rPr>
        <w:t xml:space="preserve">ישראל שמוכר בביתו דבר לגוי </w:t>
      </w:r>
      <w:r w:rsidRPr="003F0C08">
        <w:rPr>
          <w:rFonts w:hint="cs"/>
          <w:u w:val="single"/>
          <w:rtl/>
        </w:rPr>
        <w:t>סמוך לחשיכה:</w:t>
      </w:r>
    </w:p>
    <w:p w14:paraId="2A4FFA61" w14:textId="77777777" w:rsidR="004B2E7C" w:rsidRDefault="004B2E7C" w:rsidP="00FF2D21">
      <w:pPr>
        <w:pStyle w:val="aa"/>
        <w:numPr>
          <w:ilvl w:val="0"/>
          <w:numId w:val="112"/>
        </w:numPr>
      </w:pPr>
      <w:r>
        <w:rPr>
          <w:rFonts w:cs="Arial" w:hint="cs"/>
          <w:rtl/>
        </w:rPr>
        <w:t xml:space="preserve">טור- </w:t>
      </w:r>
      <w:r w:rsidRPr="00074C87">
        <w:rPr>
          <w:rFonts w:cs="Arial"/>
          <w:rtl/>
        </w:rPr>
        <w:t>ומותר למכור ל</w:t>
      </w:r>
      <w:r>
        <w:rPr>
          <w:rFonts w:cs="Arial" w:hint="cs"/>
          <w:rtl/>
        </w:rPr>
        <w:t>גוי</w:t>
      </w:r>
      <w:r w:rsidRPr="00074C87">
        <w:rPr>
          <w:rFonts w:cs="Arial"/>
          <w:rtl/>
        </w:rPr>
        <w:t xml:space="preserve"> ולהטעינו סמוך לחשיכה רק שיצא מביתו מבעוד יום</w:t>
      </w:r>
      <w:r>
        <w:rPr>
          <w:rFonts w:cs="Arial" w:hint="cs"/>
          <w:rtl/>
        </w:rPr>
        <w:t>.</w:t>
      </w:r>
    </w:p>
    <w:p w14:paraId="5945178E" w14:textId="77777777" w:rsidR="004B2E7C" w:rsidRPr="00092B57" w:rsidRDefault="004B2E7C" w:rsidP="00434A6A">
      <w:pPr>
        <w:ind w:left="360"/>
        <w:rPr>
          <w:sz w:val="16"/>
          <w:szCs w:val="16"/>
        </w:rPr>
      </w:pPr>
      <w:r w:rsidRPr="003F0C08">
        <w:rPr>
          <w:rFonts w:hint="cs"/>
          <w:u w:val="dotted"/>
          <w:rtl/>
        </w:rPr>
        <w:t xml:space="preserve">ומה הדין אם ייחד לו הישראל מקום בביתו </w:t>
      </w:r>
      <w:r w:rsidRPr="003F0C08">
        <w:rPr>
          <w:u w:val="dotted"/>
          <w:rtl/>
        </w:rPr>
        <w:t>–</w:t>
      </w:r>
      <w:r w:rsidRPr="003F0C08">
        <w:rPr>
          <w:rFonts w:hint="cs"/>
          <w:u w:val="dotted"/>
          <w:rtl/>
        </w:rPr>
        <w:t xml:space="preserve"> האם יכול לקחת ממנו בשבת:</w:t>
      </w:r>
      <w:r>
        <w:rPr>
          <w:rFonts w:hint="cs"/>
          <w:sz w:val="16"/>
          <w:szCs w:val="16"/>
          <w:rtl/>
        </w:rPr>
        <w:t xml:space="preserve">  (דרכ"מ אות א)</w:t>
      </w:r>
    </w:p>
    <w:p w14:paraId="4AA584E4" w14:textId="77777777" w:rsidR="004B2E7C" w:rsidRDefault="004B2E7C" w:rsidP="00FF2D21">
      <w:pPr>
        <w:pStyle w:val="aa"/>
        <w:numPr>
          <w:ilvl w:val="0"/>
          <w:numId w:val="112"/>
        </w:numPr>
        <w:rPr>
          <w:rtl/>
        </w:rPr>
      </w:pPr>
      <w:r>
        <w:rPr>
          <w:rFonts w:cs="Arial" w:hint="cs"/>
          <w:rtl/>
        </w:rPr>
        <w:t>הגמ"ר</w:t>
      </w:r>
      <w:r w:rsidRPr="003F0C08">
        <w:rPr>
          <w:rFonts w:cs="Arial" w:hint="cs"/>
          <w:sz w:val="16"/>
          <w:szCs w:val="16"/>
          <w:rtl/>
        </w:rPr>
        <w:t xml:space="preserve"> (שבת </w:t>
      </w:r>
      <w:r>
        <w:rPr>
          <w:rFonts w:cs="Arial" w:hint="cs"/>
          <w:sz w:val="16"/>
          <w:szCs w:val="16"/>
          <w:rtl/>
        </w:rPr>
        <w:t xml:space="preserve">סי' </w:t>
      </w:r>
      <w:r w:rsidRPr="003F0C08">
        <w:rPr>
          <w:rFonts w:cs="Arial" w:hint="cs"/>
          <w:sz w:val="16"/>
          <w:szCs w:val="16"/>
          <w:rtl/>
        </w:rPr>
        <w:t>תנד)</w:t>
      </w:r>
      <w:r>
        <w:rPr>
          <w:rFonts w:cs="Arial" w:hint="cs"/>
          <w:rtl/>
        </w:rPr>
        <w:t xml:space="preserve">- </w:t>
      </w:r>
      <w:r w:rsidRPr="003F0C08">
        <w:rPr>
          <w:rFonts w:cs="Arial"/>
          <w:rtl/>
        </w:rPr>
        <w:t>וכל מה שאסרנו מכירה ונתינה עד כדי שיצא מפתח ביתו לב"ה ה"מ כשלא ייחד לו מקום</w:t>
      </w:r>
      <w:r>
        <w:rPr>
          <w:rFonts w:cs="Arial" w:hint="cs"/>
          <w:rtl/>
        </w:rPr>
        <w:t>,</w:t>
      </w:r>
      <w:r w:rsidRPr="003F0C08">
        <w:rPr>
          <w:rFonts w:cs="Arial"/>
          <w:rtl/>
        </w:rPr>
        <w:t xml:space="preserve"> אבל ייחד לו מקום שרי</w:t>
      </w:r>
      <w:r>
        <w:rPr>
          <w:rFonts w:cs="Arial" w:hint="cs"/>
          <w:rtl/>
        </w:rPr>
        <w:t>.</w:t>
      </w:r>
      <w:r w:rsidRPr="003F0C08">
        <w:rPr>
          <w:rFonts w:cs="Arial"/>
          <w:rtl/>
        </w:rPr>
        <w:t xml:space="preserve"> ואפילו בייחד לחוד קרוב הדבר להתיר</w:t>
      </w:r>
      <w:r>
        <w:rPr>
          <w:rFonts w:cs="Arial" w:hint="cs"/>
          <w:rtl/>
        </w:rPr>
        <w:t>,</w:t>
      </w:r>
      <w:r w:rsidRPr="003F0C08">
        <w:rPr>
          <w:rFonts w:cs="Arial"/>
          <w:rtl/>
        </w:rPr>
        <w:t xml:space="preserve"> כדתנן [לעיל ב</w:t>
      </w:r>
      <w:r>
        <w:rPr>
          <w:rFonts w:cs="Arial" w:hint="cs"/>
          <w:rtl/>
        </w:rPr>
        <w:t>.</w:t>
      </w:r>
      <w:r w:rsidRPr="003F0C08">
        <w:rPr>
          <w:rFonts w:cs="Arial"/>
          <w:rtl/>
        </w:rPr>
        <w:t>] פשט העני ידו לפנים ונטל מתוך ידו של בעה"ב ואוקימנא דפטור ומותר לבעה"ב</w:t>
      </w:r>
      <w:r>
        <w:rPr>
          <w:rFonts w:cs="Arial" w:hint="cs"/>
          <w:rtl/>
        </w:rPr>
        <w:t>.</w:t>
      </w:r>
      <w:r w:rsidRPr="003F0C08">
        <w:rPr>
          <w:rFonts w:cs="Arial"/>
          <w:rtl/>
        </w:rPr>
        <w:t xml:space="preserve"> ויש להחמיר שלא להרגיל הנכרי בכך</w:t>
      </w:r>
      <w:r>
        <w:rPr>
          <w:rFonts w:cs="Arial" w:hint="cs"/>
          <w:rtl/>
        </w:rPr>
        <w:t>,</w:t>
      </w:r>
      <w:r w:rsidRPr="003F0C08">
        <w:rPr>
          <w:rFonts w:cs="Arial"/>
          <w:rtl/>
        </w:rPr>
        <w:t xml:space="preserve"> ראבי"ה</w:t>
      </w:r>
      <w:r>
        <w:rPr>
          <w:rFonts w:cs="Arial" w:hint="cs"/>
          <w:rtl/>
        </w:rPr>
        <w:t>.</w:t>
      </w:r>
      <w:r w:rsidRPr="003F0C08">
        <w:rPr>
          <w:rFonts w:cs="Arial"/>
          <w:rtl/>
        </w:rPr>
        <w:t xml:space="preserve"> ולאבא מורי ה"ר מרדכי נראה דהמדקדק לשון הספר בפ"ק דפסחים ימצא דאפילו שכירות לא קניא אלא גבי חמץ מגזירת הכתוב</w:t>
      </w:r>
      <w:r>
        <w:rPr>
          <w:rStyle w:val="a9"/>
          <w:rFonts w:cs="Arial"/>
          <w:rtl/>
        </w:rPr>
        <w:footnoteReference w:id="318"/>
      </w:r>
      <w:r>
        <w:rPr>
          <w:rFonts w:hint="cs"/>
          <w:rtl/>
        </w:rPr>
        <w:t xml:space="preserve">. </w:t>
      </w:r>
      <w:r w:rsidRPr="00092B57">
        <w:rPr>
          <w:rFonts w:hint="cs"/>
          <w:color w:val="00B0F0"/>
          <w:rtl/>
        </w:rPr>
        <w:t>(וכ"פ הרמ"א)</w:t>
      </w:r>
    </w:p>
    <w:p w14:paraId="4AE804A8"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207751A" w14:textId="77777777" w:rsidR="004B2E7C" w:rsidRDefault="004B2E7C" w:rsidP="00434A6A">
      <w:pPr>
        <w:rPr>
          <w:rFonts w:cs="Arial"/>
          <w:rtl/>
        </w:rPr>
      </w:pPr>
      <w:r>
        <w:rPr>
          <w:rFonts w:cs="Arial"/>
          <w:rtl/>
        </w:rPr>
        <w:t>מותר להתחיל במלאכה בע</w:t>
      </w:r>
      <w:r>
        <w:rPr>
          <w:rFonts w:cs="Arial" w:hint="cs"/>
          <w:rtl/>
        </w:rPr>
        <w:t>רב שבת</w:t>
      </w:r>
      <w:r>
        <w:rPr>
          <w:rFonts w:cs="Arial"/>
          <w:rtl/>
        </w:rPr>
        <w:t xml:space="preserve"> סמוך לחשיכה, אף על פי שאינו יכול לגומרה מבעוד יום והיא נגמרה מאליה בשבת</w:t>
      </w:r>
      <w:r>
        <w:rPr>
          <w:rFonts w:cs="Arial" w:hint="cs"/>
          <w:rtl/>
        </w:rPr>
        <w:t>.</w:t>
      </w:r>
      <w:r>
        <w:rPr>
          <w:rFonts w:cs="Arial"/>
          <w:rtl/>
        </w:rPr>
        <w:t xml:space="preserve"> כגון לשרות דיו וסממנים במים והם נשרים כל השבת</w:t>
      </w:r>
      <w:r>
        <w:rPr>
          <w:rStyle w:val="a9"/>
          <w:rFonts w:cs="Arial"/>
          <w:rtl/>
        </w:rPr>
        <w:footnoteReference w:id="319"/>
      </w:r>
      <w:r>
        <w:rPr>
          <w:rFonts w:cs="Arial" w:hint="cs"/>
          <w:rtl/>
        </w:rPr>
        <w:t>.</w:t>
      </w:r>
      <w:r>
        <w:rPr>
          <w:rFonts w:cs="Arial"/>
          <w:rtl/>
        </w:rPr>
        <w:t xml:space="preserve"> ולתת אונין של פשתן לתנור</w:t>
      </w:r>
      <w:r>
        <w:rPr>
          <w:rStyle w:val="a9"/>
          <w:rFonts w:cs="Arial"/>
          <w:rtl/>
        </w:rPr>
        <w:footnoteReference w:id="320"/>
      </w:r>
      <w:r>
        <w:rPr>
          <w:rFonts w:cs="Arial"/>
          <w:rtl/>
        </w:rPr>
        <w:t xml:space="preserve"> כדי שיתלבנו</w:t>
      </w:r>
      <w:r>
        <w:rPr>
          <w:rFonts w:cs="Arial" w:hint="cs"/>
          <w:rtl/>
        </w:rPr>
        <w:t>.</w:t>
      </w:r>
      <w:r>
        <w:rPr>
          <w:rFonts w:cs="Arial"/>
          <w:rtl/>
        </w:rPr>
        <w:t xml:space="preserve"> ולתת צמר לתוך היורה שאינה על האש והיא טוחה בטיט</w:t>
      </w:r>
      <w:r>
        <w:rPr>
          <w:rFonts w:cs="Arial" w:hint="cs"/>
          <w:rtl/>
        </w:rPr>
        <w:t>,</w:t>
      </w:r>
      <w:r>
        <w:rPr>
          <w:rFonts w:cs="Arial"/>
          <w:rtl/>
        </w:rPr>
        <w:t xml:space="preserve"> שאם היא על האש אסור שמא יחתה</w:t>
      </w:r>
      <w:r>
        <w:rPr>
          <w:rStyle w:val="a9"/>
          <w:rFonts w:cs="Arial"/>
          <w:rtl/>
        </w:rPr>
        <w:footnoteReference w:id="321"/>
      </w:r>
      <w:r>
        <w:rPr>
          <w:rFonts w:cs="Arial" w:hint="cs"/>
          <w:rtl/>
        </w:rPr>
        <w:t>.</w:t>
      </w:r>
      <w:r>
        <w:rPr>
          <w:rFonts w:cs="Arial"/>
          <w:rtl/>
        </w:rPr>
        <w:t xml:space="preserve"> ואפי</w:t>
      </w:r>
      <w:r>
        <w:rPr>
          <w:rFonts w:cs="Arial" w:hint="cs"/>
          <w:rtl/>
        </w:rPr>
        <w:t>לו</w:t>
      </w:r>
      <w:r>
        <w:rPr>
          <w:rFonts w:cs="Arial"/>
          <w:rtl/>
        </w:rPr>
        <w:t xml:space="preserve"> אינה על האש אם אינה טוחה בטיט, אסור, שמא יגיס בה בכף</w:t>
      </w:r>
      <w:r>
        <w:rPr>
          <w:rFonts w:cs="Arial" w:hint="cs"/>
          <w:rtl/>
        </w:rPr>
        <w:t>,</w:t>
      </w:r>
      <w:r>
        <w:rPr>
          <w:rFonts w:cs="Arial"/>
          <w:rtl/>
        </w:rPr>
        <w:t xml:space="preserve"> והמגיס בקדרה, אפי</w:t>
      </w:r>
      <w:r>
        <w:rPr>
          <w:rFonts w:cs="Arial" w:hint="cs"/>
          <w:rtl/>
        </w:rPr>
        <w:t>לו</w:t>
      </w:r>
      <w:r>
        <w:rPr>
          <w:rFonts w:cs="Arial"/>
          <w:rtl/>
        </w:rPr>
        <w:t xml:space="preserve"> אינה על האש חייב משום מבשל</w:t>
      </w:r>
      <w:r>
        <w:rPr>
          <w:rStyle w:val="a9"/>
          <w:rFonts w:cs="Arial"/>
          <w:rtl/>
        </w:rPr>
        <w:footnoteReference w:id="322"/>
      </w:r>
      <w:r>
        <w:rPr>
          <w:rFonts w:cs="Arial" w:hint="cs"/>
          <w:rtl/>
        </w:rPr>
        <w:t>.</w:t>
      </w:r>
      <w:r>
        <w:rPr>
          <w:rFonts w:cs="Arial"/>
          <w:rtl/>
        </w:rPr>
        <w:t xml:space="preserve"> ומותר לפרוס מצודות חיה ועופות ודגים והם נצודים בשבת</w:t>
      </w:r>
      <w:r>
        <w:rPr>
          <w:rFonts w:cs="Arial" w:hint="cs"/>
          <w:rtl/>
        </w:rPr>
        <w:t>.</w:t>
      </w:r>
      <w:r>
        <w:rPr>
          <w:rFonts w:cs="Arial"/>
          <w:rtl/>
        </w:rPr>
        <w:t xml:space="preserve"> ומותר למכור לגוי ולהטעינו סמוך לחשיכה ובלבד שיצא</w:t>
      </w:r>
      <w:r>
        <w:rPr>
          <w:rStyle w:val="a9"/>
          <w:rFonts w:cs="Arial"/>
          <w:rtl/>
        </w:rPr>
        <w:footnoteReference w:id="323"/>
      </w:r>
      <w:r>
        <w:rPr>
          <w:rFonts w:cs="Arial"/>
          <w:rtl/>
        </w:rPr>
        <w:t xml:space="preserve"> מפתח ביתו מבעוד יום</w:t>
      </w:r>
      <w:r>
        <w:rPr>
          <w:rStyle w:val="a9"/>
          <w:rFonts w:cs="Arial"/>
          <w:rtl/>
        </w:rPr>
        <w:footnoteReference w:id="324"/>
      </w:r>
      <w:r>
        <w:rPr>
          <w:rFonts w:cs="Arial"/>
          <w:rtl/>
        </w:rPr>
        <w:t xml:space="preserve">. </w:t>
      </w:r>
      <w:r w:rsidRPr="006A1B03">
        <w:rPr>
          <w:rFonts w:cs="Arial"/>
          <w:sz w:val="18"/>
          <w:szCs w:val="18"/>
          <w:rtl/>
        </w:rPr>
        <w:t>הגה: ויש מתירין שיוציא הגוי בשבת אם יחד לו הגוי מקום מבעוד יום בבית ישראל</w:t>
      </w:r>
      <w:r>
        <w:rPr>
          <w:rStyle w:val="a9"/>
          <w:rFonts w:cs="Arial"/>
          <w:sz w:val="18"/>
          <w:szCs w:val="18"/>
          <w:rtl/>
        </w:rPr>
        <w:footnoteReference w:id="325"/>
      </w:r>
      <w:r w:rsidRPr="006A1B03">
        <w:rPr>
          <w:rFonts w:cs="Arial"/>
          <w:sz w:val="18"/>
          <w:szCs w:val="18"/>
          <w:rtl/>
        </w:rPr>
        <w:t>, ויש להחמיר</w:t>
      </w:r>
      <w:r>
        <w:rPr>
          <w:rStyle w:val="a9"/>
          <w:rFonts w:cs="Arial"/>
          <w:sz w:val="18"/>
          <w:szCs w:val="18"/>
          <w:rtl/>
        </w:rPr>
        <w:footnoteReference w:id="326"/>
      </w:r>
      <w:r w:rsidRPr="006A1B03">
        <w:rPr>
          <w:rFonts w:cs="Arial"/>
          <w:sz w:val="18"/>
          <w:szCs w:val="18"/>
          <w:rtl/>
        </w:rPr>
        <w:t xml:space="preserve"> (מרדכי פ"ק דשבת) וע"ל סי' שכ"ה.</w:t>
      </w:r>
    </w:p>
    <w:p w14:paraId="332438A5" w14:textId="77777777" w:rsidR="004B2E7C" w:rsidRDefault="004B2E7C" w:rsidP="00434A6A">
      <w:pPr>
        <w:rPr>
          <w:rtl/>
        </w:rPr>
      </w:pPr>
      <w:r>
        <w:rPr>
          <w:rFonts w:cs="Arial"/>
          <w:rtl/>
        </w:rPr>
        <w:t xml:space="preserve"> </w:t>
      </w:r>
    </w:p>
    <w:p w14:paraId="0F9DCF63" w14:textId="77777777" w:rsidR="004B2E7C" w:rsidRDefault="004B2E7C" w:rsidP="00434A6A">
      <w:pPr>
        <w:pStyle w:val="2"/>
        <w:rPr>
          <w:rtl/>
        </w:rPr>
      </w:pPr>
      <w:r>
        <w:rPr>
          <w:rtl/>
        </w:rPr>
        <w:t>סעיף ב</w:t>
      </w:r>
      <w:r>
        <w:rPr>
          <w:rFonts w:hint="cs"/>
          <w:rtl/>
        </w:rPr>
        <w:t>:</w:t>
      </w:r>
      <w:r w:rsidRPr="009365AB">
        <w:rPr>
          <w:rFonts w:hint="cs"/>
          <w:rtl/>
        </w:rPr>
        <w:t xml:space="preserve"> נתינת בגדיו לכובס או עורות לעבדן סמוך לחשיכה</w:t>
      </w:r>
      <w:r>
        <w:rPr>
          <w:rFonts w:hint="cs"/>
          <w:rtl/>
        </w:rPr>
        <w:t>.</w:t>
      </w:r>
    </w:p>
    <w:p w14:paraId="3429BA58" w14:textId="77777777" w:rsidR="004B2E7C" w:rsidRDefault="004B2E7C" w:rsidP="00434A6A">
      <w:pPr>
        <w:rPr>
          <w:rtl/>
        </w:rPr>
      </w:pPr>
      <w:r w:rsidRPr="000C4F52">
        <w:rPr>
          <w:rFonts w:cs="Arial" w:hint="cs"/>
          <w:b/>
          <w:bCs/>
          <w:rtl/>
        </w:rPr>
        <w:t xml:space="preserve">שבת </w:t>
      </w:r>
      <w:r w:rsidRPr="000C4F52">
        <w:rPr>
          <w:rFonts w:cs="Arial" w:hint="cs"/>
          <w:b/>
          <w:bCs/>
          <w:sz w:val="16"/>
          <w:szCs w:val="16"/>
          <w:rtl/>
        </w:rPr>
        <w:t xml:space="preserve">(פ"ק) </w:t>
      </w:r>
      <w:r w:rsidRPr="000C4F52">
        <w:rPr>
          <w:rFonts w:cs="Arial" w:hint="cs"/>
          <w:b/>
          <w:bCs/>
          <w:rtl/>
        </w:rPr>
        <w:t xml:space="preserve">יז ע"ב: </w:t>
      </w:r>
      <w:r w:rsidRPr="000C4F52">
        <w:rPr>
          <w:rFonts w:cs="Arial"/>
          <w:u w:val="double"/>
          <w:rtl/>
        </w:rPr>
        <w:t>משנה</w:t>
      </w:r>
      <w:r>
        <w:rPr>
          <w:rFonts w:cs="Arial" w:hint="cs"/>
          <w:rtl/>
        </w:rPr>
        <w:t>:..</w:t>
      </w:r>
      <w:r w:rsidRPr="000C4F52">
        <w:rPr>
          <w:rFonts w:cs="Arial"/>
          <w:rtl/>
        </w:rPr>
        <w:t xml:space="preserve">. </w:t>
      </w:r>
      <w:r w:rsidRPr="000C4F52">
        <w:rPr>
          <w:rFonts w:cs="Arial"/>
          <w:u w:val="single"/>
          <w:rtl/>
        </w:rPr>
        <w:t>בית שמאי אומרים</w:t>
      </w:r>
      <w:r w:rsidRPr="000C4F52">
        <w:rPr>
          <w:rFonts w:cs="Arial"/>
          <w:rtl/>
        </w:rPr>
        <w:t xml:space="preserve">: אין נותנין עורות לעבדן, ולא כלים לכובס נכרי אלא כדי שיעשו מבעוד יום, </w:t>
      </w:r>
      <w:r w:rsidRPr="000C4F52">
        <w:rPr>
          <w:rFonts w:cs="Arial"/>
          <w:u w:val="single"/>
          <w:rtl/>
        </w:rPr>
        <w:t>ובכולן בית הלל</w:t>
      </w:r>
      <w:r>
        <w:rPr>
          <w:rFonts w:cs="Arial" w:hint="cs"/>
          <w:rtl/>
        </w:rPr>
        <w:t xml:space="preserve"> </w:t>
      </w:r>
      <w:r w:rsidRPr="000C4F52">
        <w:rPr>
          <w:rFonts w:cs="Arial"/>
          <w:rtl/>
        </w:rPr>
        <w:t>מתירין עם</w:t>
      </w:r>
      <w:r w:rsidRPr="000C4F52">
        <w:rPr>
          <w:rtl/>
        </w:rPr>
        <w:t xml:space="preserve"> </w:t>
      </w:r>
      <w:r>
        <w:rPr>
          <w:rFonts w:hint="cs"/>
          <w:sz w:val="14"/>
          <w:szCs w:val="14"/>
          <w:rtl/>
        </w:rPr>
        <w:t xml:space="preserve">(יח.) </w:t>
      </w:r>
      <w:r w:rsidRPr="000C4F52">
        <w:rPr>
          <w:rFonts w:cs="Arial"/>
          <w:rtl/>
        </w:rPr>
        <w:t xml:space="preserve">השמש. </w:t>
      </w:r>
      <w:r w:rsidRPr="000C4F52">
        <w:rPr>
          <w:rFonts w:cs="Arial"/>
          <w:u w:val="single"/>
          <w:rtl/>
        </w:rPr>
        <w:t>אמר רבן שמעון בן גמליאל</w:t>
      </w:r>
      <w:r w:rsidRPr="000C4F52">
        <w:rPr>
          <w:rFonts w:cs="Arial"/>
          <w:rtl/>
        </w:rPr>
        <w:t>: נוהגין היו בית אבא שהיו נותנין כלי לבן לכובס נכרי שלשה ימים קודם לשבת.</w:t>
      </w:r>
      <w:r>
        <w:rPr>
          <w:rFonts w:cs="Arial" w:hint="cs"/>
          <w:rtl/>
        </w:rPr>
        <w:t>.</w:t>
      </w:r>
      <w:r w:rsidRPr="000C4F52">
        <w:rPr>
          <w:rFonts w:cs="Arial"/>
          <w:rtl/>
        </w:rPr>
        <w:t>.</w:t>
      </w:r>
    </w:p>
    <w:p w14:paraId="3FDE9058" w14:textId="77777777" w:rsidR="004B2E7C" w:rsidRPr="009365AB" w:rsidRDefault="004B2E7C" w:rsidP="00434A6A">
      <w:pPr>
        <w:rPr>
          <w:u w:val="single"/>
          <w:rtl/>
        </w:rPr>
      </w:pPr>
      <w:r w:rsidRPr="009365AB">
        <w:rPr>
          <w:rFonts w:hint="cs"/>
          <w:u w:val="single"/>
          <w:rtl/>
        </w:rPr>
        <w:t>נתינת בגדיו לכובס או עורות לעבדן סמוך לחשיכה:</w:t>
      </w:r>
    </w:p>
    <w:p w14:paraId="585459A8" w14:textId="77777777" w:rsidR="004B2E7C" w:rsidRDefault="004B2E7C" w:rsidP="00FF2D21">
      <w:pPr>
        <w:pStyle w:val="aa"/>
        <w:numPr>
          <w:ilvl w:val="0"/>
          <w:numId w:val="112"/>
        </w:numPr>
      </w:pPr>
      <w:r w:rsidRPr="00074C87">
        <w:rPr>
          <w:rFonts w:cs="Arial"/>
          <w:rtl/>
        </w:rPr>
        <w:t xml:space="preserve">רמב"ם </w:t>
      </w:r>
      <w:r w:rsidRPr="00FC4302">
        <w:rPr>
          <w:rFonts w:cs="Arial" w:hint="cs"/>
          <w:sz w:val="16"/>
          <w:szCs w:val="16"/>
          <w:rtl/>
        </w:rPr>
        <w:t>(</w:t>
      </w:r>
      <w:r w:rsidRPr="00FC4302">
        <w:rPr>
          <w:rFonts w:cs="Arial"/>
          <w:sz w:val="16"/>
          <w:szCs w:val="16"/>
          <w:rtl/>
        </w:rPr>
        <w:t>פ"ו הי"ב)</w:t>
      </w:r>
      <w:r>
        <w:rPr>
          <w:rFonts w:cs="Arial" w:hint="cs"/>
          <w:rtl/>
        </w:rPr>
        <w:t xml:space="preserve"> טור ו</w:t>
      </w:r>
      <w:r w:rsidRPr="00074C87">
        <w:rPr>
          <w:rFonts w:cs="Arial"/>
          <w:rtl/>
        </w:rPr>
        <w:t xml:space="preserve">ר"ן </w:t>
      </w:r>
      <w:r w:rsidRPr="00FC4302">
        <w:rPr>
          <w:rFonts w:cs="Arial"/>
          <w:sz w:val="16"/>
          <w:szCs w:val="16"/>
          <w:rtl/>
        </w:rPr>
        <w:t>(ז. ד"ה ובכולן)</w:t>
      </w:r>
      <w:r>
        <w:rPr>
          <w:rFonts w:cs="Arial" w:hint="cs"/>
          <w:rtl/>
        </w:rPr>
        <w:t xml:space="preserve">- </w:t>
      </w:r>
      <w:r w:rsidRPr="00074C87">
        <w:rPr>
          <w:rFonts w:cs="Arial"/>
          <w:rtl/>
        </w:rPr>
        <w:t xml:space="preserve">ומותר ליתן בגדיו לכובס </w:t>
      </w:r>
      <w:r>
        <w:rPr>
          <w:rFonts w:cs="Arial"/>
          <w:rtl/>
        </w:rPr>
        <w:t>גוי</w:t>
      </w:r>
      <w:r w:rsidRPr="00074C87">
        <w:rPr>
          <w:rFonts w:cs="Arial"/>
          <w:rtl/>
        </w:rPr>
        <w:t xml:space="preserve"> ועורות לעבדן סמוך לחשיכה אם קצץ לו דמים</w:t>
      </w:r>
      <w:r>
        <w:rPr>
          <w:rStyle w:val="a9"/>
          <w:rFonts w:cs="Arial"/>
          <w:rtl/>
        </w:rPr>
        <w:footnoteReference w:id="327"/>
      </w:r>
      <w:r>
        <w:rPr>
          <w:rFonts w:cs="Arial" w:hint="cs"/>
          <w:rtl/>
        </w:rPr>
        <w:t>,</w:t>
      </w:r>
      <w:r w:rsidRPr="009365AB">
        <w:rPr>
          <w:rFonts w:cs="Arial"/>
          <w:rtl/>
        </w:rPr>
        <w:t xml:space="preserve"> </w:t>
      </w:r>
      <w:r w:rsidRPr="00074C87">
        <w:rPr>
          <w:rFonts w:cs="Arial"/>
          <w:rtl/>
        </w:rPr>
        <w:t xml:space="preserve">אבל אם לא קצץ </w:t>
      </w:r>
      <w:r>
        <w:rPr>
          <w:rFonts w:cs="Arial" w:hint="cs"/>
          <w:rtl/>
        </w:rPr>
        <w:t xml:space="preserve">- </w:t>
      </w:r>
      <w:r w:rsidRPr="00074C87">
        <w:rPr>
          <w:rFonts w:cs="Arial"/>
          <w:rtl/>
        </w:rPr>
        <w:t>אסור</w:t>
      </w:r>
      <w:r>
        <w:rPr>
          <w:rFonts w:cs="Arial" w:hint="cs"/>
          <w:sz w:val="16"/>
          <w:szCs w:val="16"/>
          <w:rtl/>
        </w:rPr>
        <w:t xml:space="preserve"> (ל' הטור)</w:t>
      </w:r>
      <w:r>
        <w:rPr>
          <w:rStyle w:val="a9"/>
          <w:rFonts w:cs="Arial"/>
          <w:rtl/>
        </w:rPr>
        <w:footnoteReference w:id="328"/>
      </w:r>
      <w:r>
        <w:rPr>
          <w:rFonts w:cs="Arial" w:hint="cs"/>
          <w:rtl/>
        </w:rPr>
        <w:t>.</w:t>
      </w:r>
      <w:r w:rsidRPr="00074C87">
        <w:rPr>
          <w:rFonts w:cs="Arial"/>
          <w:rtl/>
        </w:rPr>
        <w:t xml:space="preserve"> </w:t>
      </w:r>
      <w:r w:rsidRPr="008A6AD4">
        <w:rPr>
          <w:rFonts w:hint="cs"/>
          <w:color w:val="E36C0A" w:themeColor="accent6" w:themeShade="BF"/>
          <w:rtl/>
        </w:rPr>
        <w:t>(וכ"פ בשו"ע)</w:t>
      </w:r>
    </w:p>
    <w:p w14:paraId="37006C21" w14:textId="77777777" w:rsidR="004B2E7C" w:rsidRPr="00FC4302" w:rsidRDefault="004B2E7C" w:rsidP="00FF2D21">
      <w:pPr>
        <w:pStyle w:val="aa"/>
        <w:numPr>
          <w:ilvl w:val="0"/>
          <w:numId w:val="112"/>
        </w:numPr>
      </w:pPr>
      <w:r>
        <w:rPr>
          <w:rFonts w:cs="Arial" w:hint="cs"/>
          <w:rtl/>
        </w:rPr>
        <w:t xml:space="preserve">הגמ"ר </w:t>
      </w:r>
      <w:r w:rsidRPr="009365AB">
        <w:rPr>
          <w:rFonts w:cs="Arial"/>
          <w:sz w:val="16"/>
          <w:szCs w:val="16"/>
          <w:rtl/>
        </w:rPr>
        <w:t>(סי' תנד, ע"ח ע"ד)</w:t>
      </w:r>
      <w:r>
        <w:rPr>
          <w:rFonts w:cs="Arial" w:hint="cs"/>
          <w:rtl/>
        </w:rPr>
        <w:t xml:space="preserve"> בשם</w:t>
      </w:r>
      <w:r w:rsidRPr="00074C87">
        <w:rPr>
          <w:rFonts w:cs="Arial"/>
          <w:rtl/>
        </w:rPr>
        <w:t xml:space="preserve"> התוס</w:t>
      </w:r>
      <w:r>
        <w:rPr>
          <w:rFonts w:cs="Arial" w:hint="cs"/>
          <w:rtl/>
        </w:rPr>
        <w:t>'-</w:t>
      </w:r>
      <w:r w:rsidRPr="00074C87">
        <w:rPr>
          <w:rFonts w:cs="Arial"/>
          <w:rtl/>
        </w:rPr>
        <w:t xml:space="preserve"> כלי לכובס ונתינת עור לעבדן מסתמא היינו קציצה שאינו עושה בחנם.</w:t>
      </w:r>
    </w:p>
    <w:p w14:paraId="26410F9F" w14:textId="77777777" w:rsidR="004B2E7C" w:rsidRPr="009365AB" w:rsidRDefault="004B2E7C" w:rsidP="00434A6A">
      <w:pPr>
        <w:ind w:left="360"/>
        <w:rPr>
          <w:u w:val="dotted"/>
        </w:rPr>
      </w:pPr>
      <w:r>
        <w:rPr>
          <w:rFonts w:hint="cs"/>
          <w:u w:val="dotted"/>
          <w:rtl/>
        </w:rPr>
        <w:t xml:space="preserve">לרמב"ם וטור וסיעתם - </w:t>
      </w:r>
      <w:r w:rsidRPr="009365AB">
        <w:rPr>
          <w:rFonts w:hint="cs"/>
          <w:u w:val="dotted"/>
          <w:rtl/>
        </w:rPr>
        <w:t>ומה הדין אם</w:t>
      </w:r>
      <w:r>
        <w:rPr>
          <w:rFonts w:hint="cs"/>
          <w:u w:val="dotted"/>
          <w:rtl/>
        </w:rPr>
        <w:t xml:space="preserve"> נתן לו הבגדים/העורות מיום רביעי</w:t>
      </w:r>
      <w:r w:rsidRPr="009365AB">
        <w:rPr>
          <w:rFonts w:hint="cs"/>
          <w:u w:val="dotted"/>
          <w:rtl/>
        </w:rPr>
        <w:t>:</w:t>
      </w:r>
    </w:p>
    <w:p w14:paraId="2901143D" w14:textId="77777777" w:rsidR="004B2E7C" w:rsidRDefault="004B2E7C" w:rsidP="00FF2D21">
      <w:pPr>
        <w:pStyle w:val="aa"/>
        <w:numPr>
          <w:ilvl w:val="0"/>
          <w:numId w:val="112"/>
        </w:numPr>
      </w:pPr>
      <w:r w:rsidRPr="00074C87">
        <w:rPr>
          <w:rFonts w:cs="Arial"/>
          <w:rtl/>
        </w:rPr>
        <w:t>רא"ש</w:t>
      </w:r>
      <w:r>
        <w:rPr>
          <w:rStyle w:val="a9"/>
          <w:rFonts w:cs="Arial"/>
          <w:rtl/>
        </w:rPr>
        <w:footnoteReference w:id="329"/>
      </w:r>
      <w:r w:rsidRPr="00074C87">
        <w:rPr>
          <w:rFonts w:cs="Arial"/>
          <w:rtl/>
        </w:rPr>
        <w:t xml:space="preserve"> </w:t>
      </w:r>
      <w:r w:rsidRPr="00D617AB">
        <w:rPr>
          <w:rFonts w:cs="Arial" w:hint="cs"/>
          <w:sz w:val="16"/>
          <w:szCs w:val="16"/>
          <w:rtl/>
        </w:rPr>
        <w:t>(</w:t>
      </w:r>
      <w:r w:rsidRPr="00D617AB">
        <w:rPr>
          <w:rFonts w:cs="Arial"/>
          <w:sz w:val="16"/>
          <w:szCs w:val="16"/>
          <w:rtl/>
        </w:rPr>
        <w:t>פ"ק דשבת סוס"י לו)</w:t>
      </w:r>
      <w:r>
        <w:rPr>
          <w:rFonts w:cs="Arial" w:hint="cs"/>
          <w:rtl/>
        </w:rPr>
        <w:t xml:space="preserve"> וטור- </w:t>
      </w:r>
      <w:r w:rsidRPr="00074C87">
        <w:rPr>
          <w:rFonts w:cs="Arial"/>
          <w:rtl/>
        </w:rPr>
        <w:t xml:space="preserve">אבל אם לא קצץ </w:t>
      </w:r>
      <w:r>
        <w:rPr>
          <w:rFonts w:cs="Arial" w:hint="cs"/>
          <w:rtl/>
        </w:rPr>
        <w:t xml:space="preserve">- </w:t>
      </w:r>
      <w:r w:rsidRPr="00074C87">
        <w:rPr>
          <w:rFonts w:cs="Arial"/>
          <w:rtl/>
        </w:rPr>
        <w:t>אסור</w:t>
      </w:r>
      <w:r>
        <w:rPr>
          <w:rFonts w:cs="Arial" w:hint="cs"/>
          <w:rtl/>
        </w:rPr>
        <w:t>,</w:t>
      </w:r>
      <w:r w:rsidRPr="00074C87">
        <w:rPr>
          <w:rFonts w:cs="Arial"/>
          <w:rtl/>
        </w:rPr>
        <w:t xml:space="preserve"> אא"כ ביום ד' או ביום ה'</w:t>
      </w:r>
      <w:r>
        <w:rPr>
          <w:rFonts w:cs="Arial" w:hint="cs"/>
          <w:sz w:val="16"/>
          <w:szCs w:val="16"/>
          <w:rtl/>
        </w:rPr>
        <w:t xml:space="preserve"> (ל' הטור)</w:t>
      </w:r>
      <w:r>
        <w:rPr>
          <w:rFonts w:cs="Arial" w:hint="cs"/>
          <w:rtl/>
        </w:rPr>
        <w:t>.</w:t>
      </w:r>
    </w:p>
    <w:p w14:paraId="29723AF5" w14:textId="77777777" w:rsidR="004B2E7C" w:rsidRPr="009365AB" w:rsidRDefault="004B2E7C" w:rsidP="00FF2D21">
      <w:pPr>
        <w:pStyle w:val="aa"/>
        <w:numPr>
          <w:ilvl w:val="0"/>
          <w:numId w:val="112"/>
        </w:numPr>
        <w:rPr>
          <w:rtl/>
        </w:rPr>
      </w:pPr>
      <w:r>
        <w:rPr>
          <w:rFonts w:cs="Arial" w:hint="cs"/>
          <w:rtl/>
        </w:rPr>
        <w:t>רי"ף</w:t>
      </w:r>
      <w:r>
        <w:rPr>
          <w:rStyle w:val="a9"/>
          <w:rFonts w:cs="Arial"/>
          <w:rtl/>
        </w:rPr>
        <w:footnoteReference w:id="330"/>
      </w:r>
      <w:r>
        <w:rPr>
          <w:rFonts w:cs="Arial" w:hint="cs"/>
          <w:rtl/>
        </w:rPr>
        <w:t xml:space="preserve"> </w:t>
      </w:r>
      <w:r w:rsidRPr="00882F59">
        <w:rPr>
          <w:rFonts w:cs="Arial" w:hint="cs"/>
          <w:sz w:val="16"/>
          <w:szCs w:val="16"/>
          <w:rtl/>
        </w:rPr>
        <w:t xml:space="preserve">(ז.) </w:t>
      </w:r>
      <w:r w:rsidRPr="00526215">
        <w:rPr>
          <w:rFonts w:cs="Arial"/>
          <w:rtl/>
        </w:rPr>
        <w:t>רמב"ם</w:t>
      </w:r>
      <w:r>
        <w:rPr>
          <w:rFonts w:cs="Arial" w:hint="cs"/>
          <w:sz w:val="16"/>
          <w:szCs w:val="16"/>
          <w:rtl/>
        </w:rPr>
        <w:t xml:space="preserve"> (פ"ו ה"כ)</w:t>
      </w:r>
      <w:r>
        <w:rPr>
          <w:rFonts w:hint="cs"/>
          <w:rtl/>
        </w:rPr>
        <w:t xml:space="preserve">- אסור אפילו מיום ראשון. </w:t>
      </w:r>
    </w:p>
    <w:p w14:paraId="1E4C97D5" w14:textId="77777777" w:rsidR="004B2E7C" w:rsidRDefault="004B2E7C" w:rsidP="00434A6A">
      <w:pPr>
        <w:rPr>
          <w:rFonts w:cs="Arial"/>
          <w:rtl/>
        </w:rPr>
      </w:pPr>
      <w:r>
        <w:rPr>
          <w:rFonts w:cs="Arial" w:hint="cs"/>
          <w:b/>
          <w:bCs/>
          <w:rtl/>
        </w:rPr>
        <w:t xml:space="preserve">ירושלמי שבת פ"א ה"ט: </w:t>
      </w:r>
      <w:r w:rsidRPr="0070316B">
        <w:rPr>
          <w:rFonts w:cs="Arial"/>
          <w:rtl/>
        </w:rPr>
        <w:t xml:space="preserve">וכא נתן כליו לכובס נכרי ובא ומצאו עובד בו בשבת </w:t>
      </w:r>
      <w:r>
        <w:rPr>
          <w:rFonts w:cs="Arial" w:hint="cs"/>
          <w:rtl/>
        </w:rPr>
        <w:t xml:space="preserve">- </w:t>
      </w:r>
      <w:r w:rsidRPr="0070316B">
        <w:rPr>
          <w:rFonts w:cs="Arial"/>
          <w:rtl/>
        </w:rPr>
        <w:t xml:space="preserve">אסור. </w:t>
      </w:r>
      <w:r w:rsidRPr="0070316B">
        <w:rPr>
          <w:rFonts w:cs="Arial"/>
          <w:u w:val="single"/>
          <w:rtl/>
        </w:rPr>
        <w:t>א"ר יודן</w:t>
      </w:r>
      <w:r>
        <w:rPr>
          <w:rFonts w:cs="Arial" w:hint="cs"/>
          <w:rtl/>
        </w:rPr>
        <w:t>:</w:t>
      </w:r>
      <w:r w:rsidRPr="0070316B">
        <w:rPr>
          <w:rFonts w:cs="Arial"/>
          <w:rtl/>
        </w:rPr>
        <w:t xml:space="preserve"> ויימר ליה דלא יעבוד. </w:t>
      </w:r>
      <w:r w:rsidRPr="0070316B">
        <w:rPr>
          <w:rFonts w:cs="Arial"/>
          <w:u w:val="single"/>
          <w:rtl/>
        </w:rPr>
        <w:t>א"ר יודן אבוי דרבי מתנייה</w:t>
      </w:r>
      <w:r>
        <w:rPr>
          <w:rFonts w:cs="Arial" w:hint="cs"/>
          <w:rtl/>
        </w:rPr>
        <w:t>:</w:t>
      </w:r>
      <w:r w:rsidRPr="0070316B">
        <w:rPr>
          <w:rFonts w:cs="Arial"/>
          <w:rtl/>
        </w:rPr>
        <w:t xml:space="preserve"> הוא דתימר בטובת הנייה</w:t>
      </w:r>
      <w:r>
        <w:rPr>
          <w:rFonts w:cs="Arial" w:hint="cs"/>
          <w:rtl/>
        </w:rPr>
        <w:t>,</w:t>
      </w:r>
      <w:r w:rsidRPr="0070316B">
        <w:rPr>
          <w:rFonts w:cs="Arial"/>
          <w:rtl/>
        </w:rPr>
        <w:t xml:space="preserve"> אבל בשכיר בעבידתיה הוא עסיק</w:t>
      </w:r>
      <w:r>
        <w:rPr>
          <w:rFonts w:cs="Arial" w:hint="cs"/>
          <w:rtl/>
        </w:rPr>
        <w:t>.</w:t>
      </w:r>
    </w:p>
    <w:p w14:paraId="7B697D26" w14:textId="77777777" w:rsidR="004B2E7C" w:rsidRPr="00FD6CDC" w:rsidRDefault="004B2E7C" w:rsidP="00434A6A">
      <w:pPr>
        <w:rPr>
          <w:rFonts w:cs="Arial"/>
          <w:u w:val="single"/>
          <w:rtl/>
        </w:rPr>
      </w:pPr>
      <w:r w:rsidRPr="00FD6CDC">
        <w:rPr>
          <w:rFonts w:cs="Arial" w:hint="cs"/>
          <w:u w:val="single"/>
          <w:rtl/>
        </w:rPr>
        <w:t xml:space="preserve">מי שנתן בגדיו לכובס </w:t>
      </w:r>
      <w:r w:rsidRPr="00FD6CDC">
        <w:rPr>
          <w:rFonts w:cs="Arial" w:hint="cs"/>
          <w:sz w:val="16"/>
          <w:szCs w:val="16"/>
          <w:u w:val="single"/>
          <w:rtl/>
        </w:rPr>
        <w:t>(וכדו')</w:t>
      </w:r>
      <w:r w:rsidRPr="00FD6CDC">
        <w:rPr>
          <w:rFonts w:cs="Arial"/>
          <w:sz w:val="16"/>
          <w:szCs w:val="16"/>
          <w:u w:val="single"/>
          <w:rtl/>
        </w:rPr>
        <w:t xml:space="preserve"> </w:t>
      </w:r>
      <w:r w:rsidRPr="00FD6CDC">
        <w:rPr>
          <w:rFonts w:cs="Arial" w:hint="cs"/>
          <w:u w:val="single"/>
          <w:rtl/>
        </w:rPr>
        <w:t xml:space="preserve">וראה אותו עושה בהם בשבת </w:t>
      </w:r>
      <w:r w:rsidRPr="00FD6CDC">
        <w:rPr>
          <w:rFonts w:cs="Arial"/>
          <w:u w:val="single"/>
          <w:rtl/>
        </w:rPr>
        <w:t>–</w:t>
      </w:r>
      <w:r w:rsidRPr="00FD6CDC">
        <w:rPr>
          <w:rFonts w:cs="Arial" w:hint="cs"/>
          <w:u w:val="single"/>
          <w:rtl/>
        </w:rPr>
        <w:t xml:space="preserve"> האם צריך לומר לו להפסיק:</w:t>
      </w:r>
    </w:p>
    <w:p w14:paraId="18F3128B" w14:textId="77777777" w:rsidR="004B2E7C" w:rsidRPr="00DA1B75" w:rsidRDefault="004B2E7C" w:rsidP="00FF2D21">
      <w:pPr>
        <w:pStyle w:val="aa"/>
        <w:numPr>
          <w:ilvl w:val="0"/>
          <w:numId w:val="113"/>
        </w:numPr>
      </w:pPr>
      <w:r w:rsidRPr="00FD6CDC">
        <w:rPr>
          <w:rFonts w:cs="Arial"/>
          <w:rtl/>
        </w:rPr>
        <w:t xml:space="preserve">רוקח </w:t>
      </w:r>
      <w:r w:rsidRPr="00FD6CDC">
        <w:rPr>
          <w:rFonts w:cs="Arial"/>
          <w:sz w:val="16"/>
          <w:szCs w:val="16"/>
          <w:rtl/>
        </w:rPr>
        <w:t>(סי' צא</w:t>
      </w:r>
      <w:r>
        <w:rPr>
          <w:rFonts w:cs="Arial" w:hint="cs"/>
          <w:sz w:val="16"/>
          <w:szCs w:val="16"/>
          <w:rtl/>
        </w:rPr>
        <w:t>, והעתיק ההגמ"ר את לשונו [</w:t>
      </w:r>
      <w:r w:rsidRPr="00270F8D">
        <w:rPr>
          <w:rFonts w:cs="Arial"/>
          <w:sz w:val="16"/>
          <w:szCs w:val="16"/>
          <w:rtl/>
        </w:rPr>
        <w:t xml:space="preserve">פ"ק </w:t>
      </w:r>
      <w:r w:rsidRPr="00270F8D">
        <w:rPr>
          <w:rFonts w:cs="Arial" w:hint="cs"/>
          <w:sz w:val="16"/>
          <w:szCs w:val="16"/>
          <w:rtl/>
        </w:rPr>
        <w:t xml:space="preserve">דשבת </w:t>
      </w:r>
      <w:r w:rsidRPr="00270F8D">
        <w:rPr>
          <w:rFonts w:cs="Arial"/>
          <w:sz w:val="16"/>
          <w:szCs w:val="16"/>
          <w:rtl/>
        </w:rPr>
        <w:t>סי' תנב</w:t>
      </w:r>
      <w:r>
        <w:rPr>
          <w:rFonts w:cs="Arial" w:hint="cs"/>
          <w:sz w:val="16"/>
          <w:szCs w:val="16"/>
          <w:rtl/>
        </w:rPr>
        <w:t>]</w:t>
      </w:r>
      <w:r w:rsidRPr="00270F8D">
        <w:rPr>
          <w:rFonts w:cs="Arial"/>
          <w:sz w:val="16"/>
          <w:szCs w:val="16"/>
          <w:rtl/>
        </w:rPr>
        <w:t>)</w:t>
      </w:r>
      <w:r>
        <w:rPr>
          <w:rFonts w:cs="Arial" w:hint="cs"/>
          <w:rtl/>
        </w:rPr>
        <w:t>-</w:t>
      </w:r>
      <w:r w:rsidRPr="00FD6CDC">
        <w:rPr>
          <w:rFonts w:cs="Arial"/>
          <w:rtl/>
        </w:rPr>
        <w:t xml:space="preserve"> </w:t>
      </w:r>
      <w:r w:rsidRPr="00270F8D">
        <w:rPr>
          <w:rFonts w:cs="Arial" w:hint="cs"/>
          <w:rtl/>
        </w:rPr>
        <w:t xml:space="preserve">בירושלמי </w:t>
      </w:r>
      <w:r w:rsidRPr="00270F8D">
        <w:rPr>
          <w:rFonts w:cs="Arial"/>
          <w:rtl/>
        </w:rPr>
        <w:t>אם נתן כליו לכובס נכרי וראהו עושה בהם בשבת צריך למחות בידו אלא אם כן קצץ</w:t>
      </w:r>
      <w:r>
        <w:rPr>
          <w:rFonts w:cs="Arial" w:hint="cs"/>
          <w:sz w:val="16"/>
          <w:szCs w:val="16"/>
          <w:rtl/>
        </w:rPr>
        <w:t xml:space="preserve"> (ל' הב"י בשם הרוקח)</w:t>
      </w:r>
      <w:r>
        <w:rPr>
          <w:rStyle w:val="a9"/>
          <w:rFonts w:cs="Arial"/>
          <w:rtl/>
        </w:rPr>
        <w:footnoteReference w:id="331"/>
      </w:r>
      <w:r w:rsidRPr="00270F8D">
        <w:rPr>
          <w:rFonts w:cs="Arial" w:hint="cs"/>
          <w:rtl/>
        </w:rPr>
        <w:t>.</w:t>
      </w:r>
      <w:r w:rsidRPr="008A6AD4">
        <w:rPr>
          <w:rFonts w:hint="cs"/>
          <w:color w:val="E36C0A" w:themeColor="accent6" w:themeShade="BF"/>
          <w:rtl/>
        </w:rPr>
        <w:t xml:space="preserve"> (וכ"פ בשו"ע)</w:t>
      </w:r>
    </w:p>
    <w:p w14:paraId="401B1C2A" w14:textId="77777777" w:rsidR="004B2E7C" w:rsidRPr="00A22243" w:rsidRDefault="004B2E7C" w:rsidP="00434A6A">
      <w:pPr>
        <w:rPr>
          <w:u w:val="single"/>
        </w:rPr>
      </w:pPr>
      <w:r w:rsidRPr="00A22243">
        <w:rPr>
          <w:rFonts w:hint="cs"/>
          <w:u w:val="single"/>
          <w:rtl/>
        </w:rPr>
        <w:t xml:space="preserve">גוי שעושה בביתו עבודה בחינם לישראל </w:t>
      </w:r>
      <w:r w:rsidRPr="00A22243">
        <w:rPr>
          <w:u w:val="single"/>
          <w:rtl/>
        </w:rPr>
        <w:t>–</w:t>
      </w:r>
      <w:r w:rsidRPr="00A22243">
        <w:rPr>
          <w:rFonts w:hint="cs"/>
          <w:u w:val="single"/>
          <w:rtl/>
        </w:rPr>
        <w:t xml:space="preserve"> האם יכול ליתנה לו סמוך לשבת בענין שלא יוכל לגומרה לפני השבת:</w:t>
      </w:r>
    </w:p>
    <w:p w14:paraId="6B143D8A" w14:textId="77777777" w:rsidR="004B2E7C" w:rsidRDefault="004B2E7C" w:rsidP="00FF2D21">
      <w:pPr>
        <w:pStyle w:val="aa"/>
        <w:numPr>
          <w:ilvl w:val="0"/>
          <w:numId w:val="113"/>
        </w:numPr>
      </w:pPr>
      <w:r w:rsidRPr="00DA1B75">
        <w:rPr>
          <w:rFonts w:cs="Arial"/>
          <w:rtl/>
        </w:rPr>
        <w:t xml:space="preserve">שבלי הלקט </w:t>
      </w:r>
      <w:r w:rsidRPr="00DA1B75">
        <w:rPr>
          <w:rFonts w:cs="Arial"/>
          <w:sz w:val="16"/>
          <w:szCs w:val="16"/>
          <w:rtl/>
        </w:rPr>
        <w:t xml:space="preserve">(סי' קיב) </w:t>
      </w:r>
      <w:r w:rsidRPr="00DA1B75">
        <w:rPr>
          <w:rFonts w:cs="Arial"/>
          <w:rtl/>
        </w:rPr>
        <w:t>בשם ה"ר ישעיה</w:t>
      </w:r>
      <w:r>
        <w:rPr>
          <w:rFonts w:cs="Arial" w:hint="cs"/>
          <w:rtl/>
        </w:rPr>
        <w:t>-</w:t>
      </w:r>
      <w:r w:rsidRPr="00DA1B75">
        <w:rPr>
          <w:rFonts w:cs="Arial"/>
          <w:rtl/>
        </w:rPr>
        <w:t xml:space="preserve"> הא דשרי קיבולת בביתו של גוי דוקא בשכר</w:t>
      </w:r>
      <w:r>
        <w:rPr>
          <w:rFonts w:cs="Arial" w:hint="cs"/>
          <w:rtl/>
        </w:rPr>
        <w:t>,</w:t>
      </w:r>
      <w:r w:rsidRPr="00DA1B75">
        <w:rPr>
          <w:rFonts w:cs="Arial"/>
          <w:rtl/>
        </w:rPr>
        <w:t xml:space="preserve"> אבל בחנם אסור ליתנה לו בערב שבת אלא אם כן ידוע שיכול לגמרה קודם חשיכה</w:t>
      </w:r>
      <w:r>
        <w:rPr>
          <w:rStyle w:val="a9"/>
          <w:rtl/>
        </w:rPr>
        <w:footnoteReference w:id="332"/>
      </w:r>
      <w:r w:rsidRPr="00DA1B75">
        <w:rPr>
          <w:rFonts w:cs="Arial"/>
          <w:rtl/>
        </w:rPr>
        <w:t xml:space="preserve">. </w:t>
      </w:r>
    </w:p>
    <w:p w14:paraId="0289BF83" w14:textId="77777777" w:rsidR="004B2E7C" w:rsidRPr="00074C87" w:rsidRDefault="004B2E7C" w:rsidP="00FF2D21">
      <w:pPr>
        <w:pStyle w:val="aa"/>
        <w:numPr>
          <w:ilvl w:val="0"/>
          <w:numId w:val="113"/>
        </w:numPr>
        <w:rPr>
          <w:rtl/>
        </w:rPr>
      </w:pPr>
      <w:r>
        <w:rPr>
          <w:rFonts w:cs="Arial" w:hint="cs"/>
          <w:rtl/>
        </w:rPr>
        <w:t xml:space="preserve">ב"י- </w:t>
      </w:r>
      <w:r w:rsidRPr="00DA1B75">
        <w:rPr>
          <w:rFonts w:cs="Arial"/>
          <w:rtl/>
        </w:rPr>
        <w:t>אף על פי שהוא בחנם שייך למימר ביה בעיבידתיה עסיק</w:t>
      </w:r>
      <w:r w:rsidRPr="00A22243">
        <w:rPr>
          <w:rFonts w:cs="Arial" w:hint="cs"/>
          <w:rtl/>
        </w:rPr>
        <w:t>.</w:t>
      </w:r>
    </w:p>
    <w:p w14:paraId="7984B91D"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3BE7409" w14:textId="77777777" w:rsidR="004B2E7C" w:rsidRDefault="004B2E7C" w:rsidP="00434A6A">
      <w:pPr>
        <w:rPr>
          <w:rtl/>
        </w:rPr>
      </w:pPr>
      <w:r>
        <w:rPr>
          <w:rFonts w:cs="Arial"/>
          <w:rtl/>
        </w:rPr>
        <w:t>ומותר ליתן בגדיו</w:t>
      </w:r>
      <w:r>
        <w:rPr>
          <w:rStyle w:val="a9"/>
          <w:rFonts w:cs="Arial"/>
          <w:rtl/>
        </w:rPr>
        <w:footnoteReference w:id="333"/>
      </w:r>
      <w:r>
        <w:rPr>
          <w:rFonts w:cs="Arial"/>
          <w:rtl/>
        </w:rPr>
        <w:t xml:space="preserve"> לכובס גוי, ועורות לעבדן, סמוך לחשיכה</w:t>
      </w:r>
      <w:r>
        <w:rPr>
          <w:rStyle w:val="a9"/>
          <w:rFonts w:cs="Arial"/>
          <w:rtl/>
        </w:rPr>
        <w:footnoteReference w:id="334"/>
      </w:r>
      <w:r>
        <w:rPr>
          <w:rFonts w:cs="Arial"/>
          <w:rtl/>
        </w:rPr>
        <w:t xml:space="preserve"> אם קצץ</w:t>
      </w:r>
      <w:r>
        <w:rPr>
          <w:rStyle w:val="a9"/>
          <w:rFonts w:cs="Arial"/>
          <w:rtl/>
        </w:rPr>
        <w:footnoteReference w:id="335"/>
      </w:r>
      <w:r>
        <w:rPr>
          <w:rFonts w:cs="Arial"/>
          <w:rtl/>
        </w:rPr>
        <w:t xml:space="preserve"> לו דמים או שעושה אותם בטובת הנאה, והוא שלא יאמר לו לעשות בשבת</w:t>
      </w:r>
      <w:r>
        <w:rPr>
          <w:rStyle w:val="a9"/>
          <w:rFonts w:cs="Arial"/>
          <w:rtl/>
        </w:rPr>
        <w:footnoteReference w:id="336"/>
      </w:r>
      <w:r>
        <w:rPr>
          <w:rFonts w:cs="Arial"/>
          <w:rtl/>
        </w:rPr>
        <w:t xml:space="preserve"> וגם שיעשה הגוי המלאכה בביתו</w:t>
      </w:r>
      <w:r>
        <w:rPr>
          <w:rStyle w:val="a9"/>
          <w:rFonts w:cs="Arial"/>
          <w:rtl/>
        </w:rPr>
        <w:footnoteReference w:id="337"/>
      </w:r>
      <w:r>
        <w:rPr>
          <w:rFonts w:cs="Arial"/>
          <w:rtl/>
        </w:rPr>
        <w:t xml:space="preserve">. </w:t>
      </w:r>
      <w:r w:rsidRPr="006A1B03">
        <w:rPr>
          <w:rFonts w:cs="Arial"/>
          <w:sz w:val="18"/>
          <w:szCs w:val="18"/>
          <w:rtl/>
        </w:rPr>
        <w:t>הגה: ואם לא קצץ</w:t>
      </w:r>
      <w:r>
        <w:rPr>
          <w:rStyle w:val="a9"/>
          <w:rFonts w:cs="Arial"/>
          <w:sz w:val="18"/>
          <w:szCs w:val="18"/>
          <w:rtl/>
        </w:rPr>
        <w:footnoteReference w:id="338"/>
      </w:r>
      <w:r w:rsidRPr="006A1B03">
        <w:rPr>
          <w:rFonts w:cs="Arial"/>
          <w:sz w:val="18"/>
          <w:szCs w:val="18"/>
          <w:rtl/>
        </w:rPr>
        <w:t>, אסור בע"ש</w:t>
      </w:r>
      <w:r>
        <w:rPr>
          <w:rStyle w:val="a9"/>
          <w:rFonts w:cs="Arial"/>
          <w:sz w:val="18"/>
          <w:szCs w:val="18"/>
          <w:rtl/>
        </w:rPr>
        <w:footnoteReference w:id="339"/>
      </w:r>
      <w:r w:rsidRPr="006A1B03">
        <w:rPr>
          <w:rFonts w:cs="Arial"/>
          <w:sz w:val="18"/>
          <w:szCs w:val="18"/>
          <w:rtl/>
        </w:rPr>
        <w:t>. וע"ל סי' רמ"ז</w:t>
      </w:r>
      <w:r>
        <w:rPr>
          <w:rStyle w:val="a9"/>
          <w:rFonts w:cs="Arial"/>
          <w:sz w:val="18"/>
          <w:szCs w:val="18"/>
          <w:rtl/>
        </w:rPr>
        <w:footnoteReference w:id="340"/>
      </w:r>
      <w:r w:rsidRPr="006A1B03">
        <w:rPr>
          <w:rFonts w:cs="Arial"/>
          <w:sz w:val="18"/>
          <w:szCs w:val="18"/>
          <w:rtl/>
        </w:rPr>
        <w:t xml:space="preserve"> דיש חולקין אם עושה לו בחנם, דהיינו בטובת הנאה.</w:t>
      </w:r>
      <w:r>
        <w:rPr>
          <w:rFonts w:cs="Arial"/>
          <w:rtl/>
        </w:rPr>
        <w:t xml:space="preserve"> ואם ראוהו עושה מלאכתו בשבת</w:t>
      </w:r>
      <w:r>
        <w:rPr>
          <w:rFonts w:cs="Arial" w:hint="cs"/>
          <w:rtl/>
        </w:rPr>
        <w:t>,</w:t>
      </w:r>
      <w:r>
        <w:rPr>
          <w:rFonts w:cs="Arial"/>
          <w:rtl/>
        </w:rPr>
        <w:t xml:space="preserve"> אם היה עושה בטובת הנאה</w:t>
      </w:r>
      <w:r>
        <w:rPr>
          <w:rStyle w:val="a9"/>
          <w:rFonts w:cs="Arial"/>
          <w:rtl/>
        </w:rPr>
        <w:footnoteReference w:id="341"/>
      </w:r>
      <w:r>
        <w:rPr>
          <w:rFonts w:cs="Arial"/>
          <w:rtl/>
        </w:rPr>
        <w:t xml:space="preserve">, צריך לומר שלא יעשה בה בשבת. </w:t>
      </w:r>
      <w:r w:rsidRPr="006A1B03">
        <w:rPr>
          <w:rFonts w:cs="Arial"/>
          <w:sz w:val="18"/>
          <w:szCs w:val="18"/>
          <w:rtl/>
        </w:rPr>
        <w:t>הגה: ואפילו נתנם לו כמה ימים לפני שבת</w:t>
      </w:r>
      <w:r>
        <w:rPr>
          <w:rStyle w:val="a9"/>
          <w:rFonts w:cs="Arial"/>
          <w:sz w:val="18"/>
          <w:szCs w:val="18"/>
          <w:rtl/>
        </w:rPr>
        <w:footnoteReference w:id="342"/>
      </w:r>
      <w:r w:rsidRPr="006A1B03">
        <w:rPr>
          <w:rFonts w:cs="Arial"/>
          <w:sz w:val="18"/>
          <w:szCs w:val="18"/>
          <w:rtl/>
        </w:rPr>
        <w:t xml:space="preserve">. </w:t>
      </w:r>
    </w:p>
    <w:p w14:paraId="6C7680C4" w14:textId="77777777" w:rsidR="004B2E7C" w:rsidRPr="006F1AE0" w:rsidRDefault="004B2E7C" w:rsidP="00434A6A">
      <w:pPr>
        <w:rPr>
          <w:u w:val="single"/>
          <w:rtl/>
        </w:rPr>
      </w:pPr>
      <w:r w:rsidRPr="006F1AE0">
        <w:rPr>
          <w:rFonts w:hint="cs"/>
          <w:u w:val="single"/>
          <w:rtl/>
        </w:rPr>
        <w:t xml:space="preserve">גוי שעושה </w:t>
      </w:r>
      <w:r>
        <w:rPr>
          <w:rFonts w:hint="cs"/>
          <w:u w:val="single"/>
          <w:rtl/>
        </w:rPr>
        <w:t xml:space="preserve">מהחומרי גלם שלו </w:t>
      </w:r>
      <w:r w:rsidRPr="006F1AE0">
        <w:rPr>
          <w:rFonts w:hint="cs"/>
          <w:u w:val="single"/>
          <w:rtl/>
        </w:rPr>
        <w:t>מלאכה לישראל</w:t>
      </w:r>
      <w:r>
        <w:rPr>
          <w:rFonts w:hint="cs"/>
          <w:u w:val="single"/>
          <w:rtl/>
        </w:rPr>
        <w:t>:</w:t>
      </w:r>
    </w:p>
    <w:p w14:paraId="1936D704" w14:textId="77777777" w:rsidR="004B2E7C" w:rsidRDefault="004B2E7C" w:rsidP="00FF2D21">
      <w:pPr>
        <w:pStyle w:val="aa"/>
        <w:numPr>
          <w:ilvl w:val="0"/>
          <w:numId w:val="115"/>
        </w:numPr>
        <w:rPr>
          <w:rtl/>
        </w:rPr>
      </w:pPr>
      <w:r w:rsidRPr="006F1AE0">
        <w:rPr>
          <w:rFonts w:cs="Arial"/>
          <w:rtl/>
        </w:rPr>
        <w:t>מ"א</w:t>
      </w:r>
      <w:r w:rsidRPr="006F1AE0">
        <w:rPr>
          <w:rFonts w:cs="Arial" w:hint="cs"/>
          <w:rtl/>
        </w:rPr>
        <w:t xml:space="preserve"> </w:t>
      </w:r>
      <w:r>
        <w:rPr>
          <w:rFonts w:cs="Arial" w:hint="cs"/>
          <w:sz w:val="16"/>
          <w:szCs w:val="16"/>
          <w:rtl/>
        </w:rPr>
        <w:t xml:space="preserve">(סק"ט) </w:t>
      </w:r>
      <w:r w:rsidRPr="006F1AE0">
        <w:rPr>
          <w:rFonts w:cs="Arial" w:hint="cs"/>
          <w:rtl/>
        </w:rPr>
        <w:t xml:space="preserve">ומשנ"ב </w:t>
      </w:r>
      <w:r w:rsidRPr="006F1AE0">
        <w:rPr>
          <w:rFonts w:cs="Arial" w:hint="cs"/>
          <w:sz w:val="16"/>
          <w:szCs w:val="16"/>
          <w:rtl/>
        </w:rPr>
        <w:t>(סקכ"ג)</w:t>
      </w:r>
      <w:r w:rsidRPr="006F1AE0">
        <w:rPr>
          <w:rFonts w:cs="Arial" w:hint="cs"/>
          <w:rtl/>
        </w:rPr>
        <w:t xml:space="preserve">- </w:t>
      </w:r>
      <w:r w:rsidRPr="006F1AE0">
        <w:rPr>
          <w:rFonts w:cs="Arial"/>
          <w:rtl/>
        </w:rPr>
        <w:t>דוק</w:t>
      </w:r>
      <w:r>
        <w:rPr>
          <w:rFonts w:cs="Arial" w:hint="cs"/>
          <w:rtl/>
        </w:rPr>
        <w:t>א</w:t>
      </w:r>
      <w:r w:rsidRPr="006F1AE0">
        <w:rPr>
          <w:rFonts w:cs="Arial"/>
          <w:rtl/>
        </w:rPr>
        <w:t xml:space="preserve"> כה"ג שנותן בגדים לכובס אבל כשצו</w:t>
      </w:r>
      <w:r>
        <w:rPr>
          <w:rFonts w:cs="Arial" w:hint="cs"/>
          <w:rtl/>
        </w:rPr>
        <w:t>ה</w:t>
      </w:r>
      <w:r w:rsidRPr="006F1AE0">
        <w:rPr>
          <w:rFonts w:cs="Arial"/>
          <w:rtl/>
        </w:rPr>
        <w:t xml:space="preserve"> ל</w:t>
      </w:r>
      <w:r>
        <w:rPr>
          <w:rFonts w:cs="Arial" w:hint="cs"/>
          <w:rtl/>
        </w:rPr>
        <w:t>גוי</w:t>
      </w:r>
      <w:r w:rsidRPr="006F1AE0">
        <w:rPr>
          <w:rFonts w:cs="Arial"/>
          <w:rtl/>
        </w:rPr>
        <w:t xml:space="preserve"> לעשות לו מנעלים וראוהו עושה בשבת </w:t>
      </w:r>
      <w:r>
        <w:rPr>
          <w:rFonts w:cs="Arial" w:hint="cs"/>
          <w:rtl/>
        </w:rPr>
        <w:t xml:space="preserve">- </w:t>
      </w:r>
      <w:r w:rsidRPr="006F1AE0">
        <w:rPr>
          <w:rFonts w:cs="Arial"/>
          <w:rtl/>
        </w:rPr>
        <w:t>א"צ למחות בעדו</w:t>
      </w:r>
      <w:r>
        <w:rPr>
          <w:rFonts w:cs="Arial" w:hint="cs"/>
          <w:rtl/>
        </w:rPr>
        <w:t>,</w:t>
      </w:r>
      <w:r w:rsidRPr="006F1AE0">
        <w:rPr>
          <w:rFonts w:cs="Arial"/>
          <w:rtl/>
        </w:rPr>
        <w:t xml:space="preserve"> דהא עדיין לא נקרא שם הישראל עליו</w:t>
      </w:r>
      <w:r>
        <w:rPr>
          <w:rFonts w:cs="Arial" w:hint="cs"/>
          <w:rtl/>
        </w:rPr>
        <w:t>,</w:t>
      </w:r>
      <w:r w:rsidRPr="006F1AE0">
        <w:rPr>
          <w:rFonts w:cs="Arial"/>
          <w:rtl/>
        </w:rPr>
        <w:t xml:space="preserve"> ואי בעי </w:t>
      </w:r>
      <w:r>
        <w:rPr>
          <w:rFonts w:cs="Arial" w:hint="cs"/>
          <w:rtl/>
        </w:rPr>
        <w:t>גוי</w:t>
      </w:r>
      <w:r w:rsidRPr="006F1AE0">
        <w:rPr>
          <w:rFonts w:cs="Arial"/>
          <w:rtl/>
        </w:rPr>
        <w:t xml:space="preserve"> מזבין אותם המנעלים לאחר ויעשה לו אחרים</w:t>
      </w:r>
      <w:r w:rsidRPr="006F1AE0">
        <w:rPr>
          <w:rFonts w:cs="Arial" w:hint="cs"/>
          <w:rtl/>
        </w:rPr>
        <w:t>.</w:t>
      </w:r>
    </w:p>
    <w:p w14:paraId="67E37903" w14:textId="77777777" w:rsidR="004B2E7C" w:rsidRDefault="004B2E7C" w:rsidP="00434A6A">
      <w:pPr>
        <w:rPr>
          <w:rtl/>
        </w:rPr>
      </w:pPr>
    </w:p>
    <w:p w14:paraId="1CA649A6" w14:textId="77777777" w:rsidR="004B2E7C" w:rsidRDefault="004B2E7C" w:rsidP="00434A6A">
      <w:pPr>
        <w:pStyle w:val="2"/>
        <w:rPr>
          <w:rtl/>
        </w:rPr>
      </w:pPr>
      <w:r>
        <w:rPr>
          <w:rtl/>
        </w:rPr>
        <w:t>סעיף ג</w:t>
      </w:r>
      <w:r>
        <w:rPr>
          <w:rFonts w:hint="cs"/>
          <w:rtl/>
        </w:rPr>
        <w:t>: גוי שעושה מלאכה שמפורסמת שהיא של ישראל במקום מפורסם.</w:t>
      </w:r>
    </w:p>
    <w:p w14:paraId="32642BD0" w14:textId="77777777" w:rsidR="004B2E7C" w:rsidRDefault="004B2E7C" w:rsidP="00434A6A">
      <w:pPr>
        <w:rPr>
          <w:u w:val="single"/>
          <w:rtl/>
        </w:rPr>
      </w:pPr>
      <w:r w:rsidRPr="00370120">
        <w:rPr>
          <w:rFonts w:hint="cs"/>
          <w:u w:val="single"/>
          <w:rtl/>
        </w:rPr>
        <w:t xml:space="preserve">גוי שעושה מלאכה </w:t>
      </w:r>
      <w:r>
        <w:rPr>
          <w:rFonts w:hint="cs"/>
          <w:u w:val="single"/>
          <w:rtl/>
        </w:rPr>
        <w:t>לישראל צריך שלא ידעו שמלאכה זו נעשית לישראל, לכן, מה הדין במקרים דלקמן:</w:t>
      </w:r>
    </w:p>
    <w:p w14:paraId="47F1A17B" w14:textId="77777777" w:rsidR="004B2E7C" w:rsidRPr="00895317" w:rsidRDefault="004B2E7C" w:rsidP="00434A6A">
      <w:pPr>
        <w:ind w:left="360"/>
        <w:rPr>
          <w:rFonts w:cs="Arial"/>
          <w:u w:val="dotted"/>
          <w:rtl/>
        </w:rPr>
      </w:pPr>
      <w:r>
        <w:rPr>
          <w:rFonts w:hint="cs"/>
          <w:u w:val="dotted"/>
          <w:rtl/>
        </w:rPr>
        <w:t xml:space="preserve">המלאכה </w:t>
      </w:r>
      <w:r w:rsidRPr="00895317">
        <w:rPr>
          <w:rFonts w:hint="cs"/>
          <w:u w:val="dotted"/>
          <w:rtl/>
        </w:rPr>
        <w:t>מפורסמת שהיא של ישראל</w:t>
      </w:r>
      <w:r>
        <w:rPr>
          <w:rFonts w:hint="cs"/>
          <w:u w:val="dotted"/>
          <w:rtl/>
        </w:rPr>
        <w:t>,</w:t>
      </w:r>
      <w:r w:rsidRPr="00895317">
        <w:rPr>
          <w:rFonts w:hint="cs"/>
          <w:u w:val="dotted"/>
          <w:rtl/>
        </w:rPr>
        <w:t xml:space="preserve"> </w:t>
      </w:r>
      <w:r>
        <w:rPr>
          <w:rFonts w:hint="cs"/>
          <w:u w:val="dotted"/>
          <w:rtl/>
        </w:rPr>
        <w:t xml:space="preserve">ועושה אותה הגוי </w:t>
      </w:r>
      <w:r w:rsidRPr="00895317">
        <w:rPr>
          <w:rFonts w:hint="cs"/>
          <w:u w:val="dotted"/>
          <w:rtl/>
        </w:rPr>
        <w:t xml:space="preserve">במקום </w:t>
      </w:r>
      <w:r>
        <w:rPr>
          <w:rFonts w:hint="cs"/>
          <w:u w:val="dotted"/>
          <w:rtl/>
        </w:rPr>
        <w:t xml:space="preserve">לא </w:t>
      </w:r>
      <w:r w:rsidRPr="00895317">
        <w:rPr>
          <w:rFonts w:hint="cs"/>
          <w:u w:val="dotted"/>
          <w:rtl/>
        </w:rPr>
        <w:t>מפורסם</w:t>
      </w:r>
      <w:r>
        <w:rPr>
          <w:rFonts w:cs="Arial" w:hint="cs"/>
          <w:sz w:val="16"/>
          <w:szCs w:val="16"/>
          <w:u w:val="dotted"/>
          <w:rtl/>
        </w:rPr>
        <w:t xml:space="preserve"> (כגון בביתו)</w:t>
      </w:r>
      <w:r w:rsidRPr="00895317">
        <w:rPr>
          <w:rFonts w:cs="Arial" w:hint="cs"/>
          <w:u w:val="dotted"/>
          <w:rtl/>
        </w:rPr>
        <w:t>:</w:t>
      </w:r>
      <w:r w:rsidRPr="00895317">
        <w:rPr>
          <w:rFonts w:cs="Arial"/>
          <w:u w:val="dotted"/>
          <w:rtl/>
        </w:rPr>
        <w:t xml:space="preserve"> </w:t>
      </w:r>
    </w:p>
    <w:p w14:paraId="1BCCBA23" w14:textId="77777777" w:rsidR="004B2E7C" w:rsidRDefault="004B2E7C" w:rsidP="00FF2D21">
      <w:pPr>
        <w:pStyle w:val="aa"/>
        <w:numPr>
          <w:ilvl w:val="0"/>
          <w:numId w:val="114"/>
        </w:numPr>
        <w:rPr>
          <w:rFonts w:cs="Arial"/>
        </w:rPr>
      </w:pPr>
      <w:r>
        <w:rPr>
          <w:rFonts w:cs="Arial" w:hint="cs"/>
          <w:rtl/>
        </w:rPr>
        <w:t xml:space="preserve">ב"י- </w:t>
      </w:r>
      <w:r>
        <w:rPr>
          <w:rStyle w:val="a9"/>
          <w:rFonts w:cs="Arial"/>
          <w:rtl/>
        </w:rPr>
        <w:footnoteReference w:id="343"/>
      </w:r>
      <w:r w:rsidRPr="004D0553">
        <w:rPr>
          <w:rFonts w:cs="Arial"/>
          <w:rtl/>
        </w:rPr>
        <w:t>מאי דבעינן שיעשה</w:t>
      </w:r>
      <w:r w:rsidRPr="004D0553">
        <w:rPr>
          <w:rFonts w:cs="Arial" w:hint="cs"/>
          <w:rtl/>
        </w:rPr>
        <w:t xml:space="preserve"> </w:t>
      </w:r>
      <w:r w:rsidRPr="004D0553">
        <w:rPr>
          <w:rFonts w:cs="Arial"/>
          <w:rtl/>
        </w:rPr>
        <w:t xml:space="preserve">הגוי בביתו אינו אלא משום דכל כה"ג לא מינכרא מילתא שהיא מלאכת ישראל ואפשר דכל שעושה אותה הגוי בביתו אף על פי שהמלאכה ידועה ומפורסמת שהיא של ישראל שרי דכל בבית גוי לא גזרו ביה רבנן וזה דעת רבינו ירוחם </w:t>
      </w:r>
      <w:r w:rsidRPr="00895317">
        <w:rPr>
          <w:rFonts w:cs="Arial" w:hint="cs"/>
          <w:sz w:val="16"/>
          <w:szCs w:val="16"/>
          <w:rtl/>
        </w:rPr>
        <w:t>(</w:t>
      </w:r>
      <w:r w:rsidRPr="00895317">
        <w:rPr>
          <w:rFonts w:cs="Arial"/>
          <w:sz w:val="16"/>
          <w:szCs w:val="16"/>
          <w:rtl/>
        </w:rPr>
        <w:t>חי"ב ני"ב פב עמוד ב')</w:t>
      </w:r>
      <w:r>
        <w:rPr>
          <w:rFonts w:cs="Arial" w:hint="cs"/>
          <w:rtl/>
        </w:rPr>
        <w:t>.</w:t>
      </w:r>
      <w:r w:rsidRPr="004D0553">
        <w:rPr>
          <w:rFonts w:cs="Arial"/>
          <w:rtl/>
        </w:rPr>
        <w:t xml:space="preserve"> </w:t>
      </w:r>
    </w:p>
    <w:p w14:paraId="180D8B03" w14:textId="77777777" w:rsidR="004B2E7C" w:rsidRPr="00895317" w:rsidRDefault="004B2E7C" w:rsidP="00434A6A">
      <w:pPr>
        <w:ind w:left="360"/>
        <w:rPr>
          <w:rFonts w:cs="Arial"/>
        </w:rPr>
      </w:pPr>
      <w:r>
        <w:rPr>
          <w:rFonts w:hint="cs"/>
          <w:u w:val="dotted"/>
          <w:rtl/>
        </w:rPr>
        <w:t xml:space="preserve">אין המלאכה </w:t>
      </w:r>
      <w:r w:rsidRPr="00895317">
        <w:rPr>
          <w:rFonts w:hint="cs"/>
          <w:u w:val="dotted"/>
          <w:rtl/>
        </w:rPr>
        <w:t>מפורסמת שהיא של ישראל</w:t>
      </w:r>
      <w:r>
        <w:rPr>
          <w:rFonts w:hint="cs"/>
          <w:u w:val="dotted"/>
          <w:rtl/>
        </w:rPr>
        <w:t>,</w:t>
      </w:r>
      <w:r w:rsidRPr="00895317">
        <w:rPr>
          <w:rFonts w:hint="cs"/>
          <w:u w:val="dotted"/>
          <w:rtl/>
        </w:rPr>
        <w:t xml:space="preserve"> </w:t>
      </w:r>
      <w:r>
        <w:rPr>
          <w:rFonts w:hint="cs"/>
          <w:u w:val="dotted"/>
          <w:rtl/>
        </w:rPr>
        <w:t xml:space="preserve">ועושה אותה הגוי </w:t>
      </w:r>
      <w:r w:rsidRPr="00895317">
        <w:rPr>
          <w:rFonts w:hint="cs"/>
          <w:u w:val="dotted"/>
          <w:rtl/>
        </w:rPr>
        <w:t>במקום מפורסם</w:t>
      </w:r>
      <w:r w:rsidRPr="00895317">
        <w:rPr>
          <w:rFonts w:cs="Arial" w:hint="cs"/>
          <w:u w:val="dotted"/>
          <w:rtl/>
        </w:rPr>
        <w:t>:</w:t>
      </w:r>
    </w:p>
    <w:p w14:paraId="5A9AB1B4" w14:textId="77777777" w:rsidR="004B2E7C" w:rsidRDefault="004B2E7C" w:rsidP="00FF2D21">
      <w:pPr>
        <w:pStyle w:val="aa"/>
        <w:numPr>
          <w:ilvl w:val="0"/>
          <w:numId w:val="114"/>
        </w:numPr>
        <w:rPr>
          <w:rFonts w:cs="Arial"/>
        </w:rPr>
      </w:pPr>
      <w:r>
        <w:rPr>
          <w:rFonts w:cs="Arial" w:hint="cs"/>
          <w:rtl/>
        </w:rPr>
        <w:t xml:space="preserve">רי"ו </w:t>
      </w:r>
      <w:r w:rsidRPr="00895317">
        <w:rPr>
          <w:rFonts w:cs="Arial" w:hint="cs"/>
          <w:sz w:val="16"/>
          <w:szCs w:val="16"/>
          <w:rtl/>
        </w:rPr>
        <w:t>(</w:t>
      </w:r>
      <w:r>
        <w:rPr>
          <w:rFonts w:cs="Arial" w:hint="cs"/>
          <w:sz w:val="16"/>
          <w:szCs w:val="16"/>
          <w:rtl/>
        </w:rPr>
        <w:t>שם</w:t>
      </w:r>
      <w:r w:rsidRPr="00895317">
        <w:rPr>
          <w:rFonts w:cs="Arial"/>
          <w:sz w:val="16"/>
          <w:szCs w:val="16"/>
          <w:rtl/>
        </w:rPr>
        <w:t>)</w:t>
      </w:r>
      <w:r>
        <w:rPr>
          <w:rFonts w:cs="Arial" w:hint="cs"/>
          <w:rtl/>
        </w:rPr>
        <w:t>- ו</w:t>
      </w:r>
      <w:r w:rsidRPr="004D0553">
        <w:rPr>
          <w:rFonts w:cs="Arial"/>
          <w:rtl/>
        </w:rPr>
        <w:t>אם אין המלאכה מפורסמת וידועה לבעליה כגון עורות לעבדן וכלים לכובס אפילו עושה אותה במקום מפורסם מותר אפילו בתוך התחום</w:t>
      </w:r>
      <w:r>
        <w:rPr>
          <w:rFonts w:cs="Arial" w:hint="cs"/>
          <w:rtl/>
        </w:rPr>
        <w:t>.</w:t>
      </w:r>
      <w:r w:rsidRPr="004D0553">
        <w:rPr>
          <w:rFonts w:cs="Arial"/>
          <w:rtl/>
        </w:rPr>
        <w:t xml:space="preserve"> </w:t>
      </w:r>
    </w:p>
    <w:p w14:paraId="7BA02865" w14:textId="77777777" w:rsidR="004B2E7C" w:rsidRPr="002460C2" w:rsidRDefault="004B2E7C" w:rsidP="00434A6A">
      <w:pPr>
        <w:ind w:left="360"/>
        <w:rPr>
          <w:rFonts w:cs="Arial"/>
        </w:rPr>
      </w:pPr>
      <w:r>
        <w:rPr>
          <w:rFonts w:hint="cs"/>
          <w:u w:val="dotted"/>
          <w:rtl/>
        </w:rPr>
        <w:t xml:space="preserve">המלאכה </w:t>
      </w:r>
      <w:r w:rsidRPr="00895317">
        <w:rPr>
          <w:rFonts w:hint="cs"/>
          <w:u w:val="dotted"/>
          <w:rtl/>
        </w:rPr>
        <w:t>מפורסמת שהיא של ישראל</w:t>
      </w:r>
      <w:r>
        <w:rPr>
          <w:rFonts w:hint="cs"/>
          <w:u w:val="dotted"/>
          <w:rtl/>
        </w:rPr>
        <w:t>,</w:t>
      </w:r>
      <w:r w:rsidRPr="00895317">
        <w:rPr>
          <w:rFonts w:hint="cs"/>
          <w:u w:val="dotted"/>
          <w:rtl/>
        </w:rPr>
        <w:t xml:space="preserve"> </w:t>
      </w:r>
      <w:r>
        <w:rPr>
          <w:rFonts w:hint="cs"/>
          <w:u w:val="dotted"/>
          <w:rtl/>
        </w:rPr>
        <w:t xml:space="preserve">ועושה אותה הגוי </w:t>
      </w:r>
      <w:r w:rsidRPr="00895317">
        <w:rPr>
          <w:rFonts w:hint="cs"/>
          <w:u w:val="dotted"/>
          <w:rtl/>
        </w:rPr>
        <w:t>במקום מפורסם</w:t>
      </w:r>
      <w:r w:rsidRPr="00895317">
        <w:rPr>
          <w:rFonts w:cs="Arial" w:hint="cs"/>
          <w:u w:val="dotted"/>
          <w:rtl/>
        </w:rPr>
        <w:t>:</w:t>
      </w:r>
    </w:p>
    <w:p w14:paraId="4A3A9B02" w14:textId="77777777" w:rsidR="004B2E7C" w:rsidRDefault="004B2E7C" w:rsidP="00FF2D21">
      <w:pPr>
        <w:pStyle w:val="aa"/>
        <w:numPr>
          <w:ilvl w:val="0"/>
          <w:numId w:val="114"/>
        </w:numPr>
        <w:rPr>
          <w:rFonts w:cs="Arial"/>
        </w:rPr>
      </w:pPr>
      <w:r>
        <w:rPr>
          <w:rFonts w:cs="Arial" w:hint="cs"/>
          <w:rtl/>
        </w:rPr>
        <w:t xml:space="preserve">רי"ו </w:t>
      </w:r>
      <w:r w:rsidRPr="00895317">
        <w:rPr>
          <w:rFonts w:cs="Arial" w:hint="cs"/>
          <w:sz w:val="16"/>
          <w:szCs w:val="16"/>
          <w:rtl/>
        </w:rPr>
        <w:t>(</w:t>
      </w:r>
      <w:r>
        <w:rPr>
          <w:rFonts w:cs="Arial" w:hint="cs"/>
          <w:sz w:val="16"/>
          <w:szCs w:val="16"/>
          <w:rtl/>
        </w:rPr>
        <w:t>שם</w:t>
      </w:r>
      <w:r w:rsidRPr="00895317">
        <w:rPr>
          <w:rFonts w:cs="Arial"/>
          <w:sz w:val="16"/>
          <w:szCs w:val="16"/>
          <w:rtl/>
        </w:rPr>
        <w:t>)</w:t>
      </w:r>
      <w:r>
        <w:rPr>
          <w:rFonts w:cs="Arial" w:hint="cs"/>
          <w:rtl/>
        </w:rPr>
        <w:t xml:space="preserve">- </w:t>
      </w:r>
      <w:r w:rsidRPr="004D0553">
        <w:rPr>
          <w:rFonts w:cs="Arial"/>
          <w:rtl/>
        </w:rPr>
        <w:t xml:space="preserve">ואם מלאכה מפורסמת וידועה לבעליה ועושה אותה במקום מפורסם אסור. </w:t>
      </w:r>
    </w:p>
    <w:p w14:paraId="4559805B" w14:textId="77777777" w:rsidR="004B2E7C" w:rsidRPr="002460C2" w:rsidRDefault="004B2E7C" w:rsidP="00FF2D21">
      <w:pPr>
        <w:pStyle w:val="aa"/>
        <w:numPr>
          <w:ilvl w:val="0"/>
          <w:numId w:val="114"/>
        </w:numPr>
        <w:rPr>
          <w:rFonts w:cs="Arial"/>
          <w:rtl/>
        </w:rPr>
      </w:pPr>
      <w:r w:rsidRPr="002460C2">
        <w:rPr>
          <w:rFonts w:cs="Arial"/>
          <w:rtl/>
        </w:rPr>
        <w:t xml:space="preserve">רשב"א </w:t>
      </w:r>
      <w:r w:rsidRPr="002460C2">
        <w:rPr>
          <w:rFonts w:cs="Arial"/>
          <w:sz w:val="16"/>
          <w:szCs w:val="16"/>
          <w:rtl/>
        </w:rPr>
        <w:t>(ח"ה סי' ריא)</w:t>
      </w:r>
      <w:r>
        <w:rPr>
          <w:rFonts w:cs="Arial" w:hint="cs"/>
          <w:rtl/>
        </w:rPr>
        <w:t>-</w:t>
      </w:r>
      <w:r w:rsidRPr="002460C2">
        <w:rPr>
          <w:rFonts w:cs="Arial"/>
          <w:rtl/>
        </w:rPr>
        <w:t xml:space="preserve"> ש</w:t>
      </w:r>
      <w:r>
        <w:rPr>
          <w:rFonts w:cs="Arial" w:hint="cs"/>
          <w:rtl/>
        </w:rPr>
        <w:t>אלת</w:t>
      </w:r>
      <w:r w:rsidRPr="002460C2">
        <w:rPr>
          <w:rFonts w:cs="Arial"/>
          <w:rtl/>
        </w:rPr>
        <w:t xml:space="preserve"> על יהודי שאמר לגוי מבעוד יום שיחתוך ערבה כדי שתהא מזומנת למוצאי שבת והלך הגוי בשבת למקום קרוב לעיר וחתך משם והיו שם רבים ויצא הקול בעיר שביום שבת היו קוצצין ערבה לצורך ישראל</w:t>
      </w:r>
      <w:r>
        <w:rPr>
          <w:rFonts w:cs="Arial" w:hint="cs"/>
          <w:rtl/>
        </w:rPr>
        <w:t>.</w:t>
      </w:r>
      <w:r w:rsidRPr="002460C2">
        <w:rPr>
          <w:rFonts w:cs="Arial"/>
          <w:rtl/>
        </w:rPr>
        <w:t xml:space="preserve"> </w:t>
      </w:r>
      <w:r>
        <w:rPr>
          <w:rFonts w:cs="Arial" w:hint="cs"/>
          <w:rtl/>
        </w:rPr>
        <w:t xml:space="preserve">   תשובה- </w:t>
      </w:r>
      <w:r w:rsidRPr="002460C2">
        <w:rPr>
          <w:rFonts w:cs="Arial"/>
          <w:rtl/>
        </w:rPr>
        <w:t>היא מותרת דגוי במלאכתו הוא עוסק אבל יפה עשיתם להחמיר כיון שנעשה בפרהסיא ובמקום פרהסיא לחוש לרינון לשעה</w:t>
      </w:r>
      <w:r w:rsidRPr="002460C2">
        <w:rPr>
          <w:rFonts w:cs="Arial" w:hint="cs"/>
          <w:rtl/>
        </w:rPr>
        <w:t>.</w:t>
      </w:r>
      <w:r>
        <w:rPr>
          <w:rFonts w:cs="Arial" w:hint="cs"/>
          <w:rtl/>
        </w:rPr>
        <w:t xml:space="preserve"> </w:t>
      </w:r>
      <w:r w:rsidRPr="002460C2">
        <w:rPr>
          <w:rFonts w:cs="Arial" w:hint="cs"/>
          <w:color w:val="E36C0A" w:themeColor="accent6" w:themeShade="BF"/>
          <w:rtl/>
        </w:rPr>
        <w:t>(וכ"פ בשו"ע)</w:t>
      </w:r>
    </w:p>
    <w:p w14:paraId="159DFABA"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8A878FA" w14:textId="77777777" w:rsidR="004B2E7C" w:rsidRDefault="004B2E7C" w:rsidP="00434A6A">
      <w:pPr>
        <w:rPr>
          <w:rtl/>
        </w:rPr>
      </w:pPr>
      <w:r>
        <w:rPr>
          <w:rFonts w:cs="Arial"/>
          <w:rtl/>
        </w:rPr>
        <w:t>ואם היתה מלאכה מפורסמת וידוע שהיא של ישראל, ועושה אותה במקום מפורסם, טוב להחמיר ולאסור</w:t>
      </w:r>
      <w:r>
        <w:rPr>
          <w:rStyle w:val="a9"/>
          <w:rFonts w:cs="Arial"/>
          <w:rtl/>
        </w:rPr>
        <w:footnoteReference w:id="344"/>
      </w:r>
      <w:r>
        <w:rPr>
          <w:rFonts w:cs="Arial"/>
          <w:rtl/>
        </w:rPr>
        <w:t xml:space="preserve">. </w:t>
      </w:r>
    </w:p>
    <w:p w14:paraId="2235ECA2" w14:textId="77777777" w:rsidR="004B2E7C" w:rsidRPr="006F1AE0" w:rsidRDefault="004B2E7C" w:rsidP="00434A6A">
      <w:pPr>
        <w:rPr>
          <w:u w:val="single"/>
          <w:rtl/>
        </w:rPr>
      </w:pPr>
      <w:r w:rsidRPr="006F1AE0">
        <w:rPr>
          <w:rFonts w:hint="cs"/>
          <w:u w:val="single"/>
          <w:rtl/>
        </w:rPr>
        <w:t xml:space="preserve">גוי שעושה </w:t>
      </w:r>
      <w:r>
        <w:rPr>
          <w:rFonts w:hint="cs"/>
          <w:u w:val="single"/>
          <w:rtl/>
        </w:rPr>
        <w:t>שמכבס חלוקי ישראל בנהר בשבת:</w:t>
      </w:r>
    </w:p>
    <w:p w14:paraId="09C3C637" w14:textId="77777777" w:rsidR="004B2E7C" w:rsidRDefault="004B2E7C" w:rsidP="00FF2D21">
      <w:pPr>
        <w:pStyle w:val="aa"/>
        <w:numPr>
          <w:ilvl w:val="0"/>
          <w:numId w:val="115"/>
        </w:numPr>
        <w:rPr>
          <w:rtl/>
        </w:rPr>
      </w:pPr>
      <w:r w:rsidRPr="006F1AE0">
        <w:rPr>
          <w:rFonts w:cs="Arial" w:hint="cs"/>
          <w:rtl/>
        </w:rPr>
        <w:t xml:space="preserve">משנ"ב </w:t>
      </w:r>
      <w:r w:rsidRPr="006F1AE0">
        <w:rPr>
          <w:rFonts w:cs="Arial" w:hint="cs"/>
          <w:sz w:val="16"/>
          <w:szCs w:val="16"/>
          <w:rtl/>
        </w:rPr>
        <w:t>(סקכ"</w:t>
      </w:r>
      <w:r>
        <w:rPr>
          <w:rFonts w:cs="Arial" w:hint="cs"/>
          <w:sz w:val="16"/>
          <w:szCs w:val="16"/>
          <w:rtl/>
        </w:rPr>
        <w:t>ה</w:t>
      </w:r>
      <w:r w:rsidRPr="006F1AE0">
        <w:rPr>
          <w:rFonts w:cs="Arial" w:hint="cs"/>
          <w:sz w:val="16"/>
          <w:szCs w:val="16"/>
          <w:rtl/>
        </w:rPr>
        <w:t>)</w:t>
      </w:r>
      <w:r w:rsidRPr="006F1AE0">
        <w:rPr>
          <w:rFonts w:cs="Arial" w:hint="cs"/>
          <w:rtl/>
        </w:rPr>
        <w:t xml:space="preserve">- </w:t>
      </w:r>
      <w:r>
        <w:rPr>
          <w:rFonts w:cs="Arial" w:hint="cs"/>
          <w:rtl/>
        </w:rPr>
        <w:t xml:space="preserve">לפ"ז </w:t>
      </w:r>
      <w:r w:rsidRPr="00515D50">
        <w:rPr>
          <w:rFonts w:cs="Arial"/>
          <w:rtl/>
        </w:rPr>
        <w:t>החלוקים שניכרים שהם של ישראל וה</w:t>
      </w:r>
      <w:r>
        <w:rPr>
          <w:rFonts w:cs="Arial" w:hint="cs"/>
          <w:rtl/>
        </w:rPr>
        <w:t>גוי</w:t>
      </w:r>
      <w:r w:rsidRPr="00515D50">
        <w:rPr>
          <w:rFonts w:cs="Arial"/>
          <w:rtl/>
        </w:rPr>
        <w:t xml:space="preserve">י מכבסן ע"ג הנהר שהוא מקום גלוי ומפורסם </w:t>
      </w:r>
      <w:r>
        <w:rPr>
          <w:rFonts w:cs="Arial" w:hint="cs"/>
          <w:rtl/>
        </w:rPr>
        <w:t xml:space="preserve">- </w:t>
      </w:r>
      <w:r w:rsidRPr="00515D50">
        <w:rPr>
          <w:rFonts w:cs="Arial"/>
          <w:rtl/>
        </w:rPr>
        <w:t>צריך למחות בידו כשרואהו בשבת [מג"א]</w:t>
      </w:r>
      <w:r>
        <w:rPr>
          <w:rFonts w:cs="Arial" w:hint="cs"/>
          <w:rtl/>
        </w:rPr>
        <w:t>.</w:t>
      </w:r>
      <w:r w:rsidRPr="00515D50">
        <w:rPr>
          <w:rFonts w:cs="Arial"/>
          <w:rtl/>
        </w:rPr>
        <w:t xml:space="preserve"> אבל בתו"ש כתב דלא שייך בזה חשדא דלא נודע של מי הוא והח"א הקיל בזה עוד מטעם אחר דכיון שידוע שמנהג כל בני העיר ליתן כלים לכובס בקבלנות ע"כ אפילו אם ה</w:t>
      </w:r>
      <w:r>
        <w:rPr>
          <w:rFonts w:cs="Arial" w:hint="cs"/>
          <w:rtl/>
        </w:rPr>
        <w:t>גו</w:t>
      </w:r>
      <w:r w:rsidRPr="00515D50">
        <w:rPr>
          <w:rFonts w:cs="Arial"/>
          <w:rtl/>
        </w:rPr>
        <w:t>י מכבסן במקום מפורסם מותר דאין בזה חשדא משום שכיר יום</w:t>
      </w:r>
      <w:r>
        <w:rPr>
          <w:rFonts w:cs="Arial" w:hint="cs"/>
          <w:rtl/>
        </w:rPr>
        <w:t>,</w:t>
      </w:r>
      <w:r w:rsidRPr="00515D50">
        <w:rPr>
          <w:rFonts w:cs="Arial"/>
          <w:rtl/>
        </w:rPr>
        <w:t xml:space="preserve"> וכעין מה שכתב בסימן רמ"ג ס"ב</w:t>
      </w:r>
      <w:r>
        <w:rPr>
          <w:rFonts w:cs="Arial" w:hint="cs"/>
          <w:rtl/>
        </w:rPr>
        <w:t>.</w:t>
      </w:r>
      <w:r w:rsidRPr="00515D50">
        <w:rPr>
          <w:rFonts w:cs="Arial"/>
          <w:rtl/>
        </w:rPr>
        <w:t xml:space="preserve"> וה"ה בכל הכלים שדרך ליתנן בקבלנות</w:t>
      </w:r>
      <w:r>
        <w:rPr>
          <w:rFonts w:cs="Arial" w:hint="cs"/>
          <w:rtl/>
        </w:rPr>
        <w:t>,</w:t>
      </w:r>
      <w:r w:rsidRPr="00515D50">
        <w:rPr>
          <w:rFonts w:cs="Arial"/>
          <w:rtl/>
        </w:rPr>
        <w:t xml:space="preserve"> ואין איסור בזה אלא כשעושה בבית ישראל דשם לא מהני שום היתר וכמ"ש למעלה בסקי"ז</w:t>
      </w:r>
      <w:r>
        <w:rPr>
          <w:rFonts w:hint="cs"/>
          <w:rtl/>
        </w:rPr>
        <w:t>.</w:t>
      </w:r>
    </w:p>
    <w:p w14:paraId="3697EAC5" w14:textId="77777777" w:rsidR="004B2E7C" w:rsidRDefault="004B2E7C" w:rsidP="00434A6A">
      <w:pPr>
        <w:rPr>
          <w:rtl/>
        </w:rPr>
      </w:pPr>
    </w:p>
    <w:p w14:paraId="7D1669A5" w14:textId="77777777" w:rsidR="004B2E7C" w:rsidRDefault="004B2E7C" w:rsidP="00434A6A">
      <w:pPr>
        <w:pStyle w:val="2"/>
        <w:rPr>
          <w:rtl/>
        </w:rPr>
      </w:pPr>
      <w:r>
        <w:rPr>
          <w:rtl/>
        </w:rPr>
        <w:t>סעיף ד</w:t>
      </w:r>
      <w:r>
        <w:rPr>
          <w:rFonts w:hint="cs"/>
          <w:rtl/>
        </w:rPr>
        <w:t>: גוי שהביא לישראל בשבת את המלאכה שעשה בשבת.</w:t>
      </w:r>
    </w:p>
    <w:p w14:paraId="5FDFD63A" w14:textId="77777777" w:rsidR="004B2E7C" w:rsidRPr="00421C6A" w:rsidRDefault="004B2E7C" w:rsidP="00434A6A">
      <w:pPr>
        <w:rPr>
          <w:u w:val="single"/>
          <w:rtl/>
        </w:rPr>
      </w:pPr>
      <w:r w:rsidRPr="00421C6A">
        <w:rPr>
          <w:rFonts w:hint="cs"/>
          <w:u w:val="single"/>
          <w:rtl/>
        </w:rPr>
        <w:t xml:space="preserve">גוי שהביא לישראל בשבת את המלאכה שעשה בשבת </w:t>
      </w:r>
      <w:r w:rsidRPr="00421C6A">
        <w:rPr>
          <w:u w:val="single"/>
          <w:rtl/>
        </w:rPr>
        <w:t>–</w:t>
      </w:r>
      <w:r w:rsidRPr="00421C6A">
        <w:rPr>
          <w:rFonts w:hint="cs"/>
          <w:u w:val="single"/>
          <w:rtl/>
        </w:rPr>
        <w:t xml:space="preserve"> האם מותר לישראל להשתמש בה בשבת:</w:t>
      </w:r>
    </w:p>
    <w:p w14:paraId="292A4F81" w14:textId="77777777" w:rsidR="004B2E7C" w:rsidRPr="00421C6A" w:rsidRDefault="004B2E7C" w:rsidP="00FF2D21">
      <w:pPr>
        <w:pStyle w:val="aa"/>
        <w:numPr>
          <w:ilvl w:val="0"/>
          <w:numId w:val="115"/>
        </w:numPr>
      </w:pPr>
      <w:r>
        <w:rPr>
          <w:rFonts w:cs="Arial" w:hint="cs"/>
          <w:rtl/>
        </w:rPr>
        <w:t>שבלי הלקט</w:t>
      </w:r>
      <w:r>
        <w:rPr>
          <w:rStyle w:val="a9"/>
          <w:rFonts w:cs="Arial"/>
          <w:rtl/>
        </w:rPr>
        <w:footnoteReference w:id="345"/>
      </w:r>
      <w:r>
        <w:rPr>
          <w:rFonts w:cs="Arial" w:hint="cs"/>
          <w:sz w:val="16"/>
          <w:szCs w:val="16"/>
          <w:rtl/>
        </w:rPr>
        <w:t xml:space="preserve"> (ענין שבת סי' קיב)</w:t>
      </w:r>
      <w:r>
        <w:rPr>
          <w:rFonts w:cs="Arial" w:hint="cs"/>
          <w:rtl/>
        </w:rPr>
        <w:t xml:space="preserve"> הג"א</w:t>
      </w:r>
      <w:r w:rsidRPr="00421C6A">
        <w:rPr>
          <w:rFonts w:cs="Arial"/>
          <w:rtl/>
        </w:rPr>
        <w:t xml:space="preserve"> </w:t>
      </w:r>
      <w:r w:rsidRPr="00421C6A">
        <w:rPr>
          <w:rFonts w:cs="Arial"/>
          <w:sz w:val="16"/>
          <w:szCs w:val="16"/>
          <w:rtl/>
        </w:rPr>
        <w:t>(</w:t>
      </w:r>
      <w:r w:rsidRPr="00421C6A">
        <w:rPr>
          <w:rFonts w:cs="Arial" w:hint="cs"/>
          <w:sz w:val="16"/>
          <w:szCs w:val="16"/>
          <w:rtl/>
        </w:rPr>
        <w:t xml:space="preserve">פ"ק דשבת </w:t>
      </w:r>
      <w:r w:rsidRPr="00421C6A">
        <w:rPr>
          <w:rFonts w:cs="Arial"/>
          <w:sz w:val="16"/>
          <w:szCs w:val="16"/>
          <w:rtl/>
        </w:rPr>
        <w:t>סי' לז)</w:t>
      </w:r>
      <w:r w:rsidRPr="00D653C2">
        <w:rPr>
          <w:rFonts w:cs="Arial"/>
          <w:rtl/>
        </w:rPr>
        <w:t xml:space="preserve"> </w:t>
      </w:r>
      <w:r>
        <w:rPr>
          <w:rFonts w:cs="Arial" w:hint="cs"/>
          <w:rtl/>
        </w:rPr>
        <w:t>ו</w:t>
      </w:r>
      <w:r w:rsidRPr="001B2A4A">
        <w:rPr>
          <w:rFonts w:cs="Arial"/>
          <w:rtl/>
        </w:rPr>
        <w:t xml:space="preserve">מהרי"ל </w:t>
      </w:r>
      <w:r w:rsidRPr="00D653C2">
        <w:rPr>
          <w:rFonts w:cs="Arial"/>
          <w:sz w:val="16"/>
          <w:szCs w:val="16"/>
          <w:rtl/>
        </w:rPr>
        <w:t>(הל' יו</w:t>
      </w:r>
      <w:r>
        <w:rPr>
          <w:rFonts w:cs="Arial" w:hint="cs"/>
          <w:sz w:val="16"/>
          <w:szCs w:val="16"/>
          <w:rtl/>
        </w:rPr>
        <w:t>"</w:t>
      </w:r>
      <w:r w:rsidRPr="00D653C2">
        <w:rPr>
          <w:rFonts w:cs="Arial"/>
          <w:sz w:val="16"/>
          <w:szCs w:val="16"/>
          <w:rtl/>
        </w:rPr>
        <w:t>ט</w:t>
      </w:r>
      <w:r>
        <w:rPr>
          <w:rFonts w:cs="Arial" w:hint="cs"/>
          <w:sz w:val="16"/>
          <w:szCs w:val="16"/>
          <w:rtl/>
        </w:rPr>
        <w:t xml:space="preserve"> </w:t>
      </w:r>
      <w:r w:rsidRPr="00D653C2">
        <w:rPr>
          <w:rFonts w:cs="Arial"/>
          <w:sz w:val="16"/>
          <w:szCs w:val="16"/>
          <w:rtl/>
        </w:rPr>
        <w:t>סע' לח</w:t>
      </w:r>
      <w:r w:rsidRPr="00D653C2">
        <w:rPr>
          <w:rFonts w:cs="Arial" w:hint="cs"/>
          <w:sz w:val="16"/>
          <w:szCs w:val="16"/>
          <w:rtl/>
        </w:rPr>
        <w:t>, כ"כ בשמו הדרכ"מ [אות ג]</w:t>
      </w:r>
      <w:r w:rsidRPr="00D653C2">
        <w:rPr>
          <w:rFonts w:cs="Arial"/>
          <w:sz w:val="16"/>
          <w:szCs w:val="16"/>
          <w:rtl/>
        </w:rPr>
        <w:t>)</w:t>
      </w:r>
      <w:r>
        <w:rPr>
          <w:rFonts w:cs="Arial" w:hint="cs"/>
          <w:rtl/>
        </w:rPr>
        <w:t>-</w:t>
      </w:r>
      <w:r w:rsidRPr="00421C6A">
        <w:rPr>
          <w:rFonts w:cs="Arial"/>
          <w:rtl/>
        </w:rPr>
        <w:t xml:space="preserve"> לי נראה שאסור להלביש בגדים שנתנו לאומן מערב שבת ונגמר מלאכתם בשבת ואף כי נקצץ שכרן</w:t>
      </w:r>
      <w:r>
        <w:rPr>
          <w:rFonts w:cs="Arial" w:hint="cs"/>
          <w:sz w:val="16"/>
          <w:szCs w:val="16"/>
          <w:rtl/>
        </w:rPr>
        <w:t xml:space="preserve"> (ל' הג"א)</w:t>
      </w:r>
      <w:r>
        <w:rPr>
          <w:rFonts w:cs="Arial" w:hint="cs"/>
          <w:rtl/>
        </w:rPr>
        <w:t>.</w:t>
      </w:r>
      <w:r w:rsidRPr="00421C6A">
        <w:rPr>
          <w:rFonts w:cs="Arial"/>
          <w:rtl/>
        </w:rPr>
        <w:t xml:space="preserve"> </w:t>
      </w:r>
    </w:p>
    <w:p w14:paraId="5738D8EF" w14:textId="77777777" w:rsidR="004B2E7C" w:rsidRPr="00421C6A" w:rsidRDefault="004B2E7C" w:rsidP="00FF2D21">
      <w:pPr>
        <w:pStyle w:val="aa"/>
        <w:numPr>
          <w:ilvl w:val="0"/>
          <w:numId w:val="115"/>
        </w:numPr>
      </w:pPr>
      <w:r>
        <w:rPr>
          <w:rFonts w:cs="Arial" w:hint="cs"/>
          <w:rtl/>
        </w:rPr>
        <w:t xml:space="preserve">ה"ר יהודה </w:t>
      </w:r>
      <w:r w:rsidRPr="00D653C2">
        <w:rPr>
          <w:rFonts w:cs="Arial" w:hint="cs"/>
          <w:sz w:val="16"/>
          <w:szCs w:val="16"/>
          <w:rtl/>
        </w:rPr>
        <w:t>(אחיו של שבה"ל</w:t>
      </w:r>
      <w:r>
        <w:rPr>
          <w:rFonts w:cs="Arial" w:hint="cs"/>
          <w:sz w:val="16"/>
          <w:szCs w:val="16"/>
          <w:rtl/>
        </w:rPr>
        <w:t xml:space="preserve"> [שם]</w:t>
      </w:r>
      <w:r w:rsidRPr="00D653C2">
        <w:rPr>
          <w:rFonts w:cs="Arial" w:hint="cs"/>
          <w:sz w:val="16"/>
          <w:szCs w:val="16"/>
          <w:rtl/>
        </w:rPr>
        <w:t xml:space="preserve">) </w:t>
      </w:r>
      <w:r>
        <w:rPr>
          <w:rFonts w:cs="Arial" w:hint="cs"/>
          <w:rtl/>
        </w:rPr>
        <w:t xml:space="preserve">מהר"ם </w:t>
      </w:r>
      <w:r>
        <w:rPr>
          <w:rFonts w:cs="Arial" w:hint="cs"/>
          <w:sz w:val="16"/>
          <w:szCs w:val="16"/>
          <w:rtl/>
        </w:rPr>
        <w:t xml:space="preserve">(כ"כ בשמו ה"ר יהודה) </w:t>
      </w:r>
      <w:r>
        <w:rPr>
          <w:rFonts w:cs="Arial" w:hint="cs"/>
          <w:rtl/>
        </w:rPr>
        <w:t>ו</w:t>
      </w:r>
      <w:r w:rsidRPr="00421C6A">
        <w:rPr>
          <w:rFonts w:cs="Arial"/>
          <w:rtl/>
        </w:rPr>
        <w:t xml:space="preserve">ר"ן </w:t>
      </w:r>
      <w:r w:rsidRPr="00421C6A">
        <w:rPr>
          <w:rFonts w:cs="Arial" w:hint="cs"/>
          <w:sz w:val="16"/>
          <w:szCs w:val="16"/>
          <w:rtl/>
        </w:rPr>
        <w:t>(</w:t>
      </w:r>
      <w:r w:rsidRPr="00421C6A">
        <w:rPr>
          <w:rFonts w:cs="Arial"/>
          <w:sz w:val="16"/>
          <w:szCs w:val="16"/>
          <w:rtl/>
        </w:rPr>
        <w:t>פ"ק דשבת ז. ד"ה ובכולן)</w:t>
      </w:r>
      <w:r>
        <w:rPr>
          <w:rFonts w:cs="Arial" w:hint="cs"/>
          <w:rtl/>
        </w:rPr>
        <w:t>-</w:t>
      </w:r>
      <w:r w:rsidRPr="00421C6A">
        <w:rPr>
          <w:rFonts w:cs="Arial"/>
          <w:rtl/>
        </w:rPr>
        <w:t xml:space="preserve"> ומסתברא לי דכל שקצץ אף על פי שעשה הגוי מלאכה בשבת מותר לישראל ללבוש הכלי בשבת עצמה דכל שקצץ אדעתא דנפשיה עביד</w:t>
      </w:r>
      <w:r>
        <w:rPr>
          <w:rFonts w:cs="Arial" w:hint="cs"/>
          <w:sz w:val="16"/>
          <w:szCs w:val="16"/>
          <w:rtl/>
        </w:rPr>
        <w:t xml:space="preserve"> (ל' הר"ן)</w:t>
      </w:r>
      <w:r w:rsidRPr="00421C6A">
        <w:rPr>
          <w:rFonts w:cs="Arial" w:hint="cs"/>
          <w:rtl/>
        </w:rPr>
        <w:t>.</w:t>
      </w:r>
      <w:r>
        <w:rPr>
          <w:rFonts w:cs="Arial" w:hint="cs"/>
          <w:rtl/>
        </w:rPr>
        <w:t xml:space="preserve"> </w:t>
      </w:r>
      <w:r w:rsidRPr="006E4902">
        <w:rPr>
          <w:rFonts w:cs="Arial" w:hint="cs"/>
          <w:color w:val="E36C0A" w:themeColor="accent6" w:themeShade="BF"/>
          <w:rtl/>
        </w:rPr>
        <w:t>(וכ"פ בשו"ע)</w:t>
      </w:r>
      <w:r w:rsidRPr="00421C6A">
        <w:rPr>
          <w:rFonts w:cs="Arial"/>
          <w:rtl/>
        </w:rPr>
        <w:t xml:space="preserve"> </w:t>
      </w:r>
    </w:p>
    <w:p w14:paraId="3AE73732" w14:textId="77777777" w:rsidR="004B2E7C" w:rsidRPr="00421C6A" w:rsidRDefault="004B2E7C" w:rsidP="00FF2D21">
      <w:pPr>
        <w:pStyle w:val="aa"/>
        <w:numPr>
          <w:ilvl w:val="0"/>
          <w:numId w:val="115"/>
        </w:numPr>
      </w:pPr>
      <w:r w:rsidRPr="001B2A4A">
        <w:rPr>
          <w:rFonts w:cs="Arial"/>
          <w:rtl/>
        </w:rPr>
        <w:t>אור זרוע</w:t>
      </w:r>
      <w:r w:rsidRPr="00654F85">
        <w:rPr>
          <w:rFonts w:cs="Arial"/>
          <w:sz w:val="16"/>
          <w:szCs w:val="16"/>
          <w:rtl/>
        </w:rPr>
        <w:t xml:space="preserve"> </w:t>
      </w:r>
      <w:r w:rsidRPr="00654F85">
        <w:rPr>
          <w:rFonts w:cs="Arial" w:hint="cs"/>
          <w:sz w:val="16"/>
          <w:szCs w:val="16"/>
          <w:rtl/>
        </w:rPr>
        <w:t>(</w:t>
      </w:r>
      <w:r w:rsidRPr="00654F85">
        <w:rPr>
          <w:rFonts w:cs="Arial"/>
          <w:sz w:val="16"/>
          <w:szCs w:val="16"/>
          <w:rtl/>
        </w:rPr>
        <w:t>ריש הלכות ערב שבת סי' ב</w:t>
      </w:r>
      <w:r w:rsidRPr="00654F85">
        <w:rPr>
          <w:rFonts w:cs="Arial" w:hint="cs"/>
          <w:sz w:val="16"/>
          <w:szCs w:val="16"/>
          <w:rtl/>
        </w:rPr>
        <w:t>, כ"כ הדרכ"מ בשמו</w:t>
      </w:r>
      <w:r>
        <w:rPr>
          <w:rFonts w:cs="Arial" w:hint="cs"/>
          <w:sz w:val="16"/>
          <w:szCs w:val="16"/>
          <w:rtl/>
        </w:rPr>
        <w:t xml:space="preserve"> [אות ד]</w:t>
      </w:r>
      <w:r w:rsidRPr="00654F85">
        <w:rPr>
          <w:rFonts w:cs="Arial"/>
          <w:sz w:val="16"/>
          <w:szCs w:val="16"/>
          <w:rtl/>
        </w:rPr>
        <w:t>)</w:t>
      </w:r>
      <w:r>
        <w:rPr>
          <w:rFonts w:cs="Arial" w:hint="cs"/>
          <w:rtl/>
        </w:rPr>
        <w:t xml:space="preserve">- </w:t>
      </w:r>
      <w:r w:rsidRPr="001B2A4A">
        <w:rPr>
          <w:rFonts w:cs="Arial"/>
          <w:rtl/>
        </w:rPr>
        <w:t>אם עשה בו הגוי מלאכה בשבת אסור למוצאי שבת בכדי שיעשו</w:t>
      </w:r>
      <w:r>
        <w:rPr>
          <w:rFonts w:hint="cs"/>
          <w:rtl/>
        </w:rPr>
        <w:t>.</w:t>
      </w:r>
    </w:p>
    <w:p w14:paraId="533D41FE" w14:textId="77777777" w:rsidR="004B2E7C" w:rsidRDefault="004B2E7C" w:rsidP="00FF2D21">
      <w:pPr>
        <w:pStyle w:val="aa"/>
        <w:numPr>
          <w:ilvl w:val="0"/>
          <w:numId w:val="115"/>
        </w:numPr>
      </w:pPr>
      <w:r>
        <w:rPr>
          <w:rFonts w:cs="Arial" w:hint="cs"/>
          <w:rtl/>
        </w:rPr>
        <w:t xml:space="preserve">רוקח </w:t>
      </w:r>
      <w:r>
        <w:rPr>
          <w:rFonts w:cs="Arial" w:hint="cs"/>
          <w:sz w:val="16"/>
          <w:szCs w:val="16"/>
          <w:rtl/>
        </w:rPr>
        <w:t xml:space="preserve">(סי' שא) </w:t>
      </w:r>
      <w:r w:rsidRPr="00421C6A">
        <w:rPr>
          <w:rFonts w:cs="Arial"/>
          <w:rtl/>
        </w:rPr>
        <w:t>מרדכי</w:t>
      </w:r>
      <w:r w:rsidRPr="00A031FF">
        <w:rPr>
          <w:rFonts w:cs="Arial"/>
          <w:sz w:val="16"/>
          <w:szCs w:val="16"/>
          <w:rtl/>
        </w:rPr>
        <w:t xml:space="preserve"> (ביצה סי' תרסד)</w:t>
      </w:r>
      <w:r w:rsidRPr="00421C6A">
        <w:rPr>
          <w:rFonts w:cs="Arial"/>
          <w:rtl/>
        </w:rPr>
        <w:t xml:space="preserve"> בשם רב צמח גאון</w:t>
      </w:r>
      <w:r w:rsidRPr="00A031FF">
        <w:rPr>
          <w:rFonts w:cs="Arial" w:hint="cs"/>
          <w:rtl/>
        </w:rPr>
        <w:t xml:space="preserve"> </w:t>
      </w:r>
      <w:r>
        <w:rPr>
          <w:rFonts w:cs="Arial" w:hint="cs"/>
          <w:rtl/>
        </w:rPr>
        <w:t xml:space="preserve">הגה"מ </w:t>
      </w:r>
      <w:r w:rsidRPr="00A031FF">
        <w:rPr>
          <w:rFonts w:cs="Arial" w:hint="cs"/>
          <w:sz w:val="16"/>
          <w:szCs w:val="16"/>
          <w:rtl/>
        </w:rPr>
        <w:t xml:space="preserve">(פ"ב מהל' יו"ט אות ח) </w:t>
      </w:r>
      <w:r>
        <w:rPr>
          <w:rFonts w:cs="Arial" w:hint="cs"/>
          <w:rtl/>
        </w:rPr>
        <w:t>והג"א</w:t>
      </w:r>
      <w:r w:rsidRPr="00421C6A">
        <w:rPr>
          <w:rFonts w:cs="Arial"/>
          <w:rtl/>
        </w:rPr>
        <w:t xml:space="preserve"> </w:t>
      </w:r>
      <w:r w:rsidRPr="00A031FF">
        <w:rPr>
          <w:rFonts w:cs="Arial"/>
          <w:sz w:val="16"/>
          <w:szCs w:val="16"/>
          <w:rtl/>
        </w:rPr>
        <w:t>(ביצה פ"ג סי' יד)</w:t>
      </w:r>
      <w:r>
        <w:rPr>
          <w:rFonts w:cs="Arial" w:hint="cs"/>
          <w:rtl/>
        </w:rPr>
        <w:t>-</w:t>
      </w:r>
      <w:r w:rsidRPr="00421C6A">
        <w:rPr>
          <w:rFonts w:cs="Arial"/>
          <w:rtl/>
        </w:rPr>
        <w:t xml:space="preserve"> </w:t>
      </w:r>
      <w:r w:rsidRPr="00A031FF">
        <w:rPr>
          <w:rFonts w:cs="Arial"/>
          <w:rtl/>
        </w:rPr>
        <w:t xml:space="preserve">מצאתי בתשובת רב צמח גאון ראש ישיבה חלוק שתפרו </w:t>
      </w:r>
      <w:r>
        <w:rPr>
          <w:rFonts w:cs="Arial" w:hint="cs"/>
          <w:rtl/>
        </w:rPr>
        <w:t>גוי</w:t>
      </w:r>
      <w:r w:rsidRPr="00A031FF">
        <w:rPr>
          <w:rFonts w:cs="Arial"/>
          <w:rtl/>
        </w:rPr>
        <w:t xml:space="preserve"> או בגד שצבעו </w:t>
      </w:r>
      <w:r>
        <w:rPr>
          <w:rFonts w:cs="Arial" w:hint="cs"/>
          <w:rtl/>
        </w:rPr>
        <w:t>גוי</w:t>
      </w:r>
      <w:r w:rsidRPr="00A031FF">
        <w:rPr>
          <w:rFonts w:cs="Arial"/>
          <w:rtl/>
        </w:rPr>
        <w:t xml:space="preserve"> </w:t>
      </w:r>
      <w:r>
        <w:rPr>
          <w:rFonts w:cs="Arial" w:hint="cs"/>
          <w:rtl/>
        </w:rPr>
        <w:t xml:space="preserve">- </w:t>
      </w:r>
      <w:r w:rsidRPr="00A031FF">
        <w:rPr>
          <w:rFonts w:cs="Arial"/>
          <w:rtl/>
        </w:rPr>
        <w:t xml:space="preserve">אסור ליטול מן </w:t>
      </w:r>
      <w:r>
        <w:rPr>
          <w:rFonts w:cs="Arial" w:hint="cs"/>
          <w:rtl/>
        </w:rPr>
        <w:t>הגוי</w:t>
      </w:r>
      <w:r w:rsidRPr="00A031FF">
        <w:rPr>
          <w:rFonts w:cs="Arial"/>
          <w:rtl/>
        </w:rPr>
        <w:t xml:space="preserve"> בי</w:t>
      </w:r>
      <w:r>
        <w:rPr>
          <w:rFonts w:cs="Arial" w:hint="cs"/>
          <w:rtl/>
        </w:rPr>
        <w:t>ו</w:t>
      </w:r>
      <w:r w:rsidRPr="00A031FF">
        <w:rPr>
          <w:rFonts w:cs="Arial"/>
          <w:rtl/>
        </w:rPr>
        <w:t>"ט</w:t>
      </w:r>
      <w:r>
        <w:rPr>
          <w:rStyle w:val="a9"/>
          <w:rFonts w:cs="Arial"/>
          <w:rtl/>
        </w:rPr>
        <w:footnoteReference w:id="346"/>
      </w:r>
      <w:r>
        <w:rPr>
          <w:rFonts w:cs="Arial" w:hint="cs"/>
          <w:rtl/>
        </w:rPr>
        <w:t>,</w:t>
      </w:r>
      <w:r w:rsidRPr="00A031FF">
        <w:rPr>
          <w:rFonts w:cs="Arial"/>
          <w:rtl/>
        </w:rPr>
        <w:t xml:space="preserve"> דהכי פסקינן ס"פ מקום שנהגו </w:t>
      </w:r>
      <w:r w:rsidRPr="00A031FF">
        <w:rPr>
          <w:rFonts w:cs="Arial"/>
          <w:sz w:val="16"/>
          <w:szCs w:val="16"/>
          <w:rtl/>
        </w:rPr>
        <w:t>(פסחים נה:)</w:t>
      </w:r>
      <w:r>
        <w:rPr>
          <w:rFonts w:cs="Arial" w:hint="cs"/>
          <w:rtl/>
        </w:rPr>
        <w:t xml:space="preserve"> </w:t>
      </w:r>
      <w:r w:rsidRPr="00A031FF">
        <w:rPr>
          <w:rFonts w:cs="Arial"/>
          <w:rtl/>
        </w:rPr>
        <w:t>דאפילו בחוה"מ אין מביאין כלים מבית האומן</w:t>
      </w:r>
      <w:r>
        <w:rPr>
          <w:rFonts w:cs="Arial" w:hint="cs"/>
          <w:rtl/>
        </w:rPr>
        <w:t>.</w:t>
      </w:r>
      <w:r w:rsidRPr="00A031FF">
        <w:rPr>
          <w:rFonts w:cs="Arial"/>
          <w:rtl/>
        </w:rPr>
        <w:t xml:space="preserve"> אבל ודאי אם שיגר לו</w:t>
      </w:r>
      <w:r>
        <w:rPr>
          <w:rStyle w:val="a9"/>
          <w:rFonts w:cs="Arial"/>
          <w:rtl/>
        </w:rPr>
        <w:footnoteReference w:id="347"/>
      </w:r>
      <w:r w:rsidRPr="00A031FF">
        <w:rPr>
          <w:rFonts w:cs="Arial"/>
          <w:rtl/>
        </w:rPr>
        <w:t xml:space="preserve"> </w:t>
      </w:r>
      <w:r>
        <w:rPr>
          <w:rFonts w:cs="Arial" w:hint="cs"/>
          <w:rtl/>
        </w:rPr>
        <w:t>גוי</w:t>
      </w:r>
      <w:r w:rsidRPr="00A031FF">
        <w:rPr>
          <w:rFonts w:cs="Arial"/>
          <w:rtl/>
        </w:rPr>
        <w:t xml:space="preserve"> כלים תפורין שנגמר מלאכתן מעי</w:t>
      </w:r>
      <w:r>
        <w:rPr>
          <w:rFonts w:cs="Arial" w:hint="cs"/>
          <w:rtl/>
        </w:rPr>
        <w:t>ו</w:t>
      </w:r>
      <w:r w:rsidRPr="00A031FF">
        <w:rPr>
          <w:rFonts w:cs="Arial"/>
          <w:rtl/>
        </w:rPr>
        <w:t xml:space="preserve">"ט </w:t>
      </w:r>
      <w:r>
        <w:rPr>
          <w:rFonts w:cs="Arial" w:hint="cs"/>
          <w:rtl/>
        </w:rPr>
        <w:t xml:space="preserve">- </w:t>
      </w:r>
      <w:r w:rsidRPr="00A031FF">
        <w:rPr>
          <w:rFonts w:cs="Arial"/>
          <w:rtl/>
        </w:rPr>
        <w:t>מקבל ממנו</w:t>
      </w:r>
      <w:r>
        <w:rPr>
          <w:rStyle w:val="a9"/>
          <w:rFonts w:cs="Arial"/>
          <w:rtl/>
        </w:rPr>
        <w:footnoteReference w:id="348"/>
      </w:r>
      <w:r>
        <w:rPr>
          <w:rFonts w:cs="Arial" w:hint="cs"/>
          <w:rtl/>
        </w:rPr>
        <w:t>,</w:t>
      </w:r>
      <w:r w:rsidRPr="00A031FF">
        <w:rPr>
          <w:rFonts w:cs="Arial"/>
          <w:rtl/>
        </w:rPr>
        <w:t xml:space="preserve"> שאין זה חמור יותר מדגים ופירות דאם מעי</w:t>
      </w:r>
      <w:r>
        <w:rPr>
          <w:rFonts w:cs="Arial" w:hint="cs"/>
          <w:rtl/>
        </w:rPr>
        <w:t>ו</w:t>
      </w:r>
      <w:r w:rsidRPr="00A031FF">
        <w:rPr>
          <w:rFonts w:cs="Arial"/>
          <w:rtl/>
        </w:rPr>
        <w:t>"ט ניצודו או פירות שנתלשו מעי</w:t>
      </w:r>
      <w:r>
        <w:rPr>
          <w:rFonts w:cs="Arial" w:hint="cs"/>
          <w:rtl/>
        </w:rPr>
        <w:t>ו</w:t>
      </w:r>
      <w:r w:rsidRPr="00A031FF">
        <w:rPr>
          <w:rFonts w:cs="Arial"/>
          <w:rtl/>
        </w:rPr>
        <w:t>"ט שמותר לקבל הימנו וכ"ש כלים תפורים</w:t>
      </w:r>
      <w:r>
        <w:rPr>
          <w:rFonts w:hint="cs"/>
          <w:sz w:val="16"/>
          <w:szCs w:val="16"/>
          <w:rtl/>
        </w:rPr>
        <w:t xml:space="preserve"> (ל' המרדכי)</w:t>
      </w:r>
      <w:r w:rsidRPr="00A031FF">
        <w:rPr>
          <w:rFonts w:cs="Arial" w:hint="cs"/>
          <w:rtl/>
        </w:rPr>
        <w:t>.</w:t>
      </w:r>
      <w:r w:rsidRPr="00A031FF">
        <w:rPr>
          <w:rFonts w:cs="Arial"/>
          <w:rtl/>
        </w:rPr>
        <w:t xml:space="preserve"> </w:t>
      </w:r>
    </w:p>
    <w:p w14:paraId="70199C64" w14:textId="77777777" w:rsidR="004B2E7C" w:rsidRPr="00B278A7" w:rsidRDefault="004B2E7C" w:rsidP="00434A6A">
      <w:pPr>
        <w:rPr>
          <w:u w:val="single"/>
        </w:rPr>
      </w:pPr>
      <w:r w:rsidRPr="00B278A7">
        <w:rPr>
          <w:rFonts w:cs="Arial"/>
          <w:u w:val="single"/>
          <w:rtl/>
        </w:rPr>
        <w:t>גוי שעשה מנעלים ביום טוב בסתם למכור לכל מי שירצה</w:t>
      </w:r>
      <w:r w:rsidRPr="00B278A7">
        <w:rPr>
          <w:rFonts w:hint="cs"/>
          <w:u w:val="single"/>
          <w:rtl/>
        </w:rPr>
        <w:t xml:space="preserve"> </w:t>
      </w:r>
      <w:r w:rsidRPr="00B278A7">
        <w:rPr>
          <w:u w:val="single"/>
          <w:rtl/>
        </w:rPr>
        <w:t>–</w:t>
      </w:r>
      <w:r w:rsidRPr="00B278A7">
        <w:rPr>
          <w:rFonts w:hint="cs"/>
          <w:u w:val="single"/>
          <w:rtl/>
        </w:rPr>
        <w:t xml:space="preserve"> האם מותר לישראל לקחתם ממנו ביו"ט:</w:t>
      </w:r>
    </w:p>
    <w:p w14:paraId="2191907B" w14:textId="77777777" w:rsidR="004B2E7C" w:rsidRPr="006E4902" w:rsidRDefault="004B2E7C" w:rsidP="00FF2D21">
      <w:pPr>
        <w:pStyle w:val="aa"/>
        <w:numPr>
          <w:ilvl w:val="0"/>
          <w:numId w:val="115"/>
        </w:numPr>
      </w:pPr>
      <w:r>
        <w:rPr>
          <w:rFonts w:cs="Arial" w:hint="cs"/>
          <w:rtl/>
        </w:rPr>
        <w:t xml:space="preserve">הג"א </w:t>
      </w:r>
      <w:r w:rsidRPr="00B278A7">
        <w:rPr>
          <w:rFonts w:cs="Arial"/>
          <w:sz w:val="16"/>
          <w:szCs w:val="16"/>
          <w:rtl/>
        </w:rPr>
        <w:t>(ביצה פ"ג סי' ז)</w:t>
      </w:r>
      <w:r w:rsidRPr="00B278A7">
        <w:rPr>
          <w:rFonts w:cs="Arial"/>
          <w:rtl/>
        </w:rPr>
        <w:t xml:space="preserve"> </w:t>
      </w:r>
      <w:r w:rsidRPr="00421C6A">
        <w:rPr>
          <w:rFonts w:cs="Arial"/>
          <w:rtl/>
        </w:rPr>
        <w:t xml:space="preserve">מאור זרוע </w:t>
      </w:r>
      <w:r w:rsidRPr="00B278A7">
        <w:rPr>
          <w:rFonts w:cs="Arial"/>
          <w:sz w:val="16"/>
          <w:szCs w:val="16"/>
          <w:rtl/>
        </w:rPr>
        <w:t>(הל' יום טוב סי' שנה)</w:t>
      </w:r>
      <w:r>
        <w:rPr>
          <w:rFonts w:cs="Arial" w:hint="cs"/>
          <w:rtl/>
        </w:rPr>
        <w:t>-</w:t>
      </w:r>
      <w:r w:rsidRPr="00421C6A">
        <w:rPr>
          <w:rFonts w:cs="Arial"/>
          <w:rtl/>
        </w:rPr>
        <w:t xml:space="preserve"> גוי שעשה מנעלים ביום טוב בסתם למכור לכל מי שירצה ובא יהודי אחד הרגיל אצלו ולקחם מהחנות זה היה מעשה ואסרם הרי"ט משום מוקצה</w:t>
      </w:r>
      <w:r>
        <w:rPr>
          <w:rFonts w:cs="Arial" w:hint="cs"/>
          <w:rtl/>
        </w:rPr>
        <w:t>.</w:t>
      </w:r>
      <w:r w:rsidRPr="00421C6A">
        <w:rPr>
          <w:rFonts w:cs="Arial"/>
          <w:rtl/>
        </w:rPr>
        <w:t xml:space="preserve"> וה"ר אליהו התירם</w:t>
      </w:r>
      <w:r>
        <w:rPr>
          <w:rStyle w:val="a9"/>
          <w:rFonts w:cs="Arial"/>
          <w:rtl/>
        </w:rPr>
        <w:footnoteReference w:id="349"/>
      </w:r>
      <w:r w:rsidRPr="00421C6A">
        <w:rPr>
          <w:rFonts w:cs="Arial"/>
          <w:rtl/>
        </w:rPr>
        <w:t xml:space="preserve"> הואיל וגמרו בידי אדם ויכול לגמרו ביום טוב לית ביה משום מוקצה</w:t>
      </w:r>
      <w:r>
        <w:rPr>
          <w:rFonts w:cs="Arial" w:hint="cs"/>
          <w:rtl/>
        </w:rPr>
        <w:t>.</w:t>
      </w:r>
      <w:r w:rsidRPr="00421C6A">
        <w:rPr>
          <w:rFonts w:cs="Arial"/>
          <w:rtl/>
        </w:rPr>
        <w:t xml:space="preserve"> </w:t>
      </w:r>
      <w:r w:rsidRPr="009E5682">
        <w:rPr>
          <w:rFonts w:hint="cs"/>
          <w:color w:val="00B0F0"/>
          <w:rtl/>
        </w:rPr>
        <w:t>(וכ"פ הרמ"א</w:t>
      </w:r>
      <w:r>
        <w:rPr>
          <w:rFonts w:hint="cs"/>
          <w:color w:val="00B0F0"/>
          <w:sz w:val="16"/>
          <w:szCs w:val="16"/>
          <w:rtl/>
        </w:rPr>
        <w:t xml:space="preserve"> </w:t>
      </w:r>
      <w:r w:rsidRPr="009E5682">
        <w:rPr>
          <w:rFonts w:hint="cs"/>
          <w:color w:val="000000" w:themeColor="text1"/>
          <w:sz w:val="16"/>
          <w:szCs w:val="16"/>
          <w:rtl/>
        </w:rPr>
        <w:t>[כה"ר אליהו]</w:t>
      </w:r>
      <w:r w:rsidRPr="009E5682">
        <w:rPr>
          <w:rFonts w:hint="cs"/>
          <w:color w:val="00B0F0"/>
          <w:rtl/>
        </w:rPr>
        <w:t>)</w:t>
      </w:r>
    </w:p>
    <w:p w14:paraId="686084BD" w14:textId="77777777" w:rsidR="004B2E7C" w:rsidRPr="006E4902" w:rsidRDefault="004B2E7C" w:rsidP="00434A6A">
      <w:pPr>
        <w:rPr>
          <w:u w:val="single"/>
        </w:rPr>
      </w:pPr>
      <w:r w:rsidRPr="006E4902">
        <w:rPr>
          <w:rFonts w:hint="cs"/>
          <w:u w:val="single"/>
          <w:rtl/>
        </w:rPr>
        <w:t>ישראל שנתן לגוי חומרי גלם לעשות מהם מלאכה:</w:t>
      </w:r>
    </w:p>
    <w:p w14:paraId="59D1407E" w14:textId="77777777" w:rsidR="004B2E7C" w:rsidRPr="00074C87" w:rsidRDefault="004B2E7C" w:rsidP="00FF2D21">
      <w:pPr>
        <w:pStyle w:val="aa"/>
        <w:numPr>
          <w:ilvl w:val="0"/>
          <w:numId w:val="115"/>
        </w:numPr>
        <w:rPr>
          <w:rtl/>
        </w:rPr>
      </w:pPr>
      <w:r w:rsidRPr="006E4902">
        <w:rPr>
          <w:rFonts w:cs="Arial"/>
          <w:rtl/>
        </w:rPr>
        <w:t xml:space="preserve">רוקח </w:t>
      </w:r>
      <w:r w:rsidRPr="006E4902">
        <w:rPr>
          <w:rFonts w:cs="Arial"/>
          <w:sz w:val="16"/>
          <w:szCs w:val="16"/>
          <w:rtl/>
        </w:rPr>
        <w:t>(סי' קלה)</w:t>
      </w:r>
      <w:r w:rsidRPr="006E4902">
        <w:rPr>
          <w:rFonts w:cs="Arial" w:hint="cs"/>
          <w:rtl/>
        </w:rPr>
        <w:t xml:space="preserve">- </w:t>
      </w:r>
      <w:r w:rsidRPr="006E4902">
        <w:rPr>
          <w:rFonts w:cs="Arial"/>
          <w:rtl/>
        </w:rPr>
        <w:t>אם נתן לגוי עצים לעשות לו כלי ועשה כלי</w:t>
      </w:r>
      <w:r w:rsidRPr="006E4902">
        <w:rPr>
          <w:rFonts w:cs="Arial" w:hint="cs"/>
          <w:rtl/>
        </w:rPr>
        <w:t>,</w:t>
      </w:r>
      <w:r w:rsidRPr="006E4902">
        <w:rPr>
          <w:rFonts w:cs="Arial"/>
          <w:rtl/>
        </w:rPr>
        <w:t xml:space="preserve"> או מטוה ועשה בגד</w:t>
      </w:r>
      <w:r w:rsidRPr="006E4902">
        <w:rPr>
          <w:rFonts w:cs="Arial" w:hint="cs"/>
          <w:rtl/>
        </w:rPr>
        <w:t>,</w:t>
      </w:r>
      <w:r w:rsidRPr="006E4902">
        <w:rPr>
          <w:rFonts w:cs="Arial"/>
          <w:rtl/>
        </w:rPr>
        <w:t xml:space="preserve"> דינו כמו עושה במחובר וכל שעושה בתוך התחום אסור</w:t>
      </w:r>
      <w:r w:rsidRPr="006E4902">
        <w:rPr>
          <w:rFonts w:cs="Arial" w:hint="cs"/>
          <w:rtl/>
        </w:rPr>
        <w:t>,</w:t>
      </w:r>
      <w:r w:rsidRPr="006E4902">
        <w:rPr>
          <w:rFonts w:cs="Arial"/>
          <w:rtl/>
        </w:rPr>
        <w:t xml:space="preserve"> ולא שרי אלא נותן עורות לעבדן וכלים לכובס שאינו התחלת הדבר</w:t>
      </w:r>
      <w:r w:rsidRPr="006E4902">
        <w:rPr>
          <w:rFonts w:cs="Arial" w:hint="cs"/>
          <w:rtl/>
        </w:rPr>
        <w:t>.</w:t>
      </w:r>
      <w:r w:rsidRPr="006E4902">
        <w:rPr>
          <w:rFonts w:cs="Arial"/>
          <w:rtl/>
        </w:rPr>
        <w:t xml:space="preserve"> וכן אם לא נתן לגוי העצים והמטוה אלא קצץ עמו לעשות לו כלי מותר</w:t>
      </w:r>
      <w:r>
        <w:rPr>
          <w:rStyle w:val="a9"/>
          <w:rFonts w:cs="Arial"/>
          <w:rtl/>
        </w:rPr>
        <w:footnoteReference w:id="350"/>
      </w:r>
      <w:r w:rsidRPr="006E4902">
        <w:rPr>
          <w:rFonts w:cs="Arial" w:hint="cs"/>
          <w:rtl/>
        </w:rPr>
        <w:t>.</w:t>
      </w:r>
      <w:r w:rsidRPr="006E4902">
        <w:rPr>
          <w:rFonts w:cs="Arial"/>
          <w:rtl/>
        </w:rPr>
        <w:t xml:space="preserve"> </w:t>
      </w:r>
    </w:p>
    <w:p w14:paraId="4BA408F3"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EF830AF" w14:textId="77777777" w:rsidR="004B2E7C" w:rsidRDefault="004B2E7C" w:rsidP="00434A6A">
      <w:pPr>
        <w:rPr>
          <w:rFonts w:cs="Arial"/>
          <w:rtl/>
        </w:rPr>
      </w:pPr>
      <w:r>
        <w:rPr>
          <w:rFonts w:cs="Arial"/>
          <w:rtl/>
        </w:rPr>
        <w:t>כל שקצץ אף על פי שיעשה הגוי מלאכה בשבת</w:t>
      </w:r>
      <w:r>
        <w:rPr>
          <w:rStyle w:val="a9"/>
          <w:rFonts w:cs="Arial"/>
          <w:rtl/>
        </w:rPr>
        <w:footnoteReference w:id="351"/>
      </w:r>
      <w:r>
        <w:rPr>
          <w:rFonts w:cs="Arial"/>
          <w:rtl/>
        </w:rPr>
        <w:t xml:space="preserve">, מותר לישראל ללבוש הכלי בשבת עצמה, דכל שקצץ, אדעתיה דנפשיה קא עביד. </w:t>
      </w:r>
      <w:r w:rsidRPr="006A1B03">
        <w:rPr>
          <w:rFonts w:cs="Arial"/>
          <w:sz w:val="18"/>
          <w:szCs w:val="18"/>
          <w:rtl/>
        </w:rPr>
        <w:t>הגה: ויש אוסרין</w:t>
      </w:r>
      <w:r>
        <w:rPr>
          <w:rStyle w:val="a9"/>
          <w:rFonts w:cs="Arial"/>
          <w:sz w:val="18"/>
          <w:szCs w:val="18"/>
          <w:rtl/>
        </w:rPr>
        <w:footnoteReference w:id="352"/>
      </w:r>
      <w:r w:rsidRPr="006A1B03">
        <w:rPr>
          <w:rFonts w:cs="Arial"/>
          <w:sz w:val="18"/>
          <w:szCs w:val="18"/>
          <w:rtl/>
        </w:rPr>
        <w:t xml:space="preserve"> ללובשו כל שידוע שהגוי גמרו בשבת (הג"א פ"ק דשבת ומהרי"ל וב"י בשם רוקח), וצריך להמתין במ"ש בכדי שיעשה</w:t>
      </w:r>
      <w:r>
        <w:rPr>
          <w:rStyle w:val="a9"/>
          <w:rFonts w:cs="Arial"/>
          <w:sz w:val="18"/>
          <w:szCs w:val="18"/>
          <w:rtl/>
        </w:rPr>
        <w:footnoteReference w:id="353"/>
      </w:r>
      <w:r w:rsidRPr="006A1B03">
        <w:rPr>
          <w:rFonts w:cs="Arial"/>
          <w:sz w:val="18"/>
          <w:szCs w:val="18"/>
          <w:rtl/>
        </w:rPr>
        <w:t>, והכי נהוג לכתחלה, אם לא שצריך אליו בשבת שאז יש להקל</w:t>
      </w:r>
      <w:r>
        <w:rPr>
          <w:rFonts w:cs="Arial" w:hint="cs"/>
          <w:sz w:val="18"/>
          <w:szCs w:val="18"/>
          <w:rtl/>
        </w:rPr>
        <w:t>.</w:t>
      </w:r>
      <w:r w:rsidRPr="006A1B03">
        <w:rPr>
          <w:rFonts w:cs="Arial"/>
          <w:sz w:val="18"/>
          <w:szCs w:val="18"/>
          <w:rtl/>
        </w:rPr>
        <w:t xml:space="preserve"> ואם יש לתלות שנגמר בע"ש, מותר בכל ענין</w:t>
      </w:r>
      <w:r>
        <w:rPr>
          <w:rStyle w:val="a9"/>
          <w:rFonts w:cs="Arial"/>
          <w:sz w:val="18"/>
          <w:szCs w:val="18"/>
          <w:rtl/>
        </w:rPr>
        <w:footnoteReference w:id="354"/>
      </w:r>
      <w:r w:rsidRPr="006A1B03">
        <w:rPr>
          <w:rFonts w:cs="Arial"/>
          <w:sz w:val="18"/>
          <w:szCs w:val="18"/>
          <w:rtl/>
        </w:rPr>
        <w:t xml:space="preserve"> (הגהות אלפסי). ודוקא אם שגר לו הגוי לביתו, אבל אסור ליקח כלים מבית האומן בשבת ויו"ט</w:t>
      </w:r>
      <w:r>
        <w:rPr>
          <w:rStyle w:val="a9"/>
          <w:rFonts w:cs="Arial"/>
          <w:sz w:val="18"/>
          <w:szCs w:val="18"/>
          <w:rtl/>
        </w:rPr>
        <w:footnoteReference w:id="355"/>
      </w:r>
      <w:r w:rsidRPr="006A1B03">
        <w:rPr>
          <w:rFonts w:cs="Arial"/>
          <w:sz w:val="18"/>
          <w:szCs w:val="18"/>
          <w:rtl/>
        </w:rPr>
        <w:t xml:space="preserve"> (מרדכי פ"ק דיו"ט וא"ז והגמ"י פ"ב מה' יום טוב והג"א פרק אין צדין). וכל זה בכלים שעשה לישראל (ב"י), אבל גוי שעושה מנעלים על המקח, מותר לישראל המכירו לילך וליקח ממנו בשבת ולנועלם</w:t>
      </w:r>
      <w:r>
        <w:rPr>
          <w:rStyle w:val="a9"/>
          <w:rFonts w:cs="Arial"/>
          <w:sz w:val="18"/>
          <w:szCs w:val="18"/>
          <w:rtl/>
        </w:rPr>
        <w:footnoteReference w:id="356"/>
      </w:r>
      <w:r w:rsidRPr="006A1B03">
        <w:rPr>
          <w:rFonts w:cs="Arial"/>
          <w:sz w:val="18"/>
          <w:szCs w:val="18"/>
          <w:rtl/>
        </w:rPr>
        <w:t>, ובלבד שלא יקצוץ עמו דמי המקח</w:t>
      </w:r>
      <w:r>
        <w:rPr>
          <w:rStyle w:val="a9"/>
          <w:rFonts w:cs="Arial"/>
          <w:sz w:val="18"/>
          <w:szCs w:val="18"/>
          <w:rtl/>
        </w:rPr>
        <w:footnoteReference w:id="357"/>
      </w:r>
      <w:r w:rsidRPr="006A1B03">
        <w:rPr>
          <w:rFonts w:cs="Arial"/>
          <w:sz w:val="18"/>
          <w:szCs w:val="18"/>
          <w:rtl/>
        </w:rPr>
        <w:t xml:space="preserve"> (הג"א פרק אין צדין).</w:t>
      </w:r>
    </w:p>
    <w:p w14:paraId="4270A4AE" w14:textId="77777777" w:rsidR="004B2E7C" w:rsidRDefault="004B2E7C" w:rsidP="00434A6A">
      <w:pPr>
        <w:rPr>
          <w:rtl/>
        </w:rPr>
      </w:pPr>
      <w:r>
        <w:rPr>
          <w:rFonts w:cs="Arial"/>
          <w:rtl/>
        </w:rPr>
        <w:t xml:space="preserve"> </w:t>
      </w:r>
    </w:p>
    <w:p w14:paraId="766A91D5" w14:textId="77777777" w:rsidR="004B2E7C" w:rsidRDefault="004B2E7C" w:rsidP="00434A6A">
      <w:pPr>
        <w:pStyle w:val="2"/>
        <w:rPr>
          <w:rtl/>
        </w:rPr>
      </w:pPr>
      <w:r>
        <w:rPr>
          <w:rtl/>
        </w:rPr>
        <w:t>סעיף ה</w:t>
      </w:r>
      <w:r>
        <w:rPr>
          <w:rFonts w:hint="cs"/>
          <w:rtl/>
        </w:rPr>
        <w:t>:</w:t>
      </w:r>
      <w:r w:rsidRPr="001C7C1B">
        <w:rPr>
          <w:rFonts w:hint="cs"/>
          <w:rtl/>
        </w:rPr>
        <w:t xml:space="preserve"> </w:t>
      </w:r>
      <w:r>
        <w:rPr>
          <w:rFonts w:hint="cs"/>
          <w:rtl/>
        </w:rPr>
        <w:t>עשיית מלאכה בערב שבת שתמשיך מאליה בשבת.</w:t>
      </w:r>
    </w:p>
    <w:p w14:paraId="7169846C" w14:textId="77777777" w:rsidR="004B2E7C" w:rsidRPr="00D704C7" w:rsidRDefault="004B2E7C" w:rsidP="00434A6A">
      <w:pPr>
        <w:rPr>
          <w:rtl/>
        </w:rPr>
      </w:pPr>
      <w:r w:rsidRPr="000C4F52">
        <w:rPr>
          <w:rFonts w:cs="Arial" w:hint="cs"/>
          <w:b/>
          <w:bCs/>
          <w:rtl/>
        </w:rPr>
        <w:t xml:space="preserve">שבת </w:t>
      </w:r>
      <w:r w:rsidRPr="000C4F52">
        <w:rPr>
          <w:rFonts w:cs="Arial" w:hint="cs"/>
          <w:b/>
          <w:bCs/>
          <w:sz w:val="16"/>
          <w:szCs w:val="16"/>
          <w:rtl/>
        </w:rPr>
        <w:t xml:space="preserve">(פ"ק) </w:t>
      </w:r>
      <w:r w:rsidRPr="000C4F52">
        <w:rPr>
          <w:rFonts w:cs="Arial" w:hint="cs"/>
          <w:b/>
          <w:bCs/>
          <w:rtl/>
        </w:rPr>
        <w:t xml:space="preserve">יז ע"ב: </w:t>
      </w:r>
      <w:r w:rsidRPr="000C4F52">
        <w:rPr>
          <w:rFonts w:cs="Arial"/>
          <w:u w:val="double"/>
          <w:rtl/>
        </w:rPr>
        <w:t>משנה</w:t>
      </w:r>
      <w:r>
        <w:rPr>
          <w:rFonts w:cs="Arial" w:hint="cs"/>
          <w:rtl/>
        </w:rPr>
        <w:t>:</w:t>
      </w:r>
      <w:r w:rsidRPr="000C4F52">
        <w:rPr>
          <w:rFonts w:cs="Arial"/>
          <w:rtl/>
        </w:rPr>
        <w:t xml:space="preserve"> </w:t>
      </w:r>
      <w:r w:rsidRPr="000C4F52">
        <w:rPr>
          <w:rFonts w:cs="Arial"/>
          <w:u w:val="single"/>
          <w:rtl/>
        </w:rPr>
        <w:t>בית שמאי אומרים</w:t>
      </w:r>
      <w:r w:rsidRPr="000C4F52">
        <w:rPr>
          <w:rFonts w:cs="Arial"/>
          <w:rtl/>
        </w:rPr>
        <w:t xml:space="preserve">: אין שורין דיו וסמנים וכרשינין אלא כדי שישורו מבעוד יום, </w:t>
      </w:r>
      <w:r w:rsidRPr="000C4F52">
        <w:rPr>
          <w:rFonts w:cs="Arial"/>
          <w:u w:val="single"/>
          <w:rtl/>
        </w:rPr>
        <w:t xml:space="preserve">ובית הלל </w:t>
      </w:r>
      <w:r w:rsidRPr="000C4F52">
        <w:rPr>
          <w:rFonts w:cs="Arial"/>
          <w:rtl/>
        </w:rPr>
        <w:t>מתירין.</w:t>
      </w:r>
      <w:r>
        <w:rPr>
          <w:rFonts w:cs="Arial" w:hint="cs"/>
          <w:rtl/>
        </w:rPr>
        <w:t>..</w:t>
      </w:r>
      <w:r w:rsidRPr="000C4F52">
        <w:rPr>
          <w:rFonts w:cs="Arial"/>
          <w:rtl/>
        </w:rPr>
        <w:t xml:space="preserve"> </w:t>
      </w:r>
      <w:r w:rsidRPr="000C4F52">
        <w:rPr>
          <w:rFonts w:cs="Arial"/>
          <w:u w:val="single"/>
          <w:rtl/>
        </w:rPr>
        <w:t>בית שמאי אומרים</w:t>
      </w:r>
      <w:r w:rsidRPr="000C4F52">
        <w:rPr>
          <w:rFonts w:cs="Arial"/>
          <w:rtl/>
        </w:rPr>
        <w:t xml:space="preserve">: אין פורסין מצודות חיה ועופות ודגים אלא כדי שיצודו מבעוד יום, </w:t>
      </w:r>
      <w:r w:rsidRPr="000C4F52">
        <w:rPr>
          <w:rFonts w:cs="Arial"/>
          <w:u w:val="single"/>
          <w:rtl/>
        </w:rPr>
        <w:t>ובית הלל</w:t>
      </w:r>
      <w:r>
        <w:rPr>
          <w:rFonts w:cs="Arial" w:hint="cs"/>
          <w:rtl/>
        </w:rPr>
        <w:t xml:space="preserve"> </w:t>
      </w:r>
      <w:r w:rsidRPr="000C4F52">
        <w:rPr>
          <w:rFonts w:cs="Arial"/>
          <w:rtl/>
        </w:rPr>
        <w:t>מתירין.</w:t>
      </w:r>
      <w:r>
        <w:rPr>
          <w:rFonts w:cs="Arial" w:hint="cs"/>
          <w:rtl/>
        </w:rPr>
        <w:t>..</w:t>
      </w:r>
      <w:r w:rsidRPr="000C4F52">
        <w:rPr>
          <w:rFonts w:cs="Arial"/>
          <w:rtl/>
        </w:rPr>
        <w:t xml:space="preserve"> </w:t>
      </w:r>
      <w:r>
        <w:rPr>
          <w:rFonts w:hint="cs"/>
          <w:sz w:val="14"/>
          <w:szCs w:val="14"/>
          <w:rtl/>
        </w:rPr>
        <w:t xml:space="preserve">(יח.) </w:t>
      </w:r>
      <w:r w:rsidRPr="000C4F52">
        <w:rPr>
          <w:rFonts w:cs="Arial"/>
          <w:rtl/>
        </w:rPr>
        <w:t>ושוין אלו ואלו שטוענין קורת בית הבד ועגולי הגת.</w:t>
      </w:r>
      <w:r>
        <w:rPr>
          <w:rFonts w:hint="cs"/>
          <w:rtl/>
        </w:rPr>
        <w:t xml:space="preserve">        </w:t>
      </w:r>
      <w:r w:rsidRPr="00B837C7">
        <w:rPr>
          <w:rFonts w:hint="cs"/>
          <w:u w:val="double"/>
          <w:rtl/>
        </w:rPr>
        <w:t>גמרא</w:t>
      </w:r>
      <w:r w:rsidRPr="00B837C7">
        <w:rPr>
          <w:rFonts w:hint="cs"/>
          <w:sz w:val="14"/>
          <w:szCs w:val="14"/>
          <w:u w:val="double"/>
          <w:rtl/>
        </w:rPr>
        <w:t xml:space="preserve"> (יט.)</w:t>
      </w:r>
      <w:r w:rsidRPr="00B837C7">
        <w:rPr>
          <w:rFonts w:hint="cs"/>
          <w:u w:val="double"/>
          <w:rtl/>
        </w:rPr>
        <w:t>:</w:t>
      </w:r>
      <w:r>
        <w:rPr>
          <w:rFonts w:hint="cs"/>
          <w:rtl/>
        </w:rPr>
        <w:t xml:space="preserve"> </w:t>
      </w:r>
      <w:r w:rsidRPr="00B837C7">
        <w:rPr>
          <w:rFonts w:cs="Arial"/>
          <w:rtl/>
        </w:rPr>
        <w:t>ושוין אלו ואלו שטוענין כו'.</w:t>
      </w:r>
      <w:r>
        <w:rPr>
          <w:rFonts w:cs="Arial" w:hint="cs"/>
          <w:rtl/>
        </w:rPr>
        <w:t>.</w:t>
      </w:r>
      <w:r w:rsidRPr="00B837C7">
        <w:rPr>
          <w:rFonts w:cs="Arial"/>
          <w:rtl/>
        </w:rPr>
        <w:t xml:space="preserve">. מאן תנא דכל מידי דאתי ממילא שפיר דמי? </w:t>
      </w:r>
      <w:r w:rsidRPr="00B837C7">
        <w:rPr>
          <w:rFonts w:cs="Arial"/>
          <w:u w:val="single"/>
          <w:rtl/>
        </w:rPr>
        <w:t>אמר רבי יוסי בר</w:t>
      </w:r>
      <w:r w:rsidRPr="00B837C7">
        <w:rPr>
          <w:rFonts w:cs="Arial" w:hint="cs"/>
          <w:u w:val="single"/>
          <w:rtl/>
        </w:rPr>
        <w:t>בי</w:t>
      </w:r>
      <w:r w:rsidRPr="00B837C7">
        <w:rPr>
          <w:rFonts w:cs="Arial"/>
          <w:u w:val="single"/>
          <w:rtl/>
        </w:rPr>
        <w:t xml:space="preserve"> חנינא</w:t>
      </w:r>
      <w:r w:rsidRPr="00B837C7">
        <w:rPr>
          <w:rFonts w:cs="Arial"/>
          <w:rtl/>
        </w:rPr>
        <w:t xml:space="preserve">: רבי ישמעאל היא. דתנן: השום והבוסר והמלילות שרסקן מבעוד </w:t>
      </w:r>
      <w:r w:rsidRPr="007F3B59">
        <w:rPr>
          <w:rFonts w:cs="Arial"/>
          <w:rtl/>
        </w:rPr>
        <w:t>יום, רבי ישמעאל אומר: יגמור משתחשך, ורבי עקיבא אומר:</w:t>
      </w:r>
      <w:r w:rsidRPr="007F3B59">
        <w:rPr>
          <w:rFonts w:cs="Arial" w:hint="cs"/>
          <w:sz w:val="14"/>
          <w:szCs w:val="14"/>
          <w:rtl/>
        </w:rPr>
        <w:t>(יט:)</w:t>
      </w:r>
      <w:r>
        <w:rPr>
          <w:rFonts w:cs="Arial" w:hint="cs"/>
          <w:sz w:val="14"/>
          <w:szCs w:val="14"/>
          <w:rtl/>
        </w:rPr>
        <w:t xml:space="preserve"> </w:t>
      </w:r>
      <w:r w:rsidRPr="00B837C7">
        <w:rPr>
          <w:rFonts w:cs="Arial"/>
          <w:rtl/>
        </w:rPr>
        <w:t xml:space="preserve">לא יגמור. </w:t>
      </w:r>
      <w:r w:rsidRPr="007F3B59">
        <w:rPr>
          <w:rFonts w:cs="Arial"/>
          <w:u w:val="single"/>
          <w:rtl/>
        </w:rPr>
        <w:t>ורבי אלעזר אמר</w:t>
      </w:r>
      <w:r w:rsidRPr="00B837C7">
        <w:rPr>
          <w:rFonts w:cs="Arial"/>
          <w:rtl/>
        </w:rPr>
        <w:t xml:space="preserve">: רבי אלעזר היא. דתנן: חלות דבש שריסקן בערב שבת ויצאו </w:t>
      </w:r>
      <w:r w:rsidRPr="007F3B59">
        <w:rPr>
          <w:rFonts w:cs="Arial"/>
          <w:rtl/>
        </w:rPr>
        <w:t>מעצמן - אסור, ורבי אלעזר מתיר</w:t>
      </w:r>
      <w:r w:rsidRPr="00B837C7">
        <w:rPr>
          <w:rFonts w:cs="Arial"/>
          <w:rtl/>
        </w:rPr>
        <w:t>.</w:t>
      </w:r>
      <w:r>
        <w:rPr>
          <w:rFonts w:cs="Arial" w:hint="cs"/>
          <w:rtl/>
        </w:rPr>
        <w:t>..</w:t>
      </w:r>
      <w:r w:rsidRPr="00B837C7">
        <w:rPr>
          <w:rFonts w:cs="Arial"/>
          <w:rtl/>
        </w:rPr>
        <w:t xml:space="preserve"> ורבי אלעזר מאי טעמא לא אמר כרבי יוסי בר חנינא? אמר לך: לאו איתמר עלה, אמר רבא בר חנינא אמר רבי יוחנן: במחוסרין דיכה - דכולי עלמא לא פליגי, כי פליגי - במחוסרין שחיקה, והני נמי - כמחוסרין דיכה דמו. הורה רבי יוסי בר חנינא כרבי ישמעאל.</w:t>
      </w:r>
    </w:p>
    <w:p w14:paraId="780A20BC" w14:textId="77777777" w:rsidR="004B2E7C" w:rsidRDefault="004B2E7C" w:rsidP="00434A6A">
      <w:pPr>
        <w:rPr>
          <w:rtl/>
        </w:rPr>
      </w:pPr>
      <w:r w:rsidRPr="000C4F52">
        <w:rPr>
          <w:rFonts w:cs="Arial" w:hint="cs"/>
          <w:b/>
          <w:bCs/>
          <w:rtl/>
        </w:rPr>
        <w:t xml:space="preserve">שבת </w:t>
      </w:r>
      <w:r w:rsidRPr="000C4F52">
        <w:rPr>
          <w:rFonts w:cs="Arial" w:hint="cs"/>
          <w:b/>
          <w:bCs/>
          <w:sz w:val="16"/>
          <w:szCs w:val="16"/>
          <w:rtl/>
        </w:rPr>
        <w:t xml:space="preserve">(פ"ק) </w:t>
      </w:r>
      <w:r w:rsidRPr="000C4F52">
        <w:rPr>
          <w:rFonts w:cs="Arial" w:hint="cs"/>
          <w:b/>
          <w:bCs/>
          <w:rtl/>
        </w:rPr>
        <w:t>י</w:t>
      </w:r>
      <w:r>
        <w:rPr>
          <w:rFonts w:cs="Arial" w:hint="cs"/>
          <w:b/>
          <w:bCs/>
          <w:rtl/>
        </w:rPr>
        <w:t>ח</w:t>
      </w:r>
      <w:r w:rsidRPr="000C4F52">
        <w:rPr>
          <w:rFonts w:cs="Arial" w:hint="cs"/>
          <w:b/>
          <w:bCs/>
          <w:rtl/>
        </w:rPr>
        <w:t xml:space="preserve"> ע"</w:t>
      </w:r>
      <w:r>
        <w:rPr>
          <w:rFonts w:cs="Arial" w:hint="cs"/>
          <w:b/>
          <w:bCs/>
          <w:rtl/>
        </w:rPr>
        <w:t>א</w:t>
      </w:r>
      <w:r w:rsidRPr="000C4F52">
        <w:rPr>
          <w:rFonts w:cs="Arial" w:hint="cs"/>
          <w:b/>
          <w:bCs/>
          <w:rtl/>
        </w:rPr>
        <w:t>:</w:t>
      </w:r>
      <w:r>
        <w:rPr>
          <w:rFonts w:cs="Arial" w:hint="cs"/>
          <w:rtl/>
        </w:rPr>
        <w:t xml:space="preserve"> </w:t>
      </w:r>
      <w:r w:rsidRPr="00B165EB">
        <w:rPr>
          <w:rFonts w:cs="Arial"/>
          <w:rtl/>
        </w:rPr>
        <w:t>תנו רבנן: פותקין מים לגינה ערב שבת עם חשיכה, ומתמלאת והולכת כל היום כולו. ומניחין מוגמר תחת הכלים</w:t>
      </w:r>
      <w:r>
        <w:rPr>
          <w:rFonts w:cs="Arial" w:hint="cs"/>
          <w:rtl/>
        </w:rPr>
        <w:t xml:space="preserve">, </w:t>
      </w:r>
      <w:r w:rsidRPr="00B165EB">
        <w:rPr>
          <w:rFonts w:cs="Arial"/>
          <w:rtl/>
        </w:rPr>
        <w:t>ומתגמרין והולכין כל היום כולו. ומניחין גפרית תחת הכלים</w:t>
      </w:r>
      <w:r>
        <w:rPr>
          <w:rFonts w:cs="Arial" w:hint="cs"/>
          <w:rtl/>
        </w:rPr>
        <w:t>,</w:t>
      </w:r>
      <w:r w:rsidRPr="00B165EB">
        <w:rPr>
          <w:rFonts w:cs="Arial"/>
          <w:rtl/>
        </w:rPr>
        <w:t xml:space="preserve"> ומתגפרין והולכין כל השבת כולה. ומניחין קילור על גבי העין, ואיספלנית על גבי מכה</w:t>
      </w:r>
      <w:r>
        <w:rPr>
          <w:rFonts w:cs="Arial" w:hint="cs"/>
          <w:rtl/>
        </w:rPr>
        <w:t>,</w:t>
      </w:r>
      <w:r w:rsidRPr="00B165EB">
        <w:rPr>
          <w:rFonts w:cs="Arial"/>
          <w:rtl/>
        </w:rPr>
        <w:t xml:space="preserve"> ומתרפאת והולכת כל היום כולו</w:t>
      </w:r>
      <w:r w:rsidRPr="00EB0622">
        <w:rPr>
          <w:rFonts w:cs="Arial"/>
          <w:rtl/>
        </w:rPr>
        <w:t>.</w:t>
      </w:r>
    </w:p>
    <w:p w14:paraId="3796D617" w14:textId="77777777" w:rsidR="004B2E7C" w:rsidRPr="001C7C1B" w:rsidRDefault="004B2E7C" w:rsidP="00434A6A">
      <w:pPr>
        <w:rPr>
          <w:u w:val="single"/>
          <w:rtl/>
        </w:rPr>
      </w:pPr>
      <w:r w:rsidRPr="001C7C1B">
        <w:rPr>
          <w:rFonts w:hint="cs"/>
          <w:u w:val="single"/>
          <w:rtl/>
        </w:rPr>
        <w:t>עשיית מלאכה בערב שבת שתמשיך מאליה בשבת:</w:t>
      </w:r>
    </w:p>
    <w:p w14:paraId="30A00BB2" w14:textId="77777777" w:rsidR="004B2E7C" w:rsidRDefault="004B2E7C" w:rsidP="00FF2D21">
      <w:pPr>
        <w:pStyle w:val="aa"/>
        <w:numPr>
          <w:ilvl w:val="0"/>
          <w:numId w:val="112"/>
        </w:numPr>
      </w:pPr>
      <w:r>
        <w:rPr>
          <w:rFonts w:cs="Arial" w:hint="cs"/>
          <w:rtl/>
        </w:rPr>
        <w:t>טור-</w:t>
      </w:r>
      <w:r w:rsidRPr="00074C87">
        <w:rPr>
          <w:rFonts w:cs="Arial"/>
          <w:rtl/>
        </w:rPr>
        <w:t xml:space="preserve"> ומותר לפתוח מים לגנה</w:t>
      </w:r>
      <w:r>
        <w:rPr>
          <w:rFonts w:cs="Arial" w:hint="cs"/>
          <w:rtl/>
        </w:rPr>
        <w:t>,</w:t>
      </w:r>
      <w:r w:rsidRPr="00074C87">
        <w:rPr>
          <w:rFonts w:cs="Arial"/>
          <w:rtl/>
        </w:rPr>
        <w:t xml:space="preserve"> והם נמשכין והולכין בכל השבת</w:t>
      </w:r>
      <w:r>
        <w:rPr>
          <w:rFonts w:cs="Arial" w:hint="cs"/>
          <w:rtl/>
        </w:rPr>
        <w:t>.</w:t>
      </w:r>
      <w:r w:rsidRPr="00074C87">
        <w:rPr>
          <w:rFonts w:cs="Arial"/>
          <w:rtl/>
        </w:rPr>
        <w:t xml:space="preserve"> ולהניח קילור עבה על העין</w:t>
      </w:r>
      <w:r>
        <w:rPr>
          <w:rFonts w:cs="Arial" w:hint="cs"/>
          <w:rtl/>
        </w:rPr>
        <w:t>,</w:t>
      </w:r>
      <w:r w:rsidRPr="00074C87">
        <w:rPr>
          <w:rFonts w:cs="Arial"/>
          <w:rtl/>
        </w:rPr>
        <w:t xml:space="preserve"> אף על פי שאסור בשבת משום ממרח</w:t>
      </w:r>
      <w:r>
        <w:rPr>
          <w:rFonts w:cs="Arial" w:hint="cs"/>
          <w:rtl/>
        </w:rPr>
        <w:t>.</w:t>
      </w:r>
      <w:r w:rsidRPr="00074C87">
        <w:rPr>
          <w:rFonts w:cs="Arial"/>
          <w:rtl/>
        </w:rPr>
        <w:t xml:space="preserve"> אבל קילור רך וצלול אפי' בשבת מותר להניחה ע"ג העין</w:t>
      </w:r>
      <w:r>
        <w:rPr>
          <w:rStyle w:val="a9"/>
          <w:rFonts w:cs="Arial"/>
          <w:rtl/>
        </w:rPr>
        <w:footnoteReference w:id="358"/>
      </w:r>
      <w:r>
        <w:rPr>
          <w:rFonts w:cs="Arial" w:hint="cs"/>
          <w:rtl/>
        </w:rPr>
        <w:t>.</w:t>
      </w:r>
      <w:r w:rsidRPr="00074C87">
        <w:rPr>
          <w:rFonts w:cs="Arial"/>
          <w:rtl/>
        </w:rPr>
        <w:t xml:space="preserve"> ומותר לתת מוגמר תחת הכלים</w:t>
      </w:r>
      <w:r>
        <w:rPr>
          <w:rFonts w:cs="Arial" w:hint="cs"/>
          <w:rtl/>
        </w:rPr>
        <w:t>,</w:t>
      </w:r>
      <w:r w:rsidRPr="00074C87">
        <w:rPr>
          <w:rFonts w:cs="Arial"/>
          <w:rtl/>
        </w:rPr>
        <w:t xml:space="preserve"> והם מתגמרים מאליהן כל השבת</w:t>
      </w:r>
      <w:r>
        <w:rPr>
          <w:rFonts w:cs="Arial" w:hint="cs"/>
          <w:rtl/>
        </w:rPr>
        <w:t>.</w:t>
      </w:r>
      <w:r w:rsidRPr="00074C87">
        <w:rPr>
          <w:rFonts w:cs="Arial"/>
          <w:rtl/>
        </w:rPr>
        <w:t xml:space="preserve"> ולתת שעורין בגיגית לשרותן</w:t>
      </w:r>
      <w:r>
        <w:rPr>
          <w:rStyle w:val="a9"/>
          <w:rFonts w:cs="Arial"/>
          <w:rtl/>
        </w:rPr>
        <w:footnoteReference w:id="359"/>
      </w:r>
      <w:r>
        <w:rPr>
          <w:rFonts w:cs="Arial" w:hint="cs"/>
          <w:rtl/>
        </w:rPr>
        <w:t>.</w:t>
      </w:r>
      <w:r w:rsidRPr="00074C87">
        <w:rPr>
          <w:rFonts w:cs="Arial"/>
          <w:rtl/>
        </w:rPr>
        <w:t xml:space="preserve"> ולתת גחלים בכלי והן דולקין והולכין כל השבת</w:t>
      </w:r>
      <w:r>
        <w:rPr>
          <w:rFonts w:cs="Arial" w:hint="cs"/>
          <w:rtl/>
        </w:rPr>
        <w:t>,</w:t>
      </w:r>
      <w:r w:rsidRPr="00074C87">
        <w:rPr>
          <w:rFonts w:cs="Arial"/>
          <w:rtl/>
        </w:rPr>
        <w:t xml:space="preserve"> אף על פי שמשתמש בכלי</w:t>
      </w:r>
      <w:r>
        <w:rPr>
          <w:rStyle w:val="a9"/>
          <w:rFonts w:cs="Arial"/>
          <w:rtl/>
        </w:rPr>
        <w:footnoteReference w:id="360"/>
      </w:r>
      <w:r>
        <w:rPr>
          <w:rFonts w:cs="Arial" w:hint="cs"/>
          <w:rtl/>
        </w:rPr>
        <w:t>,</w:t>
      </w:r>
      <w:r w:rsidRPr="00074C87">
        <w:rPr>
          <w:rFonts w:cs="Arial"/>
          <w:rtl/>
        </w:rPr>
        <w:t xml:space="preserve"> דקי"ל שביתת כלים לאו דאורייתא</w:t>
      </w:r>
      <w:r>
        <w:rPr>
          <w:rStyle w:val="a9"/>
          <w:rFonts w:cs="Arial"/>
          <w:rtl/>
        </w:rPr>
        <w:footnoteReference w:id="361"/>
      </w:r>
      <w:r>
        <w:rPr>
          <w:rFonts w:cs="Arial" w:hint="cs"/>
          <w:rtl/>
        </w:rPr>
        <w:t>,</w:t>
      </w:r>
      <w:r w:rsidRPr="00074C87">
        <w:rPr>
          <w:rFonts w:cs="Arial"/>
          <w:rtl/>
        </w:rPr>
        <w:t xml:space="preserve"> ואפי' אם הכלי עושה מעשה בשבת</w:t>
      </w:r>
      <w:r>
        <w:rPr>
          <w:rFonts w:cs="Arial" w:hint="cs"/>
          <w:rtl/>
        </w:rPr>
        <w:t>.</w:t>
      </w:r>
      <w:r w:rsidRPr="00074C87">
        <w:rPr>
          <w:rFonts w:cs="Arial"/>
          <w:rtl/>
        </w:rPr>
        <w:t xml:space="preserve"> </w:t>
      </w:r>
      <w:r w:rsidRPr="006E4902">
        <w:rPr>
          <w:rFonts w:cs="Arial" w:hint="cs"/>
          <w:color w:val="E36C0A" w:themeColor="accent6" w:themeShade="BF"/>
          <w:rtl/>
        </w:rPr>
        <w:t>(וכ"פ בשו"ע)</w:t>
      </w:r>
    </w:p>
    <w:p w14:paraId="06ED6F41" w14:textId="77777777" w:rsidR="004B2E7C" w:rsidRDefault="004B2E7C" w:rsidP="00434A6A">
      <w:r w:rsidRPr="000C4F52">
        <w:rPr>
          <w:rFonts w:cs="Arial" w:hint="cs"/>
          <w:b/>
          <w:bCs/>
          <w:rtl/>
        </w:rPr>
        <w:t xml:space="preserve">שבת </w:t>
      </w:r>
      <w:r w:rsidRPr="000C4F52">
        <w:rPr>
          <w:rFonts w:cs="Arial" w:hint="cs"/>
          <w:b/>
          <w:bCs/>
          <w:sz w:val="16"/>
          <w:szCs w:val="16"/>
          <w:rtl/>
        </w:rPr>
        <w:t xml:space="preserve">(פ"ק) </w:t>
      </w:r>
      <w:r w:rsidRPr="000C4F52">
        <w:rPr>
          <w:rFonts w:cs="Arial" w:hint="cs"/>
          <w:b/>
          <w:bCs/>
          <w:rtl/>
        </w:rPr>
        <w:t>י</w:t>
      </w:r>
      <w:r>
        <w:rPr>
          <w:rFonts w:cs="Arial" w:hint="cs"/>
          <w:b/>
          <w:bCs/>
          <w:rtl/>
        </w:rPr>
        <w:t>ח</w:t>
      </w:r>
      <w:r w:rsidRPr="000C4F52">
        <w:rPr>
          <w:rFonts w:cs="Arial" w:hint="cs"/>
          <w:b/>
          <w:bCs/>
          <w:rtl/>
        </w:rPr>
        <w:t xml:space="preserve"> ע"</w:t>
      </w:r>
      <w:r>
        <w:rPr>
          <w:rFonts w:cs="Arial" w:hint="cs"/>
          <w:b/>
          <w:bCs/>
          <w:rtl/>
        </w:rPr>
        <w:t>א</w:t>
      </w:r>
      <w:r w:rsidRPr="000C4F52">
        <w:rPr>
          <w:rFonts w:cs="Arial" w:hint="cs"/>
          <w:b/>
          <w:bCs/>
          <w:rtl/>
        </w:rPr>
        <w:t>:</w:t>
      </w:r>
      <w:r>
        <w:rPr>
          <w:rFonts w:cs="Arial" w:hint="cs"/>
          <w:rtl/>
        </w:rPr>
        <w:t xml:space="preserve"> </w:t>
      </w:r>
      <w:r w:rsidRPr="00B165EB">
        <w:rPr>
          <w:rFonts w:cs="Arial"/>
          <w:rtl/>
        </w:rPr>
        <w:t>תנו רבנן:</w:t>
      </w:r>
      <w:r>
        <w:rPr>
          <w:rFonts w:cs="Arial" w:hint="cs"/>
          <w:rtl/>
        </w:rPr>
        <w:t>...</w:t>
      </w:r>
      <w:r w:rsidRPr="00B165EB">
        <w:rPr>
          <w:rFonts w:cs="Arial"/>
          <w:rtl/>
        </w:rPr>
        <w:t xml:space="preserve"> אבל אין נותנין חטין לתוך הריחים של מים אלא בכדי שיטחנו מבעוד יום. מאי טעמא? </w:t>
      </w:r>
      <w:r w:rsidRPr="00B165EB">
        <w:rPr>
          <w:rFonts w:cs="Arial"/>
          <w:u w:val="single"/>
          <w:rtl/>
        </w:rPr>
        <w:t>אמר רבה</w:t>
      </w:r>
      <w:r w:rsidRPr="00B165EB">
        <w:rPr>
          <w:rFonts w:cs="Arial"/>
          <w:rtl/>
        </w:rPr>
        <w:t xml:space="preserve">: מפני שמשמעת קול. </w:t>
      </w:r>
      <w:r w:rsidRPr="00D704C7">
        <w:rPr>
          <w:rFonts w:cs="Arial"/>
          <w:u w:val="single"/>
          <w:rtl/>
        </w:rPr>
        <w:t>אמר ליה רב יוסף</w:t>
      </w:r>
      <w:r w:rsidRPr="00D704C7">
        <w:rPr>
          <w:rFonts w:cs="Arial"/>
          <w:rtl/>
        </w:rPr>
        <w:t xml:space="preserve">: ולימא מר משום שביתת כלים! דתניא: ובכל אשר אמרתי אליכם תשמרו - לרבות שביתת כלים. </w:t>
      </w:r>
      <w:r w:rsidRPr="00D704C7">
        <w:rPr>
          <w:rFonts w:cs="Arial"/>
          <w:u w:val="single"/>
          <w:rtl/>
        </w:rPr>
        <w:t>אלא אמר רב יוסף</w:t>
      </w:r>
      <w:r w:rsidRPr="00D704C7">
        <w:rPr>
          <w:rFonts w:cs="Arial"/>
          <w:rtl/>
        </w:rPr>
        <w:t>: משום שביתת כלים. והשתא דאמרת לבית הלל אית להו שביתת כלים דאורייתא - גפרית ומוגמר, מאי טעמא שרו? משום דלא קעביד מעשה. אונין של פשתן מאי טעמא שרו? משום דלא עביד מעשה, ומינח נייחא. מצודות חיה ועוף ודגים, דקא עביד מעשה, מאי טעמא שרו? התם נמי, בלחי וקוקרי, דלא קעביד מעשה. והשתא דאמר רב אושעיא אמר רב אסי: מאן תנא שביתת כלים דאורייתא - בית שמאי היא ולא בית הלל. לבית שמאי, בין דקעביד מעשה בין דלא קעביד מעשה - אסור. לבית הלל, אף על גב דקעביד מעשה - שרי</w:t>
      </w:r>
      <w:r>
        <w:rPr>
          <w:rStyle w:val="a9"/>
          <w:rFonts w:cs="Arial"/>
          <w:rtl/>
        </w:rPr>
        <w:footnoteReference w:id="362"/>
      </w:r>
      <w:r w:rsidRPr="00D704C7">
        <w:rPr>
          <w:rFonts w:cs="Arial"/>
          <w:rtl/>
        </w:rPr>
        <w:t>. והשתא דאמרת: דלבית שמאי אף על גב דלא עביד מעשה - אסור, אי הכי</w:t>
      </w:r>
      <w:r>
        <w:rPr>
          <w:rFonts w:cs="Arial" w:hint="cs"/>
          <w:sz w:val="14"/>
          <w:szCs w:val="14"/>
          <w:rtl/>
        </w:rPr>
        <w:t xml:space="preserve"> (יח:)</w:t>
      </w:r>
      <w:r w:rsidRPr="00EB0622">
        <w:rPr>
          <w:rtl/>
        </w:rPr>
        <w:t xml:space="preserve"> </w:t>
      </w:r>
      <w:r w:rsidRPr="00EB0622">
        <w:rPr>
          <w:rFonts w:cs="Arial"/>
          <w:rtl/>
        </w:rPr>
        <w:t>מוגמר וגפרית מאי טעמא שרו בית שמאי? התם מנח אארעא.</w:t>
      </w:r>
    </w:p>
    <w:p w14:paraId="5DD1BDF2" w14:textId="77777777" w:rsidR="004B2E7C" w:rsidRPr="0089419E" w:rsidRDefault="004B2E7C" w:rsidP="00434A6A">
      <w:pPr>
        <w:rPr>
          <w:u w:val="single"/>
        </w:rPr>
      </w:pPr>
      <w:r w:rsidRPr="0089419E">
        <w:rPr>
          <w:rFonts w:hint="cs"/>
          <w:u w:val="single"/>
          <w:rtl/>
        </w:rPr>
        <w:t>נתנית חיטים בתוך ריחיים מבעוד יום על מנת שימשיכו להיטחן בשבת:</w:t>
      </w:r>
    </w:p>
    <w:p w14:paraId="5270C2A2" w14:textId="77777777" w:rsidR="004B2E7C" w:rsidRPr="008D2C1D" w:rsidRDefault="004B2E7C" w:rsidP="00FF2D21">
      <w:pPr>
        <w:pStyle w:val="aa"/>
        <w:numPr>
          <w:ilvl w:val="0"/>
          <w:numId w:val="112"/>
        </w:numPr>
        <w:rPr>
          <w:rFonts w:cs="Arial"/>
        </w:rPr>
      </w:pPr>
      <w:r>
        <w:rPr>
          <w:rFonts w:cs="Arial" w:hint="cs"/>
          <w:rtl/>
        </w:rPr>
        <w:t xml:space="preserve">רי"ף </w:t>
      </w:r>
      <w:r>
        <w:rPr>
          <w:rFonts w:cs="Arial" w:hint="cs"/>
          <w:sz w:val="16"/>
          <w:szCs w:val="16"/>
          <w:rtl/>
        </w:rPr>
        <w:t xml:space="preserve">(כ"כ הריב"ש </w:t>
      </w:r>
      <w:r>
        <w:rPr>
          <w:rFonts w:cs="Arial" w:hint="cs"/>
          <w:sz w:val="14"/>
          <w:szCs w:val="14"/>
          <w:rtl/>
        </w:rPr>
        <w:t xml:space="preserve">[סי' קנא] </w:t>
      </w:r>
      <w:r>
        <w:rPr>
          <w:rFonts w:cs="Arial" w:hint="cs"/>
          <w:sz w:val="16"/>
          <w:szCs w:val="16"/>
          <w:rtl/>
        </w:rPr>
        <w:t>בשמו)</w:t>
      </w:r>
      <w:r>
        <w:rPr>
          <w:rFonts w:cs="Arial" w:hint="cs"/>
          <w:rtl/>
        </w:rPr>
        <w:t xml:space="preserve"> ר"ת</w:t>
      </w:r>
      <w:r w:rsidRPr="006564AA">
        <w:rPr>
          <w:rFonts w:cs="Arial"/>
          <w:rtl/>
        </w:rPr>
        <w:t xml:space="preserve"> </w:t>
      </w:r>
      <w:r w:rsidRPr="008D2C1D">
        <w:rPr>
          <w:rFonts w:cs="Arial"/>
          <w:sz w:val="16"/>
          <w:szCs w:val="16"/>
          <w:rtl/>
        </w:rPr>
        <w:t>(</w:t>
      </w:r>
      <w:r>
        <w:rPr>
          <w:rFonts w:cs="Arial" w:hint="cs"/>
          <w:sz w:val="16"/>
          <w:szCs w:val="16"/>
          <w:rtl/>
        </w:rPr>
        <w:t>כ"כ בשמו התוס' והרא"ש</w:t>
      </w:r>
      <w:r w:rsidRPr="008D2C1D">
        <w:rPr>
          <w:rFonts w:cs="Arial"/>
          <w:sz w:val="16"/>
          <w:szCs w:val="16"/>
          <w:rtl/>
        </w:rPr>
        <w:t>)</w:t>
      </w:r>
      <w:r w:rsidRPr="00EC5B61">
        <w:rPr>
          <w:rFonts w:cs="Arial" w:hint="cs"/>
          <w:rtl/>
        </w:rPr>
        <w:t xml:space="preserve"> </w:t>
      </w:r>
      <w:r>
        <w:rPr>
          <w:rFonts w:cs="Arial" w:hint="cs"/>
          <w:rtl/>
        </w:rPr>
        <w:t xml:space="preserve">ורמב"ם </w:t>
      </w:r>
      <w:r>
        <w:rPr>
          <w:rFonts w:cs="Arial" w:hint="cs"/>
          <w:sz w:val="16"/>
          <w:szCs w:val="16"/>
          <w:rtl/>
        </w:rPr>
        <w:t xml:space="preserve">(כ"כ הריב"ש </w:t>
      </w:r>
      <w:r>
        <w:rPr>
          <w:rFonts w:cs="Arial" w:hint="cs"/>
          <w:sz w:val="14"/>
          <w:szCs w:val="14"/>
          <w:rtl/>
        </w:rPr>
        <w:t xml:space="preserve">[שם] </w:t>
      </w:r>
      <w:r>
        <w:rPr>
          <w:rFonts w:cs="Arial" w:hint="cs"/>
          <w:sz w:val="16"/>
          <w:szCs w:val="16"/>
          <w:rtl/>
        </w:rPr>
        <w:t>בשמו)</w:t>
      </w:r>
      <w:r>
        <w:rPr>
          <w:rFonts w:cs="Arial" w:hint="cs"/>
          <w:rtl/>
        </w:rPr>
        <w:t>-</w:t>
      </w:r>
      <w:r w:rsidRPr="006564AA">
        <w:rPr>
          <w:rFonts w:cs="Arial"/>
          <w:rtl/>
        </w:rPr>
        <w:t xml:space="preserve"> </w:t>
      </w:r>
      <w:r w:rsidRPr="0038273C">
        <w:rPr>
          <w:rFonts w:cs="Arial"/>
          <w:rtl/>
        </w:rPr>
        <w:t>הלכה כרב יוסף</w:t>
      </w:r>
      <w:r>
        <w:rPr>
          <w:rFonts w:cs="Arial" w:hint="cs"/>
          <w:rtl/>
        </w:rPr>
        <w:t>...</w:t>
      </w:r>
      <w:r w:rsidRPr="0038273C">
        <w:rPr>
          <w:rFonts w:cs="Arial"/>
          <w:rtl/>
        </w:rPr>
        <w:t xml:space="preserve"> ואם כן מותר לתת חטין בריחים מבעוד יום ויטחנו בשבת כב"ה דלית להו שביתת כלים</w:t>
      </w:r>
      <w:r>
        <w:rPr>
          <w:rFonts w:cs="Arial" w:hint="cs"/>
          <w:sz w:val="16"/>
          <w:szCs w:val="16"/>
          <w:rtl/>
        </w:rPr>
        <w:t xml:space="preserve"> (ל' הרא"ש בשם ר"ת)</w:t>
      </w:r>
      <w:r>
        <w:rPr>
          <w:rStyle w:val="a9"/>
          <w:rFonts w:cs="Arial"/>
          <w:rtl/>
        </w:rPr>
        <w:footnoteReference w:id="363"/>
      </w:r>
      <w:r>
        <w:rPr>
          <w:rFonts w:cs="Arial" w:hint="cs"/>
          <w:rtl/>
        </w:rPr>
        <w:t>.</w:t>
      </w:r>
      <w:r w:rsidRPr="00643306">
        <w:rPr>
          <w:rFonts w:cs="Arial" w:hint="cs"/>
          <w:color w:val="E36C0A" w:themeColor="accent6" w:themeShade="BF"/>
          <w:rtl/>
        </w:rPr>
        <w:t xml:space="preserve"> </w:t>
      </w:r>
      <w:r w:rsidRPr="006E4902">
        <w:rPr>
          <w:rFonts w:cs="Arial" w:hint="cs"/>
          <w:color w:val="E36C0A" w:themeColor="accent6" w:themeShade="BF"/>
          <w:rtl/>
        </w:rPr>
        <w:t>(וכ"פ בשו"ע)</w:t>
      </w:r>
    </w:p>
    <w:p w14:paraId="4AE792E6" w14:textId="77777777" w:rsidR="004B2E7C" w:rsidRPr="00E755DD" w:rsidRDefault="004B2E7C" w:rsidP="00FF2D21">
      <w:pPr>
        <w:pStyle w:val="aa"/>
        <w:numPr>
          <w:ilvl w:val="0"/>
          <w:numId w:val="112"/>
        </w:numPr>
        <w:rPr>
          <w:rFonts w:cs="Arial"/>
        </w:rPr>
      </w:pPr>
      <w:r w:rsidRPr="006564AA">
        <w:rPr>
          <w:rFonts w:cs="Arial"/>
          <w:rtl/>
        </w:rPr>
        <w:t xml:space="preserve">ר"ח </w:t>
      </w:r>
      <w:r>
        <w:rPr>
          <w:rFonts w:cs="Arial" w:hint="cs"/>
          <w:rtl/>
        </w:rPr>
        <w:t>תוס' תרומה סמ"ג סמ"ק הגה"מ רא"ש וטור</w:t>
      </w:r>
      <w:r>
        <w:rPr>
          <w:rStyle w:val="a9"/>
          <w:rFonts w:cs="Arial"/>
          <w:rtl/>
        </w:rPr>
        <w:footnoteReference w:id="364"/>
      </w:r>
      <w:r>
        <w:rPr>
          <w:rFonts w:cs="Arial" w:hint="cs"/>
          <w:rtl/>
        </w:rPr>
        <w:t xml:space="preserve">- </w:t>
      </w:r>
      <w:r w:rsidRPr="006564AA">
        <w:rPr>
          <w:rFonts w:cs="Arial"/>
          <w:rtl/>
        </w:rPr>
        <w:t>הלכה כרבה</w:t>
      </w:r>
      <w:r>
        <w:rPr>
          <w:rFonts w:cs="Arial" w:hint="cs"/>
          <w:rtl/>
        </w:rPr>
        <w:t>, הילכך</w:t>
      </w:r>
      <w:r w:rsidRPr="00E755DD">
        <w:rPr>
          <w:rFonts w:cs="Arial"/>
          <w:rtl/>
        </w:rPr>
        <w:t xml:space="preserve"> </w:t>
      </w:r>
      <w:r w:rsidRPr="00074C87">
        <w:rPr>
          <w:rFonts w:cs="Arial"/>
          <w:rtl/>
        </w:rPr>
        <w:t>אסור לתת חיטין לתוך ריחיים אלא כדי שיטחנו מבעוד יום</w:t>
      </w:r>
      <w:r>
        <w:rPr>
          <w:rFonts w:cs="Arial" w:hint="cs"/>
          <w:rtl/>
        </w:rPr>
        <w:t>,</w:t>
      </w:r>
      <w:r w:rsidRPr="00074C87">
        <w:rPr>
          <w:rFonts w:cs="Arial"/>
          <w:rtl/>
        </w:rPr>
        <w:t xml:space="preserve"> כיון דאוושא מילתא טפי איכא זילותא דשבתא</w:t>
      </w:r>
      <w:r>
        <w:rPr>
          <w:rFonts w:cs="Arial" w:hint="cs"/>
          <w:sz w:val="16"/>
          <w:szCs w:val="16"/>
          <w:rtl/>
        </w:rPr>
        <w:t xml:space="preserve"> (ל' הטור)</w:t>
      </w:r>
      <w:r w:rsidRPr="006564AA">
        <w:rPr>
          <w:rFonts w:cs="Arial"/>
          <w:rtl/>
        </w:rPr>
        <w:t xml:space="preserve">. </w:t>
      </w:r>
    </w:p>
    <w:p w14:paraId="30FB576C" w14:textId="77777777" w:rsidR="004B2E7C" w:rsidRPr="006564AA" w:rsidRDefault="004B2E7C" w:rsidP="00FF2D21">
      <w:pPr>
        <w:pStyle w:val="aa"/>
        <w:numPr>
          <w:ilvl w:val="1"/>
          <w:numId w:val="112"/>
        </w:numPr>
        <w:rPr>
          <w:rFonts w:cs="Arial"/>
        </w:rPr>
      </w:pPr>
      <w:r>
        <w:rPr>
          <w:rFonts w:cs="Arial" w:hint="cs"/>
          <w:rtl/>
        </w:rPr>
        <w:t xml:space="preserve">ב"י- </w:t>
      </w:r>
      <w:r w:rsidRPr="006564AA">
        <w:rPr>
          <w:rFonts w:cs="Arial"/>
          <w:rtl/>
        </w:rPr>
        <w:t xml:space="preserve">ולענין הלכה כיון שהרי"ף והרמב"ם ורבינו תם מתירים ועוד דמילתא דרבנן הוא </w:t>
      </w:r>
      <w:r>
        <w:rPr>
          <w:rFonts w:cs="Arial" w:hint="cs"/>
          <w:rtl/>
        </w:rPr>
        <w:t xml:space="preserve">- </w:t>
      </w:r>
      <w:r w:rsidRPr="006564AA">
        <w:rPr>
          <w:rFonts w:cs="Arial"/>
          <w:rtl/>
        </w:rPr>
        <w:t>הכי נקטינן</w:t>
      </w:r>
      <w:r>
        <w:rPr>
          <w:rFonts w:cs="Arial" w:hint="cs"/>
          <w:rtl/>
        </w:rPr>
        <w:t>,</w:t>
      </w:r>
      <w:r w:rsidRPr="006564AA">
        <w:rPr>
          <w:rFonts w:cs="Arial"/>
          <w:rtl/>
        </w:rPr>
        <w:t xml:space="preserve"> אלא שבמקום שנהגו איסור אין להתיר</w:t>
      </w:r>
      <w:r>
        <w:rPr>
          <w:rStyle w:val="a9"/>
          <w:rFonts w:cs="Arial"/>
          <w:rtl/>
        </w:rPr>
        <w:footnoteReference w:id="365"/>
      </w:r>
      <w:r>
        <w:rPr>
          <w:rFonts w:cs="Arial" w:hint="cs"/>
          <w:rtl/>
        </w:rPr>
        <w:t>.</w:t>
      </w:r>
    </w:p>
    <w:p w14:paraId="3555AA38" w14:textId="77777777" w:rsidR="004B2E7C" w:rsidRPr="00B25DB9" w:rsidRDefault="004B2E7C" w:rsidP="00434A6A">
      <w:pPr>
        <w:ind w:left="360"/>
        <w:rPr>
          <w:u w:val="dotted"/>
        </w:rPr>
      </w:pPr>
      <w:r w:rsidRPr="00B25DB9">
        <w:rPr>
          <w:rFonts w:hint="cs"/>
          <w:u w:val="dotted"/>
          <w:rtl/>
        </w:rPr>
        <w:t xml:space="preserve">לפוסקים כרבה </w:t>
      </w:r>
      <w:r w:rsidRPr="00B25DB9">
        <w:rPr>
          <w:rFonts w:hint="cs"/>
          <w:sz w:val="16"/>
          <w:szCs w:val="16"/>
          <w:u w:val="dotted"/>
          <w:rtl/>
        </w:rPr>
        <w:t xml:space="preserve">(שאסור להתקין מבעו"י דבר שישמיע קול בשבת) </w:t>
      </w:r>
      <w:r w:rsidRPr="00B25DB9">
        <w:rPr>
          <w:u w:val="dotted"/>
          <w:rtl/>
        </w:rPr>
        <w:t>–</w:t>
      </w:r>
      <w:r w:rsidRPr="00B25DB9">
        <w:rPr>
          <w:rFonts w:hint="cs"/>
          <w:u w:val="dotted"/>
          <w:rtl/>
        </w:rPr>
        <w:t xml:space="preserve"> מה הדין בשעון שמשמיע קול</w:t>
      </w:r>
      <w:r>
        <w:rPr>
          <w:rFonts w:hint="cs"/>
          <w:u w:val="dotted"/>
          <w:rtl/>
        </w:rPr>
        <w:t xml:space="preserve"> וכדו'</w:t>
      </w:r>
      <w:r w:rsidRPr="00B25DB9">
        <w:rPr>
          <w:rFonts w:hint="cs"/>
          <w:u w:val="dotted"/>
          <w:rtl/>
        </w:rPr>
        <w:t>:</w:t>
      </w:r>
      <w:r>
        <w:rPr>
          <w:rFonts w:cs="Arial" w:hint="cs"/>
          <w:sz w:val="16"/>
          <w:szCs w:val="16"/>
          <w:rtl/>
        </w:rPr>
        <w:t xml:space="preserve">  </w:t>
      </w:r>
      <w:r w:rsidRPr="00B25DB9">
        <w:rPr>
          <w:rFonts w:cs="Arial" w:hint="cs"/>
          <w:sz w:val="16"/>
          <w:szCs w:val="16"/>
          <w:rtl/>
        </w:rPr>
        <w:t>(דרכ"מ אות ז)</w:t>
      </w:r>
    </w:p>
    <w:p w14:paraId="326FF3F8" w14:textId="77777777" w:rsidR="004B2E7C" w:rsidRPr="00B25DB9" w:rsidRDefault="004B2E7C" w:rsidP="00FF2D21">
      <w:pPr>
        <w:pStyle w:val="aa"/>
        <w:numPr>
          <w:ilvl w:val="0"/>
          <w:numId w:val="112"/>
        </w:numPr>
      </w:pPr>
      <w:r w:rsidRPr="00B25DB9">
        <w:rPr>
          <w:rFonts w:cs="Arial"/>
          <w:rtl/>
        </w:rPr>
        <w:t>מהרי</w:t>
      </w:r>
      <w:r>
        <w:rPr>
          <w:rFonts w:cs="Arial" w:hint="cs"/>
          <w:rtl/>
        </w:rPr>
        <w:t>"ו</w:t>
      </w:r>
      <w:r w:rsidRPr="00B25DB9">
        <w:rPr>
          <w:rFonts w:cs="Arial"/>
          <w:rtl/>
        </w:rPr>
        <w:t xml:space="preserve"> </w:t>
      </w:r>
      <w:r>
        <w:rPr>
          <w:rFonts w:cs="Arial" w:hint="cs"/>
          <w:sz w:val="16"/>
          <w:szCs w:val="16"/>
          <w:rtl/>
        </w:rPr>
        <w:t>(בתשו' סי' קל)</w:t>
      </w:r>
      <w:r>
        <w:rPr>
          <w:rFonts w:cs="Arial" w:hint="cs"/>
          <w:rtl/>
        </w:rPr>
        <w:t xml:space="preserve">- </w:t>
      </w:r>
      <w:r w:rsidRPr="00B25DB9">
        <w:rPr>
          <w:rFonts w:cs="Arial"/>
          <w:rtl/>
        </w:rPr>
        <w:t>כלי המשקולת שקורים זייג"ר העשוי להשמיע קול בשבת אסור להעמידו מערב שבת דאמרינן אין נותנין חיטין לתוך הריחיים משום השמעת קול</w:t>
      </w:r>
      <w:r>
        <w:rPr>
          <w:rFonts w:cs="Arial" w:hint="cs"/>
          <w:rtl/>
        </w:rPr>
        <w:t>.</w:t>
      </w:r>
      <w:r w:rsidRPr="00B25DB9">
        <w:rPr>
          <w:rFonts w:cs="Arial"/>
          <w:rtl/>
        </w:rPr>
        <w:t xml:space="preserve"> </w:t>
      </w:r>
    </w:p>
    <w:p w14:paraId="0BEF51D4" w14:textId="77777777" w:rsidR="004B2E7C" w:rsidRPr="00B25DB9" w:rsidRDefault="004B2E7C" w:rsidP="00FF2D21">
      <w:pPr>
        <w:pStyle w:val="aa"/>
        <w:numPr>
          <w:ilvl w:val="0"/>
          <w:numId w:val="112"/>
        </w:numPr>
      </w:pPr>
      <w:r w:rsidRPr="00B25DB9">
        <w:rPr>
          <w:rFonts w:cs="Arial"/>
          <w:rtl/>
        </w:rPr>
        <w:t xml:space="preserve">אגור </w:t>
      </w:r>
      <w:r w:rsidRPr="00B25DB9">
        <w:rPr>
          <w:rFonts w:cs="Arial"/>
          <w:sz w:val="16"/>
          <w:szCs w:val="16"/>
          <w:rtl/>
        </w:rPr>
        <w:t>(סי' תקיט וסי' שמג)</w:t>
      </w:r>
      <w:r>
        <w:rPr>
          <w:rFonts w:cs="Arial" w:hint="cs"/>
          <w:rtl/>
        </w:rPr>
        <w:t>-</w:t>
      </w:r>
      <w:r w:rsidRPr="00B25DB9">
        <w:rPr>
          <w:rFonts w:cs="Arial"/>
          <w:rtl/>
        </w:rPr>
        <w:t xml:space="preserve"> </w:t>
      </w:r>
      <w:r>
        <w:rPr>
          <w:rFonts w:cs="Arial" w:hint="cs"/>
          <w:rtl/>
        </w:rPr>
        <w:t>אע"ג דיש ל</w:t>
      </w:r>
      <w:r w:rsidRPr="00B25DB9">
        <w:rPr>
          <w:rFonts w:cs="Arial"/>
          <w:rtl/>
        </w:rPr>
        <w:t>אסור נתינת חיטין לתוך הריחיים, מכל מקום מותר בכלי המשקולת</w:t>
      </w:r>
      <w:r>
        <w:rPr>
          <w:rFonts w:cs="Arial" w:hint="cs"/>
          <w:rtl/>
        </w:rPr>
        <w:t>,</w:t>
      </w:r>
      <w:r w:rsidRPr="00B25DB9">
        <w:rPr>
          <w:rFonts w:cs="Arial"/>
          <w:rtl/>
        </w:rPr>
        <w:t xml:space="preserve"> דלא דמי לקול הריחיים</w:t>
      </w:r>
      <w:r>
        <w:rPr>
          <w:rFonts w:cs="Arial" w:hint="cs"/>
          <w:rtl/>
        </w:rPr>
        <w:t>.</w:t>
      </w:r>
      <w:r w:rsidRPr="00B25DB9">
        <w:rPr>
          <w:rFonts w:cs="Arial"/>
          <w:rtl/>
        </w:rPr>
        <w:t xml:space="preserve"> כי לשם יסברו שנתנו החיטין לתוך הריחיים בשבת</w:t>
      </w:r>
      <w:r>
        <w:rPr>
          <w:rFonts w:cs="Arial" w:hint="cs"/>
          <w:rtl/>
        </w:rPr>
        <w:t>,</w:t>
      </w:r>
      <w:r w:rsidRPr="00B25DB9">
        <w:rPr>
          <w:rFonts w:cs="Arial"/>
          <w:rtl/>
        </w:rPr>
        <w:t xml:space="preserve"> אבל בכלי המשקולת הכל יודעים שרגילים לתקנו בכל יום על יום שלאחריו וביום שהיא מקשקש ומשמיע אין מתקנין אותו</w:t>
      </w:r>
      <w:r>
        <w:rPr>
          <w:rFonts w:cs="Arial" w:hint="cs"/>
          <w:rtl/>
        </w:rPr>
        <w:t>.</w:t>
      </w:r>
      <w:r w:rsidRPr="00B25DB9">
        <w:rPr>
          <w:rFonts w:cs="Arial"/>
          <w:rtl/>
        </w:rPr>
        <w:t xml:space="preserve"> וכן יש לפסוק הלכה למעשה וכן עמא דבר</w:t>
      </w:r>
      <w:r>
        <w:rPr>
          <w:rFonts w:cs="Arial" w:hint="cs"/>
          <w:rtl/>
        </w:rPr>
        <w:t>.</w:t>
      </w:r>
      <w:r w:rsidRPr="00B25DB9">
        <w:rPr>
          <w:rFonts w:cs="Arial"/>
          <w:rtl/>
        </w:rPr>
        <w:t xml:space="preserve"> </w:t>
      </w:r>
      <w:r w:rsidRPr="00643306">
        <w:rPr>
          <w:rFonts w:hint="cs"/>
          <w:color w:val="00B0F0"/>
          <w:rtl/>
        </w:rPr>
        <w:t>(וכ"פ הרמ"א)</w:t>
      </w:r>
    </w:p>
    <w:p w14:paraId="7722F898" w14:textId="77777777" w:rsidR="004B2E7C" w:rsidRPr="00643306" w:rsidRDefault="004B2E7C" w:rsidP="00FF2D21">
      <w:pPr>
        <w:pStyle w:val="aa"/>
        <w:numPr>
          <w:ilvl w:val="0"/>
          <w:numId w:val="112"/>
        </w:numPr>
      </w:pPr>
      <w:r>
        <w:rPr>
          <w:rFonts w:cs="Arial" w:hint="cs"/>
          <w:rtl/>
        </w:rPr>
        <w:t>הגה"מ</w:t>
      </w:r>
      <w:r w:rsidRPr="00B25DB9">
        <w:rPr>
          <w:rFonts w:cs="Arial"/>
          <w:rtl/>
        </w:rPr>
        <w:t xml:space="preserve"> </w:t>
      </w:r>
      <w:r w:rsidRPr="00643306">
        <w:rPr>
          <w:rFonts w:cs="Arial" w:hint="cs"/>
          <w:sz w:val="16"/>
          <w:szCs w:val="16"/>
          <w:rtl/>
        </w:rPr>
        <w:t>(</w:t>
      </w:r>
      <w:r w:rsidRPr="00643306">
        <w:rPr>
          <w:rFonts w:cs="Arial"/>
          <w:sz w:val="16"/>
          <w:szCs w:val="16"/>
          <w:rtl/>
        </w:rPr>
        <w:t xml:space="preserve">פ"ו אות ל) </w:t>
      </w:r>
      <w:r w:rsidRPr="00B25DB9">
        <w:rPr>
          <w:rFonts w:cs="Arial"/>
          <w:rtl/>
        </w:rPr>
        <w:t>בשם הר"ם מקורביי"ל</w:t>
      </w:r>
      <w:r>
        <w:rPr>
          <w:rFonts w:cs="Arial" w:hint="cs"/>
          <w:rtl/>
        </w:rPr>
        <w:t>-</w:t>
      </w:r>
      <w:r w:rsidRPr="00B25DB9">
        <w:rPr>
          <w:rFonts w:cs="Arial"/>
          <w:rtl/>
        </w:rPr>
        <w:t xml:space="preserve"> ישראל הממונה על המטבע של מלך ליתן כסף לנכרי לתקנו בשבת כיון שאין כאן שמיעת קול שהוא של ישראל אין לחוש כיון שהגוי עביד בשכרו</w:t>
      </w:r>
      <w:r>
        <w:rPr>
          <w:rFonts w:cs="Arial" w:hint="cs"/>
          <w:rtl/>
        </w:rPr>
        <w:t>.</w:t>
      </w:r>
      <w:r w:rsidRPr="00B25DB9">
        <w:rPr>
          <w:rFonts w:cs="Arial"/>
          <w:rtl/>
        </w:rPr>
        <w:t xml:space="preserve"> </w:t>
      </w:r>
    </w:p>
    <w:p w14:paraId="13A7E378" w14:textId="77777777" w:rsidR="004B2E7C" w:rsidRPr="006564AA" w:rsidRDefault="004B2E7C" w:rsidP="00FF2D21">
      <w:pPr>
        <w:pStyle w:val="aa"/>
        <w:numPr>
          <w:ilvl w:val="0"/>
          <w:numId w:val="112"/>
        </w:numPr>
        <w:rPr>
          <w:rtl/>
        </w:rPr>
      </w:pPr>
      <w:r w:rsidRPr="00B25DB9">
        <w:rPr>
          <w:rFonts w:cs="Arial"/>
          <w:rtl/>
        </w:rPr>
        <w:t xml:space="preserve">אור זרוע </w:t>
      </w:r>
      <w:r w:rsidRPr="00643306">
        <w:rPr>
          <w:rFonts w:cs="Arial"/>
          <w:sz w:val="16"/>
          <w:szCs w:val="16"/>
          <w:rtl/>
        </w:rPr>
        <w:t>(הל' ערב שבת סי' ב סעיף א')</w:t>
      </w:r>
      <w:r>
        <w:rPr>
          <w:rFonts w:cs="Arial" w:hint="cs"/>
          <w:rtl/>
        </w:rPr>
        <w:t>-</w:t>
      </w:r>
      <w:r w:rsidRPr="00B25DB9">
        <w:rPr>
          <w:rFonts w:cs="Arial"/>
          <w:rtl/>
        </w:rPr>
        <w:t xml:space="preserve"> </w:t>
      </w:r>
      <w:r w:rsidRPr="00643306">
        <w:rPr>
          <w:rFonts w:cs="Arial"/>
          <w:rtl/>
        </w:rPr>
        <w:t xml:space="preserve">ישראל שקנה מטבע מן המלך אסור לו לאדם להניח מטבעים </w:t>
      </w:r>
      <w:r>
        <w:rPr>
          <w:rFonts w:cs="Arial" w:hint="cs"/>
          <w:rtl/>
        </w:rPr>
        <w:t>גוי</w:t>
      </w:r>
      <w:r w:rsidRPr="00643306">
        <w:rPr>
          <w:rFonts w:cs="Arial"/>
          <w:rtl/>
        </w:rPr>
        <w:t>ם שיטביעו בשבת כי הם משמיעים את הקול ואוושא מילתא ועוד שהוא כשכיר שבת</w:t>
      </w:r>
      <w:r>
        <w:rPr>
          <w:rFonts w:cs="Arial" w:hint="cs"/>
          <w:rtl/>
        </w:rPr>
        <w:t>...</w:t>
      </w:r>
      <w:r>
        <w:rPr>
          <w:rStyle w:val="a9"/>
          <w:rFonts w:cs="Arial"/>
          <w:rtl/>
        </w:rPr>
        <w:footnoteReference w:id="366"/>
      </w:r>
      <w:r>
        <w:rPr>
          <w:rFonts w:hint="cs"/>
          <w:rtl/>
        </w:rPr>
        <w:t>.</w:t>
      </w:r>
    </w:p>
    <w:p w14:paraId="2ACE3D00" w14:textId="77777777" w:rsidR="004B2E7C" w:rsidRPr="00D704C7" w:rsidRDefault="004B2E7C" w:rsidP="00434A6A">
      <w:pPr>
        <w:rPr>
          <w:rtl/>
        </w:rPr>
      </w:pPr>
      <w:r w:rsidRPr="001C7C1B">
        <w:rPr>
          <w:rFonts w:cs="Arial" w:hint="cs"/>
          <w:b/>
          <w:bCs/>
          <w:rtl/>
        </w:rPr>
        <w:t xml:space="preserve">שבת </w:t>
      </w:r>
      <w:r w:rsidRPr="001C7C1B">
        <w:rPr>
          <w:rFonts w:cs="Arial" w:hint="cs"/>
          <w:b/>
          <w:bCs/>
          <w:sz w:val="16"/>
          <w:szCs w:val="16"/>
          <w:rtl/>
        </w:rPr>
        <w:t xml:space="preserve">(פ"ק) </w:t>
      </w:r>
      <w:r w:rsidRPr="001C7C1B">
        <w:rPr>
          <w:rFonts w:cs="Arial" w:hint="cs"/>
          <w:b/>
          <w:bCs/>
          <w:rtl/>
        </w:rPr>
        <w:t>י</w:t>
      </w:r>
      <w:r>
        <w:rPr>
          <w:rFonts w:cs="Arial" w:hint="cs"/>
          <w:b/>
          <w:bCs/>
          <w:rtl/>
        </w:rPr>
        <w:t>ח</w:t>
      </w:r>
      <w:r w:rsidRPr="001C7C1B">
        <w:rPr>
          <w:rFonts w:cs="Arial" w:hint="cs"/>
          <w:b/>
          <w:bCs/>
          <w:rtl/>
        </w:rPr>
        <w:t xml:space="preserve"> ע"</w:t>
      </w:r>
      <w:r>
        <w:rPr>
          <w:rFonts w:cs="Arial" w:hint="cs"/>
          <w:b/>
          <w:bCs/>
          <w:rtl/>
        </w:rPr>
        <w:t>א</w:t>
      </w:r>
      <w:r w:rsidRPr="001C7C1B">
        <w:rPr>
          <w:rFonts w:cs="Arial" w:hint="cs"/>
          <w:b/>
          <w:bCs/>
          <w:rtl/>
        </w:rPr>
        <w:t xml:space="preserve">: </w:t>
      </w:r>
      <w:r w:rsidRPr="001C7C1B">
        <w:rPr>
          <w:rFonts w:cs="Arial"/>
          <w:u w:val="double"/>
          <w:rtl/>
        </w:rPr>
        <w:t>משנה</w:t>
      </w:r>
      <w:r w:rsidRPr="001C7C1B">
        <w:rPr>
          <w:rFonts w:cs="Arial" w:hint="cs"/>
          <w:rtl/>
        </w:rPr>
        <w:t>:</w:t>
      </w:r>
      <w:r>
        <w:rPr>
          <w:rFonts w:cs="Arial" w:hint="cs"/>
          <w:rtl/>
        </w:rPr>
        <w:t>...</w:t>
      </w:r>
      <w:r w:rsidRPr="001C7C1B">
        <w:rPr>
          <w:rFonts w:hint="cs"/>
          <w:sz w:val="14"/>
          <w:szCs w:val="14"/>
          <w:rtl/>
        </w:rPr>
        <w:t xml:space="preserve"> </w:t>
      </w:r>
      <w:r w:rsidRPr="001C7C1B">
        <w:rPr>
          <w:rFonts w:cs="Arial"/>
          <w:rtl/>
        </w:rPr>
        <w:t>ושוין אלו ואלו שטוענין קורת בית הבד ועגולי הגת.</w:t>
      </w:r>
      <w:r>
        <w:rPr>
          <w:rFonts w:hint="cs"/>
          <w:rtl/>
        </w:rPr>
        <w:t xml:space="preserve">        </w:t>
      </w:r>
      <w:r w:rsidRPr="001C7C1B">
        <w:rPr>
          <w:rFonts w:hint="cs"/>
          <w:u w:val="double"/>
          <w:rtl/>
        </w:rPr>
        <w:t>גמרא</w:t>
      </w:r>
      <w:r w:rsidRPr="001C7C1B">
        <w:rPr>
          <w:rFonts w:hint="cs"/>
          <w:sz w:val="14"/>
          <w:szCs w:val="14"/>
          <w:u w:val="double"/>
          <w:rtl/>
        </w:rPr>
        <w:t xml:space="preserve"> (יט.)</w:t>
      </w:r>
      <w:r w:rsidRPr="001C7C1B">
        <w:rPr>
          <w:rFonts w:hint="cs"/>
          <w:u w:val="double"/>
          <w:rtl/>
        </w:rPr>
        <w:t>:</w:t>
      </w:r>
      <w:r>
        <w:rPr>
          <w:rFonts w:hint="cs"/>
          <w:rtl/>
        </w:rPr>
        <w:t xml:space="preserve"> </w:t>
      </w:r>
      <w:r w:rsidRPr="001C7C1B">
        <w:rPr>
          <w:rFonts w:cs="Arial"/>
          <w:rtl/>
        </w:rPr>
        <w:t>ושוין אלו ואלו שטוענין כו'.</w:t>
      </w:r>
      <w:r w:rsidRPr="001C7C1B">
        <w:rPr>
          <w:rFonts w:cs="Arial" w:hint="cs"/>
          <w:rtl/>
        </w:rPr>
        <w:t>.</w:t>
      </w:r>
      <w:r w:rsidRPr="001C7C1B">
        <w:rPr>
          <w:rFonts w:cs="Arial"/>
          <w:rtl/>
        </w:rPr>
        <w:t xml:space="preserve">. מאן תנא דכל מידי דאתי ממילא שפיר דמי? </w:t>
      </w:r>
      <w:r w:rsidRPr="001C7C1B">
        <w:rPr>
          <w:rFonts w:cs="Arial"/>
          <w:u w:val="single"/>
          <w:rtl/>
        </w:rPr>
        <w:t>אמר רבי יוסי בר</w:t>
      </w:r>
      <w:r w:rsidRPr="001C7C1B">
        <w:rPr>
          <w:rFonts w:cs="Arial" w:hint="cs"/>
          <w:u w:val="single"/>
          <w:rtl/>
        </w:rPr>
        <w:t>בי</w:t>
      </w:r>
      <w:r w:rsidRPr="001C7C1B">
        <w:rPr>
          <w:rFonts w:cs="Arial"/>
          <w:u w:val="single"/>
          <w:rtl/>
        </w:rPr>
        <w:t xml:space="preserve"> חנינא</w:t>
      </w:r>
      <w:r w:rsidRPr="001C7C1B">
        <w:rPr>
          <w:rFonts w:cs="Arial"/>
          <w:rtl/>
        </w:rPr>
        <w:t>: רבי ישמעאל היא. דתנן: השום והבוסר והמלילות שרסקן מבעוד יום, רבי ישמעאל אומר: יגמור</w:t>
      </w:r>
      <w:r>
        <w:rPr>
          <w:rStyle w:val="a9"/>
          <w:rFonts w:cs="Arial"/>
          <w:rtl/>
        </w:rPr>
        <w:footnoteReference w:id="367"/>
      </w:r>
      <w:r w:rsidRPr="001C7C1B">
        <w:rPr>
          <w:rFonts w:cs="Arial"/>
          <w:rtl/>
        </w:rPr>
        <w:t xml:space="preserve"> משתחשך, ורבי עקיבא אומר:</w:t>
      </w:r>
      <w:r w:rsidRPr="001C7C1B">
        <w:rPr>
          <w:rFonts w:cs="Arial" w:hint="cs"/>
          <w:sz w:val="14"/>
          <w:szCs w:val="14"/>
          <w:rtl/>
        </w:rPr>
        <w:t xml:space="preserve">(יט:) </w:t>
      </w:r>
      <w:r w:rsidRPr="001C7C1B">
        <w:rPr>
          <w:rFonts w:cs="Arial"/>
          <w:rtl/>
        </w:rPr>
        <w:t xml:space="preserve">לא יגמור. </w:t>
      </w:r>
      <w:r w:rsidRPr="001C7C1B">
        <w:rPr>
          <w:rFonts w:cs="Arial"/>
          <w:u w:val="single"/>
          <w:rtl/>
        </w:rPr>
        <w:t>ורבי אלעזר אמר</w:t>
      </w:r>
      <w:r w:rsidRPr="001C7C1B">
        <w:rPr>
          <w:rFonts w:cs="Arial"/>
          <w:rtl/>
        </w:rPr>
        <w:t>: רבי אלעזר היא. דתנן: חלות דבש שריסקן בערב שבת ויצאו מעצמן - אסור, ורבי אלעזר מתיר.</w:t>
      </w:r>
      <w:r w:rsidRPr="001C7C1B">
        <w:rPr>
          <w:rFonts w:cs="Arial" w:hint="cs"/>
          <w:rtl/>
        </w:rPr>
        <w:t>..</w:t>
      </w:r>
      <w:r w:rsidRPr="001C7C1B">
        <w:rPr>
          <w:rFonts w:cs="Arial"/>
          <w:rtl/>
        </w:rPr>
        <w:t xml:space="preserve"> ורבי אלעזר מאי טעמא לא אמר כרבי יוסי בר חנינא? אמר לך: לאו איתמר עלה, אמר </w:t>
      </w:r>
      <w:r>
        <w:rPr>
          <w:rStyle w:val="a9"/>
          <w:rFonts w:cs="Arial"/>
          <w:rtl/>
        </w:rPr>
        <w:footnoteReference w:id="368"/>
      </w:r>
      <w:r>
        <w:rPr>
          <w:rFonts w:cs="Arial" w:hint="cs"/>
          <w:rtl/>
        </w:rPr>
        <w:t>[</w:t>
      </w:r>
      <w:r w:rsidRPr="001C7C1B">
        <w:rPr>
          <w:rFonts w:cs="Arial"/>
          <w:rtl/>
        </w:rPr>
        <w:t>רבא בר חנינא</w:t>
      </w:r>
      <w:r>
        <w:rPr>
          <w:rFonts w:cs="Arial" w:hint="cs"/>
          <w:rtl/>
        </w:rPr>
        <w:t>]</w:t>
      </w:r>
      <w:r w:rsidRPr="001C7C1B">
        <w:rPr>
          <w:rFonts w:cs="Arial"/>
          <w:rtl/>
        </w:rPr>
        <w:t xml:space="preserve"> אמר רבי יוחנן: במחוסרין דיכה - דכולי עלמא לא פליגי</w:t>
      </w:r>
      <w:r>
        <w:rPr>
          <w:rStyle w:val="a9"/>
          <w:rFonts w:cs="Arial"/>
          <w:rtl/>
        </w:rPr>
        <w:footnoteReference w:id="369"/>
      </w:r>
      <w:r w:rsidRPr="001C7C1B">
        <w:rPr>
          <w:rFonts w:cs="Arial"/>
          <w:rtl/>
        </w:rPr>
        <w:t>, כי פליגי - במחוסרין שחיקה</w:t>
      </w:r>
      <w:r>
        <w:rPr>
          <w:rStyle w:val="a9"/>
          <w:rFonts w:cs="Arial"/>
          <w:rtl/>
        </w:rPr>
        <w:footnoteReference w:id="370"/>
      </w:r>
      <w:r w:rsidRPr="001C7C1B">
        <w:rPr>
          <w:rFonts w:cs="Arial"/>
          <w:rtl/>
        </w:rPr>
        <w:t>, והני נמי - כמחוסרין דיכה דמו. הורה רבי יוסי בר חנינא כרבי ישמעאל.</w:t>
      </w:r>
    </w:p>
    <w:p w14:paraId="4506EAA3" w14:textId="77777777" w:rsidR="004B2E7C" w:rsidRPr="0068231A" w:rsidRDefault="004B2E7C" w:rsidP="00434A6A">
      <w:pPr>
        <w:rPr>
          <w:u w:val="single"/>
        </w:rPr>
      </w:pPr>
      <w:r>
        <w:rPr>
          <w:rFonts w:hint="cs"/>
          <w:u w:val="single"/>
          <w:rtl/>
        </w:rPr>
        <w:t xml:space="preserve">כיצד יש לפרש את דברי המשנה </w:t>
      </w:r>
      <w:r>
        <w:rPr>
          <w:rFonts w:hint="cs"/>
          <w:sz w:val="16"/>
          <w:szCs w:val="16"/>
          <w:u w:val="single"/>
          <w:rtl/>
        </w:rPr>
        <w:t>(</w:t>
      </w:r>
      <w:r w:rsidRPr="00CC05C2">
        <w:rPr>
          <w:sz w:val="16"/>
          <w:szCs w:val="16"/>
          <w:u w:val="single"/>
          <w:rtl/>
        </w:rPr>
        <w:t>טוענין קורת בית הבד</w:t>
      </w:r>
      <w:r>
        <w:rPr>
          <w:rFonts w:hint="cs"/>
          <w:sz w:val="16"/>
          <w:szCs w:val="16"/>
          <w:u w:val="single"/>
          <w:rtl/>
        </w:rPr>
        <w:t xml:space="preserve"> וכו')</w:t>
      </w:r>
      <w:r>
        <w:rPr>
          <w:rFonts w:hint="cs"/>
          <w:u w:val="single"/>
          <w:rtl/>
        </w:rPr>
        <w:t xml:space="preserve"> ואת דברי ר' ישמעאל</w:t>
      </w:r>
      <w:r>
        <w:rPr>
          <w:rFonts w:hint="cs"/>
          <w:sz w:val="16"/>
          <w:szCs w:val="16"/>
          <w:u w:val="single"/>
          <w:rtl/>
        </w:rPr>
        <w:t xml:space="preserve"> (השום וכו' שרסקן מבעו"י)</w:t>
      </w:r>
      <w:r w:rsidRPr="0068231A">
        <w:rPr>
          <w:rFonts w:hint="cs"/>
          <w:u w:val="single"/>
          <w:rtl/>
        </w:rPr>
        <w:t>:</w:t>
      </w:r>
    </w:p>
    <w:p w14:paraId="35644D8D" w14:textId="77777777" w:rsidR="004B2E7C" w:rsidRPr="00CC05C2" w:rsidRDefault="004B2E7C" w:rsidP="00FF2D21">
      <w:pPr>
        <w:pStyle w:val="aa"/>
        <w:numPr>
          <w:ilvl w:val="0"/>
          <w:numId w:val="112"/>
        </w:numPr>
      </w:pPr>
      <w:r>
        <w:rPr>
          <w:rFonts w:cs="Arial" w:hint="cs"/>
          <w:rtl/>
        </w:rPr>
        <w:t xml:space="preserve">רי"ף </w:t>
      </w:r>
      <w:r w:rsidRPr="006C6212">
        <w:rPr>
          <w:rFonts w:cs="Arial" w:hint="cs"/>
          <w:sz w:val="16"/>
          <w:szCs w:val="16"/>
          <w:rtl/>
        </w:rPr>
        <w:t>(להב' ה</w:t>
      </w:r>
      <w:r w:rsidRPr="006C6212">
        <w:rPr>
          <w:rFonts w:cs="Arial"/>
          <w:sz w:val="16"/>
          <w:szCs w:val="16"/>
          <w:rtl/>
        </w:rPr>
        <w:t xml:space="preserve">ר"ן </w:t>
      </w:r>
      <w:r w:rsidRPr="006C6212">
        <w:rPr>
          <w:rFonts w:cs="Arial" w:hint="cs"/>
          <w:sz w:val="16"/>
          <w:szCs w:val="16"/>
          <w:rtl/>
        </w:rPr>
        <w:t>[</w:t>
      </w:r>
      <w:r w:rsidRPr="006C6212">
        <w:rPr>
          <w:rFonts w:cs="Arial"/>
          <w:sz w:val="16"/>
          <w:szCs w:val="16"/>
          <w:rtl/>
        </w:rPr>
        <w:t>ח. דיבור ראשון</w:t>
      </w:r>
      <w:r w:rsidRPr="006C6212">
        <w:rPr>
          <w:rFonts w:cs="Arial" w:hint="cs"/>
          <w:sz w:val="16"/>
          <w:szCs w:val="16"/>
          <w:rtl/>
        </w:rPr>
        <w:t>]</w:t>
      </w:r>
      <w:r w:rsidRPr="006C6212">
        <w:rPr>
          <w:rFonts w:cs="Arial"/>
          <w:sz w:val="16"/>
          <w:szCs w:val="16"/>
          <w:rtl/>
        </w:rPr>
        <w:t>)</w:t>
      </w:r>
      <w:r>
        <w:rPr>
          <w:rFonts w:cs="Arial" w:hint="cs"/>
          <w:rtl/>
        </w:rPr>
        <w:t xml:space="preserve"> ורמב"ם </w:t>
      </w:r>
      <w:r>
        <w:rPr>
          <w:rFonts w:cs="Arial" w:hint="cs"/>
          <w:sz w:val="16"/>
          <w:szCs w:val="16"/>
          <w:rtl/>
        </w:rPr>
        <w:t>(להב' הה"מ [פ"ג ה"ב])</w:t>
      </w:r>
      <w:r w:rsidRPr="006C6212">
        <w:rPr>
          <w:rFonts w:cs="Arial" w:hint="cs"/>
          <w:rtl/>
        </w:rPr>
        <w:t>-</w:t>
      </w:r>
      <w:r w:rsidRPr="006C6212">
        <w:rPr>
          <w:rFonts w:cs="Arial"/>
          <w:rtl/>
        </w:rPr>
        <w:t xml:space="preserve"> השום והבוסר והמלילות שרסקן מבעוד יום</w:t>
      </w:r>
      <w:r w:rsidRPr="006C6212">
        <w:rPr>
          <w:rFonts w:cs="Arial" w:hint="cs"/>
          <w:rtl/>
        </w:rPr>
        <w:t>.</w:t>
      </w:r>
      <w:r w:rsidRPr="006C6212">
        <w:rPr>
          <w:rFonts w:cs="Arial"/>
          <w:rtl/>
        </w:rPr>
        <w:t xml:space="preserve"> האי </w:t>
      </w:r>
      <w:r w:rsidRPr="006C6212">
        <w:rPr>
          <w:rFonts w:cs="Arial" w:hint="cs"/>
          <w:rtl/>
        </w:rPr>
        <w:t>'</w:t>
      </w:r>
      <w:r w:rsidRPr="006C6212">
        <w:rPr>
          <w:rFonts w:cs="Arial"/>
          <w:rtl/>
        </w:rPr>
        <w:t>שרסקן</w:t>
      </w:r>
      <w:r w:rsidRPr="006C6212">
        <w:rPr>
          <w:rFonts w:cs="Arial" w:hint="cs"/>
          <w:rtl/>
        </w:rPr>
        <w:t>'</w:t>
      </w:r>
      <w:r w:rsidRPr="006C6212">
        <w:rPr>
          <w:rFonts w:cs="Arial"/>
          <w:rtl/>
        </w:rPr>
        <w:t xml:space="preserve"> כולל ריסוק ודיכה</w:t>
      </w:r>
      <w:r w:rsidRPr="006C6212">
        <w:rPr>
          <w:rFonts w:cs="Arial" w:hint="cs"/>
          <w:rtl/>
        </w:rPr>
        <w:t>,</w:t>
      </w:r>
      <w:r w:rsidRPr="006C6212">
        <w:rPr>
          <w:rFonts w:cs="Arial"/>
          <w:rtl/>
        </w:rPr>
        <w:t xml:space="preserve"> דג' מלאכות יש בדברים הנדוכים להוציא מהם משקין</w:t>
      </w:r>
      <w:r w:rsidRPr="006C6212">
        <w:rPr>
          <w:rFonts w:cs="Arial" w:hint="cs"/>
          <w:rtl/>
        </w:rPr>
        <w:t>,</w:t>
      </w:r>
      <w:r w:rsidRPr="006C6212">
        <w:rPr>
          <w:rFonts w:cs="Arial"/>
          <w:rtl/>
        </w:rPr>
        <w:t xml:space="preserve"> ריסוק ודיכה ושחיקה</w:t>
      </w:r>
      <w:r w:rsidRPr="006C6212">
        <w:rPr>
          <w:rFonts w:cs="Arial" w:hint="cs"/>
          <w:rtl/>
        </w:rPr>
        <w:t>.</w:t>
      </w:r>
      <w:r w:rsidRPr="006C6212">
        <w:rPr>
          <w:rFonts w:cs="Arial"/>
          <w:rtl/>
        </w:rPr>
        <w:t xml:space="preserve"> ומתניתין מיירי בשלא עשה בהם מבעוד יום אלא ריסוק</w:t>
      </w:r>
      <w:r w:rsidRPr="006C6212">
        <w:rPr>
          <w:rFonts w:cs="Arial" w:hint="cs"/>
          <w:rtl/>
        </w:rPr>
        <w:t>,</w:t>
      </w:r>
      <w:r w:rsidRPr="006C6212">
        <w:rPr>
          <w:rFonts w:cs="Arial"/>
          <w:rtl/>
        </w:rPr>
        <w:t xml:space="preserve"> שהקורה והעגולים מבעוד יום אינם אלא מרסקים</w:t>
      </w:r>
      <w:r w:rsidRPr="006C6212">
        <w:rPr>
          <w:rFonts w:cs="Arial" w:hint="cs"/>
          <w:rtl/>
        </w:rPr>
        <w:t>.</w:t>
      </w:r>
      <w:r w:rsidRPr="006C6212">
        <w:rPr>
          <w:rFonts w:cs="Arial"/>
          <w:rtl/>
        </w:rPr>
        <w:t xml:space="preserve"> אבל הכא מיירי שרסקם בידים שפיר עד שהם מרוסקים ונדוכים ואינם מחוסרים אלא שחיקה</w:t>
      </w:r>
      <w:r w:rsidRPr="006C6212">
        <w:rPr>
          <w:rFonts w:cs="Arial" w:hint="cs"/>
          <w:rtl/>
        </w:rPr>
        <w:t>.</w:t>
      </w:r>
      <w:r w:rsidRPr="006C6212">
        <w:rPr>
          <w:rFonts w:cs="Arial"/>
          <w:rtl/>
        </w:rPr>
        <w:t xml:space="preserve"> וקתני רבי ישמעאל אומר יגמור משתחשך</w:t>
      </w:r>
      <w:r w:rsidRPr="006C6212">
        <w:rPr>
          <w:rFonts w:cs="Arial" w:hint="cs"/>
          <w:rtl/>
        </w:rPr>
        <w:t>,</w:t>
      </w:r>
      <w:r w:rsidRPr="006C6212">
        <w:rPr>
          <w:rFonts w:cs="Arial"/>
          <w:rtl/>
        </w:rPr>
        <w:t xml:space="preserve"> כלומר יגמור אפילו בידים</w:t>
      </w:r>
      <w:r>
        <w:rPr>
          <w:rStyle w:val="a9"/>
          <w:rFonts w:cs="Arial"/>
          <w:rtl/>
        </w:rPr>
        <w:footnoteReference w:id="371"/>
      </w:r>
      <w:r>
        <w:rPr>
          <w:rFonts w:cs="Arial" w:hint="cs"/>
          <w:sz w:val="16"/>
          <w:szCs w:val="16"/>
          <w:rtl/>
        </w:rPr>
        <w:t xml:space="preserve"> (ל' הר"ן)</w:t>
      </w:r>
      <w:r>
        <w:rPr>
          <w:rStyle w:val="a9"/>
          <w:rFonts w:cs="Arial"/>
          <w:rtl/>
        </w:rPr>
        <w:footnoteReference w:id="372"/>
      </w:r>
      <w:r w:rsidRPr="006C6212">
        <w:rPr>
          <w:rFonts w:cs="Arial" w:hint="cs"/>
          <w:rtl/>
        </w:rPr>
        <w:t>.</w:t>
      </w:r>
      <w:r w:rsidRPr="006C6212">
        <w:rPr>
          <w:rFonts w:cs="Arial"/>
          <w:rtl/>
        </w:rPr>
        <w:t xml:space="preserve"> </w:t>
      </w:r>
      <w:r w:rsidRPr="006E4902">
        <w:rPr>
          <w:rFonts w:cs="Arial" w:hint="cs"/>
          <w:color w:val="E36C0A" w:themeColor="accent6" w:themeShade="BF"/>
          <w:rtl/>
        </w:rPr>
        <w:t>(וכ"פ בשו"ע)</w:t>
      </w:r>
    </w:p>
    <w:p w14:paraId="63FFE7FF" w14:textId="77777777" w:rsidR="004B2E7C" w:rsidRDefault="004B2E7C" w:rsidP="00FF2D21">
      <w:pPr>
        <w:pStyle w:val="aa"/>
        <w:numPr>
          <w:ilvl w:val="0"/>
          <w:numId w:val="112"/>
        </w:numPr>
      </w:pPr>
      <w:r>
        <w:rPr>
          <w:rFonts w:cs="Arial" w:hint="cs"/>
          <w:rtl/>
        </w:rPr>
        <w:t>טור ורי"ו</w:t>
      </w:r>
      <w:r>
        <w:rPr>
          <w:rFonts w:cs="Arial" w:hint="cs"/>
          <w:sz w:val="16"/>
          <w:szCs w:val="16"/>
          <w:rtl/>
        </w:rPr>
        <w:t xml:space="preserve"> (ח"א ני"ב סה.)</w:t>
      </w:r>
      <w:r>
        <w:rPr>
          <w:rFonts w:cs="Arial" w:hint="cs"/>
          <w:rtl/>
        </w:rPr>
        <w:t xml:space="preserve">- </w:t>
      </w:r>
      <w:r w:rsidRPr="00074C87">
        <w:rPr>
          <w:rFonts w:cs="Arial"/>
          <w:rtl/>
        </w:rPr>
        <w:t>וטוענין בקורות בית הבד ובית הגת מבע</w:t>
      </w:r>
      <w:r>
        <w:rPr>
          <w:rFonts w:cs="Arial" w:hint="cs"/>
          <w:rtl/>
        </w:rPr>
        <w:t>וד יום</w:t>
      </w:r>
      <w:r w:rsidRPr="00074C87">
        <w:rPr>
          <w:rFonts w:cs="Arial"/>
          <w:rtl/>
        </w:rPr>
        <w:t xml:space="preserve"> על זיתים וענבים שנתרסקו מבע</w:t>
      </w:r>
      <w:r>
        <w:rPr>
          <w:rFonts w:cs="Arial" w:hint="cs"/>
          <w:rtl/>
        </w:rPr>
        <w:t>וד יום.</w:t>
      </w:r>
      <w:r w:rsidRPr="00074C87">
        <w:rPr>
          <w:rFonts w:cs="Arial"/>
          <w:rtl/>
        </w:rPr>
        <w:t xml:space="preserve"> וטוען עליהם להוציא מהן משקין</w:t>
      </w:r>
      <w:r>
        <w:rPr>
          <w:rFonts w:cs="Arial" w:hint="cs"/>
          <w:rtl/>
        </w:rPr>
        <w:t>,</w:t>
      </w:r>
      <w:r w:rsidRPr="00074C87">
        <w:rPr>
          <w:rFonts w:cs="Arial"/>
          <w:rtl/>
        </w:rPr>
        <w:t xml:space="preserve"> והשמן והיין היוצא מהן מותר</w:t>
      </w:r>
      <w:r>
        <w:rPr>
          <w:rFonts w:cs="Arial" w:hint="cs"/>
          <w:rtl/>
        </w:rPr>
        <w:t>.</w:t>
      </w:r>
      <w:r w:rsidRPr="00074C87">
        <w:rPr>
          <w:rFonts w:cs="Arial"/>
          <w:rtl/>
        </w:rPr>
        <w:t xml:space="preserve"> וכן בוסר ומלילות שנתרסקו מבע</w:t>
      </w:r>
      <w:r>
        <w:rPr>
          <w:rFonts w:cs="Arial" w:hint="cs"/>
          <w:rtl/>
        </w:rPr>
        <w:t>ו</w:t>
      </w:r>
      <w:r w:rsidRPr="00074C87">
        <w:rPr>
          <w:rFonts w:cs="Arial"/>
          <w:rtl/>
        </w:rPr>
        <w:t>"י וטען עליהם מבע</w:t>
      </w:r>
      <w:r>
        <w:rPr>
          <w:rFonts w:cs="Arial" w:hint="cs"/>
          <w:rtl/>
        </w:rPr>
        <w:t>ו</w:t>
      </w:r>
      <w:r w:rsidRPr="00074C87">
        <w:rPr>
          <w:rFonts w:cs="Arial"/>
          <w:rtl/>
        </w:rPr>
        <w:t>"י להוציא מהם משקין</w:t>
      </w:r>
      <w:r>
        <w:rPr>
          <w:rFonts w:cs="Arial" w:hint="cs"/>
          <w:rtl/>
        </w:rPr>
        <w:t>,</w:t>
      </w:r>
      <w:r w:rsidRPr="00074C87">
        <w:rPr>
          <w:rFonts w:cs="Arial"/>
          <w:rtl/>
        </w:rPr>
        <w:t xml:space="preserve"> מותרין המשקין היוצאים מהם</w:t>
      </w:r>
      <w:r>
        <w:rPr>
          <w:rFonts w:cs="Arial" w:hint="cs"/>
          <w:rtl/>
        </w:rPr>
        <w:t>.</w:t>
      </w:r>
      <w:r w:rsidRPr="00074C87">
        <w:rPr>
          <w:rFonts w:cs="Arial"/>
          <w:rtl/>
        </w:rPr>
        <w:t xml:space="preserve"> ודוקא שנידוכו היטב מע"ש ואינן מחוסרים אלא שחיקה</w:t>
      </w:r>
      <w:r>
        <w:rPr>
          <w:rFonts w:cs="Arial" w:hint="cs"/>
          <w:rtl/>
        </w:rPr>
        <w:t>.</w:t>
      </w:r>
      <w:r w:rsidRPr="00074C87">
        <w:rPr>
          <w:rFonts w:cs="Arial"/>
          <w:rtl/>
        </w:rPr>
        <w:t xml:space="preserve"> אבל לא נידוכו היטב אלא שנתרסקו מעט</w:t>
      </w:r>
      <w:r>
        <w:rPr>
          <w:rFonts w:cs="Arial" w:hint="cs"/>
          <w:rtl/>
        </w:rPr>
        <w:t>,</w:t>
      </w:r>
      <w:r w:rsidRPr="00074C87">
        <w:rPr>
          <w:rFonts w:cs="Arial"/>
          <w:rtl/>
        </w:rPr>
        <w:t xml:space="preserve"> אסורין המשקין היוצאין מהם</w:t>
      </w:r>
      <w:r>
        <w:rPr>
          <w:rFonts w:cs="Arial" w:hint="cs"/>
          <w:sz w:val="16"/>
          <w:szCs w:val="16"/>
          <w:rtl/>
        </w:rPr>
        <w:t xml:space="preserve"> (ל' הטור)</w:t>
      </w:r>
      <w:r>
        <w:rPr>
          <w:rFonts w:cs="Arial" w:hint="cs"/>
          <w:rtl/>
        </w:rPr>
        <w:t>.</w:t>
      </w:r>
      <w:r w:rsidRPr="00074C87">
        <w:rPr>
          <w:rFonts w:cs="Arial"/>
          <w:rtl/>
        </w:rPr>
        <w:t xml:space="preserve"> </w:t>
      </w:r>
    </w:p>
    <w:p w14:paraId="6B74104E"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EA2650A" w14:textId="77777777" w:rsidR="004B2E7C" w:rsidRDefault="004B2E7C" w:rsidP="00434A6A">
      <w:pPr>
        <w:rPr>
          <w:rFonts w:cs="Arial"/>
          <w:rtl/>
        </w:rPr>
      </w:pPr>
      <w:r>
        <w:rPr>
          <w:rFonts w:cs="Arial"/>
          <w:rtl/>
        </w:rPr>
        <w:t>ומותר לפתוח מים לגנה והם נמשכים והולכים בכל השבת</w:t>
      </w:r>
      <w:r>
        <w:rPr>
          <w:rFonts w:cs="Arial" w:hint="cs"/>
          <w:rtl/>
        </w:rPr>
        <w:t>.</w:t>
      </w:r>
      <w:r>
        <w:rPr>
          <w:rFonts w:cs="Arial"/>
          <w:rtl/>
        </w:rPr>
        <w:t xml:space="preserve"> ולהניח קילור עבה על העין אף על פי שאסור להניחו בשבת</w:t>
      </w:r>
      <w:r>
        <w:rPr>
          <w:rFonts w:cs="Arial" w:hint="cs"/>
          <w:rtl/>
        </w:rPr>
        <w:t>.</w:t>
      </w:r>
      <w:r>
        <w:rPr>
          <w:rFonts w:cs="Arial"/>
          <w:rtl/>
        </w:rPr>
        <w:t xml:space="preserve"> ולתת מוגמר תחת הכלים והם מתגמרים מאליהם כל השבת ואפילו מוגמר מונח בכלי, דאין אדם מצווה על שביתת כלים</w:t>
      </w:r>
      <w:r>
        <w:rPr>
          <w:rFonts w:cs="Arial" w:hint="cs"/>
          <w:rtl/>
        </w:rPr>
        <w:t>.</w:t>
      </w:r>
      <w:r>
        <w:rPr>
          <w:rFonts w:cs="Arial"/>
          <w:rtl/>
        </w:rPr>
        <w:t xml:space="preserve"> ולתת שעורים בגיגית לשרותן</w:t>
      </w:r>
      <w:r>
        <w:rPr>
          <w:rFonts w:cs="Arial" w:hint="cs"/>
          <w:rtl/>
        </w:rPr>
        <w:t>.</w:t>
      </w:r>
      <w:r>
        <w:rPr>
          <w:rFonts w:cs="Arial"/>
          <w:rtl/>
        </w:rPr>
        <w:t xml:space="preserve"> וטוענין בקורת בית הבד והגת מבעוד יום על זיתים וענבים, והשמן והיין היוצא מהם מותר</w:t>
      </w:r>
      <w:r>
        <w:rPr>
          <w:rStyle w:val="a9"/>
          <w:rFonts w:cs="Arial"/>
          <w:rtl/>
        </w:rPr>
        <w:footnoteReference w:id="373"/>
      </w:r>
      <w:r>
        <w:rPr>
          <w:rFonts w:cs="Arial"/>
          <w:rtl/>
        </w:rPr>
        <w:t xml:space="preserve"> </w:t>
      </w:r>
      <w:r w:rsidRPr="00394624">
        <w:rPr>
          <w:rFonts w:cs="Arial"/>
          <w:sz w:val="18"/>
          <w:szCs w:val="18"/>
          <w:rtl/>
        </w:rPr>
        <w:t>(וע"ל סימן ש"כ סעיף ב')</w:t>
      </w:r>
      <w:r>
        <w:rPr>
          <w:rFonts w:cs="Arial" w:hint="cs"/>
          <w:rtl/>
        </w:rPr>
        <w:t>.</w:t>
      </w:r>
      <w:r>
        <w:rPr>
          <w:rFonts w:cs="Arial"/>
          <w:rtl/>
        </w:rPr>
        <w:t xml:space="preserve"> וכן בוסר</w:t>
      </w:r>
      <w:r>
        <w:rPr>
          <w:rStyle w:val="a9"/>
          <w:rFonts w:cs="Arial"/>
          <w:rtl/>
        </w:rPr>
        <w:footnoteReference w:id="374"/>
      </w:r>
      <w:r>
        <w:rPr>
          <w:rFonts w:cs="Arial"/>
          <w:rtl/>
        </w:rPr>
        <w:t xml:space="preserve"> ומלילות שריסקן</w:t>
      </w:r>
      <w:r>
        <w:rPr>
          <w:rStyle w:val="a9"/>
          <w:rFonts w:cs="Arial"/>
          <w:rtl/>
        </w:rPr>
        <w:footnoteReference w:id="375"/>
      </w:r>
      <w:r>
        <w:rPr>
          <w:rFonts w:cs="Arial"/>
          <w:rtl/>
        </w:rPr>
        <w:t xml:space="preserve"> מבעוד יום מותרים המשקים היוצאים מהם</w:t>
      </w:r>
      <w:r>
        <w:rPr>
          <w:rFonts w:cs="Arial" w:hint="cs"/>
          <w:rtl/>
        </w:rPr>
        <w:t>.</w:t>
      </w:r>
      <w:r>
        <w:rPr>
          <w:rFonts w:cs="Arial"/>
          <w:rtl/>
        </w:rPr>
        <w:t xml:space="preserve"> ומותר לתת חטים לתוך רחיים של מים, סמוך לחשיכה. </w:t>
      </w:r>
      <w:r w:rsidRPr="006A1B03">
        <w:rPr>
          <w:rFonts w:cs="Arial"/>
          <w:sz w:val="18"/>
          <w:szCs w:val="18"/>
          <w:rtl/>
        </w:rPr>
        <w:t>הגה: ולא חיישינן להשמעת קול, שיאמרו רחיים של פלוני טוחנות בשבת. ויש אוסרים ברחיים ובכל מקום</w:t>
      </w:r>
      <w:r>
        <w:rPr>
          <w:rStyle w:val="a9"/>
          <w:rFonts w:cs="Arial"/>
          <w:sz w:val="18"/>
          <w:szCs w:val="18"/>
          <w:rtl/>
        </w:rPr>
        <w:footnoteReference w:id="376"/>
      </w:r>
      <w:r w:rsidRPr="006A1B03">
        <w:rPr>
          <w:rFonts w:cs="Arial"/>
          <w:sz w:val="18"/>
          <w:szCs w:val="18"/>
          <w:rtl/>
        </w:rPr>
        <w:t xml:space="preserve"> שיש לחוש להשמעת קול (טור תוס</w:t>
      </w:r>
      <w:r>
        <w:rPr>
          <w:rFonts w:cs="Arial" w:hint="cs"/>
          <w:sz w:val="18"/>
          <w:szCs w:val="18"/>
          <w:rtl/>
        </w:rPr>
        <w:t>'</w:t>
      </w:r>
      <w:r w:rsidRPr="006A1B03">
        <w:rPr>
          <w:rFonts w:cs="Arial"/>
          <w:sz w:val="18"/>
          <w:szCs w:val="18"/>
          <w:rtl/>
        </w:rPr>
        <w:t xml:space="preserve"> </w:t>
      </w:r>
      <w:r>
        <w:rPr>
          <w:rFonts w:cs="Arial" w:hint="cs"/>
          <w:sz w:val="18"/>
          <w:szCs w:val="18"/>
          <w:rtl/>
        </w:rPr>
        <w:t xml:space="preserve">סמ"ג סמ"ק </w:t>
      </w:r>
      <w:r w:rsidRPr="006A1B03">
        <w:rPr>
          <w:rFonts w:cs="Arial"/>
          <w:sz w:val="18"/>
          <w:szCs w:val="18"/>
          <w:rtl/>
        </w:rPr>
        <w:t>רא"ש סה"ת הגה"מ מהרי"ו ואגור) והכי נהוג לכתחלה, מיהו במקום פסידא יש להקל כמו שנתבאר לעיל סוף סימן רמ"ד. ומותר להעמיד כלי משקולת שקורין זייגע"ר מערב שבת, אף על פי שמשמיע קול להודיע השעות בשבת, כי הכל יודעים שדרכן להעמידו מאתמול (</w:t>
      </w:r>
      <w:r>
        <w:rPr>
          <w:rFonts w:cs="Arial" w:hint="cs"/>
          <w:sz w:val="18"/>
          <w:szCs w:val="18"/>
          <w:rtl/>
        </w:rPr>
        <w:t>אגור</w:t>
      </w:r>
      <w:r w:rsidRPr="006A1B03">
        <w:rPr>
          <w:rFonts w:cs="Arial"/>
          <w:sz w:val="18"/>
          <w:szCs w:val="18"/>
          <w:rtl/>
        </w:rPr>
        <w:t>, ועיין לקמן סימן של"ח).</w:t>
      </w:r>
    </w:p>
    <w:p w14:paraId="170B0F45" w14:textId="77777777" w:rsidR="004B2E7C" w:rsidRDefault="004B2E7C" w:rsidP="00434A6A">
      <w:pPr>
        <w:rPr>
          <w:rtl/>
        </w:rPr>
      </w:pPr>
      <w:r>
        <w:rPr>
          <w:rFonts w:cs="Arial"/>
          <w:rtl/>
        </w:rPr>
        <w:t xml:space="preserve"> </w:t>
      </w:r>
    </w:p>
    <w:p w14:paraId="1E558D5B" w14:textId="77777777" w:rsidR="004B2E7C" w:rsidRDefault="004B2E7C" w:rsidP="00434A6A">
      <w:pPr>
        <w:pStyle w:val="2"/>
        <w:rPr>
          <w:rtl/>
        </w:rPr>
      </w:pPr>
      <w:r>
        <w:rPr>
          <w:rtl/>
        </w:rPr>
        <w:t>סעיף ו</w:t>
      </w:r>
      <w:r>
        <w:rPr>
          <w:rFonts w:hint="cs"/>
          <w:rtl/>
        </w:rPr>
        <w:t>: יציאה עם מחט או תפילין בערב שבת סמוך לחשיכה.</w:t>
      </w:r>
    </w:p>
    <w:p w14:paraId="531C93E1" w14:textId="77777777" w:rsidR="004B2E7C" w:rsidRPr="008541E8" w:rsidRDefault="004B2E7C" w:rsidP="00434A6A">
      <w:pPr>
        <w:rPr>
          <w:rtl/>
        </w:rPr>
      </w:pPr>
      <w:r w:rsidRPr="00640D2C">
        <w:rPr>
          <w:rFonts w:cs="Arial"/>
          <w:b/>
          <w:bCs/>
          <w:rtl/>
        </w:rPr>
        <w:t xml:space="preserve">שבת </w:t>
      </w:r>
      <w:r w:rsidRPr="00640D2C">
        <w:rPr>
          <w:rFonts w:cs="Arial"/>
          <w:b/>
          <w:bCs/>
          <w:sz w:val="16"/>
          <w:szCs w:val="16"/>
          <w:rtl/>
        </w:rPr>
        <w:t>(</w:t>
      </w:r>
      <w:r w:rsidRPr="00640D2C">
        <w:rPr>
          <w:rFonts w:cs="Arial" w:hint="cs"/>
          <w:b/>
          <w:bCs/>
          <w:sz w:val="16"/>
          <w:szCs w:val="16"/>
          <w:rtl/>
        </w:rPr>
        <w:t xml:space="preserve">פ"ק) </w:t>
      </w:r>
      <w:r w:rsidRPr="00640D2C">
        <w:rPr>
          <w:rFonts w:cs="Arial"/>
          <w:b/>
          <w:bCs/>
          <w:rtl/>
        </w:rPr>
        <w:t>יא</w:t>
      </w:r>
      <w:r w:rsidRPr="00640D2C">
        <w:rPr>
          <w:rFonts w:cs="Arial" w:hint="cs"/>
          <w:b/>
          <w:bCs/>
          <w:rtl/>
        </w:rPr>
        <w:t xml:space="preserve"> ע"א:</w:t>
      </w:r>
      <w:r w:rsidRPr="00640D2C">
        <w:rPr>
          <w:rtl/>
        </w:rPr>
        <w:t xml:space="preserve"> </w:t>
      </w:r>
      <w:r w:rsidRPr="00640D2C">
        <w:rPr>
          <w:rFonts w:cs="Arial"/>
          <w:u w:val="double"/>
          <w:rtl/>
        </w:rPr>
        <w:t>משנה</w:t>
      </w:r>
      <w:r>
        <w:rPr>
          <w:rFonts w:cs="Arial" w:hint="cs"/>
          <w:rtl/>
        </w:rPr>
        <w:t>:</w:t>
      </w:r>
      <w:r w:rsidRPr="00640D2C">
        <w:rPr>
          <w:rFonts w:cs="Arial"/>
          <w:rtl/>
        </w:rPr>
        <w:t xml:space="preserve"> לא יצא החייט במחטו סמוך לחשכה - שמא ישכח ויצא, ולא הלבלר בקולמוסו</w:t>
      </w:r>
      <w:r>
        <w:rPr>
          <w:rFonts w:cs="Arial" w:hint="cs"/>
          <w:rtl/>
        </w:rPr>
        <w:t>..</w:t>
      </w:r>
      <w:r w:rsidRPr="00640D2C">
        <w:rPr>
          <w:rFonts w:cs="Arial"/>
          <w:rtl/>
        </w:rPr>
        <w:t>.</w:t>
      </w:r>
      <w:r>
        <w:rPr>
          <w:rFonts w:hint="cs"/>
          <w:rtl/>
        </w:rPr>
        <w:t xml:space="preserve">      </w:t>
      </w:r>
      <w:r w:rsidRPr="00373335">
        <w:rPr>
          <w:rFonts w:hint="cs"/>
          <w:u w:val="double"/>
          <w:rtl/>
        </w:rPr>
        <w:t>גמרא:</w:t>
      </w:r>
      <w:r w:rsidRPr="00373335">
        <w:rPr>
          <w:rtl/>
        </w:rPr>
        <w:t xml:space="preserve"> </w:t>
      </w:r>
      <w:r w:rsidRPr="007A36EC">
        <w:rPr>
          <w:rFonts w:cs="Arial"/>
          <w:rtl/>
        </w:rPr>
        <w:t xml:space="preserve">תנן התם: לא יעמוד אדם ברשות היחיד וישתה ברשות הרבים, ברשות הרבים וישתה ברשות היחיד. אבל אם הכניס ראשו ורובו למקום שהוא שותה - מותר, </w:t>
      </w:r>
      <w:r>
        <w:rPr>
          <w:rFonts w:cs="Arial" w:hint="cs"/>
          <w:sz w:val="14"/>
          <w:szCs w:val="14"/>
          <w:rtl/>
        </w:rPr>
        <w:t xml:space="preserve">(יא:) </w:t>
      </w:r>
      <w:r>
        <w:rPr>
          <w:rFonts w:cs="Arial" w:hint="cs"/>
          <w:rtl/>
        </w:rPr>
        <w:t xml:space="preserve">וכן בגת. </w:t>
      </w:r>
      <w:r w:rsidRPr="00373335">
        <w:rPr>
          <w:rFonts w:cs="Arial"/>
          <w:rtl/>
        </w:rPr>
        <w:t>איבעיא להו: כרמלית</w:t>
      </w:r>
      <w:r>
        <w:rPr>
          <w:rStyle w:val="a9"/>
          <w:rFonts w:cs="Arial"/>
          <w:rtl/>
        </w:rPr>
        <w:footnoteReference w:id="377"/>
      </w:r>
      <w:r w:rsidRPr="00373335">
        <w:rPr>
          <w:rFonts w:cs="Arial"/>
          <w:rtl/>
        </w:rPr>
        <w:t xml:space="preserve"> מאי</w:t>
      </w:r>
      <w:r>
        <w:rPr>
          <w:rStyle w:val="a9"/>
          <w:rFonts w:cs="Arial"/>
          <w:rtl/>
        </w:rPr>
        <w:footnoteReference w:id="378"/>
      </w:r>
      <w:r w:rsidRPr="00373335">
        <w:rPr>
          <w:rFonts w:cs="Arial"/>
          <w:rtl/>
        </w:rPr>
        <w:t xml:space="preserve">? </w:t>
      </w:r>
      <w:r w:rsidRPr="00373335">
        <w:rPr>
          <w:rFonts w:cs="Arial"/>
          <w:u w:val="single"/>
          <w:rtl/>
        </w:rPr>
        <w:t>אמר אביי</w:t>
      </w:r>
      <w:r w:rsidRPr="00373335">
        <w:rPr>
          <w:rFonts w:cs="Arial"/>
          <w:rtl/>
        </w:rPr>
        <w:t>: היא היא</w:t>
      </w:r>
      <w:r>
        <w:rPr>
          <w:rStyle w:val="a9"/>
          <w:rFonts w:cs="Arial"/>
          <w:rtl/>
        </w:rPr>
        <w:footnoteReference w:id="379"/>
      </w:r>
      <w:r w:rsidRPr="00373335">
        <w:rPr>
          <w:rFonts w:cs="Arial"/>
          <w:rtl/>
        </w:rPr>
        <w:t xml:space="preserve">. </w:t>
      </w:r>
      <w:r w:rsidRPr="00373335">
        <w:rPr>
          <w:rFonts w:cs="Arial"/>
          <w:u w:val="single"/>
          <w:rtl/>
        </w:rPr>
        <w:t>רבא אמר</w:t>
      </w:r>
      <w:r w:rsidRPr="00373335">
        <w:rPr>
          <w:rFonts w:cs="Arial"/>
          <w:rtl/>
        </w:rPr>
        <w:t>: היא גופה</w:t>
      </w:r>
      <w:r>
        <w:rPr>
          <w:rStyle w:val="a9"/>
          <w:rFonts w:cs="Arial"/>
          <w:rtl/>
        </w:rPr>
        <w:footnoteReference w:id="380"/>
      </w:r>
      <w:r w:rsidRPr="00373335">
        <w:rPr>
          <w:rFonts w:cs="Arial"/>
          <w:rtl/>
        </w:rPr>
        <w:t xml:space="preserve"> גזירה, ואנן ניקום ונגזור</w:t>
      </w:r>
      <w:r>
        <w:rPr>
          <w:rStyle w:val="a9"/>
          <w:rFonts w:cs="Arial"/>
          <w:rtl/>
        </w:rPr>
        <w:footnoteReference w:id="381"/>
      </w:r>
      <w:r w:rsidRPr="00373335">
        <w:rPr>
          <w:rFonts w:cs="Arial"/>
          <w:rtl/>
        </w:rPr>
        <w:t xml:space="preserve"> גזירה לגזירה?</w:t>
      </w:r>
      <w:r w:rsidRPr="000443C8">
        <w:rPr>
          <w:rtl/>
        </w:rPr>
        <w:t xml:space="preserve"> </w:t>
      </w:r>
      <w:r w:rsidRPr="007A36EC">
        <w:rPr>
          <w:rFonts w:cs="Arial"/>
          <w:u w:val="single"/>
          <w:rtl/>
        </w:rPr>
        <w:t>אמר אביי</w:t>
      </w:r>
      <w:r w:rsidRPr="000443C8">
        <w:rPr>
          <w:rFonts w:cs="Arial"/>
          <w:rtl/>
        </w:rPr>
        <w:t xml:space="preserve">: מנא אמינא לה - דקתני וכן בגת. מאי גת? אי רשות היחיד - תנינא, אי רשות הרבים - תנינא, אלא לאו - כרמלית. </w:t>
      </w:r>
      <w:r w:rsidRPr="007A36EC">
        <w:rPr>
          <w:rFonts w:cs="Arial"/>
          <w:u w:val="single"/>
          <w:rtl/>
        </w:rPr>
        <w:t>רבא אמר</w:t>
      </w:r>
      <w:r w:rsidRPr="000443C8">
        <w:rPr>
          <w:rFonts w:cs="Arial"/>
          <w:rtl/>
        </w:rPr>
        <w:t xml:space="preserve">: וכן בגת - לענין מעשר. </w:t>
      </w:r>
      <w:r w:rsidRPr="007A36EC">
        <w:rPr>
          <w:rFonts w:cs="Arial"/>
          <w:u w:val="single"/>
          <w:rtl/>
        </w:rPr>
        <w:t>וכן אמר רב ששת</w:t>
      </w:r>
      <w:r w:rsidRPr="000443C8">
        <w:rPr>
          <w:rFonts w:cs="Arial"/>
          <w:rtl/>
        </w:rPr>
        <w:t>: וכן בגת - לענין מעשר</w:t>
      </w:r>
      <w:r>
        <w:rPr>
          <w:rFonts w:cs="Arial" w:hint="cs"/>
          <w:rtl/>
        </w:rPr>
        <w:t>..</w:t>
      </w:r>
      <w:r w:rsidRPr="00373335">
        <w:rPr>
          <w:rFonts w:cs="Arial"/>
          <w:rtl/>
        </w:rPr>
        <w:t>. תנן: לא יצא החייט במחטו סמוך לחשיכה שמא ישכח ויצא, מאי לאו דתחובה לו בבגדו</w:t>
      </w:r>
      <w:r>
        <w:rPr>
          <w:rStyle w:val="a9"/>
          <w:rFonts w:cs="Arial"/>
          <w:rtl/>
        </w:rPr>
        <w:footnoteReference w:id="382"/>
      </w:r>
      <w:r w:rsidRPr="00373335">
        <w:rPr>
          <w:rFonts w:cs="Arial"/>
          <w:rtl/>
        </w:rPr>
        <w:t>? לא, דנקיט ליה בידיה. תא שמע: לא יצא החייט במחטו התחובה לו בבגדו, מאי לאו בערב שבת? לא, כי תניא ההיא</w:t>
      </w:r>
      <w:r>
        <w:rPr>
          <w:rStyle w:val="a9"/>
          <w:rFonts w:cs="Arial"/>
          <w:rtl/>
        </w:rPr>
        <w:footnoteReference w:id="383"/>
      </w:r>
      <w:r w:rsidRPr="00373335">
        <w:rPr>
          <w:rFonts w:cs="Arial"/>
          <w:rtl/>
        </w:rPr>
        <w:t xml:space="preserve"> - בשבת. והתניא: לא יצא החייט במחטו התחובה בבגדו בערב שבת עם חשיכה! הא מני - רבי יהודה היא, דאמר: אומן</w:t>
      </w:r>
      <w:r>
        <w:rPr>
          <w:rStyle w:val="a9"/>
          <w:rFonts w:cs="Arial"/>
          <w:rtl/>
        </w:rPr>
        <w:footnoteReference w:id="384"/>
      </w:r>
      <w:r w:rsidRPr="00373335">
        <w:rPr>
          <w:rFonts w:cs="Arial"/>
          <w:rtl/>
        </w:rPr>
        <w:t xml:space="preserve"> דרך אומנתו חייב. דתניא: לא יצא החייט במחטו התחובה לו בבגדו, ולא נגר בקיסם שבאזנו, ולא סורק במשיחה שבאזנו, ולא גרדי באירא שבאזנו, ולא צבע בדוגמא שבצוארו, ולא שולחני בדינר שבאזנו, ואם יצא - פטור אבל אסור, </w:t>
      </w:r>
      <w:r w:rsidRPr="004206F4">
        <w:rPr>
          <w:rFonts w:cs="Arial"/>
          <w:u w:val="single"/>
          <w:rtl/>
        </w:rPr>
        <w:t>דברי רבי מאיר</w:t>
      </w:r>
      <w:r w:rsidRPr="00373335">
        <w:rPr>
          <w:rFonts w:cs="Arial"/>
          <w:rtl/>
        </w:rPr>
        <w:t xml:space="preserve">. </w:t>
      </w:r>
      <w:r w:rsidRPr="004206F4">
        <w:rPr>
          <w:rFonts w:cs="Arial"/>
          <w:u w:val="single"/>
          <w:rtl/>
        </w:rPr>
        <w:t>רבי יהודה אומר</w:t>
      </w:r>
      <w:r w:rsidRPr="00373335">
        <w:rPr>
          <w:rFonts w:cs="Arial"/>
          <w:rtl/>
        </w:rPr>
        <w:t>: אומן דרך אומנתו - חייב, שאר כל אדם - פטור.</w:t>
      </w:r>
      <w:r>
        <w:rPr>
          <w:rFonts w:hint="cs"/>
          <w:rtl/>
        </w:rPr>
        <w:t xml:space="preserve"> </w:t>
      </w:r>
      <w:r w:rsidRPr="008541E8">
        <w:rPr>
          <w:rFonts w:hint="cs"/>
          <w:sz w:val="16"/>
          <w:szCs w:val="16"/>
          <w:rtl/>
        </w:rPr>
        <w:t>(</w:t>
      </w:r>
      <w:r w:rsidRPr="008541E8">
        <w:rPr>
          <w:rFonts w:cs="Arial"/>
          <w:sz w:val="16"/>
          <w:szCs w:val="16"/>
          <w:rtl/>
        </w:rPr>
        <w:t>לרבא דאמר לא גזרינן כרמלית אטו רשות הרבים משום דהוי גזירה לגזירה</w:t>
      </w:r>
      <w:r>
        <w:rPr>
          <w:rFonts w:cs="Arial" w:hint="cs"/>
          <w:sz w:val="16"/>
          <w:szCs w:val="16"/>
          <w:rtl/>
        </w:rPr>
        <w:t>,</w:t>
      </w:r>
      <w:r w:rsidRPr="008541E8">
        <w:rPr>
          <w:rFonts w:cs="Arial"/>
          <w:sz w:val="16"/>
          <w:szCs w:val="16"/>
          <w:rtl/>
        </w:rPr>
        <w:t xml:space="preserve"> מתניתין דלא יצא החייט במחטו </w:t>
      </w:r>
      <w:r>
        <w:rPr>
          <w:rFonts w:cs="Arial" w:hint="cs"/>
          <w:sz w:val="16"/>
          <w:szCs w:val="16"/>
          <w:rtl/>
        </w:rPr>
        <w:t xml:space="preserve">- </w:t>
      </w:r>
      <w:r w:rsidRPr="008541E8">
        <w:rPr>
          <w:rFonts w:cs="Arial"/>
          <w:sz w:val="16"/>
          <w:szCs w:val="16"/>
          <w:rtl/>
        </w:rPr>
        <w:t>ביוצא בה בידו מיתוקמא</w:t>
      </w:r>
      <w:r w:rsidRPr="008541E8">
        <w:rPr>
          <w:rFonts w:cs="Arial" w:hint="cs"/>
          <w:sz w:val="16"/>
          <w:szCs w:val="16"/>
          <w:rtl/>
        </w:rPr>
        <w:t>.</w:t>
      </w:r>
      <w:r w:rsidRPr="008541E8">
        <w:rPr>
          <w:rFonts w:cs="Arial"/>
          <w:sz w:val="16"/>
          <w:szCs w:val="16"/>
          <w:rtl/>
        </w:rPr>
        <w:t xml:space="preserve"> אבל אם היא תחובה בבגדו</w:t>
      </w:r>
      <w:r>
        <w:rPr>
          <w:rFonts w:cs="Arial" w:hint="cs"/>
          <w:sz w:val="16"/>
          <w:szCs w:val="16"/>
          <w:rtl/>
        </w:rPr>
        <w:t>,</w:t>
      </w:r>
      <w:r w:rsidRPr="008541E8">
        <w:rPr>
          <w:rFonts w:cs="Arial"/>
          <w:sz w:val="16"/>
          <w:szCs w:val="16"/>
          <w:rtl/>
        </w:rPr>
        <w:t xml:space="preserve"> כיון דבשבת גופיה לא מיתסר אלא משום שבות </w:t>
      </w:r>
      <w:r>
        <w:rPr>
          <w:rFonts w:cs="Arial" w:hint="cs"/>
          <w:sz w:val="16"/>
          <w:szCs w:val="16"/>
          <w:rtl/>
        </w:rPr>
        <w:t xml:space="preserve">- </w:t>
      </w:r>
      <w:r w:rsidRPr="008541E8">
        <w:rPr>
          <w:rFonts w:cs="Arial"/>
          <w:sz w:val="16"/>
          <w:szCs w:val="16"/>
          <w:rtl/>
        </w:rPr>
        <w:t>לא אסרינן ליה לצאת בה עם חשיכה</w:t>
      </w:r>
      <w:r>
        <w:rPr>
          <w:rFonts w:cs="Arial" w:hint="cs"/>
          <w:sz w:val="16"/>
          <w:szCs w:val="16"/>
          <w:rtl/>
        </w:rPr>
        <w:t>,</w:t>
      </w:r>
      <w:r w:rsidRPr="008541E8">
        <w:rPr>
          <w:rFonts w:cs="Arial"/>
          <w:sz w:val="16"/>
          <w:szCs w:val="16"/>
          <w:rtl/>
        </w:rPr>
        <w:t xml:space="preserve"> דאם כן הוה ליה גזירה לגזירה</w:t>
      </w:r>
      <w:r w:rsidRPr="008541E8">
        <w:rPr>
          <w:rFonts w:cs="Arial" w:hint="cs"/>
          <w:sz w:val="16"/>
          <w:szCs w:val="16"/>
          <w:rtl/>
        </w:rPr>
        <w:t>.</w:t>
      </w:r>
      <w:r w:rsidRPr="008541E8">
        <w:rPr>
          <w:rFonts w:cs="Arial"/>
          <w:sz w:val="16"/>
          <w:szCs w:val="16"/>
          <w:rtl/>
        </w:rPr>
        <w:t xml:space="preserve"> והיינו בשאר כל אדם</w:t>
      </w:r>
      <w:r>
        <w:rPr>
          <w:rFonts w:cs="Arial" w:hint="cs"/>
          <w:sz w:val="16"/>
          <w:szCs w:val="16"/>
          <w:rtl/>
        </w:rPr>
        <w:t>,</w:t>
      </w:r>
      <w:r w:rsidRPr="008541E8">
        <w:rPr>
          <w:rFonts w:cs="Arial"/>
          <w:sz w:val="16"/>
          <w:szCs w:val="16"/>
          <w:rtl/>
        </w:rPr>
        <w:t xml:space="preserve"> אבל החייט עצמו פלוגתא דרבי יהודה ורבי מאיר היא</w:t>
      </w:r>
      <w:r w:rsidRPr="008541E8">
        <w:rPr>
          <w:rFonts w:cs="Arial" w:hint="cs"/>
          <w:sz w:val="16"/>
          <w:szCs w:val="16"/>
          <w:rtl/>
        </w:rPr>
        <w:t>.</w:t>
      </w:r>
      <w:r w:rsidRPr="008541E8">
        <w:rPr>
          <w:rFonts w:cs="Arial"/>
          <w:sz w:val="16"/>
          <w:szCs w:val="16"/>
          <w:rtl/>
        </w:rPr>
        <w:t xml:space="preserve"> דלרבי יהודה אם יצא בה בשבת תחובה בבגדו </w:t>
      </w:r>
      <w:r>
        <w:rPr>
          <w:rFonts w:cs="Arial" w:hint="cs"/>
          <w:sz w:val="16"/>
          <w:szCs w:val="16"/>
          <w:rtl/>
        </w:rPr>
        <w:t xml:space="preserve">- </w:t>
      </w:r>
      <w:r w:rsidRPr="008541E8">
        <w:rPr>
          <w:rFonts w:cs="Arial"/>
          <w:sz w:val="16"/>
          <w:szCs w:val="16"/>
          <w:rtl/>
        </w:rPr>
        <w:t>חייב חטאת</w:t>
      </w:r>
      <w:r>
        <w:rPr>
          <w:rFonts w:cs="Arial" w:hint="cs"/>
          <w:sz w:val="16"/>
          <w:szCs w:val="16"/>
          <w:rtl/>
        </w:rPr>
        <w:t>,</w:t>
      </w:r>
      <w:r w:rsidRPr="008541E8">
        <w:rPr>
          <w:rFonts w:cs="Arial"/>
          <w:sz w:val="16"/>
          <w:szCs w:val="16"/>
          <w:rtl/>
        </w:rPr>
        <w:t xml:space="preserve"> ולרבי מאיר </w:t>
      </w:r>
      <w:r>
        <w:rPr>
          <w:rFonts w:cs="Arial" w:hint="cs"/>
          <w:sz w:val="16"/>
          <w:szCs w:val="16"/>
          <w:rtl/>
        </w:rPr>
        <w:t xml:space="preserve">- </w:t>
      </w:r>
      <w:r w:rsidRPr="008541E8">
        <w:rPr>
          <w:rFonts w:cs="Arial"/>
          <w:sz w:val="16"/>
          <w:szCs w:val="16"/>
          <w:rtl/>
        </w:rPr>
        <w:t>פטור</w:t>
      </w:r>
      <w:r w:rsidRPr="008541E8">
        <w:rPr>
          <w:rFonts w:cs="Arial" w:hint="cs"/>
          <w:sz w:val="16"/>
          <w:szCs w:val="16"/>
          <w:rtl/>
        </w:rPr>
        <w:t>.</w:t>
      </w:r>
      <w:r w:rsidRPr="008541E8">
        <w:rPr>
          <w:rFonts w:cs="Arial"/>
          <w:sz w:val="16"/>
          <w:szCs w:val="16"/>
          <w:rtl/>
        </w:rPr>
        <w:t xml:space="preserve"> הילכך לרבי יהודה אסור לצאת החייט בערב שבת סמוך לחשיכה במחטו כשהיא תחובה לו בבגדו גזירה שמא יצא בה בשבת</w:t>
      </w:r>
      <w:r w:rsidRPr="008541E8">
        <w:rPr>
          <w:rFonts w:cs="Arial" w:hint="cs"/>
          <w:sz w:val="16"/>
          <w:szCs w:val="16"/>
          <w:rtl/>
        </w:rPr>
        <w:t>.</w:t>
      </w:r>
      <w:r w:rsidRPr="008541E8">
        <w:rPr>
          <w:rFonts w:cs="Arial"/>
          <w:sz w:val="16"/>
          <w:szCs w:val="16"/>
          <w:rtl/>
        </w:rPr>
        <w:t xml:space="preserve"> ולרבי מאיר שרי דאם לא כן הויא גזירה לגזירה</w:t>
      </w:r>
      <w:r>
        <w:rPr>
          <w:rFonts w:cs="Arial" w:hint="cs"/>
          <w:sz w:val="16"/>
          <w:szCs w:val="16"/>
          <w:rtl/>
        </w:rPr>
        <w:t>, ב"י)</w:t>
      </w:r>
    </w:p>
    <w:p w14:paraId="0A6204F2" w14:textId="77777777" w:rsidR="004B2E7C" w:rsidRDefault="004B2E7C" w:rsidP="00434A6A">
      <w:pPr>
        <w:rPr>
          <w:rFonts w:cs="Arial"/>
          <w:rtl/>
        </w:rPr>
      </w:pPr>
      <w:r w:rsidRPr="00D849E8">
        <w:rPr>
          <w:rFonts w:cs="Arial" w:hint="cs"/>
          <w:u w:val="single"/>
          <w:rtl/>
        </w:rPr>
        <w:t>כיצד נפסק גבי הוצאת מחט:</w:t>
      </w:r>
    </w:p>
    <w:p w14:paraId="6D646219" w14:textId="77777777" w:rsidR="004B2E7C" w:rsidRPr="00D849E8" w:rsidRDefault="004B2E7C" w:rsidP="00FF2D21">
      <w:pPr>
        <w:pStyle w:val="aa"/>
        <w:numPr>
          <w:ilvl w:val="0"/>
          <w:numId w:val="112"/>
        </w:numPr>
        <w:rPr>
          <w:rFonts w:cs="Arial"/>
          <w:rtl/>
        </w:rPr>
      </w:pPr>
      <w:r w:rsidRPr="00D849E8">
        <w:rPr>
          <w:rFonts w:cs="Arial"/>
          <w:rtl/>
        </w:rPr>
        <w:t xml:space="preserve">רי"ף </w:t>
      </w:r>
      <w:r w:rsidRPr="00D849E8">
        <w:rPr>
          <w:rFonts w:cs="Arial"/>
          <w:sz w:val="16"/>
          <w:szCs w:val="16"/>
          <w:rtl/>
        </w:rPr>
        <w:t>(לב:</w:t>
      </w:r>
      <w:r>
        <w:rPr>
          <w:rFonts w:cs="Arial" w:hint="cs"/>
          <w:sz w:val="16"/>
          <w:szCs w:val="16"/>
          <w:rtl/>
        </w:rPr>
        <w:t>, להב' הב"י</w:t>
      </w:r>
      <w:r w:rsidRPr="00D849E8">
        <w:rPr>
          <w:rFonts w:cs="Arial"/>
          <w:sz w:val="16"/>
          <w:szCs w:val="16"/>
          <w:rtl/>
        </w:rPr>
        <w:t xml:space="preserve">) </w:t>
      </w:r>
      <w:r>
        <w:rPr>
          <w:rFonts w:cs="Arial" w:hint="cs"/>
          <w:rtl/>
        </w:rPr>
        <w:t xml:space="preserve">ורא"ש </w:t>
      </w:r>
      <w:r w:rsidRPr="00D849E8">
        <w:rPr>
          <w:rFonts w:cs="Arial" w:hint="cs"/>
          <w:sz w:val="16"/>
          <w:szCs w:val="16"/>
          <w:rtl/>
        </w:rPr>
        <w:t>(פ"ק דשבת סי' כז, ועירובין פ"י סי' ו</w:t>
      </w:r>
      <w:r>
        <w:rPr>
          <w:rFonts w:cs="Arial" w:hint="cs"/>
          <w:sz w:val="16"/>
          <w:szCs w:val="16"/>
          <w:rtl/>
        </w:rPr>
        <w:t>, להב' הב"י</w:t>
      </w:r>
      <w:r w:rsidRPr="00D849E8">
        <w:rPr>
          <w:rFonts w:cs="Arial" w:hint="cs"/>
          <w:sz w:val="16"/>
          <w:szCs w:val="16"/>
          <w:rtl/>
        </w:rPr>
        <w:t>)</w:t>
      </w:r>
      <w:r>
        <w:rPr>
          <w:rFonts w:cs="Arial" w:hint="cs"/>
          <w:rtl/>
        </w:rPr>
        <w:t xml:space="preserve">- </w:t>
      </w:r>
      <w:r>
        <w:rPr>
          <w:rStyle w:val="a9"/>
          <w:rFonts w:cs="Arial"/>
          <w:rtl/>
        </w:rPr>
        <w:footnoteReference w:id="385"/>
      </w:r>
      <w:r w:rsidRPr="00D849E8">
        <w:rPr>
          <w:rFonts w:cs="Arial"/>
          <w:rtl/>
        </w:rPr>
        <w:t>כרבי יהודה</w:t>
      </w:r>
      <w:r>
        <w:rPr>
          <w:rFonts w:cs="Arial" w:hint="cs"/>
          <w:rtl/>
        </w:rPr>
        <w:t>,</w:t>
      </w:r>
      <w:r w:rsidRPr="00D849E8">
        <w:rPr>
          <w:rFonts w:cs="Arial"/>
          <w:rtl/>
        </w:rPr>
        <w:t xml:space="preserve"> דיוצא במחט תחובה בבגדו בשבת חייב חטאת</w:t>
      </w:r>
      <w:r>
        <w:rPr>
          <w:rFonts w:cs="Arial" w:hint="cs"/>
          <w:rtl/>
        </w:rPr>
        <w:t>,</w:t>
      </w:r>
      <w:r w:rsidRPr="00D849E8">
        <w:rPr>
          <w:rFonts w:cs="Arial"/>
          <w:rtl/>
        </w:rPr>
        <w:t xml:space="preserve"> הילכך סמוך לחשיכה אסור לצאת בה תחובה בבגדו</w:t>
      </w:r>
      <w:r w:rsidRPr="00D849E8">
        <w:rPr>
          <w:rFonts w:cs="Arial" w:hint="cs"/>
          <w:rtl/>
        </w:rPr>
        <w:t>.</w:t>
      </w:r>
      <w:r w:rsidRPr="00D849E8">
        <w:rPr>
          <w:rFonts w:cs="Arial"/>
          <w:rtl/>
        </w:rPr>
        <w:t xml:space="preserve"> ומתניתין רבי יהודה היא</w:t>
      </w:r>
      <w:r>
        <w:rPr>
          <w:rFonts w:cs="Arial" w:hint="cs"/>
          <w:rtl/>
        </w:rPr>
        <w:t>,</w:t>
      </w:r>
      <w:r w:rsidRPr="00D849E8">
        <w:rPr>
          <w:rFonts w:cs="Arial"/>
          <w:rtl/>
        </w:rPr>
        <w:t xml:space="preserve"> דקתני לא יצא החייט דמשמע אומן דוקא</w:t>
      </w:r>
      <w:r>
        <w:rPr>
          <w:rFonts w:cs="Arial" w:hint="cs"/>
          <w:rtl/>
        </w:rPr>
        <w:t>,</w:t>
      </w:r>
      <w:r w:rsidRPr="00D849E8">
        <w:rPr>
          <w:rFonts w:cs="Arial"/>
          <w:rtl/>
        </w:rPr>
        <w:t xml:space="preserve"> אבל מי שאינו אומן יוצא בה תחובה בבגדו</w:t>
      </w:r>
      <w:r>
        <w:rPr>
          <w:rStyle w:val="a9"/>
          <w:rFonts w:cs="Arial"/>
          <w:rtl/>
        </w:rPr>
        <w:footnoteReference w:id="386"/>
      </w:r>
      <w:r>
        <w:rPr>
          <w:rFonts w:cs="Arial" w:hint="cs"/>
          <w:sz w:val="16"/>
          <w:szCs w:val="16"/>
          <w:rtl/>
        </w:rPr>
        <w:t xml:space="preserve"> (ל' הב"י בשמם)</w:t>
      </w:r>
      <w:r w:rsidRPr="00D849E8">
        <w:rPr>
          <w:rFonts w:cs="Arial"/>
          <w:rtl/>
        </w:rPr>
        <w:t>.</w:t>
      </w:r>
    </w:p>
    <w:p w14:paraId="3F143D09" w14:textId="77777777" w:rsidR="004B2E7C" w:rsidRDefault="004B2E7C" w:rsidP="00FF2D21">
      <w:pPr>
        <w:pStyle w:val="aa"/>
        <w:numPr>
          <w:ilvl w:val="0"/>
          <w:numId w:val="112"/>
        </w:numPr>
      </w:pPr>
      <w:r w:rsidRPr="00D849E8">
        <w:rPr>
          <w:rFonts w:cs="Arial"/>
          <w:rtl/>
        </w:rPr>
        <w:t xml:space="preserve">רמב"ם </w:t>
      </w:r>
      <w:r w:rsidRPr="00D849E8">
        <w:rPr>
          <w:rFonts w:cs="Arial" w:hint="cs"/>
          <w:sz w:val="16"/>
          <w:szCs w:val="16"/>
          <w:rtl/>
        </w:rPr>
        <w:t>(פי</w:t>
      </w:r>
      <w:r w:rsidRPr="00D849E8">
        <w:rPr>
          <w:rFonts w:cs="Arial"/>
          <w:sz w:val="16"/>
          <w:szCs w:val="16"/>
          <w:rtl/>
        </w:rPr>
        <w:t>"ט הכ"א</w:t>
      </w:r>
      <w:r>
        <w:rPr>
          <w:rFonts w:cs="Arial" w:hint="cs"/>
          <w:sz w:val="16"/>
          <w:szCs w:val="16"/>
          <w:rtl/>
        </w:rPr>
        <w:t>, להב' הב"י</w:t>
      </w:r>
      <w:r w:rsidRPr="00D849E8">
        <w:rPr>
          <w:rFonts w:cs="Arial"/>
          <w:sz w:val="16"/>
          <w:szCs w:val="16"/>
          <w:rtl/>
        </w:rPr>
        <w:t>)</w:t>
      </w:r>
      <w:r>
        <w:rPr>
          <w:rFonts w:cs="Arial" w:hint="cs"/>
          <w:rtl/>
        </w:rPr>
        <w:t xml:space="preserve"> וטור </w:t>
      </w:r>
      <w:r>
        <w:rPr>
          <w:rFonts w:cs="Arial" w:hint="cs"/>
          <w:sz w:val="16"/>
          <w:szCs w:val="16"/>
          <w:rtl/>
        </w:rPr>
        <w:t>(כאן</w:t>
      </w:r>
      <w:r>
        <w:rPr>
          <w:rStyle w:val="a9"/>
          <w:rFonts w:cs="Arial"/>
          <w:sz w:val="16"/>
          <w:szCs w:val="16"/>
          <w:rtl/>
        </w:rPr>
        <w:footnoteReference w:id="387"/>
      </w:r>
      <w:r>
        <w:rPr>
          <w:rFonts w:cs="Arial" w:hint="cs"/>
          <w:sz w:val="16"/>
          <w:szCs w:val="16"/>
          <w:rtl/>
        </w:rPr>
        <w:t>, ובסי' שא</w:t>
      </w:r>
      <w:r>
        <w:rPr>
          <w:rStyle w:val="a9"/>
          <w:rFonts w:cs="Arial"/>
          <w:sz w:val="16"/>
          <w:szCs w:val="16"/>
          <w:rtl/>
        </w:rPr>
        <w:footnoteReference w:id="388"/>
      </w:r>
      <w:r>
        <w:rPr>
          <w:rFonts w:cs="Arial" w:hint="cs"/>
          <w:sz w:val="16"/>
          <w:szCs w:val="16"/>
          <w:rtl/>
        </w:rPr>
        <w:t>, להב' הב"י)</w:t>
      </w:r>
      <w:r>
        <w:rPr>
          <w:rFonts w:cs="Arial" w:hint="cs"/>
          <w:rtl/>
        </w:rPr>
        <w:t>-</w:t>
      </w:r>
      <w:r w:rsidRPr="00D849E8">
        <w:rPr>
          <w:rFonts w:cs="Arial"/>
          <w:rtl/>
        </w:rPr>
        <w:t xml:space="preserve"> כרבי מאיר</w:t>
      </w:r>
      <w:r>
        <w:rPr>
          <w:rFonts w:cs="Arial" w:hint="cs"/>
          <w:rtl/>
        </w:rPr>
        <w:t>,</w:t>
      </w:r>
      <w:r w:rsidRPr="00D849E8">
        <w:rPr>
          <w:rFonts w:cs="Arial"/>
          <w:rtl/>
        </w:rPr>
        <w:t xml:space="preserve"> </w:t>
      </w:r>
      <w:r>
        <w:rPr>
          <w:rFonts w:cs="Arial" w:hint="cs"/>
          <w:rtl/>
        </w:rPr>
        <w:t>ו</w:t>
      </w:r>
      <w:r w:rsidRPr="00D849E8">
        <w:rPr>
          <w:rFonts w:cs="Arial"/>
          <w:rtl/>
        </w:rPr>
        <w:t>מתניתין דקתני לא יצא החייט במחטו</w:t>
      </w:r>
      <w:r w:rsidRPr="00D849E8">
        <w:rPr>
          <w:rFonts w:cs="Arial" w:hint="cs"/>
          <w:rtl/>
        </w:rPr>
        <w:t>,</w:t>
      </w:r>
      <w:r w:rsidRPr="00D849E8">
        <w:rPr>
          <w:rFonts w:cs="Arial"/>
          <w:rtl/>
        </w:rPr>
        <w:t xml:space="preserve"> לאו דוקא חייט</w:t>
      </w:r>
      <w:r>
        <w:rPr>
          <w:rFonts w:cs="Arial" w:hint="cs"/>
          <w:rtl/>
        </w:rPr>
        <w:t>,</w:t>
      </w:r>
      <w:r w:rsidRPr="00D849E8">
        <w:rPr>
          <w:rFonts w:cs="Arial"/>
          <w:rtl/>
        </w:rPr>
        <w:t xml:space="preserve"> דהוא הדין לכל אדם אלא שדברו חכמים בהווה</w:t>
      </w:r>
      <w:r w:rsidRPr="00D849E8">
        <w:rPr>
          <w:rFonts w:cs="Arial" w:hint="cs"/>
          <w:rtl/>
        </w:rPr>
        <w:t>.</w:t>
      </w:r>
      <w:r w:rsidRPr="00D849E8">
        <w:rPr>
          <w:rFonts w:cs="Arial"/>
          <w:rtl/>
        </w:rPr>
        <w:t xml:space="preserve"> ואי ביוצא בה תחובה בבגדו </w:t>
      </w:r>
      <w:r>
        <w:rPr>
          <w:rFonts w:cs="Arial" w:hint="cs"/>
          <w:rtl/>
        </w:rPr>
        <w:t xml:space="preserve">- </w:t>
      </w:r>
      <w:r w:rsidRPr="00D849E8">
        <w:rPr>
          <w:rFonts w:cs="Arial"/>
          <w:rtl/>
        </w:rPr>
        <w:t>אפילו אם הוא חייט שרי</w:t>
      </w:r>
      <w:r w:rsidRPr="00D849E8">
        <w:rPr>
          <w:rFonts w:cs="Arial" w:hint="cs"/>
          <w:rtl/>
        </w:rPr>
        <w:t>,</w:t>
      </w:r>
      <w:r w:rsidRPr="00D849E8">
        <w:rPr>
          <w:rFonts w:cs="Arial"/>
          <w:rtl/>
        </w:rPr>
        <w:t xml:space="preserve"> דכיון דאפילו אי נפיק בה הכי בשבת לא מיחייב חטאת לא גזרינן בה ערב שבת</w:t>
      </w:r>
      <w:r w:rsidRPr="00D849E8">
        <w:rPr>
          <w:rFonts w:cs="Arial" w:hint="cs"/>
          <w:rtl/>
        </w:rPr>
        <w:t>,</w:t>
      </w:r>
      <w:r w:rsidRPr="00D849E8">
        <w:rPr>
          <w:rFonts w:cs="Arial"/>
          <w:rtl/>
        </w:rPr>
        <w:t xml:space="preserve"> דגזירה לגזירה לא גזרינן</w:t>
      </w:r>
      <w:r w:rsidRPr="00D849E8">
        <w:rPr>
          <w:rFonts w:cs="Arial" w:hint="cs"/>
          <w:rtl/>
        </w:rPr>
        <w:t>.</w:t>
      </w:r>
      <w:r w:rsidRPr="00D849E8">
        <w:rPr>
          <w:rFonts w:cs="Arial"/>
          <w:rtl/>
        </w:rPr>
        <w:t xml:space="preserve"> אלא על כרחך במוציא בידו הוא דאסרה מתניתין בערב שבת כיון דאי נפיק בה הכי בשבת חייב חטאת</w:t>
      </w:r>
      <w:r w:rsidRPr="00D849E8">
        <w:rPr>
          <w:rFonts w:cs="Arial" w:hint="cs"/>
          <w:rtl/>
        </w:rPr>
        <w:t>,</w:t>
      </w:r>
      <w:r w:rsidRPr="00D849E8">
        <w:rPr>
          <w:rFonts w:cs="Arial"/>
          <w:rtl/>
        </w:rPr>
        <w:t xml:space="preserve"> ואין חילוק בין חייט לכל אדם כלל</w:t>
      </w:r>
      <w:r>
        <w:rPr>
          <w:rStyle w:val="a9"/>
          <w:rFonts w:cs="Arial"/>
          <w:rtl/>
        </w:rPr>
        <w:footnoteReference w:id="389"/>
      </w:r>
      <w:r>
        <w:rPr>
          <w:rFonts w:cs="Arial" w:hint="cs"/>
          <w:sz w:val="16"/>
          <w:szCs w:val="16"/>
          <w:rtl/>
        </w:rPr>
        <w:t xml:space="preserve"> (ל' הב"י בשמם)</w:t>
      </w:r>
      <w:r>
        <w:rPr>
          <w:rFonts w:cs="Arial" w:hint="cs"/>
          <w:rtl/>
        </w:rPr>
        <w:t xml:space="preserve">. </w:t>
      </w:r>
      <w:r w:rsidRPr="005E654C">
        <w:rPr>
          <w:rFonts w:cs="Arial" w:hint="cs"/>
          <w:color w:val="E36C0A" w:themeColor="accent6" w:themeShade="BF"/>
          <w:rtl/>
        </w:rPr>
        <w:t>(וכ"פ בשו"ע)</w:t>
      </w:r>
    </w:p>
    <w:p w14:paraId="0676681A" w14:textId="77777777" w:rsidR="004B2E7C" w:rsidRPr="00987C51" w:rsidRDefault="004B2E7C" w:rsidP="00434A6A">
      <w:pPr>
        <w:rPr>
          <w:u w:val="single"/>
          <w:rtl/>
        </w:rPr>
      </w:pPr>
      <w:r w:rsidRPr="00987C51">
        <w:rPr>
          <w:rFonts w:hint="cs"/>
          <w:u w:val="single"/>
          <w:rtl/>
        </w:rPr>
        <w:t xml:space="preserve">יציאה בתפילין בערב שבת סמוך לחשיכה: </w:t>
      </w:r>
    </w:p>
    <w:p w14:paraId="07845B28" w14:textId="77777777" w:rsidR="004B2E7C" w:rsidRDefault="004B2E7C" w:rsidP="00FF2D21">
      <w:pPr>
        <w:pStyle w:val="aa"/>
        <w:numPr>
          <w:ilvl w:val="0"/>
          <w:numId w:val="112"/>
        </w:numPr>
      </w:pPr>
      <w:r>
        <w:rPr>
          <w:rFonts w:cs="Arial" w:hint="cs"/>
          <w:rtl/>
        </w:rPr>
        <w:t>טור- אבל</w:t>
      </w:r>
      <w:r w:rsidRPr="00074C87">
        <w:rPr>
          <w:rFonts w:cs="Arial"/>
          <w:rtl/>
        </w:rPr>
        <w:t xml:space="preserve"> בתפילין מותר לצאת סמוך לחשיכה ולא חיישינן שמא ישכח ויצא בהן משתחשך שאסור להסיח דעתו מהם </w:t>
      </w:r>
      <w:r w:rsidRPr="00204BD0">
        <w:rPr>
          <w:rFonts w:cs="Arial"/>
          <w:b/>
          <w:bCs/>
          <w:rtl/>
        </w:rPr>
        <w:t>בעודן בראשו</w:t>
      </w:r>
      <w:r>
        <w:rPr>
          <w:rStyle w:val="a9"/>
          <w:rFonts w:cs="Arial"/>
          <w:rtl/>
        </w:rPr>
        <w:footnoteReference w:id="390"/>
      </w:r>
      <w:r>
        <w:rPr>
          <w:rFonts w:cs="Arial" w:hint="cs"/>
          <w:rtl/>
        </w:rPr>
        <w:t>.</w:t>
      </w:r>
      <w:r>
        <w:rPr>
          <w:rFonts w:hint="cs"/>
          <w:rtl/>
        </w:rPr>
        <w:t xml:space="preserve"> (וכ"פ ב"ח מג"א ומשנ"ב </w:t>
      </w:r>
      <w:r>
        <w:rPr>
          <w:rFonts w:hint="cs"/>
          <w:sz w:val="16"/>
          <w:szCs w:val="16"/>
          <w:rtl/>
        </w:rPr>
        <w:t>[סקנ"ד]</w:t>
      </w:r>
      <w:r>
        <w:rPr>
          <w:rFonts w:hint="cs"/>
          <w:rtl/>
        </w:rPr>
        <w:t>)</w:t>
      </w:r>
    </w:p>
    <w:p w14:paraId="7BA9B95C" w14:textId="77777777" w:rsidR="004B2E7C" w:rsidRDefault="004B2E7C" w:rsidP="00FF2D21">
      <w:pPr>
        <w:pStyle w:val="aa"/>
        <w:numPr>
          <w:ilvl w:val="0"/>
          <w:numId w:val="112"/>
        </w:numPr>
        <w:rPr>
          <w:rtl/>
        </w:rPr>
      </w:pPr>
      <w:r w:rsidRPr="00D849E8">
        <w:rPr>
          <w:rFonts w:cs="Arial"/>
          <w:rtl/>
        </w:rPr>
        <w:t xml:space="preserve">רמב"ם </w:t>
      </w:r>
      <w:r w:rsidRPr="00987C51">
        <w:rPr>
          <w:rFonts w:cs="Arial" w:hint="cs"/>
          <w:sz w:val="16"/>
          <w:szCs w:val="16"/>
          <w:rtl/>
        </w:rPr>
        <w:t>(</w:t>
      </w:r>
      <w:r w:rsidRPr="00987C51">
        <w:rPr>
          <w:rFonts w:cs="Arial"/>
          <w:sz w:val="16"/>
          <w:szCs w:val="16"/>
          <w:rtl/>
        </w:rPr>
        <w:t>פי"ט הכ"ו)</w:t>
      </w:r>
      <w:r>
        <w:rPr>
          <w:rFonts w:cs="Arial" w:hint="cs"/>
          <w:rtl/>
        </w:rPr>
        <w:t>-</w:t>
      </w:r>
      <w:r w:rsidRPr="00D849E8">
        <w:rPr>
          <w:rFonts w:cs="Arial"/>
          <w:rtl/>
        </w:rPr>
        <w:t xml:space="preserve"> לא יצא החייט במחטו בידו ולא הלבלר בקולמוסו ערב שבת סמוך לחשיכה שמא ישכח ויוציא מותר לצאת בתפלין</w:t>
      </w:r>
      <w:r>
        <w:rPr>
          <w:rStyle w:val="a9"/>
          <w:rFonts w:cs="Arial"/>
          <w:rtl/>
        </w:rPr>
        <w:footnoteReference w:id="391"/>
      </w:r>
      <w:r w:rsidRPr="00D849E8">
        <w:rPr>
          <w:rFonts w:cs="Arial"/>
          <w:rtl/>
        </w:rPr>
        <w:t xml:space="preserve"> ערב שבת עם חשיכה הואיל וחייב אדם למשמש בתפיליו בכל עת אינו שוכחן</w:t>
      </w:r>
      <w:r w:rsidRPr="00D849E8">
        <w:rPr>
          <w:rFonts w:cs="Arial" w:hint="cs"/>
          <w:rtl/>
        </w:rPr>
        <w:t>.</w:t>
      </w:r>
      <w:r w:rsidRPr="00204BD0">
        <w:rPr>
          <w:rFonts w:hint="cs"/>
          <w:color w:val="E36C0A" w:themeColor="accent6" w:themeShade="BF"/>
          <w:rtl/>
        </w:rPr>
        <w:t xml:space="preserve"> </w:t>
      </w:r>
      <w:r w:rsidRPr="008979CF">
        <w:rPr>
          <w:rFonts w:hint="cs"/>
          <w:color w:val="E36C0A" w:themeColor="accent6" w:themeShade="BF"/>
          <w:rtl/>
        </w:rPr>
        <w:t>(וכ"פ בשו"ע)</w:t>
      </w:r>
    </w:p>
    <w:p w14:paraId="39390897"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C0B6098" w14:textId="77777777" w:rsidR="004B2E7C" w:rsidRDefault="004B2E7C" w:rsidP="00434A6A">
      <w:pPr>
        <w:rPr>
          <w:rtl/>
        </w:rPr>
      </w:pPr>
      <w:r>
        <w:rPr>
          <w:rFonts w:cs="Arial"/>
          <w:rtl/>
        </w:rPr>
        <w:t>לא יצא אדם ע</w:t>
      </w:r>
      <w:r>
        <w:rPr>
          <w:rFonts w:cs="Arial" w:hint="cs"/>
          <w:rtl/>
        </w:rPr>
        <w:t xml:space="preserve">רב </w:t>
      </w:r>
      <w:r>
        <w:rPr>
          <w:rFonts w:cs="Arial"/>
          <w:rtl/>
        </w:rPr>
        <w:t>ש</w:t>
      </w:r>
      <w:r>
        <w:rPr>
          <w:rFonts w:cs="Arial" w:hint="cs"/>
          <w:rtl/>
        </w:rPr>
        <w:t>בת</w:t>
      </w:r>
      <w:r>
        <w:rPr>
          <w:rFonts w:cs="Arial"/>
          <w:rtl/>
        </w:rPr>
        <w:t xml:space="preserve"> סמוך לחשיכה במחטו</w:t>
      </w:r>
      <w:r>
        <w:rPr>
          <w:rStyle w:val="a9"/>
          <w:rFonts w:cs="Arial"/>
          <w:rtl/>
        </w:rPr>
        <w:footnoteReference w:id="392"/>
      </w:r>
      <w:r>
        <w:rPr>
          <w:rFonts w:cs="Arial"/>
          <w:rtl/>
        </w:rPr>
        <w:t xml:space="preserve"> בידו</w:t>
      </w:r>
      <w:r>
        <w:rPr>
          <w:rStyle w:val="a9"/>
          <w:rFonts w:cs="Arial"/>
          <w:rtl/>
        </w:rPr>
        <w:footnoteReference w:id="393"/>
      </w:r>
      <w:r>
        <w:rPr>
          <w:rFonts w:cs="Arial"/>
          <w:rtl/>
        </w:rPr>
        <w:t xml:space="preserve">, ולא בקולמוסו, שמא ישכח ויוציא. אבל מותר לצאת בתפילין סמוך לחשיכה, לפי שאינו שוכחן. </w:t>
      </w:r>
    </w:p>
    <w:p w14:paraId="3B859BF5" w14:textId="77777777" w:rsidR="004B2E7C" w:rsidRDefault="004B2E7C" w:rsidP="00434A6A">
      <w:pPr>
        <w:rPr>
          <w:rtl/>
        </w:rPr>
      </w:pPr>
    </w:p>
    <w:p w14:paraId="0FBCDFB2" w14:textId="77777777" w:rsidR="004B2E7C" w:rsidRDefault="004B2E7C" w:rsidP="00434A6A">
      <w:pPr>
        <w:pStyle w:val="2"/>
        <w:rPr>
          <w:rtl/>
        </w:rPr>
      </w:pPr>
      <w:r>
        <w:rPr>
          <w:rtl/>
        </w:rPr>
        <w:t>סעיף ז</w:t>
      </w:r>
      <w:r>
        <w:rPr>
          <w:rFonts w:hint="cs"/>
          <w:rtl/>
        </w:rPr>
        <w:t>: למשמש בבגדיו בערב שבת.</w:t>
      </w:r>
    </w:p>
    <w:p w14:paraId="5BDE7366" w14:textId="77777777" w:rsidR="004B2E7C" w:rsidRDefault="004B2E7C" w:rsidP="00434A6A">
      <w:pPr>
        <w:rPr>
          <w:rtl/>
        </w:rPr>
      </w:pPr>
      <w:r w:rsidRPr="00640D2C">
        <w:rPr>
          <w:rFonts w:cs="Arial"/>
          <w:b/>
          <w:bCs/>
          <w:rtl/>
        </w:rPr>
        <w:t xml:space="preserve">שבת </w:t>
      </w:r>
      <w:r w:rsidRPr="00640D2C">
        <w:rPr>
          <w:rFonts w:cs="Arial"/>
          <w:b/>
          <w:bCs/>
          <w:sz w:val="16"/>
          <w:szCs w:val="16"/>
          <w:rtl/>
        </w:rPr>
        <w:t>(</w:t>
      </w:r>
      <w:r w:rsidRPr="00640D2C">
        <w:rPr>
          <w:rFonts w:cs="Arial" w:hint="cs"/>
          <w:b/>
          <w:bCs/>
          <w:sz w:val="16"/>
          <w:szCs w:val="16"/>
          <w:rtl/>
        </w:rPr>
        <w:t xml:space="preserve">פ"ק) </w:t>
      </w:r>
      <w:r w:rsidRPr="00640D2C">
        <w:rPr>
          <w:rFonts w:cs="Arial"/>
          <w:b/>
          <w:bCs/>
          <w:rtl/>
        </w:rPr>
        <w:t>י</w:t>
      </w:r>
      <w:r>
        <w:rPr>
          <w:rFonts w:cs="Arial" w:hint="cs"/>
          <w:b/>
          <w:bCs/>
          <w:rtl/>
        </w:rPr>
        <w:t>ב</w:t>
      </w:r>
      <w:r w:rsidRPr="00640D2C">
        <w:rPr>
          <w:rFonts w:cs="Arial" w:hint="cs"/>
          <w:b/>
          <w:bCs/>
          <w:rtl/>
        </w:rPr>
        <w:t xml:space="preserve"> ע"א:</w:t>
      </w:r>
      <w:r w:rsidRPr="00F42A62">
        <w:rPr>
          <w:rtl/>
        </w:rPr>
        <w:t xml:space="preserve"> </w:t>
      </w:r>
      <w:r w:rsidRPr="00F42A62">
        <w:rPr>
          <w:rFonts w:cs="Arial"/>
          <w:rtl/>
        </w:rPr>
        <w:t xml:space="preserve">תניא, </w:t>
      </w:r>
      <w:r w:rsidRPr="008979CF">
        <w:rPr>
          <w:rFonts w:cs="Arial"/>
          <w:u w:val="single"/>
          <w:rtl/>
        </w:rPr>
        <w:t>חנניא אומר</w:t>
      </w:r>
      <w:r w:rsidRPr="00F42A62">
        <w:rPr>
          <w:rFonts w:cs="Arial"/>
          <w:rtl/>
        </w:rPr>
        <w:t>: חייב אדם למשמש בבגדו ערב שבת עם חשכה.</w:t>
      </w:r>
    </w:p>
    <w:p w14:paraId="7FFDF1AF" w14:textId="77777777" w:rsidR="004B2E7C" w:rsidRPr="008979CF" w:rsidRDefault="004B2E7C" w:rsidP="00434A6A">
      <w:pPr>
        <w:rPr>
          <w:u w:val="single"/>
          <w:rtl/>
        </w:rPr>
      </w:pPr>
      <w:r w:rsidRPr="008979CF">
        <w:rPr>
          <w:rFonts w:hint="cs"/>
          <w:u w:val="single"/>
          <w:rtl/>
        </w:rPr>
        <w:t>למשמש בבגדיו בערב שבת:</w:t>
      </w:r>
    </w:p>
    <w:p w14:paraId="4C2DBA6A" w14:textId="77777777" w:rsidR="004B2E7C" w:rsidRDefault="004B2E7C" w:rsidP="00FF2D21">
      <w:pPr>
        <w:pStyle w:val="aa"/>
        <w:numPr>
          <w:ilvl w:val="0"/>
          <w:numId w:val="112"/>
        </w:numPr>
        <w:rPr>
          <w:rtl/>
        </w:rPr>
      </w:pPr>
      <w:r>
        <w:rPr>
          <w:rFonts w:cs="Arial" w:hint="cs"/>
          <w:rtl/>
        </w:rPr>
        <w:t xml:space="preserve">טור- </w:t>
      </w:r>
      <w:r w:rsidRPr="00074C87">
        <w:rPr>
          <w:rFonts w:cs="Arial"/>
          <w:rtl/>
        </w:rPr>
        <w:t>מצוה על כל אדם שימשמש בבגדיו בע"ש סמוך לחשיכה שלא יהיה בהן דבר שאסור לצאת בו בשבת</w:t>
      </w:r>
      <w:r>
        <w:rPr>
          <w:rStyle w:val="a9"/>
          <w:rFonts w:cs="Arial"/>
          <w:rtl/>
        </w:rPr>
        <w:footnoteReference w:id="394"/>
      </w:r>
      <w:r>
        <w:rPr>
          <w:rFonts w:cs="Arial" w:hint="cs"/>
          <w:rtl/>
        </w:rPr>
        <w:t>.</w:t>
      </w:r>
      <w:r>
        <w:rPr>
          <w:rFonts w:hint="cs"/>
          <w:rtl/>
        </w:rPr>
        <w:t xml:space="preserve"> </w:t>
      </w:r>
      <w:r w:rsidRPr="008979CF">
        <w:rPr>
          <w:rFonts w:hint="cs"/>
          <w:color w:val="E36C0A" w:themeColor="accent6" w:themeShade="BF"/>
          <w:rtl/>
        </w:rPr>
        <w:t>(וכ"פ בשו"ע)</w:t>
      </w:r>
    </w:p>
    <w:p w14:paraId="11554775"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0FA309E8" w14:textId="77777777" w:rsidR="004B2E7C" w:rsidRDefault="004B2E7C" w:rsidP="00434A6A">
      <w:pPr>
        <w:rPr>
          <w:rtl/>
        </w:rPr>
      </w:pPr>
      <w:r>
        <w:rPr>
          <w:rFonts w:cs="Arial"/>
          <w:rtl/>
        </w:rPr>
        <w:t>מצוה למשמש אדם בכליו בערב שבת</w:t>
      </w:r>
      <w:r>
        <w:rPr>
          <w:rStyle w:val="a9"/>
          <w:rFonts w:cs="Arial"/>
          <w:rtl/>
        </w:rPr>
        <w:footnoteReference w:id="395"/>
      </w:r>
      <w:r>
        <w:rPr>
          <w:rFonts w:cs="Arial"/>
          <w:rtl/>
        </w:rPr>
        <w:t xml:space="preserve"> סמוך לחשיכה שלא יהיה בהם דבר שאסור לצאת בו בשבת.</w:t>
      </w:r>
    </w:p>
    <w:p w14:paraId="7CBFB7CF" w14:textId="77777777" w:rsidR="004B2E7C" w:rsidRDefault="004B2E7C" w:rsidP="00434A6A">
      <w:pPr>
        <w:rPr>
          <w:rtl/>
        </w:rPr>
      </w:pPr>
    </w:p>
    <w:p w14:paraId="61FB78AF" w14:textId="77777777" w:rsidR="004B2E7C" w:rsidRDefault="004B2E7C" w:rsidP="00434A6A">
      <w:pPr>
        <w:pStyle w:val="1"/>
        <w:rPr>
          <w:rFonts w:asciiTheme="minorBidi" w:hAnsiTheme="minorBidi"/>
          <w:rtl/>
        </w:rPr>
        <w:sectPr w:rsidR="004B2E7C" w:rsidSect="00BD29B1">
          <w:headerReference w:type="default" r:id="rId23"/>
          <w:footnotePr>
            <w:numRestart w:val="eachSect"/>
          </w:footnotePr>
          <w:pgSz w:w="11906" w:h="16838"/>
          <w:pgMar w:top="720" w:right="1134" w:bottom="720" w:left="1134" w:header="0" w:footer="0" w:gutter="0"/>
          <w:cols w:space="720"/>
          <w:bidi/>
          <w:rtlGutter/>
          <w:docGrid w:linePitch="360"/>
        </w:sectPr>
      </w:pPr>
    </w:p>
    <w:p w14:paraId="0751AE6A" w14:textId="77777777" w:rsidR="004B2E7C" w:rsidRDefault="004B2E7C" w:rsidP="00434A6A">
      <w:pPr>
        <w:pStyle w:val="1"/>
        <w:rPr>
          <w:rFonts w:asciiTheme="minorBidi" w:hAnsiTheme="minorBidi"/>
          <w:rtl/>
        </w:rPr>
      </w:pPr>
      <w:r w:rsidRPr="005275DF">
        <w:rPr>
          <w:rFonts w:asciiTheme="minorBidi" w:hAnsiTheme="minorBidi"/>
          <w:rtl/>
        </w:rPr>
        <w:t>סימן רנג: דין כירה ותנור ליתן עליה הקדירות בע"ש</w:t>
      </w:r>
      <w:r>
        <w:rPr>
          <w:rFonts w:asciiTheme="minorBidi" w:hAnsiTheme="minorBidi" w:hint="cs"/>
          <w:rtl/>
        </w:rPr>
        <w:t>, ובו ה' סעיפים</w:t>
      </w:r>
      <w:r w:rsidRPr="005275DF">
        <w:rPr>
          <w:rFonts w:asciiTheme="minorBidi" w:hAnsiTheme="minorBidi"/>
          <w:rtl/>
        </w:rPr>
        <w:t xml:space="preserve">. </w:t>
      </w:r>
    </w:p>
    <w:p w14:paraId="639CCE01" w14:textId="77777777" w:rsidR="004B2E7C" w:rsidRPr="00D50625" w:rsidRDefault="004B2E7C" w:rsidP="00434A6A">
      <w:pPr>
        <w:rPr>
          <w:color w:val="FF0000"/>
          <w:rtl/>
        </w:rPr>
      </w:pPr>
      <w:r w:rsidRPr="00D50625">
        <w:rPr>
          <w:rFonts w:hint="cs"/>
          <w:color w:val="FF0000"/>
          <w:rtl/>
        </w:rPr>
        <w:t>סימנים רנג - רנט לא מסוכמים</w:t>
      </w:r>
    </w:p>
    <w:p w14:paraId="1197F0BB"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א: השהייה ע"ג כירה תנור וכופח.</w:t>
      </w:r>
    </w:p>
    <w:p w14:paraId="0CFAECC9" w14:textId="77777777" w:rsidR="004B2E7C" w:rsidRPr="005275DF" w:rsidRDefault="004B2E7C" w:rsidP="00434A6A">
      <w:pPr>
        <w:rPr>
          <w:rFonts w:asciiTheme="minorBidi" w:hAnsiTheme="minorBidi"/>
          <w:rtl/>
        </w:rPr>
      </w:pPr>
      <w:r w:rsidRPr="005275DF">
        <w:rPr>
          <w:rFonts w:asciiTheme="minorBidi" w:hAnsiTheme="minorBidi"/>
          <w:b/>
          <w:bCs/>
          <w:rtl/>
        </w:rPr>
        <w:t xml:space="preserve">שבת לו ע"ב: </w:t>
      </w:r>
      <w:r w:rsidRPr="005275DF">
        <w:rPr>
          <w:rFonts w:asciiTheme="minorBidi" w:hAnsiTheme="minorBidi"/>
          <w:u w:val="double"/>
          <w:rtl/>
        </w:rPr>
        <w:t>משנה:</w:t>
      </w:r>
      <w:r w:rsidRPr="005275DF">
        <w:rPr>
          <w:rFonts w:asciiTheme="minorBidi" w:hAnsiTheme="minorBidi"/>
          <w:rtl/>
        </w:rPr>
        <w:t xml:space="preserve"> כירה שהסיקוה בקש ובגבבא - נותנים עליה תבשיל. בגפת</w:t>
      </w:r>
      <w:r w:rsidRPr="005275DF">
        <w:rPr>
          <w:rStyle w:val="a9"/>
          <w:rFonts w:asciiTheme="minorBidi" w:hAnsiTheme="minorBidi"/>
          <w:rtl/>
        </w:rPr>
        <w:footnoteReference w:id="396"/>
      </w:r>
      <w:r w:rsidRPr="005275DF">
        <w:rPr>
          <w:rFonts w:asciiTheme="minorBidi" w:hAnsiTheme="minorBidi"/>
          <w:rtl/>
        </w:rPr>
        <w:t xml:space="preserve"> ובעצים - לא יתן עד שיגרוף</w:t>
      </w:r>
      <w:r w:rsidRPr="005275DF">
        <w:rPr>
          <w:rStyle w:val="a9"/>
          <w:rFonts w:asciiTheme="minorBidi" w:hAnsiTheme="minorBidi"/>
          <w:rtl/>
        </w:rPr>
        <w:footnoteReference w:id="397"/>
      </w:r>
      <w:r w:rsidRPr="005275DF">
        <w:rPr>
          <w:rFonts w:asciiTheme="minorBidi" w:hAnsiTheme="minorBidi"/>
          <w:rtl/>
        </w:rPr>
        <w:t xml:space="preserve">, או עד שיתן את האפר....               </w:t>
      </w:r>
      <w:r w:rsidRPr="005275DF">
        <w:rPr>
          <w:rFonts w:asciiTheme="minorBidi" w:hAnsiTheme="minorBidi"/>
          <w:u w:val="double"/>
          <w:rtl/>
        </w:rPr>
        <w:t>גמ':</w:t>
      </w:r>
      <w:r w:rsidRPr="005275DF">
        <w:rPr>
          <w:rFonts w:asciiTheme="minorBidi" w:hAnsiTheme="minorBidi"/>
          <w:rtl/>
        </w:rPr>
        <w:t xml:space="preserve"> איבעיא להו: האי לא יתן - לא יחזיר הוא, אבל לשהות - משהין אף על פי שאינו גרוף ואינו קטום, ומני - חנניה היא, דתניא, חנניה אומר: כל שהוא כמאכל בן דרוסאי - מותר לשהותו על גבי כירה אף על פי שאינו גרוף ואינו קטום; או דילמא: לשהות תנן, ואי גרוף וקטום - אין, אי לא - לא, וכל שכן להחזיר.... </w:t>
      </w:r>
      <w:r w:rsidRPr="005275DF">
        <w:rPr>
          <w:rFonts w:asciiTheme="minorBidi" w:hAnsiTheme="minorBidi"/>
          <w:sz w:val="18"/>
          <w:szCs w:val="18"/>
          <w:u w:val="double"/>
          <w:rtl/>
        </w:rPr>
        <w:t>(לז.)</w:t>
      </w:r>
      <w:r w:rsidRPr="005275DF">
        <w:rPr>
          <w:rFonts w:asciiTheme="minorBidi" w:hAnsiTheme="minorBidi"/>
          <w:rtl/>
        </w:rPr>
        <w:t xml:space="preserve"> </w:t>
      </w:r>
      <w:r w:rsidRPr="005275DF">
        <w:rPr>
          <w:rFonts w:asciiTheme="minorBidi" w:hAnsiTheme="minorBidi"/>
          <w:u w:val="single"/>
          <w:rtl/>
        </w:rPr>
        <w:t>אמר רבי יצחק בר נחמני אמר רב אושעיא</w:t>
      </w:r>
      <w:r w:rsidRPr="005275DF">
        <w:rPr>
          <w:rFonts w:asciiTheme="minorBidi" w:hAnsiTheme="minorBidi"/>
          <w:rtl/>
        </w:rPr>
        <w:t>: קטמה והובערה</w:t>
      </w:r>
      <w:r>
        <w:rPr>
          <w:rFonts w:asciiTheme="minorBidi" w:hAnsiTheme="minorBidi" w:hint="cs"/>
          <w:rtl/>
        </w:rPr>
        <w:t xml:space="preserve"> </w:t>
      </w:r>
      <w:r w:rsidRPr="005275DF">
        <w:rPr>
          <w:rFonts w:asciiTheme="minorBidi" w:hAnsiTheme="minorBidi"/>
          <w:rtl/>
        </w:rPr>
        <w:t xml:space="preserve">- משהין עליה חמין שהוחמו כל צורכן, ותבשיל שבישל כל צורכו. שמע מינה: מצטמק ויפה לו מותר - שאני הכא, דקטמה. אי הכי, מאי למימרא? הובערה איצטריכא ליה, מהו דתימא: כיון דהובערה- הדרא לה למילתא קמייתא, קמשמע לן. </w:t>
      </w:r>
      <w:r w:rsidRPr="005275DF">
        <w:rPr>
          <w:rFonts w:asciiTheme="minorBidi" w:hAnsiTheme="minorBidi"/>
          <w:u w:val="single"/>
          <w:rtl/>
        </w:rPr>
        <w:t>אמר רבה בר בר חנה אמר רבי יוחנן</w:t>
      </w:r>
      <w:r w:rsidRPr="005275DF">
        <w:rPr>
          <w:rFonts w:asciiTheme="minorBidi" w:hAnsiTheme="minorBidi"/>
          <w:rtl/>
        </w:rPr>
        <w:t xml:space="preserve">.... ואפילו גחלים של רותם.... </w:t>
      </w:r>
      <w:r w:rsidRPr="005275DF">
        <w:rPr>
          <w:rFonts w:asciiTheme="minorBidi" w:hAnsiTheme="minorBidi"/>
          <w:u w:val="single"/>
          <w:rtl/>
        </w:rPr>
        <w:t>אמר רב ששת אמר רבי יוחנן</w:t>
      </w:r>
      <w:r w:rsidRPr="005275DF">
        <w:rPr>
          <w:rFonts w:asciiTheme="minorBidi" w:hAnsiTheme="minorBidi"/>
          <w:rtl/>
        </w:rPr>
        <w:t xml:space="preserve">: כירה שהסיקוה בגפת ובעצים משהין עליה חמין שלא הוחמו כל צורכן ותבשיל שלא בישל כל צורכו, עקר - לא יחזיר עד שיגרוף או עד שיתן אפר. קסבר: מתניתין להחזיר תנן, אבל לשהות משהין אף על פי שאינו גרוף ואינו קטום. </w:t>
      </w:r>
      <w:r w:rsidRPr="005275DF">
        <w:rPr>
          <w:rFonts w:asciiTheme="minorBidi" w:hAnsiTheme="minorBidi"/>
          <w:u w:val="single"/>
          <w:rtl/>
        </w:rPr>
        <w:t>אמר רבא</w:t>
      </w:r>
      <w:r w:rsidRPr="005275DF">
        <w:rPr>
          <w:rFonts w:asciiTheme="minorBidi" w:hAnsiTheme="minorBidi"/>
          <w:rtl/>
        </w:rPr>
        <w:t>: תרווייהו תננהי, לשהות תנינא: אין נותנין את הפת בתוך התנור עם חשיכה, ולא חררה על גבי גחלים, אלא כדי שיקרמו פניה. הא קרמו פניה</w:t>
      </w:r>
      <w:r w:rsidRPr="005275DF">
        <w:rPr>
          <w:rStyle w:val="a9"/>
          <w:rFonts w:asciiTheme="minorBidi" w:hAnsiTheme="minorBidi"/>
          <w:rtl/>
        </w:rPr>
        <w:footnoteReference w:id="398"/>
      </w:r>
      <w:r w:rsidRPr="005275DF">
        <w:rPr>
          <w:rFonts w:asciiTheme="minorBidi" w:hAnsiTheme="minorBidi"/>
          <w:rtl/>
        </w:rPr>
        <w:t xml:space="preserve"> - שרי. להחזיר נמי תנינא: בית הלל אומרים: אף מחזירין. ועד כאן לא קשרו בית הלל אלא בגרופה וקטומה, אבל בשאינה גרופה וקטומה - לא. </w:t>
      </w:r>
    </w:p>
    <w:p w14:paraId="115A8D00" w14:textId="77777777" w:rsidR="004B2E7C" w:rsidRPr="005275DF" w:rsidRDefault="004B2E7C" w:rsidP="00434A6A">
      <w:pPr>
        <w:rPr>
          <w:rFonts w:asciiTheme="minorBidi" w:hAnsiTheme="minorBidi"/>
          <w:u w:val="single"/>
          <w:rtl/>
        </w:rPr>
      </w:pPr>
      <w:r w:rsidRPr="005275DF">
        <w:rPr>
          <w:rFonts w:asciiTheme="minorBidi" w:hAnsiTheme="minorBidi"/>
          <w:b/>
          <w:bCs/>
          <w:rtl/>
        </w:rPr>
        <w:t xml:space="preserve">שבת לח ע"ב: </w:t>
      </w:r>
      <w:r w:rsidRPr="005275DF">
        <w:rPr>
          <w:rFonts w:asciiTheme="minorBidi" w:hAnsiTheme="minorBidi"/>
          <w:u w:val="double"/>
          <w:rtl/>
        </w:rPr>
        <w:t>משנה:</w:t>
      </w:r>
      <w:r w:rsidRPr="005275DF">
        <w:rPr>
          <w:rFonts w:asciiTheme="minorBidi" w:hAnsiTheme="minorBidi"/>
          <w:rtl/>
        </w:rPr>
        <w:t xml:space="preserve"> תנור שהסיקוהו בקש ובגבבא לא יתן בין מתוכו בין מעל גביו. כופח שהסיקוהו בקש ובגבבא - הרי זה ככיריים, בגפת ובעצים - הרי הוא כתנור.           </w:t>
      </w:r>
      <w:r w:rsidRPr="005275DF">
        <w:rPr>
          <w:rFonts w:asciiTheme="minorBidi" w:hAnsiTheme="minorBidi"/>
          <w:u w:val="double"/>
          <w:rtl/>
        </w:rPr>
        <w:t>גמ':</w:t>
      </w:r>
      <w:r w:rsidRPr="005275DF">
        <w:rPr>
          <w:rFonts w:asciiTheme="minorBidi" w:hAnsiTheme="minorBidi"/>
          <w:rtl/>
        </w:rPr>
        <w:t xml:space="preserve"> היכי דמי כופח, היכי דמי כירה? </w:t>
      </w:r>
      <w:r w:rsidRPr="005275DF">
        <w:rPr>
          <w:rFonts w:asciiTheme="minorBidi" w:hAnsiTheme="minorBidi"/>
          <w:u w:val="single"/>
          <w:rtl/>
        </w:rPr>
        <w:t>אמר רבי יוסי בר חנינא:</w:t>
      </w:r>
      <w:r w:rsidRPr="005275DF">
        <w:rPr>
          <w:rFonts w:asciiTheme="minorBidi" w:hAnsiTheme="minorBidi"/>
          <w:rtl/>
        </w:rPr>
        <w:t xml:space="preserve"> כופח - מקום שפיתת קדרה אחת, כירה- מקום שפיתת שתי קדרות.</w:t>
      </w:r>
    </w:p>
    <w:p w14:paraId="59DFF265" w14:textId="77777777" w:rsidR="004B2E7C" w:rsidRPr="005275DF" w:rsidRDefault="004B2E7C" w:rsidP="00434A6A">
      <w:pPr>
        <w:rPr>
          <w:rFonts w:asciiTheme="minorBidi" w:hAnsiTheme="minorBidi"/>
          <w:rtl/>
        </w:rPr>
      </w:pPr>
      <w:r w:rsidRPr="005275DF">
        <w:rPr>
          <w:rFonts w:asciiTheme="minorBidi" w:hAnsiTheme="minorBidi"/>
          <w:b/>
          <w:bCs/>
          <w:rtl/>
        </w:rPr>
        <w:t xml:space="preserve">שבת לז ע"א: </w:t>
      </w:r>
      <w:r w:rsidRPr="005275DF">
        <w:rPr>
          <w:rFonts w:asciiTheme="minorBidi" w:hAnsiTheme="minorBidi"/>
          <w:u w:val="single"/>
          <w:rtl/>
        </w:rPr>
        <w:t>בעו מיניה מרבי חייא בר אבא</w:t>
      </w:r>
      <w:r w:rsidRPr="005275DF">
        <w:rPr>
          <w:rFonts w:asciiTheme="minorBidi" w:hAnsiTheme="minorBidi"/>
          <w:rtl/>
        </w:rPr>
        <w:t xml:space="preserve">: שכח קדירה על גבי כירה ובשלה בשבת, מהו?... </w:t>
      </w:r>
      <w:r w:rsidRPr="005275DF">
        <w:rPr>
          <w:rFonts w:asciiTheme="minorBidi" w:hAnsiTheme="minorBidi"/>
          <w:u w:val="single"/>
          <w:rtl/>
        </w:rPr>
        <w:t>אמר רב יהודה בר שמואל אמר רבי אבא אמר רב כהנא אמר רב</w:t>
      </w:r>
      <w:r w:rsidRPr="005275DF">
        <w:rPr>
          <w:rFonts w:asciiTheme="minorBidi" w:hAnsiTheme="minorBidi"/>
          <w:rtl/>
        </w:rPr>
        <w:t>: בתחילה היו אומרים המבשל בשבת, בשוגג - יאכל, במזיד - לא יאכל, והוא הדין לשוכח. משרבו משהין במזיד ואומרים שכחים אנו - חזרו וקנסו על השוכח</w:t>
      </w:r>
      <w:r w:rsidRPr="005275DF">
        <w:rPr>
          <w:rStyle w:val="a9"/>
          <w:rFonts w:asciiTheme="minorBidi" w:hAnsiTheme="minorBidi"/>
          <w:rtl/>
        </w:rPr>
        <w:footnoteReference w:id="399"/>
      </w:r>
      <w:r w:rsidRPr="005275DF">
        <w:rPr>
          <w:rFonts w:asciiTheme="minorBidi" w:hAnsiTheme="minorBidi"/>
          <w:rtl/>
        </w:rPr>
        <w:t>.... איבעיא להו: עבר ושהה</w:t>
      </w:r>
      <w:r w:rsidRPr="005275DF">
        <w:rPr>
          <w:rStyle w:val="a9"/>
          <w:rFonts w:asciiTheme="minorBidi" w:hAnsiTheme="minorBidi"/>
          <w:rtl/>
        </w:rPr>
        <w:footnoteReference w:id="400"/>
      </w:r>
      <w:r w:rsidRPr="005275DF">
        <w:rPr>
          <w:rFonts w:asciiTheme="minorBidi" w:hAnsiTheme="minorBidi"/>
          <w:rtl/>
        </w:rPr>
        <w:t xml:space="preserve"> מאי, מי קנסוהו רבנן או לא?.....</w:t>
      </w:r>
      <w:r w:rsidRPr="005275DF">
        <w:rPr>
          <w:rFonts w:asciiTheme="minorBidi" w:hAnsiTheme="minorBidi"/>
          <w:sz w:val="16"/>
          <w:szCs w:val="16"/>
          <w:rtl/>
        </w:rPr>
        <w:t xml:space="preserve"> (ולא איפשטא)</w:t>
      </w:r>
    </w:p>
    <w:p w14:paraId="7F62EBC6"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0FBF807" w14:textId="77777777" w:rsidR="004B2E7C" w:rsidRPr="005275DF" w:rsidRDefault="004B2E7C" w:rsidP="00434A6A">
      <w:pPr>
        <w:rPr>
          <w:rFonts w:asciiTheme="minorBidi" w:hAnsiTheme="minorBidi"/>
          <w:sz w:val="18"/>
          <w:szCs w:val="18"/>
          <w:rtl/>
        </w:rPr>
      </w:pPr>
      <w:r w:rsidRPr="005275DF">
        <w:rPr>
          <w:rFonts w:asciiTheme="minorBidi" w:hAnsiTheme="minorBidi"/>
          <w:rtl/>
        </w:rPr>
        <w:t>כירה שהיא עשויה כקדירה ושופתין על פיה קדירה למעלה, ויש בה מקום שפיתת שתי קדירות, אם הוסקה בגפת שהוא פסולת של זיתים או בעצים</w:t>
      </w:r>
      <w:r w:rsidRPr="005275DF">
        <w:rPr>
          <w:rStyle w:val="a9"/>
          <w:rFonts w:asciiTheme="minorBidi" w:hAnsiTheme="minorBidi"/>
          <w:rtl/>
        </w:rPr>
        <w:footnoteReference w:id="401"/>
      </w:r>
      <w:r w:rsidRPr="005275DF">
        <w:rPr>
          <w:rFonts w:asciiTheme="minorBidi" w:hAnsiTheme="minorBidi"/>
          <w:rtl/>
        </w:rPr>
        <w:t xml:space="preserve">, אסור ליתן עליה תבשיל מבעוד יום להשהותו עליה, אא"כ נתבשל כל צרכו והוא מצטמק </w:t>
      </w:r>
      <w:r w:rsidRPr="005275DF">
        <w:rPr>
          <w:rFonts w:asciiTheme="minorBidi" w:hAnsiTheme="minorBidi"/>
          <w:sz w:val="16"/>
          <w:szCs w:val="16"/>
          <w:rtl/>
        </w:rPr>
        <w:t>(פי' הולך וחסר)</w:t>
      </w:r>
      <w:r w:rsidRPr="005275DF">
        <w:rPr>
          <w:rFonts w:asciiTheme="minorBidi" w:hAnsiTheme="minorBidi"/>
          <w:rtl/>
        </w:rPr>
        <w:t xml:space="preserve"> ורע לו דליכא למיחש שמא יחתה</w:t>
      </w:r>
      <w:r w:rsidRPr="005275DF">
        <w:rPr>
          <w:rStyle w:val="a9"/>
          <w:rFonts w:asciiTheme="minorBidi" w:hAnsiTheme="minorBidi"/>
          <w:rtl/>
        </w:rPr>
        <w:footnoteReference w:id="402"/>
      </w:r>
      <w:r w:rsidRPr="005275DF">
        <w:rPr>
          <w:rFonts w:asciiTheme="minorBidi" w:hAnsiTheme="minorBidi"/>
          <w:rtl/>
        </w:rPr>
        <w:t>, או שהיה חי שלא נתבשל כלל</w:t>
      </w:r>
      <w:r w:rsidRPr="005275DF">
        <w:rPr>
          <w:rStyle w:val="a9"/>
          <w:rFonts w:asciiTheme="minorBidi" w:hAnsiTheme="minorBidi"/>
          <w:rtl/>
        </w:rPr>
        <w:footnoteReference w:id="403"/>
      </w:r>
      <w:r w:rsidRPr="005275DF">
        <w:rPr>
          <w:rFonts w:asciiTheme="minorBidi" w:hAnsiTheme="minorBidi"/>
          <w:rtl/>
        </w:rPr>
        <w:t xml:space="preserve"> דכיון שהוא חי מסיח דעתו ממנה עד למחר, ובכל הלילה יכול להתבשל בלא חיתוי, אבל אם נתבשל קצת ולא נתבשל כל צרכו, ואפי' נתבשל כל צרכו והוא מצטמק ויפה לו</w:t>
      </w:r>
      <w:r w:rsidRPr="005275DF">
        <w:rPr>
          <w:rStyle w:val="a9"/>
          <w:rFonts w:asciiTheme="minorBidi" w:hAnsiTheme="minorBidi"/>
          <w:rtl/>
        </w:rPr>
        <w:footnoteReference w:id="404"/>
      </w:r>
      <w:r w:rsidRPr="005275DF">
        <w:rPr>
          <w:rFonts w:asciiTheme="minorBidi" w:hAnsiTheme="minorBidi"/>
          <w:rtl/>
        </w:rPr>
        <w:t>, חיישינן שמא יחתה ואסור להשהותו עליה אלא אם כן גרף דהיינו שהוציא ממנה כל הגחלים, או קטם דהיינו שכסה הגחלים באפר למעט חומם</w:t>
      </w:r>
      <w:r w:rsidRPr="005275DF">
        <w:rPr>
          <w:rStyle w:val="a9"/>
          <w:rFonts w:asciiTheme="minorBidi" w:hAnsiTheme="minorBidi"/>
          <w:rtl/>
        </w:rPr>
        <w:footnoteReference w:id="405"/>
      </w:r>
      <w:r w:rsidRPr="005275DF">
        <w:rPr>
          <w:rFonts w:asciiTheme="minorBidi" w:hAnsiTheme="minorBidi"/>
          <w:rtl/>
        </w:rPr>
        <w:t>; ואם נתן בה חתיכה חיה</w:t>
      </w:r>
      <w:r w:rsidRPr="005275DF">
        <w:rPr>
          <w:rStyle w:val="a9"/>
          <w:rFonts w:asciiTheme="minorBidi" w:hAnsiTheme="minorBidi"/>
          <w:rtl/>
        </w:rPr>
        <w:footnoteReference w:id="406"/>
      </w:r>
      <w:r w:rsidRPr="005275DF">
        <w:rPr>
          <w:rFonts w:asciiTheme="minorBidi" w:hAnsiTheme="minorBidi"/>
          <w:rtl/>
        </w:rPr>
        <w:t>, מותר כאילו היתה כולה חיה דעל ידי כך מסיח דעתו ממנה. ואפילו אינה גרופה</w:t>
      </w:r>
      <w:r w:rsidRPr="005275DF">
        <w:rPr>
          <w:rFonts w:asciiTheme="minorBidi" w:hAnsiTheme="minorBidi"/>
          <w:sz w:val="16"/>
          <w:szCs w:val="16"/>
          <w:rtl/>
        </w:rPr>
        <w:t xml:space="preserve"> (פי' שמשך הגחלים מהתנור)</w:t>
      </w:r>
      <w:r w:rsidRPr="005275DF">
        <w:rPr>
          <w:rFonts w:asciiTheme="minorBidi" w:hAnsiTheme="minorBidi"/>
          <w:rtl/>
        </w:rPr>
        <w:t xml:space="preserve"> וקטומה </w:t>
      </w:r>
      <w:r w:rsidRPr="005275DF">
        <w:rPr>
          <w:rFonts w:asciiTheme="minorBidi" w:hAnsiTheme="minorBidi"/>
          <w:sz w:val="16"/>
          <w:szCs w:val="16"/>
          <w:rtl/>
        </w:rPr>
        <w:t>(פי' שכסה הגחלים באפר)</w:t>
      </w:r>
      <w:r w:rsidRPr="005275DF">
        <w:rPr>
          <w:rFonts w:asciiTheme="minorBidi" w:hAnsiTheme="minorBidi"/>
          <w:rtl/>
        </w:rPr>
        <w:t>, מותר לסמוך לה קדירה בסמוך חוצה לה</w:t>
      </w:r>
      <w:r w:rsidRPr="005275DF">
        <w:rPr>
          <w:rStyle w:val="a9"/>
          <w:rFonts w:asciiTheme="minorBidi" w:hAnsiTheme="minorBidi"/>
          <w:rtl/>
        </w:rPr>
        <w:footnoteReference w:id="407"/>
      </w:r>
      <w:r w:rsidRPr="005275DF">
        <w:rPr>
          <w:rFonts w:asciiTheme="minorBidi" w:hAnsiTheme="minorBidi"/>
          <w:rtl/>
        </w:rPr>
        <w:t xml:space="preserve">; ואם הוסקה בקש או בגבבא, מותר לשהות עליה אפילו אינה לא גרופה ולא קטומה. </w:t>
      </w:r>
      <w:r w:rsidRPr="005275DF">
        <w:rPr>
          <w:rFonts w:asciiTheme="minorBidi" w:hAnsiTheme="minorBidi"/>
          <w:sz w:val="18"/>
          <w:szCs w:val="18"/>
          <w:rtl/>
        </w:rPr>
        <w:t xml:space="preserve">הגה: שתי כירות המתאימות זו אצל זו ודופן של חרס ביניהם, האחת גרופה וקטומה והשניה אינה גרופה וקטומה, מותר לשהות על הגרופה וקטומה אף על פי שמוסיף הבל משאינה גרופה וקטומה (גמ' פרק כירה). </w:t>
      </w:r>
      <w:r w:rsidRPr="005275DF">
        <w:rPr>
          <w:rFonts w:asciiTheme="minorBidi" w:hAnsiTheme="minorBidi"/>
          <w:rtl/>
        </w:rPr>
        <w:t>ותנור, אפילו אם הוסק בקש וגבבא, אסור אפילו לסמוך לו, אפי' אם הוא גרוף וקטום</w:t>
      </w:r>
      <w:r w:rsidRPr="005275DF">
        <w:rPr>
          <w:rStyle w:val="a9"/>
          <w:rFonts w:asciiTheme="minorBidi" w:hAnsiTheme="minorBidi"/>
          <w:rtl/>
        </w:rPr>
        <w:footnoteReference w:id="408"/>
      </w:r>
      <w:r w:rsidRPr="005275DF">
        <w:rPr>
          <w:rFonts w:asciiTheme="minorBidi" w:hAnsiTheme="minorBidi"/>
          <w:rtl/>
        </w:rPr>
        <w:t xml:space="preserve">. </w:t>
      </w:r>
      <w:r w:rsidRPr="005275DF">
        <w:rPr>
          <w:rFonts w:asciiTheme="minorBidi" w:hAnsiTheme="minorBidi"/>
          <w:sz w:val="18"/>
          <w:szCs w:val="18"/>
          <w:rtl/>
        </w:rPr>
        <w:t>הגה: כ"ז שהיד סולדת בו</w:t>
      </w:r>
      <w:r w:rsidRPr="005275DF">
        <w:rPr>
          <w:rStyle w:val="a9"/>
          <w:rFonts w:asciiTheme="minorBidi" w:hAnsiTheme="minorBidi"/>
          <w:sz w:val="18"/>
          <w:szCs w:val="18"/>
          <w:rtl/>
        </w:rPr>
        <w:footnoteReference w:id="409"/>
      </w:r>
      <w:r w:rsidRPr="005275DF">
        <w:rPr>
          <w:rFonts w:asciiTheme="minorBidi" w:hAnsiTheme="minorBidi"/>
          <w:sz w:val="18"/>
          <w:szCs w:val="18"/>
          <w:rtl/>
        </w:rPr>
        <w:t xml:space="preserve"> (הגה' מרדכי). </w:t>
      </w:r>
      <w:r w:rsidRPr="005275DF">
        <w:rPr>
          <w:rFonts w:asciiTheme="minorBidi" w:hAnsiTheme="minorBidi"/>
          <w:rtl/>
        </w:rPr>
        <w:t>וכ"ש שאסור לשהות בתוכו או על גבו. וכופח, שהוא מקום שפיתת קדירה אחת, אם הוסק בקש או גבבא דינו ככירה; בגפת או בעצים, דינו כתנור.</w:t>
      </w:r>
      <w:r w:rsidRPr="005275DF">
        <w:rPr>
          <w:rFonts w:asciiTheme="minorBidi" w:hAnsiTheme="minorBidi"/>
          <w:sz w:val="18"/>
          <w:szCs w:val="18"/>
          <w:rtl/>
        </w:rPr>
        <w:t xml:space="preserve"> הגה: והתנורים שלנו דינם ככירה</w:t>
      </w:r>
      <w:r w:rsidRPr="005275DF">
        <w:rPr>
          <w:rStyle w:val="a9"/>
          <w:rFonts w:asciiTheme="minorBidi" w:hAnsiTheme="minorBidi"/>
          <w:sz w:val="18"/>
          <w:szCs w:val="18"/>
          <w:rtl/>
        </w:rPr>
        <w:footnoteReference w:id="410"/>
      </w:r>
      <w:r w:rsidRPr="005275DF">
        <w:rPr>
          <w:rFonts w:asciiTheme="minorBidi" w:hAnsiTheme="minorBidi"/>
          <w:sz w:val="18"/>
          <w:szCs w:val="18"/>
          <w:rtl/>
        </w:rPr>
        <w:t xml:space="preserve">. </w:t>
      </w:r>
      <w:r w:rsidRPr="005275DF">
        <w:rPr>
          <w:rFonts w:asciiTheme="minorBidi" w:hAnsiTheme="minorBidi"/>
          <w:rtl/>
        </w:rPr>
        <w:t>ואם שכח ושהה, אם הוא תבשיל שבישל כל צרכו, מותר אפי' הוא מצטמק ויפה לו</w:t>
      </w:r>
      <w:r w:rsidRPr="005275DF">
        <w:rPr>
          <w:rStyle w:val="a9"/>
          <w:rFonts w:asciiTheme="minorBidi" w:hAnsiTheme="minorBidi"/>
          <w:rtl/>
        </w:rPr>
        <w:footnoteReference w:id="411"/>
      </w:r>
      <w:r w:rsidRPr="005275DF">
        <w:rPr>
          <w:rFonts w:asciiTheme="minorBidi" w:hAnsiTheme="minorBidi"/>
          <w:rtl/>
        </w:rPr>
        <w:t>; ואם הוא תבשיל שהתחיל להתבשל ולא בישל כל צרכו, אסור</w:t>
      </w:r>
      <w:r w:rsidRPr="005275DF">
        <w:rPr>
          <w:rStyle w:val="a9"/>
          <w:rFonts w:asciiTheme="minorBidi" w:hAnsiTheme="minorBidi"/>
          <w:rtl/>
        </w:rPr>
        <w:footnoteReference w:id="412"/>
      </w:r>
      <w:r w:rsidRPr="005275DF">
        <w:rPr>
          <w:rFonts w:asciiTheme="minorBidi" w:hAnsiTheme="minorBidi"/>
          <w:rtl/>
        </w:rPr>
        <w:t xml:space="preserve"> עד מוצאי שבת; ואם עבר ושהה אסור בשניהם. </w:t>
      </w:r>
      <w:r w:rsidRPr="005275DF">
        <w:rPr>
          <w:rFonts w:asciiTheme="minorBidi" w:hAnsiTheme="minorBidi"/>
          <w:sz w:val="18"/>
          <w:szCs w:val="18"/>
          <w:rtl/>
        </w:rPr>
        <w:t>הגה: עד בכדי שיעשו (הגה"א ורמב"ם). ואם החזירה גוי</w:t>
      </w:r>
      <w:r w:rsidRPr="005275DF">
        <w:rPr>
          <w:rStyle w:val="a9"/>
          <w:rFonts w:asciiTheme="minorBidi" w:hAnsiTheme="minorBidi"/>
          <w:sz w:val="18"/>
          <w:szCs w:val="18"/>
          <w:rtl/>
        </w:rPr>
        <w:footnoteReference w:id="413"/>
      </w:r>
      <w:r w:rsidRPr="005275DF">
        <w:rPr>
          <w:rFonts w:asciiTheme="minorBidi" w:hAnsiTheme="minorBidi"/>
          <w:sz w:val="18"/>
          <w:szCs w:val="18"/>
          <w:rtl/>
        </w:rPr>
        <w:t xml:space="preserve"> בשבת, דינו כשכח ושהה</w:t>
      </w:r>
      <w:r w:rsidRPr="005275DF">
        <w:rPr>
          <w:rStyle w:val="a9"/>
          <w:rFonts w:asciiTheme="minorBidi" w:hAnsiTheme="minorBidi"/>
          <w:sz w:val="18"/>
          <w:szCs w:val="18"/>
          <w:rtl/>
        </w:rPr>
        <w:footnoteReference w:id="414"/>
      </w:r>
      <w:r w:rsidRPr="005275DF">
        <w:rPr>
          <w:rFonts w:asciiTheme="minorBidi" w:hAnsiTheme="minorBidi"/>
          <w:sz w:val="18"/>
          <w:szCs w:val="18"/>
          <w:rtl/>
        </w:rPr>
        <w:t xml:space="preserve"> (הג"א); ואם החזירו ישראל, דינו כעבר ושהה (הגה' מרדכי), ואם מצטמק ורע לו, מותר שהרי לא נהנה מן האיסור (ב"י וע"ל ריש סי' רנ"ז).</w:t>
      </w:r>
      <w:r w:rsidRPr="005275DF">
        <w:rPr>
          <w:rFonts w:asciiTheme="minorBidi" w:hAnsiTheme="minorBidi"/>
          <w:rtl/>
        </w:rPr>
        <w:t xml:space="preserve"> וי"א שכל שנתבשל כמאכל בן דרוסאי</w:t>
      </w:r>
      <w:r w:rsidRPr="005275DF">
        <w:rPr>
          <w:rStyle w:val="a9"/>
          <w:rFonts w:asciiTheme="minorBidi" w:hAnsiTheme="minorBidi"/>
          <w:rtl/>
        </w:rPr>
        <w:footnoteReference w:id="415"/>
      </w:r>
      <w:r w:rsidRPr="005275DF">
        <w:rPr>
          <w:rFonts w:asciiTheme="minorBidi" w:hAnsiTheme="minorBidi"/>
          <w:rtl/>
        </w:rPr>
        <w:t xml:space="preserve"> </w:t>
      </w:r>
      <w:r w:rsidRPr="005275DF">
        <w:rPr>
          <w:rFonts w:asciiTheme="minorBidi" w:hAnsiTheme="minorBidi"/>
          <w:sz w:val="16"/>
          <w:szCs w:val="16"/>
          <w:rtl/>
        </w:rPr>
        <w:t>(פי' שם אדם שהיה אוכל מאכלו שלא נתבשל כל צרכו)</w:t>
      </w:r>
      <w:r w:rsidRPr="005275DF">
        <w:rPr>
          <w:rFonts w:asciiTheme="minorBidi" w:hAnsiTheme="minorBidi"/>
          <w:rtl/>
        </w:rPr>
        <w:t xml:space="preserve">, או שנתבשל כל צרכו ומצטמק ויפה לו, מותר להשהותו ע"ג כירה, </w:t>
      </w:r>
      <w:r w:rsidRPr="005275DF">
        <w:rPr>
          <w:rFonts w:asciiTheme="minorBidi" w:hAnsiTheme="minorBidi"/>
          <w:sz w:val="18"/>
          <w:szCs w:val="18"/>
          <w:rtl/>
        </w:rPr>
        <w:t>הגה: או אפילו ע"ג תנור (המגיד פ"ג והגהות מרדכי ומיימוני פ"ג וריש פ' כירה וב"י)</w:t>
      </w:r>
      <w:r w:rsidRPr="005275DF">
        <w:rPr>
          <w:rFonts w:asciiTheme="minorBidi" w:hAnsiTheme="minorBidi"/>
          <w:rtl/>
        </w:rPr>
        <w:t>, אפי' הוסק בגפת ועצים אפי' אינה גרופה וקטומה; ולא הוזכרה גרופה וקטומה</w:t>
      </w:r>
      <w:r w:rsidRPr="005275DF">
        <w:rPr>
          <w:rStyle w:val="a9"/>
          <w:rFonts w:asciiTheme="minorBidi" w:hAnsiTheme="minorBidi"/>
          <w:rtl/>
        </w:rPr>
        <w:footnoteReference w:id="416"/>
      </w:r>
      <w:r w:rsidRPr="005275DF">
        <w:rPr>
          <w:rFonts w:asciiTheme="minorBidi" w:hAnsiTheme="minorBidi"/>
          <w:rtl/>
        </w:rPr>
        <w:t xml:space="preserve"> והוסק בקש וגבבא</w:t>
      </w:r>
      <w:r w:rsidRPr="005275DF">
        <w:rPr>
          <w:rStyle w:val="a9"/>
          <w:rFonts w:asciiTheme="minorBidi" w:hAnsiTheme="minorBidi"/>
          <w:rtl/>
        </w:rPr>
        <w:footnoteReference w:id="417"/>
      </w:r>
      <w:r w:rsidRPr="005275DF">
        <w:rPr>
          <w:rFonts w:asciiTheme="minorBidi" w:hAnsiTheme="minorBidi"/>
          <w:rtl/>
        </w:rPr>
        <w:t xml:space="preserve"> אלא כשהתחיל להתבשל ולא הגיע למאכל בן דרוסאי; וכן לענין אם נטל הקדירה מעליה ובא להחזירה עליה בשבת; ואם שכח ושהה תבשיל שהתחיל להתבשל ולא הגיע למאכל בן דרוסאי, אסור. ואצ"ל אם עבר ושהה. </w:t>
      </w:r>
      <w:r w:rsidRPr="005275DF">
        <w:rPr>
          <w:rFonts w:asciiTheme="minorBidi" w:hAnsiTheme="minorBidi"/>
          <w:sz w:val="18"/>
          <w:szCs w:val="18"/>
          <w:rtl/>
        </w:rPr>
        <w:t>הגה: ונהגו להקל כסברא האחרונה</w:t>
      </w:r>
      <w:r w:rsidRPr="005275DF">
        <w:rPr>
          <w:rStyle w:val="a9"/>
          <w:rFonts w:asciiTheme="minorBidi" w:hAnsiTheme="minorBidi"/>
          <w:sz w:val="18"/>
          <w:szCs w:val="18"/>
          <w:rtl/>
        </w:rPr>
        <w:footnoteReference w:id="418"/>
      </w:r>
      <w:r w:rsidRPr="005275DF">
        <w:rPr>
          <w:rFonts w:asciiTheme="minorBidi" w:hAnsiTheme="minorBidi"/>
          <w:sz w:val="18"/>
          <w:szCs w:val="18"/>
          <w:rtl/>
        </w:rPr>
        <w:t xml:space="preserve">. </w:t>
      </w:r>
      <w:r w:rsidRPr="005275DF">
        <w:rPr>
          <w:rFonts w:asciiTheme="minorBidi" w:hAnsiTheme="minorBidi"/>
          <w:rtl/>
        </w:rPr>
        <w:t xml:space="preserve">וכל זה בענין שהה, שהקדירה יושבת על כסא של ברזל או ע"ג אבנים ואינה נוגעת בגחלים; אבל הטמנה ע"ג גחלים, לדברי הכל אסור. </w:t>
      </w:r>
      <w:r w:rsidRPr="005275DF">
        <w:rPr>
          <w:rFonts w:asciiTheme="minorBidi" w:hAnsiTheme="minorBidi"/>
          <w:sz w:val="18"/>
          <w:szCs w:val="18"/>
          <w:rtl/>
        </w:rPr>
        <w:t>הגה: וי"א דאפי' אם הקדירה עומדת ע"ג האש ממש, כל זמן שהיא מגולה למעלה לא מקרי הטמנה, ושרי; וכן המנהג, רק שנזהרים לנתקן קצת קודם השבת מן האש כדי שיוכל ישראל להסירו משם; ואם לא נתקן מן האש ונמצאו ע"ג האש בשבת, יש להסירו משם על ידי גוי; ואם ליכא גוי, מותר לישראל להסירו משם. ויזהר שיקחנו משם בנחת ולא ינענע הגחלים, ואז אף אם ינענען קצת, דבר שאין מתכוין הוא ושרי</w:t>
      </w:r>
      <w:r w:rsidRPr="005275DF">
        <w:rPr>
          <w:rStyle w:val="a9"/>
          <w:rFonts w:asciiTheme="minorBidi" w:hAnsiTheme="minorBidi"/>
          <w:sz w:val="18"/>
          <w:szCs w:val="18"/>
          <w:rtl/>
        </w:rPr>
        <w:footnoteReference w:id="419"/>
      </w:r>
      <w:r w:rsidRPr="005275DF">
        <w:rPr>
          <w:rFonts w:asciiTheme="minorBidi" w:hAnsiTheme="minorBidi"/>
          <w:sz w:val="18"/>
          <w:szCs w:val="18"/>
          <w:rtl/>
        </w:rPr>
        <w:t xml:space="preserve"> (מרדכי ר"פ כירה והגמי"י פ"ז). </w:t>
      </w:r>
    </w:p>
    <w:p w14:paraId="2D66EA01" w14:textId="77777777" w:rsidR="004B2E7C" w:rsidRPr="005275DF" w:rsidRDefault="004B2E7C" w:rsidP="00434A6A">
      <w:pPr>
        <w:rPr>
          <w:rFonts w:asciiTheme="minorBidi" w:hAnsiTheme="minorBidi"/>
          <w:u w:val="single"/>
          <w:rtl/>
        </w:rPr>
      </w:pPr>
      <w:r w:rsidRPr="005275DF">
        <w:rPr>
          <w:rFonts w:asciiTheme="minorBidi" w:hAnsiTheme="minorBidi"/>
          <w:u w:val="single"/>
          <w:rtl/>
        </w:rPr>
        <w:t>כיצד יש להגדיר הנחת סיר ע"ג טס שמכסה את הלהבה, והסיר מונח שלא כנגד הלהבה:</w:t>
      </w:r>
    </w:p>
    <w:p w14:paraId="602BEA73" w14:textId="77777777" w:rsidR="004B2E7C" w:rsidRPr="005275DF" w:rsidRDefault="004B2E7C" w:rsidP="00FF2D21">
      <w:pPr>
        <w:pStyle w:val="aa"/>
        <w:numPr>
          <w:ilvl w:val="0"/>
          <w:numId w:val="80"/>
        </w:numPr>
        <w:rPr>
          <w:rFonts w:asciiTheme="minorBidi" w:hAnsiTheme="minorBidi"/>
        </w:rPr>
      </w:pPr>
      <w:r w:rsidRPr="005275DF">
        <w:rPr>
          <w:rFonts w:asciiTheme="minorBidi" w:hAnsiTheme="minorBidi"/>
          <w:rtl/>
        </w:rPr>
        <w:t>שש"כ</w:t>
      </w:r>
      <w:r w:rsidRPr="005275DF">
        <w:rPr>
          <w:rFonts w:asciiTheme="minorBidi" w:hAnsiTheme="minorBidi"/>
          <w:sz w:val="16"/>
          <w:szCs w:val="16"/>
          <w:rtl/>
        </w:rPr>
        <w:t xml:space="preserve"> (פ"א סע' כו)</w:t>
      </w:r>
      <w:r w:rsidRPr="005275DF">
        <w:rPr>
          <w:rFonts w:asciiTheme="minorBidi" w:hAnsiTheme="minorBidi"/>
          <w:rtl/>
        </w:rPr>
        <w:t xml:space="preserve"> ורשז"א- נחשב כסמיכה לכירה.</w:t>
      </w:r>
    </w:p>
    <w:p w14:paraId="0FCE1F90" w14:textId="77777777" w:rsidR="004B2E7C" w:rsidRPr="005275DF" w:rsidRDefault="004B2E7C" w:rsidP="00FF2D21">
      <w:pPr>
        <w:pStyle w:val="aa"/>
        <w:numPr>
          <w:ilvl w:val="0"/>
          <w:numId w:val="80"/>
        </w:numPr>
        <w:rPr>
          <w:rFonts w:asciiTheme="minorBidi" w:hAnsiTheme="minorBidi"/>
        </w:rPr>
      </w:pPr>
      <w:r w:rsidRPr="005275DF">
        <w:rPr>
          <w:rFonts w:asciiTheme="minorBidi" w:hAnsiTheme="minorBidi"/>
          <w:rtl/>
        </w:rPr>
        <w:t>אורח"ש</w:t>
      </w:r>
      <w:r w:rsidRPr="005275DF">
        <w:rPr>
          <w:rFonts w:asciiTheme="minorBidi" w:hAnsiTheme="minorBidi"/>
          <w:sz w:val="16"/>
          <w:szCs w:val="16"/>
          <w:rtl/>
        </w:rPr>
        <w:t xml:space="preserve"> (פ"ב הע' קו)</w:t>
      </w:r>
      <w:r w:rsidRPr="005275DF">
        <w:rPr>
          <w:rStyle w:val="a9"/>
          <w:rFonts w:asciiTheme="minorBidi" w:hAnsiTheme="minorBidi"/>
          <w:rtl/>
        </w:rPr>
        <w:footnoteReference w:id="420"/>
      </w:r>
      <w:r w:rsidRPr="005275DF">
        <w:rPr>
          <w:rFonts w:asciiTheme="minorBidi" w:hAnsiTheme="minorBidi"/>
          <w:rtl/>
        </w:rPr>
        <w:t>- נחשב כהנחה ע"ג האש ממש.</w:t>
      </w:r>
    </w:p>
    <w:p w14:paraId="719D8C5C" w14:textId="77777777" w:rsidR="004B2E7C" w:rsidRPr="005275DF" w:rsidRDefault="004B2E7C" w:rsidP="00434A6A">
      <w:pPr>
        <w:rPr>
          <w:rFonts w:asciiTheme="minorBidi" w:hAnsiTheme="minorBidi"/>
          <w:rtl/>
        </w:rPr>
      </w:pPr>
    </w:p>
    <w:p w14:paraId="441E9657"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ב: החזרה ע"ג כירה תנור וכופח.</w:t>
      </w:r>
    </w:p>
    <w:p w14:paraId="647A5741" w14:textId="77777777" w:rsidR="004B2E7C" w:rsidRPr="005275DF" w:rsidRDefault="004B2E7C" w:rsidP="00434A6A">
      <w:pPr>
        <w:rPr>
          <w:rFonts w:asciiTheme="minorBidi" w:hAnsiTheme="minorBidi"/>
          <w:sz w:val="18"/>
          <w:szCs w:val="18"/>
          <w:rtl/>
        </w:rPr>
      </w:pPr>
      <w:r w:rsidRPr="005275DF">
        <w:rPr>
          <w:rFonts w:asciiTheme="minorBidi" w:hAnsiTheme="minorBidi"/>
          <w:b/>
          <w:bCs/>
          <w:rtl/>
        </w:rPr>
        <w:t xml:space="preserve">שבת לו ע"ב: </w:t>
      </w:r>
      <w:r w:rsidRPr="005275DF">
        <w:rPr>
          <w:rFonts w:asciiTheme="minorBidi" w:hAnsiTheme="minorBidi"/>
          <w:u w:val="double"/>
          <w:rtl/>
        </w:rPr>
        <w:t>משנה:</w:t>
      </w:r>
      <w:r w:rsidRPr="005275DF">
        <w:rPr>
          <w:rFonts w:asciiTheme="minorBidi" w:hAnsiTheme="minorBidi"/>
          <w:rtl/>
        </w:rPr>
        <w:t xml:space="preserve"> כירה שהסיקוה בקש ובגבבא - נותנים עליה תבשיל. בגפת</w:t>
      </w:r>
      <w:r w:rsidRPr="005275DF">
        <w:rPr>
          <w:rStyle w:val="a9"/>
          <w:rFonts w:asciiTheme="minorBidi" w:hAnsiTheme="minorBidi"/>
          <w:rtl/>
        </w:rPr>
        <w:footnoteReference w:id="421"/>
      </w:r>
      <w:r w:rsidRPr="005275DF">
        <w:rPr>
          <w:rFonts w:asciiTheme="minorBidi" w:hAnsiTheme="minorBidi"/>
          <w:rtl/>
        </w:rPr>
        <w:t xml:space="preserve"> ובעצים - לא יתן עד שיגרוף</w:t>
      </w:r>
      <w:r w:rsidRPr="005275DF">
        <w:rPr>
          <w:rStyle w:val="a9"/>
          <w:rFonts w:asciiTheme="minorBidi" w:hAnsiTheme="minorBidi"/>
          <w:rtl/>
        </w:rPr>
        <w:footnoteReference w:id="422"/>
      </w:r>
      <w:r w:rsidRPr="005275DF">
        <w:rPr>
          <w:rFonts w:asciiTheme="minorBidi" w:hAnsiTheme="minorBidi"/>
          <w:rtl/>
        </w:rPr>
        <w:t>, או עד שיתן את האפר. בית שמאי אומרים, חמין</w:t>
      </w:r>
      <w:r w:rsidRPr="005275DF">
        <w:rPr>
          <w:rStyle w:val="a9"/>
          <w:rFonts w:asciiTheme="minorBidi" w:hAnsiTheme="minorBidi"/>
          <w:rtl/>
        </w:rPr>
        <w:footnoteReference w:id="423"/>
      </w:r>
      <w:r w:rsidRPr="005275DF">
        <w:rPr>
          <w:rFonts w:asciiTheme="minorBidi" w:hAnsiTheme="minorBidi"/>
          <w:rtl/>
        </w:rPr>
        <w:t xml:space="preserve"> אבל לא תבשיל</w:t>
      </w:r>
      <w:r w:rsidRPr="005275DF">
        <w:rPr>
          <w:rStyle w:val="a9"/>
          <w:rFonts w:asciiTheme="minorBidi" w:hAnsiTheme="minorBidi"/>
          <w:rtl/>
        </w:rPr>
        <w:footnoteReference w:id="424"/>
      </w:r>
      <w:r w:rsidRPr="005275DF">
        <w:rPr>
          <w:rFonts w:asciiTheme="minorBidi" w:hAnsiTheme="minorBidi"/>
          <w:rtl/>
        </w:rPr>
        <w:t xml:space="preserve"> ובית הלל אומרים, חמין ותבשיל. בית שמאי אומרים, נוטלין אבל לא מחזירין</w:t>
      </w:r>
      <w:r w:rsidRPr="005275DF">
        <w:rPr>
          <w:rStyle w:val="a9"/>
          <w:rFonts w:asciiTheme="minorBidi" w:hAnsiTheme="minorBidi"/>
          <w:rtl/>
        </w:rPr>
        <w:footnoteReference w:id="425"/>
      </w:r>
      <w:r w:rsidRPr="005275DF">
        <w:rPr>
          <w:rFonts w:asciiTheme="minorBidi" w:hAnsiTheme="minorBidi"/>
          <w:rtl/>
        </w:rPr>
        <w:t xml:space="preserve"> ובית הלל אומרים, אף מחזירין</w:t>
      </w:r>
      <w:r w:rsidRPr="005275DF">
        <w:rPr>
          <w:rStyle w:val="a9"/>
          <w:rFonts w:asciiTheme="minorBidi" w:hAnsiTheme="minorBidi"/>
          <w:rtl/>
        </w:rPr>
        <w:footnoteReference w:id="426"/>
      </w:r>
      <w:r w:rsidRPr="005275DF">
        <w:rPr>
          <w:rFonts w:asciiTheme="minorBidi" w:hAnsiTheme="minorBidi"/>
          <w:rtl/>
        </w:rPr>
        <w:t xml:space="preserve">.                   </w:t>
      </w:r>
      <w:r w:rsidRPr="005275DF">
        <w:rPr>
          <w:rFonts w:asciiTheme="minorBidi" w:hAnsiTheme="minorBidi"/>
          <w:u w:val="double"/>
          <w:rtl/>
        </w:rPr>
        <w:t>גמ'</w:t>
      </w:r>
      <w:r w:rsidRPr="005275DF">
        <w:rPr>
          <w:rFonts w:asciiTheme="minorBidi" w:hAnsiTheme="minorBidi"/>
          <w:sz w:val="16"/>
          <w:szCs w:val="16"/>
          <w:u w:val="double"/>
          <w:rtl/>
        </w:rPr>
        <w:t>(לז.)</w:t>
      </w:r>
      <w:r w:rsidRPr="005275DF">
        <w:rPr>
          <w:rFonts w:asciiTheme="minorBidi" w:hAnsiTheme="minorBidi"/>
          <w:u w:val="double"/>
          <w:rtl/>
        </w:rPr>
        <w:t>:</w:t>
      </w:r>
      <w:r w:rsidRPr="005275DF">
        <w:rPr>
          <w:rFonts w:asciiTheme="minorBidi" w:hAnsiTheme="minorBidi"/>
          <w:rtl/>
        </w:rPr>
        <w:t xml:space="preserve"> תא שמע, </w:t>
      </w:r>
      <w:r w:rsidRPr="005275DF">
        <w:rPr>
          <w:rFonts w:asciiTheme="minorBidi" w:hAnsiTheme="minorBidi"/>
          <w:u w:val="single"/>
          <w:rtl/>
        </w:rPr>
        <w:t>דאמר רבי חלבו אמר רב חמא בר גוריא אמר רב</w:t>
      </w:r>
      <w:r w:rsidRPr="005275DF">
        <w:rPr>
          <w:rFonts w:asciiTheme="minorBidi" w:hAnsiTheme="minorBidi"/>
          <w:rtl/>
        </w:rPr>
        <w:t xml:space="preserve">: לא שנו אלא על גבה, אבל לתוכה - אסור.... </w:t>
      </w:r>
      <w:r w:rsidRPr="005275DF">
        <w:rPr>
          <w:rFonts w:asciiTheme="minorBidi" w:hAnsiTheme="minorBidi"/>
          <w:sz w:val="16"/>
          <w:szCs w:val="16"/>
          <w:u w:val="double"/>
          <w:rtl/>
        </w:rPr>
        <w:t>(לח.):</w:t>
      </w:r>
      <w:r w:rsidRPr="005275DF">
        <w:rPr>
          <w:rFonts w:asciiTheme="minorBidi" w:hAnsiTheme="minorBidi"/>
          <w:rtl/>
        </w:rPr>
        <w:t xml:space="preserve"> בית הלל אומרים: אף מחזירין. </w:t>
      </w:r>
      <w:r w:rsidRPr="005275DF">
        <w:rPr>
          <w:rFonts w:asciiTheme="minorBidi" w:hAnsiTheme="minorBidi"/>
          <w:u w:val="single"/>
          <w:rtl/>
        </w:rPr>
        <w:t>אמר רב ששת</w:t>
      </w:r>
      <w:r w:rsidRPr="005275DF">
        <w:rPr>
          <w:rFonts w:asciiTheme="minorBidi" w:hAnsiTheme="minorBidi"/>
          <w:rtl/>
        </w:rPr>
        <w:t xml:space="preserve">: לדברי האומר מחזירין - אפילו בשבת....  </w:t>
      </w:r>
      <w:r w:rsidRPr="005275DF">
        <w:rPr>
          <w:rFonts w:asciiTheme="minorBidi" w:hAnsiTheme="minorBidi"/>
          <w:u w:val="single"/>
          <w:rtl/>
        </w:rPr>
        <w:t>אמר רבי זריקא אמר רבי אבא אמר רבי תדאי</w:t>
      </w:r>
      <w:r w:rsidRPr="005275DF">
        <w:rPr>
          <w:rFonts w:asciiTheme="minorBidi" w:hAnsiTheme="minorBidi"/>
          <w:rtl/>
        </w:rPr>
        <w:t xml:space="preserve">: לא שנו אלא שעודן בידו, אבל הניחן על גבי קרקע - אסור. </w:t>
      </w:r>
      <w:r w:rsidRPr="005275DF">
        <w:rPr>
          <w:rFonts w:asciiTheme="minorBidi" w:hAnsiTheme="minorBidi"/>
          <w:u w:val="single"/>
          <w:rtl/>
        </w:rPr>
        <w:t>אמר רב אמי</w:t>
      </w:r>
      <w:r w:rsidRPr="005275DF">
        <w:rPr>
          <w:rFonts w:asciiTheme="minorBidi" w:hAnsiTheme="minorBidi"/>
          <w:rtl/>
        </w:rPr>
        <w:t>: רבי תדאי דעבד - לגרמיה הוא דעבד</w:t>
      </w:r>
      <w:r w:rsidRPr="005275DF">
        <w:rPr>
          <w:rStyle w:val="a9"/>
          <w:rFonts w:asciiTheme="minorBidi" w:hAnsiTheme="minorBidi"/>
          <w:rtl/>
        </w:rPr>
        <w:footnoteReference w:id="427"/>
      </w:r>
      <w:r w:rsidRPr="005275DF">
        <w:rPr>
          <w:rFonts w:asciiTheme="minorBidi" w:hAnsiTheme="minorBidi"/>
          <w:rtl/>
        </w:rPr>
        <w:t xml:space="preserve">, אלא הכי </w:t>
      </w:r>
      <w:r w:rsidRPr="005275DF">
        <w:rPr>
          <w:rFonts w:asciiTheme="minorBidi" w:hAnsiTheme="minorBidi"/>
          <w:u w:val="single"/>
          <w:rtl/>
        </w:rPr>
        <w:t>אמר רבי חייא אמר רבי יוחנן</w:t>
      </w:r>
      <w:r w:rsidRPr="005275DF">
        <w:rPr>
          <w:rFonts w:asciiTheme="minorBidi" w:hAnsiTheme="minorBidi"/>
          <w:rtl/>
        </w:rPr>
        <w:t xml:space="preserve">: אפילו הניחה על גבי קרקע - מותר. פליגי בה רב דימי ורב שמואל בר יהודה, ותרוייהו משמיה דרבי אלעזר אמרי. </w:t>
      </w:r>
      <w:r w:rsidRPr="005275DF">
        <w:rPr>
          <w:rFonts w:asciiTheme="minorBidi" w:hAnsiTheme="minorBidi"/>
          <w:u w:val="single"/>
          <w:rtl/>
        </w:rPr>
        <w:t>חד אמר</w:t>
      </w:r>
      <w:r w:rsidRPr="005275DF">
        <w:rPr>
          <w:rFonts w:asciiTheme="minorBidi" w:hAnsiTheme="minorBidi"/>
          <w:rtl/>
        </w:rPr>
        <w:t xml:space="preserve">: עודן בידו - מותר, על גבי קרקע - אסור. </w:t>
      </w:r>
      <w:r w:rsidRPr="005275DF">
        <w:rPr>
          <w:rFonts w:asciiTheme="minorBidi" w:hAnsiTheme="minorBidi"/>
          <w:u w:val="single"/>
          <w:rtl/>
        </w:rPr>
        <w:t>וחד אמר</w:t>
      </w:r>
      <w:r w:rsidRPr="005275DF">
        <w:rPr>
          <w:rFonts w:asciiTheme="minorBidi" w:hAnsiTheme="minorBidi"/>
          <w:rtl/>
        </w:rPr>
        <w:t xml:space="preserve">: הניחן על גבי קרקע - נמי מותר. </w:t>
      </w:r>
      <w:r w:rsidRPr="005275DF">
        <w:rPr>
          <w:rFonts w:asciiTheme="minorBidi" w:hAnsiTheme="minorBidi"/>
          <w:u w:val="single"/>
          <w:rtl/>
        </w:rPr>
        <w:t>אמר חזקיה משמיה דאביי</w:t>
      </w:r>
      <w:r w:rsidRPr="005275DF">
        <w:rPr>
          <w:rFonts w:asciiTheme="minorBidi" w:hAnsiTheme="minorBidi"/>
          <w:rtl/>
        </w:rPr>
        <w:t xml:space="preserve">: הא דאמרת עודן בידו מותר - לא אמרן אלא שדעתו להחזיר, אבל אין דעתו להחזיר - אסור. מכלל דעל גבי קרקע, אף על פי שדעתו להחזיר - אסור. </w:t>
      </w:r>
      <w:r w:rsidRPr="005275DF">
        <w:rPr>
          <w:rFonts w:asciiTheme="minorBidi" w:hAnsiTheme="minorBidi"/>
          <w:u w:val="dotted"/>
          <w:rtl/>
        </w:rPr>
        <w:t>איכא דאמרי</w:t>
      </w:r>
      <w:r w:rsidRPr="005275DF">
        <w:rPr>
          <w:rFonts w:asciiTheme="minorBidi" w:hAnsiTheme="minorBidi"/>
          <w:rtl/>
        </w:rPr>
        <w:t xml:space="preserve">, </w:t>
      </w:r>
      <w:r w:rsidRPr="005275DF">
        <w:rPr>
          <w:rFonts w:asciiTheme="minorBidi" w:hAnsiTheme="minorBidi"/>
          <w:u w:val="single"/>
          <w:rtl/>
        </w:rPr>
        <w:t>אמר חזקיה משמיה דאביי</w:t>
      </w:r>
      <w:r w:rsidRPr="005275DF">
        <w:rPr>
          <w:rFonts w:asciiTheme="minorBidi" w:hAnsiTheme="minorBidi"/>
          <w:rtl/>
        </w:rPr>
        <w:t xml:space="preserve">: הא דאמרת על גבי קרקע אסור - לא אמרן אלא שאין דעתו להחזיר, אבל דעתו להחזיר - מותר. מכלל שבעודן בידו, אף על פי שאין דעתו להחזיר - מותר. </w:t>
      </w:r>
      <w:r w:rsidRPr="005275DF">
        <w:rPr>
          <w:rFonts w:asciiTheme="minorBidi" w:hAnsiTheme="minorBidi"/>
          <w:sz w:val="18"/>
          <w:szCs w:val="18"/>
          <w:rtl/>
        </w:rPr>
        <w:t>(ופסקו הגאונים</w:t>
      </w:r>
      <w:r w:rsidRPr="005275DF">
        <w:rPr>
          <w:rStyle w:val="a9"/>
          <w:rFonts w:asciiTheme="minorBidi" w:hAnsiTheme="minorBidi"/>
          <w:sz w:val="18"/>
          <w:szCs w:val="18"/>
          <w:rtl/>
        </w:rPr>
        <w:footnoteReference w:id="428"/>
      </w:r>
      <w:r w:rsidRPr="005275DF">
        <w:rPr>
          <w:rFonts w:asciiTheme="minorBidi" w:hAnsiTheme="minorBidi"/>
          <w:sz w:val="18"/>
          <w:szCs w:val="18"/>
          <w:rtl/>
        </w:rPr>
        <w:t xml:space="preserve"> רי"ף רא"ש טור ורי"ו כלישנא קמא</w:t>
      </w:r>
      <w:r w:rsidRPr="005275DF">
        <w:rPr>
          <w:rFonts w:asciiTheme="minorBidi" w:hAnsiTheme="minorBidi"/>
          <w:sz w:val="14"/>
          <w:szCs w:val="14"/>
          <w:rtl/>
        </w:rPr>
        <w:t xml:space="preserve"> [בדברי חזקיה משמיה דאביי]</w:t>
      </w:r>
      <w:r w:rsidRPr="005275DF">
        <w:rPr>
          <w:rFonts w:asciiTheme="minorBidi" w:hAnsiTheme="minorBidi"/>
          <w:sz w:val="18"/>
          <w:szCs w:val="18"/>
          <w:rtl/>
        </w:rPr>
        <w:t xml:space="preserve"> להחמיר</w:t>
      </w:r>
      <w:r w:rsidRPr="005275DF">
        <w:rPr>
          <w:rStyle w:val="a9"/>
          <w:rFonts w:asciiTheme="minorBidi" w:hAnsiTheme="minorBidi"/>
          <w:sz w:val="18"/>
          <w:szCs w:val="18"/>
          <w:rtl/>
        </w:rPr>
        <w:footnoteReference w:id="429"/>
      </w:r>
      <w:r w:rsidRPr="005275DF">
        <w:rPr>
          <w:rFonts w:asciiTheme="minorBidi" w:hAnsiTheme="minorBidi"/>
          <w:sz w:val="18"/>
          <w:szCs w:val="18"/>
          <w:rtl/>
        </w:rPr>
        <w:t xml:space="preserve">, מפני שהם דברים שקרובים לבוא לידי איסור תורה, וזה שלא כמש"כ הגה"מ בשם סה"ת שהלכה כלישנא בתרא משום דבשל סופרים הלך אחר המיקל) </w:t>
      </w:r>
    </w:p>
    <w:p w14:paraId="447235AD" w14:textId="77777777" w:rsidR="004B2E7C" w:rsidRPr="005275DF" w:rsidRDefault="004B2E7C" w:rsidP="00434A6A">
      <w:pPr>
        <w:rPr>
          <w:rFonts w:asciiTheme="minorBidi" w:hAnsiTheme="minorBidi"/>
          <w:sz w:val="18"/>
          <w:szCs w:val="18"/>
          <w:rtl/>
        </w:rPr>
      </w:pPr>
      <w:r w:rsidRPr="005275DF">
        <w:rPr>
          <w:rFonts w:asciiTheme="minorBidi" w:hAnsiTheme="minorBidi"/>
          <w:b/>
          <w:bCs/>
          <w:rtl/>
        </w:rPr>
        <w:t xml:space="preserve">שבת לח ע"ב: </w:t>
      </w:r>
      <w:r w:rsidRPr="005275DF">
        <w:rPr>
          <w:rFonts w:asciiTheme="minorBidi" w:hAnsiTheme="minorBidi"/>
          <w:u w:val="single"/>
          <w:rtl/>
        </w:rPr>
        <w:t>בעי רבי ירמיה</w:t>
      </w:r>
      <w:r w:rsidRPr="005275DF">
        <w:rPr>
          <w:rFonts w:asciiTheme="minorBidi" w:hAnsiTheme="minorBidi"/>
          <w:rtl/>
        </w:rPr>
        <w:t xml:space="preserve">: תלאן במקל מהו? הניחן על גבי מטה מהו? </w:t>
      </w:r>
      <w:r w:rsidRPr="005275DF">
        <w:rPr>
          <w:rFonts w:asciiTheme="minorBidi" w:hAnsiTheme="minorBidi"/>
          <w:u w:val="single"/>
          <w:rtl/>
        </w:rPr>
        <w:t>בעי רב אשי</w:t>
      </w:r>
      <w:r w:rsidRPr="005275DF">
        <w:rPr>
          <w:rFonts w:asciiTheme="minorBidi" w:hAnsiTheme="minorBidi"/>
          <w:rtl/>
        </w:rPr>
        <w:t>: פינן ממיחם למיחם מהו? - תיקו.</w:t>
      </w:r>
      <w:r w:rsidRPr="005275DF">
        <w:rPr>
          <w:rFonts w:asciiTheme="minorBidi" w:hAnsiTheme="minorBidi"/>
          <w:sz w:val="18"/>
          <w:szCs w:val="18"/>
          <w:rtl/>
        </w:rPr>
        <w:t xml:space="preserve"> (הטור ורי"ו פסקו גם בזה להחמיר, אולם, לב"י נראה מדברי הרמב"ם שפסק להקל מזה שלא הזכיר בעיות אלו, </w:t>
      </w:r>
      <w:r w:rsidRPr="005275DF">
        <w:rPr>
          <w:rFonts w:asciiTheme="minorBidi" w:hAnsiTheme="minorBidi"/>
          <w:color w:val="E36C0A" w:themeColor="accent6" w:themeShade="BF"/>
          <w:sz w:val="18"/>
          <w:szCs w:val="18"/>
          <w:rtl/>
        </w:rPr>
        <w:t>ונראה שכ"פ בשו"ע</w:t>
      </w:r>
      <w:r w:rsidRPr="005275DF">
        <w:rPr>
          <w:rFonts w:asciiTheme="minorBidi" w:hAnsiTheme="minorBidi"/>
          <w:sz w:val="18"/>
          <w:szCs w:val="18"/>
          <w:rtl/>
        </w:rPr>
        <w:t>)</w:t>
      </w:r>
    </w:p>
    <w:p w14:paraId="6C81F840" w14:textId="77777777" w:rsidR="004B2E7C" w:rsidRPr="005275DF" w:rsidRDefault="004B2E7C" w:rsidP="00434A6A">
      <w:pPr>
        <w:rPr>
          <w:rFonts w:asciiTheme="minorBidi" w:hAnsiTheme="minorBidi"/>
          <w:rtl/>
        </w:rPr>
      </w:pPr>
      <w:r w:rsidRPr="005275DF">
        <w:rPr>
          <w:rFonts w:asciiTheme="minorBidi" w:hAnsiTheme="minorBidi"/>
          <w:b/>
          <w:bCs/>
          <w:rtl/>
        </w:rPr>
        <w:t xml:space="preserve">שבת לח ע"ב: </w:t>
      </w:r>
      <w:r w:rsidRPr="005275DF">
        <w:rPr>
          <w:rFonts w:asciiTheme="minorBidi" w:hAnsiTheme="minorBidi"/>
          <w:u w:val="double"/>
          <w:rtl/>
        </w:rPr>
        <w:t>משנה:</w:t>
      </w:r>
      <w:r w:rsidRPr="005275DF">
        <w:rPr>
          <w:rFonts w:asciiTheme="minorBidi" w:hAnsiTheme="minorBidi"/>
          <w:rtl/>
        </w:rPr>
        <w:t xml:space="preserve"> תנור שהסיקוהו בקש ובגבבא לא יתן בין מתוכו בין מעל גביו. כופח שהסיקוהו בקש ובגבבא - הרי זה ככיריים, בגפת ובעצים - הרי הוא כתנור.     </w:t>
      </w:r>
      <w:r w:rsidRPr="005275DF">
        <w:rPr>
          <w:rFonts w:asciiTheme="minorBidi" w:hAnsiTheme="minorBidi"/>
          <w:u w:val="double"/>
          <w:rtl/>
        </w:rPr>
        <w:t>גמ':</w:t>
      </w:r>
      <w:r w:rsidRPr="005275DF">
        <w:rPr>
          <w:rFonts w:asciiTheme="minorBidi" w:hAnsiTheme="minorBidi"/>
          <w:rtl/>
        </w:rPr>
        <w:t xml:space="preserve"> תניא כוותיה דאביי: תנור שהסיקוהו בקש ובגבבא - אין סומכין לו, ואין צריך לומר על גביו, ואין צריך לומר לתוכו, ואין צריך לומר בגפת ובעצים. כופח שהסיקוהו בקש ובגבבא - סומכין לו, ואין נותנין על גביו. בגפת ובעצים - אין סומכין לו.</w:t>
      </w:r>
    </w:p>
    <w:p w14:paraId="511D9740"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7405095" w14:textId="77777777" w:rsidR="004B2E7C" w:rsidRPr="005275DF" w:rsidRDefault="004B2E7C" w:rsidP="00434A6A">
      <w:pPr>
        <w:rPr>
          <w:rFonts w:asciiTheme="minorBidi" w:hAnsiTheme="minorBidi"/>
          <w:rtl/>
        </w:rPr>
      </w:pPr>
      <w:r w:rsidRPr="005275DF">
        <w:rPr>
          <w:rFonts w:asciiTheme="minorBidi" w:hAnsiTheme="minorBidi"/>
          <w:rtl/>
        </w:rPr>
        <w:t>כירה</w:t>
      </w:r>
      <w:r w:rsidRPr="005275DF">
        <w:rPr>
          <w:rStyle w:val="a9"/>
          <w:rFonts w:asciiTheme="minorBidi" w:hAnsiTheme="minorBidi"/>
          <w:rtl/>
        </w:rPr>
        <w:footnoteReference w:id="430"/>
      </w:r>
      <w:r w:rsidRPr="005275DF">
        <w:rPr>
          <w:rFonts w:asciiTheme="minorBidi" w:hAnsiTheme="minorBidi"/>
          <w:rtl/>
        </w:rPr>
        <w:t xml:space="preserve"> שהיא גרופה וקטומה</w:t>
      </w:r>
      <w:r w:rsidRPr="005275DF">
        <w:rPr>
          <w:rStyle w:val="a9"/>
          <w:rFonts w:asciiTheme="minorBidi" w:hAnsiTheme="minorBidi"/>
          <w:rtl/>
        </w:rPr>
        <w:footnoteReference w:id="431"/>
      </w:r>
      <w:r w:rsidRPr="005275DF">
        <w:rPr>
          <w:rFonts w:asciiTheme="minorBidi" w:hAnsiTheme="minorBidi"/>
          <w:rtl/>
        </w:rPr>
        <w:t xml:space="preserve"> ונטל הקדירה מעליה אפי' בשבת, מותר להחזירה כל זמן שהיא רותחת</w:t>
      </w:r>
      <w:r w:rsidRPr="005275DF">
        <w:rPr>
          <w:rStyle w:val="a9"/>
          <w:rFonts w:asciiTheme="minorBidi" w:hAnsiTheme="minorBidi"/>
          <w:rtl/>
        </w:rPr>
        <w:footnoteReference w:id="432"/>
      </w:r>
      <w:r w:rsidRPr="005275DF">
        <w:rPr>
          <w:rFonts w:asciiTheme="minorBidi" w:hAnsiTheme="minorBidi"/>
          <w:rtl/>
        </w:rPr>
        <w:t xml:space="preserve">. </w:t>
      </w:r>
      <w:r w:rsidRPr="005275DF">
        <w:rPr>
          <w:rFonts w:asciiTheme="minorBidi" w:hAnsiTheme="minorBidi"/>
          <w:sz w:val="18"/>
          <w:szCs w:val="18"/>
          <w:rtl/>
        </w:rPr>
        <w:t>הגה: ועודה בידו (טור)</w:t>
      </w:r>
      <w:r w:rsidRPr="005275DF">
        <w:rPr>
          <w:rFonts w:asciiTheme="minorBidi" w:hAnsiTheme="minorBidi"/>
          <w:rtl/>
        </w:rPr>
        <w:t>, ולא הניחה ע"ג קרקע</w:t>
      </w:r>
      <w:r w:rsidRPr="005275DF">
        <w:rPr>
          <w:rStyle w:val="a9"/>
          <w:rFonts w:asciiTheme="minorBidi" w:hAnsiTheme="minorBidi"/>
          <w:rtl/>
        </w:rPr>
        <w:footnoteReference w:id="433"/>
      </w:r>
      <w:r w:rsidRPr="005275DF">
        <w:rPr>
          <w:rFonts w:asciiTheme="minorBidi" w:hAnsiTheme="minorBidi"/>
          <w:rtl/>
        </w:rPr>
        <w:t xml:space="preserve">. </w:t>
      </w:r>
      <w:r w:rsidRPr="005275DF">
        <w:rPr>
          <w:rFonts w:asciiTheme="minorBidi" w:hAnsiTheme="minorBidi"/>
          <w:sz w:val="18"/>
          <w:szCs w:val="18"/>
          <w:rtl/>
        </w:rPr>
        <w:t>הגה: ודעתו להחזירה</w:t>
      </w:r>
      <w:r w:rsidRPr="005275DF">
        <w:rPr>
          <w:rStyle w:val="a9"/>
          <w:rFonts w:asciiTheme="minorBidi" w:hAnsiTheme="minorBidi"/>
          <w:sz w:val="18"/>
          <w:szCs w:val="18"/>
          <w:rtl/>
        </w:rPr>
        <w:footnoteReference w:id="434"/>
      </w:r>
      <w:r w:rsidRPr="005275DF">
        <w:rPr>
          <w:rFonts w:asciiTheme="minorBidi" w:hAnsiTheme="minorBidi"/>
          <w:sz w:val="18"/>
          <w:szCs w:val="18"/>
          <w:rtl/>
        </w:rPr>
        <w:t xml:space="preserve"> (טור)</w:t>
      </w:r>
      <w:r w:rsidRPr="005275DF">
        <w:rPr>
          <w:rFonts w:asciiTheme="minorBidi" w:hAnsiTheme="minorBidi"/>
          <w:rtl/>
        </w:rPr>
        <w:t>; ודוקא על גבה</w:t>
      </w:r>
      <w:r w:rsidRPr="005275DF">
        <w:rPr>
          <w:rStyle w:val="a9"/>
          <w:rFonts w:asciiTheme="minorBidi" w:hAnsiTheme="minorBidi"/>
          <w:rtl/>
        </w:rPr>
        <w:footnoteReference w:id="435"/>
      </w:r>
      <w:r w:rsidRPr="005275DF">
        <w:rPr>
          <w:rFonts w:asciiTheme="minorBidi" w:hAnsiTheme="minorBidi"/>
          <w:rtl/>
        </w:rPr>
        <w:t xml:space="preserve">, אבל לתוכה אסור. ובתנור, אסור להחזיר אפי' הוא גרוף וקטום; וה"ה לכופח, אם הסיקו בגפת ועצים. </w:t>
      </w:r>
      <w:r w:rsidRPr="005275DF">
        <w:rPr>
          <w:rFonts w:asciiTheme="minorBidi" w:hAnsiTheme="minorBidi"/>
          <w:sz w:val="18"/>
          <w:szCs w:val="18"/>
          <w:rtl/>
        </w:rPr>
        <w:t>הגה: ודוקא שהתבשיל מבושל כל צרכו (ב"י), ואז מותר להחזיר, ואפילו לכירה אחרת, אבל אם לא נתבשל כל צרכו אסור אפי' לאותה כירה (מיימוני פ"ג). וי"א דכל זה אינו אסור רק כשנטלו מן הכירה מבעוד יום, ולא החזירו עד שחשכה; אבל אם לקחו משם משחשכה, אפי' הניחו ע"ג קרקע מותר (ר"ן פ' כירה וכל בו), וכן נוהגים להקל בתנורים שלנו שיש להם דין כירה, וסומכין עצמם על דברי המקילין, וטוב להחמיר. מיהו אם נצטנן, לכולי עלמא אסור (ב"י). וי"א דאם הוציא מאכל מן התנור, אסור להניחו בכרים ובכסתות</w:t>
      </w:r>
      <w:r w:rsidRPr="005275DF">
        <w:rPr>
          <w:rStyle w:val="a9"/>
          <w:rFonts w:asciiTheme="minorBidi" w:hAnsiTheme="minorBidi"/>
          <w:sz w:val="18"/>
          <w:szCs w:val="18"/>
          <w:rtl/>
        </w:rPr>
        <w:footnoteReference w:id="436"/>
      </w:r>
      <w:r w:rsidRPr="005275DF">
        <w:rPr>
          <w:rFonts w:asciiTheme="minorBidi" w:hAnsiTheme="minorBidi"/>
          <w:sz w:val="18"/>
          <w:szCs w:val="18"/>
          <w:rtl/>
        </w:rPr>
        <w:t xml:space="preserve"> (הגה"מ פ"ז). י"א דכל שהוא סמוך לחשיכה, או סמוך לברכו שהוא קבלת שבת לדידן, (הגהות מרדכי), אם הוא סמוך כ"כ שאם נצטנן הקדירה אי אפשר להרתיחה מבעוד יום, דינו כמו בשבת עצמו. ויש מקילין בזה, והמנהג להקל, אך טוב להחמיר במקום שאין צורך כל כך</w:t>
      </w:r>
      <w:r w:rsidRPr="005275DF">
        <w:rPr>
          <w:rStyle w:val="a9"/>
          <w:rFonts w:asciiTheme="minorBidi" w:hAnsiTheme="minorBidi"/>
          <w:sz w:val="18"/>
          <w:szCs w:val="18"/>
          <w:rtl/>
        </w:rPr>
        <w:footnoteReference w:id="437"/>
      </w:r>
      <w:r w:rsidRPr="005275DF">
        <w:rPr>
          <w:rFonts w:asciiTheme="minorBidi" w:hAnsiTheme="minorBidi"/>
          <w:sz w:val="18"/>
          <w:szCs w:val="18"/>
          <w:rtl/>
        </w:rPr>
        <w:t>. ודוקא ע"ג כירה ממש, אבל לסמוך, אפי' לאש, במקום שהיד סולדת בו, שרי אפילו סמוך לחשיכה</w:t>
      </w:r>
      <w:r w:rsidRPr="005275DF">
        <w:rPr>
          <w:rStyle w:val="a9"/>
          <w:rFonts w:asciiTheme="minorBidi" w:hAnsiTheme="minorBidi"/>
          <w:sz w:val="18"/>
          <w:szCs w:val="18"/>
          <w:rtl/>
        </w:rPr>
        <w:footnoteReference w:id="438"/>
      </w:r>
      <w:r w:rsidRPr="005275DF">
        <w:rPr>
          <w:rFonts w:asciiTheme="minorBidi" w:hAnsiTheme="minorBidi"/>
          <w:sz w:val="18"/>
          <w:szCs w:val="18"/>
          <w:rtl/>
        </w:rPr>
        <w:t xml:space="preserve"> (הגמ"ר והגמי"י). ובתנור אין חילוק בין להחזיר עליו או לסמוך אצלו</w:t>
      </w:r>
      <w:r w:rsidRPr="005275DF">
        <w:rPr>
          <w:rStyle w:val="a9"/>
          <w:rFonts w:asciiTheme="minorBidi" w:hAnsiTheme="minorBidi"/>
          <w:sz w:val="18"/>
          <w:szCs w:val="18"/>
          <w:rtl/>
        </w:rPr>
        <w:footnoteReference w:id="439"/>
      </w:r>
      <w:r w:rsidRPr="005275DF">
        <w:rPr>
          <w:rFonts w:asciiTheme="minorBidi" w:hAnsiTheme="minorBidi"/>
          <w:sz w:val="18"/>
          <w:szCs w:val="18"/>
          <w:rtl/>
        </w:rPr>
        <w:t>; ודוקא במקום שהיד סולדת, אבל אין היד סולדת שם, שרי אפי' בשבת, כמו שיתבאר לקמן סי' שי"ח.</w:t>
      </w:r>
      <w:r w:rsidRPr="005275DF">
        <w:rPr>
          <w:rFonts w:asciiTheme="minorBidi" w:hAnsiTheme="minorBidi"/>
          <w:rtl/>
        </w:rPr>
        <w:t xml:space="preserve"> </w:t>
      </w:r>
    </w:p>
    <w:p w14:paraId="79605844" w14:textId="77777777" w:rsidR="004B2E7C" w:rsidRPr="005275DF" w:rsidRDefault="004B2E7C" w:rsidP="00434A6A">
      <w:pPr>
        <w:rPr>
          <w:rFonts w:asciiTheme="minorBidi" w:hAnsiTheme="minorBidi"/>
          <w:rtl/>
        </w:rPr>
      </w:pPr>
    </w:p>
    <w:p w14:paraId="00271787"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ג: קטימה בשבת ע"י הנחת קדירה ריקנית.</w:t>
      </w:r>
    </w:p>
    <w:p w14:paraId="76BE3C07"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B11DC44" w14:textId="77777777" w:rsidR="004B2E7C" w:rsidRPr="005275DF" w:rsidRDefault="004B2E7C" w:rsidP="00434A6A">
      <w:pPr>
        <w:rPr>
          <w:rFonts w:asciiTheme="minorBidi" w:hAnsiTheme="minorBidi"/>
          <w:rtl/>
        </w:rPr>
      </w:pPr>
      <w:r w:rsidRPr="005275DF">
        <w:rPr>
          <w:rFonts w:asciiTheme="minorBidi" w:hAnsiTheme="minorBidi"/>
          <w:rtl/>
        </w:rPr>
        <w:t>המשכים בבוקר וראה שהקדיחה תבשילו, וירא פן יקדיח יותר, יכול להסיר ולהניח קדירה ישנה</w:t>
      </w:r>
      <w:r w:rsidRPr="005275DF">
        <w:rPr>
          <w:rStyle w:val="a9"/>
          <w:rFonts w:asciiTheme="minorBidi" w:hAnsiTheme="minorBidi"/>
          <w:rtl/>
        </w:rPr>
        <w:footnoteReference w:id="440"/>
      </w:r>
      <w:r w:rsidRPr="005275DF">
        <w:rPr>
          <w:rFonts w:asciiTheme="minorBidi" w:hAnsiTheme="minorBidi"/>
          <w:rtl/>
        </w:rPr>
        <w:t xml:space="preserve"> ריקנית על פי הכירה ואז ישים הקדירה שהתבשיל בתוכה ע"ג הקדירה ריקנית; ויזהר שלא ישים קדירתו ע"ג קרקע, ושתהיה רותחת. </w:t>
      </w:r>
      <w:r w:rsidRPr="005275DF">
        <w:rPr>
          <w:rFonts w:asciiTheme="minorBidi" w:hAnsiTheme="minorBidi"/>
          <w:sz w:val="18"/>
          <w:szCs w:val="18"/>
          <w:rtl/>
        </w:rPr>
        <w:t>הגה: וכבר נתבאר</w:t>
      </w:r>
      <w:r w:rsidRPr="005275DF">
        <w:rPr>
          <w:rStyle w:val="a9"/>
          <w:rFonts w:asciiTheme="minorBidi" w:hAnsiTheme="minorBidi"/>
          <w:sz w:val="18"/>
          <w:szCs w:val="18"/>
          <w:rtl/>
        </w:rPr>
        <w:footnoteReference w:id="441"/>
      </w:r>
      <w:r w:rsidRPr="005275DF">
        <w:rPr>
          <w:rFonts w:asciiTheme="minorBidi" w:hAnsiTheme="minorBidi"/>
          <w:sz w:val="18"/>
          <w:szCs w:val="18"/>
          <w:rtl/>
        </w:rPr>
        <w:t xml:space="preserve"> שנוהגים להקל אף אם נתנה על גבי קרקע.</w:t>
      </w:r>
    </w:p>
    <w:p w14:paraId="773C115D" w14:textId="77777777" w:rsidR="004B2E7C" w:rsidRPr="005275DF" w:rsidRDefault="004B2E7C" w:rsidP="00434A6A">
      <w:pPr>
        <w:rPr>
          <w:rFonts w:asciiTheme="minorBidi" w:hAnsiTheme="minorBidi"/>
          <w:rtl/>
        </w:rPr>
      </w:pPr>
    </w:p>
    <w:p w14:paraId="567315F1"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ד: נתנית מים לתוך קדירה שהקדיחה.</w:t>
      </w:r>
    </w:p>
    <w:p w14:paraId="181DB3D1"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68816AB" w14:textId="77777777" w:rsidR="004B2E7C" w:rsidRPr="005275DF" w:rsidRDefault="004B2E7C" w:rsidP="00434A6A">
      <w:pPr>
        <w:rPr>
          <w:rFonts w:asciiTheme="minorBidi" w:hAnsiTheme="minorBidi"/>
          <w:rtl/>
        </w:rPr>
      </w:pPr>
      <w:r w:rsidRPr="005275DF">
        <w:rPr>
          <w:rFonts w:asciiTheme="minorBidi" w:hAnsiTheme="minorBidi"/>
          <w:rtl/>
        </w:rPr>
        <w:t xml:space="preserve">יש למחות ביד הנוהגים להטמין מבעוד יום קומקום של מים חמין ונותנים אותם לתוך הקדירה בשבת כשהתבשיל מצטמק, </w:t>
      </w:r>
      <w:r w:rsidRPr="005275DF">
        <w:rPr>
          <w:rFonts w:asciiTheme="minorBidi" w:hAnsiTheme="minorBidi"/>
          <w:sz w:val="18"/>
          <w:szCs w:val="18"/>
          <w:rtl/>
        </w:rPr>
        <w:t>הגה: וע"ל סי' שי"ח</w:t>
      </w:r>
      <w:r w:rsidRPr="005275DF">
        <w:rPr>
          <w:rStyle w:val="a9"/>
          <w:rFonts w:asciiTheme="minorBidi" w:hAnsiTheme="minorBidi"/>
          <w:sz w:val="18"/>
          <w:szCs w:val="18"/>
          <w:rtl/>
        </w:rPr>
        <w:footnoteReference w:id="442"/>
      </w:r>
      <w:r w:rsidRPr="005275DF">
        <w:rPr>
          <w:rFonts w:asciiTheme="minorBidi" w:hAnsiTheme="minorBidi"/>
          <w:rtl/>
        </w:rPr>
        <w:t xml:space="preserve">. </w:t>
      </w:r>
    </w:p>
    <w:p w14:paraId="6DDA6B5F" w14:textId="77777777" w:rsidR="004B2E7C" w:rsidRPr="005275DF" w:rsidRDefault="004B2E7C" w:rsidP="00434A6A">
      <w:pPr>
        <w:rPr>
          <w:rFonts w:asciiTheme="minorBidi" w:hAnsiTheme="minorBidi"/>
          <w:rtl/>
        </w:rPr>
      </w:pPr>
    </w:p>
    <w:p w14:paraId="6F55FFC3"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ה: חימום תבשיל ע"י נתינתו על קדירת חמין.</w:t>
      </w:r>
    </w:p>
    <w:p w14:paraId="5141DD8A"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6DCE128" w14:textId="77777777" w:rsidR="004B2E7C" w:rsidRPr="005275DF" w:rsidRDefault="004B2E7C" w:rsidP="00434A6A">
      <w:pPr>
        <w:rPr>
          <w:rFonts w:asciiTheme="minorBidi" w:hAnsiTheme="minorBidi"/>
          <w:sz w:val="18"/>
          <w:szCs w:val="18"/>
          <w:rtl/>
        </w:rPr>
      </w:pPr>
      <w:r w:rsidRPr="005275DF">
        <w:rPr>
          <w:rFonts w:asciiTheme="minorBidi" w:hAnsiTheme="minorBidi"/>
          <w:rtl/>
        </w:rPr>
        <w:t>מותר לתת על פי קדירת חמין בשבת, תבשיל שנתבשל מערב שבת כל צרכו, כגון פאנדי"ש וכיוצא בהן</w:t>
      </w:r>
      <w:r w:rsidRPr="005275DF">
        <w:rPr>
          <w:rStyle w:val="a9"/>
          <w:rFonts w:asciiTheme="minorBidi" w:hAnsiTheme="minorBidi"/>
          <w:rtl/>
        </w:rPr>
        <w:footnoteReference w:id="443"/>
      </w:r>
      <w:r w:rsidRPr="005275DF">
        <w:rPr>
          <w:rFonts w:asciiTheme="minorBidi" w:hAnsiTheme="minorBidi"/>
          <w:rtl/>
        </w:rPr>
        <w:t>, לחממן, לפי שאין דרך בישול בכך; אבל להטמין תחת הבגדים הנתונים ע"ג המיחם, ודאי אסור.</w:t>
      </w:r>
      <w:r w:rsidRPr="005275DF">
        <w:rPr>
          <w:rFonts w:asciiTheme="minorBidi" w:hAnsiTheme="minorBidi"/>
          <w:sz w:val="18"/>
          <w:szCs w:val="18"/>
          <w:rtl/>
        </w:rPr>
        <w:t xml:space="preserve"> הגה: וה"ה שאסור להניחו ע"ג כירה, אפי' גרופה וקטומה, דלא התירו אלא חזרה וכדרך שנתבאר. ויש מתירין ליתן לתוך תנור שאפו בו מבעוד יום, דמאחר שלא הטמינו בו רק אפו בו מבעוד יום לא נשאר בו רק הבל מעט ואין לחוש לבישול (כל בו), ובלבד שלא נצטנן  לגמרי</w:t>
      </w:r>
      <w:r w:rsidRPr="005275DF">
        <w:rPr>
          <w:rStyle w:val="a9"/>
          <w:rFonts w:asciiTheme="minorBidi" w:hAnsiTheme="minorBidi"/>
          <w:sz w:val="18"/>
          <w:szCs w:val="18"/>
          <w:rtl/>
        </w:rPr>
        <w:footnoteReference w:id="444"/>
      </w:r>
      <w:r w:rsidRPr="005275DF">
        <w:rPr>
          <w:rFonts w:asciiTheme="minorBidi" w:hAnsiTheme="minorBidi"/>
          <w:sz w:val="18"/>
          <w:szCs w:val="18"/>
          <w:rtl/>
        </w:rPr>
        <w:t>. ויש מחמירין בזה. ואם החום כל כך בתנור שהיד סולדת בו, אסור ועיין לקמן סימן שי"ח. וכל הדברים שאסור לעשות מדברים אלו, אסור לומר לגוי לעשות. לכן אסור לומר לגוי להחם הקדירה אם נצטנן</w:t>
      </w:r>
      <w:r w:rsidRPr="005275DF">
        <w:rPr>
          <w:rStyle w:val="a9"/>
          <w:rFonts w:asciiTheme="minorBidi" w:hAnsiTheme="minorBidi"/>
          <w:sz w:val="18"/>
          <w:szCs w:val="18"/>
          <w:rtl/>
        </w:rPr>
        <w:footnoteReference w:id="445"/>
      </w:r>
      <w:r w:rsidRPr="005275DF">
        <w:rPr>
          <w:rFonts w:asciiTheme="minorBidi" w:hAnsiTheme="minorBidi"/>
          <w:sz w:val="18"/>
          <w:szCs w:val="18"/>
          <w:rtl/>
        </w:rPr>
        <w:t>; ואם עשה כן, אסור לאכלו אפי' צונן (ב"י והרשב"א בתשובה). אמנם אם לא נצטנן כ"כ, שעדיין ראויים לאכול, אם חממו אותן הגוי מותרין לאכול. לכן</w:t>
      </w:r>
      <w:r w:rsidRPr="005275DF">
        <w:rPr>
          <w:rStyle w:val="a9"/>
          <w:rFonts w:asciiTheme="minorBidi" w:hAnsiTheme="minorBidi"/>
          <w:sz w:val="18"/>
          <w:szCs w:val="18"/>
          <w:rtl/>
        </w:rPr>
        <w:footnoteReference w:id="446"/>
      </w:r>
      <w:r w:rsidRPr="005275DF">
        <w:rPr>
          <w:rFonts w:asciiTheme="minorBidi" w:hAnsiTheme="minorBidi"/>
          <w:sz w:val="18"/>
          <w:szCs w:val="18"/>
          <w:rtl/>
        </w:rPr>
        <w:t xml:space="preserve"> נוהגין שגוים מוציאין הקדירות מן התנורים שמטמינים בהן ומושיבין אותן אצל תנור בית החורף או עליו ומבערת השפחה אח"כ התנור ההוא וע"י זה הקדירות חוזרים ונרתחים</w:t>
      </w:r>
      <w:r w:rsidRPr="005275DF">
        <w:rPr>
          <w:rStyle w:val="a9"/>
          <w:rFonts w:asciiTheme="minorBidi" w:hAnsiTheme="minorBidi"/>
          <w:sz w:val="18"/>
          <w:szCs w:val="18"/>
          <w:rtl/>
        </w:rPr>
        <w:footnoteReference w:id="447"/>
      </w:r>
      <w:r w:rsidRPr="005275DF">
        <w:rPr>
          <w:rFonts w:asciiTheme="minorBidi" w:hAnsiTheme="minorBidi"/>
          <w:sz w:val="18"/>
          <w:szCs w:val="18"/>
          <w:rtl/>
        </w:rPr>
        <w:t>. אבל ע"י ישראל אסור בכה"ג</w:t>
      </w:r>
      <w:r w:rsidRPr="005275DF">
        <w:rPr>
          <w:rStyle w:val="a9"/>
          <w:rFonts w:asciiTheme="minorBidi" w:hAnsiTheme="minorBidi"/>
          <w:sz w:val="18"/>
          <w:szCs w:val="18"/>
          <w:rtl/>
        </w:rPr>
        <w:footnoteReference w:id="448"/>
      </w:r>
      <w:r w:rsidRPr="005275DF">
        <w:rPr>
          <w:rFonts w:asciiTheme="minorBidi" w:hAnsiTheme="minorBidi"/>
          <w:sz w:val="18"/>
          <w:szCs w:val="18"/>
          <w:rtl/>
        </w:rPr>
        <w:t xml:space="preserve"> (תרוה"ד). אבל אם הקדירות עדיין חמין, מותר להעמידן אצל תנור בית החורף</w:t>
      </w:r>
      <w:r w:rsidRPr="005275DF">
        <w:rPr>
          <w:rStyle w:val="a9"/>
          <w:rFonts w:asciiTheme="minorBidi" w:hAnsiTheme="minorBidi"/>
          <w:sz w:val="18"/>
          <w:szCs w:val="18"/>
          <w:rtl/>
        </w:rPr>
        <w:footnoteReference w:id="449"/>
      </w:r>
      <w:r w:rsidRPr="005275DF">
        <w:rPr>
          <w:rFonts w:asciiTheme="minorBidi" w:hAnsiTheme="minorBidi"/>
          <w:sz w:val="18"/>
          <w:szCs w:val="18"/>
          <w:rtl/>
        </w:rPr>
        <w:t>, מאחר שנתבאר דתנורים שלנו יש להם דין כירה, וסמיכה בכירה שאינה גרופה וקטומה כדין גרופה וקטומה לענין נתינה עליה. וכבר נתבאר שנהגו להקל בחזרה בשבת אפי' הניחה ע"ג קרקע, וה"ה לסמוך לתנור שאינו גרוף וקטום הואיל והקדירה עדיין חם ומבושל כל צרכו, וכן המנהג פשוט להתיר וע"ל סי' שי"ח.</w:t>
      </w:r>
    </w:p>
    <w:p w14:paraId="42B69632" w14:textId="77777777" w:rsidR="004B2E7C" w:rsidRPr="005275DF" w:rsidRDefault="004B2E7C" w:rsidP="00434A6A">
      <w:pPr>
        <w:rPr>
          <w:rFonts w:asciiTheme="minorBidi" w:hAnsiTheme="minorBidi"/>
          <w:sz w:val="18"/>
          <w:szCs w:val="18"/>
          <w:rtl/>
        </w:rPr>
      </w:pPr>
    </w:p>
    <w:p w14:paraId="71ACCDC2" w14:textId="77777777" w:rsidR="004B2E7C" w:rsidRPr="005275DF" w:rsidRDefault="004B2E7C" w:rsidP="00434A6A">
      <w:pPr>
        <w:rPr>
          <w:rFonts w:asciiTheme="minorBidi" w:hAnsiTheme="minorBidi"/>
          <w:sz w:val="18"/>
          <w:szCs w:val="18"/>
          <w:rtl/>
        </w:rPr>
      </w:pPr>
    </w:p>
    <w:p w14:paraId="0D5E8444" w14:textId="77777777" w:rsidR="004B2E7C" w:rsidRPr="005275DF" w:rsidRDefault="004B2E7C" w:rsidP="00434A6A">
      <w:pPr>
        <w:rPr>
          <w:rFonts w:asciiTheme="minorBidi" w:hAnsiTheme="minorBidi"/>
          <w:sz w:val="18"/>
          <w:szCs w:val="18"/>
          <w:rtl/>
        </w:rPr>
      </w:pPr>
    </w:p>
    <w:p w14:paraId="7E04D0AF" w14:textId="77777777" w:rsidR="004B2E7C" w:rsidRPr="005275DF" w:rsidRDefault="004B2E7C" w:rsidP="00434A6A">
      <w:pPr>
        <w:rPr>
          <w:rFonts w:asciiTheme="minorBidi" w:hAnsiTheme="minorBidi"/>
          <w:sz w:val="18"/>
          <w:szCs w:val="18"/>
          <w:rtl/>
        </w:rPr>
      </w:pPr>
    </w:p>
    <w:p w14:paraId="19C6BB51" w14:textId="77777777" w:rsidR="004B2E7C" w:rsidRPr="005275DF" w:rsidRDefault="004B2E7C" w:rsidP="00434A6A">
      <w:pPr>
        <w:rPr>
          <w:rFonts w:asciiTheme="minorBidi" w:hAnsiTheme="minorBidi"/>
          <w:rtl/>
        </w:rPr>
      </w:pPr>
    </w:p>
    <w:p w14:paraId="780CE212" w14:textId="77777777" w:rsidR="004B2E7C" w:rsidRDefault="004B2E7C" w:rsidP="00434A6A">
      <w:pPr>
        <w:pStyle w:val="1"/>
        <w:rPr>
          <w:rFonts w:asciiTheme="minorBidi" w:hAnsiTheme="minorBidi"/>
          <w:rtl/>
        </w:rPr>
        <w:sectPr w:rsidR="004B2E7C" w:rsidSect="00BD29B1">
          <w:headerReference w:type="default" r:id="rId24"/>
          <w:footnotePr>
            <w:numRestart w:val="eachSect"/>
          </w:footnotePr>
          <w:pgSz w:w="11906" w:h="16838"/>
          <w:pgMar w:top="720" w:right="1134" w:bottom="720" w:left="1134" w:header="0" w:footer="0" w:gutter="0"/>
          <w:cols w:space="720"/>
          <w:bidi/>
          <w:rtlGutter/>
          <w:docGrid w:linePitch="360"/>
        </w:sectPr>
      </w:pPr>
    </w:p>
    <w:p w14:paraId="2149CFF7" w14:textId="77777777" w:rsidR="004B2E7C" w:rsidRPr="005275DF" w:rsidRDefault="004B2E7C" w:rsidP="00434A6A">
      <w:pPr>
        <w:pStyle w:val="1"/>
        <w:rPr>
          <w:rFonts w:asciiTheme="minorBidi" w:hAnsiTheme="minorBidi"/>
          <w:rtl/>
        </w:rPr>
      </w:pPr>
      <w:r w:rsidRPr="005275DF">
        <w:rPr>
          <w:rFonts w:asciiTheme="minorBidi" w:hAnsiTheme="minorBidi"/>
          <w:rtl/>
        </w:rPr>
        <w:t>סימן רנד: דיני תבשילין המוכנים מע"ש כדי להגמר בשבת</w:t>
      </w:r>
      <w:r>
        <w:rPr>
          <w:rFonts w:asciiTheme="minorBidi" w:hAnsiTheme="minorBidi" w:hint="cs"/>
          <w:rtl/>
        </w:rPr>
        <w:t>, ובו ט' סעיפים</w:t>
      </w:r>
      <w:r w:rsidRPr="005275DF">
        <w:rPr>
          <w:rFonts w:asciiTheme="minorBidi" w:hAnsiTheme="minorBidi"/>
          <w:rtl/>
        </w:rPr>
        <w:t xml:space="preserve">. </w:t>
      </w:r>
    </w:p>
    <w:p w14:paraId="27BC0149"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א: שהיית צלי אש בסמוך לגחלים.</w:t>
      </w:r>
    </w:p>
    <w:p w14:paraId="728A1D17" w14:textId="77777777" w:rsidR="004B2E7C" w:rsidRPr="005275DF" w:rsidRDefault="004B2E7C" w:rsidP="00434A6A">
      <w:pPr>
        <w:rPr>
          <w:rFonts w:asciiTheme="minorBidi" w:hAnsiTheme="minorBidi"/>
          <w:rtl/>
        </w:rPr>
      </w:pPr>
      <w:r w:rsidRPr="005275DF">
        <w:rPr>
          <w:rFonts w:asciiTheme="minorBidi" w:hAnsiTheme="minorBidi"/>
          <w:b/>
          <w:bCs/>
          <w:rtl/>
        </w:rPr>
        <w:t>שבת יח ע"ב:</w:t>
      </w:r>
      <w:r w:rsidRPr="005275DF">
        <w:rPr>
          <w:rFonts w:asciiTheme="minorBidi" w:hAnsiTheme="minorBidi"/>
          <w:rtl/>
        </w:rPr>
        <w:t xml:space="preserve"> והשתא דאמר מר: כל מידי דקשי ליה זיקא לא מגלו ליה, האי בשרא דגדיא ושריק - שפיר דמי</w:t>
      </w:r>
      <w:r w:rsidRPr="005275DF">
        <w:rPr>
          <w:rStyle w:val="a9"/>
          <w:rFonts w:asciiTheme="minorBidi" w:hAnsiTheme="minorBidi"/>
          <w:rtl/>
        </w:rPr>
        <w:footnoteReference w:id="450"/>
      </w:r>
      <w:r w:rsidRPr="005275DF">
        <w:rPr>
          <w:rFonts w:asciiTheme="minorBidi" w:hAnsiTheme="minorBidi"/>
          <w:rtl/>
        </w:rPr>
        <w:t xml:space="preserve">, דברחא ולא שריק - אסור, דגדיא ולא שריק, דברחא ושריק, </w:t>
      </w:r>
      <w:r w:rsidRPr="005275DF">
        <w:rPr>
          <w:rFonts w:asciiTheme="minorBidi" w:hAnsiTheme="minorBidi"/>
          <w:u w:val="single"/>
          <w:rtl/>
        </w:rPr>
        <w:t>רב אשי</w:t>
      </w:r>
      <w:r w:rsidRPr="005275DF">
        <w:rPr>
          <w:rFonts w:asciiTheme="minorBidi" w:hAnsiTheme="minorBidi"/>
          <w:rtl/>
        </w:rPr>
        <w:t xml:space="preserve"> - שרי, </w:t>
      </w:r>
      <w:r w:rsidRPr="005275DF">
        <w:rPr>
          <w:rFonts w:asciiTheme="minorBidi" w:hAnsiTheme="minorBidi"/>
          <w:u w:val="single"/>
          <w:rtl/>
        </w:rPr>
        <w:t>ורב ירמיה מדיפתי</w:t>
      </w:r>
      <w:r w:rsidRPr="005275DF">
        <w:rPr>
          <w:rFonts w:asciiTheme="minorBidi" w:hAnsiTheme="minorBidi"/>
          <w:rtl/>
        </w:rPr>
        <w:t xml:space="preserve"> - אסיר. ולרב אשי דשרי, והתנן אין צולין בשר בצל וביצה אלא כדי שיצולו מבעוד יום! התם דברחא ולא שריק. </w:t>
      </w:r>
      <w:r w:rsidRPr="005275DF">
        <w:rPr>
          <w:rFonts w:asciiTheme="minorBidi" w:hAnsiTheme="minorBidi"/>
          <w:u w:val="dotted"/>
          <w:rtl/>
        </w:rPr>
        <w:t>איכא דאמרי:</w:t>
      </w:r>
      <w:r w:rsidRPr="005275DF">
        <w:rPr>
          <w:rFonts w:asciiTheme="minorBidi" w:hAnsiTheme="minorBidi"/>
          <w:rtl/>
        </w:rPr>
        <w:t xml:space="preserve"> דגדיא, בין שריק בין לא שריק - שפיר דמי</w:t>
      </w:r>
      <w:r w:rsidRPr="005275DF">
        <w:rPr>
          <w:rStyle w:val="a9"/>
          <w:rFonts w:asciiTheme="minorBidi" w:hAnsiTheme="minorBidi"/>
          <w:rtl/>
        </w:rPr>
        <w:footnoteReference w:id="451"/>
      </w:r>
      <w:r w:rsidRPr="005275DF">
        <w:rPr>
          <w:rFonts w:asciiTheme="minorBidi" w:hAnsiTheme="minorBidi"/>
          <w:rtl/>
        </w:rPr>
        <w:t>, דברחא נמי ושריק - שפיר דמי</w:t>
      </w:r>
      <w:r w:rsidRPr="005275DF">
        <w:rPr>
          <w:rStyle w:val="a9"/>
          <w:rFonts w:asciiTheme="minorBidi" w:hAnsiTheme="minorBidi"/>
          <w:rtl/>
        </w:rPr>
        <w:footnoteReference w:id="452"/>
      </w:r>
      <w:r w:rsidRPr="005275DF">
        <w:rPr>
          <w:rFonts w:asciiTheme="minorBidi" w:hAnsiTheme="minorBidi"/>
          <w:rtl/>
        </w:rPr>
        <w:t>, כי פליגי - דברחא ולא שריק</w:t>
      </w:r>
      <w:r w:rsidRPr="005275DF">
        <w:rPr>
          <w:rStyle w:val="a9"/>
          <w:rFonts w:asciiTheme="minorBidi" w:hAnsiTheme="minorBidi"/>
          <w:rtl/>
        </w:rPr>
        <w:footnoteReference w:id="453"/>
      </w:r>
      <w:r w:rsidRPr="005275DF">
        <w:rPr>
          <w:rFonts w:asciiTheme="minorBidi" w:hAnsiTheme="minorBidi"/>
          <w:rtl/>
        </w:rPr>
        <w:t xml:space="preserve">; </w:t>
      </w:r>
      <w:r w:rsidRPr="005275DF">
        <w:rPr>
          <w:rFonts w:asciiTheme="minorBidi" w:hAnsiTheme="minorBidi"/>
          <w:u w:val="single"/>
          <w:rtl/>
        </w:rPr>
        <w:t>דרב אשי</w:t>
      </w:r>
      <w:r w:rsidRPr="005275DF">
        <w:rPr>
          <w:rFonts w:asciiTheme="minorBidi" w:hAnsiTheme="minorBidi"/>
          <w:rtl/>
        </w:rPr>
        <w:t xml:space="preserve"> שרי, </w:t>
      </w:r>
      <w:r w:rsidRPr="005275DF">
        <w:rPr>
          <w:rFonts w:asciiTheme="minorBidi" w:hAnsiTheme="minorBidi"/>
          <w:u w:val="single"/>
          <w:rtl/>
        </w:rPr>
        <w:t>ורב ירמיה מדיפתי</w:t>
      </w:r>
      <w:r w:rsidRPr="005275DF">
        <w:rPr>
          <w:rFonts w:asciiTheme="minorBidi" w:hAnsiTheme="minorBidi"/>
          <w:rtl/>
        </w:rPr>
        <w:t xml:space="preserve"> אסיר. ולרב אשי דשרי, והתנן אין צולין בשר בצל וביצה אלא כדי שיצולו מבעוד יום! התם בבשרא אגומרי</w:t>
      </w:r>
      <w:r w:rsidRPr="005275DF">
        <w:rPr>
          <w:rStyle w:val="a9"/>
          <w:rFonts w:asciiTheme="minorBidi" w:hAnsiTheme="minorBidi"/>
          <w:rtl/>
        </w:rPr>
        <w:footnoteReference w:id="454"/>
      </w:r>
      <w:r w:rsidRPr="005275DF">
        <w:rPr>
          <w:rFonts w:asciiTheme="minorBidi" w:hAnsiTheme="minorBidi"/>
          <w:rtl/>
        </w:rPr>
        <w:t xml:space="preserve">. </w:t>
      </w:r>
      <w:r w:rsidRPr="005275DF">
        <w:rPr>
          <w:rFonts w:asciiTheme="minorBidi" w:hAnsiTheme="minorBidi"/>
          <w:u w:val="single"/>
          <w:rtl/>
        </w:rPr>
        <w:t>אמר רבינא</w:t>
      </w:r>
      <w:r w:rsidRPr="005275DF">
        <w:rPr>
          <w:rFonts w:asciiTheme="minorBidi" w:hAnsiTheme="minorBidi"/>
          <w:rtl/>
        </w:rPr>
        <w:t>: האי קרא חייא - שפיר דמי, כיון דקשי ליה זיקא, כבשרא דגדיא דמי</w:t>
      </w:r>
      <w:r w:rsidRPr="005275DF">
        <w:rPr>
          <w:rStyle w:val="a9"/>
          <w:rFonts w:asciiTheme="minorBidi" w:hAnsiTheme="minorBidi"/>
          <w:rtl/>
        </w:rPr>
        <w:footnoteReference w:id="455"/>
      </w:r>
      <w:r w:rsidRPr="005275DF">
        <w:rPr>
          <w:rFonts w:asciiTheme="minorBidi" w:hAnsiTheme="minorBidi"/>
          <w:rtl/>
        </w:rPr>
        <w:t xml:space="preserve">. </w:t>
      </w:r>
    </w:p>
    <w:p w14:paraId="378AF7D0" w14:textId="77777777" w:rsidR="004B2E7C" w:rsidRPr="005275DF" w:rsidRDefault="004B2E7C" w:rsidP="00434A6A">
      <w:pPr>
        <w:rPr>
          <w:rFonts w:asciiTheme="minorBidi" w:hAnsiTheme="minorBidi"/>
          <w:rtl/>
        </w:rPr>
      </w:pPr>
      <w:r w:rsidRPr="005275DF">
        <w:rPr>
          <w:rFonts w:asciiTheme="minorBidi" w:hAnsiTheme="minorBidi"/>
          <w:b/>
          <w:bCs/>
          <w:rtl/>
        </w:rPr>
        <w:t>שבת כ ע"א:</w:t>
      </w:r>
      <w:r w:rsidRPr="005275DF">
        <w:rPr>
          <w:rFonts w:asciiTheme="minorBidi" w:hAnsiTheme="minorBidi"/>
          <w:rtl/>
        </w:rPr>
        <w:t xml:space="preserve"> משלשלין את הפסח. מאי טעמא? - משום דבני חבורה זריזין הן. הא לאו הכי לא? והאמר מר: גדיא, בין שריק בין לא שריק - שפיר דמי! - התם מינתח</w:t>
      </w:r>
      <w:r w:rsidRPr="005275DF">
        <w:rPr>
          <w:rStyle w:val="a9"/>
          <w:rFonts w:asciiTheme="minorBidi" w:hAnsiTheme="minorBidi"/>
          <w:rtl/>
        </w:rPr>
        <w:footnoteReference w:id="456"/>
      </w:r>
      <w:r w:rsidRPr="005275DF">
        <w:rPr>
          <w:rFonts w:asciiTheme="minorBidi" w:hAnsiTheme="minorBidi"/>
          <w:rtl/>
        </w:rPr>
        <w:t>, הכא - לא מינתח</w:t>
      </w:r>
      <w:r w:rsidRPr="005275DF">
        <w:rPr>
          <w:rStyle w:val="a9"/>
          <w:rFonts w:asciiTheme="minorBidi" w:hAnsiTheme="minorBidi"/>
          <w:rtl/>
        </w:rPr>
        <w:footnoteReference w:id="457"/>
      </w:r>
      <w:r w:rsidRPr="005275DF">
        <w:rPr>
          <w:rFonts w:asciiTheme="minorBidi" w:hAnsiTheme="minorBidi"/>
          <w:rtl/>
        </w:rPr>
        <w:t xml:space="preserve">. </w:t>
      </w:r>
    </w:p>
    <w:p w14:paraId="6951B529"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E9FD47C" w14:textId="77777777" w:rsidR="004B2E7C" w:rsidRPr="005275DF" w:rsidRDefault="004B2E7C" w:rsidP="00434A6A">
      <w:pPr>
        <w:rPr>
          <w:rFonts w:asciiTheme="minorBidi" w:hAnsiTheme="minorBidi"/>
          <w:rtl/>
        </w:rPr>
      </w:pPr>
      <w:r w:rsidRPr="005275DF">
        <w:rPr>
          <w:rFonts w:asciiTheme="minorBidi" w:hAnsiTheme="minorBidi"/>
          <w:rtl/>
        </w:rPr>
        <w:t>אף על פי שבשר חי מותר להשהותו, הני מילי בקדרה, אבל בצלי שאצל האש</w:t>
      </w:r>
      <w:r w:rsidRPr="005275DF">
        <w:rPr>
          <w:rStyle w:val="a9"/>
          <w:rFonts w:asciiTheme="minorBidi" w:hAnsiTheme="minorBidi"/>
          <w:rtl/>
        </w:rPr>
        <w:footnoteReference w:id="458"/>
      </w:r>
      <w:r w:rsidRPr="005275DF">
        <w:rPr>
          <w:rFonts w:asciiTheme="minorBidi" w:hAnsiTheme="minorBidi"/>
          <w:rtl/>
        </w:rPr>
        <w:t xml:space="preserve"> אסור להניחו סמוך לחשיכה, שממהר להתבשל ואתי לחתויי</w:t>
      </w:r>
      <w:r w:rsidRPr="005275DF">
        <w:rPr>
          <w:rStyle w:val="a9"/>
          <w:rFonts w:asciiTheme="minorBidi" w:hAnsiTheme="minorBidi"/>
          <w:rtl/>
        </w:rPr>
        <w:footnoteReference w:id="459"/>
      </w:r>
      <w:r w:rsidRPr="005275DF">
        <w:rPr>
          <w:rFonts w:asciiTheme="minorBidi" w:hAnsiTheme="minorBidi"/>
          <w:rtl/>
        </w:rPr>
        <w:t xml:space="preserve">. וה"מ בבשר שור או עז, אבל בשר גדי ועוף שהם מנותחים לאברים, מותר דלא חיישינן לחיתוי, שאם יחתה בגחלים יתחרך </w:t>
      </w:r>
      <w:r w:rsidRPr="005275DF">
        <w:rPr>
          <w:rFonts w:asciiTheme="minorBidi" w:hAnsiTheme="minorBidi"/>
          <w:sz w:val="16"/>
          <w:szCs w:val="16"/>
          <w:rtl/>
        </w:rPr>
        <w:t xml:space="preserve">(פי' יצא מגדר הצלי ונכנס בגדר הנשרף) </w:t>
      </w:r>
      <w:r w:rsidRPr="005275DF">
        <w:rPr>
          <w:rFonts w:asciiTheme="minorBidi" w:hAnsiTheme="minorBidi"/>
          <w:rtl/>
        </w:rPr>
        <w:t xml:space="preserve">הבשר, שאינו צריך אלא חמימות האש בלבד. ואם הוא בתנור, וטח פיו בטיט, בין גדי ועוף שלמים בין בשר שור או עז, מותר דלא חיישינן לחיתוי שאם בא לפתוח התנור ולחתות תכנס הרוח ויצטנן התנור ויתקשה הבשר ויפסד. </w:t>
      </w:r>
      <w:r w:rsidRPr="005275DF">
        <w:rPr>
          <w:rFonts w:asciiTheme="minorBidi" w:hAnsiTheme="minorBidi"/>
          <w:sz w:val="18"/>
          <w:szCs w:val="18"/>
          <w:rtl/>
        </w:rPr>
        <w:t>הגה: ואין חילוק בזה בין אם הוא חי לגמרי או שנתבשל קצת (ב"י) וכל זמן שחלל הגוף שלם, אף על פי שאין עליו ראשו וכרעיו, מקרי שלם (הגהות מרדכי). ויש מחמירין וסוברין דבתנור טוח בטיט, הכל שרי</w:t>
      </w:r>
      <w:r w:rsidRPr="005275DF">
        <w:rPr>
          <w:rStyle w:val="a9"/>
          <w:rFonts w:asciiTheme="minorBidi" w:hAnsiTheme="minorBidi"/>
          <w:sz w:val="18"/>
          <w:szCs w:val="18"/>
          <w:rtl/>
        </w:rPr>
        <w:footnoteReference w:id="460"/>
      </w:r>
      <w:r w:rsidRPr="005275DF">
        <w:rPr>
          <w:rFonts w:asciiTheme="minorBidi" w:hAnsiTheme="minorBidi"/>
          <w:sz w:val="18"/>
          <w:szCs w:val="18"/>
          <w:rtl/>
        </w:rPr>
        <w:t>; וע"ג האש שהוא מגולה, הכל אסור</w:t>
      </w:r>
      <w:r w:rsidRPr="005275DF">
        <w:rPr>
          <w:rStyle w:val="a9"/>
          <w:rFonts w:asciiTheme="minorBidi" w:hAnsiTheme="minorBidi"/>
          <w:sz w:val="18"/>
          <w:szCs w:val="18"/>
          <w:rtl/>
        </w:rPr>
        <w:footnoteReference w:id="461"/>
      </w:r>
      <w:r w:rsidRPr="005275DF">
        <w:rPr>
          <w:rFonts w:asciiTheme="minorBidi" w:hAnsiTheme="minorBidi"/>
          <w:sz w:val="18"/>
          <w:szCs w:val="18"/>
          <w:rtl/>
        </w:rPr>
        <w:t>; ובתנור שפיו מכוסה אלא שאינו טוח בטיט, אז יש לחלק בין גדי ועוף</w:t>
      </w:r>
      <w:r w:rsidRPr="005275DF">
        <w:rPr>
          <w:rStyle w:val="a9"/>
          <w:rFonts w:asciiTheme="minorBidi" w:hAnsiTheme="minorBidi"/>
          <w:sz w:val="18"/>
          <w:szCs w:val="18"/>
          <w:rtl/>
        </w:rPr>
        <w:footnoteReference w:id="462"/>
      </w:r>
      <w:r w:rsidRPr="005275DF">
        <w:rPr>
          <w:rFonts w:asciiTheme="minorBidi" w:hAnsiTheme="minorBidi"/>
          <w:sz w:val="18"/>
          <w:szCs w:val="18"/>
          <w:rtl/>
        </w:rPr>
        <w:t xml:space="preserve"> לשאר בשר, כדרך שנתבאר, והכי נהוג כסברא זו. (טור והג"א וב"י בשם רש"י וסמ"ג וסמ"ק וסה"ת).</w:t>
      </w:r>
    </w:p>
    <w:p w14:paraId="54A79D25" w14:textId="77777777" w:rsidR="004B2E7C" w:rsidRPr="005275DF" w:rsidRDefault="004B2E7C" w:rsidP="00434A6A">
      <w:pPr>
        <w:rPr>
          <w:rFonts w:asciiTheme="minorBidi" w:hAnsiTheme="minorBidi"/>
          <w:rtl/>
        </w:rPr>
      </w:pPr>
    </w:p>
    <w:p w14:paraId="3D447746"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ב: שהיית צלי אש על גבי הגחלים.</w:t>
      </w:r>
    </w:p>
    <w:p w14:paraId="06A08250" w14:textId="77777777" w:rsidR="004B2E7C" w:rsidRPr="005275DF" w:rsidRDefault="004B2E7C" w:rsidP="00434A6A">
      <w:pPr>
        <w:rPr>
          <w:rFonts w:asciiTheme="minorBidi" w:hAnsiTheme="minorBidi"/>
          <w:rtl/>
        </w:rPr>
      </w:pPr>
      <w:r w:rsidRPr="005275DF">
        <w:rPr>
          <w:rFonts w:asciiTheme="minorBidi" w:hAnsiTheme="minorBidi"/>
          <w:b/>
          <w:bCs/>
          <w:rtl/>
        </w:rPr>
        <w:t>שבת יט ע"ב:</w:t>
      </w:r>
      <w:r w:rsidRPr="005275DF">
        <w:rPr>
          <w:rFonts w:asciiTheme="minorBidi" w:hAnsiTheme="minorBidi"/>
          <w:rtl/>
        </w:rPr>
        <w:t xml:space="preserve"> </w:t>
      </w:r>
      <w:r w:rsidRPr="005275DF">
        <w:rPr>
          <w:rFonts w:asciiTheme="minorBidi" w:hAnsiTheme="minorBidi"/>
          <w:u w:val="double"/>
          <w:rtl/>
        </w:rPr>
        <w:t>משנה:</w:t>
      </w:r>
      <w:r w:rsidRPr="005275DF">
        <w:rPr>
          <w:rFonts w:asciiTheme="minorBidi" w:hAnsiTheme="minorBidi"/>
          <w:rtl/>
        </w:rPr>
        <w:t xml:space="preserve"> אין צולין בשר בצל וביצה אלא כדי שיצולו מבעוד יום.            </w:t>
      </w:r>
      <w:r w:rsidRPr="005275DF">
        <w:rPr>
          <w:rFonts w:asciiTheme="minorBidi" w:hAnsiTheme="minorBidi"/>
          <w:u w:val="double"/>
          <w:rtl/>
        </w:rPr>
        <w:t>גמ':</w:t>
      </w:r>
      <w:r w:rsidRPr="005275DF">
        <w:rPr>
          <w:rFonts w:asciiTheme="minorBidi" w:hAnsiTheme="minorBidi"/>
          <w:rtl/>
        </w:rPr>
        <w:t xml:space="preserve"> וכמה? </w:t>
      </w:r>
      <w:r w:rsidRPr="005275DF">
        <w:rPr>
          <w:rFonts w:asciiTheme="minorBidi" w:hAnsiTheme="minorBidi"/>
          <w:u w:val="single"/>
          <w:rtl/>
        </w:rPr>
        <w:t>אמר רבי אלעזר אמר רב:</w:t>
      </w:r>
      <w:r w:rsidRPr="005275DF">
        <w:rPr>
          <w:rFonts w:asciiTheme="minorBidi" w:hAnsiTheme="minorBidi"/>
          <w:rtl/>
        </w:rPr>
        <w:t xml:space="preserve"> כדי שיצולו מבעוד יום כמאכל בן דרוסאי.</w:t>
      </w:r>
    </w:p>
    <w:p w14:paraId="56B3EE49"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FC93B56" w14:textId="77777777" w:rsidR="004B2E7C" w:rsidRPr="005275DF" w:rsidRDefault="004B2E7C" w:rsidP="00434A6A">
      <w:pPr>
        <w:rPr>
          <w:rFonts w:asciiTheme="minorBidi" w:hAnsiTheme="minorBidi"/>
          <w:rtl/>
        </w:rPr>
      </w:pPr>
      <w:r w:rsidRPr="005275DF">
        <w:rPr>
          <w:rFonts w:asciiTheme="minorBidi" w:hAnsiTheme="minorBidi"/>
          <w:rtl/>
        </w:rPr>
        <w:t xml:space="preserve">אין צולין בצל וביצה או בשר על גבי גחלים, אלא כדי שיצלה מבעוד יום משני צדדיו כמאכל בן דרוסאי שהוא חצי בישולו. אפי' הוא בשר גדי, דכיון שהניח ע"ג גחלים אינו חושש אלא שיצלה מהרה ואף על פי שיתחרך, הילכך חיישינן שמא יחתה; אבל כשנצלה כמאכל בן דרוסאי, לא חיישינן דלמא אתי לחתויי, אפילו אם הוא בשר שור, שמאחר שהוא ראוי לאכילה למה יחתה להפסידו. </w:t>
      </w:r>
    </w:p>
    <w:p w14:paraId="75F643C1" w14:textId="77777777" w:rsidR="004B2E7C" w:rsidRPr="005275DF" w:rsidRDefault="004B2E7C" w:rsidP="00434A6A">
      <w:pPr>
        <w:rPr>
          <w:rFonts w:asciiTheme="minorBidi" w:hAnsiTheme="minorBidi"/>
          <w:rtl/>
        </w:rPr>
      </w:pPr>
    </w:p>
    <w:p w14:paraId="03924A70"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ג: עבר או שכח ונצלה בשבת באיסור.</w:t>
      </w:r>
    </w:p>
    <w:p w14:paraId="1E3E5FF7"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9F43FD3" w14:textId="77777777" w:rsidR="004B2E7C" w:rsidRPr="005275DF" w:rsidRDefault="004B2E7C" w:rsidP="00434A6A">
      <w:pPr>
        <w:rPr>
          <w:rFonts w:asciiTheme="minorBidi" w:hAnsiTheme="minorBidi"/>
          <w:rtl/>
        </w:rPr>
      </w:pPr>
      <w:r w:rsidRPr="005275DF">
        <w:rPr>
          <w:rFonts w:asciiTheme="minorBidi" w:hAnsiTheme="minorBidi"/>
          <w:rtl/>
        </w:rPr>
        <w:t>אם עבר או שכח ונצלה בשבת באיסור</w:t>
      </w:r>
      <w:r w:rsidRPr="005275DF">
        <w:rPr>
          <w:rStyle w:val="a9"/>
          <w:rFonts w:asciiTheme="minorBidi" w:hAnsiTheme="minorBidi"/>
          <w:rtl/>
        </w:rPr>
        <w:footnoteReference w:id="463"/>
      </w:r>
      <w:r w:rsidRPr="005275DF">
        <w:rPr>
          <w:rFonts w:asciiTheme="minorBidi" w:hAnsiTheme="minorBidi"/>
          <w:rtl/>
        </w:rPr>
        <w:t xml:space="preserve">, אסור. </w:t>
      </w:r>
    </w:p>
    <w:p w14:paraId="0A416B3B" w14:textId="77777777" w:rsidR="004B2E7C" w:rsidRPr="005275DF" w:rsidRDefault="004B2E7C" w:rsidP="00434A6A">
      <w:pPr>
        <w:rPr>
          <w:rFonts w:asciiTheme="minorBidi" w:hAnsiTheme="minorBidi"/>
          <w:rtl/>
        </w:rPr>
      </w:pPr>
    </w:p>
    <w:p w14:paraId="0ABB674A"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ד: הנחת פירות שנאכלין חיים סביב הקדירה.</w:t>
      </w:r>
    </w:p>
    <w:p w14:paraId="527645D8"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E623FA5" w14:textId="77777777" w:rsidR="004B2E7C" w:rsidRPr="005275DF" w:rsidRDefault="004B2E7C" w:rsidP="00434A6A">
      <w:pPr>
        <w:rPr>
          <w:rFonts w:asciiTheme="minorBidi" w:hAnsiTheme="minorBidi"/>
          <w:rtl/>
        </w:rPr>
      </w:pPr>
      <w:r w:rsidRPr="005275DF">
        <w:rPr>
          <w:rFonts w:asciiTheme="minorBidi" w:hAnsiTheme="minorBidi"/>
          <w:rtl/>
        </w:rPr>
        <w:t>פירות שנאכלין חיין, מותר ליתנם סביב הקדירה</w:t>
      </w:r>
      <w:r w:rsidRPr="005275DF">
        <w:rPr>
          <w:rStyle w:val="a9"/>
          <w:rFonts w:asciiTheme="minorBidi" w:hAnsiTheme="minorBidi"/>
          <w:rtl/>
        </w:rPr>
        <w:footnoteReference w:id="464"/>
      </w:r>
      <w:r w:rsidRPr="005275DF">
        <w:rPr>
          <w:rFonts w:asciiTheme="minorBidi" w:hAnsiTheme="minorBidi"/>
          <w:rtl/>
        </w:rPr>
        <w:t xml:space="preserve"> אף על פי שאי אפשר שיצלו קודם חשכה</w:t>
      </w:r>
      <w:r w:rsidRPr="005275DF">
        <w:rPr>
          <w:rStyle w:val="a9"/>
          <w:rFonts w:asciiTheme="minorBidi" w:hAnsiTheme="minorBidi"/>
          <w:rtl/>
        </w:rPr>
        <w:footnoteReference w:id="465"/>
      </w:r>
      <w:r w:rsidRPr="005275DF">
        <w:rPr>
          <w:rFonts w:asciiTheme="minorBidi" w:hAnsiTheme="minorBidi"/>
          <w:rtl/>
        </w:rPr>
        <w:t xml:space="preserve">; ומיהו צריך ליזהר שלא יחזיר הכיסוי אם נתגלה משחשיכה, ושלא להוסיף עליו עד שיצולו, מפני שממהר לגמור בישולם בשבת. </w:t>
      </w:r>
    </w:p>
    <w:p w14:paraId="3A305E0E" w14:textId="77777777" w:rsidR="004B2E7C" w:rsidRPr="005275DF" w:rsidRDefault="004B2E7C" w:rsidP="00434A6A">
      <w:pPr>
        <w:rPr>
          <w:rFonts w:asciiTheme="minorBidi" w:hAnsiTheme="minorBidi"/>
          <w:rtl/>
        </w:rPr>
      </w:pPr>
    </w:p>
    <w:p w14:paraId="6C951301"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ה: נתינת פת בתנור סמוך לחשיכה.</w:t>
      </w:r>
    </w:p>
    <w:p w14:paraId="2E06F7FD" w14:textId="77777777" w:rsidR="004B2E7C" w:rsidRPr="005275DF" w:rsidRDefault="004B2E7C" w:rsidP="00434A6A">
      <w:pPr>
        <w:rPr>
          <w:rFonts w:asciiTheme="minorBidi" w:hAnsiTheme="minorBidi"/>
          <w:rtl/>
        </w:rPr>
      </w:pPr>
      <w:r w:rsidRPr="005275DF">
        <w:rPr>
          <w:rFonts w:asciiTheme="minorBidi" w:hAnsiTheme="minorBidi"/>
          <w:b/>
          <w:bCs/>
          <w:rtl/>
        </w:rPr>
        <w:t>שבת יט ע"ב:</w:t>
      </w:r>
      <w:r w:rsidRPr="005275DF">
        <w:rPr>
          <w:rFonts w:asciiTheme="minorBidi" w:hAnsiTheme="minorBidi"/>
          <w:rtl/>
        </w:rPr>
        <w:t xml:space="preserve"> </w:t>
      </w:r>
      <w:r w:rsidRPr="005275DF">
        <w:rPr>
          <w:rFonts w:asciiTheme="minorBidi" w:hAnsiTheme="minorBidi"/>
          <w:u w:val="double"/>
          <w:rtl/>
        </w:rPr>
        <w:t>משנה:</w:t>
      </w:r>
      <w:r w:rsidRPr="005275DF">
        <w:rPr>
          <w:rFonts w:asciiTheme="minorBidi" w:hAnsiTheme="minorBidi"/>
          <w:rtl/>
        </w:rPr>
        <w:t xml:space="preserve"> אין צולין....  אין נותנין פת לתנור עם חשכה ולא חררה על גבי גחלים אלא כדי שיקרמו</w:t>
      </w:r>
      <w:r w:rsidRPr="005275DF">
        <w:rPr>
          <w:rStyle w:val="a9"/>
          <w:rFonts w:asciiTheme="minorBidi" w:hAnsiTheme="minorBidi"/>
          <w:rtl/>
        </w:rPr>
        <w:footnoteReference w:id="466"/>
      </w:r>
      <w:r w:rsidRPr="005275DF">
        <w:rPr>
          <w:rFonts w:asciiTheme="minorBidi" w:hAnsiTheme="minorBidi"/>
          <w:rtl/>
        </w:rPr>
        <w:t xml:space="preserve"> פניה מבעוד יום, </w:t>
      </w:r>
      <w:r w:rsidRPr="005275DF">
        <w:rPr>
          <w:rFonts w:asciiTheme="minorBidi" w:hAnsiTheme="minorBidi"/>
          <w:u w:val="single"/>
          <w:rtl/>
        </w:rPr>
        <w:t>רבי אליעזר אומר</w:t>
      </w:r>
      <w:r w:rsidRPr="005275DF">
        <w:rPr>
          <w:rFonts w:asciiTheme="minorBidi" w:hAnsiTheme="minorBidi"/>
          <w:rtl/>
        </w:rPr>
        <w:t xml:space="preserve">: כדי שיקרום התחתון שלה.           </w:t>
      </w:r>
      <w:r w:rsidRPr="005275DF">
        <w:rPr>
          <w:rFonts w:asciiTheme="minorBidi" w:hAnsiTheme="minorBidi"/>
          <w:u w:val="double"/>
          <w:rtl/>
        </w:rPr>
        <w:t>גמ':</w:t>
      </w:r>
      <w:r w:rsidRPr="005275DF">
        <w:rPr>
          <w:rFonts w:asciiTheme="minorBidi" w:hAnsiTheme="minorBidi"/>
          <w:rtl/>
        </w:rPr>
        <w:t xml:space="preserve"> איבעיא להו: תחתון האיך דגבי תנור, או דילמא: תחתון האיך דגבי האור? תא שמע, </w:t>
      </w:r>
      <w:r w:rsidRPr="005275DF">
        <w:rPr>
          <w:rFonts w:asciiTheme="minorBidi" w:hAnsiTheme="minorBidi"/>
          <w:u w:val="single"/>
          <w:rtl/>
        </w:rPr>
        <w:t>רבי אליעזר אומר</w:t>
      </w:r>
      <w:r w:rsidRPr="005275DF">
        <w:rPr>
          <w:rFonts w:asciiTheme="minorBidi" w:hAnsiTheme="minorBidi"/>
          <w:rtl/>
        </w:rPr>
        <w:t>: כדי שיקרמו פניה המדובקין בתנור.</w:t>
      </w:r>
    </w:p>
    <w:p w14:paraId="5C646AAB" w14:textId="77777777" w:rsidR="004B2E7C" w:rsidRPr="005275DF" w:rsidRDefault="004B2E7C" w:rsidP="00434A6A">
      <w:pPr>
        <w:rPr>
          <w:rFonts w:asciiTheme="minorBidi" w:hAnsiTheme="minorBidi"/>
          <w:rtl/>
        </w:rPr>
      </w:pPr>
      <w:r w:rsidRPr="005275DF">
        <w:rPr>
          <w:rFonts w:asciiTheme="minorBidi" w:hAnsiTheme="minorBidi"/>
          <w:b/>
          <w:bCs/>
          <w:rtl/>
        </w:rPr>
        <w:t>שבת קיז ע"ב:</w:t>
      </w:r>
      <w:r w:rsidRPr="005275DF">
        <w:rPr>
          <w:rFonts w:asciiTheme="minorBidi" w:hAnsiTheme="minorBidi"/>
          <w:rtl/>
        </w:rPr>
        <w:t xml:space="preserve"> תנו רבנן: שכח פת בתנור וקדש עליו היום - מצילין מזון שלש סעודות</w:t>
      </w:r>
      <w:r w:rsidRPr="005275DF">
        <w:rPr>
          <w:rStyle w:val="a9"/>
          <w:rFonts w:asciiTheme="minorBidi" w:hAnsiTheme="minorBidi"/>
          <w:rtl/>
        </w:rPr>
        <w:footnoteReference w:id="467"/>
      </w:r>
      <w:r w:rsidRPr="005275DF">
        <w:rPr>
          <w:rFonts w:asciiTheme="minorBidi" w:hAnsiTheme="minorBidi"/>
          <w:rtl/>
        </w:rPr>
        <w:t>, ואומר לאחרים: בואו והצילו לכם. וכשהוא רודה - לא ירדה במרדה</w:t>
      </w:r>
      <w:r w:rsidRPr="005275DF">
        <w:rPr>
          <w:rStyle w:val="a9"/>
          <w:rFonts w:asciiTheme="minorBidi" w:hAnsiTheme="minorBidi"/>
          <w:rtl/>
        </w:rPr>
        <w:footnoteReference w:id="468"/>
      </w:r>
      <w:r w:rsidRPr="005275DF">
        <w:rPr>
          <w:rFonts w:asciiTheme="minorBidi" w:hAnsiTheme="minorBidi"/>
          <w:rtl/>
        </w:rPr>
        <w:t xml:space="preserve"> אלא בסכין. איני? והא תנא דבי רבי ישמעאל: לא תעשה כל מלאכה - יצא תקיעת שופר ורדיית הפת, שהיא חכמה ואינה מלאכה! כמה דאפשר לשנויי משנינן.</w:t>
      </w:r>
    </w:p>
    <w:p w14:paraId="135D0016"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1D8F6EC" w14:textId="77777777" w:rsidR="004B2E7C" w:rsidRPr="005275DF" w:rsidRDefault="004B2E7C" w:rsidP="00434A6A">
      <w:pPr>
        <w:rPr>
          <w:rFonts w:asciiTheme="minorBidi" w:hAnsiTheme="minorBidi"/>
          <w:sz w:val="18"/>
          <w:szCs w:val="18"/>
          <w:rtl/>
        </w:rPr>
      </w:pPr>
      <w:r w:rsidRPr="005275DF">
        <w:rPr>
          <w:rFonts w:asciiTheme="minorBidi" w:hAnsiTheme="minorBidi"/>
          <w:rtl/>
        </w:rPr>
        <w:t>אין נותנין סמוך לחשיכה פת</w:t>
      </w:r>
      <w:r w:rsidRPr="005275DF">
        <w:rPr>
          <w:rStyle w:val="a9"/>
          <w:rFonts w:asciiTheme="minorBidi" w:hAnsiTheme="minorBidi"/>
          <w:rtl/>
        </w:rPr>
        <w:footnoteReference w:id="469"/>
      </w:r>
      <w:r w:rsidRPr="005275DF">
        <w:rPr>
          <w:rFonts w:asciiTheme="minorBidi" w:hAnsiTheme="minorBidi"/>
          <w:rtl/>
        </w:rPr>
        <w:t xml:space="preserve"> לתנור, אלא כדי שיקרמו </w:t>
      </w:r>
      <w:r w:rsidRPr="005275DF">
        <w:rPr>
          <w:rFonts w:asciiTheme="minorBidi" w:hAnsiTheme="minorBidi"/>
          <w:sz w:val="16"/>
          <w:szCs w:val="16"/>
          <w:rtl/>
        </w:rPr>
        <w:t xml:space="preserve">(פי' שיעלה על פני הלחם קרום וקליפה מחמת האש) </w:t>
      </w:r>
      <w:r w:rsidRPr="005275DF">
        <w:rPr>
          <w:rFonts w:asciiTheme="minorBidi" w:hAnsiTheme="minorBidi"/>
          <w:rtl/>
        </w:rPr>
        <w:t xml:space="preserve">פניה המדובקים בתנור; ולא חררה על גבי גחלים, אלא כדי שיקרמו פניה שכנגד האש. </w:t>
      </w:r>
      <w:r w:rsidRPr="005275DF">
        <w:rPr>
          <w:rFonts w:asciiTheme="minorBidi" w:hAnsiTheme="minorBidi"/>
          <w:sz w:val="18"/>
          <w:szCs w:val="18"/>
          <w:rtl/>
        </w:rPr>
        <w:t>הגה: וכל שפורסה ואין החוטין נמשכין, קרוי קרימת פנים (הגה"מ פ"ג בשם התוס'); ופשטיד"א או פלאדי"ן, צריך שיקרמו פניה למעלה ולמטה, ויתבשל מה שבתוכה כמאכל בן דרוסאי (ב"י בשם סמ"ג והגה"מ)</w:t>
      </w:r>
      <w:r w:rsidRPr="005275DF">
        <w:rPr>
          <w:rFonts w:asciiTheme="minorBidi" w:hAnsiTheme="minorBidi"/>
          <w:rtl/>
        </w:rPr>
        <w:t>. ואם נתן אותם סמוך לחשיכה ולא קרמו פניהם, אם במזיד, אסור עד מוצאי שבת בכדי שיעשו; ואם בשוגג, אם אין לו מה יאכל, מותר לו לרדות ממנו מזון שלש סעודות</w:t>
      </w:r>
      <w:r w:rsidRPr="005275DF">
        <w:rPr>
          <w:rStyle w:val="a9"/>
          <w:rFonts w:asciiTheme="minorBidi" w:hAnsiTheme="minorBidi"/>
          <w:rtl/>
        </w:rPr>
        <w:footnoteReference w:id="470"/>
      </w:r>
      <w:r w:rsidRPr="005275DF">
        <w:rPr>
          <w:rFonts w:asciiTheme="minorBidi" w:hAnsiTheme="minorBidi"/>
          <w:rtl/>
        </w:rPr>
        <w:t>, ואומר לאחרים שאין להם מה יאכלו בואו ורדו לכם מזון שלש סעודות. וכשהוא רודה, לא ירדה במרדה</w:t>
      </w:r>
      <w:r w:rsidRPr="005275DF">
        <w:rPr>
          <w:rFonts w:asciiTheme="minorBidi" w:hAnsiTheme="minorBidi"/>
          <w:sz w:val="18"/>
          <w:szCs w:val="18"/>
          <w:rtl/>
        </w:rPr>
        <w:t xml:space="preserve"> </w:t>
      </w:r>
      <w:r w:rsidRPr="005275DF">
        <w:rPr>
          <w:rFonts w:asciiTheme="minorBidi" w:hAnsiTheme="minorBidi"/>
          <w:sz w:val="16"/>
          <w:szCs w:val="16"/>
          <w:rtl/>
        </w:rPr>
        <w:t>(פי' ברחת ובמזרה תרגום מרדה פאל"ה בלע"ז)</w:t>
      </w:r>
      <w:r w:rsidRPr="005275DF">
        <w:rPr>
          <w:rFonts w:asciiTheme="minorBidi" w:hAnsiTheme="minorBidi"/>
          <w:rtl/>
        </w:rPr>
        <w:t>, אלא בסכין וכיוצא בו, שלא יעשה כדרך שעושה בחול; ואם אי אפשר לרדות בשינוי, ירדה במרדה; ואם נתנה בכדי שיקרמו פניה, כיון דלא עבד איסורא, וצורך שבת הוא, רודה כדרכו. ושלא לצורך היום, אסור אפילו בשינוי</w:t>
      </w:r>
      <w:r w:rsidRPr="005275DF">
        <w:rPr>
          <w:rStyle w:val="a9"/>
          <w:rFonts w:asciiTheme="minorBidi" w:hAnsiTheme="minorBidi"/>
          <w:rtl/>
        </w:rPr>
        <w:footnoteReference w:id="471"/>
      </w:r>
      <w:r w:rsidRPr="005275DF">
        <w:rPr>
          <w:rFonts w:asciiTheme="minorBidi" w:hAnsiTheme="minorBidi"/>
          <w:rtl/>
        </w:rPr>
        <w:t xml:space="preserve">. </w:t>
      </w:r>
      <w:r w:rsidRPr="005275DF">
        <w:rPr>
          <w:rFonts w:asciiTheme="minorBidi" w:hAnsiTheme="minorBidi"/>
          <w:sz w:val="18"/>
          <w:szCs w:val="18"/>
          <w:rtl/>
        </w:rPr>
        <w:t>הגה: וכל זה בתנור שאינו טוח בטיט (הג"א), אבל אם הוא טוח בטיט</w:t>
      </w:r>
      <w:r w:rsidRPr="005275DF">
        <w:rPr>
          <w:rStyle w:val="a9"/>
          <w:rFonts w:asciiTheme="minorBidi" w:hAnsiTheme="minorBidi"/>
          <w:sz w:val="18"/>
          <w:szCs w:val="18"/>
          <w:rtl/>
        </w:rPr>
        <w:footnoteReference w:id="472"/>
      </w:r>
      <w:r w:rsidRPr="005275DF">
        <w:rPr>
          <w:rFonts w:asciiTheme="minorBidi" w:hAnsiTheme="minorBidi"/>
          <w:sz w:val="18"/>
          <w:szCs w:val="18"/>
          <w:rtl/>
        </w:rPr>
        <w:t xml:space="preserve"> או שאינו אופה לצורך שבת רק למוצאי שבת, דיש לו זמן לאפותו</w:t>
      </w:r>
      <w:r w:rsidRPr="005275DF">
        <w:rPr>
          <w:rStyle w:val="a9"/>
          <w:rFonts w:asciiTheme="minorBidi" w:hAnsiTheme="minorBidi"/>
          <w:sz w:val="18"/>
          <w:szCs w:val="18"/>
          <w:rtl/>
        </w:rPr>
        <w:footnoteReference w:id="473"/>
      </w:r>
      <w:r w:rsidRPr="005275DF">
        <w:rPr>
          <w:rFonts w:asciiTheme="minorBidi" w:hAnsiTheme="minorBidi"/>
          <w:sz w:val="18"/>
          <w:szCs w:val="18"/>
          <w:rtl/>
        </w:rPr>
        <w:t xml:space="preserve">, מותר דלא גזרינן בכה"ג שמא יחתה (כל בו). </w:t>
      </w:r>
    </w:p>
    <w:p w14:paraId="2B85BF03" w14:textId="77777777" w:rsidR="004B2E7C" w:rsidRPr="005275DF" w:rsidRDefault="004B2E7C" w:rsidP="00434A6A">
      <w:pPr>
        <w:rPr>
          <w:rFonts w:asciiTheme="minorBidi" w:hAnsiTheme="minorBidi"/>
          <w:sz w:val="18"/>
          <w:szCs w:val="18"/>
          <w:rtl/>
        </w:rPr>
      </w:pPr>
    </w:p>
    <w:p w14:paraId="44FD928F"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ו: עבר ונתן פת בשבת.</w:t>
      </w:r>
    </w:p>
    <w:p w14:paraId="4EEC41D4" w14:textId="77777777" w:rsidR="004B2E7C" w:rsidRPr="005275DF" w:rsidRDefault="004B2E7C" w:rsidP="00434A6A">
      <w:pPr>
        <w:rPr>
          <w:rFonts w:asciiTheme="minorBidi" w:hAnsiTheme="minorBidi"/>
          <w:b/>
          <w:bCs/>
          <w:rtl/>
        </w:rPr>
      </w:pPr>
      <w:r w:rsidRPr="005275DF">
        <w:rPr>
          <w:rFonts w:asciiTheme="minorBidi" w:hAnsiTheme="minorBidi"/>
          <w:b/>
          <w:bCs/>
          <w:rtl/>
        </w:rPr>
        <w:t xml:space="preserve">שבת ד ע"א: </w:t>
      </w:r>
      <w:r w:rsidRPr="005275DF">
        <w:rPr>
          <w:rFonts w:asciiTheme="minorBidi" w:hAnsiTheme="minorBidi"/>
          <w:u w:val="single"/>
          <w:rtl/>
        </w:rPr>
        <w:t>רב אחא בריה דרבא</w:t>
      </w:r>
      <w:r w:rsidRPr="005275DF">
        <w:rPr>
          <w:rFonts w:asciiTheme="minorBidi" w:hAnsiTheme="minorBidi"/>
          <w:rtl/>
        </w:rPr>
        <w:t xml:space="preserve"> מתני לה בהדיא: </w:t>
      </w:r>
      <w:r w:rsidRPr="005275DF">
        <w:rPr>
          <w:rFonts w:asciiTheme="minorBidi" w:hAnsiTheme="minorBidi"/>
          <w:u w:val="single"/>
          <w:rtl/>
        </w:rPr>
        <w:t>אמר רב ביבי בר אביי</w:t>
      </w:r>
      <w:r w:rsidRPr="005275DF">
        <w:rPr>
          <w:rFonts w:asciiTheme="minorBidi" w:hAnsiTheme="minorBidi"/>
          <w:rtl/>
        </w:rPr>
        <w:t>: הדביק פת בתנור התירו לו לרדותה קודם שיבא לידי איסור סקילה.</w:t>
      </w:r>
    </w:p>
    <w:p w14:paraId="58A63F9A"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CE2CBC3" w14:textId="77777777" w:rsidR="004B2E7C" w:rsidRPr="005275DF" w:rsidRDefault="004B2E7C" w:rsidP="00434A6A">
      <w:pPr>
        <w:rPr>
          <w:rFonts w:asciiTheme="minorBidi" w:hAnsiTheme="minorBidi"/>
          <w:rtl/>
        </w:rPr>
      </w:pPr>
      <w:r w:rsidRPr="005275DF">
        <w:rPr>
          <w:rFonts w:asciiTheme="minorBidi" w:hAnsiTheme="minorBidi"/>
          <w:rtl/>
        </w:rPr>
        <w:t xml:space="preserve">ואם נתנו בשבת, אפילו במזיד, מותר לו לרדות קודם שיאפה כדי שלא יבא לידי איסור סקילה. </w:t>
      </w:r>
    </w:p>
    <w:p w14:paraId="23AFE95C" w14:textId="77777777" w:rsidR="004B2E7C" w:rsidRPr="005275DF" w:rsidRDefault="004B2E7C" w:rsidP="00434A6A">
      <w:pPr>
        <w:rPr>
          <w:rFonts w:asciiTheme="minorBidi" w:hAnsiTheme="minorBidi"/>
          <w:rtl/>
        </w:rPr>
      </w:pPr>
      <w:r w:rsidRPr="005275DF">
        <w:rPr>
          <w:rFonts w:asciiTheme="minorBidi" w:hAnsiTheme="minorBidi"/>
          <w:rtl/>
        </w:rPr>
        <w:t xml:space="preserve">- מג"א, (כא) אפי' במזיד - אבל הה"מ </w:t>
      </w:r>
      <w:r w:rsidRPr="005275DF">
        <w:rPr>
          <w:rFonts w:asciiTheme="minorBidi" w:hAnsiTheme="minorBidi"/>
          <w:sz w:val="16"/>
          <w:szCs w:val="16"/>
          <w:rtl/>
        </w:rPr>
        <w:t>(פ"ט ה"ה)</w:t>
      </w:r>
      <w:r w:rsidRPr="005275DF">
        <w:rPr>
          <w:rFonts w:asciiTheme="minorBidi" w:hAnsiTheme="minorBidi"/>
          <w:rtl/>
        </w:rPr>
        <w:t xml:space="preserve"> כ' דשוגג הוי רבותא טפי דהא כיון שנזכר, א"כ ליכא חיוב חטאת דבעינן שיהא תחלתן וסופן שגגה אפ"ה שרי לרדות קודם שיבוא לידי איסור חטאת</w:t>
      </w:r>
      <w:r w:rsidRPr="005275DF">
        <w:rPr>
          <w:rStyle w:val="a9"/>
          <w:rFonts w:asciiTheme="minorBidi" w:hAnsiTheme="minorBidi"/>
          <w:rtl/>
        </w:rPr>
        <w:footnoteReference w:id="474"/>
      </w:r>
      <w:r w:rsidRPr="005275DF">
        <w:rPr>
          <w:rFonts w:asciiTheme="minorBidi" w:hAnsiTheme="minorBidi"/>
          <w:rtl/>
        </w:rPr>
        <w:t xml:space="preserve">. ומ"מ אם אפשר לעשות בשינוי יעשה </w:t>
      </w:r>
      <w:r w:rsidRPr="005275DF">
        <w:rPr>
          <w:rFonts w:asciiTheme="minorBidi" w:hAnsiTheme="minorBidi"/>
          <w:sz w:val="16"/>
          <w:szCs w:val="16"/>
          <w:rtl/>
        </w:rPr>
        <w:t>(מ"מ פ"ה הי"ט)</w:t>
      </w:r>
      <w:r w:rsidRPr="005275DF">
        <w:rPr>
          <w:rFonts w:asciiTheme="minorBidi" w:hAnsiTheme="minorBidi"/>
          <w:rtl/>
        </w:rPr>
        <w:t>.</w:t>
      </w:r>
      <w:r w:rsidRPr="005275DF">
        <w:rPr>
          <w:rFonts w:asciiTheme="minorBidi" w:hAnsiTheme="minorBidi"/>
          <w:sz w:val="18"/>
          <w:szCs w:val="18"/>
          <w:rtl/>
        </w:rPr>
        <w:t xml:space="preserve"> </w:t>
      </w:r>
      <w:r w:rsidRPr="005275DF">
        <w:rPr>
          <w:rFonts w:asciiTheme="minorBidi" w:hAnsiTheme="minorBidi"/>
          <w:rtl/>
        </w:rPr>
        <w:t xml:space="preserve">ודוקא הוא אבל אחרים אסורים לרדות (רי"ו) דאין אומרים לו לאדם עשה חטא קל בשביל שלא יעשה חבירך איסור חמור כיון שלא נעשה האיסור על ידו וגם חבירו פשע במה שהדביק (תוס' </w:t>
      </w:r>
      <w:r w:rsidRPr="005275DF">
        <w:rPr>
          <w:rFonts w:asciiTheme="minorBidi" w:hAnsiTheme="minorBidi"/>
          <w:sz w:val="16"/>
          <w:szCs w:val="16"/>
          <w:rtl/>
        </w:rPr>
        <w:t xml:space="preserve">[שבת ד. ד"ה וכי] </w:t>
      </w:r>
      <w:r w:rsidRPr="005275DF">
        <w:rPr>
          <w:rFonts w:asciiTheme="minorBidi" w:hAnsiTheme="minorBidi"/>
          <w:rtl/>
        </w:rPr>
        <w:t>וב"ח), ובאמת העיקר תלוי באם פשע</w:t>
      </w:r>
      <w:r w:rsidRPr="005275DF">
        <w:rPr>
          <w:rStyle w:val="a9"/>
          <w:rFonts w:asciiTheme="minorBidi" w:hAnsiTheme="minorBidi"/>
          <w:rtl/>
        </w:rPr>
        <w:footnoteReference w:id="475"/>
      </w:r>
      <w:r w:rsidRPr="005275DF">
        <w:rPr>
          <w:rFonts w:asciiTheme="minorBidi" w:hAnsiTheme="minorBidi"/>
          <w:sz w:val="16"/>
          <w:szCs w:val="16"/>
          <w:rtl/>
        </w:rPr>
        <w:t xml:space="preserve"> (ועי' בעירובין  לב: בתוס' ועי' ס"ס ש"ו)</w:t>
      </w:r>
      <w:r w:rsidRPr="005275DF">
        <w:rPr>
          <w:rFonts w:asciiTheme="minorBidi" w:hAnsiTheme="minorBidi"/>
          <w:rtl/>
        </w:rPr>
        <w:t>.</w:t>
      </w:r>
    </w:p>
    <w:p w14:paraId="2E982918" w14:textId="77777777" w:rsidR="004B2E7C" w:rsidRPr="005275DF" w:rsidRDefault="004B2E7C" w:rsidP="00434A6A">
      <w:pPr>
        <w:rPr>
          <w:rFonts w:asciiTheme="minorBidi" w:hAnsiTheme="minorBidi"/>
          <w:rtl/>
        </w:rPr>
      </w:pPr>
    </w:p>
    <w:p w14:paraId="1E6D39D0"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ז: דין התנורים שלנו.</w:t>
      </w:r>
    </w:p>
    <w:p w14:paraId="5F4FADF6"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0ED1A890" w14:textId="77777777" w:rsidR="004B2E7C" w:rsidRPr="005275DF" w:rsidRDefault="004B2E7C" w:rsidP="00434A6A">
      <w:pPr>
        <w:rPr>
          <w:rFonts w:asciiTheme="minorBidi" w:hAnsiTheme="minorBidi"/>
          <w:rtl/>
        </w:rPr>
      </w:pPr>
      <w:r w:rsidRPr="005275DF">
        <w:rPr>
          <w:rFonts w:asciiTheme="minorBidi" w:hAnsiTheme="minorBidi"/>
          <w:rtl/>
        </w:rPr>
        <w:t>בתנורים שלנו שאין בהם רדייה, מותר להוציא יותר משלש סעודות</w:t>
      </w:r>
      <w:r w:rsidRPr="005275DF">
        <w:rPr>
          <w:rStyle w:val="a9"/>
          <w:rFonts w:asciiTheme="minorBidi" w:hAnsiTheme="minorBidi"/>
          <w:rtl/>
        </w:rPr>
        <w:footnoteReference w:id="476"/>
      </w:r>
      <w:r w:rsidRPr="005275DF">
        <w:rPr>
          <w:rFonts w:asciiTheme="minorBidi" w:hAnsiTheme="minorBidi"/>
          <w:rtl/>
        </w:rPr>
        <w:t xml:space="preserve"> בסכין או בשום דבר שיתחוב בו, ומ"מ לא יוציא ברחת</w:t>
      </w:r>
      <w:r w:rsidRPr="005275DF">
        <w:rPr>
          <w:rStyle w:val="a9"/>
          <w:rFonts w:asciiTheme="minorBidi" w:hAnsiTheme="minorBidi"/>
          <w:rtl/>
        </w:rPr>
        <w:footnoteReference w:id="477"/>
      </w:r>
      <w:r w:rsidRPr="005275DF">
        <w:rPr>
          <w:rFonts w:asciiTheme="minorBidi" w:hAnsiTheme="minorBidi"/>
          <w:rtl/>
        </w:rPr>
        <w:t xml:space="preserve"> משום דמחזי כעובדין דחול. </w:t>
      </w:r>
    </w:p>
    <w:p w14:paraId="1C3C48E6" w14:textId="77777777" w:rsidR="004B2E7C" w:rsidRPr="005275DF" w:rsidRDefault="004B2E7C" w:rsidP="00434A6A">
      <w:pPr>
        <w:rPr>
          <w:rFonts w:asciiTheme="minorBidi" w:hAnsiTheme="minorBidi"/>
          <w:rtl/>
        </w:rPr>
      </w:pPr>
    </w:p>
    <w:p w14:paraId="4FC555F4"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ח: שהיית עססיות תורמוסים ומים בתנור.</w:t>
      </w:r>
    </w:p>
    <w:p w14:paraId="607F4688" w14:textId="77777777" w:rsidR="004B2E7C" w:rsidRPr="005275DF" w:rsidRDefault="004B2E7C" w:rsidP="00434A6A">
      <w:pPr>
        <w:rPr>
          <w:rFonts w:asciiTheme="minorBidi" w:hAnsiTheme="minorBidi"/>
          <w:rtl/>
        </w:rPr>
      </w:pPr>
      <w:r w:rsidRPr="005275DF">
        <w:rPr>
          <w:rFonts w:asciiTheme="minorBidi" w:hAnsiTheme="minorBidi"/>
          <w:b/>
          <w:bCs/>
          <w:rtl/>
        </w:rPr>
        <w:t xml:space="preserve">שבת יח ע"ב: </w:t>
      </w:r>
      <w:r w:rsidRPr="005275DF">
        <w:rPr>
          <w:rFonts w:asciiTheme="minorBidi" w:hAnsiTheme="minorBidi"/>
          <w:rtl/>
        </w:rPr>
        <w:t>דתנו רבנן: לא תמלא אשה קדרה עססיות ותורמסין ותניח לתוך התנור ערב שבת עם חשכה. ואם נתנן - למוצאי שבת אסורין בכדי שיעשו. כיוצא בו, לא ימלא נחתום חבית של מים ויניח לתוך התנור ערב שבת עם חשכה, ואם עשה כן - למוצאי שבת אסורין בכדי שיעשו.</w:t>
      </w:r>
    </w:p>
    <w:p w14:paraId="0DC1C7E5"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E1E52AA" w14:textId="77777777" w:rsidR="004B2E7C" w:rsidRDefault="004B2E7C" w:rsidP="00434A6A">
      <w:pPr>
        <w:rPr>
          <w:rFonts w:asciiTheme="minorBidi" w:hAnsiTheme="minorBidi"/>
          <w:rtl/>
        </w:rPr>
      </w:pPr>
      <w:r w:rsidRPr="005275DF">
        <w:rPr>
          <w:rFonts w:asciiTheme="minorBidi" w:hAnsiTheme="minorBidi"/>
          <w:rtl/>
        </w:rPr>
        <w:t>לא ימלא אדם קדירה עססיות ותורמוסים</w:t>
      </w:r>
      <w:r w:rsidRPr="005275DF">
        <w:rPr>
          <w:rFonts w:asciiTheme="minorBidi" w:hAnsiTheme="minorBidi"/>
          <w:sz w:val="16"/>
          <w:szCs w:val="16"/>
          <w:rtl/>
        </w:rPr>
        <w:t xml:space="preserve"> (פי' מיני קטניות הגדלות ב</w:t>
      </w:r>
      <w:r>
        <w:rPr>
          <w:rFonts w:asciiTheme="minorBidi" w:hAnsiTheme="minorBidi"/>
          <w:sz w:val="16"/>
          <w:szCs w:val="16"/>
          <w:rtl/>
        </w:rPr>
        <w:t xml:space="preserve">גוי </w:t>
      </w:r>
      <w:r w:rsidRPr="005275DF">
        <w:rPr>
          <w:rFonts w:asciiTheme="minorBidi" w:hAnsiTheme="minorBidi"/>
          <w:sz w:val="16"/>
          <w:szCs w:val="16"/>
          <w:rtl/>
        </w:rPr>
        <w:t>ולא בבבל)</w:t>
      </w:r>
      <w:r w:rsidRPr="005275DF">
        <w:rPr>
          <w:rFonts w:asciiTheme="minorBidi" w:hAnsiTheme="minorBidi"/>
          <w:rtl/>
        </w:rPr>
        <w:t xml:space="preserve"> ויתן לתוך התנור ערב שבת סמוך לחשיכה</w:t>
      </w:r>
      <w:r w:rsidRPr="005275DF">
        <w:rPr>
          <w:rStyle w:val="a9"/>
          <w:rFonts w:asciiTheme="minorBidi" w:hAnsiTheme="minorBidi"/>
          <w:rtl/>
        </w:rPr>
        <w:footnoteReference w:id="478"/>
      </w:r>
      <w:r w:rsidRPr="005275DF">
        <w:rPr>
          <w:rFonts w:asciiTheme="minorBidi" w:hAnsiTheme="minorBidi"/>
          <w:rtl/>
        </w:rPr>
        <w:t xml:space="preserve">, מפני שדברים אלו אינם צריכים בישול רב ודעתו עליהם לאכלם לאלתר, ומפני כך אף על פי שלא נתבשלו כל עיקר הרי הם כשאר תבשיל שהתחיל להתבשל ולא נתבשל כל צרכו שאסור להשהותו; וה"ה לכירה וכופח. </w:t>
      </w:r>
      <w:r w:rsidRPr="005275DF">
        <w:rPr>
          <w:rFonts w:asciiTheme="minorBidi" w:hAnsiTheme="minorBidi"/>
          <w:sz w:val="18"/>
          <w:szCs w:val="18"/>
          <w:rtl/>
        </w:rPr>
        <w:t>הגה: כשאינן גרופין וקטומים</w:t>
      </w:r>
      <w:r w:rsidRPr="005275DF">
        <w:rPr>
          <w:rStyle w:val="a9"/>
          <w:rFonts w:asciiTheme="minorBidi" w:hAnsiTheme="minorBidi"/>
          <w:sz w:val="18"/>
          <w:szCs w:val="18"/>
          <w:rtl/>
        </w:rPr>
        <w:footnoteReference w:id="479"/>
      </w:r>
      <w:r w:rsidRPr="005275DF">
        <w:rPr>
          <w:rFonts w:asciiTheme="minorBidi" w:hAnsiTheme="minorBidi"/>
          <w:sz w:val="18"/>
          <w:szCs w:val="18"/>
          <w:rtl/>
        </w:rPr>
        <w:t xml:space="preserve"> ואפשר לחתות (ב"י ומגילה פ"ג), ואם עשה כן, אפילו בשוגג, אסורים למוצ"ש עד כדי שיעשו.</w:t>
      </w:r>
    </w:p>
    <w:p w14:paraId="4C561F9F" w14:textId="77777777" w:rsidR="004B2E7C" w:rsidRPr="005275DF" w:rsidRDefault="004B2E7C" w:rsidP="00434A6A">
      <w:pPr>
        <w:rPr>
          <w:rFonts w:asciiTheme="minorBidi" w:hAnsiTheme="minorBidi"/>
          <w:rtl/>
        </w:rPr>
      </w:pPr>
    </w:p>
    <w:p w14:paraId="1F07E4C4" w14:textId="77777777" w:rsidR="004B2E7C" w:rsidRPr="009D4BB0" w:rsidRDefault="004B2E7C" w:rsidP="00434A6A">
      <w:pPr>
        <w:pStyle w:val="2"/>
        <w:rPr>
          <w:rFonts w:asciiTheme="minorBidi" w:hAnsiTheme="minorBidi" w:cstheme="minorBidi"/>
          <w:rtl/>
        </w:rPr>
      </w:pPr>
      <w:r w:rsidRPr="005275DF">
        <w:rPr>
          <w:rFonts w:asciiTheme="minorBidi" w:hAnsiTheme="minorBidi" w:cstheme="minorBidi"/>
          <w:rtl/>
        </w:rPr>
        <w:t xml:space="preserve">סעיף </w:t>
      </w:r>
      <w:r>
        <w:rPr>
          <w:rFonts w:asciiTheme="minorBidi" w:hAnsiTheme="minorBidi" w:cstheme="minorBidi" w:hint="cs"/>
          <w:rtl/>
        </w:rPr>
        <w:t>ט</w:t>
      </w:r>
      <w:r w:rsidRPr="005275DF">
        <w:rPr>
          <w:rFonts w:asciiTheme="minorBidi" w:hAnsiTheme="minorBidi" w:cstheme="minorBidi"/>
          <w:rtl/>
        </w:rPr>
        <w:t xml:space="preserve">: </w:t>
      </w:r>
      <w:r>
        <w:rPr>
          <w:rFonts w:asciiTheme="minorBidi" w:hAnsiTheme="minorBidi" w:cstheme="minorBidi" w:hint="cs"/>
          <w:rtl/>
        </w:rPr>
        <w:t>כנ"ל</w:t>
      </w:r>
      <w:r w:rsidRPr="005275DF">
        <w:rPr>
          <w:rFonts w:asciiTheme="minorBidi" w:hAnsiTheme="minorBidi" w:cstheme="minorBidi"/>
          <w:rtl/>
        </w:rPr>
        <w:t>.</w:t>
      </w:r>
    </w:p>
    <w:p w14:paraId="0CDFEA0E"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0522CD11" w14:textId="77777777" w:rsidR="004B2E7C" w:rsidRPr="005275DF" w:rsidRDefault="004B2E7C" w:rsidP="00434A6A">
      <w:pPr>
        <w:rPr>
          <w:rFonts w:asciiTheme="minorBidi" w:hAnsiTheme="minorBidi"/>
          <w:rtl/>
        </w:rPr>
      </w:pPr>
      <w:r w:rsidRPr="005275DF">
        <w:rPr>
          <w:rFonts w:asciiTheme="minorBidi" w:hAnsiTheme="minorBidi"/>
          <w:rtl/>
        </w:rPr>
        <w:t>כיוצא בו לא ימלא חבית של מים ויתן לתוך התנור ערב שבת עם חשיכה</w:t>
      </w:r>
      <w:r w:rsidRPr="005275DF">
        <w:rPr>
          <w:rStyle w:val="a9"/>
          <w:rFonts w:asciiTheme="minorBidi" w:hAnsiTheme="minorBidi"/>
          <w:rtl/>
        </w:rPr>
        <w:footnoteReference w:id="480"/>
      </w:r>
      <w:r w:rsidRPr="005275DF">
        <w:rPr>
          <w:rFonts w:asciiTheme="minorBidi" w:hAnsiTheme="minorBidi"/>
          <w:rtl/>
        </w:rPr>
        <w:t>; ואם עשה כן, אסורים למוצאי שבת בכדי שיעשו.</w:t>
      </w:r>
    </w:p>
    <w:p w14:paraId="2321BE93" w14:textId="77777777" w:rsidR="004B2E7C" w:rsidRPr="005275DF" w:rsidRDefault="004B2E7C" w:rsidP="00434A6A">
      <w:pPr>
        <w:rPr>
          <w:rFonts w:asciiTheme="minorBidi" w:hAnsiTheme="minorBidi"/>
          <w:rtl/>
        </w:rPr>
      </w:pPr>
    </w:p>
    <w:p w14:paraId="6098C61F" w14:textId="77777777" w:rsidR="004B2E7C" w:rsidRPr="005275DF" w:rsidRDefault="004B2E7C" w:rsidP="00434A6A">
      <w:pPr>
        <w:rPr>
          <w:rFonts w:asciiTheme="minorBidi" w:hAnsiTheme="minorBidi"/>
          <w:rtl/>
        </w:rPr>
      </w:pPr>
    </w:p>
    <w:p w14:paraId="5FF5805B" w14:textId="77777777" w:rsidR="004B2E7C" w:rsidRPr="005275DF" w:rsidRDefault="004B2E7C" w:rsidP="00434A6A">
      <w:pPr>
        <w:rPr>
          <w:rFonts w:asciiTheme="minorBidi" w:hAnsiTheme="minorBidi"/>
          <w:rtl/>
        </w:rPr>
      </w:pPr>
    </w:p>
    <w:p w14:paraId="684A0EE1" w14:textId="77777777" w:rsidR="004B2E7C" w:rsidRPr="005275DF" w:rsidRDefault="004B2E7C" w:rsidP="00434A6A">
      <w:pPr>
        <w:rPr>
          <w:rFonts w:asciiTheme="minorBidi" w:hAnsiTheme="minorBidi"/>
          <w:rtl/>
        </w:rPr>
      </w:pPr>
    </w:p>
    <w:p w14:paraId="7C29B62F" w14:textId="77777777" w:rsidR="004B2E7C" w:rsidRPr="005275DF" w:rsidRDefault="004B2E7C" w:rsidP="00434A6A">
      <w:pPr>
        <w:rPr>
          <w:rFonts w:asciiTheme="minorBidi" w:hAnsiTheme="minorBidi"/>
          <w:rtl/>
        </w:rPr>
      </w:pPr>
    </w:p>
    <w:p w14:paraId="673F3138" w14:textId="77777777" w:rsidR="004B2E7C" w:rsidRDefault="004B2E7C" w:rsidP="00434A6A">
      <w:pPr>
        <w:pStyle w:val="1"/>
        <w:rPr>
          <w:rFonts w:asciiTheme="minorBidi" w:hAnsiTheme="minorBidi"/>
          <w:rtl/>
        </w:rPr>
        <w:sectPr w:rsidR="004B2E7C" w:rsidSect="00BD29B1">
          <w:headerReference w:type="default" r:id="rId25"/>
          <w:footnotePr>
            <w:numRestart w:val="eachSect"/>
          </w:footnotePr>
          <w:pgSz w:w="11906" w:h="16838"/>
          <w:pgMar w:top="720" w:right="1134" w:bottom="720" w:left="1134" w:header="0" w:footer="0" w:gutter="0"/>
          <w:cols w:space="720"/>
          <w:bidi/>
          <w:rtlGutter/>
          <w:docGrid w:linePitch="360"/>
        </w:sectPr>
      </w:pPr>
    </w:p>
    <w:p w14:paraId="7E500CD4" w14:textId="77777777" w:rsidR="004B2E7C" w:rsidRPr="005275DF" w:rsidRDefault="004B2E7C" w:rsidP="00434A6A">
      <w:pPr>
        <w:pStyle w:val="1"/>
        <w:rPr>
          <w:rFonts w:asciiTheme="minorBidi" w:hAnsiTheme="minorBidi"/>
          <w:rtl/>
        </w:rPr>
      </w:pPr>
      <w:r w:rsidRPr="005275DF">
        <w:rPr>
          <w:rFonts w:asciiTheme="minorBidi" w:hAnsiTheme="minorBidi"/>
          <w:rtl/>
        </w:rPr>
        <w:t>סימן רנה: הכנת האש קודם הכנסת שבת</w:t>
      </w:r>
      <w:r>
        <w:rPr>
          <w:rFonts w:asciiTheme="minorBidi" w:hAnsiTheme="minorBidi" w:hint="cs"/>
          <w:rtl/>
        </w:rPr>
        <w:t>, ובו ג' סעיפים</w:t>
      </w:r>
      <w:r w:rsidRPr="005275DF">
        <w:rPr>
          <w:rFonts w:asciiTheme="minorBidi" w:hAnsiTheme="minorBidi"/>
          <w:rtl/>
        </w:rPr>
        <w:t xml:space="preserve">. </w:t>
      </w:r>
    </w:p>
    <w:p w14:paraId="600918E6"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א: עשיית מדורה סמוך לחשיכה.</w:t>
      </w:r>
    </w:p>
    <w:p w14:paraId="580D215F" w14:textId="77777777" w:rsidR="004B2E7C" w:rsidRPr="005275DF" w:rsidRDefault="004B2E7C" w:rsidP="00434A6A">
      <w:pPr>
        <w:rPr>
          <w:rFonts w:asciiTheme="minorBidi" w:hAnsiTheme="minorBidi"/>
          <w:sz w:val="18"/>
          <w:szCs w:val="18"/>
          <w:rtl/>
        </w:rPr>
      </w:pPr>
      <w:r w:rsidRPr="005275DF">
        <w:rPr>
          <w:rFonts w:asciiTheme="minorBidi" w:hAnsiTheme="minorBidi"/>
          <w:b/>
          <w:bCs/>
          <w:rtl/>
        </w:rPr>
        <w:t xml:space="preserve">שבת יט ע"ב: </w:t>
      </w:r>
      <w:r w:rsidRPr="005275DF">
        <w:rPr>
          <w:rFonts w:asciiTheme="minorBidi" w:hAnsiTheme="minorBidi"/>
          <w:u w:val="double"/>
          <w:rtl/>
        </w:rPr>
        <w:t>משנה:</w:t>
      </w:r>
      <w:r w:rsidRPr="005275DF">
        <w:rPr>
          <w:rFonts w:asciiTheme="minorBidi" w:hAnsiTheme="minorBidi"/>
          <w:rtl/>
        </w:rPr>
        <w:t xml:space="preserve"> אין צולין... משלשלין את הפסח בתנור עם חשכה, ומאחיזין את האור במדורת בית המוקד, ובגבולין</w:t>
      </w:r>
      <w:r w:rsidRPr="005275DF">
        <w:rPr>
          <w:rStyle w:val="a9"/>
          <w:rFonts w:asciiTheme="minorBidi" w:hAnsiTheme="minorBidi"/>
          <w:rtl/>
        </w:rPr>
        <w:footnoteReference w:id="481"/>
      </w:r>
      <w:r w:rsidRPr="005275DF">
        <w:rPr>
          <w:rFonts w:asciiTheme="minorBidi" w:hAnsiTheme="minorBidi"/>
          <w:rtl/>
        </w:rPr>
        <w:t xml:space="preserve"> - כדי שתאחוז האור ברובו. </w:t>
      </w:r>
      <w:r w:rsidRPr="005275DF">
        <w:rPr>
          <w:rFonts w:asciiTheme="minorBidi" w:hAnsiTheme="minorBidi"/>
          <w:u w:val="single"/>
          <w:rtl/>
        </w:rPr>
        <w:t>רבי יהודה אומר</w:t>
      </w:r>
      <w:r w:rsidRPr="005275DF">
        <w:rPr>
          <w:rFonts w:asciiTheme="minorBidi" w:hAnsiTheme="minorBidi"/>
          <w:rtl/>
        </w:rPr>
        <w:t>: בפחמין כל שהוא</w:t>
      </w:r>
      <w:r w:rsidRPr="005275DF">
        <w:rPr>
          <w:rStyle w:val="a9"/>
          <w:rFonts w:asciiTheme="minorBidi" w:hAnsiTheme="minorBidi"/>
          <w:rtl/>
        </w:rPr>
        <w:footnoteReference w:id="482"/>
      </w:r>
      <w:r w:rsidRPr="005275DF">
        <w:rPr>
          <w:rFonts w:asciiTheme="minorBidi" w:hAnsiTheme="minorBidi"/>
          <w:rtl/>
        </w:rPr>
        <w:t xml:space="preserve">.   </w:t>
      </w:r>
      <w:r w:rsidRPr="005275DF">
        <w:rPr>
          <w:rFonts w:asciiTheme="minorBidi" w:hAnsiTheme="minorBidi"/>
          <w:rtl/>
        </w:rPr>
        <w:tab/>
        <w:t xml:space="preserve">   </w:t>
      </w:r>
      <w:r w:rsidRPr="005275DF">
        <w:rPr>
          <w:rFonts w:asciiTheme="minorBidi" w:hAnsiTheme="minorBidi"/>
          <w:u w:val="double"/>
          <w:rtl/>
        </w:rPr>
        <w:t>גמ':</w:t>
      </w:r>
      <w:r w:rsidRPr="005275DF">
        <w:rPr>
          <w:rFonts w:asciiTheme="minorBidi" w:hAnsiTheme="minorBidi"/>
          <w:rtl/>
        </w:rPr>
        <w:t xml:space="preserve"> מאי רובן? - </w:t>
      </w:r>
      <w:r w:rsidRPr="005275DF">
        <w:rPr>
          <w:rFonts w:asciiTheme="minorBidi" w:hAnsiTheme="minorBidi"/>
          <w:u w:val="single"/>
          <w:rtl/>
        </w:rPr>
        <w:t>אמר רב</w:t>
      </w:r>
      <w:r w:rsidRPr="005275DF">
        <w:rPr>
          <w:rFonts w:asciiTheme="minorBidi" w:hAnsiTheme="minorBidi"/>
          <w:rtl/>
        </w:rPr>
        <w:t>: רוב כל אחד ואחד</w:t>
      </w:r>
      <w:r w:rsidRPr="005275DF">
        <w:rPr>
          <w:rStyle w:val="a9"/>
          <w:rFonts w:asciiTheme="minorBidi" w:hAnsiTheme="minorBidi"/>
          <w:rtl/>
        </w:rPr>
        <w:footnoteReference w:id="483"/>
      </w:r>
      <w:r w:rsidRPr="005275DF">
        <w:rPr>
          <w:rFonts w:asciiTheme="minorBidi" w:hAnsiTheme="minorBidi"/>
          <w:rtl/>
        </w:rPr>
        <w:t xml:space="preserve">. </w:t>
      </w:r>
      <w:r w:rsidRPr="005275DF">
        <w:rPr>
          <w:rFonts w:asciiTheme="minorBidi" w:hAnsiTheme="minorBidi"/>
          <w:u w:val="single"/>
          <w:rtl/>
        </w:rPr>
        <w:t>ושמואל אמר</w:t>
      </w:r>
      <w:r w:rsidRPr="005275DF">
        <w:rPr>
          <w:rFonts w:asciiTheme="minorBidi" w:hAnsiTheme="minorBidi"/>
          <w:rtl/>
        </w:rPr>
        <w:t>: כדי שלא יאמרו הבא עצים ונניח תחתיהן</w:t>
      </w:r>
      <w:r w:rsidRPr="005275DF">
        <w:rPr>
          <w:rStyle w:val="a9"/>
          <w:rFonts w:asciiTheme="minorBidi" w:hAnsiTheme="minorBidi"/>
          <w:rtl/>
        </w:rPr>
        <w:footnoteReference w:id="484"/>
      </w:r>
      <w:r w:rsidRPr="005275DF">
        <w:rPr>
          <w:rFonts w:asciiTheme="minorBidi" w:hAnsiTheme="minorBidi"/>
          <w:rtl/>
        </w:rPr>
        <w:t xml:space="preserve">. </w:t>
      </w:r>
      <w:r w:rsidRPr="005275DF">
        <w:rPr>
          <w:rFonts w:asciiTheme="minorBidi" w:hAnsiTheme="minorBidi"/>
          <w:u w:val="single"/>
          <w:rtl/>
        </w:rPr>
        <w:t xml:space="preserve">תנא רב חייא </w:t>
      </w:r>
      <w:r w:rsidRPr="005275DF">
        <w:rPr>
          <w:rFonts w:asciiTheme="minorBidi" w:hAnsiTheme="minorBidi"/>
          <w:rtl/>
        </w:rPr>
        <w:t xml:space="preserve">לסיועיה לשמואל: כדי שתהא שלהבת עולה מאיליה, ולא שתהא שלהבת עולה על ידי דבר אחר. עץ יחידי, </w:t>
      </w:r>
      <w:r w:rsidRPr="005275DF">
        <w:rPr>
          <w:rFonts w:asciiTheme="minorBidi" w:hAnsiTheme="minorBidi"/>
          <w:u w:val="single"/>
          <w:rtl/>
        </w:rPr>
        <w:t>רב אמר</w:t>
      </w:r>
      <w:r w:rsidRPr="005275DF">
        <w:rPr>
          <w:rFonts w:asciiTheme="minorBidi" w:hAnsiTheme="minorBidi"/>
          <w:rtl/>
        </w:rPr>
        <w:t>: רוב עביו</w:t>
      </w:r>
      <w:r w:rsidRPr="005275DF">
        <w:rPr>
          <w:rStyle w:val="a9"/>
          <w:rFonts w:asciiTheme="minorBidi" w:hAnsiTheme="minorBidi"/>
          <w:rtl/>
        </w:rPr>
        <w:footnoteReference w:id="485"/>
      </w:r>
      <w:r w:rsidRPr="005275DF">
        <w:rPr>
          <w:rFonts w:asciiTheme="minorBidi" w:hAnsiTheme="minorBidi"/>
          <w:rtl/>
        </w:rPr>
        <w:t>. ואמרי לה: ברוב היקפו</w:t>
      </w:r>
      <w:r w:rsidRPr="005275DF">
        <w:rPr>
          <w:rStyle w:val="a9"/>
          <w:rFonts w:asciiTheme="minorBidi" w:hAnsiTheme="minorBidi"/>
          <w:rtl/>
        </w:rPr>
        <w:footnoteReference w:id="486"/>
      </w:r>
      <w:r w:rsidRPr="005275DF">
        <w:rPr>
          <w:rFonts w:asciiTheme="minorBidi" w:hAnsiTheme="minorBidi"/>
          <w:rtl/>
        </w:rPr>
        <w:t xml:space="preserve">. </w:t>
      </w:r>
      <w:r w:rsidRPr="005275DF">
        <w:rPr>
          <w:rFonts w:asciiTheme="minorBidi" w:hAnsiTheme="minorBidi"/>
          <w:u w:val="single"/>
          <w:rtl/>
        </w:rPr>
        <w:t>אמר רב פפא</w:t>
      </w:r>
      <w:r w:rsidRPr="005275DF">
        <w:rPr>
          <w:rFonts w:asciiTheme="minorBidi" w:hAnsiTheme="minorBidi"/>
          <w:rtl/>
        </w:rPr>
        <w:t>: הלכך בעינן רוב עביו, ובעינן רוב היקפו</w:t>
      </w:r>
      <w:r w:rsidRPr="005275DF">
        <w:rPr>
          <w:rStyle w:val="a9"/>
          <w:rFonts w:asciiTheme="minorBidi" w:hAnsiTheme="minorBidi"/>
          <w:rtl/>
        </w:rPr>
        <w:footnoteReference w:id="487"/>
      </w:r>
      <w:r w:rsidRPr="005275DF">
        <w:rPr>
          <w:rFonts w:asciiTheme="minorBidi" w:hAnsiTheme="minorBidi"/>
          <w:rtl/>
        </w:rPr>
        <w:t xml:space="preserve">. כתנאי, </w:t>
      </w:r>
      <w:r w:rsidRPr="005275DF">
        <w:rPr>
          <w:rFonts w:asciiTheme="minorBidi" w:hAnsiTheme="minorBidi"/>
          <w:u w:val="single"/>
          <w:rtl/>
        </w:rPr>
        <w:t>רבי חייא אמר</w:t>
      </w:r>
      <w:r w:rsidRPr="005275DF">
        <w:rPr>
          <w:rFonts w:asciiTheme="minorBidi" w:hAnsiTheme="minorBidi"/>
          <w:rtl/>
        </w:rPr>
        <w:t>: כדי שישחת העץ ממלאכת האומן</w:t>
      </w:r>
      <w:r w:rsidRPr="005275DF">
        <w:rPr>
          <w:rStyle w:val="a9"/>
          <w:rFonts w:asciiTheme="minorBidi" w:hAnsiTheme="minorBidi"/>
          <w:rtl/>
        </w:rPr>
        <w:footnoteReference w:id="488"/>
      </w:r>
      <w:r w:rsidRPr="005275DF">
        <w:rPr>
          <w:rFonts w:asciiTheme="minorBidi" w:hAnsiTheme="minorBidi"/>
          <w:rtl/>
        </w:rPr>
        <w:t xml:space="preserve">. </w:t>
      </w:r>
      <w:r w:rsidRPr="005275DF">
        <w:rPr>
          <w:rFonts w:asciiTheme="minorBidi" w:hAnsiTheme="minorBidi"/>
          <w:u w:val="single"/>
          <w:rtl/>
        </w:rPr>
        <w:t>רבי יהודה בן בתירא אומר</w:t>
      </w:r>
      <w:r w:rsidRPr="005275DF">
        <w:rPr>
          <w:rFonts w:asciiTheme="minorBidi" w:hAnsiTheme="minorBidi"/>
          <w:rtl/>
        </w:rPr>
        <w:t>: כדי שתאחז האש משני צדדין</w:t>
      </w:r>
      <w:r w:rsidRPr="005275DF">
        <w:rPr>
          <w:rStyle w:val="a9"/>
          <w:rFonts w:asciiTheme="minorBidi" w:hAnsiTheme="minorBidi"/>
          <w:rtl/>
        </w:rPr>
        <w:footnoteReference w:id="489"/>
      </w:r>
      <w:r w:rsidRPr="005275DF">
        <w:rPr>
          <w:rFonts w:asciiTheme="minorBidi" w:hAnsiTheme="minorBidi"/>
          <w:rtl/>
        </w:rPr>
        <w:t>. ואף על פי שאין ראיה לדבר זכר לדבר</w:t>
      </w:r>
      <w:r w:rsidRPr="005275DF">
        <w:rPr>
          <w:rStyle w:val="a9"/>
          <w:rFonts w:asciiTheme="minorBidi" w:hAnsiTheme="minorBidi"/>
          <w:rtl/>
        </w:rPr>
        <w:footnoteReference w:id="490"/>
      </w:r>
      <w:r w:rsidRPr="005275DF">
        <w:rPr>
          <w:rFonts w:asciiTheme="minorBidi" w:hAnsiTheme="minorBidi"/>
          <w:rtl/>
        </w:rPr>
        <w:t>: את שני קצותיו אכלה האש</w:t>
      </w:r>
      <w:r w:rsidRPr="005275DF">
        <w:rPr>
          <w:rStyle w:val="a9"/>
          <w:rFonts w:asciiTheme="minorBidi" w:hAnsiTheme="minorBidi"/>
          <w:rtl/>
        </w:rPr>
        <w:footnoteReference w:id="491"/>
      </w:r>
      <w:r w:rsidRPr="005275DF">
        <w:rPr>
          <w:rFonts w:asciiTheme="minorBidi" w:hAnsiTheme="minorBidi"/>
          <w:rtl/>
        </w:rPr>
        <w:t xml:space="preserve"> ותוכו נחר היצלח למלאכה.... </w:t>
      </w:r>
      <w:r w:rsidRPr="005275DF">
        <w:rPr>
          <w:rFonts w:asciiTheme="minorBidi" w:hAnsiTheme="minorBidi"/>
          <w:sz w:val="18"/>
          <w:szCs w:val="18"/>
          <w:u w:val="double"/>
          <w:rtl/>
        </w:rPr>
        <w:t>(כא.):</w:t>
      </w:r>
      <w:r w:rsidRPr="005275DF">
        <w:rPr>
          <w:rFonts w:asciiTheme="minorBidi" w:hAnsiTheme="minorBidi"/>
          <w:rtl/>
        </w:rPr>
        <w:t xml:space="preserve"> תנו רבנן: כל אלו שאמרו- אין מדליקין בהן בשבת אבל עושין מהן מדורה, בין להתחמם כנגדה בין להשתמש לאורה, בין על גבי קרקע בין על גבי כירה, ולא אסרו אלא לעשות מהן פתילה לנר בלבד.</w:t>
      </w:r>
    </w:p>
    <w:p w14:paraId="0AC60FFC"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B5FDB2F" w14:textId="77777777" w:rsidR="004B2E7C" w:rsidRPr="005275DF" w:rsidRDefault="004B2E7C" w:rsidP="00434A6A">
      <w:pPr>
        <w:rPr>
          <w:rFonts w:asciiTheme="minorBidi" w:hAnsiTheme="minorBidi"/>
          <w:rtl/>
        </w:rPr>
      </w:pPr>
      <w:r w:rsidRPr="005275DF">
        <w:rPr>
          <w:rFonts w:asciiTheme="minorBidi" w:hAnsiTheme="minorBidi"/>
          <w:rtl/>
        </w:rPr>
        <w:t xml:space="preserve">אין עושין מדורה מעצים סמוך לחשיכה עד שיצית בהן האור בענין שתהא השלהבת עולה מאליה בלי סיוע עצים אחרים; ואם הוא עץ יחידי, צריך שיאחוז האור ברוב עביו וברוב הקיפו ואם לא הודלקה כל כך, אסור ליהנות בה בשבת, גזירה שמא יחתה בה ויניד העצים כדי שתעלה השלהבת. וכשהודלקה כשיעור, יכול להתחמם כנגדה בשבת ולהשתמש לאורה, בין אם היא על גבי קרקע או על גבי המנורה, ואפילו היא מדברים שאין עושין מהם פתילה לשבת. </w:t>
      </w:r>
    </w:p>
    <w:p w14:paraId="57689375" w14:textId="77777777" w:rsidR="004B2E7C" w:rsidRPr="005275DF" w:rsidRDefault="004B2E7C" w:rsidP="00434A6A">
      <w:pPr>
        <w:rPr>
          <w:rFonts w:asciiTheme="minorBidi" w:hAnsiTheme="minorBidi"/>
          <w:rtl/>
        </w:rPr>
      </w:pPr>
    </w:p>
    <w:p w14:paraId="61EDD33B"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ב: הדלקת פחמין סמוך לחשיכה.</w:t>
      </w:r>
    </w:p>
    <w:p w14:paraId="7BCD7591" w14:textId="77777777" w:rsidR="004B2E7C" w:rsidRPr="005275DF" w:rsidRDefault="004B2E7C" w:rsidP="00434A6A">
      <w:pPr>
        <w:rPr>
          <w:rFonts w:asciiTheme="minorBidi" w:hAnsiTheme="minorBidi"/>
          <w:rtl/>
        </w:rPr>
      </w:pPr>
      <w:r w:rsidRPr="005275DF">
        <w:rPr>
          <w:rFonts w:asciiTheme="minorBidi" w:hAnsiTheme="minorBidi"/>
          <w:b/>
          <w:bCs/>
          <w:rtl/>
        </w:rPr>
        <w:t xml:space="preserve">שבת יט ע"ב: </w:t>
      </w:r>
      <w:r w:rsidRPr="005275DF">
        <w:rPr>
          <w:rFonts w:asciiTheme="minorBidi" w:hAnsiTheme="minorBidi"/>
          <w:u w:val="double"/>
          <w:rtl/>
        </w:rPr>
        <w:t>משנה:</w:t>
      </w:r>
      <w:r w:rsidRPr="005275DF">
        <w:rPr>
          <w:rFonts w:asciiTheme="minorBidi" w:hAnsiTheme="minorBidi"/>
          <w:rtl/>
        </w:rPr>
        <w:t xml:space="preserve"> אין צולין... משלשלין את הפסח בתנור עם חשכה, ומאחיזין את האור במדורת בית המוקד, ובגבולין</w:t>
      </w:r>
      <w:r w:rsidRPr="005275DF">
        <w:rPr>
          <w:rStyle w:val="a9"/>
          <w:rFonts w:asciiTheme="minorBidi" w:hAnsiTheme="minorBidi"/>
          <w:rtl/>
        </w:rPr>
        <w:footnoteReference w:id="492"/>
      </w:r>
      <w:r w:rsidRPr="005275DF">
        <w:rPr>
          <w:rFonts w:asciiTheme="minorBidi" w:hAnsiTheme="minorBidi"/>
          <w:rtl/>
        </w:rPr>
        <w:t xml:space="preserve"> - כדי שתאחוז האור ברובו. </w:t>
      </w:r>
      <w:r w:rsidRPr="005275DF">
        <w:rPr>
          <w:rFonts w:asciiTheme="minorBidi" w:hAnsiTheme="minorBidi"/>
          <w:u w:val="single"/>
          <w:rtl/>
        </w:rPr>
        <w:t>רבי יהודה אומר</w:t>
      </w:r>
      <w:r w:rsidRPr="005275DF">
        <w:rPr>
          <w:rFonts w:asciiTheme="minorBidi" w:hAnsiTheme="minorBidi"/>
          <w:rtl/>
        </w:rPr>
        <w:t>: בפחמין כל שהוא</w:t>
      </w:r>
      <w:r w:rsidRPr="005275DF">
        <w:rPr>
          <w:rStyle w:val="a9"/>
          <w:rFonts w:asciiTheme="minorBidi" w:hAnsiTheme="minorBidi"/>
          <w:rtl/>
        </w:rPr>
        <w:footnoteReference w:id="493"/>
      </w:r>
      <w:r w:rsidRPr="005275DF">
        <w:rPr>
          <w:rFonts w:asciiTheme="minorBidi" w:hAnsiTheme="minorBidi"/>
          <w:rtl/>
        </w:rPr>
        <w:t xml:space="preserve">.   </w:t>
      </w:r>
    </w:p>
    <w:p w14:paraId="1424348A"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C004529" w14:textId="77777777" w:rsidR="004B2E7C" w:rsidRPr="005275DF" w:rsidRDefault="004B2E7C" w:rsidP="00434A6A">
      <w:pPr>
        <w:rPr>
          <w:rFonts w:asciiTheme="minorBidi" w:hAnsiTheme="minorBidi"/>
          <w:rtl/>
        </w:rPr>
      </w:pPr>
      <w:r w:rsidRPr="005275DF">
        <w:rPr>
          <w:rFonts w:asciiTheme="minorBidi" w:hAnsiTheme="minorBidi"/>
          <w:rtl/>
        </w:rPr>
        <w:t xml:space="preserve">י"א שבפחמין אפילו לא אחז בהם האור אלא כל שהוא, שרי מפני שהם דולקים והולכים. </w:t>
      </w:r>
    </w:p>
    <w:p w14:paraId="416A041F" w14:textId="77777777" w:rsidR="004B2E7C" w:rsidRPr="005275DF" w:rsidRDefault="004B2E7C" w:rsidP="00434A6A">
      <w:pPr>
        <w:rPr>
          <w:rFonts w:asciiTheme="minorBidi" w:hAnsiTheme="minorBidi"/>
          <w:rtl/>
        </w:rPr>
      </w:pPr>
    </w:p>
    <w:p w14:paraId="1B2CE504"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ג: מדורה מחומרים שנוחין לידלק.</w:t>
      </w:r>
    </w:p>
    <w:p w14:paraId="245A966F" w14:textId="77777777" w:rsidR="004B2E7C" w:rsidRPr="005275DF" w:rsidRDefault="004B2E7C" w:rsidP="00434A6A">
      <w:pPr>
        <w:rPr>
          <w:rFonts w:asciiTheme="minorBidi" w:hAnsiTheme="minorBidi"/>
          <w:rtl/>
        </w:rPr>
      </w:pPr>
      <w:r w:rsidRPr="005275DF">
        <w:rPr>
          <w:rFonts w:asciiTheme="minorBidi" w:hAnsiTheme="minorBidi"/>
          <w:b/>
          <w:bCs/>
          <w:rtl/>
        </w:rPr>
        <w:t xml:space="preserve">שבת כ ע"א: </w:t>
      </w:r>
      <w:r w:rsidRPr="005275DF">
        <w:rPr>
          <w:rFonts w:asciiTheme="minorBidi" w:hAnsiTheme="minorBidi"/>
          <w:u w:val="single"/>
          <w:rtl/>
        </w:rPr>
        <w:t>אמר רב הונא</w:t>
      </w:r>
      <w:r w:rsidRPr="005275DF">
        <w:rPr>
          <w:rFonts w:asciiTheme="minorBidi" w:hAnsiTheme="minorBidi"/>
          <w:rtl/>
        </w:rPr>
        <w:t xml:space="preserve">: קנים אין צריכין רוב, אגדן - צריכין רוב. גרעינין אין צריכין רוב, נתנן בחותלות - צריכין רוב. </w:t>
      </w:r>
      <w:r w:rsidRPr="005275DF">
        <w:rPr>
          <w:rFonts w:asciiTheme="minorBidi" w:hAnsiTheme="minorBidi"/>
          <w:u w:val="single"/>
          <w:rtl/>
        </w:rPr>
        <w:t>מתקיף לה רב חסדא</w:t>
      </w:r>
      <w:r w:rsidRPr="005275DF">
        <w:rPr>
          <w:rFonts w:asciiTheme="minorBidi" w:hAnsiTheme="minorBidi"/>
          <w:rtl/>
        </w:rPr>
        <w:t>: אדרבה, איפכא מסתברא. קנים - מבדרן</w:t>
      </w:r>
      <w:r w:rsidRPr="005275DF">
        <w:rPr>
          <w:rStyle w:val="a9"/>
          <w:rFonts w:asciiTheme="minorBidi" w:hAnsiTheme="minorBidi"/>
          <w:rtl/>
        </w:rPr>
        <w:footnoteReference w:id="494"/>
      </w:r>
      <w:r w:rsidRPr="005275DF">
        <w:rPr>
          <w:rFonts w:asciiTheme="minorBidi" w:hAnsiTheme="minorBidi"/>
          <w:rtl/>
        </w:rPr>
        <w:t xml:space="preserve">, אגדן - לא מבדרן: גרעינין - מבדרן, נתנן בחותלות - לא מבדרן. איתמר נמי, </w:t>
      </w:r>
      <w:r w:rsidRPr="005275DF">
        <w:rPr>
          <w:rFonts w:asciiTheme="minorBidi" w:hAnsiTheme="minorBidi"/>
          <w:u w:val="single"/>
          <w:rtl/>
        </w:rPr>
        <w:t>אמר רב כהנא</w:t>
      </w:r>
      <w:r w:rsidRPr="005275DF">
        <w:rPr>
          <w:rFonts w:asciiTheme="minorBidi" w:hAnsiTheme="minorBidi"/>
          <w:rtl/>
        </w:rPr>
        <w:t xml:space="preserve">: קנים שאגדן - צריכין רוב, לא אגדן אין צריכין רוב. גרעינין - צריכין רוב, נתנן בחותלות - אין צריכין רוב. </w:t>
      </w:r>
      <w:r w:rsidRPr="005275DF">
        <w:rPr>
          <w:rFonts w:asciiTheme="minorBidi" w:hAnsiTheme="minorBidi"/>
          <w:u w:val="single"/>
          <w:rtl/>
        </w:rPr>
        <w:t>תני רב יוסף</w:t>
      </w:r>
      <w:r w:rsidRPr="005275DF">
        <w:rPr>
          <w:rFonts w:asciiTheme="minorBidi" w:hAnsiTheme="minorBidi"/>
          <w:rtl/>
        </w:rPr>
        <w:t>, ארבע מדורות אין צריכין רוב: של זפת, ושל גפרית, ושל גבינה, ושל רבב. במתניתא תנא: אף של קש ושל גבבא.</w:t>
      </w:r>
    </w:p>
    <w:p w14:paraId="4249DAD8"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65D64FD" w14:textId="77777777" w:rsidR="004B2E7C" w:rsidRPr="005275DF" w:rsidRDefault="004B2E7C" w:rsidP="00434A6A">
      <w:pPr>
        <w:rPr>
          <w:rFonts w:asciiTheme="minorBidi" w:hAnsiTheme="minorBidi"/>
          <w:rtl/>
        </w:rPr>
      </w:pPr>
      <w:r w:rsidRPr="005275DF">
        <w:rPr>
          <w:rFonts w:asciiTheme="minorBidi" w:hAnsiTheme="minorBidi"/>
          <w:rtl/>
        </w:rPr>
        <w:t>מדורה של זפת, ושל גפרית, ושל קש וגבבא אפילו לא אחז בהם האור אלא כל שהוא, שרי. וכן מדורה של קנים, ושל גרעיני תמרים כשהם מפוזרים. אבל אם הקנים אגודות, והגרעינים בסל, צריכים שיצית בהם האור עד שתהא השלהבת עולה מאליה; ויש אומרים בהיפך.</w:t>
      </w:r>
    </w:p>
    <w:p w14:paraId="67F8138D" w14:textId="77777777" w:rsidR="004B2E7C" w:rsidRPr="005275DF" w:rsidRDefault="004B2E7C" w:rsidP="00434A6A">
      <w:pPr>
        <w:rPr>
          <w:rFonts w:asciiTheme="minorBidi" w:hAnsiTheme="minorBidi"/>
          <w:rtl/>
        </w:rPr>
      </w:pPr>
    </w:p>
    <w:p w14:paraId="3312F9AA" w14:textId="77777777" w:rsidR="004B2E7C" w:rsidRPr="005275DF" w:rsidRDefault="004B2E7C" w:rsidP="00434A6A">
      <w:pPr>
        <w:rPr>
          <w:rFonts w:asciiTheme="minorBidi" w:hAnsiTheme="minorBidi"/>
          <w:rtl/>
        </w:rPr>
      </w:pPr>
    </w:p>
    <w:p w14:paraId="7A00C8BE" w14:textId="77777777" w:rsidR="004B2E7C" w:rsidRPr="005275DF" w:rsidRDefault="004B2E7C" w:rsidP="00434A6A">
      <w:pPr>
        <w:rPr>
          <w:rFonts w:asciiTheme="minorBidi" w:hAnsiTheme="minorBidi"/>
          <w:rtl/>
        </w:rPr>
      </w:pPr>
    </w:p>
    <w:p w14:paraId="0B222700" w14:textId="77777777" w:rsidR="004B2E7C" w:rsidRPr="005275DF" w:rsidRDefault="004B2E7C" w:rsidP="00434A6A">
      <w:pPr>
        <w:rPr>
          <w:rFonts w:asciiTheme="minorBidi" w:hAnsiTheme="minorBidi"/>
          <w:rtl/>
        </w:rPr>
      </w:pPr>
    </w:p>
    <w:p w14:paraId="383ED5C9" w14:textId="77777777" w:rsidR="004B2E7C" w:rsidRPr="005275DF" w:rsidRDefault="004B2E7C" w:rsidP="00434A6A">
      <w:pPr>
        <w:rPr>
          <w:rFonts w:asciiTheme="minorBidi" w:hAnsiTheme="minorBidi"/>
          <w:rtl/>
        </w:rPr>
      </w:pPr>
    </w:p>
    <w:p w14:paraId="5D9C4EFE" w14:textId="77777777" w:rsidR="004B2E7C" w:rsidRPr="005275DF" w:rsidRDefault="004B2E7C" w:rsidP="00434A6A">
      <w:pPr>
        <w:rPr>
          <w:rFonts w:asciiTheme="minorBidi" w:hAnsiTheme="minorBidi"/>
          <w:rtl/>
        </w:rPr>
      </w:pPr>
    </w:p>
    <w:p w14:paraId="508F5158" w14:textId="77777777" w:rsidR="004B2E7C" w:rsidRDefault="004B2E7C" w:rsidP="00434A6A">
      <w:pPr>
        <w:pStyle w:val="1"/>
        <w:rPr>
          <w:rFonts w:asciiTheme="minorBidi" w:hAnsiTheme="minorBidi"/>
          <w:rtl/>
        </w:rPr>
        <w:sectPr w:rsidR="004B2E7C" w:rsidSect="00BD29B1">
          <w:headerReference w:type="default" r:id="rId26"/>
          <w:footnotePr>
            <w:numRestart w:val="eachSect"/>
          </w:footnotePr>
          <w:pgSz w:w="11906" w:h="16838"/>
          <w:pgMar w:top="720" w:right="1134" w:bottom="720" w:left="1134" w:header="0" w:footer="0" w:gutter="0"/>
          <w:cols w:space="720"/>
          <w:bidi/>
          <w:rtlGutter/>
          <w:docGrid w:linePitch="360"/>
        </w:sectPr>
      </w:pPr>
    </w:p>
    <w:p w14:paraId="25308C77" w14:textId="77777777" w:rsidR="004B2E7C" w:rsidRPr="005275DF" w:rsidRDefault="004B2E7C" w:rsidP="00434A6A">
      <w:pPr>
        <w:pStyle w:val="1"/>
        <w:rPr>
          <w:rFonts w:asciiTheme="minorBidi" w:hAnsiTheme="minorBidi"/>
          <w:rtl/>
        </w:rPr>
      </w:pPr>
      <w:r w:rsidRPr="005275DF">
        <w:rPr>
          <w:rFonts w:asciiTheme="minorBidi" w:hAnsiTheme="minorBidi"/>
          <w:rtl/>
        </w:rPr>
        <w:t>סימן רנו: שש תקיעות שהיו תוקעין בערב שבת</w:t>
      </w:r>
      <w:r>
        <w:rPr>
          <w:rFonts w:asciiTheme="minorBidi" w:hAnsiTheme="minorBidi" w:hint="cs"/>
          <w:rtl/>
        </w:rPr>
        <w:t>, ובו סעיף אחד</w:t>
      </w:r>
      <w:r w:rsidRPr="005275DF">
        <w:rPr>
          <w:rFonts w:asciiTheme="minorBidi" w:hAnsiTheme="minorBidi"/>
          <w:rtl/>
        </w:rPr>
        <w:t xml:space="preserve">. </w:t>
      </w:r>
    </w:p>
    <w:p w14:paraId="52896F7F"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א</w:t>
      </w:r>
    </w:p>
    <w:p w14:paraId="7D8732CD" w14:textId="77777777" w:rsidR="004B2E7C" w:rsidRPr="005275DF" w:rsidRDefault="004B2E7C" w:rsidP="00434A6A">
      <w:pPr>
        <w:rPr>
          <w:rFonts w:asciiTheme="minorBidi" w:hAnsiTheme="minorBidi"/>
          <w:rtl/>
        </w:rPr>
      </w:pPr>
      <w:r w:rsidRPr="005275DF">
        <w:rPr>
          <w:rFonts w:asciiTheme="minorBidi" w:hAnsiTheme="minorBidi"/>
          <w:b/>
          <w:bCs/>
          <w:rtl/>
        </w:rPr>
        <w:t xml:space="preserve">שבת לה ע"ב: </w:t>
      </w:r>
      <w:r w:rsidRPr="005275DF">
        <w:rPr>
          <w:rFonts w:asciiTheme="minorBidi" w:hAnsiTheme="minorBidi"/>
          <w:rtl/>
        </w:rPr>
        <w:t>תנא דבי רבי ישמעאל, שש תקיעות תוקעין ערב שבת: התחיל לתקוע תקיעה ראשונה - נמנעו העומדים בשדה מלעדור ומלחרוש ומלעשות כל מלאכה שבשדות, ואין הקרובין רשאין ליכנס עד שיבואו רחוקין ויכנסו כולם כאחד</w:t>
      </w:r>
      <w:r w:rsidRPr="005275DF">
        <w:rPr>
          <w:rStyle w:val="a9"/>
          <w:rFonts w:asciiTheme="minorBidi" w:hAnsiTheme="minorBidi"/>
          <w:rtl/>
        </w:rPr>
        <w:footnoteReference w:id="495"/>
      </w:r>
      <w:r w:rsidRPr="005275DF">
        <w:rPr>
          <w:rFonts w:asciiTheme="minorBidi" w:hAnsiTheme="minorBidi"/>
          <w:rtl/>
        </w:rPr>
        <w:t>. ועדיין חנויות פתוחות ותריסין מונחין, התחיל לתקוע תקיעה שניה - נסתלקו התריסין וננעלו החנויות, ועדיין חמין מונחין על גבי כירה וקדירות מונחות על גבי כירה. התחיל לתקוע תקיעה שלישית - סילק המסלק, והטמין המטמין, והדליק המדליק. ושוהה כדי צליית דג קטן, או כדי להדביק פת בתנור, ותוקע ומריע ותוקע ושובת.</w:t>
      </w:r>
    </w:p>
    <w:p w14:paraId="46B4D03E"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1A5B869" w14:textId="77777777" w:rsidR="004B2E7C" w:rsidRPr="005275DF" w:rsidRDefault="004B2E7C" w:rsidP="00434A6A">
      <w:pPr>
        <w:rPr>
          <w:rFonts w:asciiTheme="minorBidi" w:hAnsiTheme="minorBidi"/>
          <w:rtl/>
        </w:rPr>
      </w:pPr>
      <w:r w:rsidRPr="005275DF">
        <w:rPr>
          <w:rFonts w:asciiTheme="minorBidi" w:hAnsiTheme="minorBidi"/>
          <w:rtl/>
        </w:rPr>
        <w:t xml:space="preserve">כשהיו ישראל בישובן, היו תוקעין בערב שבת שש תקיעות, כדי להבדיל את העם מן המלאכה. </w:t>
      </w:r>
      <w:r w:rsidRPr="005275DF">
        <w:rPr>
          <w:rFonts w:asciiTheme="minorBidi" w:hAnsiTheme="minorBidi"/>
          <w:sz w:val="18"/>
          <w:szCs w:val="18"/>
          <w:rtl/>
        </w:rPr>
        <w:t>הגה: ונהגו בקהלות הקדושות, שכל שהוא סמוך לשבת כחצי שעה או שעה, שמכריז ש"צ להכין עצמן לשבת, והוא במקום התקיעות בימיהם, וכן ראוי לנהוג בכל מקום.</w:t>
      </w:r>
    </w:p>
    <w:p w14:paraId="6DA05E79" w14:textId="77777777" w:rsidR="004B2E7C" w:rsidRPr="005275DF" w:rsidRDefault="004B2E7C" w:rsidP="00434A6A">
      <w:pPr>
        <w:rPr>
          <w:rFonts w:asciiTheme="minorBidi" w:hAnsiTheme="minorBidi"/>
          <w:rtl/>
        </w:rPr>
      </w:pPr>
    </w:p>
    <w:p w14:paraId="3C5528FD" w14:textId="77777777" w:rsidR="004B2E7C" w:rsidRPr="005275DF" w:rsidRDefault="004B2E7C" w:rsidP="00434A6A">
      <w:pPr>
        <w:rPr>
          <w:rFonts w:asciiTheme="minorBidi" w:hAnsiTheme="minorBidi"/>
          <w:rtl/>
        </w:rPr>
      </w:pPr>
    </w:p>
    <w:p w14:paraId="2A125471" w14:textId="77777777" w:rsidR="004B2E7C" w:rsidRPr="005275DF" w:rsidRDefault="004B2E7C" w:rsidP="00434A6A">
      <w:pPr>
        <w:rPr>
          <w:rFonts w:asciiTheme="minorBidi" w:hAnsiTheme="minorBidi"/>
          <w:rtl/>
        </w:rPr>
      </w:pPr>
    </w:p>
    <w:p w14:paraId="1C3E476C" w14:textId="77777777" w:rsidR="004B2E7C" w:rsidRPr="005275DF" w:rsidRDefault="004B2E7C" w:rsidP="00434A6A">
      <w:pPr>
        <w:rPr>
          <w:rFonts w:asciiTheme="minorBidi" w:hAnsiTheme="minorBidi"/>
          <w:rtl/>
        </w:rPr>
      </w:pPr>
    </w:p>
    <w:p w14:paraId="1C46C1F1" w14:textId="77777777" w:rsidR="004B2E7C" w:rsidRPr="005275DF" w:rsidRDefault="004B2E7C" w:rsidP="00434A6A">
      <w:pPr>
        <w:rPr>
          <w:rFonts w:asciiTheme="minorBidi" w:hAnsiTheme="minorBidi"/>
          <w:rtl/>
        </w:rPr>
      </w:pPr>
    </w:p>
    <w:p w14:paraId="618B0DDF" w14:textId="77777777" w:rsidR="004B2E7C" w:rsidRDefault="004B2E7C" w:rsidP="00434A6A">
      <w:pPr>
        <w:pStyle w:val="1"/>
        <w:rPr>
          <w:rFonts w:asciiTheme="minorBidi" w:hAnsiTheme="minorBidi"/>
          <w:rtl/>
        </w:rPr>
        <w:sectPr w:rsidR="004B2E7C" w:rsidSect="00BD29B1">
          <w:headerReference w:type="default" r:id="rId27"/>
          <w:footnotePr>
            <w:numRestart w:val="eachSect"/>
          </w:footnotePr>
          <w:pgSz w:w="11906" w:h="16838"/>
          <w:pgMar w:top="720" w:right="1134" w:bottom="720" w:left="1134" w:header="0" w:footer="0" w:gutter="0"/>
          <w:cols w:space="720"/>
          <w:bidi/>
          <w:rtlGutter/>
          <w:docGrid w:linePitch="360"/>
        </w:sectPr>
      </w:pPr>
    </w:p>
    <w:p w14:paraId="2E9FFD41" w14:textId="77777777" w:rsidR="004B2E7C" w:rsidRPr="005275DF" w:rsidRDefault="004B2E7C" w:rsidP="00434A6A">
      <w:pPr>
        <w:pStyle w:val="1"/>
        <w:rPr>
          <w:rFonts w:asciiTheme="minorBidi" w:hAnsiTheme="minorBidi"/>
          <w:rtl/>
        </w:rPr>
      </w:pPr>
      <w:r w:rsidRPr="005275DF">
        <w:rPr>
          <w:rFonts w:asciiTheme="minorBidi" w:hAnsiTheme="minorBidi"/>
          <w:rtl/>
        </w:rPr>
        <w:t>סימן רנז: דיני הטמנת חמין</w:t>
      </w:r>
      <w:r>
        <w:rPr>
          <w:rFonts w:asciiTheme="minorBidi" w:hAnsiTheme="minorBidi" w:hint="cs"/>
          <w:rtl/>
        </w:rPr>
        <w:t>, ובו ח' סעיפים</w:t>
      </w:r>
      <w:r w:rsidRPr="005275DF">
        <w:rPr>
          <w:rFonts w:asciiTheme="minorBidi" w:hAnsiTheme="minorBidi"/>
          <w:rtl/>
        </w:rPr>
        <w:t xml:space="preserve">. </w:t>
      </w:r>
    </w:p>
    <w:p w14:paraId="4AC366E7"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א: דין הטמנה.</w:t>
      </w:r>
    </w:p>
    <w:p w14:paraId="454F7FEA" w14:textId="77777777" w:rsidR="004B2E7C" w:rsidRPr="005275DF" w:rsidRDefault="004B2E7C" w:rsidP="00434A6A">
      <w:pPr>
        <w:rPr>
          <w:rFonts w:asciiTheme="minorBidi" w:hAnsiTheme="minorBidi"/>
          <w:rtl/>
        </w:rPr>
      </w:pPr>
      <w:r w:rsidRPr="005275DF">
        <w:rPr>
          <w:rFonts w:asciiTheme="minorBidi" w:hAnsiTheme="minorBidi"/>
          <w:b/>
          <w:bCs/>
          <w:rtl/>
        </w:rPr>
        <w:t xml:space="preserve">שבת לד ע"א: </w:t>
      </w:r>
      <w:r w:rsidRPr="005275DF">
        <w:rPr>
          <w:rFonts w:asciiTheme="minorBidi" w:hAnsiTheme="minorBidi"/>
          <w:u w:val="double"/>
          <w:rtl/>
        </w:rPr>
        <w:t>משנה:</w:t>
      </w:r>
      <w:r w:rsidRPr="005275DF">
        <w:rPr>
          <w:rFonts w:asciiTheme="minorBidi" w:hAnsiTheme="minorBidi"/>
          <w:rtl/>
        </w:rPr>
        <w:t xml:space="preserve"> שלשה דברים... ספק חשכה ספק אינו חשכה... ומערבין וטומנין את החמין.            </w:t>
      </w:r>
      <w:r w:rsidRPr="005275DF">
        <w:rPr>
          <w:rFonts w:asciiTheme="minorBidi" w:hAnsiTheme="minorBidi"/>
          <w:u w:val="double"/>
          <w:rtl/>
        </w:rPr>
        <w:t>גמ':</w:t>
      </w:r>
      <w:r w:rsidRPr="005275DF">
        <w:rPr>
          <w:rFonts w:asciiTheme="minorBidi" w:hAnsiTheme="minorBidi"/>
          <w:rtl/>
        </w:rPr>
        <w:t xml:space="preserve"> </w:t>
      </w:r>
      <w:r w:rsidRPr="005275DF">
        <w:rPr>
          <w:rFonts w:asciiTheme="minorBidi" w:hAnsiTheme="minorBidi"/>
          <w:u w:val="single"/>
          <w:rtl/>
        </w:rPr>
        <w:t>אמר רבא</w:t>
      </w:r>
      <w:r w:rsidRPr="005275DF">
        <w:rPr>
          <w:rFonts w:asciiTheme="minorBidi" w:hAnsiTheme="minorBidi"/>
          <w:rtl/>
        </w:rPr>
        <w:t>: מפני מה אמרו: אין טומנין בדבר שאינו מוסיף הבל משחשכה - גזרה שמא ירתיח</w:t>
      </w:r>
      <w:r w:rsidRPr="005275DF">
        <w:rPr>
          <w:rStyle w:val="a9"/>
          <w:rFonts w:asciiTheme="minorBidi" w:hAnsiTheme="minorBidi"/>
          <w:rtl/>
        </w:rPr>
        <w:footnoteReference w:id="496"/>
      </w:r>
      <w:r w:rsidRPr="005275DF">
        <w:rPr>
          <w:rFonts w:asciiTheme="minorBidi" w:hAnsiTheme="minorBidi"/>
          <w:rtl/>
        </w:rPr>
        <w:t xml:space="preserve">. </w:t>
      </w:r>
      <w:r w:rsidRPr="005275DF">
        <w:rPr>
          <w:rFonts w:asciiTheme="minorBidi" w:hAnsiTheme="minorBidi"/>
          <w:u w:val="single"/>
          <w:rtl/>
        </w:rPr>
        <w:t>אמר ליה אביי</w:t>
      </w:r>
      <w:r w:rsidRPr="005275DF">
        <w:rPr>
          <w:rFonts w:asciiTheme="minorBidi" w:hAnsiTheme="minorBidi"/>
          <w:rtl/>
        </w:rPr>
        <w:t>: אי הכי, בין השמשות נמי ניגזר</w:t>
      </w:r>
      <w:r w:rsidRPr="005275DF">
        <w:rPr>
          <w:rStyle w:val="a9"/>
          <w:rFonts w:asciiTheme="minorBidi" w:hAnsiTheme="minorBidi"/>
          <w:rtl/>
        </w:rPr>
        <w:footnoteReference w:id="497"/>
      </w:r>
      <w:r w:rsidRPr="005275DF">
        <w:rPr>
          <w:rFonts w:asciiTheme="minorBidi" w:hAnsiTheme="minorBidi"/>
          <w:rtl/>
        </w:rPr>
        <w:t xml:space="preserve">! - </w:t>
      </w:r>
      <w:r w:rsidRPr="005275DF">
        <w:rPr>
          <w:rFonts w:asciiTheme="minorBidi" w:hAnsiTheme="minorBidi"/>
          <w:u w:val="single"/>
          <w:rtl/>
        </w:rPr>
        <w:t>אמר ליה</w:t>
      </w:r>
      <w:r w:rsidRPr="005275DF">
        <w:rPr>
          <w:rFonts w:asciiTheme="minorBidi" w:hAnsiTheme="minorBidi"/>
          <w:rtl/>
        </w:rPr>
        <w:t>: סתם קדירות רותחות הן</w:t>
      </w:r>
      <w:r w:rsidRPr="005275DF">
        <w:rPr>
          <w:rStyle w:val="a9"/>
          <w:rFonts w:asciiTheme="minorBidi" w:hAnsiTheme="minorBidi"/>
          <w:rtl/>
        </w:rPr>
        <w:footnoteReference w:id="498"/>
      </w:r>
      <w:r w:rsidRPr="005275DF">
        <w:rPr>
          <w:rFonts w:asciiTheme="minorBidi" w:hAnsiTheme="minorBidi"/>
          <w:rtl/>
        </w:rPr>
        <w:t xml:space="preserve">. </w:t>
      </w:r>
      <w:r w:rsidRPr="005275DF">
        <w:rPr>
          <w:rFonts w:asciiTheme="minorBidi" w:hAnsiTheme="minorBidi"/>
          <w:u w:val="single"/>
          <w:rtl/>
        </w:rPr>
        <w:t>ואמר רבא:</w:t>
      </w:r>
      <w:r w:rsidRPr="005275DF">
        <w:rPr>
          <w:rFonts w:asciiTheme="minorBidi" w:hAnsiTheme="minorBidi"/>
          <w:rtl/>
        </w:rPr>
        <w:t xml:space="preserve"> מפני מה אמרו אין טומנין בדבר המוסיף הבל ואפילו מבעוד יום - גזירה שמא יטמין ברמץ שיש בה גחלת. </w:t>
      </w:r>
      <w:r w:rsidRPr="005275DF">
        <w:rPr>
          <w:rFonts w:asciiTheme="minorBidi" w:hAnsiTheme="minorBidi"/>
          <w:u w:val="single"/>
          <w:rtl/>
        </w:rPr>
        <w:t>אמר ליה אביי</w:t>
      </w:r>
      <w:r w:rsidRPr="005275DF">
        <w:rPr>
          <w:rFonts w:asciiTheme="minorBidi" w:hAnsiTheme="minorBidi"/>
          <w:rtl/>
        </w:rPr>
        <w:t>: ויטמין! - גזירה שמא יחתה בגחלים</w:t>
      </w:r>
      <w:r w:rsidRPr="005275DF">
        <w:rPr>
          <w:rStyle w:val="a9"/>
          <w:rFonts w:asciiTheme="minorBidi" w:hAnsiTheme="minorBidi"/>
          <w:rtl/>
        </w:rPr>
        <w:footnoteReference w:id="499"/>
      </w:r>
      <w:r w:rsidRPr="005275DF">
        <w:rPr>
          <w:rFonts w:asciiTheme="minorBidi" w:hAnsiTheme="minorBidi"/>
          <w:rtl/>
        </w:rPr>
        <w:t>.</w:t>
      </w:r>
    </w:p>
    <w:p w14:paraId="15EAFF3D" w14:textId="77777777" w:rsidR="004B2E7C" w:rsidRPr="005275DF" w:rsidRDefault="004B2E7C" w:rsidP="00434A6A">
      <w:pPr>
        <w:rPr>
          <w:rFonts w:asciiTheme="minorBidi" w:hAnsiTheme="minorBidi"/>
          <w:sz w:val="18"/>
          <w:szCs w:val="18"/>
          <w:rtl/>
        </w:rPr>
      </w:pPr>
      <w:r w:rsidRPr="005275DF">
        <w:rPr>
          <w:rFonts w:asciiTheme="minorBidi" w:hAnsiTheme="minorBidi"/>
          <w:u w:val="single"/>
          <w:rtl/>
        </w:rPr>
        <w:t>גירסת הרי"ף והרמב"ם</w:t>
      </w:r>
      <w:r w:rsidRPr="005275DF">
        <w:rPr>
          <w:rFonts w:asciiTheme="minorBidi" w:hAnsiTheme="minorBidi"/>
          <w:rtl/>
        </w:rPr>
        <w:t xml:space="preserve">:            </w:t>
      </w:r>
      <w:r w:rsidRPr="005275DF">
        <w:rPr>
          <w:rFonts w:asciiTheme="minorBidi" w:hAnsiTheme="minorBidi"/>
          <w:u w:val="double"/>
          <w:rtl/>
        </w:rPr>
        <w:t>גמ':</w:t>
      </w:r>
      <w:r w:rsidRPr="005275DF">
        <w:rPr>
          <w:rFonts w:asciiTheme="minorBidi" w:hAnsiTheme="minorBidi"/>
          <w:rtl/>
        </w:rPr>
        <w:t xml:space="preserve"> </w:t>
      </w:r>
      <w:r w:rsidRPr="005275DF">
        <w:rPr>
          <w:rFonts w:asciiTheme="minorBidi" w:hAnsiTheme="minorBidi"/>
          <w:u w:val="single"/>
          <w:rtl/>
        </w:rPr>
        <w:t>אמר רבא</w:t>
      </w:r>
      <w:r w:rsidRPr="005275DF">
        <w:rPr>
          <w:rFonts w:asciiTheme="minorBidi" w:hAnsiTheme="minorBidi"/>
          <w:rtl/>
        </w:rPr>
        <w:t>: מפני מה אמרו אין טומנין בדבר המוסיף הבל ואפילו מבעוד יום גזירה שמא ירתיח</w:t>
      </w:r>
      <w:r w:rsidRPr="005275DF">
        <w:rPr>
          <w:rStyle w:val="a9"/>
          <w:rFonts w:asciiTheme="minorBidi" w:hAnsiTheme="minorBidi"/>
          <w:rtl/>
        </w:rPr>
        <w:footnoteReference w:id="500"/>
      </w:r>
      <w:r w:rsidRPr="005275DF">
        <w:rPr>
          <w:rFonts w:asciiTheme="minorBidi" w:hAnsiTheme="minorBidi"/>
          <w:rtl/>
        </w:rPr>
        <w:t xml:space="preserve"> </w:t>
      </w:r>
      <w:r w:rsidRPr="005275DF">
        <w:rPr>
          <w:rFonts w:asciiTheme="minorBidi" w:hAnsiTheme="minorBidi"/>
          <w:u w:val="single"/>
          <w:rtl/>
        </w:rPr>
        <w:t>א"ל אביי:</w:t>
      </w:r>
      <w:r w:rsidRPr="005275DF">
        <w:rPr>
          <w:rFonts w:asciiTheme="minorBidi" w:hAnsiTheme="minorBidi"/>
          <w:rtl/>
        </w:rPr>
        <w:t xml:space="preserve"> אי הכי בין השמשות נמי נגזור, </w:t>
      </w:r>
      <w:r w:rsidRPr="005275DF">
        <w:rPr>
          <w:rFonts w:asciiTheme="minorBidi" w:hAnsiTheme="minorBidi"/>
          <w:u w:val="single"/>
          <w:rtl/>
        </w:rPr>
        <w:t>א"ל:</w:t>
      </w:r>
      <w:r w:rsidRPr="005275DF">
        <w:rPr>
          <w:rFonts w:asciiTheme="minorBidi" w:hAnsiTheme="minorBidi"/>
          <w:rtl/>
        </w:rPr>
        <w:t xml:space="preserve"> סתם קדרות בין השמשות רותחות הן</w:t>
      </w:r>
      <w:r w:rsidRPr="005275DF">
        <w:rPr>
          <w:rStyle w:val="a9"/>
          <w:rFonts w:asciiTheme="minorBidi" w:hAnsiTheme="minorBidi"/>
          <w:rtl/>
        </w:rPr>
        <w:footnoteReference w:id="501"/>
      </w:r>
      <w:r w:rsidRPr="005275DF">
        <w:rPr>
          <w:rFonts w:asciiTheme="minorBidi" w:hAnsiTheme="minorBidi"/>
          <w:rtl/>
        </w:rPr>
        <w:t xml:space="preserve"> ומפני מה אמרו אין טומנין בדבר שאינו מוסיף הבל משחשיכה גזירה שמא יטמין ברמץ </w:t>
      </w:r>
      <w:r w:rsidRPr="005275DF">
        <w:rPr>
          <w:rFonts w:asciiTheme="minorBidi" w:hAnsiTheme="minorBidi"/>
          <w:sz w:val="18"/>
          <w:szCs w:val="18"/>
          <w:rtl/>
        </w:rPr>
        <w:t>(פ"ד ה"ב כ' הרב המגיד שכל האחרונים השיבו עליו שאין דבר זה מתקבל שמבעוד יום אסור ובין השמשות מותר, ועוד שהוא מפרש רותחות שכבר נחו מרתיחתן, אלא העיקר כגירסת רש"י)</w:t>
      </w:r>
    </w:p>
    <w:p w14:paraId="734E88B8"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6DFF893" w14:textId="77777777" w:rsidR="004B2E7C" w:rsidRPr="005275DF" w:rsidRDefault="004B2E7C" w:rsidP="00434A6A">
      <w:pPr>
        <w:rPr>
          <w:rFonts w:asciiTheme="minorBidi" w:hAnsiTheme="minorBidi"/>
          <w:rtl/>
        </w:rPr>
      </w:pPr>
      <w:r w:rsidRPr="005275DF">
        <w:rPr>
          <w:rFonts w:asciiTheme="minorBidi" w:hAnsiTheme="minorBidi"/>
          <w:rtl/>
        </w:rPr>
        <w:t>אין טומנין בשבת, אפילו בדבר שאין מוסיף הבל; אבל בספק חשיכה, טומנין בו. ואין טומנין בדבר המוסיף הבל אפילו מבעוד יום, ואם הטמין בדבר המוסיף הבל, התבשיל אסור אפילו בדיעבד</w:t>
      </w:r>
      <w:r w:rsidRPr="005275DF">
        <w:rPr>
          <w:rStyle w:val="a9"/>
          <w:rFonts w:asciiTheme="minorBidi" w:hAnsiTheme="minorBidi"/>
          <w:rtl/>
        </w:rPr>
        <w:footnoteReference w:id="502"/>
      </w:r>
      <w:r w:rsidRPr="005275DF">
        <w:rPr>
          <w:rFonts w:asciiTheme="minorBidi" w:hAnsiTheme="minorBidi"/>
          <w:rtl/>
        </w:rPr>
        <w:t>. ודוקא בצונן שנתחמם או שנצטמק ויפה לו</w:t>
      </w:r>
      <w:r w:rsidRPr="005275DF">
        <w:rPr>
          <w:rStyle w:val="a9"/>
          <w:rFonts w:asciiTheme="minorBidi" w:hAnsiTheme="minorBidi"/>
          <w:rtl/>
        </w:rPr>
        <w:footnoteReference w:id="503"/>
      </w:r>
      <w:r w:rsidRPr="005275DF">
        <w:rPr>
          <w:rFonts w:asciiTheme="minorBidi" w:hAnsiTheme="minorBidi"/>
          <w:rtl/>
        </w:rPr>
        <w:t>, אבל בעומד בחמימותו כשעה ראשונה</w:t>
      </w:r>
      <w:r w:rsidRPr="005275DF">
        <w:rPr>
          <w:rStyle w:val="a9"/>
          <w:rFonts w:asciiTheme="minorBidi" w:hAnsiTheme="minorBidi"/>
          <w:rtl/>
        </w:rPr>
        <w:footnoteReference w:id="504"/>
      </w:r>
      <w:r w:rsidRPr="005275DF">
        <w:rPr>
          <w:rFonts w:asciiTheme="minorBidi" w:hAnsiTheme="minorBidi"/>
          <w:rtl/>
        </w:rPr>
        <w:t xml:space="preserve">, מותר. </w:t>
      </w:r>
      <w:r w:rsidRPr="005275DF">
        <w:rPr>
          <w:rFonts w:asciiTheme="minorBidi" w:hAnsiTheme="minorBidi"/>
          <w:sz w:val="18"/>
          <w:szCs w:val="18"/>
          <w:rtl/>
        </w:rPr>
        <w:t>הגה: י"א דאם שכח והטמין בשוגג בדבר המוסיף הבל, שרי לאכול</w:t>
      </w:r>
      <w:r w:rsidRPr="005275DF">
        <w:rPr>
          <w:rStyle w:val="a9"/>
          <w:rFonts w:asciiTheme="minorBidi" w:hAnsiTheme="minorBidi"/>
          <w:sz w:val="18"/>
          <w:szCs w:val="18"/>
          <w:rtl/>
        </w:rPr>
        <w:footnoteReference w:id="505"/>
      </w:r>
      <w:r w:rsidRPr="005275DF">
        <w:rPr>
          <w:rFonts w:asciiTheme="minorBidi" w:hAnsiTheme="minorBidi"/>
          <w:sz w:val="18"/>
          <w:szCs w:val="18"/>
          <w:rtl/>
        </w:rPr>
        <w:t xml:space="preserve"> (הגה' מרדכי, הביאו ב"י בסוף הסי'). וי"א דכל זה אינו אסור אלא כשעושה לצורך לילה</w:t>
      </w:r>
      <w:r w:rsidRPr="005275DF">
        <w:rPr>
          <w:rStyle w:val="a9"/>
          <w:rFonts w:asciiTheme="minorBidi" w:hAnsiTheme="minorBidi"/>
          <w:sz w:val="18"/>
          <w:szCs w:val="18"/>
          <w:rtl/>
        </w:rPr>
        <w:footnoteReference w:id="506"/>
      </w:r>
      <w:r w:rsidRPr="005275DF">
        <w:rPr>
          <w:rFonts w:asciiTheme="minorBidi" w:hAnsiTheme="minorBidi"/>
          <w:sz w:val="18"/>
          <w:szCs w:val="18"/>
          <w:rtl/>
        </w:rPr>
        <w:t>, אבל כשמטמין לצורך מחר, מותר להטמין מבעוד יום בדבר שמוסיף הבל</w:t>
      </w:r>
      <w:r w:rsidRPr="005275DF">
        <w:rPr>
          <w:rStyle w:val="a9"/>
          <w:rFonts w:asciiTheme="minorBidi" w:hAnsiTheme="minorBidi"/>
          <w:sz w:val="18"/>
          <w:szCs w:val="18"/>
          <w:rtl/>
        </w:rPr>
        <w:footnoteReference w:id="507"/>
      </w:r>
      <w:r w:rsidRPr="005275DF">
        <w:rPr>
          <w:rFonts w:asciiTheme="minorBidi" w:hAnsiTheme="minorBidi"/>
          <w:sz w:val="18"/>
          <w:szCs w:val="18"/>
          <w:rtl/>
        </w:rPr>
        <w:t>. (מרדכי ריש פרק כירה וב"י ס"ס רנ"ג בשם שבה"ל) ובדיעבד יש לסמוך על זה ובלבד שלא יהא רגיל לעשות כן (ד"ע).</w:t>
      </w:r>
    </w:p>
    <w:p w14:paraId="794FF172" w14:textId="77777777" w:rsidR="004B2E7C" w:rsidRPr="005275DF" w:rsidRDefault="004B2E7C" w:rsidP="00434A6A">
      <w:pPr>
        <w:rPr>
          <w:rFonts w:asciiTheme="minorBidi" w:hAnsiTheme="minorBidi"/>
          <w:rtl/>
        </w:rPr>
      </w:pPr>
    </w:p>
    <w:p w14:paraId="0AEE9EA6"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ב: כיסוי הקדרה על מנת לשומרה.</w:t>
      </w:r>
    </w:p>
    <w:p w14:paraId="7F490012"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E94B477" w14:textId="77777777" w:rsidR="004B2E7C" w:rsidRPr="005275DF" w:rsidRDefault="004B2E7C" w:rsidP="00434A6A">
      <w:pPr>
        <w:rPr>
          <w:rFonts w:asciiTheme="minorBidi" w:hAnsiTheme="minorBidi"/>
          <w:sz w:val="16"/>
          <w:szCs w:val="16"/>
          <w:rtl/>
        </w:rPr>
      </w:pPr>
      <w:r w:rsidRPr="005275DF">
        <w:rPr>
          <w:rFonts w:asciiTheme="minorBidi" w:hAnsiTheme="minorBidi"/>
          <w:rtl/>
        </w:rPr>
        <w:t xml:space="preserve">אפילו תבשיל שנתבשל כל צורכו, אסור להטמין בשבת אפילו בדבר שאינו מוסיף הבל. ומכל מקום לשום כלים על התבשיל כדי לשמרו מן העכברים, או כדי שלא יתטנף בעפרורית, שרי, שאין זה כמטמין להחם אלא כשומר ונותן כיסוי על הקדירה </w:t>
      </w:r>
      <w:r w:rsidRPr="005275DF">
        <w:rPr>
          <w:rFonts w:asciiTheme="minorBidi" w:hAnsiTheme="minorBidi"/>
          <w:sz w:val="18"/>
          <w:szCs w:val="18"/>
          <w:rtl/>
        </w:rPr>
        <w:t>(וע"ל סי' רנ"ג)</w:t>
      </w:r>
      <w:r w:rsidRPr="005275DF">
        <w:rPr>
          <w:rFonts w:asciiTheme="minorBidi" w:hAnsiTheme="minorBidi"/>
          <w:rtl/>
        </w:rPr>
        <w:t xml:space="preserve">. </w:t>
      </w:r>
      <w:r w:rsidRPr="005275DF">
        <w:rPr>
          <w:rFonts w:asciiTheme="minorBidi" w:hAnsiTheme="minorBidi"/>
          <w:sz w:val="16"/>
          <w:szCs w:val="16"/>
          <w:rtl/>
        </w:rPr>
        <w:t>{ר"ן}</w:t>
      </w:r>
    </w:p>
    <w:p w14:paraId="19DC11E0" w14:textId="77777777" w:rsidR="004B2E7C" w:rsidRPr="005275DF" w:rsidRDefault="004B2E7C" w:rsidP="00434A6A">
      <w:pPr>
        <w:rPr>
          <w:rFonts w:asciiTheme="minorBidi" w:hAnsiTheme="minorBidi"/>
          <w:sz w:val="16"/>
          <w:szCs w:val="16"/>
          <w:rtl/>
        </w:rPr>
      </w:pPr>
    </w:p>
    <w:p w14:paraId="2AA66D48"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ג: דברים המוסיפים הבל ודברים שלא מוה"ב.</w:t>
      </w:r>
    </w:p>
    <w:p w14:paraId="4DBB31C1" w14:textId="77777777" w:rsidR="004B2E7C" w:rsidRPr="005275DF" w:rsidRDefault="004B2E7C" w:rsidP="00434A6A">
      <w:pPr>
        <w:rPr>
          <w:rFonts w:asciiTheme="minorBidi" w:hAnsiTheme="minorBidi"/>
          <w:rtl/>
        </w:rPr>
      </w:pPr>
      <w:r w:rsidRPr="005275DF">
        <w:rPr>
          <w:rFonts w:asciiTheme="minorBidi" w:hAnsiTheme="minorBidi"/>
          <w:b/>
          <w:bCs/>
          <w:rtl/>
        </w:rPr>
        <w:t xml:space="preserve">שבת מז ע"ב: </w:t>
      </w:r>
      <w:r w:rsidRPr="005275DF">
        <w:rPr>
          <w:rFonts w:asciiTheme="minorBidi" w:hAnsiTheme="minorBidi"/>
          <w:u w:val="double"/>
          <w:rtl/>
        </w:rPr>
        <w:t>משנה:</w:t>
      </w:r>
      <w:r w:rsidRPr="005275DF">
        <w:rPr>
          <w:rFonts w:asciiTheme="minorBidi" w:hAnsiTheme="minorBidi"/>
          <w:rtl/>
        </w:rPr>
        <w:t xml:space="preserve"> במה טומנין ובמה אין טומנין? אין טומנין לא בגפת</w:t>
      </w:r>
      <w:r w:rsidRPr="005275DF">
        <w:rPr>
          <w:rStyle w:val="a9"/>
          <w:rFonts w:asciiTheme="minorBidi" w:hAnsiTheme="minorBidi"/>
          <w:rtl/>
        </w:rPr>
        <w:footnoteReference w:id="508"/>
      </w:r>
      <w:r w:rsidRPr="005275DF">
        <w:rPr>
          <w:rFonts w:asciiTheme="minorBidi" w:hAnsiTheme="minorBidi"/>
          <w:rtl/>
        </w:rPr>
        <w:t>, ולא בזבל, לא במלח, ולא בסיד, ולא בחול, בין לחין</w:t>
      </w:r>
      <w:r w:rsidRPr="005275DF">
        <w:rPr>
          <w:rStyle w:val="a9"/>
          <w:rFonts w:asciiTheme="minorBidi" w:hAnsiTheme="minorBidi"/>
          <w:rtl/>
        </w:rPr>
        <w:footnoteReference w:id="509"/>
      </w:r>
      <w:r w:rsidRPr="005275DF">
        <w:rPr>
          <w:rFonts w:asciiTheme="minorBidi" w:hAnsiTheme="minorBidi"/>
          <w:rtl/>
        </w:rPr>
        <w:t xml:space="preserve"> בין יבשין. ולא בתבן ולא בזגין</w:t>
      </w:r>
      <w:r w:rsidRPr="005275DF">
        <w:rPr>
          <w:rStyle w:val="a9"/>
          <w:rFonts w:asciiTheme="minorBidi" w:hAnsiTheme="minorBidi"/>
          <w:rtl/>
        </w:rPr>
        <w:footnoteReference w:id="510"/>
      </w:r>
      <w:r w:rsidRPr="005275DF">
        <w:rPr>
          <w:rFonts w:asciiTheme="minorBidi" w:hAnsiTheme="minorBidi"/>
          <w:rtl/>
        </w:rPr>
        <w:t xml:space="preserve"> ולא במוכין</w:t>
      </w:r>
      <w:r w:rsidRPr="005275DF">
        <w:rPr>
          <w:rStyle w:val="a9"/>
          <w:rFonts w:asciiTheme="minorBidi" w:hAnsiTheme="minorBidi"/>
          <w:rtl/>
        </w:rPr>
        <w:footnoteReference w:id="511"/>
      </w:r>
      <w:r w:rsidRPr="005275DF">
        <w:rPr>
          <w:rFonts w:asciiTheme="minorBidi" w:hAnsiTheme="minorBidi"/>
          <w:rtl/>
        </w:rPr>
        <w:t xml:space="preserve"> ולא בעשבין בזמן שהן לחין, אבל טומנין בהן כשהן יבשין. </w:t>
      </w:r>
      <w:r w:rsidRPr="005275DF">
        <w:rPr>
          <w:rFonts w:asciiTheme="minorBidi" w:hAnsiTheme="minorBidi"/>
          <w:u w:val="double"/>
          <w:rtl/>
        </w:rPr>
        <w:t>גמ':</w:t>
      </w:r>
      <w:r w:rsidRPr="005275DF">
        <w:rPr>
          <w:rFonts w:asciiTheme="minorBidi" w:hAnsiTheme="minorBidi"/>
          <w:rtl/>
        </w:rPr>
        <w:t xml:space="preserve"> איבעיא להו: גפת של זיתים תנן, אבל דשומשמין שפיר דמי, או דילמא: דשומשמין תנן, וכל שכן דזיתים? תא שמע, </w:t>
      </w:r>
      <w:r w:rsidRPr="005275DF">
        <w:rPr>
          <w:rFonts w:asciiTheme="minorBidi" w:hAnsiTheme="minorBidi"/>
          <w:u w:val="single"/>
          <w:rtl/>
        </w:rPr>
        <w:t>דאמר רבי זירא משום חד דבי רבי ינאי</w:t>
      </w:r>
      <w:r w:rsidRPr="005275DF">
        <w:rPr>
          <w:rFonts w:asciiTheme="minorBidi" w:hAnsiTheme="minorBidi"/>
          <w:rtl/>
        </w:rPr>
        <w:t>: קופה שטמן בה</w:t>
      </w:r>
      <w:r w:rsidRPr="005275DF">
        <w:rPr>
          <w:rStyle w:val="a9"/>
          <w:rFonts w:asciiTheme="minorBidi" w:hAnsiTheme="minorBidi"/>
          <w:rtl/>
        </w:rPr>
        <w:footnoteReference w:id="512"/>
      </w:r>
      <w:r w:rsidRPr="005275DF">
        <w:rPr>
          <w:rFonts w:asciiTheme="minorBidi" w:hAnsiTheme="minorBidi"/>
          <w:rtl/>
        </w:rPr>
        <w:t xml:space="preserve"> אסור להניחה על גפת של זיתים, שמע מינה של זיתים תנן. לעולם אימא לך: לענין הטמנה דשומשמין נמי אסור, לענין אסוקי הבלא</w:t>
      </w:r>
      <w:r w:rsidRPr="005275DF">
        <w:rPr>
          <w:rStyle w:val="a9"/>
          <w:rFonts w:asciiTheme="minorBidi" w:hAnsiTheme="minorBidi"/>
          <w:rtl/>
        </w:rPr>
        <w:footnoteReference w:id="513"/>
      </w:r>
      <w:r w:rsidRPr="005275DF">
        <w:rPr>
          <w:rFonts w:asciiTheme="minorBidi" w:hAnsiTheme="minorBidi"/>
          <w:rtl/>
        </w:rPr>
        <w:t xml:space="preserve"> דזיתים מסקי הבלא, דשומשמין לא מסקי הבלא</w:t>
      </w:r>
      <w:r w:rsidRPr="005275DF">
        <w:rPr>
          <w:rStyle w:val="a9"/>
          <w:rFonts w:asciiTheme="minorBidi" w:hAnsiTheme="minorBidi"/>
          <w:rtl/>
        </w:rPr>
        <w:footnoteReference w:id="514"/>
      </w:r>
      <w:r w:rsidRPr="005275DF">
        <w:rPr>
          <w:rFonts w:asciiTheme="minorBidi" w:hAnsiTheme="minorBidi"/>
          <w:rtl/>
        </w:rPr>
        <w:t xml:space="preserve">....    </w:t>
      </w:r>
      <w:r w:rsidRPr="005275DF">
        <w:rPr>
          <w:rFonts w:asciiTheme="minorBidi" w:hAnsiTheme="minorBidi"/>
          <w:sz w:val="18"/>
          <w:szCs w:val="18"/>
          <w:u w:val="double"/>
          <w:rtl/>
        </w:rPr>
        <w:t>(מט.):</w:t>
      </w:r>
      <w:r w:rsidRPr="005275DF">
        <w:rPr>
          <w:rFonts w:asciiTheme="minorBidi" w:hAnsiTheme="minorBidi"/>
          <w:rtl/>
        </w:rPr>
        <w:t xml:space="preserve"> בזמן שהן לחין. איבעיא להו: לחין מחמת עצמן</w:t>
      </w:r>
      <w:r w:rsidRPr="005275DF">
        <w:rPr>
          <w:rStyle w:val="a9"/>
          <w:rFonts w:asciiTheme="minorBidi" w:hAnsiTheme="minorBidi"/>
          <w:rtl/>
        </w:rPr>
        <w:footnoteReference w:id="515"/>
      </w:r>
      <w:r w:rsidRPr="005275DF">
        <w:rPr>
          <w:rFonts w:asciiTheme="minorBidi" w:hAnsiTheme="minorBidi"/>
          <w:rtl/>
        </w:rPr>
        <w:t>, או דילמא: לחין מחמת דבר אחר? תא שמע: לא בתבן ולא בזגים ולא במוכין ולא בעשבים בזמן שהן לחין. אי אמרת בשלמא לחין מחמת דבר אחר - שפיר, אלא אי אמרת לחין מחמת עצמן - מוכין לחין מחמת עצמן היכי משכחת לה? ממרטא דביני אטמי</w:t>
      </w:r>
      <w:r w:rsidRPr="005275DF">
        <w:rPr>
          <w:rStyle w:val="a9"/>
          <w:rFonts w:asciiTheme="minorBidi" w:hAnsiTheme="minorBidi"/>
          <w:rtl/>
        </w:rPr>
        <w:footnoteReference w:id="516"/>
      </w:r>
      <w:r w:rsidRPr="005275DF">
        <w:rPr>
          <w:rFonts w:asciiTheme="minorBidi" w:hAnsiTheme="minorBidi"/>
          <w:rtl/>
        </w:rPr>
        <w:t>. והא דתני רבי אושעיא: טומנין בכסות יבשה ובפירות יבשין, אבל לא בכסות לחה ולא בפירות לחין</w:t>
      </w:r>
      <w:r w:rsidRPr="005275DF">
        <w:rPr>
          <w:rStyle w:val="a9"/>
          <w:rFonts w:asciiTheme="minorBidi" w:hAnsiTheme="minorBidi"/>
          <w:rtl/>
        </w:rPr>
        <w:footnoteReference w:id="517"/>
      </w:r>
      <w:r w:rsidRPr="005275DF">
        <w:rPr>
          <w:rFonts w:asciiTheme="minorBidi" w:hAnsiTheme="minorBidi"/>
          <w:rtl/>
        </w:rPr>
        <w:t xml:space="preserve">, כסות לחה מחמת עצמה היכי משכחת לה? ממרטא דביני אטמי.        </w:t>
      </w:r>
      <w:r w:rsidRPr="005275DF">
        <w:rPr>
          <w:rFonts w:asciiTheme="minorBidi" w:hAnsiTheme="minorBidi"/>
          <w:u w:val="double"/>
          <w:rtl/>
        </w:rPr>
        <w:t>משנה:</w:t>
      </w:r>
      <w:r w:rsidRPr="005275DF">
        <w:rPr>
          <w:rFonts w:asciiTheme="minorBidi" w:hAnsiTheme="minorBidi"/>
          <w:rtl/>
        </w:rPr>
        <w:t xml:space="preserve"> טומנין בכסות, ובפירות, בכנפי יונה, ובנסרת של חרשים, ובנעורת של פשתן דקה: </w:t>
      </w:r>
      <w:r w:rsidRPr="005275DF">
        <w:rPr>
          <w:rFonts w:asciiTheme="minorBidi" w:hAnsiTheme="minorBidi"/>
          <w:u w:val="single"/>
          <w:rtl/>
        </w:rPr>
        <w:t>רבי יהודה</w:t>
      </w:r>
      <w:r w:rsidRPr="005275DF">
        <w:rPr>
          <w:rFonts w:asciiTheme="minorBidi" w:hAnsiTheme="minorBidi"/>
          <w:rtl/>
        </w:rPr>
        <w:t xml:space="preserve"> אוסר בדקה ומתיר בגסה. </w:t>
      </w:r>
    </w:p>
    <w:p w14:paraId="2170A7B6"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9DEA87C" w14:textId="77777777" w:rsidR="004B2E7C" w:rsidRPr="005275DF" w:rsidRDefault="004B2E7C" w:rsidP="00434A6A">
      <w:pPr>
        <w:rPr>
          <w:rFonts w:asciiTheme="minorBidi" w:hAnsiTheme="minorBidi"/>
          <w:rtl/>
        </w:rPr>
      </w:pPr>
      <w:r w:rsidRPr="005275DF">
        <w:rPr>
          <w:rFonts w:asciiTheme="minorBidi" w:hAnsiTheme="minorBidi"/>
          <w:rtl/>
        </w:rPr>
        <w:t>אלו הם דברים המוסיפים הבל: פסולת של זיתים או של שומשמין</w:t>
      </w:r>
      <w:r w:rsidRPr="005275DF">
        <w:rPr>
          <w:rStyle w:val="a9"/>
          <w:rFonts w:asciiTheme="minorBidi" w:hAnsiTheme="minorBidi"/>
          <w:rtl/>
        </w:rPr>
        <w:footnoteReference w:id="518"/>
      </w:r>
      <w:r w:rsidRPr="005275DF">
        <w:rPr>
          <w:rFonts w:asciiTheme="minorBidi" w:hAnsiTheme="minorBidi"/>
          <w:rtl/>
        </w:rPr>
        <w:t xml:space="preserve"> וזבל ומלח וסיד וחול, בין לחים בין יבשים, ותבן וזגין ומוכין ועשבים בזמן ששלשתן</w:t>
      </w:r>
      <w:r w:rsidRPr="005275DF">
        <w:rPr>
          <w:rStyle w:val="a9"/>
          <w:rFonts w:asciiTheme="minorBidi" w:hAnsiTheme="minorBidi"/>
          <w:rtl/>
        </w:rPr>
        <w:footnoteReference w:id="519"/>
      </w:r>
      <w:r w:rsidRPr="005275DF">
        <w:rPr>
          <w:rFonts w:asciiTheme="minorBidi" w:hAnsiTheme="minorBidi"/>
          <w:rtl/>
        </w:rPr>
        <w:t xml:space="preserve"> לחין. ואלו דברים שאינם מוסיפים הבל: כסות ופירות וכנפי יונה </w:t>
      </w:r>
      <w:r w:rsidRPr="005275DF">
        <w:rPr>
          <w:rFonts w:asciiTheme="minorBidi" w:hAnsiTheme="minorBidi"/>
          <w:sz w:val="18"/>
          <w:szCs w:val="18"/>
          <w:rtl/>
        </w:rPr>
        <w:t>הגה: או שאר נוצות (מהרר"א בהגהות)</w:t>
      </w:r>
      <w:r w:rsidRPr="005275DF">
        <w:rPr>
          <w:rFonts w:asciiTheme="minorBidi" w:hAnsiTheme="minorBidi"/>
          <w:sz w:val="16"/>
          <w:szCs w:val="16"/>
          <w:rtl/>
        </w:rPr>
        <w:t xml:space="preserve"> </w:t>
      </w:r>
      <w:r w:rsidRPr="005275DF">
        <w:rPr>
          <w:rFonts w:asciiTheme="minorBidi" w:hAnsiTheme="minorBidi"/>
          <w:rtl/>
        </w:rPr>
        <w:t xml:space="preserve">ונעורת של פשתן ונסורת של חרשין </w:t>
      </w:r>
      <w:r w:rsidRPr="005275DF">
        <w:rPr>
          <w:rFonts w:asciiTheme="minorBidi" w:hAnsiTheme="minorBidi"/>
          <w:sz w:val="16"/>
          <w:szCs w:val="16"/>
          <w:rtl/>
        </w:rPr>
        <w:t>(פי' הקש הדק הנופל מן העץ כשמגררים אותו במגירה)</w:t>
      </w:r>
      <w:r w:rsidRPr="005275DF">
        <w:rPr>
          <w:rFonts w:asciiTheme="minorBidi" w:hAnsiTheme="minorBidi"/>
          <w:rtl/>
        </w:rPr>
        <w:t xml:space="preserve">. </w:t>
      </w:r>
      <w:r w:rsidRPr="005275DF">
        <w:rPr>
          <w:rFonts w:asciiTheme="minorBidi" w:hAnsiTheme="minorBidi"/>
          <w:sz w:val="18"/>
          <w:szCs w:val="18"/>
          <w:rtl/>
        </w:rPr>
        <w:t>הגה: י"א דמותר להטמין בסלעים, אף על פי שמוסיפין הבל, דמלתא דלא שכיחא לא גזרו ביה רבנן</w:t>
      </w:r>
      <w:r w:rsidRPr="005275DF">
        <w:rPr>
          <w:rStyle w:val="a9"/>
          <w:rFonts w:asciiTheme="minorBidi" w:hAnsiTheme="minorBidi"/>
          <w:sz w:val="18"/>
          <w:szCs w:val="18"/>
          <w:rtl/>
        </w:rPr>
        <w:footnoteReference w:id="520"/>
      </w:r>
      <w:r w:rsidRPr="005275DF">
        <w:rPr>
          <w:rFonts w:asciiTheme="minorBidi" w:hAnsiTheme="minorBidi"/>
          <w:sz w:val="18"/>
          <w:szCs w:val="18"/>
          <w:rtl/>
        </w:rPr>
        <w:t xml:space="preserve"> (תוס' ומרדכי)</w:t>
      </w:r>
      <w:r w:rsidRPr="005275DF">
        <w:rPr>
          <w:rFonts w:asciiTheme="minorBidi" w:hAnsiTheme="minorBidi"/>
          <w:rtl/>
        </w:rPr>
        <w:t>.</w:t>
      </w:r>
    </w:p>
    <w:p w14:paraId="6DF2A62A" w14:textId="77777777" w:rsidR="004B2E7C" w:rsidRPr="005275DF" w:rsidRDefault="004B2E7C" w:rsidP="00434A6A">
      <w:pPr>
        <w:rPr>
          <w:rFonts w:asciiTheme="minorBidi" w:hAnsiTheme="minorBidi"/>
          <w:rtl/>
        </w:rPr>
      </w:pPr>
      <w:r w:rsidRPr="005275DF">
        <w:rPr>
          <w:rFonts w:asciiTheme="minorBidi" w:hAnsiTheme="minorBidi"/>
          <w:rtl/>
        </w:rPr>
        <w:t xml:space="preserve"> </w:t>
      </w:r>
    </w:p>
    <w:p w14:paraId="10DD82AF"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ד: הטמין ונתגלה, והרוצה להטמינו בדבר אחר.</w:t>
      </w:r>
    </w:p>
    <w:p w14:paraId="1CEB3CEE" w14:textId="77777777" w:rsidR="004B2E7C" w:rsidRPr="005275DF" w:rsidRDefault="004B2E7C" w:rsidP="00434A6A">
      <w:pPr>
        <w:rPr>
          <w:rFonts w:asciiTheme="minorBidi" w:hAnsiTheme="minorBidi"/>
          <w:rtl/>
        </w:rPr>
      </w:pPr>
      <w:r w:rsidRPr="005275DF">
        <w:rPr>
          <w:rFonts w:asciiTheme="minorBidi" w:hAnsiTheme="minorBidi"/>
          <w:b/>
          <w:bCs/>
          <w:rtl/>
        </w:rPr>
        <w:t xml:space="preserve">שבת נא ע"א: </w:t>
      </w:r>
      <w:r w:rsidRPr="005275DF">
        <w:rPr>
          <w:rFonts w:asciiTheme="minorBidi" w:hAnsiTheme="minorBidi"/>
          <w:u w:val="double"/>
          <w:rtl/>
        </w:rPr>
        <w:t>משנה:</w:t>
      </w:r>
      <w:r w:rsidRPr="005275DF">
        <w:rPr>
          <w:rFonts w:asciiTheme="minorBidi" w:hAnsiTheme="minorBidi"/>
          <w:rtl/>
        </w:rPr>
        <w:t xml:space="preserve"> לא כסהו מבעוד יום - לא יכסנו משתחשך, כסהו ונתגלה - מותר לכסותו...      </w:t>
      </w:r>
    </w:p>
    <w:p w14:paraId="078D49A3" w14:textId="77777777" w:rsidR="004B2E7C" w:rsidRPr="005275DF" w:rsidRDefault="004B2E7C" w:rsidP="00434A6A">
      <w:pPr>
        <w:rPr>
          <w:rFonts w:asciiTheme="minorBidi" w:hAnsiTheme="minorBidi"/>
          <w:u w:val="single"/>
          <w:rtl/>
        </w:rPr>
      </w:pPr>
      <w:r w:rsidRPr="005275DF">
        <w:rPr>
          <w:rFonts w:asciiTheme="minorBidi" w:hAnsiTheme="minorBidi"/>
          <w:b/>
          <w:bCs/>
          <w:rtl/>
        </w:rPr>
        <w:t xml:space="preserve">שבת נא ע"א: </w:t>
      </w:r>
      <w:r w:rsidRPr="005275DF">
        <w:rPr>
          <w:rFonts w:asciiTheme="minorBidi" w:hAnsiTheme="minorBidi"/>
          <w:rtl/>
        </w:rPr>
        <w:t xml:space="preserve">תנו רבנן: אף על פי שאמרו אין טומנין אפילו בדבר שאינו מוסיף הבל משחשכה, אם בא להוסיף - מוסיף. כיצד הוא עושה? </w:t>
      </w:r>
      <w:r w:rsidRPr="005275DF">
        <w:rPr>
          <w:rFonts w:asciiTheme="minorBidi" w:hAnsiTheme="minorBidi"/>
          <w:u w:val="single"/>
          <w:rtl/>
        </w:rPr>
        <w:t>רבן שמעון בן גמליאל אומר</w:t>
      </w:r>
      <w:r w:rsidRPr="005275DF">
        <w:rPr>
          <w:rFonts w:asciiTheme="minorBidi" w:hAnsiTheme="minorBidi"/>
          <w:rtl/>
        </w:rPr>
        <w:t>: נוטל את הסדינין ומניח את הגלופקרין</w:t>
      </w:r>
      <w:r w:rsidRPr="005275DF">
        <w:rPr>
          <w:rStyle w:val="a9"/>
          <w:rFonts w:asciiTheme="minorBidi" w:hAnsiTheme="minorBidi"/>
          <w:rtl/>
        </w:rPr>
        <w:footnoteReference w:id="521"/>
      </w:r>
      <w:r w:rsidRPr="005275DF">
        <w:rPr>
          <w:rFonts w:asciiTheme="minorBidi" w:hAnsiTheme="minorBidi"/>
          <w:rtl/>
        </w:rPr>
        <w:t>, או נוטל את הגלופקרין ומניח את הסדינין.</w:t>
      </w:r>
      <w:r w:rsidRPr="005275DF">
        <w:rPr>
          <w:rFonts w:asciiTheme="minorBidi" w:hAnsiTheme="minorBidi"/>
          <w:u w:val="single"/>
          <w:rtl/>
        </w:rPr>
        <w:t xml:space="preserve">  </w:t>
      </w:r>
    </w:p>
    <w:p w14:paraId="524E9727"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C09A210" w14:textId="77777777" w:rsidR="004B2E7C" w:rsidRPr="005275DF" w:rsidRDefault="004B2E7C" w:rsidP="00434A6A">
      <w:pPr>
        <w:rPr>
          <w:rFonts w:asciiTheme="minorBidi" w:hAnsiTheme="minorBidi"/>
          <w:rtl/>
        </w:rPr>
      </w:pPr>
      <w:r w:rsidRPr="005275DF">
        <w:rPr>
          <w:rFonts w:asciiTheme="minorBidi" w:hAnsiTheme="minorBidi"/>
          <w:rtl/>
        </w:rPr>
        <w:t>אף על פי שאין טומנין בשבת אפילו בדבר שאין מוסיף הבל, אם טמן בו מבעוד יום ונתגלה</w:t>
      </w:r>
      <w:r w:rsidRPr="005275DF">
        <w:rPr>
          <w:rStyle w:val="a9"/>
          <w:rFonts w:asciiTheme="minorBidi" w:hAnsiTheme="minorBidi"/>
          <w:rtl/>
        </w:rPr>
        <w:footnoteReference w:id="522"/>
      </w:r>
      <w:r w:rsidRPr="005275DF">
        <w:rPr>
          <w:rFonts w:asciiTheme="minorBidi" w:hAnsiTheme="minorBidi"/>
          <w:rtl/>
        </w:rPr>
        <w:t xml:space="preserve"> משחשיכה, מותר לחזור ולכסותו; וכן אם רצה להוסיף עליו בשבת, מוסיף; וכן אם רוצה ליטלו כולו ולתת אחר במקומו, בין שהראשון חם יותר מהשני בין שהשני חם יותר מהראשון אפילו לא היה מכוסה אלא בסדין יכול ליטלו לכסותו בגלופקרין; והוא שנתבשלה הקדירה כל צרכה; אבל אם אינה מבושלת כל צורכה, אפילו להוסיף על הכיסוי אסור שתוספת זה גורם לה להתבשל</w:t>
      </w:r>
      <w:r w:rsidRPr="005275DF">
        <w:rPr>
          <w:rStyle w:val="a9"/>
          <w:rFonts w:asciiTheme="minorBidi" w:hAnsiTheme="minorBidi"/>
          <w:rtl/>
        </w:rPr>
        <w:footnoteReference w:id="523"/>
      </w:r>
      <w:r w:rsidRPr="005275DF">
        <w:rPr>
          <w:rFonts w:asciiTheme="minorBidi" w:hAnsiTheme="minorBidi"/>
          <w:rtl/>
        </w:rPr>
        <w:t>.</w:t>
      </w:r>
    </w:p>
    <w:p w14:paraId="089B1310" w14:textId="77777777" w:rsidR="004B2E7C" w:rsidRPr="005275DF" w:rsidRDefault="004B2E7C" w:rsidP="00434A6A">
      <w:pPr>
        <w:rPr>
          <w:rFonts w:asciiTheme="minorBidi" w:hAnsiTheme="minorBidi"/>
          <w:rtl/>
        </w:rPr>
      </w:pPr>
      <w:r w:rsidRPr="005275DF">
        <w:rPr>
          <w:rFonts w:asciiTheme="minorBidi" w:hAnsiTheme="minorBidi"/>
          <w:rtl/>
        </w:rPr>
        <w:t xml:space="preserve"> </w:t>
      </w:r>
    </w:p>
    <w:p w14:paraId="4036F8B9"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 xml:space="preserve">סעיף ה: הטמנת הקדירה שהריק אליה את התבשיל. </w:t>
      </w:r>
    </w:p>
    <w:p w14:paraId="17F0959F" w14:textId="77777777" w:rsidR="004B2E7C" w:rsidRPr="005275DF" w:rsidRDefault="004B2E7C" w:rsidP="00434A6A">
      <w:pPr>
        <w:rPr>
          <w:rFonts w:asciiTheme="minorBidi" w:hAnsiTheme="minorBidi"/>
          <w:rtl/>
        </w:rPr>
      </w:pPr>
      <w:r w:rsidRPr="005275DF">
        <w:rPr>
          <w:rFonts w:asciiTheme="minorBidi" w:hAnsiTheme="minorBidi"/>
          <w:b/>
          <w:bCs/>
          <w:rtl/>
        </w:rPr>
        <w:t xml:space="preserve">שבת נא ע"א: </w:t>
      </w:r>
      <w:r w:rsidRPr="005275DF">
        <w:rPr>
          <w:rFonts w:asciiTheme="minorBidi" w:hAnsiTheme="minorBidi"/>
          <w:u w:val="single"/>
          <w:rtl/>
        </w:rPr>
        <w:t>וכן היה רבן שמעון בן גמליאל אומר</w:t>
      </w:r>
      <w:r w:rsidRPr="005275DF">
        <w:rPr>
          <w:rFonts w:asciiTheme="minorBidi" w:hAnsiTheme="minorBidi"/>
          <w:rtl/>
        </w:rPr>
        <w:t>: לא אסרו</w:t>
      </w:r>
      <w:r w:rsidRPr="005275DF">
        <w:rPr>
          <w:rStyle w:val="a9"/>
          <w:rFonts w:asciiTheme="minorBidi" w:hAnsiTheme="minorBidi"/>
          <w:rtl/>
        </w:rPr>
        <w:footnoteReference w:id="524"/>
      </w:r>
      <w:r w:rsidRPr="005275DF">
        <w:rPr>
          <w:rFonts w:asciiTheme="minorBidi" w:hAnsiTheme="minorBidi"/>
          <w:rtl/>
        </w:rPr>
        <w:t xml:space="preserve"> אלא אותו מיחם, אבל פינה ממיחם למיחם - מותר</w:t>
      </w:r>
      <w:r w:rsidRPr="005275DF">
        <w:rPr>
          <w:rStyle w:val="a9"/>
          <w:rFonts w:asciiTheme="minorBidi" w:hAnsiTheme="minorBidi"/>
          <w:rtl/>
        </w:rPr>
        <w:footnoteReference w:id="525"/>
      </w:r>
      <w:r w:rsidRPr="005275DF">
        <w:rPr>
          <w:rFonts w:asciiTheme="minorBidi" w:hAnsiTheme="minorBidi"/>
          <w:rtl/>
        </w:rPr>
        <w:t>. השתא אקורי קא מקיר לה, ארתוחי קא מירתח לה?</w:t>
      </w:r>
    </w:p>
    <w:p w14:paraId="03A8A206"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75C6890" w14:textId="77777777" w:rsidR="004B2E7C" w:rsidRPr="005275DF" w:rsidRDefault="004B2E7C" w:rsidP="00434A6A">
      <w:pPr>
        <w:rPr>
          <w:rFonts w:asciiTheme="minorBidi" w:hAnsiTheme="minorBidi"/>
          <w:rtl/>
        </w:rPr>
      </w:pPr>
      <w:r w:rsidRPr="005275DF">
        <w:rPr>
          <w:rFonts w:asciiTheme="minorBidi" w:hAnsiTheme="minorBidi"/>
          <w:rtl/>
        </w:rPr>
        <w:t>אם פינה התבשיל בשבת מקדירה שנתבשל בה לקדירה אחרת</w:t>
      </w:r>
      <w:r w:rsidRPr="005275DF">
        <w:rPr>
          <w:rStyle w:val="a9"/>
          <w:rFonts w:asciiTheme="minorBidi" w:hAnsiTheme="minorBidi"/>
          <w:rtl/>
        </w:rPr>
        <w:footnoteReference w:id="526"/>
      </w:r>
      <w:r w:rsidRPr="005275DF">
        <w:rPr>
          <w:rFonts w:asciiTheme="minorBidi" w:hAnsiTheme="minorBidi"/>
          <w:rtl/>
        </w:rPr>
        <w:t xml:space="preserve">, מותר להטמינו בדבר שאינו מוסיף הבל. </w:t>
      </w:r>
    </w:p>
    <w:p w14:paraId="2F2458D8" w14:textId="77777777" w:rsidR="004B2E7C" w:rsidRPr="005275DF" w:rsidRDefault="004B2E7C" w:rsidP="00434A6A">
      <w:pPr>
        <w:rPr>
          <w:rFonts w:asciiTheme="minorBidi" w:hAnsiTheme="minorBidi"/>
          <w:rtl/>
        </w:rPr>
      </w:pPr>
    </w:p>
    <w:p w14:paraId="20712C1D"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ו: הטמנת דבר צונן.</w:t>
      </w:r>
    </w:p>
    <w:p w14:paraId="30B61F9D" w14:textId="77777777" w:rsidR="004B2E7C" w:rsidRPr="005275DF" w:rsidRDefault="004B2E7C" w:rsidP="00434A6A">
      <w:pPr>
        <w:rPr>
          <w:rFonts w:asciiTheme="minorBidi" w:hAnsiTheme="minorBidi"/>
          <w:rtl/>
        </w:rPr>
      </w:pPr>
      <w:r w:rsidRPr="005275DF">
        <w:rPr>
          <w:rFonts w:asciiTheme="minorBidi" w:hAnsiTheme="minorBidi"/>
          <w:b/>
          <w:bCs/>
          <w:rtl/>
        </w:rPr>
        <w:t xml:space="preserve">שבת נא ע"א: </w:t>
      </w:r>
      <w:r w:rsidRPr="005275DF">
        <w:rPr>
          <w:rFonts w:asciiTheme="minorBidi" w:hAnsiTheme="minorBidi"/>
          <w:u w:val="double"/>
          <w:rtl/>
        </w:rPr>
        <w:t>משנה:</w:t>
      </w:r>
      <w:r w:rsidRPr="005275DF">
        <w:rPr>
          <w:rFonts w:asciiTheme="minorBidi" w:hAnsiTheme="minorBidi"/>
          <w:rtl/>
        </w:rPr>
        <w:t xml:space="preserve">  לא כסהו... ממלא את הקיתון</w:t>
      </w:r>
      <w:r w:rsidRPr="005275DF">
        <w:rPr>
          <w:rStyle w:val="a9"/>
          <w:rFonts w:asciiTheme="minorBidi" w:hAnsiTheme="minorBidi"/>
          <w:rtl/>
        </w:rPr>
        <w:footnoteReference w:id="527"/>
      </w:r>
      <w:r w:rsidRPr="005275DF">
        <w:rPr>
          <w:rFonts w:asciiTheme="minorBidi" w:hAnsiTheme="minorBidi"/>
          <w:rtl/>
        </w:rPr>
        <w:t xml:space="preserve"> ונותן לתחת הכר או תחת הכסת</w:t>
      </w:r>
      <w:r w:rsidRPr="005275DF">
        <w:rPr>
          <w:rStyle w:val="a9"/>
          <w:rFonts w:asciiTheme="minorBidi" w:hAnsiTheme="minorBidi"/>
          <w:rtl/>
        </w:rPr>
        <w:footnoteReference w:id="528"/>
      </w:r>
      <w:r w:rsidRPr="005275DF">
        <w:rPr>
          <w:rFonts w:asciiTheme="minorBidi" w:hAnsiTheme="minorBidi"/>
          <w:rtl/>
        </w:rPr>
        <w:t xml:space="preserve">. </w:t>
      </w:r>
    </w:p>
    <w:p w14:paraId="55E7A406"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328C59CA" w14:textId="77777777" w:rsidR="004B2E7C" w:rsidRPr="005275DF" w:rsidRDefault="004B2E7C" w:rsidP="00434A6A">
      <w:pPr>
        <w:rPr>
          <w:rFonts w:asciiTheme="minorBidi" w:hAnsiTheme="minorBidi"/>
          <w:rtl/>
        </w:rPr>
      </w:pPr>
      <w:r w:rsidRPr="005275DF">
        <w:rPr>
          <w:rFonts w:asciiTheme="minorBidi" w:hAnsiTheme="minorBidi"/>
          <w:rtl/>
        </w:rPr>
        <w:t xml:space="preserve">מותר להטמין בשבת דבר צונן בדבר שאינו מוסיף הבל כדי שלא יצטנן ביותר או כדי שתפיג צינתו; אבל בדבר המוסיף הבל ואפילו להטמין צונן גמור ואפילו מבעוד יום, נמי אסור. </w:t>
      </w:r>
    </w:p>
    <w:p w14:paraId="4D5D6B88" w14:textId="77777777" w:rsidR="004B2E7C" w:rsidRPr="005275DF" w:rsidRDefault="004B2E7C" w:rsidP="00434A6A">
      <w:pPr>
        <w:rPr>
          <w:rFonts w:asciiTheme="minorBidi" w:hAnsiTheme="minorBidi"/>
          <w:rtl/>
        </w:rPr>
      </w:pPr>
    </w:p>
    <w:p w14:paraId="13F30F62"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ז: הטמנה של תבשיל המבושל כל צורכו.</w:t>
      </w:r>
    </w:p>
    <w:p w14:paraId="6EA1E74F"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433B131" w14:textId="77777777" w:rsidR="004B2E7C" w:rsidRPr="005275DF" w:rsidRDefault="004B2E7C" w:rsidP="00434A6A">
      <w:pPr>
        <w:rPr>
          <w:rFonts w:asciiTheme="minorBidi" w:hAnsiTheme="minorBidi"/>
          <w:rtl/>
        </w:rPr>
      </w:pPr>
      <w:r w:rsidRPr="005275DF">
        <w:rPr>
          <w:rFonts w:asciiTheme="minorBidi" w:hAnsiTheme="minorBidi"/>
          <w:rtl/>
        </w:rPr>
        <w:t>כל היכא דאסרינן הטמנה, אפילו בקדירה מבושלת כל צורכה אסרינן, ואפילו מצטמק ורע לו</w:t>
      </w:r>
      <w:r w:rsidRPr="005275DF">
        <w:rPr>
          <w:rStyle w:val="a9"/>
          <w:rFonts w:asciiTheme="minorBidi" w:hAnsiTheme="minorBidi"/>
          <w:rtl/>
        </w:rPr>
        <w:footnoteReference w:id="529"/>
      </w:r>
      <w:r w:rsidRPr="005275DF">
        <w:rPr>
          <w:rFonts w:asciiTheme="minorBidi" w:hAnsiTheme="minorBidi"/>
          <w:rtl/>
        </w:rPr>
        <w:t xml:space="preserve">. </w:t>
      </w:r>
      <w:r w:rsidRPr="005275DF">
        <w:rPr>
          <w:rFonts w:asciiTheme="minorBidi" w:hAnsiTheme="minorBidi"/>
          <w:sz w:val="18"/>
          <w:szCs w:val="18"/>
          <w:rtl/>
        </w:rPr>
        <w:t xml:space="preserve">הגה: וכן עיקר. ויש מקילין ואומרים דכל שהוא חי לגמרי או נתבשל כל צרכו, מותר בהטמנה כמו בשיהוי, וכמו שנתבאר לעיל סימן רנ"ג. ובמקום שנהגו להקל על פי סברא זו, אין למחות בידם. אבל אין לנהוג כן בשאר מקומות. </w:t>
      </w:r>
    </w:p>
    <w:p w14:paraId="5E21896E" w14:textId="77777777" w:rsidR="004B2E7C" w:rsidRPr="005275DF" w:rsidRDefault="004B2E7C" w:rsidP="00434A6A">
      <w:pPr>
        <w:rPr>
          <w:rFonts w:asciiTheme="minorBidi" w:hAnsiTheme="minorBidi"/>
          <w:rtl/>
        </w:rPr>
      </w:pPr>
    </w:p>
    <w:p w14:paraId="47A218A0"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ח: הטמנה ע"ג דבר המוסיף הבל.</w:t>
      </w:r>
    </w:p>
    <w:p w14:paraId="30979FE5" w14:textId="77777777" w:rsidR="004B2E7C" w:rsidRPr="005275DF" w:rsidRDefault="004B2E7C" w:rsidP="00434A6A">
      <w:pPr>
        <w:rPr>
          <w:rFonts w:asciiTheme="minorBidi" w:hAnsiTheme="minorBidi"/>
          <w:rtl/>
        </w:rPr>
      </w:pPr>
      <w:r w:rsidRPr="005275DF">
        <w:rPr>
          <w:rFonts w:asciiTheme="minorBidi" w:hAnsiTheme="minorBidi"/>
          <w:b/>
          <w:bCs/>
          <w:rtl/>
        </w:rPr>
        <w:t>שבת מז ע"ב:</w:t>
      </w:r>
      <w:r w:rsidRPr="005275DF">
        <w:rPr>
          <w:rFonts w:asciiTheme="minorBidi" w:hAnsiTheme="minorBidi"/>
          <w:rtl/>
        </w:rPr>
        <w:t xml:space="preserve"> </w:t>
      </w:r>
      <w:r w:rsidRPr="005275DF">
        <w:rPr>
          <w:rFonts w:asciiTheme="minorBidi" w:hAnsiTheme="minorBidi"/>
          <w:u w:val="single"/>
          <w:rtl/>
        </w:rPr>
        <w:t>אמר רבי זירא משום חד דבי רבי ינאי</w:t>
      </w:r>
      <w:r w:rsidRPr="005275DF">
        <w:rPr>
          <w:rFonts w:asciiTheme="minorBidi" w:hAnsiTheme="minorBidi"/>
          <w:rtl/>
        </w:rPr>
        <w:t>: קופה שטמן בה</w:t>
      </w:r>
      <w:r w:rsidRPr="005275DF">
        <w:rPr>
          <w:rStyle w:val="a9"/>
          <w:rFonts w:asciiTheme="minorBidi" w:hAnsiTheme="minorBidi"/>
          <w:rtl/>
        </w:rPr>
        <w:footnoteReference w:id="530"/>
      </w:r>
      <w:r w:rsidRPr="005275DF">
        <w:rPr>
          <w:rFonts w:asciiTheme="minorBidi" w:hAnsiTheme="minorBidi"/>
          <w:rtl/>
        </w:rPr>
        <w:t xml:space="preserve"> אסור להניחה על גפת של זיתים.</w:t>
      </w:r>
    </w:p>
    <w:p w14:paraId="43DDF200"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3499D3BA" w14:textId="77777777" w:rsidR="004B2E7C" w:rsidRPr="005275DF" w:rsidRDefault="004B2E7C" w:rsidP="00434A6A">
      <w:pPr>
        <w:rPr>
          <w:rFonts w:asciiTheme="minorBidi" w:hAnsiTheme="minorBidi"/>
          <w:rtl/>
        </w:rPr>
      </w:pPr>
      <w:r w:rsidRPr="005275DF">
        <w:rPr>
          <w:rFonts w:asciiTheme="minorBidi" w:hAnsiTheme="minorBidi"/>
          <w:rtl/>
        </w:rPr>
        <w:t>אף על פי שמותר להשהות קדירה על גבי כירה שיש בה גחלים על פי הדרכים שנתבארו בסימן רנ"ג, אם הוא מכוסה בבגדים אף על פי שהבגדים אינם מוסיפים הבל מחמת עצמן מכל מקום מחמת אש שתחתיהם מוסיף הבל,</w:t>
      </w:r>
      <w:r w:rsidRPr="005275DF">
        <w:rPr>
          <w:rFonts w:asciiTheme="minorBidi" w:hAnsiTheme="minorBidi"/>
          <w:sz w:val="18"/>
          <w:szCs w:val="18"/>
          <w:rtl/>
        </w:rPr>
        <w:t xml:space="preserve"> [</w:t>
      </w:r>
      <w:r w:rsidRPr="005275DF">
        <w:rPr>
          <w:rFonts w:asciiTheme="minorBidi" w:hAnsiTheme="minorBidi"/>
          <w:rtl/>
        </w:rPr>
        <w:t>ואסור]</w:t>
      </w:r>
      <w:r w:rsidRPr="005275DF">
        <w:rPr>
          <w:rStyle w:val="a9"/>
          <w:rFonts w:asciiTheme="minorBidi" w:hAnsiTheme="minorBidi"/>
          <w:rtl/>
        </w:rPr>
        <w:footnoteReference w:id="531"/>
      </w:r>
      <w:r w:rsidRPr="005275DF">
        <w:rPr>
          <w:rFonts w:asciiTheme="minorBidi" w:hAnsiTheme="minorBidi"/>
          <w:rtl/>
        </w:rPr>
        <w:t xml:space="preserve">. ומיהו כל שהוא בענין שאין הבגדים נוגעים בקדירה, אף על פי שיש אש תחתיה כיון שאינו עושה דרך הטמנה, שרי. הילכך היכא שמעמיד קדירה על גבי כירה או כופח שיש בהם גחלים, ואין שולי הקדירה נוגעים בגחלים, שיהוי מקרי ומותר על פי הדרכים שנתבארו בסימן רנ"ג. ואם נתן על הקדירה כלי רחב שאינו נוגע בצדי הקדירה, ונתן בגדים על אותו כלי רחב, מותר דכיון שאין הבגדים נתונים אלא על אותו כלי רחב שאינו נוגע בצדי קדירה, אין כאן הטמנה. וכן מותר להניח הקדירה בתנורים שלנו על ידי שיתן בתוכה חתיכה חיה, והוא שלא תהא הקדירה נוגעת בגחלים, ואף על פי שמכסה פי התנור בבגדים, כיון שאין הבגדים נוגעים בקדירה לאו הטמנה היא, ושרי. </w:t>
      </w:r>
      <w:r w:rsidRPr="005275DF">
        <w:rPr>
          <w:rFonts w:asciiTheme="minorBidi" w:hAnsiTheme="minorBidi"/>
          <w:sz w:val="18"/>
          <w:szCs w:val="18"/>
          <w:rtl/>
        </w:rPr>
        <w:t>הגה: והטמנה שעושין במדינות אלו, שמטמינים בתנור וטחין פי התנור בטיט, שרי לכולי עלמא</w:t>
      </w:r>
      <w:r w:rsidRPr="005275DF">
        <w:rPr>
          <w:rStyle w:val="a9"/>
          <w:rFonts w:asciiTheme="minorBidi" w:hAnsiTheme="minorBidi"/>
          <w:sz w:val="18"/>
          <w:szCs w:val="18"/>
          <w:rtl/>
        </w:rPr>
        <w:footnoteReference w:id="532"/>
      </w:r>
      <w:r w:rsidRPr="005275DF">
        <w:rPr>
          <w:rFonts w:asciiTheme="minorBidi" w:hAnsiTheme="minorBidi"/>
          <w:sz w:val="18"/>
          <w:szCs w:val="18"/>
          <w:rtl/>
        </w:rPr>
        <w:t xml:space="preserve"> (או"ז תרוה"ד סי' ס"ה ואגור), וכמו שנתבאר לעיל סי' רנ"ד, ויתבאר לקמן סוף סי' רנ"ט. ומצוה להטמין לשבת, כדי שיאכל חמין בשבת, כי זהו מכבוד ועונג שבת. וכל מי שאינו מאמין בדברי החכמים ואוסר אכילת חמין בשבת, חיישינן שמא אפיקורס הוא (ר"ן וכל בו)</w:t>
      </w:r>
      <w:r w:rsidRPr="005275DF">
        <w:rPr>
          <w:rFonts w:asciiTheme="minorBidi" w:hAnsiTheme="minorBidi"/>
          <w:rtl/>
        </w:rPr>
        <w:t>.</w:t>
      </w:r>
    </w:p>
    <w:p w14:paraId="0C5C455D" w14:textId="77777777" w:rsidR="004B2E7C" w:rsidRPr="005275DF" w:rsidRDefault="004B2E7C" w:rsidP="00434A6A">
      <w:pPr>
        <w:rPr>
          <w:rFonts w:asciiTheme="minorBidi" w:hAnsiTheme="minorBidi"/>
          <w:rtl/>
        </w:rPr>
      </w:pPr>
    </w:p>
    <w:p w14:paraId="4ADDBC81" w14:textId="77777777" w:rsidR="004B2E7C" w:rsidRPr="005275DF" w:rsidRDefault="004B2E7C" w:rsidP="00434A6A">
      <w:pPr>
        <w:rPr>
          <w:rFonts w:asciiTheme="minorBidi" w:hAnsiTheme="minorBidi"/>
          <w:rtl/>
        </w:rPr>
      </w:pPr>
    </w:p>
    <w:p w14:paraId="379571C9" w14:textId="77777777" w:rsidR="004B2E7C" w:rsidRPr="005275DF" w:rsidRDefault="004B2E7C" w:rsidP="00434A6A">
      <w:pPr>
        <w:rPr>
          <w:rFonts w:asciiTheme="minorBidi" w:hAnsiTheme="minorBidi"/>
          <w:rtl/>
        </w:rPr>
      </w:pPr>
    </w:p>
    <w:p w14:paraId="7B3B0C73" w14:textId="77777777" w:rsidR="004B2E7C" w:rsidRPr="005275DF" w:rsidRDefault="004B2E7C" w:rsidP="00434A6A">
      <w:pPr>
        <w:rPr>
          <w:rFonts w:asciiTheme="minorBidi" w:hAnsiTheme="minorBidi"/>
          <w:rtl/>
        </w:rPr>
      </w:pPr>
    </w:p>
    <w:p w14:paraId="23598F37" w14:textId="77777777" w:rsidR="004B2E7C" w:rsidRPr="005275DF" w:rsidRDefault="004B2E7C" w:rsidP="00434A6A">
      <w:pPr>
        <w:rPr>
          <w:rFonts w:asciiTheme="minorBidi" w:hAnsiTheme="minorBidi"/>
          <w:rtl/>
        </w:rPr>
      </w:pPr>
    </w:p>
    <w:p w14:paraId="3DD7F923" w14:textId="77777777" w:rsidR="004B2E7C" w:rsidRDefault="004B2E7C" w:rsidP="00434A6A">
      <w:pPr>
        <w:pStyle w:val="1"/>
        <w:rPr>
          <w:rFonts w:asciiTheme="minorBidi" w:hAnsiTheme="minorBidi"/>
          <w:rtl/>
        </w:rPr>
        <w:sectPr w:rsidR="004B2E7C" w:rsidSect="00BD29B1">
          <w:headerReference w:type="default" r:id="rId28"/>
          <w:footnotePr>
            <w:numRestart w:val="eachSect"/>
          </w:footnotePr>
          <w:pgSz w:w="11906" w:h="16838"/>
          <w:pgMar w:top="720" w:right="1134" w:bottom="720" w:left="1134" w:header="0" w:footer="0" w:gutter="0"/>
          <w:cols w:space="720"/>
          <w:bidi/>
          <w:rtlGutter/>
          <w:docGrid w:linePitch="360"/>
        </w:sectPr>
      </w:pPr>
    </w:p>
    <w:p w14:paraId="217D8A7C" w14:textId="77777777" w:rsidR="004B2E7C" w:rsidRPr="005275DF" w:rsidRDefault="004B2E7C" w:rsidP="00434A6A">
      <w:pPr>
        <w:pStyle w:val="1"/>
        <w:rPr>
          <w:rFonts w:asciiTheme="minorBidi" w:hAnsiTheme="minorBidi"/>
          <w:rtl/>
        </w:rPr>
      </w:pPr>
      <w:r w:rsidRPr="005275DF">
        <w:rPr>
          <w:rFonts w:asciiTheme="minorBidi" w:hAnsiTheme="minorBidi"/>
          <w:rtl/>
        </w:rPr>
        <w:t>סימן רנח: שמותר להשים ערב שבת דבר קר על קדירה חמה</w:t>
      </w:r>
      <w:r>
        <w:rPr>
          <w:rFonts w:asciiTheme="minorBidi" w:hAnsiTheme="minorBidi" w:hint="cs"/>
          <w:rtl/>
        </w:rPr>
        <w:t>, ובו סעיף אחד</w:t>
      </w:r>
      <w:r w:rsidRPr="005275DF">
        <w:rPr>
          <w:rFonts w:asciiTheme="minorBidi" w:hAnsiTheme="minorBidi"/>
          <w:rtl/>
        </w:rPr>
        <w:t xml:space="preserve">. </w:t>
      </w:r>
    </w:p>
    <w:p w14:paraId="6836778F"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א</w:t>
      </w:r>
    </w:p>
    <w:p w14:paraId="58C8A6D5" w14:textId="1FDFBDDF" w:rsidR="00427E09" w:rsidRDefault="004B2E7C" w:rsidP="00427E09">
      <w:pPr>
        <w:rPr>
          <w:rFonts w:asciiTheme="minorBidi" w:hAnsiTheme="minorBidi"/>
          <w:u w:val="single"/>
          <w:rtl/>
        </w:rPr>
      </w:pPr>
      <w:r w:rsidRPr="005275DF">
        <w:rPr>
          <w:rFonts w:asciiTheme="minorBidi" w:hAnsiTheme="minorBidi"/>
          <w:b/>
          <w:bCs/>
          <w:rtl/>
        </w:rPr>
        <w:t xml:space="preserve">שבת </w:t>
      </w:r>
      <w:r w:rsidR="004E6B36">
        <w:rPr>
          <w:rFonts w:asciiTheme="minorBidi" w:hAnsiTheme="minorBidi" w:hint="cs"/>
          <w:b/>
          <w:bCs/>
          <w:sz w:val="16"/>
          <w:szCs w:val="16"/>
          <w:rtl/>
        </w:rPr>
        <w:t>(ס"פ במה טומנין)</w:t>
      </w:r>
      <w:r w:rsidR="004E6B36">
        <w:rPr>
          <w:rFonts w:asciiTheme="minorBidi" w:hAnsiTheme="minorBidi" w:hint="cs"/>
          <w:b/>
          <w:bCs/>
          <w:rtl/>
        </w:rPr>
        <w:t xml:space="preserve"> </w:t>
      </w:r>
      <w:r w:rsidRPr="005275DF">
        <w:rPr>
          <w:rFonts w:asciiTheme="minorBidi" w:hAnsiTheme="minorBidi"/>
          <w:b/>
          <w:bCs/>
          <w:rtl/>
        </w:rPr>
        <w:t>נא ע"</w:t>
      </w:r>
      <w:r w:rsidR="002E4721">
        <w:rPr>
          <w:rFonts w:asciiTheme="minorBidi" w:hAnsiTheme="minorBidi" w:hint="cs"/>
          <w:b/>
          <w:bCs/>
          <w:rtl/>
        </w:rPr>
        <w:t>א</w:t>
      </w:r>
      <w:r w:rsidRPr="005275DF">
        <w:rPr>
          <w:rFonts w:asciiTheme="minorBidi" w:hAnsiTheme="minorBidi"/>
          <w:b/>
          <w:bCs/>
          <w:rtl/>
        </w:rPr>
        <w:t xml:space="preserve">: </w:t>
      </w:r>
      <w:r w:rsidR="002E4721">
        <w:rPr>
          <w:rFonts w:asciiTheme="minorBidi" w:hAnsiTheme="minorBidi" w:hint="cs"/>
          <w:rtl/>
        </w:rPr>
        <w:t>ת"ר...</w:t>
      </w:r>
      <w:r w:rsidR="002E4721">
        <w:rPr>
          <w:rFonts w:asciiTheme="minorBidi" w:hAnsiTheme="minorBidi" w:hint="cs"/>
          <w:sz w:val="14"/>
          <w:szCs w:val="14"/>
          <w:rtl/>
        </w:rPr>
        <w:t xml:space="preserve"> (נא:)</w:t>
      </w:r>
      <w:r w:rsidR="002E4721">
        <w:rPr>
          <w:rFonts w:asciiTheme="minorBidi" w:hAnsiTheme="minorBidi" w:hint="cs"/>
          <w:rtl/>
        </w:rPr>
        <w:t xml:space="preserve"> </w:t>
      </w:r>
      <w:r w:rsidR="002E4721" w:rsidRPr="002E4721">
        <w:rPr>
          <w:rFonts w:asciiTheme="minorBidi" w:hAnsiTheme="minorBidi" w:hint="cs"/>
          <w:u w:val="single"/>
          <w:rtl/>
        </w:rPr>
        <w:t>רבי יהודה אומר</w:t>
      </w:r>
      <w:r w:rsidR="002E4721">
        <w:rPr>
          <w:rFonts w:asciiTheme="minorBidi" w:hAnsiTheme="minorBidi" w:hint="cs"/>
          <w:rtl/>
        </w:rPr>
        <w:t xml:space="preserve">:... </w:t>
      </w:r>
      <w:r w:rsidRPr="005275DF">
        <w:rPr>
          <w:rFonts w:asciiTheme="minorBidi" w:hAnsiTheme="minorBidi"/>
          <w:rtl/>
        </w:rPr>
        <w:t>מניחין מיחם</w:t>
      </w:r>
      <w:r w:rsidR="00072219">
        <w:rPr>
          <w:rStyle w:val="a9"/>
          <w:rFonts w:asciiTheme="minorBidi" w:hAnsiTheme="minorBidi"/>
          <w:rtl/>
        </w:rPr>
        <w:footnoteReference w:id="533"/>
      </w:r>
      <w:r w:rsidRPr="005275DF">
        <w:rPr>
          <w:rFonts w:asciiTheme="minorBidi" w:hAnsiTheme="minorBidi"/>
          <w:rtl/>
        </w:rPr>
        <w:t xml:space="preserve"> על גבי מיחם</w:t>
      </w:r>
      <w:r w:rsidR="00434A6A">
        <w:rPr>
          <w:rFonts w:asciiTheme="minorBidi" w:hAnsiTheme="minorBidi" w:hint="cs"/>
          <w:rtl/>
        </w:rPr>
        <w:t>,</w:t>
      </w:r>
      <w:r w:rsidRPr="005275DF">
        <w:rPr>
          <w:rFonts w:asciiTheme="minorBidi" w:hAnsiTheme="minorBidi"/>
          <w:rtl/>
        </w:rPr>
        <w:t xml:space="preserve"> וקדרה</w:t>
      </w:r>
      <w:r w:rsidR="00072219">
        <w:rPr>
          <w:rStyle w:val="a9"/>
          <w:rFonts w:asciiTheme="minorBidi" w:hAnsiTheme="minorBidi"/>
          <w:rtl/>
        </w:rPr>
        <w:footnoteReference w:id="534"/>
      </w:r>
      <w:r w:rsidRPr="005275DF">
        <w:rPr>
          <w:rFonts w:asciiTheme="minorBidi" w:hAnsiTheme="minorBidi"/>
          <w:rtl/>
        </w:rPr>
        <w:t xml:space="preserve"> על גבי קדרה</w:t>
      </w:r>
      <w:r w:rsidR="00434A6A">
        <w:rPr>
          <w:rFonts w:asciiTheme="minorBidi" w:hAnsiTheme="minorBidi" w:hint="cs"/>
          <w:rtl/>
        </w:rPr>
        <w:t>,</w:t>
      </w:r>
      <w:r w:rsidRPr="005275DF">
        <w:rPr>
          <w:rFonts w:asciiTheme="minorBidi" w:hAnsiTheme="minorBidi"/>
          <w:rtl/>
        </w:rPr>
        <w:t xml:space="preserve"> וקדרה על גבי מיחם</w:t>
      </w:r>
      <w:r w:rsidR="00434A6A">
        <w:rPr>
          <w:rFonts w:asciiTheme="minorBidi" w:hAnsiTheme="minorBidi" w:hint="cs"/>
          <w:rtl/>
        </w:rPr>
        <w:t>,</w:t>
      </w:r>
      <w:r w:rsidRPr="005275DF">
        <w:rPr>
          <w:rFonts w:asciiTheme="minorBidi" w:hAnsiTheme="minorBidi"/>
          <w:rtl/>
        </w:rPr>
        <w:t xml:space="preserve"> [ומיחם</w:t>
      </w:r>
      <w:r w:rsidR="004E6B36">
        <w:rPr>
          <w:rFonts w:asciiTheme="minorBidi" w:hAnsiTheme="minorBidi" w:hint="cs"/>
          <w:rtl/>
        </w:rPr>
        <w:t>]</w:t>
      </w:r>
      <w:r w:rsidR="00434A6A" w:rsidRPr="005275DF">
        <w:rPr>
          <w:rStyle w:val="a9"/>
          <w:rFonts w:asciiTheme="minorBidi" w:hAnsiTheme="minorBidi"/>
          <w:rtl/>
        </w:rPr>
        <w:footnoteReference w:id="535"/>
      </w:r>
      <w:r w:rsidRPr="005275DF">
        <w:rPr>
          <w:rFonts w:asciiTheme="minorBidi" w:hAnsiTheme="minorBidi"/>
          <w:rtl/>
        </w:rPr>
        <w:t xml:space="preserve"> על גבי קדרה. וטח את פיה בבצק</w:t>
      </w:r>
      <w:r w:rsidR="00072219">
        <w:rPr>
          <w:rStyle w:val="a9"/>
          <w:rFonts w:asciiTheme="minorBidi" w:hAnsiTheme="minorBidi"/>
          <w:rtl/>
        </w:rPr>
        <w:footnoteReference w:id="536"/>
      </w:r>
      <w:r w:rsidRPr="005275DF">
        <w:rPr>
          <w:rFonts w:asciiTheme="minorBidi" w:hAnsiTheme="minorBidi"/>
          <w:rtl/>
        </w:rPr>
        <w:t>, ולא בשביל שיחמו</w:t>
      </w:r>
      <w:r w:rsidRPr="005275DF">
        <w:rPr>
          <w:rStyle w:val="a9"/>
          <w:rFonts w:asciiTheme="minorBidi" w:hAnsiTheme="minorBidi"/>
          <w:rtl/>
        </w:rPr>
        <w:footnoteReference w:id="537"/>
      </w:r>
      <w:r w:rsidRPr="005275DF">
        <w:rPr>
          <w:rFonts w:asciiTheme="minorBidi" w:hAnsiTheme="minorBidi"/>
          <w:rtl/>
        </w:rPr>
        <w:t xml:space="preserve"> - אלא בשביל שיהיו משומרים</w:t>
      </w:r>
      <w:r w:rsidRPr="005275DF">
        <w:rPr>
          <w:rStyle w:val="a9"/>
          <w:rFonts w:asciiTheme="minorBidi" w:hAnsiTheme="minorBidi"/>
          <w:rtl/>
        </w:rPr>
        <w:footnoteReference w:id="538"/>
      </w:r>
      <w:r w:rsidRPr="005275DF">
        <w:rPr>
          <w:rFonts w:asciiTheme="minorBidi" w:hAnsiTheme="minorBidi"/>
          <w:rtl/>
        </w:rPr>
        <w:t>.</w:t>
      </w:r>
      <w:r w:rsidR="00D440CC">
        <w:rPr>
          <w:rFonts w:asciiTheme="minorBidi" w:hAnsiTheme="minorBidi" w:cs="Arial" w:hint="cs"/>
          <w:sz w:val="16"/>
          <w:szCs w:val="16"/>
          <w:rtl/>
        </w:rPr>
        <w:t xml:space="preserve"> </w:t>
      </w:r>
      <w:r w:rsidR="00D440CC" w:rsidRPr="00D440CC">
        <w:rPr>
          <w:rFonts w:asciiTheme="minorBidi" w:hAnsiTheme="minorBidi" w:cs="Arial" w:hint="cs"/>
          <w:sz w:val="16"/>
          <w:szCs w:val="16"/>
          <w:rtl/>
        </w:rPr>
        <w:t>(</w:t>
      </w:r>
      <w:r w:rsidR="00D440CC" w:rsidRPr="00D440CC">
        <w:rPr>
          <w:rFonts w:asciiTheme="minorBidi" w:hAnsiTheme="minorBidi" w:cs="Arial"/>
          <w:sz w:val="16"/>
          <w:szCs w:val="16"/>
          <w:rtl/>
        </w:rPr>
        <w:t>ואע</w:t>
      </w:r>
      <w:r w:rsidR="00D440CC" w:rsidRPr="00D440CC">
        <w:rPr>
          <w:rFonts w:asciiTheme="minorBidi" w:hAnsiTheme="minorBidi" w:cs="Arial" w:hint="cs"/>
          <w:sz w:val="16"/>
          <w:szCs w:val="16"/>
          <w:rtl/>
        </w:rPr>
        <w:t>"</w:t>
      </w:r>
      <w:r w:rsidR="00D440CC" w:rsidRPr="00D440CC">
        <w:rPr>
          <w:rFonts w:asciiTheme="minorBidi" w:hAnsiTheme="minorBidi" w:cs="Arial"/>
          <w:sz w:val="16"/>
          <w:szCs w:val="16"/>
          <w:rtl/>
        </w:rPr>
        <w:t xml:space="preserve">ג דבנוסחי דידן כתוב </w:t>
      </w:r>
      <w:r w:rsidR="00072219">
        <w:rPr>
          <w:rFonts w:asciiTheme="minorBidi" w:hAnsiTheme="minorBidi" w:cs="Arial" w:hint="cs"/>
          <w:sz w:val="16"/>
          <w:szCs w:val="16"/>
          <w:rtl/>
        </w:rPr>
        <w:t>"</w:t>
      </w:r>
      <w:r w:rsidR="00D440CC" w:rsidRPr="00D440CC">
        <w:rPr>
          <w:rFonts w:asciiTheme="minorBidi" w:hAnsiTheme="minorBidi" w:cs="Arial"/>
          <w:sz w:val="16"/>
          <w:szCs w:val="16"/>
          <w:rtl/>
        </w:rPr>
        <w:t>אבל לא מיחם על גבי קדרה</w:t>
      </w:r>
      <w:r w:rsidR="00072219">
        <w:rPr>
          <w:rFonts w:asciiTheme="minorBidi" w:hAnsiTheme="minorBidi" w:cs="Arial" w:hint="cs"/>
          <w:sz w:val="16"/>
          <w:szCs w:val="16"/>
          <w:rtl/>
        </w:rPr>
        <w:t>",</w:t>
      </w:r>
      <w:r w:rsidR="00D440CC" w:rsidRPr="00D440CC">
        <w:rPr>
          <w:rFonts w:asciiTheme="minorBidi" w:hAnsiTheme="minorBidi" w:cs="Arial"/>
          <w:sz w:val="16"/>
          <w:szCs w:val="16"/>
          <w:rtl/>
        </w:rPr>
        <w:t xml:space="preserve"> כבר כתב רש"י דבתוספתא (פ"ד הי"ד) גרסינן כמו שכתבתי</w:t>
      </w:r>
      <w:r w:rsidR="00D440CC">
        <w:rPr>
          <w:rFonts w:asciiTheme="minorBidi" w:hAnsiTheme="minorBidi" w:cs="Arial" w:hint="cs"/>
          <w:sz w:val="16"/>
          <w:szCs w:val="16"/>
          <w:rtl/>
        </w:rPr>
        <w:t>.</w:t>
      </w:r>
      <w:r w:rsidR="00D440CC" w:rsidRPr="00D440CC">
        <w:rPr>
          <w:rFonts w:asciiTheme="minorBidi" w:hAnsiTheme="minorBidi" w:cs="Arial"/>
          <w:sz w:val="16"/>
          <w:szCs w:val="16"/>
          <w:rtl/>
        </w:rPr>
        <w:t xml:space="preserve"> וכן היא גירסת הרי"ף (כג:) והרא"ש (פ"ד סי' יג)</w:t>
      </w:r>
      <w:r w:rsidR="00D440CC">
        <w:rPr>
          <w:rFonts w:asciiTheme="minorBidi" w:hAnsiTheme="minorBidi" w:cs="Arial" w:hint="cs"/>
          <w:sz w:val="16"/>
          <w:szCs w:val="16"/>
          <w:rtl/>
        </w:rPr>
        <w:t>,</w:t>
      </w:r>
      <w:r w:rsidR="00D440CC" w:rsidRPr="00D440CC">
        <w:rPr>
          <w:rFonts w:asciiTheme="minorBidi" w:hAnsiTheme="minorBidi" w:cs="Arial"/>
          <w:sz w:val="16"/>
          <w:szCs w:val="16"/>
          <w:rtl/>
        </w:rPr>
        <w:t xml:space="preserve"> וכך כתב הרמב"ם בפ"ד (ה"ו)</w:t>
      </w:r>
      <w:r w:rsidR="00D440CC">
        <w:rPr>
          <w:rFonts w:asciiTheme="minorBidi" w:hAnsiTheme="minorBidi" w:cs="Arial" w:hint="cs"/>
          <w:sz w:val="16"/>
          <w:szCs w:val="16"/>
          <w:rtl/>
        </w:rPr>
        <w:t>.</w:t>
      </w:r>
      <w:r w:rsidR="00D440CC" w:rsidRPr="00D440CC">
        <w:rPr>
          <w:rFonts w:asciiTheme="minorBidi" w:hAnsiTheme="minorBidi" w:cs="Arial"/>
          <w:sz w:val="16"/>
          <w:szCs w:val="16"/>
          <w:rtl/>
        </w:rPr>
        <w:t xml:space="preserve"> וזה דעת רבינו שסתם וכתב </w:t>
      </w:r>
      <w:r w:rsidR="00D440CC">
        <w:rPr>
          <w:rFonts w:asciiTheme="minorBidi" w:hAnsiTheme="minorBidi" w:cs="Arial" w:hint="cs"/>
          <w:sz w:val="16"/>
          <w:szCs w:val="16"/>
          <w:rtl/>
        </w:rPr>
        <w:t>"</w:t>
      </w:r>
      <w:r w:rsidR="00D440CC" w:rsidRPr="00D440CC">
        <w:rPr>
          <w:rFonts w:asciiTheme="minorBidi" w:hAnsiTheme="minorBidi" w:cs="Arial"/>
          <w:sz w:val="16"/>
          <w:szCs w:val="16"/>
          <w:rtl/>
        </w:rPr>
        <w:t>כלי שיש בו דבר חם יכול להניחו על הקדרה</w:t>
      </w:r>
      <w:r w:rsidR="00D440CC">
        <w:rPr>
          <w:rFonts w:asciiTheme="minorBidi" w:hAnsiTheme="minorBidi" w:cs="Arial" w:hint="cs"/>
          <w:sz w:val="16"/>
          <w:szCs w:val="16"/>
          <w:rtl/>
        </w:rPr>
        <w:t>",</w:t>
      </w:r>
      <w:r w:rsidR="00D440CC" w:rsidRPr="00D440CC">
        <w:rPr>
          <w:rFonts w:asciiTheme="minorBidi" w:hAnsiTheme="minorBidi" w:cs="Arial"/>
          <w:sz w:val="16"/>
          <w:szCs w:val="16"/>
          <w:rtl/>
        </w:rPr>
        <w:t xml:space="preserve"> כלומר בין מיחם שהוא של נחושת בין קדרה שהיא של חרס </w:t>
      </w:r>
      <w:r w:rsidR="00072219">
        <w:rPr>
          <w:rFonts w:asciiTheme="minorBidi" w:hAnsiTheme="minorBidi" w:cs="Arial" w:hint="cs"/>
          <w:sz w:val="16"/>
          <w:szCs w:val="16"/>
          <w:rtl/>
        </w:rPr>
        <w:t xml:space="preserve">- </w:t>
      </w:r>
      <w:r w:rsidR="00D440CC" w:rsidRPr="00D440CC">
        <w:rPr>
          <w:rFonts w:asciiTheme="minorBidi" w:hAnsiTheme="minorBidi" w:cs="Arial"/>
          <w:sz w:val="16"/>
          <w:szCs w:val="16"/>
          <w:rtl/>
        </w:rPr>
        <w:t>מותר להניח על הקדרה</w:t>
      </w:r>
      <w:r w:rsidR="00D440CC">
        <w:rPr>
          <w:rFonts w:asciiTheme="minorBidi" w:hAnsiTheme="minorBidi" w:cs="Arial" w:hint="cs"/>
          <w:sz w:val="16"/>
          <w:szCs w:val="16"/>
          <w:rtl/>
        </w:rPr>
        <w:t>,</w:t>
      </w:r>
      <w:r w:rsidR="00D440CC" w:rsidRPr="00D440CC">
        <w:rPr>
          <w:rFonts w:asciiTheme="minorBidi" w:hAnsiTheme="minorBidi" w:cs="Arial"/>
          <w:sz w:val="16"/>
          <w:szCs w:val="16"/>
          <w:rtl/>
        </w:rPr>
        <w:t xml:space="preserve"> וכל שכן על גבי מיחם</w:t>
      </w:r>
      <w:r w:rsidR="00D440CC">
        <w:rPr>
          <w:rFonts w:asciiTheme="minorBidi" w:hAnsiTheme="minorBidi" w:cs="Arial" w:hint="cs"/>
          <w:sz w:val="16"/>
          <w:szCs w:val="16"/>
          <w:rtl/>
        </w:rPr>
        <w:t>,</w:t>
      </w:r>
      <w:r w:rsidR="00D440CC" w:rsidRPr="00D440CC">
        <w:rPr>
          <w:rFonts w:asciiTheme="minorBidi" w:hAnsiTheme="minorBidi" w:cs="Arial"/>
          <w:sz w:val="16"/>
          <w:szCs w:val="16"/>
          <w:rtl/>
        </w:rPr>
        <w:t xml:space="preserve"> לאפוקי מנוסחי דידן דאסרי מיחם על גבי קדרה</w:t>
      </w:r>
      <w:r w:rsidR="00D440CC">
        <w:rPr>
          <w:rFonts w:asciiTheme="minorBidi" w:hAnsiTheme="minorBidi" w:cs="Arial" w:hint="cs"/>
          <w:sz w:val="16"/>
          <w:szCs w:val="16"/>
          <w:rtl/>
        </w:rPr>
        <w:t>, ב"י)</w:t>
      </w:r>
    </w:p>
    <w:p w14:paraId="55E22CA6" w14:textId="07563375" w:rsidR="00427E09" w:rsidRDefault="00427E09" w:rsidP="00427E09">
      <w:pPr>
        <w:rPr>
          <w:rtl/>
        </w:rPr>
      </w:pPr>
      <w:r w:rsidRPr="005275DF">
        <w:rPr>
          <w:rFonts w:asciiTheme="minorBidi" w:hAnsiTheme="minorBidi"/>
          <w:b/>
          <w:bCs/>
          <w:rtl/>
        </w:rPr>
        <w:t xml:space="preserve">שבת </w:t>
      </w:r>
      <w:r>
        <w:rPr>
          <w:rFonts w:asciiTheme="minorBidi" w:hAnsiTheme="minorBidi" w:hint="cs"/>
          <w:b/>
          <w:bCs/>
          <w:sz w:val="16"/>
          <w:szCs w:val="16"/>
          <w:rtl/>
        </w:rPr>
        <w:t>(ס"פ במה טומנין)</w:t>
      </w:r>
      <w:r>
        <w:rPr>
          <w:rFonts w:asciiTheme="minorBidi" w:hAnsiTheme="minorBidi" w:hint="cs"/>
          <w:b/>
          <w:bCs/>
          <w:rtl/>
        </w:rPr>
        <w:t xml:space="preserve"> מח</w:t>
      </w:r>
      <w:r w:rsidRPr="005275DF">
        <w:rPr>
          <w:rFonts w:asciiTheme="minorBidi" w:hAnsiTheme="minorBidi"/>
          <w:b/>
          <w:bCs/>
          <w:rtl/>
        </w:rPr>
        <w:t xml:space="preserve"> ע"</w:t>
      </w:r>
      <w:r>
        <w:rPr>
          <w:rFonts w:asciiTheme="minorBidi" w:hAnsiTheme="minorBidi" w:hint="cs"/>
          <w:b/>
          <w:bCs/>
          <w:rtl/>
        </w:rPr>
        <w:t>א</w:t>
      </w:r>
      <w:r w:rsidRPr="005275DF">
        <w:rPr>
          <w:rFonts w:asciiTheme="minorBidi" w:hAnsiTheme="minorBidi"/>
          <w:b/>
          <w:bCs/>
          <w:rtl/>
        </w:rPr>
        <w:t xml:space="preserve">: </w:t>
      </w:r>
      <w:r w:rsidRPr="00427E09">
        <w:rPr>
          <w:rFonts w:cs="Arial"/>
          <w:rtl/>
        </w:rPr>
        <w:t>רבה ורבי זירא איקלעו לבי ריש גלותא, חזיוה לההוא עבדא דאנח כוזא דמיא אפומא דקומקומא</w:t>
      </w:r>
      <w:r>
        <w:rPr>
          <w:rStyle w:val="a9"/>
          <w:rFonts w:cs="Arial"/>
          <w:rtl/>
        </w:rPr>
        <w:footnoteReference w:id="539"/>
      </w:r>
      <w:r w:rsidRPr="00427E09">
        <w:rPr>
          <w:rFonts w:cs="Arial"/>
          <w:rtl/>
        </w:rPr>
        <w:t>, נזהיה</w:t>
      </w:r>
      <w:r>
        <w:rPr>
          <w:rStyle w:val="a9"/>
          <w:rFonts w:cs="Arial"/>
          <w:rtl/>
        </w:rPr>
        <w:footnoteReference w:id="540"/>
      </w:r>
      <w:r w:rsidRPr="00427E09">
        <w:rPr>
          <w:rFonts w:cs="Arial"/>
          <w:rtl/>
        </w:rPr>
        <w:t xml:space="preserve"> רבה. </w:t>
      </w:r>
      <w:r w:rsidRPr="00427E09">
        <w:rPr>
          <w:rFonts w:cs="Arial"/>
          <w:u w:val="single"/>
          <w:rtl/>
        </w:rPr>
        <w:t>אמר ליה רבי זירא</w:t>
      </w:r>
      <w:r w:rsidRPr="00427E09">
        <w:rPr>
          <w:rFonts w:cs="Arial"/>
          <w:rtl/>
        </w:rPr>
        <w:t xml:space="preserve">: מאי שנא ממיחם על גבי מיחם? </w:t>
      </w:r>
      <w:r w:rsidRPr="00427E09">
        <w:rPr>
          <w:rFonts w:cs="Arial"/>
          <w:u w:val="single"/>
          <w:rtl/>
        </w:rPr>
        <w:t>אמר ליה</w:t>
      </w:r>
      <w:r w:rsidRPr="00427E09">
        <w:rPr>
          <w:rFonts w:cs="Arial"/>
          <w:rtl/>
        </w:rPr>
        <w:t>: התם - אוקומי קא מוקים</w:t>
      </w:r>
      <w:r>
        <w:rPr>
          <w:rStyle w:val="a9"/>
          <w:rFonts w:cs="Arial"/>
          <w:rtl/>
        </w:rPr>
        <w:footnoteReference w:id="541"/>
      </w:r>
      <w:r w:rsidRPr="00427E09">
        <w:rPr>
          <w:rFonts w:cs="Arial"/>
          <w:rtl/>
        </w:rPr>
        <w:t>, הכא - אולודי קא מוליד.</w:t>
      </w:r>
      <w:r w:rsidRPr="00427E09">
        <w:rPr>
          <w:rFonts w:asciiTheme="minorBidi" w:hAnsiTheme="minorBidi" w:cs="Arial"/>
          <w:sz w:val="16"/>
          <w:szCs w:val="16"/>
          <w:rtl/>
        </w:rPr>
        <w:t xml:space="preserve"> </w:t>
      </w:r>
      <w:r>
        <w:rPr>
          <w:rFonts w:asciiTheme="minorBidi" w:hAnsiTheme="minorBidi" w:cs="Arial" w:hint="cs"/>
          <w:sz w:val="16"/>
          <w:szCs w:val="16"/>
          <w:rtl/>
        </w:rPr>
        <w:t>(</w:t>
      </w:r>
      <w:r w:rsidRPr="00427E09">
        <w:rPr>
          <w:rFonts w:asciiTheme="minorBidi" w:hAnsiTheme="minorBidi" w:cs="Arial"/>
          <w:sz w:val="16"/>
          <w:szCs w:val="16"/>
          <w:rtl/>
        </w:rPr>
        <w:t>ואע</w:t>
      </w:r>
      <w:r>
        <w:rPr>
          <w:rFonts w:asciiTheme="minorBidi" w:hAnsiTheme="minorBidi" w:cs="Arial" w:hint="cs"/>
          <w:sz w:val="16"/>
          <w:szCs w:val="16"/>
          <w:rtl/>
        </w:rPr>
        <w:t>"</w:t>
      </w:r>
      <w:r w:rsidRPr="00427E09">
        <w:rPr>
          <w:rFonts w:asciiTheme="minorBidi" w:hAnsiTheme="minorBidi" w:cs="Arial"/>
          <w:sz w:val="16"/>
          <w:szCs w:val="16"/>
          <w:rtl/>
        </w:rPr>
        <w:t>פ שמותר להטמין את הצונן כמו שנתבאר בסימן שקודם זה (</w:t>
      </w:r>
      <w:r>
        <w:rPr>
          <w:rFonts w:asciiTheme="minorBidi" w:hAnsiTheme="minorBidi" w:cs="Arial" w:hint="cs"/>
          <w:sz w:val="16"/>
          <w:szCs w:val="16"/>
          <w:rtl/>
        </w:rPr>
        <w:t>סי' רנז סע' ו</w:t>
      </w:r>
      <w:r w:rsidRPr="00427E09">
        <w:rPr>
          <w:rFonts w:asciiTheme="minorBidi" w:hAnsiTheme="minorBidi" w:cs="Arial"/>
          <w:sz w:val="16"/>
          <w:szCs w:val="16"/>
          <w:rtl/>
        </w:rPr>
        <w:t>) היינו דוקא שלא ע"ג מיחם</w:t>
      </w:r>
      <w:r>
        <w:rPr>
          <w:rFonts w:asciiTheme="minorBidi" w:hAnsiTheme="minorBidi" w:cs="Arial" w:hint="cs"/>
          <w:sz w:val="16"/>
          <w:szCs w:val="16"/>
          <w:rtl/>
        </w:rPr>
        <w:t>, ב"י)</w:t>
      </w:r>
    </w:p>
    <w:p w14:paraId="0CFD2ECC" w14:textId="77777777" w:rsidR="00A70B37" w:rsidRPr="00921789" w:rsidRDefault="00A70B37" w:rsidP="00A70B37">
      <w:pPr>
        <w:rPr>
          <w:rFonts w:asciiTheme="minorBidi" w:hAnsiTheme="minorBidi"/>
          <w:u w:val="single"/>
          <w:rtl/>
        </w:rPr>
      </w:pPr>
      <w:r>
        <w:rPr>
          <w:rFonts w:asciiTheme="minorBidi" w:hAnsiTheme="minorBidi" w:hint="cs"/>
          <w:u w:val="single"/>
          <w:rtl/>
        </w:rPr>
        <w:t>הנחת מאכל</w:t>
      </w:r>
      <w:r w:rsidRPr="00921789">
        <w:rPr>
          <w:rFonts w:asciiTheme="minorBidi" w:hAnsiTheme="minorBidi"/>
          <w:u w:val="single"/>
          <w:rtl/>
        </w:rPr>
        <w:t xml:space="preserve"> </w:t>
      </w:r>
      <w:r>
        <w:rPr>
          <w:rFonts w:asciiTheme="minorBidi" w:hAnsiTheme="minorBidi" w:hint="cs"/>
          <w:u w:val="single"/>
          <w:rtl/>
        </w:rPr>
        <w:t>לח</w:t>
      </w:r>
      <w:r w:rsidRPr="00921789">
        <w:rPr>
          <w:rFonts w:asciiTheme="minorBidi" w:hAnsiTheme="minorBidi"/>
          <w:u w:val="single"/>
          <w:rtl/>
        </w:rPr>
        <w:t xml:space="preserve"> </w:t>
      </w:r>
      <w:r>
        <w:rPr>
          <w:rFonts w:asciiTheme="minorBidi" w:hAnsiTheme="minorBidi" w:hint="cs"/>
          <w:u w:val="single"/>
          <w:rtl/>
        </w:rPr>
        <w:t xml:space="preserve">- </w:t>
      </w:r>
      <w:r w:rsidRPr="00921789">
        <w:rPr>
          <w:rFonts w:asciiTheme="minorBidi" w:hAnsiTheme="minorBidi"/>
          <w:u w:val="single"/>
          <w:rtl/>
        </w:rPr>
        <w:t>על קדירה חמה</w:t>
      </w:r>
      <w:r w:rsidRPr="00921789">
        <w:rPr>
          <w:rFonts w:asciiTheme="minorBidi" w:hAnsiTheme="minorBidi" w:hint="cs"/>
          <w:u w:val="single"/>
          <w:rtl/>
        </w:rPr>
        <w:t>:</w:t>
      </w:r>
    </w:p>
    <w:p w14:paraId="67F905B3" w14:textId="50D5A789" w:rsidR="00A70B37" w:rsidRPr="00FA4C27" w:rsidRDefault="00A70B37" w:rsidP="00FF2D21">
      <w:pPr>
        <w:pStyle w:val="aa"/>
        <w:numPr>
          <w:ilvl w:val="0"/>
          <w:numId w:val="151"/>
        </w:numPr>
        <w:rPr>
          <w:rFonts w:asciiTheme="minorBidi" w:hAnsiTheme="minorBidi"/>
        </w:rPr>
      </w:pPr>
      <w:r w:rsidRPr="00921789">
        <w:rPr>
          <w:rFonts w:asciiTheme="minorBidi" w:hAnsiTheme="minorBidi" w:cs="Arial" w:hint="cs"/>
          <w:rtl/>
        </w:rPr>
        <w:t>טור-</w:t>
      </w:r>
      <w:r>
        <w:rPr>
          <w:rFonts w:asciiTheme="minorBidi" w:hAnsiTheme="minorBidi" w:cs="Arial" w:hint="cs"/>
          <w:rtl/>
        </w:rPr>
        <w:t xml:space="preserve"> </w:t>
      </w:r>
      <w:r w:rsidRPr="00921789">
        <w:rPr>
          <w:rFonts w:asciiTheme="minorBidi" w:hAnsiTheme="minorBidi" w:cs="Arial"/>
          <w:rtl/>
        </w:rPr>
        <w:t>כלי שיש בו דבר</w:t>
      </w:r>
      <w:r>
        <w:rPr>
          <w:rStyle w:val="a9"/>
          <w:rFonts w:asciiTheme="minorBidi" w:hAnsiTheme="minorBidi" w:cs="Arial"/>
          <w:rtl/>
        </w:rPr>
        <w:footnoteReference w:id="542"/>
      </w:r>
      <w:r w:rsidRPr="00921789">
        <w:rPr>
          <w:rFonts w:asciiTheme="minorBidi" w:hAnsiTheme="minorBidi" w:cs="Arial"/>
          <w:rtl/>
        </w:rPr>
        <w:t xml:space="preserve"> חם</w:t>
      </w:r>
      <w:r>
        <w:rPr>
          <w:rStyle w:val="a9"/>
          <w:rFonts w:asciiTheme="minorBidi" w:hAnsiTheme="minorBidi" w:cs="Arial"/>
          <w:rtl/>
        </w:rPr>
        <w:footnoteReference w:id="543"/>
      </w:r>
      <w:r w:rsidRPr="00921789">
        <w:rPr>
          <w:rFonts w:asciiTheme="minorBidi" w:hAnsiTheme="minorBidi" w:cs="Arial"/>
          <w:rtl/>
        </w:rPr>
        <w:t xml:space="preserve"> </w:t>
      </w:r>
      <w:r>
        <w:rPr>
          <w:rFonts w:asciiTheme="minorBidi" w:hAnsiTheme="minorBidi" w:cs="Arial" w:hint="cs"/>
          <w:rtl/>
        </w:rPr>
        <w:t xml:space="preserve">- </w:t>
      </w:r>
      <w:r w:rsidRPr="00921789">
        <w:rPr>
          <w:rFonts w:asciiTheme="minorBidi" w:hAnsiTheme="minorBidi" w:cs="Arial"/>
          <w:rtl/>
        </w:rPr>
        <w:t>יכול להניחו על הקדרה טמונה כדי שישמור חומו ולא יצטנן</w:t>
      </w:r>
      <w:r>
        <w:rPr>
          <w:rFonts w:asciiTheme="minorBidi" w:hAnsiTheme="minorBidi" w:cs="Arial" w:hint="cs"/>
          <w:rtl/>
        </w:rPr>
        <w:t>,</w:t>
      </w:r>
      <w:r w:rsidRPr="00921789">
        <w:rPr>
          <w:rFonts w:asciiTheme="minorBidi" w:hAnsiTheme="minorBidi" w:cs="Arial"/>
          <w:rtl/>
        </w:rPr>
        <w:t xml:space="preserve"> ויכול לטוח פיו בבצק אם יש לו בצק שנילש מאתמול</w:t>
      </w:r>
      <w:r>
        <w:rPr>
          <w:rFonts w:asciiTheme="minorBidi" w:hAnsiTheme="minorBidi" w:cs="Arial" w:hint="cs"/>
          <w:rtl/>
        </w:rPr>
        <w:t>.</w:t>
      </w:r>
      <w:r w:rsidRPr="00921789">
        <w:rPr>
          <w:rFonts w:asciiTheme="minorBidi" w:hAnsiTheme="minorBidi" w:cs="Arial"/>
          <w:rtl/>
        </w:rPr>
        <w:t xml:space="preserve"> </w:t>
      </w:r>
      <w:r w:rsidRPr="00FA4C27">
        <w:rPr>
          <w:rFonts w:asciiTheme="minorBidi" w:hAnsiTheme="minorBidi" w:cs="Arial"/>
          <w:rtl/>
        </w:rPr>
        <w:t>אבל אין מניחים כלי שיש בו דבר קר על גבי קדרה חמה בשבת</w:t>
      </w:r>
      <w:r w:rsidRPr="00FA4C27">
        <w:rPr>
          <w:rFonts w:asciiTheme="minorBidi" w:hAnsiTheme="minorBidi" w:cs="Arial" w:hint="cs"/>
          <w:rtl/>
        </w:rPr>
        <w:t>,</w:t>
      </w:r>
      <w:r w:rsidRPr="00FA4C27">
        <w:rPr>
          <w:rFonts w:asciiTheme="minorBidi" w:hAnsiTheme="minorBidi" w:cs="Arial"/>
          <w:rtl/>
        </w:rPr>
        <w:t xml:space="preserve"> שהרי מוליד בו חום בשבת</w:t>
      </w:r>
      <w:r w:rsidRPr="00FA4C27">
        <w:rPr>
          <w:rFonts w:asciiTheme="minorBidi" w:hAnsiTheme="minorBidi" w:cs="Arial" w:hint="cs"/>
          <w:rtl/>
        </w:rPr>
        <w:t>.</w:t>
      </w:r>
      <w:r w:rsidRPr="00FA4C27">
        <w:rPr>
          <w:rFonts w:asciiTheme="minorBidi" w:hAnsiTheme="minorBidi" w:cs="Arial"/>
          <w:rtl/>
        </w:rPr>
        <w:t xml:space="preserve"> ואם הניחו בע"ש </w:t>
      </w:r>
      <w:r w:rsidRPr="00FA4C27">
        <w:rPr>
          <w:rFonts w:asciiTheme="minorBidi" w:hAnsiTheme="minorBidi" w:cs="Arial" w:hint="cs"/>
          <w:rtl/>
        </w:rPr>
        <w:t xml:space="preserve">- </w:t>
      </w:r>
      <w:r w:rsidRPr="00FA4C27">
        <w:rPr>
          <w:rFonts w:asciiTheme="minorBidi" w:hAnsiTheme="minorBidi" w:cs="Arial"/>
          <w:rtl/>
        </w:rPr>
        <w:t>מותר</w:t>
      </w:r>
      <w:r w:rsidRPr="00FA4C27">
        <w:rPr>
          <w:rFonts w:asciiTheme="minorBidi" w:hAnsiTheme="minorBidi" w:cs="Arial" w:hint="cs"/>
          <w:rtl/>
        </w:rPr>
        <w:t>,</w:t>
      </w:r>
      <w:r w:rsidRPr="00FA4C27">
        <w:rPr>
          <w:rFonts w:asciiTheme="minorBidi" w:hAnsiTheme="minorBidi" w:cs="Arial"/>
          <w:rtl/>
        </w:rPr>
        <w:t xml:space="preserve"> שאין זה כטומן בדבר המוסיף הבל</w:t>
      </w:r>
      <w:r>
        <w:rPr>
          <w:rStyle w:val="a9"/>
          <w:rFonts w:asciiTheme="minorBidi" w:hAnsiTheme="minorBidi" w:cs="Arial"/>
          <w:rtl/>
        </w:rPr>
        <w:footnoteReference w:id="544"/>
      </w:r>
      <w:r w:rsidRPr="00FA4C27">
        <w:rPr>
          <w:rFonts w:asciiTheme="minorBidi" w:hAnsiTheme="minorBidi" w:cs="Arial" w:hint="cs"/>
          <w:rtl/>
        </w:rPr>
        <w:t>.</w:t>
      </w:r>
      <w:r w:rsidRPr="00FA4C27">
        <w:rPr>
          <w:rFonts w:asciiTheme="minorBidi" w:hAnsiTheme="minorBidi" w:cs="Arial"/>
          <w:rtl/>
        </w:rPr>
        <w:t xml:space="preserve"> </w:t>
      </w:r>
      <w:r w:rsidRPr="005275DF">
        <w:rPr>
          <w:rFonts w:asciiTheme="minorBidi" w:hAnsiTheme="minorBidi"/>
          <w:color w:val="E36C0A" w:themeColor="accent6" w:themeShade="BF"/>
          <w:rtl/>
        </w:rPr>
        <w:t>(וכ"פ בשו"ע</w:t>
      </w:r>
      <w:r>
        <w:rPr>
          <w:rFonts w:asciiTheme="minorBidi" w:hAnsiTheme="minorBidi" w:hint="cs"/>
          <w:color w:val="E36C0A" w:themeColor="accent6" w:themeShade="BF"/>
          <w:sz w:val="16"/>
          <w:szCs w:val="16"/>
          <w:rtl/>
        </w:rPr>
        <w:t xml:space="preserve"> </w:t>
      </w:r>
      <w:r w:rsidRPr="005F07B2">
        <w:rPr>
          <w:rFonts w:asciiTheme="minorBidi" w:hAnsiTheme="minorBidi" w:hint="cs"/>
          <w:color w:val="000000" w:themeColor="text1"/>
          <w:sz w:val="16"/>
          <w:szCs w:val="16"/>
          <w:rtl/>
        </w:rPr>
        <w:t>[</w:t>
      </w:r>
      <w:r>
        <w:rPr>
          <w:rFonts w:asciiTheme="minorBidi" w:hAnsiTheme="minorBidi" w:hint="cs"/>
          <w:color w:val="000000" w:themeColor="text1"/>
          <w:sz w:val="16"/>
          <w:szCs w:val="16"/>
          <w:rtl/>
        </w:rPr>
        <w:t>כאן ובסי' שיח ס"ו</w:t>
      </w:r>
      <w:r w:rsidRPr="005F07B2">
        <w:rPr>
          <w:rFonts w:asciiTheme="minorBidi" w:hAnsiTheme="minorBidi" w:hint="cs"/>
          <w:color w:val="000000" w:themeColor="text1"/>
          <w:sz w:val="16"/>
          <w:szCs w:val="16"/>
          <w:rtl/>
        </w:rPr>
        <w:t>]</w:t>
      </w:r>
      <w:r w:rsidRPr="005275DF">
        <w:rPr>
          <w:rFonts w:asciiTheme="minorBidi" w:hAnsiTheme="minorBidi"/>
          <w:color w:val="E36C0A" w:themeColor="accent6" w:themeShade="BF"/>
          <w:rtl/>
        </w:rPr>
        <w:t>)</w:t>
      </w:r>
    </w:p>
    <w:p w14:paraId="575C89B4" w14:textId="77777777" w:rsidR="00A70B37" w:rsidRPr="0051273C" w:rsidRDefault="00A70B37" w:rsidP="00A70B37">
      <w:pPr>
        <w:ind w:left="360"/>
        <w:rPr>
          <w:rFonts w:asciiTheme="minorBidi" w:hAnsiTheme="minorBidi"/>
          <w:u w:val="dotted"/>
        </w:rPr>
      </w:pPr>
      <w:r w:rsidRPr="0051273C">
        <w:rPr>
          <w:rFonts w:asciiTheme="minorBidi" w:hAnsiTheme="minorBidi" w:hint="cs"/>
          <w:u w:val="dotted"/>
          <w:rtl/>
        </w:rPr>
        <w:t xml:space="preserve">ומה הדין אם הקדרה התחתונה לא חמה בענין שתוכל לחמם את </w:t>
      </w:r>
      <w:r>
        <w:rPr>
          <w:rFonts w:asciiTheme="minorBidi" w:hAnsiTheme="minorBidi" w:hint="cs"/>
          <w:u w:val="dotted"/>
          <w:rtl/>
        </w:rPr>
        <w:t xml:space="preserve">הדבר הקר </w:t>
      </w:r>
      <w:r w:rsidRPr="0051273C">
        <w:rPr>
          <w:rFonts w:asciiTheme="minorBidi" w:hAnsiTheme="minorBidi" w:hint="cs"/>
          <w:u w:val="dotted"/>
          <w:rtl/>
        </w:rPr>
        <w:t>העליון לכדי יס"ב:</w:t>
      </w:r>
    </w:p>
    <w:p w14:paraId="141BAAE4" w14:textId="4F4D69FF" w:rsidR="00A70B37" w:rsidRPr="00F96B2A" w:rsidRDefault="00A70B37" w:rsidP="00FF2D21">
      <w:pPr>
        <w:pStyle w:val="aa"/>
        <w:numPr>
          <w:ilvl w:val="0"/>
          <w:numId w:val="151"/>
        </w:numPr>
        <w:rPr>
          <w:rFonts w:asciiTheme="minorBidi" w:hAnsiTheme="minorBidi"/>
        </w:rPr>
      </w:pPr>
      <w:r>
        <w:rPr>
          <w:rFonts w:asciiTheme="minorBidi" w:hAnsiTheme="minorBidi" w:cs="Arial" w:hint="cs"/>
          <w:rtl/>
        </w:rPr>
        <w:t>טור</w:t>
      </w:r>
      <w:r>
        <w:rPr>
          <w:rFonts w:asciiTheme="minorBidi" w:hAnsiTheme="minorBidi" w:cs="Arial" w:hint="cs"/>
          <w:sz w:val="16"/>
          <w:szCs w:val="16"/>
          <w:rtl/>
        </w:rPr>
        <w:t xml:space="preserve"> (סי' שיח סע' ו)</w:t>
      </w:r>
      <w:r>
        <w:rPr>
          <w:rFonts w:asciiTheme="minorBidi" w:hAnsiTheme="minorBidi" w:cs="Arial" w:hint="cs"/>
          <w:rtl/>
        </w:rPr>
        <w:t xml:space="preserve">- </w:t>
      </w:r>
      <w:r w:rsidRPr="002065FF">
        <w:rPr>
          <w:rFonts w:asciiTheme="minorBidi" w:hAnsiTheme="minorBidi" w:cs="Arial"/>
          <w:rtl/>
        </w:rPr>
        <w:t>כלי שיש בו תבשיל קר אסור ליתנו ע"ג קדרה הטמונה כדי להתחמם אם הקדרה חמה בענין שהעליון יכול להתבשל</w:t>
      </w:r>
      <w:r>
        <w:rPr>
          <w:rFonts w:asciiTheme="minorBidi" w:hAnsiTheme="minorBidi" w:cs="Arial" w:hint="cs"/>
          <w:rtl/>
        </w:rPr>
        <w:t>,</w:t>
      </w:r>
      <w:r w:rsidRPr="002065FF">
        <w:rPr>
          <w:rFonts w:asciiTheme="minorBidi" w:hAnsiTheme="minorBidi" w:cs="Arial"/>
          <w:rtl/>
        </w:rPr>
        <w:t xml:space="preserve"> ואם אינו יכול להתבשל </w:t>
      </w:r>
      <w:r>
        <w:rPr>
          <w:rFonts w:asciiTheme="minorBidi" w:hAnsiTheme="minorBidi" w:cs="Arial" w:hint="cs"/>
          <w:rtl/>
        </w:rPr>
        <w:t xml:space="preserve">- </w:t>
      </w:r>
      <w:r w:rsidRPr="002065FF">
        <w:rPr>
          <w:rFonts w:asciiTheme="minorBidi" w:hAnsiTheme="minorBidi" w:cs="Arial"/>
          <w:rtl/>
        </w:rPr>
        <w:t>מותר</w:t>
      </w:r>
      <w:r>
        <w:rPr>
          <w:rStyle w:val="a9"/>
          <w:rFonts w:asciiTheme="minorBidi" w:hAnsiTheme="minorBidi" w:cs="Arial"/>
          <w:rtl/>
        </w:rPr>
        <w:footnoteReference w:id="545"/>
      </w:r>
      <w:r w:rsidR="009E3013">
        <w:rPr>
          <w:rFonts w:asciiTheme="minorBidi" w:hAnsiTheme="minorBidi" w:cs="Arial" w:hint="cs"/>
          <w:rtl/>
        </w:rPr>
        <w:t>..</w:t>
      </w:r>
      <w:r>
        <w:rPr>
          <w:rFonts w:asciiTheme="minorBidi" w:hAnsiTheme="minorBidi" w:cs="Arial" w:hint="cs"/>
          <w:rtl/>
        </w:rPr>
        <w:t>.</w:t>
      </w:r>
      <w:r w:rsidRPr="002065FF">
        <w:rPr>
          <w:rFonts w:asciiTheme="minorBidi" w:hAnsiTheme="minorBidi" w:cs="Arial"/>
          <w:rtl/>
        </w:rPr>
        <w:t xml:space="preserve"> </w:t>
      </w:r>
    </w:p>
    <w:p w14:paraId="0477A0E8" w14:textId="77777777" w:rsidR="00A70B37" w:rsidRPr="00B40494" w:rsidRDefault="00A70B37" w:rsidP="00A70B37">
      <w:pPr>
        <w:rPr>
          <w:rFonts w:asciiTheme="minorBidi" w:hAnsiTheme="minorBidi"/>
          <w:u w:val="single"/>
          <w:rtl/>
        </w:rPr>
      </w:pPr>
      <w:r w:rsidRPr="00B40494">
        <w:rPr>
          <w:rFonts w:asciiTheme="minorBidi" w:hAnsiTheme="minorBidi" w:hint="cs"/>
          <w:u w:val="single"/>
          <w:rtl/>
        </w:rPr>
        <w:t>הנחת מאכל</w:t>
      </w:r>
      <w:r>
        <w:rPr>
          <w:rFonts w:asciiTheme="minorBidi" w:hAnsiTheme="minorBidi" w:hint="cs"/>
          <w:u w:val="single"/>
          <w:rtl/>
        </w:rPr>
        <w:t xml:space="preserve"> יבש</w:t>
      </w:r>
      <w:r w:rsidRPr="00B40494">
        <w:rPr>
          <w:rFonts w:asciiTheme="minorBidi" w:hAnsiTheme="minorBidi"/>
          <w:u w:val="single"/>
          <w:rtl/>
        </w:rPr>
        <w:t xml:space="preserve"> </w:t>
      </w:r>
      <w:r w:rsidRPr="00B40494">
        <w:rPr>
          <w:rFonts w:asciiTheme="minorBidi" w:hAnsiTheme="minorBidi" w:hint="cs"/>
          <w:u w:val="single"/>
          <w:rtl/>
        </w:rPr>
        <w:t>קר</w:t>
      </w:r>
      <w:r>
        <w:rPr>
          <w:rFonts w:asciiTheme="minorBidi" w:hAnsiTheme="minorBidi" w:hint="cs"/>
          <w:u w:val="single"/>
          <w:rtl/>
        </w:rPr>
        <w:t xml:space="preserve"> -</w:t>
      </w:r>
      <w:r w:rsidRPr="00B40494">
        <w:rPr>
          <w:rFonts w:asciiTheme="minorBidi" w:hAnsiTheme="minorBidi"/>
          <w:u w:val="single"/>
          <w:rtl/>
        </w:rPr>
        <w:t xml:space="preserve"> על קדירה חמה</w:t>
      </w:r>
      <w:r>
        <w:rPr>
          <w:rFonts w:asciiTheme="minorBidi" w:hAnsiTheme="minorBidi" w:hint="cs"/>
          <w:u w:val="single"/>
          <w:rtl/>
        </w:rPr>
        <w:t xml:space="preserve"> שנמצאת ע"ג האש</w:t>
      </w:r>
      <w:r w:rsidRPr="00B40494">
        <w:rPr>
          <w:rFonts w:asciiTheme="minorBidi" w:hAnsiTheme="minorBidi" w:hint="cs"/>
          <w:u w:val="single"/>
          <w:rtl/>
        </w:rPr>
        <w:t>:</w:t>
      </w:r>
    </w:p>
    <w:p w14:paraId="7C64A0F8" w14:textId="499DCB5E" w:rsidR="00A70B37" w:rsidRDefault="00A70B37" w:rsidP="00FF2D21">
      <w:pPr>
        <w:pStyle w:val="aa"/>
        <w:numPr>
          <w:ilvl w:val="0"/>
          <w:numId w:val="151"/>
        </w:numPr>
        <w:rPr>
          <w:rFonts w:asciiTheme="minorBidi" w:hAnsiTheme="minorBidi" w:cs="Arial"/>
        </w:rPr>
      </w:pPr>
      <w:r w:rsidRPr="00540CB9">
        <w:rPr>
          <w:rFonts w:asciiTheme="minorBidi" w:hAnsiTheme="minorBidi" w:cs="Arial"/>
          <w:rtl/>
        </w:rPr>
        <w:t xml:space="preserve">רשב"א </w:t>
      </w:r>
      <w:r>
        <w:rPr>
          <w:rFonts w:asciiTheme="minorBidi" w:hAnsiTheme="minorBidi" w:cs="Arial" w:hint="cs"/>
          <w:sz w:val="16"/>
          <w:szCs w:val="16"/>
          <w:rtl/>
        </w:rPr>
        <w:t>(כ"כ הה"מ [פכ"ב ה"ד] בשמו)</w:t>
      </w:r>
      <w:r>
        <w:rPr>
          <w:rFonts w:asciiTheme="minorBidi" w:hAnsiTheme="minorBidi" w:cs="Arial" w:hint="cs"/>
          <w:rtl/>
        </w:rPr>
        <w:t xml:space="preserve"> רי"ו</w:t>
      </w:r>
      <w:r>
        <w:rPr>
          <w:rFonts w:asciiTheme="minorBidi" w:hAnsiTheme="minorBidi" w:cs="Arial" w:hint="cs"/>
          <w:sz w:val="16"/>
          <w:szCs w:val="16"/>
          <w:rtl/>
        </w:rPr>
        <w:t xml:space="preserve"> (</w:t>
      </w:r>
      <w:r w:rsidRPr="00540CB9">
        <w:rPr>
          <w:rFonts w:asciiTheme="minorBidi" w:hAnsiTheme="minorBidi" w:cs="Arial"/>
          <w:sz w:val="16"/>
          <w:szCs w:val="16"/>
          <w:rtl/>
        </w:rPr>
        <w:t>ח"ג סט ע"ג</w:t>
      </w:r>
      <w:r>
        <w:rPr>
          <w:rFonts w:asciiTheme="minorBidi" w:hAnsiTheme="minorBidi" w:cs="Arial" w:hint="cs"/>
          <w:sz w:val="16"/>
          <w:szCs w:val="16"/>
          <w:rtl/>
        </w:rPr>
        <w:t>, וכ"כ בשם כמה מהגדולים)</w:t>
      </w:r>
      <w:r w:rsidRPr="00FA4C27">
        <w:rPr>
          <w:rFonts w:asciiTheme="minorBidi" w:hAnsiTheme="minorBidi" w:cs="Arial" w:hint="cs"/>
          <w:rtl/>
        </w:rPr>
        <w:t xml:space="preserve"> </w:t>
      </w:r>
      <w:r>
        <w:rPr>
          <w:rFonts w:asciiTheme="minorBidi" w:hAnsiTheme="minorBidi" w:cs="Arial" w:hint="cs"/>
          <w:rtl/>
        </w:rPr>
        <w:t>ו</w:t>
      </w:r>
      <w:r w:rsidRPr="00540CB9">
        <w:rPr>
          <w:rFonts w:asciiTheme="minorBidi" w:hAnsiTheme="minorBidi" w:cs="Arial"/>
          <w:rtl/>
        </w:rPr>
        <w:t>ר"ן</w:t>
      </w:r>
      <w:r>
        <w:rPr>
          <w:rStyle w:val="a9"/>
          <w:rFonts w:asciiTheme="minorBidi" w:hAnsiTheme="minorBidi" w:cs="Arial"/>
          <w:rtl/>
        </w:rPr>
        <w:footnoteReference w:id="546"/>
      </w:r>
      <w:r>
        <w:rPr>
          <w:rFonts w:asciiTheme="minorBidi" w:hAnsiTheme="minorBidi" w:cs="Arial" w:hint="cs"/>
          <w:sz w:val="16"/>
          <w:szCs w:val="16"/>
          <w:rtl/>
        </w:rPr>
        <w:t xml:space="preserve"> </w:t>
      </w:r>
      <w:r w:rsidRPr="00FA4C27">
        <w:rPr>
          <w:rFonts w:asciiTheme="minorBidi" w:hAnsiTheme="minorBidi" w:cs="Arial"/>
          <w:sz w:val="16"/>
          <w:szCs w:val="16"/>
          <w:rtl/>
        </w:rPr>
        <w:t>(</w:t>
      </w:r>
      <w:r w:rsidRPr="00FA4C27">
        <w:rPr>
          <w:rFonts w:asciiTheme="minorBidi" w:hAnsiTheme="minorBidi" w:cs="Arial" w:hint="cs"/>
          <w:sz w:val="16"/>
          <w:szCs w:val="16"/>
          <w:rtl/>
        </w:rPr>
        <w:t xml:space="preserve">שבת </w:t>
      </w:r>
      <w:r w:rsidRPr="00FA4C27">
        <w:rPr>
          <w:rFonts w:asciiTheme="minorBidi" w:hAnsiTheme="minorBidi" w:cs="Arial"/>
          <w:sz w:val="16"/>
          <w:szCs w:val="16"/>
          <w:rtl/>
        </w:rPr>
        <w:t>יט. ד"ה ת</w:t>
      </w:r>
      <w:r>
        <w:rPr>
          <w:rFonts w:asciiTheme="minorBidi" w:hAnsiTheme="minorBidi" w:cs="Arial" w:hint="cs"/>
          <w:sz w:val="16"/>
          <w:szCs w:val="16"/>
          <w:rtl/>
        </w:rPr>
        <w:t>"</w:t>
      </w:r>
      <w:r w:rsidRPr="00FA4C27">
        <w:rPr>
          <w:rFonts w:asciiTheme="minorBidi" w:hAnsiTheme="minorBidi" w:cs="Arial"/>
          <w:sz w:val="16"/>
          <w:szCs w:val="16"/>
          <w:rtl/>
        </w:rPr>
        <w:t>ר מביא)</w:t>
      </w:r>
      <w:r>
        <w:rPr>
          <w:rFonts w:asciiTheme="minorBidi" w:hAnsiTheme="minorBidi" w:cs="Arial" w:hint="cs"/>
          <w:rtl/>
        </w:rPr>
        <w:t xml:space="preserve">- </w:t>
      </w:r>
      <w:r w:rsidRPr="00540CB9">
        <w:rPr>
          <w:rFonts w:asciiTheme="minorBidi" w:hAnsiTheme="minorBidi" w:cs="Arial"/>
          <w:rtl/>
        </w:rPr>
        <w:t>להניח שום דבר קר שנתבשל כל צרכו ע"ג מיחם שעל גבי האש</w:t>
      </w:r>
      <w:r>
        <w:rPr>
          <w:rFonts w:asciiTheme="minorBidi" w:hAnsiTheme="minorBidi" w:cs="Arial" w:hint="cs"/>
          <w:rtl/>
        </w:rPr>
        <w:t>...</w:t>
      </w:r>
      <w:r w:rsidRPr="00540CB9">
        <w:rPr>
          <w:rFonts w:asciiTheme="minorBidi" w:hAnsiTheme="minorBidi" w:cs="Arial"/>
          <w:rtl/>
        </w:rPr>
        <w:t xml:space="preserve"> </w:t>
      </w:r>
      <w:r>
        <w:rPr>
          <w:rFonts w:asciiTheme="minorBidi" w:hAnsiTheme="minorBidi" w:cs="Arial" w:hint="cs"/>
          <w:rtl/>
        </w:rPr>
        <w:t xml:space="preserve">- </w:t>
      </w:r>
      <w:r w:rsidRPr="00540CB9">
        <w:rPr>
          <w:rFonts w:asciiTheme="minorBidi" w:hAnsiTheme="minorBidi" w:cs="Arial"/>
          <w:rtl/>
        </w:rPr>
        <w:t>דינו כמניחו כנגד המדורה</w:t>
      </w:r>
      <w:r>
        <w:rPr>
          <w:rFonts w:asciiTheme="minorBidi" w:hAnsiTheme="minorBidi" w:cs="Arial" w:hint="cs"/>
          <w:rtl/>
        </w:rPr>
        <w:t>,</w:t>
      </w:r>
      <w:r w:rsidRPr="00540CB9">
        <w:rPr>
          <w:rFonts w:asciiTheme="minorBidi" w:hAnsiTheme="minorBidi" w:cs="Arial"/>
          <w:rtl/>
        </w:rPr>
        <w:t xml:space="preserve"> וכל דבר שמותר להניחו כנגד המדורה במקום שהיד סולדת בו</w:t>
      </w:r>
      <w:r>
        <w:rPr>
          <w:rFonts w:asciiTheme="minorBidi" w:hAnsiTheme="minorBidi" w:cs="Arial" w:hint="cs"/>
          <w:rtl/>
        </w:rPr>
        <w:t>,</w:t>
      </w:r>
      <w:r w:rsidRPr="00540CB9">
        <w:rPr>
          <w:rFonts w:asciiTheme="minorBidi" w:hAnsiTheme="minorBidi" w:cs="Arial"/>
          <w:rtl/>
        </w:rPr>
        <w:t xml:space="preserve"> כגון יבש שכתבתי למעלה </w:t>
      </w:r>
      <w:r>
        <w:rPr>
          <w:rFonts w:asciiTheme="minorBidi" w:hAnsiTheme="minorBidi" w:cs="Arial" w:hint="cs"/>
          <w:rtl/>
        </w:rPr>
        <w:t xml:space="preserve">- </w:t>
      </w:r>
      <w:r w:rsidRPr="00540CB9">
        <w:rPr>
          <w:rFonts w:asciiTheme="minorBidi" w:hAnsiTheme="minorBidi" w:cs="Arial"/>
          <w:rtl/>
        </w:rPr>
        <w:t>מותר להניחו ע"ג מיחם שע"ג האש</w:t>
      </w:r>
      <w:r>
        <w:rPr>
          <w:rStyle w:val="a9"/>
          <w:rFonts w:asciiTheme="minorBidi" w:hAnsiTheme="minorBidi" w:cs="Arial"/>
          <w:rtl/>
        </w:rPr>
        <w:footnoteReference w:id="547"/>
      </w:r>
      <w:r>
        <w:rPr>
          <w:rFonts w:asciiTheme="minorBidi" w:hAnsiTheme="minorBidi" w:cs="Arial" w:hint="cs"/>
          <w:rtl/>
        </w:rPr>
        <w:t>.</w:t>
      </w:r>
      <w:r w:rsidRPr="00540CB9">
        <w:rPr>
          <w:rFonts w:asciiTheme="minorBidi" w:hAnsiTheme="minorBidi" w:cs="Arial"/>
          <w:rtl/>
        </w:rPr>
        <w:t xml:space="preserve"> וכן כתב הרא"ש</w:t>
      </w:r>
      <w:r>
        <w:rPr>
          <w:rStyle w:val="a9"/>
          <w:rFonts w:asciiTheme="minorBidi" w:hAnsiTheme="minorBidi" w:cs="Arial"/>
          <w:rtl/>
        </w:rPr>
        <w:footnoteReference w:id="548"/>
      </w:r>
      <w:r>
        <w:rPr>
          <w:rFonts w:asciiTheme="minorBidi" w:hAnsiTheme="minorBidi" w:cs="Arial" w:hint="cs"/>
          <w:sz w:val="16"/>
          <w:szCs w:val="16"/>
          <w:rtl/>
        </w:rPr>
        <w:t xml:space="preserve"> (ל' רי"ו)</w:t>
      </w:r>
      <w:r>
        <w:rPr>
          <w:rStyle w:val="a9"/>
          <w:rFonts w:asciiTheme="minorBidi" w:hAnsiTheme="minorBidi" w:cs="Arial"/>
          <w:rtl/>
        </w:rPr>
        <w:footnoteReference w:id="549"/>
      </w:r>
      <w:r>
        <w:rPr>
          <w:rFonts w:asciiTheme="minorBidi" w:hAnsiTheme="minorBidi" w:cs="Arial" w:hint="cs"/>
          <w:rtl/>
        </w:rPr>
        <w:t>.</w:t>
      </w:r>
      <w:r w:rsidRPr="00540CB9">
        <w:rPr>
          <w:rFonts w:asciiTheme="minorBidi" w:hAnsiTheme="minorBidi" w:cs="Arial"/>
          <w:rtl/>
        </w:rPr>
        <w:t xml:space="preserve"> </w:t>
      </w:r>
      <w:r w:rsidRPr="005275DF">
        <w:rPr>
          <w:rFonts w:asciiTheme="minorBidi" w:hAnsiTheme="minorBidi"/>
          <w:color w:val="E36C0A" w:themeColor="accent6" w:themeShade="BF"/>
          <w:rtl/>
        </w:rPr>
        <w:t>(וכ"פ בשו"ע</w:t>
      </w:r>
      <w:r>
        <w:rPr>
          <w:rFonts w:asciiTheme="minorBidi" w:hAnsiTheme="minorBidi" w:hint="cs"/>
          <w:color w:val="E36C0A" w:themeColor="accent6" w:themeShade="BF"/>
          <w:sz w:val="16"/>
          <w:szCs w:val="16"/>
          <w:rtl/>
        </w:rPr>
        <w:t xml:space="preserve"> </w:t>
      </w:r>
      <w:r w:rsidRPr="005F07B2">
        <w:rPr>
          <w:rFonts w:asciiTheme="minorBidi" w:hAnsiTheme="minorBidi" w:hint="cs"/>
          <w:color w:val="000000" w:themeColor="text1"/>
          <w:sz w:val="16"/>
          <w:szCs w:val="16"/>
          <w:rtl/>
        </w:rPr>
        <w:t>[</w:t>
      </w:r>
      <w:r>
        <w:rPr>
          <w:rFonts w:asciiTheme="minorBidi" w:hAnsiTheme="minorBidi" w:hint="cs"/>
          <w:color w:val="000000" w:themeColor="text1"/>
          <w:sz w:val="16"/>
          <w:szCs w:val="16"/>
          <w:rtl/>
        </w:rPr>
        <w:t>בסי' שיח סע' ח וסע' טו</w:t>
      </w:r>
      <w:r w:rsidRPr="005F07B2">
        <w:rPr>
          <w:rFonts w:asciiTheme="minorBidi" w:hAnsiTheme="minorBidi" w:hint="cs"/>
          <w:color w:val="000000" w:themeColor="text1"/>
          <w:sz w:val="16"/>
          <w:szCs w:val="16"/>
          <w:rtl/>
        </w:rPr>
        <w:t>]</w:t>
      </w:r>
      <w:r w:rsidRPr="005275DF">
        <w:rPr>
          <w:rFonts w:asciiTheme="minorBidi" w:hAnsiTheme="minorBidi"/>
          <w:color w:val="E36C0A" w:themeColor="accent6" w:themeShade="BF"/>
          <w:rtl/>
        </w:rPr>
        <w:t>)</w:t>
      </w:r>
    </w:p>
    <w:p w14:paraId="3B804F3E" w14:textId="77777777" w:rsidR="00A70B37" w:rsidRPr="00FA4C27" w:rsidRDefault="00A70B37" w:rsidP="00FF2D21">
      <w:pPr>
        <w:pStyle w:val="aa"/>
        <w:numPr>
          <w:ilvl w:val="0"/>
          <w:numId w:val="151"/>
        </w:numPr>
        <w:rPr>
          <w:rFonts w:asciiTheme="minorBidi" w:hAnsiTheme="minorBidi" w:cs="Arial"/>
          <w:rtl/>
        </w:rPr>
      </w:pPr>
      <w:r>
        <w:rPr>
          <w:rFonts w:asciiTheme="minorBidi" w:hAnsiTheme="minorBidi" w:cs="Arial" w:hint="cs"/>
          <w:rtl/>
        </w:rPr>
        <w:t>י"א</w:t>
      </w:r>
      <w:r>
        <w:rPr>
          <w:rFonts w:asciiTheme="minorBidi" w:hAnsiTheme="minorBidi" w:cs="Arial" w:hint="cs"/>
          <w:sz w:val="16"/>
          <w:szCs w:val="16"/>
          <w:rtl/>
        </w:rPr>
        <w:t xml:space="preserve"> (הביאם רי"ו [שם])</w:t>
      </w:r>
      <w:r>
        <w:rPr>
          <w:rFonts w:asciiTheme="minorBidi" w:hAnsiTheme="minorBidi" w:cs="Arial" w:hint="cs"/>
          <w:rtl/>
        </w:rPr>
        <w:t xml:space="preserve">- </w:t>
      </w:r>
      <w:r w:rsidRPr="00540CB9">
        <w:rPr>
          <w:rFonts w:asciiTheme="minorBidi" w:hAnsiTheme="minorBidi" w:cs="Arial"/>
          <w:rtl/>
        </w:rPr>
        <w:t>הוי כמניח ע"ג כירה לכתחלה ואסור אפילו אם נתבשל כל צרכו ואפילו אם מצטמק ורע לו ואפילו אם נותנו שם לשמור חומו</w:t>
      </w:r>
      <w:r>
        <w:rPr>
          <w:rFonts w:asciiTheme="minorBidi" w:hAnsiTheme="minorBidi" w:cs="Arial" w:hint="cs"/>
          <w:rtl/>
        </w:rPr>
        <w:t xml:space="preserve">. </w:t>
      </w:r>
    </w:p>
    <w:p w14:paraId="446CCED2" w14:textId="77777777" w:rsidR="00A70B37" w:rsidRPr="00B40494" w:rsidRDefault="00A70B37" w:rsidP="00A70B37">
      <w:pPr>
        <w:rPr>
          <w:rFonts w:asciiTheme="minorBidi" w:hAnsiTheme="minorBidi"/>
          <w:u w:val="dotted"/>
          <w:rtl/>
        </w:rPr>
      </w:pPr>
      <w:r>
        <w:rPr>
          <w:rFonts w:asciiTheme="minorBidi" w:hAnsiTheme="minorBidi" w:hint="cs"/>
          <w:u w:val="single"/>
          <w:rtl/>
        </w:rPr>
        <w:t>הנחת דבר לח -</w:t>
      </w:r>
      <w:r w:rsidRPr="00B40494">
        <w:rPr>
          <w:rFonts w:asciiTheme="minorBidi" w:hAnsiTheme="minorBidi"/>
          <w:u w:val="single"/>
          <w:rtl/>
        </w:rPr>
        <w:t xml:space="preserve"> על קדירה חמה</w:t>
      </w:r>
      <w:r>
        <w:rPr>
          <w:rFonts w:asciiTheme="minorBidi" w:hAnsiTheme="minorBidi" w:hint="cs"/>
          <w:u w:val="single"/>
          <w:rtl/>
        </w:rPr>
        <w:t xml:space="preserve"> שנמצאת ע"ג האש:</w:t>
      </w:r>
    </w:p>
    <w:p w14:paraId="1D472B34" w14:textId="647D8B95" w:rsidR="00A70B37" w:rsidRDefault="00A70B37" w:rsidP="00FF2D21">
      <w:pPr>
        <w:pStyle w:val="aa"/>
        <w:numPr>
          <w:ilvl w:val="0"/>
          <w:numId w:val="151"/>
        </w:numPr>
        <w:rPr>
          <w:rFonts w:asciiTheme="minorBidi" w:hAnsiTheme="minorBidi" w:cs="Arial"/>
        </w:rPr>
      </w:pPr>
      <w:r>
        <w:rPr>
          <w:rFonts w:asciiTheme="minorBidi" w:hAnsiTheme="minorBidi" w:cs="Arial" w:hint="cs"/>
          <w:rtl/>
        </w:rPr>
        <w:t xml:space="preserve">רי"ו </w:t>
      </w:r>
      <w:r w:rsidRPr="00540CB9">
        <w:rPr>
          <w:rFonts w:asciiTheme="minorBidi" w:hAnsiTheme="minorBidi" w:cs="Arial" w:hint="cs"/>
          <w:sz w:val="16"/>
          <w:szCs w:val="16"/>
          <w:rtl/>
        </w:rPr>
        <w:t>(</w:t>
      </w:r>
      <w:r>
        <w:rPr>
          <w:rFonts w:asciiTheme="minorBidi" w:hAnsiTheme="minorBidi" w:cs="Arial" w:hint="cs"/>
          <w:sz w:val="16"/>
          <w:szCs w:val="16"/>
          <w:rtl/>
        </w:rPr>
        <w:t xml:space="preserve">ני"ב </w:t>
      </w:r>
      <w:r w:rsidRPr="00540CB9">
        <w:rPr>
          <w:rFonts w:asciiTheme="minorBidi" w:hAnsiTheme="minorBidi" w:cs="Arial"/>
          <w:sz w:val="16"/>
          <w:szCs w:val="16"/>
          <w:rtl/>
        </w:rPr>
        <w:t>ח"ג סט ע"ג</w:t>
      </w:r>
      <w:r>
        <w:rPr>
          <w:rFonts w:asciiTheme="minorBidi" w:hAnsiTheme="minorBidi" w:cs="Arial" w:hint="cs"/>
          <w:sz w:val="16"/>
          <w:szCs w:val="16"/>
          <w:rtl/>
        </w:rPr>
        <w:t>-ד</w:t>
      </w:r>
      <w:r w:rsidRPr="00540CB9">
        <w:rPr>
          <w:rFonts w:asciiTheme="minorBidi" w:hAnsiTheme="minorBidi" w:cs="Arial"/>
          <w:sz w:val="16"/>
          <w:szCs w:val="16"/>
          <w:rtl/>
        </w:rPr>
        <w:t>)</w:t>
      </w:r>
      <w:r>
        <w:rPr>
          <w:rFonts w:asciiTheme="minorBidi" w:hAnsiTheme="minorBidi" w:cs="Arial" w:hint="cs"/>
          <w:rtl/>
        </w:rPr>
        <w:t>-</w:t>
      </w:r>
      <w:r w:rsidRPr="00540CB9">
        <w:rPr>
          <w:rFonts w:asciiTheme="minorBidi" w:hAnsiTheme="minorBidi" w:cs="Arial"/>
          <w:rtl/>
        </w:rPr>
        <w:t xml:space="preserve"> </w:t>
      </w:r>
      <w:r w:rsidRPr="00166C47">
        <w:rPr>
          <w:rFonts w:asciiTheme="minorBidi" w:hAnsiTheme="minorBidi" w:cs="Arial"/>
          <w:rtl/>
        </w:rPr>
        <w:t xml:space="preserve">מיחם על גבי מיחם כלומר לשום כלי על גבי כלי אחד שעומד על האש </w:t>
      </w:r>
      <w:r>
        <w:rPr>
          <w:rFonts w:asciiTheme="minorBidi" w:hAnsiTheme="minorBidi" w:cs="Arial" w:hint="cs"/>
          <w:rtl/>
        </w:rPr>
        <w:t xml:space="preserve">- </w:t>
      </w:r>
      <w:r w:rsidRPr="00166C47">
        <w:rPr>
          <w:rFonts w:asciiTheme="minorBidi" w:hAnsiTheme="minorBidi" w:cs="Arial"/>
          <w:rtl/>
        </w:rPr>
        <w:t>מותר</w:t>
      </w:r>
      <w:r>
        <w:rPr>
          <w:rFonts w:asciiTheme="minorBidi" w:hAnsiTheme="minorBidi" w:cs="Arial" w:hint="cs"/>
          <w:rtl/>
        </w:rPr>
        <w:t>,</w:t>
      </w:r>
      <w:r w:rsidRPr="00166C47">
        <w:rPr>
          <w:rFonts w:asciiTheme="minorBidi" w:hAnsiTheme="minorBidi" w:cs="Arial"/>
          <w:rtl/>
        </w:rPr>
        <w:t xml:space="preserve"> ודוקא שהעליון מה שבתוכו חם ומשי</w:t>
      </w:r>
      <w:r>
        <w:rPr>
          <w:rFonts w:asciiTheme="minorBidi" w:hAnsiTheme="minorBidi" w:cs="Arial" w:hint="cs"/>
          <w:rtl/>
        </w:rPr>
        <w:t>ם</w:t>
      </w:r>
      <w:r w:rsidRPr="00166C47">
        <w:rPr>
          <w:rFonts w:asciiTheme="minorBidi" w:hAnsiTheme="minorBidi" w:cs="Arial"/>
          <w:rtl/>
        </w:rPr>
        <w:t xml:space="preserve"> אותו שם לשמור חומו</w:t>
      </w:r>
      <w:r>
        <w:rPr>
          <w:rFonts w:asciiTheme="minorBidi" w:hAnsiTheme="minorBidi" w:cs="Arial" w:hint="cs"/>
          <w:rtl/>
        </w:rPr>
        <w:t>,</w:t>
      </w:r>
      <w:r w:rsidRPr="00166C47">
        <w:rPr>
          <w:rFonts w:asciiTheme="minorBidi" w:hAnsiTheme="minorBidi" w:cs="Arial"/>
          <w:rtl/>
        </w:rPr>
        <w:t xml:space="preserve"> ואם העליו' צונן </w:t>
      </w:r>
      <w:r>
        <w:rPr>
          <w:rFonts w:asciiTheme="minorBidi" w:hAnsiTheme="minorBidi" w:cs="Arial" w:hint="cs"/>
          <w:rtl/>
        </w:rPr>
        <w:t xml:space="preserve">- </w:t>
      </w:r>
      <w:r w:rsidRPr="00166C47">
        <w:rPr>
          <w:rFonts w:asciiTheme="minorBidi" w:hAnsiTheme="minorBidi" w:cs="Arial"/>
          <w:rtl/>
        </w:rPr>
        <w:t>אסור אפילו להפשיר</w:t>
      </w:r>
      <w:r>
        <w:rPr>
          <w:rStyle w:val="a9"/>
          <w:rFonts w:asciiTheme="minorBidi" w:hAnsiTheme="minorBidi" w:cs="Arial"/>
          <w:rtl/>
        </w:rPr>
        <w:footnoteReference w:id="550"/>
      </w:r>
      <w:r>
        <w:rPr>
          <w:rFonts w:asciiTheme="minorBidi" w:hAnsiTheme="minorBidi" w:cs="Arial" w:hint="cs"/>
          <w:rtl/>
        </w:rPr>
        <w:t>.</w:t>
      </w:r>
      <w:r w:rsidRPr="00166C47">
        <w:rPr>
          <w:rFonts w:asciiTheme="minorBidi" w:hAnsiTheme="minorBidi" w:cs="Arial"/>
          <w:rtl/>
        </w:rPr>
        <w:t xml:space="preserve"> </w:t>
      </w:r>
      <w:r w:rsidRPr="005275DF">
        <w:rPr>
          <w:rFonts w:asciiTheme="minorBidi" w:hAnsiTheme="minorBidi"/>
          <w:color w:val="E36C0A" w:themeColor="accent6" w:themeShade="BF"/>
          <w:rtl/>
        </w:rPr>
        <w:t>(וכ"פ בשו"ע</w:t>
      </w:r>
      <w:r w:rsidRPr="00DE434E">
        <w:rPr>
          <w:rStyle w:val="a9"/>
          <w:rFonts w:asciiTheme="minorBidi" w:hAnsiTheme="minorBidi"/>
          <w:color w:val="000000" w:themeColor="text1"/>
          <w:rtl/>
        </w:rPr>
        <w:footnoteReference w:id="551"/>
      </w:r>
      <w:r>
        <w:rPr>
          <w:rFonts w:asciiTheme="minorBidi" w:hAnsiTheme="minorBidi" w:hint="cs"/>
          <w:color w:val="E36C0A" w:themeColor="accent6" w:themeShade="BF"/>
          <w:sz w:val="16"/>
          <w:szCs w:val="16"/>
          <w:rtl/>
        </w:rPr>
        <w:t xml:space="preserve"> </w:t>
      </w:r>
      <w:r w:rsidRPr="005F07B2">
        <w:rPr>
          <w:rFonts w:asciiTheme="minorBidi" w:hAnsiTheme="minorBidi" w:hint="cs"/>
          <w:color w:val="000000" w:themeColor="text1"/>
          <w:sz w:val="16"/>
          <w:szCs w:val="16"/>
          <w:rtl/>
        </w:rPr>
        <w:t>[</w:t>
      </w:r>
      <w:r>
        <w:rPr>
          <w:rFonts w:asciiTheme="minorBidi" w:hAnsiTheme="minorBidi" w:hint="cs"/>
          <w:color w:val="000000" w:themeColor="text1"/>
          <w:sz w:val="16"/>
          <w:szCs w:val="16"/>
          <w:rtl/>
        </w:rPr>
        <w:t>בסי' שיח סע' ז</w:t>
      </w:r>
      <w:r w:rsidRPr="005F07B2">
        <w:rPr>
          <w:rFonts w:asciiTheme="minorBidi" w:hAnsiTheme="minorBidi" w:hint="cs"/>
          <w:color w:val="000000" w:themeColor="text1"/>
          <w:sz w:val="16"/>
          <w:szCs w:val="16"/>
          <w:rtl/>
        </w:rPr>
        <w:t>]</w:t>
      </w:r>
      <w:r w:rsidRPr="005275DF">
        <w:rPr>
          <w:rFonts w:asciiTheme="minorBidi" w:hAnsiTheme="minorBidi"/>
          <w:color w:val="E36C0A" w:themeColor="accent6" w:themeShade="BF"/>
          <w:rtl/>
        </w:rPr>
        <w:t>)</w:t>
      </w:r>
    </w:p>
    <w:p w14:paraId="3134B8D1" w14:textId="4E51265B" w:rsidR="00540CB9" w:rsidRDefault="00A70B37" w:rsidP="00FF2D21">
      <w:pPr>
        <w:pStyle w:val="aa"/>
        <w:numPr>
          <w:ilvl w:val="0"/>
          <w:numId w:val="151"/>
        </w:numPr>
        <w:rPr>
          <w:rFonts w:asciiTheme="minorBidi" w:hAnsiTheme="minorBidi" w:cs="Arial"/>
        </w:rPr>
      </w:pPr>
      <w:r w:rsidRPr="00166C47">
        <w:rPr>
          <w:rFonts w:asciiTheme="minorBidi" w:hAnsiTheme="minorBidi" w:cs="Arial"/>
          <w:rtl/>
        </w:rPr>
        <w:t xml:space="preserve">יש שפירשו </w:t>
      </w:r>
      <w:r>
        <w:rPr>
          <w:rFonts w:asciiTheme="minorBidi" w:hAnsiTheme="minorBidi" w:cs="Arial" w:hint="cs"/>
          <w:sz w:val="16"/>
          <w:szCs w:val="16"/>
          <w:rtl/>
        </w:rPr>
        <w:t>(הביאם רי"ו [שם])</w:t>
      </w:r>
      <w:r>
        <w:rPr>
          <w:rFonts w:asciiTheme="minorBidi" w:hAnsiTheme="minorBidi" w:cs="Arial" w:hint="cs"/>
          <w:rtl/>
        </w:rPr>
        <w:t xml:space="preserve">- </w:t>
      </w:r>
      <w:r w:rsidRPr="00166C47">
        <w:rPr>
          <w:rFonts w:asciiTheme="minorBidi" w:hAnsiTheme="minorBidi" w:cs="Arial"/>
          <w:rtl/>
        </w:rPr>
        <w:t>לעולם מיחם על גבי מיחם אסור אם היא על האש</w:t>
      </w:r>
      <w:r>
        <w:rPr>
          <w:rFonts w:asciiTheme="minorBidi" w:hAnsiTheme="minorBidi" w:cs="Arial" w:hint="cs"/>
          <w:rtl/>
        </w:rPr>
        <w:t>,</w:t>
      </w:r>
      <w:r w:rsidRPr="00166C47">
        <w:rPr>
          <w:rFonts w:asciiTheme="minorBidi" w:hAnsiTheme="minorBidi" w:cs="Arial"/>
          <w:rtl/>
        </w:rPr>
        <w:t xml:space="preserve"> כלומר התחתון</w:t>
      </w:r>
      <w:r>
        <w:rPr>
          <w:rFonts w:asciiTheme="minorBidi" w:hAnsiTheme="minorBidi" w:cs="Arial" w:hint="cs"/>
          <w:rtl/>
        </w:rPr>
        <w:t>,</w:t>
      </w:r>
      <w:r w:rsidRPr="00166C47">
        <w:rPr>
          <w:rFonts w:asciiTheme="minorBidi" w:hAnsiTheme="minorBidi" w:cs="Arial"/>
          <w:rtl/>
        </w:rPr>
        <w:t xml:space="preserve"> דהוי כמניחו לכתחלה</w:t>
      </w:r>
      <w:r>
        <w:rPr>
          <w:rFonts w:asciiTheme="minorBidi" w:hAnsiTheme="minorBidi" w:cs="Arial" w:hint="cs"/>
          <w:rtl/>
        </w:rPr>
        <w:t>,</w:t>
      </w:r>
      <w:r w:rsidRPr="00166C47">
        <w:rPr>
          <w:rFonts w:asciiTheme="minorBidi" w:hAnsiTheme="minorBidi" w:cs="Arial"/>
          <w:rtl/>
        </w:rPr>
        <w:t xml:space="preserve"> וכל דבר שאסור להניח ע"ג כירה לכתחלה בשבת </w:t>
      </w:r>
      <w:r>
        <w:rPr>
          <w:rFonts w:asciiTheme="minorBidi" w:hAnsiTheme="minorBidi" w:cs="Arial" w:hint="cs"/>
          <w:rtl/>
        </w:rPr>
        <w:t xml:space="preserve">- </w:t>
      </w:r>
      <w:r w:rsidRPr="00166C47">
        <w:rPr>
          <w:rFonts w:asciiTheme="minorBidi" w:hAnsiTheme="minorBidi" w:cs="Arial"/>
          <w:rtl/>
        </w:rPr>
        <w:t>אסור להניחו על גבי מיחם שעל גבי האש</w:t>
      </w:r>
      <w:r>
        <w:rPr>
          <w:rFonts w:asciiTheme="minorBidi" w:hAnsiTheme="minorBidi" w:cs="Arial" w:hint="cs"/>
          <w:rtl/>
        </w:rPr>
        <w:t>.</w:t>
      </w:r>
      <w:r w:rsidRPr="00166C47">
        <w:rPr>
          <w:rFonts w:asciiTheme="minorBidi" w:hAnsiTheme="minorBidi" w:cs="Arial"/>
          <w:rtl/>
        </w:rPr>
        <w:t xml:space="preserve"> ומה שאמרנו שמיחם על גבי מיחם מותר</w:t>
      </w:r>
      <w:r>
        <w:rPr>
          <w:rFonts w:asciiTheme="minorBidi" w:hAnsiTheme="minorBidi" w:cs="Arial" w:hint="cs"/>
          <w:rtl/>
        </w:rPr>
        <w:t>,</w:t>
      </w:r>
      <w:r w:rsidRPr="00166C47">
        <w:rPr>
          <w:rFonts w:asciiTheme="minorBidi" w:hAnsiTheme="minorBidi" w:cs="Arial"/>
          <w:rtl/>
        </w:rPr>
        <w:t xml:space="preserve"> דוקא כשסלקו מעל האש</w:t>
      </w:r>
      <w:r>
        <w:rPr>
          <w:rFonts w:asciiTheme="minorBidi" w:hAnsiTheme="minorBidi" w:cs="Arial" w:hint="cs"/>
          <w:rtl/>
        </w:rPr>
        <w:t>.</w:t>
      </w:r>
      <w:r w:rsidR="00921789" w:rsidRPr="00540CB9">
        <w:rPr>
          <w:rFonts w:asciiTheme="minorBidi" w:hAnsiTheme="minorBidi" w:cs="Arial"/>
          <w:rtl/>
        </w:rPr>
        <w:t xml:space="preserve"> </w:t>
      </w:r>
    </w:p>
    <w:p w14:paraId="6109170F"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34C68380" w14:textId="77777777" w:rsidR="004B2E7C" w:rsidRDefault="004B2E7C" w:rsidP="00434A6A">
      <w:pPr>
        <w:rPr>
          <w:rFonts w:asciiTheme="minorBidi" w:hAnsiTheme="minorBidi"/>
          <w:rtl/>
        </w:rPr>
      </w:pPr>
      <w:r w:rsidRPr="005275DF">
        <w:rPr>
          <w:rFonts w:asciiTheme="minorBidi" w:hAnsiTheme="minorBidi"/>
          <w:rtl/>
        </w:rPr>
        <w:t>מותר להניח מבעוד יום כלי שיש בו דבר קר על גבי קדירה חמה</w:t>
      </w:r>
      <w:r w:rsidRPr="005275DF">
        <w:rPr>
          <w:rStyle w:val="a9"/>
          <w:rFonts w:asciiTheme="minorBidi" w:hAnsiTheme="minorBidi"/>
          <w:rtl/>
        </w:rPr>
        <w:footnoteReference w:id="552"/>
      </w:r>
      <w:r w:rsidRPr="005275DF">
        <w:rPr>
          <w:rFonts w:asciiTheme="minorBidi" w:hAnsiTheme="minorBidi"/>
          <w:rtl/>
        </w:rPr>
        <w:t>, שאין זה כטומן בדבר המוסיף הבל</w:t>
      </w:r>
      <w:r w:rsidRPr="005275DF">
        <w:rPr>
          <w:rStyle w:val="a9"/>
          <w:rFonts w:asciiTheme="minorBidi" w:hAnsiTheme="minorBidi"/>
          <w:rtl/>
        </w:rPr>
        <w:footnoteReference w:id="553"/>
      </w:r>
      <w:r w:rsidRPr="005275DF">
        <w:rPr>
          <w:rFonts w:asciiTheme="minorBidi" w:hAnsiTheme="minorBidi"/>
          <w:rtl/>
        </w:rPr>
        <w:t>.</w:t>
      </w:r>
    </w:p>
    <w:p w14:paraId="3EAF924D" w14:textId="77777777" w:rsidR="004B2E7C" w:rsidRPr="005275DF" w:rsidRDefault="004B2E7C" w:rsidP="00434A6A">
      <w:pPr>
        <w:rPr>
          <w:rFonts w:asciiTheme="minorBidi" w:hAnsiTheme="minorBidi"/>
          <w:sz w:val="18"/>
          <w:szCs w:val="18"/>
          <w:rtl/>
        </w:rPr>
      </w:pPr>
    </w:p>
    <w:p w14:paraId="708C74C7" w14:textId="77777777" w:rsidR="004B2E7C" w:rsidRPr="005275DF" w:rsidRDefault="004B2E7C" w:rsidP="00434A6A">
      <w:pPr>
        <w:rPr>
          <w:rFonts w:asciiTheme="minorBidi" w:hAnsiTheme="minorBidi"/>
          <w:sz w:val="18"/>
          <w:szCs w:val="18"/>
          <w:rtl/>
        </w:rPr>
      </w:pPr>
    </w:p>
    <w:p w14:paraId="5768EA35" w14:textId="77777777" w:rsidR="004B2E7C" w:rsidRPr="005275DF" w:rsidRDefault="004B2E7C" w:rsidP="00434A6A">
      <w:pPr>
        <w:rPr>
          <w:rFonts w:asciiTheme="minorBidi" w:hAnsiTheme="minorBidi"/>
          <w:sz w:val="18"/>
          <w:szCs w:val="18"/>
          <w:rtl/>
        </w:rPr>
      </w:pPr>
    </w:p>
    <w:p w14:paraId="6EEDCD17" w14:textId="77777777" w:rsidR="004B2E7C" w:rsidRPr="005275DF" w:rsidRDefault="004B2E7C" w:rsidP="00434A6A">
      <w:pPr>
        <w:rPr>
          <w:rFonts w:asciiTheme="minorBidi" w:hAnsiTheme="minorBidi"/>
          <w:sz w:val="18"/>
          <w:szCs w:val="18"/>
          <w:rtl/>
        </w:rPr>
      </w:pPr>
    </w:p>
    <w:p w14:paraId="33E1E364" w14:textId="77777777" w:rsidR="004B2E7C" w:rsidRDefault="004B2E7C" w:rsidP="00434A6A">
      <w:pPr>
        <w:pStyle w:val="1"/>
        <w:rPr>
          <w:rFonts w:asciiTheme="minorBidi" w:hAnsiTheme="minorBidi"/>
          <w:rtl/>
        </w:rPr>
        <w:sectPr w:rsidR="004B2E7C" w:rsidSect="00BD29B1">
          <w:headerReference w:type="default" r:id="rId29"/>
          <w:footnotePr>
            <w:numRestart w:val="eachSect"/>
          </w:footnotePr>
          <w:pgSz w:w="11906" w:h="16838"/>
          <w:pgMar w:top="720" w:right="1134" w:bottom="720" w:left="1134" w:header="0" w:footer="0" w:gutter="0"/>
          <w:cols w:space="720"/>
          <w:bidi/>
          <w:rtlGutter/>
          <w:docGrid w:linePitch="360"/>
        </w:sectPr>
      </w:pPr>
    </w:p>
    <w:p w14:paraId="7BDD4CDD" w14:textId="77777777" w:rsidR="004B2E7C" w:rsidRPr="005275DF" w:rsidRDefault="004B2E7C" w:rsidP="00434A6A">
      <w:pPr>
        <w:pStyle w:val="1"/>
        <w:rPr>
          <w:rFonts w:asciiTheme="minorBidi" w:hAnsiTheme="minorBidi"/>
          <w:rtl/>
        </w:rPr>
      </w:pPr>
      <w:r w:rsidRPr="005275DF">
        <w:rPr>
          <w:rFonts w:asciiTheme="minorBidi" w:hAnsiTheme="minorBidi"/>
          <w:rtl/>
        </w:rPr>
        <w:t>סימן רנט: כמה דיני הטמנה וטלטולם</w:t>
      </w:r>
      <w:r w:rsidRPr="00CC2350">
        <w:rPr>
          <w:rtl/>
        </w:rPr>
        <w:t>, ובו ז' סעיפים</w:t>
      </w:r>
      <w:r w:rsidRPr="005275DF">
        <w:rPr>
          <w:rFonts w:asciiTheme="minorBidi" w:hAnsiTheme="minorBidi"/>
          <w:rtl/>
        </w:rPr>
        <w:t xml:space="preserve">. </w:t>
      </w:r>
    </w:p>
    <w:p w14:paraId="73DABCCF"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א: טלטול המוכין/הגיזי צמר שטמן בהם.</w:t>
      </w:r>
    </w:p>
    <w:p w14:paraId="298A3B39" w14:textId="77777777" w:rsidR="004B2E7C" w:rsidRPr="005275DF" w:rsidRDefault="004B2E7C" w:rsidP="00434A6A">
      <w:pPr>
        <w:rPr>
          <w:rFonts w:asciiTheme="minorBidi" w:hAnsiTheme="minorBidi"/>
          <w:rtl/>
        </w:rPr>
      </w:pPr>
      <w:r w:rsidRPr="005275DF">
        <w:rPr>
          <w:rFonts w:asciiTheme="minorBidi" w:hAnsiTheme="minorBidi"/>
          <w:b/>
          <w:bCs/>
          <w:rtl/>
        </w:rPr>
        <w:t xml:space="preserve">שבת מח ע"א: </w:t>
      </w:r>
      <w:r w:rsidRPr="005275DF">
        <w:rPr>
          <w:rFonts w:asciiTheme="minorBidi" w:hAnsiTheme="minorBidi"/>
          <w:u w:val="single"/>
          <w:rtl/>
        </w:rPr>
        <w:t>בעא מיניה רב אדא בר מתנה מאביי</w:t>
      </w:r>
      <w:r w:rsidRPr="005275DF">
        <w:rPr>
          <w:rFonts w:asciiTheme="minorBidi" w:hAnsiTheme="minorBidi"/>
          <w:rtl/>
        </w:rPr>
        <w:t xml:space="preserve">: מוכין שטמן בהן, מהו לטלטלן בשבת? </w:t>
      </w:r>
      <w:r w:rsidRPr="005275DF">
        <w:rPr>
          <w:rFonts w:asciiTheme="minorBidi" w:hAnsiTheme="minorBidi"/>
          <w:u w:val="single"/>
          <w:rtl/>
        </w:rPr>
        <w:t>אמר ליה</w:t>
      </w:r>
      <w:r w:rsidRPr="005275DF">
        <w:rPr>
          <w:rFonts w:asciiTheme="minorBidi" w:hAnsiTheme="minorBidi"/>
          <w:rtl/>
        </w:rPr>
        <w:t>: וכי מפני שאין לו קופה של תבן עומד ומפקיר קופה של מוכין</w:t>
      </w:r>
      <w:r w:rsidRPr="005275DF">
        <w:rPr>
          <w:rStyle w:val="a9"/>
          <w:rFonts w:asciiTheme="minorBidi" w:hAnsiTheme="minorBidi"/>
          <w:rtl/>
        </w:rPr>
        <w:footnoteReference w:id="554"/>
      </w:r>
      <w:r w:rsidRPr="005275DF">
        <w:rPr>
          <w:rFonts w:asciiTheme="minorBidi" w:hAnsiTheme="minorBidi"/>
          <w:rtl/>
        </w:rPr>
        <w:t xml:space="preserve">?...        </w:t>
      </w:r>
      <w:r w:rsidRPr="005275DF">
        <w:rPr>
          <w:rFonts w:asciiTheme="minorBidi" w:hAnsiTheme="minorBidi"/>
          <w:u w:val="double"/>
          <w:rtl/>
        </w:rPr>
        <w:t>משנה</w:t>
      </w:r>
      <w:r w:rsidRPr="00195C0A">
        <w:rPr>
          <w:rFonts w:asciiTheme="minorBidi" w:hAnsiTheme="minorBidi"/>
          <w:sz w:val="14"/>
          <w:szCs w:val="14"/>
          <w:u w:val="double"/>
          <w:rtl/>
        </w:rPr>
        <w:t>(מט.)</w:t>
      </w:r>
      <w:r w:rsidRPr="005275DF">
        <w:rPr>
          <w:rFonts w:asciiTheme="minorBidi" w:hAnsiTheme="minorBidi"/>
          <w:u w:val="double"/>
          <w:rtl/>
        </w:rPr>
        <w:t>:</w:t>
      </w:r>
      <w:r w:rsidRPr="005275DF">
        <w:rPr>
          <w:rFonts w:asciiTheme="minorBidi" w:hAnsiTheme="minorBidi"/>
          <w:rtl/>
        </w:rPr>
        <w:t xml:space="preserve"> טומנין בשלחין</w:t>
      </w:r>
      <w:r w:rsidRPr="005275DF">
        <w:rPr>
          <w:rStyle w:val="a9"/>
          <w:rFonts w:asciiTheme="minorBidi" w:hAnsiTheme="minorBidi"/>
          <w:rtl/>
        </w:rPr>
        <w:footnoteReference w:id="555"/>
      </w:r>
      <w:r w:rsidRPr="005275DF">
        <w:rPr>
          <w:rFonts w:asciiTheme="minorBidi" w:hAnsiTheme="minorBidi"/>
          <w:rtl/>
        </w:rPr>
        <w:t xml:space="preserve"> - ומטלטלין אותן, בגיזי צמר - ואין מטלטלין אותן. כיצד הוא עושה? נוטל את הכסוי</w:t>
      </w:r>
      <w:r w:rsidRPr="005275DF">
        <w:rPr>
          <w:rStyle w:val="a9"/>
          <w:rFonts w:asciiTheme="minorBidi" w:hAnsiTheme="minorBidi"/>
          <w:rtl/>
        </w:rPr>
        <w:footnoteReference w:id="556"/>
      </w:r>
      <w:r w:rsidRPr="005275DF">
        <w:rPr>
          <w:rFonts w:asciiTheme="minorBidi" w:hAnsiTheme="minorBidi"/>
          <w:rtl/>
        </w:rPr>
        <w:t xml:space="preserve"> והן נופלות...         </w:t>
      </w:r>
      <w:r w:rsidRPr="005275DF">
        <w:rPr>
          <w:rFonts w:asciiTheme="minorBidi" w:hAnsiTheme="minorBidi"/>
          <w:u w:val="double"/>
          <w:rtl/>
        </w:rPr>
        <w:t>גמ'</w:t>
      </w:r>
      <w:r w:rsidRPr="00195C0A">
        <w:rPr>
          <w:rFonts w:asciiTheme="minorBidi" w:hAnsiTheme="minorBidi"/>
          <w:sz w:val="14"/>
          <w:szCs w:val="14"/>
          <w:u w:val="double"/>
          <w:rtl/>
        </w:rPr>
        <w:t>(מט:)</w:t>
      </w:r>
      <w:r w:rsidRPr="005275DF">
        <w:rPr>
          <w:rFonts w:asciiTheme="minorBidi" w:hAnsiTheme="minorBidi"/>
          <w:u w:val="double"/>
          <w:rtl/>
        </w:rPr>
        <w:t>:</w:t>
      </w:r>
      <w:r w:rsidRPr="005275DF">
        <w:rPr>
          <w:rFonts w:asciiTheme="minorBidi" w:hAnsiTheme="minorBidi"/>
          <w:rtl/>
        </w:rPr>
        <w:t xml:space="preserve"> בגיזי צמר ואין מטלטלין. </w:t>
      </w:r>
      <w:r w:rsidRPr="005275DF">
        <w:rPr>
          <w:rFonts w:asciiTheme="minorBidi" w:hAnsiTheme="minorBidi"/>
          <w:u w:val="single"/>
          <w:rtl/>
        </w:rPr>
        <w:t>אמר רבא</w:t>
      </w:r>
      <w:r w:rsidRPr="005275DF">
        <w:rPr>
          <w:rFonts w:asciiTheme="minorBidi" w:hAnsiTheme="minorBidi"/>
          <w:rtl/>
        </w:rPr>
        <w:t xml:space="preserve">: לא שנו אלא שלא טמן בהן, אבל טמן בהן - מטלטלין אותן. </w:t>
      </w:r>
      <w:r w:rsidRPr="005275DF">
        <w:rPr>
          <w:rFonts w:asciiTheme="minorBidi" w:hAnsiTheme="minorBidi"/>
          <w:u w:val="single"/>
          <w:rtl/>
        </w:rPr>
        <w:t>איתיביה ההוא מרבנן בר יומיה לרבא</w:t>
      </w:r>
      <w:r w:rsidRPr="005275DF">
        <w:rPr>
          <w:rFonts w:asciiTheme="minorBidi" w:hAnsiTheme="minorBidi"/>
          <w:rtl/>
        </w:rPr>
        <w:t xml:space="preserve">: טומנין בגיזי צמר ואין מטלטלין אותן, כיצד הוא עושה? נוטל את הכיסוי והן נופלות! - אלא, אי איתמר הכי איתמר, </w:t>
      </w:r>
      <w:r w:rsidRPr="005275DF">
        <w:rPr>
          <w:rFonts w:asciiTheme="minorBidi" w:hAnsiTheme="minorBidi"/>
          <w:u w:val="single"/>
          <w:rtl/>
        </w:rPr>
        <w:t>אמר רבא</w:t>
      </w:r>
      <w:r w:rsidRPr="005275DF">
        <w:rPr>
          <w:rFonts w:asciiTheme="minorBidi" w:hAnsiTheme="minorBidi"/>
          <w:rtl/>
        </w:rPr>
        <w:t>: לא שנו אלא שלא יחדן להטמנה, אבל יחדן להטמנה</w:t>
      </w:r>
      <w:r w:rsidRPr="005275DF">
        <w:rPr>
          <w:rStyle w:val="a9"/>
          <w:rFonts w:asciiTheme="minorBidi" w:hAnsiTheme="minorBidi"/>
          <w:rtl/>
        </w:rPr>
        <w:footnoteReference w:id="557"/>
      </w:r>
      <w:r w:rsidRPr="005275DF">
        <w:rPr>
          <w:rFonts w:asciiTheme="minorBidi" w:hAnsiTheme="minorBidi"/>
          <w:rtl/>
        </w:rPr>
        <w:t xml:space="preserve"> - מטלטלין אותן.... </w:t>
      </w:r>
      <w:r w:rsidRPr="005275DF">
        <w:rPr>
          <w:rFonts w:asciiTheme="minorBidi" w:hAnsiTheme="minorBidi"/>
          <w:u w:val="single"/>
          <w:rtl/>
        </w:rPr>
        <w:t>רבינא אומר</w:t>
      </w:r>
      <w:r w:rsidRPr="005275DF">
        <w:rPr>
          <w:rFonts w:asciiTheme="minorBidi" w:hAnsiTheme="minorBidi"/>
          <w:rtl/>
        </w:rPr>
        <w:t>:</w:t>
      </w:r>
      <w:r w:rsidRPr="005275DF">
        <w:rPr>
          <w:rStyle w:val="a9"/>
          <w:rFonts w:asciiTheme="minorBidi" w:hAnsiTheme="minorBidi"/>
          <w:rtl/>
        </w:rPr>
        <w:footnoteReference w:id="558"/>
      </w:r>
      <w:r w:rsidRPr="005275DF">
        <w:rPr>
          <w:rFonts w:asciiTheme="minorBidi" w:hAnsiTheme="minorBidi"/>
          <w:rtl/>
        </w:rPr>
        <w:t xml:space="preserve"> בשל הפתק</w:t>
      </w:r>
      <w:r w:rsidRPr="005275DF">
        <w:rPr>
          <w:rStyle w:val="a9"/>
          <w:rFonts w:asciiTheme="minorBidi" w:hAnsiTheme="minorBidi"/>
          <w:rtl/>
        </w:rPr>
        <w:footnoteReference w:id="559"/>
      </w:r>
      <w:r w:rsidRPr="005275DF">
        <w:rPr>
          <w:rFonts w:asciiTheme="minorBidi" w:hAnsiTheme="minorBidi"/>
          <w:rtl/>
        </w:rPr>
        <w:t xml:space="preserve"> שנו. </w:t>
      </w:r>
    </w:p>
    <w:p w14:paraId="370ED472"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EF8F1FB" w14:textId="77777777" w:rsidR="004B2E7C" w:rsidRPr="005275DF" w:rsidRDefault="004B2E7C" w:rsidP="00434A6A">
      <w:pPr>
        <w:rPr>
          <w:rFonts w:asciiTheme="minorBidi" w:hAnsiTheme="minorBidi"/>
          <w:rtl/>
        </w:rPr>
      </w:pPr>
      <w:r w:rsidRPr="005275DF">
        <w:rPr>
          <w:rFonts w:asciiTheme="minorBidi" w:hAnsiTheme="minorBidi"/>
          <w:rtl/>
        </w:rPr>
        <w:t>מוכין שטמן בהם דרך מקרה, אסור לטלטלן אלא מנער הכיסוי והן נופלות; וכגון שמקצתן מגולה, שאין זה טלטול אלא מצדו</w:t>
      </w:r>
      <w:r w:rsidRPr="005275DF">
        <w:rPr>
          <w:rStyle w:val="a9"/>
          <w:rFonts w:asciiTheme="minorBidi" w:hAnsiTheme="minorBidi"/>
          <w:rtl/>
        </w:rPr>
        <w:footnoteReference w:id="560"/>
      </w:r>
      <w:r w:rsidRPr="005275DF">
        <w:rPr>
          <w:rFonts w:asciiTheme="minorBidi" w:hAnsiTheme="minorBidi"/>
          <w:rtl/>
        </w:rPr>
        <w:t>. ואם יחדן לכך</w:t>
      </w:r>
      <w:r w:rsidRPr="005275DF">
        <w:rPr>
          <w:rStyle w:val="a9"/>
          <w:rFonts w:asciiTheme="minorBidi" w:hAnsiTheme="minorBidi"/>
          <w:rtl/>
        </w:rPr>
        <w:footnoteReference w:id="561"/>
      </w:r>
      <w:r w:rsidRPr="005275DF">
        <w:rPr>
          <w:rFonts w:asciiTheme="minorBidi" w:hAnsiTheme="minorBidi"/>
          <w:rtl/>
        </w:rPr>
        <w:t xml:space="preserve"> מותר לטלטלן. אבל אם טמן בגיזי צמר, אפילו לא יחדן לכך מותר לטלטלן. והני מילי סתם גיזין שאין עומדין לסחורה, אבל אם נתנם לאוצר לסחורה צריכין יחוד, ואם טמן בהם בלא יחוד מנער הכיסוי והן נופלות דהיינו לומר שנוטל כיסוי הקדירה שיש תורת כלי עליה, ואף על פי שהם עליה לא איכפת לן, דלא נעשית בסיס להן</w:t>
      </w:r>
      <w:r w:rsidRPr="005275DF">
        <w:rPr>
          <w:rStyle w:val="a9"/>
          <w:rFonts w:asciiTheme="minorBidi" w:hAnsiTheme="minorBidi"/>
          <w:rtl/>
        </w:rPr>
        <w:footnoteReference w:id="562"/>
      </w:r>
      <w:r w:rsidRPr="005275DF">
        <w:rPr>
          <w:rFonts w:asciiTheme="minorBidi" w:hAnsiTheme="minorBidi"/>
          <w:rtl/>
        </w:rPr>
        <w:t xml:space="preserve">. </w:t>
      </w:r>
    </w:p>
    <w:p w14:paraId="3F67F87C" w14:textId="77777777" w:rsidR="004B2E7C" w:rsidRPr="005275DF" w:rsidRDefault="004B2E7C" w:rsidP="00434A6A">
      <w:pPr>
        <w:rPr>
          <w:rFonts w:asciiTheme="minorBidi" w:hAnsiTheme="minorBidi"/>
          <w:rtl/>
        </w:rPr>
      </w:pPr>
    </w:p>
    <w:p w14:paraId="12B47FC5"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ב: טלטול האבנים שטמן בהם.</w:t>
      </w:r>
    </w:p>
    <w:p w14:paraId="3196706D"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363C07D" w14:textId="77777777" w:rsidR="004B2E7C" w:rsidRPr="005275DF" w:rsidRDefault="004B2E7C" w:rsidP="00434A6A">
      <w:pPr>
        <w:rPr>
          <w:rFonts w:asciiTheme="minorBidi" w:hAnsiTheme="minorBidi"/>
          <w:rtl/>
        </w:rPr>
      </w:pPr>
      <w:r w:rsidRPr="005275DF">
        <w:rPr>
          <w:rFonts w:asciiTheme="minorBidi" w:hAnsiTheme="minorBidi"/>
          <w:rtl/>
        </w:rPr>
        <w:t>הנותנים אבנים ולבנים סביב הקדירה צריך שייחדם לכך לעולם</w:t>
      </w:r>
      <w:r w:rsidRPr="005275DF">
        <w:rPr>
          <w:rStyle w:val="a9"/>
          <w:rFonts w:asciiTheme="minorBidi" w:hAnsiTheme="minorBidi"/>
          <w:rtl/>
        </w:rPr>
        <w:footnoteReference w:id="563"/>
      </w:r>
      <w:r w:rsidRPr="005275DF">
        <w:rPr>
          <w:rFonts w:asciiTheme="minorBidi" w:hAnsiTheme="minorBidi"/>
          <w:rtl/>
        </w:rPr>
        <w:t>, שהרי כל זמן שלא יחדן אינם חשובים לו ומשליכן. הילכך אסור לטלטלן, אם לא שיצניעם ומיחדן לכך</w:t>
      </w:r>
      <w:r>
        <w:rPr>
          <w:rStyle w:val="a9"/>
          <w:rFonts w:asciiTheme="minorBidi" w:hAnsiTheme="minorBidi"/>
          <w:rtl/>
        </w:rPr>
        <w:footnoteReference w:id="564"/>
      </w:r>
      <w:r w:rsidRPr="005275DF">
        <w:rPr>
          <w:rFonts w:asciiTheme="minorBidi" w:hAnsiTheme="minorBidi"/>
          <w:rtl/>
        </w:rPr>
        <w:t xml:space="preserve">. </w:t>
      </w:r>
    </w:p>
    <w:p w14:paraId="54DC72C5" w14:textId="77777777" w:rsidR="004B2E7C" w:rsidRPr="005275DF" w:rsidRDefault="004B2E7C" w:rsidP="00434A6A">
      <w:pPr>
        <w:pStyle w:val="af1"/>
        <w:spacing w:after="240" w:line="276" w:lineRule="auto"/>
        <w:jc w:val="left"/>
        <w:rPr>
          <w:rFonts w:asciiTheme="minorBidi" w:hAnsiTheme="minorBidi" w:cstheme="minorBidi"/>
          <w:sz w:val="22"/>
          <w:szCs w:val="22"/>
          <w:rtl/>
        </w:rPr>
      </w:pPr>
    </w:p>
    <w:p w14:paraId="282BD70B"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ג: נטילת קדירה ממקום הטמנתה והחזרתה.</w:t>
      </w:r>
    </w:p>
    <w:p w14:paraId="34E594EB" w14:textId="77777777" w:rsidR="004B2E7C" w:rsidRPr="005275DF" w:rsidRDefault="004B2E7C" w:rsidP="00434A6A">
      <w:pPr>
        <w:rPr>
          <w:rFonts w:asciiTheme="minorBidi" w:hAnsiTheme="minorBidi"/>
          <w:rtl/>
        </w:rPr>
      </w:pPr>
      <w:r w:rsidRPr="005275DF">
        <w:rPr>
          <w:rFonts w:asciiTheme="minorBidi" w:hAnsiTheme="minorBidi"/>
          <w:b/>
          <w:bCs/>
          <w:rtl/>
        </w:rPr>
        <w:t xml:space="preserve">שבת מט ע"א: </w:t>
      </w:r>
      <w:r w:rsidRPr="005275DF">
        <w:rPr>
          <w:rFonts w:asciiTheme="minorBidi" w:hAnsiTheme="minorBidi"/>
          <w:u w:val="double"/>
          <w:rtl/>
        </w:rPr>
        <w:t>משנה:</w:t>
      </w:r>
      <w:r w:rsidRPr="005275DF">
        <w:rPr>
          <w:rFonts w:asciiTheme="minorBidi" w:hAnsiTheme="minorBidi"/>
          <w:rtl/>
        </w:rPr>
        <w:t xml:space="preserve"> טומנין בשלחין .... </w:t>
      </w:r>
      <w:r w:rsidRPr="005275DF">
        <w:rPr>
          <w:rFonts w:asciiTheme="minorBidi" w:hAnsiTheme="minorBidi"/>
          <w:u w:val="single"/>
          <w:rtl/>
        </w:rPr>
        <w:t>רבי אלעזר בן עזריה אומר</w:t>
      </w:r>
      <w:r w:rsidRPr="005275DF">
        <w:rPr>
          <w:rFonts w:asciiTheme="minorBidi" w:hAnsiTheme="minorBidi"/>
          <w:rtl/>
        </w:rPr>
        <w:t>: קופה - מטה על צדה ונוטל</w:t>
      </w:r>
      <w:r w:rsidRPr="005275DF">
        <w:rPr>
          <w:rStyle w:val="a9"/>
          <w:rFonts w:asciiTheme="minorBidi" w:hAnsiTheme="minorBidi"/>
          <w:rtl/>
        </w:rPr>
        <w:footnoteReference w:id="565"/>
      </w:r>
      <w:r w:rsidRPr="005275DF">
        <w:rPr>
          <w:rFonts w:asciiTheme="minorBidi" w:hAnsiTheme="minorBidi"/>
          <w:rtl/>
        </w:rPr>
        <w:t xml:space="preserve">, שמא יטול ואינו יכול להחזיר. </w:t>
      </w:r>
      <w:r w:rsidRPr="005275DF">
        <w:rPr>
          <w:rFonts w:asciiTheme="minorBidi" w:hAnsiTheme="minorBidi"/>
          <w:u w:val="single"/>
          <w:rtl/>
        </w:rPr>
        <w:t>וחכמים אומרים</w:t>
      </w:r>
      <w:r w:rsidRPr="005275DF">
        <w:rPr>
          <w:rFonts w:asciiTheme="minorBidi" w:hAnsiTheme="minorBidi"/>
          <w:rtl/>
        </w:rPr>
        <w:t xml:space="preserve">: נוטל ומחזיר.            </w:t>
      </w:r>
      <w:r w:rsidRPr="005275DF">
        <w:rPr>
          <w:rFonts w:asciiTheme="minorBidi" w:hAnsiTheme="minorBidi"/>
          <w:u w:val="double"/>
          <w:rtl/>
        </w:rPr>
        <w:t>גמ':</w:t>
      </w:r>
      <w:r w:rsidRPr="005275DF">
        <w:rPr>
          <w:rFonts w:asciiTheme="minorBidi" w:hAnsiTheme="minorBidi"/>
          <w:rtl/>
        </w:rPr>
        <w:t xml:space="preserve"> </w:t>
      </w:r>
      <w:r w:rsidRPr="005275DF">
        <w:rPr>
          <w:rFonts w:asciiTheme="minorBidi" w:hAnsiTheme="minorBidi"/>
          <w:u w:val="single"/>
          <w:rtl/>
        </w:rPr>
        <w:t>אמר רבי אבא אמר רבי חייא בר אשי</w:t>
      </w:r>
      <w:r w:rsidRPr="005275DF">
        <w:rPr>
          <w:rFonts w:asciiTheme="minorBidi" w:hAnsiTheme="minorBidi"/>
          <w:rtl/>
        </w:rPr>
        <w:t xml:space="preserve"> (אמר רב): הכל מודים שאם נתקלקלה הגומא - שאסור להחזיר</w:t>
      </w:r>
      <w:r w:rsidRPr="005275DF">
        <w:rPr>
          <w:rStyle w:val="a9"/>
          <w:rFonts w:asciiTheme="minorBidi" w:hAnsiTheme="minorBidi"/>
          <w:rtl/>
        </w:rPr>
        <w:footnoteReference w:id="566"/>
      </w:r>
      <w:r w:rsidRPr="005275DF">
        <w:rPr>
          <w:rFonts w:asciiTheme="minorBidi" w:hAnsiTheme="minorBidi"/>
          <w:rtl/>
        </w:rPr>
        <w:t xml:space="preserve">. תנן: וחכמים אומרים: נוטל ומחזיר, היכי דמי?.... לעולם - דלא נתקלקלה, והכא בחוששין קמיפלגי; </w:t>
      </w:r>
      <w:r w:rsidRPr="005275DF">
        <w:rPr>
          <w:rFonts w:asciiTheme="minorBidi" w:hAnsiTheme="minorBidi"/>
          <w:u w:val="single"/>
          <w:rtl/>
        </w:rPr>
        <w:t>מר</w:t>
      </w:r>
      <w:r w:rsidRPr="005275DF">
        <w:rPr>
          <w:rStyle w:val="a9"/>
          <w:rFonts w:asciiTheme="minorBidi" w:hAnsiTheme="minorBidi"/>
          <w:u w:val="single"/>
          <w:rtl/>
        </w:rPr>
        <w:footnoteReference w:id="567"/>
      </w:r>
      <w:r w:rsidRPr="005275DF">
        <w:rPr>
          <w:rFonts w:asciiTheme="minorBidi" w:hAnsiTheme="minorBidi"/>
          <w:u w:val="single"/>
          <w:rtl/>
        </w:rPr>
        <w:t xml:space="preserve"> סבר</w:t>
      </w:r>
      <w:r w:rsidRPr="005275DF">
        <w:rPr>
          <w:rFonts w:asciiTheme="minorBidi" w:hAnsiTheme="minorBidi"/>
          <w:rtl/>
        </w:rPr>
        <w:t>: חוששין שמא נתקלקלה הגומא</w:t>
      </w:r>
      <w:r w:rsidRPr="005275DF">
        <w:rPr>
          <w:rStyle w:val="a9"/>
          <w:rFonts w:asciiTheme="minorBidi" w:hAnsiTheme="minorBidi"/>
          <w:rtl/>
        </w:rPr>
        <w:footnoteReference w:id="568"/>
      </w:r>
      <w:r w:rsidRPr="005275DF">
        <w:rPr>
          <w:rFonts w:asciiTheme="minorBidi" w:hAnsiTheme="minorBidi"/>
          <w:rtl/>
        </w:rPr>
        <w:t xml:space="preserve">, </w:t>
      </w:r>
      <w:r w:rsidRPr="005275DF">
        <w:rPr>
          <w:rFonts w:asciiTheme="minorBidi" w:hAnsiTheme="minorBidi"/>
          <w:u w:val="single"/>
          <w:rtl/>
        </w:rPr>
        <w:t>ומר סבר</w:t>
      </w:r>
      <w:r w:rsidRPr="005275DF">
        <w:rPr>
          <w:rFonts w:asciiTheme="minorBidi" w:hAnsiTheme="minorBidi"/>
          <w:rtl/>
        </w:rPr>
        <w:t xml:space="preserve">: אין חוששין. </w:t>
      </w:r>
      <w:r w:rsidRPr="005275DF">
        <w:rPr>
          <w:rFonts w:asciiTheme="minorBidi" w:hAnsiTheme="minorBidi"/>
          <w:sz w:val="16"/>
          <w:szCs w:val="16"/>
          <w:rtl/>
        </w:rPr>
        <w:t>(ופסקו הרי"ף הרא"ש והטור כחכמים)</w:t>
      </w:r>
      <w:r w:rsidRPr="005275DF">
        <w:rPr>
          <w:rFonts w:asciiTheme="minorBidi" w:hAnsiTheme="minorBidi"/>
          <w:rtl/>
        </w:rPr>
        <w:t xml:space="preserve"> </w:t>
      </w:r>
    </w:p>
    <w:p w14:paraId="668EBFA1"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0D5A6F8A" w14:textId="77777777" w:rsidR="004B2E7C" w:rsidRPr="005275DF" w:rsidRDefault="004B2E7C" w:rsidP="00434A6A">
      <w:pPr>
        <w:rPr>
          <w:rFonts w:asciiTheme="minorBidi" w:hAnsiTheme="minorBidi"/>
          <w:rtl/>
        </w:rPr>
      </w:pPr>
      <w:r w:rsidRPr="005275DF">
        <w:rPr>
          <w:rFonts w:asciiTheme="minorBidi" w:hAnsiTheme="minorBidi"/>
          <w:rtl/>
        </w:rPr>
        <w:t>הטומן בקופה מלאה גיזי צמר שאסור לטלטל והוציא הקדירה, כל זמן שלא נתקלקלה הגומא יכול להחזירה; ואם נתקלקלה, לא יחזירנה</w:t>
      </w:r>
      <w:r w:rsidRPr="005275DF">
        <w:rPr>
          <w:rStyle w:val="a9"/>
          <w:rFonts w:asciiTheme="minorBidi" w:hAnsiTheme="minorBidi"/>
          <w:rtl/>
        </w:rPr>
        <w:footnoteReference w:id="569"/>
      </w:r>
      <w:r w:rsidRPr="005275DF">
        <w:rPr>
          <w:rFonts w:asciiTheme="minorBidi" w:hAnsiTheme="minorBidi"/>
          <w:rtl/>
        </w:rPr>
        <w:t>. ואפילו לכתחלה יכול להוציא על דעת להחזירה אם לא תתקלקל, ולא חיישינן שמא יחזירנה אף אם תתקלקל. וי"א</w:t>
      </w:r>
      <w:r w:rsidRPr="005275DF">
        <w:rPr>
          <w:rStyle w:val="a9"/>
          <w:rFonts w:asciiTheme="minorBidi" w:hAnsiTheme="minorBidi"/>
          <w:rtl/>
        </w:rPr>
        <w:footnoteReference w:id="570"/>
      </w:r>
      <w:r w:rsidRPr="005275DF">
        <w:rPr>
          <w:rFonts w:asciiTheme="minorBidi" w:hAnsiTheme="minorBidi"/>
          <w:rtl/>
        </w:rPr>
        <w:t xml:space="preserve"> שאפילו טמן בדבר שמותר לטלטל אם נתקלקל הגומא לא יחזיר מפני שתצטרך הקדירה לעשות לעצמה מקום כשמחזירה ונמצא כמי שטומן בשבת. </w:t>
      </w:r>
    </w:p>
    <w:p w14:paraId="6175B1C2" w14:textId="77777777" w:rsidR="004B2E7C" w:rsidRPr="005275DF" w:rsidRDefault="004B2E7C" w:rsidP="00434A6A">
      <w:pPr>
        <w:rPr>
          <w:rFonts w:asciiTheme="minorBidi" w:hAnsiTheme="minorBidi"/>
          <w:rtl/>
        </w:rPr>
      </w:pPr>
    </w:p>
    <w:p w14:paraId="7B315B41"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ד: טמן בדבר שאינו ניטל וכיסה בדבר הניטל.</w:t>
      </w:r>
    </w:p>
    <w:p w14:paraId="2F86CF84" w14:textId="77777777" w:rsidR="004B2E7C" w:rsidRPr="005275DF" w:rsidRDefault="004B2E7C" w:rsidP="00434A6A">
      <w:pPr>
        <w:rPr>
          <w:rFonts w:asciiTheme="minorBidi" w:hAnsiTheme="minorBidi"/>
          <w:rtl/>
        </w:rPr>
      </w:pPr>
      <w:r w:rsidRPr="005275DF">
        <w:rPr>
          <w:rFonts w:asciiTheme="minorBidi" w:hAnsiTheme="minorBidi"/>
          <w:b/>
          <w:bCs/>
          <w:rtl/>
        </w:rPr>
        <w:t xml:space="preserve">שבת נא ע"א: </w:t>
      </w:r>
      <w:r w:rsidRPr="005275DF">
        <w:rPr>
          <w:rFonts w:asciiTheme="minorBidi" w:hAnsiTheme="minorBidi"/>
          <w:rtl/>
        </w:rPr>
        <w:t>טמן</w:t>
      </w:r>
      <w:r w:rsidRPr="005275DF">
        <w:rPr>
          <w:rStyle w:val="a9"/>
          <w:rFonts w:asciiTheme="minorBidi" w:hAnsiTheme="minorBidi"/>
          <w:rtl/>
        </w:rPr>
        <w:footnoteReference w:id="571"/>
      </w:r>
      <w:r w:rsidRPr="005275DF">
        <w:rPr>
          <w:rFonts w:asciiTheme="minorBidi" w:hAnsiTheme="minorBidi"/>
          <w:rtl/>
        </w:rPr>
        <w:t xml:space="preserve"> וכיסה בדבר הניטל בשבת, או טמן בדבר שאינו ניטל בשבת וכיסה בדבר הניטל בשבת - הרי זה נוטל ומחזיר. טמן וכיסה בדבר שאינו ניטל בשבת, או שטמן בדבר הניטל בשבת וכיסה בדבר שאינו ניטל בשבת, אם היה מגולה מקצתו - נוטל ומחזיר, ואם לאו - אינו נוטל ומחזיר</w:t>
      </w:r>
      <w:r w:rsidRPr="005275DF">
        <w:rPr>
          <w:rStyle w:val="a9"/>
          <w:rFonts w:asciiTheme="minorBidi" w:hAnsiTheme="minorBidi"/>
          <w:rtl/>
        </w:rPr>
        <w:footnoteReference w:id="572"/>
      </w:r>
      <w:r w:rsidRPr="005275DF">
        <w:rPr>
          <w:rFonts w:asciiTheme="minorBidi" w:hAnsiTheme="minorBidi"/>
          <w:rtl/>
        </w:rPr>
        <w:t>.</w:t>
      </w:r>
    </w:p>
    <w:p w14:paraId="61D3BB04"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2BA6DE9" w14:textId="77777777" w:rsidR="004B2E7C" w:rsidRPr="005275DF" w:rsidRDefault="004B2E7C" w:rsidP="00434A6A">
      <w:pPr>
        <w:rPr>
          <w:rFonts w:asciiTheme="minorBidi" w:hAnsiTheme="minorBidi"/>
          <w:rtl/>
        </w:rPr>
      </w:pPr>
      <w:r w:rsidRPr="005275DF">
        <w:rPr>
          <w:rFonts w:asciiTheme="minorBidi" w:hAnsiTheme="minorBidi"/>
          <w:rtl/>
        </w:rPr>
        <w:t>טמן בדבר שאינו ניטל וכיסה פיה בדבר הניטל, מגלה הכיסוי ואוחז בקדירה ומוציאה</w:t>
      </w:r>
      <w:r w:rsidRPr="005275DF">
        <w:rPr>
          <w:rStyle w:val="a9"/>
          <w:rFonts w:asciiTheme="minorBidi" w:hAnsiTheme="minorBidi"/>
          <w:rtl/>
        </w:rPr>
        <w:footnoteReference w:id="573"/>
      </w:r>
      <w:r w:rsidRPr="005275DF">
        <w:rPr>
          <w:rFonts w:asciiTheme="minorBidi" w:hAnsiTheme="minorBidi"/>
          <w:rtl/>
        </w:rPr>
        <w:t xml:space="preserve">. </w:t>
      </w:r>
    </w:p>
    <w:p w14:paraId="151734E0" w14:textId="77777777" w:rsidR="004B2E7C" w:rsidRPr="005275DF" w:rsidRDefault="004B2E7C" w:rsidP="00434A6A">
      <w:pPr>
        <w:rPr>
          <w:rFonts w:asciiTheme="minorBidi" w:hAnsiTheme="minorBidi"/>
          <w:rtl/>
        </w:rPr>
      </w:pPr>
    </w:p>
    <w:p w14:paraId="365435D0"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ה: טמן וכיסה בדבר שאינו ניטל.</w:t>
      </w:r>
    </w:p>
    <w:p w14:paraId="57A14E7E"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24D211F" w14:textId="77777777" w:rsidR="004B2E7C" w:rsidRPr="005275DF" w:rsidRDefault="004B2E7C" w:rsidP="00434A6A">
      <w:pPr>
        <w:rPr>
          <w:rFonts w:asciiTheme="minorBidi" w:hAnsiTheme="minorBidi"/>
          <w:rtl/>
        </w:rPr>
      </w:pPr>
      <w:r w:rsidRPr="005275DF">
        <w:rPr>
          <w:rFonts w:asciiTheme="minorBidi" w:hAnsiTheme="minorBidi"/>
          <w:rtl/>
        </w:rPr>
        <w:t xml:space="preserve">טמן וכיסה בדבר שאינו ניטל, אם מקצת הקדירה מגולה נוטל ומחזיר; ואם לאו, אינו נוטל. </w:t>
      </w:r>
    </w:p>
    <w:p w14:paraId="43FC8AF0" w14:textId="77777777" w:rsidR="004B2E7C" w:rsidRPr="005275DF" w:rsidRDefault="004B2E7C" w:rsidP="00434A6A">
      <w:pPr>
        <w:rPr>
          <w:rFonts w:asciiTheme="minorBidi" w:hAnsiTheme="minorBidi"/>
          <w:rtl/>
        </w:rPr>
      </w:pPr>
    </w:p>
    <w:p w14:paraId="4A6AE983"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ו: הטמנה באבנים ביו"ט שחל להיות בער"ש.</w:t>
      </w:r>
    </w:p>
    <w:p w14:paraId="028D15A5"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9840041" w14:textId="77777777" w:rsidR="004B2E7C" w:rsidRPr="005275DF" w:rsidRDefault="004B2E7C" w:rsidP="00434A6A">
      <w:pPr>
        <w:rPr>
          <w:rFonts w:asciiTheme="minorBidi" w:hAnsiTheme="minorBidi"/>
          <w:rtl/>
        </w:rPr>
      </w:pPr>
      <w:r w:rsidRPr="005275DF">
        <w:rPr>
          <w:rFonts w:asciiTheme="minorBidi" w:hAnsiTheme="minorBidi"/>
          <w:rtl/>
        </w:rPr>
        <w:t>יום טוב שחל להיות בערב שבת, יש מי שאוסר להטמין באבנים משום דהוי כמו בנין, ויש מתירים</w:t>
      </w:r>
      <w:r w:rsidRPr="005275DF">
        <w:rPr>
          <w:rStyle w:val="a9"/>
          <w:rFonts w:asciiTheme="minorBidi" w:hAnsiTheme="minorBidi"/>
          <w:rtl/>
        </w:rPr>
        <w:footnoteReference w:id="574"/>
      </w:r>
      <w:r w:rsidRPr="005275DF">
        <w:rPr>
          <w:rFonts w:asciiTheme="minorBidi" w:hAnsiTheme="minorBidi"/>
          <w:rtl/>
        </w:rPr>
        <w:t xml:space="preserve">. </w:t>
      </w:r>
    </w:p>
    <w:p w14:paraId="580AA8FD" w14:textId="77777777" w:rsidR="004B2E7C" w:rsidRPr="005275DF" w:rsidRDefault="004B2E7C" w:rsidP="00434A6A">
      <w:pPr>
        <w:rPr>
          <w:rFonts w:asciiTheme="minorBidi" w:hAnsiTheme="minorBidi"/>
          <w:rtl/>
        </w:rPr>
      </w:pPr>
    </w:p>
    <w:p w14:paraId="2C01C78E"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ז: סתירה וסתימה של תנור בשבת.</w:t>
      </w:r>
    </w:p>
    <w:p w14:paraId="5B515DAA"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B831CBF" w14:textId="77777777" w:rsidR="004B2E7C" w:rsidRPr="005275DF" w:rsidRDefault="004B2E7C" w:rsidP="00434A6A">
      <w:pPr>
        <w:rPr>
          <w:rFonts w:asciiTheme="minorBidi" w:hAnsiTheme="minorBidi"/>
          <w:sz w:val="18"/>
          <w:szCs w:val="18"/>
          <w:rtl/>
        </w:rPr>
      </w:pPr>
      <w:r w:rsidRPr="005275DF">
        <w:rPr>
          <w:rFonts w:asciiTheme="minorBidi" w:hAnsiTheme="minorBidi"/>
          <w:rtl/>
        </w:rPr>
        <w:t xml:space="preserve">תנור שמניחים בו החמין וסותמין פיו בדף ושורקין </w:t>
      </w:r>
      <w:r w:rsidRPr="005275DF">
        <w:rPr>
          <w:rFonts w:asciiTheme="minorBidi" w:hAnsiTheme="minorBidi"/>
          <w:sz w:val="16"/>
          <w:szCs w:val="16"/>
          <w:rtl/>
        </w:rPr>
        <w:t xml:space="preserve">(פי' מחליקין) </w:t>
      </w:r>
      <w:r w:rsidRPr="005275DF">
        <w:rPr>
          <w:rFonts w:asciiTheme="minorBidi" w:hAnsiTheme="minorBidi"/>
          <w:rtl/>
        </w:rPr>
        <w:t xml:space="preserve">אותו בטיט, מותר לסתור אותה סתימה כדי להוציא החמין ולחזור ולסותמו ואם יש בו גחלים לוחשות מותר על ידי גוי. </w:t>
      </w:r>
      <w:r w:rsidRPr="005275DF">
        <w:rPr>
          <w:rFonts w:asciiTheme="minorBidi" w:hAnsiTheme="minorBidi"/>
          <w:sz w:val="18"/>
          <w:szCs w:val="18"/>
          <w:rtl/>
        </w:rPr>
        <w:t>הגה: ויש מחמירין שלא לסתור סתימת התנור הטוח בטיט ע"י ישראל אם אפשר לעשות ע"י גוי וכן אם אפשר לעשותו ע"י ישראל קטן לא יעשה ישראל גדול ואם א"א יעשה גדול ע"י שינוי קצת, והכי נהוג (תרוה"ד סי' ס"ה ואגור). ונ"ל הא דמותר לחזור לסתום התנור, היינו ביום דכבר כל הקדירות מבושלות כל צרכן, אבל בלילה סמוך להטמנתו דיש לספק שמא הקדירות עדיין אינן מבושלות כל צרכן, אסור לסתום התנור דגורם בישול</w:t>
      </w:r>
      <w:r w:rsidRPr="005275DF">
        <w:rPr>
          <w:rStyle w:val="a9"/>
          <w:rFonts w:asciiTheme="minorBidi" w:hAnsiTheme="minorBidi"/>
          <w:sz w:val="18"/>
          <w:szCs w:val="18"/>
          <w:rtl/>
        </w:rPr>
        <w:footnoteReference w:id="575"/>
      </w:r>
      <w:r w:rsidRPr="005275DF">
        <w:rPr>
          <w:rFonts w:asciiTheme="minorBidi" w:hAnsiTheme="minorBidi"/>
          <w:sz w:val="18"/>
          <w:szCs w:val="18"/>
          <w:rtl/>
        </w:rPr>
        <w:t xml:space="preserve"> כמו שנתבאר סימן רנ"ז סעיף ד', ואפי' ע"י גוי אסור</w:t>
      </w:r>
      <w:r w:rsidRPr="005275DF">
        <w:rPr>
          <w:rStyle w:val="a9"/>
          <w:rFonts w:asciiTheme="minorBidi" w:hAnsiTheme="minorBidi"/>
          <w:sz w:val="18"/>
          <w:szCs w:val="18"/>
          <w:rtl/>
        </w:rPr>
        <w:footnoteReference w:id="576"/>
      </w:r>
      <w:r w:rsidRPr="005275DF">
        <w:rPr>
          <w:rFonts w:asciiTheme="minorBidi" w:hAnsiTheme="minorBidi"/>
          <w:sz w:val="18"/>
          <w:szCs w:val="18"/>
          <w:rtl/>
        </w:rPr>
        <w:t xml:space="preserve"> כמו שנתבאר לעיל ס"ס רנ"ג. (ושאר דיני חזרה בשבת ע"ל סי' שי"ח).</w:t>
      </w:r>
    </w:p>
    <w:p w14:paraId="4FF2AAFF" w14:textId="77777777" w:rsidR="004B2E7C" w:rsidRPr="005275DF" w:rsidRDefault="004B2E7C" w:rsidP="00434A6A">
      <w:pPr>
        <w:rPr>
          <w:rFonts w:asciiTheme="minorBidi" w:hAnsiTheme="minorBidi"/>
          <w:rtl/>
        </w:rPr>
      </w:pPr>
    </w:p>
    <w:p w14:paraId="2B96C9C9" w14:textId="77777777" w:rsidR="004B2E7C" w:rsidRDefault="004B2E7C" w:rsidP="00434A6A">
      <w:pPr>
        <w:rPr>
          <w:rFonts w:asciiTheme="minorBidi" w:hAnsiTheme="minorBidi" w:cs="Arial"/>
          <w:rtl/>
        </w:rPr>
        <w:sectPr w:rsidR="004B2E7C" w:rsidSect="00BD29B1">
          <w:headerReference w:type="default" r:id="rId30"/>
          <w:footnotePr>
            <w:numRestart w:val="eachSect"/>
          </w:footnotePr>
          <w:pgSz w:w="11906" w:h="16838"/>
          <w:pgMar w:top="720" w:right="1134" w:bottom="720" w:left="1134" w:header="0" w:footer="0" w:gutter="0"/>
          <w:cols w:space="720"/>
          <w:bidi/>
          <w:rtlGutter/>
          <w:docGrid w:linePitch="360"/>
        </w:sectPr>
      </w:pPr>
    </w:p>
    <w:p w14:paraId="52C7F2FE" w14:textId="77777777" w:rsidR="004B2E7C" w:rsidRPr="00CC2350" w:rsidRDefault="004B2E7C" w:rsidP="00434A6A">
      <w:pPr>
        <w:pStyle w:val="1"/>
        <w:rPr>
          <w:rtl/>
        </w:rPr>
      </w:pPr>
      <w:r>
        <w:rPr>
          <w:rFonts w:hint="cs"/>
          <w:rtl/>
        </w:rPr>
        <w:t xml:space="preserve">סימן רס: </w:t>
      </w:r>
      <w:r w:rsidRPr="00CC2350">
        <w:rPr>
          <w:rtl/>
        </w:rPr>
        <w:t xml:space="preserve">דיני הכנסת שבת, ובו ב' סעיפים. </w:t>
      </w:r>
    </w:p>
    <w:p w14:paraId="5BC1E558" w14:textId="77777777" w:rsidR="004B2E7C" w:rsidRDefault="004B2E7C" w:rsidP="00434A6A">
      <w:pPr>
        <w:pStyle w:val="2"/>
        <w:rPr>
          <w:rtl/>
        </w:rPr>
      </w:pPr>
      <w:r w:rsidRPr="00CC2350">
        <w:rPr>
          <w:rtl/>
        </w:rPr>
        <w:t>סעיף א</w:t>
      </w:r>
      <w:r>
        <w:rPr>
          <w:rFonts w:hint="cs"/>
          <w:rtl/>
        </w:rPr>
        <w:t>: רחיצה בערב שבת לכבוד שבת.</w:t>
      </w:r>
    </w:p>
    <w:p w14:paraId="38885076" w14:textId="77777777" w:rsidR="004B2E7C" w:rsidRDefault="004B2E7C" w:rsidP="00434A6A">
      <w:pPr>
        <w:rPr>
          <w:rFonts w:cs="Arial"/>
          <w:rtl/>
        </w:rPr>
      </w:pPr>
      <w:r w:rsidRPr="00FC2825">
        <w:rPr>
          <w:rFonts w:cs="Arial" w:hint="cs"/>
          <w:b/>
          <w:bCs/>
          <w:rtl/>
        </w:rPr>
        <w:t xml:space="preserve">שבת </w:t>
      </w:r>
      <w:r w:rsidRPr="00FC2825">
        <w:rPr>
          <w:rFonts w:cs="Arial" w:hint="cs"/>
          <w:b/>
          <w:bCs/>
          <w:sz w:val="16"/>
          <w:szCs w:val="16"/>
          <w:rtl/>
        </w:rPr>
        <w:t>(פ'</w:t>
      </w:r>
      <w:r w:rsidRPr="00FC2825">
        <w:rPr>
          <w:rFonts w:cs="Arial"/>
          <w:b/>
          <w:bCs/>
          <w:sz w:val="16"/>
          <w:szCs w:val="16"/>
          <w:rtl/>
        </w:rPr>
        <w:t xml:space="preserve"> </w:t>
      </w:r>
      <w:r w:rsidRPr="00FC2825">
        <w:rPr>
          <w:rFonts w:cs="Arial" w:hint="cs"/>
          <w:b/>
          <w:bCs/>
          <w:sz w:val="16"/>
          <w:szCs w:val="16"/>
          <w:rtl/>
        </w:rPr>
        <w:t>במה</w:t>
      </w:r>
      <w:r w:rsidRPr="00FC2825">
        <w:rPr>
          <w:rFonts w:cs="Arial"/>
          <w:b/>
          <w:bCs/>
          <w:sz w:val="16"/>
          <w:szCs w:val="16"/>
          <w:rtl/>
        </w:rPr>
        <w:t xml:space="preserve"> </w:t>
      </w:r>
      <w:r w:rsidRPr="00FC2825">
        <w:rPr>
          <w:rFonts w:cs="Arial" w:hint="cs"/>
          <w:b/>
          <w:bCs/>
          <w:sz w:val="16"/>
          <w:szCs w:val="16"/>
          <w:rtl/>
        </w:rPr>
        <w:t>מדליקין)</w:t>
      </w:r>
      <w:r w:rsidRPr="00FC2825">
        <w:rPr>
          <w:rFonts w:cs="Arial" w:hint="cs"/>
          <w:b/>
          <w:bCs/>
        </w:rPr>
        <w:t xml:space="preserve"> </w:t>
      </w:r>
      <w:r w:rsidRPr="00FC2825">
        <w:rPr>
          <w:rFonts w:cs="Arial" w:hint="cs"/>
          <w:b/>
          <w:bCs/>
          <w:rtl/>
        </w:rPr>
        <w:t>כה ע"ב</w:t>
      </w:r>
      <w:r w:rsidRPr="00FC2825">
        <w:rPr>
          <w:rFonts w:cs="Arial"/>
          <w:b/>
          <w:bCs/>
          <w:rtl/>
        </w:rPr>
        <w:t>:</w:t>
      </w:r>
      <w:r w:rsidRPr="00170E7B">
        <w:rPr>
          <w:rFonts w:cs="Arial"/>
          <w:rtl/>
        </w:rPr>
        <w:t xml:space="preserve"> </w:t>
      </w:r>
      <w:r w:rsidRPr="00FC2825">
        <w:rPr>
          <w:rFonts w:cs="Arial" w:hint="cs"/>
          <w:u w:val="single"/>
          <w:rtl/>
        </w:rPr>
        <w:t>אמר</w:t>
      </w:r>
      <w:r w:rsidRPr="00FC2825">
        <w:rPr>
          <w:rFonts w:cs="Arial"/>
          <w:u w:val="single"/>
          <w:rtl/>
        </w:rPr>
        <w:t xml:space="preserve"> </w:t>
      </w:r>
      <w:r w:rsidRPr="00FC2825">
        <w:rPr>
          <w:rFonts w:cs="Arial" w:hint="cs"/>
          <w:u w:val="single"/>
          <w:rtl/>
        </w:rPr>
        <w:t>רב</w:t>
      </w:r>
      <w:r w:rsidRPr="00FC2825">
        <w:rPr>
          <w:rFonts w:cs="Arial"/>
          <w:u w:val="single"/>
          <w:rtl/>
        </w:rPr>
        <w:t xml:space="preserve"> </w:t>
      </w:r>
      <w:r w:rsidRPr="00FC2825">
        <w:rPr>
          <w:rFonts w:cs="Arial" w:hint="cs"/>
          <w:u w:val="single"/>
          <w:rtl/>
        </w:rPr>
        <w:t>נחמן</w:t>
      </w:r>
      <w:r w:rsidRPr="00FC2825">
        <w:rPr>
          <w:rFonts w:cs="Arial"/>
          <w:u w:val="single"/>
          <w:rtl/>
        </w:rPr>
        <w:t xml:space="preserve"> </w:t>
      </w:r>
      <w:r w:rsidRPr="00FC2825">
        <w:rPr>
          <w:rFonts w:cs="Arial" w:hint="cs"/>
          <w:u w:val="single"/>
          <w:rtl/>
        </w:rPr>
        <w:t>בר</w:t>
      </w:r>
      <w:r w:rsidRPr="00FC2825">
        <w:rPr>
          <w:rFonts w:cs="Arial"/>
          <w:u w:val="single"/>
          <w:rtl/>
        </w:rPr>
        <w:t xml:space="preserve"> </w:t>
      </w:r>
      <w:r w:rsidRPr="00FC2825">
        <w:rPr>
          <w:rFonts w:cs="Arial" w:hint="cs"/>
          <w:u w:val="single"/>
          <w:rtl/>
        </w:rPr>
        <w:t>רבא</w:t>
      </w:r>
      <w:r w:rsidRPr="00FC2825">
        <w:rPr>
          <w:rFonts w:cs="Arial"/>
          <w:u w:val="single"/>
          <w:rtl/>
        </w:rPr>
        <w:t xml:space="preserve"> </w:t>
      </w:r>
      <w:r w:rsidRPr="00FC2825">
        <w:rPr>
          <w:rFonts w:cs="Arial" w:hint="cs"/>
          <w:u w:val="single"/>
          <w:rtl/>
        </w:rPr>
        <w:t>אמר</w:t>
      </w:r>
      <w:r w:rsidRPr="00FC2825">
        <w:rPr>
          <w:rFonts w:cs="Arial"/>
          <w:u w:val="single"/>
          <w:rtl/>
        </w:rPr>
        <w:t xml:space="preserve"> </w:t>
      </w:r>
      <w:r w:rsidRPr="00FC2825">
        <w:rPr>
          <w:rFonts w:cs="Arial" w:hint="cs"/>
          <w:u w:val="single"/>
          <w:rtl/>
        </w:rPr>
        <w:t>רב</w:t>
      </w:r>
      <w:r w:rsidRPr="00FC2825">
        <w:rPr>
          <w:rFonts w:cs="Arial"/>
          <w:rtl/>
        </w:rPr>
        <w:t xml:space="preserve">: </w:t>
      </w:r>
      <w:r w:rsidRPr="00FC2825">
        <w:rPr>
          <w:rFonts w:cs="Arial" w:hint="cs"/>
          <w:rtl/>
        </w:rPr>
        <w:t>הדלקת</w:t>
      </w:r>
      <w:r w:rsidRPr="00FC2825">
        <w:rPr>
          <w:rFonts w:cs="Arial"/>
          <w:rtl/>
        </w:rPr>
        <w:t xml:space="preserve"> </w:t>
      </w:r>
      <w:r w:rsidRPr="00FC2825">
        <w:rPr>
          <w:rFonts w:cs="Arial" w:hint="cs"/>
          <w:rtl/>
        </w:rPr>
        <w:t>נר</w:t>
      </w:r>
      <w:r w:rsidRPr="00FC2825">
        <w:rPr>
          <w:rFonts w:cs="Arial"/>
          <w:rtl/>
        </w:rPr>
        <w:t xml:space="preserve"> </w:t>
      </w:r>
      <w:r w:rsidRPr="00FC2825">
        <w:rPr>
          <w:rFonts w:cs="Arial" w:hint="cs"/>
          <w:rtl/>
        </w:rPr>
        <w:t>בשבת</w:t>
      </w:r>
      <w:r w:rsidRPr="00FC2825">
        <w:rPr>
          <w:rFonts w:cs="Arial"/>
          <w:rtl/>
        </w:rPr>
        <w:t xml:space="preserve"> - </w:t>
      </w:r>
      <w:r w:rsidRPr="00FC2825">
        <w:rPr>
          <w:rFonts w:cs="Arial" w:hint="cs"/>
          <w:rtl/>
        </w:rPr>
        <w:t>חובה</w:t>
      </w:r>
      <w:r w:rsidRPr="00FC2825">
        <w:rPr>
          <w:rFonts w:cs="Arial"/>
          <w:rtl/>
        </w:rPr>
        <w:t xml:space="preserve">, </w:t>
      </w:r>
      <w:r w:rsidRPr="00FC2825">
        <w:rPr>
          <w:rFonts w:cs="Arial" w:hint="cs"/>
          <w:rtl/>
        </w:rPr>
        <w:t>רחיצת</w:t>
      </w:r>
      <w:r w:rsidRPr="00FC2825">
        <w:rPr>
          <w:rFonts w:cs="Arial"/>
          <w:rtl/>
        </w:rPr>
        <w:t xml:space="preserve"> </w:t>
      </w:r>
      <w:r w:rsidRPr="00FC2825">
        <w:rPr>
          <w:rFonts w:cs="Arial" w:hint="cs"/>
          <w:rtl/>
        </w:rPr>
        <w:t>ידים</w:t>
      </w:r>
      <w:r w:rsidRPr="00FC2825">
        <w:rPr>
          <w:rFonts w:cs="Arial"/>
          <w:rtl/>
        </w:rPr>
        <w:t xml:space="preserve"> </w:t>
      </w:r>
      <w:r w:rsidRPr="00FC2825">
        <w:rPr>
          <w:rFonts w:cs="Arial" w:hint="cs"/>
          <w:rtl/>
        </w:rPr>
        <w:t>ורגלים</w:t>
      </w:r>
      <w:r w:rsidRPr="00FC2825">
        <w:rPr>
          <w:rFonts w:cs="Arial"/>
          <w:rtl/>
        </w:rPr>
        <w:t xml:space="preserve"> </w:t>
      </w:r>
      <w:r w:rsidRPr="00FC2825">
        <w:rPr>
          <w:rFonts w:cs="Arial" w:hint="cs"/>
          <w:rtl/>
        </w:rPr>
        <w:t>בחמין</w:t>
      </w:r>
      <w:r w:rsidRPr="00FC2825">
        <w:rPr>
          <w:rFonts w:cs="Arial"/>
          <w:rtl/>
        </w:rPr>
        <w:t xml:space="preserve"> </w:t>
      </w:r>
      <w:r w:rsidRPr="00FC2825">
        <w:rPr>
          <w:rFonts w:cs="Arial" w:hint="cs"/>
          <w:rtl/>
        </w:rPr>
        <w:t>ערבית</w:t>
      </w:r>
      <w:r w:rsidRPr="00FC2825">
        <w:rPr>
          <w:rFonts w:cs="Arial"/>
          <w:rtl/>
        </w:rPr>
        <w:t xml:space="preserve"> - </w:t>
      </w:r>
      <w:r w:rsidRPr="00FC2825">
        <w:rPr>
          <w:rFonts w:cs="Arial" w:hint="cs"/>
          <w:rtl/>
        </w:rPr>
        <w:t>רשות</w:t>
      </w:r>
      <w:r w:rsidRPr="00FC2825">
        <w:rPr>
          <w:rFonts w:cs="Arial"/>
          <w:rtl/>
        </w:rPr>
        <w:t xml:space="preserve">, </w:t>
      </w:r>
      <w:r w:rsidRPr="00FC2825">
        <w:rPr>
          <w:rFonts w:cs="Arial" w:hint="cs"/>
          <w:rtl/>
        </w:rPr>
        <w:t>ואני</w:t>
      </w:r>
      <w:r w:rsidRPr="00FC2825">
        <w:rPr>
          <w:rFonts w:cs="Arial"/>
          <w:rtl/>
        </w:rPr>
        <w:t xml:space="preserve"> </w:t>
      </w:r>
      <w:r w:rsidRPr="00FC2825">
        <w:rPr>
          <w:rFonts w:cs="Arial" w:hint="cs"/>
          <w:rtl/>
        </w:rPr>
        <w:t>אומר</w:t>
      </w:r>
      <w:r w:rsidRPr="00FC2825">
        <w:rPr>
          <w:rFonts w:cs="Arial"/>
          <w:rtl/>
        </w:rPr>
        <w:t xml:space="preserve">: </w:t>
      </w:r>
      <w:r w:rsidRPr="00FC2825">
        <w:rPr>
          <w:rFonts w:cs="Arial" w:hint="cs"/>
          <w:rtl/>
        </w:rPr>
        <w:t>מצוה</w:t>
      </w:r>
      <w:r w:rsidRPr="00FC2825">
        <w:rPr>
          <w:rFonts w:cs="Arial"/>
          <w:rtl/>
        </w:rPr>
        <w:t xml:space="preserve">. </w:t>
      </w:r>
      <w:r w:rsidRPr="00FC2825">
        <w:rPr>
          <w:rFonts w:cs="Arial" w:hint="cs"/>
          <w:rtl/>
        </w:rPr>
        <w:t>מאי</w:t>
      </w:r>
      <w:r w:rsidRPr="00FC2825">
        <w:rPr>
          <w:rFonts w:cs="Arial"/>
          <w:rtl/>
        </w:rPr>
        <w:t xml:space="preserve"> </w:t>
      </w:r>
      <w:r w:rsidRPr="00FC2825">
        <w:rPr>
          <w:rFonts w:cs="Arial" w:hint="cs"/>
          <w:rtl/>
        </w:rPr>
        <w:t>מצוה</w:t>
      </w:r>
      <w:r w:rsidRPr="00FC2825">
        <w:rPr>
          <w:rFonts w:cs="Arial"/>
          <w:rtl/>
        </w:rPr>
        <w:t xml:space="preserve">? </w:t>
      </w:r>
      <w:r w:rsidRPr="00FC2825">
        <w:rPr>
          <w:rFonts w:cs="Arial" w:hint="cs"/>
          <w:u w:val="single"/>
          <w:rtl/>
        </w:rPr>
        <w:t>דאמר</w:t>
      </w:r>
      <w:r w:rsidRPr="00FC2825">
        <w:rPr>
          <w:rFonts w:cs="Arial"/>
          <w:u w:val="single"/>
          <w:rtl/>
        </w:rPr>
        <w:t xml:space="preserve"> </w:t>
      </w:r>
      <w:r w:rsidRPr="00FC2825">
        <w:rPr>
          <w:rFonts w:cs="Arial" w:hint="cs"/>
          <w:u w:val="single"/>
          <w:rtl/>
        </w:rPr>
        <w:t>רב</w:t>
      </w:r>
      <w:r w:rsidRPr="00FC2825">
        <w:rPr>
          <w:rFonts w:cs="Arial"/>
          <w:u w:val="single"/>
          <w:rtl/>
        </w:rPr>
        <w:t xml:space="preserve"> </w:t>
      </w:r>
      <w:r w:rsidRPr="00FC2825">
        <w:rPr>
          <w:rFonts w:cs="Arial" w:hint="cs"/>
          <w:u w:val="single"/>
          <w:rtl/>
        </w:rPr>
        <w:t>יהודה</w:t>
      </w:r>
      <w:r w:rsidRPr="00FC2825">
        <w:rPr>
          <w:rFonts w:cs="Arial"/>
          <w:u w:val="single"/>
          <w:rtl/>
        </w:rPr>
        <w:t xml:space="preserve"> </w:t>
      </w:r>
      <w:r w:rsidRPr="00FC2825">
        <w:rPr>
          <w:rFonts w:cs="Arial" w:hint="cs"/>
          <w:u w:val="single"/>
          <w:rtl/>
        </w:rPr>
        <w:t>אמר</w:t>
      </w:r>
      <w:r w:rsidRPr="00FC2825">
        <w:rPr>
          <w:rFonts w:cs="Arial"/>
          <w:u w:val="single"/>
          <w:rtl/>
        </w:rPr>
        <w:t xml:space="preserve"> </w:t>
      </w:r>
      <w:r w:rsidRPr="00FC2825">
        <w:rPr>
          <w:rFonts w:cs="Arial" w:hint="cs"/>
          <w:u w:val="single"/>
          <w:rtl/>
        </w:rPr>
        <w:t>רב</w:t>
      </w:r>
      <w:r w:rsidRPr="00FC2825">
        <w:rPr>
          <w:rFonts w:cs="Arial"/>
          <w:rtl/>
        </w:rPr>
        <w:t xml:space="preserve">: </w:t>
      </w:r>
      <w:r w:rsidRPr="00FC2825">
        <w:rPr>
          <w:rFonts w:cs="Arial" w:hint="cs"/>
          <w:rtl/>
        </w:rPr>
        <w:t>כך</w:t>
      </w:r>
      <w:r w:rsidRPr="00FC2825">
        <w:rPr>
          <w:rFonts w:cs="Arial"/>
          <w:rtl/>
        </w:rPr>
        <w:t xml:space="preserve"> </w:t>
      </w:r>
      <w:r w:rsidRPr="00FC2825">
        <w:rPr>
          <w:rFonts w:cs="Arial" w:hint="cs"/>
          <w:rtl/>
        </w:rPr>
        <w:t>היה</w:t>
      </w:r>
      <w:r w:rsidRPr="00FC2825">
        <w:rPr>
          <w:rFonts w:cs="Arial"/>
          <w:rtl/>
        </w:rPr>
        <w:t xml:space="preserve"> </w:t>
      </w:r>
      <w:r w:rsidRPr="00FC2825">
        <w:rPr>
          <w:rFonts w:cs="Arial" w:hint="cs"/>
          <w:rtl/>
        </w:rPr>
        <w:t>מנהגו</w:t>
      </w:r>
      <w:r w:rsidRPr="00FC2825">
        <w:rPr>
          <w:rFonts w:cs="Arial"/>
          <w:rtl/>
        </w:rPr>
        <w:t xml:space="preserve"> </w:t>
      </w:r>
      <w:r w:rsidRPr="00FC2825">
        <w:rPr>
          <w:rFonts w:cs="Arial" w:hint="cs"/>
          <w:rtl/>
        </w:rPr>
        <w:t>של</w:t>
      </w:r>
      <w:r w:rsidRPr="00FC2825">
        <w:rPr>
          <w:rFonts w:cs="Arial"/>
          <w:rtl/>
        </w:rPr>
        <w:t xml:space="preserve"> </w:t>
      </w:r>
      <w:r w:rsidRPr="00FC2825">
        <w:rPr>
          <w:rFonts w:cs="Arial" w:hint="cs"/>
          <w:rtl/>
        </w:rPr>
        <w:t>רבי</w:t>
      </w:r>
      <w:r w:rsidRPr="00FC2825">
        <w:rPr>
          <w:rFonts w:cs="Arial"/>
          <w:rtl/>
        </w:rPr>
        <w:t xml:space="preserve"> </w:t>
      </w:r>
      <w:r w:rsidRPr="00FC2825">
        <w:rPr>
          <w:rFonts w:cs="Arial" w:hint="cs"/>
          <w:rtl/>
        </w:rPr>
        <w:t>יהודה</w:t>
      </w:r>
      <w:r w:rsidRPr="00FC2825">
        <w:rPr>
          <w:rFonts w:cs="Arial"/>
          <w:rtl/>
        </w:rPr>
        <w:t xml:space="preserve"> </w:t>
      </w:r>
      <w:r w:rsidRPr="00FC2825">
        <w:rPr>
          <w:rFonts w:cs="Arial" w:hint="cs"/>
          <w:rtl/>
        </w:rPr>
        <w:t>בר</w:t>
      </w:r>
      <w:r w:rsidRPr="00FC2825">
        <w:rPr>
          <w:rFonts w:cs="Arial"/>
          <w:rtl/>
        </w:rPr>
        <w:t xml:space="preserve"> </w:t>
      </w:r>
      <w:r w:rsidRPr="00FC2825">
        <w:rPr>
          <w:rFonts w:cs="Arial" w:hint="cs"/>
          <w:rtl/>
        </w:rPr>
        <w:t>אלעאי</w:t>
      </w:r>
      <w:r w:rsidRPr="00FC2825">
        <w:rPr>
          <w:rFonts w:cs="Arial"/>
          <w:rtl/>
        </w:rPr>
        <w:t xml:space="preserve">, </w:t>
      </w:r>
      <w:r w:rsidRPr="00FC2825">
        <w:rPr>
          <w:rFonts w:cs="Arial" w:hint="cs"/>
          <w:rtl/>
        </w:rPr>
        <w:t>ערב</w:t>
      </w:r>
      <w:r w:rsidRPr="00FC2825">
        <w:rPr>
          <w:rFonts w:cs="Arial"/>
          <w:rtl/>
        </w:rPr>
        <w:t xml:space="preserve"> </w:t>
      </w:r>
      <w:r w:rsidRPr="00FC2825">
        <w:rPr>
          <w:rFonts w:cs="Arial" w:hint="cs"/>
          <w:rtl/>
        </w:rPr>
        <w:t>שבת</w:t>
      </w:r>
      <w:r w:rsidRPr="00FC2825">
        <w:rPr>
          <w:rFonts w:cs="Arial"/>
          <w:rtl/>
        </w:rPr>
        <w:t xml:space="preserve"> </w:t>
      </w:r>
      <w:r w:rsidRPr="00FC2825">
        <w:rPr>
          <w:rFonts w:cs="Arial" w:hint="cs"/>
          <w:rtl/>
        </w:rPr>
        <w:t>מביאים</w:t>
      </w:r>
      <w:r w:rsidRPr="00FC2825">
        <w:rPr>
          <w:rFonts w:cs="Arial"/>
          <w:rtl/>
        </w:rPr>
        <w:t xml:space="preserve"> </w:t>
      </w:r>
      <w:r w:rsidRPr="00FC2825">
        <w:rPr>
          <w:rFonts w:cs="Arial" w:hint="cs"/>
          <w:rtl/>
        </w:rPr>
        <w:t>לו</w:t>
      </w:r>
      <w:r w:rsidRPr="00FC2825">
        <w:rPr>
          <w:rFonts w:cs="Arial"/>
          <w:rtl/>
        </w:rPr>
        <w:t xml:space="preserve"> </w:t>
      </w:r>
      <w:r w:rsidRPr="00FC2825">
        <w:rPr>
          <w:rFonts w:cs="Arial" w:hint="cs"/>
          <w:rtl/>
        </w:rPr>
        <w:t>עריבה</w:t>
      </w:r>
      <w:r w:rsidRPr="00FC2825">
        <w:rPr>
          <w:rFonts w:cs="Arial"/>
          <w:rtl/>
        </w:rPr>
        <w:t xml:space="preserve"> </w:t>
      </w:r>
      <w:r w:rsidRPr="00FC2825">
        <w:rPr>
          <w:rFonts w:cs="Arial" w:hint="cs"/>
          <w:rtl/>
        </w:rPr>
        <w:t>מלאה</w:t>
      </w:r>
      <w:r w:rsidRPr="00FC2825">
        <w:rPr>
          <w:rFonts w:cs="Arial"/>
          <w:rtl/>
        </w:rPr>
        <w:t xml:space="preserve"> </w:t>
      </w:r>
      <w:r w:rsidRPr="00FC2825">
        <w:rPr>
          <w:rFonts w:cs="Arial" w:hint="cs"/>
          <w:rtl/>
        </w:rPr>
        <w:t>חמין</w:t>
      </w:r>
      <w:r w:rsidRPr="00FC2825">
        <w:rPr>
          <w:rFonts w:cs="Arial"/>
          <w:rtl/>
        </w:rPr>
        <w:t xml:space="preserve">, </w:t>
      </w:r>
      <w:r w:rsidRPr="00FC2825">
        <w:rPr>
          <w:rFonts w:cs="Arial" w:hint="cs"/>
          <w:rtl/>
        </w:rPr>
        <w:t>ורוחץ</w:t>
      </w:r>
      <w:r w:rsidRPr="00FC2825">
        <w:rPr>
          <w:rFonts w:cs="Arial"/>
          <w:rtl/>
        </w:rPr>
        <w:t xml:space="preserve"> </w:t>
      </w:r>
      <w:r w:rsidRPr="00FC2825">
        <w:rPr>
          <w:rFonts w:cs="Arial" w:hint="cs"/>
          <w:rtl/>
        </w:rPr>
        <w:t>פניו</w:t>
      </w:r>
      <w:r w:rsidRPr="00FC2825">
        <w:rPr>
          <w:rFonts w:cs="Arial"/>
          <w:rtl/>
        </w:rPr>
        <w:t xml:space="preserve"> </w:t>
      </w:r>
      <w:r w:rsidRPr="00FC2825">
        <w:rPr>
          <w:rFonts w:cs="Arial" w:hint="cs"/>
          <w:rtl/>
        </w:rPr>
        <w:t>ידיו</w:t>
      </w:r>
      <w:r w:rsidRPr="00FC2825">
        <w:rPr>
          <w:rFonts w:cs="Arial"/>
          <w:rtl/>
        </w:rPr>
        <w:t xml:space="preserve"> </w:t>
      </w:r>
      <w:r w:rsidRPr="00FC2825">
        <w:rPr>
          <w:rFonts w:cs="Arial" w:hint="cs"/>
          <w:rtl/>
        </w:rPr>
        <w:t>ורגליו</w:t>
      </w:r>
      <w:r w:rsidRPr="00FC2825">
        <w:rPr>
          <w:rFonts w:cs="Arial"/>
          <w:rtl/>
        </w:rPr>
        <w:t xml:space="preserve">, </w:t>
      </w:r>
      <w:r w:rsidRPr="00FC2825">
        <w:rPr>
          <w:rFonts w:cs="Arial" w:hint="cs"/>
          <w:rtl/>
        </w:rPr>
        <w:t>ומתעטף</w:t>
      </w:r>
      <w:r w:rsidRPr="00FC2825">
        <w:rPr>
          <w:rFonts w:cs="Arial"/>
          <w:rtl/>
        </w:rPr>
        <w:t xml:space="preserve"> </w:t>
      </w:r>
      <w:r w:rsidRPr="00FC2825">
        <w:rPr>
          <w:rFonts w:cs="Arial" w:hint="cs"/>
          <w:rtl/>
        </w:rPr>
        <w:t>ויושב</w:t>
      </w:r>
      <w:r w:rsidRPr="00FC2825">
        <w:rPr>
          <w:rFonts w:cs="Arial"/>
          <w:rtl/>
        </w:rPr>
        <w:t xml:space="preserve"> </w:t>
      </w:r>
      <w:r w:rsidRPr="00FC2825">
        <w:rPr>
          <w:rFonts w:cs="Arial" w:hint="cs"/>
          <w:rtl/>
        </w:rPr>
        <w:t>בסדינין</w:t>
      </w:r>
      <w:r w:rsidRPr="00FC2825">
        <w:rPr>
          <w:rFonts w:cs="Arial"/>
          <w:rtl/>
        </w:rPr>
        <w:t xml:space="preserve"> </w:t>
      </w:r>
      <w:r w:rsidRPr="00FC2825">
        <w:rPr>
          <w:rFonts w:cs="Arial" w:hint="cs"/>
          <w:rtl/>
        </w:rPr>
        <w:t>המצוייצין</w:t>
      </w:r>
      <w:r w:rsidRPr="00FC2825">
        <w:rPr>
          <w:rFonts w:cs="Arial"/>
          <w:rtl/>
        </w:rPr>
        <w:t xml:space="preserve">, </w:t>
      </w:r>
      <w:r w:rsidRPr="00FC2825">
        <w:rPr>
          <w:rFonts w:cs="Arial" w:hint="cs"/>
          <w:rtl/>
        </w:rPr>
        <w:t>ודומה</w:t>
      </w:r>
      <w:r w:rsidRPr="00FC2825">
        <w:rPr>
          <w:rFonts w:cs="Arial"/>
          <w:rtl/>
        </w:rPr>
        <w:t xml:space="preserve"> </w:t>
      </w:r>
      <w:r w:rsidRPr="00FC2825">
        <w:rPr>
          <w:rFonts w:cs="Arial" w:hint="cs"/>
          <w:rtl/>
        </w:rPr>
        <w:t>למלאך</w:t>
      </w:r>
      <w:r w:rsidRPr="00FC2825">
        <w:rPr>
          <w:rFonts w:cs="Arial"/>
          <w:rtl/>
        </w:rPr>
        <w:t xml:space="preserve"> </w:t>
      </w:r>
      <w:r w:rsidRPr="00FC2825">
        <w:rPr>
          <w:rFonts w:cs="Arial" w:hint="cs"/>
          <w:rtl/>
        </w:rPr>
        <w:t>ה</w:t>
      </w:r>
      <w:r w:rsidRPr="00FC2825">
        <w:rPr>
          <w:rFonts w:cs="Arial"/>
          <w:rtl/>
        </w:rPr>
        <w:t xml:space="preserve">' </w:t>
      </w:r>
      <w:r w:rsidRPr="00FC2825">
        <w:rPr>
          <w:rFonts w:cs="Arial" w:hint="cs"/>
          <w:rtl/>
        </w:rPr>
        <w:t>צבאות</w:t>
      </w:r>
      <w:r>
        <w:rPr>
          <w:rFonts w:cs="Arial" w:hint="cs"/>
          <w:rtl/>
        </w:rPr>
        <w:t>.</w:t>
      </w:r>
    </w:p>
    <w:p w14:paraId="6083A37F" w14:textId="77777777" w:rsidR="004B2E7C" w:rsidRDefault="004B2E7C" w:rsidP="00434A6A">
      <w:pPr>
        <w:rPr>
          <w:rFonts w:cs="Arial"/>
          <w:rtl/>
        </w:rPr>
      </w:pPr>
      <w:r w:rsidRPr="003F5E84">
        <w:rPr>
          <w:rFonts w:cs="Arial" w:hint="cs"/>
          <w:b/>
          <w:bCs/>
          <w:rtl/>
        </w:rPr>
        <w:t>שבת</w:t>
      </w:r>
      <w:r>
        <w:rPr>
          <w:rFonts w:cs="Arial" w:hint="cs"/>
          <w:b/>
          <w:bCs/>
          <w:rtl/>
        </w:rPr>
        <w:t xml:space="preserve"> </w:t>
      </w:r>
      <w:r>
        <w:rPr>
          <w:rFonts w:cs="Arial" w:hint="cs"/>
          <w:b/>
          <w:bCs/>
          <w:sz w:val="16"/>
          <w:szCs w:val="16"/>
          <w:rtl/>
        </w:rPr>
        <w:t>(פ' במה מדליקין)</w:t>
      </w:r>
      <w:r w:rsidRPr="003F5E84">
        <w:rPr>
          <w:rFonts w:cs="Arial" w:hint="cs"/>
          <w:b/>
          <w:bCs/>
          <w:rtl/>
        </w:rPr>
        <w:t xml:space="preserve"> ל ע"</w:t>
      </w:r>
      <w:r>
        <w:rPr>
          <w:rFonts w:cs="Arial" w:hint="cs"/>
          <w:b/>
          <w:bCs/>
          <w:rtl/>
        </w:rPr>
        <w:t>ב</w:t>
      </w:r>
      <w:r w:rsidRPr="003F5E84">
        <w:rPr>
          <w:rFonts w:cs="Arial" w:hint="cs"/>
          <w:b/>
          <w:bCs/>
          <w:rtl/>
        </w:rPr>
        <w:t xml:space="preserve">: </w:t>
      </w:r>
      <w:r w:rsidRPr="003F5E84">
        <w:rPr>
          <w:rFonts w:cs="Arial" w:hint="cs"/>
          <w:rtl/>
        </w:rPr>
        <w:t>תנו</w:t>
      </w:r>
      <w:r w:rsidRPr="003F5E84">
        <w:rPr>
          <w:rFonts w:cs="Arial"/>
          <w:rtl/>
        </w:rPr>
        <w:t xml:space="preserve"> </w:t>
      </w:r>
      <w:r w:rsidRPr="003F5E84">
        <w:rPr>
          <w:rFonts w:cs="Arial" w:hint="cs"/>
          <w:rtl/>
        </w:rPr>
        <w:t>רבנן</w:t>
      </w:r>
      <w:r w:rsidRPr="003F5E84">
        <w:rPr>
          <w:rFonts w:cs="Arial"/>
          <w:rtl/>
        </w:rPr>
        <w:t xml:space="preserve">: </w:t>
      </w:r>
      <w:r w:rsidRPr="003F5E84">
        <w:rPr>
          <w:rFonts w:cs="Arial" w:hint="cs"/>
          <w:rtl/>
        </w:rPr>
        <w:t>לעולם</w:t>
      </w:r>
      <w:r w:rsidRPr="003F5E84">
        <w:rPr>
          <w:rFonts w:cs="Arial"/>
          <w:rtl/>
        </w:rPr>
        <w:t xml:space="preserve"> </w:t>
      </w:r>
      <w:r w:rsidRPr="003F5E84">
        <w:rPr>
          <w:rFonts w:cs="Arial" w:hint="cs"/>
          <w:rtl/>
        </w:rPr>
        <w:t>יהא</w:t>
      </w:r>
      <w:r w:rsidRPr="003F5E84">
        <w:rPr>
          <w:rFonts w:cs="Arial"/>
          <w:rtl/>
        </w:rPr>
        <w:t xml:space="preserve"> </w:t>
      </w:r>
      <w:r w:rsidRPr="003F5E84">
        <w:rPr>
          <w:rFonts w:cs="Arial" w:hint="cs"/>
          <w:rtl/>
        </w:rPr>
        <w:t>אדם</w:t>
      </w:r>
      <w:r w:rsidRPr="003F5E84">
        <w:rPr>
          <w:rFonts w:cs="Arial"/>
          <w:rtl/>
        </w:rPr>
        <w:t xml:space="preserve"> </w:t>
      </w:r>
      <w:r w:rsidRPr="003F5E84">
        <w:rPr>
          <w:rFonts w:cs="Arial" w:hint="cs"/>
          <w:rtl/>
        </w:rPr>
        <w:t>ענוותן</w:t>
      </w:r>
      <w:r w:rsidRPr="003F5E84">
        <w:rPr>
          <w:rFonts w:cs="Arial"/>
          <w:rtl/>
        </w:rPr>
        <w:t xml:space="preserve"> </w:t>
      </w:r>
      <w:r w:rsidRPr="003F5E84">
        <w:rPr>
          <w:rFonts w:cs="Arial" w:hint="cs"/>
          <w:rtl/>
        </w:rPr>
        <w:t>כהלל</w:t>
      </w:r>
      <w:r w:rsidRPr="003F5E84">
        <w:rPr>
          <w:rFonts w:cs="Arial"/>
          <w:rtl/>
        </w:rPr>
        <w:t xml:space="preserve"> </w:t>
      </w:r>
      <w:r w:rsidRPr="003F5E84">
        <w:rPr>
          <w:rFonts w:cs="Arial" w:hint="cs"/>
          <w:rtl/>
        </w:rPr>
        <w:t>ואל</w:t>
      </w:r>
      <w:r w:rsidRPr="003F5E84">
        <w:rPr>
          <w:rFonts w:cs="Arial"/>
          <w:rtl/>
        </w:rPr>
        <w:t xml:space="preserve"> </w:t>
      </w:r>
      <w:r w:rsidRPr="003F5E84">
        <w:rPr>
          <w:rFonts w:cs="Arial" w:hint="cs"/>
          <w:rtl/>
        </w:rPr>
        <w:t>יהא</w:t>
      </w:r>
      <w:r w:rsidRPr="003F5E84">
        <w:rPr>
          <w:rFonts w:cs="Arial"/>
          <w:rtl/>
        </w:rPr>
        <w:t xml:space="preserve"> </w:t>
      </w:r>
      <w:r w:rsidRPr="003F5E84">
        <w:rPr>
          <w:rFonts w:cs="Arial" w:hint="cs"/>
          <w:rtl/>
        </w:rPr>
        <w:t>קפדן</w:t>
      </w:r>
      <w:r w:rsidRPr="003F5E84">
        <w:rPr>
          <w:rFonts w:cs="Arial"/>
          <w:rtl/>
        </w:rPr>
        <w:t xml:space="preserve"> </w:t>
      </w:r>
      <w:r w:rsidRPr="003F5E84">
        <w:rPr>
          <w:rFonts w:cs="Arial" w:hint="cs"/>
          <w:rtl/>
        </w:rPr>
        <w:t>כשמאי</w:t>
      </w:r>
      <w:r w:rsidRPr="003F5E84">
        <w:rPr>
          <w:rFonts w:cs="Arial"/>
          <w:rtl/>
        </w:rPr>
        <w:t xml:space="preserve">. </w:t>
      </w:r>
      <w:r w:rsidRPr="003F5E84">
        <w:rPr>
          <w:rFonts w:cs="Arial" w:hint="cs"/>
          <w:rtl/>
        </w:rPr>
        <w:t>מעשה</w:t>
      </w:r>
      <w:r w:rsidRPr="003F5E84">
        <w:rPr>
          <w:rFonts w:cs="Arial"/>
          <w:rtl/>
        </w:rPr>
        <w:t xml:space="preserve"> </w:t>
      </w:r>
      <w:r w:rsidRPr="003F5E84">
        <w:rPr>
          <w:rFonts w:cs="Arial" w:hint="cs"/>
          <w:rtl/>
        </w:rPr>
        <w:t>בשני</w:t>
      </w:r>
      <w:r w:rsidRPr="003F5E84">
        <w:rPr>
          <w:rFonts w:cs="Arial"/>
          <w:rtl/>
        </w:rPr>
        <w:t xml:space="preserve"> </w:t>
      </w:r>
      <w:r w:rsidRPr="003F5E84">
        <w:rPr>
          <w:rFonts w:cs="Arial" w:hint="cs"/>
          <w:rtl/>
        </w:rPr>
        <w:t>בני</w:t>
      </w:r>
      <w:r w:rsidRPr="003F5E84">
        <w:rPr>
          <w:rFonts w:cs="Arial"/>
          <w:rtl/>
        </w:rPr>
        <w:t xml:space="preserve"> </w:t>
      </w:r>
      <w:r w:rsidRPr="003F5E84">
        <w:rPr>
          <w:rFonts w:cs="Arial" w:hint="cs"/>
          <w:rtl/>
        </w:rPr>
        <w:t>אדם</w:t>
      </w:r>
      <w:r w:rsidRPr="003F5E84">
        <w:rPr>
          <w:rFonts w:hint="cs"/>
          <w:rtl/>
        </w:rPr>
        <w:t xml:space="preserve"> </w:t>
      </w:r>
      <w:r>
        <w:rPr>
          <w:rFonts w:hint="cs"/>
          <w:sz w:val="14"/>
          <w:szCs w:val="14"/>
          <w:rtl/>
        </w:rPr>
        <w:t xml:space="preserve">(לא.) </w:t>
      </w:r>
      <w:r w:rsidRPr="003F5E84">
        <w:rPr>
          <w:rFonts w:cs="Arial" w:hint="cs"/>
          <w:rtl/>
        </w:rPr>
        <w:t>שהמרו</w:t>
      </w:r>
      <w:r w:rsidRPr="003F5E84">
        <w:rPr>
          <w:rFonts w:cs="Arial"/>
          <w:rtl/>
        </w:rPr>
        <w:t xml:space="preserve"> </w:t>
      </w:r>
      <w:r w:rsidRPr="003F5E84">
        <w:rPr>
          <w:rFonts w:cs="Arial" w:hint="cs"/>
          <w:rtl/>
        </w:rPr>
        <w:t>זה</w:t>
      </w:r>
      <w:r w:rsidRPr="003F5E84">
        <w:rPr>
          <w:rFonts w:cs="Arial"/>
          <w:rtl/>
        </w:rPr>
        <w:t xml:space="preserve"> </w:t>
      </w:r>
      <w:r w:rsidRPr="003F5E84">
        <w:rPr>
          <w:rFonts w:cs="Arial" w:hint="cs"/>
          <w:rtl/>
        </w:rPr>
        <w:t>את</w:t>
      </w:r>
      <w:r w:rsidRPr="003F5E84">
        <w:rPr>
          <w:rFonts w:cs="Arial"/>
          <w:rtl/>
        </w:rPr>
        <w:t xml:space="preserve"> </w:t>
      </w:r>
      <w:r w:rsidRPr="003F5E84">
        <w:rPr>
          <w:rFonts w:cs="Arial" w:hint="cs"/>
          <w:rtl/>
        </w:rPr>
        <w:t>זה</w:t>
      </w:r>
      <w:r w:rsidRPr="003F5E84">
        <w:rPr>
          <w:rFonts w:cs="Arial"/>
          <w:rtl/>
        </w:rPr>
        <w:t xml:space="preserve">, </w:t>
      </w:r>
      <w:r w:rsidRPr="003F5E84">
        <w:rPr>
          <w:rFonts w:cs="Arial" w:hint="cs"/>
          <w:rtl/>
        </w:rPr>
        <w:t>אמרו</w:t>
      </w:r>
      <w:r w:rsidRPr="003F5E84">
        <w:rPr>
          <w:rFonts w:cs="Arial"/>
          <w:rtl/>
        </w:rPr>
        <w:t xml:space="preserve">: </w:t>
      </w:r>
      <w:r w:rsidRPr="003F5E84">
        <w:rPr>
          <w:rFonts w:cs="Arial" w:hint="cs"/>
          <w:rtl/>
        </w:rPr>
        <w:t>כל</w:t>
      </w:r>
      <w:r w:rsidRPr="003F5E84">
        <w:rPr>
          <w:rFonts w:cs="Arial"/>
          <w:rtl/>
        </w:rPr>
        <w:t xml:space="preserve"> </w:t>
      </w:r>
      <w:r w:rsidRPr="003F5E84">
        <w:rPr>
          <w:rFonts w:cs="Arial" w:hint="cs"/>
          <w:rtl/>
        </w:rPr>
        <w:t>מי</w:t>
      </w:r>
      <w:r w:rsidRPr="003F5E84">
        <w:rPr>
          <w:rFonts w:cs="Arial"/>
          <w:rtl/>
        </w:rPr>
        <w:t xml:space="preserve"> </w:t>
      </w:r>
      <w:r w:rsidRPr="003F5E84">
        <w:rPr>
          <w:rFonts w:cs="Arial" w:hint="cs"/>
          <w:rtl/>
        </w:rPr>
        <w:t>שילך</w:t>
      </w:r>
      <w:r w:rsidRPr="003F5E84">
        <w:rPr>
          <w:rFonts w:cs="Arial"/>
          <w:rtl/>
        </w:rPr>
        <w:t xml:space="preserve"> </w:t>
      </w:r>
      <w:r w:rsidRPr="003F5E84">
        <w:rPr>
          <w:rFonts w:cs="Arial" w:hint="cs"/>
          <w:rtl/>
        </w:rPr>
        <w:t>ויקניט</w:t>
      </w:r>
      <w:r w:rsidRPr="003F5E84">
        <w:rPr>
          <w:rFonts w:cs="Arial"/>
          <w:rtl/>
        </w:rPr>
        <w:t xml:space="preserve"> </w:t>
      </w:r>
      <w:r w:rsidRPr="003F5E84">
        <w:rPr>
          <w:rFonts w:cs="Arial" w:hint="cs"/>
          <w:rtl/>
        </w:rPr>
        <w:t>את</w:t>
      </w:r>
      <w:r w:rsidRPr="003F5E84">
        <w:rPr>
          <w:rFonts w:cs="Arial"/>
          <w:rtl/>
        </w:rPr>
        <w:t xml:space="preserve"> </w:t>
      </w:r>
      <w:r w:rsidRPr="003F5E84">
        <w:rPr>
          <w:rFonts w:cs="Arial" w:hint="cs"/>
          <w:rtl/>
        </w:rPr>
        <w:t>הלל</w:t>
      </w:r>
      <w:r w:rsidRPr="003F5E84">
        <w:rPr>
          <w:rFonts w:cs="Arial"/>
          <w:rtl/>
        </w:rPr>
        <w:t xml:space="preserve"> - </w:t>
      </w:r>
      <w:r w:rsidRPr="003F5E84">
        <w:rPr>
          <w:rFonts w:cs="Arial" w:hint="cs"/>
          <w:rtl/>
        </w:rPr>
        <w:t>יטול</w:t>
      </w:r>
      <w:r w:rsidRPr="003F5E84">
        <w:rPr>
          <w:rFonts w:cs="Arial"/>
          <w:rtl/>
        </w:rPr>
        <w:t xml:space="preserve"> </w:t>
      </w:r>
      <w:r w:rsidRPr="003F5E84">
        <w:rPr>
          <w:rFonts w:cs="Arial" w:hint="cs"/>
          <w:rtl/>
        </w:rPr>
        <w:t>ארבע</w:t>
      </w:r>
      <w:r w:rsidRPr="003F5E84">
        <w:rPr>
          <w:rFonts w:cs="Arial"/>
          <w:rtl/>
        </w:rPr>
        <w:t xml:space="preserve"> </w:t>
      </w:r>
      <w:r w:rsidRPr="003F5E84">
        <w:rPr>
          <w:rFonts w:cs="Arial" w:hint="cs"/>
          <w:rtl/>
        </w:rPr>
        <w:t>מאות</w:t>
      </w:r>
      <w:r w:rsidRPr="003F5E84">
        <w:rPr>
          <w:rFonts w:cs="Arial"/>
          <w:rtl/>
        </w:rPr>
        <w:t xml:space="preserve"> </w:t>
      </w:r>
      <w:r w:rsidRPr="003F5E84">
        <w:rPr>
          <w:rFonts w:cs="Arial" w:hint="cs"/>
          <w:rtl/>
        </w:rPr>
        <w:t>זוז</w:t>
      </w:r>
      <w:r w:rsidRPr="003F5E84">
        <w:rPr>
          <w:rFonts w:cs="Arial"/>
          <w:rtl/>
        </w:rPr>
        <w:t xml:space="preserve">. </w:t>
      </w:r>
      <w:r w:rsidRPr="003F5E84">
        <w:rPr>
          <w:rFonts w:cs="Arial" w:hint="cs"/>
          <w:rtl/>
        </w:rPr>
        <w:t>אמר</w:t>
      </w:r>
      <w:r w:rsidRPr="003F5E84">
        <w:rPr>
          <w:rFonts w:cs="Arial"/>
          <w:rtl/>
        </w:rPr>
        <w:t xml:space="preserve"> </w:t>
      </w:r>
      <w:r w:rsidRPr="003F5E84">
        <w:rPr>
          <w:rFonts w:cs="Arial" w:hint="cs"/>
          <w:rtl/>
        </w:rPr>
        <w:t>אחד</w:t>
      </w:r>
      <w:r w:rsidRPr="003F5E84">
        <w:rPr>
          <w:rFonts w:cs="Arial"/>
          <w:rtl/>
        </w:rPr>
        <w:t xml:space="preserve"> </w:t>
      </w:r>
      <w:r w:rsidRPr="003F5E84">
        <w:rPr>
          <w:rFonts w:cs="Arial" w:hint="cs"/>
          <w:rtl/>
        </w:rPr>
        <w:t>מהם</w:t>
      </w:r>
      <w:r w:rsidRPr="003F5E84">
        <w:rPr>
          <w:rFonts w:cs="Arial"/>
          <w:rtl/>
        </w:rPr>
        <w:t xml:space="preserve">: </w:t>
      </w:r>
      <w:r w:rsidRPr="003F5E84">
        <w:rPr>
          <w:rFonts w:cs="Arial" w:hint="cs"/>
          <w:rtl/>
        </w:rPr>
        <w:t>אני</w:t>
      </w:r>
      <w:r w:rsidRPr="003F5E84">
        <w:rPr>
          <w:rFonts w:cs="Arial"/>
          <w:rtl/>
        </w:rPr>
        <w:t xml:space="preserve"> </w:t>
      </w:r>
      <w:r w:rsidRPr="003F5E84">
        <w:rPr>
          <w:rFonts w:cs="Arial" w:hint="cs"/>
          <w:rtl/>
        </w:rPr>
        <w:t>אקניטנו</w:t>
      </w:r>
      <w:r w:rsidRPr="003F5E84">
        <w:rPr>
          <w:rFonts w:cs="Arial"/>
          <w:rtl/>
        </w:rPr>
        <w:t xml:space="preserve">. </w:t>
      </w:r>
      <w:r w:rsidRPr="003F5E84">
        <w:rPr>
          <w:rFonts w:cs="Arial" w:hint="cs"/>
          <w:rtl/>
        </w:rPr>
        <w:t>אותו</w:t>
      </w:r>
      <w:r w:rsidRPr="003F5E84">
        <w:rPr>
          <w:rFonts w:cs="Arial"/>
          <w:rtl/>
        </w:rPr>
        <w:t xml:space="preserve"> </w:t>
      </w:r>
      <w:r w:rsidRPr="003F5E84">
        <w:rPr>
          <w:rFonts w:cs="Arial" w:hint="cs"/>
          <w:rtl/>
        </w:rPr>
        <w:t>היום</w:t>
      </w:r>
      <w:r w:rsidRPr="003F5E84">
        <w:rPr>
          <w:rFonts w:cs="Arial"/>
          <w:rtl/>
        </w:rPr>
        <w:t xml:space="preserve"> </w:t>
      </w:r>
      <w:r w:rsidRPr="003F5E84">
        <w:rPr>
          <w:rFonts w:cs="Arial" w:hint="cs"/>
          <w:rtl/>
        </w:rPr>
        <w:t>ערב</w:t>
      </w:r>
      <w:r w:rsidRPr="003F5E84">
        <w:rPr>
          <w:rFonts w:cs="Arial"/>
          <w:rtl/>
        </w:rPr>
        <w:t xml:space="preserve"> </w:t>
      </w:r>
      <w:r w:rsidRPr="003F5E84">
        <w:rPr>
          <w:rFonts w:cs="Arial" w:hint="cs"/>
          <w:rtl/>
        </w:rPr>
        <w:t>שבת</w:t>
      </w:r>
      <w:r w:rsidRPr="003F5E84">
        <w:rPr>
          <w:rFonts w:cs="Arial"/>
          <w:rtl/>
        </w:rPr>
        <w:t xml:space="preserve"> </w:t>
      </w:r>
      <w:r w:rsidRPr="003F5E84">
        <w:rPr>
          <w:rFonts w:cs="Arial" w:hint="cs"/>
          <w:rtl/>
        </w:rPr>
        <w:t>היה</w:t>
      </w:r>
      <w:r w:rsidRPr="003F5E84">
        <w:rPr>
          <w:rFonts w:cs="Arial"/>
          <w:rtl/>
        </w:rPr>
        <w:t xml:space="preserve">, </w:t>
      </w:r>
      <w:r w:rsidRPr="003F5E84">
        <w:rPr>
          <w:rFonts w:cs="Arial" w:hint="cs"/>
          <w:rtl/>
        </w:rPr>
        <w:t>והלל</w:t>
      </w:r>
      <w:r w:rsidRPr="003F5E84">
        <w:rPr>
          <w:rFonts w:cs="Arial"/>
          <w:rtl/>
        </w:rPr>
        <w:t xml:space="preserve"> </w:t>
      </w:r>
      <w:r w:rsidRPr="003F5E84">
        <w:rPr>
          <w:rFonts w:cs="Arial" w:hint="cs"/>
          <w:rtl/>
        </w:rPr>
        <w:t>חפף</w:t>
      </w:r>
      <w:r w:rsidRPr="003F5E84">
        <w:rPr>
          <w:rFonts w:cs="Arial"/>
          <w:rtl/>
        </w:rPr>
        <w:t xml:space="preserve"> </w:t>
      </w:r>
      <w:r w:rsidRPr="003F5E84">
        <w:rPr>
          <w:rFonts w:cs="Arial" w:hint="cs"/>
          <w:rtl/>
        </w:rPr>
        <w:t>את</w:t>
      </w:r>
      <w:r w:rsidRPr="003F5E84">
        <w:rPr>
          <w:rFonts w:cs="Arial"/>
          <w:rtl/>
        </w:rPr>
        <w:t xml:space="preserve"> </w:t>
      </w:r>
      <w:r w:rsidRPr="003F5E84">
        <w:rPr>
          <w:rFonts w:cs="Arial" w:hint="cs"/>
          <w:rtl/>
        </w:rPr>
        <w:t>ראשו</w:t>
      </w:r>
      <w:r w:rsidRPr="003F5E84">
        <w:rPr>
          <w:rFonts w:cs="Arial"/>
          <w:rtl/>
        </w:rPr>
        <w:t xml:space="preserve">. </w:t>
      </w:r>
    </w:p>
    <w:p w14:paraId="352416CE" w14:textId="77777777" w:rsidR="004B2E7C" w:rsidRPr="003F5E84" w:rsidRDefault="004B2E7C" w:rsidP="00434A6A">
      <w:pPr>
        <w:rPr>
          <w:rFonts w:cs="Arial"/>
          <w:u w:val="single"/>
          <w:rtl/>
        </w:rPr>
      </w:pPr>
      <w:r w:rsidRPr="003F5E84">
        <w:rPr>
          <w:rFonts w:hint="cs"/>
          <w:u w:val="single"/>
          <w:rtl/>
        </w:rPr>
        <w:t>רחיצ</w:t>
      </w:r>
      <w:r>
        <w:rPr>
          <w:rFonts w:hint="cs"/>
          <w:u w:val="single"/>
          <w:rtl/>
        </w:rPr>
        <w:t>ת פניו ידיו ורגליו</w:t>
      </w:r>
      <w:r w:rsidRPr="003F5E84">
        <w:rPr>
          <w:rFonts w:hint="cs"/>
          <w:u w:val="single"/>
          <w:rtl/>
        </w:rPr>
        <w:t xml:space="preserve"> בערב שבת לכבוד שבת</w:t>
      </w:r>
      <w:r w:rsidRPr="003F5E84">
        <w:rPr>
          <w:rFonts w:cs="Arial" w:hint="cs"/>
          <w:u w:val="single"/>
          <w:rtl/>
        </w:rPr>
        <w:t>:</w:t>
      </w:r>
    </w:p>
    <w:p w14:paraId="448BA43E" w14:textId="77777777" w:rsidR="004B2E7C" w:rsidRDefault="004B2E7C" w:rsidP="00FF2D21">
      <w:pPr>
        <w:pStyle w:val="aa"/>
        <w:numPr>
          <w:ilvl w:val="0"/>
          <w:numId w:val="87"/>
        </w:numPr>
        <w:rPr>
          <w:rFonts w:cs="Arial"/>
        </w:rPr>
      </w:pPr>
      <w:r w:rsidRPr="003F5E84">
        <w:rPr>
          <w:rFonts w:cs="Arial" w:hint="cs"/>
          <w:rtl/>
        </w:rPr>
        <w:t>טור- מצוה</w:t>
      </w:r>
      <w:r w:rsidRPr="003F5E84">
        <w:rPr>
          <w:rFonts w:cs="Arial"/>
          <w:rtl/>
        </w:rPr>
        <w:t xml:space="preserve"> </w:t>
      </w:r>
      <w:r w:rsidRPr="003F5E84">
        <w:rPr>
          <w:rFonts w:cs="Arial" w:hint="cs"/>
          <w:rtl/>
        </w:rPr>
        <w:t>על</w:t>
      </w:r>
      <w:r w:rsidRPr="003F5E84">
        <w:rPr>
          <w:rFonts w:cs="Arial"/>
          <w:rtl/>
        </w:rPr>
        <w:t xml:space="preserve"> </w:t>
      </w:r>
      <w:r w:rsidRPr="003F5E84">
        <w:rPr>
          <w:rFonts w:cs="Arial" w:hint="cs"/>
          <w:rtl/>
        </w:rPr>
        <w:t>כל</w:t>
      </w:r>
      <w:r w:rsidRPr="003F5E84">
        <w:rPr>
          <w:rFonts w:cs="Arial"/>
          <w:rtl/>
        </w:rPr>
        <w:t xml:space="preserve"> </w:t>
      </w:r>
      <w:r w:rsidRPr="003F5E84">
        <w:rPr>
          <w:rFonts w:cs="Arial" w:hint="cs"/>
          <w:rtl/>
        </w:rPr>
        <w:t>אדם</w:t>
      </w:r>
      <w:r w:rsidRPr="003F5E84">
        <w:rPr>
          <w:rFonts w:cs="Arial"/>
          <w:rtl/>
        </w:rPr>
        <w:t xml:space="preserve"> </w:t>
      </w:r>
      <w:r w:rsidRPr="003F5E84">
        <w:rPr>
          <w:rFonts w:cs="Arial" w:hint="cs"/>
          <w:rtl/>
        </w:rPr>
        <w:t>שירחץ</w:t>
      </w:r>
      <w:r w:rsidRPr="003F5E84">
        <w:rPr>
          <w:rFonts w:cs="Arial"/>
          <w:rtl/>
        </w:rPr>
        <w:t xml:space="preserve"> </w:t>
      </w:r>
      <w:r w:rsidRPr="003F5E84">
        <w:rPr>
          <w:rFonts w:cs="Arial" w:hint="cs"/>
          <w:rtl/>
        </w:rPr>
        <w:t>בע</w:t>
      </w:r>
      <w:r w:rsidRPr="003F5E84">
        <w:rPr>
          <w:rFonts w:cs="Arial"/>
          <w:rtl/>
        </w:rPr>
        <w:t>"</w:t>
      </w:r>
      <w:r w:rsidRPr="003F5E84">
        <w:rPr>
          <w:rFonts w:cs="Arial" w:hint="cs"/>
          <w:rtl/>
        </w:rPr>
        <w:t>ש</w:t>
      </w:r>
      <w:r w:rsidRPr="003F5E84">
        <w:rPr>
          <w:rFonts w:cs="Arial"/>
          <w:rtl/>
        </w:rPr>
        <w:t xml:space="preserve"> </w:t>
      </w:r>
      <w:r w:rsidRPr="003F5E84">
        <w:rPr>
          <w:rFonts w:cs="Arial" w:hint="cs"/>
          <w:rtl/>
        </w:rPr>
        <w:t>לכבוד</w:t>
      </w:r>
      <w:r w:rsidRPr="003F5E84">
        <w:rPr>
          <w:rFonts w:cs="Arial"/>
          <w:rtl/>
        </w:rPr>
        <w:t xml:space="preserve"> </w:t>
      </w:r>
      <w:r w:rsidRPr="003F5E84">
        <w:rPr>
          <w:rFonts w:cs="Arial" w:hint="cs"/>
          <w:rtl/>
        </w:rPr>
        <w:t>שבת</w:t>
      </w:r>
      <w:r>
        <w:rPr>
          <w:rFonts w:cs="Arial" w:hint="cs"/>
          <w:rtl/>
        </w:rPr>
        <w:t>.</w:t>
      </w:r>
      <w:r w:rsidRPr="003F5E84">
        <w:rPr>
          <w:rFonts w:cs="Arial"/>
          <w:rtl/>
        </w:rPr>
        <w:t xml:space="preserve"> </w:t>
      </w:r>
      <w:r w:rsidRPr="003F5E84">
        <w:rPr>
          <w:rFonts w:cs="Arial" w:hint="cs"/>
          <w:rtl/>
        </w:rPr>
        <w:t>ואם</w:t>
      </w:r>
      <w:r w:rsidRPr="003F5E84">
        <w:rPr>
          <w:rFonts w:cs="Arial"/>
          <w:rtl/>
        </w:rPr>
        <w:t xml:space="preserve"> </w:t>
      </w:r>
      <w:r w:rsidRPr="003F5E84">
        <w:rPr>
          <w:rFonts w:cs="Arial" w:hint="cs"/>
          <w:rtl/>
        </w:rPr>
        <w:t>אי</w:t>
      </w:r>
      <w:r w:rsidRPr="003F5E84">
        <w:rPr>
          <w:rFonts w:cs="Arial"/>
          <w:rtl/>
        </w:rPr>
        <w:t xml:space="preserve"> </w:t>
      </w:r>
      <w:r w:rsidRPr="003F5E84">
        <w:rPr>
          <w:rFonts w:cs="Arial" w:hint="cs"/>
          <w:rtl/>
        </w:rPr>
        <w:t>אפשר</w:t>
      </w:r>
      <w:r w:rsidRPr="003F5E84">
        <w:rPr>
          <w:rFonts w:cs="Arial"/>
          <w:rtl/>
        </w:rPr>
        <w:t xml:space="preserve"> </w:t>
      </w:r>
      <w:r w:rsidRPr="003F5E84">
        <w:rPr>
          <w:rFonts w:cs="Arial" w:hint="cs"/>
          <w:rtl/>
        </w:rPr>
        <w:t>לרחוץ</w:t>
      </w:r>
      <w:r w:rsidRPr="003F5E84">
        <w:rPr>
          <w:rFonts w:cs="Arial"/>
          <w:rtl/>
        </w:rPr>
        <w:t xml:space="preserve"> </w:t>
      </w:r>
      <w:r w:rsidRPr="003F5E84">
        <w:rPr>
          <w:rFonts w:cs="Arial" w:hint="cs"/>
          <w:rtl/>
        </w:rPr>
        <w:t>כל</w:t>
      </w:r>
      <w:r w:rsidRPr="003F5E84">
        <w:rPr>
          <w:rFonts w:cs="Arial"/>
          <w:rtl/>
        </w:rPr>
        <w:t xml:space="preserve"> </w:t>
      </w:r>
      <w:r w:rsidRPr="003F5E84">
        <w:rPr>
          <w:rFonts w:cs="Arial" w:hint="cs"/>
          <w:rtl/>
        </w:rPr>
        <w:t>גופו</w:t>
      </w:r>
      <w:r>
        <w:rPr>
          <w:rFonts w:cs="Arial" w:hint="cs"/>
          <w:rtl/>
        </w:rPr>
        <w:t>,</w:t>
      </w:r>
      <w:r w:rsidRPr="003F5E84">
        <w:rPr>
          <w:rFonts w:cs="Arial"/>
          <w:rtl/>
        </w:rPr>
        <w:t xml:space="preserve"> </w:t>
      </w:r>
      <w:r w:rsidRPr="003F5E84">
        <w:rPr>
          <w:rFonts w:cs="Arial" w:hint="cs"/>
          <w:rtl/>
        </w:rPr>
        <w:t>ירחוץ</w:t>
      </w:r>
      <w:r w:rsidRPr="003F5E84">
        <w:rPr>
          <w:rFonts w:cs="Arial"/>
          <w:rtl/>
        </w:rPr>
        <w:t xml:space="preserve"> </w:t>
      </w:r>
      <w:r w:rsidRPr="003F5E84">
        <w:rPr>
          <w:rFonts w:cs="Arial" w:hint="cs"/>
          <w:rtl/>
        </w:rPr>
        <w:t>פניו</w:t>
      </w:r>
      <w:r w:rsidRPr="003F5E84">
        <w:rPr>
          <w:rFonts w:cs="Arial"/>
          <w:rtl/>
        </w:rPr>
        <w:t xml:space="preserve"> </w:t>
      </w:r>
      <w:r w:rsidRPr="003F5E84">
        <w:rPr>
          <w:rFonts w:cs="Arial" w:hint="cs"/>
          <w:rtl/>
        </w:rPr>
        <w:t>ידיו</w:t>
      </w:r>
      <w:r w:rsidRPr="003F5E84">
        <w:rPr>
          <w:rFonts w:cs="Arial"/>
          <w:rtl/>
        </w:rPr>
        <w:t xml:space="preserve"> </w:t>
      </w:r>
      <w:r w:rsidRPr="003F5E84">
        <w:rPr>
          <w:rFonts w:cs="Arial" w:hint="cs"/>
          <w:rtl/>
        </w:rPr>
        <w:t>ורגליו</w:t>
      </w:r>
      <w:r w:rsidRPr="003F5E84">
        <w:rPr>
          <w:rFonts w:cs="Arial"/>
          <w:rtl/>
        </w:rPr>
        <w:t xml:space="preserve"> </w:t>
      </w:r>
      <w:r w:rsidRPr="003F5E84">
        <w:rPr>
          <w:rFonts w:cs="Arial" w:hint="cs"/>
          <w:rtl/>
        </w:rPr>
        <w:t>בחמין</w:t>
      </w:r>
      <w:r>
        <w:rPr>
          <w:rFonts w:cs="Arial" w:hint="cs"/>
          <w:rtl/>
        </w:rPr>
        <w:t>,</w:t>
      </w:r>
      <w:r w:rsidRPr="003F5E84">
        <w:rPr>
          <w:rFonts w:cs="Arial"/>
          <w:rtl/>
        </w:rPr>
        <w:t xml:space="preserve"> </w:t>
      </w:r>
      <w:r w:rsidRPr="003F5E84">
        <w:rPr>
          <w:rFonts w:cs="Arial" w:hint="cs"/>
          <w:rtl/>
        </w:rPr>
        <w:t>דאמר</w:t>
      </w:r>
      <w:r w:rsidRPr="003F5E84">
        <w:rPr>
          <w:rFonts w:cs="Arial"/>
          <w:rtl/>
        </w:rPr>
        <w:t xml:space="preserve"> </w:t>
      </w:r>
      <w:r w:rsidRPr="003F5E84">
        <w:rPr>
          <w:rFonts w:cs="Arial" w:hint="cs"/>
          <w:rtl/>
        </w:rPr>
        <w:t>רב</w:t>
      </w:r>
      <w:r w:rsidRPr="003F5E84">
        <w:rPr>
          <w:rFonts w:cs="Arial"/>
          <w:rtl/>
        </w:rPr>
        <w:t xml:space="preserve"> </w:t>
      </w:r>
      <w:r w:rsidRPr="003F5E84">
        <w:rPr>
          <w:rFonts w:cs="Arial" w:hint="cs"/>
          <w:rtl/>
        </w:rPr>
        <w:t>יהודה</w:t>
      </w:r>
      <w:r w:rsidRPr="003F5E84">
        <w:rPr>
          <w:rFonts w:cs="Arial"/>
          <w:rtl/>
        </w:rPr>
        <w:t xml:space="preserve"> </w:t>
      </w:r>
      <w:r w:rsidRPr="003F5E84">
        <w:rPr>
          <w:rFonts w:cs="Arial" w:hint="cs"/>
          <w:rtl/>
        </w:rPr>
        <w:t>אמר</w:t>
      </w:r>
      <w:r w:rsidRPr="003F5E84">
        <w:rPr>
          <w:rFonts w:cs="Arial"/>
          <w:rtl/>
        </w:rPr>
        <w:t xml:space="preserve"> </w:t>
      </w:r>
      <w:r w:rsidRPr="003F5E84">
        <w:rPr>
          <w:rFonts w:cs="Arial" w:hint="cs"/>
          <w:rtl/>
        </w:rPr>
        <w:t>רב</w:t>
      </w:r>
      <w:r w:rsidRPr="003F5E84">
        <w:rPr>
          <w:rFonts w:cs="Arial"/>
          <w:rtl/>
        </w:rPr>
        <w:t xml:space="preserve"> </w:t>
      </w:r>
      <w:r w:rsidRPr="003F5E84">
        <w:rPr>
          <w:rFonts w:cs="Arial" w:hint="cs"/>
          <w:rtl/>
        </w:rPr>
        <w:t>כך</w:t>
      </w:r>
      <w:r w:rsidRPr="003F5E84">
        <w:rPr>
          <w:rFonts w:cs="Arial"/>
          <w:rtl/>
        </w:rPr>
        <w:t xml:space="preserve"> </w:t>
      </w:r>
      <w:r w:rsidRPr="003F5E84">
        <w:rPr>
          <w:rFonts w:cs="Arial" w:hint="cs"/>
          <w:rtl/>
        </w:rPr>
        <w:t>היה</w:t>
      </w:r>
      <w:r w:rsidRPr="003F5E84">
        <w:rPr>
          <w:rFonts w:cs="Arial"/>
          <w:rtl/>
        </w:rPr>
        <w:t xml:space="preserve"> </w:t>
      </w:r>
      <w:r w:rsidRPr="003F5E84">
        <w:rPr>
          <w:rFonts w:cs="Arial" w:hint="cs"/>
          <w:rtl/>
        </w:rPr>
        <w:t>מנהגו</w:t>
      </w:r>
      <w:r w:rsidRPr="003F5E84">
        <w:rPr>
          <w:rFonts w:cs="Arial"/>
          <w:rtl/>
        </w:rPr>
        <w:t xml:space="preserve"> </w:t>
      </w:r>
      <w:r w:rsidRPr="003F5E84">
        <w:rPr>
          <w:rFonts w:cs="Arial" w:hint="cs"/>
          <w:rtl/>
        </w:rPr>
        <w:t>של</w:t>
      </w:r>
      <w:r w:rsidRPr="003F5E84">
        <w:rPr>
          <w:rFonts w:cs="Arial"/>
          <w:rtl/>
        </w:rPr>
        <w:t xml:space="preserve"> </w:t>
      </w:r>
      <w:r w:rsidRPr="003F5E84">
        <w:rPr>
          <w:rFonts w:cs="Arial" w:hint="cs"/>
          <w:rtl/>
        </w:rPr>
        <w:t>ר</w:t>
      </w:r>
      <w:r w:rsidRPr="003F5E84">
        <w:rPr>
          <w:rFonts w:cs="Arial"/>
          <w:rtl/>
        </w:rPr>
        <w:t xml:space="preserve">' </w:t>
      </w:r>
      <w:r w:rsidRPr="003F5E84">
        <w:rPr>
          <w:rFonts w:cs="Arial" w:hint="cs"/>
          <w:rtl/>
        </w:rPr>
        <w:t>יהודה</w:t>
      </w:r>
      <w:r w:rsidRPr="003F5E84">
        <w:rPr>
          <w:rFonts w:cs="Arial"/>
          <w:rtl/>
        </w:rPr>
        <w:t xml:space="preserve"> </w:t>
      </w:r>
      <w:r w:rsidRPr="003F5E84">
        <w:rPr>
          <w:rFonts w:cs="Arial" w:hint="cs"/>
          <w:rtl/>
        </w:rPr>
        <w:t>ברבי</w:t>
      </w:r>
      <w:r w:rsidRPr="003F5E84">
        <w:rPr>
          <w:rFonts w:cs="Arial"/>
          <w:rtl/>
        </w:rPr>
        <w:t xml:space="preserve"> </w:t>
      </w:r>
      <w:r w:rsidRPr="003F5E84">
        <w:rPr>
          <w:rFonts w:cs="Arial" w:hint="cs"/>
          <w:rtl/>
        </w:rPr>
        <w:t>אילעאי</w:t>
      </w:r>
      <w:r w:rsidRPr="003F5E84">
        <w:rPr>
          <w:rFonts w:cs="Arial"/>
          <w:rtl/>
        </w:rPr>
        <w:t xml:space="preserve"> </w:t>
      </w:r>
      <w:r w:rsidRPr="003F5E84">
        <w:rPr>
          <w:rFonts w:cs="Arial" w:hint="cs"/>
          <w:rtl/>
        </w:rPr>
        <w:t>ע</w:t>
      </w:r>
      <w:r w:rsidRPr="003F5E84">
        <w:rPr>
          <w:rFonts w:cs="Arial"/>
          <w:rtl/>
        </w:rPr>
        <w:t>"</w:t>
      </w:r>
      <w:r w:rsidRPr="003F5E84">
        <w:rPr>
          <w:rFonts w:cs="Arial" w:hint="cs"/>
          <w:rtl/>
        </w:rPr>
        <w:t>ש</w:t>
      </w:r>
      <w:r w:rsidRPr="003F5E84">
        <w:rPr>
          <w:rFonts w:cs="Arial"/>
          <w:rtl/>
        </w:rPr>
        <w:t xml:space="preserve"> </w:t>
      </w:r>
      <w:r w:rsidRPr="003F5E84">
        <w:rPr>
          <w:rFonts w:cs="Arial" w:hint="cs"/>
          <w:rtl/>
        </w:rPr>
        <w:t>מביאין</w:t>
      </w:r>
      <w:r w:rsidRPr="003F5E84">
        <w:rPr>
          <w:rFonts w:cs="Arial"/>
          <w:rtl/>
        </w:rPr>
        <w:t xml:space="preserve"> </w:t>
      </w:r>
      <w:r w:rsidRPr="003F5E84">
        <w:rPr>
          <w:rFonts w:cs="Arial" w:hint="cs"/>
          <w:rtl/>
        </w:rPr>
        <w:t>לו</w:t>
      </w:r>
      <w:r w:rsidRPr="003F5E84">
        <w:rPr>
          <w:rFonts w:cs="Arial"/>
          <w:rtl/>
        </w:rPr>
        <w:t xml:space="preserve"> </w:t>
      </w:r>
      <w:r w:rsidRPr="003F5E84">
        <w:rPr>
          <w:rFonts w:cs="Arial" w:hint="cs"/>
          <w:rtl/>
        </w:rPr>
        <w:t>עריבה</w:t>
      </w:r>
      <w:r w:rsidRPr="003F5E84">
        <w:rPr>
          <w:rFonts w:cs="Arial"/>
          <w:rtl/>
        </w:rPr>
        <w:t xml:space="preserve"> </w:t>
      </w:r>
      <w:r w:rsidRPr="003F5E84">
        <w:rPr>
          <w:rFonts w:cs="Arial" w:hint="cs"/>
          <w:rtl/>
        </w:rPr>
        <w:t>מלאה</w:t>
      </w:r>
      <w:r w:rsidRPr="003F5E84">
        <w:rPr>
          <w:rFonts w:cs="Arial"/>
          <w:rtl/>
        </w:rPr>
        <w:t xml:space="preserve"> </w:t>
      </w:r>
      <w:r w:rsidRPr="003F5E84">
        <w:rPr>
          <w:rFonts w:cs="Arial" w:hint="cs"/>
          <w:rtl/>
        </w:rPr>
        <w:t>מים</w:t>
      </w:r>
      <w:r w:rsidRPr="003F5E84">
        <w:rPr>
          <w:rFonts w:cs="Arial"/>
          <w:rtl/>
        </w:rPr>
        <w:t xml:space="preserve"> </w:t>
      </w:r>
      <w:r w:rsidRPr="003F5E84">
        <w:rPr>
          <w:rFonts w:cs="Arial" w:hint="cs"/>
          <w:rtl/>
        </w:rPr>
        <w:t>חמין</w:t>
      </w:r>
      <w:r w:rsidRPr="003F5E84">
        <w:rPr>
          <w:rFonts w:cs="Arial"/>
          <w:rtl/>
        </w:rPr>
        <w:t xml:space="preserve"> </w:t>
      </w:r>
      <w:r w:rsidRPr="003F5E84">
        <w:rPr>
          <w:rFonts w:cs="Arial" w:hint="cs"/>
          <w:rtl/>
        </w:rPr>
        <w:t>ורוחץ</w:t>
      </w:r>
      <w:r w:rsidRPr="003F5E84">
        <w:rPr>
          <w:rFonts w:cs="Arial"/>
          <w:rtl/>
        </w:rPr>
        <w:t xml:space="preserve"> </w:t>
      </w:r>
      <w:r w:rsidRPr="003F5E84">
        <w:rPr>
          <w:rFonts w:cs="Arial" w:hint="cs"/>
          <w:rtl/>
        </w:rPr>
        <w:t>בה</w:t>
      </w:r>
      <w:r w:rsidRPr="003F5E84">
        <w:rPr>
          <w:rFonts w:cs="Arial"/>
          <w:rtl/>
        </w:rPr>
        <w:t xml:space="preserve"> </w:t>
      </w:r>
      <w:r w:rsidRPr="003F5E84">
        <w:rPr>
          <w:rFonts w:cs="Arial" w:hint="cs"/>
          <w:rtl/>
        </w:rPr>
        <w:t>פניו</w:t>
      </w:r>
      <w:r w:rsidRPr="003F5E84">
        <w:rPr>
          <w:rFonts w:cs="Arial"/>
          <w:rtl/>
        </w:rPr>
        <w:t xml:space="preserve"> </w:t>
      </w:r>
      <w:r w:rsidRPr="003F5E84">
        <w:rPr>
          <w:rFonts w:cs="Arial" w:hint="cs"/>
          <w:rtl/>
        </w:rPr>
        <w:t>ידיו</w:t>
      </w:r>
      <w:r w:rsidRPr="003F5E84">
        <w:rPr>
          <w:rFonts w:cs="Arial"/>
          <w:rtl/>
        </w:rPr>
        <w:t xml:space="preserve"> </w:t>
      </w:r>
      <w:r w:rsidRPr="003F5E84">
        <w:rPr>
          <w:rFonts w:cs="Arial" w:hint="cs"/>
          <w:rtl/>
        </w:rPr>
        <w:t>ורגליו</w:t>
      </w:r>
      <w:r w:rsidRPr="003F5E84">
        <w:rPr>
          <w:rFonts w:cs="Arial"/>
          <w:rtl/>
        </w:rPr>
        <w:t xml:space="preserve"> </w:t>
      </w:r>
      <w:r w:rsidRPr="003F5E84">
        <w:rPr>
          <w:rFonts w:cs="Arial" w:hint="cs"/>
          <w:rtl/>
        </w:rPr>
        <w:t>ומתעטף</w:t>
      </w:r>
      <w:r w:rsidRPr="003F5E84">
        <w:rPr>
          <w:rFonts w:cs="Arial"/>
          <w:rtl/>
        </w:rPr>
        <w:t xml:space="preserve"> </w:t>
      </w:r>
      <w:r w:rsidRPr="003F5E84">
        <w:rPr>
          <w:rFonts w:cs="Arial" w:hint="cs"/>
          <w:rtl/>
        </w:rPr>
        <w:t>בסדינין</w:t>
      </w:r>
      <w:r w:rsidRPr="003F5E84">
        <w:rPr>
          <w:rFonts w:cs="Arial"/>
          <w:rtl/>
        </w:rPr>
        <w:t xml:space="preserve"> </w:t>
      </w:r>
      <w:r w:rsidRPr="003F5E84">
        <w:rPr>
          <w:rFonts w:cs="Arial" w:hint="cs"/>
          <w:rtl/>
        </w:rPr>
        <w:t>המצוייצין</w:t>
      </w:r>
      <w:r w:rsidRPr="003F5E84">
        <w:rPr>
          <w:rFonts w:cs="Arial"/>
          <w:rtl/>
        </w:rPr>
        <w:t xml:space="preserve"> </w:t>
      </w:r>
      <w:r w:rsidRPr="003F5E84">
        <w:rPr>
          <w:rFonts w:cs="Arial" w:hint="cs"/>
          <w:rtl/>
        </w:rPr>
        <w:t>ודומה</w:t>
      </w:r>
      <w:r w:rsidRPr="003F5E84">
        <w:rPr>
          <w:rFonts w:cs="Arial"/>
          <w:rtl/>
        </w:rPr>
        <w:t xml:space="preserve"> </w:t>
      </w:r>
      <w:r w:rsidRPr="003F5E84">
        <w:rPr>
          <w:rFonts w:cs="Arial" w:hint="cs"/>
          <w:rtl/>
        </w:rPr>
        <w:t>למלאך</w:t>
      </w:r>
      <w:r w:rsidRPr="003F5E84">
        <w:rPr>
          <w:rFonts w:cs="Arial"/>
          <w:rtl/>
        </w:rPr>
        <w:t xml:space="preserve"> </w:t>
      </w:r>
      <w:r w:rsidRPr="003F5E84">
        <w:rPr>
          <w:rFonts w:cs="Arial" w:hint="cs"/>
          <w:rtl/>
        </w:rPr>
        <w:t>ה</w:t>
      </w:r>
      <w:r w:rsidRPr="003F5E84">
        <w:rPr>
          <w:rFonts w:cs="Arial"/>
          <w:rtl/>
        </w:rPr>
        <w:t xml:space="preserve">' </w:t>
      </w:r>
      <w:r w:rsidRPr="003F5E84">
        <w:rPr>
          <w:rFonts w:cs="Arial" w:hint="cs"/>
          <w:rtl/>
        </w:rPr>
        <w:t>צבאות</w:t>
      </w:r>
      <w:r>
        <w:rPr>
          <w:rFonts w:cs="Arial" w:hint="cs"/>
          <w:rtl/>
        </w:rPr>
        <w:t xml:space="preserve">. </w:t>
      </w:r>
      <w:r w:rsidRPr="009C3D4F">
        <w:rPr>
          <w:rFonts w:cs="Arial" w:hint="cs"/>
          <w:color w:val="00B0F0"/>
          <w:rtl/>
        </w:rPr>
        <w:t>(וכ"פ הרמ"א)</w:t>
      </w:r>
      <w:r w:rsidRPr="009C3D4F">
        <w:rPr>
          <w:rFonts w:asciiTheme="minorBidi" w:hAnsiTheme="minorBidi"/>
          <w:color w:val="E36C0A" w:themeColor="accent6" w:themeShade="BF"/>
          <w:rtl/>
        </w:rPr>
        <w:t xml:space="preserve"> </w:t>
      </w:r>
    </w:p>
    <w:p w14:paraId="3C28BC56" w14:textId="77777777" w:rsidR="004B2E7C" w:rsidRPr="009C3D4F" w:rsidRDefault="004B2E7C" w:rsidP="00434A6A">
      <w:pPr>
        <w:ind w:left="360"/>
        <w:rPr>
          <w:rFonts w:cs="Arial"/>
          <w:u w:val="dotted"/>
        </w:rPr>
      </w:pPr>
      <w:r>
        <w:rPr>
          <w:rFonts w:cs="Arial" w:hint="cs"/>
          <w:u w:val="dotted"/>
          <w:rtl/>
        </w:rPr>
        <w:t>האם</w:t>
      </w:r>
      <w:r w:rsidRPr="009C3D4F">
        <w:rPr>
          <w:rFonts w:cs="Arial" w:hint="cs"/>
          <w:u w:val="dotted"/>
          <w:rtl/>
        </w:rPr>
        <w:t xml:space="preserve"> רחיצת ראשו</w:t>
      </w:r>
      <w:r>
        <w:rPr>
          <w:rFonts w:cs="Arial" w:hint="cs"/>
          <w:u w:val="dotted"/>
          <w:rtl/>
        </w:rPr>
        <w:t xml:space="preserve"> גם כן מצוה</w:t>
      </w:r>
      <w:r w:rsidRPr="009C3D4F">
        <w:rPr>
          <w:rFonts w:cs="Arial" w:hint="cs"/>
          <w:u w:val="dotted"/>
          <w:rtl/>
        </w:rPr>
        <w:t>:</w:t>
      </w:r>
    </w:p>
    <w:p w14:paraId="01CDF29B" w14:textId="77777777" w:rsidR="004B2E7C" w:rsidRDefault="004B2E7C" w:rsidP="00FF2D21">
      <w:pPr>
        <w:pStyle w:val="aa"/>
        <w:numPr>
          <w:ilvl w:val="0"/>
          <w:numId w:val="87"/>
        </w:numPr>
        <w:rPr>
          <w:rFonts w:cs="Arial"/>
        </w:rPr>
      </w:pPr>
      <w:r w:rsidRPr="00170E7B">
        <w:rPr>
          <w:rFonts w:cs="Arial" w:hint="cs"/>
          <w:rtl/>
        </w:rPr>
        <w:t>שבלי</w:t>
      </w:r>
      <w:r w:rsidRPr="00170E7B">
        <w:rPr>
          <w:rFonts w:cs="Arial"/>
          <w:rtl/>
        </w:rPr>
        <w:t xml:space="preserve"> </w:t>
      </w:r>
      <w:r w:rsidRPr="00170E7B">
        <w:rPr>
          <w:rFonts w:cs="Arial" w:hint="cs"/>
          <w:rtl/>
        </w:rPr>
        <w:t>הלקט</w:t>
      </w:r>
      <w:r w:rsidRPr="00170E7B">
        <w:rPr>
          <w:rFonts w:cs="Arial"/>
          <w:rtl/>
        </w:rPr>
        <w:t xml:space="preserve"> </w:t>
      </w:r>
      <w:r w:rsidRPr="009C3D4F">
        <w:rPr>
          <w:rFonts w:cs="Arial"/>
          <w:sz w:val="16"/>
          <w:szCs w:val="16"/>
          <w:rtl/>
        </w:rPr>
        <w:t>(</w:t>
      </w:r>
      <w:r w:rsidRPr="009C3D4F">
        <w:rPr>
          <w:rFonts w:cs="Arial" w:hint="cs"/>
          <w:sz w:val="16"/>
          <w:szCs w:val="16"/>
          <w:rtl/>
        </w:rPr>
        <w:t>סי</w:t>
      </w:r>
      <w:r w:rsidRPr="009C3D4F">
        <w:rPr>
          <w:rFonts w:cs="Arial"/>
          <w:sz w:val="16"/>
          <w:szCs w:val="16"/>
          <w:rtl/>
        </w:rPr>
        <w:t xml:space="preserve">' </w:t>
      </w:r>
      <w:r w:rsidRPr="009C3D4F">
        <w:rPr>
          <w:rFonts w:cs="Arial" w:hint="cs"/>
          <w:sz w:val="16"/>
          <w:szCs w:val="16"/>
          <w:rtl/>
        </w:rPr>
        <w:t>נח</w:t>
      </w:r>
      <w:r w:rsidRPr="009C3D4F">
        <w:rPr>
          <w:rFonts w:cs="Arial"/>
          <w:sz w:val="16"/>
          <w:szCs w:val="16"/>
          <w:rtl/>
        </w:rPr>
        <w:t>)</w:t>
      </w:r>
      <w:r>
        <w:rPr>
          <w:rFonts w:cs="Arial" w:hint="cs"/>
          <w:rtl/>
        </w:rPr>
        <w:t xml:space="preserve"> ו</w:t>
      </w:r>
      <w:r w:rsidRPr="00170E7B">
        <w:rPr>
          <w:rFonts w:cs="Arial" w:hint="cs"/>
          <w:rtl/>
        </w:rPr>
        <w:t>מרדכי</w:t>
      </w:r>
      <w:r w:rsidRPr="00170E7B">
        <w:rPr>
          <w:rFonts w:cs="Arial"/>
          <w:rtl/>
        </w:rPr>
        <w:t xml:space="preserve"> </w:t>
      </w:r>
      <w:r w:rsidRPr="009C3D4F">
        <w:rPr>
          <w:rFonts w:cs="Arial"/>
          <w:sz w:val="16"/>
          <w:szCs w:val="16"/>
          <w:rtl/>
        </w:rPr>
        <w:t>(</w:t>
      </w:r>
      <w:r w:rsidRPr="009C3D4F">
        <w:rPr>
          <w:rFonts w:cs="Arial" w:hint="cs"/>
          <w:sz w:val="16"/>
          <w:szCs w:val="16"/>
          <w:rtl/>
        </w:rPr>
        <w:t>סי</w:t>
      </w:r>
      <w:r w:rsidRPr="009C3D4F">
        <w:rPr>
          <w:rFonts w:cs="Arial"/>
          <w:sz w:val="16"/>
          <w:szCs w:val="16"/>
          <w:rtl/>
        </w:rPr>
        <w:t xml:space="preserve">' </w:t>
      </w:r>
      <w:r w:rsidRPr="009C3D4F">
        <w:rPr>
          <w:rFonts w:cs="Arial" w:hint="cs"/>
          <w:sz w:val="16"/>
          <w:szCs w:val="16"/>
          <w:rtl/>
        </w:rPr>
        <w:t>רפז</w:t>
      </w:r>
      <w:r w:rsidRPr="009C3D4F">
        <w:rPr>
          <w:rFonts w:cs="Arial"/>
          <w:sz w:val="16"/>
          <w:szCs w:val="16"/>
          <w:rtl/>
        </w:rPr>
        <w:t>)</w:t>
      </w:r>
      <w:r>
        <w:rPr>
          <w:rFonts w:cs="Arial" w:hint="cs"/>
          <w:rtl/>
        </w:rPr>
        <w:t xml:space="preserve">- </w:t>
      </w:r>
      <w:r w:rsidRPr="00170E7B">
        <w:rPr>
          <w:rFonts w:cs="Arial" w:hint="cs"/>
          <w:rtl/>
        </w:rPr>
        <w:t>משמע</w:t>
      </w:r>
      <w:r w:rsidRPr="00170E7B">
        <w:rPr>
          <w:rFonts w:cs="Arial"/>
          <w:rtl/>
        </w:rPr>
        <w:t xml:space="preserve"> </w:t>
      </w:r>
      <w:r w:rsidRPr="00170E7B">
        <w:rPr>
          <w:rFonts w:cs="Arial" w:hint="cs"/>
          <w:rtl/>
        </w:rPr>
        <w:t>בגמרא</w:t>
      </w:r>
      <w:r w:rsidRPr="00170E7B">
        <w:rPr>
          <w:rFonts w:cs="Arial"/>
          <w:rtl/>
        </w:rPr>
        <w:t xml:space="preserve"> </w:t>
      </w:r>
      <w:r w:rsidRPr="009C3D4F">
        <w:rPr>
          <w:rFonts w:cs="Arial"/>
          <w:sz w:val="16"/>
          <w:szCs w:val="16"/>
          <w:rtl/>
        </w:rPr>
        <w:t>(</w:t>
      </w:r>
      <w:r w:rsidRPr="009C3D4F">
        <w:rPr>
          <w:rFonts w:cs="Arial" w:hint="cs"/>
          <w:sz w:val="16"/>
          <w:szCs w:val="16"/>
          <w:rtl/>
        </w:rPr>
        <w:t>שבת</w:t>
      </w:r>
      <w:r w:rsidRPr="009C3D4F">
        <w:rPr>
          <w:rFonts w:cs="Arial"/>
          <w:sz w:val="16"/>
          <w:szCs w:val="16"/>
          <w:rtl/>
        </w:rPr>
        <w:t xml:space="preserve"> </w:t>
      </w:r>
      <w:r w:rsidRPr="009C3D4F">
        <w:rPr>
          <w:rFonts w:cs="Arial" w:hint="cs"/>
          <w:sz w:val="16"/>
          <w:szCs w:val="16"/>
          <w:rtl/>
        </w:rPr>
        <w:t>לא</w:t>
      </w:r>
      <w:r w:rsidRPr="009C3D4F">
        <w:rPr>
          <w:rFonts w:cs="Arial"/>
          <w:sz w:val="16"/>
          <w:szCs w:val="16"/>
          <w:rtl/>
        </w:rPr>
        <w:t xml:space="preserve">., </w:t>
      </w:r>
      <w:r w:rsidRPr="009C3D4F">
        <w:rPr>
          <w:rFonts w:cs="Arial" w:hint="cs"/>
          <w:sz w:val="16"/>
          <w:szCs w:val="16"/>
          <w:rtl/>
        </w:rPr>
        <w:t>ביצה</w:t>
      </w:r>
      <w:r w:rsidRPr="009C3D4F">
        <w:rPr>
          <w:rFonts w:cs="Arial"/>
          <w:sz w:val="16"/>
          <w:szCs w:val="16"/>
          <w:rtl/>
        </w:rPr>
        <w:t xml:space="preserve"> </w:t>
      </w:r>
      <w:r w:rsidRPr="009C3D4F">
        <w:rPr>
          <w:rFonts w:cs="Arial" w:hint="cs"/>
          <w:sz w:val="16"/>
          <w:szCs w:val="16"/>
          <w:rtl/>
        </w:rPr>
        <w:t>כז</w:t>
      </w:r>
      <w:r w:rsidRPr="009C3D4F">
        <w:rPr>
          <w:rFonts w:cs="Arial"/>
          <w:sz w:val="16"/>
          <w:szCs w:val="16"/>
          <w:rtl/>
        </w:rPr>
        <w:t xml:space="preserve">:, </w:t>
      </w:r>
      <w:r w:rsidRPr="009C3D4F">
        <w:rPr>
          <w:rFonts w:cs="Arial" w:hint="cs"/>
          <w:sz w:val="16"/>
          <w:szCs w:val="16"/>
          <w:rtl/>
        </w:rPr>
        <w:t>סנהדרין</w:t>
      </w:r>
      <w:r w:rsidRPr="009C3D4F">
        <w:rPr>
          <w:rFonts w:cs="Arial"/>
          <w:sz w:val="16"/>
          <w:szCs w:val="16"/>
          <w:rtl/>
        </w:rPr>
        <w:t xml:space="preserve"> </w:t>
      </w:r>
      <w:r w:rsidRPr="009C3D4F">
        <w:rPr>
          <w:rFonts w:cs="Arial" w:hint="cs"/>
          <w:sz w:val="16"/>
          <w:szCs w:val="16"/>
          <w:rtl/>
        </w:rPr>
        <w:t>צה</w:t>
      </w:r>
      <w:r w:rsidRPr="009C3D4F">
        <w:rPr>
          <w:rFonts w:cs="Arial"/>
          <w:sz w:val="16"/>
          <w:szCs w:val="16"/>
          <w:rtl/>
        </w:rPr>
        <w:t xml:space="preserve">.) </w:t>
      </w:r>
      <w:r w:rsidRPr="00170E7B">
        <w:rPr>
          <w:rFonts w:cs="Arial" w:hint="cs"/>
          <w:rtl/>
        </w:rPr>
        <w:t>שמצוה</w:t>
      </w:r>
      <w:r w:rsidRPr="00170E7B">
        <w:rPr>
          <w:rFonts w:cs="Arial"/>
          <w:rtl/>
        </w:rPr>
        <w:t xml:space="preserve"> </w:t>
      </w:r>
      <w:r w:rsidRPr="00170E7B">
        <w:rPr>
          <w:rFonts w:cs="Arial" w:hint="cs"/>
          <w:rtl/>
        </w:rPr>
        <w:t>גם</w:t>
      </w:r>
      <w:r w:rsidRPr="00170E7B">
        <w:rPr>
          <w:rFonts w:cs="Arial"/>
          <w:rtl/>
        </w:rPr>
        <w:t xml:space="preserve"> </w:t>
      </w:r>
      <w:r w:rsidRPr="00170E7B">
        <w:rPr>
          <w:rFonts w:cs="Arial" w:hint="cs"/>
          <w:rtl/>
        </w:rPr>
        <w:t>כן</w:t>
      </w:r>
      <w:r w:rsidRPr="00170E7B">
        <w:rPr>
          <w:rFonts w:cs="Arial"/>
          <w:rtl/>
        </w:rPr>
        <w:t xml:space="preserve"> </w:t>
      </w:r>
      <w:r w:rsidRPr="00170E7B">
        <w:rPr>
          <w:rFonts w:cs="Arial" w:hint="cs"/>
          <w:rtl/>
        </w:rPr>
        <w:t>לחוף</w:t>
      </w:r>
      <w:r w:rsidRPr="00170E7B">
        <w:rPr>
          <w:rFonts w:cs="Arial"/>
          <w:rtl/>
        </w:rPr>
        <w:t xml:space="preserve"> </w:t>
      </w:r>
      <w:r w:rsidRPr="00170E7B">
        <w:rPr>
          <w:rFonts w:cs="Arial" w:hint="cs"/>
          <w:rtl/>
        </w:rPr>
        <w:t>הראש</w:t>
      </w:r>
      <w:r w:rsidRPr="00170E7B">
        <w:rPr>
          <w:rFonts w:cs="Arial"/>
          <w:rtl/>
        </w:rPr>
        <w:t xml:space="preserve"> </w:t>
      </w:r>
      <w:r w:rsidRPr="00170E7B">
        <w:rPr>
          <w:rFonts w:cs="Arial" w:hint="cs"/>
          <w:rtl/>
        </w:rPr>
        <w:t>בערב</w:t>
      </w:r>
      <w:r w:rsidRPr="00170E7B">
        <w:rPr>
          <w:rFonts w:cs="Arial"/>
          <w:rtl/>
        </w:rPr>
        <w:t xml:space="preserve"> </w:t>
      </w:r>
      <w:r w:rsidRPr="00170E7B">
        <w:rPr>
          <w:rFonts w:cs="Arial" w:hint="cs"/>
          <w:rtl/>
        </w:rPr>
        <w:t>שבת</w:t>
      </w:r>
      <w:r>
        <w:rPr>
          <w:rStyle w:val="a9"/>
          <w:rFonts w:cs="Arial"/>
          <w:rtl/>
        </w:rPr>
        <w:footnoteReference w:id="577"/>
      </w:r>
      <w:r>
        <w:rPr>
          <w:rFonts w:cs="Arial" w:hint="cs"/>
          <w:sz w:val="16"/>
          <w:szCs w:val="16"/>
          <w:rtl/>
        </w:rPr>
        <w:t xml:space="preserve"> (ל' הב"י בשם המרדכי)</w:t>
      </w:r>
      <w:r>
        <w:rPr>
          <w:rFonts w:cs="Arial" w:hint="cs"/>
          <w:rtl/>
        </w:rPr>
        <w:t xml:space="preserve">. </w:t>
      </w:r>
      <w:r w:rsidRPr="005275DF">
        <w:rPr>
          <w:rFonts w:asciiTheme="minorBidi" w:hAnsiTheme="minorBidi"/>
          <w:color w:val="E36C0A" w:themeColor="accent6" w:themeShade="BF"/>
          <w:rtl/>
        </w:rPr>
        <w:t>(וכ"פ בשו"ע)</w:t>
      </w:r>
    </w:p>
    <w:p w14:paraId="54E0E319" w14:textId="77777777" w:rsidR="004B2E7C" w:rsidRDefault="004B2E7C" w:rsidP="00434A6A">
      <w:pPr>
        <w:rPr>
          <w:rFonts w:cs="Arial"/>
          <w:rtl/>
        </w:rPr>
      </w:pPr>
      <w:r w:rsidRPr="00FC2825">
        <w:rPr>
          <w:rFonts w:cs="Arial" w:hint="cs"/>
          <w:u w:val="single"/>
          <w:rtl/>
        </w:rPr>
        <w:t xml:space="preserve">גזיזת צפרנים </w:t>
      </w:r>
      <w:r>
        <w:rPr>
          <w:rFonts w:cs="Arial" w:hint="cs"/>
          <w:u w:val="single"/>
          <w:rtl/>
        </w:rPr>
        <w:t>בערב</w:t>
      </w:r>
      <w:r w:rsidRPr="00FC2825">
        <w:rPr>
          <w:rFonts w:cs="Arial" w:hint="cs"/>
          <w:u w:val="single"/>
          <w:rtl/>
        </w:rPr>
        <w:t xml:space="preserve"> שבת:</w:t>
      </w:r>
    </w:p>
    <w:p w14:paraId="5275182A" w14:textId="77777777" w:rsidR="004B2E7C" w:rsidRPr="00FC2825" w:rsidRDefault="004B2E7C" w:rsidP="00FF2D21">
      <w:pPr>
        <w:pStyle w:val="aa"/>
        <w:numPr>
          <w:ilvl w:val="0"/>
          <w:numId w:val="86"/>
        </w:numPr>
        <w:rPr>
          <w:rtl/>
        </w:rPr>
      </w:pPr>
      <w:r w:rsidRPr="00FC2825">
        <w:rPr>
          <w:rFonts w:cs="Arial" w:hint="cs"/>
          <w:rtl/>
        </w:rPr>
        <w:t>ספר</w:t>
      </w:r>
      <w:r w:rsidRPr="00FC2825">
        <w:rPr>
          <w:rFonts w:cs="Arial"/>
          <w:rtl/>
        </w:rPr>
        <w:t xml:space="preserve"> </w:t>
      </w:r>
      <w:r w:rsidRPr="00FC2825">
        <w:rPr>
          <w:rFonts w:cs="Arial" w:hint="cs"/>
          <w:rtl/>
        </w:rPr>
        <w:t>חסידים</w:t>
      </w:r>
      <w:r w:rsidRPr="00FC2825">
        <w:rPr>
          <w:rFonts w:cs="Arial"/>
          <w:rtl/>
        </w:rPr>
        <w:t xml:space="preserve"> </w:t>
      </w:r>
      <w:r w:rsidRPr="00FC2825">
        <w:rPr>
          <w:rFonts w:cs="Arial"/>
          <w:sz w:val="16"/>
          <w:szCs w:val="16"/>
          <w:rtl/>
        </w:rPr>
        <w:t>(</w:t>
      </w:r>
      <w:r w:rsidRPr="00FC2825">
        <w:rPr>
          <w:rFonts w:cs="Arial" w:hint="cs"/>
          <w:sz w:val="16"/>
          <w:szCs w:val="16"/>
          <w:rtl/>
        </w:rPr>
        <w:t>סו</w:t>
      </w:r>
      <w:r w:rsidRPr="00FC2825">
        <w:rPr>
          <w:rFonts w:cs="Arial"/>
          <w:sz w:val="16"/>
          <w:szCs w:val="16"/>
          <w:rtl/>
        </w:rPr>
        <w:t>"</w:t>
      </w:r>
      <w:r w:rsidRPr="00FC2825">
        <w:rPr>
          <w:rFonts w:cs="Arial" w:hint="cs"/>
          <w:sz w:val="16"/>
          <w:szCs w:val="16"/>
          <w:rtl/>
        </w:rPr>
        <w:t>ס</w:t>
      </w:r>
      <w:r w:rsidRPr="00FC2825">
        <w:rPr>
          <w:rFonts w:cs="Arial"/>
          <w:sz w:val="16"/>
          <w:szCs w:val="16"/>
          <w:rtl/>
        </w:rPr>
        <w:t xml:space="preserve"> </w:t>
      </w:r>
      <w:r w:rsidRPr="00FC2825">
        <w:rPr>
          <w:rFonts w:cs="Arial" w:hint="cs"/>
          <w:sz w:val="16"/>
          <w:szCs w:val="16"/>
          <w:rtl/>
        </w:rPr>
        <w:t>נח, כ"כ הדרכ"מ [אות ב] בשמו)</w:t>
      </w:r>
      <w:r w:rsidRPr="00FC2825">
        <w:rPr>
          <w:rFonts w:cs="Arial"/>
          <w:sz w:val="16"/>
          <w:szCs w:val="16"/>
          <w:rtl/>
        </w:rPr>
        <w:t xml:space="preserve"> </w:t>
      </w:r>
      <w:r w:rsidRPr="00FC2825">
        <w:rPr>
          <w:rFonts w:cs="Arial" w:hint="cs"/>
          <w:rtl/>
        </w:rPr>
        <w:t>חיי</w:t>
      </w:r>
      <w:r w:rsidRPr="00FC2825">
        <w:rPr>
          <w:rFonts w:cs="Arial"/>
          <w:rtl/>
        </w:rPr>
        <w:t xml:space="preserve"> </w:t>
      </w:r>
      <w:r w:rsidRPr="00FC2825">
        <w:rPr>
          <w:rFonts w:cs="Arial" w:hint="cs"/>
          <w:rtl/>
        </w:rPr>
        <w:t>עולם</w:t>
      </w:r>
      <w:r w:rsidRPr="00FC2825">
        <w:rPr>
          <w:rFonts w:cs="Arial"/>
          <w:rtl/>
        </w:rPr>
        <w:t xml:space="preserve"> </w:t>
      </w:r>
      <w:r w:rsidRPr="00FC2825">
        <w:rPr>
          <w:rFonts w:cs="Arial"/>
          <w:sz w:val="16"/>
          <w:szCs w:val="16"/>
          <w:rtl/>
        </w:rPr>
        <w:t>(</w:t>
      </w:r>
      <w:r w:rsidRPr="00FC2825">
        <w:rPr>
          <w:rFonts w:cs="Arial" w:hint="cs"/>
          <w:sz w:val="16"/>
          <w:szCs w:val="16"/>
          <w:rtl/>
        </w:rPr>
        <w:t>ספר</w:t>
      </w:r>
      <w:r w:rsidRPr="00FC2825">
        <w:rPr>
          <w:rFonts w:cs="Arial"/>
          <w:sz w:val="16"/>
          <w:szCs w:val="16"/>
          <w:rtl/>
        </w:rPr>
        <w:t xml:space="preserve"> </w:t>
      </w:r>
      <w:r w:rsidRPr="00FC2825">
        <w:rPr>
          <w:rFonts w:cs="Arial" w:hint="cs"/>
          <w:sz w:val="16"/>
          <w:szCs w:val="16"/>
          <w:rtl/>
        </w:rPr>
        <w:t>היראה</w:t>
      </w:r>
      <w:r w:rsidRPr="00FC2825">
        <w:rPr>
          <w:rFonts w:cs="Arial"/>
          <w:sz w:val="16"/>
          <w:szCs w:val="16"/>
          <w:rtl/>
        </w:rPr>
        <w:t xml:space="preserve"> </w:t>
      </w:r>
      <w:r w:rsidRPr="00FC2825">
        <w:rPr>
          <w:rFonts w:cs="Arial" w:hint="cs"/>
          <w:sz w:val="16"/>
          <w:szCs w:val="16"/>
          <w:rtl/>
        </w:rPr>
        <w:t>לרבינו</w:t>
      </w:r>
      <w:r w:rsidRPr="00FC2825">
        <w:rPr>
          <w:rFonts w:cs="Arial"/>
          <w:sz w:val="16"/>
          <w:szCs w:val="16"/>
          <w:rtl/>
        </w:rPr>
        <w:t xml:space="preserve"> </w:t>
      </w:r>
      <w:r w:rsidRPr="00FC2825">
        <w:rPr>
          <w:rFonts w:cs="Arial" w:hint="cs"/>
          <w:sz w:val="16"/>
          <w:szCs w:val="16"/>
          <w:rtl/>
        </w:rPr>
        <w:t>יונה</w:t>
      </w:r>
      <w:r w:rsidRPr="00FC2825">
        <w:rPr>
          <w:rFonts w:cs="Arial"/>
          <w:sz w:val="16"/>
          <w:szCs w:val="16"/>
          <w:rtl/>
        </w:rPr>
        <w:t xml:space="preserve"> </w:t>
      </w:r>
      <w:r w:rsidRPr="00FC2825">
        <w:rPr>
          <w:rFonts w:cs="Arial" w:hint="cs"/>
          <w:sz w:val="16"/>
          <w:szCs w:val="16"/>
          <w:rtl/>
        </w:rPr>
        <w:t>אות</w:t>
      </w:r>
      <w:r w:rsidRPr="00FC2825">
        <w:rPr>
          <w:rFonts w:cs="Arial"/>
          <w:sz w:val="16"/>
          <w:szCs w:val="16"/>
          <w:rtl/>
        </w:rPr>
        <w:t xml:space="preserve"> </w:t>
      </w:r>
      <w:r w:rsidRPr="00FC2825">
        <w:rPr>
          <w:rFonts w:cs="Arial" w:hint="cs"/>
          <w:sz w:val="16"/>
          <w:szCs w:val="16"/>
          <w:rtl/>
        </w:rPr>
        <w:t>שט</w:t>
      </w:r>
      <w:r w:rsidRPr="00FC2825">
        <w:rPr>
          <w:rFonts w:cs="Arial"/>
          <w:sz w:val="16"/>
          <w:szCs w:val="16"/>
          <w:rtl/>
        </w:rPr>
        <w:t>)</w:t>
      </w:r>
      <w:r w:rsidRPr="00FC2825">
        <w:rPr>
          <w:rFonts w:cs="Arial" w:hint="cs"/>
          <w:sz w:val="16"/>
          <w:szCs w:val="16"/>
          <w:rtl/>
        </w:rPr>
        <w:t xml:space="preserve"> </w:t>
      </w:r>
      <w:r>
        <w:rPr>
          <w:rFonts w:cs="Arial" w:hint="cs"/>
          <w:rtl/>
        </w:rPr>
        <w:t>ו</w:t>
      </w:r>
      <w:r w:rsidRPr="00FC2825">
        <w:rPr>
          <w:rFonts w:cs="Arial" w:hint="cs"/>
          <w:rtl/>
        </w:rPr>
        <w:t>כל</w:t>
      </w:r>
      <w:r w:rsidRPr="00FC2825">
        <w:rPr>
          <w:rFonts w:cs="Arial"/>
          <w:rtl/>
        </w:rPr>
        <w:t xml:space="preserve"> </w:t>
      </w:r>
      <w:r w:rsidRPr="00FC2825">
        <w:rPr>
          <w:rFonts w:cs="Arial" w:hint="cs"/>
          <w:rtl/>
        </w:rPr>
        <w:t>בו</w:t>
      </w:r>
      <w:r w:rsidRPr="00FC2825">
        <w:rPr>
          <w:rFonts w:cs="Arial"/>
          <w:rtl/>
        </w:rPr>
        <w:t xml:space="preserve"> </w:t>
      </w:r>
      <w:r w:rsidRPr="00FC2825">
        <w:rPr>
          <w:rFonts w:cs="Arial"/>
          <w:sz w:val="16"/>
          <w:szCs w:val="16"/>
          <w:rtl/>
        </w:rPr>
        <w:t>(</w:t>
      </w:r>
      <w:r w:rsidRPr="00FC2825">
        <w:rPr>
          <w:rFonts w:cs="Arial" w:hint="cs"/>
          <w:sz w:val="16"/>
          <w:szCs w:val="16"/>
          <w:rtl/>
        </w:rPr>
        <w:t>סו</w:t>
      </w:r>
      <w:r w:rsidRPr="00FC2825">
        <w:rPr>
          <w:rFonts w:cs="Arial"/>
          <w:sz w:val="16"/>
          <w:szCs w:val="16"/>
          <w:rtl/>
        </w:rPr>
        <w:t>"</w:t>
      </w:r>
      <w:r w:rsidRPr="00FC2825">
        <w:rPr>
          <w:rFonts w:cs="Arial" w:hint="cs"/>
          <w:sz w:val="16"/>
          <w:szCs w:val="16"/>
          <w:rtl/>
        </w:rPr>
        <w:t>ס</w:t>
      </w:r>
      <w:r w:rsidRPr="00FC2825">
        <w:rPr>
          <w:rFonts w:cs="Arial"/>
          <w:sz w:val="16"/>
          <w:szCs w:val="16"/>
          <w:rtl/>
        </w:rPr>
        <w:t xml:space="preserve"> </w:t>
      </w:r>
      <w:r w:rsidRPr="00FC2825">
        <w:rPr>
          <w:rFonts w:cs="Arial" w:hint="cs"/>
          <w:sz w:val="16"/>
          <w:szCs w:val="16"/>
          <w:rtl/>
        </w:rPr>
        <w:t>ל</w:t>
      </w:r>
      <w:r w:rsidRPr="00FC2825">
        <w:rPr>
          <w:rFonts w:cs="Arial"/>
          <w:sz w:val="16"/>
          <w:szCs w:val="16"/>
          <w:rtl/>
        </w:rPr>
        <w:t>"</w:t>
      </w:r>
      <w:r w:rsidRPr="00FC2825">
        <w:rPr>
          <w:rFonts w:cs="Arial" w:hint="cs"/>
          <w:sz w:val="16"/>
          <w:szCs w:val="16"/>
          <w:rtl/>
        </w:rPr>
        <w:t>ה</w:t>
      </w:r>
      <w:r w:rsidRPr="00FC2825">
        <w:rPr>
          <w:rFonts w:cs="Arial"/>
          <w:sz w:val="16"/>
          <w:szCs w:val="16"/>
          <w:rtl/>
        </w:rPr>
        <w:t>)</w:t>
      </w:r>
      <w:r w:rsidRPr="00FC2825">
        <w:rPr>
          <w:rFonts w:cs="Arial" w:hint="cs"/>
          <w:rtl/>
        </w:rPr>
        <w:t>- צריך</w:t>
      </w:r>
      <w:r w:rsidRPr="00FC2825">
        <w:rPr>
          <w:rFonts w:cs="Arial"/>
          <w:rtl/>
        </w:rPr>
        <w:t xml:space="preserve"> </w:t>
      </w:r>
      <w:r w:rsidRPr="00FC2825">
        <w:rPr>
          <w:rFonts w:cs="Arial" w:hint="cs"/>
          <w:rtl/>
        </w:rPr>
        <w:t>ליזהר</w:t>
      </w:r>
      <w:r w:rsidRPr="00FC2825">
        <w:rPr>
          <w:rFonts w:cs="Arial"/>
          <w:rtl/>
        </w:rPr>
        <w:t xml:space="preserve"> </w:t>
      </w:r>
      <w:r w:rsidRPr="00FC2825">
        <w:rPr>
          <w:rFonts w:cs="Arial" w:hint="cs"/>
          <w:rtl/>
        </w:rPr>
        <w:t>בתגלחת</w:t>
      </w:r>
      <w:r w:rsidRPr="00FC2825">
        <w:rPr>
          <w:rFonts w:cs="Arial"/>
          <w:rtl/>
        </w:rPr>
        <w:t xml:space="preserve"> </w:t>
      </w:r>
      <w:r w:rsidRPr="00FC2825">
        <w:rPr>
          <w:rFonts w:cs="Arial" w:hint="cs"/>
          <w:rtl/>
        </w:rPr>
        <w:t>צפרנים</w:t>
      </w:r>
      <w:r w:rsidRPr="00FC2825">
        <w:rPr>
          <w:rFonts w:cs="Arial"/>
          <w:rtl/>
        </w:rPr>
        <w:t xml:space="preserve"> </w:t>
      </w:r>
      <w:r w:rsidRPr="00FC2825">
        <w:rPr>
          <w:rFonts w:cs="Arial" w:hint="cs"/>
          <w:rtl/>
        </w:rPr>
        <w:t>בכל</w:t>
      </w:r>
      <w:r w:rsidRPr="00FC2825">
        <w:rPr>
          <w:rFonts w:cs="Arial"/>
          <w:rtl/>
        </w:rPr>
        <w:t xml:space="preserve"> </w:t>
      </w:r>
      <w:r w:rsidRPr="00FC2825">
        <w:rPr>
          <w:rFonts w:cs="Arial" w:hint="cs"/>
          <w:rtl/>
        </w:rPr>
        <w:t>ערב</w:t>
      </w:r>
      <w:r w:rsidRPr="00FC2825">
        <w:rPr>
          <w:rFonts w:cs="Arial"/>
          <w:rtl/>
        </w:rPr>
        <w:t xml:space="preserve"> </w:t>
      </w:r>
      <w:r w:rsidRPr="00FC2825">
        <w:rPr>
          <w:rFonts w:cs="Arial" w:hint="cs"/>
          <w:rtl/>
        </w:rPr>
        <w:t>שבת</w:t>
      </w:r>
      <w:r>
        <w:rPr>
          <w:rStyle w:val="a9"/>
          <w:rFonts w:cs="Arial"/>
          <w:rtl/>
        </w:rPr>
        <w:footnoteReference w:id="578"/>
      </w:r>
      <w:r w:rsidRPr="00FC2825">
        <w:rPr>
          <w:rFonts w:cs="Arial" w:hint="cs"/>
          <w:sz w:val="16"/>
          <w:szCs w:val="16"/>
          <w:rtl/>
        </w:rPr>
        <w:t xml:space="preserve"> (ל' הב"י בשם הכלבו)</w:t>
      </w:r>
      <w:r w:rsidRPr="00FC2825">
        <w:rPr>
          <w:rFonts w:cs="Arial" w:hint="cs"/>
          <w:rtl/>
        </w:rPr>
        <w:t>.</w:t>
      </w:r>
      <w:r w:rsidRPr="00FC2825">
        <w:rPr>
          <w:rFonts w:cs="Arial"/>
          <w:rtl/>
        </w:rPr>
        <w:t xml:space="preserve"> </w:t>
      </w:r>
      <w:r w:rsidRPr="005275DF">
        <w:rPr>
          <w:rFonts w:asciiTheme="minorBidi" w:hAnsiTheme="minorBidi"/>
          <w:color w:val="E36C0A" w:themeColor="accent6" w:themeShade="BF"/>
          <w:rtl/>
        </w:rPr>
        <w:t>(וכ"פ בשו"ע)</w:t>
      </w:r>
    </w:p>
    <w:p w14:paraId="712CEB2E"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3474170" w14:textId="77777777" w:rsidR="004B2E7C" w:rsidRDefault="004B2E7C" w:rsidP="00434A6A">
      <w:pPr>
        <w:rPr>
          <w:rFonts w:asciiTheme="minorBidi" w:hAnsiTheme="minorBidi"/>
          <w:rtl/>
        </w:rPr>
      </w:pPr>
      <w:r w:rsidRPr="00CC2350">
        <w:rPr>
          <w:rFonts w:asciiTheme="minorBidi" w:hAnsiTheme="minorBidi" w:cs="Arial"/>
          <w:rtl/>
        </w:rPr>
        <w:t xml:space="preserve">מצוה לרחוץ </w:t>
      </w:r>
      <w:r w:rsidRPr="00170E7B">
        <w:rPr>
          <w:rFonts w:asciiTheme="minorBidi" w:hAnsiTheme="minorBidi" w:cs="Arial"/>
          <w:sz w:val="18"/>
          <w:szCs w:val="18"/>
          <w:rtl/>
        </w:rPr>
        <w:t xml:space="preserve">הגה: כל גופו. ואם א"א לו, ירחוץ (טור) </w:t>
      </w:r>
      <w:r w:rsidRPr="00CC2350">
        <w:rPr>
          <w:rFonts w:asciiTheme="minorBidi" w:hAnsiTheme="minorBidi" w:cs="Arial"/>
          <w:rtl/>
        </w:rPr>
        <w:t>פניו ידיו ורגליו בחמין בע</w:t>
      </w:r>
      <w:r>
        <w:rPr>
          <w:rFonts w:asciiTheme="minorBidi" w:hAnsiTheme="minorBidi" w:cs="Arial" w:hint="cs"/>
          <w:rtl/>
        </w:rPr>
        <w:t xml:space="preserve">רב </w:t>
      </w:r>
      <w:r w:rsidRPr="00CC2350">
        <w:rPr>
          <w:rFonts w:asciiTheme="minorBidi" w:hAnsiTheme="minorBidi" w:cs="Arial"/>
          <w:rtl/>
        </w:rPr>
        <w:t>ש</w:t>
      </w:r>
      <w:r>
        <w:rPr>
          <w:rFonts w:asciiTheme="minorBidi" w:hAnsiTheme="minorBidi" w:cs="Arial" w:hint="cs"/>
          <w:rtl/>
        </w:rPr>
        <w:t>בת</w:t>
      </w:r>
      <w:r>
        <w:rPr>
          <w:rStyle w:val="a9"/>
          <w:rFonts w:asciiTheme="minorBidi" w:hAnsiTheme="minorBidi" w:cs="Arial"/>
          <w:rtl/>
        </w:rPr>
        <w:footnoteReference w:id="579"/>
      </w:r>
      <w:r>
        <w:rPr>
          <w:rFonts w:asciiTheme="minorBidi" w:hAnsiTheme="minorBidi" w:cs="Arial" w:hint="cs"/>
          <w:rtl/>
        </w:rPr>
        <w:t>.</w:t>
      </w:r>
      <w:r w:rsidRPr="00CC2350">
        <w:rPr>
          <w:rFonts w:asciiTheme="minorBidi" w:hAnsiTheme="minorBidi" w:cs="Arial"/>
          <w:rtl/>
        </w:rPr>
        <w:t xml:space="preserve"> ומצוה לחוף הראש ולגלח הצפרנים</w:t>
      </w:r>
      <w:r>
        <w:rPr>
          <w:rStyle w:val="a9"/>
          <w:rFonts w:asciiTheme="minorBidi" w:hAnsiTheme="minorBidi" w:cs="Arial"/>
          <w:rtl/>
        </w:rPr>
        <w:footnoteReference w:id="580"/>
      </w:r>
      <w:r w:rsidRPr="00CC2350">
        <w:rPr>
          <w:rFonts w:asciiTheme="minorBidi" w:hAnsiTheme="minorBidi" w:cs="Arial"/>
          <w:rtl/>
        </w:rPr>
        <w:t xml:space="preserve"> בע</w:t>
      </w:r>
      <w:r>
        <w:rPr>
          <w:rFonts w:asciiTheme="minorBidi" w:hAnsiTheme="minorBidi" w:cs="Arial" w:hint="cs"/>
          <w:rtl/>
        </w:rPr>
        <w:t xml:space="preserve">רב </w:t>
      </w:r>
      <w:r w:rsidRPr="00CC2350">
        <w:rPr>
          <w:rFonts w:asciiTheme="minorBidi" w:hAnsiTheme="minorBidi" w:cs="Arial"/>
          <w:rtl/>
        </w:rPr>
        <w:t>ש</w:t>
      </w:r>
      <w:r>
        <w:rPr>
          <w:rFonts w:asciiTheme="minorBidi" w:hAnsiTheme="minorBidi" w:cs="Arial" w:hint="cs"/>
          <w:rtl/>
        </w:rPr>
        <w:t>בת</w:t>
      </w:r>
      <w:r w:rsidRPr="00CC2350">
        <w:rPr>
          <w:rFonts w:asciiTheme="minorBidi" w:hAnsiTheme="minorBidi" w:cs="Arial"/>
          <w:rtl/>
        </w:rPr>
        <w:t xml:space="preserve">. </w:t>
      </w:r>
      <w:r w:rsidRPr="00170E7B">
        <w:rPr>
          <w:rFonts w:asciiTheme="minorBidi" w:hAnsiTheme="minorBidi" w:cs="Arial"/>
          <w:sz w:val="18"/>
          <w:szCs w:val="18"/>
          <w:rtl/>
        </w:rPr>
        <w:t>הגה: ואם היו שערות ראשו גדולות, מצוה לגלחן (א</w:t>
      </w:r>
      <w:r>
        <w:rPr>
          <w:rFonts w:asciiTheme="minorBidi" w:hAnsiTheme="minorBidi" w:cs="Arial" w:hint="cs"/>
          <w:sz w:val="18"/>
          <w:szCs w:val="18"/>
          <w:rtl/>
        </w:rPr>
        <w:t>ו</w:t>
      </w:r>
      <w:r w:rsidRPr="00170E7B">
        <w:rPr>
          <w:rFonts w:asciiTheme="minorBidi" w:hAnsiTheme="minorBidi" w:cs="Arial"/>
          <w:sz w:val="18"/>
          <w:szCs w:val="18"/>
          <w:rtl/>
        </w:rPr>
        <w:t>"ז פ' אלו מגלחין). וכשנוטל צפרניו לא יטול אותן כסדרן</w:t>
      </w:r>
      <w:r>
        <w:rPr>
          <w:rStyle w:val="a9"/>
          <w:rFonts w:asciiTheme="minorBidi" w:hAnsiTheme="minorBidi" w:cs="Arial"/>
          <w:sz w:val="18"/>
          <w:szCs w:val="18"/>
          <w:rtl/>
        </w:rPr>
        <w:footnoteReference w:id="581"/>
      </w:r>
      <w:r w:rsidRPr="00170E7B">
        <w:rPr>
          <w:rFonts w:asciiTheme="minorBidi" w:hAnsiTheme="minorBidi" w:cs="Arial"/>
          <w:sz w:val="18"/>
          <w:szCs w:val="18"/>
          <w:rtl/>
        </w:rPr>
        <w:t>. ויתחיל בשמאל, בקמיצה; ובימין, באצבע. וסימן לזה: דבהג"א, בשמאלו</w:t>
      </w:r>
      <w:r>
        <w:rPr>
          <w:rFonts w:asciiTheme="minorBidi" w:hAnsiTheme="minorBidi" w:cs="Arial" w:hint="cs"/>
          <w:sz w:val="18"/>
          <w:szCs w:val="18"/>
          <w:rtl/>
        </w:rPr>
        <w:t>.</w:t>
      </w:r>
      <w:r w:rsidRPr="00170E7B">
        <w:rPr>
          <w:rFonts w:asciiTheme="minorBidi" w:hAnsiTheme="minorBidi" w:cs="Arial"/>
          <w:sz w:val="18"/>
          <w:szCs w:val="18"/>
          <w:rtl/>
        </w:rPr>
        <w:t xml:space="preserve"> ובדאג"ה, בימין (אבודרהם וספר המוסר). </w:t>
      </w:r>
    </w:p>
    <w:p w14:paraId="3FA65E19" w14:textId="77777777" w:rsidR="004B2E7C" w:rsidRPr="00CC2350" w:rsidRDefault="004B2E7C" w:rsidP="00434A6A">
      <w:pPr>
        <w:rPr>
          <w:rFonts w:asciiTheme="minorBidi" w:hAnsiTheme="minorBidi"/>
          <w:rtl/>
        </w:rPr>
      </w:pPr>
    </w:p>
    <w:p w14:paraId="6C74BAF3" w14:textId="77777777" w:rsidR="004B2E7C" w:rsidRPr="00F02AA5" w:rsidRDefault="004B2E7C" w:rsidP="00434A6A">
      <w:pPr>
        <w:pStyle w:val="2"/>
        <w:rPr>
          <w:rtl/>
        </w:rPr>
      </w:pPr>
      <w:r w:rsidRPr="00CC2350">
        <w:rPr>
          <w:rtl/>
        </w:rPr>
        <w:t>סעיף ב</w:t>
      </w:r>
      <w:r>
        <w:rPr>
          <w:rFonts w:hint="cs"/>
          <w:rtl/>
        </w:rPr>
        <w:t>:</w:t>
      </w:r>
      <w:r w:rsidRPr="009C3D4F">
        <w:rPr>
          <w:rtl/>
        </w:rPr>
        <w:t xml:space="preserve"> </w:t>
      </w:r>
      <w:r w:rsidRPr="00CC2350">
        <w:rPr>
          <w:rtl/>
        </w:rPr>
        <w:t>עשרתם</w:t>
      </w:r>
      <w:r>
        <w:rPr>
          <w:rFonts w:hint="cs"/>
          <w:rtl/>
        </w:rPr>
        <w:t>,</w:t>
      </w:r>
      <w:r w:rsidRPr="00CC2350">
        <w:rPr>
          <w:rtl/>
        </w:rPr>
        <w:t xml:space="preserve"> </w:t>
      </w:r>
      <w:r w:rsidRPr="00CF1885">
        <w:rPr>
          <w:rtl/>
        </w:rPr>
        <w:t>ערבתם</w:t>
      </w:r>
      <w:r>
        <w:rPr>
          <w:rFonts w:hint="cs"/>
          <w:rtl/>
        </w:rPr>
        <w:t>,</w:t>
      </w:r>
      <w:r w:rsidRPr="00CC2350">
        <w:rPr>
          <w:rtl/>
        </w:rPr>
        <w:t xml:space="preserve"> ה</w:t>
      </w:r>
      <w:r>
        <w:rPr>
          <w:rFonts w:hint="cs"/>
          <w:rtl/>
        </w:rPr>
        <w:t>דליקו את הנר.</w:t>
      </w:r>
    </w:p>
    <w:p w14:paraId="5534DC42" w14:textId="77777777" w:rsidR="004B2E7C" w:rsidRDefault="004B2E7C" w:rsidP="00434A6A">
      <w:pPr>
        <w:rPr>
          <w:rtl/>
        </w:rPr>
      </w:pPr>
      <w:r w:rsidRPr="003F5E84">
        <w:rPr>
          <w:rFonts w:cs="Arial" w:hint="cs"/>
          <w:b/>
          <w:bCs/>
          <w:rtl/>
        </w:rPr>
        <w:t>שבת</w:t>
      </w:r>
      <w:r>
        <w:rPr>
          <w:rFonts w:cs="Arial" w:hint="cs"/>
          <w:b/>
          <w:bCs/>
          <w:rtl/>
        </w:rPr>
        <w:t xml:space="preserve"> </w:t>
      </w:r>
      <w:r>
        <w:rPr>
          <w:rFonts w:cs="Arial" w:hint="cs"/>
          <w:b/>
          <w:bCs/>
          <w:sz w:val="16"/>
          <w:szCs w:val="16"/>
          <w:rtl/>
        </w:rPr>
        <w:t>(ס"פ במה מדליקין)</w:t>
      </w:r>
      <w:r w:rsidRPr="003F5E84">
        <w:rPr>
          <w:rFonts w:cs="Arial" w:hint="cs"/>
          <w:b/>
          <w:bCs/>
          <w:rtl/>
        </w:rPr>
        <w:t xml:space="preserve"> ל</w:t>
      </w:r>
      <w:r>
        <w:rPr>
          <w:rFonts w:cs="Arial" w:hint="cs"/>
          <w:b/>
          <w:bCs/>
          <w:rtl/>
        </w:rPr>
        <w:t>ד</w:t>
      </w:r>
      <w:r w:rsidRPr="003F5E84">
        <w:rPr>
          <w:rFonts w:cs="Arial" w:hint="cs"/>
          <w:b/>
          <w:bCs/>
          <w:rtl/>
        </w:rPr>
        <w:t xml:space="preserve"> ע"</w:t>
      </w:r>
      <w:r>
        <w:rPr>
          <w:rFonts w:cs="Arial" w:hint="cs"/>
          <w:b/>
          <w:bCs/>
          <w:rtl/>
        </w:rPr>
        <w:t>א</w:t>
      </w:r>
      <w:r w:rsidRPr="003F5E84">
        <w:rPr>
          <w:rFonts w:cs="Arial" w:hint="cs"/>
          <w:b/>
          <w:bCs/>
          <w:rtl/>
        </w:rPr>
        <w:t>:</w:t>
      </w:r>
      <w:r w:rsidRPr="00F02AA5">
        <w:rPr>
          <w:rFonts w:hint="cs"/>
          <w:rtl/>
        </w:rPr>
        <w:t xml:space="preserve"> </w:t>
      </w:r>
      <w:r w:rsidRPr="00F02AA5">
        <w:rPr>
          <w:rFonts w:cs="Arial" w:hint="cs"/>
          <w:u w:val="double"/>
          <w:rtl/>
        </w:rPr>
        <w:t>משנה</w:t>
      </w:r>
      <w:r>
        <w:rPr>
          <w:rFonts w:cs="Arial" w:hint="cs"/>
          <w:rtl/>
        </w:rPr>
        <w:t>:</w:t>
      </w:r>
      <w:r w:rsidRPr="00F02AA5">
        <w:rPr>
          <w:rFonts w:cs="Arial"/>
          <w:rtl/>
        </w:rPr>
        <w:t xml:space="preserve"> </w:t>
      </w:r>
      <w:r w:rsidRPr="00F02AA5">
        <w:rPr>
          <w:rFonts w:cs="Arial" w:hint="cs"/>
          <w:rtl/>
        </w:rPr>
        <w:t>שלשה</w:t>
      </w:r>
      <w:r w:rsidRPr="00F02AA5">
        <w:rPr>
          <w:rFonts w:cs="Arial"/>
          <w:rtl/>
        </w:rPr>
        <w:t xml:space="preserve"> </w:t>
      </w:r>
      <w:r w:rsidRPr="00F02AA5">
        <w:rPr>
          <w:rFonts w:cs="Arial" w:hint="cs"/>
          <w:rtl/>
        </w:rPr>
        <w:t>דברים</w:t>
      </w:r>
      <w:r w:rsidRPr="00F02AA5">
        <w:rPr>
          <w:rFonts w:cs="Arial"/>
          <w:rtl/>
        </w:rPr>
        <w:t xml:space="preserve"> </w:t>
      </w:r>
      <w:r w:rsidRPr="00F02AA5">
        <w:rPr>
          <w:rFonts w:cs="Arial" w:hint="cs"/>
          <w:rtl/>
        </w:rPr>
        <w:t>צריך</w:t>
      </w:r>
      <w:r w:rsidRPr="00F02AA5">
        <w:rPr>
          <w:rFonts w:cs="Arial"/>
          <w:rtl/>
        </w:rPr>
        <w:t xml:space="preserve"> </w:t>
      </w:r>
      <w:r w:rsidRPr="00F02AA5">
        <w:rPr>
          <w:rFonts w:cs="Arial" w:hint="cs"/>
          <w:rtl/>
        </w:rPr>
        <w:t>אדם</w:t>
      </w:r>
      <w:r w:rsidRPr="00F02AA5">
        <w:rPr>
          <w:rFonts w:cs="Arial"/>
          <w:rtl/>
        </w:rPr>
        <w:t xml:space="preserve"> </w:t>
      </w:r>
      <w:r w:rsidRPr="00F02AA5">
        <w:rPr>
          <w:rFonts w:cs="Arial" w:hint="cs"/>
          <w:rtl/>
        </w:rPr>
        <w:t>לומר</w:t>
      </w:r>
      <w:r w:rsidRPr="00F02AA5">
        <w:rPr>
          <w:rFonts w:cs="Arial"/>
          <w:rtl/>
        </w:rPr>
        <w:t xml:space="preserve"> </w:t>
      </w:r>
      <w:r w:rsidRPr="00F02AA5">
        <w:rPr>
          <w:rFonts w:cs="Arial" w:hint="cs"/>
          <w:rtl/>
        </w:rPr>
        <w:t>בתוך</w:t>
      </w:r>
      <w:r w:rsidRPr="00F02AA5">
        <w:rPr>
          <w:rFonts w:cs="Arial"/>
          <w:rtl/>
        </w:rPr>
        <w:t xml:space="preserve"> </w:t>
      </w:r>
      <w:r w:rsidRPr="00F02AA5">
        <w:rPr>
          <w:rFonts w:cs="Arial" w:hint="cs"/>
          <w:rtl/>
        </w:rPr>
        <w:t>ביתו</w:t>
      </w:r>
      <w:r w:rsidRPr="00F02AA5">
        <w:rPr>
          <w:rFonts w:cs="Arial"/>
          <w:rtl/>
        </w:rPr>
        <w:t xml:space="preserve"> </w:t>
      </w:r>
      <w:r w:rsidRPr="00F02AA5">
        <w:rPr>
          <w:rFonts w:cs="Arial" w:hint="cs"/>
          <w:rtl/>
        </w:rPr>
        <w:t>ערב</w:t>
      </w:r>
      <w:r w:rsidRPr="00F02AA5">
        <w:rPr>
          <w:rFonts w:cs="Arial"/>
          <w:rtl/>
        </w:rPr>
        <w:t xml:space="preserve"> </w:t>
      </w:r>
      <w:r w:rsidRPr="00F02AA5">
        <w:rPr>
          <w:rFonts w:cs="Arial" w:hint="cs"/>
          <w:rtl/>
        </w:rPr>
        <w:t>שבת</w:t>
      </w:r>
      <w:r w:rsidRPr="00F02AA5">
        <w:rPr>
          <w:rFonts w:cs="Arial"/>
          <w:rtl/>
        </w:rPr>
        <w:t xml:space="preserve"> </w:t>
      </w:r>
      <w:r w:rsidRPr="00F02AA5">
        <w:rPr>
          <w:rFonts w:cs="Arial" w:hint="cs"/>
          <w:rtl/>
        </w:rPr>
        <w:t>עם</w:t>
      </w:r>
      <w:r w:rsidRPr="00F02AA5">
        <w:rPr>
          <w:rFonts w:cs="Arial"/>
          <w:rtl/>
        </w:rPr>
        <w:t xml:space="preserve"> </w:t>
      </w:r>
      <w:r w:rsidRPr="00F02AA5">
        <w:rPr>
          <w:rFonts w:cs="Arial" w:hint="cs"/>
          <w:rtl/>
        </w:rPr>
        <w:t>חשכה</w:t>
      </w:r>
      <w:r>
        <w:rPr>
          <w:rStyle w:val="a9"/>
          <w:rFonts w:cs="Arial"/>
          <w:rtl/>
        </w:rPr>
        <w:footnoteReference w:id="582"/>
      </w:r>
      <w:r w:rsidRPr="00F02AA5">
        <w:rPr>
          <w:rFonts w:cs="Arial"/>
          <w:rtl/>
        </w:rPr>
        <w:t xml:space="preserve">: </w:t>
      </w:r>
      <w:r w:rsidRPr="00F02AA5">
        <w:rPr>
          <w:rFonts w:cs="Arial" w:hint="cs"/>
          <w:rtl/>
        </w:rPr>
        <w:t>עשרתם</w:t>
      </w:r>
      <w:r w:rsidRPr="00F02AA5">
        <w:rPr>
          <w:rFonts w:cs="Arial"/>
          <w:rtl/>
        </w:rPr>
        <w:t xml:space="preserve">, </w:t>
      </w:r>
      <w:r w:rsidRPr="00F02AA5">
        <w:rPr>
          <w:rFonts w:cs="Arial" w:hint="cs"/>
          <w:rtl/>
        </w:rPr>
        <w:t>ערבתם</w:t>
      </w:r>
      <w:r w:rsidRPr="00F02AA5">
        <w:rPr>
          <w:rFonts w:cs="Arial"/>
          <w:rtl/>
        </w:rPr>
        <w:t xml:space="preserve">? </w:t>
      </w:r>
      <w:r w:rsidRPr="00F02AA5">
        <w:rPr>
          <w:rFonts w:cs="Arial" w:hint="cs"/>
          <w:rtl/>
        </w:rPr>
        <w:t>הדליקו</w:t>
      </w:r>
      <w:r w:rsidRPr="00F02AA5">
        <w:rPr>
          <w:rFonts w:cs="Arial"/>
          <w:rtl/>
        </w:rPr>
        <w:t xml:space="preserve"> </w:t>
      </w:r>
      <w:r w:rsidRPr="00F02AA5">
        <w:rPr>
          <w:rFonts w:cs="Arial" w:hint="cs"/>
          <w:rtl/>
        </w:rPr>
        <w:t>את</w:t>
      </w:r>
      <w:r w:rsidRPr="00F02AA5">
        <w:rPr>
          <w:rFonts w:cs="Arial"/>
          <w:rtl/>
        </w:rPr>
        <w:t xml:space="preserve"> </w:t>
      </w:r>
      <w:r w:rsidRPr="00F02AA5">
        <w:rPr>
          <w:rFonts w:cs="Arial" w:hint="cs"/>
          <w:rtl/>
        </w:rPr>
        <w:t>הנר</w:t>
      </w:r>
      <w:r>
        <w:rPr>
          <w:rFonts w:cs="Arial" w:hint="cs"/>
          <w:rtl/>
        </w:rPr>
        <w:t>..</w:t>
      </w:r>
      <w:r w:rsidRPr="00F02AA5">
        <w:rPr>
          <w:rFonts w:cs="Arial"/>
          <w:rtl/>
        </w:rPr>
        <w:t>.</w:t>
      </w:r>
      <w:r w:rsidRPr="00F02AA5">
        <w:rPr>
          <w:rFonts w:hint="cs"/>
          <w:rtl/>
        </w:rPr>
        <w:t xml:space="preserve"> </w:t>
      </w:r>
      <w:r>
        <w:rPr>
          <w:rFonts w:hint="cs"/>
          <w:rtl/>
        </w:rPr>
        <w:t xml:space="preserve">         </w:t>
      </w:r>
      <w:r>
        <w:rPr>
          <w:rFonts w:cs="Arial" w:hint="cs"/>
          <w:u w:val="double"/>
          <w:rtl/>
        </w:rPr>
        <w:t>גמרא</w:t>
      </w:r>
      <w:r>
        <w:rPr>
          <w:rFonts w:cs="Arial" w:hint="cs"/>
          <w:rtl/>
        </w:rPr>
        <w:t xml:space="preserve">: </w:t>
      </w:r>
      <w:r w:rsidRPr="00F02AA5">
        <w:rPr>
          <w:rFonts w:cs="Arial" w:hint="cs"/>
          <w:u w:val="single"/>
          <w:rtl/>
        </w:rPr>
        <w:t>אמר</w:t>
      </w:r>
      <w:r w:rsidRPr="00F02AA5">
        <w:rPr>
          <w:rFonts w:cs="Arial"/>
          <w:u w:val="single"/>
          <w:rtl/>
        </w:rPr>
        <w:t xml:space="preserve"> </w:t>
      </w:r>
      <w:r w:rsidRPr="00F02AA5">
        <w:rPr>
          <w:rFonts w:cs="Arial" w:hint="cs"/>
          <w:u w:val="single"/>
          <w:rtl/>
        </w:rPr>
        <w:t>רבה</w:t>
      </w:r>
      <w:r w:rsidRPr="00F02AA5">
        <w:rPr>
          <w:rFonts w:cs="Arial"/>
          <w:u w:val="single"/>
          <w:rtl/>
        </w:rPr>
        <w:t xml:space="preserve"> </w:t>
      </w:r>
      <w:r w:rsidRPr="00F02AA5">
        <w:rPr>
          <w:rFonts w:cs="Arial" w:hint="cs"/>
          <w:u w:val="single"/>
          <w:rtl/>
        </w:rPr>
        <w:t>בר</w:t>
      </w:r>
      <w:r w:rsidRPr="00F02AA5">
        <w:rPr>
          <w:rFonts w:cs="Arial"/>
          <w:u w:val="single"/>
          <w:rtl/>
        </w:rPr>
        <w:t xml:space="preserve"> </w:t>
      </w:r>
      <w:r w:rsidRPr="00F02AA5">
        <w:rPr>
          <w:rFonts w:cs="Arial" w:hint="cs"/>
          <w:u w:val="single"/>
          <w:rtl/>
        </w:rPr>
        <w:t>רב</w:t>
      </w:r>
      <w:r w:rsidRPr="00F02AA5">
        <w:rPr>
          <w:rFonts w:cs="Arial"/>
          <w:u w:val="single"/>
          <w:rtl/>
        </w:rPr>
        <w:t xml:space="preserve"> </w:t>
      </w:r>
      <w:r w:rsidRPr="00F02AA5">
        <w:rPr>
          <w:rFonts w:cs="Arial" w:hint="cs"/>
          <w:u w:val="single"/>
          <w:rtl/>
        </w:rPr>
        <w:t>הונא</w:t>
      </w:r>
      <w:r w:rsidRPr="00F02AA5">
        <w:rPr>
          <w:rFonts w:cs="Arial"/>
          <w:rtl/>
        </w:rPr>
        <w:t xml:space="preserve">: </w:t>
      </w:r>
      <w:r w:rsidRPr="00F02AA5">
        <w:rPr>
          <w:rFonts w:cs="Arial" w:hint="cs"/>
          <w:rtl/>
        </w:rPr>
        <w:t>אף</w:t>
      </w:r>
      <w:r w:rsidRPr="00F02AA5">
        <w:rPr>
          <w:rFonts w:cs="Arial"/>
          <w:rtl/>
        </w:rPr>
        <w:t xml:space="preserve"> </w:t>
      </w:r>
      <w:r w:rsidRPr="00F02AA5">
        <w:rPr>
          <w:rFonts w:cs="Arial" w:hint="cs"/>
          <w:rtl/>
        </w:rPr>
        <w:t>על</w:t>
      </w:r>
      <w:r w:rsidRPr="00F02AA5">
        <w:rPr>
          <w:rFonts w:cs="Arial"/>
          <w:rtl/>
        </w:rPr>
        <w:t xml:space="preserve"> </w:t>
      </w:r>
      <w:r w:rsidRPr="00F02AA5">
        <w:rPr>
          <w:rFonts w:cs="Arial" w:hint="cs"/>
          <w:rtl/>
        </w:rPr>
        <w:t>גב</w:t>
      </w:r>
      <w:r w:rsidRPr="00F02AA5">
        <w:rPr>
          <w:rFonts w:cs="Arial"/>
          <w:rtl/>
        </w:rPr>
        <w:t xml:space="preserve"> </w:t>
      </w:r>
      <w:r w:rsidRPr="00F02AA5">
        <w:rPr>
          <w:rFonts w:cs="Arial" w:hint="cs"/>
          <w:rtl/>
        </w:rPr>
        <w:t>דאמור</w:t>
      </w:r>
      <w:r w:rsidRPr="00F02AA5">
        <w:rPr>
          <w:rFonts w:cs="Arial"/>
          <w:rtl/>
        </w:rPr>
        <w:t xml:space="preserve"> </w:t>
      </w:r>
      <w:r w:rsidRPr="00F02AA5">
        <w:rPr>
          <w:rFonts w:cs="Arial" w:hint="cs"/>
          <w:rtl/>
        </w:rPr>
        <w:t>רבנן</w:t>
      </w:r>
      <w:r w:rsidRPr="00F02AA5">
        <w:rPr>
          <w:rFonts w:cs="Arial"/>
          <w:rtl/>
        </w:rPr>
        <w:t xml:space="preserve"> </w:t>
      </w:r>
      <w:r w:rsidRPr="00F02AA5">
        <w:rPr>
          <w:rFonts w:cs="Arial" w:hint="cs"/>
          <w:rtl/>
        </w:rPr>
        <w:t>שלשה</w:t>
      </w:r>
      <w:r w:rsidRPr="00F02AA5">
        <w:rPr>
          <w:rFonts w:cs="Arial"/>
          <w:rtl/>
        </w:rPr>
        <w:t xml:space="preserve"> </w:t>
      </w:r>
      <w:r w:rsidRPr="00F02AA5">
        <w:rPr>
          <w:rFonts w:cs="Arial" w:hint="cs"/>
          <w:rtl/>
        </w:rPr>
        <w:t>דברים</w:t>
      </w:r>
      <w:r w:rsidRPr="00F02AA5">
        <w:rPr>
          <w:rFonts w:cs="Arial"/>
          <w:rtl/>
        </w:rPr>
        <w:t xml:space="preserve"> </w:t>
      </w:r>
      <w:r w:rsidRPr="00F02AA5">
        <w:rPr>
          <w:rFonts w:cs="Arial" w:hint="cs"/>
          <w:rtl/>
        </w:rPr>
        <w:t>צריך</w:t>
      </w:r>
      <w:r w:rsidRPr="00F02AA5">
        <w:rPr>
          <w:rFonts w:cs="Arial"/>
          <w:rtl/>
        </w:rPr>
        <w:t xml:space="preserve"> </w:t>
      </w:r>
      <w:r w:rsidRPr="00F02AA5">
        <w:rPr>
          <w:rFonts w:cs="Arial" w:hint="cs"/>
          <w:rtl/>
        </w:rPr>
        <w:t>אדם</w:t>
      </w:r>
      <w:r w:rsidRPr="00F02AA5">
        <w:rPr>
          <w:rFonts w:cs="Arial"/>
          <w:rtl/>
        </w:rPr>
        <w:t xml:space="preserve"> </w:t>
      </w:r>
      <w:r w:rsidRPr="00F02AA5">
        <w:rPr>
          <w:rFonts w:cs="Arial" w:hint="cs"/>
          <w:rtl/>
        </w:rPr>
        <w:t>לומר</w:t>
      </w:r>
      <w:r w:rsidRPr="00F02AA5">
        <w:rPr>
          <w:rFonts w:cs="Arial"/>
          <w:rtl/>
        </w:rPr>
        <w:t xml:space="preserve"> </w:t>
      </w:r>
      <w:r w:rsidRPr="00F02AA5">
        <w:rPr>
          <w:rFonts w:cs="Arial" w:hint="cs"/>
          <w:rtl/>
        </w:rPr>
        <w:t>וכו</w:t>
      </w:r>
      <w:r w:rsidRPr="00F02AA5">
        <w:rPr>
          <w:rFonts w:cs="Arial"/>
          <w:rtl/>
        </w:rPr>
        <w:t xml:space="preserve">', </w:t>
      </w:r>
      <w:r w:rsidRPr="00F02AA5">
        <w:rPr>
          <w:rFonts w:cs="Arial" w:hint="cs"/>
          <w:rtl/>
        </w:rPr>
        <w:t>צריך</w:t>
      </w:r>
      <w:r w:rsidRPr="00F02AA5">
        <w:rPr>
          <w:rFonts w:cs="Arial"/>
          <w:rtl/>
        </w:rPr>
        <w:t xml:space="preserve"> </w:t>
      </w:r>
      <w:r w:rsidRPr="00F02AA5">
        <w:rPr>
          <w:rFonts w:cs="Arial" w:hint="cs"/>
          <w:rtl/>
        </w:rPr>
        <w:t>למימרינהו</w:t>
      </w:r>
      <w:r w:rsidRPr="00F02AA5">
        <w:rPr>
          <w:rFonts w:cs="Arial"/>
          <w:rtl/>
        </w:rPr>
        <w:t xml:space="preserve"> </w:t>
      </w:r>
      <w:r w:rsidRPr="00F02AA5">
        <w:rPr>
          <w:rFonts w:cs="Arial" w:hint="cs"/>
          <w:rtl/>
        </w:rPr>
        <w:t>בניחותא</w:t>
      </w:r>
      <w:r w:rsidRPr="00F02AA5">
        <w:rPr>
          <w:rFonts w:cs="Arial"/>
          <w:rtl/>
        </w:rPr>
        <w:t xml:space="preserve">, </w:t>
      </w:r>
      <w:r w:rsidRPr="00F02AA5">
        <w:rPr>
          <w:rFonts w:cs="Arial" w:hint="cs"/>
          <w:rtl/>
        </w:rPr>
        <w:t>כי</w:t>
      </w:r>
      <w:r w:rsidRPr="00F02AA5">
        <w:rPr>
          <w:rFonts w:cs="Arial"/>
          <w:rtl/>
        </w:rPr>
        <w:t xml:space="preserve"> </w:t>
      </w:r>
      <w:r w:rsidRPr="00F02AA5">
        <w:rPr>
          <w:rFonts w:cs="Arial" w:hint="cs"/>
          <w:rtl/>
        </w:rPr>
        <w:t>היכי</w:t>
      </w:r>
      <w:r w:rsidRPr="00F02AA5">
        <w:rPr>
          <w:rFonts w:cs="Arial"/>
          <w:rtl/>
        </w:rPr>
        <w:t xml:space="preserve"> </w:t>
      </w:r>
      <w:r w:rsidRPr="00F02AA5">
        <w:rPr>
          <w:rFonts w:cs="Arial" w:hint="cs"/>
          <w:rtl/>
        </w:rPr>
        <w:t>דליקבלינהו</w:t>
      </w:r>
      <w:r w:rsidRPr="00F02AA5">
        <w:rPr>
          <w:rFonts w:cs="Arial"/>
          <w:rtl/>
        </w:rPr>
        <w:t xml:space="preserve"> </w:t>
      </w:r>
      <w:r w:rsidRPr="00F02AA5">
        <w:rPr>
          <w:rFonts w:cs="Arial" w:hint="cs"/>
          <w:rtl/>
        </w:rPr>
        <w:t>מיניה</w:t>
      </w:r>
      <w:r w:rsidRPr="00F02AA5">
        <w:rPr>
          <w:rFonts w:cs="Arial"/>
          <w:rtl/>
        </w:rPr>
        <w:t xml:space="preserve">. </w:t>
      </w:r>
      <w:r w:rsidRPr="00F02AA5">
        <w:rPr>
          <w:rFonts w:cs="Arial" w:hint="cs"/>
          <w:u w:val="single"/>
          <w:rtl/>
        </w:rPr>
        <w:t>אמר</w:t>
      </w:r>
      <w:r w:rsidRPr="00F02AA5">
        <w:rPr>
          <w:rFonts w:cs="Arial"/>
          <w:u w:val="single"/>
          <w:rtl/>
        </w:rPr>
        <w:t xml:space="preserve"> </w:t>
      </w:r>
      <w:r w:rsidRPr="00F02AA5">
        <w:rPr>
          <w:rFonts w:cs="Arial" w:hint="cs"/>
          <w:u w:val="single"/>
          <w:rtl/>
        </w:rPr>
        <w:t>רב</w:t>
      </w:r>
      <w:r w:rsidRPr="00F02AA5">
        <w:rPr>
          <w:rFonts w:cs="Arial"/>
          <w:u w:val="single"/>
          <w:rtl/>
        </w:rPr>
        <w:t xml:space="preserve"> </w:t>
      </w:r>
      <w:r w:rsidRPr="00F02AA5">
        <w:rPr>
          <w:rFonts w:cs="Arial" w:hint="cs"/>
          <w:u w:val="single"/>
          <w:rtl/>
        </w:rPr>
        <w:t>אשי</w:t>
      </w:r>
      <w:r w:rsidRPr="00F02AA5">
        <w:rPr>
          <w:rFonts w:cs="Arial"/>
          <w:rtl/>
        </w:rPr>
        <w:t xml:space="preserve">: </w:t>
      </w:r>
      <w:r w:rsidRPr="00F02AA5">
        <w:rPr>
          <w:rFonts w:cs="Arial" w:hint="cs"/>
          <w:rtl/>
        </w:rPr>
        <w:t>אנא</w:t>
      </w:r>
      <w:r w:rsidRPr="00F02AA5">
        <w:rPr>
          <w:rFonts w:cs="Arial"/>
          <w:rtl/>
        </w:rPr>
        <w:t xml:space="preserve"> </w:t>
      </w:r>
      <w:r w:rsidRPr="00F02AA5">
        <w:rPr>
          <w:rFonts w:cs="Arial" w:hint="cs"/>
          <w:rtl/>
        </w:rPr>
        <w:t>לא</w:t>
      </w:r>
      <w:r w:rsidRPr="00F02AA5">
        <w:rPr>
          <w:rFonts w:cs="Arial"/>
          <w:rtl/>
        </w:rPr>
        <w:t xml:space="preserve"> </w:t>
      </w:r>
      <w:r w:rsidRPr="00F02AA5">
        <w:rPr>
          <w:rFonts w:cs="Arial" w:hint="cs"/>
          <w:rtl/>
        </w:rPr>
        <w:t>שמיע</w:t>
      </w:r>
      <w:r w:rsidRPr="00F02AA5">
        <w:rPr>
          <w:rFonts w:cs="Arial"/>
          <w:rtl/>
        </w:rPr>
        <w:t xml:space="preserve"> </w:t>
      </w:r>
      <w:r w:rsidRPr="00F02AA5">
        <w:rPr>
          <w:rFonts w:cs="Arial" w:hint="cs"/>
          <w:rtl/>
        </w:rPr>
        <w:t>לי</w:t>
      </w:r>
      <w:r w:rsidRPr="00F02AA5">
        <w:rPr>
          <w:rFonts w:cs="Arial"/>
          <w:rtl/>
        </w:rPr>
        <w:t xml:space="preserve"> </w:t>
      </w:r>
      <w:r w:rsidRPr="00F02AA5">
        <w:rPr>
          <w:rFonts w:cs="Arial" w:hint="cs"/>
          <w:rtl/>
        </w:rPr>
        <w:t>הא</w:t>
      </w:r>
      <w:r w:rsidRPr="00F02AA5">
        <w:rPr>
          <w:rFonts w:cs="Arial"/>
          <w:rtl/>
        </w:rPr>
        <w:t xml:space="preserve"> </w:t>
      </w:r>
      <w:r w:rsidRPr="00F02AA5">
        <w:rPr>
          <w:rFonts w:cs="Arial" w:hint="cs"/>
          <w:rtl/>
        </w:rPr>
        <w:t>דרבה</w:t>
      </w:r>
      <w:r w:rsidRPr="00F02AA5">
        <w:rPr>
          <w:rFonts w:cs="Arial"/>
          <w:rtl/>
        </w:rPr>
        <w:t xml:space="preserve"> </w:t>
      </w:r>
      <w:r w:rsidRPr="00F02AA5">
        <w:rPr>
          <w:rFonts w:cs="Arial" w:hint="cs"/>
          <w:rtl/>
        </w:rPr>
        <w:t>בר</w:t>
      </w:r>
      <w:r w:rsidRPr="00F02AA5">
        <w:rPr>
          <w:rFonts w:cs="Arial"/>
          <w:rtl/>
        </w:rPr>
        <w:t xml:space="preserve"> </w:t>
      </w:r>
      <w:r w:rsidRPr="00F02AA5">
        <w:rPr>
          <w:rFonts w:cs="Arial" w:hint="cs"/>
          <w:rtl/>
        </w:rPr>
        <w:t>רב</w:t>
      </w:r>
      <w:r w:rsidRPr="00F02AA5">
        <w:rPr>
          <w:rFonts w:cs="Arial"/>
          <w:rtl/>
        </w:rPr>
        <w:t xml:space="preserve"> </w:t>
      </w:r>
      <w:r w:rsidRPr="00F02AA5">
        <w:rPr>
          <w:rFonts w:cs="Arial" w:hint="cs"/>
          <w:rtl/>
        </w:rPr>
        <w:t>הונא</w:t>
      </w:r>
      <w:r w:rsidRPr="00F02AA5">
        <w:rPr>
          <w:rFonts w:cs="Arial"/>
          <w:rtl/>
        </w:rPr>
        <w:t xml:space="preserve">, </w:t>
      </w:r>
      <w:r w:rsidRPr="00F02AA5">
        <w:rPr>
          <w:rFonts w:cs="Arial" w:hint="cs"/>
          <w:rtl/>
        </w:rPr>
        <w:t>וקיימתי</w:t>
      </w:r>
      <w:r w:rsidRPr="00F02AA5">
        <w:rPr>
          <w:rFonts w:cs="Arial"/>
          <w:rtl/>
        </w:rPr>
        <w:t xml:space="preserve"> </w:t>
      </w:r>
      <w:r w:rsidRPr="00F02AA5">
        <w:rPr>
          <w:rFonts w:cs="Arial" w:hint="cs"/>
          <w:rtl/>
        </w:rPr>
        <w:t>מסברא</w:t>
      </w:r>
      <w:r w:rsidRPr="00F02AA5">
        <w:rPr>
          <w:rFonts w:cs="Arial"/>
          <w:rtl/>
        </w:rPr>
        <w:t>.</w:t>
      </w:r>
    </w:p>
    <w:p w14:paraId="67F2C40A" w14:textId="77777777" w:rsidR="004B2E7C" w:rsidRPr="003F5E84" w:rsidRDefault="004B2E7C" w:rsidP="00434A6A">
      <w:pPr>
        <w:rPr>
          <w:rFonts w:cs="Arial"/>
          <w:u w:val="single"/>
        </w:rPr>
      </w:pPr>
      <w:r w:rsidRPr="003F5E84">
        <w:rPr>
          <w:rFonts w:cs="Arial" w:hint="cs"/>
          <w:u w:val="single"/>
          <w:rtl/>
        </w:rPr>
        <w:t>עשרתם</w:t>
      </w:r>
      <w:r>
        <w:rPr>
          <w:rFonts w:cs="Arial" w:hint="cs"/>
          <w:u w:val="single"/>
          <w:rtl/>
        </w:rPr>
        <w:t>,</w:t>
      </w:r>
      <w:r w:rsidRPr="003F5E84">
        <w:rPr>
          <w:rFonts w:cs="Arial" w:hint="cs"/>
          <w:u w:val="single"/>
          <w:rtl/>
        </w:rPr>
        <w:t xml:space="preserve"> ערבתם</w:t>
      </w:r>
      <w:r>
        <w:rPr>
          <w:rFonts w:cs="Arial" w:hint="cs"/>
          <w:u w:val="single"/>
          <w:rtl/>
        </w:rPr>
        <w:t>,</w:t>
      </w:r>
      <w:r w:rsidRPr="003F5E84">
        <w:rPr>
          <w:rFonts w:cs="Arial" w:hint="cs"/>
          <w:u w:val="single"/>
          <w:rtl/>
        </w:rPr>
        <w:t xml:space="preserve"> הדליקו את הנר:</w:t>
      </w:r>
      <w:r w:rsidRPr="003F5E84">
        <w:rPr>
          <w:rFonts w:cs="Arial"/>
          <w:u w:val="single"/>
          <w:rtl/>
        </w:rPr>
        <w:t xml:space="preserve"> </w:t>
      </w:r>
    </w:p>
    <w:p w14:paraId="67579B55" w14:textId="77777777" w:rsidR="004B2E7C" w:rsidRDefault="004B2E7C" w:rsidP="00FF2D21">
      <w:pPr>
        <w:pStyle w:val="aa"/>
        <w:numPr>
          <w:ilvl w:val="0"/>
          <w:numId w:val="87"/>
        </w:numPr>
        <w:rPr>
          <w:rFonts w:cs="Arial"/>
        </w:rPr>
      </w:pPr>
      <w:r>
        <w:rPr>
          <w:rFonts w:cs="Arial" w:hint="cs"/>
          <w:rtl/>
        </w:rPr>
        <w:t xml:space="preserve">טור- </w:t>
      </w:r>
      <w:r w:rsidRPr="003F5E84">
        <w:rPr>
          <w:rFonts w:cs="Arial" w:hint="cs"/>
          <w:rtl/>
        </w:rPr>
        <w:t>כשיהיה</w:t>
      </w:r>
      <w:r w:rsidRPr="003F5E84">
        <w:rPr>
          <w:rFonts w:cs="Arial"/>
          <w:rtl/>
        </w:rPr>
        <w:t xml:space="preserve"> </w:t>
      </w:r>
      <w:r w:rsidRPr="003F5E84">
        <w:rPr>
          <w:rFonts w:cs="Arial" w:hint="cs"/>
          <w:rtl/>
        </w:rPr>
        <w:t>קרוב</w:t>
      </w:r>
      <w:r w:rsidRPr="003F5E84">
        <w:rPr>
          <w:rFonts w:cs="Arial"/>
          <w:rtl/>
        </w:rPr>
        <w:t xml:space="preserve"> </w:t>
      </w:r>
      <w:r w:rsidRPr="003F5E84">
        <w:rPr>
          <w:rFonts w:cs="Arial" w:hint="cs"/>
          <w:rtl/>
        </w:rPr>
        <w:t>לחשכה</w:t>
      </w:r>
      <w:r w:rsidRPr="003F5E84">
        <w:rPr>
          <w:rFonts w:cs="Arial"/>
          <w:rtl/>
        </w:rPr>
        <w:t xml:space="preserve"> </w:t>
      </w:r>
      <w:r w:rsidRPr="003F5E84">
        <w:rPr>
          <w:rFonts w:cs="Arial" w:hint="cs"/>
          <w:rtl/>
        </w:rPr>
        <w:t>ישאל</w:t>
      </w:r>
      <w:r w:rsidRPr="003F5E84">
        <w:rPr>
          <w:rFonts w:cs="Arial"/>
          <w:rtl/>
        </w:rPr>
        <w:t xml:space="preserve"> </w:t>
      </w:r>
      <w:r w:rsidRPr="003F5E84">
        <w:rPr>
          <w:rFonts w:cs="Arial" w:hint="cs"/>
          <w:rtl/>
        </w:rPr>
        <w:t>לאנשי</w:t>
      </w:r>
      <w:r w:rsidRPr="003F5E84">
        <w:rPr>
          <w:rFonts w:cs="Arial"/>
          <w:rtl/>
        </w:rPr>
        <w:t xml:space="preserve"> </w:t>
      </w:r>
      <w:r w:rsidRPr="003F5E84">
        <w:rPr>
          <w:rFonts w:cs="Arial" w:hint="cs"/>
          <w:rtl/>
        </w:rPr>
        <w:t>ביתו</w:t>
      </w:r>
      <w:r w:rsidRPr="003F5E84">
        <w:rPr>
          <w:rFonts w:cs="Arial"/>
          <w:rtl/>
        </w:rPr>
        <w:t xml:space="preserve"> </w:t>
      </w:r>
      <w:r w:rsidRPr="003F5E84">
        <w:rPr>
          <w:rFonts w:cs="Arial" w:hint="cs"/>
          <w:rtl/>
        </w:rPr>
        <w:t>בנחת</w:t>
      </w:r>
      <w:r w:rsidRPr="003F5E84">
        <w:rPr>
          <w:rFonts w:cs="Arial"/>
          <w:rtl/>
        </w:rPr>
        <w:t xml:space="preserve"> </w:t>
      </w:r>
      <w:r w:rsidRPr="003F5E84">
        <w:rPr>
          <w:rFonts w:cs="Arial" w:hint="cs"/>
          <w:rtl/>
        </w:rPr>
        <w:t>בלשון</w:t>
      </w:r>
      <w:r w:rsidRPr="003F5E84">
        <w:rPr>
          <w:rFonts w:cs="Arial"/>
          <w:rtl/>
        </w:rPr>
        <w:t xml:space="preserve"> </w:t>
      </w:r>
      <w:r w:rsidRPr="003F5E84">
        <w:rPr>
          <w:rFonts w:cs="Arial" w:hint="cs"/>
          <w:rtl/>
        </w:rPr>
        <w:t>רכה</w:t>
      </w:r>
      <w:r w:rsidRPr="003F5E84">
        <w:rPr>
          <w:rFonts w:cs="Arial"/>
          <w:rtl/>
        </w:rPr>
        <w:t xml:space="preserve"> </w:t>
      </w:r>
      <w:r>
        <w:rPr>
          <w:rFonts w:cs="Arial" w:hint="cs"/>
          <w:rtl/>
        </w:rPr>
        <w:t>'</w:t>
      </w:r>
      <w:r w:rsidRPr="003F5E84">
        <w:rPr>
          <w:rFonts w:cs="Arial" w:hint="cs"/>
          <w:rtl/>
        </w:rPr>
        <w:t>עשרתם</w:t>
      </w:r>
      <w:r>
        <w:rPr>
          <w:rFonts w:cs="Arial" w:hint="cs"/>
          <w:rtl/>
        </w:rPr>
        <w:t>,</w:t>
      </w:r>
      <w:r w:rsidRPr="003F5E84">
        <w:rPr>
          <w:rFonts w:cs="Arial"/>
          <w:rtl/>
        </w:rPr>
        <w:t xml:space="preserve"> </w:t>
      </w:r>
      <w:r w:rsidRPr="003F5E84">
        <w:rPr>
          <w:rFonts w:cs="Arial" w:hint="cs"/>
          <w:rtl/>
        </w:rPr>
        <w:t>ערבתם</w:t>
      </w:r>
      <w:r w:rsidRPr="003F5E84">
        <w:rPr>
          <w:rFonts w:cs="Arial"/>
          <w:rtl/>
        </w:rPr>
        <w:t xml:space="preserve"> </w:t>
      </w:r>
      <w:r w:rsidRPr="003F5E84">
        <w:rPr>
          <w:rFonts w:cs="Arial" w:hint="cs"/>
          <w:rtl/>
        </w:rPr>
        <w:t>עירובי</w:t>
      </w:r>
      <w:r w:rsidRPr="003F5E84">
        <w:rPr>
          <w:rFonts w:cs="Arial"/>
          <w:rtl/>
        </w:rPr>
        <w:t xml:space="preserve"> </w:t>
      </w:r>
      <w:r w:rsidRPr="003F5E84">
        <w:rPr>
          <w:rFonts w:cs="Arial" w:hint="cs"/>
          <w:rtl/>
        </w:rPr>
        <w:t>חצרות</w:t>
      </w:r>
      <w:r>
        <w:rPr>
          <w:rFonts w:cs="Arial" w:hint="cs"/>
          <w:rtl/>
        </w:rPr>
        <w:t>',</w:t>
      </w:r>
      <w:r w:rsidRPr="003F5E84">
        <w:rPr>
          <w:rFonts w:cs="Arial"/>
          <w:rtl/>
        </w:rPr>
        <w:t xml:space="preserve"> </w:t>
      </w:r>
      <w:r w:rsidRPr="003F5E84">
        <w:rPr>
          <w:rFonts w:cs="Arial" w:hint="cs"/>
          <w:rtl/>
        </w:rPr>
        <w:t>ויאמר</w:t>
      </w:r>
      <w:r w:rsidRPr="003F5E84">
        <w:rPr>
          <w:rFonts w:cs="Arial"/>
          <w:rtl/>
        </w:rPr>
        <w:t xml:space="preserve"> </w:t>
      </w:r>
      <w:r w:rsidRPr="003F5E84">
        <w:rPr>
          <w:rFonts w:cs="Arial" w:hint="cs"/>
          <w:rtl/>
        </w:rPr>
        <w:t>להם</w:t>
      </w:r>
      <w:r w:rsidRPr="003F5E84">
        <w:rPr>
          <w:rFonts w:cs="Arial"/>
          <w:rtl/>
        </w:rPr>
        <w:t xml:space="preserve"> </w:t>
      </w:r>
      <w:r>
        <w:rPr>
          <w:rFonts w:cs="Arial" w:hint="cs"/>
          <w:rtl/>
        </w:rPr>
        <w:t>'</w:t>
      </w:r>
      <w:r w:rsidRPr="003F5E84">
        <w:rPr>
          <w:rFonts w:cs="Arial" w:hint="cs"/>
          <w:rtl/>
        </w:rPr>
        <w:t>הדליקו</w:t>
      </w:r>
      <w:r w:rsidRPr="003F5E84">
        <w:rPr>
          <w:rFonts w:cs="Arial"/>
          <w:rtl/>
        </w:rPr>
        <w:t xml:space="preserve"> </w:t>
      </w:r>
      <w:r w:rsidRPr="003F5E84">
        <w:rPr>
          <w:rFonts w:cs="Arial" w:hint="cs"/>
          <w:rtl/>
        </w:rPr>
        <w:t>את</w:t>
      </w:r>
      <w:r w:rsidRPr="003F5E84">
        <w:rPr>
          <w:rFonts w:cs="Arial"/>
          <w:rtl/>
        </w:rPr>
        <w:t xml:space="preserve"> </w:t>
      </w:r>
      <w:r w:rsidRPr="003F5E84">
        <w:rPr>
          <w:rFonts w:cs="Arial" w:hint="cs"/>
          <w:rtl/>
        </w:rPr>
        <w:t>הנר</w:t>
      </w:r>
      <w:r>
        <w:rPr>
          <w:rFonts w:cs="Arial" w:hint="cs"/>
          <w:rtl/>
        </w:rPr>
        <w:t>'.</w:t>
      </w:r>
      <w:r w:rsidRPr="003F5E84">
        <w:rPr>
          <w:rFonts w:cs="Arial"/>
          <w:rtl/>
        </w:rPr>
        <w:t xml:space="preserve"> </w:t>
      </w:r>
      <w:r w:rsidRPr="005275DF">
        <w:rPr>
          <w:rFonts w:asciiTheme="minorBidi" w:hAnsiTheme="minorBidi"/>
          <w:color w:val="E36C0A" w:themeColor="accent6" w:themeShade="BF"/>
          <w:rtl/>
        </w:rPr>
        <w:t>(וכ"פ בשו"ע)</w:t>
      </w:r>
    </w:p>
    <w:p w14:paraId="26EEF4B5" w14:textId="77777777" w:rsidR="004B2E7C" w:rsidRPr="00CF1885" w:rsidRDefault="004B2E7C" w:rsidP="00434A6A">
      <w:pPr>
        <w:ind w:left="360"/>
        <w:rPr>
          <w:rFonts w:cs="Arial"/>
          <w:u w:val="dotted"/>
        </w:rPr>
      </w:pPr>
      <w:r w:rsidRPr="00CF1885">
        <w:rPr>
          <w:rFonts w:cs="Arial" w:hint="cs"/>
          <w:u w:val="dotted"/>
          <w:rtl/>
        </w:rPr>
        <w:t xml:space="preserve">ומה הדין במקומות שאין מעשרות </w:t>
      </w:r>
      <w:r w:rsidRPr="00CF1885">
        <w:rPr>
          <w:rFonts w:cs="Arial" w:hint="cs"/>
          <w:sz w:val="16"/>
          <w:szCs w:val="16"/>
          <w:u w:val="dotted"/>
          <w:rtl/>
        </w:rPr>
        <w:t>(חו''ל)</w:t>
      </w:r>
      <w:r>
        <w:rPr>
          <w:rFonts w:cs="Arial" w:hint="cs"/>
          <w:u w:val="dotted"/>
          <w:rtl/>
        </w:rPr>
        <w:t xml:space="preserve">, </w:t>
      </w:r>
      <w:r w:rsidRPr="00CF1885">
        <w:rPr>
          <w:rFonts w:cs="Arial" w:hint="cs"/>
          <w:u w:val="dotted"/>
          <w:rtl/>
        </w:rPr>
        <w:t xml:space="preserve">או כשהוא עושה </w:t>
      </w:r>
      <w:r>
        <w:rPr>
          <w:rFonts w:cs="Arial" w:hint="cs"/>
          <w:u w:val="dotted"/>
          <w:rtl/>
        </w:rPr>
        <w:t>את הדברים הנ"ל</w:t>
      </w:r>
      <w:r w:rsidRPr="00CF1885">
        <w:rPr>
          <w:rFonts w:cs="Arial" w:hint="cs"/>
          <w:u w:val="dotted"/>
          <w:rtl/>
        </w:rPr>
        <w:t xml:space="preserve"> בעצמו:</w:t>
      </w:r>
    </w:p>
    <w:p w14:paraId="382E7BA7" w14:textId="77777777" w:rsidR="004B2E7C" w:rsidRPr="009C3D4F" w:rsidRDefault="004B2E7C" w:rsidP="00FF2D21">
      <w:pPr>
        <w:pStyle w:val="aa"/>
        <w:numPr>
          <w:ilvl w:val="0"/>
          <w:numId w:val="87"/>
        </w:numPr>
        <w:rPr>
          <w:rFonts w:cs="Arial"/>
          <w:rtl/>
        </w:rPr>
      </w:pPr>
      <w:r>
        <w:rPr>
          <w:rFonts w:cs="Arial" w:hint="cs"/>
          <w:rtl/>
        </w:rPr>
        <w:t xml:space="preserve">טור- </w:t>
      </w:r>
      <w:r w:rsidRPr="003F5E84">
        <w:rPr>
          <w:rFonts w:cs="Arial" w:hint="cs"/>
          <w:rtl/>
        </w:rPr>
        <w:t>הר</w:t>
      </w:r>
      <w:r w:rsidRPr="003F5E84">
        <w:rPr>
          <w:rFonts w:cs="Arial"/>
          <w:rtl/>
        </w:rPr>
        <w:t>"</w:t>
      </w:r>
      <w:r w:rsidRPr="003F5E84">
        <w:rPr>
          <w:rFonts w:cs="Arial" w:hint="cs"/>
          <w:rtl/>
        </w:rPr>
        <w:t>מ</w:t>
      </w:r>
      <w:r w:rsidRPr="003F5E84">
        <w:rPr>
          <w:rFonts w:cs="Arial"/>
          <w:rtl/>
        </w:rPr>
        <w:t xml:space="preserve"> </w:t>
      </w:r>
      <w:r w:rsidRPr="003F5E84">
        <w:rPr>
          <w:rFonts w:cs="Arial" w:hint="cs"/>
          <w:rtl/>
        </w:rPr>
        <w:t>מרוטנבורק</w:t>
      </w:r>
      <w:r w:rsidRPr="003F5E84">
        <w:rPr>
          <w:rFonts w:cs="Arial"/>
          <w:rtl/>
        </w:rPr>
        <w:t xml:space="preserve"> </w:t>
      </w:r>
      <w:r w:rsidRPr="003F5E84">
        <w:rPr>
          <w:rFonts w:cs="Arial" w:hint="cs"/>
          <w:rtl/>
        </w:rPr>
        <w:t>לא</w:t>
      </w:r>
      <w:r w:rsidRPr="003F5E84">
        <w:rPr>
          <w:rFonts w:cs="Arial"/>
          <w:rtl/>
        </w:rPr>
        <w:t xml:space="preserve"> </w:t>
      </w:r>
      <w:r w:rsidRPr="003F5E84">
        <w:rPr>
          <w:rFonts w:cs="Arial" w:hint="cs"/>
          <w:rtl/>
        </w:rPr>
        <w:t>היה</w:t>
      </w:r>
      <w:r w:rsidRPr="003F5E84">
        <w:rPr>
          <w:rFonts w:cs="Arial"/>
          <w:rtl/>
        </w:rPr>
        <w:t xml:space="preserve"> </w:t>
      </w:r>
      <w:r w:rsidRPr="003F5E84">
        <w:rPr>
          <w:rFonts w:cs="Arial" w:hint="cs"/>
          <w:rtl/>
        </w:rPr>
        <w:t>אומר</w:t>
      </w:r>
      <w:r w:rsidRPr="003F5E84">
        <w:rPr>
          <w:rFonts w:cs="Arial"/>
          <w:rtl/>
        </w:rPr>
        <w:t xml:space="preserve"> </w:t>
      </w:r>
      <w:r w:rsidRPr="003F5E84">
        <w:rPr>
          <w:rFonts w:cs="Arial" w:hint="cs"/>
          <w:rtl/>
        </w:rPr>
        <w:t>עשרתם</w:t>
      </w:r>
      <w:r w:rsidRPr="003F5E84">
        <w:rPr>
          <w:rFonts w:cs="Arial"/>
          <w:rtl/>
        </w:rPr>
        <w:t xml:space="preserve"> </w:t>
      </w:r>
      <w:r w:rsidRPr="003F5E84">
        <w:rPr>
          <w:rFonts w:cs="Arial" w:hint="cs"/>
          <w:rtl/>
        </w:rPr>
        <w:t>שאין</w:t>
      </w:r>
      <w:r w:rsidRPr="003F5E84">
        <w:rPr>
          <w:rFonts w:cs="Arial"/>
          <w:rtl/>
        </w:rPr>
        <w:t xml:space="preserve"> </w:t>
      </w:r>
      <w:r w:rsidRPr="003F5E84">
        <w:rPr>
          <w:rFonts w:cs="Arial" w:hint="cs"/>
          <w:rtl/>
        </w:rPr>
        <w:t>מעשר</w:t>
      </w:r>
      <w:r w:rsidRPr="003F5E84">
        <w:rPr>
          <w:rFonts w:cs="Arial"/>
          <w:rtl/>
        </w:rPr>
        <w:t xml:space="preserve"> </w:t>
      </w:r>
      <w:r w:rsidRPr="003F5E84">
        <w:rPr>
          <w:rFonts w:cs="Arial" w:hint="cs"/>
          <w:rtl/>
        </w:rPr>
        <w:t>האידנא</w:t>
      </w:r>
      <w:r>
        <w:rPr>
          <w:rFonts w:cs="Arial" w:hint="cs"/>
          <w:rtl/>
        </w:rPr>
        <w:t>,</w:t>
      </w:r>
      <w:r w:rsidRPr="003F5E84">
        <w:rPr>
          <w:rFonts w:cs="Arial"/>
          <w:rtl/>
        </w:rPr>
        <w:t xml:space="preserve"> </w:t>
      </w:r>
      <w:r w:rsidRPr="003F5E84">
        <w:rPr>
          <w:rFonts w:cs="Arial" w:hint="cs"/>
          <w:rtl/>
        </w:rPr>
        <w:t>אלא</w:t>
      </w:r>
      <w:r w:rsidRPr="003F5E84">
        <w:rPr>
          <w:rFonts w:cs="Arial"/>
          <w:rtl/>
        </w:rPr>
        <w:t xml:space="preserve"> </w:t>
      </w:r>
      <w:r w:rsidRPr="003F5E84">
        <w:rPr>
          <w:rFonts w:cs="Arial" w:hint="cs"/>
          <w:rtl/>
        </w:rPr>
        <w:t>היה</w:t>
      </w:r>
      <w:r w:rsidRPr="003F5E84">
        <w:rPr>
          <w:rFonts w:cs="Arial"/>
          <w:rtl/>
        </w:rPr>
        <w:t xml:space="preserve"> </w:t>
      </w:r>
      <w:r w:rsidRPr="003F5E84">
        <w:rPr>
          <w:rFonts w:cs="Arial" w:hint="cs"/>
          <w:rtl/>
        </w:rPr>
        <w:t>אומר</w:t>
      </w:r>
      <w:r w:rsidRPr="003F5E84">
        <w:rPr>
          <w:rFonts w:cs="Arial"/>
          <w:rtl/>
        </w:rPr>
        <w:t xml:space="preserve"> </w:t>
      </w:r>
      <w:r w:rsidRPr="003F5E84">
        <w:rPr>
          <w:rFonts w:cs="Arial" w:hint="cs"/>
          <w:rtl/>
        </w:rPr>
        <w:t>להם</w:t>
      </w:r>
      <w:r w:rsidRPr="003F5E84">
        <w:rPr>
          <w:rFonts w:cs="Arial"/>
          <w:rtl/>
        </w:rPr>
        <w:t xml:space="preserve"> </w:t>
      </w:r>
      <w:r w:rsidRPr="003F5E84">
        <w:rPr>
          <w:rFonts w:cs="Arial" w:hint="cs"/>
          <w:rtl/>
        </w:rPr>
        <w:t>הפרשתם</w:t>
      </w:r>
      <w:r w:rsidRPr="003F5E84">
        <w:rPr>
          <w:rFonts w:cs="Arial"/>
          <w:rtl/>
        </w:rPr>
        <w:t xml:space="preserve"> </w:t>
      </w:r>
      <w:r w:rsidRPr="003F5E84">
        <w:rPr>
          <w:rFonts w:cs="Arial" w:hint="cs"/>
          <w:rtl/>
        </w:rPr>
        <w:t>החלה</w:t>
      </w:r>
      <w:r>
        <w:rPr>
          <w:rFonts w:cs="Arial" w:hint="cs"/>
          <w:rtl/>
        </w:rPr>
        <w:t>.</w:t>
      </w:r>
      <w:r w:rsidRPr="003F5E84">
        <w:rPr>
          <w:rFonts w:cs="Arial"/>
          <w:rtl/>
        </w:rPr>
        <w:t xml:space="preserve"> </w:t>
      </w:r>
      <w:r w:rsidRPr="003F5E84">
        <w:rPr>
          <w:rFonts w:cs="Arial" w:hint="cs"/>
          <w:rtl/>
        </w:rPr>
        <w:t>וגם</w:t>
      </w:r>
      <w:r w:rsidRPr="003F5E84">
        <w:rPr>
          <w:rFonts w:cs="Arial"/>
          <w:rtl/>
        </w:rPr>
        <w:t xml:space="preserve"> </w:t>
      </w:r>
      <w:r w:rsidRPr="003F5E84">
        <w:rPr>
          <w:rFonts w:cs="Arial" w:hint="cs"/>
          <w:rtl/>
        </w:rPr>
        <w:t>ערבתם</w:t>
      </w:r>
      <w:r w:rsidRPr="003F5E84">
        <w:rPr>
          <w:rFonts w:cs="Arial"/>
          <w:rtl/>
        </w:rPr>
        <w:t xml:space="preserve"> </w:t>
      </w:r>
      <w:r w:rsidRPr="003F5E84">
        <w:rPr>
          <w:rFonts w:cs="Arial" w:hint="cs"/>
          <w:rtl/>
        </w:rPr>
        <w:t>לא</w:t>
      </w:r>
      <w:r w:rsidRPr="003F5E84">
        <w:rPr>
          <w:rFonts w:cs="Arial"/>
          <w:rtl/>
        </w:rPr>
        <w:t xml:space="preserve"> </w:t>
      </w:r>
      <w:r w:rsidRPr="003F5E84">
        <w:rPr>
          <w:rFonts w:cs="Arial" w:hint="cs"/>
          <w:rtl/>
        </w:rPr>
        <w:t>היה</w:t>
      </w:r>
      <w:r w:rsidRPr="003F5E84">
        <w:rPr>
          <w:rFonts w:cs="Arial"/>
          <w:rtl/>
        </w:rPr>
        <w:t xml:space="preserve"> </w:t>
      </w:r>
      <w:r w:rsidRPr="003F5E84">
        <w:rPr>
          <w:rFonts w:cs="Arial" w:hint="cs"/>
          <w:rtl/>
        </w:rPr>
        <w:t>אומר</w:t>
      </w:r>
      <w:r w:rsidRPr="003F5E84">
        <w:rPr>
          <w:rFonts w:cs="Arial"/>
          <w:rtl/>
        </w:rPr>
        <w:t xml:space="preserve"> </w:t>
      </w:r>
      <w:r w:rsidRPr="003F5E84">
        <w:rPr>
          <w:rFonts w:cs="Arial" w:hint="cs"/>
          <w:rtl/>
        </w:rPr>
        <w:t>להם</w:t>
      </w:r>
      <w:r>
        <w:rPr>
          <w:rFonts w:cs="Arial" w:hint="cs"/>
          <w:rtl/>
        </w:rPr>
        <w:t>,</w:t>
      </w:r>
      <w:r w:rsidRPr="003F5E84">
        <w:rPr>
          <w:rFonts w:cs="Arial"/>
          <w:rtl/>
        </w:rPr>
        <w:t xml:space="preserve"> </w:t>
      </w:r>
      <w:r w:rsidRPr="003F5E84">
        <w:rPr>
          <w:rFonts w:cs="Arial" w:hint="cs"/>
          <w:rtl/>
        </w:rPr>
        <w:t>כי</w:t>
      </w:r>
      <w:r w:rsidRPr="003F5E84">
        <w:rPr>
          <w:rFonts w:cs="Arial"/>
          <w:rtl/>
        </w:rPr>
        <w:t xml:space="preserve"> </w:t>
      </w:r>
      <w:r w:rsidRPr="003F5E84">
        <w:rPr>
          <w:rFonts w:cs="Arial" w:hint="cs"/>
          <w:rtl/>
        </w:rPr>
        <w:t>היה</w:t>
      </w:r>
      <w:r w:rsidRPr="003F5E84">
        <w:rPr>
          <w:rFonts w:cs="Arial"/>
          <w:rtl/>
        </w:rPr>
        <w:t xml:space="preserve"> </w:t>
      </w:r>
      <w:r w:rsidRPr="003F5E84">
        <w:rPr>
          <w:rFonts w:cs="Arial" w:hint="cs"/>
          <w:rtl/>
        </w:rPr>
        <w:t>מערב</w:t>
      </w:r>
      <w:r w:rsidRPr="003F5E84">
        <w:rPr>
          <w:rFonts w:cs="Arial"/>
          <w:rtl/>
        </w:rPr>
        <w:t xml:space="preserve"> </w:t>
      </w:r>
      <w:r w:rsidRPr="003F5E84">
        <w:rPr>
          <w:rFonts w:cs="Arial" w:hint="cs"/>
          <w:rtl/>
        </w:rPr>
        <w:t>הוא</w:t>
      </w:r>
      <w:r w:rsidRPr="003F5E84">
        <w:rPr>
          <w:rFonts w:cs="Arial"/>
          <w:rtl/>
        </w:rPr>
        <w:t xml:space="preserve"> </w:t>
      </w:r>
      <w:r w:rsidRPr="003F5E84">
        <w:rPr>
          <w:rFonts w:cs="Arial" w:hint="cs"/>
          <w:rtl/>
        </w:rPr>
        <w:t>בעצמו</w:t>
      </w:r>
      <w:r>
        <w:rPr>
          <w:rFonts w:cs="Arial" w:hint="cs"/>
          <w:rtl/>
        </w:rPr>
        <w:t>.</w:t>
      </w:r>
      <w:r w:rsidRPr="003F5E84">
        <w:rPr>
          <w:rFonts w:cs="Arial"/>
          <w:rtl/>
        </w:rPr>
        <w:t xml:space="preserve"> </w:t>
      </w:r>
    </w:p>
    <w:p w14:paraId="6A4A7C79"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69620BF" w14:textId="77777777" w:rsidR="004B2E7C" w:rsidRDefault="004B2E7C" w:rsidP="00434A6A">
      <w:pPr>
        <w:rPr>
          <w:rFonts w:asciiTheme="minorBidi" w:hAnsiTheme="minorBidi"/>
          <w:rtl/>
        </w:rPr>
      </w:pPr>
      <w:r w:rsidRPr="00CC2350">
        <w:rPr>
          <w:rFonts w:asciiTheme="minorBidi" w:hAnsiTheme="minorBidi" w:cs="Arial"/>
          <w:rtl/>
        </w:rPr>
        <w:t>כשיהיה סמוך לחשיכה ישאל לאנשי ביתו בלשון רכה: עשרתם? ערבתם</w:t>
      </w:r>
      <w:r>
        <w:rPr>
          <w:rStyle w:val="a9"/>
          <w:rFonts w:asciiTheme="minorBidi" w:hAnsiTheme="minorBidi" w:cs="Arial"/>
          <w:rtl/>
        </w:rPr>
        <w:footnoteReference w:id="583"/>
      </w:r>
      <w:r w:rsidRPr="00CC2350">
        <w:rPr>
          <w:rFonts w:asciiTheme="minorBidi" w:hAnsiTheme="minorBidi" w:cs="Arial"/>
          <w:rtl/>
        </w:rPr>
        <w:t>? הפרשתם חלה? ויאמר להם: הדליקו את הנר</w:t>
      </w:r>
      <w:r>
        <w:rPr>
          <w:rStyle w:val="a9"/>
          <w:rFonts w:asciiTheme="minorBidi" w:hAnsiTheme="minorBidi" w:cs="Arial"/>
          <w:rtl/>
        </w:rPr>
        <w:footnoteReference w:id="584"/>
      </w:r>
      <w:r w:rsidRPr="00CC2350">
        <w:rPr>
          <w:rFonts w:asciiTheme="minorBidi" w:hAnsiTheme="minorBidi" w:cs="Arial"/>
          <w:rtl/>
        </w:rPr>
        <w:t xml:space="preserve">. </w:t>
      </w:r>
      <w:r>
        <w:rPr>
          <w:rFonts w:asciiTheme="minorBidi" w:hAnsiTheme="minorBidi" w:cs="Arial" w:hint="cs"/>
          <w:sz w:val="18"/>
          <w:szCs w:val="18"/>
          <w:rtl/>
        </w:rPr>
        <w:t xml:space="preserve">[הגה] </w:t>
      </w:r>
      <w:r w:rsidRPr="00170E7B">
        <w:rPr>
          <w:rFonts w:asciiTheme="minorBidi" w:hAnsiTheme="minorBidi" w:cs="Arial"/>
          <w:sz w:val="18"/>
          <w:szCs w:val="18"/>
          <w:rtl/>
        </w:rPr>
        <w:t>ובמקום שאין מעשרין, אין צריך לומר: עשרתם (טור).</w:t>
      </w:r>
    </w:p>
    <w:p w14:paraId="087323B8" w14:textId="77777777" w:rsidR="004B2E7C" w:rsidRDefault="004B2E7C" w:rsidP="00434A6A">
      <w:pPr>
        <w:pStyle w:val="1"/>
        <w:rPr>
          <w:rtl/>
        </w:rPr>
        <w:sectPr w:rsidR="004B2E7C" w:rsidSect="00BD29B1">
          <w:headerReference w:type="default" r:id="rId31"/>
          <w:footnotePr>
            <w:numRestart w:val="eachSect"/>
          </w:footnotePr>
          <w:pgSz w:w="11906" w:h="16838"/>
          <w:pgMar w:top="720" w:right="1134" w:bottom="720" w:left="1134" w:header="0" w:footer="0" w:gutter="0"/>
          <w:cols w:space="720"/>
          <w:bidi/>
          <w:rtlGutter/>
          <w:docGrid w:linePitch="360"/>
        </w:sectPr>
      </w:pPr>
    </w:p>
    <w:p w14:paraId="442E05A3" w14:textId="77777777" w:rsidR="004B2E7C" w:rsidRPr="00CC2350" w:rsidRDefault="004B2E7C" w:rsidP="00434A6A">
      <w:pPr>
        <w:pStyle w:val="1"/>
        <w:rPr>
          <w:rtl/>
        </w:rPr>
      </w:pPr>
      <w:r>
        <w:rPr>
          <w:rFonts w:hint="cs"/>
          <w:rtl/>
        </w:rPr>
        <w:t xml:space="preserve">סימן רסא: </w:t>
      </w:r>
      <w:r w:rsidRPr="00CC2350">
        <w:rPr>
          <w:rtl/>
        </w:rPr>
        <w:t xml:space="preserve">זמן הדלקת הנרות לשבת, ובו ד' סעיפים. </w:t>
      </w:r>
    </w:p>
    <w:p w14:paraId="349B161B" w14:textId="77777777" w:rsidR="004B2E7C" w:rsidRDefault="004B2E7C" w:rsidP="00434A6A">
      <w:pPr>
        <w:pStyle w:val="2"/>
        <w:rPr>
          <w:rtl/>
        </w:rPr>
      </w:pPr>
      <w:r w:rsidRPr="00CC2350">
        <w:rPr>
          <w:rtl/>
        </w:rPr>
        <w:t>סעיף א</w:t>
      </w:r>
      <w:r>
        <w:rPr>
          <w:rFonts w:hint="cs"/>
          <w:rtl/>
        </w:rPr>
        <w:t>: דברים שמותר לעשות בבין השמשות.</w:t>
      </w:r>
    </w:p>
    <w:p w14:paraId="3CABE61F" w14:textId="77777777" w:rsidR="004B2E7C" w:rsidRDefault="004B2E7C" w:rsidP="00434A6A">
      <w:pPr>
        <w:rPr>
          <w:rtl/>
        </w:rPr>
      </w:pPr>
      <w:r w:rsidRPr="003F5E84">
        <w:rPr>
          <w:rFonts w:cs="Arial" w:hint="cs"/>
          <w:b/>
          <w:bCs/>
          <w:rtl/>
        </w:rPr>
        <w:t>שבת</w:t>
      </w:r>
      <w:r>
        <w:rPr>
          <w:rFonts w:cs="Arial" w:hint="cs"/>
          <w:b/>
          <w:bCs/>
          <w:rtl/>
        </w:rPr>
        <w:t xml:space="preserve"> </w:t>
      </w:r>
      <w:r>
        <w:rPr>
          <w:rFonts w:cs="Arial" w:hint="cs"/>
          <w:b/>
          <w:bCs/>
          <w:sz w:val="16"/>
          <w:szCs w:val="16"/>
          <w:rtl/>
        </w:rPr>
        <w:t>(ס"פ במה מדליקין)</w:t>
      </w:r>
      <w:r w:rsidRPr="003F5E84">
        <w:rPr>
          <w:rFonts w:cs="Arial" w:hint="cs"/>
          <w:b/>
          <w:bCs/>
          <w:rtl/>
        </w:rPr>
        <w:t xml:space="preserve"> ל</w:t>
      </w:r>
      <w:r>
        <w:rPr>
          <w:rFonts w:cs="Arial" w:hint="cs"/>
          <w:b/>
          <w:bCs/>
          <w:rtl/>
        </w:rPr>
        <w:t>ד</w:t>
      </w:r>
      <w:r w:rsidRPr="003F5E84">
        <w:rPr>
          <w:rFonts w:cs="Arial" w:hint="cs"/>
          <w:b/>
          <w:bCs/>
          <w:rtl/>
        </w:rPr>
        <w:t xml:space="preserve"> ע"</w:t>
      </w:r>
      <w:r>
        <w:rPr>
          <w:rFonts w:cs="Arial" w:hint="cs"/>
          <w:b/>
          <w:bCs/>
          <w:rtl/>
        </w:rPr>
        <w:t>א</w:t>
      </w:r>
      <w:r w:rsidRPr="003F5E84">
        <w:rPr>
          <w:rFonts w:cs="Arial" w:hint="cs"/>
          <w:b/>
          <w:bCs/>
          <w:rtl/>
        </w:rPr>
        <w:t>:</w:t>
      </w:r>
      <w:r w:rsidRPr="00F02AA5">
        <w:rPr>
          <w:rFonts w:hint="cs"/>
          <w:rtl/>
        </w:rPr>
        <w:t xml:space="preserve"> </w:t>
      </w:r>
      <w:r w:rsidRPr="00F02AA5">
        <w:rPr>
          <w:rFonts w:cs="Arial" w:hint="cs"/>
          <w:u w:val="double"/>
          <w:rtl/>
        </w:rPr>
        <w:t>משנה</w:t>
      </w:r>
      <w:r>
        <w:rPr>
          <w:rFonts w:cs="Arial" w:hint="cs"/>
          <w:rtl/>
        </w:rPr>
        <w:t>:...</w:t>
      </w:r>
      <w:r w:rsidRPr="00F02AA5">
        <w:rPr>
          <w:rFonts w:cs="Arial"/>
          <w:rtl/>
        </w:rPr>
        <w:t xml:space="preserve"> </w:t>
      </w:r>
      <w:r w:rsidRPr="00F02AA5">
        <w:rPr>
          <w:rFonts w:cs="Arial" w:hint="cs"/>
          <w:rtl/>
        </w:rPr>
        <w:t>ספק</w:t>
      </w:r>
      <w:r w:rsidRPr="00F02AA5">
        <w:rPr>
          <w:rFonts w:cs="Arial"/>
          <w:rtl/>
        </w:rPr>
        <w:t xml:space="preserve"> </w:t>
      </w:r>
      <w:r w:rsidRPr="00F02AA5">
        <w:rPr>
          <w:rFonts w:cs="Arial" w:hint="cs"/>
          <w:rtl/>
        </w:rPr>
        <w:t>חשכה</w:t>
      </w:r>
      <w:r>
        <w:rPr>
          <w:rStyle w:val="a9"/>
          <w:rFonts w:cs="Arial"/>
          <w:rtl/>
        </w:rPr>
        <w:footnoteReference w:id="585"/>
      </w:r>
      <w:r w:rsidRPr="00F02AA5">
        <w:rPr>
          <w:rFonts w:cs="Arial"/>
          <w:rtl/>
        </w:rPr>
        <w:t xml:space="preserve"> </w:t>
      </w:r>
      <w:r w:rsidRPr="00F02AA5">
        <w:rPr>
          <w:rFonts w:cs="Arial" w:hint="cs"/>
          <w:rtl/>
        </w:rPr>
        <w:t>ספק</w:t>
      </w:r>
      <w:r w:rsidRPr="00F02AA5">
        <w:rPr>
          <w:rFonts w:cs="Arial"/>
          <w:rtl/>
        </w:rPr>
        <w:t xml:space="preserve"> </w:t>
      </w:r>
      <w:r w:rsidRPr="00F02AA5">
        <w:rPr>
          <w:rFonts w:cs="Arial" w:hint="cs"/>
          <w:rtl/>
        </w:rPr>
        <w:t>אינו</w:t>
      </w:r>
      <w:r w:rsidRPr="00F02AA5">
        <w:rPr>
          <w:rFonts w:cs="Arial"/>
          <w:rtl/>
        </w:rPr>
        <w:t xml:space="preserve"> </w:t>
      </w:r>
      <w:r w:rsidRPr="00F02AA5">
        <w:rPr>
          <w:rFonts w:cs="Arial" w:hint="cs"/>
          <w:rtl/>
        </w:rPr>
        <w:t>חשכה</w:t>
      </w:r>
      <w:r w:rsidRPr="00F02AA5">
        <w:rPr>
          <w:rFonts w:cs="Arial"/>
          <w:rtl/>
        </w:rPr>
        <w:t xml:space="preserve"> - </w:t>
      </w:r>
      <w:r w:rsidRPr="00F02AA5">
        <w:rPr>
          <w:rFonts w:cs="Arial" w:hint="cs"/>
          <w:rtl/>
        </w:rPr>
        <w:t>אין</w:t>
      </w:r>
      <w:r w:rsidRPr="00F02AA5">
        <w:rPr>
          <w:rFonts w:cs="Arial"/>
          <w:rtl/>
        </w:rPr>
        <w:t xml:space="preserve"> </w:t>
      </w:r>
      <w:r w:rsidRPr="00F02AA5">
        <w:rPr>
          <w:rFonts w:cs="Arial" w:hint="cs"/>
          <w:rtl/>
        </w:rPr>
        <w:t>מעשרין</w:t>
      </w:r>
      <w:r w:rsidRPr="00F02AA5">
        <w:rPr>
          <w:rFonts w:cs="Arial"/>
          <w:rtl/>
        </w:rPr>
        <w:t xml:space="preserve"> </w:t>
      </w:r>
      <w:r w:rsidRPr="00F02AA5">
        <w:rPr>
          <w:rFonts w:cs="Arial" w:hint="cs"/>
          <w:rtl/>
        </w:rPr>
        <w:t>את</w:t>
      </w:r>
      <w:r w:rsidRPr="00F02AA5">
        <w:rPr>
          <w:rFonts w:cs="Arial"/>
          <w:rtl/>
        </w:rPr>
        <w:t xml:space="preserve"> </w:t>
      </w:r>
      <w:r w:rsidRPr="00F02AA5">
        <w:rPr>
          <w:rFonts w:cs="Arial" w:hint="cs"/>
          <w:rtl/>
        </w:rPr>
        <w:t>הודאי</w:t>
      </w:r>
      <w:r w:rsidRPr="00F02AA5">
        <w:rPr>
          <w:rFonts w:cs="Arial"/>
          <w:rtl/>
        </w:rPr>
        <w:t xml:space="preserve">, </w:t>
      </w:r>
      <w:r w:rsidRPr="00F02AA5">
        <w:rPr>
          <w:rFonts w:cs="Arial" w:hint="cs"/>
          <w:rtl/>
        </w:rPr>
        <w:t>ואין</w:t>
      </w:r>
      <w:r w:rsidRPr="00F02AA5">
        <w:rPr>
          <w:rFonts w:cs="Arial"/>
          <w:rtl/>
        </w:rPr>
        <w:t xml:space="preserve"> </w:t>
      </w:r>
      <w:r w:rsidRPr="00F02AA5">
        <w:rPr>
          <w:rFonts w:cs="Arial" w:hint="cs"/>
          <w:rtl/>
        </w:rPr>
        <w:t>מטבילין</w:t>
      </w:r>
      <w:r w:rsidRPr="00F02AA5">
        <w:rPr>
          <w:rFonts w:cs="Arial"/>
          <w:rtl/>
        </w:rPr>
        <w:t xml:space="preserve"> </w:t>
      </w:r>
      <w:r w:rsidRPr="00F02AA5">
        <w:rPr>
          <w:rFonts w:cs="Arial" w:hint="cs"/>
          <w:rtl/>
        </w:rPr>
        <w:t>את</w:t>
      </w:r>
      <w:r w:rsidRPr="00F02AA5">
        <w:rPr>
          <w:rFonts w:cs="Arial"/>
          <w:rtl/>
        </w:rPr>
        <w:t xml:space="preserve"> </w:t>
      </w:r>
      <w:r w:rsidRPr="00F02AA5">
        <w:rPr>
          <w:rFonts w:cs="Arial" w:hint="cs"/>
          <w:rtl/>
        </w:rPr>
        <w:t>הכלים</w:t>
      </w:r>
      <w:r>
        <w:rPr>
          <w:rStyle w:val="a9"/>
          <w:rFonts w:cs="Arial"/>
          <w:rtl/>
        </w:rPr>
        <w:footnoteReference w:id="586"/>
      </w:r>
      <w:r w:rsidRPr="00F02AA5">
        <w:rPr>
          <w:rFonts w:cs="Arial"/>
          <w:rtl/>
        </w:rPr>
        <w:t xml:space="preserve">, </w:t>
      </w:r>
      <w:r w:rsidRPr="00F02AA5">
        <w:rPr>
          <w:rFonts w:cs="Arial" w:hint="cs"/>
          <w:rtl/>
        </w:rPr>
        <w:t>ואין</w:t>
      </w:r>
      <w:r w:rsidRPr="00F02AA5">
        <w:rPr>
          <w:rFonts w:cs="Arial"/>
          <w:rtl/>
        </w:rPr>
        <w:t xml:space="preserve"> </w:t>
      </w:r>
      <w:r w:rsidRPr="00F02AA5">
        <w:rPr>
          <w:rFonts w:cs="Arial" w:hint="cs"/>
          <w:rtl/>
        </w:rPr>
        <w:t>מדליקין</w:t>
      </w:r>
      <w:r w:rsidRPr="00F02AA5">
        <w:rPr>
          <w:rFonts w:cs="Arial"/>
          <w:rtl/>
        </w:rPr>
        <w:t xml:space="preserve"> </w:t>
      </w:r>
      <w:r w:rsidRPr="00F02AA5">
        <w:rPr>
          <w:rFonts w:cs="Arial" w:hint="cs"/>
          <w:rtl/>
        </w:rPr>
        <w:t>את</w:t>
      </w:r>
      <w:r w:rsidRPr="00F02AA5">
        <w:rPr>
          <w:rFonts w:cs="Arial"/>
          <w:rtl/>
        </w:rPr>
        <w:t xml:space="preserve"> </w:t>
      </w:r>
      <w:r w:rsidRPr="00F02AA5">
        <w:rPr>
          <w:rFonts w:cs="Arial" w:hint="cs"/>
          <w:rtl/>
        </w:rPr>
        <w:t>הנרות</w:t>
      </w:r>
      <w:r w:rsidRPr="00F02AA5">
        <w:rPr>
          <w:rFonts w:cs="Arial"/>
          <w:rtl/>
        </w:rPr>
        <w:t xml:space="preserve">. </w:t>
      </w:r>
      <w:r w:rsidRPr="00F02AA5">
        <w:rPr>
          <w:rFonts w:cs="Arial" w:hint="cs"/>
          <w:rtl/>
        </w:rPr>
        <w:t>אבל</w:t>
      </w:r>
      <w:r w:rsidRPr="00F02AA5">
        <w:rPr>
          <w:rFonts w:cs="Arial"/>
          <w:rtl/>
        </w:rPr>
        <w:t xml:space="preserve"> </w:t>
      </w:r>
      <w:r w:rsidRPr="00F02AA5">
        <w:rPr>
          <w:rFonts w:cs="Arial" w:hint="cs"/>
          <w:rtl/>
        </w:rPr>
        <w:t>מעשרין</w:t>
      </w:r>
      <w:r w:rsidRPr="00F02AA5">
        <w:rPr>
          <w:rFonts w:cs="Arial"/>
          <w:rtl/>
        </w:rPr>
        <w:t xml:space="preserve"> </w:t>
      </w:r>
      <w:r w:rsidRPr="00F02AA5">
        <w:rPr>
          <w:rFonts w:cs="Arial" w:hint="cs"/>
          <w:rtl/>
        </w:rPr>
        <w:t>את</w:t>
      </w:r>
      <w:r w:rsidRPr="00F02AA5">
        <w:rPr>
          <w:rFonts w:cs="Arial"/>
          <w:rtl/>
        </w:rPr>
        <w:t xml:space="preserve"> </w:t>
      </w:r>
      <w:r w:rsidRPr="00F02AA5">
        <w:rPr>
          <w:rFonts w:cs="Arial" w:hint="cs"/>
          <w:rtl/>
        </w:rPr>
        <w:t>הדמאי</w:t>
      </w:r>
      <w:r>
        <w:rPr>
          <w:rStyle w:val="a9"/>
          <w:rFonts w:cs="Arial"/>
          <w:rtl/>
        </w:rPr>
        <w:footnoteReference w:id="587"/>
      </w:r>
      <w:r w:rsidRPr="00F02AA5">
        <w:rPr>
          <w:rFonts w:cs="Arial"/>
          <w:rtl/>
        </w:rPr>
        <w:t xml:space="preserve">, </w:t>
      </w:r>
      <w:r w:rsidRPr="00F02AA5">
        <w:rPr>
          <w:rFonts w:cs="Arial" w:hint="cs"/>
          <w:rtl/>
        </w:rPr>
        <w:t>ומערבין</w:t>
      </w:r>
      <w:r w:rsidRPr="00F02AA5">
        <w:rPr>
          <w:rFonts w:cs="Arial"/>
          <w:rtl/>
        </w:rPr>
        <w:t xml:space="preserve"> </w:t>
      </w:r>
      <w:r w:rsidRPr="00F02AA5">
        <w:rPr>
          <w:rFonts w:cs="Arial" w:hint="cs"/>
          <w:rtl/>
        </w:rPr>
        <w:t>וטומנין</w:t>
      </w:r>
      <w:r w:rsidRPr="00F02AA5">
        <w:rPr>
          <w:rFonts w:cs="Arial"/>
          <w:rtl/>
        </w:rPr>
        <w:t xml:space="preserve"> </w:t>
      </w:r>
      <w:r w:rsidRPr="00F02AA5">
        <w:rPr>
          <w:rFonts w:cs="Arial" w:hint="cs"/>
          <w:rtl/>
        </w:rPr>
        <w:t>את</w:t>
      </w:r>
      <w:r w:rsidRPr="00F02AA5">
        <w:rPr>
          <w:rFonts w:cs="Arial"/>
          <w:rtl/>
        </w:rPr>
        <w:t xml:space="preserve"> </w:t>
      </w:r>
      <w:r w:rsidRPr="00F02AA5">
        <w:rPr>
          <w:rFonts w:cs="Arial" w:hint="cs"/>
          <w:rtl/>
        </w:rPr>
        <w:t>החמין</w:t>
      </w:r>
      <w:r w:rsidRPr="00F02AA5">
        <w:rPr>
          <w:rFonts w:cs="Arial"/>
          <w:rtl/>
        </w:rPr>
        <w:t>.</w:t>
      </w:r>
      <w:r w:rsidRPr="00802CD0">
        <w:rPr>
          <w:rFonts w:hint="cs"/>
          <w:rtl/>
        </w:rPr>
        <w:t xml:space="preserve"> </w:t>
      </w:r>
      <w:r>
        <w:rPr>
          <w:rFonts w:cs="Arial" w:hint="cs"/>
          <w:rtl/>
        </w:rPr>
        <w:t xml:space="preserve">    </w:t>
      </w:r>
      <w:r>
        <w:rPr>
          <w:rFonts w:cs="Arial" w:hint="cs"/>
          <w:u w:val="double"/>
          <w:rtl/>
        </w:rPr>
        <w:t>גמרא</w:t>
      </w:r>
      <w:r>
        <w:rPr>
          <w:rFonts w:cs="Arial" w:hint="cs"/>
          <w:rtl/>
        </w:rPr>
        <w:t xml:space="preserve">: </w:t>
      </w:r>
      <w:r w:rsidRPr="00802CD0">
        <w:rPr>
          <w:rFonts w:cs="Arial" w:hint="cs"/>
          <w:rtl/>
        </w:rPr>
        <w:t>הא</w:t>
      </w:r>
      <w:r w:rsidRPr="00802CD0">
        <w:rPr>
          <w:rFonts w:cs="Arial"/>
          <w:rtl/>
        </w:rPr>
        <w:t xml:space="preserve"> </w:t>
      </w:r>
      <w:r w:rsidRPr="00802CD0">
        <w:rPr>
          <w:rFonts w:cs="Arial" w:hint="cs"/>
          <w:rtl/>
        </w:rPr>
        <w:t>גופא</w:t>
      </w:r>
      <w:r w:rsidRPr="00802CD0">
        <w:rPr>
          <w:rFonts w:cs="Arial"/>
          <w:rtl/>
        </w:rPr>
        <w:t xml:space="preserve"> </w:t>
      </w:r>
      <w:r w:rsidRPr="00802CD0">
        <w:rPr>
          <w:rFonts w:cs="Arial" w:hint="cs"/>
          <w:rtl/>
        </w:rPr>
        <w:t>קשיא</w:t>
      </w:r>
      <w:r>
        <w:rPr>
          <w:rFonts w:cs="Arial" w:hint="cs"/>
          <w:rtl/>
        </w:rPr>
        <w:t>,</w:t>
      </w:r>
      <w:r w:rsidRPr="00802CD0">
        <w:rPr>
          <w:rFonts w:cs="Arial"/>
          <w:rtl/>
        </w:rPr>
        <w:t xml:space="preserve"> </w:t>
      </w:r>
      <w:r w:rsidRPr="00802CD0">
        <w:rPr>
          <w:rFonts w:cs="Arial" w:hint="cs"/>
          <w:rtl/>
        </w:rPr>
        <w:t>אמרת</w:t>
      </w:r>
      <w:r w:rsidRPr="00802CD0">
        <w:rPr>
          <w:rFonts w:cs="Arial"/>
          <w:rtl/>
        </w:rPr>
        <w:t xml:space="preserve"> </w:t>
      </w:r>
      <w:r w:rsidRPr="00802CD0">
        <w:rPr>
          <w:rFonts w:cs="Arial" w:hint="cs"/>
          <w:rtl/>
        </w:rPr>
        <w:t>שלשה</w:t>
      </w:r>
      <w:r w:rsidRPr="00802CD0">
        <w:rPr>
          <w:rFonts w:cs="Arial"/>
          <w:rtl/>
        </w:rPr>
        <w:t xml:space="preserve"> </w:t>
      </w:r>
      <w:r w:rsidRPr="00802CD0">
        <w:rPr>
          <w:rFonts w:cs="Arial" w:hint="cs"/>
          <w:rtl/>
        </w:rPr>
        <w:t>דברים</w:t>
      </w:r>
      <w:r w:rsidRPr="00802CD0">
        <w:rPr>
          <w:rFonts w:cs="Arial"/>
          <w:rtl/>
        </w:rPr>
        <w:t xml:space="preserve"> </w:t>
      </w:r>
      <w:r w:rsidRPr="00802CD0">
        <w:rPr>
          <w:rFonts w:cs="Arial" w:hint="cs"/>
          <w:rtl/>
        </w:rPr>
        <w:t>צריך</w:t>
      </w:r>
      <w:r w:rsidRPr="00802CD0">
        <w:rPr>
          <w:rFonts w:cs="Arial"/>
          <w:rtl/>
        </w:rPr>
        <w:t xml:space="preserve"> </w:t>
      </w:r>
      <w:r w:rsidRPr="00802CD0">
        <w:rPr>
          <w:rFonts w:cs="Arial" w:hint="cs"/>
          <w:rtl/>
        </w:rPr>
        <w:t>אדם</w:t>
      </w:r>
      <w:r w:rsidRPr="00802CD0">
        <w:rPr>
          <w:rFonts w:cs="Arial"/>
          <w:rtl/>
        </w:rPr>
        <w:t xml:space="preserve"> </w:t>
      </w:r>
      <w:r w:rsidRPr="00802CD0">
        <w:rPr>
          <w:rFonts w:cs="Arial" w:hint="cs"/>
          <w:rtl/>
        </w:rPr>
        <w:t>לומר</w:t>
      </w:r>
      <w:r w:rsidRPr="00802CD0">
        <w:rPr>
          <w:rFonts w:cs="Arial"/>
          <w:rtl/>
        </w:rPr>
        <w:t xml:space="preserve"> </w:t>
      </w:r>
      <w:r w:rsidRPr="00802CD0">
        <w:rPr>
          <w:rFonts w:cs="Arial" w:hint="cs"/>
          <w:rtl/>
        </w:rPr>
        <w:t>בתוך</w:t>
      </w:r>
      <w:r w:rsidRPr="00802CD0">
        <w:rPr>
          <w:rFonts w:cs="Arial"/>
          <w:rtl/>
        </w:rPr>
        <w:t xml:space="preserve"> </w:t>
      </w:r>
      <w:r w:rsidRPr="00802CD0">
        <w:rPr>
          <w:rFonts w:cs="Arial" w:hint="cs"/>
          <w:rtl/>
        </w:rPr>
        <w:t>ביתו</w:t>
      </w:r>
      <w:r w:rsidRPr="00802CD0">
        <w:rPr>
          <w:rFonts w:cs="Arial"/>
          <w:rtl/>
        </w:rPr>
        <w:t xml:space="preserve"> </w:t>
      </w:r>
      <w:r w:rsidRPr="00802CD0">
        <w:rPr>
          <w:rFonts w:cs="Arial" w:hint="cs"/>
          <w:rtl/>
        </w:rPr>
        <w:t>ערב</w:t>
      </w:r>
      <w:r w:rsidRPr="00802CD0">
        <w:rPr>
          <w:rFonts w:cs="Arial"/>
          <w:rtl/>
        </w:rPr>
        <w:t xml:space="preserve"> </w:t>
      </w:r>
      <w:r w:rsidRPr="00802CD0">
        <w:rPr>
          <w:rFonts w:cs="Arial" w:hint="cs"/>
          <w:rtl/>
        </w:rPr>
        <w:t>שבת</w:t>
      </w:r>
      <w:r w:rsidRPr="00802CD0">
        <w:rPr>
          <w:rFonts w:cs="Arial"/>
          <w:rtl/>
        </w:rPr>
        <w:t xml:space="preserve"> </w:t>
      </w:r>
      <w:r w:rsidRPr="00802CD0">
        <w:rPr>
          <w:rFonts w:cs="Arial" w:hint="cs"/>
          <w:rtl/>
        </w:rPr>
        <w:t>עם</w:t>
      </w:r>
      <w:r w:rsidRPr="00802CD0">
        <w:rPr>
          <w:rFonts w:cs="Arial"/>
          <w:rtl/>
        </w:rPr>
        <w:t xml:space="preserve"> </w:t>
      </w:r>
      <w:r w:rsidRPr="00802CD0">
        <w:rPr>
          <w:rFonts w:cs="Arial" w:hint="cs"/>
          <w:rtl/>
        </w:rPr>
        <w:t>חשכה</w:t>
      </w:r>
      <w:r w:rsidRPr="00802CD0">
        <w:rPr>
          <w:rFonts w:cs="Arial"/>
          <w:rtl/>
        </w:rPr>
        <w:t xml:space="preserve">, </w:t>
      </w:r>
      <w:r w:rsidRPr="00802CD0">
        <w:rPr>
          <w:rFonts w:cs="Arial" w:hint="cs"/>
          <w:rtl/>
        </w:rPr>
        <w:t>עם</w:t>
      </w:r>
      <w:r w:rsidRPr="00802CD0">
        <w:rPr>
          <w:rFonts w:cs="Arial"/>
          <w:rtl/>
        </w:rPr>
        <w:t xml:space="preserve"> </w:t>
      </w:r>
      <w:r w:rsidRPr="00802CD0">
        <w:rPr>
          <w:rFonts w:cs="Arial" w:hint="cs"/>
          <w:rtl/>
        </w:rPr>
        <w:t>חשכה</w:t>
      </w:r>
      <w:r w:rsidRPr="00802CD0">
        <w:rPr>
          <w:rFonts w:cs="Arial"/>
          <w:rtl/>
        </w:rPr>
        <w:t xml:space="preserve"> </w:t>
      </w:r>
      <w:r w:rsidRPr="00802CD0">
        <w:rPr>
          <w:rFonts w:cs="Arial" w:hint="cs"/>
          <w:rtl/>
        </w:rPr>
        <w:t>אין</w:t>
      </w:r>
      <w:r w:rsidRPr="00802CD0">
        <w:rPr>
          <w:rFonts w:cs="Arial"/>
          <w:rtl/>
        </w:rPr>
        <w:t xml:space="preserve">, </w:t>
      </w:r>
      <w:r w:rsidRPr="00802CD0">
        <w:rPr>
          <w:rFonts w:cs="Arial" w:hint="cs"/>
          <w:rtl/>
        </w:rPr>
        <w:t>ספק</w:t>
      </w:r>
      <w:r w:rsidRPr="00802CD0">
        <w:rPr>
          <w:rFonts w:cs="Arial"/>
          <w:rtl/>
        </w:rPr>
        <w:t xml:space="preserve"> </w:t>
      </w:r>
      <w:r w:rsidRPr="00802CD0">
        <w:rPr>
          <w:rFonts w:cs="Arial" w:hint="cs"/>
          <w:rtl/>
        </w:rPr>
        <w:t>חשכה</w:t>
      </w:r>
      <w:r w:rsidRPr="00802CD0">
        <w:rPr>
          <w:rFonts w:cs="Arial"/>
          <w:rtl/>
        </w:rPr>
        <w:t xml:space="preserve"> </w:t>
      </w:r>
      <w:r w:rsidRPr="00802CD0">
        <w:rPr>
          <w:rFonts w:cs="Arial" w:hint="cs"/>
          <w:rtl/>
        </w:rPr>
        <w:t>ספק</w:t>
      </w:r>
      <w:r w:rsidRPr="00802CD0">
        <w:rPr>
          <w:rFonts w:cs="Arial"/>
          <w:rtl/>
        </w:rPr>
        <w:t xml:space="preserve"> </w:t>
      </w:r>
      <w:r w:rsidRPr="00802CD0">
        <w:rPr>
          <w:rFonts w:cs="Arial" w:hint="cs"/>
          <w:rtl/>
        </w:rPr>
        <w:t>אינו</w:t>
      </w:r>
      <w:r w:rsidRPr="00802CD0">
        <w:rPr>
          <w:rFonts w:cs="Arial"/>
          <w:rtl/>
        </w:rPr>
        <w:t xml:space="preserve"> </w:t>
      </w:r>
      <w:r w:rsidRPr="00802CD0">
        <w:rPr>
          <w:rFonts w:cs="Arial" w:hint="cs"/>
          <w:rtl/>
        </w:rPr>
        <w:t>חשכה</w:t>
      </w:r>
      <w:r w:rsidRPr="00802CD0">
        <w:rPr>
          <w:rFonts w:cs="Arial"/>
          <w:rtl/>
        </w:rPr>
        <w:t xml:space="preserve"> - </w:t>
      </w:r>
      <w:r w:rsidRPr="00802CD0">
        <w:rPr>
          <w:rFonts w:cs="Arial" w:hint="cs"/>
          <w:rtl/>
        </w:rPr>
        <w:t>לא</w:t>
      </w:r>
      <w:r w:rsidRPr="00802CD0">
        <w:rPr>
          <w:rFonts w:cs="Arial"/>
          <w:rtl/>
        </w:rPr>
        <w:t xml:space="preserve">. </w:t>
      </w:r>
      <w:r w:rsidRPr="00802CD0">
        <w:rPr>
          <w:rFonts w:cs="Arial" w:hint="cs"/>
          <w:rtl/>
        </w:rPr>
        <w:t>והדר</w:t>
      </w:r>
      <w:r w:rsidRPr="00802CD0">
        <w:rPr>
          <w:rFonts w:cs="Arial"/>
          <w:rtl/>
        </w:rPr>
        <w:t xml:space="preserve"> </w:t>
      </w:r>
      <w:r w:rsidRPr="00802CD0">
        <w:rPr>
          <w:rFonts w:cs="Arial" w:hint="cs"/>
          <w:rtl/>
        </w:rPr>
        <w:t>תני</w:t>
      </w:r>
      <w:r w:rsidRPr="00802CD0">
        <w:rPr>
          <w:rFonts w:cs="Arial"/>
          <w:rtl/>
        </w:rPr>
        <w:t xml:space="preserve">: </w:t>
      </w:r>
      <w:r w:rsidRPr="00802CD0">
        <w:rPr>
          <w:rFonts w:cs="Arial" w:hint="cs"/>
          <w:rtl/>
        </w:rPr>
        <w:t>ספק</w:t>
      </w:r>
      <w:r w:rsidRPr="00802CD0">
        <w:rPr>
          <w:rFonts w:cs="Arial"/>
          <w:rtl/>
        </w:rPr>
        <w:t xml:space="preserve"> </w:t>
      </w:r>
      <w:r w:rsidRPr="00802CD0">
        <w:rPr>
          <w:rFonts w:cs="Arial" w:hint="cs"/>
          <w:rtl/>
        </w:rPr>
        <w:t>חשכה</w:t>
      </w:r>
      <w:r w:rsidRPr="00802CD0">
        <w:rPr>
          <w:rFonts w:cs="Arial"/>
          <w:rtl/>
        </w:rPr>
        <w:t xml:space="preserve"> </w:t>
      </w:r>
      <w:r w:rsidRPr="00802CD0">
        <w:rPr>
          <w:rFonts w:cs="Arial" w:hint="cs"/>
          <w:rtl/>
        </w:rPr>
        <w:t>ספק</w:t>
      </w:r>
      <w:r w:rsidRPr="00802CD0">
        <w:rPr>
          <w:rFonts w:cs="Arial"/>
          <w:rtl/>
        </w:rPr>
        <w:t xml:space="preserve"> </w:t>
      </w:r>
      <w:r w:rsidRPr="00802CD0">
        <w:rPr>
          <w:rFonts w:cs="Arial" w:hint="cs"/>
          <w:rtl/>
        </w:rPr>
        <w:t>אינו</w:t>
      </w:r>
      <w:r w:rsidRPr="00802CD0">
        <w:rPr>
          <w:rFonts w:cs="Arial"/>
          <w:rtl/>
        </w:rPr>
        <w:t xml:space="preserve"> </w:t>
      </w:r>
      <w:r w:rsidRPr="00802CD0">
        <w:rPr>
          <w:rFonts w:cs="Arial" w:hint="cs"/>
          <w:rtl/>
        </w:rPr>
        <w:t>חשכה</w:t>
      </w:r>
      <w:r w:rsidRPr="00802CD0">
        <w:rPr>
          <w:rFonts w:cs="Arial"/>
          <w:rtl/>
        </w:rPr>
        <w:t xml:space="preserve"> </w:t>
      </w:r>
      <w:r w:rsidRPr="00802CD0">
        <w:rPr>
          <w:rFonts w:cs="Arial" w:hint="cs"/>
          <w:rtl/>
        </w:rPr>
        <w:t>מערב</w:t>
      </w:r>
      <w:r w:rsidRPr="00802CD0">
        <w:rPr>
          <w:rFonts w:cs="Arial"/>
          <w:rtl/>
        </w:rPr>
        <w:t>!</w:t>
      </w:r>
      <w:r>
        <w:rPr>
          <w:rFonts w:cs="Arial" w:hint="cs"/>
          <w:rtl/>
        </w:rPr>
        <w:t>...</w:t>
      </w:r>
      <w:r w:rsidRPr="00802CD0">
        <w:rPr>
          <w:rFonts w:cs="Arial"/>
          <w:rtl/>
        </w:rPr>
        <w:t xml:space="preserve"> </w:t>
      </w:r>
      <w:r w:rsidRPr="00802CD0">
        <w:rPr>
          <w:rFonts w:cs="Arial" w:hint="cs"/>
          <w:u w:val="single"/>
          <w:rtl/>
        </w:rPr>
        <w:t>אמר</w:t>
      </w:r>
      <w:r w:rsidRPr="00802CD0">
        <w:rPr>
          <w:rFonts w:cs="Arial"/>
          <w:u w:val="single"/>
          <w:rtl/>
        </w:rPr>
        <w:t xml:space="preserve"> </w:t>
      </w:r>
      <w:r w:rsidRPr="00802CD0">
        <w:rPr>
          <w:rFonts w:cs="Arial" w:hint="cs"/>
          <w:u w:val="single"/>
          <w:rtl/>
        </w:rPr>
        <w:t>רבי</w:t>
      </w:r>
      <w:r w:rsidRPr="00802CD0">
        <w:rPr>
          <w:rFonts w:cs="Arial"/>
          <w:u w:val="single"/>
          <w:rtl/>
        </w:rPr>
        <w:t xml:space="preserve"> </w:t>
      </w:r>
      <w:r w:rsidRPr="00802CD0">
        <w:rPr>
          <w:rFonts w:cs="Arial" w:hint="cs"/>
          <w:u w:val="single"/>
          <w:rtl/>
        </w:rPr>
        <w:t>אבא</w:t>
      </w:r>
      <w:r w:rsidRPr="00802CD0">
        <w:rPr>
          <w:rFonts w:cs="Arial"/>
          <w:u w:val="single"/>
          <w:rtl/>
        </w:rPr>
        <w:t xml:space="preserve"> </w:t>
      </w:r>
      <w:r w:rsidRPr="00802CD0">
        <w:rPr>
          <w:rFonts w:cs="Arial" w:hint="cs"/>
          <w:u w:val="single"/>
          <w:rtl/>
        </w:rPr>
        <w:t>אמר</w:t>
      </w:r>
      <w:r w:rsidRPr="00802CD0">
        <w:rPr>
          <w:rFonts w:cs="Arial"/>
          <w:u w:val="single"/>
          <w:rtl/>
        </w:rPr>
        <w:t xml:space="preserve"> </w:t>
      </w:r>
      <w:r w:rsidRPr="00802CD0">
        <w:rPr>
          <w:rFonts w:cs="Arial" w:hint="cs"/>
          <w:u w:val="single"/>
          <w:rtl/>
        </w:rPr>
        <w:t>רב</w:t>
      </w:r>
      <w:r w:rsidRPr="00802CD0">
        <w:rPr>
          <w:rFonts w:cs="Arial"/>
          <w:u w:val="single"/>
          <w:rtl/>
        </w:rPr>
        <w:t xml:space="preserve"> </w:t>
      </w:r>
      <w:r w:rsidRPr="00802CD0">
        <w:rPr>
          <w:rFonts w:cs="Arial" w:hint="cs"/>
          <w:u w:val="single"/>
          <w:rtl/>
        </w:rPr>
        <w:t>חייא</w:t>
      </w:r>
      <w:r w:rsidRPr="00802CD0">
        <w:rPr>
          <w:rFonts w:cs="Arial"/>
          <w:u w:val="single"/>
          <w:rtl/>
        </w:rPr>
        <w:t xml:space="preserve"> </w:t>
      </w:r>
      <w:r w:rsidRPr="00802CD0">
        <w:rPr>
          <w:rFonts w:cs="Arial" w:hint="cs"/>
          <w:u w:val="single"/>
          <w:rtl/>
        </w:rPr>
        <w:t>בר</w:t>
      </w:r>
      <w:r w:rsidRPr="00802CD0">
        <w:rPr>
          <w:rFonts w:cs="Arial"/>
          <w:u w:val="single"/>
          <w:rtl/>
        </w:rPr>
        <w:t xml:space="preserve"> </w:t>
      </w:r>
      <w:r w:rsidRPr="00802CD0">
        <w:rPr>
          <w:rFonts w:cs="Arial" w:hint="cs"/>
          <w:u w:val="single"/>
          <w:rtl/>
        </w:rPr>
        <w:t>אשי</w:t>
      </w:r>
      <w:r w:rsidRPr="00802CD0">
        <w:rPr>
          <w:rFonts w:cs="Arial"/>
          <w:u w:val="single"/>
          <w:rtl/>
        </w:rPr>
        <w:t xml:space="preserve"> </w:t>
      </w:r>
      <w:r w:rsidRPr="00802CD0">
        <w:rPr>
          <w:rFonts w:cs="Arial" w:hint="cs"/>
          <w:u w:val="single"/>
          <w:rtl/>
        </w:rPr>
        <w:t>אמר</w:t>
      </w:r>
      <w:r w:rsidRPr="00802CD0">
        <w:rPr>
          <w:rFonts w:cs="Arial"/>
          <w:u w:val="single"/>
          <w:rtl/>
        </w:rPr>
        <w:t xml:space="preserve"> </w:t>
      </w:r>
      <w:r w:rsidRPr="00802CD0">
        <w:rPr>
          <w:rFonts w:cs="Arial" w:hint="cs"/>
          <w:u w:val="single"/>
          <w:rtl/>
        </w:rPr>
        <w:t>רב</w:t>
      </w:r>
      <w:r w:rsidRPr="00802CD0">
        <w:rPr>
          <w:rFonts w:cs="Arial"/>
          <w:rtl/>
        </w:rPr>
        <w:t xml:space="preserve">: </w:t>
      </w:r>
      <w:r w:rsidRPr="00802CD0">
        <w:rPr>
          <w:rFonts w:cs="Arial" w:hint="cs"/>
          <w:rtl/>
        </w:rPr>
        <w:t>לא</w:t>
      </w:r>
      <w:r w:rsidRPr="00802CD0">
        <w:rPr>
          <w:rFonts w:cs="Arial"/>
          <w:rtl/>
        </w:rPr>
        <w:t xml:space="preserve"> </w:t>
      </w:r>
      <w:r w:rsidRPr="00802CD0">
        <w:rPr>
          <w:rFonts w:cs="Arial" w:hint="cs"/>
          <w:rtl/>
        </w:rPr>
        <w:t>קשיא</w:t>
      </w:r>
      <w:r w:rsidRPr="00802CD0">
        <w:rPr>
          <w:rFonts w:cs="Arial"/>
          <w:rtl/>
        </w:rPr>
        <w:t xml:space="preserve">, </w:t>
      </w:r>
      <w:r w:rsidRPr="00802CD0">
        <w:rPr>
          <w:rFonts w:cs="Arial" w:hint="cs"/>
          <w:rtl/>
        </w:rPr>
        <w:t>כאן</w:t>
      </w:r>
      <w:r w:rsidRPr="00802CD0">
        <w:rPr>
          <w:rFonts w:cs="Arial"/>
          <w:rtl/>
        </w:rPr>
        <w:t xml:space="preserve"> - </w:t>
      </w:r>
      <w:r w:rsidRPr="00802CD0">
        <w:rPr>
          <w:rFonts w:cs="Arial" w:hint="cs"/>
          <w:rtl/>
        </w:rPr>
        <w:t>בעירובי</w:t>
      </w:r>
      <w:r w:rsidRPr="00802CD0">
        <w:rPr>
          <w:rFonts w:cs="Arial"/>
          <w:rtl/>
        </w:rPr>
        <w:t xml:space="preserve"> </w:t>
      </w:r>
      <w:r w:rsidRPr="00802CD0">
        <w:rPr>
          <w:rFonts w:cs="Arial" w:hint="cs"/>
          <w:rtl/>
        </w:rPr>
        <w:t>תחומין</w:t>
      </w:r>
      <w:r>
        <w:rPr>
          <w:rStyle w:val="a9"/>
          <w:rFonts w:cs="Arial"/>
          <w:rtl/>
        </w:rPr>
        <w:footnoteReference w:id="588"/>
      </w:r>
      <w:r w:rsidRPr="00802CD0">
        <w:rPr>
          <w:rFonts w:cs="Arial"/>
          <w:rtl/>
        </w:rPr>
        <w:t xml:space="preserve">, </w:t>
      </w:r>
      <w:r w:rsidRPr="00802CD0">
        <w:rPr>
          <w:rFonts w:cs="Arial" w:hint="cs"/>
          <w:rtl/>
        </w:rPr>
        <w:t>כאן</w:t>
      </w:r>
      <w:r w:rsidRPr="00802CD0">
        <w:rPr>
          <w:rFonts w:cs="Arial"/>
          <w:rtl/>
        </w:rPr>
        <w:t xml:space="preserve"> - </w:t>
      </w:r>
      <w:r w:rsidRPr="00802CD0">
        <w:rPr>
          <w:rFonts w:cs="Arial" w:hint="cs"/>
          <w:rtl/>
        </w:rPr>
        <w:t>בעירובי</w:t>
      </w:r>
      <w:r w:rsidRPr="00802CD0">
        <w:rPr>
          <w:rFonts w:cs="Arial"/>
          <w:rtl/>
        </w:rPr>
        <w:t xml:space="preserve"> </w:t>
      </w:r>
      <w:r w:rsidRPr="00802CD0">
        <w:rPr>
          <w:rFonts w:cs="Arial" w:hint="cs"/>
          <w:rtl/>
        </w:rPr>
        <w:t>חצרות</w:t>
      </w:r>
      <w:r w:rsidRPr="00802CD0">
        <w:rPr>
          <w:rFonts w:cs="Arial"/>
          <w:rtl/>
        </w:rPr>
        <w:t>.</w:t>
      </w:r>
    </w:p>
    <w:p w14:paraId="29A804B6" w14:textId="77777777" w:rsidR="004B2E7C" w:rsidRPr="009B7807" w:rsidRDefault="004B2E7C" w:rsidP="00434A6A">
      <w:pPr>
        <w:rPr>
          <w:u w:val="single"/>
          <w:rtl/>
        </w:rPr>
      </w:pPr>
      <w:r w:rsidRPr="009B7807">
        <w:rPr>
          <w:rFonts w:hint="cs"/>
          <w:u w:val="single"/>
          <w:rtl/>
        </w:rPr>
        <w:t>מה מותר לעשות בבין השמשות</w:t>
      </w:r>
      <w:r w:rsidRPr="009B7807">
        <w:rPr>
          <w:rFonts w:cs="Arial" w:hint="cs"/>
          <w:u w:val="single"/>
          <w:rtl/>
        </w:rPr>
        <w:t>:</w:t>
      </w:r>
    </w:p>
    <w:p w14:paraId="2DC97E9A" w14:textId="77777777" w:rsidR="004B2E7C" w:rsidRPr="00D54009" w:rsidRDefault="004B2E7C" w:rsidP="00FF2D21">
      <w:pPr>
        <w:pStyle w:val="aa"/>
        <w:numPr>
          <w:ilvl w:val="0"/>
          <w:numId w:val="87"/>
        </w:numPr>
        <w:rPr>
          <w:rFonts w:cs="Arial"/>
          <w:rtl/>
        </w:rPr>
      </w:pPr>
      <w:r>
        <w:rPr>
          <w:rFonts w:cs="Arial" w:hint="cs"/>
          <w:rtl/>
        </w:rPr>
        <w:t xml:space="preserve">טור- </w:t>
      </w:r>
      <w:r w:rsidRPr="00D54009">
        <w:rPr>
          <w:rFonts w:cs="Arial" w:hint="cs"/>
          <w:rtl/>
        </w:rPr>
        <w:t>ספק</w:t>
      </w:r>
      <w:r w:rsidRPr="00D54009">
        <w:rPr>
          <w:rFonts w:cs="Arial"/>
          <w:rtl/>
        </w:rPr>
        <w:t xml:space="preserve"> </w:t>
      </w:r>
      <w:r w:rsidRPr="00D54009">
        <w:rPr>
          <w:rFonts w:cs="Arial" w:hint="cs"/>
          <w:rtl/>
        </w:rPr>
        <w:t>חשיכה</w:t>
      </w:r>
      <w:r w:rsidRPr="00D54009">
        <w:rPr>
          <w:rFonts w:cs="Arial"/>
          <w:rtl/>
        </w:rPr>
        <w:t xml:space="preserve"> </w:t>
      </w:r>
      <w:r w:rsidRPr="00D54009">
        <w:rPr>
          <w:rFonts w:cs="Arial" w:hint="cs"/>
          <w:rtl/>
        </w:rPr>
        <w:t>ספק</w:t>
      </w:r>
      <w:r w:rsidRPr="00D54009">
        <w:rPr>
          <w:rFonts w:cs="Arial"/>
          <w:rtl/>
        </w:rPr>
        <w:t xml:space="preserve"> </w:t>
      </w:r>
      <w:r w:rsidRPr="00D54009">
        <w:rPr>
          <w:rFonts w:cs="Arial" w:hint="cs"/>
          <w:rtl/>
        </w:rPr>
        <w:t>אינה</w:t>
      </w:r>
      <w:r w:rsidRPr="00D54009">
        <w:rPr>
          <w:rFonts w:cs="Arial"/>
          <w:rtl/>
        </w:rPr>
        <w:t xml:space="preserve"> </w:t>
      </w:r>
      <w:r w:rsidRPr="00D54009">
        <w:rPr>
          <w:rFonts w:cs="Arial" w:hint="cs"/>
          <w:rtl/>
        </w:rPr>
        <w:t>חשכה</w:t>
      </w:r>
      <w:r>
        <w:rPr>
          <w:rFonts w:cs="Arial" w:hint="cs"/>
          <w:rtl/>
        </w:rPr>
        <w:t>,</w:t>
      </w:r>
      <w:r w:rsidRPr="00D54009">
        <w:rPr>
          <w:rFonts w:cs="Arial"/>
          <w:rtl/>
        </w:rPr>
        <w:t xml:space="preserve"> </w:t>
      </w:r>
      <w:r w:rsidRPr="00D54009">
        <w:rPr>
          <w:rFonts w:cs="Arial" w:hint="cs"/>
          <w:rtl/>
        </w:rPr>
        <w:t>אין</w:t>
      </w:r>
      <w:r w:rsidRPr="00D54009">
        <w:rPr>
          <w:rFonts w:cs="Arial"/>
          <w:rtl/>
        </w:rPr>
        <w:t xml:space="preserve"> </w:t>
      </w:r>
      <w:r w:rsidRPr="00D54009">
        <w:rPr>
          <w:rFonts w:cs="Arial" w:hint="cs"/>
          <w:rtl/>
        </w:rPr>
        <w:t>מעשרין</w:t>
      </w:r>
      <w:r w:rsidRPr="00D54009">
        <w:rPr>
          <w:rFonts w:cs="Arial"/>
          <w:rtl/>
        </w:rPr>
        <w:t xml:space="preserve"> </w:t>
      </w:r>
      <w:r w:rsidRPr="00D54009">
        <w:rPr>
          <w:rFonts w:cs="Arial" w:hint="cs"/>
          <w:rtl/>
        </w:rPr>
        <w:t>את</w:t>
      </w:r>
      <w:r w:rsidRPr="00D54009">
        <w:rPr>
          <w:rFonts w:cs="Arial"/>
          <w:rtl/>
        </w:rPr>
        <w:t xml:space="preserve"> </w:t>
      </w:r>
      <w:r w:rsidRPr="00D54009">
        <w:rPr>
          <w:rFonts w:cs="Arial" w:hint="cs"/>
          <w:rtl/>
        </w:rPr>
        <w:t>הודאי</w:t>
      </w:r>
      <w:r>
        <w:rPr>
          <w:rFonts w:cs="Arial" w:hint="cs"/>
          <w:rtl/>
        </w:rPr>
        <w:t>,</w:t>
      </w:r>
      <w:r w:rsidRPr="00D54009">
        <w:rPr>
          <w:rFonts w:cs="Arial"/>
          <w:rtl/>
        </w:rPr>
        <w:t xml:space="preserve"> </w:t>
      </w:r>
      <w:r w:rsidRPr="00D54009">
        <w:rPr>
          <w:rFonts w:cs="Arial" w:hint="cs"/>
          <w:rtl/>
        </w:rPr>
        <w:t>ואין</w:t>
      </w:r>
      <w:r w:rsidRPr="00D54009">
        <w:rPr>
          <w:rFonts w:cs="Arial"/>
          <w:rtl/>
        </w:rPr>
        <w:t xml:space="preserve"> </w:t>
      </w:r>
      <w:r w:rsidRPr="00D54009">
        <w:rPr>
          <w:rFonts w:cs="Arial" w:hint="cs"/>
          <w:rtl/>
        </w:rPr>
        <w:t>מטבילין</w:t>
      </w:r>
      <w:r w:rsidRPr="00D54009">
        <w:rPr>
          <w:rFonts w:cs="Arial"/>
          <w:rtl/>
        </w:rPr>
        <w:t xml:space="preserve"> </w:t>
      </w:r>
      <w:r w:rsidRPr="00D54009">
        <w:rPr>
          <w:rFonts w:cs="Arial" w:hint="cs"/>
          <w:rtl/>
        </w:rPr>
        <w:t>את</w:t>
      </w:r>
      <w:r w:rsidRPr="00D54009">
        <w:rPr>
          <w:rFonts w:cs="Arial"/>
          <w:rtl/>
        </w:rPr>
        <w:t xml:space="preserve"> </w:t>
      </w:r>
      <w:r w:rsidRPr="00D54009">
        <w:rPr>
          <w:rFonts w:cs="Arial" w:hint="cs"/>
          <w:rtl/>
        </w:rPr>
        <w:t>הכלים</w:t>
      </w:r>
      <w:r>
        <w:rPr>
          <w:rFonts w:cs="Arial" w:hint="cs"/>
          <w:rtl/>
        </w:rPr>
        <w:t>,</w:t>
      </w:r>
      <w:r w:rsidRPr="00D54009">
        <w:rPr>
          <w:rFonts w:cs="Arial"/>
          <w:rtl/>
        </w:rPr>
        <w:t xml:space="preserve"> </w:t>
      </w:r>
      <w:r w:rsidRPr="00D54009">
        <w:rPr>
          <w:rFonts w:cs="Arial" w:hint="cs"/>
          <w:rtl/>
        </w:rPr>
        <w:t>ואין</w:t>
      </w:r>
      <w:r w:rsidRPr="00D54009">
        <w:rPr>
          <w:rFonts w:cs="Arial"/>
          <w:rtl/>
        </w:rPr>
        <w:t xml:space="preserve"> </w:t>
      </w:r>
      <w:r w:rsidRPr="00D54009">
        <w:rPr>
          <w:rFonts w:cs="Arial" w:hint="cs"/>
          <w:rtl/>
        </w:rPr>
        <w:t>מדליקין</w:t>
      </w:r>
      <w:r w:rsidRPr="00D54009">
        <w:rPr>
          <w:rFonts w:cs="Arial"/>
          <w:rtl/>
        </w:rPr>
        <w:t xml:space="preserve"> </w:t>
      </w:r>
      <w:r w:rsidRPr="00D54009">
        <w:rPr>
          <w:rFonts w:cs="Arial" w:hint="cs"/>
          <w:rtl/>
        </w:rPr>
        <w:t>את</w:t>
      </w:r>
      <w:r w:rsidRPr="00D54009">
        <w:rPr>
          <w:rFonts w:cs="Arial"/>
          <w:rtl/>
        </w:rPr>
        <w:t xml:space="preserve"> </w:t>
      </w:r>
      <w:r w:rsidRPr="00D54009">
        <w:rPr>
          <w:rFonts w:cs="Arial" w:hint="cs"/>
          <w:rtl/>
        </w:rPr>
        <w:t>הנרות... אבל</w:t>
      </w:r>
      <w:r w:rsidRPr="00D54009">
        <w:rPr>
          <w:rFonts w:cs="Arial"/>
          <w:rtl/>
        </w:rPr>
        <w:t xml:space="preserve"> </w:t>
      </w:r>
      <w:r w:rsidRPr="00D54009">
        <w:rPr>
          <w:rFonts w:cs="Arial" w:hint="cs"/>
          <w:rtl/>
        </w:rPr>
        <w:t>מעשרין</w:t>
      </w:r>
      <w:r w:rsidRPr="00D54009">
        <w:rPr>
          <w:rFonts w:cs="Arial"/>
          <w:rtl/>
        </w:rPr>
        <w:t xml:space="preserve"> </w:t>
      </w:r>
      <w:r w:rsidRPr="00D54009">
        <w:rPr>
          <w:rFonts w:cs="Arial" w:hint="cs"/>
          <w:rtl/>
        </w:rPr>
        <w:t>את</w:t>
      </w:r>
      <w:r w:rsidRPr="00D54009">
        <w:rPr>
          <w:rFonts w:cs="Arial"/>
          <w:rtl/>
        </w:rPr>
        <w:t xml:space="preserve"> </w:t>
      </w:r>
      <w:r w:rsidRPr="00D54009">
        <w:rPr>
          <w:rFonts w:cs="Arial" w:hint="cs"/>
          <w:rtl/>
        </w:rPr>
        <w:t>הדמאי</w:t>
      </w:r>
      <w:r>
        <w:rPr>
          <w:rFonts w:cs="Arial" w:hint="cs"/>
          <w:rtl/>
        </w:rPr>
        <w:t>,</w:t>
      </w:r>
      <w:r w:rsidRPr="00D54009">
        <w:rPr>
          <w:rFonts w:cs="Arial"/>
          <w:rtl/>
        </w:rPr>
        <w:t xml:space="preserve"> </w:t>
      </w:r>
      <w:r w:rsidRPr="00D54009">
        <w:rPr>
          <w:rFonts w:cs="Arial" w:hint="cs"/>
          <w:rtl/>
        </w:rPr>
        <w:t>ומערבין</w:t>
      </w:r>
      <w:r w:rsidRPr="00D54009">
        <w:rPr>
          <w:rFonts w:cs="Arial"/>
          <w:rtl/>
        </w:rPr>
        <w:t xml:space="preserve"> </w:t>
      </w:r>
      <w:r w:rsidRPr="00D54009">
        <w:rPr>
          <w:rFonts w:cs="Arial" w:hint="cs"/>
          <w:rtl/>
        </w:rPr>
        <w:t>עירובי</w:t>
      </w:r>
      <w:r w:rsidRPr="00D54009">
        <w:rPr>
          <w:rFonts w:cs="Arial"/>
          <w:rtl/>
        </w:rPr>
        <w:t xml:space="preserve"> </w:t>
      </w:r>
      <w:r w:rsidRPr="00D54009">
        <w:rPr>
          <w:rFonts w:cs="Arial" w:hint="cs"/>
          <w:rtl/>
        </w:rPr>
        <w:t>חצירות</w:t>
      </w:r>
      <w:r>
        <w:rPr>
          <w:rFonts w:cs="Arial" w:hint="cs"/>
          <w:rtl/>
        </w:rPr>
        <w:t>,</w:t>
      </w:r>
      <w:r w:rsidRPr="00D54009">
        <w:rPr>
          <w:rFonts w:cs="Arial"/>
          <w:rtl/>
        </w:rPr>
        <w:t xml:space="preserve"> </w:t>
      </w:r>
      <w:r w:rsidRPr="00D54009">
        <w:rPr>
          <w:rFonts w:cs="Arial" w:hint="cs"/>
          <w:rtl/>
        </w:rPr>
        <w:t>אבל</w:t>
      </w:r>
      <w:r w:rsidRPr="00D54009">
        <w:rPr>
          <w:rFonts w:cs="Arial"/>
          <w:rtl/>
        </w:rPr>
        <w:t xml:space="preserve"> </w:t>
      </w:r>
      <w:r w:rsidRPr="00D54009">
        <w:rPr>
          <w:rFonts w:cs="Arial" w:hint="cs"/>
          <w:rtl/>
        </w:rPr>
        <w:t>לא</w:t>
      </w:r>
      <w:r w:rsidRPr="00D54009">
        <w:rPr>
          <w:rFonts w:cs="Arial"/>
          <w:rtl/>
        </w:rPr>
        <w:t xml:space="preserve"> </w:t>
      </w:r>
      <w:r w:rsidRPr="00D54009">
        <w:rPr>
          <w:rFonts w:cs="Arial" w:hint="cs"/>
          <w:rtl/>
        </w:rPr>
        <w:t>עירובי</w:t>
      </w:r>
      <w:r w:rsidRPr="00D54009">
        <w:rPr>
          <w:rFonts w:cs="Arial"/>
          <w:rtl/>
        </w:rPr>
        <w:t xml:space="preserve"> </w:t>
      </w:r>
      <w:r w:rsidRPr="00D54009">
        <w:rPr>
          <w:rFonts w:cs="Arial" w:hint="cs"/>
          <w:rtl/>
        </w:rPr>
        <w:t>תחומין</w:t>
      </w:r>
      <w:r>
        <w:rPr>
          <w:rStyle w:val="a9"/>
          <w:rFonts w:cs="Arial"/>
          <w:rtl/>
        </w:rPr>
        <w:footnoteReference w:id="589"/>
      </w:r>
      <w:r w:rsidRPr="00D54009">
        <w:rPr>
          <w:rFonts w:cs="Arial" w:hint="cs"/>
          <w:rtl/>
        </w:rPr>
        <w:t>.</w:t>
      </w:r>
      <w:r w:rsidRPr="00D54009">
        <w:rPr>
          <w:rFonts w:cs="Arial"/>
          <w:rtl/>
        </w:rPr>
        <w:t xml:space="preserve"> </w:t>
      </w:r>
      <w:r w:rsidRPr="005275DF">
        <w:rPr>
          <w:rFonts w:asciiTheme="minorBidi" w:hAnsiTheme="minorBidi"/>
          <w:color w:val="E36C0A" w:themeColor="accent6" w:themeShade="BF"/>
          <w:rtl/>
        </w:rPr>
        <w:t>(וכ"פ בשו"ע)</w:t>
      </w:r>
    </w:p>
    <w:p w14:paraId="260AB489" w14:textId="77777777" w:rsidR="004B2E7C" w:rsidRPr="00D54009" w:rsidRDefault="004B2E7C" w:rsidP="00434A6A">
      <w:pPr>
        <w:ind w:left="360"/>
        <w:rPr>
          <w:rFonts w:cs="Arial"/>
          <w:u w:val="dotted"/>
          <w:rtl/>
        </w:rPr>
      </w:pPr>
      <w:r w:rsidRPr="00D54009">
        <w:rPr>
          <w:rFonts w:cs="Arial" w:hint="cs"/>
          <w:u w:val="dotted"/>
          <w:rtl/>
        </w:rPr>
        <w:t>מאי 'ספק חשכה ספק אינה חשכה':</w:t>
      </w:r>
    </w:p>
    <w:p w14:paraId="03BCB667" w14:textId="77777777" w:rsidR="004B2E7C" w:rsidRPr="00D54009" w:rsidRDefault="004B2E7C" w:rsidP="00FF2D21">
      <w:pPr>
        <w:pStyle w:val="aa"/>
        <w:numPr>
          <w:ilvl w:val="0"/>
          <w:numId w:val="87"/>
        </w:numPr>
        <w:rPr>
          <w:rFonts w:cs="Arial"/>
          <w:rtl/>
        </w:rPr>
      </w:pPr>
      <w:r>
        <w:rPr>
          <w:rFonts w:cs="Arial" w:hint="cs"/>
          <w:rtl/>
        </w:rPr>
        <w:t xml:space="preserve">טור- </w:t>
      </w:r>
      <w:r w:rsidRPr="00D54009">
        <w:rPr>
          <w:rFonts w:cs="Arial" w:hint="cs"/>
          <w:rtl/>
        </w:rPr>
        <w:t>הוא</w:t>
      </w:r>
      <w:r w:rsidRPr="00D54009">
        <w:rPr>
          <w:rFonts w:cs="Arial"/>
          <w:rtl/>
        </w:rPr>
        <w:t xml:space="preserve"> </w:t>
      </w:r>
      <w:r w:rsidRPr="00D54009">
        <w:rPr>
          <w:rFonts w:cs="Arial" w:hint="cs"/>
          <w:rtl/>
        </w:rPr>
        <w:t>בין</w:t>
      </w:r>
      <w:r w:rsidRPr="00D54009">
        <w:rPr>
          <w:rFonts w:cs="Arial"/>
          <w:rtl/>
        </w:rPr>
        <w:t xml:space="preserve"> </w:t>
      </w:r>
      <w:r w:rsidRPr="00D54009">
        <w:rPr>
          <w:rFonts w:cs="Arial" w:hint="cs"/>
          <w:rtl/>
        </w:rPr>
        <w:t>השמשות</w:t>
      </w:r>
      <w:r>
        <w:rPr>
          <w:rFonts w:cs="Arial" w:hint="cs"/>
          <w:rtl/>
        </w:rPr>
        <w:t>,</w:t>
      </w:r>
      <w:r w:rsidRPr="00D54009">
        <w:rPr>
          <w:rFonts w:cs="Arial"/>
          <w:rtl/>
        </w:rPr>
        <w:t xml:space="preserve"> </w:t>
      </w:r>
      <w:r w:rsidRPr="00D54009">
        <w:rPr>
          <w:rFonts w:cs="Arial" w:hint="cs"/>
          <w:rtl/>
        </w:rPr>
        <w:t>שהוא</w:t>
      </w:r>
      <w:r w:rsidRPr="00D54009">
        <w:rPr>
          <w:rFonts w:cs="Arial"/>
          <w:rtl/>
        </w:rPr>
        <w:t xml:space="preserve"> </w:t>
      </w:r>
      <w:r w:rsidRPr="00D54009">
        <w:rPr>
          <w:rFonts w:cs="Arial" w:hint="cs"/>
          <w:rtl/>
        </w:rPr>
        <w:t>ספק</w:t>
      </w:r>
      <w:r w:rsidRPr="00D54009">
        <w:rPr>
          <w:rFonts w:cs="Arial"/>
          <w:rtl/>
        </w:rPr>
        <w:t xml:space="preserve"> </w:t>
      </w:r>
      <w:r w:rsidRPr="00D54009">
        <w:rPr>
          <w:rFonts w:cs="Arial" w:hint="cs"/>
          <w:rtl/>
        </w:rPr>
        <w:t>יום</w:t>
      </w:r>
      <w:r w:rsidRPr="00D54009">
        <w:rPr>
          <w:rFonts w:cs="Arial"/>
          <w:rtl/>
        </w:rPr>
        <w:t xml:space="preserve"> </w:t>
      </w:r>
      <w:r w:rsidRPr="00D54009">
        <w:rPr>
          <w:rFonts w:cs="Arial" w:hint="cs"/>
          <w:rtl/>
        </w:rPr>
        <w:t>ספק</w:t>
      </w:r>
      <w:r w:rsidRPr="00D54009">
        <w:rPr>
          <w:rFonts w:cs="Arial"/>
          <w:rtl/>
        </w:rPr>
        <w:t xml:space="preserve"> </w:t>
      </w:r>
      <w:r w:rsidRPr="00D54009">
        <w:rPr>
          <w:rFonts w:cs="Arial" w:hint="cs"/>
          <w:rtl/>
        </w:rPr>
        <w:t>לילה</w:t>
      </w:r>
      <w:r>
        <w:rPr>
          <w:rFonts w:cs="Arial" w:hint="cs"/>
          <w:rtl/>
        </w:rPr>
        <w:t>,</w:t>
      </w:r>
      <w:r w:rsidRPr="00D54009">
        <w:rPr>
          <w:rFonts w:cs="Arial"/>
          <w:rtl/>
        </w:rPr>
        <w:t xml:space="preserve"> </w:t>
      </w:r>
      <w:r w:rsidRPr="00D54009">
        <w:rPr>
          <w:rFonts w:cs="Arial" w:hint="cs"/>
          <w:rtl/>
        </w:rPr>
        <w:t>וזמנו</w:t>
      </w:r>
      <w:r w:rsidRPr="00D54009">
        <w:rPr>
          <w:rFonts w:cs="Arial"/>
          <w:rtl/>
        </w:rPr>
        <w:t xml:space="preserve"> </w:t>
      </w:r>
      <w:r w:rsidRPr="00D54009">
        <w:rPr>
          <w:rFonts w:cs="Arial" w:hint="cs"/>
          <w:rtl/>
        </w:rPr>
        <w:t>משתשקע</w:t>
      </w:r>
      <w:r w:rsidRPr="00D54009">
        <w:rPr>
          <w:rFonts w:cs="Arial"/>
          <w:rtl/>
        </w:rPr>
        <w:t xml:space="preserve"> </w:t>
      </w:r>
      <w:r w:rsidRPr="00D54009">
        <w:rPr>
          <w:rFonts w:cs="Arial" w:hint="cs"/>
          <w:rtl/>
        </w:rPr>
        <w:t>החמה</w:t>
      </w:r>
      <w:r w:rsidRPr="00D54009">
        <w:rPr>
          <w:rFonts w:cs="Arial"/>
          <w:rtl/>
        </w:rPr>
        <w:t xml:space="preserve"> </w:t>
      </w:r>
      <w:r w:rsidRPr="00D54009">
        <w:rPr>
          <w:rFonts w:cs="Arial" w:hint="cs"/>
          <w:rtl/>
        </w:rPr>
        <w:t>ואילך</w:t>
      </w:r>
      <w:r w:rsidRPr="00D54009">
        <w:rPr>
          <w:rFonts w:cs="Arial"/>
          <w:rtl/>
        </w:rPr>
        <w:t xml:space="preserve"> </w:t>
      </w:r>
      <w:r w:rsidRPr="009347A2">
        <w:rPr>
          <w:rFonts w:cs="Arial"/>
          <w:sz w:val="16"/>
          <w:szCs w:val="16"/>
          <w:rtl/>
        </w:rPr>
        <w:t>(</w:t>
      </w:r>
      <w:r w:rsidRPr="009347A2">
        <w:rPr>
          <w:rFonts w:cs="Arial" w:hint="cs"/>
          <w:sz w:val="16"/>
          <w:szCs w:val="16"/>
          <w:rtl/>
        </w:rPr>
        <w:t>עי</w:t>
      </w:r>
      <w:r w:rsidRPr="009347A2">
        <w:rPr>
          <w:rFonts w:cs="Arial"/>
          <w:sz w:val="16"/>
          <w:szCs w:val="16"/>
          <w:rtl/>
        </w:rPr>
        <w:t xml:space="preserve">' </w:t>
      </w:r>
      <w:r w:rsidRPr="009347A2">
        <w:rPr>
          <w:rFonts w:cs="Arial" w:hint="cs"/>
          <w:sz w:val="16"/>
          <w:szCs w:val="16"/>
          <w:rtl/>
        </w:rPr>
        <w:t>סי</w:t>
      </w:r>
      <w:r w:rsidRPr="009347A2">
        <w:rPr>
          <w:rFonts w:cs="Arial"/>
          <w:sz w:val="16"/>
          <w:szCs w:val="16"/>
          <w:rtl/>
        </w:rPr>
        <w:t xml:space="preserve">' </w:t>
      </w:r>
      <w:r w:rsidRPr="009347A2">
        <w:rPr>
          <w:rFonts w:cs="Arial" w:hint="cs"/>
          <w:sz w:val="16"/>
          <w:szCs w:val="16"/>
          <w:rtl/>
        </w:rPr>
        <w:t>רצג</w:t>
      </w:r>
      <w:r w:rsidRPr="009347A2">
        <w:rPr>
          <w:rFonts w:cs="Arial"/>
          <w:sz w:val="16"/>
          <w:szCs w:val="16"/>
          <w:rtl/>
        </w:rPr>
        <w:t xml:space="preserve"> </w:t>
      </w:r>
      <w:r w:rsidRPr="009347A2">
        <w:rPr>
          <w:rFonts w:cs="Arial" w:hint="cs"/>
          <w:sz w:val="16"/>
          <w:szCs w:val="16"/>
          <w:rtl/>
        </w:rPr>
        <w:t>ו</w:t>
      </w:r>
      <w:r>
        <w:rPr>
          <w:rFonts w:cs="Arial" w:hint="cs"/>
          <w:sz w:val="16"/>
          <w:szCs w:val="16"/>
          <w:rtl/>
        </w:rPr>
        <w:t xml:space="preserve">סי' </w:t>
      </w:r>
      <w:r w:rsidRPr="009347A2">
        <w:rPr>
          <w:rFonts w:cs="Arial" w:hint="cs"/>
          <w:sz w:val="16"/>
          <w:szCs w:val="16"/>
          <w:rtl/>
        </w:rPr>
        <w:t>תרח</w:t>
      </w:r>
      <w:r w:rsidRPr="009347A2">
        <w:rPr>
          <w:rFonts w:cs="Arial"/>
          <w:sz w:val="16"/>
          <w:szCs w:val="16"/>
          <w:rtl/>
        </w:rPr>
        <w:t>)</w:t>
      </w:r>
      <w:r w:rsidRPr="00D54009">
        <w:rPr>
          <w:rFonts w:cs="Arial" w:hint="cs"/>
          <w:rtl/>
        </w:rPr>
        <w:t>.</w:t>
      </w:r>
      <w:r w:rsidRPr="00D54009">
        <w:rPr>
          <w:rFonts w:cs="Arial"/>
          <w:rtl/>
        </w:rPr>
        <w:t xml:space="preserve"> </w:t>
      </w:r>
    </w:p>
    <w:p w14:paraId="79AE3D98" w14:textId="77777777" w:rsidR="004B2E7C" w:rsidRPr="009B7807" w:rsidRDefault="004B2E7C" w:rsidP="00434A6A">
      <w:pPr>
        <w:rPr>
          <w:rFonts w:cs="Arial"/>
          <w:u w:val="single"/>
          <w:rtl/>
        </w:rPr>
      </w:pPr>
      <w:r w:rsidRPr="009B7807">
        <w:rPr>
          <w:rFonts w:cs="Arial" w:hint="cs"/>
          <w:u w:val="single"/>
          <w:rtl/>
        </w:rPr>
        <w:t>אמירה לגוי בבין השמשות:</w:t>
      </w:r>
    </w:p>
    <w:p w14:paraId="2C7DE88E" w14:textId="77777777" w:rsidR="004B2E7C" w:rsidRDefault="004B2E7C" w:rsidP="00FF2D21">
      <w:pPr>
        <w:pStyle w:val="aa"/>
        <w:numPr>
          <w:ilvl w:val="0"/>
          <w:numId w:val="87"/>
        </w:numPr>
        <w:rPr>
          <w:rtl/>
        </w:rPr>
      </w:pPr>
      <w:r w:rsidRPr="009B7807">
        <w:rPr>
          <w:rFonts w:cs="Arial" w:hint="cs"/>
          <w:rtl/>
        </w:rPr>
        <w:t xml:space="preserve">רמב"ם </w:t>
      </w:r>
      <w:r w:rsidRPr="009B7807">
        <w:rPr>
          <w:rFonts w:cs="Arial" w:hint="cs"/>
          <w:sz w:val="16"/>
          <w:szCs w:val="16"/>
          <w:rtl/>
        </w:rPr>
        <w:t>(פכ"ד מהל' שבת ה"י)</w:t>
      </w:r>
      <w:r w:rsidRPr="009B7807">
        <w:rPr>
          <w:rFonts w:cs="Arial" w:hint="cs"/>
          <w:rtl/>
        </w:rPr>
        <w:t xml:space="preserve">- </w:t>
      </w:r>
      <w:r>
        <w:rPr>
          <w:rStyle w:val="a9"/>
          <w:rFonts w:cs="Arial"/>
          <w:rtl/>
        </w:rPr>
        <w:footnoteReference w:id="590"/>
      </w:r>
      <w:r w:rsidRPr="009B7807">
        <w:rPr>
          <w:rFonts w:cs="Arial" w:hint="cs"/>
          <w:rtl/>
        </w:rPr>
        <w:t>מותר</w:t>
      </w:r>
      <w:r w:rsidRPr="009B7807">
        <w:rPr>
          <w:rFonts w:cs="Arial"/>
          <w:rtl/>
        </w:rPr>
        <w:t xml:space="preserve"> </w:t>
      </w:r>
      <w:r w:rsidRPr="009B7807">
        <w:rPr>
          <w:rFonts w:cs="Arial" w:hint="cs"/>
          <w:rtl/>
        </w:rPr>
        <w:t>לומר</w:t>
      </w:r>
      <w:r w:rsidRPr="009B7807">
        <w:rPr>
          <w:rFonts w:cs="Arial"/>
          <w:rtl/>
        </w:rPr>
        <w:t xml:space="preserve"> </w:t>
      </w:r>
      <w:r w:rsidRPr="009B7807">
        <w:rPr>
          <w:rFonts w:cs="Arial" w:hint="cs"/>
          <w:rtl/>
        </w:rPr>
        <w:t>לגוי</w:t>
      </w:r>
      <w:r w:rsidRPr="009B7807">
        <w:rPr>
          <w:rFonts w:cs="Arial"/>
          <w:rtl/>
        </w:rPr>
        <w:t xml:space="preserve"> </w:t>
      </w:r>
      <w:r w:rsidRPr="009B7807">
        <w:rPr>
          <w:rFonts w:cs="Arial" w:hint="cs"/>
          <w:rtl/>
        </w:rPr>
        <w:t>בין</w:t>
      </w:r>
      <w:r w:rsidRPr="009B7807">
        <w:rPr>
          <w:rFonts w:cs="Arial"/>
          <w:rtl/>
        </w:rPr>
        <w:t xml:space="preserve"> </w:t>
      </w:r>
      <w:r w:rsidRPr="009B7807">
        <w:rPr>
          <w:rFonts w:cs="Arial" w:hint="cs"/>
          <w:rtl/>
        </w:rPr>
        <w:t>השמשות</w:t>
      </w:r>
      <w:r w:rsidRPr="009B7807">
        <w:rPr>
          <w:rFonts w:cs="Arial"/>
          <w:rtl/>
        </w:rPr>
        <w:t xml:space="preserve"> </w:t>
      </w:r>
      <w:r w:rsidRPr="009B7807">
        <w:rPr>
          <w:rFonts w:cs="Arial" w:hint="cs"/>
          <w:rtl/>
        </w:rPr>
        <w:t>לעשות</w:t>
      </w:r>
      <w:r w:rsidRPr="009B7807">
        <w:rPr>
          <w:rFonts w:cs="Arial"/>
          <w:rtl/>
        </w:rPr>
        <w:t xml:space="preserve"> </w:t>
      </w:r>
      <w:r w:rsidRPr="009B7807">
        <w:rPr>
          <w:rFonts w:cs="Arial" w:hint="cs"/>
          <w:rtl/>
        </w:rPr>
        <w:t>כל</w:t>
      </w:r>
      <w:r w:rsidRPr="009B7807">
        <w:rPr>
          <w:rFonts w:cs="Arial"/>
          <w:rtl/>
        </w:rPr>
        <w:t xml:space="preserve"> </w:t>
      </w:r>
      <w:r w:rsidRPr="009B7807">
        <w:rPr>
          <w:rFonts w:cs="Arial" w:hint="cs"/>
          <w:rtl/>
        </w:rPr>
        <w:t>מלאכה</w:t>
      </w:r>
      <w:r w:rsidRPr="009B7807">
        <w:rPr>
          <w:rFonts w:cs="Arial"/>
          <w:rtl/>
        </w:rPr>
        <w:t xml:space="preserve"> </w:t>
      </w:r>
      <w:r w:rsidRPr="009B7807">
        <w:rPr>
          <w:rFonts w:cs="Arial" w:hint="cs"/>
          <w:rtl/>
        </w:rPr>
        <w:t>שהיא</w:t>
      </w:r>
      <w:r w:rsidRPr="009B7807">
        <w:rPr>
          <w:rFonts w:cs="Arial"/>
          <w:rtl/>
        </w:rPr>
        <w:t xml:space="preserve"> </w:t>
      </w:r>
      <w:r w:rsidRPr="009B7807">
        <w:rPr>
          <w:rFonts w:cs="Arial" w:hint="cs"/>
          <w:rtl/>
        </w:rPr>
        <w:t>לצורך</w:t>
      </w:r>
      <w:r w:rsidRPr="009B7807">
        <w:rPr>
          <w:rFonts w:cs="Arial"/>
          <w:rtl/>
        </w:rPr>
        <w:t xml:space="preserve"> </w:t>
      </w:r>
      <w:r w:rsidRPr="009B7807">
        <w:rPr>
          <w:rFonts w:cs="Arial" w:hint="cs"/>
          <w:rtl/>
        </w:rPr>
        <w:t>מצוה</w:t>
      </w:r>
      <w:r w:rsidRPr="009B7807">
        <w:rPr>
          <w:rFonts w:cs="Arial"/>
          <w:rtl/>
        </w:rPr>
        <w:t xml:space="preserve"> </w:t>
      </w:r>
      <w:r w:rsidRPr="009B7807">
        <w:rPr>
          <w:rFonts w:cs="Arial" w:hint="cs"/>
          <w:rtl/>
        </w:rPr>
        <w:t>או</w:t>
      </w:r>
      <w:r w:rsidRPr="009B7807">
        <w:rPr>
          <w:rFonts w:cs="Arial"/>
          <w:rtl/>
        </w:rPr>
        <w:t xml:space="preserve"> </w:t>
      </w:r>
      <w:r w:rsidRPr="009B7807">
        <w:rPr>
          <w:rFonts w:cs="Arial" w:hint="cs"/>
          <w:rtl/>
        </w:rPr>
        <w:t>שהוא</w:t>
      </w:r>
      <w:r w:rsidRPr="009B7807">
        <w:rPr>
          <w:rFonts w:cs="Arial"/>
          <w:rtl/>
        </w:rPr>
        <w:t xml:space="preserve"> </w:t>
      </w:r>
      <w:r w:rsidRPr="009B7807">
        <w:rPr>
          <w:rFonts w:cs="Arial" w:hint="cs"/>
          <w:rtl/>
        </w:rPr>
        <w:t>טרוד</w:t>
      </w:r>
      <w:r w:rsidRPr="009B7807">
        <w:rPr>
          <w:rFonts w:cs="Arial"/>
          <w:rtl/>
        </w:rPr>
        <w:t xml:space="preserve"> </w:t>
      </w:r>
      <w:r w:rsidRPr="009B7807">
        <w:rPr>
          <w:rFonts w:cs="Arial" w:hint="cs"/>
          <w:rtl/>
        </w:rPr>
        <w:t>ונחפז</w:t>
      </w:r>
      <w:r w:rsidRPr="009B7807">
        <w:rPr>
          <w:rFonts w:cs="Arial"/>
          <w:rtl/>
        </w:rPr>
        <w:t xml:space="preserve"> </w:t>
      </w:r>
      <w:r w:rsidRPr="009B7807">
        <w:rPr>
          <w:rFonts w:cs="Arial" w:hint="cs"/>
          <w:rtl/>
        </w:rPr>
        <w:t>עליה</w:t>
      </w:r>
      <w:r>
        <w:rPr>
          <w:rStyle w:val="a9"/>
          <w:rFonts w:cs="Arial"/>
          <w:rtl/>
        </w:rPr>
        <w:footnoteReference w:id="591"/>
      </w:r>
      <w:r>
        <w:rPr>
          <w:rFonts w:cs="Arial" w:hint="cs"/>
          <w:sz w:val="16"/>
          <w:szCs w:val="16"/>
          <w:rtl/>
        </w:rPr>
        <w:t xml:space="preserve"> (ל' הב"י)</w:t>
      </w:r>
      <w:r>
        <w:rPr>
          <w:rFonts w:cs="Arial" w:hint="cs"/>
          <w:rtl/>
        </w:rPr>
        <w:t>.</w:t>
      </w:r>
      <w:r w:rsidRPr="009B7807">
        <w:rPr>
          <w:rFonts w:cs="Arial"/>
          <w:rtl/>
        </w:rPr>
        <w:t xml:space="preserve"> </w:t>
      </w:r>
      <w:r w:rsidRPr="005275DF">
        <w:rPr>
          <w:rFonts w:asciiTheme="minorBidi" w:hAnsiTheme="minorBidi"/>
          <w:color w:val="E36C0A" w:themeColor="accent6" w:themeShade="BF"/>
          <w:rtl/>
        </w:rPr>
        <w:t>(וכ"פ בשו"ע)</w:t>
      </w:r>
      <w:r>
        <w:rPr>
          <w:rFonts w:hint="cs"/>
          <w:rtl/>
        </w:rPr>
        <w:t xml:space="preserve"> </w:t>
      </w:r>
      <w:r w:rsidRPr="00236BE1">
        <w:rPr>
          <w:rFonts w:hint="cs"/>
          <w:color w:val="00B0F0"/>
          <w:rtl/>
        </w:rPr>
        <w:t>(וכ"פ הרמ"א)</w:t>
      </w:r>
    </w:p>
    <w:p w14:paraId="754F5EA2" w14:textId="77777777" w:rsidR="004B2E7C" w:rsidRDefault="004B2E7C" w:rsidP="00434A6A">
      <w:pPr>
        <w:rPr>
          <w:rFonts w:cs="Arial"/>
          <w:rtl/>
        </w:rPr>
      </w:pPr>
      <w:r w:rsidRPr="003F5E84">
        <w:rPr>
          <w:rFonts w:cs="Arial" w:hint="cs"/>
          <w:b/>
          <w:bCs/>
          <w:rtl/>
        </w:rPr>
        <w:t>שבת</w:t>
      </w:r>
      <w:r>
        <w:rPr>
          <w:rFonts w:cs="Arial" w:hint="cs"/>
          <w:b/>
          <w:bCs/>
          <w:rtl/>
        </w:rPr>
        <w:t xml:space="preserve"> </w:t>
      </w:r>
      <w:r>
        <w:rPr>
          <w:rFonts w:cs="Arial" w:hint="cs"/>
          <w:b/>
          <w:bCs/>
          <w:sz w:val="16"/>
          <w:szCs w:val="16"/>
          <w:rtl/>
        </w:rPr>
        <w:t>(ס"פ במה מדליקין)</w:t>
      </w:r>
      <w:r w:rsidRPr="003F5E84">
        <w:rPr>
          <w:rFonts w:cs="Arial" w:hint="cs"/>
          <w:b/>
          <w:bCs/>
          <w:rtl/>
        </w:rPr>
        <w:t xml:space="preserve"> ל</w:t>
      </w:r>
      <w:r>
        <w:rPr>
          <w:rFonts w:cs="Arial" w:hint="cs"/>
          <w:b/>
          <w:bCs/>
          <w:rtl/>
        </w:rPr>
        <w:t>ד</w:t>
      </w:r>
      <w:r w:rsidRPr="003F5E84">
        <w:rPr>
          <w:rFonts w:cs="Arial" w:hint="cs"/>
          <w:b/>
          <w:bCs/>
          <w:rtl/>
        </w:rPr>
        <w:t xml:space="preserve"> ע"</w:t>
      </w:r>
      <w:r>
        <w:rPr>
          <w:rFonts w:cs="Arial" w:hint="cs"/>
          <w:b/>
          <w:bCs/>
          <w:rtl/>
        </w:rPr>
        <w:t>ב</w:t>
      </w:r>
      <w:r w:rsidRPr="003F5E84">
        <w:rPr>
          <w:rFonts w:cs="Arial" w:hint="cs"/>
          <w:b/>
          <w:bCs/>
          <w:rtl/>
        </w:rPr>
        <w:t>:</w:t>
      </w:r>
      <w:r w:rsidRPr="00F02AA5">
        <w:rPr>
          <w:rFonts w:hint="cs"/>
          <w:rtl/>
        </w:rPr>
        <w:t xml:space="preserve"> </w:t>
      </w:r>
      <w:r w:rsidRPr="006E1DBC">
        <w:rPr>
          <w:rFonts w:cs="Arial" w:hint="cs"/>
          <w:rtl/>
        </w:rPr>
        <w:t>תנו</w:t>
      </w:r>
      <w:r w:rsidRPr="006E1DBC">
        <w:rPr>
          <w:rFonts w:cs="Arial"/>
          <w:rtl/>
        </w:rPr>
        <w:t xml:space="preserve"> </w:t>
      </w:r>
      <w:r w:rsidRPr="006E1DBC">
        <w:rPr>
          <w:rFonts w:cs="Arial" w:hint="cs"/>
          <w:rtl/>
        </w:rPr>
        <w:t>רבנן</w:t>
      </w:r>
      <w:r w:rsidRPr="006E1DBC">
        <w:rPr>
          <w:rFonts w:cs="Arial"/>
          <w:rtl/>
        </w:rPr>
        <w:t xml:space="preserve">: </w:t>
      </w:r>
      <w:r w:rsidRPr="006E1DBC">
        <w:rPr>
          <w:rFonts w:cs="Arial" w:hint="cs"/>
          <w:rtl/>
        </w:rPr>
        <w:t>בין</w:t>
      </w:r>
      <w:r w:rsidRPr="006E1DBC">
        <w:rPr>
          <w:rFonts w:cs="Arial"/>
          <w:rtl/>
        </w:rPr>
        <w:t xml:space="preserve"> </w:t>
      </w:r>
      <w:r w:rsidRPr="006E1DBC">
        <w:rPr>
          <w:rFonts w:cs="Arial" w:hint="cs"/>
          <w:rtl/>
        </w:rPr>
        <w:t>השמשות</w:t>
      </w:r>
      <w:r w:rsidRPr="006E1DBC">
        <w:rPr>
          <w:rFonts w:cs="Arial"/>
          <w:rtl/>
        </w:rPr>
        <w:t xml:space="preserve"> </w:t>
      </w:r>
      <w:r w:rsidRPr="006E1DBC">
        <w:rPr>
          <w:rFonts w:cs="Arial" w:hint="cs"/>
          <w:rtl/>
        </w:rPr>
        <w:t>ספק</w:t>
      </w:r>
      <w:r w:rsidRPr="006E1DBC">
        <w:rPr>
          <w:rFonts w:cs="Arial"/>
          <w:rtl/>
        </w:rPr>
        <w:t xml:space="preserve"> </w:t>
      </w:r>
      <w:r w:rsidRPr="006E1DBC">
        <w:rPr>
          <w:rFonts w:cs="Arial" w:hint="cs"/>
          <w:rtl/>
        </w:rPr>
        <w:t>מן</w:t>
      </w:r>
      <w:r w:rsidRPr="006E1DBC">
        <w:rPr>
          <w:rFonts w:cs="Arial"/>
          <w:rtl/>
        </w:rPr>
        <w:t xml:space="preserve"> </w:t>
      </w:r>
      <w:r w:rsidRPr="006E1DBC">
        <w:rPr>
          <w:rFonts w:cs="Arial" w:hint="cs"/>
          <w:rtl/>
        </w:rPr>
        <w:t>היום</w:t>
      </w:r>
      <w:r w:rsidRPr="006E1DBC">
        <w:rPr>
          <w:rFonts w:cs="Arial"/>
          <w:rtl/>
        </w:rPr>
        <w:t xml:space="preserve"> </w:t>
      </w:r>
      <w:r w:rsidRPr="006E1DBC">
        <w:rPr>
          <w:rFonts w:cs="Arial" w:hint="cs"/>
          <w:rtl/>
        </w:rPr>
        <w:t>ומן</w:t>
      </w:r>
      <w:r w:rsidRPr="006E1DBC">
        <w:rPr>
          <w:rFonts w:cs="Arial"/>
          <w:rtl/>
        </w:rPr>
        <w:t xml:space="preserve"> </w:t>
      </w:r>
      <w:r w:rsidRPr="006E1DBC">
        <w:rPr>
          <w:rFonts w:cs="Arial" w:hint="cs"/>
          <w:rtl/>
        </w:rPr>
        <w:t>הלילה</w:t>
      </w:r>
      <w:r w:rsidRPr="006E1DBC">
        <w:rPr>
          <w:rFonts w:cs="Arial"/>
          <w:rtl/>
        </w:rPr>
        <w:t xml:space="preserve">, </w:t>
      </w:r>
      <w:r w:rsidRPr="006E1DBC">
        <w:rPr>
          <w:rFonts w:cs="Arial" w:hint="cs"/>
          <w:rtl/>
        </w:rPr>
        <w:t>ספק</w:t>
      </w:r>
      <w:r w:rsidRPr="006E1DBC">
        <w:rPr>
          <w:rFonts w:cs="Arial"/>
          <w:rtl/>
        </w:rPr>
        <w:t xml:space="preserve"> </w:t>
      </w:r>
      <w:r w:rsidRPr="006E1DBC">
        <w:rPr>
          <w:rFonts w:cs="Arial" w:hint="cs"/>
          <w:rtl/>
        </w:rPr>
        <w:t>כולו</w:t>
      </w:r>
      <w:r w:rsidRPr="006E1DBC">
        <w:rPr>
          <w:rFonts w:cs="Arial"/>
          <w:rtl/>
        </w:rPr>
        <w:t xml:space="preserve"> </w:t>
      </w:r>
      <w:r w:rsidRPr="006E1DBC">
        <w:rPr>
          <w:rFonts w:cs="Arial" w:hint="cs"/>
          <w:rtl/>
        </w:rPr>
        <w:t>מן</w:t>
      </w:r>
      <w:r w:rsidRPr="006E1DBC">
        <w:rPr>
          <w:rFonts w:cs="Arial"/>
          <w:rtl/>
        </w:rPr>
        <w:t xml:space="preserve"> </w:t>
      </w:r>
      <w:r w:rsidRPr="006E1DBC">
        <w:rPr>
          <w:rFonts w:cs="Arial" w:hint="cs"/>
          <w:rtl/>
        </w:rPr>
        <w:t>היום</w:t>
      </w:r>
      <w:r w:rsidRPr="006E1DBC">
        <w:rPr>
          <w:rFonts w:cs="Arial"/>
          <w:rtl/>
        </w:rPr>
        <w:t xml:space="preserve">, </w:t>
      </w:r>
      <w:r w:rsidRPr="006E1DBC">
        <w:rPr>
          <w:rFonts w:cs="Arial" w:hint="cs"/>
          <w:rtl/>
        </w:rPr>
        <w:t>ספק</w:t>
      </w:r>
      <w:r w:rsidRPr="006E1DBC">
        <w:rPr>
          <w:rFonts w:cs="Arial"/>
          <w:rtl/>
        </w:rPr>
        <w:t xml:space="preserve"> </w:t>
      </w:r>
      <w:r w:rsidRPr="006E1DBC">
        <w:rPr>
          <w:rFonts w:cs="Arial" w:hint="cs"/>
          <w:rtl/>
        </w:rPr>
        <w:t>כולו</w:t>
      </w:r>
      <w:r w:rsidRPr="006E1DBC">
        <w:rPr>
          <w:rFonts w:cs="Arial"/>
          <w:rtl/>
        </w:rPr>
        <w:t xml:space="preserve"> </w:t>
      </w:r>
      <w:r w:rsidRPr="006E1DBC">
        <w:rPr>
          <w:rFonts w:cs="Arial" w:hint="cs"/>
          <w:rtl/>
        </w:rPr>
        <w:t>מן</w:t>
      </w:r>
      <w:r w:rsidRPr="006E1DBC">
        <w:rPr>
          <w:rFonts w:cs="Arial"/>
          <w:rtl/>
        </w:rPr>
        <w:t xml:space="preserve"> </w:t>
      </w:r>
      <w:r w:rsidRPr="006E1DBC">
        <w:rPr>
          <w:rFonts w:cs="Arial" w:hint="cs"/>
          <w:rtl/>
        </w:rPr>
        <w:t>הלילה</w:t>
      </w:r>
      <w:r w:rsidRPr="006E1DBC">
        <w:rPr>
          <w:rFonts w:cs="Arial"/>
          <w:rtl/>
        </w:rPr>
        <w:t xml:space="preserve"> - </w:t>
      </w:r>
      <w:r w:rsidRPr="006E1DBC">
        <w:rPr>
          <w:rFonts w:cs="Arial" w:hint="cs"/>
          <w:rtl/>
        </w:rPr>
        <w:t>מטילין</w:t>
      </w:r>
      <w:r w:rsidRPr="006E1DBC">
        <w:rPr>
          <w:rFonts w:cs="Arial"/>
          <w:rtl/>
        </w:rPr>
        <w:t xml:space="preserve"> </w:t>
      </w:r>
      <w:r w:rsidRPr="006E1DBC">
        <w:rPr>
          <w:rFonts w:cs="Arial" w:hint="cs"/>
          <w:rtl/>
        </w:rPr>
        <w:t>אותו</w:t>
      </w:r>
      <w:r w:rsidRPr="006E1DBC">
        <w:rPr>
          <w:rFonts w:cs="Arial"/>
          <w:rtl/>
        </w:rPr>
        <w:t xml:space="preserve"> </w:t>
      </w:r>
      <w:r w:rsidRPr="006E1DBC">
        <w:rPr>
          <w:rFonts w:cs="Arial" w:hint="cs"/>
          <w:rtl/>
        </w:rPr>
        <w:t>לחומר</w:t>
      </w:r>
      <w:r w:rsidRPr="006E1DBC">
        <w:rPr>
          <w:rFonts w:cs="Arial"/>
          <w:rtl/>
        </w:rPr>
        <w:t xml:space="preserve"> </w:t>
      </w:r>
      <w:r w:rsidRPr="006E1DBC">
        <w:rPr>
          <w:rFonts w:cs="Arial" w:hint="cs"/>
          <w:rtl/>
        </w:rPr>
        <w:t>שני</w:t>
      </w:r>
      <w:r w:rsidRPr="006E1DBC">
        <w:rPr>
          <w:rFonts w:cs="Arial"/>
          <w:rtl/>
        </w:rPr>
        <w:t xml:space="preserve"> </w:t>
      </w:r>
      <w:r w:rsidRPr="006E1DBC">
        <w:rPr>
          <w:rFonts w:cs="Arial" w:hint="cs"/>
          <w:rtl/>
        </w:rPr>
        <w:t>ימים</w:t>
      </w:r>
      <w:r w:rsidRPr="006E1DBC">
        <w:rPr>
          <w:rFonts w:cs="Arial"/>
          <w:rtl/>
        </w:rPr>
        <w:t xml:space="preserve">. </w:t>
      </w:r>
      <w:r w:rsidRPr="006E1DBC">
        <w:rPr>
          <w:rFonts w:cs="Arial" w:hint="cs"/>
          <w:rtl/>
        </w:rPr>
        <w:t>ואיזהו</w:t>
      </w:r>
      <w:r w:rsidRPr="006E1DBC">
        <w:rPr>
          <w:rFonts w:cs="Arial"/>
          <w:rtl/>
        </w:rPr>
        <w:t xml:space="preserve"> </w:t>
      </w:r>
      <w:r w:rsidRPr="006E1DBC">
        <w:rPr>
          <w:rFonts w:cs="Arial" w:hint="cs"/>
          <w:rtl/>
        </w:rPr>
        <w:t>בין</w:t>
      </w:r>
      <w:r w:rsidRPr="006E1DBC">
        <w:rPr>
          <w:rFonts w:cs="Arial"/>
          <w:rtl/>
        </w:rPr>
        <w:t xml:space="preserve"> </w:t>
      </w:r>
      <w:r w:rsidRPr="006E1DBC">
        <w:rPr>
          <w:rFonts w:cs="Arial" w:hint="cs"/>
          <w:rtl/>
        </w:rPr>
        <w:t>השמשות</w:t>
      </w:r>
      <w:r w:rsidRPr="006E1DBC">
        <w:rPr>
          <w:rFonts w:cs="Arial"/>
          <w:rtl/>
        </w:rPr>
        <w:t xml:space="preserve"> - </w:t>
      </w:r>
      <w:r w:rsidRPr="006E1DBC">
        <w:rPr>
          <w:rFonts w:cs="Arial" w:hint="cs"/>
          <w:rtl/>
        </w:rPr>
        <w:t>משתשקע</w:t>
      </w:r>
      <w:r w:rsidRPr="006E1DBC">
        <w:rPr>
          <w:rFonts w:cs="Arial"/>
          <w:rtl/>
        </w:rPr>
        <w:t xml:space="preserve"> </w:t>
      </w:r>
      <w:r w:rsidRPr="006E1DBC">
        <w:rPr>
          <w:rFonts w:cs="Arial" w:hint="cs"/>
          <w:rtl/>
        </w:rPr>
        <w:t>החמה</w:t>
      </w:r>
      <w:r w:rsidRPr="006E1DBC">
        <w:rPr>
          <w:rFonts w:cs="Arial"/>
          <w:rtl/>
        </w:rPr>
        <w:t xml:space="preserve"> </w:t>
      </w:r>
      <w:r w:rsidRPr="006E1DBC">
        <w:rPr>
          <w:rFonts w:cs="Arial" w:hint="cs"/>
          <w:rtl/>
        </w:rPr>
        <w:t>כל</w:t>
      </w:r>
      <w:r w:rsidRPr="006E1DBC">
        <w:rPr>
          <w:rFonts w:cs="Arial"/>
          <w:rtl/>
        </w:rPr>
        <w:t xml:space="preserve"> </w:t>
      </w:r>
      <w:r w:rsidRPr="006E1DBC">
        <w:rPr>
          <w:rFonts w:cs="Arial" w:hint="cs"/>
          <w:rtl/>
        </w:rPr>
        <w:t>זמן</w:t>
      </w:r>
      <w:r w:rsidRPr="006E1DBC">
        <w:rPr>
          <w:rFonts w:cs="Arial"/>
          <w:rtl/>
        </w:rPr>
        <w:t xml:space="preserve"> </w:t>
      </w:r>
      <w:r w:rsidRPr="006E1DBC">
        <w:rPr>
          <w:rFonts w:cs="Arial" w:hint="cs"/>
          <w:rtl/>
        </w:rPr>
        <w:t>שפני</w:t>
      </w:r>
      <w:r w:rsidRPr="006E1DBC">
        <w:rPr>
          <w:rFonts w:cs="Arial"/>
          <w:rtl/>
        </w:rPr>
        <w:t xml:space="preserve"> </w:t>
      </w:r>
      <w:r w:rsidRPr="006E1DBC">
        <w:rPr>
          <w:rFonts w:cs="Arial" w:hint="cs"/>
          <w:rtl/>
        </w:rPr>
        <w:t>מזרח</w:t>
      </w:r>
      <w:r w:rsidRPr="006E1DBC">
        <w:rPr>
          <w:rFonts w:cs="Arial"/>
          <w:rtl/>
        </w:rPr>
        <w:t xml:space="preserve"> </w:t>
      </w:r>
      <w:r w:rsidRPr="006E1DBC">
        <w:rPr>
          <w:rFonts w:cs="Arial" w:hint="cs"/>
          <w:rtl/>
        </w:rPr>
        <w:t>מאדימין</w:t>
      </w:r>
      <w:r w:rsidRPr="006E1DBC">
        <w:rPr>
          <w:rFonts w:cs="Arial"/>
          <w:rtl/>
        </w:rPr>
        <w:t xml:space="preserve">, </w:t>
      </w:r>
      <w:r w:rsidRPr="006E1DBC">
        <w:rPr>
          <w:rFonts w:cs="Arial" w:hint="cs"/>
          <w:rtl/>
        </w:rPr>
        <w:t>הכסיף</w:t>
      </w:r>
      <w:r>
        <w:rPr>
          <w:rStyle w:val="a9"/>
          <w:rFonts w:cs="Arial"/>
          <w:rtl/>
        </w:rPr>
        <w:footnoteReference w:id="592"/>
      </w:r>
      <w:r w:rsidRPr="006E1DBC">
        <w:rPr>
          <w:rFonts w:cs="Arial"/>
          <w:rtl/>
        </w:rPr>
        <w:t xml:space="preserve"> </w:t>
      </w:r>
      <w:r w:rsidRPr="006E1DBC">
        <w:rPr>
          <w:rFonts w:cs="Arial" w:hint="cs"/>
          <w:rtl/>
        </w:rPr>
        <w:t>התחתון</w:t>
      </w:r>
      <w:r>
        <w:rPr>
          <w:rStyle w:val="a9"/>
          <w:rFonts w:cs="Arial"/>
          <w:rtl/>
        </w:rPr>
        <w:footnoteReference w:id="593"/>
      </w:r>
      <w:r w:rsidRPr="006E1DBC">
        <w:rPr>
          <w:rFonts w:cs="Arial"/>
          <w:rtl/>
        </w:rPr>
        <w:t xml:space="preserve"> </w:t>
      </w:r>
      <w:r w:rsidRPr="006E1DBC">
        <w:rPr>
          <w:rFonts w:cs="Arial" w:hint="cs"/>
          <w:rtl/>
        </w:rPr>
        <w:t>ולא</w:t>
      </w:r>
      <w:r w:rsidRPr="006E1DBC">
        <w:rPr>
          <w:rFonts w:cs="Arial"/>
          <w:rtl/>
        </w:rPr>
        <w:t xml:space="preserve"> </w:t>
      </w:r>
      <w:r w:rsidRPr="006E1DBC">
        <w:rPr>
          <w:rFonts w:cs="Arial" w:hint="cs"/>
          <w:rtl/>
        </w:rPr>
        <w:t>הכסיף</w:t>
      </w:r>
      <w:r w:rsidRPr="006E1DBC">
        <w:rPr>
          <w:rFonts w:cs="Arial"/>
          <w:rtl/>
        </w:rPr>
        <w:t xml:space="preserve"> </w:t>
      </w:r>
      <w:r w:rsidRPr="006E1DBC">
        <w:rPr>
          <w:rFonts w:cs="Arial" w:hint="cs"/>
          <w:rtl/>
        </w:rPr>
        <w:t>העליון</w:t>
      </w:r>
      <w:r w:rsidRPr="006E1DBC">
        <w:rPr>
          <w:rFonts w:cs="Arial"/>
          <w:rtl/>
        </w:rPr>
        <w:t xml:space="preserve"> - </w:t>
      </w:r>
      <w:r w:rsidRPr="006E1DBC">
        <w:rPr>
          <w:rFonts w:cs="Arial" w:hint="cs"/>
          <w:rtl/>
        </w:rPr>
        <w:t>בין</w:t>
      </w:r>
      <w:r w:rsidRPr="006E1DBC">
        <w:rPr>
          <w:rFonts w:cs="Arial"/>
          <w:rtl/>
        </w:rPr>
        <w:t xml:space="preserve"> </w:t>
      </w:r>
      <w:r w:rsidRPr="006E1DBC">
        <w:rPr>
          <w:rFonts w:cs="Arial" w:hint="cs"/>
          <w:rtl/>
        </w:rPr>
        <w:t>השמשות</w:t>
      </w:r>
      <w:r w:rsidRPr="006E1DBC">
        <w:rPr>
          <w:rFonts w:cs="Arial"/>
          <w:rtl/>
        </w:rPr>
        <w:t xml:space="preserve">, </w:t>
      </w:r>
      <w:r w:rsidRPr="006E1DBC">
        <w:rPr>
          <w:rFonts w:cs="Arial" w:hint="cs"/>
          <w:rtl/>
        </w:rPr>
        <w:t>הכסיף</w:t>
      </w:r>
      <w:r w:rsidRPr="006E1DBC">
        <w:rPr>
          <w:rFonts w:cs="Arial"/>
          <w:rtl/>
        </w:rPr>
        <w:t xml:space="preserve"> </w:t>
      </w:r>
      <w:r w:rsidRPr="006E1DBC">
        <w:rPr>
          <w:rFonts w:cs="Arial" w:hint="cs"/>
          <w:rtl/>
        </w:rPr>
        <w:t>העליון</w:t>
      </w:r>
      <w:r w:rsidRPr="006E1DBC">
        <w:rPr>
          <w:rFonts w:cs="Arial"/>
          <w:rtl/>
        </w:rPr>
        <w:t xml:space="preserve"> </w:t>
      </w:r>
      <w:r w:rsidRPr="006E1DBC">
        <w:rPr>
          <w:rFonts w:cs="Arial" w:hint="cs"/>
          <w:rtl/>
        </w:rPr>
        <w:t>והשוה</w:t>
      </w:r>
      <w:r w:rsidRPr="006E1DBC">
        <w:rPr>
          <w:rFonts w:cs="Arial"/>
          <w:rtl/>
        </w:rPr>
        <w:t xml:space="preserve"> </w:t>
      </w:r>
      <w:r w:rsidRPr="006E1DBC">
        <w:rPr>
          <w:rFonts w:cs="Arial" w:hint="cs"/>
          <w:rtl/>
        </w:rPr>
        <w:t>לתחתון</w:t>
      </w:r>
      <w:r w:rsidRPr="006E1DBC">
        <w:rPr>
          <w:rFonts w:cs="Arial"/>
          <w:rtl/>
        </w:rPr>
        <w:t xml:space="preserve"> - </w:t>
      </w:r>
      <w:r w:rsidRPr="006E1DBC">
        <w:rPr>
          <w:rFonts w:cs="Arial" w:hint="cs"/>
          <w:rtl/>
        </w:rPr>
        <w:t>זהו</w:t>
      </w:r>
      <w:r w:rsidRPr="006E1DBC">
        <w:rPr>
          <w:rFonts w:cs="Arial"/>
          <w:rtl/>
        </w:rPr>
        <w:t xml:space="preserve"> </w:t>
      </w:r>
      <w:r w:rsidRPr="006E1DBC">
        <w:rPr>
          <w:rFonts w:cs="Arial" w:hint="cs"/>
          <w:rtl/>
        </w:rPr>
        <w:t>לילה</w:t>
      </w:r>
      <w:r w:rsidRPr="006E1DBC">
        <w:rPr>
          <w:rFonts w:cs="Arial"/>
          <w:rtl/>
        </w:rPr>
        <w:t xml:space="preserve">, </w:t>
      </w:r>
      <w:r w:rsidRPr="00546B23">
        <w:rPr>
          <w:rFonts w:cs="Arial" w:hint="cs"/>
          <w:u w:val="single"/>
          <w:rtl/>
        </w:rPr>
        <w:t>דברי</w:t>
      </w:r>
      <w:r w:rsidRPr="00546B23">
        <w:rPr>
          <w:rFonts w:cs="Arial"/>
          <w:u w:val="single"/>
          <w:rtl/>
        </w:rPr>
        <w:t xml:space="preserve"> </w:t>
      </w:r>
      <w:r w:rsidRPr="00546B23">
        <w:rPr>
          <w:rFonts w:cs="Arial" w:hint="cs"/>
          <w:u w:val="single"/>
          <w:rtl/>
        </w:rPr>
        <w:t>רבי</w:t>
      </w:r>
      <w:r w:rsidRPr="00546B23">
        <w:rPr>
          <w:rFonts w:cs="Arial"/>
          <w:u w:val="single"/>
          <w:rtl/>
        </w:rPr>
        <w:t xml:space="preserve"> </w:t>
      </w:r>
      <w:r w:rsidRPr="00546B23">
        <w:rPr>
          <w:rFonts w:cs="Arial" w:hint="cs"/>
          <w:u w:val="single"/>
          <w:rtl/>
        </w:rPr>
        <w:t>יהודה</w:t>
      </w:r>
      <w:r w:rsidRPr="006E1DBC">
        <w:rPr>
          <w:rFonts w:cs="Arial"/>
          <w:rtl/>
        </w:rPr>
        <w:t xml:space="preserve">. </w:t>
      </w:r>
      <w:r w:rsidRPr="00546B23">
        <w:rPr>
          <w:rFonts w:cs="Arial" w:hint="cs"/>
          <w:u w:val="single"/>
          <w:rtl/>
        </w:rPr>
        <w:t>רבי</w:t>
      </w:r>
      <w:r w:rsidRPr="00546B23">
        <w:rPr>
          <w:rFonts w:cs="Arial"/>
          <w:u w:val="single"/>
          <w:rtl/>
        </w:rPr>
        <w:t xml:space="preserve"> </w:t>
      </w:r>
      <w:r w:rsidRPr="00546B23">
        <w:rPr>
          <w:rFonts w:cs="Arial" w:hint="cs"/>
          <w:u w:val="single"/>
          <w:rtl/>
        </w:rPr>
        <w:t>נחמיה</w:t>
      </w:r>
      <w:r w:rsidRPr="00546B23">
        <w:rPr>
          <w:rFonts w:cs="Arial"/>
          <w:u w:val="single"/>
          <w:rtl/>
        </w:rPr>
        <w:t xml:space="preserve"> </w:t>
      </w:r>
      <w:r w:rsidRPr="00546B23">
        <w:rPr>
          <w:rFonts w:cs="Arial" w:hint="cs"/>
          <w:u w:val="single"/>
          <w:rtl/>
        </w:rPr>
        <w:t>אומ</w:t>
      </w:r>
      <w:r>
        <w:rPr>
          <w:rFonts w:cs="Arial" w:hint="cs"/>
          <w:u w:val="single"/>
          <w:rtl/>
        </w:rPr>
        <w:t>ר</w:t>
      </w:r>
      <w:r w:rsidRPr="006E1DBC">
        <w:rPr>
          <w:rFonts w:cs="Arial"/>
          <w:rtl/>
        </w:rPr>
        <w:t xml:space="preserve">: </w:t>
      </w:r>
      <w:r w:rsidRPr="006E1DBC">
        <w:rPr>
          <w:rFonts w:cs="Arial" w:hint="cs"/>
          <w:rtl/>
        </w:rPr>
        <w:t>כדי</w:t>
      </w:r>
      <w:r w:rsidRPr="006E1DBC">
        <w:rPr>
          <w:rFonts w:cs="Arial"/>
          <w:rtl/>
        </w:rPr>
        <w:t xml:space="preserve"> </w:t>
      </w:r>
      <w:r w:rsidRPr="006E1DBC">
        <w:rPr>
          <w:rFonts w:cs="Arial" w:hint="cs"/>
          <w:rtl/>
        </w:rPr>
        <w:t>שיהלך</w:t>
      </w:r>
      <w:r w:rsidRPr="006E1DBC">
        <w:rPr>
          <w:rFonts w:cs="Arial"/>
          <w:rtl/>
        </w:rPr>
        <w:t xml:space="preserve"> </w:t>
      </w:r>
      <w:r w:rsidRPr="006E1DBC">
        <w:rPr>
          <w:rFonts w:cs="Arial" w:hint="cs"/>
          <w:rtl/>
        </w:rPr>
        <w:t>אדם</w:t>
      </w:r>
      <w:r w:rsidRPr="006E1DBC">
        <w:rPr>
          <w:rFonts w:cs="Arial"/>
          <w:rtl/>
        </w:rPr>
        <w:t xml:space="preserve"> </w:t>
      </w:r>
      <w:r w:rsidRPr="006E1DBC">
        <w:rPr>
          <w:rFonts w:cs="Arial" w:hint="cs"/>
          <w:rtl/>
        </w:rPr>
        <w:t>משתשקע</w:t>
      </w:r>
      <w:r w:rsidRPr="006E1DBC">
        <w:rPr>
          <w:rFonts w:cs="Arial"/>
          <w:rtl/>
        </w:rPr>
        <w:t xml:space="preserve"> </w:t>
      </w:r>
      <w:r w:rsidRPr="006E1DBC">
        <w:rPr>
          <w:rFonts w:cs="Arial" w:hint="cs"/>
          <w:rtl/>
        </w:rPr>
        <w:t>החמה</w:t>
      </w:r>
      <w:r w:rsidRPr="006E1DBC">
        <w:rPr>
          <w:rFonts w:cs="Arial"/>
          <w:rtl/>
        </w:rPr>
        <w:t xml:space="preserve"> </w:t>
      </w:r>
      <w:r w:rsidRPr="006E1DBC">
        <w:rPr>
          <w:rFonts w:cs="Arial" w:hint="cs"/>
          <w:rtl/>
        </w:rPr>
        <w:t>חצי</w:t>
      </w:r>
      <w:r w:rsidRPr="006E1DBC">
        <w:rPr>
          <w:rFonts w:cs="Arial"/>
          <w:rtl/>
        </w:rPr>
        <w:t xml:space="preserve"> </w:t>
      </w:r>
      <w:r w:rsidRPr="006E1DBC">
        <w:rPr>
          <w:rFonts w:cs="Arial" w:hint="cs"/>
          <w:rtl/>
        </w:rPr>
        <w:t>מיל</w:t>
      </w:r>
      <w:r w:rsidRPr="006E1DBC">
        <w:rPr>
          <w:rFonts w:cs="Arial"/>
          <w:rtl/>
        </w:rPr>
        <w:t xml:space="preserve">. </w:t>
      </w:r>
      <w:r w:rsidRPr="00546B23">
        <w:rPr>
          <w:rFonts w:cs="Arial" w:hint="cs"/>
          <w:u w:val="single"/>
          <w:rtl/>
        </w:rPr>
        <w:t>רבי</w:t>
      </w:r>
      <w:r w:rsidRPr="00546B23">
        <w:rPr>
          <w:rFonts w:cs="Arial"/>
          <w:u w:val="single"/>
          <w:rtl/>
        </w:rPr>
        <w:t xml:space="preserve"> </w:t>
      </w:r>
      <w:r w:rsidRPr="00546B23">
        <w:rPr>
          <w:rFonts w:cs="Arial" w:hint="cs"/>
          <w:u w:val="single"/>
          <w:rtl/>
        </w:rPr>
        <w:t>יוסי</w:t>
      </w:r>
      <w:r w:rsidRPr="00546B23">
        <w:rPr>
          <w:rFonts w:cs="Arial"/>
          <w:u w:val="single"/>
          <w:rtl/>
        </w:rPr>
        <w:t xml:space="preserve"> </w:t>
      </w:r>
      <w:r w:rsidRPr="00546B23">
        <w:rPr>
          <w:rFonts w:cs="Arial" w:hint="cs"/>
          <w:u w:val="single"/>
          <w:rtl/>
        </w:rPr>
        <w:t>אומר</w:t>
      </w:r>
      <w:r w:rsidRPr="006E1DBC">
        <w:rPr>
          <w:rFonts w:cs="Arial"/>
          <w:rtl/>
        </w:rPr>
        <w:t xml:space="preserve">: </w:t>
      </w:r>
      <w:r w:rsidRPr="006E1DBC">
        <w:rPr>
          <w:rFonts w:cs="Arial" w:hint="cs"/>
          <w:rtl/>
        </w:rPr>
        <w:t>בין</w:t>
      </w:r>
      <w:r w:rsidRPr="006E1DBC">
        <w:rPr>
          <w:rFonts w:cs="Arial"/>
          <w:rtl/>
        </w:rPr>
        <w:t xml:space="preserve"> </w:t>
      </w:r>
      <w:r w:rsidRPr="006E1DBC">
        <w:rPr>
          <w:rFonts w:cs="Arial" w:hint="cs"/>
          <w:rtl/>
        </w:rPr>
        <w:t>השמשות</w:t>
      </w:r>
      <w:r w:rsidRPr="006E1DBC">
        <w:rPr>
          <w:rFonts w:cs="Arial"/>
          <w:rtl/>
        </w:rPr>
        <w:t xml:space="preserve"> </w:t>
      </w:r>
      <w:r w:rsidRPr="006E1DBC">
        <w:rPr>
          <w:rFonts w:cs="Arial" w:hint="cs"/>
          <w:rtl/>
        </w:rPr>
        <w:t>כהרף</w:t>
      </w:r>
      <w:r w:rsidRPr="006E1DBC">
        <w:rPr>
          <w:rFonts w:cs="Arial"/>
          <w:rtl/>
        </w:rPr>
        <w:t xml:space="preserve"> </w:t>
      </w:r>
      <w:r w:rsidRPr="006E1DBC">
        <w:rPr>
          <w:rFonts w:cs="Arial" w:hint="cs"/>
          <w:rtl/>
        </w:rPr>
        <w:t>עין</w:t>
      </w:r>
      <w:r w:rsidRPr="006E1DBC">
        <w:rPr>
          <w:rFonts w:cs="Arial"/>
          <w:rtl/>
        </w:rPr>
        <w:t xml:space="preserve">, </w:t>
      </w:r>
      <w:r w:rsidRPr="006E1DBC">
        <w:rPr>
          <w:rFonts w:cs="Arial" w:hint="cs"/>
          <w:rtl/>
        </w:rPr>
        <w:t>זה</w:t>
      </w:r>
      <w:r w:rsidRPr="006E1DBC">
        <w:rPr>
          <w:rFonts w:cs="Arial"/>
          <w:rtl/>
        </w:rPr>
        <w:t xml:space="preserve"> </w:t>
      </w:r>
      <w:r w:rsidRPr="006E1DBC">
        <w:rPr>
          <w:rFonts w:cs="Arial" w:hint="cs"/>
          <w:rtl/>
        </w:rPr>
        <w:t>נכנס</w:t>
      </w:r>
      <w:r w:rsidRPr="006E1DBC">
        <w:rPr>
          <w:rFonts w:cs="Arial"/>
          <w:rtl/>
        </w:rPr>
        <w:t xml:space="preserve"> </w:t>
      </w:r>
      <w:r w:rsidRPr="006E1DBC">
        <w:rPr>
          <w:rFonts w:cs="Arial" w:hint="cs"/>
          <w:rtl/>
        </w:rPr>
        <w:t>וזה</w:t>
      </w:r>
      <w:r w:rsidRPr="006E1DBC">
        <w:rPr>
          <w:rFonts w:cs="Arial"/>
          <w:rtl/>
        </w:rPr>
        <w:t xml:space="preserve"> </w:t>
      </w:r>
      <w:r w:rsidRPr="006E1DBC">
        <w:rPr>
          <w:rFonts w:cs="Arial" w:hint="cs"/>
          <w:rtl/>
        </w:rPr>
        <w:t>יוצא</w:t>
      </w:r>
      <w:r w:rsidRPr="006E1DBC">
        <w:rPr>
          <w:rFonts w:cs="Arial"/>
          <w:rtl/>
        </w:rPr>
        <w:t xml:space="preserve">, </w:t>
      </w:r>
      <w:r w:rsidRPr="006E1DBC">
        <w:rPr>
          <w:rFonts w:cs="Arial" w:hint="cs"/>
          <w:rtl/>
        </w:rPr>
        <w:t>ואי</w:t>
      </w:r>
      <w:r w:rsidRPr="006E1DBC">
        <w:rPr>
          <w:rFonts w:cs="Arial"/>
          <w:rtl/>
        </w:rPr>
        <w:t xml:space="preserve"> </w:t>
      </w:r>
      <w:r w:rsidRPr="006E1DBC">
        <w:rPr>
          <w:rFonts w:cs="Arial" w:hint="cs"/>
          <w:rtl/>
        </w:rPr>
        <w:t>אפשר</w:t>
      </w:r>
      <w:r w:rsidRPr="006E1DBC">
        <w:rPr>
          <w:rFonts w:cs="Arial"/>
          <w:rtl/>
        </w:rPr>
        <w:t xml:space="preserve"> </w:t>
      </w:r>
      <w:r w:rsidRPr="006E1DBC">
        <w:rPr>
          <w:rFonts w:cs="Arial" w:hint="cs"/>
          <w:rtl/>
        </w:rPr>
        <w:t>לעמוד</w:t>
      </w:r>
      <w:r w:rsidRPr="006E1DBC">
        <w:rPr>
          <w:rFonts w:cs="Arial"/>
          <w:rtl/>
        </w:rPr>
        <w:t xml:space="preserve"> </w:t>
      </w:r>
      <w:r w:rsidRPr="006E1DBC">
        <w:rPr>
          <w:rFonts w:cs="Arial" w:hint="cs"/>
          <w:rtl/>
        </w:rPr>
        <w:t>עליו</w:t>
      </w:r>
      <w:r w:rsidRPr="006E1DBC">
        <w:rPr>
          <w:rFonts w:cs="Arial"/>
          <w:rtl/>
        </w:rPr>
        <w:t>.</w:t>
      </w:r>
      <w:r>
        <w:rPr>
          <w:rFonts w:cs="Arial" w:hint="cs"/>
          <w:rtl/>
        </w:rPr>
        <w:t>.</w:t>
      </w:r>
      <w:r w:rsidRPr="006E1DBC">
        <w:rPr>
          <w:rFonts w:cs="Arial"/>
          <w:rtl/>
        </w:rPr>
        <w:t xml:space="preserve">. </w:t>
      </w:r>
      <w:r w:rsidRPr="006E1DBC">
        <w:rPr>
          <w:rFonts w:cs="Arial" w:hint="cs"/>
          <w:rtl/>
        </w:rPr>
        <w:t>הא</w:t>
      </w:r>
      <w:r w:rsidRPr="006E1DBC">
        <w:rPr>
          <w:rFonts w:cs="Arial"/>
          <w:rtl/>
        </w:rPr>
        <w:t xml:space="preserve"> </w:t>
      </w:r>
      <w:r w:rsidRPr="006E1DBC">
        <w:rPr>
          <w:rFonts w:cs="Arial" w:hint="cs"/>
          <w:rtl/>
        </w:rPr>
        <w:t>גופה</w:t>
      </w:r>
      <w:r w:rsidRPr="006E1DBC">
        <w:rPr>
          <w:rFonts w:cs="Arial"/>
          <w:rtl/>
        </w:rPr>
        <w:t xml:space="preserve"> </w:t>
      </w:r>
      <w:r w:rsidRPr="006E1DBC">
        <w:rPr>
          <w:rFonts w:cs="Arial" w:hint="cs"/>
          <w:rtl/>
        </w:rPr>
        <w:t>קשיא</w:t>
      </w:r>
      <w:r>
        <w:rPr>
          <w:rFonts w:cs="Arial" w:hint="cs"/>
          <w:rtl/>
        </w:rPr>
        <w:t>,</w:t>
      </w:r>
      <w:r w:rsidRPr="006E1DBC">
        <w:rPr>
          <w:rFonts w:cs="Arial"/>
          <w:rtl/>
        </w:rPr>
        <w:t xml:space="preserve"> </w:t>
      </w:r>
      <w:r w:rsidRPr="006E1DBC">
        <w:rPr>
          <w:rFonts w:cs="Arial" w:hint="cs"/>
          <w:rtl/>
        </w:rPr>
        <w:t>אמרת</w:t>
      </w:r>
      <w:r w:rsidRPr="006E1DBC">
        <w:rPr>
          <w:rFonts w:cs="Arial"/>
          <w:rtl/>
        </w:rPr>
        <w:t xml:space="preserve">: </w:t>
      </w:r>
      <w:r w:rsidRPr="006E1DBC">
        <w:rPr>
          <w:rFonts w:cs="Arial" w:hint="cs"/>
          <w:rtl/>
        </w:rPr>
        <w:t>איזהו</w:t>
      </w:r>
      <w:r w:rsidRPr="006E1DBC">
        <w:rPr>
          <w:rFonts w:cs="Arial"/>
          <w:rtl/>
        </w:rPr>
        <w:t xml:space="preserve"> </w:t>
      </w:r>
      <w:r w:rsidRPr="006E1DBC">
        <w:rPr>
          <w:rFonts w:cs="Arial" w:hint="cs"/>
          <w:rtl/>
        </w:rPr>
        <w:t>בין</w:t>
      </w:r>
      <w:r w:rsidRPr="006E1DBC">
        <w:rPr>
          <w:rFonts w:cs="Arial"/>
          <w:rtl/>
        </w:rPr>
        <w:t xml:space="preserve"> </w:t>
      </w:r>
      <w:r w:rsidRPr="006E1DBC">
        <w:rPr>
          <w:rFonts w:cs="Arial" w:hint="cs"/>
          <w:rtl/>
        </w:rPr>
        <w:t>השמשות</w:t>
      </w:r>
      <w:r w:rsidRPr="006E1DBC">
        <w:rPr>
          <w:rFonts w:cs="Arial"/>
          <w:rtl/>
        </w:rPr>
        <w:t xml:space="preserve"> - </w:t>
      </w:r>
      <w:r w:rsidRPr="006E1DBC">
        <w:rPr>
          <w:rFonts w:cs="Arial" w:hint="cs"/>
          <w:rtl/>
        </w:rPr>
        <w:t>משתשקע</w:t>
      </w:r>
      <w:r w:rsidRPr="006E1DBC">
        <w:rPr>
          <w:rFonts w:cs="Arial"/>
          <w:rtl/>
        </w:rPr>
        <w:t xml:space="preserve"> </w:t>
      </w:r>
      <w:r w:rsidRPr="006E1DBC">
        <w:rPr>
          <w:rFonts w:cs="Arial" w:hint="cs"/>
          <w:rtl/>
        </w:rPr>
        <w:t>החמה</w:t>
      </w:r>
      <w:r w:rsidRPr="006E1DBC">
        <w:rPr>
          <w:rFonts w:cs="Arial"/>
          <w:rtl/>
        </w:rPr>
        <w:t xml:space="preserve">, </w:t>
      </w:r>
      <w:r w:rsidRPr="006E1DBC">
        <w:rPr>
          <w:rFonts w:cs="Arial" w:hint="cs"/>
          <w:rtl/>
        </w:rPr>
        <w:t>כל</w:t>
      </w:r>
      <w:r w:rsidRPr="006E1DBC">
        <w:rPr>
          <w:rFonts w:cs="Arial"/>
          <w:rtl/>
        </w:rPr>
        <w:t xml:space="preserve"> </w:t>
      </w:r>
      <w:r w:rsidRPr="006E1DBC">
        <w:rPr>
          <w:rFonts w:cs="Arial" w:hint="cs"/>
          <w:rtl/>
        </w:rPr>
        <w:t>זמן</w:t>
      </w:r>
      <w:r w:rsidRPr="006E1DBC">
        <w:rPr>
          <w:rFonts w:cs="Arial"/>
          <w:rtl/>
        </w:rPr>
        <w:t xml:space="preserve"> </w:t>
      </w:r>
      <w:r w:rsidRPr="006E1DBC">
        <w:rPr>
          <w:rFonts w:cs="Arial" w:hint="cs"/>
          <w:rtl/>
        </w:rPr>
        <w:t>שפני</w:t>
      </w:r>
      <w:r w:rsidRPr="006E1DBC">
        <w:rPr>
          <w:rFonts w:cs="Arial"/>
          <w:rtl/>
        </w:rPr>
        <w:t xml:space="preserve"> </w:t>
      </w:r>
      <w:r w:rsidRPr="006E1DBC">
        <w:rPr>
          <w:rFonts w:cs="Arial" w:hint="cs"/>
          <w:rtl/>
        </w:rPr>
        <w:t>מזרח</w:t>
      </w:r>
      <w:r w:rsidRPr="006E1DBC">
        <w:rPr>
          <w:rFonts w:cs="Arial"/>
          <w:rtl/>
        </w:rPr>
        <w:t xml:space="preserve"> </w:t>
      </w:r>
      <w:r w:rsidRPr="006E1DBC">
        <w:rPr>
          <w:rFonts w:cs="Arial" w:hint="cs"/>
          <w:rtl/>
        </w:rPr>
        <w:t>מאדימין</w:t>
      </w:r>
      <w:r w:rsidRPr="006E1DBC">
        <w:rPr>
          <w:rFonts w:cs="Arial"/>
          <w:rtl/>
        </w:rPr>
        <w:t xml:space="preserve">. </w:t>
      </w:r>
      <w:r w:rsidRPr="006E1DBC">
        <w:rPr>
          <w:rFonts w:cs="Arial" w:hint="cs"/>
          <w:rtl/>
        </w:rPr>
        <w:t>הא</w:t>
      </w:r>
      <w:r w:rsidRPr="006E1DBC">
        <w:rPr>
          <w:rFonts w:cs="Arial"/>
          <w:rtl/>
        </w:rPr>
        <w:t xml:space="preserve"> </w:t>
      </w:r>
      <w:r w:rsidRPr="006E1DBC">
        <w:rPr>
          <w:rFonts w:cs="Arial" w:hint="cs"/>
          <w:rtl/>
        </w:rPr>
        <w:t>הכסיף</w:t>
      </w:r>
      <w:r w:rsidRPr="006E1DBC">
        <w:rPr>
          <w:rFonts w:cs="Arial"/>
          <w:rtl/>
        </w:rPr>
        <w:t xml:space="preserve"> </w:t>
      </w:r>
      <w:r w:rsidRPr="006E1DBC">
        <w:rPr>
          <w:rFonts w:cs="Arial" w:hint="cs"/>
          <w:rtl/>
        </w:rPr>
        <w:t>התחתון</w:t>
      </w:r>
      <w:r w:rsidRPr="006E1DBC">
        <w:rPr>
          <w:rFonts w:cs="Arial"/>
          <w:rtl/>
        </w:rPr>
        <w:t xml:space="preserve"> </w:t>
      </w:r>
      <w:r w:rsidRPr="006E1DBC">
        <w:rPr>
          <w:rFonts w:cs="Arial" w:hint="cs"/>
          <w:rtl/>
        </w:rPr>
        <w:t>ולא</w:t>
      </w:r>
      <w:r w:rsidRPr="006E1DBC">
        <w:rPr>
          <w:rFonts w:cs="Arial"/>
          <w:rtl/>
        </w:rPr>
        <w:t xml:space="preserve"> </w:t>
      </w:r>
      <w:r w:rsidRPr="006E1DBC">
        <w:rPr>
          <w:rFonts w:cs="Arial" w:hint="cs"/>
          <w:rtl/>
        </w:rPr>
        <w:t>הכסיף</w:t>
      </w:r>
      <w:r w:rsidRPr="006E1DBC">
        <w:rPr>
          <w:rFonts w:cs="Arial"/>
          <w:rtl/>
        </w:rPr>
        <w:t xml:space="preserve"> </w:t>
      </w:r>
      <w:r w:rsidRPr="006E1DBC">
        <w:rPr>
          <w:rFonts w:cs="Arial" w:hint="cs"/>
          <w:rtl/>
        </w:rPr>
        <w:t>העליון</w:t>
      </w:r>
      <w:r w:rsidRPr="006E1DBC">
        <w:rPr>
          <w:rFonts w:cs="Arial"/>
          <w:rtl/>
        </w:rPr>
        <w:t xml:space="preserve"> - </w:t>
      </w:r>
      <w:r w:rsidRPr="006E1DBC">
        <w:rPr>
          <w:rFonts w:cs="Arial" w:hint="cs"/>
          <w:rtl/>
        </w:rPr>
        <w:t>לילה</w:t>
      </w:r>
      <w:r w:rsidRPr="006E1DBC">
        <w:rPr>
          <w:rFonts w:cs="Arial"/>
          <w:rtl/>
        </w:rPr>
        <w:t xml:space="preserve"> </w:t>
      </w:r>
      <w:r w:rsidRPr="006E1DBC">
        <w:rPr>
          <w:rFonts w:cs="Arial" w:hint="cs"/>
          <w:rtl/>
        </w:rPr>
        <w:t>הוא</w:t>
      </w:r>
      <w:r w:rsidRPr="006E1DBC">
        <w:rPr>
          <w:rFonts w:cs="Arial"/>
          <w:rtl/>
        </w:rPr>
        <w:t xml:space="preserve">. </w:t>
      </w:r>
      <w:r w:rsidRPr="006E1DBC">
        <w:rPr>
          <w:rFonts w:cs="Arial" w:hint="cs"/>
          <w:rtl/>
        </w:rPr>
        <w:t>והדר</w:t>
      </w:r>
      <w:r w:rsidRPr="006E1DBC">
        <w:rPr>
          <w:rFonts w:cs="Arial"/>
          <w:rtl/>
        </w:rPr>
        <w:t xml:space="preserve"> </w:t>
      </w:r>
      <w:r w:rsidRPr="006E1DBC">
        <w:rPr>
          <w:rFonts w:cs="Arial" w:hint="cs"/>
          <w:rtl/>
        </w:rPr>
        <w:t>תנא</w:t>
      </w:r>
      <w:r w:rsidRPr="006E1DBC">
        <w:rPr>
          <w:rFonts w:cs="Arial"/>
          <w:rtl/>
        </w:rPr>
        <w:t xml:space="preserve">: </w:t>
      </w:r>
      <w:r w:rsidRPr="006E1DBC">
        <w:rPr>
          <w:rFonts w:cs="Arial" w:hint="cs"/>
          <w:rtl/>
        </w:rPr>
        <w:t>הכסיף</w:t>
      </w:r>
      <w:r w:rsidRPr="006E1DBC">
        <w:rPr>
          <w:rFonts w:cs="Arial"/>
          <w:rtl/>
        </w:rPr>
        <w:t xml:space="preserve"> </w:t>
      </w:r>
      <w:r w:rsidRPr="006E1DBC">
        <w:rPr>
          <w:rFonts w:cs="Arial" w:hint="cs"/>
          <w:rtl/>
        </w:rPr>
        <w:t>התחתון</w:t>
      </w:r>
      <w:r w:rsidRPr="006E1DBC">
        <w:rPr>
          <w:rFonts w:cs="Arial"/>
          <w:rtl/>
        </w:rPr>
        <w:t xml:space="preserve"> </w:t>
      </w:r>
      <w:r w:rsidRPr="006E1DBC">
        <w:rPr>
          <w:rFonts w:cs="Arial" w:hint="cs"/>
          <w:rtl/>
        </w:rPr>
        <w:t>ולא</w:t>
      </w:r>
      <w:r w:rsidRPr="006E1DBC">
        <w:rPr>
          <w:rFonts w:cs="Arial"/>
          <w:rtl/>
        </w:rPr>
        <w:t xml:space="preserve"> </w:t>
      </w:r>
      <w:r w:rsidRPr="006E1DBC">
        <w:rPr>
          <w:rFonts w:cs="Arial" w:hint="cs"/>
          <w:rtl/>
        </w:rPr>
        <w:t>הכסיף</w:t>
      </w:r>
      <w:r w:rsidRPr="006E1DBC">
        <w:rPr>
          <w:rFonts w:cs="Arial"/>
          <w:rtl/>
        </w:rPr>
        <w:t xml:space="preserve"> </w:t>
      </w:r>
      <w:r w:rsidRPr="006E1DBC">
        <w:rPr>
          <w:rFonts w:cs="Arial" w:hint="cs"/>
          <w:rtl/>
        </w:rPr>
        <w:t>העליון</w:t>
      </w:r>
      <w:r w:rsidRPr="006E1DBC">
        <w:rPr>
          <w:rFonts w:cs="Arial"/>
          <w:rtl/>
        </w:rPr>
        <w:t xml:space="preserve"> - </w:t>
      </w:r>
      <w:r w:rsidRPr="006E1DBC">
        <w:rPr>
          <w:rFonts w:cs="Arial" w:hint="cs"/>
          <w:rtl/>
        </w:rPr>
        <w:t>בין</w:t>
      </w:r>
      <w:r w:rsidRPr="006E1DBC">
        <w:rPr>
          <w:rFonts w:cs="Arial"/>
          <w:rtl/>
        </w:rPr>
        <w:t xml:space="preserve"> </w:t>
      </w:r>
      <w:r w:rsidRPr="006E1DBC">
        <w:rPr>
          <w:rFonts w:cs="Arial" w:hint="cs"/>
          <w:rtl/>
        </w:rPr>
        <w:t>השמשות</w:t>
      </w:r>
      <w:r w:rsidRPr="006E1DBC">
        <w:rPr>
          <w:rFonts w:cs="Arial"/>
          <w:rtl/>
        </w:rPr>
        <w:t xml:space="preserve">! </w:t>
      </w:r>
      <w:r w:rsidRPr="00F471F3">
        <w:rPr>
          <w:rFonts w:cs="Arial" w:hint="cs"/>
          <w:u w:val="single"/>
          <w:rtl/>
        </w:rPr>
        <w:t>אמר</w:t>
      </w:r>
      <w:r w:rsidRPr="00F471F3">
        <w:rPr>
          <w:rFonts w:cs="Arial"/>
          <w:u w:val="single"/>
          <w:rtl/>
        </w:rPr>
        <w:t xml:space="preserve"> </w:t>
      </w:r>
      <w:r w:rsidRPr="00F471F3">
        <w:rPr>
          <w:rFonts w:cs="Arial" w:hint="cs"/>
          <w:u w:val="single"/>
          <w:rtl/>
        </w:rPr>
        <w:t>רבה</w:t>
      </w:r>
      <w:r w:rsidRPr="00F471F3">
        <w:rPr>
          <w:rFonts w:cs="Arial"/>
          <w:u w:val="single"/>
          <w:rtl/>
        </w:rPr>
        <w:t xml:space="preserve"> </w:t>
      </w:r>
      <w:r w:rsidRPr="00F471F3">
        <w:rPr>
          <w:rFonts w:cs="Arial" w:hint="cs"/>
          <w:u w:val="single"/>
          <w:rtl/>
        </w:rPr>
        <w:t>אמר</w:t>
      </w:r>
      <w:r w:rsidRPr="00F471F3">
        <w:rPr>
          <w:rFonts w:cs="Arial"/>
          <w:u w:val="single"/>
          <w:rtl/>
        </w:rPr>
        <w:t xml:space="preserve"> </w:t>
      </w:r>
      <w:r w:rsidRPr="00F471F3">
        <w:rPr>
          <w:rFonts w:cs="Arial" w:hint="cs"/>
          <w:u w:val="single"/>
          <w:rtl/>
        </w:rPr>
        <w:t>רב</w:t>
      </w:r>
      <w:r w:rsidRPr="00F471F3">
        <w:rPr>
          <w:rFonts w:cs="Arial"/>
          <w:u w:val="single"/>
          <w:rtl/>
        </w:rPr>
        <w:t xml:space="preserve"> </w:t>
      </w:r>
      <w:r w:rsidRPr="00F471F3">
        <w:rPr>
          <w:rFonts w:cs="Arial" w:hint="cs"/>
          <w:u w:val="single"/>
          <w:rtl/>
        </w:rPr>
        <w:t>יהודה</w:t>
      </w:r>
      <w:r w:rsidRPr="00F471F3">
        <w:rPr>
          <w:rFonts w:cs="Arial"/>
          <w:u w:val="single"/>
          <w:rtl/>
        </w:rPr>
        <w:t xml:space="preserve"> </w:t>
      </w:r>
      <w:r w:rsidRPr="00F471F3">
        <w:rPr>
          <w:rFonts w:cs="Arial" w:hint="cs"/>
          <w:u w:val="single"/>
          <w:rtl/>
        </w:rPr>
        <w:t>אמר</w:t>
      </w:r>
      <w:r w:rsidRPr="00F471F3">
        <w:rPr>
          <w:rFonts w:cs="Arial"/>
          <w:u w:val="single"/>
          <w:rtl/>
        </w:rPr>
        <w:t xml:space="preserve"> </w:t>
      </w:r>
      <w:r w:rsidRPr="00F471F3">
        <w:rPr>
          <w:rFonts w:cs="Arial" w:hint="cs"/>
          <w:u w:val="single"/>
          <w:rtl/>
        </w:rPr>
        <w:t>שמואל</w:t>
      </w:r>
      <w:r w:rsidRPr="006E1DBC">
        <w:rPr>
          <w:rFonts w:cs="Arial"/>
          <w:rtl/>
        </w:rPr>
        <w:t xml:space="preserve">: </w:t>
      </w:r>
      <w:r w:rsidRPr="006E1DBC">
        <w:rPr>
          <w:rFonts w:cs="Arial" w:hint="cs"/>
          <w:rtl/>
        </w:rPr>
        <w:t>כרוך</w:t>
      </w:r>
      <w:r w:rsidRPr="006E1DBC">
        <w:rPr>
          <w:rFonts w:cs="Arial"/>
          <w:rtl/>
        </w:rPr>
        <w:t xml:space="preserve"> </w:t>
      </w:r>
      <w:r w:rsidRPr="006E1DBC">
        <w:rPr>
          <w:rFonts w:cs="Arial" w:hint="cs"/>
          <w:rtl/>
        </w:rPr>
        <w:t>ותני</w:t>
      </w:r>
      <w:r w:rsidRPr="006E1DBC">
        <w:rPr>
          <w:rFonts w:cs="Arial"/>
          <w:rtl/>
        </w:rPr>
        <w:t xml:space="preserve">, </w:t>
      </w:r>
      <w:r w:rsidRPr="006E1DBC">
        <w:rPr>
          <w:rFonts w:cs="Arial" w:hint="cs"/>
          <w:rtl/>
        </w:rPr>
        <w:t>איזהו</w:t>
      </w:r>
      <w:r w:rsidRPr="006E1DBC">
        <w:rPr>
          <w:rFonts w:cs="Arial"/>
          <w:rtl/>
        </w:rPr>
        <w:t xml:space="preserve"> </w:t>
      </w:r>
      <w:r w:rsidRPr="006E1DBC">
        <w:rPr>
          <w:rFonts w:cs="Arial" w:hint="cs"/>
          <w:rtl/>
        </w:rPr>
        <w:t>בין</w:t>
      </w:r>
      <w:r w:rsidRPr="006E1DBC">
        <w:rPr>
          <w:rFonts w:cs="Arial"/>
          <w:rtl/>
        </w:rPr>
        <w:t xml:space="preserve"> </w:t>
      </w:r>
      <w:r w:rsidRPr="006E1DBC">
        <w:rPr>
          <w:rFonts w:cs="Arial" w:hint="cs"/>
          <w:rtl/>
        </w:rPr>
        <w:t>השמשות</w:t>
      </w:r>
      <w:r w:rsidRPr="006E1DBC">
        <w:rPr>
          <w:rFonts w:cs="Arial"/>
          <w:rtl/>
        </w:rPr>
        <w:t xml:space="preserve"> - </w:t>
      </w:r>
      <w:r w:rsidRPr="006E1DBC">
        <w:rPr>
          <w:rFonts w:cs="Arial" w:hint="cs"/>
          <w:rtl/>
        </w:rPr>
        <w:t>משתשקע</w:t>
      </w:r>
      <w:r w:rsidRPr="006E1DBC">
        <w:rPr>
          <w:rFonts w:cs="Arial"/>
          <w:rtl/>
        </w:rPr>
        <w:t xml:space="preserve"> </w:t>
      </w:r>
      <w:r w:rsidRPr="006E1DBC">
        <w:rPr>
          <w:rFonts w:cs="Arial" w:hint="cs"/>
          <w:rtl/>
        </w:rPr>
        <w:t>החמה</w:t>
      </w:r>
      <w:r w:rsidRPr="006E1DBC">
        <w:rPr>
          <w:rFonts w:cs="Arial"/>
          <w:rtl/>
        </w:rPr>
        <w:t xml:space="preserve"> </w:t>
      </w:r>
      <w:r w:rsidRPr="006E1DBC">
        <w:rPr>
          <w:rFonts w:cs="Arial" w:hint="cs"/>
          <w:rtl/>
        </w:rPr>
        <w:t>כל</w:t>
      </w:r>
      <w:r w:rsidRPr="006E1DBC">
        <w:rPr>
          <w:rFonts w:cs="Arial"/>
          <w:rtl/>
        </w:rPr>
        <w:t xml:space="preserve"> </w:t>
      </w:r>
      <w:r w:rsidRPr="006E1DBC">
        <w:rPr>
          <w:rFonts w:cs="Arial" w:hint="cs"/>
          <w:rtl/>
        </w:rPr>
        <w:t>זמן</w:t>
      </w:r>
      <w:r w:rsidRPr="006E1DBC">
        <w:rPr>
          <w:rFonts w:cs="Arial"/>
          <w:rtl/>
        </w:rPr>
        <w:t xml:space="preserve"> </w:t>
      </w:r>
      <w:r w:rsidRPr="006E1DBC">
        <w:rPr>
          <w:rFonts w:cs="Arial" w:hint="cs"/>
          <w:rtl/>
        </w:rPr>
        <w:t>שפני</w:t>
      </w:r>
      <w:r w:rsidRPr="006E1DBC">
        <w:rPr>
          <w:rFonts w:cs="Arial"/>
          <w:rtl/>
        </w:rPr>
        <w:t xml:space="preserve"> </w:t>
      </w:r>
      <w:r w:rsidRPr="006E1DBC">
        <w:rPr>
          <w:rFonts w:cs="Arial" w:hint="cs"/>
          <w:rtl/>
        </w:rPr>
        <w:t>מזרח</w:t>
      </w:r>
      <w:r w:rsidRPr="006E1DBC">
        <w:rPr>
          <w:rFonts w:cs="Arial"/>
          <w:rtl/>
        </w:rPr>
        <w:t xml:space="preserve"> </w:t>
      </w:r>
      <w:r w:rsidRPr="006E1DBC">
        <w:rPr>
          <w:rFonts w:cs="Arial" w:hint="cs"/>
          <w:rtl/>
        </w:rPr>
        <w:t>מאדימין</w:t>
      </w:r>
      <w:r w:rsidRPr="006E1DBC">
        <w:rPr>
          <w:rFonts w:cs="Arial"/>
          <w:rtl/>
        </w:rPr>
        <w:t xml:space="preserve">, </w:t>
      </w:r>
      <w:r w:rsidRPr="006E1DBC">
        <w:rPr>
          <w:rFonts w:cs="Arial" w:hint="cs"/>
          <w:rtl/>
        </w:rPr>
        <w:t>והכסיף</w:t>
      </w:r>
      <w:r w:rsidRPr="006E1DBC">
        <w:rPr>
          <w:rFonts w:cs="Arial"/>
          <w:rtl/>
        </w:rPr>
        <w:t xml:space="preserve"> </w:t>
      </w:r>
      <w:r w:rsidRPr="006E1DBC">
        <w:rPr>
          <w:rFonts w:cs="Arial" w:hint="cs"/>
          <w:rtl/>
        </w:rPr>
        <w:t>התחתון</w:t>
      </w:r>
      <w:r w:rsidRPr="006E1DBC">
        <w:rPr>
          <w:rFonts w:cs="Arial"/>
          <w:rtl/>
        </w:rPr>
        <w:t xml:space="preserve"> </w:t>
      </w:r>
      <w:r w:rsidRPr="006E1DBC">
        <w:rPr>
          <w:rFonts w:cs="Arial" w:hint="cs"/>
          <w:rtl/>
        </w:rPr>
        <w:t>ולא</w:t>
      </w:r>
      <w:r w:rsidRPr="006E1DBC">
        <w:rPr>
          <w:rFonts w:cs="Arial"/>
          <w:rtl/>
        </w:rPr>
        <w:t xml:space="preserve"> </w:t>
      </w:r>
      <w:r w:rsidRPr="006E1DBC">
        <w:rPr>
          <w:rFonts w:cs="Arial" w:hint="cs"/>
          <w:rtl/>
        </w:rPr>
        <w:t>הכסיף</w:t>
      </w:r>
      <w:r w:rsidRPr="006E1DBC">
        <w:rPr>
          <w:rFonts w:cs="Arial"/>
          <w:rtl/>
        </w:rPr>
        <w:t xml:space="preserve"> </w:t>
      </w:r>
      <w:r w:rsidRPr="006E1DBC">
        <w:rPr>
          <w:rFonts w:cs="Arial" w:hint="cs"/>
          <w:rtl/>
        </w:rPr>
        <w:t>העליון</w:t>
      </w:r>
      <w:r w:rsidRPr="006E1DBC">
        <w:rPr>
          <w:rFonts w:cs="Arial"/>
          <w:rtl/>
        </w:rPr>
        <w:t xml:space="preserve"> - </w:t>
      </w:r>
      <w:r w:rsidRPr="006E1DBC">
        <w:rPr>
          <w:rFonts w:cs="Arial" w:hint="cs"/>
          <w:rtl/>
        </w:rPr>
        <w:t>נמי</w:t>
      </w:r>
      <w:r w:rsidRPr="006E1DBC">
        <w:rPr>
          <w:rFonts w:cs="Arial"/>
          <w:rtl/>
        </w:rPr>
        <w:t xml:space="preserve"> </w:t>
      </w:r>
      <w:r w:rsidRPr="006E1DBC">
        <w:rPr>
          <w:rFonts w:cs="Arial" w:hint="cs"/>
          <w:rtl/>
        </w:rPr>
        <w:t>בין</w:t>
      </w:r>
      <w:r w:rsidRPr="006E1DBC">
        <w:rPr>
          <w:rFonts w:cs="Arial"/>
          <w:rtl/>
        </w:rPr>
        <w:t xml:space="preserve"> </w:t>
      </w:r>
      <w:r w:rsidRPr="006E1DBC">
        <w:rPr>
          <w:rFonts w:cs="Arial" w:hint="cs"/>
          <w:rtl/>
        </w:rPr>
        <w:t>השמשות</w:t>
      </w:r>
      <w:r w:rsidRPr="006E1DBC">
        <w:rPr>
          <w:rFonts w:cs="Arial"/>
          <w:rtl/>
        </w:rPr>
        <w:t xml:space="preserve">, </w:t>
      </w:r>
      <w:r w:rsidRPr="006E1DBC">
        <w:rPr>
          <w:rFonts w:cs="Arial" w:hint="cs"/>
          <w:rtl/>
        </w:rPr>
        <w:t>הכסיף</w:t>
      </w:r>
      <w:r w:rsidRPr="006E1DBC">
        <w:rPr>
          <w:rFonts w:cs="Arial"/>
          <w:rtl/>
        </w:rPr>
        <w:t xml:space="preserve"> </w:t>
      </w:r>
      <w:r w:rsidRPr="006E1DBC">
        <w:rPr>
          <w:rFonts w:cs="Arial" w:hint="cs"/>
          <w:rtl/>
        </w:rPr>
        <w:t>העליון</w:t>
      </w:r>
      <w:r w:rsidRPr="006E1DBC">
        <w:rPr>
          <w:rFonts w:cs="Arial"/>
          <w:rtl/>
        </w:rPr>
        <w:t xml:space="preserve"> </w:t>
      </w:r>
      <w:r w:rsidRPr="006E1DBC">
        <w:rPr>
          <w:rFonts w:cs="Arial" w:hint="cs"/>
          <w:rtl/>
        </w:rPr>
        <w:t>והשוה</w:t>
      </w:r>
      <w:r w:rsidRPr="006E1DBC">
        <w:rPr>
          <w:rFonts w:cs="Arial"/>
          <w:rtl/>
        </w:rPr>
        <w:t xml:space="preserve"> </w:t>
      </w:r>
      <w:r w:rsidRPr="006E1DBC">
        <w:rPr>
          <w:rFonts w:cs="Arial" w:hint="cs"/>
          <w:rtl/>
        </w:rPr>
        <w:t>לתחתון</w:t>
      </w:r>
      <w:r w:rsidRPr="006E1DBC">
        <w:rPr>
          <w:rFonts w:cs="Arial"/>
          <w:rtl/>
        </w:rPr>
        <w:t xml:space="preserve"> - </w:t>
      </w:r>
      <w:r w:rsidRPr="006E1DBC">
        <w:rPr>
          <w:rFonts w:cs="Arial" w:hint="cs"/>
          <w:rtl/>
        </w:rPr>
        <w:t>לילה</w:t>
      </w:r>
      <w:r w:rsidRPr="006E1DBC">
        <w:rPr>
          <w:rFonts w:cs="Arial"/>
          <w:rtl/>
        </w:rPr>
        <w:t xml:space="preserve">. </w:t>
      </w:r>
      <w:r w:rsidRPr="00F471F3">
        <w:rPr>
          <w:rFonts w:cs="Arial" w:hint="cs"/>
          <w:u w:val="single"/>
          <w:rtl/>
        </w:rPr>
        <w:t>ורב</w:t>
      </w:r>
      <w:r w:rsidRPr="00F471F3">
        <w:rPr>
          <w:rFonts w:cs="Arial"/>
          <w:u w:val="single"/>
          <w:rtl/>
        </w:rPr>
        <w:t xml:space="preserve"> </w:t>
      </w:r>
      <w:r w:rsidRPr="00F471F3">
        <w:rPr>
          <w:rFonts w:cs="Arial" w:hint="cs"/>
          <w:u w:val="single"/>
          <w:rtl/>
        </w:rPr>
        <w:t>יוסף</w:t>
      </w:r>
      <w:r w:rsidRPr="00F471F3">
        <w:rPr>
          <w:rFonts w:cs="Arial"/>
          <w:u w:val="single"/>
          <w:rtl/>
        </w:rPr>
        <w:t xml:space="preserve"> </w:t>
      </w:r>
      <w:r w:rsidRPr="00F471F3">
        <w:rPr>
          <w:rFonts w:cs="Arial" w:hint="cs"/>
          <w:u w:val="single"/>
          <w:rtl/>
        </w:rPr>
        <w:t>אמר</w:t>
      </w:r>
      <w:r w:rsidRPr="00F471F3">
        <w:rPr>
          <w:rFonts w:cs="Arial"/>
          <w:u w:val="single"/>
          <w:rtl/>
        </w:rPr>
        <w:t xml:space="preserve"> </w:t>
      </w:r>
      <w:r w:rsidRPr="00F471F3">
        <w:rPr>
          <w:rFonts w:cs="Arial" w:hint="cs"/>
          <w:u w:val="single"/>
          <w:rtl/>
        </w:rPr>
        <w:t>רב</w:t>
      </w:r>
      <w:r w:rsidRPr="00F471F3">
        <w:rPr>
          <w:rFonts w:cs="Arial"/>
          <w:u w:val="single"/>
          <w:rtl/>
        </w:rPr>
        <w:t xml:space="preserve"> </w:t>
      </w:r>
      <w:r w:rsidRPr="00F471F3">
        <w:rPr>
          <w:rFonts w:cs="Arial" w:hint="cs"/>
          <w:u w:val="single"/>
          <w:rtl/>
        </w:rPr>
        <w:t>יהודה</w:t>
      </w:r>
      <w:r w:rsidRPr="00F471F3">
        <w:rPr>
          <w:rFonts w:cs="Arial"/>
          <w:u w:val="single"/>
          <w:rtl/>
        </w:rPr>
        <w:t xml:space="preserve"> </w:t>
      </w:r>
      <w:r w:rsidRPr="00F471F3">
        <w:rPr>
          <w:rFonts w:cs="Arial" w:hint="cs"/>
          <w:u w:val="single"/>
          <w:rtl/>
        </w:rPr>
        <w:t>אמר</w:t>
      </w:r>
      <w:r w:rsidRPr="00F471F3">
        <w:rPr>
          <w:rFonts w:cs="Arial"/>
          <w:u w:val="single"/>
          <w:rtl/>
        </w:rPr>
        <w:t xml:space="preserve"> </w:t>
      </w:r>
      <w:r w:rsidRPr="00F471F3">
        <w:rPr>
          <w:rFonts w:cs="Arial" w:hint="cs"/>
          <w:u w:val="single"/>
          <w:rtl/>
        </w:rPr>
        <w:t>שמואל</w:t>
      </w:r>
      <w:r w:rsidRPr="006E1DBC">
        <w:rPr>
          <w:rFonts w:cs="Arial"/>
          <w:rtl/>
        </w:rPr>
        <w:t xml:space="preserve">: </w:t>
      </w:r>
      <w:r w:rsidRPr="006E1DBC">
        <w:rPr>
          <w:rFonts w:cs="Arial" w:hint="cs"/>
          <w:rtl/>
        </w:rPr>
        <w:t>הכי</w:t>
      </w:r>
      <w:r w:rsidRPr="006E1DBC">
        <w:rPr>
          <w:rFonts w:cs="Arial"/>
          <w:rtl/>
        </w:rPr>
        <w:t xml:space="preserve"> </w:t>
      </w:r>
      <w:r w:rsidRPr="006E1DBC">
        <w:rPr>
          <w:rFonts w:cs="Arial" w:hint="cs"/>
          <w:rtl/>
        </w:rPr>
        <w:t>קתני</w:t>
      </w:r>
      <w:r w:rsidRPr="006E1DBC">
        <w:rPr>
          <w:rFonts w:cs="Arial"/>
          <w:rtl/>
        </w:rPr>
        <w:t xml:space="preserve">: </w:t>
      </w:r>
      <w:r w:rsidRPr="006E1DBC">
        <w:rPr>
          <w:rFonts w:cs="Arial" w:hint="cs"/>
          <w:rtl/>
        </w:rPr>
        <w:t>משתשקע</w:t>
      </w:r>
      <w:r w:rsidRPr="006E1DBC">
        <w:rPr>
          <w:rFonts w:cs="Arial"/>
          <w:rtl/>
        </w:rPr>
        <w:t xml:space="preserve"> </w:t>
      </w:r>
      <w:r w:rsidRPr="006E1DBC">
        <w:rPr>
          <w:rFonts w:cs="Arial" w:hint="cs"/>
          <w:rtl/>
        </w:rPr>
        <w:t>החמה</w:t>
      </w:r>
      <w:r w:rsidRPr="006E1DBC">
        <w:rPr>
          <w:rFonts w:cs="Arial"/>
          <w:rtl/>
        </w:rPr>
        <w:t xml:space="preserve"> </w:t>
      </w:r>
      <w:r w:rsidRPr="006E1DBC">
        <w:rPr>
          <w:rFonts w:cs="Arial" w:hint="cs"/>
          <w:rtl/>
        </w:rPr>
        <w:t>כל</w:t>
      </w:r>
      <w:r w:rsidRPr="006E1DBC">
        <w:rPr>
          <w:rFonts w:cs="Arial"/>
          <w:rtl/>
        </w:rPr>
        <w:t xml:space="preserve"> </w:t>
      </w:r>
      <w:r w:rsidRPr="006E1DBC">
        <w:rPr>
          <w:rFonts w:cs="Arial" w:hint="cs"/>
          <w:rtl/>
        </w:rPr>
        <w:t>זמן</w:t>
      </w:r>
      <w:r w:rsidRPr="006E1DBC">
        <w:rPr>
          <w:rFonts w:cs="Arial"/>
          <w:rtl/>
        </w:rPr>
        <w:t xml:space="preserve"> </w:t>
      </w:r>
      <w:r w:rsidRPr="006E1DBC">
        <w:rPr>
          <w:rFonts w:cs="Arial" w:hint="cs"/>
          <w:rtl/>
        </w:rPr>
        <w:t>שפני</w:t>
      </w:r>
      <w:r w:rsidRPr="006E1DBC">
        <w:rPr>
          <w:rFonts w:cs="Arial"/>
          <w:rtl/>
        </w:rPr>
        <w:t xml:space="preserve"> </w:t>
      </w:r>
      <w:r w:rsidRPr="006E1DBC">
        <w:rPr>
          <w:rFonts w:cs="Arial" w:hint="cs"/>
          <w:rtl/>
        </w:rPr>
        <w:t>מזרח</w:t>
      </w:r>
      <w:r w:rsidRPr="006E1DBC">
        <w:rPr>
          <w:rFonts w:cs="Arial"/>
          <w:rtl/>
        </w:rPr>
        <w:t xml:space="preserve"> </w:t>
      </w:r>
      <w:r w:rsidRPr="006E1DBC">
        <w:rPr>
          <w:rFonts w:cs="Arial" w:hint="cs"/>
          <w:rtl/>
        </w:rPr>
        <w:t>מאדימין</w:t>
      </w:r>
      <w:r w:rsidRPr="006E1DBC">
        <w:rPr>
          <w:rFonts w:cs="Arial"/>
          <w:rtl/>
        </w:rPr>
        <w:t xml:space="preserve"> - </w:t>
      </w:r>
      <w:r w:rsidRPr="006E1DBC">
        <w:rPr>
          <w:rFonts w:cs="Arial" w:hint="cs"/>
          <w:rtl/>
        </w:rPr>
        <w:t>יום</w:t>
      </w:r>
      <w:r w:rsidRPr="006E1DBC">
        <w:rPr>
          <w:rFonts w:cs="Arial"/>
          <w:rtl/>
        </w:rPr>
        <w:t xml:space="preserve">, </w:t>
      </w:r>
      <w:r w:rsidRPr="006E1DBC">
        <w:rPr>
          <w:rFonts w:cs="Arial" w:hint="cs"/>
          <w:rtl/>
        </w:rPr>
        <w:t>הכסיף</w:t>
      </w:r>
      <w:r w:rsidRPr="006E1DBC">
        <w:rPr>
          <w:rFonts w:cs="Arial"/>
          <w:rtl/>
        </w:rPr>
        <w:t xml:space="preserve"> </w:t>
      </w:r>
      <w:r w:rsidRPr="006E1DBC">
        <w:rPr>
          <w:rFonts w:cs="Arial" w:hint="cs"/>
          <w:rtl/>
        </w:rPr>
        <w:t>התחתון</w:t>
      </w:r>
      <w:r w:rsidRPr="006E1DBC">
        <w:rPr>
          <w:rFonts w:cs="Arial"/>
          <w:rtl/>
        </w:rPr>
        <w:t xml:space="preserve"> </w:t>
      </w:r>
      <w:r w:rsidRPr="006E1DBC">
        <w:rPr>
          <w:rFonts w:cs="Arial" w:hint="cs"/>
          <w:rtl/>
        </w:rPr>
        <w:t>ולא</w:t>
      </w:r>
      <w:r w:rsidRPr="006E1DBC">
        <w:rPr>
          <w:rFonts w:cs="Arial"/>
          <w:rtl/>
        </w:rPr>
        <w:t xml:space="preserve"> </w:t>
      </w:r>
      <w:r w:rsidRPr="006E1DBC">
        <w:rPr>
          <w:rFonts w:cs="Arial" w:hint="cs"/>
          <w:rtl/>
        </w:rPr>
        <w:t>הכסיף</w:t>
      </w:r>
      <w:r w:rsidRPr="006E1DBC">
        <w:rPr>
          <w:rFonts w:cs="Arial"/>
          <w:rtl/>
        </w:rPr>
        <w:t xml:space="preserve"> </w:t>
      </w:r>
      <w:r w:rsidRPr="006E1DBC">
        <w:rPr>
          <w:rFonts w:cs="Arial" w:hint="cs"/>
          <w:rtl/>
        </w:rPr>
        <w:t>העליון</w:t>
      </w:r>
      <w:r w:rsidRPr="006E1DBC">
        <w:rPr>
          <w:rFonts w:cs="Arial"/>
          <w:rtl/>
        </w:rPr>
        <w:t xml:space="preserve"> - </w:t>
      </w:r>
      <w:r w:rsidRPr="006E1DBC">
        <w:rPr>
          <w:rFonts w:cs="Arial" w:hint="cs"/>
          <w:rtl/>
        </w:rPr>
        <w:t>בין</w:t>
      </w:r>
      <w:r w:rsidRPr="006E1DBC">
        <w:rPr>
          <w:rFonts w:cs="Arial"/>
          <w:rtl/>
        </w:rPr>
        <w:t xml:space="preserve"> </w:t>
      </w:r>
      <w:r w:rsidRPr="006E1DBC">
        <w:rPr>
          <w:rFonts w:cs="Arial" w:hint="cs"/>
          <w:rtl/>
        </w:rPr>
        <w:t>השמשות</w:t>
      </w:r>
      <w:r w:rsidRPr="006E1DBC">
        <w:rPr>
          <w:rFonts w:cs="Arial"/>
          <w:rtl/>
        </w:rPr>
        <w:t xml:space="preserve">, </w:t>
      </w:r>
      <w:r w:rsidRPr="006E1DBC">
        <w:rPr>
          <w:rFonts w:cs="Arial" w:hint="cs"/>
          <w:rtl/>
        </w:rPr>
        <w:t>הכסיף</w:t>
      </w:r>
      <w:r w:rsidRPr="006E1DBC">
        <w:rPr>
          <w:rFonts w:cs="Arial"/>
          <w:rtl/>
        </w:rPr>
        <w:t xml:space="preserve"> </w:t>
      </w:r>
      <w:r w:rsidRPr="006E1DBC">
        <w:rPr>
          <w:rFonts w:cs="Arial" w:hint="cs"/>
          <w:rtl/>
        </w:rPr>
        <w:t>העליון</w:t>
      </w:r>
      <w:r w:rsidRPr="006E1DBC">
        <w:rPr>
          <w:rFonts w:cs="Arial"/>
          <w:rtl/>
        </w:rPr>
        <w:t xml:space="preserve"> </w:t>
      </w:r>
      <w:r w:rsidRPr="006E1DBC">
        <w:rPr>
          <w:rFonts w:cs="Arial" w:hint="cs"/>
          <w:rtl/>
        </w:rPr>
        <w:t>והשוה</w:t>
      </w:r>
      <w:r w:rsidRPr="006E1DBC">
        <w:rPr>
          <w:rFonts w:cs="Arial"/>
          <w:rtl/>
        </w:rPr>
        <w:t xml:space="preserve"> </w:t>
      </w:r>
      <w:r w:rsidRPr="006E1DBC">
        <w:rPr>
          <w:rFonts w:cs="Arial" w:hint="cs"/>
          <w:rtl/>
        </w:rPr>
        <w:t>לתחתון</w:t>
      </w:r>
      <w:r w:rsidRPr="006E1DBC">
        <w:rPr>
          <w:rFonts w:cs="Arial"/>
          <w:rtl/>
        </w:rPr>
        <w:t xml:space="preserve"> - </w:t>
      </w:r>
      <w:r w:rsidRPr="006E1DBC">
        <w:rPr>
          <w:rFonts w:cs="Arial" w:hint="cs"/>
          <w:rtl/>
        </w:rPr>
        <w:t>לילה</w:t>
      </w:r>
      <w:r w:rsidRPr="006E1DBC">
        <w:rPr>
          <w:rFonts w:cs="Arial"/>
          <w:rtl/>
        </w:rPr>
        <w:t xml:space="preserve">. </w:t>
      </w:r>
      <w:r w:rsidRPr="006E1DBC">
        <w:rPr>
          <w:rFonts w:cs="Arial" w:hint="cs"/>
          <w:rtl/>
        </w:rPr>
        <w:t>ואזדו</w:t>
      </w:r>
      <w:r w:rsidRPr="006E1DBC">
        <w:rPr>
          <w:rFonts w:cs="Arial"/>
          <w:rtl/>
        </w:rPr>
        <w:t xml:space="preserve"> </w:t>
      </w:r>
      <w:r w:rsidRPr="006E1DBC">
        <w:rPr>
          <w:rFonts w:cs="Arial" w:hint="cs"/>
          <w:rtl/>
        </w:rPr>
        <w:t>לטעמייהו</w:t>
      </w:r>
      <w:r w:rsidRPr="006E1DBC">
        <w:rPr>
          <w:rFonts w:cs="Arial"/>
          <w:rtl/>
        </w:rPr>
        <w:t xml:space="preserve">, </w:t>
      </w:r>
      <w:r w:rsidRPr="006E1DBC">
        <w:rPr>
          <w:rFonts w:cs="Arial" w:hint="cs"/>
          <w:rtl/>
        </w:rPr>
        <w:t>דאיתמר</w:t>
      </w:r>
      <w:r w:rsidRPr="006E1DBC">
        <w:rPr>
          <w:rFonts w:cs="Arial"/>
          <w:rtl/>
        </w:rPr>
        <w:t xml:space="preserve">: </w:t>
      </w:r>
      <w:r w:rsidRPr="006E1DBC">
        <w:rPr>
          <w:rFonts w:cs="Arial" w:hint="cs"/>
          <w:rtl/>
        </w:rPr>
        <w:t>שיעור</w:t>
      </w:r>
      <w:r w:rsidRPr="006E1DBC">
        <w:rPr>
          <w:rFonts w:cs="Arial"/>
          <w:rtl/>
        </w:rPr>
        <w:t xml:space="preserve"> </w:t>
      </w:r>
      <w:r w:rsidRPr="006E1DBC">
        <w:rPr>
          <w:rFonts w:cs="Arial" w:hint="cs"/>
          <w:rtl/>
        </w:rPr>
        <w:t>בין</w:t>
      </w:r>
      <w:r w:rsidRPr="006E1DBC">
        <w:rPr>
          <w:rFonts w:cs="Arial"/>
          <w:rtl/>
        </w:rPr>
        <w:t xml:space="preserve"> </w:t>
      </w:r>
      <w:r w:rsidRPr="006E1DBC">
        <w:rPr>
          <w:rFonts w:cs="Arial" w:hint="cs"/>
          <w:rtl/>
        </w:rPr>
        <w:t>השמשות</w:t>
      </w:r>
      <w:r w:rsidRPr="006E1DBC">
        <w:rPr>
          <w:rFonts w:cs="Arial"/>
          <w:rtl/>
        </w:rPr>
        <w:t xml:space="preserve"> </w:t>
      </w:r>
      <w:r w:rsidRPr="006E1DBC">
        <w:rPr>
          <w:rFonts w:cs="Arial" w:hint="cs"/>
          <w:rtl/>
        </w:rPr>
        <w:t>בכמה</w:t>
      </w:r>
      <w:r w:rsidRPr="006E1DBC">
        <w:rPr>
          <w:rFonts w:cs="Arial"/>
          <w:rtl/>
        </w:rPr>
        <w:t xml:space="preserve">? </w:t>
      </w:r>
      <w:r w:rsidRPr="00F471F3">
        <w:rPr>
          <w:rFonts w:cs="Arial" w:hint="cs"/>
          <w:u w:val="single"/>
          <w:rtl/>
        </w:rPr>
        <w:t>אמר</w:t>
      </w:r>
      <w:r w:rsidRPr="00F471F3">
        <w:rPr>
          <w:rFonts w:cs="Arial"/>
          <w:u w:val="single"/>
          <w:rtl/>
        </w:rPr>
        <w:t xml:space="preserve"> </w:t>
      </w:r>
      <w:r w:rsidRPr="00F471F3">
        <w:rPr>
          <w:rFonts w:cs="Arial" w:hint="cs"/>
          <w:u w:val="single"/>
          <w:rtl/>
        </w:rPr>
        <w:t>רבה</w:t>
      </w:r>
      <w:r w:rsidRPr="00F471F3">
        <w:rPr>
          <w:rFonts w:cs="Arial"/>
          <w:u w:val="single"/>
          <w:rtl/>
        </w:rPr>
        <w:t xml:space="preserve"> </w:t>
      </w:r>
      <w:r w:rsidRPr="00F471F3">
        <w:rPr>
          <w:rFonts w:cs="Arial" w:hint="cs"/>
          <w:u w:val="single"/>
          <w:rtl/>
        </w:rPr>
        <w:t>אמר</w:t>
      </w:r>
      <w:r w:rsidRPr="00F471F3">
        <w:rPr>
          <w:rFonts w:cs="Arial"/>
          <w:u w:val="single"/>
          <w:rtl/>
        </w:rPr>
        <w:t xml:space="preserve"> </w:t>
      </w:r>
      <w:r w:rsidRPr="00F471F3">
        <w:rPr>
          <w:rFonts w:cs="Arial" w:hint="cs"/>
          <w:u w:val="single"/>
          <w:rtl/>
        </w:rPr>
        <w:t>רב</w:t>
      </w:r>
      <w:r w:rsidRPr="00F471F3">
        <w:rPr>
          <w:rFonts w:cs="Arial"/>
          <w:u w:val="single"/>
          <w:rtl/>
        </w:rPr>
        <w:t xml:space="preserve"> </w:t>
      </w:r>
      <w:r w:rsidRPr="00F471F3">
        <w:rPr>
          <w:rFonts w:cs="Arial" w:hint="cs"/>
          <w:u w:val="single"/>
          <w:rtl/>
        </w:rPr>
        <w:t>יהודה</w:t>
      </w:r>
      <w:r w:rsidRPr="00F471F3">
        <w:rPr>
          <w:rFonts w:cs="Arial"/>
          <w:u w:val="single"/>
          <w:rtl/>
        </w:rPr>
        <w:t xml:space="preserve"> </w:t>
      </w:r>
      <w:r w:rsidRPr="00F471F3">
        <w:rPr>
          <w:rFonts w:cs="Arial" w:hint="cs"/>
          <w:u w:val="single"/>
          <w:rtl/>
        </w:rPr>
        <w:t>אמר</w:t>
      </w:r>
      <w:r w:rsidRPr="00F471F3">
        <w:rPr>
          <w:rFonts w:cs="Arial"/>
          <w:u w:val="single"/>
          <w:rtl/>
        </w:rPr>
        <w:t xml:space="preserve"> </w:t>
      </w:r>
      <w:r w:rsidRPr="00F471F3">
        <w:rPr>
          <w:rFonts w:cs="Arial" w:hint="cs"/>
          <w:u w:val="single"/>
          <w:rtl/>
        </w:rPr>
        <w:t>שמואל</w:t>
      </w:r>
      <w:r w:rsidRPr="006E1DBC">
        <w:rPr>
          <w:rFonts w:cs="Arial"/>
          <w:rtl/>
        </w:rPr>
        <w:t xml:space="preserve">: </w:t>
      </w:r>
      <w:r w:rsidRPr="006E1DBC">
        <w:rPr>
          <w:rFonts w:cs="Arial" w:hint="cs"/>
          <w:rtl/>
        </w:rPr>
        <w:t>שלשה</w:t>
      </w:r>
      <w:r w:rsidRPr="006E1DBC">
        <w:rPr>
          <w:rFonts w:cs="Arial"/>
          <w:rtl/>
        </w:rPr>
        <w:t xml:space="preserve"> </w:t>
      </w:r>
      <w:r w:rsidRPr="006E1DBC">
        <w:rPr>
          <w:rFonts w:cs="Arial" w:hint="cs"/>
          <w:rtl/>
        </w:rPr>
        <w:t>חלקי</w:t>
      </w:r>
      <w:r w:rsidRPr="006E1DBC">
        <w:rPr>
          <w:rFonts w:cs="Arial"/>
          <w:rtl/>
        </w:rPr>
        <w:t xml:space="preserve"> </w:t>
      </w:r>
      <w:r w:rsidRPr="006E1DBC">
        <w:rPr>
          <w:rFonts w:cs="Arial" w:hint="cs"/>
          <w:rtl/>
        </w:rPr>
        <w:t>מיל</w:t>
      </w:r>
      <w:r w:rsidRPr="006E1DBC">
        <w:rPr>
          <w:rFonts w:cs="Arial"/>
          <w:rtl/>
        </w:rPr>
        <w:t xml:space="preserve">. </w:t>
      </w:r>
      <w:r w:rsidRPr="006E1DBC">
        <w:rPr>
          <w:rFonts w:cs="Arial" w:hint="cs"/>
          <w:rtl/>
        </w:rPr>
        <w:t>מאי</w:t>
      </w:r>
      <w:r w:rsidRPr="006E1DBC">
        <w:rPr>
          <w:rFonts w:cs="Arial"/>
          <w:rtl/>
        </w:rPr>
        <w:t xml:space="preserve"> </w:t>
      </w:r>
      <w:r w:rsidRPr="006E1DBC">
        <w:rPr>
          <w:rFonts w:cs="Arial" w:hint="cs"/>
          <w:rtl/>
        </w:rPr>
        <w:t>שלשה</w:t>
      </w:r>
      <w:r w:rsidRPr="006E1DBC">
        <w:rPr>
          <w:rFonts w:cs="Arial"/>
          <w:rtl/>
        </w:rPr>
        <w:t xml:space="preserve"> </w:t>
      </w:r>
      <w:r w:rsidRPr="006E1DBC">
        <w:rPr>
          <w:rFonts w:cs="Arial" w:hint="cs"/>
          <w:rtl/>
        </w:rPr>
        <w:t>חלקי</w:t>
      </w:r>
      <w:r w:rsidRPr="006E1DBC">
        <w:rPr>
          <w:rFonts w:cs="Arial"/>
          <w:rtl/>
        </w:rPr>
        <w:t xml:space="preserve"> </w:t>
      </w:r>
      <w:r w:rsidRPr="006E1DBC">
        <w:rPr>
          <w:rFonts w:cs="Arial" w:hint="cs"/>
          <w:rtl/>
        </w:rPr>
        <w:t>מיל</w:t>
      </w:r>
      <w:r w:rsidRPr="006E1DBC">
        <w:rPr>
          <w:rFonts w:cs="Arial"/>
          <w:rtl/>
        </w:rPr>
        <w:t>?</w:t>
      </w:r>
      <w:r>
        <w:rPr>
          <w:rFonts w:cs="Arial" w:hint="cs"/>
          <w:rtl/>
        </w:rPr>
        <w:t>...</w:t>
      </w:r>
      <w:r w:rsidRPr="006E1DBC">
        <w:rPr>
          <w:rFonts w:cs="Arial"/>
          <w:rtl/>
        </w:rPr>
        <w:t xml:space="preserve"> </w:t>
      </w:r>
      <w:r w:rsidRPr="006E1DBC">
        <w:rPr>
          <w:rFonts w:cs="Arial" w:hint="cs"/>
          <w:rtl/>
        </w:rPr>
        <w:t>תלתא</w:t>
      </w:r>
      <w:r w:rsidRPr="006E1DBC">
        <w:rPr>
          <w:rFonts w:cs="Arial"/>
          <w:rtl/>
        </w:rPr>
        <w:t xml:space="preserve"> </w:t>
      </w:r>
      <w:r w:rsidRPr="006E1DBC">
        <w:rPr>
          <w:rFonts w:cs="Arial" w:hint="cs"/>
          <w:rtl/>
        </w:rPr>
        <w:t>ריבעי</w:t>
      </w:r>
      <w:r w:rsidRPr="006E1DBC">
        <w:rPr>
          <w:rFonts w:cs="Arial"/>
          <w:rtl/>
        </w:rPr>
        <w:t xml:space="preserve"> </w:t>
      </w:r>
      <w:r w:rsidRPr="006E1DBC">
        <w:rPr>
          <w:rFonts w:cs="Arial" w:hint="cs"/>
          <w:rtl/>
        </w:rPr>
        <w:t>מילא</w:t>
      </w:r>
      <w:r w:rsidRPr="006E1DBC">
        <w:rPr>
          <w:rFonts w:cs="Arial"/>
          <w:rtl/>
        </w:rPr>
        <w:t xml:space="preserve">. </w:t>
      </w:r>
      <w:r w:rsidRPr="00F471F3">
        <w:rPr>
          <w:rFonts w:cs="Arial" w:hint="cs"/>
          <w:u w:val="single"/>
          <w:rtl/>
        </w:rPr>
        <w:t>ורב</w:t>
      </w:r>
      <w:r w:rsidRPr="00F471F3">
        <w:rPr>
          <w:rFonts w:cs="Arial"/>
          <w:u w:val="single"/>
          <w:rtl/>
        </w:rPr>
        <w:t xml:space="preserve"> </w:t>
      </w:r>
      <w:r w:rsidRPr="00F471F3">
        <w:rPr>
          <w:rFonts w:cs="Arial" w:hint="cs"/>
          <w:u w:val="single"/>
          <w:rtl/>
        </w:rPr>
        <w:t>יוסף</w:t>
      </w:r>
      <w:r w:rsidRPr="00F471F3">
        <w:rPr>
          <w:rFonts w:cs="Arial"/>
          <w:u w:val="single"/>
          <w:rtl/>
        </w:rPr>
        <w:t xml:space="preserve"> </w:t>
      </w:r>
      <w:r w:rsidRPr="00F471F3">
        <w:rPr>
          <w:rFonts w:cs="Arial" w:hint="cs"/>
          <w:u w:val="single"/>
          <w:rtl/>
        </w:rPr>
        <w:t>אמר</w:t>
      </w:r>
      <w:r w:rsidRPr="00F471F3">
        <w:rPr>
          <w:rFonts w:cs="Arial"/>
          <w:u w:val="single"/>
          <w:rtl/>
        </w:rPr>
        <w:t xml:space="preserve"> </w:t>
      </w:r>
      <w:r w:rsidRPr="00F471F3">
        <w:rPr>
          <w:rFonts w:cs="Arial" w:hint="cs"/>
          <w:u w:val="single"/>
          <w:rtl/>
        </w:rPr>
        <w:t>רב</w:t>
      </w:r>
      <w:r w:rsidRPr="00F471F3">
        <w:rPr>
          <w:rFonts w:cs="Arial"/>
          <w:u w:val="single"/>
          <w:rtl/>
        </w:rPr>
        <w:t xml:space="preserve"> </w:t>
      </w:r>
      <w:r w:rsidRPr="00F471F3">
        <w:rPr>
          <w:rFonts w:cs="Arial" w:hint="cs"/>
          <w:u w:val="single"/>
          <w:rtl/>
        </w:rPr>
        <w:t>יהודה</w:t>
      </w:r>
      <w:r w:rsidRPr="00F471F3">
        <w:rPr>
          <w:rFonts w:cs="Arial"/>
          <w:u w:val="single"/>
          <w:rtl/>
        </w:rPr>
        <w:t xml:space="preserve"> </w:t>
      </w:r>
      <w:r w:rsidRPr="00F471F3">
        <w:rPr>
          <w:rFonts w:cs="Arial" w:hint="cs"/>
          <w:u w:val="single"/>
          <w:rtl/>
        </w:rPr>
        <w:t>אמר</w:t>
      </w:r>
      <w:r w:rsidRPr="00F471F3">
        <w:rPr>
          <w:rFonts w:cs="Arial"/>
          <w:u w:val="single"/>
          <w:rtl/>
        </w:rPr>
        <w:t xml:space="preserve"> </w:t>
      </w:r>
      <w:r w:rsidRPr="00F471F3">
        <w:rPr>
          <w:rFonts w:cs="Arial" w:hint="cs"/>
          <w:u w:val="single"/>
          <w:rtl/>
        </w:rPr>
        <w:t>שמואל</w:t>
      </w:r>
      <w:r w:rsidRPr="006E1DBC">
        <w:rPr>
          <w:rFonts w:cs="Arial"/>
          <w:rtl/>
        </w:rPr>
        <w:t xml:space="preserve">: </w:t>
      </w:r>
      <w:r w:rsidRPr="006E1DBC">
        <w:rPr>
          <w:rFonts w:cs="Arial" w:hint="cs"/>
          <w:rtl/>
        </w:rPr>
        <w:t>שני</w:t>
      </w:r>
      <w:r w:rsidRPr="006E1DBC">
        <w:rPr>
          <w:rFonts w:cs="Arial"/>
          <w:rtl/>
        </w:rPr>
        <w:t xml:space="preserve"> </w:t>
      </w:r>
      <w:r w:rsidRPr="006E1DBC">
        <w:rPr>
          <w:rFonts w:cs="Arial" w:hint="cs"/>
          <w:rtl/>
        </w:rPr>
        <w:t>חלקי</w:t>
      </w:r>
      <w:r w:rsidRPr="006E1DBC">
        <w:rPr>
          <w:rFonts w:cs="Arial"/>
          <w:rtl/>
        </w:rPr>
        <w:t xml:space="preserve"> </w:t>
      </w:r>
      <w:r w:rsidRPr="006E1DBC">
        <w:rPr>
          <w:rFonts w:cs="Arial" w:hint="cs"/>
          <w:rtl/>
        </w:rPr>
        <w:t>מיל</w:t>
      </w:r>
      <w:r w:rsidRPr="006E1DBC">
        <w:rPr>
          <w:rFonts w:cs="Arial"/>
          <w:rtl/>
        </w:rPr>
        <w:t xml:space="preserve">. </w:t>
      </w:r>
      <w:r w:rsidRPr="006E1DBC">
        <w:rPr>
          <w:rFonts w:cs="Arial" w:hint="cs"/>
          <w:rtl/>
        </w:rPr>
        <w:t>מאי</w:t>
      </w:r>
      <w:r w:rsidRPr="006E1DBC">
        <w:rPr>
          <w:rFonts w:cs="Arial"/>
          <w:rtl/>
        </w:rPr>
        <w:t xml:space="preserve"> </w:t>
      </w:r>
      <w:r w:rsidRPr="006E1DBC">
        <w:rPr>
          <w:rFonts w:cs="Arial" w:hint="cs"/>
          <w:rtl/>
        </w:rPr>
        <w:t>שני</w:t>
      </w:r>
      <w:r w:rsidRPr="006E1DBC">
        <w:rPr>
          <w:rFonts w:cs="Arial"/>
          <w:rtl/>
        </w:rPr>
        <w:t xml:space="preserve"> </w:t>
      </w:r>
      <w:r w:rsidRPr="006E1DBC">
        <w:rPr>
          <w:rFonts w:cs="Arial" w:hint="cs"/>
          <w:rtl/>
        </w:rPr>
        <w:t>חלקי</w:t>
      </w:r>
      <w:r w:rsidRPr="006E1DBC">
        <w:rPr>
          <w:rFonts w:cs="Arial"/>
          <w:rtl/>
        </w:rPr>
        <w:t xml:space="preserve"> </w:t>
      </w:r>
      <w:r w:rsidRPr="006E1DBC">
        <w:rPr>
          <w:rFonts w:cs="Arial" w:hint="cs"/>
          <w:rtl/>
        </w:rPr>
        <w:t>מיל</w:t>
      </w:r>
      <w:r w:rsidRPr="006E1DBC">
        <w:rPr>
          <w:rFonts w:cs="Arial"/>
          <w:rtl/>
        </w:rPr>
        <w:t>?</w:t>
      </w:r>
      <w:r>
        <w:rPr>
          <w:rFonts w:cs="Arial" w:hint="cs"/>
          <w:rtl/>
        </w:rPr>
        <w:t>...</w:t>
      </w:r>
      <w:r w:rsidRPr="006E1DBC">
        <w:rPr>
          <w:rFonts w:cs="Arial"/>
          <w:rtl/>
        </w:rPr>
        <w:t xml:space="preserve"> </w:t>
      </w:r>
      <w:r>
        <w:rPr>
          <w:rFonts w:cs="Arial" w:hint="cs"/>
          <w:sz w:val="14"/>
          <w:szCs w:val="14"/>
          <w:rtl/>
        </w:rPr>
        <w:t xml:space="preserve">(לה.) </w:t>
      </w:r>
      <w:r w:rsidRPr="00546B23">
        <w:rPr>
          <w:rFonts w:cs="Arial" w:hint="cs"/>
          <w:rtl/>
        </w:rPr>
        <w:t>תרי</w:t>
      </w:r>
      <w:r w:rsidRPr="00546B23">
        <w:rPr>
          <w:rFonts w:cs="Arial"/>
          <w:rtl/>
        </w:rPr>
        <w:t xml:space="preserve"> </w:t>
      </w:r>
      <w:r w:rsidRPr="00546B23">
        <w:rPr>
          <w:rFonts w:cs="Arial" w:hint="cs"/>
          <w:rtl/>
        </w:rPr>
        <w:t>תילתי</w:t>
      </w:r>
      <w:r w:rsidRPr="00546B23">
        <w:rPr>
          <w:rFonts w:cs="Arial"/>
          <w:rtl/>
        </w:rPr>
        <w:t xml:space="preserve"> </w:t>
      </w:r>
      <w:r w:rsidRPr="00546B23">
        <w:rPr>
          <w:rFonts w:cs="Arial" w:hint="cs"/>
          <w:rtl/>
        </w:rPr>
        <w:t>מיל</w:t>
      </w:r>
      <w:r w:rsidRPr="00546B23">
        <w:rPr>
          <w:rFonts w:cs="Arial"/>
          <w:rtl/>
        </w:rPr>
        <w:t xml:space="preserve">. </w:t>
      </w:r>
      <w:r w:rsidRPr="00546B23">
        <w:rPr>
          <w:rFonts w:cs="Arial" w:hint="cs"/>
          <w:rtl/>
        </w:rPr>
        <w:t>מאי</w:t>
      </w:r>
      <w:r w:rsidRPr="00546B23">
        <w:rPr>
          <w:rFonts w:cs="Arial"/>
          <w:rtl/>
        </w:rPr>
        <w:t xml:space="preserve"> </w:t>
      </w:r>
      <w:r w:rsidRPr="00546B23">
        <w:rPr>
          <w:rFonts w:cs="Arial" w:hint="cs"/>
          <w:rtl/>
        </w:rPr>
        <w:t>בינייהו</w:t>
      </w:r>
      <w:r w:rsidRPr="00546B23">
        <w:rPr>
          <w:rFonts w:cs="Arial"/>
          <w:rtl/>
        </w:rPr>
        <w:t xml:space="preserve">? </w:t>
      </w:r>
      <w:r w:rsidRPr="00546B23">
        <w:rPr>
          <w:rFonts w:cs="Arial" w:hint="cs"/>
          <w:rtl/>
        </w:rPr>
        <w:t>איכא</w:t>
      </w:r>
      <w:r w:rsidRPr="00546B23">
        <w:rPr>
          <w:rFonts w:cs="Arial"/>
          <w:rtl/>
        </w:rPr>
        <w:t xml:space="preserve"> </w:t>
      </w:r>
      <w:r w:rsidRPr="00546B23">
        <w:rPr>
          <w:rFonts w:cs="Arial" w:hint="cs"/>
          <w:rtl/>
        </w:rPr>
        <w:t>בינייהו</w:t>
      </w:r>
      <w:r w:rsidRPr="00546B23">
        <w:rPr>
          <w:rFonts w:cs="Arial"/>
          <w:rtl/>
        </w:rPr>
        <w:t xml:space="preserve"> </w:t>
      </w:r>
      <w:r w:rsidRPr="00546B23">
        <w:rPr>
          <w:rFonts w:cs="Arial" w:hint="cs"/>
          <w:rtl/>
        </w:rPr>
        <w:t>פלגא</w:t>
      </w:r>
      <w:r w:rsidRPr="00546B23">
        <w:rPr>
          <w:rFonts w:cs="Arial"/>
          <w:rtl/>
        </w:rPr>
        <w:t xml:space="preserve"> </w:t>
      </w:r>
      <w:r w:rsidRPr="00546B23">
        <w:rPr>
          <w:rFonts w:cs="Arial" w:hint="cs"/>
          <w:rtl/>
        </w:rPr>
        <w:t>דדנקא</w:t>
      </w:r>
      <w:r w:rsidRPr="00546B23">
        <w:rPr>
          <w:rFonts w:cs="Arial"/>
          <w:rtl/>
        </w:rPr>
        <w:t>.</w:t>
      </w:r>
      <w:r>
        <w:rPr>
          <w:rFonts w:cs="Arial" w:hint="cs"/>
          <w:rtl/>
        </w:rPr>
        <w:t xml:space="preserve">.. </w:t>
      </w:r>
      <w:r w:rsidRPr="00546B23">
        <w:rPr>
          <w:rFonts w:cs="Arial" w:hint="cs"/>
          <w:rtl/>
        </w:rPr>
        <w:t>אביי</w:t>
      </w:r>
      <w:r w:rsidRPr="00546B23">
        <w:rPr>
          <w:rFonts w:cs="Arial"/>
          <w:rtl/>
        </w:rPr>
        <w:t xml:space="preserve"> </w:t>
      </w:r>
      <w:r w:rsidRPr="00546B23">
        <w:rPr>
          <w:rFonts w:cs="Arial" w:hint="cs"/>
          <w:rtl/>
        </w:rPr>
        <w:t>חזייה</w:t>
      </w:r>
      <w:r w:rsidRPr="00546B23">
        <w:rPr>
          <w:rFonts w:cs="Arial"/>
          <w:rtl/>
        </w:rPr>
        <w:t xml:space="preserve"> </w:t>
      </w:r>
      <w:r w:rsidRPr="00546B23">
        <w:rPr>
          <w:rFonts w:cs="Arial" w:hint="cs"/>
          <w:rtl/>
        </w:rPr>
        <w:t>לרבא</w:t>
      </w:r>
      <w:r w:rsidRPr="00546B23">
        <w:rPr>
          <w:rFonts w:cs="Arial"/>
          <w:rtl/>
        </w:rPr>
        <w:t xml:space="preserve"> </w:t>
      </w:r>
      <w:r w:rsidRPr="00546B23">
        <w:rPr>
          <w:rFonts w:cs="Arial" w:hint="cs"/>
          <w:rtl/>
        </w:rPr>
        <w:t>דקא</w:t>
      </w:r>
      <w:r w:rsidRPr="00546B23">
        <w:rPr>
          <w:rFonts w:cs="Arial"/>
          <w:rtl/>
        </w:rPr>
        <w:t xml:space="preserve"> </w:t>
      </w:r>
      <w:r w:rsidRPr="00546B23">
        <w:rPr>
          <w:rFonts w:cs="Arial" w:hint="cs"/>
          <w:rtl/>
        </w:rPr>
        <w:t>דאוי</w:t>
      </w:r>
      <w:r w:rsidRPr="00546B23">
        <w:rPr>
          <w:rFonts w:cs="Arial"/>
          <w:rtl/>
        </w:rPr>
        <w:t xml:space="preserve"> </w:t>
      </w:r>
      <w:r w:rsidRPr="00546B23">
        <w:rPr>
          <w:rFonts w:cs="Arial" w:hint="cs"/>
          <w:rtl/>
        </w:rPr>
        <w:t>למערב</w:t>
      </w:r>
      <w:r w:rsidRPr="00546B23">
        <w:rPr>
          <w:rFonts w:cs="Arial"/>
          <w:rtl/>
        </w:rPr>
        <w:t xml:space="preserve">, </w:t>
      </w:r>
      <w:r w:rsidRPr="00546B23">
        <w:rPr>
          <w:rFonts w:cs="Arial" w:hint="cs"/>
          <w:rtl/>
        </w:rPr>
        <w:t>אמר</w:t>
      </w:r>
      <w:r w:rsidRPr="00546B23">
        <w:rPr>
          <w:rFonts w:cs="Arial"/>
          <w:rtl/>
        </w:rPr>
        <w:t xml:space="preserve"> </w:t>
      </w:r>
      <w:r w:rsidRPr="00546B23">
        <w:rPr>
          <w:rFonts w:cs="Arial" w:hint="cs"/>
          <w:rtl/>
        </w:rPr>
        <w:t>ליה</w:t>
      </w:r>
      <w:r w:rsidRPr="00546B23">
        <w:rPr>
          <w:rFonts w:cs="Arial"/>
          <w:rtl/>
        </w:rPr>
        <w:t xml:space="preserve">: </w:t>
      </w:r>
      <w:r w:rsidRPr="00546B23">
        <w:rPr>
          <w:rFonts w:cs="Arial" w:hint="cs"/>
          <w:rtl/>
        </w:rPr>
        <w:t>והתניא</w:t>
      </w:r>
      <w:r w:rsidRPr="00546B23">
        <w:rPr>
          <w:rFonts w:cs="Arial"/>
          <w:rtl/>
        </w:rPr>
        <w:t xml:space="preserve"> </w:t>
      </w:r>
      <w:r w:rsidRPr="00546B23">
        <w:rPr>
          <w:rFonts w:cs="Arial" w:hint="cs"/>
          <w:rtl/>
        </w:rPr>
        <w:t>כל</w:t>
      </w:r>
      <w:r w:rsidRPr="00546B23">
        <w:rPr>
          <w:rFonts w:cs="Arial"/>
          <w:rtl/>
        </w:rPr>
        <w:t xml:space="preserve"> </w:t>
      </w:r>
      <w:r w:rsidRPr="00546B23">
        <w:rPr>
          <w:rFonts w:cs="Arial" w:hint="cs"/>
          <w:rtl/>
        </w:rPr>
        <w:t>זמן</w:t>
      </w:r>
      <w:r w:rsidRPr="00546B23">
        <w:rPr>
          <w:rFonts w:cs="Arial"/>
          <w:rtl/>
        </w:rPr>
        <w:t xml:space="preserve"> </w:t>
      </w:r>
      <w:r w:rsidRPr="00546B23">
        <w:rPr>
          <w:rFonts w:cs="Arial" w:hint="cs"/>
          <w:rtl/>
        </w:rPr>
        <w:t>שפני</w:t>
      </w:r>
      <w:r w:rsidRPr="00546B23">
        <w:rPr>
          <w:rFonts w:cs="Arial"/>
          <w:rtl/>
        </w:rPr>
        <w:t xml:space="preserve"> </w:t>
      </w:r>
      <w:r w:rsidRPr="00546B23">
        <w:rPr>
          <w:rFonts w:cs="Arial" w:hint="cs"/>
          <w:rtl/>
        </w:rPr>
        <w:t>מזרח</w:t>
      </w:r>
      <w:r w:rsidRPr="00546B23">
        <w:rPr>
          <w:rFonts w:cs="Arial"/>
          <w:rtl/>
        </w:rPr>
        <w:t xml:space="preserve"> </w:t>
      </w:r>
      <w:r w:rsidRPr="00546B23">
        <w:rPr>
          <w:rFonts w:cs="Arial" w:hint="cs"/>
          <w:rtl/>
        </w:rPr>
        <w:t>מאדימין</w:t>
      </w:r>
      <w:r w:rsidRPr="00546B23">
        <w:rPr>
          <w:rFonts w:cs="Arial"/>
          <w:rtl/>
        </w:rPr>
        <w:t xml:space="preserve">! </w:t>
      </w:r>
      <w:r w:rsidRPr="00546B23">
        <w:rPr>
          <w:rFonts w:cs="Arial" w:hint="cs"/>
          <w:rtl/>
        </w:rPr>
        <w:t>אמר</w:t>
      </w:r>
      <w:r w:rsidRPr="00546B23">
        <w:rPr>
          <w:rFonts w:cs="Arial"/>
          <w:rtl/>
        </w:rPr>
        <w:t xml:space="preserve"> </w:t>
      </w:r>
      <w:r w:rsidRPr="00546B23">
        <w:rPr>
          <w:rFonts w:cs="Arial" w:hint="cs"/>
          <w:rtl/>
        </w:rPr>
        <w:t>ליה</w:t>
      </w:r>
      <w:r w:rsidRPr="00546B23">
        <w:rPr>
          <w:rFonts w:cs="Arial"/>
          <w:rtl/>
        </w:rPr>
        <w:t xml:space="preserve">: </w:t>
      </w:r>
      <w:r w:rsidRPr="00546B23">
        <w:rPr>
          <w:rFonts w:cs="Arial" w:hint="cs"/>
          <w:rtl/>
        </w:rPr>
        <w:t>מי</w:t>
      </w:r>
      <w:r w:rsidRPr="00546B23">
        <w:rPr>
          <w:rFonts w:cs="Arial"/>
          <w:rtl/>
        </w:rPr>
        <w:t xml:space="preserve"> </w:t>
      </w:r>
      <w:r w:rsidRPr="00546B23">
        <w:rPr>
          <w:rFonts w:cs="Arial" w:hint="cs"/>
          <w:rtl/>
        </w:rPr>
        <w:t>סברת</w:t>
      </w:r>
      <w:r w:rsidRPr="00546B23">
        <w:rPr>
          <w:rFonts w:cs="Arial"/>
          <w:rtl/>
        </w:rPr>
        <w:t xml:space="preserve"> </w:t>
      </w:r>
      <w:r w:rsidRPr="00546B23">
        <w:rPr>
          <w:rFonts w:cs="Arial" w:hint="cs"/>
          <w:rtl/>
        </w:rPr>
        <w:t>פני</w:t>
      </w:r>
      <w:r w:rsidRPr="00546B23">
        <w:rPr>
          <w:rFonts w:cs="Arial"/>
          <w:rtl/>
        </w:rPr>
        <w:t xml:space="preserve"> </w:t>
      </w:r>
      <w:r w:rsidRPr="00546B23">
        <w:rPr>
          <w:rFonts w:cs="Arial" w:hint="cs"/>
          <w:rtl/>
        </w:rPr>
        <w:t>מזרח</w:t>
      </w:r>
      <w:r w:rsidRPr="00546B23">
        <w:rPr>
          <w:rFonts w:cs="Arial"/>
          <w:rtl/>
        </w:rPr>
        <w:t xml:space="preserve"> </w:t>
      </w:r>
      <w:r w:rsidRPr="00546B23">
        <w:rPr>
          <w:rFonts w:cs="Arial" w:hint="cs"/>
          <w:rtl/>
        </w:rPr>
        <w:t>ממש</w:t>
      </w:r>
      <w:r w:rsidRPr="00546B23">
        <w:rPr>
          <w:rFonts w:cs="Arial"/>
          <w:rtl/>
        </w:rPr>
        <w:t xml:space="preserve">? </w:t>
      </w:r>
      <w:r w:rsidRPr="00546B23">
        <w:rPr>
          <w:rFonts w:cs="Arial" w:hint="cs"/>
          <w:rtl/>
        </w:rPr>
        <w:t>לא</w:t>
      </w:r>
      <w:r w:rsidRPr="00546B23">
        <w:rPr>
          <w:rFonts w:cs="Arial"/>
          <w:rtl/>
        </w:rPr>
        <w:t xml:space="preserve">, </w:t>
      </w:r>
      <w:r w:rsidRPr="00546B23">
        <w:rPr>
          <w:rFonts w:cs="Arial" w:hint="cs"/>
          <w:rtl/>
        </w:rPr>
        <w:t>פנים</w:t>
      </w:r>
      <w:r w:rsidRPr="00546B23">
        <w:rPr>
          <w:rFonts w:cs="Arial"/>
          <w:rtl/>
        </w:rPr>
        <w:t xml:space="preserve"> </w:t>
      </w:r>
      <w:r w:rsidRPr="00546B23">
        <w:rPr>
          <w:rFonts w:cs="Arial" w:hint="cs"/>
          <w:rtl/>
        </w:rPr>
        <w:t>המאדימין</w:t>
      </w:r>
      <w:r w:rsidRPr="00546B23">
        <w:rPr>
          <w:rFonts w:cs="Arial"/>
          <w:rtl/>
        </w:rPr>
        <w:t xml:space="preserve"> </w:t>
      </w:r>
      <w:r w:rsidRPr="00546B23">
        <w:rPr>
          <w:rFonts w:cs="Arial" w:hint="cs"/>
          <w:rtl/>
        </w:rPr>
        <w:t>את</w:t>
      </w:r>
      <w:r w:rsidRPr="00546B23">
        <w:rPr>
          <w:rFonts w:cs="Arial"/>
          <w:rtl/>
        </w:rPr>
        <w:t xml:space="preserve"> </w:t>
      </w:r>
      <w:r w:rsidRPr="00546B23">
        <w:rPr>
          <w:rFonts w:cs="Arial" w:hint="cs"/>
          <w:rtl/>
        </w:rPr>
        <w:t>המזרח</w:t>
      </w:r>
      <w:r w:rsidRPr="00546B23">
        <w:rPr>
          <w:rFonts w:cs="Arial"/>
          <w:rtl/>
        </w:rPr>
        <w:t xml:space="preserve">. </w:t>
      </w:r>
      <w:r w:rsidRPr="00546B23">
        <w:rPr>
          <w:rFonts w:cs="Arial" w:hint="cs"/>
          <w:rtl/>
        </w:rPr>
        <w:t>איכא</w:t>
      </w:r>
      <w:r w:rsidRPr="00546B23">
        <w:rPr>
          <w:rFonts w:cs="Arial"/>
          <w:rtl/>
        </w:rPr>
        <w:t xml:space="preserve"> </w:t>
      </w:r>
      <w:r w:rsidRPr="00546B23">
        <w:rPr>
          <w:rFonts w:cs="Arial" w:hint="cs"/>
          <w:rtl/>
        </w:rPr>
        <w:t>דאמרי</w:t>
      </w:r>
      <w:r w:rsidRPr="00546B23">
        <w:rPr>
          <w:rFonts w:cs="Arial"/>
          <w:rtl/>
        </w:rPr>
        <w:t xml:space="preserve">, </w:t>
      </w:r>
      <w:r w:rsidRPr="00546B23">
        <w:rPr>
          <w:rFonts w:cs="Arial" w:hint="cs"/>
          <w:rtl/>
        </w:rPr>
        <w:t>רבא</w:t>
      </w:r>
      <w:r w:rsidRPr="00546B23">
        <w:rPr>
          <w:rFonts w:cs="Arial"/>
          <w:rtl/>
        </w:rPr>
        <w:t xml:space="preserve"> </w:t>
      </w:r>
      <w:r w:rsidRPr="00546B23">
        <w:rPr>
          <w:rFonts w:cs="Arial" w:hint="cs"/>
          <w:rtl/>
        </w:rPr>
        <w:t>חזייה</w:t>
      </w:r>
      <w:r w:rsidRPr="00546B23">
        <w:rPr>
          <w:rFonts w:cs="Arial"/>
          <w:rtl/>
        </w:rPr>
        <w:t xml:space="preserve"> </w:t>
      </w:r>
      <w:r w:rsidRPr="00546B23">
        <w:rPr>
          <w:rFonts w:cs="Arial" w:hint="cs"/>
          <w:rtl/>
        </w:rPr>
        <w:t>לאביי</w:t>
      </w:r>
      <w:r w:rsidRPr="00546B23">
        <w:rPr>
          <w:rFonts w:cs="Arial"/>
          <w:rtl/>
        </w:rPr>
        <w:t xml:space="preserve"> </w:t>
      </w:r>
      <w:r w:rsidRPr="00546B23">
        <w:rPr>
          <w:rFonts w:cs="Arial" w:hint="cs"/>
          <w:rtl/>
        </w:rPr>
        <w:t>דקא</w:t>
      </w:r>
      <w:r w:rsidRPr="00546B23">
        <w:rPr>
          <w:rFonts w:cs="Arial"/>
          <w:rtl/>
        </w:rPr>
        <w:t xml:space="preserve"> </w:t>
      </w:r>
      <w:r w:rsidRPr="00546B23">
        <w:rPr>
          <w:rFonts w:cs="Arial" w:hint="cs"/>
          <w:rtl/>
        </w:rPr>
        <w:t>דאוי</w:t>
      </w:r>
      <w:r w:rsidRPr="00546B23">
        <w:rPr>
          <w:rFonts w:cs="Arial"/>
          <w:rtl/>
        </w:rPr>
        <w:t xml:space="preserve"> </w:t>
      </w:r>
      <w:r w:rsidRPr="00546B23">
        <w:rPr>
          <w:rFonts w:cs="Arial" w:hint="cs"/>
          <w:rtl/>
        </w:rPr>
        <w:t>למזרח</w:t>
      </w:r>
      <w:r w:rsidRPr="00546B23">
        <w:rPr>
          <w:rFonts w:cs="Arial"/>
          <w:rtl/>
        </w:rPr>
        <w:t xml:space="preserve">, </w:t>
      </w:r>
      <w:r w:rsidRPr="00546B23">
        <w:rPr>
          <w:rFonts w:cs="Arial" w:hint="cs"/>
          <w:rtl/>
        </w:rPr>
        <w:t>אמר</w:t>
      </w:r>
      <w:r w:rsidRPr="00546B23">
        <w:rPr>
          <w:rFonts w:cs="Arial"/>
          <w:rtl/>
        </w:rPr>
        <w:t xml:space="preserve"> </w:t>
      </w:r>
      <w:r w:rsidRPr="00546B23">
        <w:rPr>
          <w:rFonts w:cs="Arial" w:hint="cs"/>
          <w:rtl/>
        </w:rPr>
        <w:t>ליה</w:t>
      </w:r>
      <w:r w:rsidRPr="00546B23">
        <w:rPr>
          <w:rFonts w:cs="Arial"/>
          <w:rtl/>
        </w:rPr>
        <w:t xml:space="preserve">: </w:t>
      </w:r>
      <w:r w:rsidRPr="00546B23">
        <w:rPr>
          <w:rFonts w:cs="Arial" w:hint="cs"/>
          <w:rtl/>
        </w:rPr>
        <w:t>מי</w:t>
      </w:r>
      <w:r w:rsidRPr="00546B23">
        <w:rPr>
          <w:rFonts w:cs="Arial"/>
          <w:rtl/>
        </w:rPr>
        <w:t xml:space="preserve"> </w:t>
      </w:r>
      <w:r w:rsidRPr="00546B23">
        <w:rPr>
          <w:rFonts w:cs="Arial" w:hint="cs"/>
          <w:rtl/>
        </w:rPr>
        <w:t>סברת</w:t>
      </w:r>
      <w:r w:rsidRPr="00546B23">
        <w:rPr>
          <w:rFonts w:cs="Arial"/>
          <w:rtl/>
        </w:rPr>
        <w:t xml:space="preserve"> </w:t>
      </w:r>
      <w:r w:rsidRPr="00546B23">
        <w:rPr>
          <w:rFonts w:cs="Arial" w:hint="cs"/>
          <w:rtl/>
        </w:rPr>
        <w:t>פני</w:t>
      </w:r>
      <w:r w:rsidRPr="00546B23">
        <w:rPr>
          <w:rFonts w:cs="Arial"/>
          <w:rtl/>
        </w:rPr>
        <w:t xml:space="preserve"> </w:t>
      </w:r>
      <w:r w:rsidRPr="00546B23">
        <w:rPr>
          <w:rFonts w:cs="Arial" w:hint="cs"/>
          <w:rtl/>
        </w:rPr>
        <w:t>מזרח</w:t>
      </w:r>
      <w:r w:rsidRPr="00546B23">
        <w:rPr>
          <w:rFonts w:cs="Arial"/>
          <w:rtl/>
        </w:rPr>
        <w:t xml:space="preserve"> </w:t>
      </w:r>
      <w:r w:rsidRPr="00546B23">
        <w:rPr>
          <w:rFonts w:cs="Arial" w:hint="cs"/>
          <w:rtl/>
        </w:rPr>
        <w:t>ממש</w:t>
      </w:r>
      <w:r w:rsidRPr="00546B23">
        <w:rPr>
          <w:rFonts w:cs="Arial"/>
          <w:rtl/>
        </w:rPr>
        <w:t xml:space="preserve">? </w:t>
      </w:r>
      <w:r w:rsidRPr="00546B23">
        <w:rPr>
          <w:rFonts w:cs="Arial" w:hint="cs"/>
          <w:rtl/>
        </w:rPr>
        <w:t>פנים</w:t>
      </w:r>
      <w:r w:rsidRPr="00546B23">
        <w:rPr>
          <w:rFonts w:cs="Arial"/>
          <w:rtl/>
        </w:rPr>
        <w:t xml:space="preserve"> </w:t>
      </w:r>
      <w:r w:rsidRPr="00546B23">
        <w:rPr>
          <w:rFonts w:cs="Arial" w:hint="cs"/>
          <w:rtl/>
        </w:rPr>
        <w:t>המאדימין</w:t>
      </w:r>
      <w:r w:rsidRPr="00546B23">
        <w:rPr>
          <w:rFonts w:cs="Arial"/>
          <w:rtl/>
        </w:rPr>
        <w:t xml:space="preserve"> </w:t>
      </w:r>
      <w:r w:rsidRPr="00546B23">
        <w:rPr>
          <w:rFonts w:cs="Arial" w:hint="cs"/>
          <w:rtl/>
        </w:rPr>
        <w:t>את</w:t>
      </w:r>
      <w:r w:rsidRPr="00546B23">
        <w:rPr>
          <w:rFonts w:cs="Arial"/>
          <w:rtl/>
        </w:rPr>
        <w:t xml:space="preserve"> </w:t>
      </w:r>
      <w:r w:rsidRPr="00546B23">
        <w:rPr>
          <w:rFonts w:cs="Arial" w:hint="cs"/>
          <w:rtl/>
        </w:rPr>
        <w:t>המזרח</w:t>
      </w:r>
      <w:r w:rsidRPr="00546B23">
        <w:rPr>
          <w:rFonts w:cs="Arial"/>
          <w:rtl/>
        </w:rPr>
        <w:t xml:space="preserve">! </w:t>
      </w:r>
      <w:r w:rsidRPr="00546B23">
        <w:rPr>
          <w:rFonts w:cs="Arial" w:hint="cs"/>
          <w:rtl/>
        </w:rPr>
        <w:t>וסימניך</w:t>
      </w:r>
      <w:r w:rsidRPr="00546B23">
        <w:rPr>
          <w:rFonts w:cs="Arial"/>
          <w:rtl/>
        </w:rPr>
        <w:t xml:space="preserve"> </w:t>
      </w:r>
      <w:r w:rsidRPr="00546B23">
        <w:rPr>
          <w:rFonts w:cs="Arial" w:hint="cs"/>
          <w:rtl/>
        </w:rPr>
        <w:t>כוותא</w:t>
      </w:r>
      <w:r w:rsidRPr="00546B23">
        <w:rPr>
          <w:rFonts w:cs="Arial"/>
          <w:rtl/>
        </w:rPr>
        <w:t>.</w:t>
      </w:r>
    </w:p>
    <w:p w14:paraId="00EE5EE6" w14:textId="77777777" w:rsidR="004B2E7C" w:rsidRDefault="004B2E7C" w:rsidP="00434A6A">
      <w:pPr>
        <w:rPr>
          <w:rFonts w:cs="Arial"/>
          <w:rtl/>
        </w:rPr>
      </w:pPr>
      <w:r w:rsidRPr="007247BC">
        <w:rPr>
          <w:rFonts w:cs="Arial" w:hint="cs"/>
          <w:b/>
          <w:bCs/>
          <w:rtl/>
        </w:rPr>
        <w:t xml:space="preserve">פסחים </w:t>
      </w:r>
      <w:r>
        <w:rPr>
          <w:rFonts w:cs="Arial" w:hint="cs"/>
          <w:b/>
          <w:bCs/>
          <w:sz w:val="16"/>
          <w:szCs w:val="16"/>
          <w:rtl/>
        </w:rPr>
        <w:t xml:space="preserve">(פ' מי שהיה טמא) </w:t>
      </w:r>
      <w:r w:rsidRPr="007247BC">
        <w:rPr>
          <w:rFonts w:cs="Arial" w:hint="cs"/>
          <w:b/>
          <w:bCs/>
          <w:rtl/>
        </w:rPr>
        <w:t xml:space="preserve">צד ע"א: </w:t>
      </w:r>
      <w:r w:rsidRPr="007247BC">
        <w:rPr>
          <w:rFonts w:cs="Arial" w:hint="cs"/>
          <w:u w:val="single"/>
          <w:rtl/>
        </w:rPr>
        <w:t>אמר</w:t>
      </w:r>
      <w:r w:rsidRPr="007247BC">
        <w:rPr>
          <w:rFonts w:cs="Arial"/>
          <w:u w:val="single"/>
          <w:rtl/>
        </w:rPr>
        <w:t xml:space="preserve"> </w:t>
      </w:r>
      <w:r w:rsidRPr="007247BC">
        <w:rPr>
          <w:rFonts w:cs="Arial" w:hint="cs"/>
          <w:u w:val="single"/>
          <w:rtl/>
        </w:rPr>
        <w:t>רבא</w:t>
      </w:r>
      <w:r w:rsidRPr="007247BC">
        <w:rPr>
          <w:rFonts w:cs="Arial"/>
          <w:rtl/>
        </w:rPr>
        <w:t xml:space="preserve">: </w:t>
      </w:r>
      <w:r w:rsidRPr="007247BC">
        <w:rPr>
          <w:rFonts w:cs="Arial" w:hint="cs"/>
          <w:rtl/>
        </w:rPr>
        <w:t>שיתא</w:t>
      </w:r>
      <w:r w:rsidRPr="007247BC">
        <w:rPr>
          <w:rFonts w:cs="Arial"/>
          <w:rtl/>
        </w:rPr>
        <w:t xml:space="preserve"> </w:t>
      </w:r>
      <w:r w:rsidRPr="007247BC">
        <w:rPr>
          <w:rFonts w:cs="Arial" w:hint="cs"/>
          <w:rtl/>
        </w:rPr>
        <w:t>אלפי</w:t>
      </w:r>
      <w:r w:rsidRPr="007247BC">
        <w:rPr>
          <w:rFonts w:cs="Arial"/>
          <w:rtl/>
        </w:rPr>
        <w:t xml:space="preserve"> </w:t>
      </w:r>
      <w:r w:rsidRPr="007247BC">
        <w:rPr>
          <w:rFonts w:cs="Arial" w:hint="cs"/>
          <w:rtl/>
        </w:rPr>
        <w:t>פרסי</w:t>
      </w:r>
      <w:r w:rsidRPr="007247BC">
        <w:rPr>
          <w:rFonts w:cs="Arial"/>
          <w:rtl/>
        </w:rPr>
        <w:t xml:space="preserve"> </w:t>
      </w:r>
      <w:r w:rsidRPr="007247BC">
        <w:rPr>
          <w:rFonts w:cs="Arial" w:hint="cs"/>
          <w:rtl/>
        </w:rPr>
        <w:t>הוי</w:t>
      </w:r>
      <w:r w:rsidRPr="007247BC">
        <w:rPr>
          <w:rFonts w:cs="Arial"/>
          <w:rtl/>
        </w:rPr>
        <w:t xml:space="preserve"> </w:t>
      </w:r>
      <w:r w:rsidRPr="007247BC">
        <w:rPr>
          <w:rFonts w:cs="Arial" w:hint="cs"/>
          <w:rtl/>
        </w:rPr>
        <w:t>עלמא</w:t>
      </w:r>
      <w:r w:rsidRPr="007247BC">
        <w:rPr>
          <w:rFonts w:cs="Arial"/>
          <w:rtl/>
        </w:rPr>
        <w:t xml:space="preserve">, </w:t>
      </w:r>
      <w:r w:rsidRPr="007247BC">
        <w:rPr>
          <w:rFonts w:cs="Arial" w:hint="cs"/>
          <w:rtl/>
        </w:rPr>
        <w:t>וסומכא</w:t>
      </w:r>
      <w:r w:rsidRPr="007247BC">
        <w:rPr>
          <w:rFonts w:cs="Arial"/>
          <w:rtl/>
        </w:rPr>
        <w:t xml:space="preserve"> </w:t>
      </w:r>
      <w:r w:rsidRPr="007247BC">
        <w:rPr>
          <w:rFonts w:cs="Arial" w:hint="cs"/>
          <w:rtl/>
        </w:rPr>
        <w:t>דרקיעא</w:t>
      </w:r>
      <w:r w:rsidRPr="007247BC">
        <w:rPr>
          <w:rFonts w:cs="Arial"/>
          <w:rtl/>
        </w:rPr>
        <w:t xml:space="preserve"> </w:t>
      </w:r>
      <w:r w:rsidRPr="007247BC">
        <w:rPr>
          <w:rFonts w:cs="Arial" w:hint="cs"/>
          <w:rtl/>
        </w:rPr>
        <w:t>אלפא</w:t>
      </w:r>
      <w:r w:rsidRPr="007247BC">
        <w:rPr>
          <w:rFonts w:cs="Arial"/>
          <w:rtl/>
        </w:rPr>
        <w:t xml:space="preserve"> </w:t>
      </w:r>
      <w:r w:rsidRPr="007247BC">
        <w:rPr>
          <w:rFonts w:cs="Arial" w:hint="cs"/>
          <w:rtl/>
        </w:rPr>
        <w:t>פרסי</w:t>
      </w:r>
      <w:r w:rsidRPr="007247BC">
        <w:rPr>
          <w:rFonts w:cs="Arial"/>
          <w:rtl/>
        </w:rPr>
        <w:t xml:space="preserve">. </w:t>
      </w:r>
      <w:r w:rsidRPr="007247BC">
        <w:rPr>
          <w:rFonts w:cs="Arial" w:hint="cs"/>
          <w:rtl/>
        </w:rPr>
        <w:t>חדא</w:t>
      </w:r>
      <w:r w:rsidRPr="007247BC">
        <w:rPr>
          <w:rFonts w:cs="Arial"/>
          <w:rtl/>
        </w:rPr>
        <w:t xml:space="preserve"> </w:t>
      </w:r>
      <w:r w:rsidRPr="007247BC">
        <w:rPr>
          <w:rFonts w:cs="Arial" w:hint="cs"/>
          <w:rtl/>
        </w:rPr>
        <w:t>גמרא</w:t>
      </w:r>
      <w:r w:rsidRPr="007247BC">
        <w:rPr>
          <w:rFonts w:cs="Arial"/>
          <w:rtl/>
        </w:rPr>
        <w:t xml:space="preserve"> </w:t>
      </w:r>
      <w:r w:rsidRPr="007247BC">
        <w:rPr>
          <w:rFonts w:cs="Arial" w:hint="cs"/>
          <w:rtl/>
        </w:rPr>
        <w:t>וחדא</w:t>
      </w:r>
      <w:r w:rsidRPr="007247BC">
        <w:rPr>
          <w:rFonts w:cs="Arial"/>
          <w:rtl/>
        </w:rPr>
        <w:t xml:space="preserve"> </w:t>
      </w:r>
      <w:r w:rsidRPr="007247BC">
        <w:rPr>
          <w:rFonts w:cs="Arial" w:hint="cs"/>
          <w:rtl/>
        </w:rPr>
        <w:t>סברא</w:t>
      </w:r>
      <w:r w:rsidRPr="007247BC">
        <w:rPr>
          <w:rFonts w:cs="Arial"/>
          <w:rtl/>
        </w:rPr>
        <w:t xml:space="preserve">. </w:t>
      </w:r>
      <w:r w:rsidRPr="007247BC">
        <w:rPr>
          <w:rFonts w:cs="Arial" w:hint="cs"/>
          <w:rtl/>
        </w:rPr>
        <w:t>סבר</w:t>
      </w:r>
      <w:r w:rsidRPr="007247BC">
        <w:rPr>
          <w:rFonts w:cs="Arial"/>
          <w:rtl/>
        </w:rPr>
        <w:t xml:space="preserve"> </w:t>
      </w:r>
      <w:r w:rsidRPr="007247BC">
        <w:rPr>
          <w:rFonts w:cs="Arial" w:hint="cs"/>
          <w:rtl/>
        </w:rPr>
        <w:t>לה</w:t>
      </w:r>
      <w:r w:rsidRPr="007247BC">
        <w:rPr>
          <w:rFonts w:cs="Arial"/>
          <w:rtl/>
        </w:rPr>
        <w:t xml:space="preserve"> </w:t>
      </w:r>
      <w:r w:rsidRPr="007247BC">
        <w:rPr>
          <w:rFonts w:cs="Arial" w:hint="cs"/>
          <w:rtl/>
        </w:rPr>
        <w:t>כי</w:t>
      </w:r>
      <w:r w:rsidRPr="007247BC">
        <w:rPr>
          <w:rFonts w:cs="Arial"/>
          <w:rtl/>
        </w:rPr>
        <w:t xml:space="preserve"> </w:t>
      </w:r>
      <w:r w:rsidRPr="007247BC">
        <w:rPr>
          <w:rFonts w:cs="Arial" w:hint="cs"/>
          <w:rtl/>
        </w:rPr>
        <w:t>הא</w:t>
      </w:r>
      <w:r w:rsidRPr="007247BC">
        <w:rPr>
          <w:rFonts w:cs="Arial"/>
          <w:rtl/>
        </w:rPr>
        <w:t xml:space="preserve"> </w:t>
      </w:r>
      <w:r w:rsidRPr="007247BC">
        <w:rPr>
          <w:rFonts w:cs="Arial" w:hint="cs"/>
          <w:rtl/>
        </w:rPr>
        <w:t>דאמר</w:t>
      </w:r>
      <w:r w:rsidRPr="007247BC">
        <w:rPr>
          <w:rFonts w:cs="Arial"/>
          <w:rtl/>
        </w:rPr>
        <w:t xml:space="preserve"> </w:t>
      </w:r>
      <w:r w:rsidRPr="007247BC">
        <w:rPr>
          <w:rFonts w:cs="Arial" w:hint="cs"/>
          <w:rtl/>
        </w:rPr>
        <w:t>רבה</w:t>
      </w:r>
      <w:r w:rsidRPr="007247BC">
        <w:rPr>
          <w:rFonts w:cs="Arial"/>
          <w:rtl/>
        </w:rPr>
        <w:t xml:space="preserve"> </w:t>
      </w:r>
      <w:r w:rsidRPr="007247BC">
        <w:rPr>
          <w:rFonts w:cs="Arial" w:hint="cs"/>
          <w:rtl/>
        </w:rPr>
        <w:t>בר</w:t>
      </w:r>
      <w:r w:rsidRPr="007247BC">
        <w:rPr>
          <w:rFonts w:cs="Arial"/>
          <w:rtl/>
        </w:rPr>
        <w:t xml:space="preserve"> </w:t>
      </w:r>
      <w:r w:rsidRPr="007247BC">
        <w:rPr>
          <w:rFonts w:cs="Arial" w:hint="cs"/>
          <w:rtl/>
        </w:rPr>
        <w:t>בר</w:t>
      </w:r>
      <w:r w:rsidRPr="007247BC">
        <w:rPr>
          <w:rFonts w:cs="Arial"/>
          <w:rtl/>
        </w:rPr>
        <w:t xml:space="preserve"> </w:t>
      </w:r>
      <w:r w:rsidRPr="007247BC">
        <w:rPr>
          <w:rFonts w:cs="Arial" w:hint="cs"/>
          <w:rtl/>
        </w:rPr>
        <w:t>חנה</w:t>
      </w:r>
      <w:r w:rsidRPr="007247BC">
        <w:rPr>
          <w:rFonts w:cs="Arial"/>
          <w:rtl/>
        </w:rPr>
        <w:t xml:space="preserve"> </w:t>
      </w:r>
      <w:r w:rsidRPr="007247BC">
        <w:rPr>
          <w:rFonts w:cs="Arial" w:hint="cs"/>
          <w:rtl/>
        </w:rPr>
        <w:t>אמר</w:t>
      </w:r>
      <w:r w:rsidRPr="007247BC">
        <w:rPr>
          <w:rFonts w:cs="Arial"/>
          <w:rtl/>
        </w:rPr>
        <w:t xml:space="preserve"> </w:t>
      </w:r>
      <w:r w:rsidRPr="007247BC">
        <w:rPr>
          <w:rFonts w:cs="Arial" w:hint="cs"/>
          <w:rtl/>
        </w:rPr>
        <w:t>רבי</w:t>
      </w:r>
      <w:r w:rsidRPr="007247BC">
        <w:rPr>
          <w:rFonts w:cs="Arial"/>
          <w:rtl/>
        </w:rPr>
        <w:t xml:space="preserve"> </w:t>
      </w:r>
      <w:r w:rsidRPr="007247BC">
        <w:rPr>
          <w:rFonts w:cs="Arial" w:hint="cs"/>
          <w:rtl/>
        </w:rPr>
        <w:t>יוחנן</w:t>
      </w:r>
      <w:r w:rsidRPr="007247BC">
        <w:rPr>
          <w:rFonts w:cs="Arial"/>
          <w:rtl/>
        </w:rPr>
        <w:t xml:space="preserve">: </w:t>
      </w:r>
      <w:r w:rsidRPr="007247BC">
        <w:rPr>
          <w:rFonts w:cs="Arial" w:hint="cs"/>
          <w:rtl/>
        </w:rPr>
        <w:t>כמה</w:t>
      </w:r>
      <w:r w:rsidRPr="007247BC">
        <w:rPr>
          <w:rFonts w:cs="Arial"/>
          <w:rtl/>
        </w:rPr>
        <w:t xml:space="preserve"> </w:t>
      </w:r>
      <w:r w:rsidRPr="007247BC">
        <w:rPr>
          <w:rFonts w:cs="Arial" w:hint="cs"/>
          <w:rtl/>
        </w:rPr>
        <w:t>מהלך</w:t>
      </w:r>
      <w:r w:rsidRPr="007247BC">
        <w:rPr>
          <w:rFonts w:cs="Arial"/>
          <w:rtl/>
        </w:rPr>
        <w:t xml:space="preserve"> </w:t>
      </w:r>
      <w:r w:rsidRPr="007247BC">
        <w:rPr>
          <w:rFonts w:cs="Arial" w:hint="cs"/>
          <w:rtl/>
        </w:rPr>
        <w:t>אדם</w:t>
      </w:r>
      <w:r w:rsidRPr="007247BC">
        <w:rPr>
          <w:rFonts w:cs="Arial"/>
          <w:rtl/>
        </w:rPr>
        <w:t xml:space="preserve"> </w:t>
      </w:r>
      <w:r w:rsidRPr="007247BC">
        <w:rPr>
          <w:rFonts w:cs="Arial" w:hint="cs"/>
          <w:rtl/>
        </w:rPr>
        <w:t>בינוני</w:t>
      </w:r>
      <w:r w:rsidRPr="007247BC">
        <w:rPr>
          <w:rFonts w:cs="Arial"/>
          <w:rtl/>
        </w:rPr>
        <w:t xml:space="preserve"> </w:t>
      </w:r>
      <w:r w:rsidRPr="007247BC">
        <w:rPr>
          <w:rFonts w:cs="Arial" w:hint="cs"/>
          <w:rtl/>
        </w:rPr>
        <w:t>ביום</w:t>
      </w:r>
      <w:r w:rsidRPr="007247BC">
        <w:rPr>
          <w:rFonts w:cs="Arial"/>
          <w:rtl/>
        </w:rPr>
        <w:t xml:space="preserve"> - </w:t>
      </w:r>
      <w:r w:rsidRPr="007247BC">
        <w:rPr>
          <w:rFonts w:cs="Arial" w:hint="cs"/>
          <w:rtl/>
        </w:rPr>
        <w:t>עשר</w:t>
      </w:r>
      <w:r w:rsidRPr="007247BC">
        <w:rPr>
          <w:rFonts w:cs="Arial"/>
          <w:rtl/>
        </w:rPr>
        <w:t xml:space="preserve"> </w:t>
      </w:r>
      <w:r w:rsidRPr="007247BC">
        <w:rPr>
          <w:rFonts w:cs="Arial" w:hint="cs"/>
          <w:rtl/>
        </w:rPr>
        <w:t>פרסאות</w:t>
      </w:r>
      <w:r w:rsidRPr="007247BC">
        <w:rPr>
          <w:rFonts w:cs="Arial"/>
          <w:rtl/>
        </w:rPr>
        <w:t xml:space="preserve">. </w:t>
      </w:r>
      <w:r w:rsidRPr="007247BC">
        <w:rPr>
          <w:rFonts w:cs="Arial" w:hint="cs"/>
          <w:rtl/>
        </w:rPr>
        <w:t>מעלות</w:t>
      </w:r>
      <w:r w:rsidRPr="007247BC">
        <w:rPr>
          <w:rFonts w:cs="Arial"/>
          <w:rtl/>
        </w:rPr>
        <w:t xml:space="preserve"> </w:t>
      </w:r>
      <w:r w:rsidRPr="007247BC">
        <w:rPr>
          <w:rFonts w:cs="Arial" w:hint="cs"/>
          <w:rtl/>
        </w:rPr>
        <w:t>השחר</w:t>
      </w:r>
      <w:r w:rsidRPr="007247BC">
        <w:rPr>
          <w:rFonts w:cs="Arial"/>
          <w:rtl/>
        </w:rPr>
        <w:t xml:space="preserve"> </w:t>
      </w:r>
      <w:r w:rsidRPr="007247BC">
        <w:rPr>
          <w:rFonts w:cs="Arial" w:hint="cs"/>
          <w:rtl/>
        </w:rPr>
        <w:t>ועד</w:t>
      </w:r>
      <w:r w:rsidRPr="007247BC">
        <w:rPr>
          <w:rFonts w:cs="Arial"/>
          <w:rtl/>
        </w:rPr>
        <w:t xml:space="preserve"> </w:t>
      </w:r>
      <w:r w:rsidRPr="007247BC">
        <w:rPr>
          <w:rFonts w:cs="Arial" w:hint="cs"/>
          <w:rtl/>
        </w:rPr>
        <w:t>הנץ</w:t>
      </w:r>
      <w:r w:rsidRPr="007247BC">
        <w:rPr>
          <w:rFonts w:cs="Arial"/>
          <w:rtl/>
        </w:rPr>
        <w:t xml:space="preserve"> </w:t>
      </w:r>
      <w:r w:rsidRPr="007247BC">
        <w:rPr>
          <w:rFonts w:cs="Arial" w:hint="cs"/>
          <w:rtl/>
        </w:rPr>
        <w:t>החמה</w:t>
      </w:r>
      <w:r w:rsidRPr="007247BC">
        <w:rPr>
          <w:rFonts w:cs="Arial"/>
          <w:rtl/>
        </w:rPr>
        <w:t xml:space="preserve"> </w:t>
      </w:r>
      <w:r w:rsidRPr="007247BC">
        <w:rPr>
          <w:rFonts w:cs="Arial" w:hint="cs"/>
          <w:rtl/>
        </w:rPr>
        <w:t>חמשה</w:t>
      </w:r>
      <w:r w:rsidRPr="007247BC">
        <w:rPr>
          <w:rFonts w:cs="Arial"/>
          <w:rtl/>
        </w:rPr>
        <w:t xml:space="preserve"> </w:t>
      </w:r>
      <w:r w:rsidRPr="007247BC">
        <w:rPr>
          <w:rFonts w:cs="Arial" w:hint="cs"/>
          <w:rtl/>
        </w:rPr>
        <w:t>מילין</w:t>
      </w:r>
      <w:r w:rsidRPr="007247BC">
        <w:rPr>
          <w:rFonts w:cs="Arial"/>
          <w:rtl/>
        </w:rPr>
        <w:t xml:space="preserve">, </w:t>
      </w:r>
      <w:r w:rsidRPr="007247BC">
        <w:rPr>
          <w:rFonts w:cs="Arial" w:hint="cs"/>
          <w:rtl/>
        </w:rPr>
        <w:t>משקיעת</w:t>
      </w:r>
      <w:r w:rsidRPr="007247BC">
        <w:rPr>
          <w:rFonts w:cs="Arial"/>
          <w:rtl/>
        </w:rPr>
        <w:t xml:space="preserve"> </w:t>
      </w:r>
      <w:r w:rsidRPr="007247BC">
        <w:rPr>
          <w:rFonts w:cs="Arial" w:hint="cs"/>
          <w:rtl/>
        </w:rPr>
        <w:t>החמה</w:t>
      </w:r>
      <w:r w:rsidRPr="007247BC">
        <w:rPr>
          <w:rFonts w:cs="Arial"/>
          <w:rtl/>
        </w:rPr>
        <w:t xml:space="preserve"> </w:t>
      </w:r>
      <w:r w:rsidRPr="007247BC">
        <w:rPr>
          <w:rFonts w:cs="Arial" w:hint="cs"/>
          <w:rtl/>
        </w:rPr>
        <w:t>עד</w:t>
      </w:r>
      <w:r w:rsidRPr="007247BC">
        <w:rPr>
          <w:rFonts w:cs="Arial"/>
          <w:rtl/>
        </w:rPr>
        <w:t xml:space="preserve"> </w:t>
      </w:r>
      <w:r w:rsidRPr="007247BC">
        <w:rPr>
          <w:rFonts w:cs="Arial" w:hint="cs"/>
          <w:rtl/>
        </w:rPr>
        <w:t>צאת</w:t>
      </w:r>
      <w:r w:rsidRPr="007247BC">
        <w:rPr>
          <w:rFonts w:cs="Arial"/>
          <w:rtl/>
        </w:rPr>
        <w:t xml:space="preserve"> </w:t>
      </w:r>
      <w:r w:rsidRPr="007247BC">
        <w:rPr>
          <w:rFonts w:cs="Arial" w:hint="cs"/>
          <w:rtl/>
        </w:rPr>
        <w:t>הכוכבים</w:t>
      </w:r>
      <w:r w:rsidRPr="007247BC">
        <w:rPr>
          <w:rFonts w:cs="Arial"/>
          <w:rtl/>
        </w:rPr>
        <w:t xml:space="preserve"> </w:t>
      </w:r>
      <w:r w:rsidRPr="007247BC">
        <w:rPr>
          <w:rFonts w:cs="Arial" w:hint="cs"/>
          <w:rtl/>
        </w:rPr>
        <w:t>חמשה</w:t>
      </w:r>
      <w:r w:rsidRPr="007247BC">
        <w:rPr>
          <w:rFonts w:cs="Arial"/>
          <w:rtl/>
        </w:rPr>
        <w:t xml:space="preserve"> </w:t>
      </w:r>
      <w:r w:rsidRPr="007247BC">
        <w:rPr>
          <w:rFonts w:cs="Arial" w:hint="cs"/>
          <w:rtl/>
        </w:rPr>
        <w:t>מילין</w:t>
      </w:r>
      <w:r w:rsidRPr="007247BC">
        <w:rPr>
          <w:rFonts w:cs="Arial"/>
          <w:rtl/>
        </w:rPr>
        <w:t xml:space="preserve">, </w:t>
      </w:r>
      <w:r w:rsidRPr="007247BC">
        <w:rPr>
          <w:rFonts w:cs="Arial" w:hint="cs"/>
          <w:rtl/>
        </w:rPr>
        <w:t>נמצא</w:t>
      </w:r>
      <w:r w:rsidRPr="007247BC">
        <w:rPr>
          <w:rFonts w:cs="Arial"/>
          <w:rtl/>
        </w:rPr>
        <w:t xml:space="preserve"> </w:t>
      </w:r>
      <w:r w:rsidRPr="007247BC">
        <w:rPr>
          <w:rFonts w:cs="Arial" w:hint="cs"/>
          <w:rtl/>
        </w:rPr>
        <w:t>עוביו</w:t>
      </w:r>
      <w:r w:rsidRPr="007247BC">
        <w:rPr>
          <w:rFonts w:cs="Arial"/>
          <w:rtl/>
        </w:rPr>
        <w:t xml:space="preserve"> </w:t>
      </w:r>
      <w:r w:rsidRPr="007247BC">
        <w:rPr>
          <w:rFonts w:cs="Arial" w:hint="cs"/>
          <w:rtl/>
        </w:rPr>
        <w:t>של</w:t>
      </w:r>
      <w:r w:rsidRPr="007247BC">
        <w:rPr>
          <w:rFonts w:cs="Arial"/>
          <w:rtl/>
        </w:rPr>
        <w:t xml:space="preserve"> </w:t>
      </w:r>
      <w:r w:rsidRPr="007247BC">
        <w:rPr>
          <w:rFonts w:cs="Arial" w:hint="cs"/>
          <w:rtl/>
        </w:rPr>
        <w:t>רקיע</w:t>
      </w:r>
      <w:r w:rsidRPr="007247BC">
        <w:rPr>
          <w:rFonts w:cs="Arial"/>
          <w:rtl/>
        </w:rPr>
        <w:t xml:space="preserve"> </w:t>
      </w:r>
      <w:r w:rsidRPr="007247BC">
        <w:rPr>
          <w:rFonts w:cs="Arial" w:hint="cs"/>
          <w:rtl/>
        </w:rPr>
        <w:t>אחד</w:t>
      </w:r>
      <w:r w:rsidRPr="007247BC">
        <w:rPr>
          <w:rFonts w:cs="Arial"/>
          <w:rtl/>
        </w:rPr>
        <w:t xml:space="preserve"> </w:t>
      </w:r>
      <w:r w:rsidRPr="007247BC">
        <w:rPr>
          <w:rFonts w:cs="Arial" w:hint="cs"/>
          <w:rtl/>
        </w:rPr>
        <w:t>מששה</w:t>
      </w:r>
      <w:r w:rsidRPr="007247BC">
        <w:rPr>
          <w:rFonts w:cs="Arial"/>
          <w:rtl/>
        </w:rPr>
        <w:t xml:space="preserve"> </w:t>
      </w:r>
      <w:r w:rsidRPr="007247BC">
        <w:rPr>
          <w:rFonts w:cs="Arial" w:hint="cs"/>
          <w:rtl/>
        </w:rPr>
        <w:t>ביום</w:t>
      </w:r>
      <w:r w:rsidRPr="007247BC">
        <w:rPr>
          <w:rFonts w:cs="Arial"/>
          <w:rtl/>
        </w:rPr>
        <w:t xml:space="preserve">. </w:t>
      </w:r>
      <w:r w:rsidRPr="007247BC">
        <w:rPr>
          <w:rFonts w:cs="Arial" w:hint="cs"/>
          <w:rtl/>
        </w:rPr>
        <w:t>מיתיבי</w:t>
      </w:r>
      <w:r w:rsidRPr="007247BC">
        <w:rPr>
          <w:rFonts w:cs="Arial"/>
          <w:rtl/>
        </w:rPr>
        <w:t xml:space="preserve">, </w:t>
      </w:r>
      <w:r w:rsidRPr="007247BC">
        <w:rPr>
          <w:rFonts w:cs="Arial" w:hint="cs"/>
          <w:u w:val="single"/>
          <w:rtl/>
        </w:rPr>
        <w:t>רבי</w:t>
      </w:r>
      <w:r w:rsidRPr="007247BC">
        <w:rPr>
          <w:rFonts w:cs="Arial"/>
          <w:u w:val="single"/>
          <w:rtl/>
        </w:rPr>
        <w:t xml:space="preserve"> </w:t>
      </w:r>
      <w:r w:rsidRPr="007247BC">
        <w:rPr>
          <w:rFonts w:cs="Arial" w:hint="cs"/>
          <w:u w:val="single"/>
          <w:rtl/>
        </w:rPr>
        <w:t>יהודה</w:t>
      </w:r>
      <w:r w:rsidRPr="007247BC">
        <w:rPr>
          <w:rFonts w:cs="Arial"/>
          <w:u w:val="single"/>
          <w:rtl/>
        </w:rPr>
        <w:t xml:space="preserve"> </w:t>
      </w:r>
      <w:r w:rsidRPr="007247BC">
        <w:rPr>
          <w:rFonts w:cs="Arial" w:hint="cs"/>
          <w:u w:val="single"/>
          <w:rtl/>
        </w:rPr>
        <w:t>אומר</w:t>
      </w:r>
      <w:r w:rsidRPr="007247BC">
        <w:rPr>
          <w:rFonts w:cs="Arial"/>
          <w:rtl/>
        </w:rPr>
        <w:t xml:space="preserve">: </w:t>
      </w:r>
      <w:r w:rsidRPr="007247BC">
        <w:rPr>
          <w:rFonts w:cs="Arial" w:hint="cs"/>
          <w:rtl/>
        </w:rPr>
        <w:t>עוביו</w:t>
      </w:r>
      <w:r w:rsidRPr="007247BC">
        <w:rPr>
          <w:rFonts w:cs="Arial"/>
          <w:rtl/>
        </w:rPr>
        <w:t xml:space="preserve"> </w:t>
      </w:r>
      <w:r w:rsidRPr="007247BC">
        <w:rPr>
          <w:rFonts w:cs="Arial" w:hint="cs"/>
          <w:rtl/>
        </w:rPr>
        <w:t>של</w:t>
      </w:r>
      <w:r w:rsidRPr="007247BC">
        <w:rPr>
          <w:rFonts w:cs="Arial"/>
          <w:rtl/>
        </w:rPr>
        <w:t xml:space="preserve"> </w:t>
      </w:r>
      <w:r w:rsidRPr="007247BC">
        <w:rPr>
          <w:rFonts w:cs="Arial" w:hint="cs"/>
          <w:rtl/>
        </w:rPr>
        <w:t>רקיע</w:t>
      </w:r>
      <w:r w:rsidRPr="007247BC">
        <w:rPr>
          <w:rFonts w:cs="Arial"/>
          <w:rtl/>
        </w:rPr>
        <w:t xml:space="preserve"> </w:t>
      </w:r>
      <w:r w:rsidRPr="007247BC">
        <w:rPr>
          <w:rFonts w:cs="Arial" w:hint="cs"/>
          <w:rtl/>
        </w:rPr>
        <w:t>אחד</w:t>
      </w:r>
      <w:r w:rsidRPr="007247BC">
        <w:rPr>
          <w:rFonts w:cs="Arial"/>
          <w:rtl/>
        </w:rPr>
        <w:t xml:space="preserve"> </w:t>
      </w:r>
      <w:r w:rsidRPr="007247BC">
        <w:rPr>
          <w:rFonts w:cs="Arial" w:hint="cs"/>
          <w:rtl/>
        </w:rPr>
        <w:t>מעשרה</w:t>
      </w:r>
      <w:r w:rsidRPr="007247BC">
        <w:rPr>
          <w:rFonts w:cs="Arial"/>
          <w:rtl/>
        </w:rPr>
        <w:t xml:space="preserve"> </w:t>
      </w:r>
      <w:r w:rsidRPr="007247BC">
        <w:rPr>
          <w:rFonts w:cs="Arial" w:hint="cs"/>
          <w:rtl/>
        </w:rPr>
        <w:t>ביום</w:t>
      </w:r>
      <w:r w:rsidRPr="007247BC">
        <w:rPr>
          <w:rFonts w:cs="Arial"/>
          <w:rtl/>
        </w:rPr>
        <w:t xml:space="preserve">. </w:t>
      </w:r>
      <w:r w:rsidRPr="007247BC">
        <w:rPr>
          <w:rFonts w:cs="Arial" w:hint="cs"/>
          <w:rtl/>
        </w:rPr>
        <w:t>תדע</w:t>
      </w:r>
      <w:r w:rsidRPr="007247BC">
        <w:rPr>
          <w:rFonts w:cs="Arial"/>
          <w:rtl/>
        </w:rPr>
        <w:t xml:space="preserve">, </w:t>
      </w:r>
      <w:r w:rsidRPr="007247BC">
        <w:rPr>
          <w:rFonts w:cs="Arial" w:hint="cs"/>
          <w:rtl/>
        </w:rPr>
        <w:t>כמה</w:t>
      </w:r>
      <w:r w:rsidRPr="007247BC">
        <w:rPr>
          <w:rFonts w:cs="Arial"/>
          <w:rtl/>
        </w:rPr>
        <w:t xml:space="preserve"> </w:t>
      </w:r>
      <w:r w:rsidRPr="007247BC">
        <w:rPr>
          <w:rFonts w:cs="Arial" w:hint="cs"/>
          <w:rtl/>
        </w:rPr>
        <w:t>מהלך</w:t>
      </w:r>
      <w:r w:rsidRPr="007247BC">
        <w:rPr>
          <w:rFonts w:cs="Arial"/>
          <w:rtl/>
        </w:rPr>
        <w:t xml:space="preserve"> </w:t>
      </w:r>
      <w:r w:rsidRPr="007247BC">
        <w:rPr>
          <w:rFonts w:cs="Arial" w:hint="cs"/>
          <w:rtl/>
        </w:rPr>
        <w:t>אדם</w:t>
      </w:r>
      <w:r w:rsidRPr="007247BC">
        <w:rPr>
          <w:rFonts w:cs="Arial"/>
          <w:rtl/>
        </w:rPr>
        <w:t xml:space="preserve"> </w:t>
      </w:r>
      <w:r w:rsidRPr="007247BC">
        <w:rPr>
          <w:rFonts w:cs="Arial" w:hint="cs"/>
          <w:rtl/>
        </w:rPr>
        <w:t>בינוני</w:t>
      </w:r>
      <w:r w:rsidRPr="007247BC">
        <w:rPr>
          <w:rFonts w:cs="Arial"/>
          <w:rtl/>
        </w:rPr>
        <w:t xml:space="preserve"> </w:t>
      </w:r>
      <w:r w:rsidRPr="007247BC">
        <w:rPr>
          <w:rFonts w:cs="Arial" w:hint="cs"/>
          <w:rtl/>
        </w:rPr>
        <w:t>ביום</w:t>
      </w:r>
      <w:r w:rsidRPr="007247BC">
        <w:rPr>
          <w:rFonts w:cs="Arial"/>
          <w:rtl/>
        </w:rPr>
        <w:t xml:space="preserve"> - </w:t>
      </w:r>
      <w:r w:rsidRPr="007247BC">
        <w:rPr>
          <w:rFonts w:cs="Arial" w:hint="cs"/>
          <w:rtl/>
        </w:rPr>
        <w:t>עשר</w:t>
      </w:r>
      <w:r w:rsidRPr="007247BC">
        <w:rPr>
          <w:rFonts w:cs="Arial"/>
          <w:rtl/>
        </w:rPr>
        <w:t xml:space="preserve"> </w:t>
      </w:r>
      <w:r w:rsidRPr="007247BC">
        <w:rPr>
          <w:rFonts w:cs="Arial" w:hint="cs"/>
          <w:rtl/>
        </w:rPr>
        <w:t>פרסאות</w:t>
      </w:r>
      <w:r w:rsidRPr="007247BC">
        <w:rPr>
          <w:rFonts w:cs="Arial"/>
          <w:rtl/>
        </w:rPr>
        <w:t xml:space="preserve">, </w:t>
      </w:r>
      <w:r w:rsidRPr="007247BC">
        <w:rPr>
          <w:rFonts w:cs="Arial" w:hint="cs"/>
          <w:rtl/>
        </w:rPr>
        <w:t>ומעלות</w:t>
      </w:r>
      <w:r w:rsidRPr="007247BC">
        <w:rPr>
          <w:rFonts w:cs="Arial"/>
          <w:rtl/>
        </w:rPr>
        <w:t xml:space="preserve"> </w:t>
      </w:r>
      <w:r w:rsidRPr="007247BC">
        <w:rPr>
          <w:rFonts w:cs="Arial" w:hint="cs"/>
          <w:rtl/>
        </w:rPr>
        <w:t>השחר</w:t>
      </w:r>
      <w:r w:rsidRPr="007247BC">
        <w:rPr>
          <w:rFonts w:cs="Arial"/>
          <w:rtl/>
        </w:rPr>
        <w:t xml:space="preserve"> </w:t>
      </w:r>
      <w:r w:rsidRPr="007247BC">
        <w:rPr>
          <w:rFonts w:cs="Arial" w:hint="cs"/>
          <w:rtl/>
        </w:rPr>
        <w:t>עד</w:t>
      </w:r>
      <w:r w:rsidRPr="007247BC">
        <w:rPr>
          <w:rFonts w:cs="Arial"/>
          <w:rtl/>
        </w:rPr>
        <w:t xml:space="preserve"> </w:t>
      </w:r>
      <w:r w:rsidRPr="007247BC">
        <w:rPr>
          <w:rFonts w:cs="Arial" w:hint="cs"/>
          <w:rtl/>
        </w:rPr>
        <w:t>הנץ</w:t>
      </w:r>
      <w:r w:rsidRPr="007247BC">
        <w:rPr>
          <w:rFonts w:cs="Arial"/>
          <w:rtl/>
        </w:rPr>
        <w:t xml:space="preserve"> </w:t>
      </w:r>
      <w:r w:rsidRPr="007247BC">
        <w:rPr>
          <w:rFonts w:cs="Arial" w:hint="cs"/>
          <w:rtl/>
        </w:rPr>
        <w:t>החמה</w:t>
      </w:r>
      <w:r w:rsidRPr="007247BC">
        <w:rPr>
          <w:rFonts w:cs="Arial"/>
          <w:rtl/>
        </w:rPr>
        <w:t xml:space="preserve"> </w:t>
      </w:r>
      <w:r w:rsidRPr="007247BC">
        <w:rPr>
          <w:rFonts w:cs="Arial" w:hint="cs"/>
          <w:rtl/>
        </w:rPr>
        <w:t>ארבעת</w:t>
      </w:r>
      <w:r w:rsidRPr="007247BC">
        <w:rPr>
          <w:rFonts w:cs="Arial"/>
          <w:rtl/>
        </w:rPr>
        <w:t xml:space="preserve"> </w:t>
      </w:r>
      <w:r w:rsidRPr="007247BC">
        <w:rPr>
          <w:rFonts w:cs="Arial" w:hint="cs"/>
          <w:rtl/>
        </w:rPr>
        <w:t>מילין</w:t>
      </w:r>
      <w:r w:rsidRPr="007247BC">
        <w:rPr>
          <w:rFonts w:cs="Arial"/>
          <w:rtl/>
        </w:rPr>
        <w:t xml:space="preserve">, </w:t>
      </w:r>
      <w:r w:rsidRPr="007247BC">
        <w:rPr>
          <w:rFonts w:cs="Arial" w:hint="cs"/>
          <w:rtl/>
        </w:rPr>
        <w:t>משקיעת</w:t>
      </w:r>
      <w:r w:rsidRPr="007247BC">
        <w:rPr>
          <w:rFonts w:cs="Arial"/>
          <w:rtl/>
        </w:rPr>
        <w:t xml:space="preserve"> </w:t>
      </w:r>
      <w:r w:rsidRPr="007247BC">
        <w:rPr>
          <w:rFonts w:cs="Arial" w:hint="cs"/>
          <w:rtl/>
        </w:rPr>
        <w:t>החמה</w:t>
      </w:r>
      <w:r w:rsidRPr="007247BC">
        <w:rPr>
          <w:rFonts w:cs="Arial"/>
          <w:rtl/>
        </w:rPr>
        <w:t xml:space="preserve"> </w:t>
      </w:r>
      <w:r w:rsidRPr="007247BC">
        <w:rPr>
          <w:rFonts w:cs="Arial" w:hint="cs"/>
          <w:rtl/>
        </w:rPr>
        <w:t>ועד</w:t>
      </w:r>
      <w:r w:rsidRPr="007247BC">
        <w:rPr>
          <w:rFonts w:cs="Arial"/>
          <w:rtl/>
        </w:rPr>
        <w:t xml:space="preserve"> </w:t>
      </w:r>
      <w:r w:rsidRPr="007247BC">
        <w:rPr>
          <w:rFonts w:cs="Arial" w:hint="cs"/>
          <w:rtl/>
        </w:rPr>
        <w:t>צאת</w:t>
      </w:r>
      <w:r w:rsidRPr="007247BC">
        <w:rPr>
          <w:rFonts w:cs="Arial"/>
          <w:rtl/>
        </w:rPr>
        <w:t xml:space="preserve"> </w:t>
      </w:r>
      <w:r w:rsidRPr="007247BC">
        <w:rPr>
          <w:rFonts w:cs="Arial" w:hint="cs"/>
          <w:rtl/>
        </w:rPr>
        <w:t>הכוכבים</w:t>
      </w:r>
      <w:r w:rsidRPr="007247BC">
        <w:rPr>
          <w:rFonts w:cs="Arial"/>
          <w:rtl/>
        </w:rPr>
        <w:t xml:space="preserve"> </w:t>
      </w:r>
      <w:r w:rsidRPr="007247BC">
        <w:rPr>
          <w:rFonts w:cs="Arial" w:hint="cs"/>
          <w:rtl/>
        </w:rPr>
        <w:t>ארבעת</w:t>
      </w:r>
      <w:r w:rsidRPr="007247BC">
        <w:rPr>
          <w:rFonts w:cs="Arial"/>
          <w:rtl/>
        </w:rPr>
        <w:t xml:space="preserve"> </w:t>
      </w:r>
      <w:r w:rsidRPr="007247BC">
        <w:rPr>
          <w:rFonts w:cs="Arial" w:hint="cs"/>
          <w:rtl/>
        </w:rPr>
        <w:t>מילין</w:t>
      </w:r>
      <w:r w:rsidRPr="007247BC">
        <w:rPr>
          <w:rFonts w:cs="Arial"/>
          <w:rtl/>
        </w:rPr>
        <w:t xml:space="preserve">, </w:t>
      </w:r>
      <w:r w:rsidRPr="007247BC">
        <w:rPr>
          <w:rFonts w:cs="Arial" w:hint="cs"/>
          <w:rtl/>
        </w:rPr>
        <w:t>נמצאת</w:t>
      </w:r>
      <w:r w:rsidRPr="007247BC">
        <w:rPr>
          <w:rFonts w:cs="Arial"/>
          <w:rtl/>
        </w:rPr>
        <w:t xml:space="preserve"> </w:t>
      </w:r>
      <w:r w:rsidRPr="007247BC">
        <w:rPr>
          <w:rFonts w:cs="Arial" w:hint="cs"/>
          <w:rtl/>
        </w:rPr>
        <w:t>עוביו</w:t>
      </w:r>
      <w:r w:rsidRPr="007247BC">
        <w:rPr>
          <w:rFonts w:cs="Arial"/>
          <w:rtl/>
        </w:rPr>
        <w:t xml:space="preserve"> </w:t>
      </w:r>
      <w:r w:rsidRPr="007247BC">
        <w:rPr>
          <w:rFonts w:cs="Arial" w:hint="cs"/>
          <w:rtl/>
        </w:rPr>
        <w:t>של</w:t>
      </w:r>
      <w:r w:rsidRPr="007247BC">
        <w:rPr>
          <w:rFonts w:cs="Arial"/>
          <w:rtl/>
        </w:rPr>
        <w:t xml:space="preserve"> </w:t>
      </w:r>
      <w:r w:rsidRPr="007247BC">
        <w:rPr>
          <w:rFonts w:cs="Arial" w:hint="cs"/>
          <w:rtl/>
        </w:rPr>
        <w:t>רקיע</w:t>
      </w:r>
      <w:r w:rsidRPr="007247BC">
        <w:rPr>
          <w:rFonts w:cs="Arial"/>
          <w:rtl/>
        </w:rPr>
        <w:t xml:space="preserve"> </w:t>
      </w:r>
      <w:r w:rsidRPr="007247BC">
        <w:rPr>
          <w:rFonts w:cs="Arial" w:hint="cs"/>
          <w:rtl/>
        </w:rPr>
        <w:t>אחד</w:t>
      </w:r>
      <w:r w:rsidRPr="007247BC">
        <w:rPr>
          <w:rFonts w:cs="Arial"/>
          <w:rtl/>
        </w:rPr>
        <w:t xml:space="preserve"> </w:t>
      </w:r>
      <w:r w:rsidRPr="007247BC">
        <w:rPr>
          <w:rFonts w:cs="Arial" w:hint="cs"/>
          <w:rtl/>
        </w:rPr>
        <w:t>מעשרה</w:t>
      </w:r>
      <w:r w:rsidRPr="007247BC">
        <w:rPr>
          <w:rFonts w:cs="Arial"/>
          <w:rtl/>
        </w:rPr>
        <w:t xml:space="preserve"> </w:t>
      </w:r>
      <w:r w:rsidRPr="007247BC">
        <w:rPr>
          <w:rFonts w:cs="Arial" w:hint="cs"/>
          <w:rtl/>
        </w:rPr>
        <w:t>ביום</w:t>
      </w:r>
      <w:r w:rsidRPr="007247BC">
        <w:rPr>
          <w:rFonts w:cs="Arial"/>
          <w:rtl/>
        </w:rPr>
        <w:t xml:space="preserve">. </w:t>
      </w:r>
      <w:r w:rsidRPr="007247BC">
        <w:rPr>
          <w:rFonts w:cs="Arial" w:hint="cs"/>
          <w:rtl/>
        </w:rPr>
        <w:t>תיובתא</w:t>
      </w:r>
      <w:r w:rsidRPr="007247BC">
        <w:rPr>
          <w:rFonts w:cs="Arial"/>
          <w:rtl/>
        </w:rPr>
        <w:t xml:space="preserve"> </w:t>
      </w:r>
      <w:r w:rsidRPr="007247BC">
        <w:rPr>
          <w:rFonts w:cs="Arial" w:hint="cs"/>
          <w:rtl/>
        </w:rPr>
        <w:t>דרבא</w:t>
      </w:r>
      <w:r w:rsidRPr="007247BC">
        <w:rPr>
          <w:rFonts w:cs="Arial"/>
          <w:rtl/>
        </w:rPr>
        <w:t xml:space="preserve">, </w:t>
      </w:r>
      <w:r w:rsidRPr="007247BC">
        <w:rPr>
          <w:rFonts w:cs="Arial" w:hint="cs"/>
          <w:rtl/>
        </w:rPr>
        <w:t>תיובתא</w:t>
      </w:r>
      <w:r w:rsidRPr="007247BC">
        <w:rPr>
          <w:rFonts w:cs="Arial"/>
          <w:rtl/>
        </w:rPr>
        <w:t xml:space="preserve"> </w:t>
      </w:r>
      <w:r w:rsidRPr="007247BC">
        <w:rPr>
          <w:rFonts w:cs="Arial" w:hint="cs"/>
          <w:rtl/>
        </w:rPr>
        <w:t>דעולא</w:t>
      </w:r>
      <w:r>
        <w:rPr>
          <w:rStyle w:val="a9"/>
          <w:rFonts w:cs="Arial"/>
          <w:rtl/>
        </w:rPr>
        <w:footnoteReference w:id="594"/>
      </w:r>
      <w:r w:rsidRPr="007247BC">
        <w:rPr>
          <w:rFonts w:cs="Arial"/>
          <w:rtl/>
        </w:rPr>
        <w:t xml:space="preserve">! </w:t>
      </w:r>
      <w:r w:rsidRPr="007247BC">
        <w:rPr>
          <w:rFonts w:cs="Arial" w:hint="cs"/>
          <w:rtl/>
        </w:rPr>
        <w:t>תיובתא</w:t>
      </w:r>
      <w:r w:rsidRPr="007247BC">
        <w:rPr>
          <w:rFonts w:cs="Arial"/>
          <w:rtl/>
        </w:rPr>
        <w:t>.</w:t>
      </w:r>
    </w:p>
    <w:p w14:paraId="53BB3C59" w14:textId="77777777" w:rsidR="004B2E7C" w:rsidRDefault="004B2E7C" w:rsidP="00434A6A">
      <w:pPr>
        <w:rPr>
          <w:rFonts w:cs="Arial"/>
          <w:rtl/>
        </w:rPr>
      </w:pPr>
      <w:r w:rsidRPr="008D5FB5">
        <w:rPr>
          <w:rFonts w:cs="Arial" w:hint="cs"/>
          <w:u w:val="single"/>
          <w:rtl/>
        </w:rPr>
        <w:t>זמן בין השמשות:</w:t>
      </w:r>
    </w:p>
    <w:p w14:paraId="51071546" w14:textId="77777777" w:rsidR="004B2E7C" w:rsidRDefault="004B2E7C" w:rsidP="00FF2D21">
      <w:pPr>
        <w:pStyle w:val="aa"/>
        <w:numPr>
          <w:ilvl w:val="0"/>
          <w:numId w:val="87"/>
        </w:numPr>
        <w:rPr>
          <w:rFonts w:cs="Arial"/>
        </w:rPr>
      </w:pPr>
      <w:r w:rsidRPr="008D5FB5">
        <w:rPr>
          <w:rFonts w:cs="Arial" w:hint="cs"/>
          <w:rtl/>
        </w:rPr>
        <w:t>רי</w:t>
      </w:r>
      <w:r w:rsidRPr="008D5FB5">
        <w:rPr>
          <w:rFonts w:cs="Arial"/>
          <w:rtl/>
        </w:rPr>
        <w:t>"</w:t>
      </w:r>
      <w:r w:rsidRPr="008D5FB5">
        <w:rPr>
          <w:rFonts w:cs="Arial" w:hint="cs"/>
          <w:rtl/>
        </w:rPr>
        <w:t>ף</w:t>
      </w:r>
      <w:r w:rsidRPr="008D5FB5">
        <w:rPr>
          <w:rFonts w:cs="Arial"/>
          <w:rtl/>
        </w:rPr>
        <w:t xml:space="preserve"> </w:t>
      </w:r>
      <w:r w:rsidRPr="008D5FB5">
        <w:rPr>
          <w:rFonts w:cs="Arial"/>
          <w:sz w:val="16"/>
          <w:szCs w:val="16"/>
          <w:rtl/>
        </w:rPr>
        <w:t>(</w:t>
      </w:r>
      <w:r w:rsidRPr="008D5FB5">
        <w:rPr>
          <w:rFonts w:cs="Arial" w:hint="cs"/>
          <w:sz w:val="16"/>
          <w:szCs w:val="16"/>
          <w:rtl/>
        </w:rPr>
        <w:t>טו</w:t>
      </w:r>
      <w:r w:rsidRPr="008D5FB5">
        <w:rPr>
          <w:rFonts w:cs="Arial"/>
          <w:sz w:val="16"/>
          <w:szCs w:val="16"/>
          <w:rtl/>
        </w:rPr>
        <w:t xml:space="preserve">.) </w:t>
      </w:r>
      <w:r w:rsidRPr="008D5FB5">
        <w:rPr>
          <w:rFonts w:cs="Arial" w:hint="cs"/>
          <w:rtl/>
        </w:rPr>
        <w:t>רמב</w:t>
      </w:r>
      <w:r w:rsidRPr="008D5FB5">
        <w:rPr>
          <w:rFonts w:cs="Arial"/>
          <w:rtl/>
        </w:rPr>
        <w:t>"</w:t>
      </w:r>
      <w:r w:rsidRPr="008D5FB5">
        <w:rPr>
          <w:rFonts w:cs="Arial" w:hint="cs"/>
          <w:rtl/>
        </w:rPr>
        <w:t>ם</w:t>
      </w:r>
      <w:r w:rsidRPr="008D5FB5">
        <w:rPr>
          <w:rFonts w:cs="Arial"/>
          <w:rtl/>
        </w:rPr>
        <w:t xml:space="preserve"> </w:t>
      </w:r>
      <w:r w:rsidRPr="008D5FB5">
        <w:rPr>
          <w:rFonts w:cs="Arial" w:hint="cs"/>
          <w:sz w:val="16"/>
          <w:szCs w:val="16"/>
          <w:rtl/>
        </w:rPr>
        <w:t>(פ"ה</w:t>
      </w:r>
      <w:r w:rsidRPr="008D5FB5">
        <w:rPr>
          <w:rFonts w:cs="Arial"/>
          <w:sz w:val="16"/>
          <w:szCs w:val="16"/>
          <w:rtl/>
        </w:rPr>
        <w:t xml:space="preserve"> </w:t>
      </w:r>
      <w:r w:rsidRPr="008D5FB5">
        <w:rPr>
          <w:rFonts w:cs="Arial" w:hint="cs"/>
          <w:sz w:val="16"/>
          <w:szCs w:val="16"/>
          <w:rtl/>
        </w:rPr>
        <w:t>ה</w:t>
      </w:r>
      <w:r w:rsidRPr="008D5FB5">
        <w:rPr>
          <w:rFonts w:cs="Arial"/>
          <w:sz w:val="16"/>
          <w:szCs w:val="16"/>
          <w:rtl/>
        </w:rPr>
        <w:t>"</w:t>
      </w:r>
      <w:r w:rsidRPr="008D5FB5">
        <w:rPr>
          <w:rFonts w:cs="Arial" w:hint="cs"/>
          <w:sz w:val="16"/>
          <w:szCs w:val="16"/>
          <w:rtl/>
        </w:rPr>
        <w:t>ד</w:t>
      </w:r>
      <w:r w:rsidRPr="008D5FB5">
        <w:rPr>
          <w:rFonts w:cs="Arial"/>
          <w:sz w:val="16"/>
          <w:szCs w:val="16"/>
          <w:rtl/>
        </w:rPr>
        <w:t>)</w:t>
      </w:r>
      <w:r w:rsidRPr="008D5FB5">
        <w:rPr>
          <w:rFonts w:cs="Arial" w:hint="cs"/>
          <w:sz w:val="16"/>
          <w:szCs w:val="16"/>
          <w:rtl/>
        </w:rPr>
        <w:t xml:space="preserve"> </w:t>
      </w:r>
      <w:r w:rsidRPr="008D5FB5">
        <w:rPr>
          <w:rFonts w:cs="Arial" w:hint="cs"/>
          <w:rtl/>
        </w:rPr>
        <w:t>ורא</w:t>
      </w:r>
      <w:r w:rsidRPr="008D5FB5">
        <w:rPr>
          <w:rFonts w:cs="Arial"/>
          <w:rtl/>
        </w:rPr>
        <w:t>"</w:t>
      </w:r>
      <w:r w:rsidRPr="008D5FB5">
        <w:rPr>
          <w:rFonts w:cs="Arial" w:hint="cs"/>
          <w:rtl/>
        </w:rPr>
        <w:t>ש</w:t>
      </w:r>
      <w:r w:rsidRPr="008D5FB5">
        <w:rPr>
          <w:rFonts w:cs="Arial"/>
          <w:rtl/>
        </w:rPr>
        <w:t xml:space="preserve"> </w:t>
      </w:r>
      <w:r w:rsidRPr="008D5FB5">
        <w:rPr>
          <w:rFonts w:cs="Arial"/>
          <w:sz w:val="16"/>
          <w:szCs w:val="16"/>
          <w:rtl/>
        </w:rPr>
        <w:t>(</w:t>
      </w:r>
      <w:r w:rsidRPr="008D5FB5">
        <w:rPr>
          <w:rFonts w:cs="Arial" w:hint="cs"/>
          <w:sz w:val="16"/>
          <w:szCs w:val="16"/>
          <w:rtl/>
        </w:rPr>
        <w:t>סי</w:t>
      </w:r>
      <w:r w:rsidRPr="008D5FB5">
        <w:rPr>
          <w:rFonts w:cs="Arial"/>
          <w:sz w:val="16"/>
          <w:szCs w:val="16"/>
          <w:rtl/>
        </w:rPr>
        <w:t xml:space="preserve">' </w:t>
      </w:r>
      <w:r w:rsidRPr="008D5FB5">
        <w:rPr>
          <w:rFonts w:cs="Arial" w:hint="cs"/>
          <w:sz w:val="16"/>
          <w:szCs w:val="16"/>
          <w:rtl/>
        </w:rPr>
        <w:t>כג</w:t>
      </w:r>
      <w:r w:rsidRPr="008D5FB5">
        <w:rPr>
          <w:rFonts w:cs="Arial"/>
          <w:sz w:val="16"/>
          <w:szCs w:val="16"/>
          <w:rtl/>
        </w:rPr>
        <w:t>)</w:t>
      </w:r>
      <w:r w:rsidRPr="008D5FB5">
        <w:rPr>
          <w:rFonts w:cs="Arial" w:hint="cs"/>
          <w:rtl/>
        </w:rPr>
        <w:t>- הלכה</w:t>
      </w:r>
      <w:r w:rsidRPr="008D5FB5">
        <w:rPr>
          <w:rFonts w:cs="Arial"/>
          <w:rtl/>
        </w:rPr>
        <w:t xml:space="preserve"> </w:t>
      </w:r>
      <w:r w:rsidRPr="008D5FB5">
        <w:rPr>
          <w:rFonts w:cs="Arial" w:hint="cs"/>
          <w:rtl/>
        </w:rPr>
        <w:t>כרבה</w:t>
      </w:r>
      <w:r w:rsidRPr="008D5FB5">
        <w:rPr>
          <w:rFonts w:cs="Arial"/>
          <w:rtl/>
        </w:rPr>
        <w:t xml:space="preserve"> </w:t>
      </w:r>
      <w:r w:rsidRPr="008D5FB5">
        <w:rPr>
          <w:rFonts w:cs="Arial" w:hint="cs"/>
          <w:rtl/>
        </w:rPr>
        <w:t>דאמר</w:t>
      </w:r>
      <w:r w:rsidRPr="008D5FB5">
        <w:rPr>
          <w:rFonts w:cs="Arial"/>
          <w:rtl/>
        </w:rPr>
        <w:t xml:space="preserve"> </w:t>
      </w:r>
      <w:r w:rsidRPr="008D5FB5">
        <w:rPr>
          <w:rFonts w:cs="Arial" w:hint="cs"/>
          <w:rtl/>
        </w:rPr>
        <w:t>דהכי</w:t>
      </w:r>
      <w:r w:rsidRPr="008D5FB5">
        <w:rPr>
          <w:rFonts w:cs="Arial"/>
          <w:rtl/>
        </w:rPr>
        <w:t xml:space="preserve"> </w:t>
      </w:r>
      <w:r w:rsidRPr="008D5FB5">
        <w:rPr>
          <w:rFonts w:cs="Arial" w:hint="cs"/>
          <w:rtl/>
        </w:rPr>
        <w:t>קאמר</w:t>
      </w:r>
      <w:r w:rsidRPr="008D5FB5">
        <w:rPr>
          <w:rFonts w:cs="Arial"/>
          <w:rtl/>
        </w:rPr>
        <w:t xml:space="preserve"> </w:t>
      </w:r>
      <w:r w:rsidRPr="008D5FB5">
        <w:rPr>
          <w:rFonts w:cs="Arial" w:hint="cs"/>
          <w:rtl/>
        </w:rPr>
        <w:t>איזהו</w:t>
      </w:r>
      <w:r w:rsidRPr="008D5FB5">
        <w:rPr>
          <w:rFonts w:cs="Arial"/>
          <w:rtl/>
        </w:rPr>
        <w:t xml:space="preserve"> </w:t>
      </w:r>
      <w:r w:rsidRPr="008D5FB5">
        <w:rPr>
          <w:rFonts w:cs="Arial" w:hint="cs"/>
          <w:rtl/>
        </w:rPr>
        <w:t>בין</w:t>
      </w:r>
      <w:r w:rsidRPr="008D5FB5">
        <w:rPr>
          <w:rFonts w:cs="Arial"/>
          <w:rtl/>
        </w:rPr>
        <w:t xml:space="preserve"> </w:t>
      </w:r>
      <w:r w:rsidRPr="008D5FB5">
        <w:rPr>
          <w:rFonts w:cs="Arial" w:hint="cs"/>
          <w:rtl/>
        </w:rPr>
        <w:t>השמשות</w:t>
      </w:r>
      <w:r w:rsidRPr="008D5FB5">
        <w:rPr>
          <w:rFonts w:cs="Arial"/>
          <w:rtl/>
        </w:rPr>
        <w:t xml:space="preserve"> </w:t>
      </w:r>
      <w:r w:rsidRPr="008D5FB5">
        <w:rPr>
          <w:rFonts w:cs="Arial" w:hint="cs"/>
          <w:rtl/>
        </w:rPr>
        <w:t>משתשקע</w:t>
      </w:r>
      <w:r w:rsidRPr="008D5FB5">
        <w:rPr>
          <w:rFonts w:cs="Arial"/>
          <w:rtl/>
        </w:rPr>
        <w:t xml:space="preserve"> </w:t>
      </w:r>
      <w:r w:rsidRPr="008D5FB5">
        <w:rPr>
          <w:rFonts w:cs="Arial" w:hint="cs"/>
          <w:rtl/>
        </w:rPr>
        <w:t>החמה</w:t>
      </w:r>
      <w:r w:rsidRPr="008D5FB5">
        <w:rPr>
          <w:rFonts w:cs="Arial"/>
          <w:rtl/>
        </w:rPr>
        <w:t xml:space="preserve"> </w:t>
      </w:r>
      <w:r w:rsidRPr="008D5FB5">
        <w:rPr>
          <w:rFonts w:cs="Arial" w:hint="cs"/>
          <w:rtl/>
        </w:rPr>
        <w:t>וכל</w:t>
      </w:r>
      <w:r w:rsidRPr="008D5FB5">
        <w:rPr>
          <w:rFonts w:cs="Arial"/>
          <w:rtl/>
        </w:rPr>
        <w:t xml:space="preserve"> </w:t>
      </w:r>
      <w:r w:rsidRPr="008D5FB5">
        <w:rPr>
          <w:rFonts w:cs="Arial" w:hint="cs"/>
          <w:rtl/>
        </w:rPr>
        <w:t>זמן</w:t>
      </w:r>
      <w:r w:rsidRPr="008D5FB5">
        <w:rPr>
          <w:rFonts w:cs="Arial"/>
          <w:rtl/>
        </w:rPr>
        <w:t xml:space="preserve"> </w:t>
      </w:r>
      <w:r w:rsidRPr="008D5FB5">
        <w:rPr>
          <w:rFonts w:cs="Arial" w:hint="cs"/>
          <w:rtl/>
        </w:rPr>
        <w:t>שפני</w:t>
      </w:r>
      <w:r w:rsidRPr="008D5FB5">
        <w:rPr>
          <w:rFonts w:cs="Arial"/>
          <w:rtl/>
        </w:rPr>
        <w:t xml:space="preserve"> </w:t>
      </w:r>
      <w:r w:rsidRPr="008D5FB5">
        <w:rPr>
          <w:rFonts w:cs="Arial" w:hint="cs"/>
          <w:rtl/>
        </w:rPr>
        <w:t>מזרח</w:t>
      </w:r>
      <w:r w:rsidRPr="008D5FB5">
        <w:rPr>
          <w:rFonts w:cs="Arial"/>
          <w:rtl/>
        </w:rPr>
        <w:t xml:space="preserve"> </w:t>
      </w:r>
      <w:r w:rsidRPr="008D5FB5">
        <w:rPr>
          <w:rFonts w:cs="Arial" w:hint="cs"/>
          <w:rtl/>
        </w:rPr>
        <w:t>מאדימין</w:t>
      </w:r>
      <w:r w:rsidRPr="008D5FB5">
        <w:rPr>
          <w:rFonts w:cs="Arial"/>
          <w:rtl/>
        </w:rPr>
        <w:t xml:space="preserve"> </w:t>
      </w:r>
      <w:r w:rsidRPr="008D5FB5">
        <w:rPr>
          <w:rFonts w:cs="Arial" w:hint="cs"/>
          <w:rtl/>
        </w:rPr>
        <w:t>והכסיף</w:t>
      </w:r>
      <w:r w:rsidRPr="008D5FB5">
        <w:rPr>
          <w:rFonts w:cs="Arial"/>
          <w:rtl/>
        </w:rPr>
        <w:t xml:space="preserve"> </w:t>
      </w:r>
      <w:r w:rsidRPr="008D5FB5">
        <w:rPr>
          <w:rFonts w:cs="Arial" w:hint="cs"/>
          <w:rtl/>
        </w:rPr>
        <w:t>התחתון</w:t>
      </w:r>
      <w:r w:rsidRPr="008D5FB5">
        <w:rPr>
          <w:rFonts w:cs="Arial"/>
          <w:rtl/>
        </w:rPr>
        <w:t xml:space="preserve"> </w:t>
      </w:r>
      <w:r w:rsidRPr="008D5FB5">
        <w:rPr>
          <w:rFonts w:cs="Arial" w:hint="cs"/>
          <w:rtl/>
        </w:rPr>
        <w:t>ולא</w:t>
      </w:r>
      <w:r w:rsidRPr="008D5FB5">
        <w:rPr>
          <w:rFonts w:cs="Arial"/>
          <w:rtl/>
        </w:rPr>
        <w:t xml:space="preserve"> </w:t>
      </w:r>
      <w:r w:rsidRPr="008D5FB5">
        <w:rPr>
          <w:rFonts w:cs="Arial" w:hint="cs"/>
          <w:rtl/>
        </w:rPr>
        <w:t>הכסיף</w:t>
      </w:r>
      <w:r w:rsidRPr="008D5FB5">
        <w:rPr>
          <w:rFonts w:cs="Arial"/>
          <w:rtl/>
        </w:rPr>
        <w:t xml:space="preserve"> </w:t>
      </w:r>
      <w:r w:rsidRPr="008D5FB5">
        <w:rPr>
          <w:rFonts w:cs="Arial" w:hint="cs"/>
          <w:rtl/>
        </w:rPr>
        <w:t>העליון</w:t>
      </w:r>
      <w:r w:rsidRPr="008D5FB5">
        <w:rPr>
          <w:rFonts w:cs="Arial"/>
          <w:rtl/>
        </w:rPr>
        <w:t xml:space="preserve"> </w:t>
      </w:r>
      <w:r w:rsidRPr="008D5FB5">
        <w:rPr>
          <w:rFonts w:cs="Arial" w:hint="cs"/>
          <w:rtl/>
        </w:rPr>
        <w:t>נמי</w:t>
      </w:r>
      <w:r w:rsidRPr="008D5FB5">
        <w:rPr>
          <w:rFonts w:cs="Arial"/>
          <w:rtl/>
        </w:rPr>
        <w:t xml:space="preserve"> </w:t>
      </w:r>
      <w:r w:rsidRPr="008D5FB5">
        <w:rPr>
          <w:rFonts w:cs="Arial" w:hint="cs"/>
          <w:rtl/>
        </w:rPr>
        <w:t>בין</w:t>
      </w:r>
      <w:r w:rsidRPr="008D5FB5">
        <w:rPr>
          <w:rFonts w:cs="Arial"/>
          <w:rtl/>
        </w:rPr>
        <w:t xml:space="preserve"> </w:t>
      </w:r>
      <w:r w:rsidRPr="008D5FB5">
        <w:rPr>
          <w:rFonts w:cs="Arial" w:hint="cs"/>
          <w:rtl/>
        </w:rPr>
        <w:t>השמשות.</w:t>
      </w:r>
      <w:r w:rsidRPr="008D5FB5">
        <w:rPr>
          <w:rFonts w:cs="Arial"/>
          <w:rtl/>
        </w:rPr>
        <w:t xml:space="preserve"> </w:t>
      </w:r>
      <w:r w:rsidRPr="008D5FB5">
        <w:rPr>
          <w:rFonts w:cs="Arial" w:hint="cs"/>
          <w:rtl/>
        </w:rPr>
        <w:t>ולדידיה</w:t>
      </w:r>
      <w:r w:rsidRPr="008D5FB5">
        <w:rPr>
          <w:rFonts w:cs="Arial"/>
          <w:rtl/>
        </w:rPr>
        <w:t xml:space="preserve"> </w:t>
      </w:r>
      <w:r w:rsidRPr="008D5FB5">
        <w:rPr>
          <w:rFonts w:cs="Arial" w:hint="cs"/>
          <w:rtl/>
        </w:rPr>
        <w:t>הוי</w:t>
      </w:r>
      <w:r w:rsidRPr="008D5FB5">
        <w:rPr>
          <w:rFonts w:cs="Arial"/>
          <w:rtl/>
        </w:rPr>
        <w:t xml:space="preserve"> </w:t>
      </w:r>
      <w:r w:rsidRPr="008D5FB5">
        <w:rPr>
          <w:rFonts w:cs="Arial" w:hint="cs"/>
          <w:rtl/>
        </w:rPr>
        <w:t>שיעור</w:t>
      </w:r>
      <w:r w:rsidRPr="008D5FB5">
        <w:rPr>
          <w:rFonts w:cs="Arial"/>
          <w:rtl/>
        </w:rPr>
        <w:t xml:space="preserve"> </w:t>
      </w:r>
      <w:r w:rsidRPr="008D5FB5">
        <w:rPr>
          <w:rFonts w:cs="Arial" w:hint="cs"/>
          <w:rtl/>
        </w:rPr>
        <w:t>בין</w:t>
      </w:r>
      <w:r w:rsidRPr="008D5FB5">
        <w:rPr>
          <w:rFonts w:cs="Arial"/>
          <w:rtl/>
        </w:rPr>
        <w:t xml:space="preserve"> </w:t>
      </w:r>
      <w:r w:rsidRPr="008D5FB5">
        <w:rPr>
          <w:rFonts w:cs="Arial" w:hint="cs"/>
          <w:rtl/>
        </w:rPr>
        <w:t>השמשות</w:t>
      </w:r>
      <w:r w:rsidRPr="008D5FB5">
        <w:rPr>
          <w:rFonts w:cs="Arial"/>
          <w:rtl/>
        </w:rPr>
        <w:t xml:space="preserve"> </w:t>
      </w:r>
      <w:r w:rsidRPr="008D5FB5">
        <w:rPr>
          <w:rFonts w:cs="Arial" w:hint="cs"/>
          <w:rtl/>
        </w:rPr>
        <w:t>תלתא</w:t>
      </w:r>
      <w:r w:rsidRPr="008D5FB5">
        <w:rPr>
          <w:rFonts w:cs="Arial"/>
          <w:rtl/>
        </w:rPr>
        <w:t xml:space="preserve"> </w:t>
      </w:r>
      <w:r w:rsidRPr="008D5FB5">
        <w:rPr>
          <w:rFonts w:cs="Arial" w:hint="cs"/>
          <w:rtl/>
        </w:rPr>
        <w:t>רבעי</w:t>
      </w:r>
      <w:r w:rsidRPr="008D5FB5">
        <w:rPr>
          <w:rFonts w:cs="Arial"/>
          <w:rtl/>
        </w:rPr>
        <w:t xml:space="preserve"> </w:t>
      </w:r>
      <w:r w:rsidRPr="008D5FB5">
        <w:rPr>
          <w:rFonts w:cs="Arial" w:hint="cs"/>
          <w:rtl/>
        </w:rPr>
        <w:t>מיל</w:t>
      </w:r>
      <w:r>
        <w:rPr>
          <w:rStyle w:val="a9"/>
          <w:rFonts w:cs="Arial"/>
          <w:rtl/>
        </w:rPr>
        <w:footnoteReference w:id="595"/>
      </w:r>
      <w:r>
        <w:rPr>
          <w:rFonts w:cs="Arial" w:hint="cs"/>
          <w:sz w:val="16"/>
          <w:szCs w:val="16"/>
          <w:rtl/>
        </w:rPr>
        <w:t xml:space="preserve"> (ל' הב"י בשמם)</w:t>
      </w:r>
      <w:r w:rsidRPr="008D5FB5">
        <w:rPr>
          <w:rFonts w:cs="Arial" w:hint="cs"/>
          <w:rtl/>
        </w:rPr>
        <w:t>.</w:t>
      </w:r>
    </w:p>
    <w:p w14:paraId="17C7F5CD" w14:textId="77777777" w:rsidR="004B2E7C" w:rsidRPr="00FE057B" w:rsidRDefault="004B2E7C" w:rsidP="00434A6A">
      <w:pPr>
        <w:ind w:left="360"/>
        <w:rPr>
          <w:rFonts w:cs="Arial"/>
          <w:u w:val="dotted"/>
        </w:rPr>
      </w:pPr>
      <w:r w:rsidRPr="00FE057B">
        <w:rPr>
          <w:rFonts w:cs="Arial" w:hint="cs"/>
          <w:u w:val="dotted"/>
          <w:rtl/>
        </w:rPr>
        <w:t>וקשה, דהרי בפסחים מבואר שהשקיעה היא ד' מילין:</w:t>
      </w:r>
    </w:p>
    <w:p w14:paraId="6D2D6501" w14:textId="77777777" w:rsidR="004B2E7C" w:rsidRPr="00B15402" w:rsidRDefault="004B2E7C" w:rsidP="00FF2D21">
      <w:pPr>
        <w:pStyle w:val="aa"/>
        <w:numPr>
          <w:ilvl w:val="0"/>
          <w:numId w:val="87"/>
        </w:numPr>
        <w:rPr>
          <w:rFonts w:cs="Arial"/>
          <w:rtl/>
        </w:rPr>
      </w:pPr>
      <w:r>
        <w:rPr>
          <w:rFonts w:cs="Arial" w:hint="cs"/>
          <w:rtl/>
        </w:rPr>
        <w:t xml:space="preserve">ר"ת </w:t>
      </w:r>
      <w:r w:rsidRPr="008D5FB5">
        <w:rPr>
          <w:rFonts w:cs="Arial" w:hint="cs"/>
          <w:rtl/>
        </w:rPr>
        <w:t>רמב</w:t>
      </w:r>
      <w:r w:rsidRPr="008D5FB5">
        <w:rPr>
          <w:rFonts w:cs="Arial"/>
          <w:rtl/>
        </w:rPr>
        <w:t>"</w:t>
      </w:r>
      <w:r w:rsidRPr="008D5FB5">
        <w:rPr>
          <w:rFonts w:cs="Arial" w:hint="cs"/>
          <w:rtl/>
        </w:rPr>
        <w:t>ן</w:t>
      </w:r>
      <w:r>
        <w:rPr>
          <w:rFonts w:cs="Arial" w:hint="cs"/>
          <w:rtl/>
        </w:rPr>
        <w:t xml:space="preserve"> ו</w:t>
      </w:r>
      <w:r w:rsidRPr="008D5FB5">
        <w:rPr>
          <w:rFonts w:cs="Arial" w:hint="cs"/>
          <w:rtl/>
        </w:rPr>
        <w:t>ר</w:t>
      </w:r>
      <w:r w:rsidRPr="008D5FB5">
        <w:rPr>
          <w:rFonts w:cs="Arial"/>
          <w:rtl/>
        </w:rPr>
        <w:t>"</w:t>
      </w:r>
      <w:r w:rsidRPr="008D5FB5">
        <w:rPr>
          <w:rFonts w:cs="Arial" w:hint="cs"/>
          <w:rtl/>
        </w:rPr>
        <w:t>ן</w:t>
      </w:r>
      <w:r>
        <w:rPr>
          <w:rStyle w:val="a9"/>
          <w:rFonts w:cs="Arial"/>
          <w:rtl/>
        </w:rPr>
        <w:footnoteReference w:id="596"/>
      </w:r>
      <w:r>
        <w:rPr>
          <w:rFonts w:cs="Arial" w:hint="cs"/>
          <w:rtl/>
        </w:rPr>
        <w:t xml:space="preserve">- </w:t>
      </w:r>
      <w:r>
        <w:rPr>
          <w:rStyle w:val="a9"/>
          <w:rFonts w:cs="Arial"/>
          <w:rtl/>
        </w:rPr>
        <w:footnoteReference w:id="597"/>
      </w:r>
      <w:r w:rsidRPr="008D5FB5">
        <w:rPr>
          <w:rFonts w:cs="Arial" w:hint="cs"/>
          <w:rtl/>
        </w:rPr>
        <w:t>שתי</w:t>
      </w:r>
      <w:r w:rsidRPr="008D5FB5">
        <w:rPr>
          <w:rFonts w:cs="Arial"/>
          <w:rtl/>
        </w:rPr>
        <w:t xml:space="preserve"> </w:t>
      </w:r>
      <w:r w:rsidRPr="008D5FB5">
        <w:rPr>
          <w:rFonts w:cs="Arial" w:hint="cs"/>
          <w:rtl/>
        </w:rPr>
        <w:t>שקיעות</w:t>
      </w:r>
      <w:r w:rsidRPr="008D5FB5">
        <w:rPr>
          <w:rFonts w:cs="Arial"/>
          <w:rtl/>
        </w:rPr>
        <w:t xml:space="preserve"> </w:t>
      </w:r>
      <w:r w:rsidRPr="008D5FB5">
        <w:rPr>
          <w:rFonts w:cs="Arial" w:hint="cs"/>
          <w:rtl/>
        </w:rPr>
        <w:t>הן,</w:t>
      </w:r>
      <w:r w:rsidRPr="008D5FB5">
        <w:rPr>
          <w:rFonts w:cs="Arial"/>
          <w:rtl/>
        </w:rPr>
        <w:t xml:space="preserve"> </w:t>
      </w:r>
      <w:r w:rsidRPr="008D5FB5">
        <w:rPr>
          <w:rFonts w:cs="Arial" w:hint="cs"/>
          <w:rtl/>
        </w:rPr>
        <w:t>דמשתשקע</w:t>
      </w:r>
      <w:r w:rsidRPr="008D5FB5">
        <w:rPr>
          <w:rFonts w:cs="Arial"/>
          <w:rtl/>
        </w:rPr>
        <w:t xml:space="preserve"> </w:t>
      </w:r>
      <w:r w:rsidRPr="008D5FB5">
        <w:rPr>
          <w:rFonts w:cs="Arial" w:hint="cs"/>
          <w:rtl/>
        </w:rPr>
        <w:t>החמה</w:t>
      </w:r>
      <w:r w:rsidRPr="008D5FB5">
        <w:rPr>
          <w:rFonts w:cs="Arial"/>
          <w:rtl/>
        </w:rPr>
        <w:t xml:space="preserve"> </w:t>
      </w:r>
      <w:r w:rsidRPr="008D5FB5">
        <w:rPr>
          <w:rFonts w:cs="Arial" w:hint="cs"/>
          <w:rtl/>
        </w:rPr>
        <w:t>דמתניתין</w:t>
      </w:r>
      <w:r w:rsidRPr="008D5FB5">
        <w:rPr>
          <w:rFonts w:cs="Arial"/>
          <w:rtl/>
        </w:rPr>
        <w:t xml:space="preserve"> </w:t>
      </w:r>
      <w:r w:rsidRPr="008D5FB5">
        <w:rPr>
          <w:rFonts w:cs="Arial" w:hint="cs"/>
          <w:rtl/>
        </w:rPr>
        <w:t>דשמעתין</w:t>
      </w:r>
      <w:r w:rsidRPr="008D5FB5">
        <w:rPr>
          <w:rFonts w:cs="Arial"/>
          <w:rtl/>
        </w:rPr>
        <w:t xml:space="preserve"> </w:t>
      </w:r>
      <w:r>
        <w:rPr>
          <w:rFonts w:cs="Arial" w:hint="cs"/>
          <w:sz w:val="16"/>
          <w:szCs w:val="16"/>
          <w:rtl/>
        </w:rPr>
        <w:t xml:space="preserve">{שבת} </w:t>
      </w:r>
      <w:r w:rsidRPr="008D5FB5">
        <w:rPr>
          <w:rFonts w:cs="Arial" w:hint="cs"/>
          <w:rtl/>
        </w:rPr>
        <w:t>היינו</w:t>
      </w:r>
      <w:r w:rsidRPr="008D5FB5">
        <w:rPr>
          <w:rFonts w:cs="Arial"/>
          <w:rtl/>
        </w:rPr>
        <w:t xml:space="preserve"> </w:t>
      </w:r>
      <w:r w:rsidRPr="008D5FB5">
        <w:rPr>
          <w:rFonts w:cs="Arial" w:hint="cs"/>
          <w:rtl/>
        </w:rPr>
        <w:t>מסוף</w:t>
      </w:r>
      <w:r w:rsidRPr="008D5FB5">
        <w:rPr>
          <w:rFonts w:cs="Arial"/>
          <w:rtl/>
        </w:rPr>
        <w:t xml:space="preserve"> </w:t>
      </w:r>
      <w:r w:rsidRPr="008D5FB5">
        <w:rPr>
          <w:rFonts w:cs="Arial" w:hint="cs"/>
          <w:rtl/>
        </w:rPr>
        <w:t>שקיעת</w:t>
      </w:r>
      <w:r w:rsidRPr="008D5FB5">
        <w:rPr>
          <w:rFonts w:cs="Arial"/>
          <w:rtl/>
        </w:rPr>
        <w:t xml:space="preserve"> </w:t>
      </w:r>
      <w:r w:rsidRPr="008D5FB5">
        <w:rPr>
          <w:rFonts w:cs="Arial" w:hint="cs"/>
          <w:rtl/>
        </w:rPr>
        <w:t>החמה,</w:t>
      </w:r>
      <w:r w:rsidRPr="008D5FB5">
        <w:rPr>
          <w:rFonts w:cs="Arial"/>
          <w:rtl/>
        </w:rPr>
        <w:t xml:space="preserve"> </w:t>
      </w:r>
      <w:r w:rsidRPr="008D5FB5">
        <w:rPr>
          <w:rFonts w:cs="Arial" w:hint="cs"/>
          <w:rtl/>
        </w:rPr>
        <w:t>כלומר</w:t>
      </w:r>
      <w:r w:rsidRPr="008D5FB5">
        <w:rPr>
          <w:rFonts w:cs="Arial"/>
          <w:rtl/>
        </w:rPr>
        <w:t xml:space="preserve"> </w:t>
      </w:r>
      <w:r w:rsidRPr="008D5FB5">
        <w:rPr>
          <w:rFonts w:cs="Arial" w:hint="cs"/>
          <w:rtl/>
        </w:rPr>
        <w:t>משעה</w:t>
      </w:r>
      <w:r w:rsidRPr="008D5FB5">
        <w:rPr>
          <w:rFonts w:cs="Arial"/>
          <w:rtl/>
        </w:rPr>
        <w:t xml:space="preserve"> </w:t>
      </w:r>
      <w:r w:rsidRPr="008D5FB5">
        <w:rPr>
          <w:rFonts w:cs="Arial" w:hint="cs"/>
          <w:rtl/>
        </w:rPr>
        <w:t>שנשקעה</w:t>
      </w:r>
      <w:r w:rsidRPr="008D5FB5">
        <w:rPr>
          <w:rFonts w:cs="Arial"/>
          <w:rtl/>
        </w:rPr>
        <w:t xml:space="preserve"> </w:t>
      </w:r>
      <w:r w:rsidRPr="008D5FB5">
        <w:rPr>
          <w:rFonts w:cs="Arial" w:hint="cs"/>
          <w:rtl/>
        </w:rPr>
        <w:t>ברקיע</w:t>
      </w:r>
      <w:r w:rsidRPr="008D5FB5">
        <w:rPr>
          <w:rFonts w:cs="Arial"/>
          <w:rtl/>
        </w:rPr>
        <w:t xml:space="preserve"> </w:t>
      </w:r>
      <w:r w:rsidRPr="008D5FB5">
        <w:rPr>
          <w:rFonts w:cs="Arial" w:hint="cs"/>
          <w:rtl/>
        </w:rPr>
        <w:t>והיא</w:t>
      </w:r>
      <w:r w:rsidRPr="008D5FB5">
        <w:rPr>
          <w:rFonts w:cs="Arial"/>
          <w:rtl/>
        </w:rPr>
        <w:t xml:space="preserve"> </w:t>
      </w:r>
      <w:r w:rsidRPr="008D5FB5">
        <w:rPr>
          <w:rFonts w:cs="Arial" w:hint="cs"/>
          <w:rtl/>
        </w:rPr>
        <w:t>עדיין</w:t>
      </w:r>
      <w:r w:rsidRPr="008D5FB5">
        <w:rPr>
          <w:rFonts w:cs="Arial"/>
          <w:rtl/>
        </w:rPr>
        <w:t xml:space="preserve"> </w:t>
      </w:r>
      <w:r w:rsidRPr="008D5FB5">
        <w:rPr>
          <w:rFonts w:cs="Arial" w:hint="cs"/>
          <w:rtl/>
        </w:rPr>
        <w:t>כנגד</w:t>
      </w:r>
      <w:r w:rsidRPr="008D5FB5">
        <w:rPr>
          <w:rFonts w:cs="Arial"/>
          <w:rtl/>
        </w:rPr>
        <w:t xml:space="preserve"> </w:t>
      </w:r>
      <w:r w:rsidRPr="008D5FB5">
        <w:rPr>
          <w:rFonts w:cs="Arial" w:hint="cs"/>
          <w:rtl/>
        </w:rPr>
        <w:t>חלונה,</w:t>
      </w:r>
      <w:r w:rsidRPr="008D5FB5">
        <w:rPr>
          <w:rFonts w:cs="Arial"/>
          <w:rtl/>
        </w:rPr>
        <w:t xml:space="preserve"> </w:t>
      </w:r>
      <w:r w:rsidRPr="008D5FB5">
        <w:rPr>
          <w:rFonts w:cs="Arial" w:hint="cs"/>
          <w:rtl/>
        </w:rPr>
        <w:t>ולפי</w:t>
      </w:r>
      <w:r w:rsidRPr="008D5FB5">
        <w:rPr>
          <w:rFonts w:cs="Arial"/>
          <w:rtl/>
        </w:rPr>
        <w:t xml:space="preserve"> </w:t>
      </w:r>
      <w:r w:rsidRPr="008D5FB5">
        <w:rPr>
          <w:rFonts w:cs="Arial" w:hint="cs"/>
          <w:rtl/>
        </w:rPr>
        <w:t>שלא</w:t>
      </w:r>
      <w:r w:rsidRPr="008D5FB5">
        <w:rPr>
          <w:rFonts w:cs="Arial"/>
          <w:rtl/>
        </w:rPr>
        <w:t xml:space="preserve"> </w:t>
      </w:r>
      <w:r w:rsidRPr="008D5FB5">
        <w:rPr>
          <w:rFonts w:cs="Arial" w:hint="cs"/>
          <w:rtl/>
        </w:rPr>
        <w:t>עברה</w:t>
      </w:r>
      <w:r w:rsidRPr="008D5FB5">
        <w:rPr>
          <w:rFonts w:cs="Arial"/>
          <w:rtl/>
        </w:rPr>
        <w:t xml:space="preserve"> </w:t>
      </w:r>
      <w:r w:rsidRPr="008D5FB5">
        <w:rPr>
          <w:rFonts w:cs="Arial" w:hint="cs"/>
          <w:rtl/>
        </w:rPr>
        <w:t>חלונה</w:t>
      </w:r>
      <w:r w:rsidRPr="008D5FB5">
        <w:rPr>
          <w:rFonts w:cs="Arial"/>
          <w:rtl/>
        </w:rPr>
        <w:t xml:space="preserve"> </w:t>
      </w:r>
      <w:r w:rsidRPr="008D5FB5">
        <w:rPr>
          <w:rFonts w:cs="Arial" w:hint="cs"/>
          <w:rtl/>
        </w:rPr>
        <w:t>ועדיין</w:t>
      </w:r>
      <w:r w:rsidRPr="008D5FB5">
        <w:rPr>
          <w:rFonts w:cs="Arial"/>
          <w:rtl/>
        </w:rPr>
        <w:t xml:space="preserve"> </w:t>
      </w:r>
      <w:r w:rsidRPr="008D5FB5">
        <w:rPr>
          <w:rFonts w:cs="Arial" w:hint="cs"/>
          <w:rtl/>
        </w:rPr>
        <w:t>אינה</w:t>
      </w:r>
      <w:r w:rsidRPr="008D5FB5">
        <w:rPr>
          <w:rFonts w:cs="Arial"/>
          <w:rtl/>
        </w:rPr>
        <w:t xml:space="preserve"> </w:t>
      </w:r>
      <w:r w:rsidRPr="008D5FB5">
        <w:rPr>
          <w:rFonts w:cs="Arial" w:hint="cs"/>
          <w:rtl/>
        </w:rPr>
        <w:t>מהלכת</w:t>
      </w:r>
      <w:r w:rsidRPr="008D5FB5">
        <w:rPr>
          <w:rFonts w:cs="Arial"/>
          <w:rtl/>
        </w:rPr>
        <w:t xml:space="preserve"> </w:t>
      </w:r>
      <w:r w:rsidRPr="008D5FB5">
        <w:rPr>
          <w:rFonts w:cs="Arial" w:hint="cs"/>
          <w:rtl/>
        </w:rPr>
        <w:t>אחורי</w:t>
      </w:r>
      <w:r w:rsidRPr="008D5FB5">
        <w:rPr>
          <w:rFonts w:cs="Arial"/>
          <w:rtl/>
        </w:rPr>
        <w:t xml:space="preserve"> </w:t>
      </w:r>
      <w:r w:rsidRPr="008D5FB5">
        <w:rPr>
          <w:rFonts w:cs="Arial" w:hint="cs"/>
          <w:rtl/>
        </w:rPr>
        <w:t>כיפה</w:t>
      </w:r>
      <w:r>
        <w:rPr>
          <w:rFonts w:cs="Arial" w:hint="cs"/>
          <w:rtl/>
        </w:rPr>
        <w:t>,</w:t>
      </w:r>
      <w:r w:rsidRPr="008D5FB5">
        <w:rPr>
          <w:rFonts w:cs="Arial"/>
          <w:rtl/>
        </w:rPr>
        <w:t xml:space="preserve"> </w:t>
      </w:r>
      <w:r w:rsidRPr="008D5FB5">
        <w:rPr>
          <w:rFonts w:cs="Arial" w:hint="cs"/>
          <w:rtl/>
        </w:rPr>
        <w:t>פני</w:t>
      </w:r>
      <w:r w:rsidRPr="008D5FB5">
        <w:rPr>
          <w:rFonts w:cs="Arial"/>
          <w:rtl/>
        </w:rPr>
        <w:t xml:space="preserve"> </w:t>
      </w:r>
      <w:r w:rsidRPr="008D5FB5">
        <w:rPr>
          <w:rFonts w:cs="Arial" w:hint="cs"/>
          <w:rtl/>
        </w:rPr>
        <w:t>רקיע</w:t>
      </w:r>
      <w:r w:rsidRPr="008D5FB5">
        <w:rPr>
          <w:rFonts w:cs="Arial"/>
          <w:rtl/>
        </w:rPr>
        <w:t xml:space="preserve"> </w:t>
      </w:r>
      <w:r w:rsidRPr="008D5FB5">
        <w:rPr>
          <w:rFonts w:cs="Arial" w:hint="cs"/>
          <w:rtl/>
        </w:rPr>
        <w:t>מאדימין</w:t>
      </w:r>
      <w:r w:rsidRPr="008D5FB5">
        <w:rPr>
          <w:rFonts w:cs="Arial"/>
          <w:rtl/>
        </w:rPr>
        <w:t xml:space="preserve"> </w:t>
      </w:r>
      <w:r w:rsidRPr="008D5FB5">
        <w:rPr>
          <w:rFonts w:cs="Arial" w:hint="cs"/>
          <w:rtl/>
        </w:rPr>
        <w:t>כנגד</w:t>
      </w:r>
      <w:r w:rsidRPr="008D5FB5">
        <w:rPr>
          <w:rFonts w:cs="Arial"/>
          <w:rtl/>
        </w:rPr>
        <w:t xml:space="preserve"> </w:t>
      </w:r>
      <w:r w:rsidRPr="008D5FB5">
        <w:rPr>
          <w:rFonts w:cs="Arial" w:hint="cs"/>
          <w:rtl/>
        </w:rPr>
        <w:t>מקומה.</w:t>
      </w:r>
      <w:r w:rsidRPr="008D5FB5">
        <w:rPr>
          <w:rFonts w:cs="Arial"/>
          <w:rtl/>
        </w:rPr>
        <w:t xml:space="preserve"> </w:t>
      </w:r>
      <w:r w:rsidRPr="008D5FB5">
        <w:rPr>
          <w:rFonts w:cs="Arial" w:hint="cs"/>
          <w:rtl/>
        </w:rPr>
        <w:t>ומשקיעת</w:t>
      </w:r>
      <w:r w:rsidRPr="008D5FB5">
        <w:rPr>
          <w:rFonts w:cs="Arial"/>
          <w:rtl/>
        </w:rPr>
        <w:t xml:space="preserve"> </w:t>
      </w:r>
      <w:r w:rsidRPr="008D5FB5">
        <w:rPr>
          <w:rFonts w:cs="Arial" w:hint="cs"/>
          <w:rtl/>
        </w:rPr>
        <w:t>החמה</w:t>
      </w:r>
      <w:r w:rsidRPr="008D5FB5">
        <w:rPr>
          <w:rFonts w:cs="Arial"/>
          <w:rtl/>
        </w:rPr>
        <w:t xml:space="preserve"> </w:t>
      </w:r>
      <w:r w:rsidRPr="008D5FB5">
        <w:rPr>
          <w:rFonts w:cs="Arial" w:hint="cs"/>
          <w:rtl/>
        </w:rPr>
        <w:t>דפרק</w:t>
      </w:r>
      <w:r w:rsidRPr="008D5FB5">
        <w:rPr>
          <w:rFonts w:cs="Arial"/>
          <w:rtl/>
        </w:rPr>
        <w:t xml:space="preserve"> </w:t>
      </w:r>
      <w:r w:rsidRPr="008D5FB5">
        <w:rPr>
          <w:rFonts w:cs="Arial" w:hint="cs"/>
          <w:rtl/>
        </w:rPr>
        <w:t>מי</w:t>
      </w:r>
      <w:r w:rsidRPr="008D5FB5">
        <w:rPr>
          <w:rFonts w:cs="Arial"/>
          <w:rtl/>
        </w:rPr>
        <w:t xml:space="preserve"> </w:t>
      </w:r>
      <w:r w:rsidRPr="008D5FB5">
        <w:rPr>
          <w:rFonts w:cs="Arial" w:hint="cs"/>
          <w:rtl/>
        </w:rPr>
        <w:t>שהיה</w:t>
      </w:r>
      <w:r w:rsidRPr="008D5FB5">
        <w:rPr>
          <w:rFonts w:cs="Arial"/>
          <w:rtl/>
        </w:rPr>
        <w:t xml:space="preserve"> </w:t>
      </w:r>
      <w:r w:rsidRPr="008D5FB5">
        <w:rPr>
          <w:rFonts w:cs="Arial" w:hint="cs"/>
          <w:rtl/>
        </w:rPr>
        <w:t>טמא</w:t>
      </w:r>
      <w:r w:rsidRPr="008D5FB5">
        <w:rPr>
          <w:rFonts w:cs="Arial"/>
          <w:rtl/>
        </w:rPr>
        <w:t xml:space="preserve"> </w:t>
      </w:r>
      <w:r w:rsidRPr="008D5FB5">
        <w:rPr>
          <w:rFonts w:cs="Arial" w:hint="cs"/>
          <w:rtl/>
        </w:rPr>
        <w:t>היינו</w:t>
      </w:r>
      <w:r w:rsidRPr="008D5FB5">
        <w:rPr>
          <w:rFonts w:cs="Arial"/>
          <w:rtl/>
        </w:rPr>
        <w:t xml:space="preserve"> </w:t>
      </w:r>
      <w:r w:rsidRPr="008D5FB5">
        <w:rPr>
          <w:rFonts w:cs="Arial" w:hint="cs"/>
          <w:rtl/>
        </w:rPr>
        <w:t>מתחלת</w:t>
      </w:r>
      <w:r w:rsidRPr="008D5FB5">
        <w:rPr>
          <w:rFonts w:cs="Arial"/>
          <w:rtl/>
        </w:rPr>
        <w:t xml:space="preserve"> </w:t>
      </w:r>
      <w:r w:rsidRPr="008D5FB5">
        <w:rPr>
          <w:rFonts w:cs="Arial" w:hint="cs"/>
          <w:rtl/>
        </w:rPr>
        <w:t>שקיעת</w:t>
      </w:r>
      <w:r w:rsidRPr="008D5FB5">
        <w:rPr>
          <w:rFonts w:cs="Arial"/>
          <w:rtl/>
        </w:rPr>
        <w:t xml:space="preserve"> </w:t>
      </w:r>
      <w:r w:rsidRPr="008D5FB5">
        <w:rPr>
          <w:rFonts w:cs="Arial" w:hint="cs"/>
          <w:rtl/>
        </w:rPr>
        <w:t>החמה</w:t>
      </w:r>
      <w:r w:rsidRPr="008D5FB5">
        <w:rPr>
          <w:rFonts w:cs="Arial"/>
          <w:rtl/>
        </w:rPr>
        <w:t xml:space="preserve"> </w:t>
      </w:r>
      <w:r w:rsidRPr="008D5FB5">
        <w:rPr>
          <w:rFonts w:cs="Arial" w:hint="cs"/>
          <w:rtl/>
        </w:rPr>
        <w:t>שהתחילה</w:t>
      </w:r>
      <w:r w:rsidRPr="008D5FB5">
        <w:rPr>
          <w:rFonts w:cs="Arial"/>
          <w:rtl/>
        </w:rPr>
        <w:t xml:space="preserve"> </w:t>
      </w:r>
      <w:r w:rsidRPr="008D5FB5">
        <w:rPr>
          <w:rFonts w:cs="Arial" w:hint="cs"/>
          <w:rtl/>
        </w:rPr>
        <w:t>ליכנס</w:t>
      </w:r>
      <w:r w:rsidRPr="008D5FB5">
        <w:rPr>
          <w:rFonts w:cs="Arial"/>
          <w:rtl/>
        </w:rPr>
        <w:t xml:space="preserve"> </w:t>
      </w:r>
      <w:r w:rsidRPr="008D5FB5">
        <w:rPr>
          <w:rFonts w:cs="Arial" w:hint="cs"/>
          <w:rtl/>
        </w:rPr>
        <w:t>ברקיע.</w:t>
      </w:r>
      <w:r w:rsidRPr="008D5FB5">
        <w:rPr>
          <w:rFonts w:cs="Arial"/>
          <w:rtl/>
        </w:rPr>
        <w:t xml:space="preserve"> </w:t>
      </w:r>
      <w:r w:rsidRPr="008D5FB5">
        <w:rPr>
          <w:rFonts w:cs="Arial" w:hint="cs"/>
          <w:rtl/>
        </w:rPr>
        <w:t>נמצא</w:t>
      </w:r>
      <w:r w:rsidRPr="008D5FB5">
        <w:rPr>
          <w:rFonts w:cs="Arial"/>
          <w:rtl/>
        </w:rPr>
        <w:t xml:space="preserve"> </w:t>
      </w:r>
      <w:r w:rsidRPr="008D5FB5">
        <w:rPr>
          <w:rFonts w:cs="Arial" w:hint="cs"/>
          <w:rtl/>
        </w:rPr>
        <w:t>שמתחלת</w:t>
      </w:r>
      <w:r w:rsidRPr="008D5FB5">
        <w:rPr>
          <w:rFonts w:cs="Arial"/>
          <w:rtl/>
        </w:rPr>
        <w:t xml:space="preserve"> </w:t>
      </w:r>
      <w:r w:rsidRPr="008D5FB5">
        <w:rPr>
          <w:rFonts w:cs="Arial" w:hint="cs"/>
          <w:rtl/>
        </w:rPr>
        <w:t>השקיעה</w:t>
      </w:r>
      <w:r w:rsidRPr="008D5FB5">
        <w:rPr>
          <w:rFonts w:cs="Arial"/>
          <w:rtl/>
        </w:rPr>
        <w:t xml:space="preserve"> </w:t>
      </w:r>
      <w:r w:rsidRPr="008D5FB5">
        <w:rPr>
          <w:rFonts w:cs="Arial" w:hint="cs"/>
          <w:rtl/>
        </w:rPr>
        <w:t>עד</w:t>
      </w:r>
      <w:r w:rsidRPr="008D5FB5">
        <w:rPr>
          <w:rFonts w:cs="Arial"/>
          <w:rtl/>
        </w:rPr>
        <w:t xml:space="preserve"> </w:t>
      </w:r>
      <w:r w:rsidRPr="008D5FB5">
        <w:rPr>
          <w:rFonts w:cs="Arial" w:hint="cs"/>
          <w:rtl/>
        </w:rPr>
        <w:t>בין</w:t>
      </w:r>
      <w:r w:rsidRPr="008D5FB5">
        <w:rPr>
          <w:rFonts w:cs="Arial"/>
          <w:rtl/>
        </w:rPr>
        <w:t xml:space="preserve"> </w:t>
      </w:r>
      <w:r w:rsidRPr="008D5FB5">
        <w:rPr>
          <w:rFonts w:cs="Arial" w:hint="cs"/>
          <w:rtl/>
        </w:rPr>
        <w:t>השמשות</w:t>
      </w:r>
      <w:r w:rsidRPr="008D5FB5">
        <w:rPr>
          <w:rFonts w:cs="Arial"/>
          <w:rtl/>
        </w:rPr>
        <w:t xml:space="preserve"> </w:t>
      </w:r>
      <w:r w:rsidRPr="008D5FB5">
        <w:rPr>
          <w:rFonts w:cs="Arial" w:hint="cs"/>
          <w:rtl/>
        </w:rPr>
        <w:t>שהוא</w:t>
      </w:r>
      <w:r w:rsidRPr="008D5FB5">
        <w:rPr>
          <w:rFonts w:cs="Arial"/>
          <w:rtl/>
        </w:rPr>
        <w:t xml:space="preserve"> </w:t>
      </w:r>
      <w:r w:rsidRPr="008D5FB5">
        <w:rPr>
          <w:rFonts w:cs="Arial" w:hint="cs"/>
          <w:rtl/>
        </w:rPr>
        <w:t>סוף</w:t>
      </w:r>
      <w:r w:rsidRPr="008D5FB5">
        <w:rPr>
          <w:rFonts w:cs="Arial"/>
          <w:rtl/>
        </w:rPr>
        <w:t xml:space="preserve"> </w:t>
      </w:r>
      <w:r w:rsidRPr="008D5FB5">
        <w:rPr>
          <w:rFonts w:cs="Arial" w:hint="cs"/>
          <w:rtl/>
        </w:rPr>
        <w:t>השקיעה</w:t>
      </w:r>
      <w:r w:rsidRPr="008D5FB5">
        <w:rPr>
          <w:rFonts w:cs="Arial"/>
          <w:rtl/>
        </w:rPr>
        <w:t xml:space="preserve"> </w:t>
      </w:r>
      <w:r w:rsidRPr="008D5FB5">
        <w:rPr>
          <w:rFonts w:cs="Arial" w:hint="cs"/>
          <w:rtl/>
        </w:rPr>
        <w:t>שלשת</w:t>
      </w:r>
      <w:r w:rsidRPr="008D5FB5">
        <w:rPr>
          <w:rFonts w:cs="Arial"/>
          <w:rtl/>
        </w:rPr>
        <w:t xml:space="preserve"> </w:t>
      </w:r>
      <w:r w:rsidRPr="008D5FB5">
        <w:rPr>
          <w:rFonts w:cs="Arial" w:hint="cs"/>
          <w:rtl/>
        </w:rPr>
        <w:t>מילין</w:t>
      </w:r>
      <w:r w:rsidRPr="008D5FB5">
        <w:rPr>
          <w:rFonts w:cs="Arial"/>
          <w:rtl/>
        </w:rPr>
        <w:t xml:space="preserve"> </w:t>
      </w:r>
      <w:r w:rsidRPr="008D5FB5">
        <w:rPr>
          <w:rFonts w:cs="Arial" w:hint="cs"/>
          <w:rtl/>
        </w:rPr>
        <w:t>ורביע,</w:t>
      </w:r>
      <w:r w:rsidRPr="008D5FB5">
        <w:rPr>
          <w:rFonts w:cs="Arial"/>
          <w:rtl/>
        </w:rPr>
        <w:t xml:space="preserve"> </w:t>
      </w:r>
      <w:r w:rsidRPr="008D5FB5">
        <w:rPr>
          <w:rFonts w:cs="Arial" w:hint="cs"/>
          <w:rtl/>
        </w:rPr>
        <w:t>והכי</w:t>
      </w:r>
      <w:r w:rsidRPr="008D5FB5">
        <w:rPr>
          <w:rFonts w:cs="Arial"/>
          <w:rtl/>
        </w:rPr>
        <w:t xml:space="preserve"> </w:t>
      </w:r>
      <w:r w:rsidRPr="008D5FB5">
        <w:rPr>
          <w:rFonts w:cs="Arial" w:hint="cs"/>
          <w:rtl/>
        </w:rPr>
        <w:t>איתא</w:t>
      </w:r>
      <w:r w:rsidRPr="008D5FB5">
        <w:rPr>
          <w:rFonts w:cs="Arial"/>
          <w:rtl/>
        </w:rPr>
        <w:t xml:space="preserve"> </w:t>
      </w:r>
      <w:r w:rsidRPr="008D5FB5">
        <w:rPr>
          <w:rFonts w:cs="Arial" w:hint="cs"/>
          <w:rtl/>
        </w:rPr>
        <w:t>בירושלמי</w:t>
      </w:r>
      <w:r w:rsidRPr="008D5FB5">
        <w:rPr>
          <w:rFonts w:cs="Arial"/>
          <w:rtl/>
        </w:rPr>
        <w:t xml:space="preserve"> </w:t>
      </w:r>
      <w:r w:rsidRPr="00B67322">
        <w:rPr>
          <w:rFonts w:cs="Arial"/>
          <w:sz w:val="16"/>
          <w:szCs w:val="16"/>
          <w:rtl/>
        </w:rPr>
        <w:t>(</w:t>
      </w:r>
      <w:r w:rsidRPr="00B67322">
        <w:rPr>
          <w:rFonts w:cs="Arial" w:hint="cs"/>
          <w:sz w:val="16"/>
          <w:szCs w:val="16"/>
          <w:rtl/>
        </w:rPr>
        <w:t>ברכות</w:t>
      </w:r>
      <w:r w:rsidRPr="00B67322">
        <w:rPr>
          <w:rFonts w:cs="Arial"/>
          <w:sz w:val="16"/>
          <w:szCs w:val="16"/>
          <w:rtl/>
        </w:rPr>
        <w:t xml:space="preserve"> </w:t>
      </w:r>
      <w:r w:rsidRPr="00B67322">
        <w:rPr>
          <w:rFonts w:cs="Arial" w:hint="cs"/>
          <w:sz w:val="16"/>
          <w:szCs w:val="16"/>
          <w:rtl/>
        </w:rPr>
        <w:t>פ</w:t>
      </w:r>
      <w:r w:rsidRPr="00B67322">
        <w:rPr>
          <w:rFonts w:cs="Arial"/>
          <w:sz w:val="16"/>
          <w:szCs w:val="16"/>
          <w:rtl/>
        </w:rPr>
        <w:t>"</w:t>
      </w:r>
      <w:r w:rsidRPr="00B67322">
        <w:rPr>
          <w:rFonts w:cs="Arial" w:hint="cs"/>
          <w:sz w:val="16"/>
          <w:szCs w:val="16"/>
          <w:rtl/>
        </w:rPr>
        <w:t>א</w:t>
      </w:r>
      <w:r w:rsidRPr="00B67322">
        <w:rPr>
          <w:rFonts w:cs="Arial"/>
          <w:sz w:val="16"/>
          <w:szCs w:val="16"/>
          <w:rtl/>
        </w:rPr>
        <w:t xml:space="preserve"> </w:t>
      </w:r>
      <w:r w:rsidRPr="00B67322">
        <w:rPr>
          <w:rFonts w:cs="Arial" w:hint="cs"/>
          <w:sz w:val="16"/>
          <w:szCs w:val="16"/>
          <w:rtl/>
        </w:rPr>
        <w:t>ה</w:t>
      </w:r>
      <w:r w:rsidRPr="00B67322">
        <w:rPr>
          <w:rFonts w:cs="Arial"/>
          <w:sz w:val="16"/>
          <w:szCs w:val="16"/>
          <w:rtl/>
        </w:rPr>
        <w:t>"</w:t>
      </w:r>
      <w:r w:rsidRPr="00B67322">
        <w:rPr>
          <w:rFonts w:cs="Arial" w:hint="cs"/>
          <w:sz w:val="16"/>
          <w:szCs w:val="16"/>
          <w:rtl/>
        </w:rPr>
        <w:t>א</w:t>
      </w:r>
      <w:r w:rsidRPr="00B67322">
        <w:rPr>
          <w:rFonts w:cs="Arial"/>
          <w:sz w:val="16"/>
          <w:szCs w:val="16"/>
          <w:rtl/>
        </w:rPr>
        <w:t>)</w:t>
      </w:r>
      <w:r w:rsidRPr="00B67322">
        <w:rPr>
          <w:rFonts w:hint="cs"/>
          <w:sz w:val="16"/>
          <w:szCs w:val="16"/>
          <w:rtl/>
        </w:rPr>
        <w:t xml:space="preserve"> </w:t>
      </w:r>
      <w:r w:rsidRPr="00C65E80">
        <w:rPr>
          <w:rFonts w:cs="Arial" w:hint="cs"/>
          <w:rtl/>
        </w:rPr>
        <w:t>שאין</w:t>
      </w:r>
      <w:r w:rsidRPr="00C65E80">
        <w:rPr>
          <w:rFonts w:cs="Arial"/>
          <w:rtl/>
        </w:rPr>
        <w:t xml:space="preserve"> </w:t>
      </w:r>
      <w:r w:rsidRPr="00C65E80">
        <w:rPr>
          <w:rFonts w:cs="Arial" w:hint="cs"/>
          <w:rtl/>
        </w:rPr>
        <w:t>בין</w:t>
      </w:r>
      <w:r w:rsidRPr="00C65E80">
        <w:rPr>
          <w:rFonts w:cs="Arial"/>
          <w:rtl/>
        </w:rPr>
        <w:t xml:space="preserve"> </w:t>
      </w:r>
      <w:r w:rsidRPr="00C65E80">
        <w:rPr>
          <w:rFonts w:cs="Arial" w:hint="cs"/>
          <w:rtl/>
        </w:rPr>
        <w:t>השמשות</w:t>
      </w:r>
      <w:r w:rsidRPr="00C65E80">
        <w:rPr>
          <w:rFonts w:cs="Arial"/>
          <w:rtl/>
        </w:rPr>
        <w:t xml:space="preserve"> </w:t>
      </w:r>
      <w:r w:rsidRPr="00C65E80">
        <w:rPr>
          <w:rFonts w:cs="Arial" w:hint="cs"/>
          <w:rtl/>
        </w:rPr>
        <w:t>מתחיל</w:t>
      </w:r>
      <w:r w:rsidRPr="00C65E80">
        <w:rPr>
          <w:rFonts w:cs="Arial"/>
          <w:rtl/>
        </w:rPr>
        <w:t xml:space="preserve"> </w:t>
      </w:r>
      <w:r w:rsidRPr="00C65E80">
        <w:rPr>
          <w:rFonts w:cs="Arial" w:hint="cs"/>
          <w:rtl/>
        </w:rPr>
        <w:t>עד</w:t>
      </w:r>
      <w:r w:rsidRPr="00C65E80">
        <w:rPr>
          <w:rFonts w:cs="Arial"/>
          <w:rtl/>
        </w:rPr>
        <w:t xml:space="preserve"> </w:t>
      </w:r>
      <w:r w:rsidRPr="00C65E80">
        <w:rPr>
          <w:rFonts w:cs="Arial" w:hint="cs"/>
          <w:rtl/>
        </w:rPr>
        <w:t>סוף</w:t>
      </w:r>
      <w:r w:rsidRPr="00C65E80">
        <w:rPr>
          <w:rFonts w:cs="Arial"/>
          <w:rtl/>
        </w:rPr>
        <w:t xml:space="preserve"> </w:t>
      </w:r>
      <w:r w:rsidRPr="00C65E80">
        <w:rPr>
          <w:rFonts w:cs="Arial" w:hint="cs"/>
          <w:rtl/>
        </w:rPr>
        <w:t>השקיעה</w:t>
      </w:r>
      <w:r>
        <w:rPr>
          <w:rFonts w:cs="Arial" w:hint="cs"/>
          <w:sz w:val="16"/>
          <w:szCs w:val="16"/>
          <w:rtl/>
        </w:rPr>
        <w:t xml:space="preserve"> (ל' הר"ן)</w:t>
      </w:r>
      <w:r>
        <w:rPr>
          <w:rStyle w:val="a9"/>
          <w:rFonts w:cs="Arial"/>
          <w:rtl/>
        </w:rPr>
        <w:footnoteReference w:id="598"/>
      </w:r>
      <w:r w:rsidRPr="008D5FB5">
        <w:rPr>
          <w:rFonts w:cs="Arial" w:hint="cs"/>
          <w:rtl/>
        </w:rPr>
        <w:t>.</w:t>
      </w:r>
      <w:r>
        <w:rPr>
          <w:rFonts w:cs="Arial" w:hint="cs"/>
          <w:rtl/>
        </w:rPr>
        <w:t xml:space="preserve"> </w:t>
      </w:r>
      <w:r w:rsidRPr="00C71C08">
        <w:rPr>
          <w:rFonts w:cs="Arial" w:hint="cs"/>
          <w:color w:val="E36C0A" w:themeColor="accent6" w:themeShade="BF"/>
          <w:rtl/>
        </w:rPr>
        <w:t>(וכ"פ בשו"ע</w:t>
      </w:r>
      <w:r w:rsidRPr="00C71C08">
        <w:rPr>
          <w:rFonts w:cs="Arial" w:hint="cs"/>
          <w:color w:val="E36C0A" w:themeColor="accent6" w:themeShade="BF"/>
          <w:sz w:val="16"/>
          <w:szCs w:val="16"/>
          <w:rtl/>
        </w:rPr>
        <w:t xml:space="preserve"> </w:t>
      </w:r>
      <w:r>
        <w:rPr>
          <w:rFonts w:cs="Arial" w:hint="cs"/>
          <w:sz w:val="16"/>
          <w:szCs w:val="16"/>
          <w:rtl/>
        </w:rPr>
        <w:t>[סע' ב]</w:t>
      </w:r>
      <w:r w:rsidRPr="00C71C08">
        <w:rPr>
          <w:rFonts w:cs="Arial" w:hint="cs"/>
          <w:color w:val="E36C0A" w:themeColor="accent6" w:themeShade="BF"/>
          <w:rtl/>
        </w:rPr>
        <w:t>)</w:t>
      </w:r>
      <w:r>
        <w:rPr>
          <w:rFonts w:cs="Arial" w:hint="cs"/>
          <w:rtl/>
        </w:rPr>
        <w:t xml:space="preserve"> </w:t>
      </w:r>
      <w:r w:rsidRPr="004D7779">
        <w:rPr>
          <w:rFonts w:cs="Arial" w:hint="cs"/>
          <w:color w:val="00B0F0"/>
          <w:rtl/>
        </w:rPr>
        <w:t>(וכ"פ הרמ"א)</w:t>
      </w:r>
    </w:p>
    <w:p w14:paraId="0188C5A9"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713A641" w14:textId="77777777" w:rsidR="004B2E7C" w:rsidRDefault="004B2E7C" w:rsidP="00434A6A">
      <w:pPr>
        <w:rPr>
          <w:rFonts w:asciiTheme="minorBidi" w:hAnsiTheme="minorBidi"/>
          <w:rtl/>
        </w:rPr>
      </w:pPr>
      <w:r w:rsidRPr="00CC2350">
        <w:rPr>
          <w:rFonts w:asciiTheme="minorBidi" w:hAnsiTheme="minorBidi" w:cs="Arial"/>
          <w:rtl/>
        </w:rPr>
        <w:t xml:space="preserve">ספק חשיכה, והוא בין השמשות </w:t>
      </w:r>
      <w:r>
        <w:rPr>
          <w:rFonts w:asciiTheme="minorBidi" w:hAnsiTheme="minorBidi" w:cs="Arial" w:hint="cs"/>
          <w:sz w:val="18"/>
          <w:szCs w:val="18"/>
          <w:rtl/>
        </w:rPr>
        <w:t xml:space="preserve">[הגה] </w:t>
      </w:r>
      <w:r w:rsidRPr="00684CAD">
        <w:rPr>
          <w:rFonts w:asciiTheme="minorBidi" w:hAnsiTheme="minorBidi" w:cs="Arial"/>
          <w:sz w:val="18"/>
          <w:szCs w:val="18"/>
          <w:rtl/>
        </w:rPr>
        <w:t>והיינו כדי שיעור הלוך ג' רביעי מיל</w:t>
      </w:r>
      <w:r>
        <w:rPr>
          <w:rStyle w:val="a9"/>
          <w:rFonts w:asciiTheme="minorBidi" w:hAnsiTheme="minorBidi" w:cs="Arial"/>
          <w:sz w:val="18"/>
          <w:szCs w:val="18"/>
          <w:rtl/>
        </w:rPr>
        <w:footnoteReference w:id="599"/>
      </w:r>
      <w:r w:rsidRPr="00684CAD">
        <w:rPr>
          <w:rFonts w:asciiTheme="minorBidi" w:hAnsiTheme="minorBidi" w:cs="Arial"/>
          <w:sz w:val="18"/>
          <w:szCs w:val="18"/>
          <w:rtl/>
        </w:rPr>
        <w:t xml:space="preserve"> אחר שקיעת החמה (טור בסימן רצ"ג וכדלקמן ס"ס ב')</w:t>
      </w:r>
      <w:r>
        <w:rPr>
          <w:rFonts w:asciiTheme="minorBidi" w:hAnsiTheme="minorBidi" w:cs="Arial" w:hint="cs"/>
          <w:sz w:val="18"/>
          <w:szCs w:val="18"/>
          <w:rtl/>
        </w:rPr>
        <w:t>,</w:t>
      </w:r>
      <w:r w:rsidRPr="00684CAD">
        <w:rPr>
          <w:rFonts w:asciiTheme="minorBidi" w:hAnsiTheme="minorBidi" w:cs="Arial"/>
          <w:sz w:val="18"/>
          <w:szCs w:val="18"/>
          <w:rtl/>
        </w:rPr>
        <w:t xml:space="preserve"> </w:t>
      </w:r>
      <w:r w:rsidRPr="00CC2350">
        <w:rPr>
          <w:rFonts w:asciiTheme="minorBidi" w:hAnsiTheme="minorBidi" w:cs="Arial"/>
          <w:rtl/>
        </w:rPr>
        <w:t>אין מעשרים את הודאי ואין מטבילין את הכלים ואין מדליקין את הנרות ואין מערבין עירובי תחומין, אבל מעשרין את הדמאי וטומנין את החמין</w:t>
      </w:r>
      <w:r>
        <w:rPr>
          <w:rStyle w:val="a9"/>
          <w:rFonts w:asciiTheme="minorBidi" w:hAnsiTheme="minorBidi" w:cs="Arial"/>
          <w:rtl/>
        </w:rPr>
        <w:footnoteReference w:id="600"/>
      </w:r>
      <w:r w:rsidRPr="00CC2350">
        <w:rPr>
          <w:rFonts w:asciiTheme="minorBidi" w:hAnsiTheme="minorBidi" w:cs="Arial"/>
          <w:rtl/>
        </w:rPr>
        <w:t xml:space="preserve"> ומערבין עירובי חצירות. ומותר לומר ל</w:t>
      </w:r>
      <w:r>
        <w:rPr>
          <w:rFonts w:asciiTheme="minorBidi" w:hAnsiTheme="minorBidi" w:cs="Arial" w:hint="cs"/>
          <w:rtl/>
        </w:rPr>
        <w:t>גו</w:t>
      </w:r>
      <w:r w:rsidRPr="00CC2350">
        <w:rPr>
          <w:rFonts w:asciiTheme="minorBidi" w:hAnsiTheme="minorBidi" w:cs="Arial"/>
          <w:rtl/>
        </w:rPr>
        <w:t>י בין השמשות להדליק נר לצורך שבת</w:t>
      </w:r>
      <w:r>
        <w:rPr>
          <w:rFonts w:asciiTheme="minorBidi" w:hAnsiTheme="minorBidi" w:cs="Arial" w:hint="cs"/>
          <w:rtl/>
        </w:rPr>
        <w:t>,</w:t>
      </w:r>
      <w:r w:rsidRPr="00CC2350">
        <w:rPr>
          <w:rFonts w:asciiTheme="minorBidi" w:hAnsiTheme="minorBidi" w:cs="Arial"/>
          <w:rtl/>
        </w:rPr>
        <w:t xml:space="preserve"> וכן לומר לו לעשות כל מלאכה שהיא לצורך מצוה</w:t>
      </w:r>
      <w:r>
        <w:rPr>
          <w:rStyle w:val="a9"/>
          <w:rFonts w:asciiTheme="minorBidi" w:hAnsiTheme="minorBidi" w:cs="Arial"/>
          <w:rtl/>
        </w:rPr>
        <w:footnoteReference w:id="601"/>
      </w:r>
      <w:r w:rsidRPr="00CC2350">
        <w:rPr>
          <w:rFonts w:asciiTheme="minorBidi" w:hAnsiTheme="minorBidi" w:cs="Arial"/>
          <w:rtl/>
        </w:rPr>
        <w:t xml:space="preserve"> או שהוא טרוד ונחפז עליה</w:t>
      </w:r>
      <w:r>
        <w:rPr>
          <w:rStyle w:val="a9"/>
          <w:rFonts w:asciiTheme="minorBidi" w:hAnsiTheme="minorBidi" w:cs="Arial"/>
          <w:rtl/>
        </w:rPr>
        <w:footnoteReference w:id="602"/>
      </w:r>
      <w:r w:rsidRPr="00CC2350">
        <w:rPr>
          <w:rFonts w:asciiTheme="minorBidi" w:hAnsiTheme="minorBidi" w:cs="Arial"/>
          <w:rtl/>
        </w:rPr>
        <w:t xml:space="preserve">. </w:t>
      </w:r>
      <w:r w:rsidRPr="00684CAD">
        <w:rPr>
          <w:rFonts w:asciiTheme="minorBidi" w:hAnsiTheme="minorBidi" w:cs="Arial"/>
          <w:sz w:val="18"/>
          <w:szCs w:val="18"/>
          <w:rtl/>
        </w:rPr>
        <w:t xml:space="preserve">הגה: וכן מי שקבל עליו שבת שעה או ב' קודם חשיכה יכול לומר </w:t>
      </w:r>
      <w:r>
        <w:rPr>
          <w:rFonts w:asciiTheme="minorBidi" w:hAnsiTheme="minorBidi" w:cs="Arial" w:hint="cs"/>
          <w:sz w:val="18"/>
          <w:szCs w:val="18"/>
          <w:rtl/>
        </w:rPr>
        <w:t>לגוי</w:t>
      </w:r>
      <w:r w:rsidRPr="00684CAD">
        <w:rPr>
          <w:rFonts w:asciiTheme="minorBidi" w:hAnsiTheme="minorBidi" w:cs="Arial"/>
          <w:sz w:val="18"/>
          <w:szCs w:val="18"/>
          <w:rtl/>
        </w:rPr>
        <w:t xml:space="preserve"> להדליק הנר ושאר דברים שצריך (מהרי"ו סי' קי"ו). </w:t>
      </w:r>
    </w:p>
    <w:p w14:paraId="47DDFEDB" w14:textId="77777777" w:rsidR="004B2E7C" w:rsidRPr="00CC2350" w:rsidRDefault="004B2E7C" w:rsidP="00434A6A">
      <w:pPr>
        <w:rPr>
          <w:rFonts w:asciiTheme="minorBidi" w:hAnsiTheme="minorBidi"/>
          <w:rtl/>
        </w:rPr>
      </w:pPr>
    </w:p>
    <w:p w14:paraId="2A86E483" w14:textId="77777777" w:rsidR="004B2E7C" w:rsidRDefault="004B2E7C" w:rsidP="00434A6A">
      <w:pPr>
        <w:pStyle w:val="2"/>
        <w:rPr>
          <w:rtl/>
        </w:rPr>
      </w:pPr>
      <w:r w:rsidRPr="00CC2350">
        <w:rPr>
          <w:rtl/>
        </w:rPr>
        <w:t>סעיף ב</w:t>
      </w:r>
      <w:r>
        <w:rPr>
          <w:rFonts w:hint="cs"/>
          <w:rtl/>
        </w:rPr>
        <w:t>: תוספת שבת.</w:t>
      </w:r>
    </w:p>
    <w:p w14:paraId="13F93DF9" w14:textId="77777777" w:rsidR="004B2E7C" w:rsidRDefault="004B2E7C" w:rsidP="00434A6A">
      <w:pPr>
        <w:rPr>
          <w:rFonts w:cs="Arial"/>
          <w:rtl/>
        </w:rPr>
      </w:pPr>
      <w:r w:rsidRPr="00FE057B">
        <w:rPr>
          <w:rFonts w:cs="Arial" w:hint="cs"/>
          <w:b/>
          <w:bCs/>
          <w:rtl/>
        </w:rPr>
        <w:t xml:space="preserve">יומא </w:t>
      </w:r>
      <w:r w:rsidRPr="00FE057B">
        <w:rPr>
          <w:rFonts w:cs="Arial" w:hint="cs"/>
          <w:b/>
          <w:bCs/>
          <w:sz w:val="16"/>
          <w:szCs w:val="16"/>
          <w:rtl/>
        </w:rPr>
        <w:t xml:space="preserve">(פ' בתרא) </w:t>
      </w:r>
      <w:r w:rsidRPr="00FE057B">
        <w:rPr>
          <w:rFonts w:cs="Arial" w:hint="cs"/>
          <w:b/>
          <w:bCs/>
          <w:rtl/>
        </w:rPr>
        <w:t xml:space="preserve">פא ע"ב: </w:t>
      </w:r>
      <w:r w:rsidRPr="00FE057B">
        <w:rPr>
          <w:rFonts w:cs="Arial" w:hint="cs"/>
          <w:rtl/>
        </w:rPr>
        <w:t>אלא</w:t>
      </w:r>
      <w:r w:rsidRPr="00FE057B">
        <w:rPr>
          <w:rFonts w:cs="Arial"/>
          <w:rtl/>
        </w:rPr>
        <w:t xml:space="preserve"> </w:t>
      </w:r>
      <w:r w:rsidRPr="00FE057B">
        <w:rPr>
          <w:rFonts w:cs="Arial" w:hint="cs"/>
          <w:rtl/>
        </w:rPr>
        <w:t>רב</w:t>
      </w:r>
      <w:r w:rsidRPr="00FE057B">
        <w:rPr>
          <w:rFonts w:cs="Arial"/>
          <w:rtl/>
        </w:rPr>
        <w:t xml:space="preserve"> </w:t>
      </w:r>
      <w:r w:rsidRPr="00FE057B">
        <w:rPr>
          <w:rFonts w:cs="Arial" w:hint="cs"/>
          <w:rtl/>
        </w:rPr>
        <w:t>אחא</w:t>
      </w:r>
      <w:r w:rsidRPr="00FE057B">
        <w:rPr>
          <w:rFonts w:cs="Arial"/>
          <w:rtl/>
        </w:rPr>
        <w:t xml:space="preserve"> </w:t>
      </w:r>
      <w:r w:rsidRPr="00FE057B">
        <w:rPr>
          <w:rFonts w:cs="Arial" w:hint="cs"/>
          <w:rtl/>
        </w:rPr>
        <w:t>בר</w:t>
      </w:r>
      <w:r w:rsidRPr="00FE057B">
        <w:rPr>
          <w:rFonts w:cs="Arial"/>
          <w:rtl/>
        </w:rPr>
        <w:t xml:space="preserve"> </w:t>
      </w:r>
      <w:r w:rsidRPr="00FE057B">
        <w:rPr>
          <w:rFonts w:cs="Arial" w:hint="cs"/>
          <w:rtl/>
        </w:rPr>
        <w:t>יעקב</w:t>
      </w:r>
      <w:r w:rsidRPr="00FE057B">
        <w:rPr>
          <w:rFonts w:cs="Arial"/>
          <w:rtl/>
        </w:rPr>
        <w:t xml:space="preserve"> </w:t>
      </w:r>
      <w:r w:rsidRPr="00FE057B">
        <w:rPr>
          <w:rFonts w:cs="Arial" w:hint="cs"/>
          <w:rtl/>
        </w:rPr>
        <w:t>מאי</w:t>
      </w:r>
      <w:r w:rsidRPr="00FE057B">
        <w:rPr>
          <w:rFonts w:cs="Arial"/>
          <w:rtl/>
        </w:rPr>
        <w:t xml:space="preserve"> </w:t>
      </w:r>
      <w:r w:rsidRPr="00FE057B">
        <w:rPr>
          <w:rFonts w:cs="Arial" w:hint="cs"/>
          <w:rtl/>
        </w:rPr>
        <w:t>טעמא</w:t>
      </w:r>
      <w:r w:rsidRPr="00FE057B">
        <w:rPr>
          <w:rFonts w:cs="Arial"/>
          <w:rtl/>
        </w:rPr>
        <w:t xml:space="preserve"> </w:t>
      </w:r>
      <w:r w:rsidRPr="00FE057B">
        <w:rPr>
          <w:rFonts w:cs="Arial" w:hint="cs"/>
          <w:rtl/>
        </w:rPr>
        <w:t>לא</w:t>
      </w:r>
      <w:r w:rsidRPr="00FE057B">
        <w:rPr>
          <w:rFonts w:cs="Arial"/>
          <w:rtl/>
        </w:rPr>
        <w:t xml:space="preserve"> </w:t>
      </w:r>
      <w:r w:rsidRPr="00FE057B">
        <w:rPr>
          <w:rFonts w:cs="Arial" w:hint="cs"/>
          <w:rtl/>
        </w:rPr>
        <w:t>אמר</w:t>
      </w:r>
      <w:r w:rsidRPr="00FE057B">
        <w:rPr>
          <w:rFonts w:cs="Arial"/>
          <w:rtl/>
        </w:rPr>
        <w:t xml:space="preserve"> </w:t>
      </w:r>
      <w:r w:rsidRPr="00FE057B">
        <w:rPr>
          <w:rFonts w:cs="Arial" w:hint="cs"/>
          <w:rtl/>
        </w:rPr>
        <w:t>כרב</w:t>
      </w:r>
      <w:r w:rsidRPr="00FE057B">
        <w:rPr>
          <w:rFonts w:cs="Arial"/>
          <w:rtl/>
        </w:rPr>
        <w:t xml:space="preserve"> </w:t>
      </w:r>
      <w:r w:rsidRPr="00FE057B">
        <w:rPr>
          <w:rFonts w:cs="Arial" w:hint="cs"/>
          <w:rtl/>
        </w:rPr>
        <w:t>פפא</w:t>
      </w:r>
      <w:r w:rsidRPr="00FE057B">
        <w:rPr>
          <w:rFonts w:cs="Arial"/>
          <w:rtl/>
        </w:rPr>
        <w:t xml:space="preserve">? </w:t>
      </w:r>
      <w:r w:rsidRPr="00FE057B">
        <w:rPr>
          <w:rFonts w:cs="Arial" w:hint="cs"/>
          <w:rtl/>
        </w:rPr>
        <w:t>מיבעי</w:t>
      </w:r>
      <w:r w:rsidRPr="00FE057B">
        <w:rPr>
          <w:rFonts w:cs="Arial"/>
          <w:rtl/>
        </w:rPr>
        <w:t xml:space="preserve"> </w:t>
      </w:r>
      <w:r w:rsidRPr="00FE057B">
        <w:rPr>
          <w:rFonts w:cs="Arial" w:hint="cs"/>
          <w:rtl/>
        </w:rPr>
        <w:t>ליה</w:t>
      </w:r>
      <w:r w:rsidRPr="00FE057B">
        <w:rPr>
          <w:rFonts w:cs="Arial"/>
          <w:rtl/>
        </w:rPr>
        <w:t xml:space="preserve"> </w:t>
      </w:r>
      <w:r w:rsidRPr="00FE057B">
        <w:rPr>
          <w:rFonts w:cs="Arial" w:hint="cs"/>
          <w:rtl/>
        </w:rPr>
        <w:t>לכדתניא</w:t>
      </w:r>
      <w:r w:rsidRPr="00FE057B">
        <w:rPr>
          <w:rFonts w:cs="Arial"/>
          <w:rtl/>
        </w:rPr>
        <w:t xml:space="preserve">: </w:t>
      </w:r>
      <w:r w:rsidRPr="00FE057B">
        <w:rPr>
          <w:rFonts w:cs="Arial" w:hint="cs"/>
          <w:rtl/>
        </w:rPr>
        <w:t>ועניתם</w:t>
      </w:r>
      <w:r w:rsidRPr="00FE057B">
        <w:rPr>
          <w:rFonts w:cs="Arial"/>
          <w:rtl/>
        </w:rPr>
        <w:t xml:space="preserve"> </w:t>
      </w:r>
      <w:r w:rsidRPr="00FE057B">
        <w:rPr>
          <w:rFonts w:cs="Arial" w:hint="cs"/>
          <w:rtl/>
        </w:rPr>
        <w:t>את</w:t>
      </w:r>
      <w:r w:rsidRPr="00FE057B">
        <w:rPr>
          <w:rFonts w:cs="Arial"/>
          <w:rtl/>
        </w:rPr>
        <w:t xml:space="preserve"> </w:t>
      </w:r>
      <w:r w:rsidRPr="00FE057B">
        <w:rPr>
          <w:rFonts w:cs="Arial" w:hint="cs"/>
          <w:rtl/>
        </w:rPr>
        <w:t>נפשתיכם</w:t>
      </w:r>
      <w:r w:rsidRPr="00FE057B">
        <w:rPr>
          <w:rFonts w:cs="Arial"/>
          <w:rtl/>
        </w:rPr>
        <w:t xml:space="preserve"> </w:t>
      </w:r>
      <w:r w:rsidRPr="00FE057B">
        <w:rPr>
          <w:rFonts w:cs="Arial" w:hint="cs"/>
          <w:rtl/>
        </w:rPr>
        <w:t>בתשעה</w:t>
      </w:r>
      <w:r w:rsidRPr="00FE057B">
        <w:rPr>
          <w:rFonts w:cs="Arial"/>
          <w:rtl/>
        </w:rPr>
        <w:t xml:space="preserve"> </w:t>
      </w:r>
      <w:r w:rsidRPr="00FE057B">
        <w:rPr>
          <w:rFonts w:cs="Arial" w:hint="cs"/>
          <w:rtl/>
        </w:rPr>
        <w:t>לחדש</w:t>
      </w:r>
      <w:r w:rsidRPr="00FE057B">
        <w:rPr>
          <w:rFonts w:cs="Arial"/>
          <w:rtl/>
        </w:rPr>
        <w:t xml:space="preserve">, </w:t>
      </w:r>
      <w:r w:rsidRPr="00FE057B">
        <w:rPr>
          <w:rFonts w:cs="Arial" w:hint="cs"/>
          <w:rtl/>
        </w:rPr>
        <w:t>יכול</w:t>
      </w:r>
      <w:r w:rsidRPr="00FE057B">
        <w:rPr>
          <w:rFonts w:cs="Arial"/>
          <w:rtl/>
        </w:rPr>
        <w:t xml:space="preserve"> </w:t>
      </w:r>
      <w:r w:rsidRPr="00FE057B">
        <w:rPr>
          <w:rFonts w:cs="Arial" w:hint="cs"/>
          <w:rtl/>
        </w:rPr>
        <w:t>יתחיל</w:t>
      </w:r>
      <w:r w:rsidRPr="00FE057B">
        <w:rPr>
          <w:rFonts w:cs="Arial"/>
          <w:rtl/>
        </w:rPr>
        <w:t xml:space="preserve"> </w:t>
      </w:r>
      <w:r w:rsidRPr="00FE057B">
        <w:rPr>
          <w:rFonts w:cs="Arial" w:hint="cs"/>
          <w:rtl/>
        </w:rPr>
        <w:t>ויתענה</w:t>
      </w:r>
      <w:r w:rsidRPr="00FE057B">
        <w:rPr>
          <w:rFonts w:cs="Arial"/>
          <w:rtl/>
        </w:rPr>
        <w:t xml:space="preserve"> </w:t>
      </w:r>
      <w:r w:rsidRPr="00FE057B">
        <w:rPr>
          <w:rFonts w:cs="Arial" w:hint="cs"/>
          <w:rtl/>
        </w:rPr>
        <w:t>בתשעה</w:t>
      </w:r>
      <w:r w:rsidRPr="00FE057B">
        <w:rPr>
          <w:rFonts w:cs="Arial"/>
          <w:rtl/>
        </w:rPr>
        <w:t xml:space="preserve"> - </w:t>
      </w:r>
      <w:r w:rsidRPr="00FE057B">
        <w:rPr>
          <w:rFonts w:cs="Arial" w:hint="cs"/>
          <w:rtl/>
        </w:rPr>
        <w:t>תלמוד</w:t>
      </w:r>
      <w:r w:rsidRPr="00FE057B">
        <w:rPr>
          <w:rFonts w:cs="Arial"/>
          <w:rtl/>
        </w:rPr>
        <w:t xml:space="preserve"> </w:t>
      </w:r>
      <w:r w:rsidRPr="00FE057B">
        <w:rPr>
          <w:rFonts w:cs="Arial" w:hint="cs"/>
          <w:rtl/>
        </w:rPr>
        <w:t>לומר</w:t>
      </w:r>
      <w:r w:rsidRPr="00FE057B">
        <w:rPr>
          <w:rFonts w:cs="Arial"/>
          <w:rtl/>
        </w:rPr>
        <w:t xml:space="preserve"> </w:t>
      </w:r>
      <w:r w:rsidRPr="00FE057B">
        <w:rPr>
          <w:rFonts w:cs="Arial" w:hint="cs"/>
          <w:rtl/>
        </w:rPr>
        <w:t>בערב</w:t>
      </w:r>
      <w:r w:rsidRPr="00FE057B">
        <w:rPr>
          <w:rFonts w:cs="Arial"/>
          <w:rtl/>
        </w:rPr>
        <w:t xml:space="preserve">. </w:t>
      </w:r>
      <w:r w:rsidRPr="00FE057B">
        <w:rPr>
          <w:rFonts w:cs="Arial" w:hint="cs"/>
          <w:rtl/>
        </w:rPr>
        <w:t>אי</w:t>
      </w:r>
      <w:r w:rsidRPr="00FE057B">
        <w:rPr>
          <w:rFonts w:cs="Arial"/>
          <w:rtl/>
        </w:rPr>
        <w:t xml:space="preserve"> </w:t>
      </w:r>
      <w:r w:rsidRPr="00FE057B">
        <w:rPr>
          <w:rFonts w:cs="Arial" w:hint="cs"/>
          <w:rtl/>
        </w:rPr>
        <w:t>בערב</w:t>
      </w:r>
      <w:r w:rsidRPr="00FE057B">
        <w:rPr>
          <w:rFonts w:cs="Arial"/>
          <w:rtl/>
        </w:rPr>
        <w:t xml:space="preserve"> - </w:t>
      </w:r>
      <w:r w:rsidRPr="00FE057B">
        <w:rPr>
          <w:rFonts w:cs="Arial" w:hint="cs"/>
          <w:rtl/>
        </w:rPr>
        <w:t>יכול</w:t>
      </w:r>
      <w:r w:rsidRPr="00FE057B">
        <w:rPr>
          <w:rFonts w:cs="Arial"/>
          <w:rtl/>
        </w:rPr>
        <w:t xml:space="preserve"> </w:t>
      </w:r>
      <w:r w:rsidRPr="00FE057B">
        <w:rPr>
          <w:rFonts w:cs="Arial" w:hint="cs"/>
          <w:rtl/>
        </w:rPr>
        <w:t>משתחשך</w:t>
      </w:r>
      <w:r w:rsidRPr="00FE057B">
        <w:rPr>
          <w:rFonts w:cs="Arial"/>
          <w:rtl/>
        </w:rPr>
        <w:t xml:space="preserve"> - </w:t>
      </w:r>
      <w:r w:rsidRPr="00FE057B">
        <w:rPr>
          <w:rFonts w:cs="Arial" w:hint="cs"/>
          <w:rtl/>
        </w:rPr>
        <w:t>תלמוד</w:t>
      </w:r>
      <w:r w:rsidRPr="00FE057B">
        <w:rPr>
          <w:rFonts w:cs="Arial"/>
          <w:rtl/>
        </w:rPr>
        <w:t xml:space="preserve"> </w:t>
      </w:r>
      <w:r w:rsidRPr="00FE057B">
        <w:rPr>
          <w:rFonts w:cs="Arial" w:hint="cs"/>
          <w:rtl/>
        </w:rPr>
        <w:t>לומר</w:t>
      </w:r>
      <w:r w:rsidRPr="00FE057B">
        <w:rPr>
          <w:rFonts w:cs="Arial"/>
          <w:rtl/>
        </w:rPr>
        <w:t xml:space="preserve"> </w:t>
      </w:r>
      <w:r w:rsidRPr="00FE057B">
        <w:rPr>
          <w:rFonts w:cs="Arial" w:hint="cs"/>
          <w:rtl/>
        </w:rPr>
        <w:t>בתשעה</w:t>
      </w:r>
      <w:r w:rsidRPr="00FE057B">
        <w:rPr>
          <w:rFonts w:cs="Arial"/>
          <w:rtl/>
        </w:rPr>
        <w:t xml:space="preserve">. </w:t>
      </w:r>
      <w:r w:rsidRPr="00FE057B">
        <w:rPr>
          <w:rFonts w:cs="Arial" w:hint="cs"/>
          <w:rtl/>
        </w:rPr>
        <w:t>הא</w:t>
      </w:r>
      <w:r w:rsidRPr="00FE057B">
        <w:rPr>
          <w:rFonts w:cs="Arial"/>
          <w:rtl/>
        </w:rPr>
        <w:t xml:space="preserve"> </w:t>
      </w:r>
      <w:r w:rsidRPr="00FE057B">
        <w:rPr>
          <w:rFonts w:cs="Arial" w:hint="cs"/>
          <w:rtl/>
        </w:rPr>
        <w:t>כיצד</w:t>
      </w:r>
      <w:r w:rsidRPr="00FE057B">
        <w:rPr>
          <w:rFonts w:cs="Arial"/>
          <w:rtl/>
        </w:rPr>
        <w:t xml:space="preserve">? </w:t>
      </w:r>
      <w:r w:rsidRPr="00FE057B">
        <w:rPr>
          <w:rFonts w:cs="Arial" w:hint="cs"/>
          <w:rtl/>
        </w:rPr>
        <w:t>מתחיל</w:t>
      </w:r>
      <w:r w:rsidRPr="00FE057B">
        <w:rPr>
          <w:rFonts w:cs="Arial"/>
          <w:rtl/>
        </w:rPr>
        <w:t xml:space="preserve"> </w:t>
      </w:r>
      <w:r w:rsidRPr="00FE057B">
        <w:rPr>
          <w:rFonts w:cs="Arial" w:hint="cs"/>
          <w:rtl/>
        </w:rPr>
        <w:t>ומתענה</w:t>
      </w:r>
      <w:r w:rsidRPr="00FE057B">
        <w:rPr>
          <w:rFonts w:cs="Arial"/>
          <w:rtl/>
        </w:rPr>
        <w:t xml:space="preserve"> </w:t>
      </w:r>
      <w:r w:rsidRPr="00FE057B">
        <w:rPr>
          <w:rFonts w:cs="Arial" w:hint="cs"/>
          <w:rtl/>
        </w:rPr>
        <w:t>מבעוד</w:t>
      </w:r>
      <w:r w:rsidRPr="00FE057B">
        <w:rPr>
          <w:rFonts w:cs="Arial"/>
          <w:rtl/>
        </w:rPr>
        <w:t xml:space="preserve"> </w:t>
      </w:r>
      <w:r w:rsidRPr="00FE057B">
        <w:rPr>
          <w:rFonts w:cs="Arial" w:hint="cs"/>
          <w:rtl/>
        </w:rPr>
        <w:t>יום</w:t>
      </w:r>
      <w:r w:rsidRPr="00FE057B">
        <w:rPr>
          <w:rFonts w:cs="Arial"/>
          <w:rtl/>
        </w:rPr>
        <w:t xml:space="preserve">. </w:t>
      </w:r>
      <w:r w:rsidRPr="00FE057B">
        <w:rPr>
          <w:rFonts w:cs="Arial" w:hint="cs"/>
          <w:rtl/>
        </w:rPr>
        <w:t>מכאן</w:t>
      </w:r>
      <w:r w:rsidRPr="00FE057B">
        <w:rPr>
          <w:rFonts w:cs="Arial"/>
          <w:rtl/>
        </w:rPr>
        <w:t xml:space="preserve"> </w:t>
      </w:r>
      <w:r w:rsidRPr="00FE057B">
        <w:rPr>
          <w:rFonts w:cs="Arial" w:hint="cs"/>
          <w:rtl/>
        </w:rPr>
        <w:t>שמוסיפין</w:t>
      </w:r>
      <w:r w:rsidRPr="00FE057B">
        <w:rPr>
          <w:rFonts w:cs="Arial"/>
          <w:rtl/>
        </w:rPr>
        <w:t xml:space="preserve"> </w:t>
      </w:r>
      <w:r w:rsidRPr="00FE057B">
        <w:rPr>
          <w:rFonts w:cs="Arial" w:hint="cs"/>
          <w:rtl/>
        </w:rPr>
        <w:t>מחול</w:t>
      </w:r>
      <w:r w:rsidRPr="00FE057B">
        <w:rPr>
          <w:rFonts w:cs="Arial"/>
          <w:rtl/>
        </w:rPr>
        <w:t xml:space="preserve"> </w:t>
      </w:r>
      <w:r w:rsidRPr="00FE057B">
        <w:rPr>
          <w:rFonts w:cs="Arial" w:hint="cs"/>
          <w:rtl/>
        </w:rPr>
        <w:t>על</w:t>
      </w:r>
      <w:r w:rsidRPr="00FE057B">
        <w:rPr>
          <w:rFonts w:cs="Arial"/>
          <w:rtl/>
        </w:rPr>
        <w:t xml:space="preserve"> </w:t>
      </w:r>
      <w:r w:rsidRPr="00FE057B">
        <w:rPr>
          <w:rFonts w:cs="Arial" w:hint="cs"/>
          <w:rtl/>
        </w:rPr>
        <w:t>הקודש</w:t>
      </w:r>
      <w:r w:rsidRPr="00FE057B">
        <w:rPr>
          <w:rFonts w:cs="Arial"/>
          <w:rtl/>
        </w:rPr>
        <w:t xml:space="preserve">. </w:t>
      </w:r>
      <w:r w:rsidRPr="00FE057B">
        <w:rPr>
          <w:rFonts w:cs="Arial" w:hint="cs"/>
          <w:rtl/>
        </w:rPr>
        <w:t>ואין</w:t>
      </w:r>
      <w:r w:rsidRPr="00FE057B">
        <w:rPr>
          <w:rFonts w:cs="Arial"/>
          <w:rtl/>
        </w:rPr>
        <w:t xml:space="preserve"> </w:t>
      </w:r>
      <w:r w:rsidRPr="00FE057B">
        <w:rPr>
          <w:rFonts w:cs="Arial" w:hint="cs"/>
          <w:rtl/>
        </w:rPr>
        <w:t>לי</w:t>
      </w:r>
      <w:r w:rsidRPr="00FE057B">
        <w:rPr>
          <w:rFonts w:cs="Arial"/>
          <w:rtl/>
        </w:rPr>
        <w:t xml:space="preserve"> </w:t>
      </w:r>
      <w:r w:rsidRPr="00FE057B">
        <w:rPr>
          <w:rFonts w:cs="Arial" w:hint="cs"/>
          <w:rtl/>
        </w:rPr>
        <w:t>אלא</w:t>
      </w:r>
      <w:r w:rsidRPr="00FE057B">
        <w:rPr>
          <w:rFonts w:cs="Arial"/>
          <w:rtl/>
        </w:rPr>
        <w:t xml:space="preserve"> </w:t>
      </w:r>
      <w:r w:rsidRPr="00FE057B">
        <w:rPr>
          <w:rFonts w:cs="Arial" w:hint="cs"/>
          <w:rtl/>
        </w:rPr>
        <w:t>בכניסתו</w:t>
      </w:r>
      <w:r w:rsidRPr="00FE057B">
        <w:rPr>
          <w:rFonts w:cs="Arial"/>
          <w:rtl/>
        </w:rPr>
        <w:t xml:space="preserve">, </w:t>
      </w:r>
      <w:r w:rsidRPr="00FE057B">
        <w:rPr>
          <w:rFonts w:cs="Arial" w:hint="cs"/>
          <w:rtl/>
        </w:rPr>
        <w:t>ביציאתו</w:t>
      </w:r>
      <w:r w:rsidRPr="00FE057B">
        <w:rPr>
          <w:rFonts w:cs="Arial"/>
          <w:rtl/>
        </w:rPr>
        <w:t xml:space="preserve"> </w:t>
      </w:r>
      <w:r w:rsidRPr="00FE057B">
        <w:rPr>
          <w:rFonts w:cs="Arial" w:hint="cs"/>
          <w:rtl/>
        </w:rPr>
        <w:t>מנין</w:t>
      </w:r>
      <w:r w:rsidRPr="00FE057B">
        <w:rPr>
          <w:rFonts w:cs="Arial"/>
          <w:rtl/>
        </w:rPr>
        <w:t xml:space="preserve">? </w:t>
      </w:r>
      <w:r w:rsidRPr="00FE057B">
        <w:rPr>
          <w:rFonts w:cs="Arial" w:hint="cs"/>
          <w:rtl/>
        </w:rPr>
        <w:t>תלמוד</w:t>
      </w:r>
      <w:r w:rsidRPr="00FE057B">
        <w:rPr>
          <w:rFonts w:cs="Arial"/>
          <w:rtl/>
        </w:rPr>
        <w:t xml:space="preserve"> </w:t>
      </w:r>
      <w:r w:rsidRPr="00FE057B">
        <w:rPr>
          <w:rFonts w:cs="Arial" w:hint="cs"/>
          <w:rtl/>
        </w:rPr>
        <w:t>לומר</w:t>
      </w:r>
      <w:r w:rsidRPr="00FE057B">
        <w:rPr>
          <w:rFonts w:cs="Arial"/>
          <w:rtl/>
        </w:rPr>
        <w:t xml:space="preserve"> </w:t>
      </w:r>
      <w:r w:rsidRPr="00FE057B">
        <w:rPr>
          <w:rFonts w:cs="Arial" w:hint="cs"/>
          <w:rtl/>
        </w:rPr>
        <w:t>מערב</w:t>
      </w:r>
      <w:r w:rsidRPr="00FE057B">
        <w:rPr>
          <w:rFonts w:cs="Arial"/>
          <w:rtl/>
        </w:rPr>
        <w:t xml:space="preserve"> </w:t>
      </w:r>
      <w:r w:rsidRPr="00FE057B">
        <w:rPr>
          <w:rFonts w:cs="Arial" w:hint="cs"/>
          <w:rtl/>
        </w:rPr>
        <w:t>עד</w:t>
      </w:r>
      <w:r w:rsidRPr="00FE057B">
        <w:rPr>
          <w:rFonts w:cs="Arial"/>
          <w:rtl/>
        </w:rPr>
        <w:t xml:space="preserve"> </w:t>
      </w:r>
      <w:r w:rsidRPr="00FE057B">
        <w:rPr>
          <w:rFonts w:cs="Arial" w:hint="cs"/>
          <w:rtl/>
        </w:rPr>
        <w:t>ערב</w:t>
      </w:r>
      <w:r w:rsidRPr="00FE057B">
        <w:rPr>
          <w:rFonts w:cs="Arial"/>
          <w:rtl/>
        </w:rPr>
        <w:t xml:space="preserve">. </w:t>
      </w:r>
      <w:r w:rsidRPr="00FE057B">
        <w:rPr>
          <w:rFonts w:cs="Arial" w:hint="cs"/>
          <w:rtl/>
        </w:rPr>
        <w:t>ואין</w:t>
      </w:r>
      <w:r w:rsidRPr="00FE057B">
        <w:rPr>
          <w:rFonts w:cs="Arial"/>
          <w:rtl/>
        </w:rPr>
        <w:t xml:space="preserve"> </w:t>
      </w:r>
      <w:r w:rsidRPr="00FE057B">
        <w:rPr>
          <w:rFonts w:cs="Arial" w:hint="cs"/>
          <w:rtl/>
        </w:rPr>
        <w:t>לי</w:t>
      </w:r>
      <w:r w:rsidRPr="00FE057B">
        <w:rPr>
          <w:rFonts w:cs="Arial"/>
          <w:rtl/>
        </w:rPr>
        <w:t xml:space="preserve"> </w:t>
      </w:r>
      <w:r w:rsidRPr="00FE057B">
        <w:rPr>
          <w:rFonts w:cs="Arial" w:hint="cs"/>
          <w:rtl/>
        </w:rPr>
        <w:t>אלא</w:t>
      </w:r>
      <w:r w:rsidRPr="00FE057B">
        <w:rPr>
          <w:rFonts w:cs="Arial"/>
          <w:rtl/>
        </w:rPr>
        <w:t xml:space="preserve"> </w:t>
      </w:r>
      <w:r w:rsidRPr="00FE057B">
        <w:rPr>
          <w:rFonts w:cs="Arial" w:hint="cs"/>
          <w:rtl/>
        </w:rPr>
        <w:t>יום</w:t>
      </w:r>
      <w:r w:rsidRPr="00FE057B">
        <w:rPr>
          <w:rFonts w:cs="Arial"/>
          <w:rtl/>
        </w:rPr>
        <w:t xml:space="preserve"> </w:t>
      </w:r>
      <w:r w:rsidRPr="00FE057B">
        <w:rPr>
          <w:rFonts w:cs="Arial" w:hint="cs"/>
          <w:rtl/>
        </w:rPr>
        <w:t>הכפורים</w:t>
      </w:r>
      <w:r w:rsidRPr="00FE057B">
        <w:rPr>
          <w:rFonts w:cs="Arial"/>
          <w:rtl/>
        </w:rPr>
        <w:t xml:space="preserve">, </w:t>
      </w:r>
      <w:r w:rsidRPr="00FE057B">
        <w:rPr>
          <w:rFonts w:cs="Arial" w:hint="cs"/>
          <w:rtl/>
        </w:rPr>
        <w:t>שבתו</w:t>
      </w:r>
      <w:r>
        <w:rPr>
          <w:rFonts w:cs="Arial" w:hint="cs"/>
          <w:rtl/>
        </w:rPr>
        <w:t>ת</w:t>
      </w:r>
      <w:r w:rsidRPr="00FE057B">
        <w:rPr>
          <w:rFonts w:cs="Arial"/>
          <w:rtl/>
        </w:rPr>
        <w:t xml:space="preserve"> </w:t>
      </w:r>
      <w:r w:rsidRPr="00FE057B">
        <w:rPr>
          <w:rFonts w:cs="Arial" w:hint="cs"/>
          <w:rtl/>
        </w:rPr>
        <w:t>מניין</w:t>
      </w:r>
      <w:r w:rsidRPr="00FE057B">
        <w:rPr>
          <w:rFonts w:cs="Arial"/>
          <w:rtl/>
        </w:rPr>
        <w:t xml:space="preserve">? </w:t>
      </w:r>
      <w:r w:rsidRPr="00FE057B">
        <w:rPr>
          <w:rFonts w:cs="Arial" w:hint="cs"/>
          <w:rtl/>
        </w:rPr>
        <w:t>תלמוד</w:t>
      </w:r>
      <w:r w:rsidRPr="00FE057B">
        <w:rPr>
          <w:rFonts w:cs="Arial"/>
          <w:rtl/>
        </w:rPr>
        <w:t xml:space="preserve"> </w:t>
      </w:r>
      <w:r w:rsidRPr="00FE057B">
        <w:rPr>
          <w:rFonts w:cs="Arial" w:hint="cs"/>
          <w:rtl/>
        </w:rPr>
        <w:t>לומר</w:t>
      </w:r>
      <w:r w:rsidRPr="00FE057B">
        <w:rPr>
          <w:rFonts w:cs="Arial"/>
          <w:rtl/>
        </w:rPr>
        <w:t xml:space="preserve"> </w:t>
      </w:r>
      <w:r w:rsidRPr="00FE057B">
        <w:rPr>
          <w:rFonts w:cs="Arial" w:hint="cs"/>
          <w:rtl/>
        </w:rPr>
        <w:t>תשבתו</w:t>
      </w:r>
      <w:r w:rsidRPr="00FE057B">
        <w:rPr>
          <w:rFonts w:cs="Arial"/>
          <w:rtl/>
        </w:rPr>
        <w:t xml:space="preserve">. </w:t>
      </w:r>
      <w:r w:rsidRPr="00FE057B">
        <w:rPr>
          <w:rFonts w:cs="Arial" w:hint="cs"/>
          <w:rtl/>
        </w:rPr>
        <w:t>אין</w:t>
      </w:r>
      <w:r w:rsidRPr="00FE057B">
        <w:rPr>
          <w:rFonts w:cs="Arial"/>
          <w:rtl/>
        </w:rPr>
        <w:t xml:space="preserve"> </w:t>
      </w:r>
      <w:r w:rsidRPr="00FE057B">
        <w:rPr>
          <w:rFonts w:cs="Arial" w:hint="cs"/>
          <w:rtl/>
        </w:rPr>
        <w:t>לי</w:t>
      </w:r>
      <w:r w:rsidRPr="00FE057B">
        <w:rPr>
          <w:rFonts w:cs="Arial"/>
          <w:rtl/>
        </w:rPr>
        <w:t xml:space="preserve"> </w:t>
      </w:r>
      <w:r w:rsidRPr="00FE057B">
        <w:rPr>
          <w:rFonts w:cs="Arial" w:hint="cs"/>
          <w:rtl/>
        </w:rPr>
        <w:t>אלא</w:t>
      </w:r>
      <w:r w:rsidRPr="00FE057B">
        <w:rPr>
          <w:rFonts w:cs="Arial"/>
          <w:rtl/>
        </w:rPr>
        <w:t xml:space="preserve"> </w:t>
      </w:r>
      <w:r w:rsidRPr="00FE057B">
        <w:rPr>
          <w:rFonts w:cs="Arial" w:hint="cs"/>
          <w:rtl/>
        </w:rPr>
        <w:t>שבתות</w:t>
      </w:r>
      <w:r w:rsidRPr="00FE057B">
        <w:rPr>
          <w:rFonts w:cs="Arial"/>
          <w:rtl/>
        </w:rPr>
        <w:t xml:space="preserve">, </w:t>
      </w:r>
      <w:r w:rsidRPr="00FE057B">
        <w:rPr>
          <w:rFonts w:cs="Arial" w:hint="cs"/>
          <w:rtl/>
        </w:rPr>
        <w:t>ימים</w:t>
      </w:r>
      <w:r w:rsidRPr="00FE057B">
        <w:rPr>
          <w:rFonts w:cs="Arial"/>
          <w:rtl/>
        </w:rPr>
        <w:t xml:space="preserve"> </w:t>
      </w:r>
      <w:r w:rsidRPr="00FE057B">
        <w:rPr>
          <w:rFonts w:cs="Arial" w:hint="cs"/>
          <w:rtl/>
        </w:rPr>
        <w:t>טובים</w:t>
      </w:r>
      <w:r w:rsidRPr="00FE057B">
        <w:rPr>
          <w:rFonts w:cs="Arial"/>
          <w:rtl/>
        </w:rPr>
        <w:t xml:space="preserve"> </w:t>
      </w:r>
      <w:r w:rsidRPr="00FE057B">
        <w:rPr>
          <w:rFonts w:cs="Arial" w:hint="cs"/>
          <w:rtl/>
        </w:rPr>
        <w:t>מנין</w:t>
      </w:r>
      <w:r w:rsidRPr="00FE057B">
        <w:rPr>
          <w:rFonts w:cs="Arial"/>
          <w:rtl/>
        </w:rPr>
        <w:t xml:space="preserve">? </w:t>
      </w:r>
      <w:r w:rsidRPr="00FE057B">
        <w:rPr>
          <w:rFonts w:cs="Arial" w:hint="cs"/>
          <w:rtl/>
        </w:rPr>
        <w:t>תלמוד</w:t>
      </w:r>
      <w:r w:rsidRPr="00FE057B">
        <w:rPr>
          <w:rFonts w:cs="Arial"/>
          <w:rtl/>
        </w:rPr>
        <w:t xml:space="preserve"> </w:t>
      </w:r>
      <w:r w:rsidRPr="00FE057B">
        <w:rPr>
          <w:rFonts w:cs="Arial" w:hint="cs"/>
          <w:rtl/>
        </w:rPr>
        <w:t>לומר</w:t>
      </w:r>
      <w:r w:rsidRPr="00FE057B">
        <w:rPr>
          <w:rFonts w:cs="Arial"/>
          <w:rtl/>
        </w:rPr>
        <w:t xml:space="preserve"> </w:t>
      </w:r>
      <w:r w:rsidRPr="00FE057B">
        <w:rPr>
          <w:rFonts w:cs="Arial" w:hint="cs"/>
          <w:rtl/>
        </w:rPr>
        <w:t>שבתכם</w:t>
      </w:r>
      <w:r w:rsidRPr="00FE057B">
        <w:rPr>
          <w:rFonts w:cs="Arial"/>
          <w:rtl/>
        </w:rPr>
        <w:t xml:space="preserve">. </w:t>
      </w:r>
      <w:r w:rsidRPr="00FE057B">
        <w:rPr>
          <w:rFonts w:cs="Arial" w:hint="cs"/>
          <w:rtl/>
        </w:rPr>
        <w:t>הא</w:t>
      </w:r>
      <w:r w:rsidRPr="00FE057B">
        <w:rPr>
          <w:rFonts w:cs="Arial"/>
          <w:rtl/>
        </w:rPr>
        <w:t xml:space="preserve"> </w:t>
      </w:r>
      <w:r w:rsidRPr="00FE057B">
        <w:rPr>
          <w:rFonts w:cs="Arial" w:hint="cs"/>
          <w:rtl/>
        </w:rPr>
        <w:t>כיצד</w:t>
      </w:r>
      <w:r w:rsidRPr="00FE057B">
        <w:rPr>
          <w:rFonts w:cs="Arial"/>
          <w:rtl/>
        </w:rPr>
        <w:t xml:space="preserve">? </w:t>
      </w:r>
      <w:r w:rsidRPr="00FE057B">
        <w:rPr>
          <w:rFonts w:cs="Arial" w:hint="cs"/>
          <w:rtl/>
        </w:rPr>
        <w:t>כל</w:t>
      </w:r>
      <w:r w:rsidRPr="00FE057B">
        <w:rPr>
          <w:rFonts w:cs="Arial"/>
          <w:rtl/>
        </w:rPr>
        <w:t xml:space="preserve"> </w:t>
      </w:r>
      <w:r w:rsidRPr="00FE057B">
        <w:rPr>
          <w:rFonts w:cs="Arial" w:hint="cs"/>
          <w:rtl/>
        </w:rPr>
        <w:t>מקום</w:t>
      </w:r>
      <w:r w:rsidRPr="00FE057B">
        <w:rPr>
          <w:rFonts w:cs="Arial"/>
          <w:rtl/>
        </w:rPr>
        <w:t xml:space="preserve"> </w:t>
      </w:r>
      <w:r w:rsidRPr="00FE057B">
        <w:rPr>
          <w:rFonts w:cs="Arial" w:hint="cs"/>
          <w:rtl/>
        </w:rPr>
        <w:t>שנאמר</w:t>
      </w:r>
      <w:r w:rsidRPr="00FE057B">
        <w:rPr>
          <w:rFonts w:cs="Arial"/>
          <w:rtl/>
        </w:rPr>
        <w:t xml:space="preserve"> </w:t>
      </w:r>
      <w:r w:rsidRPr="00FE057B">
        <w:rPr>
          <w:rFonts w:cs="Arial" w:hint="cs"/>
          <w:rtl/>
        </w:rPr>
        <w:t>שבות</w:t>
      </w:r>
      <w:r w:rsidRPr="00FE057B">
        <w:rPr>
          <w:rFonts w:cs="Arial"/>
          <w:rtl/>
        </w:rPr>
        <w:t xml:space="preserve"> </w:t>
      </w:r>
      <w:r>
        <w:rPr>
          <w:rFonts w:cs="Arial"/>
          <w:rtl/>
        </w:rPr>
        <w:t>–</w:t>
      </w:r>
      <w:r w:rsidRPr="00FE057B">
        <w:rPr>
          <w:rFonts w:cs="Arial"/>
          <w:rtl/>
        </w:rPr>
        <w:t xml:space="preserve"> </w:t>
      </w:r>
      <w:r w:rsidRPr="00FE057B">
        <w:rPr>
          <w:rFonts w:cs="Arial" w:hint="cs"/>
          <w:rtl/>
        </w:rPr>
        <w:t>מוסיפין</w:t>
      </w:r>
      <w:r w:rsidRPr="00FE057B">
        <w:rPr>
          <w:rFonts w:cs="Arial"/>
          <w:rtl/>
        </w:rPr>
        <w:t xml:space="preserve"> </w:t>
      </w:r>
      <w:r w:rsidRPr="00FE057B">
        <w:rPr>
          <w:rFonts w:cs="Arial" w:hint="cs"/>
          <w:rtl/>
        </w:rPr>
        <w:t>מחול</w:t>
      </w:r>
      <w:r w:rsidRPr="00FE057B">
        <w:rPr>
          <w:rFonts w:cs="Arial"/>
          <w:rtl/>
        </w:rPr>
        <w:t xml:space="preserve"> </w:t>
      </w:r>
      <w:r w:rsidRPr="00FE057B">
        <w:rPr>
          <w:rFonts w:cs="Arial" w:hint="cs"/>
          <w:rtl/>
        </w:rPr>
        <w:t>על</w:t>
      </w:r>
      <w:r w:rsidRPr="00FE057B">
        <w:rPr>
          <w:rFonts w:cs="Arial"/>
          <w:rtl/>
        </w:rPr>
        <w:t xml:space="preserve"> </w:t>
      </w:r>
      <w:r w:rsidRPr="00FE057B">
        <w:rPr>
          <w:rFonts w:cs="Arial" w:hint="cs"/>
          <w:rtl/>
        </w:rPr>
        <w:t>הקודש</w:t>
      </w:r>
      <w:r w:rsidRPr="00FE057B">
        <w:rPr>
          <w:rFonts w:cs="Arial"/>
          <w:rtl/>
        </w:rPr>
        <w:t>.</w:t>
      </w:r>
    </w:p>
    <w:p w14:paraId="5BCB3EC4" w14:textId="77777777" w:rsidR="004B2E7C" w:rsidRDefault="004B2E7C" w:rsidP="00434A6A">
      <w:pPr>
        <w:rPr>
          <w:rFonts w:cs="Arial"/>
          <w:rtl/>
        </w:rPr>
      </w:pPr>
      <w:r w:rsidRPr="00FE057B">
        <w:rPr>
          <w:rFonts w:cs="Arial" w:hint="cs"/>
          <w:u w:val="single"/>
          <w:rtl/>
        </w:rPr>
        <w:t>האם צריך להוסיף מחול על הקודש בשבת</w:t>
      </w:r>
      <w:r>
        <w:rPr>
          <w:rFonts w:cs="Arial" w:hint="cs"/>
          <w:sz w:val="16"/>
          <w:szCs w:val="16"/>
          <w:u w:val="single"/>
          <w:rtl/>
        </w:rPr>
        <w:t xml:space="preserve"> (תוספת שבת)</w:t>
      </w:r>
      <w:r w:rsidRPr="00FE057B">
        <w:rPr>
          <w:rFonts w:cs="Arial" w:hint="cs"/>
          <w:u w:val="single"/>
          <w:rtl/>
        </w:rPr>
        <w:t>:</w:t>
      </w:r>
    </w:p>
    <w:p w14:paraId="1F33BFB8" w14:textId="77777777" w:rsidR="004B2E7C" w:rsidRDefault="004B2E7C" w:rsidP="00FF2D21">
      <w:pPr>
        <w:pStyle w:val="aa"/>
        <w:numPr>
          <w:ilvl w:val="0"/>
          <w:numId w:val="87"/>
        </w:numPr>
        <w:rPr>
          <w:rFonts w:cs="Arial"/>
        </w:rPr>
      </w:pPr>
      <w:r w:rsidRPr="007B69FB">
        <w:rPr>
          <w:rFonts w:cs="Arial" w:hint="cs"/>
          <w:rtl/>
        </w:rPr>
        <w:t>רי</w:t>
      </w:r>
      <w:r w:rsidRPr="007B69FB">
        <w:rPr>
          <w:rFonts w:cs="Arial"/>
          <w:rtl/>
        </w:rPr>
        <w:t>"</w:t>
      </w:r>
      <w:r w:rsidRPr="007B69FB">
        <w:rPr>
          <w:rFonts w:cs="Arial" w:hint="cs"/>
          <w:rtl/>
        </w:rPr>
        <w:t>ף</w:t>
      </w:r>
      <w:r w:rsidRPr="007B69FB">
        <w:rPr>
          <w:rFonts w:cs="Arial"/>
          <w:rtl/>
        </w:rPr>
        <w:t xml:space="preserve"> </w:t>
      </w:r>
      <w:r w:rsidRPr="007B69FB">
        <w:rPr>
          <w:rFonts w:cs="Arial"/>
          <w:sz w:val="16"/>
          <w:szCs w:val="16"/>
          <w:rtl/>
        </w:rPr>
        <w:t>(</w:t>
      </w:r>
      <w:r w:rsidRPr="007B69FB">
        <w:rPr>
          <w:rFonts w:cs="Arial" w:hint="cs"/>
          <w:sz w:val="16"/>
          <w:szCs w:val="16"/>
          <w:rtl/>
        </w:rPr>
        <w:t>יומא</w:t>
      </w:r>
      <w:r w:rsidRPr="007B69FB">
        <w:rPr>
          <w:rFonts w:cs="Arial"/>
          <w:sz w:val="16"/>
          <w:szCs w:val="16"/>
          <w:rtl/>
        </w:rPr>
        <w:t xml:space="preserve"> </w:t>
      </w:r>
      <w:r w:rsidRPr="007B69FB">
        <w:rPr>
          <w:rFonts w:cs="Arial" w:hint="cs"/>
          <w:sz w:val="16"/>
          <w:szCs w:val="16"/>
          <w:rtl/>
        </w:rPr>
        <w:t>ב</w:t>
      </w:r>
      <w:r w:rsidRPr="007B69FB">
        <w:rPr>
          <w:rFonts w:cs="Arial"/>
          <w:sz w:val="16"/>
          <w:szCs w:val="16"/>
          <w:rtl/>
        </w:rPr>
        <w:t>:)</w:t>
      </w:r>
      <w:r w:rsidRPr="007B69FB">
        <w:rPr>
          <w:rFonts w:cs="Arial"/>
          <w:rtl/>
        </w:rPr>
        <w:t xml:space="preserve"> </w:t>
      </w:r>
      <w:r w:rsidRPr="007B69FB">
        <w:rPr>
          <w:rFonts w:cs="Arial" w:hint="cs"/>
          <w:rtl/>
        </w:rPr>
        <w:t>ורא</w:t>
      </w:r>
      <w:r w:rsidRPr="007B69FB">
        <w:rPr>
          <w:rFonts w:cs="Arial"/>
          <w:rtl/>
        </w:rPr>
        <w:t>"</w:t>
      </w:r>
      <w:r w:rsidRPr="007B69FB">
        <w:rPr>
          <w:rFonts w:cs="Arial" w:hint="cs"/>
          <w:rtl/>
        </w:rPr>
        <w:t>ש</w:t>
      </w:r>
      <w:r w:rsidRPr="007B69FB">
        <w:rPr>
          <w:rFonts w:cs="Arial"/>
          <w:rtl/>
        </w:rPr>
        <w:t xml:space="preserve"> </w:t>
      </w:r>
      <w:r w:rsidRPr="007B69FB">
        <w:rPr>
          <w:rFonts w:cs="Arial"/>
          <w:sz w:val="16"/>
          <w:szCs w:val="16"/>
          <w:rtl/>
        </w:rPr>
        <w:t>(</w:t>
      </w:r>
      <w:r w:rsidRPr="007B69FB">
        <w:rPr>
          <w:rFonts w:cs="Arial" w:hint="cs"/>
          <w:sz w:val="16"/>
          <w:szCs w:val="16"/>
          <w:rtl/>
        </w:rPr>
        <w:t>יומא</w:t>
      </w:r>
      <w:r w:rsidRPr="007B69FB">
        <w:rPr>
          <w:rFonts w:cs="Arial"/>
          <w:sz w:val="16"/>
          <w:szCs w:val="16"/>
          <w:rtl/>
        </w:rPr>
        <w:t xml:space="preserve"> </w:t>
      </w:r>
      <w:r w:rsidRPr="007B69FB">
        <w:rPr>
          <w:rFonts w:cs="Arial" w:hint="cs"/>
          <w:sz w:val="16"/>
          <w:szCs w:val="16"/>
          <w:rtl/>
        </w:rPr>
        <w:t>פ</w:t>
      </w:r>
      <w:r w:rsidRPr="007B69FB">
        <w:rPr>
          <w:rFonts w:cs="Arial"/>
          <w:sz w:val="16"/>
          <w:szCs w:val="16"/>
          <w:rtl/>
        </w:rPr>
        <w:t>"</w:t>
      </w:r>
      <w:r w:rsidRPr="007B69FB">
        <w:rPr>
          <w:rFonts w:cs="Arial" w:hint="cs"/>
          <w:sz w:val="16"/>
          <w:szCs w:val="16"/>
          <w:rtl/>
        </w:rPr>
        <w:t>ח</w:t>
      </w:r>
      <w:r w:rsidRPr="007B69FB">
        <w:rPr>
          <w:rFonts w:cs="Arial"/>
          <w:sz w:val="16"/>
          <w:szCs w:val="16"/>
          <w:rtl/>
        </w:rPr>
        <w:t xml:space="preserve"> </w:t>
      </w:r>
      <w:r w:rsidRPr="007B69FB">
        <w:rPr>
          <w:rFonts w:cs="Arial" w:hint="cs"/>
          <w:sz w:val="16"/>
          <w:szCs w:val="16"/>
          <w:rtl/>
        </w:rPr>
        <w:t>סי</w:t>
      </w:r>
      <w:r w:rsidRPr="007B69FB">
        <w:rPr>
          <w:rFonts w:cs="Arial"/>
          <w:sz w:val="16"/>
          <w:szCs w:val="16"/>
          <w:rtl/>
        </w:rPr>
        <w:t xml:space="preserve">' </w:t>
      </w:r>
      <w:r w:rsidRPr="007B69FB">
        <w:rPr>
          <w:rFonts w:cs="Arial" w:hint="cs"/>
          <w:sz w:val="16"/>
          <w:szCs w:val="16"/>
          <w:rtl/>
        </w:rPr>
        <w:t>ח</w:t>
      </w:r>
      <w:r w:rsidRPr="007B69FB">
        <w:rPr>
          <w:rFonts w:cs="Arial"/>
          <w:sz w:val="16"/>
          <w:szCs w:val="16"/>
          <w:rtl/>
        </w:rPr>
        <w:t>)</w:t>
      </w:r>
      <w:r>
        <w:rPr>
          <w:rFonts w:cs="Arial" w:hint="cs"/>
          <w:rtl/>
        </w:rPr>
        <w:t>-</w:t>
      </w:r>
      <w:r w:rsidRPr="007B69FB">
        <w:rPr>
          <w:rFonts w:cs="Arial"/>
          <w:rtl/>
        </w:rPr>
        <w:t xml:space="preserve"> </w:t>
      </w:r>
      <w:r w:rsidRPr="007B69FB">
        <w:rPr>
          <w:rFonts w:cs="Arial" w:hint="cs"/>
          <w:rtl/>
        </w:rPr>
        <w:t>כל</w:t>
      </w:r>
      <w:r w:rsidRPr="007B69FB">
        <w:rPr>
          <w:rFonts w:cs="Arial"/>
          <w:rtl/>
        </w:rPr>
        <w:t xml:space="preserve"> </w:t>
      </w:r>
      <w:r w:rsidRPr="007B69FB">
        <w:rPr>
          <w:rFonts w:cs="Arial" w:hint="cs"/>
          <w:rtl/>
        </w:rPr>
        <w:t>שבת</w:t>
      </w:r>
      <w:r w:rsidRPr="007B69FB">
        <w:rPr>
          <w:rFonts w:cs="Arial"/>
          <w:rtl/>
        </w:rPr>
        <w:t xml:space="preserve"> </w:t>
      </w:r>
      <w:r w:rsidRPr="007B69FB">
        <w:rPr>
          <w:rFonts w:cs="Arial" w:hint="cs"/>
          <w:rtl/>
        </w:rPr>
        <w:t>שאתה</w:t>
      </w:r>
      <w:r w:rsidRPr="007B69FB">
        <w:rPr>
          <w:rFonts w:cs="Arial"/>
          <w:rtl/>
        </w:rPr>
        <w:t xml:space="preserve"> </w:t>
      </w:r>
      <w:r w:rsidRPr="007B69FB">
        <w:rPr>
          <w:rFonts w:cs="Arial" w:hint="cs"/>
          <w:rtl/>
        </w:rPr>
        <w:t>שובת</w:t>
      </w:r>
      <w:r w:rsidRPr="007B69FB">
        <w:rPr>
          <w:rFonts w:cs="Arial"/>
          <w:rtl/>
        </w:rPr>
        <w:t xml:space="preserve"> </w:t>
      </w:r>
      <w:r w:rsidRPr="007B69FB">
        <w:rPr>
          <w:rFonts w:cs="Arial" w:hint="cs"/>
          <w:rtl/>
        </w:rPr>
        <w:t>אתה</w:t>
      </w:r>
      <w:r w:rsidRPr="007B69FB">
        <w:rPr>
          <w:rFonts w:cs="Arial"/>
          <w:rtl/>
        </w:rPr>
        <w:t xml:space="preserve"> </w:t>
      </w:r>
      <w:r w:rsidRPr="007B69FB">
        <w:rPr>
          <w:rFonts w:cs="Arial" w:hint="cs"/>
          <w:rtl/>
        </w:rPr>
        <w:t>מוסיף</w:t>
      </w:r>
      <w:r w:rsidRPr="007B69FB">
        <w:rPr>
          <w:rFonts w:cs="Arial"/>
          <w:rtl/>
        </w:rPr>
        <w:t xml:space="preserve"> </w:t>
      </w:r>
      <w:r w:rsidRPr="007B69FB">
        <w:rPr>
          <w:rFonts w:cs="Arial" w:hint="cs"/>
          <w:rtl/>
        </w:rPr>
        <w:t>לה</w:t>
      </w:r>
      <w:r w:rsidRPr="007B69FB">
        <w:rPr>
          <w:rFonts w:cs="Arial"/>
          <w:rtl/>
        </w:rPr>
        <w:t xml:space="preserve"> </w:t>
      </w:r>
      <w:r w:rsidRPr="007B69FB">
        <w:rPr>
          <w:rFonts w:cs="Arial" w:hint="cs"/>
          <w:rtl/>
        </w:rPr>
        <w:t>בין</w:t>
      </w:r>
      <w:r w:rsidRPr="007B69FB">
        <w:rPr>
          <w:rFonts w:cs="Arial"/>
          <w:rtl/>
        </w:rPr>
        <w:t xml:space="preserve"> </w:t>
      </w:r>
      <w:r w:rsidRPr="007B69FB">
        <w:rPr>
          <w:rFonts w:cs="Arial" w:hint="cs"/>
          <w:rtl/>
        </w:rPr>
        <w:t>מלפניה</w:t>
      </w:r>
      <w:r w:rsidRPr="007B69FB">
        <w:rPr>
          <w:rFonts w:cs="Arial"/>
          <w:rtl/>
        </w:rPr>
        <w:t xml:space="preserve"> </w:t>
      </w:r>
      <w:r w:rsidRPr="007B69FB">
        <w:rPr>
          <w:rFonts w:cs="Arial" w:hint="cs"/>
          <w:rtl/>
        </w:rPr>
        <w:t>בין</w:t>
      </w:r>
      <w:r w:rsidRPr="007B69FB">
        <w:rPr>
          <w:rFonts w:cs="Arial"/>
          <w:rtl/>
        </w:rPr>
        <w:t xml:space="preserve"> </w:t>
      </w:r>
      <w:r w:rsidRPr="007B69FB">
        <w:rPr>
          <w:rFonts w:cs="Arial" w:hint="cs"/>
          <w:rtl/>
        </w:rPr>
        <w:t>מלאחריה</w:t>
      </w:r>
      <w:r>
        <w:rPr>
          <w:rStyle w:val="a9"/>
          <w:rFonts w:cs="Arial"/>
          <w:rtl/>
        </w:rPr>
        <w:footnoteReference w:id="603"/>
      </w:r>
      <w:r>
        <w:rPr>
          <w:rFonts w:cs="Arial" w:hint="cs"/>
          <w:sz w:val="16"/>
          <w:szCs w:val="16"/>
          <w:rtl/>
        </w:rPr>
        <w:t xml:space="preserve"> (ל' הרא"ש)</w:t>
      </w:r>
      <w:r w:rsidRPr="007B69FB">
        <w:rPr>
          <w:rFonts w:cs="Arial"/>
          <w:rtl/>
        </w:rPr>
        <w:t>.</w:t>
      </w:r>
      <w:r>
        <w:rPr>
          <w:rFonts w:cs="Arial" w:hint="cs"/>
          <w:rtl/>
        </w:rPr>
        <w:t xml:space="preserve"> </w:t>
      </w:r>
      <w:r w:rsidRPr="0083035B">
        <w:rPr>
          <w:rFonts w:cs="Arial" w:hint="cs"/>
          <w:color w:val="E36C0A" w:themeColor="accent6" w:themeShade="BF"/>
          <w:rtl/>
        </w:rPr>
        <w:t>(וכ"ס בשו"ע)</w:t>
      </w:r>
    </w:p>
    <w:p w14:paraId="1F4EB982" w14:textId="77777777" w:rsidR="004B2E7C" w:rsidRPr="00171DD4" w:rsidRDefault="004B2E7C" w:rsidP="00FF2D21">
      <w:pPr>
        <w:pStyle w:val="aa"/>
        <w:numPr>
          <w:ilvl w:val="0"/>
          <w:numId w:val="87"/>
        </w:numPr>
        <w:rPr>
          <w:rFonts w:cs="Arial"/>
        </w:rPr>
      </w:pPr>
      <w:r w:rsidRPr="007B69FB">
        <w:rPr>
          <w:rFonts w:cs="Arial" w:hint="cs"/>
          <w:rtl/>
        </w:rPr>
        <w:t>רמב</w:t>
      </w:r>
      <w:r w:rsidRPr="007B69FB">
        <w:rPr>
          <w:rFonts w:cs="Arial"/>
          <w:rtl/>
        </w:rPr>
        <w:t>"</w:t>
      </w:r>
      <w:r w:rsidRPr="007B69FB">
        <w:rPr>
          <w:rFonts w:cs="Arial" w:hint="cs"/>
          <w:rtl/>
        </w:rPr>
        <w:t>ם</w:t>
      </w:r>
      <w:r w:rsidRPr="007B69FB">
        <w:rPr>
          <w:rFonts w:cs="Arial"/>
          <w:rtl/>
        </w:rPr>
        <w:t xml:space="preserve"> </w:t>
      </w:r>
      <w:r w:rsidRPr="00171DD4">
        <w:rPr>
          <w:rFonts w:cs="Arial" w:hint="cs"/>
          <w:sz w:val="16"/>
          <w:szCs w:val="16"/>
          <w:rtl/>
        </w:rPr>
        <w:t>(</w:t>
      </w:r>
      <w:r>
        <w:rPr>
          <w:rFonts w:cs="Arial" w:hint="cs"/>
          <w:sz w:val="16"/>
          <w:szCs w:val="16"/>
          <w:rtl/>
        </w:rPr>
        <w:t xml:space="preserve">הל' שבת </w:t>
      </w:r>
      <w:r w:rsidRPr="00171DD4">
        <w:rPr>
          <w:rFonts w:cs="Arial" w:hint="cs"/>
          <w:sz w:val="16"/>
          <w:szCs w:val="16"/>
          <w:rtl/>
        </w:rPr>
        <w:t>פ"ה)</w:t>
      </w:r>
      <w:r>
        <w:rPr>
          <w:rFonts w:cs="Arial" w:hint="cs"/>
          <w:rtl/>
        </w:rPr>
        <w:t>- אין צורך להוסיף מחול על הקודש בשבת, אלא רק ביום הכפורים</w:t>
      </w:r>
      <w:r>
        <w:rPr>
          <w:rStyle w:val="a9"/>
          <w:rFonts w:cs="Arial"/>
          <w:rtl/>
        </w:rPr>
        <w:footnoteReference w:id="604"/>
      </w:r>
      <w:r>
        <w:rPr>
          <w:rFonts w:cs="Arial" w:hint="cs"/>
          <w:rtl/>
        </w:rPr>
        <w:t>.</w:t>
      </w:r>
      <w:r w:rsidRPr="007B69FB">
        <w:rPr>
          <w:rFonts w:cs="Arial"/>
          <w:rtl/>
        </w:rPr>
        <w:t xml:space="preserve"> </w:t>
      </w:r>
      <w:r w:rsidRPr="00171DD4">
        <w:rPr>
          <w:rFonts w:cs="Arial"/>
          <w:rtl/>
        </w:rPr>
        <w:t xml:space="preserve"> </w:t>
      </w:r>
    </w:p>
    <w:p w14:paraId="2A2F6487" w14:textId="77777777" w:rsidR="004B2E7C" w:rsidRPr="007B69FB" w:rsidRDefault="004B2E7C" w:rsidP="00434A6A">
      <w:pPr>
        <w:ind w:left="360"/>
        <w:rPr>
          <w:rFonts w:cs="Arial"/>
          <w:u w:val="dotted"/>
        </w:rPr>
      </w:pPr>
      <w:r>
        <w:rPr>
          <w:rFonts w:cs="Arial" w:hint="cs"/>
          <w:u w:val="dotted"/>
          <w:rtl/>
        </w:rPr>
        <w:t xml:space="preserve">לסוברים שצריך להוסיף </w:t>
      </w:r>
      <w:r>
        <w:rPr>
          <w:rFonts w:cs="Arial"/>
          <w:u w:val="dotted"/>
          <w:rtl/>
        </w:rPr>
        <w:t>–</w:t>
      </w:r>
      <w:r>
        <w:rPr>
          <w:rFonts w:cs="Arial" w:hint="cs"/>
          <w:u w:val="dotted"/>
          <w:rtl/>
        </w:rPr>
        <w:t xml:space="preserve"> מה </w:t>
      </w:r>
      <w:r w:rsidRPr="007B69FB">
        <w:rPr>
          <w:rFonts w:cs="Arial" w:hint="cs"/>
          <w:u w:val="dotted"/>
          <w:rtl/>
        </w:rPr>
        <w:t>שיעור התוספת:</w:t>
      </w:r>
    </w:p>
    <w:p w14:paraId="773060A3" w14:textId="77777777" w:rsidR="004B2E7C" w:rsidRDefault="004B2E7C" w:rsidP="00FF2D21">
      <w:pPr>
        <w:pStyle w:val="aa"/>
        <w:numPr>
          <w:ilvl w:val="0"/>
          <w:numId w:val="87"/>
        </w:numPr>
        <w:rPr>
          <w:rFonts w:cs="Arial"/>
        </w:rPr>
      </w:pPr>
      <w:r>
        <w:rPr>
          <w:rFonts w:cs="Arial" w:hint="cs"/>
          <w:rtl/>
        </w:rPr>
        <w:t xml:space="preserve">רמב"ן </w:t>
      </w:r>
      <w:r w:rsidRPr="007B69FB">
        <w:rPr>
          <w:rFonts w:cs="Arial" w:hint="cs"/>
          <w:sz w:val="16"/>
          <w:szCs w:val="16"/>
          <w:rtl/>
        </w:rPr>
        <w:t>(כ"כ בשמו הה"מ [פ"ה ה"ד] והר</w:t>
      </w:r>
      <w:r w:rsidRPr="007B69FB">
        <w:rPr>
          <w:rFonts w:cs="Arial"/>
          <w:sz w:val="16"/>
          <w:szCs w:val="16"/>
          <w:rtl/>
        </w:rPr>
        <w:t>"</w:t>
      </w:r>
      <w:r w:rsidRPr="007B69FB">
        <w:rPr>
          <w:rFonts w:cs="Arial" w:hint="cs"/>
          <w:sz w:val="16"/>
          <w:szCs w:val="16"/>
          <w:rtl/>
        </w:rPr>
        <w:t>ן</w:t>
      </w:r>
      <w:r w:rsidRPr="007B69FB">
        <w:rPr>
          <w:rFonts w:cs="Arial"/>
          <w:sz w:val="16"/>
          <w:szCs w:val="16"/>
          <w:rtl/>
        </w:rPr>
        <w:t xml:space="preserve"> </w:t>
      </w:r>
      <w:r w:rsidRPr="007B69FB">
        <w:rPr>
          <w:rFonts w:cs="Arial" w:hint="cs"/>
          <w:sz w:val="16"/>
          <w:szCs w:val="16"/>
          <w:rtl/>
        </w:rPr>
        <w:t>[פ'</w:t>
      </w:r>
      <w:r w:rsidRPr="007B69FB">
        <w:rPr>
          <w:rFonts w:cs="Arial"/>
          <w:sz w:val="16"/>
          <w:szCs w:val="16"/>
          <w:rtl/>
        </w:rPr>
        <w:t xml:space="preserve"> </w:t>
      </w:r>
      <w:r w:rsidRPr="007B69FB">
        <w:rPr>
          <w:rFonts w:cs="Arial" w:hint="cs"/>
          <w:sz w:val="16"/>
          <w:szCs w:val="16"/>
          <w:rtl/>
        </w:rPr>
        <w:t>במה</w:t>
      </w:r>
      <w:r w:rsidRPr="007B69FB">
        <w:rPr>
          <w:rFonts w:cs="Arial"/>
          <w:sz w:val="16"/>
          <w:szCs w:val="16"/>
          <w:rtl/>
        </w:rPr>
        <w:t xml:space="preserve"> </w:t>
      </w:r>
      <w:r w:rsidRPr="007B69FB">
        <w:rPr>
          <w:rFonts w:cs="Arial" w:hint="cs"/>
          <w:sz w:val="16"/>
          <w:szCs w:val="16"/>
          <w:rtl/>
        </w:rPr>
        <w:t>מדליקין</w:t>
      </w:r>
      <w:r w:rsidRPr="007B69FB">
        <w:rPr>
          <w:rFonts w:cs="Arial"/>
          <w:sz w:val="16"/>
          <w:szCs w:val="16"/>
          <w:rtl/>
        </w:rPr>
        <w:t xml:space="preserve"> </w:t>
      </w:r>
      <w:r w:rsidRPr="007B69FB">
        <w:rPr>
          <w:rFonts w:cs="Arial" w:hint="cs"/>
          <w:sz w:val="16"/>
          <w:szCs w:val="16"/>
          <w:rtl/>
        </w:rPr>
        <w:t>טו</w:t>
      </w:r>
      <w:r w:rsidRPr="007B69FB">
        <w:rPr>
          <w:rFonts w:cs="Arial"/>
          <w:sz w:val="16"/>
          <w:szCs w:val="16"/>
          <w:rtl/>
        </w:rPr>
        <w:t xml:space="preserve">. </w:t>
      </w:r>
      <w:r w:rsidRPr="007B69FB">
        <w:rPr>
          <w:rFonts w:cs="Arial" w:hint="cs"/>
          <w:sz w:val="16"/>
          <w:szCs w:val="16"/>
          <w:rtl/>
        </w:rPr>
        <w:t>ד</w:t>
      </w:r>
      <w:r w:rsidRPr="007B69FB">
        <w:rPr>
          <w:rFonts w:cs="Arial"/>
          <w:sz w:val="16"/>
          <w:szCs w:val="16"/>
          <w:rtl/>
        </w:rPr>
        <w:t>"</w:t>
      </w:r>
      <w:r w:rsidRPr="007B69FB">
        <w:rPr>
          <w:rFonts w:cs="Arial" w:hint="cs"/>
          <w:sz w:val="16"/>
          <w:szCs w:val="16"/>
          <w:rtl/>
        </w:rPr>
        <w:t>ה</w:t>
      </w:r>
      <w:r w:rsidRPr="007B69FB">
        <w:rPr>
          <w:rFonts w:cs="Arial"/>
          <w:sz w:val="16"/>
          <w:szCs w:val="16"/>
          <w:rtl/>
        </w:rPr>
        <w:t xml:space="preserve"> </w:t>
      </w:r>
      <w:r w:rsidRPr="007B69FB">
        <w:rPr>
          <w:rFonts w:cs="Arial" w:hint="cs"/>
          <w:sz w:val="16"/>
          <w:szCs w:val="16"/>
          <w:rtl/>
        </w:rPr>
        <w:t>אמר</w:t>
      </w:r>
      <w:r w:rsidRPr="007B69FB">
        <w:rPr>
          <w:rFonts w:cs="Arial"/>
          <w:sz w:val="16"/>
          <w:szCs w:val="16"/>
          <w:rtl/>
        </w:rPr>
        <w:t xml:space="preserve"> </w:t>
      </w:r>
      <w:r w:rsidRPr="007B69FB">
        <w:rPr>
          <w:rFonts w:cs="Arial" w:hint="cs"/>
          <w:sz w:val="16"/>
          <w:szCs w:val="16"/>
          <w:rtl/>
        </w:rPr>
        <w:t>רבה,</w:t>
      </w:r>
      <w:r w:rsidRPr="007B69FB">
        <w:rPr>
          <w:rFonts w:cs="Arial"/>
          <w:sz w:val="16"/>
          <w:szCs w:val="16"/>
          <w:rtl/>
        </w:rPr>
        <w:t xml:space="preserve"> </w:t>
      </w:r>
      <w:r w:rsidRPr="007B69FB">
        <w:rPr>
          <w:rFonts w:cs="Arial" w:hint="cs"/>
          <w:sz w:val="16"/>
          <w:szCs w:val="16"/>
          <w:rtl/>
        </w:rPr>
        <w:t>וביומא</w:t>
      </w:r>
      <w:r w:rsidRPr="007B69FB">
        <w:rPr>
          <w:rFonts w:cs="Arial"/>
          <w:sz w:val="16"/>
          <w:szCs w:val="16"/>
          <w:rtl/>
        </w:rPr>
        <w:t xml:space="preserve"> </w:t>
      </w:r>
      <w:r w:rsidRPr="007B69FB">
        <w:rPr>
          <w:rFonts w:cs="Arial" w:hint="cs"/>
          <w:sz w:val="16"/>
          <w:szCs w:val="16"/>
          <w:rtl/>
        </w:rPr>
        <w:t>ב</w:t>
      </w:r>
      <w:r w:rsidRPr="007B69FB">
        <w:rPr>
          <w:rFonts w:cs="Arial"/>
          <w:sz w:val="16"/>
          <w:szCs w:val="16"/>
          <w:rtl/>
        </w:rPr>
        <w:t xml:space="preserve">: </w:t>
      </w:r>
      <w:r w:rsidRPr="007B69FB">
        <w:rPr>
          <w:rFonts w:cs="Arial" w:hint="cs"/>
          <w:sz w:val="16"/>
          <w:szCs w:val="16"/>
          <w:rtl/>
        </w:rPr>
        <w:t>ד</w:t>
      </w:r>
      <w:r w:rsidRPr="007B69FB">
        <w:rPr>
          <w:rFonts w:cs="Arial"/>
          <w:sz w:val="16"/>
          <w:szCs w:val="16"/>
          <w:rtl/>
        </w:rPr>
        <w:t>"</w:t>
      </w:r>
      <w:r w:rsidRPr="007B69FB">
        <w:rPr>
          <w:rFonts w:cs="Arial" w:hint="cs"/>
          <w:sz w:val="16"/>
          <w:szCs w:val="16"/>
          <w:rtl/>
        </w:rPr>
        <w:t>ה</w:t>
      </w:r>
      <w:r w:rsidRPr="007B69FB">
        <w:rPr>
          <w:rFonts w:cs="Arial"/>
          <w:sz w:val="16"/>
          <w:szCs w:val="16"/>
          <w:rtl/>
        </w:rPr>
        <w:t xml:space="preserve"> </w:t>
      </w:r>
      <w:r w:rsidRPr="007B69FB">
        <w:rPr>
          <w:rFonts w:cs="Arial" w:hint="cs"/>
          <w:sz w:val="16"/>
          <w:szCs w:val="16"/>
          <w:rtl/>
        </w:rPr>
        <w:t>ת</w:t>
      </w:r>
      <w:r w:rsidRPr="007B69FB">
        <w:rPr>
          <w:rFonts w:cs="Arial"/>
          <w:sz w:val="16"/>
          <w:szCs w:val="16"/>
          <w:rtl/>
        </w:rPr>
        <w:t>"</w:t>
      </w:r>
      <w:r w:rsidRPr="007B69FB">
        <w:rPr>
          <w:rFonts w:cs="Arial" w:hint="cs"/>
          <w:sz w:val="16"/>
          <w:szCs w:val="16"/>
          <w:rtl/>
        </w:rPr>
        <w:t>ר</w:t>
      </w:r>
      <w:r w:rsidRPr="007B69FB">
        <w:rPr>
          <w:rFonts w:cs="Arial"/>
          <w:sz w:val="16"/>
          <w:szCs w:val="16"/>
          <w:rtl/>
        </w:rPr>
        <w:t xml:space="preserve"> </w:t>
      </w:r>
      <w:r w:rsidRPr="007B69FB">
        <w:rPr>
          <w:rFonts w:cs="Arial" w:hint="cs"/>
          <w:sz w:val="16"/>
          <w:szCs w:val="16"/>
          <w:rtl/>
        </w:rPr>
        <w:t>ועניתם])</w:t>
      </w:r>
      <w:r>
        <w:rPr>
          <w:rFonts w:cs="Arial" w:hint="cs"/>
          <w:rtl/>
        </w:rPr>
        <w:t xml:space="preserve">- </w:t>
      </w:r>
      <w:r w:rsidRPr="007B69FB">
        <w:rPr>
          <w:rFonts w:cs="Arial" w:hint="cs"/>
          <w:rtl/>
        </w:rPr>
        <w:t>שיוסיף</w:t>
      </w:r>
      <w:r w:rsidRPr="007B69FB">
        <w:rPr>
          <w:rFonts w:cs="Arial"/>
          <w:rtl/>
        </w:rPr>
        <w:t xml:space="preserve"> </w:t>
      </w:r>
      <w:r w:rsidRPr="007B69FB">
        <w:rPr>
          <w:rFonts w:cs="Arial" w:hint="cs"/>
          <w:rtl/>
        </w:rPr>
        <w:t>איזה</w:t>
      </w:r>
      <w:r w:rsidRPr="007B69FB">
        <w:rPr>
          <w:rFonts w:cs="Arial"/>
          <w:rtl/>
        </w:rPr>
        <w:t xml:space="preserve"> </w:t>
      </w:r>
      <w:r w:rsidRPr="007B69FB">
        <w:rPr>
          <w:rFonts w:cs="Arial" w:hint="cs"/>
          <w:rtl/>
        </w:rPr>
        <w:t>זמן</w:t>
      </w:r>
      <w:r w:rsidRPr="007B69FB">
        <w:rPr>
          <w:rFonts w:cs="Arial"/>
          <w:rtl/>
        </w:rPr>
        <w:t xml:space="preserve"> </w:t>
      </w:r>
      <w:r w:rsidRPr="007B69FB">
        <w:rPr>
          <w:rFonts w:cs="Arial" w:hint="cs"/>
          <w:rtl/>
        </w:rPr>
        <w:t>שיהיה</w:t>
      </w:r>
      <w:r w:rsidRPr="007B69FB">
        <w:rPr>
          <w:rFonts w:cs="Arial"/>
          <w:rtl/>
        </w:rPr>
        <w:t xml:space="preserve"> </w:t>
      </w:r>
      <w:r w:rsidRPr="007B69FB">
        <w:rPr>
          <w:rFonts w:cs="Arial" w:hint="cs"/>
          <w:rtl/>
        </w:rPr>
        <w:t>ודאי</w:t>
      </w:r>
      <w:r w:rsidRPr="007B69FB">
        <w:rPr>
          <w:rFonts w:cs="Arial"/>
          <w:rtl/>
        </w:rPr>
        <w:t xml:space="preserve"> </w:t>
      </w:r>
      <w:r w:rsidRPr="007B69FB">
        <w:rPr>
          <w:rFonts w:cs="Arial" w:hint="cs"/>
          <w:rtl/>
        </w:rPr>
        <w:t>יום</w:t>
      </w:r>
      <w:r w:rsidRPr="007B69FB">
        <w:rPr>
          <w:rFonts w:cs="Arial"/>
          <w:rtl/>
        </w:rPr>
        <w:t xml:space="preserve"> </w:t>
      </w:r>
      <w:r w:rsidRPr="007B69FB">
        <w:rPr>
          <w:rFonts w:cs="Arial" w:hint="cs"/>
          <w:rtl/>
        </w:rPr>
        <w:t>מחול</w:t>
      </w:r>
      <w:r w:rsidRPr="007B69FB">
        <w:rPr>
          <w:rFonts w:cs="Arial"/>
          <w:rtl/>
        </w:rPr>
        <w:t xml:space="preserve"> </w:t>
      </w:r>
      <w:r w:rsidRPr="007B69FB">
        <w:rPr>
          <w:rFonts w:cs="Arial" w:hint="cs"/>
          <w:rtl/>
        </w:rPr>
        <w:t>על</w:t>
      </w:r>
      <w:r w:rsidRPr="007B69FB">
        <w:rPr>
          <w:rFonts w:cs="Arial"/>
          <w:rtl/>
        </w:rPr>
        <w:t xml:space="preserve"> </w:t>
      </w:r>
      <w:r w:rsidRPr="007B69FB">
        <w:rPr>
          <w:rFonts w:cs="Arial" w:hint="cs"/>
          <w:rtl/>
        </w:rPr>
        <w:t>הקודש</w:t>
      </w:r>
      <w:r w:rsidRPr="007B69FB">
        <w:rPr>
          <w:rFonts w:cs="Arial"/>
          <w:rtl/>
        </w:rPr>
        <w:t xml:space="preserve">. </w:t>
      </w:r>
      <w:r w:rsidRPr="0083035B">
        <w:rPr>
          <w:rFonts w:cs="Arial" w:hint="cs"/>
          <w:color w:val="E36C0A" w:themeColor="accent6" w:themeShade="BF"/>
          <w:rtl/>
        </w:rPr>
        <w:t>(וכ"ס בשו"ע)</w:t>
      </w:r>
    </w:p>
    <w:p w14:paraId="15F84601" w14:textId="77777777" w:rsidR="004B2E7C" w:rsidRDefault="004B2E7C" w:rsidP="00FF2D21">
      <w:pPr>
        <w:pStyle w:val="aa"/>
        <w:numPr>
          <w:ilvl w:val="0"/>
          <w:numId w:val="87"/>
        </w:numPr>
        <w:rPr>
          <w:rFonts w:cs="Arial"/>
        </w:rPr>
      </w:pPr>
      <w:r w:rsidRPr="007B69FB">
        <w:rPr>
          <w:rFonts w:cs="Arial" w:hint="cs"/>
          <w:rtl/>
        </w:rPr>
        <w:t>תוס</w:t>
      </w:r>
      <w:r>
        <w:rPr>
          <w:rFonts w:cs="Arial" w:hint="cs"/>
          <w:rtl/>
        </w:rPr>
        <w:t>'</w:t>
      </w:r>
      <w:r w:rsidRPr="007B69FB">
        <w:rPr>
          <w:rFonts w:cs="Arial"/>
          <w:rtl/>
        </w:rPr>
        <w:t xml:space="preserve"> </w:t>
      </w:r>
      <w:r w:rsidRPr="00171DD4">
        <w:rPr>
          <w:rFonts w:cs="Arial" w:hint="cs"/>
          <w:sz w:val="16"/>
          <w:szCs w:val="16"/>
          <w:rtl/>
        </w:rPr>
        <w:t>(פ"ק</w:t>
      </w:r>
      <w:r w:rsidRPr="00171DD4">
        <w:rPr>
          <w:rFonts w:cs="Arial"/>
          <w:sz w:val="16"/>
          <w:szCs w:val="16"/>
          <w:rtl/>
        </w:rPr>
        <w:t xml:space="preserve"> </w:t>
      </w:r>
      <w:r w:rsidRPr="00171DD4">
        <w:rPr>
          <w:rFonts w:cs="Arial" w:hint="cs"/>
          <w:sz w:val="16"/>
          <w:szCs w:val="16"/>
          <w:rtl/>
        </w:rPr>
        <w:t>דר</w:t>
      </w:r>
      <w:r w:rsidRPr="00171DD4">
        <w:rPr>
          <w:rFonts w:cs="Arial"/>
          <w:sz w:val="16"/>
          <w:szCs w:val="16"/>
          <w:rtl/>
        </w:rPr>
        <w:t>"</w:t>
      </w:r>
      <w:r w:rsidRPr="00171DD4">
        <w:rPr>
          <w:rFonts w:cs="Arial" w:hint="cs"/>
          <w:sz w:val="16"/>
          <w:szCs w:val="16"/>
          <w:rtl/>
        </w:rPr>
        <w:t>ה</w:t>
      </w:r>
      <w:r w:rsidRPr="00171DD4">
        <w:rPr>
          <w:rFonts w:cs="Arial"/>
          <w:sz w:val="16"/>
          <w:szCs w:val="16"/>
          <w:rtl/>
        </w:rPr>
        <w:t xml:space="preserve"> </w:t>
      </w:r>
      <w:r w:rsidRPr="00171DD4">
        <w:rPr>
          <w:rFonts w:cs="Arial" w:hint="cs"/>
          <w:sz w:val="16"/>
          <w:szCs w:val="16"/>
          <w:rtl/>
        </w:rPr>
        <w:t>ט</w:t>
      </w:r>
      <w:r w:rsidRPr="00171DD4">
        <w:rPr>
          <w:rFonts w:cs="Arial"/>
          <w:sz w:val="16"/>
          <w:szCs w:val="16"/>
          <w:rtl/>
        </w:rPr>
        <w:t xml:space="preserve">. </w:t>
      </w:r>
      <w:r w:rsidRPr="00171DD4">
        <w:rPr>
          <w:rFonts w:cs="Arial" w:hint="cs"/>
          <w:sz w:val="16"/>
          <w:szCs w:val="16"/>
          <w:rtl/>
        </w:rPr>
        <w:t>ד</w:t>
      </w:r>
      <w:r w:rsidRPr="00171DD4">
        <w:rPr>
          <w:rFonts w:cs="Arial"/>
          <w:sz w:val="16"/>
          <w:szCs w:val="16"/>
          <w:rtl/>
        </w:rPr>
        <w:t>"</w:t>
      </w:r>
      <w:r w:rsidRPr="00171DD4">
        <w:rPr>
          <w:rFonts w:cs="Arial" w:hint="cs"/>
          <w:sz w:val="16"/>
          <w:szCs w:val="16"/>
          <w:rtl/>
        </w:rPr>
        <w:t>ה</w:t>
      </w:r>
      <w:r w:rsidRPr="00171DD4">
        <w:rPr>
          <w:rFonts w:cs="Arial"/>
          <w:sz w:val="16"/>
          <w:szCs w:val="16"/>
          <w:rtl/>
        </w:rPr>
        <w:t xml:space="preserve"> </w:t>
      </w:r>
      <w:r w:rsidRPr="00171DD4">
        <w:rPr>
          <w:rFonts w:cs="Arial" w:hint="cs"/>
          <w:sz w:val="16"/>
          <w:szCs w:val="16"/>
          <w:rtl/>
        </w:rPr>
        <w:t>ורבי</w:t>
      </w:r>
      <w:r w:rsidRPr="00171DD4">
        <w:rPr>
          <w:rFonts w:cs="Arial"/>
          <w:sz w:val="16"/>
          <w:szCs w:val="16"/>
          <w:rtl/>
        </w:rPr>
        <w:t xml:space="preserve"> </w:t>
      </w:r>
      <w:r w:rsidRPr="00171DD4">
        <w:rPr>
          <w:rFonts w:cs="Arial" w:hint="cs"/>
          <w:sz w:val="16"/>
          <w:szCs w:val="16"/>
          <w:rtl/>
        </w:rPr>
        <w:t>עקיבא</w:t>
      </w:r>
      <w:r w:rsidRPr="00171DD4">
        <w:rPr>
          <w:rFonts w:cs="Arial"/>
          <w:sz w:val="16"/>
          <w:szCs w:val="16"/>
          <w:rtl/>
        </w:rPr>
        <w:t>)</w:t>
      </w:r>
      <w:r>
        <w:rPr>
          <w:rFonts w:cs="Arial" w:hint="cs"/>
          <w:rtl/>
        </w:rPr>
        <w:t>-</w:t>
      </w:r>
      <w:r w:rsidRPr="007B69FB">
        <w:rPr>
          <w:rFonts w:cs="Arial"/>
          <w:rtl/>
        </w:rPr>
        <w:t xml:space="preserve"> </w:t>
      </w:r>
      <w:r w:rsidRPr="007B69FB">
        <w:rPr>
          <w:rFonts w:cs="Arial" w:hint="cs"/>
          <w:rtl/>
        </w:rPr>
        <w:t>בפרק</w:t>
      </w:r>
      <w:r w:rsidRPr="007B69FB">
        <w:rPr>
          <w:rFonts w:cs="Arial"/>
          <w:rtl/>
        </w:rPr>
        <w:t xml:space="preserve"> </w:t>
      </w:r>
      <w:r w:rsidRPr="007B69FB">
        <w:rPr>
          <w:rFonts w:cs="Arial" w:hint="cs"/>
          <w:rtl/>
        </w:rPr>
        <w:t>במה</w:t>
      </w:r>
      <w:r w:rsidRPr="007B69FB">
        <w:rPr>
          <w:rFonts w:cs="Arial"/>
          <w:rtl/>
        </w:rPr>
        <w:t xml:space="preserve"> </w:t>
      </w:r>
      <w:r w:rsidRPr="007B69FB">
        <w:rPr>
          <w:rFonts w:cs="Arial" w:hint="cs"/>
          <w:rtl/>
        </w:rPr>
        <w:t>מדליקין</w:t>
      </w:r>
      <w:r w:rsidRPr="007B69FB">
        <w:rPr>
          <w:rFonts w:cs="Arial"/>
          <w:rtl/>
        </w:rPr>
        <w:t xml:space="preserve"> </w:t>
      </w:r>
      <w:r w:rsidRPr="007B69FB">
        <w:rPr>
          <w:rFonts w:cs="Arial" w:hint="cs"/>
          <w:rtl/>
        </w:rPr>
        <w:t>תנן</w:t>
      </w:r>
      <w:r w:rsidRPr="007B69FB">
        <w:rPr>
          <w:rFonts w:cs="Arial"/>
          <w:rtl/>
        </w:rPr>
        <w:t xml:space="preserve"> </w:t>
      </w:r>
      <w:r w:rsidRPr="007B69FB">
        <w:rPr>
          <w:rFonts w:cs="Arial" w:hint="cs"/>
          <w:rtl/>
        </w:rPr>
        <w:t>ספק</w:t>
      </w:r>
      <w:r w:rsidRPr="007B69FB">
        <w:rPr>
          <w:rFonts w:cs="Arial"/>
          <w:rtl/>
        </w:rPr>
        <w:t xml:space="preserve"> </w:t>
      </w:r>
      <w:r w:rsidRPr="007B69FB">
        <w:rPr>
          <w:rFonts w:cs="Arial" w:hint="cs"/>
          <w:rtl/>
        </w:rPr>
        <w:t>חשיכה</w:t>
      </w:r>
      <w:r w:rsidRPr="007B69FB">
        <w:rPr>
          <w:rFonts w:cs="Arial"/>
          <w:rtl/>
        </w:rPr>
        <w:t xml:space="preserve"> </w:t>
      </w:r>
      <w:r w:rsidRPr="007B69FB">
        <w:rPr>
          <w:rFonts w:cs="Arial" w:hint="cs"/>
          <w:rtl/>
        </w:rPr>
        <w:t>אין</w:t>
      </w:r>
      <w:r w:rsidRPr="007B69FB">
        <w:rPr>
          <w:rFonts w:cs="Arial"/>
          <w:rtl/>
        </w:rPr>
        <w:t xml:space="preserve"> </w:t>
      </w:r>
      <w:r w:rsidRPr="007B69FB">
        <w:rPr>
          <w:rFonts w:cs="Arial" w:hint="cs"/>
          <w:rtl/>
        </w:rPr>
        <w:t>מדליקין</w:t>
      </w:r>
      <w:r w:rsidRPr="007B69FB">
        <w:rPr>
          <w:rFonts w:cs="Arial"/>
          <w:rtl/>
        </w:rPr>
        <w:t xml:space="preserve"> </w:t>
      </w:r>
      <w:r w:rsidRPr="007B69FB">
        <w:rPr>
          <w:rFonts w:cs="Arial" w:hint="cs"/>
          <w:rtl/>
        </w:rPr>
        <w:t>ושמא</w:t>
      </w:r>
      <w:r w:rsidRPr="007B69FB">
        <w:rPr>
          <w:rFonts w:cs="Arial"/>
          <w:rtl/>
        </w:rPr>
        <w:t xml:space="preserve"> </w:t>
      </w:r>
      <w:r w:rsidRPr="007B69FB">
        <w:rPr>
          <w:rFonts w:cs="Arial" w:hint="cs"/>
          <w:rtl/>
        </w:rPr>
        <w:t>משום</w:t>
      </w:r>
      <w:r w:rsidRPr="007B69FB">
        <w:rPr>
          <w:rFonts w:cs="Arial"/>
          <w:rtl/>
        </w:rPr>
        <w:t xml:space="preserve"> </w:t>
      </w:r>
      <w:r w:rsidRPr="007B69FB">
        <w:rPr>
          <w:rFonts w:cs="Arial" w:hint="cs"/>
          <w:rtl/>
        </w:rPr>
        <w:t>דסגי</w:t>
      </w:r>
      <w:r w:rsidRPr="007B69FB">
        <w:rPr>
          <w:rFonts w:cs="Arial"/>
          <w:rtl/>
        </w:rPr>
        <w:t xml:space="preserve"> </w:t>
      </w:r>
      <w:r w:rsidRPr="007B69FB">
        <w:rPr>
          <w:rFonts w:cs="Arial" w:hint="cs"/>
          <w:rtl/>
        </w:rPr>
        <w:t>בתוספת</w:t>
      </w:r>
      <w:r w:rsidRPr="007B69FB">
        <w:rPr>
          <w:rFonts w:cs="Arial"/>
          <w:rtl/>
        </w:rPr>
        <w:t xml:space="preserve"> </w:t>
      </w:r>
      <w:r w:rsidRPr="007B69FB">
        <w:rPr>
          <w:rFonts w:cs="Arial" w:hint="cs"/>
          <w:rtl/>
        </w:rPr>
        <w:t>משהו</w:t>
      </w:r>
      <w:r w:rsidRPr="007B69FB">
        <w:rPr>
          <w:rFonts w:cs="Arial"/>
          <w:rtl/>
        </w:rPr>
        <w:t xml:space="preserve"> </w:t>
      </w:r>
      <w:r w:rsidRPr="007B69FB">
        <w:rPr>
          <w:rFonts w:cs="Arial" w:hint="cs"/>
          <w:rtl/>
        </w:rPr>
        <w:t>נקט</w:t>
      </w:r>
      <w:r w:rsidRPr="007B69FB">
        <w:rPr>
          <w:rFonts w:cs="Arial"/>
          <w:rtl/>
        </w:rPr>
        <w:t xml:space="preserve"> </w:t>
      </w:r>
      <w:r w:rsidRPr="007B69FB">
        <w:rPr>
          <w:rFonts w:cs="Arial" w:hint="cs"/>
          <w:rtl/>
        </w:rPr>
        <w:t>הכי</w:t>
      </w:r>
      <w:r>
        <w:rPr>
          <w:rFonts w:cs="Arial" w:hint="cs"/>
          <w:rtl/>
        </w:rPr>
        <w:t>.</w:t>
      </w:r>
      <w:r w:rsidRPr="007B69FB">
        <w:rPr>
          <w:rFonts w:cs="Arial"/>
          <w:rtl/>
        </w:rPr>
        <w:t xml:space="preserve"> </w:t>
      </w:r>
    </w:p>
    <w:p w14:paraId="70A24058" w14:textId="77777777" w:rsidR="004B2E7C" w:rsidRDefault="004B2E7C" w:rsidP="00FF2D21">
      <w:pPr>
        <w:pStyle w:val="aa"/>
        <w:numPr>
          <w:ilvl w:val="0"/>
          <w:numId w:val="87"/>
        </w:numPr>
        <w:rPr>
          <w:rFonts w:cs="Arial"/>
        </w:rPr>
      </w:pPr>
      <w:r w:rsidRPr="007B69FB">
        <w:rPr>
          <w:rFonts w:cs="Arial" w:hint="cs"/>
          <w:rtl/>
        </w:rPr>
        <w:t>רא</w:t>
      </w:r>
      <w:r w:rsidRPr="007B69FB">
        <w:rPr>
          <w:rFonts w:cs="Arial"/>
          <w:rtl/>
        </w:rPr>
        <w:t>"</w:t>
      </w:r>
      <w:r w:rsidRPr="007B69FB">
        <w:rPr>
          <w:rFonts w:cs="Arial" w:hint="cs"/>
          <w:rtl/>
        </w:rPr>
        <w:t>ש</w:t>
      </w:r>
      <w:r w:rsidRPr="007B69FB">
        <w:rPr>
          <w:rFonts w:cs="Arial"/>
          <w:rtl/>
        </w:rPr>
        <w:t xml:space="preserve"> </w:t>
      </w:r>
      <w:r w:rsidRPr="00813BF3">
        <w:rPr>
          <w:rFonts w:cs="Arial" w:hint="cs"/>
          <w:sz w:val="16"/>
          <w:szCs w:val="16"/>
          <w:rtl/>
        </w:rPr>
        <w:t>(יומא</w:t>
      </w:r>
      <w:r w:rsidRPr="00813BF3">
        <w:rPr>
          <w:rFonts w:cs="Arial"/>
          <w:sz w:val="16"/>
          <w:szCs w:val="16"/>
          <w:rtl/>
        </w:rPr>
        <w:t xml:space="preserve"> </w:t>
      </w:r>
      <w:r w:rsidRPr="00813BF3">
        <w:rPr>
          <w:rFonts w:cs="Arial" w:hint="cs"/>
          <w:sz w:val="16"/>
          <w:szCs w:val="16"/>
          <w:rtl/>
        </w:rPr>
        <w:t>פ"ח סי' ח,</w:t>
      </w:r>
      <w:r w:rsidRPr="00813BF3">
        <w:rPr>
          <w:rFonts w:cs="Arial"/>
          <w:sz w:val="16"/>
          <w:szCs w:val="16"/>
          <w:rtl/>
        </w:rPr>
        <w:t xml:space="preserve"> </w:t>
      </w:r>
      <w:r w:rsidRPr="00813BF3">
        <w:rPr>
          <w:rFonts w:cs="Arial" w:hint="cs"/>
          <w:sz w:val="16"/>
          <w:szCs w:val="16"/>
          <w:rtl/>
        </w:rPr>
        <w:t>ובברכות פ</w:t>
      </w:r>
      <w:r w:rsidRPr="00813BF3">
        <w:rPr>
          <w:rFonts w:cs="Arial"/>
          <w:sz w:val="16"/>
          <w:szCs w:val="16"/>
          <w:rtl/>
        </w:rPr>
        <w:t>"</w:t>
      </w:r>
      <w:r w:rsidRPr="00813BF3">
        <w:rPr>
          <w:rFonts w:cs="Arial" w:hint="cs"/>
          <w:sz w:val="16"/>
          <w:szCs w:val="16"/>
          <w:rtl/>
        </w:rPr>
        <w:t>ד</w:t>
      </w:r>
      <w:r w:rsidRPr="00813BF3">
        <w:rPr>
          <w:rFonts w:cs="Arial"/>
          <w:sz w:val="16"/>
          <w:szCs w:val="16"/>
          <w:rtl/>
        </w:rPr>
        <w:t xml:space="preserve"> </w:t>
      </w:r>
      <w:r w:rsidRPr="00813BF3">
        <w:rPr>
          <w:rFonts w:cs="Arial" w:hint="cs"/>
          <w:sz w:val="16"/>
          <w:szCs w:val="16"/>
          <w:rtl/>
        </w:rPr>
        <w:t>סי</w:t>
      </w:r>
      <w:r w:rsidRPr="00813BF3">
        <w:rPr>
          <w:rFonts w:cs="Arial"/>
          <w:sz w:val="16"/>
          <w:szCs w:val="16"/>
          <w:rtl/>
        </w:rPr>
        <w:t xml:space="preserve">' </w:t>
      </w:r>
      <w:r w:rsidRPr="00813BF3">
        <w:rPr>
          <w:rFonts w:cs="Arial" w:hint="cs"/>
          <w:sz w:val="16"/>
          <w:szCs w:val="16"/>
          <w:rtl/>
        </w:rPr>
        <w:t>ו</w:t>
      </w:r>
      <w:r w:rsidRPr="00813BF3">
        <w:rPr>
          <w:rFonts w:cs="Arial"/>
          <w:sz w:val="16"/>
          <w:szCs w:val="16"/>
          <w:rtl/>
        </w:rPr>
        <w:t>)</w:t>
      </w:r>
      <w:r>
        <w:rPr>
          <w:rFonts w:cs="Arial" w:hint="cs"/>
          <w:rtl/>
        </w:rPr>
        <w:t>-</w:t>
      </w:r>
      <w:r w:rsidRPr="007B69FB">
        <w:rPr>
          <w:rFonts w:cs="Arial"/>
          <w:rtl/>
        </w:rPr>
        <w:t xml:space="preserve"> </w:t>
      </w:r>
      <w:r w:rsidRPr="007B69FB">
        <w:rPr>
          <w:rFonts w:cs="Arial" w:hint="cs"/>
          <w:rtl/>
        </w:rPr>
        <w:t>תוספת</w:t>
      </w:r>
      <w:r w:rsidRPr="007B69FB">
        <w:rPr>
          <w:rFonts w:cs="Arial"/>
          <w:rtl/>
        </w:rPr>
        <w:t xml:space="preserve"> </w:t>
      </w:r>
      <w:r w:rsidRPr="007B69FB">
        <w:rPr>
          <w:rFonts w:cs="Arial" w:hint="cs"/>
          <w:rtl/>
        </w:rPr>
        <w:t>זה</w:t>
      </w:r>
      <w:r w:rsidRPr="007B69FB">
        <w:rPr>
          <w:rFonts w:cs="Arial"/>
          <w:rtl/>
        </w:rPr>
        <w:t xml:space="preserve"> </w:t>
      </w:r>
      <w:r w:rsidRPr="007B69FB">
        <w:rPr>
          <w:rFonts w:cs="Arial" w:hint="cs"/>
          <w:rtl/>
        </w:rPr>
        <w:t>צריך</w:t>
      </w:r>
      <w:r w:rsidRPr="007B69FB">
        <w:rPr>
          <w:rFonts w:cs="Arial"/>
          <w:rtl/>
        </w:rPr>
        <w:t xml:space="preserve"> </w:t>
      </w:r>
      <w:r w:rsidRPr="007B69FB">
        <w:rPr>
          <w:rFonts w:cs="Arial" w:hint="cs"/>
          <w:rtl/>
        </w:rPr>
        <w:t>שיהא</w:t>
      </w:r>
      <w:r w:rsidRPr="007B69FB">
        <w:rPr>
          <w:rFonts w:cs="Arial"/>
          <w:rtl/>
        </w:rPr>
        <w:t xml:space="preserve"> </w:t>
      </w:r>
      <w:r w:rsidRPr="007B69FB">
        <w:rPr>
          <w:rFonts w:cs="Arial" w:hint="cs"/>
          <w:rtl/>
        </w:rPr>
        <w:t>קודם</w:t>
      </w:r>
      <w:r w:rsidRPr="007B69FB">
        <w:rPr>
          <w:rFonts w:cs="Arial"/>
          <w:rtl/>
        </w:rPr>
        <w:t xml:space="preserve"> </w:t>
      </w:r>
      <w:r w:rsidRPr="007B69FB">
        <w:rPr>
          <w:rFonts w:cs="Arial" w:hint="cs"/>
          <w:rtl/>
        </w:rPr>
        <w:t>בין</w:t>
      </w:r>
      <w:r w:rsidRPr="007B69FB">
        <w:rPr>
          <w:rFonts w:cs="Arial"/>
          <w:rtl/>
        </w:rPr>
        <w:t xml:space="preserve"> </w:t>
      </w:r>
      <w:r w:rsidRPr="007B69FB">
        <w:rPr>
          <w:rFonts w:cs="Arial" w:hint="cs"/>
          <w:rtl/>
        </w:rPr>
        <w:t>השמשות</w:t>
      </w:r>
      <w:r w:rsidRPr="007B69FB">
        <w:rPr>
          <w:rFonts w:cs="Arial"/>
          <w:rtl/>
        </w:rPr>
        <w:t xml:space="preserve">. </w:t>
      </w:r>
      <w:r w:rsidRPr="007B69FB">
        <w:rPr>
          <w:rFonts w:cs="Arial" w:hint="cs"/>
          <w:rtl/>
        </w:rPr>
        <w:t>דאילו</w:t>
      </w:r>
      <w:r w:rsidRPr="007B69FB">
        <w:rPr>
          <w:rFonts w:cs="Arial"/>
          <w:rtl/>
        </w:rPr>
        <w:t xml:space="preserve"> </w:t>
      </w:r>
      <w:r w:rsidRPr="007B69FB">
        <w:rPr>
          <w:rFonts w:cs="Arial" w:hint="cs"/>
          <w:rtl/>
        </w:rPr>
        <w:t>בין</w:t>
      </w:r>
      <w:r w:rsidRPr="007B69FB">
        <w:rPr>
          <w:rFonts w:cs="Arial"/>
          <w:rtl/>
        </w:rPr>
        <w:t xml:space="preserve"> </w:t>
      </w:r>
      <w:r w:rsidRPr="007B69FB">
        <w:rPr>
          <w:rFonts w:cs="Arial" w:hint="cs"/>
          <w:rtl/>
        </w:rPr>
        <w:t>השמשות</w:t>
      </w:r>
      <w:r w:rsidRPr="007B69FB">
        <w:rPr>
          <w:rFonts w:cs="Arial"/>
          <w:rtl/>
        </w:rPr>
        <w:t xml:space="preserve"> </w:t>
      </w:r>
      <w:r w:rsidRPr="007B69FB">
        <w:rPr>
          <w:rFonts w:cs="Arial" w:hint="cs"/>
          <w:rtl/>
        </w:rPr>
        <w:t>ספק</w:t>
      </w:r>
      <w:r w:rsidRPr="007B69FB">
        <w:rPr>
          <w:rFonts w:cs="Arial"/>
          <w:rtl/>
        </w:rPr>
        <w:t xml:space="preserve"> </w:t>
      </w:r>
      <w:r w:rsidRPr="007B69FB">
        <w:rPr>
          <w:rFonts w:cs="Arial" w:hint="cs"/>
          <w:rtl/>
        </w:rPr>
        <w:t>יום</w:t>
      </w:r>
      <w:r w:rsidRPr="007B69FB">
        <w:rPr>
          <w:rFonts w:cs="Arial"/>
          <w:rtl/>
        </w:rPr>
        <w:t xml:space="preserve"> </w:t>
      </w:r>
      <w:r w:rsidRPr="007B69FB">
        <w:rPr>
          <w:rFonts w:cs="Arial" w:hint="cs"/>
          <w:rtl/>
        </w:rPr>
        <w:t>ספק</w:t>
      </w:r>
      <w:r w:rsidRPr="007B69FB">
        <w:rPr>
          <w:rFonts w:cs="Arial"/>
          <w:rtl/>
        </w:rPr>
        <w:t xml:space="preserve"> </w:t>
      </w:r>
      <w:r w:rsidRPr="007B69FB">
        <w:rPr>
          <w:rFonts w:cs="Arial" w:hint="cs"/>
          <w:rtl/>
        </w:rPr>
        <w:t>לילה</w:t>
      </w:r>
      <w:r w:rsidRPr="007B69FB">
        <w:rPr>
          <w:rFonts w:cs="Arial"/>
          <w:rtl/>
        </w:rPr>
        <w:t xml:space="preserve"> </w:t>
      </w:r>
      <w:r w:rsidRPr="007B69FB">
        <w:rPr>
          <w:rFonts w:cs="Arial" w:hint="cs"/>
          <w:rtl/>
        </w:rPr>
        <w:t>הוא</w:t>
      </w:r>
      <w:r w:rsidRPr="007B69FB">
        <w:rPr>
          <w:rFonts w:cs="Arial"/>
          <w:rtl/>
        </w:rPr>
        <w:t xml:space="preserve"> </w:t>
      </w:r>
      <w:r w:rsidRPr="007B69FB">
        <w:rPr>
          <w:rFonts w:cs="Arial" w:hint="cs"/>
          <w:rtl/>
        </w:rPr>
        <w:t>ואם</w:t>
      </w:r>
      <w:r w:rsidRPr="007B69FB">
        <w:rPr>
          <w:rFonts w:cs="Arial"/>
          <w:rtl/>
        </w:rPr>
        <w:t xml:space="preserve"> </w:t>
      </w:r>
      <w:r w:rsidRPr="007B69FB">
        <w:rPr>
          <w:rFonts w:cs="Arial" w:hint="cs"/>
          <w:rtl/>
        </w:rPr>
        <w:t>עשה</w:t>
      </w:r>
      <w:r w:rsidRPr="007B69FB">
        <w:rPr>
          <w:rFonts w:cs="Arial"/>
          <w:rtl/>
        </w:rPr>
        <w:t xml:space="preserve"> </w:t>
      </w:r>
      <w:r w:rsidRPr="007B69FB">
        <w:rPr>
          <w:rFonts w:cs="Arial" w:hint="cs"/>
          <w:rtl/>
        </w:rPr>
        <w:t>מלאכה</w:t>
      </w:r>
      <w:r w:rsidRPr="007B69FB">
        <w:rPr>
          <w:rFonts w:cs="Arial"/>
          <w:rtl/>
        </w:rPr>
        <w:t xml:space="preserve"> </w:t>
      </w:r>
      <w:r w:rsidRPr="007B69FB">
        <w:rPr>
          <w:rFonts w:cs="Arial" w:hint="cs"/>
          <w:rtl/>
        </w:rPr>
        <w:t>בשני</w:t>
      </w:r>
      <w:r w:rsidRPr="007B69FB">
        <w:rPr>
          <w:rFonts w:cs="Arial"/>
          <w:rtl/>
        </w:rPr>
        <w:t xml:space="preserve"> </w:t>
      </w:r>
      <w:r w:rsidRPr="007B69FB">
        <w:rPr>
          <w:rFonts w:cs="Arial" w:hint="cs"/>
          <w:rtl/>
        </w:rPr>
        <w:t>בין</w:t>
      </w:r>
      <w:r w:rsidRPr="007B69FB">
        <w:rPr>
          <w:rFonts w:cs="Arial"/>
          <w:rtl/>
        </w:rPr>
        <w:t xml:space="preserve"> </w:t>
      </w:r>
      <w:r w:rsidRPr="007B69FB">
        <w:rPr>
          <w:rFonts w:cs="Arial" w:hint="cs"/>
          <w:rtl/>
        </w:rPr>
        <w:t>השמשות</w:t>
      </w:r>
      <w:r w:rsidRPr="007B69FB">
        <w:rPr>
          <w:rFonts w:cs="Arial"/>
          <w:rtl/>
        </w:rPr>
        <w:t xml:space="preserve"> </w:t>
      </w:r>
      <w:r w:rsidRPr="007B69FB">
        <w:rPr>
          <w:rFonts w:cs="Arial" w:hint="cs"/>
          <w:rtl/>
        </w:rPr>
        <w:t>בשוגג</w:t>
      </w:r>
      <w:r w:rsidRPr="007B69FB">
        <w:rPr>
          <w:rFonts w:cs="Arial"/>
          <w:rtl/>
        </w:rPr>
        <w:t xml:space="preserve"> </w:t>
      </w:r>
      <w:r w:rsidRPr="007B69FB">
        <w:rPr>
          <w:rFonts w:cs="Arial" w:hint="cs"/>
          <w:rtl/>
        </w:rPr>
        <w:t>חייב</w:t>
      </w:r>
      <w:r w:rsidRPr="007B69FB">
        <w:rPr>
          <w:rFonts w:cs="Arial"/>
          <w:rtl/>
        </w:rPr>
        <w:t xml:space="preserve"> </w:t>
      </w:r>
      <w:r w:rsidRPr="007B69FB">
        <w:rPr>
          <w:rFonts w:cs="Arial" w:hint="cs"/>
          <w:rtl/>
        </w:rPr>
        <w:t>חטאת</w:t>
      </w:r>
      <w:r w:rsidRPr="007B69FB">
        <w:rPr>
          <w:rFonts w:cs="Arial"/>
          <w:rtl/>
        </w:rPr>
        <w:t xml:space="preserve"> (</w:t>
      </w:r>
      <w:r w:rsidRPr="007B69FB">
        <w:rPr>
          <w:rFonts w:cs="Arial" w:hint="cs"/>
          <w:rtl/>
        </w:rPr>
        <w:t>שבת</w:t>
      </w:r>
      <w:r w:rsidRPr="007B69FB">
        <w:rPr>
          <w:rFonts w:cs="Arial"/>
          <w:rtl/>
        </w:rPr>
        <w:t xml:space="preserve"> </w:t>
      </w:r>
      <w:r w:rsidRPr="007B69FB">
        <w:rPr>
          <w:rFonts w:cs="Arial" w:hint="cs"/>
          <w:rtl/>
        </w:rPr>
        <w:t>לה</w:t>
      </w:r>
      <w:r>
        <w:rPr>
          <w:rFonts w:cs="Arial" w:hint="cs"/>
          <w:rtl/>
        </w:rPr>
        <w:t>:</w:t>
      </w:r>
      <w:r w:rsidRPr="007B69FB">
        <w:rPr>
          <w:rFonts w:cs="Arial"/>
          <w:rtl/>
        </w:rPr>
        <w:t xml:space="preserve">) </w:t>
      </w:r>
      <w:r w:rsidRPr="007B69FB">
        <w:rPr>
          <w:rFonts w:cs="Arial" w:hint="cs"/>
          <w:rtl/>
        </w:rPr>
        <w:t>ואינה</w:t>
      </w:r>
      <w:r w:rsidRPr="007B69FB">
        <w:rPr>
          <w:rFonts w:cs="Arial"/>
          <w:rtl/>
        </w:rPr>
        <w:t xml:space="preserve"> </w:t>
      </w:r>
      <w:r w:rsidRPr="007B69FB">
        <w:rPr>
          <w:rFonts w:cs="Arial" w:hint="cs"/>
          <w:rtl/>
        </w:rPr>
        <w:t>נקראת</w:t>
      </w:r>
      <w:r w:rsidRPr="007B69FB">
        <w:rPr>
          <w:rFonts w:cs="Arial"/>
          <w:rtl/>
        </w:rPr>
        <w:t xml:space="preserve"> </w:t>
      </w:r>
      <w:r w:rsidRPr="007B69FB">
        <w:rPr>
          <w:rFonts w:cs="Arial" w:hint="cs"/>
          <w:rtl/>
        </w:rPr>
        <w:t>תוספת</w:t>
      </w:r>
      <w:r w:rsidRPr="007B69FB">
        <w:rPr>
          <w:rFonts w:cs="Arial"/>
          <w:rtl/>
        </w:rPr>
        <w:t xml:space="preserve"> </w:t>
      </w:r>
      <w:r w:rsidRPr="007B69FB">
        <w:rPr>
          <w:rFonts w:cs="Arial" w:hint="cs"/>
          <w:rtl/>
        </w:rPr>
        <w:t>דבלאו</w:t>
      </w:r>
      <w:r w:rsidRPr="007B69FB">
        <w:rPr>
          <w:rFonts w:cs="Arial"/>
          <w:rtl/>
        </w:rPr>
        <w:t xml:space="preserve"> </w:t>
      </w:r>
      <w:r w:rsidRPr="007B69FB">
        <w:rPr>
          <w:rFonts w:cs="Arial" w:hint="cs"/>
          <w:rtl/>
        </w:rPr>
        <w:t>ריבוי</w:t>
      </w:r>
      <w:r w:rsidRPr="007B69FB">
        <w:rPr>
          <w:rFonts w:cs="Arial"/>
          <w:rtl/>
        </w:rPr>
        <w:t xml:space="preserve"> </w:t>
      </w:r>
      <w:r w:rsidRPr="007B69FB">
        <w:rPr>
          <w:rFonts w:cs="Arial" w:hint="cs"/>
          <w:rtl/>
        </w:rPr>
        <w:t>דקרא</w:t>
      </w:r>
      <w:r w:rsidRPr="007B69FB">
        <w:rPr>
          <w:rFonts w:cs="Arial"/>
          <w:rtl/>
        </w:rPr>
        <w:t xml:space="preserve"> </w:t>
      </w:r>
      <w:r w:rsidRPr="007B69FB">
        <w:rPr>
          <w:rFonts w:cs="Arial" w:hint="cs"/>
          <w:rtl/>
        </w:rPr>
        <w:t>צריך</w:t>
      </w:r>
      <w:r w:rsidRPr="007B69FB">
        <w:rPr>
          <w:rFonts w:cs="Arial"/>
          <w:rtl/>
        </w:rPr>
        <w:t xml:space="preserve"> </w:t>
      </w:r>
      <w:r w:rsidRPr="007B69FB">
        <w:rPr>
          <w:rFonts w:cs="Arial" w:hint="cs"/>
          <w:rtl/>
        </w:rPr>
        <w:t>לפרוש</w:t>
      </w:r>
      <w:r w:rsidRPr="007B69FB">
        <w:rPr>
          <w:rFonts w:cs="Arial"/>
          <w:rtl/>
        </w:rPr>
        <w:t xml:space="preserve"> </w:t>
      </w:r>
      <w:r w:rsidRPr="007B69FB">
        <w:rPr>
          <w:rFonts w:cs="Arial" w:hint="cs"/>
          <w:rtl/>
        </w:rPr>
        <w:t>מספק</w:t>
      </w:r>
      <w:r>
        <w:rPr>
          <w:rFonts w:cs="Arial" w:hint="cs"/>
          <w:rtl/>
        </w:rPr>
        <w:t>,</w:t>
      </w:r>
      <w:r w:rsidRPr="007B69FB">
        <w:rPr>
          <w:rFonts w:cs="Arial"/>
          <w:rtl/>
        </w:rPr>
        <w:t xml:space="preserve"> </w:t>
      </w:r>
      <w:r w:rsidRPr="007B69FB">
        <w:rPr>
          <w:rFonts w:cs="Arial" w:hint="cs"/>
          <w:rtl/>
        </w:rPr>
        <w:t>וגם</w:t>
      </w:r>
      <w:r w:rsidRPr="007B69FB">
        <w:rPr>
          <w:rFonts w:cs="Arial"/>
          <w:rtl/>
        </w:rPr>
        <w:t xml:space="preserve"> </w:t>
      </w:r>
      <w:r w:rsidRPr="007B69FB">
        <w:rPr>
          <w:rFonts w:cs="Arial" w:hint="cs"/>
          <w:rtl/>
        </w:rPr>
        <w:t>ספק</w:t>
      </w:r>
      <w:r w:rsidRPr="007B69FB">
        <w:rPr>
          <w:rFonts w:cs="Arial"/>
          <w:rtl/>
        </w:rPr>
        <w:t xml:space="preserve"> </w:t>
      </w:r>
      <w:r w:rsidRPr="007B69FB">
        <w:rPr>
          <w:rFonts w:cs="Arial" w:hint="cs"/>
          <w:rtl/>
        </w:rPr>
        <w:t>כרת</w:t>
      </w:r>
      <w:r w:rsidRPr="007B69FB">
        <w:rPr>
          <w:rFonts w:cs="Arial"/>
          <w:rtl/>
        </w:rPr>
        <w:t xml:space="preserve"> </w:t>
      </w:r>
      <w:r w:rsidRPr="007B69FB">
        <w:rPr>
          <w:rFonts w:cs="Arial" w:hint="cs"/>
          <w:rtl/>
        </w:rPr>
        <w:t>יש</w:t>
      </w:r>
      <w:r w:rsidRPr="007B69FB">
        <w:rPr>
          <w:rFonts w:cs="Arial"/>
          <w:rtl/>
        </w:rPr>
        <w:t xml:space="preserve"> </w:t>
      </w:r>
      <w:r w:rsidRPr="007B69FB">
        <w:rPr>
          <w:rFonts w:cs="Arial" w:hint="cs"/>
          <w:rtl/>
        </w:rPr>
        <w:t>בו</w:t>
      </w:r>
      <w:r w:rsidRPr="007B69FB">
        <w:rPr>
          <w:rFonts w:cs="Arial"/>
          <w:rtl/>
        </w:rPr>
        <w:t xml:space="preserve"> </w:t>
      </w:r>
      <w:r w:rsidRPr="007B69FB">
        <w:rPr>
          <w:rFonts w:cs="Arial" w:hint="cs"/>
          <w:rtl/>
        </w:rPr>
        <w:t>אלא</w:t>
      </w:r>
      <w:r w:rsidRPr="007B69FB">
        <w:rPr>
          <w:rFonts w:cs="Arial"/>
          <w:rtl/>
        </w:rPr>
        <w:t xml:space="preserve"> </w:t>
      </w:r>
      <w:r w:rsidRPr="007B69FB">
        <w:rPr>
          <w:rFonts w:cs="Arial" w:hint="cs"/>
          <w:rtl/>
        </w:rPr>
        <w:t>קודם</w:t>
      </w:r>
      <w:r w:rsidRPr="007B69FB">
        <w:rPr>
          <w:rFonts w:cs="Arial"/>
          <w:rtl/>
        </w:rPr>
        <w:t xml:space="preserve"> </w:t>
      </w:r>
      <w:r w:rsidRPr="007B69FB">
        <w:rPr>
          <w:rFonts w:cs="Arial" w:hint="cs"/>
          <w:rtl/>
        </w:rPr>
        <w:t>בין</w:t>
      </w:r>
      <w:r w:rsidRPr="007B69FB">
        <w:rPr>
          <w:rFonts w:cs="Arial"/>
          <w:rtl/>
        </w:rPr>
        <w:t xml:space="preserve"> </w:t>
      </w:r>
      <w:r w:rsidRPr="007B69FB">
        <w:rPr>
          <w:rFonts w:cs="Arial" w:hint="cs"/>
          <w:rtl/>
        </w:rPr>
        <w:t>השמשות</w:t>
      </w:r>
      <w:r w:rsidRPr="007B69FB">
        <w:rPr>
          <w:rFonts w:cs="Arial"/>
          <w:rtl/>
        </w:rPr>
        <w:t xml:space="preserve"> </w:t>
      </w:r>
      <w:r w:rsidRPr="007B69FB">
        <w:rPr>
          <w:rFonts w:cs="Arial" w:hint="cs"/>
          <w:rtl/>
        </w:rPr>
        <w:t>שהוא</w:t>
      </w:r>
      <w:r w:rsidRPr="007B69FB">
        <w:rPr>
          <w:rFonts w:cs="Arial"/>
          <w:rtl/>
        </w:rPr>
        <w:t xml:space="preserve"> </w:t>
      </w:r>
      <w:r w:rsidRPr="007B69FB">
        <w:rPr>
          <w:rFonts w:cs="Arial" w:hint="cs"/>
          <w:rtl/>
        </w:rPr>
        <w:t>מהלך</w:t>
      </w:r>
      <w:r w:rsidRPr="007B69FB">
        <w:rPr>
          <w:rFonts w:cs="Arial"/>
          <w:rtl/>
        </w:rPr>
        <w:t xml:space="preserve"> </w:t>
      </w:r>
      <w:r w:rsidRPr="007B69FB">
        <w:rPr>
          <w:rFonts w:cs="Arial" w:hint="cs"/>
          <w:rtl/>
        </w:rPr>
        <w:t>אלף</w:t>
      </w:r>
      <w:r w:rsidRPr="007B69FB">
        <w:rPr>
          <w:rFonts w:cs="Arial"/>
          <w:rtl/>
        </w:rPr>
        <w:t xml:space="preserve"> </w:t>
      </w:r>
      <w:r w:rsidRPr="007B69FB">
        <w:rPr>
          <w:rFonts w:cs="Arial" w:hint="cs"/>
          <w:rtl/>
        </w:rPr>
        <w:t>וחמש</w:t>
      </w:r>
      <w:r w:rsidRPr="007B69FB">
        <w:rPr>
          <w:rFonts w:cs="Arial"/>
          <w:rtl/>
        </w:rPr>
        <w:t xml:space="preserve"> </w:t>
      </w:r>
      <w:r w:rsidRPr="007B69FB">
        <w:rPr>
          <w:rFonts w:cs="Arial" w:hint="cs"/>
          <w:rtl/>
        </w:rPr>
        <w:t>מאות</w:t>
      </w:r>
      <w:r w:rsidRPr="007B69FB">
        <w:rPr>
          <w:rFonts w:cs="Arial"/>
          <w:rtl/>
        </w:rPr>
        <w:t xml:space="preserve"> </w:t>
      </w:r>
      <w:r w:rsidRPr="007B69FB">
        <w:rPr>
          <w:rFonts w:cs="Arial" w:hint="cs"/>
          <w:rtl/>
        </w:rPr>
        <w:t>אמה</w:t>
      </w:r>
      <w:r w:rsidRPr="007B69FB">
        <w:rPr>
          <w:rFonts w:cs="Arial"/>
          <w:rtl/>
        </w:rPr>
        <w:t xml:space="preserve"> </w:t>
      </w:r>
      <w:r w:rsidRPr="007B69FB">
        <w:rPr>
          <w:rFonts w:cs="Arial" w:hint="cs"/>
          <w:rtl/>
        </w:rPr>
        <w:t>קודם</w:t>
      </w:r>
      <w:r w:rsidRPr="007B69FB">
        <w:rPr>
          <w:rFonts w:cs="Arial"/>
          <w:rtl/>
        </w:rPr>
        <w:t xml:space="preserve"> </w:t>
      </w:r>
      <w:r w:rsidRPr="007B69FB">
        <w:rPr>
          <w:rFonts w:cs="Arial" w:hint="cs"/>
          <w:rtl/>
        </w:rPr>
        <w:t>הלילה</w:t>
      </w:r>
      <w:r w:rsidRPr="007B69FB">
        <w:rPr>
          <w:rFonts w:cs="Arial"/>
          <w:rtl/>
        </w:rPr>
        <w:t xml:space="preserve"> </w:t>
      </w:r>
      <w:r w:rsidRPr="007B69FB">
        <w:rPr>
          <w:rFonts w:cs="Arial" w:hint="cs"/>
          <w:rtl/>
        </w:rPr>
        <w:t>צריך</w:t>
      </w:r>
      <w:r w:rsidRPr="007B69FB">
        <w:rPr>
          <w:rFonts w:cs="Arial"/>
          <w:rtl/>
        </w:rPr>
        <w:t xml:space="preserve"> </w:t>
      </w:r>
      <w:r w:rsidRPr="007B69FB">
        <w:rPr>
          <w:rFonts w:cs="Arial" w:hint="cs"/>
          <w:rtl/>
        </w:rPr>
        <w:t>להוסיף</w:t>
      </w:r>
      <w:r w:rsidRPr="007B69FB">
        <w:rPr>
          <w:rFonts w:cs="Arial"/>
          <w:rtl/>
        </w:rPr>
        <w:t xml:space="preserve"> </w:t>
      </w:r>
      <w:r w:rsidRPr="007B69FB">
        <w:rPr>
          <w:rFonts w:cs="Arial" w:hint="cs"/>
          <w:rtl/>
        </w:rPr>
        <w:t>מן</w:t>
      </w:r>
      <w:r w:rsidRPr="007B69FB">
        <w:rPr>
          <w:rFonts w:cs="Arial"/>
          <w:rtl/>
        </w:rPr>
        <w:t xml:space="preserve"> </w:t>
      </w:r>
      <w:r w:rsidRPr="007B69FB">
        <w:rPr>
          <w:rFonts w:cs="Arial" w:hint="cs"/>
          <w:rtl/>
        </w:rPr>
        <w:t>החול</w:t>
      </w:r>
      <w:r w:rsidRPr="007B69FB">
        <w:rPr>
          <w:rFonts w:cs="Arial"/>
          <w:rtl/>
        </w:rPr>
        <w:t xml:space="preserve"> </w:t>
      </w:r>
      <w:r w:rsidRPr="007B69FB">
        <w:rPr>
          <w:rFonts w:cs="Arial" w:hint="cs"/>
          <w:rtl/>
        </w:rPr>
        <w:t>על</w:t>
      </w:r>
      <w:r w:rsidRPr="007B69FB">
        <w:rPr>
          <w:rFonts w:cs="Arial"/>
          <w:rtl/>
        </w:rPr>
        <w:t xml:space="preserve"> </w:t>
      </w:r>
      <w:r w:rsidRPr="007B69FB">
        <w:rPr>
          <w:rFonts w:cs="Arial" w:hint="cs"/>
          <w:rtl/>
        </w:rPr>
        <w:t>הקדש</w:t>
      </w:r>
      <w:r w:rsidRPr="007B69FB">
        <w:rPr>
          <w:rFonts w:cs="Arial"/>
          <w:rtl/>
        </w:rPr>
        <w:t xml:space="preserve">. </w:t>
      </w:r>
      <w:r w:rsidRPr="007B69FB">
        <w:rPr>
          <w:rFonts w:cs="Arial" w:hint="cs"/>
          <w:rtl/>
        </w:rPr>
        <w:t>ותוספת</w:t>
      </w:r>
      <w:r w:rsidRPr="007B69FB">
        <w:rPr>
          <w:rFonts w:cs="Arial"/>
          <w:rtl/>
        </w:rPr>
        <w:t xml:space="preserve"> </w:t>
      </w:r>
      <w:r w:rsidRPr="007B69FB">
        <w:rPr>
          <w:rFonts w:cs="Arial" w:hint="cs"/>
          <w:rtl/>
        </w:rPr>
        <w:t>זה</w:t>
      </w:r>
      <w:r w:rsidRPr="007B69FB">
        <w:rPr>
          <w:rFonts w:cs="Arial"/>
          <w:rtl/>
        </w:rPr>
        <w:t xml:space="preserve"> </w:t>
      </w:r>
      <w:r w:rsidRPr="007B69FB">
        <w:rPr>
          <w:rFonts w:cs="Arial" w:hint="cs"/>
          <w:rtl/>
        </w:rPr>
        <w:t>לא</w:t>
      </w:r>
      <w:r w:rsidRPr="007B69FB">
        <w:rPr>
          <w:rFonts w:cs="Arial"/>
          <w:rtl/>
        </w:rPr>
        <w:t xml:space="preserve"> </w:t>
      </w:r>
      <w:r w:rsidRPr="007B69FB">
        <w:rPr>
          <w:rFonts w:cs="Arial" w:hint="cs"/>
          <w:rtl/>
        </w:rPr>
        <w:t>נתברר</w:t>
      </w:r>
      <w:r w:rsidRPr="007B69FB">
        <w:rPr>
          <w:rFonts w:cs="Arial"/>
          <w:rtl/>
        </w:rPr>
        <w:t xml:space="preserve"> </w:t>
      </w:r>
      <w:r w:rsidRPr="007B69FB">
        <w:rPr>
          <w:rFonts w:cs="Arial" w:hint="cs"/>
          <w:rtl/>
        </w:rPr>
        <w:t>שיעורו</w:t>
      </w:r>
      <w:r w:rsidRPr="007B69FB">
        <w:rPr>
          <w:rFonts w:cs="Arial"/>
          <w:rtl/>
        </w:rPr>
        <w:t xml:space="preserve"> </w:t>
      </w:r>
      <w:r w:rsidRPr="007B69FB">
        <w:rPr>
          <w:rFonts w:cs="Arial" w:hint="cs"/>
          <w:rtl/>
        </w:rPr>
        <w:t>אלא</w:t>
      </w:r>
      <w:r w:rsidRPr="007B69FB">
        <w:rPr>
          <w:rFonts w:cs="Arial"/>
          <w:rtl/>
        </w:rPr>
        <w:t xml:space="preserve"> </w:t>
      </w:r>
      <w:r w:rsidRPr="007B69FB">
        <w:rPr>
          <w:rFonts w:cs="Arial" w:hint="cs"/>
          <w:rtl/>
        </w:rPr>
        <w:t>על</w:t>
      </w:r>
      <w:r w:rsidRPr="007B69FB">
        <w:rPr>
          <w:rFonts w:cs="Arial"/>
          <w:rtl/>
        </w:rPr>
        <w:t xml:space="preserve"> </w:t>
      </w:r>
      <w:r w:rsidRPr="007B69FB">
        <w:rPr>
          <w:rFonts w:cs="Arial" w:hint="cs"/>
          <w:rtl/>
        </w:rPr>
        <w:t>כרחך</w:t>
      </w:r>
      <w:r w:rsidRPr="007B69FB">
        <w:rPr>
          <w:rFonts w:cs="Arial"/>
          <w:rtl/>
        </w:rPr>
        <w:t xml:space="preserve"> </w:t>
      </w:r>
      <w:r w:rsidRPr="007B69FB">
        <w:rPr>
          <w:rFonts w:cs="Arial" w:hint="cs"/>
          <w:rtl/>
        </w:rPr>
        <w:t>לאו</w:t>
      </w:r>
      <w:r w:rsidRPr="007B69FB">
        <w:rPr>
          <w:rFonts w:cs="Arial"/>
          <w:rtl/>
        </w:rPr>
        <w:t xml:space="preserve"> </w:t>
      </w:r>
      <w:r w:rsidRPr="007B69FB">
        <w:rPr>
          <w:rFonts w:cs="Arial" w:hint="cs"/>
          <w:rtl/>
        </w:rPr>
        <w:t>תוספת</w:t>
      </w:r>
      <w:r w:rsidRPr="007B69FB">
        <w:rPr>
          <w:rFonts w:cs="Arial"/>
          <w:rtl/>
        </w:rPr>
        <w:t xml:space="preserve"> </w:t>
      </w:r>
      <w:r w:rsidRPr="007B69FB">
        <w:rPr>
          <w:rFonts w:cs="Arial" w:hint="cs"/>
          <w:rtl/>
        </w:rPr>
        <w:t>כל</w:t>
      </w:r>
      <w:r w:rsidRPr="007B69FB">
        <w:rPr>
          <w:rFonts w:cs="Arial"/>
          <w:rtl/>
        </w:rPr>
        <w:t xml:space="preserve"> </w:t>
      </w:r>
      <w:r w:rsidRPr="007B69FB">
        <w:rPr>
          <w:rFonts w:cs="Arial" w:hint="cs"/>
          <w:rtl/>
        </w:rPr>
        <w:t>דהו</w:t>
      </w:r>
      <w:r w:rsidRPr="007B69FB">
        <w:rPr>
          <w:rFonts w:cs="Arial"/>
          <w:rtl/>
        </w:rPr>
        <w:t xml:space="preserve"> </w:t>
      </w:r>
      <w:r w:rsidRPr="007B69FB">
        <w:rPr>
          <w:rFonts w:cs="Arial" w:hint="cs"/>
          <w:rtl/>
        </w:rPr>
        <w:t>קאמר</w:t>
      </w:r>
      <w:r w:rsidRPr="007B69FB">
        <w:rPr>
          <w:rFonts w:cs="Arial"/>
          <w:rtl/>
        </w:rPr>
        <w:t xml:space="preserve"> </w:t>
      </w:r>
      <w:r w:rsidRPr="007B69FB">
        <w:rPr>
          <w:rFonts w:cs="Arial" w:hint="cs"/>
          <w:rtl/>
        </w:rPr>
        <w:t>מדאמרי</w:t>
      </w:r>
      <w:r w:rsidRPr="007B69FB">
        <w:rPr>
          <w:rFonts w:cs="Arial"/>
          <w:rtl/>
        </w:rPr>
        <w:t xml:space="preserve">' </w:t>
      </w:r>
      <w:r w:rsidRPr="007B69FB">
        <w:rPr>
          <w:rFonts w:cs="Arial" w:hint="cs"/>
          <w:rtl/>
        </w:rPr>
        <w:t>במסכת</w:t>
      </w:r>
      <w:r w:rsidRPr="007B69FB">
        <w:rPr>
          <w:rFonts w:cs="Arial"/>
          <w:rtl/>
        </w:rPr>
        <w:t xml:space="preserve"> </w:t>
      </w:r>
      <w:r w:rsidRPr="007B69FB">
        <w:rPr>
          <w:rFonts w:cs="Arial" w:hint="cs"/>
          <w:rtl/>
        </w:rPr>
        <w:t>יום</w:t>
      </w:r>
      <w:r w:rsidRPr="007B69FB">
        <w:rPr>
          <w:rFonts w:cs="Arial"/>
          <w:rtl/>
        </w:rPr>
        <w:t xml:space="preserve"> </w:t>
      </w:r>
      <w:r w:rsidRPr="007B69FB">
        <w:rPr>
          <w:rFonts w:cs="Arial" w:hint="cs"/>
          <w:rtl/>
        </w:rPr>
        <w:t>טוב</w:t>
      </w:r>
      <w:r w:rsidRPr="007B69FB">
        <w:rPr>
          <w:rFonts w:cs="Arial"/>
          <w:rtl/>
        </w:rPr>
        <w:t xml:space="preserve"> </w:t>
      </w:r>
      <w:r w:rsidRPr="007B69FB">
        <w:rPr>
          <w:rFonts w:cs="Arial" w:hint="cs"/>
          <w:rtl/>
        </w:rPr>
        <w:t>בריש</w:t>
      </w:r>
      <w:r w:rsidRPr="007B69FB">
        <w:rPr>
          <w:rFonts w:cs="Arial"/>
          <w:rtl/>
        </w:rPr>
        <w:t xml:space="preserve"> </w:t>
      </w:r>
      <w:r w:rsidRPr="007B69FB">
        <w:rPr>
          <w:rFonts w:cs="Arial" w:hint="cs"/>
          <w:rtl/>
        </w:rPr>
        <w:t>פרק</w:t>
      </w:r>
      <w:r w:rsidRPr="007B69FB">
        <w:rPr>
          <w:rFonts w:cs="Arial"/>
          <w:rtl/>
        </w:rPr>
        <w:t xml:space="preserve"> </w:t>
      </w:r>
      <w:r w:rsidRPr="007B69FB">
        <w:rPr>
          <w:rFonts w:cs="Arial" w:hint="cs"/>
          <w:rtl/>
        </w:rPr>
        <w:t>המביא</w:t>
      </w:r>
      <w:r w:rsidRPr="007B69FB">
        <w:rPr>
          <w:rFonts w:cs="Arial"/>
          <w:rtl/>
        </w:rPr>
        <w:t xml:space="preserve"> (</w:t>
      </w:r>
      <w:r w:rsidRPr="007B69FB">
        <w:rPr>
          <w:rFonts w:cs="Arial" w:hint="cs"/>
          <w:rtl/>
        </w:rPr>
        <w:t>ל</w:t>
      </w:r>
      <w:r>
        <w:rPr>
          <w:rFonts w:cs="Arial" w:hint="cs"/>
          <w:rtl/>
        </w:rPr>
        <w:t>.</w:t>
      </w:r>
      <w:r w:rsidRPr="007B69FB">
        <w:rPr>
          <w:rFonts w:cs="Arial"/>
          <w:rtl/>
        </w:rPr>
        <w:t xml:space="preserve">) </w:t>
      </w:r>
      <w:r w:rsidRPr="007B69FB">
        <w:rPr>
          <w:rFonts w:cs="Arial" w:hint="cs"/>
          <w:rtl/>
        </w:rPr>
        <w:t>ובשבת</w:t>
      </w:r>
      <w:r w:rsidRPr="007B69FB">
        <w:rPr>
          <w:rFonts w:cs="Arial"/>
          <w:rtl/>
        </w:rPr>
        <w:t xml:space="preserve"> </w:t>
      </w:r>
      <w:r w:rsidRPr="007B69FB">
        <w:rPr>
          <w:rFonts w:cs="Arial" w:hint="cs"/>
          <w:rtl/>
        </w:rPr>
        <w:t>פרק</w:t>
      </w:r>
      <w:r w:rsidRPr="007B69FB">
        <w:rPr>
          <w:rFonts w:cs="Arial"/>
          <w:rtl/>
        </w:rPr>
        <w:t xml:space="preserve"> </w:t>
      </w:r>
      <w:r w:rsidRPr="007B69FB">
        <w:rPr>
          <w:rFonts w:cs="Arial" w:hint="cs"/>
          <w:rtl/>
        </w:rPr>
        <w:t>שואל</w:t>
      </w:r>
      <w:r w:rsidRPr="007B69FB">
        <w:rPr>
          <w:rFonts w:cs="Arial"/>
          <w:rtl/>
        </w:rPr>
        <w:t xml:space="preserve"> (</w:t>
      </w:r>
      <w:r w:rsidRPr="007B69FB">
        <w:rPr>
          <w:rFonts w:cs="Arial" w:hint="cs"/>
          <w:rtl/>
        </w:rPr>
        <w:t>קמח</w:t>
      </w:r>
      <w:r>
        <w:rPr>
          <w:rFonts w:cs="Arial" w:hint="cs"/>
          <w:rtl/>
        </w:rPr>
        <w:t>:</w:t>
      </w:r>
      <w:r w:rsidRPr="007B69FB">
        <w:rPr>
          <w:rFonts w:cs="Arial"/>
          <w:rtl/>
        </w:rPr>
        <w:t xml:space="preserve">) </w:t>
      </w:r>
      <w:r w:rsidRPr="007B69FB">
        <w:rPr>
          <w:rFonts w:cs="Arial" w:hint="cs"/>
          <w:rtl/>
        </w:rPr>
        <w:t>דהא</w:t>
      </w:r>
      <w:r w:rsidRPr="007B69FB">
        <w:rPr>
          <w:rFonts w:cs="Arial"/>
          <w:rtl/>
        </w:rPr>
        <w:t xml:space="preserve"> </w:t>
      </w:r>
      <w:r w:rsidRPr="007B69FB">
        <w:rPr>
          <w:rFonts w:cs="Arial" w:hint="cs"/>
          <w:rtl/>
        </w:rPr>
        <w:t>תוספת</w:t>
      </w:r>
      <w:r w:rsidRPr="007B69FB">
        <w:rPr>
          <w:rFonts w:cs="Arial"/>
          <w:rtl/>
        </w:rPr>
        <w:t xml:space="preserve"> </w:t>
      </w:r>
      <w:r w:rsidRPr="007B69FB">
        <w:rPr>
          <w:rFonts w:cs="Arial" w:hint="cs"/>
          <w:rtl/>
        </w:rPr>
        <w:t>דיום</w:t>
      </w:r>
      <w:r w:rsidRPr="007B69FB">
        <w:rPr>
          <w:rFonts w:cs="Arial"/>
          <w:rtl/>
        </w:rPr>
        <w:t xml:space="preserve"> </w:t>
      </w:r>
      <w:r w:rsidRPr="007B69FB">
        <w:rPr>
          <w:rFonts w:cs="Arial" w:hint="cs"/>
          <w:rtl/>
        </w:rPr>
        <w:t>הכפורים</w:t>
      </w:r>
      <w:r w:rsidRPr="007B69FB">
        <w:rPr>
          <w:rFonts w:cs="Arial"/>
          <w:rtl/>
        </w:rPr>
        <w:t xml:space="preserve"> </w:t>
      </w:r>
      <w:r w:rsidRPr="007B69FB">
        <w:rPr>
          <w:rFonts w:cs="Arial" w:hint="cs"/>
          <w:rtl/>
        </w:rPr>
        <w:t>דאורייתא</w:t>
      </w:r>
      <w:r w:rsidRPr="007B69FB">
        <w:rPr>
          <w:rFonts w:cs="Arial"/>
          <w:rtl/>
        </w:rPr>
        <w:t xml:space="preserve"> </w:t>
      </w:r>
      <w:r w:rsidRPr="007B69FB">
        <w:rPr>
          <w:rFonts w:cs="Arial" w:hint="cs"/>
          <w:rtl/>
        </w:rPr>
        <w:t>הוא</w:t>
      </w:r>
      <w:r w:rsidRPr="007B69FB">
        <w:rPr>
          <w:rFonts w:cs="Arial"/>
          <w:rtl/>
        </w:rPr>
        <w:t>.</w:t>
      </w:r>
      <w:r>
        <w:rPr>
          <w:rFonts w:cs="Arial" w:hint="cs"/>
          <w:rtl/>
        </w:rPr>
        <w:t xml:space="preserve"> </w:t>
      </w:r>
      <w:r w:rsidRPr="007B69FB">
        <w:rPr>
          <w:rFonts w:cs="Arial" w:hint="cs"/>
          <w:rtl/>
        </w:rPr>
        <w:t>והא</w:t>
      </w:r>
      <w:r w:rsidRPr="007B69FB">
        <w:rPr>
          <w:rFonts w:cs="Arial"/>
          <w:rtl/>
        </w:rPr>
        <w:t xml:space="preserve"> </w:t>
      </w:r>
      <w:r w:rsidRPr="007B69FB">
        <w:rPr>
          <w:rFonts w:cs="Arial" w:hint="cs"/>
          <w:rtl/>
        </w:rPr>
        <w:t>נשי</w:t>
      </w:r>
      <w:r w:rsidRPr="007B69FB">
        <w:rPr>
          <w:rFonts w:cs="Arial"/>
          <w:rtl/>
        </w:rPr>
        <w:t xml:space="preserve"> </w:t>
      </w:r>
      <w:r w:rsidRPr="007B69FB">
        <w:rPr>
          <w:rFonts w:cs="Arial" w:hint="cs"/>
          <w:rtl/>
        </w:rPr>
        <w:t>דידן</w:t>
      </w:r>
      <w:r w:rsidRPr="007B69FB">
        <w:rPr>
          <w:rFonts w:cs="Arial"/>
          <w:rtl/>
        </w:rPr>
        <w:t xml:space="preserve"> </w:t>
      </w:r>
      <w:r w:rsidRPr="007B69FB">
        <w:rPr>
          <w:rFonts w:cs="Arial" w:hint="cs"/>
          <w:rtl/>
        </w:rPr>
        <w:t>דאכלו</w:t>
      </w:r>
      <w:r w:rsidRPr="007B69FB">
        <w:rPr>
          <w:rFonts w:cs="Arial"/>
          <w:rtl/>
        </w:rPr>
        <w:t xml:space="preserve"> </w:t>
      </w:r>
      <w:r w:rsidRPr="007B69FB">
        <w:rPr>
          <w:rFonts w:cs="Arial" w:hint="cs"/>
          <w:rtl/>
        </w:rPr>
        <w:t>ושתו</w:t>
      </w:r>
      <w:r w:rsidRPr="007B69FB">
        <w:rPr>
          <w:rFonts w:cs="Arial"/>
          <w:rtl/>
        </w:rPr>
        <w:t xml:space="preserve"> </w:t>
      </w:r>
      <w:r w:rsidRPr="007B69FB">
        <w:rPr>
          <w:rFonts w:cs="Arial" w:hint="cs"/>
          <w:rtl/>
        </w:rPr>
        <w:t>עד</w:t>
      </w:r>
      <w:r w:rsidRPr="007B69FB">
        <w:rPr>
          <w:rFonts w:cs="Arial"/>
          <w:rtl/>
        </w:rPr>
        <w:t xml:space="preserve"> </w:t>
      </w:r>
      <w:r w:rsidRPr="007B69FB">
        <w:rPr>
          <w:rFonts w:cs="Arial" w:hint="cs"/>
          <w:rtl/>
        </w:rPr>
        <w:t>אורתא</w:t>
      </w:r>
      <w:r w:rsidRPr="007B69FB">
        <w:rPr>
          <w:rFonts w:cs="Arial"/>
          <w:rtl/>
        </w:rPr>
        <w:t xml:space="preserve"> </w:t>
      </w:r>
      <w:r w:rsidRPr="007B69FB">
        <w:rPr>
          <w:rFonts w:cs="Arial" w:hint="cs"/>
          <w:rtl/>
        </w:rPr>
        <w:t>ולא</w:t>
      </w:r>
      <w:r w:rsidRPr="007B69FB">
        <w:rPr>
          <w:rFonts w:cs="Arial"/>
          <w:rtl/>
        </w:rPr>
        <w:t xml:space="preserve"> </w:t>
      </w:r>
      <w:r w:rsidRPr="007B69FB">
        <w:rPr>
          <w:rFonts w:cs="Arial" w:hint="cs"/>
          <w:rtl/>
        </w:rPr>
        <w:t>מחינן</w:t>
      </w:r>
      <w:r w:rsidRPr="007B69FB">
        <w:rPr>
          <w:rFonts w:cs="Arial"/>
          <w:rtl/>
        </w:rPr>
        <w:t xml:space="preserve"> </w:t>
      </w:r>
      <w:r w:rsidRPr="007B69FB">
        <w:rPr>
          <w:rFonts w:cs="Arial" w:hint="cs"/>
          <w:rtl/>
        </w:rPr>
        <w:t>בהו</w:t>
      </w:r>
      <w:r w:rsidRPr="007B69FB">
        <w:rPr>
          <w:rFonts w:cs="Arial"/>
          <w:rtl/>
        </w:rPr>
        <w:t xml:space="preserve">. </w:t>
      </w:r>
      <w:r w:rsidRPr="007B69FB">
        <w:rPr>
          <w:rFonts w:cs="Arial" w:hint="cs"/>
          <w:rtl/>
        </w:rPr>
        <w:t>ומסתמא</w:t>
      </w:r>
      <w:r w:rsidRPr="007B69FB">
        <w:rPr>
          <w:rFonts w:cs="Arial"/>
          <w:rtl/>
        </w:rPr>
        <w:t xml:space="preserve"> </w:t>
      </w:r>
      <w:r w:rsidRPr="007B69FB">
        <w:rPr>
          <w:rFonts w:cs="Arial" w:hint="cs"/>
          <w:rtl/>
        </w:rPr>
        <w:t>לא</w:t>
      </w:r>
      <w:r w:rsidRPr="007B69FB">
        <w:rPr>
          <w:rFonts w:cs="Arial"/>
          <w:rtl/>
        </w:rPr>
        <w:t xml:space="preserve"> </w:t>
      </w:r>
      <w:r w:rsidRPr="007B69FB">
        <w:rPr>
          <w:rFonts w:cs="Arial" w:hint="cs"/>
          <w:rtl/>
        </w:rPr>
        <w:t>היו</w:t>
      </w:r>
      <w:r w:rsidRPr="007B69FB">
        <w:rPr>
          <w:rFonts w:cs="Arial"/>
          <w:rtl/>
        </w:rPr>
        <w:t xml:space="preserve"> </w:t>
      </w:r>
      <w:r w:rsidRPr="007B69FB">
        <w:rPr>
          <w:rFonts w:cs="Arial" w:hint="cs"/>
          <w:rtl/>
        </w:rPr>
        <w:t>אוכלות</w:t>
      </w:r>
      <w:r w:rsidRPr="007B69FB">
        <w:rPr>
          <w:rFonts w:cs="Arial"/>
          <w:rtl/>
        </w:rPr>
        <w:t xml:space="preserve"> </w:t>
      </w:r>
      <w:r w:rsidRPr="007B69FB">
        <w:rPr>
          <w:rFonts w:cs="Arial" w:hint="cs"/>
          <w:rtl/>
        </w:rPr>
        <w:t>לגמרי</w:t>
      </w:r>
      <w:r w:rsidRPr="007B69FB">
        <w:rPr>
          <w:rFonts w:cs="Arial"/>
          <w:rtl/>
        </w:rPr>
        <w:t xml:space="preserve"> </w:t>
      </w:r>
      <w:r w:rsidRPr="007B69FB">
        <w:rPr>
          <w:rFonts w:cs="Arial" w:hint="cs"/>
          <w:rtl/>
        </w:rPr>
        <w:t>עד</w:t>
      </w:r>
      <w:r w:rsidRPr="007B69FB">
        <w:rPr>
          <w:rFonts w:cs="Arial"/>
          <w:rtl/>
        </w:rPr>
        <w:t xml:space="preserve"> </w:t>
      </w:r>
      <w:r w:rsidRPr="007B69FB">
        <w:rPr>
          <w:rFonts w:cs="Arial" w:hint="cs"/>
          <w:rtl/>
        </w:rPr>
        <w:t>חשיכה</w:t>
      </w:r>
      <w:r w:rsidRPr="007B69FB">
        <w:rPr>
          <w:rFonts w:cs="Arial"/>
          <w:rtl/>
        </w:rPr>
        <w:t xml:space="preserve"> </w:t>
      </w:r>
      <w:r w:rsidRPr="007B69FB">
        <w:rPr>
          <w:rFonts w:cs="Arial" w:hint="cs"/>
          <w:rtl/>
        </w:rPr>
        <w:t>שאינן</w:t>
      </w:r>
      <w:r w:rsidRPr="007B69FB">
        <w:rPr>
          <w:rFonts w:cs="Arial"/>
          <w:rtl/>
        </w:rPr>
        <w:t xml:space="preserve"> </w:t>
      </w:r>
      <w:r w:rsidRPr="007B69FB">
        <w:rPr>
          <w:rFonts w:cs="Arial" w:hint="cs"/>
          <w:rtl/>
        </w:rPr>
        <w:t>יכולות</w:t>
      </w:r>
      <w:r w:rsidRPr="007B69FB">
        <w:rPr>
          <w:rFonts w:cs="Arial"/>
          <w:rtl/>
        </w:rPr>
        <w:t xml:space="preserve"> </w:t>
      </w:r>
      <w:r w:rsidRPr="007B69FB">
        <w:rPr>
          <w:rFonts w:cs="Arial" w:hint="cs"/>
          <w:rtl/>
        </w:rPr>
        <w:t>לצמצם</w:t>
      </w:r>
      <w:r w:rsidRPr="007B69FB">
        <w:rPr>
          <w:rFonts w:cs="Arial"/>
          <w:rtl/>
        </w:rPr>
        <w:t xml:space="preserve">. </w:t>
      </w:r>
      <w:r w:rsidRPr="007B69FB">
        <w:rPr>
          <w:rFonts w:cs="Arial" w:hint="cs"/>
          <w:rtl/>
        </w:rPr>
        <w:t>אלא</w:t>
      </w:r>
      <w:r w:rsidRPr="007B69FB">
        <w:rPr>
          <w:rFonts w:cs="Arial"/>
          <w:rtl/>
        </w:rPr>
        <w:t xml:space="preserve"> </w:t>
      </w:r>
      <w:r w:rsidRPr="007B69FB">
        <w:rPr>
          <w:rFonts w:cs="Arial" w:hint="cs"/>
          <w:rtl/>
        </w:rPr>
        <w:t>פירשו</w:t>
      </w:r>
      <w:r w:rsidRPr="007B69FB">
        <w:rPr>
          <w:rFonts w:cs="Arial"/>
          <w:rtl/>
        </w:rPr>
        <w:t xml:space="preserve"> </w:t>
      </w:r>
      <w:r w:rsidRPr="007B69FB">
        <w:rPr>
          <w:rFonts w:cs="Arial" w:hint="cs"/>
          <w:rtl/>
        </w:rPr>
        <w:t>קודם</w:t>
      </w:r>
      <w:r w:rsidRPr="007B69FB">
        <w:rPr>
          <w:rFonts w:cs="Arial"/>
          <w:rtl/>
        </w:rPr>
        <w:t xml:space="preserve"> </w:t>
      </w:r>
      <w:r w:rsidRPr="007B69FB">
        <w:rPr>
          <w:rFonts w:cs="Arial" w:hint="cs"/>
          <w:rtl/>
        </w:rPr>
        <w:t>עיצומו</w:t>
      </w:r>
      <w:r w:rsidRPr="007B69FB">
        <w:rPr>
          <w:rFonts w:cs="Arial"/>
          <w:rtl/>
        </w:rPr>
        <w:t xml:space="preserve"> </w:t>
      </w:r>
      <w:r w:rsidRPr="007B69FB">
        <w:rPr>
          <w:rFonts w:cs="Arial" w:hint="cs"/>
          <w:rtl/>
        </w:rPr>
        <w:t>של</w:t>
      </w:r>
      <w:r w:rsidRPr="007B69FB">
        <w:rPr>
          <w:rFonts w:cs="Arial"/>
          <w:rtl/>
        </w:rPr>
        <w:t xml:space="preserve"> </w:t>
      </w:r>
      <w:r w:rsidRPr="007B69FB">
        <w:rPr>
          <w:rFonts w:cs="Arial" w:hint="cs"/>
          <w:rtl/>
        </w:rPr>
        <w:t>יום</w:t>
      </w:r>
      <w:r w:rsidRPr="007B69FB">
        <w:rPr>
          <w:rFonts w:cs="Arial"/>
          <w:rtl/>
        </w:rPr>
        <w:t xml:space="preserve"> </w:t>
      </w:r>
      <w:r w:rsidRPr="007B69FB">
        <w:rPr>
          <w:rFonts w:cs="Arial" w:hint="cs"/>
          <w:rtl/>
        </w:rPr>
        <w:t>וגם</w:t>
      </w:r>
      <w:r w:rsidRPr="007B69FB">
        <w:rPr>
          <w:rFonts w:cs="Arial"/>
          <w:rtl/>
        </w:rPr>
        <w:t xml:space="preserve"> </w:t>
      </w:r>
      <w:r w:rsidRPr="007B69FB">
        <w:rPr>
          <w:rFonts w:cs="Arial" w:hint="cs"/>
          <w:rtl/>
        </w:rPr>
        <w:t>מספיקו</w:t>
      </w:r>
      <w:r w:rsidRPr="007B69FB">
        <w:rPr>
          <w:rFonts w:cs="Arial"/>
          <w:rtl/>
        </w:rPr>
        <w:t xml:space="preserve"> </w:t>
      </w:r>
      <w:r w:rsidRPr="007B69FB">
        <w:rPr>
          <w:rFonts w:cs="Arial" w:hint="cs"/>
          <w:rtl/>
        </w:rPr>
        <w:t>אלא</w:t>
      </w:r>
      <w:r w:rsidRPr="007B69FB">
        <w:rPr>
          <w:rFonts w:cs="Arial"/>
          <w:rtl/>
        </w:rPr>
        <w:t xml:space="preserve"> </w:t>
      </w:r>
      <w:r w:rsidRPr="007B69FB">
        <w:rPr>
          <w:rFonts w:cs="Arial" w:hint="cs"/>
          <w:rtl/>
        </w:rPr>
        <w:t>שבתוספת</w:t>
      </w:r>
      <w:r w:rsidRPr="007B69FB">
        <w:rPr>
          <w:rFonts w:cs="Arial"/>
          <w:rtl/>
        </w:rPr>
        <w:t xml:space="preserve"> </w:t>
      </w:r>
      <w:r w:rsidRPr="007B69FB">
        <w:rPr>
          <w:rFonts w:cs="Arial" w:hint="cs"/>
          <w:rtl/>
        </w:rPr>
        <w:t>היו</w:t>
      </w:r>
      <w:r w:rsidRPr="007B69FB">
        <w:rPr>
          <w:rFonts w:cs="Arial"/>
          <w:rtl/>
        </w:rPr>
        <w:t xml:space="preserve"> </w:t>
      </w:r>
      <w:r w:rsidRPr="007B69FB">
        <w:rPr>
          <w:rFonts w:cs="Arial" w:hint="cs"/>
          <w:rtl/>
        </w:rPr>
        <w:t>מזלזלות</w:t>
      </w:r>
      <w:r w:rsidRPr="007B69FB">
        <w:rPr>
          <w:rFonts w:cs="Arial"/>
          <w:rtl/>
        </w:rPr>
        <w:t xml:space="preserve">. </w:t>
      </w:r>
      <w:r w:rsidRPr="007B69FB">
        <w:rPr>
          <w:rFonts w:cs="Arial" w:hint="cs"/>
          <w:rtl/>
        </w:rPr>
        <w:t>אלמא</w:t>
      </w:r>
      <w:r w:rsidRPr="007B69FB">
        <w:rPr>
          <w:rFonts w:cs="Arial"/>
          <w:rtl/>
        </w:rPr>
        <w:t xml:space="preserve"> </w:t>
      </w:r>
      <w:r w:rsidRPr="007B69FB">
        <w:rPr>
          <w:rFonts w:cs="Arial" w:hint="cs"/>
          <w:rtl/>
        </w:rPr>
        <w:t>לאו</w:t>
      </w:r>
      <w:r w:rsidRPr="007B69FB">
        <w:rPr>
          <w:rFonts w:cs="Arial"/>
          <w:rtl/>
        </w:rPr>
        <w:t xml:space="preserve"> </w:t>
      </w:r>
      <w:r w:rsidRPr="007B69FB">
        <w:rPr>
          <w:rFonts w:cs="Arial" w:hint="cs"/>
          <w:rtl/>
        </w:rPr>
        <w:t>בתוספת</w:t>
      </w:r>
      <w:r w:rsidRPr="007B69FB">
        <w:rPr>
          <w:rFonts w:cs="Arial"/>
          <w:rtl/>
        </w:rPr>
        <w:t xml:space="preserve"> </w:t>
      </w:r>
      <w:r w:rsidRPr="007B69FB">
        <w:rPr>
          <w:rFonts w:cs="Arial" w:hint="cs"/>
          <w:rtl/>
        </w:rPr>
        <w:t>כל</w:t>
      </w:r>
      <w:r w:rsidRPr="007B69FB">
        <w:rPr>
          <w:rFonts w:cs="Arial"/>
          <w:rtl/>
        </w:rPr>
        <w:t xml:space="preserve"> </w:t>
      </w:r>
      <w:r w:rsidRPr="007B69FB">
        <w:rPr>
          <w:rFonts w:cs="Arial" w:hint="cs"/>
          <w:rtl/>
        </w:rPr>
        <w:t>דהו</w:t>
      </w:r>
      <w:r w:rsidRPr="007B69FB">
        <w:rPr>
          <w:rFonts w:cs="Arial"/>
          <w:rtl/>
        </w:rPr>
        <w:t xml:space="preserve"> </w:t>
      </w:r>
      <w:r w:rsidRPr="007B69FB">
        <w:rPr>
          <w:rFonts w:cs="Arial" w:hint="cs"/>
          <w:rtl/>
        </w:rPr>
        <w:t>אמרינן</w:t>
      </w:r>
      <w:r>
        <w:rPr>
          <w:rFonts w:cs="Arial" w:hint="cs"/>
          <w:rtl/>
        </w:rPr>
        <w:t>,</w:t>
      </w:r>
      <w:r w:rsidRPr="007B69FB">
        <w:rPr>
          <w:rFonts w:cs="Arial"/>
          <w:rtl/>
        </w:rPr>
        <w:t xml:space="preserve"> </w:t>
      </w:r>
      <w:r w:rsidRPr="007B69FB">
        <w:rPr>
          <w:rFonts w:cs="Arial" w:hint="cs"/>
          <w:rtl/>
        </w:rPr>
        <w:t>אלא</w:t>
      </w:r>
      <w:r w:rsidRPr="007B69FB">
        <w:rPr>
          <w:rFonts w:cs="Arial"/>
          <w:rtl/>
        </w:rPr>
        <w:t xml:space="preserve"> </w:t>
      </w:r>
      <w:r w:rsidRPr="007B69FB">
        <w:rPr>
          <w:rFonts w:cs="Arial" w:hint="cs"/>
          <w:rtl/>
        </w:rPr>
        <w:t>שלא</w:t>
      </w:r>
      <w:r w:rsidRPr="007B69FB">
        <w:rPr>
          <w:rFonts w:cs="Arial"/>
          <w:rtl/>
        </w:rPr>
        <w:t xml:space="preserve"> </w:t>
      </w:r>
      <w:r w:rsidRPr="007B69FB">
        <w:rPr>
          <w:rFonts w:cs="Arial" w:hint="cs"/>
          <w:rtl/>
        </w:rPr>
        <w:t>נתברר</w:t>
      </w:r>
      <w:r w:rsidRPr="007B69FB">
        <w:rPr>
          <w:rFonts w:cs="Arial"/>
          <w:rtl/>
        </w:rPr>
        <w:t xml:space="preserve"> </w:t>
      </w:r>
      <w:r w:rsidRPr="007B69FB">
        <w:rPr>
          <w:rFonts w:cs="Arial" w:hint="cs"/>
          <w:rtl/>
        </w:rPr>
        <w:t>שיעורו</w:t>
      </w:r>
      <w:r w:rsidRPr="007B69FB">
        <w:rPr>
          <w:rFonts w:cs="Arial"/>
          <w:rtl/>
        </w:rPr>
        <w:t xml:space="preserve"> </w:t>
      </w:r>
      <w:r w:rsidRPr="007B69FB">
        <w:rPr>
          <w:rFonts w:cs="Arial" w:hint="cs"/>
          <w:rtl/>
        </w:rPr>
        <w:t>וצריך</w:t>
      </w:r>
      <w:r w:rsidRPr="007B69FB">
        <w:rPr>
          <w:rFonts w:cs="Arial"/>
          <w:rtl/>
        </w:rPr>
        <w:t xml:space="preserve"> </w:t>
      </w:r>
      <w:r w:rsidRPr="007B69FB">
        <w:rPr>
          <w:rFonts w:cs="Arial" w:hint="cs"/>
          <w:rtl/>
        </w:rPr>
        <w:t>לפרוש</w:t>
      </w:r>
      <w:r w:rsidRPr="007B69FB">
        <w:rPr>
          <w:rFonts w:cs="Arial"/>
          <w:rtl/>
        </w:rPr>
        <w:t xml:space="preserve"> </w:t>
      </w:r>
      <w:r w:rsidRPr="007B69FB">
        <w:rPr>
          <w:rFonts w:cs="Arial" w:hint="cs"/>
          <w:rtl/>
        </w:rPr>
        <w:t>קודם</w:t>
      </w:r>
      <w:r w:rsidRPr="007B69FB">
        <w:rPr>
          <w:rFonts w:cs="Arial"/>
          <w:rtl/>
        </w:rPr>
        <w:t xml:space="preserve"> </w:t>
      </w:r>
      <w:r w:rsidRPr="007B69FB">
        <w:rPr>
          <w:rFonts w:cs="Arial" w:hint="cs"/>
          <w:rtl/>
        </w:rPr>
        <w:t>בין</w:t>
      </w:r>
      <w:r w:rsidRPr="007B69FB">
        <w:rPr>
          <w:rFonts w:cs="Arial"/>
          <w:rtl/>
        </w:rPr>
        <w:t xml:space="preserve"> </w:t>
      </w:r>
      <w:r w:rsidRPr="007B69FB">
        <w:rPr>
          <w:rFonts w:cs="Arial" w:hint="cs"/>
          <w:rtl/>
        </w:rPr>
        <w:t>השמשות</w:t>
      </w:r>
      <w:r w:rsidRPr="007B69FB">
        <w:rPr>
          <w:rFonts w:cs="Arial"/>
          <w:rtl/>
        </w:rPr>
        <w:t xml:space="preserve"> </w:t>
      </w:r>
      <w:r w:rsidRPr="007B69FB">
        <w:rPr>
          <w:rFonts w:cs="Arial" w:hint="cs"/>
          <w:rtl/>
        </w:rPr>
        <w:t>מעט.</w:t>
      </w:r>
      <w:r w:rsidRPr="007B69FB">
        <w:rPr>
          <w:rFonts w:cs="Arial"/>
          <w:rtl/>
        </w:rPr>
        <w:t xml:space="preserve"> </w:t>
      </w:r>
    </w:p>
    <w:p w14:paraId="1B8B61B6" w14:textId="77777777" w:rsidR="004B2E7C" w:rsidRPr="00F77C17" w:rsidRDefault="004B2E7C" w:rsidP="00434A6A">
      <w:pPr>
        <w:ind w:left="360"/>
        <w:rPr>
          <w:rFonts w:cs="Arial"/>
          <w:u w:val="dotted"/>
        </w:rPr>
      </w:pPr>
      <w:r w:rsidRPr="00F77C17">
        <w:rPr>
          <w:rFonts w:cs="Arial" w:hint="cs"/>
          <w:u w:val="dotted"/>
          <w:rtl/>
        </w:rPr>
        <w:t>מה הזמן הכי מוקדם שבו יכול לקבל עליו את התוספת שבת:</w:t>
      </w:r>
    </w:p>
    <w:p w14:paraId="4D3052C4" w14:textId="77777777" w:rsidR="004B2E7C" w:rsidRDefault="004B2E7C" w:rsidP="00FF2D21">
      <w:pPr>
        <w:pStyle w:val="aa"/>
        <w:numPr>
          <w:ilvl w:val="0"/>
          <w:numId w:val="87"/>
        </w:numPr>
        <w:rPr>
          <w:rFonts w:cs="Arial"/>
        </w:rPr>
      </w:pPr>
      <w:r>
        <w:rPr>
          <w:rFonts w:cs="Arial" w:hint="cs"/>
          <w:rtl/>
        </w:rPr>
        <w:t xml:space="preserve">רמב"ן </w:t>
      </w:r>
      <w:r w:rsidRPr="007B69FB">
        <w:rPr>
          <w:rFonts w:cs="Arial" w:hint="cs"/>
          <w:sz w:val="16"/>
          <w:szCs w:val="16"/>
          <w:rtl/>
        </w:rPr>
        <w:t>(כ"כ בשמו הה"מ [פ"ה ה"ד] והר</w:t>
      </w:r>
      <w:r w:rsidRPr="007B69FB">
        <w:rPr>
          <w:rFonts w:cs="Arial"/>
          <w:sz w:val="16"/>
          <w:szCs w:val="16"/>
          <w:rtl/>
        </w:rPr>
        <w:t>"</w:t>
      </w:r>
      <w:r w:rsidRPr="007B69FB">
        <w:rPr>
          <w:rFonts w:cs="Arial" w:hint="cs"/>
          <w:sz w:val="16"/>
          <w:szCs w:val="16"/>
          <w:rtl/>
        </w:rPr>
        <w:t>ן</w:t>
      </w:r>
      <w:r w:rsidRPr="007B69FB">
        <w:rPr>
          <w:rFonts w:cs="Arial"/>
          <w:sz w:val="16"/>
          <w:szCs w:val="16"/>
          <w:rtl/>
        </w:rPr>
        <w:t xml:space="preserve"> </w:t>
      </w:r>
      <w:r w:rsidRPr="007B69FB">
        <w:rPr>
          <w:rFonts w:cs="Arial" w:hint="cs"/>
          <w:sz w:val="16"/>
          <w:szCs w:val="16"/>
          <w:rtl/>
        </w:rPr>
        <w:t>[פ'</w:t>
      </w:r>
      <w:r w:rsidRPr="007B69FB">
        <w:rPr>
          <w:rFonts w:cs="Arial"/>
          <w:sz w:val="16"/>
          <w:szCs w:val="16"/>
          <w:rtl/>
        </w:rPr>
        <w:t xml:space="preserve"> </w:t>
      </w:r>
      <w:r w:rsidRPr="007B69FB">
        <w:rPr>
          <w:rFonts w:cs="Arial" w:hint="cs"/>
          <w:sz w:val="16"/>
          <w:szCs w:val="16"/>
          <w:rtl/>
        </w:rPr>
        <w:t>במה</w:t>
      </w:r>
      <w:r w:rsidRPr="007B69FB">
        <w:rPr>
          <w:rFonts w:cs="Arial"/>
          <w:sz w:val="16"/>
          <w:szCs w:val="16"/>
          <w:rtl/>
        </w:rPr>
        <w:t xml:space="preserve"> </w:t>
      </w:r>
      <w:r w:rsidRPr="007B69FB">
        <w:rPr>
          <w:rFonts w:cs="Arial" w:hint="cs"/>
          <w:sz w:val="16"/>
          <w:szCs w:val="16"/>
          <w:rtl/>
        </w:rPr>
        <w:t>מדליקין</w:t>
      </w:r>
      <w:r w:rsidRPr="007B69FB">
        <w:rPr>
          <w:rFonts w:cs="Arial"/>
          <w:sz w:val="16"/>
          <w:szCs w:val="16"/>
          <w:rtl/>
        </w:rPr>
        <w:t xml:space="preserve"> </w:t>
      </w:r>
      <w:r w:rsidRPr="007B69FB">
        <w:rPr>
          <w:rFonts w:cs="Arial" w:hint="cs"/>
          <w:sz w:val="16"/>
          <w:szCs w:val="16"/>
          <w:rtl/>
        </w:rPr>
        <w:t>טו</w:t>
      </w:r>
      <w:r w:rsidRPr="007B69FB">
        <w:rPr>
          <w:rFonts w:cs="Arial"/>
          <w:sz w:val="16"/>
          <w:szCs w:val="16"/>
          <w:rtl/>
        </w:rPr>
        <w:t xml:space="preserve">. </w:t>
      </w:r>
      <w:r w:rsidRPr="007B69FB">
        <w:rPr>
          <w:rFonts w:cs="Arial" w:hint="cs"/>
          <w:sz w:val="16"/>
          <w:szCs w:val="16"/>
          <w:rtl/>
        </w:rPr>
        <w:t>ד</w:t>
      </w:r>
      <w:r w:rsidRPr="007B69FB">
        <w:rPr>
          <w:rFonts w:cs="Arial"/>
          <w:sz w:val="16"/>
          <w:szCs w:val="16"/>
          <w:rtl/>
        </w:rPr>
        <w:t>"</w:t>
      </w:r>
      <w:r w:rsidRPr="007B69FB">
        <w:rPr>
          <w:rFonts w:cs="Arial" w:hint="cs"/>
          <w:sz w:val="16"/>
          <w:szCs w:val="16"/>
          <w:rtl/>
        </w:rPr>
        <w:t>ה</w:t>
      </w:r>
      <w:r w:rsidRPr="007B69FB">
        <w:rPr>
          <w:rFonts w:cs="Arial"/>
          <w:sz w:val="16"/>
          <w:szCs w:val="16"/>
          <w:rtl/>
        </w:rPr>
        <w:t xml:space="preserve"> </w:t>
      </w:r>
      <w:r w:rsidRPr="007B69FB">
        <w:rPr>
          <w:rFonts w:cs="Arial" w:hint="cs"/>
          <w:sz w:val="16"/>
          <w:szCs w:val="16"/>
          <w:rtl/>
        </w:rPr>
        <w:t>אמר</w:t>
      </w:r>
      <w:r w:rsidRPr="007B69FB">
        <w:rPr>
          <w:rFonts w:cs="Arial"/>
          <w:sz w:val="16"/>
          <w:szCs w:val="16"/>
          <w:rtl/>
        </w:rPr>
        <w:t xml:space="preserve"> </w:t>
      </w:r>
      <w:r w:rsidRPr="007B69FB">
        <w:rPr>
          <w:rFonts w:cs="Arial" w:hint="cs"/>
          <w:sz w:val="16"/>
          <w:szCs w:val="16"/>
          <w:rtl/>
        </w:rPr>
        <w:t>רבה,</w:t>
      </w:r>
      <w:r w:rsidRPr="007B69FB">
        <w:rPr>
          <w:rFonts w:cs="Arial"/>
          <w:sz w:val="16"/>
          <w:szCs w:val="16"/>
          <w:rtl/>
        </w:rPr>
        <w:t xml:space="preserve"> </w:t>
      </w:r>
      <w:r w:rsidRPr="007B69FB">
        <w:rPr>
          <w:rFonts w:cs="Arial" w:hint="cs"/>
          <w:sz w:val="16"/>
          <w:szCs w:val="16"/>
          <w:rtl/>
        </w:rPr>
        <w:t>וביומא</w:t>
      </w:r>
      <w:r w:rsidRPr="007B69FB">
        <w:rPr>
          <w:rFonts w:cs="Arial"/>
          <w:sz w:val="16"/>
          <w:szCs w:val="16"/>
          <w:rtl/>
        </w:rPr>
        <w:t xml:space="preserve"> </w:t>
      </w:r>
      <w:r w:rsidRPr="007B69FB">
        <w:rPr>
          <w:rFonts w:cs="Arial" w:hint="cs"/>
          <w:sz w:val="16"/>
          <w:szCs w:val="16"/>
          <w:rtl/>
        </w:rPr>
        <w:t>ב</w:t>
      </w:r>
      <w:r w:rsidRPr="007B69FB">
        <w:rPr>
          <w:rFonts w:cs="Arial"/>
          <w:sz w:val="16"/>
          <w:szCs w:val="16"/>
          <w:rtl/>
        </w:rPr>
        <w:t xml:space="preserve">: </w:t>
      </w:r>
      <w:r w:rsidRPr="007B69FB">
        <w:rPr>
          <w:rFonts w:cs="Arial" w:hint="cs"/>
          <w:sz w:val="16"/>
          <w:szCs w:val="16"/>
          <w:rtl/>
        </w:rPr>
        <w:t>ד</w:t>
      </w:r>
      <w:r w:rsidRPr="007B69FB">
        <w:rPr>
          <w:rFonts w:cs="Arial"/>
          <w:sz w:val="16"/>
          <w:szCs w:val="16"/>
          <w:rtl/>
        </w:rPr>
        <w:t>"</w:t>
      </w:r>
      <w:r w:rsidRPr="007B69FB">
        <w:rPr>
          <w:rFonts w:cs="Arial" w:hint="cs"/>
          <w:sz w:val="16"/>
          <w:szCs w:val="16"/>
          <w:rtl/>
        </w:rPr>
        <w:t>ה</w:t>
      </w:r>
      <w:r w:rsidRPr="007B69FB">
        <w:rPr>
          <w:rFonts w:cs="Arial"/>
          <w:sz w:val="16"/>
          <w:szCs w:val="16"/>
          <w:rtl/>
        </w:rPr>
        <w:t xml:space="preserve"> </w:t>
      </w:r>
      <w:r w:rsidRPr="007B69FB">
        <w:rPr>
          <w:rFonts w:cs="Arial" w:hint="cs"/>
          <w:sz w:val="16"/>
          <w:szCs w:val="16"/>
          <w:rtl/>
        </w:rPr>
        <w:t>ת</w:t>
      </w:r>
      <w:r w:rsidRPr="007B69FB">
        <w:rPr>
          <w:rFonts w:cs="Arial"/>
          <w:sz w:val="16"/>
          <w:szCs w:val="16"/>
          <w:rtl/>
        </w:rPr>
        <w:t>"</w:t>
      </w:r>
      <w:r w:rsidRPr="007B69FB">
        <w:rPr>
          <w:rFonts w:cs="Arial" w:hint="cs"/>
          <w:sz w:val="16"/>
          <w:szCs w:val="16"/>
          <w:rtl/>
        </w:rPr>
        <w:t>ר</w:t>
      </w:r>
      <w:r w:rsidRPr="007B69FB">
        <w:rPr>
          <w:rFonts w:cs="Arial"/>
          <w:sz w:val="16"/>
          <w:szCs w:val="16"/>
          <w:rtl/>
        </w:rPr>
        <w:t xml:space="preserve"> </w:t>
      </w:r>
      <w:r w:rsidRPr="007B69FB">
        <w:rPr>
          <w:rFonts w:cs="Arial" w:hint="cs"/>
          <w:sz w:val="16"/>
          <w:szCs w:val="16"/>
          <w:rtl/>
        </w:rPr>
        <w:t>ועניתם])</w:t>
      </w:r>
      <w:r>
        <w:rPr>
          <w:rFonts w:cs="Arial" w:hint="cs"/>
          <w:rtl/>
        </w:rPr>
        <w:t xml:space="preserve">- </w:t>
      </w:r>
      <w:r w:rsidRPr="007B69FB">
        <w:rPr>
          <w:rFonts w:cs="Arial" w:hint="cs"/>
          <w:rtl/>
        </w:rPr>
        <w:t>תוספת</w:t>
      </w:r>
      <w:r w:rsidRPr="007B69FB">
        <w:rPr>
          <w:rFonts w:cs="Arial"/>
          <w:rtl/>
        </w:rPr>
        <w:t xml:space="preserve"> </w:t>
      </w:r>
      <w:r w:rsidRPr="007B69FB">
        <w:rPr>
          <w:rFonts w:cs="Arial" w:hint="cs"/>
          <w:rtl/>
        </w:rPr>
        <w:t>זה</w:t>
      </w:r>
      <w:r w:rsidRPr="007B69FB">
        <w:rPr>
          <w:rFonts w:cs="Arial"/>
          <w:rtl/>
        </w:rPr>
        <w:t xml:space="preserve"> </w:t>
      </w:r>
      <w:r w:rsidRPr="007B69FB">
        <w:rPr>
          <w:rFonts w:cs="Arial" w:hint="cs"/>
          <w:rtl/>
        </w:rPr>
        <w:t>אי</w:t>
      </w:r>
      <w:r w:rsidRPr="007B69FB">
        <w:rPr>
          <w:rFonts w:cs="Arial"/>
          <w:rtl/>
        </w:rPr>
        <w:t xml:space="preserve"> </w:t>
      </w:r>
      <w:r w:rsidRPr="007B69FB">
        <w:rPr>
          <w:rFonts w:cs="Arial" w:hint="cs"/>
          <w:rtl/>
        </w:rPr>
        <w:t>אפשר</w:t>
      </w:r>
      <w:r w:rsidRPr="007B69FB">
        <w:rPr>
          <w:rFonts w:cs="Arial"/>
          <w:rtl/>
        </w:rPr>
        <w:t xml:space="preserve"> </w:t>
      </w:r>
      <w:r w:rsidRPr="007B69FB">
        <w:rPr>
          <w:rFonts w:cs="Arial" w:hint="cs"/>
          <w:rtl/>
        </w:rPr>
        <w:t>שיהא</w:t>
      </w:r>
      <w:r w:rsidRPr="007B69FB">
        <w:rPr>
          <w:rFonts w:cs="Arial"/>
          <w:rtl/>
        </w:rPr>
        <w:t xml:space="preserve"> </w:t>
      </w:r>
      <w:r w:rsidRPr="007B69FB">
        <w:rPr>
          <w:rFonts w:cs="Arial" w:hint="cs"/>
          <w:rtl/>
        </w:rPr>
        <w:t>בעוד</w:t>
      </w:r>
      <w:r w:rsidRPr="007B69FB">
        <w:rPr>
          <w:rFonts w:cs="Arial"/>
          <w:rtl/>
        </w:rPr>
        <w:t xml:space="preserve"> </w:t>
      </w:r>
      <w:r w:rsidRPr="007B69FB">
        <w:rPr>
          <w:rFonts w:cs="Arial" w:hint="cs"/>
          <w:rtl/>
        </w:rPr>
        <w:t>השמש</w:t>
      </w:r>
      <w:r w:rsidRPr="007B69FB">
        <w:rPr>
          <w:rFonts w:cs="Arial"/>
          <w:rtl/>
        </w:rPr>
        <w:t xml:space="preserve"> </w:t>
      </w:r>
      <w:r w:rsidRPr="007B69FB">
        <w:rPr>
          <w:rFonts w:cs="Arial" w:hint="cs"/>
          <w:rtl/>
        </w:rPr>
        <w:t>זורחת</w:t>
      </w:r>
      <w:r w:rsidRPr="007B69FB">
        <w:rPr>
          <w:rFonts w:cs="Arial"/>
          <w:rtl/>
        </w:rPr>
        <w:t xml:space="preserve"> </w:t>
      </w:r>
      <w:r w:rsidRPr="007B69FB">
        <w:rPr>
          <w:rFonts w:cs="Arial" w:hint="cs"/>
          <w:rtl/>
        </w:rPr>
        <w:t>על</w:t>
      </w:r>
      <w:r w:rsidRPr="007B69FB">
        <w:rPr>
          <w:rFonts w:cs="Arial"/>
          <w:rtl/>
        </w:rPr>
        <w:t xml:space="preserve"> </w:t>
      </w:r>
      <w:r w:rsidRPr="007B69FB">
        <w:rPr>
          <w:rFonts w:cs="Arial" w:hint="cs"/>
          <w:rtl/>
        </w:rPr>
        <w:t>הארץ,</w:t>
      </w:r>
      <w:r w:rsidRPr="007B69FB">
        <w:rPr>
          <w:rFonts w:cs="Arial"/>
          <w:rtl/>
        </w:rPr>
        <w:t xml:space="preserve"> </w:t>
      </w:r>
      <w:r w:rsidRPr="007B69FB">
        <w:rPr>
          <w:rFonts w:cs="Arial" w:hint="cs"/>
          <w:rtl/>
        </w:rPr>
        <w:t>דהא</w:t>
      </w:r>
      <w:r w:rsidRPr="007B69FB">
        <w:rPr>
          <w:rFonts w:cs="Arial"/>
          <w:rtl/>
        </w:rPr>
        <w:t xml:space="preserve"> </w:t>
      </w:r>
      <w:r w:rsidRPr="007B69FB">
        <w:rPr>
          <w:rFonts w:cs="Arial" w:hint="cs"/>
          <w:rtl/>
        </w:rPr>
        <w:t>תנן</w:t>
      </w:r>
      <w:r w:rsidRPr="007B69FB">
        <w:rPr>
          <w:rFonts w:cs="Arial"/>
          <w:rtl/>
        </w:rPr>
        <w:t xml:space="preserve"> (</w:t>
      </w:r>
      <w:r w:rsidRPr="007B69FB">
        <w:rPr>
          <w:rFonts w:cs="Arial" w:hint="cs"/>
          <w:rtl/>
        </w:rPr>
        <w:t>יז</w:t>
      </w:r>
      <w:r w:rsidRPr="007B69FB">
        <w:rPr>
          <w:rFonts w:cs="Arial"/>
          <w:rtl/>
        </w:rPr>
        <w:t xml:space="preserve">:) </w:t>
      </w:r>
      <w:r w:rsidRPr="007B69FB">
        <w:rPr>
          <w:rFonts w:cs="Arial" w:hint="cs"/>
          <w:rtl/>
        </w:rPr>
        <w:t>וכולן</w:t>
      </w:r>
      <w:r w:rsidRPr="007B69FB">
        <w:rPr>
          <w:rFonts w:cs="Arial"/>
          <w:rtl/>
        </w:rPr>
        <w:t xml:space="preserve"> </w:t>
      </w:r>
      <w:r w:rsidRPr="007B69FB">
        <w:rPr>
          <w:rFonts w:cs="Arial" w:hint="cs"/>
          <w:rtl/>
        </w:rPr>
        <w:t>בית</w:t>
      </w:r>
      <w:r w:rsidRPr="007B69FB">
        <w:rPr>
          <w:rFonts w:cs="Arial"/>
          <w:rtl/>
        </w:rPr>
        <w:t xml:space="preserve"> </w:t>
      </w:r>
      <w:r w:rsidRPr="007B69FB">
        <w:rPr>
          <w:rFonts w:cs="Arial" w:hint="cs"/>
          <w:rtl/>
        </w:rPr>
        <w:t>הלל</w:t>
      </w:r>
      <w:r w:rsidRPr="007B69FB">
        <w:rPr>
          <w:rFonts w:cs="Arial"/>
          <w:rtl/>
        </w:rPr>
        <w:t xml:space="preserve"> </w:t>
      </w:r>
      <w:r w:rsidRPr="007B69FB">
        <w:rPr>
          <w:rFonts w:cs="Arial" w:hint="cs"/>
          <w:rtl/>
        </w:rPr>
        <w:t>מתירין</w:t>
      </w:r>
      <w:r w:rsidRPr="007B69FB">
        <w:rPr>
          <w:rFonts w:cs="Arial"/>
          <w:rtl/>
        </w:rPr>
        <w:t xml:space="preserve"> </w:t>
      </w:r>
      <w:r w:rsidRPr="007B69FB">
        <w:rPr>
          <w:rFonts w:cs="Arial" w:hint="cs"/>
          <w:rtl/>
        </w:rPr>
        <w:t>עם</w:t>
      </w:r>
      <w:r w:rsidRPr="007B69FB">
        <w:rPr>
          <w:rFonts w:cs="Arial"/>
          <w:rtl/>
        </w:rPr>
        <w:t xml:space="preserve"> </w:t>
      </w:r>
      <w:r w:rsidRPr="007B69FB">
        <w:rPr>
          <w:rFonts w:cs="Arial" w:hint="cs"/>
          <w:rtl/>
        </w:rPr>
        <w:t>השמש.</w:t>
      </w:r>
      <w:r w:rsidRPr="007B69FB">
        <w:rPr>
          <w:rFonts w:cs="Arial"/>
          <w:rtl/>
        </w:rPr>
        <w:t xml:space="preserve"> </w:t>
      </w:r>
      <w:r w:rsidRPr="007B69FB">
        <w:rPr>
          <w:rFonts w:cs="Arial" w:hint="cs"/>
          <w:rtl/>
        </w:rPr>
        <w:t>ואי</w:t>
      </w:r>
      <w:r w:rsidRPr="007B69FB">
        <w:rPr>
          <w:rFonts w:cs="Arial"/>
          <w:rtl/>
        </w:rPr>
        <w:t xml:space="preserve"> </w:t>
      </w:r>
      <w:r w:rsidRPr="007B69FB">
        <w:rPr>
          <w:rFonts w:cs="Arial" w:hint="cs"/>
          <w:rtl/>
        </w:rPr>
        <w:t>אפשר</w:t>
      </w:r>
      <w:r w:rsidRPr="007B69FB">
        <w:rPr>
          <w:rFonts w:cs="Arial"/>
          <w:rtl/>
        </w:rPr>
        <w:t xml:space="preserve"> </w:t>
      </w:r>
      <w:r w:rsidRPr="007B69FB">
        <w:rPr>
          <w:rFonts w:cs="Arial" w:hint="cs"/>
          <w:rtl/>
        </w:rPr>
        <w:t>שיהא</w:t>
      </w:r>
      <w:r w:rsidRPr="007B69FB">
        <w:rPr>
          <w:rFonts w:cs="Arial"/>
          <w:rtl/>
        </w:rPr>
        <w:t xml:space="preserve"> </w:t>
      </w:r>
      <w:r w:rsidRPr="007B69FB">
        <w:rPr>
          <w:rFonts w:cs="Arial" w:hint="cs"/>
          <w:rtl/>
        </w:rPr>
        <w:t>גם</w:t>
      </w:r>
      <w:r w:rsidRPr="007B69FB">
        <w:rPr>
          <w:rFonts w:cs="Arial"/>
          <w:rtl/>
        </w:rPr>
        <w:t xml:space="preserve"> </w:t>
      </w:r>
      <w:r w:rsidRPr="007B69FB">
        <w:rPr>
          <w:rFonts w:cs="Arial" w:hint="cs"/>
          <w:rtl/>
        </w:rPr>
        <w:t>כן</w:t>
      </w:r>
      <w:r w:rsidRPr="007B69FB">
        <w:rPr>
          <w:rFonts w:cs="Arial"/>
          <w:rtl/>
        </w:rPr>
        <w:t xml:space="preserve"> </w:t>
      </w:r>
      <w:r w:rsidRPr="007B69FB">
        <w:rPr>
          <w:rFonts w:cs="Arial" w:hint="cs"/>
          <w:rtl/>
        </w:rPr>
        <w:t>בין</w:t>
      </w:r>
      <w:r w:rsidRPr="007B69FB">
        <w:rPr>
          <w:rFonts w:cs="Arial"/>
          <w:rtl/>
        </w:rPr>
        <w:t xml:space="preserve"> </w:t>
      </w:r>
      <w:r w:rsidRPr="007B69FB">
        <w:rPr>
          <w:rFonts w:cs="Arial" w:hint="cs"/>
          <w:rtl/>
        </w:rPr>
        <w:t>השמשות,</w:t>
      </w:r>
      <w:r w:rsidRPr="007B69FB">
        <w:rPr>
          <w:rFonts w:cs="Arial"/>
          <w:rtl/>
        </w:rPr>
        <w:t xml:space="preserve"> </w:t>
      </w:r>
      <w:r w:rsidRPr="007B69FB">
        <w:rPr>
          <w:rFonts w:cs="Arial" w:hint="cs"/>
          <w:rtl/>
        </w:rPr>
        <w:t>שהרי</w:t>
      </w:r>
      <w:r w:rsidRPr="007B69FB">
        <w:rPr>
          <w:rFonts w:cs="Arial"/>
          <w:rtl/>
        </w:rPr>
        <w:t xml:space="preserve"> </w:t>
      </w:r>
      <w:r w:rsidRPr="007B69FB">
        <w:rPr>
          <w:rFonts w:cs="Arial" w:hint="cs"/>
          <w:rtl/>
        </w:rPr>
        <w:t>תוספת</w:t>
      </w:r>
      <w:r w:rsidRPr="007B69FB">
        <w:rPr>
          <w:rFonts w:cs="Arial"/>
          <w:rtl/>
        </w:rPr>
        <w:t xml:space="preserve"> </w:t>
      </w:r>
      <w:r w:rsidRPr="007B69FB">
        <w:rPr>
          <w:rFonts w:cs="Arial" w:hint="cs"/>
          <w:rtl/>
        </w:rPr>
        <w:t>זה</w:t>
      </w:r>
      <w:r w:rsidRPr="007B69FB">
        <w:rPr>
          <w:rFonts w:cs="Arial"/>
          <w:rtl/>
        </w:rPr>
        <w:t xml:space="preserve"> </w:t>
      </w:r>
      <w:r w:rsidRPr="007B69FB">
        <w:rPr>
          <w:rFonts w:cs="Arial" w:hint="cs"/>
          <w:rtl/>
        </w:rPr>
        <w:t>אינו</w:t>
      </w:r>
      <w:r w:rsidRPr="007B69FB">
        <w:rPr>
          <w:rFonts w:cs="Arial"/>
          <w:rtl/>
        </w:rPr>
        <w:t xml:space="preserve"> </w:t>
      </w:r>
      <w:r w:rsidRPr="007B69FB">
        <w:rPr>
          <w:rFonts w:cs="Arial" w:hint="cs"/>
          <w:rtl/>
        </w:rPr>
        <w:t>אלא</w:t>
      </w:r>
      <w:r w:rsidRPr="007B69FB">
        <w:rPr>
          <w:rFonts w:cs="Arial"/>
          <w:rtl/>
        </w:rPr>
        <w:t xml:space="preserve"> </w:t>
      </w:r>
      <w:r w:rsidRPr="007B69FB">
        <w:rPr>
          <w:rFonts w:cs="Arial" w:hint="cs"/>
          <w:rtl/>
        </w:rPr>
        <w:t>עשה</w:t>
      </w:r>
      <w:r w:rsidRPr="007B69FB">
        <w:rPr>
          <w:rFonts w:cs="Arial"/>
          <w:rtl/>
        </w:rPr>
        <w:t xml:space="preserve"> </w:t>
      </w:r>
      <w:r w:rsidRPr="007B69FB">
        <w:rPr>
          <w:rFonts w:cs="Arial" w:hint="cs"/>
          <w:rtl/>
        </w:rPr>
        <w:t>ובין</w:t>
      </w:r>
      <w:r w:rsidRPr="007B69FB">
        <w:rPr>
          <w:rFonts w:cs="Arial"/>
          <w:rtl/>
        </w:rPr>
        <w:t xml:space="preserve"> </w:t>
      </w:r>
      <w:r w:rsidRPr="007B69FB">
        <w:rPr>
          <w:rFonts w:cs="Arial" w:hint="cs"/>
          <w:rtl/>
        </w:rPr>
        <w:t>השמשות</w:t>
      </w:r>
      <w:r w:rsidRPr="007B69FB">
        <w:rPr>
          <w:rFonts w:cs="Arial"/>
          <w:rtl/>
        </w:rPr>
        <w:t xml:space="preserve"> </w:t>
      </w:r>
      <w:r w:rsidRPr="007B69FB">
        <w:rPr>
          <w:rFonts w:cs="Arial" w:hint="cs"/>
          <w:rtl/>
        </w:rPr>
        <w:t>ספק</w:t>
      </w:r>
      <w:r w:rsidRPr="007B69FB">
        <w:rPr>
          <w:rFonts w:cs="Arial"/>
          <w:rtl/>
        </w:rPr>
        <w:t xml:space="preserve"> </w:t>
      </w:r>
      <w:r w:rsidRPr="007B69FB">
        <w:rPr>
          <w:rFonts w:cs="Arial" w:hint="cs"/>
          <w:rtl/>
        </w:rPr>
        <w:t>כרת</w:t>
      </w:r>
      <w:r w:rsidRPr="007B69FB">
        <w:rPr>
          <w:rFonts w:cs="Arial"/>
          <w:rtl/>
        </w:rPr>
        <w:t xml:space="preserve"> </w:t>
      </w:r>
      <w:r w:rsidRPr="007B69FB">
        <w:rPr>
          <w:rFonts w:cs="Arial" w:hint="cs"/>
          <w:rtl/>
        </w:rPr>
        <w:t>הוא.</w:t>
      </w:r>
      <w:r w:rsidRPr="007B69FB">
        <w:rPr>
          <w:rFonts w:cs="Arial"/>
          <w:rtl/>
        </w:rPr>
        <w:t xml:space="preserve"> </w:t>
      </w:r>
      <w:r w:rsidRPr="007B69FB">
        <w:rPr>
          <w:rFonts w:cs="Arial" w:hint="cs"/>
          <w:rtl/>
        </w:rPr>
        <w:t>אלא</w:t>
      </w:r>
      <w:r w:rsidRPr="007B69FB">
        <w:rPr>
          <w:rFonts w:cs="Arial"/>
          <w:rtl/>
        </w:rPr>
        <w:t xml:space="preserve"> </w:t>
      </w:r>
      <w:r w:rsidRPr="007B69FB">
        <w:rPr>
          <w:rFonts w:cs="Arial" w:hint="cs"/>
          <w:rtl/>
        </w:rPr>
        <w:t>ודאי</w:t>
      </w:r>
      <w:r w:rsidRPr="007B69FB">
        <w:rPr>
          <w:rFonts w:cs="Arial"/>
          <w:rtl/>
        </w:rPr>
        <w:t xml:space="preserve"> </w:t>
      </w:r>
      <w:r w:rsidRPr="007B69FB">
        <w:rPr>
          <w:rFonts w:cs="Arial" w:hint="cs"/>
          <w:rtl/>
        </w:rPr>
        <w:t>זמנו</w:t>
      </w:r>
      <w:r w:rsidRPr="007B69FB">
        <w:rPr>
          <w:rFonts w:cs="Arial"/>
          <w:rtl/>
        </w:rPr>
        <w:t xml:space="preserve"> </w:t>
      </w:r>
      <w:r w:rsidRPr="007B69FB">
        <w:rPr>
          <w:rFonts w:cs="Arial" w:hint="cs"/>
          <w:rtl/>
        </w:rPr>
        <w:t>של</w:t>
      </w:r>
      <w:r w:rsidRPr="007B69FB">
        <w:rPr>
          <w:rFonts w:cs="Arial"/>
          <w:rtl/>
        </w:rPr>
        <w:t xml:space="preserve"> </w:t>
      </w:r>
      <w:r w:rsidRPr="007B69FB">
        <w:rPr>
          <w:rFonts w:cs="Arial" w:hint="cs"/>
          <w:rtl/>
        </w:rPr>
        <w:t>תוספת</w:t>
      </w:r>
      <w:r w:rsidRPr="007B69FB">
        <w:rPr>
          <w:rFonts w:cs="Arial"/>
          <w:rtl/>
        </w:rPr>
        <w:t xml:space="preserve"> </w:t>
      </w:r>
      <w:r w:rsidRPr="007B69FB">
        <w:rPr>
          <w:rFonts w:cs="Arial" w:hint="cs"/>
          <w:rtl/>
        </w:rPr>
        <w:t>היינו</w:t>
      </w:r>
      <w:r w:rsidRPr="007B69FB">
        <w:rPr>
          <w:rFonts w:cs="Arial"/>
          <w:rtl/>
        </w:rPr>
        <w:t xml:space="preserve"> </w:t>
      </w:r>
      <w:r w:rsidRPr="007B69FB">
        <w:rPr>
          <w:rFonts w:cs="Arial" w:hint="cs"/>
          <w:rtl/>
        </w:rPr>
        <w:t>מתחלת</w:t>
      </w:r>
      <w:r w:rsidRPr="007B69FB">
        <w:rPr>
          <w:rFonts w:cs="Arial"/>
          <w:rtl/>
        </w:rPr>
        <w:t xml:space="preserve"> </w:t>
      </w:r>
      <w:r w:rsidRPr="007B69FB">
        <w:rPr>
          <w:rFonts w:cs="Arial" w:hint="cs"/>
          <w:rtl/>
        </w:rPr>
        <w:t>השקיעה</w:t>
      </w:r>
      <w:r w:rsidRPr="007B69FB">
        <w:rPr>
          <w:rFonts w:cs="Arial"/>
          <w:rtl/>
        </w:rPr>
        <w:t xml:space="preserve"> </w:t>
      </w:r>
      <w:r w:rsidRPr="007B69FB">
        <w:rPr>
          <w:rFonts w:cs="Arial" w:hint="cs"/>
          <w:rtl/>
        </w:rPr>
        <w:t>שאין</w:t>
      </w:r>
      <w:r w:rsidRPr="007B69FB">
        <w:rPr>
          <w:rFonts w:cs="Arial"/>
          <w:rtl/>
        </w:rPr>
        <w:t xml:space="preserve"> </w:t>
      </w:r>
      <w:r w:rsidRPr="007B69FB">
        <w:rPr>
          <w:rFonts w:cs="Arial" w:hint="cs"/>
          <w:rtl/>
        </w:rPr>
        <w:t>השמש</w:t>
      </w:r>
      <w:r w:rsidRPr="007B69FB">
        <w:rPr>
          <w:rFonts w:cs="Arial"/>
          <w:rtl/>
        </w:rPr>
        <w:t xml:space="preserve"> </w:t>
      </w:r>
      <w:r w:rsidRPr="007B69FB">
        <w:rPr>
          <w:rFonts w:cs="Arial" w:hint="cs"/>
          <w:rtl/>
        </w:rPr>
        <w:t>נראית</w:t>
      </w:r>
      <w:r w:rsidRPr="007B69FB">
        <w:rPr>
          <w:rFonts w:cs="Arial"/>
          <w:rtl/>
        </w:rPr>
        <w:t xml:space="preserve"> </w:t>
      </w:r>
      <w:r w:rsidRPr="007B69FB">
        <w:rPr>
          <w:rFonts w:cs="Arial" w:hint="cs"/>
          <w:rtl/>
        </w:rPr>
        <w:t>על</w:t>
      </w:r>
      <w:r w:rsidRPr="007B69FB">
        <w:rPr>
          <w:rFonts w:cs="Arial"/>
          <w:rtl/>
        </w:rPr>
        <w:t xml:space="preserve"> </w:t>
      </w:r>
      <w:r w:rsidRPr="007B69FB">
        <w:rPr>
          <w:rFonts w:cs="Arial" w:hint="cs"/>
          <w:rtl/>
        </w:rPr>
        <w:t>הארץ</w:t>
      </w:r>
      <w:r w:rsidRPr="007B69FB">
        <w:rPr>
          <w:rFonts w:cs="Arial"/>
          <w:rtl/>
        </w:rPr>
        <w:t xml:space="preserve"> </w:t>
      </w:r>
      <w:r w:rsidRPr="007B69FB">
        <w:rPr>
          <w:rFonts w:cs="Arial" w:hint="cs"/>
          <w:rtl/>
        </w:rPr>
        <w:t>עד</w:t>
      </w:r>
      <w:r w:rsidRPr="007B69FB">
        <w:rPr>
          <w:rFonts w:cs="Arial"/>
          <w:rtl/>
        </w:rPr>
        <w:t xml:space="preserve"> </w:t>
      </w:r>
      <w:r w:rsidRPr="007B69FB">
        <w:rPr>
          <w:rFonts w:cs="Arial" w:hint="cs"/>
          <w:rtl/>
        </w:rPr>
        <w:t>זמן</w:t>
      </w:r>
      <w:r w:rsidRPr="007B69FB">
        <w:rPr>
          <w:rFonts w:cs="Arial"/>
          <w:rtl/>
        </w:rPr>
        <w:t xml:space="preserve"> </w:t>
      </w:r>
      <w:r w:rsidRPr="007B69FB">
        <w:rPr>
          <w:rFonts w:cs="Arial" w:hint="cs"/>
          <w:rtl/>
        </w:rPr>
        <w:t>בין</w:t>
      </w:r>
      <w:r w:rsidRPr="007B69FB">
        <w:rPr>
          <w:rFonts w:cs="Arial"/>
          <w:rtl/>
        </w:rPr>
        <w:t xml:space="preserve"> </w:t>
      </w:r>
      <w:r w:rsidRPr="007B69FB">
        <w:rPr>
          <w:rFonts w:cs="Arial" w:hint="cs"/>
          <w:rtl/>
        </w:rPr>
        <w:t>השמשות,</w:t>
      </w:r>
      <w:r w:rsidRPr="007B69FB">
        <w:rPr>
          <w:rFonts w:cs="Arial"/>
          <w:rtl/>
        </w:rPr>
        <w:t xml:space="preserve"> </w:t>
      </w:r>
      <w:r w:rsidRPr="007B69FB">
        <w:rPr>
          <w:rFonts w:cs="Arial" w:hint="cs"/>
          <w:rtl/>
        </w:rPr>
        <w:t>והזמן</w:t>
      </w:r>
      <w:r w:rsidRPr="007B69FB">
        <w:rPr>
          <w:rFonts w:cs="Arial"/>
          <w:rtl/>
        </w:rPr>
        <w:t xml:space="preserve"> </w:t>
      </w:r>
      <w:r w:rsidRPr="007B69FB">
        <w:rPr>
          <w:rFonts w:cs="Arial" w:hint="cs"/>
          <w:rtl/>
        </w:rPr>
        <w:t>הזה</w:t>
      </w:r>
      <w:r w:rsidRPr="007B69FB">
        <w:rPr>
          <w:rFonts w:cs="Arial"/>
          <w:rtl/>
        </w:rPr>
        <w:t xml:space="preserve"> </w:t>
      </w:r>
      <w:r w:rsidRPr="007B69FB">
        <w:rPr>
          <w:rFonts w:cs="Arial" w:hint="cs"/>
          <w:rtl/>
        </w:rPr>
        <w:t>שהוא</w:t>
      </w:r>
      <w:r w:rsidRPr="007B69FB">
        <w:rPr>
          <w:rFonts w:cs="Arial"/>
          <w:rtl/>
        </w:rPr>
        <w:t xml:space="preserve"> </w:t>
      </w:r>
      <w:r w:rsidRPr="007B69FB">
        <w:rPr>
          <w:rFonts w:cs="Arial" w:hint="cs"/>
          <w:rtl/>
        </w:rPr>
        <w:t>ג</w:t>
      </w:r>
      <w:r w:rsidRPr="007B69FB">
        <w:rPr>
          <w:rFonts w:cs="Arial"/>
          <w:rtl/>
        </w:rPr>
        <w:t xml:space="preserve">' </w:t>
      </w:r>
      <w:r w:rsidRPr="007B69FB">
        <w:rPr>
          <w:rFonts w:cs="Arial" w:hint="cs"/>
          <w:rtl/>
        </w:rPr>
        <w:t>מילין</w:t>
      </w:r>
      <w:r w:rsidRPr="007B69FB">
        <w:rPr>
          <w:rFonts w:cs="Arial"/>
          <w:rtl/>
        </w:rPr>
        <w:t xml:space="preserve"> </w:t>
      </w:r>
      <w:r w:rsidRPr="007B69FB">
        <w:rPr>
          <w:rFonts w:cs="Arial" w:hint="cs"/>
          <w:rtl/>
        </w:rPr>
        <w:t>ורביע,</w:t>
      </w:r>
      <w:r w:rsidRPr="007B69FB">
        <w:rPr>
          <w:rFonts w:cs="Arial"/>
          <w:rtl/>
        </w:rPr>
        <w:t xml:space="preserve"> </w:t>
      </w:r>
      <w:r w:rsidRPr="007B69FB">
        <w:rPr>
          <w:rFonts w:cs="Arial" w:hint="cs"/>
          <w:rtl/>
        </w:rPr>
        <w:t>רצה</w:t>
      </w:r>
      <w:r w:rsidRPr="007B69FB">
        <w:rPr>
          <w:rFonts w:cs="Arial"/>
          <w:rtl/>
        </w:rPr>
        <w:t xml:space="preserve"> </w:t>
      </w:r>
      <w:r w:rsidRPr="007B69FB">
        <w:rPr>
          <w:rFonts w:cs="Arial" w:hint="cs"/>
          <w:rtl/>
        </w:rPr>
        <w:t>לעשותו</w:t>
      </w:r>
      <w:r w:rsidRPr="007B69FB">
        <w:rPr>
          <w:rFonts w:cs="Arial"/>
          <w:rtl/>
        </w:rPr>
        <w:t xml:space="preserve"> </w:t>
      </w:r>
      <w:r w:rsidRPr="007B69FB">
        <w:rPr>
          <w:rFonts w:cs="Arial" w:hint="cs"/>
          <w:rtl/>
        </w:rPr>
        <w:t>כולו</w:t>
      </w:r>
      <w:r w:rsidRPr="007B69FB">
        <w:rPr>
          <w:rFonts w:cs="Arial"/>
          <w:rtl/>
        </w:rPr>
        <w:t xml:space="preserve"> </w:t>
      </w:r>
      <w:r w:rsidRPr="007B69FB">
        <w:rPr>
          <w:rFonts w:cs="Arial" w:hint="cs"/>
          <w:rtl/>
        </w:rPr>
        <w:t>תוספת</w:t>
      </w:r>
      <w:r w:rsidRPr="007B69FB">
        <w:rPr>
          <w:rFonts w:cs="Arial"/>
          <w:rtl/>
        </w:rPr>
        <w:t xml:space="preserve"> </w:t>
      </w:r>
      <w:r w:rsidRPr="007B69FB">
        <w:rPr>
          <w:rFonts w:cs="Arial" w:hint="cs"/>
          <w:rtl/>
        </w:rPr>
        <w:t>עושה,</w:t>
      </w:r>
      <w:r w:rsidRPr="007B69FB">
        <w:rPr>
          <w:rFonts w:cs="Arial"/>
          <w:rtl/>
        </w:rPr>
        <w:t xml:space="preserve"> </w:t>
      </w:r>
      <w:r w:rsidRPr="007B69FB">
        <w:rPr>
          <w:rFonts w:cs="Arial" w:hint="cs"/>
          <w:rtl/>
        </w:rPr>
        <w:t>רצה</w:t>
      </w:r>
      <w:r w:rsidRPr="007B69FB">
        <w:rPr>
          <w:rFonts w:cs="Arial"/>
          <w:rtl/>
        </w:rPr>
        <w:t xml:space="preserve"> </w:t>
      </w:r>
      <w:r w:rsidRPr="007B69FB">
        <w:rPr>
          <w:rFonts w:cs="Arial" w:hint="cs"/>
          <w:rtl/>
        </w:rPr>
        <w:t>לעשות</w:t>
      </w:r>
      <w:r w:rsidRPr="007B69FB">
        <w:rPr>
          <w:rFonts w:cs="Arial"/>
          <w:rtl/>
        </w:rPr>
        <w:t xml:space="preserve"> </w:t>
      </w:r>
      <w:r w:rsidRPr="007B69FB">
        <w:rPr>
          <w:rFonts w:cs="Arial" w:hint="cs"/>
          <w:rtl/>
        </w:rPr>
        <w:t>מקצת</w:t>
      </w:r>
      <w:r w:rsidRPr="007B69FB">
        <w:rPr>
          <w:rFonts w:cs="Arial"/>
          <w:rtl/>
        </w:rPr>
        <w:t xml:space="preserve"> </w:t>
      </w:r>
      <w:r w:rsidRPr="007B69FB">
        <w:rPr>
          <w:rFonts w:cs="Arial" w:hint="cs"/>
          <w:rtl/>
        </w:rPr>
        <w:t>ממנו</w:t>
      </w:r>
      <w:r w:rsidRPr="007B69FB">
        <w:rPr>
          <w:rFonts w:cs="Arial"/>
          <w:rtl/>
        </w:rPr>
        <w:t xml:space="preserve"> </w:t>
      </w:r>
      <w:r w:rsidRPr="007B69FB">
        <w:rPr>
          <w:rFonts w:cs="Arial" w:hint="cs"/>
          <w:rtl/>
        </w:rPr>
        <w:t>עושה,</w:t>
      </w:r>
      <w:r w:rsidRPr="007B69FB">
        <w:rPr>
          <w:rFonts w:cs="Arial"/>
          <w:rtl/>
        </w:rPr>
        <w:t xml:space="preserve"> </w:t>
      </w:r>
      <w:r w:rsidRPr="007B69FB">
        <w:rPr>
          <w:rFonts w:cs="Arial" w:hint="cs"/>
          <w:rtl/>
        </w:rPr>
        <w:t>ובלבד</w:t>
      </w:r>
      <w:r w:rsidRPr="007B69FB">
        <w:rPr>
          <w:rFonts w:cs="Arial"/>
          <w:rtl/>
        </w:rPr>
        <w:t xml:space="preserve"> </w:t>
      </w:r>
      <w:r w:rsidRPr="007B69FB">
        <w:rPr>
          <w:rFonts w:cs="Arial" w:hint="cs"/>
          <w:rtl/>
        </w:rPr>
        <w:t>שיוסיף</w:t>
      </w:r>
      <w:r w:rsidRPr="007B69FB">
        <w:rPr>
          <w:rFonts w:cs="Arial"/>
          <w:rtl/>
        </w:rPr>
        <w:t xml:space="preserve"> </w:t>
      </w:r>
      <w:r w:rsidRPr="007B69FB">
        <w:rPr>
          <w:rFonts w:cs="Arial" w:hint="cs"/>
          <w:rtl/>
        </w:rPr>
        <w:t>איזה</w:t>
      </w:r>
      <w:r w:rsidRPr="007B69FB">
        <w:rPr>
          <w:rFonts w:cs="Arial"/>
          <w:rtl/>
        </w:rPr>
        <w:t xml:space="preserve"> </w:t>
      </w:r>
      <w:r w:rsidRPr="007B69FB">
        <w:rPr>
          <w:rFonts w:cs="Arial" w:hint="cs"/>
          <w:rtl/>
        </w:rPr>
        <w:t>זמן</w:t>
      </w:r>
      <w:r w:rsidRPr="007B69FB">
        <w:rPr>
          <w:rFonts w:cs="Arial"/>
          <w:rtl/>
        </w:rPr>
        <w:t xml:space="preserve"> </w:t>
      </w:r>
      <w:r w:rsidRPr="007B69FB">
        <w:rPr>
          <w:rFonts w:cs="Arial" w:hint="cs"/>
          <w:rtl/>
        </w:rPr>
        <w:t>שיהיה</w:t>
      </w:r>
      <w:r w:rsidRPr="007B69FB">
        <w:rPr>
          <w:rFonts w:cs="Arial"/>
          <w:rtl/>
        </w:rPr>
        <w:t xml:space="preserve"> </w:t>
      </w:r>
      <w:r w:rsidRPr="007B69FB">
        <w:rPr>
          <w:rFonts w:cs="Arial" w:hint="cs"/>
          <w:rtl/>
        </w:rPr>
        <w:t>ודאי</w:t>
      </w:r>
      <w:r w:rsidRPr="007B69FB">
        <w:rPr>
          <w:rFonts w:cs="Arial"/>
          <w:rtl/>
        </w:rPr>
        <w:t xml:space="preserve"> </w:t>
      </w:r>
      <w:r w:rsidRPr="007B69FB">
        <w:rPr>
          <w:rFonts w:cs="Arial" w:hint="cs"/>
          <w:rtl/>
        </w:rPr>
        <w:t>יום</w:t>
      </w:r>
      <w:r w:rsidRPr="007B69FB">
        <w:rPr>
          <w:rFonts w:cs="Arial"/>
          <w:rtl/>
        </w:rPr>
        <w:t xml:space="preserve"> </w:t>
      </w:r>
      <w:r w:rsidRPr="007B69FB">
        <w:rPr>
          <w:rFonts w:cs="Arial" w:hint="cs"/>
          <w:rtl/>
        </w:rPr>
        <w:t>מחול</w:t>
      </w:r>
      <w:r w:rsidRPr="007B69FB">
        <w:rPr>
          <w:rFonts w:cs="Arial"/>
          <w:rtl/>
        </w:rPr>
        <w:t xml:space="preserve"> </w:t>
      </w:r>
      <w:r w:rsidRPr="007B69FB">
        <w:rPr>
          <w:rFonts w:cs="Arial" w:hint="cs"/>
          <w:rtl/>
        </w:rPr>
        <w:t>על</w:t>
      </w:r>
      <w:r w:rsidRPr="007B69FB">
        <w:rPr>
          <w:rFonts w:cs="Arial"/>
          <w:rtl/>
        </w:rPr>
        <w:t xml:space="preserve"> </w:t>
      </w:r>
      <w:r w:rsidRPr="007B69FB">
        <w:rPr>
          <w:rFonts w:cs="Arial" w:hint="cs"/>
          <w:rtl/>
        </w:rPr>
        <w:t>הקודש</w:t>
      </w:r>
      <w:r w:rsidRPr="007B69FB">
        <w:rPr>
          <w:rFonts w:cs="Arial"/>
          <w:rtl/>
        </w:rPr>
        <w:t>.</w:t>
      </w:r>
      <w:r w:rsidRPr="0083035B">
        <w:rPr>
          <w:rFonts w:cs="Arial" w:hint="cs"/>
          <w:color w:val="E36C0A" w:themeColor="accent6" w:themeShade="BF"/>
          <w:rtl/>
        </w:rPr>
        <w:t xml:space="preserve"> (וכ"ס בשו"ע)</w:t>
      </w:r>
    </w:p>
    <w:p w14:paraId="51E40643" w14:textId="77777777" w:rsidR="004B2E7C" w:rsidRDefault="004B2E7C" w:rsidP="00FF2D21">
      <w:pPr>
        <w:pStyle w:val="aa"/>
        <w:numPr>
          <w:ilvl w:val="0"/>
          <w:numId w:val="87"/>
        </w:numPr>
        <w:rPr>
          <w:rFonts w:cs="Arial"/>
        </w:rPr>
      </w:pPr>
      <w:r w:rsidRPr="00684CAD">
        <w:rPr>
          <w:rFonts w:cs="Arial" w:hint="cs"/>
          <w:rtl/>
        </w:rPr>
        <w:t>מהרי</w:t>
      </w:r>
      <w:r>
        <w:rPr>
          <w:rFonts w:cs="Arial" w:hint="cs"/>
          <w:rtl/>
        </w:rPr>
        <w:t>"ל</w:t>
      </w:r>
      <w:r w:rsidRPr="00684CAD">
        <w:rPr>
          <w:rFonts w:cs="Arial"/>
          <w:rtl/>
        </w:rPr>
        <w:t xml:space="preserve"> </w:t>
      </w:r>
      <w:r w:rsidRPr="00F77C17">
        <w:rPr>
          <w:rFonts w:cs="Arial"/>
          <w:sz w:val="16"/>
          <w:szCs w:val="16"/>
          <w:rtl/>
        </w:rPr>
        <w:t>(</w:t>
      </w:r>
      <w:r w:rsidRPr="00F77C17">
        <w:rPr>
          <w:rFonts w:cs="Arial" w:hint="cs"/>
          <w:sz w:val="16"/>
          <w:szCs w:val="16"/>
          <w:rtl/>
        </w:rPr>
        <w:t>שו</w:t>
      </w:r>
      <w:r w:rsidRPr="00F77C17">
        <w:rPr>
          <w:rFonts w:cs="Arial"/>
          <w:sz w:val="16"/>
          <w:szCs w:val="16"/>
          <w:rtl/>
        </w:rPr>
        <w:t>"</w:t>
      </w:r>
      <w:r w:rsidRPr="00F77C17">
        <w:rPr>
          <w:rFonts w:cs="Arial" w:hint="cs"/>
          <w:sz w:val="16"/>
          <w:szCs w:val="16"/>
          <w:rtl/>
        </w:rPr>
        <w:t>ת</w:t>
      </w:r>
      <w:r w:rsidRPr="00F77C17">
        <w:rPr>
          <w:rFonts w:cs="Arial"/>
          <w:sz w:val="16"/>
          <w:szCs w:val="16"/>
          <w:rtl/>
        </w:rPr>
        <w:t xml:space="preserve"> </w:t>
      </w:r>
      <w:r w:rsidRPr="00F77C17">
        <w:rPr>
          <w:rFonts w:cs="Arial" w:hint="cs"/>
          <w:sz w:val="16"/>
          <w:szCs w:val="16"/>
          <w:rtl/>
        </w:rPr>
        <w:t>מהרי</w:t>
      </w:r>
      <w:r w:rsidRPr="00F77C17">
        <w:rPr>
          <w:rFonts w:cs="Arial"/>
          <w:sz w:val="16"/>
          <w:szCs w:val="16"/>
          <w:rtl/>
        </w:rPr>
        <w:t>"</w:t>
      </w:r>
      <w:r w:rsidRPr="00F77C17">
        <w:rPr>
          <w:rFonts w:cs="Arial" w:hint="cs"/>
          <w:sz w:val="16"/>
          <w:szCs w:val="16"/>
          <w:rtl/>
        </w:rPr>
        <w:t>ל</w:t>
      </w:r>
      <w:r w:rsidRPr="00F77C17">
        <w:rPr>
          <w:rFonts w:cs="Arial"/>
          <w:sz w:val="16"/>
          <w:szCs w:val="16"/>
          <w:rtl/>
        </w:rPr>
        <w:t xml:space="preserve"> </w:t>
      </w:r>
      <w:r w:rsidRPr="00F77C17">
        <w:rPr>
          <w:rFonts w:cs="Arial" w:hint="cs"/>
          <w:sz w:val="16"/>
          <w:szCs w:val="16"/>
          <w:rtl/>
        </w:rPr>
        <w:t>החדשות</w:t>
      </w:r>
      <w:r w:rsidRPr="00F77C17">
        <w:rPr>
          <w:rFonts w:cs="Arial"/>
          <w:sz w:val="16"/>
          <w:szCs w:val="16"/>
          <w:rtl/>
        </w:rPr>
        <w:t xml:space="preserve"> </w:t>
      </w:r>
      <w:r w:rsidRPr="00F77C17">
        <w:rPr>
          <w:rFonts w:cs="Arial" w:hint="cs"/>
          <w:sz w:val="16"/>
          <w:szCs w:val="16"/>
          <w:rtl/>
        </w:rPr>
        <w:t>סי</w:t>
      </w:r>
      <w:r w:rsidRPr="00F77C17">
        <w:rPr>
          <w:rFonts w:cs="Arial"/>
          <w:sz w:val="16"/>
          <w:szCs w:val="16"/>
          <w:rtl/>
        </w:rPr>
        <w:t xml:space="preserve">' </w:t>
      </w:r>
      <w:r w:rsidRPr="00F77C17">
        <w:rPr>
          <w:rFonts w:cs="Arial" w:hint="cs"/>
          <w:sz w:val="16"/>
          <w:szCs w:val="16"/>
          <w:rtl/>
        </w:rPr>
        <w:t>מה</w:t>
      </w:r>
      <w:r w:rsidRPr="00F77C17">
        <w:rPr>
          <w:rFonts w:cs="Arial"/>
          <w:sz w:val="16"/>
          <w:szCs w:val="16"/>
          <w:rtl/>
        </w:rPr>
        <w:t xml:space="preserve"> </w:t>
      </w:r>
      <w:r w:rsidRPr="00F77C17">
        <w:rPr>
          <w:rFonts w:cs="Arial" w:hint="cs"/>
          <w:sz w:val="16"/>
          <w:szCs w:val="16"/>
          <w:rtl/>
        </w:rPr>
        <w:t>אות</w:t>
      </w:r>
      <w:r w:rsidRPr="00F77C17">
        <w:rPr>
          <w:rFonts w:cs="Arial"/>
          <w:sz w:val="16"/>
          <w:szCs w:val="16"/>
          <w:rtl/>
        </w:rPr>
        <w:t xml:space="preserve"> </w:t>
      </w:r>
      <w:r w:rsidRPr="00F77C17">
        <w:rPr>
          <w:rFonts w:cs="Arial" w:hint="cs"/>
          <w:sz w:val="16"/>
          <w:szCs w:val="16"/>
          <w:rtl/>
        </w:rPr>
        <w:t>ד</w:t>
      </w:r>
      <w:r w:rsidRPr="00F77C17">
        <w:rPr>
          <w:rFonts w:cs="Arial"/>
          <w:sz w:val="16"/>
          <w:szCs w:val="16"/>
          <w:rtl/>
        </w:rPr>
        <w:t xml:space="preserve">, </w:t>
      </w:r>
      <w:r w:rsidRPr="00F77C17">
        <w:rPr>
          <w:rFonts w:cs="Arial" w:hint="cs"/>
          <w:sz w:val="16"/>
          <w:szCs w:val="16"/>
          <w:rtl/>
        </w:rPr>
        <w:t>וע</w:t>
      </w:r>
      <w:r w:rsidRPr="00F77C17">
        <w:rPr>
          <w:rFonts w:cs="Arial"/>
          <w:sz w:val="16"/>
          <w:szCs w:val="16"/>
          <w:rtl/>
        </w:rPr>
        <w:t>"</w:t>
      </w:r>
      <w:r w:rsidRPr="00F77C17">
        <w:rPr>
          <w:rFonts w:cs="Arial" w:hint="cs"/>
          <w:sz w:val="16"/>
          <w:szCs w:val="16"/>
          <w:rtl/>
        </w:rPr>
        <w:t>ע</w:t>
      </w:r>
      <w:r w:rsidRPr="00F77C17">
        <w:rPr>
          <w:rFonts w:cs="Arial"/>
          <w:sz w:val="16"/>
          <w:szCs w:val="16"/>
          <w:rtl/>
        </w:rPr>
        <w:t xml:space="preserve"> </w:t>
      </w:r>
      <w:r w:rsidRPr="00F77C17">
        <w:rPr>
          <w:rFonts w:cs="Arial" w:hint="cs"/>
          <w:sz w:val="16"/>
          <w:szCs w:val="16"/>
          <w:rtl/>
        </w:rPr>
        <w:t>בשו</w:t>
      </w:r>
      <w:r w:rsidRPr="00F77C17">
        <w:rPr>
          <w:rFonts w:cs="Arial"/>
          <w:sz w:val="16"/>
          <w:szCs w:val="16"/>
          <w:rtl/>
        </w:rPr>
        <w:t>"</w:t>
      </w:r>
      <w:r w:rsidRPr="00F77C17">
        <w:rPr>
          <w:rFonts w:cs="Arial" w:hint="cs"/>
          <w:sz w:val="16"/>
          <w:szCs w:val="16"/>
          <w:rtl/>
        </w:rPr>
        <w:t>ת</w:t>
      </w:r>
      <w:r w:rsidRPr="00F77C17">
        <w:rPr>
          <w:rFonts w:cs="Arial"/>
          <w:sz w:val="16"/>
          <w:szCs w:val="16"/>
          <w:rtl/>
        </w:rPr>
        <w:t xml:space="preserve"> </w:t>
      </w:r>
      <w:r w:rsidRPr="00F77C17">
        <w:rPr>
          <w:rFonts w:cs="Arial" w:hint="cs"/>
          <w:sz w:val="16"/>
          <w:szCs w:val="16"/>
          <w:rtl/>
        </w:rPr>
        <w:t>מהרי</w:t>
      </w:r>
      <w:r w:rsidRPr="00F77C17">
        <w:rPr>
          <w:rFonts w:cs="Arial"/>
          <w:sz w:val="16"/>
          <w:szCs w:val="16"/>
          <w:rtl/>
        </w:rPr>
        <w:t>"</w:t>
      </w:r>
      <w:r w:rsidRPr="00F77C17">
        <w:rPr>
          <w:rFonts w:cs="Arial" w:hint="cs"/>
          <w:sz w:val="16"/>
          <w:szCs w:val="16"/>
          <w:rtl/>
        </w:rPr>
        <w:t>ל</w:t>
      </w:r>
      <w:r w:rsidRPr="00F77C17">
        <w:rPr>
          <w:rFonts w:cs="Arial"/>
          <w:sz w:val="16"/>
          <w:szCs w:val="16"/>
          <w:rtl/>
        </w:rPr>
        <w:t xml:space="preserve"> </w:t>
      </w:r>
      <w:r w:rsidRPr="00F77C17">
        <w:rPr>
          <w:rFonts w:cs="Arial" w:hint="cs"/>
          <w:sz w:val="16"/>
          <w:szCs w:val="16"/>
          <w:rtl/>
        </w:rPr>
        <w:t>סו</w:t>
      </w:r>
      <w:r w:rsidRPr="00F77C17">
        <w:rPr>
          <w:rFonts w:cs="Arial"/>
          <w:sz w:val="16"/>
          <w:szCs w:val="16"/>
          <w:rtl/>
        </w:rPr>
        <w:t>"</w:t>
      </w:r>
      <w:r w:rsidRPr="00F77C17">
        <w:rPr>
          <w:rFonts w:cs="Arial" w:hint="cs"/>
          <w:sz w:val="16"/>
          <w:szCs w:val="16"/>
          <w:rtl/>
        </w:rPr>
        <w:t>ס</w:t>
      </w:r>
      <w:r w:rsidRPr="00F77C17">
        <w:rPr>
          <w:rFonts w:cs="Arial"/>
          <w:sz w:val="16"/>
          <w:szCs w:val="16"/>
          <w:rtl/>
        </w:rPr>
        <w:t xml:space="preserve"> </w:t>
      </w:r>
      <w:r w:rsidRPr="00F77C17">
        <w:rPr>
          <w:rFonts w:cs="Arial" w:hint="cs"/>
          <w:sz w:val="16"/>
          <w:szCs w:val="16"/>
          <w:rtl/>
        </w:rPr>
        <w:t>קנב</w:t>
      </w:r>
      <w:r>
        <w:rPr>
          <w:rFonts w:cs="Arial" w:hint="cs"/>
          <w:sz w:val="16"/>
          <w:szCs w:val="16"/>
          <w:rtl/>
        </w:rPr>
        <w:t>, כ"כ בשמו האגור [סי' שסא, הביאו</w:t>
      </w:r>
      <w:r w:rsidRPr="00F77C17">
        <w:rPr>
          <w:rFonts w:cs="Arial" w:hint="cs"/>
          <w:sz w:val="16"/>
          <w:szCs w:val="16"/>
          <w:rtl/>
        </w:rPr>
        <w:t xml:space="preserve"> </w:t>
      </w:r>
      <w:r>
        <w:rPr>
          <w:rFonts w:cs="Arial" w:hint="cs"/>
          <w:sz w:val="16"/>
          <w:szCs w:val="16"/>
          <w:rtl/>
        </w:rPr>
        <w:t>הדרכ"מ {אות א}]</w:t>
      </w:r>
      <w:r w:rsidRPr="00F77C17">
        <w:rPr>
          <w:rFonts w:cs="Arial"/>
          <w:sz w:val="16"/>
          <w:szCs w:val="16"/>
          <w:rtl/>
        </w:rPr>
        <w:t>)</w:t>
      </w:r>
      <w:r>
        <w:rPr>
          <w:rFonts w:cs="Arial" w:hint="cs"/>
          <w:rtl/>
        </w:rPr>
        <w:t>-</w:t>
      </w:r>
      <w:r w:rsidRPr="00684CAD">
        <w:rPr>
          <w:rFonts w:cs="Arial"/>
          <w:rtl/>
        </w:rPr>
        <w:t xml:space="preserve"> </w:t>
      </w:r>
      <w:r w:rsidRPr="00684CAD">
        <w:rPr>
          <w:rFonts w:cs="Arial" w:hint="cs"/>
          <w:rtl/>
        </w:rPr>
        <w:t>לפי</w:t>
      </w:r>
      <w:r w:rsidRPr="00684CAD">
        <w:rPr>
          <w:rFonts w:cs="Arial"/>
          <w:rtl/>
        </w:rPr>
        <w:t xml:space="preserve"> </w:t>
      </w:r>
      <w:r w:rsidRPr="00684CAD">
        <w:rPr>
          <w:rFonts w:cs="Arial" w:hint="cs"/>
          <w:rtl/>
        </w:rPr>
        <w:t>דעת</w:t>
      </w:r>
      <w:r w:rsidRPr="00684CAD">
        <w:rPr>
          <w:rFonts w:cs="Arial"/>
          <w:rtl/>
        </w:rPr>
        <w:t xml:space="preserve"> </w:t>
      </w:r>
      <w:r w:rsidRPr="00684CAD">
        <w:rPr>
          <w:rFonts w:cs="Arial" w:hint="cs"/>
          <w:rtl/>
        </w:rPr>
        <w:t>התוספות</w:t>
      </w:r>
      <w:r w:rsidRPr="00684CAD">
        <w:rPr>
          <w:rFonts w:cs="Arial"/>
          <w:rtl/>
        </w:rPr>
        <w:t xml:space="preserve"> </w:t>
      </w:r>
      <w:r w:rsidRPr="00684CAD">
        <w:rPr>
          <w:rFonts w:cs="Arial" w:hint="cs"/>
          <w:rtl/>
        </w:rPr>
        <w:t>בפרק</w:t>
      </w:r>
      <w:r w:rsidRPr="00684CAD">
        <w:rPr>
          <w:rFonts w:cs="Arial"/>
          <w:rtl/>
        </w:rPr>
        <w:t xml:space="preserve"> </w:t>
      </w:r>
      <w:r w:rsidRPr="00684CAD">
        <w:rPr>
          <w:rFonts w:cs="Arial" w:hint="cs"/>
          <w:rtl/>
        </w:rPr>
        <w:t>תפילת</w:t>
      </w:r>
      <w:r w:rsidRPr="00684CAD">
        <w:rPr>
          <w:rFonts w:cs="Arial"/>
          <w:rtl/>
        </w:rPr>
        <w:t xml:space="preserve"> </w:t>
      </w:r>
      <w:r w:rsidRPr="00684CAD">
        <w:rPr>
          <w:rFonts w:cs="Arial" w:hint="cs"/>
          <w:rtl/>
        </w:rPr>
        <w:t>השחר</w:t>
      </w:r>
      <w:r w:rsidRPr="00684CAD">
        <w:rPr>
          <w:rFonts w:cs="Arial"/>
          <w:rtl/>
        </w:rPr>
        <w:t xml:space="preserve"> </w:t>
      </w:r>
      <w:r w:rsidRPr="00F77C17">
        <w:rPr>
          <w:rFonts w:cs="Arial"/>
          <w:sz w:val="16"/>
          <w:szCs w:val="16"/>
          <w:rtl/>
        </w:rPr>
        <w:t>(</w:t>
      </w:r>
      <w:r w:rsidRPr="00F77C17">
        <w:rPr>
          <w:rFonts w:cs="Arial" w:hint="cs"/>
          <w:sz w:val="16"/>
          <w:szCs w:val="16"/>
          <w:rtl/>
        </w:rPr>
        <w:t>ברכות</w:t>
      </w:r>
      <w:r w:rsidRPr="00F77C17">
        <w:rPr>
          <w:rFonts w:cs="Arial"/>
          <w:sz w:val="16"/>
          <w:szCs w:val="16"/>
          <w:rtl/>
        </w:rPr>
        <w:t xml:space="preserve"> </w:t>
      </w:r>
      <w:r w:rsidRPr="00F77C17">
        <w:rPr>
          <w:rFonts w:cs="Arial" w:hint="cs"/>
          <w:sz w:val="16"/>
          <w:szCs w:val="16"/>
          <w:rtl/>
        </w:rPr>
        <w:t>כז</w:t>
      </w:r>
      <w:r w:rsidRPr="00F77C17">
        <w:rPr>
          <w:rFonts w:cs="Arial"/>
          <w:sz w:val="16"/>
          <w:szCs w:val="16"/>
          <w:rtl/>
        </w:rPr>
        <w:t xml:space="preserve">. </w:t>
      </w:r>
      <w:r w:rsidRPr="00F77C17">
        <w:rPr>
          <w:rFonts w:cs="Arial" w:hint="cs"/>
          <w:sz w:val="16"/>
          <w:szCs w:val="16"/>
          <w:rtl/>
        </w:rPr>
        <w:t>ד</w:t>
      </w:r>
      <w:r w:rsidRPr="00F77C17">
        <w:rPr>
          <w:rFonts w:cs="Arial"/>
          <w:sz w:val="16"/>
          <w:szCs w:val="16"/>
          <w:rtl/>
        </w:rPr>
        <w:t>"</w:t>
      </w:r>
      <w:r w:rsidRPr="00F77C17">
        <w:rPr>
          <w:rFonts w:cs="Arial" w:hint="cs"/>
          <w:sz w:val="16"/>
          <w:szCs w:val="16"/>
          <w:rtl/>
        </w:rPr>
        <w:t>ה</w:t>
      </w:r>
      <w:r w:rsidRPr="00F77C17">
        <w:rPr>
          <w:rFonts w:cs="Arial"/>
          <w:sz w:val="16"/>
          <w:szCs w:val="16"/>
          <w:rtl/>
        </w:rPr>
        <w:t xml:space="preserve"> </w:t>
      </w:r>
      <w:r w:rsidRPr="00F77C17">
        <w:rPr>
          <w:rFonts w:cs="Arial" w:hint="cs"/>
          <w:sz w:val="16"/>
          <w:szCs w:val="16"/>
          <w:rtl/>
        </w:rPr>
        <w:t>דרב</w:t>
      </w:r>
      <w:r w:rsidRPr="00F77C17">
        <w:rPr>
          <w:rFonts w:cs="Arial"/>
          <w:sz w:val="16"/>
          <w:szCs w:val="16"/>
          <w:rtl/>
        </w:rPr>
        <w:t xml:space="preserve">) </w:t>
      </w:r>
      <w:r w:rsidRPr="00684CAD">
        <w:rPr>
          <w:rFonts w:cs="Arial" w:hint="cs"/>
          <w:rtl/>
        </w:rPr>
        <w:t>יכול</w:t>
      </w:r>
      <w:r w:rsidRPr="00684CAD">
        <w:rPr>
          <w:rFonts w:cs="Arial"/>
          <w:rtl/>
        </w:rPr>
        <w:t xml:space="preserve"> </w:t>
      </w:r>
      <w:r w:rsidRPr="00684CAD">
        <w:rPr>
          <w:rFonts w:cs="Arial" w:hint="cs"/>
          <w:rtl/>
        </w:rPr>
        <w:t>לקבל</w:t>
      </w:r>
      <w:r w:rsidRPr="00684CAD">
        <w:rPr>
          <w:rFonts w:cs="Arial"/>
          <w:rtl/>
        </w:rPr>
        <w:t xml:space="preserve"> </w:t>
      </w:r>
      <w:r w:rsidRPr="00684CAD">
        <w:rPr>
          <w:rFonts w:cs="Arial" w:hint="cs"/>
          <w:rtl/>
        </w:rPr>
        <w:t>עליו</w:t>
      </w:r>
      <w:r w:rsidRPr="00684CAD">
        <w:rPr>
          <w:rFonts w:cs="Arial"/>
          <w:rtl/>
        </w:rPr>
        <w:t xml:space="preserve"> </w:t>
      </w:r>
      <w:r w:rsidRPr="00684CAD">
        <w:rPr>
          <w:rFonts w:cs="Arial" w:hint="cs"/>
          <w:rtl/>
        </w:rPr>
        <w:t>השבת</w:t>
      </w:r>
      <w:r w:rsidRPr="00684CAD">
        <w:rPr>
          <w:rFonts w:cs="Arial"/>
          <w:rtl/>
        </w:rPr>
        <w:t xml:space="preserve"> </w:t>
      </w:r>
      <w:r w:rsidRPr="00684CAD">
        <w:rPr>
          <w:rFonts w:cs="Arial" w:hint="cs"/>
          <w:rtl/>
        </w:rPr>
        <w:t>מפלג</w:t>
      </w:r>
      <w:r w:rsidRPr="00684CAD">
        <w:rPr>
          <w:rFonts w:cs="Arial"/>
          <w:rtl/>
        </w:rPr>
        <w:t xml:space="preserve"> </w:t>
      </w:r>
      <w:r w:rsidRPr="00684CAD">
        <w:rPr>
          <w:rFonts w:cs="Arial" w:hint="cs"/>
          <w:rtl/>
        </w:rPr>
        <w:t>המנחה</w:t>
      </w:r>
      <w:r w:rsidRPr="00684CAD">
        <w:rPr>
          <w:rFonts w:cs="Arial"/>
          <w:rtl/>
        </w:rPr>
        <w:t xml:space="preserve"> </w:t>
      </w:r>
      <w:r w:rsidRPr="00684CAD">
        <w:rPr>
          <w:rFonts w:cs="Arial" w:hint="cs"/>
          <w:rtl/>
        </w:rPr>
        <w:t>ולמעלה</w:t>
      </w:r>
      <w:r>
        <w:rPr>
          <w:rFonts w:cs="Arial" w:hint="cs"/>
          <w:rtl/>
        </w:rPr>
        <w:t>.</w:t>
      </w:r>
      <w:r w:rsidRPr="0083035B">
        <w:rPr>
          <w:rFonts w:cs="Arial"/>
          <w:color w:val="00B0F0"/>
          <w:rtl/>
        </w:rPr>
        <w:t xml:space="preserve"> </w:t>
      </w:r>
      <w:r w:rsidRPr="0083035B">
        <w:rPr>
          <w:rFonts w:cs="Arial" w:hint="cs"/>
          <w:color w:val="E36C0A" w:themeColor="accent6" w:themeShade="BF"/>
          <w:rtl/>
        </w:rPr>
        <w:t>(וכ"</w:t>
      </w:r>
      <w:r>
        <w:rPr>
          <w:rFonts w:cs="Arial" w:hint="cs"/>
          <w:color w:val="E36C0A" w:themeColor="accent6" w:themeShade="BF"/>
          <w:rtl/>
        </w:rPr>
        <w:t>פ</w:t>
      </w:r>
      <w:r w:rsidRPr="0083035B">
        <w:rPr>
          <w:rFonts w:cs="Arial" w:hint="cs"/>
          <w:color w:val="E36C0A" w:themeColor="accent6" w:themeShade="BF"/>
          <w:rtl/>
        </w:rPr>
        <w:t xml:space="preserve"> בשו"ע</w:t>
      </w:r>
      <w:r w:rsidRPr="00B50532">
        <w:rPr>
          <w:rFonts w:cs="Arial" w:hint="cs"/>
          <w:color w:val="000000" w:themeColor="text1"/>
          <w:sz w:val="16"/>
          <w:szCs w:val="16"/>
          <w:rtl/>
        </w:rPr>
        <w:t xml:space="preserve"> [סי' רסג ס"ד</w:t>
      </w:r>
      <w:r>
        <w:rPr>
          <w:rFonts w:cs="Arial" w:hint="cs"/>
          <w:color w:val="000000" w:themeColor="text1"/>
          <w:sz w:val="16"/>
          <w:szCs w:val="16"/>
          <w:rtl/>
        </w:rPr>
        <w:t xml:space="preserve"> ובסי' רסז ס"ב</w:t>
      </w:r>
      <w:r w:rsidRPr="00B50532">
        <w:rPr>
          <w:rFonts w:cs="Arial" w:hint="cs"/>
          <w:color w:val="000000" w:themeColor="text1"/>
          <w:sz w:val="16"/>
          <w:szCs w:val="16"/>
          <w:rtl/>
        </w:rPr>
        <w:t>]</w:t>
      </w:r>
      <w:r w:rsidRPr="0083035B">
        <w:rPr>
          <w:rFonts w:cs="Arial" w:hint="cs"/>
          <w:color w:val="E36C0A" w:themeColor="accent6" w:themeShade="BF"/>
          <w:rtl/>
        </w:rPr>
        <w:t>)</w:t>
      </w:r>
      <w:r>
        <w:rPr>
          <w:rFonts w:cs="Arial" w:hint="cs"/>
          <w:color w:val="00B0F0"/>
          <w:rtl/>
        </w:rPr>
        <w:t xml:space="preserve"> </w:t>
      </w:r>
      <w:r w:rsidRPr="0083035B">
        <w:rPr>
          <w:rFonts w:cs="Arial" w:hint="cs"/>
          <w:color w:val="00B0F0"/>
          <w:rtl/>
        </w:rPr>
        <w:t>(וכ"פ הרמ"א)</w:t>
      </w:r>
    </w:p>
    <w:p w14:paraId="33D1291C" w14:textId="77777777" w:rsidR="004B2E7C" w:rsidRPr="0083035B" w:rsidRDefault="004B2E7C" w:rsidP="00FF2D21">
      <w:pPr>
        <w:pStyle w:val="aa"/>
        <w:numPr>
          <w:ilvl w:val="0"/>
          <w:numId w:val="87"/>
        </w:numPr>
        <w:rPr>
          <w:rFonts w:cs="Arial"/>
          <w:rtl/>
        </w:rPr>
      </w:pPr>
      <w:r w:rsidRPr="00684CAD">
        <w:rPr>
          <w:rFonts w:cs="Arial" w:hint="cs"/>
          <w:rtl/>
        </w:rPr>
        <w:t>מוהר</w:t>
      </w:r>
      <w:r w:rsidRPr="00684CAD">
        <w:rPr>
          <w:rFonts w:cs="Arial"/>
          <w:rtl/>
        </w:rPr>
        <w:t>"</w:t>
      </w:r>
      <w:r w:rsidRPr="00684CAD">
        <w:rPr>
          <w:rFonts w:cs="Arial" w:hint="cs"/>
          <w:rtl/>
        </w:rPr>
        <w:t>ח</w:t>
      </w:r>
      <w:r w:rsidRPr="00684CAD">
        <w:rPr>
          <w:rFonts w:cs="Arial"/>
          <w:rtl/>
        </w:rPr>
        <w:t xml:space="preserve"> </w:t>
      </w:r>
      <w:r w:rsidRPr="00F77C17">
        <w:rPr>
          <w:rFonts w:cs="Arial"/>
          <w:sz w:val="16"/>
          <w:szCs w:val="16"/>
          <w:rtl/>
        </w:rPr>
        <w:t>(</w:t>
      </w:r>
      <w:r w:rsidRPr="00F77C17">
        <w:rPr>
          <w:rFonts w:cs="Arial" w:hint="cs"/>
          <w:sz w:val="16"/>
          <w:szCs w:val="16"/>
          <w:rtl/>
        </w:rPr>
        <w:t>אור</w:t>
      </w:r>
      <w:r w:rsidRPr="00F77C17">
        <w:rPr>
          <w:rFonts w:cs="Arial"/>
          <w:sz w:val="16"/>
          <w:szCs w:val="16"/>
          <w:rtl/>
        </w:rPr>
        <w:t xml:space="preserve"> </w:t>
      </w:r>
      <w:r w:rsidRPr="00F77C17">
        <w:rPr>
          <w:rFonts w:cs="Arial" w:hint="cs"/>
          <w:sz w:val="16"/>
          <w:szCs w:val="16"/>
          <w:rtl/>
        </w:rPr>
        <w:t>זרוע</w:t>
      </w:r>
      <w:r w:rsidRPr="00F77C17">
        <w:rPr>
          <w:rFonts w:cs="Arial"/>
          <w:sz w:val="16"/>
          <w:szCs w:val="16"/>
          <w:rtl/>
        </w:rPr>
        <w:t xml:space="preserve"> </w:t>
      </w:r>
      <w:r w:rsidRPr="00F77C17">
        <w:rPr>
          <w:rFonts w:cs="Arial" w:hint="cs"/>
          <w:sz w:val="16"/>
          <w:szCs w:val="16"/>
          <w:rtl/>
        </w:rPr>
        <w:t>בתשו</w:t>
      </w:r>
      <w:r w:rsidRPr="00F77C17">
        <w:rPr>
          <w:rFonts w:cs="Arial"/>
          <w:sz w:val="16"/>
          <w:szCs w:val="16"/>
          <w:rtl/>
        </w:rPr>
        <w:t xml:space="preserve">' </w:t>
      </w:r>
      <w:r w:rsidRPr="00F77C17">
        <w:rPr>
          <w:rFonts w:cs="Arial" w:hint="cs"/>
          <w:sz w:val="16"/>
          <w:szCs w:val="16"/>
          <w:rtl/>
        </w:rPr>
        <w:t>סי</w:t>
      </w:r>
      <w:r w:rsidRPr="00F77C17">
        <w:rPr>
          <w:rFonts w:cs="Arial"/>
          <w:sz w:val="16"/>
          <w:szCs w:val="16"/>
          <w:rtl/>
        </w:rPr>
        <w:t xml:space="preserve">' </w:t>
      </w:r>
      <w:r w:rsidRPr="00F77C17">
        <w:rPr>
          <w:rFonts w:cs="Arial" w:hint="cs"/>
          <w:sz w:val="16"/>
          <w:szCs w:val="16"/>
          <w:rtl/>
        </w:rPr>
        <w:t>קפה</w:t>
      </w:r>
      <w:r>
        <w:rPr>
          <w:rFonts w:cs="Arial" w:hint="cs"/>
          <w:sz w:val="16"/>
          <w:szCs w:val="16"/>
          <w:rtl/>
        </w:rPr>
        <w:t>,</w:t>
      </w:r>
      <w:r w:rsidRPr="00F77C17">
        <w:rPr>
          <w:rFonts w:cs="Arial" w:hint="cs"/>
          <w:sz w:val="16"/>
          <w:szCs w:val="16"/>
          <w:rtl/>
        </w:rPr>
        <w:t xml:space="preserve"> </w:t>
      </w:r>
      <w:r>
        <w:rPr>
          <w:rFonts w:cs="Arial" w:hint="cs"/>
          <w:sz w:val="16"/>
          <w:szCs w:val="16"/>
          <w:rtl/>
        </w:rPr>
        <w:t>כ"כ בשמו האגור [שם]</w:t>
      </w:r>
      <w:r w:rsidRPr="00F77C17">
        <w:rPr>
          <w:rFonts w:cs="Arial"/>
          <w:sz w:val="16"/>
          <w:szCs w:val="16"/>
          <w:rtl/>
        </w:rPr>
        <w:t>)</w:t>
      </w:r>
      <w:r>
        <w:rPr>
          <w:rFonts w:cs="Arial" w:hint="cs"/>
          <w:rtl/>
        </w:rPr>
        <w:t>-</w:t>
      </w:r>
      <w:r w:rsidRPr="00684CAD">
        <w:rPr>
          <w:rFonts w:cs="Arial"/>
          <w:rtl/>
        </w:rPr>
        <w:t xml:space="preserve"> </w:t>
      </w:r>
      <w:r w:rsidRPr="00684CAD">
        <w:rPr>
          <w:rFonts w:cs="Arial" w:hint="cs"/>
          <w:rtl/>
        </w:rPr>
        <w:t>ב</w:t>
      </w:r>
      <w:r w:rsidRPr="00684CAD">
        <w:rPr>
          <w:rFonts w:cs="Arial"/>
          <w:rtl/>
        </w:rPr>
        <w:t xml:space="preserve">' </w:t>
      </w:r>
      <w:r w:rsidRPr="00684CAD">
        <w:rPr>
          <w:rFonts w:cs="Arial" w:hint="cs"/>
          <w:rtl/>
        </w:rPr>
        <w:t>שעות</w:t>
      </w:r>
      <w:r w:rsidRPr="00684CAD">
        <w:rPr>
          <w:rFonts w:cs="Arial"/>
          <w:rtl/>
        </w:rPr>
        <w:t xml:space="preserve"> </w:t>
      </w:r>
      <w:r w:rsidRPr="00684CAD">
        <w:rPr>
          <w:rFonts w:cs="Arial" w:hint="cs"/>
          <w:rtl/>
        </w:rPr>
        <w:t>קודם</w:t>
      </w:r>
      <w:r w:rsidRPr="00684CAD">
        <w:rPr>
          <w:rFonts w:cs="Arial"/>
          <w:rtl/>
        </w:rPr>
        <w:t xml:space="preserve"> </w:t>
      </w:r>
      <w:r w:rsidRPr="00684CAD">
        <w:rPr>
          <w:rFonts w:cs="Arial" w:hint="cs"/>
          <w:rtl/>
        </w:rPr>
        <w:t>הלילה</w:t>
      </w:r>
      <w:r w:rsidRPr="00684CAD">
        <w:rPr>
          <w:rFonts w:cs="Arial"/>
          <w:rtl/>
        </w:rPr>
        <w:t xml:space="preserve"> </w:t>
      </w:r>
      <w:r w:rsidRPr="00684CAD">
        <w:rPr>
          <w:rFonts w:cs="Arial" w:hint="cs"/>
          <w:rtl/>
        </w:rPr>
        <w:t>שהוא</w:t>
      </w:r>
      <w:r w:rsidRPr="00684CAD">
        <w:rPr>
          <w:rFonts w:cs="Arial"/>
          <w:rtl/>
        </w:rPr>
        <w:t xml:space="preserve"> </w:t>
      </w:r>
      <w:r w:rsidRPr="00684CAD">
        <w:rPr>
          <w:rFonts w:cs="Arial" w:hint="cs"/>
          <w:rtl/>
        </w:rPr>
        <w:t>חלק</w:t>
      </w:r>
      <w:r w:rsidRPr="00684CAD">
        <w:rPr>
          <w:rFonts w:cs="Arial"/>
          <w:rtl/>
        </w:rPr>
        <w:t xml:space="preserve"> </w:t>
      </w:r>
      <w:r w:rsidRPr="00684CAD">
        <w:rPr>
          <w:rFonts w:cs="Arial" w:hint="cs"/>
          <w:rtl/>
        </w:rPr>
        <w:t>י</w:t>
      </w:r>
      <w:r w:rsidRPr="00684CAD">
        <w:rPr>
          <w:rFonts w:cs="Arial"/>
          <w:rtl/>
        </w:rPr>
        <w:t>"</w:t>
      </w:r>
      <w:r w:rsidRPr="00684CAD">
        <w:rPr>
          <w:rFonts w:cs="Arial" w:hint="cs"/>
          <w:rtl/>
        </w:rPr>
        <w:t>ב</w:t>
      </w:r>
      <w:r w:rsidRPr="00684CAD">
        <w:rPr>
          <w:rFonts w:cs="Arial"/>
          <w:rtl/>
        </w:rPr>
        <w:t xml:space="preserve"> </w:t>
      </w:r>
      <w:r w:rsidRPr="00684CAD">
        <w:rPr>
          <w:rFonts w:cs="Arial" w:hint="cs"/>
          <w:rtl/>
        </w:rPr>
        <w:t>מכל</w:t>
      </w:r>
      <w:r w:rsidRPr="00684CAD">
        <w:rPr>
          <w:rFonts w:cs="Arial"/>
          <w:rtl/>
        </w:rPr>
        <w:t xml:space="preserve"> </w:t>
      </w:r>
      <w:r w:rsidRPr="00684CAD">
        <w:rPr>
          <w:rFonts w:cs="Arial" w:hint="cs"/>
          <w:rtl/>
        </w:rPr>
        <w:t>יום</w:t>
      </w:r>
      <w:r w:rsidRPr="00684CAD">
        <w:rPr>
          <w:rFonts w:cs="Arial"/>
          <w:rtl/>
        </w:rPr>
        <w:t xml:space="preserve"> </w:t>
      </w:r>
      <w:r w:rsidRPr="00684CAD">
        <w:rPr>
          <w:rFonts w:cs="Arial" w:hint="cs"/>
          <w:rtl/>
        </w:rPr>
        <w:t>השבת</w:t>
      </w:r>
      <w:r w:rsidRPr="00684CAD">
        <w:rPr>
          <w:rFonts w:cs="Arial"/>
          <w:rtl/>
        </w:rPr>
        <w:t xml:space="preserve"> </w:t>
      </w:r>
      <w:r w:rsidRPr="00684CAD">
        <w:rPr>
          <w:rFonts w:cs="Arial" w:hint="cs"/>
          <w:rtl/>
        </w:rPr>
        <w:t>שהוא</w:t>
      </w:r>
      <w:r w:rsidRPr="00684CAD">
        <w:rPr>
          <w:rFonts w:cs="Arial"/>
          <w:rtl/>
        </w:rPr>
        <w:t xml:space="preserve"> </w:t>
      </w:r>
      <w:r w:rsidRPr="00684CAD">
        <w:rPr>
          <w:rFonts w:cs="Arial" w:hint="cs"/>
          <w:rtl/>
        </w:rPr>
        <w:t>כ</w:t>
      </w:r>
      <w:r w:rsidRPr="00684CAD">
        <w:rPr>
          <w:rFonts w:cs="Arial"/>
          <w:rtl/>
        </w:rPr>
        <w:t>"</w:t>
      </w:r>
      <w:r w:rsidRPr="00684CAD">
        <w:rPr>
          <w:rFonts w:cs="Arial" w:hint="cs"/>
          <w:rtl/>
        </w:rPr>
        <w:t>ד</w:t>
      </w:r>
      <w:r w:rsidRPr="00684CAD">
        <w:rPr>
          <w:rFonts w:cs="Arial"/>
          <w:rtl/>
        </w:rPr>
        <w:t xml:space="preserve"> </w:t>
      </w:r>
      <w:r w:rsidRPr="00684CAD">
        <w:rPr>
          <w:rFonts w:cs="Arial" w:hint="cs"/>
          <w:rtl/>
        </w:rPr>
        <w:t>שעות</w:t>
      </w:r>
      <w:r w:rsidRPr="00684CAD">
        <w:rPr>
          <w:rFonts w:cs="Arial"/>
          <w:rtl/>
        </w:rPr>
        <w:t xml:space="preserve">, </w:t>
      </w:r>
      <w:r w:rsidRPr="00684CAD">
        <w:rPr>
          <w:rFonts w:cs="Arial" w:hint="cs"/>
          <w:rtl/>
        </w:rPr>
        <w:t>דומיא</w:t>
      </w:r>
      <w:r w:rsidRPr="00684CAD">
        <w:rPr>
          <w:rFonts w:cs="Arial"/>
          <w:rtl/>
        </w:rPr>
        <w:t xml:space="preserve"> </w:t>
      </w:r>
      <w:r w:rsidRPr="00684CAD">
        <w:rPr>
          <w:rFonts w:cs="Arial" w:hint="cs"/>
          <w:rtl/>
        </w:rPr>
        <w:t>דשביעית</w:t>
      </w:r>
      <w:r w:rsidRPr="00684CAD">
        <w:rPr>
          <w:rFonts w:cs="Arial"/>
          <w:rtl/>
        </w:rPr>
        <w:t xml:space="preserve">, </w:t>
      </w:r>
      <w:r w:rsidRPr="00684CAD">
        <w:rPr>
          <w:rFonts w:cs="Arial" w:hint="cs"/>
          <w:rtl/>
        </w:rPr>
        <w:t>דתוספת</w:t>
      </w:r>
      <w:r w:rsidRPr="00684CAD">
        <w:rPr>
          <w:rFonts w:cs="Arial"/>
          <w:rtl/>
        </w:rPr>
        <w:t xml:space="preserve"> </w:t>
      </w:r>
      <w:r w:rsidRPr="00684CAD">
        <w:rPr>
          <w:rFonts w:cs="Arial" w:hint="cs"/>
          <w:rtl/>
        </w:rPr>
        <w:t>שביעית</w:t>
      </w:r>
      <w:r w:rsidRPr="00684CAD">
        <w:rPr>
          <w:rFonts w:cs="Arial"/>
          <w:rtl/>
        </w:rPr>
        <w:t xml:space="preserve"> </w:t>
      </w:r>
      <w:r w:rsidRPr="00684CAD">
        <w:rPr>
          <w:rFonts w:cs="Arial" w:hint="cs"/>
          <w:rtl/>
        </w:rPr>
        <w:t>הוי</w:t>
      </w:r>
      <w:r w:rsidRPr="00684CAD">
        <w:rPr>
          <w:rFonts w:cs="Arial"/>
          <w:rtl/>
        </w:rPr>
        <w:t xml:space="preserve"> </w:t>
      </w:r>
      <w:r w:rsidRPr="00684CAD">
        <w:rPr>
          <w:rFonts w:cs="Arial" w:hint="cs"/>
          <w:rtl/>
        </w:rPr>
        <w:t>ל</w:t>
      </w:r>
      <w:r w:rsidRPr="00684CAD">
        <w:rPr>
          <w:rFonts w:cs="Arial"/>
          <w:rtl/>
        </w:rPr>
        <w:t xml:space="preserve">' </w:t>
      </w:r>
      <w:r w:rsidRPr="00684CAD">
        <w:rPr>
          <w:rFonts w:cs="Arial" w:hint="cs"/>
          <w:rtl/>
        </w:rPr>
        <w:t>יום</w:t>
      </w:r>
      <w:r w:rsidRPr="00684CAD">
        <w:rPr>
          <w:rFonts w:cs="Arial"/>
          <w:rtl/>
        </w:rPr>
        <w:t xml:space="preserve"> </w:t>
      </w:r>
      <w:r w:rsidRPr="00684CAD">
        <w:rPr>
          <w:rFonts w:cs="Arial" w:hint="cs"/>
          <w:rtl/>
        </w:rPr>
        <w:t>חלק</w:t>
      </w:r>
      <w:r w:rsidRPr="00684CAD">
        <w:rPr>
          <w:rFonts w:cs="Arial"/>
          <w:rtl/>
        </w:rPr>
        <w:t xml:space="preserve"> </w:t>
      </w:r>
      <w:r w:rsidRPr="00684CAD">
        <w:rPr>
          <w:rFonts w:cs="Arial" w:hint="cs"/>
          <w:rtl/>
        </w:rPr>
        <w:t>י</w:t>
      </w:r>
      <w:r w:rsidRPr="00684CAD">
        <w:rPr>
          <w:rFonts w:cs="Arial"/>
          <w:rtl/>
        </w:rPr>
        <w:t>"</w:t>
      </w:r>
      <w:r w:rsidRPr="00684CAD">
        <w:rPr>
          <w:rFonts w:cs="Arial" w:hint="cs"/>
          <w:rtl/>
        </w:rPr>
        <w:t>ב</w:t>
      </w:r>
      <w:r w:rsidRPr="00684CAD">
        <w:rPr>
          <w:rFonts w:cs="Arial"/>
          <w:rtl/>
        </w:rPr>
        <w:t xml:space="preserve"> </w:t>
      </w:r>
      <w:r w:rsidRPr="00684CAD">
        <w:rPr>
          <w:rFonts w:cs="Arial" w:hint="cs"/>
          <w:rtl/>
        </w:rPr>
        <w:t>בשנה</w:t>
      </w:r>
      <w:r>
        <w:rPr>
          <w:rFonts w:cs="Arial" w:hint="cs"/>
          <w:rtl/>
        </w:rPr>
        <w:t>.</w:t>
      </w:r>
    </w:p>
    <w:p w14:paraId="7A22D8CE"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5E45B89" w14:textId="77777777" w:rsidR="004B2E7C" w:rsidRDefault="004B2E7C" w:rsidP="00434A6A">
      <w:pPr>
        <w:rPr>
          <w:rFonts w:asciiTheme="minorBidi" w:hAnsiTheme="minorBidi"/>
          <w:rtl/>
        </w:rPr>
      </w:pPr>
      <w:r w:rsidRPr="00CC2350">
        <w:rPr>
          <w:rFonts w:asciiTheme="minorBidi" w:hAnsiTheme="minorBidi" w:cs="Arial"/>
          <w:rtl/>
        </w:rPr>
        <w:t>י</w:t>
      </w:r>
      <w:r>
        <w:rPr>
          <w:rFonts w:asciiTheme="minorBidi" w:hAnsiTheme="minorBidi" w:cs="Arial" w:hint="cs"/>
          <w:rtl/>
        </w:rPr>
        <w:t xml:space="preserve">ש </w:t>
      </w:r>
      <w:r w:rsidRPr="00CC2350">
        <w:rPr>
          <w:rFonts w:asciiTheme="minorBidi" w:hAnsiTheme="minorBidi" w:cs="Arial"/>
          <w:rtl/>
        </w:rPr>
        <w:t>א</w:t>
      </w:r>
      <w:r>
        <w:rPr>
          <w:rFonts w:asciiTheme="minorBidi" w:hAnsiTheme="minorBidi" w:cs="Arial" w:hint="cs"/>
          <w:rtl/>
        </w:rPr>
        <w:t>ומרים</w:t>
      </w:r>
      <w:r w:rsidRPr="00CC2350">
        <w:rPr>
          <w:rFonts w:asciiTheme="minorBidi" w:hAnsiTheme="minorBidi" w:cs="Arial"/>
          <w:rtl/>
        </w:rPr>
        <w:t xml:space="preserve"> שצריך להוסיף מחול על הקודש</w:t>
      </w:r>
      <w:r>
        <w:rPr>
          <w:rFonts w:asciiTheme="minorBidi" w:hAnsiTheme="minorBidi" w:cs="Arial" w:hint="cs"/>
          <w:rtl/>
        </w:rPr>
        <w:t>.</w:t>
      </w:r>
      <w:r w:rsidRPr="00CC2350">
        <w:rPr>
          <w:rFonts w:asciiTheme="minorBidi" w:hAnsiTheme="minorBidi" w:cs="Arial"/>
          <w:rtl/>
        </w:rPr>
        <w:t xml:space="preserve"> וזמן תוספת זה הוא מתחלת השקיעה שאין השמש נראית על הארץ</w:t>
      </w:r>
      <w:r>
        <w:rPr>
          <w:rFonts w:asciiTheme="minorBidi" w:hAnsiTheme="minorBidi" w:cs="Arial" w:hint="cs"/>
          <w:rtl/>
        </w:rPr>
        <w:t>,</w:t>
      </w:r>
      <w:r w:rsidRPr="00CC2350">
        <w:rPr>
          <w:rFonts w:asciiTheme="minorBidi" w:hAnsiTheme="minorBidi" w:cs="Arial"/>
          <w:rtl/>
        </w:rPr>
        <w:t xml:space="preserve"> עד זמן בין השמשות</w:t>
      </w:r>
      <w:r>
        <w:rPr>
          <w:rFonts w:asciiTheme="minorBidi" w:hAnsiTheme="minorBidi" w:cs="Arial" w:hint="cs"/>
          <w:rtl/>
        </w:rPr>
        <w:t>,</w:t>
      </w:r>
      <w:r w:rsidRPr="00CC2350">
        <w:rPr>
          <w:rFonts w:asciiTheme="minorBidi" w:hAnsiTheme="minorBidi" w:cs="Arial"/>
          <w:rtl/>
        </w:rPr>
        <w:t xml:space="preserve"> והזמן הזה שהוא ג' מילין ורביע, רצה לעשותו כולו תוספת, עושה</w:t>
      </w:r>
      <w:r>
        <w:rPr>
          <w:rStyle w:val="a9"/>
          <w:rFonts w:asciiTheme="minorBidi" w:hAnsiTheme="minorBidi" w:cs="Arial"/>
          <w:rtl/>
        </w:rPr>
        <w:footnoteReference w:id="605"/>
      </w:r>
      <w:r w:rsidRPr="00CC2350">
        <w:rPr>
          <w:rFonts w:asciiTheme="minorBidi" w:hAnsiTheme="minorBidi" w:cs="Arial"/>
          <w:rtl/>
        </w:rPr>
        <w:t>. רצה לעשות ממנו מקצת, עושה</w:t>
      </w:r>
      <w:r>
        <w:rPr>
          <w:rFonts w:asciiTheme="minorBidi" w:hAnsiTheme="minorBidi" w:cs="Arial" w:hint="cs"/>
          <w:rtl/>
        </w:rPr>
        <w:t>,</w:t>
      </w:r>
      <w:r w:rsidRPr="00CC2350">
        <w:rPr>
          <w:rFonts w:asciiTheme="minorBidi" w:hAnsiTheme="minorBidi" w:cs="Arial"/>
          <w:rtl/>
        </w:rPr>
        <w:t xml:space="preserve"> ובלבד שיוסיף איזה זמן שיהיה ודאי יום מחול על הקודש. ושיעור זמן בין השמשות הוא ג' רביעי מיל</w:t>
      </w:r>
      <w:r>
        <w:rPr>
          <w:rStyle w:val="a9"/>
          <w:rFonts w:asciiTheme="minorBidi" w:hAnsiTheme="minorBidi" w:cs="Arial"/>
          <w:rtl/>
        </w:rPr>
        <w:footnoteReference w:id="606"/>
      </w:r>
      <w:r w:rsidRPr="00CC2350">
        <w:rPr>
          <w:rFonts w:asciiTheme="minorBidi" w:hAnsiTheme="minorBidi" w:cs="Arial"/>
          <w:rtl/>
        </w:rPr>
        <w:t xml:space="preserve"> שהם מהלך אלף ות"ק אמות קודם הלילה. </w:t>
      </w:r>
      <w:r w:rsidRPr="00684CAD">
        <w:rPr>
          <w:rFonts w:asciiTheme="minorBidi" w:hAnsiTheme="minorBidi" w:cs="Arial"/>
          <w:sz w:val="18"/>
          <w:szCs w:val="18"/>
          <w:rtl/>
        </w:rPr>
        <w:t xml:space="preserve">הגה: ואם רוצה להקדים ולקבל עליו השבת מפלג המנחה ואילך, הרשות בידו (טור ואגור בשם תוס' פ' תפלת השחר). </w:t>
      </w:r>
    </w:p>
    <w:p w14:paraId="4498649F" w14:textId="77777777" w:rsidR="004B2E7C" w:rsidRPr="00CC2350" w:rsidRDefault="004B2E7C" w:rsidP="00434A6A">
      <w:pPr>
        <w:rPr>
          <w:rFonts w:asciiTheme="minorBidi" w:hAnsiTheme="minorBidi"/>
          <w:rtl/>
        </w:rPr>
      </w:pPr>
    </w:p>
    <w:p w14:paraId="2558F70A" w14:textId="77777777" w:rsidR="004B2E7C" w:rsidRDefault="004B2E7C" w:rsidP="00434A6A">
      <w:pPr>
        <w:pStyle w:val="2"/>
        <w:rPr>
          <w:rtl/>
        </w:rPr>
      </w:pPr>
      <w:r w:rsidRPr="00CC2350">
        <w:rPr>
          <w:rtl/>
        </w:rPr>
        <w:t>סעיף ג</w:t>
      </w:r>
      <w:r>
        <w:rPr>
          <w:rFonts w:hint="cs"/>
          <w:rtl/>
        </w:rPr>
        <w:t>: אדם שאינו בקי בשיעור בין השמשות.</w:t>
      </w:r>
    </w:p>
    <w:p w14:paraId="6109F4DA" w14:textId="77777777" w:rsidR="004B2E7C" w:rsidRPr="0083035B" w:rsidRDefault="004B2E7C" w:rsidP="00434A6A">
      <w:pPr>
        <w:rPr>
          <w:rtl/>
        </w:rPr>
      </w:pPr>
      <w:r w:rsidRPr="003F5E84">
        <w:rPr>
          <w:rFonts w:cs="Arial" w:hint="cs"/>
          <w:b/>
          <w:bCs/>
          <w:rtl/>
        </w:rPr>
        <w:t>שבת</w:t>
      </w:r>
      <w:r>
        <w:rPr>
          <w:rFonts w:cs="Arial" w:hint="cs"/>
          <w:b/>
          <w:bCs/>
          <w:rtl/>
        </w:rPr>
        <w:t xml:space="preserve"> </w:t>
      </w:r>
      <w:r>
        <w:rPr>
          <w:rFonts w:cs="Arial" w:hint="cs"/>
          <w:b/>
          <w:bCs/>
          <w:sz w:val="16"/>
          <w:szCs w:val="16"/>
          <w:rtl/>
        </w:rPr>
        <w:t>(ס"פ במה מדליקין)</w:t>
      </w:r>
      <w:r w:rsidRPr="003F5E84">
        <w:rPr>
          <w:rFonts w:cs="Arial" w:hint="cs"/>
          <w:b/>
          <w:bCs/>
          <w:rtl/>
        </w:rPr>
        <w:t xml:space="preserve"> ל</w:t>
      </w:r>
      <w:r>
        <w:rPr>
          <w:rFonts w:cs="Arial" w:hint="cs"/>
          <w:b/>
          <w:bCs/>
          <w:rtl/>
        </w:rPr>
        <w:t>ה</w:t>
      </w:r>
      <w:r w:rsidRPr="003F5E84">
        <w:rPr>
          <w:rFonts w:cs="Arial" w:hint="cs"/>
          <w:b/>
          <w:bCs/>
          <w:rtl/>
        </w:rPr>
        <w:t xml:space="preserve"> ע"</w:t>
      </w:r>
      <w:r>
        <w:rPr>
          <w:rFonts w:cs="Arial" w:hint="cs"/>
          <w:b/>
          <w:bCs/>
          <w:rtl/>
        </w:rPr>
        <w:t>ב</w:t>
      </w:r>
      <w:r w:rsidRPr="003F5E84">
        <w:rPr>
          <w:rFonts w:cs="Arial" w:hint="cs"/>
          <w:b/>
          <w:bCs/>
          <w:rtl/>
        </w:rPr>
        <w:t>:</w:t>
      </w:r>
      <w:r w:rsidRPr="00F02AA5">
        <w:rPr>
          <w:rFonts w:hint="cs"/>
          <w:rtl/>
        </w:rPr>
        <w:t xml:space="preserve"> </w:t>
      </w:r>
      <w:r w:rsidRPr="0083035B">
        <w:rPr>
          <w:rFonts w:cs="Arial" w:hint="cs"/>
          <w:rtl/>
        </w:rPr>
        <w:t>אמר</w:t>
      </w:r>
      <w:r w:rsidRPr="0083035B">
        <w:rPr>
          <w:rFonts w:cs="Arial"/>
          <w:rtl/>
        </w:rPr>
        <w:t xml:space="preserve"> </w:t>
      </w:r>
      <w:r w:rsidRPr="0083035B">
        <w:rPr>
          <w:rFonts w:cs="Arial" w:hint="cs"/>
          <w:rtl/>
        </w:rPr>
        <w:t>ליה</w:t>
      </w:r>
      <w:r w:rsidRPr="0083035B">
        <w:rPr>
          <w:rFonts w:cs="Arial"/>
          <w:rtl/>
        </w:rPr>
        <w:t xml:space="preserve"> </w:t>
      </w:r>
      <w:r w:rsidRPr="0083035B">
        <w:rPr>
          <w:rFonts w:cs="Arial" w:hint="cs"/>
          <w:rtl/>
        </w:rPr>
        <w:t>רבא</w:t>
      </w:r>
      <w:r w:rsidRPr="0083035B">
        <w:rPr>
          <w:rFonts w:cs="Arial"/>
          <w:rtl/>
        </w:rPr>
        <w:t xml:space="preserve"> </w:t>
      </w:r>
      <w:r w:rsidRPr="0083035B">
        <w:rPr>
          <w:rFonts w:cs="Arial" w:hint="cs"/>
          <w:rtl/>
        </w:rPr>
        <w:t>לשמעיה</w:t>
      </w:r>
      <w:r w:rsidRPr="0083035B">
        <w:rPr>
          <w:rFonts w:cs="Arial"/>
          <w:rtl/>
        </w:rPr>
        <w:t xml:space="preserve">: </w:t>
      </w:r>
      <w:r w:rsidRPr="0083035B">
        <w:rPr>
          <w:rFonts w:cs="Arial" w:hint="cs"/>
          <w:rtl/>
        </w:rPr>
        <w:t>אתון</w:t>
      </w:r>
      <w:r w:rsidRPr="0083035B">
        <w:rPr>
          <w:rFonts w:cs="Arial"/>
          <w:rtl/>
        </w:rPr>
        <w:t xml:space="preserve"> </w:t>
      </w:r>
      <w:r w:rsidRPr="0083035B">
        <w:rPr>
          <w:rFonts w:cs="Arial" w:hint="cs"/>
          <w:rtl/>
        </w:rPr>
        <w:t>דלא</w:t>
      </w:r>
      <w:r w:rsidRPr="0083035B">
        <w:rPr>
          <w:rFonts w:cs="Arial"/>
          <w:rtl/>
        </w:rPr>
        <w:t xml:space="preserve"> </w:t>
      </w:r>
      <w:r w:rsidRPr="0083035B">
        <w:rPr>
          <w:rFonts w:cs="Arial" w:hint="cs"/>
          <w:rtl/>
        </w:rPr>
        <w:t>קים</w:t>
      </w:r>
      <w:r w:rsidRPr="0083035B">
        <w:rPr>
          <w:rFonts w:cs="Arial"/>
          <w:rtl/>
        </w:rPr>
        <w:t xml:space="preserve"> </w:t>
      </w:r>
      <w:r w:rsidRPr="0083035B">
        <w:rPr>
          <w:rFonts w:cs="Arial" w:hint="cs"/>
          <w:rtl/>
        </w:rPr>
        <w:t>לכו</w:t>
      </w:r>
      <w:r w:rsidRPr="0083035B">
        <w:rPr>
          <w:rFonts w:cs="Arial"/>
          <w:rtl/>
        </w:rPr>
        <w:t xml:space="preserve"> </w:t>
      </w:r>
      <w:r w:rsidRPr="0083035B">
        <w:rPr>
          <w:rFonts w:cs="Arial" w:hint="cs"/>
          <w:rtl/>
        </w:rPr>
        <w:t>בשיעורא</w:t>
      </w:r>
      <w:r w:rsidRPr="0083035B">
        <w:rPr>
          <w:rFonts w:cs="Arial"/>
          <w:rtl/>
        </w:rPr>
        <w:t xml:space="preserve"> </w:t>
      </w:r>
      <w:r w:rsidRPr="0083035B">
        <w:rPr>
          <w:rFonts w:cs="Arial" w:hint="cs"/>
          <w:rtl/>
        </w:rPr>
        <w:t>דרבנן</w:t>
      </w:r>
      <w:r w:rsidRPr="0083035B">
        <w:rPr>
          <w:rFonts w:cs="Arial"/>
          <w:rtl/>
        </w:rPr>
        <w:t xml:space="preserve">, </w:t>
      </w:r>
      <w:r w:rsidRPr="0083035B">
        <w:rPr>
          <w:rFonts w:cs="Arial" w:hint="cs"/>
          <w:rtl/>
        </w:rPr>
        <w:t>אדשימשא</w:t>
      </w:r>
      <w:r w:rsidRPr="0083035B">
        <w:rPr>
          <w:rFonts w:cs="Arial"/>
          <w:rtl/>
        </w:rPr>
        <w:t xml:space="preserve"> </w:t>
      </w:r>
      <w:r w:rsidRPr="0083035B">
        <w:rPr>
          <w:rFonts w:cs="Arial" w:hint="cs"/>
          <w:rtl/>
        </w:rPr>
        <w:t>אריש</w:t>
      </w:r>
      <w:r w:rsidRPr="0083035B">
        <w:rPr>
          <w:rFonts w:cs="Arial"/>
          <w:rtl/>
        </w:rPr>
        <w:t xml:space="preserve"> </w:t>
      </w:r>
      <w:r w:rsidRPr="0083035B">
        <w:rPr>
          <w:rFonts w:cs="Arial" w:hint="cs"/>
          <w:rtl/>
        </w:rPr>
        <w:t>דיקלי</w:t>
      </w:r>
      <w:r w:rsidRPr="0083035B">
        <w:rPr>
          <w:rFonts w:cs="Arial"/>
          <w:rtl/>
        </w:rPr>
        <w:t xml:space="preserve"> - </w:t>
      </w:r>
      <w:r w:rsidRPr="0083035B">
        <w:rPr>
          <w:rFonts w:cs="Arial" w:hint="cs"/>
          <w:rtl/>
        </w:rPr>
        <w:t>אתלו</w:t>
      </w:r>
      <w:r w:rsidRPr="0083035B">
        <w:rPr>
          <w:rFonts w:cs="Arial"/>
          <w:rtl/>
        </w:rPr>
        <w:t xml:space="preserve"> </w:t>
      </w:r>
      <w:r w:rsidRPr="0083035B">
        <w:rPr>
          <w:rFonts w:cs="Arial" w:hint="cs"/>
          <w:rtl/>
        </w:rPr>
        <w:t>שרגא</w:t>
      </w:r>
      <w:r w:rsidRPr="0083035B">
        <w:rPr>
          <w:rFonts w:cs="Arial"/>
          <w:rtl/>
        </w:rPr>
        <w:t xml:space="preserve">. </w:t>
      </w:r>
      <w:r w:rsidRPr="0083035B">
        <w:rPr>
          <w:rFonts w:cs="Arial" w:hint="cs"/>
          <w:rtl/>
        </w:rPr>
        <w:t>ביום</w:t>
      </w:r>
      <w:r w:rsidRPr="0083035B">
        <w:rPr>
          <w:rFonts w:cs="Arial"/>
          <w:rtl/>
        </w:rPr>
        <w:t xml:space="preserve"> </w:t>
      </w:r>
      <w:r w:rsidRPr="0083035B">
        <w:rPr>
          <w:rFonts w:cs="Arial" w:hint="cs"/>
          <w:rtl/>
        </w:rPr>
        <w:t>המעונן</w:t>
      </w:r>
      <w:r w:rsidRPr="0083035B">
        <w:rPr>
          <w:rFonts w:cs="Arial"/>
          <w:rtl/>
        </w:rPr>
        <w:t xml:space="preserve"> </w:t>
      </w:r>
      <w:r w:rsidRPr="0083035B">
        <w:rPr>
          <w:rFonts w:cs="Arial" w:hint="cs"/>
          <w:rtl/>
        </w:rPr>
        <w:t>מאי</w:t>
      </w:r>
      <w:r w:rsidRPr="0083035B">
        <w:rPr>
          <w:rFonts w:cs="Arial"/>
          <w:rtl/>
        </w:rPr>
        <w:t xml:space="preserve">? </w:t>
      </w:r>
      <w:r w:rsidRPr="0083035B">
        <w:rPr>
          <w:rFonts w:cs="Arial" w:hint="cs"/>
          <w:rtl/>
        </w:rPr>
        <w:t>במתא</w:t>
      </w:r>
      <w:r w:rsidRPr="0083035B">
        <w:rPr>
          <w:rFonts w:cs="Arial"/>
          <w:rtl/>
        </w:rPr>
        <w:t xml:space="preserve"> </w:t>
      </w:r>
      <w:r w:rsidRPr="0083035B">
        <w:rPr>
          <w:rFonts w:cs="Arial" w:hint="cs"/>
          <w:rtl/>
        </w:rPr>
        <w:t>חזי</w:t>
      </w:r>
      <w:r w:rsidRPr="0083035B">
        <w:rPr>
          <w:rFonts w:cs="Arial"/>
          <w:rtl/>
        </w:rPr>
        <w:t xml:space="preserve"> </w:t>
      </w:r>
      <w:r w:rsidRPr="0083035B">
        <w:rPr>
          <w:rFonts w:cs="Arial" w:hint="cs"/>
          <w:rtl/>
        </w:rPr>
        <w:t>תרנגולא</w:t>
      </w:r>
      <w:r w:rsidRPr="0083035B">
        <w:rPr>
          <w:rFonts w:cs="Arial"/>
          <w:rtl/>
        </w:rPr>
        <w:t xml:space="preserve">, </w:t>
      </w:r>
      <w:r w:rsidRPr="0083035B">
        <w:rPr>
          <w:rFonts w:cs="Arial" w:hint="cs"/>
          <w:rtl/>
        </w:rPr>
        <w:t>בדברא</w:t>
      </w:r>
      <w:r w:rsidRPr="0083035B">
        <w:rPr>
          <w:rFonts w:cs="Arial"/>
          <w:rtl/>
        </w:rPr>
        <w:t xml:space="preserve"> - </w:t>
      </w:r>
      <w:r w:rsidRPr="0083035B">
        <w:rPr>
          <w:rFonts w:cs="Arial" w:hint="cs"/>
          <w:rtl/>
        </w:rPr>
        <w:t>עורבי</w:t>
      </w:r>
      <w:r w:rsidRPr="0083035B">
        <w:rPr>
          <w:rFonts w:cs="Arial"/>
          <w:rtl/>
        </w:rPr>
        <w:t xml:space="preserve">, </w:t>
      </w:r>
      <w:r w:rsidRPr="0083035B">
        <w:rPr>
          <w:rFonts w:cs="Arial" w:hint="cs"/>
          <w:rtl/>
        </w:rPr>
        <w:t>אי</w:t>
      </w:r>
      <w:r w:rsidRPr="0083035B">
        <w:rPr>
          <w:rFonts w:cs="Arial"/>
          <w:rtl/>
        </w:rPr>
        <w:t xml:space="preserve"> </w:t>
      </w:r>
      <w:r w:rsidRPr="0083035B">
        <w:rPr>
          <w:rFonts w:cs="Arial" w:hint="cs"/>
          <w:rtl/>
        </w:rPr>
        <w:t>נמי</w:t>
      </w:r>
      <w:r w:rsidRPr="0083035B">
        <w:rPr>
          <w:rFonts w:cs="Arial"/>
          <w:rtl/>
        </w:rPr>
        <w:t xml:space="preserve"> </w:t>
      </w:r>
      <w:r w:rsidRPr="0083035B">
        <w:rPr>
          <w:rFonts w:cs="Arial" w:hint="cs"/>
          <w:rtl/>
        </w:rPr>
        <w:t>אדאני</w:t>
      </w:r>
      <w:r w:rsidRPr="0083035B">
        <w:rPr>
          <w:rFonts w:cs="Arial"/>
          <w:rtl/>
        </w:rPr>
        <w:t>.</w:t>
      </w:r>
    </w:p>
    <w:p w14:paraId="56032E34" w14:textId="77777777" w:rsidR="004B2E7C" w:rsidRPr="0083035B" w:rsidRDefault="004B2E7C" w:rsidP="00434A6A">
      <w:pPr>
        <w:rPr>
          <w:rFonts w:cs="Arial"/>
          <w:u w:val="single"/>
          <w:rtl/>
        </w:rPr>
      </w:pPr>
      <w:r w:rsidRPr="0083035B">
        <w:rPr>
          <w:rFonts w:cs="Arial" w:hint="cs"/>
          <w:u w:val="single"/>
          <w:rtl/>
        </w:rPr>
        <w:t xml:space="preserve">אדם </w:t>
      </w:r>
      <w:r>
        <w:rPr>
          <w:rFonts w:cs="Arial" w:hint="cs"/>
          <w:u w:val="single"/>
          <w:rtl/>
        </w:rPr>
        <w:t>ש</w:t>
      </w:r>
      <w:r w:rsidRPr="0083035B">
        <w:rPr>
          <w:rFonts w:cs="Arial" w:hint="cs"/>
          <w:u w:val="single"/>
          <w:rtl/>
        </w:rPr>
        <w:t xml:space="preserve">לא בקיא בשיעור </w:t>
      </w:r>
      <w:r>
        <w:rPr>
          <w:rFonts w:cs="Arial" w:hint="cs"/>
          <w:u w:val="single"/>
          <w:rtl/>
        </w:rPr>
        <w:t xml:space="preserve">בין השמשות </w:t>
      </w:r>
      <w:r>
        <w:rPr>
          <w:rFonts w:cs="Arial"/>
          <w:u w:val="single"/>
          <w:rtl/>
        </w:rPr>
        <w:t>–</w:t>
      </w:r>
      <w:r>
        <w:rPr>
          <w:rFonts w:cs="Arial" w:hint="cs"/>
          <w:u w:val="single"/>
          <w:rtl/>
        </w:rPr>
        <w:t xml:space="preserve"> ממתי יקבל את השבת</w:t>
      </w:r>
      <w:r w:rsidRPr="0083035B">
        <w:rPr>
          <w:rFonts w:cs="Arial" w:hint="cs"/>
          <w:u w:val="single"/>
          <w:rtl/>
        </w:rPr>
        <w:t>:</w:t>
      </w:r>
    </w:p>
    <w:p w14:paraId="53106704" w14:textId="77777777" w:rsidR="004B2E7C" w:rsidRPr="00D54009" w:rsidRDefault="004B2E7C" w:rsidP="00FF2D21">
      <w:pPr>
        <w:pStyle w:val="aa"/>
        <w:numPr>
          <w:ilvl w:val="0"/>
          <w:numId w:val="87"/>
        </w:numPr>
        <w:rPr>
          <w:rFonts w:cs="Arial"/>
          <w:rtl/>
        </w:rPr>
      </w:pPr>
      <w:r>
        <w:rPr>
          <w:rFonts w:cs="Arial" w:hint="cs"/>
          <w:rtl/>
        </w:rPr>
        <w:t xml:space="preserve">טור- </w:t>
      </w:r>
      <w:r w:rsidRPr="00D54009">
        <w:rPr>
          <w:rFonts w:cs="Arial" w:hint="cs"/>
          <w:rtl/>
        </w:rPr>
        <w:t>ומי</w:t>
      </w:r>
      <w:r w:rsidRPr="00D54009">
        <w:rPr>
          <w:rFonts w:cs="Arial"/>
          <w:rtl/>
        </w:rPr>
        <w:t xml:space="preserve"> </w:t>
      </w:r>
      <w:r w:rsidRPr="00D54009">
        <w:rPr>
          <w:rFonts w:cs="Arial" w:hint="cs"/>
          <w:rtl/>
        </w:rPr>
        <w:t>שאינו</w:t>
      </w:r>
      <w:r w:rsidRPr="00D54009">
        <w:rPr>
          <w:rFonts w:cs="Arial"/>
          <w:rtl/>
        </w:rPr>
        <w:t xml:space="preserve"> </w:t>
      </w:r>
      <w:r w:rsidRPr="00D54009">
        <w:rPr>
          <w:rFonts w:cs="Arial" w:hint="cs"/>
          <w:rtl/>
        </w:rPr>
        <w:t>בקי</w:t>
      </w:r>
      <w:r w:rsidRPr="00D54009">
        <w:rPr>
          <w:rFonts w:cs="Arial"/>
          <w:rtl/>
        </w:rPr>
        <w:t xml:space="preserve"> </w:t>
      </w:r>
      <w:r w:rsidRPr="00D54009">
        <w:rPr>
          <w:rFonts w:cs="Arial" w:hint="cs"/>
          <w:rtl/>
        </w:rPr>
        <w:t>בשיעור</w:t>
      </w:r>
      <w:r w:rsidRPr="00D54009">
        <w:rPr>
          <w:rFonts w:cs="Arial"/>
          <w:rtl/>
        </w:rPr>
        <w:t xml:space="preserve"> </w:t>
      </w:r>
      <w:r w:rsidRPr="00D54009">
        <w:rPr>
          <w:rFonts w:cs="Arial" w:hint="cs"/>
          <w:rtl/>
        </w:rPr>
        <w:t>בין</w:t>
      </w:r>
      <w:r w:rsidRPr="00D54009">
        <w:rPr>
          <w:rFonts w:cs="Arial"/>
          <w:rtl/>
        </w:rPr>
        <w:t xml:space="preserve"> </w:t>
      </w:r>
      <w:r w:rsidRPr="00D54009">
        <w:rPr>
          <w:rFonts w:cs="Arial" w:hint="cs"/>
          <w:rtl/>
        </w:rPr>
        <w:t>השמשות</w:t>
      </w:r>
      <w:r w:rsidRPr="00D54009">
        <w:rPr>
          <w:rFonts w:cs="Arial"/>
          <w:rtl/>
        </w:rPr>
        <w:t xml:space="preserve"> </w:t>
      </w:r>
      <w:r w:rsidRPr="00D54009">
        <w:rPr>
          <w:rFonts w:cs="Arial" w:hint="cs"/>
          <w:rtl/>
        </w:rPr>
        <w:t>ימהר</w:t>
      </w:r>
      <w:r w:rsidRPr="00D54009">
        <w:rPr>
          <w:rFonts w:cs="Arial"/>
          <w:rtl/>
        </w:rPr>
        <w:t xml:space="preserve"> </w:t>
      </w:r>
      <w:r w:rsidRPr="00D54009">
        <w:rPr>
          <w:rFonts w:cs="Arial" w:hint="cs"/>
          <w:rtl/>
        </w:rPr>
        <w:t>להדליק</w:t>
      </w:r>
      <w:r>
        <w:rPr>
          <w:rFonts w:cs="Arial" w:hint="cs"/>
          <w:rtl/>
        </w:rPr>
        <w:t xml:space="preserve">, </w:t>
      </w:r>
      <w:r w:rsidRPr="00D54009">
        <w:rPr>
          <w:rFonts w:cs="Arial" w:hint="cs"/>
          <w:rtl/>
        </w:rPr>
        <w:t>דאמר</w:t>
      </w:r>
      <w:r w:rsidRPr="00D54009">
        <w:rPr>
          <w:rFonts w:cs="Arial"/>
          <w:rtl/>
        </w:rPr>
        <w:t xml:space="preserve"> </w:t>
      </w:r>
      <w:r w:rsidRPr="00D54009">
        <w:rPr>
          <w:rFonts w:cs="Arial" w:hint="cs"/>
          <w:rtl/>
        </w:rPr>
        <w:t>ליה</w:t>
      </w:r>
      <w:r w:rsidRPr="00D54009">
        <w:rPr>
          <w:rFonts w:cs="Arial"/>
          <w:rtl/>
        </w:rPr>
        <w:t xml:space="preserve"> </w:t>
      </w:r>
      <w:r w:rsidRPr="00D54009">
        <w:rPr>
          <w:rFonts w:cs="Arial" w:hint="cs"/>
          <w:rtl/>
        </w:rPr>
        <w:t>רבה</w:t>
      </w:r>
      <w:r w:rsidRPr="00D54009">
        <w:rPr>
          <w:rFonts w:cs="Arial"/>
          <w:rtl/>
        </w:rPr>
        <w:t xml:space="preserve"> </w:t>
      </w:r>
      <w:r w:rsidRPr="00D54009">
        <w:rPr>
          <w:rFonts w:cs="Arial" w:hint="cs"/>
          <w:rtl/>
        </w:rPr>
        <w:t>לאריסיה</w:t>
      </w:r>
      <w:r w:rsidRPr="00D54009">
        <w:rPr>
          <w:rFonts w:cs="Arial"/>
          <w:rtl/>
        </w:rPr>
        <w:t xml:space="preserve"> </w:t>
      </w:r>
      <w:r w:rsidRPr="00D54009">
        <w:rPr>
          <w:rFonts w:cs="Arial" w:hint="cs"/>
          <w:rtl/>
        </w:rPr>
        <w:t>אתון</w:t>
      </w:r>
      <w:r w:rsidRPr="00D54009">
        <w:rPr>
          <w:rFonts w:cs="Arial"/>
          <w:rtl/>
        </w:rPr>
        <w:t xml:space="preserve"> </w:t>
      </w:r>
      <w:r w:rsidRPr="00D54009">
        <w:rPr>
          <w:rFonts w:cs="Arial" w:hint="cs"/>
          <w:rtl/>
        </w:rPr>
        <w:t>דלא</w:t>
      </w:r>
      <w:r w:rsidRPr="00D54009">
        <w:rPr>
          <w:rFonts w:cs="Arial"/>
          <w:rtl/>
        </w:rPr>
        <w:t xml:space="preserve"> </w:t>
      </w:r>
      <w:r w:rsidRPr="00D54009">
        <w:rPr>
          <w:rFonts w:cs="Arial" w:hint="cs"/>
          <w:rtl/>
        </w:rPr>
        <w:t>קים</w:t>
      </w:r>
      <w:r w:rsidRPr="00D54009">
        <w:rPr>
          <w:rFonts w:cs="Arial"/>
          <w:rtl/>
        </w:rPr>
        <w:t xml:space="preserve"> </w:t>
      </w:r>
      <w:r w:rsidRPr="00D54009">
        <w:rPr>
          <w:rFonts w:cs="Arial" w:hint="cs"/>
          <w:rtl/>
        </w:rPr>
        <w:t>לכו</w:t>
      </w:r>
      <w:r w:rsidRPr="00D54009">
        <w:rPr>
          <w:rFonts w:cs="Arial"/>
          <w:rtl/>
        </w:rPr>
        <w:t xml:space="preserve"> </w:t>
      </w:r>
      <w:r w:rsidRPr="00D54009">
        <w:rPr>
          <w:rFonts w:cs="Arial" w:hint="cs"/>
          <w:rtl/>
        </w:rPr>
        <w:t>בשיעורא</w:t>
      </w:r>
      <w:r w:rsidRPr="00D54009">
        <w:rPr>
          <w:rFonts w:cs="Arial"/>
          <w:rtl/>
        </w:rPr>
        <w:t xml:space="preserve"> </w:t>
      </w:r>
      <w:r w:rsidRPr="00D54009">
        <w:rPr>
          <w:rFonts w:cs="Arial" w:hint="cs"/>
          <w:rtl/>
        </w:rPr>
        <w:t>דרבנן</w:t>
      </w:r>
      <w:r>
        <w:rPr>
          <w:rFonts w:cs="Arial" w:hint="cs"/>
          <w:rtl/>
        </w:rPr>
        <w:t>,</w:t>
      </w:r>
      <w:r w:rsidRPr="00D54009">
        <w:rPr>
          <w:rFonts w:cs="Arial"/>
          <w:rtl/>
        </w:rPr>
        <w:t xml:space="preserve"> </w:t>
      </w:r>
      <w:r w:rsidRPr="00D54009">
        <w:rPr>
          <w:rFonts w:cs="Arial" w:hint="cs"/>
          <w:rtl/>
        </w:rPr>
        <w:t>אדאיכא</w:t>
      </w:r>
      <w:r w:rsidRPr="00D54009">
        <w:rPr>
          <w:rFonts w:cs="Arial"/>
          <w:rtl/>
        </w:rPr>
        <w:t xml:space="preserve"> </w:t>
      </w:r>
      <w:r w:rsidRPr="00D54009">
        <w:rPr>
          <w:rFonts w:cs="Arial" w:hint="cs"/>
          <w:rtl/>
        </w:rPr>
        <w:t>שימשא</w:t>
      </w:r>
      <w:r w:rsidRPr="00D54009">
        <w:rPr>
          <w:rFonts w:cs="Arial"/>
          <w:rtl/>
        </w:rPr>
        <w:t xml:space="preserve"> </w:t>
      </w:r>
      <w:r w:rsidRPr="00D54009">
        <w:rPr>
          <w:rFonts w:cs="Arial" w:hint="cs"/>
          <w:rtl/>
        </w:rPr>
        <w:t>בריש</w:t>
      </w:r>
      <w:r w:rsidRPr="00D54009">
        <w:rPr>
          <w:rFonts w:cs="Arial"/>
          <w:rtl/>
        </w:rPr>
        <w:t xml:space="preserve"> </w:t>
      </w:r>
      <w:r w:rsidRPr="00D54009">
        <w:rPr>
          <w:rFonts w:cs="Arial" w:hint="cs"/>
          <w:rtl/>
        </w:rPr>
        <w:t>דיקלא</w:t>
      </w:r>
      <w:r w:rsidRPr="00D54009">
        <w:rPr>
          <w:rFonts w:cs="Arial"/>
          <w:rtl/>
        </w:rPr>
        <w:t xml:space="preserve"> </w:t>
      </w:r>
      <w:r w:rsidRPr="00D54009">
        <w:rPr>
          <w:rFonts w:cs="Arial" w:hint="cs"/>
          <w:rtl/>
        </w:rPr>
        <w:t>אדליקו</w:t>
      </w:r>
      <w:r w:rsidRPr="00D54009">
        <w:rPr>
          <w:rFonts w:cs="Arial"/>
          <w:rtl/>
        </w:rPr>
        <w:t xml:space="preserve"> </w:t>
      </w:r>
      <w:r w:rsidRPr="00D54009">
        <w:rPr>
          <w:rFonts w:cs="Arial" w:hint="cs"/>
          <w:rtl/>
        </w:rPr>
        <w:t>שרגא</w:t>
      </w:r>
      <w:r>
        <w:rPr>
          <w:rFonts w:cs="Arial" w:hint="cs"/>
          <w:rtl/>
        </w:rPr>
        <w:t>.</w:t>
      </w:r>
      <w:r w:rsidRPr="00D54009">
        <w:rPr>
          <w:rFonts w:cs="Arial"/>
          <w:rtl/>
        </w:rPr>
        <w:t xml:space="preserve"> </w:t>
      </w:r>
      <w:r w:rsidRPr="00D54009">
        <w:rPr>
          <w:rFonts w:cs="Arial" w:hint="cs"/>
          <w:rtl/>
        </w:rPr>
        <w:t>פי</w:t>
      </w:r>
      <w:r w:rsidRPr="00D54009">
        <w:rPr>
          <w:rFonts w:cs="Arial"/>
          <w:rtl/>
        </w:rPr>
        <w:t xml:space="preserve">' </w:t>
      </w:r>
      <w:r w:rsidRPr="00D54009">
        <w:rPr>
          <w:rFonts w:cs="Arial" w:hint="cs"/>
          <w:rtl/>
        </w:rPr>
        <w:t>בעוד</w:t>
      </w:r>
      <w:r w:rsidRPr="00D54009">
        <w:rPr>
          <w:rFonts w:cs="Arial"/>
          <w:rtl/>
        </w:rPr>
        <w:t xml:space="preserve"> </w:t>
      </w:r>
      <w:r w:rsidRPr="00D54009">
        <w:rPr>
          <w:rFonts w:cs="Arial" w:hint="cs"/>
          <w:rtl/>
        </w:rPr>
        <w:t>השמש</w:t>
      </w:r>
      <w:r w:rsidRPr="00D54009">
        <w:rPr>
          <w:rFonts w:cs="Arial"/>
          <w:rtl/>
        </w:rPr>
        <w:t xml:space="preserve"> </w:t>
      </w:r>
      <w:r w:rsidRPr="00D54009">
        <w:rPr>
          <w:rFonts w:cs="Arial" w:hint="cs"/>
          <w:rtl/>
        </w:rPr>
        <w:t>בראש</w:t>
      </w:r>
      <w:r w:rsidRPr="00D54009">
        <w:rPr>
          <w:rFonts w:cs="Arial"/>
          <w:rtl/>
        </w:rPr>
        <w:t xml:space="preserve"> </w:t>
      </w:r>
      <w:r w:rsidRPr="00D54009">
        <w:rPr>
          <w:rFonts w:cs="Arial" w:hint="cs"/>
          <w:rtl/>
        </w:rPr>
        <w:t>האילנות</w:t>
      </w:r>
      <w:r>
        <w:rPr>
          <w:rFonts w:cs="Arial" w:hint="cs"/>
          <w:rtl/>
        </w:rPr>
        <w:t>.</w:t>
      </w:r>
      <w:r w:rsidRPr="00D54009">
        <w:rPr>
          <w:rFonts w:cs="Arial"/>
          <w:rtl/>
        </w:rPr>
        <w:t xml:space="preserve"> </w:t>
      </w:r>
      <w:r w:rsidRPr="00D54009">
        <w:rPr>
          <w:rFonts w:cs="Arial" w:hint="cs"/>
          <w:rtl/>
        </w:rPr>
        <w:t>וביום</w:t>
      </w:r>
      <w:r w:rsidRPr="00D54009">
        <w:rPr>
          <w:rFonts w:cs="Arial"/>
          <w:rtl/>
        </w:rPr>
        <w:t xml:space="preserve"> </w:t>
      </w:r>
      <w:r w:rsidRPr="00D54009">
        <w:rPr>
          <w:rFonts w:cs="Arial" w:hint="cs"/>
          <w:rtl/>
        </w:rPr>
        <w:t>המעונן</w:t>
      </w:r>
      <w:r>
        <w:rPr>
          <w:rFonts w:cs="Arial" w:hint="cs"/>
          <w:rtl/>
        </w:rPr>
        <w:t>,</w:t>
      </w:r>
      <w:r w:rsidRPr="00D54009">
        <w:rPr>
          <w:rFonts w:cs="Arial"/>
          <w:rtl/>
        </w:rPr>
        <w:t xml:space="preserve"> </w:t>
      </w:r>
      <w:r w:rsidRPr="00D54009">
        <w:rPr>
          <w:rFonts w:cs="Arial" w:hint="cs"/>
          <w:rtl/>
        </w:rPr>
        <w:t>במתא</w:t>
      </w:r>
      <w:r>
        <w:rPr>
          <w:rFonts w:cs="Arial" w:hint="cs"/>
          <w:rtl/>
        </w:rPr>
        <w:t>,</w:t>
      </w:r>
      <w:r w:rsidRPr="00D54009">
        <w:rPr>
          <w:rFonts w:cs="Arial"/>
          <w:rtl/>
        </w:rPr>
        <w:t xml:space="preserve"> </w:t>
      </w:r>
      <w:r w:rsidRPr="00D54009">
        <w:rPr>
          <w:rFonts w:cs="Arial" w:hint="cs"/>
          <w:rtl/>
        </w:rPr>
        <w:t>חזו</w:t>
      </w:r>
      <w:r w:rsidRPr="00D54009">
        <w:rPr>
          <w:rFonts w:cs="Arial"/>
          <w:rtl/>
        </w:rPr>
        <w:t xml:space="preserve"> </w:t>
      </w:r>
      <w:r w:rsidRPr="00D54009">
        <w:rPr>
          <w:rFonts w:cs="Arial" w:hint="cs"/>
          <w:rtl/>
        </w:rPr>
        <w:t>תרנגולין</w:t>
      </w:r>
      <w:r w:rsidRPr="00D54009">
        <w:rPr>
          <w:rFonts w:cs="Arial"/>
          <w:rtl/>
        </w:rPr>
        <w:t xml:space="preserve"> </w:t>
      </w:r>
      <w:r w:rsidRPr="00D54009">
        <w:rPr>
          <w:rFonts w:cs="Arial" w:hint="cs"/>
          <w:rtl/>
        </w:rPr>
        <w:t>שיושבין</w:t>
      </w:r>
      <w:r w:rsidRPr="00D54009">
        <w:rPr>
          <w:rFonts w:cs="Arial"/>
          <w:rtl/>
        </w:rPr>
        <w:t xml:space="preserve"> </w:t>
      </w:r>
      <w:r w:rsidRPr="00D54009">
        <w:rPr>
          <w:rFonts w:cs="Arial" w:hint="cs"/>
          <w:rtl/>
        </w:rPr>
        <w:t>על</w:t>
      </w:r>
      <w:r w:rsidRPr="00D54009">
        <w:rPr>
          <w:rFonts w:cs="Arial"/>
          <w:rtl/>
        </w:rPr>
        <w:t xml:space="preserve"> </w:t>
      </w:r>
      <w:r w:rsidRPr="00D54009">
        <w:rPr>
          <w:rFonts w:cs="Arial" w:hint="cs"/>
          <w:rtl/>
        </w:rPr>
        <w:t>הקורה</w:t>
      </w:r>
      <w:r w:rsidRPr="00D54009">
        <w:rPr>
          <w:rFonts w:cs="Arial"/>
          <w:rtl/>
        </w:rPr>
        <w:t xml:space="preserve"> </w:t>
      </w:r>
      <w:r w:rsidRPr="00D54009">
        <w:rPr>
          <w:rFonts w:cs="Arial" w:hint="cs"/>
          <w:rtl/>
        </w:rPr>
        <w:t>מבע</w:t>
      </w:r>
      <w:r w:rsidRPr="00D54009">
        <w:rPr>
          <w:rFonts w:cs="Arial"/>
          <w:rtl/>
        </w:rPr>
        <w:t>"</w:t>
      </w:r>
      <w:r w:rsidRPr="00D54009">
        <w:rPr>
          <w:rFonts w:cs="Arial" w:hint="cs"/>
          <w:rtl/>
        </w:rPr>
        <w:t>י</w:t>
      </w:r>
      <w:r>
        <w:rPr>
          <w:rFonts w:cs="Arial" w:hint="cs"/>
          <w:rtl/>
        </w:rPr>
        <w:t>,</w:t>
      </w:r>
      <w:r w:rsidRPr="00D54009">
        <w:rPr>
          <w:rFonts w:cs="Arial"/>
          <w:rtl/>
        </w:rPr>
        <w:t xml:space="preserve"> </w:t>
      </w:r>
      <w:r w:rsidRPr="00D54009">
        <w:rPr>
          <w:rFonts w:cs="Arial" w:hint="cs"/>
          <w:rtl/>
        </w:rPr>
        <w:t>בדברא</w:t>
      </w:r>
      <w:r>
        <w:rPr>
          <w:rFonts w:cs="Arial" w:hint="cs"/>
          <w:rtl/>
        </w:rPr>
        <w:t>,</w:t>
      </w:r>
      <w:r w:rsidRPr="00D54009">
        <w:rPr>
          <w:rFonts w:cs="Arial"/>
          <w:rtl/>
        </w:rPr>
        <w:t xml:space="preserve"> </w:t>
      </w:r>
      <w:r w:rsidRPr="00D54009">
        <w:rPr>
          <w:rFonts w:cs="Arial" w:hint="cs"/>
          <w:rtl/>
        </w:rPr>
        <w:t>חזו</w:t>
      </w:r>
      <w:r w:rsidRPr="00D54009">
        <w:rPr>
          <w:rFonts w:cs="Arial"/>
          <w:rtl/>
        </w:rPr>
        <w:t xml:space="preserve"> </w:t>
      </w:r>
      <w:r w:rsidRPr="00D54009">
        <w:rPr>
          <w:rFonts w:cs="Arial" w:hint="cs"/>
          <w:rtl/>
        </w:rPr>
        <w:t>עורבי</w:t>
      </w:r>
      <w:r w:rsidRPr="00D54009">
        <w:rPr>
          <w:rFonts w:cs="Arial"/>
          <w:rtl/>
        </w:rPr>
        <w:t xml:space="preserve"> </w:t>
      </w:r>
      <w:r w:rsidRPr="00D54009">
        <w:rPr>
          <w:rFonts w:cs="Arial" w:hint="cs"/>
          <w:rtl/>
        </w:rPr>
        <w:t>שגם</w:t>
      </w:r>
      <w:r w:rsidRPr="00D54009">
        <w:rPr>
          <w:rFonts w:cs="Arial"/>
          <w:rtl/>
        </w:rPr>
        <w:t xml:space="preserve"> </w:t>
      </w:r>
      <w:r w:rsidRPr="00D54009">
        <w:rPr>
          <w:rFonts w:cs="Arial" w:hint="cs"/>
          <w:rtl/>
        </w:rPr>
        <w:t>הם</w:t>
      </w:r>
      <w:r w:rsidRPr="00D54009">
        <w:rPr>
          <w:rFonts w:cs="Arial"/>
          <w:rtl/>
        </w:rPr>
        <w:t xml:space="preserve"> </w:t>
      </w:r>
      <w:r w:rsidRPr="00D54009">
        <w:rPr>
          <w:rFonts w:cs="Arial" w:hint="cs"/>
          <w:rtl/>
        </w:rPr>
        <w:t>יושבין</w:t>
      </w:r>
      <w:r w:rsidRPr="00D54009">
        <w:rPr>
          <w:rFonts w:cs="Arial"/>
          <w:rtl/>
        </w:rPr>
        <w:t xml:space="preserve"> </w:t>
      </w:r>
      <w:r w:rsidRPr="00D54009">
        <w:rPr>
          <w:rFonts w:cs="Arial" w:hint="cs"/>
          <w:rtl/>
        </w:rPr>
        <w:t>מבע</w:t>
      </w:r>
      <w:r w:rsidRPr="00D54009">
        <w:rPr>
          <w:rFonts w:cs="Arial"/>
          <w:rtl/>
        </w:rPr>
        <w:t>"</w:t>
      </w:r>
      <w:r w:rsidRPr="00D54009">
        <w:rPr>
          <w:rFonts w:cs="Arial" w:hint="cs"/>
          <w:rtl/>
        </w:rPr>
        <w:t>י</w:t>
      </w:r>
      <w:r>
        <w:rPr>
          <w:rFonts w:cs="Arial" w:hint="cs"/>
          <w:rtl/>
        </w:rPr>
        <w:t>,</w:t>
      </w:r>
      <w:r w:rsidRPr="00D54009">
        <w:rPr>
          <w:rFonts w:cs="Arial"/>
          <w:rtl/>
        </w:rPr>
        <w:t xml:space="preserve"> </w:t>
      </w:r>
      <w:r w:rsidRPr="00D54009">
        <w:rPr>
          <w:rFonts w:cs="Arial" w:hint="cs"/>
          <w:rtl/>
        </w:rPr>
        <w:t>א</w:t>
      </w:r>
      <w:r w:rsidRPr="00D54009">
        <w:rPr>
          <w:rFonts w:cs="Arial"/>
          <w:rtl/>
        </w:rPr>
        <w:t>"</w:t>
      </w:r>
      <w:r w:rsidRPr="00D54009">
        <w:rPr>
          <w:rFonts w:cs="Arial" w:hint="cs"/>
          <w:rtl/>
        </w:rPr>
        <w:t>נ</w:t>
      </w:r>
      <w:r w:rsidRPr="00D54009">
        <w:rPr>
          <w:rFonts w:cs="Arial"/>
          <w:rtl/>
        </w:rPr>
        <w:t xml:space="preserve"> </w:t>
      </w:r>
      <w:r w:rsidRPr="00D54009">
        <w:rPr>
          <w:rFonts w:cs="Arial" w:hint="cs"/>
          <w:rtl/>
        </w:rPr>
        <w:t>אירנא</w:t>
      </w:r>
      <w:r>
        <w:rPr>
          <w:rFonts w:cs="Arial" w:hint="cs"/>
          <w:rtl/>
        </w:rPr>
        <w:t>.</w:t>
      </w:r>
      <w:r w:rsidRPr="00D54009">
        <w:rPr>
          <w:rFonts w:cs="Arial"/>
          <w:rtl/>
        </w:rPr>
        <w:t xml:space="preserve"> </w:t>
      </w:r>
      <w:r w:rsidRPr="00D54009">
        <w:rPr>
          <w:rFonts w:cs="Arial" w:hint="cs"/>
          <w:rtl/>
        </w:rPr>
        <w:t>פירוש</w:t>
      </w:r>
      <w:r>
        <w:rPr>
          <w:rFonts w:cs="Arial" w:hint="cs"/>
          <w:rtl/>
        </w:rPr>
        <w:t>,</w:t>
      </w:r>
      <w:r w:rsidRPr="00D54009">
        <w:rPr>
          <w:rFonts w:cs="Arial"/>
          <w:rtl/>
        </w:rPr>
        <w:t xml:space="preserve"> </w:t>
      </w:r>
      <w:r w:rsidRPr="00D54009">
        <w:rPr>
          <w:rFonts w:cs="Arial" w:hint="cs"/>
          <w:rtl/>
        </w:rPr>
        <w:t>עשב</w:t>
      </w:r>
      <w:r w:rsidRPr="00D54009">
        <w:rPr>
          <w:rFonts w:cs="Arial"/>
          <w:rtl/>
        </w:rPr>
        <w:t xml:space="preserve"> </w:t>
      </w:r>
      <w:r w:rsidRPr="00D54009">
        <w:rPr>
          <w:rFonts w:cs="Arial" w:hint="cs"/>
          <w:rtl/>
        </w:rPr>
        <w:t>שעליו</w:t>
      </w:r>
      <w:r w:rsidRPr="00D54009">
        <w:rPr>
          <w:rFonts w:cs="Arial"/>
          <w:rtl/>
        </w:rPr>
        <w:t xml:space="preserve"> </w:t>
      </w:r>
      <w:r w:rsidRPr="00D54009">
        <w:rPr>
          <w:rFonts w:cs="Arial" w:hint="cs"/>
          <w:rtl/>
        </w:rPr>
        <w:t>נוטין</w:t>
      </w:r>
      <w:r w:rsidRPr="00D54009">
        <w:rPr>
          <w:rFonts w:cs="Arial"/>
          <w:rtl/>
        </w:rPr>
        <w:t xml:space="preserve"> </w:t>
      </w:r>
      <w:r w:rsidRPr="00D54009">
        <w:rPr>
          <w:rFonts w:cs="Arial" w:hint="cs"/>
          <w:rtl/>
        </w:rPr>
        <w:t>לרוח</w:t>
      </w:r>
      <w:r w:rsidRPr="00D54009">
        <w:rPr>
          <w:rFonts w:cs="Arial"/>
          <w:rtl/>
        </w:rPr>
        <w:t xml:space="preserve"> </w:t>
      </w:r>
      <w:r w:rsidRPr="00D54009">
        <w:rPr>
          <w:rFonts w:cs="Arial" w:hint="cs"/>
          <w:rtl/>
        </w:rPr>
        <w:t>השמש</w:t>
      </w:r>
      <w:r>
        <w:rPr>
          <w:rFonts w:cs="Arial" w:hint="cs"/>
          <w:rtl/>
        </w:rPr>
        <w:t>,</w:t>
      </w:r>
      <w:r w:rsidRPr="00D54009">
        <w:rPr>
          <w:rFonts w:cs="Arial"/>
          <w:rtl/>
        </w:rPr>
        <w:t xml:space="preserve"> </w:t>
      </w:r>
      <w:r w:rsidRPr="00D54009">
        <w:rPr>
          <w:rFonts w:cs="Arial" w:hint="cs"/>
          <w:rtl/>
        </w:rPr>
        <w:t>שחרית</w:t>
      </w:r>
      <w:r w:rsidRPr="00D54009">
        <w:rPr>
          <w:rFonts w:cs="Arial"/>
          <w:rtl/>
        </w:rPr>
        <w:t xml:space="preserve"> </w:t>
      </w:r>
      <w:r w:rsidRPr="00D54009">
        <w:rPr>
          <w:rFonts w:cs="Arial" w:hint="cs"/>
          <w:rtl/>
        </w:rPr>
        <w:t>נוטין</w:t>
      </w:r>
      <w:r w:rsidRPr="00D54009">
        <w:rPr>
          <w:rFonts w:cs="Arial"/>
          <w:rtl/>
        </w:rPr>
        <w:t xml:space="preserve"> </w:t>
      </w:r>
      <w:r w:rsidRPr="00D54009">
        <w:rPr>
          <w:rFonts w:cs="Arial" w:hint="cs"/>
          <w:rtl/>
        </w:rPr>
        <w:t>למזרח</w:t>
      </w:r>
      <w:r>
        <w:rPr>
          <w:rFonts w:cs="Arial" w:hint="cs"/>
          <w:rtl/>
        </w:rPr>
        <w:t>,</w:t>
      </w:r>
      <w:r w:rsidRPr="00D54009">
        <w:rPr>
          <w:rFonts w:cs="Arial"/>
          <w:rtl/>
        </w:rPr>
        <w:t xml:space="preserve"> </w:t>
      </w:r>
      <w:r w:rsidRPr="00D54009">
        <w:rPr>
          <w:rFonts w:cs="Arial" w:hint="cs"/>
          <w:rtl/>
        </w:rPr>
        <w:t>בחצי</w:t>
      </w:r>
      <w:r w:rsidRPr="00D54009">
        <w:rPr>
          <w:rFonts w:cs="Arial"/>
          <w:rtl/>
        </w:rPr>
        <w:t xml:space="preserve"> </w:t>
      </w:r>
      <w:r w:rsidRPr="00D54009">
        <w:rPr>
          <w:rFonts w:cs="Arial" w:hint="cs"/>
          <w:rtl/>
        </w:rPr>
        <w:t>היום</w:t>
      </w:r>
      <w:r w:rsidRPr="00D54009">
        <w:rPr>
          <w:rFonts w:cs="Arial"/>
          <w:rtl/>
        </w:rPr>
        <w:t xml:space="preserve"> </w:t>
      </w:r>
      <w:r w:rsidRPr="00D54009">
        <w:rPr>
          <w:rFonts w:cs="Arial" w:hint="cs"/>
          <w:rtl/>
        </w:rPr>
        <w:t>זקופין</w:t>
      </w:r>
      <w:r>
        <w:rPr>
          <w:rFonts w:cs="Arial" w:hint="cs"/>
          <w:rtl/>
        </w:rPr>
        <w:t>,</w:t>
      </w:r>
      <w:r w:rsidRPr="00D54009">
        <w:rPr>
          <w:rFonts w:cs="Arial"/>
          <w:rtl/>
        </w:rPr>
        <w:t xml:space="preserve"> </w:t>
      </w:r>
      <w:r w:rsidRPr="00D54009">
        <w:rPr>
          <w:rFonts w:cs="Arial" w:hint="cs"/>
          <w:rtl/>
        </w:rPr>
        <w:t>ערבית</w:t>
      </w:r>
      <w:r w:rsidRPr="00D54009">
        <w:rPr>
          <w:rFonts w:cs="Arial"/>
          <w:rtl/>
        </w:rPr>
        <w:t xml:space="preserve"> </w:t>
      </w:r>
      <w:r w:rsidRPr="00D54009">
        <w:rPr>
          <w:rFonts w:cs="Arial" w:hint="cs"/>
          <w:rtl/>
        </w:rPr>
        <w:t>נוטין</w:t>
      </w:r>
      <w:r w:rsidRPr="00D54009">
        <w:rPr>
          <w:rFonts w:cs="Arial"/>
          <w:rtl/>
        </w:rPr>
        <w:t xml:space="preserve"> </w:t>
      </w:r>
      <w:r w:rsidRPr="00D54009">
        <w:rPr>
          <w:rFonts w:cs="Arial" w:hint="cs"/>
          <w:rtl/>
        </w:rPr>
        <w:t>למערב</w:t>
      </w:r>
      <w:r>
        <w:rPr>
          <w:rFonts w:cs="Arial" w:hint="cs"/>
          <w:rtl/>
        </w:rPr>
        <w:t xml:space="preserve">. </w:t>
      </w:r>
      <w:r w:rsidRPr="0056384F">
        <w:rPr>
          <w:rFonts w:cs="Arial" w:hint="cs"/>
          <w:color w:val="E36C0A" w:themeColor="accent6" w:themeShade="BF"/>
          <w:rtl/>
        </w:rPr>
        <w:t>(וכ"פ בשו"ע)</w:t>
      </w:r>
    </w:p>
    <w:p w14:paraId="374CF466"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E48AEC5" w14:textId="77777777" w:rsidR="004B2E7C" w:rsidRDefault="004B2E7C" w:rsidP="00434A6A">
      <w:pPr>
        <w:rPr>
          <w:rFonts w:asciiTheme="minorBidi" w:hAnsiTheme="minorBidi"/>
          <w:rtl/>
        </w:rPr>
      </w:pPr>
      <w:r w:rsidRPr="00CC2350">
        <w:rPr>
          <w:rFonts w:asciiTheme="minorBidi" w:hAnsiTheme="minorBidi" w:cs="Arial"/>
          <w:rtl/>
        </w:rPr>
        <w:t>מי שאינו בקי בשיעור זה, ידליק בעוד שהשמש בראש האילנות</w:t>
      </w:r>
      <w:r>
        <w:rPr>
          <w:rFonts w:asciiTheme="minorBidi" w:hAnsiTheme="minorBidi" w:cs="Arial" w:hint="cs"/>
          <w:rtl/>
        </w:rPr>
        <w:t>.</w:t>
      </w:r>
      <w:r w:rsidRPr="00CC2350">
        <w:rPr>
          <w:rFonts w:asciiTheme="minorBidi" w:hAnsiTheme="minorBidi" w:cs="Arial"/>
          <w:rtl/>
        </w:rPr>
        <w:t xml:space="preserve"> ואם הוא יום המעונן, ידליק כשהתרנגולין יושבים על הקורה מבע</w:t>
      </w:r>
      <w:r>
        <w:rPr>
          <w:rFonts w:asciiTheme="minorBidi" w:hAnsiTheme="minorBidi" w:cs="Arial" w:hint="cs"/>
          <w:rtl/>
        </w:rPr>
        <w:t xml:space="preserve">וד </w:t>
      </w:r>
      <w:r w:rsidRPr="00CC2350">
        <w:rPr>
          <w:rFonts w:asciiTheme="minorBidi" w:hAnsiTheme="minorBidi" w:cs="Arial"/>
          <w:rtl/>
        </w:rPr>
        <w:t>י</w:t>
      </w:r>
      <w:r>
        <w:rPr>
          <w:rFonts w:asciiTheme="minorBidi" w:hAnsiTheme="minorBidi" w:cs="Arial" w:hint="cs"/>
          <w:rtl/>
        </w:rPr>
        <w:t>ום</w:t>
      </w:r>
      <w:r w:rsidRPr="00CC2350">
        <w:rPr>
          <w:rFonts w:asciiTheme="minorBidi" w:hAnsiTheme="minorBidi" w:cs="Arial"/>
          <w:rtl/>
        </w:rPr>
        <w:t>. ואם הוא בשדה, שאין שם תרנגולים, ידליק כשהעורבים יושבים מבע</w:t>
      </w:r>
      <w:r>
        <w:rPr>
          <w:rFonts w:asciiTheme="minorBidi" w:hAnsiTheme="minorBidi" w:cs="Arial" w:hint="cs"/>
          <w:rtl/>
        </w:rPr>
        <w:t xml:space="preserve">וד </w:t>
      </w:r>
      <w:r w:rsidRPr="00CC2350">
        <w:rPr>
          <w:rFonts w:asciiTheme="minorBidi" w:hAnsiTheme="minorBidi" w:cs="Arial"/>
          <w:rtl/>
        </w:rPr>
        <w:t>י</w:t>
      </w:r>
      <w:r>
        <w:rPr>
          <w:rFonts w:asciiTheme="minorBidi" w:hAnsiTheme="minorBidi" w:cs="Arial" w:hint="cs"/>
          <w:rtl/>
        </w:rPr>
        <w:t>ום</w:t>
      </w:r>
      <w:r w:rsidRPr="00CC2350">
        <w:rPr>
          <w:rFonts w:asciiTheme="minorBidi" w:hAnsiTheme="minorBidi" w:cs="Arial"/>
          <w:rtl/>
        </w:rPr>
        <w:t xml:space="preserve">. </w:t>
      </w:r>
    </w:p>
    <w:p w14:paraId="65657A81" w14:textId="77777777" w:rsidR="004B2E7C" w:rsidRPr="00CC2350" w:rsidRDefault="004B2E7C" w:rsidP="00434A6A">
      <w:pPr>
        <w:rPr>
          <w:rFonts w:asciiTheme="minorBidi" w:hAnsiTheme="minorBidi"/>
          <w:rtl/>
        </w:rPr>
      </w:pPr>
    </w:p>
    <w:p w14:paraId="011996E3" w14:textId="77777777" w:rsidR="004B2E7C" w:rsidRDefault="004B2E7C" w:rsidP="00434A6A">
      <w:pPr>
        <w:pStyle w:val="2"/>
        <w:rPr>
          <w:rtl/>
        </w:rPr>
      </w:pPr>
      <w:r w:rsidRPr="00CC2350">
        <w:rPr>
          <w:rtl/>
        </w:rPr>
        <w:t>סעיף ד</w:t>
      </w:r>
      <w:r>
        <w:rPr>
          <w:rFonts w:hint="cs"/>
          <w:rtl/>
        </w:rPr>
        <w:t>: קבלת השבת באמירת 'ברכו'.</w:t>
      </w:r>
    </w:p>
    <w:p w14:paraId="4DBE24C8" w14:textId="77777777" w:rsidR="004B2E7C" w:rsidRPr="004D7779" w:rsidRDefault="004B2E7C" w:rsidP="00434A6A">
      <w:pPr>
        <w:rPr>
          <w:u w:val="single"/>
          <w:rtl/>
        </w:rPr>
      </w:pPr>
      <w:r w:rsidRPr="004D7779">
        <w:rPr>
          <w:rFonts w:hint="cs"/>
          <w:u w:val="single"/>
          <w:rtl/>
        </w:rPr>
        <w:t>קבלת השבת באמירת 'ברכו':</w:t>
      </w:r>
    </w:p>
    <w:p w14:paraId="1295EDD8" w14:textId="77777777" w:rsidR="004B2E7C" w:rsidRPr="00684CAD" w:rsidRDefault="004B2E7C" w:rsidP="00FF2D21">
      <w:pPr>
        <w:pStyle w:val="aa"/>
        <w:numPr>
          <w:ilvl w:val="0"/>
          <w:numId w:val="87"/>
        </w:numPr>
        <w:rPr>
          <w:rtl/>
        </w:rPr>
      </w:pPr>
      <w:r w:rsidRPr="0056384F">
        <w:rPr>
          <w:rFonts w:cs="Arial" w:hint="cs"/>
          <w:rtl/>
        </w:rPr>
        <w:t>מרדכי</w:t>
      </w:r>
      <w:r>
        <w:rPr>
          <w:rStyle w:val="a9"/>
          <w:rFonts w:cs="Arial"/>
          <w:rtl/>
        </w:rPr>
        <w:footnoteReference w:id="607"/>
      </w:r>
      <w:r w:rsidRPr="0056384F">
        <w:rPr>
          <w:rFonts w:cs="Arial"/>
          <w:rtl/>
        </w:rPr>
        <w:t xml:space="preserve"> </w:t>
      </w:r>
      <w:r w:rsidRPr="0056384F">
        <w:rPr>
          <w:rFonts w:cs="Arial"/>
          <w:sz w:val="16"/>
          <w:szCs w:val="16"/>
          <w:rtl/>
        </w:rPr>
        <w:t>(</w:t>
      </w:r>
      <w:r w:rsidRPr="0056384F">
        <w:rPr>
          <w:rFonts w:cs="Arial" w:hint="cs"/>
          <w:sz w:val="16"/>
          <w:szCs w:val="16"/>
          <w:rtl/>
        </w:rPr>
        <w:t>פ</w:t>
      </w:r>
      <w:r w:rsidRPr="0056384F">
        <w:rPr>
          <w:rFonts w:cs="Arial"/>
          <w:sz w:val="16"/>
          <w:szCs w:val="16"/>
          <w:rtl/>
        </w:rPr>
        <w:t>"</w:t>
      </w:r>
      <w:r w:rsidRPr="0056384F">
        <w:rPr>
          <w:rFonts w:cs="Arial" w:hint="cs"/>
          <w:sz w:val="16"/>
          <w:szCs w:val="16"/>
          <w:rtl/>
        </w:rPr>
        <w:t>ב</w:t>
      </w:r>
      <w:r w:rsidRPr="0056384F">
        <w:rPr>
          <w:rFonts w:cs="Arial"/>
          <w:sz w:val="16"/>
          <w:szCs w:val="16"/>
          <w:rtl/>
        </w:rPr>
        <w:t xml:space="preserve"> </w:t>
      </w:r>
      <w:r w:rsidRPr="0056384F">
        <w:rPr>
          <w:rFonts w:cs="Arial" w:hint="cs"/>
          <w:sz w:val="16"/>
          <w:szCs w:val="16"/>
          <w:rtl/>
        </w:rPr>
        <w:t>סי</w:t>
      </w:r>
      <w:r w:rsidRPr="0056384F">
        <w:rPr>
          <w:rFonts w:cs="Arial"/>
          <w:sz w:val="16"/>
          <w:szCs w:val="16"/>
          <w:rtl/>
        </w:rPr>
        <w:t xml:space="preserve">' </w:t>
      </w:r>
      <w:r w:rsidRPr="0056384F">
        <w:rPr>
          <w:rFonts w:cs="Arial" w:hint="cs"/>
          <w:sz w:val="16"/>
          <w:szCs w:val="16"/>
          <w:rtl/>
        </w:rPr>
        <w:t>רצ</w:t>
      </w:r>
      <w:r w:rsidRPr="0056384F">
        <w:rPr>
          <w:rFonts w:cs="Arial"/>
          <w:sz w:val="16"/>
          <w:szCs w:val="16"/>
          <w:rtl/>
        </w:rPr>
        <w:t>)</w:t>
      </w:r>
      <w:r>
        <w:rPr>
          <w:rFonts w:cs="Arial" w:hint="cs"/>
          <w:rtl/>
        </w:rPr>
        <w:t>-</w:t>
      </w:r>
      <w:r w:rsidRPr="0056384F">
        <w:rPr>
          <w:rFonts w:cs="Arial"/>
          <w:rtl/>
        </w:rPr>
        <w:t xml:space="preserve"> </w:t>
      </w:r>
      <w:r w:rsidRPr="004D7779">
        <w:rPr>
          <w:rFonts w:cs="Arial" w:hint="cs"/>
          <w:rtl/>
        </w:rPr>
        <w:t>אחר</w:t>
      </w:r>
      <w:r w:rsidRPr="004D7779">
        <w:rPr>
          <w:rFonts w:cs="Arial"/>
          <w:rtl/>
        </w:rPr>
        <w:t xml:space="preserve"> </w:t>
      </w:r>
      <w:r w:rsidRPr="004D7779">
        <w:rPr>
          <w:rFonts w:cs="Arial" w:hint="cs"/>
          <w:rtl/>
        </w:rPr>
        <w:t>עניית</w:t>
      </w:r>
      <w:r w:rsidRPr="004D7779">
        <w:rPr>
          <w:rFonts w:cs="Arial"/>
          <w:rtl/>
        </w:rPr>
        <w:t xml:space="preserve"> </w:t>
      </w:r>
      <w:r w:rsidRPr="004D7779">
        <w:rPr>
          <w:rFonts w:cs="Arial" w:hint="cs"/>
          <w:rtl/>
        </w:rPr>
        <w:t>ברכו,</w:t>
      </w:r>
      <w:r w:rsidRPr="004D7779">
        <w:rPr>
          <w:rFonts w:cs="Arial"/>
          <w:rtl/>
        </w:rPr>
        <w:t xml:space="preserve"> </w:t>
      </w:r>
      <w:r w:rsidRPr="004D7779">
        <w:rPr>
          <w:rFonts w:cs="Arial" w:hint="cs"/>
          <w:rtl/>
        </w:rPr>
        <w:t>אף</w:t>
      </w:r>
      <w:r w:rsidRPr="004D7779">
        <w:rPr>
          <w:rFonts w:cs="Arial"/>
          <w:rtl/>
        </w:rPr>
        <w:t xml:space="preserve"> </w:t>
      </w:r>
      <w:r w:rsidRPr="004D7779">
        <w:rPr>
          <w:rFonts w:cs="Arial" w:hint="cs"/>
          <w:rtl/>
        </w:rPr>
        <w:t>על</w:t>
      </w:r>
      <w:r w:rsidRPr="004D7779">
        <w:rPr>
          <w:rFonts w:cs="Arial"/>
          <w:rtl/>
        </w:rPr>
        <w:t xml:space="preserve"> </w:t>
      </w:r>
      <w:r w:rsidRPr="004D7779">
        <w:rPr>
          <w:rFonts w:cs="Arial" w:hint="cs"/>
          <w:rtl/>
        </w:rPr>
        <w:t>פי</w:t>
      </w:r>
      <w:r w:rsidRPr="004D7779">
        <w:rPr>
          <w:rFonts w:cs="Arial"/>
          <w:rtl/>
        </w:rPr>
        <w:t xml:space="preserve"> </w:t>
      </w:r>
      <w:r w:rsidRPr="004D7779">
        <w:rPr>
          <w:rFonts w:cs="Arial" w:hint="cs"/>
          <w:rtl/>
        </w:rPr>
        <w:t>שעדיין</w:t>
      </w:r>
      <w:r w:rsidRPr="004D7779">
        <w:rPr>
          <w:rFonts w:cs="Arial"/>
          <w:rtl/>
        </w:rPr>
        <w:t xml:space="preserve"> </w:t>
      </w:r>
      <w:r w:rsidRPr="004D7779">
        <w:rPr>
          <w:rFonts w:cs="Arial" w:hint="cs"/>
          <w:rtl/>
        </w:rPr>
        <w:t>יום</w:t>
      </w:r>
      <w:r w:rsidRPr="004D7779">
        <w:rPr>
          <w:rFonts w:cs="Arial"/>
          <w:rtl/>
        </w:rPr>
        <w:t xml:space="preserve"> </w:t>
      </w:r>
      <w:r w:rsidRPr="004D7779">
        <w:rPr>
          <w:rFonts w:cs="Arial" w:hint="cs"/>
          <w:rtl/>
        </w:rPr>
        <w:t>הוא</w:t>
      </w:r>
      <w:r w:rsidRPr="004D7779">
        <w:rPr>
          <w:rFonts w:cs="Arial"/>
          <w:rtl/>
        </w:rPr>
        <w:t xml:space="preserve"> </w:t>
      </w:r>
      <w:r w:rsidRPr="004D7779">
        <w:rPr>
          <w:rFonts w:cs="Arial" w:hint="cs"/>
          <w:rtl/>
        </w:rPr>
        <w:t>- אין</w:t>
      </w:r>
      <w:r w:rsidRPr="004D7779">
        <w:rPr>
          <w:rFonts w:cs="Arial"/>
          <w:rtl/>
        </w:rPr>
        <w:t xml:space="preserve"> </w:t>
      </w:r>
      <w:r w:rsidRPr="004D7779">
        <w:rPr>
          <w:rFonts w:cs="Arial" w:hint="cs"/>
          <w:rtl/>
        </w:rPr>
        <w:t>מערבין</w:t>
      </w:r>
      <w:r>
        <w:rPr>
          <w:rStyle w:val="a9"/>
          <w:rFonts w:cs="Arial"/>
          <w:rtl/>
        </w:rPr>
        <w:footnoteReference w:id="608"/>
      </w:r>
      <w:r>
        <w:rPr>
          <w:rFonts w:cs="Arial" w:hint="cs"/>
          <w:rtl/>
        </w:rPr>
        <w:t xml:space="preserve">. </w:t>
      </w:r>
      <w:r w:rsidRPr="0056384F">
        <w:rPr>
          <w:rFonts w:cs="Arial" w:hint="cs"/>
          <w:color w:val="E36C0A" w:themeColor="accent6" w:themeShade="BF"/>
          <w:rtl/>
        </w:rPr>
        <w:t>(וכ"פ בשו"ע)</w:t>
      </w:r>
    </w:p>
    <w:p w14:paraId="1CD2269A"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51F9F16" w14:textId="77777777" w:rsidR="004B2E7C" w:rsidRDefault="004B2E7C" w:rsidP="00434A6A">
      <w:pPr>
        <w:rPr>
          <w:rFonts w:asciiTheme="minorBidi" w:hAnsiTheme="minorBidi"/>
          <w:rtl/>
        </w:rPr>
      </w:pPr>
      <w:r w:rsidRPr="00CC2350">
        <w:rPr>
          <w:rFonts w:asciiTheme="minorBidi" w:hAnsiTheme="minorBidi" w:cs="Arial"/>
          <w:rtl/>
        </w:rPr>
        <w:t>אחר עניית ברכו, אף על פי שעדיין יום הוא, אין מערבין ואין טומנין משום דהוא קבליה לשבת עליה</w:t>
      </w:r>
      <w:r>
        <w:rPr>
          <w:rFonts w:asciiTheme="minorBidi" w:hAnsiTheme="minorBidi" w:cs="Arial" w:hint="cs"/>
          <w:rtl/>
        </w:rPr>
        <w:t>.</w:t>
      </w:r>
      <w:r w:rsidRPr="00CC2350">
        <w:rPr>
          <w:rFonts w:asciiTheme="minorBidi" w:hAnsiTheme="minorBidi" w:cs="Arial"/>
          <w:rtl/>
        </w:rPr>
        <w:t xml:space="preserve"> ולדידן הוי אמירת מזמור שיר ליום השבת כעניית ברכו</w:t>
      </w:r>
      <w:r>
        <w:rPr>
          <w:rStyle w:val="a9"/>
          <w:rFonts w:asciiTheme="minorBidi" w:hAnsiTheme="minorBidi" w:cs="Arial"/>
          <w:rtl/>
        </w:rPr>
        <w:footnoteReference w:id="609"/>
      </w:r>
      <w:r w:rsidRPr="00CC2350">
        <w:rPr>
          <w:rFonts w:asciiTheme="minorBidi" w:hAnsiTheme="minorBidi" w:cs="Arial"/>
          <w:rtl/>
        </w:rPr>
        <w:t xml:space="preserve"> לדידהו.</w:t>
      </w:r>
    </w:p>
    <w:p w14:paraId="6926F139" w14:textId="77777777" w:rsidR="004B2E7C" w:rsidRDefault="004B2E7C" w:rsidP="00434A6A">
      <w:pPr>
        <w:pStyle w:val="1"/>
        <w:rPr>
          <w:rtl/>
        </w:rPr>
        <w:sectPr w:rsidR="004B2E7C" w:rsidSect="00BD29B1">
          <w:headerReference w:type="default" r:id="rId32"/>
          <w:footnotePr>
            <w:numRestart w:val="eachSect"/>
          </w:footnotePr>
          <w:pgSz w:w="11906" w:h="16838"/>
          <w:pgMar w:top="720" w:right="1134" w:bottom="720" w:left="1134" w:header="0" w:footer="0" w:gutter="0"/>
          <w:cols w:space="720"/>
          <w:bidi/>
          <w:rtlGutter/>
          <w:docGrid w:linePitch="360"/>
        </w:sectPr>
      </w:pPr>
    </w:p>
    <w:p w14:paraId="1600F692" w14:textId="77777777" w:rsidR="004B2E7C" w:rsidRPr="00CC2350" w:rsidRDefault="004B2E7C" w:rsidP="00434A6A">
      <w:pPr>
        <w:pStyle w:val="1"/>
        <w:rPr>
          <w:rtl/>
        </w:rPr>
      </w:pPr>
      <w:r>
        <w:rPr>
          <w:rFonts w:hint="cs"/>
          <w:rtl/>
        </w:rPr>
        <w:t xml:space="preserve">סימן רסב: </w:t>
      </w:r>
      <w:r w:rsidRPr="00CC2350">
        <w:rPr>
          <w:rtl/>
        </w:rPr>
        <w:t xml:space="preserve">לקדש השבת בשלחן ערוך ובכסות נקיה, ובו ג' סעיפים. </w:t>
      </w:r>
    </w:p>
    <w:p w14:paraId="3DFFF0DE" w14:textId="77777777" w:rsidR="004B2E7C" w:rsidRDefault="004B2E7C" w:rsidP="00434A6A">
      <w:pPr>
        <w:pStyle w:val="2"/>
        <w:rPr>
          <w:rtl/>
        </w:rPr>
      </w:pPr>
      <w:r w:rsidRPr="00CC2350">
        <w:rPr>
          <w:rtl/>
        </w:rPr>
        <w:t>סעיף א</w:t>
      </w:r>
      <w:r>
        <w:rPr>
          <w:rFonts w:hint="cs"/>
          <w:rtl/>
        </w:rPr>
        <w:t>: סידור כל ענייני הבית לפני בואו מבית הכנסת.</w:t>
      </w:r>
    </w:p>
    <w:p w14:paraId="1EC84679" w14:textId="77777777" w:rsidR="004B2E7C" w:rsidRDefault="004B2E7C" w:rsidP="00434A6A">
      <w:pPr>
        <w:rPr>
          <w:rtl/>
        </w:rPr>
      </w:pPr>
      <w:r w:rsidRPr="00565331">
        <w:rPr>
          <w:rFonts w:cs="Arial" w:hint="cs"/>
          <w:b/>
          <w:bCs/>
          <w:rtl/>
        </w:rPr>
        <w:t xml:space="preserve">שבת </w:t>
      </w:r>
      <w:r w:rsidRPr="00762875">
        <w:rPr>
          <w:rFonts w:cs="Arial" w:hint="cs"/>
          <w:b/>
          <w:bCs/>
          <w:sz w:val="16"/>
          <w:szCs w:val="16"/>
          <w:rtl/>
        </w:rPr>
        <w:t xml:space="preserve">(פ' כל כתבי) </w:t>
      </w:r>
      <w:r w:rsidRPr="00565331">
        <w:rPr>
          <w:rFonts w:cs="Arial" w:hint="cs"/>
          <w:b/>
          <w:bCs/>
          <w:rtl/>
        </w:rPr>
        <w:t xml:space="preserve">קיט ע"ב: </w:t>
      </w:r>
      <w:r w:rsidRPr="00565331">
        <w:rPr>
          <w:rFonts w:cs="Arial" w:hint="cs"/>
          <w:rtl/>
        </w:rPr>
        <w:t>תניא</w:t>
      </w:r>
      <w:r w:rsidRPr="00565331">
        <w:rPr>
          <w:rFonts w:cs="Arial"/>
          <w:rtl/>
        </w:rPr>
        <w:t xml:space="preserve">, </w:t>
      </w:r>
      <w:r w:rsidRPr="00565331">
        <w:rPr>
          <w:rFonts w:cs="Arial" w:hint="cs"/>
          <w:u w:val="single"/>
          <w:rtl/>
        </w:rPr>
        <w:t>רבי</w:t>
      </w:r>
      <w:r w:rsidRPr="00565331">
        <w:rPr>
          <w:rFonts w:cs="Arial"/>
          <w:u w:val="single"/>
          <w:rtl/>
        </w:rPr>
        <w:t xml:space="preserve"> </w:t>
      </w:r>
      <w:r w:rsidRPr="00565331">
        <w:rPr>
          <w:rFonts w:cs="Arial" w:hint="cs"/>
          <w:u w:val="single"/>
          <w:rtl/>
        </w:rPr>
        <w:t>יוסי</w:t>
      </w:r>
      <w:r w:rsidRPr="00565331">
        <w:rPr>
          <w:rFonts w:cs="Arial"/>
          <w:u w:val="single"/>
          <w:rtl/>
        </w:rPr>
        <w:t xml:space="preserve"> </w:t>
      </w:r>
      <w:r w:rsidRPr="00565331">
        <w:rPr>
          <w:rFonts w:cs="Arial" w:hint="cs"/>
          <w:u w:val="single"/>
          <w:rtl/>
        </w:rPr>
        <w:t>בר</w:t>
      </w:r>
      <w:r w:rsidRPr="00565331">
        <w:rPr>
          <w:rFonts w:cs="Arial"/>
          <w:u w:val="single"/>
          <w:rtl/>
        </w:rPr>
        <w:t xml:space="preserve"> </w:t>
      </w:r>
      <w:r w:rsidRPr="00565331">
        <w:rPr>
          <w:rFonts w:cs="Arial" w:hint="cs"/>
          <w:u w:val="single"/>
          <w:rtl/>
        </w:rPr>
        <w:t>יהודה</w:t>
      </w:r>
      <w:r w:rsidRPr="00565331">
        <w:rPr>
          <w:rFonts w:cs="Arial"/>
          <w:u w:val="single"/>
          <w:rtl/>
        </w:rPr>
        <w:t xml:space="preserve"> </w:t>
      </w:r>
      <w:r w:rsidRPr="00565331">
        <w:rPr>
          <w:rFonts w:cs="Arial" w:hint="cs"/>
          <w:u w:val="single"/>
          <w:rtl/>
        </w:rPr>
        <w:t>אומר</w:t>
      </w:r>
      <w:r w:rsidRPr="00565331">
        <w:rPr>
          <w:rFonts w:cs="Arial"/>
          <w:rtl/>
        </w:rPr>
        <w:t xml:space="preserve">: </w:t>
      </w:r>
      <w:r w:rsidRPr="00565331">
        <w:rPr>
          <w:rFonts w:cs="Arial" w:hint="cs"/>
          <w:rtl/>
        </w:rPr>
        <w:t>שני</w:t>
      </w:r>
      <w:r w:rsidRPr="00565331">
        <w:rPr>
          <w:rFonts w:cs="Arial"/>
          <w:rtl/>
        </w:rPr>
        <w:t xml:space="preserve"> </w:t>
      </w:r>
      <w:r w:rsidRPr="00565331">
        <w:rPr>
          <w:rFonts w:cs="Arial" w:hint="cs"/>
          <w:rtl/>
        </w:rPr>
        <w:t>מלאכי</w:t>
      </w:r>
      <w:r w:rsidRPr="00565331">
        <w:rPr>
          <w:rFonts w:cs="Arial"/>
          <w:rtl/>
        </w:rPr>
        <w:t xml:space="preserve"> </w:t>
      </w:r>
      <w:r w:rsidRPr="00565331">
        <w:rPr>
          <w:rFonts w:cs="Arial" w:hint="cs"/>
          <w:rtl/>
        </w:rPr>
        <w:t>השרת</w:t>
      </w:r>
      <w:r w:rsidRPr="00565331">
        <w:rPr>
          <w:rFonts w:cs="Arial"/>
          <w:rtl/>
        </w:rPr>
        <w:t xml:space="preserve"> </w:t>
      </w:r>
      <w:r w:rsidRPr="00565331">
        <w:rPr>
          <w:rFonts w:cs="Arial" w:hint="cs"/>
          <w:rtl/>
        </w:rPr>
        <w:t>מלוין</w:t>
      </w:r>
      <w:r w:rsidRPr="00565331">
        <w:rPr>
          <w:rFonts w:cs="Arial"/>
          <w:rtl/>
        </w:rPr>
        <w:t xml:space="preserve"> </w:t>
      </w:r>
      <w:r w:rsidRPr="00565331">
        <w:rPr>
          <w:rFonts w:cs="Arial" w:hint="cs"/>
          <w:rtl/>
        </w:rPr>
        <w:t>לו</w:t>
      </w:r>
      <w:r w:rsidRPr="00565331">
        <w:rPr>
          <w:rFonts w:cs="Arial"/>
          <w:rtl/>
        </w:rPr>
        <w:t xml:space="preserve"> </w:t>
      </w:r>
      <w:r w:rsidRPr="00565331">
        <w:rPr>
          <w:rFonts w:cs="Arial" w:hint="cs"/>
          <w:rtl/>
        </w:rPr>
        <w:t>לאדם</w:t>
      </w:r>
      <w:r w:rsidRPr="00565331">
        <w:rPr>
          <w:rFonts w:cs="Arial"/>
          <w:rtl/>
        </w:rPr>
        <w:t xml:space="preserve"> </w:t>
      </w:r>
      <w:r w:rsidRPr="00565331">
        <w:rPr>
          <w:rFonts w:cs="Arial" w:hint="cs"/>
          <w:rtl/>
        </w:rPr>
        <w:t>בערב</w:t>
      </w:r>
      <w:r w:rsidRPr="00565331">
        <w:rPr>
          <w:rFonts w:cs="Arial"/>
          <w:rtl/>
        </w:rPr>
        <w:t xml:space="preserve"> </w:t>
      </w:r>
      <w:r w:rsidRPr="00565331">
        <w:rPr>
          <w:rFonts w:cs="Arial" w:hint="cs"/>
          <w:rtl/>
        </w:rPr>
        <w:t>שבת</w:t>
      </w:r>
      <w:r w:rsidRPr="00565331">
        <w:rPr>
          <w:rFonts w:cs="Arial"/>
          <w:rtl/>
        </w:rPr>
        <w:t xml:space="preserve"> </w:t>
      </w:r>
      <w:r w:rsidRPr="00565331">
        <w:rPr>
          <w:rFonts w:cs="Arial" w:hint="cs"/>
          <w:rtl/>
        </w:rPr>
        <w:t>מבית</w:t>
      </w:r>
      <w:r w:rsidRPr="00565331">
        <w:rPr>
          <w:rFonts w:cs="Arial"/>
          <w:rtl/>
        </w:rPr>
        <w:t xml:space="preserve"> </w:t>
      </w:r>
      <w:r w:rsidRPr="00565331">
        <w:rPr>
          <w:rFonts w:cs="Arial" w:hint="cs"/>
          <w:rtl/>
        </w:rPr>
        <w:t>הכנסת</w:t>
      </w:r>
      <w:r w:rsidRPr="00565331">
        <w:rPr>
          <w:rFonts w:cs="Arial"/>
          <w:rtl/>
        </w:rPr>
        <w:t xml:space="preserve"> </w:t>
      </w:r>
      <w:r w:rsidRPr="00565331">
        <w:rPr>
          <w:rFonts w:cs="Arial" w:hint="cs"/>
          <w:rtl/>
        </w:rPr>
        <w:t>לביתו</w:t>
      </w:r>
      <w:r w:rsidRPr="00565331">
        <w:rPr>
          <w:rFonts w:cs="Arial"/>
          <w:rtl/>
        </w:rPr>
        <w:t xml:space="preserve">, </w:t>
      </w:r>
      <w:r w:rsidRPr="00565331">
        <w:rPr>
          <w:rFonts w:cs="Arial" w:hint="cs"/>
          <w:rtl/>
        </w:rPr>
        <w:t>אחד</w:t>
      </w:r>
      <w:r w:rsidRPr="00565331">
        <w:rPr>
          <w:rFonts w:cs="Arial"/>
          <w:rtl/>
        </w:rPr>
        <w:t xml:space="preserve"> </w:t>
      </w:r>
      <w:r w:rsidRPr="00565331">
        <w:rPr>
          <w:rFonts w:cs="Arial" w:hint="cs"/>
          <w:rtl/>
        </w:rPr>
        <w:t>טוב</w:t>
      </w:r>
      <w:r w:rsidRPr="00565331">
        <w:rPr>
          <w:rFonts w:cs="Arial"/>
          <w:rtl/>
        </w:rPr>
        <w:t xml:space="preserve"> </w:t>
      </w:r>
      <w:r w:rsidRPr="00565331">
        <w:rPr>
          <w:rFonts w:cs="Arial" w:hint="cs"/>
          <w:rtl/>
        </w:rPr>
        <w:t>ואחד</w:t>
      </w:r>
      <w:r w:rsidRPr="00565331">
        <w:rPr>
          <w:rFonts w:cs="Arial"/>
          <w:rtl/>
        </w:rPr>
        <w:t xml:space="preserve"> </w:t>
      </w:r>
      <w:r w:rsidRPr="00565331">
        <w:rPr>
          <w:rFonts w:cs="Arial" w:hint="cs"/>
          <w:rtl/>
        </w:rPr>
        <w:t>רע</w:t>
      </w:r>
      <w:r w:rsidRPr="00565331">
        <w:rPr>
          <w:rFonts w:cs="Arial"/>
          <w:rtl/>
        </w:rPr>
        <w:t xml:space="preserve">. </w:t>
      </w:r>
      <w:r w:rsidRPr="00565331">
        <w:rPr>
          <w:rFonts w:cs="Arial" w:hint="cs"/>
          <w:rtl/>
        </w:rPr>
        <w:t>וכשבא</w:t>
      </w:r>
      <w:r w:rsidRPr="00565331">
        <w:rPr>
          <w:rFonts w:cs="Arial"/>
          <w:rtl/>
        </w:rPr>
        <w:t xml:space="preserve"> </w:t>
      </w:r>
      <w:r w:rsidRPr="00565331">
        <w:rPr>
          <w:rFonts w:cs="Arial" w:hint="cs"/>
          <w:rtl/>
        </w:rPr>
        <w:t>לביתו</w:t>
      </w:r>
      <w:r w:rsidRPr="00565331">
        <w:rPr>
          <w:rFonts w:cs="Arial"/>
          <w:rtl/>
        </w:rPr>
        <w:t xml:space="preserve"> </w:t>
      </w:r>
      <w:r w:rsidRPr="00565331">
        <w:rPr>
          <w:rFonts w:cs="Arial" w:hint="cs"/>
          <w:rtl/>
        </w:rPr>
        <w:t>ומצא</w:t>
      </w:r>
      <w:r w:rsidRPr="00565331">
        <w:rPr>
          <w:rFonts w:cs="Arial"/>
          <w:rtl/>
        </w:rPr>
        <w:t xml:space="preserve"> </w:t>
      </w:r>
      <w:r w:rsidRPr="00565331">
        <w:rPr>
          <w:rFonts w:cs="Arial" w:hint="cs"/>
          <w:rtl/>
        </w:rPr>
        <w:t>נר</w:t>
      </w:r>
      <w:r w:rsidRPr="00565331">
        <w:rPr>
          <w:rFonts w:cs="Arial"/>
          <w:rtl/>
        </w:rPr>
        <w:t xml:space="preserve"> </w:t>
      </w:r>
      <w:r w:rsidRPr="00565331">
        <w:rPr>
          <w:rFonts w:cs="Arial" w:hint="cs"/>
          <w:rtl/>
        </w:rPr>
        <w:t>דלוק</w:t>
      </w:r>
      <w:r w:rsidRPr="00565331">
        <w:rPr>
          <w:rFonts w:cs="Arial"/>
          <w:rtl/>
        </w:rPr>
        <w:t xml:space="preserve"> </w:t>
      </w:r>
      <w:r w:rsidRPr="00565331">
        <w:rPr>
          <w:rFonts w:cs="Arial" w:hint="cs"/>
          <w:rtl/>
        </w:rPr>
        <w:t>ושלחן</w:t>
      </w:r>
      <w:r w:rsidRPr="00565331">
        <w:rPr>
          <w:rFonts w:cs="Arial"/>
          <w:rtl/>
        </w:rPr>
        <w:t xml:space="preserve"> </w:t>
      </w:r>
      <w:r w:rsidRPr="00565331">
        <w:rPr>
          <w:rFonts w:cs="Arial" w:hint="cs"/>
          <w:rtl/>
        </w:rPr>
        <w:t>ערוך</w:t>
      </w:r>
      <w:r w:rsidRPr="00565331">
        <w:rPr>
          <w:rFonts w:cs="Arial"/>
          <w:rtl/>
        </w:rPr>
        <w:t xml:space="preserve"> </w:t>
      </w:r>
      <w:r w:rsidRPr="00565331">
        <w:rPr>
          <w:rFonts w:cs="Arial" w:hint="cs"/>
          <w:rtl/>
        </w:rPr>
        <w:t>ומטתו</w:t>
      </w:r>
      <w:r w:rsidRPr="00565331">
        <w:rPr>
          <w:rFonts w:cs="Arial"/>
          <w:rtl/>
        </w:rPr>
        <w:t xml:space="preserve"> </w:t>
      </w:r>
      <w:r w:rsidRPr="00565331">
        <w:rPr>
          <w:rFonts w:cs="Arial" w:hint="cs"/>
          <w:rtl/>
        </w:rPr>
        <w:t>מוצעת</w:t>
      </w:r>
      <w:r w:rsidRPr="00565331">
        <w:rPr>
          <w:rFonts w:cs="Arial"/>
          <w:rtl/>
        </w:rPr>
        <w:t xml:space="preserve">, </w:t>
      </w:r>
      <w:r w:rsidRPr="00565331">
        <w:rPr>
          <w:rFonts w:cs="Arial" w:hint="cs"/>
          <w:rtl/>
        </w:rPr>
        <w:t>מלאך</w:t>
      </w:r>
      <w:r w:rsidRPr="00565331">
        <w:rPr>
          <w:rFonts w:cs="Arial"/>
          <w:rtl/>
        </w:rPr>
        <w:t xml:space="preserve"> </w:t>
      </w:r>
      <w:r w:rsidRPr="00565331">
        <w:rPr>
          <w:rFonts w:cs="Arial" w:hint="cs"/>
          <w:rtl/>
        </w:rPr>
        <w:t>טוב</w:t>
      </w:r>
      <w:r w:rsidRPr="00565331">
        <w:rPr>
          <w:rFonts w:cs="Arial"/>
          <w:rtl/>
        </w:rPr>
        <w:t xml:space="preserve"> </w:t>
      </w:r>
      <w:r w:rsidRPr="00565331">
        <w:rPr>
          <w:rFonts w:cs="Arial" w:hint="cs"/>
          <w:rtl/>
        </w:rPr>
        <w:t>אומר</w:t>
      </w:r>
      <w:r w:rsidRPr="00565331">
        <w:rPr>
          <w:rFonts w:cs="Arial"/>
          <w:rtl/>
        </w:rPr>
        <w:t xml:space="preserve">: </w:t>
      </w:r>
      <w:r w:rsidRPr="00565331">
        <w:rPr>
          <w:rFonts w:cs="Arial" w:hint="cs"/>
          <w:rtl/>
        </w:rPr>
        <w:t>יהי</w:t>
      </w:r>
      <w:r w:rsidRPr="00565331">
        <w:rPr>
          <w:rFonts w:cs="Arial"/>
          <w:rtl/>
        </w:rPr>
        <w:t xml:space="preserve"> </w:t>
      </w:r>
      <w:r w:rsidRPr="00565331">
        <w:rPr>
          <w:rFonts w:cs="Arial" w:hint="cs"/>
          <w:rtl/>
        </w:rPr>
        <w:t>רצון</w:t>
      </w:r>
      <w:r w:rsidRPr="00565331">
        <w:rPr>
          <w:rFonts w:cs="Arial"/>
          <w:rtl/>
        </w:rPr>
        <w:t xml:space="preserve"> </w:t>
      </w:r>
      <w:r w:rsidRPr="00565331">
        <w:rPr>
          <w:rFonts w:cs="Arial" w:hint="cs"/>
          <w:rtl/>
        </w:rPr>
        <w:t>שתהא</w:t>
      </w:r>
      <w:r w:rsidRPr="00565331">
        <w:rPr>
          <w:rFonts w:cs="Arial"/>
          <w:rtl/>
        </w:rPr>
        <w:t xml:space="preserve"> </w:t>
      </w:r>
      <w:r w:rsidRPr="00565331">
        <w:rPr>
          <w:rFonts w:cs="Arial" w:hint="cs"/>
          <w:rtl/>
        </w:rPr>
        <w:t>לשבת</w:t>
      </w:r>
      <w:r w:rsidRPr="00565331">
        <w:rPr>
          <w:rFonts w:cs="Arial"/>
          <w:rtl/>
        </w:rPr>
        <w:t xml:space="preserve"> </w:t>
      </w:r>
      <w:r w:rsidRPr="00565331">
        <w:rPr>
          <w:rFonts w:cs="Arial" w:hint="cs"/>
          <w:rtl/>
        </w:rPr>
        <w:t>אחרת</w:t>
      </w:r>
      <w:r w:rsidRPr="00565331">
        <w:rPr>
          <w:rFonts w:cs="Arial"/>
          <w:rtl/>
        </w:rPr>
        <w:t xml:space="preserve"> </w:t>
      </w:r>
      <w:r w:rsidRPr="00565331">
        <w:rPr>
          <w:rFonts w:cs="Arial" w:hint="cs"/>
          <w:rtl/>
        </w:rPr>
        <w:t>כך</w:t>
      </w:r>
      <w:r w:rsidRPr="00565331">
        <w:rPr>
          <w:rFonts w:cs="Arial"/>
          <w:rtl/>
        </w:rPr>
        <w:t xml:space="preserve">. </w:t>
      </w:r>
      <w:r w:rsidRPr="00565331">
        <w:rPr>
          <w:rFonts w:cs="Arial" w:hint="cs"/>
          <w:rtl/>
        </w:rPr>
        <w:t>ומלאך</w:t>
      </w:r>
      <w:r w:rsidRPr="00565331">
        <w:rPr>
          <w:rFonts w:cs="Arial"/>
          <w:rtl/>
        </w:rPr>
        <w:t xml:space="preserve"> </w:t>
      </w:r>
      <w:r w:rsidRPr="00565331">
        <w:rPr>
          <w:rFonts w:cs="Arial" w:hint="cs"/>
          <w:rtl/>
        </w:rPr>
        <w:t>רע</w:t>
      </w:r>
      <w:r w:rsidRPr="00565331">
        <w:rPr>
          <w:rFonts w:cs="Arial"/>
          <w:rtl/>
        </w:rPr>
        <w:t xml:space="preserve"> </w:t>
      </w:r>
      <w:r w:rsidRPr="00565331">
        <w:rPr>
          <w:rFonts w:cs="Arial" w:hint="cs"/>
          <w:rtl/>
        </w:rPr>
        <w:t>עונה</w:t>
      </w:r>
      <w:r w:rsidRPr="00565331">
        <w:rPr>
          <w:rFonts w:cs="Arial"/>
          <w:rtl/>
        </w:rPr>
        <w:t xml:space="preserve"> </w:t>
      </w:r>
      <w:r w:rsidRPr="00565331">
        <w:rPr>
          <w:rFonts w:cs="Arial" w:hint="cs"/>
          <w:rtl/>
        </w:rPr>
        <w:t>אמן</w:t>
      </w:r>
      <w:r w:rsidRPr="00565331">
        <w:rPr>
          <w:rFonts w:cs="Arial"/>
          <w:rtl/>
        </w:rPr>
        <w:t xml:space="preserve"> </w:t>
      </w:r>
      <w:r w:rsidRPr="00565331">
        <w:rPr>
          <w:rFonts w:cs="Arial" w:hint="cs"/>
          <w:rtl/>
        </w:rPr>
        <w:t>בעל</w:t>
      </w:r>
      <w:r w:rsidRPr="00565331">
        <w:rPr>
          <w:rFonts w:cs="Arial"/>
          <w:rtl/>
        </w:rPr>
        <w:t xml:space="preserve"> </w:t>
      </w:r>
      <w:r w:rsidRPr="00565331">
        <w:rPr>
          <w:rFonts w:cs="Arial" w:hint="cs"/>
          <w:rtl/>
        </w:rPr>
        <w:t>כרחו</w:t>
      </w:r>
      <w:r w:rsidRPr="00565331">
        <w:rPr>
          <w:rFonts w:cs="Arial"/>
          <w:rtl/>
        </w:rPr>
        <w:t xml:space="preserve">. </w:t>
      </w:r>
      <w:r w:rsidRPr="00565331">
        <w:rPr>
          <w:rFonts w:cs="Arial" w:hint="cs"/>
          <w:rtl/>
        </w:rPr>
        <w:t>ואם</w:t>
      </w:r>
      <w:r w:rsidRPr="00565331">
        <w:rPr>
          <w:rFonts w:cs="Arial"/>
          <w:rtl/>
        </w:rPr>
        <w:t xml:space="preserve"> </w:t>
      </w:r>
      <w:r w:rsidRPr="00565331">
        <w:rPr>
          <w:rFonts w:cs="Arial" w:hint="cs"/>
          <w:rtl/>
        </w:rPr>
        <w:t>לאו</w:t>
      </w:r>
      <w:r w:rsidRPr="00565331">
        <w:rPr>
          <w:rFonts w:cs="Arial"/>
          <w:rtl/>
        </w:rPr>
        <w:t xml:space="preserve">, </w:t>
      </w:r>
      <w:r w:rsidRPr="00565331">
        <w:rPr>
          <w:rFonts w:cs="Arial" w:hint="cs"/>
          <w:rtl/>
        </w:rPr>
        <w:t>מלאך</w:t>
      </w:r>
      <w:r w:rsidRPr="00565331">
        <w:rPr>
          <w:rFonts w:cs="Arial"/>
          <w:rtl/>
        </w:rPr>
        <w:t xml:space="preserve"> </w:t>
      </w:r>
      <w:r w:rsidRPr="00565331">
        <w:rPr>
          <w:rFonts w:cs="Arial" w:hint="cs"/>
          <w:rtl/>
        </w:rPr>
        <w:t>רע</w:t>
      </w:r>
      <w:r w:rsidRPr="00565331">
        <w:rPr>
          <w:rFonts w:cs="Arial"/>
          <w:rtl/>
        </w:rPr>
        <w:t xml:space="preserve"> </w:t>
      </w:r>
      <w:r w:rsidRPr="00565331">
        <w:rPr>
          <w:rFonts w:cs="Arial" w:hint="cs"/>
          <w:rtl/>
        </w:rPr>
        <w:t>אומר</w:t>
      </w:r>
      <w:r w:rsidRPr="00565331">
        <w:rPr>
          <w:rFonts w:cs="Arial"/>
          <w:rtl/>
        </w:rPr>
        <w:t xml:space="preserve">: </w:t>
      </w:r>
      <w:r w:rsidRPr="00565331">
        <w:rPr>
          <w:rFonts w:cs="Arial" w:hint="cs"/>
          <w:rtl/>
        </w:rPr>
        <w:t>יהי</w:t>
      </w:r>
      <w:r w:rsidRPr="00565331">
        <w:rPr>
          <w:rFonts w:cs="Arial"/>
          <w:rtl/>
        </w:rPr>
        <w:t xml:space="preserve"> </w:t>
      </w:r>
      <w:r w:rsidRPr="00565331">
        <w:rPr>
          <w:rFonts w:cs="Arial" w:hint="cs"/>
          <w:rtl/>
        </w:rPr>
        <w:t>רצון</w:t>
      </w:r>
      <w:r w:rsidRPr="00565331">
        <w:rPr>
          <w:rFonts w:cs="Arial"/>
          <w:rtl/>
        </w:rPr>
        <w:t xml:space="preserve"> </w:t>
      </w:r>
      <w:r w:rsidRPr="00565331">
        <w:rPr>
          <w:rFonts w:cs="Arial" w:hint="cs"/>
          <w:rtl/>
        </w:rPr>
        <w:t>שתהא</w:t>
      </w:r>
      <w:r w:rsidRPr="00565331">
        <w:rPr>
          <w:rFonts w:cs="Arial"/>
          <w:rtl/>
        </w:rPr>
        <w:t xml:space="preserve"> </w:t>
      </w:r>
      <w:r w:rsidRPr="00565331">
        <w:rPr>
          <w:rFonts w:cs="Arial" w:hint="cs"/>
          <w:rtl/>
        </w:rPr>
        <w:t>לשבת</w:t>
      </w:r>
      <w:r w:rsidRPr="00565331">
        <w:rPr>
          <w:rFonts w:cs="Arial"/>
          <w:rtl/>
        </w:rPr>
        <w:t xml:space="preserve"> </w:t>
      </w:r>
      <w:r w:rsidRPr="00565331">
        <w:rPr>
          <w:rFonts w:cs="Arial" w:hint="cs"/>
          <w:rtl/>
        </w:rPr>
        <w:t>אחרת</w:t>
      </w:r>
      <w:r w:rsidRPr="00565331">
        <w:rPr>
          <w:rFonts w:cs="Arial"/>
          <w:rtl/>
        </w:rPr>
        <w:t xml:space="preserve"> </w:t>
      </w:r>
      <w:r w:rsidRPr="00565331">
        <w:rPr>
          <w:rFonts w:cs="Arial" w:hint="cs"/>
          <w:rtl/>
        </w:rPr>
        <w:t>כך</w:t>
      </w:r>
      <w:r w:rsidRPr="00565331">
        <w:rPr>
          <w:rFonts w:cs="Arial"/>
          <w:rtl/>
        </w:rPr>
        <w:t xml:space="preserve">, </w:t>
      </w:r>
      <w:r w:rsidRPr="00565331">
        <w:rPr>
          <w:rFonts w:cs="Arial" w:hint="cs"/>
          <w:rtl/>
        </w:rPr>
        <w:t>ומלאך</w:t>
      </w:r>
      <w:r w:rsidRPr="00565331">
        <w:rPr>
          <w:rFonts w:cs="Arial"/>
          <w:rtl/>
        </w:rPr>
        <w:t xml:space="preserve"> </w:t>
      </w:r>
      <w:r w:rsidRPr="00565331">
        <w:rPr>
          <w:rFonts w:cs="Arial" w:hint="cs"/>
          <w:rtl/>
        </w:rPr>
        <w:t>טוב</w:t>
      </w:r>
      <w:r w:rsidRPr="00565331">
        <w:rPr>
          <w:rFonts w:cs="Arial"/>
          <w:rtl/>
        </w:rPr>
        <w:t xml:space="preserve"> </w:t>
      </w:r>
      <w:r w:rsidRPr="00565331">
        <w:rPr>
          <w:rFonts w:cs="Arial" w:hint="cs"/>
          <w:rtl/>
        </w:rPr>
        <w:t>עונה</w:t>
      </w:r>
      <w:r w:rsidRPr="00565331">
        <w:rPr>
          <w:rFonts w:cs="Arial"/>
          <w:rtl/>
        </w:rPr>
        <w:t xml:space="preserve"> </w:t>
      </w:r>
      <w:r w:rsidRPr="00565331">
        <w:rPr>
          <w:rFonts w:cs="Arial" w:hint="cs"/>
          <w:rtl/>
        </w:rPr>
        <w:t>אמן</w:t>
      </w:r>
      <w:r w:rsidRPr="00565331">
        <w:rPr>
          <w:rFonts w:cs="Arial"/>
          <w:rtl/>
        </w:rPr>
        <w:t xml:space="preserve"> </w:t>
      </w:r>
      <w:r w:rsidRPr="00565331">
        <w:rPr>
          <w:rFonts w:cs="Arial" w:hint="cs"/>
          <w:rtl/>
        </w:rPr>
        <w:t>בעל</w:t>
      </w:r>
      <w:r w:rsidRPr="00565331">
        <w:rPr>
          <w:rFonts w:cs="Arial"/>
          <w:rtl/>
        </w:rPr>
        <w:t xml:space="preserve"> </w:t>
      </w:r>
      <w:r w:rsidRPr="00565331">
        <w:rPr>
          <w:rFonts w:cs="Arial" w:hint="cs"/>
          <w:rtl/>
        </w:rPr>
        <w:t>כרחו</w:t>
      </w:r>
      <w:r w:rsidRPr="00565331">
        <w:rPr>
          <w:rFonts w:cs="Arial"/>
          <w:rtl/>
        </w:rPr>
        <w:t>.</w:t>
      </w:r>
    </w:p>
    <w:p w14:paraId="044450ED" w14:textId="77777777" w:rsidR="004B2E7C" w:rsidRPr="00762875" w:rsidRDefault="004B2E7C" w:rsidP="00434A6A">
      <w:pPr>
        <w:rPr>
          <w:u w:val="single"/>
          <w:rtl/>
        </w:rPr>
      </w:pPr>
      <w:r w:rsidRPr="00762875">
        <w:rPr>
          <w:rFonts w:hint="cs"/>
          <w:u w:val="single"/>
          <w:rtl/>
        </w:rPr>
        <w:t>סידור כל ענייני הבית לפני בואו מבית הכנסת:</w:t>
      </w:r>
    </w:p>
    <w:p w14:paraId="4BE133B8" w14:textId="77777777" w:rsidR="004B2E7C" w:rsidRPr="00565331" w:rsidRDefault="004B2E7C" w:rsidP="00FF2D21">
      <w:pPr>
        <w:pStyle w:val="aa"/>
        <w:numPr>
          <w:ilvl w:val="0"/>
          <w:numId w:val="87"/>
        </w:numPr>
        <w:rPr>
          <w:rFonts w:cs="Arial"/>
          <w:rtl/>
        </w:rPr>
      </w:pPr>
      <w:r w:rsidRPr="00565331">
        <w:rPr>
          <w:rFonts w:cs="Arial" w:hint="cs"/>
          <w:rtl/>
        </w:rPr>
        <w:t>טור- ויסדר</w:t>
      </w:r>
      <w:r w:rsidRPr="00565331">
        <w:rPr>
          <w:rFonts w:cs="Arial"/>
          <w:rtl/>
        </w:rPr>
        <w:t xml:space="preserve"> </w:t>
      </w:r>
      <w:r w:rsidRPr="00565331">
        <w:rPr>
          <w:rFonts w:cs="Arial" w:hint="cs"/>
          <w:rtl/>
        </w:rPr>
        <w:t>שלחנו</w:t>
      </w:r>
      <w:r w:rsidRPr="00565331">
        <w:rPr>
          <w:rFonts w:cs="Arial"/>
          <w:rtl/>
        </w:rPr>
        <w:t xml:space="preserve"> </w:t>
      </w:r>
      <w:r w:rsidRPr="00565331">
        <w:rPr>
          <w:rFonts w:cs="Arial" w:hint="cs"/>
          <w:rtl/>
        </w:rPr>
        <w:t>ויציע</w:t>
      </w:r>
      <w:r w:rsidRPr="00565331">
        <w:rPr>
          <w:rFonts w:cs="Arial"/>
          <w:rtl/>
        </w:rPr>
        <w:t xml:space="preserve"> </w:t>
      </w:r>
      <w:r w:rsidRPr="00565331">
        <w:rPr>
          <w:rFonts w:cs="Arial" w:hint="cs"/>
          <w:rtl/>
        </w:rPr>
        <w:t>המטות</w:t>
      </w:r>
      <w:r w:rsidRPr="00565331">
        <w:rPr>
          <w:rFonts w:cs="Arial"/>
          <w:rtl/>
        </w:rPr>
        <w:t xml:space="preserve"> </w:t>
      </w:r>
      <w:r w:rsidRPr="00565331">
        <w:rPr>
          <w:rFonts w:cs="Arial" w:hint="cs"/>
          <w:rtl/>
        </w:rPr>
        <w:t>ויתקן</w:t>
      </w:r>
      <w:r w:rsidRPr="00565331">
        <w:rPr>
          <w:rFonts w:cs="Arial"/>
          <w:rtl/>
        </w:rPr>
        <w:t xml:space="preserve"> </w:t>
      </w:r>
      <w:r w:rsidRPr="00565331">
        <w:rPr>
          <w:rFonts w:cs="Arial" w:hint="cs"/>
          <w:rtl/>
        </w:rPr>
        <w:t>כל</w:t>
      </w:r>
      <w:r w:rsidRPr="00565331">
        <w:rPr>
          <w:rFonts w:cs="Arial"/>
          <w:rtl/>
        </w:rPr>
        <w:t xml:space="preserve"> </w:t>
      </w:r>
      <w:r w:rsidRPr="00565331">
        <w:rPr>
          <w:rFonts w:cs="Arial" w:hint="cs"/>
          <w:rtl/>
        </w:rPr>
        <w:t>עניני</w:t>
      </w:r>
      <w:r w:rsidRPr="00565331">
        <w:rPr>
          <w:rFonts w:cs="Arial"/>
          <w:rtl/>
        </w:rPr>
        <w:t xml:space="preserve"> </w:t>
      </w:r>
      <w:r w:rsidRPr="00565331">
        <w:rPr>
          <w:rFonts w:cs="Arial" w:hint="cs"/>
          <w:rtl/>
        </w:rPr>
        <w:t>הבית</w:t>
      </w:r>
      <w:r w:rsidRPr="00565331">
        <w:rPr>
          <w:rFonts w:cs="Arial"/>
          <w:rtl/>
        </w:rPr>
        <w:t xml:space="preserve"> </w:t>
      </w:r>
      <w:r w:rsidRPr="00565331">
        <w:rPr>
          <w:rFonts w:cs="Arial" w:hint="cs"/>
          <w:rtl/>
        </w:rPr>
        <w:t>כדי</w:t>
      </w:r>
      <w:r w:rsidRPr="00565331">
        <w:rPr>
          <w:rFonts w:cs="Arial"/>
          <w:rtl/>
        </w:rPr>
        <w:t xml:space="preserve"> </w:t>
      </w:r>
      <w:r w:rsidRPr="00565331">
        <w:rPr>
          <w:rFonts w:cs="Arial" w:hint="cs"/>
          <w:rtl/>
        </w:rPr>
        <w:t>שימצאנו</w:t>
      </w:r>
      <w:r w:rsidRPr="00565331">
        <w:rPr>
          <w:rFonts w:cs="Arial"/>
          <w:rtl/>
        </w:rPr>
        <w:t xml:space="preserve"> </w:t>
      </w:r>
      <w:r w:rsidRPr="00565331">
        <w:rPr>
          <w:rFonts w:cs="Arial" w:hint="cs"/>
          <w:rtl/>
        </w:rPr>
        <w:t>ערוך</w:t>
      </w:r>
      <w:r w:rsidRPr="00565331">
        <w:rPr>
          <w:rFonts w:cs="Arial"/>
          <w:rtl/>
        </w:rPr>
        <w:t xml:space="preserve"> </w:t>
      </w:r>
      <w:r w:rsidRPr="00565331">
        <w:rPr>
          <w:rFonts w:cs="Arial" w:hint="cs"/>
          <w:rtl/>
        </w:rPr>
        <w:t>ומסודר</w:t>
      </w:r>
      <w:r w:rsidRPr="00565331">
        <w:rPr>
          <w:rFonts w:cs="Arial"/>
          <w:rtl/>
        </w:rPr>
        <w:t xml:space="preserve"> </w:t>
      </w:r>
      <w:r w:rsidRPr="00565331">
        <w:rPr>
          <w:rFonts w:cs="Arial" w:hint="cs"/>
          <w:rtl/>
        </w:rPr>
        <w:t>בבואו</w:t>
      </w:r>
      <w:r w:rsidRPr="00565331">
        <w:rPr>
          <w:rFonts w:cs="Arial"/>
          <w:rtl/>
        </w:rPr>
        <w:t xml:space="preserve"> </w:t>
      </w:r>
      <w:r w:rsidRPr="00565331">
        <w:rPr>
          <w:rFonts w:cs="Arial" w:hint="cs"/>
          <w:rtl/>
        </w:rPr>
        <w:t>מבה</w:t>
      </w:r>
      <w:r w:rsidRPr="00565331">
        <w:rPr>
          <w:rFonts w:cs="Arial"/>
          <w:rtl/>
        </w:rPr>
        <w:t>"</w:t>
      </w:r>
      <w:r w:rsidRPr="00565331">
        <w:rPr>
          <w:rFonts w:cs="Arial" w:hint="cs"/>
          <w:rtl/>
        </w:rPr>
        <w:t>כ</w:t>
      </w:r>
      <w:r w:rsidRPr="00565331">
        <w:rPr>
          <w:rFonts w:cs="Arial"/>
          <w:rtl/>
        </w:rPr>
        <w:t xml:space="preserve"> </w:t>
      </w:r>
      <w:r w:rsidRPr="00565331">
        <w:rPr>
          <w:rFonts w:cs="Arial" w:hint="cs"/>
          <w:rtl/>
        </w:rPr>
        <w:t>דא</w:t>
      </w:r>
      <w:r w:rsidRPr="00565331">
        <w:rPr>
          <w:rFonts w:cs="Arial"/>
          <w:rtl/>
        </w:rPr>
        <w:t>"</w:t>
      </w:r>
      <w:r w:rsidRPr="00565331">
        <w:rPr>
          <w:rFonts w:cs="Arial" w:hint="cs"/>
          <w:rtl/>
        </w:rPr>
        <w:t>ר</w:t>
      </w:r>
      <w:r w:rsidRPr="00565331">
        <w:rPr>
          <w:rFonts w:cs="Arial"/>
          <w:rtl/>
        </w:rPr>
        <w:t xml:space="preserve"> </w:t>
      </w:r>
      <w:r w:rsidRPr="00565331">
        <w:rPr>
          <w:rFonts w:cs="Arial" w:hint="cs"/>
          <w:rtl/>
        </w:rPr>
        <w:t>יוסי</w:t>
      </w:r>
      <w:r w:rsidRPr="00565331">
        <w:rPr>
          <w:rFonts w:cs="Arial"/>
          <w:rtl/>
        </w:rPr>
        <w:t xml:space="preserve"> </w:t>
      </w:r>
      <w:r w:rsidRPr="00565331">
        <w:rPr>
          <w:rFonts w:cs="Arial" w:hint="cs"/>
          <w:rtl/>
        </w:rPr>
        <w:t>בר</w:t>
      </w:r>
      <w:r w:rsidRPr="00565331">
        <w:rPr>
          <w:rFonts w:cs="Arial"/>
          <w:rtl/>
        </w:rPr>
        <w:t xml:space="preserve"> </w:t>
      </w:r>
      <w:r w:rsidRPr="00565331">
        <w:rPr>
          <w:rFonts w:cs="Arial" w:hint="cs"/>
          <w:rtl/>
        </w:rPr>
        <w:t>יהודה</w:t>
      </w:r>
      <w:r w:rsidRPr="00565331">
        <w:rPr>
          <w:rFonts w:cs="Arial"/>
          <w:rtl/>
        </w:rPr>
        <w:t xml:space="preserve"> </w:t>
      </w:r>
      <w:r w:rsidRPr="00565331">
        <w:rPr>
          <w:rFonts w:cs="Arial" w:hint="cs"/>
          <w:rtl/>
        </w:rPr>
        <w:t>שני</w:t>
      </w:r>
      <w:r w:rsidRPr="00565331">
        <w:rPr>
          <w:rFonts w:cs="Arial"/>
          <w:rtl/>
        </w:rPr>
        <w:t xml:space="preserve"> </w:t>
      </w:r>
      <w:r w:rsidRPr="00565331">
        <w:rPr>
          <w:rFonts w:cs="Arial" w:hint="cs"/>
          <w:rtl/>
        </w:rPr>
        <w:t>מלאכי</w:t>
      </w:r>
      <w:r w:rsidRPr="00565331">
        <w:rPr>
          <w:rFonts w:cs="Arial"/>
          <w:rtl/>
        </w:rPr>
        <w:t xml:space="preserve"> </w:t>
      </w:r>
      <w:r w:rsidRPr="00565331">
        <w:rPr>
          <w:rFonts w:cs="Arial" w:hint="cs"/>
          <w:rtl/>
        </w:rPr>
        <w:t>השרת</w:t>
      </w:r>
      <w:r>
        <w:rPr>
          <w:rFonts w:cs="Arial" w:hint="cs"/>
          <w:rtl/>
        </w:rPr>
        <w:t>..</w:t>
      </w:r>
      <w:r w:rsidRPr="00565331">
        <w:rPr>
          <w:rFonts w:cs="Arial" w:hint="cs"/>
          <w:rtl/>
        </w:rPr>
        <w:t>.</w:t>
      </w:r>
      <w:r w:rsidRPr="00565331">
        <w:rPr>
          <w:rFonts w:cs="Arial"/>
          <w:rtl/>
        </w:rPr>
        <w:t xml:space="preserve"> </w:t>
      </w:r>
      <w:r w:rsidRPr="0056384F">
        <w:rPr>
          <w:rFonts w:cs="Arial" w:hint="cs"/>
          <w:color w:val="E36C0A" w:themeColor="accent6" w:themeShade="BF"/>
          <w:rtl/>
        </w:rPr>
        <w:t>(וכ"פ בשו"ע)</w:t>
      </w:r>
    </w:p>
    <w:p w14:paraId="1989E659" w14:textId="77777777" w:rsidR="004B2E7C" w:rsidRDefault="004B2E7C" w:rsidP="00434A6A">
      <w:pPr>
        <w:rPr>
          <w:rFonts w:cs="Arial"/>
          <w:rtl/>
        </w:rPr>
      </w:pPr>
      <w:r w:rsidRPr="00762875">
        <w:rPr>
          <w:rFonts w:cs="Arial" w:hint="cs"/>
          <w:u w:val="single"/>
          <w:rtl/>
        </w:rPr>
        <w:t>שולחן שבת ערוך כל השבת:</w:t>
      </w:r>
      <w:r>
        <w:rPr>
          <w:rFonts w:cs="Arial" w:hint="cs"/>
          <w:rtl/>
        </w:rPr>
        <w:t xml:space="preserve"> </w:t>
      </w:r>
      <w:r w:rsidRPr="00762875">
        <w:rPr>
          <w:rFonts w:cs="Arial" w:hint="cs"/>
          <w:sz w:val="16"/>
          <w:szCs w:val="16"/>
          <w:rtl/>
        </w:rPr>
        <w:t xml:space="preserve"> </w:t>
      </w:r>
      <w:r w:rsidRPr="00762875">
        <w:rPr>
          <w:rFonts w:cs="Arial"/>
          <w:sz w:val="16"/>
          <w:szCs w:val="16"/>
          <w:rtl/>
        </w:rPr>
        <w:t>(</w:t>
      </w:r>
      <w:r w:rsidRPr="00762875">
        <w:rPr>
          <w:rFonts w:cs="Arial" w:hint="cs"/>
          <w:sz w:val="16"/>
          <w:szCs w:val="16"/>
          <w:rtl/>
        </w:rPr>
        <w:t>דרכ"מ אות א</w:t>
      </w:r>
      <w:r w:rsidRPr="00762875">
        <w:rPr>
          <w:rFonts w:cs="Arial"/>
          <w:sz w:val="16"/>
          <w:szCs w:val="16"/>
          <w:rtl/>
        </w:rPr>
        <w:t>)</w:t>
      </w:r>
      <w:r w:rsidRPr="00565331">
        <w:rPr>
          <w:rFonts w:cs="Arial"/>
          <w:rtl/>
        </w:rPr>
        <w:t xml:space="preserve"> </w:t>
      </w:r>
    </w:p>
    <w:p w14:paraId="5A56A944" w14:textId="77777777" w:rsidR="004B2E7C" w:rsidRDefault="004B2E7C" w:rsidP="00FF2D21">
      <w:pPr>
        <w:pStyle w:val="aa"/>
        <w:numPr>
          <w:ilvl w:val="0"/>
          <w:numId w:val="87"/>
        </w:numPr>
        <w:rPr>
          <w:rFonts w:cs="Arial"/>
        </w:rPr>
      </w:pPr>
      <w:r w:rsidRPr="00762875">
        <w:rPr>
          <w:rFonts w:cs="Arial" w:hint="cs"/>
          <w:rtl/>
        </w:rPr>
        <w:t>מרדכי</w:t>
      </w:r>
      <w:r w:rsidRPr="00762875">
        <w:rPr>
          <w:rFonts w:cs="Arial"/>
          <w:rtl/>
        </w:rPr>
        <w:t xml:space="preserve"> </w:t>
      </w:r>
      <w:r w:rsidRPr="00762875">
        <w:rPr>
          <w:rFonts w:cs="Arial" w:hint="cs"/>
          <w:sz w:val="16"/>
          <w:szCs w:val="16"/>
          <w:rtl/>
        </w:rPr>
        <w:t>(ס"פ</w:t>
      </w:r>
      <w:r w:rsidRPr="00762875">
        <w:rPr>
          <w:rFonts w:cs="Arial"/>
          <w:sz w:val="16"/>
          <w:szCs w:val="16"/>
          <w:rtl/>
        </w:rPr>
        <w:t xml:space="preserve"> </w:t>
      </w:r>
      <w:r w:rsidRPr="00762875">
        <w:rPr>
          <w:rFonts w:cs="Arial" w:hint="cs"/>
          <w:sz w:val="16"/>
          <w:szCs w:val="16"/>
          <w:rtl/>
        </w:rPr>
        <w:t>כל</w:t>
      </w:r>
      <w:r w:rsidRPr="00762875">
        <w:rPr>
          <w:rFonts w:cs="Arial"/>
          <w:sz w:val="16"/>
          <w:szCs w:val="16"/>
          <w:rtl/>
        </w:rPr>
        <w:t xml:space="preserve"> </w:t>
      </w:r>
      <w:r w:rsidRPr="00762875">
        <w:rPr>
          <w:rFonts w:cs="Arial" w:hint="cs"/>
          <w:sz w:val="16"/>
          <w:szCs w:val="16"/>
          <w:rtl/>
        </w:rPr>
        <w:t>כתבי</w:t>
      </w:r>
      <w:r w:rsidRPr="00762875">
        <w:rPr>
          <w:rFonts w:cs="Arial"/>
          <w:sz w:val="16"/>
          <w:szCs w:val="16"/>
          <w:rtl/>
        </w:rPr>
        <w:t xml:space="preserve"> </w:t>
      </w:r>
      <w:r w:rsidRPr="00762875">
        <w:rPr>
          <w:rFonts w:cs="Arial" w:hint="cs"/>
          <w:sz w:val="16"/>
          <w:szCs w:val="16"/>
          <w:rtl/>
        </w:rPr>
        <w:t>סי</w:t>
      </w:r>
      <w:r w:rsidRPr="00762875">
        <w:rPr>
          <w:rFonts w:cs="Arial"/>
          <w:sz w:val="16"/>
          <w:szCs w:val="16"/>
          <w:rtl/>
        </w:rPr>
        <w:t xml:space="preserve">' </w:t>
      </w:r>
      <w:r w:rsidRPr="00762875">
        <w:rPr>
          <w:rFonts w:cs="Arial" w:hint="cs"/>
          <w:sz w:val="16"/>
          <w:szCs w:val="16"/>
          <w:rtl/>
        </w:rPr>
        <w:t>תח</w:t>
      </w:r>
      <w:r w:rsidRPr="00762875">
        <w:rPr>
          <w:rFonts w:cs="Arial"/>
          <w:sz w:val="16"/>
          <w:szCs w:val="16"/>
          <w:rtl/>
        </w:rPr>
        <w:t>)</w:t>
      </w:r>
      <w:r>
        <w:rPr>
          <w:rFonts w:cs="Arial" w:hint="cs"/>
          <w:rtl/>
        </w:rPr>
        <w:t xml:space="preserve"> וטור</w:t>
      </w:r>
      <w:r>
        <w:rPr>
          <w:rStyle w:val="a9"/>
          <w:rFonts w:cs="Arial"/>
          <w:rtl/>
        </w:rPr>
        <w:footnoteReference w:id="610"/>
      </w:r>
      <w:r>
        <w:rPr>
          <w:rFonts w:cs="Arial" w:hint="cs"/>
          <w:rtl/>
        </w:rPr>
        <w:t xml:space="preserve"> </w:t>
      </w:r>
      <w:r>
        <w:rPr>
          <w:rFonts w:cs="Arial" w:hint="cs"/>
          <w:sz w:val="16"/>
          <w:szCs w:val="16"/>
          <w:rtl/>
        </w:rPr>
        <w:t>(ס"ס רפט)</w:t>
      </w:r>
      <w:r>
        <w:rPr>
          <w:rFonts w:cs="Arial" w:hint="cs"/>
          <w:rtl/>
        </w:rPr>
        <w:t>-</w:t>
      </w:r>
      <w:r w:rsidRPr="00762875">
        <w:rPr>
          <w:rFonts w:cs="Arial"/>
          <w:rtl/>
        </w:rPr>
        <w:t xml:space="preserve"> </w:t>
      </w:r>
      <w:r w:rsidRPr="00762875">
        <w:rPr>
          <w:rFonts w:cs="Arial" w:hint="cs"/>
          <w:rtl/>
        </w:rPr>
        <w:t>יה</w:t>
      </w:r>
      <w:r>
        <w:rPr>
          <w:rFonts w:cs="Arial" w:hint="cs"/>
          <w:rtl/>
        </w:rPr>
        <w:t>יה</w:t>
      </w:r>
      <w:r w:rsidRPr="00762875">
        <w:rPr>
          <w:rFonts w:cs="Arial"/>
          <w:rtl/>
        </w:rPr>
        <w:t xml:space="preserve"> </w:t>
      </w:r>
      <w:r w:rsidRPr="00762875">
        <w:rPr>
          <w:rFonts w:cs="Arial" w:hint="cs"/>
          <w:rtl/>
        </w:rPr>
        <w:t>שלחנו</w:t>
      </w:r>
      <w:r w:rsidRPr="00762875">
        <w:rPr>
          <w:rFonts w:cs="Arial"/>
          <w:rtl/>
        </w:rPr>
        <w:t xml:space="preserve"> </w:t>
      </w:r>
      <w:r w:rsidRPr="00762875">
        <w:rPr>
          <w:rFonts w:cs="Arial" w:hint="cs"/>
          <w:rtl/>
        </w:rPr>
        <w:t>מתוקן</w:t>
      </w:r>
      <w:r w:rsidRPr="00762875">
        <w:rPr>
          <w:rFonts w:cs="Arial"/>
          <w:rtl/>
        </w:rPr>
        <w:t xml:space="preserve"> </w:t>
      </w:r>
      <w:r w:rsidRPr="00762875">
        <w:rPr>
          <w:rFonts w:cs="Arial" w:hint="cs"/>
          <w:rtl/>
        </w:rPr>
        <w:t>כל</w:t>
      </w:r>
      <w:r w:rsidRPr="00762875">
        <w:rPr>
          <w:rFonts w:cs="Arial"/>
          <w:rtl/>
        </w:rPr>
        <w:t xml:space="preserve"> </w:t>
      </w:r>
      <w:r w:rsidRPr="00762875">
        <w:rPr>
          <w:rFonts w:cs="Arial" w:hint="cs"/>
          <w:rtl/>
        </w:rPr>
        <w:t>השבת</w:t>
      </w:r>
      <w:r w:rsidRPr="00762875">
        <w:rPr>
          <w:rFonts w:cs="Arial"/>
          <w:rtl/>
        </w:rPr>
        <w:t xml:space="preserve"> </w:t>
      </w:r>
      <w:r w:rsidRPr="00762875">
        <w:rPr>
          <w:rFonts w:cs="Arial" w:hint="cs"/>
          <w:rtl/>
        </w:rPr>
        <w:t>כולה</w:t>
      </w:r>
      <w:r>
        <w:rPr>
          <w:rStyle w:val="a9"/>
          <w:rFonts w:cs="Arial"/>
          <w:rtl/>
        </w:rPr>
        <w:footnoteReference w:id="611"/>
      </w:r>
      <w:r>
        <w:rPr>
          <w:rFonts w:cs="Arial" w:hint="cs"/>
          <w:sz w:val="16"/>
          <w:szCs w:val="16"/>
          <w:rtl/>
        </w:rPr>
        <w:t xml:space="preserve"> (ל' המרדכי)</w:t>
      </w:r>
      <w:r>
        <w:rPr>
          <w:rFonts w:cs="Arial" w:hint="cs"/>
          <w:rtl/>
        </w:rPr>
        <w:t xml:space="preserve">. </w:t>
      </w:r>
      <w:r w:rsidRPr="00D17D34">
        <w:rPr>
          <w:rFonts w:cs="Arial" w:hint="cs"/>
          <w:color w:val="00B0F0"/>
          <w:rtl/>
        </w:rPr>
        <w:t xml:space="preserve">(וכ"פ </w:t>
      </w:r>
      <w:r>
        <w:rPr>
          <w:rFonts w:cs="Arial" w:hint="cs"/>
          <w:color w:val="00B0F0"/>
          <w:rtl/>
        </w:rPr>
        <w:t>ה</w:t>
      </w:r>
      <w:r w:rsidRPr="00D17D34">
        <w:rPr>
          <w:rFonts w:cs="Arial" w:hint="cs"/>
          <w:color w:val="00B0F0"/>
          <w:rtl/>
        </w:rPr>
        <w:t>רמ"א)</w:t>
      </w:r>
    </w:p>
    <w:p w14:paraId="49A873BD" w14:textId="77777777" w:rsidR="004B2E7C" w:rsidRPr="00D17D34" w:rsidRDefault="004B2E7C" w:rsidP="00434A6A">
      <w:pPr>
        <w:rPr>
          <w:rFonts w:cs="Arial"/>
          <w:u w:val="single"/>
        </w:rPr>
      </w:pPr>
      <w:r w:rsidRPr="00D17D34">
        <w:rPr>
          <w:rFonts w:cs="Arial" w:hint="cs"/>
          <w:u w:val="single"/>
          <w:rtl/>
        </w:rPr>
        <w:t>זריקת דבר מחות לשולחן שבת:</w:t>
      </w:r>
      <w:r>
        <w:rPr>
          <w:rFonts w:cs="Arial" w:hint="cs"/>
          <w:rtl/>
        </w:rPr>
        <w:t xml:space="preserve"> </w:t>
      </w:r>
      <w:r w:rsidRPr="00762875">
        <w:rPr>
          <w:rFonts w:cs="Arial" w:hint="cs"/>
          <w:sz w:val="16"/>
          <w:szCs w:val="16"/>
          <w:rtl/>
        </w:rPr>
        <w:t xml:space="preserve"> </w:t>
      </w:r>
      <w:r w:rsidRPr="00762875">
        <w:rPr>
          <w:rFonts w:cs="Arial"/>
          <w:sz w:val="16"/>
          <w:szCs w:val="16"/>
          <w:rtl/>
        </w:rPr>
        <w:t>(</w:t>
      </w:r>
      <w:r w:rsidRPr="00762875">
        <w:rPr>
          <w:rFonts w:cs="Arial" w:hint="cs"/>
          <w:sz w:val="16"/>
          <w:szCs w:val="16"/>
          <w:rtl/>
        </w:rPr>
        <w:t>דרכ"מ אות א</w:t>
      </w:r>
      <w:r w:rsidRPr="00762875">
        <w:rPr>
          <w:rFonts w:cs="Arial"/>
          <w:sz w:val="16"/>
          <w:szCs w:val="16"/>
          <w:rtl/>
        </w:rPr>
        <w:t>)</w:t>
      </w:r>
    </w:p>
    <w:p w14:paraId="5E6CF1ED" w14:textId="77777777" w:rsidR="004B2E7C" w:rsidRPr="00762875" w:rsidRDefault="004B2E7C" w:rsidP="00FF2D21">
      <w:pPr>
        <w:pStyle w:val="aa"/>
        <w:numPr>
          <w:ilvl w:val="0"/>
          <w:numId w:val="87"/>
        </w:numPr>
        <w:rPr>
          <w:rFonts w:cs="Arial"/>
          <w:rtl/>
        </w:rPr>
      </w:pPr>
      <w:r w:rsidRPr="00762875">
        <w:rPr>
          <w:rFonts w:cs="Arial" w:hint="cs"/>
          <w:rtl/>
        </w:rPr>
        <w:t>מהרי</w:t>
      </w:r>
      <w:r w:rsidRPr="00762875">
        <w:rPr>
          <w:rFonts w:cs="Arial"/>
          <w:rtl/>
        </w:rPr>
        <w:t>"</w:t>
      </w:r>
      <w:r w:rsidRPr="00762875">
        <w:rPr>
          <w:rFonts w:cs="Arial" w:hint="cs"/>
          <w:rtl/>
        </w:rPr>
        <w:t>ו</w:t>
      </w:r>
      <w:r w:rsidRPr="00762875">
        <w:rPr>
          <w:rFonts w:cs="Arial"/>
          <w:rtl/>
        </w:rPr>
        <w:t xml:space="preserve"> </w:t>
      </w:r>
      <w:r w:rsidRPr="00D17D34">
        <w:rPr>
          <w:rFonts w:cs="Arial"/>
          <w:sz w:val="16"/>
          <w:szCs w:val="16"/>
          <w:rtl/>
        </w:rPr>
        <w:t>(</w:t>
      </w:r>
      <w:r w:rsidRPr="00D17D34">
        <w:rPr>
          <w:rFonts w:cs="Arial" w:hint="cs"/>
          <w:sz w:val="16"/>
          <w:szCs w:val="16"/>
          <w:rtl/>
        </w:rPr>
        <w:t>דינין</w:t>
      </w:r>
      <w:r w:rsidRPr="00D17D34">
        <w:rPr>
          <w:rFonts w:cs="Arial"/>
          <w:sz w:val="16"/>
          <w:szCs w:val="16"/>
          <w:rtl/>
        </w:rPr>
        <w:t xml:space="preserve"> </w:t>
      </w:r>
      <w:r w:rsidRPr="00D17D34">
        <w:rPr>
          <w:rFonts w:cs="Arial" w:hint="cs"/>
          <w:sz w:val="16"/>
          <w:szCs w:val="16"/>
          <w:rtl/>
        </w:rPr>
        <w:t>והלכות</w:t>
      </w:r>
      <w:r w:rsidRPr="00D17D34">
        <w:rPr>
          <w:rFonts w:cs="Arial"/>
          <w:sz w:val="16"/>
          <w:szCs w:val="16"/>
          <w:rtl/>
        </w:rPr>
        <w:t xml:space="preserve"> </w:t>
      </w:r>
      <w:r w:rsidRPr="00D17D34">
        <w:rPr>
          <w:rFonts w:cs="Arial" w:hint="cs"/>
          <w:sz w:val="16"/>
          <w:szCs w:val="16"/>
          <w:rtl/>
        </w:rPr>
        <w:t>בסוף</w:t>
      </w:r>
      <w:r w:rsidRPr="00D17D34">
        <w:rPr>
          <w:rFonts w:cs="Arial"/>
          <w:sz w:val="16"/>
          <w:szCs w:val="16"/>
          <w:rtl/>
        </w:rPr>
        <w:t xml:space="preserve"> </w:t>
      </w:r>
      <w:r w:rsidRPr="00D17D34">
        <w:rPr>
          <w:rFonts w:cs="Arial" w:hint="cs"/>
          <w:sz w:val="16"/>
          <w:szCs w:val="16"/>
          <w:rtl/>
        </w:rPr>
        <w:t>שו</w:t>
      </w:r>
      <w:r w:rsidRPr="00D17D34">
        <w:rPr>
          <w:rFonts w:cs="Arial"/>
          <w:sz w:val="16"/>
          <w:szCs w:val="16"/>
          <w:rtl/>
        </w:rPr>
        <w:t>"</w:t>
      </w:r>
      <w:r w:rsidRPr="00D17D34">
        <w:rPr>
          <w:rFonts w:cs="Arial" w:hint="cs"/>
          <w:sz w:val="16"/>
          <w:szCs w:val="16"/>
          <w:rtl/>
        </w:rPr>
        <w:t>ת</w:t>
      </w:r>
      <w:r w:rsidRPr="00D17D34">
        <w:rPr>
          <w:rFonts w:cs="Arial"/>
          <w:sz w:val="16"/>
          <w:szCs w:val="16"/>
          <w:rtl/>
        </w:rPr>
        <w:t xml:space="preserve"> </w:t>
      </w:r>
      <w:r w:rsidRPr="00D17D34">
        <w:rPr>
          <w:rFonts w:cs="Arial" w:hint="cs"/>
          <w:sz w:val="16"/>
          <w:szCs w:val="16"/>
          <w:rtl/>
        </w:rPr>
        <w:t>מהר</w:t>
      </w:r>
      <w:r w:rsidRPr="00D17D34">
        <w:rPr>
          <w:rFonts w:cs="Arial"/>
          <w:sz w:val="16"/>
          <w:szCs w:val="16"/>
          <w:rtl/>
        </w:rPr>
        <w:t>"</w:t>
      </w:r>
      <w:r w:rsidRPr="00D17D34">
        <w:rPr>
          <w:rFonts w:cs="Arial" w:hint="cs"/>
          <w:sz w:val="16"/>
          <w:szCs w:val="16"/>
          <w:rtl/>
        </w:rPr>
        <w:t>י</w:t>
      </w:r>
      <w:r w:rsidRPr="00D17D34">
        <w:rPr>
          <w:rFonts w:cs="Arial"/>
          <w:sz w:val="16"/>
          <w:szCs w:val="16"/>
          <w:rtl/>
        </w:rPr>
        <w:t xml:space="preserve"> </w:t>
      </w:r>
      <w:r w:rsidRPr="00D17D34">
        <w:rPr>
          <w:rFonts w:cs="Arial" w:hint="cs"/>
          <w:sz w:val="16"/>
          <w:szCs w:val="16"/>
          <w:rtl/>
        </w:rPr>
        <w:t>ווייל</w:t>
      </w:r>
      <w:r w:rsidRPr="00D17D34">
        <w:rPr>
          <w:rFonts w:cs="Arial"/>
          <w:sz w:val="16"/>
          <w:szCs w:val="16"/>
          <w:rtl/>
        </w:rPr>
        <w:t xml:space="preserve"> </w:t>
      </w:r>
      <w:r w:rsidRPr="00D17D34">
        <w:rPr>
          <w:rFonts w:cs="Arial" w:hint="cs"/>
          <w:sz w:val="16"/>
          <w:szCs w:val="16"/>
          <w:rtl/>
        </w:rPr>
        <w:t>אות</w:t>
      </w:r>
      <w:r w:rsidRPr="00D17D34">
        <w:rPr>
          <w:rFonts w:cs="Arial"/>
          <w:sz w:val="16"/>
          <w:szCs w:val="16"/>
          <w:rtl/>
        </w:rPr>
        <w:t xml:space="preserve"> </w:t>
      </w:r>
      <w:r w:rsidRPr="00D17D34">
        <w:rPr>
          <w:rFonts w:cs="Arial" w:hint="cs"/>
          <w:sz w:val="16"/>
          <w:szCs w:val="16"/>
          <w:rtl/>
        </w:rPr>
        <w:t>ט</w:t>
      </w:r>
      <w:r w:rsidRPr="00D17D34">
        <w:rPr>
          <w:rFonts w:cs="Arial"/>
          <w:sz w:val="16"/>
          <w:szCs w:val="16"/>
          <w:rtl/>
        </w:rPr>
        <w:t>)</w:t>
      </w:r>
      <w:r>
        <w:rPr>
          <w:rFonts w:cs="Arial" w:hint="cs"/>
          <w:rtl/>
        </w:rPr>
        <w:t>-</w:t>
      </w:r>
      <w:r w:rsidRPr="00762875">
        <w:rPr>
          <w:rFonts w:cs="Arial"/>
          <w:rtl/>
        </w:rPr>
        <w:t xml:space="preserve"> </w:t>
      </w:r>
      <w:r w:rsidRPr="00762875">
        <w:rPr>
          <w:rFonts w:cs="Arial" w:hint="cs"/>
          <w:rtl/>
        </w:rPr>
        <w:t>דמותר</w:t>
      </w:r>
      <w:r w:rsidRPr="00762875">
        <w:rPr>
          <w:rFonts w:cs="Arial"/>
          <w:rtl/>
        </w:rPr>
        <w:t xml:space="preserve"> </w:t>
      </w:r>
      <w:r w:rsidRPr="00762875">
        <w:rPr>
          <w:rFonts w:cs="Arial" w:hint="cs"/>
          <w:rtl/>
        </w:rPr>
        <w:t>לזרוק</w:t>
      </w:r>
      <w:r w:rsidRPr="00762875">
        <w:rPr>
          <w:rFonts w:cs="Arial"/>
          <w:rtl/>
        </w:rPr>
        <w:t xml:space="preserve"> </w:t>
      </w:r>
      <w:r w:rsidRPr="00762875">
        <w:rPr>
          <w:rFonts w:cs="Arial" w:hint="cs"/>
          <w:rtl/>
        </w:rPr>
        <w:t>דבר</w:t>
      </w:r>
      <w:r w:rsidRPr="00762875">
        <w:rPr>
          <w:rFonts w:cs="Arial"/>
          <w:rtl/>
        </w:rPr>
        <w:t xml:space="preserve"> </w:t>
      </w:r>
      <w:r w:rsidRPr="00762875">
        <w:rPr>
          <w:rFonts w:cs="Arial" w:hint="cs"/>
          <w:rtl/>
        </w:rPr>
        <w:t>מחוץ</w:t>
      </w:r>
      <w:r w:rsidRPr="00762875">
        <w:rPr>
          <w:rFonts w:cs="Arial"/>
          <w:rtl/>
        </w:rPr>
        <w:t xml:space="preserve"> </w:t>
      </w:r>
      <w:r w:rsidRPr="00762875">
        <w:rPr>
          <w:rFonts w:cs="Arial" w:hint="cs"/>
          <w:rtl/>
        </w:rPr>
        <w:t>לשלחן</w:t>
      </w:r>
      <w:r w:rsidRPr="00762875">
        <w:rPr>
          <w:rFonts w:cs="Arial"/>
          <w:rtl/>
        </w:rPr>
        <w:t xml:space="preserve"> </w:t>
      </w:r>
      <w:r w:rsidRPr="00762875">
        <w:rPr>
          <w:rFonts w:cs="Arial" w:hint="cs"/>
          <w:rtl/>
        </w:rPr>
        <w:t>ואין</w:t>
      </w:r>
      <w:r w:rsidRPr="00762875">
        <w:rPr>
          <w:rFonts w:cs="Arial"/>
          <w:rtl/>
        </w:rPr>
        <w:t xml:space="preserve"> </w:t>
      </w:r>
      <w:r w:rsidRPr="00762875">
        <w:rPr>
          <w:rFonts w:cs="Arial" w:hint="cs"/>
          <w:rtl/>
        </w:rPr>
        <w:t>לחוש</w:t>
      </w:r>
      <w:r w:rsidRPr="00762875">
        <w:rPr>
          <w:rFonts w:cs="Arial"/>
          <w:rtl/>
        </w:rPr>
        <w:t xml:space="preserve"> </w:t>
      </w:r>
      <w:r w:rsidRPr="00762875">
        <w:rPr>
          <w:rFonts w:cs="Arial" w:hint="cs"/>
          <w:rtl/>
        </w:rPr>
        <w:t>לאותן</w:t>
      </w:r>
      <w:r w:rsidRPr="00762875">
        <w:rPr>
          <w:rFonts w:cs="Arial"/>
          <w:rtl/>
        </w:rPr>
        <w:t xml:space="preserve"> </w:t>
      </w:r>
      <w:r w:rsidRPr="00762875">
        <w:rPr>
          <w:rFonts w:cs="Arial" w:hint="cs"/>
          <w:rtl/>
        </w:rPr>
        <w:t>שאומרים</w:t>
      </w:r>
      <w:r w:rsidRPr="00762875">
        <w:rPr>
          <w:rFonts w:cs="Arial"/>
          <w:rtl/>
        </w:rPr>
        <w:t xml:space="preserve"> </w:t>
      </w:r>
      <w:r w:rsidRPr="00762875">
        <w:rPr>
          <w:rFonts w:cs="Arial" w:hint="cs"/>
          <w:rtl/>
        </w:rPr>
        <w:t>שזורקין</w:t>
      </w:r>
      <w:r w:rsidRPr="00762875">
        <w:rPr>
          <w:rFonts w:cs="Arial"/>
          <w:rtl/>
        </w:rPr>
        <w:t xml:space="preserve"> </w:t>
      </w:r>
      <w:r w:rsidRPr="00762875">
        <w:rPr>
          <w:rFonts w:cs="Arial" w:hint="cs"/>
          <w:rtl/>
        </w:rPr>
        <w:t>המלאך</w:t>
      </w:r>
      <w:r>
        <w:rPr>
          <w:rStyle w:val="a9"/>
          <w:rFonts w:cs="Arial"/>
          <w:rtl/>
        </w:rPr>
        <w:footnoteReference w:id="612"/>
      </w:r>
      <w:r>
        <w:rPr>
          <w:rFonts w:cs="Arial" w:hint="cs"/>
          <w:rtl/>
        </w:rPr>
        <w:t>.</w:t>
      </w:r>
      <w:r w:rsidRPr="00762875">
        <w:rPr>
          <w:rFonts w:cs="Arial"/>
          <w:rtl/>
        </w:rPr>
        <w:t xml:space="preserve"> </w:t>
      </w:r>
    </w:p>
    <w:p w14:paraId="1489E9E4"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09DE8CAC" w14:textId="77777777" w:rsidR="004B2E7C" w:rsidRDefault="004B2E7C" w:rsidP="00434A6A">
      <w:pPr>
        <w:rPr>
          <w:rFonts w:asciiTheme="minorBidi" w:hAnsiTheme="minorBidi"/>
          <w:rtl/>
        </w:rPr>
      </w:pPr>
      <w:r w:rsidRPr="00CC2350">
        <w:rPr>
          <w:rFonts w:asciiTheme="minorBidi" w:hAnsiTheme="minorBidi" w:cs="Arial"/>
          <w:rtl/>
        </w:rPr>
        <w:t>יסדר שולחנו ויציע המטות ויתקן כל ענייני הבית, כדי שימצאנו ערוך ומסודר בבואו מב</w:t>
      </w:r>
      <w:r>
        <w:rPr>
          <w:rFonts w:asciiTheme="minorBidi" w:hAnsiTheme="minorBidi" w:cs="Arial" w:hint="cs"/>
          <w:rtl/>
        </w:rPr>
        <w:t xml:space="preserve">ית </w:t>
      </w:r>
      <w:r w:rsidRPr="00CC2350">
        <w:rPr>
          <w:rFonts w:asciiTheme="minorBidi" w:hAnsiTheme="minorBidi" w:cs="Arial"/>
          <w:rtl/>
        </w:rPr>
        <w:t>הכנ</w:t>
      </w:r>
      <w:r>
        <w:rPr>
          <w:rFonts w:asciiTheme="minorBidi" w:hAnsiTheme="minorBidi" w:cs="Arial" w:hint="cs"/>
          <w:rtl/>
        </w:rPr>
        <w:t>סת</w:t>
      </w:r>
      <w:r w:rsidRPr="00CC2350">
        <w:rPr>
          <w:rFonts w:asciiTheme="minorBidi" w:hAnsiTheme="minorBidi" w:cs="Arial"/>
          <w:rtl/>
        </w:rPr>
        <w:t xml:space="preserve">. </w:t>
      </w:r>
      <w:r w:rsidRPr="003769D9">
        <w:rPr>
          <w:rFonts w:asciiTheme="minorBidi" w:hAnsiTheme="minorBidi" w:cs="Arial"/>
          <w:sz w:val="18"/>
          <w:szCs w:val="18"/>
          <w:rtl/>
        </w:rPr>
        <w:t>הגה: ויהיה שלחנו ערוך כל יום השבת</w:t>
      </w:r>
      <w:r>
        <w:rPr>
          <w:rFonts w:asciiTheme="minorBidi" w:hAnsiTheme="minorBidi" w:cs="Arial" w:hint="cs"/>
          <w:sz w:val="18"/>
          <w:szCs w:val="18"/>
          <w:rtl/>
        </w:rPr>
        <w:t>.</w:t>
      </w:r>
      <w:r w:rsidRPr="003769D9">
        <w:rPr>
          <w:rFonts w:asciiTheme="minorBidi" w:hAnsiTheme="minorBidi" w:cs="Arial"/>
          <w:sz w:val="18"/>
          <w:szCs w:val="18"/>
          <w:rtl/>
        </w:rPr>
        <w:t xml:space="preserve"> וכן המנהג, ואין לשנות (טור ס"ס רפ"ט ומרדכי ס</w:t>
      </w:r>
      <w:r>
        <w:rPr>
          <w:rFonts w:asciiTheme="minorBidi" w:hAnsiTheme="minorBidi" w:cs="Arial" w:hint="cs"/>
          <w:sz w:val="18"/>
          <w:szCs w:val="18"/>
          <w:rtl/>
        </w:rPr>
        <w:t>"</w:t>
      </w:r>
      <w:r w:rsidRPr="003769D9">
        <w:rPr>
          <w:rFonts w:asciiTheme="minorBidi" w:hAnsiTheme="minorBidi" w:cs="Arial"/>
          <w:sz w:val="18"/>
          <w:szCs w:val="18"/>
          <w:rtl/>
        </w:rPr>
        <w:t xml:space="preserve">פ כל כתבי והגהות מרדכי פכ"ט דשבת). </w:t>
      </w:r>
    </w:p>
    <w:p w14:paraId="39C768D8" w14:textId="77777777" w:rsidR="004B2E7C" w:rsidRPr="00CC2350" w:rsidRDefault="004B2E7C" w:rsidP="00434A6A">
      <w:pPr>
        <w:rPr>
          <w:rFonts w:asciiTheme="minorBidi" w:hAnsiTheme="minorBidi"/>
          <w:rtl/>
        </w:rPr>
      </w:pPr>
    </w:p>
    <w:p w14:paraId="320DEF73" w14:textId="77777777" w:rsidR="004B2E7C" w:rsidRDefault="004B2E7C" w:rsidP="00434A6A">
      <w:pPr>
        <w:pStyle w:val="2"/>
        <w:rPr>
          <w:rtl/>
        </w:rPr>
      </w:pPr>
      <w:r w:rsidRPr="00CC2350">
        <w:rPr>
          <w:rtl/>
        </w:rPr>
        <w:t>סעיף ב</w:t>
      </w:r>
      <w:r>
        <w:rPr>
          <w:rFonts w:hint="cs"/>
          <w:rtl/>
        </w:rPr>
        <w:t>: בגדים נאים לשבת.</w:t>
      </w:r>
    </w:p>
    <w:p w14:paraId="5BA7E578" w14:textId="77777777" w:rsidR="004B2E7C" w:rsidRDefault="004B2E7C" w:rsidP="00434A6A">
      <w:pPr>
        <w:rPr>
          <w:rtl/>
        </w:rPr>
      </w:pPr>
      <w:r w:rsidRPr="00565331">
        <w:rPr>
          <w:rFonts w:cs="Arial" w:hint="cs"/>
          <w:b/>
          <w:bCs/>
          <w:rtl/>
        </w:rPr>
        <w:t xml:space="preserve">שבת </w:t>
      </w:r>
      <w:r w:rsidRPr="00762875">
        <w:rPr>
          <w:rFonts w:cs="Arial" w:hint="cs"/>
          <w:b/>
          <w:bCs/>
          <w:sz w:val="16"/>
          <w:szCs w:val="16"/>
          <w:rtl/>
        </w:rPr>
        <w:t xml:space="preserve">(פ' </w:t>
      </w:r>
      <w:r>
        <w:rPr>
          <w:rFonts w:cs="Arial" w:hint="cs"/>
          <w:b/>
          <w:bCs/>
          <w:sz w:val="16"/>
          <w:szCs w:val="16"/>
          <w:rtl/>
        </w:rPr>
        <w:t>אלו קשרים</w:t>
      </w:r>
      <w:r w:rsidRPr="00762875">
        <w:rPr>
          <w:rFonts w:cs="Arial" w:hint="cs"/>
          <w:b/>
          <w:bCs/>
          <w:sz w:val="16"/>
          <w:szCs w:val="16"/>
          <w:rtl/>
        </w:rPr>
        <w:t xml:space="preserve">) </w:t>
      </w:r>
      <w:r w:rsidRPr="00565331">
        <w:rPr>
          <w:rFonts w:cs="Arial" w:hint="cs"/>
          <w:b/>
          <w:bCs/>
          <w:rtl/>
        </w:rPr>
        <w:t>קי</w:t>
      </w:r>
      <w:r>
        <w:rPr>
          <w:rFonts w:cs="Arial" w:hint="cs"/>
          <w:b/>
          <w:bCs/>
          <w:rtl/>
        </w:rPr>
        <w:t>ג</w:t>
      </w:r>
      <w:r w:rsidRPr="00565331">
        <w:rPr>
          <w:rFonts w:cs="Arial" w:hint="cs"/>
          <w:b/>
          <w:bCs/>
          <w:rtl/>
        </w:rPr>
        <w:t xml:space="preserve"> ע"</w:t>
      </w:r>
      <w:r>
        <w:rPr>
          <w:rFonts w:cs="Arial" w:hint="cs"/>
          <w:b/>
          <w:bCs/>
          <w:rtl/>
        </w:rPr>
        <w:t>א</w:t>
      </w:r>
      <w:r w:rsidRPr="00565331">
        <w:rPr>
          <w:rFonts w:cs="Arial" w:hint="cs"/>
          <w:b/>
          <w:bCs/>
          <w:rtl/>
        </w:rPr>
        <w:t xml:space="preserve">: </w:t>
      </w:r>
      <w:r w:rsidRPr="007259D1">
        <w:rPr>
          <w:rFonts w:cs="Arial" w:hint="cs"/>
          <w:rtl/>
        </w:rPr>
        <w:t>אמר</w:t>
      </w:r>
      <w:r w:rsidRPr="007259D1">
        <w:rPr>
          <w:rFonts w:cs="Arial"/>
          <w:rtl/>
        </w:rPr>
        <w:t xml:space="preserve"> </w:t>
      </w:r>
      <w:r w:rsidRPr="007259D1">
        <w:rPr>
          <w:rFonts w:cs="Arial" w:hint="cs"/>
          <w:rtl/>
        </w:rPr>
        <w:t>רב</w:t>
      </w:r>
      <w:r w:rsidRPr="007259D1">
        <w:rPr>
          <w:rFonts w:cs="Arial"/>
          <w:rtl/>
        </w:rPr>
        <w:t xml:space="preserve"> </w:t>
      </w:r>
      <w:r w:rsidRPr="007259D1">
        <w:rPr>
          <w:rFonts w:cs="Arial" w:hint="cs"/>
          <w:rtl/>
        </w:rPr>
        <w:t>הונא</w:t>
      </w:r>
      <w:r w:rsidRPr="007259D1">
        <w:rPr>
          <w:rFonts w:cs="Arial"/>
          <w:rtl/>
        </w:rPr>
        <w:t xml:space="preserve">: </w:t>
      </w:r>
      <w:r w:rsidRPr="007259D1">
        <w:rPr>
          <w:rFonts w:cs="Arial" w:hint="cs"/>
          <w:rtl/>
        </w:rPr>
        <w:t>אם</w:t>
      </w:r>
      <w:r w:rsidRPr="007259D1">
        <w:rPr>
          <w:rFonts w:cs="Arial"/>
          <w:rtl/>
        </w:rPr>
        <w:t xml:space="preserve"> </w:t>
      </w:r>
      <w:r w:rsidRPr="007259D1">
        <w:rPr>
          <w:rFonts w:cs="Arial" w:hint="cs"/>
          <w:rtl/>
        </w:rPr>
        <w:t>יש</w:t>
      </w:r>
      <w:r w:rsidRPr="007259D1">
        <w:rPr>
          <w:rFonts w:cs="Arial"/>
          <w:rtl/>
        </w:rPr>
        <w:t xml:space="preserve"> </w:t>
      </w:r>
      <w:r w:rsidRPr="007259D1">
        <w:rPr>
          <w:rFonts w:cs="Arial" w:hint="cs"/>
          <w:rtl/>
        </w:rPr>
        <w:t>לו</w:t>
      </w:r>
      <w:r w:rsidRPr="007259D1">
        <w:rPr>
          <w:rFonts w:cs="Arial"/>
          <w:rtl/>
        </w:rPr>
        <w:t xml:space="preserve"> </w:t>
      </w:r>
      <w:r w:rsidRPr="007259D1">
        <w:rPr>
          <w:rFonts w:cs="Arial" w:hint="cs"/>
          <w:rtl/>
        </w:rPr>
        <w:t>להחליף</w:t>
      </w:r>
      <w:r w:rsidRPr="007259D1">
        <w:rPr>
          <w:rFonts w:cs="Arial"/>
          <w:rtl/>
        </w:rPr>
        <w:t xml:space="preserve"> - </w:t>
      </w:r>
      <w:r w:rsidRPr="007259D1">
        <w:rPr>
          <w:rFonts w:cs="Arial" w:hint="cs"/>
          <w:rtl/>
        </w:rPr>
        <w:t>יחליף</w:t>
      </w:r>
      <w:r w:rsidRPr="007259D1">
        <w:rPr>
          <w:rFonts w:cs="Arial"/>
          <w:rtl/>
        </w:rPr>
        <w:t xml:space="preserve">, </w:t>
      </w:r>
      <w:r w:rsidRPr="007259D1">
        <w:rPr>
          <w:rFonts w:cs="Arial" w:hint="cs"/>
          <w:rtl/>
        </w:rPr>
        <w:t>ואם</w:t>
      </w:r>
      <w:r w:rsidRPr="007259D1">
        <w:rPr>
          <w:rFonts w:cs="Arial"/>
          <w:rtl/>
        </w:rPr>
        <w:t xml:space="preserve"> </w:t>
      </w:r>
      <w:r w:rsidRPr="007259D1">
        <w:rPr>
          <w:rFonts w:cs="Arial" w:hint="cs"/>
          <w:rtl/>
        </w:rPr>
        <w:t>אין</w:t>
      </w:r>
      <w:r w:rsidRPr="007259D1">
        <w:rPr>
          <w:rFonts w:cs="Arial"/>
          <w:rtl/>
        </w:rPr>
        <w:t xml:space="preserve"> </w:t>
      </w:r>
      <w:r w:rsidRPr="007259D1">
        <w:rPr>
          <w:rFonts w:cs="Arial" w:hint="cs"/>
          <w:rtl/>
        </w:rPr>
        <w:t>לו</w:t>
      </w:r>
      <w:r w:rsidRPr="007259D1">
        <w:rPr>
          <w:rFonts w:cs="Arial"/>
          <w:rtl/>
        </w:rPr>
        <w:t xml:space="preserve"> </w:t>
      </w:r>
      <w:r w:rsidRPr="007259D1">
        <w:rPr>
          <w:rFonts w:cs="Arial" w:hint="cs"/>
          <w:rtl/>
        </w:rPr>
        <w:t>להחליף</w:t>
      </w:r>
      <w:r w:rsidRPr="007259D1">
        <w:rPr>
          <w:rFonts w:cs="Arial"/>
          <w:rtl/>
        </w:rPr>
        <w:t xml:space="preserve"> - </w:t>
      </w:r>
      <w:r w:rsidRPr="007259D1">
        <w:rPr>
          <w:rFonts w:cs="Arial" w:hint="cs"/>
          <w:rtl/>
        </w:rPr>
        <w:t>ישלשל</w:t>
      </w:r>
      <w:r w:rsidRPr="007259D1">
        <w:rPr>
          <w:rFonts w:cs="Arial"/>
          <w:rtl/>
        </w:rPr>
        <w:t xml:space="preserve"> </w:t>
      </w:r>
      <w:r w:rsidRPr="007259D1">
        <w:rPr>
          <w:rFonts w:cs="Arial" w:hint="cs"/>
          <w:rtl/>
        </w:rPr>
        <w:t>בבגדיו</w:t>
      </w:r>
      <w:r>
        <w:rPr>
          <w:rStyle w:val="a9"/>
          <w:rFonts w:cs="Arial"/>
          <w:rtl/>
        </w:rPr>
        <w:footnoteReference w:id="613"/>
      </w:r>
      <w:r w:rsidRPr="007259D1">
        <w:rPr>
          <w:rFonts w:cs="Arial"/>
          <w:rtl/>
        </w:rPr>
        <w:t xml:space="preserve">. </w:t>
      </w:r>
      <w:r w:rsidRPr="007259D1">
        <w:rPr>
          <w:rFonts w:cs="Arial" w:hint="cs"/>
          <w:rtl/>
        </w:rPr>
        <w:t>מתקיף</w:t>
      </w:r>
      <w:r w:rsidRPr="007259D1">
        <w:rPr>
          <w:rFonts w:cs="Arial"/>
          <w:rtl/>
        </w:rPr>
        <w:t xml:space="preserve"> </w:t>
      </w:r>
      <w:r w:rsidRPr="007259D1">
        <w:rPr>
          <w:rFonts w:cs="Arial" w:hint="cs"/>
          <w:rtl/>
        </w:rPr>
        <w:t>לה</w:t>
      </w:r>
      <w:r w:rsidRPr="007259D1">
        <w:rPr>
          <w:rFonts w:cs="Arial"/>
          <w:rtl/>
        </w:rPr>
        <w:t xml:space="preserve"> </w:t>
      </w:r>
      <w:r w:rsidRPr="007259D1">
        <w:rPr>
          <w:rFonts w:cs="Arial" w:hint="cs"/>
          <w:rtl/>
        </w:rPr>
        <w:t>רב</w:t>
      </w:r>
      <w:r w:rsidRPr="007259D1">
        <w:rPr>
          <w:rFonts w:cs="Arial"/>
          <w:rtl/>
        </w:rPr>
        <w:t xml:space="preserve"> </w:t>
      </w:r>
      <w:r w:rsidRPr="007259D1">
        <w:rPr>
          <w:rFonts w:cs="Arial" w:hint="cs"/>
          <w:rtl/>
        </w:rPr>
        <w:t>ספרא</w:t>
      </w:r>
      <w:r w:rsidRPr="007259D1">
        <w:rPr>
          <w:rFonts w:cs="Arial"/>
          <w:rtl/>
        </w:rPr>
        <w:t xml:space="preserve">: </w:t>
      </w:r>
      <w:r w:rsidRPr="007259D1">
        <w:rPr>
          <w:rFonts w:cs="Arial" w:hint="cs"/>
          <w:rtl/>
        </w:rPr>
        <w:t>והא</w:t>
      </w:r>
      <w:r w:rsidRPr="007259D1">
        <w:rPr>
          <w:rFonts w:cs="Arial"/>
          <w:rtl/>
        </w:rPr>
        <w:t xml:space="preserve"> </w:t>
      </w:r>
      <w:r w:rsidRPr="007259D1">
        <w:rPr>
          <w:rFonts w:cs="Arial" w:hint="cs"/>
          <w:rtl/>
        </w:rPr>
        <w:t>מיתחזי</w:t>
      </w:r>
      <w:r w:rsidRPr="007259D1">
        <w:rPr>
          <w:rFonts w:cs="Arial"/>
          <w:rtl/>
        </w:rPr>
        <w:t xml:space="preserve"> </w:t>
      </w:r>
      <w:r w:rsidRPr="007259D1">
        <w:rPr>
          <w:rFonts w:cs="Arial" w:hint="cs"/>
          <w:rtl/>
        </w:rPr>
        <w:t>כרמות</w:t>
      </w:r>
      <w:r w:rsidRPr="007259D1">
        <w:rPr>
          <w:rFonts w:cs="Arial"/>
          <w:rtl/>
        </w:rPr>
        <w:t xml:space="preserve"> </w:t>
      </w:r>
      <w:r w:rsidRPr="007259D1">
        <w:rPr>
          <w:rFonts w:cs="Arial" w:hint="cs"/>
          <w:rtl/>
        </w:rPr>
        <w:t>רוחא</w:t>
      </w:r>
      <w:r w:rsidRPr="007259D1">
        <w:rPr>
          <w:rFonts w:cs="Arial"/>
          <w:rtl/>
        </w:rPr>
        <w:t xml:space="preserve">! - </w:t>
      </w:r>
      <w:r w:rsidRPr="007259D1">
        <w:rPr>
          <w:rFonts w:cs="Arial" w:hint="cs"/>
          <w:rtl/>
        </w:rPr>
        <w:t>כיון</w:t>
      </w:r>
      <w:r w:rsidRPr="007259D1">
        <w:rPr>
          <w:rFonts w:cs="Arial"/>
          <w:rtl/>
        </w:rPr>
        <w:t xml:space="preserve"> </w:t>
      </w:r>
      <w:r w:rsidRPr="007259D1">
        <w:rPr>
          <w:rFonts w:cs="Arial" w:hint="cs"/>
          <w:rtl/>
        </w:rPr>
        <w:t>דכל</w:t>
      </w:r>
      <w:r w:rsidRPr="007259D1">
        <w:rPr>
          <w:rFonts w:cs="Arial"/>
          <w:rtl/>
        </w:rPr>
        <w:t xml:space="preserve"> </w:t>
      </w:r>
      <w:r w:rsidRPr="007259D1">
        <w:rPr>
          <w:rFonts w:cs="Arial" w:hint="cs"/>
          <w:rtl/>
        </w:rPr>
        <w:t>יומא</w:t>
      </w:r>
      <w:r w:rsidRPr="007259D1">
        <w:rPr>
          <w:rFonts w:cs="Arial"/>
          <w:rtl/>
        </w:rPr>
        <w:t xml:space="preserve"> </w:t>
      </w:r>
      <w:r w:rsidRPr="007259D1">
        <w:rPr>
          <w:rFonts w:cs="Arial" w:hint="cs"/>
          <w:rtl/>
        </w:rPr>
        <w:t>לא</w:t>
      </w:r>
      <w:r w:rsidRPr="007259D1">
        <w:rPr>
          <w:rFonts w:cs="Arial"/>
          <w:rtl/>
        </w:rPr>
        <w:t xml:space="preserve"> </w:t>
      </w:r>
      <w:r w:rsidRPr="007259D1">
        <w:rPr>
          <w:rFonts w:cs="Arial" w:hint="cs"/>
          <w:rtl/>
        </w:rPr>
        <w:t>קעביד</w:t>
      </w:r>
      <w:r w:rsidRPr="007259D1">
        <w:rPr>
          <w:rFonts w:cs="Arial"/>
          <w:rtl/>
        </w:rPr>
        <w:t xml:space="preserve">, </w:t>
      </w:r>
      <w:r w:rsidRPr="007259D1">
        <w:rPr>
          <w:rFonts w:cs="Arial" w:hint="cs"/>
          <w:rtl/>
        </w:rPr>
        <w:t>והאידנא</w:t>
      </w:r>
      <w:r w:rsidRPr="007259D1">
        <w:rPr>
          <w:rFonts w:cs="Arial"/>
          <w:rtl/>
        </w:rPr>
        <w:t xml:space="preserve"> </w:t>
      </w:r>
      <w:r w:rsidRPr="007259D1">
        <w:rPr>
          <w:rFonts w:cs="Arial" w:hint="cs"/>
          <w:rtl/>
        </w:rPr>
        <w:t>הוא</w:t>
      </w:r>
      <w:r w:rsidRPr="007259D1">
        <w:rPr>
          <w:rFonts w:cs="Arial"/>
          <w:rtl/>
        </w:rPr>
        <w:t xml:space="preserve"> </w:t>
      </w:r>
      <w:r w:rsidRPr="007259D1">
        <w:rPr>
          <w:rFonts w:cs="Arial" w:hint="cs"/>
          <w:rtl/>
        </w:rPr>
        <w:t>דקא</w:t>
      </w:r>
      <w:r w:rsidRPr="007259D1">
        <w:rPr>
          <w:rFonts w:cs="Arial"/>
          <w:rtl/>
        </w:rPr>
        <w:t xml:space="preserve"> </w:t>
      </w:r>
      <w:r w:rsidRPr="007259D1">
        <w:rPr>
          <w:rFonts w:cs="Arial" w:hint="cs"/>
          <w:rtl/>
        </w:rPr>
        <w:t>עביד</w:t>
      </w:r>
      <w:r w:rsidRPr="007259D1">
        <w:rPr>
          <w:rFonts w:cs="Arial"/>
          <w:rtl/>
        </w:rPr>
        <w:t xml:space="preserve"> - </w:t>
      </w:r>
      <w:r w:rsidRPr="007259D1">
        <w:rPr>
          <w:rFonts w:cs="Arial" w:hint="cs"/>
          <w:rtl/>
        </w:rPr>
        <w:t>לא</w:t>
      </w:r>
      <w:r w:rsidRPr="007259D1">
        <w:rPr>
          <w:rFonts w:cs="Arial"/>
          <w:rtl/>
        </w:rPr>
        <w:t xml:space="preserve"> </w:t>
      </w:r>
      <w:r w:rsidRPr="007259D1">
        <w:rPr>
          <w:rFonts w:cs="Arial" w:hint="cs"/>
          <w:rtl/>
        </w:rPr>
        <w:t>מיתחזי</w:t>
      </w:r>
      <w:r w:rsidRPr="007259D1">
        <w:rPr>
          <w:rFonts w:cs="Arial"/>
          <w:rtl/>
        </w:rPr>
        <w:t xml:space="preserve"> </w:t>
      </w:r>
      <w:r w:rsidRPr="007259D1">
        <w:rPr>
          <w:rFonts w:cs="Arial" w:hint="cs"/>
          <w:rtl/>
        </w:rPr>
        <w:t>כרמות</w:t>
      </w:r>
      <w:r w:rsidRPr="007259D1">
        <w:rPr>
          <w:rFonts w:cs="Arial"/>
          <w:rtl/>
        </w:rPr>
        <w:t xml:space="preserve"> </w:t>
      </w:r>
      <w:r w:rsidRPr="007259D1">
        <w:rPr>
          <w:rFonts w:cs="Arial" w:hint="cs"/>
          <w:rtl/>
        </w:rPr>
        <w:t>רוחא</w:t>
      </w:r>
      <w:r w:rsidRPr="007259D1">
        <w:rPr>
          <w:rFonts w:cs="Arial"/>
          <w:rtl/>
        </w:rPr>
        <w:t>.</w:t>
      </w:r>
    </w:p>
    <w:p w14:paraId="531B0C80" w14:textId="77777777" w:rsidR="004B2E7C" w:rsidRPr="00C40EC3" w:rsidRDefault="004B2E7C" w:rsidP="00434A6A">
      <w:pPr>
        <w:rPr>
          <w:u w:val="single"/>
          <w:rtl/>
        </w:rPr>
      </w:pPr>
      <w:r w:rsidRPr="00C40EC3">
        <w:rPr>
          <w:rFonts w:hint="cs"/>
          <w:u w:val="single"/>
          <w:rtl/>
        </w:rPr>
        <w:t>בגדים נאים לשבת:</w:t>
      </w:r>
    </w:p>
    <w:p w14:paraId="4FBB7785" w14:textId="77777777" w:rsidR="004B2E7C" w:rsidRPr="007259D1" w:rsidRDefault="004B2E7C" w:rsidP="00FF2D21">
      <w:pPr>
        <w:pStyle w:val="aa"/>
        <w:numPr>
          <w:ilvl w:val="0"/>
          <w:numId w:val="87"/>
        </w:numPr>
        <w:rPr>
          <w:rFonts w:cs="Arial"/>
          <w:rtl/>
        </w:rPr>
      </w:pPr>
      <w:r w:rsidRPr="007259D1">
        <w:rPr>
          <w:rFonts w:cs="Arial" w:hint="cs"/>
          <w:rtl/>
        </w:rPr>
        <w:t>טור- וישתדל</w:t>
      </w:r>
      <w:r w:rsidRPr="007259D1">
        <w:rPr>
          <w:rFonts w:cs="Arial"/>
          <w:rtl/>
        </w:rPr>
        <w:t xml:space="preserve"> </w:t>
      </w:r>
      <w:r w:rsidRPr="007259D1">
        <w:rPr>
          <w:rFonts w:cs="Arial" w:hint="cs"/>
          <w:rtl/>
        </w:rPr>
        <w:t>שיהיו</w:t>
      </w:r>
      <w:r w:rsidRPr="007259D1">
        <w:rPr>
          <w:rFonts w:cs="Arial"/>
          <w:rtl/>
        </w:rPr>
        <w:t xml:space="preserve"> </w:t>
      </w:r>
      <w:r w:rsidRPr="007259D1">
        <w:rPr>
          <w:rFonts w:cs="Arial" w:hint="cs"/>
          <w:rtl/>
        </w:rPr>
        <w:t>לו</w:t>
      </w:r>
      <w:r w:rsidRPr="007259D1">
        <w:rPr>
          <w:rFonts w:cs="Arial"/>
          <w:rtl/>
        </w:rPr>
        <w:t xml:space="preserve"> </w:t>
      </w:r>
      <w:r w:rsidRPr="007259D1">
        <w:rPr>
          <w:rFonts w:cs="Arial" w:hint="cs"/>
          <w:rtl/>
        </w:rPr>
        <w:t>בגדים</w:t>
      </w:r>
      <w:r w:rsidRPr="007259D1">
        <w:rPr>
          <w:rFonts w:cs="Arial"/>
          <w:rtl/>
        </w:rPr>
        <w:t xml:space="preserve"> </w:t>
      </w:r>
      <w:r w:rsidRPr="007259D1">
        <w:rPr>
          <w:rFonts w:cs="Arial" w:hint="cs"/>
          <w:rtl/>
        </w:rPr>
        <w:t>נאים</w:t>
      </w:r>
      <w:r w:rsidRPr="007259D1">
        <w:rPr>
          <w:rFonts w:cs="Arial"/>
          <w:rtl/>
        </w:rPr>
        <w:t xml:space="preserve"> </w:t>
      </w:r>
      <w:r w:rsidRPr="007259D1">
        <w:rPr>
          <w:rFonts w:cs="Arial" w:hint="cs"/>
          <w:rtl/>
        </w:rPr>
        <w:t>לשבת</w:t>
      </w:r>
      <w:r w:rsidRPr="007259D1">
        <w:rPr>
          <w:rFonts w:cs="Arial"/>
          <w:rtl/>
        </w:rPr>
        <w:t xml:space="preserve"> </w:t>
      </w:r>
      <w:r w:rsidRPr="007259D1">
        <w:rPr>
          <w:rFonts w:cs="Arial" w:hint="cs"/>
          <w:rtl/>
        </w:rPr>
        <w:t>דכתיב</w:t>
      </w:r>
      <w:r w:rsidRPr="007259D1">
        <w:rPr>
          <w:rFonts w:cs="Arial"/>
          <w:rtl/>
        </w:rPr>
        <w:t xml:space="preserve"> </w:t>
      </w:r>
      <w:r w:rsidRPr="007259D1">
        <w:rPr>
          <w:rFonts w:cs="Arial" w:hint="cs"/>
          <w:rtl/>
        </w:rPr>
        <w:t>וכבדתו</w:t>
      </w:r>
      <w:r w:rsidRPr="007259D1">
        <w:rPr>
          <w:rFonts w:cs="Arial"/>
          <w:rtl/>
        </w:rPr>
        <w:t xml:space="preserve"> </w:t>
      </w:r>
      <w:r w:rsidRPr="007259D1">
        <w:rPr>
          <w:rFonts w:cs="Arial" w:hint="cs"/>
          <w:rtl/>
        </w:rPr>
        <w:t>ודרשינן</w:t>
      </w:r>
      <w:r w:rsidRPr="007259D1">
        <w:rPr>
          <w:rFonts w:cs="Arial"/>
          <w:rtl/>
        </w:rPr>
        <w:t xml:space="preserve"> </w:t>
      </w:r>
      <w:r w:rsidRPr="007259D1">
        <w:rPr>
          <w:rFonts w:cs="Arial" w:hint="cs"/>
          <w:rtl/>
        </w:rPr>
        <w:t>שלא</w:t>
      </w:r>
      <w:r w:rsidRPr="007259D1">
        <w:rPr>
          <w:rFonts w:cs="Arial"/>
          <w:rtl/>
        </w:rPr>
        <w:t xml:space="preserve"> </w:t>
      </w:r>
      <w:r w:rsidRPr="007259D1">
        <w:rPr>
          <w:rFonts w:cs="Arial" w:hint="cs"/>
          <w:rtl/>
        </w:rPr>
        <w:t>יהא</w:t>
      </w:r>
      <w:r w:rsidRPr="007259D1">
        <w:rPr>
          <w:rFonts w:cs="Arial"/>
          <w:rtl/>
        </w:rPr>
        <w:t xml:space="preserve"> </w:t>
      </w:r>
      <w:r w:rsidRPr="007259D1">
        <w:rPr>
          <w:rFonts w:cs="Arial" w:hint="cs"/>
          <w:rtl/>
        </w:rPr>
        <w:t>מלבושך</w:t>
      </w:r>
      <w:r w:rsidRPr="007259D1">
        <w:rPr>
          <w:rFonts w:cs="Arial"/>
          <w:rtl/>
        </w:rPr>
        <w:t xml:space="preserve"> </w:t>
      </w:r>
      <w:r w:rsidRPr="007259D1">
        <w:rPr>
          <w:rFonts w:cs="Arial" w:hint="cs"/>
          <w:rtl/>
        </w:rPr>
        <w:t>של</w:t>
      </w:r>
      <w:r w:rsidRPr="007259D1">
        <w:rPr>
          <w:rFonts w:cs="Arial"/>
          <w:rtl/>
        </w:rPr>
        <w:t xml:space="preserve"> </w:t>
      </w:r>
      <w:r w:rsidRPr="007259D1">
        <w:rPr>
          <w:rFonts w:cs="Arial" w:hint="cs"/>
          <w:rtl/>
        </w:rPr>
        <w:t>שבת</w:t>
      </w:r>
      <w:r w:rsidRPr="007259D1">
        <w:rPr>
          <w:rFonts w:cs="Arial"/>
          <w:rtl/>
        </w:rPr>
        <w:t xml:space="preserve"> </w:t>
      </w:r>
      <w:r w:rsidRPr="007259D1">
        <w:rPr>
          <w:rFonts w:cs="Arial" w:hint="cs"/>
          <w:rtl/>
        </w:rPr>
        <w:t>כמלבושך</w:t>
      </w:r>
      <w:r w:rsidRPr="007259D1">
        <w:rPr>
          <w:rFonts w:cs="Arial"/>
          <w:rtl/>
        </w:rPr>
        <w:t xml:space="preserve"> </w:t>
      </w:r>
      <w:r w:rsidRPr="007259D1">
        <w:rPr>
          <w:rFonts w:cs="Arial" w:hint="cs"/>
          <w:rtl/>
        </w:rPr>
        <w:t>של</w:t>
      </w:r>
      <w:r w:rsidRPr="007259D1">
        <w:rPr>
          <w:rFonts w:cs="Arial"/>
          <w:rtl/>
        </w:rPr>
        <w:t xml:space="preserve"> </w:t>
      </w:r>
      <w:r w:rsidRPr="007259D1">
        <w:rPr>
          <w:rFonts w:cs="Arial" w:hint="cs"/>
          <w:rtl/>
        </w:rPr>
        <w:t>חול</w:t>
      </w:r>
      <w:r w:rsidRPr="007259D1">
        <w:rPr>
          <w:rFonts w:cs="Arial"/>
          <w:rtl/>
        </w:rPr>
        <w:t xml:space="preserve"> </w:t>
      </w:r>
      <w:r w:rsidRPr="007259D1">
        <w:rPr>
          <w:rFonts w:cs="Arial" w:hint="cs"/>
          <w:rtl/>
        </w:rPr>
        <w:t>ואם</w:t>
      </w:r>
      <w:r w:rsidRPr="007259D1">
        <w:rPr>
          <w:rFonts w:cs="Arial"/>
          <w:rtl/>
        </w:rPr>
        <w:t xml:space="preserve"> </w:t>
      </w:r>
      <w:r w:rsidRPr="007259D1">
        <w:rPr>
          <w:rFonts w:cs="Arial" w:hint="cs"/>
          <w:rtl/>
        </w:rPr>
        <w:t>א</w:t>
      </w:r>
      <w:r w:rsidRPr="007259D1">
        <w:rPr>
          <w:rFonts w:cs="Arial"/>
          <w:rtl/>
        </w:rPr>
        <w:t>"</w:t>
      </w:r>
      <w:r w:rsidRPr="007259D1">
        <w:rPr>
          <w:rFonts w:cs="Arial" w:hint="cs"/>
          <w:rtl/>
        </w:rPr>
        <w:t>א</w:t>
      </w:r>
      <w:r w:rsidRPr="007259D1">
        <w:rPr>
          <w:rFonts w:cs="Arial"/>
          <w:rtl/>
        </w:rPr>
        <w:t xml:space="preserve"> </w:t>
      </w:r>
      <w:r w:rsidRPr="007259D1">
        <w:rPr>
          <w:rFonts w:cs="Arial" w:hint="cs"/>
          <w:rtl/>
        </w:rPr>
        <w:t>לו</w:t>
      </w:r>
      <w:r w:rsidRPr="007259D1">
        <w:rPr>
          <w:rFonts w:cs="Arial"/>
          <w:rtl/>
        </w:rPr>
        <w:t xml:space="preserve"> </w:t>
      </w:r>
      <w:r w:rsidRPr="007259D1">
        <w:rPr>
          <w:rFonts w:cs="Arial" w:hint="cs"/>
          <w:rtl/>
        </w:rPr>
        <w:t>להחליף</w:t>
      </w:r>
      <w:r w:rsidRPr="007259D1">
        <w:rPr>
          <w:rFonts w:cs="Arial"/>
          <w:rtl/>
        </w:rPr>
        <w:t xml:space="preserve"> </w:t>
      </w:r>
      <w:r w:rsidRPr="007259D1">
        <w:rPr>
          <w:rFonts w:cs="Arial" w:hint="cs"/>
          <w:rtl/>
        </w:rPr>
        <w:t>בגדיו</w:t>
      </w:r>
      <w:r w:rsidRPr="007259D1">
        <w:rPr>
          <w:rFonts w:cs="Arial"/>
          <w:rtl/>
        </w:rPr>
        <w:t xml:space="preserve"> </w:t>
      </w:r>
      <w:r w:rsidRPr="007259D1">
        <w:rPr>
          <w:rFonts w:cs="Arial" w:hint="cs"/>
          <w:rtl/>
        </w:rPr>
        <w:t>לפחות</w:t>
      </w:r>
      <w:r w:rsidRPr="007259D1">
        <w:rPr>
          <w:rFonts w:cs="Arial"/>
          <w:rtl/>
        </w:rPr>
        <w:t xml:space="preserve"> </w:t>
      </w:r>
      <w:r w:rsidRPr="007259D1">
        <w:rPr>
          <w:rFonts w:cs="Arial" w:hint="cs"/>
          <w:rtl/>
        </w:rPr>
        <w:t>ישלשל</w:t>
      </w:r>
      <w:r w:rsidRPr="007259D1">
        <w:rPr>
          <w:rFonts w:cs="Arial"/>
          <w:rtl/>
        </w:rPr>
        <w:t xml:space="preserve"> </w:t>
      </w:r>
      <w:r w:rsidRPr="007259D1">
        <w:rPr>
          <w:rFonts w:cs="Arial" w:hint="cs"/>
          <w:rtl/>
        </w:rPr>
        <w:t>אותם</w:t>
      </w:r>
      <w:r w:rsidRPr="007259D1">
        <w:rPr>
          <w:rFonts w:cs="Arial"/>
          <w:rtl/>
        </w:rPr>
        <w:t xml:space="preserve"> </w:t>
      </w:r>
      <w:r w:rsidRPr="007259D1">
        <w:rPr>
          <w:rFonts w:cs="Arial" w:hint="cs"/>
          <w:rtl/>
        </w:rPr>
        <w:t>למטה</w:t>
      </w:r>
      <w:r w:rsidRPr="007259D1">
        <w:rPr>
          <w:rFonts w:cs="Arial"/>
          <w:rtl/>
        </w:rPr>
        <w:t xml:space="preserve"> </w:t>
      </w:r>
      <w:r w:rsidRPr="007259D1">
        <w:rPr>
          <w:rFonts w:cs="Arial" w:hint="cs"/>
          <w:rtl/>
        </w:rPr>
        <w:t>דרך</w:t>
      </w:r>
      <w:r w:rsidRPr="007259D1">
        <w:rPr>
          <w:rFonts w:cs="Arial"/>
          <w:rtl/>
        </w:rPr>
        <w:t xml:space="preserve"> </w:t>
      </w:r>
      <w:r w:rsidRPr="007259D1">
        <w:rPr>
          <w:rFonts w:cs="Arial" w:hint="cs"/>
          <w:rtl/>
        </w:rPr>
        <w:t>כבוד</w:t>
      </w:r>
      <w:r>
        <w:rPr>
          <w:rFonts w:cs="Arial" w:hint="cs"/>
          <w:rtl/>
        </w:rPr>
        <w:t>.</w:t>
      </w:r>
      <w:r w:rsidRPr="00C40EC3">
        <w:rPr>
          <w:rFonts w:cs="Arial" w:hint="cs"/>
          <w:color w:val="E36C0A" w:themeColor="accent6" w:themeShade="BF"/>
          <w:rtl/>
        </w:rPr>
        <w:t xml:space="preserve"> </w:t>
      </w:r>
      <w:r w:rsidRPr="0056384F">
        <w:rPr>
          <w:rFonts w:cs="Arial" w:hint="cs"/>
          <w:color w:val="E36C0A" w:themeColor="accent6" w:themeShade="BF"/>
          <w:rtl/>
        </w:rPr>
        <w:t>(וכ"פ בשו"ע)</w:t>
      </w:r>
    </w:p>
    <w:p w14:paraId="65E50E2B"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F5D7432" w14:textId="77777777" w:rsidR="004B2E7C" w:rsidRDefault="004B2E7C" w:rsidP="00434A6A">
      <w:pPr>
        <w:rPr>
          <w:rFonts w:asciiTheme="minorBidi" w:hAnsiTheme="minorBidi"/>
          <w:rtl/>
        </w:rPr>
      </w:pPr>
      <w:r w:rsidRPr="00CC2350">
        <w:rPr>
          <w:rFonts w:asciiTheme="minorBidi" w:hAnsiTheme="minorBidi" w:cs="Arial"/>
          <w:rtl/>
        </w:rPr>
        <w:t>ישתדל שיהיו לו בגדים נאים לשבת</w:t>
      </w:r>
      <w:r>
        <w:rPr>
          <w:rStyle w:val="a9"/>
          <w:rFonts w:asciiTheme="minorBidi" w:hAnsiTheme="minorBidi" w:cs="Arial"/>
          <w:rtl/>
        </w:rPr>
        <w:footnoteReference w:id="614"/>
      </w:r>
      <w:r>
        <w:rPr>
          <w:rFonts w:asciiTheme="minorBidi" w:hAnsiTheme="minorBidi" w:cs="Arial" w:hint="cs"/>
          <w:rtl/>
        </w:rPr>
        <w:t>.</w:t>
      </w:r>
      <w:r w:rsidRPr="00CC2350">
        <w:rPr>
          <w:rFonts w:asciiTheme="minorBidi" w:hAnsiTheme="minorBidi" w:cs="Arial"/>
          <w:rtl/>
        </w:rPr>
        <w:t xml:space="preserve"> ואם א</w:t>
      </w:r>
      <w:r>
        <w:rPr>
          <w:rFonts w:asciiTheme="minorBidi" w:hAnsiTheme="minorBidi" w:cs="Arial" w:hint="cs"/>
          <w:rtl/>
        </w:rPr>
        <w:t xml:space="preserve">י </w:t>
      </w:r>
      <w:r w:rsidRPr="00CC2350">
        <w:rPr>
          <w:rFonts w:asciiTheme="minorBidi" w:hAnsiTheme="minorBidi" w:cs="Arial"/>
          <w:rtl/>
        </w:rPr>
        <w:t>א</w:t>
      </w:r>
      <w:r>
        <w:rPr>
          <w:rFonts w:asciiTheme="minorBidi" w:hAnsiTheme="minorBidi" w:cs="Arial" w:hint="cs"/>
          <w:rtl/>
        </w:rPr>
        <w:t>פשר</w:t>
      </w:r>
      <w:r w:rsidRPr="00CC2350">
        <w:rPr>
          <w:rFonts w:asciiTheme="minorBidi" w:hAnsiTheme="minorBidi" w:cs="Arial"/>
          <w:rtl/>
        </w:rPr>
        <w:t xml:space="preserve"> לו, לפחות ישלשל בגדיו למטה דרך כבוד. </w:t>
      </w:r>
    </w:p>
    <w:p w14:paraId="5F3F5D35" w14:textId="77777777" w:rsidR="004B2E7C" w:rsidRPr="007259D1" w:rsidRDefault="004B2E7C" w:rsidP="00434A6A">
      <w:pPr>
        <w:rPr>
          <w:rtl/>
        </w:rPr>
      </w:pPr>
    </w:p>
    <w:p w14:paraId="1CE79931" w14:textId="77777777" w:rsidR="004B2E7C" w:rsidRDefault="004B2E7C" w:rsidP="00434A6A">
      <w:pPr>
        <w:pStyle w:val="2"/>
        <w:rPr>
          <w:rtl/>
        </w:rPr>
      </w:pPr>
      <w:r w:rsidRPr="00CC2350">
        <w:rPr>
          <w:rtl/>
        </w:rPr>
        <w:t>סעיף ג</w:t>
      </w:r>
      <w:r>
        <w:rPr>
          <w:rFonts w:hint="cs"/>
          <w:rtl/>
        </w:rPr>
        <w:t>: ישמח בביאת השבת.</w:t>
      </w:r>
    </w:p>
    <w:p w14:paraId="7BECA598" w14:textId="77777777" w:rsidR="004B2E7C" w:rsidRDefault="004B2E7C" w:rsidP="00434A6A">
      <w:pPr>
        <w:rPr>
          <w:rtl/>
        </w:rPr>
      </w:pPr>
      <w:r w:rsidRPr="00565331">
        <w:rPr>
          <w:rFonts w:cs="Arial" w:hint="cs"/>
          <w:b/>
          <w:bCs/>
          <w:rtl/>
        </w:rPr>
        <w:t xml:space="preserve">שבת </w:t>
      </w:r>
      <w:r w:rsidRPr="00762875">
        <w:rPr>
          <w:rFonts w:cs="Arial" w:hint="cs"/>
          <w:b/>
          <w:bCs/>
          <w:sz w:val="16"/>
          <w:szCs w:val="16"/>
          <w:rtl/>
        </w:rPr>
        <w:t xml:space="preserve">(פ' כל כתבי) </w:t>
      </w:r>
      <w:r w:rsidRPr="00565331">
        <w:rPr>
          <w:rFonts w:cs="Arial" w:hint="cs"/>
          <w:b/>
          <w:bCs/>
          <w:rtl/>
        </w:rPr>
        <w:t>קיט ע"</w:t>
      </w:r>
      <w:r>
        <w:rPr>
          <w:rFonts w:cs="Arial" w:hint="cs"/>
          <w:b/>
          <w:bCs/>
          <w:rtl/>
        </w:rPr>
        <w:t>א</w:t>
      </w:r>
      <w:r w:rsidRPr="00565331">
        <w:rPr>
          <w:rFonts w:cs="Arial" w:hint="cs"/>
          <w:b/>
          <w:bCs/>
          <w:rtl/>
        </w:rPr>
        <w:t>:</w:t>
      </w:r>
      <w:r>
        <w:rPr>
          <w:rFonts w:cs="Arial" w:hint="cs"/>
          <w:b/>
          <w:bCs/>
          <w:rtl/>
        </w:rPr>
        <w:t xml:space="preserve"> </w:t>
      </w:r>
      <w:r w:rsidRPr="00B76126">
        <w:rPr>
          <w:rFonts w:cs="Arial" w:hint="cs"/>
          <w:rtl/>
        </w:rPr>
        <w:t>רבי</w:t>
      </w:r>
      <w:r w:rsidRPr="00B76126">
        <w:rPr>
          <w:rFonts w:cs="Arial"/>
          <w:rtl/>
        </w:rPr>
        <w:t xml:space="preserve"> </w:t>
      </w:r>
      <w:r w:rsidRPr="00B76126">
        <w:rPr>
          <w:rFonts w:cs="Arial" w:hint="cs"/>
          <w:rtl/>
        </w:rPr>
        <w:t>חנינא</w:t>
      </w:r>
      <w:r w:rsidRPr="00B76126">
        <w:rPr>
          <w:rFonts w:cs="Arial"/>
          <w:rtl/>
        </w:rPr>
        <w:t xml:space="preserve"> </w:t>
      </w:r>
      <w:r w:rsidRPr="00B76126">
        <w:rPr>
          <w:rFonts w:cs="Arial" w:hint="cs"/>
          <w:rtl/>
        </w:rPr>
        <w:t>מיעטף</w:t>
      </w:r>
      <w:r>
        <w:rPr>
          <w:rStyle w:val="a9"/>
          <w:rFonts w:cs="Arial"/>
          <w:rtl/>
        </w:rPr>
        <w:footnoteReference w:id="615"/>
      </w:r>
      <w:r w:rsidRPr="00B76126">
        <w:rPr>
          <w:rFonts w:cs="Arial"/>
          <w:rtl/>
        </w:rPr>
        <w:t xml:space="preserve"> </w:t>
      </w:r>
      <w:r w:rsidRPr="00B76126">
        <w:rPr>
          <w:rFonts w:cs="Arial" w:hint="cs"/>
          <w:rtl/>
        </w:rPr>
        <w:t>וקאי</w:t>
      </w:r>
      <w:r w:rsidRPr="00B76126">
        <w:rPr>
          <w:rFonts w:cs="Arial"/>
          <w:rtl/>
        </w:rPr>
        <w:t xml:space="preserve"> </w:t>
      </w:r>
      <w:r w:rsidRPr="00B76126">
        <w:rPr>
          <w:rFonts w:cs="Arial" w:hint="cs"/>
          <w:rtl/>
        </w:rPr>
        <w:t>אפניא</w:t>
      </w:r>
      <w:r w:rsidRPr="00B76126">
        <w:rPr>
          <w:rFonts w:cs="Arial"/>
          <w:rtl/>
        </w:rPr>
        <w:t xml:space="preserve"> </w:t>
      </w:r>
      <w:r w:rsidRPr="00B76126">
        <w:rPr>
          <w:rFonts w:cs="Arial" w:hint="cs"/>
          <w:rtl/>
        </w:rPr>
        <w:t>דמעלי</w:t>
      </w:r>
      <w:r w:rsidRPr="00B76126">
        <w:rPr>
          <w:rFonts w:cs="Arial"/>
          <w:rtl/>
        </w:rPr>
        <w:t xml:space="preserve"> </w:t>
      </w:r>
      <w:r w:rsidRPr="00B76126">
        <w:rPr>
          <w:rFonts w:cs="Arial" w:hint="cs"/>
          <w:rtl/>
        </w:rPr>
        <w:t>שבתא</w:t>
      </w:r>
      <w:r w:rsidRPr="00B76126">
        <w:rPr>
          <w:rFonts w:cs="Arial"/>
          <w:rtl/>
        </w:rPr>
        <w:t xml:space="preserve">, </w:t>
      </w:r>
      <w:r w:rsidRPr="00B76126">
        <w:rPr>
          <w:rFonts w:cs="Arial" w:hint="cs"/>
          <w:rtl/>
        </w:rPr>
        <w:t>אמר</w:t>
      </w:r>
      <w:r w:rsidRPr="00B76126">
        <w:rPr>
          <w:rFonts w:cs="Arial"/>
          <w:rtl/>
        </w:rPr>
        <w:t xml:space="preserve">: </w:t>
      </w:r>
      <w:r w:rsidRPr="00B76126">
        <w:rPr>
          <w:rFonts w:cs="Arial" w:hint="cs"/>
          <w:rtl/>
        </w:rPr>
        <w:t>בואו</w:t>
      </w:r>
      <w:r w:rsidRPr="00B76126">
        <w:rPr>
          <w:rFonts w:cs="Arial"/>
          <w:rtl/>
        </w:rPr>
        <w:t xml:space="preserve"> </w:t>
      </w:r>
      <w:r w:rsidRPr="00B76126">
        <w:rPr>
          <w:rFonts w:cs="Arial" w:hint="cs"/>
          <w:rtl/>
        </w:rPr>
        <w:t>ונצא</w:t>
      </w:r>
      <w:r w:rsidRPr="00B76126">
        <w:rPr>
          <w:rFonts w:cs="Arial"/>
          <w:rtl/>
        </w:rPr>
        <w:t xml:space="preserve"> </w:t>
      </w:r>
      <w:r w:rsidRPr="00B76126">
        <w:rPr>
          <w:rFonts w:cs="Arial" w:hint="cs"/>
          <w:rtl/>
        </w:rPr>
        <w:t>לקראת</w:t>
      </w:r>
      <w:r w:rsidRPr="00B76126">
        <w:rPr>
          <w:rFonts w:cs="Arial"/>
          <w:rtl/>
        </w:rPr>
        <w:t xml:space="preserve"> </w:t>
      </w:r>
      <w:r w:rsidRPr="00B76126">
        <w:rPr>
          <w:rFonts w:cs="Arial" w:hint="cs"/>
          <w:rtl/>
        </w:rPr>
        <w:t>שבת</w:t>
      </w:r>
      <w:r w:rsidRPr="00B76126">
        <w:rPr>
          <w:rFonts w:cs="Arial"/>
          <w:rtl/>
        </w:rPr>
        <w:t xml:space="preserve"> </w:t>
      </w:r>
      <w:r w:rsidRPr="00B76126">
        <w:rPr>
          <w:rFonts w:cs="Arial" w:hint="cs"/>
          <w:rtl/>
        </w:rPr>
        <w:t>המלכה</w:t>
      </w:r>
      <w:r w:rsidRPr="00B76126">
        <w:rPr>
          <w:rFonts w:cs="Arial"/>
          <w:rtl/>
        </w:rPr>
        <w:t xml:space="preserve">. </w:t>
      </w:r>
      <w:r w:rsidRPr="00B76126">
        <w:rPr>
          <w:rFonts w:cs="Arial" w:hint="cs"/>
          <w:rtl/>
        </w:rPr>
        <w:t>רבי</w:t>
      </w:r>
      <w:r w:rsidRPr="00B76126">
        <w:rPr>
          <w:rFonts w:cs="Arial"/>
          <w:rtl/>
        </w:rPr>
        <w:t xml:space="preserve"> </w:t>
      </w:r>
      <w:r w:rsidRPr="00B76126">
        <w:rPr>
          <w:rFonts w:cs="Arial" w:hint="cs"/>
          <w:rtl/>
        </w:rPr>
        <w:t>ינאי</w:t>
      </w:r>
      <w:r w:rsidRPr="00B76126">
        <w:rPr>
          <w:rFonts w:cs="Arial"/>
          <w:rtl/>
        </w:rPr>
        <w:t xml:space="preserve"> </w:t>
      </w:r>
      <w:r w:rsidRPr="00B76126">
        <w:rPr>
          <w:rFonts w:cs="Arial" w:hint="cs"/>
          <w:rtl/>
        </w:rPr>
        <w:t>לביש</w:t>
      </w:r>
      <w:r w:rsidRPr="00B76126">
        <w:rPr>
          <w:rFonts w:cs="Arial"/>
          <w:rtl/>
        </w:rPr>
        <w:t xml:space="preserve"> </w:t>
      </w:r>
      <w:r w:rsidRPr="00B76126">
        <w:rPr>
          <w:rFonts w:cs="Arial" w:hint="cs"/>
          <w:rtl/>
        </w:rPr>
        <w:t>מאניה</w:t>
      </w:r>
      <w:r w:rsidRPr="00B76126">
        <w:rPr>
          <w:rFonts w:cs="Arial"/>
          <w:rtl/>
        </w:rPr>
        <w:t xml:space="preserve"> </w:t>
      </w:r>
      <w:r w:rsidRPr="00B76126">
        <w:rPr>
          <w:rFonts w:cs="Arial" w:hint="cs"/>
          <w:rtl/>
        </w:rPr>
        <w:t>מעלי</w:t>
      </w:r>
      <w:r w:rsidRPr="00B76126">
        <w:rPr>
          <w:rFonts w:cs="Arial"/>
          <w:rtl/>
        </w:rPr>
        <w:t xml:space="preserve"> </w:t>
      </w:r>
      <w:r w:rsidRPr="00B76126">
        <w:rPr>
          <w:rFonts w:cs="Arial" w:hint="cs"/>
          <w:rtl/>
        </w:rPr>
        <w:t>שבת</w:t>
      </w:r>
      <w:r w:rsidRPr="00B76126">
        <w:rPr>
          <w:rFonts w:cs="Arial"/>
          <w:rtl/>
        </w:rPr>
        <w:t xml:space="preserve">, </w:t>
      </w:r>
      <w:r w:rsidRPr="00B76126">
        <w:rPr>
          <w:rFonts w:cs="Arial" w:hint="cs"/>
          <w:rtl/>
        </w:rPr>
        <w:t>ואמר</w:t>
      </w:r>
      <w:r w:rsidRPr="00B76126">
        <w:rPr>
          <w:rFonts w:cs="Arial"/>
          <w:rtl/>
        </w:rPr>
        <w:t xml:space="preserve">: </w:t>
      </w:r>
      <w:r w:rsidRPr="00B76126">
        <w:rPr>
          <w:rFonts w:cs="Arial" w:hint="cs"/>
          <w:rtl/>
        </w:rPr>
        <w:t>בואי</w:t>
      </w:r>
      <w:r w:rsidRPr="00B76126">
        <w:rPr>
          <w:rFonts w:cs="Arial"/>
          <w:rtl/>
        </w:rPr>
        <w:t xml:space="preserve"> </w:t>
      </w:r>
      <w:r w:rsidRPr="00B76126">
        <w:rPr>
          <w:rFonts w:cs="Arial" w:hint="cs"/>
          <w:rtl/>
        </w:rPr>
        <w:t>כלה</w:t>
      </w:r>
      <w:r>
        <w:rPr>
          <w:rStyle w:val="a9"/>
          <w:rFonts w:cs="Arial"/>
          <w:rtl/>
        </w:rPr>
        <w:footnoteReference w:id="616"/>
      </w:r>
      <w:r w:rsidRPr="00B76126">
        <w:rPr>
          <w:rFonts w:cs="Arial"/>
          <w:rtl/>
        </w:rPr>
        <w:t xml:space="preserve"> </w:t>
      </w:r>
      <w:r w:rsidRPr="00B76126">
        <w:rPr>
          <w:rFonts w:cs="Arial" w:hint="cs"/>
          <w:rtl/>
        </w:rPr>
        <w:t>בואי</w:t>
      </w:r>
      <w:r w:rsidRPr="00B76126">
        <w:rPr>
          <w:rFonts w:cs="Arial"/>
          <w:rtl/>
        </w:rPr>
        <w:t xml:space="preserve"> </w:t>
      </w:r>
      <w:r w:rsidRPr="00B76126">
        <w:rPr>
          <w:rFonts w:cs="Arial" w:hint="cs"/>
          <w:rtl/>
        </w:rPr>
        <w:t>כלה</w:t>
      </w:r>
      <w:r w:rsidRPr="00B76126">
        <w:rPr>
          <w:rFonts w:cs="Arial"/>
          <w:rtl/>
        </w:rPr>
        <w:t xml:space="preserve">. </w:t>
      </w:r>
      <w:r w:rsidRPr="00B76126">
        <w:rPr>
          <w:rFonts w:cs="Arial" w:hint="cs"/>
          <w:rtl/>
        </w:rPr>
        <w:t>רבה</w:t>
      </w:r>
      <w:r w:rsidRPr="00B76126">
        <w:rPr>
          <w:rFonts w:cs="Arial"/>
          <w:rtl/>
        </w:rPr>
        <w:t xml:space="preserve"> </w:t>
      </w:r>
      <w:r w:rsidRPr="00B76126">
        <w:rPr>
          <w:rFonts w:cs="Arial" w:hint="cs"/>
          <w:rtl/>
        </w:rPr>
        <w:t>בר</w:t>
      </w:r>
      <w:r w:rsidRPr="00B76126">
        <w:rPr>
          <w:rFonts w:cs="Arial"/>
          <w:rtl/>
        </w:rPr>
        <w:t xml:space="preserve"> </w:t>
      </w:r>
      <w:r w:rsidRPr="00B76126">
        <w:rPr>
          <w:rFonts w:cs="Arial" w:hint="cs"/>
          <w:rtl/>
        </w:rPr>
        <w:t>רב</w:t>
      </w:r>
      <w:r w:rsidRPr="00B76126">
        <w:rPr>
          <w:rFonts w:cs="Arial"/>
          <w:rtl/>
        </w:rPr>
        <w:t xml:space="preserve"> </w:t>
      </w:r>
      <w:r w:rsidRPr="00B76126">
        <w:rPr>
          <w:rFonts w:cs="Arial" w:hint="cs"/>
          <w:rtl/>
        </w:rPr>
        <w:t>הונא</w:t>
      </w:r>
      <w:r w:rsidRPr="00B76126">
        <w:rPr>
          <w:rFonts w:cs="Arial"/>
          <w:rtl/>
        </w:rPr>
        <w:t xml:space="preserve"> </w:t>
      </w:r>
      <w:r w:rsidRPr="00B76126">
        <w:rPr>
          <w:rFonts w:cs="Arial" w:hint="cs"/>
          <w:rtl/>
        </w:rPr>
        <w:t>איקלע</w:t>
      </w:r>
      <w:r w:rsidRPr="00B76126">
        <w:rPr>
          <w:rFonts w:cs="Arial"/>
          <w:rtl/>
        </w:rPr>
        <w:t xml:space="preserve"> </w:t>
      </w:r>
      <w:r w:rsidRPr="00B76126">
        <w:rPr>
          <w:rFonts w:cs="Arial" w:hint="cs"/>
          <w:rtl/>
        </w:rPr>
        <w:t>לבי</w:t>
      </w:r>
      <w:r w:rsidRPr="00B76126">
        <w:rPr>
          <w:rFonts w:cs="Arial"/>
          <w:rtl/>
        </w:rPr>
        <w:t xml:space="preserve"> </w:t>
      </w:r>
      <w:r w:rsidRPr="00B76126">
        <w:rPr>
          <w:rFonts w:cs="Arial" w:hint="cs"/>
          <w:rtl/>
        </w:rPr>
        <w:t>רבה</w:t>
      </w:r>
      <w:r w:rsidRPr="00B76126">
        <w:rPr>
          <w:rFonts w:cs="Arial"/>
          <w:rtl/>
        </w:rPr>
        <w:t xml:space="preserve"> </w:t>
      </w:r>
      <w:r w:rsidRPr="00B76126">
        <w:rPr>
          <w:rFonts w:cs="Arial" w:hint="cs"/>
          <w:rtl/>
        </w:rPr>
        <w:t>בר</w:t>
      </w:r>
      <w:r w:rsidRPr="00B76126">
        <w:rPr>
          <w:rFonts w:cs="Arial"/>
          <w:rtl/>
        </w:rPr>
        <w:t xml:space="preserve"> </w:t>
      </w:r>
      <w:r w:rsidRPr="00B76126">
        <w:rPr>
          <w:rFonts w:cs="Arial" w:hint="cs"/>
          <w:rtl/>
        </w:rPr>
        <w:t>רב</w:t>
      </w:r>
      <w:r w:rsidRPr="00B76126">
        <w:rPr>
          <w:rFonts w:cs="Arial"/>
          <w:rtl/>
        </w:rPr>
        <w:t xml:space="preserve"> </w:t>
      </w:r>
      <w:r w:rsidRPr="00B76126">
        <w:rPr>
          <w:rFonts w:cs="Arial" w:hint="cs"/>
          <w:rtl/>
        </w:rPr>
        <w:t>נחמן</w:t>
      </w:r>
      <w:r w:rsidRPr="00B76126">
        <w:rPr>
          <w:rFonts w:cs="Arial"/>
          <w:rtl/>
        </w:rPr>
        <w:t xml:space="preserve">, </w:t>
      </w:r>
      <w:r w:rsidRPr="00B76126">
        <w:rPr>
          <w:rFonts w:cs="Arial" w:hint="cs"/>
          <w:rtl/>
        </w:rPr>
        <w:t>קריבו</w:t>
      </w:r>
      <w:r w:rsidRPr="00B76126">
        <w:rPr>
          <w:rFonts w:cs="Arial"/>
          <w:rtl/>
        </w:rPr>
        <w:t xml:space="preserve"> </w:t>
      </w:r>
      <w:r w:rsidRPr="00B76126">
        <w:rPr>
          <w:rFonts w:cs="Arial" w:hint="cs"/>
          <w:rtl/>
        </w:rPr>
        <w:t>ליה</w:t>
      </w:r>
      <w:r w:rsidRPr="00B76126">
        <w:rPr>
          <w:rFonts w:cs="Arial"/>
          <w:rtl/>
        </w:rPr>
        <w:t xml:space="preserve"> </w:t>
      </w:r>
      <w:r w:rsidRPr="00B76126">
        <w:rPr>
          <w:rFonts w:cs="Arial" w:hint="cs"/>
          <w:rtl/>
        </w:rPr>
        <w:t>תלת</w:t>
      </w:r>
      <w:r w:rsidRPr="00B76126">
        <w:rPr>
          <w:rFonts w:cs="Arial"/>
          <w:rtl/>
        </w:rPr>
        <w:t xml:space="preserve"> </w:t>
      </w:r>
      <w:r w:rsidRPr="00B76126">
        <w:rPr>
          <w:rFonts w:cs="Arial" w:hint="cs"/>
          <w:rtl/>
        </w:rPr>
        <w:t>סאוי</w:t>
      </w:r>
      <w:r w:rsidRPr="00B76126">
        <w:rPr>
          <w:rFonts w:cs="Arial"/>
          <w:rtl/>
        </w:rPr>
        <w:t xml:space="preserve"> </w:t>
      </w:r>
      <w:r w:rsidRPr="00B76126">
        <w:rPr>
          <w:rFonts w:cs="Arial" w:hint="cs"/>
          <w:rtl/>
        </w:rPr>
        <w:t>טחיי</w:t>
      </w:r>
      <w:r>
        <w:rPr>
          <w:rStyle w:val="a9"/>
          <w:rFonts w:cs="Arial"/>
          <w:rtl/>
        </w:rPr>
        <w:footnoteReference w:id="617"/>
      </w:r>
      <w:r w:rsidRPr="00B76126">
        <w:rPr>
          <w:rFonts w:cs="Arial"/>
          <w:rtl/>
        </w:rPr>
        <w:t xml:space="preserve">. </w:t>
      </w:r>
      <w:r w:rsidRPr="00B76126">
        <w:rPr>
          <w:rFonts w:cs="Arial" w:hint="cs"/>
          <w:rtl/>
        </w:rPr>
        <w:t>אמר</w:t>
      </w:r>
      <w:r w:rsidRPr="00B76126">
        <w:rPr>
          <w:rFonts w:cs="Arial"/>
          <w:rtl/>
        </w:rPr>
        <w:t xml:space="preserve"> </w:t>
      </w:r>
      <w:r w:rsidRPr="00B76126">
        <w:rPr>
          <w:rFonts w:cs="Arial" w:hint="cs"/>
          <w:rtl/>
        </w:rPr>
        <w:t>להו</w:t>
      </w:r>
      <w:r w:rsidRPr="00B76126">
        <w:rPr>
          <w:rFonts w:cs="Arial"/>
          <w:rtl/>
        </w:rPr>
        <w:t xml:space="preserve">: </w:t>
      </w:r>
      <w:r w:rsidRPr="00B76126">
        <w:rPr>
          <w:rFonts w:cs="Arial" w:hint="cs"/>
          <w:rtl/>
        </w:rPr>
        <w:t>מי</w:t>
      </w:r>
      <w:r w:rsidRPr="00B76126">
        <w:rPr>
          <w:rFonts w:cs="Arial"/>
          <w:rtl/>
        </w:rPr>
        <w:t xml:space="preserve"> </w:t>
      </w:r>
      <w:r w:rsidRPr="00B76126">
        <w:rPr>
          <w:rFonts w:cs="Arial" w:hint="cs"/>
          <w:rtl/>
        </w:rPr>
        <w:t>הוה</w:t>
      </w:r>
      <w:r w:rsidRPr="00B76126">
        <w:rPr>
          <w:rFonts w:cs="Arial"/>
          <w:rtl/>
        </w:rPr>
        <w:t xml:space="preserve"> </w:t>
      </w:r>
      <w:r w:rsidRPr="00B76126">
        <w:rPr>
          <w:rFonts w:cs="Arial" w:hint="cs"/>
          <w:rtl/>
        </w:rPr>
        <w:t>ידעיתון</w:t>
      </w:r>
      <w:r w:rsidRPr="00B76126">
        <w:rPr>
          <w:rFonts w:cs="Arial"/>
          <w:rtl/>
        </w:rPr>
        <w:t xml:space="preserve"> </w:t>
      </w:r>
      <w:r w:rsidRPr="00B76126">
        <w:rPr>
          <w:rFonts w:cs="Arial" w:hint="cs"/>
          <w:rtl/>
        </w:rPr>
        <w:t>דאתינא</w:t>
      </w:r>
      <w:r w:rsidRPr="00B76126">
        <w:rPr>
          <w:rFonts w:cs="Arial"/>
          <w:rtl/>
        </w:rPr>
        <w:t xml:space="preserve">? </w:t>
      </w:r>
      <w:r w:rsidRPr="00B76126">
        <w:rPr>
          <w:rFonts w:cs="Arial" w:hint="cs"/>
          <w:rtl/>
        </w:rPr>
        <w:t>אמרו</w:t>
      </w:r>
      <w:r w:rsidRPr="00B76126">
        <w:rPr>
          <w:rFonts w:cs="Arial"/>
          <w:rtl/>
        </w:rPr>
        <w:t xml:space="preserve"> </w:t>
      </w:r>
      <w:r w:rsidRPr="00B76126">
        <w:rPr>
          <w:rFonts w:cs="Arial" w:hint="cs"/>
          <w:rtl/>
        </w:rPr>
        <w:t>ליה</w:t>
      </w:r>
      <w:r w:rsidRPr="00B76126">
        <w:rPr>
          <w:rFonts w:cs="Arial"/>
          <w:rtl/>
        </w:rPr>
        <w:t xml:space="preserve">: </w:t>
      </w:r>
      <w:r w:rsidRPr="00B76126">
        <w:rPr>
          <w:rFonts w:cs="Arial" w:hint="cs"/>
          <w:rtl/>
        </w:rPr>
        <w:t>מי</w:t>
      </w:r>
      <w:r w:rsidRPr="00B76126">
        <w:rPr>
          <w:rFonts w:cs="Arial"/>
          <w:rtl/>
        </w:rPr>
        <w:t xml:space="preserve"> </w:t>
      </w:r>
      <w:r w:rsidRPr="00B76126">
        <w:rPr>
          <w:rFonts w:cs="Arial" w:hint="cs"/>
          <w:rtl/>
        </w:rPr>
        <w:t>עדיפת</w:t>
      </w:r>
      <w:r w:rsidRPr="00B76126">
        <w:rPr>
          <w:rFonts w:cs="Arial"/>
          <w:rtl/>
        </w:rPr>
        <w:t xml:space="preserve"> </w:t>
      </w:r>
      <w:r w:rsidRPr="00B76126">
        <w:rPr>
          <w:rFonts w:cs="Arial" w:hint="cs"/>
          <w:rtl/>
        </w:rPr>
        <w:t>לן</w:t>
      </w:r>
      <w:r w:rsidRPr="00B76126">
        <w:rPr>
          <w:rFonts w:cs="Arial"/>
          <w:rtl/>
        </w:rPr>
        <w:t xml:space="preserve"> </w:t>
      </w:r>
      <w:r w:rsidRPr="00B76126">
        <w:rPr>
          <w:rFonts w:cs="Arial" w:hint="cs"/>
          <w:rtl/>
        </w:rPr>
        <w:t>מינה</w:t>
      </w:r>
      <w:r>
        <w:rPr>
          <w:rStyle w:val="a9"/>
          <w:rFonts w:cs="Arial"/>
          <w:rtl/>
        </w:rPr>
        <w:footnoteReference w:id="618"/>
      </w:r>
      <w:r w:rsidRPr="00B76126">
        <w:rPr>
          <w:rFonts w:cs="Arial"/>
          <w:rtl/>
        </w:rPr>
        <w:t xml:space="preserve">. </w:t>
      </w:r>
      <w:r w:rsidRPr="00B76126">
        <w:rPr>
          <w:rFonts w:cs="Arial" w:hint="cs"/>
          <w:rtl/>
        </w:rPr>
        <w:t>רבי</w:t>
      </w:r>
      <w:r w:rsidRPr="00B76126">
        <w:rPr>
          <w:rFonts w:cs="Arial"/>
          <w:rtl/>
        </w:rPr>
        <w:t xml:space="preserve"> </w:t>
      </w:r>
      <w:r w:rsidRPr="00B76126">
        <w:rPr>
          <w:rFonts w:cs="Arial" w:hint="cs"/>
          <w:rtl/>
        </w:rPr>
        <w:t>אבא</w:t>
      </w:r>
      <w:r w:rsidRPr="00B76126">
        <w:rPr>
          <w:rFonts w:cs="Arial"/>
          <w:rtl/>
        </w:rPr>
        <w:t xml:space="preserve"> </w:t>
      </w:r>
      <w:r w:rsidRPr="00B76126">
        <w:rPr>
          <w:rFonts w:cs="Arial" w:hint="cs"/>
          <w:rtl/>
        </w:rPr>
        <w:t>זבן</w:t>
      </w:r>
      <w:r w:rsidRPr="00B76126">
        <w:rPr>
          <w:rFonts w:cs="Arial"/>
          <w:rtl/>
        </w:rPr>
        <w:t xml:space="preserve"> </w:t>
      </w:r>
      <w:r w:rsidRPr="00B76126">
        <w:rPr>
          <w:rFonts w:cs="Arial" w:hint="cs"/>
          <w:rtl/>
        </w:rPr>
        <w:t>בתליסר</w:t>
      </w:r>
      <w:r w:rsidRPr="00B76126">
        <w:rPr>
          <w:rFonts w:cs="Arial"/>
          <w:rtl/>
        </w:rPr>
        <w:t xml:space="preserve"> </w:t>
      </w:r>
      <w:r w:rsidRPr="00B76126">
        <w:rPr>
          <w:rFonts w:cs="Arial" w:hint="cs"/>
          <w:rtl/>
        </w:rPr>
        <w:t>אסתירי</w:t>
      </w:r>
      <w:r w:rsidRPr="00B76126">
        <w:rPr>
          <w:rFonts w:cs="Arial"/>
          <w:rtl/>
        </w:rPr>
        <w:t xml:space="preserve"> </w:t>
      </w:r>
      <w:r w:rsidRPr="00B76126">
        <w:rPr>
          <w:rFonts w:cs="Arial" w:hint="cs"/>
          <w:rtl/>
        </w:rPr>
        <w:t>פשיטי</w:t>
      </w:r>
      <w:r w:rsidRPr="00B76126">
        <w:rPr>
          <w:rFonts w:cs="Arial"/>
          <w:rtl/>
        </w:rPr>
        <w:t xml:space="preserve"> </w:t>
      </w:r>
      <w:r w:rsidRPr="00B76126">
        <w:rPr>
          <w:rFonts w:cs="Arial" w:hint="cs"/>
          <w:rtl/>
        </w:rPr>
        <w:t>בישרא</w:t>
      </w:r>
      <w:r w:rsidRPr="00B76126">
        <w:rPr>
          <w:rFonts w:cs="Arial"/>
          <w:rtl/>
        </w:rPr>
        <w:t xml:space="preserve"> </w:t>
      </w:r>
      <w:r w:rsidRPr="00B76126">
        <w:rPr>
          <w:rFonts w:cs="Arial" w:hint="cs"/>
          <w:rtl/>
        </w:rPr>
        <w:t>מתליסר</w:t>
      </w:r>
      <w:r w:rsidRPr="00B76126">
        <w:rPr>
          <w:rFonts w:cs="Arial"/>
          <w:rtl/>
        </w:rPr>
        <w:t xml:space="preserve"> </w:t>
      </w:r>
      <w:r w:rsidRPr="00B76126">
        <w:rPr>
          <w:rFonts w:cs="Arial" w:hint="cs"/>
          <w:rtl/>
        </w:rPr>
        <w:t>טבחי</w:t>
      </w:r>
      <w:r>
        <w:rPr>
          <w:rStyle w:val="a9"/>
          <w:rFonts w:cs="Arial"/>
          <w:rtl/>
        </w:rPr>
        <w:footnoteReference w:id="619"/>
      </w:r>
      <w:r w:rsidRPr="00B76126">
        <w:rPr>
          <w:rFonts w:cs="Arial"/>
          <w:rtl/>
        </w:rPr>
        <w:t xml:space="preserve">, </w:t>
      </w:r>
      <w:r w:rsidRPr="00B76126">
        <w:rPr>
          <w:rFonts w:cs="Arial" w:hint="cs"/>
          <w:rtl/>
        </w:rPr>
        <w:t>ומשלים</w:t>
      </w:r>
      <w:r w:rsidRPr="00B76126">
        <w:rPr>
          <w:rFonts w:cs="Arial"/>
          <w:rtl/>
        </w:rPr>
        <w:t xml:space="preserve"> </w:t>
      </w:r>
      <w:r w:rsidRPr="00B76126">
        <w:rPr>
          <w:rFonts w:cs="Arial" w:hint="cs"/>
          <w:rtl/>
        </w:rPr>
        <w:t>להו</w:t>
      </w:r>
      <w:r w:rsidRPr="00B76126">
        <w:rPr>
          <w:rFonts w:cs="Arial"/>
          <w:rtl/>
        </w:rPr>
        <w:t xml:space="preserve"> </w:t>
      </w:r>
      <w:r w:rsidRPr="00B76126">
        <w:rPr>
          <w:rFonts w:cs="Arial" w:hint="cs"/>
          <w:rtl/>
        </w:rPr>
        <w:t>אצינורא</w:t>
      </w:r>
      <w:r w:rsidRPr="00B76126">
        <w:rPr>
          <w:rFonts w:cs="Arial"/>
          <w:rtl/>
        </w:rPr>
        <w:t xml:space="preserve"> </w:t>
      </w:r>
      <w:r w:rsidRPr="00B76126">
        <w:rPr>
          <w:rFonts w:cs="Arial" w:hint="cs"/>
          <w:rtl/>
        </w:rPr>
        <w:t>דדשא</w:t>
      </w:r>
      <w:r w:rsidRPr="00B76126">
        <w:rPr>
          <w:rFonts w:cs="Arial"/>
          <w:rtl/>
        </w:rPr>
        <w:t xml:space="preserve">, </w:t>
      </w:r>
      <w:r w:rsidRPr="00B76126">
        <w:rPr>
          <w:rFonts w:cs="Arial" w:hint="cs"/>
          <w:rtl/>
        </w:rPr>
        <w:t>ואמר</w:t>
      </w:r>
      <w:r w:rsidRPr="00B76126">
        <w:rPr>
          <w:rFonts w:cs="Arial"/>
          <w:rtl/>
        </w:rPr>
        <w:t xml:space="preserve"> </w:t>
      </w:r>
      <w:r w:rsidRPr="00B76126">
        <w:rPr>
          <w:rFonts w:cs="Arial" w:hint="cs"/>
          <w:rtl/>
        </w:rPr>
        <w:t>להו</w:t>
      </w:r>
      <w:r w:rsidRPr="00B76126">
        <w:rPr>
          <w:rFonts w:cs="Arial"/>
          <w:rtl/>
        </w:rPr>
        <w:t xml:space="preserve">: </w:t>
      </w:r>
      <w:r w:rsidRPr="00B76126">
        <w:rPr>
          <w:rFonts w:cs="Arial" w:hint="cs"/>
          <w:rtl/>
        </w:rPr>
        <w:t>אשור</w:t>
      </w:r>
      <w:r w:rsidRPr="00B76126">
        <w:rPr>
          <w:rFonts w:cs="Arial"/>
          <w:rtl/>
        </w:rPr>
        <w:t xml:space="preserve"> </w:t>
      </w:r>
      <w:r w:rsidRPr="00B76126">
        <w:rPr>
          <w:rFonts w:cs="Arial" w:hint="cs"/>
          <w:rtl/>
        </w:rPr>
        <w:t>הייא</w:t>
      </w:r>
      <w:r w:rsidRPr="00B76126">
        <w:rPr>
          <w:rFonts w:cs="Arial"/>
          <w:rtl/>
        </w:rPr>
        <w:t xml:space="preserve">, </w:t>
      </w:r>
      <w:r w:rsidRPr="00B76126">
        <w:rPr>
          <w:rFonts w:cs="Arial" w:hint="cs"/>
          <w:rtl/>
        </w:rPr>
        <w:t>אשור</w:t>
      </w:r>
      <w:r w:rsidRPr="00B76126">
        <w:rPr>
          <w:rFonts w:cs="Arial"/>
          <w:rtl/>
        </w:rPr>
        <w:t xml:space="preserve"> </w:t>
      </w:r>
      <w:r w:rsidRPr="00B76126">
        <w:rPr>
          <w:rFonts w:cs="Arial" w:hint="cs"/>
          <w:rtl/>
        </w:rPr>
        <w:t>הייא</w:t>
      </w:r>
      <w:r>
        <w:rPr>
          <w:rStyle w:val="a9"/>
          <w:rFonts w:cs="Arial"/>
          <w:rtl/>
        </w:rPr>
        <w:footnoteReference w:id="620"/>
      </w:r>
      <w:r w:rsidRPr="00B76126">
        <w:rPr>
          <w:rFonts w:cs="Arial"/>
          <w:rtl/>
        </w:rPr>
        <w:t>!</w:t>
      </w:r>
      <w:r>
        <w:rPr>
          <w:rFonts w:hint="cs"/>
          <w:rtl/>
        </w:rPr>
        <w:t>...</w:t>
      </w:r>
    </w:p>
    <w:p w14:paraId="4099AC48" w14:textId="77777777" w:rsidR="004B2E7C" w:rsidRPr="00295841" w:rsidRDefault="004B2E7C" w:rsidP="00434A6A">
      <w:pPr>
        <w:rPr>
          <w:u w:val="single"/>
          <w:rtl/>
        </w:rPr>
      </w:pPr>
      <w:r w:rsidRPr="00295841">
        <w:rPr>
          <w:rFonts w:hint="cs"/>
          <w:u w:val="single"/>
          <w:rtl/>
        </w:rPr>
        <w:t>ישמח בביאת השבת:</w:t>
      </w:r>
    </w:p>
    <w:p w14:paraId="62732DEE" w14:textId="77777777" w:rsidR="004B2E7C" w:rsidRPr="007259D1" w:rsidRDefault="004B2E7C" w:rsidP="00FF2D21">
      <w:pPr>
        <w:pStyle w:val="aa"/>
        <w:numPr>
          <w:ilvl w:val="0"/>
          <w:numId w:val="87"/>
        </w:numPr>
        <w:rPr>
          <w:rtl/>
        </w:rPr>
      </w:pPr>
      <w:r>
        <w:rPr>
          <w:rFonts w:hint="cs"/>
          <w:rtl/>
        </w:rPr>
        <w:t xml:space="preserve">טור- </w:t>
      </w:r>
      <w:r w:rsidRPr="007259D1">
        <w:rPr>
          <w:rFonts w:cs="Arial" w:hint="cs"/>
          <w:rtl/>
        </w:rPr>
        <w:t>וילבש</w:t>
      </w:r>
      <w:r w:rsidRPr="007259D1">
        <w:rPr>
          <w:rFonts w:cs="Arial"/>
          <w:rtl/>
        </w:rPr>
        <w:t xml:space="preserve"> </w:t>
      </w:r>
      <w:r w:rsidRPr="007259D1">
        <w:rPr>
          <w:rFonts w:cs="Arial" w:hint="cs"/>
          <w:rtl/>
        </w:rPr>
        <w:t>בגדיו</w:t>
      </w:r>
      <w:r w:rsidRPr="007259D1">
        <w:rPr>
          <w:rFonts w:cs="Arial"/>
          <w:rtl/>
        </w:rPr>
        <w:t xml:space="preserve"> </w:t>
      </w:r>
      <w:r w:rsidRPr="007259D1">
        <w:rPr>
          <w:rFonts w:cs="Arial" w:hint="cs"/>
          <w:rtl/>
        </w:rPr>
        <w:t>הנאים</w:t>
      </w:r>
      <w:r w:rsidRPr="007259D1">
        <w:rPr>
          <w:rFonts w:cs="Arial"/>
          <w:rtl/>
        </w:rPr>
        <w:t xml:space="preserve"> </w:t>
      </w:r>
      <w:r w:rsidRPr="007259D1">
        <w:rPr>
          <w:rFonts w:cs="Arial" w:hint="cs"/>
          <w:rtl/>
        </w:rPr>
        <w:t>וישמח</w:t>
      </w:r>
      <w:r w:rsidRPr="007259D1">
        <w:rPr>
          <w:rFonts w:cs="Arial"/>
          <w:rtl/>
        </w:rPr>
        <w:t xml:space="preserve"> </w:t>
      </w:r>
      <w:r w:rsidRPr="007259D1">
        <w:rPr>
          <w:rFonts w:cs="Arial" w:hint="cs"/>
          <w:rtl/>
        </w:rPr>
        <w:t>בביאת</w:t>
      </w:r>
      <w:r w:rsidRPr="007259D1">
        <w:rPr>
          <w:rFonts w:cs="Arial"/>
          <w:rtl/>
        </w:rPr>
        <w:t xml:space="preserve"> </w:t>
      </w:r>
      <w:r w:rsidRPr="007259D1">
        <w:rPr>
          <w:rFonts w:cs="Arial" w:hint="cs"/>
          <w:rtl/>
        </w:rPr>
        <w:t>שבת</w:t>
      </w:r>
      <w:r w:rsidRPr="007259D1">
        <w:rPr>
          <w:rFonts w:cs="Arial"/>
          <w:rtl/>
        </w:rPr>
        <w:t xml:space="preserve"> </w:t>
      </w:r>
      <w:r w:rsidRPr="007259D1">
        <w:rPr>
          <w:rFonts w:cs="Arial" w:hint="cs"/>
          <w:rtl/>
        </w:rPr>
        <w:t>כיוצא</w:t>
      </w:r>
      <w:r w:rsidRPr="007259D1">
        <w:rPr>
          <w:rFonts w:cs="Arial"/>
          <w:rtl/>
        </w:rPr>
        <w:t xml:space="preserve"> </w:t>
      </w:r>
      <w:r w:rsidRPr="007259D1">
        <w:rPr>
          <w:rFonts w:cs="Arial" w:hint="cs"/>
          <w:rtl/>
        </w:rPr>
        <w:t>לקראת</w:t>
      </w:r>
      <w:r w:rsidRPr="007259D1">
        <w:rPr>
          <w:rFonts w:cs="Arial"/>
          <w:rtl/>
        </w:rPr>
        <w:t xml:space="preserve"> </w:t>
      </w:r>
      <w:r w:rsidRPr="007259D1">
        <w:rPr>
          <w:rFonts w:cs="Arial" w:hint="cs"/>
          <w:rtl/>
        </w:rPr>
        <w:t>המלך</w:t>
      </w:r>
      <w:r w:rsidRPr="007259D1">
        <w:rPr>
          <w:rFonts w:cs="Arial"/>
          <w:rtl/>
        </w:rPr>
        <w:t xml:space="preserve"> </w:t>
      </w:r>
      <w:r w:rsidRPr="007259D1">
        <w:rPr>
          <w:rFonts w:cs="Arial" w:hint="cs"/>
          <w:rtl/>
        </w:rPr>
        <w:t>וכיוצא</w:t>
      </w:r>
      <w:r w:rsidRPr="007259D1">
        <w:rPr>
          <w:rFonts w:cs="Arial"/>
          <w:rtl/>
        </w:rPr>
        <w:t xml:space="preserve"> </w:t>
      </w:r>
      <w:r w:rsidRPr="007259D1">
        <w:rPr>
          <w:rFonts w:cs="Arial" w:hint="cs"/>
          <w:rtl/>
        </w:rPr>
        <w:t>לקראת</w:t>
      </w:r>
      <w:r w:rsidRPr="007259D1">
        <w:rPr>
          <w:rFonts w:cs="Arial"/>
          <w:rtl/>
        </w:rPr>
        <w:t xml:space="preserve"> </w:t>
      </w:r>
      <w:r w:rsidRPr="007259D1">
        <w:rPr>
          <w:rFonts w:cs="Arial" w:hint="cs"/>
          <w:rtl/>
        </w:rPr>
        <w:t>חתן</w:t>
      </w:r>
      <w:r w:rsidRPr="007259D1">
        <w:rPr>
          <w:rFonts w:cs="Arial"/>
          <w:rtl/>
        </w:rPr>
        <w:t xml:space="preserve"> </w:t>
      </w:r>
      <w:r w:rsidRPr="007259D1">
        <w:rPr>
          <w:rFonts w:cs="Arial" w:hint="cs"/>
          <w:rtl/>
        </w:rPr>
        <w:t>וכלה</w:t>
      </w:r>
      <w:r w:rsidRPr="007259D1">
        <w:rPr>
          <w:rFonts w:cs="Arial"/>
          <w:rtl/>
        </w:rPr>
        <w:t xml:space="preserve"> </w:t>
      </w:r>
      <w:r w:rsidRPr="007259D1">
        <w:rPr>
          <w:rFonts w:cs="Arial" w:hint="cs"/>
          <w:rtl/>
        </w:rPr>
        <w:t>כדאיתא</w:t>
      </w:r>
      <w:r w:rsidRPr="007259D1">
        <w:rPr>
          <w:rFonts w:cs="Arial"/>
          <w:rtl/>
        </w:rPr>
        <w:t xml:space="preserve"> </w:t>
      </w:r>
      <w:r w:rsidRPr="007259D1">
        <w:rPr>
          <w:rFonts w:cs="Arial" w:hint="cs"/>
          <w:rtl/>
        </w:rPr>
        <w:t>בפ</w:t>
      </w:r>
      <w:r w:rsidRPr="007259D1">
        <w:rPr>
          <w:rFonts w:cs="Arial"/>
          <w:rtl/>
        </w:rPr>
        <w:t xml:space="preserve">' </w:t>
      </w:r>
      <w:r w:rsidRPr="007259D1">
        <w:rPr>
          <w:rFonts w:cs="Arial" w:hint="cs"/>
          <w:rtl/>
        </w:rPr>
        <w:t>כל</w:t>
      </w:r>
      <w:r w:rsidRPr="007259D1">
        <w:rPr>
          <w:rFonts w:cs="Arial"/>
          <w:rtl/>
        </w:rPr>
        <w:t xml:space="preserve"> </w:t>
      </w:r>
      <w:r w:rsidRPr="007259D1">
        <w:rPr>
          <w:rFonts w:cs="Arial" w:hint="cs"/>
          <w:rtl/>
        </w:rPr>
        <w:t>כתבי</w:t>
      </w:r>
      <w:r w:rsidRPr="007259D1">
        <w:rPr>
          <w:rFonts w:cs="Arial"/>
          <w:rtl/>
        </w:rPr>
        <w:t xml:space="preserve"> </w:t>
      </w:r>
      <w:r w:rsidRPr="007259D1">
        <w:rPr>
          <w:rFonts w:cs="Arial" w:hint="cs"/>
          <w:rtl/>
        </w:rPr>
        <w:t>ר</w:t>
      </w:r>
      <w:r w:rsidRPr="007259D1">
        <w:rPr>
          <w:rFonts w:cs="Arial"/>
          <w:rtl/>
        </w:rPr>
        <w:t xml:space="preserve">' </w:t>
      </w:r>
      <w:r w:rsidRPr="007259D1">
        <w:rPr>
          <w:rFonts w:cs="Arial" w:hint="cs"/>
          <w:rtl/>
        </w:rPr>
        <w:t>חנינא</w:t>
      </w:r>
      <w:r w:rsidRPr="007259D1">
        <w:rPr>
          <w:rFonts w:cs="Arial"/>
          <w:rtl/>
        </w:rPr>
        <w:t xml:space="preserve"> </w:t>
      </w:r>
      <w:r w:rsidRPr="007259D1">
        <w:rPr>
          <w:rFonts w:cs="Arial" w:hint="cs"/>
          <w:rtl/>
        </w:rPr>
        <w:t>מעטף</w:t>
      </w:r>
      <w:r w:rsidRPr="007259D1">
        <w:rPr>
          <w:rFonts w:cs="Arial"/>
          <w:rtl/>
        </w:rPr>
        <w:t xml:space="preserve"> </w:t>
      </w:r>
      <w:r w:rsidRPr="007259D1">
        <w:rPr>
          <w:rFonts w:cs="Arial" w:hint="cs"/>
          <w:rtl/>
        </w:rPr>
        <w:t>וקאי</w:t>
      </w:r>
      <w:r w:rsidRPr="007259D1">
        <w:rPr>
          <w:rFonts w:cs="Arial"/>
          <w:rtl/>
        </w:rPr>
        <w:t xml:space="preserve"> </w:t>
      </w:r>
      <w:r w:rsidRPr="007259D1">
        <w:rPr>
          <w:rFonts w:cs="Arial" w:hint="cs"/>
          <w:rtl/>
        </w:rPr>
        <w:t>בפניא</w:t>
      </w:r>
      <w:r w:rsidRPr="007259D1">
        <w:rPr>
          <w:rFonts w:cs="Arial"/>
          <w:rtl/>
        </w:rPr>
        <w:t xml:space="preserve"> </w:t>
      </w:r>
      <w:r w:rsidRPr="007259D1">
        <w:rPr>
          <w:rFonts w:cs="Arial" w:hint="cs"/>
          <w:rtl/>
        </w:rPr>
        <w:t>דמעלי</w:t>
      </w:r>
      <w:r w:rsidRPr="007259D1">
        <w:rPr>
          <w:rFonts w:cs="Arial"/>
          <w:rtl/>
        </w:rPr>
        <w:t xml:space="preserve"> </w:t>
      </w:r>
      <w:r w:rsidRPr="007259D1">
        <w:rPr>
          <w:rFonts w:cs="Arial" w:hint="cs"/>
          <w:rtl/>
        </w:rPr>
        <w:t>שבתא</w:t>
      </w:r>
      <w:r w:rsidRPr="007259D1">
        <w:rPr>
          <w:rFonts w:cs="Arial"/>
          <w:rtl/>
        </w:rPr>
        <w:t xml:space="preserve"> </w:t>
      </w:r>
      <w:r w:rsidRPr="007259D1">
        <w:rPr>
          <w:rFonts w:cs="Arial" w:hint="cs"/>
          <w:rtl/>
        </w:rPr>
        <w:t>ואומר</w:t>
      </w:r>
      <w:r w:rsidRPr="007259D1">
        <w:rPr>
          <w:rFonts w:cs="Arial"/>
          <w:rtl/>
        </w:rPr>
        <w:t xml:space="preserve"> </w:t>
      </w:r>
      <w:r w:rsidRPr="007259D1">
        <w:rPr>
          <w:rFonts w:cs="Arial" w:hint="cs"/>
          <w:rtl/>
        </w:rPr>
        <w:t>בואו</w:t>
      </w:r>
      <w:r w:rsidRPr="007259D1">
        <w:rPr>
          <w:rFonts w:cs="Arial"/>
          <w:rtl/>
        </w:rPr>
        <w:t xml:space="preserve"> </w:t>
      </w:r>
      <w:r w:rsidRPr="007259D1">
        <w:rPr>
          <w:rFonts w:cs="Arial" w:hint="cs"/>
          <w:rtl/>
        </w:rPr>
        <w:t>ונצא</w:t>
      </w:r>
      <w:r w:rsidRPr="007259D1">
        <w:rPr>
          <w:rFonts w:cs="Arial"/>
          <w:rtl/>
        </w:rPr>
        <w:t xml:space="preserve"> </w:t>
      </w:r>
      <w:r w:rsidRPr="007259D1">
        <w:rPr>
          <w:rFonts w:cs="Arial" w:hint="cs"/>
          <w:rtl/>
        </w:rPr>
        <w:t>לקראת</w:t>
      </w:r>
      <w:r w:rsidRPr="007259D1">
        <w:rPr>
          <w:rFonts w:cs="Arial"/>
          <w:rtl/>
        </w:rPr>
        <w:t xml:space="preserve"> </w:t>
      </w:r>
      <w:r w:rsidRPr="007259D1">
        <w:rPr>
          <w:rFonts w:cs="Arial" w:hint="cs"/>
          <w:rtl/>
        </w:rPr>
        <w:t>שבת</w:t>
      </w:r>
      <w:r w:rsidRPr="007259D1">
        <w:rPr>
          <w:rFonts w:cs="Arial"/>
          <w:rtl/>
        </w:rPr>
        <w:t xml:space="preserve"> </w:t>
      </w:r>
      <w:r w:rsidRPr="007259D1">
        <w:rPr>
          <w:rFonts w:cs="Arial" w:hint="cs"/>
          <w:rtl/>
        </w:rPr>
        <w:t>מלכתא</w:t>
      </w:r>
      <w:r w:rsidRPr="007259D1">
        <w:rPr>
          <w:rFonts w:cs="Arial"/>
          <w:rtl/>
        </w:rPr>
        <w:t xml:space="preserve"> </w:t>
      </w:r>
      <w:r w:rsidRPr="007259D1">
        <w:rPr>
          <w:rFonts w:cs="Arial" w:hint="cs"/>
          <w:rtl/>
        </w:rPr>
        <w:t>ר</w:t>
      </w:r>
      <w:r w:rsidRPr="007259D1">
        <w:rPr>
          <w:rFonts w:cs="Arial"/>
          <w:rtl/>
        </w:rPr>
        <w:t xml:space="preserve">' </w:t>
      </w:r>
      <w:r w:rsidRPr="007259D1">
        <w:rPr>
          <w:rFonts w:cs="Arial" w:hint="cs"/>
          <w:rtl/>
        </w:rPr>
        <w:t>ינאי</w:t>
      </w:r>
      <w:r w:rsidRPr="007259D1">
        <w:rPr>
          <w:rFonts w:cs="Arial"/>
          <w:rtl/>
        </w:rPr>
        <w:t xml:space="preserve"> </w:t>
      </w:r>
      <w:r w:rsidRPr="007259D1">
        <w:rPr>
          <w:rFonts w:cs="Arial" w:hint="cs"/>
          <w:rtl/>
        </w:rPr>
        <w:t>אומר</w:t>
      </w:r>
      <w:r w:rsidRPr="007259D1">
        <w:rPr>
          <w:rFonts w:cs="Arial"/>
          <w:rtl/>
        </w:rPr>
        <w:t xml:space="preserve"> </w:t>
      </w:r>
      <w:r w:rsidRPr="007259D1">
        <w:rPr>
          <w:rFonts w:cs="Arial" w:hint="cs"/>
          <w:rtl/>
        </w:rPr>
        <w:t>בואי</w:t>
      </w:r>
      <w:r w:rsidRPr="007259D1">
        <w:rPr>
          <w:rFonts w:cs="Arial"/>
          <w:rtl/>
        </w:rPr>
        <w:t xml:space="preserve"> </w:t>
      </w:r>
      <w:r w:rsidRPr="007259D1">
        <w:rPr>
          <w:rFonts w:cs="Arial" w:hint="cs"/>
          <w:rtl/>
        </w:rPr>
        <w:t>כלה</w:t>
      </w:r>
      <w:r w:rsidRPr="007259D1">
        <w:rPr>
          <w:rFonts w:cs="Arial"/>
          <w:rtl/>
        </w:rPr>
        <w:t xml:space="preserve"> </w:t>
      </w:r>
      <w:r w:rsidRPr="007259D1">
        <w:rPr>
          <w:rFonts w:cs="Arial" w:hint="cs"/>
          <w:rtl/>
        </w:rPr>
        <w:t>בואי</w:t>
      </w:r>
      <w:r w:rsidRPr="007259D1">
        <w:rPr>
          <w:rFonts w:cs="Arial"/>
          <w:rtl/>
        </w:rPr>
        <w:t xml:space="preserve"> </w:t>
      </w:r>
      <w:r w:rsidRPr="007259D1">
        <w:rPr>
          <w:rFonts w:cs="Arial" w:hint="cs"/>
          <w:rtl/>
        </w:rPr>
        <w:t>כלה</w:t>
      </w:r>
      <w:r w:rsidRPr="007259D1">
        <w:rPr>
          <w:rFonts w:cs="Arial"/>
          <w:rtl/>
        </w:rPr>
        <w:t xml:space="preserve"> </w:t>
      </w:r>
      <w:r w:rsidRPr="007259D1">
        <w:rPr>
          <w:rFonts w:cs="Arial" w:hint="cs"/>
          <w:rtl/>
        </w:rPr>
        <w:t>וירבה</w:t>
      </w:r>
      <w:r w:rsidRPr="007259D1">
        <w:rPr>
          <w:rFonts w:cs="Arial"/>
          <w:rtl/>
        </w:rPr>
        <w:t xml:space="preserve"> </w:t>
      </w:r>
      <w:r w:rsidRPr="007259D1">
        <w:rPr>
          <w:rFonts w:cs="Arial" w:hint="cs"/>
          <w:rtl/>
        </w:rPr>
        <w:t>בבשר</w:t>
      </w:r>
      <w:r w:rsidRPr="007259D1">
        <w:rPr>
          <w:rFonts w:cs="Arial"/>
          <w:rtl/>
        </w:rPr>
        <w:t xml:space="preserve"> </w:t>
      </w:r>
      <w:r w:rsidRPr="007259D1">
        <w:rPr>
          <w:rFonts w:cs="Arial" w:hint="cs"/>
          <w:rtl/>
        </w:rPr>
        <w:t>ויין</w:t>
      </w:r>
      <w:r w:rsidRPr="007259D1">
        <w:rPr>
          <w:rFonts w:cs="Arial"/>
          <w:rtl/>
        </w:rPr>
        <w:t xml:space="preserve"> </w:t>
      </w:r>
      <w:r w:rsidRPr="007259D1">
        <w:rPr>
          <w:rFonts w:cs="Arial" w:hint="cs"/>
          <w:rtl/>
        </w:rPr>
        <w:t>ומגדנות</w:t>
      </w:r>
      <w:r w:rsidRPr="007259D1">
        <w:rPr>
          <w:rFonts w:cs="Arial"/>
          <w:rtl/>
        </w:rPr>
        <w:t xml:space="preserve"> </w:t>
      </w:r>
      <w:r w:rsidRPr="007259D1">
        <w:rPr>
          <w:rFonts w:cs="Arial" w:hint="cs"/>
          <w:rtl/>
        </w:rPr>
        <w:t>כפי</w:t>
      </w:r>
      <w:r w:rsidRPr="007259D1">
        <w:rPr>
          <w:rFonts w:cs="Arial"/>
          <w:rtl/>
        </w:rPr>
        <w:t xml:space="preserve"> </w:t>
      </w:r>
      <w:r w:rsidRPr="007259D1">
        <w:rPr>
          <w:rFonts w:cs="Arial" w:hint="cs"/>
          <w:rtl/>
        </w:rPr>
        <w:t>יכולתו</w:t>
      </w:r>
      <w:r w:rsidRPr="007259D1">
        <w:rPr>
          <w:rFonts w:cs="Arial"/>
          <w:rtl/>
        </w:rPr>
        <w:t xml:space="preserve"> </w:t>
      </w:r>
      <w:r w:rsidRPr="007259D1">
        <w:rPr>
          <w:rFonts w:cs="Arial" w:hint="cs"/>
          <w:rtl/>
        </w:rPr>
        <w:t>וכל</w:t>
      </w:r>
      <w:r w:rsidRPr="007259D1">
        <w:rPr>
          <w:rFonts w:cs="Arial"/>
          <w:rtl/>
        </w:rPr>
        <w:t xml:space="preserve"> </w:t>
      </w:r>
      <w:r w:rsidRPr="007259D1">
        <w:rPr>
          <w:rFonts w:cs="Arial" w:hint="cs"/>
          <w:rtl/>
        </w:rPr>
        <w:t>המרבה</w:t>
      </w:r>
      <w:r w:rsidRPr="007259D1">
        <w:rPr>
          <w:rFonts w:cs="Arial"/>
          <w:rtl/>
        </w:rPr>
        <w:t xml:space="preserve"> </w:t>
      </w:r>
      <w:r w:rsidRPr="007259D1">
        <w:rPr>
          <w:rFonts w:cs="Arial" w:hint="cs"/>
          <w:rtl/>
        </w:rPr>
        <w:t>לכבדו</w:t>
      </w:r>
      <w:r w:rsidRPr="007259D1">
        <w:rPr>
          <w:rFonts w:cs="Arial"/>
          <w:rtl/>
        </w:rPr>
        <w:t xml:space="preserve"> </w:t>
      </w:r>
      <w:r w:rsidRPr="007259D1">
        <w:rPr>
          <w:rFonts w:cs="Arial" w:hint="cs"/>
          <w:rtl/>
        </w:rPr>
        <w:t>הן</w:t>
      </w:r>
      <w:r w:rsidRPr="007259D1">
        <w:rPr>
          <w:rFonts w:cs="Arial"/>
          <w:rtl/>
        </w:rPr>
        <w:t xml:space="preserve"> </w:t>
      </w:r>
      <w:r w:rsidRPr="007259D1">
        <w:rPr>
          <w:rFonts w:cs="Arial" w:hint="cs"/>
          <w:rtl/>
        </w:rPr>
        <w:t>בגופו</w:t>
      </w:r>
      <w:r w:rsidRPr="007259D1">
        <w:rPr>
          <w:rFonts w:cs="Arial"/>
          <w:rtl/>
        </w:rPr>
        <w:t xml:space="preserve"> </w:t>
      </w:r>
      <w:r w:rsidRPr="007259D1">
        <w:rPr>
          <w:rFonts w:cs="Arial" w:hint="cs"/>
          <w:rtl/>
        </w:rPr>
        <w:t>הן</w:t>
      </w:r>
      <w:r w:rsidRPr="007259D1">
        <w:rPr>
          <w:rFonts w:cs="Arial"/>
          <w:rtl/>
        </w:rPr>
        <w:t xml:space="preserve"> </w:t>
      </w:r>
      <w:r w:rsidRPr="007259D1">
        <w:rPr>
          <w:rFonts w:cs="Arial" w:hint="cs"/>
          <w:rtl/>
        </w:rPr>
        <w:t>בבגדיו</w:t>
      </w:r>
      <w:r w:rsidRPr="007259D1">
        <w:rPr>
          <w:rFonts w:cs="Arial"/>
          <w:rtl/>
        </w:rPr>
        <w:t xml:space="preserve"> </w:t>
      </w:r>
      <w:r w:rsidRPr="007259D1">
        <w:rPr>
          <w:rFonts w:cs="Arial" w:hint="cs"/>
          <w:rtl/>
        </w:rPr>
        <w:t>הן</w:t>
      </w:r>
      <w:r w:rsidRPr="007259D1">
        <w:rPr>
          <w:rFonts w:cs="Arial"/>
          <w:rtl/>
        </w:rPr>
        <w:t xml:space="preserve"> </w:t>
      </w:r>
      <w:r w:rsidRPr="007259D1">
        <w:rPr>
          <w:rFonts w:cs="Arial" w:hint="cs"/>
          <w:rtl/>
        </w:rPr>
        <w:t>באכילה</w:t>
      </w:r>
      <w:r w:rsidRPr="007259D1">
        <w:rPr>
          <w:rFonts w:cs="Arial"/>
          <w:rtl/>
        </w:rPr>
        <w:t xml:space="preserve"> </w:t>
      </w:r>
      <w:r w:rsidRPr="007259D1">
        <w:rPr>
          <w:rFonts w:cs="Arial" w:hint="cs"/>
          <w:rtl/>
        </w:rPr>
        <w:t>ושתייה</w:t>
      </w:r>
      <w:r w:rsidRPr="007259D1">
        <w:rPr>
          <w:rFonts w:cs="Arial"/>
          <w:rtl/>
        </w:rPr>
        <w:t xml:space="preserve"> </w:t>
      </w:r>
      <w:r w:rsidRPr="007259D1">
        <w:rPr>
          <w:rFonts w:cs="Arial" w:hint="cs"/>
          <w:rtl/>
        </w:rPr>
        <w:t>ה</w:t>
      </w:r>
      <w:r w:rsidRPr="007259D1">
        <w:rPr>
          <w:rFonts w:cs="Arial"/>
          <w:rtl/>
        </w:rPr>
        <w:t>"</w:t>
      </w:r>
      <w:r w:rsidRPr="007259D1">
        <w:rPr>
          <w:rFonts w:cs="Arial" w:hint="cs"/>
          <w:rtl/>
        </w:rPr>
        <w:t>ז</w:t>
      </w:r>
      <w:r w:rsidRPr="007259D1">
        <w:rPr>
          <w:rFonts w:cs="Arial"/>
          <w:rtl/>
        </w:rPr>
        <w:t xml:space="preserve"> </w:t>
      </w:r>
      <w:r w:rsidRPr="007259D1">
        <w:rPr>
          <w:rFonts w:cs="Arial" w:hint="cs"/>
          <w:rtl/>
        </w:rPr>
        <w:t>משובח.</w:t>
      </w:r>
      <w:r w:rsidRPr="00C40EC3">
        <w:rPr>
          <w:rFonts w:cs="Arial" w:hint="cs"/>
          <w:color w:val="E36C0A" w:themeColor="accent6" w:themeShade="BF"/>
          <w:rtl/>
        </w:rPr>
        <w:t xml:space="preserve"> </w:t>
      </w:r>
      <w:r w:rsidRPr="0056384F">
        <w:rPr>
          <w:rFonts w:cs="Arial" w:hint="cs"/>
          <w:color w:val="E36C0A" w:themeColor="accent6" w:themeShade="BF"/>
          <w:rtl/>
        </w:rPr>
        <w:t>(וכ"פ בשו"ע)</w:t>
      </w:r>
    </w:p>
    <w:p w14:paraId="77B5F340"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A41DEC1" w14:textId="77777777" w:rsidR="004B2E7C" w:rsidRDefault="004B2E7C" w:rsidP="00434A6A">
      <w:pPr>
        <w:rPr>
          <w:rFonts w:asciiTheme="minorBidi" w:hAnsiTheme="minorBidi"/>
          <w:rtl/>
        </w:rPr>
      </w:pPr>
      <w:r w:rsidRPr="00CC2350">
        <w:rPr>
          <w:rFonts w:asciiTheme="minorBidi" w:hAnsiTheme="minorBidi" w:cs="Arial"/>
          <w:rtl/>
        </w:rPr>
        <w:t>ילבש בגדיו הנאים</w:t>
      </w:r>
      <w:r>
        <w:rPr>
          <w:rStyle w:val="a9"/>
          <w:rFonts w:asciiTheme="minorBidi" w:hAnsiTheme="minorBidi" w:cs="Arial"/>
          <w:rtl/>
        </w:rPr>
        <w:footnoteReference w:id="621"/>
      </w:r>
      <w:r w:rsidRPr="00CC2350">
        <w:rPr>
          <w:rFonts w:asciiTheme="minorBidi" w:hAnsiTheme="minorBidi" w:cs="Arial"/>
          <w:rtl/>
        </w:rPr>
        <w:t xml:space="preserve"> וישמח בביאת שבת כיוצא לקראת המלך וכיוצא לקראת חתן וכלה, דרבי חנינא מעטף וקאי בפניא דמעלי שבתא, ואמר: בואו ונצא לקראת שבת מלכתא</w:t>
      </w:r>
      <w:r>
        <w:rPr>
          <w:rFonts w:asciiTheme="minorBidi" w:hAnsiTheme="minorBidi" w:cs="Arial" w:hint="cs"/>
          <w:rtl/>
        </w:rPr>
        <w:t>.</w:t>
      </w:r>
      <w:r w:rsidRPr="00CC2350">
        <w:rPr>
          <w:rFonts w:asciiTheme="minorBidi" w:hAnsiTheme="minorBidi" w:cs="Arial"/>
          <w:rtl/>
        </w:rPr>
        <w:t xml:space="preserve"> ר' ינאי אומר: בואי כלה, בואי כלה. </w:t>
      </w:r>
      <w:r w:rsidRPr="003769D9">
        <w:rPr>
          <w:rFonts w:asciiTheme="minorBidi" w:hAnsiTheme="minorBidi" w:cs="Arial"/>
          <w:sz w:val="18"/>
          <w:szCs w:val="18"/>
          <w:rtl/>
        </w:rPr>
        <w:t>הגה: וילביש עצמו בבגדי שבת מיד אחר שרחץ עצמו, וזהו כבוד השבת. וע"כ לא ירחץ לשבת אלא סמוך לערב, שילביש עצמו מיד (הגהות מרדכי החדשים).</w:t>
      </w:r>
    </w:p>
    <w:p w14:paraId="6C0B595E" w14:textId="77777777" w:rsidR="004B2E7C" w:rsidRDefault="004B2E7C" w:rsidP="00434A6A">
      <w:pPr>
        <w:rPr>
          <w:rFonts w:asciiTheme="minorBidi" w:hAnsiTheme="minorBidi" w:cs="Arial"/>
          <w:rtl/>
        </w:rPr>
        <w:sectPr w:rsidR="004B2E7C" w:rsidSect="00BD29B1">
          <w:headerReference w:type="default" r:id="rId33"/>
          <w:footnotePr>
            <w:numRestart w:val="eachSect"/>
          </w:footnotePr>
          <w:pgSz w:w="11906" w:h="16838"/>
          <w:pgMar w:top="720" w:right="1134" w:bottom="720" w:left="1134" w:header="0" w:footer="0" w:gutter="0"/>
          <w:cols w:space="720"/>
          <w:bidi/>
          <w:rtlGutter/>
          <w:docGrid w:linePitch="360"/>
        </w:sectPr>
      </w:pPr>
    </w:p>
    <w:p w14:paraId="0A706164" w14:textId="77777777" w:rsidR="004B2E7C" w:rsidRPr="00CC2350" w:rsidRDefault="004B2E7C" w:rsidP="00434A6A">
      <w:pPr>
        <w:pStyle w:val="1"/>
        <w:rPr>
          <w:rtl/>
        </w:rPr>
      </w:pPr>
      <w:r>
        <w:rPr>
          <w:rFonts w:hint="cs"/>
          <w:rtl/>
        </w:rPr>
        <w:t xml:space="preserve">סימן רסג: </w:t>
      </w:r>
      <w:r w:rsidRPr="00CC2350">
        <w:rPr>
          <w:rtl/>
        </w:rPr>
        <w:t xml:space="preserve">מי ומי המדליקין, ואם טעו ביום המעונן, ובו י"ז סעיפים. </w:t>
      </w:r>
    </w:p>
    <w:p w14:paraId="1454DEB8" w14:textId="77777777" w:rsidR="004B2E7C" w:rsidRDefault="004B2E7C" w:rsidP="00434A6A">
      <w:pPr>
        <w:pStyle w:val="2"/>
        <w:rPr>
          <w:rtl/>
        </w:rPr>
      </w:pPr>
      <w:r w:rsidRPr="00CC2350">
        <w:rPr>
          <w:rtl/>
        </w:rPr>
        <w:t>סעיף א</w:t>
      </w:r>
      <w:r>
        <w:rPr>
          <w:rFonts w:hint="cs"/>
          <w:rtl/>
        </w:rPr>
        <w:t>: זהירות בנר יפה.</w:t>
      </w:r>
    </w:p>
    <w:p w14:paraId="16F104D3" w14:textId="77777777" w:rsidR="004B2E7C" w:rsidRPr="00BE4C77" w:rsidRDefault="004B2E7C" w:rsidP="00434A6A">
      <w:pPr>
        <w:rPr>
          <w:rtl/>
        </w:rPr>
      </w:pPr>
      <w:r w:rsidRPr="00565331">
        <w:rPr>
          <w:rFonts w:cs="Arial" w:hint="cs"/>
          <w:b/>
          <w:bCs/>
          <w:rtl/>
        </w:rPr>
        <w:t xml:space="preserve">שבת </w:t>
      </w:r>
      <w:r w:rsidRPr="00762875">
        <w:rPr>
          <w:rFonts w:cs="Arial" w:hint="cs"/>
          <w:b/>
          <w:bCs/>
          <w:sz w:val="16"/>
          <w:szCs w:val="16"/>
          <w:rtl/>
        </w:rPr>
        <w:t xml:space="preserve">(פ' </w:t>
      </w:r>
      <w:r>
        <w:rPr>
          <w:rFonts w:cs="Arial" w:hint="cs"/>
          <w:b/>
          <w:bCs/>
          <w:sz w:val="16"/>
          <w:szCs w:val="16"/>
          <w:rtl/>
        </w:rPr>
        <w:t>במה מדליקין</w:t>
      </w:r>
      <w:r w:rsidRPr="00762875">
        <w:rPr>
          <w:rFonts w:cs="Arial" w:hint="cs"/>
          <w:b/>
          <w:bCs/>
          <w:sz w:val="16"/>
          <w:szCs w:val="16"/>
          <w:rtl/>
        </w:rPr>
        <w:t xml:space="preserve">) </w:t>
      </w:r>
      <w:r>
        <w:rPr>
          <w:rFonts w:cs="Arial" w:hint="cs"/>
          <w:b/>
          <w:bCs/>
          <w:rtl/>
        </w:rPr>
        <w:t>כג</w:t>
      </w:r>
      <w:r w:rsidRPr="00565331">
        <w:rPr>
          <w:rFonts w:cs="Arial" w:hint="cs"/>
          <w:b/>
          <w:bCs/>
          <w:rtl/>
        </w:rPr>
        <w:t xml:space="preserve"> ע"</w:t>
      </w:r>
      <w:r>
        <w:rPr>
          <w:rFonts w:cs="Arial" w:hint="cs"/>
          <w:b/>
          <w:bCs/>
          <w:rtl/>
        </w:rPr>
        <w:t>ב</w:t>
      </w:r>
      <w:r w:rsidRPr="00565331">
        <w:rPr>
          <w:rFonts w:cs="Arial" w:hint="cs"/>
          <w:b/>
          <w:bCs/>
          <w:rtl/>
        </w:rPr>
        <w:t>:</w:t>
      </w:r>
      <w:r>
        <w:rPr>
          <w:rFonts w:cs="Arial" w:hint="cs"/>
          <w:rtl/>
        </w:rPr>
        <w:t xml:space="preserve"> </w:t>
      </w:r>
      <w:r w:rsidRPr="00BE4C77">
        <w:rPr>
          <w:rFonts w:cs="Arial" w:hint="cs"/>
          <w:u w:val="single"/>
          <w:rtl/>
        </w:rPr>
        <w:t>אמר</w:t>
      </w:r>
      <w:r w:rsidRPr="00BE4C77">
        <w:rPr>
          <w:rFonts w:cs="Arial"/>
          <w:u w:val="single"/>
          <w:rtl/>
        </w:rPr>
        <w:t xml:space="preserve"> </w:t>
      </w:r>
      <w:r w:rsidRPr="00BE4C77">
        <w:rPr>
          <w:rFonts w:cs="Arial" w:hint="cs"/>
          <w:u w:val="single"/>
          <w:rtl/>
        </w:rPr>
        <w:t>רב</w:t>
      </w:r>
      <w:r w:rsidRPr="00BE4C77">
        <w:rPr>
          <w:rFonts w:cs="Arial"/>
          <w:u w:val="single"/>
          <w:rtl/>
        </w:rPr>
        <w:t xml:space="preserve"> </w:t>
      </w:r>
      <w:r w:rsidRPr="00BE4C77">
        <w:rPr>
          <w:rFonts w:cs="Arial" w:hint="cs"/>
          <w:u w:val="single"/>
          <w:rtl/>
        </w:rPr>
        <w:t>הונא</w:t>
      </w:r>
      <w:r w:rsidRPr="00BE4C77">
        <w:rPr>
          <w:rFonts w:cs="Arial"/>
          <w:rtl/>
        </w:rPr>
        <w:t xml:space="preserve">: </w:t>
      </w:r>
      <w:r w:rsidRPr="00BE4C77">
        <w:rPr>
          <w:rFonts w:cs="Arial" w:hint="cs"/>
          <w:rtl/>
        </w:rPr>
        <w:t>הרגיל</w:t>
      </w:r>
      <w:r w:rsidRPr="00BE4C77">
        <w:rPr>
          <w:rFonts w:cs="Arial"/>
          <w:rtl/>
        </w:rPr>
        <w:t xml:space="preserve"> </w:t>
      </w:r>
      <w:r w:rsidRPr="00BE4C77">
        <w:rPr>
          <w:rFonts w:cs="Arial" w:hint="cs"/>
          <w:rtl/>
        </w:rPr>
        <w:t>בנר</w:t>
      </w:r>
      <w:r w:rsidRPr="00BE4C77">
        <w:rPr>
          <w:rFonts w:cs="Arial"/>
          <w:rtl/>
        </w:rPr>
        <w:t xml:space="preserve"> - </w:t>
      </w:r>
      <w:r w:rsidRPr="00BE4C77">
        <w:rPr>
          <w:rFonts w:cs="Arial" w:hint="cs"/>
          <w:rtl/>
        </w:rPr>
        <w:t>הויין</w:t>
      </w:r>
      <w:r w:rsidRPr="00BE4C77">
        <w:rPr>
          <w:rFonts w:cs="Arial"/>
          <w:rtl/>
        </w:rPr>
        <w:t xml:space="preserve"> </w:t>
      </w:r>
      <w:r w:rsidRPr="00BE4C77">
        <w:rPr>
          <w:rFonts w:cs="Arial" w:hint="cs"/>
          <w:rtl/>
        </w:rPr>
        <w:t>ליה</w:t>
      </w:r>
      <w:r w:rsidRPr="00BE4C77">
        <w:rPr>
          <w:rFonts w:cs="Arial"/>
          <w:rtl/>
        </w:rPr>
        <w:t xml:space="preserve"> </w:t>
      </w:r>
      <w:r w:rsidRPr="00BE4C77">
        <w:rPr>
          <w:rFonts w:cs="Arial" w:hint="cs"/>
          <w:rtl/>
        </w:rPr>
        <w:t>בנים</w:t>
      </w:r>
      <w:r w:rsidRPr="00BE4C77">
        <w:rPr>
          <w:rFonts w:cs="Arial"/>
          <w:rtl/>
        </w:rPr>
        <w:t xml:space="preserve"> </w:t>
      </w:r>
      <w:r w:rsidRPr="00BE4C77">
        <w:rPr>
          <w:rFonts w:cs="Arial" w:hint="cs"/>
          <w:rtl/>
        </w:rPr>
        <w:t>תלמידי</w:t>
      </w:r>
      <w:r w:rsidRPr="00BE4C77">
        <w:rPr>
          <w:rFonts w:cs="Arial"/>
          <w:rtl/>
        </w:rPr>
        <w:t xml:space="preserve"> </w:t>
      </w:r>
      <w:r w:rsidRPr="00BE4C77">
        <w:rPr>
          <w:rFonts w:cs="Arial" w:hint="cs"/>
          <w:rtl/>
        </w:rPr>
        <w:t>חכמים</w:t>
      </w:r>
      <w:r w:rsidRPr="00BE4C77">
        <w:rPr>
          <w:rFonts w:cs="Arial"/>
          <w:rtl/>
        </w:rPr>
        <w:t xml:space="preserve">, </w:t>
      </w:r>
      <w:r w:rsidRPr="00BE4C77">
        <w:rPr>
          <w:rFonts w:cs="Arial" w:hint="cs"/>
          <w:rtl/>
        </w:rPr>
        <w:t>הזהיר</w:t>
      </w:r>
      <w:r w:rsidRPr="00BE4C77">
        <w:rPr>
          <w:rFonts w:cs="Arial"/>
          <w:rtl/>
        </w:rPr>
        <w:t xml:space="preserve"> </w:t>
      </w:r>
      <w:r w:rsidRPr="00BE4C77">
        <w:rPr>
          <w:rFonts w:cs="Arial" w:hint="cs"/>
          <w:rtl/>
        </w:rPr>
        <w:t>במזוזה</w:t>
      </w:r>
      <w:r w:rsidRPr="00BE4C77">
        <w:rPr>
          <w:rFonts w:cs="Arial"/>
          <w:rtl/>
        </w:rPr>
        <w:t xml:space="preserve"> - </w:t>
      </w:r>
      <w:r w:rsidRPr="00BE4C77">
        <w:rPr>
          <w:rFonts w:cs="Arial" w:hint="cs"/>
          <w:rtl/>
        </w:rPr>
        <w:t>זוכה</w:t>
      </w:r>
      <w:r w:rsidRPr="00BE4C77">
        <w:rPr>
          <w:rFonts w:cs="Arial"/>
          <w:rtl/>
        </w:rPr>
        <w:t xml:space="preserve"> </w:t>
      </w:r>
      <w:r w:rsidRPr="00BE4C77">
        <w:rPr>
          <w:rFonts w:cs="Arial" w:hint="cs"/>
          <w:rtl/>
        </w:rPr>
        <w:t>לדירה</w:t>
      </w:r>
      <w:r w:rsidRPr="00BE4C77">
        <w:rPr>
          <w:rFonts w:cs="Arial"/>
          <w:rtl/>
        </w:rPr>
        <w:t xml:space="preserve"> </w:t>
      </w:r>
      <w:r w:rsidRPr="00BE4C77">
        <w:rPr>
          <w:rFonts w:cs="Arial" w:hint="cs"/>
          <w:rtl/>
        </w:rPr>
        <w:t>נאה</w:t>
      </w:r>
      <w:r w:rsidRPr="00BE4C77">
        <w:rPr>
          <w:rFonts w:cs="Arial"/>
          <w:rtl/>
        </w:rPr>
        <w:t xml:space="preserve">, </w:t>
      </w:r>
      <w:r w:rsidRPr="00BE4C77">
        <w:rPr>
          <w:rFonts w:cs="Arial" w:hint="cs"/>
          <w:rtl/>
        </w:rPr>
        <w:t>הזהיר</w:t>
      </w:r>
      <w:r w:rsidRPr="00BE4C77">
        <w:rPr>
          <w:rFonts w:cs="Arial"/>
          <w:rtl/>
        </w:rPr>
        <w:t xml:space="preserve"> </w:t>
      </w:r>
      <w:r w:rsidRPr="00BE4C77">
        <w:rPr>
          <w:rFonts w:cs="Arial" w:hint="cs"/>
          <w:rtl/>
        </w:rPr>
        <w:t>בציצית</w:t>
      </w:r>
      <w:r w:rsidRPr="00BE4C77">
        <w:rPr>
          <w:rFonts w:cs="Arial"/>
          <w:rtl/>
        </w:rPr>
        <w:t xml:space="preserve"> - </w:t>
      </w:r>
      <w:r w:rsidRPr="00BE4C77">
        <w:rPr>
          <w:rFonts w:cs="Arial" w:hint="cs"/>
          <w:rtl/>
        </w:rPr>
        <w:t>זוכה</w:t>
      </w:r>
      <w:r w:rsidRPr="00BE4C77">
        <w:rPr>
          <w:rFonts w:cs="Arial"/>
          <w:rtl/>
        </w:rPr>
        <w:t xml:space="preserve"> </w:t>
      </w:r>
      <w:r w:rsidRPr="00BE4C77">
        <w:rPr>
          <w:rFonts w:cs="Arial" w:hint="cs"/>
          <w:rtl/>
        </w:rPr>
        <w:t>לטלית</w:t>
      </w:r>
      <w:r w:rsidRPr="00BE4C77">
        <w:rPr>
          <w:rFonts w:cs="Arial"/>
          <w:rtl/>
        </w:rPr>
        <w:t xml:space="preserve"> </w:t>
      </w:r>
      <w:r w:rsidRPr="00BE4C77">
        <w:rPr>
          <w:rFonts w:cs="Arial" w:hint="cs"/>
          <w:rtl/>
        </w:rPr>
        <w:t>נאה</w:t>
      </w:r>
      <w:r w:rsidRPr="00BE4C77">
        <w:rPr>
          <w:rFonts w:cs="Arial"/>
          <w:rtl/>
        </w:rPr>
        <w:t xml:space="preserve">, </w:t>
      </w:r>
      <w:r w:rsidRPr="00BE4C77">
        <w:rPr>
          <w:rFonts w:cs="Arial" w:hint="cs"/>
          <w:rtl/>
        </w:rPr>
        <w:t>הזהיר</w:t>
      </w:r>
      <w:r w:rsidRPr="00BE4C77">
        <w:rPr>
          <w:rFonts w:cs="Arial"/>
          <w:rtl/>
        </w:rPr>
        <w:t xml:space="preserve"> </w:t>
      </w:r>
      <w:r w:rsidRPr="00BE4C77">
        <w:rPr>
          <w:rFonts w:cs="Arial" w:hint="cs"/>
          <w:rtl/>
        </w:rPr>
        <w:t>בקידוש</w:t>
      </w:r>
      <w:r w:rsidRPr="00BE4C77">
        <w:rPr>
          <w:rFonts w:cs="Arial"/>
          <w:rtl/>
        </w:rPr>
        <w:t xml:space="preserve"> </w:t>
      </w:r>
      <w:r w:rsidRPr="00BE4C77">
        <w:rPr>
          <w:rFonts w:cs="Arial" w:hint="cs"/>
          <w:rtl/>
        </w:rPr>
        <w:t>היום</w:t>
      </w:r>
      <w:r w:rsidRPr="00BE4C77">
        <w:rPr>
          <w:rFonts w:cs="Arial"/>
          <w:rtl/>
        </w:rPr>
        <w:t xml:space="preserve"> - </w:t>
      </w:r>
      <w:r w:rsidRPr="00BE4C77">
        <w:rPr>
          <w:rFonts w:cs="Arial" w:hint="cs"/>
          <w:rtl/>
        </w:rPr>
        <w:t>זוכה</w:t>
      </w:r>
      <w:r w:rsidRPr="00BE4C77">
        <w:rPr>
          <w:rFonts w:cs="Arial"/>
          <w:rtl/>
        </w:rPr>
        <w:t xml:space="preserve"> </w:t>
      </w:r>
      <w:r w:rsidRPr="00BE4C77">
        <w:rPr>
          <w:rFonts w:cs="Arial" w:hint="cs"/>
          <w:rtl/>
        </w:rPr>
        <w:t>וממלא</w:t>
      </w:r>
      <w:r w:rsidRPr="00BE4C77">
        <w:rPr>
          <w:rFonts w:cs="Arial"/>
          <w:rtl/>
        </w:rPr>
        <w:t xml:space="preserve"> </w:t>
      </w:r>
      <w:r w:rsidRPr="00BE4C77">
        <w:rPr>
          <w:rFonts w:cs="Arial" w:hint="cs"/>
          <w:rtl/>
        </w:rPr>
        <w:t>גרבי</w:t>
      </w:r>
      <w:r w:rsidRPr="00BE4C77">
        <w:rPr>
          <w:rFonts w:cs="Arial"/>
          <w:rtl/>
        </w:rPr>
        <w:t xml:space="preserve"> </w:t>
      </w:r>
      <w:r w:rsidRPr="00BE4C77">
        <w:rPr>
          <w:rFonts w:cs="Arial" w:hint="cs"/>
          <w:rtl/>
        </w:rPr>
        <w:t>יין</w:t>
      </w:r>
      <w:r w:rsidRPr="00BE4C77">
        <w:rPr>
          <w:rFonts w:cs="Arial"/>
          <w:rtl/>
        </w:rPr>
        <w:t xml:space="preserve">. </w:t>
      </w:r>
      <w:r w:rsidRPr="00BE4C77">
        <w:rPr>
          <w:rFonts w:cs="Arial" w:hint="cs"/>
          <w:rtl/>
        </w:rPr>
        <w:t>רב</w:t>
      </w:r>
      <w:r w:rsidRPr="00BE4C77">
        <w:rPr>
          <w:rFonts w:cs="Arial"/>
          <w:rtl/>
        </w:rPr>
        <w:t xml:space="preserve"> </w:t>
      </w:r>
      <w:r w:rsidRPr="00BE4C77">
        <w:rPr>
          <w:rFonts w:cs="Arial" w:hint="cs"/>
          <w:rtl/>
        </w:rPr>
        <w:t>הונא</w:t>
      </w:r>
      <w:r w:rsidRPr="00BE4C77">
        <w:rPr>
          <w:rFonts w:cs="Arial"/>
          <w:rtl/>
        </w:rPr>
        <w:t xml:space="preserve"> </w:t>
      </w:r>
      <w:r w:rsidRPr="00BE4C77">
        <w:rPr>
          <w:rFonts w:cs="Arial" w:hint="cs"/>
          <w:rtl/>
        </w:rPr>
        <w:t>הוה</w:t>
      </w:r>
      <w:r w:rsidRPr="00BE4C77">
        <w:rPr>
          <w:rFonts w:cs="Arial"/>
          <w:rtl/>
        </w:rPr>
        <w:t xml:space="preserve"> </w:t>
      </w:r>
      <w:r w:rsidRPr="00BE4C77">
        <w:rPr>
          <w:rFonts w:cs="Arial" w:hint="cs"/>
          <w:rtl/>
        </w:rPr>
        <w:t>רגיל</w:t>
      </w:r>
      <w:r w:rsidRPr="00BE4C77">
        <w:rPr>
          <w:rFonts w:cs="Arial"/>
          <w:rtl/>
        </w:rPr>
        <w:t xml:space="preserve"> </w:t>
      </w:r>
      <w:r w:rsidRPr="00BE4C77">
        <w:rPr>
          <w:rFonts w:cs="Arial" w:hint="cs"/>
          <w:rtl/>
        </w:rPr>
        <w:t>דהוה</w:t>
      </w:r>
      <w:r w:rsidRPr="00BE4C77">
        <w:rPr>
          <w:rFonts w:cs="Arial"/>
          <w:rtl/>
        </w:rPr>
        <w:t xml:space="preserve"> </w:t>
      </w:r>
      <w:r w:rsidRPr="00BE4C77">
        <w:rPr>
          <w:rFonts w:cs="Arial" w:hint="cs"/>
          <w:rtl/>
        </w:rPr>
        <w:t>חליף</w:t>
      </w:r>
      <w:r w:rsidRPr="00BE4C77">
        <w:rPr>
          <w:rFonts w:cs="Arial"/>
          <w:rtl/>
        </w:rPr>
        <w:t xml:space="preserve"> </w:t>
      </w:r>
      <w:r w:rsidRPr="00BE4C77">
        <w:rPr>
          <w:rFonts w:cs="Arial" w:hint="cs"/>
          <w:rtl/>
        </w:rPr>
        <w:t>ותני</w:t>
      </w:r>
      <w:r w:rsidRPr="00BE4C77">
        <w:rPr>
          <w:rFonts w:cs="Arial"/>
          <w:rtl/>
        </w:rPr>
        <w:t xml:space="preserve"> </w:t>
      </w:r>
      <w:r w:rsidRPr="00BE4C77">
        <w:rPr>
          <w:rFonts w:cs="Arial" w:hint="cs"/>
          <w:rtl/>
        </w:rPr>
        <w:t>אפתחא</w:t>
      </w:r>
      <w:r w:rsidRPr="00BE4C77">
        <w:rPr>
          <w:rFonts w:cs="Arial"/>
          <w:rtl/>
        </w:rPr>
        <w:t xml:space="preserve"> </w:t>
      </w:r>
      <w:r w:rsidRPr="00BE4C77">
        <w:rPr>
          <w:rFonts w:cs="Arial" w:hint="cs"/>
          <w:rtl/>
        </w:rPr>
        <w:t>דרבי</w:t>
      </w:r>
      <w:r w:rsidRPr="00BE4C77">
        <w:rPr>
          <w:rFonts w:cs="Arial"/>
          <w:rtl/>
        </w:rPr>
        <w:t xml:space="preserve"> </w:t>
      </w:r>
      <w:r w:rsidRPr="00BE4C77">
        <w:rPr>
          <w:rFonts w:cs="Arial" w:hint="cs"/>
          <w:rtl/>
        </w:rPr>
        <w:t>אבין</w:t>
      </w:r>
      <w:r w:rsidRPr="00BE4C77">
        <w:rPr>
          <w:rFonts w:cs="Arial"/>
          <w:rtl/>
        </w:rPr>
        <w:t xml:space="preserve"> </w:t>
      </w:r>
      <w:r w:rsidRPr="00BE4C77">
        <w:rPr>
          <w:rFonts w:cs="Arial" w:hint="cs"/>
          <w:rtl/>
        </w:rPr>
        <w:t>נגרא</w:t>
      </w:r>
      <w:r w:rsidRPr="00BE4C77">
        <w:rPr>
          <w:rFonts w:cs="Arial"/>
          <w:rtl/>
        </w:rPr>
        <w:t xml:space="preserve">, </w:t>
      </w:r>
      <w:r w:rsidRPr="00BE4C77">
        <w:rPr>
          <w:rFonts w:cs="Arial" w:hint="cs"/>
          <w:rtl/>
        </w:rPr>
        <w:t>חזא</w:t>
      </w:r>
      <w:r w:rsidRPr="00BE4C77">
        <w:rPr>
          <w:rFonts w:cs="Arial"/>
          <w:rtl/>
        </w:rPr>
        <w:t xml:space="preserve"> </w:t>
      </w:r>
      <w:r w:rsidRPr="00BE4C77">
        <w:rPr>
          <w:rFonts w:cs="Arial" w:hint="cs"/>
          <w:rtl/>
        </w:rPr>
        <w:t>דהוה</w:t>
      </w:r>
      <w:r w:rsidRPr="00BE4C77">
        <w:rPr>
          <w:rFonts w:cs="Arial"/>
          <w:rtl/>
        </w:rPr>
        <w:t xml:space="preserve"> </w:t>
      </w:r>
      <w:r w:rsidRPr="00BE4C77">
        <w:rPr>
          <w:rFonts w:cs="Arial" w:hint="cs"/>
          <w:rtl/>
        </w:rPr>
        <w:t>רגיל</w:t>
      </w:r>
      <w:r w:rsidRPr="00BE4C77">
        <w:rPr>
          <w:rFonts w:cs="Arial"/>
          <w:rtl/>
        </w:rPr>
        <w:t xml:space="preserve"> </w:t>
      </w:r>
      <w:r w:rsidRPr="00BE4C77">
        <w:rPr>
          <w:rFonts w:cs="Arial" w:hint="cs"/>
          <w:rtl/>
        </w:rPr>
        <w:t>בשרגי</w:t>
      </w:r>
      <w:r w:rsidRPr="00BE4C77">
        <w:rPr>
          <w:rFonts w:cs="Arial"/>
          <w:rtl/>
        </w:rPr>
        <w:t xml:space="preserve"> </w:t>
      </w:r>
      <w:r w:rsidRPr="00BE4C77">
        <w:rPr>
          <w:rFonts w:cs="Arial" w:hint="cs"/>
          <w:rtl/>
        </w:rPr>
        <w:t>טובא</w:t>
      </w:r>
      <w:r w:rsidRPr="00BE4C77">
        <w:rPr>
          <w:rFonts w:cs="Arial"/>
          <w:rtl/>
        </w:rPr>
        <w:t xml:space="preserve">, </w:t>
      </w:r>
      <w:r w:rsidRPr="00BE4C77">
        <w:rPr>
          <w:rFonts w:cs="Arial" w:hint="cs"/>
          <w:rtl/>
        </w:rPr>
        <w:t>אמר</w:t>
      </w:r>
      <w:r w:rsidRPr="00BE4C77">
        <w:rPr>
          <w:rFonts w:cs="Arial"/>
          <w:rtl/>
        </w:rPr>
        <w:t xml:space="preserve">: </w:t>
      </w:r>
      <w:r w:rsidRPr="00BE4C77">
        <w:rPr>
          <w:rFonts w:cs="Arial" w:hint="cs"/>
          <w:rtl/>
        </w:rPr>
        <w:t>תרי</w:t>
      </w:r>
      <w:r w:rsidRPr="00BE4C77">
        <w:rPr>
          <w:rFonts w:cs="Arial"/>
          <w:rtl/>
        </w:rPr>
        <w:t xml:space="preserve"> </w:t>
      </w:r>
      <w:r w:rsidRPr="00BE4C77">
        <w:rPr>
          <w:rFonts w:cs="Arial" w:hint="cs"/>
          <w:rtl/>
        </w:rPr>
        <w:t>גברי</w:t>
      </w:r>
      <w:r w:rsidRPr="00BE4C77">
        <w:rPr>
          <w:rFonts w:cs="Arial"/>
          <w:rtl/>
        </w:rPr>
        <w:t xml:space="preserve"> </w:t>
      </w:r>
      <w:r w:rsidRPr="00BE4C77">
        <w:rPr>
          <w:rFonts w:cs="Arial" w:hint="cs"/>
          <w:rtl/>
        </w:rPr>
        <w:t>רברבי</w:t>
      </w:r>
      <w:r w:rsidRPr="00BE4C77">
        <w:rPr>
          <w:rFonts w:cs="Arial"/>
          <w:rtl/>
        </w:rPr>
        <w:t xml:space="preserve"> </w:t>
      </w:r>
      <w:r w:rsidRPr="00BE4C77">
        <w:rPr>
          <w:rFonts w:cs="Arial" w:hint="cs"/>
          <w:rtl/>
        </w:rPr>
        <w:t>נפקי</w:t>
      </w:r>
      <w:r w:rsidRPr="00BE4C77">
        <w:rPr>
          <w:rFonts w:cs="Arial"/>
          <w:rtl/>
        </w:rPr>
        <w:t xml:space="preserve"> </w:t>
      </w:r>
      <w:r w:rsidRPr="00BE4C77">
        <w:rPr>
          <w:rFonts w:cs="Arial" w:hint="cs"/>
          <w:rtl/>
        </w:rPr>
        <w:t>מהכא</w:t>
      </w:r>
      <w:r w:rsidRPr="00BE4C77">
        <w:rPr>
          <w:rFonts w:cs="Arial"/>
          <w:rtl/>
        </w:rPr>
        <w:t xml:space="preserve">. </w:t>
      </w:r>
      <w:r w:rsidRPr="00BE4C77">
        <w:rPr>
          <w:rFonts w:cs="Arial" w:hint="cs"/>
          <w:rtl/>
        </w:rPr>
        <w:t>נפקי</w:t>
      </w:r>
      <w:r w:rsidRPr="00BE4C77">
        <w:rPr>
          <w:rFonts w:cs="Arial"/>
          <w:rtl/>
        </w:rPr>
        <w:t xml:space="preserve"> </w:t>
      </w:r>
      <w:r w:rsidRPr="00BE4C77">
        <w:rPr>
          <w:rFonts w:cs="Arial" w:hint="cs"/>
          <w:rtl/>
        </w:rPr>
        <w:t>מינייהו</w:t>
      </w:r>
      <w:r w:rsidRPr="00BE4C77">
        <w:rPr>
          <w:rFonts w:cs="Arial"/>
          <w:rtl/>
        </w:rPr>
        <w:t xml:space="preserve"> </w:t>
      </w:r>
      <w:r w:rsidRPr="00BE4C77">
        <w:rPr>
          <w:rFonts w:cs="Arial" w:hint="cs"/>
          <w:rtl/>
        </w:rPr>
        <w:t>רב</w:t>
      </w:r>
      <w:r w:rsidRPr="00BE4C77">
        <w:rPr>
          <w:rFonts w:cs="Arial"/>
          <w:rtl/>
        </w:rPr>
        <w:t xml:space="preserve"> </w:t>
      </w:r>
      <w:r w:rsidRPr="00BE4C77">
        <w:rPr>
          <w:rFonts w:cs="Arial" w:hint="cs"/>
          <w:rtl/>
        </w:rPr>
        <w:t>אידי</w:t>
      </w:r>
      <w:r w:rsidRPr="00BE4C77">
        <w:rPr>
          <w:rFonts w:cs="Arial"/>
          <w:rtl/>
        </w:rPr>
        <w:t xml:space="preserve"> </w:t>
      </w:r>
      <w:r w:rsidRPr="00BE4C77">
        <w:rPr>
          <w:rFonts w:cs="Arial" w:hint="cs"/>
          <w:rtl/>
        </w:rPr>
        <w:t>בר</w:t>
      </w:r>
      <w:r w:rsidRPr="00BE4C77">
        <w:rPr>
          <w:rFonts w:cs="Arial"/>
          <w:rtl/>
        </w:rPr>
        <w:t xml:space="preserve"> </w:t>
      </w:r>
      <w:r w:rsidRPr="00BE4C77">
        <w:rPr>
          <w:rFonts w:cs="Arial" w:hint="cs"/>
          <w:rtl/>
        </w:rPr>
        <w:t>אבין</w:t>
      </w:r>
      <w:r w:rsidRPr="00BE4C77">
        <w:rPr>
          <w:rFonts w:cs="Arial"/>
          <w:rtl/>
        </w:rPr>
        <w:t xml:space="preserve"> </w:t>
      </w:r>
      <w:r w:rsidRPr="00BE4C77">
        <w:rPr>
          <w:rFonts w:cs="Arial" w:hint="cs"/>
          <w:rtl/>
        </w:rPr>
        <w:t>ורב</w:t>
      </w:r>
      <w:r w:rsidRPr="00BE4C77">
        <w:rPr>
          <w:rFonts w:cs="Arial"/>
          <w:rtl/>
        </w:rPr>
        <w:t xml:space="preserve"> </w:t>
      </w:r>
      <w:r w:rsidRPr="00BE4C77">
        <w:rPr>
          <w:rFonts w:cs="Arial" w:hint="cs"/>
          <w:rtl/>
        </w:rPr>
        <w:t>חייא</w:t>
      </w:r>
      <w:r w:rsidRPr="00BE4C77">
        <w:rPr>
          <w:rFonts w:cs="Arial"/>
          <w:rtl/>
        </w:rPr>
        <w:t xml:space="preserve"> </w:t>
      </w:r>
      <w:r w:rsidRPr="00BE4C77">
        <w:rPr>
          <w:rFonts w:cs="Arial" w:hint="cs"/>
          <w:rtl/>
        </w:rPr>
        <w:t>בר</w:t>
      </w:r>
      <w:r w:rsidRPr="00BE4C77">
        <w:rPr>
          <w:rFonts w:cs="Arial"/>
          <w:rtl/>
        </w:rPr>
        <w:t xml:space="preserve"> </w:t>
      </w:r>
      <w:r w:rsidRPr="00BE4C77">
        <w:rPr>
          <w:rFonts w:cs="Arial" w:hint="cs"/>
          <w:rtl/>
        </w:rPr>
        <w:t>אבין</w:t>
      </w:r>
      <w:r w:rsidRPr="00BE4C77">
        <w:rPr>
          <w:rFonts w:cs="Arial"/>
          <w:rtl/>
        </w:rPr>
        <w:t xml:space="preserve">. </w:t>
      </w:r>
      <w:r w:rsidRPr="00BE4C77">
        <w:rPr>
          <w:rFonts w:cs="Arial" w:hint="cs"/>
          <w:rtl/>
        </w:rPr>
        <w:t>רב</w:t>
      </w:r>
      <w:r w:rsidRPr="00BE4C77">
        <w:rPr>
          <w:rFonts w:cs="Arial"/>
          <w:rtl/>
        </w:rPr>
        <w:t xml:space="preserve"> </w:t>
      </w:r>
      <w:r w:rsidRPr="00BE4C77">
        <w:rPr>
          <w:rFonts w:cs="Arial" w:hint="cs"/>
          <w:rtl/>
        </w:rPr>
        <w:t>חסדא</w:t>
      </w:r>
      <w:r w:rsidRPr="00BE4C77">
        <w:rPr>
          <w:rFonts w:cs="Arial"/>
          <w:rtl/>
        </w:rPr>
        <w:t xml:space="preserve"> </w:t>
      </w:r>
      <w:r w:rsidRPr="00BE4C77">
        <w:rPr>
          <w:rFonts w:cs="Arial" w:hint="cs"/>
          <w:rtl/>
        </w:rPr>
        <w:t>הוה</w:t>
      </w:r>
      <w:r w:rsidRPr="00BE4C77">
        <w:rPr>
          <w:rFonts w:cs="Arial"/>
          <w:rtl/>
        </w:rPr>
        <w:t xml:space="preserve"> </w:t>
      </w:r>
      <w:r w:rsidRPr="00BE4C77">
        <w:rPr>
          <w:rFonts w:cs="Arial" w:hint="cs"/>
          <w:rtl/>
        </w:rPr>
        <w:t>רגיל</w:t>
      </w:r>
      <w:r w:rsidRPr="00BE4C77">
        <w:rPr>
          <w:rFonts w:cs="Arial"/>
          <w:rtl/>
        </w:rPr>
        <w:t xml:space="preserve"> </w:t>
      </w:r>
      <w:r w:rsidRPr="00BE4C77">
        <w:rPr>
          <w:rFonts w:cs="Arial" w:hint="cs"/>
          <w:rtl/>
        </w:rPr>
        <w:t>דהוה</w:t>
      </w:r>
      <w:r w:rsidRPr="00BE4C77">
        <w:rPr>
          <w:rFonts w:cs="Arial"/>
          <w:rtl/>
        </w:rPr>
        <w:t xml:space="preserve"> </w:t>
      </w:r>
      <w:r w:rsidRPr="00BE4C77">
        <w:rPr>
          <w:rFonts w:cs="Arial" w:hint="cs"/>
          <w:rtl/>
        </w:rPr>
        <w:t>חליף</w:t>
      </w:r>
      <w:r w:rsidRPr="00BE4C77">
        <w:rPr>
          <w:rFonts w:cs="Arial"/>
          <w:rtl/>
        </w:rPr>
        <w:t xml:space="preserve"> </w:t>
      </w:r>
      <w:r w:rsidRPr="00BE4C77">
        <w:rPr>
          <w:rFonts w:cs="Arial" w:hint="cs"/>
          <w:rtl/>
        </w:rPr>
        <w:t>ותני</w:t>
      </w:r>
      <w:r w:rsidRPr="00BE4C77">
        <w:rPr>
          <w:rFonts w:cs="Arial"/>
          <w:rtl/>
        </w:rPr>
        <w:t xml:space="preserve"> </w:t>
      </w:r>
      <w:r w:rsidRPr="00BE4C77">
        <w:rPr>
          <w:rFonts w:cs="Arial" w:hint="cs"/>
          <w:rtl/>
        </w:rPr>
        <w:t>אפיתחא</w:t>
      </w:r>
      <w:r w:rsidRPr="00BE4C77">
        <w:rPr>
          <w:rFonts w:cs="Arial"/>
          <w:rtl/>
        </w:rPr>
        <w:t xml:space="preserve"> </w:t>
      </w:r>
      <w:r w:rsidRPr="00BE4C77">
        <w:rPr>
          <w:rFonts w:cs="Arial" w:hint="cs"/>
          <w:rtl/>
        </w:rPr>
        <w:t>דבי</w:t>
      </w:r>
      <w:r w:rsidRPr="00BE4C77">
        <w:rPr>
          <w:rFonts w:cs="Arial"/>
          <w:rtl/>
        </w:rPr>
        <w:t xml:space="preserve"> </w:t>
      </w:r>
      <w:r w:rsidRPr="00BE4C77">
        <w:rPr>
          <w:rFonts w:cs="Arial" w:hint="cs"/>
          <w:rtl/>
        </w:rPr>
        <w:t>נשא</w:t>
      </w:r>
      <w:r w:rsidRPr="00BE4C77">
        <w:rPr>
          <w:rFonts w:cs="Arial"/>
          <w:rtl/>
        </w:rPr>
        <w:t xml:space="preserve"> </w:t>
      </w:r>
      <w:r w:rsidRPr="00BE4C77">
        <w:rPr>
          <w:rFonts w:cs="Arial" w:hint="cs"/>
          <w:rtl/>
        </w:rPr>
        <w:t>דרב</w:t>
      </w:r>
      <w:r w:rsidRPr="00BE4C77">
        <w:rPr>
          <w:rFonts w:cs="Arial"/>
          <w:rtl/>
        </w:rPr>
        <w:t xml:space="preserve"> </w:t>
      </w:r>
      <w:r w:rsidRPr="00BE4C77">
        <w:rPr>
          <w:rFonts w:cs="Arial" w:hint="cs"/>
          <w:rtl/>
        </w:rPr>
        <w:t>שיזבי</w:t>
      </w:r>
      <w:r w:rsidRPr="00BE4C77">
        <w:rPr>
          <w:rFonts w:cs="Arial"/>
          <w:rtl/>
        </w:rPr>
        <w:t xml:space="preserve">, </w:t>
      </w:r>
      <w:r w:rsidRPr="00BE4C77">
        <w:rPr>
          <w:rFonts w:cs="Arial" w:hint="cs"/>
          <w:rtl/>
        </w:rPr>
        <w:t>חזא</w:t>
      </w:r>
      <w:r w:rsidRPr="00BE4C77">
        <w:rPr>
          <w:rFonts w:cs="Arial"/>
          <w:rtl/>
        </w:rPr>
        <w:t xml:space="preserve"> </w:t>
      </w:r>
      <w:r w:rsidRPr="00BE4C77">
        <w:rPr>
          <w:rFonts w:cs="Arial" w:hint="cs"/>
          <w:rtl/>
        </w:rPr>
        <w:t>דהוה</w:t>
      </w:r>
      <w:r w:rsidRPr="00BE4C77">
        <w:rPr>
          <w:rFonts w:cs="Arial"/>
          <w:rtl/>
        </w:rPr>
        <w:t xml:space="preserve"> </w:t>
      </w:r>
      <w:r w:rsidRPr="00BE4C77">
        <w:rPr>
          <w:rFonts w:cs="Arial" w:hint="cs"/>
          <w:rtl/>
        </w:rPr>
        <w:t>רגיל</w:t>
      </w:r>
      <w:r w:rsidRPr="00BE4C77">
        <w:rPr>
          <w:rFonts w:cs="Arial"/>
          <w:rtl/>
        </w:rPr>
        <w:t xml:space="preserve"> </w:t>
      </w:r>
      <w:r w:rsidRPr="00BE4C77">
        <w:rPr>
          <w:rFonts w:cs="Arial" w:hint="cs"/>
          <w:rtl/>
        </w:rPr>
        <w:t>בשרגי</w:t>
      </w:r>
      <w:r w:rsidRPr="00BE4C77">
        <w:rPr>
          <w:rFonts w:cs="Arial"/>
          <w:rtl/>
        </w:rPr>
        <w:t xml:space="preserve"> </w:t>
      </w:r>
      <w:r w:rsidRPr="00BE4C77">
        <w:rPr>
          <w:rFonts w:cs="Arial" w:hint="cs"/>
          <w:rtl/>
        </w:rPr>
        <w:t>טובא</w:t>
      </w:r>
      <w:r w:rsidRPr="00BE4C77">
        <w:rPr>
          <w:rFonts w:cs="Arial"/>
          <w:rtl/>
        </w:rPr>
        <w:t xml:space="preserve">, </w:t>
      </w:r>
      <w:r w:rsidRPr="00BE4C77">
        <w:rPr>
          <w:rFonts w:cs="Arial" w:hint="cs"/>
          <w:rtl/>
        </w:rPr>
        <w:t>אמר</w:t>
      </w:r>
      <w:r w:rsidRPr="00BE4C77">
        <w:rPr>
          <w:rFonts w:cs="Arial"/>
          <w:rtl/>
        </w:rPr>
        <w:t xml:space="preserve">: </w:t>
      </w:r>
      <w:r w:rsidRPr="00BE4C77">
        <w:rPr>
          <w:rFonts w:cs="Arial" w:hint="cs"/>
          <w:rtl/>
        </w:rPr>
        <w:t>גברא</w:t>
      </w:r>
      <w:r w:rsidRPr="00BE4C77">
        <w:rPr>
          <w:rFonts w:cs="Arial"/>
          <w:rtl/>
        </w:rPr>
        <w:t xml:space="preserve"> </w:t>
      </w:r>
      <w:r w:rsidRPr="00BE4C77">
        <w:rPr>
          <w:rFonts w:cs="Arial" w:hint="cs"/>
          <w:rtl/>
        </w:rPr>
        <w:t>רבא</w:t>
      </w:r>
      <w:r w:rsidRPr="00BE4C77">
        <w:rPr>
          <w:rFonts w:cs="Arial"/>
          <w:rtl/>
        </w:rPr>
        <w:t xml:space="preserve"> </w:t>
      </w:r>
      <w:r w:rsidRPr="00BE4C77">
        <w:rPr>
          <w:rFonts w:cs="Arial" w:hint="cs"/>
          <w:rtl/>
        </w:rPr>
        <w:t>נפק</w:t>
      </w:r>
      <w:r w:rsidRPr="00BE4C77">
        <w:rPr>
          <w:rFonts w:cs="Arial"/>
          <w:rtl/>
        </w:rPr>
        <w:t xml:space="preserve"> </w:t>
      </w:r>
      <w:r w:rsidRPr="00BE4C77">
        <w:rPr>
          <w:rFonts w:cs="Arial" w:hint="cs"/>
          <w:rtl/>
        </w:rPr>
        <w:t>מהכא</w:t>
      </w:r>
      <w:r w:rsidRPr="00BE4C77">
        <w:rPr>
          <w:rFonts w:cs="Arial"/>
          <w:rtl/>
        </w:rPr>
        <w:t xml:space="preserve">. </w:t>
      </w:r>
      <w:r w:rsidRPr="00BE4C77">
        <w:rPr>
          <w:rFonts w:cs="Arial" w:hint="cs"/>
          <w:rtl/>
        </w:rPr>
        <w:t>נפק</w:t>
      </w:r>
      <w:r w:rsidRPr="00BE4C77">
        <w:rPr>
          <w:rFonts w:cs="Arial"/>
          <w:rtl/>
        </w:rPr>
        <w:t xml:space="preserve"> </w:t>
      </w:r>
      <w:r w:rsidRPr="00BE4C77">
        <w:rPr>
          <w:rFonts w:cs="Arial" w:hint="cs"/>
          <w:rtl/>
        </w:rPr>
        <w:t>מינייהו</w:t>
      </w:r>
      <w:r w:rsidRPr="00BE4C77">
        <w:rPr>
          <w:rFonts w:cs="Arial"/>
          <w:rtl/>
        </w:rPr>
        <w:t xml:space="preserve"> </w:t>
      </w:r>
      <w:r w:rsidRPr="00BE4C77">
        <w:rPr>
          <w:rFonts w:cs="Arial" w:hint="cs"/>
          <w:rtl/>
        </w:rPr>
        <w:t>רב</w:t>
      </w:r>
      <w:r w:rsidRPr="00BE4C77">
        <w:rPr>
          <w:rFonts w:cs="Arial"/>
          <w:rtl/>
        </w:rPr>
        <w:t xml:space="preserve"> </w:t>
      </w:r>
      <w:r w:rsidRPr="00BE4C77">
        <w:rPr>
          <w:rFonts w:cs="Arial" w:hint="cs"/>
          <w:rtl/>
        </w:rPr>
        <w:t>שיזבי</w:t>
      </w:r>
      <w:r w:rsidRPr="00BE4C77">
        <w:rPr>
          <w:rFonts w:cs="Arial"/>
          <w:rtl/>
        </w:rPr>
        <w:t>.</w:t>
      </w:r>
    </w:p>
    <w:p w14:paraId="3752CD2C" w14:textId="77777777" w:rsidR="004B2E7C" w:rsidRPr="00BE4C77" w:rsidRDefault="004B2E7C" w:rsidP="00434A6A">
      <w:pPr>
        <w:rPr>
          <w:u w:val="single"/>
          <w:rtl/>
        </w:rPr>
      </w:pPr>
      <w:r w:rsidRPr="00BE4C77">
        <w:rPr>
          <w:rFonts w:hint="cs"/>
          <w:u w:val="single"/>
          <w:rtl/>
        </w:rPr>
        <w:t>זהירות בנר יפה:</w:t>
      </w:r>
    </w:p>
    <w:p w14:paraId="7E95E580" w14:textId="77777777" w:rsidR="004B2E7C" w:rsidRDefault="004B2E7C" w:rsidP="00FF2D21">
      <w:pPr>
        <w:pStyle w:val="aa"/>
        <w:numPr>
          <w:ilvl w:val="0"/>
          <w:numId w:val="87"/>
        </w:numPr>
      </w:pPr>
      <w:r w:rsidRPr="0075388A">
        <w:rPr>
          <w:rFonts w:cs="Arial" w:hint="cs"/>
          <w:rtl/>
        </w:rPr>
        <w:t>טור- ויהא</w:t>
      </w:r>
      <w:r w:rsidRPr="0075388A">
        <w:rPr>
          <w:rFonts w:cs="Arial"/>
          <w:rtl/>
        </w:rPr>
        <w:t xml:space="preserve"> </w:t>
      </w:r>
      <w:r w:rsidRPr="0075388A">
        <w:rPr>
          <w:rFonts w:cs="Arial" w:hint="cs"/>
          <w:rtl/>
        </w:rPr>
        <w:t>זהיר</w:t>
      </w:r>
      <w:r w:rsidRPr="0075388A">
        <w:rPr>
          <w:rFonts w:cs="Arial"/>
          <w:rtl/>
        </w:rPr>
        <w:t xml:space="preserve"> </w:t>
      </w:r>
      <w:r w:rsidRPr="0075388A">
        <w:rPr>
          <w:rFonts w:cs="Arial" w:hint="cs"/>
          <w:rtl/>
        </w:rPr>
        <w:t>לעשות</w:t>
      </w:r>
      <w:r w:rsidRPr="0075388A">
        <w:rPr>
          <w:rFonts w:cs="Arial"/>
          <w:rtl/>
        </w:rPr>
        <w:t xml:space="preserve"> </w:t>
      </w:r>
      <w:r w:rsidRPr="0075388A">
        <w:rPr>
          <w:rFonts w:cs="Arial" w:hint="cs"/>
          <w:rtl/>
        </w:rPr>
        <w:t>נר</w:t>
      </w:r>
      <w:r w:rsidRPr="0075388A">
        <w:rPr>
          <w:rFonts w:cs="Arial"/>
          <w:rtl/>
        </w:rPr>
        <w:t xml:space="preserve"> </w:t>
      </w:r>
      <w:r w:rsidRPr="0075388A">
        <w:rPr>
          <w:rFonts w:cs="Arial" w:hint="cs"/>
          <w:rtl/>
        </w:rPr>
        <w:t>יפה</w:t>
      </w:r>
      <w:r w:rsidRPr="0075388A">
        <w:rPr>
          <w:rFonts w:cs="Arial"/>
          <w:rtl/>
        </w:rPr>
        <w:t xml:space="preserve"> </w:t>
      </w:r>
      <w:r w:rsidRPr="0075388A">
        <w:rPr>
          <w:rFonts w:cs="Arial" w:hint="cs"/>
          <w:rtl/>
        </w:rPr>
        <w:t>דאמר</w:t>
      </w:r>
      <w:r w:rsidRPr="0075388A">
        <w:rPr>
          <w:rFonts w:cs="Arial"/>
          <w:rtl/>
        </w:rPr>
        <w:t xml:space="preserve"> </w:t>
      </w:r>
      <w:r w:rsidRPr="0075388A">
        <w:rPr>
          <w:rFonts w:cs="Arial" w:hint="cs"/>
          <w:rtl/>
        </w:rPr>
        <w:t>רב</w:t>
      </w:r>
      <w:r w:rsidRPr="0075388A">
        <w:rPr>
          <w:rFonts w:cs="Arial"/>
          <w:rtl/>
        </w:rPr>
        <w:t xml:space="preserve"> </w:t>
      </w:r>
      <w:r w:rsidRPr="0075388A">
        <w:rPr>
          <w:rFonts w:cs="Arial" w:hint="cs"/>
          <w:rtl/>
        </w:rPr>
        <w:t>הונא</w:t>
      </w:r>
      <w:r w:rsidRPr="0075388A">
        <w:rPr>
          <w:rFonts w:cs="Arial"/>
          <w:rtl/>
        </w:rPr>
        <w:t xml:space="preserve"> </w:t>
      </w:r>
      <w:r w:rsidRPr="0075388A">
        <w:rPr>
          <w:rFonts w:cs="Arial" w:hint="cs"/>
          <w:rtl/>
        </w:rPr>
        <w:t>הרגיל</w:t>
      </w:r>
      <w:r w:rsidRPr="0075388A">
        <w:rPr>
          <w:rFonts w:cs="Arial"/>
          <w:rtl/>
        </w:rPr>
        <w:t xml:space="preserve"> </w:t>
      </w:r>
      <w:r w:rsidRPr="0075388A">
        <w:rPr>
          <w:rFonts w:cs="Arial" w:hint="cs"/>
          <w:rtl/>
        </w:rPr>
        <w:t>בנר</w:t>
      </w:r>
      <w:r w:rsidRPr="0075388A">
        <w:rPr>
          <w:rFonts w:cs="Arial"/>
          <w:rtl/>
        </w:rPr>
        <w:t xml:space="preserve"> </w:t>
      </w:r>
      <w:r w:rsidRPr="0075388A">
        <w:rPr>
          <w:rFonts w:cs="Arial" w:hint="cs"/>
          <w:rtl/>
        </w:rPr>
        <w:t>שבת</w:t>
      </w:r>
      <w:r w:rsidRPr="0075388A">
        <w:rPr>
          <w:rFonts w:cs="Arial"/>
          <w:rtl/>
        </w:rPr>
        <w:t xml:space="preserve"> </w:t>
      </w:r>
      <w:r w:rsidRPr="0075388A">
        <w:rPr>
          <w:rFonts w:cs="Arial" w:hint="cs"/>
          <w:rtl/>
        </w:rPr>
        <w:t>להשתדל</w:t>
      </w:r>
      <w:r w:rsidRPr="0075388A">
        <w:rPr>
          <w:rFonts w:cs="Arial"/>
          <w:rtl/>
        </w:rPr>
        <w:t xml:space="preserve"> </w:t>
      </w:r>
      <w:r w:rsidRPr="0075388A">
        <w:rPr>
          <w:rFonts w:cs="Arial" w:hint="cs"/>
          <w:rtl/>
        </w:rPr>
        <w:t>בו</w:t>
      </w:r>
      <w:r w:rsidRPr="0075388A">
        <w:rPr>
          <w:rFonts w:cs="Arial"/>
          <w:rtl/>
        </w:rPr>
        <w:t xml:space="preserve"> </w:t>
      </w:r>
      <w:r w:rsidRPr="0075388A">
        <w:rPr>
          <w:rFonts w:cs="Arial" w:hint="cs"/>
          <w:rtl/>
        </w:rPr>
        <w:t>לעשותו</w:t>
      </w:r>
      <w:r w:rsidRPr="0075388A">
        <w:rPr>
          <w:rFonts w:cs="Arial"/>
          <w:rtl/>
        </w:rPr>
        <w:t xml:space="preserve"> </w:t>
      </w:r>
      <w:r w:rsidRPr="0075388A">
        <w:rPr>
          <w:rFonts w:cs="Arial" w:hint="cs"/>
          <w:rtl/>
        </w:rPr>
        <w:t>יפה</w:t>
      </w:r>
      <w:r w:rsidRPr="0075388A">
        <w:rPr>
          <w:rFonts w:cs="Arial"/>
          <w:rtl/>
        </w:rPr>
        <w:t xml:space="preserve"> </w:t>
      </w:r>
      <w:r w:rsidRPr="0075388A">
        <w:rPr>
          <w:rFonts w:cs="Arial" w:hint="cs"/>
          <w:rtl/>
        </w:rPr>
        <w:t>הויין</w:t>
      </w:r>
      <w:r w:rsidRPr="0075388A">
        <w:rPr>
          <w:rFonts w:cs="Arial"/>
          <w:rtl/>
        </w:rPr>
        <w:t xml:space="preserve"> </w:t>
      </w:r>
      <w:r w:rsidRPr="0075388A">
        <w:rPr>
          <w:rFonts w:cs="Arial" w:hint="cs"/>
          <w:rtl/>
        </w:rPr>
        <w:t>ליה</w:t>
      </w:r>
      <w:r w:rsidRPr="0075388A">
        <w:rPr>
          <w:rFonts w:cs="Arial"/>
          <w:rtl/>
        </w:rPr>
        <w:t xml:space="preserve"> </w:t>
      </w:r>
      <w:r w:rsidRPr="0075388A">
        <w:rPr>
          <w:rFonts w:cs="Arial" w:hint="cs"/>
          <w:rtl/>
        </w:rPr>
        <w:t>בנים</w:t>
      </w:r>
      <w:r w:rsidRPr="0075388A">
        <w:rPr>
          <w:rFonts w:cs="Arial"/>
          <w:rtl/>
        </w:rPr>
        <w:t xml:space="preserve"> </w:t>
      </w:r>
      <w:r w:rsidRPr="0075388A">
        <w:rPr>
          <w:rFonts w:cs="Arial" w:hint="cs"/>
          <w:rtl/>
        </w:rPr>
        <w:t>תלמידי</w:t>
      </w:r>
      <w:r w:rsidRPr="0075388A">
        <w:rPr>
          <w:rFonts w:cs="Arial"/>
          <w:rtl/>
        </w:rPr>
        <w:t xml:space="preserve"> </w:t>
      </w:r>
      <w:r w:rsidRPr="0075388A">
        <w:rPr>
          <w:rFonts w:cs="Arial" w:hint="cs"/>
          <w:rtl/>
        </w:rPr>
        <w:t>חכמים</w:t>
      </w:r>
      <w:r>
        <w:rPr>
          <w:rFonts w:cs="Arial" w:hint="cs"/>
          <w:rtl/>
        </w:rPr>
        <w:t>.</w:t>
      </w:r>
      <w:r w:rsidRPr="001D2B25">
        <w:rPr>
          <w:rFonts w:cs="Arial" w:hint="cs"/>
          <w:color w:val="E36C0A" w:themeColor="accent6" w:themeShade="BF"/>
          <w:rtl/>
        </w:rPr>
        <w:t xml:space="preserve"> </w:t>
      </w:r>
      <w:r w:rsidRPr="0056384F">
        <w:rPr>
          <w:rFonts w:cs="Arial" w:hint="cs"/>
          <w:color w:val="E36C0A" w:themeColor="accent6" w:themeShade="BF"/>
          <w:rtl/>
        </w:rPr>
        <w:t>(וכ"פ בשו"ע)</w:t>
      </w:r>
    </w:p>
    <w:p w14:paraId="57925B81" w14:textId="77777777" w:rsidR="004B2E7C" w:rsidRPr="00BE4C77" w:rsidRDefault="004B2E7C" w:rsidP="00434A6A">
      <w:pPr>
        <w:ind w:left="360"/>
        <w:rPr>
          <w:u w:val="dotted"/>
        </w:rPr>
      </w:pPr>
      <w:r w:rsidRPr="00BE4C77">
        <w:rPr>
          <w:rFonts w:hint="cs"/>
          <w:u w:val="dotted"/>
          <w:rtl/>
        </w:rPr>
        <w:t>כמה נרות צריך</w:t>
      </w:r>
      <w:r>
        <w:rPr>
          <w:rFonts w:hint="cs"/>
          <w:u w:val="dotted"/>
          <w:rtl/>
        </w:rPr>
        <w:t xml:space="preserve"> להדליק</w:t>
      </w:r>
      <w:r w:rsidRPr="00BE4C77">
        <w:rPr>
          <w:rFonts w:hint="cs"/>
          <w:u w:val="dotted"/>
          <w:rtl/>
        </w:rPr>
        <w:t>:</w:t>
      </w:r>
    </w:p>
    <w:p w14:paraId="24CD5562" w14:textId="77777777" w:rsidR="004B2E7C" w:rsidRPr="00BE4C77" w:rsidRDefault="004B2E7C" w:rsidP="00FF2D21">
      <w:pPr>
        <w:pStyle w:val="aa"/>
        <w:numPr>
          <w:ilvl w:val="0"/>
          <w:numId w:val="87"/>
        </w:numPr>
        <w:rPr>
          <w:rtl/>
        </w:rPr>
      </w:pPr>
      <w:r w:rsidRPr="00BE4C77">
        <w:rPr>
          <w:rFonts w:asciiTheme="minorBidi" w:hAnsiTheme="minorBidi" w:cs="Arial" w:hint="cs"/>
          <w:rtl/>
        </w:rPr>
        <w:t>כל</w:t>
      </w:r>
      <w:r w:rsidRPr="00BE4C77">
        <w:rPr>
          <w:rFonts w:asciiTheme="minorBidi" w:hAnsiTheme="minorBidi" w:cs="Arial"/>
          <w:rtl/>
        </w:rPr>
        <w:t xml:space="preserve"> </w:t>
      </w:r>
      <w:r w:rsidRPr="00BE4C77">
        <w:rPr>
          <w:rFonts w:asciiTheme="minorBidi" w:hAnsiTheme="minorBidi" w:cs="Arial" w:hint="cs"/>
          <w:rtl/>
        </w:rPr>
        <w:t>בו</w:t>
      </w:r>
      <w:r w:rsidRPr="00BE4C77">
        <w:rPr>
          <w:rFonts w:asciiTheme="minorBidi" w:hAnsiTheme="minorBidi" w:cs="Arial"/>
          <w:rtl/>
        </w:rPr>
        <w:t xml:space="preserve"> </w:t>
      </w:r>
      <w:r w:rsidRPr="00BE4C77">
        <w:rPr>
          <w:rFonts w:asciiTheme="minorBidi" w:hAnsiTheme="minorBidi" w:cs="Arial" w:hint="cs"/>
          <w:sz w:val="16"/>
          <w:szCs w:val="16"/>
          <w:rtl/>
        </w:rPr>
        <w:t>(סי'</w:t>
      </w:r>
      <w:r w:rsidRPr="00BE4C77">
        <w:rPr>
          <w:rFonts w:asciiTheme="minorBidi" w:hAnsiTheme="minorBidi" w:cs="Arial"/>
          <w:sz w:val="16"/>
          <w:szCs w:val="16"/>
          <w:rtl/>
        </w:rPr>
        <w:t xml:space="preserve"> </w:t>
      </w:r>
      <w:r w:rsidRPr="00BE4C77">
        <w:rPr>
          <w:rFonts w:asciiTheme="minorBidi" w:hAnsiTheme="minorBidi" w:cs="Arial" w:hint="cs"/>
          <w:sz w:val="16"/>
          <w:szCs w:val="16"/>
          <w:rtl/>
        </w:rPr>
        <w:t>כד</w:t>
      </w:r>
      <w:r>
        <w:rPr>
          <w:rFonts w:asciiTheme="minorBidi" w:hAnsiTheme="minorBidi" w:cs="Arial" w:hint="cs"/>
          <w:sz w:val="16"/>
          <w:szCs w:val="16"/>
          <w:rtl/>
        </w:rPr>
        <w:t>, הביא הטור דבריו בשם 'יש מכוונים'</w:t>
      </w:r>
      <w:r w:rsidRPr="00BE4C77">
        <w:rPr>
          <w:rFonts w:asciiTheme="minorBidi" w:hAnsiTheme="minorBidi" w:cs="Arial"/>
          <w:sz w:val="16"/>
          <w:szCs w:val="16"/>
          <w:rtl/>
        </w:rPr>
        <w:t>)</w:t>
      </w:r>
      <w:r w:rsidRPr="00BE4C77">
        <w:rPr>
          <w:rFonts w:asciiTheme="minorBidi" w:hAnsiTheme="minorBidi" w:cs="Arial" w:hint="cs"/>
          <w:rtl/>
        </w:rPr>
        <w:t>-</w:t>
      </w:r>
      <w:r w:rsidRPr="00BE4C77">
        <w:rPr>
          <w:rFonts w:hint="cs"/>
          <w:rtl/>
        </w:rPr>
        <w:t xml:space="preserve"> </w:t>
      </w:r>
      <w:r w:rsidRPr="00BE4C77">
        <w:rPr>
          <w:rFonts w:asciiTheme="minorBidi" w:hAnsiTheme="minorBidi" w:cs="Arial" w:hint="cs"/>
          <w:rtl/>
        </w:rPr>
        <w:t>בתנחומא</w:t>
      </w:r>
      <w:r w:rsidRPr="00BE4C77">
        <w:rPr>
          <w:rFonts w:asciiTheme="minorBidi" w:hAnsiTheme="minorBidi" w:cs="Arial"/>
          <w:rtl/>
        </w:rPr>
        <w:t xml:space="preserve"> </w:t>
      </w:r>
      <w:r w:rsidRPr="00BE4C77">
        <w:rPr>
          <w:rFonts w:asciiTheme="minorBidi" w:hAnsiTheme="minorBidi" w:cs="Arial" w:hint="cs"/>
          <w:rtl/>
        </w:rPr>
        <w:t>מצאתי</w:t>
      </w:r>
      <w:r w:rsidRPr="00BE4C77">
        <w:rPr>
          <w:rFonts w:asciiTheme="minorBidi" w:hAnsiTheme="minorBidi" w:cs="Arial"/>
          <w:rtl/>
        </w:rPr>
        <w:t xml:space="preserve"> </w:t>
      </w:r>
      <w:r w:rsidRPr="00BE4C77">
        <w:rPr>
          <w:rFonts w:asciiTheme="minorBidi" w:hAnsiTheme="minorBidi" w:cs="Arial" w:hint="cs"/>
          <w:rtl/>
        </w:rPr>
        <w:t>כל</w:t>
      </w:r>
      <w:r w:rsidRPr="00BE4C77">
        <w:rPr>
          <w:rFonts w:asciiTheme="minorBidi" w:hAnsiTheme="minorBidi" w:cs="Arial"/>
          <w:rtl/>
        </w:rPr>
        <w:t xml:space="preserve"> </w:t>
      </w:r>
      <w:r w:rsidRPr="00BE4C77">
        <w:rPr>
          <w:rFonts w:asciiTheme="minorBidi" w:hAnsiTheme="minorBidi" w:cs="Arial" w:hint="cs"/>
          <w:rtl/>
        </w:rPr>
        <w:t>מילי</w:t>
      </w:r>
      <w:r w:rsidRPr="00BE4C77">
        <w:rPr>
          <w:rFonts w:asciiTheme="minorBidi" w:hAnsiTheme="minorBidi" w:cs="Arial"/>
          <w:rtl/>
        </w:rPr>
        <w:t xml:space="preserve"> </w:t>
      </w:r>
      <w:r w:rsidRPr="00BE4C77">
        <w:rPr>
          <w:rFonts w:asciiTheme="minorBidi" w:hAnsiTheme="minorBidi" w:cs="Arial" w:hint="cs"/>
          <w:rtl/>
        </w:rPr>
        <w:t>דשבת</w:t>
      </w:r>
      <w:r w:rsidRPr="00BE4C77">
        <w:rPr>
          <w:rFonts w:asciiTheme="minorBidi" w:hAnsiTheme="minorBidi" w:cs="Arial"/>
          <w:rtl/>
        </w:rPr>
        <w:t xml:space="preserve"> </w:t>
      </w:r>
      <w:r w:rsidRPr="00BE4C77">
        <w:rPr>
          <w:rFonts w:asciiTheme="minorBidi" w:hAnsiTheme="minorBidi" w:cs="Arial" w:hint="cs"/>
          <w:rtl/>
        </w:rPr>
        <w:t>כפול</w:t>
      </w:r>
      <w:r w:rsidRPr="00BE4C77">
        <w:rPr>
          <w:rFonts w:asciiTheme="minorBidi" w:hAnsiTheme="minorBidi" w:cs="Arial"/>
          <w:rtl/>
        </w:rPr>
        <w:t xml:space="preserve">, </w:t>
      </w:r>
      <w:r w:rsidRPr="00BE4C77">
        <w:rPr>
          <w:rFonts w:asciiTheme="minorBidi" w:hAnsiTheme="minorBidi" w:cs="Arial" w:hint="cs"/>
          <w:rtl/>
        </w:rPr>
        <w:t>שני</w:t>
      </w:r>
      <w:r w:rsidRPr="00BE4C77">
        <w:rPr>
          <w:rFonts w:asciiTheme="minorBidi" w:hAnsiTheme="minorBidi" w:cs="Arial"/>
          <w:rtl/>
        </w:rPr>
        <w:t xml:space="preserve"> </w:t>
      </w:r>
      <w:r w:rsidRPr="00BE4C77">
        <w:rPr>
          <w:rFonts w:asciiTheme="minorBidi" w:hAnsiTheme="minorBidi" w:cs="Arial" w:hint="cs"/>
          <w:rtl/>
        </w:rPr>
        <w:t>כבשים</w:t>
      </w:r>
      <w:r w:rsidRPr="00BE4C77">
        <w:rPr>
          <w:rFonts w:asciiTheme="minorBidi" w:hAnsiTheme="minorBidi" w:cs="Arial"/>
          <w:rtl/>
        </w:rPr>
        <w:t xml:space="preserve">, </w:t>
      </w:r>
      <w:r w:rsidRPr="00BE4C77">
        <w:rPr>
          <w:rFonts w:asciiTheme="minorBidi" w:hAnsiTheme="minorBidi" w:cs="Arial" w:hint="cs"/>
          <w:rtl/>
        </w:rPr>
        <w:t>מזמור</w:t>
      </w:r>
      <w:r w:rsidRPr="00BE4C77">
        <w:rPr>
          <w:rFonts w:asciiTheme="minorBidi" w:hAnsiTheme="minorBidi" w:cs="Arial"/>
          <w:rtl/>
        </w:rPr>
        <w:t xml:space="preserve"> </w:t>
      </w:r>
      <w:r w:rsidRPr="00BE4C77">
        <w:rPr>
          <w:rFonts w:asciiTheme="minorBidi" w:hAnsiTheme="minorBidi" w:cs="Arial" w:hint="cs"/>
          <w:rtl/>
        </w:rPr>
        <w:t>שיר</w:t>
      </w:r>
      <w:r w:rsidRPr="00BE4C77">
        <w:rPr>
          <w:rFonts w:asciiTheme="minorBidi" w:hAnsiTheme="minorBidi" w:cs="Arial"/>
          <w:rtl/>
        </w:rPr>
        <w:t xml:space="preserve"> </w:t>
      </w:r>
      <w:r w:rsidRPr="00BE4C77">
        <w:rPr>
          <w:rFonts w:asciiTheme="minorBidi" w:hAnsiTheme="minorBidi" w:cs="Arial" w:hint="cs"/>
          <w:rtl/>
        </w:rPr>
        <w:t>ליום</w:t>
      </w:r>
      <w:r w:rsidRPr="00BE4C77">
        <w:rPr>
          <w:rFonts w:asciiTheme="minorBidi" w:hAnsiTheme="minorBidi" w:cs="Arial"/>
          <w:rtl/>
        </w:rPr>
        <w:t xml:space="preserve"> </w:t>
      </w:r>
      <w:r w:rsidRPr="00BE4C77">
        <w:rPr>
          <w:rFonts w:asciiTheme="minorBidi" w:hAnsiTheme="minorBidi" w:cs="Arial" w:hint="cs"/>
          <w:rtl/>
        </w:rPr>
        <w:t>השבת</w:t>
      </w:r>
      <w:r w:rsidRPr="00BE4C77">
        <w:rPr>
          <w:rFonts w:asciiTheme="minorBidi" w:hAnsiTheme="minorBidi" w:cs="Arial"/>
          <w:rtl/>
        </w:rPr>
        <w:t xml:space="preserve">, </w:t>
      </w:r>
      <w:r w:rsidRPr="00BE4C77">
        <w:rPr>
          <w:rFonts w:asciiTheme="minorBidi" w:hAnsiTheme="minorBidi" w:cs="Arial" w:hint="cs"/>
          <w:rtl/>
        </w:rPr>
        <w:t>לחם</w:t>
      </w:r>
      <w:r w:rsidRPr="00BE4C77">
        <w:rPr>
          <w:rFonts w:asciiTheme="minorBidi" w:hAnsiTheme="minorBidi" w:cs="Arial"/>
          <w:rtl/>
        </w:rPr>
        <w:t xml:space="preserve"> </w:t>
      </w:r>
      <w:r w:rsidRPr="00BE4C77">
        <w:rPr>
          <w:rFonts w:asciiTheme="minorBidi" w:hAnsiTheme="minorBidi" w:cs="Arial" w:hint="cs"/>
          <w:rtl/>
        </w:rPr>
        <w:t>משנה</w:t>
      </w:r>
      <w:r w:rsidRPr="00BE4C77">
        <w:rPr>
          <w:rFonts w:asciiTheme="minorBidi" w:hAnsiTheme="minorBidi" w:cs="Arial"/>
          <w:rtl/>
        </w:rPr>
        <w:t xml:space="preserve">, </w:t>
      </w:r>
      <w:r w:rsidRPr="00BE4C77">
        <w:rPr>
          <w:rFonts w:asciiTheme="minorBidi" w:hAnsiTheme="minorBidi" w:cs="Arial" w:hint="cs"/>
          <w:rtl/>
        </w:rPr>
        <w:t>זכור</w:t>
      </w:r>
      <w:r w:rsidRPr="00BE4C77">
        <w:rPr>
          <w:rFonts w:asciiTheme="minorBidi" w:hAnsiTheme="minorBidi" w:cs="Arial"/>
          <w:rtl/>
        </w:rPr>
        <w:t xml:space="preserve"> </w:t>
      </w:r>
      <w:r w:rsidRPr="00BE4C77">
        <w:rPr>
          <w:rFonts w:asciiTheme="minorBidi" w:hAnsiTheme="minorBidi" w:cs="Arial" w:hint="cs"/>
          <w:rtl/>
        </w:rPr>
        <w:t>ושמור</w:t>
      </w:r>
      <w:r w:rsidRPr="00BE4C77">
        <w:rPr>
          <w:rFonts w:asciiTheme="minorBidi" w:hAnsiTheme="minorBidi" w:cs="Arial"/>
          <w:rtl/>
        </w:rPr>
        <w:t xml:space="preserve">, </w:t>
      </w:r>
      <w:r w:rsidRPr="00BE4C77">
        <w:rPr>
          <w:rFonts w:asciiTheme="minorBidi" w:hAnsiTheme="minorBidi" w:cs="Arial" w:hint="cs"/>
          <w:rtl/>
        </w:rPr>
        <w:t>ונראה</w:t>
      </w:r>
      <w:r w:rsidRPr="00BE4C77">
        <w:rPr>
          <w:rFonts w:asciiTheme="minorBidi" w:hAnsiTheme="minorBidi" w:cs="Arial"/>
          <w:rtl/>
        </w:rPr>
        <w:t xml:space="preserve"> </w:t>
      </w:r>
      <w:r w:rsidRPr="00BE4C77">
        <w:rPr>
          <w:rFonts w:asciiTheme="minorBidi" w:hAnsiTheme="minorBidi" w:cs="Arial" w:hint="cs"/>
          <w:rtl/>
        </w:rPr>
        <w:t>שהמנהג</w:t>
      </w:r>
      <w:r w:rsidRPr="00BE4C77">
        <w:rPr>
          <w:rFonts w:asciiTheme="minorBidi" w:hAnsiTheme="minorBidi" w:cs="Arial"/>
          <w:rtl/>
        </w:rPr>
        <w:t xml:space="preserve"> </w:t>
      </w:r>
      <w:r w:rsidRPr="00BE4C77">
        <w:rPr>
          <w:rFonts w:asciiTheme="minorBidi" w:hAnsiTheme="minorBidi" w:cs="Arial" w:hint="cs"/>
          <w:rtl/>
        </w:rPr>
        <w:t>על</w:t>
      </w:r>
      <w:r w:rsidRPr="00BE4C77">
        <w:rPr>
          <w:rFonts w:asciiTheme="minorBidi" w:hAnsiTheme="minorBidi" w:cs="Arial"/>
          <w:rtl/>
        </w:rPr>
        <w:t xml:space="preserve"> </w:t>
      </w:r>
      <w:r w:rsidRPr="00BE4C77">
        <w:rPr>
          <w:rFonts w:asciiTheme="minorBidi" w:hAnsiTheme="minorBidi" w:cs="Arial" w:hint="cs"/>
          <w:rtl/>
        </w:rPr>
        <w:t>זה</w:t>
      </w:r>
      <w:r w:rsidRPr="00BE4C77">
        <w:rPr>
          <w:rFonts w:asciiTheme="minorBidi" w:hAnsiTheme="minorBidi" w:cs="Arial"/>
          <w:rtl/>
        </w:rPr>
        <w:t xml:space="preserve"> </w:t>
      </w:r>
      <w:r w:rsidRPr="00BE4C77">
        <w:rPr>
          <w:rFonts w:asciiTheme="minorBidi" w:hAnsiTheme="minorBidi" w:cs="Arial" w:hint="cs"/>
          <w:rtl/>
        </w:rPr>
        <w:t>להדליק</w:t>
      </w:r>
      <w:r w:rsidRPr="00BE4C77">
        <w:rPr>
          <w:rFonts w:asciiTheme="minorBidi" w:hAnsiTheme="minorBidi" w:cs="Arial"/>
          <w:rtl/>
        </w:rPr>
        <w:t xml:space="preserve"> </w:t>
      </w:r>
      <w:r w:rsidRPr="00BE4C77">
        <w:rPr>
          <w:rFonts w:asciiTheme="minorBidi" w:hAnsiTheme="minorBidi" w:cs="Arial" w:hint="cs"/>
          <w:rtl/>
        </w:rPr>
        <w:t>שני</w:t>
      </w:r>
      <w:r w:rsidRPr="00BE4C77">
        <w:rPr>
          <w:rFonts w:asciiTheme="minorBidi" w:hAnsiTheme="minorBidi" w:cs="Arial"/>
          <w:rtl/>
        </w:rPr>
        <w:t xml:space="preserve"> </w:t>
      </w:r>
      <w:r w:rsidRPr="00BE4C77">
        <w:rPr>
          <w:rFonts w:asciiTheme="minorBidi" w:hAnsiTheme="minorBidi" w:cs="Arial" w:hint="cs"/>
          <w:rtl/>
        </w:rPr>
        <w:t>נרות</w:t>
      </w:r>
      <w:r w:rsidRPr="00BE4C77">
        <w:rPr>
          <w:rFonts w:asciiTheme="minorBidi" w:hAnsiTheme="minorBidi" w:cs="Arial"/>
          <w:rtl/>
        </w:rPr>
        <w:t xml:space="preserve">, </w:t>
      </w:r>
      <w:r w:rsidRPr="00BE4C77">
        <w:rPr>
          <w:rFonts w:asciiTheme="minorBidi" w:hAnsiTheme="minorBidi" w:cs="Arial" w:hint="cs"/>
          <w:rtl/>
        </w:rPr>
        <w:t>כל</w:t>
      </w:r>
      <w:r w:rsidRPr="00BE4C77">
        <w:rPr>
          <w:rFonts w:asciiTheme="minorBidi" w:hAnsiTheme="minorBidi" w:cs="Arial"/>
          <w:rtl/>
        </w:rPr>
        <w:t xml:space="preserve"> </w:t>
      </w:r>
      <w:r w:rsidRPr="00BE4C77">
        <w:rPr>
          <w:rFonts w:asciiTheme="minorBidi" w:hAnsiTheme="minorBidi" w:cs="Arial" w:hint="cs"/>
          <w:rtl/>
        </w:rPr>
        <w:t>זה</w:t>
      </w:r>
      <w:r w:rsidRPr="00BE4C77">
        <w:rPr>
          <w:rFonts w:asciiTheme="minorBidi" w:hAnsiTheme="minorBidi" w:cs="Arial"/>
          <w:rtl/>
        </w:rPr>
        <w:t xml:space="preserve"> </w:t>
      </w:r>
      <w:r w:rsidRPr="00BE4C77">
        <w:rPr>
          <w:rFonts w:asciiTheme="minorBidi" w:hAnsiTheme="minorBidi" w:cs="Arial" w:hint="cs"/>
          <w:rtl/>
        </w:rPr>
        <w:t>מחבור</w:t>
      </w:r>
      <w:r w:rsidRPr="00BE4C77">
        <w:rPr>
          <w:rFonts w:asciiTheme="minorBidi" w:hAnsiTheme="minorBidi" w:cs="Arial"/>
          <w:rtl/>
        </w:rPr>
        <w:t xml:space="preserve"> </w:t>
      </w:r>
      <w:r w:rsidRPr="00BE4C77">
        <w:rPr>
          <w:rFonts w:asciiTheme="minorBidi" w:hAnsiTheme="minorBidi" w:cs="Arial" w:hint="cs"/>
          <w:rtl/>
        </w:rPr>
        <w:t>ה</w:t>
      </w:r>
      <w:r w:rsidRPr="00BE4C77">
        <w:rPr>
          <w:rFonts w:asciiTheme="minorBidi" w:hAnsiTheme="minorBidi" w:cs="Arial"/>
          <w:rtl/>
        </w:rPr>
        <w:t>"</w:t>
      </w:r>
      <w:r w:rsidRPr="00BE4C77">
        <w:rPr>
          <w:rFonts w:asciiTheme="minorBidi" w:hAnsiTheme="minorBidi" w:cs="Arial" w:hint="cs"/>
          <w:rtl/>
        </w:rPr>
        <w:t>ר</w:t>
      </w:r>
      <w:r w:rsidRPr="00BE4C77">
        <w:rPr>
          <w:rFonts w:asciiTheme="minorBidi" w:hAnsiTheme="minorBidi" w:cs="Arial"/>
          <w:rtl/>
        </w:rPr>
        <w:t xml:space="preserve"> </w:t>
      </w:r>
      <w:r w:rsidRPr="00BE4C77">
        <w:rPr>
          <w:rFonts w:asciiTheme="minorBidi" w:hAnsiTheme="minorBidi" w:cs="Arial" w:hint="cs"/>
          <w:rtl/>
        </w:rPr>
        <w:t>אשר</w:t>
      </w:r>
      <w:r w:rsidRPr="00BE4C77">
        <w:rPr>
          <w:rFonts w:asciiTheme="minorBidi" w:hAnsiTheme="minorBidi" w:cs="Arial"/>
          <w:rtl/>
        </w:rPr>
        <w:t xml:space="preserve"> </w:t>
      </w:r>
      <w:r w:rsidRPr="00BE4C77">
        <w:rPr>
          <w:rFonts w:asciiTheme="minorBidi" w:hAnsiTheme="minorBidi" w:cs="Arial" w:hint="cs"/>
          <w:rtl/>
        </w:rPr>
        <w:t>מספר</w:t>
      </w:r>
      <w:r w:rsidRPr="00BE4C77">
        <w:rPr>
          <w:rFonts w:asciiTheme="minorBidi" w:hAnsiTheme="minorBidi" w:cs="Arial"/>
          <w:rtl/>
        </w:rPr>
        <w:t xml:space="preserve"> </w:t>
      </w:r>
      <w:r w:rsidRPr="00BE4C77">
        <w:rPr>
          <w:rFonts w:asciiTheme="minorBidi" w:hAnsiTheme="minorBidi" w:cs="Arial" w:hint="cs"/>
          <w:rtl/>
        </w:rPr>
        <w:t>המנהגות</w:t>
      </w:r>
      <w:r w:rsidRPr="00BE4C77">
        <w:rPr>
          <w:rFonts w:asciiTheme="minorBidi" w:hAnsiTheme="minorBidi" w:cs="Arial"/>
          <w:rtl/>
        </w:rPr>
        <w:t>.</w:t>
      </w:r>
      <w:r w:rsidRPr="001D2B25">
        <w:rPr>
          <w:rFonts w:cs="Arial" w:hint="cs"/>
          <w:color w:val="E36C0A" w:themeColor="accent6" w:themeShade="BF"/>
          <w:rtl/>
        </w:rPr>
        <w:t xml:space="preserve"> </w:t>
      </w:r>
      <w:r w:rsidRPr="0056384F">
        <w:rPr>
          <w:rFonts w:cs="Arial" w:hint="cs"/>
          <w:color w:val="E36C0A" w:themeColor="accent6" w:themeShade="BF"/>
          <w:rtl/>
        </w:rPr>
        <w:t>(וכ"</w:t>
      </w:r>
      <w:r>
        <w:rPr>
          <w:rFonts w:cs="Arial" w:hint="cs"/>
          <w:color w:val="E36C0A" w:themeColor="accent6" w:themeShade="BF"/>
          <w:rtl/>
        </w:rPr>
        <w:t>כ</w:t>
      </w:r>
      <w:r w:rsidRPr="0056384F">
        <w:rPr>
          <w:rFonts w:cs="Arial" w:hint="cs"/>
          <w:color w:val="E36C0A" w:themeColor="accent6" w:themeShade="BF"/>
          <w:rtl/>
        </w:rPr>
        <w:t xml:space="preserve"> בשו"ע)</w:t>
      </w:r>
    </w:p>
    <w:p w14:paraId="74514B31" w14:textId="77777777" w:rsidR="004B2E7C" w:rsidRDefault="004B2E7C" w:rsidP="00434A6A">
      <w:pPr>
        <w:rPr>
          <w:rFonts w:asciiTheme="minorBidi" w:hAnsiTheme="minorBidi" w:cs="Arial"/>
          <w:rtl/>
        </w:rPr>
      </w:pPr>
      <w:r w:rsidRPr="00520DB4">
        <w:rPr>
          <w:rFonts w:asciiTheme="minorBidi" w:hAnsiTheme="minorBidi" w:cs="Arial" w:hint="cs"/>
          <w:u w:val="single"/>
          <w:rtl/>
        </w:rPr>
        <w:t>אשה</w:t>
      </w:r>
      <w:r w:rsidRPr="00520DB4">
        <w:rPr>
          <w:rFonts w:asciiTheme="minorBidi" w:hAnsiTheme="minorBidi" w:cs="Arial"/>
          <w:u w:val="single"/>
          <w:rtl/>
        </w:rPr>
        <w:t xml:space="preserve"> </w:t>
      </w:r>
      <w:r w:rsidRPr="00520DB4">
        <w:rPr>
          <w:rFonts w:asciiTheme="minorBidi" w:hAnsiTheme="minorBidi" w:cs="Arial" w:hint="cs"/>
          <w:u w:val="single"/>
          <w:rtl/>
        </w:rPr>
        <w:t>ששכחה</w:t>
      </w:r>
      <w:r w:rsidRPr="00520DB4">
        <w:rPr>
          <w:rFonts w:asciiTheme="minorBidi" w:hAnsiTheme="minorBidi" w:cs="Arial"/>
          <w:u w:val="single"/>
          <w:rtl/>
        </w:rPr>
        <w:t xml:space="preserve"> </w:t>
      </w:r>
      <w:r w:rsidRPr="00520DB4">
        <w:rPr>
          <w:rFonts w:asciiTheme="minorBidi" w:hAnsiTheme="minorBidi" w:cs="Arial" w:hint="cs"/>
          <w:u w:val="single"/>
          <w:rtl/>
        </w:rPr>
        <w:t>ולא</w:t>
      </w:r>
      <w:r w:rsidRPr="00520DB4">
        <w:rPr>
          <w:rFonts w:asciiTheme="minorBidi" w:hAnsiTheme="minorBidi" w:cs="Arial"/>
          <w:u w:val="single"/>
          <w:rtl/>
        </w:rPr>
        <w:t xml:space="preserve"> </w:t>
      </w:r>
      <w:r w:rsidRPr="00520DB4">
        <w:rPr>
          <w:rFonts w:asciiTheme="minorBidi" w:hAnsiTheme="minorBidi" w:cs="Arial" w:hint="cs"/>
          <w:u w:val="single"/>
          <w:rtl/>
        </w:rPr>
        <w:t>הדליקה</w:t>
      </w:r>
      <w:r w:rsidRPr="00520DB4">
        <w:rPr>
          <w:rFonts w:asciiTheme="minorBidi" w:hAnsiTheme="minorBidi" w:cs="Arial"/>
          <w:u w:val="single"/>
          <w:rtl/>
        </w:rPr>
        <w:t xml:space="preserve"> </w:t>
      </w:r>
      <w:r w:rsidRPr="00520DB4">
        <w:rPr>
          <w:rFonts w:asciiTheme="minorBidi" w:hAnsiTheme="minorBidi" w:cs="Arial" w:hint="cs"/>
          <w:u w:val="single"/>
          <w:rtl/>
        </w:rPr>
        <w:t>נר</w:t>
      </w:r>
      <w:r w:rsidRPr="00520DB4">
        <w:rPr>
          <w:rFonts w:asciiTheme="minorBidi" w:hAnsiTheme="minorBidi" w:cs="Arial"/>
          <w:u w:val="single"/>
          <w:rtl/>
        </w:rPr>
        <w:t xml:space="preserve"> </w:t>
      </w:r>
      <w:r>
        <w:rPr>
          <w:rFonts w:asciiTheme="minorBidi" w:hAnsiTheme="minorBidi" w:cs="Arial" w:hint="cs"/>
          <w:u w:val="single"/>
          <w:rtl/>
        </w:rPr>
        <w:t>ל</w:t>
      </w:r>
      <w:r w:rsidRPr="00520DB4">
        <w:rPr>
          <w:rFonts w:asciiTheme="minorBidi" w:hAnsiTheme="minorBidi" w:cs="Arial" w:hint="cs"/>
          <w:u w:val="single"/>
          <w:rtl/>
        </w:rPr>
        <w:t>שבת</w:t>
      </w:r>
      <w:r w:rsidRPr="006C3B9F">
        <w:rPr>
          <w:rFonts w:asciiTheme="minorBidi" w:hAnsiTheme="minorBidi" w:cs="Arial" w:hint="cs"/>
          <w:u w:val="single"/>
          <w:rtl/>
        </w:rPr>
        <w:t>:</w:t>
      </w:r>
      <w:r>
        <w:rPr>
          <w:rFonts w:asciiTheme="minorBidi" w:hAnsiTheme="minorBidi" w:cs="Arial" w:hint="cs"/>
          <w:rtl/>
        </w:rPr>
        <w:t xml:space="preserve">  </w:t>
      </w:r>
      <w:r w:rsidRPr="006C3B9F">
        <w:rPr>
          <w:rFonts w:asciiTheme="minorBidi" w:hAnsiTheme="minorBidi" w:cs="Arial" w:hint="cs"/>
          <w:sz w:val="16"/>
          <w:szCs w:val="16"/>
          <w:rtl/>
        </w:rPr>
        <w:t>(דרכ"מ אות א</w:t>
      </w:r>
      <w:r w:rsidRPr="006C3B9F">
        <w:rPr>
          <w:rFonts w:asciiTheme="minorBidi" w:hAnsiTheme="minorBidi" w:cs="Arial"/>
          <w:sz w:val="16"/>
          <w:szCs w:val="16"/>
          <w:rtl/>
        </w:rPr>
        <w:t>)</w:t>
      </w:r>
      <w:r w:rsidRPr="0075388A">
        <w:rPr>
          <w:rFonts w:asciiTheme="minorBidi" w:hAnsiTheme="minorBidi" w:cs="Arial"/>
          <w:rtl/>
        </w:rPr>
        <w:t xml:space="preserve"> </w:t>
      </w:r>
    </w:p>
    <w:p w14:paraId="6DBE98A6" w14:textId="77777777" w:rsidR="004B2E7C" w:rsidRPr="006C3B9F" w:rsidRDefault="004B2E7C" w:rsidP="00FF2D21">
      <w:pPr>
        <w:pStyle w:val="aa"/>
        <w:numPr>
          <w:ilvl w:val="0"/>
          <w:numId w:val="87"/>
        </w:numPr>
        <w:rPr>
          <w:rFonts w:asciiTheme="minorBidi" w:hAnsiTheme="minorBidi"/>
          <w:rtl/>
        </w:rPr>
      </w:pPr>
      <w:r w:rsidRPr="006C3B9F">
        <w:rPr>
          <w:rFonts w:asciiTheme="minorBidi" w:hAnsiTheme="minorBidi" w:cs="Arial" w:hint="cs"/>
          <w:rtl/>
        </w:rPr>
        <w:t>מהרי</w:t>
      </w:r>
      <w:r w:rsidRPr="006C3B9F">
        <w:rPr>
          <w:rFonts w:asciiTheme="minorBidi" w:hAnsiTheme="minorBidi" w:cs="Arial"/>
          <w:rtl/>
        </w:rPr>
        <w:t>"</w:t>
      </w:r>
      <w:r w:rsidRPr="006C3B9F">
        <w:rPr>
          <w:rFonts w:asciiTheme="minorBidi" w:hAnsiTheme="minorBidi" w:cs="Arial" w:hint="cs"/>
          <w:rtl/>
        </w:rPr>
        <w:t>ל</w:t>
      </w:r>
      <w:r w:rsidRPr="006C3B9F">
        <w:rPr>
          <w:rFonts w:asciiTheme="minorBidi" w:hAnsiTheme="minorBidi" w:cs="Arial"/>
          <w:rtl/>
        </w:rPr>
        <w:t xml:space="preserve"> </w:t>
      </w:r>
      <w:r w:rsidRPr="006C3B9F">
        <w:rPr>
          <w:rFonts w:asciiTheme="minorBidi" w:hAnsiTheme="minorBidi" w:cs="Arial"/>
          <w:sz w:val="16"/>
          <w:szCs w:val="16"/>
          <w:rtl/>
        </w:rPr>
        <w:t>(</w:t>
      </w:r>
      <w:r w:rsidRPr="006C3B9F">
        <w:rPr>
          <w:rFonts w:asciiTheme="minorBidi" w:hAnsiTheme="minorBidi" w:cs="Arial" w:hint="cs"/>
          <w:sz w:val="16"/>
          <w:szCs w:val="16"/>
          <w:rtl/>
        </w:rPr>
        <w:t>הל</w:t>
      </w:r>
      <w:r w:rsidRPr="006C3B9F">
        <w:rPr>
          <w:rFonts w:asciiTheme="minorBidi" w:hAnsiTheme="minorBidi" w:cs="Arial"/>
          <w:sz w:val="16"/>
          <w:szCs w:val="16"/>
          <w:rtl/>
        </w:rPr>
        <w:t xml:space="preserve">' </w:t>
      </w:r>
      <w:r w:rsidRPr="006C3B9F">
        <w:rPr>
          <w:rFonts w:asciiTheme="minorBidi" w:hAnsiTheme="minorBidi" w:cs="Arial" w:hint="cs"/>
          <w:sz w:val="16"/>
          <w:szCs w:val="16"/>
          <w:rtl/>
        </w:rPr>
        <w:t>שבת</w:t>
      </w:r>
      <w:r w:rsidRPr="006C3B9F">
        <w:rPr>
          <w:rFonts w:asciiTheme="minorBidi" w:hAnsiTheme="minorBidi" w:cs="Arial"/>
          <w:sz w:val="16"/>
          <w:szCs w:val="16"/>
          <w:rtl/>
        </w:rPr>
        <w:t xml:space="preserve"> </w:t>
      </w:r>
      <w:r w:rsidRPr="006C3B9F">
        <w:rPr>
          <w:rFonts w:asciiTheme="minorBidi" w:hAnsiTheme="minorBidi" w:cs="Arial" w:hint="cs"/>
          <w:sz w:val="16"/>
          <w:szCs w:val="16"/>
          <w:rtl/>
        </w:rPr>
        <w:t>סע</w:t>
      </w:r>
      <w:r w:rsidRPr="006C3B9F">
        <w:rPr>
          <w:rFonts w:asciiTheme="minorBidi" w:hAnsiTheme="minorBidi" w:cs="Arial"/>
          <w:sz w:val="16"/>
          <w:szCs w:val="16"/>
          <w:rtl/>
        </w:rPr>
        <w:t xml:space="preserve">' </w:t>
      </w:r>
      <w:r w:rsidRPr="006C3B9F">
        <w:rPr>
          <w:rFonts w:asciiTheme="minorBidi" w:hAnsiTheme="minorBidi" w:cs="Arial" w:hint="cs"/>
          <w:sz w:val="16"/>
          <w:szCs w:val="16"/>
          <w:rtl/>
        </w:rPr>
        <w:t>א</w:t>
      </w:r>
      <w:r w:rsidRPr="006C3B9F">
        <w:rPr>
          <w:rFonts w:asciiTheme="minorBidi" w:hAnsiTheme="minorBidi" w:cs="Arial"/>
          <w:sz w:val="16"/>
          <w:szCs w:val="16"/>
          <w:rtl/>
        </w:rPr>
        <w:t>)</w:t>
      </w:r>
      <w:r>
        <w:rPr>
          <w:rFonts w:asciiTheme="minorBidi" w:hAnsiTheme="minorBidi" w:cs="Arial" w:hint="cs"/>
          <w:rtl/>
        </w:rPr>
        <w:t>-</w:t>
      </w:r>
      <w:r w:rsidRPr="006C3B9F">
        <w:rPr>
          <w:rFonts w:asciiTheme="minorBidi" w:hAnsiTheme="minorBidi" w:cs="Arial"/>
          <w:rtl/>
        </w:rPr>
        <w:t xml:space="preserve"> </w:t>
      </w:r>
      <w:r w:rsidRPr="006C3B9F">
        <w:rPr>
          <w:rFonts w:asciiTheme="minorBidi" w:hAnsiTheme="minorBidi" w:cs="Arial" w:hint="cs"/>
          <w:rtl/>
        </w:rPr>
        <w:t>אשה</w:t>
      </w:r>
      <w:r w:rsidRPr="006C3B9F">
        <w:rPr>
          <w:rFonts w:asciiTheme="minorBidi" w:hAnsiTheme="minorBidi" w:cs="Arial"/>
          <w:rtl/>
        </w:rPr>
        <w:t xml:space="preserve"> </w:t>
      </w:r>
      <w:r w:rsidRPr="006C3B9F">
        <w:rPr>
          <w:rFonts w:asciiTheme="minorBidi" w:hAnsiTheme="minorBidi" w:cs="Arial" w:hint="cs"/>
          <w:rtl/>
        </w:rPr>
        <w:t>ששכחה</w:t>
      </w:r>
      <w:r w:rsidRPr="006C3B9F">
        <w:rPr>
          <w:rFonts w:asciiTheme="minorBidi" w:hAnsiTheme="minorBidi" w:cs="Arial"/>
          <w:rtl/>
        </w:rPr>
        <w:t xml:space="preserve"> </w:t>
      </w:r>
      <w:r w:rsidRPr="006C3B9F">
        <w:rPr>
          <w:rFonts w:asciiTheme="minorBidi" w:hAnsiTheme="minorBidi" w:cs="Arial" w:hint="cs"/>
          <w:rtl/>
        </w:rPr>
        <w:t>ולא</w:t>
      </w:r>
      <w:r w:rsidRPr="006C3B9F">
        <w:rPr>
          <w:rFonts w:asciiTheme="minorBidi" w:hAnsiTheme="minorBidi" w:cs="Arial"/>
          <w:rtl/>
        </w:rPr>
        <w:t xml:space="preserve"> </w:t>
      </w:r>
      <w:r w:rsidRPr="006C3B9F">
        <w:rPr>
          <w:rFonts w:asciiTheme="minorBidi" w:hAnsiTheme="minorBidi" w:cs="Arial" w:hint="cs"/>
          <w:rtl/>
        </w:rPr>
        <w:t>הדליקה</w:t>
      </w:r>
      <w:r w:rsidRPr="006C3B9F">
        <w:rPr>
          <w:rFonts w:asciiTheme="minorBidi" w:hAnsiTheme="minorBidi" w:cs="Arial"/>
          <w:rtl/>
        </w:rPr>
        <w:t xml:space="preserve"> </w:t>
      </w:r>
      <w:r w:rsidRPr="006C3B9F">
        <w:rPr>
          <w:rFonts w:asciiTheme="minorBidi" w:hAnsiTheme="minorBidi" w:cs="Arial" w:hint="cs"/>
          <w:rtl/>
        </w:rPr>
        <w:t>נר</w:t>
      </w:r>
      <w:r w:rsidRPr="006C3B9F">
        <w:rPr>
          <w:rFonts w:asciiTheme="minorBidi" w:hAnsiTheme="minorBidi" w:cs="Arial"/>
          <w:rtl/>
        </w:rPr>
        <w:t xml:space="preserve"> </w:t>
      </w:r>
      <w:r w:rsidRPr="006C3B9F">
        <w:rPr>
          <w:rFonts w:asciiTheme="minorBidi" w:hAnsiTheme="minorBidi" w:cs="Arial" w:hint="cs"/>
          <w:rtl/>
        </w:rPr>
        <w:t>בשבת</w:t>
      </w:r>
      <w:r>
        <w:rPr>
          <w:rFonts w:asciiTheme="minorBidi" w:hAnsiTheme="minorBidi" w:cs="Arial" w:hint="cs"/>
          <w:rtl/>
        </w:rPr>
        <w:t xml:space="preserve">, </w:t>
      </w:r>
      <w:r w:rsidRPr="006C3B9F">
        <w:rPr>
          <w:rFonts w:asciiTheme="minorBidi" w:hAnsiTheme="minorBidi" w:cs="Arial" w:hint="cs"/>
          <w:rtl/>
        </w:rPr>
        <w:t>צריכה</w:t>
      </w:r>
      <w:r w:rsidRPr="006C3B9F">
        <w:rPr>
          <w:rFonts w:asciiTheme="minorBidi" w:hAnsiTheme="minorBidi" w:cs="Arial"/>
          <w:rtl/>
        </w:rPr>
        <w:t xml:space="preserve"> </w:t>
      </w:r>
      <w:r w:rsidRPr="006C3B9F">
        <w:rPr>
          <w:rFonts w:asciiTheme="minorBidi" w:hAnsiTheme="minorBidi" w:cs="Arial" w:hint="cs"/>
          <w:rtl/>
        </w:rPr>
        <w:t>כל</w:t>
      </w:r>
      <w:r w:rsidRPr="006C3B9F">
        <w:rPr>
          <w:rFonts w:asciiTheme="minorBidi" w:hAnsiTheme="minorBidi" w:cs="Arial"/>
          <w:rtl/>
        </w:rPr>
        <w:t xml:space="preserve"> </w:t>
      </w:r>
      <w:r w:rsidRPr="006C3B9F">
        <w:rPr>
          <w:rFonts w:asciiTheme="minorBidi" w:hAnsiTheme="minorBidi" w:cs="Arial" w:hint="cs"/>
          <w:rtl/>
        </w:rPr>
        <w:t>ימיה</w:t>
      </w:r>
      <w:r w:rsidRPr="006C3B9F">
        <w:rPr>
          <w:rFonts w:asciiTheme="minorBidi" w:hAnsiTheme="minorBidi" w:cs="Arial"/>
          <w:rtl/>
        </w:rPr>
        <w:t xml:space="preserve"> </w:t>
      </w:r>
      <w:r w:rsidRPr="006C3B9F">
        <w:rPr>
          <w:rFonts w:asciiTheme="minorBidi" w:hAnsiTheme="minorBidi" w:cs="Arial" w:hint="cs"/>
          <w:rtl/>
        </w:rPr>
        <w:t>להוסיף</w:t>
      </w:r>
      <w:r w:rsidRPr="006C3B9F">
        <w:rPr>
          <w:rFonts w:asciiTheme="minorBidi" w:hAnsiTheme="minorBidi" w:cs="Arial"/>
          <w:rtl/>
        </w:rPr>
        <w:t xml:space="preserve"> </w:t>
      </w:r>
      <w:r w:rsidRPr="006C3B9F">
        <w:rPr>
          <w:rFonts w:asciiTheme="minorBidi" w:hAnsiTheme="minorBidi" w:cs="Arial" w:hint="cs"/>
          <w:rtl/>
        </w:rPr>
        <w:t>על</w:t>
      </w:r>
      <w:r w:rsidRPr="006C3B9F">
        <w:rPr>
          <w:rFonts w:asciiTheme="minorBidi" w:hAnsiTheme="minorBidi" w:cs="Arial"/>
          <w:rtl/>
        </w:rPr>
        <w:t xml:space="preserve"> </w:t>
      </w:r>
      <w:r w:rsidRPr="006C3B9F">
        <w:rPr>
          <w:rFonts w:asciiTheme="minorBidi" w:hAnsiTheme="minorBidi" w:cs="Arial" w:hint="cs"/>
          <w:rtl/>
        </w:rPr>
        <w:t>נר</w:t>
      </w:r>
      <w:r w:rsidRPr="006C3B9F">
        <w:rPr>
          <w:rFonts w:asciiTheme="minorBidi" w:hAnsiTheme="minorBidi" w:cs="Arial"/>
          <w:rtl/>
        </w:rPr>
        <w:t xml:space="preserve"> </w:t>
      </w:r>
      <w:r w:rsidRPr="006C3B9F">
        <w:rPr>
          <w:rFonts w:asciiTheme="minorBidi" w:hAnsiTheme="minorBidi" w:cs="Arial" w:hint="cs"/>
          <w:rtl/>
        </w:rPr>
        <w:t>של</w:t>
      </w:r>
      <w:r w:rsidRPr="006C3B9F">
        <w:rPr>
          <w:rFonts w:asciiTheme="minorBidi" w:hAnsiTheme="minorBidi" w:cs="Arial"/>
          <w:rtl/>
        </w:rPr>
        <w:t xml:space="preserve"> </w:t>
      </w:r>
      <w:r w:rsidRPr="006C3B9F">
        <w:rPr>
          <w:rFonts w:asciiTheme="minorBidi" w:hAnsiTheme="minorBidi" w:cs="Arial" w:hint="cs"/>
          <w:rtl/>
        </w:rPr>
        <w:t>מצוה</w:t>
      </w:r>
      <w:r w:rsidRPr="006C3B9F">
        <w:rPr>
          <w:rFonts w:asciiTheme="minorBidi" w:hAnsiTheme="minorBidi" w:cs="Arial"/>
          <w:rtl/>
        </w:rPr>
        <w:t xml:space="preserve"> </w:t>
      </w:r>
      <w:r w:rsidRPr="006C3B9F">
        <w:rPr>
          <w:rFonts w:asciiTheme="minorBidi" w:hAnsiTheme="minorBidi" w:cs="Arial" w:hint="cs"/>
          <w:rtl/>
        </w:rPr>
        <w:t>יותר</w:t>
      </w:r>
      <w:r w:rsidRPr="006C3B9F">
        <w:rPr>
          <w:rFonts w:asciiTheme="minorBidi" w:hAnsiTheme="minorBidi" w:cs="Arial"/>
          <w:rtl/>
        </w:rPr>
        <w:t xml:space="preserve"> </w:t>
      </w:r>
      <w:r w:rsidRPr="006C3B9F">
        <w:rPr>
          <w:rFonts w:asciiTheme="minorBidi" w:hAnsiTheme="minorBidi" w:cs="Arial" w:hint="cs"/>
          <w:rtl/>
        </w:rPr>
        <w:t>ממה</w:t>
      </w:r>
      <w:r w:rsidRPr="006C3B9F">
        <w:rPr>
          <w:rFonts w:asciiTheme="minorBidi" w:hAnsiTheme="minorBidi" w:cs="Arial"/>
          <w:rtl/>
        </w:rPr>
        <w:t xml:space="preserve"> </w:t>
      </w:r>
      <w:r w:rsidRPr="006C3B9F">
        <w:rPr>
          <w:rFonts w:asciiTheme="minorBidi" w:hAnsiTheme="minorBidi" w:cs="Arial" w:hint="cs"/>
          <w:rtl/>
        </w:rPr>
        <w:t>שהיתה</w:t>
      </w:r>
      <w:r w:rsidRPr="006C3B9F">
        <w:rPr>
          <w:rFonts w:asciiTheme="minorBidi" w:hAnsiTheme="minorBidi" w:cs="Arial"/>
          <w:rtl/>
        </w:rPr>
        <w:t xml:space="preserve"> </w:t>
      </w:r>
      <w:r w:rsidRPr="006C3B9F">
        <w:rPr>
          <w:rFonts w:asciiTheme="minorBidi" w:hAnsiTheme="minorBidi" w:cs="Arial" w:hint="cs"/>
          <w:rtl/>
        </w:rPr>
        <w:t>רגילה</w:t>
      </w:r>
      <w:r w:rsidRPr="006C3B9F">
        <w:rPr>
          <w:rFonts w:asciiTheme="minorBidi" w:hAnsiTheme="minorBidi" w:cs="Arial"/>
          <w:rtl/>
        </w:rPr>
        <w:t xml:space="preserve"> </w:t>
      </w:r>
      <w:r w:rsidRPr="006C3B9F">
        <w:rPr>
          <w:rFonts w:asciiTheme="minorBidi" w:hAnsiTheme="minorBidi" w:cs="Arial" w:hint="cs"/>
          <w:rtl/>
        </w:rPr>
        <w:t>להדליק</w:t>
      </w:r>
      <w:r w:rsidRPr="006C3B9F">
        <w:rPr>
          <w:rFonts w:asciiTheme="minorBidi" w:hAnsiTheme="minorBidi" w:cs="Arial"/>
          <w:rtl/>
        </w:rPr>
        <w:t xml:space="preserve"> </w:t>
      </w:r>
      <w:r w:rsidRPr="006C3B9F">
        <w:rPr>
          <w:rFonts w:asciiTheme="minorBidi" w:hAnsiTheme="minorBidi" w:cs="Arial" w:hint="cs"/>
          <w:rtl/>
        </w:rPr>
        <w:t>עד</w:t>
      </w:r>
      <w:r w:rsidRPr="006C3B9F">
        <w:rPr>
          <w:rFonts w:asciiTheme="minorBidi" w:hAnsiTheme="minorBidi" w:cs="Arial"/>
          <w:rtl/>
        </w:rPr>
        <w:t xml:space="preserve"> </w:t>
      </w:r>
      <w:r w:rsidRPr="006C3B9F">
        <w:rPr>
          <w:rFonts w:asciiTheme="minorBidi" w:hAnsiTheme="minorBidi" w:cs="Arial" w:hint="cs"/>
          <w:rtl/>
        </w:rPr>
        <w:t>עתה</w:t>
      </w:r>
      <w:r w:rsidRPr="006C3B9F">
        <w:rPr>
          <w:rFonts w:asciiTheme="minorBidi" w:hAnsiTheme="minorBidi" w:cs="Arial"/>
          <w:rtl/>
        </w:rPr>
        <w:t xml:space="preserve"> </w:t>
      </w:r>
      <w:r w:rsidRPr="006C3B9F">
        <w:rPr>
          <w:rFonts w:asciiTheme="minorBidi" w:hAnsiTheme="minorBidi" w:cs="Arial" w:hint="cs"/>
          <w:rtl/>
        </w:rPr>
        <w:t>וצריכה</w:t>
      </w:r>
      <w:r w:rsidRPr="006C3B9F">
        <w:rPr>
          <w:rFonts w:asciiTheme="minorBidi" w:hAnsiTheme="minorBidi" w:cs="Arial"/>
          <w:rtl/>
        </w:rPr>
        <w:t xml:space="preserve"> </w:t>
      </w:r>
      <w:r w:rsidRPr="006C3B9F">
        <w:rPr>
          <w:rFonts w:asciiTheme="minorBidi" w:hAnsiTheme="minorBidi" w:cs="Arial" w:hint="cs"/>
          <w:rtl/>
        </w:rPr>
        <w:t>תענית</w:t>
      </w:r>
      <w:r w:rsidRPr="006C3B9F">
        <w:rPr>
          <w:rFonts w:asciiTheme="minorBidi" w:hAnsiTheme="minorBidi" w:cs="Arial"/>
          <w:rtl/>
        </w:rPr>
        <w:t xml:space="preserve"> </w:t>
      </w:r>
      <w:r w:rsidRPr="006C3B9F">
        <w:rPr>
          <w:rFonts w:asciiTheme="minorBidi" w:hAnsiTheme="minorBidi" w:cs="Arial" w:hint="cs"/>
          <w:rtl/>
        </w:rPr>
        <w:t>ווידוי</w:t>
      </w:r>
      <w:r w:rsidRPr="006C3B9F">
        <w:rPr>
          <w:rFonts w:asciiTheme="minorBidi" w:hAnsiTheme="minorBidi" w:cs="Arial"/>
          <w:rtl/>
        </w:rPr>
        <w:t xml:space="preserve"> </w:t>
      </w:r>
      <w:r w:rsidRPr="006C3B9F">
        <w:rPr>
          <w:rFonts w:asciiTheme="minorBidi" w:hAnsiTheme="minorBidi" w:cs="Arial" w:hint="cs"/>
          <w:rtl/>
        </w:rPr>
        <w:t>וכו</w:t>
      </w:r>
      <w:r w:rsidRPr="006C3B9F">
        <w:rPr>
          <w:rFonts w:asciiTheme="minorBidi" w:hAnsiTheme="minorBidi" w:cs="Arial"/>
          <w:rtl/>
        </w:rPr>
        <w:t>'</w:t>
      </w:r>
      <w:r>
        <w:rPr>
          <w:rStyle w:val="a9"/>
          <w:rFonts w:asciiTheme="minorBidi" w:hAnsiTheme="minorBidi" w:cs="Arial"/>
          <w:rtl/>
        </w:rPr>
        <w:footnoteReference w:id="622"/>
      </w:r>
      <w:r>
        <w:rPr>
          <w:rFonts w:asciiTheme="minorBidi" w:hAnsiTheme="minorBidi" w:cs="Arial" w:hint="cs"/>
          <w:rtl/>
        </w:rPr>
        <w:t>.</w:t>
      </w:r>
      <w:r w:rsidRPr="001D2B25">
        <w:rPr>
          <w:rFonts w:asciiTheme="minorBidi" w:hAnsiTheme="minorBidi" w:hint="cs"/>
          <w:color w:val="00B0F0"/>
          <w:rtl/>
        </w:rPr>
        <w:t xml:space="preserve"> (וכ"פ הרמ"א)</w:t>
      </w:r>
    </w:p>
    <w:p w14:paraId="43F31044"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EC3D333" w14:textId="77777777" w:rsidR="004B2E7C" w:rsidRDefault="004B2E7C" w:rsidP="00434A6A">
      <w:pPr>
        <w:rPr>
          <w:rFonts w:asciiTheme="minorBidi" w:hAnsiTheme="minorBidi"/>
          <w:rtl/>
        </w:rPr>
      </w:pPr>
      <w:r w:rsidRPr="00CC2350">
        <w:rPr>
          <w:rFonts w:asciiTheme="minorBidi" w:hAnsiTheme="minorBidi" w:cs="Arial"/>
          <w:rtl/>
        </w:rPr>
        <w:t xml:space="preserve">יהא זהיר לעשות נר יפה, ויש מכוונים לעשות ב' פתילות אחד כנגד זכור ואחד כנגד שמור. </w:t>
      </w:r>
      <w:r w:rsidRPr="00A27DB6">
        <w:rPr>
          <w:rFonts w:asciiTheme="minorBidi" w:hAnsiTheme="minorBidi" w:cs="Arial"/>
          <w:sz w:val="18"/>
          <w:szCs w:val="18"/>
          <w:rtl/>
        </w:rPr>
        <w:t>הגה: ויכולין להוסיף ולהדליק ג' או ד' נרות</w:t>
      </w:r>
      <w:r>
        <w:rPr>
          <w:rStyle w:val="a9"/>
          <w:rFonts w:asciiTheme="minorBidi" w:hAnsiTheme="minorBidi" w:cs="Arial"/>
          <w:sz w:val="18"/>
          <w:szCs w:val="18"/>
          <w:rtl/>
        </w:rPr>
        <w:footnoteReference w:id="623"/>
      </w:r>
      <w:r w:rsidRPr="00A27DB6">
        <w:rPr>
          <w:rFonts w:asciiTheme="minorBidi" w:hAnsiTheme="minorBidi" w:cs="Arial"/>
          <w:sz w:val="18"/>
          <w:szCs w:val="18"/>
          <w:rtl/>
        </w:rPr>
        <w:t>, וכן נהגו. האשה ששכחה פעם אחת להדליק, מדלקת כל ימיה ג' נרות (מהרי"ל)</w:t>
      </w:r>
      <w:r>
        <w:rPr>
          <w:rFonts w:asciiTheme="minorBidi" w:hAnsiTheme="minorBidi" w:cs="Arial" w:hint="cs"/>
          <w:sz w:val="18"/>
          <w:szCs w:val="18"/>
          <w:rtl/>
        </w:rPr>
        <w:t>,</w:t>
      </w:r>
      <w:r w:rsidRPr="00A27DB6">
        <w:rPr>
          <w:rFonts w:asciiTheme="minorBidi" w:hAnsiTheme="minorBidi" w:cs="Arial"/>
          <w:sz w:val="18"/>
          <w:szCs w:val="18"/>
          <w:rtl/>
        </w:rPr>
        <w:t xml:space="preserve"> כי יכולין להוסיף על דבר המכוון נגד דבר אחר, ובלבד שלא יפחות (אשר"י ומרדכי מס' ר"ה ר"פ יום טוב).</w:t>
      </w:r>
      <w:r w:rsidRPr="00CC2350">
        <w:rPr>
          <w:rFonts w:asciiTheme="minorBidi" w:hAnsiTheme="minorBidi" w:cs="Arial"/>
          <w:rtl/>
        </w:rPr>
        <w:t xml:space="preserve"> </w:t>
      </w:r>
    </w:p>
    <w:p w14:paraId="198A24D8" w14:textId="77777777" w:rsidR="004B2E7C" w:rsidRPr="00CC2350" w:rsidRDefault="004B2E7C" w:rsidP="00434A6A">
      <w:pPr>
        <w:rPr>
          <w:rFonts w:asciiTheme="minorBidi" w:hAnsiTheme="minorBidi"/>
          <w:rtl/>
        </w:rPr>
      </w:pPr>
    </w:p>
    <w:p w14:paraId="63B439B9" w14:textId="77777777" w:rsidR="004B2E7C" w:rsidRDefault="004B2E7C" w:rsidP="00434A6A">
      <w:pPr>
        <w:pStyle w:val="2"/>
        <w:rPr>
          <w:rtl/>
        </w:rPr>
      </w:pPr>
      <w:r w:rsidRPr="00CC2350">
        <w:rPr>
          <w:rtl/>
        </w:rPr>
        <w:t>סעיף ב</w:t>
      </w:r>
      <w:r>
        <w:rPr>
          <w:rFonts w:hint="cs"/>
          <w:rtl/>
        </w:rPr>
        <w:t>: חיוב נר על איש/אישה/עני.</w:t>
      </w:r>
    </w:p>
    <w:p w14:paraId="14176472" w14:textId="77777777" w:rsidR="004B2E7C" w:rsidRDefault="004B2E7C" w:rsidP="00434A6A">
      <w:pPr>
        <w:rPr>
          <w:rtl/>
        </w:rPr>
      </w:pPr>
      <w:r w:rsidRPr="001D2B25">
        <w:rPr>
          <w:rFonts w:cs="Arial" w:hint="cs"/>
          <w:b/>
          <w:bCs/>
          <w:rtl/>
        </w:rPr>
        <w:t xml:space="preserve">שבת </w:t>
      </w:r>
      <w:r w:rsidRPr="00762875">
        <w:rPr>
          <w:rFonts w:cs="Arial" w:hint="cs"/>
          <w:b/>
          <w:bCs/>
          <w:sz w:val="16"/>
          <w:szCs w:val="16"/>
          <w:rtl/>
        </w:rPr>
        <w:t xml:space="preserve">(פ' </w:t>
      </w:r>
      <w:r>
        <w:rPr>
          <w:rFonts w:cs="Arial" w:hint="cs"/>
          <w:b/>
          <w:bCs/>
          <w:sz w:val="16"/>
          <w:szCs w:val="16"/>
          <w:rtl/>
        </w:rPr>
        <w:t>במה מדליקין</w:t>
      </w:r>
      <w:r w:rsidRPr="00762875">
        <w:rPr>
          <w:rFonts w:cs="Arial" w:hint="cs"/>
          <w:b/>
          <w:bCs/>
          <w:sz w:val="16"/>
          <w:szCs w:val="16"/>
          <w:rtl/>
        </w:rPr>
        <w:t xml:space="preserve">) </w:t>
      </w:r>
      <w:r w:rsidRPr="001D2B25">
        <w:rPr>
          <w:rFonts w:cs="Arial" w:hint="cs"/>
          <w:b/>
          <w:bCs/>
          <w:rtl/>
        </w:rPr>
        <w:t xml:space="preserve">כה ע"ב: </w:t>
      </w:r>
      <w:r w:rsidRPr="001D2B25">
        <w:rPr>
          <w:rFonts w:cs="Arial" w:hint="cs"/>
          <w:u w:val="single"/>
          <w:rtl/>
        </w:rPr>
        <w:t>אמר</w:t>
      </w:r>
      <w:r w:rsidRPr="001D2B25">
        <w:rPr>
          <w:rFonts w:cs="Arial"/>
          <w:u w:val="single"/>
          <w:rtl/>
        </w:rPr>
        <w:t xml:space="preserve"> </w:t>
      </w:r>
      <w:r w:rsidRPr="001D2B25">
        <w:rPr>
          <w:rFonts w:cs="Arial" w:hint="cs"/>
          <w:u w:val="single"/>
          <w:rtl/>
        </w:rPr>
        <w:t>רב</w:t>
      </w:r>
      <w:r w:rsidRPr="001D2B25">
        <w:rPr>
          <w:rFonts w:cs="Arial"/>
          <w:u w:val="single"/>
          <w:rtl/>
        </w:rPr>
        <w:t xml:space="preserve"> </w:t>
      </w:r>
      <w:r w:rsidRPr="001D2B25">
        <w:rPr>
          <w:rFonts w:cs="Arial" w:hint="cs"/>
          <w:u w:val="single"/>
          <w:rtl/>
        </w:rPr>
        <w:t>נחמן</w:t>
      </w:r>
      <w:r w:rsidRPr="001D2B25">
        <w:rPr>
          <w:rFonts w:cs="Arial"/>
          <w:u w:val="single"/>
          <w:rtl/>
        </w:rPr>
        <w:t xml:space="preserve"> </w:t>
      </w:r>
      <w:r w:rsidRPr="001D2B25">
        <w:rPr>
          <w:rFonts w:cs="Arial" w:hint="cs"/>
          <w:u w:val="single"/>
          <w:rtl/>
        </w:rPr>
        <w:t>בר</w:t>
      </w:r>
      <w:r w:rsidRPr="001D2B25">
        <w:rPr>
          <w:rFonts w:cs="Arial"/>
          <w:u w:val="single"/>
          <w:rtl/>
        </w:rPr>
        <w:t xml:space="preserve"> </w:t>
      </w:r>
      <w:r w:rsidRPr="001D2B25">
        <w:rPr>
          <w:rFonts w:cs="Arial" w:hint="cs"/>
          <w:u w:val="single"/>
          <w:rtl/>
        </w:rPr>
        <w:t>רבא</w:t>
      </w:r>
      <w:r w:rsidRPr="001D2B25">
        <w:rPr>
          <w:rFonts w:cs="Arial"/>
          <w:u w:val="single"/>
          <w:rtl/>
        </w:rPr>
        <w:t xml:space="preserve"> </w:t>
      </w:r>
      <w:r w:rsidRPr="001D2B25">
        <w:rPr>
          <w:rFonts w:cs="Arial" w:hint="cs"/>
          <w:u w:val="single"/>
          <w:rtl/>
        </w:rPr>
        <w:t>אמר</w:t>
      </w:r>
      <w:r w:rsidRPr="001D2B25">
        <w:rPr>
          <w:rFonts w:cs="Arial"/>
          <w:u w:val="single"/>
          <w:rtl/>
        </w:rPr>
        <w:t xml:space="preserve"> </w:t>
      </w:r>
      <w:r w:rsidRPr="001D2B25">
        <w:rPr>
          <w:rFonts w:cs="Arial" w:hint="cs"/>
          <w:u w:val="single"/>
          <w:rtl/>
        </w:rPr>
        <w:t>רב</w:t>
      </w:r>
      <w:r w:rsidRPr="001D2B25">
        <w:rPr>
          <w:rFonts w:cs="Arial"/>
          <w:rtl/>
        </w:rPr>
        <w:t xml:space="preserve">: </w:t>
      </w:r>
      <w:r w:rsidRPr="001D2B25">
        <w:rPr>
          <w:rFonts w:cs="Arial" w:hint="cs"/>
          <w:rtl/>
        </w:rPr>
        <w:t>הדלקת</w:t>
      </w:r>
      <w:r w:rsidRPr="001D2B25">
        <w:rPr>
          <w:rFonts w:cs="Arial"/>
          <w:rtl/>
        </w:rPr>
        <w:t xml:space="preserve"> </w:t>
      </w:r>
      <w:r w:rsidRPr="001D2B25">
        <w:rPr>
          <w:rFonts w:cs="Arial" w:hint="cs"/>
          <w:rtl/>
        </w:rPr>
        <w:t>נר</w:t>
      </w:r>
      <w:r w:rsidRPr="001D2B25">
        <w:rPr>
          <w:rFonts w:cs="Arial"/>
          <w:rtl/>
        </w:rPr>
        <w:t xml:space="preserve"> </w:t>
      </w:r>
      <w:r w:rsidRPr="001D2B25">
        <w:rPr>
          <w:rFonts w:cs="Arial" w:hint="cs"/>
          <w:rtl/>
        </w:rPr>
        <w:t>בשבת</w:t>
      </w:r>
      <w:r w:rsidRPr="001D2B25">
        <w:rPr>
          <w:rFonts w:cs="Arial"/>
          <w:rtl/>
        </w:rPr>
        <w:t xml:space="preserve"> </w:t>
      </w:r>
      <w:r>
        <w:rPr>
          <w:rFonts w:cs="Arial"/>
          <w:rtl/>
        </w:rPr>
        <w:t>–</w:t>
      </w:r>
      <w:r w:rsidRPr="001D2B25">
        <w:rPr>
          <w:rFonts w:cs="Arial"/>
          <w:rtl/>
        </w:rPr>
        <w:t xml:space="preserve"> </w:t>
      </w:r>
      <w:r w:rsidRPr="001D2B25">
        <w:rPr>
          <w:rFonts w:cs="Arial" w:hint="cs"/>
          <w:rtl/>
        </w:rPr>
        <w:t>חובה</w:t>
      </w:r>
      <w:r>
        <w:rPr>
          <w:rFonts w:hint="cs"/>
          <w:rtl/>
        </w:rPr>
        <w:t>...</w:t>
      </w:r>
    </w:p>
    <w:p w14:paraId="60753504" w14:textId="77777777" w:rsidR="004B2E7C" w:rsidRPr="001D2B25" w:rsidRDefault="004B2E7C" w:rsidP="00434A6A">
      <w:pPr>
        <w:rPr>
          <w:u w:val="single"/>
          <w:rtl/>
        </w:rPr>
      </w:pPr>
      <w:r w:rsidRPr="001D2B25">
        <w:rPr>
          <w:rFonts w:hint="cs"/>
          <w:u w:val="single"/>
          <w:rtl/>
        </w:rPr>
        <w:t>חיוב נר על איש/אישה/עני:</w:t>
      </w:r>
    </w:p>
    <w:p w14:paraId="0B7FBEDC" w14:textId="77777777" w:rsidR="004B2E7C" w:rsidRPr="006737C8" w:rsidRDefault="004B2E7C" w:rsidP="00FF2D21">
      <w:pPr>
        <w:pStyle w:val="aa"/>
        <w:numPr>
          <w:ilvl w:val="0"/>
          <w:numId w:val="87"/>
        </w:numPr>
        <w:rPr>
          <w:rtl/>
        </w:rPr>
      </w:pPr>
      <w:r w:rsidRPr="00520DB4">
        <w:rPr>
          <w:rFonts w:cs="Arial" w:hint="cs"/>
          <w:rtl/>
        </w:rPr>
        <w:t>רמב</w:t>
      </w:r>
      <w:r w:rsidRPr="00520DB4">
        <w:rPr>
          <w:rFonts w:cs="Arial"/>
          <w:rtl/>
        </w:rPr>
        <w:t>"</w:t>
      </w:r>
      <w:r w:rsidRPr="00520DB4">
        <w:rPr>
          <w:rFonts w:cs="Arial" w:hint="cs"/>
          <w:rtl/>
        </w:rPr>
        <w:t>ם</w:t>
      </w:r>
      <w:r w:rsidRPr="00520DB4">
        <w:rPr>
          <w:rFonts w:cs="Arial"/>
          <w:rtl/>
        </w:rPr>
        <w:t xml:space="preserve"> </w:t>
      </w:r>
      <w:r w:rsidRPr="00520DB4">
        <w:rPr>
          <w:rFonts w:cs="Arial" w:hint="cs"/>
          <w:sz w:val="16"/>
          <w:szCs w:val="16"/>
          <w:rtl/>
        </w:rPr>
        <w:t>(פ"ה ה</w:t>
      </w:r>
      <w:r w:rsidRPr="00520DB4">
        <w:rPr>
          <w:rFonts w:cs="Arial"/>
          <w:sz w:val="16"/>
          <w:szCs w:val="16"/>
          <w:rtl/>
        </w:rPr>
        <w:t>"</w:t>
      </w:r>
      <w:r w:rsidRPr="00520DB4">
        <w:rPr>
          <w:rFonts w:cs="Arial" w:hint="cs"/>
          <w:sz w:val="16"/>
          <w:szCs w:val="16"/>
          <w:rtl/>
        </w:rPr>
        <w:t>א</w:t>
      </w:r>
      <w:r w:rsidRPr="00520DB4">
        <w:rPr>
          <w:rFonts w:cs="Arial"/>
          <w:sz w:val="16"/>
          <w:szCs w:val="16"/>
          <w:rtl/>
        </w:rPr>
        <w:t>)</w:t>
      </w:r>
      <w:r w:rsidRPr="00520DB4">
        <w:rPr>
          <w:rFonts w:cs="Arial" w:hint="cs"/>
          <w:rtl/>
        </w:rPr>
        <w:t>-</w:t>
      </w:r>
      <w:r w:rsidRPr="00520DB4">
        <w:rPr>
          <w:rFonts w:cs="Arial"/>
          <w:rtl/>
        </w:rPr>
        <w:t xml:space="preserve"> </w:t>
      </w:r>
      <w:r w:rsidRPr="00520DB4">
        <w:rPr>
          <w:rFonts w:cs="Arial" w:hint="cs"/>
          <w:rtl/>
        </w:rPr>
        <w:t>אחד</w:t>
      </w:r>
      <w:r w:rsidRPr="00520DB4">
        <w:rPr>
          <w:rFonts w:cs="Arial"/>
          <w:rtl/>
        </w:rPr>
        <w:t xml:space="preserve"> </w:t>
      </w:r>
      <w:r w:rsidRPr="00520DB4">
        <w:rPr>
          <w:rFonts w:cs="Arial" w:hint="cs"/>
          <w:rtl/>
        </w:rPr>
        <w:t>אנשים</w:t>
      </w:r>
      <w:r w:rsidRPr="00520DB4">
        <w:rPr>
          <w:rFonts w:cs="Arial"/>
          <w:rtl/>
        </w:rPr>
        <w:t xml:space="preserve"> </w:t>
      </w:r>
      <w:r w:rsidRPr="00520DB4">
        <w:rPr>
          <w:rFonts w:cs="Arial" w:hint="cs"/>
          <w:rtl/>
        </w:rPr>
        <w:t>ואחד</w:t>
      </w:r>
      <w:r w:rsidRPr="00520DB4">
        <w:rPr>
          <w:rFonts w:cs="Arial"/>
          <w:rtl/>
        </w:rPr>
        <w:t xml:space="preserve"> </w:t>
      </w:r>
      <w:r w:rsidRPr="00520DB4">
        <w:rPr>
          <w:rFonts w:cs="Arial" w:hint="cs"/>
          <w:rtl/>
        </w:rPr>
        <w:t>נשים</w:t>
      </w:r>
      <w:r w:rsidRPr="00520DB4">
        <w:rPr>
          <w:rFonts w:cs="Arial"/>
          <w:rtl/>
        </w:rPr>
        <w:t xml:space="preserve"> </w:t>
      </w:r>
      <w:r w:rsidRPr="00520DB4">
        <w:rPr>
          <w:rFonts w:cs="Arial" w:hint="cs"/>
          <w:rtl/>
        </w:rPr>
        <w:t>חייבים</w:t>
      </w:r>
      <w:r w:rsidRPr="00520DB4">
        <w:rPr>
          <w:rFonts w:cs="Arial"/>
          <w:rtl/>
        </w:rPr>
        <w:t xml:space="preserve"> </w:t>
      </w:r>
      <w:r w:rsidRPr="00520DB4">
        <w:rPr>
          <w:rFonts w:cs="Arial" w:hint="cs"/>
          <w:rtl/>
        </w:rPr>
        <w:t>להיות</w:t>
      </w:r>
      <w:r w:rsidRPr="00520DB4">
        <w:rPr>
          <w:rFonts w:cs="Arial"/>
          <w:rtl/>
        </w:rPr>
        <w:t xml:space="preserve"> </w:t>
      </w:r>
      <w:r w:rsidRPr="00520DB4">
        <w:rPr>
          <w:rFonts w:cs="Arial" w:hint="cs"/>
          <w:rtl/>
        </w:rPr>
        <w:t>בבתיהם</w:t>
      </w:r>
      <w:r w:rsidRPr="00520DB4">
        <w:rPr>
          <w:rFonts w:cs="Arial"/>
          <w:rtl/>
        </w:rPr>
        <w:t xml:space="preserve"> </w:t>
      </w:r>
      <w:r w:rsidRPr="00520DB4">
        <w:rPr>
          <w:rFonts w:cs="Arial" w:hint="cs"/>
          <w:rtl/>
        </w:rPr>
        <w:t>נר</w:t>
      </w:r>
      <w:r w:rsidRPr="00520DB4">
        <w:rPr>
          <w:rFonts w:cs="Arial"/>
          <w:rtl/>
        </w:rPr>
        <w:t xml:space="preserve"> </w:t>
      </w:r>
      <w:r w:rsidRPr="00520DB4">
        <w:rPr>
          <w:rFonts w:cs="Arial" w:hint="cs"/>
          <w:rtl/>
        </w:rPr>
        <w:t>דלוק</w:t>
      </w:r>
      <w:r w:rsidRPr="00520DB4">
        <w:rPr>
          <w:rFonts w:cs="Arial"/>
          <w:rtl/>
        </w:rPr>
        <w:t xml:space="preserve"> </w:t>
      </w:r>
      <w:r w:rsidRPr="00520DB4">
        <w:rPr>
          <w:rFonts w:cs="Arial" w:hint="cs"/>
          <w:rtl/>
        </w:rPr>
        <w:t>בשבת</w:t>
      </w:r>
      <w:r>
        <w:rPr>
          <w:rFonts w:cs="Arial" w:hint="cs"/>
          <w:rtl/>
        </w:rPr>
        <w:t>.</w:t>
      </w:r>
      <w:r w:rsidRPr="00520DB4">
        <w:rPr>
          <w:rFonts w:cs="Arial"/>
          <w:rtl/>
        </w:rPr>
        <w:t xml:space="preserve"> </w:t>
      </w:r>
      <w:r w:rsidRPr="00520DB4">
        <w:rPr>
          <w:rFonts w:cs="Arial" w:hint="cs"/>
          <w:rtl/>
        </w:rPr>
        <w:t>אפילו</w:t>
      </w:r>
      <w:r w:rsidRPr="00520DB4">
        <w:rPr>
          <w:rFonts w:cs="Arial"/>
          <w:rtl/>
        </w:rPr>
        <w:t xml:space="preserve"> </w:t>
      </w:r>
      <w:r w:rsidRPr="00520DB4">
        <w:rPr>
          <w:rFonts w:cs="Arial" w:hint="cs"/>
          <w:rtl/>
        </w:rPr>
        <w:t>אין</w:t>
      </w:r>
      <w:r w:rsidRPr="00520DB4">
        <w:rPr>
          <w:rFonts w:cs="Arial"/>
          <w:rtl/>
        </w:rPr>
        <w:t xml:space="preserve"> </w:t>
      </w:r>
      <w:r w:rsidRPr="00520DB4">
        <w:rPr>
          <w:rFonts w:cs="Arial" w:hint="cs"/>
          <w:rtl/>
        </w:rPr>
        <w:t>לו</w:t>
      </w:r>
      <w:r w:rsidRPr="00520DB4">
        <w:rPr>
          <w:rFonts w:cs="Arial"/>
          <w:rtl/>
        </w:rPr>
        <w:t xml:space="preserve"> </w:t>
      </w:r>
      <w:r w:rsidRPr="00520DB4">
        <w:rPr>
          <w:rFonts w:cs="Arial" w:hint="cs"/>
          <w:rtl/>
        </w:rPr>
        <w:t>מה</w:t>
      </w:r>
      <w:r w:rsidRPr="00520DB4">
        <w:rPr>
          <w:rFonts w:cs="Arial"/>
          <w:rtl/>
        </w:rPr>
        <w:t xml:space="preserve"> </w:t>
      </w:r>
      <w:r w:rsidRPr="00520DB4">
        <w:rPr>
          <w:rFonts w:cs="Arial" w:hint="cs"/>
          <w:rtl/>
        </w:rPr>
        <w:t>יאכל</w:t>
      </w:r>
      <w:r w:rsidRPr="00520DB4">
        <w:rPr>
          <w:rFonts w:cs="Arial"/>
          <w:rtl/>
        </w:rPr>
        <w:t xml:space="preserve"> </w:t>
      </w:r>
      <w:r w:rsidRPr="00520DB4">
        <w:rPr>
          <w:rFonts w:cs="Arial" w:hint="cs"/>
          <w:rtl/>
        </w:rPr>
        <w:t>שואל</w:t>
      </w:r>
      <w:r w:rsidRPr="00520DB4">
        <w:rPr>
          <w:rFonts w:cs="Arial"/>
          <w:rtl/>
        </w:rPr>
        <w:t xml:space="preserve"> </w:t>
      </w:r>
      <w:r w:rsidRPr="00520DB4">
        <w:rPr>
          <w:rFonts w:cs="Arial" w:hint="cs"/>
          <w:rtl/>
        </w:rPr>
        <w:t>על</w:t>
      </w:r>
      <w:r w:rsidRPr="00520DB4">
        <w:rPr>
          <w:rFonts w:cs="Arial"/>
          <w:rtl/>
        </w:rPr>
        <w:t xml:space="preserve"> </w:t>
      </w:r>
      <w:r w:rsidRPr="00520DB4">
        <w:rPr>
          <w:rFonts w:cs="Arial" w:hint="cs"/>
          <w:rtl/>
        </w:rPr>
        <w:t>הפתחים</w:t>
      </w:r>
      <w:r w:rsidRPr="00520DB4">
        <w:rPr>
          <w:rFonts w:cs="Arial"/>
          <w:rtl/>
        </w:rPr>
        <w:t xml:space="preserve"> </w:t>
      </w:r>
      <w:r w:rsidRPr="00520DB4">
        <w:rPr>
          <w:rFonts w:cs="Arial" w:hint="cs"/>
          <w:rtl/>
        </w:rPr>
        <w:t>ולוקח</w:t>
      </w:r>
      <w:r w:rsidRPr="00520DB4">
        <w:rPr>
          <w:rFonts w:cs="Arial"/>
          <w:rtl/>
        </w:rPr>
        <w:t xml:space="preserve"> </w:t>
      </w:r>
      <w:r w:rsidRPr="00520DB4">
        <w:rPr>
          <w:rFonts w:cs="Arial" w:hint="cs"/>
          <w:rtl/>
        </w:rPr>
        <w:t>שמן</w:t>
      </w:r>
      <w:r w:rsidRPr="00520DB4">
        <w:rPr>
          <w:rFonts w:cs="Arial"/>
          <w:rtl/>
        </w:rPr>
        <w:t xml:space="preserve"> </w:t>
      </w:r>
      <w:r w:rsidRPr="00520DB4">
        <w:rPr>
          <w:rFonts w:cs="Arial" w:hint="cs"/>
          <w:rtl/>
        </w:rPr>
        <w:t>ומדליק</w:t>
      </w:r>
      <w:r w:rsidRPr="00520DB4">
        <w:rPr>
          <w:rFonts w:cs="Arial"/>
          <w:rtl/>
        </w:rPr>
        <w:t xml:space="preserve"> </w:t>
      </w:r>
      <w:r w:rsidRPr="00520DB4">
        <w:rPr>
          <w:rFonts w:cs="Arial" w:hint="cs"/>
          <w:rtl/>
        </w:rPr>
        <w:t>את</w:t>
      </w:r>
      <w:r w:rsidRPr="00520DB4">
        <w:rPr>
          <w:rFonts w:cs="Arial"/>
          <w:rtl/>
        </w:rPr>
        <w:t xml:space="preserve"> </w:t>
      </w:r>
      <w:r w:rsidRPr="00520DB4">
        <w:rPr>
          <w:rFonts w:cs="Arial" w:hint="cs"/>
          <w:rtl/>
        </w:rPr>
        <w:t>הנר</w:t>
      </w:r>
      <w:r>
        <w:rPr>
          <w:rFonts w:cs="Arial" w:hint="cs"/>
          <w:rtl/>
        </w:rPr>
        <w:t>,</w:t>
      </w:r>
      <w:r w:rsidRPr="00520DB4">
        <w:rPr>
          <w:rFonts w:cs="Arial"/>
          <w:rtl/>
        </w:rPr>
        <w:t xml:space="preserve"> </w:t>
      </w:r>
      <w:r w:rsidRPr="00520DB4">
        <w:rPr>
          <w:rFonts w:cs="Arial" w:hint="cs"/>
          <w:rtl/>
        </w:rPr>
        <w:t>שזה</w:t>
      </w:r>
      <w:r w:rsidRPr="00520DB4">
        <w:rPr>
          <w:rFonts w:cs="Arial"/>
          <w:rtl/>
        </w:rPr>
        <w:t xml:space="preserve"> </w:t>
      </w:r>
      <w:r w:rsidRPr="00520DB4">
        <w:rPr>
          <w:rFonts w:cs="Arial" w:hint="cs"/>
          <w:rtl/>
        </w:rPr>
        <w:t>בכלל</w:t>
      </w:r>
      <w:r w:rsidRPr="00520DB4">
        <w:rPr>
          <w:rFonts w:cs="Arial"/>
          <w:rtl/>
        </w:rPr>
        <w:t xml:space="preserve"> </w:t>
      </w:r>
      <w:r w:rsidRPr="00520DB4">
        <w:rPr>
          <w:rFonts w:cs="Arial" w:hint="cs"/>
          <w:rtl/>
        </w:rPr>
        <w:t>עונג</w:t>
      </w:r>
      <w:r w:rsidRPr="00520DB4">
        <w:rPr>
          <w:rFonts w:cs="Arial"/>
          <w:rtl/>
        </w:rPr>
        <w:t xml:space="preserve"> </w:t>
      </w:r>
      <w:r w:rsidRPr="00520DB4">
        <w:rPr>
          <w:rFonts w:cs="Arial" w:hint="cs"/>
          <w:rtl/>
        </w:rPr>
        <w:t>שבת.</w:t>
      </w:r>
      <w:r w:rsidRPr="001D2B25">
        <w:rPr>
          <w:rFonts w:cs="Arial" w:hint="cs"/>
          <w:color w:val="E36C0A" w:themeColor="accent6" w:themeShade="BF"/>
          <w:rtl/>
        </w:rPr>
        <w:t xml:space="preserve"> </w:t>
      </w:r>
      <w:r w:rsidRPr="0056384F">
        <w:rPr>
          <w:rFonts w:cs="Arial" w:hint="cs"/>
          <w:color w:val="E36C0A" w:themeColor="accent6" w:themeShade="BF"/>
          <w:rtl/>
        </w:rPr>
        <w:t>(וכ"פ בשו"ע)</w:t>
      </w:r>
    </w:p>
    <w:p w14:paraId="3EC9C0AF"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CF1CD58" w14:textId="77777777" w:rsidR="004B2E7C" w:rsidRDefault="004B2E7C" w:rsidP="00434A6A">
      <w:pPr>
        <w:rPr>
          <w:rFonts w:asciiTheme="minorBidi" w:hAnsiTheme="minorBidi"/>
          <w:rtl/>
        </w:rPr>
      </w:pPr>
      <w:r w:rsidRPr="00CC2350">
        <w:rPr>
          <w:rFonts w:asciiTheme="minorBidi" w:hAnsiTheme="minorBidi" w:cs="Arial"/>
          <w:rtl/>
        </w:rPr>
        <w:t>אחד האנשים ואחד הנשים, חייבים להיות בבתיהם נר דלוק בשבת</w:t>
      </w:r>
      <w:r>
        <w:rPr>
          <w:rFonts w:asciiTheme="minorBidi" w:hAnsiTheme="minorBidi" w:cs="Arial" w:hint="cs"/>
          <w:rtl/>
        </w:rPr>
        <w:t>.</w:t>
      </w:r>
      <w:r w:rsidRPr="00CC2350">
        <w:rPr>
          <w:rFonts w:asciiTheme="minorBidi" w:hAnsiTheme="minorBidi" w:cs="Arial"/>
          <w:rtl/>
        </w:rPr>
        <w:t xml:space="preserve"> אפי</w:t>
      </w:r>
      <w:r>
        <w:rPr>
          <w:rFonts w:asciiTheme="minorBidi" w:hAnsiTheme="minorBidi" w:cs="Arial" w:hint="cs"/>
          <w:rtl/>
        </w:rPr>
        <w:t>לו</w:t>
      </w:r>
      <w:r w:rsidRPr="00CC2350">
        <w:rPr>
          <w:rFonts w:asciiTheme="minorBidi" w:hAnsiTheme="minorBidi" w:cs="Arial"/>
          <w:rtl/>
        </w:rPr>
        <w:t xml:space="preserve"> אין לו מה יאכל</w:t>
      </w:r>
      <w:r>
        <w:rPr>
          <w:rStyle w:val="a9"/>
          <w:rFonts w:asciiTheme="minorBidi" w:hAnsiTheme="minorBidi" w:cs="Arial"/>
          <w:rtl/>
        </w:rPr>
        <w:footnoteReference w:id="624"/>
      </w:r>
      <w:r w:rsidRPr="00CC2350">
        <w:rPr>
          <w:rFonts w:asciiTheme="minorBidi" w:hAnsiTheme="minorBidi" w:cs="Arial"/>
          <w:rtl/>
        </w:rPr>
        <w:t xml:space="preserve"> שואל על הפתחים ולוקח שמן ומדליק את הנר, שזה בכלל עונג שבת הוא. </w:t>
      </w:r>
    </w:p>
    <w:p w14:paraId="435F85A8" w14:textId="77777777" w:rsidR="004B2E7C" w:rsidRPr="00CC2350" w:rsidRDefault="004B2E7C" w:rsidP="00434A6A">
      <w:pPr>
        <w:rPr>
          <w:rFonts w:asciiTheme="minorBidi" w:hAnsiTheme="minorBidi"/>
          <w:rtl/>
        </w:rPr>
      </w:pPr>
    </w:p>
    <w:p w14:paraId="42974BF5" w14:textId="77777777" w:rsidR="004B2E7C" w:rsidRDefault="004B2E7C" w:rsidP="00434A6A">
      <w:pPr>
        <w:pStyle w:val="2"/>
        <w:rPr>
          <w:rtl/>
        </w:rPr>
      </w:pPr>
      <w:r w:rsidRPr="00CC2350">
        <w:rPr>
          <w:rtl/>
        </w:rPr>
        <w:t>סעיף ג</w:t>
      </w:r>
      <w:r>
        <w:rPr>
          <w:rFonts w:hint="cs"/>
          <w:rtl/>
        </w:rPr>
        <w:t>: חיוב יתר על הנשים. מי שאין ידו משגת לקנות נר שבת ויין/נר חנוכה.</w:t>
      </w:r>
    </w:p>
    <w:p w14:paraId="4149CC3F" w14:textId="77777777" w:rsidR="004B2E7C" w:rsidRDefault="004B2E7C" w:rsidP="00434A6A">
      <w:pPr>
        <w:rPr>
          <w:rtl/>
        </w:rPr>
      </w:pPr>
      <w:r w:rsidRPr="00565331">
        <w:rPr>
          <w:rFonts w:cs="Arial" w:hint="cs"/>
          <w:b/>
          <w:bCs/>
          <w:rtl/>
        </w:rPr>
        <w:t xml:space="preserve">שבת </w:t>
      </w:r>
      <w:r w:rsidRPr="00762875">
        <w:rPr>
          <w:rFonts w:cs="Arial" w:hint="cs"/>
          <w:b/>
          <w:bCs/>
          <w:sz w:val="16"/>
          <w:szCs w:val="16"/>
          <w:rtl/>
        </w:rPr>
        <w:t xml:space="preserve">(פ' </w:t>
      </w:r>
      <w:r>
        <w:rPr>
          <w:rFonts w:cs="Arial" w:hint="cs"/>
          <w:b/>
          <w:bCs/>
          <w:sz w:val="16"/>
          <w:szCs w:val="16"/>
          <w:rtl/>
        </w:rPr>
        <w:t>במה מדליקין</w:t>
      </w:r>
      <w:r w:rsidRPr="00762875">
        <w:rPr>
          <w:rFonts w:cs="Arial" w:hint="cs"/>
          <w:b/>
          <w:bCs/>
          <w:sz w:val="16"/>
          <w:szCs w:val="16"/>
          <w:rtl/>
        </w:rPr>
        <w:t xml:space="preserve">) </w:t>
      </w:r>
      <w:r>
        <w:rPr>
          <w:rFonts w:cs="Arial" w:hint="cs"/>
          <w:b/>
          <w:bCs/>
          <w:rtl/>
        </w:rPr>
        <w:t>כג</w:t>
      </w:r>
      <w:r w:rsidRPr="00565331">
        <w:rPr>
          <w:rFonts w:cs="Arial" w:hint="cs"/>
          <w:b/>
          <w:bCs/>
          <w:rtl/>
        </w:rPr>
        <w:t xml:space="preserve"> ע"</w:t>
      </w:r>
      <w:r>
        <w:rPr>
          <w:rFonts w:cs="Arial" w:hint="cs"/>
          <w:b/>
          <w:bCs/>
          <w:rtl/>
        </w:rPr>
        <w:t>ב</w:t>
      </w:r>
      <w:r w:rsidRPr="00565331">
        <w:rPr>
          <w:rFonts w:cs="Arial" w:hint="cs"/>
          <w:b/>
          <w:bCs/>
          <w:rtl/>
        </w:rPr>
        <w:t>:</w:t>
      </w:r>
      <w:r>
        <w:rPr>
          <w:rFonts w:cs="Arial" w:hint="cs"/>
          <w:rtl/>
        </w:rPr>
        <w:t xml:space="preserve"> </w:t>
      </w:r>
      <w:r w:rsidRPr="00D853EF">
        <w:rPr>
          <w:rFonts w:cs="Arial" w:hint="cs"/>
          <w:u w:val="single"/>
          <w:rtl/>
        </w:rPr>
        <w:t>אמר</w:t>
      </w:r>
      <w:r w:rsidRPr="00D853EF">
        <w:rPr>
          <w:rFonts w:cs="Arial"/>
          <w:u w:val="single"/>
          <w:rtl/>
        </w:rPr>
        <w:t xml:space="preserve"> </w:t>
      </w:r>
      <w:r w:rsidRPr="00D853EF">
        <w:rPr>
          <w:rFonts w:cs="Arial" w:hint="cs"/>
          <w:u w:val="single"/>
          <w:rtl/>
        </w:rPr>
        <w:t>רבא</w:t>
      </w:r>
      <w:r>
        <w:rPr>
          <w:rFonts w:cs="Arial" w:hint="cs"/>
          <w:rtl/>
        </w:rPr>
        <w:t>:</w:t>
      </w:r>
      <w:r w:rsidRPr="00D853EF">
        <w:rPr>
          <w:rFonts w:cs="Arial"/>
          <w:rtl/>
        </w:rPr>
        <w:t xml:space="preserve"> </w:t>
      </w:r>
      <w:r w:rsidRPr="00D853EF">
        <w:rPr>
          <w:rFonts w:cs="Arial" w:hint="cs"/>
          <w:rtl/>
        </w:rPr>
        <w:t>פשיטא</w:t>
      </w:r>
      <w:r w:rsidRPr="00D853EF">
        <w:rPr>
          <w:rFonts w:cs="Arial"/>
          <w:rtl/>
        </w:rPr>
        <w:t xml:space="preserve"> </w:t>
      </w:r>
      <w:r w:rsidRPr="00D853EF">
        <w:rPr>
          <w:rFonts w:cs="Arial" w:hint="cs"/>
          <w:rtl/>
        </w:rPr>
        <w:t>לי</w:t>
      </w:r>
      <w:r>
        <w:rPr>
          <w:rFonts w:cs="Arial" w:hint="cs"/>
          <w:rtl/>
        </w:rPr>
        <w:t>,</w:t>
      </w:r>
      <w:r w:rsidRPr="00D853EF">
        <w:rPr>
          <w:rFonts w:cs="Arial"/>
          <w:rtl/>
        </w:rPr>
        <w:t xml:space="preserve"> </w:t>
      </w:r>
      <w:r w:rsidRPr="00D853EF">
        <w:rPr>
          <w:rFonts w:cs="Arial" w:hint="cs"/>
          <w:rtl/>
        </w:rPr>
        <w:t>נר</w:t>
      </w:r>
      <w:r w:rsidRPr="00D853EF">
        <w:rPr>
          <w:rFonts w:cs="Arial"/>
          <w:rtl/>
        </w:rPr>
        <w:t xml:space="preserve"> </w:t>
      </w:r>
      <w:r w:rsidRPr="00D853EF">
        <w:rPr>
          <w:rFonts w:cs="Arial" w:hint="cs"/>
          <w:rtl/>
        </w:rPr>
        <w:t>ביתו</w:t>
      </w:r>
      <w:r w:rsidRPr="00D853EF">
        <w:rPr>
          <w:rFonts w:cs="Arial"/>
          <w:rtl/>
        </w:rPr>
        <w:t xml:space="preserve"> </w:t>
      </w:r>
      <w:r w:rsidRPr="00D853EF">
        <w:rPr>
          <w:rFonts w:cs="Arial" w:hint="cs"/>
          <w:rtl/>
        </w:rPr>
        <w:t>ונר</w:t>
      </w:r>
      <w:r w:rsidRPr="00D853EF">
        <w:rPr>
          <w:rFonts w:cs="Arial"/>
          <w:rtl/>
        </w:rPr>
        <w:t xml:space="preserve"> </w:t>
      </w:r>
      <w:r w:rsidRPr="00D853EF">
        <w:rPr>
          <w:rFonts w:cs="Arial" w:hint="cs"/>
          <w:rtl/>
        </w:rPr>
        <w:t>חנוכה</w:t>
      </w:r>
      <w:r w:rsidRPr="00D853EF">
        <w:rPr>
          <w:rFonts w:cs="Arial"/>
          <w:rtl/>
        </w:rPr>
        <w:t xml:space="preserve"> - </w:t>
      </w:r>
      <w:r w:rsidRPr="00D853EF">
        <w:rPr>
          <w:rFonts w:cs="Arial" w:hint="cs"/>
          <w:rtl/>
        </w:rPr>
        <w:t>נר</w:t>
      </w:r>
      <w:r w:rsidRPr="00D853EF">
        <w:rPr>
          <w:rFonts w:cs="Arial"/>
          <w:rtl/>
        </w:rPr>
        <w:t xml:space="preserve"> </w:t>
      </w:r>
      <w:r w:rsidRPr="00D853EF">
        <w:rPr>
          <w:rFonts w:cs="Arial" w:hint="cs"/>
          <w:rtl/>
        </w:rPr>
        <w:t>ביתו</w:t>
      </w:r>
      <w:r w:rsidRPr="00D853EF">
        <w:rPr>
          <w:rFonts w:cs="Arial"/>
          <w:rtl/>
        </w:rPr>
        <w:t xml:space="preserve"> </w:t>
      </w:r>
      <w:r w:rsidRPr="00D853EF">
        <w:rPr>
          <w:rFonts w:cs="Arial" w:hint="cs"/>
          <w:rtl/>
        </w:rPr>
        <w:t>עדיף</w:t>
      </w:r>
      <w:r w:rsidRPr="00D853EF">
        <w:rPr>
          <w:rFonts w:cs="Arial"/>
          <w:rtl/>
        </w:rPr>
        <w:t xml:space="preserve">, </w:t>
      </w:r>
      <w:r w:rsidRPr="00D853EF">
        <w:rPr>
          <w:rFonts w:cs="Arial" w:hint="cs"/>
          <w:rtl/>
        </w:rPr>
        <w:t>משום</w:t>
      </w:r>
      <w:r w:rsidRPr="00D853EF">
        <w:rPr>
          <w:rFonts w:cs="Arial"/>
          <w:rtl/>
        </w:rPr>
        <w:t xml:space="preserve"> </w:t>
      </w:r>
      <w:r w:rsidRPr="00D853EF">
        <w:rPr>
          <w:rFonts w:cs="Arial" w:hint="cs"/>
          <w:rtl/>
        </w:rPr>
        <w:t>שלום</w:t>
      </w:r>
      <w:r w:rsidRPr="00D853EF">
        <w:rPr>
          <w:rFonts w:cs="Arial"/>
          <w:rtl/>
        </w:rPr>
        <w:t xml:space="preserve"> </w:t>
      </w:r>
      <w:r w:rsidRPr="00D853EF">
        <w:rPr>
          <w:rFonts w:cs="Arial" w:hint="cs"/>
          <w:rtl/>
        </w:rPr>
        <w:t>ביתו</w:t>
      </w:r>
      <w:r w:rsidRPr="00D853EF">
        <w:rPr>
          <w:rFonts w:cs="Arial"/>
          <w:rtl/>
        </w:rPr>
        <w:t xml:space="preserve">. </w:t>
      </w:r>
      <w:r w:rsidRPr="00D853EF">
        <w:rPr>
          <w:rFonts w:cs="Arial" w:hint="cs"/>
          <w:rtl/>
        </w:rPr>
        <w:t>נר</w:t>
      </w:r>
      <w:r w:rsidRPr="00D853EF">
        <w:rPr>
          <w:rFonts w:cs="Arial"/>
          <w:rtl/>
        </w:rPr>
        <w:t xml:space="preserve"> </w:t>
      </w:r>
      <w:r w:rsidRPr="00D853EF">
        <w:rPr>
          <w:rFonts w:cs="Arial" w:hint="cs"/>
          <w:rtl/>
        </w:rPr>
        <w:t>ביתו</w:t>
      </w:r>
      <w:r w:rsidRPr="00D853EF">
        <w:rPr>
          <w:rFonts w:cs="Arial"/>
          <w:rtl/>
        </w:rPr>
        <w:t xml:space="preserve"> </w:t>
      </w:r>
      <w:r w:rsidRPr="00D853EF">
        <w:rPr>
          <w:rFonts w:cs="Arial" w:hint="cs"/>
          <w:rtl/>
        </w:rPr>
        <w:t>וקידוש</w:t>
      </w:r>
      <w:r w:rsidRPr="00D853EF">
        <w:rPr>
          <w:rFonts w:cs="Arial"/>
          <w:rtl/>
        </w:rPr>
        <w:t xml:space="preserve"> </w:t>
      </w:r>
      <w:r w:rsidRPr="00D853EF">
        <w:rPr>
          <w:rFonts w:cs="Arial" w:hint="cs"/>
          <w:rtl/>
        </w:rPr>
        <w:t>היום</w:t>
      </w:r>
      <w:r w:rsidRPr="00D853EF">
        <w:rPr>
          <w:rFonts w:cs="Arial"/>
          <w:rtl/>
        </w:rPr>
        <w:t xml:space="preserve"> - </w:t>
      </w:r>
      <w:r w:rsidRPr="00D853EF">
        <w:rPr>
          <w:rFonts w:cs="Arial" w:hint="cs"/>
          <w:rtl/>
        </w:rPr>
        <w:t>נר</w:t>
      </w:r>
      <w:r w:rsidRPr="00D853EF">
        <w:rPr>
          <w:rFonts w:cs="Arial"/>
          <w:rtl/>
        </w:rPr>
        <w:t xml:space="preserve"> </w:t>
      </w:r>
      <w:r w:rsidRPr="00D853EF">
        <w:rPr>
          <w:rFonts w:cs="Arial" w:hint="cs"/>
          <w:rtl/>
        </w:rPr>
        <w:t>ביתו</w:t>
      </w:r>
      <w:r w:rsidRPr="00D853EF">
        <w:rPr>
          <w:rFonts w:cs="Arial"/>
          <w:rtl/>
        </w:rPr>
        <w:t xml:space="preserve"> </w:t>
      </w:r>
      <w:r w:rsidRPr="00D853EF">
        <w:rPr>
          <w:rFonts w:cs="Arial" w:hint="cs"/>
          <w:rtl/>
        </w:rPr>
        <w:t>עדיף</w:t>
      </w:r>
      <w:r w:rsidRPr="00D853EF">
        <w:rPr>
          <w:rFonts w:cs="Arial"/>
          <w:rtl/>
        </w:rPr>
        <w:t xml:space="preserve">, </w:t>
      </w:r>
      <w:r w:rsidRPr="00D853EF">
        <w:rPr>
          <w:rFonts w:cs="Arial" w:hint="cs"/>
          <w:rtl/>
        </w:rPr>
        <w:t>משום</w:t>
      </w:r>
      <w:r w:rsidRPr="00D853EF">
        <w:rPr>
          <w:rFonts w:cs="Arial"/>
          <w:rtl/>
        </w:rPr>
        <w:t xml:space="preserve"> </w:t>
      </w:r>
      <w:r w:rsidRPr="00D853EF">
        <w:rPr>
          <w:rFonts w:cs="Arial" w:hint="cs"/>
          <w:rtl/>
        </w:rPr>
        <w:t>שלום</w:t>
      </w:r>
      <w:r w:rsidRPr="00D853EF">
        <w:rPr>
          <w:rFonts w:cs="Arial"/>
          <w:rtl/>
        </w:rPr>
        <w:t xml:space="preserve"> </w:t>
      </w:r>
      <w:r w:rsidRPr="00D853EF">
        <w:rPr>
          <w:rFonts w:cs="Arial" w:hint="cs"/>
          <w:rtl/>
        </w:rPr>
        <w:t>ביתו</w:t>
      </w:r>
      <w:r w:rsidRPr="00D853EF">
        <w:rPr>
          <w:rFonts w:cs="Arial"/>
          <w:rtl/>
        </w:rPr>
        <w:t>.</w:t>
      </w:r>
    </w:p>
    <w:p w14:paraId="472D6959" w14:textId="77777777" w:rsidR="004B2E7C" w:rsidRPr="008D71D3" w:rsidRDefault="004B2E7C" w:rsidP="00434A6A">
      <w:pPr>
        <w:rPr>
          <w:u w:val="single"/>
          <w:rtl/>
        </w:rPr>
      </w:pPr>
      <w:r w:rsidRPr="008D71D3">
        <w:rPr>
          <w:rFonts w:hint="cs"/>
          <w:u w:val="single"/>
          <w:rtl/>
        </w:rPr>
        <w:t>מי שאין ידו משגת לקנות נר שבת ויין/נר חנוכה:</w:t>
      </w:r>
    </w:p>
    <w:p w14:paraId="342F5AB7" w14:textId="77777777" w:rsidR="004B2E7C" w:rsidRDefault="004B2E7C" w:rsidP="00FF2D21">
      <w:pPr>
        <w:pStyle w:val="aa"/>
        <w:numPr>
          <w:ilvl w:val="0"/>
          <w:numId w:val="87"/>
        </w:numPr>
      </w:pPr>
      <w:r>
        <w:rPr>
          <w:rFonts w:cs="Arial" w:hint="cs"/>
          <w:rtl/>
        </w:rPr>
        <w:t xml:space="preserve">טור- </w:t>
      </w:r>
      <w:r w:rsidRPr="0075388A">
        <w:rPr>
          <w:rFonts w:cs="Arial" w:hint="cs"/>
          <w:rtl/>
        </w:rPr>
        <w:t>ואם</w:t>
      </w:r>
      <w:r w:rsidRPr="0075388A">
        <w:rPr>
          <w:rFonts w:cs="Arial"/>
          <w:rtl/>
        </w:rPr>
        <w:t xml:space="preserve"> </w:t>
      </w:r>
      <w:r w:rsidRPr="0075388A">
        <w:rPr>
          <w:rFonts w:cs="Arial" w:hint="cs"/>
          <w:rtl/>
        </w:rPr>
        <w:t>אין</w:t>
      </w:r>
      <w:r w:rsidRPr="0075388A">
        <w:rPr>
          <w:rFonts w:cs="Arial"/>
          <w:rtl/>
        </w:rPr>
        <w:t xml:space="preserve"> </w:t>
      </w:r>
      <w:r w:rsidRPr="0075388A">
        <w:rPr>
          <w:rFonts w:cs="Arial" w:hint="cs"/>
          <w:rtl/>
        </w:rPr>
        <w:t>ידו</w:t>
      </w:r>
      <w:r w:rsidRPr="0075388A">
        <w:rPr>
          <w:rFonts w:cs="Arial"/>
          <w:rtl/>
        </w:rPr>
        <w:t xml:space="preserve"> </w:t>
      </w:r>
      <w:r w:rsidRPr="0075388A">
        <w:rPr>
          <w:rFonts w:cs="Arial" w:hint="cs"/>
          <w:rtl/>
        </w:rPr>
        <w:t>משגת</w:t>
      </w:r>
      <w:r w:rsidRPr="0075388A">
        <w:rPr>
          <w:rFonts w:cs="Arial"/>
          <w:rtl/>
        </w:rPr>
        <w:t xml:space="preserve"> </w:t>
      </w:r>
      <w:r w:rsidRPr="0075388A">
        <w:rPr>
          <w:rFonts w:cs="Arial" w:hint="cs"/>
          <w:rtl/>
        </w:rPr>
        <w:t>לקנות</w:t>
      </w:r>
      <w:r w:rsidRPr="0075388A">
        <w:rPr>
          <w:rFonts w:cs="Arial"/>
          <w:rtl/>
        </w:rPr>
        <w:t xml:space="preserve"> </w:t>
      </w:r>
      <w:r w:rsidRPr="0075388A">
        <w:rPr>
          <w:rFonts w:cs="Arial" w:hint="cs"/>
          <w:rtl/>
        </w:rPr>
        <w:t>נר</w:t>
      </w:r>
      <w:r w:rsidRPr="0075388A">
        <w:rPr>
          <w:rFonts w:cs="Arial"/>
          <w:rtl/>
        </w:rPr>
        <w:t xml:space="preserve"> </w:t>
      </w:r>
      <w:r w:rsidRPr="0075388A">
        <w:rPr>
          <w:rFonts w:cs="Arial" w:hint="cs"/>
          <w:rtl/>
        </w:rPr>
        <w:t>לשבת</w:t>
      </w:r>
      <w:r w:rsidRPr="0075388A">
        <w:rPr>
          <w:rFonts w:cs="Arial"/>
          <w:rtl/>
        </w:rPr>
        <w:t xml:space="preserve"> </w:t>
      </w:r>
      <w:r w:rsidRPr="0075388A">
        <w:rPr>
          <w:rFonts w:cs="Arial" w:hint="cs"/>
          <w:rtl/>
        </w:rPr>
        <w:t>ונר</w:t>
      </w:r>
      <w:r w:rsidRPr="0075388A">
        <w:rPr>
          <w:rFonts w:cs="Arial"/>
          <w:rtl/>
        </w:rPr>
        <w:t xml:space="preserve"> </w:t>
      </w:r>
      <w:r w:rsidRPr="0075388A">
        <w:rPr>
          <w:rFonts w:cs="Arial" w:hint="cs"/>
          <w:rtl/>
        </w:rPr>
        <w:t>לחנוכה</w:t>
      </w:r>
      <w:r w:rsidRPr="0075388A">
        <w:rPr>
          <w:rFonts w:cs="Arial"/>
          <w:rtl/>
        </w:rPr>
        <w:t xml:space="preserve"> </w:t>
      </w:r>
      <w:r w:rsidRPr="0075388A">
        <w:rPr>
          <w:rFonts w:cs="Arial" w:hint="cs"/>
          <w:rtl/>
        </w:rPr>
        <w:t>של</w:t>
      </w:r>
      <w:r w:rsidRPr="0075388A">
        <w:rPr>
          <w:rFonts w:cs="Arial"/>
          <w:rtl/>
        </w:rPr>
        <w:t xml:space="preserve"> </w:t>
      </w:r>
      <w:r w:rsidRPr="0075388A">
        <w:rPr>
          <w:rFonts w:cs="Arial" w:hint="cs"/>
          <w:rtl/>
        </w:rPr>
        <w:t>שבת</w:t>
      </w:r>
      <w:r w:rsidRPr="0075388A">
        <w:rPr>
          <w:rFonts w:cs="Arial"/>
          <w:rtl/>
        </w:rPr>
        <w:t xml:space="preserve"> </w:t>
      </w:r>
      <w:r w:rsidRPr="0075388A">
        <w:rPr>
          <w:rFonts w:cs="Arial" w:hint="cs"/>
          <w:rtl/>
        </w:rPr>
        <w:t>קודמת</w:t>
      </w:r>
      <w:r w:rsidRPr="0075388A">
        <w:rPr>
          <w:rFonts w:cs="Arial"/>
          <w:rtl/>
        </w:rPr>
        <w:t xml:space="preserve"> </w:t>
      </w:r>
      <w:r w:rsidRPr="0075388A">
        <w:rPr>
          <w:rFonts w:cs="Arial" w:hint="cs"/>
          <w:rtl/>
        </w:rPr>
        <w:t>וכן</w:t>
      </w:r>
      <w:r w:rsidRPr="0075388A">
        <w:rPr>
          <w:rFonts w:cs="Arial"/>
          <w:rtl/>
        </w:rPr>
        <w:t xml:space="preserve"> </w:t>
      </w:r>
      <w:r w:rsidRPr="0075388A">
        <w:rPr>
          <w:rFonts w:cs="Arial" w:hint="cs"/>
          <w:rtl/>
        </w:rPr>
        <w:t>אם</w:t>
      </w:r>
      <w:r w:rsidRPr="0075388A">
        <w:rPr>
          <w:rFonts w:cs="Arial"/>
          <w:rtl/>
        </w:rPr>
        <w:t xml:space="preserve"> </w:t>
      </w:r>
      <w:r w:rsidRPr="0075388A">
        <w:rPr>
          <w:rFonts w:cs="Arial" w:hint="cs"/>
          <w:rtl/>
        </w:rPr>
        <w:t>אין</w:t>
      </w:r>
      <w:r w:rsidRPr="0075388A">
        <w:rPr>
          <w:rFonts w:cs="Arial"/>
          <w:rtl/>
        </w:rPr>
        <w:t xml:space="preserve"> </w:t>
      </w:r>
      <w:r w:rsidRPr="0075388A">
        <w:rPr>
          <w:rFonts w:cs="Arial" w:hint="cs"/>
          <w:rtl/>
        </w:rPr>
        <w:t>ידו</w:t>
      </w:r>
      <w:r w:rsidRPr="0075388A">
        <w:rPr>
          <w:rFonts w:cs="Arial"/>
          <w:rtl/>
        </w:rPr>
        <w:t xml:space="preserve"> </w:t>
      </w:r>
      <w:r w:rsidRPr="0075388A">
        <w:rPr>
          <w:rFonts w:cs="Arial" w:hint="cs"/>
          <w:rtl/>
        </w:rPr>
        <w:t>משגת</w:t>
      </w:r>
      <w:r w:rsidRPr="0075388A">
        <w:rPr>
          <w:rFonts w:cs="Arial"/>
          <w:rtl/>
        </w:rPr>
        <w:t xml:space="preserve"> </w:t>
      </w:r>
      <w:r w:rsidRPr="0075388A">
        <w:rPr>
          <w:rFonts w:cs="Arial" w:hint="cs"/>
          <w:rtl/>
        </w:rPr>
        <w:t>לקנות</w:t>
      </w:r>
      <w:r w:rsidRPr="0075388A">
        <w:rPr>
          <w:rFonts w:cs="Arial"/>
          <w:rtl/>
        </w:rPr>
        <w:t xml:space="preserve"> </w:t>
      </w:r>
      <w:r w:rsidRPr="0075388A">
        <w:rPr>
          <w:rFonts w:cs="Arial" w:hint="cs"/>
          <w:rtl/>
        </w:rPr>
        <w:t>נר</w:t>
      </w:r>
      <w:r w:rsidRPr="0075388A">
        <w:rPr>
          <w:rFonts w:cs="Arial"/>
          <w:rtl/>
        </w:rPr>
        <w:t xml:space="preserve"> </w:t>
      </w:r>
      <w:r w:rsidRPr="0075388A">
        <w:rPr>
          <w:rFonts w:cs="Arial" w:hint="cs"/>
          <w:rtl/>
        </w:rPr>
        <w:t>ויין</w:t>
      </w:r>
      <w:r w:rsidRPr="0075388A">
        <w:rPr>
          <w:rFonts w:cs="Arial"/>
          <w:rtl/>
        </w:rPr>
        <w:t xml:space="preserve"> </w:t>
      </w:r>
      <w:r w:rsidRPr="0075388A">
        <w:rPr>
          <w:rFonts w:cs="Arial" w:hint="cs"/>
          <w:rtl/>
        </w:rPr>
        <w:t>לקדוש</w:t>
      </w:r>
      <w:r w:rsidRPr="0075388A">
        <w:rPr>
          <w:rFonts w:cs="Arial"/>
          <w:rtl/>
        </w:rPr>
        <w:t xml:space="preserve"> </w:t>
      </w:r>
      <w:r w:rsidRPr="0075388A">
        <w:rPr>
          <w:rFonts w:cs="Arial" w:hint="cs"/>
          <w:rtl/>
        </w:rPr>
        <w:t>נר</w:t>
      </w:r>
      <w:r w:rsidRPr="0075388A">
        <w:rPr>
          <w:rFonts w:cs="Arial"/>
          <w:rtl/>
        </w:rPr>
        <w:t xml:space="preserve"> </w:t>
      </w:r>
      <w:r w:rsidRPr="0075388A">
        <w:rPr>
          <w:rFonts w:cs="Arial" w:hint="cs"/>
          <w:rtl/>
        </w:rPr>
        <w:t>קודם</w:t>
      </w:r>
      <w:r w:rsidRPr="0075388A">
        <w:rPr>
          <w:rFonts w:cs="Arial"/>
          <w:rtl/>
        </w:rPr>
        <w:t xml:space="preserve"> </w:t>
      </w:r>
      <w:r w:rsidRPr="0075388A">
        <w:rPr>
          <w:rFonts w:cs="Arial" w:hint="cs"/>
          <w:rtl/>
        </w:rPr>
        <w:t>משום</w:t>
      </w:r>
      <w:r w:rsidRPr="0075388A">
        <w:rPr>
          <w:rFonts w:cs="Arial"/>
          <w:rtl/>
        </w:rPr>
        <w:t xml:space="preserve"> </w:t>
      </w:r>
      <w:r w:rsidRPr="0075388A">
        <w:rPr>
          <w:rFonts w:cs="Arial" w:hint="cs"/>
          <w:rtl/>
        </w:rPr>
        <w:t>שלום</w:t>
      </w:r>
      <w:r w:rsidRPr="0075388A">
        <w:rPr>
          <w:rFonts w:cs="Arial"/>
          <w:rtl/>
        </w:rPr>
        <w:t xml:space="preserve"> </w:t>
      </w:r>
      <w:r w:rsidRPr="0075388A">
        <w:rPr>
          <w:rFonts w:cs="Arial" w:hint="cs"/>
          <w:rtl/>
        </w:rPr>
        <w:t>ביתו</w:t>
      </w:r>
      <w:r w:rsidRPr="0075388A">
        <w:rPr>
          <w:rFonts w:cs="Arial"/>
          <w:rtl/>
        </w:rPr>
        <w:t xml:space="preserve"> </w:t>
      </w:r>
      <w:r w:rsidRPr="0075388A">
        <w:rPr>
          <w:rFonts w:cs="Arial" w:hint="cs"/>
          <w:rtl/>
        </w:rPr>
        <w:t>דאין</w:t>
      </w:r>
      <w:r w:rsidRPr="0075388A">
        <w:rPr>
          <w:rFonts w:cs="Arial"/>
          <w:rtl/>
        </w:rPr>
        <w:t xml:space="preserve"> </w:t>
      </w:r>
      <w:r w:rsidRPr="0075388A">
        <w:rPr>
          <w:rFonts w:cs="Arial" w:hint="cs"/>
          <w:rtl/>
        </w:rPr>
        <w:t>שלום</w:t>
      </w:r>
      <w:r w:rsidRPr="0075388A">
        <w:rPr>
          <w:rFonts w:cs="Arial"/>
          <w:rtl/>
        </w:rPr>
        <w:t xml:space="preserve"> </w:t>
      </w:r>
      <w:r w:rsidRPr="0075388A">
        <w:rPr>
          <w:rFonts w:cs="Arial" w:hint="cs"/>
          <w:rtl/>
        </w:rPr>
        <w:t>בבית</w:t>
      </w:r>
      <w:r w:rsidRPr="0075388A">
        <w:rPr>
          <w:rFonts w:cs="Arial"/>
          <w:rtl/>
        </w:rPr>
        <w:t xml:space="preserve"> </w:t>
      </w:r>
      <w:r w:rsidRPr="0075388A">
        <w:rPr>
          <w:rFonts w:cs="Arial" w:hint="cs"/>
          <w:rtl/>
        </w:rPr>
        <w:t>בלא</w:t>
      </w:r>
      <w:r w:rsidRPr="0075388A">
        <w:rPr>
          <w:rFonts w:cs="Arial"/>
          <w:rtl/>
        </w:rPr>
        <w:t xml:space="preserve"> </w:t>
      </w:r>
      <w:r w:rsidRPr="0075388A">
        <w:rPr>
          <w:rFonts w:cs="Arial" w:hint="cs"/>
          <w:rtl/>
        </w:rPr>
        <w:t>נר</w:t>
      </w:r>
      <w:r>
        <w:rPr>
          <w:rFonts w:hint="cs"/>
          <w:rtl/>
        </w:rPr>
        <w:t>.</w:t>
      </w:r>
      <w:r w:rsidRPr="001D2B25">
        <w:rPr>
          <w:rFonts w:cs="Arial" w:hint="cs"/>
          <w:color w:val="E36C0A" w:themeColor="accent6" w:themeShade="BF"/>
          <w:rtl/>
        </w:rPr>
        <w:t xml:space="preserve"> </w:t>
      </w:r>
      <w:r w:rsidRPr="0056384F">
        <w:rPr>
          <w:rFonts w:cs="Arial" w:hint="cs"/>
          <w:color w:val="E36C0A" w:themeColor="accent6" w:themeShade="BF"/>
          <w:rtl/>
        </w:rPr>
        <w:t>(וכ"פ בשו"ע)</w:t>
      </w:r>
    </w:p>
    <w:p w14:paraId="17B80117" w14:textId="77777777" w:rsidR="004B2E7C" w:rsidRPr="008D71D3" w:rsidRDefault="004B2E7C" w:rsidP="00434A6A">
      <w:r w:rsidRPr="008D71D3">
        <w:rPr>
          <w:rFonts w:hint="cs"/>
          <w:u w:val="single"/>
          <w:rtl/>
        </w:rPr>
        <w:t>חיוב יתר על הנשים</w:t>
      </w:r>
      <w:r>
        <w:rPr>
          <w:rFonts w:hint="cs"/>
          <w:u w:val="single"/>
          <w:rtl/>
        </w:rPr>
        <w:t xml:space="preserve"> בהדלקת נר שבת:</w:t>
      </w:r>
    </w:p>
    <w:p w14:paraId="090E8455" w14:textId="77777777" w:rsidR="004B2E7C" w:rsidRPr="0075388A" w:rsidRDefault="004B2E7C" w:rsidP="00FF2D21">
      <w:pPr>
        <w:pStyle w:val="aa"/>
        <w:numPr>
          <w:ilvl w:val="0"/>
          <w:numId w:val="87"/>
        </w:numPr>
        <w:rPr>
          <w:rtl/>
        </w:rPr>
      </w:pPr>
      <w:r>
        <w:rPr>
          <w:rFonts w:cs="Arial" w:hint="cs"/>
          <w:rtl/>
        </w:rPr>
        <w:t xml:space="preserve">טור- </w:t>
      </w:r>
      <w:r w:rsidRPr="00A27DB6">
        <w:rPr>
          <w:rFonts w:cs="Arial" w:hint="cs"/>
          <w:rtl/>
        </w:rPr>
        <w:t>והנשים</w:t>
      </w:r>
      <w:r w:rsidRPr="00A27DB6">
        <w:rPr>
          <w:rFonts w:cs="Arial"/>
          <w:rtl/>
        </w:rPr>
        <w:t xml:space="preserve"> </w:t>
      </w:r>
      <w:r w:rsidRPr="00A27DB6">
        <w:rPr>
          <w:rFonts w:cs="Arial" w:hint="cs"/>
          <w:rtl/>
        </w:rPr>
        <w:t>מוזהרות</w:t>
      </w:r>
      <w:r w:rsidRPr="00A27DB6">
        <w:rPr>
          <w:rFonts w:cs="Arial"/>
          <w:rtl/>
        </w:rPr>
        <w:t xml:space="preserve"> </w:t>
      </w:r>
      <w:r w:rsidRPr="00A27DB6">
        <w:rPr>
          <w:rFonts w:cs="Arial" w:hint="cs"/>
          <w:rtl/>
        </w:rPr>
        <w:t>בו</w:t>
      </w:r>
      <w:r w:rsidRPr="00A27DB6">
        <w:rPr>
          <w:rFonts w:cs="Arial"/>
          <w:rtl/>
        </w:rPr>
        <w:t xml:space="preserve"> </w:t>
      </w:r>
      <w:r w:rsidRPr="00A27DB6">
        <w:rPr>
          <w:rFonts w:cs="Arial" w:hint="cs"/>
          <w:rtl/>
        </w:rPr>
        <w:t>יותר</w:t>
      </w:r>
      <w:r w:rsidRPr="00A27DB6">
        <w:rPr>
          <w:rFonts w:cs="Arial"/>
          <w:rtl/>
        </w:rPr>
        <w:t xml:space="preserve"> </w:t>
      </w:r>
      <w:r w:rsidRPr="00A27DB6">
        <w:rPr>
          <w:rFonts w:cs="Arial" w:hint="cs"/>
          <w:rtl/>
        </w:rPr>
        <w:t>כדאיתא</w:t>
      </w:r>
      <w:r w:rsidRPr="00A27DB6">
        <w:rPr>
          <w:rFonts w:cs="Arial"/>
          <w:rtl/>
        </w:rPr>
        <w:t xml:space="preserve"> </w:t>
      </w:r>
      <w:r w:rsidRPr="00A27DB6">
        <w:rPr>
          <w:rFonts w:cs="Arial" w:hint="cs"/>
          <w:rtl/>
        </w:rPr>
        <w:t>במדרש</w:t>
      </w:r>
      <w:r w:rsidRPr="00A27DB6">
        <w:rPr>
          <w:rFonts w:cs="Arial"/>
          <w:rtl/>
        </w:rPr>
        <w:t xml:space="preserve"> </w:t>
      </w:r>
      <w:r w:rsidRPr="00A27DB6">
        <w:rPr>
          <w:rFonts w:cs="Arial" w:hint="cs"/>
          <w:rtl/>
        </w:rPr>
        <w:t>מפני</w:t>
      </w:r>
      <w:r w:rsidRPr="00A27DB6">
        <w:rPr>
          <w:rFonts w:cs="Arial"/>
          <w:rtl/>
        </w:rPr>
        <w:t xml:space="preserve"> </w:t>
      </w:r>
      <w:r w:rsidRPr="00A27DB6">
        <w:rPr>
          <w:rFonts w:cs="Arial" w:hint="cs"/>
          <w:rtl/>
        </w:rPr>
        <w:t>שכבתה</w:t>
      </w:r>
      <w:r w:rsidRPr="00A27DB6">
        <w:rPr>
          <w:rFonts w:cs="Arial"/>
          <w:rtl/>
        </w:rPr>
        <w:t xml:space="preserve"> </w:t>
      </w:r>
      <w:r w:rsidRPr="00A27DB6">
        <w:rPr>
          <w:rFonts w:cs="Arial" w:hint="cs"/>
          <w:rtl/>
        </w:rPr>
        <w:t>נרו</w:t>
      </w:r>
      <w:r w:rsidRPr="00A27DB6">
        <w:rPr>
          <w:rFonts w:cs="Arial"/>
          <w:rtl/>
        </w:rPr>
        <w:t xml:space="preserve"> </w:t>
      </w:r>
      <w:r w:rsidRPr="00A27DB6">
        <w:rPr>
          <w:rFonts w:cs="Arial" w:hint="cs"/>
          <w:rtl/>
        </w:rPr>
        <w:t>של</w:t>
      </w:r>
      <w:r w:rsidRPr="00A27DB6">
        <w:rPr>
          <w:rFonts w:cs="Arial"/>
          <w:rtl/>
        </w:rPr>
        <w:t xml:space="preserve"> </w:t>
      </w:r>
      <w:r w:rsidRPr="00A27DB6">
        <w:rPr>
          <w:rFonts w:cs="Arial" w:hint="cs"/>
          <w:rtl/>
        </w:rPr>
        <w:t>עולם</w:t>
      </w:r>
      <w:r w:rsidRPr="00A27DB6">
        <w:rPr>
          <w:rFonts w:cs="Arial"/>
          <w:rtl/>
        </w:rPr>
        <w:t xml:space="preserve"> </w:t>
      </w:r>
      <w:r w:rsidRPr="00A27DB6">
        <w:rPr>
          <w:rFonts w:cs="Arial" w:hint="cs"/>
          <w:rtl/>
        </w:rPr>
        <w:t>פירוש</w:t>
      </w:r>
      <w:r w:rsidRPr="00A27DB6">
        <w:rPr>
          <w:rFonts w:cs="Arial"/>
          <w:rtl/>
        </w:rPr>
        <w:t xml:space="preserve"> </w:t>
      </w:r>
      <w:r w:rsidRPr="00A27DB6">
        <w:rPr>
          <w:rFonts w:cs="Arial" w:hint="cs"/>
          <w:rtl/>
        </w:rPr>
        <w:t>גרמה</w:t>
      </w:r>
      <w:r w:rsidRPr="00A27DB6">
        <w:rPr>
          <w:rFonts w:cs="Arial"/>
          <w:rtl/>
        </w:rPr>
        <w:t xml:space="preserve"> </w:t>
      </w:r>
      <w:r w:rsidRPr="00A27DB6">
        <w:rPr>
          <w:rFonts w:cs="Arial" w:hint="cs"/>
          <w:rtl/>
        </w:rPr>
        <w:t>מיתה</w:t>
      </w:r>
      <w:r w:rsidRPr="00A27DB6">
        <w:rPr>
          <w:rFonts w:cs="Arial"/>
          <w:rtl/>
        </w:rPr>
        <w:t xml:space="preserve"> </w:t>
      </w:r>
      <w:r w:rsidRPr="00A27DB6">
        <w:rPr>
          <w:rFonts w:cs="Arial" w:hint="cs"/>
          <w:rtl/>
        </w:rPr>
        <w:t>לאדם</w:t>
      </w:r>
      <w:r w:rsidRPr="00A27DB6">
        <w:rPr>
          <w:rFonts w:cs="Arial"/>
          <w:rtl/>
        </w:rPr>
        <w:t xml:space="preserve"> </w:t>
      </w:r>
      <w:r w:rsidRPr="00A27DB6">
        <w:rPr>
          <w:rFonts w:cs="Arial" w:hint="cs"/>
          <w:rtl/>
        </w:rPr>
        <w:t>הראשון</w:t>
      </w:r>
      <w:r w:rsidRPr="00A27DB6">
        <w:rPr>
          <w:rFonts w:cs="Arial"/>
          <w:rtl/>
        </w:rPr>
        <w:t xml:space="preserve"> </w:t>
      </w:r>
      <w:r w:rsidRPr="00A27DB6">
        <w:rPr>
          <w:rFonts w:cs="Arial" w:hint="cs"/>
          <w:rtl/>
        </w:rPr>
        <w:t>והרמב</w:t>
      </w:r>
      <w:r w:rsidRPr="00A27DB6">
        <w:rPr>
          <w:rFonts w:cs="Arial"/>
          <w:rtl/>
        </w:rPr>
        <w:t>"</w:t>
      </w:r>
      <w:r w:rsidRPr="00A27DB6">
        <w:rPr>
          <w:rFonts w:cs="Arial" w:hint="cs"/>
          <w:rtl/>
        </w:rPr>
        <w:t>ם</w:t>
      </w:r>
      <w:r w:rsidRPr="00A27DB6">
        <w:rPr>
          <w:rFonts w:cs="Arial"/>
          <w:rtl/>
        </w:rPr>
        <w:t xml:space="preserve"> </w:t>
      </w:r>
      <w:r w:rsidRPr="00A27DB6">
        <w:rPr>
          <w:rFonts w:cs="Arial" w:hint="cs"/>
          <w:rtl/>
        </w:rPr>
        <w:t>ז</w:t>
      </w:r>
      <w:r w:rsidRPr="00A27DB6">
        <w:rPr>
          <w:rFonts w:cs="Arial"/>
          <w:rtl/>
        </w:rPr>
        <w:t>"</w:t>
      </w:r>
      <w:r w:rsidRPr="00A27DB6">
        <w:rPr>
          <w:rFonts w:cs="Arial" w:hint="cs"/>
          <w:rtl/>
        </w:rPr>
        <w:t>ל</w:t>
      </w:r>
      <w:r w:rsidRPr="00A27DB6">
        <w:rPr>
          <w:rFonts w:cs="Arial"/>
          <w:rtl/>
        </w:rPr>
        <w:t xml:space="preserve"> </w:t>
      </w:r>
      <w:r w:rsidRPr="00A27DB6">
        <w:rPr>
          <w:rFonts w:cs="Arial" w:hint="cs"/>
          <w:rtl/>
        </w:rPr>
        <w:t>נתן</w:t>
      </w:r>
      <w:r w:rsidRPr="00A27DB6">
        <w:rPr>
          <w:rFonts w:cs="Arial"/>
          <w:rtl/>
        </w:rPr>
        <w:t xml:space="preserve"> </w:t>
      </w:r>
      <w:r w:rsidRPr="00A27DB6">
        <w:rPr>
          <w:rFonts w:cs="Arial" w:hint="cs"/>
          <w:rtl/>
        </w:rPr>
        <w:t>טעם</w:t>
      </w:r>
      <w:r w:rsidRPr="00A27DB6">
        <w:rPr>
          <w:rFonts w:cs="Arial"/>
          <w:rtl/>
        </w:rPr>
        <w:t xml:space="preserve"> </w:t>
      </w:r>
      <w:r w:rsidRPr="00A27DB6">
        <w:rPr>
          <w:rFonts w:cs="Arial" w:hint="cs"/>
          <w:rtl/>
        </w:rPr>
        <w:t>לדבר</w:t>
      </w:r>
      <w:r w:rsidRPr="00A27DB6">
        <w:rPr>
          <w:rFonts w:cs="Arial"/>
          <w:rtl/>
        </w:rPr>
        <w:t xml:space="preserve"> </w:t>
      </w:r>
      <w:r w:rsidRPr="00A27DB6">
        <w:rPr>
          <w:rFonts w:cs="Arial" w:hint="cs"/>
          <w:rtl/>
        </w:rPr>
        <w:t>מפני</w:t>
      </w:r>
      <w:r w:rsidRPr="00A27DB6">
        <w:rPr>
          <w:rFonts w:cs="Arial"/>
          <w:rtl/>
        </w:rPr>
        <w:t xml:space="preserve"> </w:t>
      </w:r>
      <w:r w:rsidRPr="00A27DB6">
        <w:rPr>
          <w:rFonts w:cs="Arial" w:hint="cs"/>
          <w:rtl/>
        </w:rPr>
        <w:t>שמצויות</w:t>
      </w:r>
      <w:r w:rsidRPr="00A27DB6">
        <w:rPr>
          <w:rFonts w:cs="Arial"/>
          <w:rtl/>
        </w:rPr>
        <w:t xml:space="preserve"> </w:t>
      </w:r>
      <w:r w:rsidRPr="00A27DB6">
        <w:rPr>
          <w:rFonts w:cs="Arial" w:hint="cs"/>
          <w:rtl/>
        </w:rPr>
        <w:t>בבית</w:t>
      </w:r>
      <w:r w:rsidRPr="00A27DB6">
        <w:rPr>
          <w:rFonts w:cs="Arial"/>
          <w:rtl/>
        </w:rPr>
        <w:t xml:space="preserve"> </w:t>
      </w:r>
      <w:r w:rsidRPr="00A27DB6">
        <w:rPr>
          <w:rFonts w:cs="Arial" w:hint="cs"/>
          <w:rtl/>
        </w:rPr>
        <w:t>ועוסקות</w:t>
      </w:r>
      <w:r w:rsidRPr="00A27DB6">
        <w:rPr>
          <w:rFonts w:cs="Arial"/>
          <w:rtl/>
        </w:rPr>
        <w:t xml:space="preserve"> </w:t>
      </w:r>
      <w:r w:rsidRPr="00A27DB6">
        <w:rPr>
          <w:rFonts w:cs="Arial" w:hint="cs"/>
          <w:rtl/>
        </w:rPr>
        <w:t>בצרכי</w:t>
      </w:r>
      <w:r w:rsidRPr="00A27DB6">
        <w:rPr>
          <w:rFonts w:cs="Arial"/>
          <w:rtl/>
        </w:rPr>
        <w:t xml:space="preserve"> </w:t>
      </w:r>
      <w:r w:rsidRPr="00A27DB6">
        <w:rPr>
          <w:rFonts w:cs="Arial" w:hint="cs"/>
          <w:rtl/>
        </w:rPr>
        <w:t>הבית</w:t>
      </w:r>
      <w:r>
        <w:rPr>
          <w:rFonts w:hint="cs"/>
          <w:rtl/>
        </w:rPr>
        <w:t>.</w:t>
      </w:r>
      <w:r w:rsidRPr="001D2B25">
        <w:rPr>
          <w:rFonts w:cs="Arial" w:hint="cs"/>
          <w:color w:val="E36C0A" w:themeColor="accent6" w:themeShade="BF"/>
          <w:rtl/>
        </w:rPr>
        <w:t xml:space="preserve"> </w:t>
      </w:r>
      <w:r w:rsidRPr="0056384F">
        <w:rPr>
          <w:rFonts w:cs="Arial" w:hint="cs"/>
          <w:color w:val="E36C0A" w:themeColor="accent6" w:themeShade="BF"/>
          <w:rtl/>
        </w:rPr>
        <w:t>(וכ"פ בשו"ע)</w:t>
      </w:r>
    </w:p>
    <w:p w14:paraId="0CF77478"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0C3BCCEE" w14:textId="77777777" w:rsidR="004B2E7C" w:rsidRDefault="004B2E7C" w:rsidP="00434A6A">
      <w:pPr>
        <w:rPr>
          <w:rFonts w:asciiTheme="minorBidi" w:hAnsiTheme="minorBidi"/>
          <w:rtl/>
        </w:rPr>
      </w:pPr>
      <w:r w:rsidRPr="00CC2350">
        <w:rPr>
          <w:rFonts w:asciiTheme="minorBidi" w:hAnsiTheme="minorBidi" w:cs="Arial"/>
          <w:rtl/>
        </w:rPr>
        <w:t xml:space="preserve">הנשים מוזהרות בו יותר, מפני שמצויות בבית ועוסקות בצרכי הבית. אם אין ידו משגת לקנות נר לשבת ולקידוש היום, נר שבת קודם. וכן אם אין ידו משגת לקנות נר לשבת ונר לחנוכה, נר שבת קודם משום שלום הבית, דאין שלום בבית בלא נר. </w:t>
      </w:r>
      <w:r>
        <w:rPr>
          <w:rFonts w:asciiTheme="minorBidi" w:hAnsiTheme="minorBidi" w:cs="Arial" w:hint="cs"/>
          <w:sz w:val="18"/>
          <w:szCs w:val="18"/>
          <w:rtl/>
        </w:rPr>
        <w:t xml:space="preserve">[הגה] </w:t>
      </w:r>
      <w:r w:rsidRPr="008D71D3">
        <w:rPr>
          <w:rFonts w:asciiTheme="minorBidi" w:hAnsiTheme="minorBidi" w:cs="Arial"/>
          <w:sz w:val="18"/>
          <w:szCs w:val="18"/>
          <w:rtl/>
        </w:rPr>
        <w:t>אם אין ידו משגת לקנות יין לקידוש ולקנות נר חנוכה ע"ל סימן תרע"ה.</w:t>
      </w:r>
      <w:r w:rsidRPr="00CC2350">
        <w:rPr>
          <w:rFonts w:asciiTheme="minorBidi" w:hAnsiTheme="minorBidi" w:cs="Arial"/>
          <w:rtl/>
        </w:rPr>
        <w:t xml:space="preserve"> </w:t>
      </w:r>
    </w:p>
    <w:p w14:paraId="6D3175D0" w14:textId="77777777" w:rsidR="004B2E7C" w:rsidRPr="00CC2350" w:rsidRDefault="004B2E7C" w:rsidP="00434A6A">
      <w:pPr>
        <w:rPr>
          <w:rFonts w:asciiTheme="minorBidi" w:hAnsiTheme="minorBidi"/>
          <w:rtl/>
        </w:rPr>
      </w:pPr>
    </w:p>
    <w:p w14:paraId="1D81A4FA" w14:textId="77777777" w:rsidR="004B2E7C" w:rsidRDefault="004B2E7C" w:rsidP="00434A6A">
      <w:pPr>
        <w:pStyle w:val="2"/>
        <w:rPr>
          <w:rtl/>
        </w:rPr>
      </w:pPr>
      <w:r w:rsidRPr="00CC2350">
        <w:rPr>
          <w:rtl/>
        </w:rPr>
        <w:t>סעיף ד</w:t>
      </w:r>
      <w:r>
        <w:rPr>
          <w:rFonts w:hint="cs"/>
          <w:rtl/>
        </w:rPr>
        <w:t>: הקדמה/איחור בהדלקת נר שבת.</w:t>
      </w:r>
    </w:p>
    <w:p w14:paraId="11A2BA67" w14:textId="77777777" w:rsidR="004B2E7C" w:rsidRDefault="004B2E7C" w:rsidP="00434A6A">
      <w:pPr>
        <w:rPr>
          <w:rtl/>
        </w:rPr>
      </w:pPr>
      <w:r w:rsidRPr="00565331">
        <w:rPr>
          <w:rFonts w:cs="Arial" w:hint="cs"/>
          <w:b/>
          <w:bCs/>
          <w:rtl/>
        </w:rPr>
        <w:t xml:space="preserve">שבת </w:t>
      </w:r>
      <w:r w:rsidRPr="00762875">
        <w:rPr>
          <w:rFonts w:cs="Arial" w:hint="cs"/>
          <w:b/>
          <w:bCs/>
          <w:sz w:val="16"/>
          <w:szCs w:val="16"/>
          <w:rtl/>
        </w:rPr>
        <w:t xml:space="preserve">(פ' </w:t>
      </w:r>
      <w:r>
        <w:rPr>
          <w:rFonts w:cs="Arial" w:hint="cs"/>
          <w:b/>
          <w:bCs/>
          <w:sz w:val="16"/>
          <w:szCs w:val="16"/>
          <w:rtl/>
        </w:rPr>
        <w:t>במה מדליקין</w:t>
      </w:r>
      <w:r w:rsidRPr="00762875">
        <w:rPr>
          <w:rFonts w:cs="Arial" w:hint="cs"/>
          <w:b/>
          <w:bCs/>
          <w:sz w:val="16"/>
          <w:szCs w:val="16"/>
          <w:rtl/>
        </w:rPr>
        <w:t xml:space="preserve">) </w:t>
      </w:r>
      <w:r>
        <w:rPr>
          <w:rFonts w:cs="Arial" w:hint="cs"/>
          <w:b/>
          <w:bCs/>
          <w:rtl/>
        </w:rPr>
        <w:t>כג</w:t>
      </w:r>
      <w:r w:rsidRPr="00565331">
        <w:rPr>
          <w:rFonts w:cs="Arial" w:hint="cs"/>
          <w:b/>
          <w:bCs/>
          <w:rtl/>
        </w:rPr>
        <w:t xml:space="preserve"> ע"</w:t>
      </w:r>
      <w:r>
        <w:rPr>
          <w:rFonts w:cs="Arial" w:hint="cs"/>
          <w:b/>
          <w:bCs/>
          <w:rtl/>
        </w:rPr>
        <w:t>ב</w:t>
      </w:r>
      <w:r w:rsidRPr="00565331">
        <w:rPr>
          <w:rFonts w:cs="Arial" w:hint="cs"/>
          <w:b/>
          <w:bCs/>
          <w:rtl/>
        </w:rPr>
        <w:t>:</w:t>
      </w:r>
      <w:r>
        <w:rPr>
          <w:rFonts w:cs="Arial" w:hint="cs"/>
          <w:rtl/>
        </w:rPr>
        <w:t xml:space="preserve"> </w:t>
      </w:r>
      <w:r w:rsidRPr="00B50532">
        <w:rPr>
          <w:rFonts w:cs="Arial" w:hint="cs"/>
          <w:rtl/>
        </w:rPr>
        <w:t>דביתהו</w:t>
      </w:r>
      <w:r w:rsidRPr="00B50532">
        <w:rPr>
          <w:rFonts w:cs="Arial"/>
          <w:rtl/>
        </w:rPr>
        <w:t xml:space="preserve"> </w:t>
      </w:r>
      <w:r w:rsidRPr="00B50532">
        <w:rPr>
          <w:rFonts w:cs="Arial" w:hint="cs"/>
          <w:rtl/>
        </w:rPr>
        <w:t>דרב</w:t>
      </w:r>
      <w:r w:rsidRPr="00B50532">
        <w:rPr>
          <w:rFonts w:cs="Arial"/>
          <w:rtl/>
        </w:rPr>
        <w:t xml:space="preserve"> </w:t>
      </w:r>
      <w:r w:rsidRPr="00B50532">
        <w:rPr>
          <w:rFonts w:cs="Arial" w:hint="cs"/>
          <w:rtl/>
        </w:rPr>
        <w:t>יוסף</w:t>
      </w:r>
      <w:r w:rsidRPr="00B50532">
        <w:rPr>
          <w:rFonts w:cs="Arial"/>
          <w:rtl/>
        </w:rPr>
        <w:t xml:space="preserve"> </w:t>
      </w:r>
      <w:r w:rsidRPr="00B50532">
        <w:rPr>
          <w:rFonts w:cs="Arial" w:hint="cs"/>
          <w:rtl/>
        </w:rPr>
        <w:t>הות</w:t>
      </w:r>
      <w:r w:rsidRPr="00B50532">
        <w:rPr>
          <w:rFonts w:cs="Arial"/>
          <w:rtl/>
        </w:rPr>
        <w:t xml:space="preserve"> </w:t>
      </w:r>
      <w:r w:rsidRPr="00B50532">
        <w:rPr>
          <w:rFonts w:cs="Arial" w:hint="cs"/>
          <w:rtl/>
        </w:rPr>
        <w:t>מאחרא</w:t>
      </w:r>
      <w:r w:rsidRPr="00B50532">
        <w:rPr>
          <w:rFonts w:cs="Arial"/>
          <w:rtl/>
        </w:rPr>
        <w:t xml:space="preserve"> </w:t>
      </w:r>
      <w:r w:rsidRPr="00B50532">
        <w:rPr>
          <w:rFonts w:cs="Arial" w:hint="cs"/>
          <w:rtl/>
        </w:rPr>
        <w:t>ומדלקת</w:t>
      </w:r>
      <w:r w:rsidRPr="00B50532">
        <w:rPr>
          <w:rFonts w:cs="Arial"/>
          <w:rtl/>
        </w:rPr>
        <w:t xml:space="preserve"> </w:t>
      </w:r>
      <w:r w:rsidRPr="00B50532">
        <w:rPr>
          <w:rFonts w:cs="Arial" w:hint="cs"/>
          <w:rtl/>
        </w:rPr>
        <w:t>לה</w:t>
      </w:r>
      <w:r w:rsidRPr="00B50532">
        <w:rPr>
          <w:rFonts w:cs="Arial"/>
          <w:rtl/>
        </w:rPr>
        <w:t xml:space="preserve">, </w:t>
      </w:r>
      <w:r w:rsidRPr="00B50532">
        <w:rPr>
          <w:rFonts w:cs="Arial" w:hint="cs"/>
          <w:rtl/>
        </w:rPr>
        <w:t>אמר</w:t>
      </w:r>
      <w:r w:rsidRPr="00B50532">
        <w:rPr>
          <w:rFonts w:cs="Arial"/>
          <w:rtl/>
        </w:rPr>
        <w:t xml:space="preserve"> </w:t>
      </w:r>
      <w:r w:rsidRPr="00B50532">
        <w:rPr>
          <w:rFonts w:cs="Arial" w:hint="cs"/>
          <w:rtl/>
        </w:rPr>
        <w:t>לה</w:t>
      </w:r>
      <w:r w:rsidRPr="00B50532">
        <w:rPr>
          <w:rFonts w:cs="Arial"/>
          <w:rtl/>
        </w:rPr>
        <w:t xml:space="preserve"> </w:t>
      </w:r>
      <w:r w:rsidRPr="00B50532">
        <w:rPr>
          <w:rFonts w:cs="Arial" w:hint="cs"/>
          <w:rtl/>
        </w:rPr>
        <w:t>רב</w:t>
      </w:r>
      <w:r w:rsidRPr="00B50532">
        <w:rPr>
          <w:rFonts w:cs="Arial"/>
          <w:rtl/>
        </w:rPr>
        <w:t xml:space="preserve"> </w:t>
      </w:r>
      <w:r w:rsidRPr="00B50532">
        <w:rPr>
          <w:rFonts w:cs="Arial" w:hint="cs"/>
          <w:rtl/>
        </w:rPr>
        <w:t>יוסף</w:t>
      </w:r>
      <w:r w:rsidRPr="00B50532">
        <w:rPr>
          <w:rFonts w:cs="Arial"/>
          <w:rtl/>
        </w:rPr>
        <w:t xml:space="preserve">: </w:t>
      </w:r>
      <w:r w:rsidRPr="00B50532">
        <w:rPr>
          <w:rFonts w:cs="Arial" w:hint="cs"/>
          <w:rtl/>
        </w:rPr>
        <w:t>תניא</w:t>
      </w:r>
      <w:r w:rsidRPr="00B50532">
        <w:rPr>
          <w:rFonts w:cs="Arial"/>
          <w:rtl/>
        </w:rPr>
        <w:t xml:space="preserve"> </w:t>
      </w:r>
      <w:r w:rsidRPr="00B50532">
        <w:rPr>
          <w:rFonts w:cs="Arial" w:hint="cs"/>
          <w:rtl/>
        </w:rPr>
        <w:t>לא</w:t>
      </w:r>
      <w:r w:rsidRPr="00B50532">
        <w:rPr>
          <w:rFonts w:cs="Arial"/>
          <w:rtl/>
        </w:rPr>
        <w:t xml:space="preserve"> </w:t>
      </w:r>
      <w:r w:rsidRPr="00B50532">
        <w:rPr>
          <w:rFonts w:cs="Arial" w:hint="cs"/>
          <w:rtl/>
        </w:rPr>
        <w:t>ימיש</w:t>
      </w:r>
      <w:r w:rsidRPr="00B50532">
        <w:rPr>
          <w:rFonts w:cs="Arial"/>
          <w:rtl/>
        </w:rPr>
        <w:t xml:space="preserve"> </w:t>
      </w:r>
      <w:r w:rsidRPr="00B50532">
        <w:rPr>
          <w:rFonts w:cs="Arial" w:hint="cs"/>
          <w:rtl/>
        </w:rPr>
        <w:t>עמוד</w:t>
      </w:r>
      <w:r w:rsidRPr="00B50532">
        <w:rPr>
          <w:rFonts w:cs="Arial"/>
          <w:rtl/>
        </w:rPr>
        <w:t xml:space="preserve"> </w:t>
      </w:r>
      <w:r w:rsidRPr="00B50532">
        <w:rPr>
          <w:rFonts w:cs="Arial" w:hint="cs"/>
          <w:rtl/>
        </w:rPr>
        <w:t>הענן</w:t>
      </w:r>
      <w:r w:rsidRPr="00B50532">
        <w:rPr>
          <w:rFonts w:cs="Arial"/>
          <w:rtl/>
        </w:rPr>
        <w:t xml:space="preserve"> </w:t>
      </w:r>
      <w:r w:rsidRPr="00B50532">
        <w:rPr>
          <w:rFonts w:cs="Arial" w:hint="cs"/>
          <w:rtl/>
        </w:rPr>
        <w:t>יומם</w:t>
      </w:r>
      <w:r w:rsidRPr="00B50532">
        <w:rPr>
          <w:rFonts w:cs="Arial"/>
          <w:rtl/>
        </w:rPr>
        <w:t xml:space="preserve"> </w:t>
      </w:r>
      <w:r w:rsidRPr="00B50532">
        <w:rPr>
          <w:rFonts w:cs="Arial" w:hint="cs"/>
          <w:rtl/>
        </w:rPr>
        <w:t>ועמוד</w:t>
      </w:r>
      <w:r w:rsidRPr="00B50532">
        <w:rPr>
          <w:rFonts w:cs="Arial"/>
          <w:rtl/>
        </w:rPr>
        <w:t xml:space="preserve"> </w:t>
      </w:r>
      <w:r w:rsidRPr="00B50532">
        <w:rPr>
          <w:rFonts w:cs="Arial" w:hint="cs"/>
          <w:rtl/>
        </w:rPr>
        <w:t>האש</w:t>
      </w:r>
      <w:r w:rsidRPr="00B50532">
        <w:rPr>
          <w:rFonts w:cs="Arial"/>
          <w:rtl/>
        </w:rPr>
        <w:t xml:space="preserve"> </w:t>
      </w:r>
      <w:r w:rsidRPr="00B50532">
        <w:rPr>
          <w:rFonts w:cs="Arial" w:hint="cs"/>
          <w:rtl/>
        </w:rPr>
        <w:t>לילה</w:t>
      </w:r>
      <w:r w:rsidRPr="00B50532">
        <w:rPr>
          <w:rFonts w:cs="Arial"/>
          <w:rtl/>
        </w:rPr>
        <w:t xml:space="preserve"> </w:t>
      </w:r>
      <w:r w:rsidRPr="00B50532">
        <w:rPr>
          <w:rFonts w:cs="Arial" w:hint="cs"/>
          <w:rtl/>
        </w:rPr>
        <w:t>מלמד</w:t>
      </w:r>
      <w:r w:rsidRPr="00B50532">
        <w:rPr>
          <w:rFonts w:cs="Arial"/>
          <w:rtl/>
        </w:rPr>
        <w:t xml:space="preserve"> </w:t>
      </w:r>
      <w:r w:rsidRPr="00B50532">
        <w:rPr>
          <w:rFonts w:cs="Arial" w:hint="cs"/>
          <w:rtl/>
        </w:rPr>
        <w:t>שעמוד</w:t>
      </w:r>
      <w:r w:rsidRPr="00B50532">
        <w:rPr>
          <w:rFonts w:cs="Arial"/>
          <w:rtl/>
        </w:rPr>
        <w:t xml:space="preserve"> </w:t>
      </w:r>
      <w:r w:rsidRPr="00B50532">
        <w:rPr>
          <w:rFonts w:cs="Arial" w:hint="cs"/>
          <w:rtl/>
        </w:rPr>
        <w:t>ענן</w:t>
      </w:r>
      <w:r w:rsidRPr="00B50532">
        <w:rPr>
          <w:rFonts w:cs="Arial"/>
          <w:rtl/>
        </w:rPr>
        <w:t xml:space="preserve"> </w:t>
      </w:r>
      <w:r w:rsidRPr="00B50532">
        <w:rPr>
          <w:rFonts w:cs="Arial" w:hint="cs"/>
          <w:rtl/>
        </w:rPr>
        <w:t>משלים</w:t>
      </w:r>
      <w:r w:rsidRPr="00B50532">
        <w:rPr>
          <w:rFonts w:cs="Arial"/>
          <w:rtl/>
        </w:rPr>
        <w:t xml:space="preserve"> </w:t>
      </w:r>
      <w:r w:rsidRPr="00B50532">
        <w:rPr>
          <w:rFonts w:cs="Arial" w:hint="cs"/>
          <w:rtl/>
        </w:rPr>
        <w:t>לעמוד</w:t>
      </w:r>
      <w:r w:rsidRPr="00B50532">
        <w:rPr>
          <w:rFonts w:cs="Arial"/>
          <w:rtl/>
        </w:rPr>
        <w:t xml:space="preserve"> </w:t>
      </w:r>
      <w:r w:rsidRPr="00B50532">
        <w:rPr>
          <w:rFonts w:cs="Arial" w:hint="cs"/>
          <w:rtl/>
        </w:rPr>
        <w:t>האש</w:t>
      </w:r>
      <w:r w:rsidRPr="00B50532">
        <w:rPr>
          <w:rFonts w:cs="Arial"/>
          <w:rtl/>
        </w:rPr>
        <w:t xml:space="preserve">, </w:t>
      </w:r>
      <w:r w:rsidRPr="00B50532">
        <w:rPr>
          <w:rFonts w:cs="Arial" w:hint="cs"/>
          <w:rtl/>
        </w:rPr>
        <w:t>ועמוד</w:t>
      </w:r>
      <w:r w:rsidRPr="00B50532">
        <w:rPr>
          <w:rFonts w:cs="Arial"/>
          <w:rtl/>
        </w:rPr>
        <w:t xml:space="preserve"> </w:t>
      </w:r>
      <w:r w:rsidRPr="00B50532">
        <w:rPr>
          <w:rFonts w:cs="Arial" w:hint="cs"/>
          <w:rtl/>
        </w:rPr>
        <w:t>האש</w:t>
      </w:r>
      <w:r w:rsidRPr="00B50532">
        <w:rPr>
          <w:rFonts w:cs="Arial"/>
          <w:rtl/>
        </w:rPr>
        <w:t xml:space="preserve"> </w:t>
      </w:r>
      <w:r w:rsidRPr="00B50532">
        <w:rPr>
          <w:rFonts w:cs="Arial" w:hint="cs"/>
          <w:rtl/>
        </w:rPr>
        <w:t>משלים</w:t>
      </w:r>
      <w:r w:rsidRPr="00B50532">
        <w:rPr>
          <w:rFonts w:cs="Arial"/>
          <w:rtl/>
        </w:rPr>
        <w:t xml:space="preserve"> </w:t>
      </w:r>
      <w:r w:rsidRPr="00B50532">
        <w:rPr>
          <w:rFonts w:cs="Arial" w:hint="cs"/>
          <w:rtl/>
        </w:rPr>
        <w:t>לעמוד</w:t>
      </w:r>
      <w:r w:rsidRPr="00B50532">
        <w:rPr>
          <w:rFonts w:cs="Arial"/>
          <w:rtl/>
        </w:rPr>
        <w:t xml:space="preserve"> </w:t>
      </w:r>
      <w:r w:rsidRPr="00B50532">
        <w:rPr>
          <w:rFonts w:cs="Arial" w:hint="cs"/>
          <w:rtl/>
        </w:rPr>
        <w:t>הענן</w:t>
      </w:r>
      <w:r w:rsidRPr="00B50532">
        <w:rPr>
          <w:rFonts w:cs="Arial"/>
          <w:rtl/>
        </w:rPr>
        <w:t xml:space="preserve">. </w:t>
      </w:r>
      <w:r w:rsidRPr="00B50532">
        <w:rPr>
          <w:rFonts w:cs="Arial" w:hint="cs"/>
          <w:rtl/>
        </w:rPr>
        <w:t>סברה</w:t>
      </w:r>
      <w:r w:rsidRPr="00B50532">
        <w:rPr>
          <w:rFonts w:cs="Arial"/>
          <w:rtl/>
        </w:rPr>
        <w:t xml:space="preserve"> </w:t>
      </w:r>
      <w:r w:rsidRPr="00B50532">
        <w:rPr>
          <w:rFonts w:cs="Arial" w:hint="cs"/>
          <w:rtl/>
        </w:rPr>
        <w:t>לאקדומה</w:t>
      </w:r>
      <w:r w:rsidRPr="00B50532">
        <w:rPr>
          <w:rFonts w:cs="Arial"/>
          <w:rtl/>
        </w:rPr>
        <w:t xml:space="preserve">, </w:t>
      </w:r>
      <w:r w:rsidRPr="00B50532">
        <w:rPr>
          <w:rFonts w:cs="Arial" w:hint="cs"/>
          <w:rtl/>
        </w:rPr>
        <w:t>אמר</w:t>
      </w:r>
      <w:r w:rsidRPr="00B50532">
        <w:rPr>
          <w:rFonts w:cs="Arial"/>
          <w:rtl/>
        </w:rPr>
        <w:t xml:space="preserve"> </w:t>
      </w:r>
      <w:r w:rsidRPr="00B50532">
        <w:rPr>
          <w:rFonts w:cs="Arial" w:hint="cs"/>
          <w:rtl/>
        </w:rPr>
        <w:t>לה</w:t>
      </w:r>
      <w:r w:rsidRPr="00B50532">
        <w:rPr>
          <w:rFonts w:cs="Arial"/>
          <w:rtl/>
        </w:rPr>
        <w:t xml:space="preserve"> </w:t>
      </w:r>
      <w:r w:rsidRPr="00B50532">
        <w:rPr>
          <w:rFonts w:cs="Arial" w:hint="cs"/>
          <w:rtl/>
        </w:rPr>
        <w:t>ההוא</w:t>
      </w:r>
      <w:r w:rsidRPr="00B50532">
        <w:rPr>
          <w:rFonts w:cs="Arial"/>
          <w:rtl/>
        </w:rPr>
        <w:t xml:space="preserve"> </w:t>
      </w:r>
      <w:r w:rsidRPr="00B50532">
        <w:rPr>
          <w:rFonts w:cs="Arial" w:hint="cs"/>
          <w:rtl/>
        </w:rPr>
        <w:t>סבא</w:t>
      </w:r>
      <w:r w:rsidRPr="00B50532">
        <w:rPr>
          <w:rFonts w:cs="Arial"/>
          <w:rtl/>
        </w:rPr>
        <w:t xml:space="preserve">: </w:t>
      </w:r>
      <w:r w:rsidRPr="00B50532">
        <w:rPr>
          <w:rFonts w:cs="Arial" w:hint="cs"/>
          <w:rtl/>
        </w:rPr>
        <w:t>תנינא</w:t>
      </w:r>
      <w:r w:rsidRPr="00B50532">
        <w:rPr>
          <w:rFonts w:cs="Arial"/>
          <w:rtl/>
        </w:rPr>
        <w:t xml:space="preserve">, </w:t>
      </w:r>
      <w:r w:rsidRPr="00B50532">
        <w:rPr>
          <w:rFonts w:cs="Arial" w:hint="cs"/>
          <w:rtl/>
        </w:rPr>
        <w:t>ובלבד</w:t>
      </w:r>
      <w:r w:rsidRPr="00B50532">
        <w:rPr>
          <w:rFonts w:cs="Arial"/>
          <w:rtl/>
        </w:rPr>
        <w:t xml:space="preserve"> </w:t>
      </w:r>
      <w:r w:rsidRPr="00B50532">
        <w:rPr>
          <w:rFonts w:cs="Arial" w:hint="cs"/>
          <w:rtl/>
        </w:rPr>
        <w:t>שלא</w:t>
      </w:r>
      <w:r w:rsidRPr="00B50532">
        <w:rPr>
          <w:rFonts w:cs="Arial"/>
          <w:rtl/>
        </w:rPr>
        <w:t xml:space="preserve"> </w:t>
      </w:r>
      <w:r w:rsidRPr="00B50532">
        <w:rPr>
          <w:rFonts w:cs="Arial" w:hint="cs"/>
          <w:rtl/>
        </w:rPr>
        <w:t>יקדים</w:t>
      </w:r>
      <w:r w:rsidRPr="00B50532">
        <w:rPr>
          <w:rFonts w:cs="Arial"/>
          <w:rtl/>
        </w:rPr>
        <w:t xml:space="preserve"> </w:t>
      </w:r>
      <w:r w:rsidRPr="00B50532">
        <w:rPr>
          <w:rFonts w:cs="Arial" w:hint="cs"/>
          <w:rtl/>
        </w:rPr>
        <w:t>ושלא</w:t>
      </w:r>
      <w:r w:rsidRPr="00B50532">
        <w:rPr>
          <w:rFonts w:cs="Arial"/>
          <w:rtl/>
        </w:rPr>
        <w:t xml:space="preserve"> </w:t>
      </w:r>
      <w:r w:rsidRPr="00B50532">
        <w:rPr>
          <w:rFonts w:cs="Arial" w:hint="cs"/>
          <w:rtl/>
        </w:rPr>
        <w:t>יאחר</w:t>
      </w:r>
      <w:r w:rsidRPr="00B50532">
        <w:rPr>
          <w:rFonts w:cs="Arial"/>
          <w:rtl/>
        </w:rPr>
        <w:t>.</w:t>
      </w:r>
    </w:p>
    <w:p w14:paraId="2AD5C202" w14:textId="77777777" w:rsidR="004B2E7C" w:rsidRPr="008D71D3" w:rsidRDefault="004B2E7C" w:rsidP="00434A6A">
      <w:pPr>
        <w:rPr>
          <w:rtl/>
        </w:rPr>
      </w:pPr>
      <w:r w:rsidRPr="00323704">
        <w:rPr>
          <w:rFonts w:cs="Arial" w:hint="cs"/>
          <w:b/>
          <w:bCs/>
          <w:rtl/>
        </w:rPr>
        <w:t xml:space="preserve">ברכות </w:t>
      </w:r>
      <w:r>
        <w:rPr>
          <w:rFonts w:cs="Arial" w:hint="cs"/>
          <w:b/>
          <w:bCs/>
          <w:sz w:val="16"/>
          <w:szCs w:val="16"/>
          <w:rtl/>
        </w:rPr>
        <w:t xml:space="preserve">(ר"פ תפילת השחר) </w:t>
      </w:r>
      <w:r w:rsidRPr="00323704">
        <w:rPr>
          <w:rFonts w:cs="Arial" w:hint="cs"/>
          <w:b/>
          <w:bCs/>
          <w:rtl/>
        </w:rPr>
        <w:t xml:space="preserve">כז ע"א: </w:t>
      </w:r>
      <w:r w:rsidRPr="00323704">
        <w:rPr>
          <w:rFonts w:cs="Arial" w:hint="cs"/>
          <w:rtl/>
        </w:rPr>
        <w:t>רב</w:t>
      </w:r>
      <w:r w:rsidRPr="00323704">
        <w:rPr>
          <w:rFonts w:cs="Arial"/>
          <w:rtl/>
        </w:rPr>
        <w:t xml:space="preserve"> </w:t>
      </w:r>
      <w:r w:rsidRPr="00323704">
        <w:rPr>
          <w:rFonts w:cs="Arial" w:hint="cs"/>
          <w:rtl/>
        </w:rPr>
        <w:t>מצלי</w:t>
      </w:r>
      <w:r w:rsidRPr="00323704">
        <w:rPr>
          <w:rFonts w:cs="Arial"/>
          <w:rtl/>
        </w:rPr>
        <w:t xml:space="preserve"> </w:t>
      </w:r>
      <w:r w:rsidRPr="00323704">
        <w:rPr>
          <w:rFonts w:cs="Arial" w:hint="cs"/>
          <w:rtl/>
        </w:rPr>
        <w:t>של</w:t>
      </w:r>
      <w:r w:rsidRPr="00323704">
        <w:rPr>
          <w:rFonts w:cs="Arial"/>
          <w:rtl/>
        </w:rPr>
        <w:t xml:space="preserve"> </w:t>
      </w:r>
      <w:r w:rsidRPr="00323704">
        <w:rPr>
          <w:rFonts w:cs="Arial" w:hint="cs"/>
          <w:rtl/>
        </w:rPr>
        <w:t>שבת</w:t>
      </w:r>
      <w:r w:rsidRPr="00323704">
        <w:rPr>
          <w:rFonts w:cs="Arial"/>
          <w:rtl/>
        </w:rPr>
        <w:t xml:space="preserve"> </w:t>
      </w:r>
      <w:r w:rsidRPr="00323704">
        <w:rPr>
          <w:rFonts w:cs="Arial" w:hint="cs"/>
          <w:rtl/>
        </w:rPr>
        <w:t>בערב</w:t>
      </w:r>
      <w:r w:rsidRPr="00323704">
        <w:rPr>
          <w:rFonts w:cs="Arial"/>
          <w:rtl/>
        </w:rPr>
        <w:t xml:space="preserve"> </w:t>
      </w:r>
      <w:r w:rsidRPr="00323704">
        <w:rPr>
          <w:rFonts w:cs="Arial" w:hint="cs"/>
          <w:rtl/>
        </w:rPr>
        <w:t>שבת</w:t>
      </w:r>
      <w:r w:rsidRPr="00323704">
        <w:rPr>
          <w:rFonts w:cs="Arial"/>
          <w:rtl/>
        </w:rPr>
        <w:t xml:space="preserve"> </w:t>
      </w:r>
      <w:r w:rsidRPr="00323704">
        <w:rPr>
          <w:rFonts w:cs="Arial" w:hint="cs"/>
          <w:rtl/>
        </w:rPr>
        <w:t>מבעוד</w:t>
      </w:r>
      <w:r w:rsidRPr="00323704">
        <w:rPr>
          <w:rFonts w:cs="Arial"/>
          <w:rtl/>
        </w:rPr>
        <w:t xml:space="preserve"> </w:t>
      </w:r>
      <w:r w:rsidRPr="00323704">
        <w:rPr>
          <w:rFonts w:cs="Arial" w:hint="cs"/>
          <w:rtl/>
        </w:rPr>
        <w:t>יום</w:t>
      </w:r>
      <w:r>
        <w:rPr>
          <w:rFonts w:hint="cs"/>
          <w:rtl/>
        </w:rPr>
        <w:t>.</w:t>
      </w:r>
    </w:p>
    <w:p w14:paraId="6580903B" w14:textId="77777777" w:rsidR="004B2E7C" w:rsidRDefault="004B2E7C" w:rsidP="00434A6A">
      <w:pPr>
        <w:rPr>
          <w:rFonts w:cs="Arial"/>
          <w:rtl/>
        </w:rPr>
      </w:pPr>
      <w:r w:rsidRPr="008D71D3">
        <w:rPr>
          <w:rFonts w:hint="cs"/>
          <w:u w:val="single"/>
          <w:rtl/>
        </w:rPr>
        <w:t>הקדמה/איחור בהדלקת נר שבת</w:t>
      </w:r>
      <w:r w:rsidRPr="008D71D3">
        <w:rPr>
          <w:rFonts w:cs="Arial" w:hint="cs"/>
          <w:u w:val="single"/>
          <w:rtl/>
        </w:rPr>
        <w:t>:</w:t>
      </w:r>
      <w:r w:rsidRPr="0075388A">
        <w:rPr>
          <w:rFonts w:cs="Arial" w:hint="cs"/>
          <w:rtl/>
        </w:rPr>
        <w:t xml:space="preserve"> </w:t>
      </w:r>
    </w:p>
    <w:p w14:paraId="102A088B" w14:textId="77777777" w:rsidR="004B2E7C" w:rsidRDefault="004B2E7C" w:rsidP="00FF2D21">
      <w:pPr>
        <w:pStyle w:val="aa"/>
        <w:numPr>
          <w:ilvl w:val="0"/>
          <w:numId w:val="87"/>
        </w:numPr>
      </w:pPr>
      <w:r w:rsidRPr="008D71D3">
        <w:rPr>
          <w:rFonts w:cs="Arial" w:hint="cs"/>
          <w:rtl/>
        </w:rPr>
        <w:t>טור- ולא</w:t>
      </w:r>
      <w:r w:rsidRPr="008D71D3">
        <w:rPr>
          <w:rFonts w:cs="Arial"/>
          <w:rtl/>
        </w:rPr>
        <w:t xml:space="preserve"> </w:t>
      </w:r>
      <w:r w:rsidRPr="008D71D3">
        <w:rPr>
          <w:rFonts w:cs="Arial" w:hint="cs"/>
          <w:rtl/>
        </w:rPr>
        <w:t>ימהר</w:t>
      </w:r>
      <w:r w:rsidRPr="008D71D3">
        <w:rPr>
          <w:rFonts w:cs="Arial"/>
          <w:rtl/>
        </w:rPr>
        <w:t xml:space="preserve"> </w:t>
      </w:r>
      <w:r w:rsidRPr="008D71D3">
        <w:rPr>
          <w:rFonts w:cs="Arial" w:hint="cs"/>
          <w:rtl/>
        </w:rPr>
        <w:t>להדליקו</w:t>
      </w:r>
      <w:r w:rsidRPr="008D71D3">
        <w:rPr>
          <w:rFonts w:cs="Arial"/>
          <w:rtl/>
        </w:rPr>
        <w:t xml:space="preserve"> </w:t>
      </w:r>
      <w:r w:rsidRPr="008D71D3">
        <w:rPr>
          <w:rFonts w:cs="Arial" w:hint="cs"/>
          <w:rtl/>
        </w:rPr>
        <w:t>בעוד</w:t>
      </w:r>
      <w:r w:rsidRPr="008D71D3">
        <w:rPr>
          <w:rFonts w:cs="Arial"/>
          <w:rtl/>
        </w:rPr>
        <w:t xml:space="preserve"> </w:t>
      </w:r>
      <w:r w:rsidRPr="008D71D3">
        <w:rPr>
          <w:rFonts w:cs="Arial" w:hint="cs"/>
          <w:rtl/>
        </w:rPr>
        <w:t>היום</w:t>
      </w:r>
      <w:r w:rsidRPr="008D71D3">
        <w:rPr>
          <w:rFonts w:cs="Arial"/>
          <w:rtl/>
        </w:rPr>
        <w:t xml:space="preserve"> </w:t>
      </w:r>
      <w:r w:rsidRPr="008D71D3">
        <w:rPr>
          <w:rFonts w:cs="Arial" w:hint="cs"/>
          <w:rtl/>
        </w:rPr>
        <w:t>גדול</w:t>
      </w:r>
      <w:r w:rsidRPr="008D71D3">
        <w:rPr>
          <w:rFonts w:cs="Arial"/>
          <w:rtl/>
        </w:rPr>
        <w:t xml:space="preserve"> </w:t>
      </w:r>
      <w:r w:rsidRPr="008D71D3">
        <w:rPr>
          <w:rFonts w:cs="Arial" w:hint="cs"/>
          <w:rtl/>
        </w:rPr>
        <w:t>שאז</w:t>
      </w:r>
      <w:r w:rsidRPr="008D71D3">
        <w:rPr>
          <w:rFonts w:cs="Arial"/>
          <w:rtl/>
        </w:rPr>
        <w:t xml:space="preserve"> </w:t>
      </w:r>
      <w:r w:rsidRPr="008D71D3">
        <w:rPr>
          <w:rFonts w:cs="Arial" w:hint="cs"/>
          <w:rtl/>
        </w:rPr>
        <w:t>אינו</w:t>
      </w:r>
      <w:r w:rsidRPr="008D71D3">
        <w:rPr>
          <w:rFonts w:cs="Arial"/>
          <w:rtl/>
        </w:rPr>
        <w:t xml:space="preserve"> </w:t>
      </w:r>
      <w:r w:rsidRPr="008D71D3">
        <w:rPr>
          <w:rFonts w:cs="Arial" w:hint="cs"/>
          <w:rtl/>
        </w:rPr>
        <w:t>ניכר</w:t>
      </w:r>
      <w:r w:rsidRPr="008D71D3">
        <w:rPr>
          <w:rFonts w:cs="Arial"/>
          <w:rtl/>
        </w:rPr>
        <w:t xml:space="preserve"> </w:t>
      </w:r>
      <w:r w:rsidRPr="008D71D3">
        <w:rPr>
          <w:rFonts w:cs="Arial" w:hint="cs"/>
          <w:rtl/>
        </w:rPr>
        <w:t>שמדליקו</w:t>
      </w:r>
      <w:r w:rsidRPr="008D71D3">
        <w:rPr>
          <w:rFonts w:cs="Arial"/>
          <w:rtl/>
        </w:rPr>
        <w:t xml:space="preserve"> </w:t>
      </w:r>
      <w:r w:rsidRPr="008D71D3">
        <w:rPr>
          <w:rFonts w:cs="Arial" w:hint="cs"/>
          <w:rtl/>
        </w:rPr>
        <w:t>לכבוד</w:t>
      </w:r>
      <w:r w:rsidRPr="008D71D3">
        <w:rPr>
          <w:rFonts w:cs="Arial"/>
          <w:rtl/>
        </w:rPr>
        <w:t xml:space="preserve"> </w:t>
      </w:r>
      <w:r w:rsidRPr="008D71D3">
        <w:rPr>
          <w:rFonts w:cs="Arial" w:hint="cs"/>
          <w:rtl/>
        </w:rPr>
        <w:t>שבת</w:t>
      </w:r>
      <w:r w:rsidRPr="008D71D3">
        <w:rPr>
          <w:rFonts w:cs="Arial"/>
          <w:rtl/>
        </w:rPr>
        <w:t xml:space="preserve"> </w:t>
      </w:r>
      <w:r w:rsidRPr="008D71D3">
        <w:rPr>
          <w:rFonts w:cs="Arial" w:hint="cs"/>
          <w:rtl/>
        </w:rPr>
        <w:t>וגם</w:t>
      </w:r>
      <w:r w:rsidRPr="008D71D3">
        <w:rPr>
          <w:rFonts w:cs="Arial"/>
          <w:rtl/>
        </w:rPr>
        <w:t xml:space="preserve"> </w:t>
      </w:r>
      <w:r w:rsidRPr="008D71D3">
        <w:rPr>
          <w:rFonts w:cs="Arial" w:hint="cs"/>
          <w:rtl/>
        </w:rPr>
        <w:t>לא</w:t>
      </w:r>
      <w:r w:rsidRPr="008D71D3">
        <w:rPr>
          <w:rFonts w:cs="Arial"/>
          <w:rtl/>
        </w:rPr>
        <w:t xml:space="preserve"> </w:t>
      </w:r>
      <w:r w:rsidRPr="008D71D3">
        <w:rPr>
          <w:rFonts w:cs="Arial" w:hint="cs"/>
          <w:rtl/>
        </w:rPr>
        <w:t>יאחר</w:t>
      </w:r>
      <w:r>
        <w:rPr>
          <w:rFonts w:hint="cs"/>
          <w:rtl/>
        </w:rPr>
        <w:t>.</w:t>
      </w:r>
      <w:r w:rsidRPr="00323704">
        <w:rPr>
          <w:rFonts w:cs="Arial" w:hint="cs"/>
          <w:color w:val="E36C0A" w:themeColor="accent6" w:themeShade="BF"/>
          <w:rtl/>
        </w:rPr>
        <w:t xml:space="preserve"> </w:t>
      </w:r>
      <w:r w:rsidRPr="0056384F">
        <w:rPr>
          <w:rFonts w:cs="Arial" w:hint="cs"/>
          <w:color w:val="E36C0A" w:themeColor="accent6" w:themeShade="BF"/>
          <w:rtl/>
        </w:rPr>
        <w:t>(וכ"פ בשו"ע)</w:t>
      </w:r>
    </w:p>
    <w:p w14:paraId="37967F8F" w14:textId="77777777" w:rsidR="004B2E7C" w:rsidRPr="00A7568A" w:rsidRDefault="004B2E7C" w:rsidP="00434A6A">
      <w:pPr>
        <w:ind w:left="360"/>
        <w:rPr>
          <w:u w:val="dotted"/>
        </w:rPr>
      </w:pPr>
      <w:r w:rsidRPr="00A7568A">
        <w:rPr>
          <w:rFonts w:hint="cs"/>
          <w:u w:val="dotted"/>
          <w:rtl/>
        </w:rPr>
        <w:t xml:space="preserve">ומה הדין אם מקבל עליו את השבת בעת הדלקת הנר </w:t>
      </w:r>
      <w:r w:rsidRPr="00A7568A">
        <w:rPr>
          <w:u w:val="dotted"/>
          <w:rtl/>
        </w:rPr>
        <w:t>–</w:t>
      </w:r>
      <w:r w:rsidRPr="00A7568A">
        <w:rPr>
          <w:rFonts w:hint="cs"/>
          <w:u w:val="dotted"/>
          <w:rtl/>
        </w:rPr>
        <w:t xml:space="preserve"> האם מותר להקדים:</w:t>
      </w:r>
    </w:p>
    <w:p w14:paraId="23A85A3B" w14:textId="77777777" w:rsidR="004B2E7C" w:rsidRPr="006737C8" w:rsidRDefault="004B2E7C" w:rsidP="00FF2D21">
      <w:pPr>
        <w:pStyle w:val="aa"/>
        <w:numPr>
          <w:ilvl w:val="0"/>
          <w:numId w:val="87"/>
        </w:numPr>
        <w:rPr>
          <w:rtl/>
        </w:rPr>
      </w:pPr>
      <w:r w:rsidRPr="00A7568A">
        <w:rPr>
          <w:rFonts w:cs="Arial" w:hint="cs"/>
          <w:rtl/>
        </w:rPr>
        <w:t>תוס</w:t>
      </w:r>
      <w:r>
        <w:rPr>
          <w:rFonts w:cs="Arial" w:hint="cs"/>
          <w:rtl/>
        </w:rPr>
        <w:t>'</w:t>
      </w:r>
      <w:r w:rsidRPr="00A7568A">
        <w:rPr>
          <w:rFonts w:cs="Arial"/>
          <w:rtl/>
        </w:rPr>
        <w:t xml:space="preserve"> </w:t>
      </w:r>
      <w:r w:rsidRPr="00F77C17">
        <w:rPr>
          <w:rFonts w:cs="Arial"/>
          <w:sz w:val="16"/>
          <w:szCs w:val="16"/>
          <w:rtl/>
        </w:rPr>
        <w:t>(</w:t>
      </w:r>
      <w:r w:rsidRPr="00F77C17">
        <w:rPr>
          <w:rFonts w:cs="Arial" w:hint="cs"/>
          <w:sz w:val="16"/>
          <w:szCs w:val="16"/>
          <w:rtl/>
        </w:rPr>
        <w:t>ברכות</w:t>
      </w:r>
      <w:r w:rsidRPr="00F77C17">
        <w:rPr>
          <w:rFonts w:cs="Arial"/>
          <w:sz w:val="16"/>
          <w:szCs w:val="16"/>
          <w:rtl/>
        </w:rPr>
        <w:t xml:space="preserve"> </w:t>
      </w:r>
      <w:r w:rsidRPr="00F77C17">
        <w:rPr>
          <w:rFonts w:cs="Arial" w:hint="cs"/>
          <w:sz w:val="16"/>
          <w:szCs w:val="16"/>
          <w:rtl/>
        </w:rPr>
        <w:t>כז</w:t>
      </w:r>
      <w:r w:rsidRPr="00F77C17">
        <w:rPr>
          <w:rFonts w:cs="Arial"/>
          <w:sz w:val="16"/>
          <w:szCs w:val="16"/>
          <w:rtl/>
        </w:rPr>
        <w:t xml:space="preserve">. </w:t>
      </w:r>
      <w:r w:rsidRPr="00F77C17">
        <w:rPr>
          <w:rFonts w:cs="Arial" w:hint="cs"/>
          <w:sz w:val="16"/>
          <w:szCs w:val="16"/>
          <w:rtl/>
        </w:rPr>
        <w:t>ד</w:t>
      </w:r>
      <w:r w:rsidRPr="00F77C17">
        <w:rPr>
          <w:rFonts w:cs="Arial"/>
          <w:sz w:val="16"/>
          <w:szCs w:val="16"/>
          <w:rtl/>
        </w:rPr>
        <w:t>"</w:t>
      </w:r>
      <w:r w:rsidRPr="00F77C17">
        <w:rPr>
          <w:rFonts w:cs="Arial" w:hint="cs"/>
          <w:sz w:val="16"/>
          <w:szCs w:val="16"/>
          <w:rtl/>
        </w:rPr>
        <w:t>ה</w:t>
      </w:r>
      <w:r w:rsidRPr="00F77C17">
        <w:rPr>
          <w:rFonts w:cs="Arial"/>
          <w:sz w:val="16"/>
          <w:szCs w:val="16"/>
          <w:rtl/>
        </w:rPr>
        <w:t xml:space="preserve"> </w:t>
      </w:r>
      <w:r w:rsidRPr="00F77C17">
        <w:rPr>
          <w:rFonts w:cs="Arial" w:hint="cs"/>
          <w:sz w:val="16"/>
          <w:szCs w:val="16"/>
          <w:rtl/>
        </w:rPr>
        <w:t>דרב</w:t>
      </w:r>
      <w:r w:rsidRPr="00F77C17">
        <w:rPr>
          <w:rFonts w:cs="Arial"/>
          <w:sz w:val="16"/>
          <w:szCs w:val="16"/>
          <w:rtl/>
        </w:rPr>
        <w:t>)</w:t>
      </w:r>
      <w:r>
        <w:rPr>
          <w:rFonts w:cs="Arial" w:hint="cs"/>
          <w:rtl/>
        </w:rPr>
        <w:t xml:space="preserve"> </w:t>
      </w:r>
      <w:r w:rsidRPr="00A7568A">
        <w:rPr>
          <w:rFonts w:cs="Arial" w:hint="cs"/>
          <w:rtl/>
        </w:rPr>
        <w:t>ה</w:t>
      </w:r>
      <w:r w:rsidRPr="00A7568A">
        <w:rPr>
          <w:rFonts w:cs="Arial"/>
          <w:rtl/>
        </w:rPr>
        <w:t>"</w:t>
      </w:r>
      <w:r w:rsidRPr="00A7568A">
        <w:rPr>
          <w:rFonts w:cs="Arial" w:hint="cs"/>
          <w:rtl/>
        </w:rPr>
        <w:t>ר</w:t>
      </w:r>
      <w:r w:rsidRPr="00A7568A">
        <w:rPr>
          <w:rFonts w:cs="Arial"/>
          <w:rtl/>
        </w:rPr>
        <w:t xml:space="preserve"> </w:t>
      </w:r>
      <w:r w:rsidRPr="00A7568A">
        <w:rPr>
          <w:rFonts w:cs="Arial" w:hint="cs"/>
          <w:rtl/>
        </w:rPr>
        <w:t>יונה</w:t>
      </w:r>
      <w:r w:rsidRPr="00A7568A">
        <w:rPr>
          <w:rFonts w:cs="Arial"/>
          <w:rtl/>
        </w:rPr>
        <w:t xml:space="preserve"> </w:t>
      </w:r>
      <w:r w:rsidRPr="00A7568A">
        <w:rPr>
          <w:rFonts w:cs="Arial"/>
          <w:sz w:val="16"/>
          <w:szCs w:val="16"/>
          <w:rtl/>
        </w:rPr>
        <w:t>(</w:t>
      </w:r>
      <w:r w:rsidRPr="00A7568A">
        <w:rPr>
          <w:rFonts w:cs="Arial" w:hint="cs"/>
          <w:sz w:val="16"/>
          <w:szCs w:val="16"/>
          <w:rtl/>
        </w:rPr>
        <w:t>יח</w:t>
      </w:r>
      <w:r w:rsidRPr="00A7568A">
        <w:rPr>
          <w:rFonts w:cs="Arial"/>
          <w:sz w:val="16"/>
          <w:szCs w:val="16"/>
          <w:rtl/>
        </w:rPr>
        <w:t xml:space="preserve">: </w:t>
      </w:r>
      <w:r w:rsidRPr="00A7568A">
        <w:rPr>
          <w:rFonts w:cs="Arial" w:hint="cs"/>
          <w:sz w:val="16"/>
          <w:szCs w:val="16"/>
          <w:rtl/>
        </w:rPr>
        <w:t>ד</w:t>
      </w:r>
      <w:r w:rsidRPr="00A7568A">
        <w:rPr>
          <w:rFonts w:cs="Arial"/>
          <w:sz w:val="16"/>
          <w:szCs w:val="16"/>
          <w:rtl/>
        </w:rPr>
        <w:t>"</w:t>
      </w:r>
      <w:r w:rsidRPr="00A7568A">
        <w:rPr>
          <w:rFonts w:cs="Arial" w:hint="cs"/>
          <w:sz w:val="16"/>
          <w:szCs w:val="16"/>
          <w:rtl/>
        </w:rPr>
        <w:t>ה</w:t>
      </w:r>
      <w:r w:rsidRPr="00A7568A">
        <w:rPr>
          <w:rFonts w:cs="Arial"/>
          <w:sz w:val="16"/>
          <w:szCs w:val="16"/>
          <w:rtl/>
        </w:rPr>
        <w:t xml:space="preserve"> </w:t>
      </w:r>
      <w:r w:rsidRPr="00A7568A">
        <w:rPr>
          <w:rFonts w:cs="Arial" w:hint="cs"/>
          <w:sz w:val="16"/>
          <w:szCs w:val="16"/>
          <w:rtl/>
        </w:rPr>
        <w:t>רב</w:t>
      </w:r>
      <w:r w:rsidRPr="00A7568A">
        <w:rPr>
          <w:rFonts w:cs="Arial"/>
          <w:sz w:val="16"/>
          <w:szCs w:val="16"/>
          <w:rtl/>
        </w:rPr>
        <w:t xml:space="preserve">) </w:t>
      </w:r>
      <w:r w:rsidRPr="00A7568A">
        <w:rPr>
          <w:rFonts w:cs="Arial" w:hint="cs"/>
          <w:rtl/>
        </w:rPr>
        <w:t>מרדכי</w:t>
      </w:r>
      <w:r w:rsidRPr="00A7568A">
        <w:rPr>
          <w:rFonts w:cs="Arial"/>
          <w:rtl/>
        </w:rPr>
        <w:t xml:space="preserve"> </w:t>
      </w:r>
      <w:r w:rsidRPr="00A7568A">
        <w:rPr>
          <w:rFonts w:cs="Arial"/>
          <w:sz w:val="16"/>
          <w:szCs w:val="16"/>
          <w:rtl/>
        </w:rPr>
        <w:t>(</w:t>
      </w:r>
      <w:r w:rsidRPr="00A7568A">
        <w:rPr>
          <w:rFonts w:cs="Arial" w:hint="cs"/>
          <w:sz w:val="16"/>
          <w:szCs w:val="16"/>
          <w:rtl/>
        </w:rPr>
        <w:t>סי</w:t>
      </w:r>
      <w:r w:rsidRPr="00A7568A">
        <w:rPr>
          <w:rFonts w:cs="Arial"/>
          <w:sz w:val="16"/>
          <w:szCs w:val="16"/>
          <w:rtl/>
        </w:rPr>
        <w:t xml:space="preserve">' </w:t>
      </w:r>
      <w:r w:rsidRPr="00A7568A">
        <w:rPr>
          <w:rFonts w:cs="Arial" w:hint="cs"/>
          <w:sz w:val="16"/>
          <w:szCs w:val="16"/>
          <w:rtl/>
        </w:rPr>
        <w:t>צ</w:t>
      </w:r>
      <w:r w:rsidRPr="00A7568A">
        <w:rPr>
          <w:rFonts w:cs="Arial"/>
          <w:sz w:val="16"/>
          <w:szCs w:val="16"/>
          <w:rtl/>
        </w:rPr>
        <w:t xml:space="preserve">) </w:t>
      </w:r>
      <w:r w:rsidRPr="00A7568A">
        <w:rPr>
          <w:rFonts w:cs="Arial" w:hint="cs"/>
          <w:rtl/>
        </w:rPr>
        <w:t>רא</w:t>
      </w:r>
      <w:r w:rsidRPr="00A7568A">
        <w:rPr>
          <w:rFonts w:cs="Arial"/>
          <w:rtl/>
        </w:rPr>
        <w:t>"</w:t>
      </w:r>
      <w:r w:rsidRPr="00A7568A">
        <w:rPr>
          <w:rFonts w:cs="Arial" w:hint="cs"/>
          <w:rtl/>
        </w:rPr>
        <w:t>ש</w:t>
      </w:r>
      <w:r w:rsidRPr="00A7568A">
        <w:rPr>
          <w:rFonts w:cs="Arial"/>
          <w:rtl/>
        </w:rPr>
        <w:t xml:space="preserve"> </w:t>
      </w:r>
      <w:r w:rsidRPr="00A7568A">
        <w:rPr>
          <w:rFonts w:cs="Arial"/>
          <w:sz w:val="16"/>
          <w:szCs w:val="16"/>
          <w:rtl/>
        </w:rPr>
        <w:t>(</w:t>
      </w:r>
      <w:r w:rsidRPr="00A7568A">
        <w:rPr>
          <w:rFonts w:cs="Arial" w:hint="cs"/>
          <w:sz w:val="16"/>
          <w:szCs w:val="16"/>
          <w:rtl/>
        </w:rPr>
        <w:t>סי</w:t>
      </w:r>
      <w:r w:rsidRPr="00A7568A">
        <w:rPr>
          <w:rFonts w:cs="Arial"/>
          <w:sz w:val="16"/>
          <w:szCs w:val="16"/>
          <w:rtl/>
        </w:rPr>
        <w:t xml:space="preserve">' </w:t>
      </w:r>
      <w:r w:rsidRPr="00A7568A">
        <w:rPr>
          <w:rFonts w:cs="Arial" w:hint="cs"/>
          <w:sz w:val="16"/>
          <w:szCs w:val="16"/>
          <w:rtl/>
        </w:rPr>
        <w:t>ו</w:t>
      </w:r>
      <w:r w:rsidRPr="00A7568A">
        <w:rPr>
          <w:rFonts w:cs="Arial"/>
          <w:sz w:val="16"/>
          <w:szCs w:val="16"/>
          <w:rtl/>
        </w:rPr>
        <w:t>)</w:t>
      </w:r>
      <w:r>
        <w:rPr>
          <w:rFonts w:cs="Arial" w:hint="cs"/>
          <w:rtl/>
        </w:rPr>
        <w:t xml:space="preserve"> וטור </w:t>
      </w:r>
      <w:r>
        <w:rPr>
          <w:rFonts w:cs="Arial" w:hint="cs"/>
          <w:sz w:val="16"/>
          <w:szCs w:val="16"/>
          <w:rtl/>
        </w:rPr>
        <w:t>(סי' רסז)</w:t>
      </w:r>
      <w:r>
        <w:rPr>
          <w:rFonts w:cs="Arial" w:hint="cs"/>
          <w:rtl/>
        </w:rPr>
        <w:t xml:space="preserve">- </w:t>
      </w:r>
      <w:r w:rsidRPr="00323704">
        <w:rPr>
          <w:rFonts w:cs="Arial" w:hint="cs"/>
          <w:rtl/>
        </w:rPr>
        <w:t>רב</w:t>
      </w:r>
      <w:r w:rsidRPr="00323704">
        <w:rPr>
          <w:rFonts w:cs="Arial"/>
          <w:rtl/>
        </w:rPr>
        <w:t xml:space="preserve"> </w:t>
      </w:r>
      <w:r w:rsidRPr="00323704">
        <w:rPr>
          <w:rFonts w:cs="Arial" w:hint="cs"/>
          <w:rtl/>
        </w:rPr>
        <w:t>צלי</w:t>
      </w:r>
      <w:r w:rsidRPr="00323704">
        <w:rPr>
          <w:rFonts w:cs="Arial"/>
          <w:rtl/>
        </w:rPr>
        <w:t xml:space="preserve"> </w:t>
      </w:r>
      <w:r w:rsidRPr="00323704">
        <w:rPr>
          <w:rFonts w:cs="Arial" w:hint="cs"/>
          <w:rtl/>
        </w:rPr>
        <w:t>של</w:t>
      </w:r>
      <w:r w:rsidRPr="00323704">
        <w:rPr>
          <w:rFonts w:cs="Arial"/>
          <w:rtl/>
        </w:rPr>
        <w:t xml:space="preserve"> </w:t>
      </w:r>
      <w:r w:rsidRPr="00323704">
        <w:rPr>
          <w:rFonts w:cs="Arial" w:hint="cs"/>
          <w:rtl/>
        </w:rPr>
        <w:t>שבת</w:t>
      </w:r>
      <w:r w:rsidRPr="00323704">
        <w:rPr>
          <w:rFonts w:cs="Arial"/>
          <w:rtl/>
        </w:rPr>
        <w:t xml:space="preserve"> </w:t>
      </w:r>
      <w:r w:rsidRPr="00323704">
        <w:rPr>
          <w:rFonts w:cs="Arial" w:hint="cs"/>
          <w:rtl/>
        </w:rPr>
        <w:t>בע</w:t>
      </w:r>
      <w:r w:rsidRPr="00323704">
        <w:rPr>
          <w:rFonts w:cs="Arial"/>
          <w:rtl/>
        </w:rPr>
        <w:t>"</w:t>
      </w:r>
      <w:r w:rsidRPr="00323704">
        <w:rPr>
          <w:rFonts w:cs="Arial" w:hint="cs"/>
          <w:rtl/>
        </w:rPr>
        <w:t>ש</w:t>
      </w:r>
      <w:r>
        <w:rPr>
          <w:rFonts w:cs="Arial" w:hint="cs"/>
          <w:rtl/>
        </w:rPr>
        <w:t>,</w:t>
      </w:r>
      <w:r w:rsidRPr="00323704">
        <w:rPr>
          <w:rFonts w:cs="Arial"/>
          <w:rtl/>
        </w:rPr>
        <w:t xml:space="preserve"> </w:t>
      </w:r>
      <w:r w:rsidRPr="00323704">
        <w:rPr>
          <w:rFonts w:cs="Arial" w:hint="cs"/>
          <w:rtl/>
        </w:rPr>
        <w:t>תימה</w:t>
      </w:r>
      <w:r w:rsidRPr="00323704">
        <w:rPr>
          <w:rFonts w:cs="Arial"/>
          <w:rtl/>
        </w:rPr>
        <w:t xml:space="preserve"> </w:t>
      </w:r>
      <w:r w:rsidRPr="00323704">
        <w:rPr>
          <w:rFonts w:cs="Arial" w:hint="cs"/>
          <w:rtl/>
        </w:rPr>
        <w:t>דהא</w:t>
      </w:r>
      <w:r w:rsidRPr="00323704">
        <w:rPr>
          <w:rFonts w:cs="Arial"/>
          <w:rtl/>
        </w:rPr>
        <w:t xml:space="preserve"> </w:t>
      </w:r>
      <w:r w:rsidRPr="00323704">
        <w:rPr>
          <w:rFonts w:cs="Arial" w:hint="cs"/>
          <w:rtl/>
        </w:rPr>
        <w:t>אמרינן</w:t>
      </w:r>
      <w:r w:rsidRPr="00323704">
        <w:rPr>
          <w:rFonts w:cs="Arial"/>
          <w:rtl/>
        </w:rPr>
        <w:t xml:space="preserve"> </w:t>
      </w:r>
      <w:r w:rsidRPr="00323704">
        <w:rPr>
          <w:rFonts w:cs="Arial" w:hint="cs"/>
          <w:rtl/>
        </w:rPr>
        <w:t>בפרק</w:t>
      </w:r>
      <w:r w:rsidRPr="00323704">
        <w:rPr>
          <w:rFonts w:cs="Arial"/>
          <w:rtl/>
        </w:rPr>
        <w:t xml:space="preserve"> </w:t>
      </w:r>
      <w:r w:rsidRPr="00323704">
        <w:rPr>
          <w:rFonts w:cs="Arial" w:hint="cs"/>
          <w:rtl/>
        </w:rPr>
        <w:t>במה</w:t>
      </w:r>
      <w:r w:rsidRPr="00323704">
        <w:rPr>
          <w:rFonts w:cs="Arial"/>
          <w:rtl/>
        </w:rPr>
        <w:t xml:space="preserve"> </w:t>
      </w:r>
      <w:r w:rsidRPr="00323704">
        <w:rPr>
          <w:rFonts w:cs="Arial" w:hint="cs"/>
          <w:rtl/>
        </w:rPr>
        <w:t>מדליקין</w:t>
      </w:r>
      <w:r w:rsidRPr="00323704">
        <w:rPr>
          <w:rFonts w:cs="Arial"/>
          <w:rtl/>
        </w:rPr>
        <w:t xml:space="preserve"> (</w:t>
      </w:r>
      <w:r w:rsidRPr="00323704">
        <w:rPr>
          <w:rFonts w:cs="Arial" w:hint="cs"/>
          <w:rtl/>
        </w:rPr>
        <w:t>כג</w:t>
      </w:r>
      <w:r w:rsidRPr="00323704">
        <w:rPr>
          <w:rFonts w:cs="Arial"/>
          <w:rtl/>
        </w:rPr>
        <w:t xml:space="preserve">:) </w:t>
      </w:r>
      <w:r w:rsidRPr="00323704">
        <w:rPr>
          <w:rFonts w:cs="Arial" w:hint="cs"/>
          <w:rtl/>
        </w:rPr>
        <w:t>ובלבד</w:t>
      </w:r>
      <w:r w:rsidRPr="00323704">
        <w:rPr>
          <w:rFonts w:cs="Arial"/>
          <w:rtl/>
        </w:rPr>
        <w:t xml:space="preserve"> </w:t>
      </w:r>
      <w:r w:rsidRPr="00323704">
        <w:rPr>
          <w:rFonts w:cs="Arial" w:hint="cs"/>
          <w:rtl/>
        </w:rPr>
        <w:t>שלא</w:t>
      </w:r>
      <w:r w:rsidRPr="00323704">
        <w:rPr>
          <w:rFonts w:cs="Arial"/>
          <w:rtl/>
        </w:rPr>
        <w:t xml:space="preserve"> </w:t>
      </w:r>
      <w:r w:rsidRPr="00323704">
        <w:rPr>
          <w:rFonts w:cs="Arial" w:hint="cs"/>
          <w:rtl/>
        </w:rPr>
        <w:t>יקדים</w:t>
      </w:r>
      <w:r w:rsidRPr="00323704">
        <w:rPr>
          <w:rFonts w:cs="Arial"/>
          <w:rtl/>
        </w:rPr>
        <w:t xml:space="preserve"> </w:t>
      </w:r>
      <w:r w:rsidRPr="00323704">
        <w:rPr>
          <w:rFonts w:cs="Arial" w:hint="cs"/>
          <w:rtl/>
        </w:rPr>
        <w:t>ושלא</w:t>
      </w:r>
      <w:r w:rsidRPr="00323704">
        <w:rPr>
          <w:rFonts w:cs="Arial"/>
          <w:rtl/>
        </w:rPr>
        <w:t xml:space="preserve"> </w:t>
      </w:r>
      <w:r w:rsidRPr="00323704">
        <w:rPr>
          <w:rFonts w:cs="Arial" w:hint="cs"/>
          <w:rtl/>
        </w:rPr>
        <w:t>יאחר</w:t>
      </w:r>
      <w:r w:rsidRPr="00323704">
        <w:rPr>
          <w:rFonts w:cs="Arial"/>
          <w:rtl/>
        </w:rPr>
        <w:t xml:space="preserve">. </w:t>
      </w:r>
      <w:r w:rsidRPr="00323704">
        <w:rPr>
          <w:rFonts w:cs="Arial" w:hint="cs"/>
          <w:rtl/>
        </w:rPr>
        <w:t>ויש</w:t>
      </w:r>
      <w:r w:rsidRPr="00323704">
        <w:rPr>
          <w:rFonts w:cs="Arial"/>
          <w:rtl/>
        </w:rPr>
        <w:t xml:space="preserve"> </w:t>
      </w:r>
      <w:r w:rsidRPr="00323704">
        <w:rPr>
          <w:rFonts w:cs="Arial" w:hint="cs"/>
          <w:rtl/>
        </w:rPr>
        <w:t>לומר</w:t>
      </w:r>
      <w:r w:rsidRPr="00323704">
        <w:rPr>
          <w:rFonts w:cs="Arial"/>
          <w:rtl/>
        </w:rPr>
        <w:t xml:space="preserve"> </w:t>
      </w:r>
      <w:r w:rsidRPr="00323704">
        <w:rPr>
          <w:rFonts w:cs="Arial" w:hint="cs"/>
          <w:rtl/>
        </w:rPr>
        <w:t>דהתם</w:t>
      </w:r>
      <w:r w:rsidRPr="00323704">
        <w:rPr>
          <w:rFonts w:cs="Arial"/>
          <w:rtl/>
        </w:rPr>
        <w:t xml:space="preserve"> </w:t>
      </w:r>
      <w:r w:rsidRPr="00323704">
        <w:rPr>
          <w:rFonts w:cs="Arial" w:hint="cs"/>
          <w:rtl/>
        </w:rPr>
        <w:t>בשאינו</w:t>
      </w:r>
      <w:r w:rsidRPr="00323704">
        <w:rPr>
          <w:rFonts w:cs="Arial"/>
          <w:rtl/>
        </w:rPr>
        <w:t xml:space="preserve"> </w:t>
      </w:r>
      <w:r w:rsidRPr="00323704">
        <w:rPr>
          <w:rFonts w:cs="Arial" w:hint="cs"/>
          <w:rtl/>
        </w:rPr>
        <w:t>מקבל</w:t>
      </w:r>
      <w:r w:rsidRPr="00323704">
        <w:rPr>
          <w:rFonts w:cs="Arial"/>
          <w:rtl/>
        </w:rPr>
        <w:t xml:space="preserve"> </w:t>
      </w:r>
      <w:r w:rsidRPr="00323704">
        <w:rPr>
          <w:rFonts w:cs="Arial" w:hint="cs"/>
          <w:rtl/>
        </w:rPr>
        <w:t>עליו</w:t>
      </w:r>
      <w:r w:rsidRPr="00323704">
        <w:rPr>
          <w:rFonts w:cs="Arial"/>
          <w:rtl/>
        </w:rPr>
        <w:t xml:space="preserve"> </w:t>
      </w:r>
      <w:r w:rsidRPr="00323704">
        <w:rPr>
          <w:rFonts w:cs="Arial" w:hint="cs"/>
          <w:rtl/>
        </w:rPr>
        <w:t>שבת</w:t>
      </w:r>
      <w:r w:rsidRPr="00323704">
        <w:rPr>
          <w:rFonts w:cs="Arial"/>
          <w:rtl/>
        </w:rPr>
        <w:t xml:space="preserve"> </w:t>
      </w:r>
      <w:r w:rsidRPr="00323704">
        <w:rPr>
          <w:rFonts w:cs="Arial" w:hint="cs"/>
          <w:rtl/>
        </w:rPr>
        <w:t>מיד</w:t>
      </w:r>
      <w:r w:rsidRPr="00323704">
        <w:rPr>
          <w:rFonts w:cs="Arial"/>
          <w:rtl/>
        </w:rPr>
        <w:t xml:space="preserve"> </w:t>
      </w:r>
      <w:r w:rsidRPr="00323704">
        <w:rPr>
          <w:rFonts w:cs="Arial" w:hint="cs"/>
          <w:rtl/>
        </w:rPr>
        <w:t>אבל</w:t>
      </w:r>
      <w:r w:rsidRPr="00323704">
        <w:rPr>
          <w:rFonts w:cs="Arial"/>
          <w:rtl/>
        </w:rPr>
        <w:t xml:space="preserve"> </w:t>
      </w:r>
      <w:r w:rsidRPr="00323704">
        <w:rPr>
          <w:rFonts w:cs="Arial" w:hint="cs"/>
          <w:rtl/>
        </w:rPr>
        <w:t>הכא</w:t>
      </w:r>
      <w:r w:rsidRPr="00323704">
        <w:rPr>
          <w:rFonts w:cs="Arial"/>
          <w:rtl/>
        </w:rPr>
        <w:t xml:space="preserve"> </w:t>
      </w:r>
      <w:r w:rsidRPr="00323704">
        <w:rPr>
          <w:rFonts w:cs="Arial" w:hint="cs"/>
          <w:rtl/>
        </w:rPr>
        <w:t>מיירי</w:t>
      </w:r>
      <w:r w:rsidRPr="00323704">
        <w:rPr>
          <w:rFonts w:cs="Arial"/>
          <w:rtl/>
        </w:rPr>
        <w:t xml:space="preserve"> </w:t>
      </w:r>
      <w:r w:rsidRPr="00323704">
        <w:rPr>
          <w:rFonts w:cs="Arial" w:hint="cs"/>
          <w:rtl/>
        </w:rPr>
        <w:t>שמקבל</w:t>
      </w:r>
      <w:r w:rsidRPr="00323704">
        <w:rPr>
          <w:rFonts w:cs="Arial"/>
          <w:rtl/>
        </w:rPr>
        <w:t xml:space="preserve"> </w:t>
      </w:r>
      <w:r w:rsidRPr="00323704">
        <w:rPr>
          <w:rFonts w:cs="Arial" w:hint="cs"/>
          <w:rtl/>
        </w:rPr>
        <w:t>עליו</w:t>
      </w:r>
      <w:r w:rsidRPr="00323704">
        <w:rPr>
          <w:rFonts w:cs="Arial"/>
          <w:rtl/>
        </w:rPr>
        <w:t xml:space="preserve"> </w:t>
      </w:r>
      <w:r w:rsidRPr="00323704">
        <w:rPr>
          <w:rFonts w:cs="Arial" w:hint="cs"/>
          <w:rtl/>
        </w:rPr>
        <w:t>שבת</w:t>
      </w:r>
      <w:r w:rsidRPr="00323704">
        <w:rPr>
          <w:rFonts w:cs="Arial"/>
          <w:rtl/>
        </w:rPr>
        <w:t xml:space="preserve"> </w:t>
      </w:r>
      <w:r w:rsidRPr="00323704">
        <w:rPr>
          <w:rFonts w:cs="Arial" w:hint="cs"/>
          <w:rtl/>
        </w:rPr>
        <w:t>מיד</w:t>
      </w:r>
      <w:r>
        <w:rPr>
          <w:rStyle w:val="a9"/>
          <w:rFonts w:cs="Arial"/>
          <w:rtl/>
        </w:rPr>
        <w:footnoteReference w:id="625"/>
      </w:r>
      <w:r w:rsidRPr="00323704">
        <w:rPr>
          <w:rFonts w:cs="Arial"/>
          <w:rtl/>
        </w:rPr>
        <w:t xml:space="preserve"> </w:t>
      </w:r>
      <w:r w:rsidRPr="00323704">
        <w:rPr>
          <w:rFonts w:cs="Arial" w:hint="cs"/>
          <w:rtl/>
        </w:rPr>
        <w:t>הלכך</w:t>
      </w:r>
      <w:r w:rsidRPr="00323704">
        <w:rPr>
          <w:rFonts w:cs="Arial"/>
          <w:rtl/>
        </w:rPr>
        <w:t xml:space="preserve"> </w:t>
      </w:r>
      <w:r w:rsidRPr="00323704">
        <w:rPr>
          <w:rFonts w:cs="Arial" w:hint="cs"/>
          <w:rtl/>
        </w:rPr>
        <w:t>לא</w:t>
      </w:r>
      <w:r w:rsidRPr="00323704">
        <w:rPr>
          <w:rFonts w:cs="Arial"/>
          <w:rtl/>
        </w:rPr>
        <w:t xml:space="preserve"> </w:t>
      </w:r>
      <w:r w:rsidRPr="00323704">
        <w:rPr>
          <w:rFonts w:cs="Arial" w:hint="cs"/>
          <w:rtl/>
        </w:rPr>
        <w:t>הויא</w:t>
      </w:r>
      <w:r w:rsidRPr="00323704">
        <w:rPr>
          <w:rFonts w:cs="Arial"/>
          <w:rtl/>
        </w:rPr>
        <w:t xml:space="preserve"> </w:t>
      </w:r>
      <w:r w:rsidRPr="00323704">
        <w:rPr>
          <w:rFonts w:cs="Arial" w:hint="cs"/>
          <w:rtl/>
        </w:rPr>
        <w:t>הקדמה</w:t>
      </w:r>
      <w:r>
        <w:rPr>
          <w:rFonts w:cs="Arial" w:hint="cs"/>
          <w:rtl/>
        </w:rPr>
        <w:t>.</w:t>
      </w:r>
      <w:r w:rsidRPr="00323704">
        <w:rPr>
          <w:rFonts w:cs="Arial" w:hint="cs"/>
          <w:color w:val="E36C0A" w:themeColor="accent6" w:themeShade="BF"/>
          <w:rtl/>
        </w:rPr>
        <w:t xml:space="preserve"> </w:t>
      </w:r>
      <w:r w:rsidRPr="0056384F">
        <w:rPr>
          <w:rFonts w:cs="Arial" w:hint="cs"/>
          <w:color w:val="E36C0A" w:themeColor="accent6" w:themeShade="BF"/>
          <w:rtl/>
        </w:rPr>
        <w:t>(וכ"פ בשו"ע)</w:t>
      </w:r>
    </w:p>
    <w:p w14:paraId="0C9A55A4"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7D41DA4" w14:textId="77777777" w:rsidR="004B2E7C" w:rsidRDefault="004B2E7C" w:rsidP="00434A6A">
      <w:pPr>
        <w:rPr>
          <w:rFonts w:asciiTheme="minorBidi" w:hAnsiTheme="minorBidi"/>
          <w:rtl/>
        </w:rPr>
      </w:pPr>
      <w:r w:rsidRPr="00CC2350">
        <w:rPr>
          <w:rFonts w:asciiTheme="minorBidi" w:hAnsiTheme="minorBidi" w:cs="Arial"/>
          <w:rtl/>
        </w:rPr>
        <w:t>לא יקדים למהר להדליקו בעוד היום גדול שאז אינו ניכר שמדליקו לכבוד שבת</w:t>
      </w:r>
      <w:r>
        <w:rPr>
          <w:rFonts w:asciiTheme="minorBidi" w:hAnsiTheme="minorBidi" w:cs="Arial" w:hint="cs"/>
          <w:rtl/>
        </w:rPr>
        <w:t>,</w:t>
      </w:r>
      <w:r w:rsidRPr="00CC2350">
        <w:rPr>
          <w:rFonts w:asciiTheme="minorBidi" w:hAnsiTheme="minorBidi" w:cs="Arial"/>
          <w:rtl/>
        </w:rPr>
        <w:t xml:space="preserve"> וגם לא יאחר. ואם רוצה להדליק נר בעוד היום גדול ולקבל עליו שבת מיד, רשאי</w:t>
      </w:r>
      <w:r>
        <w:rPr>
          <w:rFonts w:asciiTheme="minorBidi" w:hAnsiTheme="minorBidi" w:cs="Arial" w:hint="cs"/>
          <w:rtl/>
        </w:rPr>
        <w:t>,</w:t>
      </w:r>
      <w:r w:rsidRPr="00CC2350">
        <w:rPr>
          <w:rFonts w:asciiTheme="minorBidi" w:hAnsiTheme="minorBidi" w:cs="Arial"/>
          <w:rtl/>
        </w:rPr>
        <w:t xml:space="preserve"> כי כיון שמקבל עליו שבת מיד אין זו הקדמה, ובלבד שיהא מפלג המנחה ולמעלה</w:t>
      </w:r>
      <w:r>
        <w:rPr>
          <w:rStyle w:val="a9"/>
          <w:rFonts w:asciiTheme="minorBidi" w:hAnsiTheme="minorBidi" w:cs="Arial"/>
          <w:rtl/>
        </w:rPr>
        <w:footnoteReference w:id="626"/>
      </w:r>
      <w:r w:rsidRPr="00CC2350">
        <w:rPr>
          <w:rFonts w:asciiTheme="minorBidi" w:hAnsiTheme="minorBidi" w:cs="Arial"/>
          <w:rtl/>
        </w:rPr>
        <w:t xml:space="preserve"> שהוא שעה ורביע קודם הלילה</w:t>
      </w:r>
      <w:r>
        <w:rPr>
          <w:rStyle w:val="a9"/>
          <w:rFonts w:asciiTheme="minorBidi" w:hAnsiTheme="minorBidi" w:cs="Arial"/>
          <w:rtl/>
        </w:rPr>
        <w:footnoteReference w:id="627"/>
      </w:r>
      <w:r w:rsidRPr="00CC2350">
        <w:rPr>
          <w:rFonts w:asciiTheme="minorBidi" w:hAnsiTheme="minorBidi" w:cs="Arial"/>
          <w:rtl/>
        </w:rPr>
        <w:t xml:space="preserve">. </w:t>
      </w:r>
      <w:r w:rsidRPr="00A27DB6">
        <w:rPr>
          <w:rFonts w:asciiTheme="minorBidi" w:hAnsiTheme="minorBidi" w:cs="Arial"/>
          <w:sz w:val="18"/>
          <w:szCs w:val="18"/>
          <w:rtl/>
        </w:rPr>
        <w:t>הגה: וע"ל סימן רס"ז. ואם היה הנר דלוק מבעוד היום גדול</w:t>
      </w:r>
      <w:r>
        <w:rPr>
          <w:rStyle w:val="a9"/>
          <w:rFonts w:asciiTheme="minorBidi" w:hAnsiTheme="minorBidi" w:cs="Arial"/>
          <w:sz w:val="18"/>
          <w:szCs w:val="18"/>
          <w:rtl/>
        </w:rPr>
        <w:footnoteReference w:id="628"/>
      </w:r>
      <w:r w:rsidRPr="00A27DB6">
        <w:rPr>
          <w:rFonts w:asciiTheme="minorBidi" w:hAnsiTheme="minorBidi" w:cs="Arial"/>
          <w:sz w:val="18"/>
          <w:szCs w:val="18"/>
          <w:rtl/>
        </w:rPr>
        <w:t>, יכבנו ויחזור וידליקנו לצורך שבת (טור).</w:t>
      </w:r>
      <w:r w:rsidRPr="00CC2350">
        <w:rPr>
          <w:rFonts w:asciiTheme="minorBidi" w:hAnsiTheme="minorBidi" w:cs="Arial"/>
          <w:rtl/>
        </w:rPr>
        <w:t xml:space="preserve"> </w:t>
      </w:r>
    </w:p>
    <w:p w14:paraId="3F81E4BC" w14:textId="77777777" w:rsidR="004B2E7C" w:rsidRPr="00CC2350" w:rsidRDefault="004B2E7C" w:rsidP="00434A6A">
      <w:pPr>
        <w:rPr>
          <w:rFonts w:asciiTheme="minorBidi" w:hAnsiTheme="minorBidi"/>
          <w:rtl/>
        </w:rPr>
      </w:pPr>
    </w:p>
    <w:p w14:paraId="7530D710" w14:textId="77777777" w:rsidR="004B2E7C" w:rsidRDefault="004B2E7C" w:rsidP="00434A6A">
      <w:pPr>
        <w:pStyle w:val="2"/>
        <w:rPr>
          <w:rtl/>
        </w:rPr>
      </w:pPr>
      <w:r w:rsidRPr="00CC2350">
        <w:rPr>
          <w:rtl/>
        </w:rPr>
        <w:t>סעיף ה</w:t>
      </w:r>
      <w:r>
        <w:rPr>
          <w:rFonts w:hint="cs"/>
          <w:rtl/>
        </w:rPr>
        <w:t>: ברכת הדלקת נרות.</w:t>
      </w:r>
    </w:p>
    <w:p w14:paraId="6DB767B0" w14:textId="77777777" w:rsidR="004B2E7C" w:rsidRPr="005A5627" w:rsidRDefault="004B2E7C" w:rsidP="00434A6A">
      <w:pPr>
        <w:rPr>
          <w:u w:val="single"/>
          <w:rtl/>
        </w:rPr>
      </w:pPr>
      <w:r>
        <w:rPr>
          <w:rFonts w:hint="cs"/>
          <w:u w:val="single"/>
          <w:rtl/>
        </w:rPr>
        <w:t>ברכה על הדלקת נרות של שבת</w:t>
      </w:r>
      <w:r w:rsidRPr="005A5627">
        <w:rPr>
          <w:rFonts w:hint="cs"/>
          <w:u w:val="single"/>
          <w:rtl/>
        </w:rPr>
        <w:t>:</w:t>
      </w:r>
    </w:p>
    <w:p w14:paraId="3011B3EA" w14:textId="77777777" w:rsidR="004B2E7C" w:rsidRDefault="004B2E7C" w:rsidP="00FF2D21">
      <w:pPr>
        <w:pStyle w:val="aa"/>
        <w:numPr>
          <w:ilvl w:val="0"/>
          <w:numId w:val="87"/>
        </w:numPr>
        <w:rPr>
          <w:rFonts w:cs="Arial"/>
        </w:rPr>
      </w:pPr>
      <w:r>
        <w:rPr>
          <w:rFonts w:cs="Arial" w:hint="cs"/>
          <w:rtl/>
        </w:rPr>
        <w:t>סמ</w:t>
      </w:r>
      <w:r>
        <w:rPr>
          <w:rFonts w:cs="Arial"/>
          <w:rtl/>
        </w:rPr>
        <w:t>"</w:t>
      </w:r>
      <w:r>
        <w:rPr>
          <w:rFonts w:cs="Arial" w:hint="cs"/>
          <w:rtl/>
        </w:rPr>
        <w:t>ג</w:t>
      </w:r>
      <w:r>
        <w:rPr>
          <w:rFonts w:cs="Arial"/>
          <w:rtl/>
        </w:rPr>
        <w:t xml:space="preserve"> </w:t>
      </w:r>
      <w:r>
        <w:rPr>
          <w:rFonts w:cs="Arial" w:hint="cs"/>
          <w:rtl/>
        </w:rPr>
        <w:t>תוס'</w:t>
      </w:r>
      <w:r>
        <w:rPr>
          <w:rFonts w:cs="Arial"/>
          <w:rtl/>
        </w:rPr>
        <w:t xml:space="preserve"> </w:t>
      </w:r>
      <w:r>
        <w:rPr>
          <w:rFonts w:cs="Arial" w:hint="cs"/>
          <w:rtl/>
        </w:rPr>
        <w:t>רמב</w:t>
      </w:r>
      <w:r>
        <w:rPr>
          <w:rFonts w:cs="Arial"/>
          <w:rtl/>
        </w:rPr>
        <w:t>"</w:t>
      </w:r>
      <w:r>
        <w:rPr>
          <w:rFonts w:cs="Arial" w:hint="cs"/>
          <w:rtl/>
        </w:rPr>
        <w:t>ם מרדכי</w:t>
      </w:r>
      <w:r>
        <w:rPr>
          <w:rFonts w:cs="Arial"/>
          <w:rtl/>
        </w:rPr>
        <w:t xml:space="preserve"> </w:t>
      </w:r>
      <w:r>
        <w:rPr>
          <w:rFonts w:cs="Arial" w:hint="cs"/>
          <w:rtl/>
        </w:rPr>
        <w:t>רא</w:t>
      </w:r>
      <w:r>
        <w:rPr>
          <w:rFonts w:cs="Arial"/>
          <w:rtl/>
        </w:rPr>
        <w:t>"</w:t>
      </w:r>
      <w:r>
        <w:rPr>
          <w:rFonts w:cs="Arial" w:hint="cs"/>
          <w:rtl/>
        </w:rPr>
        <w:t>ש</w:t>
      </w:r>
      <w:r>
        <w:rPr>
          <w:rFonts w:cs="Arial"/>
          <w:rtl/>
        </w:rPr>
        <w:t xml:space="preserve"> </w:t>
      </w:r>
      <w:r>
        <w:rPr>
          <w:rFonts w:cs="Arial" w:hint="cs"/>
          <w:rtl/>
        </w:rPr>
        <w:t>טור רי"ו</w:t>
      </w:r>
      <w:r>
        <w:rPr>
          <w:rFonts w:cs="Arial"/>
          <w:rtl/>
        </w:rPr>
        <w:t xml:space="preserve"> </w:t>
      </w:r>
      <w:r>
        <w:rPr>
          <w:rFonts w:cs="Arial" w:hint="cs"/>
          <w:rtl/>
        </w:rPr>
        <w:t>ור</w:t>
      </w:r>
      <w:r>
        <w:rPr>
          <w:rFonts w:cs="Arial"/>
          <w:rtl/>
        </w:rPr>
        <w:t>"</w:t>
      </w:r>
      <w:r>
        <w:rPr>
          <w:rFonts w:cs="Arial" w:hint="cs"/>
          <w:rtl/>
        </w:rPr>
        <w:t>ן</w:t>
      </w:r>
      <w:r>
        <w:rPr>
          <w:rStyle w:val="a9"/>
          <w:rFonts w:cs="Arial"/>
          <w:rtl/>
        </w:rPr>
        <w:footnoteReference w:id="629"/>
      </w:r>
      <w:r w:rsidRPr="00A27DB6">
        <w:rPr>
          <w:rFonts w:cs="Arial" w:hint="cs"/>
          <w:rtl/>
        </w:rPr>
        <w:t>- וכשידליק</w:t>
      </w:r>
      <w:r w:rsidRPr="00A27DB6">
        <w:rPr>
          <w:rFonts w:cs="Arial"/>
          <w:rtl/>
        </w:rPr>
        <w:t xml:space="preserve"> </w:t>
      </w:r>
      <w:r w:rsidRPr="00A27DB6">
        <w:rPr>
          <w:rFonts w:cs="Arial" w:hint="cs"/>
          <w:rtl/>
        </w:rPr>
        <w:t>יברך</w:t>
      </w:r>
      <w:r>
        <w:rPr>
          <w:rStyle w:val="a9"/>
          <w:rFonts w:cs="Arial"/>
          <w:rtl/>
        </w:rPr>
        <w:footnoteReference w:id="630"/>
      </w:r>
      <w:r w:rsidRPr="00A27DB6">
        <w:rPr>
          <w:rFonts w:cs="Arial"/>
          <w:rtl/>
        </w:rPr>
        <w:t xml:space="preserve"> </w:t>
      </w:r>
      <w:r w:rsidRPr="00A27DB6">
        <w:rPr>
          <w:rFonts w:cs="Arial" w:hint="cs"/>
          <w:rtl/>
        </w:rPr>
        <w:t>ב</w:t>
      </w:r>
      <w:r>
        <w:rPr>
          <w:rFonts w:cs="Arial" w:hint="cs"/>
          <w:rtl/>
        </w:rPr>
        <w:t>גוי</w:t>
      </w:r>
      <w:r w:rsidRPr="00A27DB6">
        <w:rPr>
          <w:rFonts w:cs="Arial"/>
          <w:rtl/>
        </w:rPr>
        <w:t xml:space="preserve"> </w:t>
      </w:r>
      <w:r w:rsidRPr="00A27DB6">
        <w:rPr>
          <w:rFonts w:cs="Arial" w:hint="cs"/>
          <w:rtl/>
        </w:rPr>
        <w:t>אמ</w:t>
      </w:r>
      <w:r w:rsidRPr="00A27DB6">
        <w:rPr>
          <w:rFonts w:cs="Arial"/>
          <w:rtl/>
        </w:rPr>
        <w:t>"</w:t>
      </w:r>
      <w:r w:rsidRPr="00A27DB6">
        <w:rPr>
          <w:rFonts w:cs="Arial" w:hint="cs"/>
          <w:rtl/>
        </w:rPr>
        <w:t>ה</w:t>
      </w:r>
      <w:r w:rsidRPr="00A27DB6">
        <w:rPr>
          <w:rFonts w:cs="Arial"/>
          <w:rtl/>
        </w:rPr>
        <w:t xml:space="preserve"> </w:t>
      </w:r>
      <w:r w:rsidRPr="00A27DB6">
        <w:rPr>
          <w:rFonts w:cs="Arial" w:hint="cs"/>
          <w:rtl/>
        </w:rPr>
        <w:t>אקב</w:t>
      </w:r>
      <w:r w:rsidRPr="00A27DB6">
        <w:rPr>
          <w:rFonts w:cs="Arial"/>
          <w:rtl/>
        </w:rPr>
        <w:t>"</w:t>
      </w:r>
      <w:r w:rsidRPr="00A27DB6">
        <w:rPr>
          <w:rFonts w:cs="Arial" w:hint="cs"/>
          <w:rtl/>
        </w:rPr>
        <w:t>ו</w:t>
      </w:r>
      <w:r w:rsidRPr="00A27DB6">
        <w:rPr>
          <w:rFonts w:cs="Arial"/>
          <w:rtl/>
        </w:rPr>
        <w:t xml:space="preserve"> </w:t>
      </w:r>
      <w:r w:rsidRPr="00A27DB6">
        <w:rPr>
          <w:rFonts w:cs="Arial" w:hint="cs"/>
          <w:rtl/>
        </w:rPr>
        <w:t>להדליק</w:t>
      </w:r>
      <w:r w:rsidRPr="00A27DB6">
        <w:rPr>
          <w:rFonts w:cs="Arial"/>
          <w:rtl/>
        </w:rPr>
        <w:t xml:space="preserve"> </w:t>
      </w:r>
      <w:r w:rsidRPr="00A27DB6">
        <w:rPr>
          <w:rFonts w:cs="Arial" w:hint="cs"/>
          <w:rtl/>
        </w:rPr>
        <w:t>נר</w:t>
      </w:r>
      <w:r w:rsidRPr="00A27DB6">
        <w:rPr>
          <w:rFonts w:cs="Arial"/>
          <w:rtl/>
        </w:rPr>
        <w:t xml:space="preserve"> </w:t>
      </w:r>
      <w:r w:rsidRPr="00A27DB6">
        <w:rPr>
          <w:rFonts w:cs="Arial" w:hint="cs"/>
          <w:rtl/>
        </w:rPr>
        <w:t>של</w:t>
      </w:r>
      <w:r w:rsidRPr="00A27DB6">
        <w:rPr>
          <w:rFonts w:cs="Arial"/>
          <w:rtl/>
        </w:rPr>
        <w:t xml:space="preserve"> </w:t>
      </w:r>
      <w:r w:rsidRPr="00A27DB6">
        <w:rPr>
          <w:rFonts w:cs="Arial" w:hint="cs"/>
          <w:rtl/>
        </w:rPr>
        <w:t>שבת</w:t>
      </w:r>
      <w:r>
        <w:rPr>
          <w:rFonts w:cs="Arial" w:hint="cs"/>
          <w:rtl/>
        </w:rPr>
        <w:t>.</w:t>
      </w:r>
      <w:r w:rsidRPr="00A27DB6">
        <w:rPr>
          <w:rFonts w:cs="Arial"/>
          <w:rtl/>
        </w:rPr>
        <w:t xml:space="preserve"> </w:t>
      </w:r>
      <w:r w:rsidRPr="00A27DB6">
        <w:rPr>
          <w:rFonts w:cs="Arial" w:hint="cs"/>
          <w:rtl/>
        </w:rPr>
        <w:t>אחד</w:t>
      </w:r>
      <w:r w:rsidRPr="00A27DB6">
        <w:rPr>
          <w:rFonts w:cs="Arial"/>
          <w:rtl/>
        </w:rPr>
        <w:t xml:space="preserve"> </w:t>
      </w:r>
      <w:r w:rsidRPr="00A27DB6">
        <w:rPr>
          <w:rFonts w:cs="Arial" w:hint="cs"/>
          <w:rtl/>
        </w:rPr>
        <w:t>האיש</w:t>
      </w:r>
      <w:r w:rsidRPr="00A27DB6">
        <w:rPr>
          <w:rFonts w:cs="Arial"/>
          <w:rtl/>
        </w:rPr>
        <w:t xml:space="preserve"> </w:t>
      </w:r>
      <w:r w:rsidRPr="00A27DB6">
        <w:rPr>
          <w:rFonts w:cs="Arial" w:hint="cs"/>
          <w:rtl/>
        </w:rPr>
        <w:t>וא</w:t>
      </w:r>
      <w:r w:rsidRPr="00A27DB6">
        <w:rPr>
          <w:rFonts w:cs="Arial"/>
          <w:rtl/>
        </w:rPr>
        <w:t xml:space="preserve">' </w:t>
      </w:r>
      <w:r w:rsidRPr="00A27DB6">
        <w:rPr>
          <w:rFonts w:cs="Arial" w:hint="cs"/>
          <w:rtl/>
        </w:rPr>
        <w:t>האשה</w:t>
      </w:r>
      <w:r w:rsidRPr="00A27DB6">
        <w:rPr>
          <w:rFonts w:cs="Arial"/>
          <w:rtl/>
        </w:rPr>
        <w:t xml:space="preserve"> </w:t>
      </w:r>
      <w:r w:rsidRPr="00A27DB6">
        <w:rPr>
          <w:rFonts w:cs="Arial" w:hint="cs"/>
          <w:rtl/>
        </w:rPr>
        <w:t>בכ</w:t>
      </w:r>
      <w:r>
        <w:rPr>
          <w:rFonts w:cs="Arial" w:hint="cs"/>
          <w:rtl/>
        </w:rPr>
        <w:t xml:space="preserve">ל </w:t>
      </w:r>
      <w:r w:rsidRPr="00A27DB6">
        <w:rPr>
          <w:rFonts w:cs="Arial" w:hint="cs"/>
          <w:rtl/>
        </w:rPr>
        <w:t>מ</w:t>
      </w:r>
      <w:r>
        <w:rPr>
          <w:rFonts w:cs="Arial" w:hint="cs"/>
          <w:rtl/>
        </w:rPr>
        <w:t>קום</w:t>
      </w:r>
      <w:r w:rsidRPr="00A27DB6">
        <w:rPr>
          <w:rFonts w:cs="Arial"/>
          <w:rtl/>
        </w:rPr>
        <w:t xml:space="preserve"> </w:t>
      </w:r>
      <w:r w:rsidRPr="00A27DB6">
        <w:rPr>
          <w:rFonts w:cs="Arial" w:hint="cs"/>
          <w:rtl/>
        </w:rPr>
        <w:t>שידליקו</w:t>
      </w:r>
      <w:r w:rsidRPr="00A27DB6">
        <w:rPr>
          <w:rFonts w:cs="Arial"/>
          <w:rtl/>
        </w:rPr>
        <w:t xml:space="preserve"> </w:t>
      </w:r>
      <w:r w:rsidRPr="00A27DB6">
        <w:rPr>
          <w:rFonts w:cs="Arial" w:hint="cs"/>
          <w:rtl/>
        </w:rPr>
        <w:t>בו</w:t>
      </w:r>
      <w:r>
        <w:rPr>
          <w:rFonts w:cs="Arial" w:hint="cs"/>
          <w:sz w:val="16"/>
          <w:szCs w:val="16"/>
          <w:rtl/>
        </w:rPr>
        <w:t xml:space="preserve"> (ל' הטור)</w:t>
      </w:r>
      <w:r>
        <w:rPr>
          <w:rFonts w:cs="Arial" w:hint="cs"/>
          <w:rtl/>
        </w:rPr>
        <w:t>.</w:t>
      </w:r>
      <w:r w:rsidRPr="00323704">
        <w:rPr>
          <w:rFonts w:cs="Arial" w:hint="cs"/>
          <w:color w:val="E36C0A" w:themeColor="accent6" w:themeShade="BF"/>
          <w:rtl/>
        </w:rPr>
        <w:t xml:space="preserve"> </w:t>
      </w:r>
      <w:r w:rsidRPr="0056384F">
        <w:rPr>
          <w:rFonts w:cs="Arial" w:hint="cs"/>
          <w:color w:val="E36C0A" w:themeColor="accent6" w:themeShade="BF"/>
          <w:rtl/>
        </w:rPr>
        <w:t>(וכ"פ בשו"ע)</w:t>
      </w:r>
    </w:p>
    <w:p w14:paraId="322FDDEB" w14:textId="77777777" w:rsidR="004B2E7C" w:rsidRDefault="004B2E7C" w:rsidP="00FF2D21">
      <w:pPr>
        <w:pStyle w:val="aa"/>
        <w:numPr>
          <w:ilvl w:val="0"/>
          <w:numId w:val="87"/>
        </w:numPr>
        <w:rPr>
          <w:rFonts w:cs="Arial"/>
        </w:rPr>
      </w:pPr>
      <w:r>
        <w:rPr>
          <w:rFonts w:cs="Arial" w:hint="cs"/>
          <w:rtl/>
        </w:rPr>
        <w:t xml:space="preserve">י"א </w:t>
      </w:r>
      <w:r>
        <w:rPr>
          <w:rFonts w:cs="Arial" w:hint="cs"/>
          <w:sz w:val="16"/>
          <w:szCs w:val="16"/>
          <w:rtl/>
        </w:rPr>
        <w:t>(הביאום התוס' והטור, וכתב המרדכי [סי' רצג] דהיא דעת רבנו משולם)</w:t>
      </w:r>
      <w:r>
        <w:rPr>
          <w:rFonts w:cs="Arial" w:hint="cs"/>
          <w:rtl/>
        </w:rPr>
        <w:t xml:space="preserve">- </w:t>
      </w:r>
      <w:r w:rsidRPr="002F3850">
        <w:rPr>
          <w:rFonts w:cs="Arial"/>
          <w:rtl/>
        </w:rPr>
        <w:t>אין לברך אהדלקת נר</w:t>
      </w:r>
      <w:r>
        <w:rPr>
          <w:rFonts w:cs="Arial" w:hint="cs"/>
          <w:rtl/>
        </w:rPr>
        <w:t>,</w:t>
      </w:r>
      <w:r w:rsidRPr="002F3850">
        <w:rPr>
          <w:rFonts w:cs="Arial"/>
          <w:rtl/>
        </w:rPr>
        <w:t xml:space="preserve"> מדקרי ליה חובה</w:t>
      </w:r>
      <w:r>
        <w:rPr>
          <w:rFonts w:cs="Arial" w:hint="cs"/>
          <w:rtl/>
        </w:rPr>
        <w:t>,</w:t>
      </w:r>
      <w:r w:rsidRPr="002F3850">
        <w:rPr>
          <w:rFonts w:cs="Arial"/>
          <w:rtl/>
        </w:rPr>
        <w:t xml:space="preserve"> כדאמרינן (חולין קה.) מים אחרונים חובה ואין טעונין ברכה</w:t>
      </w:r>
      <w:r>
        <w:rPr>
          <w:rStyle w:val="a9"/>
          <w:rFonts w:cs="Arial"/>
          <w:rtl/>
        </w:rPr>
        <w:footnoteReference w:id="631"/>
      </w:r>
      <w:r>
        <w:rPr>
          <w:rFonts w:cs="Arial" w:hint="cs"/>
          <w:rtl/>
        </w:rPr>
        <w:t>... ו</w:t>
      </w:r>
      <w:r w:rsidRPr="002F3850">
        <w:rPr>
          <w:rFonts w:cs="Arial"/>
          <w:rtl/>
        </w:rPr>
        <w:t>טעם אחר שלא לברך משום שאם היתה מודלקת ועומדת לא היה צרי</w:t>
      </w:r>
      <w:r>
        <w:rPr>
          <w:rFonts w:cs="Arial" w:hint="cs"/>
          <w:rtl/>
        </w:rPr>
        <w:t>ך</w:t>
      </w:r>
      <w:r w:rsidRPr="002F3850">
        <w:rPr>
          <w:rFonts w:cs="Arial"/>
          <w:rtl/>
        </w:rPr>
        <w:t xml:space="preserve"> לכבותה ולחזור ולהדליקה ולא להדליק אחרת</w:t>
      </w:r>
      <w:r>
        <w:rPr>
          <w:rStyle w:val="a9"/>
          <w:rFonts w:cs="Arial"/>
          <w:rtl/>
        </w:rPr>
        <w:footnoteReference w:id="632"/>
      </w:r>
      <w:r w:rsidRPr="002F3850">
        <w:rPr>
          <w:rFonts w:cs="Arial"/>
          <w:rtl/>
        </w:rPr>
        <w:t>.</w:t>
      </w:r>
    </w:p>
    <w:p w14:paraId="716145E7" w14:textId="77777777" w:rsidR="004B2E7C" w:rsidRPr="00B970EB" w:rsidRDefault="004B2E7C" w:rsidP="00434A6A">
      <w:pPr>
        <w:rPr>
          <w:rFonts w:cs="Arial"/>
          <w:u w:val="single"/>
        </w:rPr>
      </w:pPr>
      <w:r w:rsidRPr="00B970EB">
        <w:rPr>
          <w:rFonts w:cs="Arial" w:hint="cs"/>
          <w:u w:val="single"/>
          <w:rtl/>
        </w:rPr>
        <w:t>ברכה על נרות של יום טוב:</w:t>
      </w:r>
    </w:p>
    <w:p w14:paraId="3BC39E56" w14:textId="77777777" w:rsidR="004B2E7C" w:rsidRDefault="004B2E7C" w:rsidP="00FF2D21">
      <w:pPr>
        <w:pStyle w:val="aa"/>
        <w:numPr>
          <w:ilvl w:val="0"/>
          <w:numId w:val="87"/>
        </w:numPr>
        <w:rPr>
          <w:rFonts w:cs="Arial"/>
        </w:rPr>
      </w:pPr>
      <w:r w:rsidRPr="00046D68">
        <w:rPr>
          <w:rFonts w:cs="Arial" w:hint="cs"/>
          <w:rtl/>
        </w:rPr>
        <w:t>הגה</w:t>
      </w:r>
      <w:r>
        <w:rPr>
          <w:rFonts w:cs="Arial" w:hint="cs"/>
          <w:rtl/>
        </w:rPr>
        <w:t>"מ</w:t>
      </w:r>
      <w:r w:rsidRPr="00046D68">
        <w:rPr>
          <w:rFonts w:cs="Arial"/>
          <w:rtl/>
        </w:rPr>
        <w:t xml:space="preserve"> </w:t>
      </w:r>
      <w:r w:rsidRPr="00B970EB">
        <w:rPr>
          <w:rFonts w:cs="Arial"/>
          <w:sz w:val="16"/>
          <w:szCs w:val="16"/>
          <w:rtl/>
        </w:rPr>
        <w:t>(</w:t>
      </w:r>
      <w:r w:rsidRPr="00B970EB">
        <w:rPr>
          <w:rFonts w:cs="Arial" w:hint="cs"/>
          <w:sz w:val="16"/>
          <w:szCs w:val="16"/>
          <w:rtl/>
        </w:rPr>
        <w:t>פ</w:t>
      </w:r>
      <w:r w:rsidRPr="00B970EB">
        <w:rPr>
          <w:rFonts w:cs="Arial"/>
          <w:sz w:val="16"/>
          <w:szCs w:val="16"/>
          <w:rtl/>
        </w:rPr>
        <w:t>"</w:t>
      </w:r>
      <w:r w:rsidRPr="00B970EB">
        <w:rPr>
          <w:rFonts w:cs="Arial" w:hint="cs"/>
          <w:sz w:val="16"/>
          <w:szCs w:val="16"/>
          <w:rtl/>
        </w:rPr>
        <w:t>ה</w:t>
      </w:r>
      <w:r w:rsidRPr="00B970EB">
        <w:rPr>
          <w:rFonts w:cs="Arial"/>
          <w:sz w:val="16"/>
          <w:szCs w:val="16"/>
          <w:rtl/>
        </w:rPr>
        <w:t xml:space="preserve"> </w:t>
      </w:r>
      <w:r w:rsidRPr="00B970EB">
        <w:rPr>
          <w:rFonts w:cs="Arial" w:hint="cs"/>
          <w:sz w:val="16"/>
          <w:szCs w:val="16"/>
          <w:rtl/>
        </w:rPr>
        <w:t>אות</w:t>
      </w:r>
      <w:r w:rsidRPr="00B970EB">
        <w:rPr>
          <w:rFonts w:cs="Arial"/>
          <w:sz w:val="16"/>
          <w:szCs w:val="16"/>
          <w:rtl/>
        </w:rPr>
        <w:t xml:space="preserve"> </w:t>
      </w:r>
      <w:r w:rsidRPr="00B970EB">
        <w:rPr>
          <w:rFonts w:cs="Arial" w:hint="cs"/>
          <w:sz w:val="16"/>
          <w:szCs w:val="16"/>
          <w:rtl/>
        </w:rPr>
        <w:t>א</w:t>
      </w:r>
      <w:r w:rsidRPr="00B970EB">
        <w:rPr>
          <w:rFonts w:cs="Arial"/>
          <w:sz w:val="16"/>
          <w:szCs w:val="16"/>
          <w:rtl/>
        </w:rPr>
        <w:t xml:space="preserve">) </w:t>
      </w:r>
      <w:r w:rsidRPr="00046D68">
        <w:rPr>
          <w:rFonts w:cs="Arial" w:hint="cs"/>
          <w:rtl/>
        </w:rPr>
        <w:t>ומרדכי</w:t>
      </w:r>
      <w:r w:rsidRPr="00046D68">
        <w:rPr>
          <w:rFonts w:cs="Arial"/>
          <w:rtl/>
        </w:rPr>
        <w:t xml:space="preserve"> </w:t>
      </w:r>
      <w:r w:rsidRPr="00B970EB">
        <w:rPr>
          <w:rFonts w:cs="Arial" w:hint="cs"/>
          <w:sz w:val="16"/>
          <w:szCs w:val="16"/>
          <w:rtl/>
        </w:rPr>
        <w:t>(פרק</w:t>
      </w:r>
      <w:r w:rsidRPr="00B970EB">
        <w:rPr>
          <w:rFonts w:cs="Arial"/>
          <w:sz w:val="16"/>
          <w:szCs w:val="16"/>
          <w:rtl/>
        </w:rPr>
        <w:t xml:space="preserve"> </w:t>
      </w:r>
      <w:r w:rsidRPr="00B970EB">
        <w:rPr>
          <w:rFonts w:cs="Arial" w:hint="cs"/>
          <w:sz w:val="16"/>
          <w:szCs w:val="16"/>
          <w:rtl/>
        </w:rPr>
        <w:t>במה</w:t>
      </w:r>
      <w:r w:rsidRPr="00B970EB">
        <w:rPr>
          <w:rFonts w:cs="Arial"/>
          <w:sz w:val="16"/>
          <w:szCs w:val="16"/>
          <w:rtl/>
        </w:rPr>
        <w:t xml:space="preserve"> </w:t>
      </w:r>
      <w:r w:rsidRPr="00B970EB">
        <w:rPr>
          <w:rFonts w:cs="Arial" w:hint="cs"/>
          <w:sz w:val="16"/>
          <w:szCs w:val="16"/>
          <w:rtl/>
        </w:rPr>
        <w:t>מדליקין</w:t>
      </w:r>
      <w:r w:rsidRPr="00B970EB">
        <w:rPr>
          <w:rFonts w:cs="Arial"/>
          <w:sz w:val="16"/>
          <w:szCs w:val="16"/>
          <w:rtl/>
        </w:rPr>
        <w:t xml:space="preserve"> </w:t>
      </w:r>
      <w:r w:rsidRPr="00B970EB">
        <w:rPr>
          <w:rFonts w:cs="Arial" w:hint="cs"/>
          <w:sz w:val="16"/>
          <w:szCs w:val="16"/>
          <w:rtl/>
        </w:rPr>
        <w:t>סי</w:t>
      </w:r>
      <w:r w:rsidRPr="00B970EB">
        <w:rPr>
          <w:rFonts w:cs="Arial"/>
          <w:sz w:val="16"/>
          <w:szCs w:val="16"/>
          <w:rtl/>
        </w:rPr>
        <w:t xml:space="preserve">' </w:t>
      </w:r>
      <w:r w:rsidRPr="00B970EB">
        <w:rPr>
          <w:rFonts w:cs="Arial" w:hint="cs"/>
          <w:sz w:val="16"/>
          <w:szCs w:val="16"/>
          <w:rtl/>
        </w:rPr>
        <w:t>רעג</w:t>
      </w:r>
      <w:r w:rsidRPr="00B970EB">
        <w:rPr>
          <w:rFonts w:cs="Arial"/>
          <w:sz w:val="16"/>
          <w:szCs w:val="16"/>
          <w:rtl/>
        </w:rPr>
        <w:t>)</w:t>
      </w:r>
      <w:r>
        <w:rPr>
          <w:rFonts w:cs="Arial" w:hint="cs"/>
          <w:rtl/>
        </w:rPr>
        <w:t xml:space="preserve">- </w:t>
      </w:r>
      <w:r w:rsidRPr="00046D68">
        <w:rPr>
          <w:rFonts w:cs="Arial" w:hint="cs"/>
          <w:rtl/>
        </w:rPr>
        <w:t>איתא</w:t>
      </w:r>
      <w:r w:rsidRPr="00046D68">
        <w:rPr>
          <w:rFonts w:cs="Arial"/>
          <w:rtl/>
        </w:rPr>
        <w:t xml:space="preserve"> </w:t>
      </w:r>
      <w:r w:rsidRPr="00046D68">
        <w:rPr>
          <w:rFonts w:cs="Arial" w:hint="cs"/>
          <w:rtl/>
        </w:rPr>
        <w:t>בירושלמי</w:t>
      </w:r>
      <w:r w:rsidRPr="00046D68">
        <w:rPr>
          <w:rFonts w:cs="Arial"/>
          <w:rtl/>
        </w:rPr>
        <w:t xml:space="preserve"> </w:t>
      </w:r>
      <w:r w:rsidRPr="00046D68">
        <w:rPr>
          <w:rFonts w:cs="Arial" w:hint="cs"/>
          <w:rtl/>
        </w:rPr>
        <w:t>דגם</w:t>
      </w:r>
      <w:r w:rsidRPr="00046D68">
        <w:rPr>
          <w:rFonts w:cs="Arial"/>
          <w:rtl/>
        </w:rPr>
        <w:t xml:space="preserve"> </w:t>
      </w:r>
      <w:r w:rsidRPr="00046D68">
        <w:rPr>
          <w:rFonts w:cs="Arial" w:hint="cs"/>
          <w:rtl/>
        </w:rPr>
        <w:t>ביום</w:t>
      </w:r>
      <w:r w:rsidRPr="00046D68">
        <w:rPr>
          <w:rFonts w:cs="Arial"/>
          <w:rtl/>
        </w:rPr>
        <w:t xml:space="preserve"> </w:t>
      </w:r>
      <w:r w:rsidRPr="00046D68">
        <w:rPr>
          <w:rFonts w:cs="Arial" w:hint="cs"/>
          <w:rtl/>
        </w:rPr>
        <w:t>טוב</w:t>
      </w:r>
      <w:r w:rsidRPr="00046D68">
        <w:rPr>
          <w:rFonts w:cs="Arial"/>
          <w:rtl/>
        </w:rPr>
        <w:t xml:space="preserve"> </w:t>
      </w:r>
      <w:r w:rsidRPr="00046D68">
        <w:rPr>
          <w:rFonts w:cs="Arial" w:hint="cs"/>
          <w:rtl/>
        </w:rPr>
        <w:t>צריך</w:t>
      </w:r>
      <w:r w:rsidRPr="00046D68">
        <w:rPr>
          <w:rFonts w:cs="Arial"/>
          <w:rtl/>
        </w:rPr>
        <w:t xml:space="preserve"> </w:t>
      </w:r>
      <w:r w:rsidRPr="00046D68">
        <w:rPr>
          <w:rFonts w:cs="Arial" w:hint="cs"/>
          <w:rtl/>
        </w:rPr>
        <w:t>לברך</w:t>
      </w:r>
      <w:r w:rsidRPr="00046D68">
        <w:rPr>
          <w:rFonts w:cs="Arial"/>
          <w:rtl/>
        </w:rPr>
        <w:t xml:space="preserve"> </w:t>
      </w:r>
      <w:r w:rsidRPr="00046D68">
        <w:rPr>
          <w:rFonts w:cs="Arial" w:hint="cs"/>
          <w:rtl/>
        </w:rPr>
        <w:t>להדליק</w:t>
      </w:r>
      <w:r w:rsidRPr="00046D68">
        <w:rPr>
          <w:rFonts w:cs="Arial"/>
          <w:rtl/>
        </w:rPr>
        <w:t xml:space="preserve"> </w:t>
      </w:r>
      <w:r w:rsidRPr="00046D68">
        <w:rPr>
          <w:rFonts w:cs="Arial" w:hint="cs"/>
          <w:rtl/>
        </w:rPr>
        <w:t>נר</w:t>
      </w:r>
      <w:r w:rsidRPr="00046D68">
        <w:rPr>
          <w:rFonts w:cs="Arial"/>
          <w:rtl/>
        </w:rPr>
        <w:t xml:space="preserve"> </w:t>
      </w:r>
      <w:r w:rsidRPr="00046D68">
        <w:rPr>
          <w:rFonts w:cs="Arial" w:hint="cs"/>
          <w:rtl/>
        </w:rPr>
        <w:t>של</w:t>
      </w:r>
      <w:r w:rsidRPr="00046D68">
        <w:rPr>
          <w:rFonts w:cs="Arial"/>
          <w:rtl/>
        </w:rPr>
        <w:t xml:space="preserve"> </w:t>
      </w:r>
      <w:r w:rsidRPr="00046D68">
        <w:rPr>
          <w:rFonts w:cs="Arial" w:hint="cs"/>
          <w:rtl/>
        </w:rPr>
        <w:t>יום</w:t>
      </w:r>
      <w:r w:rsidRPr="00046D68">
        <w:rPr>
          <w:rFonts w:cs="Arial"/>
          <w:rtl/>
        </w:rPr>
        <w:t xml:space="preserve"> </w:t>
      </w:r>
      <w:r w:rsidRPr="00046D68">
        <w:rPr>
          <w:rFonts w:cs="Arial" w:hint="cs"/>
          <w:rtl/>
        </w:rPr>
        <w:t>טוב</w:t>
      </w:r>
      <w:r>
        <w:rPr>
          <w:rFonts w:cs="Arial" w:hint="cs"/>
          <w:rtl/>
        </w:rPr>
        <w:t>.</w:t>
      </w:r>
      <w:r w:rsidRPr="00046D68">
        <w:rPr>
          <w:rFonts w:cs="Arial"/>
          <w:rtl/>
        </w:rPr>
        <w:t xml:space="preserve"> </w:t>
      </w:r>
      <w:r w:rsidRPr="0056384F">
        <w:rPr>
          <w:rFonts w:cs="Arial" w:hint="cs"/>
          <w:color w:val="E36C0A" w:themeColor="accent6" w:themeShade="BF"/>
          <w:rtl/>
        </w:rPr>
        <w:t>(וכ"פ בשו"ע)</w:t>
      </w:r>
    </w:p>
    <w:p w14:paraId="5A9E26FA" w14:textId="77777777" w:rsidR="004B2E7C" w:rsidRPr="00B970EB" w:rsidRDefault="004B2E7C" w:rsidP="00434A6A">
      <w:pPr>
        <w:rPr>
          <w:rFonts w:cs="Arial"/>
          <w:u w:val="single"/>
        </w:rPr>
      </w:pPr>
      <w:r w:rsidRPr="00B970EB">
        <w:rPr>
          <w:rFonts w:cs="Arial" w:hint="cs"/>
          <w:u w:val="single"/>
          <w:rtl/>
        </w:rPr>
        <w:t>ברכה על נרות של יום הכפורים:</w:t>
      </w:r>
    </w:p>
    <w:p w14:paraId="004A2794" w14:textId="77777777" w:rsidR="004B2E7C" w:rsidRDefault="004B2E7C" w:rsidP="00FF2D21">
      <w:pPr>
        <w:pStyle w:val="aa"/>
        <w:numPr>
          <w:ilvl w:val="0"/>
          <w:numId w:val="87"/>
        </w:numPr>
        <w:rPr>
          <w:rFonts w:cs="Arial"/>
        </w:rPr>
      </w:pPr>
      <w:r w:rsidRPr="00046D68">
        <w:rPr>
          <w:rFonts w:cs="Arial" w:hint="cs"/>
          <w:rtl/>
        </w:rPr>
        <w:t>הגה</w:t>
      </w:r>
      <w:r>
        <w:rPr>
          <w:rFonts w:cs="Arial" w:hint="cs"/>
          <w:rtl/>
        </w:rPr>
        <w:t>"מ</w:t>
      </w:r>
      <w:r w:rsidRPr="00046D68">
        <w:rPr>
          <w:rFonts w:cs="Arial"/>
          <w:rtl/>
        </w:rPr>
        <w:t xml:space="preserve"> </w:t>
      </w:r>
      <w:r w:rsidRPr="00B970EB">
        <w:rPr>
          <w:rFonts w:cs="Arial"/>
          <w:sz w:val="16"/>
          <w:szCs w:val="16"/>
          <w:rtl/>
        </w:rPr>
        <w:t>(</w:t>
      </w:r>
      <w:r w:rsidRPr="00B970EB">
        <w:rPr>
          <w:rFonts w:cs="Arial" w:hint="cs"/>
          <w:sz w:val="16"/>
          <w:szCs w:val="16"/>
          <w:rtl/>
        </w:rPr>
        <w:t>פ</w:t>
      </w:r>
      <w:r w:rsidRPr="00B970EB">
        <w:rPr>
          <w:rFonts w:cs="Arial"/>
          <w:sz w:val="16"/>
          <w:szCs w:val="16"/>
          <w:rtl/>
        </w:rPr>
        <w:t>"</w:t>
      </w:r>
      <w:r w:rsidRPr="00B970EB">
        <w:rPr>
          <w:rFonts w:cs="Arial" w:hint="cs"/>
          <w:sz w:val="16"/>
          <w:szCs w:val="16"/>
          <w:rtl/>
        </w:rPr>
        <w:t>ה</w:t>
      </w:r>
      <w:r w:rsidRPr="00B970EB">
        <w:rPr>
          <w:rFonts w:cs="Arial"/>
          <w:sz w:val="16"/>
          <w:szCs w:val="16"/>
          <w:rtl/>
        </w:rPr>
        <w:t xml:space="preserve"> </w:t>
      </w:r>
      <w:r w:rsidRPr="00B970EB">
        <w:rPr>
          <w:rFonts w:cs="Arial" w:hint="cs"/>
          <w:sz w:val="16"/>
          <w:szCs w:val="16"/>
          <w:rtl/>
        </w:rPr>
        <w:t>אות</w:t>
      </w:r>
      <w:r w:rsidRPr="00B970EB">
        <w:rPr>
          <w:rFonts w:cs="Arial"/>
          <w:sz w:val="16"/>
          <w:szCs w:val="16"/>
          <w:rtl/>
        </w:rPr>
        <w:t xml:space="preserve"> </w:t>
      </w:r>
      <w:r w:rsidRPr="00B970EB">
        <w:rPr>
          <w:rFonts w:cs="Arial" w:hint="cs"/>
          <w:sz w:val="16"/>
          <w:szCs w:val="16"/>
          <w:rtl/>
        </w:rPr>
        <w:t>א</w:t>
      </w:r>
      <w:r w:rsidRPr="00B970EB">
        <w:rPr>
          <w:rFonts w:cs="Arial"/>
          <w:sz w:val="16"/>
          <w:szCs w:val="16"/>
          <w:rtl/>
        </w:rPr>
        <w:t xml:space="preserve">) </w:t>
      </w:r>
      <w:r w:rsidRPr="00046D68">
        <w:rPr>
          <w:rFonts w:cs="Arial" w:hint="cs"/>
          <w:rtl/>
        </w:rPr>
        <w:t>ומרדכי</w:t>
      </w:r>
      <w:r w:rsidRPr="00046D68">
        <w:rPr>
          <w:rFonts w:cs="Arial"/>
          <w:rtl/>
        </w:rPr>
        <w:t xml:space="preserve"> </w:t>
      </w:r>
      <w:r w:rsidRPr="00B970EB">
        <w:rPr>
          <w:rFonts w:cs="Arial" w:hint="cs"/>
          <w:sz w:val="16"/>
          <w:szCs w:val="16"/>
          <w:rtl/>
        </w:rPr>
        <w:t>(פרק</w:t>
      </w:r>
      <w:r w:rsidRPr="00B970EB">
        <w:rPr>
          <w:rFonts w:cs="Arial"/>
          <w:sz w:val="16"/>
          <w:szCs w:val="16"/>
          <w:rtl/>
        </w:rPr>
        <w:t xml:space="preserve"> </w:t>
      </w:r>
      <w:r w:rsidRPr="00B970EB">
        <w:rPr>
          <w:rFonts w:cs="Arial" w:hint="cs"/>
          <w:sz w:val="16"/>
          <w:szCs w:val="16"/>
          <w:rtl/>
        </w:rPr>
        <w:t>במה</w:t>
      </w:r>
      <w:r w:rsidRPr="00B970EB">
        <w:rPr>
          <w:rFonts w:cs="Arial"/>
          <w:sz w:val="16"/>
          <w:szCs w:val="16"/>
          <w:rtl/>
        </w:rPr>
        <w:t xml:space="preserve"> </w:t>
      </w:r>
      <w:r w:rsidRPr="00B970EB">
        <w:rPr>
          <w:rFonts w:cs="Arial" w:hint="cs"/>
          <w:sz w:val="16"/>
          <w:szCs w:val="16"/>
          <w:rtl/>
        </w:rPr>
        <w:t>מדליקין</w:t>
      </w:r>
      <w:r w:rsidRPr="00B970EB">
        <w:rPr>
          <w:rFonts w:cs="Arial"/>
          <w:sz w:val="16"/>
          <w:szCs w:val="16"/>
          <w:rtl/>
        </w:rPr>
        <w:t xml:space="preserve"> </w:t>
      </w:r>
      <w:r w:rsidRPr="00B970EB">
        <w:rPr>
          <w:rFonts w:cs="Arial" w:hint="cs"/>
          <w:sz w:val="16"/>
          <w:szCs w:val="16"/>
          <w:rtl/>
        </w:rPr>
        <w:t>סי</w:t>
      </w:r>
      <w:r w:rsidRPr="00B970EB">
        <w:rPr>
          <w:rFonts w:cs="Arial"/>
          <w:sz w:val="16"/>
          <w:szCs w:val="16"/>
          <w:rtl/>
        </w:rPr>
        <w:t xml:space="preserve">' </w:t>
      </w:r>
      <w:r w:rsidRPr="00B970EB">
        <w:rPr>
          <w:rFonts w:cs="Arial" w:hint="cs"/>
          <w:sz w:val="16"/>
          <w:szCs w:val="16"/>
          <w:rtl/>
        </w:rPr>
        <w:t>רעג</w:t>
      </w:r>
      <w:r w:rsidRPr="00B970EB">
        <w:rPr>
          <w:rFonts w:cs="Arial"/>
          <w:sz w:val="16"/>
          <w:szCs w:val="16"/>
          <w:rtl/>
        </w:rPr>
        <w:t>)</w:t>
      </w:r>
      <w:r>
        <w:rPr>
          <w:rFonts w:cs="Arial" w:hint="cs"/>
          <w:rtl/>
        </w:rPr>
        <w:t xml:space="preserve">- </w:t>
      </w:r>
      <w:r w:rsidRPr="00046D68">
        <w:rPr>
          <w:rFonts w:cs="Arial" w:hint="cs"/>
          <w:rtl/>
        </w:rPr>
        <w:t>ונראה</w:t>
      </w:r>
      <w:r w:rsidRPr="00046D68">
        <w:rPr>
          <w:rFonts w:cs="Arial"/>
          <w:rtl/>
        </w:rPr>
        <w:t xml:space="preserve"> </w:t>
      </w:r>
      <w:r w:rsidRPr="00046D68">
        <w:rPr>
          <w:rFonts w:cs="Arial" w:hint="cs"/>
          <w:rtl/>
        </w:rPr>
        <w:t>דביום</w:t>
      </w:r>
      <w:r w:rsidRPr="00046D68">
        <w:rPr>
          <w:rFonts w:cs="Arial"/>
          <w:rtl/>
        </w:rPr>
        <w:t xml:space="preserve"> </w:t>
      </w:r>
      <w:r w:rsidRPr="00046D68">
        <w:rPr>
          <w:rFonts w:cs="Arial" w:hint="cs"/>
          <w:rtl/>
        </w:rPr>
        <w:t>הכפורים</w:t>
      </w:r>
      <w:r w:rsidRPr="00046D68">
        <w:rPr>
          <w:rFonts w:cs="Arial"/>
          <w:rtl/>
        </w:rPr>
        <w:t xml:space="preserve"> </w:t>
      </w:r>
      <w:r w:rsidRPr="00046D68">
        <w:rPr>
          <w:rFonts w:cs="Arial" w:hint="cs"/>
          <w:rtl/>
        </w:rPr>
        <w:t>בלא</w:t>
      </w:r>
      <w:r w:rsidRPr="00046D68">
        <w:rPr>
          <w:rFonts w:cs="Arial"/>
          <w:rtl/>
        </w:rPr>
        <w:t xml:space="preserve"> </w:t>
      </w:r>
      <w:r w:rsidRPr="00046D68">
        <w:rPr>
          <w:rFonts w:cs="Arial" w:hint="cs"/>
          <w:rtl/>
        </w:rPr>
        <w:t>שבת</w:t>
      </w:r>
      <w:r w:rsidRPr="00046D68">
        <w:rPr>
          <w:rFonts w:cs="Arial"/>
          <w:rtl/>
        </w:rPr>
        <w:t xml:space="preserve"> </w:t>
      </w:r>
      <w:r w:rsidRPr="00046D68">
        <w:rPr>
          <w:rFonts w:cs="Arial" w:hint="cs"/>
          <w:rtl/>
        </w:rPr>
        <w:t>אין</w:t>
      </w:r>
      <w:r w:rsidRPr="00046D68">
        <w:rPr>
          <w:rFonts w:cs="Arial"/>
          <w:rtl/>
        </w:rPr>
        <w:t xml:space="preserve"> </w:t>
      </w:r>
      <w:r w:rsidRPr="00046D68">
        <w:rPr>
          <w:rFonts w:cs="Arial" w:hint="cs"/>
          <w:rtl/>
        </w:rPr>
        <w:t>מברכין</w:t>
      </w:r>
      <w:r w:rsidRPr="00046D68">
        <w:rPr>
          <w:rFonts w:cs="Arial"/>
          <w:rtl/>
        </w:rPr>
        <w:t xml:space="preserve"> </w:t>
      </w:r>
      <w:r w:rsidRPr="00046D68">
        <w:rPr>
          <w:rFonts w:cs="Arial" w:hint="cs"/>
          <w:rtl/>
        </w:rPr>
        <w:t>דלא</w:t>
      </w:r>
      <w:r w:rsidRPr="00046D68">
        <w:rPr>
          <w:rFonts w:cs="Arial"/>
          <w:rtl/>
        </w:rPr>
        <w:t xml:space="preserve"> </w:t>
      </w:r>
      <w:r w:rsidRPr="00046D68">
        <w:rPr>
          <w:rFonts w:cs="Arial" w:hint="cs"/>
          <w:rtl/>
        </w:rPr>
        <w:t>חשו</w:t>
      </w:r>
      <w:r w:rsidRPr="00046D68">
        <w:rPr>
          <w:rFonts w:cs="Arial"/>
          <w:rtl/>
        </w:rPr>
        <w:t xml:space="preserve"> </w:t>
      </w:r>
      <w:r w:rsidRPr="00046D68">
        <w:rPr>
          <w:rFonts w:cs="Arial" w:hint="cs"/>
          <w:rtl/>
        </w:rPr>
        <w:t>לשלום</w:t>
      </w:r>
      <w:r w:rsidRPr="00046D68">
        <w:rPr>
          <w:rFonts w:cs="Arial"/>
          <w:rtl/>
        </w:rPr>
        <w:t xml:space="preserve"> </w:t>
      </w:r>
      <w:r w:rsidRPr="00046D68">
        <w:rPr>
          <w:rFonts w:cs="Arial" w:hint="cs"/>
          <w:rtl/>
        </w:rPr>
        <w:t>הבית</w:t>
      </w:r>
      <w:r w:rsidRPr="00046D68">
        <w:rPr>
          <w:rFonts w:cs="Arial"/>
          <w:rtl/>
        </w:rPr>
        <w:t xml:space="preserve"> </w:t>
      </w:r>
      <w:r w:rsidRPr="00046D68">
        <w:rPr>
          <w:rFonts w:cs="Arial" w:hint="cs"/>
          <w:rtl/>
        </w:rPr>
        <w:t>אלא</w:t>
      </w:r>
      <w:r w:rsidRPr="00046D68">
        <w:rPr>
          <w:rFonts w:cs="Arial"/>
          <w:rtl/>
        </w:rPr>
        <w:t xml:space="preserve"> </w:t>
      </w:r>
      <w:r w:rsidRPr="00046D68">
        <w:rPr>
          <w:rFonts w:cs="Arial" w:hint="cs"/>
          <w:rtl/>
        </w:rPr>
        <w:t>בשבת</w:t>
      </w:r>
      <w:r>
        <w:rPr>
          <w:rFonts w:cs="Arial" w:hint="cs"/>
          <w:rtl/>
        </w:rPr>
        <w:t>.</w:t>
      </w:r>
      <w:r w:rsidRPr="00046D68">
        <w:rPr>
          <w:rFonts w:cs="Arial"/>
          <w:rtl/>
        </w:rPr>
        <w:t xml:space="preserve"> </w:t>
      </w:r>
    </w:p>
    <w:p w14:paraId="37DD1BAD" w14:textId="77777777" w:rsidR="004B2E7C" w:rsidRDefault="004B2E7C" w:rsidP="00FF2D21">
      <w:pPr>
        <w:pStyle w:val="aa"/>
        <w:numPr>
          <w:ilvl w:val="0"/>
          <w:numId w:val="87"/>
        </w:numPr>
        <w:rPr>
          <w:rFonts w:cs="Arial"/>
        </w:rPr>
      </w:pPr>
      <w:r>
        <w:rPr>
          <w:rFonts w:cs="Arial" w:hint="cs"/>
          <w:rtl/>
        </w:rPr>
        <w:t xml:space="preserve">סמ"ג </w:t>
      </w:r>
      <w:r>
        <w:rPr>
          <w:rFonts w:cs="Arial" w:hint="cs"/>
          <w:sz w:val="16"/>
          <w:szCs w:val="16"/>
          <w:rtl/>
        </w:rPr>
        <w:t>(כ"כ בשמו מהרי"ל סי' נג)</w:t>
      </w:r>
      <w:r>
        <w:rPr>
          <w:rFonts w:cs="Arial" w:hint="cs"/>
          <w:rtl/>
        </w:rPr>
        <w:t xml:space="preserve">- </w:t>
      </w:r>
      <w:r w:rsidRPr="00C85115">
        <w:rPr>
          <w:rFonts w:cs="Arial"/>
          <w:rtl/>
        </w:rPr>
        <w:t>כל נר שאינה לצורך אכילה אין מברכין עליו</w:t>
      </w:r>
      <w:r>
        <w:rPr>
          <w:rFonts w:cs="Arial" w:hint="cs"/>
          <w:rtl/>
        </w:rPr>
        <w:t>.</w:t>
      </w:r>
    </w:p>
    <w:p w14:paraId="387B9D8E" w14:textId="77777777" w:rsidR="004B2E7C" w:rsidRDefault="004B2E7C" w:rsidP="00FF2D21">
      <w:pPr>
        <w:pStyle w:val="aa"/>
        <w:numPr>
          <w:ilvl w:val="0"/>
          <w:numId w:val="87"/>
        </w:numPr>
        <w:rPr>
          <w:rFonts w:cs="Arial"/>
        </w:rPr>
      </w:pPr>
      <w:r w:rsidRPr="00046D68">
        <w:rPr>
          <w:rFonts w:cs="Arial" w:hint="cs"/>
          <w:rtl/>
        </w:rPr>
        <w:t>רא</w:t>
      </w:r>
      <w:r w:rsidRPr="00046D68">
        <w:rPr>
          <w:rFonts w:cs="Arial"/>
          <w:rtl/>
        </w:rPr>
        <w:t>"</w:t>
      </w:r>
      <w:r w:rsidRPr="00046D68">
        <w:rPr>
          <w:rFonts w:cs="Arial" w:hint="cs"/>
          <w:rtl/>
        </w:rPr>
        <w:t>ש</w:t>
      </w:r>
      <w:r w:rsidRPr="00046D68">
        <w:rPr>
          <w:rFonts w:cs="Arial"/>
          <w:rtl/>
        </w:rPr>
        <w:t xml:space="preserve"> </w:t>
      </w:r>
      <w:r w:rsidRPr="00B970EB">
        <w:rPr>
          <w:rFonts w:cs="Arial" w:hint="cs"/>
          <w:sz w:val="16"/>
          <w:szCs w:val="16"/>
          <w:rtl/>
        </w:rPr>
        <w:t>(יומא</w:t>
      </w:r>
      <w:r w:rsidRPr="00B970EB">
        <w:rPr>
          <w:rFonts w:cs="Arial"/>
          <w:sz w:val="16"/>
          <w:szCs w:val="16"/>
          <w:rtl/>
        </w:rPr>
        <w:t xml:space="preserve"> </w:t>
      </w:r>
      <w:r w:rsidRPr="00B970EB">
        <w:rPr>
          <w:rFonts w:cs="Arial" w:hint="cs"/>
          <w:sz w:val="16"/>
          <w:szCs w:val="16"/>
          <w:rtl/>
        </w:rPr>
        <w:t>פ</w:t>
      </w:r>
      <w:r w:rsidRPr="00B970EB">
        <w:rPr>
          <w:rFonts w:cs="Arial"/>
          <w:sz w:val="16"/>
          <w:szCs w:val="16"/>
          <w:rtl/>
        </w:rPr>
        <w:t>"</w:t>
      </w:r>
      <w:r w:rsidRPr="00B970EB">
        <w:rPr>
          <w:rFonts w:cs="Arial" w:hint="cs"/>
          <w:sz w:val="16"/>
          <w:szCs w:val="16"/>
          <w:rtl/>
        </w:rPr>
        <w:t>ח</w:t>
      </w:r>
      <w:r w:rsidRPr="00B970EB">
        <w:rPr>
          <w:rFonts w:cs="Arial"/>
          <w:sz w:val="16"/>
          <w:szCs w:val="16"/>
          <w:rtl/>
        </w:rPr>
        <w:t xml:space="preserve"> </w:t>
      </w:r>
      <w:r w:rsidRPr="00B970EB">
        <w:rPr>
          <w:rFonts w:cs="Arial" w:hint="cs"/>
          <w:sz w:val="16"/>
          <w:szCs w:val="16"/>
          <w:rtl/>
        </w:rPr>
        <w:t>סו</w:t>
      </w:r>
      <w:r w:rsidRPr="00B970EB">
        <w:rPr>
          <w:rFonts w:cs="Arial"/>
          <w:sz w:val="16"/>
          <w:szCs w:val="16"/>
          <w:rtl/>
        </w:rPr>
        <w:t>"</w:t>
      </w:r>
      <w:r w:rsidRPr="00B970EB">
        <w:rPr>
          <w:rFonts w:cs="Arial" w:hint="cs"/>
          <w:sz w:val="16"/>
          <w:szCs w:val="16"/>
          <w:rtl/>
        </w:rPr>
        <w:t>ס</w:t>
      </w:r>
      <w:r w:rsidRPr="00B970EB">
        <w:rPr>
          <w:rFonts w:cs="Arial"/>
          <w:sz w:val="16"/>
          <w:szCs w:val="16"/>
          <w:rtl/>
        </w:rPr>
        <w:t xml:space="preserve"> </w:t>
      </w:r>
      <w:r w:rsidRPr="00B970EB">
        <w:rPr>
          <w:rFonts w:cs="Arial" w:hint="cs"/>
          <w:sz w:val="16"/>
          <w:szCs w:val="16"/>
          <w:rtl/>
        </w:rPr>
        <w:t>כז</w:t>
      </w:r>
      <w:r w:rsidRPr="00B970EB">
        <w:rPr>
          <w:rFonts w:cs="Arial"/>
          <w:sz w:val="16"/>
          <w:szCs w:val="16"/>
          <w:rtl/>
        </w:rPr>
        <w:t>)</w:t>
      </w:r>
      <w:r>
        <w:rPr>
          <w:rFonts w:cs="Arial" w:hint="cs"/>
          <w:rtl/>
        </w:rPr>
        <w:t xml:space="preserve">- </w:t>
      </w:r>
      <w:r w:rsidRPr="00046D68">
        <w:rPr>
          <w:rFonts w:cs="Arial" w:hint="cs"/>
          <w:rtl/>
        </w:rPr>
        <w:t>ויראה</w:t>
      </w:r>
      <w:r w:rsidRPr="00046D68">
        <w:rPr>
          <w:rFonts w:cs="Arial"/>
          <w:rtl/>
        </w:rPr>
        <w:t xml:space="preserve"> </w:t>
      </w:r>
      <w:r w:rsidRPr="00046D68">
        <w:rPr>
          <w:rFonts w:cs="Arial" w:hint="cs"/>
          <w:rtl/>
        </w:rPr>
        <w:t>שיש</w:t>
      </w:r>
      <w:r w:rsidRPr="00046D68">
        <w:rPr>
          <w:rFonts w:cs="Arial"/>
          <w:rtl/>
        </w:rPr>
        <w:t xml:space="preserve"> </w:t>
      </w:r>
      <w:r w:rsidRPr="00046D68">
        <w:rPr>
          <w:rFonts w:cs="Arial" w:hint="cs"/>
          <w:rtl/>
        </w:rPr>
        <w:t>לברך</w:t>
      </w:r>
      <w:r w:rsidRPr="00046D68">
        <w:rPr>
          <w:rFonts w:cs="Arial"/>
          <w:rtl/>
        </w:rPr>
        <w:t xml:space="preserve"> </w:t>
      </w:r>
      <w:r w:rsidRPr="00046D68">
        <w:rPr>
          <w:rFonts w:cs="Arial" w:hint="cs"/>
          <w:rtl/>
        </w:rPr>
        <w:t>על</w:t>
      </w:r>
      <w:r w:rsidRPr="00046D68">
        <w:rPr>
          <w:rFonts w:cs="Arial"/>
          <w:rtl/>
        </w:rPr>
        <w:t xml:space="preserve"> </w:t>
      </w:r>
      <w:r w:rsidRPr="00046D68">
        <w:rPr>
          <w:rFonts w:cs="Arial" w:hint="cs"/>
          <w:rtl/>
        </w:rPr>
        <w:t>הדלקת</w:t>
      </w:r>
      <w:r w:rsidRPr="00046D68">
        <w:rPr>
          <w:rFonts w:cs="Arial"/>
          <w:rtl/>
        </w:rPr>
        <w:t xml:space="preserve"> </w:t>
      </w:r>
      <w:r w:rsidRPr="00046D68">
        <w:rPr>
          <w:rFonts w:cs="Arial" w:hint="cs"/>
          <w:rtl/>
        </w:rPr>
        <w:t>הנר</w:t>
      </w:r>
      <w:r w:rsidRPr="00046D68">
        <w:rPr>
          <w:rFonts w:cs="Arial"/>
          <w:rtl/>
        </w:rPr>
        <w:t xml:space="preserve"> </w:t>
      </w:r>
      <w:r w:rsidRPr="00046D68">
        <w:rPr>
          <w:rFonts w:cs="Arial" w:hint="cs"/>
          <w:rtl/>
        </w:rPr>
        <w:t>ביום</w:t>
      </w:r>
      <w:r w:rsidRPr="00046D68">
        <w:rPr>
          <w:rFonts w:cs="Arial"/>
          <w:rtl/>
        </w:rPr>
        <w:t xml:space="preserve"> </w:t>
      </w:r>
      <w:r w:rsidRPr="00046D68">
        <w:rPr>
          <w:rFonts w:cs="Arial" w:hint="cs"/>
          <w:rtl/>
        </w:rPr>
        <w:t>הכפורים</w:t>
      </w:r>
      <w:r w:rsidRPr="00046D68">
        <w:rPr>
          <w:rFonts w:cs="Arial"/>
          <w:rtl/>
        </w:rPr>
        <w:t xml:space="preserve"> </w:t>
      </w:r>
      <w:r w:rsidRPr="00046D68">
        <w:rPr>
          <w:rFonts w:cs="Arial" w:hint="cs"/>
          <w:rtl/>
        </w:rPr>
        <w:t>כמו</w:t>
      </w:r>
      <w:r w:rsidRPr="00046D68">
        <w:rPr>
          <w:rFonts w:cs="Arial"/>
          <w:rtl/>
        </w:rPr>
        <w:t xml:space="preserve"> </w:t>
      </w:r>
      <w:r w:rsidRPr="00046D68">
        <w:rPr>
          <w:rFonts w:cs="Arial" w:hint="cs"/>
          <w:rtl/>
        </w:rPr>
        <w:t>בשבת</w:t>
      </w:r>
      <w:r w:rsidRPr="00046D68">
        <w:rPr>
          <w:rFonts w:cs="Arial"/>
          <w:rtl/>
        </w:rPr>
        <w:t xml:space="preserve"> </w:t>
      </w:r>
      <w:r w:rsidRPr="00046D68">
        <w:rPr>
          <w:rFonts w:cs="Arial" w:hint="cs"/>
          <w:rtl/>
        </w:rPr>
        <w:t>משום</w:t>
      </w:r>
      <w:r w:rsidRPr="00046D68">
        <w:rPr>
          <w:rFonts w:cs="Arial"/>
          <w:rtl/>
        </w:rPr>
        <w:t xml:space="preserve"> </w:t>
      </w:r>
      <w:r w:rsidRPr="00046D68">
        <w:rPr>
          <w:rFonts w:cs="Arial" w:hint="cs"/>
          <w:rtl/>
        </w:rPr>
        <w:t>שלום</w:t>
      </w:r>
      <w:r w:rsidRPr="00046D68">
        <w:rPr>
          <w:rFonts w:cs="Arial"/>
          <w:rtl/>
        </w:rPr>
        <w:t xml:space="preserve"> </w:t>
      </w:r>
      <w:r w:rsidRPr="00046D68">
        <w:rPr>
          <w:rFonts w:cs="Arial" w:hint="cs"/>
          <w:rtl/>
        </w:rPr>
        <w:t>הבית</w:t>
      </w:r>
      <w:r>
        <w:rPr>
          <w:rStyle w:val="a9"/>
          <w:rFonts w:cs="Arial"/>
          <w:rtl/>
        </w:rPr>
        <w:footnoteReference w:id="633"/>
      </w:r>
      <w:r>
        <w:rPr>
          <w:rFonts w:cs="Arial" w:hint="cs"/>
          <w:rtl/>
        </w:rPr>
        <w:t>.</w:t>
      </w:r>
      <w:r w:rsidRPr="00323704">
        <w:rPr>
          <w:rFonts w:cs="Arial" w:hint="cs"/>
          <w:color w:val="E36C0A" w:themeColor="accent6" w:themeShade="BF"/>
          <w:rtl/>
        </w:rPr>
        <w:t xml:space="preserve"> </w:t>
      </w:r>
      <w:r w:rsidRPr="0056384F">
        <w:rPr>
          <w:rFonts w:cs="Arial" w:hint="cs"/>
          <w:color w:val="E36C0A" w:themeColor="accent6" w:themeShade="BF"/>
          <w:rtl/>
        </w:rPr>
        <w:t>(וכ"</w:t>
      </w:r>
      <w:r>
        <w:rPr>
          <w:rFonts w:cs="Arial" w:hint="cs"/>
          <w:color w:val="E36C0A" w:themeColor="accent6" w:themeShade="BF"/>
          <w:rtl/>
        </w:rPr>
        <w:t>ס</w:t>
      </w:r>
      <w:r w:rsidRPr="0056384F">
        <w:rPr>
          <w:rFonts w:cs="Arial" w:hint="cs"/>
          <w:color w:val="E36C0A" w:themeColor="accent6" w:themeShade="BF"/>
          <w:rtl/>
        </w:rPr>
        <w:t xml:space="preserve"> בשו"ע</w:t>
      </w:r>
      <w:r>
        <w:rPr>
          <w:rFonts w:cs="Arial" w:hint="cs"/>
          <w:sz w:val="16"/>
          <w:szCs w:val="16"/>
          <w:rtl/>
        </w:rPr>
        <w:t xml:space="preserve"> [סי' רי ס"ב]</w:t>
      </w:r>
      <w:r w:rsidRPr="0056384F">
        <w:rPr>
          <w:rFonts w:cs="Arial" w:hint="cs"/>
          <w:color w:val="E36C0A" w:themeColor="accent6" w:themeShade="BF"/>
          <w:rtl/>
        </w:rPr>
        <w:t>)</w:t>
      </w:r>
      <w:r>
        <w:rPr>
          <w:rFonts w:cs="Arial" w:hint="cs"/>
          <w:rtl/>
        </w:rPr>
        <w:t xml:space="preserve"> </w:t>
      </w:r>
      <w:r w:rsidRPr="00FE1C68">
        <w:rPr>
          <w:rFonts w:cs="Arial" w:hint="cs"/>
          <w:color w:val="00B0F0"/>
          <w:rtl/>
        </w:rPr>
        <w:t>(וכ"</w:t>
      </w:r>
      <w:r>
        <w:rPr>
          <w:rFonts w:cs="Arial" w:hint="cs"/>
          <w:color w:val="00B0F0"/>
          <w:rtl/>
        </w:rPr>
        <w:t>פ</w:t>
      </w:r>
      <w:r w:rsidRPr="00FE1C68">
        <w:rPr>
          <w:rFonts w:cs="Arial" w:hint="cs"/>
          <w:color w:val="00B0F0"/>
          <w:rtl/>
        </w:rPr>
        <w:t xml:space="preserve"> הרמ"א</w:t>
      </w:r>
      <w:r w:rsidRPr="00FE1C68">
        <w:rPr>
          <w:rFonts w:cs="Arial" w:hint="cs"/>
          <w:color w:val="00B0F0"/>
          <w:sz w:val="16"/>
          <w:szCs w:val="16"/>
          <w:rtl/>
        </w:rPr>
        <w:t xml:space="preserve"> </w:t>
      </w:r>
      <w:r>
        <w:rPr>
          <w:rFonts w:cs="Arial" w:hint="cs"/>
          <w:sz w:val="16"/>
          <w:szCs w:val="16"/>
          <w:rtl/>
        </w:rPr>
        <w:t>[סי' רי ס"ב]</w:t>
      </w:r>
      <w:r w:rsidRPr="00FE1C68">
        <w:rPr>
          <w:rFonts w:cs="Arial" w:hint="cs"/>
          <w:color w:val="00B0F0"/>
          <w:rtl/>
        </w:rPr>
        <w:t>)</w:t>
      </w:r>
    </w:p>
    <w:p w14:paraId="7958336A" w14:textId="77777777" w:rsidR="004B2E7C" w:rsidRPr="00944B51" w:rsidRDefault="004B2E7C" w:rsidP="00434A6A">
      <w:pPr>
        <w:rPr>
          <w:rFonts w:cs="Arial"/>
          <w:u w:val="single"/>
        </w:rPr>
      </w:pPr>
      <w:r w:rsidRPr="00944B51">
        <w:rPr>
          <w:rFonts w:cs="Arial" w:hint="cs"/>
          <w:u w:val="single"/>
          <w:rtl/>
        </w:rPr>
        <w:t>מתי מברך על ההדלקה:</w:t>
      </w:r>
    </w:p>
    <w:p w14:paraId="47B959C0" w14:textId="77777777" w:rsidR="004B2E7C" w:rsidRDefault="004B2E7C" w:rsidP="00FF2D21">
      <w:pPr>
        <w:pStyle w:val="aa"/>
        <w:numPr>
          <w:ilvl w:val="0"/>
          <w:numId w:val="87"/>
        </w:numPr>
        <w:rPr>
          <w:rFonts w:cs="Arial"/>
        </w:rPr>
      </w:pPr>
      <w:r>
        <w:rPr>
          <w:rFonts w:cs="Arial" w:hint="cs"/>
          <w:rtl/>
        </w:rPr>
        <w:t>מרדכי</w:t>
      </w:r>
      <w:r>
        <w:rPr>
          <w:rFonts w:cs="Arial"/>
          <w:rtl/>
        </w:rPr>
        <w:t xml:space="preserve"> </w:t>
      </w:r>
      <w:r w:rsidRPr="00944B51">
        <w:rPr>
          <w:rFonts w:cs="Arial" w:hint="cs"/>
          <w:sz w:val="16"/>
          <w:szCs w:val="16"/>
          <w:rtl/>
        </w:rPr>
        <w:t>(סוף</w:t>
      </w:r>
      <w:r w:rsidRPr="00944B51">
        <w:rPr>
          <w:rFonts w:cs="Arial"/>
          <w:sz w:val="16"/>
          <w:szCs w:val="16"/>
          <w:rtl/>
        </w:rPr>
        <w:t xml:space="preserve"> </w:t>
      </w:r>
      <w:r w:rsidRPr="00944B51">
        <w:rPr>
          <w:rFonts w:cs="Arial" w:hint="cs"/>
          <w:sz w:val="16"/>
          <w:szCs w:val="16"/>
          <w:rtl/>
        </w:rPr>
        <w:t>במה</w:t>
      </w:r>
      <w:r w:rsidRPr="00944B51">
        <w:rPr>
          <w:rFonts w:cs="Arial"/>
          <w:sz w:val="16"/>
          <w:szCs w:val="16"/>
          <w:rtl/>
        </w:rPr>
        <w:t xml:space="preserve"> </w:t>
      </w:r>
      <w:r w:rsidRPr="00944B51">
        <w:rPr>
          <w:rFonts w:cs="Arial" w:hint="cs"/>
          <w:sz w:val="16"/>
          <w:szCs w:val="16"/>
          <w:rtl/>
        </w:rPr>
        <w:t>מדליקין</w:t>
      </w:r>
      <w:r w:rsidRPr="00944B51">
        <w:rPr>
          <w:rFonts w:cs="Arial"/>
          <w:sz w:val="16"/>
          <w:szCs w:val="16"/>
          <w:rtl/>
        </w:rPr>
        <w:t xml:space="preserve"> </w:t>
      </w:r>
      <w:r w:rsidRPr="00944B51">
        <w:rPr>
          <w:rFonts w:cs="Arial" w:hint="cs"/>
          <w:sz w:val="16"/>
          <w:szCs w:val="16"/>
          <w:rtl/>
        </w:rPr>
        <w:t>סי</w:t>
      </w:r>
      <w:r w:rsidRPr="00944B51">
        <w:rPr>
          <w:rFonts w:cs="Arial"/>
          <w:sz w:val="16"/>
          <w:szCs w:val="16"/>
          <w:rtl/>
        </w:rPr>
        <w:t xml:space="preserve">' </w:t>
      </w:r>
      <w:r w:rsidRPr="00944B51">
        <w:rPr>
          <w:rFonts w:cs="Arial" w:hint="cs"/>
          <w:sz w:val="16"/>
          <w:szCs w:val="16"/>
          <w:rtl/>
        </w:rPr>
        <w:t>רצג</w:t>
      </w:r>
      <w:r w:rsidRPr="00944B51">
        <w:rPr>
          <w:rFonts w:cs="Arial"/>
          <w:sz w:val="16"/>
          <w:szCs w:val="16"/>
          <w:rtl/>
        </w:rPr>
        <w:t>)</w:t>
      </w:r>
      <w:r>
        <w:rPr>
          <w:rFonts w:cs="Arial" w:hint="cs"/>
          <w:rtl/>
        </w:rPr>
        <w:t xml:space="preserve"> ואגודה </w:t>
      </w:r>
      <w:r>
        <w:rPr>
          <w:rFonts w:cs="Arial" w:hint="cs"/>
          <w:sz w:val="16"/>
          <w:szCs w:val="16"/>
          <w:rtl/>
        </w:rPr>
        <w:t>(שבת פ"ה אות מה)</w:t>
      </w:r>
      <w:r>
        <w:rPr>
          <w:rFonts w:cs="Arial" w:hint="cs"/>
          <w:rtl/>
        </w:rPr>
        <w:t xml:space="preserve">- </w:t>
      </w:r>
      <w:r w:rsidRPr="00FE1C68">
        <w:rPr>
          <w:rFonts w:cs="Arial"/>
          <w:rtl/>
        </w:rPr>
        <w:t>המדליק יברך עובר לעשייתה ויהיה בדעתו שלא לקבל שבת עד לאחר הדלקת נר שבת</w:t>
      </w:r>
      <w:r>
        <w:rPr>
          <w:rFonts w:cs="Arial" w:hint="cs"/>
          <w:sz w:val="16"/>
          <w:szCs w:val="16"/>
          <w:rtl/>
        </w:rPr>
        <w:t xml:space="preserve"> (ל' המרדכי)</w:t>
      </w:r>
      <w:r>
        <w:rPr>
          <w:rFonts w:cs="Arial" w:hint="cs"/>
          <w:rtl/>
        </w:rPr>
        <w:t>.</w:t>
      </w:r>
    </w:p>
    <w:p w14:paraId="2CB4F87D" w14:textId="77777777" w:rsidR="004B2E7C" w:rsidRDefault="004B2E7C" w:rsidP="00FF2D21">
      <w:pPr>
        <w:pStyle w:val="aa"/>
        <w:numPr>
          <w:ilvl w:val="0"/>
          <w:numId w:val="87"/>
        </w:numPr>
        <w:rPr>
          <w:rFonts w:cs="Arial"/>
        </w:rPr>
      </w:pPr>
      <w:r>
        <w:rPr>
          <w:rFonts w:cs="Arial" w:hint="cs"/>
          <w:rtl/>
        </w:rPr>
        <w:t xml:space="preserve">מרדכי </w:t>
      </w:r>
      <w:r>
        <w:rPr>
          <w:rFonts w:cs="Arial" w:hint="cs"/>
          <w:sz w:val="16"/>
          <w:szCs w:val="16"/>
          <w:rtl/>
        </w:rPr>
        <w:t xml:space="preserve">(כ"כ בשמו הדרכ"מ [אות ב], </w:t>
      </w:r>
      <w:r w:rsidRPr="00FE1C68">
        <w:rPr>
          <w:rFonts w:cs="Arial" w:hint="cs"/>
          <w:color w:val="FF0000"/>
          <w:sz w:val="16"/>
          <w:szCs w:val="16"/>
          <w:rtl/>
        </w:rPr>
        <w:t>וצל"ע היכן כתב המרדכי כן</w:t>
      </w:r>
      <w:r>
        <w:rPr>
          <w:rFonts w:cs="Arial" w:hint="cs"/>
          <w:sz w:val="16"/>
          <w:szCs w:val="16"/>
          <w:rtl/>
        </w:rPr>
        <w:t>)</w:t>
      </w:r>
      <w:r>
        <w:rPr>
          <w:rFonts w:cs="Arial" w:hint="cs"/>
          <w:rtl/>
        </w:rPr>
        <w:t>- מברך</w:t>
      </w:r>
      <w:r>
        <w:rPr>
          <w:rFonts w:cs="Arial"/>
          <w:rtl/>
        </w:rPr>
        <w:t xml:space="preserve"> </w:t>
      </w:r>
      <w:r>
        <w:rPr>
          <w:rFonts w:cs="Arial" w:hint="cs"/>
          <w:rtl/>
        </w:rPr>
        <w:t>קודם</w:t>
      </w:r>
      <w:r>
        <w:rPr>
          <w:rFonts w:cs="Arial"/>
          <w:rtl/>
        </w:rPr>
        <w:t xml:space="preserve"> </w:t>
      </w:r>
      <w:r>
        <w:rPr>
          <w:rFonts w:cs="Arial" w:hint="cs"/>
          <w:rtl/>
        </w:rPr>
        <w:t>ההדלקה</w:t>
      </w:r>
      <w:r>
        <w:rPr>
          <w:rFonts w:cs="Arial"/>
          <w:rtl/>
        </w:rPr>
        <w:t xml:space="preserve">. </w:t>
      </w:r>
      <w:r>
        <w:rPr>
          <w:rFonts w:cs="Arial" w:hint="cs"/>
          <w:rtl/>
        </w:rPr>
        <w:t>והמנהג</w:t>
      </w:r>
      <w:r>
        <w:rPr>
          <w:rFonts w:cs="Arial"/>
          <w:rtl/>
        </w:rPr>
        <w:t xml:space="preserve"> </w:t>
      </w:r>
      <w:r>
        <w:rPr>
          <w:rFonts w:cs="Arial" w:hint="cs"/>
          <w:rtl/>
        </w:rPr>
        <w:t>לברך</w:t>
      </w:r>
      <w:r>
        <w:rPr>
          <w:rFonts w:cs="Arial"/>
          <w:rtl/>
        </w:rPr>
        <w:t xml:space="preserve"> </w:t>
      </w:r>
      <w:r>
        <w:rPr>
          <w:rFonts w:cs="Arial" w:hint="cs"/>
          <w:rtl/>
        </w:rPr>
        <w:t>אחר</w:t>
      </w:r>
      <w:r>
        <w:rPr>
          <w:rFonts w:cs="Arial"/>
          <w:rtl/>
        </w:rPr>
        <w:t xml:space="preserve"> </w:t>
      </w:r>
      <w:r>
        <w:rPr>
          <w:rFonts w:cs="Arial" w:hint="cs"/>
          <w:rtl/>
        </w:rPr>
        <w:t>ההדלקה</w:t>
      </w:r>
      <w:r>
        <w:rPr>
          <w:rFonts w:cs="Arial"/>
          <w:rtl/>
        </w:rPr>
        <w:t xml:space="preserve">. </w:t>
      </w:r>
    </w:p>
    <w:p w14:paraId="35AD8FCE" w14:textId="77777777" w:rsidR="004B2E7C" w:rsidRPr="00944B51" w:rsidRDefault="004B2E7C" w:rsidP="00434A6A">
      <w:pPr>
        <w:ind w:left="360"/>
        <w:rPr>
          <w:rFonts w:cs="Arial"/>
          <w:u w:val="dotted"/>
        </w:rPr>
      </w:pPr>
      <w:r w:rsidRPr="00944B51">
        <w:rPr>
          <w:rFonts w:cs="Arial" w:hint="cs"/>
          <w:u w:val="dotted"/>
          <w:rtl/>
        </w:rPr>
        <w:t xml:space="preserve">איך מברכים לאחר ההדלקה </w:t>
      </w:r>
      <w:r w:rsidRPr="00944B51">
        <w:rPr>
          <w:rFonts w:cs="Arial"/>
          <w:u w:val="dotted"/>
          <w:rtl/>
        </w:rPr>
        <w:t>–</w:t>
      </w:r>
      <w:r w:rsidRPr="00944B51">
        <w:rPr>
          <w:rFonts w:cs="Arial" w:hint="cs"/>
          <w:u w:val="dotted"/>
          <w:rtl/>
        </w:rPr>
        <w:t xml:space="preserve"> והרי צריך עובר לעשייתן:</w:t>
      </w:r>
    </w:p>
    <w:p w14:paraId="5E7294BF" w14:textId="77777777" w:rsidR="004B2E7C" w:rsidRPr="00046D68" w:rsidRDefault="004B2E7C" w:rsidP="00FF2D21">
      <w:pPr>
        <w:pStyle w:val="aa"/>
        <w:numPr>
          <w:ilvl w:val="0"/>
          <w:numId w:val="87"/>
        </w:numPr>
        <w:rPr>
          <w:rFonts w:cs="Arial"/>
          <w:rtl/>
        </w:rPr>
      </w:pPr>
      <w:r>
        <w:rPr>
          <w:rFonts w:cs="Arial" w:hint="cs"/>
          <w:rtl/>
        </w:rPr>
        <w:t>מהרי</w:t>
      </w:r>
      <w:r>
        <w:rPr>
          <w:rFonts w:cs="Arial"/>
          <w:rtl/>
        </w:rPr>
        <w:t>"</w:t>
      </w:r>
      <w:r>
        <w:rPr>
          <w:rFonts w:cs="Arial" w:hint="cs"/>
          <w:rtl/>
        </w:rPr>
        <w:t>ו</w:t>
      </w:r>
      <w:r>
        <w:rPr>
          <w:rFonts w:cs="Arial"/>
          <w:rtl/>
        </w:rPr>
        <w:t xml:space="preserve"> </w:t>
      </w:r>
      <w:r w:rsidRPr="00944B51">
        <w:rPr>
          <w:rFonts w:cs="Arial"/>
          <w:sz w:val="16"/>
          <w:szCs w:val="16"/>
          <w:rtl/>
        </w:rPr>
        <w:t>(</w:t>
      </w:r>
      <w:r w:rsidRPr="00944B51">
        <w:rPr>
          <w:rFonts w:cs="Arial" w:hint="cs"/>
          <w:sz w:val="16"/>
          <w:szCs w:val="16"/>
          <w:rtl/>
        </w:rPr>
        <w:t>דינין</w:t>
      </w:r>
      <w:r w:rsidRPr="00944B51">
        <w:rPr>
          <w:rFonts w:cs="Arial"/>
          <w:sz w:val="16"/>
          <w:szCs w:val="16"/>
          <w:rtl/>
        </w:rPr>
        <w:t xml:space="preserve"> </w:t>
      </w:r>
      <w:r w:rsidRPr="00944B51">
        <w:rPr>
          <w:rFonts w:cs="Arial" w:hint="cs"/>
          <w:sz w:val="16"/>
          <w:szCs w:val="16"/>
          <w:rtl/>
        </w:rPr>
        <w:t>והלכות</w:t>
      </w:r>
      <w:r w:rsidRPr="00944B51">
        <w:rPr>
          <w:rFonts w:cs="Arial"/>
          <w:sz w:val="16"/>
          <w:szCs w:val="16"/>
          <w:rtl/>
        </w:rPr>
        <w:t xml:space="preserve"> </w:t>
      </w:r>
      <w:r w:rsidRPr="00944B51">
        <w:rPr>
          <w:rFonts w:cs="Arial" w:hint="cs"/>
          <w:sz w:val="16"/>
          <w:szCs w:val="16"/>
          <w:rtl/>
        </w:rPr>
        <w:t>אות</w:t>
      </w:r>
      <w:r w:rsidRPr="00944B51">
        <w:rPr>
          <w:rFonts w:cs="Arial"/>
          <w:sz w:val="16"/>
          <w:szCs w:val="16"/>
          <w:rtl/>
        </w:rPr>
        <w:t xml:space="preserve"> </w:t>
      </w:r>
      <w:r w:rsidRPr="00944B51">
        <w:rPr>
          <w:rFonts w:cs="Arial" w:hint="cs"/>
          <w:sz w:val="16"/>
          <w:szCs w:val="16"/>
          <w:rtl/>
        </w:rPr>
        <w:t>כט</w:t>
      </w:r>
      <w:r w:rsidRPr="00944B51">
        <w:rPr>
          <w:rFonts w:cs="Arial"/>
          <w:sz w:val="16"/>
          <w:szCs w:val="16"/>
          <w:rtl/>
        </w:rPr>
        <w:t>)</w:t>
      </w:r>
      <w:r>
        <w:rPr>
          <w:rFonts w:cs="Arial" w:hint="cs"/>
          <w:rtl/>
        </w:rPr>
        <w:t>-</w:t>
      </w:r>
      <w:r>
        <w:rPr>
          <w:rFonts w:cs="Arial"/>
          <w:rtl/>
        </w:rPr>
        <w:t xml:space="preserve"> </w:t>
      </w:r>
      <w:r>
        <w:rPr>
          <w:rFonts w:cs="Arial" w:hint="cs"/>
          <w:rtl/>
        </w:rPr>
        <w:t>וכדי</w:t>
      </w:r>
      <w:r>
        <w:rPr>
          <w:rFonts w:cs="Arial"/>
          <w:rtl/>
        </w:rPr>
        <w:t xml:space="preserve"> </w:t>
      </w:r>
      <w:r>
        <w:rPr>
          <w:rFonts w:cs="Arial" w:hint="cs"/>
          <w:rtl/>
        </w:rPr>
        <w:t>שיהא</w:t>
      </w:r>
      <w:r>
        <w:rPr>
          <w:rFonts w:cs="Arial"/>
          <w:rtl/>
        </w:rPr>
        <w:t xml:space="preserve"> </w:t>
      </w:r>
      <w:r>
        <w:rPr>
          <w:rFonts w:cs="Arial" w:hint="cs"/>
          <w:rtl/>
        </w:rPr>
        <w:t>הברכה</w:t>
      </w:r>
      <w:r>
        <w:rPr>
          <w:rFonts w:cs="Arial"/>
          <w:rtl/>
        </w:rPr>
        <w:t xml:space="preserve"> </w:t>
      </w:r>
      <w:r>
        <w:rPr>
          <w:rFonts w:cs="Arial" w:hint="cs"/>
          <w:rtl/>
        </w:rPr>
        <w:t>עובר</w:t>
      </w:r>
      <w:r>
        <w:rPr>
          <w:rFonts w:cs="Arial"/>
          <w:rtl/>
        </w:rPr>
        <w:t xml:space="preserve"> </w:t>
      </w:r>
      <w:r>
        <w:rPr>
          <w:rFonts w:cs="Arial" w:hint="cs"/>
          <w:rtl/>
        </w:rPr>
        <w:t>לעשייתן</w:t>
      </w:r>
      <w:r>
        <w:rPr>
          <w:rFonts w:cs="Arial"/>
          <w:rtl/>
        </w:rPr>
        <w:t xml:space="preserve"> </w:t>
      </w:r>
      <w:r>
        <w:rPr>
          <w:rFonts w:cs="Arial" w:hint="cs"/>
          <w:rtl/>
        </w:rPr>
        <w:t>משימין</w:t>
      </w:r>
      <w:r>
        <w:rPr>
          <w:rFonts w:cs="Arial"/>
          <w:rtl/>
        </w:rPr>
        <w:t xml:space="preserve"> </w:t>
      </w:r>
      <w:r>
        <w:rPr>
          <w:rFonts w:cs="Arial" w:hint="cs"/>
          <w:rtl/>
        </w:rPr>
        <w:t>היד</w:t>
      </w:r>
      <w:r>
        <w:rPr>
          <w:rFonts w:cs="Arial"/>
          <w:rtl/>
        </w:rPr>
        <w:t xml:space="preserve"> </w:t>
      </w:r>
      <w:r>
        <w:rPr>
          <w:rFonts w:cs="Arial" w:hint="cs"/>
          <w:rtl/>
        </w:rPr>
        <w:t>לפני</w:t>
      </w:r>
      <w:r>
        <w:rPr>
          <w:rFonts w:cs="Arial"/>
          <w:rtl/>
        </w:rPr>
        <w:t xml:space="preserve"> </w:t>
      </w:r>
      <w:r>
        <w:rPr>
          <w:rFonts w:cs="Arial" w:hint="cs"/>
          <w:rtl/>
        </w:rPr>
        <w:t>הנרות</w:t>
      </w:r>
      <w:r>
        <w:rPr>
          <w:rFonts w:cs="Arial"/>
          <w:rtl/>
        </w:rPr>
        <w:t xml:space="preserve"> </w:t>
      </w:r>
      <w:r>
        <w:rPr>
          <w:rFonts w:cs="Arial" w:hint="cs"/>
          <w:rtl/>
        </w:rPr>
        <w:t>עד</w:t>
      </w:r>
      <w:r>
        <w:rPr>
          <w:rFonts w:cs="Arial"/>
          <w:rtl/>
        </w:rPr>
        <w:t xml:space="preserve"> </w:t>
      </w:r>
      <w:r>
        <w:rPr>
          <w:rFonts w:cs="Arial" w:hint="cs"/>
          <w:rtl/>
        </w:rPr>
        <w:t>אחר</w:t>
      </w:r>
      <w:r>
        <w:rPr>
          <w:rFonts w:cs="Arial"/>
          <w:rtl/>
        </w:rPr>
        <w:t xml:space="preserve"> </w:t>
      </w:r>
      <w:r>
        <w:rPr>
          <w:rFonts w:cs="Arial" w:hint="cs"/>
          <w:rtl/>
        </w:rPr>
        <w:t>הברכה</w:t>
      </w:r>
      <w:r>
        <w:rPr>
          <w:rFonts w:cs="Arial"/>
          <w:rtl/>
        </w:rPr>
        <w:t xml:space="preserve"> </w:t>
      </w:r>
      <w:r>
        <w:rPr>
          <w:rFonts w:cs="Arial" w:hint="cs"/>
          <w:rtl/>
        </w:rPr>
        <w:t>דזה</w:t>
      </w:r>
      <w:r>
        <w:rPr>
          <w:rFonts w:cs="Arial"/>
          <w:rtl/>
        </w:rPr>
        <w:t xml:space="preserve"> </w:t>
      </w:r>
      <w:r>
        <w:rPr>
          <w:rFonts w:cs="Arial" w:hint="cs"/>
          <w:rtl/>
        </w:rPr>
        <w:t>מיקרי</w:t>
      </w:r>
      <w:r>
        <w:rPr>
          <w:rFonts w:cs="Arial"/>
          <w:rtl/>
        </w:rPr>
        <w:t xml:space="preserve"> </w:t>
      </w:r>
      <w:r>
        <w:rPr>
          <w:rFonts w:cs="Arial" w:hint="cs"/>
          <w:rtl/>
        </w:rPr>
        <w:t>עובר</w:t>
      </w:r>
      <w:r>
        <w:rPr>
          <w:rFonts w:cs="Arial"/>
          <w:rtl/>
        </w:rPr>
        <w:t xml:space="preserve"> </w:t>
      </w:r>
      <w:r>
        <w:rPr>
          <w:rFonts w:cs="Arial" w:hint="cs"/>
          <w:rtl/>
        </w:rPr>
        <w:t>לעשייתן</w:t>
      </w:r>
      <w:r>
        <w:rPr>
          <w:rFonts w:cs="Arial"/>
          <w:rtl/>
        </w:rPr>
        <w:t xml:space="preserve"> </w:t>
      </w:r>
      <w:r>
        <w:rPr>
          <w:rFonts w:cs="Arial" w:hint="cs"/>
          <w:rtl/>
        </w:rPr>
        <w:t>דהרי</w:t>
      </w:r>
      <w:r>
        <w:rPr>
          <w:rFonts w:cs="Arial"/>
          <w:rtl/>
        </w:rPr>
        <w:t xml:space="preserve"> </w:t>
      </w:r>
      <w:r>
        <w:rPr>
          <w:rFonts w:cs="Arial" w:hint="cs"/>
          <w:rtl/>
        </w:rPr>
        <w:t>עדיין</w:t>
      </w:r>
      <w:r>
        <w:rPr>
          <w:rFonts w:cs="Arial"/>
          <w:rtl/>
        </w:rPr>
        <w:t xml:space="preserve"> </w:t>
      </w:r>
      <w:r>
        <w:rPr>
          <w:rFonts w:cs="Arial" w:hint="cs"/>
          <w:rtl/>
        </w:rPr>
        <w:t>לא</w:t>
      </w:r>
      <w:r>
        <w:rPr>
          <w:rFonts w:cs="Arial"/>
          <w:rtl/>
        </w:rPr>
        <w:t xml:space="preserve"> </w:t>
      </w:r>
      <w:r>
        <w:rPr>
          <w:rFonts w:cs="Arial" w:hint="cs"/>
          <w:rtl/>
        </w:rPr>
        <w:t>נהנה</w:t>
      </w:r>
      <w:r>
        <w:rPr>
          <w:rFonts w:cs="Arial"/>
          <w:rtl/>
        </w:rPr>
        <w:t xml:space="preserve"> </w:t>
      </w:r>
      <w:r>
        <w:rPr>
          <w:rFonts w:cs="Arial" w:hint="cs"/>
          <w:rtl/>
        </w:rPr>
        <w:t>מן</w:t>
      </w:r>
      <w:r>
        <w:rPr>
          <w:rFonts w:cs="Arial"/>
          <w:rtl/>
        </w:rPr>
        <w:t xml:space="preserve"> </w:t>
      </w:r>
      <w:r>
        <w:rPr>
          <w:rFonts w:cs="Arial" w:hint="cs"/>
          <w:rtl/>
        </w:rPr>
        <w:t>האור</w:t>
      </w:r>
      <w:r>
        <w:rPr>
          <w:rStyle w:val="a9"/>
          <w:rFonts w:cs="Arial"/>
          <w:rtl/>
        </w:rPr>
        <w:footnoteReference w:id="634"/>
      </w:r>
      <w:r>
        <w:rPr>
          <w:rFonts w:cs="Arial" w:hint="cs"/>
          <w:rtl/>
        </w:rPr>
        <w:t>.</w:t>
      </w:r>
    </w:p>
    <w:p w14:paraId="6CC14517"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D847E2A" w14:textId="77777777" w:rsidR="004B2E7C" w:rsidRDefault="004B2E7C" w:rsidP="00434A6A">
      <w:pPr>
        <w:rPr>
          <w:rFonts w:asciiTheme="minorBidi" w:hAnsiTheme="minorBidi"/>
          <w:rtl/>
        </w:rPr>
      </w:pPr>
      <w:r w:rsidRPr="00CC2350">
        <w:rPr>
          <w:rFonts w:asciiTheme="minorBidi" w:hAnsiTheme="minorBidi" w:cs="Arial"/>
          <w:rtl/>
        </w:rPr>
        <w:t>כשידליק יברך</w:t>
      </w:r>
      <w:r>
        <w:rPr>
          <w:rFonts w:asciiTheme="minorBidi" w:hAnsiTheme="minorBidi" w:cs="Arial" w:hint="cs"/>
          <w:rtl/>
        </w:rPr>
        <w:t>,</w:t>
      </w:r>
      <w:r w:rsidRPr="00CC2350">
        <w:rPr>
          <w:rFonts w:asciiTheme="minorBidi" w:hAnsiTheme="minorBidi" w:cs="Arial"/>
          <w:rtl/>
        </w:rPr>
        <w:t xml:space="preserve"> ב</w:t>
      </w:r>
      <w:r>
        <w:rPr>
          <w:rFonts w:asciiTheme="minorBidi" w:hAnsiTheme="minorBidi" w:cs="Arial" w:hint="cs"/>
          <w:rtl/>
        </w:rPr>
        <w:t>רוך אתה ה'</w:t>
      </w:r>
      <w:r w:rsidRPr="00CC2350">
        <w:rPr>
          <w:rFonts w:asciiTheme="minorBidi" w:hAnsiTheme="minorBidi" w:cs="Arial"/>
          <w:rtl/>
        </w:rPr>
        <w:t xml:space="preserve"> א</w:t>
      </w:r>
      <w:r>
        <w:rPr>
          <w:rFonts w:asciiTheme="minorBidi" w:hAnsiTheme="minorBidi" w:cs="Arial" w:hint="cs"/>
          <w:rtl/>
        </w:rPr>
        <w:t>לוקינו מלך העולם</w:t>
      </w:r>
      <w:r w:rsidRPr="00CC2350">
        <w:rPr>
          <w:rFonts w:asciiTheme="minorBidi" w:hAnsiTheme="minorBidi" w:cs="Arial"/>
          <w:rtl/>
        </w:rPr>
        <w:t xml:space="preserve"> א</w:t>
      </w:r>
      <w:r>
        <w:rPr>
          <w:rFonts w:asciiTheme="minorBidi" w:hAnsiTheme="minorBidi" w:cs="Arial" w:hint="cs"/>
          <w:rtl/>
        </w:rPr>
        <w:t xml:space="preserve">שר קדשנו במצותיו </w:t>
      </w:r>
      <w:r w:rsidRPr="00CC2350">
        <w:rPr>
          <w:rFonts w:asciiTheme="minorBidi" w:hAnsiTheme="minorBidi" w:cs="Arial"/>
          <w:rtl/>
        </w:rPr>
        <w:t>ו</w:t>
      </w:r>
      <w:r>
        <w:rPr>
          <w:rFonts w:asciiTheme="minorBidi" w:hAnsiTheme="minorBidi" w:cs="Arial" w:hint="cs"/>
          <w:rtl/>
        </w:rPr>
        <w:t>צונו</w:t>
      </w:r>
      <w:r w:rsidRPr="00CC2350">
        <w:rPr>
          <w:rFonts w:asciiTheme="minorBidi" w:hAnsiTheme="minorBidi" w:cs="Arial"/>
          <w:rtl/>
        </w:rPr>
        <w:t xml:space="preserve"> להדליק נר של שבת</w:t>
      </w:r>
      <w:r>
        <w:rPr>
          <w:rFonts w:asciiTheme="minorBidi" w:hAnsiTheme="minorBidi" w:cs="Arial" w:hint="cs"/>
          <w:rtl/>
        </w:rPr>
        <w:t>.</w:t>
      </w:r>
      <w:r w:rsidRPr="00CC2350">
        <w:rPr>
          <w:rFonts w:asciiTheme="minorBidi" w:hAnsiTheme="minorBidi" w:cs="Arial"/>
          <w:rtl/>
        </w:rPr>
        <w:t xml:space="preserve"> אחד האיש ואחד האשה. גם ביום טוב צריך לברך: להדליק נר של יום טוב. ובי</w:t>
      </w:r>
      <w:r>
        <w:rPr>
          <w:rFonts w:asciiTheme="minorBidi" w:hAnsiTheme="minorBidi" w:cs="Arial" w:hint="cs"/>
          <w:rtl/>
        </w:rPr>
        <w:t>ום הכפורים</w:t>
      </w:r>
      <w:r w:rsidRPr="00CC2350">
        <w:rPr>
          <w:rFonts w:asciiTheme="minorBidi" w:hAnsiTheme="minorBidi" w:cs="Arial"/>
          <w:rtl/>
        </w:rPr>
        <w:t xml:space="preserve"> בלא שבת, יש מי שאומר שלא יברך, וע"ל סימן תר"י. </w:t>
      </w:r>
      <w:r w:rsidRPr="00A27DB6">
        <w:rPr>
          <w:rFonts w:asciiTheme="minorBidi" w:hAnsiTheme="minorBidi" w:cs="Arial"/>
          <w:sz w:val="18"/>
          <w:szCs w:val="18"/>
          <w:rtl/>
        </w:rPr>
        <w:t>הגה: יש מי שאומר שמברכין קודם ההדלקה, ויש מי שאומר שמברך אחר ההדלקה</w:t>
      </w:r>
      <w:r>
        <w:rPr>
          <w:rStyle w:val="a9"/>
          <w:rFonts w:asciiTheme="minorBidi" w:hAnsiTheme="minorBidi" w:cs="Arial"/>
          <w:sz w:val="18"/>
          <w:szCs w:val="18"/>
          <w:rtl/>
        </w:rPr>
        <w:footnoteReference w:id="635"/>
      </w:r>
      <w:r w:rsidRPr="00A27DB6">
        <w:rPr>
          <w:rFonts w:asciiTheme="minorBidi" w:hAnsiTheme="minorBidi" w:cs="Arial"/>
          <w:sz w:val="18"/>
          <w:szCs w:val="18"/>
          <w:rtl/>
        </w:rPr>
        <w:t xml:space="preserve"> (מרדכי סוף ב"מ), וכדי שיהא עובר לעשייתו לא יהנה ממנה עד לאחר הברכה, ומשימין היד לפני הנר אחר הדלקה ומברכין, ואח"כ מסלקין היד וזה מקרי עובר לעשייה, וכן המנהג (מהרי"ל). </w:t>
      </w:r>
    </w:p>
    <w:p w14:paraId="6EE8E001" w14:textId="77777777" w:rsidR="004B2E7C" w:rsidRPr="00CC2350" w:rsidRDefault="004B2E7C" w:rsidP="00434A6A">
      <w:pPr>
        <w:rPr>
          <w:rFonts w:asciiTheme="minorBidi" w:hAnsiTheme="minorBidi"/>
          <w:rtl/>
        </w:rPr>
      </w:pPr>
    </w:p>
    <w:p w14:paraId="76E682E4" w14:textId="77777777" w:rsidR="004B2E7C" w:rsidRDefault="004B2E7C" w:rsidP="00434A6A">
      <w:pPr>
        <w:pStyle w:val="2"/>
        <w:rPr>
          <w:rtl/>
        </w:rPr>
      </w:pPr>
      <w:r w:rsidRPr="00CC2350">
        <w:rPr>
          <w:rtl/>
        </w:rPr>
        <w:t>סעיף ו</w:t>
      </w:r>
      <w:r>
        <w:rPr>
          <w:rFonts w:hint="cs"/>
          <w:rtl/>
        </w:rPr>
        <w:t>: איש נשוי שלא נמצא בביתו.</w:t>
      </w:r>
    </w:p>
    <w:p w14:paraId="043860D7" w14:textId="77777777" w:rsidR="004B2E7C" w:rsidRPr="003F5C26" w:rsidRDefault="004B2E7C" w:rsidP="00434A6A">
      <w:pPr>
        <w:rPr>
          <w:u w:val="single"/>
          <w:rtl/>
        </w:rPr>
      </w:pPr>
      <w:r w:rsidRPr="003F5C26">
        <w:rPr>
          <w:rFonts w:hint="cs"/>
          <w:u w:val="single"/>
          <w:rtl/>
        </w:rPr>
        <w:t>איש נשוי שלא נמצא בביתו</w:t>
      </w:r>
      <w:r>
        <w:rPr>
          <w:rFonts w:hint="cs"/>
          <w:u w:val="single"/>
          <w:rtl/>
        </w:rPr>
        <w:t xml:space="preserve"> </w:t>
      </w:r>
      <w:r>
        <w:rPr>
          <w:u w:val="single"/>
          <w:rtl/>
        </w:rPr>
        <w:t>–</w:t>
      </w:r>
      <w:r>
        <w:rPr>
          <w:rFonts w:hint="cs"/>
          <w:u w:val="single"/>
          <w:rtl/>
        </w:rPr>
        <w:t xml:space="preserve"> האם צריך להדליק</w:t>
      </w:r>
      <w:r w:rsidRPr="003F5C26">
        <w:rPr>
          <w:rFonts w:hint="cs"/>
          <w:u w:val="single"/>
          <w:rtl/>
        </w:rPr>
        <w:t>:</w:t>
      </w:r>
    </w:p>
    <w:p w14:paraId="01E7BCE6" w14:textId="77777777" w:rsidR="004B2E7C" w:rsidRPr="006737C8" w:rsidRDefault="004B2E7C" w:rsidP="00FF2D21">
      <w:pPr>
        <w:pStyle w:val="aa"/>
        <w:numPr>
          <w:ilvl w:val="0"/>
          <w:numId w:val="87"/>
        </w:numPr>
        <w:rPr>
          <w:rtl/>
        </w:rPr>
      </w:pPr>
      <w:r w:rsidRPr="00FE1C68">
        <w:rPr>
          <w:rFonts w:cs="Arial" w:hint="cs"/>
          <w:rtl/>
        </w:rPr>
        <w:t>מרדכי</w:t>
      </w:r>
      <w:r w:rsidRPr="00FE1C68">
        <w:rPr>
          <w:rFonts w:cs="Arial"/>
          <w:rtl/>
        </w:rPr>
        <w:t xml:space="preserve"> </w:t>
      </w:r>
      <w:r w:rsidRPr="00FE1C68">
        <w:rPr>
          <w:rFonts w:cs="Arial" w:hint="cs"/>
          <w:sz w:val="16"/>
          <w:szCs w:val="16"/>
          <w:rtl/>
        </w:rPr>
        <w:t>(פרק</w:t>
      </w:r>
      <w:r w:rsidRPr="00FE1C68">
        <w:rPr>
          <w:rFonts w:cs="Arial"/>
          <w:sz w:val="16"/>
          <w:szCs w:val="16"/>
          <w:rtl/>
        </w:rPr>
        <w:t xml:space="preserve"> </w:t>
      </w:r>
      <w:r w:rsidRPr="00FE1C68">
        <w:rPr>
          <w:rFonts w:cs="Arial" w:hint="cs"/>
          <w:sz w:val="16"/>
          <w:szCs w:val="16"/>
          <w:rtl/>
        </w:rPr>
        <w:t>במה</w:t>
      </w:r>
      <w:r w:rsidRPr="00FE1C68">
        <w:rPr>
          <w:rFonts w:cs="Arial"/>
          <w:sz w:val="16"/>
          <w:szCs w:val="16"/>
          <w:rtl/>
        </w:rPr>
        <w:t xml:space="preserve"> </w:t>
      </w:r>
      <w:r w:rsidRPr="00FE1C68">
        <w:rPr>
          <w:rFonts w:cs="Arial" w:hint="cs"/>
          <w:sz w:val="16"/>
          <w:szCs w:val="16"/>
          <w:rtl/>
        </w:rPr>
        <w:t>מדליקין</w:t>
      </w:r>
      <w:r w:rsidRPr="00FE1C68">
        <w:rPr>
          <w:rFonts w:cs="Arial"/>
          <w:sz w:val="16"/>
          <w:szCs w:val="16"/>
          <w:rtl/>
        </w:rPr>
        <w:t xml:space="preserve"> </w:t>
      </w:r>
      <w:r w:rsidRPr="00FE1C68">
        <w:rPr>
          <w:rFonts w:cs="Arial" w:hint="cs"/>
          <w:sz w:val="16"/>
          <w:szCs w:val="16"/>
          <w:rtl/>
        </w:rPr>
        <w:t>סי</w:t>
      </w:r>
      <w:r w:rsidRPr="00FE1C68">
        <w:rPr>
          <w:rFonts w:cs="Arial"/>
          <w:sz w:val="16"/>
          <w:szCs w:val="16"/>
          <w:rtl/>
        </w:rPr>
        <w:t xml:space="preserve">' </w:t>
      </w:r>
      <w:r w:rsidRPr="00FE1C68">
        <w:rPr>
          <w:rFonts w:cs="Arial" w:hint="cs"/>
          <w:sz w:val="16"/>
          <w:szCs w:val="16"/>
          <w:rtl/>
        </w:rPr>
        <w:t>רצד</w:t>
      </w:r>
      <w:r w:rsidRPr="00FE1C68">
        <w:rPr>
          <w:rFonts w:cs="Arial"/>
          <w:sz w:val="16"/>
          <w:szCs w:val="16"/>
          <w:rtl/>
        </w:rPr>
        <w:t>)</w:t>
      </w:r>
      <w:r>
        <w:rPr>
          <w:rFonts w:cs="Arial" w:hint="cs"/>
          <w:rtl/>
        </w:rPr>
        <w:t xml:space="preserve"> בשם מהר"ם</w:t>
      </w:r>
      <w:r w:rsidRPr="00FE1C68">
        <w:rPr>
          <w:rFonts w:cs="Arial" w:hint="cs"/>
          <w:rtl/>
        </w:rPr>
        <w:t xml:space="preserve">- </w:t>
      </w:r>
      <w:r w:rsidRPr="00FE1C68">
        <w:rPr>
          <w:rFonts w:cs="Arial"/>
          <w:rtl/>
        </w:rPr>
        <w:t>בחורים ההולכים ללמוד חוץ לביתם צריכין להדליק נר של שבת בחדרם ולברך עליו משום דהדלקת נר בשבת חובה משום שלום בית שלא יכשל בעץ או באבן אבל מי שהוא אצל אשתו א"צ להדליק בחדרו ולברך עליו לפי שאשתו מברכת עליו בשבילו</w:t>
      </w:r>
      <w:r>
        <w:rPr>
          <w:rFonts w:cs="Arial" w:hint="cs"/>
          <w:rtl/>
        </w:rPr>
        <w:t>.</w:t>
      </w:r>
      <w:r w:rsidRPr="003F5C26">
        <w:rPr>
          <w:rFonts w:cs="Arial" w:hint="cs"/>
          <w:color w:val="E36C0A" w:themeColor="accent6" w:themeShade="BF"/>
          <w:rtl/>
        </w:rPr>
        <w:t xml:space="preserve"> </w:t>
      </w:r>
      <w:r w:rsidRPr="0056384F">
        <w:rPr>
          <w:rFonts w:cs="Arial" w:hint="cs"/>
          <w:color w:val="E36C0A" w:themeColor="accent6" w:themeShade="BF"/>
          <w:rtl/>
        </w:rPr>
        <w:t>(וכ"פ בשו"ע)</w:t>
      </w:r>
    </w:p>
    <w:p w14:paraId="32467E26"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562534B" w14:textId="77777777" w:rsidR="004B2E7C" w:rsidRDefault="004B2E7C" w:rsidP="00434A6A">
      <w:pPr>
        <w:rPr>
          <w:rFonts w:asciiTheme="minorBidi" w:hAnsiTheme="minorBidi"/>
          <w:rtl/>
        </w:rPr>
      </w:pPr>
      <w:r w:rsidRPr="00CC2350">
        <w:rPr>
          <w:rFonts w:asciiTheme="minorBidi" w:hAnsiTheme="minorBidi" w:cs="Arial"/>
          <w:rtl/>
        </w:rPr>
        <w:t>בחורים</w:t>
      </w:r>
      <w:r>
        <w:rPr>
          <w:rStyle w:val="a9"/>
          <w:rFonts w:asciiTheme="minorBidi" w:hAnsiTheme="minorBidi" w:cs="Arial"/>
          <w:rtl/>
        </w:rPr>
        <w:footnoteReference w:id="636"/>
      </w:r>
      <w:r w:rsidRPr="00CC2350">
        <w:rPr>
          <w:rFonts w:asciiTheme="minorBidi" w:hAnsiTheme="minorBidi" w:cs="Arial"/>
          <w:rtl/>
        </w:rPr>
        <w:t xml:space="preserve"> ההולכים ללמוד חוץ לביתם, צריכים להדליק נר שבת בחדרם ולברך עליו, אבל מי שהוא אצל אשתו א</w:t>
      </w:r>
      <w:r>
        <w:rPr>
          <w:rFonts w:asciiTheme="minorBidi" w:hAnsiTheme="minorBidi" w:cs="Arial" w:hint="cs"/>
          <w:rtl/>
        </w:rPr>
        <w:t xml:space="preserve">ין </w:t>
      </w:r>
      <w:r w:rsidRPr="00CC2350">
        <w:rPr>
          <w:rFonts w:asciiTheme="minorBidi" w:hAnsiTheme="minorBidi" w:cs="Arial"/>
          <w:rtl/>
        </w:rPr>
        <w:t>צ</w:t>
      </w:r>
      <w:r>
        <w:rPr>
          <w:rFonts w:asciiTheme="minorBidi" w:hAnsiTheme="minorBidi" w:cs="Arial" w:hint="cs"/>
          <w:rtl/>
        </w:rPr>
        <w:t>ריך</w:t>
      </w:r>
      <w:r w:rsidRPr="00CC2350">
        <w:rPr>
          <w:rFonts w:asciiTheme="minorBidi" w:hAnsiTheme="minorBidi" w:cs="Arial"/>
          <w:rtl/>
        </w:rPr>
        <w:t xml:space="preserve"> להדליק בחדרו ולברך עליו, לפי שאשתו מברכת בשבילו. </w:t>
      </w:r>
    </w:p>
    <w:p w14:paraId="38224CC6" w14:textId="77777777" w:rsidR="004B2E7C" w:rsidRPr="00CC2350" w:rsidRDefault="004B2E7C" w:rsidP="00434A6A">
      <w:pPr>
        <w:rPr>
          <w:rFonts w:asciiTheme="minorBidi" w:hAnsiTheme="minorBidi"/>
          <w:rtl/>
        </w:rPr>
      </w:pPr>
    </w:p>
    <w:p w14:paraId="16E80A52" w14:textId="77777777" w:rsidR="004B2E7C" w:rsidRDefault="004B2E7C" w:rsidP="00434A6A">
      <w:pPr>
        <w:pStyle w:val="2"/>
        <w:rPr>
          <w:rtl/>
        </w:rPr>
      </w:pPr>
      <w:r w:rsidRPr="00CC2350">
        <w:rPr>
          <w:rtl/>
        </w:rPr>
        <w:t>סעיף ז</w:t>
      </w:r>
      <w:r>
        <w:rPr>
          <w:rFonts w:hint="cs"/>
          <w:rtl/>
        </w:rPr>
        <w:t>: אורח.</w:t>
      </w:r>
    </w:p>
    <w:p w14:paraId="5EE09CB7" w14:textId="77777777" w:rsidR="004B2E7C" w:rsidRPr="003F5C26" w:rsidRDefault="004B2E7C" w:rsidP="00434A6A">
      <w:pPr>
        <w:rPr>
          <w:u w:val="single"/>
          <w:rtl/>
        </w:rPr>
      </w:pPr>
      <w:r w:rsidRPr="003F5C26">
        <w:rPr>
          <w:rFonts w:hint="cs"/>
          <w:u w:val="single"/>
          <w:rtl/>
        </w:rPr>
        <w:t>כיצד אורח מדליק נר:</w:t>
      </w:r>
    </w:p>
    <w:p w14:paraId="69E909C5" w14:textId="77777777" w:rsidR="004B2E7C" w:rsidRPr="003F5C26" w:rsidRDefault="004B2E7C" w:rsidP="00FF2D21">
      <w:pPr>
        <w:pStyle w:val="aa"/>
        <w:numPr>
          <w:ilvl w:val="0"/>
          <w:numId w:val="87"/>
        </w:numPr>
        <w:rPr>
          <w:rFonts w:cs="Arial"/>
          <w:rtl/>
        </w:rPr>
      </w:pPr>
      <w:r w:rsidRPr="003F5C26">
        <w:rPr>
          <w:rFonts w:cs="Arial" w:hint="cs"/>
          <w:rtl/>
        </w:rPr>
        <w:t xml:space="preserve">הגמ"ר </w:t>
      </w:r>
      <w:r w:rsidRPr="003F5C26">
        <w:rPr>
          <w:rFonts w:cs="Arial" w:hint="cs"/>
          <w:sz w:val="16"/>
          <w:szCs w:val="16"/>
          <w:rtl/>
        </w:rPr>
        <w:t>(סי' תנו)</w:t>
      </w:r>
      <w:r w:rsidRPr="003F5C26">
        <w:rPr>
          <w:rFonts w:cs="Arial" w:hint="cs"/>
          <w:rtl/>
        </w:rPr>
        <w:t xml:space="preserve">- </w:t>
      </w:r>
      <w:r w:rsidRPr="003F5C26">
        <w:rPr>
          <w:rFonts w:cs="Arial"/>
          <w:rtl/>
        </w:rPr>
        <w:t>הוי משתתפינא בפריטי כתב ראבי"ה דהוא הדין לכל נר מצוה נר שבת נר יום טוב</w:t>
      </w:r>
      <w:r w:rsidRPr="003F5C26">
        <w:rPr>
          <w:rFonts w:cs="Arial" w:hint="cs"/>
          <w:rtl/>
        </w:rPr>
        <w:t>.</w:t>
      </w:r>
      <w:r w:rsidRPr="00AA0922">
        <w:rPr>
          <w:rFonts w:cs="Arial" w:hint="cs"/>
          <w:color w:val="E36C0A" w:themeColor="accent6" w:themeShade="BF"/>
          <w:rtl/>
        </w:rPr>
        <w:t xml:space="preserve"> </w:t>
      </w:r>
      <w:r w:rsidRPr="0056384F">
        <w:rPr>
          <w:rFonts w:cs="Arial" w:hint="cs"/>
          <w:color w:val="E36C0A" w:themeColor="accent6" w:themeShade="BF"/>
          <w:rtl/>
        </w:rPr>
        <w:t>(וכ"פ בשו"ע)</w:t>
      </w:r>
    </w:p>
    <w:p w14:paraId="2C28BCFC" w14:textId="77777777" w:rsidR="004B2E7C" w:rsidRPr="003F5C26" w:rsidRDefault="004B2E7C" w:rsidP="00434A6A">
      <w:pPr>
        <w:ind w:left="360"/>
        <w:rPr>
          <w:u w:val="dotted"/>
          <w:rtl/>
        </w:rPr>
      </w:pPr>
      <w:r w:rsidRPr="003F5C26">
        <w:rPr>
          <w:rFonts w:cs="Arial" w:hint="cs"/>
          <w:u w:val="dotted"/>
          <w:rtl/>
        </w:rPr>
        <w:t>האם הדין כן אע"פ שיש לו חדר מיוחד לו:</w:t>
      </w:r>
    </w:p>
    <w:p w14:paraId="31E6D109" w14:textId="77777777" w:rsidR="004B2E7C" w:rsidRPr="003F5C26" w:rsidRDefault="004B2E7C" w:rsidP="00FF2D21">
      <w:pPr>
        <w:pStyle w:val="aa"/>
        <w:numPr>
          <w:ilvl w:val="0"/>
          <w:numId w:val="87"/>
        </w:numPr>
        <w:rPr>
          <w:rFonts w:cs="Arial"/>
          <w:rtl/>
        </w:rPr>
      </w:pPr>
      <w:r w:rsidRPr="003F5C26">
        <w:rPr>
          <w:rFonts w:cs="Arial" w:hint="cs"/>
          <w:rtl/>
        </w:rPr>
        <w:t>ראבי</w:t>
      </w:r>
      <w:r w:rsidRPr="003F5C26">
        <w:rPr>
          <w:rFonts w:cs="Arial"/>
          <w:rtl/>
        </w:rPr>
        <w:t>"</w:t>
      </w:r>
      <w:r w:rsidRPr="003F5C26">
        <w:rPr>
          <w:rFonts w:cs="Arial" w:hint="cs"/>
          <w:rtl/>
        </w:rPr>
        <w:t>ה</w:t>
      </w:r>
      <w:r w:rsidRPr="003F5C26">
        <w:rPr>
          <w:rFonts w:cs="Arial"/>
          <w:rtl/>
        </w:rPr>
        <w:t xml:space="preserve"> </w:t>
      </w:r>
      <w:r w:rsidRPr="003F5C26">
        <w:rPr>
          <w:rFonts w:cs="Arial"/>
          <w:sz w:val="16"/>
          <w:szCs w:val="16"/>
          <w:rtl/>
        </w:rPr>
        <w:t>(</w:t>
      </w:r>
      <w:r w:rsidRPr="003F5C26">
        <w:rPr>
          <w:rFonts w:cs="Arial" w:hint="cs"/>
          <w:sz w:val="16"/>
          <w:szCs w:val="16"/>
          <w:rtl/>
        </w:rPr>
        <w:t>סי</w:t>
      </w:r>
      <w:r w:rsidRPr="003F5C26">
        <w:rPr>
          <w:rFonts w:cs="Arial"/>
          <w:sz w:val="16"/>
          <w:szCs w:val="16"/>
          <w:rtl/>
        </w:rPr>
        <w:t xml:space="preserve">' </w:t>
      </w:r>
      <w:r w:rsidRPr="003F5C26">
        <w:rPr>
          <w:rFonts w:cs="Arial" w:hint="cs"/>
          <w:sz w:val="16"/>
          <w:szCs w:val="16"/>
          <w:rtl/>
        </w:rPr>
        <w:t>קצט</w:t>
      </w:r>
      <w:r w:rsidRPr="003F5C26">
        <w:rPr>
          <w:rFonts w:cs="Arial"/>
          <w:sz w:val="16"/>
          <w:szCs w:val="16"/>
          <w:rtl/>
        </w:rPr>
        <w:t xml:space="preserve"> </w:t>
      </w:r>
      <w:r w:rsidRPr="003F5C26">
        <w:rPr>
          <w:rFonts w:cs="Arial" w:hint="cs"/>
          <w:sz w:val="16"/>
          <w:szCs w:val="16"/>
          <w:rtl/>
        </w:rPr>
        <w:t>סוף</w:t>
      </w:r>
      <w:r w:rsidRPr="003F5C26">
        <w:rPr>
          <w:rFonts w:cs="Arial"/>
          <w:sz w:val="16"/>
          <w:szCs w:val="16"/>
          <w:rtl/>
        </w:rPr>
        <w:t xml:space="preserve"> </w:t>
      </w:r>
      <w:r w:rsidRPr="003F5C26">
        <w:rPr>
          <w:rFonts w:cs="Arial" w:hint="cs"/>
          <w:sz w:val="16"/>
          <w:szCs w:val="16"/>
          <w:rtl/>
        </w:rPr>
        <w:t>עמוד</w:t>
      </w:r>
      <w:r w:rsidRPr="003F5C26">
        <w:rPr>
          <w:rFonts w:cs="Arial"/>
          <w:sz w:val="16"/>
          <w:szCs w:val="16"/>
          <w:rtl/>
        </w:rPr>
        <w:t xml:space="preserve"> </w:t>
      </w:r>
      <w:r w:rsidRPr="003F5C26">
        <w:rPr>
          <w:rFonts w:cs="Arial" w:hint="cs"/>
          <w:sz w:val="16"/>
          <w:szCs w:val="16"/>
          <w:rtl/>
        </w:rPr>
        <w:t>רס</w:t>
      </w:r>
      <w:r w:rsidRPr="003F5C26">
        <w:rPr>
          <w:rFonts w:cs="Arial"/>
          <w:sz w:val="16"/>
          <w:szCs w:val="16"/>
          <w:rtl/>
        </w:rPr>
        <w:t>"</w:t>
      </w:r>
      <w:r w:rsidRPr="003F5C26">
        <w:rPr>
          <w:rFonts w:cs="Arial" w:hint="cs"/>
          <w:sz w:val="16"/>
          <w:szCs w:val="16"/>
          <w:rtl/>
        </w:rPr>
        <w:t>ו</w:t>
      </w:r>
      <w:r w:rsidRPr="003F5C26">
        <w:rPr>
          <w:rFonts w:cs="Arial"/>
          <w:sz w:val="16"/>
          <w:szCs w:val="16"/>
          <w:rtl/>
        </w:rPr>
        <w:t>)</w:t>
      </w:r>
      <w:r w:rsidRPr="003F5C26">
        <w:rPr>
          <w:rFonts w:cs="Arial" w:hint="cs"/>
          <w:rtl/>
        </w:rPr>
        <w:t>-</w:t>
      </w:r>
      <w:r w:rsidRPr="003F5C26">
        <w:rPr>
          <w:rFonts w:cs="Arial"/>
          <w:rtl/>
        </w:rPr>
        <w:t xml:space="preserve"> קרוב הדבר בעיני דאכסנאי משתתף בפריטי לנר של שבת כמו לנר של חנוכה אם לא מדליקין עליו בגו ביתיה, אם מוסר לו בעל הבית ביתו בחנם. </w:t>
      </w:r>
    </w:p>
    <w:p w14:paraId="7EEE16AA" w14:textId="77777777" w:rsidR="004B2E7C" w:rsidRPr="006737C8" w:rsidRDefault="004B2E7C" w:rsidP="00FF2D21">
      <w:pPr>
        <w:pStyle w:val="aa"/>
        <w:numPr>
          <w:ilvl w:val="0"/>
          <w:numId w:val="87"/>
        </w:numPr>
        <w:rPr>
          <w:rtl/>
        </w:rPr>
      </w:pPr>
      <w:r w:rsidRPr="003F5C26">
        <w:rPr>
          <w:rFonts w:cs="Arial" w:hint="cs"/>
          <w:rtl/>
        </w:rPr>
        <w:t>ב"י- נראה</w:t>
      </w:r>
      <w:r w:rsidRPr="003F5C26">
        <w:rPr>
          <w:rFonts w:cs="Arial"/>
          <w:rtl/>
        </w:rPr>
        <w:t xml:space="preserve"> </w:t>
      </w:r>
      <w:r w:rsidRPr="003F5C26">
        <w:rPr>
          <w:rFonts w:cs="Arial" w:hint="cs"/>
          <w:rtl/>
        </w:rPr>
        <w:t>דהיינו</w:t>
      </w:r>
      <w:r w:rsidRPr="003F5C26">
        <w:rPr>
          <w:rFonts w:cs="Arial"/>
          <w:rtl/>
        </w:rPr>
        <w:t xml:space="preserve"> </w:t>
      </w:r>
      <w:r w:rsidRPr="003F5C26">
        <w:rPr>
          <w:rFonts w:cs="Arial" w:hint="cs"/>
          <w:rtl/>
        </w:rPr>
        <w:t>למי</w:t>
      </w:r>
      <w:r w:rsidRPr="003F5C26">
        <w:rPr>
          <w:rFonts w:cs="Arial"/>
          <w:rtl/>
        </w:rPr>
        <w:t xml:space="preserve"> </w:t>
      </w:r>
      <w:r w:rsidRPr="003F5C26">
        <w:rPr>
          <w:rFonts w:cs="Arial" w:hint="cs"/>
          <w:rtl/>
        </w:rPr>
        <w:t>שאין</w:t>
      </w:r>
      <w:r w:rsidRPr="003F5C26">
        <w:rPr>
          <w:rFonts w:cs="Arial"/>
          <w:rtl/>
        </w:rPr>
        <w:t xml:space="preserve"> </w:t>
      </w:r>
      <w:r w:rsidRPr="003F5C26">
        <w:rPr>
          <w:rFonts w:cs="Arial" w:hint="cs"/>
          <w:rtl/>
        </w:rPr>
        <w:t>לו</w:t>
      </w:r>
      <w:r w:rsidRPr="003F5C26">
        <w:rPr>
          <w:rFonts w:cs="Arial"/>
          <w:rtl/>
        </w:rPr>
        <w:t xml:space="preserve"> </w:t>
      </w:r>
      <w:r w:rsidRPr="003F5C26">
        <w:rPr>
          <w:rFonts w:cs="Arial" w:hint="cs"/>
          <w:rtl/>
        </w:rPr>
        <w:t>חדר</w:t>
      </w:r>
      <w:r w:rsidRPr="003F5C26">
        <w:rPr>
          <w:rFonts w:cs="Arial"/>
          <w:rtl/>
        </w:rPr>
        <w:t xml:space="preserve"> </w:t>
      </w:r>
      <w:r w:rsidRPr="003F5C26">
        <w:rPr>
          <w:rFonts w:cs="Arial" w:hint="cs"/>
          <w:rtl/>
        </w:rPr>
        <w:t>מיוחד</w:t>
      </w:r>
      <w:r w:rsidRPr="003F5C26">
        <w:rPr>
          <w:rFonts w:cs="Arial"/>
          <w:rtl/>
        </w:rPr>
        <w:t xml:space="preserve"> </w:t>
      </w:r>
      <w:r w:rsidRPr="003F5C26">
        <w:rPr>
          <w:rFonts w:cs="Arial" w:hint="cs"/>
          <w:rtl/>
        </w:rPr>
        <w:t>שמדליק</w:t>
      </w:r>
      <w:r w:rsidRPr="003F5C26">
        <w:rPr>
          <w:rFonts w:cs="Arial"/>
          <w:rtl/>
        </w:rPr>
        <w:t xml:space="preserve"> </w:t>
      </w:r>
      <w:r w:rsidRPr="003F5C26">
        <w:rPr>
          <w:rFonts w:cs="Arial" w:hint="cs"/>
          <w:rtl/>
        </w:rPr>
        <w:t>בו.</w:t>
      </w:r>
      <w:r w:rsidRPr="00AA0922">
        <w:rPr>
          <w:rFonts w:cs="Arial" w:hint="cs"/>
          <w:color w:val="E36C0A" w:themeColor="accent6" w:themeShade="BF"/>
          <w:rtl/>
        </w:rPr>
        <w:t xml:space="preserve"> </w:t>
      </w:r>
      <w:r w:rsidRPr="0056384F">
        <w:rPr>
          <w:rFonts w:cs="Arial" w:hint="cs"/>
          <w:color w:val="E36C0A" w:themeColor="accent6" w:themeShade="BF"/>
          <w:rtl/>
        </w:rPr>
        <w:t>(וכ"פ בשו"ע)</w:t>
      </w:r>
    </w:p>
    <w:p w14:paraId="0EE87424"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06BC50A3" w14:textId="77777777" w:rsidR="004B2E7C" w:rsidRDefault="004B2E7C" w:rsidP="00434A6A">
      <w:pPr>
        <w:rPr>
          <w:rFonts w:asciiTheme="minorBidi" w:hAnsiTheme="minorBidi"/>
          <w:rtl/>
        </w:rPr>
      </w:pPr>
      <w:r w:rsidRPr="00CC2350">
        <w:rPr>
          <w:rFonts w:asciiTheme="minorBidi" w:hAnsiTheme="minorBidi" w:cs="Arial"/>
          <w:rtl/>
        </w:rPr>
        <w:t>אורח שאין לו חדר מיוחד</w:t>
      </w:r>
      <w:r>
        <w:rPr>
          <w:rStyle w:val="a9"/>
          <w:rFonts w:asciiTheme="minorBidi" w:hAnsiTheme="minorBidi" w:cs="Arial"/>
          <w:rtl/>
        </w:rPr>
        <w:footnoteReference w:id="637"/>
      </w:r>
      <w:r w:rsidRPr="00CC2350">
        <w:rPr>
          <w:rFonts w:asciiTheme="minorBidi" w:hAnsiTheme="minorBidi" w:cs="Arial"/>
          <w:rtl/>
        </w:rPr>
        <w:t xml:space="preserve"> וגם אין מדליקין עליו בביתו, צריך להשתתף</w:t>
      </w:r>
      <w:r>
        <w:rPr>
          <w:rStyle w:val="a9"/>
          <w:rFonts w:asciiTheme="minorBidi" w:hAnsiTheme="minorBidi" w:cs="Arial"/>
          <w:rtl/>
        </w:rPr>
        <w:footnoteReference w:id="638"/>
      </w:r>
      <w:r w:rsidRPr="00CC2350">
        <w:rPr>
          <w:rFonts w:asciiTheme="minorBidi" w:hAnsiTheme="minorBidi" w:cs="Arial"/>
          <w:rtl/>
        </w:rPr>
        <w:t xml:space="preserve"> בפרוטה</w:t>
      </w:r>
      <w:r>
        <w:rPr>
          <w:rStyle w:val="a9"/>
          <w:rFonts w:asciiTheme="minorBidi" w:hAnsiTheme="minorBidi" w:cs="Arial"/>
          <w:rtl/>
        </w:rPr>
        <w:footnoteReference w:id="639"/>
      </w:r>
      <w:r w:rsidRPr="00CC2350">
        <w:rPr>
          <w:rFonts w:asciiTheme="minorBidi" w:hAnsiTheme="minorBidi" w:cs="Arial"/>
          <w:rtl/>
        </w:rPr>
        <w:t xml:space="preserve">. </w:t>
      </w:r>
    </w:p>
    <w:p w14:paraId="016E429A" w14:textId="77777777" w:rsidR="004B2E7C" w:rsidRPr="00CC2350" w:rsidRDefault="004B2E7C" w:rsidP="00434A6A">
      <w:pPr>
        <w:rPr>
          <w:rFonts w:asciiTheme="minorBidi" w:hAnsiTheme="minorBidi"/>
          <w:rtl/>
        </w:rPr>
      </w:pPr>
    </w:p>
    <w:p w14:paraId="7DFDC90F" w14:textId="77777777" w:rsidR="004B2E7C" w:rsidRDefault="004B2E7C" w:rsidP="00434A6A">
      <w:pPr>
        <w:pStyle w:val="2"/>
        <w:rPr>
          <w:rtl/>
        </w:rPr>
      </w:pPr>
      <w:r w:rsidRPr="00CC2350">
        <w:rPr>
          <w:rtl/>
        </w:rPr>
        <w:t>סעיף ח</w:t>
      </w:r>
      <w:r>
        <w:rPr>
          <w:rFonts w:hint="cs"/>
          <w:rtl/>
        </w:rPr>
        <w:t>: ב' בעלי בתים שאוכלים במקום אחד.</w:t>
      </w:r>
    </w:p>
    <w:p w14:paraId="0C1750B8" w14:textId="77777777" w:rsidR="004B2E7C" w:rsidRPr="00AA0922" w:rsidRDefault="004B2E7C" w:rsidP="00434A6A">
      <w:pPr>
        <w:rPr>
          <w:u w:val="single"/>
          <w:rtl/>
        </w:rPr>
      </w:pPr>
      <w:r w:rsidRPr="00AA0922">
        <w:rPr>
          <w:rFonts w:hint="cs"/>
          <w:u w:val="single"/>
          <w:rtl/>
        </w:rPr>
        <w:t xml:space="preserve">ב' בעלי בתים שאוכלים במקום אחד </w:t>
      </w:r>
      <w:r w:rsidRPr="00AA0922">
        <w:rPr>
          <w:u w:val="single"/>
          <w:rtl/>
        </w:rPr>
        <w:t>–</w:t>
      </w:r>
      <w:r w:rsidRPr="00AA0922">
        <w:rPr>
          <w:rFonts w:hint="cs"/>
          <w:u w:val="single"/>
          <w:rtl/>
        </w:rPr>
        <w:t xml:space="preserve"> האם כל אחד צריך להדליק ולברך:</w:t>
      </w:r>
    </w:p>
    <w:p w14:paraId="7580630E" w14:textId="77777777" w:rsidR="004B2E7C" w:rsidRDefault="004B2E7C" w:rsidP="00FF2D21">
      <w:pPr>
        <w:pStyle w:val="aa"/>
        <w:numPr>
          <w:ilvl w:val="0"/>
          <w:numId w:val="89"/>
        </w:numPr>
      </w:pPr>
      <w:r w:rsidRPr="00AA0922">
        <w:rPr>
          <w:rFonts w:cs="Arial" w:hint="cs"/>
          <w:rtl/>
        </w:rPr>
        <w:t>מהרי</w:t>
      </w:r>
      <w:r w:rsidRPr="00AA0922">
        <w:rPr>
          <w:rFonts w:cs="Arial"/>
          <w:rtl/>
        </w:rPr>
        <w:t>"</w:t>
      </w:r>
      <w:r w:rsidRPr="00AA0922">
        <w:rPr>
          <w:rFonts w:cs="Arial" w:hint="cs"/>
          <w:rtl/>
        </w:rPr>
        <w:t>ל</w:t>
      </w:r>
      <w:r w:rsidRPr="00AA0922">
        <w:rPr>
          <w:rFonts w:cs="Arial"/>
          <w:rtl/>
        </w:rPr>
        <w:t xml:space="preserve"> </w:t>
      </w:r>
      <w:r w:rsidRPr="00AA0922">
        <w:rPr>
          <w:rFonts w:cs="Arial" w:hint="cs"/>
          <w:sz w:val="16"/>
          <w:szCs w:val="16"/>
          <w:rtl/>
        </w:rPr>
        <w:t>(בשו"ת סי</w:t>
      </w:r>
      <w:r w:rsidRPr="00AA0922">
        <w:rPr>
          <w:rFonts w:cs="Arial"/>
          <w:sz w:val="16"/>
          <w:szCs w:val="16"/>
          <w:rtl/>
        </w:rPr>
        <w:t xml:space="preserve">' </w:t>
      </w:r>
      <w:r w:rsidRPr="00AA0922">
        <w:rPr>
          <w:rFonts w:cs="Arial" w:hint="cs"/>
          <w:sz w:val="16"/>
          <w:szCs w:val="16"/>
          <w:rtl/>
        </w:rPr>
        <w:t>נג, הביאו הב"י בשם תשובה אשכנזית</w:t>
      </w:r>
      <w:r w:rsidRPr="00AA0922">
        <w:rPr>
          <w:rFonts w:cs="Arial"/>
          <w:sz w:val="16"/>
          <w:szCs w:val="16"/>
          <w:rtl/>
        </w:rPr>
        <w:t>)</w:t>
      </w:r>
      <w:r w:rsidRPr="00AA0922">
        <w:rPr>
          <w:rFonts w:cs="Arial" w:hint="cs"/>
          <w:rtl/>
        </w:rPr>
        <w:t>-</w:t>
      </w:r>
      <w:r w:rsidRPr="00AA0922">
        <w:rPr>
          <w:rFonts w:cs="Arial"/>
          <w:rtl/>
        </w:rPr>
        <w:t xml:space="preserve"> </w:t>
      </w:r>
      <w:r w:rsidRPr="00AA0922">
        <w:rPr>
          <w:rFonts w:cs="Arial" w:hint="cs"/>
          <w:rtl/>
        </w:rPr>
        <w:t>ב</w:t>
      </w:r>
      <w:r w:rsidRPr="00AA0922">
        <w:rPr>
          <w:rFonts w:cs="Arial"/>
          <w:rtl/>
        </w:rPr>
        <w:t xml:space="preserve">' </w:t>
      </w:r>
      <w:r w:rsidRPr="00AA0922">
        <w:rPr>
          <w:rFonts w:cs="Arial" w:hint="cs"/>
          <w:rtl/>
        </w:rPr>
        <w:t>וג</w:t>
      </w:r>
      <w:r w:rsidRPr="00AA0922">
        <w:rPr>
          <w:rFonts w:cs="Arial"/>
          <w:rtl/>
        </w:rPr>
        <w:t xml:space="preserve">' </w:t>
      </w:r>
      <w:r w:rsidRPr="00AA0922">
        <w:rPr>
          <w:rFonts w:cs="Arial" w:hint="cs"/>
          <w:rtl/>
        </w:rPr>
        <w:t>בעלי</w:t>
      </w:r>
      <w:r w:rsidRPr="00AA0922">
        <w:rPr>
          <w:rFonts w:cs="Arial"/>
          <w:rtl/>
        </w:rPr>
        <w:t xml:space="preserve"> </w:t>
      </w:r>
      <w:r w:rsidRPr="00AA0922">
        <w:rPr>
          <w:rFonts w:cs="Arial" w:hint="cs"/>
          <w:rtl/>
        </w:rPr>
        <w:t>בתים</w:t>
      </w:r>
      <w:r w:rsidRPr="00AA0922">
        <w:rPr>
          <w:rFonts w:cs="Arial"/>
          <w:rtl/>
        </w:rPr>
        <w:t xml:space="preserve"> </w:t>
      </w:r>
      <w:r w:rsidRPr="00AA0922">
        <w:rPr>
          <w:rFonts w:cs="Arial" w:hint="cs"/>
          <w:rtl/>
        </w:rPr>
        <w:t>אוכלים</w:t>
      </w:r>
      <w:r w:rsidRPr="00AA0922">
        <w:rPr>
          <w:rFonts w:cs="Arial"/>
          <w:rtl/>
        </w:rPr>
        <w:t xml:space="preserve"> </w:t>
      </w:r>
      <w:r w:rsidRPr="00AA0922">
        <w:rPr>
          <w:rFonts w:cs="Arial" w:hint="cs"/>
          <w:rtl/>
        </w:rPr>
        <w:t>במקום</w:t>
      </w:r>
      <w:r w:rsidRPr="00AA0922">
        <w:rPr>
          <w:rFonts w:cs="Arial"/>
          <w:rtl/>
        </w:rPr>
        <w:t xml:space="preserve"> </w:t>
      </w:r>
      <w:r w:rsidRPr="00AA0922">
        <w:rPr>
          <w:rFonts w:cs="Arial" w:hint="cs"/>
          <w:rtl/>
        </w:rPr>
        <w:t>אחד</w:t>
      </w:r>
      <w:r w:rsidRPr="00AA0922">
        <w:rPr>
          <w:rFonts w:cs="Arial"/>
          <w:rtl/>
        </w:rPr>
        <w:t xml:space="preserve"> </w:t>
      </w:r>
      <w:r w:rsidRPr="00AA0922">
        <w:rPr>
          <w:rFonts w:cs="Arial" w:hint="cs"/>
          <w:rtl/>
        </w:rPr>
        <w:t>כל</w:t>
      </w:r>
      <w:r w:rsidRPr="00AA0922">
        <w:rPr>
          <w:rFonts w:cs="Arial"/>
          <w:rtl/>
        </w:rPr>
        <w:t xml:space="preserve"> </w:t>
      </w:r>
      <w:r w:rsidRPr="00AA0922">
        <w:rPr>
          <w:rFonts w:cs="Arial" w:hint="cs"/>
          <w:rtl/>
        </w:rPr>
        <w:t>אחד</w:t>
      </w:r>
      <w:r w:rsidRPr="00AA0922">
        <w:rPr>
          <w:rFonts w:cs="Arial"/>
          <w:rtl/>
        </w:rPr>
        <w:t xml:space="preserve"> </w:t>
      </w:r>
      <w:r w:rsidRPr="00AA0922">
        <w:rPr>
          <w:rFonts w:cs="Arial" w:hint="cs"/>
          <w:rtl/>
        </w:rPr>
        <w:t>מברך</w:t>
      </w:r>
      <w:r w:rsidRPr="00AA0922">
        <w:rPr>
          <w:rFonts w:cs="Arial"/>
          <w:rtl/>
        </w:rPr>
        <w:t xml:space="preserve"> </w:t>
      </w:r>
      <w:r w:rsidRPr="00AA0922">
        <w:rPr>
          <w:rFonts w:cs="Arial" w:hint="cs"/>
          <w:rtl/>
        </w:rPr>
        <w:t>על</w:t>
      </w:r>
      <w:r w:rsidRPr="00AA0922">
        <w:rPr>
          <w:rFonts w:cs="Arial"/>
          <w:rtl/>
        </w:rPr>
        <w:t xml:space="preserve"> </w:t>
      </w:r>
      <w:r w:rsidRPr="00AA0922">
        <w:rPr>
          <w:rFonts w:cs="Arial" w:hint="cs"/>
          <w:rtl/>
        </w:rPr>
        <w:t>מנורה</w:t>
      </w:r>
      <w:r w:rsidRPr="00AA0922">
        <w:rPr>
          <w:rFonts w:cs="Arial"/>
          <w:rtl/>
        </w:rPr>
        <w:t xml:space="preserve"> </w:t>
      </w:r>
      <w:r w:rsidRPr="00AA0922">
        <w:rPr>
          <w:rFonts w:cs="Arial" w:hint="cs"/>
          <w:rtl/>
        </w:rPr>
        <w:t>שלו</w:t>
      </w:r>
      <w:r w:rsidRPr="00AA0922">
        <w:rPr>
          <w:rFonts w:cs="Arial"/>
          <w:rtl/>
        </w:rPr>
        <w:t xml:space="preserve"> </w:t>
      </w:r>
      <w:r w:rsidRPr="00AA0922">
        <w:rPr>
          <w:rFonts w:cs="Arial" w:hint="cs"/>
          <w:rtl/>
        </w:rPr>
        <w:t>אף</w:t>
      </w:r>
      <w:r w:rsidRPr="00AA0922">
        <w:rPr>
          <w:rFonts w:cs="Arial"/>
          <w:rtl/>
        </w:rPr>
        <w:t xml:space="preserve"> </w:t>
      </w:r>
      <w:r w:rsidRPr="00AA0922">
        <w:rPr>
          <w:rFonts w:cs="Arial" w:hint="cs"/>
          <w:rtl/>
        </w:rPr>
        <w:t>על</w:t>
      </w:r>
      <w:r w:rsidRPr="00AA0922">
        <w:rPr>
          <w:rFonts w:cs="Arial"/>
          <w:rtl/>
        </w:rPr>
        <w:t xml:space="preserve"> </w:t>
      </w:r>
      <w:r w:rsidRPr="00AA0922">
        <w:rPr>
          <w:rFonts w:cs="Arial" w:hint="cs"/>
          <w:rtl/>
        </w:rPr>
        <w:t>פי</w:t>
      </w:r>
      <w:r w:rsidRPr="00AA0922">
        <w:rPr>
          <w:rFonts w:cs="Arial"/>
          <w:rtl/>
        </w:rPr>
        <w:t xml:space="preserve"> </w:t>
      </w:r>
      <w:r w:rsidRPr="00AA0922">
        <w:rPr>
          <w:rFonts w:cs="Arial" w:hint="cs"/>
          <w:rtl/>
        </w:rPr>
        <w:t>שכבר</w:t>
      </w:r>
      <w:r w:rsidRPr="00AA0922">
        <w:rPr>
          <w:rFonts w:cs="Arial"/>
          <w:rtl/>
        </w:rPr>
        <w:t xml:space="preserve"> </w:t>
      </w:r>
      <w:r w:rsidRPr="00AA0922">
        <w:rPr>
          <w:rFonts w:cs="Arial" w:hint="cs"/>
          <w:rtl/>
        </w:rPr>
        <w:t>יש</w:t>
      </w:r>
      <w:r w:rsidRPr="00AA0922">
        <w:rPr>
          <w:rFonts w:cs="Arial"/>
          <w:rtl/>
        </w:rPr>
        <w:t xml:space="preserve"> </w:t>
      </w:r>
      <w:r w:rsidRPr="00AA0922">
        <w:rPr>
          <w:rFonts w:cs="Arial" w:hint="cs"/>
          <w:rtl/>
        </w:rPr>
        <w:t>אורה</w:t>
      </w:r>
      <w:r w:rsidRPr="00AA0922">
        <w:rPr>
          <w:rFonts w:cs="Arial"/>
          <w:rtl/>
        </w:rPr>
        <w:t xml:space="preserve"> </w:t>
      </w:r>
      <w:r w:rsidRPr="00AA0922">
        <w:rPr>
          <w:rFonts w:cs="Arial" w:hint="cs"/>
          <w:rtl/>
        </w:rPr>
        <w:t>מרובה</w:t>
      </w:r>
      <w:r>
        <w:rPr>
          <w:rFonts w:cs="Arial" w:hint="cs"/>
          <w:rtl/>
        </w:rPr>
        <w:t>.</w:t>
      </w:r>
      <w:r w:rsidRPr="00AA0922">
        <w:rPr>
          <w:rFonts w:cs="Arial"/>
          <w:rtl/>
        </w:rPr>
        <w:t xml:space="preserve"> </w:t>
      </w:r>
      <w:r w:rsidRPr="00AA0922">
        <w:rPr>
          <w:rFonts w:cs="Arial" w:hint="cs"/>
          <w:rtl/>
        </w:rPr>
        <w:t>אף</w:t>
      </w:r>
      <w:r w:rsidRPr="00AA0922">
        <w:rPr>
          <w:rFonts w:cs="Arial"/>
          <w:rtl/>
        </w:rPr>
        <w:t xml:space="preserve"> </w:t>
      </w:r>
      <w:r w:rsidRPr="00AA0922">
        <w:rPr>
          <w:rFonts w:cs="Arial" w:hint="cs"/>
          <w:rtl/>
        </w:rPr>
        <w:t>על</w:t>
      </w:r>
      <w:r w:rsidRPr="00AA0922">
        <w:rPr>
          <w:rFonts w:cs="Arial"/>
          <w:rtl/>
        </w:rPr>
        <w:t xml:space="preserve"> </w:t>
      </w:r>
      <w:r w:rsidRPr="00AA0922">
        <w:rPr>
          <w:rFonts w:cs="Arial" w:hint="cs"/>
          <w:rtl/>
        </w:rPr>
        <w:t>גב</w:t>
      </w:r>
      <w:r w:rsidRPr="00AA0922">
        <w:rPr>
          <w:rFonts w:cs="Arial"/>
          <w:rtl/>
        </w:rPr>
        <w:t xml:space="preserve"> </w:t>
      </w:r>
      <w:r>
        <w:rPr>
          <w:rFonts w:cs="Arial" w:hint="cs"/>
          <w:rtl/>
        </w:rPr>
        <w:t>ש</w:t>
      </w:r>
      <w:r w:rsidRPr="00AA0922">
        <w:rPr>
          <w:rFonts w:cs="Arial" w:hint="cs"/>
          <w:rtl/>
        </w:rPr>
        <w:t>או</w:t>
      </w:r>
      <w:r>
        <w:rPr>
          <w:rFonts w:cs="Arial" w:hint="cs"/>
          <w:rtl/>
        </w:rPr>
        <w:t>"ז</w:t>
      </w:r>
      <w:r w:rsidRPr="00AA0922">
        <w:rPr>
          <w:rFonts w:cs="Arial"/>
          <w:rtl/>
        </w:rPr>
        <w:t xml:space="preserve"> </w:t>
      </w:r>
      <w:r w:rsidRPr="00AA0922">
        <w:rPr>
          <w:rFonts w:cs="Arial" w:hint="cs"/>
          <w:rtl/>
        </w:rPr>
        <w:t>גמגם</w:t>
      </w:r>
      <w:r w:rsidRPr="00AA0922">
        <w:rPr>
          <w:rFonts w:cs="Arial"/>
          <w:rtl/>
        </w:rPr>
        <w:t xml:space="preserve"> </w:t>
      </w:r>
      <w:r w:rsidRPr="00AA0922">
        <w:rPr>
          <w:rFonts w:cs="Arial" w:hint="cs"/>
          <w:rtl/>
        </w:rPr>
        <w:t>בזה</w:t>
      </w:r>
      <w:r w:rsidRPr="00AA0922">
        <w:rPr>
          <w:rFonts w:cs="Arial"/>
          <w:rtl/>
        </w:rPr>
        <w:t xml:space="preserve"> </w:t>
      </w:r>
      <w:r w:rsidRPr="00AA0922">
        <w:rPr>
          <w:rFonts w:cs="Arial" w:hint="cs"/>
          <w:rtl/>
        </w:rPr>
        <w:t>מכל</w:t>
      </w:r>
      <w:r w:rsidRPr="00AA0922">
        <w:rPr>
          <w:rFonts w:cs="Arial"/>
          <w:rtl/>
        </w:rPr>
        <w:t xml:space="preserve"> </w:t>
      </w:r>
      <w:r w:rsidRPr="00AA0922">
        <w:rPr>
          <w:rFonts w:cs="Arial" w:hint="cs"/>
          <w:rtl/>
        </w:rPr>
        <w:t>מקום</w:t>
      </w:r>
      <w:r w:rsidRPr="00AA0922">
        <w:rPr>
          <w:rFonts w:cs="Arial"/>
          <w:rtl/>
        </w:rPr>
        <w:t xml:space="preserve"> </w:t>
      </w:r>
      <w:r w:rsidRPr="00AA0922">
        <w:rPr>
          <w:rFonts w:cs="Arial" w:hint="cs"/>
          <w:rtl/>
        </w:rPr>
        <w:t>יש</w:t>
      </w:r>
      <w:r w:rsidRPr="00AA0922">
        <w:rPr>
          <w:rFonts w:cs="Arial"/>
          <w:rtl/>
        </w:rPr>
        <w:t xml:space="preserve"> </w:t>
      </w:r>
      <w:r w:rsidRPr="00AA0922">
        <w:rPr>
          <w:rFonts w:cs="Arial" w:hint="cs"/>
          <w:rtl/>
        </w:rPr>
        <w:t>נוהגים</w:t>
      </w:r>
      <w:r w:rsidRPr="00AA0922">
        <w:rPr>
          <w:rFonts w:cs="Arial"/>
          <w:rtl/>
        </w:rPr>
        <w:t xml:space="preserve"> </w:t>
      </w:r>
      <w:r w:rsidRPr="00AA0922">
        <w:rPr>
          <w:rFonts w:cs="Arial" w:hint="cs"/>
          <w:rtl/>
        </w:rPr>
        <w:t>כך</w:t>
      </w:r>
      <w:r>
        <w:rPr>
          <w:rFonts w:cs="Arial" w:hint="cs"/>
          <w:rtl/>
        </w:rPr>
        <w:t>.</w:t>
      </w:r>
      <w:r w:rsidRPr="00AA0922">
        <w:rPr>
          <w:rFonts w:cs="Arial"/>
          <w:rtl/>
        </w:rPr>
        <w:t xml:space="preserve"> </w:t>
      </w:r>
      <w:r w:rsidRPr="00AA0922">
        <w:rPr>
          <w:rFonts w:cs="Arial" w:hint="cs"/>
          <w:rtl/>
        </w:rPr>
        <w:t>ובעניותי</w:t>
      </w:r>
      <w:r w:rsidRPr="00AA0922">
        <w:rPr>
          <w:rFonts w:cs="Arial"/>
          <w:rtl/>
        </w:rPr>
        <w:t xml:space="preserve"> </w:t>
      </w:r>
      <w:r w:rsidRPr="00AA0922">
        <w:rPr>
          <w:rFonts w:cs="Arial" w:hint="cs"/>
          <w:rtl/>
        </w:rPr>
        <w:t>נראה</w:t>
      </w:r>
      <w:r w:rsidRPr="00AA0922">
        <w:rPr>
          <w:rFonts w:cs="Arial"/>
          <w:rtl/>
        </w:rPr>
        <w:t xml:space="preserve"> </w:t>
      </w:r>
      <w:r w:rsidRPr="00AA0922">
        <w:rPr>
          <w:rFonts w:cs="Arial" w:hint="cs"/>
          <w:rtl/>
        </w:rPr>
        <w:t>לי</w:t>
      </w:r>
      <w:r w:rsidRPr="00AA0922">
        <w:rPr>
          <w:rFonts w:cs="Arial"/>
          <w:rtl/>
        </w:rPr>
        <w:t xml:space="preserve"> </w:t>
      </w:r>
      <w:r w:rsidRPr="00AA0922">
        <w:rPr>
          <w:rFonts w:cs="Arial" w:hint="cs"/>
          <w:rtl/>
        </w:rPr>
        <w:t>ליישב</w:t>
      </w:r>
      <w:r w:rsidRPr="00AA0922">
        <w:rPr>
          <w:rFonts w:cs="Arial"/>
          <w:rtl/>
        </w:rPr>
        <w:t xml:space="preserve"> </w:t>
      </w:r>
      <w:r w:rsidRPr="00AA0922">
        <w:rPr>
          <w:rFonts w:cs="Arial" w:hint="cs"/>
          <w:rtl/>
        </w:rPr>
        <w:t>דכל</w:t>
      </w:r>
      <w:r w:rsidRPr="00AA0922">
        <w:rPr>
          <w:rFonts w:cs="Arial"/>
          <w:rtl/>
        </w:rPr>
        <w:t xml:space="preserve"> </w:t>
      </w:r>
      <w:r w:rsidRPr="00AA0922">
        <w:rPr>
          <w:rFonts w:cs="Arial" w:hint="cs"/>
          <w:rtl/>
        </w:rPr>
        <w:t>מה</w:t>
      </w:r>
      <w:r w:rsidRPr="00AA0922">
        <w:rPr>
          <w:rFonts w:cs="Arial"/>
          <w:rtl/>
        </w:rPr>
        <w:t xml:space="preserve"> </w:t>
      </w:r>
      <w:r w:rsidRPr="00AA0922">
        <w:rPr>
          <w:rFonts w:cs="Arial" w:hint="cs"/>
          <w:rtl/>
        </w:rPr>
        <w:t>דמיתוסף</w:t>
      </w:r>
      <w:r w:rsidRPr="00AA0922">
        <w:rPr>
          <w:rFonts w:cs="Arial"/>
          <w:rtl/>
        </w:rPr>
        <w:t xml:space="preserve"> </w:t>
      </w:r>
      <w:r w:rsidRPr="00AA0922">
        <w:rPr>
          <w:rFonts w:cs="Arial" w:hint="cs"/>
          <w:rtl/>
        </w:rPr>
        <w:t>אורה</w:t>
      </w:r>
      <w:r w:rsidRPr="00AA0922">
        <w:rPr>
          <w:rFonts w:cs="Arial"/>
          <w:rtl/>
        </w:rPr>
        <w:t xml:space="preserve"> </w:t>
      </w:r>
      <w:r w:rsidRPr="00AA0922">
        <w:rPr>
          <w:rFonts w:cs="Arial" w:hint="cs"/>
          <w:rtl/>
        </w:rPr>
        <w:t>אית</w:t>
      </w:r>
      <w:r w:rsidRPr="00AA0922">
        <w:rPr>
          <w:rFonts w:cs="Arial"/>
          <w:rtl/>
        </w:rPr>
        <w:t xml:space="preserve"> </w:t>
      </w:r>
      <w:r w:rsidRPr="00AA0922">
        <w:rPr>
          <w:rFonts w:cs="Arial" w:hint="cs"/>
          <w:rtl/>
        </w:rPr>
        <w:t>ביה</w:t>
      </w:r>
      <w:r w:rsidRPr="00AA0922">
        <w:rPr>
          <w:rFonts w:cs="Arial"/>
          <w:rtl/>
        </w:rPr>
        <w:t xml:space="preserve"> </w:t>
      </w:r>
      <w:r w:rsidRPr="00AA0922">
        <w:rPr>
          <w:rFonts w:cs="Arial" w:hint="cs"/>
          <w:rtl/>
        </w:rPr>
        <w:t>שלום</w:t>
      </w:r>
      <w:r w:rsidRPr="00AA0922">
        <w:rPr>
          <w:rFonts w:cs="Arial"/>
          <w:rtl/>
        </w:rPr>
        <w:t xml:space="preserve"> </w:t>
      </w:r>
      <w:r w:rsidRPr="00AA0922">
        <w:rPr>
          <w:rFonts w:cs="Arial" w:hint="cs"/>
          <w:rtl/>
        </w:rPr>
        <w:t>בית</w:t>
      </w:r>
      <w:r w:rsidRPr="00AA0922">
        <w:rPr>
          <w:rFonts w:cs="Arial"/>
          <w:rtl/>
        </w:rPr>
        <w:t xml:space="preserve"> </w:t>
      </w:r>
      <w:r w:rsidRPr="00AA0922">
        <w:rPr>
          <w:rFonts w:cs="Arial" w:hint="cs"/>
          <w:rtl/>
        </w:rPr>
        <w:t>טפי</w:t>
      </w:r>
      <w:r w:rsidRPr="00AA0922">
        <w:rPr>
          <w:rFonts w:cs="Arial"/>
          <w:rtl/>
        </w:rPr>
        <w:t xml:space="preserve"> </w:t>
      </w:r>
      <w:r w:rsidRPr="00AA0922">
        <w:rPr>
          <w:rFonts w:cs="Arial" w:hint="cs"/>
          <w:rtl/>
        </w:rPr>
        <w:t>ושמחה</w:t>
      </w:r>
      <w:r w:rsidRPr="00AA0922">
        <w:rPr>
          <w:rFonts w:cs="Arial"/>
          <w:rtl/>
        </w:rPr>
        <w:t xml:space="preserve"> </w:t>
      </w:r>
      <w:r w:rsidRPr="00AA0922">
        <w:rPr>
          <w:rFonts w:cs="Arial" w:hint="cs"/>
          <w:rtl/>
        </w:rPr>
        <w:t>יתירה</w:t>
      </w:r>
      <w:r w:rsidRPr="00AA0922">
        <w:rPr>
          <w:rFonts w:cs="Arial"/>
          <w:rtl/>
        </w:rPr>
        <w:t xml:space="preserve"> </w:t>
      </w:r>
      <w:r w:rsidRPr="00AA0922">
        <w:rPr>
          <w:rFonts w:cs="Arial" w:hint="cs"/>
          <w:rtl/>
        </w:rPr>
        <w:t>להנאת</w:t>
      </w:r>
      <w:r w:rsidRPr="00AA0922">
        <w:rPr>
          <w:rFonts w:cs="Arial"/>
          <w:rtl/>
        </w:rPr>
        <w:t xml:space="preserve"> </w:t>
      </w:r>
      <w:r w:rsidRPr="00AA0922">
        <w:rPr>
          <w:rFonts w:cs="Arial" w:hint="cs"/>
          <w:rtl/>
        </w:rPr>
        <w:t>אורה</w:t>
      </w:r>
      <w:r w:rsidRPr="00AA0922">
        <w:rPr>
          <w:rFonts w:cs="Arial"/>
          <w:rtl/>
        </w:rPr>
        <w:t xml:space="preserve"> </w:t>
      </w:r>
      <w:r w:rsidRPr="00AA0922">
        <w:rPr>
          <w:rFonts w:cs="Arial" w:hint="cs"/>
          <w:rtl/>
        </w:rPr>
        <w:t>בכל</w:t>
      </w:r>
      <w:r w:rsidRPr="00AA0922">
        <w:rPr>
          <w:rFonts w:cs="Arial"/>
          <w:rtl/>
        </w:rPr>
        <w:t xml:space="preserve"> </w:t>
      </w:r>
      <w:r w:rsidRPr="00AA0922">
        <w:rPr>
          <w:rFonts w:cs="Arial" w:hint="cs"/>
          <w:rtl/>
        </w:rPr>
        <w:t>זויות</w:t>
      </w:r>
      <w:r>
        <w:rPr>
          <w:rFonts w:cs="Arial" w:hint="cs"/>
          <w:rtl/>
        </w:rPr>
        <w:t>.</w:t>
      </w:r>
      <w:r w:rsidRPr="009F7DCD">
        <w:rPr>
          <w:rFonts w:hint="cs"/>
          <w:color w:val="00B0F0"/>
          <w:rtl/>
        </w:rPr>
        <w:t xml:space="preserve"> (וכ"פ הרמ"א)</w:t>
      </w:r>
    </w:p>
    <w:p w14:paraId="59650379"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3432EAC" w14:textId="77777777" w:rsidR="004B2E7C" w:rsidRDefault="004B2E7C" w:rsidP="00434A6A">
      <w:pPr>
        <w:rPr>
          <w:rFonts w:asciiTheme="minorBidi" w:hAnsiTheme="minorBidi"/>
          <w:rtl/>
        </w:rPr>
      </w:pPr>
      <w:r w:rsidRPr="00CC2350">
        <w:rPr>
          <w:rFonts w:asciiTheme="minorBidi" w:hAnsiTheme="minorBidi" w:cs="Arial"/>
          <w:rtl/>
        </w:rPr>
        <w:t>ב' או ג' בעלי בתים אוכלים במקום א', י</w:t>
      </w:r>
      <w:r>
        <w:rPr>
          <w:rFonts w:asciiTheme="minorBidi" w:hAnsiTheme="minorBidi" w:cs="Arial" w:hint="cs"/>
          <w:rtl/>
        </w:rPr>
        <w:t xml:space="preserve">ש </w:t>
      </w:r>
      <w:r w:rsidRPr="00CC2350">
        <w:rPr>
          <w:rFonts w:asciiTheme="minorBidi" w:hAnsiTheme="minorBidi" w:cs="Arial"/>
          <w:rtl/>
        </w:rPr>
        <w:t>א</w:t>
      </w:r>
      <w:r>
        <w:rPr>
          <w:rFonts w:asciiTheme="minorBidi" w:hAnsiTheme="minorBidi" w:cs="Arial" w:hint="cs"/>
          <w:rtl/>
        </w:rPr>
        <w:t>ומרים</w:t>
      </w:r>
      <w:r w:rsidRPr="00CC2350">
        <w:rPr>
          <w:rFonts w:asciiTheme="minorBidi" w:hAnsiTheme="minorBidi" w:cs="Arial"/>
          <w:rtl/>
        </w:rPr>
        <w:t xml:space="preserve"> שכל אחד מברך על מנורה שלו, ויש מגמגם בדבר. ונכון ליזהר בספק ברכות ולא יברך אלא אחד</w:t>
      </w:r>
      <w:r>
        <w:rPr>
          <w:rStyle w:val="a9"/>
          <w:rFonts w:asciiTheme="minorBidi" w:hAnsiTheme="minorBidi" w:cs="Arial"/>
          <w:rtl/>
        </w:rPr>
        <w:footnoteReference w:id="640"/>
      </w:r>
      <w:r w:rsidRPr="00CC2350">
        <w:rPr>
          <w:rFonts w:asciiTheme="minorBidi" w:hAnsiTheme="minorBidi" w:cs="Arial"/>
          <w:rtl/>
        </w:rPr>
        <w:t xml:space="preserve">. </w:t>
      </w:r>
      <w:r w:rsidRPr="00AA0922">
        <w:rPr>
          <w:rFonts w:asciiTheme="minorBidi" w:hAnsiTheme="minorBidi" w:cs="Arial"/>
          <w:sz w:val="18"/>
          <w:szCs w:val="18"/>
          <w:rtl/>
        </w:rPr>
        <w:t xml:space="preserve">הגה: אבל אנו אין נוהגין כן. </w:t>
      </w:r>
    </w:p>
    <w:p w14:paraId="13623DAD" w14:textId="77777777" w:rsidR="004B2E7C" w:rsidRPr="00CC2350" w:rsidRDefault="004B2E7C" w:rsidP="00434A6A">
      <w:pPr>
        <w:rPr>
          <w:rFonts w:asciiTheme="minorBidi" w:hAnsiTheme="minorBidi"/>
          <w:rtl/>
        </w:rPr>
      </w:pPr>
    </w:p>
    <w:p w14:paraId="3AE4CA5F" w14:textId="77777777" w:rsidR="004B2E7C" w:rsidRDefault="004B2E7C" w:rsidP="00434A6A">
      <w:pPr>
        <w:pStyle w:val="2"/>
        <w:rPr>
          <w:rtl/>
        </w:rPr>
      </w:pPr>
      <w:r w:rsidRPr="00CC2350">
        <w:rPr>
          <w:rtl/>
        </w:rPr>
        <w:t>סעיף ט</w:t>
      </w:r>
      <w:r>
        <w:rPr>
          <w:rFonts w:hint="cs"/>
          <w:rtl/>
        </w:rPr>
        <w:t>:</w:t>
      </w:r>
      <w:r w:rsidRPr="000C69F1">
        <w:rPr>
          <w:rFonts w:hint="cs"/>
          <w:rtl/>
        </w:rPr>
        <w:t xml:space="preserve"> </w:t>
      </w:r>
      <w:r>
        <w:rPr>
          <w:rFonts w:hint="cs"/>
          <w:rtl/>
        </w:rPr>
        <w:t>אדם שהדליק ולא נהנה מהאור.</w:t>
      </w:r>
    </w:p>
    <w:p w14:paraId="76348503" w14:textId="77777777" w:rsidR="004B2E7C" w:rsidRPr="000C69F1" w:rsidRDefault="004B2E7C" w:rsidP="00434A6A">
      <w:pPr>
        <w:rPr>
          <w:u w:val="single"/>
          <w:rtl/>
        </w:rPr>
      </w:pPr>
      <w:r w:rsidRPr="000C69F1">
        <w:rPr>
          <w:rFonts w:hint="cs"/>
          <w:u w:val="single"/>
          <w:rtl/>
        </w:rPr>
        <w:t>אדם שהדליק ולא נהנה מהאור:</w:t>
      </w:r>
    </w:p>
    <w:p w14:paraId="57DFB083" w14:textId="77777777" w:rsidR="004B2E7C" w:rsidRDefault="004B2E7C" w:rsidP="00FF2D21">
      <w:pPr>
        <w:pStyle w:val="aa"/>
        <w:numPr>
          <w:ilvl w:val="0"/>
          <w:numId w:val="89"/>
        </w:numPr>
      </w:pPr>
      <w:r w:rsidRPr="003F5B89">
        <w:rPr>
          <w:rFonts w:cs="Arial" w:hint="cs"/>
          <w:rtl/>
        </w:rPr>
        <w:t>מהרי</w:t>
      </w:r>
      <w:r w:rsidRPr="003F5B89">
        <w:rPr>
          <w:rFonts w:cs="Arial"/>
          <w:rtl/>
        </w:rPr>
        <w:t>"</w:t>
      </w:r>
      <w:r w:rsidRPr="003F5B89">
        <w:rPr>
          <w:rFonts w:cs="Arial" w:hint="cs"/>
          <w:rtl/>
        </w:rPr>
        <w:t>ל</w:t>
      </w:r>
      <w:r w:rsidRPr="003F5B89">
        <w:rPr>
          <w:rFonts w:cs="Arial"/>
          <w:rtl/>
        </w:rPr>
        <w:t xml:space="preserve"> </w:t>
      </w:r>
      <w:r w:rsidRPr="003F5B89">
        <w:rPr>
          <w:rFonts w:cs="Arial" w:hint="cs"/>
          <w:sz w:val="16"/>
          <w:szCs w:val="16"/>
          <w:rtl/>
        </w:rPr>
        <w:t>(בשו"ת סי</w:t>
      </w:r>
      <w:r w:rsidRPr="003F5B89">
        <w:rPr>
          <w:rFonts w:cs="Arial"/>
          <w:sz w:val="16"/>
          <w:szCs w:val="16"/>
          <w:rtl/>
        </w:rPr>
        <w:t xml:space="preserve">' </w:t>
      </w:r>
      <w:r w:rsidRPr="003F5B89">
        <w:rPr>
          <w:rFonts w:cs="Arial" w:hint="cs"/>
          <w:sz w:val="16"/>
          <w:szCs w:val="16"/>
          <w:rtl/>
        </w:rPr>
        <w:t>נג, הביאו הב"י בשם תשובה אשכנזית</w:t>
      </w:r>
      <w:r w:rsidRPr="003F5B89">
        <w:rPr>
          <w:rFonts w:cs="Arial"/>
          <w:sz w:val="16"/>
          <w:szCs w:val="16"/>
          <w:rtl/>
        </w:rPr>
        <w:t>)</w:t>
      </w:r>
      <w:r w:rsidRPr="003F5B89">
        <w:rPr>
          <w:rFonts w:cs="Arial" w:hint="cs"/>
          <w:rtl/>
        </w:rPr>
        <w:t>-</w:t>
      </w:r>
      <w:r w:rsidRPr="003F5B89">
        <w:rPr>
          <w:rFonts w:cs="Arial"/>
          <w:rtl/>
        </w:rPr>
        <w:t xml:space="preserve"> </w:t>
      </w:r>
      <w:r w:rsidRPr="003F5B89">
        <w:rPr>
          <w:rFonts w:cs="Arial" w:hint="cs"/>
          <w:rtl/>
        </w:rPr>
        <w:t>שכתבת</w:t>
      </w:r>
      <w:r w:rsidRPr="003F5B89">
        <w:rPr>
          <w:rFonts w:cs="Arial"/>
          <w:rtl/>
        </w:rPr>
        <w:t xml:space="preserve"> </w:t>
      </w:r>
      <w:r w:rsidRPr="003F5B89">
        <w:rPr>
          <w:rFonts w:cs="Arial" w:hint="cs"/>
          <w:rtl/>
        </w:rPr>
        <w:t>שמדליקין</w:t>
      </w:r>
      <w:r w:rsidRPr="003F5B89">
        <w:rPr>
          <w:rFonts w:cs="Arial"/>
          <w:rtl/>
        </w:rPr>
        <w:t xml:space="preserve"> </w:t>
      </w:r>
      <w:r w:rsidRPr="003F5B89">
        <w:rPr>
          <w:rFonts w:cs="Arial" w:hint="cs"/>
          <w:rtl/>
        </w:rPr>
        <w:t>בזויות</w:t>
      </w:r>
      <w:r w:rsidRPr="003F5B89">
        <w:rPr>
          <w:rFonts w:cs="Arial"/>
          <w:rtl/>
        </w:rPr>
        <w:t xml:space="preserve"> </w:t>
      </w:r>
      <w:r w:rsidRPr="003F5B89">
        <w:rPr>
          <w:rFonts w:cs="Arial" w:hint="cs"/>
          <w:rtl/>
        </w:rPr>
        <w:t>בבית</w:t>
      </w:r>
      <w:r w:rsidRPr="003F5B89">
        <w:rPr>
          <w:rFonts w:cs="Arial"/>
          <w:rtl/>
        </w:rPr>
        <w:t xml:space="preserve"> </w:t>
      </w:r>
      <w:r w:rsidRPr="003F5B89">
        <w:rPr>
          <w:rFonts w:cs="Arial" w:hint="cs"/>
          <w:rtl/>
        </w:rPr>
        <w:t>ואוכלים</w:t>
      </w:r>
      <w:r w:rsidRPr="003F5B89">
        <w:rPr>
          <w:rFonts w:cs="Arial"/>
          <w:rtl/>
        </w:rPr>
        <w:t xml:space="preserve"> </w:t>
      </w:r>
      <w:r w:rsidRPr="003F5B89">
        <w:rPr>
          <w:rFonts w:cs="Arial" w:hint="cs"/>
          <w:rtl/>
        </w:rPr>
        <w:t>בחצר</w:t>
      </w:r>
      <w:r>
        <w:rPr>
          <w:rFonts w:cs="Arial" w:hint="cs"/>
          <w:rtl/>
        </w:rPr>
        <w:t>...</w:t>
      </w:r>
      <w:r w:rsidRPr="003F5B89">
        <w:rPr>
          <w:rFonts w:cs="Arial"/>
          <w:rtl/>
        </w:rPr>
        <w:t xml:space="preserve"> </w:t>
      </w:r>
      <w:r w:rsidRPr="003F5B89">
        <w:rPr>
          <w:rFonts w:cs="Arial" w:hint="cs"/>
          <w:rtl/>
        </w:rPr>
        <w:t>וכמה</w:t>
      </w:r>
      <w:r w:rsidRPr="003F5B89">
        <w:rPr>
          <w:rFonts w:cs="Arial"/>
          <w:rtl/>
        </w:rPr>
        <w:t xml:space="preserve"> </w:t>
      </w:r>
      <w:r w:rsidRPr="003F5B89">
        <w:rPr>
          <w:rFonts w:cs="Arial" w:hint="cs"/>
          <w:rtl/>
        </w:rPr>
        <w:t>פעמים</w:t>
      </w:r>
      <w:r w:rsidRPr="003F5B89">
        <w:rPr>
          <w:rFonts w:cs="Arial"/>
          <w:rtl/>
        </w:rPr>
        <w:t xml:space="preserve"> </w:t>
      </w:r>
      <w:r w:rsidRPr="003F5B89">
        <w:rPr>
          <w:rFonts w:cs="Arial" w:hint="cs"/>
          <w:rtl/>
        </w:rPr>
        <w:t>שמעתי</w:t>
      </w:r>
      <w:r w:rsidRPr="003F5B89">
        <w:rPr>
          <w:rFonts w:cs="Arial"/>
          <w:rtl/>
        </w:rPr>
        <w:t xml:space="preserve"> </w:t>
      </w:r>
      <w:r w:rsidRPr="003F5B89">
        <w:rPr>
          <w:rFonts w:cs="Arial" w:hint="cs"/>
          <w:rtl/>
        </w:rPr>
        <w:t>שקוראים</w:t>
      </w:r>
      <w:r w:rsidRPr="003F5B89">
        <w:rPr>
          <w:rFonts w:cs="Arial"/>
          <w:rtl/>
        </w:rPr>
        <w:t xml:space="preserve"> </w:t>
      </w:r>
      <w:r w:rsidRPr="003F5B89">
        <w:rPr>
          <w:rFonts w:cs="Arial" w:hint="cs"/>
          <w:rtl/>
        </w:rPr>
        <w:t>תגר</w:t>
      </w:r>
      <w:r w:rsidRPr="003F5B89">
        <w:rPr>
          <w:rFonts w:cs="Arial"/>
          <w:rtl/>
        </w:rPr>
        <w:t xml:space="preserve"> </w:t>
      </w:r>
      <w:r w:rsidRPr="003F5B89">
        <w:rPr>
          <w:rFonts w:cs="Arial" w:hint="cs"/>
          <w:rtl/>
        </w:rPr>
        <w:t>על</w:t>
      </w:r>
      <w:r w:rsidRPr="003F5B89">
        <w:rPr>
          <w:rFonts w:cs="Arial"/>
          <w:rtl/>
        </w:rPr>
        <w:t xml:space="preserve"> </w:t>
      </w:r>
      <w:r w:rsidRPr="003F5B89">
        <w:rPr>
          <w:rFonts w:cs="Arial" w:hint="cs"/>
          <w:rtl/>
        </w:rPr>
        <w:t>אותו</w:t>
      </w:r>
      <w:r w:rsidRPr="003F5B89">
        <w:rPr>
          <w:rFonts w:cs="Arial"/>
          <w:rtl/>
        </w:rPr>
        <w:t xml:space="preserve"> </w:t>
      </w:r>
      <w:r w:rsidRPr="003F5B89">
        <w:rPr>
          <w:rFonts w:cs="Arial" w:hint="cs"/>
          <w:rtl/>
        </w:rPr>
        <w:t>מנהג</w:t>
      </w:r>
      <w:r>
        <w:rPr>
          <w:rFonts w:cs="Arial" w:hint="cs"/>
          <w:rtl/>
        </w:rPr>
        <w:t>,</w:t>
      </w:r>
      <w:r w:rsidRPr="003F5B89">
        <w:rPr>
          <w:rFonts w:cs="Arial"/>
          <w:rtl/>
        </w:rPr>
        <w:t xml:space="preserve"> </w:t>
      </w:r>
      <w:r w:rsidRPr="003F5B89">
        <w:rPr>
          <w:rFonts w:cs="Arial" w:hint="cs"/>
          <w:rtl/>
        </w:rPr>
        <w:t>ואמרתי</w:t>
      </w:r>
      <w:r w:rsidRPr="003F5B89">
        <w:rPr>
          <w:rFonts w:cs="Arial"/>
          <w:rtl/>
        </w:rPr>
        <w:t xml:space="preserve"> </w:t>
      </w:r>
      <w:r w:rsidRPr="003F5B89">
        <w:rPr>
          <w:rFonts w:cs="Arial" w:hint="cs"/>
          <w:rtl/>
        </w:rPr>
        <w:t>שאותו</w:t>
      </w:r>
      <w:r w:rsidRPr="003F5B89">
        <w:rPr>
          <w:rFonts w:cs="Arial"/>
          <w:rtl/>
        </w:rPr>
        <w:t xml:space="preserve"> </w:t>
      </w:r>
      <w:r w:rsidRPr="003F5B89">
        <w:rPr>
          <w:rFonts w:cs="Arial" w:hint="cs"/>
          <w:rtl/>
        </w:rPr>
        <w:t>מקום</w:t>
      </w:r>
      <w:r w:rsidRPr="003F5B89">
        <w:rPr>
          <w:rFonts w:cs="Arial"/>
          <w:rtl/>
        </w:rPr>
        <w:t xml:space="preserve"> </w:t>
      </w:r>
      <w:r w:rsidRPr="003F5B89">
        <w:rPr>
          <w:rFonts w:cs="Arial" w:hint="cs"/>
          <w:rtl/>
        </w:rPr>
        <w:t>שדולקים</w:t>
      </w:r>
      <w:r w:rsidRPr="003F5B89">
        <w:rPr>
          <w:rFonts w:cs="Arial"/>
          <w:rtl/>
        </w:rPr>
        <w:t xml:space="preserve"> </w:t>
      </w:r>
      <w:r w:rsidRPr="003F5B89">
        <w:rPr>
          <w:rFonts w:cs="Arial" w:hint="cs"/>
          <w:rtl/>
        </w:rPr>
        <w:t>שם</w:t>
      </w:r>
      <w:r w:rsidRPr="003F5B89">
        <w:rPr>
          <w:rFonts w:cs="Arial"/>
          <w:rtl/>
        </w:rPr>
        <w:t xml:space="preserve"> </w:t>
      </w:r>
      <w:r w:rsidRPr="003F5B89">
        <w:rPr>
          <w:rFonts w:cs="Arial" w:hint="cs"/>
          <w:rtl/>
        </w:rPr>
        <w:t>הוי</w:t>
      </w:r>
      <w:r w:rsidRPr="003F5B89">
        <w:rPr>
          <w:rFonts w:cs="Arial"/>
          <w:rtl/>
        </w:rPr>
        <w:t xml:space="preserve"> </w:t>
      </w:r>
      <w:r w:rsidRPr="003F5B89">
        <w:rPr>
          <w:rFonts w:cs="Arial" w:hint="cs"/>
          <w:rtl/>
        </w:rPr>
        <w:t>קצת</w:t>
      </w:r>
      <w:r w:rsidRPr="003F5B89">
        <w:rPr>
          <w:rFonts w:cs="Arial"/>
          <w:rtl/>
        </w:rPr>
        <w:t xml:space="preserve"> </w:t>
      </w:r>
      <w:r w:rsidRPr="003F5B89">
        <w:rPr>
          <w:rFonts w:cs="Arial" w:hint="cs"/>
          <w:rtl/>
        </w:rPr>
        <w:t>חושך</w:t>
      </w:r>
      <w:r>
        <w:rPr>
          <w:rFonts w:cs="Arial" w:hint="cs"/>
          <w:rtl/>
        </w:rPr>
        <w:t>,</w:t>
      </w:r>
      <w:r w:rsidRPr="003F5B89">
        <w:rPr>
          <w:rFonts w:cs="Arial"/>
          <w:rtl/>
        </w:rPr>
        <w:t xml:space="preserve"> </w:t>
      </w:r>
      <w:r w:rsidRPr="003F5B89">
        <w:rPr>
          <w:rFonts w:cs="Arial" w:hint="cs"/>
          <w:rtl/>
        </w:rPr>
        <w:t>שכן</w:t>
      </w:r>
      <w:r w:rsidRPr="003F5B89">
        <w:rPr>
          <w:rFonts w:cs="Arial"/>
          <w:rtl/>
        </w:rPr>
        <w:t xml:space="preserve"> </w:t>
      </w:r>
      <w:r w:rsidRPr="003F5B89">
        <w:rPr>
          <w:rFonts w:cs="Arial" w:hint="cs"/>
          <w:rtl/>
        </w:rPr>
        <w:t>דרך</w:t>
      </w:r>
      <w:r w:rsidRPr="003F5B89">
        <w:rPr>
          <w:rFonts w:cs="Arial"/>
          <w:rtl/>
        </w:rPr>
        <w:t xml:space="preserve"> </w:t>
      </w:r>
      <w:r w:rsidRPr="003F5B89">
        <w:rPr>
          <w:rFonts w:cs="Arial" w:hint="cs"/>
          <w:rtl/>
        </w:rPr>
        <w:t>בערב</w:t>
      </w:r>
      <w:r w:rsidRPr="003F5B89">
        <w:rPr>
          <w:rFonts w:cs="Arial"/>
          <w:rtl/>
        </w:rPr>
        <w:t xml:space="preserve"> </w:t>
      </w:r>
      <w:r w:rsidRPr="003F5B89">
        <w:rPr>
          <w:rFonts w:cs="Arial" w:hint="cs"/>
          <w:rtl/>
        </w:rPr>
        <w:t>שמחשיך</w:t>
      </w:r>
      <w:r w:rsidRPr="003F5B89">
        <w:rPr>
          <w:rFonts w:cs="Arial"/>
          <w:rtl/>
        </w:rPr>
        <w:t xml:space="preserve"> </w:t>
      </w:r>
      <w:r w:rsidRPr="003F5B89">
        <w:rPr>
          <w:rFonts w:cs="Arial" w:hint="cs"/>
          <w:rtl/>
        </w:rPr>
        <w:t>קצת</w:t>
      </w:r>
      <w:r w:rsidRPr="003F5B89">
        <w:rPr>
          <w:rFonts w:cs="Arial"/>
          <w:rtl/>
        </w:rPr>
        <w:t xml:space="preserve"> </w:t>
      </w:r>
      <w:r w:rsidRPr="003F5B89">
        <w:rPr>
          <w:rFonts w:cs="Arial" w:hint="cs"/>
          <w:rtl/>
        </w:rPr>
        <w:t>בחדרים</w:t>
      </w:r>
      <w:r>
        <w:rPr>
          <w:rFonts w:cs="Arial" w:hint="cs"/>
          <w:rtl/>
        </w:rPr>
        <w:t>,</w:t>
      </w:r>
      <w:r w:rsidRPr="003F5B89">
        <w:rPr>
          <w:rFonts w:cs="Arial"/>
          <w:rtl/>
        </w:rPr>
        <w:t xml:space="preserve"> </w:t>
      </w:r>
      <w:r w:rsidRPr="003F5B89">
        <w:rPr>
          <w:rFonts w:cs="Arial" w:hint="cs"/>
          <w:rtl/>
        </w:rPr>
        <w:t>ומשתמש</w:t>
      </w:r>
      <w:r w:rsidRPr="003F5B89">
        <w:rPr>
          <w:rFonts w:cs="Arial"/>
          <w:rtl/>
        </w:rPr>
        <w:t xml:space="preserve"> </w:t>
      </w:r>
      <w:r w:rsidRPr="003F5B89">
        <w:rPr>
          <w:rFonts w:cs="Arial" w:hint="cs"/>
          <w:rtl/>
        </w:rPr>
        <w:t>שום</w:t>
      </w:r>
      <w:r w:rsidRPr="003F5B89">
        <w:rPr>
          <w:rFonts w:cs="Arial"/>
          <w:rtl/>
        </w:rPr>
        <w:t xml:space="preserve"> </w:t>
      </w:r>
      <w:r w:rsidRPr="003F5B89">
        <w:rPr>
          <w:rFonts w:cs="Arial" w:hint="cs"/>
          <w:rtl/>
        </w:rPr>
        <w:t>דבר</w:t>
      </w:r>
      <w:r w:rsidRPr="003F5B89">
        <w:rPr>
          <w:rFonts w:cs="Arial"/>
          <w:rtl/>
        </w:rPr>
        <w:t xml:space="preserve"> </w:t>
      </w:r>
      <w:r w:rsidRPr="003F5B89">
        <w:rPr>
          <w:rFonts w:cs="Arial" w:hint="cs"/>
          <w:rtl/>
        </w:rPr>
        <w:t>לאור</w:t>
      </w:r>
      <w:r w:rsidRPr="003F5B89">
        <w:rPr>
          <w:rFonts w:cs="Arial"/>
          <w:rtl/>
        </w:rPr>
        <w:t xml:space="preserve"> </w:t>
      </w:r>
      <w:r w:rsidRPr="003F5B89">
        <w:rPr>
          <w:rFonts w:cs="Arial" w:hint="cs"/>
          <w:rtl/>
        </w:rPr>
        <w:t>הנר</w:t>
      </w:r>
      <w:r>
        <w:rPr>
          <w:rFonts w:cs="Arial" w:hint="cs"/>
          <w:rtl/>
        </w:rPr>
        <w:t>.</w:t>
      </w:r>
      <w:r w:rsidRPr="003F5B89">
        <w:rPr>
          <w:rFonts w:cs="Arial"/>
          <w:rtl/>
        </w:rPr>
        <w:t xml:space="preserve"> </w:t>
      </w:r>
    </w:p>
    <w:p w14:paraId="3B836523" w14:textId="77777777" w:rsidR="004B2E7C" w:rsidRDefault="004B2E7C" w:rsidP="00FF2D21">
      <w:pPr>
        <w:pStyle w:val="aa"/>
        <w:numPr>
          <w:ilvl w:val="0"/>
          <w:numId w:val="89"/>
        </w:numPr>
      </w:pPr>
      <w:r w:rsidRPr="003F5B89">
        <w:rPr>
          <w:rFonts w:cs="Arial" w:hint="cs"/>
          <w:rtl/>
        </w:rPr>
        <w:t>אגודה</w:t>
      </w:r>
      <w:r w:rsidRPr="003F5B89">
        <w:rPr>
          <w:rFonts w:cs="Arial"/>
          <w:rtl/>
        </w:rPr>
        <w:t xml:space="preserve"> </w:t>
      </w:r>
      <w:r w:rsidRPr="000C69F1">
        <w:rPr>
          <w:rFonts w:cs="Arial"/>
          <w:sz w:val="16"/>
          <w:szCs w:val="16"/>
          <w:rtl/>
        </w:rPr>
        <w:t>(</w:t>
      </w:r>
      <w:r w:rsidRPr="000C69F1">
        <w:rPr>
          <w:rFonts w:cs="Arial" w:hint="cs"/>
          <w:sz w:val="16"/>
          <w:szCs w:val="16"/>
          <w:rtl/>
        </w:rPr>
        <w:t>שבת</w:t>
      </w:r>
      <w:r w:rsidRPr="000C69F1">
        <w:rPr>
          <w:rFonts w:cs="Arial"/>
          <w:sz w:val="16"/>
          <w:szCs w:val="16"/>
          <w:rtl/>
        </w:rPr>
        <w:t xml:space="preserve"> </w:t>
      </w:r>
      <w:r w:rsidRPr="000C69F1">
        <w:rPr>
          <w:rFonts w:cs="Arial" w:hint="cs"/>
          <w:sz w:val="16"/>
          <w:szCs w:val="16"/>
          <w:rtl/>
        </w:rPr>
        <w:t>פ</w:t>
      </w:r>
      <w:r w:rsidRPr="000C69F1">
        <w:rPr>
          <w:rFonts w:cs="Arial"/>
          <w:sz w:val="16"/>
          <w:szCs w:val="16"/>
          <w:rtl/>
        </w:rPr>
        <w:t>"</w:t>
      </w:r>
      <w:r w:rsidRPr="000C69F1">
        <w:rPr>
          <w:rFonts w:cs="Arial" w:hint="cs"/>
          <w:sz w:val="16"/>
          <w:szCs w:val="16"/>
          <w:rtl/>
        </w:rPr>
        <w:t>ב</w:t>
      </w:r>
      <w:r w:rsidRPr="000C69F1">
        <w:rPr>
          <w:rFonts w:cs="Arial"/>
          <w:sz w:val="16"/>
          <w:szCs w:val="16"/>
          <w:rtl/>
        </w:rPr>
        <w:t xml:space="preserve"> </w:t>
      </w:r>
      <w:r w:rsidRPr="000C69F1">
        <w:rPr>
          <w:rFonts w:cs="Arial" w:hint="cs"/>
          <w:sz w:val="16"/>
          <w:szCs w:val="16"/>
          <w:rtl/>
        </w:rPr>
        <w:t>סי</w:t>
      </w:r>
      <w:r w:rsidRPr="000C69F1">
        <w:rPr>
          <w:rFonts w:cs="Arial"/>
          <w:sz w:val="16"/>
          <w:szCs w:val="16"/>
          <w:rtl/>
        </w:rPr>
        <w:t xml:space="preserve">' </w:t>
      </w:r>
      <w:r w:rsidRPr="000C69F1">
        <w:rPr>
          <w:rFonts w:cs="Arial" w:hint="cs"/>
          <w:sz w:val="16"/>
          <w:szCs w:val="16"/>
          <w:rtl/>
        </w:rPr>
        <w:t>מה, הביאו מהרי"ל [שם]</w:t>
      </w:r>
      <w:r w:rsidRPr="000C69F1">
        <w:rPr>
          <w:rFonts w:cs="Arial"/>
          <w:sz w:val="16"/>
          <w:szCs w:val="16"/>
          <w:rtl/>
        </w:rPr>
        <w:t>)</w:t>
      </w:r>
      <w:r>
        <w:rPr>
          <w:rFonts w:cs="Arial" w:hint="cs"/>
          <w:rtl/>
        </w:rPr>
        <w:t>-</w:t>
      </w:r>
      <w:r w:rsidRPr="003F5B89">
        <w:rPr>
          <w:rFonts w:cs="Arial"/>
          <w:rtl/>
        </w:rPr>
        <w:t xml:space="preserve"> </w:t>
      </w:r>
      <w:r w:rsidRPr="000C69F1">
        <w:rPr>
          <w:rFonts w:cs="Arial"/>
          <w:rtl/>
        </w:rPr>
        <w:t>בקיץ יכול לאכול לאור היום שלא במקום הנר, ובקיץ יעשו נרות ארוכים שלא יכבו קודם לילה ואם לא יעשו כן הוי ברכה לבטלה דשרגא בטיהרא מאי מהניא</w:t>
      </w:r>
      <w:r>
        <w:rPr>
          <w:rFonts w:cs="Arial" w:hint="cs"/>
          <w:rtl/>
        </w:rPr>
        <w:t>.</w:t>
      </w:r>
      <w:r w:rsidRPr="00B6712D">
        <w:rPr>
          <w:rFonts w:cs="Arial" w:hint="cs"/>
          <w:color w:val="E36C0A" w:themeColor="accent6" w:themeShade="BF"/>
          <w:rtl/>
        </w:rPr>
        <w:t xml:space="preserve"> </w:t>
      </w:r>
      <w:r w:rsidRPr="0056384F">
        <w:rPr>
          <w:rFonts w:cs="Arial" w:hint="cs"/>
          <w:color w:val="E36C0A" w:themeColor="accent6" w:themeShade="BF"/>
          <w:rtl/>
        </w:rPr>
        <w:t>(וכ"פ בשו"ע)</w:t>
      </w:r>
    </w:p>
    <w:p w14:paraId="3ACBB77F" w14:textId="77777777" w:rsidR="004B2E7C" w:rsidRPr="00B6712D" w:rsidRDefault="004B2E7C" w:rsidP="00434A6A">
      <w:pPr>
        <w:rPr>
          <w:u w:val="single"/>
        </w:rPr>
      </w:pPr>
      <w:r w:rsidRPr="00B6712D">
        <w:rPr>
          <w:rFonts w:hint="cs"/>
          <w:u w:val="single"/>
          <w:rtl/>
        </w:rPr>
        <w:t>מי שהדליק נרות שבת לאחר שקיעת החמה:</w:t>
      </w:r>
    </w:p>
    <w:p w14:paraId="344B5D6D" w14:textId="77777777" w:rsidR="004B2E7C" w:rsidRPr="00B6712D" w:rsidRDefault="004B2E7C" w:rsidP="00FF2D21">
      <w:pPr>
        <w:pStyle w:val="aa"/>
        <w:numPr>
          <w:ilvl w:val="0"/>
          <w:numId w:val="89"/>
        </w:numPr>
      </w:pPr>
      <w:r w:rsidRPr="003F5B89">
        <w:rPr>
          <w:rFonts w:cs="Arial" w:hint="cs"/>
          <w:rtl/>
        </w:rPr>
        <w:t>שב</w:t>
      </w:r>
      <w:r>
        <w:rPr>
          <w:rFonts w:cs="Arial" w:hint="cs"/>
          <w:rtl/>
        </w:rPr>
        <w:t>ה"ל</w:t>
      </w:r>
      <w:r w:rsidRPr="003F5B89">
        <w:rPr>
          <w:rFonts w:cs="Arial"/>
          <w:rtl/>
        </w:rPr>
        <w:t xml:space="preserve"> </w:t>
      </w:r>
      <w:r w:rsidRPr="00B6712D">
        <w:rPr>
          <w:rFonts w:cs="Arial"/>
          <w:sz w:val="16"/>
          <w:szCs w:val="16"/>
          <w:rtl/>
        </w:rPr>
        <w:t>(</w:t>
      </w:r>
      <w:r w:rsidRPr="00B6712D">
        <w:rPr>
          <w:rFonts w:cs="Arial" w:hint="cs"/>
          <w:sz w:val="16"/>
          <w:szCs w:val="16"/>
          <w:rtl/>
        </w:rPr>
        <w:t>סי</w:t>
      </w:r>
      <w:r w:rsidRPr="00B6712D">
        <w:rPr>
          <w:rFonts w:cs="Arial"/>
          <w:sz w:val="16"/>
          <w:szCs w:val="16"/>
          <w:rtl/>
        </w:rPr>
        <w:t xml:space="preserve">' </w:t>
      </w:r>
      <w:r w:rsidRPr="00B6712D">
        <w:rPr>
          <w:rFonts w:cs="Arial" w:hint="cs"/>
          <w:sz w:val="16"/>
          <w:szCs w:val="16"/>
          <w:rtl/>
        </w:rPr>
        <w:t>ס</w:t>
      </w:r>
      <w:r w:rsidRPr="00B6712D">
        <w:rPr>
          <w:rFonts w:cs="Arial"/>
          <w:sz w:val="16"/>
          <w:szCs w:val="16"/>
          <w:rtl/>
        </w:rPr>
        <w:t>)</w:t>
      </w:r>
      <w:r>
        <w:rPr>
          <w:rFonts w:cs="Arial" w:hint="cs"/>
          <w:rtl/>
        </w:rPr>
        <w:t>-</w:t>
      </w:r>
      <w:r w:rsidRPr="003F5B89">
        <w:rPr>
          <w:rFonts w:cs="Arial"/>
          <w:rtl/>
        </w:rPr>
        <w:t xml:space="preserve"> </w:t>
      </w:r>
      <w:r w:rsidRPr="003F5B89">
        <w:rPr>
          <w:rFonts w:cs="Arial" w:hint="cs"/>
          <w:rtl/>
        </w:rPr>
        <w:t>מצאתי</w:t>
      </w:r>
      <w:r w:rsidRPr="003F5B89">
        <w:rPr>
          <w:rFonts w:cs="Arial"/>
          <w:rtl/>
        </w:rPr>
        <w:t xml:space="preserve"> </w:t>
      </w:r>
      <w:r w:rsidRPr="003F5B89">
        <w:rPr>
          <w:rFonts w:cs="Arial" w:hint="cs"/>
          <w:rtl/>
        </w:rPr>
        <w:t>בשם</w:t>
      </w:r>
      <w:r w:rsidRPr="003F5B89">
        <w:rPr>
          <w:rFonts w:cs="Arial"/>
          <w:rtl/>
        </w:rPr>
        <w:t xml:space="preserve"> </w:t>
      </w:r>
      <w:r w:rsidRPr="003F5B89">
        <w:rPr>
          <w:rFonts w:cs="Arial" w:hint="cs"/>
          <w:rtl/>
        </w:rPr>
        <w:t>ר</w:t>
      </w:r>
      <w:r w:rsidRPr="003F5B89">
        <w:rPr>
          <w:rFonts w:cs="Arial"/>
          <w:rtl/>
        </w:rPr>
        <w:t>"</w:t>
      </w:r>
      <w:r w:rsidRPr="003F5B89">
        <w:rPr>
          <w:rFonts w:cs="Arial" w:hint="cs"/>
          <w:rtl/>
        </w:rPr>
        <w:t>ח</w:t>
      </w:r>
      <w:r w:rsidRPr="003F5B89">
        <w:rPr>
          <w:rFonts w:cs="Arial"/>
          <w:rtl/>
        </w:rPr>
        <w:t xml:space="preserve"> </w:t>
      </w:r>
      <w:r w:rsidRPr="003F5B89">
        <w:rPr>
          <w:rFonts w:cs="Arial" w:hint="cs"/>
          <w:rtl/>
        </w:rPr>
        <w:t>מי</w:t>
      </w:r>
      <w:r w:rsidRPr="003F5B89">
        <w:rPr>
          <w:rFonts w:cs="Arial"/>
          <w:rtl/>
        </w:rPr>
        <w:t xml:space="preserve"> </w:t>
      </w:r>
      <w:r w:rsidRPr="003F5B89">
        <w:rPr>
          <w:rFonts w:cs="Arial" w:hint="cs"/>
          <w:rtl/>
        </w:rPr>
        <w:t>שהדליק</w:t>
      </w:r>
      <w:r w:rsidRPr="003F5B89">
        <w:rPr>
          <w:rFonts w:cs="Arial"/>
          <w:rtl/>
        </w:rPr>
        <w:t xml:space="preserve"> </w:t>
      </w:r>
      <w:r w:rsidRPr="003F5B89">
        <w:rPr>
          <w:rFonts w:cs="Arial" w:hint="cs"/>
          <w:rtl/>
        </w:rPr>
        <w:t>הנר</w:t>
      </w:r>
      <w:r w:rsidRPr="003F5B89">
        <w:rPr>
          <w:rFonts w:cs="Arial"/>
          <w:rtl/>
        </w:rPr>
        <w:t xml:space="preserve"> </w:t>
      </w:r>
      <w:r w:rsidRPr="003F5B89">
        <w:rPr>
          <w:rFonts w:cs="Arial" w:hint="cs"/>
          <w:rtl/>
        </w:rPr>
        <w:t>בערב</w:t>
      </w:r>
      <w:r w:rsidRPr="003F5B89">
        <w:rPr>
          <w:rFonts w:cs="Arial"/>
          <w:rtl/>
        </w:rPr>
        <w:t xml:space="preserve"> </w:t>
      </w:r>
      <w:r w:rsidRPr="003F5B89">
        <w:rPr>
          <w:rFonts w:cs="Arial" w:hint="cs"/>
          <w:rtl/>
        </w:rPr>
        <w:t>שבת</w:t>
      </w:r>
      <w:r w:rsidRPr="003F5B89">
        <w:rPr>
          <w:rFonts w:cs="Arial"/>
          <w:rtl/>
        </w:rPr>
        <w:t xml:space="preserve"> </w:t>
      </w:r>
      <w:r w:rsidRPr="003F5B89">
        <w:rPr>
          <w:rFonts w:cs="Arial" w:hint="cs"/>
          <w:rtl/>
        </w:rPr>
        <w:t>אחר</w:t>
      </w:r>
      <w:r w:rsidRPr="003F5B89">
        <w:rPr>
          <w:rFonts w:cs="Arial"/>
          <w:rtl/>
        </w:rPr>
        <w:t xml:space="preserve"> </w:t>
      </w:r>
      <w:r w:rsidRPr="003F5B89">
        <w:rPr>
          <w:rFonts w:cs="Arial" w:hint="cs"/>
          <w:rtl/>
        </w:rPr>
        <w:t>שקיעת</w:t>
      </w:r>
      <w:r w:rsidRPr="003F5B89">
        <w:rPr>
          <w:rFonts w:cs="Arial"/>
          <w:rtl/>
        </w:rPr>
        <w:t xml:space="preserve"> </w:t>
      </w:r>
      <w:r w:rsidRPr="003F5B89">
        <w:rPr>
          <w:rFonts w:cs="Arial" w:hint="cs"/>
          <w:rtl/>
        </w:rPr>
        <w:t>החמה</w:t>
      </w:r>
      <w:r w:rsidRPr="003F5B89">
        <w:rPr>
          <w:rFonts w:cs="Arial"/>
          <w:rtl/>
        </w:rPr>
        <w:t xml:space="preserve"> </w:t>
      </w:r>
      <w:r w:rsidRPr="003F5B89">
        <w:rPr>
          <w:rFonts w:cs="Arial" w:hint="cs"/>
          <w:rtl/>
        </w:rPr>
        <w:t>הרי</w:t>
      </w:r>
      <w:r w:rsidRPr="003F5B89">
        <w:rPr>
          <w:rFonts w:cs="Arial"/>
          <w:rtl/>
        </w:rPr>
        <w:t xml:space="preserve"> </w:t>
      </w:r>
      <w:r w:rsidRPr="003F5B89">
        <w:rPr>
          <w:rFonts w:cs="Arial" w:hint="cs"/>
          <w:rtl/>
        </w:rPr>
        <w:t>זה</w:t>
      </w:r>
      <w:r w:rsidRPr="003F5B89">
        <w:rPr>
          <w:rFonts w:cs="Arial"/>
          <w:rtl/>
        </w:rPr>
        <w:t xml:space="preserve"> </w:t>
      </w:r>
      <w:r w:rsidRPr="003F5B89">
        <w:rPr>
          <w:rFonts w:cs="Arial" w:hint="cs"/>
          <w:rtl/>
        </w:rPr>
        <w:t>חייב</w:t>
      </w:r>
      <w:r w:rsidRPr="003F5B89">
        <w:rPr>
          <w:rFonts w:cs="Arial"/>
          <w:rtl/>
        </w:rPr>
        <w:t xml:space="preserve"> </w:t>
      </w:r>
      <w:r w:rsidRPr="003F5B89">
        <w:rPr>
          <w:rFonts w:cs="Arial" w:hint="cs"/>
          <w:rtl/>
        </w:rPr>
        <w:t>מלקות</w:t>
      </w:r>
      <w:r w:rsidRPr="003F5B89">
        <w:rPr>
          <w:rFonts w:cs="Arial"/>
          <w:rtl/>
        </w:rPr>
        <w:t xml:space="preserve"> </w:t>
      </w:r>
      <w:r w:rsidRPr="003F5B89">
        <w:rPr>
          <w:rFonts w:cs="Arial" w:hint="cs"/>
          <w:rtl/>
        </w:rPr>
        <w:t>אם</w:t>
      </w:r>
      <w:r w:rsidRPr="003F5B89">
        <w:rPr>
          <w:rFonts w:cs="Arial"/>
          <w:rtl/>
        </w:rPr>
        <w:t xml:space="preserve"> </w:t>
      </w:r>
      <w:r w:rsidRPr="003F5B89">
        <w:rPr>
          <w:rFonts w:cs="Arial" w:hint="cs"/>
          <w:rtl/>
        </w:rPr>
        <w:t>הדליק</w:t>
      </w:r>
      <w:r w:rsidRPr="003F5B89">
        <w:rPr>
          <w:rFonts w:cs="Arial"/>
          <w:rtl/>
        </w:rPr>
        <w:t xml:space="preserve"> </w:t>
      </w:r>
      <w:r w:rsidRPr="003F5B89">
        <w:rPr>
          <w:rFonts w:cs="Arial" w:hint="cs"/>
          <w:rtl/>
        </w:rPr>
        <w:t>בשוגג</w:t>
      </w:r>
      <w:r w:rsidRPr="003F5B89">
        <w:rPr>
          <w:rFonts w:cs="Arial"/>
          <w:rtl/>
        </w:rPr>
        <w:t xml:space="preserve"> </w:t>
      </w:r>
      <w:r w:rsidRPr="003F5B89">
        <w:rPr>
          <w:rFonts w:cs="Arial" w:hint="cs"/>
          <w:rtl/>
        </w:rPr>
        <w:t>ואם</w:t>
      </w:r>
      <w:r w:rsidRPr="003F5B89">
        <w:rPr>
          <w:rFonts w:cs="Arial"/>
          <w:rtl/>
        </w:rPr>
        <w:t xml:space="preserve"> </w:t>
      </w:r>
      <w:r w:rsidRPr="003F5B89">
        <w:rPr>
          <w:rFonts w:cs="Arial" w:hint="cs"/>
          <w:rtl/>
        </w:rPr>
        <w:t>ידע</w:t>
      </w:r>
      <w:r w:rsidRPr="003F5B89">
        <w:rPr>
          <w:rFonts w:cs="Arial"/>
          <w:rtl/>
        </w:rPr>
        <w:t xml:space="preserve"> </w:t>
      </w:r>
      <w:r w:rsidRPr="003F5B89">
        <w:rPr>
          <w:rFonts w:cs="Arial" w:hint="cs"/>
          <w:rtl/>
        </w:rPr>
        <w:t>שזה</w:t>
      </w:r>
      <w:r w:rsidRPr="003F5B89">
        <w:rPr>
          <w:rFonts w:cs="Arial"/>
          <w:rtl/>
        </w:rPr>
        <w:t xml:space="preserve"> </w:t>
      </w:r>
      <w:r w:rsidRPr="003F5B89">
        <w:rPr>
          <w:rFonts w:cs="Arial" w:hint="cs"/>
          <w:rtl/>
        </w:rPr>
        <w:t>אסור</w:t>
      </w:r>
      <w:r w:rsidRPr="003F5B89">
        <w:rPr>
          <w:rFonts w:cs="Arial"/>
          <w:rtl/>
        </w:rPr>
        <w:t xml:space="preserve"> </w:t>
      </w:r>
      <w:r w:rsidRPr="003F5B89">
        <w:rPr>
          <w:rFonts w:cs="Arial" w:hint="cs"/>
          <w:rtl/>
        </w:rPr>
        <w:t>קונסין</w:t>
      </w:r>
      <w:r w:rsidRPr="003F5B89">
        <w:rPr>
          <w:rFonts w:cs="Arial"/>
          <w:rtl/>
        </w:rPr>
        <w:t xml:space="preserve"> </w:t>
      </w:r>
      <w:r w:rsidRPr="003F5B89">
        <w:rPr>
          <w:rFonts w:cs="Arial" w:hint="cs"/>
          <w:rtl/>
        </w:rPr>
        <w:t>אותו</w:t>
      </w:r>
      <w:r w:rsidRPr="003F5B89">
        <w:rPr>
          <w:rFonts w:cs="Arial"/>
          <w:rtl/>
        </w:rPr>
        <w:t xml:space="preserve"> </w:t>
      </w:r>
      <w:r w:rsidRPr="003F5B89">
        <w:rPr>
          <w:rFonts w:cs="Arial" w:hint="cs"/>
          <w:rtl/>
        </w:rPr>
        <w:t>ואם</w:t>
      </w:r>
      <w:r w:rsidRPr="003F5B89">
        <w:rPr>
          <w:rFonts w:cs="Arial"/>
          <w:rtl/>
        </w:rPr>
        <w:t xml:space="preserve"> </w:t>
      </w:r>
      <w:r w:rsidRPr="003F5B89">
        <w:rPr>
          <w:rFonts w:cs="Arial" w:hint="cs"/>
          <w:rtl/>
        </w:rPr>
        <w:t>לא</w:t>
      </w:r>
      <w:r w:rsidRPr="003F5B89">
        <w:rPr>
          <w:rFonts w:cs="Arial"/>
          <w:rtl/>
        </w:rPr>
        <w:t xml:space="preserve"> </w:t>
      </w:r>
      <w:r w:rsidRPr="003F5B89">
        <w:rPr>
          <w:rFonts w:cs="Arial" w:hint="cs"/>
          <w:rtl/>
        </w:rPr>
        <w:t>יקבל</w:t>
      </w:r>
      <w:r w:rsidRPr="003F5B89">
        <w:rPr>
          <w:rFonts w:cs="Arial"/>
          <w:rtl/>
        </w:rPr>
        <w:t xml:space="preserve"> </w:t>
      </w:r>
      <w:r w:rsidRPr="003F5B89">
        <w:rPr>
          <w:rFonts w:cs="Arial" w:hint="cs"/>
          <w:rtl/>
        </w:rPr>
        <w:t>מחרימין</w:t>
      </w:r>
      <w:r w:rsidRPr="003F5B89">
        <w:rPr>
          <w:rFonts w:cs="Arial"/>
          <w:rtl/>
        </w:rPr>
        <w:t xml:space="preserve"> </w:t>
      </w:r>
      <w:r w:rsidRPr="003F5B89">
        <w:rPr>
          <w:rFonts w:cs="Arial" w:hint="cs"/>
          <w:rtl/>
        </w:rPr>
        <w:t>אותו</w:t>
      </w:r>
      <w:r w:rsidRPr="003F5B89">
        <w:rPr>
          <w:rFonts w:cs="Arial"/>
          <w:rtl/>
        </w:rPr>
        <w:t xml:space="preserve"> </w:t>
      </w:r>
      <w:r w:rsidRPr="003F5B89">
        <w:rPr>
          <w:rFonts w:cs="Arial" w:hint="cs"/>
          <w:rtl/>
        </w:rPr>
        <w:t>ומנדין</w:t>
      </w:r>
      <w:r w:rsidRPr="003F5B89">
        <w:rPr>
          <w:rFonts w:cs="Arial"/>
          <w:rtl/>
        </w:rPr>
        <w:t xml:space="preserve"> </w:t>
      </w:r>
      <w:r w:rsidRPr="003F5B89">
        <w:rPr>
          <w:rFonts w:cs="Arial" w:hint="cs"/>
          <w:rtl/>
        </w:rPr>
        <w:t>אותו</w:t>
      </w:r>
      <w:r w:rsidRPr="003F5B89">
        <w:rPr>
          <w:rFonts w:cs="Arial"/>
          <w:rtl/>
        </w:rPr>
        <w:t xml:space="preserve"> </w:t>
      </w:r>
      <w:r w:rsidRPr="003F5B89">
        <w:rPr>
          <w:rFonts w:cs="Arial" w:hint="cs"/>
          <w:rtl/>
        </w:rPr>
        <w:t>ונמנעין</w:t>
      </w:r>
      <w:r w:rsidRPr="003F5B89">
        <w:rPr>
          <w:rFonts w:cs="Arial"/>
          <w:rtl/>
        </w:rPr>
        <w:t xml:space="preserve"> </w:t>
      </w:r>
      <w:r w:rsidRPr="003F5B89">
        <w:rPr>
          <w:rFonts w:cs="Arial" w:hint="cs"/>
          <w:rtl/>
        </w:rPr>
        <w:t>מלדבר</w:t>
      </w:r>
      <w:r w:rsidRPr="003F5B89">
        <w:rPr>
          <w:rFonts w:cs="Arial"/>
          <w:rtl/>
        </w:rPr>
        <w:t xml:space="preserve"> </w:t>
      </w:r>
      <w:r w:rsidRPr="003F5B89">
        <w:rPr>
          <w:rFonts w:cs="Arial" w:hint="cs"/>
          <w:rtl/>
        </w:rPr>
        <w:t>עמו</w:t>
      </w:r>
      <w:r w:rsidRPr="003F5B89">
        <w:rPr>
          <w:rFonts w:cs="Arial"/>
          <w:rtl/>
        </w:rPr>
        <w:t xml:space="preserve"> </w:t>
      </w:r>
      <w:r w:rsidRPr="003F5B89">
        <w:rPr>
          <w:rFonts w:cs="Arial" w:hint="cs"/>
          <w:rtl/>
        </w:rPr>
        <w:t>אפילו</w:t>
      </w:r>
      <w:r w:rsidRPr="003F5B89">
        <w:rPr>
          <w:rFonts w:cs="Arial"/>
          <w:rtl/>
        </w:rPr>
        <w:t xml:space="preserve"> </w:t>
      </w:r>
      <w:r w:rsidRPr="003F5B89">
        <w:rPr>
          <w:rFonts w:cs="Arial" w:hint="cs"/>
          <w:rtl/>
        </w:rPr>
        <w:t>קרוביו</w:t>
      </w:r>
      <w:r w:rsidRPr="003F5B89">
        <w:rPr>
          <w:rFonts w:cs="Arial"/>
          <w:rtl/>
        </w:rPr>
        <w:t xml:space="preserve"> </w:t>
      </w:r>
      <w:r w:rsidRPr="003F5B89">
        <w:rPr>
          <w:rFonts w:cs="Arial" w:hint="cs"/>
          <w:rtl/>
        </w:rPr>
        <w:t>ואם</w:t>
      </w:r>
      <w:r w:rsidRPr="003F5B89">
        <w:rPr>
          <w:rFonts w:cs="Arial"/>
          <w:rtl/>
        </w:rPr>
        <w:t xml:space="preserve"> </w:t>
      </w:r>
      <w:r w:rsidRPr="003F5B89">
        <w:rPr>
          <w:rFonts w:cs="Arial" w:hint="cs"/>
          <w:rtl/>
        </w:rPr>
        <w:t>דברו</w:t>
      </w:r>
      <w:r w:rsidRPr="003F5B89">
        <w:rPr>
          <w:rFonts w:cs="Arial"/>
          <w:rtl/>
        </w:rPr>
        <w:t xml:space="preserve"> </w:t>
      </w:r>
      <w:r w:rsidRPr="003F5B89">
        <w:rPr>
          <w:rFonts w:cs="Arial" w:hint="cs"/>
          <w:rtl/>
        </w:rPr>
        <w:t>עמו</w:t>
      </w:r>
      <w:r w:rsidRPr="003F5B89">
        <w:rPr>
          <w:rFonts w:cs="Arial"/>
          <w:rtl/>
        </w:rPr>
        <w:t xml:space="preserve"> </w:t>
      </w:r>
      <w:r w:rsidRPr="003F5B89">
        <w:rPr>
          <w:rFonts w:cs="Arial" w:hint="cs"/>
          <w:rtl/>
        </w:rPr>
        <w:t>הם</w:t>
      </w:r>
      <w:r w:rsidRPr="003F5B89">
        <w:rPr>
          <w:rFonts w:cs="Arial"/>
          <w:rtl/>
        </w:rPr>
        <w:t xml:space="preserve"> </w:t>
      </w:r>
      <w:r w:rsidRPr="003F5B89">
        <w:rPr>
          <w:rFonts w:cs="Arial" w:hint="cs"/>
          <w:rtl/>
        </w:rPr>
        <w:t>שרויים</w:t>
      </w:r>
      <w:r w:rsidRPr="003F5B89">
        <w:rPr>
          <w:rFonts w:cs="Arial"/>
          <w:rtl/>
        </w:rPr>
        <w:t xml:space="preserve"> </w:t>
      </w:r>
      <w:r w:rsidRPr="003F5B89">
        <w:rPr>
          <w:rFonts w:cs="Arial" w:hint="cs"/>
          <w:rtl/>
        </w:rPr>
        <w:t>עמו</w:t>
      </w:r>
      <w:r w:rsidRPr="003F5B89">
        <w:rPr>
          <w:rFonts w:cs="Arial"/>
          <w:rtl/>
        </w:rPr>
        <w:t xml:space="preserve"> </w:t>
      </w:r>
      <w:r w:rsidRPr="003F5B89">
        <w:rPr>
          <w:rFonts w:cs="Arial" w:hint="cs"/>
          <w:rtl/>
        </w:rPr>
        <w:t>בנידוי</w:t>
      </w:r>
      <w:r w:rsidRPr="003F5B89">
        <w:rPr>
          <w:rFonts w:cs="Arial"/>
          <w:rtl/>
        </w:rPr>
        <w:t xml:space="preserve"> </w:t>
      </w:r>
      <w:r w:rsidRPr="003F5B89">
        <w:rPr>
          <w:rFonts w:cs="Arial" w:hint="cs"/>
          <w:rtl/>
        </w:rPr>
        <w:t>עד</w:t>
      </w:r>
      <w:r w:rsidRPr="003F5B89">
        <w:rPr>
          <w:rFonts w:cs="Arial"/>
          <w:rtl/>
        </w:rPr>
        <w:t xml:space="preserve"> </w:t>
      </w:r>
      <w:r w:rsidRPr="003F5B89">
        <w:rPr>
          <w:rFonts w:cs="Arial" w:hint="cs"/>
          <w:rtl/>
        </w:rPr>
        <w:t>שיעשו</w:t>
      </w:r>
      <w:r w:rsidRPr="003F5B89">
        <w:rPr>
          <w:rFonts w:cs="Arial"/>
          <w:rtl/>
        </w:rPr>
        <w:t xml:space="preserve"> </w:t>
      </w:r>
      <w:r w:rsidRPr="003F5B89">
        <w:rPr>
          <w:rFonts w:cs="Arial" w:hint="cs"/>
          <w:rtl/>
        </w:rPr>
        <w:t>תשובה</w:t>
      </w:r>
      <w:r w:rsidRPr="003F5B89">
        <w:rPr>
          <w:rFonts w:cs="Arial"/>
          <w:rtl/>
        </w:rPr>
        <w:t xml:space="preserve"> </w:t>
      </w:r>
      <w:r w:rsidRPr="003F5B89">
        <w:rPr>
          <w:rFonts w:cs="Arial" w:hint="cs"/>
          <w:rtl/>
        </w:rPr>
        <w:t>וזה</w:t>
      </w:r>
      <w:r w:rsidRPr="003F5B89">
        <w:rPr>
          <w:rFonts w:cs="Arial"/>
          <w:rtl/>
        </w:rPr>
        <w:t xml:space="preserve"> </w:t>
      </w:r>
      <w:r w:rsidRPr="003F5B89">
        <w:rPr>
          <w:rFonts w:cs="Arial" w:hint="cs"/>
          <w:rtl/>
        </w:rPr>
        <w:t>הדבר</w:t>
      </w:r>
      <w:r w:rsidRPr="003F5B89">
        <w:rPr>
          <w:rFonts w:cs="Arial"/>
          <w:rtl/>
        </w:rPr>
        <w:t xml:space="preserve"> </w:t>
      </w:r>
      <w:r w:rsidRPr="003F5B89">
        <w:rPr>
          <w:rFonts w:cs="Arial" w:hint="cs"/>
          <w:rtl/>
        </w:rPr>
        <w:t>שפסקו</w:t>
      </w:r>
      <w:r w:rsidRPr="003F5B89">
        <w:rPr>
          <w:rFonts w:cs="Arial"/>
          <w:rtl/>
        </w:rPr>
        <w:t xml:space="preserve"> </w:t>
      </w:r>
      <w:r w:rsidRPr="003F5B89">
        <w:rPr>
          <w:rFonts w:cs="Arial" w:hint="cs"/>
          <w:rtl/>
        </w:rPr>
        <w:t>על</w:t>
      </w:r>
      <w:r w:rsidRPr="003F5B89">
        <w:rPr>
          <w:rFonts w:cs="Arial"/>
          <w:rtl/>
        </w:rPr>
        <w:t xml:space="preserve"> </w:t>
      </w:r>
      <w:r w:rsidRPr="003F5B89">
        <w:rPr>
          <w:rFonts w:cs="Arial" w:hint="cs"/>
          <w:rtl/>
        </w:rPr>
        <w:t>רבי</w:t>
      </w:r>
      <w:r w:rsidRPr="003F5B89">
        <w:rPr>
          <w:rFonts w:cs="Arial"/>
          <w:rtl/>
        </w:rPr>
        <w:t xml:space="preserve"> </w:t>
      </w:r>
      <w:r w:rsidRPr="003F5B89">
        <w:rPr>
          <w:rFonts w:cs="Arial" w:hint="cs"/>
          <w:rtl/>
        </w:rPr>
        <w:t>אברהם</w:t>
      </w:r>
      <w:r w:rsidRPr="003F5B89">
        <w:rPr>
          <w:rFonts w:cs="Arial"/>
          <w:rtl/>
        </w:rPr>
        <w:t xml:space="preserve"> </w:t>
      </w:r>
      <w:r w:rsidRPr="003F5B89">
        <w:rPr>
          <w:rFonts w:cs="Arial" w:hint="cs"/>
          <w:rtl/>
        </w:rPr>
        <w:t>ורבי</w:t>
      </w:r>
      <w:r w:rsidRPr="003F5B89">
        <w:rPr>
          <w:rFonts w:cs="Arial"/>
          <w:rtl/>
        </w:rPr>
        <w:t xml:space="preserve"> </w:t>
      </w:r>
      <w:r w:rsidRPr="003F5B89">
        <w:rPr>
          <w:rFonts w:cs="Arial" w:hint="cs"/>
          <w:rtl/>
        </w:rPr>
        <w:t>יעקב</w:t>
      </w:r>
      <w:r w:rsidRPr="003F5B89">
        <w:rPr>
          <w:rFonts w:cs="Arial"/>
          <w:rtl/>
        </w:rPr>
        <w:t xml:space="preserve"> </w:t>
      </w:r>
      <w:r w:rsidRPr="003F5B89">
        <w:rPr>
          <w:rFonts w:cs="Arial" w:hint="cs"/>
          <w:rtl/>
        </w:rPr>
        <w:t>אחיו</w:t>
      </w:r>
      <w:r w:rsidRPr="003F5B89">
        <w:rPr>
          <w:rFonts w:cs="Arial"/>
          <w:rtl/>
        </w:rPr>
        <w:t xml:space="preserve"> </w:t>
      </w:r>
      <w:r w:rsidRPr="003F5B89">
        <w:rPr>
          <w:rFonts w:cs="Arial" w:hint="cs"/>
          <w:rtl/>
        </w:rPr>
        <w:t>כי</w:t>
      </w:r>
      <w:r w:rsidRPr="003F5B89">
        <w:rPr>
          <w:rFonts w:cs="Arial"/>
          <w:rtl/>
        </w:rPr>
        <w:t xml:space="preserve"> </w:t>
      </w:r>
      <w:r w:rsidRPr="003F5B89">
        <w:rPr>
          <w:rFonts w:cs="Arial" w:hint="cs"/>
          <w:rtl/>
        </w:rPr>
        <w:t>באו</w:t>
      </w:r>
      <w:r w:rsidRPr="003F5B89">
        <w:rPr>
          <w:rFonts w:cs="Arial"/>
          <w:rtl/>
        </w:rPr>
        <w:t xml:space="preserve"> </w:t>
      </w:r>
      <w:r w:rsidRPr="003F5B89">
        <w:rPr>
          <w:rFonts w:cs="Arial" w:hint="cs"/>
          <w:rtl/>
        </w:rPr>
        <w:t>לעיר</w:t>
      </w:r>
      <w:r w:rsidRPr="003F5B89">
        <w:rPr>
          <w:rFonts w:cs="Arial"/>
          <w:rtl/>
        </w:rPr>
        <w:t xml:space="preserve"> </w:t>
      </w:r>
      <w:r w:rsidRPr="003F5B89">
        <w:rPr>
          <w:rFonts w:cs="Arial" w:hint="cs"/>
          <w:rtl/>
        </w:rPr>
        <w:t>בליל</w:t>
      </w:r>
      <w:r w:rsidRPr="003F5B89">
        <w:rPr>
          <w:rFonts w:cs="Arial"/>
          <w:rtl/>
        </w:rPr>
        <w:t xml:space="preserve"> </w:t>
      </w:r>
      <w:r w:rsidRPr="003F5B89">
        <w:rPr>
          <w:rFonts w:cs="Arial" w:hint="cs"/>
          <w:rtl/>
        </w:rPr>
        <w:t>שבת</w:t>
      </w:r>
      <w:r w:rsidRPr="003F5B89">
        <w:rPr>
          <w:rFonts w:cs="Arial"/>
          <w:rtl/>
        </w:rPr>
        <w:t xml:space="preserve"> </w:t>
      </w:r>
      <w:r w:rsidRPr="003F5B89">
        <w:rPr>
          <w:rFonts w:cs="Arial" w:hint="cs"/>
          <w:rtl/>
        </w:rPr>
        <w:t>כשהקהל</w:t>
      </w:r>
      <w:r w:rsidRPr="003F5B89">
        <w:rPr>
          <w:rFonts w:cs="Arial"/>
          <w:rtl/>
        </w:rPr>
        <w:t xml:space="preserve"> </w:t>
      </w:r>
      <w:r w:rsidRPr="003F5B89">
        <w:rPr>
          <w:rFonts w:cs="Arial" w:hint="cs"/>
          <w:rtl/>
        </w:rPr>
        <w:t>יוצאים</w:t>
      </w:r>
      <w:r w:rsidRPr="003F5B89">
        <w:rPr>
          <w:rFonts w:cs="Arial"/>
          <w:rtl/>
        </w:rPr>
        <w:t xml:space="preserve"> </w:t>
      </w:r>
      <w:r w:rsidRPr="003F5B89">
        <w:rPr>
          <w:rFonts w:cs="Arial" w:hint="cs"/>
          <w:rtl/>
        </w:rPr>
        <w:t>מבית</w:t>
      </w:r>
      <w:r w:rsidRPr="003F5B89">
        <w:rPr>
          <w:rFonts w:cs="Arial"/>
          <w:rtl/>
        </w:rPr>
        <w:t xml:space="preserve"> </w:t>
      </w:r>
      <w:r w:rsidRPr="003F5B89">
        <w:rPr>
          <w:rFonts w:cs="Arial" w:hint="cs"/>
          <w:rtl/>
        </w:rPr>
        <w:t>הכנסת</w:t>
      </w:r>
      <w:r w:rsidRPr="003F5B89">
        <w:rPr>
          <w:rFonts w:cs="Arial"/>
          <w:rtl/>
        </w:rPr>
        <w:t xml:space="preserve"> </w:t>
      </w:r>
      <w:r w:rsidRPr="003F5B89">
        <w:rPr>
          <w:rFonts w:cs="Arial" w:hint="cs"/>
          <w:rtl/>
        </w:rPr>
        <w:t>ולא</w:t>
      </w:r>
      <w:r w:rsidRPr="003F5B89">
        <w:rPr>
          <w:rFonts w:cs="Arial"/>
          <w:rtl/>
        </w:rPr>
        <w:t xml:space="preserve"> </w:t>
      </w:r>
      <w:r w:rsidRPr="003F5B89">
        <w:rPr>
          <w:rFonts w:cs="Arial" w:hint="cs"/>
          <w:rtl/>
        </w:rPr>
        <w:t>נתנו</w:t>
      </w:r>
      <w:r w:rsidRPr="003F5B89">
        <w:rPr>
          <w:rFonts w:cs="Arial"/>
          <w:rtl/>
        </w:rPr>
        <w:t xml:space="preserve"> </w:t>
      </w:r>
      <w:r w:rsidRPr="003F5B89">
        <w:rPr>
          <w:rFonts w:cs="Arial" w:hint="cs"/>
          <w:rtl/>
        </w:rPr>
        <w:t>להם</w:t>
      </w:r>
      <w:r w:rsidRPr="003F5B89">
        <w:rPr>
          <w:rFonts w:cs="Arial"/>
          <w:rtl/>
        </w:rPr>
        <w:t xml:space="preserve"> </w:t>
      </w:r>
      <w:r w:rsidRPr="003F5B89">
        <w:rPr>
          <w:rFonts w:cs="Arial" w:hint="cs"/>
          <w:rtl/>
        </w:rPr>
        <w:t>הקהל</w:t>
      </w:r>
      <w:r w:rsidRPr="003F5B89">
        <w:rPr>
          <w:rFonts w:cs="Arial"/>
          <w:rtl/>
        </w:rPr>
        <w:t xml:space="preserve"> </w:t>
      </w:r>
      <w:r w:rsidRPr="003F5B89">
        <w:rPr>
          <w:rFonts w:cs="Arial" w:hint="cs"/>
          <w:rtl/>
        </w:rPr>
        <w:t>שלום</w:t>
      </w:r>
      <w:r w:rsidRPr="003F5B89">
        <w:rPr>
          <w:rFonts w:cs="Arial"/>
          <w:rtl/>
        </w:rPr>
        <w:t xml:space="preserve"> </w:t>
      </w:r>
      <w:r w:rsidRPr="003F5B89">
        <w:rPr>
          <w:rFonts w:cs="Arial" w:hint="cs"/>
          <w:rtl/>
        </w:rPr>
        <w:t>ולא</w:t>
      </w:r>
      <w:r w:rsidRPr="003F5B89">
        <w:rPr>
          <w:rFonts w:cs="Arial"/>
          <w:rtl/>
        </w:rPr>
        <w:t xml:space="preserve"> </w:t>
      </w:r>
      <w:r w:rsidRPr="003F5B89">
        <w:rPr>
          <w:rFonts w:cs="Arial" w:hint="cs"/>
          <w:rtl/>
        </w:rPr>
        <w:t>הניחום</w:t>
      </w:r>
      <w:r w:rsidRPr="003F5B89">
        <w:rPr>
          <w:rFonts w:cs="Arial"/>
          <w:rtl/>
        </w:rPr>
        <w:t xml:space="preserve"> </w:t>
      </w:r>
      <w:r w:rsidRPr="003F5B89">
        <w:rPr>
          <w:rFonts w:cs="Arial" w:hint="cs"/>
          <w:rtl/>
        </w:rPr>
        <w:t>ליכנס</w:t>
      </w:r>
      <w:r w:rsidRPr="003F5B89">
        <w:rPr>
          <w:rFonts w:cs="Arial"/>
          <w:rtl/>
        </w:rPr>
        <w:t xml:space="preserve"> </w:t>
      </w:r>
      <w:r w:rsidRPr="003F5B89">
        <w:rPr>
          <w:rFonts w:cs="Arial" w:hint="cs"/>
          <w:rtl/>
        </w:rPr>
        <w:t>שחרית</w:t>
      </w:r>
      <w:r w:rsidRPr="003F5B89">
        <w:rPr>
          <w:rFonts w:cs="Arial"/>
          <w:rtl/>
        </w:rPr>
        <w:t xml:space="preserve"> </w:t>
      </w:r>
      <w:r w:rsidRPr="003F5B89">
        <w:rPr>
          <w:rFonts w:cs="Arial" w:hint="cs"/>
          <w:rtl/>
        </w:rPr>
        <w:t>לבית</w:t>
      </w:r>
      <w:r w:rsidRPr="003F5B89">
        <w:rPr>
          <w:rFonts w:cs="Arial"/>
          <w:rtl/>
        </w:rPr>
        <w:t xml:space="preserve"> </w:t>
      </w:r>
      <w:r w:rsidRPr="003F5B89">
        <w:rPr>
          <w:rFonts w:cs="Arial" w:hint="cs"/>
          <w:rtl/>
        </w:rPr>
        <w:t>הכנסת</w:t>
      </w:r>
      <w:r w:rsidRPr="003F5B89">
        <w:rPr>
          <w:rFonts w:cs="Arial"/>
          <w:rtl/>
        </w:rPr>
        <w:t xml:space="preserve"> </w:t>
      </w:r>
      <w:r w:rsidRPr="003F5B89">
        <w:rPr>
          <w:rFonts w:cs="Arial" w:hint="cs"/>
          <w:rtl/>
        </w:rPr>
        <w:t>כדי</w:t>
      </w:r>
      <w:r w:rsidRPr="003F5B89">
        <w:rPr>
          <w:rFonts w:cs="Arial"/>
          <w:rtl/>
        </w:rPr>
        <w:t xml:space="preserve"> </w:t>
      </w:r>
      <w:r w:rsidRPr="003F5B89">
        <w:rPr>
          <w:rFonts w:cs="Arial" w:hint="cs"/>
          <w:rtl/>
        </w:rPr>
        <w:t>שלא</w:t>
      </w:r>
      <w:r w:rsidRPr="003F5B89">
        <w:rPr>
          <w:rFonts w:cs="Arial"/>
          <w:rtl/>
        </w:rPr>
        <w:t xml:space="preserve"> </w:t>
      </w:r>
      <w:r w:rsidRPr="003F5B89">
        <w:rPr>
          <w:rFonts w:cs="Arial" w:hint="cs"/>
          <w:rtl/>
        </w:rPr>
        <w:t>יקחו</w:t>
      </w:r>
      <w:r w:rsidRPr="003F5B89">
        <w:rPr>
          <w:rFonts w:cs="Arial"/>
          <w:rtl/>
        </w:rPr>
        <w:t xml:space="preserve"> </w:t>
      </w:r>
      <w:r w:rsidRPr="003F5B89">
        <w:rPr>
          <w:rFonts w:cs="Arial" w:hint="cs"/>
          <w:rtl/>
        </w:rPr>
        <w:t>אחרים</w:t>
      </w:r>
      <w:r w:rsidRPr="003F5B89">
        <w:rPr>
          <w:rFonts w:cs="Arial"/>
          <w:rtl/>
        </w:rPr>
        <w:t xml:space="preserve"> </w:t>
      </w:r>
      <w:r w:rsidRPr="003F5B89">
        <w:rPr>
          <w:rFonts w:cs="Arial" w:hint="cs"/>
          <w:rtl/>
        </w:rPr>
        <w:t>מהם</w:t>
      </w:r>
      <w:r w:rsidRPr="003F5B89">
        <w:rPr>
          <w:rFonts w:cs="Arial"/>
          <w:rtl/>
        </w:rPr>
        <w:t xml:space="preserve"> </w:t>
      </w:r>
      <w:r w:rsidRPr="003F5B89">
        <w:rPr>
          <w:rFonts w:cs="Arial" w:hint="cs"/>
          <w:rtl/>
        </w:rPr>
        <w:t>קל</w:t>
      </w:r>
      <w:r w:rsidRPr="003F5B89">
        <w:rPr>
          <w:rFonts w:cs="Arial"/>
          <w:rtl/>
        </w:rPr>
        <w:t xml:space="preserve"> </w:t>
      </w:r>
      <w:r w:rsidRPr="003F5B89">
        <w:rPr>
          <w:rFonts w:cs="Arial" w:hint="cs"/>
          <w:rtl/>
        </w:rPr>
        <w:t>וחומר</w:t>
      </w:r>
      <w:r w:rsidRPr="003F5B89">
        <w:rPr>
          <w:rFonts w:cs="Arial"/>
          <w:rtl/>
        </w:rPr>
        <w:t xml:space="preserve"> </w:t>
      </w:r>
      <w:r w:rsidRPr="003F5B89">
        <w:rPr>
          <w:rFonts w:cs="Arial" w:hint="cs"/>
          <w:rtl/>
        </w:rPr>
        <w:t>בשבת</w:t>
      </w:r>
      <w:r w:rsidRPr="003F5B89">
        <w:rPr>
          <w:rFonts w:cs="Arial"/>
          <w:rtl/>
        </w:rPr>
        <w:t xml:space="preserve"> </w:t>
      </w:r>
      <w:r w:rsidRPr="003F5B89">
        <w:rPr>
          <w:rFonts w:cs="Arial" w:hint="cs"/>
          <w:rtl/>
        </w:rPr>
        <w:t>גזרו</w:t>
      </w:r>
      <w:r w:rsidRPr="003F5B89">
        <w:rPr>
          <w:rFonts w:cs="Arial"/>
          <w:rtl/>
        </w:rPr>
        <w:t xml:space="preserve"> </w:t>
      </w:r>
      <w:r w:rsidRPr="003F5B89">
        <w:rPr>
          <w:rFonts w:cs="Arial" w:hint="cs"/>
          <w:rtl/>
        </w:rPr>
        <w:t>עליהם</w:t>
      </w:r>
      <w:r w:rsidRPr="003F5B89">
        <w:rPr>
          <w:rFonts w:cs="Arial"/>
          <w:rtl/>
        </w:rPr>
        <w:t xml:space="preserve"> </w:t>
      </w:r>
      <w:r w:rsidRPr="003F5B89">
        <w:rPr>
          <w:rFonts w:cs="Arial" w:hint="cs"/>
          <w:rtl/>
        </w:rPr>
        <w:t>צום</w:t>
      </w:r>
      <w:r w:rsidRPr="003F5B89">
        <w:rPr>
          <w:rFonts w:cs="Arial"/>
          <w:rtl/>
        </w:rPr>
        <w:t xml:space="preserve"> </w:t>
      </w:r>
      <w:r w:rsidRPr="003F5B89">
        <w:rPr>
          <w:rFonts w:cs="Arial" w:hint="cs"/>
          <w:rtl/>
        </w:rPr>
        <w:t>ז</w:t>
      </w:r>
      <w:r w:rsidRPr="003F5B89">
        <w:rPr>
          <w:rFonts w:cs="Arial"/>
          <w:rtl/>
        </w:rPr>
        <w:t xml:space="preserve">' </w:t>
      </w:r>
      <w:r w:rsidRPr="003F5B89">
        <w:rPr>
          <w:rFonts w:cs="Arial" w:hint="cs"/>
          <w:rtl/>
        </w:rPr>
        <w:t>שבועות</w:t>
      </w:r>
      <w:r w:rsidRPr="003F5B89">
        <w:rPr>
          <w:rFonts w:cs="Arial"/>
          <w:rtl/>
        </w:rPr>
        <w:t xml:space="preserve"> </w:t>
      </w:r>
      <w:r w:rsidRPr="003F5B89">
        <w:rPr>
          <w:rFonts w:cs="Arial" w:hint="cs"/>
          <w:rtl/>
        </w:rPr>
        <w:t>נ</w:t>
      </w:r>
      <w:r w:rsidRPr="003F5B89">
        <w:rPr>
          <w:rFonts w:cs="Arial"/>
          <w:rtl/>
        </w:rPr>
        <w:t xml:space="preserve">' </w:t>
      </w:r>
      <w:r w:rsidRPr="003F5B89">
        <w:rPr>
          <w:rFonts w:cs="Arial" w:hint="cs"/>
          <w:rtl/>
        </w:rPr>
        <w:t>יום</w:t>
      </w:r>
      <w:r w:rsidRPr="003F5B89">
        <w:rPr>
          <w:rFonts w:cs="Arial"/>
          <w:rtl/>
        </w:rPr>
        <w:t xml:space="preserve"> </w:t>
      </w:r>
      <w:r w:rsidRPr="003F5B89">
        <w:rPr>
          <w:rFonts w:cs="Arial" w:hint="cs"/>
          <w:rtl/>
        </w:rPr>
        <w:t>רצופים</w:t>
      </w:r>
      <w:r w:rsidRPr="003F5B89">
        <w:rPr>
          <w:rFonts w:cs="Arial"/>
          <w:rtl/>
        </w:rPr>
        <w:t xml:space="preserve"> </w:t>
      </w:r>
      <w:r w:rsidRPr="003F5B89">
        <w:rPr>
          <w:rFonts w:cs="Arial" w:hint="cs"/>
          <w:rtl/>
        </w:rPr>
        <w:t>חוץ</w:t>
      </w:r>
      <w:r w:rsidRPr="003F5B89">
        <w:rPr>
          <w:rFonts w:cs="Arial"/>
          <w:rtl/>
        </w:rPr>
        <w:t xml:space="preserve"> </w:t>
      </w:r>
      <w:r w:rsidRPr="003F5B89">
        <w:rPr>
          <w:rFonts w:cs="Arial" w:hint="cs"/>
          <w:rtl/>
        </w:rPr>
        <w:t>משבתות</w:t>
      </w:r>
      <w:r w:rsidRPr="003F5B89">
        <w:rPr>
          <w:rFonts w:cs="Arial"/>
          <w:rtl/>
        </w:rPr>
        <w:t xml:space="preserve"> </w:t>
      </w:r>
      <w:r w:rsidRPr="003F5B89">
        <w:rPr>
          <w:rFonts w:cs="Arial" w:hint="cs"/>
          <w:rtl/>
        </w:rPr>
        <w:t>וראשי</w:t>
      </w:r>
      <w:r w:rsidRPr="003F5B89">
        <w:rPr>
          <w:rFonts w:cs="Arial"/>
          <w:rtl/>
        </w:rPr>
        <w:t xml:space="preserve"> </w:t>
      </w:r>
      <w:r w:rsidRPr="003F5B89">
        <w:rPr>
          <w:rFonts w:cs="Arial" w:hint="cs"/>
          <w:rtl/>
        </w:rPr>
        <w:t>חדשים</w:t>
      </w:r>
      <w:r w:rsidRPr="003F5B89">
        <w:rPr>
          <w:rFonts w:cs="Arial"/>
          <w:rtl/>
        </w:rPr>
        <w:t xml:space="preserve"> </w:t>
      </w:r>
      <w:r w:rsidRPr="003F5B89">
        <w:rPr>
          <w:rFonts w:cs="Arial" w:hint="cs"/>
          <w:rtl/>
        </w:rPr>
        <w:t>ולהשלים</w:t>
      </w:r>
      <w:r w:rsidRPr="003F5B89">
        <w:rPr>
          <w:rFonts w:cs="Arial"/>
          <w:rtl/>
        </w:rPr>
        <w:t xml:space="preserve"> </w:t>
      </w:r>
      <w:r w:rsidRPr="003F5B89">
        <w:rPr>
          <w:rFonts w:cs="Arial" w:hint="cs"/>
          <w:rtl/>
        </w:rPr>
        <w:t>נ</w:t>
      </w:r>
      <w:r w:rsidRPr="003F5B89">
        <w:rPr>
          <w:rFonts w:cs="Arial"/>
          <w:rtl/>
        </w:rPr>
        <w:t xml:space="preserve">' </w:t>
      </w:r>
      <w:r w:rsidRPr="003F5B89">
        <w:rPr>
          <w:rFonts w:cs="Arial" w:hint="cs"/>
          <w:rtl/>
        </w:rPr>
        <w:t>ימי</w:t>
      </w:r>
      <w:r w:rsidRPr="003F5B89">
        <w:rPr>
          <w:rFonts w:cs="Arial"/>
          <w:rtl/>
        </w:rPr>
        <w:t xml:space="preserve"> </w:t>
      </w:r>
      <w:r w:rsidRPr="003F5B89">
        <w:rPr>
          <w:rFonts w:cs="Arial" w:hint="cs"/>
          <w:rtl/>
        </w:rPr>
        <w:t>המעשה</w:t>
      </w:r>
      <w:r w:rsidRPr="003F5B89">
        <w:rPr>
          <w:rFonts w:cs="Arial"/>
          <w:rtl/>
        </w:rPr>
        <w:t xml:space="preserve"> </w:t>
      </w:r>
      <w:r w:rsidRPr="003F5B89">
        <w:rPr>
          <w:rFonts w:cs="Arial" w:hint="cs"/>
          <w:rtl/>
        </w:rPr>
        <w:t>בצומות</w:t>
      </w:r>
      <w:r w:rsidRPr="003F5B89">
        <w:rPr>
          <w:rFonts w:cs="Arial"/>
          <w:rtl/>
        </w:rPr>
        <w:t xml:space="preserve"> </w:t>
      </w:r>
      <w:r w:rsidRPr="003F5B89">
        <w:rPr>
          <w:rFonts w:cs="Arial" w:hint="cs"/>
          <w:rtl/>
        </w:rPr>
        <w:t>ומלקיות</w:t>
      </w:r>
      <w:r w:rsidRPr="003F5B89">
        <w:rPr>
          <w:rFonts w:cs="Arial"/>
          <w:rtl/>
        </w:rPr>
        <w:t xml:space="preserve"> </w:t>
      </w:r>
      <w:r w:rsidRPr="003F5B89">
        <w:rPr>
          <w:rFonts w:cs="Arial" w:hint="cs"/>
          <w:rtl/>
        </w:rPr>
        <w:t>כי</w:t>
      </w:r>
      <w:r w:rsidRPr="003F5B89">
        <w:rPr>
          <w:rFonts w:cs="Arial"/>
          <w:rtl/>
        </w:rPr>
        <w:t xml:space="preserve"> </w:t>
      </w:r>
      <w:r w:rsidRPr="003F5B89">
        <w:rPr>
          <w:rFonts w:cs="Arial" w:hint="cs"/>
          <w:rtl/>
        </w:rPr>
        <w:t>המחלל</w:t>
      </w:r>
      <w:r w:rsidRPr="003F5B89">
        <w:rPr>
          <w:rFonts w:cs="Arial"/>
          <w:rtl/>
        </w:rPr>
        <w:t xml:space="preserve"> </w:t>
      </w:r>
      <w:r w:rsidRPr="003F5B89">
        <w:rPr>
          <w:rFonts w:cs="Arial" w:hint="cs"/>
          <w:rtl/>
        </w:rPr>
        <w:t>שבת</w:t>
      </w:r>
      <w:r w:rsidRPr="003F5B89">
        <w:rPr>
          <w:rFonts w:cs="Arial"/>
          <w:rtl/>
        </w:rPr>
        <w:t xml:space="preserve"> </w:t>
      </w:r>
      <w:r w:rsidRPr="003F5B89">
        <w:rPr>
          <w:rFonts w:cs="Arial" w:hint="cs"/>
          <w:rtl/>
        </w:rPr>
        <w:t>חייב</w:t>
      </w:r>
      <w:r w:rsidRPr="003F5B89">
        <w:rPr>
          <w:rFonts w:cs="Arial"/>
          <w:rtl/>
        </w:rPr>
        <w:t xml:space="preserve"> </w:t>
      </w:r>
      <w:r w:rsidRPr="003F5B89">
        <w:rPr>
          <w:rFonts w:cs="Arial" w:hint="cs"/>
          <w:rtl/>
        </w:rPr>
        <w:t>כרת</w:t>
      </w:r>
      <w:r w:rsidRPr="003F5B89">
        <w:rPr>
          <w:rFonts w:cs="Arial"/>
          <w:rtl/>
        </w:rPr>
        <w:t xml:space="preserve"> </w:t>
      </w:r>
      <w:r w:rsidRPr="003F5B89">
        <w:rPr>
          <w:rFonts w:cs="Arial" w:hint="cs"/>
          <w:rtl/>
        </w:rPr>
        <w:t>ושנו</w:t>
      </w:r>
      <w:r w:rsidRPr="003F5B89">
        <w:rPr>
          <w:rFonts w:cs="Arial"/>
          <w:rtl/>
        </w:rPr>
        <w:t xml:space="preserve"> </w:t>
      </w:r>
      <w:r w:rsidRPr="003F5B89">
        <w:rPr>
          <w:rFonts w:cs="Arial" w:hint="cs"/>
          <w:rtl/>
        </w:rPr>
        <w:t>חכמים</w:t>
      </w:r>
      <w:r w:rsidRPr="003F5B89">
        <w:rPr>
          <w:rFonts w:cs="Arial"/>
          <w:rtl/>
        </w:rPr>
        <w:t xml:space="preserve"> </w:t>
      </w:r>
      <w:r w:rsidRPr="003F5B89">
        <w:rPr>
          <w:rFonts w:cs="Arial" w:hint="cs"/>
          <w:rtl/>
        </w:rPr>
        <w:t>במועד</w:t>
      </w:r>
      <w:r w:rsidRPr="003F5B89">
        <w:rPr>
          <w:rFonts w:cs="Arial"/>
          <w:rtl/>
        </w:rPr>
        <w:t xml:space="preserve"> </w:t>
      </w:r>
      <w:r w:rsidRPr="003F5B89">
        <w:rPr>
          <w:rFonts w:cs="Arial" w:hint="cs"/>
          <w:rtl/>
        </w:rPr>
        <w:t>קטן</w:t>
      </w:r>
      <w:r w:rsidRPr="003F5B89">
        <w:rPr>
          <w:rFonts w:cs="Arial"/>
          <w:rtl/>
        </w:rPr>
        <w:t xml:space="preserve"> (</w:t>
      </w:r>
      <w:r w:rsidRPr="003F5B89">
        <w:rPr>
          <w:rFonts w:cs="Arial" w:hint="cs"/>
          <w:rtl/>
        </w:rPr>
        <w:t>כח</w:t>
      </w:r>
      <w:r w:rsidRPr="003F5B89">
        <w:rPr>
          <w:rFonts w:cs="Arial"/>
          <w:rtl/>
        </w:rPr>
        <w:t xml:space="preserve">.) </w:t>
      </w:r>
      <w:r w:rsidRPr="003F5B89">
        <w:rPr>
          <w:rFonts w:cs="Arial" w:hint="cs"/>
          <w:rtl/>
        </w:rPr>
        <w:t>ובירושלמי</w:t>
      </w:r>
      <w:r w:rsidRPr="003F5B89">
        <w:rPr>
          <w:rFonts w:cs="Arial"/>
          <w:rtl/>
        </w:rPr>
        <w:t xml:space="preserve"> </w:t>
      </w:r>
      <w:r w:rsidRPr="003F5B89">
        <w:rPr>
          <w:rFonts w:cs="Arial" w:hint="cs"/>
          <w:rtl/>
        </w:rPr>
        <w:t>דבכורים</w:t>
      </w:r>
      <w:r w:rsidRPr="003F5B89">
        <w:rPr>
          <w:rFonts w:cs="Arial"/>
          <w:rtl/>
        </w:rPr>
        <w:t xml:space="preserve"> (</w:t>
      </w:r>
      <w:r w:rsidRPr="003F5B89">
        <w:rPr>
          <w:rFonts w:cs="Arial" w:hint="cs"/>
          <w:rtl/>
        </w:rPr>
        <w:t>ריש</w:t>
      </w:r>
      <w:r w:rsidRPr="003F5B89">
        <w:rPr>
          <w:rFonts w:cs="Arial"/>
          <w:rtl/>
        </w:rPr>
        <w:t xml:space="preserve"> </w:t>
      </w:r>
      <w:r w:rsidRPr="003F5B89">
        <w:rPr>
          <w:rFonts w:cs="Arial" w:hint="cs"/>
          <w:rtl/>
        </w:rPr>
        <w:t>פ</w:t>
      </w:r>
      <w:r w:rsidRPr="003F5B89">
        <w:rPr>
          <w:rFonts w:cs="Arial"/>
          <w:rtl/>
        </w:rPr>
        <w:t>"</w:t>
      </w:r>
      <w:r w:rsidRPr="003F5B89">
        <w:rPr>
          <w:rFonts w:cs="Arial" w:hint="cs"/>
          <w:rtl/>
        </w:rPr>
        <w:t>ב</w:t>
      </w:r>
      <w:r w:rsidRPr="003F5B89">
        <w:rPr>
          <w:rFonts w:cs="Arial"/>
          <w:rtl/>
        </w:rPr>
        <w:t xml:space="preserve">) </w:t>
      </w:r>
      <w:r w:rsidRPr="003F5B89">
        <w:rPr>
          <w:rFonts w:cs="Arial" w:hint="cs"/>
          <w:rtl/>
        </w:rPr>
        <w:t>מת</w:t>
      </w:r>
      <w:r w:rsidRPr="003F5B89">
        <w:rPr>
          <w:rFonts w:cs="Arial"/>
          <w:rtl/>
        </w:rPr>
        <w:t xml:space="preserve"> </w:t>
      </w:r>
      <w:r w:rsidRPr="003F5B89">
        <w:rPr>
          <w:rFonts w:cs="Arial" w:hint="cs"/>
          <w:rtl/>
        </w:rPr>
        <w:t>לנ</w:t>
      </w:r>
      <w:r w:rsidRPr="003F5B89">
        <w:rPr>
          <w:rFonts w:cs="Arial"/>
          <w:rtl/>
        </w:rPr>
        <w:t xml:space="preserve">' </w:t>
      </w:r>
      <w:r w:rsidRPr="003F5B89">
        <w:rPr>
          <w:rFonts w:cs="Arial" w:hint="cs"/>
          <w:rtl/>
        </w:rPr>
        <w:t>שנה</w:t>
      </w:r>
      <w:r w:rsidRPr="003F5B89">
        <w:rPr>
          <w:rFonts w:cs="Arial"/>
          <w:rtl/>
        </w:rPr>
        <w:t xml:space="preserve"> </w:t>
      </w:r>
      <w:r>
        <w:rPr>
          <w:rFonts w:cs="Arial" w:hint="cs"/>
          <w:rtl/>
        </w:rPr>
        <w:t xml:space="preserve">- </w:t>
      </w:r>
      <w:r w:rsidRPr="003F5B89">
        <w:rPr>
          <w:rFonts w:cs="Arial" w:hint="cs"/>
          <w:rtl/>
        </w:rPr>
        <w:t>מת</w:t>
      </w:r>
      <w:r w:rsidRPr="003F5B89">
        <w:rPr>
          <w:rFonts w:cs="Arial"/>
          <w:rtl/>
        </w:rPr>
        <w:t xml:space="preserve"> </w:t>
      </w:r>
      <w:r w:rsidRPr="003F5B89">
        <w:rPr>
          <w:rFonts w:cs="Arial" w:hint="cs"/>
          <w:rtl/>
        </w:rPr>
        <w:t>בהכרת</w:t>
      </w:r>
      <w:r>
        <w:rPr>
          <w:rFonts w:cs="Arial" w:hint="cs"/>
          <w:rtl/>
        </w:rPr>
        <w:t>.</w:t>
      </w:r>
      <w:r w:rsidRPr="003F5B89">
        <w:rPr>
          <w:rFonts w:cs="Arial"/>
          <w:rtl/>
        </w:rPr>
        <w:t xml:space="preserve"> </w:t>
      </w:r>
      <w:r w:rsidRPr="003F5B89">
        <w:rPr>
          <w:rFonts w:cs="Arial" w:hint="cs"/>
          <w:rtl/>
        </w:rPr>
        <w:t>ונתנו</w:t>
      </w:r>
      <w:r w:rsidRPr="003F5B89">
        <w:rPr>
          <w:rFonts w:cs="Arial"/>
          <w:rtl/>
        </w:rPr>
        <w:t xml:space="preserve"> </w:t>
      </w:r>
      <w:r w:rsidRPr="003F5B89">
        <w:rPr>
          <w:rFonts w:cs="Arial" w:hint="cs"/>
          <w:rtl/>
        </w:rPr>
        <w:t>להם</w:t>
      </w:r>
      <w:r w:rsidRPr="003F5B89">
        <w:rPr>
          <w:rFonts w:cs="Arial"/>
          <w:rtl/>
        </w:rPr>
        <w:t xml:space="preserve"> </w:t>
      </w:r>
      <w:r w:rsidRPr="003F5B89">
        <w:rPr>
          <w:rFonts w:cs="Arial" w:hint="cs"/>
          <w:rtl/>
        </w:rPr>
        <w:t>לצום</w:t>
      </w:r>
      <w:r w:rsidRPr="003F5B89">
        <w:rPr>
          <w:rFonts w:cs="Arial"/>
          <w:rtl/>
        </w:rPr>
        <w:t xml:space="preserve"> </w:t>
      </w:r>
      <w:r w:rsidRPr="003F5B89">
        <w:rPr>
          <w:rFonts w:cs="Arial" w:hint="cs"/>
          <w:rtl/>
        </w:rPr>
        <w:t>וללקות</w:t>
      </w:r>
      <w:r w:rsidRPr="003F5B89">
        <w:rPr>
          <w:rFonts w:cs="Arial"/>
          <w:rtl/>
        </w:rPr>
        <w:t xml:space="preserve"> </w:t>
      </w:r>
      <w:r w:rsidRPr="003F5B89">
        <w:rPr>
          <w:rFonts w:cs="Arial" w:hint="cs"/>
          <w:rtl/>
        </w:rPr>
        <w:t>נ</w:t>
      </w:r>
      <w:r w:rsidRPr="003F5B89">
        <w:rPr>
          <w:rFonts w:cs="Arial"/>
          <w:rtl/>
        </w:rPr>
        <w:t xml:space="preserve">' </w:t>
      </w:r>
      <w:r w:rsidRPr="003F5B89">
        <w:rPr>
          <w:rFonts w:cs="Arial" w:hint="cs"/>
          <w:rtl/>
        </w:rPr>
        <w:t>יום</w:t>
      </w:r>
      <w:r w:rsidRPr="003F5B89">
        <w:rPr>
          <w:rFonts w:cs="Arial"/>
          <w:rtl/>
        </w:rPr>
        <w:t xml:space="preserve"> </w:t>
      </w:r>
      <w:r w:rsidRPr="003F5B89">
        <w:rPr>
          <w:rFonts w:cs="Arial" w:hint="cs"/>
          <w:rtl/>
        </w:rPr>
        <w:t>כנגד</w:t>
      </w:r>
      <w:r w:rsidRPr="003F5B89">
        <w:rPr>
          <w:rFonts w:cs="Arial"/>
          <w:rtl/>
        </w:rPr>
        <w:t xml:space="preserve"> </w:t>
      </w:r>
      <w:r w:rsidRPr="003F5B89">
        <w:rPr>
          <w:rFonts w:cs="Arial" w:hint="cs"/>
          <w:rtl/>
        </w:rPr>
        <w:t>אותן</w:t>
      </w:r>
      <w:r w:rsidRPr="003F5B89">
        <w:rPr>
          <w:rFonts w:cs="Arial"/>
          <w:rtl/>
        </w:rPr>
        <w:t xml:space="preserve"> </w:t>
      </w:r>
      <w:r w:rsidRPr="003F5B89">
        <w:rPr>
          <w:rFonts w:cs="Arial" w:hint="cs"/>
          <w:rtl/>
        </w:rPr>
        <w:t>נ</w:t>
      </w:r>
      <w:r w:rsidRPr="003F5B89">
        <w:rPr>
          <w:rFonts w:cs="Arial"/>
          <w:rtl/>
        </w:rPr>
        <w:t xml:space="preserve">' </w:t>
      </w:r>
      <w:r w:rsidRPr="003F5B89">
        <w:rPr>
          <w:rFonts w:cs="Arial" w:hint="cs"/>
          <w:rtl/>
        </w:rPr>
        <w:t>שנה</w:t>
      </w:r>
      <w:r w:rsidRPr="003F5B89">
        <w:rPr>
          <w:rFonts w:cs="Arial"/>
          <w:rtl/>
        </w:rPr>
        <w:t xml:space="preserve"> </w:t>
      </w:r>
      <w:r w:rsidRPr="003F5B89">
        <w:rPr>
          <w:rFonts w:cs="Arial" w:hint="cs"/>
          <w:rtl/>
        </w:rPr>
        <w:t>של</w:t>
      </w:r>
      <w:r w:rsidRPr="003F5B89">
        <w:rPr>
          <w:rFonts w:cs="Arial"/>
          <w:rtl/>
        </w:rPr>
        <w:t xml:space="preserve"> </w:t>
      </w:r>
      <w:r w:rsidRPr="003F5B89">
        <w:rPr>
          <w:rFonts w:cs="Arial" w:hint="cs"/>
          <w:rtl/>
        </w:rPr>
        <w:t>מיתה</w:t>
      </w:r>
      <w:r>
        <w:rPr>
          <w:rFonts w:cs="Arial" w:hint="cs"/>
          <w:rtl/>
        </w:rPr>
        <w:t>.</w:t>
      </w:r>
      <w:r w:rsidRPr="003F5B89">
        <w:rPr>
          <w:rFonts w:cs="Arial"/>
          <w:rtl/>
        </w:rPr>
        <w:t xml:space="preserve"> </w:t>
      </w:r>
      <w:r w:rsidRPr="003F5B89">
        <w:rPr>
          <w:rFonts w:cs="Arial" w:hint="cs"/>
          <w:rtl/>
        </w:rPr>
        <w:t>ועוד</w:t>
      </w:r>
      <w:r w:rsidRPr="003F5B89">
        <w:rPr>
          <w:rFonts w:cs="Arial"/>
          <w:rtl/>
        </w:rPr>
        <w:t xml:space="preserve"> </w:t>
      </w:r>
      <w:r w:rsidRPr="003F5B89">
        <w:rPr>
          <w:rFonts w:cs="Arial" w:hint="cs"/>
          <w:rtl/>
        </w:rPr>
        <w:t>גזרו</w:t>
      </w:r>
      <w:r w:rsidRPr="003F5B89">
        <w:rPr>
          <w:rFonts w:cs="Arial"/>
          <w:rtl/>
        </w:rPr>
        <w:t xml:space="preserve"> </w:t>
      </w:r>
      <w:r w:rsidRPr="003F5B89">
        <w:rPr>
          <w:rFonts w:cs="Arial" w:hint="cs"/>
          <w:rtl/>
        </w:rPr>
        <w:t>עליהם</w:t>
      </w:r>
      <w:r w:rsidRPr="003F5B89">
        <w:rPr>
          <w:rFonts w:cs="Arial"/>
          <w:rtl/>
        </w:rPr>
        <w:t xml:space="preserve"> </w:t>
      </w:r>
      <w:r w:rsidRPr="003F5B89">
        <w:rPr>
          <w:rFonts w:cs="Arial" w:hint="cs"/>
          <w:rtl/>
        </w:rPr>
        <w:t>לתת</w:t>
      </w:r>
      <w:r w:rsidRPr="003F5B89">
        <w:rPr>
          <w:rFonts w:cs="Arial"/>
          <w:rtl/>
        </w:rPr>
        <w:t xml:space="preserve"> </w:t>
      </w:r>
      <w:r w:rsidRPr="003F5B89">
        <w:rPr>
          <w:rFonts w:cs="Arial" w:hint="cs"/>
          <w:rtl/>
        </w:rPr>
        <w:t>מממונם</w:t>
      </w:r>
      <w:r w:rsidRPr="003F5B89">
        <w:rPr>
          <w:rFonts w:cs="Arial"/>
          <w:rtl/>
        </w:rPr>
        <w:t xml:space="preserve"> </w:t>
      </w:r>
      <w:r w:rsidRPr="003F5B89">
        <w:rPr>
          <w:rFonts w:cs="Arial" w:hint="cs"/>
          <w:rtl/>
        </w:rPr>
        <w:t>לפדיון</w:t>
      </w:r>
      <w:r w:rsidRPr="003F5B89">
        <w:rPr>
          <w:rFonts w:cs="Arial"/>
          <w:rtl/>
        </w:rPr>
        <w:t xml:space="preserve"> </w:t>
      </w:r>
      <w:r w:rsidRPr="003F5B89">
        <w:rPr>
          <w:rFonts w:cs="Arial" w:hint="cs"/>
          <w:rtl/>
        </w:rPr>
        <w:t>נפשם</w:t>
      </w:r>
      <w:r w:rsidRPr="003F5B89">
        <w:rPr>
          <w:rFonts w:cs="Arial"/>
          <w:rtl/>
        </w:rPr>
        <w:t xml:space="preserve"> </w:t>
      </w:r>
      <w:r w:rsidRPr="003F5B89">
        <w:rPr>
          <w:rFonts w:cs="Arial" w:hint="cs"/>
          <w:rtl/>
        </w:rPr>
        <w:t>לקופה</w:t>
      </w:r>
      <w:r w:rsidRPr="003F5B89">
        <w:rPr>
          <w:rFonts w:cs="Arial"/>
          <w:rtl/>
        </w:rPr>
        <w:t xml:space="preserve"> </w:t>
      </w:r>
      <w:r w:rsidRPr="003F5B89">
        <w:rPr>
          <w:rFonts w:cs="Arial" w:hint="cs"/>
          <w:rtl/>
        </w:rPr>
        <w:t>של</w:t>
      </w:r>
      <w:r w:rsidRPr="003F5B89">
        <w:rPr>
          <w:rFonts w:cs="Arial"/>
          <w:rtl/>
        </w:rPr>
        <w:t xml:space="preserve"> </w:t>
      </w:r>
      <w:r w:rsidRPr="003F5B89">
        <w:rPr>
          <w:rFonts w:cs="Arial" w:hint="cs"/>
          <w:rtl/>
        </w:rPr>
        <w:t>צדקה</w:t>
      </w:r>
      <w:r>
        <w:rPr>
          <w:rFonts w:cs="Arial" w:hint="cs"/>
          <w:rtl/>
        </w:rPr>
        <w:t>.</w:t>
      </w:r>
      <w:r w:rsidRPr="003F5B89">
        <w:rPr>
          <w:rFonts w:cs="Arial"/>
          <w:rtl/>
        </w:rPr>
        <w:t xml:space="preserve"> </w:t>
      </w:r>
      <w:r w:rsidRPr="003F5B89">
        <w:rPr>
          <w:rFonts w:cs="Arial" w:hint="cs"/>
          <w:rtl/>
        </w:rPr>
        <w:t>ואחר</w:t>
      </w:r>
      <w:r w:rsidRPr="003F5B89">
        <w:rPr>
          <w:rFonts w:cs="Arial"/>
          <w:rtl/>
        </w:rPr>
        <w:t xml:space="preserve"> </w:t>
      </w:r>
      <w:r w:rsidRPr="003F5B89">
        <w:rPr>
          <w:rFonts w:cs="Arial" w:hint="cs"/>
          <w:rtl/>
        </w:rPr>
        <w:t>כך</w:t>
      </w:r>
      <w:r w:rsidRPr="003F5B89">
        <w:rPr>
          <w:rFonts w:cs="Arial"/>
          <w:rtl/>
        </w:rPr>
        <w:t xml:space="preserve"> </w:t>
      </w:r>
      <w:r w:rsidRPr="003F5B89">
        <w:rPr>
          <w:rFonts w:cs="Arial" w:hint="cs"/>
          <w:rtl/>
        </w:rPr>
        <w:t>גזרו</w:t>
      </w:r>
      <w:r w:rsidRPr="003F5B89">
        <w:rPr>
          <w:rFonts w:cs="Arial"/>
          <w:rtl/>
        </w:rPr>
        <w:t xml:space="preserve"> </w:t>
      </w:r>
      <w:r w:rsidRPr="003F5B89">
        <w:rPr>
          <w:rFonts w:cs="Arial" w:hint="cs"/>
          <w:rtl/>
        </w:rPr>
        <w:t>עליהם</w:t>
      </w:r>
      <w:r w:rsidRPr="003F5B89">
        <w:rPr>
          <w:rFonts w:cs="Arial"/>
          <w:rtl/>
        </w:rPr>
        <w:t xml:space="preserve"> </w:t>
      </w:r>
      <w:r w:rsidRPr="003F5B89">
        <w:rPr>
          <w:rFonts w:cs="Arial" w:hint="cs"/>
          <w:rtl/>
        </w:rPr>
        <w:t>בי</w:t>
      </w:r>
      <w:r w:rsidRPr="003F5B89">
        <w:rPr>
          <w:rFonts w:cs="Arial"/>
          <w:rtl/>
        </w:rPr>
        <w:t>"</w:t>
      </w:r>
      <w:r w:rsidRPr="003F5B89">
        <w:rPr>
          <w:rFonts w:cs="Arial" w:hint="cs"/>
          <w:rtl/>
        </w:rPr>
        <w:t>ב</w:t>
      </w:r>
      <w:r w:rsidRPr="003F5B89">
        <w:rPr>
          <w:rFonts w:cs="Arial"/>
          <w:rtl/>
        </w:rPr>
        <w:t xml:space="preserve"> </w:t>
      </w:r>
      <w:r w:rsidRPr="003F5B89">
        <w:rPr>
          <w:rFonts w:cs="Arial" w:hint="cs"/>
          <w:rtl/>
        </w:rPr>
        <w:t>חדשי</w:t>
      </w:r>
      <w:r w:rsidRPr="003F5B89">
        <w:rPr>
          <w:rFonts w:cs="Arial"/>
          <w:rtl/>
        </w:rPr>
        <w:t xml:space="preserve"> </w:t>
      </w:r>
      <w:r w:rsidRPr="003F5B89">
        <w:rPr>
          <w:rFonts w:cs="Arial" w:hint="cs"/>
          <w:rtl/>
        </w:rPr>
        <w:t>השנה</w:t>
      </w:r>
      <w:r w:rsidRPr="003F5B89">
        <w:rPr>
          <w:rFonts w:cs="Arial"/>
          <w:rtl/>
        </w:rPr>
        <w:t xml:space="preserve"> </w:t>
      </w:r>
      <w:r w:rsidRPr="003F5B89">
        <w:rPr>
          <w:rFonts w:cs="Arial" w:hint="cs"/>
          <w:rtl/>
        </w:rPr>
        <w:t>ג</w:t>
      </w:r>
      <w:r w:rsidRPr="003F5B89">
        <w:rPr>
          <w:rFonts w:cs="Arial"/>
          <w:rtl/>
        </w:rPr>
        <w:t xml:space="preserve">' </w:t>
      </w:r>
      <w:r w:rsidRPr="003F5B89">
        <w:rPr>
          <w:rFonts w:cs="Arial" w:hint="cs"/>
          <w:rtl/>
        </w:rPr>
        <w:t>ימים</w:t>
      </w:r>
      <w:r w:rsidRPr="003F5B89">
        <w:rPr>
          <w:rFonts w:cs="Arial"/>
          <w:rtl/>
        </w:rPr>
        <w:t xml:space="preserve"> </w:t>
      </w:r>
      <w:r w:rsidRPr="003F5B89">
        <w:rPr>
          <w:rFonts w:cs="Arial" w:hint="cs"/>
          <w:rtl/>
        </w:rPr>
        <w:t>בכל</w:t>
      </w:r>
      <w:r w:rsidRPr="003F5B89">
        <w:rPr>
          <w:rFonts w:cs="Arial"/>
          <w:rtl/>
        </w:rPr>
        <w:t xml:space="preserve"> </w:t>
      </w:r>
      <w:r w:rsidRPr="003F5B89">
        <w:rPr>
          <w:rFonts w:cs="Arial" w:hint="cs"/>
          <w:rtl/>
        </w:rPr>
        <w:t>חודש</w:t>
      </w:r>
      <w:r w:rsidRPr="003F5B89">
        <w:rPr>
          <w:rFonts w:cs="Arial"/>
          <w:rtl/>
        </w:rPr>
        <w:t xml:space="preserve"> </w:t>
      </w:r>
      <w:r w:rsidRPr="003F5B89">
        <w:rPr>
          <w:rFonts w:cs="Arial" w:hint="cs"/>
          <w:rtl/>
        </w:rPr>
        <w:t>שני</w:t>
      </w:r>
      <w:r w:rsidRPr="003F5B89">
        <w:rPr>
          <w:rFonts w:cs="Arial"/>
          <w:rtl/>
        </w:rPr>
        <w:t xml:space="preserve"> </w:t>
      </w:r>
      <w:r w:rsidRPr="003F5B89">
        <w:rPr>
          <w:rFonts w:cs="Arial" w:hint="cs"/>
          <w:rtl/>
        </w:rPr>
        <w:t>וחמישי</w:t>
      </w:r>
      <w:r w:rsidRPr="003F5B89">
        <w:rPr>
          <w:rFonts w:cs="Arial"/>
          <w:rtl/>
        </w:rPr>
        <w:t xml:space="preserve"> </w:t>
      </w:r>
      <w:r w:rsidRPr="003F5B89">
        <w:rPr>
          <w:rFonts w:cs="Arial" w:hint="cs"/>
          <w:rtl/>
        </w:rPr>
        <w:t>ושני</w:t>
      </w:r>
      <w:r w:rsidRPr="003F5B89">
        <w:rPr>
          <w:rFonts w:cs="Arial"/>
          <w:rtl/>
        </w:rPr>
        <w:t xml:space="preserve"> </w:t>
      </w:r>
      <w:r w:rsidRPr="003F5B89">
        <w:rPr>
          <w:rFonts w:cs="Arial" w:hint="cs"/>
          <w:rtl/>
        </w:rPr>
        <w:t>שהם</w:t>
      </w:r>
      <w:r w:rsidRPr="003F5B89">
        <w:rPr>
          <w:rFonts w:cs="Arial"/>
          <w:rtl/>
        </w:rPr>
        <w:t xml:space="preserve"> </w:t>
      </w:r>
      <w:r w:rsidRPr="003F5B89">
        <w:rPr>
          <w:rFonts w:cs="Arial" w:hint="cs"/>
          <w:rtl/>
        </w:rPr>
        <w:t>ל</w:t>
      </w:r>
      <w:r w:rsidRPr="003F5B89">
        <w:rPr>
          <w:rFonts w:cs="Arial"/>
          <w:rtl/>
        </w:rPr>
        <w:t>"</w:t>
      </w:r>
      <w:r w:rsidRPr="003F5B89">
        <w:rPr>
          <w:rFonts w:cs="Arial" w:hint="cs"/>
          <w:rtl/>
        </w:rPr>
        <w:t>ו</w:t>
      </w:r>
      <w:r w:rsidRPr="003F5B89">
        <w:rPr>
          <w:rFonts w:cs="Arial"/>
          <w:rtl/>
        </w:rPr>
        <w:t xml:space="preserve"> </w:t>
      </w:r>
      <w:r w:rsidRPr="003F5B89">
        <w:rPr>
          <w:rFonts w:cs="Arial" w:hint="cs"/>
          <w:rtl/>
        </w:rPr>
        <w:t>ימים</w:t>
      </w:r>
      <w:r w:rsidRPr="003F5B89">
        <w:rPr>
          <w:rFonts w:cs="Arial"/>
          <w:rtl/>
        </w:rPr>
        <w:t xml:space="preserve"> </w:t>
      </w:r>
      <w:r w:rsidRPr="003F5B89">
        <w:rPr>
          <w:rFonts w:cs="Arial" w:hint="cs"/>
          <w:rtl/>
        </w:rPr>
        <w:t>כנגד</w:t>
      </w:r>
      <w:r w:rsidRPr="003F5B89">
        <w:rPr>
          <w:rFonts w:cs="Arial"/>
          <w:rtl/>
        </w:rPr>
        <w:t xml:space="preserve"> </w:t>
      </w:r>
      <w:r w:rsidRPr="003F5B89">
        <w:rPr>
          <w:rFonts w:cs="Arial" w:hint="cs"/>
          <w:rtl/>
        </w:rPr>
        <w:t>ל</w:t>
      </w:r>
      <w:r w:rsidRPr="003F5B89">
        <w:rPr>
          <w:rFonts w:cs="Arial"/>
          <w:rtl/>
        </w:rPr>
        <w:t>"</w:t>
      </w:r>
      <w:r w:rsidRPr="003F5B89">
        <w:rPr>
          <w:rFonts w:cs="Arial" w:hint="cs"/>
          <w:rtl/>
        </w:rPr>
        <w:t>ו</w:t>
      </w:r>
      <w:r w:rsidRPr="003F5B89">
        <w:rPr>
          <w:rFonts w:cs="Arial"/>
          <w:rtl/>
        </w:rPr>
        <w:t xml:space="preserve"> </w:t>
      </w:r>
      <w:r w:rsidRPr="003F5B89">
        <w:rPr>
          <w:rFonts w:cs="Arial" w:hint="cs"/>
          <w:rtl/>
        </w:rPr>
        <w:t>כריתות</w:t>
      </w:r>
      <w:r w:rsidRPr="003F5B89">
        <w:rPr>
          <w:rFonts w:cs="Arial"/>
          <w:rtl/>
        </w:rPr>
        <w:t xml:space="preserve"> </w:t>
      </w:r>
      <w:r w:rsidRPr="003F5B89">
        <w:rPr>
          <w:rFonts w:cs="Arial" w:hint="cs"/>
          <w:rtl/>
        </w:rPr>
        <w:t>שבתורה</w:t>
      </w:r>
      <w:r>
        <w:rPr>
          <w:rFonts w:cs="Arial" w:hint="cs"/>
          <w:rtl/>
        </w:rPr>
        <w:t>.</w:t>
      </w:r>
      <w:r w:rsidRPr="003F5B89">
        <w:rPr>
          <w:rFonts w:cs="Arial"/>
          <w:rtl/>
        </w:rPr>
        <w:t xml:space="preserve"> </w:t>
      </w:r>
      <w:r w:rsidRPr="003F5B89">
        <w:rPr>
          <w:rFonts w:cs="Arial" w:hint="cs"/>
          <w:rtl/>
        </w:rPr>
        <w:t>אבל</w:t>
      </w:r>
      <w:r w:rsidRPr="003F5B89">
        <w:rPr>
          <w:rFonts w:cs="Arial"/>
          <w:rtl/>
        </w:rPr>
        <w:t xml:space="preserve"> </w:t>
      </w:r>
      <w:r w:rsidRPr="003F5B89">
        <w:rPr>
          <w:rFonts w:cs="Arial" w:hint="cs"/>
          <w:rtl/>
        </w:rPr>
        <w:t>אם</w:t>
      </w:r>
      <w:r w:rsidRPr="003F5B89">
        <w:rPr>
          <w:rFonts w:cs="Arial"/>
          <w:rtl/>
        </w:rPr>
        <w:t xml:space="preserve"> </w:t>
      </w:r>
      <w:r w:rsidRPr="003F5B89">
        <w:rPr>
          <w:rFonts w:cs="Arial" w:hint="cs"/>
          <w:rtl/>
        </w:rPr>
        <w:t>חס</w:t>
      </w:r>
      <w:r w:rsidRPr="003F5B89">
        <w:rPr>
          <w:rFonts w:cs="Arial"/>
          <w:rtl/>
        </w:rPr>
        <w:t xml:space="preserve"> </w:t>
      </w:r>
      <w:r w:rsidRPr="003F5B89">
        <w:rPr>
          <w:rFonts w:cs="Arial" w:hint="cs"/>
          <w:rtl/>
        </w:rPr>
        <w:t>ושלום</w:t>
      </w:r>
      <w:r w:rsidRPr="003F5B89">
        <w:rPr>
          <w:rFonts w:cs="Arial"/>
          <w:rtl/>
        </w:rPr>
        <w:t xml:space="preserve"> </w:t>
      </w:r>
      <w:r w:rsidRPr="003F5B89">
        <w:rPr>
          <w:rFonts w:cs="Arial" w:hint="cs"/>
          <w:rtl/>
        </w:rPr>
        <w:t>היו</w:t>
      </w:r>
      <w:r w:rsidRPr="003F5B89">
        <w:rPr>
          <w:rFonts w:cs="Arial"/>
          <w:rtl/>
        </w:rPr>
        <w:t xml:space="preserve"> </w:t>
      </w:r>
      <w:r w:rsidRPr="003F5B89">
        <w:rPr>
          <w:rFonts w:cs="Arial" w:hint="cs"/>
          <w:rtl/>
        </w:rPr>
        <w:t>עושין</w:t>
      </w:r>
      <w:r w:rsidRPr="003F5B89">
        <w:rPr>
          <w:rFonts w:cs="Arial"/>
          <w:rtl/>
        </w:rPr>
        <w:t xml:space="preserve"> </w:t>
      </w:r>
      <w:r w:rsidRPr="003F5B89">
        <w:rPr>
          <w:rFonts w:cs="Arial" w:hint="cs"/>
          <w:rtl/>
        </w:rPr>
        <w:t>כן</w:t>
      </w:r>
      <w:r w:rsidRPr="003F5B89">
        <w:rPr>
          <w:rFonts w:cs="Arial"/>
          <w:rtl/>
        </w:rPr>
        <w:t xml:space="preserve"> </w:t>
      </w:r>
      <w:r w:rsidRPr="003F5B89">
        <w:rPr>
          <w:rFonts w:cs="Arial" w:hint="cs"/>
          <w:rtl/>
        </w:rPr>
        <w:t>בזדון</w:t>
      </w:r>
      <w:r w:rsidRPr="003F5B89">
        <w:rPr>
          <w:rFonts w:cs="Arial"/>
          <w:rtl/>
        </w:rPr>
        <w:t xml:space="preserve"> </w:t>
      </w:r>
      <w:r w:rsidRPr="003F5B89">
        <w:rPr>
          <w:rFonts w:cs="Arial" w:hint="cs"/>
          <w:rtl/>
        </w:rPr>
        <w:t>היו</w:t>
      </w:r>
      <w:r w:rsidRPr="003F5B89">
        <w:rPr>
          <w:rFonts w:cs="Arial"/>
          <w:rtl/>
        </w:rPr>
        <w:t xml:space="preserve"> </w:t>
      </w:r>
      <w:r w:rsidRPr="003F5B89">
        <w:rPr>
          <w:rFonts w:cs="Arial" w:hint="cs"/>
          <w:rtl/>
        </w:rPr>
        <w:t>מחמירין</w:t>
      </w:r>
      <w:r w:rsidRPr="003F5B89">
        <w:rPr>
          <w:rFonts w:cs="Arial"/>
          <w:rtl/>
        </w:rPr>
        <w:t xml:space="preserve"> </w:t>
      </w:r>
      <w:r w:rsidRPr="003F5B89">
        <w:rPr>
          <w:rFonts w:cs="Arial" w:hint="cs"/>
          <w:rtl/>
        </w:rPr>
        <w:t>להוסיף</w:t>
      </w:r>
      <w:r w:rsidRPr="003F5B89">
        <w:rPr>
          <w:rFonts w:cs="Arial"/>
          <w:rtl/>
        </w:rPr>
        <w:t xml:space="preserve"> </w:t>
      </w:r>
      <w:r w:rsidRPr="003F5B89">
        <w:rPr>
          <w:rFonts w:cs="Arial" w:hint="cs"/>
          <w:rtl/>
        </w:rPr>
        <w:t>עליהם</w:t>
      </w:r>
      <w:r w:rsidRPr="003F5B89">
        <w:rPr>
          <w:rFonts w:cs="Arial"/>
          <w:rtl/>
        </w:rPr>
        <w:t xml:space="preserve"> </w:t>
      </w:r>
      <w:r w:rsidRPr="003F5B89">
        <w:rPr>
          <w:rFonts w:cs="Arial" w:hint="cs"/>
          <w:rtl/>
        </w:rPr>
        <w:t>עוד</w:t>
      </w:r>
      <w:r w:rsidRPr="003F5B89">
        <w:rPr>
          <w:rFonts w:cs="Arial"/>
          <w:rtl/>
        </w:rPr>
        <w:t xml:space="preserve"> </w:t>
      </w:r>
      <w:r w:rsidRPr="003F5B89">
        <w:rPr>
          <w:rFonts w:cs="Arial" w:hint="cs"/>
          <w:rtl/>
        </w:rPr>
        <w:t>שלא</w:t>
      </w:r>
      <w:r w:rsidRPr="003F5B89">
        <w:rPr>
          <w:rFonts w:cs="Arial"/>
          <w:rtl/>
        </w:rPr>
        <w:t xml:space="preserve"> </w:t>
      </w:r>
      <w:r w:rsidRPr="003F5B89">
        <w:rPr>
          <w:rFonts w:cs="Arial" w:hint="cs"/>
          <w:rtl/>
        </w:rPr>
        <w:t>להתגלח</w:t>
      </w:r>
      <w:r w:rsidRPr="003F5B89">
        <w:rPr>
          <w:rFonts w:cs="Arial"/>
          <w:rtl/>
        </w:rPr>
        <w:t xml:space="preserve"> </w:t>
      </w:r>
      <w:r w:rsidRPr="003F5B89">
        <w:rPr>
          <w:rFonts w:cs="Arial" w:hint="cs"/>
          <w:rtl/>
        </w:rPr>
        <w:t>ולהתנדותם</w:t>
      </w:r>
      <w:r w:rsidRPr="003F5B89">
        <w:rPr>
          <w:rFonts w:cs="Arial"/>
          <w:rtl/>
        </w:rPr>
        <w:t xml:space="preserve"> </w:t>
      </w:r>
      <w:r w:rsidRPr="003F5B89">
        <w:rPr>
          <w:rFonts w:cs="Arial" w:hint="cs"/>
          <w:rtl/>
        </w:rPr>
        <w:t>שלשים</w:t>
      </w:r>
      <w:r w:rsidRPr="003F5B89">
        <w:rPr>
          <w:rFonts w:cs="Arial"/>
          <w:rtl/>
        </w:rPr>
        <w:t xml:space="preserve"> </w:t>
      </w:r>
      <w:r w:rsidRPr="003F5B89">
        <w:rPr>
          <w:rFonts w:cs="Arial" w:hint="cs"/>
          <w:rtl/>
        </w:rPr>
        <w:t>יום</w:t>
      </w:r>
      <w:r>
        <w:rPr>
          <w:rFonts w:cs="Arial" w:hint="cs"/>
          <w:rtl/>
        </w:rPr>
        <w:t>.</w:t>
      </w:r>
      <w:r w:rsidRPr="003F5B89">
        <w:rPr>
          <w:rFonts w:cs="Arial"/>
          <w:rtl/>
        </w:rPr>
        <w:t xml:space="preserve"> </w:t>
      </w:r>
      <w:r w:rsidRPr="003F5B89">
        <w:rPr>
          <w:rFonts w:cs="Arial" w:hint="cs"/>
          <w:rtl/>
        </w:rPr>
        <w:t>וכל</w:t>
      </w:r>
      <w:r w:rsidRPr="003F5B89">
        <w:rPr>
          <w:rFonts w:cs="Arial"/>
          <w:rtl/>
        </w:rPr>
        <w:t xml:space="preserve"> </w:t>
      </w:r>
      <w:r w:rsidRPr="003F5B89">
        <w:rPr>
          <w:rFonts w:cs="Arial" w:hint="cs"/>
          <w:rtl/>
        </w:rPr>
        <w:t>המחמיר</w:t>
      </w:r>
      <w:r w:rsidRPr="003F5B89">
        <w:rPr>
          <w:rFonts w:cs="Arial"/>
          <w:rtl/>
        </w:rPr>
        <w:t xml:space="preserve"> </w:t>
      </w:r>
      <w:r w:rsidRPr="003F5B89">
        <w:rPr>
          <w:rFonts w:cs="Arial" w:hint="cs"/>
          <w:rtl/>
        </w:rPr>
        <w:t>בזה</w:t>
      </w:r>
      <w:r w:rsidRPr="003F5B89">
        <w:rPr>
          <w:rFonts w:cs="Arial"/>
          <w:rtl/>
        </w:rPr>
        <w:t xml:space="preserve"> </w:t>
      </w:r>
      <w:r w:rsidRPr="003F5B89">
        <w:rPr>
          <w:rFonts w:cs="Arial" w:hint="cs"/>
          <w:rtl/>
        </w:rPr>
        <w:t>יניחו</w:t>
      </w:r>
      <w:r w:rsidRPr="003F5B89">
        <w:rPr>
          <w:rFonts w:cs="Arial"/>
          <w:rtl/>
        </w:rPr>
        <w:t xml:space="preserve"> </w:t>
      </w:r>
      <w:r w:rsidRPr="003F5B89">
        <w:rPr>
          <w:rFonts w:cs="Arial" w:hint="cs"/>
          <w:rtl/>
        </w:rPr>
        <w:t>לו</w:t>
      </w:r>
      <w:r w:rsidRPr="003F5B89">
        <w:rPr>
          <w:rFonts w:cs="Arial"/>
          <w:rtl/>
        </w:rPr>
        <w:t xml:space="preserve"> </w:t>
      </w:r>
      <w:r w:rsidRPr="003F5B89">
        <w:rPr>
          <w:rFonts w:cs="Arial" w:hint="cs"/>
          <w:rtl/>
        </w:rPr>
        <w:t>ברכות</w:t>
      </w:r>
      <w:r w:rsidRPr="003F5B89">
        <w:rPr>
          <w:rFonts w:cs="Arial"/>
          <w:rtl/>
        </w:rPr>
        <w:t xml:space="preserve"> </w:t>
      </w:r>
      <w:r w:rsidRPr="003F5B89">
        <w:rPr>
          <w:rFonts w:cs="Arial" w:hint="cs"/>
          <w:rtl/>
        </w:rPr>
        <w:t>על</w:t>
      </w:r>
      <w:r w:rsidRPr="003F5B89">
        <w:rPr>
          <w:rFonts w:cs="Arial"/>
          <w:rtl/>
        </w:rPr>
        <w:t xml:space="preserve"> </w:t>
      </w:r>
      <w:r w:rsidRPr="003F5B89">
        <w:rPr>
          <w:rFonts w:cs="Arial" w:hint="cs"/>
          <w:rtl/>
        </w:rPr>
        <w:t>ראשו</w:t>
      </w:r>
      <w:r>
        <w:rPr>
          <w:rFonts w:cs="Arial" w:hint="cs"/>
          <w:rtl/>
        </w:rPr>
        <w:t>.</w:t>
      </w:r>
    </w:p>
    <w:p w14:paraId="4A4BF3B7" w14:textId="77777777" w:rsidR="004B2E7C" w:rsidRPr="00B6712D" w:rsidRDefault="004B2E7C" w:rsidP="00434A6A">
      <w:pPr>
        <w:rPr>
          <w:u w:val="single"/>
        </w:rPr>
      </w:pPr>
      <w:r w:rsidRPr="00B6712D">
        <w:rPr>
          <w:rFonts w:hint="cs"/>
          <w:u w:val="single"/>
          <w:rtl/>
        </w:rPr>
        <w:t xml:space="preserve">מי שעבר עבירה בשבת </w:t>
      </w:r>
      <w:r w:rsidRPr="00B6712D">
        <w:rPr>
          <w:rFonts w:hint="cs"/>
          <w:sz w:val="16"/>
          <w:szCs w:val="16"/>
          <w:u w:val="single"/>
          <w:rtl/>
        </w:rPr>
        <w:t>(או בחול אבל נזכרו/התודעו בשבת)</w:t>
      </w:r>
      <w:r w:rsidRPr="00B6712D">
        <w:rPr>
          <w:rFonts w:hint="cs"/>
          <w:u w:val="single"/>
          <w:rtl/>
        </w:rPr>
        <w:t xml:space="preserve"> </w:t>
      </w:r>
      <w:r w:rsidRPr="00B6712D">
        <w:rPr>
          <w:u w:val="single"/>
          <w:rtl/>
        </w:rPr>
        <w:t>–</w:t>
      </w:r>
      <w:r w:rsidRPr="00B6712D">
        <w:rPr>
          <w:rFonts w:hint="cs"/>
          <w:u w:val="single"/>
          <w:rtl/>
        </w:rPr>
        <w:t xml:space="preserve"> האם אפשר להענישו בשבת:</w:t>
      </w:r>
    </w:p>
    <w:p w14:paraId="5ED19A81" w14:textId="77777777" w:rsidR="004B2E7C" w:rsidRPr="0075388A" w:rsidRDefault="004B2E7C" w:rsidP="00FF2D21">
      <w:pPr>
        <w:pStyle w:val="aa"/>
        <w:numPr>
          <w:ilvl w:val="0"/>
          <w:numId w:val="89"/>
        </w:numPr>
        <w:rPr>
          <w:rtl/>
        </w:rPr>
      </w:pPr>
      <w:r w:rsidRPr="003F5B89">
        <w:rPr>
          <w:rFonts w:cs="Arial" w:hint="cs"/>
          <w:rtl/>
        </w:rPr>
        <w:t>שב</w:t>
      </w:r>
      <w:r>
        <w:rPr>
          <w:rFonts w:cs="Arial" w:hint="cs"/>
          <w:rtl/>
        </w:rPr>
        <w:t>ה"ל</w:t>
      </w:r>
      <w:r w:rsidRPr="003F5B89">
        <w:rPr>
          <w:rFonts w:cs="Arial"/>
          <w:rtl/>
        </w:rPr>
        <w:t xml:space="preserve"> </w:t>
      </w:r>
      <w:r w:rsidRPr="00B6712D">
        <w:rPr>
          <w:rFonts w:cs="Arial"/>
          <w:sz w:val="16"/>
          <w:szCs w:val="16"/>
          <w:rtl/>
        </w:rPr>
        <w:t>(</w:t>
      </w:r>
      <w:r w:rsidRPr="00B6712D">
        <w:rPr>
          <w:rFonts w:cs="Arial" w:hint="cs"/>
          <w:sz w:val="16"/>
          <w:szCs w:val="16"/>
          <w:rtl/>
        </w:rPr>
        <w:t>סי</w:t>
      </w:r>
      <w:r w:rsidRPr="00B6712D">
        <w:rPr>
          <w:rFonts w:cs="Arial"/>
          <w:sz w:val="16"/>
          <w:szCs w:val="16"/>
          <w:rtl/>
        </w:rPr>
        <w:t xml:space="preserve">' </w:t>
      </w:r>
      <w:r w:rsidRPr="00B6712D">
        <w:rPr>
          <w:rFonts w:cs="Arial" w:hint="cs"/>
          <w:sz w:val="16"/>
          <w:szCs w:val="16"/>
          <w:rtl/>
        </w:rPr>
        <w:t>ס</w:t>
      </w:r>
      <w:r w:rsidRPr="00B6712D">
        <w:rPr>
          <w:rFonts w:cs="Arial"/>
          <w:sz w:val="16"/>
          <w:szCs w:val="16"/>
          <w:rtl/>
        </w:rPr>
        <w:t>)</w:t>
      </w:r>
      <w:r>
        <w:rPr>
          <w:rFonts w:cs="Arial" w:hint="cs"/>
          <w:rtl/>
        </w:rPr>
        <w:t xml:space="preserve">- </w:t>
      </w:r>
      <w:r w:rsidRPr="003F5B89">
        <w:rPr>
          <w:rFonts w:cs="Arial" w:hint="cs"/>
          <w:rtl/>
        </w:rPr>
        <w:t>שאלה</w:t>
      </w:r>
      <w:r w:rsidRPr="003F5B89">
        <w:rPr>
          <w:rFonts w:cs="Arial"/>
          <w:rtl/>
        </w:rPr>
        <w:t xml:space="preserve"> </w:t>
      </w:r>
      <w:r w:rsidRPr="003F5B89">
        <w:rPr>
          <w:rFonts w:cs="Arial" w:hint="cs"/>
          <w:rtl/>
        </w:rPr>
        <w:t>לרב</w:t>
      </w:r>
      <w:r w:rsidRPr="003F5B89">
        <w:rPr>
          <w:rFonts w:cs="Arial"/>
          <w:rtl/>
        </w:rPr>
        <w:t xml:space="preserve"> </w:t>
      </w:r>
      <w:r w:rsidRPr="003F5B89">
        <w:rPr>
          <w:rFonts w:cs="Arial" w:hint="cs"/>
          <w:rtl/>
        </w:rPr>
        <w:t>שרירא</w:t>
      </w:r>
      <w:r w:rsidRPr="003F5B89">
        <w:rPr>
          <w:rFonts w:cs="Arial"/>
          <w:rtl/>
        </w:rPr>
        <w:t xml:space="preserve"> </w:t>
      </w:r>
      <w:r w:rsidRPr="003F5B89">
        <w:rPr>
          <w:rFonts w:cs="Arial" w:hint="cs"/>
          <w:rtl/>
        </w:rPr>
        <w:t>גאון</w:t>
      </w:r>
      <w:r w:rsidRPr="003F5B89">
        <w:rPr>
          <w:rFonts w:cs="Arial"/>
          <w:rtl/>
        </w:rPr>
        <w:t xml:space="preserve"> </w:t>
      </w:r>
      <w:r w:rsidRPr="003F5B89">
        <w:rPr>
          <w:rFonts w:cs="Arial" w:hint="cs"/>
          <w:rtl/>
        </w:rPr>
        <w:t>מי</w:t>
      </w:r>
      <w:r w:rsidRPr="003F5B89">
        <w:rPr>
          <w:rFonts w:cs="Arial"/>
          <w:rtl/>
        </w:rPr>
        <w:t xml:space="preserve"> </w:t>
      </w:r>
      <w:r w:rsidRPr="003F5B89">
        <w:rPr>
          <w:rFonts w:cs="Arial" w:hint="cs"/>
          <w:rtl/>
        </w:rPr>
        <w:t>שעבר</w:t>
      </w:r>
      <w:r w:rsidRPr="003F5B89">
        <w:rPr>
          <w:rFonts w:cs="Arial"/>
          <w:rtl/>
        </w:rPr>
        <w:t xml:space="preserve"> </w:t>
      </w:r>
      <w:r w:rsidRPr="003F5B89">
        <w:rPr>
          <w:rFonts w:cs="Arial" w:hint="cs"/>
          <w:rtl/>
        </w:rPr>
        <w:t>עבירה</w:t>
      </w:r>
      <w:r w:rsidRPr="003F5B89">
        <w:rPr>
          <w:rFonts w:cs="Arial"/>
          <w:rtl/>
        </w:rPr>
        <w:t xml:space="preserve"> </w:t>
      </w:r>
      <w:r w:rsidRPr="003F5B89">
        <w:rPr>
          <w:rFonts w:cs="Arial" w:hint="cs"/>
          <w:rtl/>
        </w:rPr>
        <w:t>בשבת</w:t>
      </w:r>
      <w:r w:rsidRPr="003F5B89">
        <w:rPr>
          <w:rFonts w:cs="Arial"/>
          <w:rtl/>
        </w:rPr>
        <w:t xml:space="preserve"> </w:t>
      </w:r>
      <w:r w:rsidRPr="003F5B89">
        <w:rPr>
          <w:rFonts w:cs="Arial" w:hint="cs"/>
          <w:rtl/>
        </w:rPr>
        <w:t>או</w:t>
      </w:r>
      <w:r w:rsidRPr="003F5B89">
        <w:rPr>
          <w:rFonts w:cs="Arial"/>
          <w:rtl/>
        </w:rPr>
        <w:t xml:space="preserve"> </w:t>
      </w:r>
      <w:r w:rsidRPr="003F5B89">
        <w:rPr>
          <w:rFonts w:cs="Arial" w:hint="cs"/>
          <w:rtl/>
        </w:rPr>
        <w:t>בחול</w:t>
      </w:r>
      <w:r w:rsidRPr="003F5B89">
        <w:rPr>
          <w:rFonts w:cs="Arial"/>
          <w:rtl/>
        </w:rPr>
        <w:t xml:space="preserve"> </w:t>
      </w:r>
      <w:r w:rsidRPr="003F5B89">
        <w:rPr>
          <w:rFonts w:cs="Arial" w:hint="cs"/>
          <w:rtl/>
        </w:rPr>
        <w:t>ולא</w:t>
      </w:r>
      <w:r w:rsidRPr="003F5B89">
        <w:rPr>
          <w:rFonts w:cs="Arial"/>
          <w:rtl/>
        </w:rPr>
        <w:t xml:space="preserve"> </w:t>
      </w:r>
      <w:r w:rsidRPr="003F5B89">
        <w:rPr>
          <w:rFonts w:cs="Arial" w:hint="cs"/>
          <w:rtl/>
        </w:rPr>
        <w:t>נזכר</w:t>
      </w:r>
      <w:r w:rsidRPr="003F5B89">
        <w:rPr>
          <w:rFonts w:cs="Arial"/>
          <w:rtl/>
        </w:rPr>
        <w:t xml:space="preserve"> </w:t>
      </w:r>
      <w:r w:rsidRPr="003F5B89">
        <w:rPr>
          <w:rFonts w:cs="Arial" w:hint="cs"/>
          <w:rtl/>
        </w:rPr>
        <w:t>אלא</w:t>
      </w:r>
      <w:r w:rsidRPr="003F5B89">
        <w:rPr>
          <w:rFonts w:cs="Arial"/>
          <w:rtl/>
        </w:rPr>
        <w:t xml:space="preserve"> </w:t>
      </w:r>
      <w:r w:rsidRPr="003F5B89">
        <w:rPr>
          <w:rFonts w:cs="Arial" w:hint="cs"/>
          <w:rtl/>
        </w:rPr>
        <w:t>בשבת</w:t>
      </w:r>
      <w:r w:rsidRPr="003F5B89">
        <w:rPr>
          <w:rFonts w:cs="Arial"/>
          <w:rtl/>
        </w:rPr>
        <w:t xml:space="preserve"> </w:t>
      </w:r>
      <w:r w:rsidRPr="003F5B89">
        <w:rPr>
          <w:rFonts w:cs="Arial" w:hint="cs"/>
          <w:rtl/>
        </w:rPr>
        <w:t>ומתייראין</w:t>
      </w:r>
      <w:r w:rsidRPr="003F5B89">
        <w:rPr>
          <w:rFonts w:cs="Arial"/>
          <w:rtl/>
        </w:rPr>
        <w:t xml:space="preserve"> </w:t>
      </w:r>
      <w:r w:rsidRPr="003F5B89">
        <w:rPr>
          <w:rFonts w:cs="Arial" w:hint="cs"/>
          <w:rtl/>
        </w:rPr>
        <w:t>שמא</w:t>
      </w:r>
      <w:r w:rsidRPr="003F5B89">
        <w:rPr>
          <w:rFonts w:cs="Arial"/>
          <w:rtl/>
        </w:rPr>
        <w:t xml:space="preserve"> </w:t>
      </w:r>
      <w:r w:rsidRPr="003F5B89">
        <w:rPr>
          <w:rFonts w:cs="Arial" w:hint="cs"/>
          <w:rtl/>
        </w:rPr>
        <w:t>יברח</w:t>
      </w:r>
      <w:r w:rsidRPr="003F5B89">
        <w:rPr>
          <w:rFonts w:cs="Arial"/>
          <w:rtl/>
        </w:rPr>
        <w:t xml:space="preserve"> </w:t>
      </w:r>
      <w:r w:rsidRPr="003F5B89">
        <w:rPr>
          <w:rFonts w:cs="Arial" w:hint="cs"/>
          <w:rtl/>
        </w:rPr>
        <w:t>למוצאי</w:t>
      </w:r>
      <w:r w:rsidRPr="003F5B89">
        <w:rPr>
          <w:rFonts w:cs="Arial"/>
          <w:rtl/>
        </w:rPr>
        <w:t xml:space="preserve"> </w:t>
      </w:r>
      <w:r w:rsidRPr="003F5B89">
        <w:rPr>
          <w:rFonts w:cs="Arial" w:hint="cs"/>
          <w:rtl/>
        </w:rPr>
        <w:t>שבת</w:t>
      </w:r>
      <w:r w:rsidRPr="003F5B89">
        <w:rPr>
          <w:rFonts w:cs="Arial"/>
          <w:rtl/>
        </w:rPr>
        <w:t xml:space="preserve"> </w:t>
      </w:r>
      <w:r w:rsidRPr="003F5B89">
        <w:rPr>
          <w:rFonts w:cs="Arial" w:hint="cs"/>
          <w:rtl/>
        </w:rPr>
        <w:t>יכניסוהו</w:t>
      </w:r>
      <w:r w:rsidRPr="003F5B89">
        <w:rPr>
          <w:rFonts w:cs="Arial"/>
          <w:rtl/>
        </w:rPr>
        <w:t xml:space="preserve"> </w:t>
      </w:r>
      <w:r w:rsidRPr="003F5B89">
        <w:rPr>
          <w:rFonts w:cs="Arial" w:hint="cs"/>
          <w:rtl/>
        </w:rPr>
        <w:t>לבית</w:t>
      </w:r>
      <w:r w:rsidRPr="003F5B89">
        <w:rPr>
          <w:rFonts w:cs="Arial"/>
          <w:rtl/>
        </w:rPr>
        <w:t xml:space="preserve"> </w:t>
      </w:r>
      <w:r w:rsidRPr="003F5B89">
        <w:rPr>
          <w:rFonts w:cs="Arial" w:hint="cs"/>
          <w:rtl/>
        </w:rPr>
        <w:t>הסוהר</w:t>
      </w:r>
      <w:r w:rsidRPr="003F5B89">
        <w:rPr>
          <w:rFonts w:cs="Arial"/>
          <w:rtl/>
        </w:rPr>
        <w:t xml:space="preserve"> </w:t>
      </w:r>
      <w:r w:rsidRPr="003F5B89">
        <w:rPr>
          <w:rFonts w:cs="Arial" w:hint="cs"/>
          <w:rtl/>
        </w:rPr>
        <w:t>עד</w:t>
      </w:r>
      <w:r w:rsidRPr="003F5B89">
        <w:rPr>
          <w:rFonts w:cs="Arial"/>
          <w:rtl/>
        </w:rPr>
        <w:t xml:space="preserve"> </w:t>
      </w:r>
      <w:r w:rsidRPr="003F5B89">
        <w:rPr>
          <w:rFonts w:cs="Arial" w:hint="cs"/>
          <w:rtl/>
        </w:rPr>
        <w:t>מוצאי</w:t>
      </w:r>
      <w:r w:rsidRPr="003F5B89">
        <w:rPr>
          <w:rFonts w:cs="Arial"/>
          <w:rtl/>
        </w:rPr>
        <w:t xml:space="preserve"> </w:t>
      </w:r>
      <w:r w:rsidRPr="003F5B89">
        <w:rPr>
          <w:rFonts w:cs="Arial" w:hint="cs"/>
          <w:rtl/>
        </w:rPr>
        <w:t>שבת</w:t>
      </w:r>
      <w:r w:rsidRPr="003F5B89">
        <w:rPr>
          <w:rFonts w:cs="Arial"/>
          <w:rtl/>
        </w:rPr>
        <w:t xml:space="preserve"> </w:t>
      </w:r>
      <w:r w:rsidRPr="003F5B89">
        <w:rPr>
          <w:rFonts w:cs="Arial" w:hint="cs"/>
          <w:rtl/>
        </w:rPr>
        <w:t>או</w:t>
      </w:r>
      <w:r w:rsidRPr="003F5B89">
        <w:rPr>
          <w:rFonts w:cs="Arial"/>
          <w:rtl/>
        </w:rPr>
        <w:t xml:space="preserve"> </w:t>
      </w:r>
      <w:r w:rsidRPr="003F5B89">
        <w:rPr>
          <w:rFonts w:cs="Arial" w:hint="cs"/>
          <w:rtl/>
        </w:rPr>
        <w:t>ילקוהו</w:t>
      </w:r>
      <w:r w:rsidRPr="003F5B89">
        <w:rPr>
          <w:rFonts w:cs="Arial"/>
          <w:rtl/>
        </w:rPr>
        <w:t xml:space="preserve"> </w:t>
      </w:r>
      <w:r w:rsidRPr="003F5B89">
        <w:rPr>
          <w:rFonts w:cs="Arial" w:hint="cs"/>
          <w:rtl/>
        </w:rPr>
        <w:t>בשבת</w:t>
      </w:r>
      <w:r w:rsidRPr="003F5B89">
        <w:rPr>
          <w:rFonts w:cs="Arial"/>
          <w:rtl/>
        </w:rPr>
        <w:t xml:space="preserve"> </w:t>
      </w:r>
      <w:r w:rsidRPr="003F5B89">
        <w:rPr>
          <w:rFonts w:cs="Arial" w:hint="cs"/>
          <w:rtl/>
        </w:rPr>
        <w:t>והשיב</w:t>
      </w:r>
      <w:r w:rsidRPr="003F5B89">
        <w:rPr>
          <w:rFonts w:cs="Arial"/>
          <w:rtl/>
        </w:rPr>
        <w:t xml:space="preserve"> </w:t>
      </w:r>
      <w:r w:rsidRPr="003F5B89">
        <w:rPr>
          <w:rFonts w:cs="Arial" w:hint="cs"/>
          <w:rtl/>
        </w:rPr>
        <w:t>אין</w:t>
      </w:r>
      <w:r w:rsidRPr="003F5B89">
        <w:rPr>
          <w:rFonts w:cs="Arial"/>
          <w:rtl/>
        </w:rPr>
        <w:t xml:space="preserve"> </w:t>
      </w:r>
      <w:r w:rsidRPr="003F5B89">
        <w:rPr>
          <w:rFonts w:cs="Arial" w:hint="cs"/>
          <w:rtl/>
        </w:rPr>
        <w:t>מלקין</w:t>
      </w:r>
      <w:r w:rsidRPr="003F5B89">
        <w:rPr>
          <w:rFonts w:cs="Arial"/>
          <w:rtl/>
        </w:rPr>
        <w:t xml:space="preserve"> </w:t>
      </w:r>
      <w:r w:rsidRPr="003F5B89">
        <w:rPr>
          <w:rFonts w:cs="Arial" w:hint="cs"/>
          <w:rtl/>
        </w:rPr>
        <w:t>ואין</w:t>
      </w:r>
      <w:r w:rsidRPr="003F5B89">
        <w:rPr>
          <w:rFonts w:cs="Arial"/>
          <w:rtl/>
        </w:rPr>
        <w:t xml:space="preserve"> </w:t>
      </w:r>
      <w:r w:rsidRPr="003F5B89">
        <w:rPr>
          <w:rFonts w:cs="Arial" w:hint="cs"/>
          <w:rtl/>
        </w:rPr>
        <w:t>מכניסין</w:t>
      </w:r>
      <w:r w:rsidRPr="003F5B89">
        <w:rPr>
          <w:rFonts w:cs="Arial"/>
          <w:rtl/>
        </w:rPr>
        <w:t xml:space="preserve"> </w:t>
      </w:r>
      <w:r w:rsidRPr="003F5B89">
        <w:rPr>
          <w:rFonts w:cs="Arial" w:hint="cs"/>
          <w:rtl/>
        </w:rPr>
        <w:t>לבית</w:t>
      </w:r>
      <w:r w:rsidRPr="003F5B89">
        <w:rPr>
          <w:rFonts w:cs="Arial"/>
          <w:rtl/>
        </w:rPr>
        <w:t xml:space="preserve"> </w:t>
      </w:r>
      <w:r w:rsidRPr="003F5B89">
        <w:rPr>
          <w:rFonts w:cs="Arial" w:hint="cs"/>
          <w:rtl/>
        </w:rPr>
        <w:t>הסוהר</w:t>
      </w:r>
      <w:r w:rsidRPr="003F5B89">
        <w:rPr>
          <w:rFonts w:cs="Arial"/>
          <w:rtl/>
        </w:rPr>
        <w:t xml:space="preserve"> </w:t>
      </w:r>
      <w:r w:rsidRPr="003F5B89">
        <w:rPr>
          <w:rFonts w:cs="Arial" w:hint="cs"/>
          <w:rtl/>
        </w:rPr>
        <w:t>ביום</w:t>
      </w:r>
      <w:r w:rsidRPr="003F5B89">
        <w:rPr>
          <w:rFonts w:cs="Arial"/>
          <w:rtl/>
        </w:rPr>
        <w:t xml:space="preserve"> </w:t>
      </w:r>
      <w:r w:rsidRPr="003F5B89">
        <w:rPr>
          <w:rFonts w:cs="Arial" w:hint="cs"/>
          <w:rtl/>
        </w:rPr>
        <w:t>טוב</w:t>
      </w:r>
      <w:r w:rsidRPr="003F5B89">
        <w:rPr>
          <w:rFonts w:cs="Arial"/>
          <w:rtl/>
        </w:rPr>
        <w:t xml:space="preserve"> </w:t>
      </w:r>
      <w:r w:rsidRPr="003F5B89">
        <w:rPr>
          <w:rFonts w:cs="Arial" w:hint="cs"/>
          <w:rtl/>
        </w:rPr>
        <w:t>וכל</w:t>
      </w:r>
      <w:r w:rsidRPr="003F5B89">
        <w:rPr>
          <w:rFonts w:cs="Arial"/>
          <w:rtl/>
        </w:rPr>
        <w:t xml:space="preserve"> </w:t>
      </w:r>
      <w:r w:rsidRPr="003F5B89">
        <w:rPr>
          <w:rFonts w:cs="Arial" w:hint="cs"/>
          <w:rtl/>
        </w:rPr>
        <w:t>שכן</w:t>
      </w:r>
      <w:r w:rsidRPr="003F5B89">
        <w:rPr>
          <w:rFonts w:cs="Arial"/>
          <w:rtl/>
        </w:rPr>
        <w:t xml:space="preserve"> </w:t>
      </w:r>
      <w:r w:rsidRPr="003F5B89">
        <w:rPr>
          <w:rFonts w:cs="Arial" w:hint="cs"/>
          <w:rtl/>
        </w:rPr>
        <w:t>בשבת</w:t>
      </w:r>
      <w:r w:rsidRPr="003F5B89">
        <w:rPr>
          <w:rFonts w:cs="Arial"/>
          <w:rtl/>
        </w:rPr>
        <w:t xml:space="preserve"> </w:t>
      </w:r>
      <w:r w:rsidRPr="003F5B89">
        <w:rPr>
          <w:rFonts w:cs="Arial" w:hint="cs"/>
          <w:rtl/>
        </w:rPr>
        <w:t>דהני</w:t>
      </w:r>
      <w:r w:rsidRPr="003F5B89">
        <w:rPr>
          <w:rFonts w:cs="Arial"/>
          <w:rtl/>
        </w:rPr>
        <w:t xml:space="preserve"> </w:t>
      </w:r>
      <w:r w:rsidRPr="003F5B89">
        <w:rPr>
          <w:rFonts w:cs="Arial" w:hint="cs"/>
          <w:rtl/>
        </w:rPr>
        <w:t>מילי</w:t>
      </w:r>
      <w:r w:rsidRPr="003F5B89">
        <w:rPr>
          <w:rFonts w:cs="Arial"/>
          <w:rtl/>
        </w:rPr>
        <w:t xml:space="preserve"> </w:t>
      </w:r>
      <w:r w:rsidRPr="003F5B89">
        <w:rPr>
          <w:rFonts w:cs="Arial" w:hint="cs"/>
          <w:rtl/>
        </w:rPr>
        <w:t>דינא</w:t>
      </w:r>
      <w:r w:rsidRPr="003F5B89">
        <w:rPr>
          <w:rFonts w:cs="Arial"/>
          <w:rtl/>
        </w:rPr>
        <w:t xml:space="preserve"> </w:t>
      </w:r>
      <w:r w:rsidRPr="003F5B89">
        <w:rPr>
          <w:rFonts w:cs="Arial" w:hint="cs"/>
          <w:rtl/>
        </w:rPr>
        <w:t>אינון</w:t>
      </w:r>
      <w:r w:rsidRPr="003F5B89">
        <w:rPr>
          <w:rFonts w:cs="Arial"/>
          <w:rtl/>
        </w:rPr>
        <w:t xml:space="preserve"> </w:t>
      </w:r>
      <w:r w:rsidRPr="003F5B89">
        <w:rPr>
          <w:rFonts w:cs="Arial" w:hint="cs"/>
          <w:rtl/>
        </w:rPr>
        <w:t>ואין</w:t>
      </w:r>
      <w:r w:rsidRPr="003F5B89">
        <w:rPr>
          <w:rFonts w:cs="Arial"/>
          <w:rtl/>
        </w:rPr>
        <w:t xml:space="preserve"> </w:t>
      </w:r>
      <w:r w:rsidRPr="003F5B89">
        <w:rPr>
          <w:rFonts w:cs="Arial" w:hint="cs"/>
          <w:rtl/>
        </w:rPr>
        <w:t>דנין</w:t>
      </w:r>
      <w:r w:rsidRPr="003F5B89">
        <w:rPr>
          <w:rFonts w:cs="Arial"/>
          <w:rtl/>
        </w:rPr>
        <w:t xml:space="preserve"> </w:t>
      </w:r>
      <w:r w:rsidRPr="003F5B89">
        <w:rPr>
          <w:rFonts w:cs="Arial" w:hint="cs"/>
          <w:rtl/>
        </w:rPr>
        <w:t>ביום</w:t>
      </w:r>
      <w:r w:rsidRPr="003F5B89">
        <w:rPr>
          <w:rFonts w:cs="Arial"/>
          <w:rtl/>
        </w:rPr>
        <w:t xml:space="preserve"> </w:t>
      </w:r>
      <w:r w:rsidRPr="003F5B89">
        <w:rPr>
          <w:rFonts w:cs="Arial" w:hint="cs"/>
          <w:rtl/>
        </w:rPr>
        <w:t>טוב</w:t>
      </w:r>
      <w:r w:rsidRPr="003F5B89">
        <w:rPr>
          <w:rFonts w:cs="Arial"/>
          <w:rtl/>
        </w:rPr>
        <w:t xml:space="preserve"> </w:t>
      </w:r>
      <w:r w:rsidRPr="003F5B89">
        <w:rPr>
          <w:rFonts w:cs="Arial" w:hint="cs"/>
          <w:rtl/>
        </w:rPr>
        <w:t>ושבת</w:t>
      </w:r>
      <w:r w:rsidRPr="003F5B89">
        <w:rPr>
          <w:rFonts w:cs="Arial"/>
          <w:rtl/>
        </w:rPr>
        <w:t xml:space="preserve"> (</w:t>
      </w:r>
      <w:r w:rsidRPr="003F5B89">
        <w:rPr>
          <w:rFonts w:cs="Arial" w:hint="cs"/>
          <w:rtl/>
        </w:rPr>
        <w:t>ביצה</w:t>
      </w:r>
      <w:r w:rsidRPr="003F5B89">
        <w:rPr>
          <w:rFonts w:cs="Arial"/>
          <w:rtl/>
        </w:rPr>
        <w:t xml:space="preserve"> </w:t>
      </w:r>
      <w:r w:rsidRPr="003F5B89">
        <w:rPr>
          <w:rFonts w:cs="Arial" w:hint="cs"/>
          <w:rtl/>
        </w:rPr>
        <w:t>לו</w:t>
      </w:r>
      <w:r w:rsidRPr="003F5B89">
        <w:rPr>
          <w:rFonts w:cs="Arial"/>
          <w:rtl/>
        </w:rPr>
        <w:t xml:space="preserve">:) </w:t>
      </w:r>
      <w:r w:rsidRPr="003F5B89">
        <w:rPr>
          <w:rFonts w:cs="Arial" w:hint="cs"/>
          <w:rtl/>
        </w:rPr>
        <w:t>ואם</w:t>
      </w:r>
      <w:r w:rsidRPr="003F5B89">
        <w:rPr>
          <w:rFonts w:cs="Arial"/>
          <w:rtl/>
        </w:rPr>
        <w:t xml:space="preserve"> </w:t>
      </w:r>
      <w:r w:rsidRPr="003F5B89">
        <w:rPr>
          <w:rFonts w:cs="Arial" w:hint="cs"/>
          <w:rtl/>
        </w:rPr>
        <w:t>ברח</w:t>
      </w:r>
      <w:r w:rsidRPr="003F5B89">
        <w:rPr>
          <w:rFonts w:cs="Arial"/>
          <w:rtl/>
        </w:rPr>
        <w:t xml:space="preserve"> </w:t>
      </w:r>
      <w:r w:rsidRPr="003F5B89">
        <w:rPr>
          <w:rFonts w:cs="Arial" w:hint="cs"/>
          <w:rtl/>
        </w:rPr>
        <w:t>אין</w:t>
      </w:r>
      <w:r w:rsidRPr="003F5B89">
        <w:rPr>
          <w:rFonts w:cs="Arial"/>
          <w:rtl/>
        </w:rPr>
        <w:t xml:space="preserve"> </w:t>
      </w:r>
      <w:r w:rsidRPr="003F5B89">
        <w:rPr>
          <w:rFonts w:cs="Arial" w:hint="cs"/>
          <w:rtl/>
        </w:rPr>
        <w:t>עלינו</w:t>
      </w:r>
      <w:r w:rsidRPr="003F5B89">
        <w:rPr>
          <w:rFonts w:cs="Arial"/>
          <w:rtl/>
        </w:rPr>
        <w:t xml:space="preserve"> </w:t>
      </w:r>
      <w:r w:rsidRPr="003F5B89">
        <w:rPr>
          <w:rFonts w:cs="Arial" w:hint="cs"/>
          <w:rtl/>
        </w:rPr>
        <w:t>כלום</w:t>
      </w:r>
      <w:r>
        <w:rPr>
          <w:rFonts w:cs="Arial" w:hint="cs"/>
          <w:rtl/>
        </w:rPr>
        <w:t>.</w:t>
      </w:r>
    </w:p>
    <w:p w14:paraId="2A213DB4"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848D903" w14:textId="77777777" w:rsidR="004B2E7C" w:rsidRDefault="004B2E7C" w:rsidP="00434A6A">
      <w:pPr>
        <w:rPr>
          <w:rFonts w:asciiTheme="minorBidi" w:hAnsiTheme="minorBidi"/>
          <w:rtl/>
        </w:rPr>
      </w:pPr>
      <w:r w:rsidRPr="00CC2350">
        <w:rPr>
          <w:rFonts w:asciiTheme="minorBidi" w:hAnsiTheme="minorBidi" w:cs="Arial"/>
          <w:rtl/>
        </w:rPr>
        <w:t xml:space="preserve">המדליקין בזויות הבית ואוכלים בחצר, אם אין הנרות ארוכות שדולקות עד הלילה הוי ברכה לבטלה. </w:t>
      </w:r>
    </w:p>
    <w:p w14:paraId="7DBA31E3" w14:textId="77777777" w:rsidR="004B2E7C" w:rsidRPr="00CC2350" w:rsidRDefault="004B2E7C" w:rsidP="00434A6A">
      <w:pPr>
        <w:rPr>
          <w:rFonts w:asciiTheme="minorBidi" w:hAnsiTheme="minorBidi"/>
          <w:rtl/>
        </w:rPr>
      </w:pPr>
    </w:p>
    <w:p w14:paraId="6B18BD96" w14:textId="77777777" w:rsidR="004B2E7C" w:rsidRDefault="004B2E7C" w:rsidP="00434A6A">
      <w:pPr>
        <w:pStyle w:val="2"/>
        <w:rPr>
          <w:rtl/>
        </w:rPr>
      </w:pPr>
      <w:r w:rsidRPr="00CC2350">
        <w:rPr>
          <w:rtl/>
        </w:rPr>
        <w:t>סעיף י</w:t>
      </w:r>
      <w:r>
        <w:rPr>
          <w:rFonts w:hint="cs"/>
          <w:rtl/>
        </w:rPr>
        <w:t>: קבלת השבת בהדלקת הנרות.</w:t>
      </w:r>
    </w:p>
    <w:p w14:paraId="2F2E0187" w14:textId="77777777" w:rsidR="004B2E7C" w:rsidRPr="00B6712D" w:rsidRDefault="004B2E7C" w:rsidP="00434A6A">
      <w:pPr>
        <w:rPr>
          <w:u w:val="single"/>
          <w:rtl/>
        </w:rPr>
      </w:pPr>
      <w:r>
        <w:rPr>
          <w:rFonts w:hint="cs"/>
          <w:u w:val="single"/>
          <w:rtl/>
        </w:rPr>
        <w:t>מי שהדליק</w:t>
      </w:r>
      <w:r w:rsidRPr="00B6712D">
        <w:rPr>
          <w:rFonts w:hint="cs"/>
          <w:u w:val="single"/>
          <w:rtl/>
        </w:rPr>
        <w:t xml:space="preserve"> נרות שבת </w:t>
      </w:r>
      <w:r>
        <w:rPr>
          <w:u w:val="single"/>
          <w:rtl/>
        </w:rPr>
        <w:t>–</w:t>
      </w:r>
      <w:r>
        <w:rPr>
          <w:rFonts w:hint="cs"/>
          <w:u w:val="single"/>
          <w:rtl/>
        </w:rPr>
        <w:t xml:space="preserve"> האם קיבל עליו </w:t>
      </w:r>
      <w:r w:rsidRPr="00B6712D">
        <w:rPr>
          <w:rFonts w:hint="cs"/>
          <w:u w:val="single"/>
          <w:rtl/>
        </w:rPr>
        <w:t>את השבת:</w:t>
      </w:r>
    </w:p>
    <w:p w14:paraId="12FD7063" w14:textId="77777777" w:rsidR="004B2E7C" w:rsidRDefault="004B2E7C" w:rsidP="00FF2D21">
      <w:pPr>
        <w:pStyle w:val="aa"/>
        <w:numPr>
          <w:ilvl w:val="0"/>
          <w:numId w:val="87"/>
        </w:numPr>
        <w:rPr>
          <w:rFonts w:cs="Arial"/>
        </w:rPr>
      </w:pPr>
      <w:r>
        <w:rPr>
          <w:rFonts w:cs="Arial" w:hint="cs"/>
          <w:rtl/>
        </w:rPr>
        <w:t>בה"ג</w:t>
      </w:r>
      <w:r>
        <w:rPr>
          <w:rStyle w:val="a9"/>
          <w:rFonts w:cs="Arial"/>
          <w:rtl/>
        </w:rPr>
        <w:footnoteReference w:id="641"/>
      </w:r>
      <w:r>
        <w:rPr>
          <w:rFonts w:cs="Arial" w:hint="cs"/>
          <w:rtl/>
        </w:rPr>
        <w:t xml:space="preserve"> רב שרירא גאון </w:t>
      </w:r>
      <w:r w:rsidRPr="00FF77FF">
        <w:rPr>
          <w:rFonts w:cs="Arial" w:hint="cs"/>
          <w:rtl/>
        </w:rPr>
        <w:t>סמ</w:t>
      </w:r>
      <w:r w:rsidRPr="00FF77FF">
        <w:rPr>
          <w:rFonts w:cs="Arial"/>
          <w:rtl/>
        </w:rPr>
        <w:t>"</w:t>
      </w:r>
      <w:r>
        <w:rPr>
          <w:rFonts w:cs="Arial" w:hint="cs"/>
          <w:rtl/>
        </w:rPr>
        <w:t>ג</w:t>
      </w:r>
      <w:r>
        <w:rPr>
          <w:rStyle w:val="a9"/>
          <w:rFonts w:cs="Arial"/>
          <w:rtl/>
        </w:rPr>
        <w:footnoteReference w:id="642"/>
      </w:r>
      <w:r>
        <w:rPr>
          <w:rFonts w:cs="Arial" w:hint="cs"/>
          <w:rtl/>
        </w:rPr>
        <w:t xml:space="preserve"> ור"ן</w:t>
      </w:r>
      <w:r>
        <w:rPr>
          <w:rStyle w:val="a9"/>
          <w:rFonts w:cs="Arial"/>
          <w:rtl/>
        </w:rPr>
        <w:footnoteReference w:id="643"/>
      </w:r>
      <w:r>
        <w:rPr>
          <w:rFonts w:cs="Arial" w:hint="cs"/>
          <w:rtl/>
        </w:rPr>
        <w:t>-</w:t>
      </w:r>
      <w:r w:rsidRPr="008A7D6D">
        <w:rPr>
          <w:rtl/>
        </w:rPr>
        <w:t xml:space="preserve"> </w:t>
      </w:r>
      <w:r w:rsidRPr="008A7D6D">
        <w:rPr>
          <w:rFonts w:cs="Arial"/>
          <w:rtl/>
        </w:rPr>
        <w:t xml:space="preserve">היכא דבעי אדלוקי נר חנוכה ונר שבת, ברישא מדליק דחנוכה והדר מדליק דשבתא, דאי אדליק דשבת ברישא איתסר ליה לאדלוקי דחנוכה משום דקבלה לשבת </w:t>
      </w:r>
      <w:r w:rsidRPr="004B7549">
        <w:rPr>
          <w:rFonts w:cs="Arial"/>
          <w:rtl/>
        </w:rPr>
        <w:t>עליה</w:t>
      </w:r>
      <w:r>
        <w:rPr>
          <w:rStyle w:val="a9"/>
          <w:rFonts w:cs="Arial"/>
          <w:rtl/>
        </w:rPr>
        <w:footnoteReference w:id="644"/>
      </w:r>
      <w:r>
        <w:rPr>
          <w:rFonts w:cs="Arial" w:hint="cs"/>
          <w:sz w:val="16"/>
          <w:szCs w:val="16"/>
          <w:rtl/>
        </w:rPr>
        <w:t xml:space="preserve"> (ל' בה"ג)</w:t>
      </w:r>
      <w:r w:rsidRPr="008A7D6D">
        <w:rPr>
          <w:rFonts w:cs="Arial"/>
          <w:rtl/>
        </w:rPr>
        <w:t>.</w:t>
      </w:r>
    </w:p>
    <w:p w14:paraId="1FCD3F5D" w14:textId="77777777" w:rsidR="004B2E7C" w:rsidRPr="00EE1312" w:rsidRDefault="004B2E7C" w:rsidP="00FF2D21">
      <w:pPr>
        <w:pStyle w:val="aa"/>
        <w:numPr>
          <w:ilvl w:val="0"/>
          <w:numId w:val="87"/>
        </w:numPr>
        <w:rPr>
          <w:rFonts w:cs="Arial"/>
        </w:rPr>
      </w:pPr>
      <w:r>
        <w:rPr>
          <w:rFonts w:cs="Arial" w:hint="cs"/>
          <w:rtl/>
        </w:rPr>
        <w:t xml:space="preserve">תוס' רמב"ן רשב"א </w:t>
      </w:r>
      <w:r w:rsidRPr="00FF77FF">
        <w:rPr>
          <w:rFonts w:cs="Arial" w:hint="cs"/>
          <w:rtl/>
        </w:rPr>
        <w:t>רא</w:t>
      </w:r>
      <w:r w:rsidRPr="00FF77FF">
        <w:rPr>
          <w:rFonts w:cs="Arial"/>
          <w:rtl/>
        </w:rPr>
        <w:t>"</w:t>
      </w:r>
      <w:r w:rsidRPr="00FF77FF">
        <w:rPr>
          <w:rFonts w:cs="Arial" w:hint="cs"/>
          <w:rtl/>
        </w:rPr>
        <w:t>ש</w:t>
      </w:r>
      <w:r>
        <w:rPr>
          <w:rStyle w:val="a9"/>
          <w:rFonts w:cs="Arial"/>
          <w:rtl/>
        </w:rPr>
        <w:footnoteReference w:id="645"/>
      </w:r>
      <w:r>
        <w:rPr>
          <w:rFonts w:cs="Arial" w:hint="cs"/>
          <w:rtl/>
        </w:rPr>
        <w:t xml:space="preserve"> רי"ו</w:t>
      </w:r>
      <w:r w:rsidRPr="00EE1312">
        <w:rPr>
          <w:rFonts w:cs="Arial" w:hint="cs"/>
          <w:rtl/>
        </w:rPr>
        <w:t xml:space="preserve"> והה"מ</w:t>
      </w:r>
      <w:r>
        <w:rPr>
          <w:rStyle w:val="a9"/>
          <w:rFonts w:cs="Arial"/>
          <w:rtl/>
        </w:rPr>
        <w:footnoteReference w:id="646"/>
      </w:r>
      <w:r w:rsidRPr="00EE1312">
        <w:rPr>
          <w:rFonts w:cs="Arial" w:hint="cs"/>
          <w:rtl/>
        </w:rPr>
        <w:t>- הדלקת הנר לאו קבלה היא ומותר בעשיית מלאכה.</w:t>
      </w:r>
      <w:r w:rsidRPr="004C4CDF">
        <w:rPr>
          <w:rFonts w:cs="Arial" w:hint="cs"/>
          <w:color w:val="E36C0A" w:themeColor="accent6" w:themeShade="BF"/>
          <w:rtl/>
        </w:rPr>
        <w:t xml:space="preserve"> (וכ"פ בשו"ע)</w:t>
      </w:r>
    </w:p>
    <w:p w14:paraId="20048B82" w14:textId="77777777" w:rsidR="004B2E7C" w:rsidRPr="009462EA" w:rsidRDefault="004B2E7C" w:rsidP="00434A6A">
      <w:pPr>
        <w:ind w:left="360"/>
        <w:rPr>
          <w:rFonts w:cs="Arial"/>
          <w:u w:val="dotted"/>
        </w:rPr>
      </w:pPr>
      <w:r w:rsidRPr="009462EA">
        <w:rPr>
          <w:rFonts w:cs="Arial" w:hint="cs"/>
          <w:u w:val="dotted"/>
          <w:rtl/>
        </w:rPr>
        <w:t>לבה"ג</w:t>
      </w:r>
      <w:r>
        <w:rPr>
          <w:rFonts w:cs="Arial" w:hint="cs"/>
          <w:u w:val="dotted"/>
          <w:rtl/>
        </w:rPr>
        <w:t xml:space="preserve"> וסיעתו</w:t>
      </w:r>
      <w:r w:rsidRPr="009462EA">
        <w:rPr>
          <w:rFonts w:cs="Arial" w:hint="cs"/>
          <w:u w:val="dotted"/>
          <w:rtl/>
        </w:rPr>
        <w:t xml:space="preserve"> </w:t>
      </w:r>
      <w:r w:rsidRPr="009462EA">
        <w:rPr>
          <w:rFonts w:cs="Arial"/>
          <w:u w:val="dotted"/>
          <w:rtl/>
        </w:rPr>
        <w:t>–</w:t>
      </w:r>
      <w:r w:rsidRPr="009462EA">
        <w:rPr>
          <w:rFonts w:cs="Arial" w:hint="cs"/>
          <w:u w:val="dotted"/>
          <w:rtl/>
        </w:rPr>
        <w:t xml:space="preserve"> האם מועיל לעשות תנאי כדי לא לקבל עליו את השבת: </w:t>
      </w:r>
    </w:p>
    <w:p w14:paraId="6968C0F5" w14:textId="77777777" w:rsidR="004B2E7C" w:rsidRPr="00932D01" w:rsidRDefault="004B2E7C" w:rsidP="00FF2D21">
      <w:pPr>
        <w:pStyle w:val="aa"/>
        <w:numPr>
          <w:ilvl w:val="0"/>
          <w:numId w:val="87"/>
        </w:numPr>
        <w:rPr>
          <w:rFonts w:cs="Arial"/>
        </w:rPr>
      </w:pPr>
      <w:r>
        <w:rPr>
          <w:rFonts w:cs="Arial" w:hint="cs"/>
          <w:rtl/>
        </w:rPr>
        <w:t xml:space="preserve">הגה"מ </w:t>
      </w:r>
      <w:r w:rsidRPr="00437184">
        <w:rPr>
          <w:rFonts w:cs="Arial" w:hint="cs"/>
          <w:sz w:val="16"/>
          <w:szCs w:val="16"/>
          <w:rtl/>
        </w:rPr>
        <w:t>(שבת פ"ה אות ר)</w:t>
      </w:r>
      <w:r w:rsidRPr="00932D01">
        <w:rPr>
          <w:rFonts w:cs="Arial" w:hint="cs"/>
          <w:rtl/>
        </w:rPr>
        <w:t xml:space="preserve"> </w:t>
      </w:r>
      <w:r w:rsidRPr="006737C8">
        <w:rPr>
          <w:rFonts w:cs="Arial" w:hint="cs"/>
          <w:rtl/>
        </w:rPr>
        <w:t>ספר</w:t>
      </w:r>
      <w:r w:rsidRPr="006737C8">
        <w:rPr>
          <w:rFonts w:cs="Arial"/>
          <w:rtl/>
        </w:rPr>
        <w:t xml:space="preserve"> </w:t>
      </w:r>
      <w:r w:rsidRPr="006737C8">
        <w:rPr>
          <w:rFonts w:cs="Arial" w:hint="cs"/>
          <w:rtl/>
        </w:rPr>
        <w:t>המנהגים</w:t>
      </w:r>
      <w:r w:rsidRPr="006737C8">
        <w:rPr>
          <w:rFonts w:cs="Arial"/>
          <w:rtl/>
        </w:rPr>
        <w:t xml:space="preserve"> </w:t>
      </w:r>
      <w:r w:rsidRPr="00932D01">
        <w:rPr>
          <w:rFonts w:cs="Arial" w:hint="cs"/>
          <w:sz w:val="16"/>
          <w:szCs w:val="16"/>
          <w:rtl/>
        </w:rPr>
        <w:t>(לר</w:t>
      </w:r>
      <w:r w:rsidRPr="00932D01">
        <w:rPr>
          <w:rFonts w:cs="Arial"/>
          <w:sz w:val="16"/>
          <w:szCs w:val="16"/>
          <w:rtl/>
        </w:rPr>
        <w:t>"</w:t>
      </w:r>
      <w:r w:rsidRPr="00932D01">
        <w:rPr>
          <w:rFonts w:cs="Arial" w:hint="cs"/>
          <w:sz w:val="16"/>
          <w:szCs w:val="16"/>
          <w:rtl/>
        </w:rPr>
        <w:t>א</w:t>
      </w:r>
      <w:r w:rsidRPr="00932D01">
        <w:rPr>
          <w:rFonts w:cs="Arial"/>
          <w:sz w:val="16"/>
          <w:szCs w:val="16"/>
          <w:rtl/>
        </w:rPr>
        <w:t xml:space="preserve"> </w:t>
      </w:r>
      <w:r w:rsidRPr="00932D01">
        <w:rPr>
          <w:rFonts w:cs="Arial" w:hint="cs"/>
          <w:sz w:val="16"/>
          <w:szCs w:val="16"/>
          <w:rtl/>
        </w:rPr>
        <w:t>טירנא</w:t>
      </w:r>
      <w:r w:rsidRPr="00932D01">
        <w:rPr>
          <w:rFonts w:cs="Arial"/>
          <w:sz w:val="16"/>
          <w:szCs w:val="16"/>
          <w:rtl/>
        </w:rPr>
        <w:t xml:space="preserve">, </w:t>
      </w:r>
      <w:r w:rsidRPr="00932D01">
        <w:rPr>
          <w:rFonts w:cs="Arial" w:hint="cs"/>
          <w:sz w:val="16"/>
          <w:szCs w:val="16"/>
          <w:rtl/>
        </w:rPr>
        <w:t>מנהגי</w:t>
      </w:r>
      <w:r w:rsidRPr="00932D01">
        <w:rPr>
          <w:rFonts w:cs="Arial"/>
          <w:sz w:val="16"/>
          <w:szCs w:val="16"/>
          <w:rtl/>
        </w:rPr>
        <w:t xml:space="preserve"> </w:t>
      </w:r>
      <w:r w:rsidRPr="00932D01">
        <w:rPr>
          <w:rFonts w:cs="Arial" w:hint="cs"/>
          <w:sz w:val="16"/>
          <w:szCs w:val="16"/>
          <w:rtl/>
        </w:rPr>
        <w:t>ערב</w:t>
      </w:r>
      <w:r w:rsidRPr="00932D01">
        <w:rPr>
          <w:rFonts w:cs="Arial"/>
          <w:sz w:val="16"/>
          <w:szCs w:val="16"/>
          <w:rtl/>
        </w:rPr>
        <w:t xml:space="preserve"> </w:t>
      </w:r>
      <w:r w:rsidRPr="00932D01">
        <w:rPr>
          <w:rFonts w:cs="Arial" w:hint="cs"/>
          <w:sz w:val="16"/>
          <w:szCs w:val="16"/>
          <w:rtl/>
        </w:rPr>
        <w:t>שבת, הביאו הדרכ"מ [אות ג]</w:t>
      </w:r>
      <w:r w:rsidRPr="00932D01">
        <w:rPr>
          <w:rFonts w:cs="Arial"/>
          <w:sz w:val="16"/>
          <w:szCs w:val="16"/>
          <w:rtl/>
        </w:rPr>
        <w:t>)</w:t>
      </w:r>
      <w:r>
        <w:rPr>
          <w:rFonts w:cs="Arial" w:hint="cs"/>
          <w:rtl/>
        </w:rPr>
        <w:t>-</w:t>
      </w:r>
      <w:r w:rsidRPr="00FF77FF">
        <w:rPr>
          <w:rFonts w:cs="Arial"/>
          <w:rtl/>
        </w:rPr>
        <w:t xml:space="preserve"> </w:t>
      </w:r>
      <w:r>
        <w:rPr>
          <w:rFonts w:cs="Arial" w:hint="cs"/>
          <w:rtl/>
        </w:rPr>
        <w:t xml:space="preserve">מהר"ם </w:t>
      </w:r>
      <w:r w:rsidRPr="00FF77FF">
        <w:rPr>
          <w:rFonts w:cs="Arial" w:hint="cs"/>
          <w:rtl/>
        </w:rPr>
        <w:t>הנהיג</w:t>
      </w:r>
      <w:r w:rsidRPr="00FF77FF">
        <w:rPr>
          <w:rFonts w:cs="Arial"/>
          <w:rtl/>
        </w:rPr>
        <w:t xml:space="preserve"> </w:t>
      </w:r>
      <w:r w:rsidRPr="00FF77FF">
        <w:rPr>
          <w:rFonts w:cs="Arial" w:hint="cs"/>
          <w:rtl/>
        </w:rPr>
        <w:t>וצוה</w:t>
      </w:r>
      <w:r w:rsidRPr="00FF77FF">
        <w:rPr>
          <w:rFonts w:cs="Arial"/>
          <w:rtl/>
        </w:rPr>
        <w:t xml:space="preserve"> </w:t>
      </w:r>
      <w:r w:rsidRPr="00FF77FF">
        <w:rPr>
          <w:rFonts w:cs="Arial" w:hint="cs"/>
          <w:rtl/>
        </w:rPr>
        <w:t>להתנות</w:t>
      </w:r>
      <w:r w:rsidRPr="00FF77FF">
        <w:rPr>
          <w:rFonts w:cs="Arial"/>
          <w:rtl/>
        </w:rPr>
        <w:t xml:space="preserve"> </w:t>
      </w:r>
      <w:r w:rsidRPr="00FF77FF">
        <w:rPr>
          <w:rFonts w:cs="Arial" w:hint="cs"/>
          <w:rtl/>
        </w:rPr>
        <w:t>קודם</w:t>
      </w:r>
      <w:r w:rsidRPr="00FF77FF">
        <w:rPr>
          <w:rFonts w:cs="Arial"/>
          <w:rtl/>
        </w:rPr>
        <w:t xml:space="preserve"> </w:t>
      </w:r>
      <w:r w:rsidRPr="00FF77FF">
        <w:rPr>
          <w:rFonts w:cs="Arial" w:hint="cs"/>
          <w:rtl/>
        </w:rPr>
        <w:t>שידליק</w:t>
      </w:r>
      <w:r w:rsidRPr="00FF77FF">
        <w:rPr>
          <w:rFonts w:cs="Arial"/>
          <w:rtl/>
        </w:rPr>
        <w:t xml:space="preserve"> </w:t>
      </w:r>
      <w:r w:rsidRPr="00FF77FF">
        <w:rPr>
          <w:rFonts w:cs="Arial" w:hint="cs"/>
          <w:rtl/>
        </w:rPr>
        <w:t>שאינו</w:t>
      </w:r>
      <w:r w:rsidRPr="00FF77FF">
        <w:rPr>
          <w:rFonts w:cs="Arial"/>
          <w:rtl/>
        </w:rPr>
        <w:t xml:space="preserve"> </w:t>
      </w:r>
      <w:r w:rsidRPr="00FF77FF">
        <w:rPr>
          <w:rFonts w:cs="Arial" w:hint="cs"/>
          <w:rtl/>
        </w:rPr>
        <w:t>מקבל</w:t>
      </w:r>
      <w:r w:rsidRPr="00FF77FF">
        <w:rPr>
          <w:rFonts w:cs="Arial"/>
          <w:rtl/>
        </w:rPr>
        <w:t xml:space="preserve"> </w:t>
      </w:r>
      <w:r w:rsidRPr="00FF77FF">
        <w:rPr>
          <w:rFonts w:cs="Arial" w:hint="cs"/>
          <w:rtl/>
        </w:rPr>
        <w:t>שבת</w:t>
      </w:r>
      <w:r w:rsidRPr="00FF77FF">
        <w:rPr>
          <w:rFonts w:cs="Arial"/>
          <w:rtl/>
        </w:rPr>
        <w:t xml:space="preserve"> </w:t>
      </w:r>
      <w:r w:rsidRPr="00FF77FF">
        <w:rPr>
          <w:rFonts w:cs="Arial" w:hint="cs"/>
          <w:rtl/>
        </w:rPr>
        <w:t>עד</w:t>
      </w:r>
      <w:r w:rsidRPr="00FF77FF">
        <w:rPr>
          <w:rFonts w:cs="Arial"/>
          <w:rtl/>
        </w:rPr>
        <w:t xml:space="preserve"> </w:t>
      </w:r>
      <w:r w:rsidRPr="00FF77FF">
        <w:rPr>
          <w:rFonts w:cs="Arial" w:hint="cs"/>
          <w:rtl/>
        </w:rPr>
        <w:t>שיסיר</w:t>
      </w:r>
      <w:r w:rsidRPr="00FF77FF">
        <w:rPr>
          <w:rFonts w:cs="Arial"/>
          <w:rtl/>
        </w:rPr>
        <w:t xml:space="preserve"> </w:t>
      </w:r>
      <w:r w:rsidRPr="00FF77FF">
        <w:rPr>
          <w:rFonts w:cs="Arial" w:hint="cs"/>
          <w:rtl/>
        </w:rPr>
        <w:t>מידו</w:t>
      </w:r>
      <w:r w:rsidRPr="00FF77FF">
        <w:rPr>
          <w:rFonts w:cs="Arial"/>
          <w:rtl/>
        </w:rPr>
        <w:t xml:space="preserve"> </w:t>
      </w:r>
      <w:r w:rsidRPr="00FF77FF">
        <w:rPr>
          <w:rFonts w:cs="Arial" w:hint="cs"/>
          <w:rtl/>
        </w:rPr>
        <w:t>הנר</w:t>
      </w:r>
      <w:r w:rsidRPr="00FF77FF">
        <w:rPr>
          <w:rFonts w:cs="Arial"/>
          <w:rtl/>
        </w:rPr>
        <w:t xml:space="preserve"> </w:t>
      </w:r>
      <w:r w:rsidRPr="00FF77FF">
        <w:rPr>
          <w:rFonts w:cs="Arial" w:hint="cs"/>
          <w:rtl/>
        </w:rPr>
        <w:t>שהדליק</w:t>
      </w:r>
      <w:r w:rsidRPr="00FF77FF">
        <w:rPr>
          <w:rFonts w:cs="Arial"/>
          <w:rtl/>
        </w:rPr>
        <w:t xml:space="preserve"> </w:t>
      </w:r>
      <w:r w:rsidRPr="00FF77FF">
        <w:rPr>
          <w:rFonts w:cs="Arial" w:hint="cs"/>
          <w:rtl/>
        </w:rPr>
        <w:t>בו</w:t>
      </w:r>
      <w:r w:rsidRPr="00FF77FF">
        <w:rPr>
          <w:rFonts w:cs="Arial"/>
          <w:rtl/>
        </w:rPr>
        <w:t xml:space="preserve"> </w:t>
      </w:r>
      <w:r w:rsidRPr="00FF77FF">
        <w:rPr>
          <w:rFonts w:cs="Arial" w:hint="cs"/>
          <w:rtl/>
        </w:rPr>
        <w:t>או</w:t>
      </w:r>
      <w:r w:rsidRPr="00FF77FF">
        <w:rPr>
          <w:rFonts w:cs="Arial"/>
          <w:rtl/>
        </w:rPr>
        <w:t xml:space="preserve"> </w:t>
      </w:r>
      <w:r w:rsidRPr="00FF77FF">
        <w:rPr>
          <w:rFonts w:cs="Arial" w:hint="cs"/>
          <w:rtl/>
        </w:rPr>
        <w:t>עד</w:t>
      </w:r>
      <w:r w:rsidRPr="00FF77FF">
        <w:rPr>
          <w:rFonts w:cs="Arial"/>
          <w:rtl/>
        </w:rPr>
        <w:t xml:space="preserve"> </w:t>
      </w:r>
      <w:r w:rsidRPr="00FF77FF">
        <w:rPr>
          <w:rFonts w:cs="Arial" w:hint="cs"/>
          <w:rtl/>
        </w:rPr>
        <w:t>תפלה</w:t>
      </w:r>
      <w:r w:rsidRPr="00FF77FF">
        <w:rPr>
          <w:rFonts w:cs="Arial"/>
          <w:rtl/>
        </w:rPr>
        <w:t xml:space="preserve"> </w:t>
      </w:r>
      <w:r w:rsidRPr="00FF77FF">
        <w:rPr>
          <w:rFonts w:cs="Arial" w:hint="cs"/>
          <w:rtl/>
        </w:rPr>
        <w:t>דאם</w:t>
      </w:r>
      <w:r w:rsidRPr="00FF77FF">
        <w:rPr>
          <w:rFonts w:cs="Arial"/>
          <w:rtl/>
        </w:rPr>
        <w:t xml:space="preserve"> </w:t>
      </w:r>
      <w:r w:rsidRPr="00FF77FF">
        <w:rPr>
          <w:rFonts w:cs="Arial" w:hint="cs"/>
          <w:rtl/>
        </w:rPr>
        <w:t>לא</w:t>
      </w:r>
      <w:r w:rsidRPr="00FF77FF">
        <w:rPr>
          <w:rFonts w:cs="Arial"/>
          <w:rtl/>
        </w:rPr>
        <w:t xml:space="preserve"> </w:t>
      </w:r>
      <w:r w:rsidRPr="00FF77FF">
        <w:rPr>
          <w:rFonts w:cs="Arial" w:hint="cs"/>
          <w:rtl/>
        </w:rPr>
        <w:t>כן</w:t>
      </w:r>
      <w:r w:rsidRPr="00FF77FF">
        <w:rPr>
          <w:rFonts w:cs="Arial"/>
          <w:rtl/>
        </w:rPr>
        <w:t xml:space="preserve"> </w:t>
      </w:r>
      <w:r w:rsidRPr="00FF77FF">
        <w:rPr>
          <w:rFonts w:cs="Arial" w:hint="cs"/>
          <w:rtl/>
        </w:rPr>
        <w:t>היה</w:t>
      </w:r>
      <w:r w:rsidRPr="00FF77FF">
        <w:rPr>
          <w:rFonts w:cs="Arial"/>
          <w:rtl/>
        </w:rPr>
        <w:t xml:space="preserve"> </w:t>
      </w:r>
      <w:r w:rsidRPr="00FF77FF">
        <w:rPr>
          <w:rFonts w:cs="Arial" w:hint="cs"/>
          <w:rtl/>
        </w:rPr>
        <w:t>מטלטלו</w:t>
      </w:r>
      <w:r w:rsidRPr="00FF77FF">
        <w:rPr>
          <w:rFonts w:cs="Arial"/>
          <w:rtl/>
        </w:rPr>
        <w:t xml:space="preserve"> </w:t>
      </w:r>
      <w:r w:rsidRPr="00FF77FF">
        <w:rPr>
          <w:rFonts w:cs="Arial" w:hint="cs"/>
          <w:rtl/>
        </w:rPr>
        <w:t>באיסור</w:t>
      </w:r>
      <w:r w:rsidRPr="00FF77FF">
        <w:rPr>
          <w:rFonts w:cs="Arial"/>
          <w:rtl/>
        </w:rPr>
        <w:t xml:space="preserve"> </w:t>
      </w:r>
      <w:r w:rsidRPr="00FF77FF">
        <w:rPr>
          <w:rFonts w:cs="Arial" w:hint="cs"/>
          <w:rtl/>
        </w:rPr>
        <w:t>אחר</w:t>
      </w:r>
      <w:r w:rsidRPr="00FF77FF">
        <w:rPr>
          <w:rFonts w:cs="Arial"/>
          <w:rtl/>
        </w:rPr>
        <w:t xml:space="preserve"> </w:t>
      </w:r>
      <w:r w:rsidRPr="00FF77FF">
        <w:rPr>
          <w:rFonts w:cs="Arial" w:hint="cs"/>
          <w:rtl/>
        </w:rPr>
        <w:t>שהדליק</w:t>
      </w:r>
      <w:r w:rsidRPr="00FF77FF">
        <w:rPr>
          <w:rFonts w:cs="Arial"/>
          <w:rtl/>
        </w:rPr>
        <w:t xml:space="preserve"> </w:t>
      </w:r>
      <w:r w:rsidRPr="00FF77FF">
        <w:rPr>
          <w:rFonts w:cs="Arial" w:hint="cs"/>
          <w:rtl/>
        </w:rPr>
        <w:t>נר</w:t>
      </w:r>
      <w:r w:rsidRPr="00FF77FF">
        <w:rPr>
          <w:rFonts w:cs="Arial"/>
          <w:rtl/>
        </w:rPr>
        <w:t xml:space="preserve"> </w:t>
      </w:r>
      <w:r w:rsidRPr="00FF77FF">
        <w:rPr>
          <w:rFonts w:cs="Arial" w:hint="cs"/>
          <w:rtl/>
        </w:rPr>
        <w:t>של</w:t>
      </w:r>
      <w:r w:rsidRPr="00FF77FF">
        <w:rPr>
          <w:rFonts w:cs="Arial"/>
          <w:rtl/>
        </w:rPr>
        <w:t xml:space="preserve"> </w:t>
      </w:r>
      <w:r w:rsidRPr="00FF77FF">
        <w:rPr>
          <w:rFonts w:cs="Arial" w:hint="cs"/>
          <w:rtl/>
        </w:rPr>
        <w:t>שבת</w:t>
      </w:r>
      <w:r>
        <w:rPr>
          <w:rFonts w:cs="Arial" w:hint="cs"/>
          <w:sz w:val="16"/>
          <w:szCs w:val="16"/>
          <w:rtl/>
        </w:rPr>
        <w:t xml:space="preserve"> (ל' הגה"מ)</w:t>
      </w:r>
      <w:r w:rsidRPr="00932D01">
        <w:rPr>
          <w:rFonts w:cs="Arial" w:hint="cs"/>
          <w:rtl/>
        </w:rPr>
        <w:t>.</w:t>
      </w:r>
    </w:p>
    <w:p w14:paraId="72BF62D3" w14:textId="77777777" w:rsidR="004B2E7C" w:rsidRDefault="004B2E7C" w:rsidP="00FF2D21">
      <w:pPr>
        <w:pStyle w:val="aa"/>
        <w:numPr>
          <w:ilvl w:val="0"/>
          <w:numId w:val="87"/>
        </w:numPr>
        <w:rPr>
          <w:rFonts w:cs="Arial"/>
        </w:rPr>
      </w:pPr>
      <w:r>
        <w:rPr>
          <w:rFonts w:cs="Arial" w:hint="cs"/>
          <w:rtl/>
        </w:rPr>
        <w:t xml:space="preserve">מרדכי </w:t>
      </w:r>
      <w:r w:rsidRPr="009462EA">
        <w:rPr>
          <w:rFonts w:cs="Arial" w:hint="cs"/>
          <w:sz w:val="16"/>
          <w:szCs w:val="16"/>
          <w:rtl/>
        </w:rPr>
        <w:t>(שבת סי' רצד)</w:t>
      </w:r>
      <w:r>
        <w:rPr>
          <w:rFonts w:cs="Arial" w:hint="cs"/>
          <w:rtl/>
        </w:rPr>
        <w:t xml:space="preserve">- </w:t>
      </w:r>
      <w:r w:rsidRPr="00437184">
        <w:rPr>
          <w:rFonts w:cs="Arial"/>
          <w:rtl/>
        </w:rPr>
        <w:t>בה</w:t>
      </w:r>
      <w:r>
        <w:rPr>
          <w:rFonts w:cs="Arial" w:hint="cs"/>
          <w:rtl/>
        </w:rPr>
        <w:t xml:space="preserve">לכות </w:t>
      </w:r>
      <w:r w:rsidRPr="00437184">
        <w:rPr>
          <w:rFonts w:cs="Arial"/>
          <w:rtl/>
        </w:rPr>
        <w:t>ג</w:t>
      </w:r>
      <w:r>
        <w:rPr>
          <w:rFonts w:cs="Arial" w:hint="cs"/>
          <w:rtl/>
        </w:rPr>
        <w:t>דולות</w:t>
      </w:r>
      <w:r w:rsidRPr="00437184">
        <w:rPr>
          <w:rFonts w:cs="Arial"/>
          <w:rtl/>
        </w:rPr>
        <w:t xml:space="preserve"> משמע דבהדלקה הויא קבלת שבת</w:t>
      </w:r>
      <w:r>
        <w:rPr>
          <w:rFonts w:cs="Arial" w:hint="cs"/>
          <w:rtl/>
        </w:rPr>
        <w:t>...</w:t>
      </w:r>
      <w:r w:rsidRPr="00437184">
        <w:rPr>
          <w:rFonts w:cs="Arial"/>
          <w:rtl/>
        </w:rPr>
        <w:t xml:space="preserve"> והמדליק יברך עובר לעשייתה ויהיה בדעתו שלא לקבל שבת עד לאחר הדלקת נר שבת</w:t>
      </w:r>
      <w:r>
        <w:rPr>
          <w:rStyle w:val="a9"/>
          <w:rFonts w:cs="Arial"/>
          <w:rtl/>
        </w:rPr>
        <w:footnoteReference w:id="647"/>
      </w:r>
      <w:r>
        <w:rPr>
          <w:rFonts w:cs="Arial" w:hint="cs"/>
          <w:rtl/>
        </w:rPr>
        <w:t xml:space="preserve">. </w:t>
      </w:r>
      <w:r w:rsidRPr="004B7549">
        <w:rPr>
          <w:rFonts w:cs="Arial" w:hint="cs"/>
          <w:color w:val="00B0F0"/>
          <w:rtl/>
        </w:rPr>
        <w:t>(וכ"פ הרמ"א)</w:t>
      </w:r>
    </w:p>
    <w:p w14:paraId="333F211A" w14:textId="77777777" w:rsidR="004B2E7C" w:rsidRDefault="004B2E7C" w:rsidP="00FF2D21">
      <w:pPr>
        <w:pStyle w:val="aa"/>
        <w:numPr>
          <w:ilvl w:val="0"/>
          <w:numId w:val="87"/>
        </w:numPr>
        <w:rPr>
          <w:rFonts w:cs="Arial"/>
        </w:rPr>
      </w:pPr>
      <w:r w:rsidRPr="00FF77FF">
        <w:rPr>
          <w:rFonts w:cs="Arial" w:hint="cs"/>
          <w:rtl/>
        </w:rPr>
        <w:t>ר</w:t>
      </w:r>
      <w:r w:rsidRPr="00FF77FF">
        <w:rPr>
          <w:rFonts w:cs="Arial"/>
          <w:rtl/>
        </w:rPr>
        <w:t>"</w:t>
      </w:r>
      <w:r>
        <w:rPr>
          <w:rFonts w:cs="Arial" w:hint="cs"/>
          <w:rtl/>
        </w:rPr>
        <w:t>פ</w:t>
      </w:r>
      <w:r>
        <w:rPr>
          <w:rStyle w:val="a9"/>
          <w:rFonts w:cs="Arial"/>
          <w:rtl/>
        </w:rPr>
        <w:footnoteReference w:id="648"/>
      </w:r>
      <w:r w:rsidRPr="00FF77FF">
        <w:rPr>
          <w:rFonts w:cs="Arial"/>
          <w:rtl/>
        </w:rPr>
        <w:t xml:space="preserve"> </w:t>
      </w:r>
      <w:r w:rsidRPr="009462EA">
        <w:rPr>
          <w:rFonts w:cs="Arial" w:hint="cs"/>
          <w:sz w:val="16"/>
          <w:szCs w:val="16"/>
          <w:rtl/>
        </w:rPr>
        <w:t>(תשב</w:t>
      </w:r>
      <w:r w:rsidRPr="009462EA">
        <w:rPr>
          <w:rFonts w:cs="Arial"/>
          <w:sz w:val="16"/>
          <w:szCs w:val="16"/>
          <w:rtl/>
        </w:rPr>
        <w:t>"</w:t>
      </w:r>
      <w:r w:rsidRPr="009462EA">
        <w:rPr>
          <w:rFonts w:cs="Arial" w:hint="cs"/>
          <w:sz w:val="16"/>
          <w:szCs w:val="16"/>
          <w:rtl/>
        </w:rPr>
        <w:t>ץ</w:t>
      </w:r>
      <w:r w:rsidRPr="009462EA">
        <w:rPr>
          <w:rFonts w:cs="Arial"/>
          <w:sz w:val="16"/>
          <w:szCs w:val="16"/>
          <w:rtl/>
        </w:rPr>
        <w:t xml:space="preserve"> </w:t>
      </w:r>
      <w:r w:rsidRPr="009462EA">
        <w:rPr>
          <w:rFonts w:cs="Arial" w:hint="cs"/>
          <w:sz w:val="16"/>
          <w:szCs w:val="16"/>
          <w:rtl/>
        </w:rPr>
        <w:t>קטן</w:t>
      </w:r>
      <w:r w:rsidRPr="009462EA">
        <w:rPr>
          <w:rFonts w:cs="Arial"/>
          <w:sz w:val="16"/>
          <w:szCs w:val="16"/>
          <w:rtl/>
        </w:rPr>
        <w:t xml:space="preserve"> </w:t>
      </w:r>
      <w:r w:rsidRPr="009462EA">
        <w:rPr>
          <w:rFonts w:cs="Arial" w:hint="cs"/>
          <w:sz w:val="16"/>
          <w:szCs w:val="16"/>
          <w:rtl/>
        </w:rPr>
        <w:t>סי</w:t>
      </w:r>
      <w:r w:rsidRPr="009462EA">
        <w:rPr>
          <w:rFonts w:cs="Arial"/>
          <w:sz w:val="16"/>
          <w:szCs w:val="16"/>
          <w:rtl/>
        </w:rPr>
        <w:t xml:space="preserve">' </w:t>
      </w:r>
      <w:r w:rsidRPr="009462EA">
        <w:rPr>
          <w:rFonts w:cs="Arial" w:hint="cs"/>
          <w:sz w:val="16"/>
          <w:szCs w:val="16"/>
          <w:rtl/>
        </w:rPr>
        <w:t>יד, כ"כ הכל בו [ר</w:t>
      </w:r>
      <w:r w:rsidRPr="009462EA">
        <w:rPr>
          <w:rFonts w:cs="Arial"/>
          <w:sz w:val="16"/>
          <w:szCs w:val="16"/>
          <w:rtl/>
        </w:rPr>
        <w:t>"</w:t>
      </w:r>
      <w:r w:rsidRPr="009462EA">
        <w:rPr>
          <w:rFonts w:cs="Arial" w:hint="cs"/>
          <w:sz w:val="16"/>
          <w:szCs w:val="16"/>
          <w:rtl/>
        </w:rPr>
        <w:t>ס</w:t>
      </w:r>
      <w:r w:rsidRPr="009462EA">
        <w:rPr>
          <w:rFonts w:cs="Arial"/>
          <w:sz w:val="16"/>
          <w:szCs w:val="16"/>
          <w:rtl/>
        </w:rPr>
        <w:t xml:space="preserve"> </w:t>
      </w:r>
      <w:r w:rsidRPr="009462EA">
        <w:rPr>
          <w:rFonts w:cs="Arial" w:hint="cs"/>
          <w:sz w:val="16"/>
          <w:szCs w:val="16"/>
          <w:rtl/>
        </w:rPr>
        <w:t>לא</w:t>
      </w:r>
      <w:r w:rsidRPr="009462EA">
        <w:rPr>
          <w:rFonts w:cs="Arial"/>
          <w:sz w:val="16"/>
          <w:szCs w:val="16"/>
          <w:rtl/>
        </w:rPr>
        <w:t xml:space="preserve">, </w:t>
      </w:r>
      <w:r w:rsidRPr="009462EA">
        <w:rPr>
          <w:rFonts w:cs="Arial" w:hint="cs"/>
          <w:sz w:val="16"/>
          <w:szCs w:val="16"/>
          <w:rtl/>
        </w:rPr>
        <w:t>כה</w:t>
      </w:r>
      <w:r w:rsidRPr="009462EA">
        <w:rPr>
          <w:rFonts w:cs="Arial"/>
          <w:sz w:val="16"/>
          <w:szCs w:val="16"/>
          <w:rtl/>
        </w:rPr>
        <w:t xml:space="preserve"> </w:t>
      </w:r>
      <w:r w:rsidRPr="009462EA">
        <w:rPr>
          <w:rFonts w:cs="Arial" w:hint="cs"/>
          <w:sz w:val="16"/>
          <w:szCs w:val="16"/>
          <w:rtl/>
        </w:rPr>
        <w:t>ע</w:t>
      </w:r>
      <w:r w:rsidRPr="009462EA">
        <w:rPr>
          <w:rFonts w:cs="Arial"/>
          <w:sz w:val="16"/>
          <w:szCs w:val="16"/>
          <w:rtl/>
        </w:rPr>
        <w:t>"</w:t>
      </w:r>
      <w:r w:rsidRPr="009462EA">
        <w:rPr>
          <w:rFonts w:cs="Arial" w:hint="cs"/>
          <w:sz w:val="16"/>
          <w:szCs w:val="16"/>
          <w:rtl/>
        </w:rPr>
        <w:t>ג] בשמו)</w:t>
      </w:r>
      <w:r>
        <w:rPr>
          <w:rFonts w:cs="Arial" w:hint="cs"/>
          <w:rtl/>
        </w:rPr>
        <w:t xml:space="preserve"> ואו"ז </w:t>
      </w:r>
      <w:r w:rsidRPr="00765E9F">
        <w:rPr>
          <w:rFonts w:cs="Arial" w:hint="cs"/>
          <w:sz w:val="16"/>
          <w:szCs w:val="16"/>
          <w:rtl/>
        </w:rPr>
        <w:t>(הלכות ערב שבת סי ט)</w:t>
      </w:r>
      <w:r>
        <w:rPr>
          <w:rFonts w:cs="Arial" w:hint="cs"/>
          <w:rtl/>
        </w:rPr>
        <w:t>-</w:t>
      </w:r>
      <w:r w:rsidRPr="00765E9F">
        <w:rPr>
          <w:rtl/>
        </w:rPr>
        <w:t xml:space="preserve"> </w:t>
      </w:r>
      <w:r w:rsidRPr="00765E9F">
        <w:rPr>
          <w:rFonts w:cs="Arial"/>
          <w:rtl/>
        </w:rPr>
        <w:t>ומעתה הואיל שפירשנו דהדלקת נרות הויא קבלת שבת נראה בעיני דמי שהדליק נרות בביתו והולך לבית הכנסת שאסור לו להדליק נרות בבית הכנסת</w:t>
      </w:r>
      <w:r>
        <w:rPr>
          <w:rFonts w:cs="Arial" w:hint="cs"/>
          <w:rtl/>
        </w:rPr>
        <w:t>,</w:t>
      </w:r>
      <w:r w:rsidRPr="00765E9F">
        <w:rPr>
          <w:rFonts w:cs="Arial"/>
          <w:rtl/>
        </w:rPr>
        <w:t xml:space="preserve"> שכבר קבל עליו השבת</w:t>
      </w:r>
      <w:r>
        <w:rPr>
          <w:rFonts w:cs="Arial" w:hint="cs"/>
          <w:rtl/>
        </w:rPr>
        <w:t xml:space="preserve">... </w:t>
      </w:r>
      <w:r w:rsidRPr="00765E9F">
        <w:rPr>
          <w:rFonts w:cs="Arial"/>
          <w:rtl/>
        </w:rPr>
        <w:t>ומי שהיה מדליק נרות שבת ומתנה ע"מ שלא יאסר עדיין בכל מלאכות</w:t>
      </w:r>
      <w:r>
        <w:rPr>
          <w:rFonts w:cs="Arial" w:hint="cs"/>
          <w:rtl/>
        </w:rPr>
        <w:t>,</w:t>
      </w:r>
      <w:r w:rsidRPr="00765E9F">
        <w:rPr>
          <w:rFonts w:cs="Arial"/>
          <w:rtl/>
        </w:rPr>
        <w:t xml:space="preserve"> נראה בעיני דבטלה דעתו</w:t>
      </w:r>
      <w:r>
        <w:rPr>
          <w:rFonts w:cs="Arial" w:hint="cs"/>
          <w:rtl/>
        </w:rPr>
        <w:t xml:space="preserve">, </w:t>
      </w:r>
      <w:r w:rsidRPr="00765E9F">
        <w:rPr>
          <w:rFonts w:cs="Arial"/>
          <w:rtl/>
        </w:rPr>
        <w:t>דהרואה אומר דלאחר שקבל עליו השבת עושה מלאכה</w:t>
      </w:r>
      <w:r>
        <w:rPr>
          <w:rFonts w:cs="Arial" w:hint="cs"/>
          <w:sz w:val="16"/>
          <w:szCs w:val="16"/>
          <w:rtl/>
        </w:rPr>
        <w:t xml:space="preserve"> (ל' האו"ז)</w:t>
      </w:r>
      <w:r>
        <w:rPr>
          <w:rFonts w:cs="Arial" w:hint="cs"/>
          <w:rtl/>
        </w:rPr>
        <w:t>.</w:t>
      </w:r>
    </w:p>
    <w:p w14:paraId="17E5C461" w14:textId="77777777" w:rsidR="004B2E7C" w:rsidRPr="004C4CDF" w:rsidRDefault="004B2E7C" w:rsidP="00434A6A">
      <w:pPr>
        <w:ind w:left="360"/>
        <w:rPr>
          <w:rFonts w:cs="Arial"/>
          <w:u w:val="dotted"/>
        </w:rPr>
      </w:pPr>
      <w:r w:rsidRPr="004C4CDF">
        <w:rPr>
          <w:rFonts w:cs="Arial"/>
          <w:u w:val="dotted"/>
          <w:rtl/>
        </w:rPr>
        <w:t xml:space="preserve"> </w:t>
      </w:r>
      <w:r w:rsidRPr="004C4CDF">
        <w:rPr>
          <w:rFonts w:cs="Arial" w:hint="cs"/>
          <w:u w:val="dotted"/>
          <w:rtl/>
        </w:rPr>
        <w:t xml:space="preserve">לבה"ג וסיעתו </w:t>
      </w:r>
      <w:r w:rsidRPr="004C4CDF">
        <w:rPr>
          <w:rFonts w:cs="Arial"/>
          <w:u w:val="dotted"/>
          <w:rtl/>
        </w:rPr>
        <w:t>–</w:t>
      </w:r>
      <w:r w:rsidRPr="004C4CDF">
        <w:rPr>
          <w:rFonts w:cs="Arial" w:hint="cs"/>
          <w:u w:val="dotted"/>
          <w:rtl/>
        </w:rPr>
        <w:t xml:space="preserve"> איזה נר ידליק תחילה:</w:t>
      </w:r>
    </w:p>
    <w:p w14:paraId="64AB8039" w14:textId="77777777" w:rsidR="004B2E7C" w:rsidRPr="004C4CDF" w:rsidRDefault="004B2E7C" w:rsidP="00FF2D21">
      <w:pPr>
        <w:pStyle w:val="aa"/>
        <w:numPr>
          <w:ilvl w:val="0"/>
          <w:numId w:val="87"/>
        </w:numPr>
        <w:rPr>
          <w:rFonts w:cs="Arial"/>
        </w:rPr>
      </w:pPr>
      <w:r>
        <w:rPr>
          <w:rFonts w:cs="Arial" w:hint="cs"/>
          <w:rtl/>
        </w:rPr>
        <w:t xml:space="preserve">או"ז </w:t>
      </w:r>
      <w:r w:rsidRPr="00765E9F">
        <w:rPr>
          <w:rFonts w:cs="Arial" w:hint="cs"/>
          <w:sz w:val="16"/>
          <w:szCs w:val="16"/>
          <w:rtl/>
        </w:rPr>
        <w:t>(הלכות ערב שבת סי ט)</w:t>
      </w:r>
      <w:r>
        <w:rPr>
          <w:rFonts w:cs="Arial" w:hint="cs"/>
          <w:rtl/>
        </w:rPr>
        <w:t xml:space="preserve">- </w:t>
      </w:r>
      <w:r w:rsidRPr="00765E9F">
        <w:rPr>
          <w:rFonts w:cs="Arial"/>
          <w:rtl/>
        </w:rPr>
        <w:t>מנהג כשר הוא להדליק תחילה כל נרות שבבית ואח"כ נרות שע"ג השלחן כי אותו נר הוא הבא לכבוד שבת</w:t>
      </w:r>
      <w:r>
        <w:rPr>
          <w:rFonts w:cs="Arial" w:hint="cs"/>
          <w:rtl/>
        </w:rPr>
        <w:t>.</w:t>
      </w:r>
      <w:r w:rsidRPr="00932D01">
        <w:rPr>
          <w:rFonts w:cs="Arial" w:hint="cs"/>
          <w:color w:val="00B0F0"/>
          <w:rtl/>
        </w:rPr>
        <w:t xml:space="preserve"> </w:t>
      </w:r>
      <w:r w:rsidRPr="004B7549">
        <w:rPr>
          <w:rFonts w:cs="Arial" w:hint="cs"/>
          <w:color w:val="00B0F0"/>
          <w:rtl/>
        </w:rPr>
        <w:t>(וכ"פ הרמ"א)</w:t>
      </w:r>
    </w:p>
    <w:p w14:paraId="2262F362" w14:textId="77777777" w:rsidR="004B2E7C" w:rsidRPr="009462EA" w:rsidRDefault="004B2E7C" w:rsidP="00434A6A">
      <w:pPr>
        <w:rPr>
          <w:rFonts w:cs="Arial"/>
          <w:u w:val="single"/>
        </w:rPr>
      </w:pPr>
      <w:r w:rsidRPr="009462EA">
        <w:rPr>
          <w:rFonts w:cs="Arial" w:hint="cs"/>
          <w:u w:val="single"/>
          <w:rtl/>
        </w:rPr>
        <w:t xml:space="preserve">לדעת בה"ג - אם מותר להדליק את כל הנרות </w:t>
      </w:r>
      <w:r w:rsidRPr="009462EA">
        <w:rPr>
          <w:rFonts w:cs="Arial" w:hint="cs"/>
          <w:sz w:val="16"/>
          <w:szCs w:val="16"/>
          <w:u w:val="single"/>
          <w:rtl/>
        </w:rPr>
        <w:t xml:space="preserve">(ולא לעצור אחרי הנר הראשון) </w:t>
      </w:r>
      <w:r w:rsidRPr="009462EA">
        <w:rPr>
          <w:rFonts w:cs="Arial" w:hint="cs"/>
          <w:u w:val="single"/>
          <w:rtl/>
        </w:rPr>
        <w:t>מדוע אסור לכבות את הנר שמדליקים ממנו:</w:t>
      </w:r>
    </w:p>
    <w:p w14:paraId="491FC6ED" w14:textId="77777777" w:rsidR="004B2E7C" w:rsidRDefault="004B2E7C" w:rsidP="00FF2D21">
      <w:pPr>
        <w:pStyle w:val="aa"/>
        <w:numPr>
          <w:ilvl w:val="0"/>
          <w:numId w:val="87"/>
        </w:numPr>
        <w:rPr>
          <w:rFonts w:cs="Arial"/>
        </w:rPr>
      </w:pPr>
      <w:r w:rsidRPr="00FF77FF">
        <w:rPr>
          <w:rFonts w:cs="Arial" w:hint="cs"/>
          <w:rtl/>
        </w:rPr>
        <w:t>שב</w:t>
      </w:r>
      <w:r>
        <w:rPr>
          <w:rFonts w:cs="Arial" w:hint="cs"/>
          <w:rtl/>
        </w:rPr>
        <w:t>ה"ל</w:t>
      </w:r>
      <w:r w:rsidRPr="00FF77FF">
        <w:rPr>
          <w:rFonts w:cs="Arial"/>
          <w:rtl/>
        </w:rPr>
        <w:t xml:space="preserve"> </w:t>
      </w:r>
      <w:r w:rsidRPr="009462EA">
        <w:rPr>
          <w:rFonts w:cs="Arial"/>
          <w:sz w:val="16"/>
          <w:szCs w:val="16"/>
          <w:rtl/>
        </w:rPr>
        <w:t>(</w:t>
      </w:r>
      <w:r w:rsidRPr="009462EA">
        <w:rPr>
          <w:rFonts w:cs="Arial" w:hint="cs"/>
          <w:sz w:val="16"/>
          <w:szCs w:val="16"/>
          <w:rtl/>
        </w:rPr>
        <w:t>סי</w:t>
      </w:r>
      <w:r w:rsidRPr="009462EA">
        <w:rPr>
          <w:rFonts w:cs="Arial"/>
          <w:sz w:val="16"/>
          <w:szCs w:val="16"/>
          <w:rtl/>
        </w:rPr>
        <w:t xml:space="preserve">' </w:t>
      </w:r>
      <w:r w:rsidRPr="009462EA">
        <w:rPr>
          <w:rFonts w:cs="Arial" w:hint="cs"/>
          <w:sz w:val="16"/>
          <w:szCs w:val="16"/>
          <w:rtl/>
        </w:rPr>
        <w:t>נט</w:t>
      </w:r>
      <w:r w:rsidRPr="009462EA">
        <w:rPr>
          <w:rFonts w:cs="Arial"/>
          <w:sz w:val="16"/>
          <w:szCs w:val="16"/>
          <w:rtl/>
        </w:rPr>
        <w:t>)</w:t>
      </w:r>
      <w:r>
        <w:rPr>
          <w:rFonts w:cs="Arial" w:hint="cs"/>
          <w:rtl/>
        </w:rPr>
        <w:t>-</w:t>
      </w:r>
      <w:r w:rsidRPr="00FF77FF">
        <w:rPr>
          <w:rFonts w:cs="Arial"/>
          <w:rtl/>
        </w:rPr>
        <w:t xml:space="preserve"> </w:t>
      </w:r>
      <w:r w:rsidRPr="00FF77FF">
        <w:rPr>
          <w:rFonts w:cs="Arial" w:hint="cs"/>
          <w:rtl/>
        </w:rPr>
        <w:t>יש</w:t>
      </w:r>
      <w:r w:rsidRPr="00FF77FF">
        <w:rPr>
          <w:rFonts w:cs="Arial"/>
          <w:rtl/>
        </w:rPr>
        <w:t xml:space="preserve"> </w:t>
      </w:r>
      <w:r w:rsidRPr="00FF77FF">
        <w:rPr>
          <w:rFonts w:cs="Arial" w:hint="cs"/>
          <w:rtl/>
        </w:rPr>
        <w:t>אנשים</w:t>
      </w:r>
      <w:r w:rsidRPr="00FF77FF">
        <w:rPr>
          <w:rFonts w:cs="Arial"/>
          <w:rtl/>
        </w:rPr>
        <w:t xml:space="preserve"> </w:t>
      </w:r>
      <w:r w:rsidRPr="00FF77FF">
        <w:rPr>
          <w:rFonts w:cs="Arial" w:hint="cs"/>
          <w:rtl/>
        </w:rPr>
        <w:t>שמדליקין</w:t>
      </w:r>
      <w:r w:rsidRPr="00FF77FF">
        <w:rPr>
          <w:rFonts w:cs="Arial"/>
          <w:rtl/>
        </w:rPr>
        <w:t xml:space="preserve"> </w:t>
      </w:r>
      <w:r w:rsidRPr="00FF77FF">
        <w:rPr>
          <w:rFonts w:cs="Arial" w:hint="cs"/>
          <w:rtl/>
        </w:rPr>
        <w:t>הנר</w:t>
      </w:r>
      <w:r w:rsidRPr="00FF77FF">
        <w:rPr>
          <w:rFonts w:cs="Arial"/>
          <w:rtl/>
        </w:rPr>
        <w:t xml:space="preserve"> </w:t>
      </w:r>
      <w:r w:rsidRPr="00FF77FF">
        <w:rPr>
          <w:rFonts w:cs="Arial" w:hint="cs"/>
          <w:rtl/>
        </w:rPr>
        <w:t>בפתילה</w:t>
      </w:r>
      <w:r w:rsidRPr="00FF77FF">
        <w:rPr>
          <w:rFonts w:cs="Arial"/>
          <w:rtl/>
        </w:rPr>
        <w:t xml:space="preserve"> </w:t>
      </w:r>
      <w:r w:rsidRPr="00FF77FF">
        <w:rPr>
          <w:rFonts w:cs="Arial" w:hint="cs"/>
          <w:rtl/>
        </w:rPr>
        <w:t>ואחר</w:t>
      </w:r>
      <w:r w:rsidRPr="00FF77FF">
        <w:rPr>
          <w:rFonts w:cs="Arial"/>
          <w:rtl/>
        </w:rPr>
        <w:t xml:space="preserve"> </w:t>
      </w:r>
      <w:r w:rsidRPr="00FF77FF">
        <w:rPr>
          <w:rFonts w:cs="Arial" w:hint="cs"/>
          <w:rtl/>
        </w:rPr>
        <w:t>שבירכו</w:t>
      </w:r>
      <w:r w:rsidRPr="00FF77FF">
        <w:rPr>
          <w:rFonts w:cs="Arial"/>
          <w:rtl/>
        </w:rPr>
        <w:t xml:space="preserve"> </w:t>
      </w:r>
      <w:r w:rsidRPr="00FF77FF">
        <w:rPr>
          <w:rFonts w:cs="Arial" w:hint="cs"/>
          <w:rtl/>
        </w:rPr>
        <w:t>והדליקו</w:t>
      </w:r>
      <w:r w:rsidRPr="00FF77FF">
        <w:rPr>
          <w:rFonts w:cs="Arial"/>
          <w:rtl/>
        </w:rPr>
        <w:t xml:space="preserve"> </w:t>
      </w:r>
      <w:r w:rsidRPr="00FF77FF">
        <w:rPr>
          <w:rFonts w:cs="Arial" w:hint="cs"/>
          <w:rtl/>
        </w:rPr>
        <w:t>הנר</w:t>
      </w:r>
      <w:r w:rsidRPr="00FF77FF">
        <w:rPr>
          <w:rFonts w:cs="Arial"/>
          <w:rtl/>
        </w:rPr>
        <w:t xml:space="preserve"> </w:t>
      </w:r>
      <w:r w:rsidRPr="00FF77FF">
        <w:rPr>
          <w:rFonts w:cs="Arial" w:hint="cs"/>
          <w:rtl/>
        </w:rPr>
        <w:t>משליכין</w:t>
      </w:r>
      <w:r w:rsidRPr="00FF77FF">
        <w:rPr>
          <w:rFonts w:cs="Arial"/>
          <w:rtl/>
        </w:rPr>
        <w:t xml:space="preserve"> </w:t>
      </w:r>
      <w:r w:rsidRPr="00FF77FF">
        <w:rPr>
          <w:rFonts w:cs="Arial" w:hint="cs"/>
          <w:rtl/>
        </w:rPr>
        <w:t>הפתילה</w:t>
      </w:r>
      <w:r w:rsidRPr="00FF77FF">
        <w:rPr>
          <w:rFonts w:cs="Arial"/>
          <w:rtl/>
        </w:rPr>
        <w:t xml:space="preserve"> </w:t>
      </w:r>
      <w:r w:rsidRPr="00FF77FF">
        <w:rPr>
          <w:rFonts w:cs="Arial" w:hint="cs"/>
          <w:rtl/>
        </w:rPr>
        <w:t>לארץ</w:t>
      </w:r>
      <w:r w:rsidRPr="00FF77FF">
        <w:rPr>
          <w:rFonts w:cs="Arial"/>
          <w:rtl/>
        </w:rPr>
        <w:t xml:space="preserve"> </w:t>
      </w:r>
      <w:r w:rsidRPr="00FF77FF">
        <w:rPr>
          <w:rFonts w:cs="Arial" w:hint="cs"/>
          <w:rtl/>
        </w:rPr>
        <w:t>וגם</w:t>
      </w:r>
      <w:r w:rsidRPr="00FF77FF">
        <w:rPr>
          <w:rFonts w:cs="Arial"/>
          <w:rtl/>
        </w:rPr>
        <w:t xml:space="preserve"> </w:t>
      </w:r>
      <w:r w:rsidRPr="00FF77FF">
        <w:rPr>
          <w:rFonts w:cs="Arial" w:hint="cs"/>
          <w:rtl/>
        </w:rPr>
        <w:t>בה</w:t>
      </w:r>
      <w:r w:rsidRPr="00FF77FF">
        <w:rPr>
          <w:rFonts w:cs="Arial"/>
          <w:rtl/>
        </w:rPr>
        <w:t>"</w:t>
      </w:r>
      <w:r w:rsidRPr="00FF77FF">
        <w:rPr>
          <w:rFonts w:cs="Arial" w:hint="cs"/>
          <w:rtl/>
        </w:rPr>
        <w:t>ג</w:t>
      </w:r>
      <w:r w:rsidRPr="00FF77FF">
        <w:rPr>
          <w:rFonts w:cs="Arial"/>
          <w:rtl/>
        </w:rPr>
        <w:t xml:space="preserve"> </w:t>
      </w:r>
      <w:r w:rsidRPr="00FF77FF">
        <w:rPr>
          <w:rFonts w:cs="Arial" w:hint="cs"/>
          <w:rtl/>
        </w:rPr>
        <w:t>אוסר</w:t>
      </w:r>
      <w:r w:rsidRPr="00FF77FF">
        <w:rPr>
          <w:rFonts w:cs="Arial"/>
          <w:rtl/>
        </w:rPr>
        <w:t xml:space="preserve"> </w:t>
      </w:r>
      <w:r w:rsidRPr="00FF77FF">
        <w:rPr>
          <w:rFonts w:cs="Arial" w:hint="cs"/>
          <w:rtl/>
        </w:rPr>
        <w:t>להדליק</w:t>
      </w:r>
      <w:r w:rsidRPr="00FF77FF">
        <w:rPr>
          <w:rFonts w:cs="Arial"/>
          <w:rtl/>
        </w:rPr>
        <w:t xml:space="preserve"> </w:t>
      </w:r>
      <w:r w:rsidRPr="00FF77FF">
        <w:rPr>
          <w:rFonts w:cs="Arial" w:hint="cs"/>
          <w:rtl/>
        </w:rPr>
        <w:t>נר</w:t>
      </w:r>
      <w:r w:rsidRPr="00FF77FF">
        <w:rPr>
          <w:rFonts w:cs="Arial"/>
          <w:rtl/>
        </w:rPr>
        <w:t xml:space="preserve"> </w:t>
      </w:r>
      <w:r w:rsidRPr="00FF77FF">
        <w:rPr>
          <w:rFonts w:cs="Arial" w:hint="cs"/>
          <w:rtl/>
        </w:rPr>
        <w:t>חנוכה</w:t>
      </w:r>
      <w:r w:rsidRPr="00FF77FF">
        <w:rPr>
          <w:rFonts w:cs="Arial"/>
          <w:rtl/>
        </w:rPr>
        <w:t xml:space="preserve"> </w:t>
      </w:r>
      <w:r w:rsidRPr="00FF77FF">
        <w:rPr>
          <w:rFonts w:cs="Arial" w:hint="cs"/>
          <w:rtl/>
        </w:rPr>
        <w:t>אחר</w:t>
      </w:r>
      <w:r w:rsidRPr="00FF77FF">
        <w:rPr>
          <w:rFonts w:cs="Arial"/>
          <w:rtl/>
        </w:rPr>
        <w:t xml:space="preserve"> </w:t>
      </w:r>
      <w:r w:rsidRPr="00FF77FF">
        <w:rPr>
          <w:rFonts w:cs="Arial" w:hint="cs"/>
          <w:rtl/>
        </w:rPr>
        <w:t>נר</w:t>
      </w:r>
      <w:r w:rsidRPr="00FF77FF">
        <w:rPr>
          <w:rFonts w:cs="Arial"/>
          <w:rtl/>
        </w:rPr>
        <w:t xml:space="preserve"> </w:t>
      </w:r>
      <w:r w:rsidRPr="00FF77FF">
        <w:rPr>
          <w:rFonts w:cs="Arial" w:hint="cs"/>
          <w:rtl/>
        </w:rPr>
        <w:t>שבת</w:t>
      </w:r>
      <w:r w:rsidRPr="00FF77FF">
        <w:rPr>
          <w:rFonts w:cs="Arial"/>
          <w:rtl/>
        </w:rPr>
        <w:t xml:space="preserve"> </w:t>
      </w:r>
      <w:r w:rsidRPr="00FF77FF">
        <w:rPr>
          <w:rFonts w:cs="Arial" w:hint="cs"/>
          <w:rtl/>
        </w:rPr>
        <w:t>ותימה</w:t>
      </w:r>
      <w:r w:rsidRPr="00FF77FF">
        <w:rPr>
          <w:rFonts w:cs="Arial"/>
          <w:rtl/>
        </w:rPr>
        <w:t xml:space="preserve"> </w:t>
      </w:r>
      <w:r w:rsidRPr="00FF77FF">
        <w:rPr>
          <w:rFonts w:cs="Arial" w:hint="cs"/>
          <w:rtl/>
        </w:rPr>
        <w:t>לה</w:t>
      </w:r>
      <w:r w:rsidRPr="00FF77FF">
        <w:rPr>
          <w:rFonts w:cs="Arial"/>
          <w:rtl/>
        </w:rPr>
        <w:t>"</w:t>
      </w:r>
      <w:r w:rsidRPr="00FF77FF">
        <w:rPr>
          <w:rFonts w:cs="Arial" w:hint="cs"/>
          <w:rtl/>
        </w:rPr>
        <w:t>ר</w:t>
      </w:r>
      <w:r w:rsidRPr="00FF77FF">
        <w:rPr>
          <w:rFonts w:cs="Arial"/>
          <w:rtl/>
        </w:rPr>
        <w:t xml:space="preserve"> </w:t>
      </w:r>
      <w:r w:rsidRPr="00FF77FF">
        <w:rPr>
          <w:rFonts w:cs="Arial" w:hint="cs"/>
          <w:rtl/>
        </w:rPr>
        <w:t>בנימין</w:t>
      </w:r>
      <w:r w:rsidRPr="00FF77FF">
        <w:rPr>
          <w:rFonts w:cs="Arial"/>
          <w:rtl/>
        </w:rPr>
        <w:t xml:space="preserve"> </w:t>
      </w:r>
      <w:r w:rsidRPr="00FF77FF">
        <w:rPr>
          <w:rFonts w:cs="Arial" w:hint="cs"/>
          <w:rtl/>
        </w:rPr>
        <w:t>שאם</w:t>
      </w:r>
      <w:r w:rsidRPr="00FF77FF">
        <w:rPr>
          <w:rFonts w:cs="Arial"/>
          <w:rtl/>
        </w:rPr>
        <w:t xml:space="preserve"> </w:t>
      </w:r>
      <w:r w:rsidRPr="00FF77FF">
        <w:rPr>
          <w:rFonts w:cs="Arial" w:hint="cs"/>
          <w:rtl/>
        </w:rPr>
        <w:t>תאמר</w:t>
      </w:r>
      <w:r w:rsidRPr="00FF77FF">
        <w:rPr>
          <w:rFonts w:cs="Arial"/>
          <w:rtl/>
        </w:rPr>
        <w:t xml:space="preserve"> </w:t>
      </w:r>
      <w:r w:rsidRPr="00FF77FF">
        <w:rPr>
          <w:rFonts w:cs="Arial" w:hint="cs"/>
          <w:rtl/>
        </w:rPr>
        <w:t>שהברכה</w:t>
      </w:r>
      <w:r w:rsidRPr="00FF77FF">
        <w:rPr>
          <w:rFonts w:cs="Arial"/>
          <w:rtl/>
        </w:rPr>
        <w:t xml:space="preserve"> </w:t>
      </w:r>
      <w:r w:rsidRPr="00FF77FF">
        <w:rPr>
          <w:rFonts w:cs="Arial" w:hint="cs"/>
          <w:rtl/>
        </w:rPr>
        <w:t>חשובה</w:t>
      </w:r>
      <w:r w:rsidRPr="00FF77FF">
        <w:rPr>
          <w:rFonts w:cs="Arial"/>
          <w:rtl/>
        </w:rPr>
        <w:t xml:space="preserve"> </w:t>
      </w:r>
      <w:r w:rsidRPr="00FF77FF">
        <w:rPr>
          <w:rFonts w:cs="Arial" w:hint="cs"/>
          <w:rtl/>
        </w:rPr>
        <w:t>קבלת</w:t>
      </w:r>
      <w:r w:rsidRPr="00FF77FF">
        <w:rPr>
          <w:rFonts w:cs="Arial"/>
          <w:rtl/>
        </w:rPr>
        <w:t xml:space="preserve"> </w:t>
      </w:r>
      <w:r w:rsidRPr="00FF77FF">
        <w:rPr>
          <w:rFonts w:cs="Arial" w:hint="cs"/>
          <w:rtl/>
        </w:rPr>
        <w:t>שבת</w:t>
      </w:r>
      <w:r w:rsidRPr="00FF77FF">
        <w:rPr>
          <w:rFonts w:cs="Arial"/>
          <w:rtl/>
        </w:rPr>
        <w:t xml:space="preserve"> </w:t>
      </w:r>
      <w:r w:rsidRPr="00FF77FF">
        <w:rPr>
          <w:rFonts w:cs="Arial" w:hint="cs"/>
          <w:rtl/>
        </w:rPr>
        <w:t>אם</w:t>
      </w:r>
      <w:r w:rsidRPr="00FF77FF">
        <w:rPr>
          <w:rFonts w:cs="Arial"/>
          <w:rtl/>
        </w:rPr>
        <w:t xml:space="preserve"> </w:t>
      </w:r>
      <w:r w:rsidRPr="00FF77FF">
        <w:rPr>
          <w:rFonts w:cs="Arial" w:hint="cs"/>
          <w:rtl/>
        </w:rPr>
        <w:t>כן</w:t>
      </w:r>
      <w:r w:rsidRPr="00FF77FF">
        <w:rPr>
          <w:rFonts w:cs="Arial"/>
          <w:rtl/>
        </w:rPr>
        <w:t xml:space="preserve"> </w:t>
      </w:r>
      <w:r w:rsidRPr="00FF77FF">
        <w:rPr>
          <w:rFonts w:cs="Arial" w:hint="cs"/>
          <w:rtl/>
        </w:rPr>
        <w:t>יהא</w:t>
      </w:r>
      <w:r w:rsidRPr="00FF77FF">
        <w:rPr>
          <w:rFonts w:cs="Arial"/>
          <w:rtl/>
        </w:rPr>
        <w:t xml:space="preserve"> </w:t>
      </w:r>
      <w:r w:rsidRPr="00FF77FF">
        <w:rPr>
          <w:rFonts w:cs="Arial" w:hint="cs"/>
          <w:rtl/>
        </w:rPr>
        <w:t>אסור</w:t>
      </w:r>
      <w:r w:rsidRPr="00FF77FF">
        <w:rPr>
          <w:rFonts w:cs="Arial"/>
          <w:rtl/>
        </w:rPr>
        <w:t xml:space="preserve"> </w:t>
      </w:r>
      <w:r w:rsidRPr="00FF77FF">
        <w:rPr>
          <w:rFonts w:cs="Arial" w:hint="cs"/>
          <w:rtl/>
        </w:rPr>
        <w:t>להדליק</w:t>
      </w:r>
      <w:r w:rsidRPr="00FF77FF">
        <w:rPr>
          <w:rFonts w:cs="Arial"/>
          <w:rtl/>
        </w:rPr>
        <w:t xml:space="preserve"> </w:t>
      </w:r>
      <w:r w:rsidRPr="00FF77FF">
        <w:rPr>
          <w:rFonts w:cs="Arial" w:hint="cs"/>
          <w:rtl/>
        </w:rPr>
        <w:t>ע</w:t>
      </w:r>
      <w:r w:rsidRPr="00FF77FF">
        <w:rPr>
          <w:rFonts w:cs="Arial"/>
          <w:rtl/>
        </w:rPr>
        <w:t>"</w:t>
      </w:r>
      <w:r w:rsidRPr="00FF77FF">
        <w:rPr>
          <w:rFonts w:cs="Arial" w:hint="cs"/>
          <w:rtl/>
        </w:rPr>
        <w:t>כ</w:t>
      </w:r>
      <w:r>
        <w:rPr>
          <w:rFonts w:cs="Arial" w:hint="cs"/>
          <w:rtl/>
        </w:rPr>
        <w:t>.</w:t>
      </w:r>
      <w:r w:rsidRPr="00FF77FF">
        <w:rPr>
          <w:rFonts w:cs="Arial"/>
          <w:rtl/>
        </w:rPr>
        <w:t xml:space="preserve"> </w:t>
      </w:r>
      <w:r w:rsidRPr="00FF77FF">
        <w:rPr>
          <w:rFonts w:cs="Arial" w:hint="cs"/>
          <w:rtl/>
        </w:rPr>
        <w:t>ונראה</w:t>
      </w:r>
      <w:r w:rsidRPr="00FF77FF">
        <w:rPr>
          <w:rFonts w:cs="Arial"/>
          <w:rtl/>
        </w:rPr>
        <w:t xml:space="preserve"> </w:t>
      </w:r>
      <w:r w:rsidRPr="00FF77FF">
        <w:rPr>
          <w:rFonts w:cs="Arial" w:hint="cs"/>
          <w:rtl/>
        </w:rPr>
        <w:t>שאפשר</w:t>
      </w:r>
      <w:r w:rsidRPr="00FF77FF">
        <w:rPr>
          <w:rFonts w:cs="Arial"/>
          <w:rtl/>
        </w:rPr>
        <w:t xml:space="preserve"> </w:t>
      </w:r>
      <w:r w:rsidRPr="00FF77FF">
        <w:rPr>
          <w:rFonts w:cs="Arial" w:hint="cs"/>
          <w:rtl/>
        </w:rPr>
        <w:t>לומר</w:t>
      </w:r>
      <w:r w:rsidRPr="00FF77FF">
        <w:rPr>
          <w:rFonts w:cs="Arial"/>
          <w:rtl/>
        </w:rPr>
        <w:t xml:space="preserve"> </w:t>
      </w:r>
      <w:r w:rsidRPr="00FF77FF">
        <w:rPr>
          <w:rFonts w:cs="Arial" w:hint="cs"/>
          <w:rtl/>
        </w:rPr>
        <w:t>שדעתם</w:t>
      </w:r>
      <w:r w:rsidRPr="00FF77FF">
        <w:rPr>
          <w:rFonts w:cs="Arial"/>
          <w:rtl/>
        </w:rPr>
        <w:t xml:space="preserve"> </w:t>
      </w:r>
      <w:r w:rsidRPr="00FF77FF">
        <w:rPr>
          <w:rFonts w:cs="Arial" w:hint="cs"/>
          <w:rtl/>
        </w:rPr>
        <w:t>דבהדלקת</w:t>
      </w:r>
      <w:r w:rsidRPr="00FF77FF">
        <w:rPr>
          <w:rFonts w:cs="Arial"/>
          <w:rtl/>
        </w:rPr>
        <w:t xml:space="preserve"> </w:t>
      </w:r>
      <w:r w:rsidRPr="00FF77FF">
        <w:rPr>
          <w:rFonts w:cs="Arial" w:hint="cs"/>
          <w:rtl/>
        </w:rPr>
        <w:t>הנר</w:t>
      </w:r>
      <w:r w:rsidRPr="00FF77FF">
        <w:rPr>
          <w:rFonts w:cs="Arial"/>
          <w:rtl/>
        </w:rPr>
        <w:t xml:space="preserve"> </w:t>
      </w:r>
      <w:r w:rsidRPr="00FF77FF">
        <w:rPr>
          <w:rFonts w:cs="Arial" w:hint="cs"/>
          <w:rtl/>
        </w:rPr>
        <w:t>היא</w:t>
      </w:r>
      <w:r w:rsidRPr="00FF77FF">
        <w:rPr>
          <w:rFonts w:cs="Arial"/>
          <w:rtl/>
        </w:rPr>
        <w:t xml:space="preserve"> </w:t>
      </w:r>
      <w:r w:rsidRPr="00FF77FF">
        <w:rPr>
          <w:rFonts w:cs="Arial" w:hint="cs"/>
          <w:rtl/>
        </w:rPr>
        <w:t>הקבלה</w:t>
      </w:r>
      <w:r w:rsidRPr="00FF77FF">
        <w:rPr>
          <w:rFonts w:cs="Arial"/>
          <w:rtl/>
        </w:rPr>
        <w:t xml:space="preserve"> </w:t>
      </w:r>
      <w:r w:rsidRPr="00FF77FF">
        <w:rPr>
          <w:rFonts w:cs="Arial" w:hint="cs"/>
          <w:rtl/>
        </w:rPr>
        <w:t>וכדברי</w:t>
      </w:r>
      <w:r w:rsidRPr="00FF77FF">
        <w:rPr>
          <w:rFonts w:cs="Arial"/>
          <w:rtl/>
        </w:rPr>
        <w:t xml:space="preserve"> </w:t>
      </w:r>
      <w:r w:rsidRPr="00FF77FF">
        <w:rPr>
          <w:rFonts w:cs="Arial" w:hint="cs"/>
          <w:rtl/>
        </w:rPr>
        <w:t>בה</w:t>
      </w:r>
      <w:r w:rsidRPr="00FF77FF">
        <w:rPr>
          <w:rFonts w:cs="Arial"/>
          <w:rtl/>
        </w:rPr>
        <w:t>"</w:t>
      </w:r>
      <w:r w:rsidRPr="00FF77FF">
        <w:rPr>
          <w:rFonts w:cs="Arial" w:hint="cs"/>
          <w:rtl/>
        </w:rPr>
        <w:t>ג</w:t>
      </w:r>
      <w:r w:rsidRPr="00FF77FF">
        <w:rPr>
          <w:rFonts w:cs="Arial"/>
          <w:rtl/>
        </w:rPr>
        <w:t xml:space="preserve"> </w:t>
      </w:r>
      <w:r w:rsidRPr="00FF77FF">
        <w:rPr>
          <w:rFonts w:cs="Arial" w:hint="cs"/>
          <w:rtl/>
        </w:rPr>
        <w:t>וכל</w:t>
      </w:r>
      <w:r w:rsidRPr="00FF77FF">
        <w:rPr>
          <w:rFonts w:cs="Arial"/>
          <w:rtl/>
        </w:rPr>
        <w:t xml:space="preserve"> </w:t>
      </w:r>
      <w:r w:rsidRPr="00FF77FF">
        <w:rPr>
          <w:rFonts w:cs="Arial" w:hint="cs"/>
          <w:rtl/>
        </w:rPr>
        <w:t>נרות</w:t>
      </w:r>
      <w:r w:rsidRPr="00FF77FF">
        <w:rPr>
          <w:rFonts w:cs="Arial"/>
          <w:rtl/>
        </w:rPr>
        <w:t xml:space="preserve"> </w:t>
      </w:r>
      <w:r w:rsidRPr="00FF77FF">
        <w:rPr>
          <w:rFonts w:cs="Arial" w:hint="cs"/>
          <w:rtl/>
        </w:rPr>
        <w:t>שמדליק</w:t>
      </w:r>
      <w:r w:rsidRPr="00FF77FF">
        <w:rPr>
          <w:rFonts w:cs="Arial"/>
          <w:rtl/>
        </w:rPr>
        <w:t xml:space="preserve"> </w:t>
      </w:r>
      <w:r w:rsidRPr="00FF77FF">
        <w:rPr>
          <w:rFonts w:cs="Arial" w:hint="cs"/>
          <w:rtl/>
        </w:rPr>
        <w:t>לכבוד</w:t>
      </w:r>
      <w:r w:rsidRPr="00FF77FF">
        <w:rPr>
          <w:rFonts w:cs="Arial"/>
          <w:rtl/>
        </w:rPr>
        <w:t xml:space="preserve"> </w:t>
      </w:r>
      <w:r w:rsidRPr="00FF77FF">
        <w:rPr>
          <w:rFonts w:cs="Arial" w:hint="cs"/>
          <w:rtl/>
        </w:rPr>
        <w:t>שבת</w:t>
      </w:r>
      <w:r w:rsidRPr="00FF77FF">
        <w:rPr>
          <w:rFonts w:cs="Arial"/>
          <w:rtl/>
        </w:rPr>
        <w:t xml:space="preserve"> </w:t>
      </w:r>
      <w:r w:rsidRPr="00FF77FF">
        <w:rPr>
          <w:rFonts w:cs="Arial" w:hint="cs"/>
          <w:rtl/>
        </w:rPr>
        <w:t>כחד</w:t>
      </w:r>
      <w:r w:rsidRPr="00FF77FF">
        <w:rPr>
          <w:rFonts w:cs="Arial"/>
          <w:rtl/>
        </w:rPr>
        <w:t xml:space="preserve"> </w:t>
      </w:r>
      <w:r w:rsidRPr="00FF77FF">
        <w:rPr>
          <w:rFonts w:cs="Arial" w:hint="cs"/>
          <w:rtl/>
        </w:rPr>
        <w:t>חשיבי</w:t>
      </w:r>
      <w:r w:rsidRPr="00FF77FF">
        <w:rPr>
          <w:rFonts w:cs="Arial"/>
          <w:rtl/>
        </w:rPr>
        <w:t xml:space="preserve"> </w:t>
      </w:r>
      <w:r w:rsidRPr="00FF77FF">
        <w:rPr>
          <w:rFonts w:cs="Arial" w:hint="cs"/>
          <w:rtl/>
        </w:rPr>
        <w:t>ושרו</w:t>
      </w:r>
      <w:r w:rsidRPr="00FF77FF">
        <w:rPr>
          <w:rFonts w:cs="Arial"/>
          <w:rtl/>
        </w:rPr>
        <w:t xml:space="preserve"> </w:t>
      </w:r>
      <w:r w:rsidRPr="00FF77FF">
        <w:rPr>
          <w:rFonts w:cs="Arial" w:hint="cs"/>
          <w:rtl/>
        </w:rPr>
        <w:t>מה</w:t>
      </w:r>
      <w:r w:rsidRPr="00FF77FF">
        <w:rPr>
          <w:rFonts w:cs="Arial"/>
          <w:rtl/>
        </w:rPr>
        <w:t xml:space="preserve"> </w:t>
      </w:r>
      <w:r w:rsidRPr="00FF77FF">
        <w:rPr>
          <w:rFonts w:cs="Arial" w:hint="cs"/>
          <w:rtl/>
        </w:rPr>
        <w:t>שאין</w:t>
      </w:r>
      <w:r w:rsidRPr="00FF77FF">
        <w:rPr>
          <w:rFonts w:cs="Arial"/>
          <w:rtl/>
        </w:rPr>
        <w:t xml:space="preserve"> </w:t>
      </w:r>
      <w:r w:rsidRPr="00FF77FF">
        <w:rPr>
          <w:rFonts w:cs="Arial" w:hint="cs"/>
          <w:rtl/>
        </w:rPr>
        <w:t>כן</w:t>
      </w:r>
      <w:r w:rsidRPr="00FF77FF">
        <w:rPr>
          <w:rFonts w:cs="Arial"/>
          <w:rtl/>
        </w:rPr>
        <w:t xml:space="preserve"> </w:t>
      </w:r>
      <w:r w:rsidRPr="00FF77FF">
        <w:rPr>
          <w:rFonts w:cs="Arial" w:hint="cs"/>
          <w:rtl/>
        </w:rPr>
        <w:t>בכביית</w:t>
      </w:r>
      <w:r w:rsidRPr="00FF77FF">
        <w:rPr>
          <w:rFonts w:cs="Arial"/>
          <w:rtl/>
        </w:rPr>
        <w:t xml:space="preserve"> </w:t>
      </w:r>
      <w:r w:rsidRPr="00FF77FF">
        <w:rPr>
          <w:rFonts w:cs="Arial" w:hint="cs"/>
          <w:rtl/>
        </w:rPr>
        <w:t>פתילה</w:t>
      </w:r>
      <w:r w:rsidRPr="00FF77FF">
        <w:rPr>
          <w:rFonts w:cs="Arial"/>
          <w:rtl/>
        </w:rPr>
        <w:t xml:space="preserve"> </w:t>
      </w:r>
      <w:r w:rsidRPr="00FF77FF">
        <w:rPr>
          <w:rFonts w:cs="Arial" w:hint="cs"/>
          <w:rtl/>
        </w:rPr>
        <w:t>שהדליקו</w:t>
      </w:r>
      <w:r w:rsidRPr="00FF77FF">
        <w:rPr>
          <w:rFonts w:cs="Arial"/>
          <w:rtl/>
        </w:rPr>
        <w:t xml:space="preserve"> </w:t>
      </w:r>
      <w:r w:rsidRPr="00FF77FF">
        <w:rPr>
          <w:rFonts w:cs="Arial" w:hint="cs"/>
          <w:rtl/>
        </w:rPr>
        <w:t>בה</w:t>
      </w:r>
      <w:r>
        <w:rPr>
          <w:rFonts w:cs="Arial" w:hint="cs"/>
          <w:rtl/>
        </w:rPr>
        <w:t>.</w:t>
      </w:r>
      <w:r w:rsidRPr="00FF77FF">
        <w:rPr>
          <w:rFonts w:cs="Arial"/>
          <w:rtl/>
        </w:rPr>
        <w:t xml:space="preserve"> </w:t>
      </w:r>
    </w:p>
    <w:p w14:paraId="631F4125" w14:textId="77777777" w:rsidR="004B2E7C" w:rsidRPr="004C4CDF" w:rsidRDefault="004B2E7C" w:rsidP="00434A6A">
      <w:pPr>
        <w:rPr>
          <w:rFonts w:cs="Arial"/>
        </w:rPr>
      </w:pPr>
      <w:r w:rsidRPr="00932D01">
        <w:rPr>
          <w:rFonts w:cs="Arial" w:hint="cs"/>
          <w:u w:val="single"/>
          <w:rtl/>
        </w:rPr>
        <w:t>הרוצה להדליק במקום אחד ואח"כ להזיז למקום אחר:</w:t>
      </w:r>
      <w:r>
        <w:rPr>
          <w:rFonts w:cs="Arial" w:hint="cs"/>
          <w:rtl/>
        </w:rPr>
        <w:t xml:space="preserve"> </w:t>
      </w:r>
      <w:r w:rsidRPr="00932D01">
        <w:rPr>
          <w:rFonts w:cs="Arial" w:hint="cs"/>
          <w:sz w:val="16"/>
          <w:szCs w:val="16"/>
          <w:rtl/>
        </w:rPr>
        <w:t>(דרכ"מ אות ה)</w:t>
      </w:r>
    </w:p>
    <w:p w14:paraId="41131A7C" w14:textId="77777777" w:rsidR="004B2E7C" w:rsidRDefault="004B2E7C" w:rsidP="00FF2D21">
      <w:pPr>
        <w:pStyle w:val="aa"/>
        <w:numPr>
          <w:ilvl w:val="0"/>
          <w:numId w:val="87"/>
        </w:numPr>
        <w:rPr>
          <w:rFonts w:cs="Arial"/>
        </w:rPr>
      </w:pPr>
      <w:r w:rsidRPr="006737C8">
        <w:rPr>
          <w:rFonts w:cs="Arial" w:hint="cs"/>
          <w:rtl/>
        </w:rPr>
        <w:t>מרדכי</w:t>
      </w:r>
      <w:r w:rsidRPr="006737C8">
        <w:rPr>
          <w:rFonts w:cs="Arial"/>
          <w:rtl/>
        </w:rPr>
        <w:t xml:space="preserve"> </w:t>
      </w:r>
      <w:r w:rsidRPr="00932D01">
        <w:rPr>
          <w:rFonts w:cs="Arial" w:hint="cs"/>
          <w:sz w:val="16"/>
          <w:szCs w:val="16"/>
          <w:rtl/>
        </w:rPr>
        <w:t>(פ'</w:t>
      </w:r>
      <w:r w:rsidRPr="00932D01">
        <w:rPr>
          <w:rFonts w:cs="Arial"/>
          <w:sz w:val="16"/>
          <w:szCs w:val="16"/>
          <w:rtl/>
        </w:rPr>
        <w:t xml:space="preserve"> </w:t>
      </w:r>
      <w:r w:rsidRPr="00932D01">
        <w:rPr>
          <w:rFonts w:cs="Arial" w:hint="cs"/>
          <w:sz w:val="16"/>
          <w:szCs w:val="16"/>
          <w:rtl/>
        </w:rPr>
        <w:t>במה</w:t>
      </w:r>
      <w:r w:rsidRPr="00932D01">
        <w:rPr>
          <w:rFonts w:cs="Arial"/>
          <w:sz w:val="16"/>
          <w:szCs w:val="16"/>
          <w:rtl/>
        </w:rPr>
        <w:t xml:space="preserve"> </w:t>
      </w:r>
      <w:r w:rsidRPr="00932D01">
        <w:rPr>
          <w:rFonts w:cs="Arial" w:hint="cs"/>
          <w:sz w:val="16"/>
          <w:szCs w:val="16"/>
          <w:rtl/>
        </w:rPr>
        <w:t>מדליקין</w:t>
      </w:r>
      <w:r w:rsidRPr="00932D01">
        <w:rPr>
          <w:rFonts w:cs="Arial"/>
          <w:sz w:val="16"/>
          <w:szCs w:val="16"/>
          <w:rtl/>
        </w:rPr>
        <w:t xml:space="preserve"> </w:t>
      </w:r>
      <w:r w:rsidRPr="00932D01">
        <w:rPr>
          <w:rFonts w:cs="Arial" w:hint="cs"/>
          <w:sz w:val="16"/>
          <w:szCs w:val="16"/>
          <w:rtl/>
        </w:rPr>
        <w:t>סי</w:t>
      </w:r>
      <w:r w:rsidRPr="00932D01">
        <w:rPr>
          <w:rFonts w:cs="Arial"/>
          <w:sz w:val="16"/>
          <w:szCs w:val="16"/>
          <w:rtl/>
        </w:rPr>
        <w:t xml:space="preserve">' </w:t>
      </w:r>
      <w:r w:rsidRPr="00932D01">
        <w:rPr>
          <w:rFonts w:cs="Arial" w:hint="cs"/>
          <w:sz w:val="16"/>
          <w:szCs w:val="16"/>
          <w:rtl/>
        </w:rPr>
        <w:t>רעג</w:t>
      </w:r>
      <w:r w:rsidRPr="00932D01">
        <w:rPr>
          <w:rFonts w:cs="Arial"/>
          <w:sz w:val="16"/>
          <w:szCs w:val="16"/>
          <w:rtl/>
        </w:rPr>
        <w:t>)</w:t>
      </w:r>
      <w:r>
        <w:rPr>
          <w:rFonts w:cs="Arial" w:hint="cs"/>
          <w:rtl/>
        </w:rPr>
        <w:t>-</w:t>
      </w:r>
      <w:r w:rsidRPr="006737C8">
        <w:rPr>
          <w:rFonts w:cs="Arial"/>
          <w:rtl/>
        </w:rPr>
        <w:t xml:space="preserve"> </w:t>
      </w:r>
      <w:r w:rsidRPr="006737C8">
        <w:rPr>
          <w:rFonts w:cs="Arial" w:hint="cs"/>
          <w:rtl/>
        </w:rPr>
        <w:t>צריך</w:t>
      </w:r>
      <w:r w:rsidRPr="006737C8">
        <w:rPr>
          <w:rFonts w:cs="Arial"/>
          <w:rtl/>
        </w:rPr>
        <w:t xml:space="preserve"> </w:t>
      </w:r>
      <w:r w:rsidRPr="006737C8">
        <w:rPr>
          <w:rFonts w:cs="Arial" w:hint="cs"/>
          <w:rtl/>
        </w:rPr>
        <w:t>להניח</w:t>
      </w:r>
      <w:r w:rsidRPr="006737C8">
        <w:rPr>
          <w:rFonts w:cs="Arial"/>
          <w:rtl/>
        </w:rPr>
        <w:t xml:space="preserve"> </w:t>
      </w:r>
      <w:r w:rsidRPr="006737C8">
        <w:rPr>
          <w:rFonts w:cs="Arial" w:hint="cs"/>
          <w:rtl/>
        </w:rPr>
        <w:t>הנרות</w:t>
      </w:r>
      <w:r w:rsidRPr="006737C8">
        <w:rPr>
          <w:rFonts w:cs="Arial"/>
          <w:rtl/>
        </w:rPr>
        <w:t xml:space="preserve"> </w:t>
      </w:r>
      <w:r w:rsidRPr="006737C8">
        <w:rPr>
          <w:rFonts w:cs="Arial" w:hint="cs"/>
          <w:rtl/>
        </w:rPr>
        <w:t>במקום</w:t>
      </w:r>
      <w:r w:rsidRPr="006737C8">
        <w:rPr>
          <w:rFonts w:cs="Arial"/>
          <w:rtl/>
        </w:rPr>
        <w:t xml:space="preserve"> </w:t>
      </w:r>
      <w:r w:rsidRPr="006737C8">
        <w:rPr>
          <w:rFonts w:cs="Arial" w:hint="cs"/>
          <w:rtl/>
        </w:rPr>
        <w:t>ההדלקה</w:t>
      </w:r>
      <w:r w:rsidRPr="006737C8">
        <w:rPr>
          <w:rFonts w:cs="Arial"/>
          <w:rtl/>
        </w:rPr>
        <w:t xml:space="preserve"> </w:t>
      </w:r>
      <w:r w:rsidRPr="006737C8">
        <w:rPr>
          <w:rFonts w:cs="Arial" w:hint="cs"/>
          <w:rtl/>
        </w:rPr>
        <w:t>ולא</w:t>
      </w:r>
      <w:r w:rsidRPr="006737C8">
        <w:rPr>
          <w:rFonts w:cs="Arial"/>
          <w:rtl/>
        </w:rPr>
        <w:t xml:space="preserve"> </w:t>
      </w:r>
      <w:r w:rsidRPr="006737C8">
        <w:rPr>
          <w:rFonts w:cs="Arial" w:hint="cs"/>
          <w:rtl/>
        </w:rPr>
        <w:t>להדליק</w:t>
      </w:r>
      <w:r w:rsidRPr="006737C8">
        <w:rPr>
          <w:rFonts w:cs="Arial"/>
          <w:rtl/>
        </w:rPr>
        <w:t xml:space="preserve"> </w:t>
      </w:r>
      <w:r w:rsidRPr="006737C8">
        <w:rPr>
          <w:rFonts w:cs="Arial" w:hint="cs"/>
          <w:rtl/>
        </w:rPr>
        <w:t>במקום</w:t>
      </w:r>
      <w:r w:rsidRPr="006737C8">
        <w:rPr>
          <w:rFonts w:cs="Arial"/>
          <w:rtl/>
        </w:rPr>
        <w:t xml:space="preserve"> </w:t>
      </w:r>
      <w:r w:rsidRPr="006737C8">
        <w:rPr>
          <w:rFonts w:cs="Arial" w:hint="cs"/>
          <w:rtl/>
        </w:rPr>
        <w:t>זה</w:t>
      </w:r>
      <w:r w:rsidRPr="006737C8">
        <w:rPr>
          <w:rFonts w:cs="Arial"/>
          <w:rtl/>
        </w:rPr>
        <w:t xml:space="preserve"> </w:t>
      </w:r>
      <w:r w:rsidRPr="006737C8">
        <w:rPr>
          <w:rFonts w:cs="Arial" w:hint="cs"/>
          <w:rtl/>
        </w:rPr>
        <w:t>ולהניח</w:t>
      </w:r>
      <w:r w:rsidRPr="006737C8">
        <w:rPr>
          <w:rFonts w:cs="Arial"/>
          <w:rtl/>
        </w:rPr>
        <w:t xml:space="preserve"> </w:t>
      </w:r>
      <w:r w:rsidRPr="006737C8">
        <w:rPr>
          <w:rFonts w:cs="Arial" w:hint="cs"/>
          <w:rtl/>
        </w:rPr>
        <w:t>במקום</w:t>
      </w:r>
      <w:r w:rsidRPr="006737C8">
        <w:rPr>
          <w:rFonts w:cs="Arial"/>
          <w:rtl/>
        </w:rPr>
        <w:t xml:space="preserve"> </w:t>
      </w:r>
      <w:r w:rsidRPr="006737C8">
        <w:rPr>
          <w:rFonts w:cs="Arial" w:hint="cs"/>
          <w:rtl/>
        </w:rPr>
        <w:t>אחר</w:t>
      </w:r>
      <w:r>
        <w:rPr>
          <w:rFonts w:cs="Arial" w:hint="cs"/>
          <w:rtl/>
        </w:rPr>
        <w:t>.</w:t>
      </w:r>
      <w:r w:rsidRPr="00932D01">
        <w:rPr>
          <w:rFonts w:cs="Arial" w:hint="cs"/>
          <w:color w:val="00B0F0"/>
          <w:rtl/>
        </w:rPr>
        <w:t xml:space="preserve"> </w:t>
      </w:r>
      <w:r w:rsidRPr="004B7549">
        <w:rPr>
          <w:rFonts w:cs="Arial" w:hint="cs"/>
          <w:color w:val="00B0F0"/>
          <w:rtl/>
        </w:rPr>
        <w:t>(וכ"פ הרמ"א)</w:t>
      </w:r>
    </w:p>
    <w:p w14:paraId="14EBCC0F" w14:textId="77777777" w:rsidR="004B2E7C" w:rsidRPr="00872D0F" w:rsidRDefault="004B2E7C" w:rsidP="00434A6A">
      <w:pPr>
        <w:rPr>
          <w:rFonts w:cs="Arial"/>
          <w:u w:val="single"/>
        </w:rPr>
      </w:pPr>
      <w:r w:rsidRPr="00872D0F">
        <w:rPr>
          <w:rFonts w:cs="Arial" w:hint="cs"/>
          <w:u w:val="single"/>
          <w:rtl/>
        </w:rPr>
        <w:t xml:space="preserve">קהל שאמרו ברכו </w:t>
      </w:r>
      <w:r w:rsidRPr="00872D0F">
        <w:rPr>
          <w:rFonts w:cs="Arial"/>
          <w:u w:val="single"/>
          <w:rtl/>
        </w:rPr>
        <w:t>–</w:t>
      </w:r>
      <w:r w:rsidRPr="00872D0F">
        <w:rPr>
          <w:rFonts w:cs="Arial" w:hint="cs"/>
          <w:u w:val="single"/>
          <w:rtl/>
        </w:rPr>
        <w:t xml:space="preserve"> האם היחיד נמשך אחריהם:</w:t>
      </w:r>
    </w:p>
    <w:p w14:paraId="35001A17" w14:textId="77777777" w:rsidR="004B2E7C" w:rsidRPr="00C22483" w:rsidRDefault="004B2E7C" w:rsidP="00FF2D21">
      <w:pPr>
        <w:pStyle w:val="aa"/>
        <w:numPr>
          <w:ilvl w:val="0"/>
          <w:numId w:val="87"/>
        </w:numPr>
        <w:rPr>
          <w:rFonts w:cs="Arial"/>
          <w:rtl/>
        </w:rPr>
      </w:pPr>
      <w:r w:rsidRPr="00FF77FF">
        <w:rPr>
          <w:rFonts w:cs="Arial" w:hint="cs"/>
          <w:rtl/>
        </w:rPr>
        <w:t>הגה</w:t>
      </w:r>
      <w:r>
        <w:rPr>
          <w:rFonts w:cs="Arial" w:hint="cs"/>
          <w:rtl/>
        </w:rPr>
        <w:t>"מ</w:t>
      </w:r>
      <w:r w:rsidRPr="00FF77FF">
        <w:rPr>
          <w:rFonts w:cs="Arial"/>
          <w:rtl/>
        </w:rPr>
        <w:t xml:space="preserve"> </w:t>
      </w:r>
      <w:r w:rsidRPr="00872D0F">
        <w:rPr>
          <w:rFonts w:cs="Arial" w:hint="cs"/>
          <w:sz w:val="16"/>
          <w:szCs w:val="16"/>
          <w:rtl/>
        </w:rPr>
        <w:t>(ספ"ה</w:t>
      </w:r>
      <w:r w:rsidRPr="00872D0F">
        <w:rPr>
          <w:rFonts w:cs="Arial"/>
          <w:sz w:val="16"/>
          <w:szCs w:val="16"/>
          <w:rtl/>
        </w:rPr>
        <w:t xml:space="preserve"> </w:t>
      </w:r>
      <w:r w:rsidRPr="00872D0F">
        <w:rPr>
          <w:rFonts w:cs="Arial" w:hint="cs"/>
          <w:sz w:val="16"/>
          <w:szCs w:val="16"/>
          <w:rtl/>
        </w:rPr>
        <w:t>שם</w:t>
      </w:r>
      <w:r w:rsidRPr="00872D0F">
        <w:rPr>
          <w:rFonts w:cs="Arial"/>
          <w:sz w:val="16"/>
          <w:szCs w:val="16"/>
          <w:rtl/>
        </w:rPr>
        <w:t xml:space="preserve">) </w:t>
      </w:r>
      <w:r w:rsidRPr="00FF77FF">
        <w:rPr>
          <w:rFonts w:cs="Arial" w:hint="cs"/>
          <w:rtl/>
        </w:rPr>
        <w:t>מרדכי</w:t>
      </w:r>
      <w:r w:rsidRPr="00FF77FF">
        <w:rPr>
          <w:rFonts w:cs="Arial"/>
          <w:rtl/>
        </w:rPr>
        <w:t xml:space="preserve"> </w:t>
      </w:r>
      <w:r w:rsidRPr="00872D0F">
        <w:rPr>
          <w:rFonts w:cs="Arial" w:hint="cs"/>
          <w:sz w:val="16"/>
          <w:szCs w:val="16"/>
          <w:rtl/>
        </w:rPr>
        <w:t>(ס"פ</w:t>
      </w:r>
      <w:r w:rsidRPr="00872D0F">
        <w:rPr>
          <w:rFonts w:cs="Arial"/>
          <w:sz w:val="16"/>
          <w:szCs w:val="16"/>
          <w:rtl/>
        </w:rPr>
        <w:t xml:space="preserve"> </w:t>
      </w:r>
      <w:r w:rsidRPr="00872D0F">
        <w:rPr>
          <w:rFonts w:cs="Arial" w:hint="cs"/>
          <w:sz w:val="16"/>
          <w:szCs w:val="16"/>
          <w:rtl/>
        </w:rPr>
        <w:t>במה</w:t>
      </w:r>
      <w:r w:rsidRPr="00872D0F">
        <w:rPr>
          <w:rFonts w:cs="Arial"/>
          <w:sz w:val="16"/>
          <w:szCs w:val="16"/>
          <w:rtl/>
        </w:rPr>
        <w:t xml:space="preserve"> </w:t>
      </w:r>
      <w:r w:rsidRPr="00872D0F">
        <w:rPr>
          <w:rFonts w:cs="Arial" w:hint="cs"/>
          <w:sz w:val="16"/>
          <w:szCs w:val="16"/>
          <w:rtl/>
        </w:rPr>
        <w:t>מדליקין</w:t>
      </w:r>
      <w:r w:rsidRPr="00872D0F">
        <w:rPr>
          <w:rFonts w:cs="Arial"/>
          <w:sz w:val="16"/>
          <w:szCs w:val="16"/>
          <w:rtl/>
        </w:rPr>
        <w:t xml:space="preserve"> </w:t>
      </w:r>
      <w:r w:rsidRPr="00872D0F">
        <w:rPr>
          <w:rFonts w:cs="Arial" w:hint="cs"/>
          <w:sz w:val="16"/>
          <w:szCs w:val="16"/>
          <w:rtl/>
        </w:rPr>
        <w:t>סי</w:t>
      </w:r>
      <w:r w:rsidRPr="00872D0F">
        <w:rPr>
          <w:rFonts w:cs="Arial"/>
          <w:sz w:val="16"/>
          <w:szCs w:val="16"/>
          <w:rtl/>
        </w:rPr>
        <w:t xml:space="preserve">' </w:t>
      </w:r>
      <w:r w:rsidRPr="00872D0F">
        <w:rPr>
          <w:rFonts w:cs="Arial" w:hint="cs"/>
          <w:sz w:val="16"/>
          <w:szCs w:val="16"/>
          <w:rtl/>
        </w:rPr>
        <w:t>רצו</w:t>
      </w:r>
      <w:r w:rsidRPr="00872D0F">
        <w:rPr>
          <w:rFonts w:cs="Arial"/>
          <w:sz w:val="16"/>
          <w:szCs w:val="16"/>
          <w:rtl/>
        </w:rPr>
        <w:t xml:space="preserve"> </w:t>
      </w:r>
      <w:r w:rsidRPr="00872D0F">
        <w:rPr>
          <w:rFonts w:cs="Arial" w:hint="cs"/>
          <w:sz w:val="16"/>
          <w:szCs w:val="16"/>
          <w:rtl/>
        </w:rPr>
        <w:t>וסי' רצח</w:t>
      </w:r>
      <w:r w:rsidRPr="00872D0F">
        <w:rPr>
          <w:rFonts w:cs="Arial"/>
          <w:sz w:val="16"/>
          <w:szCs w:val="16"/>
          <w:rtl/>
        </w:rPr>
        <w:t xml:space="preserve">) </w:t>
      </w:r>
      <w:r>
        <w:rPr>
          <w:rFonts w:cs="Arial" w:hint="cs"/>
          <w:rtl/>
        </w:rPr>
        <w:t>ו</w:t>
      </w:r>
      <w:r w:rsidRPr="00FF77FF">
        <w:rPr>
          <w:rFonts w:cs="Arial" w:hint="cs"/>
          <w:rtl/>
        </w:rPr>
        <w:t>ר</w:t>
      </w:r>
      <w:r>
        <w:rPr>
          <w:rFonts w:cs="Arial" w:hint="cs"/>
          <w:rtl/>
        </w:rPr>
        <w:t xml:space="preserve">י"ו </w:t>
      </w:r>
      <w:r w:rsidRPr="00872D0F">
        <w:rPr>
          <w:rFonts w:cs="Arial" w:hint="cs"/>
          <w:sz w:val="16"/>
          <w:szCs w:val="16"/>
          <w:rtl/>
        </w:rPr>
        <w:t>(ח</w:t>
      </w:r>
      <w:r w:rsidRPr="00872D0F">
        <w:rPr>
          <w:rFonts w:cs="Arial"/>
          <w:sz w:val="16"/>
          <w:szCs w:val="16"/>
          <w:rtl/>
        </w:rPr>
        <w:t>"</w:t>
      </w:r>
      <w:r w:rsidRPr="00872D0F">
        <w:rPr>
          <w:rFonts w:cs="Arial" w:hint="cs"/>
          <w:sz w:val="16"/>
          <w:szCs w:val="16"/>
          <w:rtl/>
        </w:rPr>
        <w:t>א</w:t>
      </w:r>
      <w:r w:rsidRPr="00872D0F">
        <w:rPr>
          <w:rFonts w:cs="Arial"/>
          <w:sz w:val="16"/>
          <w:szCs w:val="16"/>
          <w:rtl/>
        </w:rPr>
        <w:t xml:space="preserve"> </w:t>
      </w:r>
      <w:r w:rsidRPr="00872D0F">
        <w:rPr>
          <w:rFonts w:cs="Arial" w:hint="cs"/>
          <w:sz w:val="16"/>
          <w:szCs w:val="16"/>
          <w:rtl/>
        </w:rPr>
        <w:t>סה</w:t>
      </w:r>
      <w:r w:rsidRPr="00872D0F">
        <w:rPr>
          <w:rFonts w:cs="Arial"/>
          <w:sz w:val="16"/>
          <w:szCs w:val="16"/>
          <w:rtl/>
        </w:rPr>
        <w:t xml:space="preserve"> </w:t>
      </w:r>
      <w:r w:rsidRPr="00872D0F">
        <w:rPr>
          <w:rFonts w:cs="Arial" w:hint="cs"/>
          <w:sz w:val="16"/>
          <w:szCs w:val="16"/>
          <w:rtl/>
        </w:rPr>
        <w:t>ע</w:t>
      </w:r>
      <w:r w:rsidRPr="00872D0F">
        <w:rPr>
          <w:rFonts w:cs="Arial"/>
          <w:sz w:val="16"/>
          <w:szCs w:val="16"/>
          <w:rtl/>
        </w:rPr>
        <w:t>"</w:t>
      </w:r>
      <w:r w:rsidRPr="00872D0F">
        <w:rPr>
          <w:rFonts w:cs="Arial" w:hint="cs"/>
          <w:sz w:val="16"/>
          <w:szCs w:val="16"/>
          <w:rtl/>
        </w:rPr>
        <w:t>ב</w:t>
      </w:r>
      <w:r w:rsidRPr="00872D0F">
        <w:rPr>
          <w:rFonts w:cs="Arial"/>
          <w:sz w:val="16"/>
          <w:szCs w:val="16"/>
          <w:rtl/>
        </w:rPr>
        <w:t>)</w:t>
      </w:r>
      <w:r>
        <w:rPr>
          <w:rFonts w:cs="Arial" w:hint="cs"/>
          <w:rtl/>
        </w:rPr>
        <w:t>-</w:t>
      </w:r>
      <w:r w:rsidRPr="00FD31E4">
        <w:rPr>
          <w:rtl/>
        </w:rPr>
        <w:t xml:space="preserve"> </w:t>
      </w:r>
      <w:r w:rsidRPr="00872D0F">
        <w:rPr>
          <w:rFonts w:cs="Arial"/>
          <w:rtl/>
        </w:rPr>
        <w:t>מצאתי בספר המקצעות שכתב בשם רב שרירא גאון</w:t>
      </w:r>
      <w:r>
        <w:rPr>
          <w:rFonts w:cs="Arial" w:hint="cs"/>
          <w:rtl/>
        </w:rPr>
        <w:t>... ו</w:t>
      </w:r>
      <w:r w:rsidRPr="00872D0F">
        <w:rPr>
          <w:rFonts w:cs="Arial"/>
          <w:rtl/>
        </w:rPr>
        <w:t>היכא שרוב הקהל קבלו עליהם שבת המיעוט על כרחם נמשכין אחריהם ואסורין במלאכה</w:t>
      </w:r>
      <w:r>
        <w:rPr>
          <w:rFonts w:cs="Arial" w:hint="cs"/>
          <w:rtl/>
        </w:rPr>
        <w:t xml:space="preserve">. וכן </w:t>
      </w:r>
      <w:r w:rsidRPr="00FD31E4">
        <w:rPr>
          <w:rFonts w:cs="Arial"/>
          <w:rtl/>
        </w:rPr>
        <w:t>כתב ר"י ברבי מרדכי דאם הקהל אמרו בע"ש ברכו שאין היחיד שלא היה בבהכ"נ יכול לעשות מלאכה אף על פי שאין רוצה לקבל עדיין שבת</w:t>
      </w:r>
      <w:r>
        <w:rPr>
          <w:rFonts w:cs="Arial" w:hint="cs"/>
          <w:sz w:val="16"/>
          <w:szCs w:val="16"/>
          <w:rtl/>
        </w:rPr>
        <w:t xml:space="preserve"> (ל' המרדכי)</w:t>
      </w:r>
      <w:r>
        <w:rPr>
          <w:rStyle w:val="a9"/>
          <w:rFonts w:cs="Arial"/>
          <w:rtl/>
        </w:rPr>
        <w:footnoteReference w:id="649"/>
      </w:r>
      <w:r>
        <w:rPr>
          <w:rFonts w:cs="Arial" w:hint="cs"/>
          <w:rtl/>
        </w:rPr>
        <w:t>.</w:t>
      </w:r>
      <w:r w:rsidRPr="004C4CDF">
        <w:rPr>
          <w:rFonts w:cs="Arial" w:hint="cs"/>
          <w:color w:val="E36C0A" w:themeColor="accent6" w:themeShade="BF"/>
          <w:rtl/>
        </w:rPr>
        <w:t xml:space="preserve"> (וכ"פ בשו"ע)</w:t>
      </w:r>
    </w:p>
    <w:p w14:paraId="5FF5B880"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0B3DFA9" w14:textId="77777777" w:rsidR="004B2E7C" w:rsidRDefault="004B2E7C" w:rsidP="00434A6A">
      <w:pPr>
        <w:rPr>
          <w:rFonts w:asciiTheme="minorBidi" w:hAnsiTheme="minorBidi" w:cs="Arial"/>
          <w:rtl/>
        </w:rPr>
      </w:pPr>
      <w:r w:rsidRPr="00CC2350">
        <w:rPr>
          <w:rFonts w:asciiTheme="minorBidi" w:hAnsiTheme="minorBidi" w:cs="Arial"/>
          <w:rtl/>
        </w:rPr>
        <w:t>לבה"ג, כיון שהדליק נר של שבת חל עליו שבת ונאסר במלאכה. ועל פי זה נוהגות קצת נשים שאחר שברכו והדליקו הנרות משליכות לארץ הפתילה שבידן שהדליקו בה, ואין מכבות אותה. וי</w:t>
      </w:r>
      <w:r>
        <w:rPr>
          <w:rFonts w:asciiTheme="minorBidi" w:hAnsiTheme="minorBidi" w:cs="Arial" w:hint="cs"/>
          <w:rtl/>
        </w:rPr>
        <w:t xml:space="preserve">ש </w:t>
      </w:r>
      <w:r w:rsidRPr="00CC2350">
        <w:rPr>
          <w:rFonts w:asciiTheme="minorBidi" w:hAnsiTheme="minorBidi" w:cs="Arial"/>
          <w:rtl/>
        </w:rPr>
        <w:t>א</w:t>
      </w:r>
      <w:r>
        <w:rPr>
          <w:rFonts w:asciiTheme="minorBidi" w:hAnsiTheme="minorBidi" w:cs="Arial" w:hint="cs"/>
          <w:rtl/>
        </w:rPr>
        <w:t>ומרים</w:t>
      </w:r>
      <w:r w:rsidRPr="00CC2350">
        <w:rPr>
          <w:rFonts w:asciiTheme="minorBidi" w:hAnsiTheme="minorBidi" w:cs="Arial"/>
          <w:rtl/>
        </w:rPr>
        <w:t xml:space="preserve"> שאם מתנה קודם שהדליקה שאינה מקבלת שבת עד שיאמר החזן ברכו, מועיל. וי</w:t>
      </w:r>
      <w:r>
        <w:rPr>
          <w:rFonts w:asciiTheme="minorBidi" w:hAnsiTheme="minorBidi" w:cs="Arial" w:hint="cs"/>
          <w:rtl/>
        </w:rPr>
        <w:t xml:space="preserve">ש </w:t>
      </w:r>
      <w:r w:rsidRPr="00CC2350">
        <w:rPr>
          <w:rFonts w:asciiTheme="minorBidi" w:hAnsiTheme="minorBidi" w:cs="Arial"/>
          <w:rtl/>
        </w:rPr>
        <w:t>א</w:t>
      </w:r>
      <w:r>
        <w:rPr>
          <w:rFonts w:asciiTheme="minorBidi" w:hAnsiTheme="minorBidi" w:cs="Arial" w:hint="cs"/>
          <w:rtl/>
        </w:rPr>
        <w:t>ומרים</w:t>
      </w:r>
      <w:r w:rsidRPr="00CC2350">
        <w:rPr>
          <w:rFonts w:asciiTheme="minorBidi" w:hAnsiTheme="minorBidi" w:cs="Arial"/>
          <w:rtl/>
        </w:rPr>
        <w:t xml:space="preserve"> שאינו מועיל לה. ויש חולקים על בה"ג ואומרים שאין קבלת שבת תלוי בהדלקת הנר אלא בתפלת ערבית, שכיון שאמר החזן: ברכו, הכל פורשין ממלאכתם. ולדידן, כיון שהתחילו מזמור שיר ליום השבת הוי כברכו לדידהו. </w:t>
      </w:r>
      <w:r w:rsidRPr="00BE4C77">
        <w:rPr>
          <w:rFonts w:asciiTheme="minorBidi" w:hAnsiTheme="minorBidi" w:cs="Arial"/>
          <w:sz w:val="18"/>
          <w:szCs w:val="18"/>
          <w:rtl/>
        </w:rPr>
        <w:t>הגה: והמנהג שאותה אשה</w:t>
      </w:r>
      <w:r>
        <w:rPr>
          <w:rStyle w:val="a9"/>
          <w:rFonts w:asciiTheme="minorBidi" w:hAnsiTheme="minorBidi" w:cs="Arial"/>
          <w:sz w:val="18"/>
          <w:szCs w:val="18"/>
          <w:rtl/>
        </w:rPr>
        <w:footnoteReference w:id="650"/>
      </w:r>
      <w:r w:rsidRPr="00BE4C77">
        <w:rPr>
          <w:rFonts w:asciiTheme="minorBidi" w:hAnsiTheme="minorBidi" w:cs="Arial"/>
          <w:sz w:val="18"/>
          <w:szCs w:val="18"/>
          <w:rtl/>
        </w:rPr>
        <w:t xml:space="preserve"> המדלקת מקבלת שבת בהדלקה, אם לא שהתנ</w:t>
      </w:r>
      <w:r>
        <w:rPr>
          <w:rFonts w:asciiTheme="minorBidi" w:hAnsiTheme="minorBidi" w:cs="Arial" w:hint="cs"/>
          <w:sz w:val="18"/>
          <w:szCs w:val="18"/>
          <w:rtl/>
        </w:rPr>
        <w:t>ת</w:t>
      </w:r>
      <w:r w:rsidRPr="00BE4C77">
        <w:rPr>
          <w:rFonts w:asciiTheme="minorBidi" w:hAnsiTheme="minorBidi" w:cs="Arial"/>
          <w:sz w:val="18"/>
          <w:szCs w:val="18"/>
          <w:rtl/>
        </w:rPr>
        <w:t>ה תחלה</w:t>
      </w:r>
      <w:r>
        <w:rPr>
          <w:rStyle w:val="a9"/>
          <w:rFonts w:asciiTheme="minorBidi" w:hAnsiTheme="minorBidi" w:cs="Arial"/>
          <w:sz w:val="18"/>
          <w:szCs w:val="18"/>
          <w:rtl/>
        </w:rPr>
        <w:footnoteReference w:id="651"/>
      </w:r>
      <w:r w:rsidRPr="00BE4C77">
        <w:rPr>
          <w:rFonts w:asciiTheme="minorBidi" w:hAnsiTheme="minorBidi" w:cs="Arial"/>
          <w:sz w:val="18"/>
          <w:szCs w:val="18"/>
          <w:rtl/>
        </w:rPr>
        <w:t>, ואפילו תנאי בלב סגי (מרדכי)</w:t>
      </w:r>
      <w:r>
        <w:rPr>
          <w:rFonts w:asciiTheme="minorBidi" w:hAnsiTheme="minorBidi" w:cs="Arial" w:hint="cs"/>
          <w:sz w:val="18"/>
          <w:szCs w:val="18"/>
          <w:rtl/>
        </w:rPr>
        <w:t>.</w:t>
      </w:r>
      <w:r w:rsidRPr="00BE4C77">
        <w:rPr>
          <w:rFonts w:asciiTheme="minorBidi" w:hAnsiTheme="minorBidi" w:cs="Arial"/>
          <w:sz w:val="18"/>
          <w:szCs w:val="18"/>
          <w:rtl/>
        </w:rPr>
        <w:t xml:space="preserve"> אבל שאר בני הבית מותרין במלאכה עד ברכו. ועיקר הדלקה תלויה בנרות שמדליקין על השלחן</w:t>
      </w:r>
      <w:r>
        <w:rPr>
          <w:rStyle w:val="a9"/>
          <w:rFonts w:asciiTheme="minorBidi" w:hAnsiTheme="minorBidi" w:cs="Arial"/>
          <w:sz w:val="18"/>
          <w:szCs w:val="18"/>
          <w:rtl/>
        </w:rPr>
        <w:footnoteReference w:id="652"/>
      </w:r>
      <w:r w:rsidRPr="00BE4C77">
        <w:rPr>
          <w:rFonts w:asciiTheme="minorBidi" w:hAnsiTheme="minorBidi" w:cs="Arial"/>
          <w:sz w:val="18"/>
          <w:szCs w:val="18"/>
          <w:rtl/>
        </w:rPr>
        <w:t>, אבל לא בשאר הנרות שבבית (א</w:t>
      </w:r>
      <w:r>
        <w:rPr>
          <w:rFonts w:asciiTheme="minorBidi" w:hAnsiTheme="minorBidi" w:cs="Arial" w:hint="cs"/>
          <w:sz w:val="18"/>
          <w:szCs w:val="18"/>
          <w:rtl/>
        </w:rPr>
        <w:t>ו</w:t>
      </w:r>
      <w:r w:rsidRPr="00BE4C77">
        <w:rPr>
          <w:rFonts w:asciiTheme="minorBidi" w:hAnsiTheme="minorBidi" w:cs="Arial"/>
          <w:sz w:val="18"/>
          <w:szCs w:val="18"/>
          <w:rtl/>
        </w:rPr>
        <w:t>"ז). וצריך להניח הנרות במקום שמדליקין</w:t>
      </w:r>
      <w:r>
        <w:rPr>
          <w:rStyle w:val="a9"/>
          <w:rFonts w:asciiTheme="minorBidi" w:hAnsiTheme="minorBidi" w:cs="Arial"/>
          <w:sz w:val="18"/>
          <w:szCs w:val="18"/>
          <w:rtl/>
        </w:rPr>
        <w:footnoteReference w:id="653"/>
      </w:r>
      <w:r w:rsidRPr="00BE4C77">
        <w:rPr>
          <w:rFonts w:asciiTheme="minorBidi" w:hAnsiTheme="minorBidi" w:cs="Arial"/>
          <w:sz w:val="18"/>
          <w:szCs w:val="18"/>
          <w:rtl/>
        </w:rPr>
        <w:t>, לא להדליק במקום זה ולהניח במקום אחר</w:t>
      </w:r>
      <w:r>
        <w:rPr>
          <w:rStyle w:val="a9"/>
          <w:rFonts w:asciiTheme="minorBidi" w:hAnsiTheme="minorBidi" w:cs="Arial"/>
          <w:sz w:val="18"/>
          <w:szCs w:val="18"/>
          <w:rtl/>
        </w:rPr>
        <w:footnoteReference w:id="654"/>
      </w:r>
      <w:r w:rsidRPr="00BE4C77">
        <w:rPr>
          <w:rFonts w:asciiTheme="minorBidi" w:hAnsiTheme="minorBidi" w:cs="Arial"/>
          <w:sz w:val="18"/>
          <w:szCs w:val="18"/>
          <w:rtl/>
        </w:rPr>
        <w:t xml:space="preserve"> (מרדכי). </w:t>
      </w:r>
    </w:p>
    <w:p w14:paraId="3F985C71" w14:textId="77777777" w:rsidR="004B2E7C" w:rsidRPr="00CC2350" w:rsidRDefault="004B2E7C" w:rsidP="00434A6A">
      <w:pPr>
        <w:rPr>
          <w:rFonts w:asciiTheme="minorBidi" w:hAnsiTheme="minorBidi"/>
          <w:rtl/>
        </w:rPr>
      </w:pPr>
    </w:p>
    <w:p w14:paraId="531F333E" w14:textId="77777777" w:rsidR="004B2E7C" w:rsidRDefault="004B2E7C" w:rsidP="00434A6A">
      <w:pPr>
        <w:pStyle w:val="2"/>
        <w:rPr>
          <w:rtl/>
        </w:rPr>
      </w:pPr>
      <w:r w:rsidRPr="00CC2350">
        <w:rPr>
          <w:rtl/>
        </w:rPr>
        <w:t>סעיף יא</w:t>
      </w:r>
      <w:r>
        <w:rPr>
          <w:rFonts w:hint="cs"/>
          <w:rtl/>
        </w:rPr>
        <w:t>: עשיית מלאכה לאחר שהתפלל ערבית מבעוד יום.</w:t>
      </w:r>
    </w:p>
    <w:p w14:paraId="6EFDA358" w14:textId="77777777" w:rsidR="004B2E7C" w:rsidRPr="00B3749B" w:rsidRDefault="004B2E7C" w:rsidP="00434A6A">
      <w:pPr>
        <w:rPr>
          <w:rFonts w:cs="Arial"/>
          <w:u w:val="single"/>
          <w:rtl/>
        </w:rPr>
      </w:pPr>
      <w:r w:rsidRPr="00B3749B">
        <w:rPr>
          <w:rFonts w:hint="cs"/>
          <w:u w:val="single"/>
          <w:rtl/>
        </w:rPr>
        <w:t>עשיית מלאכה לאחר שהתפלל ערבית מבעוד יום</w:t>
      </w:r>
      <w:r w:rsidRPr="00B3749B">
        <w:rPr>
          <w:rFonts w:cs="Arial" w:hint="cs"/>
          <w:u w:val="single"/>
          <w:rtl/>
        </w:rPr>
        <w:t>:</w:t>
      </w:r>
    </w:p>
    <w:p w14:paraId="13704E4C" w14:textId="77777777" w:rsidR="004B2E7C" w:rsidRPr="006737C8" w:rsidRDefault="004B2E7C" w:rsidP="00FF2D21">
      <w:pPr>
        <w:pStyle w:val="aa"/>
        <w:numPr>
          <w:ilvl w:val="0"/>
          <w:numId w:val="87"/>
        </w:numPr>
        <w:rPr>
          <w:rtl/>
        </w:rPr>
      </w:pPr>
      <w:r>
        <w:rPr>
          <w:rFonts w:cs="Arial" w:hint="cs"/>
          <w:rtl/>
        </w:rPr>
        <w:t xml:space="preserve">תוס' </w:t>
      </w:r>
      <w:r>
        <w:rPr>
          <w:rFonts w:cs="Arial" w:hint="cs"/>
          <w:sz w:val="16"/>
          <w:szCs w:val="16"/>
          <w:rtl/>
        </w:rPr>
        <w:t>(כ"כ הטור בשמם)</w:t>
      </w:r>
      <w:r>
        <w:rPr>
          <w:rFonts w:cs="Arial" w:hint="cs"/>
          <w:rtl/>
        </w:rPr>
        <w:t xml:space="preserve"> </w:t>
      </w:r>
      <w:r w:rsidRPr="00FF77FF">
        <w:rPr>
          <w:rFonts w:cs="Arial" w:hint="cs"/>
          <w:rtl/>
        </w:rPr>
        <w:t>רא</w:t>
      </w:r>
      <w:r w:rsidRPr="00FF77FF">
        <w:rPr>
          <w:rFonts w:cs="Arial"/>
          <w:rtl/>
        </w:rPr>
        <w:t>"</w:t>
      </w:r>
      <w:r w:rsidRPr="00FF77FF">
        <w:rPr>
          <w:rFonts w:cs="Arial" w:hint="cs"/>
          <w:rtl/>
        </w:rPr>
        <w:t>ש</w:t>
      </w:r>
      <w:r w:rsidRPr="00FF77FF">
        <w:rPr>
          <w:rFonts w:cs="Arial"/>
          <w:rtl/>
        </w:rPr>
        <w:t xml:space="preserve"> </w:t>
      </w:r>
      <w:r w:rsidRPr="001A48EC">
        <w:rPr>
          <w:rFonts w:cs="Arial" w:hint="cs"/>
          <w:sz w:val="16"/>
          <w:szCs w:val="16"/>
          <w:rtl/>
        </w:rPr>
        <w:t>(ס"פ</w:t>
      </w:r>
      <w:r w:rsidRPr="001A48EC">
        <w:rPr>
          <w:rFonts w:cs="Arial"/>
          <w:sz w:val="16"/>
          <w:szCs w:val="16"/>
          <w:rtl/>
        </w:rPr>
        <w:t xml:space="preserve"> </w:t>
      </w:r>
      <w:r w:rsidRPr="001A48EC">
        <w:rPr>
          <w:rFonts w:cs="Arial" w:hint="cs"/>
          <w:sz w:val="16"/>
          <w:szCs w:val="16"/>
          <w:rtl/>
        </w:rPr>
        <w:t>במה</w:t>
      </w:r>
      <w:r w:rsidRPr="001A48EC">
        <w:rPr>
          <w:rFonts w:cs="Arial"/>
          <w:sz w:val="16"/>
          <w:szCs w:val="16"/>
          <w:rtl/>
        </w:rPr>
        <w:t xml:space="preserve"> </w:t>
      </w:r>
      <w:r w:rsidRPr="001A48EC">
        <w:rPr>
          <w:rFonts w:cs="Arial" w:hint="cs"/>
          <w:sz w:val="16"/>
          <w:szCs w:val="16"/>
          <w:rtl/>
        </w:rPr>
        <w:t>מדליקין</w:t>
      </w:r>
      <w:r w:rsidRPr="001A48EC">
        <w:rPr>
          <w:rFonts w:cs="Arial"/>
          <w:sz w:val="16"/>
          <w:szCs w:val="16"/>
          <w:rtl/>
        </w:rPr>
        <w:t xml:space="preserve"> </w:t>
      </w:r>
      <w:r w:rsidRPr="001A48EC">
        <w:rPr>
          <w:rFonts w:cs="Arial" w:hint="cs"/>
          <w:sz w:val="16"/>
          <w:szCs w:val="16"/>
          <w:rtl/>
        </w:rPr>
        <w:t>סי</w:t>
      </w:r>
      <w:r w:rsidRPr="001A48EC">
        <w:rPr>
          <w:rFonts w:cs="Arial"/>
          <w:sz w:val="16"/>
          <w:szCs w:val="16"/>
          <w:rtl/>
        </w:rPr>
        <w:t xml:space="preserve">' </w:t>
      </w:r>
      <w:r w:rsidRPr="001A48EC">
        <w:rPr>
          <w:rFonts w:cs="Arial" w:hint="cs"/>
          <w:sz w:val="16"/>
          <w:szCs w:val="16"/>
          <w:rtl/>
        </w:rPr>
        <w:t>כד</w:t>
      </w:r>
      <w:r w:rsidRPr="001A48EC">
        <w:rPr>
          <w:rFonts w:cs="Arial"/>
          <w:sz w:val="16"/>
          <w:szCs w:val="16"/>
          <w:rtl/>
        </w:rPr>
        <w:t>)</w:t>
      </w:r>
      <w:r>
        <w:rPr>
          <w:rFonts w:cs="Arial" w:hint="cs"/>
          <w:rtl/>
        </w:rPr>
        <w:t xml:space="preserve"> וטור- </w:t>
      </w:r>
      <w:r w:rsidRPr="00B3749B">
        <w:rPr>
          <w:rFonts w:cs="Arial"/>
          <w:rtl/>
        </w:rPr>
        <w:t>המתפלל ערבית חל עליו שבת</w:t>
      </w:r>
      <w:r>
        <w:rPr>
          <w:rStyle w:val="a9"/>
          <w:rFonts w:cs="Arial"/>
          <w:rtl/>
        </w:rPr>
        <w:footnoteReference w:id="655"/>
      </w:r>
      <w:r>
        <w:rPr>
          <w:rFonts w:cs="Arial" w:hint="cs"/>
          <w:rtl/>
        </w:rPr>
        <w:t xml:space="preserve">. </w:t>
      </w:r>
      <w:r w:rsidRPr="004C4CDF">
        <w:rPr>
          <w:rFonts w:cs="Arial" w:hint="cs"/>
          <w:color w:val="E36C0A" w:themeColor="accent6" w:themeShade="BF"/>
          <w:rtl/>
        </w:rPr>
        <w:t>(וכ"פ בשו"ע)</w:t>
      </w:r>
    </w:p>
    <w:p w14:paraId="56787FAB"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7C69697" w14:textId="77777777" w:rsidR="004B2E7C" w:rsidRDefault="004B2E7C" w:rsidP="00434A6A">
      <w:pPr>
        <w:rPr>
          <w:rFonts w:asciiTheme="minorBidi" w:hAnsiTheme="minorBidi"/>
          <w:rtl/>
        </w:rPr>
      </w:pPr>
      <w:r w:rsidRPr="00CC2350">
        <w:rPr>
          <w:rFonts w:asciiTheme="minorBidi" w:hAnsiTheme="minorBidi" w:cs="Arial"/>
          <w:rtl/>
        </w:rPr>
        <w:t>אף על פי שלא התפללו הקהל עדיין, אם קדם היחיד והתפלל של שבת מבע</w:t>
      </w:r>
      <w:r>
        <w:rPr>
          <w:rFonts w:asciiTheme="minorBidi" w:hAnsiTheme="minorBidi" w:cs="Arial" w:hint="cs"/>
          <w:rtl/>
        </w:rPr>
        <w:t xml:space="preserve">וד </w:t>
      </w:r>
      <w:r w:rsidRPr="00CC2350">
        <w:rPr>
          <w:rFonts w:asciiTheme="minorBidi" w:hAnsiTheme="minorBidi" w:cs="Arial"/>
          <w:rtl/>
        </w:rPr>
        <w:t>י</w:t>
      </w:r>
      <w:r>
        <w:rPr>
          <w:rFonts w:asciiTheme="minorBidi" w:hAnsiTheme="minorBidi" w:cs="Arial" w:hint="cs"/>
          <w:rtl/>
        </w:rPr>
        <w:t>ום</w:t>
      </w:r>
      <w:r w:rsidRPr="00CC2350">
        <w:rPr>
          <w:rFonts w:asciiTheme="minorBidi" w:hAnsiTheme="minorBidi" w:cs="Arial"/>
          <w:rtl/>
        </w:rPr>
        <w:t>, חל עליו קבלת שבת ואסור בעשיית מלאכה</w:t>
      </w:r>
      <w:r>
        <w:rPr>
          <w:rFonts w:asciiTheme="minorBidi" w:hAnsiTheme="minorBidi" w:cs="Arial" w:hint="cs"/>
          <w:rtl/>
        </w:rPr>
        <w:t>,</w:t>
      </w:r>
      <w:r w:rsidRPr="00CC2350">
        <w:rPr>
          <w:rFonts w:asciiTheme="minorBidi" w:hAnsiTheme="minorBidi" w:cs="Arial"/>
          <w:rtl/>
        </w:rPr>
        <w:t xml:space="preserve"> ואפי</w:t>
      </w:r>
      <w:r>
        <w:rPr>
          <w:rFonts w:asciiTheme="minorBidi" w:hAnsiTheme="minorBidi" w:cs="Arial" w:hint="cs"/>
          <w:rtl/>
        </w:rPr>
        <w:t>לו</w:t>
      </w:r>
      <w:r w:rsidRPr="00CC2350">
        <w:rPr>
          <w:rFonts w:asciiTheme="minorBidi" w:hAnsiTheme="minorBidi" w:cs="Arial"/>
          <w:rtl/>
        </w:rPr>
        <w:t xml:space="preserve"> אם אומר שאינו רוצה לקבל שבת. </w:t>
      </w:r>
    </w:p>
    <w:p w14:paraId="488C0608" w14:textId="77777777" w:rsidR="004B2E7C" w:rsidRPr="00CC2350" w:rsidRDefault="004B2E7C" w:rsidP="00434A6A">
      <w:pPr>
        <w:rPr>
          <w:rFonts w:asciiTheme="minorBidi" w:hAnsiTheme="minorBidi"/>
          <w:rtl/>
        </w:rPr>
      </w:pPr>
    </w:p>
    <w:p w14:paraId="3ED03F51" w14:textId="77777777" w:rsidR="004B2E7C" w:rsidRDefault="004B2E7C" w:rsidP="00434A6A">
      <w:pPr>
        <w:pStyle w:val="2"/>
        <w:rPr>
          <w:rtl/>
        </w:rPr>
      </w:pPr>
      <w:r w:rsidRPr="00CC2350">
        <w:rPr>
          <w:rtl/>
        </w:rPr>
        <w:t>סעיף יב</w:t>
      </w:r>
      <w:r>
        <w:rPr>
          <w:rFonts w:hint="cs"/>
          <w:rtl/>
        </w:rPr>
        <w:t>: יחיד נמשך אחר הרבים שקבלו עליהם את השבת.</w:t>
      </w:r>
    </w:p>
    <w:p w14:paraId="5619DB2B" w14:textId="77777777" w:rsidR="004B2E7C" w:rsidRPr="00E02A51" w:rsidRDefault="004B2E7C" w:rsidP="00434A6A">
      <w:pPr>
        <w:rPr>
          <w:u w:val="single"/>
          <w:rtl/>
        </w:rPr>
      </w:pPr>
      <w:r w:rsidRPr="00E02A51">
        <w:rPr>
          <w:rFonts w:hint="cs"/>
          <w:u w:val="single"/>
          <w:rtl/>
        </w:rPr>
        <w:t xml:space="preserve">רוב הקהל קבלו עליהם את השבת </w:t>
      </w:r>
      <w:r w:rsidRPr="00E02A51">
        <w:rPr>
          <w:u w:val="single"/>
          <w:rtl/>
        </w:rPr>
        <w:t>–</w:t>
      </w:r>
      <w:r w:rsidRPr="00E02A51">
        <w:rPr>
          <w:rFonts w:hint="cs"/>
          <w:u w:val="single"/>
          <w:rtl/>
        </w:rPr>
        <w:t xml:space="preserve"> האם היחיד נמשך אחריהם:</w:t>
      </w:r>
    </w:p>
    <w:p w14:paraId="38F9EB2B" w14:textId="77777777" w:rsidR="004B2E7C" w:rsidRPr="006737C8" w:rsidRDefault="004B2E7C" w:rsidP="00FF2D21">
      <w:pPr>
        <w:pStyle w:val="aa"/>
        <w:numPr>
          <w:ilvl w:val="0"/>
          <w:numId w:val="87"/>
        </w:numPr>
        <w:rPr>
          <w:rtl/>
        </w:rPr>
      </w:pPr>
      <w:r w:rsidRPr="00E02A51">
        <w:rPr>
          <w:rFonts w:cs="Arial" w:hint="cs"/>
          <w:rtl/>
        </w:rPr>
        <w:t>מרדכי</w:t>
      </w:r>
      <w:r w:rsidRPr="00E02A51">
        <w:rPr>
          <w:rFonts w:cs="Arial"/>
          <w:sz w:val="16"/>
          <w:szCs w:val="16"/>
          <w:rtl/>
        </w:rPr>
        <w:t xml:space="preserve"> </w:t>
      </w:r>
      <w:r w:rsidRPr="00E02A51">
        <w:rPr>
          <w:rFonts w:cs="Arial" w:hint="cs"/>
          <w:sz w:val="16"/>
          <w:szCs w:val="16"/>
          <w:rtl/>
        </w:rPr>
        <w:t>(ס"פ</w:t>
      </w:r>
      <w:r w:rsidRPr="00E02A51">
        <w:rPr>
          <w:rFonts w:cs="Arial"/>
          <w:sz w:val="16"/>
          <w:szCs w:val="16"/>
          <w:rtl/>
        </w:rPr>
        <w:t xml:space="preserve"> </w:t>
      </w:r>
      <w:r w:rsidRPr="00E02A51">
        <w:rPr>
          <w:rFonts w:cs="Arial" w:hint="cs"/>
          <w:sz w:val="16"/>
          <w:szCs w:val="16"/>
          <w:rtl/>
        </w:rPr>
        <w:t>במה</w:t>
      </w:r>
      <w:r w:rsidRPr="00E02A51">
        <w:rPr>
          <w:rFonts w:cs="Arial"/>
          <w:sz w:val="16"/>
          <w:szCs w:val="16"/>
          <w:rtl/>
        </w:rPr>
        <w:t xml:space="preserve"> </w:t>
      </w:r>
      <w:r w:rsidRPr="00E02A51">
        <w:rPr>
          <w:rFonts w:cs="Arial" w:hint="cs"/>
          <w:sz w:val="16"/>
          <w:szCs w:val="16"/>
          <w:rtl/>
        </w:rPr>
        <w:t>מדליקין</w:t>
      </w:r>
      <w:r w:rsidRPr="00E02A51">
        <w:rPr>
          <w:rFonts w:cs="Arial"/>
          <w:sz w:val="16"/>
          <w:szCs w:val="16"/>
          <w:rtl/>
        </w:rPr>
        <w:t xml:space="preserve"> </w:t>
      </w:r>
      <w:r w:rsidRPr="00E02A51">
        <w:rPr>
          <w:rFonts w:cs="Arial" w:hint="cs"/>
          <w:sz w:val="16"/>
          <w:szCs w:val="16"/>
          <w:rtl/>
        </w:rPr>
        <w:t>סי</w:t>
      </w:r>
      <w:r w:rsidRPr="00E02A51">
        <w:rPr>
          <w:rFonts w:cs="Arial"/>
          <w:sz w:val="16"/>
          <w:szCs w:val="16"/>
          <w:rtl/>
        </w:rPr>
        <w:t xml:space="preserve">' </w:t>
      </w:r>
      <w:r w:rsidRPr="00E02A51">
        <w:rPr>
          <w:rFonts w:cs="Arial" w:hint="cs"/>
          <w:sz w:val="16"/>
          <w:szCs w:val="16"/>
          <w:rtl/>
        </w:rPr>
        <w:t>רצז</w:t>
      </w:r>
      <w:r w:rsidRPr="00E02A51">
        <w:rPr>
          <w:rFonts w:cs="Arial"/>
          <w:sz w:val="16"/>
          <w:szCs w:val="16"/>
          <w:rtl/>
        </w:rPr>
        <w:t>)</w:t>
      </w:r>
      <w:r>
        <w:rPr>
          <w:rFonts w:cs="Arial" w:hint="cs"/>
          <w:rtl/>
        </w:rPr>
        <w:t xml:space="preserve">- </w:t>
      </w:r>
      <w:r w:rsidRPr="00E02A51">
        <w:rPr>
          <w:rFonts w:cs="Arial" w:hint="cs"/>
          <w:rtl/>
        </w:rPr>
        <w:t>היכא</w:t>
      </w:r>
      <w:r w:rsidRPr="00E02A51">
        <w:rPr>
          <w:rFonts w:cs="Arial"/>
          <w:rtl/>
        </w:rPr>
        <w:t xml:space="preserve"> </w:t>
      </w:r>
      <w:r w:rsidRPr="00E02A51">
        <w:rPr>
          <w:rFonts w:cs="Arial" w:hint="cs"/>
          <w:rtl/>
        </w:rPr>
        <w:t>שרוב</w:t>
      </w:r>
      <w:r w:rsidRPr="00E02A51">
        <w:rPr>
          <w:rFonts w:cs="Arial"/>
          <w:rtl/>
        </w:rPr>
        <w:t xml:space="preserve"> </w:t>
      </w:r>
      <w:r w:rsidRPr="00E02A51">
        <w:rPr>
          <w:rFonts w:cs="Arial" w:hint="cs"/>
          <w:rtl/>
        </w:rPr>
        <w:t>הקהל</w:t>
      </w:r>
      <w:r w:rsidRPr="00E02A51">
        <w:rPr>
          <w:rFonts w:cs="Arial"/>
          <w:rtl/>
        </w:rPr>
        <w:t xml:space="preserve"> </w:t>
      </w:r>
      <w:r w:rsidRPr="00E02A51">
        <w:rPr>
          <w:rFonts w:cs="Arial" w:hint="cs"/>
          <w:rtl/>
        </w:rPr>
        <w:t>קיבלו</w:t>
      </w:r>
      <w:r w:rsidRPr="00E02A51">
        <w:rPr>
          <w:rFonts w:cs="Arial"/>
          <w:rtl/>
        </w:rPr>
        <w:t xml:space="preserve"> </w:t>
      </w:r>
      <w:r w:rsidRPr="00E02A51">
        <w:rPr>
          <w:rFonts w:cs="Arial" w:hint="cs"/>
          <w:rtl/>
        </w:rPr>
        <w:t>עליהם</w:t>
      </w:r>
      <w:r w:rsidRPr="00E02A51">
        <w:rPr>
          <w:rFonts w:cs="Arial"/>
          <w:rtl/>
        </w:rPr>
        <w:t xml:space="preserve"> </w:t>
      </w:r>
      <w:r w:rsidRPr="00E02A51">
        <w:rPr>
          <w:rFonts w:cs="Arial" w:hint="cs"/>
          <w:rtl/>
        </w:rPr>
        <w:t>שבת</w:t>
      </w:r>
      <w:r w:rsidRPr="00E02A51">
        <w:rPr>
          <w:rFonts w:cs="Arial"/>
          <w:rtl/>
        </w:rPr>
        <w:t xml:space="preserve"> </w:t>
      </w:r>
      <w:r w:rsidRPr="00E02A51">
        <w:rPr>
          <w:rFonts w:cs="Arial" w:hint="cs"/>
          <w:rtl/>
        </w:rPr>
        <w:t>המיעוט</w:t>
      </w:r>
      <w:r w:rsidRPr="00E02A51">
        <w:rPr>
          <w:rFonts w:cs="Arial"/>
          <w:rtl/>
        </w:rPr>
        <w:t xml:space="preserve"> </w:t>
      </w:r>
      <w:r w:rsidRPr="00E02A51">
        <w:rPr>
          <w:rFonts w:cs="Arial" w:hint="cs"/>
          <w:rtl/>
        </w:rPr>
        <w:t>על</w:t>
      </w:r>
      <w:r w:rsidRPr="00E02A51">
        <w:rPr>
          <w:rFonts w:cs="Arial"/>
          <w:rtl/>
        </w:rPr>
        <w:t xml:space="preserve"> </w:t>
      </w:r>
      <w:r w:rsidRPr="00E02A51">
        <w:rPr>
          <w:rFonts w:cs="Arial" w:hint="cs"/>
          <w:rtl/>
        </w:rPr>
        <w:t>כרחם</w:t>
      </w:r>
      <w:r w:rsidRPr="00E02A51">
        <w:rPr>
          <w:rFonts w:cs="Arial"/>
          <w:rtl/>
        </w:rPr>
        <w:t xml:space="preserve"> </w:t>
      </w:r>
      <w:r w:rsidRPr="00E02A51">
        <w:rPr>
          <w:rFonts w:cs="Arial" w:hint="cs"/>
          <w:rtl/>
        </w:rPr>
        <w:t>נמשכים</w:t>
      </w:r>
      <w:r w:rsidRPr="00E02A51">
        <w:rPr>
          <w:rFonts w:cs="Arial"/>
          <w:rtl/>
        </w:rPr>
        <w:t xml:space="preserve"> </w:t>
      </w:r>
      <w:r w:rsidRPr="00E02A51">
        <w:rPr>
          <w:rFonts w:cs="Arial" w:hint="cs"/>
          <w:rtl/>
        </w:rPr>
        <w:t>אחריהם</w:t>
      </w:r>
      <w:r w:rsidRPr="00E02A51">
        <w:rPr>
          <w:rFonts w:cs="Arial"/>
          <w:rtl/>
        </w:rPr>
        <w:t xml:space="preserve"> </w:t>
      </w:r>
      <w:r w:rsidRPr="00E02A51">
        <w:rPr>
          <w:rFonts w:cs="Arial" w:hint="cs"/>
          <w:rtl/>
        </w:rPr>
        <w:t>ואסורין</w:t>
      </w:r>
      <w:r w:rsidRPr="00E02A51">
        <w:rPr>
          <w:rFonts w:cs="Arial"/>
          <w:rtl/>
        </w:rPr>
        <w:t xml:space="preserve"> </w:t>
      </w:r>
      <w:r w:rsidRPr="00E02A51">
        <w:rPr>
          <w:rFonts w:cs="Arial" w:hint="cs"/>
          <w:rtl/>
        </w:rPr>
        <w:t>במלאכה</w:t>
      </w:r>
      <w:r>
        <w:rPr>
          <w:rFonts w:cs="Arial" w:hint="cs"/>
          <w:rtl/>
        </w:rPr>
        <w:t>.</w:t>
      </w:r>
      <w:r w:rsidRPr="00E02A51">
        <w:rPr>
          <w:rFonts w:cs="Arial"/>
          <w:rtl/>
        </w:rPr>
        <w:t xml:space="preserve"> </w:t>
      </w:r>
      <w:r w:rsidRPr="00E02A51">
        <w:rPr>
          <w:rFonts w:cs="Arial" w:hint="cs"/>
          <w:rtl/>
        </w:rPr>
        <w:t>וכן</w:t>
      </w:r>
      <w:r w:rsidRPr="00E02A51">
        <w:rPr>
          <w:rFonts w:cs="Arial"/>
          <w:rtl/>
        </w:rPr>
        <w:t xml:space="preserve"> </w:t>
      </w:r>
      <w:r w:rsidRPr="00E02A51">
        <w:rPr>
          <w:rFonts w:cs="Arial" w:hint="cs"/>
          <w:rtl/>
        </w:rPr>
        <w:t>כתב</w:t>
      </w:r>
      <w:r w:rsidRPr="00E02A51">
        <w:rPr>
          <w:rFonts w:cs="Arial"/>
          <w:rtl/>
        </w:rPr>
        <w:t xml:space="preserve"> </w:t>
      </w:r>
      <w:r w:rsidRPr="00E02A51">
        <w:rPr>
          <w:rFonts w:cs="Arial" w:hint="cs"/>
          <w:rtl/>
        </w:rPr>
        <w:t>ריב</w:t>
      </w:r>
      <w:r w:rsidRPr="00E02A51">
        <w:rPr>
          <w:rFonts w:cs="Arial"/>
          <w:rtl/>
        </w:rPr>
        <w:t>"</w:t>
      </w:r>
      <w:r w:rsidRPr="00E02A51">
        <w:rPr>
          <w:rFonts w:cs="Arial" w:hint="cs"/>
          <w:rtl/>
        </w:rPr>
        <w:t>ם</w:t>
      </w:r>
      <w:r w:rsidRPr="00E02A51">
        <w:rPr>
          <w:rFonts w:cs="Arial"/>
          <w:rtl/>
        </w:rPr>
        <w:t xml:space="preserve"> </w:t>
      </w:r>
      <w:r w:rsidRPr="00E02A51">
        <w:rPr>
          <w:rFonts w:cs="Arial" w:hint="cs"/>
          <w:rtl/>
        </w:rPr>
        <w:t>דאם</w:t>
      </w:r>
      <w:r w:rsidRPr="00E02A51">
        <w:rPr>
          <w:rFonts w:cs="Arial"/>
          <w:rtl/>
        </w:rPr>
        <w:t xml:space="preserve"> </w:t>
      </w:r>
      <w:r w:rsidRPr="00E02A51">
        <w:rPr>
          <w:rFonts w:cs="Arial" w:hint="cs"/>
          <w:rtl/>
        </w:rPr>
        <w:t>הקהל</w:t>
      </w:r>
      <w:r w:rsidRPr="00E02A51">
        <w:rPr>
          <w:rFonts w:cs="Arial"/>
          <w:rtl/>
        </w:rPr>
        <w:t xml:space="preserve"> </w:t>
      </w:r>
      <w:r w:rsidRPr="00E02A51">
        <w:rPr>
          <w:rFonts w:cs="Arial" w:hint="cs"/>
          <w:rtl/>
        </w:rPr>
        <w:t>אמרו</w:t>
      </w:r>
      <w:r w:rsidRPr="00E02A51">
        <w:rPr>
          <w:rFonts w:cs="Arial"/>
          <w:rtl/>
        </w:rPr>
        <w:t xml:space="preserve"> </w:t>
      </w:r>
      <w:r w:rsidRPr="00E02A51">
        <w:rPr>
          <w:rFonts w:cs="Arial" w:hint="cs"/>
          <w:rtl/>
        </w:rPr>
        <w:t>בערב</w:t>
      </w:r>
      <w:r w:rsidRPr="00E02A51">
        <w:rPr>
          <w:rFonts w:cs="Arial"/>
          <w:rtl/>
        </w:rPr>
        <w:t xml:space="preserve"> </w:t>
      </w:r>
      <w:r w:rsidRPr="00E02A51">
        <w:rPr>
          <w:rFonts w:cs="Arial" w:hint="cs"/>
          <w:rtl/>
        </w:rPr>
        <w:t>שבת</w:t>
      </w:r>
      <w:r w:rsidRPr="00E02A51">
        <w:rPr>
          <w:rFonts w:cs="Arial"/>
          <w:rtl/>
        </w:rPr>
        <w:t xml:space="preserve"> </w:t>
      </w:r>
      <w:r w:rsidRPr="00E02A51">
        <w:rPr>
          <w:rFonts w:cs="Arial" w:hint="cs"/>
          <w:rtl/>
        </w:rPr>
        <w:t>ברכו</w:t>
      </w:r>
      <w:r w:rsidRPr="00E02A51">
        <w:rPr>
          <w:rFonts w:cs="Arial"/>
          <w:rtl/>
        </w:rPr>
        <w:t xml:space="preserve"> </w:t>
      </w:r>
      <w:r w:rsidRPr="00E02A51">
        <w:rPr>
          <w:rFonts w:cs="Arial" w:hint="cs"/>
          <w:rtl/>
        </w:rPr>
        <w:t>שאין</w:t>
      </w:r>
      <w:r w:rsidRPr="00E02A51">
        <w:rPr>
          <w:rFonts w:cs="Arial"/>
          <w:rtl/>
        </w:rPr>
        <w:t xml:space="preserve"> </w:t>
      </w:r>
      <w:r w:rsidRPr="00E02A51">
        <w:rPr>
          <w:rFonts w:cs="Arial" w:hint="cs"/>
          <w:rtl/>
        </w:rPr>
        <w:t>היחיד</w:t>
      </w:r>
      <w:r w:rsidRPr="00E02A51">
        <w:rPr>
          <w:rFonts w:cs="Arial"/>
          <w:rtl/>
        </w:rPr>
        <w:t xml:space="preserve"> </w:t>
      </w:r>
      <w:r w:rsidRPr="00E02A51">
        <w:rPr>
          <w:rFonts w:cs="Arial" w:hint="cs"/>
          <w:rtl/>
        </w:rPr>
        <w:t>שלא</w:t>
      </w:r>
      <w:r w:rsidRPr="00E02A51">
        <w:rPr>
          <w:rFonts w:cs="Arial"/>
          <w:rtl/>
        </w:rPr>
        <w:t xml:space="preserve"> </w:t>
      </w:r>
      <w:r w:rsidRPr="00E02A51">
        <w:rPr>
          <w:rFonts w:cs="Arial" w:hint="cs"/>
          <w:rtl/>
        </w:rPr>
        <w:t>היה</w:t>
      </w:r>
      <w:r w:rsidRPr="00E02A51">
        <w:rPr>
          <w:rFonts w:cs="Arial"/>
          <w:rtl/>
        </w:rPr>
        <w:t xml:space="preserve"> </w:t>
      </w:r>
      <w:r w:rsidRPr="00E02A51">
        <w:rPr>
          <w:rFonts w:cs="Arial" w:hint="cs"/>
          <w:rtl/>
        </w:rPr>
        <w:t>בבית</w:t>
      </w:r>
      <w:r w:rsidRPr="00E02A51">
        <w:rPr>
          <w:rFonts w:cs="Arial"/>
          <w:rtl/>
        </w:rPr>
        <w:t xml:space="preserve"> </w:t>
      </w:r>
      <w:r w:rsidRPr="00E02A51">
        <w:rPr>
          <w:rFonts w:cs="Arial" w:hint="cs"/>
          <w:rtl/>
        </w:rPr>
        <w:t>הכנסת</w:t>
      </w:r>
      <w:r w:rsidRPr="00E02A51">
        <w:rPr>
          <w:rFonts w:cs="Arial"/>
          <w:rtl/>
        </w:rPr>
        <w:t xml:space="preserve"> </w:t>
      </w:r>
      <w:r w:rsidRPr="00E02A51">
        <w:rPr>
          <w:rFonts w:cs="Arial" w:hint="cs"/>
          <w:rtl/>
        </w:rPr>
        <w:t>יכול</w:t>
      </w:r>
      <w:r w:rsidRPr="00E02A51">
        <w:rPr>
          <w:rFonts w:cs="Arial"/>
          <w:rtl/>
        </w:rPr>
        <w:t xml:space="preserve"> </w:t>
      </w:r>
      <w:r w:rsidRPr="00E02A51">
        <w:rPr>
          <w:rFonts w:cs="Arial" w:hint="cs"/>
          <w:rtl/>
        </w:rPr>
        <w:t>לעשות</w:t>
      </w:r>
      <w:r w:rsidRPr="00E02A51">
        <w:rPr>
          <w:rFonts w:cs="Arial"/>
          <w:rtl/>
        </w:rPr>
        <w:t xml:space="preserve"> </w:t>
      </w:r>
      <w:r w:rsidRPr="00E02A51">
        <w:rPr>
          <w:rFonts w:cs="Arial" w:hint="cs"/>
          <w:rtl/>
        </w:rPr>
        <w:t>מלאכה</w:t>
      </w:r>
      <w:r w:rsidRPr="00E02A51">
        <w:rPr>
          <w:rFonts w:cs="Arial"/>
          <w:rtl/>
        </w:rPr>
        <w:t xml:space="preserve"> </w:t>
      </w:r>
      <w:r w:rsidRPr="00E02A51">
        <w:rPr>
          <w:rFonts w:cs="Arial" w:hint="cs"/>
          <w:rtl/>
        </w:rPr>
        <w:t>אף</w:t>
      </w:r>
      <w:r w:rsidRPr="00E02A51">
        <w:rPr>
          <w:rFonts w:cs="Arial"/>
          <w:rtl/>
        </w:rPr>
        <w:t xml:space="preserve"> </w:t>
      </w:r>
      <w:r w:rsidRPr="00E02A51">
        <w:rPr>
          <w:rFonts w:cs="Arial" w:hint="cs"/>
          <w:rtl/>
        </w:rPr>
        <w:t>על</w:t>
      </w:r>
      <w:r w:rsidRPr="00E02A51">
        <w:rPr>
          <w:rFonts w:cs="Arial"/>
          <w:rtl/>
        </w:rPr>
        <w:t xml:space="preserve"> </w:t>
      </w:r>
      <w:r w:rsidRPr="00E02A51">
        <w:rPr>
          <w:rFonts w:cs="Arial" w:hint="cs"/>
          <w:rtl/>
        </w:rPr>
        <w:t>פי</w:t>
      </w:r>
      <w:r w:rsidRPr="00E02A51">
        <w:rPr>
          <w:rFonts w:cs="Arial"/>
          <w:rtl/>
        </w:rPr>
        <w:t xml:space="preserve"> </w:t>
      </w:r>
      <w:r w:rsidRPr="00E02A51">
        <w:rPr>
          <w:rFonts w:cs="Arial" w:hint="cs"/>
          <w:rtl/>
        </w:rPr>
        <w:t>שאין</w:t>
      </w:r>
      <w:r w:rsidRPr="00E02A51">
        <w:rPr>
          <w:rFonts w:cs="Arial"/>
          <w:rtl/>
        </w:rPr>
        <w:t xml:space="preserve"> </w:t>
      </w:r>
      <w:r w:rsidRPr="00E02A51">
        <w:rPr>
          <w:rFonts w:cs="Arial" w:hint="cs"/>
          <w:rtl/>
        </w:rPr>
        <w:t>רוצה</w:t>
      </w:r>
      <w:r w:rsidRPr="00E02A51">
        <w:rPr>
          <w:rFonts w:cs="Arial"/>
          <w:rtl/>
        </w:rPr>
        <w:t xml:space="preserve"> </w:t>
      </w:r>
      <w:r w:rsidRPr="00E02A51">
        <w:rPr>
          <w:rFonts w:cs="Arial" w:hint="cs"/>
          <w:rtl/>
        </w:rPr>
        <w:t>לקבל</w:t>
      </w:r>
      <w:r w:rsidRPr="00E02A51">
        <w:rPr>
          <w:rFonts w:cs="Arial"/>
          <w:rtl/>
        </w:rPr>
        <w:t xml:space="preserve"> </w:t>
      </w:r>
      <w:r w:rsidRPr="00E02A51">
        <w:rPr>
          <w:rFonts w:cs="Arial" w:hint="cs"/>
          <w:rtl/>
        </w:rPr>
        <w:t>עדיין</w:t>
      </w:r>
      <w:r w:rsidRPr="00E02A51">
        <w:rPr>
          <w:rFonts w:cs="Arial"/>
          <w:rtl/>
        </w:rPr>
        <w:t xml:space="preserve"> </w:t>
      </w:r>
      <w:r w:rsidRPr="00E02A51">
        <w:rPr>
          <w:rFonts w:cs="Arial" w:hint="cs"/>
          <w:rtl/>
        </w:rPr>
        <w:t>שבת</w:t>
      </w:r>
      <w:r>
        <w:rPr>
          <w:rFonts w:cs="Arial" w:hint="cs"/>
          <w:rtl/>
        </w:rPr>
        <w:t>.</w:t>
      </w:r>
      <w:r w:rsidRPr="00C234BD">
        <w:rPr>
          <w:rFonts w:cs="Arial" w:hint="cs"/>
          <w:color w:val="E36C0A" w:themeColor="accent6" w:themeShade="BF"/>
          <w:rtl/>
        </w:rPr>
        <w:t xml:space="preserve"> </w:t>
      </w:r>
      <w:r w:rsidRPr="004C4CDF">
        <w:rPr>
          <w:rFonts w:cs="Arial" w:hint="cs"/>
          <w:color w:val="E36C0A" w:themeColor="accent6" w:themeShade="BF"/>
          <w:rtl/>
        </w:rPr>
        <w:t>(וכ"פ בשו"ע)</w:t>
      </w:r>
    </w:p>
    <w:p w14:paraId="66BFB5B3"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3AA6F23" w14:textId="77777777" w:rsidR="004B2E7C" w:rsidRDefault="004B2E7C" w:rsidP="00434A6A">
      <w:pPr>
        <w:rPr>
          <w:rFonts w:asciiTheme="minorBidi" w:hAnsiTheme="minorBidi"/>
          <w:rtl/>
        </w:rPr>
      </w:pPr>
      <w:r w:rsidRPr="00CC2350">
        <w:rPr>
          <w:rFonts w:asciiTheme="minorBidi" w:hAnsiTheme="minorBidi" w:cs="Arial"/>
          <w:rtl/>
        </w:rPr>
        <w:t>אם רוב הקהל קבלו עליהם שבת, המיעוט נמשכים אחריהם על כרחם</w:t>
      </w:r>
      <w:r>
        <w:rPr>
          <w:rStyle w:val="a9"/>
          <w:rFonts w:asciiTheme="minorBidi" w:hAnsiTheme="minorBidi" w:cs="Arial"/>
          <w:rtl/>
        </w:rPr>
        <w:footnoteReference w:id="656"/>
      </w:r>
      <w:r w:rsidRPr="00CC2350">
        <w:rPr>
          <w:rFonts w:asciiTheme="minorBidi" w:hAnsiTheme="minorBidi" w:cs="Arial"/>
          <w:rtl/>
        </w:rPr>
        <w:t xml:space="preserve">. </w:t>
      </w:r>
    </w:p>
    <w:p w14:paraId="1C768D20" w14:textId="77777777" w:rsidR="004B2E7C" w:rsidRPr="00CC2350" w:rsidRDefault="004B2E7C" w:rsidP="00434A6A">
      <w:pPr>
        <w:rPr>
          <w:rFonts w:asciiTheme="minorBidi" w:hAnsiTheme="minorBidi"/>
          <w:rtl/>
        </w:rPr>
      </w:pPr>
    </w:p>
    <w:p w14:paraId="0B10BE53" w14:textId="77777777" w:rsidR="004B2E7C" w:rsidRDefault="004B2E7C" w:rsidP="00434A6A">
      <w:pPr>
        <w:pStyle w:val="2"/>
        <w:rPr>
          <w:rtl/>
        </w:rPr>
      </w:pPr>
      <w:r w:rsidRPr="00CC2350">
        <w:rPr>
          <w:rtl/>
        </w:rPr>
        <w:t>סעיף יג</w:t>
      </w:r>
      <w:r>
        <w:rPr>
          <w:rFonts w:hint="cs"/>
          <w:rtl/>
        </w:rPr>
        <w:t>:</w:t>
      </w:r>
      <w:r w:rsidRPr="00C234BD">
        <w:rPr>
          <w:rFonts w:asciiTheme="minorBidi" w:hAnsiTheme="minorBidi"/>
          <w:rtl/>
        </w:rPr>
        <w:t xml:space="preserve"> </w:t>
      </w:r>
      <w:r w:rsidRPr="00CC2350">
        <w:rPr>
          <w:rFonts w:asciiTheme="minorBidi" w:hAnsiTheme="minorBidi"/>
          <w:rtl/>
        </w:rPr>
        <w:t>אדם שבא לעיר בע</w:t>
      </w:r>
      <w:r>
        <w:rPr>
          <w:rFonts w:asciiTheme="minorBidi" w:hAnsiTheme="minorBidi" w:hint="cs"/>
          <w:rtl/>
        </w:rPr>
        <w:t xml:space="preserve">רב </w:t>
      </w:r>
      <w:r w:rsidRPr="00CC2350">
        <w:rPr>
          <w:rFonts w:asciiTheme="minorBidi" w:hAnsiTheme="minorBidi"/>
          <w:rtl/>
        </w:rPr>
        <w:t>ש</w:t>
      </w:r>
      <w:r>
        <w:rPr>
          <w:rFonts w:asciiTheme="minorBidi" w:hAnsiTheme="minorBidi" w:hint="cs"/>
          <w:rtl/>
        </w:rPr>
        <w:t>בת</w:t>
      </w:r>
      <w:r w:rsidRPr="00CC2350">
        <w:rPr>
          <w:rFonts w:asciiTheme="minorBidi" w:hAnsiTheme="minorBidi"/>
          <w:rtl/>
        </w:rPr>
        <w:t xml:space="preserve"> וכבר קבלו אנשי העיר עליהם שבת</w:t>
      </w:r>
      <w:r>
        <w:rPr>
          <w:rFonts w:hint="cs"/>
          <w:rtl/>
        </w:rPr>
        <w:t>.</w:t>
      </w:r>
    </w:p>
    <w:p w14:paraId="1C622463" w14:textId="77777777" w:rsidR="004B2E7C" w:rsidRPr="00C234BD" w:rsidRDefault="004B2E7C" w:rsidP="00434A6A">
      <w:pPr>
        <w:rPr>
          <w:u w:val="single"/>
          <w:rtl/>
        </w:rPr>
      </w:pPr>
      <w:r w:rsidRPr="00C234BD">
        <w:rPr>
          <w:rFonts w:asciiTheme="minorBidi" w:hAnsiTheme="minorBidi" w:cs="Arial"/>
          <w:u w:val="single"/>
          <w:rtl/>
        </w:rPr>
        <w:t>אדם שבא לעיר בע</w:t>
      </w:r>
      <w:r w:rsidRPr="00C234BD">
        <w:rPr>
          <w:rFonts w:asciiTheme="minorBidi" w:hAnsiTheme="minorBidi" w:cs="Arial" w:hint="cs"/>
          <w:u w:val="single"/>
          <w:rtl/>
        </w:rPr>
        <w:t xml:space="preserve">רב </w:t>
      </w:r>
      <w:r w:rsidRPr="00C234BD">
        <w:rPr>
          <w:rFonts w:asciiTheme="minorBidi" w:hAnsiTheme="minorBidi" w:cs="Arial"/>
          <w:u w:val="single"/>
          <w:rtl/>
        </w:rPr>
        <w:t>ש</w:t>
      </w:r>
      <w:r w:rsidRPr="00C234BD">
        <w:rPr>
          <w:rFonts w:asciiTheme="minorBidi" w:hAnsiTheme="minorBidi" w:cs="Arial" w:hint="cs"/>
          <w:u w:val="single"/>
          <w:rtl/>
        </w:rPr>
        <w:t>בת</w:t>
      </w:r>
      <w:r w:rsidRPr="00C234BD">
        <w:rPr>
          <w:rFonts w:asciiTheme="minorBidi" w:hAnsiTheme="minorBidi" w:cs="Arial"/>
          <w:u w:val="single"/>
          <w:rtl/>
        </w:rPr>
        <w:t xml:space="preserve"> וכבר קבלו אנשי העיר עליהם שבת</w:t>
      </w:r>
      <w:r w:rsidRPr="00C234BD">
        <w:rPr>
          <w:rFonts w:hint="cs"/>
          <w:u w:val="single"/>
          <w:rtl/>
        </w:rPr>
        <w:t>:</w:t>
      </w:r>
    </w:p>
    <w:p w14:paraId="7C1AA036" w14:textId="77777777" w:rsidR="004B2E7C" w:rsidRPr="006737C8" w:rsidRDefault="004B2E7C" w:rsidP="00FF2D21">
      <w:pPr>
        <w:pStyle w:val="aa"/>
        <w:numPr>
          <w:ilvl w:val="0"/>
          <w:numId w:val="87"/>
        </w:numPr>
        <w:rPr>
          <w:rtl/>
        </w:rPr>
      </w:pPr>
      <w:r w:rsidRPr="00C234BD">
        <w:rPr>
          <w:rFonts w:cs="Arial" w:hint="cs"/>
          <w:rtl/>
        </w:rPr>
        <w:t>שבה"ל</w:t>
      </w:r>
      <w:r w:rsidRPr="00C234BD">
        <w:rPr>
          <w:rFonts w:cs="Arial"/>
          <w:rtl/>
        </w:rPr>
        <w:t xml:space="preserve"> </w:t>
      </w:r>
      <w:r w:rsidRPr="00C234BD">
        <w:rPr>
          <w:rFonts w:cs="Arial"/>
          <w:sz w:val="16"/>
          <w:szCs w:val="16"/>
          <w:rtl/>
        </w:rPr>
        <w:t>(</w:t>
      </w:r>
      <w:r w:rsidRPr="00C234BD">
        <w:rPr>
          <w:rFonts w:cs="Arial" w:hint="cs"/>
          <w:sz w:val="16"/>
          <w:szCs w:val="16"/>
          <w:rtl/>
        </w:rPr>
        <w:t>סי</w:t>
      </w:r>
      <w:r w:rsidRPr="00C234BD">
        <w:rPr>
          <w:rFonts w:cs="Arial"/>
          <w:sz w:val="16"/>
          <w:szCs w:val="16"/>
          <w:rtl/>
        </w:rPr>
        <w:t xml:space="preserve">' </w:t>
      </w:r>
      <w:r w:rsidRPr="00C234BD">
        <w:rPr>
          <w:rFonts w:cs="Arial" w:hint="cs"/>
          <w:sz w:val="16"/>
          <w:szCs w:val="16"/>
          <w:rtl/>
        </w:rPr>
        <w:t>נט</w:t>
      </w:r>
      <w:r w:rsidRPr="00C234BD">
        <w:rPr>
          <w:rFonts w:cs="Arial"/>
          <w:sz w:val="16"/>
          <w:szCs w:val="16"/>
          <w:rtl/>
        </w:rPr>
        <w:t>)</w:t>
      </w:r>
      <w:r w:rsidRPr="00C234BD">
        <w:rPr>
          <w:rFonts w:cs="Arial" w:hint="cs"/>
          <w:rtl/>
        </w:rPr>
        <w:t>-</w:t>
      </w:r>
      <w:r w:rsidRPr="00C234BD">
        <w:rPr>
          <w:rFonts w:cs="Arial"/>
          <w:rtl/>
        </w:rPr>
        <w:t xml:space="preserve"> </w:t>
      </w:r>
      <w:r w:rsidRPr="00C234BD">
        <w:rPr>
          <w:rFonts w:cs="Arial" w:hint="cs"/>
          <w:rtl/>
        </w:rPr>
        <w:t>אדם</w:t>
      </w:r>
      <w:r w:rsidRPr="00C234BD">
        <w:rPr>
          <w:rFonts w:cs="Arial"/>
          <w:rtl/>
        </w:rPr>
        <w:t xml:space="preserve"> </w:t>
      </w:r>
      <w:r w:rsidRPr="00C234BD">
        <w:rPr>
          <w:rFonts w:cs="Arial" w:hint="cs"/>
          <w:rtl/>
        </w:rPr>
        <w:t>שבא</w:t>
      </w:r>
      <w:r w:rsidRPr="00C234BD">
        <w:rPr>
          <w:rFonts w:cs="Arial"/>
          <w:rtl/>
        </w:rPr>
        <w:t xml:space="preserve"> </w:t>
      </w:r>
      <w:r w:rsidRPr="00C234BD">
        <w:rPr>
          <w:rFonts w:cs="Arial" w:hint="cs"/>
          <w:rtl/>
        </w:rPr>
        <w:t>לעיר</w:t>
      </w:r>
      <w:r w:rsidRPr="00C234BD">
        <w:rPr>
          <w:rFonts w:cs="Arial"/>
          <w:rtl/>
        </w:rPr>
        <w:t xml:space="preserve"> </w:t>
      </w:r>
      <w:r w:rsidRPr="00C234BD">
        <w:rPr>
          <w:rFonts w:cs="Arial" w:hint="cs"/>
          <w:rtl/>
        </w:rPr>
        <w:t>בערב</w:t>
      </w:r>
      <w:r w:rsidRPr="00C234BD">
        <w:rPr>
          <w:rFonts w:cs="Arial"/>
          <w:rtl/>
        </w:rPr>
        <w:t xml:space="preserve"> </w:t>
      </w:r>
      <w:r w:rsidRPr="00C234BD">
        <w:rPr>
          <w:rFonts w:cs="Arial" w:hint="cs"/>
          <w:rtl/>
        </w:rPr>
        <w:t>שבת</w:t>
      </w:r>
      <w:r w:rsidRPr="00C234BD">
        <w:rPr>
          <w:rFonts w:cs="Arial"/>
          <w:rtl/>
        </w:rPr>
        <w:t xml:space="preserve"> </w:t>
      </w:r>
      <w:r w:rsidRPr="00C234BD">
        <w:rPr>
          <w:rFonts w:cs="Arial" w:hint="cs"/>
          <w:rtl/>
        </w:rPr>
        <w:t>וכבר</w:t>
      </w:r>
      <w:r w:rsidRPr="00C234BD">
        <w:rPr>
          <w:rFonts w:cs="Arial"/>
          <w:rtl/>
        </w:rPr>
        <w:t xml:space="preserve"> </w:t>
      </w:r>
      <w:r w:rsidRPr="00C234BD">
        <w:rPr>
          <w:rFonts w:cs="Arial" w:hint="cs"/>
          <w:rtl/>
        </w:rPr>
        <w:t>קיבלו</w:t>
      </w:r>
      <w:r w:rsidRPr="00C234BD">
        <w:rPr>
          <w:rFonts w:cs="Arial"/>
          <w:rtl/>
        </w:rPr>
        <w:t xml:space="preserve"> </w:t>
      </w:r>
      <w:r w:rsidRPr="00C234BD">
        <w:rPr>
          <w:rFonts w:cs="Arial" w:hint="cs"/>
          <w:rtl/>
        </w:rPr>
        <w:t>עליהם</w:t>
      </w:r>
      <w:r w:rsidRPr="00C234BD">
        <w:rPr>
          <w:rFonts w:cs="Arial"/>
          <w:rtl/>
        </w:rPr>
        <w:t xml:space="preserve"> </w:t>
      </w:r>
      <w:r w:rsidRPr="00C234BD">
        <w:rPr>
          <w:rFonts w:cs="Arial" w:hint="cs"/>
          <w:rtl/>
        </w:rPr>
        <w:t>אנשי</w:t>
      </w:r>
      <w:r w:rsidRPr="00C234BD">
        <w:rPr>
          <w:rFonts w:cs="Arial"/>
          <w:rtl/>
        </w:rPr>
        <w:t xml:space="preserve"> </w:t>
      </w:r>
      <w:r w:rsidRPr="00C234BD">
        <w:rPr>
          <w:rFonts w:cs="Arial" w:hint="cs"/>
          <w:rtl/>
        </w:rPr>
        <w:t>העיר</w:t>
      </w:r>
      <w:r w:rsidRPr="00C234BD">
        <w:rPr>
          <w:rFonts w:cs="Arial"/>
          <w:rtl/>
        </w:rPr>
        <w:t xml:space="preserve"> </w:t>
      </w:r>
      <w:r w:rsidRPr="00C234BD">
        <w:rPr>
          <w:rFonts w:cs="Arial" w:hint="cs"/>
          <w:rtl/>
        </w:rPr>
        <w:t>שבת,</w:t>
      </w:r>
      <w:r w:rsidRPr="00C234BD">
        <w:rPr>
          <w:rFonts w:cs="Arial"/>
          <w:rtl/>
        </w:rPr>
        <w:t xml:space="preserve"> </w:t>
      </w:r>
      <w:r w:rsidRPr="00C234BD">
        <w:rPr>
          <w:rFonts w:cs="Arial" w:hint="cs"/>
          <w:rtl/>
        </w:rPr>
        <w:t>כיון</w:t>
      </w:r>
      <w:r w:rsidRPr="00C234BD">
        <w:rPr>
          <w:rFonts w:cs="Arial"/>
          <w:rtl/>
        </w:rPr>
        <w:t xml:space="preserve"> </w:t>
      </w:r>
      <w:r w:rsidRPr="00C234BD">
        <w:rPr>
          <w:rFonts w:cs="Arial" w:hint="cs"/>
          <w:rtl/>
        </w:rPr>
        <w:t>שהתחילו</w:t>
      </w:r>
      <w:r w:rsidRPr="00C234BD">
        <w:rPr>
          <w:rFonts w:cs="Arial"/>
          <w:rtl/>
        </w:rPr>
        <w:t xml:space="preserve"> </w:t>
      </w:r>
      <w:r w:rsidRPr="00C234BD">
        <w:rPr>
          <w:rFonts w:cs="Arial" w:hint="cs"/>
          <w:rtl/>
        </w:rPr>
        <w:t>ברכו</w:t>
      </w:r>
      <w:r w:rsidRPr="00C234BD">
        <w:rPr>
          <w:rFonts w:cs="Arial"/>
          <w:rtl/>
        </w:rPr>
        <w:t xml:space="preserve"> </w:t>
      </w:r>
      <w:r w:rsidRPr="00C234BD">
        <w:rPr>
          <w:rFonts w:cs="Arial" w:hint="cs"/>
          <w:rtl/>
        </w:rPr>
        <w:t>אף</w:t>
      </w:r>
      <w:r w:rsidRPr="00C234BD">
        <w:rPr>
          <w:rFonts w:cs="Arial"/>
          <w:rtl/>
        </w:rPr>
        <w:t xml:space="preserve"> </w:t>
      </w:r>
      <w:r w:rsidRPr="00C234BD">
        <w:rPr>
          <w:rFonts w:cs="Arial" w:hint="cs"/>
          <w:rtl/>
        </w:rPr>
        <w:t>על</w:t>
      </w:r>
      <w:r w:rsidRPr="00C234BD">
        <w:rPr>
          <w:rFonts w:cs="Arial"/>
          <w:rtl/>
        </w:rPr>
        <w:t xml:space="preserve"> </w:t>
      </w:r>
      <w:r w:rsidRPr="00C234BD">
        <w:rPr>
          <w:rFonts w:cs="Arial" w:hint="cs"/>
          <w:rtl/>
        </w:rPr>
        <w:t>פי</w:t>
      </w:r>
      <w:r w:rsidRPr="00C234BD">
        <w:rPr>
          <w:rFonts w:cs="Arial"/>
          <w:rtl/>
        </w:rPr>
        <w:t xml:space="preserve"> </w:t>
      </w:r>
      <w:r w:rsidRPr="00C234BD">
        <w:rPr>
          <w:rFonts w:cs="Arial" w:hint="cs"/>
          <w:rtl/>
        </w:rPr>
        <w:t>שעדיין</w:t>
      </w:r>
      <w:r w:rsidRPr="00C234BD">
        <w:rPr>
          <w:rFonts w:cs="Arial"/>
          <w:rtl/>
        </w:rPr>
        <w:t xml:space="preserve"> </w:t>
      </w:r>
      <w:r w:rsidRPr="00C234BD">
        <w:rPr>
          <w:rFonts w:cs="Arial" w:hint="cs"/>
          <w:rtl/>
        </w:rPr>
        <w:t>היום</w:t>
      </w:r>
      <w:r w:rsidRPr="00C234BD">
        <w:rPr>
          <w:rFonts w:cs="Arial"/>
          <w:rtl/>
        </w:rPr>
        <w:t xml:space="preserve"> </w:t>
      </w:r>
      <w:r w:rsidRPr="00C234BD">
        <w:rPr>
          <w:rFonts w:cs="Arial" w:hint="cs"/>
          <w:rtl/>
        </w:rPr>
        <w:t>גדול</w:t>
      </w:r>
      <w:r w:rsidRPr="00C234BD">
        <w:rPr>
          <w:rFonts w:cs="Arial"/>
          <w:rtl/>
        </w:rPr>
        <w:t xml:space="preserve"> </w:t>
      </w:r>
      <w:r w:rsidRPr="00C234BD">
        <w:rPr>
          <w:rFonts w:cs="Arial" w:hint="cs"/>
          <w:rtl/>
        </w:rPr>
        <w:t>אם</w:t>
      </w:r>
      <w:r w:rsidRPr="00C234BD">
        <w:rPr>
          <w:rFonts w:cs="Arial"/>
          <w:rtl/>
        </w:rPr>
        <w:t xml:space="preserve"> </w:t>
      </w:r>
      <w:r w:rsidRPr="00C234BD">
        <w:rPr>
          <w:rFonts w:cs="Arial" w:hint="cs"/>
          <w:rtl/>
        </w:rPr>
        <w:t>היו</w:t>
      </w:r>
      <w:r w:rsidRPr="00C234BD">
        <w:rPr>
          <w:rFonts w:cs="Arial"/>
          <w:rtl/>
        </w:rPr>
        <w:t xml:space="preserve"> </w:t>
      </w:r>
      <w:r w:rsidRPr="00C234BD">
        <w:rPr>
          <w:rFonts w:cs="Arial" w:hint="cs"/>
          <w:rtl/>
        </w:rPr>
        <w:t>עליו</w:t>
      </w:r>
      <w:r w:rsidRPr="00C234BD">
        <w:rPr>
          <w:rFonts w:cs="Arial"/>
          <w:rtl/>
        </w:rPr>
        <w:t xml:space="preserve"> </w:t>
      </w:r>
      <w:r w:rsidRPr="00C234BD">
        <w:rPr>
          <w:rFonts w:cs="Arial" w:hint="cs"/>
          <w:rtl/>
        </w:rPr>
        <w:t>מעות</w:t>
      </w:r>
      <w:r w:rsidRPr="00C234BD">
        <w:rPr>
          <w:rFonts w:cs="Arial"/>
          <w:rtl/>
        </w:rPr>
        <w:t xml:space="preserve"> </w:t>
      </w:r>
      <w:r w:rsidRPr="00C234BD">
        <w:rPr>
          <w:rFonts w:cs="Arial" w:hint="cs"/>
          <w:rtl/>
        </w:rPr>
        <w:t>או</w:t>
      </w:r>
      <w:r w:rsidRPr="00C234BD">
        <w:rPr>
          <w:rFonts w:cs="Arial"/>
          <w:rtl/>
        </w:rPr>
        <w:t xml:space="preserve"> </w:t>
      </w:r>
      <w:r w:rsidRPr="00C234BD">
        <w:rPr>
          <w:rFonts w:cs="Arial" w:hint="cs"/>
          <w:rtl/>
        </w:rPr>
        <w:t>שום</w:t>
      </w:r>
      <w:r w:rsidRPr="00C234BD">
        <w:rPr>
          <w:rFonts w:cs="Arial"/>
          <w:rtl/>
        </w:rPr>
        <w:t xml:space="preserve"> </w:t>
      </w:r>
      <w:r w:rsidRPr="00C234BD">
        <w:rPr>
          <w:rFonts w:cs="Arial" w:hint="cs"/>
          <w:rtl/>
        </w:rPr>
        <w:t>חפץ</w:t>
      </w:r>
      <w:r w:rsidRPr="00C234BD">
        <w:rPr>
          <w:rFonts w:cs="Arial"/>
          <w:rtl/>
        </w:rPr>
        <w:t xml:space="preserve"> </w:t>
      </w:r>
      <w:r w:rsidRPr="00C234BD">
        <w:rPr>
          <w:rFonts w:cs="Arial" w:hint="cs"/>
          <w:rtl/>
        </w:rPr>
        <w:t>מניחו</w:t>
      </w:r>
      <w:r w:rsidRPr="00C234BD">
        <w:rPr>
          <w:rFonts w:cs="Arial"/>
          <w:rtl/>
        </w:rPr>
        <w:t xml:space="preserve"> </w:t>
      </w:r>
      <w:r w:rsidRPr="00C234BD">
        <w:rPr>
          <w:rFonts w:cs="Arial" w:hint="cs"/>
          <w:rtl/>
        </w:rPr>
        <w:t>ליפול,</w:t>
      </w:r>
      <w:r w:rsidRPr="00C234BD">
        <w:rPr>
          <w:rFonts w:cs="Arial"/>
          <w:rtl/>
        </w:rPr>
        <w:t xml:space="preserve"> </w:t>
      </w:r>
      <w:r w:rsidRPr="00C234BD">
        <w:rPr>
          <w:rFonts w:cs="Arial" w:hint="cs"/>
          <w:rtl/>
        </w:rPr>
        <w:t>שברכו</w:t>
      </w:r>
      <w:r w:rsidRPr="00C234BD">
        <w:rPr>
          <w:rFonts w:cs="Arial"/>
          <w:rtl/>
        </w:rPr>
        <w:t xml:space="preserve"> </w:t>
      </w:r>
      <w:r w:rsidRPr="00C234BD">
        <w:rPr>
          <w:rFonts w:cs="Arial" w:hint="cs"/>
          <w:rtl/>
        </w:rPr>
        <w:t>במקום</w:t>
      </w:r>
      <w:r w:rsidRPr="00C234BD">
        <w:rPr>
          <w:rFonts w:cs="Arial"/>
          <w:rtl/>
        </w:rPr>
        <w:t xml:space="preserve"> </w:t>
      </w:r>
      <w:r w:rsidRPr="00C234BD">
        <w:rPr>
          <w:rFonts w:cs="Arial" w:hint="cs"/>
          <w:rtl/>
        </w:rPr>
        <w:t>תקיעה.</w:t>
      </w:r>
      <w:r w:rsidRPr="00C234BD">
        <w:rPr>
          <w:rFonts w:cs="Arial" w:hint="cs"/>
          <w:color w:val="E36C0A" w:themeColor="accent6" w:themeShade="BF"/>
          <w:rtl/>
        </w:rPr>
        <w:t xml:space="preserve"> </w:t>
      </w:r>
      <w:r w:rsidRPr="004C4CDF">
        <w:rPr>
          <w:rFonts w:cs="Arial" w:hint="cs"/>
          <w:color w:val="E36C0A" w:themeColor="accent6" w:themeShade="BF"/>
          <w:rtl/>
        </w:rPr>
        <w:t>(וכ"פ בשו"ע)</w:t>
      </w:r>
    </w:p>
    <w:p w14:paraId="248124F1"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0972E5A1" w14:textId="77777777" w:rsidR="004B2E7C" w:rsidRDefault="004B2E7C" w:rsidP="00434A6A">
      <w:pPr>
        <w:rPr>
          <w:rFonts w:asciiTheme="minorBidi" w:hAnsiTheme="minorBidi"/>
          <w:rtl/>
        </w:rPr>
      </w:pPr>
      <w:r w:rsidRPr="00CC2350">
        <w:rPr>
          <w:rFonts w:asciiTheme="minorBidi" w:hAnsiTheme="minorBidi" w:cs="Arial"/>
          <w:rtl/>
        </w:rPr>
        <w:t>אדם שבא לעיר בע</w:t>
      </w:r>
      <w:r>
        <w:rPr>
          <w:rFonts w:asciiTheme="minorBidi" w:hAnsiTheme="minorBidi" w:cs="Arial" w:hint="cs"/>
          <w:rtl/>
        </w:rPr>
        <w:t xml:space="preserve">רב </w:t>
      </w:r>
      <w:r w:rsidRPr="00CC2350">
        <w:rPr>
          <w:rFonts w:asciiTheme="minorBidi" w:hAnsiTheme="minorBidi" w:cs="Arial"/>
          <w:rtl/>
        </w:rPr>
        <w:t>ש</w:t>
      </w:r>
      <w:r>
        <w:rPr>
          <w:rFonts w:asciiTheme="minorBidi" w:hAnsiTheme="minorBidi" w:cs="Arial" w:hint="cs"/>
          <w:rtl/>
        </w:rPr>
        <w:t>בת</w:t>
      </w:r>
      <w:r w:rsidRPr="00CC2350">
        <w:rPr>
          <w:rFonts w:asciiTheme="minorBidi" w:hAnsiTheme="minorBidi" w:cs="Arial"/>
          <w:rtl/>
        </w:rPr>
        <w:t xml:space="preserve"> וכבר קבלו אנשי העיר עליהם שבת, אף על פי שעדיין היום גדול, אם היו עליו מעות או שום חפץ, מניחו ליפול</w:t>
      </w:r>
      <w:r>
        <w:rPr>
          <w:rStyle w:val="a9"/>
          <w:rFonts w:asciiTheme="minorBidi" w:hAnsiTheme="minorBidi" w:cs="Arial"/>
          <w:rtl/>
        </w:rPr>
        <w:footnoteReference w:id="657"/>
      </w:r>
      <w:r w:rsidRPr="00CC2350">
        <w:rPr>
          <w:rFonts w:asciiTheme="minorBidi" w:hAnsiTheme="minorBidi" w:cs="Arial"/>
          <w:rtl/>
        </w:rPr>
        <w:t xml:space="preserve">. </w:t>
      </w:r>
    </w:p>
    <w:p w14:paraId="17E00E2F" w14:textId="77777777" w:rsidR="004B2E7C" w:rsidRPr="00CC2350" w:rsidRDefault="004B2E7C" w:rsidP="00434A6A">
      <w:pPr>
        <w:rPr>
          <w:rFonts w:asciiTheme="minorBidi" w:hAnsiTheme="minorBidi"/>
          <w:rtl/>
        </w:rPr>
      </w:pPr>
    </w:p>
    <w:p w14:paraId="098CD980" w14:textId="77777777" w:rsidR="004B2E7C" w:rsidRDefault="004B2E7C" w:rsidP="00434A6A">
      <w:pPr>
        <w:pStyle w:val="2"/>
        <w:rPr>
          <w:rtl/>
        </w:rPr>
      </w:pPr>
      <w:r w:rsidRPr="00CC2350">
        <w:rPr>
          <w:rtl/>
        </w:rPr>
        <w:t>סעיף יד</w:t>
      </w:r>
      <w:r>
        <w:rPr>
          <w:rFonts w:hint="cs"/>
          <w:rtl/>
        </w:rPr>
        <w:t>: קבלת שבת בטעות.</w:t>
      </w:r>
    </w:p>
    <w:p w14:paraId="7B80AE5B" w14:textId="77777777" w:rsidR="004B2E7C" w:rsidRDefault="004B2E7C" w:rsidP="00434A6A">
      <w:pPr>
        <w:rPr>
          <w:rFonts w:cs="Arial"/>
          <w:rtl/>
        </w:rPr>
      </w:pPr>
      <w:r w:rsidRPr="00112DAE">
        <w:rPr>
          <w:rFonts w:cs="Arial" w:hint="cs"/>
          <w:b/>
          <w:bCs/>
          <w:rtl/>
        </w:rPr>
        <w:t xml:space="preserve">ברכות </w:t>
      </w:r>
      <w:r w:rsidRPr="00112DAE">
        <w:rPr>
          <w:rFonts w:cs="Arial" w:hint="cs"/>
          <w:b/>
          <w:bCs/>
          <w:sz w:val="16"/>
          <w:szCs w:val="16"/>
          <w:rtl/>
        </w:rPr>
        <w:t>(פ'</w:t>
      </w:r>
      <w:r w:rsidRPr="00112DAE">
        <w:rPr>
          <w:rFonts w:cs="Arial"/>
          <w:b/>
          <w:bCs/>
          <w:sz w:val="16"/>
          <w:szCs w:val="16"/>
          <w:rtl/>
        </w:rPr>
        <w:t xml:space="preserve"> </w:t>
      </w:r>
      <w:r w:rsidRPr="00112DAE">
        <w:rPr>
          <w:rFonts w:cs="Arial" w:hint="cs"/>
          <w:b/>
          <w:bCs/>
          <w:sz w:val="16"/>
          <w:szCs w:val="16"/>
          <w:rtl/>
        </w:rPr>
        <w:t>תפילת</w:t>
      </w:r>
      <w:r w:rsidRPr="00112DAE">
        <w:rPr>
          <w:rFonts w:cs="Arial"/>
          <w:b/>
          <w:bCs/>
          <w:sz w:val="16"/>
          <w:szCs w:val="16"/>
          <w:rtl/>
        </w:rPr>
        <w:t xml:space="preserve"> </w:t>
      </w:r>
      <w:r w:rsidRPr="00112DAE">
        <w:rPr>
          <w:rFonts w:cs="Arial" w:hint="cs"/>
          <w:b/>
          <w:bCs/>
          <w:sz w:val="16"/>
          <w:szCs w:val="16"/>
          <w:rtl/>
        </w:rPr>
        <w:t xml:space="preserve">השחר) </w:t>
      </w:r>
      <w:r w:rsidRPr="00112DAE">
        <w:rPr>
          <w:rFonts w:cs="Arial" w:hint="cs"/>
          <w:b/>
          <w:bCs/>
          <w:rtl/>
        </w:rPr>
        <w:t>כז ע"ב:</w:t>
      </w:r>
      <w:r w:rsidRPr="006737C8">
        <w:rPr>
          <w:rFonts w:cs="Arial"/>
          <w:rtl/>
        </w:rPr>
        <w:t xml:space="preserve"> </w:t>
      </w:r>
      <w:r w:rsidRPr="00112DAE">
        <w:rPr>
          <w:rFonts w:cs="Arial"/>
          <w:u w:val="single"/>
          <w:rtl/>
        </w:rPr>
        <w:t>אמר ליה רבי ירמיה בר אבא לרב</w:t>
      </w:r>
      <w:r w:rsidRPr="00112DAE">
        <w:rPr>
          <w:rFonts w:cs="Arial"/>
          <w:rtl/>
        </w:rPr>
        <w:t>: מי בדלת</w:t>
      </w:r>
      <w:r>
        <w:rPr>
          <w:rStyle w:val="a9"/>
          <w:rFonts w:cs="Arial"/>
          <w:rtl/>
        </w:rPr>
        <w:footnoteReference w:id="658"/>
      </w:r>
      <w:r w:rsidRPr="00112DAE">
        <w:rPr>
          <w:rFonts w:cs="Arial"/>
          <w:rtl/>
        </w:rPr>
        <w:t xml:space="preserve">? </w:t>
      </w:r>
      <w:r w:rsidRPr="00112DAE">
        <w:rPr>
          <w:rFonts w:cs="Arial"/>
          <w:u w:val="single"/>
          <w:rtl/>
        </w:rPr>
        <w:t>אמר ליה</w:t>
      </w:r>
      <w:r w:rsidRPr="00112DAE">
        <w:rPr>
          <w:rFonts w:cs="Arial"/>
          <w:rtl/>
        </w:rPr>
        <w:t>: אין, בדילנא</w:t>
      </w:r>
      <w:r>
        <w:rPr>
          <w:rFonts w:cs="Arial" w:hint="cs"/>
          <w:rtl/>
        </w:rPr>
        <w:t>...</w:t>
      </w:r>
      <w:r w:rsidRPr="00112DAE">
        <w:rPr>
          <w:rtl/>
        </w:rPr>
        <w:t xml:space="preserve"> </w:t>
      </w:r>
      <w:r w:rsidRPr="00112DAE">
        <w:rPr>
          <w:rFonts w:cs="Arial"/>
          <w:rtl/>
        </w:rPr>
        <w:t xml:space="preserve">ומי בדיל? </w:t>
      </w:r>
      <w:r w:rsidRPr="00112DAE">
        <w:rPr>
          <w:rFonts w:cs="Arial"/>
          <w:u w:val="single"/>
          <w:rtl/>
        </w:rPr>
        <w:t>והאמר רבי אבין</w:t>
      </w:r>
      <w:r w:rsidRPr="00112DAE">
        <w:rPr>
          <w:rFonts w:cs="Arial"/>
          <w:rtl/>
        </w:rPr>
        <w:t>: פעם אחת התפלל רבי של שבת בערב שבת, ונכנס למרחץ</w:t>
      </w:r>
      <w:r>
        <w:rPr>
          <w:rStyle w:val="a9"/>
          <w:rFonts w:cs="Arial"/>
          <w:rtl/>
        </w:rPr>
        <w:footnoteReference w:id="659"/>
      </w:r>
      <w:r w:rsidRPr="00112DAE">
        <w:rPr>
          <w:rFonts w:cs="Arial"/>
          <w:rtl/>
        </w:rPr>
        <w:t xml:space="preserve"> ויצא ושנה לן פרקין ועדיין לא חשכה! </w:t>
      </w:r>
      <w:r w:rsidRPr="00B45E01">
        <w:rPr>
          <w:rFonts w:cs="Arial"/>
          <w:u w:val="single"/>
          <w:rtl/>
        </w:rPr>
        <w:t>אמר רבא</w:t>
      </w:r>
      <w:r w:rsidRPr="00112DAE">
        <w:rPr>
          <w:rFonts w:cs="Arial"/>
          <w:rtl/>
        </w:rPr>
        <w:t>: ההוא דנכנס להזיע</w:t>
      </w:r>
      <w:r>
        <w:rPr>
          <w:rStyle w:val="a9"/>
          <w:rFonts w:cs="Arial"/>
          <w:rtl/>
        </w:rPr>
        <w:footnoteReference w:id="660"/>
      </w:r>
      <w:r w:rsidRPr="00112DAE">
        <w:rPr>
          <w:rFonts w:cs="Arial"/>
          <w:rtl/>
        </w:rPr>
        <w:t>, וקודם גזירה</w:t>
      </w:r>
      <w:r>
        <w:rPr>
          <w:rStyle w:val="a9"/>
          <w:rFonts w:cs="Arial"/>
          <w:rtl/>
        </w:rPr>
        <w:footnoteReference w:id="661"/>
      </w:r>
      <w:r w:rsidRPr="00112DAE">
        <w:rPr>
          <w:rFonts w:cs="Arial"/>
          <w:rtl/>
        </w:rPr>
        <w:t xml:space="preserve"> הוה. איני? והא אביי שרא ליה לרב דימי בר ליואי לכברויי סלי</w:t>
      </w:r>
      <w:r>
        <w:rPr>
          <w:rStyle w:val="a9"/>
          <w:rFonts w:cs="Arial"/>
          <w:rtl/>
        </w:rPr>
        <w:footnoteReference w:id="662"/>
      </w:r>
      <w:r w:rsidRPr="00112DAE">
        <w:rPr>
          <w:rFonts w:cs="Arial"/>
          <w:rtl/>
        </w:rPr>
        <w:t>! ההוא טעותא הואי</w:t>
      </w:r>
      <w:r>
        <w:rPr>
          <w:rStyle w:val="a9"/>
          <w:rFonts w:cs="Arial"/>
          <w:rtl/>
        </w:rPr>
        <w:footnoteReference w:id="663"/>
      </w:r>
      <w:r w:rsidRPr="00112DAE">
        <w:rPr>
          <w:rFonts w:cs="Arial"/>
          <w:rtl/>
        </w:rPr>
        <w:t>. וטעותא מי הדרא? והא אמר אבידן: פעם אחת נתקשרו שמים בעבים, כסבורים העם לומר חשכה הוא, ונכנסו לבית הכנסת והתפללו של מוצאי שבת בשבת, ונתפזרו העבים וזרחה החמה, ובאו ושאלו את רבי, ואמר: הואיל והתפללו - התפללו</w:t>
      </w:r>
      <w:r>
        <w:rPr>
          <w:rStyle w:val="a9"/>
          <w:rFonts w:cs="Arial"/>
          <w:rtl/>
        </w:rPr>
        <w:footnoteReference w:id="664"/>
      </w:r>
      <w:r w:rsidRPr="00112DAE">
        <w:rPr>
          <w:rFonts w:cs="Arial"/>
          <w:rtl/>
        </w:rPr>
        <w:t>! שאני צבור, דלא מטרחינן להו.</w:t>
      </w:r>
    </w:p>
    <w:p w14:paraId="12ADD55E" w14:textId="77777777" w:rsidR="004B2E7C" w:rsidRPr="000752E4" w:rsidRDefault="004B2E7C" w:rsidP="00434A6A">
      <w:pPr>
        <w:rPr>
          <w:rFonts w:cs="Arial"/>
          <w:u w:val="single"/>
          <w:rtl/>
        </w:rPr>
      </w:pPr>
      <w:r w:rsidRPr="000752E4">
        <w:rPr>
          <w:rFonts w:cs="Arial" w:hint="cs"/>
          <w:u w:val="single"/>
          <w:rtl/>
        </w:rPr>
        <w:t>קבלת שבת בטעות:</w:t>
      </w:r>
    </w:p>
    <w:p w14:paraId="31DF37D0" w14:textId="77777777" w:rsidR="004B2E7C" w:rsidRDefault="004B2E7C" w:rsidP="00FF2D21">
      <w:pPr>
        <w:pStyle w:val="aa"/>
        <w:numPr>
          <w:ilvl w:val="0"/>
          <w:numId w:val="87"/>
        </w:numPr>
        <w:rPr>
          <w:rFonts w:cs="Arial"/>
        </w:rPr>
      </w:pPr>
      <w:r w:rsidRPr="00B45E01">
        <w:rPr>
          <w:rFonts w:cs="Arial" w:hint="cs"/>
          <w:rtl/>
        </w:rPr>
        <w:t>רשב</w:t>
      </w:r>
      <w:r w:rsidRPr="00B45E01">
        <w:rPr>
          <w:rFonts w:cs="Arial"/>
          <w:rtl/>
        </w:rPr>
        <w:t>"</w:t>
      </w:r>
      <w:r w:rsidRPr="00B45E01">
        <w:rPr>
          <w:rFonts w:cs="Arial" w:hint="cs"/>
          <w:rtl/>
        </w:rPr>
        <w:t xml:space="preserve">א </w:t>
      </w:r>
      <w:r w:rsidRPr="00B45E01">
        <w:rPr>
          <w:rFonts w:cs="Arial"/>
          <w:sz w:val="16"/>
          <w:szCs w:val="16"/>
          <w:rtl/>
        </w:rPr>
        <w:t>(</w:t>
      </w:r>
      <w:r w:rsidRPr="00B45E01">
        <w:rPr>
          <w:rFonts w:cs="Arial" w:hint="cs"/>
          <w:sz w:val="16"/>
          <w:szCs w:val="16"/>
          <w:rtl/>
        </w:rPr>
        <w:t>ברכות כז: ד</w:t>
      </w:r>
      <w:r w:rsidRPr="00B45E01">
        <w:rPr>
          <w:rFonts w:cs="Arial"/>
          <w:sz w:val="16"/>
          <w:szCs w:val="16"/>
          <w:rtl/>
        </w:rPr>
        <w:t>"</w:t>
      </w:r>
      <w:r w:rsidRPr="00B45E01">
        <w:rPr>
          <w:rFonts w:cs="Arial" w:hint="cs"/>
          <w:sz w:val="16"/>
          <w:szCs w:val="16"/>
          <w:rtl/>
        </w:rPr>
        <w:t>ה</w:t>
      </w:r>
      <w:r w:rsidRPr="00B45E01">
        <w:rPr>
          <w:rFonts w:cs="Arial"/>
          <w:sz w:val="16"/>
          <w:szCs w:val="16"/>
          <w:rtl/>
        </w:rPr>
        <w:t xml:space="preserve"> </w:t>
      </w:r>
      <w:r w:rsidRPr="00B45E01">
        <w:rPr>
          <w:rFonts w:cs="Arial" w:hint="cs"/>
          <w:sz w:val="16"/>
          <w:szCs w:val="16"/>
          <w:rtl/>
        </w:rPr>
        <w:t>שאני</w:t>
      </w:r>
      <w:r w:rsidRPr="00B45E01">
        <w:rPr>
          <w:rFonts w:cs="Arial"/>
          <w:sz w:val="16"/>
          <w:szCs w:val="16"/>
          <w:rtl/>
        </w:rPr>
        <w:t xml:space="preserve"> </w:t>
      </w:r>
      <w:r w:rsidRPr="00B45E01">
        <w:rPr>
          <w:rFonts w:cs="Arial" w:hint="cs"/>
          <w:sz w:val="16"/>
          <w:szCs w:val="16"/>
          <w:rtl/>
        </w:rPr>
        <w:t>התם</w:t>
      </w:r>
      <w:r w:rsidRPr="00B45E01">
        <w:rPr>
          <w:rFonts w:cs="Arial"/>
          <w:sz w:val="16"/>
          <w:szCs w:val="16"/>
          <w:rtl/>
        </w:rPr>
        <w:t xml:space="preserve">) </w:t>
      </w:r>
      <w:r w:rsidRPr="00B45E01">
        <w:rPr>
          <w:rFonts w:cs="Arial" w:hint="cs"/>
          <w:rtl/>
        </w:rPr>
        <w:t>רא</w:t>
      </w:r>
      <w:r w:rsidRPr="00B45E01">
        <w:rPr>
          <w:rFonts w:cs="Arial"/>
          <w:rtl/>
        </w:rPr>
        <w:t>"</w:t>
      </w:r>
      <w:r w:rsidRPr="00B45E01">
        <w:rPr>
          <w:rFonts w:cs="Arial" w:hint="cs"/>
          <w:rtl/>
        </w:rPr>
        <w:t>ש</w:t>
      </w:r>
      <w:r w:rsidRPr="00B45E01">
        <w:rPr>
          <w:rFonts w:cs="Arial"/>
          <w:rtl/>
        </w:rPr>
        <w:t xml:space="preserve"> </w:t>
      </w:r>
      <w:r w:rsidRPr="00B45E01">
        <w:rPr>
          <w:rFonts w:cs="Arial"/>
          <w:sz w:val="16"/>
          <w:szCs w:val="16"/>
          <w:rtl/>
        </w:rPr>
        <w:t>(</w:t>
      </w:r>
      <w:r w:rsidRPr="00B45E01">
        <w:rPr>
          <w:rFonts w:cs="Arial" w:hint="cs"/>
          <w:sz w:val="16"/>
          <w:szCs w:val="16"/>
          <w:rtl/>
        </w:rPr>
        <w:t>שם</w:t>
      </w:r>
      <w:r w:rsidRPr="00B45E01">
        <w:rPr>
          <w:rFonts w:cs="Arial"/>
          <w:sz w:val="16"/>
          <w:szCs w:val="16"/>
          <w:rtl/>
        </w:rPr>
        <w:t xml:space="preserve"> </w:t>
      </w:r>
      <w:r w:rsidRPr="00B45E01">
        <w:rPr>
          <w:rFonts w:cs="Arial" w:hint="cs"/>
          <w:sz w:val="16"/>
          <w:szCs w:val="16"/>
          <w:rtl/>
        </w:rPr>
        <w:t>סו</w:t>
      </w:r>
      <w:r w:rsidRPr="00B45E01">
        <w:rPr>
          <w:rFonts w:cs="Arial"/>
          <w:sz w:val="16"/>
          <w:szCs w:val="16"/>
          <w:rtl/>
        </w:rPr>
        <w:t>"</w:t>
      </w:r>
      <w:r w:rsidRPr="00B45E01">
        <w:rPr>
          <w:rFonts w:cs="Arial" w:hint="cs"/>
          <w:sz w:val="16"/>
          <w:szCs w:val="16"/>
          <w:rtl/>
        </w:rPr>
        <w:t>ס</w:t>
      </w:r>
      <w:r w:rsidRPr="00B45E01">
        <w:rPr>
          <w:rFonts w:cs="Arial"/>
          <w:sz w:val="16"/>
          <w:szCs w:val="16"/>
          <w:rtl/>
        </w:rPr>
        <w:t xml:space="preserve"> </w:t>
      </w:r>
      <w:r w:rsidRPr="00B45E01">
        <w:rPr>
          <w:rFonts w:cs="Arial" w:hint="cs"/>
          <w:sz w:val="16"/>
          <w:szCs w:val="16"/>
          <w:rtl/>
        </w:rPr>
        <w:t>ו</w:t>
      </w:r>
      <w:r w:rsidRPr="00B45E01">
        <w:rPr>
          <w:rFonts w:cs="Arial"/>
          <w:sz w:val="16"/>
          <w:szCs w:val="16"/>
          <w:rtl/>
        </w:rPr>
        <w:t>)</w:t>
      </w:r>
      <w:r w:rsidRPr="00B45E01">
        <w:rPr>
          <w:rFonts w:cs="Arial" w:hint="cs"/>
          <w:rtl/>
        </w:rPr>
        <w:t xml:space="preserve"> תלמידי</w:t>
      </w:r>
      <w:r w:rsidRPr="00B45E01">
        <w:rPr>
          <w:rFonts w:cs="Arial"/>
          <w:rtl/>
        </w:rPr>
        <w:t xml:space="preserve"> </w:t>
      </w:r>
      <w:r w:rsidRPr="00B45E01">
        <w:rPr>
          <w:rFonts w:cs="Arial" w:hint="cs"/>
          <w:rtl/>
        </w:rPr>
        <w:t>ה</w:t>
      </w:r>
      <w:r w:rsidRPr="00B45E01">
        <w:rPr>
          <w:rFonts w:cs="Arial"/>
          <w:rtl/>
        </w:rPr>
        <w:t>"</w:t>
      </w:r>
      <w:r w:rsidRPr="00B45E01">
        <w:rPr>
          <w:rFonts w:cs="Arial" w:hint="cs"/>
          <w:rtl/>
        </w:rPr>
        <w:t>ר</w:t>
      </w:r>
      <w:r w:rsidRPr="00B45E01">
        <w:rPr>
          <w:rFonts w:cs="Arial"/>
          <w:rtl/>
        </w:rPr>
        <w:t xml:space="preserve"> </w:t>
      </w:r>
      <w:r w:rsidRPr="00B45E01">
        <w:rPr>
          <w:rFonts w:cs="Arial" w:hint="cs"/>
          <w:rtl/>
        </w:rPr>
        <w:t>יונה</w:t>
      </w:r>
      <w:r w:rsidRPr="00B45E01">
        <w:rPr>
          <w:rFonts w:cs="Arial"/>
          <w:rtl/>
        </w:rPr>
        <w:t xml:space="preserve"> </w:t>
      </w:r>
      <w:r w:rsidRPr="00B45E01">
        <w:rPr>
          <w:rFonts w:cs="Arial"/>
          <w:sz w:val="16"/>
          <w:szCs w:val="16"/>
          <w:rtl/>
        </w:rPr>
        <w:t>(</w:t>
      </w:r>
      <w:r w:rsidRPr="00B45E01">
        <w:rPr>
          <w:rFonts w:cs="Arial" w:hint="cs"/>
          <w:sz w:val="16"/>
          <w:szCs w:val="16"/>
          <w:rtl/>
        </w:rPr>
        <w:t>כז: סוד</w:t>
      </w:r>
      <w:r w:rsidRPr="00B45E01">
        <w:rPr>
          <w:rFonts w:cs="Arial"/>
          <w:sz w:val="16"/>
          <w:szCs w:val="16"/>
          <w:rtl/>
        </w:rPr>
        <w:t>"</w:t>
      </w:r>
      <w:r w:rsidRPr="00B45E01">
        <w:rPr>
          <w:rFonts w:cs="Arial" w:hint="cs"/>
          <w:sz w:val="16"/>
          <w:szCs w:val="16"/>
          <w:rtl/>
        </w:rPr>
        <w:t>ה</w:t>
      </w:r>
      <w:r w:rsidRPr="00B45E01">
        <w:rPr>
          <w:rFonts w:cs="Arial"/>
          <w:sz w:val="16"/>
          <w:szCs w:val="16"/>
          <w:rtl/>
        </w:rPr>
        <w:t xml:space="preserve"> </w:t>
      </w:r>
      <w:r w:rsidRPr="00B45E01">
        <w:rPr>
          <w:rFonts w:cs="Arial" w:hint="cs"/>
          <w:sz w:val="16"/>
          <w:szCs w:val="16"/>
          <w:rtl/>
        </w:rPr>
        <w:t>רב</w:t>
      </w:r>
      <w:r w:rsidRPr="00B45E01">
        <w:rPr>
          <w:rFonts w:cs="Arial"/>
          <w:sz w:val="16"/>
          <w:szCs w:val="16"/>
          <w:rtl/>
        </w:rPr>
        <w:t xml:space="preserve"> </w:t>
      </w:r>
      <w:r w:rsidRPr="00B45E01">
        <w:rPr>
          <w:rFonts w:cs="Arial" w:hint="cs"/>
          <w:sz w:val="16"/>
          <w:szCs w:val="16"/>
          <w:rtl/>
        </w:rPr>
        <w:t>צלי</w:t>
      </w:r>
      <w:r w:rsidRPr="00B45E01">
        <w:rPr>
          <w:rFonts w:cs="Arial"/>
          <w:sz w:val="16"/>
          <w:szCs w:val="16"/>
          <w:rtl/>
        </w:rPr>
        <w:t xml:space="preserve">) </w:t>
      </w:r>
      <w:r w:rsidRPr="00B45E01">
        <w:rPr>
          <w:rFonts w:cs="Arial" w:hint="cs"/>
          <w:rtl/>
        </w:rPr>
        <w:t>ורי"ו</w:t>
      </w:r>
      <w:r w:rsidRPr="00B45E01">
        <w:rPr>
          <w:rFonts w:cs="Arial"/>
          <w:sz w:val="16"/>
          <w:szCs w:val="16"/>
          <w:rtl/>
        </w:rPr>
        <w:t xml:space="preserve"> </w:t>
      </w:r>
      <w:r w:rsidRPr="00B45E01">
        <w:rPr>
          <w:rFonts w:cs="Arial" w:hint="cs"/>
          <w:sz w:val="16"/>
          <w:szCs w:val="16"/>
          <w:rtl/>
        </w:rPr>
        <w:t>(ח</w:t>
      </w:r>
      <w:r w:rsidRPr="00B45E01">
        <w:rPr>
          <w:rFonts w:cs="Arial"/>
          <w:sz w:val="16"/>
          <w:szCs w:val="16"/>
          <w:rtl/>
        </w:rPr>
        <w:t>"</w:t>
      </w:r>
      <w:r w:rsidRPr="00B45E01">
        <w:rPr>
          <w:rFonts w:cs="Arial" w:hint="cs"/>
          <w:sz w:val="16"/>
          <w:szCs w:val="16"/>
          <w:rtl/>
        </w:rPr>
        <w:t>א</w:t>
      </w:r>
      <w:r w:rsidRPr="00B45E01">
        <w:rPr>
          <w:rFonts w:cs="Arial"/>
          <w:sz w:val="16"/>
          <w:szCs w:val="16"/>
          <w:rtl/>
        </w:rPr>
        <w:t xml:space="preserve"> </w:t>
      </w:r>
      <w:r w:rsidRPr="00B45E01">
        <w:rPr>
          <w:rFonts w:cs="Arial" w:hint="cs"/>
          <w:sz w:val="16"/>
          <w:szCs w:val="16"/>
          <w:rtl/>
        </w:rPr>
        <w:t>סד</w:t>
      </w:r>
      <w:r w:rsidRPr="00B45E01">
        <w:rPr>
          <w:rFonts w:cs="Arial"/>
          <w:sz w:val="16"/>
          <w:szCs w:val="16"/>
          <w:rtl/>
        </w:rPr>
        <w:t xml:space="preserve"> </w:t>
      </w:r>
      <w:r w:rsidRPr="00B45E01">
        <w:rPr>
          <w:rFonts w:cs="Arial" w:hint="cs"/>
          <w:sz w:val="16"/>
          <w:szCs w:val="16"/>
          <w:rtl/>
        </w:rPr>
        <w:t>ע</w:t>
      </w:r>
      <w:r w:rsidRPr="00B45E01">
        <w:rPr>
          <w:rFonts w:cs="Arial"/>
          <w:sz w:val="16"/>
          <w:szCs w:val="16"/>
          <w:rtl/>
        </w:rPr>
        <w:t>"</w:t>
      </w:r>
      <w:r w:rsidRPr="00B45E01">
        <w:rPr>
          <w:rFonts w:cs="Arial" w:hint="cs"/>
          <w:sz w:val="16"/>
          <w:szCs w:val="16"/>
          <w:rtl/>
        </w:rPr>
        <w:t>ד</w:t>
      </w:r>
      <w:r w:rsidRPr="00B45E01">
        <w:rPr>
          <w:rFonts w:cs="Arial"/>
          <w:sz w:val="16"/>
          <w:szCs w:val="16"/>
          <w:rtl/>
        </w:rPr>
        <w:t>)</w:t>
      </w:r>
      <w:r w:rsidRPr="00B45E01">
        <w:rPr>
          <w:rFonts w:cs="Arial" w:hint="cs"/>
          <w:rtl/>
        </w:rPr>
        <w:t>-</w:t>
      </w:r>
      <w:r w:rsidRPr="00B45E01">
        <w:rPr>
          <w:rFonts w:cs="Arial"/>
          <w:rtl/>
        </w:rPr>
        <w:t xml:space="preserve"> </w:t>
      </w:r>
      <w:r w:rsidRPr="00B45E01">
        <w:rPr>
          <w:rFonts w:cs="Arial" w:hint="cs"/>
          <w:rtl/>
        </w:rPr>
        <w:t>שאני</w:t>
      </w:r>
      <w:r w:rsidRPr="00B45E01">
        <w:rPr>
          <w:rFonts w:cs="Arial"/>
          <w:rtl/>
        </w:rPr>
        <w:t xml:space="preserve"> </w:t>
      </w:r>
      <w:r w:rsidRPr="00B45E01">
        <w:rPr>
          <w:rFonts w:cs="Arial" w:hint="cs"/>
          <w:rtl/>
        </w:rPr>
        <w:t>ציבור</w:t>
      </w:r>
      <w:r w:rsidRPr="00B45E01">
        <w:rPr>
          <w:rFonts w:cs="Arial"/>
          <w:rtl/>
        </w:rPr>
        <w:t xml:space="preserve"> </w:t>
      </w:r>
      <w:r w:rsidRPr="00B45E01">
        <w:rPr>
          <w:rFonts w:cs="Arial" w:hint="cs"/>
          <w:rtl/>
        </w:rPr>
        <w:t>דלא</w:t>
      </w:r>
      <w:r w:rsidRPr="00B45E01">
        <w:rPr>
          <w:rFonts w:cs="Arial"/>
          <w:rtl/>
        </w:rPr>
        <w:t xml:space="preserve"> </w:t>
      </w:r>
      <w:r w:rsidRPr="00B45E01">
        <w:rPr>
          <w:rFonts w:cs="Arial" w:hint="cs"/>
          <w:rtl/>
        </w:rPr>
        <w:t>מטרחינן</w:t>
      </w:r>
      <w:r w:rsidRPr="00B45E01">
        <w:rPr>
          <w:rFonts w:cs="Arial"/>
          <w:rtl/>
        </w:rPr>
        <w:t xml:space="preserve"> </w:t>
      </w:r>
      <w:r w:rsidRPr="00B45E01">
        <w:rPr>
          <w:rFonts w:cs="Arial" w:hint="cs"/>
          <w:rtl/>
        </w:rPr>
        <w:t>להו</w:t>
      </w:r>
      <w:r w:rsidRPr="00B45E01">
        <w:rPr>
          <w:rFonts w:cs="Arial"/>
          <w:rtl/>
        </w:rPr>
        <w:t xml:space="preserve"> </w:t>
      </w:r>
      <w:r w:rsidRPr="00B45E01">
        <w:rPr>
          <w:rFonts w:cs="Arial" w:hint="cs"/>
          <w:rtl/>
        </w:rPr>
        <w:t>להתפלל</w:t>
      </w:r>
      <w:r w:rsidRPr="00B45E01">
        <w:rPr>
          <w:rFonts w:cs="Arial"/>
          <w:rtl/>
        </w:rPr>
        <w:t xml:space="preserve"> </w:t>
      </w:r>
      <w:r w:rsidRPr="00B45E01">
        <w:rPr>
          <w:rFonts w:cs="Arial" w:hint="cs"/>
          <w:rtl/>
        </w:rPr>
        <w:t>שנית</w:t>
      </w:r>
      <w:r w:rsidRPr="00B45E01">
        <w:rPr>
          <w:rFonts w:cs="Arial"/>
          <w:rtl/>
        </w:rPr>
        <w:t xml:space="preserve"> </w:t>
      </w:r>
      <w:r w:rsidRPr="00B45E01">
        <w:rPr>
          <w:rFonts w:cs="Arial" w:hint="cs"/>
          <w:rtl/>
        </w:rPr>
        <w:t>כמו</w:t>
      </w:r>
      <w:r w:rsidRPr="00B45E01">
        <w:rPr>
          <w:rFonts w:cs="Arial"/>
          <w:rtl/>
        </w:rPr>
        <w:t xml:space="preserve"> </w:t>
      </w:r>
      <w:r w:rsidRPr="00B45E01">
        <w:rPr>
          <w:rFonts w:cs="Arial" w:hint="cs"/>
          <w:rtl/>
        </w:rPr>
        <w:t>דמטריחין</w:t>
      </w:r>
      <w:r w:rsidRPr="00B45E01">
        <w:rPr>
          <w:rFonts w:cs="Arial"/>
          <w:rtl/>
        </w:rPr>
        <w:t xml:space="preserve"> </w:t>
      </w:r>
      <w:r w:rsidRPr="00B45E01">
        <w:rPr>
          <w:rFonts w:cs="Arial" w:hint="cs"/>
          <w:rtl/>
        </w:rPr>
        <w:t>ליחיד</w:t>
      </w:r>
      <w:r>
        <w:rPr>
          <w:rStyle w:val="a9"/>
          <w:rFonts w:cs="Arial"/>
          <w:rtl/>
        </w:rPr>
        <w:footnoteReference w:id="665"/>
      </w:r>
      <w:r>
        <w:rPr>
          <w:rFonts w:cs="Arial" w:hint="cs"/>
          <w:rtl/>
        </w:rPr>
        <w:t>,</w:t>
      </w:r>
      <w:r w:rsidRPr="00B45E01">
        <w:rPr>
          <w:rFonts w:cs="Arial"/>
          <w:rtl/>
        </w:rPr>
        <w:t xml:space="preserve"> </w:t>
      </w:r>
      <w:r w:rsidRPr="00B45E01">
        <w:rPr>
          <w:rFonts w:cs="Arial" w:hint="cs"/>
          <w:rtl/>
        </w:rPr>
        <w:t>אבל</w:t>
      </w:r>
      <w:r w:rsidRPr="00B45E01">
        <w:rPr>
          <w:rFonts w:cs="Arial"/>
          <w:rtl/>
        </w:rPr>
        <w:t xml:space="preserve"> </w:t>
      </w:r>
      <w:r w:rsidRPr="00B45E01">
        <w:rPr>
          <w:rFonts w:cs="Arial" w:hint="cs"/>
          <w:rtl/>
        </w:rPr>
        <w:t>מלאכה</w:t>
      </w:r>
      <w:r w:rsidRPr="00B45E01">
        <w:rPr>
          <w:rFonts w:cs="Arial"/>
          <w:rtl/>
        </w:rPr>
        <w:t xml:space="preserve"> </w:t>
      </w:r>
      <w:r w:rsidRPr="00B45E01">
        <w:rPr>
          <w:rFonts w:cs="Arial" w:hint="cs"/>
          <w:rtl/>
        </w:rPr>
        <w:t>אלו</w:t>
      </w:r>
      <w:r w:rsidRPr="00B45E01">
        <w:rPr>
          <w:rFonts w:cs="Arial"/>
          <w:rtl/>
        </w:rPr>
        <w:t xml:space="preserve"> </w:t>
      </w:r>
      <w:r w:rsidRPr="00B45E01">
        <w:rPr>
          <w:rFonts w:cs="Arial" w:hint="cs"/>
          <w:rtl/>
        </w:rPr>
        <w:t>ואלו</w:t>
      </w:r>
      <w:r w:rsidRPr="00B45E01">
        <w:rPr>
          <w:rFonts w:cs="Arial"/>
          <w:rtl/>
        </w:rPr>
        <w:t xml:space="preserve"> </w:t>
      </w:r>
      <w:r w:rsidRPr="00B45E01">
        <w:rPr>
          <w:rFonts w:cs="Arial" w:hint="cs"/>
          <w:rtl/>
        </w:rPr>
        <w:t>מותרין</w:t>
      </w:r>
      <w:r>
        <w:rPr>
          <w:rFonts w:cs="Arial" w:hint="cs"/>
          <w:rtl/>
        </w:rPr>
        <w:t>,</w:t>
      </w:r>
      <w:r w:rsidRPr="00B45E01">
        <w:rPr>
          <w:rFonts w:cs="Arial"/>
          <w:rtl/>
        </w:rPr>
        <w:t xml:space="preserve"> </w:t>
      </w:r>
      <w:r w:rsidRPr="00B45E01">
        <w:rPr>
          <w:rFonts w:cs="Arial" w:hint="cs"/>
          <w:rtl/>
        </w:rPr>
        <w:t>כלומר</w:t>
      </w:r>
      <w:r w:rsidRPr="00B45E01">
        <w:rPr>
          <w:rFonts w:cs="Arial"/>
          <w:rtl/>
        </w:rPr>
        <w:t xml:space="preserve"> </w:t>
      </w:r>
      <w:r w:rsidRPr="00B45E01">
        <w:rPr>
          <w:rFonts w:cs="Arial" w:hint="cs"/>
          <w:rtl/>
        </w:rPr>
        <w:t>בין</w:t>
      </w:r>
      <w:r w:rsidRPr="00B45E01">
        <w:rPr>
          <w:rFonts w:cs="Arial"/>
          <w:rtl/>
        </w:rPr>
        <w:t xml:space="preserve"> </w:t>
      </w:r>
      <w:r w:rsidRPr="00B45E01">
        <w:rPr>
          <w:rFonts w:cs="Arial" w:hint="cs"/>
          <w:rtl/>
        </w:rPr>
        <w:t>ציבור</w:t>
      </w:r>
      <w:r w:rsidRPr="00B45E01">
        <w:rPr>
          <w:rFonts w:cs="Arial"/>
          <w:rtl/>
        </w:rPr>
        <w:t xml:space="preserve"> </w:t>
      </w:r>
      <w:r w:rsidRPr="00B45E01">
        <w:rPr>
          <w:rFonts w:cs="Arial" w:hint="cs"/>
          <w:rtl/>
        </w:rPr>
        <w:t>בין</w:t>
      </w:r>
      <w:r w:rsidRPr="00B45E01">
        <w:rPr>
          <w:rFonts w:cs="Arial"/>
          <w:rtl/>
        </w:rPr>
        <w:t xml:space="preserve"> </w:t>
      </w:r>
      <w:r w:rsidRPr="00B45E01">
        <w:rPr>
          <w:rFonts w:cs="Arial" w:hint="cs"/>
          <w:rtl/>
        </w:rPr>
        <w:t>יחיד</w:t>
      </w:r>
      <w:r w:rsidRPr="00B45E01">
        <w:rPr>
          <w:rFonts w:cs="Arial"/>
          <w:rtl/>
        </w:rPr>
        <w:t xml:space="preserve"> </w:t>
      </w:r>
      <w:r w:rsidRPr="00B45E01">
        <w:rPr>
          <w:rFonts w:cs="Arial" w:hint="cs"/>
          <w:rtl/>
        </w:rPr>
        <w:t>מותרין</w:t>
      </w:r>
      <w:r>
        <w:rPr>
          <w:rFonts w:cs="Arial" w:hint="cs"/>
          <w:rtl/>
        </w:rPr>
        <w:t>,</w:t>
      </w:r>
      <w:r w:rsidRPr="00B45E01">
        <w:rPr>
          <w:rFonts w:cs="Arial"/>
          <w:rtl/>
        </w:rPr>
        <w:t xml:space="preserve"> </w:t>
      </w:r>
      <w:r w:rsidRPr="00B45E01">
        <w:rPr>
          <w:rFonts w:cs="Arial" w:hint="cs"/>
          <w:rtl/>
        </w:rPr>
        <w:t>דקבלה</w:t>
      </w:r>
      <w:r w:rsidRPr="00B45E01">
        <w:rPr>
          <w:rFonts w:cs="Arial"/>
          <w:rtl/>
        </w:rPr>
        <w:t xml:space="preserve"> </w:t>
      </w:r>
      <w:r w:rsidRPr="00B45E01">
        <w:rPr>
          <w:rFonts w:cs="Arial" w:hint="cs"/>
          <w:rtl/>
        </w:rPr>
        <w:t>בטעות</w:t>
      </w:r>
      <w:r w:rsidRPr="00B45E01">
        <w:rPr>
          <w:rFonts w:cs="Arial"/>
          <w:rtl/>
        </w:rPr>
        <w:t xml:space="preserve"> </w:t>
      </w:r>
      <w:r w:rsidRPr="00B45E01">
        <w:rPr>
          <w:rFonts w:cs="Arial" w:hint="cs"/>
          <w:rtl/>
        </w:rPr>
        <w:t>אינה</w:t>
      </w:r>
      <w:r w:rsidRPr="00B45E01">
        <w:rPr>
          <w:rFonts w:cs="Arial"/>
          <w:rtl/>
        </w:rPr>
        <w:t xml:space="preserve"> </w:t>
      </w:r>
      <w:r w:rsidRPr="00B45E01">
        <w:rPr>
          <w:rFonts w:cs="Arial" w:hint="cs"/>
          <w:rtl/>
        </w:rPr>
        <w:t>קבלה</w:t>
      </w:r>
      <w:r w:rsidRPr="00B45E01">
        <w:rPr>
          <w:rFonts w:cs="Arial" w:hint="cs"/>
          <w:sz w:val="16"/>
          <w:szCs w:val="16"/>
          <w:rtl/>
        </w:rPr>
        <w:t xml:space="preserve"> (ל' הב"י בשם הרא"ש)</w:t>
      </w:r>
      <w:r w:rsidRPr="00B45E01">
        <w:rPr>
          <w:rFonts w:cs="Arial" w:hint="cs"/>
          <w:rtl/>
        </w:rPr>
        <w:t>.</w:t>
      </w:r>
      <w:r w:rsidRPr="00B45E01">
        <w:rPr>
          <w:rFonts w:cs="Arial"/>
          <w:rtl/>
        </w:rPr>
        <w:t xml:space="preserve"> </w:t>
      </w:r>
      <w:r w:rsidRPr="004C4CDF">
        <w:rPr>
          <w:rFonts w:cs="Arial" w:hint="cs"/>
          <w:color w:val="E36C0A" w:themeColor="accent6" w:themeShade="BF"/>
          <w:rtl/>
        </w:rPr>
        <w:t>(וכ"פ בשו"ע)</w:t>
      </w:r>
    </w:p>
    <w:p w14:paraId="5B6CF709" w14:textId="77777777" w:rsidR="004B2E7C" w:rsidRDefault="004B2E7C" w:rsidP="00FF2D21">
      <w:pPr>
        <w:pStyle w:val="aa"/>
        <w:numPr>
          <w:ilvl w:val="0"/>
          <w:numId w:val="87"/>
        </w:numPr>
        <w:rPr>
          <w:rFonts w:cs="Arial"/>
        </w:rPr>
      </w:pPr>
      <w:r w:rsidRPr="009F224B">
        <w:rPr>
          <w:rFonts w:cs="Arial" w:hint="cs"/>
          <w:rtl/>
        </w:rPr>
        <w:t>מרדכי</w:t>
      </w:r>
      <w:r>
        <w:rPr>
          <w:rFonts w:cs="Arial" w:hint="cs"/>
          <w:rtl/>
        </w:rPr>
        <w:t xml:space="preserve"> </w:t>
      </w:r>
      <w:r w:rsidRPr="000752E4">
        <w:rPr>
          <w:rFonts w:cs="Arial" w:hint="cs"/>
          <w:sz w:val="16"/>
          <w:szCs w:val="16"/>
          <w:rtl/>
        </w:rPr>
        <w:t>(ס"פ</w:t>
      </w:r>
      <w:r w:rsidRPr="000752E4">
        <w:rPr>
          <w:rFonts w:cs="Arial"/>
          <w:sz w:val="16"/>
          <w:szCs w:val="16"/>
          <w:rtl/>
        </w:rPr>
        <w:t xml:space="preserve"> </w:t>
      </w:r>
      <w:r w:rsidRPr="000752E4">
        <w:rPr>
          <w:rFonts w:cs="Arial" w:hint="cs"/>
          <w:sz w:val="16"/>
          <w:szCs w:val="16"/>
          <w:rtl/>
        </w:rPr>
        <w:t>במה</w:t>
      </w:r>
      <w:r w:rsidRPr="000752E4">
        <w:rPr>
          <w:rFonts w:cs="Arial"/>
          <w:sz w:val="16"/>
          <w:szCs w:val="16"/>
          <w:rtl/>
        </w:rPr>
        <w:t xml:space="preserve"> </w:t>
      </w:r>
      <w:r w:rsidRPr="000752E4">
        <w:rPr>
          <w:rFonts w:cs="Arial" w:hint="cs"/>
          <w:sz w:val="16"/>
          <w:szCs w:val="16"/>
          <w:rtl/>
        </w:rPr>
        <w:t>מדליקין</w:t>
      </w:r>
      <w:r w:rsidRPr="000752E4">
        <w:rPr>
          <w:rFonts w:cs="Arial"/>
          <w:sz w:val="16"/>
          <w:szCs w:val="16"/>
          <w:rtl/>
        </w:rPr>
        <w:t xml:space="preserve"> </w:t>
      </w:r>
      <w:r w:rsidRPr="000752E4">
        <w:rPr>
          <w:rFonts w:cs="Arial" w:hint="cs"/>
          <w:sz w:val="16"/>
          <w:szCs w:val="16"/>
          <w:rtl/>
        </w:rPr>
        <w:t>סי</w:t>
      </w:r>
      <w:r w:rsidRPr="000752E4">
        <w:rPr>
          <w:rFonts w:cs="Arial"/>
          <w:sz w:val="16"/>
          <w:szCs w:val="16"/>
          <w:rtl/>
        </w:rPr>
        <w:t xml:space="preserve">' </w:t>
      </w:r>
      <w:r w:rsidRPr="000752E4">
        <w:rPr>
          <w:rFonts w:cs="Arial" w:hint="cs"/>
          <w:sz w:val="16"/>
          <w:szCs w:val="16"/>
          <w:rtl/>
        </w:rPr>
        <w:t>רצז</w:t>
      </w:r>
      <w:r w:rsidRPr="000752E4">
        <w:rPr>
          <w:rFonts w:cs="Arial"/>
          <w:sz w:val="16"/>
          <w:szCs w:val="16"/>
          <w:rtl/>
        </w:rPr>
        <w:t>)</w:t>
      </w:r>
      <w:r>
        <w:rPr>
          <w:rFonts w:cs="Arial" w:hint="cs"/>
          <w:rtl/>
        </w:rPr>
        <w:t>-</w:t>
      </w:r>
      <w:r w:rsidRPr="009F224B">
        <w:rPr>
          <w:rFonts w:cs="Arial"/>
          <w:rtl/>
        </w:rPr>
        <w:t xml:space="preserve"> </w:t>
      </w:r>
      <w:r w:rsidRPr="000752E4">
        <w:rPr>
          <w:rFonts w:cs="Arial"/>
          <w:rtl/>
        </w:rPr>
        <w:t>מצאתי בספר המקצעות שכתב בשם רב שרירא גאון</w:t>
      </w:r>
      <w:r>
        <w:rPr>
          <w:rFonts w:cs="Arial" w:hint="cs"/>
          <w:rtl/>
        </w:rPr>
        <w:t xml:space="preserve"> </w:t>
      </w:r>
      <w:r w:rsidRPr="000752E4">
        <w:rPr>
          <w:rFonts w:cs="Arial"/>
          <w:rtl/>
        </w:rPr>
        <w:t>מעשה היה בימי אבותינו הקדמונים פעם אחת ע"ש היה ויום המעונן היה וכסבורין העם שהוא חשיכה</w:t>
      </w:r>
      <w:r>
        <w:rPr>
          <w:rFonts w:cs="Arial" w:hint="cs"/>
          <w:rtl/>
        </w:rPr>
        <w:t>,</w:t>
      </w:r>
      <w:r w:rsidRPr="000752E4">
        <w:rPr>
          <w:rFonts w:cs="Arial"/>
          <w:rtl/>
        </w:rPr>
        <w:t xml:space="preserve"> הדליקו נרות ולא הספיקו להתפלל מנחה עד שנשבה הרוח ונתפזרו העבים וראו השמש</w:t>
      </w:r>
      <w:r>
        <w:rPr>
          <w:rFonts w:cs="Arial" w:hint="cs"/>
          <w:rtl/>
        </w:rPr>
        <w:t>,</w:t>
      </w:r>
      <w:r w:rsidRPr="000752E4">
        <w:rPr>
          <w:rFonts w:cs="Arial"/>
          <w:rtl/>
        </w:rPr>
        <w:t xml:space="preserve"> ולא התפללו מעריב</w:t>
      </w:r>
      <w:r>
        <w:rPr>
          <w:rFonts w:cs="Arial" w:hint="cs"/>
          <w:rtl/>
        </w:rPr>
        <w:t>,</w:t>
      </w:r>
      <w:r w:rsidRPr="000752E4">
        <w:rPr>
          <w:rFonts w:cs="Arial"/>
          <w:rtl/>
        </w:rPr>
        <w:t xml:space="preserve"> והיה שהות ביום והתחילו הנרות לכבות</w:t>
      </w:r>
      <w:r>
        <w:rPr>
          <w:rFonts w:cs="Arial" w:hint="cs"/>
          <w:rtl/>
        </w:rPr>
        <w:t>.</w:t>
      </w:r>
      <w:r w:rsidRPr="000752E4">
        <w:rPr>
          <w:rFonts w:cs="Arial"/>
          <w:rtl/>
        </w:rPr>
        <w:t xml:space="preserve"> ושאלו חכמי הדור ואמרו</w:t>
      </w:r>
      <w:r>
        <w:rPr>
          <w:rFonts w:cs="Arial" w:hint="cs"/>
          <w:rtl/>
        </w:rPr>
        <w:t>,</w:t>
      </w:r>
      <w:r w:rsidRPr="000752E4">
        <w:rPr>
          <w:rFonts w:cs="Arial"/>
          <w:rtl/>
        </w:rPr>
        <w:t xml:space="preserve"> אותם שהדליקו אסורים להדליק עוד ולעשות מלאכה שכבר קבלו השבת</w:t>
      </w:r>
      <w:r>
        <w:rPr>
          <w:rFonts w:cs="Arial" w:hint="cs"/>
          <w:rtl/>
        </w:rPr>
        <w:t>,</w:t>
      </w:r>
      <w:r w:rsidRPr="000752E4">
        <w:rPr>
          <w:rFonts w:cs="Arial"/>
          <w:rtl/>
        </w:rPr>
        <w:t xml:space="preserve"> אבל שאר אנשי העיר מותרין להדליק ובמלאכה</w:t>
      </w:r>
      <w:r>
        <w:rPr>
          <w:rFonts w:cs="Arial" w:hint="cs"/>
          <w:rtl/>
        </w:rPr>
        <w:t>.</w:t>
      </w:r>
      <w:r w:rsidRPr="009F224B">
        <w:rPr>
          <w:rFonts w:cs="Arial"/>
          <w:rtl/>
        </w:rPr>
        <w:t xml:space="preserve"> </w:t>
      </w:r>
      <w:r w:rsidRPr="000752E4">
        <w:rPr>
          <w:rFonts w:cs="Arial"/>
          <w:rtl/>
        </w:rPr>
        <w:t>מכאן יש להוכיח שהדלקת הנר הרי היא קבלת שבת</w:t>
      </w:r>
      <w:r>
        <w:rPr>
          <w:rStyle w:val="a9"/>
          <w:rFonts w:cs="Arial"/>
          <w:rtl/>
        </w:rPr>
        <w:footnoteReference w:id="666"/>
      </w:r>
      <w:r w:rsidRPr="009F224B">
        <w:rPr>
          <w:rFonts w:cs="Arial" w:hint="cs"/>
          <w:rtl/>
        </w:rPr>
        <w:t>.</w:t>
      </w:r>
      <w:r w:rsidRPr="009F224B">
        <w:rPr>
          <w:rFonts w:cs="Arial"/>
          <w:rtl/>
        </w:rPr>
        <w:t xml:space="preserve"> </w:t>
      </w:r>
    </w:p>
    <w:p w14:paraId="7E4DF141" w14:textId="77777777" w:rsidR="004B2E7C" w:rsidRPr="00A0515B" w:rsidRDefault="004B2E7C" w:rsidP="00434A6A">
      <w:pPr>
        <w:ind w:left="360"/>
        <w:rPr>
          <w:rFonts w:cs="Arial"/>
          <w:u w:val="dotted"/>
        </w:rPr>
      </w:pPr>
      <w:r w:rsidRPr="00A0515B">
        <w:rPr>
          <w:rFonts w:cs="Arial" w:hint="cs"/>
          <w:u w:val="dotted"/>
          <w:rtl/>
        </w:rPr>
        <w:t>לדעת הגאונים הנ"ל</w:t>
      </w:r>
      <w:r w:rsidRPr="00A0515B">
        <w:rPr>
          <w:rFonts w:cs="Arial" w:hint="cs"/>
          <w:sz w:val="16"/>
          <w:szCs w:val="16"/>
          <w:u w:val="dotted"/>
          <w:rtl/>
        </w:rPr>
        <w:t xml:space="preserve"> </w:t>
      </w:r>
      <w:r>
        <w:rPr>
          <w:rFonts w:cs="Arial" w:hint="cs"/>
          <w:sz w:val="16"/>
          <w:szCs w:val="16"/>
          <w:u w:val="dotted"/>
          <w:rtl/>
        </w:rPr>
        <w:t xml:space="preserve">(שהביא המרדכי) </w:t>
      </w:r>
      <w:r w:rsidRPr="00A0515B">
        <w:rPr>
          <w:rFonts w:cs="Arial"/>
          <w:u w:val="dotted"/>
          <w:rtl/>
        </w:rPr>
        <w:t>–</w:t>
      </w:r>
      <w:r w:rsidRPr="00A0515B">
        <w:rPr>
          <w:rFonts w:cs="Arial" w:hint="cs"/>
          <w:u w:val="dotted"/>
          <w:rtl/>
        </w:rPr>
        <w:t xml:space="preserve"> </w:t>
      </w:r>
      <w:r>
        <w:rPr>
          <w:rFonts w:cs="Arial" w:hint="cs"/>
          <w:u w:val="dotted"/>
          <w:rtl/>
        </w:rPr>
        <w:t xml:space="preserve">האם השאר </w:t>
      </w:r>
      <w:r>
        <w:rPr>
          <w:rFonts w:cs="Arial" w:hint="cs"/>
          <w:sz w:val="16"/>
          <w:szCs w:val="16"/>
          <w:u w:val="dotted"/>
          <w:rtl/>
        </w:rPr>
        <w:t xml:space="preserve">(שלא הדליקו את הנר) </w:t>
      </w:r>
      <w:r>
        <w:rPr>
          <w:rFonts w:cs="Arial" w:hint="cs"/>
          <w:u w:val="dotted"/>
          <w:rtl/>
        </w:rPr>
        <w:t xml:space="preserve">מותרים לסדר את </w:t>
      </w:r>
      <w:r w:rsidRPr="00A0515B">
        <w:rPr>
          <w:rFonts w:cs="Arial" w:hint="cs"/>
          <w:u w:val="dotted"/>
          <w:rtl/>
        </w:rPr>
        <w:t>הנר שהודלק לכבוד שבת:</w:t>
      </w:r>
    </w:p>
    <w:p w14:paraId="0F2D346A" w14:textId="77777777" w:rsidR="004B2E7C" w:rsidRPr="000661B8" w:rsidRDefault="004B2E7C" w:rsidP="00FF2D21">
      <w:pPr>
        <w:pStyle w:val="aa"/>
        <w:numPr>
          <w:ilvl w:val="0"/>
          <w:numId w:val="87"/>
        </w:numPr>
        <w:rPr>
          <w:rFonts w:cs="Arial"/>
          <w:rtl/>
        </w:rPr>
      </w:pPr>
      <w:r>
        <w:rPr>
          <w:rFonts w:cs="Arial" w:hint="cs"/>
          <w:rtl/>
        </w:rPr>
        <w:t>שבה"ל</w:t>
      </w:r>
      <w:r w:rsidRPr="009F224B">
        <w:rPr>
          <w:rFonts w:cs="Arial"/>
          <w:rtl/>
        </w:rPr>
        <w:t xml:space="preserve"> </w:t>
      </w:r>
      <w:r w:rsidRPr="00A0515B">
        <w:rPr>
          <w:rFonts w:cs="Arial"/>
          <w:sz w:val="16"/>
          <w:szCs w:val="16"/>
          <w:rtl/>
        </w:rPr>
        <w:t>(</w:t>
      </w:r>
      <w:r w:rsidRPr="00A0515B">
        <w:rPr>
          <w:rFonts w:cs="Arial" w:hint="cs"/>
          <w:sz w:val="16"/>
          <w:szCs w:val="16"/>
          <w:rtl/>
        </w:rPr>
        <w:t>סו</w:t>
      </w:r>
      <w:r w:rsidRPr="00A0515B">
        <w:rPr>
          <w:rFonts w:cs="Arial"/>
          <w:sz w:val="16"/>
          <w:szCs w:val="16"/>
          <w:rtl/>
        </w:rPr>
        <w:t>"</w:t>
      </w:r>
      <w:r w:rsidRPr="00A0515B">
        <w:rPr>
          <w:rFonts w:cs="Arial" w:hint="cs"/>
          <w:sz w:val="16"/>
          <w:szCs w:val="16"/>
          <w:rtl/>
        </w:rPr>
        <w:t>ס</w:t>
      </w:r>
      <w:r w:rsidRPr="00A0515B">
        <w:rPr>
          <w:rFonts w:cs="Arial"/>
          <w:sz w:val="16"/>
          <w:szCs w:val="16"/>
          <w:rtl/>
        </w:rPr>
        <w:t xml:space="preserve"> </w:t>
      </w:r>
      <w:r w:rsidRPr="00A0515B">
        <w:rPr>
          <w:rFonts w:cs="Arial" w:hint="cs"/>
          <w:sz w:val="16"/>
          <w:szCs w:val="16"/>
          <w:rtl/>
        </w:rPr>
        <w:t>נט</w:t>
      </w:r>
      <w:r w:rsidRPr="00A0515B">
        <w:rPr>
          <w:rFonts w:cs="Arial"/>
          <w:sz w:val="16"/>
          <w:szCs w:val="16"/>
          <w:rtl/>
        </w:rPr>
        <w:t>)</w:t>
      </w:r>
      <w:r>
        <w:rPr>
          <w:rFonts w:cs="Arial" w:hint="cs"/>
          <w:rtl/>
        </w:rPr>
        <w:t>-</w:t>
      </w:r>
      <w:r w:rsidRPr="009F224B">
        <w:rPr>
          <w:rFonts w:cs="Arial"/>
          <w:rtl/>
        </w:rPr>
        <w:t xml:space="preserve"> </w:t>
      </w:r>
      <w:r>
        <w:rPr>
          <w:rStyle w:val="a9"/>
          <w:rFonts w:cs="Arial"/>
          <w:rtl/>
        </w:rPr>
        <w:footnoteReference w:id="667"/>
      </w:r>
      <w:r w:rsidRPr="009F224B">
        <w:rPr>
          <w:rFonts w:cs="Arial" w:hint="cs"/>
          <w:rtl/>
        </w:rPr>
        <w:t>אותו</w:t>
      </w:r>
      <w:r w:rsidRPr="009F224B">
        <w:rPr>
          <w:rFonts w:cs="Arial"/>
          <w:rtl/>
        </w:rPr>
        <w:t xml:space="preserve"> </w:t>
      </w:r>
      <w:r w:rsidRPr="009F224B">
        <w:rPr>
          <w:rFonts w:cs="Arial" w:hint="cs"/>
          <w:rtl/>
        </w:rPr>
        <w:t>הנר</w:t>
      </w:r>
      <w:r w:rsidRPr="009F224B">
        <w:rPr>
          <w:rFonts w:cs="Arial"/>
          <w:rtl/>
        </w:rPr>
        <w:t xml:space="preserve"> </w:t>
      </w:r>
      <w:r w:rsidRPr="009F224B">
        <w:rPr>
          <w:rFonts w:cs="Arial" w:hint="cs"/>
          <w:rtl/>
        </w:rPr>
        <w:t>שהודלק</w:t>
      </w:r>
      <w:r w:rsidRPr="009F224B">
        <w:rPr>
          <w:rFonts w:cs="Arial"/>
          <w:rtl/>
        </w:rPr>
        <w:t xml:space="preserve"> </w:t>
      </w:r>
      <w:r w:rsidRPr="009F224B">
        <w:rPr>
          <w:rFonts w:cs="Arial" w:hint="cs"/>
          <w:rtl/>
        </w:rPr>
        <w:t>לשם</w:t>
      </w:r>
      <w:r w:rsidRPr="009F224B">
        <w:rPr>
          <w:rFonts w:cs="Arial"/>
          <w:rtl/>
        </w:rPr>
        <w:t xml:space="preserve"> </w:t>
      </w:r>
      <w:r w:rsidRPr="009F224B">
        <w:rPr>
          <w:rFonts w:cs="Arial" w:hint="cs"/>
          <w:rtl/>
        </w:rPr>
        <w:t>שבת</w:t>
      </w:r>
      <w:r w:rsidRPr="009F224B">
        <w:rPr>
          <w:rFonts w:cs="Arial"/>
          <w:rtl/>
        </w:rPr>
        <w:t xml:space="preserve"> </w:t>
      </w:r>
      <w:r w:rsidRPr="009F224B">
        <w:rPr>
          <w:rFonts w:cs="Arial" w:hint="cs"/>
          <w:rtl/>
        </w:rPr>
        <w:t>אסור</w:t>
      </w:r>
      <w:r w:rsidRPr="009F224B">
        <w:rPr>
          <w:rFonts w:cs="Arial"/>
          <w:rtl/>
        </w:rPr>
        <w:t xml:space="preserve"> </w:t>
      </w:r>
      <w:r w:rsidRPr="009F224B">
        <w:rPr>
          <w:rFonts w:cs="Arial" w:hint="cs"/>
          <w:rtl/>
        </w:rPr>
        <w:t>ליגע</w:t>
      </w:r>
      <w:r w:rsidRPr="009F224B">
        <w:rPr>
          <w:rFonts w:cs="Arial"/>
          <w:rtl/>
        </w:rPr>
        <w:t xml:space="preserve"> </w:t>
      </w:r>
      <w:r w:rsidRPr="009F224B">
        <w:rPr>
          <w:rFonts w:cs="Arial" w:hint="cs"/>
          <w:rtl/>
        </w:rPr>
        <w:t>בו</w:t>
      </w:r>
      <w:r w:rsidRPr="009F224B">
        <w:rPr>
          <w:rFonts w:cs="Arial"/>
          <w:rtl/>
        </w:rPr>
        <w:t xml:space="preserve"> </w:t>
      </w:r>
      <w:r w:rsidRPr="009F224B">
        <w:rPr>
          <w:rFonts w:cs="Arial" w:hint="cs"/>
          <w:rtl/>
        </w:rPr>
        <w:t>ולהוסיף</w:t>
      </w:r>
      <w:r w:rsidRPr="009F224B">
        <w:rPr>
          <w:rFonts w:cs="Arial"/>
          <w:rtl/>
        </w:rPr>
        <w:t xml:space="preserve"> </w:t>
      </w:r>
      <w:r w:rsidRPr="009F224B">
        <w:rPr>
          <w:rFonts w:cs="Arial" w:hint="cs"/>
          <w:rtl/>
        </w:rPr>
        <w:t>בו</w:t>
      </w:r>
      <w:r w:rsidRPr="009F224B">
        <w:rPr>
          <w:rFonts w:cs="Arial"/>
          <w:rtl/>
        </w:rPr>
        <w:t xml:space="preserve"> </w:t>
      </w:r>
      <w:r w:rsidRPr="009F224B">
        <w:rPr>
          <w:rFonts w:cs="Arial" w:hint="cs"/>
          <w:rtl/>
        </w:rPr>
        <w:t>שמן</w:t>
      </w:r>
      <w:r w:rsidRPr="009F224B">
        <w:rPr>
          <w:rFonts w:cs="Arial"/>
          <w:rtl/>
        </w:rPr>
        <w:t xml:space="preserve"> </w:t>
      </w:r>
      <w:r w:rsidRPr="009F224B">
        <w:rPr>
          <w:rFonts w:cs="Arial" w:hint="cs"/>
          <w:rtl/>
        </w:rPr>
        <w:t>ואפילו</w:t>
      </w:r>
      <w:r w:rsidRPr="009F224B">
        <w:rPr>
          <w:rFonts w:cs="Arial"/>
          <w:rtl/>
        </w:rPr>
        <w:t xml:space="preserve"> </w:t>
      </w:r>
      <w:r w:rsidRPr="009F224B">
        <w:rPr>
          <w:rFonts w:cs="Arial" w:hint="cs"/>
          <w:rtl/>
        </w:rPr>
        <w:t>אם</w:t>
      </w:r>
      <w:r w:rsidRPr="009F224B">
        <w:rPr>
          <w:rFonts w:cs="Arial"/>
          <w:rtl/>
        </w:rPr>
        <w:t xml:space="preserve"> </w:t>
      </w:r>
      <w:r w:rsidRPr="009F224B">
        <w:rPr>
          <w:rFonts w:cs="Arial" w:hint="cs"/>
          <w:rtl/>
        </w:rPr>
        <w:t>כבה</w:t>
      </w:r>
      <w:r w:rsidRPr="009F224B">
        <w:rPr>
          <w:rFonts w:cs="Arial"/>
          <w:rtl/>
        </w:rPr>
        <w:t xml:space="preserve"> </w:t>
      </w:r>
      <w:r w:rsidRPr="009F224B">
        <w:rPr>
          <w:rFonts w:cs="Arial" w:hint="cs"/>
          <w:rtl/>
        </w:rPr>
        <w:t>אסור</w:t>
      </w:r>
      <w:r w:rsidRPr="009F224B">
        <w:rPr>
          <w:rFonts w:cs="Arial"/>
          <w:rtl/>
        </w:rPr>
        <w:t xml:space="preserve"> </w:t>
      </w:r>
      <w:r w:rsidRPr="009F224B">
        <w:rPr>
          <w:rFonts w:cs="Arial" w:hint="cs"/>
          <w:rtl/>
        </w:rPr>
        <w:t>לטלטלו</w:t>
      </w:r>
      <w:r w:rsidRPr="009F224B">
        <w:rPr>
          <w:rFonts w:cs="Arial"/>
          <w:rtl/>
        </w:rPr>
        <w:t xml:space="preserve"> </w:t>
      </w:r>
      <w:r w:rsidRPr="009F224B">
        <w:rPr>
          <w:rFonts w:cs="Arial" w:hint="cs"/>
          <w:rtl/>
        </w:rPr>
        <w:t>עד</w:t>
      </w:r>
      <w:r w:rsidRPr="009F224B">
        <w:rPr>
          <w:rFonts w:cs="Arial"/>
          <w:rtl/>
        </w:rPr>
        <w:t xml:space="preserve"> </w:t>
      </w:r>
      <w:r w:rsidRPr="009F224B">
        <w:rPr>
          <w:rFonts w:cs="Arial" w:hint="cs"/>
          <w:rtl/>
        </w:rPr>
        <w:t>מוצאי</w:t>
      </w:r>
      <w:r w:rsidRPr="009F224B">
        <w:rPr>
          <w:rFonts w:cs="Arial"/>
          <w:rtl/>
        </w:rPr>
        <w:t xml:space="preserve"> </w:t>
      </w:r>
      <w:r w:rsidRPr="009F224B">
        <w:rPr>
          <w:rFonts w:cs="Arial" w:hint="cs"/>
          <w:rtl/>
        </w:rPr>
        <w:t>שבת</w:t>
      </w:r>
      <w:r>
        <w:rPr>
          <w:rStyle w:val="a9"/>
          <w:rFonts w:cs="Arial"/>
          <w:rtl/>
        </w:rPr>
        <w:footnoteReference w:id="668"/>
      </w:r>
      <w:r>
        <w:rPr>
          <w:rFonts w:cs="Arial" w:hint="cs"/>
          <w:rtl/>
        </w:rPr>
        <w:t>.</w:t>
      </w:r>
    </w:p>
    <w:p w14:paraId="54408C44"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B51EAAA" w14:textId="77777777" w:rsidR="004B2E7C" w:rsidRDefault="004B2E7C" w:rsidP="00434A6A">
      <w:pPr>
        <w:rPr>
          <w:rFonts w:asciiTheme="minorBidi" w:hAnsiTheme="minorBidi"/>
          <w:rtl/>
        </w:rPr>
      </w:pPr>
      <w:r w:rsidRPr="00CC2350">
        <w:rPr>
          <w:rFonts w:asciiTheme="minorBidi" w:hAnsiTheme="minorBidi" w:cs="Arial"/>
          <w:rtl/>
        </w:rPr>
        <w:t>אם ביום המעונן טעו צבור וחשבו שחשיכה והדליקו נרות והתפללו תפלת ערבית ש</w:t>
      </w:r>
      <w:r>
        <w:rPr>
          <w:rFonts w:asciiTheme="minorBidi" w:hAnsiTheme="minorBidi" w:cs="Arial" w:hint="cs"/>
          <w:rtl/>
        </w:rPr>
        <w:t xml:space="preserve">ל </w:t>
      </w:r>
      <w:r w:rsidRPr="00CC2350">
        <w:rPr>
          <w:rFonts w:asciiTheme="minorBidi" w:hAnsiTheme="minorBidi" w:cs="Arial"/>
          <w:rtl/>
        </w:rPr>
        <w:t>ש</w:t>
      </w:r>
      <w:r>
        <w:rPr>
          <w:rFonts w:asciiTheme="minorBidi" w:hAnsiTheme="minorBidi" w:cs="Arial" w:hint="cs"/>
          <w:rtl/>
        </w:rPr>
        <w:t>בת</w:t>
      </w:r>
      <w:r w:rsidRPr="00CC2350">
        <w:rPr>
          <w:rFonts w:asciiTheme="minorBidi" w:hAnsiTheme="minorBidi" w:cs="Arial"/>
          <w:rtl/>
        </w:rPr>
        <w:t>, ואח</w:t>
      </w:r>
      <w:r>
        <w:rPr>
          <w:rFonts w:asciiTheme="minorBidi" w:hAnsiTheme="minorBidi" w:cs="Arial" w:hint="cs"/>
          <w:rtl/>
        </w:rPr>
        <w:t xml:space="preserve">ר </w:t>
      </w:r>
      <w:r w:rsidRPr="00CC2350">
        <w:rPr>
          <w:rFonts w:asciiTheme="minorBidi" w:hAnsiTheme="minorBidi" w:cs="Arial"/>
          <w:rtl/>
        </w:rPr>
        <w:t>כ</w:t>
      </w:r>
      <w:r>
        <w:rPr>
          <w:rFonts w:asciiTheme="minorBidi" w:hAnsiTheme="minorBidi" w:cs="Arial" w:hint="cs"/>
          <w:rtl/>
        </w:rPr>
        <w:t>ך</w:t>
      </w:r>
      <w:r w:rsidRPr="00CC2350">
        <w:rPr>
          <w:rFonts w:asciiTheme="minorBidi" w:hAnsiTheme="minorBidi" w:cs="Arial"/>
          <w:rtl/>
        </w:rPr>
        <w:t xml:space="preserve"> נתפזרו העבים וזרחה חמה, א</w:t>
      </w:r>
      <w:r>
        <w:rPr>
          <w:rFonts w:asciiTheme="minorBidi" w:hAnsiTheme="minorBidi" w:cs="Arial" w:hint="cs"/>
          <w:rtl/>
        </w:rPr>
        <w:t xml:space="preserve">ינם </w:t>
      </w:r>
      <w:r w:rsidRPr="00CC2350">
        <w:rPr>
          <w:rFonts w:asciiTheme="minorBidi" w:hAnsiTheme="minorBidi" w:cs="Arial"/>
          <w:rtl/>
        </w:rPr>
        <w:t>צ</w:t>
      </w:r>
      <w:r>
        <w:rPr>
          <w:rFonts w:asciiTheme="minorBidi" w:hAnsiTheme="minorBidi" w:cs="Arial" w:hint="cs"/>
          <w:rtl/>
        </w:rPr>
        <w:t>ריכים</w:t>
      </w:r>
      <w:r w:rsidRPr="00CC2350">
        <w:rPr>
          <w:rFonts w:asciiTheme="minorBidi" w:hAnsiTheme="minorBidi" w:cs="Arial"/>
          <w:rtl/>
        </w:rPr>
        <w:t xml:space="preserve"> לחזור ולהתפלל ערבית אם כשהתפללו היה מפלג המנחה ולמעלה</w:t>
      </w:r>
      <w:r>
        <w:rPr>
          <w:rFonts w:asciiTheme="minorBidi" w:hAnsiTheme="minorBidi" w:cs="Arial" w:hint="cs"/>
          <w:rtl/>
        </w:rPr>
        <w:t>.</w:t>
      </w:r>
      <w:r w:rsidRPr="00CC2350">
        <w:rPr>
          <w:rFonts w:asciiTheme="minorBidi" w:hAnsiTheme="minorBidi" w:cs="Arial"/>
          <w:rtl/>
        </w:rPr>
        <w:t xml:space="preserve"> ואם יחיד הוא שטעה בכך, צריך הוא לחזור ולהתפלל תפלת ערבית</w:t>
      </w:r>
      <w:r>
        <w:rPr>
          <w:rStyle w:val="a9"/>
          <w:rFonts w:asciiTheme="minorBidi" w:hAnsiTheme="minorBidi" w:cs="Arial"/>
          <w:rtl/>
        </w:rPr>
        <w:footnoteReference w:id="669"/>
      </w:r>
      <w:r w:rsidRPr="00CC2350">
        <w:rPr>
          <w:rFonts w:asciiTheme="minorBidi" w:hAnsiTheme="minorBidi" w:cs="Arial"/>
          <w:rtl/>
        </w:rPr>
        <w:t>. ולענין עשיית מלאכה בין ציבור בין יחיד מותרים, דקבלת שבת היתה בטעות. וי</w:t>
      </w:r>
      <w:r>
        <w:rPr>
          <w:rFonts w:asciiTheme="minorBidi" w:hAnsiTheme="minorBidi" w:cs="Arial" w:hint="cs"/>
          <w:rtl/>
        </w:rPr>
        <w:t xml:space="preserve">ש </w:t>
      </w:r>
      <w:r w:rsidRPr="00CC2350">
        <w:rPr>
          <w:rFonts w:asciiTheme="minorBidi" w:hAnsiTheme="minorBidi" w:cs="Arial"/>
          <w:rtl/>
        </w:rPr>
        <w:t>א</w:t>
      </w:r>
      <w:r>
        <w:rPr>
          <w:rFonts w:asciiTheme="minorBidi" w:hAnsiTheme="minorBidi" w:cs="Arial" w:hint="cs"/>
          <w:rtl/>
        </w:rPr>
        <w:t>ומרים</w:t>
      </w:r>
      <w:r w:rsidRPr="00CC2350">
        <w:rPr>
          <w:rFonts w:asciiTheme="minorBidi" w:hAnsiTheme="minorBidi" w:cs="Arial"/>
          <w:rtl/>
        </w:rPr>
        <w:t xml:space="preserve"> שאותם שהדליקו</w:t>
      </w:r>
      <w:r>
        <w:rPr>
          <w:rStyle w:val="a9"/>
          <w:rFonts w:asciiTheme="minorBidi" w:hAnsiTheme="minorBidi" w:cs="Arial"/>
          <w:rtl/>
        </w:rPr>
        <w:footnoteReference w:id="670"/>
      </w:r>
      <w:r w:rsidRPr="00CC2350">
        <w:rPr>
          <w:rFonts w:asciiTheme="minorBidi" w:hAnsiTheme="minorBidi" w:cs="Arial"/>
          <w:rtl/>
        </w:rPr>
        <w:t xml:space="preserve"> נרות אסורים בעשיית מלאכה ושאר אנשי הבית מותרין. וי</w:t>
      </w:r>
      <w:r>
        <w:rPr>
          <w:rFonts w:asciiTheme="minorBidi" w:hAnsiTheme="minorBidi" w:cs="Arial" w:hint="cs"/>
          <w:rtl/>
        </w:rPr>
        <w:t xml:space="preserve">ש </w:t>
      </w:r>
      <w:r w:rsidRPr="00CC2350">
        <w:rPr>
          <w:rFonts w:asciiTheme="minorBidi" w:hAnsiTheme="minorBidi" w:cs="Arial"/>
          <w:rtl/>
        </w:rPr>
        <w:t>א</w:t>
      </w:r>
      <w:r>
        <w:rPr>
          <w:rFonts w:asciiTheme="minorBidi" w:hAnsiTheme="minorBidi" w:cs="Arial" w:hint="cs"/>
          <w:rtl/>
        </w:rPr>
        <w:t>ומרים</w:t>
      </w:r>
      <w:r w:rsidRPr="00CC2350">
        <w:rPr>
          <w:rFonts w:asciiTheme="minorBidi" w:hAnsiTheme="minorBidi" w:cs="Arial"/>
          <w:rtl/>
        </w:rPr>
        <w:t xml:space="preserve"> שאותו נר שהודלק לשם שבת אסור ליגע בו ולהוסיף בו שמן</w:t>
      </w:r>
      <w:r>
        <w:rPr>
          <w:rStyle w:val="a9"/>
          <w:rFonts w:asciiTheme="minorBidi" w:hAnsiTheme="minorBidi" w:cs="Arial"/>
          <w:rtl/>
        </w:rPr>
        <w:footnoteReference w:id="671"/>
      </w:r>
      <w:r w:rsidRPr="00CC2350">
        <w:rPr>
          <w:rFonts w:asciiTheme="minorBidi" w:hAnsiTheme="minorBidi" w:cs="Arial"/>
          <w:rtl/>
        </w:rPr>
        <w:t>, ואפי</w:t>
      </w:r>
      <w:r>
        <w:rPr>
          <w:rFonts w:asciiTheme="minorBidi" w:hAnsiTheme="minorBidi" w:cs="Arial" w:hint="cs"/>
          <w:rtl/>
        </w:rPr>
        <w:t>לו</w:t>
      </w:r>
      <w:r w:rsidRPr="00CC2350">
        <w:rPr>
          <w:rFonts w:asciiTheme="minorBidi" w:hAnsiTheme="minorBidi" w:cs="Arial"/>
          <w:rtl/>
        </w:rPr>
        <w:t xml:space="preserve"> אם כבה אסור לטלטלו. </w:t>
      </w:r>
    </w:p>
    <w:p w14:paraId="20A44D0F" w14:textId="77777777" w:rsidR="004B2E7C" w:rsidRPr="00CC2350" w:rsidRDefault="004B2E7C" w:rsidP="00434A6A">
      <w:pPr>
        <w:rPr>
          <w:rFonts w:asciiTheme="minorBidi" w:hAnsiTheme="minorBidi"/>
          <w:rtl/>
        </w:rPr>
      </w:pPr>
    </w:p>
    <w:p w14:paraId="5A2CEEFF" w14:textId="77777777" w:rsidR="004B2E7C" w:rsidRDefault="004B2E7C" w:rsidP="00434A6A">
      <w:pPr>
        <w:pStyle w:val="2"/>
        <w:rPr>
          <w:rtl/>
        </w:rPr>
      </w:pPr>
      <w:r w:rsidRPr="00CC2350">
        <w:rPr>
          <w:rtl/>
        </w:rPr>
        <w:t>סעיף טו</w:t>
      </w:r>
      <w:r>
        <w:rPr>
          <w:rFonts w:hint="cs"/>
          <w:rtl/>
        </w:rPr>
        <w:t>: אדם שלא התפלל מנה בער"ש, והקהל כבר קיבל עליו את השבת.</w:t>
      </w:r>
    </w:p>
    <w:p w14:paraId="08D98F79" w14:textId="77777777" w:rsidR="004B2E7C" w:rsidRPr="001D0479" w:rsidRDefault="004B2E7C" w:rsidP="00434A6A">
      <w:pPr>
        <w:rPr>
          <w:u w:val="single"/>
          <w:rtl/>
        </w:rPr>
      </w:pPr>
      <w:r w:rsidRPr="001D0479">
        <w:rPr>
          <w:rFonts w:cs="Arial" w:hint="cs"/>
          <w:u w:val="single"/>
          <w:rtl/>
        </w:rPr>
        <w:t>מי</w:t>
      </w:r>
      <w:r w:rsidRPr="001D0479">
        <w:rPr>
          <w:rFonts w:cs="Arial"/>
          <w:u w:val="single"/>
          <w:rtl/>
        </w:rPr>
        <w:t xml:space="preserve"> </w:t>
      </w:r>
      <w:r w:rsidRPr="001D0479">
        <w:rPr>
          <w:rFonts w:cs="Arial" w:hint="cs"/>
          <w:u w:val="single"/>
          <w:rtl/>
        </w:rPr>
        <w:t>שלא</w:t>
      </w:r>
      <w:r w:rsidRPr="001D0479">
        <w:rPr>
          <w:rFonts w:cs="Arial"/>
          <w:u w:val="single"/>
          <w:rtl/>
        </w:rPr>
        <w:t xml:space="preserve"> </w:t>
      </w:r>
      <w:r w:rsidRPr="001D0479">
        <w:rPr>
          <w:rFonts w:cs="Arial" w:hint="cs"/>
          <w:u w:val="single"/>
          <w:rtl/>
        </w:rPr>
        <w:t>התפלל</w:t>
      </w:r>
      <w:r w:rsidRPr="001D0479">
        <w:rPr>
          <w:rFonts w:cs="Arial"/>
          <w:u w:val="single"/>
          <w:rtl/>
        </w:rPr>
        <w:t xml:space="preserve"> </w:t>
      </w:r>
      <w:r w:rsidRPr="001D0479">
        <w:rPr>
          <w:rFonts w:cs="Arial" w:hint="cs"/>
          <w:u w:val="single"/>
          <w:rtl/>
        </w:rPr>
        <w:t>מנחה בער"ש,</w:t>
      </w:r>
      <w:r w:rsidRPr="001D0479">
        <w:rPr>
          <w:rFonts w:cs="Arial"/>
          <w:u w:val="single"/>
          <w:rtl/>
        </w:rPr>
        <w:t xml:space="preserve"> </w:t>
      </w:r>
      <w:r w:rsidRPr="001D0479">
        <w:rPr>
          <w:rFonts w:cs="Arial" w:hint="cs"/>
          <w:u w:val="single"/>
          <w:rtl/>
        </w:rPr>
        <w:t>וענה</w:t>
      </w:r>
      <w:r w:rsidRPr="001D0479">
        <w:rPr>
          <w:rFonts w:cs="Arial"/>
          <w:u w:val="single"/>
          <w:rtl/>
        </w:rPr>
        <w:t xml:space="preserve"> </w:t>
      </w:r>
      <w:r w:rsidRPr="001D0479">
        <w:rPr>
          <w:rFonts w:cs="Arial" w:hint="cs"/>
          <w:u w:val="single"/>
          <w:rtl/>
        </w:rPr>
        <w:t>ברכו</w:t>
      </w:r>
      <w:r w:rsidRPr="001D0479">
        <w:rPr>
          <w:rFonts w:cs="Arial"/>
          <w:u w:val="single"/>
          <w:rtl/>
        </w:rPr>
        <w:t xml:space="preserve"> </w:t>
      </w:r>
      <w:r w:rsidRPr="001D0479">
        <w:rPr>
          <w:rFonts w:cs="Arial" w:hint="cs"/>
          <w:u w:val="single"/>
          <w:rtl/>
        </w:rPr>
        <w:t>עם</w:t>
      </w:r>
      <w:r w:rsidRPr="001D0479">
        <w:rPr>
          <w:rFonts w:cs="Arial"/>
          <w:u w:val="single"/>
          <w:rtl/>
        </w:rPr>
        <w:t xml:space="preserve"> </w:t>
      </w:r>
      <w:r w:rsidRPr="001D0479">
        <w:rPr>
          <w:rFonts w:cs="Arial" w:hint="cs"/>
          <w:u w:val="single"/>
          <w:rtl/>
        </w:rPr>
        <w:t>הקהל</w:t>
      </w:r>
      <w:r>
        <w:rPr>
          <w:rFonts w:cs="Arial" w:hint="cs"/>
          <w:u w:val="single"/>
          <w:rtl/>
        </w:rPr>
        <w:t xml:space="preserve"> </w:t>
      </w:r>
      <w:r>
        <w:rPr>
          <w:rFonts w:cs="Arial"/>
          <w:u w:val="single"/>
          <w:rtl/>
        </w:rPr>
        <w:t>–</w:t>
      </w:r>
      <w:r>
        <w:rPr>
          <w:rFonts w:cs="Arial" w:hint="cs"/>
          <w:u w:val="single"/>
          <w:rtl/>
        </w:rPr>
        <w:t xml:space="preserve"> האם יכול להתפלל תפילה של חול</w:t>
      </w:r>
      <w:r w:rsidRPr="001D0479">
        <w:rPr>
          <w:rFonts w:cs="Arial" w:hint="cs"/>
          <w:u w:val="single"/>
          <w:rtl/>
        </w:rPr>
        <w:t>:</w:t>
      </w:r>
    </w:p>
    <w:p w14:paraId="1D61B87A" w14:textId="77777777" w:rsidR="004B2E7C" w:rsidRDefault="004B2E7C" w:rsidP="00FF2D21">
      <w:pPr>
        <w:pStyle w:val="aa"/>
        <w:numPr>
          <w:ilvl w:val="0"/>
          <w:numId w:val="87"/>
        </w:numPr>
      </w:pPr>
      <w:r w:rsidRPr="00071B0A">
        <w:rPr>
          <w:rFonts w:cs="Arial" w:hint="cs"/>
          <w:rtl/>
        </w:rPr>
        <w:t>מרדכי</w:t>
      </w:r>
      <w:r w:rsidRPr="00071B0A">
        <w:rPr>
          <w:rFonts w:cs="Arial"/>
          <w:rtl/>
        </w:rPr>
        <w:t xml:space="preserve"> </w:t>
      </w:r>
      <w:r w:rsidRPr="00071B0A">
        <w:rPr>
          <w:rFonts w:cs="Arial" w:hint="cs"/>
          <w:sz w:val="16"/>
          <w:szCs w:val="16"/>
          <w:rtl/>
        </w:rPr>
        <w:t>(ס"פ</w:t>
      </w:r>
      <w:r w:rsidRPr="00071B0A">
        <w:rPr>
          <w:rFonts w:cs="Arial"/>
          <w:sz w:val="16"/>
          <w:szCs w:val="16"/>
          <w:rtl/>
        </w:rPr>
        <w:t xml:space="preserve"> </w:t>
      </w:r>
      <w:r w:rsidRPr="00071B0A">
        <w:rPr>
          <w:rFonts w:cs="Arial" w:hint="cs"/>
          <w:sz w:val="16"/>
          <w:szCs w:val="16"/>
          <w:rtl/>
        </w:rPr>
        <w:t>במה</w:t>
      </w:r>
      <w:r w:rsidRPr="00071B0A">
        <w:rPr>
          <w:rFonts w:cs="Arial"/>
          <w:sz w:val="16"/>
          <w:szCs w:val="16"/>
          <w:rtl/>
        </w:rPr>
        <w:t xml:space="preserve"> </w:t>
      </w:r>
      <w:r w:rsidRPr="00071B0A">
        <w:rPr>
          <w:rFonts w:cs="Arial" w:hint="cs"/>
          <w:sz w:val="16"/>
          <w:szCs w:val="16"/>
          <w:rtl/>
        </w:rPr>
        <w:t>מדליקין</w:t>
      </w:r>
      <w:r w:rsidRPr="00071B0A">
        <w:rPr>
          <w:rFonts w:cs="Arial"/>
          <w:sz w:val="16"/>
          <w:szCs w:val="16"/>
          <w:rtl/>
        </w:rPr>
        <w:t xml:space="preserve"> </w:t>
      </w:r>
      <w:r w:rsidRPr="00071B0A">
        <w:rPr>
          <w:rFonts w:cs="Arial" w:hint="cs"/>
          <w:sz w:val="16"/>
          <w:szCs w:val="16"/>
          <w:rtl/>
        </w:rPr>
        <w:t>סי</w:t>
      </w:r>
      <w:r w:rsidRPr="00071B0A">
        <w:rPr>
          <w:rFonts w:cs="Arial"/>
          <w:sz w:val="16"/>
          <w:szCs w:val="16"/>
          <w:rtl/>
        </w:rPr>
        <w:t xml:space="preserve">' </w:t>
      </w:r>
      <w:r w:rsidRPr="00071B0A">
        <w:rPr>
          <w:rFonts w:cs="Arial" w:hint="cs"/>
          <w:sz w:val="16"/>
          <w:szCs w:val="16"/>
          <w:rtl/>
        </w:rPr>
        <w:t>רצו</w:t>
      </w:r>
      <w:r w:rsidRPr="00071B0A">
        <w:rPr>
          <w:rFonts w:cs="Arial"/>
          <w:sz w:val="16"/>
          <w:szCs w:val="16"/>
          <w:rtl/>
        </w:rPr>
        <w:t>)</w:t>
      </w:r>
      <w:r w:rsidRPr="00071B0A">
        <w:rPr>
          <w:rFonts w:cs="Arial"/>
          <w:rtl/>
        </w:rPr>
        <w:t xml:space="preserve"> </w:t>
      </w:r>
      <w:r>
        <w:rPr>
          <w:rFonts w:cs="Arial" w:hint="cs"/>
          <w:rtl/>
        </w:rPr>
        <w:t>ו</w:t>
      </w:r>
      <w:r w:rsidRPr="00071B0A">
        <w:rPr>
          <w:rFonts w:cs="Arial" w:hint="cs"/>
          <w:rtl/>
        </w:rPr>
        <w:t>הג</w:t>
      </w:r>
      <w:r>
        <w:rPr>
          <w:rFonts w:cs="Arial" w:hint="cs"/>
          <w:rtl/>
        </w:rPr>
        <w:t xml:space="preserve">ה"מ </w:t>
      </w:r>
      <w:r w:rsidRPr="00071B0A">
        <w:rPr>
          <w:rFonts w:cs="Arial" w:hint="cs"/>
          <w:sz w:val="16"/>
          <w:szCs w:val="16"/>
          <w:rtl/>
        </w:rPr>
        <w:t>(סוף</w:t>
      </w:r>
      <w:r w:rsidRPr="00071B0A">
        <w:rPr>
          <w:rFonts w:cs="Arial"/>
          <w:sz w:val="16"/>
          <w:szCs w:val="16"/>
          <w:rtl/>
        </w:rPr>
        <w:t xml:space="preserve"> </w:t>
      </w:r>
      <w:r w:rsidRPr="00071B0A">
        <w:rPr>
          <w:rFonts w:cs="Arial" w:hint="cs"/>
          <w:sz w:val="16"/>
          <w:szCs w:val="16"/>
          <w:rtl/>
        </w:rPr>
        <w:t>פ</w:t>
      </w:r>
      <w:r w:rsidRPr="00071B0A">
        <w:rPr>
          <w:rFonts w:cs="Arial"/>
          <w:sz w:val="16"/>
          <w:szCs w:val="16"/>
          <w:rtl/>
        </w:rPr>
        <w:t>"</w:t>
      </w:r>
      <w:r w:rsidRPr="00071B0A">
        <w:rPr>
          <w:rFonts w:cs="Arial" w:hint="cs"/>
          <w:sz w:val="16"/>
          <w:szCs w:val="16"/>
          <w:rtl/>
        </w:rPr>
        <w:t>ה</w:t>
      </w:r>
      <w:r w:rsidRPr="00071B0A">
        <w:rPr>
          <w:rFonts w:cs="Arial"/>
          <w:sz w:val="16"/>
          <w:szCs w:val="16"/>
          <w:rtl/>
        </w:rPr>
        <w:t xml:space="preserve"> </w:t>
      </w:r>
      <w:r w:rsidRPr="00071B0A">
        <w:rPr>
          <w:rFonts w:cs="Arial" w:hint="cs"/>
          <w:sz w:val="16"/>
          <w:szCs w:val="16"/>
          <w:rtl/>
        </w:rPr>
        <w:t>סוף</w:t>
      </w:r>
      <w:r w:rsidRPr="00071B0A">
        <w:rPr>
          <w:rFonts w:cs="Arial"/>
          <w:sz w:val="16"/>
          <w:szCs w:val="16"/>
          <w:rtl/>
        </w:rPr>
        <w:t xml:space="preserve"> </w:t>
      </w:r>
      <w:r w:rsidRPr="00071B0A">
        <w:rPr>
          <w:rFonts w:cs="Arial" w:hint="cs"/>
          <w:sz w:val="16"/>
          <w:szCs w:val="16"/>
          <w:rtl/>
        </w:rPr>
        <w:t>אות</w:t>
      </w:r>
      <w:r w:rsidRPr="00071B0A">
        <w:rPr>
          <w:rFonts w:cs="Arial"/>
          <w:sz w:val="16"/>
          <w:szCs w:val="16"/>
          <w:rtl/>
        </w:rPr>
        <w:t xml:space="preserve"> </w:t>
      </w:r>
      <w:r w:rsidRPr="00071B0A">
        <w:rPr>
          <w:rFonts w:cs="Arial" w:hint="cs"/>
          <w:sz w:val="16"/>
          <w:szCs w:val="16"/>
          <w:rtl/>
        </w:rPr>
        <w:t>ר</w:t>
      </w:r>
      <w:r w:rsidRPr="00071B0A">
        <w:rPr>
          <w:rFonts w:cs="Arial"/>
          <w:sz w:val="16"/>
          <w:szCs w:val="16"/>
          <w:rtl/>
        </w:rPr>
        <w:t>)</w:t>
      </w:r>
      <w:r>
        <w:rPr>
          <w:rFonts w:cs="Arial" w:hint="cs"/>
          <w:rtl/>
        </w:rPr>
        <w:t xml:space="preserve">- </w:t>
      </w:r>
      <w:r w:rsidRPr="00071B0A">
        <w:rPr>
          <w:rFonts w:cs="Arial" w:hint="cs"/>
          <w:rtl/>
        </w:rPr>
        <w:t>מי</w:t>
      </w:r>
      <w:r w:rsidRPr="00071B0A">
        <w:rPr>
          <w:rFonts w:cs="Arial"/>
          <w:rtl/>
        </w:rPr>
        <w:t xml:space="preserve"> </w:t>
      </w:r>
      <w:r w:rsidRPr="00071B0A">
        <w:rPr>
          <w:rFonts w:cs="Arial" w:hint="cs"/>
          <w:rtl/>
        </w:rPr>
        <w:t>שלא</w:t>
      </w:r>
      <w:r w:rsidRPr="00071B0A">
        <w:rPr>
          <w:rFonts w:cs="Arial"/>
          <w:rtl/>
        </w:rPr>
        <w:t xml:space="preserve"> </w:t>
      </w:r>
      <w:r w:rsidRPr="00071B0A">
        <w:rPr>
          <w:rFonts w:cs="Arial" w:hint="cs"/>
          <w:rtl/>
        </w:rPr>
        <w:t>התפלל</w:t>
      </w:r>
      <w:r w:rsidRPr="00071B0A">
        <w:rPr>
          <w:rFonts w:cs="Arial"/>
          <w:rtl/>
        </w:rPr>
        <w:t xml:space="preserve"> </w:t>
      </w:r>
      <w:r w:rsidRPr="00071B0A">
        <w:rPr>
          <w:rFonts w:cs="Arial" w:hint="cs"/>
          <w:rtl/>
        </w:rPr>
        <w:t>מנחה</w:t>
      </w:r>
      <w:r w:rsidRPr="00071B0A">
        <w:rPr>
          <w:rFonts w:cs="Arial"/>
          <w:rtl/>
        </w:rPr>
        <w:t xml:space="preserve"> </w:t>
      </w:r>
      <w:r w:rsidRPr="00071B0A">
        <w:rPr>
          <w:rFonts w:cs="Arial" w:hint="cs"/>
          <w:rtl/>
        </w:rPr>
        <w:t>וענה</w:t>
      </w:r>
      <w:r w:rsidRPr="00071B0A">
        <w:rPr>
          <w:rFonts w:cs="Arial"/>
          <w:rtl/>
        </w:rPr>
        <w:t xml:space="preserve"> </w:t>
      </w:r>
      <w:r w:rsidRPr="00071B0A">
        <w:rPr>
          <w:rFonts w:cs="Arial" w:hint="cs"/>
          <w:rtl/>
        </w:rPr>
        <w:t>ברכו</w:t>
      </w:r>
      <w:r w:rsidRPr="00071B0A">
        <w:rPr>
          <w:rFonts w:cs="Arial"/>
          <w:rtl/>
        </w:rPr>
        <w:t xml:space="preserve"> </w:t>
      </w:r>
      <w:r w:rsidRPr="00071B0A">
        <w:rPr>
          <w:rFonts w:cs="Arial" w:hint="cs"/>
          <w:rtl/>
        </w:rPr>
        <w:t>עם</w:t>
      </w:r>
      <w:r w:rsidRPr="00071B0A">
        <w:rPr>
          <w:rFonts w:cs="Arial"/>
          <w:rtl/>
        </w:rPr>
        <w:t xml:space="preserve"> </w:t>
      </w:r>
      <w:r w:rsidRPr="00071B0A">
        <w:rPr>
          <w:rFonts w:cs="Arial" w:hint="cs"/>
          <w:rtl/>
        </w:rPr>
        <w:t>הקהל</w:t>
      </w:r>
      <w:r w:rsidRPr="00071B0A">
        <w:rPr>
          <w:rFonts w:cs="Arial"/>
          <w:rtl/>
        </w:rPr>
        <w:t xml:space="preserve"> </w:t>
      </w:r>
      <w:r w:rsidRPr="00071B0A">
        <w:rPr>
          <w:rFonts w:cs="Arial" w:hint="cs"/>
          <w:rtl/>
        </w:rPr>
        <w:t>כבר</w:t>
      </w:r>
      <w:r w:rsidRPr="00071B0A">
        <w:rPr>
          <w:rFonts w:cs="Arial"/>
          <w:rtl/>
        </w:rPr>
        <w:t xml:space="preserve"> </w:t>
      </w:r>
      <w:r w:rsidRPr="00071B0A">
        <w:rPr>
          <w:rFonts w:cs="Arial" w:hint="cs"/>
          <w:rtl/>
        </w:rPr>
        <w:t>עשהו</w:t>
      </w:r>
      <w:r w:rsidRPr="00071B0A">
        <w:rPr>
          <w:rFonts w:cs="Arial"/>
          <w:rtl/>
        </w:rPr>
        <w:t xml:space="preserve"> </w:t>
      </w:r>
      <w:r w:rsidRPr="00071B0A">
        <w:rPr>
          <w:rFonts w:cs="Arial" w:hint="cs"/>
          <w:rtl/>
        </w:rPr>
        <w:t>קודש</w:t>
      </w:r>
      <w:r w:rsidRPr="00071B0A">
        <w:rPr>
          <w:rFonts w:cs="Arial"/>
          <w:rtl/>
        </w:rPr>
        <w:t xml:space="preserve"> </w:t>
      </w:r>
      <w:r w:rsidRPr="00071B0A">
        <w:rPr>
          <w:rFonts w:cs="Arial" w:hint="cs"/>
          <w:rtl/>
        </w:rPr>
        <w:t>ושוב</w:t>
      </w:r>
      <w:r w:rsidRPr="00071B0A">
        <w:rPr>
          <w:rFonts w:cs="Arial"/>
          <w:rtl/>
        </w:rPr>
        <w:t xml:space="preserve"> </w:t>
      </w:r>
      <w:r w:rsidRPr="00071B0A">
        <w:rPr>
          <w:rFonts w:cs="Arial" w:hint="cs"/>
          <w:rtl/>
        </w:rPr>
        <w:t>לא</w:t>
      </w:r>
      <w:r w:rsidRPr="00071B0A">
        <w:rPr>
          <w:rFonts w:cs="Arial"/>
          <w:rtl/>
        </w:rPr>
        <w:t xml:space="preserve"> </w:t>
      </w:r>
      <w:r w:rsidRPr="00071B0A">
        <w:rPr>
          <w:rFonts w:cs="Arial" w:hint="cs"/>
          <w:rtl/>
        </w:rPr>
        <w:t>יעשנו</w:t>
      </w:r>
      <w:r w:rsidRPr="00071B0A">
        <w:rPr>
          <w:rFonts w:cs="Arial"/>
          <w:rtl/>
        </w:rPr>
        <w:t xml:space="preserve"> </w:t>
      </w:r>
      <w:r w:rsidRPr="00071B0A">
        <w:rPr>
          <w:rFonts w:cs="Arial" w:hint="cs"/>
          <w:rtl/>
        </w:rPr>
        <w:t>חול</w:t>
      </w:r>
      <w:r w:rsidRPr="00071B0A">
        <w:rPr>
          <w:rFonts w:cs="Arial"/>
          <w:rtl/>
        </w:rPr>
        <w:t xml:space="preserve"> </w:t>
      </w:r>
      <w:r w:rsidRPr="00071B0A">
        <w:rPr>
          <w:rFonts w:cs="Arial" w:hint="cs"/>
          <w:rtl/>
        </w:rPr>
        <w:t>להתפלל</w:t>
      </w:r>
      <w:r w:rsidRPr="00071B0A">
        <w:rPr>
          <w:rFonts w:cs="Arial"/>
          <w:rtl/>
        </w:rPr>
        <w:t xml:space="preserve"> </w:t>
      </w:r>
      <w:r w:rsidRPr="00071B0A">
        <w:rPr>
          <w:rFonts w:cs="Arial" w:hint="cs"/>
          <w:rtl/>
        </w:rPr>
        <w:t>תפילה</w:t>
      </w:r>
      <w:r w:rsidRPr="00071B0A">
        <w:rPr>
          <w:rFonts w:cs="Arial"/>
          <w:rtl/>
        </w:rPr>
        <w:t xml:space="preserve"> </w:t>
      </w:r>
      <w:r w:rsidRPr="00071B0A">
        <w:rPr>
          <w:rFonts w:cs="Arial" w:hint="cs"/>
          <w:rtl/>
        </w:rPr>
        <w:t>של</w:t>
      </w:r>
      <w:r w:rsidRPr="00071B0A">
        <w:rPr>
          <w:rFonts w:cs="Arial"/>
          <w:rtl/>
        </w:rPr>
        <w:t xml:space="preserve"> </w:t>
      </w:r>
      <w:r w:rsidRPr="00071B0A">
        <w:rPr>
          <w:rFonts w:cs="Arial" w:hint="cs"/>
          <w:rtl/>
        </w:rPr>
        <w:t>חול</w:t>
      </w:r>
      <w:r w:rsidRPr="00071B0A">
        <w:rPr>
          <w:rFonts w:cs="Arial"/>
          <w:rtl/>
        </w:rPr>
        <w:t xml:space="preserve"> </w:t>
      </w:r>
      <w:r w:rsidRPr="00071B0A">
        <w:rPr>
          <w:rFonts w:cs="Arial" w:hint="cs"/>
          <w:rtl/>
        </w:rPr>
        <w:t>אלא</w:t>
      </w:r>
      <w:r w:rsidRPr="00071B0A">
        <w:rPr>
          <w:rFonts w:cs="Arial"/>
          <w:rtl/>
        </w:rPr>
        <w:t xml:space="preserve"> </w:t>
      </w:r>
      <w:r w:rsidRPr="00071B0A">
        <w:rPr>
          <w:rFonts w:cs="Arial" w:hint="cs"/>
          <w:rtl/>
        </w:rPr>
        <w:t>יתפלל</w:t>
      </w:r>
      <w:r w:rsidRPr="00071B0A">
        <w:rPr>
          <w:rFonts w:cs="Arial"/>
          <w:rtl/>
        </w:rPr>
        <w:t xml:space="preserve"> </w:t>
      </w:r>
      <w:r w:rsidRPr="00071B0A">
        <w:rPr>
          <w:rFonts w:cs="Arial" w:hint="cs"/>
          <w:rtl/>
        </w:rPr>
        <w:t>ערבית</w:t>
      </w:r>
      <w:r w:rsidRPr="00071B0A">
        <w:rPr>
          <w:rFonts w:cs="Arial"/>
          <w:rtl/>
        </w:rPr>
        <w:t xml:space="preserve"> </w:t>
      </w:r>
      <w:r w:rsidRPr="00071B0A">
        <w:rPr>
          <w:rFonts w:cs="Arial" w:hint="cs"/>
          <w:rtl/>
        </w:rPr>
        <w:t>שתים</w:t>
      </w:r>
      <w:r>
        <w:rPr>
          <w:rFonts w:cs="Arial" w:hint="cs"/>
          <w:rtl/>
        </w:rPr>
        <w:t>.</w:t>
      </w:r>
      <w:r w:rsidRPr="00071B0A">
        <w:rPr>
          <w:rFonts w:cs="Arial"/>
          <w:rtl/>
        </w:rPr>
        <w:t xml:space="preserve"> </w:t>
      </w:r>
      <w:r w:rsidRPr="004C4CDF">
        <w:rPr>
          <w:rFonts w:cs="Arial" w:hint="cs"/>
          <w:color w:val="E36C0A" w:themeColor="accent6" w:themeShade="BF"/>
          <w:rtl/>
        </w:rPr>
        <w:t>(וכ"פ בשו"ע)</w:t>
      </w:r>
    </w:p>
    <w:p w14:paraId="48EED78B" w14:textId="77777777" w:rsidR="004B2E7C" w:rsidRPr="001D0479" w:rsidRDefault="004B2E7C" w:rsidP="00434A6A">
      <w:pPr>
        <w:ind w:left="360"/>
        <w:rPr>
          <w:u w:val="dotted"/>
        </w:rPr>
      </w:pPr>
      <w:r w:rsidRPr="001D0479">
        <w:rPr>
          <w:rFonts w:hint="cs"/>
          <w:u w:val="dotted"/>
          <w:rtl/>
        </w:rPr>
        <w:t>ומה הדין אם לא ענה ברכו עם הקהל:</w:t>
      </w:r>
    </w:p>
    <w:p w14:paraId="0DCFC451" w14:textId="77777777" w:rsidR="004B2E7C" w:rsidRPr="001D0479" w:rsidRDefault="004B2E7C" w:rsidP="00FF2D21">
      <w:pPr>
        <w:pStyle w:val="aa"/>
        <w:numPr>
          <w:ilvl w:val="0"/>
          <w:numId w:val="87"/>
        </w:numPr>
        <w:rPr>
          <w:rFonts w:cs="Arial"/>
          <w:rtl/>
        </w:rPr>
      </w:pPr>
      <w:r>
        <w:rPr>
          <w:rFonts w:cs="Arial" w:hint="cs"/>
          <w:rtl/>
        </w:rPr>
        <w:t>תרוה"ד</w:t>
      </w:r>
      <w:r w:rsidRPr="00071B0A">
        <w:rPr>
          <w:rFonts w:cs="Arial"/>
          <w:rtl/>
        </w:rPr>
        <w:t xml:space="preserve"> </w:t>
      </w:r>
      <w:r w:rsidRPr="001D0479">
        <w:rPr>
          <w:rFonts w:cs="Arial" w:hint="cs"/>
          <w:sz w:val="16"/>
          <w:szCs w:val="16"/>
          <w:rtl/>
        </w:rPr>
        <w:t>(סי'</w:t>
      </w:r>
      <w:r w:rsidRPr="001D0479">
        <w:rPr>
          <w:rFonts w:cs="Arial"/>
          <w:sz w:val="16"/>
          <w:szCs w:val="16"/>
          <w:rtl/>
        </w:rPr>
        <w:t xml:space="preserve"> </w:t>
      </w:r>
      <w:r w:rsidRPr="001D0479">
        <w:rPr>
          <w:rFonts w:cs="Arial" w:hint="cs"/>
          <w:sz w:val="16"/>
          <w:szCs w:val="16"/>
          <w:rtl/>
        </w:rPr>
        <w:t>ד,</w:t>
      </w:r>
      <w:r w:rsidRPr="001D0479">
        <w:rPr>
          <w:rFonts w:cs="Arial"/>
          <w:sz w:val="16"/>
          <w:szCs w:val="16"/>
          <w:rtl/>
        </w:rPr>
        <w:t xml:space="preserve"> </w:t>
      </w:r>
      <w:r w:rsidRPr="001D0479">
        <w:rPr>
          <w:rFonts w:cs="Arial" w:hint="cs"/>
          <w:sz w:val="16"/>
          <w:szCs w:val="16"/>
          <w:rtl/>
        </w:rPr>
        <w:t>ובכתביו</w:t>
      </w:r>
      <w:r w:rsidRPr="001D0479">
        <w:rPr>
          <w:rFonts w:cs="Arial"/>
          <w:sz w:val="16"/>
          <w:szCs w:val="16"/>
          <w:rtl/>
        </w:rPr>
        <w:t xml:space="preserve"> </w:t>
      </w:r>
      <w:r w:rsidRPr="001D0479">
        <w:rPr>
          <w:rFonts w:cs="Arial" w:hint="cs"/>
          <w:sz w:val="16"/>
          <w:szCs w:val="16"/>
          <w:rtl/>
        </w:rPr>
        <w:t>סי'</w:t>
      </w:r>
      <w:r w:rsidRPr="001D0479">
        <w:rPr>
          <w:rFonts w:cs="Arial"/>
          <w:sz w:val="16"/>
          <w:szCs w:val="16"/>
          <w:rtl/>
        </w:rPr>
        <w:t xml:space="preserve"> </w:t>
      </w:r>
      <w:r w:rsidRPr="001D0479">
        <w:rPr>
          <w:rFonts w:cs="Arial" w:hint="cs"/>
          <w:sz w:val="16"/>
          <w:szCs w:val="16"/>
          <w:rtl/>
        </w:rPr>
        <w:t>קנג)</w:t>
      </w:r>
      <w:r>
        <w:rPr>
          <w:rFonts w:cs="Arial" w:hint="cs"/>
          <w:rtl/>
        </w:rPr>
        <w:t xml:space="preserve">- </w:t>
      </w:r>
      <w:r w:rsidRPr="001D0479">
        <w:rPr>
          <w:rFonts w:cs="Arial"/>
          <w:rtl/>
        </w:rPr>
        <w:t>שאלה: מי ששהה להתפלל מנחה בע"ש, עד לאחר שענו הקהל ברכו, אבל עדיין הוא זמן מנחה, היאך יתפלל תפלת מנחה זו? תשובה: יראה, דיש חילוק בדבר כמו שאבאר. אחד מגדולים מצא בתשובות ישנות, דמי ששהה להתפלל מנחה בע"ש, בדרך זה, שאל יתפלל מנחה באותו בהכ"נ, שבו הצבור ושלוחם מתפללים, הואיל, והצבור קדשו היום, לא יעשנה חול אצלם, אלא, ילך חוץ לבהכ"נ, ויתפלל שם מנחה של חול, עכ"ל. וכן היה רגיל להורות. וכן הורו ג"כ תלמידיו, שנים מהגדולים אחריו. ונראה, שצריך להתיישב, בהאי דכתב במרדכי בפ"ב דשבת וז"ל: מי ששהה להתפלל, וכבר ענה עם הקהל ברכו, הואיל ועשהו קודש לא יעשנה חול, אלא יתפלל שתים של שבת, ע"כ. משמע, דלית ליה תקנה, מדמצריך להתפלל שתים של שבת. וי"ל דלא פליגי, דיפה דקדק בלשונו, וכתב שכבר ענה עם הקהל ברכו, דדוקא בכה"ג, דהוא עצמו עשהו קודש בעניית ברכו, תו לית ליה תקנה, אבל אם לא ענה עמהם, כגון, שלא היה בבהכ"נ, יכול לעשותו חול, שלא בפניהם</w:t>
      </w:r>
      <w:r w:rsidRPr="001D0479">
        <w:rPr>
          <w:rFonts w:cs="Arial" w:hint="cs"/>
          <w:rtl/>
        </w:rPr>
        <w:t>.</w:t>
      </w:r>
      <w:r w:rsidRPr="001D0479">
        <w:rPr>
          <w:rFonts w:cs="Arial" w:hint="cs"/>
          <w:color w:val="E36C0A" w:themeColor="accent6" w:themeShade="BF"/>
          <w:rtl/>
        </w:rPr>
        <w:t xml:space="preserve"> </w:t>
      </w:r>
      <w:r w:rsidRPr="004C4CDF">
        <w:rPr>
          <w:rFonts w:cs="Arial" w:hint="cs"/>
          <w:color w:val="E36C0A" w:themeColor="accent6" w:themeShade="BF"/>
          <w:rtl/>
        </w:rPr>
        <w:t>(וכ"פ בשו"ע)</w:t>
      </w:r>
    </w:p>
    <w:p w14:paraId="76AB2293"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E5A68BA" w14:textId="77777777" w:rsidR="004B2E7C" w:rsidRDefault="004B2E7C" w:rsidP="00434A6A">
      <w:pPr>
        <w:rPr>
          <w:rFonts w:asciiTheme="minorBidi" w:hAnsiTheme="minorBidi"/>
          <w:rtl/>
        </w:rPr>
      </w:pPr>
      <w:r w:rsidRPr="00CC2350">
        <w:rPr>
          <w:rFonts w:asciiTheme="minorBidi" w:hAnsiTheme="minorBidi" w:cs="Arial"/>
          <w:rtl/>
        </w:rPr>
        <w:t>מי ששהה להתפלל מנחה בע</w:t>
      </w:r>
      <w:r>
        <w:rPr>
          <w:rFonts w:asciiTheme="minorBidi" w:hAnsiTheme="minorBidi" w:cs="Arial" w:hint="cs"/>
          <w:rtl/>
        </w:rPr>
        <w:t xml:space="preserve">רב </w:t>
      </w:r>
      <w:r w:rsidRPr="00CC2350">
        <w:rPr>
          <w:rFonts w:asciiTheme="minorBidi" w:hAnsiTheme="minorBidi" w:cs="Arial"/>
          <w:rtl/>
        </w:rPr>
        <w:t>ש</w:t>
      </w:r>
      <w:r>
        <w:rPr>
          <w:rFonts w:asciiTheme="minorBidi" w:hAnsiTheme="minorBidi" w:cs="Arial" w:hint="cs"/>
          <w:rtl/>
        </w:rPr>
        <w:t>בת</w:t>
      </w:r>
      <w:r w:rsidRPr="00CC2350">
        <w:rPr>
          <w:rFonts w:asciiTheme="minorBidi" w:hAnsiTheme="minorBidi" w:cs="Arial"/>
          <w:rtl/>
        </w:rPr>
        <w:t xml:space="preserve"> עד שקבלו הקהל שבת, לא יתפלל מנחה באותה ב</w:t>
      </w:r>
      <w:r>
        <w:rPr>
          <w:rFonts w:asciiTheme="minorBidi" w:hAnsiTheme="minorBidi" w:cs="Arial" w:hint="cs"/>
          <w:rtl/>
        </w:rPr>
        <w:t xml:space="preserve">ית </w:t>
      </w:r>
      <w:r w:rsidRPr="00CC2350">
        <w:rPr>
          <w:rFonts w:asciiTheme="minorBidi" w:hAnsiTheme="minorBidi" w:cs="Arial"/>
          <w:rtl/>
        </w:rPr>
        <w:t>הכנ</w:t>
      </w:r>
      <w:r>
        <w:rPr>
          <w:rFonts w:asciiTheme="minorBidi" w:hAnsiTheme="minorBidi" w:cs="Arial" w:hint="cs"/>
          <w:rtl/>
        </w:rPr>
        <w:t>סת</w:t>
      </w:r>
      <w:r w:rsidRPr="00CC2350">
        <w:rPr>
          <w:rFonts w:asciiTheme="minorBidi" w:hAnsiTheme="minorBidi" w:cs="Arial"/>
          <w:rtl/>
        </w:rPr>
        <w:t xml:space="preserve"> אלא ילך חוץ לאותו ב</w:t>
      </w:r>
      <w:r>
        <w:rPr>
          <w:rFonts w:asciiTheme="minorBidi" w:hAnsiTheme="minorBidi" w:cs="Arial" w:hint="cs"/>
          <w:rtl/>
        </w:rPr>
        <w:t xml:space="preserve">ית </w:t>
      </w:r>
      <w:r w:rsidRPr="00CC2350">
        <w:rPr>
          <w:rFonts w:asciiTheme="minorBidi" w:hAnsiTheme="minorBidi" w:cs="Arial"/>
          <w:rtl/>
        </w:rPr>
        <w:t>הכנ</w:t>
      </w:r>
      <w:r>
        <w:rPr>
          <w:rFonts w:asciiTheme="minorBidi" w:hAnsiTheme="minorBidi" w:cs="Arial" w:hint="cs"/>
          <w:rtl/>
        </w:rPr>
        <w:t>סת</w:t>
      </w:r>
      <w:r w:rsidRPr="00CC2350">
        <w:rPr>
          <w:rFonts w:asciiTheme="minorBidi" w:hAnsiTheme="minorBidi" w:cs="Arial"/>
          <w:rtl/>
        </w:rPr>
        <w:t xml:space="preserve"> ויתפלל תפלה של חול, והוא שלא קבל שבת עמהם, אבל אם ענה וקבל שבת עמהם אינו יכול להתפלל תפלת חול, אלא יתפלל ערבית שתים. </w:t>
      </w:r>
    </w:p>
    <w:p w14:paraId="0D705CD9" w14:textId="77777777" w:rsidR="004B2E7C" w:rsidRPr="00CC2350" w:rsidRDefault="004B2E7C" w:rsidP="00434A6A">
      <w:pPr>
        <w:rPr>
          <w:rFonts w:asciiTheme="minorBidi" w:hAnsiTheme="minorBidi"/>
          <w:rtl/>
        </w:rPr>
      </w:pPr>
    </w:p>
    <w:p w14:paraId="2AA6A9EE" w14:textId="77777777" w:rsidR="004B2E7C" w:rsidRDefault="004B2E7C" w:rsidP="00434A6A">
      <w:pPr>
        <w:pStyle w:val="2"/>
        <w:rPr>
          <w:rtl/>
        </w:rPr>
      </w:pPr>
      <w:r w:rsidRPr="00CC2350">
        <w:rPr>
          <w:rtl/>
        </w:rPr>
        <w:t>סעיף טז</w:t>
      </w:r>
      <w:r>
        <w:rPr>
          <w:rFonts w:hint="cs"/>
          <w:rtl/>
        </w:rPr>
        <w:t>: איחר לבהכ"נ והקהל עוד מעט אומרים ברכו, האם יתחיל מנחה.</w:t>
      </w:r>
    </w:p>
    <w:p w14:paraId="56D1D2AC" w14:textId="77777777" w:rsidR="004B2E7C" w:rsidRPr="00AC0873" w:rsidRDefault="004B2E7C" w:rsidP="00434A6A">
      <w:pPr>
        <w:rPr>
          <w:u w:val="single"/>
          <w:rtl/>
        </w:rPr>
      </w:pPr>
      <w:r w:rsidRPr="00AC0873">
        <w:rPr>
          <w:rFonts w:hint="cs"/>
          <w:u w:val="single"/>
          <w:rtl/>
        </w:rPr>
        <w:t xml:space="preserve">אדם שאיחר לבהכ"נ והקהל עוד מעט </w:t>
      </w:r>
      <w:r>
        <w:rPr>
          <w:rFonts w:hint="cs"/>
          <w:u w:val="single"/>
          <w:rtl/>
        </w:rPr>
        <w:t xml:space="preserve">אומרים </w:t>
      </w:r>
      <w:r w:rsidRPr="00AC0873">
        <w:rPr>
          <w:rFonts w:hint="cs"/>
          <w:u w:val="single"/>
          <w:rtl/>
        </w:rPr>
        <w:t>ברכו</w:t>
      </w:r>
      <w:r>
        <w:rPr>
          <w:rFonts w:hint="cs"/>
          <w:u w:val="single"/>
          <w:rtl/>
        </w:rPr>
        <w:t xml:space="preserve"> -</w:t>
      </w:r>
      <w:r w:rsidRPr="00AC0873">
        <w:rPr>
          <w:rFonts w:hint="cs"/>
          <w:u w:val="single"/>
          <w:rtl/>
        </w:rPr>
        <w:t xml:space="preserve"> האם יתחיל מנחה:</w:t>
      </w:r>
    </w:p>
    <w:p w14:paraId="4A8BE7B3" w14:textId="77777777" w:rsidR="004B2E7C" w:rsidRPr="00EB4069" w:rsidRDefault="004B2E7C" w:rsidP="00FF2D21">
      <w:pPr>
        <w:pStyle w:val="aa"/>
        <w:numPr>
          <w:ilvl w:val="0"/>
          <w:numId w:val="87"/>
        </w:numPr>
      </w:pPr>
      <w:r>
        <w:rPr>
          <w:rFonts w:cs="Arial" w:hint="cs"/>
          <w:rtl/>
        </w:rPr>
        <w:t>תרוה"ד</w:t>
      </w:r>
      <w:r w:rsidRPr="00071B0A">
        <w:rPr>
          <w:rFonts w:cs="Arial"/>
          <w:rtl/>
        </w:rPr>
        <w:t xml:space="preserve"> </w:t>
      </w:r>
      <w:r w:rsidRPr="001D0479">
        <w:rPr>
          <w:rFonts w:cs="Arial" w:hint="cs"/>
          <w:sz w:val="16"/>
          <w:szCs w:val="16"/>
          <w:rtl/>
        </w:rPr>
        <w:t>(סי'</w:t>
      </w:r>
      <w:r w:rsidRPr="001D0479">
        <w:rPr>
          <w:rFonts w:cs="Arial"/>
          <w:sz w:val="16"/>
          <w:szCs w:val="16"/>
          <w:rtl/>
        </w:rPr>
        <w:t xml:space="preserve"> </w:t>
      </w:r>
      <w:r w:rsidRPr="001D0479">
        <w:rPr>
          <w:rFonts w:cs="Arial" w:hint="cs"/>
          <w:sz w:val="16"/>
          <w:szCs w:val="16"/>
          <w:rtl/>
        </w:rPr>
        <w:t>ד)</w:t>
      </w:r>
      <w:r>
        <w:rPr>
          <w:rFonts w:cs="Arial" w:hint="cs"/>
          <w:rtl/>
        </w:rPr>
        <w:t xml:space="preserve">- </w:t>
      </w:r>
      <w:r w:rsidRPr="00071B0A">
        <w:rPr>
          <w:rFonts w:cs="Arial" w:hint="cs"/>
          <w:rtl/>
        </w:rPr>
        <w:t>ונראה</w:t>
      </w:r>
      <w:r w:rsidRPr="00071B0A">
        <w:rPr>
          <w:rFonts w:cs="Arial"/>
          <w:rtl/>
        </w:rPr>
        <w:t xml:space="preserve"> </w:t>
      </w:r>
      <w:r w:rsidRPr="00071B0A">
        <w:rPr>
          <w:rFonts w:cs="Arial" w:hint="cs"/>
          <w:rtl/>
        </w:rPr>
        <w:t>לי</w:t>
      </w:r>
      <w:r w:rsidRPr="00071B0A">
        <w:rPr>
          <w:rFonts w:cs="Arial"/>
          <w:rtl/>
        </w:rPr>
        <w:t xml:space="preserve"> </w:t>
      </w:r>
      <w:r w:rsidRPr="00071B0A">
        <w:rPr>
          <w:rFonts w:cs="Arial" w:hint="cs"/>
          <w:rtl/>
        </w:rPr>
        <w:t>שאם</w:t>
      </w:r>
      <w:r w:rsidRPr="00071B0A">
        <w:rPr>
          <w:rFonts w:cs="Arial"/>
          <w:rtl/>
        </w:rPr>
        <w:t xml:space="preserve"> </w:t>
      </w:r>
      <w:r w:rsidRPr="00071B0A">
        <w:rPr>
          <w:rFonts w:cs="Arial" w:hint="cs"/>
          <w:rtl/>
        </w:rPr>
        <w:t>יבוא</w:t>
      </w:r>
      <w:r w:rsidRPr="00071B0A">
        <w:rPr>
          <w:rFonts w:cs="Arial"/>
          <w:rtl/>
        </w:rPr>
        <w:t xml:space="preserve"> </w:t>
      </w:r>
      <w:r w:rsidRPr="00071B0A">
        <w:rPr>
          <w:rFonts w:cs="Arial" w:hint="cs"/>
          <w:rtl/>
        </w:rPr>
        <w:t>אחד</w:t>
      </w:r>
      <w:r w:rsidRPr="00071B0A">
        <w:rPr>
          <w:rFonts w:cs="Arial"/>
          <w:rtl/>
        </w:rPr>
        <w:t xml:space="preserve"> </w:t>
      </w:r>
      <w:r w:rsidRPr="00071B0A">
        <w:rPr>
          <w:rFonts w:cs="Arial" w:hint="cs"/>
          <w:rtl/>
        </w:rPr>
        <w:t>לבית</w:t>
      </w:r>
      <w:r w:rsidRPr="00071B0A">
        <w:rPr>
          <w:rFonts w:cs="Arial"/>
          <w:rtl/>
        </w:rPr>
        <w:t xml:space="preserve"> </w:t>
      </w:r>
      <w:r w:rsidRPr="00071B0A">
        <w:rPr>
          <w:rFonts w:cs="Arial" w:hint="cs"/>
          <w:rtl/>
        </w:rPr>
        <w:t>הכנסת</w:t>
      </w:r>
      <w:r w:rsidRPr="00071B0A">
        <w:rPr>
          <w:rFonts w:cs="Arial"/>
          <w:rtl/>
        </w:rPr>
        <w:t xml:space="preserve"> </w:t>
      </w:r>
      <w:r w:rsidRPr="00071B0A">
        <w:rPr>
          <w:rFonts w:cs="Arial" w:hint="cs"/>
          <w:rtl/>
        </w:rPr>
        <w:t>סמוך</w:t>
      </w:r>
      <w:r w:rsidRPr="00071B0A">
        <w:rPr>
          <w:rFonts w:cs="Arial"/>
          <w:rtl/>
        </w:rPr>
        <w:t xml:space="preserve"> </w:t>
      </w:r>
      <w:r w:rsidRPr="00071B0A">
        <w:rPr>
          <w:rFonts w:cs="Arial" w:hint="cs"/>
          <w:rtl/>
        </w:rPr>
        <w:t>לברכו</w:t>
      </w:r>
      <w:r w:rsidRPr="00071B0A">
        <w:rPr>
          <w:rFonts w:cs="Arial"/>
          <w:rtl/>
        </w:rPr>
        <w:t xml:space="preserve"> </w:t>
      </w:r>
      <w:r w:rsidRPr="00071B0A">
        <w:rPr>
          <w:rFonts w:cs="Arial" w:hint="cs"/>
          <w:rtl/>
        </w:rPr>
        <w:t>לא</w:t>
      </w:r>
      <w:r w:rsidRPr="00071B0A">
        <w:rPr>
          <w:rFonts w:cs="Arial"/>
          <w:rtl/>
        </w:rPr>
        <w:t xml:space="preserve"> </w:t>
      </w:r>
      <w:r w:rsidRPr="00071B0A">
        <w:rPr>
          <w:rFonts w:cs="Arial" w:hint="cs"/>
          <w:rtl/>
        </w:rPr>
        <w:t>ימתין</w:t>
      </w:r>
      <w:r w:rsidRPr="00071B0A">
        <w:rPr>
          <w:rFonts w:cs="Arial"/>
          <w:rtl/>
        </w:rPr>
        <w:t xml:space="preserve"> </w:t>
      </w:r>
      <w:r w:rsidRPr="00071B0A">
        <w:rPr>
          <w:rFonts w:cs="Arial" w:hint="cs"/>
          <w:rtl/>
        </w:rPr>
        <w:t>מלהתפלל</w:t>
      </w:r>
      <w:r w:rsidRPr="00071B0A">
        <w:rPr>
          <w:rFonts w:cs="Arial"/>
          <w:rtl/>
        </w:rPr>
        <w:t xml:space="preserve"> </w:t>
      </w:r>
      <w:r w:rsidRPr="00071B0A">
        <w:rPr>
          <w:rFonts w:cs="Arial" w:hint="cs"/>
          <w:rtl/>
        </w:rPr>
        <w:t>עד</w:t>
      </w:r>
      <w:r w:rsidRPr="00071B0A">
        <w:rPr>
          <w:rFonts w:cs="Arial"/>
          <w:rtl/>
        </w:rPr>
        <w:t xml:space="preserve"> </w:t>
      </w:r>
      <w:r w:rsidRPr="00071B0A">
        <w:rPr>
          <w:rFonts w:cs="Arial" w:hint="cs"/>
          <w:rtl/>
        </w:rPr>
        <w:t>לאחר</w:t>
      </w:r>
      <w:r w:rsidRPr="00071B0A">
        <w:rPr>
          <w:rFonts w:cs="Arial"/>
          <w:rtl/>
        </w:rPr>
        <w:t xml:space="preserve"> </w:t>
      </w:r>
      <w:r w:rsidRPr="00071B0A">
        <w:rPr>
          <w:rFonts w:cs="Arial" w:hint="cs"/>
          <w:rtl/>
        </w:rPr>
        <w:t>ברכו</w:t>
      </w:r>
      <w:r w:rsidRPr="00071B0A">
        <w:rPr>
          <w:rFonts w:cs="Arial"/>
          <w:rtl/>
        </w:rPr>
        <w:t xml:space="preserve"> </w:t>
      </w:r>
      <w:r w:rsidRPr="00071B0A">
        <w:rPr>
          <w:rFonts w:cs="Arial" w:hint="cs"/>
          <w:rtl/>
        </w:rPr>
        <w:t>בשביל</w:t>
      </w:r>
      <w:r w:rsidRPr="00071B0A">
        <w:rPr>
          <w:rFonts w:cs="Arial"/>
          <w:rtl/>
        </w:rPr>
        <w:t xml:space="preserve"> </w:t>
      </w:r>
      <w:r w:rsidRPr="00071B0A">
        <w:rPr>
          <w:rFonts w:cs="Arial" w:hint="cs"/>
          <w:rtl/>
        </w:rPr>
        <w:t>עניית</w:t>
      </w:r>
      <w:r w:rsidRPr="00071B0A">
        <w:rPr>
          <w:rFonts w:cs="Arial"/>
          <w:rtl/>
        </w:rPr>
        <w:t xml:space="preserve"> </w:t>
      </w:r>
      <w:r w:rsidRPr="00071B0A">
        <w:rPr>
          <w:rFonts w:cs="Arial" w:hint="cs"/>
          <w:rtl/>
        </w:rPr>
        <w:t>ברכו</w:t>
      </w:r>
      <w:r>
        <w:rPr>
          <w:rFonts w:cs="Arial" w:hint="cs"/>
          <w:rtl/>
        </w:rPr>
        <w:t>,</w:t>
      </w:r>
      <w:r w:rsidRPr="00071B0A">
        <w:rPr>
          <w:rFonts w:cs="Arial"/>
          <w:rtl/>
        </w:rPr>
        <w:t xml:space="preserve"> </w:t>
      </w:r>
      <w:r w:rsidRPr="00071B0A">
        <w:rPr>
          <w:rFonts w:cs="Arial" w:hint="cs"/>
          <w:rtl/>
        </w:rPr>
        <w:t>דכיון</w:t>
      </w:r>
      <w:r w:rsidRPr="00071B0A">
        <w:rPr>
          <w:rFonts w:cs="Arial"/>
          <w:rtl/>
        </w:rPr>
        <w:t xml:space="preserve"> </w:t>
      </w:r>
      <w:r w:rsidRPr="00071B0A">
        <w:rPr>
          <w:rFonts w:cs="Arial" w:hint="cs"/>
          <w:rtl/>
        </w:rPr>
        <w:t>דשעה</w:t>
      </w:r>
      <w:r w:rsidRPr="00071B0A">
        <w:rPr>
          <w:rFonts w:cs="Arial"/>
          <w:rtl/>
        </w:rPr>
        <w:t xml:space="preserve"> </w:t>
      </w:r>
      <w:r w:rsidRPr="00071B0A">
        <w:rPr>
          <w:rFonts w:cs="Arial" w:hint="cs"/>
          <w:rtl/>
        </w:rPr>
        <w:t>עוברת</w:t>
      </w:r>
      <w:r w:rsidRPr="00071B0A">
        <w:rPr>
          <w:rFonts w:cs="Arial"/>
          <w:rtl/>
        </w:rPr>
        <w:t xml:space="preserve"> </w:t>
      </w:r>
      <w:r w:rsidRPr="00071B0A">
        <w:rPr>
          <w:rFonts w:cs="Arial" w:hint="cs"/>
          <w:rtl/>
        </w:rPr>
        <w:t>לתפלת</w:t>
      </w:r>
      <w:r w:rsidRPr="00071B0A">
        <w:rPr>
          <w:rFonts w:cs="Arial"/>
          <w:rtl/>
        </w:rPr>
        <w:t xml:space="preserve"> </w:t>
      </w:r>
      <w:r w:rsidRPr="00071B0A">
        <w:rPr>
          <w:rFonts w:cs="Arial" w:hint="cs"/>
          <w:rtl/>
        </w:rPr>
        <w:t>מנחה</w:t>
      </w:r>
      <w:r w:rsidRPr="00071B0A">
        <w:rPr>
          <w:rFonts w:cs="Arial"/>
          <w:rtl/>
        </w:rPr>
        <w:t xml:space="preserve"> </w:t>
      </w:r>
      <w:r w:rsidRPr="00071B0A">
        <w:rPr>
          <w:rFonts w:cs="Arial" w:hint="cs"/>
          <w:rtl/>
        </w:rPr>
        <w:t>אם</w:t>
      </w:r>
      <w:r w:rsidRPr="00071B0A">
        <w:rPr>
          <w:rFonts w:cs="Arial"/>
          <w:rtl/>
        </w:rPr>
        <w:t xml:space="preserve"> </w:t>
      </w:r>
      <w:r w:rsidRPr="00071B0A">
        <w:rPr>
          <w:rFonts w:cs="Arial" w:hint="cs"/>
          <w:rtl/>
        </w:rPr>
        <w:t>יענה</w:t>
      </w:r>
      <w:r w:rsidRPr="00071B0A">
        <w:rPr>
          <w:rFonts w:cs="Arial"/>
          <w:rtl/>
        </w:rPr>
        <w:t xml:space="preserve"> </w:t>
      </w:r>
      <w:r w:rsidRPr="00071B0A">
        <w:rPr>
          <w:rFonts w:cs="Arial" w:hint="cs"/>
          <w:rtl/>
        </w:rPr>
        <w:t>ברכו</w:t>
      </w:r>
      <w:r w:rsidRPr="00071B0A">
        <w:rPr>
          <w:rFonts w:cs="Arial"/>
          <w:rtl/>
        </w:rPr>
        <w:t xml:space="preserve"> </w:t>
      </w:r>
      <w:r w:rsidRPr="00071B0A">
        <w:rPr>
          <w:rFonts w:cs="Arial" w:hint="cs"/>
          <w:rtl/>
        </w:rPr>
        <w:t>אין</w:t>
      </w:r>
      <w:r w:rsidRPr="00071B0A">
        <w:rPr>
          <w:rFonts w:cs="Arial"/>
          <w:rtl/>
        </w:rPr>
        <w:t xml:space="preserve"> </w:t>
      </w:r>
      <w:r w:rsidRPr="00071B0A">
        <w:rPr>
          <w:rFonts w:cs="Arial" w:hint="cs"/>
          <w:rtl/>
        </w:rPr>
        <w:t>להקפיד</w:t>
      </w:r>
      <w:r w:rsidRPr="00071B0A">
        <w:rPr>
          <w:rFonts w:cs="Arial"/>
          <w:rtl/>
        </w:rPr>
        <w:t xml:space="preserve"> </w:t>
      </w:r>
      <w:r w:rsidRPr="00071B0A">
        <w:rPr>
          <w:rFonts w:cs="Arial" w:hint="cs"/>
          <w:rtl/>
        </w:rPr>
        <w:t>אם</w:t>
      </w:r>
      <w:r w:rsidRPr="00071B0A">
        <w:rPr>
          <w:rFonts w:cs="Arial"/>
          <w:rtl/>
        </w:rPr>
        <w:t xml:space="preserve"> </w:t>
      </w:r>
      <w:r w:rsidRPr="00071B0A">
        <w:rPr>
          <w:rFonts w:cs="Arial" w:hint="cs"/>
          <w:rtl/>
        </w:rPr>
        <w:t>לא</w:t>
      </w:r>
      <w:r w:rsidRPr="00071B0A">
        <w:rPr>
          <w:rFonts w:cs="Arial"/>
          <w:rtl/>
        </w:rPr>
        <w:t xml:space="preserve"> </w:t>
      </w:r>
      <w:r w:rsidRPr="00071B0A">
        <w:rPr>
          <w:rFonts w:cs="Arial" w:hint="cs"/>
          <w:rtl/>
        </w:rPr>
        <w:t>יענה</w:t>
      </w:r>
      <w:r w:rsidRPr="00071B0A">
        <w:rPr>
          <w:rFonts w:cs="Arial"/>
          <w:rtl/>
        </w:rPr>
        <w:t xml:space="preserve"> </w:t>
      </w:r>
      <w:r w:rsidRPr="00071B0A">
        <w:rPr>
          <w:rFonts w:cs="Arial" w:hint="cs"/>
          <w:rtl/>
        </w:rPr>
        <w:t>ברכו</w:t>
      </w:r>
      <w:r>
        <w:rPr>
          <w:rFonts w:cs="Arial" w:hint="cs"/>
          <w:rtl/>
        </w:rPr>
        <w:t>.</w:t>
      </w:r>
      <w:r w:rsidRPr="00071B0A">
        <w:rPr>
          <w:rFonts w:cs="Arial"/>
          <w:rtl/>
        </w:rPr>
        <w:t xml:space="preserve"> </w:t>
      </w:r>
      <w:r w:rsidRPr="00071B0A">
        <w:rPr>
          <w:rFonts w:cs="Arial" w:hint="cs"/>
          <w:rtl/>
        </w:rPr>
        <w:t>והכי</w:t>
      </w:r>
      <w:r w:rsidRPr="00071B0A">
        <w:rPr>
          <w:rFonts w:cs="Arial"/>
          <w:rtl/>
        </w:rPr>
        <w:t xml:space="preserve"> </w:t>
      </w:r>
      <w:r w:rsidRPr="00071B0A">
        <w:rPr>
          <w:rFonts w:cs="Arial" w:hint="cs"/>
          <w:rtl/>
        </w:rPr>
        <w:t>איתא</w:t>
      </w:r>
      <w:r w:rsidRPr="00071B0A">
        <w:rPr>
          <w:rFonts w:cs="Arial"/>
          <w:rtl/>
        </w:rPr>
        <w:t xml:space="preserve"> </w:t>
      </w:r>
      <w:r w:rsidRPr="00071B0A">
        <w:rPr>
          <w:rFonts w:cs="Arial" w:hint="cs"/>
          <w:rtl/>
        </w:rPr>
        <w:t>בהדיא</w:t>
      </w:r>
      <w:r w:rsidRPr="00071B0A">
        <w:rPr>
          <w:rFonts w:cs="Arial"/>
          <w:rtl/>
        </w:rPr>
        <w:t xml:space="preserve"> </w:t>
      </w:r>
      <w:r w:rsidRPr="00071B0A">
        <w:rPr>
          <w:rFonts w:cs="Arial" w:hint="cs"/>
          <w:rtl/>
        </w:rPr>
        <w:t>בסמ</w:t>
      </w:r>
      <w:r w:rsidRPr="00071B0A">
        <w:rPr>
          <w:rFonts w:cs="Arial"/>
          <w:rtl/>
        </w:rPr>
        <w:t>"</w:t>
      </w:r>
      <w:r w:rsidRPr="00071B0A">
        <w:rPr>
          <w:rFonts w:cs="Arial" w:hint="cs"/>
          <w:rtl/>
        </w:rPr>
        <w:t>ק</w:t>
      </w:r>
      <w:r w:rsidRPr="00071B0A">
        <w:rPr>
          <w:rFonts w:cs="Arial"/>
          <w:rtl/>
        </w:rPr>
        <w:t xml:space="preserve"> </w:t>
      </w:r>
      <w:r w:rsidRPr="00071B0A">
        <w:rPr>
          <w:rFonts w:cs="Arial" w:hint="cs"/>
          <w:rtl/>
        </w:rPr>
        <w:t>במצות</w:t>
      </w:r>
      <w:r w:rsidRPr="00071B0A">
        <w:rPr>
          <w:rFonts w:cs="Arial"/>
          <w:rtl/>
        </w:rPr>
        <w:t xml:space="preserve"> </w:t>
      </w:r>
      <w:r w:rsidRPr="00071B0A">
        <w:rPr>
          <w:rFonts w:cs="Arial" w:hint="cs"/>
          <w:rtl/>
        </w:rPr>
        <w:t>תפלה</w:t>
      </w:r>
      <w:r w:rsidRPr="00071B0A">
        <w:rPr>
          <w:rFonts w:cs="Arial"/>
          <w:rtl/>
        </w:rPr>
        <w:t xml:space="preserve"> (</w:t>
      </w:r>
      <w:r w:rsidRPr="00071B0A">
        <w:rPr>
          <w:rFonts w:cs="Arial" w:hint="cs"/>
          <w:rtl/>
        </w:rPr>
        <w:t>סי</w:t>
      </w:r>
      <w:r w:rsidRPr="00071B0A">
        <w:rPr>
          <w:rFonts w:cs="Arial"/>
          <w:rtl/>
        </w:rPr>
        <w:t xml:space="preserve">' </w:t>
      </w:r>
      <w:r w:rsidRPr="00071B0A">
        <w:rPr>
          <w:rFonts w:cs="Arial" w:hint="cs"/>
          <w:rtl/>
        </w:rPr>
        <w:t>יא</w:t>
      </w:r>
      <w:r w:rsidRPr="00071B0A">
        <w:rPr>
          <w:rFonts w:cs="Arial"/>
          <w:rtl/>
        </w:rPr>
        <w:t xml:space="preserve"> </w:t>
      </w:r>
      <w:r w:rsidRPr="00071B0A">
        <w:rPr>
          <w:rFonts w:cs="Arial" w:hint="cs"/>
          <w:rtl/>
        </w:rPr>
        <w:t>ריש</w:t>
      </w:r>
      <w:r w:rsidRPr="00071B0A">
        <w:rPr>
          <w:rFonts w:cs="Arial"/>
          <w:rtl/>
        </w:rPr>
        <w:t xml:space="preserve"> </w:t>
      </w:r>
      <w:r w:rsidRPr="00071B0A">
        <w:rPr>
          <w:rFonts w:cs="Arial" w:hint="cs"/>
          <w:rtl/>
        </w:rPr>
        <w:t>ע</w:t>
      </w:r>
      <w:r w:rsidRPr="00071B0A">
        <w:rPr>
          <w:rFonts w:cs="Arial"/>
          <w:rtl/>
        </w:rPr>
        <w:t xml:space="preserve">' </w:t>
      </w:r>
      <w:r w:rsidRPr="00071B0A">
        <w:rPr>
          <w:rFonts w:cs="Arial" w:hint="cs"/>
          <w:rtl/>
        </w:rPr>
        <w:t>יד</w:t>
      </w:r>
      <w:r w:rsidRPr="00071B0A">
        <w:rPr>
          <w:rFonts w:cs="Arial"/>
          <w:rtl/>
        </w:rPr>
        <w:t xml:space="preserve">) </w:t>
      </w:r>
      <w:r w:rsidRPr="00071B0A">
        <w:rPr>
          <w:rFonts w:cs="Arial" w:hint="cs"/>
          <w:rtl/>
        </w:rPr>
        <w:t>אעניית</w:t>
      </w:r>
      <w:r w:rsidRPr="00071B0A">
        <w:rPr>
          <w:rFonts w:cs="Arial"/>
          <w:rtl/>
        </w:rPr>
        <w:t xml:space="preserve"> </w:t>
      </w:r>
      <w:r w:rsidRPr="00071B0A">
        <w:rPr>
          <w:rFonts w:cs="Arial" w:hint="cs"/>
          <w:rtl/>
        </w:rPr>
        <w:t>מודים</w:t>
      </w:r>
      <w:r w:rsidRPr="00071B0A">
        <w:rPr>
          <w:rFonts w:cs="Arial"/>
          <w:rtl/>
        </w:rPr>
        <w:t xml:space="preserve"> </w:t>
      </w:r>
      <w:r w:rsidRPr="00071B0A">
        <w:rPr>
          <w:rFonts w:cs="Arial" w:hint="cs"/>
          <w:rtl/>
        </w:rPr>
        <w:t>עם</w:t>
      </w:r>
      <w:r w:rsidRPr="00071B0A">
        <w:rPr>
          <w:rFonts w:cs="Arial"/>
          <w:rtl/>
        </w:rPr>
        <w:t xml:space="preserve"> </w:t>
      </w:r>
      <w:r w:rsidRPr="00071B0A">
        <w:rPr>
          <w:rFonts w:cs="Arial" w:hint="cs"/>
          <w:rtl/>
        </w:rPr>
        <w:t>הציבור</w:t>
      </w:r>
      <w:r>
        <w:rPr>
          <w:rFonts w:cs="Arial" w:hint="cs"/>
          <w:rtl/>
        </w:rPr>
        <w:t>.</w:t>
      </w:r>
      <w:r w:rsidRPr="00071B0A">
        <w:rPr>
          <w:rFonts w:cs="Arial"/>
          <w:rtl/>
        </w:rPr>
        <w:t xml:space="preserve"> </w:t>
      </w:r>
      <w:r w:rsidRPr="00071B0A">
        <w:rPr>
          <w:rFonts w:cs="Arial" w:hint="cs"/>
          <w:rtl/>
        </w:rPr>
        <w:t>וא</w:t>
      </w:r>
      <w:r>
        <w:rPr>
          <w:rFonts w:cs="Arial" w:hint="cs"/>
          <w:rtl/>
        </w:rPr>
        <w:t>ע"פ</w:t>
      </w:r>
      <w:r w:rsidRPr="00071B0A">
        <w:rPr>
          <w:rFonts w:cs="Arial"/>
          <w:rtl/>
        </w:rPr>
        <w:t xml:space="preserve"> </w:t>
      </w:r>
      <w:r w:rsidRPr="00071B0A">
        <w:rPr>
          <w:rFonts w:cs="Arial" w:hint="cs"/>
          <w:rtl/>
        </w:rPr>
        <w:t>שלא</w:t>
      </w:r>
      <w:r w:rsidRPr="00071B0A">
        <w:rPr>
          <w:rFonts w:cs="Arial"/>
          <w:rtl/>
        </w:rPr>
        <w:t xml:space="preserve"> </w:t>
      </w:r>
      <w:r w:rsidRPr="00071B0A">
        <w:rPr>
          <w:rFonts w:cs="Arial" w:hint="cs"/>
          <w:rtl/>
        </w:rPr>
        <w:t>יוכל</w:t>
      </w:r>
      <w:r w:rsidRPr="00071B0A">
        <w:rPr>
          <w:rFonts w:cs="Arial"/>
          <w:rtl/>
        </w:rPr>
        <w:t xml:space="preserve"> </w:t>
      </w:r>
      <w:r w:rsidRPr="00071B0A">
        <w:rPr>
          <w:rFonts w:cs="Arial" w:hint="cs"/>
          <w:rtl/>
        </w:rPr>
        <w:t>לגמור</w:t>
      </w:r>
      <w:r w:rsidRPr="00071B0A">
        <w:rPr>
          <w:rFonts w:cs="Arial"/>
          <w:rtl/>
        </w:rPr>
        <w:t xml:space="preserve"> </w:t>
      </w:r>
      <w:r w:rsidRPr="00071B0A">
        <w:rPr>
          <w:rFonts w:cs="Arial" w:hint="cs"/>
          <w:rtl/>
        </w:rPr>
        <w:t>חצי</w:t>
      </w:r>
      <w:r w:rsidRPr="00071B0A">
        <w:rPr>
          <w:rFonts w:cs="Arial"/>
          <w:rtl/>
        </w:rPr>
        <w:t xml:space="preserve"> </w:t>
      </w:r>
      <w:r w:rsidRPr="00071B0A">
        <w:rPr>
          <w:rFonts w:cs="Arial" w:hint="cs"/>
          <w:rtl/>
        </w:rPr>
        <w:t>תפלת</w:t>
      </w:r>
      <w:r w:rsidRPr="00071B0A">
        <w:rPr>
          <w:rFonts w:cs="Arial"/>
          <w:rtl/>
        </w:rPr>
        <w:t xml:space="preserve"> </w:t>
      </w:r>
      <w:r w:rsidRPr="00071B0A">
        <w:rPr>
          <w:rFonts w:cs="Arial" w:hint="cs"/>
          <w:rtl/>
        </w:rPr>
        <w:t>המנחה</w:t>
      </w:r>
      <w:r w:rsidRPr="00071B0A">
        <w:rPr>
          <w:rFonts w:cs="Arial"/>
          <w:rtl/>
        </w:rPr>
        <w:t xml:space="preserve"> </w:t>
      </w:r>
      <w:r w:rsidRPr="00071B0A">
        <w:rPr>
          <w:rFonts w:cs="Arial" w:hint="cs"/>
          <w:rtl/>
        </w:rPr>
        <w:t>קודם</w:t>
      </w:r>
      <w:r w:rsidRPr="00071B0A">
        <w:rPr>
          <w:rFonts w:cs="Arial"/>
          <w:rtl/>
        </w:rPr>
        <w:t xml:space="preserve"> </w:t>
      </w:r>
      <w:r w:rsidRPr="00071B0A">
        <w:rPr>
          <w:rFonts w:cs="Arial" w:hint="cs"/>
          <w:rtl/>
        </w:rPr>
        <w:t>ברכו</w:t>
      </w:r>
      <w:r w:rsidRPr="00071B0A">
        <w:rPr>
          <w:rFonts w:cs="Arial"/>
          <w:rtl/>
        </w:rPr>
        <w:t xml:space="preserve"> </w:t>
      </w:r>
      <w:r w:rsidRPr="00071B0A">
        <w:rPr>
          <w:rFonts w:cs="Arial" w:hint="cs"/>
          <w:rtl/>
        </w:rPr>
        <w:t>ונמצא</w:t>
      </w:r>
      <w:r w:rsidRPr="00071B0A">
        <w:rPr>
          <w:rFonts w:cs="Arial"/>
          <w:rtl/>
        </w:rPr>
        <w:t xml:space="preserve"> </w:t>
      </w:r>
      <w:r w:rsidRPr="00071B0A">
        <w:rPr>
          <w:rFonts w:cs="Arial" w:hint="cs"/>
          <w:rtl/>
        </w:rPr>
        <w:t>מתפלל</w:t>
      </w:r>
      <w:r w:rsidRPr="00071B0A">
        <w:rPr>
          <w:rFonts w:cs="Arial"/>
          <w:rtl/>
        </w:rPr>
        <w:t xml:space="preserve"> </w:t>
      </w:r>
      <w:r w:rsidRPr="00071B0A">
        <w:rPr>
          <w:rFonts w:cs="Arial" w:hint="cs"/>
          <w:rtl/>
        </w:rPr>
        <w:t>מקצת</w:t>
      </w:r>
      <w:r w:rsidRPr="00071B0A">
        <w:rPr>
          <w:rFonts w:cs="Arial"/>
          <w:rtl/>
        </w:rPr>
        <w:t xml:space="preserve"> </w:t>
      </w:r>
      <w:r w:rsidRPr="00071B0A">
        <w:rPr>
          <w:rFonts w:cs="Arial" w:hint="cs"/>
          <w:rtl/>
        </w:rPr>
        <w:t>תפלת</w:t>
      </w:r>
      <w:r w:rsidRPr="00071B0A">
        <w:rPr>
          <w:rFonts w:cs="Arial"/>
          <w:rtl/>
        </w:rPr>
        <w:t xml:space="preserve"> </w:t>
      </w:r>
      <w:r w:rsidRPr="00071B0A">
        <w:rPr>
          <w:rFonts w:cs="Arial" w:hint="cs"/>
          <w:rtl/>
        </w:rPr>
        <w:t>חול</w:t>
      </w:r>
      <w:r w:rsidRPr="00071B0A">
        <w:rPr>
          <w:rFonts w:cs="Arial"/>
          <w:rtl/>
        </w:rPr>
        <w:t xml:space="preserve"> </w:t>
      </w:r>
      <w:r w:rsidRPr="00071B0A">
        <w:rPr>
          <w:rFonts w:cs="Arial" w:hint="cs"/>
          <w:rtl/>
        </w:rPr>
        <w:t>באותו</w:t>
      </w:r>
      <w:r w:rsidRPr="00071B0A">
        <w:rPr>
          <w:rFonts w:cs="Arial"/>
          <w:rtl/>
        </w:rPr>
        <w:t xml:space="preserve"> </w:t>
      </w:r>
      <w:r w:rsidRPr="00071B0A">
        <w:rPr>
          <w:rFonts w:cs="Arial" w:hint="cs"/>
          <w:rtl/>
        </w:rPr>
        <w:t>בית</w:t>
      </w:r>
      <w:r w:rsidRPr="00071B0A">
        <w:rPr>
          <w:rFonts w:cs="Arial"/>
          <w:rtl/>
        </w:rPr>
        <w:t xml:space="preserve"> </w:t>
      </w:r>
      <w:r w:rsidRPr="00071B0A">
        <w:rPr>
          <w:rFonts w:cs="Arial" w:hint="cs"/>
          <w:rtl/>
        </w:rPr>
        <w:t>הכנסת</w:t>
      </w:r>
      <w:r w:rsidRPr="00071B0A">
        <w:rPr>
          <w:rFonts w:cs="Arial"/>
          <w:rtl/>
        </w:rPr>
        <w:t xml:space="preserve"> </w:t>
      </w:r>
      <w:r w:rsidRPr="00071B0A">
        <w:rPr>
          <w:rFonts w:cs="Arial" w:hint="cs"/>
          <w:rtl/>
        </w:rPr>
        <w:t>שבו</w:t>
      </w:r>
      <w:r w:rsidRPr="00071B0A">
        <w:rPr>
          <w:rFonts w:cs="Arial"/>
          <w:rtl/>
        </w:rPr>
        <w:t xml:space="preserve"> </w:t>
      </w:r>
      <w:r w:rsidRPr="00071B0A">
        <w:rPr>
          <w:rFonts w:cs="Arial" w:hint="cs"/>
          <w:rtl/>
        </w:rPr>
        <w:t>הציבור</w:t>
      </w:r>
      <w:r w:rsidRPr="00071B0A">
        <w:rPr>
          <w:rFonts w:cs="Arial"/>
          <w:rtl/>
        </w:rPr>
        <w:t xml:space="preserve"> </w:t>
      </w:r>
      <w:r w:rsidRPr="00071B0A">
        <w:rPr>
          <w:rFonts w:cs="Arial" w:hint="cs"/>
          <w:rtl/>
        </w:rPr>
        <w:t>ושלוחם</w:t>
      </w:r>
      <w:r w:rsidRPr="00071B0A">
        <w:rPr>
          <w:rFonts w:cs="Arial"/>
          <w:rtl/>
        </w:rPr>
        <w:t xml:space="preserve"> </w:t>
      </w:r>
      <w:r w:rsidRPr="00071B0A">
        <w:rPr>
          <w:rFonts w:cs="Arial" w:hint="cs"/>
          <w:rtl/>
        </w:rPr>
        <w:t>שענו</w:t>
      </w:r>
      <w:r w:rsidRPr="00071B0A">
        <w:rPr>
          <w:rFonts w:cs="Arial"/>
          <w:rtl/>
        </w:rPr>
        <w:t xml:space="preserve"> </w:t>
      </w:r>
      <w:r w:rsidRPr="00071B0A">
        <w:rPr>
          <w:rFonts w:cs="Arial" w:hint="cs"/>
          <w:rtl/>
        </w:rPr>
        <w:t>כבר</w:t>
      </w:r>
      <w:r w:rsidRPr="00071B0A">
        <w:rPr>
          <w:rFonts w:cs="Arial"/>
          <w:rtl/>
        </w:rPr>
        <w:t xml:space="preserve"> </w:t>
      </w:r>
      <w:r w:rsidRPr="00071B0A">
        <w:rPr>
          <w:rFonts w:cs="Arial" w:hint="cs"/>
          <w:rtl/>
        </w:rPr>
        <w:t>ברכו</w:t>
      </w:r>
      <w:r w:rsidRPr="00071B0A">
        <w:rPr>
          <w:rFonts w:cs="Arial"/>
          <w:rtl/>
        </w:rPr>
        <w:t xml:space="preserve"> </w:t>
      </w:r>
      <w:r w:rsidRPr="00071B0A">
        <w:rPr>
          <w:rFonts w:cs="Arial" w:hint="cs"/>
          <w:rtl/>
        </w:rPr>
        <w:t>וקדשו</w:t>
      </w:r>
      <w:r w:rsidRPr="00071B0A">
        <w:rPr>
          <w:rFonts w:cs="Arial"/>
          <w:rtl/>
        </w:rPr>
        <w:t xml:space="preserve"> </w:t>
      </w:r>
      <w:r w:rsidRPr="00071B0A">
        <w:rPr>
          <w:rFonts w:cs="Arial" w:hint="cs"/>
          <w:rtl/>
        </w:rPr>
        <w:t>היום</w:t>
      </w:r>
      <w:r>
        <w:rPr>
          <w:rFonts w:cs="Arial" w:hint="cs"/>
          <w:rtl/>
        </w:rPr>
        <w:t>,</w:t>
      </w:r>
      <w:r w:rsidRPr="00071B0A">
        <w:rPr>
          <w:rFonts w:cs="Arial"/>
          <w:rtl/>
        </w:rPr>
        <w:t xml:space="preserve"> </w:t>
      </w:r>
      <w:r w:rsidRPr="00071B0A">
        <w:rPr>
          <w:rFonts w:cs="Arial" w:hint="cs"/>
          <w:rtl/>
        </w:rPr>
        <w:t>מכל</w:t>
      </w:r>
      <w:r w:rsidRPr="00071B0A">
        <w:rPr>
          <w:rFonts w:cs="Arial"/>
          <w:rtl/>
        </w:rPr>
        <w:t xml:space="preserve"> </w:t>
      </w:r>
      <w:r w:rsidRPr="00071B0A">
        <w:rPr>
          <w:rFonts w:cs="Arial" w:hint="cs"/>
          <w:rtl/>
        </w:rPr>
        <w:t>מקום</w:t>
      </w:r>
      <w:r w:rsidRPr="00071B0A">
        <w:rPr>
          <w:rFonts w:cs="Arial"/>
          <w:rtl/>
        </w:rPr>
        <w:t xml:space="preserve"> </w:t>
      </w:r>
      <w:r w:rsidRPr="00071B0A">
        <w:rPr>
          <w:rFonts w:cs="Arial" w:hint="cs"/>
          <w:rtl/>
        </w:rPr>
        <w:t>הואיל</w:t>
      </w:r>
      <w:r w:rsidRPr="00071B0A">
        <w:rPr>
          <w:rFonts w:cs="Arial"/>
          <w:rtl/>
        </w:rPr>
        <w:t xml:space="preserve"> </w:t>
      </w:r>
      <w:r w:rsidRPr="00071B0A">
        <w:rPr>
          <w:rFonts w:cs="Arial" w:hint="cs"/>
          <w:rtl/>
        </w:rPr>
        <w:t>והתחיל</w:t>
      </w:r>
      <w:r w:rsidRPr="00071B0A">
        <w:rPr>
          <w:rFonts w:cs="Arial"/>
          <w:rtl/>
        </w:rPr>
        <w:t xml:space="preserve"> </w:t>
      </w:r>
      <w:r w:rsidRPr="00071B0A">
        <w:rPr>
          <w:rFonts w:cs="Arial" w:hint="cs"/>
          <w:rtl/>
        </w:rPr>
        <w:t>בהיתר</w:t>
      </w:r>
      <w:r w:rsidRPr="00071B0A">
        <w:rPr>
          <w:rFonts w:cs="Arial"/>
          <w:rtl/>
        </w:rPr>
        <w:t xml:space="preserve"> </w:t>
      </w:r>
      <w:r w:rsidRPr="00071B0A">
        <w:rPr>
          <w:rFonts w:cs="Arial" w:hint="cs"/>
          <w:rtl/>
        </w:rPr>
        <w:t>אין</w:t>
      </w:r>
      <w:r w:rsidRPr="00071B0A">
        <w:rPr>
          <w:rFonts w:cs="Arial"/>
          <w:rtl/>
        </w:rPr>
        <w:t xml:space="preserve"> </w:t>
      </w:r>
      <w:r w:rsidRPr="00071B0A">
        <w:rPr>
          <w:rFonts w:cs="Arial" w:hint="cs"/>
          <w:rtl/>
        </w:rPr>
        <w:t>נראה</w:t>
      </w:r>
      <w:r w:rsidRPr="00071B0A">
        <w:rPr>
          <w:rFonts w:cs="Arial"/>
          <w:rtl/>
        </w:rPr>
        <w:t xml:space="preserve"> </w:t>
      </w:r>
      <w:r w:rsidRPr="00071B0A">
        <w:rPr>
          <w:rFonts w:cs="Arial" w:hint="cs"/>
          <w:rtl/>
        </w:rPr>
        <w:t>דיש</w:t>
      </w:r>
      <w:r w:rsidRPr="00071B0A">
        <w:rPr>
          <w:rFonts w:cs="Arial"/>
          <w:rtl/>
        </w:rPr>
        <w:t xml:space="preserve"> </w:t>
      </w:r>
      <w:r w:rsidRPr="00071B0A">
        <w:rPr>
          <w:rFonts w:cs="Arial" w:hint="cs"/>
          <w:rtl/>
        </w:rPr>
        <w:t>קפידא</w:t>
      </w:r>
      <w:r w:rsidRPr="00071B0A">
        <w:rPr>
          <w:rFonts w:cs="Arial"/>
          <w:rtl/>
        </w:rPr>
        <w:t xml:space="preserve"> </w:t>
      </w:r>
      <w:r w:rsidRPr="00071B0A">
        <w:rPr>
          <w:rFonts w:cs="Arial" w:hint="cs"/>
          <w:rtl/>
        </w:rPr>
        <w:t>כולי</w:t>
      </w:r>
      <w:r w:rsidRPr="00071B0A">
        <w:rPr>
          <w:rFonts w:cs="Arial"/>
          <w:rtl/>
        </w:rPr>
        <w:t xml:space="preserve"> </w:t>
      </w:r>
      <w:r w:rsidRPr="00071B0A">
        <w:rPr>
          <w:rFonts w:cs="Arial" w:hint="cs"/>
          <w:rtl/>
        </w:rPr>
        <w:t>האי.</w:t>
      </w:r>
      <w:r w:rsidRPr="00071B0A">
        <w:rPr>
          <w:rFonts w:cs="Arial"/>
          <w:rtl/>
        </w:rPr>
        <w:t xml:space="preserve"> </w:t>
      </w:r>
      <w:r w:rsidRPr="00071B0A">
        <w:rPr>
          <w:rFonts w:cs="Arial" w:hint="cs"/>
          <w:rtl/>
        </w:rPr>
        <w:t>ואע"ג</w:t>
      </w:r>
      <w:r w:rsidRPr="00071B0A">
        <w:rPr>
          <w:rFonts w:cs="Arial"/>
          <w:rtl/>
        </w:rPr>
        <w:t xml:space="preserve"> </w:t>
      </w:r>
      <w:r w:rsidRPr="00071B0A">
        <w:rPr>
          <w:rFonts w:cs="Arial" w:hint="cs"/>
          <w:rtl/>
        </w:rPr>
        <w:t>דבפרק</w:t>
      </w:r>
      <w:r w:rsidRPr="00071B0A">
        <w:rPr>
          <w:rFonts w:cs="Arial"/>
          <w:rtl/>
        </w:rPr>
        <w:t xml:space="preserve"> </w:t>
      </w:r>
      <w:r w:rsidRPr="00071B0A">
        <w:rPr>
          <w:rFonts w:cs="Arial" w:hint="cs"/>
          <w:rtl/>
        </w:rPr>
        <w:t>ערבי</w:t>
      </w:r>
      <w:r w:rsidRPr="00071B0A">
        <w:rPr>
          <w:rFonts w:cs="Arial"/>
          <w:rtl/>
        </w:rPr>
        <w:t xml:space="preserve"> </w:t>
      </w:r>
      <w:r w:rsidRPr="00071B0A">
        <w:rPr>
          <w:rFonts w:cs="Arial" w:hint="cs"/>
          <w:rtl/>
        </w:rPr>
        <w:t>פסחים</w:t>
      </w:r>
      <w:r w:rsidRPr="00071B0A">
        <w:rPr>
          <w:rFonts w:cs="Arial"/>
          <w:rtl/>
        </w:rPr>
        <w:t xml:space="preserve"> (</w:t>
      </w:r>
      <w:r w:rsidRPr="00071B0A">
        <w:rPr>
          <w:rFonts w:cs="Arial" w:hint="cs"/>
          <w:rtl/>
        </w:rPr>
        <w:t>קז</w:t>
      </w:r>
      <w:r w:rsidRPr="00071B0A">
        <w:rPr>
          <w:rFonts w:cs="Arial"/>
          <w:rtl/>
        </w:rPr>
        <w:t xml:space="preserve">:) </w:t>
      </w:r>
      <w:r w:rsidRPr="00071B0A">
        <w:rPr>
          <w:rFonts w:cs="Arial" w:hint="cs"/>
          <w:rtl/>
        </w:rPr>
        <w:t>פירש</w:t>
      </w:r>
      <w:r w:rsidRPr="00071B0A">
        <w:rPr>
          <w:rFonts w:cs="Arial"/>
          <w:rtl/>
        </w:rPr>
        <w:t xml:space="preserve"> </w:t>
      </w:r>
      <w:r w:rsidRPr="00071B0A">
        <w:rPr>
          <w:rFonts w:cs="Arial" w:hint="cs"/>
          <w:rtl/>
        </w:rPr>
        <w:t>רשב</w:t>
      </w:r>
      <w:r w:rsidRPr="00071B0A">
        <w:rPr>
          <w:rFonts w:cs="Arial"/>
          <w:rtl/>
        </w:rPr>
        <w:t>"</w:t>
      </w:r>
      <w:r w:rsidRPr="00071B0A">
        <w:rPr>
          <w:rFonts w:cs="Arial" w:hint="cs"/>
          <w:rtl/>
        </w:rPr>
        <w:t>ם</w:t>
      </w:r>
      <w:r w:rsidRPr="00071B0A">
        <w:rPr>
          <w:rFonts w:cs="Arial"/>
          <w:rtl/>
        </w:rPr>
        <w:t xml:space="preserve"> (</w:t>
      </w:r>
      <w:r w:rsidRPr="00071B0A">
        <w:rPr>
          <w:rFonts w:cs="Arial" w:hint="cs"/>
          <w:rtl/>
        </w:rPr>
        <w:t>ד</w:t>
      </w:r>
      <w:r w:rsidRPr="00071B0A">
        <w:rPr>
          <w:rFonts w:cs="Arial"/>
          <w:rtl/>
        </w:rPr>
        <w:t>"</w:t>
      </w:r>
      <w:r w:rsidRPr="00071B0A">
        <w:rPr>
          <w:rFonts w:cs="Arial" w:hint="cs"/>
          <w:rtl/>
        </w:rPr>
        <w:t>ה</w:t>
      </w:r>
      <w:r w:rsidRPr="00071B0A">
        <w:rPr>
          <w:rFonts w:cs="Arial"/>
          <w:rtl/>
        </w:rPr>
        <w:t xml:space="preserve"> </w:t>
      </w:r>
      <w:r w:rsidRPr="00071B0A">
        <w:rPr>
          <w:rFonts w:cs="Arial" w:hint="cs"/>
          <w:rtl/>
        </w:rPr>
        <w:t>סוף</w:t>
      </w:r>
      <w:r w:rsidRPr="00071B0A">
        <w:rPr>
          <w:rFonts w:cs="Arial"/>
          <w:rtl/>
        </w:rPr>
        <w:t xml:space="preserve"> </w:t>
      </w:r>
      <w:r w:rsidRPr="00071B0A">
        <w:rPr>
          <w:rFonts w:cs="Arial" w:hint="cs"/>
          <w:rtl/>
        </w:rPr>
        <w:t>סוף</w:t>
      </w:r>
      <w:r w:rsidRPr="00071B0A">
        <w:rPr>
          <w:rFonts w:cs="Arial"/>
          <w:rtl/>
        </w:rPr>
        <w:t xml:space="preserve"> </w:t>
      </w:r>
      <w:r w:rsidRPr="00071B0A">
        <w:rPr>
          <w:rFonts w:cs="Arial" w:hint="cs"/>
          <w:rtl/>
        </w:rPr>
        <w:t>וכו</w:t>
      </w:r>
      <w:r w:rsidRPr="00071B0A">
        <w:rPr>
          <w:rFonts w:cs="Arial"/>
          <w:rtl/>
        </w:rPr>
        <w:t xml:space="preserve">') </w:t>
      </w:r>
      <w:r w:rsidRPr="00071B0A">
        <w:rPr>
          <w:rFonts w:cs="Arial" w:hint="cs"/>
          <w:rtl/>
        </w:rPr>
        <w:t>דהיכא</w:t>
      </w:r>
      <w:r w:rsidRPr="00071B0A">
        <w:rPr>
          <w:rFonts w:cs="Arial"/>
          <w:rtl/>
        </w:rPr>
        <w:t xml:space="preserve"> </w:t>
      </w:r>
      <w:r w:rsidRPr="00071B0A">
        <w:rPr>
          <w:rFonts w:cs="Arial" w:hint="cs"/>
          <w:rtl/>
        </w:rPr>
        <w:t>דידוע</w:t>
      </w:r>
      <w:r w:rsidRPr="00071B0A">
        <w:rPr>
          <w:rFonts w:cs="Arial"/>
          <w:rtl/>
        </w:rPr>
        <w:t xml:space="preserve"> </w:t>
      </w:r>
      <w:r w:rsidRPr="00071B0A">
        <w:rPr>
          <w:rFonts w:cs="Arial" w:hint="cs"/>
          <w:rtl/>
        </w:rPr>
        <w:t>שאינו</w:t>
      </w:r>
      <w:r w:rsidRPr="00071B0A">
        <w:rPr>
          <w:rFonts w:cs="Arial"/>
          <w:rtl/>
        </w:rPr>
        <w:t xml:space="preserve"> </w:t>
      </w:r>
      <w:r w:rsidRPr="00071B0A">
        <w:rPr>
          <w:rFonts w:cs="Arial" w:hint="cs"/>
          <w:rtl/>
        </w:rPr>
        <w:t>יכול</w:t>
      </w:r>
      <w:r w:rsidRPr="00071B0A">
        <w:rPr>
          <w:rFonts w:cs="Arial"/>
          <w:rtl/>
        </w:rPr>
        <w:t xml:space="preserve"> </w:t>
      </w:r>
      <w:r w:rsidRPr="00071B0A">
        <w:rPr>
          <w:rFonts w:cs="Arial" w:hint="cs"/>
          <w:rtl/>
        </w:rPr>
        <w:t>לגמור</w:t>
      </w:r>
      <w:r w:rsidRPr="00071B0A">
        <w:rPr>
          <w:rFonts w:cs="Arial"/>
          <w:rtl/>
        </w:rPr>
        <w:t xml:space="preserve"> </w:t>
      </w:r>
      <w:r w:rsidRPr="00071B0A">
        <w:rPr>
          <w:rFonts w:cs="Arial" w:hint="cs"/>
          <w:rtl/>
        </w:rPr>
        <w:t>בהיתר</w:t>
      </w:r>
      <w:r w:rsidRPr="00071B0A">
        <w:rPr>
          <w:rFonts w:cs="Arial"/>
          <w:rtl/>
        </w:rPr>
        <w:t xml:space="preserve"> </w:t>
      </w:r>
      <w:r w:rsidRPr="00071B0A">
        <w:rPr>
          <w:rFonts w:cs="Arial" w:hint="cs"/>
          <w:rtl/>
        </w:rPr>
        <w:t>הוי</w:t>
      </w:r>
      <w:r w:rsidRPr="00071B0A">
        <w:rPr>
          <w:rFonts w:cs="Arial"/>
          <w:rtl/>
        </w:rPr>
        <w:t xml:space="preserve"> </w:t>
      </w:r>
      <w:r w:rsidRPr="00071B0A">
        <w:rPr>
          <w:rFonts w:cs="Arial" w:hint="cs"/>
          <w:rtl/>
        </w:rPr>
        <w:t>כהתחיל</w:t>
      </w:r>
      <w:r w:rsidRPr="00071B0A">
        <w:rPr>
          <w:rFonts w:cs="Arial"/>
          <w:rtl/>
        </w:rPr>
        <w:t xml:space="preserve"> </w:t>
      </w:r>
      <w:r w:rsidRPr="00071B0A">
        <w:rPr>
          <w:rFonts w:cs="Arial" w:hint="cs"/>
          <w:rtl/>
        </w:rPr>
        <w:t>באיסור,</w:t>
      </w:r>
      <w:r w:rsidRPr="00071B0A">
        <w:rPr>
          <w:rFonts w:cs="Arial"/>
          <w:rtl/>
        </w:rPr>
        <w:t xml:space="preserve"> </w:t>
      </w:r>
      <w:r w:rsidRPr="00071B0A">
        <w:rPr>
          <w:rFonts w:cs="Arial" w:hint="cs"/>
          <w:rtl/>
        </w:rPr>
        <w:t>נדון</w:t>
      </w:r>
      <w:r w:rsidRPr="00071B0A">
        <w:rPr>
          <w:rFonts w:cs="Arial"/>
          <w:rtl/>
        </w:rPr>
        <w:t xml:space="preserve"> </w:t>
      </w:r>
      <w:r w:rsidRPr="00071B0A">
        <w:rPr>
          <w:rFonts w:cs="Arial" w:hint="cs"/>
          <w:rtl/>
        </w:rPr>
        <w:t>דידן</w:t>
      </w:r>
      <w:r w:rsidRPr="00071B0A">
        <w:rPr>
          <w:rFonts w:cs="Arial"/>
          <w:rtl/>
        </w:rPr>
        <w:t xml:space="preserve"> </w:t>
      </w:r>
      <w:r w:rsidRPr="00071B0A">
        <w:rPr>
          <w:rFonts w:cs="Arial" w:hint="cs"/>
          <w:rtl/>
        </w:rPr>
        <w:t>נראה</w:t>
      </w:r>
      <w:r w:rsidRPr="00071B0A">
        <w:rPr>
          <w:rFonts w:cs="Arial"/>
          <w:rtl/>
        </w:rPr>
        <w:t xml:space="preserve"> </w:t>
      </w:r>
      <w:r w:rsidRPr="00071B0A">
        <w:rPr>
          <w:rFonts w:cs="Arial" w:hint="cs"/>
          <w:rtl/>
        </w:rPr>
        <w:t>דאין</w:t>
      </w:r>
      <w:r w:rsidRPr="00071B0A">
        <w:rPr>
          <w:rFonts w:cs="Arial"/>
          <w:rtl/>
        </w:rPr>
        <w:t xml:space="preserve"> </w:t>
      </w:r>
      <w:r w:rsidRPr="00071B0A">
        <w:rPr>
          <w:rFonts w:cs="Arial" w:hint="cs"/>
          <w:rtl/>
        </w:rPr>
        <w:t>לדמות</w:t>
      </w:r>
      <w:r w:rsidRPr="00071B0A">
        <w:rPr>
          <w:rFonts w:cs="Arial"/>
          <w:rtl/>
        </w:rPr>
        <w:t xml:space="preserve"> </w:t>
      </w:r>
      <w:r w:rsidRPr="00071B0A">
        <w:rPr>
          <w:rFonts w:cs="Arial" w:hint="cs"/>
          <w:rtl/>
        </w:rPr>
        <w:t>להתם</w:t>
      </w:r>
      <w:r w:rsidRPr="00071B0A">
        <w:rPr>
          <w:rFonts w:cs="Arial"/>
          <w:rtl/>
        </w:rPr>
        <w:t xml:space="preserve"> </w:t>
      </w:r>
      <w:r w:rsidRPr="00071B0A">
        <w:rPr>
          <w:rFonts w:cs="Arial" w:hint="cs"/>
          <w:rtl/>
        </w:rPr>
        <w:t>דלאו</w:t>
      </w:r>
      <w:r w:rsidRPr="00071B0A">
        <w:rPr>
          <w:rFonts w:cs="Arial"/>
          <w:rtl/>
        </w:rPr>
        <w:t xml:space="preserve"> </w:t>
      </w:r>
      <w:r w:rsidRPr="00071B0A">
        <w:rPr>
          <w:rFonts w:cs="Arial" w:hint="cs"/>
          <w:rtl/>
        </w:rPr>
        <w:t>איסור</w:t>
      </w:r>
      <w:r w:rsidRPr="00071B0A">
        <w:rPr>
          <w:rFonts w:cs="Arial"/>
          <w:rtl/>
        </w:rPr>
        <w:t xml:space="preserve"> </w:t>
      </w:r>
      <w:r w:rsidRPr="00071B0A">
        <w:rPr>
          <w:rFonts w:cs="Arial" w:hint="cs"/>
          <w:rtl/>
        </w:rPr>
        <w:t>והיתר</w:t>
      </w:r>
      <w:r w:rsidRPr="00071B0A">
        <w:rPr>
          <w:rFonts w:cs="Arial"/>
          <w:rtl/>
        </w:rPr>
        <w:t xml:space="preserve"> </w:t>
      </w:r>
      <w:r w:rsidRPr="00071B0A">
        <w:rPr>
          <w:rFonts w:cs="Arial" w:hint="cs"/>
          <w:rtl/>
        </w:rPr>
        <w:t>שייך</w:t>
      </w:r>
      <w:r w:rsidRPr="00071B0A">
        <w:rPr>
          <w:rFonts w:cs="Arial"/>
          <w:rtl/>
        </w:rPr>
        <w:t xml:space="preserve"> </w:t>
      </w:r>
      <w:r w:rsidRPr="00071B0A">
        <w:rPr>
          <w:rFonts w:cs="Arial" w:hint="cs"/>
          <w:rtl/>
        </w:rPr>
        <w:t>ביה</w:t>
      </w:r>
      <w:r>
        <w:rPr>
          <w:rFonts w:cs="Arial" w:hint="cs"/>
          <w:rtl/>
        </w:rPr>
        <w:t>.</w:t>
      </w:r>
      <w:r w:rsidRPr="00071B0A">
        <w:rPr>
          <w:rFonts w:cs="Arial"/>
          <w:rtl/>
        </w:rPr>
        <w:t xml:space="preserve"> </w:t>
      </w:r>
      <w:r w:rsidRPr="004C4CDF">
        <w:rPr>
          <w:rFonts w:cs="Arial" w:hint="cs"/>
          <w:color w:val="E36C0A" w:themeColor="accent6" w:themeShade="BF"/>
          <w:rtl/>
        </w:rPr>
        <w:t>(וכ"פ בשו"ע)</w:t>
      </w:r>
    </w:p>
    <w:p w14:paraId="7444A859" w14:textId="77777777" w:rsidR="004B2E7C" w:rsidRPr="00EB4069" w:rsidRDefault="004B2E7C" w:rsidP="00FF2D21">
      <w:pPr>
        <w:pStyle w:val="aa"/>
        <w:numPr>
          <w:ilvl w:val="0"/>
          <w:numId w:val="87"/>
        </w:numPr>
      </w:pPr>
      <w:r>
        <w:rPr>
          <w:rFonts w:cs="Arial" w:hint="cs"/>
          <w:rtl/>
        </w:rPr>
        <w:t>תרוה"ד</w:t>
      </w:r>
      <w:r w:rsidRPr="00071B0A">
        <w:rPr>
          <w:rFonts w:cs="Arial"/>
          <w:rtl/>
        </w:rPr>
        <w:t xml:space="preserve"> </w:t>
      </w:r>
      <w:r w:rsidRPr="001D0479">
        <w:rPr>
          <w:rFonts w:cs="Arial" w:hint="cs"/>
          <w:sz w:val="16"/>
          <w:szCs w:val="16"/>
          <w:rtl/>
        </w:rPr>
        <w:t>(בכתביו</w:t>
      </w:r>
      <w:r w:rsidRPr="001D0479">
        <w:rPr>
          <w:rFonts w:cs="Arial"/>
          <w:sz w:val="16"/>
          <w:szCs w:val="16"/>
          <w:rtl/>
        </w:rPr>
        <w:t xml:space="preserve"> </w:t>
      </w:r>
      <w:r w:rsidRPr="001D0479">
        <w:rPr>
          <w:rFonts w:cs="Arial" w:hint="cs"/>
          <w:sz w:val="16"/>
          <w:szCs w:val="16"/>
          <w:rtl/>
        </w:rPr>
        <w:t>סי'</w:t>
      </w:r>
      <w:r w:rsidRPr="001D0479">
        <w:rPr>
          <w:rFonts w:cs="Arial"/>
          <w:sz w:val="16"/>
          <w:szCs w:val="16"/>
          <w:rtl/>
        </w:rPr>
        <w:t xml:space="preserve"> </w:t>
      </w:r>
      <w:r w:rsidRPr="001D0479">
        <w:rPr>
          <w:rFonts w:cs="Arial" w:hint="cs"/>
          <w:sz w:val="16"/>
          <w:szCs w:val="16"/>
          <w:rtl/>
        </w:rPr>
        <w:t>קנג)</w:t>
      </w:r>
      <w:r>
        <w:rPr>
          <w:rFonts w:cs="Arial" w:hint="cs"/>
          <w:rtl/>
        </w:rPr>
        <w:t xml:space="preserve">- </w:t>
      </w:r>
      <w:r w:rsidRPr="00071B0A">
        <w:rPr>
          <w:rFonts w:cs="Arial" w:hint="cs"/>
          <w:rtl/>
        </w:rPr>
        <w:t>נראה</w:t>
      </w:r>
      <w:r w:rsidRPr="00071B0A">
        <w:rPr>
          <w:rFonts w:cs="Arial"/>
          <w:rtl/>
        </w:rPr>
        <w:t xml:space="preserve"> </w:t>
      </w:r>
      <w:r w:rsidRPr="00071B0A">
        <w:rPr>
          <w:rFonts w:cs="Arial" w:hint="cs"/>
          <w:rtl/>
        </w:rPr>
        <w:t>לע</w:t>
      </w:r>
      <w:r w:rsidRPr="00071B0A">
        <w:rPr>
          <w:rFonts w:cs="Arial"/>
          <w:rtl/>
        </w:rPr>
        <w:t>"</w:t>
      </w:r>
      <w:r w:rsidRPr="00071B0A">
        <w:rPr>
          <w:rFonts w:cs="Arial" w:hint="cs"/>
          <w:rtl/>
        </w:rPr>
        <w:t>ד</w:t>
      </w:r>
      <w:r w:rsidRPr="00071B0A">
        <w:rPr>
          <w:rFonts w:cs="Arial"/>
          <w:rtl/>
        </w:rPr>
        <w:t xml:space="preserve"> </w:t>
      </w:r>
      <w:r w:rsidRPr="00071B0A">
        <w:rPr>
          <w:rFonts w:cs="Arial" w:hint="cs"/>
          <w:rtl/>
        </w:rPr>
        <w:t>אין</w:t>
      </w:r>
      <w:r w:rsidRPr="00071B0A">
        <w:rPr>
          <w:rFonts w:cs="Arial"/>
          <w:rtl/>
        </w:rPr>
        <w:t xml:space="preserve"> </w:t>
      </w:r>
      <w:r w:rsidRPr="00071B0A">
        <w:rPr>
          <w:rFonts w:cs="Arial" w:hint="cs"/>
          <w:rtl/>
        </w:rPr>
        <w:t>להקפיד</w:t>
      </w:r>
      <w:r w:rsidRPr="00071B0A">
        <w:rPr>
          <w:rFonts w:cs="Arial"/>
          <w:rtl/>
        </w:rPr>
        <w:t xml:space="preserve"> </w:t>
      </w:r>
      <w:r w:rsidRPr="00071B0A">
        <w:rPr>
          <w:rFonts w:cs="Arial" w:hint="cs"/>
          <w:rtl/>
        </w:rPr>
        <w:t>אמאי</w:t>
      </w:r>
      <w:r w:rsidRPr="00071B0A">
        <w:rPr>
          <w:rFonts w:cs="Arial"/>
          <w:rtl/>
        </w:rPr>
        <w:t xml:space="preserve"> </w:t>
      </w:r>
      <w:r w:rsidRPr="00071B0A">
        <w:rPr>
          <w:rFonts w:cs="Arial" w:hint="cs"/>
          <w:rtl/>
        </w:rPr>
        <w:t>דמתפלל</w:t>
      </w:r>
      <w:r w:rsidRPr="00071B0A">
        <w:rPr>
          <w:rFonts w:cs="Arial"/>
          <w:rtl/>
        </w:rPr>
        <w:t xml:space="preserve"> </w:t>
      </w:r>
      <w:r w:rsidRPr="00071B0A">
        <w:rPr>
          <w:rFonts w:cs="Arial" w:hint="cs"/>
          <w:rtl/>
        </w:rPr>
        <w:t>תפילת</w:t>
      </w:r>
      <w:r w:rsidRPr="00071B0A">
        <w:rPr>
          <w:rFonts w:cs="Arial"/>
          <w:rtl/>
        </w:rPr>
        <w:t xml:space="preserve"> </w:t>
      </w:r>
      <w:r w:rsidRPr="00071B0A">
        <w:rPr>
          <w:rFonts w:cs="Arial" w:hint="cs"/>
          <w:rtl/>
        </w:rPr>
        <w:t>חול</w:t>
      </w:r>
      <w:r w:rsidRPr="00071B0A">
        <w:rPr>
          <w:rFonts w:cs="Arial"/>
          <w:rtl/>
        </w:rPr>
        <w:t xml:space="preserve"> </w:t>
      </w:r>
      <w:r w:rsidRPr="00071B0A">
        <w:rPr>
          <w:rFonts w:cs="Arial" w:hint="cs"/>
          <w:rtl/>
        </w:rPr>
        <w:t>אצל</w:t>
      </w:r>
      <w:r w:rsidRPr="00071B0A">
        <w:rPr>
          <w:rFonts w:cs="Arial"/>
          <w:rtl/>
        </w:rPr>
        <w:t xml:space="preserve"> </w:t>
      </w:r>
      <w:r w:rsidRPr="00071B0A">
        <w:rPr>
          <w:rFonts w:cs="Arial" w:hint="cs"/>
          <w:rtl/>
        </w:rPr>
        <w:t>הציבור</w:t>
      </w:r>
      <w:r w:rsidRPr="00071B0A">
        <w:rPr>
          <w:rFonts w:cs="Arial"/>
          <w:rtl/>
        </w:rPr>
        <w:t xml:space="preserve"> </w:t>
      </w:r>
      <w:r w:rsidRPr="00071B0A">
        <w:rPr>
          <w:rFonts w:cs="Arial" w:hint="cs"/>
          <w:rtl/>
        </w:rPr>
        <w:t>שכבר</w:t>
      </w:r>
      <w:r w:rsidRPr="00071B0A">
        <w:rPr>
          <w:rFonts w:cs="Arial"/>
          <w:rtl/>
        </w:rPr>
        <w:t xml:space="preserve"> </w:t>
      </w:r>
      <w:r w:rsidRPr="00071B0A">
        <w:rPr>
          <w:rFonts w:cs="Arial" w:hint="cs"/>
          <w:rtl/>
        </w:rPr>
        <w:t>ענו</w:t>
      </w:r>
      <w:r w:rsidRPr="00071B0A">
        <w:rPr>
          <w:rFonts w:cs="Arial"/>
          <w:rtl/>
        </w:rPr>
        <w:t xml:space="preserve"> </w:t>
      </w:r>
      <w:r w:rsidRPr="00071B0A">
        <w:rPr>
          <w:rFonts w:cs="Arial" w:hint="cs"/>
          <w:rtl/>
        </w:rPr>
        <w:t>ברכו</w:t>
      </w:r>
      <w:r w:rsidRPr="00071B0A">
        <w:rPr>
          <w:rFonts w:cs="Arial"/>
          <w:rtl/>
        </w:rPr>
        <w:t xml:space="preserve"> </w:t>
      </w:r>
      <w:r w:rsidRPr="00071B0A">
        <w:rPr>
          <w:rFonts w:cs="Arial" w:hint="cs"/>
          <w:rtl/>
        </w:rPr>
        <w:t>וקדשו</w:t>
      </w:r>
      <w:r w:rsidRPr="00071B0A">
        <w:rPr>
          <w:rFonts w:cs="Arial"/>
          <w:rtl/>
        </w:rPr>
        <w:t xml:space="preserve"> </w:t>
      </w:r>
      <w:r w:rsidRPr="00071B0A">
        <w:rPr>
          <w:rFonts w:cs="Arial" w:hint="cs"/>
          <w:rtl/>
        </w:rPr>
        <w:t>היום</w:t>
      </w:r>
      <w:r w:rsidRPr="00071B0A">
        <w:rPr>
          <w:rFonts w:cs="Arial"/>
          <w:rtl/>
        </w:rPr>
        <w:t xml:space="preserve"> </w:t>
      </w:r>
      <w:r w:rsidRPr="00071B0A">
        <w:rPr>
          <w:rFonts w:cs="Arial" w:hint="cs"/>
          <w:rtl/>
        </w:rPr>
        <w:t>הואיל</w:t>
      </w:r>
      <w:r w:rsidRPr="00071B0A">
        <w:rPr>
          <w:rFonts w:cs="Arial"/>
          <w:rtl/>
        </w:rPr>
        <w:t xml:space="preserve"> </w:t>
      </w:r>
      <w:r w:rsidRPr="00071B0A">
        <w:rPr>
          <w:rFonts w:cs="Arial" w:hint="cs"/>
          <w:rtl/>
        </w:rPr>
        <w:t>והתחיל</w:t>
      </w:r>
      <w:r w:rsidRPr="00071B0A">
        <w:rPr>
          <w:rFonts w:cs="Arial"/>
          <w:rtl/>
        </w:rPr>
        <w:t xml:space="preserve"> </w:t>
      </w:r>
      <w:r w:rsidRPr="00071B0A">
        <w:rPr>
          <w:rFonts w:cs="Arial" w:hint="cs"/>
          <w:rtl/>
        </w:rPr>
        <w:t>בהיתר</w:t>
      </w:r>
      <w:r w:rsidRPr="00071B0A">
        <w:rPr>
          <w:rFonts w:cs="Arial"/>
          <w:rtl/>
        </w:rPr>
        <w:t xml:space="preserve"> </w:t>
      </w:r>
      <w:r w:rsidRPr="00071B0A">
        <w:rPr>
          <w:rFonts w:cs="Arial" w:hint="cs"/>
          <w:rtl/>
        </w:rPr>
        <w:t>וכהאי</w:t>
      </w:r>
      <w:r w:rsidRPr="00071B0A">
        <w:rPr>
          <w:rFonts w:cs="Arial"/>
          <w:rtl/>
        </w:rPr>
        <w:t xml:space="preserve"> </w:t>
      </w:r>
      <w:r w:rsidRPr="00071B0A">
        <w:rPr>
          <w:rFonts w:cs="Arial" w:hint="cs"/>
          <w:rtl/>
        </w:rPr>
        <w:t>גוונא</w:t>
      </w:r>
      <w:r w:rsidRPr="00071B0A">
        <w:rPr>
          <w:rFonts w:cs="Arial"/>
          <w:rtl/>
        </w:rPr>
        <w:t xml:space="preserve"> </w:t>
      </w:r>
      <w:r w:rsidRPr="00071B0A">
        <w:rPr>
          <w:rFonts w:cs="Arial" w:hint="cs"/>
          <w:rtl/>
        </w:rPr>
        <w:t>אשכחן</w:t>
      </w:r>
      <w:r w:rsidRPr="00071B0A">
        <w:rPr>
          <w:rFonts w:cs="Arial"/>
          <w:rtl/>
        </w:rPr>
        <w:t xml:space="preserve"> </w:t>
      </w:r>
      <w:r w:rsidRPr="00071B0A">
        <w:rPr>
          <w:rFonts w:cs="Arial" w:hint="cs"/>
          <w:rtl/>
        </w:rPr>
        <w:t>טובא</w:t>
      </w:r>
      <w:r w:rsidRPr="00071B0A">
        <w:rPr>
          <w:rFonts w:cs="Arial"/>
          <w:rtl/>
        </w:rPr>
        <w:t xml:space="preserve"> </w:t>
      </w:r>
      <w:r w:rsidRPr="00071B0A">
        <w:rPr>
          <w:rFonts w:cs="Arial" w:hint="cs"/>
          <w:rtl/>
        </w:rPr>
        <w:t>לחלק</w:t>
      </w:r>
      <w:r w:rsidRPr="00071B0A">
        <w:rPr>
          <w:rFonts w:cs="Arial"/>
          <w:rtl/>
        </w:rPr>
        <w:t xml:space="preserve"> </w:t>
      </w:r>
      <w:r w:rsidRPr="00071B0A">
        <w:rPr>
          <w:rFonts w:cs="Arial" w:hint="cs"/>
          <w:rtl/>
        </w:rPr>
        <w:t>ודוקא</w:t>
      </w:r>
      <w:r w:rsidRPr="00071B0A">
        <w:rPr>
          <w:rFonts w:cs="Arial"/>
          <w:rtl/>
        </w:rPr>
        <w:t xml:space="preserve"> </w:t>
      </w:r>
      <w:r w:rsidRPr="00071B0A">
        <w:rPr>
          <w:rFonts w:cs="Arial" w:hint="cs"/>
          <w:rtl/>
        </w:rPr>
        <w:t>כשלא</w:t>
      </w:r>
      <w:r w:rsidRPr="00071B0A">
        <w:rPr>
          <w:rFonts w:cs="Arial"/>
          <w:rtl/>
        </w:rPr>
        <w:t xml:space="preserve"> </w:t>
      </w:r>
      <w:r w:rsidRPr="00071B0A">
        <w:rPr>
          <w:rFonts w:cs="Arial" w:hint="cs"/>
          <w:rtl/>
        </w:rPr>
        <w:t>ידע</w:t>
      </w:r>
      <w:r w:rsidRPr="00071B0A">
        <w:rPr>
          <w:rFonts w:cs="Arial"/>
          <w:rtl/>
        </w:rPr>
        <w:t xml:space="preserve"> </w:t>
      </w:r>
      <w:r w:rsidRPr="00071B0A">
        <w:rPr>
          <w:rFonts w:cs="Arial" w:hint="cs"/>
          <w:rtl/>
        </w:rPr>
        <w:t>שלא</w:t>
      </w:r>
      <w:r w:rsidRPr="00071B0A">
        <w:rPr>
          <w:rFonts w:cs="Arial"/>
          <w:rtl/>
        </w:rPr>
        <w:t xml:space="preserve"> </w:t>
      </w:r>
      <w:r w:rsidRPr="00071B0A">
        <w:rPr>
          <w:rFonts w:cs="Arial" w:hint="cs"/>
          <w:rtl/>
        </w:rPr>
        <w:t>יוכל</w:t>
      </w:r>
      <w:r w:rsidRPr="00071B0A">
        <w:rPr>
          <w:rFonts w:cs="Arial"/>
          <w:rtl/>
        </w:rPr>
        <w:t xml:space="preserve"> </w:t>
      </w:r>
      <w:r w:rsidRPr="00071B0A">
        <w:rPr>
          <w:rFonts w:cs="Arial" w:hint="cs"/>
          <w:rtl/>
        </w:rPr>
        <w:t>לגמור</w:t>
      </w:r>
      <w:r w:rsidRPr="00071B0A">
        <w:rPr>
          <w:rFonts w:cs="Arial"/>
          <w:rtl/>
        </w:rPr>
        <w:t xml:space="preserve"> </w:t>
      </w:r>
      <w:r w:rsidRPr="00071B0A">
        <w:rPr>
          <w:rFonts w:cs="Arial" w:hint="cs"/>
          <w:rtl/>
        </w:rPr>
        <w:t>קודם</w:t>
      </w:r>
      <w:r w:rsidRPr="00071B0A">
        <w:rPr>
          <w:rFonts w:cs="Arial"/>
          <w:rtl/>
        </w:rPr>
        <w:t xml:space="preserve"> </w:t>
      </w:r>
      <w:r w:rsidRPr="00071B0A">
        <w:rPr>
          <w:rFonts w:cs="Arial" w:hint="cs"/>
          <w:rtl/>
        </w:rPr>
        <w:t>ברכו</w:t>
      </w:r>
      <w:r w:rsidRPr="00071B0A">
        <w:rPr>
          <w:rFonts w:cs="Arial"/>
          <w:rtl/>
        </w:rPr>
        <w:t xml:space="preserve"> </w:t>
      </w:r>
      <w:r w:rsidRPr="00071B0A">
        <w:rPr>
          <w:rFonts w:cs="Arial" w:hint="cs"/>
          <w:rtl/>
        </w:rPr>
        <w:t>כגון</w:t>
      </w:r>
      <w:r w:rsidRPr="00071B0A">
        <w:rPr>
          <w:rFonts w:cs="Arial"/>
          <w:rtl/>
        </w:rPr>
        <w:t xml:space="preserve"> </w:t>
      </w:r>
      <w:r w:rsidRPr="00071B0A">
        <w:rPr>
          <w:rFonts w:cs="Arial" w:hint="cs"/>
          <w:rtl/>
        </w:rPr>
        <w:t>שסבור</w:t>
      </w:r>
      <w:r w:rsidRPr="00071B0A">
        <w:rPr>
          <w:rFonts w:cs="Arial"/>
          <w:rtl/>
        </w:rPr>
        <w:t xml:space="preserve"> </w:t>
      </w:r>
      <w:r w:rsidRPr="00071B0A">
        <w:rPr>
          <w:rFonts w:cs="Arial" w:hint="cs"/>
          <w:rtl/>
        </w:rPr>
        <w:t>שאחד</w:t>
      </w:r>
      <w:r w:rsidRPr="00071B0A">
        <w:rPr>
          <w:rFonts w:cs="Arial"/>
          <w:rtl/>
        </w:rPr>
        <w:t xml:space="preserve"> </w:t>
      </w:r>
      <w:r w:rsidRPr="00071B0A">
        <w:rPr>
          <w:rFonts w:cs="Arial" w:hint="cs"/>
          <w:rtl/>
        </w:rPr>
        <w:t>מן</w:t>
      </w:r>
      <w:r w:rsidRPr="00071B0A">
        <w:rPr>
          <w:rFonts w:cs="Arial"/>
          <w:rtl/>
        </w:rPr>
        <w:t xml:space="preserve"> </w:t>
      </w:r>
      <w:r w:rsidRPr="00071B0A">
        <w:rPr>
          <w:rFonts w:cs="Arial" w:hint="cs"/>
          <w:rtl/>
        </w:rPr>
        <w:t>הקהל</w:t>
      </w:r>
      <w:r w:rsidRPr="00071B0A">
        <w:rPr>
          <w:rFonts w:cs="Arial"/>
          <w:rtl/>
        </w:rPr>
        <w:t xml:space="preserve"> </w:t>
      </w:r>
      <w:r w:rsidRPr="00071B0A">
        <w:rPr>
          <w:rFonts w:cs="Arial" w:hint="cs"/>
          <w:rtl/>
        </w:rPr>
        <w:t>יושיב</w:t>
      </w:r>
      <w:r w:rsidRPr="00071B0A">
        <w:rPr>
          <w:rFonts w:cs="Arial"/>
          <w:rtl/>
        </w:rPr>
        <w:t xml:space="preserve"> </w:t>
      </w:r>
      <w:r w:rsidRPr="00071B0A">
        <w:rPr>
          <w:rFonts w:cs="Arial" w:hint="cs"/>
          <w:rtl/>
        </w:rPr>
        <w:t>החזן</w:t>
      </w:r>
      <w:r w:rsidRPr="00071B0A">
        <w:rPr>
          <w:rFonts w:cs="Arial"/>
          <w:rtl/>
        </w:rPr>
        <w:t xml:space="preserve"> </w:t>
      </w:r>
      <w:r w:rsidRPr="00071B0A">
        <w:rPr>
          <w:rFonts w:cs="Arial" w:hint="cs"/>
          <w:rtl/>
        </w:rPr>
        <w:t>מעט</w:t>
      </w:r>
      <w:r w:rsidRPr="00071B0A">
        <w:rPr>
          <w:rFonts w:cs="Arial"/>
          <w:rtl/>
        </w:rPr>
        <w:t xml:space="preserve"> </w:t>
      </w:r>
      <w:r w:rsidRPr="00071B0A">
        <w:rPr>
          <w:rFonts w:cs="Arial" w:hint="cs"/>
          <w:rtl/>
        </w:rPr>
        <w:t>מכל</w:t>
      </w:r>
      <w:r w:rsidRPr="00071B0A">
        <w:rPr>
          <w:rFonts w:cs="Arial"/>
          <w:rtl/>
        </w:rPr>
        <w:t xml:space="preserve"> </w:t>
      </w:r>
      <w:r w:rsidRPr="00071B0A">
        <w:rPr>
          <w:rFonts w:cs="Arial" w:hint="cs"/>
          <w:rtl/>
        </w:rPr>
        <w:t>מקום</w:t>
      </w:r>
      <w:r w:rsidRPr="00071B0A">
        <w:rPr>
          <w:rFonts w:cs="Arial"/>
          <w:rtl/>
        </w:rPr>
        <w:t xml:space="preserve"> </w:t>
      </w:r>
      <w:r w:rsidRPr="00071B0A">
        <w:rPr>
          <w:rFonts w:cs="Arial" w:hint="cs"/>
          <w:rtl/>
        </w:rPr>
        <w:t>אם</w:t>
      </w:r>
      <w:r w:rsidRPr="00071B0A">
        <w:rPr>
          <w:rFonts w:cs="Arial"/>
          <w:rtl/>
        </w:rPr>
        <w:t xml:space="preserve"> </w:t>
      </w:r>
      <w:r w:rsidRPr="00071B0A">
        <w:rPr>
          <w:rFonts w:cs="Arial" w:hint="cs"/>
          <w:rtl/>
        </w:rPr>
        <w:t>היה</w:t>
      </w:r>
      <w:r w:rsidRPr="00071B0A">
        <w:rPr>
          <w:rFonts w:cs="Arial"/>
          <w:rtl/>
        </w:rPr>
        <w:t xml:space="preserve"> </w:t>
      </w:r>
      <w:r w:rsidRPr="00071B0A">
        <w:rPr>
          <w:rFonts w:cs="Arial" w:hint="cs"/>
          <w:rtl/>
        </w:rPr>
        <w:t>יודע</w:t>
      </w:r>
      <w:r w:rsidRPr="00071B0A">
        <w:rPr>
          <w:rFonts w:cs="Arial"/>
          <w:rtl/>
        </w:rPr>
        <w:t xml:space="preserve"> </w:t>
      </w:r>
      <w:r w:rsidRPr="00071B0A">
        <w:rPr>
          <w:rFonts w:cs="Arial" w:hint="cs"/>
          <w:rtl/>
        </w:rPr>
        <w:t>שלא</w:t>
      </w:r>
      <w:r w:rsidRPr="00071B0A">
        <w:rPr>
          <w:rFonts w:cs="Arial"/>
          <w:rtl/>
        </w:rPr>
        <w:t xml:space="preserve"> </w:t>
      </w:r>
      <w:r w:rsidRPr="00071B0A">
        <w:rPr>
          <w:rFonts w:cs="Arial" w:hint="cs"/>
          <w:rtl/>
        </w:rPr>
        <w:t>יוכל</w:t>
      </w:r>
      <w:r w:rsidRPr="00071B0A">
        <w:rPr>
          <w:rFonts w:cs="Arial"/>
          <w:rtl/>
        </w:rPr>
        <w:t xml:space="preserve"> </w:t>
      </w:r>
      <w:r w:rsidRPr="00071B0A">
        <w:rPr>
          <w:rFonts w:cs="Arial" w:hint="cs"/>
          <w:rtl/>
        </w:rPr>
        <w:t>לגמור</w:t>
      </w:r>
      <w:r w:rsidRPr="00071B0A">
        <w:rPr>
          <w:rFonts w:cs="Arial"/>
          <w:rtl/>
        </w:rPr>
        <w:t xml:space="preserve"> </w:t>
      </w:r>
      <w:r w:rsidRPr="00071B0A">
        <w:rPr>
          <w:rFonts w:cs="Arial" w:hint="cs"/>
          <w:rtl/>
        </w:rPr>
        <w:t>אם</w:t>
      </w:r>
      <w:r w:rsidRPr="00071B0A">
        <w:rPr>
          <w:rFonts w:cs="Arial"/>
          <w:rtl/>
        </w:rPr>
        <w:t xml:space="preserve"> </w:t>
      </w:r>
      <w:r w:rsidRPr="00071B0A">
        <w:rPr>
          <w:rFonts w:cs="Arial" w:hint="cs"/>
          <w:rtl/>
        </w:rPr>
        <w:t>כן</w:t>
      </w:r>
      <w:r w:rsidRPr="00071B0A">
        <w:rPr>
          <w:rFonts w:cs="Arial"/>
          <w:rtl/>
        </w:rPr>
        <w:t xml:space="preserve"> </w:t>
      </w:r>
      <w:r w:rsidRPr="00071B0A">
        <w:rPr>
          <w:rFonts w:cs="Arial" w:hint="cs"/>
          <w:rtl/>
        </w:rPr>
        <w:t>התחיל</w:t>
      </w:r>
      <w:r w:rsidRPr="00071B0A">
        <w:rPr>
          <w:rFonts w:cs="Arial"/>
          <w:rtl/>
        </w:rPr>
        <w:t xml:space="preserve"> </w:t>
      </w:r>
      <w:r w:rsidRPr="00071B0A">
        <w:rPr>
          <w:rFonts w:cs="Arial" w:hint="cs"/>
          <w:rtl/>
        </w:rPr>
        <w:t>באיסור</w:t>
      </w:r>
      <w:r w:rsidRPr="00071B0A">
        <w:rPr>
          <w:rFonts w:cs="Arial"/>
          <w:rtl/>
        </w:rPr>
        <w:t xml:space="preserve"> </w:t>
      </w:r>
      <w:r w:rsidRPr="00071B0A">
        <w:rPr>
          <w:rFonts w:cs="Arial" w:hint="cs"/>
          <w:rtl/>
        </w:rPr>
        <w:t>כדאיתא</w:t>
      </w:r>
      <w:r w:rsidRPr="00071B0A">
        <w:rPr>
          <w:rFonts w:cs="Arial"/>
          <w:rtl/>
        </w:rPr>
        <w:t xml:space="preserve"> </w:t>
      </w:r>
      <w:r w:rsidRPr="00071B0A">
        <w:rPr>
          <w:rFonts w:cs="Arial" w:hint="cs"/>
          <w:rtl/>
        </w:rPr>
        <w:t>בהגהות</w:t>
      </w:r>
      <w:r w:rsidRPr="00071B0A">
        <w:rPr>
          <w:rFonts w:cs="Arial"/>
          <w:rtl/>
        </w:rPr>
        <w:t xml:space="preserve"> </w:t>
      </w:r>
      <w:r w:rsidRPr="00071B0A">
        <w:rPr>
          <w:rFonts w:cs="Arial" w:hint="cs"/>
          <w:rtl/>
        </w:rPr>
        <w:t>במרדכי</w:t>
      </w:r>
      <w:r>
        <w:rPr>
          <w:rFonts w:cs="Arial" w:hint="cs"/>
          <w:rtl/>
        </w:rPr>
        <w:t>.</w:t>
      </w:r>
      <w:r w:rsidRPr="00071B0A">
        <w:rPr>
          <w:rFonts w:cs="Arial"/>
          <w:rtl/>
        </w:rPr>
        <w:t xml:space="preserve"> </w:t>
      </w:r>
    </w:p>
    <w:p w14:paraId="08FB54DF" w14:textId="77777777" w:rsidR="004B2E7C" w:rsidRPr="0075388A" w:rsidRDefault="004B2E7C" w:rsidP="00FF2D21">
      <w:pPr>
        <w:pStyle w:val="aa"/>
        <w:numPr>
          <w:ilvl w:val="1"/>
          <w:numId w:val="87"/>
        </w:numPr>
        <w:rPr>
          <w:rtl/>
        </w:rPr>
      </w:pPr>
      <w:r>
        <w:rPr>
          <w:rFonts w:cs="Arial" w:hint="cs"/>
          <w:rtl/>
        </w:rPr>
        <w:t xml:space="preserve">ב"י- </w:t>
      </w:r>
      <w:r w:rsidRPr="00071B0A">
        <w:rPr>
          <w:rFonts w:cs="Arial" w:hint="cs"/>
          <w:rtl/>
        </w:rPr>
        <w:t>ולענין</w:t>
      </w:r>
      <w:r w:rsidRPr="00071B0A">
        <w:rPr>
          <w:rFonts w:cs="Arial"/>
          <w:rtl/>
        </w:rPr>
        <w:t xml:space="preserve"> </w:t>
      </w:r>
      <w:r w:rsidRPr="00071B0A">
        <w:rPr>
          <w:rFonts w:cs="Arial" w:hint="cs"/>
          <w:rtl/>
        </w:rPr>
        <w:t>הלכה</w:t>
      </w:r>
      <w:r w:rsidRPr="00071B0A">
        <w:rPr>
          <w:rFonts w:cs="Arial"/>
          <w:rtl/>
        </w:rPr>
        <w:t xml:space="preserve"> </w:t>
      </w:r>
      <w:r w:rsidRPr="00071B0A">
        <w:rPr>
          <w:rFonts w:cs="Arial" w:hint="cs"/>
          <w:rtl/>
        </w:rPr>
        <w:t>נראה</w:t>
      </w:r>
      <w:r w:rsidRPr="00071B0A">
        <w:rPr>
          <w:rFonts w:cs="Arial"/>
          <w:rtl/>
        </w:rPr>
        <w:t xml:space="preserve"> </w:t>
      </w:r>
      <w:r w:rsidRPr="00071B0A">
        <w:rPr>
          <w:rFonts w:cs="Arial" w:hint="cs"/>
          <w:rtl/>
        </w:rPr>
        <w:t>שיש</w:t>
      </w:r>
      <w:r w:rsidRPr="00071B0A">
        <w:rPr>
          <w:rFonts w:cs="Arial"/>
          <w:rtl/>
        </w:rPr>
        <w:t xml:space="preserve"> </w:t>
      </w:r>
      <w:r w:rsidRPr="00071B0A">
        <w:rPr>
          <w:rFonts w:cs="Arial" w:hint="cs"/>
          <w:rtl/>
        </w:rPr>
        <w:t>לסמוך</w:t>
      </w:r>
      <w:r w:rsidRPr="00071B0A">
        <w:rPr>
          <w:rFonts w:cs="Arial"/>
          <w:rtl/>
        </w:rPr>
        <w:t xml:space="preserve"> </w:t>
      </w:r>
      <w:r w:rsidRPr="00071B0A">
        <w:rPr>
          <w:rFonts w:cs="Arial" w:hint="cs"/>
          <w:rtl/>
        </w:rPr>
        <w:t>על</w:t>
      </w:r>
      <w:r w:rsidRPr="00071B0A">
        <w:rPr>
          <w:rFonts w:cs="Arial"/>
          <w:rtl/>
        </w:rPr>
        <w:t xml:space="preserve"> </w:t>
      </w:r>
      <w:r w:rsidRPr="00071B0A">
        <w:rPr>
          <w:rFonts w:cs="Arial" w:hint="cs"/>
          <w:rtl/>
        </w:rPr>
        <w:t>מה</w:t>
      </w:r>
      <w:r w:rsidRPr="00071B0A">
        <w:rPr>
          <w:rFonts w:cs="Arial"/>
          <w:rtl/>
        </w:rPr>
        <w:t xml:space="preserve"> </w:t>
      </w:r>
      <w:r w:rsidRPr="00071B0A">
        <w:rPr>
          <w:rFonts w:cs="Arial" w:hint="cs"/>
          <w:rtl/>
        </w:rPr>
        <w:t>שכתב</w:t>
      </w:r>
      <w:r w:rsidRPr="00071B0A">
        <w:rPr>
          <w:rFonts w:cs="Arial"/>
          <w:rtl/>
        </w:rPr>
        <w:t xml:space="preserve"> </w:t>
      </w:r>
      <w:r w:rsidRPr="00071B0A">
        <w:rPr>
          <w:rFonts w:cs="Arial" w:hint="cs"/>
          <w:rtl/>
        </w:rPr>
        <w:t>בספר</w:t>
      </w:r>
      <w:r w:rsidRPr="00071B0A">
        <w:rPr>
          <w:rFonts w:cs="Arial"/>
          <w:rtl/>
        </w:rPr>
        <w:t xml:space="preserve"> </w:t>
      </w:r>
      <w:r w:rsidRPr="00071B0A">
        <w:rPr>
          <w:rFonts w:cs="Arial" w:hint="cs"/>
          <w:rtl/>
        </w:rPr>
        <w:t>תרומת</w:t>
      </w:r>
      <w:r w:rsidRPr="00071B0A">
        <w:rPr>
          <w:rFonts w:cs="Arial"/>
          <w:rtl/>
        </w:rPr>
        <w:t xml:space="preserve"> </w:t>
      </w:r>
      <w:r w:rsidRPr="00071B0A">
        <w:rPr>
          <w:rFonts w:cs="Arial" w:hint="cs"/>
          <w:rtl/>
        </w:rPr>
        <w:t>הדשן</w:t>
      </w:r>
      <w:r w:rsidRPr="00071B0A">
        <w:rPr>
          <w:rFonts w:cs="Arial"/>
          <w:rtl/>
        </w:rPr>
        <w:t xml:space="preserve"> </w:t>
      </w:r>
      <w:r w:rsidRPr="00071B0A">
        <w:rPr>
          <w:rFonts w:cs="Arial" w:hint="cs"/>
          <w:rtl/>
        </w:rPr>
        <w:t>יותר</w:t>
      </w:r>
      <w:r w:rsidRPr="00071B0A">
        <w:rPr>
          <w:rFonts w:cs="Arial"/>
          <w:rtl/>
        </w:rPr>
        <w:t xml:space="preserve"> </w:t>
      </w:r>
      <w:r w:rsidRPr="00071B0A">
        <w:rPr>
          <w:rFonts w:cs="Arial" w:hint="cs"/>
          <w:rtl/>
        </w:rPr>
        <w:t>מעל</w:t>
      </w:r>
      <w:r w:rsidRPr="00071B0A">
        <w:rPr>
          <w:rFonts w:cs="Arial"/>
          <w:rtl/>
        </w:rPr>
        <w:t xml:space="preserve"> </w:t>
      </w:r>
      <w:r w:rsidRPr="00071B0A">
        <w:rPr>
          <w:rFonts w:cs="Arial" w:hint="cs"/>
          <w:rtl/>
        </w:rPr>
        <w:t>מה</w:t>
      </w:r>
      <w:r w:rsidRPr="00071B0A">
        <w:rPr>
          <w:rFonts w:cs="Arial"/>
          <w:rtl/>
        </w:rPr>
        <w:t xml:space="preserve"> </w:t>
      </w:r>
      <w:r w:rsidRPr="00071B0A">
        <w:rPr>
          <w:rFonts w:cs="Arial" w:hint="cs"/>
          <w:rtl/>
        </w:rPr>
        <w:t>שכתב</w:t>
      </w:r>
      <w:r w:rsidRPr="00071B0A">
        <w:rPr>
          <w:rFonts w:cs="Arial"/>
          <w:rtl/>
        </w:rPr>
        <w:t xml:space="preserve"> </w:t>
      </w:r>
      <w:r w:rsidRPr="00071B0A">
        <w:rPr>
          <w:rFonts w:cs="Arial" w:hint="cs"/>
          <w:rtl/>
        </w:rPr>
        <w:t>בכתביו</w:t>
      </w:r>
      <w:r w:rsidRPr="00071B0A">
        <w:rPr>
          <w:rFonts w:cs="Arial"/>
          <w:rtl/>
        </w:rPr>
        <w:t xml:space="preserve"> </w:t>
      </w:r>
      <w:r w:rsidRPr="00071B0A">
        <w:rPr>
          <w:rFonts w:cs="Arial" w:hint="cs"/>
          <w:rtl/>
        </w:rPr>
        <w:t>דמה</w:t>
      </w:r>
      <w:r w:rsidRPr="00071B0A">
        <w:rPr>
          <w:rFonts w:cs="Arial"/>
          <w:rtl/>
        </w:rPr>
        <w:t xml:space="preserve"> </w:t>
      </w:r>
      <w:r w:rsidRPr="00071B0A">
        <w:rPr>
          <w:rFonts w:cs="Arial" w:hint="cs"/>
          <w:rtl/>
        </w:rPr>
        <w:t>שאדם</w:t>
      </w:r>
      <w:r w:rsidRPr="00071B0A">
        <w:rPr>
          <w:rFonts w:cs="Arial"/>
          <w:rtl/>
        </w:rPr>
        <w:t xml:space="preserve"> </w:t>
      </w:r>
      <w:r w:rsidRPr="00071B0A">
        <w:rPr>
          <w:rFonts w:cs="Arial" w:hint="cs"/>
          <w:rtl/>
        </w:rPr>
        <w:t>כותב</w:t>
      </w:r>
      <w:r w:rsidRPr="00071B0A">
        <w:rPr>
          <w:rFonts w:cs="Arial"/>
          <w:rtl/>
        </w:rPr>
        <w:t xml:space="preserve"> </w:t>
      </w:r>
      <w:r w:rsidRPr="00071B0A">
        <w:rPr>
          <w:rFonts w:cs="Arial" w:hint="cs"/>
          <w:rtl/>
        </w:rPr>
        <w:t>בספר</w:t>
      </w:r>
      <w:r w:rsidRPr="00071B0A">
        <w:rPr>
          <w:rFonts w:cs="Arial"/>
          <w:rtl/>
        </w:rPr>
        <w:t xml:space="preserve"> </w:t>
      </w:r>
      <w:r w:rsidRPr="00071B0A">
        <w:rPr>
          <w:rFonts w:cs="Arial" w:hint="cs"/>
          <w:rtl/>
        </w:rPr>
        <w:t>יותר</w:t>
      </w:r>
      <w:r w:rsidRPr="00071B0A">
        <w:rPr>
          <w:rFonts w:cs="Arial"/>
          <w:rtl/>
        </w:rPr>
        <w:t xml:space="preserve"> </w:t>
      </w:r>
      <w:r w:rsidRPr="00071B0A">
        <w:rPr>
          <w:rFonts w:cs="Arial" w:hint="cs"/>
          <w:rtl/>
        </w:rPr>
        <w:t>מדקדק</w:t>
      </w:r>
      <w:r w:rsidRPr="00071B0A">
        <w:rPr>
          <w:rFonts w:cs="Arial"/>
          <w:rtl/>
        </w:rPr>
        <w:t xml:space="preserve"> </w:t>
      </w:r>
      <w:r w:rsidRPr="00071B0A">
        <w:rPr>
          <w:rFonts w:cs="Arial" w:hint="cs"/>
          <w:rtl/>
        </w:rPr>
        <w:t>בו</w:t>
      </w:r>
      <w:r w:rsidRPr="00071B0A">
        <w:rPr>
          <w:rFonts w:cs="Arial"/>
          <w:rtl/>
        </w:rPr>
        <w:t xml:space="preserve"> </w:t>
      </w:r>
      <w:r w:rsidRPr="00071B0A">
        <w:rPr>
          <w:rFonts w:cs="Arial" w:hint="cs"/>
          <w:rtl/>
        </w:rPr>
        <w:t>ממה</w:t>
      </w:r>
      <w:r w:rsidRPr="00071B0A">
        <w:rPr>
          <w:rFonts w:cs="Arial"/>
          <w:rtl/>
        </w:rPr>
        <w:t xml:space="preserve"> </w:t>
      </w:r>
      <w:r w:rsidRPr="00071B0A">
        <w:rPr>
          <w:rFonts w:cs="Arial" w:hint="cs"/>
          <w:rtl/>
        </w:rPr>
        <w:t>שכותב</w:t>
      </w:r>
      <w:r w:rsidRPr="00071B0A">
        <w:rPr>
          <w:rFonts w:cs="Arial"/>
          <w:rtl/>
        </w:rPr>
        <w:t xml:space="preserve"> </w:t>
      </w:r>
      <w:r w:rsidRPr="00071B0A">
        <w:rPr>
          <w:rFonts w:cs="Arial" w:hint="cs"/>
          <w:rtl/>
        </w:rPr>
        <w:t>בכתביו</w:t>
      </w:r>
      <w:r>
        <w:rPr>
          <w:rFonts w:cs="Arial" w:hint="cs"/>
          <w:rtl/>
        </w:rPr>
        <w:t>.</w:t>
      </w:r>
      <w:r w:rsidRPr="00071B0A">
        <w:rPr>
          <w:rFonts w:cs="Arial"/>
          <w:rtl/>
        </w:rPr>
        <w:t xml:space="preserve"> </w:t>
      </w:r>
      <w:r w:rsidRPr="00071B0A">
        <w:rPr>
          <w:rFonts w:cs="Arial" w:hint="cs"/>
          <w:rtl/>
        </w:rPr>
        <w:t>ועוד</w:t>
      </w:r>
      <w:r w:rsidRPr="00071B0A">
        <w:rPr>
          <w:rFonts w:cs="Arial"/>
          <w:rtl/>
        </w:rPr>
        <w:t xml:space="preserve"> </w:t>
      </w:r>
      <w:r w:rsidRPr="00071B0A">
        <w:rPr>
          <w:rFonts w:cs="Arial" w:hint="cs"/>
          <w:rtl/>
        </w:rPr>
        <w:t>דמה</w:t>
      </w:r>
      <w:r w:rsidRPr="00071B0A">
        <w:rPr>
          <w:rFonts w:cs="Arial"/>
          <w:rtl/>
        </w:rPr>
        <w:t xml:space="preserve"> </w:t>
      </w:r>
      <w:r w:rsidRPr="00071B0A">
        <w:rPr>
          <w:rFonts w:cs="Arial" w:hint="cs"/>
          <w:rtl/>
        </w:rPr>
        <w:t>שקשה</w:t>
      </w:r>
      <w:r w:rsidRPr="00071B0A">
        <w:rPr>
          <w:rFonts w:cs="Arial"/>
          <w:rtl/>
        </w:rPr>
        <w:t xml:space="preserve"> </w:t>
      </w:r>
      <w:r w:rsidRPr="00071B0A">
        <w:rPr>
          <w:rFonts w:cs="Arial" w:hint="cs"/>
          <w:rtl/>
        </w:rPr>
        <w:t>ממה</w:t>
      </w:r>
      <w:r w:rsidRPr="00071B0A">
        <w:rPr>
          <w:rFonts w:cs="Arial"/>
          <w:rtl/>
        </w:rPr>
        <w:t xml:space="preserve"> </w:t>
      </w:r>
      <w:r w:rsidRPr="00071B0A">
        <w:rPr>
          <w:rFonts w:cs="Arial" w:hint="cs"/>
          <w:rtl/>
        </w:rPr>
        <w:t>שכתב</w:t>
      </w:r>
      <w:r w:rsidRPr="00071B0A">
        <w:rPr>
          <w:rFonts w:cs="Arial"/>
          <w:rtl/>
        </w:rPr>
        <w:t xml:space="preserve"> </w:t>
      </w:r>
      <w:r w:rsidRPr="00071B0A">
        <w:rPr>
          <w:rFonts w:cs="Arial" w:hint="cs"/>
          <w:rtl/>
        </w:rPr>
        <w:t>בכתביו</w:t>
      </w:r>
      <w:r w:rsidRPr="00071B0A">
        <w:rPr>
          <w:rFonts w:cs="Arial"/>
          <w:rtl/>
        </w:rPr>
        <w:t xml:space="preserve"> </w:t>
      </w:r>
      <w:r w:rsidRPr="00071B0A">
        <w:rPr>
          <w:rFonts w:cs="Arial" w:hint="cs"/>
          <w:rtl/>
        </w:rPr>
        <w:t>כבר</w:t>
      </w:r>
      <w:r w:rsidRPr="00071B0A">
        <w:rPr>
          <w:rFonts w:cs="Arial"/>
          <w:rtl/>
        </w:rPr>
        <w:t xml:space="preserve"> </w:t>
      </w:r>
      <w:r w:rsidRPr="00071B0A">
        <w:rPr>
          <w:rFonts w:cs="Arial" w:hint="cs"/>
          <w:rtl/>
        </w:rPr>
        <w:t>יישבו</w:t>
      </w:r>
      <w:r w:rsidRPr="00071B0A">
        <w:rPr>
          <w:rFonts w:cs="Arial"/>
          <w:rtl/>
        </w:rPr>
        <w:t xml:space="preserve"> </w:t>
      </w:r>
      <w:r w:rsidRPr="00071B0A">
        <w:rPr>
          <w:rFonts w:cs="Arial" w:hint="cs"/>
          <w:rtl/>
        </w:rPr>
        <w:t>בתרומת</w:t>
      </w:r>
      <w:r w:rsidRPr="00071B0A">
        <w:rPr>
          <w:rFonts w:cs="Arial"/>
          <w:rtl/>
        </w:rPr>
        <w:t xml:space="preserve"> </w:t>
      </w:r>
      <w:r w:rsidRPr="00071B0A">
        <w:rPr>
          <w:rFonts w:cs="Arial" w:hint="cs"/>
          <w:rtl/>
        </w:rPr>
        <w:t>הדשן</w:t>
      </w:r>
      <w:r>
        <w:rPr>
          <w:rFonts w:cs="Arial" w:hint="cs"/>
          <w:rtl/>
        </w:rPr>
        <w:t>.</w:t>
      </w:r>
    </w:p>
    <w:p w14:paraId="2CF3B047"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BBE4F4A" w14:textId="77777777" w:rsidR="004B2E7C" w:rsidRDefault="004B2E7C" w:rsidP="00434A6A">
      <w:pPr>
        <w:rPr>
          <w:rFonts w:asciiTheme="minorBidi" w:hAnsiTheme="minorBidi"/>
          <w:rtl/>
        </w:rPr>
      </w:pPr>
      <w:r w:rsidRPr="00CC2350">
        <w:rPr>
          <w:rFonts w:asciiTheme="minorBidi" w:hAnsiTheme="minorBidi" w:cs="Arial"/>
          <w:rtl/>
        </w:rPr>
        <w:t>אם בא לב</w:t>
      </w:r>
      <w:r>
        <w:rPr>
          <w:rFonts w:asciiTheme="minorBidi" w:hAnsiTheme="minorBidi" w:cs="Arial" w:hint="cs"/>
          <w:rtl/>
        </w:rPr>
        <w:t xml:space="preserve">ית </w:t>
      </w:r>
      <w:r w:rsidRPr="00CC2350">
        <w:rPr>
          <w:rFonts w:asciiTheme="minorBidi" w:hAnsiTheme="minorBidi" w:cs="Arial"/>
          <w:rtl/>
        </w:rPr>
        <w:t>הכנ</w:t>
      </w:r>
      <w:r>
        <w:rPr>
          <w:rFonts w:asciiTheme="minorBidi" w:hAnsiTheme="minorBidi" w:cs="Arial" w:hint="cs"/>
          <w:rtl/>
        </w:rPr>
        <w:t>סת</w:t>
      </w:r>
      <w:r w:rsidRPr="00CC2350">
        <w:rPr>
          <w:rFonts w:asciiTheme="minorBidi" w:hAnsiTheme="minorBidi" w:cs="Arial"/>
          <w:rtl/>
        </w:rPr>
        <w:t xml:space="preserve"> סמוך לקבלת הצבור שבת, מתחיל להתפלל מנחה ואף על פי שבעודו מתפלל יקבלו הצבור שבת אין בכך כלום, הואיל והתחיל בהיתר. </w:t>
      </w:r>
    </w:p>
    <w:p w14:paraId="6EF485E6" w14:textId="77777777" w:rsidR="004B2E7C" w:rsidRPr="00CC2350" w:rsidRDefault="004B2E7C" w:rsidP="00434A6A">
      <w:pPr>
        <w:rPr>
          <w:rFonts w:asciiTheme="minorBidi" w:hAnsiTheme="minorBidi"/>
          <w:rtl/>
        </w:rPr>
      </w:pPr>
    </w:p>
    <w:p w14:paraId="35C1B55A" w14:textId="77777777" w:rsidR="004B2E7C" w:rsidRDefault="004B2E7C" w:rsidP="00434A6A">
      <w:pPr>
        <w:pStyle w:val="2"/>
        <w:rPr>
          <w:rtl/>
        </w:rPr>
      </w:pPr>
      <w:r w:rsidRPr="00CC2350">
        <w:rPr>
          <w:rtl/>
        </w:rPr>
        <w:t>סעיף יז</w:t>
      </w:r>
      <w:r>
        <w:rPr>
          <w:rFonts w:hint="cs"/>
          <w:rtl/>
        </w:rPr>
        <w:t>: ישראל שקיבל שבת מוקדם ורוצה שחברו יעשה בשבילו מלאכה.</w:t>
      </w:r>
    </w:p>
    <w:p w14:paraId="63570DA4" w14:textId="77777777" w:rsidR="004B2E7C" w:rsidRDefault="004B2E7C" w:rsidP="00434A6A">
      <w:pPr>
        <w:rPr>
          <w:rtl/>
        </w:rPr>
      </w:pPr>
      <w:r w:rsidRPr="00D1049E">
        <w:rPr>
          <w:rFonts w:cs="Arial" w:hint="cs"/>
          <w:b/>
          <w:bCs/>
          <w:rtl/>
        </w:rPr>
        <w:t xml:space="preserve">שבת </w:t>
      </w:r>
      <w:r>
        <w:rPr>
          <w:rFonts w:cs="Arial" w:hint="cs"/>
          <w:b/>
          <w:bCs/>
          <w:sz w:val="16"/>
          <w:szCs w:val="16"/>
          <w:rtl/>
        </w:rPr>
        <w:t xml:space="preserve">(פרק שואל) </w:t>
      </w:r>
      <w:r w:rsidRPr="00D1049E">
        <w:rPr>
          <w:rFonts w:cs="Arial" w:hint="cs"/>
          <w:b/>
          <w:bCs/>
          <w:rtl/>
        </w:rPr>
        <w:t xml:space="preserve">קנא ע"א: </w:t>
      </w:r>
      <w:r w:rsidRPr="00D1049E">
        <w:rPr>
          <w:rFonts w:cs="Arial"/>
          <w:u w:val="single"/>
          <w:rtl/>
        </w:rPr>
        <w:t>דאמר רב יהודה אמר שמואל</w:t>
      </w:r>
      <w:r w:rsidRPr="00D1049E">
        <w:rPr>
          <w:rFonts w:cs="Arial"/>
          <w:rtl/>
        </w:rPr>
        <w:t>: מותר לאדם לומר לחבירו: שמור לי פירות שבתחומך, ואני אשמור לך פירות שבתחומי</w:t>
      </w:r>
      <w:r>
        <w:rPr>
          <w:rStyle w:val="a9"/>
          <w:rFonts w:cs="Arial"/>
          <w:rtl/>
        </w:rPr>
        <w:footnoteReference w:id="672"/>
      </w:r>
      <w:r w:rsidRPr="00D1049E">
        <w:rPr>
          <w:rFonts w:cs="Arial"/>
          <w:rtl/>
        </w:rPr>
        <w:t>.</w:t>
      </w:r>
    </w:p>
    <w:p w14:paraId="1DB34584" w14:textId="77777777" w:rsidR="004B2E7C" w:rsidRPr="00C57730" w:rsidRDefault="004B2E7C" w:rsidP="00434A6A">
      <w:pPr>
        <w:rPr>
          <w:u w:val="single"/>
          <w:rtl/>
        </w:rPr>
      </w:pPr>
      <w:r w:rsidRPr="00C57730">
        <w:rPr>
          <w:rFonts w:hint="cs"/>
          <w:u w:val="single"/>
          <w:rtl/>
        </w:rPr>
        <w:t xml:space="preserve">ישראל שקיבל שבת מוקדם </w:t>
      </w:r>
      <w:r w:rsidRPr="00C57730">
        <w:rPr>
          <w:u w:val="single"/>
          <w:rtl/>
        </w:rPr>
        <w:t>–</w:t>
      </w:r>
      <w:r w:rsidRPr="00C57730">
        <w:rPr>
          <w:rFonts w:hint="cs"/>
          <w:u w:val="single"/>
          <w:rtl/>
        </w:rPr>
        <w:t xml:space="preserve"> האם יכול לומ</w:t>
      </w:r>
      <w:r>
        <w:rPr>
          <w:rFonts w:hint="cs"/>
          <w:u w:val="single"/>
          <w:rtl/>
        </w:rPr>
        <w:t>ר ל</w:t>
      </w:r>
      <w:r w:rsidRPr="00C57730">
        <w:rPr>
          <w:rFonts w:hint="cs"/>
          <w:u w:val="single"/>
          <w:rtl/>
        </w:rPr>
        <w:t>חברו</w:t>
      </w:r>
      <w:r>
        <w:rPr>
          <w:rFonts w:hint="cs"/>
          <w:u w:val="single"/>
          <w:rtl/>
        </w:rPr>
        <w:t xml:space="preserve"> ישראל</w:t>
      </w:r>
      <w:r w:rsidRPr="00C57730">
        <w:rPr>
          <w:rFonts w:hint="cs"/>
          <w:u w:val="single"/>
          <w:rtl/>
        </w:rPr>
        <w:t xml:space="preserve"> לעשות בשבילו מלאכה:</w:t>
      </w:r>
    </w:p>
    <w:p w14:paraId="017E92E0" w14:textId="77777777" w:rsidR="004B2E7C" w:rsidRPr="00262838" w:rsidRDefault="004B2E7C" w:rsidP="00FF2D21">
      <w:pPr>
        <w:pStyle w:val="aa"/>
        <w:numPr>
          <w:ilvl w:val="0"/>
          <w:numId w:val="90"/>
        </w:numPr>
        <w:rPr>
          <w:rFonts w:cs="Arial"/>
        </w:rPr>
      </w:pPr>
      <w:r w:rsidRPr="00D1049E">
        <w:rPr>
          <w:rFonts w:cs="Arial" w:hint="cs"/>
          <w:rtl/>
        </w:rPr>
        <w:t>רשב</w:t>
      </w:r>
      <w:r w:rsidRPr="00D1049E">
        <w:rPr>
          <w:rFonts w:cs="Arial"/>
          <w:rtl/>
        </w:rPr>
        <w:t>"</w:t>
      </w:r>
      <w:r w:rsidRPr="00D1049E">
        <w:rPr>
          <w:rFonts w:cs="Arial" w:hint="cs"/>
          <w:rtl/>
        </w:rPr>
        <w:t>א</w:t>
      </w:r>
      <w:r w:rsidRPr="00D1049E">
        <w:rPr>
          <w:rFonts w:cs="Arial"/>
          <w:rtl/>
        </w:rPr>
        <w:t xml:space="preserve"> </w:t>
      </w:r>
      <w:r w:rsidRPr="00D1049E">
        <w:rPr>
          <w:rFonts w:cs="Arial"/>
          <w:sz w:val="16"/>
          <w:szCs w:val="16"/>
          <w:rtl/>
        </w:rPr>
        <w:t>(</w:t>
      </w:r>
      <w:r w:rsidRPr="00D1049E">
        <w:rPr>
          <w:rFonts w:cs="Arial" w:hint="cs"/>
          <w:sz w:val="16"/>
          <w:szCs w:val="16"/>
          <w:rtl/>
        </w:rPr>
        <w:t>בחי</w:t>
      </w:r>
      <w:r w:rsidRPr="00D1049E">
        <w:rPr>
          <w:rFonts w:cs="Arial"/>
          <w:sz w:val="16"/>
          <w:szCs w:val="16"/>
          <w:rtl/>
        </w:rPr>
        <w:t xml:space="preserve">' </w:t>
      </w:r>
      <w:r w:rsidRPr="00D1049E">
        <w:rPr>
          <w:rFonts w:cs="Arial" w:hint="cs"/>
          <w:sz w:val="16"/>
          <w:szCs w:val="16"/>
          <w:rtl/>
        </w:rPr>
        <w:t>שם</w:t>
      </w:r>
      <w:r w:rsidRPr="00D1049E">
        <w:rPr>
          <w:rFonts w:cs="Arial"/>
          <w:sz w:val="16"/>
          <w:szCs w:val="16"/>
          <w:rtl/>
        </w:rPr>
        <w:t xml:space="preserve"> </w:t>
      </w:r>
      <w:r w:rsidRPr="00D1049E">
        <w:rPr>
          <w:rFonts w:cs="Arial" w:hint="cs"/>
          <w:sz w:val="16"/>
          <w:szCs w:val="16"/>
          <w:rtl/>
        </w:rPr>
        <w:t>ד</w:t>
      </w:r>
      <w:r w:rsidRPr="00D1049E">
        <w:rPr>
          <w:rFonts w:cs="Arial"/>
          <w:sz w:val="16"/>
          <w:szCs w:val="16"/>
          <w:rtl/>
        </w:rPr>
        <w:t>"</w:t>
      </w:r>
      <w:r w:rsidRPr="00D1049E">
        <w:rPr>
          <w:rFonts w:cs="Arial" w:hint="cs"/>
          <w:sz w:val="16"/>
          <w:szCs w:val="16"/>
          <w:rtl/>
        </w:rPr>
        <w:t>ה</w:t>
      </w:r>
      <w:r w:rsidRPr="00D1049E">
        <w:rPr>
          <w:rFonts w:cs="Arial"/>
          <w:sz w:val="16"/>
          <w:szCs w:val="16"/>
          <w:rtl/>
        </w:rPr>
        <w:t xml:space="preserve"> </w:t>
      </w:r>
      <w:r w:rsidRPr="00D1049E">
        <w:rPr>
          <w:rFonts w:cs="Arial" w:hint="cs"/>
          <w:sz w:val="16"/>
          <w:szCs w:val="16"/>
          <w:rtl/>
        </w:rPr>
        <w:t>אמר</w:t>
      </w:r>
      <w:r w:rsidRPr="00D1049E">
        <w:rPr>
          <w:rFonts w:cs="Arial"/>
          <w:sz w:val="16"/>
          <w:szCs w:val="16"/>
          <w:rtl/>
        </w:rPr>
        <w:t xml:space="preserve"> </w:t>
      </w:r>
      <w:r w:rsidRPr="00D1049E">
        <w:rPr>
          <w:rFonts w:cs="Arial" w:hint="cs"/>
          <w:sz w:val="16"/>
          <w:szCs w:val="16"/>
          <w:rtl/>
        </w:rPr>
        <w:t>רב</w:t>
      </w:r>
      <w:r w:rsidRPr="00D1049E">
        <w:rPr>
          <w:rFonts w:cs="Arial"/>
          <w:sz w:val="16"/>
          <w:szCs w:val="16"/>
          <w:rtl/>
        </w:rPr>
        <w:t xml:space="preserve"> </w:t>
      </w:r>
      <w:r w:rsidRPr="00D1049E">
        <w:rPr>
          <w:rFonts w:cs="Arial" w:hint="cs"/>
          <w:sz w:val="16"/>
          <w:szCs w:val="16"/>
          <w:rtl/>
        </w:rPr>
        <w:t>יהודה</w:t>
      </w:r>
      <w:r w:rsidRPr="00D1049E">
        <w:rPr>
          <w:rFonts w:cs="Arial"/>
          <w:sz w:val="16"/>
          <w:szCs w:val="16"/>
          <w:rtl/>
        </w:rPr>
        <w:t>)</w:t>
      </w:r>
      <w:r w:rsidRPr="00D1049E">
        <w:rPr>
          <w:rFonts w:cs="Arial" w:hint="cs"/>
          <w:rtl/>
        </w:rPr>
        <w:t>-</w:t>
      </w:r>
      <w:r w:rsidRPr="00D1049E">
        <w:rPr>
          <w:rFonts w:cs="Arial"/>
          <w:rtl/>
        </w:rPr>
        <w:t xml:space="preserve"> וכתבו בתוספות דמהא שמעינן דישראל שקיבל עליו שבת קודם שחשיכה מותר לומר לישראל חבירו לעשות לו מלאכה פלונית הואיל והיא נעשית בהיתר לעושה אותה</w:t>
      </w:r>
      <w:r>
        <w:rPr>
          <w:rStyle w:val="a9"/>
          <w:rFonts w:cs="Arial"/>
          <w:rtl/>
        </w:rPr>
        <w:footnoteReference w:id="673"/>
      </w:r>
      <w:r w:rsidRPr="00D1049E">
        <w:rPr>
          <w:rFonts w:cs="Arial" w:hint="cs"/>
          <w:rtl/>
        </w:rPr>
        <w:t>.</w:t>
      </w:r>
      <w:r>
        <w:rPr>
          <w:rFonts w:cs="Arial" w:hint="cs"/>
          <w:rtl/>
        </w:rPr>
        <w:t xml:space="preserve"> </w:t>
      </w:r>
      <w:r w:rsidRPr="004C4CDF">
        <w:rPr>
          <w:rFonts w:cs="Arial" w:hint="cs"/>
          <w:color w:val="E36C0A" w:themeColor="accent6" w:themeShade="BF"/>
          <w:rtl/>
        </w:rPr>
        <w:t>(וכ"פ בשו"ע)</w:t>
      </w:r>
    </w:p>
    <w:p w14:paraId="6FD55E82" w14:textId="77777777" w:rsidR="004B2E7C" w:rsidRPr="00F32067" w:rsidRDefault="004B2E7C" w:rsidP="00434A6A">
      <w:pPr>
        <w:ind w:left="360"/>
        <w:rPr>
          <w:rFonts w:cs="Arial"/>
          <w:u w:val="dotted"/>
        </w:rPr>
      </w:pPr>
      <w:r w:rsidRPr="00F32067">
        <w:rPr>
          <w:rFonts w:cs="Arial" w:hint="cs"/>
          <w:u w:val="dotted"/>
          <w:rtl/>
        </w:rPr>
        <w:t xml:space="preserve">ומה הדין במוצ"ש, האם יכול לומר לחברו </w:t>
      </w:r>
      <w:r w:rsidRPr="00F32067">
        <w:rPr>
          <w:rFonts w:cs="Arial" w:hint="cs"/>
          <w:sz w:val="16"/>
          <w:szCs w:val="16"/>
          <w:u w:val="dotted"/>
          <w:rtl/>
        </w:rPr>
        <w:t>(שכבר הוציא את השבת</w:t>
      </w:r>
      <w:r>
        <w:rPr>
          <w:rFonts w:cs="Arial" w:hint="cs"/>
          <w:sz w:val="16"/>
          <w:szCs w:val="16"/>
          <w:u w:val="dotted"/>
          <w:rtl/>
        </w:rPr>
        <w:t>)</w:t>
      </w:r>
      <w:r w:rsidRPr="00F32067">
        <w:rPr>
          <w:rFonts w:cs="Arial" w:hint="cs"/>
          <w:u w:val="dotted"/>
          <w:rtl/>
        </w:rPr>
        <w:t xml:space="preserve"> לעשות מלאכה בשבילו</w:t>
      </w:r>
      <w:r>
        <w:rPr>
          <w:rFonts w:cs="Arial" w:hint="cs"/>
          <w:u w:val="dotted"/>
          <w:rtl/>
        </w:rPr>
        <w:t xml:space="preserve"> או להנות ממלאכת חברו</w:t>
      </w:r>
      <w:r w:rsidRPr="00F32067">
        <w:rPr>
          <w:rFonts w:cs="Arial" w:hint="cs"/>
          <w:u w:val="dotted"/>
          <w:rtl/>
        </w:rPr>
        <w:t>:</w:t>
      </w:r>
    </w:p>
    <w:p w14:paraId="679797D6" w14:textId="77777777" w:rsidR="004B2E7C" w:rsidRDefault="004B2E7C" w:rsidP="00FF2D21">
      <w:pPr>
        <w:pStyle w:val="aa"/>
        <w:numPr>
          <w:ilvl w:val="0"/>
          <w:numId w:val="90"/>
        </w:numPr>
        <w:rPr>
          <w:rFonts w:cs="Arial"/>
        </w:rPr>
      </w:pPr>
      <w:r>
        <w:rPr>
          <w:rFonts w:cs="Arial" w:hint="cs"/>
          <w:rtl/>
        </w:rPr>
        <w:t xml:space="preserve">דרכ"מ </w:t>
      </w:r>
      <w:r w:rsidRPr="00262838">
        <w:rPr>
          <w:rFonts w:cs="Arial" w:hint="cs"/>
          <w:sz w:val="16"/>
          <w:szCs w:val="16"/>
          <w:rtl/>
        </w:rPr>
        <w:t>(אות ח)</w:t>
      </w:r>
      <w:r>
        <w:rPr>
          <w:rFonts w:cs="Arial" w:hint="cs"/>
          <w:rtl/>
        </w:rPr>
        <w:t>-</w:t>
      </w:r>
      <w:r w:rsidRPr="00262838">
        <w:rPr>
          <w:rFonts w:cs="Arial" w:hint="cs"/>
          <w:rtl/>
        </w:rPr>
        <w:t xml:space="preserve"> </w:t>
      </w:r>
      <w:r w:rsidRPr="0075388A">
        <w:rPr>
          <w:rFonts w:cs="Arial" w:hint="cs"/>
          <w:rtl/>
        </w:rPr>
        <w:t>נראה</w:t>
      </w:r>
      <w:r w:rsidRPr="0075388A">
        <w:rPr>
          <w:rFonts w:cs="Arial"/>
          <w:rtl/>
        </w:rPr>
        <w:t xml:space="preserve"> </w:t>
      </w:r>
      <w:r w:rsidRPr="0075388A">
        <w:rPr>
          <w:rFonts w:cs="Arial" w:hint="cs"/>
          <w:rtl/>
        </w:rPr>
        <w:t>לומר</w:t>
      </w:r>
      <w:r w:rsidRPr="0075388A">
        <w:rPr>
          <w:rFonts w:cs="Arial"/>
          <w:rtl/>
        </w:rPr>
        <w:t xml:space="preserve"> </w:t>
      </w:r>
      <w:r w:rsidRPr="0075388A">
        <w:rPr>
          <w:rFonts w:cs="Arial" w:hint="cs"/>
          <w:rtl/>
        </w:rPr>
        <w:t>דאף</w:t>
      </w:r>
      <w:r w:rsidRPr="0075388A">
        <w:rPr>
          <w:rFonts w:cs="Arial"/>
          <w:rtl/>
        </w:rPr>
        <w:t xml:space="preserve"> </w:t>
      </w:r>
      <w:r w:rsidRPr="0075388A">
        <w:rPr>
          <w:rFonts w:cs="Arial" w:hint="cs"/>
          <w:rtl/>
        </w:rPr>
        <w:t>לדברי</w:t>
      </w:r>
      <w:r w:rsidRPr="0075388A">
        <w:rPr>
          <w:rFonts w:cs="Arial"/>
          <w:rtl/>
        </w:rPr>
        <w:t xml:space="preserve"> </w:t>
      </w:r>
      <w:r w:rsidRPr="0075388A">
        <w:rPr>
          <w:rFonts w:cs="Arial" w:hint="cs"/>
          <w:rtl/>
        </w:rPr>
        <w:t>הר</w:t>
      </w:r>
      <w:r w:rsidRPr="0075388A">
        <w:rPr>
          <w:rFonts w:cs="Arial"/>
          <w:rtl/>
        </w:rPr>
        <w:t>"</w:t>
      </w:r>
      <w:r w:rsidRPr="0075388A">
        <w:rPr>
          <w:rFonts w:cs="Arial" w:hint="cs"/>
          <w:rtl/>
        </w:rPr>
        <w:t>ן</w:t>
      </w:r>
      <w:r w:rsidRPr="0075388A">
        <w:rPr>
          <w:rFonts w:cs="Arial"/>
          <w:rtl/>
        </w:rPr>
        <w:t xml:space="preserve"> </w:t>
      </w:r>
      <w:r w:rsidRPr="0075388A">
        <w:rPr>
          <w:rFonts w:cs="Arial" w:hint="cs"/>
          <w:rtl/>
        </w:rPr>
        <w:t>דאוסר</w:t>
      </w:r>
      <w:r>
        <w:rPr>
          <w:rFonts w:cs="Arial" w:hint="cs"/>
          <w:rtl/>
        </w:rPr>
        <w:t>,</w:t>
      </w:r>
      <w:r w:rsidRPr="0075388A">
        <w:rPr>
          <w:rFonts w:cs="Arial"/>
          <w:rtl/>
        </w:rPr>
        <w:t xml:space="preserve"> </w:t>
      </w:r>
      <w:r w:rsidRPr="0075388A">
        <w:rPr>
          <w:rFonts w:cs="Arial" w:hint="cs"/>
          <w:rtl/>
        </w:rPr>
        <w:t>היינו</w:t>
      </w:r>
      <w:r w:rsidRPr="0075388A">
        <w:rPr>
          <w:rFonts w:cs="Arial"/>
          <w:rtl/>
        </w:rPr>
        <w:t xml:space="preserve"> </w:t>
      </w:r>
      <w:r w:rsidRPr="0075388A">
        <w:rPr>
          <w:rFonts w:cs="Arial" w:hint="cs"/>
          <w:rtl/>
        </w:rPr>
        <w:t>דוקא</w:t>
      </w:r>
      <w:r w:rsidRPr="0075388A">
        <w:rPr>
          <w:rFonts w:cs="Arial"/>
          <w:rtl/>
        </w:rPr>
        <w:t xml:space="preserve"> </w:t>
      </w:r>
      <w:r w:rsidRPr="0075388A">
        <w:rPr>
          <w:rFonts w:cs="Arial" w:hint="cs"/>
          <w:rtl/>
        </w:rPr>
        <w:t>בתוספת</w:t>
      </w:r>
      <w:r w:rsidRPr="0075388A">
        <w:rPr>
          <w:rFonts w:cs="Arial"/>
          <w:rtl/>
        </w:rPr>
        <w:t xml:space="preserve"> </w:t>
      </w:r>
      <w:r w:rsidRPr="0075388A">
        <w:rPr>
          <w:rFonts w:cs="Arial" w:hint="cs"/>
          <w:rtl/>
        </w:rPr>
        <w:t>של</w:t>
      </w:r>
      <w:r w:rsidRPr="0075388A">
        <w:rPr>
          <w:rFonts w:cs="Arial"/>
          <w:rtl/>
        </w:rPr>
        <w:t xml:space="preserve"> </w:t>
      </w:r>
      <w:r w:rsidRPr="0075388A">
        <w:rPr>
          <w:rFonts w:cs="Arial" w:hint="cs"/>
          <w:rtl/>
        </w:rPr>
        <w:t>הכנסת</w:t>
      </w:r>
      <w:r w:rsidRPr="0075388A">
        <w:rPr>
          <w:rFonts w:cs="Arial"/>
          <w:rtl/>
        </w:rPr>
        <w:t xml:space="preserve"> </w:t>
      </w:r>
      <w:r w:rsidRPr="0075388A">
        <w:rPr>
          <w:rFonts w:cs="Arial" w:hint="cs"/>
          <w:rtl/>
        </w:rPr>
        <w:t>שבת</w:t>
      </w:r>
      <w:r>
        <w:rPr>
          <w:rFonts w:cs="Arial" w:hint="cs"/>
          <w:rtl/>
        </w:rPr>
        <w:t>,</w:t>
      </w:r>
      <w:r w:rsidRPr="0075388A">
        <w:rPr>
          <w:rFonts w:cs="Arial"/>
          <w:rtl/>
        </w:rPr>
        <w:t xml:space="preserve"> </w:t>
      </w:r>
      <w:r w:rsidRPr="0075388A">
        <w:rPr>
          <w:rFonts w:cs="Arial" w:hint="cs"/>
          <w:rtl/>
        </w:rPr>
        <w:t>דאי</w:t>
      </w:r>
      <w:r w:rsidRPr="0075388A">
        <w:rPr>
          <w:rFonts w:cs="Arial"/>
          <w:rtl/>
        </w:rPr>
        <w:t xml:space="preserve"> </w:t>
      </w:r>
      <w:r w:rsidRPr="0075388A">
        <w:rPr>
          <w:rFonts w:cs="Arial" w:hint="cs"/>
          <w:rtl/>
        </w:rPr>
        <w:t>אפשר</w:t>
      </w:r>
      <w:r w:rsidRPr="0075388A">
        <w:rPr>
          <w:rFonts w:cs="Arial"/>
          <w:rtl/>
        </w:rPr>
        <w:t xml:space="preserve"> </w:t>
      </w:r>
      <w:r w:rsidRPr="0075388A">
        <w:rPr>
          <w:rFonts w:cs="Arial" w:hint="cs"/>
          <w:rtl/>
        </w:rPr>
        <w:t>לו</w:t>
      </w:r>
      <w:r w:rsidRPr="0075388A">
        <w:rPr>
          <w:rFonts w:cs="Arial"/>
          <w:rtl/>
        </w:rPr>
        <w:t xml:space="preserve"> </w:t>
      </w:r>
      <w:r w:rsidRPr="0075388A">
        <w:rPr>
          <w:rFonts w:cs="Arial" w:hint="cs"/>
          <w:rtl/>
        </w:rPr>
        <w:t>לעשות</w:t>
      </w:r>
      <w:r w:rsidRPr="0075388A">
        <w:rPr>
          <w:rFonts w:cs="Arial"/>
          <w:rtl/>
        </w:rPr>
        <w:t xml:space="preserve"> </w:t>
      </w:r>
      <w:r w:rsidRPr="0075388A">
        <w:rPr>
          <w:rFonts w:cs="Arial" w:hint="cs"/>
          <w:rtl/>
        </w:rPr>
        <w:t>בעצמו</w:t>
      </w:r>
      <w:r>
        <w:rPr>
          <w:rFonts w:cs="Arial" w:hint="cs"/>
          <w:rtl/>
        </w:rPr>
        <w:t>,</w:t>
      </w:r>
      <w:r w:rsidRPr="0075388A">
        <w:rPr>
          <w:rFonts w:cs="Arial"/>
          <w:rtl/>
        </w:rPr>
        <w:t xml:space="preserve"> </w:t>
      </w:r>
      <w:r w:rsidRPr="0075388A">
        <w:rPr>
          <w:rFonts w:cs="Arial" w:hint="cs"/>
          <w:rtl/>
        </w:rPr>
        <w:t>אבל</w:t>
      </w:r>
      <w:r w:rsidRPr="0075388A">
        <w:rPr>
          <w:rFonts w:cs="Arial"/>
          <w:rtl/>
        </w:rPr>
        <w:t xml:space="preserve"> </w:t>
      </w:r>
      <w:r w:rsidRPr="0075388A">
        <w:rPr>
          <w:rFonts w:cs="Arial" w:hint="cs"/>
          <w:rtl/>
        </w:rPr>
        <w:t>בתוספת</w:t>
      </w:r>
      <w:r w:rsidRPr="0075388A">
        <w:rPr>
          <w:rFonts w:cs="Arial"/>
          <w:rtl/>
        </w:rPr>
        <w:t xml:space="preserve"> </w:t>
      </w:r>
      <w:r w:rsidRPr="0075388A">
        <w:rPr>
          <w:rFonts w:cs="Arial" w:hint="cs"/>
          <w:rtl/>
        </w:rPr>
        <w:t>של</w:t>
      </w:r>
      <w:r w:rsidRPr="0075388A">
        <w:rPr>
          <w:rFonts w:cs="Arial"/>
          <w:rtl/>
        </w:rPr>
        <w:t xml:space="preserve"> </w:t>
      </w:r>
      <w:r w:rsidRPr="0075388A">
        <w:rPr>
          <w:rFonts w:cs="Arial" w:hint="cs"/>
          <w:rtl/>
        </w:rPr>
        <w:t>מוצאי</w:t>
      </w:r>
      <w:r w:rsidRPr="0075388A">
        <w:rPr>
          <w:rFonts w:cs="Arial"/>
          <w:rtl/>
        </w:rPr>
        <w:t xml:space="preserve"> </w:t>
      </w:r>
      <w:r w:rsidRPr="0075388A">
        <w:rPr>
          <w:rFonts w:cs="Arial" w:hint="cs"/>
          <w:rtl/>
        </w:rPr>
        <w:t>שבת</w:t>
      </w:r>
      <w:r w:rsidRPr="0075388A">
        <w:rPr>
          <w:rFonts w:cs="Arial"/>
          <w:rtl/>
        </w:rPr>
        <w:t xml:space="preserve"> </w:t>
      </w:r>
      <w:r w:rsidRPr="0075388A">
        <w:rPr>
          <w:rFonts w:cs="Arial" w:hint="cs"/>
          <w:rtl/>
        </w:rPr>
        <w:t>דאפשר</w:t>
      </w:r>
      <w:r w:rsidRPr="0075388A">
        <w:rPr>
          <w:rFonts w:cs="Arial"/>
          <w:rtl/>
        </w:rPr>
        <w:t xml:space="preserve"> </w:t>
      </w:r>
      <w:r w:rsidRPr="0075388A">
        <w:rPr>
          <w:rFonts w:cs="Arial" w:hint="cs"/>
          <w:rtl/>
        </w:rPr>
        <w:t>לו</w:t>
      </w:r>
      <w:r w:rsidRPr="0075388A">
        <w:rPr>
          <w:rFonts w:cs="Arial"/>
          <w:rtl/>
        </w:rPr>
        <w:t xml:space="preserve"> </w:t>
      </w:r>
      <w:r w:rsidRPr="0075388A">
        <w:rPr>
          <w:rFonts w:cs="Arial" w:hint="cs"/>
          <w:rtl/>
        </w:rPr>
        <w:t>לעשות</w:t>
      </w:r>
      <w:r w:rsidRPr="0075388A">
        <w:rPr>
          <w:rFonts w:cs="Arial"/>
          <w:rtl/>
        </w:rPr>
        <w:t xml:space="preserve"> </w:t>
      </w:r>
      <w:r w:rsidRPr="0075388A">
        <w:rPr>
          <w:rFonts w:cs="Arial" w:hint="cs"/>
          <w:rtl/>
        </w:rPr>
        <w:t>בעצמו</w:t>
      </w:r>
      <w:r w:rsidRPr="0075388A">
        <w:rPr>
          <w:rFonts w:cs="Arial"/>
          <w:rtl/>
        </w:rPr>
        <w:t xml:space="preserve"> </w:t>
      </w:r>
      <w:r w:rsidRPr="0075388A">
        <w:rPr>
          <w:rFonts w:cs="Arial" w:hint="cs"/>
          <w:rtl/>
        </w:rPr>
        <w:t>שיתפלל</w:t>
      </w:r>
      <w:r w:rsidRPr="0075388A">
        <w:rPr>
          <w:rFonts w:cs="Arial"/>
          <w:rtl/>
        </w:rPr>
        <w:t xml:space="preserve"> </w:t>
      </w:r>
      <w:r w:rsidRPr="0075388A">
        <w:rPr>
          <w:rFonts w:cs="Arial" w:hint="cs"/>
          <w:rtl/>
        </w:rPr>
        <w:t>ויבדיל</w:t>
      </w:r>
      <w:r w:rsidRPr="0075388A">
        <w:rPr>
          <w:rFonts w:cs="Arial"/>
          <w:rtl/>
        </w:rPr>
        <w:t xml:space="preserve"> </w:t>
      </w:r>
      <w:r w:rsidRPr="0075388A">
        <w:rPr>
          <w:rFonts w:cs="Arial" w:hint="cs"/>
          <w:rtl/>
        </w:rPr>
        <w:t>שרי</w:t>
      </w:r>
      <w:r>
        <w:rPr>
          <w:rFonts w:cs="Arial" w:hint="cs"/>
          <w:rtl/>
        </w:rPr>
        <w:t>.</w:t>
      </w:r>
      <w:r w:rsidRPr="0075388A">
        <w:rPr>
          <w:rFonts w:cs="Arial"/>
          <w:rtl/>
        </w:rPr>
        <w:t xml:space="preserve"> </w:t>
      </w:r>
      <w:r w:rsidRPr="0075388A">
        <w:rPr>
          <w:rFonts w:cs="Arial" w:hint="cs"/>
          <w:rtl/>
        </w:rPr>
        <w:t>ועיי</w:t>
      </w:r>
      <w:r w:rsidRPr="0075388A">
        <w:rPr>
          <w:rFonts w:cs="Arial"/>
          <w:rtl/>
        </w:rPr>
        <w:t>"</w:t>
      </w:r>
      <w:r w:rsidRPr="0075388A">
        <w:rPr>
          <w:rFonts w:cs="Arial" w:hint="cs"/>
          <w:rtl/>
        </w:rPr>
        <w:t>ש</w:t>
      </w:r>
      <w:r w:rsidRPr="0075388A">
        <w:rPr>
          <w:rFonts w:cs="Arial"/>
          <w:rtl/>
        </w:rPr>
        <w:t xml:space="preserve"> </w:t>
      </w:r>
      <w:r w:rsidRPr="0075388A">
        <w:rPr>
          <w:rFonts w:cs="Arial" w:hint="cs"/>
          <w:rtl/>
        </w:rPr>
        <w:t>בהר</w:t>
      </w:r>
      <w:r w:rsidRPr="0075388A">
        <w:rPr>
          <w:rFonts w:cs="Arial"/>
          <w:rtl/>
        </w:rPr>
        <w:t>"</w:t>
      </w:r>
      <w:r w:rsidRPr="0075388A">
        <w:rPr>
          <w:rFonts w:cs="Arial" w:hint="cs"/>
          <w:rtl/>
        </w:rPr>
        <w:t>ן</w:t>
      </w:r>
      <w:r w:rsidRPr="0075388A">
        <w:rPr>
          <w:rFonts w:cs="Arial"/>
          <w:rtl/>
        </w:rPr>
        <w:t xml:space="preserve"> </w:t>
      </w:r>
      <w:r w:rsidRPr="0075388A">
        <w:rPr>
          <w:rFonts w:cs="Arial" w:hint="cs"/>
          <w:rtl/>
        </w:rPr>
        <w:t>דכן</w:t>
      </w:r>
      <w:r w:rsidRPr="0075388A">
        <w:rPr>
          <w:rFonts w:cs="Arial"/>
          <w:rtl/>
        </w:rPr>
        <w:t xml:space="preserve"> </w:t>
      </w:r>
      <w:r w:rsidRPr="0075388A">
        <w:rPr>
          <w:rFonts w:cs="Arial" w:hint="cs"/>
          <w:rtl/>
        </w:rPr>
        <w:t>נראה</w:t>
      </w:r>
      <w:r w:rsidRPr="0075388A">
        <w:rPr>
          <w:rFonts w:cs="Arial"/>
          <w:rtl/>
        </w:rPr>
        <w:t xml:space="preserve"> </w:t>
      </w:r>
      <w:r w:rsidRPr="0075388A">
        <w:rPr>
          <w:rFonts w:cs="Arial" w:hint="cs"/>
          <w:rtl/>
        </w:rPr>
        <w:t>מדבריו</w:t>
      </w:r>
      <w:r>
        <w:rPr>
          <w:rFonts w:cs="Arial" w:hint="cs"/>
          <w:rtl/>
        </w:rPr>
        <w:t>.</w:t>
      </w:r>
      <w:r w:rsidRPr="0075388A">
        <w:rPr>
          <w:rFonts w:cs="Arial"/>
          <w:rtl/>
        </w:rPr>
        <w:t xml:space="preserve"> </w:t>
      </w:r>
      <w:r w:rsidRPr="0075388A">
        <w:rPr>
          <w:rFonts w:cs="Arial" w:hint="cs"/>
          <w:rtl/>
        </w:rPr>
        <w:t>ולזה</w:t>
      </w:r>
      <w:r w:rsidRPr="0075388A">
        <w:rPr>
          <w:rFonts w:cs="Arial"/>
          <w:rtl/>
        </w:rPr>
        <w:t xml:space="preserve"> </w:t>
      </w:r>
      <w:r w:rsidRPr="0075388A">
        <w:rPr>
          <w:rFonts w:cs="Arial" w:hint="cs"/>
          <w:rtl/>
        </w:rPr>
        <w:t>נראה</w:t>
      </w:r>
      <w:r w:rsidRPr="0075388A">
        <w:rPr>
          <w:rFonts w:cs="Arial"/>
          <w:rtl/>
        </w:rPr>
        <w:t xml:space="preserve"> </w:t>
      </w:r>
      <w:r w:rsidRPr="0075388A">
        <w:rPr>
          <w:rFonts w:cs="Arial" w:hint="cs"/>
          <w:rtl/>
        </w:rPr>
        <w:t>גם</w:t>
      </w:r>
      <w:r w:rsidRPr="0075388A">
        <w:rPr>
          <w:rFonts w:cs="Arial"/>
          <w:rtl/>
        </w:rPr>
        <w:t xml:space="preserve"> </w:t>
      </w:r>
      <w:r w:rsidRPr="0075388A">
        <w:rPr>
          <w:rFonts w:cs="Arial" w:hint="cs"/>
          <w:rtl/>
        </w:rPr>
        <w:t>כן</w:t>
      </w:r>
      <w:r w:rsidRPr="0075388A">
        <w:rPr>
          <w:rFonts w:cs="Arial"/>
          <w:rtl/>
        </w:rPr>
        <w:t xml:space="preserve"> </w:t>
      </w:r>
      <w:r w:rsidRPr="0075388A">
        <w:rPr>
          <w:rFonts w:cs="Arial" w:hint="cs"/>
          <w:rtl/>
        </w:rPr>
        <w:t>דמותר</w:t>
      </w:r>
      <w:r w:rsidRPr="0075388A">
        <w:rPr>
          <w:rFonts w:cs="Arial"/>
          <w:rtl/>
        </w:rPr>
        <w:t xml:space="preserve"> </w:t>
      </w:r>
      <w:r w:rsidRPr="0075388A">
        <w:rPr>
          <w:rFonts w:cs="Arial" w:hint="cs"/>
          <w:rtl/>
        </w:rPr>
        <w:t>ליהנות</w:t>
      </w:r>
      <w:r w:rsidRPr="0075388A">
        <w:rPr>
          <w:rFonts w:cs="Arial"/>
          <w:rtl/>
        </w:rPr>
        <w:t xml:space="preserve"> </w:t>
      </w:r>
      <w:r w:rsidRPr="0075388A">
        <w:rPr>
          <w:rFonts w:cs="Arial" w:hint="cs"/>
          <w:rtl/>
        </w:rPr>
        <w:t>באותה</w:t>
      </w:r>
      <w:r w:rsidRPr="0075388A">
        <w:rPr>
          <w:rFonts w:cs="Arial"/>
          <w:rtl/>
        </w:rPr>
        <w:t xml:space="preserve"> </w:t>
      </w:r>
      <w:r w:rsidRPr="0075388A">
        <w:rPr>
          <w:rFonts w:cs="Arial" w:hint="cs"/>
          <w:rtl/>
        </w:rPr>
        <w:t>מלאכה</w:t>
      </w:r>
      <w:r w:rsidRPr="0075388A">
        <w:rPr>
          <w:rFonts w:cs="Arial"/>
          <w:rtl/>
        </w:rPr>
        <w:t xml:space="preserve"> </w:t>
      </w:r>
      <w:r w:rsidRPr="0075388A">
        <w:rPr>
          <w:rFonts w:cs="Arial" w:hint="cs"/>
          <w:rtl/>
        </w:rPr>
        <w:t>שעשו</w:t>
      </w:r>
      <w:r w:rsidRPr="0075388A">
        <w:rPr>
          <w:rFonts w:cs="Arial"/>
          <w:rtl/>
        </w:rPr>
        <w:t xml:space="preserve"> </w:t>
      </w:r>
      <w:r w:rsidRPr="0075388A">
        <w:rPr>
          <w:rFonts w:cs="Arial" w:hint="cs"/>
          <w:rtl/>
        </w:rPr>
        <w:t>לו</w:t>
      </w:r>
      <w:r w:rsidRPr="0075388A">
        <w:rPr>
          <w:rFonts w:cs="Arial"/>
          <w:rtl/>
        </w:rPr>
        <w:t xml:space="preserve"> </w:t>
      </w:r>
      <w:r w:rsidRPr="0075388A">
        <w:rPr>
          <w:rFonts w:cs="Arial" w:hint="cs"/>
          <w:rtl/>
        </w:rPr>
        <w:t>אחרים</w:t>
      </w:r>
      <w:r w:rsidRPr="0075388A">
        <w:rPr>
          <w:rFonts w:cs="Arial"/>
          <w:rtl/>
        </w:rPr>
        <w:t xml:space="preserve"> </w:t>
      </w:r>
      <w:r w:rsidRPr="0075388A">
        <w:rPr>
          <w:rFonts w:cs="Arial" w:hint="cs"/>
          <w:rtl/>
        </w:rPr>
        <w:t>אע</w:t>
      </w:r>
      <w:r>
        <w:rPr>
          <w:rFonts w:cs="Arial" w:hint="cs"/>
          <w:rtl/>
        </w:rPr>
        <w:t>"</w:t>
      </w:r>
      <w:r w:rsidRPr="0075388A">
        <w:rPr>
          <w:rFonts w:cs="Arial" w:hint="cs"/>
          <w:rtl/>
        </w:rPr>
        <w:t>ג</w:t>
      </w:r>
      <w:r w:rsidRPr="0075388A">
        <w:rPr>
          <w:rFonts w:cs="Arial"/>
          <w:rtl/>
        </w:rPr>
        <w:t xml:space="preserve"> </w:t>
      </w:r>
      <w:r w:rsidRPr="0075388A">
        <w:rPr>
          <w:rFonts w:cs="Arial" w:hint="cs"/>
          <w:rtl/>
        </w:rPr>
        <w:t>דהוא</w:t>
      </w:r>
      <w:r w:rsidRPr="0075388A">
        <w:rPr>
          <w:rFonts w:cs="Arial"/>
          <w:rtl/>
        </w:rPr>
        <w:t xml:space="preserve"> </w:t>
      </w:r>
      <w:r w:rsidRPr="0075388A">
        <w:rPr>
          <w:rFonts w:cs="Arial" w:hint="cs"/>
          <w:rtl/>
        </w:rPr>
        <w:t>עצמו</w:t>
      </w:r>
      <w:r w:rsidRPr="0075388A">
        <w:rPr>
          <w:rFonts w:cs="Arial"/>
          <w:rtl/>
        </w:rPr>
        <w:t xml:space="preserve"> </w:t>
      </w:r>
      <w:r w:rsidRPr="0075388A">
        <w:rPr>
          <w:rFonts w:cs="Arial" w:hint="cs"/>
          <w:rtl/>
        </w:rPr>
        <w:t>עדיין</w:t>
      </w:r>
      <w:r w:rsidRPr="0075388A">
        <w:rPr>
          <w:rFonts w:cs="Arial"/>
          <w:rtl/>
        </w:rPr>
        <w:t xml:space="preserve"> </w:t>
      </w:r>
      <w:r w:rsidRPr="0075388A">
        <w:rPr>
          <w:rFonts w:cs="Arial" w:hint="cs"/>
          <w:rtl/>
        </w:rPr>
        <w:t>אסור</w:t>
      </w:r>
      <w:r w:rsidRPr="0075388A">
        <w:rPr>
          <w:rFonts w:cs="Arial"/>
          <w:rtl/>
        </w:rPr>
        <w:t xml:space="preserve"> </w:t>
      </w:r>
      <w:r w:rsidRPr="0075388A">
        <w:rPr>
          <w:rFonts w:cs="Arial" w:hint="cs"/>
          <w:rtl/>
        </w:rPr>
        <w:t>במלאכה</w:t>
      </w:r>
      <w:r>
        <w:rPr>
          <w:rFonts w:cs="Arial" w:hint="cs"/>
          <w:rtl/>
        </w:rPr>
        <w:t>,</w:t>
      </w:r>
      <w:r w:rsidRPr="0075388A">
        <w:rPr>
          <w:rFonts w:cs="Arial"/>
          <w:rtl/>
        </w:rPr>
        <w:t xml:space="preserve"> </w:t>
      </w:r>
      <w:r w:rsidRPr="0075388A">
        <w:rPr>
          <w:rFonts w:cs="Arial" w:hint="cs"/>
          <w:rtl/>
        </w:rPr>
        <w:t>מידי</w:t>
      </w:r>
      <w:r w:rsidRPr="0075388A">
        <w:rPr>
          <w:rFonts w:cs="Arial"/>
          <w:rtl/>
        </w:rPr>
        <w:t xml:space="preserve"> </w:t>
      </w:r>
      <w:r w:rsidRPr="0075388A">
        <w:rPr>
          <w:rFonts w:cs="Arial" w:hint="cs"/>
          <w:rtl/>
        </w:rPr>
        <w:t>דהוה</w:t>
      </w:r>
      <w:r w:rsidRPr="0075388A">
        <w:rPr>
          <w:rFonts w:cs="Arial"/>
          <w:rtl/>
        </w:rPr>
        <w:t xml:space="preserve"> </w:t>
      </w:r>
      <w:r w:rsidRPr="0075388A">
        <w:rPr>
          <w:rFonts w:cs="Arial" w:hint="cs"/>
          <w:rtl/>
        </w:rPr>
        <w:t>אמי</w:t>
      </w:r>
      <w:r w:rsidRPr="0075388A">
        <w:rPr>
          <w:rFonts w:cs="Arial"/>
          <w:rtl/>
        </w:rPr>
        <w:t xml:space="preserve"> </w:t>
      </w:r>
      <w:r w:rsidRPr="0075388A">
        <w:rPr>
          <w:rFonts w:cs="Arial" w:hint="cs"/>
          <w:rtl/>
        </w:rPr>
        <w:t>שלא</w:t>
      </w:r>
      <w:r w:rsidRPr="0075388A">
        <w:rPr>
          <w:rFonts w:cs="Arial"/>
          <w:rtl/>
        </w:rPr>
        <w:t xml:space="preserve"> </w:t>
      </w:r>
      <w:r w:rsidRPr="0075388A">
        <w:rPr>
          <w:rFonts w:cs="Arial" w:hint="cs"/>
          <w:rtl/>
        </w:rPr>
        <w:t>הניח</w:t>
      </w:r>
      <w:r w:rsidRPr="0075388A">
        <w:rPr>
          <w:rFonts w:cs="Arial"/>
          <w:rtl/>
        </w:rPr>
        <w:t xml:space="preserve"> </w:t>
      </w:r>
      <w:r w:rsidRPr="0075388A">
        <w:rPr>
          <w:rFonts w:cs="Arial" w:hint="cs"/>
          <w:rtl/>
        </w:rPr>
        <w:t>עירוב</w:t>
      </w:r>
      <w:r w:rsidRPr="0075388A">
        <w:rPr>
          <w:rFonts w:cs="Arial"/>
          <w:rtl/>
        </w:rPr>
        <w:t xml:space="preserve"> </w:t>
      </w:r>
      <w:r w:rsidRPr="0075388A">
        <w:rPr>
          <w:rFonts w:cs="Arial" w:hint="cs"/>
          <w:rtl/>
        </w:rPr>
        <w:t>תבשילין</w:t>
      </w:r>
      <w:r w:rsidRPr="0075388A">
        <w:rPr>
          <w:rFonts w:cs="Arial"/>
          <w:rtl/>
        </w:rPr>
        <w:t xml:space="preserve"> </w:t>
      </w:r>
      <w:r w:rsidRPr="0075388A">
        <w:rPr>
          <w:rFonts w:cs="Arial" w:hint="cs"/>
          <w:rtl/>
        </w:rPr>
        <w:t>דמותר</w:t>
      </w:r>
      <w:r w:rsidRPr="0075388A">
        <w:rPr>
          <w:rFonts w:cs="Arial"/>
          <w:rtl/>
        </w:rPr>
        <w:t xml:space="preserve"> </w:t>
      </w:r>
      <w:r w:rsidRPr="0075388A">
        <w:rPr>
          <w:rFonts w:cs="Arial" w:hint="cs"/>
          <w:rtl/>
        </w:rPr>
        <w:t>ליהנות</w:t>
      </w:r>
      <w:r w:rsidRPr="0075388A">
        <w:rPr>
          <w:rFonts w:cs="Arial"/>
          <w:rtl/>
        </w:rPr>
        <w:t xml:space="preserve"> </w:t>
      </w:r>
      <w:r w:rsidRPr="0075388A">
        <w:rPr>
          <w:rFonts w:cs="Arial" w:hint="cs"/>
          <w:rtl/>
        </w:rPr>
        <w:t>ולאכול</w:t>
      </w:r>
      <w:r w:rsidRPr="0075388A">
        <w:rPr>
          <w:rFonts w:cs="Arial"/>
          <w:rtl/>
        </w:rPr>
        <w:t xml:space="preserve"> </w:t>
      </w:r>
      <w:r w:rsidRPr="0075388A">
        <w:rPr>
          <w:rFonts w:cs="Arial" w:hint="cs"/>
          <w:rtl/>
        </w:rPr>
        <w:t>ממה</w:t>
      </w:r>
      <w:r w:rsidRPr="0075388A">
        <w:rPr>
          <w:rFonts w:cs="Arial"/>
          <w:rtl/>
        </w:rPr>
        <w:t xml:space="preserve"> </w:t>
      </w:r>
      <w:r w:rsidRPr="0075388A">
        <w:rPr>
          <w:rFonts w:cs="Arial" w:hint="cs"/>
          <w:rtl/>
        </w:rPr>
        <w:t>שאחרים</w:t>
      </w:r>
      <w:r w:rsidRPr="0075388A">
        <w:rPr>
          <w:rFonts w:cs="Arial"/>
          <w:rtl/>
        </w:rPr>
        <w:t xml:space="preserve"> </w:t>
      </w:r>
      <w:r w:rsidRPr="0075388A">
        <w:rPr>
          <w:rFonts w:cs="Arial" w:hint="cs"/>
          <w:rtl/>
        </w:rPr>
        <w:t>אופין</w:t>
      </w:r>
      <w:r w:rsidRPr="0075388A">
        <w:rPr>
          <w:rFonts w:cs="Arial"/>
          <w:rtl/>
        </w:rPr>
        <w:t xml:space="preserve"> </w:t>
      </w:r>
      <w:r w:rsidRPr="0075388A">
        <w:rPr>
          <w:rFonts w:cs="Arial" w:hint="cs"/>
          <w:rtl/>
        </w:rPr>
        <w:t>ומבשלין</w:t>
      </w:r>
      <w:r w:rsidRPr="0075388A">
        <w:rPr>
          <w:rFonts w:cs="Arial"/>
          <w:rtl/>
        </w:rPr>
        <w:t xml:space="preserve"> </w:t>
      </w:r>
      <w:r w:rsidRPr="0075388A">
        <w:rPr>
          <w:rFonts w:cs="Arial" w:hint="cs"/>
          <w:rtl/>
        </w:rPr>
        <w:t>לו</w:t>
      </w:r>
      <w:r w:rsidRPr="0075388A">
        <w:rPr>
          <w:rFonts w:cs="Arial"/>
          <w:rtl/>
        </w:rPr>
        <w:t xml:space="preserve"> </w:t>
      </w:r>
      <w:r w:rsidRPr="0075388A">
        <w:rPr>
          <w:rFonts w:cs="Arial" w:hint="cs"/>
          <w:rtl/>
        </w:rPr>
        <w:t>או</w:t>
      </w:r>
      <w:r w:rsidRPr="0075388A">
        <w:rPr>
          <w:rFonts w:cs="Arial"/>
          <w:rtl/>
        </w:rPr>
        <w:t xml:space="preserve"> </w:t>
      </w:r>
      <w:r w:rsidRPr="0075388A">
        <w:rPr>
          <w:rFonts w:cs="Arial" w:hint="cs"/>
          <w:rtl/>
        </w:rPr>
        <w:t>לעצמן</w:t>
      </w:r>
      <w:r>
        <w:rPr>
          <w:rFonts w:cs="Arial" w:hint="cs"/>
          <w:rtl/>
        </w:rPr>
        <w:t>.</w:t>
      </w:r>
      <w:r w:rsidRPr="0075388A">
        <w:rPr>
          <w:rFonts w:cs="Arial"/>
          <w:rtl/>
        </w:rPr>
        <w:t xml:space="preserve"> </w:t>
      </w:r>
      <w:r w:rsidRPr="0075388A">
        <w:rPr>
          <w:rFonts w:cs="Arial" w:hint="cs"/>
          <w:rtl/>
        </w:rPr>
        <w:t>ואע</w:t>
      </w:r>
      <w:r>
        <w:rPr>
          <w:rFonts w:cs="Arial" w:hint="cs"/>
          <w:rtl/>
        </w:rPr>
        <w:t>"</w:t>
      </w:r>
      <w:r w:rsidRPr="0075388A">
        <w:rPr>
          <w:rFonts w:cs="Arial" w:hint="cs"/>
          <w:rtl/>
        </w:rPr>
        <w:t>ג</w:t>
      </w:r>
      <w:r w:rsidRPr="0075388A">
        <w:rPr>
          <w:rFonts w:cs="Arial"/>
          <w:rtl/>
        </w:rPr>
        <w:t xml:space="preserve"> </w:t>
      </w:r>
      <w:r w:rsidRPr="0075388A">
        <w:rPr>
          <w:rFonts w:cs="Arial" w:hint="cs"/>
          <w:rtl/>
        </w:rPr>
        <w:t>דהתם</w:t>
      </w:r>
      <w:r w:rsidRPr="0075388A">
        <w:rPr>
          <w:rFonts w:cs="Arial"/>
          <w:rtl/>
        </w:rPr>
        <w:t xml:space="preserve"> </w:t>
      </w:r>
      <w:r w:rsidRPr="0075388A">
        <w:rPr>
          <w:rFonts w:cs="Arial" w:hint="cs"/>
          <w:rtl/>
        </w:rPr>
        <w:t>צריך</w:t>
      </w:r>
      <w:r w:rsidRPr="0075388A">
        <w:rPr>
          <w:rFonts w:cs="Arial"/>
          <w:rtl/>
        </w:rPr>
        <w:t xml:space="preserve"> </w:t>
      </w:r>
      <w:r w:rsidRPr="0075388A">
        <w:rPr>
          <w:rFonts w:cs="Arial" w:hint="cs"/>
          <w:rtl/>
        </w:rPr>
        <w:t>לאקנויי</w:t>
      </w:r>
      <w:r w:rsidRPr="0075388A">
        <w:rPr>
          <w:rFonts w:cs="Arial"/>
          <w:rtl/>
        </w:rPr>
        <w:t xml:space="preserve"> </w:t>
      </w:r>
      <w:r w:rsidRPr="0075388A">
        <w:rPr>
          <w:rFonts w:cs="Arial" w:hint="cs"/>
          <w:rtl/>
        </w:rPr>
        <w:t>קמחו</w:t>
      </w:r>
      <w:r w:rsidRPr="0075388A">
        <w:rPr>
          <w:rFonts w:cs="Arial"/>
          <w:rtl/>
        </w:rPr>
        <w:t xml:space="preserve"> </w:t>
      </w:r>
      <w:r w:rsidRPr="0075388A">
        <w:rPr>
          <w:rFonts w:cs="Arial" w:hint="cs"/>
          <w:rtl/>
        </w:rPr>
        <w:t>לאחרים</w:t>
      </w:r>
      <w:r w:rsidRPr="0075388A">
        <w:rPr>
          <w:rFonts w:cs="Arial"/>
          <w:rtl/>
        </w:rPr>
        <w:t xml:space="preserve"> </w:t>
      </w:r>
      <w:r w:rsidRPr="0075388A">
        <w:rPr>
          <w:rFonts w:cs="Arial" w:hint="cs"/>
          <w:rtl/>
        </w:rPr>
        <w:t>וכמו</w:t>
      </w:r>
      <w:r w:rsidRPr="0075388A">
        <w:rPr>
          <w:rFonts w:cs="Arial"/>
          <w:rtl/>
        </w:rPr>
        <w:t xml:space="preserve"> </w:t>
      </w:r>
      <w:r w:rsidRPr="0075388A">
        <w:rPr>
          <w:rFonts w:cs="Arial" w:hint="cs"/>
          <w:rtl/>
        </w:rPr>
        <w:t>שיתבאר</w:t>
      </w:r>
      <w:r w:rsidRPr="0075388A">
        <w:rPr>
          <w:rFonts w:cs="Arial"/>
          <w:rtl/>
        </w:rPr>
        <w:t xml:space="preserve"> </w:t>
      </w:r>
      <w:r w:rsidRPr="0075388A">
        <w:rPr>
          <w:rFonts w:cs="Arial" w:hint="cs"/>
          <w:rtl/>
        </w:rPr>
        <w:t>לקמן</w:t>
      </w:r>
      <w:r w:rsidRPr="0075388A">
        <w:rPr>
          <w:rFonts w:cs="Arial"/>
          <w:rtl/>
        </w:rPr>
        <w:t xml:space="preserve"> </w:t>
      </w:r>
      <w:r w:rsidRPr="0075388A">
        <w:rPr>
          <w:rFonts w:cs="Arial" w:hint="cs"/>
          <w:rtl/>
        </w:rPr>
        <w:t>סימן</w:t>
      </w:r>
      <w:r w:rsidRPr="0075388A">
        <w:rPr>
          <w:rFonts w:cs="Arial"/>
          <w:rtl/>
        </w:rPr>
        <w:t xml:space="preserve"> </w:t>
      </w:r>
      <w:r w:rsidRPr="0075388A">
        <w:rPr>
          <w:rFonts w:cs="Arial" w:hint="cs"/>
          <w:rtl/>
        </w:rPr>
        <w:t>תקכ</w:t>
      </w:r>
      <w:r w:rsidRPr="0075388A">
        <w:rPr>
          <w:rFonts w:cs="Arial"/>
          <w:rtl/>
        </w:rPr>
        <w:t>"</w:t>
      </w:r>
      <w:r w:rsidRPr="0075388A">
        <w:rPr>
          <w:rFonts w:cs="Arial" w:hint="cs"/>
          <w:rtl/>
        </w:rPr>
        <w:t>ז</w:t>
      </w:r>
      <w:r w:rsidRPr="0075388A">
        <w:rPr>
          <w:rFonts w:cs="Arial"/>
          <w:rtl/>
        </w:rPr>
        <w:t xml:space="preserve"> (</w:t>
      </w:r>
      <w:r w:rsidRPr="0075388A">
        <w:rPr>
          <w:rFonts w:cs="Arial" w:hint="cs"/>
          <w:rtl/>
        </w:rPr>
        <w:t>עמ</w:t>
      </w:r>
      <w:r w:rsidRPr="0075388A">
        <w:rPr>
          <w:rFonts w:cs="Arial"/>
          <w:rtl/>
        </w:rPr>
        <w:t xml:space="preserve">' </w:t>
      </w:r>
      <w:r w:rsidRPr="0075388A">
        <w:rPr>
          <w:rFonts w:cs="Arial" w:hint="cs"/>
          <w:rtl/>
        </w:rPr>
        <w:t>רנט</w:t>
      </w:r>
      <w:r w:rsidRPr="0075388A">
        <w:rPr>
          <w:rFonts w:cs="Arial"/>
          <w:rtl/>
        </w:rPr>
        <w:t xml:space="preserve"> - </w:t>
      </w:r>
      <w:r w:rsidRPr="0075388A">
        <w:rPr>
          <w:rFonts w:cs="Arial" w:hint="cs"/>
          <w:rtl/>
        </w:rPr>
        <w:t>רס</w:t>
      </w:r>
      <w:r w:rsidRPr="0075388A">
        <w:rPr>
          <w:rFonts w:cs="Arial"/>
          <w:rtl/>
        </w:rPr>
        <w:t xml:space="preserve">) </w:t>
      </w:r>
      <w:r w:rsidRPr="0075388A">
        <w:rPr>
          <w:rFonts w:cs="Arial" w:hint="cs"/>
          <w:rtl/>
        </w:rPr>
        <w:t>דשאני</w:t>
      </w:r>
      <w:r w:rsidRPr="0075388A">
        <w:rPr>
          <w:rFonts w:cs="Arial"/>
          <w:rtl/>
        </w:rPr>
        <w:t xml:space="preserve"> </w:t>
      </w:r>
      <w:r w:rsidRPr="0075388A">
        <w:rPr>
          <w:rFonts w:cs="Arial" w:hint="cs"/>
          <w:rtl/>
        </w:rPr>
        <w:t>התם</w:t>
      </w:r>
      <w:r w:rsidRPr="0075388A">
        <w:rPr>
          <w:rFonts w:cs="Arial"/>
          <w:rtl/>
        </w:rPr>
        <w:t xml:space="preserve"> </w:t>
      </w:r>
      <w:r w:rsidRPr="0075388A">
        <w:rPr>
          <w:rFonts w:cs="Arial" w:hint="cs"/>
          <w:rtl/>
        </w:rPr>
        <w:t>דאי</w:t>
      </w:r>
      <w:r w:rsidRPr="0075388A">
        <w:rPr>
          <w:rFonts w:cs="Arial"/>
          <w:rtl/>
        </w:rPr>
        <w:t xml:space="preserve"> </w:t>
      </w:r>
      <w:r w:rsidRPr="0075388A">
        <w:rPr>
          <w:rFonts w:cs="Arial" w:hint="cs"/>
          <w:rtl/>
        </w:rPr>
        <w:t>אפשר</w:t>
      </w:r>
      <w:r w:rsidRPr="0075388A">
        <w:rPr>
          <w:rFonts w:cs="Arial"/>
          <w:rtl/>
        </w:rPr>
        <w:t xml:space="preserve"> </w:t>
      </w:r>
      <w:r w:rsidRPr="0075388A">
        <w:rPr>
          <w:rFonts w:cs="Arial" w:hint="cs"/>
          <w:rtl/>
        </w:rPr>
        <w:t>לעשות</w:t>
      </w:r>
      <w:r w:rsidRPr="0075388A">
        <w:rPr>
          <w:rFonts w:cs="Arial"/>
          <w:rtl/>
        </w:rPr>
        <w:t xml:space="preserve"> </w:t>
      </w:r>
      <w:r w:rsidRPr="0075388A">
        <w:rPr>
          <w:rFonts w:cs="Arial" w:hint="cs"/>
          <w:rtl/>
        </w:rPr>
        <w:t>לו</w:t>
      </w:r>
      <w:r w:rsidRPr="0075388A">
        <w:rPr>
          <w:rFonts w:cs="Arial"/>
          <w:rtl/>
        </w:rPr>
        <w:t xml:space="preserve"> </w:t>
      </w:r>
      <w:r w:rsidRPr="0075388A">
        <w:rPr>
          <w:rFonts w:cs="Arial" w:hint="cs"/>
          <w:rtl/>
        </w:rPr>
        <w:t>בעצמו</w:t>
      </w:r>
      <w:r>
        <w:rPr>
          <w:rFonts w:cs="Arial" w:hint="cs"/>
          <w:rtl/>
        </w:rPr>
        <w:t>,</w:t>
      </w:r>
      <w:r w:rsidRPr="0075388A">
        <w:rPr>
          <w:rFonts w:cs="Arial"/>
          <w:rtl/>
        </w:rPr>
        <w:t xml:space="preserve"> </w:t>
      </w:r>
      <w:r w:rsidRPr="0075388A">
        <w:rPr>
          <w:rFonts w:cs="Arial" w:hint="cs"/>
          <w:rtl/>
        </w:rPr>
        <w:t>אבל</w:t>
      </w:r>
      <w:r w:rsidRPr="0075388A">
        <w:rPr>
          <w:rFonts w:cs="Arial"/>
          <w:rtl/>
        </w:rPr>
        <w:t xml:space="preserve"> </w:t>
      </w:r>
      <w:r w:rsidRPr="0075388A">
        <w:rPr>
          <w:rFonts w:cs="Arial" w:hint="cs"/>
          <w:rtl/>
        </w:rPr>
        <w:t>כאן</w:t>
      </w:r>
      <w:r w:rsidRPr="0075388A">
        <w:rPr>
          <w:rFonts w:cs="Arial"/>
          <w:rtl/>
        </w:rPr>
        <w:t xml:space="preserve"> </w:t>
      </w:r>
      <w:r w:rsidRPr="0075388A">
        <w:rPr>
          <w:rFonts w:cs="Arial" w:hint="cs"/>
          <w:rtl/>
        </w:rPr>
        <w:t>דאפשר</w:t>
      </w:r>
      <w:r w:rsidRPr="0075388A">
        <w:rPr>
          <w:rFonts w:cs="Arial"/>
          <w:rtl/>
        </w:rPr>
        <w:t xml:space="preserve"> </w:t>
      </w:r>
      <w:r w:rsidRPr="0075388A">
        <w:rPr>
          <w:rFonts w:cs="Arial" w:hint="cs"/>
          <w:rtl/>
        </w:rPr>
        <w:t>לו</w:t>
      </w:r>
      <w:r w:rsidRPr="0075388A">
        <w:rPr>
          <w:rFonts w:cs="Arial"/>
          <w:rtl/>
        </w:rPr>
        <w:t xml:space="preserve"> </w:t>
      </w:r>
      <w:r w:rsidRPr="0075388A">
        <w:rPr>
          <w:rFonts w:cs="Arial" w:hint="cs"/>
          <w:rtl/>
        </w:rPr>
        <w:t>להתפלל</w:t>
      </w:r>
      <w:r w:rsidRPr="0075388A">
        <w:rPr>
          <w:rFonts w:cs="Arial"/>
          <w:rtl/>
        </w:rPr>
        <w:t xml:space="preserve"> </w:t>
      </w:r>
      <w:r w:rsidRPr="0075388A">
        <w:rPr>
          <w:rFonts w:cs="Arial" w:hint="cs"/>
          <w:rtl/>
        </w:rPr>
        <w:t>נראה</w:t>
      </w:r>
      <w:r w:rsidRPr="0075388A">
        <w:rPr>
          <w:rFonts w:cs="Arial"/>
          <w:rtl/>
        </w:rPr>
        <w:t xml:space="preserve"> </w:t>
      </w:r>
      <w:r w:rsidRPr="0075388A">
        <w:rPr>
          <w:rFonts w:cs="Arial" w:hint="cs"/>
          <w:rtl/>
        </w:rPr>
        <w:t>לי</w:t>
      </w:r>
      <w:r w:rsidRPr="0075388A">
        <w:rPr>
          <w:rFonts w:cs="Arial"/>
          <w:rtl/>
        </w:rPr>
        <w:t xml:space="preserve"> </w:t>
      </w:r>
      <w:r w:rsidRPr="0075388A">
        <w:rPr>
          <w:rFonts w:cs="Arial" w:hint="cs"/>
          <w:rtl/>
        </w:rPr>
        <w:t>דשרי</w:t>
      </w:r>
      <w:r w:rsidRPr="0075388A">
        <w:rPr>
          <w:rFonts w:cs="Arial"/>
          <w:rtl/>
        </w:rPr>
        <w:t xml:space="preserve"> </w:t>
      </w:r>
      <w:r w:rsidRPr="0075388A">
        <w:rPr>
          <w:rFonts w:cs="Arial" w:hint="cs"/>
          <w:rtl/>
        </w:rPr>
        <w:t>לעשות</w:t>
      </w:r>
      <w:r w:rsidRPr="0075388A">
        <w:rPr>
          <w:rFonts w:cs="Arial"/>
          <w:rtl/>
        </w:rPr>
        <w:t xml:space="preserve"> </w:t>
      </w:r>
      <w:r w:rsidRPr="0075388A">
        <w:rPr>
          <w:rFonts w:cs="Arial" w:hint="cs"/>
          <w:rtl/>
        </w:rPr>
        <w:t>לו</w:t>
      </w:r>
      <w:r w:rsidRPr="0075388A">
        <w:rPr>
          <w:rFonts w:cs="Arial"/>
          <w:rtl/>
        </w:rPr>
        <w:t xml:space="preserve"> </w:t>
      </w:r>
      <w:r w:rsidRPr="0075388A">
        <w:rPr>
          <w:rFonts w:cs="Arial" w:hint="cs"/>
          <w:rtl/>
        </w:rPr>
        <w:t>מלאכה</w:t>
      </w:r>
      <w:r w:rsidRPr="0075388A">
        <w:rPr>
          <w:rFonts w:cs="Arial"/>
          <w:rtl/>
        </w:rPr>
        <w:t xml:space="preserve"> </w:t>
      </w:r>
      <w:r w:rsidRPr="0075388A">
        <w:rPr>
          <w:rFonts w:cs="Arial" w:hint="cs"/>
          <w:rtl/>
        </w:rPr>
        <w:t>וליהנות</w:t>
      </w:r>
      <w:r w:rsidRPr="0075388A">
        <w:rPr>
          <w:rFonts w:cs="Arial"/>
          <w:rtl/>
        </w:rPr>
        <w:t xml:space="preserve"> </w:t>
      </w:r>
      <w:r w:rsidRPr="0075388A">
        <w:rPr>
          <w:rFonts w:cs="Arial" w:hint="cs"/>
          <w:rtl/>
        </w:rPr>
        <w:t>ממנה</w:t>
      </w:r>
      <w:r w:rsidRPr="0075388A">
        <w:rPr>
          <w:rFonts w:cs="Arial"/>
          <w:rtl/>
        </w:rPr>
        <w:t xml:space="preserve">. </w:t>
      </w:r>
      <w:r w:rsidRPr="00EB4111">
        <w:rPr>
          <w:rFonts w:cs="Arial" w:hint="cs"/>
          <w:color w:val="00B0F0"/>
          <w:rtl/>
        </w:rPr>
        <w:t>(וכ"פ בהגה)</w:t>
      </w:r>
    </w:p>
    <w:p w14:paraId="3DA8E6CD" w14:textId="77777777" w:rsidR="004B2E7C" w:rsidRPr="00262838" w:rsidRDefault="004B2E7C" w:rsidP="00434A6A">
      <w:pPr>
        <w:ind w:left="360"/>
        <w:rPr>
          <w:rFonts w:cs="Arial"/>
          <w:u w:val="dotted"/>
        </w:rPr>
      </w:pPr>
      <w:r w:rsidRPr="00262838">
        <w:rPr>
          <w:rFonts w:cs="Arial" w:hint="cs"/>
          <w:u w:val="dotted"/>
          <w:rtl/>
        </w:rPr>
        <w:t xml:space="preserve">האם יכול </w:t>
      </w:r>
      <w:r>
        <w:rPr>
          <w:rFonts w:cs="Arial" w:hint="cs"/>
          <w:u w:val="dotted"/>
          <w:rtl/>
        </w:rPr>
        <w:t>ל</w:t>
      </w:r>
      <w:r w:rsidRPr="00262838">
        <w:rPr>
          <w:rFonts w:cs="Arial" w:hint="cs"/>
          <w:u w:val="dotted"/>
          <w:rtl/>
        </w:rPr>
        <w:t xml:space="preserve">הנות ממלאכת חברו גם במקרה הראשון </w:t>
      </w:r>
      <w:r w:rsidRPr="00262838">
        <w:rPr>
          <w:rFonts w:cs="Arial" w:hint="cs"/>
          <w:sz w:val="16"/>
          <w:szCs w:val="16"/>
          <w:u w:val="dotted"/>
          <w:rtl/>
        </w:rPr>
        <w:t>(שהוא קיבל את השבת וחברו עדיין לא)</w:t>
      </w:r>
      <w:r w:rsidRPr="00262838">
        <w:rPr>
          <w:rFonts w:cs="Arial" w:hint="cs"/>
          <w:u w:val="dotted"/>
          <w:rtl/>
        </w:rPr>
        <w:t>:</w:t>
      </w:r>
    </w:p>
    <w:p w14:paraId="13AB1C32" w14:textId="77777777" w:rsidR="004B2E7C" w:rsidRDefault="004B2E7C" w:rsidP="00FF2D21">
      <w:pPr>
        <w:pStyle w:val="aa"/>
        <w:numPr>
          <w:ilvl w:val="0"/>
          <w:numId w:val="90"/>
        </w:numPr>
        <w:rPr>
          <w:rFonts w:cs="Arial"/>
        </w:rPr>
      </w:pPr>
      <w:r>
        <w:rPr>
          <w:rFonts w:cs="Arial" w:hint="cs"/>
          <w:rtl/>
        </w:rPr>
        <w:t xml:space="preserve">דרכ"מ </w:t>
      </w:r>
      <w:r w:rsidRPr="00262838">
        <w:rPr>
          <w:rFonts w:cs="Arial" w:hint="cs"/>
          <w:sz w:val="16"/>
          <w:szCs w:val="16"/>
          <w:rtl/>
        </w:rPr>
        <w:t>(אות ח)</w:t>
      </w:r>
      <w:r>
        <w:rPr>
          <w:rFonts w:cs="Arial" w:hint="cs"/>
          <w:rtl/>
        </w:rPr>
        <w:t>-</w:t>
      </w:r>
      <w:r w:rsidRPr="00262838">
        <w:rPr>
          <w:rFonts w:cs="Arial" w:hint="cs"/>
          <w:rtl/>
        </w:rPr>
        <w:t xml:space="preserve"> </w:t>
      </w:r>
      <w:r w:rsidRPr="0075388A">
        <w:rPr>
          <w:rFonts w:cs="Arial" w:hint="cs"/>
          <w:rtl/>
        </w:rPr>
        <w:t>מיהו</w:t>
      </w:r>
      <w:r w:rsidRPr="0075388A">
        <w:rPr>
          <w:rFonts w:cs="Arial"/>
          <w:rtl/>
        </w:rPr>
        <w:t xml:space="preserve"> </w:t>
      </w:r>
      <w:r w:rsidRPr="0075388A">
        <w:rPr>
          <w:rFonts w:cs="Arial" w:hint="cs"/>
          <w:rtl/>
        </w:rPr>
        <w:t>בתוספת</w:t>
      </w:r>
      <w:r w:rsidRPr="0075388A">
        <w:rPr>
          <w:rFonts w:cs="Arial"/>
          <w:rtl/>
        </w:rPr>
        <w:t xml:space="preserve"> </w:t>
      </w:r>
      <w:r w:rsidRPr="0075388A">
        <w:rPr>
          <w:rFonts w:cs="Arial" w:hint="cs"/>
          <w:rtl/>
        </w:rPr>
        <w:t>הכנסת</w:t>
      </w:r>
      <w:r w:rsidRPr="0075388A">
        <w:rPr>
          <w:rFonts w:cs="Arial"/>
          <w:rtl/>
        </w:rPr>
        <w:t xml:space="preserve"> </w:t>
      </w:r>
      <w:r w:rsidRPr="0075388A">
        <w:rPr>
          <w:rFonts w:cs="Arial" w:hint="cs"/>
          <w:rtl/>
        </w:rPr>
        <w:t>שבת</w:t>
      </w:r>
      <w:r w:rsidRPr="0075388A">
        <w:rPr>
          <w:rFonts w:cs="Arial"/>
          <w:rtl/>
        </w:rPr>
        <w:t xml:space="preserve"> </w:t>
      </w:r>
      <w:r w:rsidRPr="0075388A">
        <w:rPr>
          <w:rFonts w:cs="Arial" w:hint="cs"/>
          <w:rtl/>
        </w:rPr>
        <w:t>צ</w:t>
      </w:r>
      <w:r w:rsidRPr="0075388A">
        <w:rPr>
          <w:rFonts w:cs="Arial"/>
          <w:rtl/>
        </w:rPr>
        <w:t>"</w:t>
      </w:r>
      <w:r w:rsidRPr="0075388A">
        <w:rPr>
          <w:rFonts w:cs="Arial" w:hint="cs"/>
          <w:rtl/>
        </w:rPr>
        <w:t>ע</w:t>
      </w:r>
      <w:r w:rsidRPr="0075388A">
        <w:rPr>
          <w:rFonts w:cs="Arial"/>
          <w:rtl/>
        </w:rPr>
        <w:t xml:space="preserve"> </w:t>
      </w:r>
      <w:r w:rsidRPr="0075388A">
        <w:rPr>
          <w:rFonts w:cs="Arial" w:hint="cs"/>
          <w:rtl/>
        </w:rPr>
        <w:t>אם</w:t>
      </w:r>
      <w:r w:rsidRPr="0075388A">
        <w:rPr>
          <w:rFonts w:cs="Arial"/>
          <w:rtl/>
        </w:rPr>
        <w:t xml:space="preserve"> </w:t>
      </w:r>
      <w:r w:rsidRPr="0075388A">
        <w:rPr>
          <w:rFonts w:cs="Arial" w:hint="cs"/>
          <w:rtl/>
        </w:rPr>
        <w:t>שרי</w:t>
      </w:r>
      <w:r w:rsidRPr="0075388A">
        <w:rPr>
          <w:rFonts w:cs="Arial"/>
          <w:rtl/>
        </w:rPr>
        <w:t xml:space="preserve"> </w:t>
      </w:r>
      <w:r w:rsidRPr="0075388A">
        <w:rPr>
          <w:rFonts w:cs="Arial" w:hint="cs"/>
          <w:rtl/>
        </w:rPr>
        <w:t>ליהנות</w:t>
      </w:r>
      <w:r w:rsidRPr="0075388A">
        <w:rPr>
          <w:rFonts w:cs="Arial"/>
          <w:rtl/>
        </w:rPr>
        <w:t xml:space="preserve"> </w:t>
      </w:r>
      <w:r w:rsidRPr="0075388A">
        <w:rPr>
          <w:rFonts w:cs="Arial" w:hint="cs"/>
          <w:rtl/>
        </w:rPr>
        <w:t>מן</w:t>
      </w:r>
      <w:r w:rsidRPr="0075388A">
        <w:rPr>
          <w:rFonts w:cs="Arial"/>
          <w:rtl/>
        </w:rPr>
        <w:t xml:space="preserve"> </w:t>
      </w:r>
      <w:r w:rsidRPr="0075388A">
        <w:rPr>
          <w:rFonts w:cs="Arial" w:hint="cs"/>
          <w:rtl/>
        </w:rPr>
        <w:t>המלאכה</w:t>
      </w:r>
      <w:r w:rsidRPr="0075388A">
        <w:rPr>
          <w:rFonts w:cs="Arial"/>
          <w:rtl/>
        </w:rPr>
        <w:t xml:space="preserve"> </w:t>
      </w:r>
      <w:r w:rsidRPr="0075388A">
        <w:rPr>
          <w:rFonts w:cs="Arial" w:hint="cs"/>
          <w:rtl/>
        </w:rPr>
        <w:t>שאחרים</w:t>
      </w:r>
      <w:r w:rsidRPr="0075388A">
        <w:rPr>
          <w:rFonts w:cs="Arial"/>
          <w:rtl/>
        </w:rPr>
        <w:t xml:space="preserve"> </w:t>
      </w:r>
      <w:r w:rsidRPr="0075388A">
        <w:rPr>
          <w:rFonts w:cs="Arial" w:hint="cs"/>
          <w:rtl/>
        </w:rPr>
        <w:t>עושין</w:t>
      </w:r>
      <w:r w:rsidRPr="0075388A">
        <w:rPr>
          <w:rFonts w:cs="Arial"/>
          <w:rtl/>
        </w:rPr>
        <w:t xml:space="preserve"> </w:t>
      </w:r>
      <w:r w:rsidRPr="0075388A">
        <w:rPr>
          <w:rFonts w:cs="Arial" w:hint="cs"/>
          <w:rtl/>
        </w:rPr>
        <w:t>לו</w:t>
      </w:r>
      <w:r>
        <w:rPr>
          <w:rFonts w:cs="Arial" w:hint="cs"/>
          <w:rtl/>
        </w:rPr>
        <w:t>,</w:t>
      </w:r>
      <w:r w:rsidRPr="0075388A">
        <w:rPr>
          <w:rFonts w:cs="Arial"/>
          <w:rtl/>
        </w:rPr>
        <w:t xml:space="preserve"> </w:t>
      </w:r>
      <w:r w:rsidRPr="0075388A">
        <w:rPr>
          <w:rFonts w:cs="Arial" w:hint="cs"/>
          <w:rtl/>
        </w:rPr>
        <w:t>דהא</w:t>
      </w:r>
      <w:r w:rsidRPr="0075388A">
        <w:rPr>
          <w:rFonts w:cs="Arial"/>
          <w:rtl/>
        </w:rPr>
        <w:t xml:space="preserve"> </w:t>
      </w:r>
      <w:r w:rsidRPr="0075388A">
        <w:rPr>
          <w:rFonts w:cs="Arial" w:hint="cs"/>
          <w:rtl/>
        </w:rPr>
        <w:t>בעירוב</w:t>
      </w:r>
      <w:r w:rsidRPr="0075388A">
        <w:rPr>
          <w:rFonts w:cs="Arial"/>
          <w:rtl/>
        </w:rPr>
        <w:t xml:space="preserve"> </w:t>
      </w:r>
      <w:r w:rsidRPr="0075388A">
        <w:rPr>
          <w:rFonts w:cs="Arial" w:hint="cs"/>
          <w:rtl/>
        </w:rPr>
        <w:t>תבשילין</w:t>
      </w:r>
      <w:r w:rsidRPr="0075388A">
        <w:rPr>
          <w:rFonts w:cs="Arial"/>
          <w:rtl/>
        </w:rPr>
        <w:t xml:space="preserve"> </w:t>
      </w:r>
      <w:r w:rsidRPr="0075388A">
        <w:rPr>
          <w:rFonts w:cs="Arial" w:hint="cs"/>
          <w:rtl/>
        </w:rPr>
        <w:t>אסור</w:t>
      </w:r>
      <w:r w:rsidRPr="0075388A">
        <w:rPr>
          <w:rFonts w:cs="Arial"/>
          <w:rtl/>
        </w:rPr>
        <w:t xml:space="preserve"> </w:t>
      </w:r>
      <w:r w:rsidRPr="0075388A">
        <w:rPr>
          <w:rFonts w:cs="Arial" w:hint="cs"/>
          <w:rtl/>
        </w:rPr>
        <w:t>אם</w:t>
      </w:r>
      <w:r w:rsidRPr="0075388A">
        <w:rPr>
          <w:rFonts w:cs="Arial"/>
          <w:rtl/>
        </w:rPr>
        <w:t xml:space="preserve"> </w:t>
      </w:r>
      <w:r w:rsidRPr="0075388A">
        <w:rPr>
          <w:rFonts w:cs="Arial" w:hint="cs"/>
          <w:rtl/>
        </w:rPr>
        <w:t>אינו</w:t>
      </w:r>
      <w:r w:rsidRPr="0075388A">
        <w:rPr>
          <w:rFonts w:cs="Arial"/>
          <w:rtl/>
        </w:rPr>
        <w:t xml:space="preserve"> </w:t>
      </w:r>
      <w:r w:rsidRPr="0075388A">
        <w:rPr>
          <w:rFonts w:cs="Arial" w:hint="cs"/>
          <w:rtl/>
        </w:rPr>
        <w:t>מקנה</w:t>
      </w:r>
      <w:r w:rsidRPr="0075388A">
        <w:rPr>
          <w:rFonts w:cs="Arial"/>
          <w:rtl/>
        </w:rPr>
        <w:t xml:space="preserve"> </w:t>
      </w:r>
      <w:r w:rsidRPr="0075388A">
        <w:rPr>
          <w:rFonts w:cs="Arial" w:hint="cs"/>
          <w:rtl/>
        </w:rPr>
        <w:t>קמחו</w:t>
      </w:r>
      <w:r w:rsidRPr="0075388A">
        <w:rPr>
          <w:rFonts w:cs="Arial"/>
          <w:rtl/>
        </w:rPr>
        <w:t xml:space="preserve"> </w:t>
      </w:r>
      <w:r w:rsidRPr="0075388A">
        <w:rPr>
          <w:rFonts w:cs="Arial" w:hint="cs"/>
          <w:rtl/>
        </w:rPr>
        <w:t>לאחרים</w:t>
      </w:r>
      <w:r w:rsidRPr="0075388A">
        <w:rPr>
          <w:rFonts w:cs="Arial"/>
          <w:rtl/>
        </w:rPr>
        <w:t xml:space="preserve"> </w:t>
      </w:r>
      <w:r w:rsidRPr="0075388A">
        <w:rPr>
          <w:rFonts w:cs="Arial" w:hint="cs"/>
          <w:rtl/>
        </w:rPr>
        <w:t>והן</w:t>
      </w:r>
      <w:r w:rsidRPr="0075388A">
        <w:rPr>
          <w:rFonts w:cs="Arial"/>
          <w:rtl/>
        </w:rPr>
        <w:t xml:space="preserve"> </w:t>
      </w:r>
      <w:r w:rsidRPr="0075388A">
        <w:rPr>
          <w:rFonts w:cs="Arial" w:hint="cs"/>
          <w:rtl/>
        </w:rPr>
        <w:t>עושין</w:t>
      </w:r>
      <w:r w:rsidRPr="0075388A">
        <w:rPr>
          <w:rFonts w:cs="Arial"/>
          <w:rtl/>
        </w:rPr>
        <w:t xml:space="preserve"> </w:t>
      </w:r>
      <w:r w:rsidRPr="0075388A">
        <w:rPr>
          <w:rFonts w:cs="Arial" w:hint="cs"/>
          <w:rtl/>
        </w:rPr>
        <w:t>לעצמן</w:t>
      </w:r>
      <w:r>
        <w:rPr>
          <w:rFonts w:cs="Arial" w:hint="cs"/>
          <w:rtl/>
        </w:rPr>
        <w:t>,</w:t>
      </w:r>
      <w:r w:rsidRPr="0075388A">
        <w:rPr>
          <w:rFonts w:cs="Arial"/>
          <w:rtl/>
        </w:rPr>
        <w:t xml:space="preserve"> </w:t>
      </w:r>
      <w:r w:rsidRPr="0075388A">
        <w:rPr>
          <w:rFonts w:cs="Arial" w:hint="cs"/>
          <w:rtl/>
        </w:rPr>
        <w:t>אבל</w:t>
      </w:r>
      <w:r w:rsidRPr="0075388A">
        <w:rPr>
          <w:rFonts w:cs="Arial"/>
          <w:rtl/>
        </w:rPr>
        <w:t xml:space="preserve"> </w:t>
      </w:r>
      <w:r w:rsidRPr="0075388A">
        <w:rPr>
          <w:rFonts w:cs="Arial" w:hint="cs"/>
          <w:rtl/>
        </w:rPr>
        <w:t>בלאו</w:t>
      </w:r>
      <w:r w:rsidRPr="0075388A">
        <w:rPr>
          <w:rFonts w:cs="Arial"/>
          <w:rtl/>
        </w:rPr>
        <w:t xml:space="preserve"> </w:t>
      </w:r>
      <w:r w:rsidRPr="0075388A">
        <w:rPr>
          <w:rFonts w:cs="Arial" w:hint="cs"/>
          <w:rtl/>
        </w:rPr>
        <w:t>הכי</w:t>
      </w:r>
      <w:r w:rsidRPr="0075388A">
        <w:rPr>
          <w:rFonts w:cs="Arial"/>
          <w:rtl/>
        </w:rPr>
        <w:t xml:space="preserve"> </w:t>
      </w:r>
      <w:r w:rsidRPr="0075388A">
        <w:rPr>
          <w:rFonts w:cs="Arial" w:hint="cs"/>
          <w:rtl/>
        </w:rPr>
        <w:t>אסור</w:t>
      </w:r>
      <w:r>
        <w:rPr>
          <w:rFonts w:cs="Arial" w:hint="cs"/>
          <w:rtl/>
        </w:rPr>
        <w:t>,</w:t>
      </w:r>
      <w:r w:rsidRPr="0075388A">
        <w:rPr>
          <w:rFonts w:cs="Arial"/>
          <w:rtl/>
        </w:rPr>
        <w:t xml:space="preserve"> </w:t>
      </w:r>
      <w:r w:rsidRPr="0075388A">
        <w:rPr>
          <w:rFonts w:cs="Arial" w:hint="cs"/>
          <w:rtl/>
        </w:rPr>
        <w:t>דאין</w:t>
      </w:r>
      <w:r w:rsidRPr="0075388A">
        <w:rPr>
          <w:rFonts w:cs="Arial"/>
          <w:rtl/>
        </w:rPr>
        <w:t xml:space="preserve"> </w:t>
      </w:r>
      <w:r w:rsidRPr="0075388A">
        <w:rPr>
          <w:rFonts w:cs="Arial" w:hint="cs"/>
          <w:rtl/>
        </w:rPr>
        <w:t>לחלק</w:t>
      </w:r>
      <w:r w:rsidRPr="0075388A">
        <w:rPr>
          <w:rFonts w:cs="Arial"/>
          <w:rtl/>
        </w:rPr>
        <w:t xml:space="preserve"> </w:t>
      </w:r>
      <w:r w:rsidRPr="0075388A">
        <w:rPr>
          <w:rFonts w:cs="Arial" w:hint="cs"/>
          <w:rtl/>
        </w:rPr>
        <w:t>בין</w:t>
      </w:r>
      <w:r w:rsidRPr="0075388A">
        <w:rPr>
          <w:rFonts w:cs="Arial"/>
          <w:rtl/>
        </w:rPr>
        <w:t xml:space="preserve"> </w:t>
      </w:r>
      <w:r w:rsidRPr="0075388A">
        <w:rPr>
          <w:rFonts w:cs="Arial" w:hint="cs"/>
          <w:rtl/>
        </w:rPr>
        <w:t>עירוב</w:t>
      </w:r>
      <w:r w:rsidRPr="0075388A">
        <w:rPr>
          <w:rFonts w:cs="Arial"/>
          <w:rtl/>
        </w:rPr>
        <w:t xml:space="preserve"> </w:t>
      </w:r>
      <w:r w:rsidRPr="0075388A">
        <w:rPr>
          <w:rFonts w:cs="Arial" w:hint="cs"/>
          <w:rtl/>
        </w:rPr>
        <w:t>תבשילין</w:t>
      </w:r>
      <w:r w:rsidRPr="0075388A">
        <w:rPr>
          <w:rFonts w:cs="Arial"/>
          <w:rtl/>
        </w:rPr>
        <w:t xml:space="preserve"> </w:t>
      </w:r>
      <w:r w:rsidRPr="0075388A">
        <w:rPr>
          <w:rFonts w:cs="Arial" w:hint="cs"/>
          <w:rtl/>
        </w:rPr>
        <w:t>שלא</w:t>
      </w:r>
      <w:r w:rsidRPr="0075388A">
        <w:rPr>
          <w:rFonts w:cs="Arial"/>
          <w:rtl/>
        </w:rPr>
        <w:t xml:space="preserve"> </w:t>
      </w:r>
      <w:r w:rsidRPr="0075388A">
        <w:rPr>
          <w:rFonts w:cs="Arial" w:hint="cs"/>
          <w:rtl/>
        </w:rPr>
        <w:t>עשה</w:t>
      </w:r>
      <w:r w:rsidRPr="0075388A">
        <w:rPr>
          <w:rFonts w:cs="Arial"/>
          <w:rtl/>
        </w:rPr>
        <w:t xml:space="preserve"> </w:t>
      </w:r>
      <w:r w:rsidRPr="0075388A">
        <w:rPr>
          <w:rFonts w:cs="Arial" w:hint="cs"/>
          <w:rtl/>
        </w:rPr>
        <w:t>כתקנת</w:t>
      </w:r>
      <w:r w:rsidRPr="0075388A">
        <w:rPr>
          <w:rFonts w:cs="Arial"/>
          <w:rtl/>
        </w:rPr>
        <w:t xml:space="preserve"> </w:t>
      </w:r>
      <w:r w:rsidRPr="0075388A">
        <w:rPr>
          <w:rFonts w:cs="Arial" w:hint="cs"/>
          <w:rtl/>
        </w:rPr>
        <w:t>חכמים</w:t>
      </w:r>
      <w:r>
        <w:rPr>
          <w:rFonts w:cs="Arial" w:hint="cs"/>
          <w:rtl/>
        </w:rPr>
        <w:t>,</w:t>
      </w:r>
      <w:r w:rsidRPr="0075388A">
        <w:rPr>
          <w:rFonts w:cs="Arial"/>
          <w:rtl/>
        </w:rPr>
        <w:t xml:space="preserve"> </w:t>
      </w:r>
      <w:r w:rsidRPr="0075388A">
        <w:rPr>
          <w:rFonts w:cs="Arial" w:hint="cs"/>
          <w:rtl/>
        </w:rPr>
        <w:t>ולכן</w:t>
      </w:r>
      <w:r w:rsidRPr="0075388A">
        <w:rPr>
          <w:rFonts w:cs="Arial"/>
          <w:rtl/>
        </w:rPr>
        <w:t xml:space="preserve"> </w:t>
      </w:r>
      <w:r w:rsidRPr="0075388A">
        <w:rPr>
          <w:rFonts w:cs="Arial" w:hint="cs"/>
          <w:rtl/>
        </w:rPr>
        <w:t>אסור</w:t>
      </w:r>
      <w:r w:rsidRPr="0075388A">
        <w:rPr>
          <w:rFonts w:cs="Arial"/>
          <w:rtl/>
        </w:rPr>
        <w:t xml:space="preserve"> </w:t>
      </w:r>
      <w:r w:rsidRPr="0075388A">
        <w:rPr>
          <w:rFonts w:cs="Arial" w:hint="cs"/>
          <w:rtl/>
        </w:rPr>
        <w:t>ליהנות</w:t>
      </w:r>
      <w:r w:rsidRPr="0075388A">
        <w:rPr>
          <w:rFonts w:cs="Arial"/>
          <w:rtl/>
        </w:rPr>
        <w:t xml:space="preserve"> </w:t>
      </w:r>
      <w:r w:rsidRPr="0075388A">
        <w:rPr>
          <w:rFonts w:cs="Arial" w:hint="cs"/>
          <w:rtl/>
        </w:rPr>
        <w:t>ממה</w:t>
      </w:r>
      <w:r w:rsidRPr="0075388A">
        <w:rPr>
          <w:rFonts w:cs="Arial"/>
          <w:rtl/>
        </w:rPr>
        <w:t xml:space="preserve"> </w:t>
      </w:r>
      <w:r w:rsidRPr="0075388A">
        <w:rPr>
          <w:rFonts w:cs="Arial" w:hint="cs"/>
          <w:rtl/>
        </w:rPr>
        <w:t>שאחרים</w:t>
      </w:r>
      <w:r w:rsidRPr="0075388A">
        <w:rPr>
          <w:rFonts w:cs="Arial"/>
          <w:rtl/>
        </w:rPr>
        <w:t xml:space="preserve"> </w:t>
      </w:r>
      <w:r w:rsidRPr="0075388A">
        <w:rPr>
          <w:rFonts w:cs="Arial" w:hint="cs"/>
          <w:rtl/>
        </w:rPr>
        <w:t>עושין</w:t>
      </w:r>
      <w:r w:rsidRPr="0075388A">
        <w:rPr>
          <w:rFonts w:cs="Arial"/>
          <w:rtl/>
        </w:rPr>
        <w:t xml:space="preserve"> </w:t>
      </w:r>
      <w:r w:rsidRPr="0075388A">
        <w:rPr>
          <w:rFonts w:cs="Arial" w:hint="cs"/>
          <w:rtl/>
        </w:rPr>
        <w:t>לו</w:t>
      </w:r>
      <w:r>
        <w:rPr>
          <w:rFonts w:cs="Arial" w:hint="cs"/>
          <w:rtl/>
        </w:rPr>
        <w:t>.</w:t>
      </w:r>
      <w:r w:rsidRPr="0075388A">
        <w:rPr>
          <w:rFonts w:cs="Arial"/>
          <w:rtl/>
        </w:rPr>
        <w:t xml:space="preserve"> </w:t>
      </w:r>
      <w:r w:rsidRPr="0075388A">
        <w:rPr>
          <w:rFonts w:cs="Arial" w:hint="cs"/>
          <w:rtl/>
        </w:rPr>
        <w:t>אבל</w:t>
      </w:r>
      <w:r w:rsidRPr="0075388A">
        <w:rPr>
          <w:rFonts w:cs="Arial"/>
          <w:rtl/>
        </w:rPr>
        <w:t xml:space="preserve"> </w:t>
      </w:r>
      <w:r w:rsidRPr="0075388A">
        <w:rPr>
          <w:rFonts w:cs="Arial" w:hint="cs"/>
          <w:rtl/>
        </w:rPr>
        <w:t>כאן</w:t>
      </w:r>
      <w:r w:rsidRPr="0075388A">
        <w:rPr>
          <w:rFonts w:cs="Arial"/>
          <w:rtl/>
        </w:rPr>
        <w:t xml:space="preserve"> </w:t>
      </w:r>
      <w:r w:rsidRPr="0075388A">
        <w:rPr>
          <w:rFonts w:cs="Arial" w:hint="cs"/>
          <w:rtl/>
        </w:rPr>
        <w:t>דלא</w:t>
      </w:r>
      <w:r w:rsidRPr="0075388A">
        <w:rPr>
          <w:rFonts w:cs="Arial"/>
          <w:rtl/>
        </w:rPr>
        <w:t xml:space="preserve"> </w:t>
      </w:r>
      <w:r w:rsidRPr="0075388A">
        <w:rPr>
          <w:rFonts w:cs="Arial" w:hint="cs"/>
          <w:rtl/>
        </w:rPr>
        <w:t>עבר</w:t>
      </w:r>
      <w:r w:rsidRPr="0075388A">
        <w:rPr>
          <w:rFonts w:cs="Arial"/>
          <w:rtl/>
        </w:rPr>
        <w:t xml:space="preserve"> </w:t>
      </w:r>
      <w:r w:rsidRPr="0075388A">
        <w:rPr>
          <w:rFonts w:cs="Arial" w:hint="cs"/>
          <w:rtl/>
        </w:rPr>
        <w:t>אתקנתא</w:t>
      </w:r>
      <w:r w:rsidRPr="0075388A">
        <w:rPr>
          <w:rFonts w:cs="Arial"/>
          <w:rtl/>
        </w:rPr>
        <w:t xml:space="preserve"> </w:t>
      </w:r>
      <w:r w:rsidRPr="0075388A">
        <w:rPr>
          <w:rFonts w:cs="Arial" w:hint="cs"/>
          <w:rtl/>
        </w:rPr>
        <w:t>דרבנן</w:t>
      </w:r>
      <w:r>
        <w:rPr>
          <w:rFonts w:cs="Arial" w:hint="cs"/>
          <w:rtl/>
        </w:rPr>
        <w:t>,</w:t>
      </w:r>
      <w:r w:rsidRPr="0075388A">
        <w:rPr>
          <w:rFonts w:cs="Arial"/>
          <w:rtl/>
        </w:rPr>
        <w:t xml:space="preserve"> </w:t>
      </w:r>
      <w:r w:rsidRPr="0075388A">
        <w:rPr>
          <w:rFonts w:cs="Arial" w:hint="cs"/>
          <w:rtl/>
        </w:rPr>
        <w:t>שרי</w:t>
      </w:r>
      <w:r>
        <w:rPr>
          <w:rFonts w:cs="Arial" w:hint="cs"/>
          <w:rtl/>
        </w:rPr>
        <w:t>,</w:t>
      </w:r>
      <w:r w:rsidRPr="0075388A">
        <w:rPr>
          <w:rFonts w:cs="Arial"/>
          <w:rtl/>
        </w:rPr>
        <w:t xml:space="preserve"> </w:t>
      </w:r>
      <w:r w:rsidRPr="0075388A">
        <w:rPr>
          <w:rFonts w:cs="Arial" w:hint="cs"/>
          <w:rtl/>
        </w:rPr>
        <w:t>דהא</w:t>
      </w:r>
      <w:r w:rsidRPr="0075388A">
        <w:rPr>
          <w:rFonts w:cs="Arial"/>
          <w:rtl/>
        </w:rPr>
        <w:t xml:space="preserve"> </w:t>
      </w:r>
      <w:r w:rsidRPr="0075388A">
        <w:rPr>
          <w:rFonts w:cs="Arial" w:hint="cs"/>
          <w:rtl/>
        </w:rPr>
        <w:t>התוספות</w:t>
      </w:r>
      <w:r w:rsidRPr="0075388A">
        <w:rPr>
          <w:rFonts w:cs="Arial"/>
          <w:rtl/>
        </w:rPr>
        <w:t xml:space="preserve"> </w:t>
      </w:r>
      <w:r w:rsidRPr="0075388A">
        <w:rPr>
          <w:rFonts w:cs="Arial" w:hint="cs"/>
          <w:rtl/>
        </w:rPr>
        <w:t>כתבו</w:t>
      </w:r>
      <w:r w:rsidRPr="0075388A">
        <w:rPr>
          <w:rFonts w:cs="Arial"/>
          <w:rtl/>
        </w:rPr>
        <w:t xml:space="preserve"> </w:t>
      </w:r>
      <w:r w:rsidRPr="0075388A">
        <w:rPr>
          <w:rFonts w:cs="Arial" w:hint="cs"/>
          <w:rtl/>
        </w:rPr>
        <w:t>פרק</w:t>
      </w:r>
      <w:r w:rsidRPr="0075388A">
        <w:rPr>
          <w:rFonts w:cs="Arial"/>
          <w:rtl/>
        </w:rPr>
        <w:t xml:space="preserve"> </w:t>
      </w:r>
      <w:r w:rsidRPr="0075388A">
        <w:rPr>
          <w:rFonts w:cs="Arial" w:hint="cs"/>
          <w:rtl/>
        </w:rPr>
        <w:t>ב</w:t>
      </w:r>
      <w:r w:rsidRPr="0075388A">
        <w:rPr>
          <w:rFonts w:cs="Arial"/>
          <w:rtl/>
        </w:rPr>
        <w:t xml:space="preserve">' </w:t>
      </w:r>
      <w:r w:rsidRPr="0075388A">
        <w:rPr>
          <w:rFonts w:cs="Arial" w:hint="cs"/>
          <w:rtl/>
        </w:rPr>
        <w:t>דביצה</w:t>
      </w:r>
      <w:r w:rsidRPr="0075388A">
        <w:rPr>
          <w:rFonts w:cs="Arial"/>
          <w:rtl/>
        </w:rPr>
        <w:t xml:space="preserve"> (</w:t>
      </w:r>
      <w:r w:rsidRPr="0075388A">
        <w:rPr>
          <w:rFonts w:cs="Arial" w:hint="cs"/>
          <w:rtl/>
        </w:rPr>
        <w:t>יז</w:t>
      </w:r>
      <w:r w:rsidRPr="0075388A">
        <w:rPr>
          <w:rFonts w:cs="Arial"/>
          <w:rtl/>
        </w:rPr>
        <w:t xml:space="preserve">. </w:t>
      </w:r>
      <w:r w:rsidRPr="0075388A">
        <w:rPr>
          <w:rFonts w:cs="Arial" w:hint="cs"/>
          <w:rtl/>
        </w:rPr>
        <w:t>ד</w:t>
      </w:r>
      <w:r w:rsidRPr="0075388A">
        <w:rPr>
          <w:rFonts w:cs="Arial"/>
          <w:rtl/>
        </w:rPr>
        <w:t>"</w:t>
      </w:r>
      <w:r w:rsidRPr="0075388A">
        <w:rPr>
          <w:rFonts w:cs="Arial" w:hint="cs"/>
          <w:rtl/>
        </w:rPr>
        <w:t>ה</w:t>
      </w:r>
      <w:r w:rsidRPr="0075388A">
        <w:rPr>
          <w:rFonts w:cs="Arial"/>
          <w:rtl/>
        </w:rPr>
        <w:t xml:space="preserve"> </w:t>
      </w:r>
      <w:r w:rsidRPr="0075388A">
        <w:rPr>
          <w:rFonts w:cs="Arial" w:hint="cs"/>
          <w:rtl/>
        </w:rPr>
        <w:t>אי</w:t>
      </w:r>
      <w:r w:rsidRPr="0075388A">
        <w:rPr>
          <w:rFonts w:cs="Arial"/>
          <w:rtl/>
        </w:rPr>
        <w:t xml:space="preserve"> </w:t>
      </w:r>
      <w:r w:rsidRPr="0075388A">
        <w:rPr>
          <w:rFonts w:cs="Arial" w:hint="cs"/>
          <w:rtl/>
        </w:rPr>
        <w:t>אמרת</w:t>
      </w:r>
      <w:r w:rsidRPr="0075388A">
        <w:rPr>
          <w:rFonts w:cs="Arial"/>
          <w:rtl/>
        </w:rPr>
        <w:t xml:space="preserve">) </w:t>
      </w:r>
      <w:r w:rsidRPr="0075388A">
        <w:rPr>
          <w:rFonts w:cs="Arial" w:hint="cs"/>
          <w:rtl/>
        </w:rPr>
        <w:t>דכל</w:t>
      </w:r>
      <w:r w:rsidRPr="0075388A">
        <w:rPr>
          <w:rFonts w:cs="Arial"/>
          <w:rtl/>
        </w:rPr>
        <w:t xml:space="preserve"> </w:t>
      </w:r>
      <w:r w:rsidRPr="0075388A">
        <w:rPr>
          <w:rFonts w:cs="Arial" w:hint="cs"/>
          <w:rtl/>
        </w:rPr>
        <w:t>דבר</w:t>
      </w:r>
      <w:r w:rsidRPr="0075388A">
        <w:rPr>
          <w:rFonts w:cs="Arial"/>
          <w:rtl/>
        </w:rPr>
        <w:t xml:space="preserve"> </w:t>
      </w:r>
      <w:r w:rsidRPr="0075388A">
        <w:rPr>
          <w:rFonts w:cs="Arial" w:hint="cs"/>
          <w:rtl/>
        </w:rPr>
        <w:t>דאסור</w:t>
      </w:r>
      <w:r w:rsidRPr="0075388A">
        <w:rPr>
          <w:rFonts w:cs="Arial"/>
          <w:rtl/>
        </w:rPr>
        <w:t xml:space="preserve"> </w:t>
      </w:r>
      <w:r w:rsidRPr="0075388A">
        <w:rPr>
          <w:rFonts w:cs="Arial" w:hint="cs"/>
          <w:rtl/>
        </w:rPr>
        <w:t>לעשות</w:t>
      </w:r>
      <w:r w:rsidRPr="0075388A">
        <w:rPr>
          <w:rFonts w:cs="Arial"/>
          <w:rtl/>
        </w:rPr>
        <w:t xml:space="preserve"> </w:t>
      </w:r>
      <w:r w:rsidRPr="0075388A">
        <w:rPr>
          <w:rFonts w:cs="Arial" w:hint="cs"/>
          <w:rtl/>
        </w:rPr>
        <w:t>לעצמו</w:t>
      </w:r>
      <w:r w:rsidRPr="0075388A">
        <w:rPr>
          <w:rFonts w:cs="Arial"/>
          <w:rtl/>
        </w:rPr>
        <w:t xml:space="preserve"> </w:t>
      </w:r>
      <w:r w:rsidRPr="0075388A">
        <w:rPr>
          <w:rFonts w:cs="Arial" w:hint="cs"/>
          <w:rtl/>
        </w:rPr>
        <w:t>גם</w:t>
      </w:r>
      <w:r w:rsidRPr="0075388A">
        <w:rPr>
          <w:rFonts w:cs="Arial"/>
          <w:rtl/>
        </w:rPr>
        <w:t xml:space="preserve"> </w:t>
      </w:r>
      <w:r w:rsidRPr="0075388A">
        <w:rPr>
          <w:rFonts w:cs="Arial" w:hint="cs"/>
          <w:rtl/>
        </w:rPr>
        <w:t>אחרים</w:t>
      </w:r>
      <w:r w:rsidRPr="0075388A">
        <w:rPr>
          <w:rFonts w:cs="Arial"/>
          <w:rtl/>
        </w:rPr>
        <w:t xml:space="preserve"> </w:t>
      </w:r>
      <w:r w:rsidRPr="0075388A">
        <w:rPr>
          <w:rFonts w:cs="Arial" w:hint="cs"/>
          <w:rtl/>
        </w:rPr>
        <w:t>אסורין</w:t>
      </w:r>
      <w:r w:rsidRPr="0075388A">
        <w:rPr>
          <w:rFonts w:cs="Arial"/>
          <w:rtl/>
        </w:rPr>
        <w:t xml:space="preserve"> </w:t>
      </w:r>
      <w:r w:rsidRPr="0075388A">
        <w:rPr>
          <w:rFonts w:cs="Arial" w:hint="cs"/>
          <w:rtl/>
        </w:rPr>
        <w:t>לעשות</w:t>
      </w:r>
      <w:r w:rsidRPr="0075388A">
        <w:rPr>
          <w:rFonts w:cs="Arial"/>
          <w:rtl/>
        </w:rPr>
        <w:t xml:space="preserve"> </w:t>
      </w:r>
      <w:r w:rsidRPr="0075388A">
        <w:rPr>
          <w:rFonts w:cs="Arial" w:hint="cs"/>
          <w:rtl/>
        </w:rPr>
        <w:t>לו</w:t>
      </w:r>
      <w:r>
        <w:rPr>
          <w:rFonts w:cs="Arial" w:hint="cs"/>
          <w:rtl/>
        </w:rPr>
        <w:t>.</w:t>
      </w:r>
      <w:r w:rsidRPr="0075388A">
        <w:rPr>
          <w:rFonts w:cs="Arial"/>
          <w:rtl/>
        </w:rPr>
        <w:t xml:space="preserve"> </w:t>
      </w:r>
      <w:r w:rsidRPr="0075388A">
        <w:rPr>
          <w:rFonts w:cs="Arial" w:hint="cs"/>
          <w:rtl/>
        </w:rPr>
        <w:t>ואע</w:t>
      </w:r>
      <w:r>
        <w:rPr>
          <w:rFonts w:cs="Arial" w:hint="cs"/>
          <w:rtl/>
        </w:rPr>
        <w:t>"</w:t>
      </w:r>
      <w:r w:rsidRPr="0075388A">
        <w:rPr>
          <w:rFonts w:cs="Arial" w:hint="cs"/>
          <w:rtl/>
        </w:rPr>
        <w:t>ג</w:t>
      </w:r>
      <w:r w:rsidRPr="0075388A">
        <w:rPr>
          <w:rFonts w:cs="Arial"/>
          <w:rtl/>
        </w:rPr>
        <w:t xml:space="preserve"> </w:t>
      </w:r>
      <w:r w:rsidRPr="0075388A">
        <w:rPr>
          <w:rFonts w:cs="Arial" w:hint="cs"/>
          <w:rtl/>
        </w:rPr>
        <w:t>דמדברי</w:t>
      </w:r>
      <w:r w:rsidRPr="0075388A">
        <w:rPr>
          <w:rFonts w:cs="Arial"/>
          <w:rtl/>
        </w:rPr>
        <w:t xml:space="preserve"> </w:t>
      </w:r>
      <w:r w:rsidRPr="0075388A">
        <w:rPr>
          <w:rFonts w:cs="Arial" w:hint="cs"/>
          <w:rtl/>
        </w:rPr>
        <w:t>רש</w:t>
      </w:r>
      <w:r w:rsidRPr="0075388A">
        <w:rPr>
          <w:rFonts w:cs="Arial"/>
          <w:rtl/>
        </w:rPr>
        <w:t>"</w:t>
      </w:r>
      <w:r w:rsidRPr="0075388A">
        <w:rPr>
          <w:rFonts w:cs="Arial" w:hint="cs"/>
          <w:rtl/>
        </w:rPr>
        <w:t>י</w:t>
      </w:r>
      <w:r w:rsidRPr="0075388A">
        <w:rPr>
          <w:rFonts w:cs="Arial"/>
          <w:rtl/>
        </w:rPr>
        <w:t xml:space="preserve"> (</w:t>
      </w:r>
      <w:r w:rsidRPr="0075388A">
        <w:rPr>
          <w:rFonts w:cs="Arial" w:hint="cs"/>
          <w:rtl/>
        </w:rPr>
        <w:t>שם</w:t>
      </w:r>
      <w:r w:rsidRPr="0075388A">
        <w:rPr>
          <w:rFonts w:cs="Arial"/>
          <w:rtl/>
        </w:rPr>
        <w:t xml:space="preserve">) </w:t>
      </w:r>
      <w:r w:rsidRPr="0075388A">
        <w:rPr>
          <w:rFonts w:cs="Arial" w:hint="cs"/>
          <w:rtl/>
        </w:rPr>
        <w:t>משמע</w:t>
      </w:r>
      <w:r w:rsidRPr="0075388A">
        <w:rPr>
          <w:rFonts w:cs="Arial"/>
          <w:rtl/>
        </w:rPr>
        <w:t xml:space="preserve"> </w:t>
      </w:r>
      <w:r w:rsidRPr="0075388A">
        <w:rPr>
          <w:rFonts w:cs="Arial" w:hint="cs"/>
          <w:rtl/>
        </w:rPr>
        <w:t>דשרי</w:t>
      </w:r>
      <w:r w:rsidRPr="0075388A">
        <w:rPr>
          <w:rFonts w:cs="Arial"/>
          <w:rtl/>
        </w:rPr>
        <w:t xml:space="preserve">, </w:t>
      </w:r>
      <w:r w:rsidRPr="0075388A">
        <w:rPr>
          <w:rFonts w:cs="Arial" w:hint="cs"/>
          <w:rtl/>
        </w:rPr>
        <w:t>מכל</w:t>
      </w:r>
      <w:r w:rsidRPr="0075388A">
        <w:rPr>
          <w:rFonts w:cs="Arial"/>
          <w:rtl/>
        </w:rPr>
        <w:t xml:space="preserve"> </w:t>
      </w:r>
      <w:r w:rsidRPr="0075388A">
        <w:rPr>
          <w:rFonts w:cs="Arial" w:hint="cs"/>
          <w:rtl/>
        </w:rPr>
        <w:t>מקום</w:t>
      </w:r>
      <w:r w:rsidRPr="0075388A">
        <w:rPr>
          <w:rFonts w:cs="Arial"/>
          <w:rtl/>
        </w:rPr>
        <w:t xml:space="preserve"> </w:t>
      </w:r>
      <w:r w:rsidRPr="0075388A">
        <w:rPr>
          <w:rFonts w:cs="Arial" w:hint="cs"/>
          <w:rtl/>
        </w:rPr>
        <w:t>לפי</w:t>
      </w:r>
      <w:r w:rsidRPr="0075388A">
        <w:rPr>
          <w:rFonts w:cs="Arial"/>
          <w:rtl/>
        </w:rPr>
        <w:t xml:space="preserve"> </w:t>
      </w:r>
      <w:r w:rsidRPr="0075388A">
        <w:rPr>
          <w:rFonts w:cs="Arial" w:hint="cs"/>
          <w:rtl/>
        </w:rPr>
        <w:t>המסקנא</w:t>
      </w:r>
      <w:r w:rsidRPr="0075388A">
        <w:rPr>
          <w:rFonts w:cs="Arial"/>
          <w:rtl/>
        </w:rPr>
        <w:t xml:space="preserve"> </w:t>
      </w:r>
      <w:r w:rsidRPr="0075388A">
        <w:rPr>
          <w:rFonts w:cs="Arial" w:hint="cs"/>
          <w:rtl/>
        </w:rPr>
        <w:t>דהתם</w:t>
      </w:r>
      <w:r w:rsidRPr="0075388A">
        <w:rPr>
          <w:rFonts w:cs="Arial"/>
          <w:rtl/>
        </w:rPr>
        <w:t xml:space="preserve"> </w:t>
      </w:r>
      <w:r w:rsidRPr="0075388A">
        <w:rPr>
          <w:rFonts w:cs="Arial" w:hint="cs"/>
          <w:rtl/>
        </w:rPr>
        <w:t>דצריך</w:t>
      </w:r>
      <w:r w:rsidRPr="0075388A">
        <w:rPr>
          <w:rFonts w:cs="Arial"/>
          <w:rtl/>
        </w:rPr>
        <w:t xml:space="preserve"> </w:t>
      </w:r>
      <w:r w:rsidRPr="0075388A">
        <w:rPr>
          <w:rFonts w:cs="Arial" w:hint="cs"/>
          <w:rtl/>
        </w:rPr>
        <w:t>לאקנויי</w:t>
      </w:r>
      <w:r w:rsidRPr="0075388A">
        <w:rPr>
          <w:rFonts w:cs="Arial"/>
          <w:rtl/>
        </w:rPr>
        <w:t xml:space="preserve"> </w:t>
      </w:r>
      <w:r w:rsidRPr="0075388A">
        <w:rPr>
          <w:rFonts w:cs="Arial" w:hint="cs"/>
          <w:rtl/>
        </w:rPr>
        <w:t>קמחו</w:t>
      </w:r>
      <w:r w:rsidRPr="0075388A">
        <w:rPr>
          <w:rFonts w:cs="Arial"/>
          <w:rtl/>
        </w:rPr>
        <w:t xml:space="preserve"> </w:t>
      </w:r>
      <w:r w:rsidRPr="0075388A">
        <w:rPr>
          <w:rFonts w:cs="Arial" w:hint="cs"/>
          <w:rtl/>
        </w:rPr>
        <w:t>לאחרים</w:t>
      </w:r>
      <w:r w:rsidRPr="0075388A">
        <w:rPr>
          <w:rFonts w:cs="Arial"/>
          <w:rtl/>
        </w:rPr>
        <w:t xml:space="preserve"> </w:t>
      </w:r>
      <w:r w:rsidRPr="0075388A">
        <w:rPr>
          <w:rFonts w:cs="Arial" w:hint="cs"/>
          <w:rtl/>
        </w:rPr>
        <w:t>גבי</w:t>
      </w:r>
      <w:r w:rsidRPr="0075388A">
        <w:rPr>
          <w:rFonts w:cs="Arial"/>
          <w:rtl/>
        </w:rPr>
        <w:t xml:space="preserve"> </w:t>
      </w:r>
      <w:r w:rsidRPr="0075388A">
        <w:rPr>
          <w:rFonts w:cs="Arial" w:hint="cs"/>
          <w:rtl/>
        </w:rPr>
        <w:t>עירוב</w:t>
      </w:r>
      <w:r w:rsidRPr="0075388A">
        <w:rPr>
          <w:rFonts w:cs="Arial"/>
          <w:rtl/>
        </w:rPr>
        <w:t xml:space="preserve"> </w:t>
      </w:r>
      <w:r w:rsidRPr="0075388A">
        <w:rPr>
          <w:rFonts w:cs="Arial" w:hint="cs"/>
          <w:rtl/>
        </w:rPr>
        <w:t>תבשילין</w:t>
      </w:r>
      <w:r w:rsidRPr="0075388A">
        <w:rPr>
          <w:rFonts w:cs="Arial"/>
          <w:rtl/>
        </w:rPr>
        <w:t xml:space="preserve"> </w:t>
      </w:r>
      <w:r w:rsidRPr="0075388A">
        <w:rPr>
          <w:rFonts w:cs="Arial" w:hint="cs"/>
          <w:rtl/>
        </w:rPr>
        <w:t>אם</w:t>
      </w:r>
      <w:r w:rsidRPr="0075388A">
        <w:rPr>
          <w:rFonts w:cs="Arial"/>
          <w:rtl/>
        </w:rPr>
        <w:t xml:space="preserve"> </w:t>
      </w:r>
      <w:r w:rsidRPr="0075388A">
        <w:rPr>
          <w:rFonts w:cs="Arial" w:hint="cs"/>
          <w:rtl/>
        </w:rPr>
        <w:t>כן</w:t>
      </w:r>
      <w:r w:rsidRPr="0075388A">
        <w:rPr>
          <w:rFonts w:cs="Arial"/>
          <w:rtl/>
        </w:rPr>
        <w:t xml:space="preserve"> </w:t>
      </w:r>
      <w:r w:rsidRPr="0075388A">
        <w:rPr>
          <w:rFonts w:cs="Arial" w:hint="cs"/>
          <w:rtl/>
        </w:rPr>
        <w:t>הוא</w:t>
      </w:r>
      <w:r w:rsidRPr="0075388A">
        <w:rPr>
          <w:rFonts w:cs="Arial"/>
          <w:rtl/>
        </w:rPr>
        <w:t xml:space="preserve"> </w:t>
      </w:r>
      <w:r w:rsidRPr="0075388A">
        <w:rPr>
          <w:rFonts w:cs="Arial" w:hint="cs"/>
          <w:rtl/>
        </w:rPr>
        <w:t>הדין</w:t>
      </w:r>
      <w:r w:rsidRPr="0075388A">
        <w:rPr>
          <w:rFonts w:cs="Arial"/>
          <w:rtl/>
        </w:rPr>
        <w:t xml:space="preserve"> </w:t>
      </w:r>
      <w:r w:rsidRPr="0075388A">
        <w:rPr>
          <w:rFonts w:cs="Arial" w:hint="cs"/>
          <w:rtl/>
        </w:rPr>
        <w:t>כאן</w:t>
      </w:r>
      <w:r>
        <w:rPr>
          <w:rFonts w:cs="Arial" w:hint="cs"/>
          <w:rtl/>
        </w:rPr>
        <w:t>.</w:t>
      </w:r>
      <w:r w:rsidRPr="0075388A">
        <w:rPr>
          <w:rFonts w:cs="Arial"/>
          <w:rtl/>
        </w:rPr>
        <w:t xml:space="preserve"> </w:t>
      </w:r>
      <w:r w:rsidRPr="0075388A">
        <w:rPr>
          <w:rFonts w:cs="Arial" w:hint="cs"/>
          <w:rtl/>
        </w:rPr>
        <w:t>מיהו</w:t>
      </w:r>
      <w:r w:rsidRPr="0075388A">
        <w:rPr>
          <w:rFonts w:cs="Arial"/>
          <w:rtl/>
        </w:rPr>
        <w:t xml:space="preserve"> </w:t>
      </w:r>
      <w:r w:rsidRPr="0075388A">
        <w:rPr>
          <w:rFonts w:cs="Arial" w:hint="cs"/>
          <w:rtl/>
        </w:rPr>
        <w:t>נראה</w:t>
      </w:r>
      <w:r w:rsidRPr="0075388A">
        <w:rPr>
          <w:rFonts w:cs="Arial"/>
          <w:rtl/>
        </w:rPr>
        <w:t xml:space="preserve"> </w:t>
      </w:r>
      <w:r w:rsidRPr="0075388A">
        <w:rPr>
          <w:rFonts w:cs="Arial" w:hint="cs"/>
          <w:rtl/>
        </w:rPr>
        <w:t>דאף</w:t>
      </w:r>
      <w:r w:rsidRPr="0075388A">
        <w:rPr>
          <w:rFonts w:cs="Arial"/>
          <w:rtl/>
        </w:rPr>
        <w:t xml:space="preserve"> </w:t>
      </w:r>
      <w:r w:rsidRPr="0075388A">
        <w:rPr>
          <w:rFonts w:cs="Arial" w:hint="cs"/>
          <w:rtl/>
        </w:rPr>
        <w:t>לדברי</w:t>
      </w:r>
      <w:r w:rsidRPr="0075388A">
        <w:rPr>
          <w:rFonts w:cs="Arial"/>
          <w:rtl/>
        </w:rPr>
        <w:t xml:space="preserve"> </w:t>
      </w:r>
      <w:r w:rsidRPr="0075388A">
        <w:rPr>
          <w:rFonts w:cs="Arial" w:hint="cs"/>
          <w:rtl/>
        </w:rPr>
        <w:t>הר</w:t>
      </w:r>
      <w:r w:rsidRPr="0075388A">
        <w:rPr>
          <w:rFonts w:cs="Arial"/>
          <w:rtl/>
        </w:rPr>
        <w:t>"</w:t>
      </w:r>
      <w:r w:rsidRPr="0075388A">
        <w:rPr>
          <w:rFonts w:cs="Arial" w:hint="cs"/>
          <w:rtl/>
        </w:rPr>
        <w:t>ן</w:t>
      </w:r>
      <w:r w:rsidRPr="0075388A">
        <w:rPr>
          <w:rFonts w:cs="Arial"/>
          <w:rtl/>
        </w:rPr>
        <w:t xml:space="preserve"> </w:t>
      </w:r>
      <w:r w:rsidRPr="0075388A">
        <w:rPr>
          <w:rFonts w:cs="Arial" w:hint="cs"/>
          <w:rtl/>
        </w:rPr>
        <w:t>והתוספות</w:t>
      </w:r>
      <w:r w:rsidRPr="0075388A">
        <w:rPr>
          <w:rFonts w:cs="Arial"/>
          <w:rtl/>
        </w:rPr>
        <w:t xml:space="preserve"> </w:t>
      </w:r>
      <w:r w:rsidRPr="0075388A">
        <w:rPr>
          <w:rFonts w:cs="Arial" w:hint="cs"/>
          <w:rtl/>
        </w:rPr>
        <w:t>אם</w:t>
      </w:r>
      <w:r w:rsidRPr="0075388A">
        <w:rPr>
          <w:rFonts w:cs="Arial"/>
          <w:rtl/>
        </w:rPr>
        <w:t xml:space="preserve"> </w:t>
      </w:r>
      <w:r w:rsidRPr="0075388A">
        <w:rPr>
          <w:rFonts w:cs="Arial" w:hint="cs"/>
          <w:rtl/>
        </w:rPr>
        <w:t>אחרים</w:t>
      </w:r>
      <w:r w:rsidRPr="0075388A">
        <w:rPr>
          <w:rFonts w:cs="Arial"/>
          <w:rtl/>
        </w:rPr>
        <w:t xml:space="preserve"> </w:t>
      </w:r>
      <w:r w:rsidRPr="0075388A">
        <w:rPr>
          <w:rFonts w:cs="Arial" w:hint="cs"/>
          <w:rtl/>
        </w:rPr>
        <w:t>עברו</w:t>
      </w:r>
      <w:r w:rsidRPr="0075388A">
        <w:rPr>
          <w:rFonts w:cs="Arial"/>
          <w:rtl/>
        </w:rPr>
        <w:t xml:space="preserve"> </w:t>
      </w:r>
      <w:r w:rsidRPr="0075388A">
        <w:rPr>
          <w:rFonts w:cs="Arial" w:hint="cs"/>
          <w:rtl/>
        </w:rPr>
        <w:t>ועשו</w:t>
      </w:r>
      <w:r w:rsidRPr="0075388A">
        <w:rPr>
          <w:rFonts w:cs="Arial"/>
          <w:rtl/>
        </w:rPr>
        <w:t xml:space="preserve"> </w:t>
      </w:r>
      <w:r w:rsidRPr="0075388A">
        <w:rPr>
          <w:rFonts w:cs="Arial" w:hint="cs"/>
          <w:rtl/>
        </w:rPr>
        <w:t>לו</w:t>
      </w:r>
      <w:r w:rsidRPr="0075388A">
        <w:rPr>
          <w:rFonts w:cs="Arial"/>
          <w:rtl/>
        </w:rPr>
        <w:t xml:space="preserve"> </w:t>
      </w:r>
      <w:r w:rsidRPr="0075388A">
        <w:rPr>
          <w:rFonts w:cs="Arial" w:hint="cs"/>
          <w:rtl/>
        </w:rPr>
        <w:t>או</w:t>
      </w:r>
      <w:r w:rsidRPr="0075388A">
        <w:rPr>
          <w:rFonts w:cs="Arial"/>
          <w:rtl/>
        </w:rPr>
        <w:t xml:space="preserve"> </w:t>
      </w:r>
      <w:r w:rsidRPr="0075388A">
        <w:rPr>
          <w:rFonts w:cs="Arial" w:hint="cs"/>
          <w:rtl/>
        </w:rPr>
        <w:t>עשו</w:t>
      </w:r>
      <w:r w:rsidRPr="0075388A">
        <w:rPr>
          <w:rFonts w:cs="Arial"/>
          <w:rtl/>
        </w:rPr>
        <w:t xml:space="preserve"> </w:t>
      </w:r>
      <w:r w:rsidRPr="0075388A">
        <w:rPr>
          <w:rFonts w:cs="Arial" w:hint="cs"/>
          <w:rtl/>
        </w:rPr>
        <w:t>לעצמן</w:t>
      </w:r>
      <w:r w:rsidRPr="0075388A">
        <w:rPr>
          <w:rFonts w:cs="Arial"/>
          <w:rtl/>
        </w:rPr>
        <w:t xml:space="preserve"> </w:t>
      </w:r>
      <w:r>
        <w:rPr>
          <w:rFonts w:cs="Arial" w:hint="cs"/>
          <w:rtl/>
        </w:rPr>
        <w:t xml:space="preserve">- </w:t>
      </w:r>
      <w:r w:rsidRPr="0075388A">
        <w:rPr>
          <w:rFonts w:cs="Arial" w:hint="cs"/>
          <w:rtl/>
        </w:rPr>
        <w:t>ודאי</w:t>
      </w:r>
      <w:r w:rsidRPr="0075388A">
        <w:rPr>
          <w:rFonts w:cs="Arial"/>
          <w:rtl/>
        </w:rPr>
        <w:t xml:space="preserve"> </w:t>
      </w:r>
      <w:r w:rsidRPr="0075388A">
        <w:rPr>
          <w:rFonts w:cs="Arial" w:hint="cs"/>
          <w:rtl/>
        </w:rPr>
        <w:t>מותר</w:t>
      </w:r>
      <w:r w:rsidRPr="0075388A">
        <w:rPr>
          <w:rFonts w:cs="Arial"/>
          <w:rtl/>
        </w:rPr>
        <w:t xml:space="preserve"> </w:t>
      </w:r>
      <w:r w:rsidRPr="0075388A">
        <w:rPr>
          <w:rFonts w:cs="Arial" w:hint="cs"/>
          <w:rtl/>
        </w:rPr>
        <w:t>ליהנות</w:t>
      </w:r>
      <w:r w:rsidRPr="0075388A">
        <w:rPr>
          <w:rFonts w:cs="Arial"/>
          <w:rtl/>
        </w:rPr>
        <w:t xml:space="preserve"> </w:t>
      </w:r>
      <w:r w:rsidRPr="0075388A">
        <w:rPr>
          <w:rFonts w:cs="Arial" w:hint="cs"/>
          <w:rtl/>
        </w:rPr>
        <w:t>בו</w:t>
      </w:r>
      <w:r w:rsidRPr="0075388A">
        <w:rPr>
          <w:rFonts w:cs="Arial"/>
          <w:rtl/>
        </w:rPr>
        <w:t xml:space="preserve">, </w:t>
      </w:r>
      <w:r w:rsidRPr="0075388A">
        <w:rPr>
          <w:rFonts w:cs="Arial" w:hint="cs"/>
          <w:rtl/>
        </w:rPr>
        <w:t>דאף</w:t>
      </w:r>
      <w:r w:rsidRPr="0075388A">
        <w:rPr>
          <w:rFonts w:cs="Arial"/>
          <w:rtl/>
        </w:rPr>
        <w:t xml:space="preserve"> </w:t>
      </w:r>
      <w:r w:rsidRPr="0075388A">
        <w:rPr>
          <w:rFonts w:cs="Arial" w:hint="cs"/>
          <w:rtl/>
        </w:rPr>
        <w:t>בעירובי</w:t>
      </w:r>
      <w:r w:rsidRPr="0075388A">
        <w:rPr>
          <w:rFonts w:cs="Arial"/>
          <w:rtl/>
        </w:rPr>
        <w:t xml:space="preserve"> </w:t>
      </w:r>
      <w:r w:rsidRPr="0075388A">
        <w:rPr>
          <w:rFonts w:cs="Arial" w:hint="cs"/>
          <w:rtl/>
        </w:rPr>
        <w:t>תבשילין</w:t>
      </w:r>
      <w:r w:rsidRPr="0075388A">
        <w:rPr>
          <w:rFonts w:cs="Arial"/>
          <w:rtl/>
        </w:rPr>
        <w:t xml:space="preserve"> </w:t>
      </w:r>
      <w:r w:rsidRPr="0075388A">
        <w:rPr>
          <w:rFonts w:cs="Arial" w:hint="cs"/>
          <w:rtl/>
        </w:rPr>
        <w:t>לא</w:t>
      </w:r>
      <w:r w:rsidRPr="0075388A">
        <w:rPr>
          <w:rFonts w:cs="Arial"/>
          <w:rtl/>
        </w:rPr>
        <w:t xml:space="preserve"> </w:t>
      </w:r>
      <w:r w:rsidRPr="0075388A">
        <w:rPr>
          <w:rFonts w:cs="Arial" w:hint="cs"/>
          <w:rtl/>
        </w:rPr>
        <w:t>קא</w:t>
      </w:r>
      <w:r w:rsidRPr="0075388A">
        <w:rPr>
          <w:rFonts w:cs="Arial"/>
          <w:rtl/>
        </w:rPr>
        <w:t xml:space="preserve"> </w:t>
      </w:r>
      <w:r w:rsidRPr="0075388A">
        <w:rPr>
          <w:rFonts w:cs="Arial" w:hint="cs"/>
          <w:rtl/>
        </w:rPr>
        <w:t>מבעיא</w:t>
      </w:r>
      <w:r w:rsidRPr="0075388A">
        <w:rPr>
          <w:rFonts w:cs="Arial"/>
          <w:rtl/>
        </w:rPr>
        <w:t xml:space="preserve"> </w:t>
      </w:r>
      <w:r w:rsidRPr="0075388A">
        <w:rPr>
          <w:rFonts w:cs="Arial" w:hint="cs"/>
          <w:rtl/>
        </w:rPr>
        <w:t>להו</w:t>
      </w:r>
      <w:r w:rsidRPr="0075388A">
        <w:rPr>
          <w:rFonts w:cs="Arial"/>
          <w:rtl/>
        </w:rPr>
        <w:t xml:space="preserve"> </w:t>
      </w:r>
      <w:r w:rsidRPr="0075388A">
        <w:rPr>
          <w:rFonts w:cs="Arial" w:hint="cs"/>
          <w:rtl/>
        </w:rPr>
        <w:t>בגמרא</w:t>
      </w:r>
      <w:r w:rsidRPr="0075388A">
        <w:rPr>
          <w:rFonts w:cs="Arial"/>
          <w:rtl/>
        </w:rPr>
        <w:t xml:space="preserve"> </w:t>
      </w:r>
      <w:r w:rsidRPr="0075388A">
        <w:rPr>
          <w:rFonts w:cs="Arial" w:hint="cs"/>
          <w:rtl/>
        </w:rPr>
        <w:t>אלא</w:t>
      </w:r>
      <w:r w:rsidRPr="0075388A">
        <w:rPr>
          <w:rFonts w:cs="Arial"/>
          <w:rtl/>
        </w:rPr>
        <w:t xml:space="preserve"> </w:t>
      </w:r>
      <w:r w:rsidRPr="0075388A">
        <w:rPr>
          <w:rFonts w:cs="Arial" w:hint="cs"/>
          <w:rtl/>
        </w:rPr>
        <w:t>אם</w:t>
      </w:r>
      <w:r w:rsidRPr="0075388A">
        <w:rPr>
          <w:rFonts w:cs="Arial"/>
          <w:rtl/>
        </w:rPr>
        <w:t xml:space="preserve"> </w:t>
      </w:r>
      <w:r w:rsidRPr="0075388A">
        <w:rPr>
          <w:rFonts w:cs="Arial" w:hint="cs"/>
          <w:rtl/>
        </w:rPr>
        <w:t>עבר</w:t>
      </w:r>
      <w:r w:rsidRPr="0075388A">
        <w:rPr>
          <w:rFonts w:cs="Arial"/>
          <w:rtl/>
        </w:rPr>
        <w:t xml:space="preserve"> </w:t>
      </w:r>
      <w:r w:rsidRPr="0075388A">
        <w:rPr>
          <w:rFonts w:cs="Arial" w:hint="cs"/>
          <w:rtl/>
        </w:rPr>
        <w:t>ואפה</w:t>
      </w:r>
      <w:r w:rsidRPr="0075388A">
        <w:rPr>
          <w:rFonts w:cs="Arial"/>
          <w:rtl/>
        </w:rPr>
        <w:t xml:space="preserve"> </w:t>
      </w:r>
      <w:r w:rsidRPr="0075388A">
        <w:rPr>
          <w:rFonts w:cs="Arial" w:hint="cs"/>
          <w:rtl/>
        </w:rPr>
        <w:t>בעצמו</w:t>
      </w:r>
      <w:r w:rsidRPr="0075388A">
        <w:rPr>
          <w:rFonts w:cs="Arial"/>
          <w:rtl/>
        </w:rPr>
        <w:t xml:space="preserve">, </w:t>
      </w:r>
      <w:r w:rsidRPr="0075388A">
        <w:rPr>
          <w:rFonts w:cs="Arial" w:hint="cs"/>
          <w:rtl/>
        </w:rPr>
        <w:t>אבל</w:t>
      </w:r>
      <w:r w:rsidRPr="0075388A">
        <w:rPr>
          <w:rFonts w:cs="Arial"/>
          <w:rtl/>
        </w:rPr>
        <w:t xml:space="preserve"> </w:t>
      </w:r>
      <w:r w:rsidRPr="0075388A">
        <w:rPr>
          <w:rFonts w:cs="Arial" w:hint="cs"/>
          <w:rtl/>
        </w:rPr>
        <w:t>אם</w:t>
      </w:r>
      <w:r w:rsidRPr="0075388A">
        <w:rPr>
          <w:rFonts w:cs="Arial"/>
          <w:rtl/>
        </w:rPr>
        <w:t xml:space="preserve"> </w:t>
      </w:r>
      <w:r w:rsidRPr="0075388A">
        <w:rPr>
          <w:rFonts w:cs="Arial" w:hint="cs"/>
          <w:rtl/>
        </w:rPr>
        <w:t>אחרים</w:t>
      </w:r>
      <w:r w:rsidRPr="0075388A">
        <w:rPr>
          <w:rFonts w:cs="Arial"/>
          <w:rtl/>
        </w:rPr>
        <w:t xml:space="preserve"> </w:t>
      </w:r>
      <w:r w:rsidRPr="0075388A">
        <w:rPr>
          <w:rFonts w:cs="Arial" w:hint="cs"/>
          <w:rtl/>
        </w:rPr>
        <w:t>עשו</w:t>
      </w:r>
      <w:r w:rsidRPr="0075388A">
        <w:rPr>
          <w:rFonts w:cs="Arial"/>
          <w:rtl/>
        </w:rPr>
        <w:t xml:space="preserve"> </w:t>
      </w:r>
      <w:r w:rsidRPr="0075388A">
        <w:rPr>
          <w:rFonts w:cs="Arial" w:hint="cs"/>
          <w:rtl/>
        </w:rPr>
        <w:t>לעצמן</w:t>
      </w:r>
      <w:r w:rsidRPr="0075388A">
        <w:rPr>
          <w:rFonts w:cs="Arial"/>
          <w:rtl/>
        </w:rPr>
        <w:t xml:space="preserve"> </w:t>
      </w:r>
      <w:r w:rsidRPr="0075388A">
        <w:rPr>
          <w:rFonts w:cs="Arial" w:hint="cs"/>
          <w:rtl/>
        </w:rPr>
        <w:t>או</w:t>
      </w:r>
      <w:r w:rsidRPr="0075388A">
        <w:rPr>
          <w:rFonts w:cs="Arial"/>
          <w:rtl/>
        </w:rPr>
        <w:t xml:space="preserve"> </w:t>
      </w:r>
      <w:r w:rsidRPr="0075388A">
        <w:rPr>
          <w:rFonts w:cs="Arial" w:hint="cs"/>
          <w:rtl/>
        </w:rPr>
        <w:t>עברו</w:t>
      </w:r>
      <w:r w:rsidRPr="0075388A">
        <w:rPr>
          <w:rFonts w:cs="Arial"/>
          <w:rtl/>
        </w:rPr>
        <w:t xml:space="preserve"> </w:t>
      </w:r>
      <w:r w:rsidRPr="0075388A">
        <w:rPr>
          <w:rFonts w:cs="Arial" w:hint="cs"/>
          <w:rtl/>
        </w:rPr>
        <w:t>ועשו</w:t>
      </w:r>
      <w:r w:rsidRPr="0075388A">
        <w:rPr>
          <w:rFonts w:cs="Arial"/>
          <w:rtl/>
        </w:rPr>
        <w:t xml:space="preserve"> </w:t>
      </w:r>
      <w:r w:rsidRPr="0075388A">
        <w:rPr>
          <w:rFonts w:cs="Arial" w:hint="cs"/>
          <w:rtl/>
        </w:rPr>
        <w:t>לו</w:t>
      </w:r>
      <w:r w:rsidRPr="0075388A">
        <w:rPr>
          <w:rFonts w:cs="Arial"/>
          <w:rtl/>
        </w:rPr>
        <w:t xml:space="preserve"> </w:t>
      </w:r>
      <w:r w:rsidRPr="0075388A">
        <w:rPr>
          <w:rFonts w:cs="Arial" w:hint="cs"/>
          <w:rtl/>
        </w:rPr>
        <w:t>ודאי</w:t>
      </w:r>
      <w:r w:rsidRPr="0075388A">
        <w:rPr>
          <w:rFonts w:cs="Arial"/>
          <w:rtl/>
        </w:rPr>
        <w:t xml:space="preserve"> </w:t>
      </w:r>
      <w:r w:rsidRPr="0075388A">
        <w:rPr>
          <w:rFonts w:cs="Arial" w:hint="cs"/>
          <w:rtl/>
        </w:rPr>
        <w:t>שרי</w:t>
      </w:r>
      <w:r w:rsidRPr="0075388A">
        <w:rPr>
          <w:rFonts w:cs="Arial"/>
          <w:rtl/>
        </w:rPr>
        <w:t xml:space="preserve"> </w:t>
      </w:r>
      <w:r w:rsidRPr="0075388A">
        <w:rPr>
          <w:rFonts w:cs="Arial" w:hint="cs"/>
          <w:rtl/>
        </w:rPr>
        <w:t>ליהנות</w:t>
      </w:r>
      <w:r>
        <w:rPr>
          <w:rFonts w:cs="Arial" w:hint="cs"/>
          <w:rtl/>
        </w:rPr>
        <w:t>,</w:t>
      </w:r>
      <w:r w:rsidRPr="0075388A">
        <w:rPr>
          <w:rFonts w:cs="Arial"/>
          <w:rtl/>
        </w:rPr>
        <w:t xml:space="preserve"> </w:t>
      </w:r>
      <w:r w:rsidRPr="0075388A">
        <w:rPr>
          <w:rFonts w:cs="Arial" w:hint="cs"/>
          <w:rtl/>
        </w:rPr>
        <w:t>דאף</w:t>
      </w:r>
      <w:r w:rsidRPr="0075388A">
        <w:rPr>
          <w:rFonts w:cs="Arial"/>
          <w:rtl/>
        </w:rPr>
        <w:t xml:space="preserve"> </w:t>
      </w:r>
      <w:r w:rsidRPr="0075388A">
        <w:rPr>
          <w:rFonts w:cs="Arial" w:hint="cs"/>
          <w:rtl/>
        </w:rPr>
        <w:t>עירובי</w:t>
      </w:r>
      <w:r w:rsidRPr="0075388A">
        <w:rPr>
          <w:rFonts w:cs="Arial"/>
          <w:rtl/>
        </w:rPr>
        <w:t xml:space="preserve"> </w:t>
      </w:r>
      <w:r w:rsidRPr="0075388A">
        <w:rPr>
          <w:rFonts w:cs="Arial" w:hint="cs"/>
          <w:rtl/>
        </w:rPr>
        <w:t>תבשילין</w:t>
      </w:r>
      <w:r w:rsidRPr="0075388A">
        <w:rPr>
          <w:rFonts w:cs="Arial"/>
          <w:rtl/>
        </w:rPr>
        <w:t xml:space="preserve"> </w:t>
      </w:r>
      <w:r w:rsidRPr="0075388A">
        <w:rPr>
          <w:rFonts w:cs="Arial" w:hint="cs"/>
          <w:rtl/>
        </w:rPr>
        <w:t>דהתם</w:t>
      </w:r>
      <w:r w:rsidRPr="0075388A">
        <w:rPr>
          <w:rFonts w:cs="Arial"/>
          <w:rtl/>
        </w:rPr>
        <w:t xml:space="preserve"> </w:t>
      </w:r>
      <w:r w:rsidRPr="0075388A">
        <w:rPr>
          <w:rFonts w:cs="Arial" w:hint="cs"/>
          <w:rtl/>
        </w:rPr>
        <w:t>אסור</w:t>
      </w:r>
      <w:r w:rsidRPr="0075388A">
        <w:rPr>
          <w:rFonts w:cs="Arial"/>
          <w:rtl/>
        </w:rPr>
        <w:t xml:space="preserve"> </w:t>
      </w:r>
      <w:r w:rsidRPr="0075388A">
        <w:rPr>
          <w:rFonts w:cs="Arial" w:hint="cs"/>
          <w:rtl/>
        </w:rPr>
        <w:t>לומר</w:t>
      </w:r>
      <w:r w:rsidRPr="0075388A">
        <w:rPr>
          <w:rFonts w:cs="Arial"/>
          <w:rtl/>
        </w:rPr>
        <w:t xml:space="preserve"> </w:t>
      </w:r>
      <w:r w:rsidRPr="0075388A">
        <w:rPr>
          <w:rFonts w:cs="Arial" w:hint="cs"/>
          <w:rtl/>
        </w:rPr>
        <w:t>לאחרים</w:t>
      </w:r>
      <w:r w:rsidRPr="0075388A">
        <w:rPr>
          <w:rFonts w:cs="Arial"/>
          <w:rtl/>
        </w:rPr>
        <w:t xml:space="preserve"> </w:t>
      </w:r>
      <w:r w:rsidRPr="0075388A">
        <w:rPr>
          <w:rFonts w:cs="Arial" w:hint="cs"/>
          <w:rtl/>
        </w:rPr>
        <w:t>לעשות</w:t>
      </w:r>
      <w:r w:rsidRPr="0075388A">
        <w:rPr>
          <w:rFonts w:cs="Arial"/>
          <w:rtl/>
        </w:rPr>
        <w:t xml:space="preserve"> </w:t>
      </w:r>
      <w:r w:rsidRPr="0075388A">
        <w:rPr>
          <w:rFonts w:cs="Arial" w:hint="cs"/>
          <w:rtl/>
        </w:rPr>
        <w:t>מלאכתו</w:t>
      </w:r>
      <w:r w:rsidRPr="0075388A">
        <w:rPr>
          <w:rFonts w:cs="Arial"/>
          <w:rtl/>
        </w:rPr>
        <w:t xml:space="preserve">. </w:t>
      </w:r>
      <w:r w:rsidRPr="0075388A">
        <w:rPr>
          <w:rFonts w:cs="Arial" w:hint="cs"/>
          <w:rtl/>
        </w:rPr>
        <w:t>ואפשר</w:t>
      </w:r>
      <w:r w:rsidRPr="0075388A">
        <w:rPr>
          <w:rFonts w:cs="Arial"/>
          <w:rtl/>
        </w:rPr>
        <w:t xml:space="preserve"> </w:t>
      </w:r>
      <w:r w:rsidRPr="0075388A">
        <w:rPr>
          <w:rFonts w:cs="Arial" w:hint="cs"/>
          <w:rtl/>
        </w:rPr>
        <w:t>דגם</w:t>
      </w:r>
      <w:r w:rsidRPr="0075388A">
        <w:rPr>
          <w:rFonts w:cs="Arial"/>
          <w:rtl/>
        </w:rPr>
        <w:t xml:space="preserve"> </w:t>
      </w:r>
      <w:r w:rsidRPr="0075388A">
        <w:rPr>
          <w:rFonts w:cs="Arial" w:hint="cs"/>
          <w:rtl/>
        </w:rPr>
        <w:t>הר</w:t>
      </w:r>
      <w:r w:rsidRPr="0075388A">
        <w:rPr>
          <w:rFonts w:cs="Arial"/>
          <w:rtl/>
        </w:rPr>
        <w:t>"</w:t>
      </w:r>
      <w:r w:rsidRPr="0075388A">
        <w:rPr>
          <w:rFonts w:cs="Arial" w:hint="cs"/>
          <w:rtl/>
        </w:rPr>
        <w:t>ן</w:t>
      </w:r>
      <w:r w:rsidRPr="0075388A">
        <w:rPr>
          <w:rFonts w:cs="Arial"/>
          <w:rtl/>
        </w:rPr>
        <w:t xml:space="preserve"> </w:t>
      </w:r>
      <w:r w:rsidRPr="0075388A">
        <w:rPr>
          <w:rFonts w:cs="Arial" w:hint="cs"/>
          <w:rtl/>
        </w:rPr>
        <w:t>מודה</w:t>
      </w:r>
      <w:r w:rsidRPr="0075388A">
        <w:rPr>
          <w:rFonts w:cs="Arial"/>
          <w:rtl/>
        </w:rPr>
        <w:t xml:space="preserve"> </w:t>
      </w:r>
      <w:r w:rsidRPr="0075388A">
        <w:rPr>
          <w:rFonts w:cs="Arial" w:hint="cs"/>
          <w:rtl/>
        </w:rPr>
        <w:t>לדברי</w:t>
      </w:r>
      <w:r w:rsidRPr="0075388A">
        <w:rPr>
          <w:rFonts w:cs="Arial"/>
          <w:rtl/>
        </w:rPr>
        <w:t xml:space="preserve"> </w:t>
      </w:r>
      <w:r w:rsidRPr="0075388A">
        <w:rPr>
          <w:rFonts w:cs="Arial" w:hint="cs"/>
          <w:rtl/>
        </w:rPr>
        <w:t>הרשב</w:t>
      </w:r>
      <w:r w:rsidRPr="0075388A">
        <w:rPr>
          <w:rFonts w:cs="Arial"/>
          <w:rtl/>
        </w:rPr>
        <w:t>"</w:t>
      </w:r>
      <w:r w:rsidRPr="0075388A">
        <w:rPr>
          <w:rFonts w:cs="Arial" w:hint="cs"/>
          <w:rtl/>
        </w:rPr>
        <w:t>א</w:t>
      </w:r>
      <w:r w:rsidRPr="0075388A">
        <w:rPr>
          <w:rFonts w:cs="Arial"/>
          <w:rtl/>
        </w:rPr>
        <w:t xml:space="preserve"> </w:t>
      </w:r>
      <w:r w:rsidRPr="0075388A">
        <w:rPr>
          <w:rFonts w:cs="Arial" w:hint="cs"/>
          <w:rtl/>
        </w:rPr>
        <w:t>דשרי</w:t>
      </w:r>
      <w:r w:rsidRPr="0075388A">
        <w:rPr>
          <w:rFonts w:cs="Arial"/>
          <w:rtl/>
        </w:rPr>
        <w:t xml:space="preserve"> </w:t>
      </w:r>
      <w:r w:rsidRPr="0075388A">
        <w:rPr>
          <w:rFonts w:cs="Arial" w:hint="cs"/>
          <w:rtl/>
        </w:rPr>
        <w:t>לענין</w:t>
      </w:r>
      <w:r w:rsidRPr="0075388A">
        <w:rPr>
          <w:rFonts w:cs="Arial"/>
          <w:rtl/>
        </w:rPr>
        <w:t xml:space="preserve"> </w:t>
      </w:r>
      <w:r w:rsidRPr="0075388A">
        <w:rPr>
          <w:rFonts w:cs="Arial" w:hint="cs"/>
          <w:rtl/>
        </w:rPr>
        <w:t>דינא</w:t>
      </w:r>
      <w:r w:rsidRPr="0075388A">
        <w:rPr>
          <w:rFonts w:cs="Arial"/>
          <w:rtl/>
        </w:rPr>
        <w:t xml:space="preserve"> </w:t>
      </w:r>
      <w:r w:rsidRPr="0075388A">
        <w:rPr>
          <w:rFonts w:cs="Arial" w:hint="cs"/>
          <w:rtl/>
        </w:rPr>
        <w:t>אלא</w:t>
      </w:r>
      <w:r w:rsidRPr="0075388A">
        <w:rPr>
          <w:rFonts w:cs="Arial"/>
          <w:rtl/>
        </w:rPr>
        <w:t xml:space="preserve"> </w:t>
      </w:r>
      <w:r w:rsidRPr="0075388A">
        <w:rPr>
          <w:rFonts w:cs="Arial" w:hint="cs"/>
          <w:rtl/>
        </w:rPr>
        <w:t>שדחה</w:t>
      </w:r>
      <w:r w:rsidRPr="0075388A">
        <w:rPr>
          <w:rFonts w:cs="Arial"/>
          <w:rtl/>
        </w:rPr>
        <w:t xml:space="preserve"> </w:t>
      </w:r>
      <w:r w:rsidRPr="0075388A">
        <w:rPr>
          <w:rFonts w:cs="Arial" w:hint="cs"/>
          <w:rtl/>
        </w:rPr>
        <w:t>ראיות</w:t>
      </w:r>
      <w:r w:rsidRPr="0075388A">
        <w:rPr>
          <w:rFonts w:cs="Arial"/>
          <w:rtl/>
        </w:rPr>
        <w:t xml:space="preserve"> </w:t>
      </w:r>
      <w:r w:rsidRPr="0075388A">
        <w:rPr>
          <w:rFonts w:cs="Arial" w:hint="cs"/>
          <w:rtl/>
        </w:rPr>
        <w:t>הרשב</w:t>
      </w:r>
      <w:r w:rsidRPr="0075388A">
        <w:rPr>
          <w:rFonts w:cs="Arial"/>
          <w:rtl/>
        </w:rPr>
        <w:t>"</w:t>
      </w:r>
      <w:r w:rsidRPr="0075388A">
        <w:rPr>
          <w:rFonts w:cs="Arial" w:hint="cs"/>
          <w:rtl/>
        </w:rPr>
        <w:t>א</w:t>
      </w:r>
      <w:r w:rsidRPr="0075388A">
        <w:rPr>
          <w:rFonts w:cs="Arial"/>
          <w:rtl/>
        </w:rPr>
        <w:t xml:space="preserve">, </w:t>
      </w:r>
      <w:r w:rsidRPr="0075388A">
        <w:rPr>
          <w:rFonts w:cs="Arial" w:hint="cs"/>
          <w:rtl/>
        </w:rPr>
        <w:t>וכן</w:t>
      </w:r>
      <w:r w:rsidRPr="0075388A">
        <w:rPr>
          <w:rFonts w:cs="Arial"/>
          <w:rtl/>
        </w:rPr>
        <w:t xml:space="preserve"> </w:t>
      </w:r>
      <w:r w:rsidRPr="0075388A">
        <w:rPr>
          <w:rFonts w:cs="Arial" w:hint="cs"/>
          <w:rtl/>
        </w:rPr>
        <w:t>נראה</w:t>
      </w:r>
      <w:r w:rsidRPr="0075388A">
        <w:rPr>
          <w:rFonts w:cs="Arial"/>
          <w:rtl/>
        </w:rPr>
        <w:t xml:space="preserve"> </w:t>
      </w:r>
      <w:r w:rsidRPr="0075388A">
        <w:rPr>
          <w:rFonts w:cs="Arial" w:hint="cs"/>
          <w:rtl/>
        </w:rPr>
        <w:t>מדברי</w:t>
      </w:r>
      <w:r w:rsidRPr="0075388A">
        <w:rPr>
          <w:rFonts w:cs="Arial"/>
          <w:rtl/>
        </w:rPr>
        <w:t xml:space="preserve"> </w:t>
      </w:r>
      <w:r w:rsidRPr="0075388A">
        <w:rPr>
          <w:rFonts w:cs="Arial" w:hint="cs"/>
          <w:rtl/>
        </w:rPr>
        <w:t>מהר</w:t>
      </w:r>
      <w:r w:rsidRPr="0075388A">
        <w:rPr>
          <w:rFonts w:cs="Arial"/>
          <w:rtl/>
        </w:rPr>
        <w:t>"</w:t>
      </w:r>
      <w:r w:rsidRPr="0075388A">
        <w:rPr>
          <w:rFonts w:cs="Arial" w:hint="cs"/>
          <w:rtl/>
        </w:rPr>
        <w:t>י</w:t>
      </w:r>
      <w:r w:rsidRPr="0075388A">
        <w:rPr>
          <w:rFonts w:cs="Arial"/>
          <w:rtl/>
        </w:rPr>
        <w:t xml:space="preserve"> </w:t>
      </w:r>
      <w:r w:rsidRPr="0075388A">
        <w:rPr>
          <w:rFonts w:cs="Arial" w:hint="cs"/>
          <w:rtl/>
        </w:rPr>
        <w:t>ווייל</w:t>
      </w:r>
      <w:r w:rsidRPr="0075388A">
        <w:rPr>
          <w:rFonts w:cs="Arial"/>
          <w:rtl/>
        </w:rPr>
        <w:t xml:space="preserve"> </w:t>
      </w:r>
      <w:r w:rsidRPr="0075388A">
        <w:rPr>
          <w:rFonts w:cs="Arial" w:hint="cs"/>
          <w:rtl/>
        </w:rPr>
        <w:t>שאכתוב</w:t>
      </w:r>
      <w:r w:rsidRPr="0075388A">
        <w:rPr>
          <w:rFonts w:cs="Arial"/>
          <w:rtl/>
        </w:rPr>
        <w:t xml:space="preserve"> </w:t>
      </w:r>
      <w:r w:rsidRPr="0075388A">
        <w:rPr>
          <w:rFonts w:cs="Arial" w:hint="cs"/>
          <w:rtl/>
        </w:rPr>
        <w:t>בסמוך</w:t>
      </w:r>
      <w:r w:rsidRPr="0075388A">
        <w:rPr>
          <w:rFonts w:cs="Arial"/>
          <w:rtl/>
        </w:rPr>
        <w:t xml:space="preserve"> </w:t>
      </w:r>
      <w:r w:rsidRPr="0075388A">
        <w:rPr>
          <w:rFonts w:cs="Arial" w:hint="cs"/>
          <w:rtl/>
        </w:rPr>
        <w:t>דשרי</w:t>
      </w:r>
      <w:r w:rsidRPr="0075388A">
        <w:rPr>
          <w:rFonts w:cs="Arial"/>
          <w:rtl/>
        </w:rPr>
        <w:t xml:space="preserve"> </w:t>
      </w:r>
      <w:r w:rsidRPr="0075388A">
        <w:rPr>
          <w:rFonts w:cs="Arial" w:hint="cs"/>
          <w:rtl/>
        </w:rPr>
        <w:t>דלא</w:t>
      </w:r>
      <w:r w:rsidRPr="0075388A">
        <w:rPr>
          <w:rFonts w:cs="Arial"/>
          <w:rtl/>
        </w:rPr>
        <w:t xml:space="preserve"> </w:t>
      </w:r>
      <w:r w:rsidRPr="0075388A">
        <w:rPr>
          <w:rFonts w:cs="Arial" w:hint="cs"/>
          <w:rtl/>
        </w:rPr>
        <w:t>הוה</w:t>
      </w:r>
      <w:r w:rsidRPr="0075388A">
        <w:rPr>
          <w:rFonts w:cs="Arial"/>
          <w:rtl/>
        </w:rPr>
        <w:t xml:space="preserve"> </w:t>
      </w:r>
      <w:r w:rsidRPr="0075388A">
        <w:rPr>
          <w:rFonts w:cs="Arial" w:hint="cs"/>
          <w:rtl/>
        </w:rPr>
        <w:t>דין</w:t>
      </w:r>
      <w:r w:rsidRPr="0075388A">
        <w:rPr>
          <w:rFonts w:cs="Arial"/>
          <w:rtl/>
        </w:rPr>
        <w:t xml:space="preserve"> </w:t>
      </w:r>
      <w:r w:rsidRPr="0075388A">
        <w:rPr>
          <w:rFonts w:cs="Arial" w:hint="cs"/>
          <w:rtl/>
        </w:rPr>
        <w:t>תוספת</w:t>
      </w:r>
      <w:r w:rsidRPr="0075388A">
        <w:rPr>
          <w:rFonts w:cs="Arial"/>
          <w:rtl/>
        </w:rPr>
        <w:t xml:space="preserve"> </w:t>
      </w:r>
      <w:r w:rsidRPr="0075388A">
        <w:rPr>
          <w:rFonts w:cs="Arial" w:hint="cs"/>
          <w:rtl/>
        </w:rPr>
        <w:t>זו</w:t>
      </w:r>
      <w:r w:rsidRPr="0075388A">
        <w:rPr>
          <w:rFonts w:cs="Arial"/>
          <w:rtl/>
        </w:rPr>
        <w:t xml:space="preserve"> </w:t>
      </w:r>
      <w:r w:rsidRPr="0075388A">
        <w:rPr>
          <w:rFonts w:cs="Arial" w:hint="cs"/>
          <w:rtl/>
        </w:rPr>
        <w:t>כדין</w:t>
      </w:r>
      <w:r w:rsidRPr="0075388A">
        <w:rPr>
          <w:rFonts w:cs="Arial"/>
          <w:rtl/>
        </w:rPr>
        <w:t xml:space="preserve"> </w:t>
      </w:r>
      <w:r w:rsidRPr="0075388A">
        <w:rPr>
          <w:rFonts w:cs="Arial" w:hint="cs"/>
          <w:rtl/>
        </w:rPr>
        <w:t>שבת</w:t>
      </w:r>
      <w:r w:rsidRPr="0075388A">
        <w:rPr>
          <w:rFonts w:cs="Arial"/>
          <w:rtl/>
        </w:rPr>
        <w:t xml:space="preserve"> </w:t>
      </w:r>
      <w:r w:rsidRPr="0075388A">
        <w:rPr>
          <w:rFonts w:cs="Arial" w:hint="cs"/>
          <w:rtl/>
        </w:rPr>
        <w:t>גמור</w:t>
      </w:r>
      <w:r w:rsidRPr="0075388A">
        <w:rPr>
          <w:rFonts w:cs="Arial"/>
          <w:rtl/>
        </w:rPr>
        <w:t xml:space="preserve">, </w:t>
      </w:r>
      <w:r w:rsidRPr="0075388A">
        <w:rPr>
          <w:rFonts w:cs="Arial" w:hint="cs"/>
          <w:rtl/>
        </w:rPr>
        <w:t>וכל</w:t>
      </w:r>
      <w:r w:rsidRPr="0075388A">
        <w:rPr>
          <w:rFonts w:cs="Arial"/>
          <w:rtl/>
        </w:rPr>
        <w:t xml:space="preserve"> </w:t>
      </w:r>
      <w:r w:rsidRPr="0075388A">
        <w:rPr>
          <w:rFonts w:cs="Arial" w:hint="cs"/>
          <w:rtl/>
        </w:rPr>
        <w:t>שכן</w:t>
      </w:r>
      <w:r w:rsidRPr="0075388A">
        <w:rPr>
          <w:rFonts w:cs="Arial"/>
          <w:rtl/>
        </w:rPr>
        <w:t xml:space="preserve"> </w:t>
      </w:r>
      <w:r w:rsidRPr="0075388A">
        <w:rPr>
          <w:rFonts w:cs="Arial" w:hint="cs"/>
          <w:rtl/>
        </w:rPr>
        <w:t>לדברי</w:t>
      </w:r>
      <w:r w:rsidRPr="0075388A">
        <w:rPr>
          <w:rFonts w:cs="Arial"/>
          <w:rtl/>
        </w:rPr>
        <w:t xml:space="preserve"> </w:t>
      </w:r>
      <w:r w:rsidRPr="0075388A">
        <w:rPr>
          <w:rFonts w:cs="Arial" w:hint="cs"/>
          <w:rtl/>
        </w:rPr>
        <w:t>הרשב</w:t>
      </w:r>
      <w:r w:rsidRPr="0075388A">
        <w:rPr>
          <w:rFonts w:cs="Arial"/>
          <w:rtl/>
        </w:rPr>
        <w:t>"</w:t>
      </w:r>
      <w:r w:rsidRPr="0075388A">
        <w:rPr>
          <w:rFonts w:cs="Arial" w:hint="cs"/>
          <w:rtl/>
        </w:rPr>
        <w:t>א</w:t>
      </w:r>
      <w:r w:rsidRPr="0075388A">
        <w:rPr>
          <w:rFonts w:cs="Arial"/>
          <w:rtl/>
        </w:rPr>
        <w:t xml:space="preserve"> </w:t>
      </w:r>
      <w:r w:rsidRPr="0075388A">
        <w:rPr>
          <w:rFonts w:cs="Arial" w:hint="cs"/>
          <w:rtl/>
        </w:rPr>
        <w:t>דמתיר</w:t>
      </w:r>
      <w:r w:rsidRPr="0075388A">
        <w:rPr>
          <w:rFonts w:cs="Arial"/>
          <w:rtl/>
        </w:rPr>
        <w:t xml:space="preserve"> </w:t>
      </w:r>
      <w:r w:rsidRPr="0075388A">
        <w:rPr>
          <w:rFonts w:cs="Arial" w:hint="cs"/>
          <w:rtl/>
        </w:rPr>
        <w:t>לומר</w:t>
      </w:r>
      <w:r w:rsidRPr="0075388A">
        <w:rPr>
          <w:rFonts w:cs="Arial"/>
          <w:rtl/>
        </w:rPr>
        <w:t xml:space="preserve"> </w:t>
      </w:r>
      <w:r w:rsidRPr="0075388A">
        <w:rPr>
          <w:rFonts w:cs="Arial" w:hint="cs"/>
          <w:rtl/>
        </w:rPr>
        <w:t>לו</w:t>
      </w:r>
      <w:r w:rsidRPr="0075388A">
        <w:rPr>
          <w:rFonts w:cs="Arial"/>
          <w:rtl/>
        </w:rPr>
        <w:t xml:space="preserve"> </w:t>
      </w:r>
      <w:r w:rsidRPr="0075388A">
        <w:rPr>
          <w:rFonts w:cs="Arial" w:hint="cs"/>
          <w:rtl/>
        </w:rPr>
        <w:t>לעשות</w:t>
      </w:r>
      <w:r w:rsidRPr="0075388A">
        <w:rPr>
          <w:rFonts w:cs="Arial"/>
          <w:rtl/>
        </w:rPr>
        <w:t xml:space="preserve"> </w:t>
      </w:r>
      <w:r w:rsidRPr="0075388A">
        <w:rPr>
          <w:rFonts w:cs="Arial" w:hint="cs"/>
          <w:rtl/>
        </w:rPr>
        <w:t>לו</w:t>
      </w:r>
      <w:r w:rsidRPr="0075388A">
        <w:rPr>
          <w:rFonts w:cs="Arial"/>
          <w:rtl/>
        </w:rPr>
        <w:t xml:space="preserve"> </w:t>
      </w:r>
      <w:r w:rsidRPr="0075388A">
        <w:rPr>
          <w:rFonts w:cs="Arial" w:hint="cs"/>
          <w:rtl/>
        </w:rPr>
        <w:t>מלאכה</w:t>
      </w:r>
      <w:r w:rsidRPr="0075388A">
        <w:rPr>
          <w:rFonts w:cs="Arial"/>
          <w:rtl/>
        </w:rPr>
        <w:t xml:space="preserve"> </w:t>
      </w:r>
      <w:r w:rsidRPr="0075388A">
        <w:rPr>
          <w:rFonts w:cs="Arial" w:hint="cs"/>
          <w:rtl/>
        </w:rPr>
        <w:t>כל</w:t>
      </w:r>
      <w:r w:rsidRPr="0075388A">
        <w:rPr>
          <w:rFonts w:cs="Arial"/>
          <w:rtl/>
        </w:rPr>
        <w:t xml:space="preserve"> </w:t>
      </w:r>
      <w:r w:rsidRPr="0075388A">
        <w:rPr>
          <w:rFonts w:cs="Arial" w:hint="cs"/>
          <w:rtl/>
        </w:rPr>
        <w:t>שכן</w:t>
      </w:r>
      <w:r w:rsidRPr="0075388A">
        <w:rPr>
          <w:rFonts w:cs="Arial"/>
          <w:rtl/>
        </w:rPr>
        <w:t xml:space="preserve"> </w:t>
      </w:r>
      <w:r w:rsidRPr="0075388A">
        <w:rPr>
          <w:rFonts w:cs="Arial" w:hint="cs"/>
          <w:rtl/>
        </w:rPr>
        <w:t>דמותר</w:t>
      </w:r>
      <w:r w:rsidRPr="0075388A">
        <w:rPr>
          <w:rFonts w:cs="Arial"/>
          <w:rtl/>
        </w:rPr>
        <w:t xml:space="preserve"> </w:t>
      </w:r>
      <w:r w:rsidRPr="0075388A">
        <w:rPr>
          <w:rFonts w:cs="Arial" w:hint="cs"/>
          <w:rtl/>
        </w:rPr>
        <w:t>ליהנות</w:t>
      </w:r>
      <w:r w:rsidRPr="0075388A">
        <w:rPr>
          <w:rFonts w:cs="Arial"/>
          <w:rtl/>
        </w:rPr>
        <w:t xml:space="preserve"> </w:t>
      </w:r>
      <w:r w:rsidRPr="0075388A">
        <w:rPr>
          <w:rFonts w:cs="Arial" w:hint="cs"/>
          <w:rtl/>
        </w:rPr>
        <w:t>ממנה</w:t>
      </w:r>
      <w:r w:rsidRPr="0075388A">
        <w:rPr>
          <w:rFonts w:cs="Arial"/>
          <w:rtl/>
        </w:rPr>
        <w:t xml:space="preserve"> </w:t>
      </w:r>
      <w:r w:rsidRPr="0075388A">
        <w:rPr>
          <w:rFonts w:cs="Arial" w:hint="cs"/>
          <w:rtl/>
        </w:rPr>
        <w:t>דהא</w:t>
      </w:r>
      <w:r w:rsidRPr="0075388A">
        <w:rPr>
          <w:rFonts w:cs="Arial"/>
          <w:rtl/>
        </w:rPr>
        <w:t xml:space="preserve"> </w:t>
      </w:r>
      <w:r w:rsidRPr="0075388A">
        <w:rPr>
          <w:rFonts w:cs="Arial" w:hint="cs"/>
          <w:rtl/>
        </w:rPr>
        <w:t>לא</w:t>
      </w:r>
      <w:r w:rsidRPr="0075388A">
        <w:rPr>
          <w:rFonts w:cs="Arial"/>
          <w:rtl/>
        </w:rPr>
        <w:t xml:space="preserve"> </w:t>
      </w:r>
      <w:r w:rsidRPr="0075388A">
        <w:rPr>
          <w:rFonts w:cs="Arial" w:hint="cs"/>
          <w:rtl/>
        </w:rPr>
        <w:t>שנא</w:t>
      </w:r>
      <w:r w:rsidRPr="0075388A">
        <w:rPr>
          <w:rFonts w:cs="Arial"/>
          <w:rtl/>
        </w:rPr>
        <w:t>.</w:t>
      </w:r>
      <w:r w:rsidRPr="00EB4111">
        <w:rPr>
          <w:rFonts w:cs="Arial" w:hint="cs"/>
          <w:color w:val="00B0F0"/>
          <w:rtl/>
        </w:rPr>
        <w:t xml:space="preserve"> (וכ"פ בהגה)</w:t>
      </w:r>
    </w:p>
    <w:p w14:paraId="266555D9" w14:textId="77777777" w:rsidR="004B2E7C" w:rsidRPr="00262838" w:rsidRDefault="004B2E7C" w:rsidP="00434A6A">
      <w:pPr>
        <w:ind w:left="360"/>
        <w:rPr>
          <w:rFonts w:cs="Arial"/>
          <w:u w:val="dotted"/>
        </w:rPr>
      </w:pPr>
      <w:r w:rsidRPr="00262838">
        <w:rPr>
          <w:rFonts w:cs="Arial" w:hint="cs"/>
          <w:u w:val="dotted"/>
          <w:rtl/>
        </w:rPr>
        <w:t>האם יכול לומר לגוי לעשות בשבילו מלאכה</w:t>
      </w:r>
      <w:r>
        <w:rPr>
          <w:rFonts w:cs="Arial" w:hint="cs"/>
          <w:u w:val="dotted"/>
          <w:rtl/>
        </w:rPr>
        <w:t xml:space="preserve"> במקרה הראשון</w:t>
      </w:r>
      <w:r w:rsidRPr="00262838">
        <w:rPr>
          <w:rFonts w:cs="Arial" w:hint="cs"/>
          <w:u w:val="dotted"/>
          <w:rtl/>
        </w:rPr>
        <w:t xml:space="preserve"> </w:t>
      </w:r>
      <w:r w:rsidRPr="00262838">
        <w:rPr>
          <w:rFonts w:cs="Arial" w:hint="cs"/>
          <w:sz w:val="16"/>
          <w:szCs w:val="16"/>
          <w:u w:val="dotted"/>
          <w:rtl/>
        </w:rPr>
        <w:t>(כשהישראל קיבל את השבת מוקדם)</w:t>
      </w:r>
      <w:r w:rsidRPr="00262838">
        <w:rPr>
          <w:rFonts w:cs="Arial" w:hint="cs"/>
          <w:u w:val="dotted"/>
          <w:rtl/>
        </w:rPr>
        <w:t>:</w:t>
      </w:r>
    </w:p>
    <w:p w14:paraId="189B3BB4" w14:textId="77777777" w:rsidR="004B2E7C" w:rsidRPr="00D1049E" w:rsidRDefault="004B2E7C" w:rsidP="00FF2D21">
      <w:pPr>
        <w:pStyle w:val="aa"/>
        <w:numPr>
          <w:ilvl w:val="0"/>
          <w:numId w:val="90"/>
        </w:numPr>
        <w:rPr>
          <w:rFonts w:cs="Arial"/>
          <w:rtl/>
        </w:rPr>
      </w:pPr>
      <w:r w:rsidRPr="0075388A">
        <w:rPr>
          <w:rFonts w:cs="Arial" w:hint="cs"/>
          <w:rtl/>
        </w:rPr>
        <w:t>מהר</w:t>
      </w:r>
      <w:r>
        <w:rPr>
          <w:rFonts w:cs="Arial" w:hint="cs"/>
          <w:rtl/>
        </w:rPr>
        <w:t>י"ו</w:t>
      </w:r>
      <w:r w:rsidRPr="00262838">
        <w:rPr>
          <w:rFonts w:cs="Arial" w:hint="cs"/>
          <w:sz w:val="16"/>
          <w:szCs w:val="16"/>
          <w:rtl/>
        </w:rPr>
        <w:t xml:space="preserve"> (בתשובותיו</w:t>
      </w:r>
      <w:r w:rsidRPr="00262838">
        <w:rPr>
          <w:rFonts w:cs="Arial"/>
          <w:sz w:val="16"/>
          <w:szCs w:val="16"/>
          <w:rtl/>
        </w:rPr>
        <w:t xml:space="preserve"> </w:t>
      </w:r>
      <w:r w:rsidRPr="00262838">
        <w:rPr>
          <w:rFonts w:cs="Arial" w:hint="cs"/>
          <w:sz w:val="16"/>
          <w:szCs w:val="16"/>
          <w:rtl/>
        </w:rPr>
        <w:t>סי'</w:t>
      </w:r>
      <w:r w:rsidRPr="00262838">
        <w:rPr>
          <w:rFonts w:cs="Arial"/>
          <w:sz w:val="16"/>
          <w:szCs w:val="16"/>
          <w:rtl/>
        </w:rPr>
        <w:t xml:space="preserve"> </w:t>
      </w:r>
      <w:r w:rsidRPr="00262838">
        <w:rPr>
          <w:rFonts w:cs="Arial" w:hint="cs"/>
          <w:sz w:val="16"/>
          <w:szCs w:val="16"/>
          <w:rtl/>
        </w:rPr>
        <w:t>קיו, הביאו הדרכ"מ [אות ח])</w:t>
      </w:r>
      <w:r>
        <w:rPr>
          <w:rFonts w:cs="Arial" w:hint="cs"/>
          <w:rtl/>
        </w:rPr>
        <w:t xml:space="preserve">- </w:t>
      </w:r>
      <w:r w:rsidRPr="0075388A">
        <w:rPr>
          <w:rFonts w:cs="Arial" w:hint="cs"/>
          <w:rtl/>
        </w:rPr>
        <w:t>אם</w:t>
      </w:r>
      <w:r w:rsidRPr="0075388A">
        <w:rPr>
          <w:rFonts w:cs="Arial"/>
          <w:rtl/>
        </w:rPr>
        <w:t xml:space="preserve"> </w:t>
      </w:r>
      <w:r w:rsidRPr="0075388A">
        <w:rPr>
          <w:rFonts w:cs="Arial" w:hint="cs"/>
          <w:rtl/>
        </w:rPr>
        <w:t>קיבל</w:t>
      </w:r>
      <w:r w:rsidRPr="0075388A">
        <w:rPr>
          <w:rFonts w:cs="Arial"/>
          <w:rtl/>
        </w:rPr>
        <w:t xml:space="preserve"> </w:t>
      </w:r>
      <w:r w:rsidRPr="0075388A">
        <w:rPr>
          <w:rFonts w:cs="Arial" w:hint="cs"/>
          <w:rtl/>
        </w:rPr>
        <w:t>עליו</w:t>
      </w:r>
      <w:r w:rsidRPr="0075388A">
        <w:rPr>
          <w:rFonts w:cs="Arial"/>
          <w:rtl/>
        </w:rPr>
        <w:t xml:space="preserve"> </w:t>
      </w:r>
      <w:r w:rsidRPr="0075388A">
        <w:rPr>
          <w:rFonts w:cs="Arial" w:hint="cs"/>
          <w:rtl/>
        </w:rPr>
        <w:t>שבת</w:t>
      </w:r>
      <w:r w:rsidRPr="0075388A">
        <w:rPr>
          <w:rFonts w:cs="Arial"/>
          <w:rtl/>
        </w:rPr>
        <w:t xml:space="preserve"> </w:t>
      </w:r>
      <w:r w:rsidRPr="0075388A">
        <w:rPr>
          <w:rFonts w:cs="Arial" w:hint="cs"/>
          <w:rtl/>
        </w:rPr>
        <w:t>שעה</w:t>
      </w:r>
      <w:r w:rsidRPr="0075388A">
        <w:rPr>
          <w:rFonts w:cs="Arial"/>
          <w:rtl/>
        </w:rPr>
        <w:t xml:space="preserve"> </w:t>
      </w:r>
      <w:r w:rsidRPr="0075388A">
        <w:rPr>
          <w:rFonts w:cs="Arial" w:hint="cs"/>
          <w:rtl/>
        </w:rPr>
        <w:t>או</w:t>
      </w:r>
      <w:r w:rsidRPr="0075388A">
        <w:rPr>
          <w:rFonts w:cs="Arial"/>
          <w:rtl/>
        </w:rPr>
        <w:t xml:space="preserve"> </w:t>
      </w:r>
      <w:r w:rsidRPr="0075388A">
        <w:rPr>
          <w:rFonts w:cs="Arial" w:hint="cs"/>
          <w:rtl/>
        </w:rPr>
        <w:t>ב</w:t>
      </w:r>
      <w:r w:rsidRPr="0075388A">
        <w:rPr>
          <w:rFonts w:cs="Arial"/>
          <w:rtl/>
        </w:rPr>
        <w:t xml:space="preserve">' </w:t>
      </w:r>
      <w:r w:rsidRPr="0075388A">
        <w:rPr>
          <w:rFonts w:cs="Arial" w:hint="cs"/>
          <w:rtl/>
        </w:rPr>
        <w:t>קודם</w:t>
      </w:r>
      <w:r w:rsidRPr="0075388A">
        <w:rPr>
          <w:rFonts w:cs="Arial"/>
          <w:rtl/>
        </w:rPr>
        <w:t xml:space="preserve"> </w:t>
      </w:r>
      <w:r w:rsidRPr="0075388A">
        <w:rPr>
          <w:rFonts w:cs="Arial" w:hint="cs"/>
          <w:rtl/>
        </w:rPr>
        <w:t>הלילה</w:t>
      </w:r>
      <w:r w:rsidRPr="0075388A">
        <w:rPr>
          <w:rFonts w:cs="Arial"/>
          <w:rtl/>
        </w:rPr>
        <w:t xml:space="preserve"> </w:t>
      </w:r>
      <w:r w:rsidRPr="0075388A">
        <w:rPr>
          <w:rFonts w:cs="Arial" w:hint="cs"/>
          <w:rtl/>
        </w:rPr>
        <w:t>יכול</w:t>
      </w:r>
      <w:r w:rsidRPr="0075388A">
        <w:rPr>
          <w:rFonts w:cs="Arial"/>
          <w:rtl/>
        </w:rPr>
        <w:t xml:space="preserve"> </w:t>
      </w:r>
      <w:r w:rsidRPr="0075388A">
        <w:rPr>
          <w:rFonts w:cs="Arial" w:hint="cs"/>
          <w:rtl/>
        </w:rPr>
        <w:t>לומר</w:t>
      </w:r>
      <w:r w:rsidRPr="0075388A">
        <w:rPr>
          <w:rFonts w:cs="Arial"/>
          <w:rtl/>
        </w:rPr>
        <w:t xml:space="preserve"> </w:t>
      </w:r>
      <w:r w:rsidRPr="0075388A">
        <w:rPr>
          <w:rFonts w:cs="Arial" w:hint="cs"/>
          <w:rtl/>
        </w:rPr>
        <w:t>לגוי</w:t>
      </w:r>
      <w:r w:rsidRPr="0075388A">
        <w:rPr>
          <w:rFonts w:cs="Arial"/>
          <w:rtl/>
        </w:rPr>
        <w:t xml:space="preserve"> </w:t>
      </w:r>
      <w:r w:rsidRPr="0075388A">
        <w:rPr>
          <w:rFonts w:cs="Arial" w:hint="cs"/>
          <w:rtl/>
        </w:rPr>
        <w:t>להדליק</w:t>
      </w:r>
      <w:r w:rsidRPr="0075388A">
        <w:rPr>
          <w:rFonts w:cs="Arial"/>
          <w:rtl/>
        </w:rPr>
        <w:t xml:space="preserve"> </w:t>
      </w:r>
      <w:r w:rsidRPr="0075388A">
        <w:rPr>
          <w:rFonts w:cs="Arial" w:hint="cs"/>
          <w:rtl/>
        </w:rPr>
        <w:t>נר</w:t>
      </w:r>
      <w:r w:rsidRPr="0075388A">
        <w:rPr>
          <w:rFonts w:cs="Arial"/>
          <w:rtl/>
        </w:rPr>
        <w:t xml:space="preserve"> </w:t>
      </w:r>
      <w:r w:rsidRPr="0075388A">
        <w:rPr>
          <w:rFonts w:cs="Arial" w:hint="cs"/>
          <w:rtl/>
        </w:rPr>
        <w:t>דהרי</w:t>
      </w:r>
      <w:r w:rsidRPr="0075388A">
        <w:rPr>
          <w:rFonts w:cs="Arial"/>
          <w:rtl/>
        </w:rPr>
        <w:t xml:space="preserve"> </w:t>
      </w:r>
      <w:r w:rsidRPr="0075388A">
        <w:rPr>
          <w:rFonts w:cs="Arial" w:hint="cs"/>
          <w:rtl/>
        </w:rPr>
        <w:t>מקצת</w:t>
      </w:r>
      <w:r w:rsidRPr="0075388A">
        <w:rPr>
          <w:rFonts w:cs="Arial"/>
          <w:rtl/>
        </w:rPr>
        <w:t xml:space="preserve"> </w:t>
      </w:r>
      <w:r w:rsidRPr="0075388A">
        <w:rPr>
          <w:rFonts w:cs="Arial" w:hint="cs"/>
          <w:rtl/>
        </w:rPr>
        <w:t>ישראל</w:t>
      </w:r>
      <w:r w:rsidRPr="0075388A">
        <w:rPr>
          <w:rFonts w:cs="Arial"/>
          <w:rtl/>
        </w:rPr>
        <w:t xml:space="preserve"> </w:t>
      </w:r>
      <w:r w:rsidRPr="0075388A">
        <w:rPr>
          <w:rFonts w:cs="Arial" w:hint="cs"/>
          <w:rtl/>
        </w:rPr>
        <w:t>עדיין</w:t>
      </w:r>
      <w:r w:rsidRPr="0075388A">
        <w:rPr>
          <w:rFonts w:cs="Arial"/>
          <w:rtl/>
        </w:rPr>
        <w:t xml:space="preserve"> </w:t>
      </w:r>
      <w:r w:rsidRPr="0075388A">
        <w:rPr>
          <w:rFonts w:cs="Arial" w:hint="cs"/>
          <w:rtl/>
        </w:rPr>
        <w:t>עושין</w:t>
      </w:r>
      <w:r w:rsidRPr="0075388A">
        <w:rPr>
          <w:rFonts w:cs="Arial"/>
          <w:rtl/>
        </w:rPr>
        <w:t xml:space="preserve"> </w:t>
      </w:r>
      <w:r w:rsidRPr="0075388A">
        <w:rPr>
          <w:rFonts w:cs="Arial" w:hint="cs"/>
          <w:rtl/>
        </w:rPr>
        <w:t>מלאכה</w:t>
      </w:r>
      <w:r w:rsidRPr="0075388A">
        <w:rPr>
          <w:rFonts w:cs="Arial"/>
          <w:rtl/>
        </w:rPr>
        <w:t xml:space="preserve"> </w:t>
      </w:r>
      <w:r w:rsidRPr="0075388A">
        <w:rPr>
          <w:rFonts w:cs="Arial" w:hint="cs"/>
          <w:rtl/>
        </w:rPr>
        <w:t>כל</w:t>
      </w:r>
      <w:r w:rsidRPr="0075388A">
        <w:rPr>
          <w:rFonts w:cs="Arial"/>
          <w:rtl/>
        </w:rPr>
        <w:t xml:space="preserve"> </w:t>
      </w:r>
      <w:r w:rsidRPr="0075388A">
        <w:rPr>
          <w:rFonts w:cs="Arial" w:hint="cs"/>
          <w:rtl/>
        </w:rPr>
        <w:t>שכן</w:t>
      </w:r>
      <w:r w:rsidRPr="0075388A">
        <w:rPr>
          <w:rFonts w:cs="Arial"/>
          <w:rtl/>
        </w:rPr>
        <w:t xml:space="preserve"> </w:t>
      </w:r>
      <w:r w:rsidRPr="0075388A">
        <w:rPr>
          <w:rFonts w:cs="Arial" w:hint="cs"/>
          <w:rtl/>
        </w:rPr>
        <w:t>דלדידיה</w:t>
      </w:r>
      <w:r w:rsidRPr="0075388A">
        <w:rPr>
          <w:rFonts w:cs="Arial"/>
          <w:rtl/>
        </w:rPr>
        <w:t xml:space="preserve"> </w:t>
      </w:r>
      <w:r w:rsidRPr="0075388A">
        <w:rPr>
          <w:rFonts w:cs="Arial" w:hint="cs"/>
          <w:rtl/>
        </w:rPr>
        <w:t>אמירה</w:t>
      </w:r>
      <w:r w:rsidRPr="0075388A">
        <w:rPr>
          <w:rFonts w:cs="Arial"/>
          <w:rtl/>
        </w:rPr>
        <w:t xml:space="preserve"> </w:t>
      </w:r>
      <w:r w:rsidRPr="0075388A">
        <w:rPr>
          <w:rFonts w:cs="Arial" w:hint="cs"/>
          <w:rtl/>
        </w:rPr>
        <w:t>שריא</w:t>
      </w:r>
      <w:r>
        <w:rPr>
          <w:rFonts w:cs="Arial" w:hint="cs"/>
          <w:rtl/>
        </w:rPr>
        <w:t>.</w:t>
      </w:r>
    </w:p>
    <w:p w14:paraId="164E2203" w14:textId="77777777" w:rsidR="004B2E7C" w:rsidRDefault="004B2E7C" w:rsidP="00434A6A">
      <w:pPr>
        <w:rPr>
          <w:rFonts w:cs="Arial"/>
          <w:rtl/>
        </w:rPr>
      </w:pPr>
      <w:r w:rsidRPr="002102F3">
        <w:rPr>
          <w:rFonts w:cs="Arial" w:hint="cs"/>
          <w:u w:val="single"/>
          <w:rtl/>
        </w:rPr>
        <w:t xml:space="preserve">מנהג להדליק בער"ש נר קודם </w:t>
      </w:r>
      <w:r>
        <w:rPr>
          <w:rFonts w:cs="Arial" w:hint="cs"/>
          <w:u w:val="single"/>
          <w:rtl/>
        </w:rPr>
        <w:t>ז</w:t>
      </w:r>
      <w:r w:rsidRPr="002102F3">
        <w:rPr>
          <w:rFonts w:cs="Arial" w:hint="cs"/>
          <w:u w:val="single"/>
          <w:rtl/>
        </w:rPr>
        <w:t>מן ההדלקה</w:t>
      </w:r>
      <w:r>
        <w:rPr>
          <w:rFonts w:cs="Arial" w:hint="cs"/>
          <w:u w:val="single"/>
          <w:rtl/>
        </w:rPr>
        <w:t>,</w:t>
      </w:r>
      <w:r w:rsidRPr="002102F3">
        <w:rPr>
          <w:rFonts w:cs="Arial" w:hint="cs"/>
          <w:u w:val="single"/>
          <w:rtl/>
        </w:rPr>
        <w:t xml:space="preserve"> ואח"כ</w:t>
      </w:r>
      <w:r>
        <w:rPr>
          <w:rFonts w:cs="Arial" w:hint="cs"/>
          <w:u w:val="single"/>
          <w:rtl/>
        </w:rPr>
        <w:t xml:space="preserve">, בסמוך לכניסת השבת, </w:t>
      </w:r>
      <w:r w:rsidRPr="002102F3">
        <w:rPr>
          <w:rFonts w:cs="Arial" w:hint="cs"/>
          <w:u w:val="single"/>
          <w:rtl/>
        </w:rPr>
        <w:t>מדליקים עוד נר לכבוד שבת:</w:t>
      </w:r>
    </w:p>
    <w:p w14:paraId="4E7B9AB7" w14:textId="77777777" w:rsidR="004B2E7C" w:rsidRPr="002102F3" w:rsidRDefault="004B2E7C" w:rsidP="00FF2D21">
      <w:pPr>
        <w:pStyle w:val="aa"/>
        <w:numPr>
          <w:ilvl w:val="0"/>
          <w:numId w:val="90"/>
        </w:numPr>
        <w:rPr>
          <w:rFonts w:cs="Arial"/>
          <w:rtl/>
        </w:rPr>
      </w:pPr>
      <w:r w:rsidRPr="002102F3">
        <w:rPr>
          <w:rFonts w:cs="Arial" w:hint="cs"/>
          <w:rtl/>
        </w:rPr>
        <w:t>מהר</w:t>
      </w:r>
      <w:r w:rsidRPr="002102F3">
        <w:rPr>
          <w:rFonts w:cs="Arial"/>
          <w:rtl/>
        </w:rPr>
        <w:t>"</w:t>
      </w:r>
      <w:r w:rsidRPr="002102F3">
        <w:rPr>
          <w:rFonts w:cs="Arial" w:hint="cs"/>
          <w:rtl/>
        </w:rPr>
        <w:t>י</w:t>
      </w:r>
      <w:r w:rsidRPr="002102F3">
        <w:rPr>
          <w:rFonts w:cs="Arial"/>
          <w:rtl/>
        </w:rPr>
        <w:t xml:space="preserve"> </w:t>
      </w:r>
      <w:r w:rsidRPr="002102F3">
        <w:rPr>
          <w:rFonts w:cs="Arial" w:hint="cs"/>
          <w:rtl/>
        </w:rPr>
        <w:t>אבוהב-</w:t>
      </w:r>
      <w:r w:rsidRPr="002102F3">
        <w:rPr>
          <w:rFonts w:cs="Arial"/>
          <w:rtl/>
        </w:rPr>
        <w:t xml:space="preserve"> </w:t>
      </w:r>
      <w:r w:rsidRPr="002102F3">
        <w:rPr>
          <w:rFonts w:cs="Arial" w:hint="cs"/>
          <w:rtl/>
        </w:rPr>
        <w:t>כתוב</w:t>
      </w:r>
      <w:r w:rsidRPr="002102F3">
        <w:rPr>
          <w:rFonts w:cs="Arial"/>
          <w:rtl/>
        </w:rPr>
        <w:t xml:space="preserve"> </w:t>
      </w:r>
      <w:r w:rsidRPr="002102F3">
        <w:rPr>
          <w:rFonts w:cs="Arial" w:hint="cs"/>
          <w:rtl/>
        </w:rPr>
        <w:t>בארחות</w:t>
      </w:r>
      <w:r w:rsidRPr="002102F3">
        <w:rPr>
          <w:rFonts w:cs="Arial"/>
          <w:rtl/>
        </w:rPr>
        <w:t xml:space="preserve"> </w:t>
      </w:r>
      <w:r w:rsidRPr="002102F3">
        <w:rPr>
          <w:rFonts w:cs="Arial" w:hint="cs"/>
          <w:rtl/>
        </w:rPr>
        <w:t>חיים</w:t>
      </w:r>
      <w:r w:rsidRPr="002102F3">
        <w:rPr>
          <w:rFonts w:cs="Arial"/>
          <w:rtl/>
        </w:rPr>
        <w:t xml:space="preserve"> </w:t>
      </w:r>
      <w:r w:rsidRPr="002102F3">
        <w:rPr>
          <w:rFonts w:cs="Arial" w:hint="cs"/>
          <w:rtl/>
        </w:rPr>
        <w:t>ויש</w:t>
      </w:r>
      <w:r w:rsidRPr="002102F3">
        <w:rPr>
          <w:rFonts w:cs="Arial"/>
          <w:rtl/>
        </w:rPr>
        <w:t xml:space="preserve"> </w:t>
      </w:r>
      <w:r w:rsidRPr="002102F3">
        <w:rPr>
          <w:rFonts w:cs="Arial" w:hint="cs"/>
          <w:rtl/>
        </w:rPr>
        <w:t>מקומות</w:t>
      </w:r>
      <w:r w:rsidRPr="002102F3">
        <w:rPr>
          <w:rFonts w:cs="Arial"/>
          <w:rtl/>
        </w:rPr>
        <w:t xml:space="preserve"> </w:t>
      </w:r>
      <w:r w:rsidRPr="002102F3">
        <w:rPr>
          <w:rFonts w:cs="Arial" w:hint="cs"/>
          <w:rtl/>
        </w:rPr>
        <w:t>שנוהגין</w:t>
      </w:r>
      <w:r w:rsidRPr="002102F3">
        <w:rPr>
          <w:rFonts w:cs="Arial"/>
          <w:rtl/>
        </w:rPr>
        <w:t xml:space="preserve"> </w:t>
      </w:r>
      <w:r w:rsidRPr="002102F3">
        <w:rPr>
          <w:rFonts w:cs="Arial" w:hint="cs"/>
          <w:rtl/>
        </w:rPr>
        <w:t>הנשים</w:t>
      </w:r>
      <w:r w:rsidRPr="002102F3">
        <w:rPr>
          <w:rFonts w:cs="Arial"/>
          <w:rtl/>
        </w:rPr>
        <w:t xml:space="preserve"> </w:t>
      </w:r>
      <w:r w:rsidRPr="002102F3">
        <w:rPr>
          <w:rFonts w:cs="Arial" w:hint="cs"/>
          <w:rtl/>
        </w:rPr>
        <w:t>בערב</w:t>
      </w:r>
      <w:r w:rsidRPr="002102F3">
        <w:rPr>
          <w:rFonts w:cs="Arial"/>
          <w:rtl/>
        </w:rPr>
        <w:t xml:space="preserve"> </w:t>
      </w:r>
      <w:r w:rsidRPr="002102F3">
        <w:rPr>
          <w:rFonts w:cs="Arial" w:hint="cs"/>
          <w:rtl/>
        </w:rPr>
        <w:t>שבת</w:t>
      </w:r>
      <w:r w:rsidRPr="002102F3">
        <w:rPr>
          <w:rFonts w:cs="Arial"/>
          <w:rtl/>
        </w:rPr>
        <w:t xml:space="preserve"> </w:t>
      </w:r>
      <w:r w:rsidRPr="002102F3">
        <w:rPr>
          <w:rFonts w:cs="Arial" w:hint="cs"/>
          <w:rtl/>
        </w:rPr>
        <w:t>להדליק</w:t>
      </w:r>
      <w:r w:rsidRPr="002102F3">
        <w:rPr>
          <w:rFonts w:cs="Arial"/>
          <w:rtl/>
        </w:rPr>
        <w:t xml:space="preserve"> </w:t>
      </w:r>
      <w:r w:rsidRPr="002102F3">
        <w:rPr>
          <w:rFonts w:cs="Arial" w:hint="cs"/>
          <w:rtl/>
        </w:rPr>
        <w:t>נר</w:t>
      </w:r>
      <w:r w:rsidRPr="002102F3">
        <w:rPr>
          <w:rFonts w:cs="Arial"/>
          <w:rtl/>
        </w:rPr>
        <w:t xml:space="preserve"> </w:t>
      </w:r>
      <w:r w:rsidRPr="002102F3">
        <w:rPr>
          <w:rFonts w:cs="Arial" w:hint="cs"/>
          <w:rtl/>
        </w:rPr>
        <w:t>קודם</w:t>
      </w:r>
      <w:r w:rsidRPr="002102F3">
        <w:rPr>
          <w:rFonts w:cs="Arial"/>
          <w:rtl/>
        </w:rPr>
        <w:t xml:space="preserve"> </w:t>
      </w:r>
      <w:r w:rsidRPr="002102F3">
        <w:rPr>
          <w:rFonts w:cs="Arial" w:hint="cs"/>
          <w:rtl/>
        </w:rPr>
        <w:t>שיגיע</w:t>
      </w:r>
      <w:r w:rsidRPr="002102F3">
        <w:rPr>
          <w:rFonts w:cs="Arial"/>
          <w:rtl/>
        </w:rPr>
        <w:t xml:space="preserve"> </w:t>
      </w:r>
      <w:r w:rsidRPr="002102F3">
        <w:rPr>
          <w:rFonts w:cs="Arial" w:hint="cs"/>
          <w:rtl/>
        </w:rPr>
        <w:t>זמן</w:t>
      </w:r>
      <w:r w:rsidRPr="002102F3">
        <w:rPr>
          <w:rFonts w:cs="Arial"/>
          <w:rtl/>
        </w:rPr>
        <w:t xml:space="preserve"> </w:t>
      </w:r>
      <w:r w:rsidRPr="002102F3">
        <w:rPr>
          <w:rFonts w:cs="Arial" w:hint="cs"/>
          <w:rtl/>
        </w:rPr>
        <w:t>הדלקה</w:t>
      </w:r>
      <w:r w:rsidRPr="002102F3">
        <w:rPr>
          <w:rFonts w:cs="Arial"/>
          <w:rtl/>
        </w:rPr>
        <w:t xml:space="preserve"> </w:t>
      </w:r>
      <w:r w:rsidRPr="002102F3">
        <w:rPr>
          <w:rFonts w:cs="Arial" w:hint="cs"/>
          <w:rtl/>
        </w:rPr>
        <w:t>וקורין</w:t>
      </w:r>
      <w:r w:rsidRPr="002102F3">
        <w:rPr>
          <w:rFonts w:cs="Arial"/>
          <w:rtl/>
        </w:rPr>
        <w:t xml:space="preserve"> </w:t>
      </w:r>
      <w:r w:rsidRPr="002102F3">
        <w:rPr>
          <w:rFonts w:cs="Arial" w:hint="cs"/>
          <w:rtl/>
        </w:rPr>
        <w:t>אותה</w:t>
      </w:r>
      <w:r w:rsidRPr="002102F3">
        <w:rPr>
          <w:rFonts w:cs="Arial"/>
          <w:rtl/>
        </w:rPr>
        <w:t xml:space="preserve"> </w:t>
      </w:r>
      <w:r w:rsidRPr="002102F3">
        <w:rPr>
          <w:rFonts w:cs="Arial" w:hint="cs"/>
          <w:rtl/>
        </w:rPr>
        <w:t>נר</w:t>
      </w:r>
      <w:r w:rsidRPr="002102F3">
        <w:rPr>
          <w:rFonts w:cs="Arial"/>
          <w:rtl/>
        </w:rPr>
        <w:t xml:space="preserve"> </w:t>
      </w:r>
      <w:r w:rsidRPr="002102F3">
        <w:rPr>
          <w:rFonts w:cs="Arial" w:hint="cs"/>
          <w:rtl/>
        </w:rPr>
        <w:t>של</w:t>
      </w:r>
      <w:r w:rsidRPr="002102F3">
        <w:rPr>
          <w:rFonts w:cs="Arial"/>
          <w:rtl/>
        </w:rPr>
        <w:t xml:space="preserve"> </w:t>
      </w:r>
      <w:r w:rsidRPr="002102F3">
        <w:rPr>
          <w:rFonts w:cs="Arial" w:hint="cs"/>
          <w:rtl/>
        </w:rPr>
        <w:t>חול</w:t>
      </w:r>
      <w:r w:rsidRPr="002102F3">
        <w:rPr>
          <w:rFonts w:cs="Arial"/>
          <w:rtl/>
        </w:rPr>
        <w:t xml:space="preserve"> </w:t>
      </w:r>
      <w:r w:rsidRPr="002102F3">
        <w:rPr>
          <w:rFonts w:cs="Arial" w:hint="cs"/>
          <w:rtl/>
        </w:rPr>
        <w:t>ואחר</w:t>
      </w:r>
      <w:r w:rsidRPr="002102F3">
        <w:rPr>
          <w:rFonts w:cs="Arial"/>
          <w:rtl/>
        </w:rPr>
        <w:t xml:space="preserve"> </w:t>
      </w:r>
      <w:r w:rsidRPr="002102F3">
        <w:rPr>
          <w:rFonts w:cs="Arial" w:hint="cs"/>
          <w:rtl/>
        </w:rPr>
        <w:t>כך</w:t>
      </w:r>
      <w:r w:rsidRPr="002102F3">
        <w:rPr>
          <w:rFonts w:cs="Arial"/>
          <w:rtl/>
        </w:rPr>
        <w:t xml:space="preserve"> </w:t>
      </w:r>
      <w:r w:rsidRPr="002102F3">
        <w:rPr>
          <w:rFonts w:cs="Arial" w:hint="cs"/>
          <w:rtl/>
        </w:rPr>
        <w:t>מדליקין</w:t>
      </w:r>
      <w:r w:rsidRPr="002102F3">
        <w:rPr>
          <w:rFonts w:cs="Arial"/>
          <w:rtl/>
        </w:rPr>
        <w:t xml:space="preserve"> </w:t>
      </w:r>
      <w:r w:rsidRPr="002102F3">
        <w:rPr>
          <w:rFonts w:cs="Arial" w:hint="cs"/>
          <w:rtl/>
        </w:rPr>
        <w:t>נר</w:t>
      </w:r>
      <w:r w:rsidRPr="002102F3">
        <w:rPr>
          <w:rFonts w:cs="Arial"/>
          <w:rtl/>
        </w:rPr>
        <w:t xml:space="preserve"> </w:t>
      </w:r>
      <w:r w:rsidRPr="002102F3">
        <w:rPr>
          <w:rFonts w:cs="Arial" w:hint="cs"/>
          <w:rtl/>
        </w:rPr>
        <w:t>שבת</w:t>
      </w:r>
      <w:r w:rsidRPr="002102F3">
        <w:rPr>
          <w:rFonts w:cs="Arial"/>
          <w:rtl/>
        </w:rPr>
        <w:t xml:space="preserve"> </w:t>
      </w:r>
      <w:r w:rsidRPr="002102F3">
        <w:rPr>
          <w:rFonts w:cs="Arial" w:hint="cs"/>
          <w:rtl/>
        </w:rPr>
        <w:t>וצריך</w:t>
      </w:r>
      <w:r w:rsidRPr="002102F3">
        <w:rPr>
          <w:rFonts w:cs="Arial"/>
          <w:rtl/>
        </w:rPr>
        <w:t xml:space="preserve"> </w:t>
      </w:r>
      <w:r w:rsidRPr="002102F3">
        <w:rPr>
          <w:rFonts w:cs="Arial" w:hint="cs"/>
          <w:rtl/>
        </w:rPr>
        <w:t>לתת</w:t>
      </w:r>
      <w:r w:rsidRPr="002102F3">
        <w:rPr>
          <w:rFonts w:cs="Arial"/>
          <w:rtl/>
        </w:rPr>
        <w:t xml:space="preserve"> </w:t>
      </w:r>
      <w:r w:rsidRPr="002102F3">
        <w:rPr>
          <w:rFonts w:cs="Arial" w:hint="cs"/>
          <w:rtl/>
        </w:rPr>
        <w:t>טעם</w:t>
      </w:r>
      <w:r w:rsidRPr="002102F3">
        <w:rPr>
          <w:rFonts w:cs="Arial"/>
          <w:rtl/>
        </w:rPr>
        <w:t xml:space="preserve"> </w:t>
      </w:r>
      <w:r w:rsidRPr="002102F3">
        <w:rPr>
          <w:rFonts w:cs="Arial" w:hint="cs"/>
          <w:rtl/>
        </w:rPr>
        <w:t>למנהגם.</w:t>
      </w:r>
      <w:r w:rsidRPr="002102F3">
        <w:rPr>
          <w:rFonts w:cs="Arial"/>
          <w:rtl/>
        </w:rPr>
        <w:t xml:space="preserve"> </w:t>
      </w:r>
      <w:r w:rsidRPr="002102F3">
        <w:rPr>
          <w:rFonts w:cs="Arial" w:hint="cs"/>
          <w:rtl/>
        </w:rPr>
        <w:t>ואולי</w:t>
      </w:r>
      <w:r w:rsidRPr="002102F3">
        <w:rPr>
          <w:rFonts w:cs="Arial"/>
          <w:rtl/>
        </w:rPr>
        <w:t xml:space="preserve"> </w:t>
      </w:r>
      <w:r w:rsidRPr="002102F3">
        <w:rPr>
          <w:rFonts w:cs="Arial" w:hint="cs"/>
          <w:rtl/>
        </w:rPr>
        <w:t>נהגו</w:t>
      </w:r>
      <w:r w:rsidRPr="002102F3">
        <w:rPr>
          <w:rFonts w:cs="Arial"/>
          <w:rtl/>
        </w:rPr>
        <w:t xml:space="preserve"> </w:t>
      </w:r>
      <w:r w:rsidRPr="002102F3">
        <w:rPr>
          <w:rFonts w:cs="Arial" w:hint="cs"/>
          <w:rtl/>
        </w:rPr>
        <w:t>זה</w:t>
      </w:r>
      <w:r w:rsidRPr="002102F3">
        <w:rPr>
          <w:rFonts w:cs="Arial"/>
          <w:rtl/>
        </w:rPr>
        <w:t xml:space="preserve"> </w:t>
      </w:r>
      <w:r w:rsidRPr="002102F3">
        <w:rPr>
          <w:rFonts w:cs="Arial" w:hint="cs"/>
          <w:rtl/>
        </w:rPr>
        <w:t>מצד</w:t>
      </w:r>
      <w:r w:rsidRPr="002102F3">
        <w:rPr>
          <w:rFonts w:cs="Arial"/>
          <w:rtl/>
        </w:rPr>
        <w:t xml:space="preserve"> </w:t>
      </w:r>
      <w:r w:rsidRPr="002102F3">
        <w:rPr>
          <w:rFonts w:cs="Arial" w:hint="cs"/>
          <w:rtl/>
        </w:rPr>
        <w:t>מחלוקת</w:t>
      </w:r>
      <w:r w:rsidRPr="002102F3">
        <w:rPr>
          <w:rFonts w:cs="Arial"/>
          <w:rtl/>
        </w:rPr>
        <w:t xml:space="preserve"> </w:t>
      </w:r>
      <w:r w:rsidRPr="002102F3">
        <w:rPr>
          <w:rFonts w:cs="Arial" w:hint="cs"/>
          <w:rtl/>
        </w:rPr>
        <w:t>שבין</w:t>
      </w:r>
      <w:r w:rsidRPr="002102F3">
        <w:rPr>
          <w:rFonts w:cs="Arial"/>
          <w:rtl/>
        </w:rPr>
        <w:t xml:space="preserve"> </w:t>
      </w:r>
      <w:r w:rsidRPr="002102F3">
        <w:rPr>
          <w:rFonts w:cs="Arial" w:hint="cs"/>
          <w:rtl/>
        </w:rPr>
        <w:t>ר"ת</w:t>
      </w:r>
      <w:r w:rsidRPr="002102F3">
        <w:rPr>
          <w:rFonts w:cs="Arial"/>
          <w:rtl/>
        </w:rPr>
        <w:t xml:space="preserve"> </w:t>
      </w:r>
      <w:r w:rsidRPr="002102F3">
        <w:rPr>
          <w:rFonts w:cs="Arial" w:hint="cs"/>
          <w:rtl/>
        </w:rPr>
        <w:t>ויש</w:t>
      </w:r>
      <w:r w:rsidRPr="002102F3">
        <w:rPr>
          <w:rFonts w:cs="Arial"/>
          <w:rtl/>
        </w:rPr>
        <w:t xml:space="preserve"> </w:t>
      </w:r>
      <w:r w:rsidRPr="002102F3">
        <w:rPr>
          <w:rFonts w:cs="Arial" w:hint="cs"/>
          <w:rtl/>
        </w:rPr>
        <w:t>אומרים,</w:t>
      </w:r>
      <w:r w:rsidRPr="002102F3">
        <w:rPr>
          <w:rFonts w:cs="Arial"/>
          <w:rtl/>
        </w:rPr>
        <w:t xml:space="preserve"> </w:t>
      </w:r>
      <w:r w:rsidRPr="002102F3">
        <w:rPr>
          <w:rFonts w:cs="Arial" w:hint="cs"/>
          <w:rtl/>
        </w:rPr>
        <w:t>אם</w:t>
      </w:r>
      <w:r w:rsidRPr="002102F3">
        <w:rPr>
          <w:rFonts w:cs="Arial"/>
          <w:rtl/>
        </w:rPr>
        <w:t xml:space="preserve"> </w:t>
      </w:r>
      <w:r w:rsidRPr="002102F3">
        <w:rPr>
          <w:rFonts w:cs="Arial" w:hint="cs"/>
          <w:rtl/>
        </w:rPr>
        <w:t>מברך</w:t>
      </w:r>
      <w:r w:rsidRPr="002102F3">
        <w:rPr>
          <w:rFonts w:cs="Arial"/>
          <w:rtl/>
        </w:rPr>
        <w:t xml:space="preserve"> </w:t>
      </w:r>
      <w:r w:rsidRPr="002102F3">
        <w:rPr>
          <w:rFonts w:cs="Arial" w:hint="cs"/>
          <w:rtl/>
        </w:rPr>
        <w:t>להדליק</w:t>
      </w:r>
      <w:r w:rsidRPr="002102F3">
        <w:rPr>
          <w:rFonts w:cs="Arial"/>
          <w:rtl/>
        </w:rPr>
        <w:t xml:space="preserve"> </w:t>
      </w:r>
      <w:r w:rsidRPr="002102F3">
        <w:rPr>
          <w:rFonts w:cs="Arial" w:hint="cs"/>
          <w:rtl/>
        </w:rPr>
        <w:t>נר</w:t>
      </w:r>
      <w:r w:rsidRPr="002102F3">
        <w:rPr>
          <w:rFonts w:cs="Arial"/>
          <w:rtl/>
        </w:rPr>
        <w:t xml:space="preserve"> </w:t>
      </w:r>
      <w:r w:rsidRPr="002102F3">
        <w:rPr>
          <w:rFonts w:cs="Arial" w:hint="cs"/>
          <w:rtl/>
        </w:rPr>
        <w:t>של</w:t>
      </w:r>
      <w:r w:rsidRPr="002102F3">
        <w:rPr>
          <w:rFonts w:cs="Arial"/>
          <w:rtl/>
        </w:rPr>
        <w:t xml:space="preserve"> </w:t>
      </w:r>
      <w:r w:rsidRPr="002102F3">
        <w:rPr>
          <w:rFonts w:cs="Arial" w:hint="cs"/>
          <w:rtl/>
        </w:rPr>
        <w:t>שבת.</w:t>
      </w:r>
      <w:r w:rsidRPr="002102F3">
        <w:rPr>
          <w:rFonts w:cs="Arial"/>
          <w:rtl/>
        </w:rPr>
        <w:t xml:space="preserve"> </w:t>
      </w:r>
      <w:r w:rsidRPr="002102F3">
        <w:rPr>
          <w:rFonts w:cs="Arial" w:hint="cs"/>
          <w:rtl/>
        </w:rPr>
        <w:t>שהנה</w:t>
      </w:r>
      <w:r w:rsidRPr="002102F3">
        <w:rPr>
          <w:rFonts w:cs="Arial"/>
          <w:rtl/>
        </w:rPr>
        <w:t xml:space="preserve"> </w:t>
      </w:r>
      <w:r w:rsidRPr="002102F3">
        <w:rPr>
          <w:rFonts w:cs="Arial" w:hint="cs"/>
          <w:rtl/>
        </w:rPr>
        <w:t>כשבאים</w:t>
      </w:r>
      <w:r w:rsidRPr="002102F3">
        <w:rPr>
          <w:rFonts w:cs="Arial"/>
          <w:rtl/>
        </w:rPr>
        <w:t xml:space="preserve"> </w:t>
      </w:r>
      <w:r w:rsidRPr="002102F3">
        <w:rPr>
          <w:rFonts w:cs="Arial" w:hint="cs"/>
          <w:rtl/>
        </w:rPr>
        <w:t>להדליק</w:t>
      </w:r>
      <w:r w:rsidRPr="002102F3">
        <w:rPr>
          <w:rFonts w:cs="Arial"/>
          <w:rtl/>
        </w:rPr>
        <w:t xml:space="preserve"> </w:t>
      </w:r>
      <w:r w:rsidRPr="002102F3">
        <w:rPr>
          <w:rFonts w:cs="Arial" w:hint="cs"/>
          <w:rtl/>
        </w:rPr>
        <w:t>נר</w:t>
      </w:r>
      <w:r w:rsidRPr="002102F3">
        <w:rPr>
          <w:rFonts w:cs="Arial"/>
          <w:rtl/>
        </w:rPr>
        <w:t xml:space="preserve"> </w:t>
      </w:r>
      <w:r w:rsidRPr="002102F3">
        <w:rPr>
          <w:rFonts w:cs="Arial" w:hint="cs"/>
          <w:rtl/>
        </w:rPr>
        <w:t>אחרת</w:t>
      </w:r>
      <w:r w:rsidRPr="002102F3">
        <w:rPr>
          <w:rFonts w:cs="Arial"/>
          <w:rtl/>
        </w:rPr>
        <w:t xml:space="preserve"> </w:t>
      </w:r>
      <w:r w:rsidRPr="002102F3">
        <w:rPr>
          <w:rFonts w:cs="Arial" w:hint="cs"/>
          <w:rtl/>
        </w:rPr>
        <w:t>על</w:t>
      </w:r>
      <w:r w:rsidRPr="002102F3">
        <w:rPr>
          <w:rFonts w:cs="Arial"/>
          <w:rtl/>
        </w:rPr>
        <w:t xml:space="preserve"> </w:t>
      </w:r>
      <w:r w:rsidRPr="002102F3">
        <w:rPr>
          <w:rFonts w:cs="Arial" w:hint="cs"/>
          <w:rtl/>
        </w:rPr>
        <w:t>הדלוק</w:t>
      </w:r>
      <w:r w:rsidRPr="002102F3">
        <w:rPr>
          <w:rFonts w:cs="Arial"/>
          <w:rtl/>
        </w:rPr>
        <w:t xml:space="preserve"> </w:t>
      </w:r>
      <w:r w:rsidRPr="002102F3">
        <w:rPr>
          <w:rFonts w:cs="Arial" w:hint="cs"/>
          <w:rtl/>
        </w:rPr>
        <w:t>קודם</w:t>
      </w:r>
      <w:r w:rsidRPr="002102F3">
        <w:rPr>
          <w:rFonts w:cs="Arial"/>
          <w:rtl/>
        </w:rPr>
        <w:t xml:space="preserve"> </w:t>
      </w:r>
      <w:r w:rsidRPr="002102F3">
        <w:rPr>
          <w:rFonts w:cs="Arial" w:hint="cs"/>
          <w:rtl/>
        </w:rPr>
        <w:t>לכן,</w:t>
      </w:r>
      <w:r w:rsidRPr="002102F3">
        <w:rPr>
          <w:rFonts w:cs="Arial"/>
          <w:rtl/>
        </w:rPr>
        <w:t xml:space="preserve"> </w:t>
      </w:r>
      <w:r w:rsidRPr="002102F3">
        <w:rPr>
          <w:rFonts w:cs="Arial" w:hint="cs"/>
          <w:rtl/>
        </w:rPr>
        <w:t>כבר</w:t>
      </w:r>
      <w:r w:rsidRPr="002102F3">
        <w:rPr>
          <w:rFonts w:cs="Arial"/>
          <w:rtl/>
        </w:rPr>
        <w:t xml:space="preserve"> </w:t>
      </w:r>
      <w:r w:rsidRPr="002102F3">
        <w:rPr>
          <w:rFonts w:cs="Arial" w:hint="cs"/>
          <w:rtl/>
        </w:rPr>
        <w:t>הן</w:t>
      </w:r>
      <w:r w:rsidRPr="002102F3">
        <w:rPr>
          <w:rFonts w:cs="Arial"/>
          <w:rtl/>
        </w:rPr>
        <w:t xml:space="preserve"> </w:t>
      </w:r>
      <w:r w:rsidRPr="002102F3">
        <w:rPr>
          <w:rFonts w:cs="Arial" w:hint="cs"/>
          <w:rtl/>
        </w:rPr>
        <w:t>מורות</w:t>
      </w:r>
      <w:r w:rsidRPr="002102F3">
        <w:rPr>
          <w:rFonts w:cs="Arial"/>
          <w:rtl/>
        </w:rPr>
        <w:t xml:space="preserve"> </w:t>
      </w:r>
      <w:r w:rsidRPr="002102F3">
        <w:rPr>
          <w:rFonts w:cs="Arial" w:hint="cs"/>
          <w:rtl/>
        </w:rPr>
        <w:t>בזה</w:t>
      </w:r>
      <w:r w:rsidRPr="002102F3">
        <w:rPr>
          <w:rFonts w:cs="Arial"/>
          <w:rtl/>
        </w:rPr>
        <w:t xml:space="preserve"> </w:t>
      </w:r>
      <w:r w:rsidRPr="002102F3">
        <w:rPr>
          <w:rFonts w:cs="Arial" w:hint="cs"/>
          <w:rtl/>
        </w:rPr>
        <w:t>שלכבוד</w:t>
      </w:r>
      <w:r w:rsidRPr="002102F3">
        <w:rPr>
          <w:rFonts w:cs="Arial"/>
          <w:rtl/>
        </w:rPr>
        <w:t xml:space="preserve"> </w:t>
      </w:r>
      <w:r w:rsidRPr="002102F3">
        <w:rPr>
          <w:rFonts w:cs="Arial" w:hint="cs"/>
          <w:rtl/>
        </w:rPr>
        <w:t>שבת</w:t>
      </w:r>
      <w:r w:rsidRPr="002102F3">
        <w:rPr>
          <w:rFonts w:cs="Arial"/>
          <w:rtl/>
        </w:rPr>
        <w:t xml:space="preserve"> </w:t>
      </w:r>
      <w:r w:rsidRPr="002102F3">
        <w:rPr>
          <w:rFonts w:cs="Arial" w:hint="cs"/>
          <w:rtl/>
        </w:rPr>
        <w:t>עושות</w:t>
      </w:r>
      <w:r w:rsidRPr="002102F3">
        <w:rPr>
          <w:rFonts w:cs="Arial"/>
          <w:rtl/>
        </w:rPr>
        <w:t xml:space="preserve"> </w:t>
      </w:r>
      <w:r w:rsidRPr="002102F3">
        <w:rPr>
          <w:rFonts w:cs="Arial" w:hint="cs"/>
          <w:rtl/>
        </w:rPr>
        <w:t>כן</w:t>
      </w:r>
      <w:r w:rsidRPr="002102F3">
        <w:rPr>
          <w:rFonts w:cs="Arial"/>
          <w:rtl/>
        </w:rPr>
        <w:t xml:space="preserve"> </w:t>
      </w:r>
      <w:r w:rsidRPr="002102F3">
        <w:rPr>
          <w:rFonts w:cs="Arial" w:hint="cs"/>
          <w:rtl/>
        </w:rPr>
        <w:t>וזה</w:t>
      </w:r>
      <w:r w:rsidRPr="002102F3">
        <w:rPr>
          <w:rFonts w:cs="Arial"/>
          <w:rtl/>
        </w:rPr>
        <w:t xml:space="preserve"> </w:t>
      </w:r>
      <w:r w:rsidRPr="002102F3">
        <w:rPr>
          <w:rFonts w:cs="Arial" w:hint="cs"/>
          <w:rtl/>
        </w:rPr>
        <w:t>נר</w:t>
      </w:r>
      <w:r w:rsidRPr="002102F3">
        <w:rPr>
          <w:rFonts w:cs="Arial"/>
          <w:rtl/>
        </w:rPr>
        <w:t xml:space="preserve"> </w:t>
      </w:r>
      <w:r w:rsidRPr="002102F3">
        <w:rPr>
          <w:rFonts w:cs="Arial" w:hint="cs"/>
          <w:rtl/>
        </w:rPr>
        <w:t>שבת</w:t>
      </w:r>
      <w:r w:rsidRPr="002102F3">
        <w:rPr>
          <w:rFonts w:cs="Arial"/>
          <w:rtl/>
        </w:rPr>
        <w:t xml:space="preserve"> </w:t>
      </w:r>
      <w:r w:rsidRPr="002102F3">
        <w:rPr>
          <w:rFonts w:cs="Arial" w:hint="cs"/>
          <w:rtl/>
        </w:rPr>
        <w:t>אמיתי</w:t>
      </w:r>
      <w:r>
        <w:rPr>
          <w:rStyle w:val="a9"/>
          <w:rFonts w:cs="Arial"/>
          <w:rtl/>
        </w:rPr>
        <w:footnoteReference w:id="674"/>
      </w:r>
      <w:r w:rsidRPr="002102F3">
        <w:rPr>
          <w:rFonts w:cs="Arial" w:hint="cs"/>
          <w:rtl/>
        </w:rPr>
        <w:t>.</w:t>
      </w:r>
    </w:p>
    <w:p w14:paraId="76EB3F36"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39E4E790" w14:textId="77777777" w:rsidR="004B2E7C" w:rsidRDefault="004B2E7C" w:rsidP="00434A6A">
      <w:pPr>
        <w:rPr>
          <w:rFonts w:asciiTheme="minorBidi" w:hAnsiTheme="minorBidi"/>
          <w:rtl/>
        </w:rPr>
      </w:pPr>
      <w:r w:rsidRPr="00CC2350">
        <w:rPr>
          <w:rFonts w:asciiTheme="minorBidi" w:hAnsiTheme="minorBidi" w:cs="Arial"/>
          <w:rtl/>
        </w:rPr>
        <w:t>י</w:t>
      </w:r>
      <w:r>
        <w:rPr>
          <w:rFonts w:asciiTheme="minorBidi" w:hAnsiTheme="minorBidi" w:cs="Arial" w:hint="cs"/>
          <w:rtl/>
        </w:rPr>
        <w:t xml:space="preserve">ש </w:t>
      </w:r>
      <w:r w:rsidRPr="00CC2350">
        <w:rPr>
          <w:rFonts w:asciiTheme="minorBidi" w:hAnsiTheme="minorBidi" w:cs="Arial"/>
          <w:rtl/>
        </w:rPr>
        <w:t>א</w:t>
      </w:r>
      <w:r>
        <w:rPr>
          <w:rFonts w:asciiTheme="minorBidi" w:hAnsiTheme="minorBidi" w:cs="Arial" w:hint="cs"/>
          <w:rtl/>
        </w:rPr>
        <w:t>ומרים</w:t>
      </w:r>
      <w:r w:rsidRPr="00CC2350">
        <w:rPr>
          <w:rFonts w:asciiTheme="minorBidi" w:hAnsiTheme="minorBidi" w:cs="Arial"/>
          <w:rtl/>
        </w:rPr>
        <w:t xml:space="preserve"> שמי שקבל עליו שבת קודם שחשכה מותר לומר לישראל חבירו לעשות לו מלאכה. </w:t>
      </w:r>
      <w:r w:rsidRPr="00EB4069">
        <w:rPr>
          <w:rFonts w:asciiTheme="minorBidi" w:hAnsiTheme="minorBidi" w:cs="Arial"/>
          <w:sz w:val="18"/>
          <w:szCs w:val="18"/>
          <w:rtl/>
        </w:rPr>
        <w:t>הגה: ומותר ליהנות מאותה המלאכה בשבת. וכ</w:t>
      </w:r>
      <w:r>
        <w:rPr>
          <w:rFonts w:asciiTheme="minorBidi" w:hAnsiTheme="minorBidi" w:cs="Arial" w:hint="cs"/>
          <w:sz w:val="18"/>
          <w:szCs w:val="18"/>
          <w:rtl/>
        </w:rPr>
        <w:t xml:space="preserve">ל </w:t>
      </w:r>
      <w:r w:rsidRPr="00EB4069">
        <w:rPr>
          <w:rFonts w:asciiTheme="minorBidi" w:hAnsiTheme="minorBidi" w:cs="Arial"/>
          <w:sz w:val="18"/>
          <w:szCs w:val="18"/>
          <w:rtl/>
        </w:rPr>
        <w:t>ש</w:t>
      </w:r>
      <w:r>
        <w:rPr>
          <w:rFonts w:asciiTheme="minorBidi" w:hAnsiTheme="minorBidi" w:cs="Arial" w:hint="cs"/>
          <w:sz w:val="18"/>
          <w:szCs w:val="18"/>
          <w:rtl/>
        </w:rPr>
        <w:t>כן</w:t>
      </w:r>
      <w:r w:rsidRPr="00EB4069">
        <w:rPr>
          <w:rFonts w:asciiTheme="minorBidi" w:hAnsiTheme="minorBidi" w:cs="Arial"/>
          <w:sz w:val="18"/>
          <w:szCs w:val="18"/>
          <w:rtl/>
        </w:rPr>
        <w:t xml:space="preserve"> במו</w:t>
      </w:r>
      <w:r>
        <w:rPr>
          <w:rFonts w:asciiTheme="minorBidi" w:hAnsiTheme="minorBidi" w:cs="Arial" w:hint="cs"/>
          <w:sz w:val="18"/>
          <w:szCs w:val="18"/>
          <w:rtl/>
        </w:rPr>
        <w:t>צ</w:t>
      </w:r>
      <w:r w:rsidRPr="00EB4069">
        <w:rPr>
          <w:rFonts w:asciiTheme="minorBidi" w:hAnsiTheme="minorBidi" w:cs="Arial"/>
          <w:sz w:val="18"/>
          <w:szCs w:val="18"/>
          <w:rtl/>
        </w:rPr>
        <w:t>"ש מי שמאחר להתפלל במו</w:t>
      </w:r>
      <w:r>
        <w:rPr>
          <w:rFonts w:asciiTheme="minorBidi" w:hAnsiTheme="minorBidi" w:cs="Arial" w:hint="cs"/>
          <w:sz w:val="18"/>
          <w:szCs w:val="18"/>
          <w:rtl/>
        </w:rPr>
        <w:t>צ</w:t>
      </w:r>
      <w:r w:rsidRPr="00EB4069">
        <w:rPr>
          <w:rFonts w:asciiTheme="minorBidi" w:hAnsiTheme="minorBidi" w:cs="Arial"/>
          <w:sz w:val="18"/>
          <w:szCs w:val="18"/>
          <w:rtl/>
        </w:rPr>
        <w:t>"ש או שממשיך סעודתו בלילה, מותר לומר לחבירו ישראל שכבר התפלל והבדיל לעשות לו מלאכתו להדליק לו נרות ולבשל לו, ומותר ליהנות ולאכול ממלאכתו, כן נ"ל.</w:t>
      </w:r>
    </w:p>
    <w:p w14:paraId="1D945D5A" w14:textId="77777777" w:rsidR="004B2E7C" w:rsidRDefault="004B2E7C" w:rsidP="00434A6A">
      <w:pPr>
        <w:pStyle w:val="1"/>
        <w:rPr>
          <w:rtl/>
        </w:rPr>
        <w:sectPr w:rsidR="004B2E7C" w:rsidSect="00BD29B1">
          <w:headerReference w:type="default" r:id="rId34"/>
          <w:footnotePr>
            <w:numRestart w:val="eachSect"/>
          </w:footnotePr>
          <w:pgSz w:w="11906" w:h="16838"/>
          <w:pgMar w:top="720" w:right="1134" w:bottom="720" w:left="1134" w:header="0" w:footer="0" w:gutter="0"/>
          <w:cols w:space="720"/>
          <w:bidi/>
          <w:rtlGutter/>
          <w:docGrid w:linePitch="360"/>
        </w:sectPr>
      </w:pPr>
    </w:p>
    <w:p w14:paraId="5FCDF799" w14:textId="77777777" w:rsidR="004B2E7C" w:rsidRPr="00CC2350" w:rsidRDefault="004B2E7C" w:rsidP="00434A6A">
      <w:pPr>
        <w:pStyle w:val="1"/>
        <w:rPr>
          <w:rtl/>
        </w:rPr>
      </w:pPr>
      <w:r>
        <w:rPr>
          <w:rFonts w:hint="cs"/>
          <w:rtl/>
        </w:rPr>
        <w:t xml:space="preserve">סימן רסד: </w:t>
      </w:r>
      <w:r w:rsidRPr="00CC2350">
        <w:rPr>
          <w:rtl/>
        </w:rPr>
        <w:t xml:space="preserve">דיני הפתילה והשמן, ובו י' סעיפים. </w:t>
      </w:r>
    </w:p>
    <w:p w14:paraId="7BA0815E" w14:textId="77777777" w:rsidR="004B2E7C" w:rsidRDefault="004B2E7C" w:rsidP="00434A6A">
      <w:pPr>
        <w:pStyle w:val="2"/>
        <w:rPr>
          <w:rtl/>
        </w:rPr>
      </w:pPr>
      <w:r w:rsidRPr="00CC2350">
        <w:rPr>
          <w:rtl/>
        </w:rPr>
        <w:t>סעיף א</w:t>
      </w:r>
      <w:r>
        <w:rPr>
          <w:rFonts w:hint="cs"/>
          <w:rtl/>
        </w:rPr>
        <w:t>: פתילות.</w:t>
      </w:r>
    </w:p>
    <w:p w14:paraId="578FFCB7" w14:textId="77777777" w:rsidR="004B2E7C" w:rsidRDefault="004B2E7C" w:rsidP="00434A6A">
      <w:pPr>
        <w:rPr>
          <w:rFonts w:cs="Arial"/>
          <w:rtl/>
        </w:rPr>
      </w:pPr>
      <w:r w:rsidRPr="00565331">
        <w:rPr>
          <w:rFonts w:cs="Arial" w:hint="cs"/>
          <w:b/>
          <w:bCs/>
          <w:rtl/>
        </w:rPr>
        <w:t xml:space="preserve">שבת </w:t>
      </w:r>
      <w:r w:rsidRPr="00762875">
        <w:rPr>
          <w:rFonts w:cs="Arial" w:hint="cs"/>
          <w:b/>
          <w:bCs/>
          <w:sz w:val="16"/>
          <w:szCs w:val="16"/>
          <w:rtl/>
        </w:rPr>
        <w:t>(</w:t>
      </w:r>
      <w:r>
        <w:rPr>
          <w:rFonts w:cs="Arial" w:hint="cs"/>
          <w:b/>
          <w:bCs/>
          <w:sz w:val="16"/>
          <w:szCs w:val="16"/>
          <w:rtl/>
        </w:rPr>
        <w:t>ר"</w:t>
      </w:r>
      <w:r w:rsidRPr="00762875">
        <w:rPr>
          <w:rFonts w:cs="Arial" w:hint="cs"/>
          <w:b/>
          <w:bCs/>
          <w:sz w:val="16"/>
          <w:szCs w:val="16"/>
          <w:rtl/>
        </w:rPr>
        <w:t xml:space="preserve">פ </w:t>
      </w:r>
      <w:r>
        <w:rPr>
          <w:rFonts w:cs="Arial" w:hint="cs"/>
          <w:b/>
          <w:bCs/>
          <w:sz w:val="16"/>
          <w:szCs w:val="16"/>
          <w:rtl/>
        </w:rPr>
        <w:t>במה מדליקין</w:t>
      </w:r>
      <w:r w:rsidRPr="00762875">
        <w:rPr>
          <w:rFonts w:cs="Arial" w:hint="cs"/>
          <w:b/>
          <w:bCs/>
          <w:sz w:val="16"/>
          <w:szCs w:val="16"/>
          <w:rtl/>
        </w:rPr>
        <w:t xml:space="preserve">) </w:t>
      </w:r>
      <w:r>
        <w:rPr>
          <w:rFonts w:cs="Arial" w:hint="cs"/>
          <w:b/>
          <w:bCs/>
          <w:rtl/>
        </w:rPr>
        <w:t>כ</w:t>
      </w:r>
      <w:r w:rsidRPr="00565331">
        <w:rPr>
          <w:rFonts w:cs="Arial" w:hint="cs"/>
          <w:b/>
          <w:bCs/>
          <w:rtl/>
        </w:rPr>
        <w:t xml:space="preserve"> ע"</w:t>
      </w:r>
      <w:r>
        <w:rPr>
          <w:rFonts w:cs="Arial" w:hint="cs"/>
          <w:b/>
          <w:bCs/>
          <w:rtl/>
        </w:rPr>
        <w:t>ב</w:t>
      </w:r>
      <w:r w:rsidRPr="00565331">
        <w:rPr>
          <w:rFonts w:cs="Arial" w:hint="cs"/>
          <w:b/>
          <w:bCs/>
          <w:rtl/>
        </w:rPr>
        <w:t>:</w:t>
      </w:r>
      <w:r>
        <w:rPr>
          <w:rFonts w:cs="Arial" w:hint="cs"/>
          <w:rtl/>
        </w:rPr>
        <w:t xml:space="preserve"> </w:t>
      </w:r>
      <w:r w:rsidRPr="00711B2B">
        <w:rPr>
          <w:rFonts w:cs="Arial"/>
          <w:u w:val="double"/>
          <w:rtl/>
        </w:rPr>
        <w:t>משנה</w:t>
      </w:r>
      <w:r>
        <w:rPr>
          <w:rFonts w:cs="Arial" w:hint="cs"/>
          <w:rtl/>
        </w:rPr>
        <w:t>:</w:t>
      </w:r>
      <w:r w:rsidRPr="00711B2B">
        <w:rPr>
          <w:rFonts w:cs="Arial"/>
          <w:rtl/>
        </w:rPr>
        <w:t xml:space="preserve"> במה מדליקין ובמה אין מדליקין? אין מדליקין לא בלכש, ולא בחוסן, ולא בכלך, ולא בפתילת האידן, ולא בפתילת המדבר, ולא בירוקה שעל פני המים.</w:t>
      </w:r>
      <w:r>
        <w:rPr>
          <w:rFonts w:cs="Arial" w:hint="cs"/>
          <w:rtl/>
        </w:rPr>
        <w:t>.</w:t>
      </w:r>
      <w:r w:rsidRPr="00711B2B">
        <w:rPr>
          <w:rFonts w:cs="Arial"/>
          <w:rtl/>
        </w:rPr>
        <w:t>.</w:t>
      </w:r>
      <w:r>
        <w:rPr>
          <w:rFonts w:cs="Arial" w:hint="cs"/>
          <w:rtl/>
        </w:rPr>
        <w:t xml:space="preserve">     </w:t>
      </w:r>
      <w:r w:rsidRPr="00711B2B">
        <w:rPr>
          <w:rFonts w:cs="Arial"/>
          <w:u w:val="double"/>
          <w:rtl/>
        </w:rPr>
        <w:t>גמרא</w:t>
      </w:r>
      <w:r>
        <w:rPr>
          <w:rFonts w:cs="Arial" w:hint="cs"/>
          <w:rtl/>
        </w:rPr>
        <w:t>:</w:t>
      </w:r>
      <w:r w:rsidRPr="00711B2B">
        <w:rPr>
          <w:rFonts w:cs="Arial"/>
          <w:rtl/>
        </w:rPr>
        <w:t xml:space="preserve"> לכש - שוכא דארזא. שוכא דארזא עץ בעלמא הוא! בעמרניתא דאית ביה. ולא בחוסן. </w:t>
      </w:r>
      <w:r w:rsidRPr="00711B2B">
        <w:rPr>
          <w:rFonts w:cs="Arial"/>
          <w:u w:val="single"/>
          <w:rtl/>
        </w:rPr>
        <w:t>אמר רב יוסף</w:t>
      </w:r>
      <w:r w:rsidRPr="00711B2B">
        <w:rPr>
          <w:rFonts w:cs="Arial"/>
          <w:rtl/>
        </w:rPr>
        <w:t xml:space="preserve">: נעורת של פשתן. </w:t>
      </w:r>
      <w:r w:rsidRPr="00711B2B">
        <w:rPr>
          <w:rFonts w:cs="Arial"/>
          <w:u w:val="single"/>
          <w:rtl/>
        </w:rPr>
        <w:t>אמר ליה אביי</w:t>
      </w:r>
      <w:r w:rsidRPr="00711B2B">
        <w:rPr>
          <w:rFonts w:cs="Arial"/>
          <w:rtl/>
        </w:rPr>
        <w:t xml:space="preserve">: והכתיב והיה החסון לנעורת! </w:t>
      </w:r>
      <w:r w:rsidRPr="00711B2B">
        <w:rPr>
          <w:rFonts w:cs="Arial"/>
          <w:u w:val="single"/>
          <w:rtl/>
        </w:rPr>
        <w:t>אלא אמר אביי</w:t>
      </w:r>
      <w:r w:rsidRPr="00711B2B">
        <w:rPr>
          <w:rFonts w:cs="Arial"/>
          <w:rtl/>
        </w:rPr>
        <w:t xml:space="preserve">: כיתנא דדייק ולא נפיץ. ולא בכלך. </w:t>
      </w:r>
      <w:r w:rsidRPr="00711B2B">
        <w:rPr>
          <w:rFonts w:cs="Arial"/>
          <w:u w:val="single"/>
          <w:rtl/>
        </w:rPr>
        <w:t>אמר שמואל</w:t>
      </w:r>
      <w:r w:rsidRPr="00711B2B">
        <w:rPr>
          <w:rFonts w:cs="Arial"/>
          <w:rtl/>
        </w:rPr>
        <w:t xml:space="preserve">: שאלתינהו לכל נחותי ימא, ואמרי לי: כולכא שמיה. </w:t>
      </w:r>
      <w:r w:rsidRPr="00711B2B">
        <w:rPr>
          <w:rFonts w:cs="Arial"/>
          <w:u w:val="single"/>
          <w:rtl/>
        </w:rPr>
        <w:t>רב יצחק בר זעירא אמר</w:t>
      </w:r>
      <w:r w:rsidRPr="00711B2B">
        <w:rPr>
          <w:rFonts w:cs="Arial"/>
          <w:rtl/>
        </w:rPr>
        <w:t xml:space="preserve">: גושקרא. </w:t>
      </w:r>
      <w:r w:rsidRPr="00711B2B">
        <w:rPr>
          <w:rFonts w:cs="Arial"/>
          <w:u w:val="single"/>
          <w:rtl/>
        </w:rPr>
        <w:t>רבין ואביי</w:t>
      </w:r>
      <w:r w:rsidRPr="00711B2B">
        <w:rPr>
          <w:rFonts w:cs="Arial"/>
          <w:rtl/>
        </w:rPr>
        <w:t xml:space="preserve"> הוו יתבי קמיה דרבנא נחמיה אחוה דריש גלותא, חזייה דהוה לביש מטכסא. אמר ליה רבין לאביי: היינו כלך דתנן. אמר ליה: אנן שירא פרנדא קרינן ליה. מיתיבי: השיראים והכלך והסיריקין חייבין בציצית! תיובתא</w:t>
      </w:r>
      <w:r>
        <w:rPr>
          <w:rFonts w:cs="Arial" w:hint="cs"/>
          <w:rtl/>
        </w:rPr>
        <w:t>.</w:t>
      </w:r>
      <w:r w:rsidRPr="00711B2B">
        <w:rPr>
          <w:rFonts w:cs="Arial"/>
          <w:rtl/>
        </w:rPr>
        <w:t xml:space="preserve"> איבעית אימא: שירא לחוד ושירא פרנדא לחוד. ולא בפתילת האידן - אחוינא. </w:t>
      </w:r>
      <w:r w:rsidRPr="00711B2B">
        <w:rPr>
          <w:rFonts w:cs="Arial"/>
          <w:u w:val="single"/>
          <w:rtl/>
        </w:rPr>
        <w:t>רבין ואביי</w:t>
      </w:r>
      <w:r w:rsidRPr="00711B2B">
        <w:rPr>
          <w:rFonts w:cs="Arial"/>
          <w:rtl/>
        </w:rPr>
        <w:t xml:space="preserve"> הוו קאזלו בפקתא דטמרוריתא, חזינהו להנהו ארבתא. </w:t>
      </w:r>
      <w:r w:rsidRPr="00711B2B">
        <w:rPr>
          <w:rFonts w:cs="Arial"/>
          <w:u w:val="single"/>
          <w:rtl/>
        </w:rPr>
        <w:t>אמר ליה רבין לאביי</w:t>
      </w:r>
      <w:r w:rsidRPr="00711B2B">
        <w:rPr>
          <w:rFonts w:cs="Arial"/>
          <w:rtl/>
        </w:rPr>
        <w:t xml:space="preserve">: היינו אידן דתנן. </w:t>
      </w:r>
      <w:r w:rsidRPr="00711B2B">
        <w:rPr>
          <w:rFonts w:cs="Arial"/>
          <w:u w:val="single"/>
          <w:rtl/>
        </w:rPr>
        <w:t>אמר ליה</w:t>
      </w:r>
      <w:r w:rsidRPr="00711B2B">
        <w:rPr>
          <w:rFonts w:cs="Arial"/>
          <w:rtl/>
        </w:rPr>
        <w:t xml:space="preserve">: ההיא עץ בעלמא הוא! קלף ואחוי ליה עמרניתא דביני ביני. ולא בפתילת המדבר - שברא. ולא בירוקה שעל כו' מאי היא? אילימא אוכמתא דחריצי - איפרוכי מפרכן! </w:t>
      </w:r>
      <w:r w:rsidRPr="00711B2B">
        <w:rPr>
          <w:rFonts w:cs="Arial"/>
          <w:u w:val="single"/>
          <w:rtl/>
        </w:rPr>
        <w:t>אלא אמר רב פפא</w:t>
      </w:r>
      <w:r w:rsidRPr="00711B2B">
        <w:rPr>
          <w:rFonts w:cs="Arial"/>
          <w:rtl/>
        </w:rPr>
        <w:t>: אוכמתא דארבא. תנא: הוסיפו עליהן של צמר ושל שער. ותנא דידן: צמר - מכווץ כוויץ, שער - איחרוכי מיחרך.</w:t>
      </w:r>
    </w:p>
    <w:p w14:paraId="49DEE533" w14:textId="77777777" w:rsidR="004B2E7C" w:rsidRDefault="004B2E7C" w:rsidP="00434A6A">
      <w:pPr>
        <w:rPr>
          <w:rFonts w:cs="Arial"/>
          <w:rtl/>
        </w:rPr>
      </w:pPr>
      <w:r w:rsidRPr="00565331">
        <w:rPr>
          <w:rFonts w:cs="Arial" w:hint="cs"/>
          <w:b/>
          <w:bCs/>
          <w:rtl/>
        </w:rPr>
        <w:t xml:space="preserve">שבת </w:t>
      </w:r>
      <w:r w:rsidRPr="00762875">
        <w:rPr>
          <w:rFonts w:cs="Arial" w:hint="cs"/>
          <w:b/>
          <w:bCs/>
          <w:sz w:val="16"/>
          <w:szCs w:val="16"/>
          <w:rtl/>
        </w:rPr>
        <w:t>(פ</w:t>
      </w:r>
      <w:r>
        <w:rPr>
          <w:rFonts w:cs="Arial" w:hint="cs"/>
          <w:b/>
          <w:bCs/>
          <w:sz w:val="16"/>
          <w:szCs w:val="16"/>
          <w:rtl/>
        </w:rPr>
        <w:t>'</w:t>
      </w:r>
      <w:r w:rsidRPr="00762875">
        <w:rPr>
          <w:rFonts w:cs="Arial" w:hint="cs"/>
          <w:b/>
          <w:bCs/>
          <w:sz w:val="16"/>
          <w:szCs w:val="16"/>
          <w:rtl/>
        </w:rPr>
        <w:t xml:space="preserve"> </w:t>
      </w:r>
      <w:r>
        <w:rPr>
          <w:rFonts w:cs="Arial" w:hint="cs"/>
          <w:b/>
          <w:bCs/>
          <w:sz w:val="16"/>
          <w:szCs w:val="16"/>
          <w:rtl/>
        </w:rPr>
        <w:t>במה מדליקין</w:t>
      </w:r>
      <w:r w:rsidRPr="00762875">
        <w:rPr>
          <w:rFonts w:cs="Arial" w:hint="cs"/>
          <w:b/>
          <w:bCs/>
          <w:sz w:val="16"/>
          <w:szCs w:val="16"/>
          <w:rtl/>
        </w:rPr>
        <w:t xml:space="preserve">) </w:t>
      </w:r>
      <w:r>
        <w:rPr>
          <w:rFonts w:cs="Arial" w:hint="cs"/>
          <w:b/>
          <w:bCs/>
          <w:rtl/>
        </w:rPr>
        <w:t>כז</w:t>
      </w:r>
      <w:r w:rsidRPr="00565331">
        <w:rPr>
          <w:rFonts w:cs="Arial" w:hint="cs"/>
          <w:b/>
          <w:bCs/>
          <w:rtl/>
        </w:rPr>
        <w:t xml:space="preserve"> ע"</w:t>
      </w:r>
      <w:r>
        <w:rPr>
          <w:rFonts w:cs="Arial" w:hint="cs"/>
          <w:b/>
          <w:bCs/>
          <w:rtl/>
        </w:rPr>
        <w:t>ב</w:t>
      </w:r>
      <w:r w:rsidRPr="00565331">
        <w:rPr>
          <w:rFonts w:cs="Arial" w:hint="cs"/>
          <w:b/>
          <w:bCs/>
          <w:rtl/>
        </w:rPr>
        <w:t>:</w:t>
      </w:r>
      <w:r>
        <w:rPr>
          <w:rFonts w:cs="Arial" w:hint="cs"/>
          <w:rtl/>
        </w:rPr>
        <w:t xml:space="preserve"> </w:t>
      </w:r>
      <w:r w:rsidRPr="00711B2B">
        <w:rPr>
          <w:rFonts w:cs="Arial"/>
          <w:u w:val="double"/>
          <w:rtl/>
        </w:rPr>
        <w:t>משנה</w:t>
      </w:r>
      <w:r>
        <w:rPr>
          <w:rFonts w:cs="Arial" w:hint="cs"/>
          <w:rtl/>
        </w:rPr>
        <w:t xml:space="preserve">: </w:t>
      </w:r>
      <w:r w:rsidRPr="00917C63">
        <w:rPr>
          <w:rFonts w:cs="Arial"/>
          <w:rtl/>
        </w:rPr>
        <w:t xml:space="preserve">כל היוצא מן העץ - אין מדליקין בו, אלא פשתן. וכל היוצא מן העץ אינו מטמא טומאת אהלים אלא פשתן. </w:t>
      </w:r>
      <w:r>
        <w:rPr>
          <w:rFonts w:cs="Arial" w:hint="cs"/>
          <w:rtl/>
        </w:rPr>
        <w:t xml:space="preserve">      </w:t>
      </w:r>
      <w:r w:rsidRPr="00917C63">
        <w:rPr>
          <w:rFonts w:cs="Arial" w:hint="cs"/>
          <w:u w:val="double"/>
          <w:rtl/>
        </w:rPr>
        <w:t>גמרא</w:t>
      </w:r>
      <w:r>
        <w:rPr>
          <w:rFonts w:cs="Arial" w:hint="cs"/>
          <w:rtl/>
        </w:rPr>
        <w:t xml:space="preserve">: </w:t>
      </w:r>
      <w:r w:rsidRPr="00917C63">
        <w:rPr>
          <w:rFonts w:cs="Arial"/>
          <w:rtl/>
        </w:rPr>
        <w:t>מנלן דפשתן איקרי עץ? אמר מר זוטרא: דאמר קרא והיא העלתם הגגה ותטמנם בפשתי העץ.</w:t>
      </w:r>
    </w:p>
    <w:p w14:paraId="070BC4E0" w14:textId="77777777" w:rsidR="004B2E7C" w:rsidRPr="00711B2B" w:rsidRDefault="004B2E7C" w:rsidP="00434A6A">
      <w:pPr>
        <w:rPr>
          <w:u w:val="single"/>
          <w:rtl/>
        </w:rPr>
      </w:pPr>
      <w:r w:rsidRPr="00711B2B">
        <w:rPr>
          <w:rFonts w:hint="cs"/>
          <w:u w:val="single"/>
          <w:rtl/>
        </w:rPr>
        <w:t>החומר שממנו עשויות הפתילות:</w:t>
      </w:r>
    </w:p>
    <w:p w14:paraId="698C75B4" w14:textId="77777777" w:rsidR="004B2E7C" w:rsidRDefault="004B2E7C" w:rsidP="00FF2D21">
      <w:pPr>
        <w:pStyle w:val="aa"/>
        <w:numPr>
          <w:ilvl w:val="0"/>
          <w:numId w:val="90"/>
        </w:numPr>
      </w:pPr>
      <w:r>
        <w:rPr>
          <w:rFonts w:cs="Arial" w:hint="cs"/>
          <w:rtl/>
        </w:rPr>
        <w:t xml:space="preserve">טור- </w:t>
      </w:r>
      <w:r w:rsidRPr="001D2D8A">
        <w:rPr>
          <w:rFonts w:cs="Arial"/>
          <w:rtl/>
        </w:rPr>
        <w:t>אין עושין פתילות לנר של שבת</w:t>
      </w:r>
      <w:r>
        <w:rPr>
          <w:rFonts w:cs="Arial" w:hint="cs"/>
          <w:rtl/>
        </w:rPr>
        <w:t>...</w:t>
      </w:r>
      <w:r w:rsidRPr="001D2D8A">
        <w:rPr>
          <w:rFonts w:cs="Arial"/>
          <w:rtl/>
        </w:rPr>
        <w:t xml:space="preserve"> מכל דבר שהאור מסכסך בו</w:t>
      </w:r>
      <w:r>
        <w:rPr>
          <w:rFonts w:cs="Arial" w:hint="cs"/>
          <w:rtl/>
        </w:rPr>
        <w:t>,</w:t>
      </w:r>
      <w:r w:rsidRPr="001D2D8A">
        <w:rPr>
          <w:rFonts w:cs="Arial"/>
          <w:rtl/>
        </w:rPr>
        <w:t xml:space="preserve"> פי' שאינו נאחז אלא נסרך סביביו והשלהבת קופצת ודולגת</w:t>
      </w:r>
      <w:r>
        <w:rPr>
          <w:rFonts w:cs="Arial" w:hint="cs"/>
          <w:rtl/>
        </w:rPr>
        <w:t>.</w:t>
      </w:r>
      <w:r w:rsidRPr="001D2D8A">
        <w:rPr>
          <w:rFonts w:cs="Arial"/>
          <w:rtl/>
        </w:rPr>
        <w:t xml:space="preserve"> ואלו הן</w:t>
      </w:r>
      <w:r>
        <w:rPr>
          <w:rFonts w:cs="Arial" w:hint="cs"/>
          <w:rtl/>
        </w:rPr>
        <w:t>:</w:t>
      </w:r>
      <w:r w:rsidRPr="001D2D8A">
        <w:rPr>
          <w:rFonts w:cs="Arial"/>
          <w:rtl/>
        </w:rPr>
        <w:t xml:space="preserve"> לכש</w:t>
      </w:r>
      <w:r>
        <w:rPr>
          <w:rFonts w:cs="Arial" w:hint="cs"/>
          <w:rtl/>
        </w:rPr>
        <w:t>,</w:t>
      </w:r>
      <w:r w:rsidRPr="001D2D8A">
        <w:rPr>
          <w:rFonts w:cs="Arial"/>
          <w:rtl/>
        </w:rPr>
        <w:t xml:space="preserve"> והוא מין ארז וכמו צמר גפן גדל בין העץ ובין הקליפה</w:t>
      </w:r>
      <w:r>
        <w:rPr>
          <w:rFonts w:cs="Arial" w:hint="cs"/>
          <w:rtl/>
        </w:rPr>
        <w:t>.</w:t>
      </w:r>
      <w:r w:rsidRPr="001D2D8A">
        <w:rPr>
          <w:rFonts w:cs="Arial"/>
          <w:rtl/>
        </w:rPr>
        <w:t xml:space="preserve"> חוסן</w:t>
      </w:r>
      <w:r>
        <w:rPr>
          <w:rFonts w:cs="Arial" w:hint="cs"/>
          <w:rtl/>
        </w:rPr>
        <w:t>,</w:t>
      </w:r>
      <w:r w:rsidRPr="001D2D8A">
        <w:rPr>
          <w:rFonts w:cs="Arial"/>
          <w:rtl/>
        </w:rPr>
        <w:t xml:space="preserve"> והוא פשתן שלא נפוץ</w:t>
      </w:r>
      <w:r>
        <w:rPr>
          <w:rFonts w:cs="Arial" w:hint="cs"/>
          <w:rtl/>
        </w:rPr>
        <w:t>.</w:t>
      </w:r>
      <w:r w:rsidRPr="001D2D8A">
        <w:rPr>
          <w:rFonts w:cs="Arial"/>
          <w:rtl/>
        </w:rPr>
        <w:t xml:space="preserve"> כלך</w:t>
      </w:r>
      <w:r>
        <w:rPr>
          <w:rFonts w:cs="Arial" w:hint="cs"/>
          <w:rtl/>
        </w:rPr>
        <w:t>,</w:t>
      </w:r>
      <w:r w:rsidRPr="001D2D8A">
        <w:rPr>
          <w:rFonts w:cs="Arial"/>
          <w:rtl/>
        </w:rPr>
        <w:t xml:space="preserve"> והוא פסולת של משי</w:t>
      </w:r>
      <w:r>
        <w:rPr>
          <w:rFonts w:cs="Arial" w:hint="cs"/>
          <w:rtl/>
        </w:rPr>
        <w:t>.</w:t>
      </w:r>
      <w:r w:rsidRPr="001D2D8A">
        <w:rPr>
          <w:rFonts w:cs="Arial"/>
          <w:rtl/>
        </w:rPr>
        <w:t xml:space="preserve"> אידן</w:t>
      </w:r>
      <w:r>
        <w:rPr>
          <w:rFonts w:cs="Arial" w:hint="cs"/>
          <w:rtl/>
        </w:rPr>
        <w:t>,</w:t>
      </w:r>
      <w:r w:rsidRPr="001D2D8A">
        <w:rPr>
          <w:rFonts w:cs="Arial"/>
          <w:rtl/>
        </w:rPr>
        <w:t xml:space="preserve"> והוא מין ערבה ויש כמו צמר גפן בין קליפה לעץ</w:t>
      </w:r>
      <w:r>
        <w:rPr>
          <w:rFonts w:cs="Arial" w:hint="cs"/>
          <w:rtl/>
        </w:rPr>
        <w:t>.</w:t>
      </w:r>
      <w:r w:rsidRPr="001D2D8A">
        <w:rPr>
          <w:rFonts w:cs="Arial"/>
          <w:rtl/>
        </w:rPr>
        <w:t xml:space="preserve"> פתילת המדבר</w:t>
      </w:r>
      <w:r>
        <w:rPr>
          <w:rFonts w:cs="Arial" w:hint="cs"/>
          <w:rtl/>
        </w:rPr>
        <w:t>,</w:t>
      </w:r>
      <w:r w:rsidRPr="001D2D8A">
        <w:rPr>
          <w:rFonts w:cs="Arial"/>
          <w:rtl/>
        </w:rPr>
        <w:t xml:space="preserve"> והוא מין עשב ארוך ומוך שבתוכו ראוי להדליק בו</w:t>
      </w:r>
      <w:r>
        <w:rPr>
          <w:rFonts w:cs="Arial" w:hint="cs"/>
          <w:rtl/>
        </w:rPr>
        <w:t>.</w:t>
      </w:r>
      <w:r w:rsidRPr="001D2D8A">
        <w:rPr>
          <w:rFonts w:cs="Arial"/>
          <w:rtl/>
        </w:rPr>
        <w:t xml:space="preserve"> וירוקה שעל פני המים</w:t>
      </w:r>
      <w:r>
        <w:rPr>
          <w:rFonts w:cs="Arial" w:hint="cs"/>
          <w:rtl/>
        </w:rPr>
        <w:t>,</w:t>
      </w:r>
      <w:r w:rsidRPr="001D2D8A">
        <w:rPr>
          <w:rFonts w:cs="Arial"/>
          <w:rtl/>
        </w:rPr>
        <w:t xml:space="preserve"> והוא הירוק שגדל סביב הספינה כששוהה לעמוד במקום אחד על פני המים</w:t>
      </w:r>
      <w:r>
        <w:rPr>
          <w:rFonts w:cs="Arial" w:hint="cs"/>
          <w:rtl/>
        </w:rPr>
        <w:t>.</w:t>
      </w:r>
      <w:r w:rsidRPr="001D2D8A">
        <w:rPr>
          <w:rFonts w:cs="Arial"/>
          <w:rtl/>
        </w:rPr>
        <w:t xml:space="preserve"> ולא בצמר</w:t>
      </w:r>
      <w:r>
        <w:rPr>
          <w:rFonts w:cs="Arial" w:hint="cs"/>
          <w:rtl/>
        </w:rPr>
        <w:t>.</w:t>
      </w:r>
      <w:r w:rsidRPr="001D2D8A">
        <w:rPr>
          <w:rFonts w:cs="Arial"/>
          <w:rtl/>
        </w:rPr>
        <w:t xml:space="preserve"> ולא בשער</w:t>
      </w:r>
      <w:r>
        <w:rPr>
          <w:rStyle w:val="a9"/>
          <w:rtl/>
        </w:rPr>
        <w:footnoteReference w:id="675"/>
      </w:r>
      <w:r>
        <w:rPr>
          <w:rFonts w:cs="Arial" w:hint="cs"/>
          <w:rtl/>
        </w:rPr>
        <w:t>.</w:t>
      </w:r>
      <w:r w:rsidRPr="001D2D8A">
        <w:rPr>
          <w:rFonts w:cs="Arial"/>
          <w:rtl/>
        </w:rPr>
        <w:t xml:space="preserve"> </w:t>
      </w:r>
      <w:r w:rsidRPr="004C4CDF">
        <w:rPr>
          <w:rFonts w:cs="Arial" w:hint="cs"/>
          <w:color w:val="E36C0A" w:themeColor="accent6" w:themeShade="BF"/>
          <w:rtl/>
        </w:rPr>
        <w:t>(וכ"פ בשו"ע)</w:t>
      </w:r>
    </w:p>
    <w:p w14:paraId="4C8C5A4C" w14:textId="77777777" w:rsidR="004B2E7C" w:rsidRPr="00917C63" w:rsidRDefault="004B2E7C" w:rsidP="00434A6A">
      <w:pPr>
        <w:ind w:left="360"/>
        <w:rPr>
          <w:u w:val="dotted"/>
        </w:rPr>
      </w:pPr>
      <w:r w:rsidRPr="00917C63">
        <w:rPr>
          <w:rFonts w:hint="cs"/>
          <w:u w:val="dotted"/>
          <w:rtl/>
        </w:rPr>
        <w:t>ומה דין צמר גפן:</w:t>
      </w:r>
    </w:p>
    <w:p w14:paraId="3F7102A1" w14:textId="77777777" w:rsidR="004B2E7C" w:rsidRPr="00917C63" w:rsidRDefault="004B2E7C" w:rsidP="00FF2D21">
      <w:pPr>
        <w:pStyle w:val="aa"/>
        <w:numPr>
          <w:ilvl w:val="0"/>
          <w:numId w:val="90"/>
        </w:numPr>
      </w:pPr>
      <w:r w:rsidRPr="001D2D8A">
        <w:rPr>
          <w:rFonts w:cs="Arial"/>
          <w:rtl/>
        </w:rPr>
        <w:t>רש"</w:t>
      </w:r>
      <w:r>
        <w:rPr>
          <w:rFonts w:cs="Arial" w:hint="cs"/>
          <w:rtl/>
        </w:rPr>
        <w:t>י</w:t>
      </w:r>
      <w:r>
        <w:rPr>
          <w:rFonts w:cs="Arial" w:hint="cs"/>
          <w:sz w:val="16"/>
          <w:szCs w:val="16"/>
          <w:rtl/>
        </w:rPr>
        <w:t xml:space="preserve"> (כז: ד"ה אין מדליקין)</w:t>
      </w:r>
      <w:r>
        <w:rPr>
          <w:rFonts w:cs="Arial" w:hint="cs"/>
          <w:rtl/>
        </w:rPr>
        <w:t xml:space="preserve">- </w:t>
      </w:r>
      <w:r w:rsidRPr="001D2D8A">
        <w:rPr>
          <w:rFonts w:cs="Arial"/>
          <w:rtl/>
        </w:rPr>
        <w:t xml:space="preserve">אין </w:t>
      </w:r>
      <w:r w:rsidRPr="00ED137E">
        <w:rPr>
          <w:rFonts w:cs="Arial"/>
          <w:rtl/>
        </w:rPr>
        <w:t>לעשות פתילה מקנבוס ובגד קנבוס ומצמר גפן</w:t>
      </w:r>
      <w:r>
        <w:rPr>
          <w:rStyle w:val="a9"/>
          <w:rFonts w:cs="Arial"/>
          <w:rtl/>
        </w:rPr>
        <w:footnoteReference w:id="676"/>
      </w:r>
      <w:r>
        <w:rPr>
          <w:rFonts w:cs="Arial" w:hint="cs"/>
          <w:rtl/>
        </w:rPr>
        <w:t>.</w:t>
      </w:r>
      <w:r w:rsidRPr="001D2D8A">
        <w:rPr>
          <w:rFonts w:cs="Arial"/>
          <w:rtl/>
        </w:rPr>
        <w:t xml:space="preserve"> </w:t>
      </w:r>
    </w:p>
    <w:p w14:paraId="6D7EBF57" w14:textId="77777777" w:rsidR="004B2E7C" w:rsidRPr="002E69F9" w:rsidRDefault="004B2E7C" w:rsidP="00FF2D21">
      <w:pPr>
        <w:pStyle w:val="aa"/>
        <w:numPr>
          <w:ilvl w:val="0"/>
          <w:numId w:val="90"/>
        </w:numPr>
      </w:pPr>
      <w:r w:rsidRPr="00917C63">
        <w:rPr>
          <w:rFonts w:cs="Arial"/>
          <w:rtl/>
        </w:rPr>
        <w:t xml:space="preserve">גאונים </w:t>
      </w:r>
      <w:r>
        <w:rPr>
          <w:rFonts w:cs="Arial" w:hint="cs"/>
          <w:rtl/>
        </w:rPr>
        <w:t>ר"ת ר"י רמב"ם תרומה סמ"ג רא"ש רי"ו ור"ן</w:t>
      </w:r>
      <w:r>
        <w:rPr>
          <w:rStyle w:val="a9"/>
          <w:rFonts w:cs="Arial"/>
          <w:rtl/>
        </w:rPr>
        <w:footnoteReference w:id="677"/>
      </w:r>
      <w:r w:rsidRPr="007166D7">
        <w:rPr>
          <w:rFonts w:cs="Arial" w:hint="cs"/>
          <w:rtl/>
        </w:rPr>
        <w:t xml:space="preserve">- </w:t>
      </w:r>
      <w:r w:rsidRPr="007166D7">
        <w:rPr>
          <w:rFonts w:cs="Arial"/>
          <w:rtl/>
        </w:rPr>
        <w:t>ודאי מותר להדליק בקנבוס וצמר גפן דאינם יוצאים מן העץ אלא זרע הוא</w:t>
      </w:r>
      <w:r w:rsidRPr="007166D7">
        <w:rPr>
          <w:rFonts w:cs="Arial" w:hint="cs"/>
          <w:sz w:val="16"/>
          <w:szCs w:val="16"/>
          <w:rtl/>
        </w:rPr>
        <w:t xml:space="preserve"> (ל' ר"י בתוס')</w:t>
      </w:r>
      <w:r w:rsidRPr="007166D7">
        <w:rPr>
          <w:rFonts w:cs="Arial" w:hint="cs"/>
          <w:rtl/>
        </w:rPr>
        <w:t>.</w:t>
      </w:r>
      <w:r w:rsidRPr="007166D7">
        <w:rPr>
          <w:rFonts w:cs="Arial"/>
          <w:rtl/>
        </w:rPr>
        <w:t xml:space="preserve"> </w:t>
      </w:r>
      <w:r w:rsidRPr="004C4CDF">
        <w:rPr>
          <w:rFonts w:cs="Arial" w:hint="cs"/>
          <w:color w:val="E36C0A" w:themeColor="accent6" w:themeShade="BF"/>
          <w:rtl/>
        </w:rPr>
        <w:t>(וכ"פ בשו"ע)</w:t>
      </w:r>
    </w:p>
    <w:p w14:paraId="327F592D" w14:textId="77777777" w:rsidR="004B2E7C" w:rsidRPr="00EB4111" w:rsidRDefault="004B2E7C" w:rsidP="00FF2D21">
      <w:pPr>
        <w:pStyle w:val="aa"/>
        <w:numPr>
          <w:ilvl w:val="1"/>
          <w:numId w:val="90"/>
        </w:numPr>
        <w:rPr>
          <w:rtl/>
        </w:rPr>
      </w:pPr>
      <w:r>
        <w:rPr>
          <w:rFonts w:cs="Arial" w:hint="cs"/>
          <w:rtl/>
        </w:rPr>
        <w:t xml:space="preserve">ב"י- </w:t>
      </w:r>
      <w:r w:rsidRPr="00917C63">
        <w:rPr>
          <w:rFonts w:cs="Arial"/>
          <w:rtl/>
        </w:rPr>
        <w:t xml:space="preserve">ומעתה אין חוששין למה שכתוב בהגהות </w:t>
      </w:r>
      <w:r w:rsidRPr="007166D7">
        <w:rPr>
          <w:rFonts w:cs="Arial"/>
          <w:sz w:val="16"/>
          <w:szCs w:val="16"/>
          <w:rtl/>
        </w:rPr>
        <w:t xml:space="preserve">(מיימוניות שם אות ו) </w:t>
      </w:r>
      <w:r w:rsidRPr="00917C63">
        <w:rPr>
          <w:rFonts w:cs="Arial"/>
          <w:rtl/>
        </w:rPr>
        <w:t xml:space="preserve">שהר"ם </w:t>
      </w:r>
      <w:r w:rsidRPr="007166D7">
        <w:rPr>
          <w:rFonts w:cs="Arial"/>
          <w:sz w:val="16"/>
          <w:szCs w:val="16"/>
          <w:rtl/>
        </w:rPr>
        <w:t xml:space="preserve">(פסקים סי' עא) </w:t>
      </w:r>
      <w:r w:rsidRPr="00917C63">
        <w:rPr>
          <w:rFonts w:cs="Arial"/>
          <w:rtl/>
        </w:rPr>
        <w:t>סובר כרש"י, וכן עמא דבר להדליק בצמר גפן וכדברי רבינו תם</w:t>
      </w:r>
      <w:r w:rsidRPr="00917C63">
        <w:rPr>
          <w:rFonts w:cs="Arial" w:hint="cs"/>
          <w:rtl/>
        </w:rPr>
        <w:t>.</w:t>
      </w:r>
    </w:p>
    <w:p w14:paraId="5A8CF4D4" w14:textId="77777777" w:rsidR="004B2E7C" w:rsidRPr="002E69F9" w:rsidRDefault="004B2E7C" w:rsidP="00434A6A">
      <w:pPr>
        <w:ind w:left="360"/>
        <w:rPr>
          <w:u w:val="dotted"/>
        </w:rPr>
      </w:pPr>
      <w:r w:rsidRPr="002E69F9">
        <w:rPr>
          <w:rFonts w:hint="cs"/>
          <w:u w:val="dotted"/>
          <w:rtl/>
        </w:rPr>
        <w:t xml:space="preserve">עבר והדליק בפתילה שאסרו להדליק בה </w:t>
      </w:r>
      <w:r w:rsidRPr="002E69F9">
        <w:rPr>
          <w:u w:val="dotted"/>
          <w:rtl/>
        </w:rPr>
        <w:t>–</w:t>
      </w:r>
      <w:r w:rsidRPr="002E69F9">
        <w:rPr>
          <w:rFonts w:hint="cs"/>
          <w:u w:val="dotted"/>
          <w:rtl/>
        </w:rPr>
        <w:t xml:space="preserve"> האם מותר להשתמש באורה:</w:t>
      </w:r>
    </w:p>
    <w:p w14:paraId="6C994EEA" w14:textId="77777777" w:rsidR="004B2E7C" w:rsidRPr="00917C63" w:rsidRDefault="004B2E7C" w:rsidP="00FF2D21">
      <w:pPr>
        <w:pStyle w:val="aa"/>
        <w:numPr>
          <w:ilvl w:val="0"/>
          <w:numId w:val="90"/>
        </w:numPr>
      </w:pPr>
      <w:r w:rsidRPr="002E69F9">
        <w:rPr>
          <w:rFonts w:cs="Arial"/>
          <w:rtl/>
        </w:rPr>
        <w:t xml:space="preserve">רשב"א </w:t>
      </w:r>
      <w:r w:rsidRPr="002E69F9">
        <w:rPr>
          <w:rFonts w:cs="Arial"/>
          <w:sz w:val="16"/>
          <w:szCs w:val="16"/>
          <w:rtl/>
        </w:rPr>
        <w:t>(ח"א סי</w:t>
      </w:r>
      <w:r w:rsidRPr="002E69F9">
        <w:rPr>
          <w:rFonts w:cs="Arial" w:hint="cs"/>
          <w:sz w:val="16"/>
          <w:szCs w:val="16"/>
          <w:rtl/>
        </w:rPr>
        <w:t>'</w:t>
      </w:r>
      <w:r w:rsidRPr="002E69F9">
        <w:rPr>
          <w:rFonts w:cs="Arial"/>
          <w:sz w:val="16"/>
          <w:szCs w:val="16"/>
          <w:rtl/>
        </w:rPr>
        <w:t xml:space="preserve"> קעא)</w:t>
      </w:r>
      <w:r w:rsidRPr="002E69F9">
        <w:rPr>
          <w:rFonts w:cs="Arial" w:hint="cs"/>
          <w:rtl/>
        </w:rPr>
        <w:t>-</w:t>
      </w:r>
      <w:r w:rsidRPr="002E69F9">
        <w:rPr>
          <w:rFonts w:cs="Arial"/>
          <w:rtl/>
        </w:rPr>
        <w:t xml:space="preserve"> המדליק בשבת בשמנים ופתילות שאסרו חכמים להדליק בהם דבר ברור הוא שאסור להשתמש לאורן</w:t>
      </w:r>
      <w:r w:rsidRPr="002E69F9">
        <w:rPr>
          <w:rFonts w:cs="Arial" w:hint="cs"/>
          <w:rtl/>
        </w:rPr>
        <w:t>.</w:t>
      </w:r>
      <w:r>
        <w:rPr>
          <w:rFonts w:hint="cs"/>
          <w:rtl/>
        </w:rPr>
        <w:t xml:space="preserve"> </w:t>
      </w:r>
      <w:r w:rsidRPr="00F10960">
        <w:rPr>
          <w:rFonts w:hint="cs"/>
          <w:color w:val="00B0F0"/>
          <w:rtl/>
        </w:rPr>
        <w:t>(וכ"פ הרמ"א)</w:t>
      </w:r>
    </w:p>
    <w:p w14:paraId="50756869" w14:textId="77777777" w:rsidR="004B2E7C" w:rsidRPr="002E69F9" w:rsidRDefault="004B2E7C" w:rsidP="00434A6A">
      <w:r w:rsidRPr="00565331">
        <w:rPr>
          <w:rFonts w:cs="Arial" w:hint="cs"/>
          <w:b/>
          <w:bCs/>
          <w:rtl/>
        </w:rPr>
        <w:t xml:space="preserve">שבת </w:t>
      </w:r>
      <w:r w:rsidRPr="00762875">
        <w:rPr>
          <w:rFonts w:cs="Arial" w:hint="cs"/>
          <w:b/>
          <w:bCs/>
          <w:sz w:val="16"/>
          <w:szCs w:val="16"/>
          <w:rtl/>
        </w:rPr>
        <w:t>(</w:t>
      </w:r>
      <w:r>
        <w:rPr>
          <w:rFonts w:cs="Arial" w:hint="cs"/>
          <w:b/>
          <w:bCs/>
          <w:sz w:val="16"/>
          <w:szCs w:val="16"/>
          <w:rtl/>
        </w:rPr>
        <w:t>ר"</w:t>
      </w:r>
      <w:r w:rsidRPr="00762875">
        <w:rPr>
          <w:rFonts w:cs="Arial" w:hint="cs"/>
          <w:b/>
          <w:bCs/>
          <w:sz w:val="16"/>
          <w:szCs w:val="16"/>
          <w:rtl/>
        </w:rPr>
        <w:t xml:space="preserve">פ </w:t>
      </w:r>
      <w:r>
        <w:rPr>
          <w:rFonts w:cs="Arial" w:hint="cs"/>
          <w:b/>
          <w:bCs/>
          <w:sz w:val="16"/>
          <w:szCs w:val="16"/>
          <w:rtl/>
        </w:rPr>
        <w:t>במה מדליקין</w:t>
      </w:r>
      <w:r w:rsidRPr="00762875">
        <w:rPr>
          <w:rFonts w:cs="Arial" w:hint="cs"/>
          <w:b/>
          <w:bCs/>
          <w:sz w:val="16"/>
          <w:szCs w:val="16"/>
          <w:rtl/>
        </w:rPr>
        <w:t xml:space="preserve">) </w:t>
      </w:r>
      <w:r>
        <w:rPr>
          <w:rFonts w:cs="Arial" w:hint="cs"/>
          <w:b/>
          <w:bCs/>
          <w:rtl/>
        </w:rPr>
        <w:t>כא</w:t>
      </w:r>
      <w:r w:rsidRPr="00565331">
        <w:rPr>
          <w:rFonts w:cs="Arial" w:hint="cs"/>
          <w:b/>
          <w:bCs/>
          <w:rtl/>
        </w:rPr>
        <w:t xml:space="preserve"> ע"</w:t>
      </w:r>
      <w:r>
        <w:rPr>
          <w:rFonts w:cs="Arial" w:hint="cs"/>
          <w:b/>
          <w:bCs/>
          <w:rtl/>
        </w:rPr>
        <w:t>ב</w:t>
      </w:r>
      <w:r w:rsidRPr="00565331">
        <w:rPr>
          <w:rFonts w:cs="Arial" w:hint="cs"/>
          <w:b/>
          <w:bCs/>
          <w:rtl/>
        </w:rPr>
        <w:t>:</w:t>
      </w:r>
      <w:r>
        <w:rPr>
          <w:rFonts w:cs="Arial" w:hint="cs"/>
          <w:rtl/>
        </w:rPr>
        <w:t xml:space="preserve"> </w:t>
      </w:r>
      <w:r w:rsidRPr="005F6B00">
        <w:rPr>
          <w:rFonts w:cs="Arial"/>
          <w:u w:val="single"/>
          <w:rtl/>
        </w:rPr>
        <w:t>אמר רבי זירא אמר רב מתנה</w:t>
      </w:r>
      <w:r w:rsidRPr="005F6B00">
        <w:rPr>
          <w:rFonts w:cs="Arial"/>
          <w:rtl/>
        </w:rPr>
        <w:t xml:space="preserve">, </w:t>
      </w:r>
      <w:r w:rsidRPr="005F6B00">
        <w:rPr>
          <w:rFonts w:cs="Arial"/>
          <w:u w:val="single"/>
          <w:rtl/>
        </w:rPr>
        <w:t>ואמרי לה אמר רבי זירא אמר רב</w:t>
      </w:r>
      <w:r w:rsidRPr="005F6B00">
        <w:rPr>
          <w:rFonts w:cs="Arial"/>
          <w:rtl/>
        </w:rPr>
        <w:t xml:space="preserve">: פתילות ושמנים שאמרו חכמים אין מדליקין בהן בשבת - מדליקין בהן בחנוכה, בין בחול בין בשבת. </w:t>
      </w:r>
      <w:r w:rsidRPr="005F6B00">
        <w:rPr>
          <w:rFonts w:cs="Arial"/>
          <w:u w:val="single"/>
          <w:rtl/>
        </w:rPr>
        <w:t>אמר רבי ירמיה</w:t>
      </w:r>
      <w:r w:rsidRPr="005F6B00">
        <w:rPr>
          <w:rFonts w:cs="Arial"/>
          <w:rtl/>
        </w:rPr>
        <w:t>: מאי טעמא דרב - קסבר: כבתה אין זקוק לה, ואסור להשתמש לאורה.</w:t>
      </w:r>
    </w:p>
    <w:p w14:paraId="4333524B" w14:textId="77777777" w:rsidR="004B2E7C" w:rsidRPr="00917C63" w:rsidRDefault="004B2E7C" w:rsidP="00434A6A">
      <w:pPr>
        <w:rPr>
          <w:u w:val="single"/>
        </w:rPr>
      </w:pPr>
      <w:r w:rsidRPr="00917C63">
        <w:rPr>
          <w:rFonts w:hint="cs"/>
          <w:u w:val="single"/>
          <w:rtl/>
        </w:rPr>
        <w:t>האם צריך להקפיד בחומר הפתילה כנ"ל רק בנר שבמקום האכילה או בכל נר שיש בבית בשבת:</w:t>
      </w:r>
    </w:p>
    <w:p w14:paraId="22E8F265" w14:textId="77777777" w:rsidR="004B2E7C" w:rsidRPr="00706E65" w:rsidRDefault="004B2E7C" w:rsidP="00FF2D21">
      <w:pPr>
        <w:pStyle w:val="aa"/>
        <w:numPr>
          <w:ilvl w:val="0"/>
          <w:numId w:val="90"/>
        </w:numPr>
        <w:rPr>
          <w:rtl/>
        </w:rPr>
      </w:pPr>
      <w:r w:rsidRPr="002E69F9">
        <w:rPr>
          <w:rFonts w:cs="Arial"/>
          <w:rtl/>
        </w:rPr>
        <w:t xml:space="preserve">סמ"ג </w:t>
      </w:r>
      <w:r w:rsidRPr="00A46B43">
        <w:rPr>
          <w:rFonts w:cs="Arial"/>
          <w:sz w:val="16"/>
          <w:szCs w:val="16"/>
          <w:rtl/>
        </w:rPr>
        <w:t xml:space="preserve">(ל"ת סה, טז ע"ב) </w:t>
      </w:r>
      <w:r w:rsidRPr="002E69F9">
        <w:rPr>
          <w:rFonts w:cs="Arial"/>
          <w:rtl/>
        </w:rPr>
        <w:t xml:space="preserve">תרומה </w:t>
      </w:r>
      <w:r w:rsidRPr="00A46B43">
        <w:rPr>
          <w:rFonts w:cs="Arial"/>
          <w:sz w:val="16"/>
          <w:szCs w:val="16"/>
          <w:rtl/>
        </w:rPr>
        <w:t>(סי' רכח)</w:t>
      </w:r>
      <w:r w:rsidRPr="00A46B43">
        <w:rPr>
          <w:rFonts w:cs="Arial" w:hint="cs"/>
          <w:sz w:val="16"/>
          <w:szCs w:val="16"/>
          <w:rtl/>
        </w:rPr>
        <w:t xml:space="preserve"> </w:t>
      </w:r>
      <w:r>
        <w:rPr>
          <w:rFonts w:cs="Arial" w:hint="cs"/>
          <w:rtl/>
        </w:rPr>
        <w:t>הגה"מ</w:t>
      </w:r>
      <w:r w:rsidRPr="002E69F9">
        <w:rPr>
          <w:rFonts w:cs="Arial"/>
          <w:rtl/>
        </w:rPr>
        <w:t xml:space="preserve"> </w:t>
      </w:r>
      <w:r w:rsidRPr="00A46B43">
        <w:rPr>
          <w:rFonts w:cs="Arial" w:hint="cs"/>
          <w:sz w:val="16"/>
          <w:szCs w:val="16"/>
          <w:rtl/>
        </w:rPr>
        <w:t>(</w:t>
      </w:r>
      <w:r w:rsidRPr="00A46B43">
        <w:rPr>
          <w:rFonts w:cs="Arial"/>
          <w:sz w:val="16"/>
          <w:szCs w:val="16"/>
          <w:rtl/>
        </w:rPr>
        <w:t>פ"ה אות ח, י)</w:t>
      </w:r>
      <w:r w:rsidRPr="00A46B43">
        <w:rPr>
          <w:rFonts w:cs="Arial" w:hint="cs"/>
          <w:sz w:val="16"/>
          <w:szCs w:val="16"/>
          <w:rtl/>
        </w:rPr>
        <w:t xml:space="preserve"> </w:t>
      </w:r>
      <w:r w:rsidRPr="002E69F9">
        <w:rPr>
          <w:rFonts w:cs="Arial"/>
          <w:rtl/>
        </w:rPr>
        <w:t>מרדכי</w:t>
      </w:r>
      <w:r>
        <w:rPr>
          <w:rStyle w:val="a9"/>
          <w:rFonts w:cs="Arial"/>
          <w:rtl/>
        </w:rPr>
        <w:footnoteReference w:id="678"/>
      </w:r>
      <w:r w:rsidRPr="002E69F9">
        <w:rPr>
          <w:rFonts w:cs="Arial"/>
          <w:rtl/>
        </w:rPr>
        <w:t xml:space="preserve"> </w:t>
      </w:r>
      <w:r w:rsidRPr="005F6B00">
        <w:rPr>
          <w:rFonts w:cs="Arial"/>
          <w:sz w:val="16"/>
          <w:szCs w:val="16"/>
          <w:rtl/>
        </w:rPr>
        <w:t>(סי' רסג)</w:t>
      </w:r>
      <w:r>
        <w:rPr>
          <w:rFonts w:cs="Arial" w:hint="cs"/>
          <w:rtl/>
        </w:rPr>
        <w:t xml:space="preserve"> </w:t>
      </w:r>
      <w:r w:rsidRPr="002E69F9">
        <w:rPr>
          <w:rFonts w:cs="Arial" w:hint="cs"/>
          <w:rtl/>
        </w:rPr>
        <w:t>טור</w:t>
      </w:r>
      <w:r>
        <w:rPr>
          <w:rFonts w:cs="Arial" w:hint="cs"/>
          <w:rtl/>
        </w:rPr>
        <w:t xml:space="preserve"> רי"ו </w:t>
      </w:r>
      <w:r w:rsidRPr="00A46B43">
        <w:rPr>
          <w:rFonts w:cs="Arial" w:hint="cs"/>
          <w:sz w:val="16"/>
          <w:szCs w:val="16"/>
          <w:rtl/>
        </w:rPr>
        <w:t>(</w:t>
      </w:r>
      <w:r w:rsidRPr="00A46B43">
        <w:rPr>
          <w:rFonts w:cs="Arial"/>
          <w:sz w:val="16"/>
          <w:szCs w:val="16"/>
          <w:rtl/>
        </w:rPr>
        <w:t>ח"ב סז ריש ע"א)</w:t>
      </w:r>
      <w:r w:rsidRPr="002E69F9">
        <w:rPr>
          <w:rFonts w:cs="Arial" w:hint="cs"/>
          <w:rtl/>
        </w:rPr>
        <w:t xml:space="preserve">- </w:t>
      </w:r>
      <w:r w:rsidRPr="002E69F9">
        <w:rPr>
          <w:rFonts w:cs="Arial"/>
          <w:rtl/>
        </w:rPr>
        <w:t>בין נר שעל השלחן בין כל נר שמדליק בבית</w:t>
      </w:r>
      <w:r>
        <w:rPr>
          <w:rStyle w:val="a9"/>
          <w:rFonts w:cs="Arial"/>
          <w:rtl/>
        </w:rPr>
        <w:footnoteReference w:id="679"/>
      </w:r>
      <w:r>
        <w:rPr>
          <w:rFonts w:cs="Arial" w:hint="cs"/>
          <w:sz w:val="16"/>
          <w:szCs w:val="16"/>
          <w:rtl/>
        </w:rPr>
        <w:t xml:space="preserve"> (ל' הטור)</w:t>
      </w:r>
      <w:r w:rsidRPr="002E69F9">
        <w:rPr>
          <w:rFonts w:cs="Arial" w:hint="cs"/>
          <w:rtl/>
        </w:rPr>
        <w:t>.</w:t>
      </w:r>
      <w:r w:rsidRPr="002E69F9">
        <w:rPr>
          <w:rFonts w:cs="Arial"/>
          <w:rtl/>
        </w:rPr>
        <w:t xml:space="preserve"> </w:t>
      </w:r>
      <w:r w:rsidRPr="004C4CDF">
        <w:rPr>
          <w:rFonts w:cs="Arial" w:hint="cs"/>
          <w:color w:val="E36C0A" w:themeColor="accent6" w:themeShade="BF"/>
          <w:rtl/>
        </w:rPr>
        <w:t>(וכ"פ בשו"ע)</w:t>
      </w:r>
    </w:p>
    <w:p w14:paraId="5DA7DCCA" w14:textId="77777777" w:rsidR="004B2E7C" w:rsidRDefault="004B2E7C" w:rsidP="00FF2D21">
      <w:pPr>
        <w:pStyle w:val="aa"/>
        <w:numPr>
          <w:ilvl w:val="0"/>
          <w:numId w:val="90"/>
        </w:numPr>
      </w:pPr>
      <w:r w:rsidRPr="005F6B00">
        <w:rPr>
          <w:rFonts w:cs="Arial"/>
          <w:rtl/>
        </w:rPr>
        <w:t>הג</w:t>
      </w:r>
      <w:r>
        <w:rPr>
          <w:rFonts w:cs="Arial" w:hint="cs"/>
          <w:rtl/>
        </w:rPr>
        <w:t xml:space="preserve">מ"ר </w:t>
      </w:r>
      <w:r w:rsidRPr="005F6B00">
        <w:rPr>
          <w:rFonts w:cs="Arial" w:hint="cs"/>
          <w:sz w:val="16"/>
          <w:szCs w:val="16"/>
          <w:rtl/>
        </w:rPr>
        <w:t>(</w:t>
      </w:r>
      <w:r>
        <w:rPr>
          <w:rFonts w:cs="Arial" w:hint="cs"/>
          <w:sz w:val="16"/>
          <w:szCs w:val="16"/>
          <w:rtl/>
        </w:rPr>
        <w:t>שבת סי' תנב ד"ה מצאתי שמור"ם, וכן בהגה על המרדכי בסי' רסג, וכן איתא בתוס'</w:t>
      </w:r>
      <w:r>
        <w:rPr>
          <w:rStyle w:val="a9"/>
          <w:rFonts w:cs="Arial"/>
          <w:sz w:val="16"/>
          <w:szCs w:val="16"/>
          <w:rtl/>
        </w:rPr>
        <w:footnoteReference w:id="680"/>
      </w:r>
      <w:r>
        <w:rPr>
          <w:rFonts w:cs="Arial" w:hint="cs"/>
          <w:sz w:val="16"/>
          <w:szCs w:val="16"/>
          <w:rtl/>
        </w:rPr>
        <w:t xml:space="preserve"> כא. ד"ה מפני שאין</w:t>
      </w:r>
      <w:r w:rsidRPr="005F6B00">
        <w:rPr>
          <w:rFonts w:cs="Arial" w:hint="cs"/>
          <w:sz w:val="16"/>
          <w:szCs w:val="16"/>
          <w:rtl/>
        </w:rPr>
        <w:t>)</w:t>
      </w:r>
      <w:r>
        <w:rPr>
          <w:rFonts w:cs="Arial" w:hint="cs"/>
          <w:rtl/>
        </w:rPr>
        <w:t xml:space="preserve">- </w:t>
      </w:r>
      <w:r w:rsidRPr="00706E65">
        <w:rPr>
          <w:rFonts w:cs="Arial"/>
          <w:rtl/>
        </w:rPr>
        <w:t>מור"ם</w:t>
      </w:r>
      <w:r>
        <w:rPr>
          <w:rFonts w:cs="Arial" w:hint="cs"/>
          <w:rtl/>
        </w:rPr>
        <w:t>/מהר"א</w:t>
      </w:r>
      <w:r w:rsidRPr="00706E65">
        <w:rPr>
          <w:rFonts w:cs="Arial"/>
          <w:rtl/>
        </w:rPr>
        <w:t xml:space="preserve"> ז"ל אמר רק כשיש במקום אחד נר כשר בשבת בבית יזכור ולא יטה שאר נרות שבחדר ושבמרתף ור"ש מקוצי אומר דדבר שיכול לעשות בלא נר כגון להוציא יין מן החבית מותר להשתמש לאור אותו הנר</w:t>
      </w:r>
      <w:r>
        <w:rPr>
          <w:rFonts w:cs="Arial" w:hint="cs"/>
          <w:sz w:val="16"/>
          <w:szCs w:val="16"/>
          <w:rtl/>
        </w:rPr>
        <w:t xml:space="preserve"> (ל' ההגמ"ר [סי' תנב])</w:t>
      </w:r>
      <w:r>
        <w:rPr>
          <w:rStyle w:val="a9"/>
          <w:rFonts w:cs="Arial"/>
          <w:rtl/>
        </w:rPr>
        <w:footnoteReference w:id="681"/>
      </w:r>
      <w:r>
        <w:rPr>
          <w:rFonts w:cs="Arial" w:hint="cs"/>
          <w:rtl/>
        </w:rPr>
        <w:t>.</w:t>
      </w:r>
    </w:p>
    <w:p w14:paraId="0BCE11E5"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B912FDE" w14:textId="77777777" w:rsidR="004B2E7C" w:rsidRDefault="004B2E7C" w:rsidP="00434A6A">
      <w:pPr>
        <w:rPr>
          <w:rFonts w:asciiTheme="minorBidi" w:hAnsiTheme="minorBidi"/>
          <w:rtl/>
        </w:rPr>
      </w:pPr>
      <w:r w:rsidRPr="00CC2350">
        <w:rPr>
          <w:rFonts w:asciiTheme="minorBidi" w:hAnsiTheme="minorBidi" w:cs="Arial"/>
          <w:rtl/>
        </w:rPr>
        <w:t xml:space="preserve">אין עושין פתילה לנר של שבת, בין נר שעל השלחן בין כל נר שמדליק בבית, מדבר שהאור אינו נאחז בו אלא נסרך סביביו והשלהבת קופצת כגון: צמר ושער וכיוצא בהם, אלא מדבר שהאור נתלה בו כגון: פשתה נפוצה ובגד שש וצמר גפן וקנבוס וכיוצא בהן. </w:t>
      </w:r>
      <w:r w:rsidRPr="00EB4111">
        <w:rPr>
          <w:rFonts w:asciiTheme="minorBidi" w:hAnsiTheme="minorBidi" w:cs="Arial"/>
          <w:sz w:val="18"/>
          <w:szCs w:val="18"/>
          <w:rtl/>
        </w:rPr>
        <w:t>הגה: ואם הדליק בדברים האסורים, אסור להשתמש לאורו</w:t>
      </w:r>
      <w:r>
        <w:rPr>
          <w:rStyle w:val="a9"/>
          <w:rFonts w:asciiTheme="minorBidi" w:hAnsiTheme="minorBidi" w:cs="Arial"/>
          <w:sz w:val="18"/>
          <w:szCs w:val="18"/>
          <w:rtl/>
        </w:rPr>
        <w:footnoteReference w:id="682"/>
      </w:r>
      <w:r w:rsidRPr="00EB4111">
        <w:rPr>
          <w:rFonts w:asciiTheme="minorBidi" w:hAnsiTheme="minorBidi" w:cs="Arial"/>
          <w:sz w:val="18"/>
          <w:szCs w:val="18"/>
          <w:rtl/>
        </w:rPr>
        <w:t xml:space="preserve"> (רשב"א סי' קעא). וי"א דאם יש נר אחד מדברים המותרים, מותר להשתמש לאור האחרים</w:t>
      </w:r>
      <w:r>
        <w:rPr>
          <w:rStyle w:val="a9"/>
          <w:rFonts w:asciiTheme="minorBidi" w:hAnsiTheme="minorBidi" w:cs="Arial"/>
          <w:sz w:val="18"/>
          <w:szCs w:val="18"/>
          <w:rtl/>
        </w:rPr>
        <w:footnoteReference w:id="683"/>
      </w:r>
      <w:r w:rsidRPr="00EB4111">
        <w:rPr>
          <w:rFonts w:asciiTheme="minorBidi" w:hAnsiTheme="minorBidi" w:cs="Arial"/>
          <w:sz w:val="18"/>
          <w:szCs w:val="18"/>
          <w:rtl/>
        </w:rPr>
        <w:t>. וכן דבר שאפשר בלא נר, מותר לעשות אפילו אצל נרות האחרים</w:t>
      </w:r>
      <w:r>
        <w:rPr>
          <w:rStyle w:val="a9"/>
          <w:rFonts w:asciiTheme="minorBidi" w:hAnsiTheme="minorBidi" w:cs="Arial"/>
          <w:sz w:val="18"/>
          <w:szCs w:val="18"/>
          <w:rtl/>
        </w:rPr>
        <w:footnoteReference w:id="684"/>
      </w:r>
      <w:r>
        <w:rPr>
          <w:rFonts w:asciiTheme="minorBidi" w:hAnsiTheme="minorBidi" w:cs="Arial" w:hint="cs"/>
          <w:sz w:val="18"/>
          <w:szCs w:val="18"/>
          <w:rtl/>
        </w:rPr>
        <w:t>.</w:t>
      </w:r>
      <w:r w:rsidRPr="00EB4111">
        <w:rPr>
          <w:rFonts w:asciiTheme="minorBidi" w:hAnsiTheme="minorBidi" w:cs="Arial"/>
          <w:sz w:val="18"/>
          <w:szCs w:val="18"/>
          <w:rtl/>
        </w:rPr>
        <w:t xml:space="preserve"> ולצורך שבת יש להקל בדיעבד</w:t>
      </w:r>
      <w:r>
        <w:rPr>
          <w:rStyle w:val="a9"/>
          <w:rFonts w:asciiTheme="minorBidi" w:hAnsiTheme="minorBidi" w:cs="Arial"/>
          <w:sz w:val="18"/>
          <w:szCs w:val="18"/>
          <w:rtl/>
        </w:rPr>
        <w:footnoteReference w:id="685"/>
      </w:r>
      <w:r w:rsidRPr="00EB4111">
        <w:rPr>
          <w:rFonts w:asciiTheme="minorBidi" w:hAnsiTheme="minorBidi" w:cs="Arial"/>
          <w:sz w:val="18"/>
          <w:szCs w:val="18"/>
          <w:rtl/>
        </w:rPr>
        <w:t xml:space="preserve"> (הגמ</w:t>
      </w:r>
      <w:r>
        <w:rPr>
          <w:rFonts w:asciiTheme="minorBidi" w:hAnsiTheme="minorBidi" w:cs="Arial" w:hint="cs"/>
          <w:sz w:val="18"/>
          <w:szCs w:val="18"/>
          <w:rtl/>
        </w:rPr>
        <w:t>"</w:t>
      </w:r>
      <w:r w:rsidRPr="00EB4111">
        <w:rPr>
          <w:rFonts w:asciiTheme="minorBidi" w:hAnsiTheme="minorBidi" w:cs="Arial"/>
          <w:sz w:val="18"/>
          <w:szCs w:val="18"/>
          <w:rtl/>
        </w:rPr>
        <w:t xml:space="preserve">ר פ"ק ופ"ב דשבת). </w:t>
      </w:r>
    </w:p>
    <w:p w14:paraId="0BE641E6" w14:textId="77777777" w:rsidR="004B2E7C" w:rsidRPr="00CC2350" w:rsidRDefault="004B2E7C" w:rsidP="00434A6A">
      <w:pPr>
        <w:rPr>
          <w:rFonts w:asciiTheme="minorBidi" w:hAnsiTheme="minorBidi"/>
          <w:rtl/>
        </w:rPr>
      </w:pPr>
    </w:p>
    <w:p w14:paraId="1B7ADDE9" w14:textId="77777777" w:rsidR="004B2E7C" w:rsidRDefault="004B2E7C" w:rsidP="00434A6A">
      <w:pPr>
        <w:pStyle w:val="2"/>
        <w:rPr>
          <w:rtl/>
        </w:rPr>
      </w:pPr>
      <w:r w:rsidRPr="00CC2350">
        <w:rPr>
          <w:rtl/>
        </w:rPr>
        <w:t>סעיף ב</w:t>
      </w:r>
      <w:r>
        <w:rPr>
          <w:rFonts w:hint="cs"/>
          <w:rtl/>
        </w:rPr>
        <w:t>:</w:t>
      </w:r>
      <w:r w:rsidRPr="001A5812">
        <w:rPr>
          <w:rtl/>
        </w:rPr>
        <w:t xml:space="preserve"> </w:t>
      </w:r>
      <w:r w:rsidRPr="001D2D8A">
        <w:rPr>
          <w:rtl/>
        </w:rPr>
        <w:t>כרך דבר שמדליקין בו על דבר שאין מדליקין</w:t>
      </w:r>
      <w:r>
        <w:rPr>
          <w:rFonts w:hint="cs"/>
          <w:rtl/>
        </w:rPr>
        <w:t>.</w:t>
      </w:r>
    </w:p>
    <w:p w14:paraId="53A006D0" w14:textId="77777777" w:rsidR="004B2E7C" w:rsidRDefault="004B2E7C" w:rsidP="00434A6A">
      <w:pPr>
        <w:rPr>
          <w:rFonts w:cs="Arial"/>
          <w:rtl/>
        </w:rPr>
      </w:pPr>
      <w:r w:rsidRPr="00565331">
        <w:rPr>
          <w:rFonts w:cs="Arial" w:hint="cs"/>
          <w:b/>
          <w:bCs/>
          <w:rtl/>
        </w:rPr>
        <w:t xml:space="preserve">שבת </w:t>
      </w:r>
      <w:r w:rsidRPr="00762875">
        <w:rPr>
          <w:rFonts w:cs="Arial" w:hint="cs"/>
          <w:b/>
          <w:bCs/>
          <w:sz w:val="16"/>
          <w:szCs w:val="16"/>
          <w:rtl/>
        </w:rPr>
        <w:t>(</w:t>
      </w:r>
      <w:r>
        <w:rPr>
          <w:rFonts w:cs="Arial" w:hint="cs"/>
          <w:b/>
          <w:bCs/>
          <w:sz w:val="16"/>
          <w:szCs w:val="16"/>
          <w:rtl/>
        </w:rPr>
        <w:t>ר"</w:t>
      </w:r>
      <w:r w:rsidRPr="00762875">
        <w:rPr>
          <w:rFonts w:cs="Arial" w:hint="cs"/>
          <w:b/>
          <w:bCs/>
          <w:sz w:val="16"/>
          <w:szCs w:val="16"/>
          <w:rtl/>
        </w:rPr>
        <w:t xml:space="preserve">פ </w:t>
      </w:r>
      <w:r>
        <w:rPr>
          <w:rFonts w:cs="Arial" w:hint="cs"/>
          <w:b/>
          <w:bCs/>
          <w:sz w:val="16"/>
          <w:szCs w:val="16"/>
          <w:rtl/>
        </w:rPr>
        <w:t>במה מדליקין</w:t>
      </w:r>
      <w:r w:rsidRPr="00762875">
        <w:rPr>
          <w:rFonts w:cs="Arial" w:hint="cs"/>
          <w:b/>
          <w:bCs/>
          <w:sz w:val="16"/>
          <w:szCs w:val="16"/>
          <w:rtl/>
        </w:rPr>
        <w:t xml:space="preserve">) </w:t>
      </w:r>
      <w:r>
        <w:rPr>
          <w:rFonts w:cs="Arial" w:hint="cs"/>
          <w:b/>
          <w:bCs/>
          <w:rtl/>
        </w:rPr>
        <w:t>כא</w:t>
      </w:r>
      <w:r w:rsidRPr="00565331">
        <w:rPr>
          <w:rFonts w:cs="Arial" w:hint="cs"/>
          <w:b/>
          <w:bCs/>
          <w:rtl/>
        </w:rPr>
        <w:t xml:space="preserve"> ע"</w:t>
      </w:r>
      <w:r>
        <w:rPr>
          <w:rFonts w:cs="Arial" w:hint="cs"/>
          <w:b/>
          <w:bCs/>
          <w:rtl/>
        </w:rPr>
        <w:t>א</w:t>
      </w:r>
      <w:r w:rsidRPr="00565331">
        <w:rPr>
          <w:rFonts w:cs="Arial" w:hint="cs"/>
          <w:b/>
          <w:bCs/>
          <w:rtl/>
        </w:rPr>
        <w:t>:</w:t>
      </w:r>
      <w:r>
        <w:rPr>
          <w:rFonts w:cs="Arial" w:hint="cs"/>
          <w:rtl/>
        </w:rPr>
        <w:t xml:space="preserve"> </w:t>
      </w:r>
      <w:r w:rsidRPr="001A5D8F">
        <w:rPr>
          <w:rFonts w:cs="Arial"/>
          <w:rtl/>
        </w:rPr>
        <w:t xml:space="preserve">כולה רבן שמעון בן גמליאל היא, וחסורי מיחסרא והכי קתני: כרך דבר שמדליקין בו על גבי דבר שאין מדליקין בו - אין מדליקין בו. במה דברים אמורים - להדליק, אבל להקפות - מותר, שרבן שמעון בן גמליאל אומר: של בית אבא היו כורכין פתילה על גבי אגוז.  </w:t>
      </w:r>
    </w:p>
    <w:p w14:paraId="3D324B3B" w14:textId="77777777" w:rsidR="004B2E7C" w:rsidRDefault="004B2E7C" w:rsidP="00434A6A">
      <w:pPr>
        <w:rPr>
          <w:rFonts w:cs="Arial"/>
          <w:rtl/>
        </w:rPr>
      </w:pPr>
      <w:r w:rsidRPr="00385104">
        <w:rPr>
          <w:rFonts w:hint="cs"/>
          <w:u w:val="single"/>
          <w:rtl/>
        </w:rPr>
        <w:t>בפירוש המילה להקפות נחלקו הראשונים</w:t>
      </w:r>
      <w:r>
        <w:rPr>
          <w:rFonts w:hint="cs"/>
          <w:rtl/>
        </w:rPr>
        <w:t>:</w:t>
      </w:r>
    </w:p>
    <w:p w14:paraId="4D7CDEF7" w14:textId="77777777" w:rsidR="004B2E7C" w:rsidRDefault="004B2E7C" w:rsidP="00FF2D21">
      <w:pPr>
        <w:pStyle w:val="aa"/>
        <w:numPr>
          <w:ilvl w:val="0"/>
          <w:numId w:val="91"/>
        </w:numPr>
        <w:rPr>
          <w:rFonts w:cs="Arial"/>
        </w:rPr>
      </w:pPr>
      <w:r>
        <w:rPr>
          <w:rFonts w:cs="Arial"/>
          <w:rtl/>
        </w:rPr>
        <w:t xml:space="preserve">רש"י </w:t>
      </w:r>
      <w:r w:rsidRPr="00385104">
        <w:rPr>
          <w:rFonts w:cs="Arial" w:hint="cs"/>
          <w:sz w:val="16"/>
          <w:szCs w:val="16"/>
          <w:rtl/>
        </w:rPr>
        <w:t xml:space="preserve">(שם ד"ה </w:t>
      </w:r>
      <w:r w:rsidRPr="00385104">
        <w:rPr>
          <w:rFonts w:cs="Arial"/>
          <w:sz w:val="16"/>
          <w:szCs w:val="16"/>
          <w:rtl/>
        </w:rPr>
        <w:t>להקפות</w:t>
      </w:r>
      <w:r w:rsidRPr="00385104">
        <w:rPr>
          <w:rFonts w:cs="Arial" w:hint="cs"/>
          <w:sz w:val="16"/>
          <w:szCs w:val="16"/>
          <w:rtl/>
        </w:rPr>
        <w:t>)</w:t>
      </w:r>
      <w:r>
        <w:rPr>
          <w:rFonts w:cs="Arial" w:hint="cs"/>
          <w:rtl/>
        </w:rPr>
        <w:t>-</w:t>
      </w:r>
      <w:r>
        <w:rPr>
          <w:rFonts w:cs="Arial"/>
          <w:rtl/>
        </w:rPr>
        <w:t xml:space="preserve"> לא היה מדליקו אלא סומך עליו הפתילה להציפה שלא תטבע בשמן</w:t>
      </w:r>
      <w:r>
        <w:rPr>
          <w:rFonts w:cs="Arial" w:hint="cs"/>
          <w:rtl/>
        </w:rPr>
        <w:t>.</w:t>
      </w:r>
      <w:r>
        <w:rPr>
          <w:rFonts w:cs="Arial"/>
          <w:rtl/>
        </w:rPr>
        <w:t xml:space="preserve"> ויצף הברזל </w:t>
      </w:r>
      <w:r w:rsidRPr="007F6AAB">
        <w:rPr>
          <w:rFonts w:cs="Arial"/>
          <w:sz w:val="16"/>
          <w:szCs w:val="16"/>
          <w:rtl/>
        </w:rPr>
        <w:t xml:space="preserve">(מלכים ב ו ו) </w:t>
      </w:r>
      <w:r>
        <w:rPr>
          <w:rFonts w:cs="Arial"/>
          <w:rtl/>
        </w:rPr>
        <w:t>מתרגמינן וקפא פרזלא.</w:t>
      </w:r>
    </w:p>
    <w:p w14:paraId="4A827CFA" w14:textId="77777777" w:rsidR="004B2E7C" w:rsidRDefault="004B2E7C" w:rsidP="00FF2D21">
      <w:pPr>
        <w:pStyle w:val="aa"/>
        <w:numPr>
          <w:ilvl w:val="0"/>
          <w:numId w:val="91"/>
        </w:numPr>
        <w:rPr>
          <w:rFonts w:cs="Arial"/>
        </w:rPr>
      </w:pPr>
      <w:r>
        <w:rPr>
          <w:rFonts w:cs="Arial"/>
          <w:rtl/>
        </w:rPr>
        <w:t xml:space="preserve">רי"ף </w:t>
      </w:r>
      <w:r w:rsidRPr="00385104">
        <w:rPr>
          <w:rFonts w:cs="Arial"/>
          <w:sz w:val="16"/>
          <w:szCs w:val="16"/>
          <w:rtl/>
        </w:rPr>
        <w:t>(</w:t>
      </w:r>
      <w:r>
        <w:rPr>
          <w:rFonts w:cs="Arial" w:hint="cs"/>
          <w:sz w:val="16"/>
          <w:szCs w:val="16"/>
          <w:rtl/>
        </w:rPr>
        <w:t>[</w:t>
      </w:r>
      <w:r w:rsidRPr="00385104">
        <w:rPr>
          <w:rFonts w:cs="Arial"/>
          <w:sz w:val="16"/>
          <w:szCs w:val="16"/>
          <w:rtl/>
        </w:rPr>
        <w:t>ט.</w:t>
      </w:r>
      <w:r>
        <w:rPr>
          <w:rFonts w:cs="Arial" w:hint="cs"/>
          <w:sz w:val="16"/>
          <w:szCs w:val="16"/>
          <w:rtl/>
        </w:rPr>
        <w:t>] לגירסתנו, וכך הייתה גירסת הר"ן והב"י</w:t>
      </w:r>
      <w:r w:rsidRPr="00385104">
        <w:rPr>
          <w:rFonts w:cs="Arial"/>
          <w:sz w:val="16"/>
          <w:szCs w:val="16"/>
          <w:rtl/>
        </w:rPr>
        <w:t>)</w:t>
      </w:r>
      <w:r>
        <w:rPr>
          <w:rFonts w:cs="Arial" w:hint="cs"/>
          <w:rtl/>
        </w:rPr>
        <w:t>-</w:t>
      </w:r>
      <w:r>
        <w:rPr>
          <w:rFonts w:cs="Arial"/>
          <w:rtl/>
        </w:rPr>
        <w:t xml:space="preserve"> </w:t>
      </w:r>
      <w:r>
        <w:rPr>
          <w:rFonts w:cs="Arial" w:hint="cs"/>
          <w:rtl/>
        </w:rPr>
        <w:t>'</w:t>
      </w:r>
      <w:r w:rsidRPr="00385104">
        <w:rPr>
          <w:rFonts w:cs="Arial"/>
          <w:rtl/>
        </w:rPr>
        <w:t>להקפות</w:t>
      </w:r>
      <w:r>
        <w:rPr>
          <w:rFonts w:cs="Arial" w:hint="cs"/>
          <w:rtl/>
        </w:rPr>
        <w:t>',</w:t>
      </w:r>
      <w:r w:rsidRPr="00385104">
        <w:rPr>
          <w:rFonts w:cs="Arial"/>
          <w:rtl/>
        </w:rPr>
        <w:t xml:space="preserve"> להעבות ראש הפתילה להרבות אורה</w:t>
      </w:r>
      <w:r>
        <w:rPr>
          <w:rStyle w:val="a9"/>
          <w:rFonts w:cs="Arial"/>
          <w:rtl/>
        </w:rPr>
        <w:footnoteReference w:id="686"/>
      </w:r>
      <w:r>
        <w:rPr>
          <w:rFonts w:hint="cs"/>
          <w:rtl/>
        </w:rPr>
        <w:t>.</w:t>
      </w:r>
    </w:p>
    <w:p w14:paraId="0B015518" w14:textId="77777777" w:rsidR="004B2E7C" w:rsidRPr="00FA0055" w:rsidRDefault="004B2E7C" w:rsidP="00FF2D21">
      <w:pPr>
        <w:pStyle w:val="aa"/>
        <w:numPr>
          <w:ilvl w:val="0"/>
          <w:numId w:val="91"/>
        </w:numPr>
        <w:rPr>
          <w:rFonts w:cs="Arial"/>
          <w:rtl/>
        </w:rPr>
      </w:pPr>
      <w:r>
        <w:rPr>
          <w:rFonts w:cs="Arial"/>
          <w:rtl/>
        </w:rPr>
        <w:t xml:space="preserve">רי"ף </w:t>
      </w:r>
      <w:r w:rsidRPr="00385104">
        <w:rPr>
          <w:rFonts w:cs="Arial"/>
          <w:sz w:val="16"/>
          <w:szCs w:val="16"/>
          <w:rtl/>
        </w:rPr>
        <w:t>(</w:t>
      </w:r>
      <w:r>
        <w:rPr>
          <w:rFonts w:cs="Arial" w:hint="cs"/>
          <w:sz w:val="16"/>
          <w:szCs w:val="16"/>
          <w:rtl/>
        </w:rPr>
        <w:t>[</w:t>
      </w:r>
      <w:r w:rsidRPr="00385104">
        <w:rPr>
          <w:rFonts w:cs="Arial"/>
          <w:sz w:val="16"/>
          <w:szCs w:val="16"/>
          <w:rtl/>
        </w:rPr>
        <w:t>ט.</w:t>
      </w:r>
      <w:r>
        <w:rPr>
          <w:rFonts w:cs="Arial" w:hint="cs"/>
          <w:sz w:val="16"/>
          <w:szCs w:val="16"/>
          <w:rtl/>
        </w:rPr>
        <w:t>] לגירסת הה"מ [פ"ה ה"ו]</w:t>
      </w:r>
      <w:r w:rsidRPr="00385104">
        <w:rPr>
          <w:rFonts w:cs="Arial"/>
          <w:sz w:val="16"/>
          <w:szCs w:val="16"/>
          <w:rtl/>
        </w:rPr>
        <w:t>)</w:t>
      </w:r>
      <w:r w:rsidRPr="00BE4E5D">
        <w:rPr>
          <w:rFonts w:cs="Arial"/>
          <w:rtl/>
        </w:rPr>
        <w:t xml:space="preserve"> </w:t>
      </w:r>
      <w:r w:rsidRPr="00A3045A">
        <w:rPr>
          <w:rFonts w:cs="Arial"/>
          <w:rtl/>
        </w:rPr>
        <w:t>רמב"ם</w:t>
      </w:r>
      <w:r>
        <w:rPr>
          <w:rStyle w:val="a9"/>
          <w:rFonts w:cs="Arial"/>
          <w:rtl/>
        </w:rPr>
        <w:footnoteReference w:id="687"/>
      </w:r>
      <w:r>
        <w:rPr>
          <w:rFonts w:cs="Arial" w:hint="cs"/>
          <w:sz w:val="16"/>
          <w:szCs w:val="16"/>
          <w:rtl/>
        </w:rPr>
        <w:t>(פ"ה ה"ו)</w:t>
      </w:r>
      <w:r>
        <w:rPr>
          <w:rFonts w:cs="Arial" w:hint="cs"/>
          <w:rtl/>
        </w:rPr>
        <w:t xml:space="preserve"> </w:t>
      </w:r>
      <w:r w:rsidRPr="00A3045A">
        <w:rPr>
          <w:rFonts w:cs="Arial"/>
          <w:rtl/>
        </w:rPr>
        <w:t xml:space="preserve">סמ"ג </w:t>
      </w:r>
      <w:r w:rsidRPr="00BE4E5D">
        <w:rPr>
          <w:rFonts w:cs="Arial"/>
          <w:sz w:val="16"/>
          <w:szCs w:val="16"/>
          <w:rtl/>
        </w:rPr>
        <w:t>(ל"ת סה, טז ע"ב)</w:t>
      </w:r>
      <w:r>
        <w:rPr>
          <w:rFonts w:cs="Arial" w:hint="cs"/>
          <w:rtl/>
        </w:rPr>
        <w:t xml:space="preserve"> ורא"ש</w:t>
      </w:r>
      <w:r>
        <w:rPr>
          <w:rFonts w:cs="Arial" w:hint="cs"/>
          <w:sz w:val="16"/>
          <w:szCs w:val="16"/>
          <w:rtl/>
        </w:rPr>
        <w:t xml:space="preserve"> (סי' ב, כ"כ הטור בשמו)</w:t>
      </w:r>
      <w:r>
        <w:rPr>
          <w:rFonts w:cs="Arial" w:hint="cs"/>
          <w:rtl/>
        </w:rPr>
        <w:t>-</w:t>
      </w:r>
      <w:r w:rsidRPr="00A3045A">
        <w:rPr>
          <w:rFonts w:cs="Arial"/>
          <w:rtl/>
        </w:rPr>
        <w:t xml:space="preserve"> </w:t>
      </w:r>
      <w:r>
        <w:rPr>
          <w:rFonts w:cs="Arial" w:hint="cs"/>
          <w:rtl/>
        </w:rPr>
        <w:t>'</w:t>
      </w:r>
      <w:r>
        <w:rPr>
          <w:rFonts w:cs="Arial"/>
          <w:rtl/>
        </w:rPr>
        <w:t>להדליק</w:t>
      </w:r>
      <w:r>
        <w:rPr>
          <w:rFonts w:cs="Arial" w:hint="cs"/>
          <w:rtl/>
        </w:rPr>
        <w:t>'</w:t>
      </w:r>
      <w:r>
        <w:rPr>
          <w:rFonts w:cs="Arial"/>
          <w:rtl/>
        </w:rPr>
        <w:t>, להעבות הפתילה כדי להוסיף אורה</w:t>
      </w:r>
      <w:r>
        <w:rPr>
          <w:rFonts w:cs="Arial" w:hint="cs"/>
          <w:rtl/>
        </w:rPr>
        <w:t>.</w:t>
      </w:r>
      <w:r>
        <w:rPr>
          <w:rFonts w:cs="Arial"/>
          <w:rtl/>
        </w:rPr>
        <w:t xml:space="preserve"> </w:t>
      </w:r>
      <w:r>
        <w:rPr>
          <w:rFonts w:cs="Arial" w:hint="cs"/>
          <w:rtl/>
        </w:rPr>
        <w:t>'</w:t>
      </w:r>
      <w:r>
        <w:rPr>
          <w:rFonts w:cs="Arial"/>
          <w:rtl/>
        </w:rPr>
        <w:t>להקפות</w:t>
      </w:r>
      <w:r>
        <w:rPr>
          <w:rFonts w:cs="Arial" w:hint="cs"/>
          <w:rtl/>
        </w:rPr>
        <w:t>',</w:t>
      </w:r>
      <w:r>
        <w:rPr>
          <w:rFonts w:cs="Arial"/>
          <w:rtl/>
        </w:rPr>
        <w:t xml:space="preserve"> להקשות הפתילה</w:t>
      </w:r>
      <w:r>
        <w:rPr>
          <w:rStyle w:val="a9"/>
          <w:rtl/>
        </w:rPr>
        <w:footnoteReference w:id="688"/>
      </w:r>
      <w:r>
        <w:rPr>
          <w:rFonts w:hint="cs"/>
          <w:rtl/>
        </w:rPr>
        <w:t>.</w:t>
      </w:r>
      <w:r>
        <w:rPr>
          <w:rFonts w:cs="Arial" w:hint="cs"/>
          <w:color w:val="E36C0A" w:themeColor="accent6" w:themeShade="BF"/>
          <w:rtl/>
        </w:rPr>
        <w:t xml:space="preserve"> </w:t>
      </w:r>
      <w:r w:rsidRPr="00C713E9">
        <w:rPr>
          <w:rFonts w:cs="Arial" w:hint="cs"/>
          <w:color w:val="E36C0A" w:themeColor="accent6" w:themeShade="BF"/>
          <w:rtl/>
        </w:rPr>
        <w:t>(וכ"פ בשו"ע)</w:t>
      </w:r>
    </w:p>
    <w:p w14:paraId="4D2A3E21" w14:textId="77777777" w:rsidR="004B2E7C" w:rsidRPr="001A5812" w:rsidRDefault="004B2E7C" w:rsidP="00434A6A">
      <w:pPr>
        <w:rPr>
          <w:u w:val="single"/>
          <w:rtl/>
        </w:rPr>
      </w:pPr>
      <w:r>
        <w:rPr>
          <w:rFonts w:cs="Arial" w:hint="cs"/>
          <w:u w:val="single"/>
          <w:rtl/>
        </w:rPr>
        <w:t xml:space="preserve">למעשה - </w:t>
      </w:r>
      <w:r w:rsidRPr="001A5812">
        <w:rPr>
          <w:rFonts w:cs="Arial"/>
          <w:u w:val="single"/>
          <w:rtl/>
        </w:rPr>
        <w:t>כרך דבר שמדליקין בו על דבר שאין מדליקין</w:t>
      </w:r>
      <w:r w:rsidRPr="001A5812">
        <w:rPr>
          <w:rFonts w:hint="cs"/>
          <w:u w:val="single"/>
          <w:rtl/>
        </w:rPr>
        <w:t>:</w:t>
      </w:r>
    </w:p>
    <w:p w14:paraId="689E4B9B" w14:textId="77777777" w:rsidR="004B2E7C" w:rsidRDefault="004B2E7C" w:rsidP="00FF2D21">
      <w:pPr>
        <w:pStyle w:val="aa"/>
        <w:numPr>
          <w:ilvl w:val="0"/>
          <w:numId w:val="90"/>
        </w:numPr>
      </w:pPr>
      <w:r>
        <w:rPr>
          <w:rFonts w:cs="Arial" w:hint="cs"/>
          <w:rtl/>
        </w:rPr>
        <w:t xml:space="preserve">טור- </w:t>
      </w:r>
      <w:r w:rsidRPr="001D2D8A">
        <w:rPr>
          <w:rFonts w:cs="Arial"/>
          <w:rtl/>
        </w:rPr>
        <w:t>אם כרך דבר שמדליקין בו על דבר שאין מדליקין בו</w:t>
      </w:r>
      <w:r>
        <w:rPr>
          <w:rFonts w:cs="Arial" w:hint="cs"/>
          <w:rtl/>
        </w:rPr>
        <w:t>,</w:t>
      </w:r>
      <w:r w:rsidRPr="001D2D8A">
        <w:rPr>
          <w:rFonts w:cs="Arial"/>
          <w:rtl/>
        </w:rPr>
        <w:t xml:space="preserve"> אם כיון להדליק</w:t>
      </w:r>
      <w:r>
        <w:rPr>
          <w:rStyle w:val="a9"/>
          <w:rFonts w:cs="Arial"/>
          <w:rtl/>
        </w:rPr>
        <w:footnoteReference w:id="689"/>
      </w:r>
      <w:r w:rsidRPr="001D2D8A">
        <w:rPr>
          <w:rFonts w:cs="Arial"/>
          <w:rtl/>
        </w:rPr>
        <w:t xml:space="preserve"> </w:t>
      </w:r>
      <w:r>
        <w:rPr>
          <w:rFonts w:cs="Arial" w:hint="cs"/>
          <w:rtl/>
        </w:rPr>
        <w:t xml:space="preserve">- </w:t>
      </w:r>
      <w:r w:rsidRPr="001D2D8A">
        <w:rPr>
          <w:rFonts w:cs="Arial"/>
          <w:rtl/>
        </w:rPr>
        <w:t>אסור</w:t>
      </w:r>
      <w:r>
        <w:rPr>
          <w:rFonts w:cs="Arial" w:hint="cs"/>
          <w:rtl/>
        </w:rPr>
        <w:t>,</w:t>
      </w:r>
      <w:r w:rsidRPr="001D2D8A">
        <w:rPr>
          <w:rFonts w:cs="Arial"/>
          <w:rtl/>
        </w:rPr>
        <w:t xml:space="preserve"> להקפות</w:t>
      </w:r>
      <w:r>
        <w:rPr>
          <w:rFonts w:cs="Arial" w:hint="cs"/>
          <w:rtl/>
        </w:rPr>
        <w:t xml:space="preserve"> -</w:t>
      </w:r>
      <w:r w:rsidRPr="001D2D8A">
        <w:rPr>
          <w:rFonts w:cs="Arial"/>
          <w:rtl/>
        </w:rPr>
        <w:t xml:space="preserve"> שרי</w:t>
      </w:r>
      <w:r>
        <w:rPr>
          <w:rFonts w:cs="Arial" w:hint="cs"/>
          <w:rtl/>
        </w:rPr>
        <w:t>.</w:t>
      </w:r>
      <w:r w:rsidRPr="001D2D8A">
        <w:rPr>
          <w:rFonts w:cs="Arial"/>
          <w:rtl/>
        </w:rPr>
        <w:t xml:space="preserve"> </w:t>
      </w:r>
      <w:r w:rsidRPr="00FA0055">
        <w:rPr>
          <w:rFonts w:cs="Arial"/>
          <w:rtl/>
        </w:rPr>
        <w:t>ופירש"י שלא כרכו סביבו אלא נתן דבר פסול תחת הפתילה שתהא צפה שלא תטבע בשמן</w:t>
      </w:r>
      <w:r w:rsidRPr="00FA0055">
        <w:rPr>
          <w:rFonts w:cs="Arial" w:hint="cs"/>
          <w:rtl/>
        </w:rPr>
        <w:t>.</w:t>
      </w:r>
      <w:r w:rsidRPr="00FA0055">
        <w:rPr>
          <w:rFonts w:cs="Arial"/>
          <w:rtl/>
        </w:rPr>
        <w:t xml:space="preserve"> ורב אלפס פי' אפילו כרכו סביבו שרי</w:t>
      </w:r>
      <w:r w:rsidRPr="00FA0055">
        <w:rPr>
          <w:rFonts w:cs="Arial" w:hint="cs"/>
          <w:rtl/>
        </w:rPr>
        <w:t>.</w:t>
      </w:r>
      <w:r w:rsidRPr="00FA0055">
        <w:rPr>
          <w:rFonts w:cs="Arial"/>
          <w:rtl/>
        </w:rPr>
        <w:t xml:space="preserve"> וכן פי' א"א ז"ל</w:t>
      </w:r>
      <w:r w:rsidRPr="00FA0055">
        <w:rPr>
          <w:rFonts w:cs="Arial" w:hint="cs"/>
          <w:rtl/>
        </w:rPr>
        <w:t>.</w:t>
      </w:r>
      <w:r w:rsidRPr="00FA0055">
        <w:rPr>
          <w:rFonts w:cs="Arial"/>
          <w:rtl/>
        </w:rPr>
        <w:t xml:space="preserve"> והטעם שתלוי בכוונתו</w:t>
      </w:r>
      <w:r w:rsidRPr="00FA0055">
        <w:rPr>
          <w:rFonts w:cs="Arial" w:hint="cs"/>
          <w:rtl/>
        </w:rPr>
        <w:t>,</w:t>
      </w:r>
      <w:r w:rsidRPr="00FA0055">
        <w:rPr>
          <w:rFonts w:cs="Arial"/>
          <w:rtl/>
        </w:rPr>
        <w:t xml:space="preserve"> שאין אסור אלא דילמא מדליק בעיניה</w:t>
      </w:r>
      <w:r w:rsidRPr="00FA0055">
        <w:rPr>
          <w:rFonts w:cs="Arial" w:hint="cs"/>
          <w:rtl/>
        </w:rPr>
        <w:t>,</w:t>
      </w:r>
      <w:r w:rsidRPr="00FA0055">
        <w:rPr>
          <w:rFonts w:cs="Arial"/>
          <w:rtl/>
        </w:rPr>
        <w:t xml:space="preserve"> וכשהוא מכוין לפתילה איכא למגזר</w:t>
      </w:r>
      <w:r w:rsidRPr="00FA0055">
        <w:rPr>
          <w:rFonts w:cs="Arial" w:hint="cs"/>
          <w:rtl/>
        </w:rPr>
        <w:t>,</w:t>
      </w:r>
      <w:r w:rsidRPr="00FA0055">
        <w:rPr>
          <w:rFonts w:cs="Arial"/>
          <w:rtl/>
        </w:rPr>
        <w:t xml:space="preserve"> אבל כשאין מכוין רק לעבות ליכא למגזר</w:t>
      </w:r>
      <w:r w:rsidRPr="00FA0055">
        <w:rPr>
          <w:rFonts w:cs="Arial" w:hint="cs"/>
          <w:rtl/>
        </w:rPr>
        <w:t>.</w:t>
      </w:r>
      <w:r w:rsidRPr="00FA0055">
        <w:rPr>
          <w:rFonts w:cs="Arial"/>
          <w:rtl/>
        </w:rPr>
        <w:t xml:space="preserve"> ומטעם זה מותר לתת גמי בפתילה כדי שתהא זקופה</w:t>
      </w:r>
      <w:r w:rsidRPr="00FA0055">
        <w:rPr>
          <w:rFonts w:cs="Arial" w:hint="cs"/>
          <w:rtl/>
        </w:rPr>
        <w:t>.</w:t>
      </w:r>
      <w:r w:rsidRPr="00FA0055">
        <w:rPr>
          <w:rFonts w:cs="Arial"/>
          <w:rtl/>
        </w:rPr>
        <w:t xml:space="preserve"> וכ"כ הרמב"ם ז"ל</w:t>
      </w:r>
      <w:r>
        <w:rPr>
          <w:rFonts w:cs="Arial" w:hint="cs"/>
          <w:rtl/>
        </w:rPr>
        <w:t xml:space="preserve"> </w:t>
      </w:r>
      <w:r>
        <w:rPr>
          <w:rFonts w:cs="Arial" w:hint="cs"/>
          <w:sz w:val="16"/>
          <w:szCs w:val="16"/>
          <w:rtl/>
        </w:rPr>
        <w:t>(פ"ה ה"ו)</w:t>
      </w:r>
      <w:r w:rsidRPr="00FA0055">
        <w:rPr>
          <w:rFonts w:cs="Arial" w:hint="cs"/>
          <w:rtl/>
        </w:rPr>
        <w:t>.</w:t>
      </w:r>
      <w:r w:rsidRPr="00FA0055">
        <w:rPr>
          <w:rFonts w:cs="Arial"/>
          <w:rtl/>
        </w:rPr>
        <w:t xml:space="preserve"> </w:t>
      </w:r>
    </w:p>
    <w:p w14:paraId="1BC76E6D" w14:textId="77777777" w:rsidR="004B2E7C" w:rsidRPr="00C713E9" w:rsidRDefault="004B2E7C" w:rsidP="00434A6A">
      <w:pPr>
        <w:ind w:left="360"/>
        <w:rPr>
          <w:u w:val="dotted"/>
        </w:rPr>
      </w:pPr>
      <w:r w:rsidRPr="00C713E9">
        <w:rPr>
          <w:rFonts w:hint="cs"/>
          <w:u w:val="dotted"/>
          <w:rtl/>
        </w:rPr>
        <w:t>ומה הדין אם הדבר שאין מדליקים בו אינו ראוי להדליק בפני עצמו:</w:t>
      </w:r>
    </w:p>
    <w:p w14:paraId="4CE3FB67" w14:textId="77777777" w:rsidR="004B2E7C" w:rsidRDefault="004B2E7C" w:rsidP="00FF2D21">
      <w:pPr>
        <w:pStyle w:val="aa"/>
        <w:numPr>
          <w:ilvl w:val="0"/>
          <w:numId w:val="90"/>
        </w:numPr>
      </w:pPr>
      <w:r w:rsidRPr="00A3045A">
        <w:rPr>
          <w:rFonts w:cs="Arial"/>
          <w:rtl/>
        </w:rPr>
        <w:t xml:space="preserve">רשב"א </w:t>
      </w:r>
      <w:r w:rsidRPr="00C713E9">
        <w:rPr>
          <w:rFonts w:cs="Arial"/>
          <w:sz w:val="16"/>
          <w:szCs w:val="16"/>
          <w:rtl/>
        </w:rPr>
        <w:t>(חי' כא. ד"ה מאי</w:t>
      </w:r>
      <w:r w:rsidRPr="00C713E9">
        <w:rPr>
          <w:rFonts w:cs="Arial" w:hint="cs"/>
          <w:sz w:val="16"/>
          <w:szCs w:val="16"/>
          <w:rtl/>
        </w:rPr>
        <w:t>,</w:t>
      </w:r>
      <w:r w:rsidRPr="00C713E9">
        <w:rPr>
          <w:rFonts w:cs="Arial"/>
          <w:sz w:val="16"/>
          <w:szCs w:val="16"/>
          <w:rtl/>
        </w:rPr>
        <w:t xml:space="preserve"> כ"כ הר"ן </w:t>
      </w:r>
      <w:r w:rsidRPr="00C713E9">
        <w:rPr>
          <w:rFonts w:cs="Arial" w:hint="cs"/>
          <w:sz w:val="16"/>
          <w:szCs w:val="16"/>
          <w:rtl/>
        </w:rPr>
        <w:t>[</w:t>
      </w:r>
      <w:r w:rsidRPr="00C713E9">
        <w:rPr>
          <w:rFonts w:cs="Arial"/>
          <w:sz w:val="16"/>
          <w:szCs w:val="16"/>
          <w:rtl/>
        </w:rPr>
        <w:t>ט. דיבור ראשון</w:t>
      </w:r>
      <w:r w:rsidRPr="00C713E9">
        <w:rPr>
          <w:rFonts w:cs="Arial" w:hint="cs"/>
          <w:sz w:val="16"/>
          <w:szCs w:val="16"/>
          <w:rtl/>
        </w:rPr>
        <w:t>] בשמו</w:t>
      </w:r>
      <w:r w:rsidRPr="00C713E9">
        <w:rPr>
          <w:rFonts w:cs="Arial"/>
          <w:sz w:val="16"/>
          <w:szCs w:val="16"/>
          <w:rtl/>
        </w:rPr>
        <w:t>)</w:t>
      </w:r>
      <w:r w:rsidRPr="00A3045A">
        <w:rPr>
          <w:rFonts w:cs="Arial"/>
          <w:rtl/>
        </w:rPr>
        <w:t xml:space="preserve"> </w:t>
      </w:r>
      <w:r>
        <w:rPr>
          <w:rFonts w:cs="Arial" w:hint="cs"/>
          <w:rtl/>
        </w:rPr>
        <w:t>ו</w:t>
      </w:r>
      <w:r w:rsidRPr="00A3045A">
        <w:rPr>
          <w:rFonts w:cs="Arial"/>
          <w:rtl/>
        </w:rPr>
        <w:t>ר</w:t>
      </w:r>
      <w:r>
        <w:rPr>
          <w:rFonts w:cs="Arial" w:hint="cs"/>
          <w:rtl/>
        </w:rPr>
        <w:t xml:space="preserve">י"ו </w:t>
      </w:r>
      <w:r w:rsidRPr="00C713E9">
        <w:rPr>
          <w:rFonts w:cs="Arial" w:hint="cs"/>
          <w:sz w:val="16"/>
          <w:szCs w:val="16"/>
          <w:rtl/>
        </w:rPr>
        <w:t>(</w:t>
      </w:r>
      <w:r w:rsidRPr="00C713E9">
        <w:rPr>
          <w:rFonts w:cs="Arial"/>
          <w:sz w:val="16"/>
          <w:szCs w:val="16"/>
          <w:rtl/>
        </w:rPr>
        <w:t>ח"ב סז ע"א)</w:t>
      </w:r>
      <w:r>
        <w:rPr>
          <w:rFonts w:cs="Arial" w:hint="cs"/>
          <w:rtl/>
        </w:rPr>
        <w:t xml:space="preserve">- </w:t>
      </w:r>
      <w:r w:rsidRPr="00A3045A">
        <w:rPr>
          <w:rFonts w:cs="Arial"/>
          <w:rtl/>
        </w:rPr>
        <w:t>מיהו אפילו לדעת רש"י יש להתיר בדבר שאינו ראוי להדליק בפני עצמו לכרוך עליו דבר שמדליקין בו כיון דליכא למיגזר ביה אטו בעיניה</w:t>
      </w:r>
      <w:r>
        <w:rPr>
          <w:rStyle w:val="a9"/>
          <w:rFonts w:cs="Arial"/>
          <w:rtl/>
        </w:rPr>
        <w:footnoteReference w:id="690"/>
      </w:r>
      <w:r>
        <w:rPr>
          <w:rFonts w:cs="Arial" w:hint="cs"/>
          <w:sz w:val="16"/>
          <w:szCs w:val="16"/>
          <w:rtl/>
        </w:rPr>
        <w:t xml:space="preserve"> (ל' הב"י)</w:t>
      </w:r>
      <w:r>
        <w:rPr>
          <w:rFonts w:cs="Arial" w:hint="cs"/>
          <w:rtl/>
        </w:rPr>
        <w:t xml:space="preserve">. </w:t>
      </w:r>
      <w:r w:rsidRPr="00C713E9">
        <w:rPr>
          <w:rFonts w:cs="Arial" w:hint="cs"/>
          <w:color w:val="E36C0A" w:themeColor="accent6" w:themeShade="BF"/>
          <w:rtl/>
        </w:rPr>
        <w:t>(וכ"פ בשו"ע)</w:t>
      </w:r>
    </w:p>
    <w:p w14:paraId="613073E9" w14:textId="77777777" w:rsidR="004B2E7C" w:rsidRDefault="004B2E7C" w:rsidP="00434A6A">
      <w:r>
        <w:rPr>
          <w:rFonts w:cs="Arial" w:hint="cs"/>
          <w:b/>
          <w:bCs/>
          <w:rtl/>
        </w:rPr>
        <w:t xml:space="preserve">תוספתא </w:t>
      </w:r>
      <w:r>
        <w:rPr>
          <w:rFonts w:cs="Arial" w:hint="cs"/>
          <w:b/>
          <w:bCs/>
          <w:sz w:val="16"/>
          <w:szCs w:val="16"/>
          <w:rtl/>
        </w:rPr>
        <w:t xml:space="preserve">(ליברמן) </w:t>
      </w:r>
      <w:r>
        <w:rPr>
          <w:rFonts w:cs="Arial" w:hint="cs"/>
          <w:b/>
          <w:bCs/>
          <w:rtl/>
        </w:rPr>
        <w:t xml:space="preserve">שבת פ"ב ה"ז: </w:t>
      </w:r>
      <w:r w:rsidRPr="00D235EC">
        <w:rPr>
          <w:rFonts w:cs="Arial"/>
          <w:rtl/>
        </w:rPr>
        <w:t>נותנין גרגר של מלח וגריס של פול על פי הנר בערב שבת עם חשכה כדי שיהא שוהה ודולק בלילי שבת</w:t>
      </w:r>
      <w:r>
        <w:rPr>
          <w:rFonts w:hint="cs"/>
          <w:rtl/>
        </w:rPr>
        <w:t>.</w:t>
      </w:r>
    </w:p>
    <w:p w14:paraId="1ADB9527" w14:textId="77777777" w:rsidR="004B2E7C" w:rsidRDefault="004B2E7C" w:rsidP="00434A6A">
      <w:pPr>
        <w:rPr>
          <w:rFonts w:cs="Arial"/>
          <w:rtl/>
        </w:rPr>
      </w:pPr>
      <w:r w:rsidRPr="00D92A79">
        <w:rPr>
          <w:rFonts w:cs="Arial" w:hint="cs"/>
          <w:u w:val="single"/>
          <w:rtl/>
        </w:rPr>
        <w:t xml:space="preserve">הטבת השמן ע"י </w:t>
      </w:r>
      <w:r w:rsidRPr="00D92A79">
        <w:rPr>
          <w:rFonts w:cs="Arial"/>
          <w:u w:val="single"/>
          <w:rtl/>
        </w:rPr>
        <w:t>נת</w:t>
      </w:r>
      <w:r w:rsidRPr="00D92A79">
        <w:rPr>
          <w:rFonts w:cs="Arial" w:hint="cs"/>
          <w:u w:val="single"/>
          <w:rtl/>
        </w:rPr>
        <w:t>י</w:t>
      </w:r>
      <w:r w:rsidRPr="00D92A79">
        <w:rPr>
          <w:rFonts w:cs="Arial"/>
          <w:u w:val="single"/>
          <w:rtl/>
        </w:rPr>
        <w:t>נ</w:t>
      </w:r>
      <w:r w:rsidRPr="00D92A79">
        <w:rPr>
          <w:rFonts w:cs="Arial" w:hint="cs"/>
          <w:u w:val="single"/>
          <w:rtl/>
        </w:rPr>
        <w:t>ת</w:t>
      </w:r>
      <w:r w:rsidRPr="00D92A79">
        <w:rPr>
          <w:rFonts w:cs="Arial"/>
          <w:u w:val="single"/>
          <w:rtl/>
        </w:rPr>
        <w:t xml:space="preserve"> גרגיר של מלח</w:t>
      </w:r>
      <w:r w:rsidRPr="00D92A79">
        <w:rPr>
          <w:rFonts w:cs="Arial" w:hint="cs"/>
          <w:u w:val="single"/>
          <w:rtl/>
        </w:rPr>
        <w:t xml:space="preserve"> או</w:t>
      </w:r>
      <w:r>
        <w:rPr>
          <w:rFonts w:cs="Arial" w:hint="cs"/>
          <w:u w:val="single"/>
          <w:rtl/>
        </w:rPr>
        <w:t xml:space="preserve"> </w:t>
      </w:r>
      <w:r w:rsidRPr="00D92A79">
        <w:rPr>
          <w:rFonts w:cs="Arial"/>
          <w:u w:val="single"/>
          <w:rtl/>
        </w:rPr>
        <w:t>גריס של פול על פי הנר בע"ש</w:t>
      </w:r>
      <w:r w:rsidRPr="00D92A79">
        <w:rPr>
          <w:rFonts w:cs="Arial" w:hint="cs"/>
          <w:u w:val="single"/>
          <w:rtl/>
        </w:rPr>
        <w:t>:</w:t>
      </w:r>
    </w:p>
    <w:p w14:paraId="74F5B508" w14:textId="77777777" w:rsidR="004B2E7C" w:rsidRPr="00A3045A" w:rsidRDefault="004B2E7C" w:rsidP="00FF2D21">
      <w:pPr>
        <w:pStyle w:val="aa"/>
        <w:numPr>
          <w:ilvl w:val="0"/>
          <w:numId w:val="90"/>
        </w:numPr>
        <w:rPr>
          <w:rtl/>
        </w:rPr>
      </w:pPr>
      <w:r w:rsidRPr="00D92A79">
        <w:rPr>
          <w:rFonts w:cs="Arial" w:hint="cs"/>
          <w:rtl/>
        </w:rPr>
        <w:t xml:space="preserve">רמב"ם </w:t>
      </w:r>
      <w:r w:rsidRPr="00D92A79">
        <w:rPr>
          <w:rFonts w:cs="Arial" w:hint="cs"/>
          <w:sz w:val="16"/>
          <w:szCs w:val="16"/>
          <w:rtl/>
        </w:rPr>
        <w:t xml:space="preserve">(פ"ה ה"ז) </w:t>
      </w:r>
      <w:r w:rsidRPr="00D92A79">
        <w:rPr>
          <w:rFonts w:cs="Arial" w:hint="cs"/>
          <w:rtl/>
        </w:rPr>
        <w:t xml:space="preserve">וטור- </w:t>
      </w:r>
      <w:r w:rsidRPr="00D92A79">
        <w:rPr>
          <w:rFonts w:cs="Arial"/>
          <w:rtl/>
        </w:rPr>
        <w:t>נותנין גרגיר של מלח וגריס של פול על פי הנר בע"ש כדי שיהא דולק יפה בשבת</w:t>
      </w:r>
      <w:r w:rsidRPr="00D92A79">
        <w:rPr>
          <w:rFonts w:cs="Arial" w:hint="cs"/>
          <w:sz w:val="16"/>
          <w:szCs w:val="16"/>
          <w:rtl/>
        </w:rPr>
        <w:t xml:space="preserve"> (ל' הטור)</w:t>
      </w:r>
      <w:r w:rsidRPr="00D92A79">
        <w:rPr>
          <w:rFonts w:cs="Arial"/>
          <w:rtl/>
        </w:rPr>
        <w:t>.</w:t>
      </w:r>
      <w:r w:rsidRPr="00C713E9">
        <w:rPr>
          <w:rFonts w:cs="Arial"/>
          <w:color w:val="00B0F0"/>
          <w:rtl/>
        </w:rPr>
        <w:t xml:space="preserve"> </w:t>
      </w:r>
      <w:r w:rsidRPr="00C713E9">
        <w:rPr>
          <w:rFonts w:hint="cs"/>
          <w:color w:val="00B0F0"/>
          <w:rtl/>
        </w:rPr>
        <w:t>(וכ"פ הרמ"א)</w:t>
      </w:r>
    </w:p>
    <w:p w14:paraId="112EF922"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2183F54" w14:textId="77777777" w:rsidR="004B2E7C" w:rsidRDefault="004B2E7C" w:rsidP="00434A6A">
      <w:pPr>
        <w:rPr>
          <w:rFonts w:asciiTheme="minorBidi" w:hAnsiTheme="minorBidi" w:cs="Arial"/>
          <w:sz w:val="18"/>
          <w:szCs w:val="18"/>
          <w:rtl/>
        </w:rPr>
      </w:pPr>
      <w:r w:rsidRPr="00CC2350">
        <w:rPr>
          <w:rFonts w:asciiTheme="minorBidi" w:hAnsiTheme="minorBidi" w:cs="Arial"/>
          <w:rtl/>
        </w:rPr>
        <w:t>כרך דבר שמדליקין בו על דבר שאין מדליקין בו אם נתכוין להעבות הפתילה כדי להוסיף אורה, אסור</w:t>
      </w:r>
      <w:r>
        <w:rPr>
          <w:rFonts w:asciiTheme="minorBidi" w:hAnsiTheme="minorBidi" w:cs="Arial" w:hint="cs"/>
          <w:rtl/>
        </w:rPr>
        <w:t>.</w:t>
      </w:r>
      <w:r w:rsidRPr="00CC2350">
        <w:rPr>
          <w:rFonts w:asciiTheme="minorBidi" w:hAnsiTheme="minorBidi" w:cs="Arial"/>
          <w:rtl/>
        </w:rPr>
        <w:t xml:space="preserve"> ואם נתכוין להקשות הפתילה כדי שתהא עומדת ולא תשלשל למטה, מותר. ומטעם זה מותר לכרוך דבר שמדליקין בו על גבי גמי או קש כדי ליתן הפתילה בעששית. </w:t>
      </w:r>
      <w:r w:rsidRPr="00EB4111">
        <w:rPr>
          <w:rFonts w:asciiTheme="minorBidi" w:hAnsiTheme="minorBidi" w:cs="Arial"/>
          <w:sz w:val="18"/>
          <w:szCs w:val="18"/>
          <w:rtl/>
        </w:rPr>
        <w:t xml:space="preserve">הגה: נותנין גרגיר של מלח וגריס של פול ע"פ הנר בע"ש כדי שיהא דולק יפה בשבת </w:t>
      </w:r>
      <w:r w:rsidRPr="00385104">
        <w:rPr>
          <w:rFonts w:asciiTheme="minorBidi" w:hAnsiTheme="minorBidi" w:cs="Arial"/>
          <w:sz w:val="16"/>
          <w:szCs w:val="16"/>
          <w:rtl/>
        </w:rPr>
        <w:t>(</w:t>
      </w:r>
      <w:r>
        <w:rPr>
          <w:rFonts w:asciiTheme="minorBidi" w:hAnsiTheme="minorBidi" w:cs="Arial" w:hint="cs"/>
          <w:sz w:val="16"/>
          <w:szCs w:val="16"/>
          <w:rtl/>
        </w:rPr>
        <w:t>רמב"ם</w:t>
      </w:r>
      <w:r w:rsidRPr="00385104">
        <w:rPr>
          <w:rFonts w:asciiTheme="minorBidi" w:hAnsiTheme="minorBidi" w:cs="Arial"/>
          <w:sz w:val="16"/>
          <w:szCs w:val="16"/>
          <w:rtl/>
        </w:rPr>
        <w:t xml:space="preserve"> וטור)</w:t>
      </w:r>
      <w:r w:rsidRPr="00EB4111">
        <w:rPr>
          <w:rFonts w:asciiTheme="minorBidi" w:hAnsiTheme="minorBidi" w:cs="Arial"/>
          <w:sz w:val="18"/>
          <w:szCs w:val="18"/>
          <w:rtl/>
        </w:rPr>
        <w:t xml:space="preserve">. </w:t>
      </w:r>
    </w:p>
    <w:p w14:paraId="07425947" w14:textId="77777777" w:rsidR="004B2E7C" w:rsidRPr="00CC2350" w:rsidRDefault="004B2E7C" w:rsidP="00434A6A">
      <w:pPr>
        <w:rPr>
          <w:rFonts w:asciiTheme="minorBidi" w:hAnsiTheme="minorBidi"/>
          <w:rtl/>
        </w:rPr>
      </w:pPr>
    </w:p>
    <w:p w14:paraId="1767B184" w14:textId="77777777" w:rsidR="004B2E7C" w:rsidRDefault="004B2E7C" w:rsidP="00434A6A">
      <w:pPr>
        <w:pStyle w:val="2"/>
        <w:rPr>
          <w:rtl/>
        </w:rPr>
      </w:pPr>
      <w:r w:rsidRPr="00CC2350">
        <w:rPr>
          <w:rtl/>
        </w:rPr>
        <w:t>סעיף ג</w:t>
      </w:r>
      <w:r>
        <w:rPr>
          <w:rFonts w:hint="cs"/>
          <w:rtl/>
        </w:rPr>
        <w:t>: שמנים שאין מדליקים בהם.</w:t>
      </w:r>
    </w:p>
    <w:p w14:paraId="0011DBB1" w14:textId="77777777" w:rsidR="004B2E7C" w:rsidRPr="00D11ABD" w:rsidRDefault="004B2E7C" w:rsidP="00434A6A">
      <w:pPr>
        <w:rPr>
          <w:u w:val="single"/>
          <w:rtl/>
        </w:rPr>
      </w:pPr>
      <w:r w:rsidRPr="00421772">
        <w:rPr>
          <w:rFonts w:cs="Arial" w:hint="cs"/>
          <w:b/>
          <w:bCs/>
          <w:rtl/>
        </w:rPr>
        <w:t>שבת</w:t>
      </w:r>
      <w:r w:rsidRPr="00421772">
        <w:rPr>
          <w:rFonts w:cs="Arial" w:hint="cs"/>
          <w:b/>
          <w:bCs/>
          <w:sz w:val="16"/>
          <w:szCs w:val="16"/>
          <w:rtl/>
        </w:rPr>
        <w:t xml:space="preserve"> (ר"פ</w:t>
      </w:r>
      <w:r w:rsidRPr="00421772">
        <w:rPr>
          <w:rFonts w:cs="Arial"/>
          <w:b/>
          <w:bCs/>
          <w:sz w:val="16"/>
          <w:szCs w:val="16"/>
          <w:rtl/>
        </w:rPr>
        <w:t xml:space="preserve"> במה מדליקין</w:t>
      </w:r>
      <w:r w:rsidRPr="00421772">
        <w:rPr>
          <w:rFonts w:cs="Arial" w:hint="cs"/>
          <w:b/>
          <w:bCs/>
          <w:sz w:val="16"/>
          <w:szCs w:val="16"/>
          <w:rtl/>
        </w:rPr>
        <w:t>)</w:t>
      </w:r>
      <w:r w:rsidRPr="00421772">
        <w:rPr>
          <w:rFonts w:cs="Arial"/>
          <w:b/>
          <w:bCs/>
          <w:rtl/>
        </w:rPr>
        <w:t xml:space="preserve"> כ</w:t>
      </w:r>
      <w:r w:rsidRPr="00421772">
        <w:rPr>
          <w:rFonts w:cs="Arial" w:hint="cs"/>
          <w:b/>
          <w:bCs/>
          <w:rtl/>
        </w:rPr>
        <w:t xml:space="preserve"> ע"ב</w:t>
      </w:r>
      <w:r w:rsidRPr="00421772">
        <w:rPr>
          <w:rFonts w:cs="Arial"/>
          <w:b/>
          <w:bCs/>
          <w:rtl/>
        </w:rPr>
        <w:t>:</w:t>
      </w:r>
      <w:r>
        <w:rPr>
          <w:rFonts w:cs="Arial"/>
          <w:rtl/>
        </w:rPr>
        <w:t xml:space="preserve"> </w:t>
      </w:r>
      <w:r w:rsidRPr="00421772">
        <w:rPr>
          <w:rFonts w:cs="Arial"/>
          <w:u w:val="double"/>
          <w:rtl/>
        </w:rPr>
        <w:t>משנה</w:t>
      </w:r>
      <w:r>
        <w:rPr>
          <w:rFonts w:cs="Arial" w:hint="cs"/>
          <w:rtl/>
        </w:rPr>
        <w:t>:</w:t>
      </w:r>
      <w:r w:rsidRPr="00421772">
        <w:rPr>
          <w:rFonts w:cs="Arial"/>
          <w:rtl/>
        </w:rPr>
        <w:t xml:space="preserve"> במה מדליקין ובמה אין מדליקין?</w:t>
      </w:r>
      <w:r>
        <w:rPr>
          <w:rFonts w:cs="Arial" w:hint="cs"/>
          <w:rtl/>
        </w:rPr>
        <w:t>...</w:t>
      </w:r>
      <w:r w:rsidRPr="00421772">
        <w:rPr>
          <w:rFonts w:cs="Arial"/>
          <w:rtl/>
        </w:rPr>
        <w:t xml:space="preserve"> אין מדליקין</w:t>
      </w:r>
      <w:r>
        <w:rPr>
          <w:rFonts w:cs="Arial" w:hint="cs"/>
          <w:rtl/>
        </w:rPr>
        <w:t>...</w:t>
      </w:r>
      <w:r w:rsidRPr="00421772">
        <w:rPr>
          <w:rFonts w:cs="Arial"/>
          <w:rtl/>
        </w:rPr>
        <w:t xml:space="preserve"> ולא בזפת, ולא בשעוה, ולא בשמן קיק, ולא בשמן שריפה, ולא באליה, ולא בחלב. </w:t>
      </w:r>
      <w:r w:rsidRPr="00421772">
        <w:rPr>
          <w:rFonts w:cs="Arial"/>
          <w:u w:val="single"/>
          <w:rtl/>
        </w:rPr>
        <w:t>נחום המדי אומר</w:t>
      </w:r>
      <w:r w:rsidRPr="00421772">
        <w:rPr>
          <w:rFonts w:cs="Arial"/>
          <w:rtl/>
        </w:rPr>
        <w:t xml:space="preserve">: מדליקין בחלב מבושל, </w:t>
      </w:r>
      <w:r w:rsidRPr="00421772">
        <w:rPr>
          <w:rFonts w:cs="Arial"/>
          <w:u w:val="single"/>
          <w:rtl/>
        </w:rPr>
        <w:t>וחכמים אומרים</w:t>
      </w:r>
      <w:r w:rsidRPr="00421772">
        <w:rPr>
          <w:rFonts w:cs="Arial"/>
          <w:rtl/>
        </w:rPr>
        <w:t>: אחד מבושל ואחד שאינו מבושל - אין מדליקין בו</w:t>
      </w:r>
      <w:r>
        <w:rPr>
          <w:rFonts w:cs="Arial" w:hint="cs"/>
          <w:rtl/>
        </w:rPr>
        <w:t xml:space="preserve">.          </w:t>
      </w:r>
      <w:r w:rsidRPr="008B3866">
        <w:rPr>
          <w:rFonts w:cs="Arial" w:hint="cs"/>
          <w:u w:val="double"/>
          <w:rtl/>
        </w:rPr>
        <w:t>גמ'</w:t>
      </w:r>
      <w:r w:rsidRPr="008B3866">
        <w:rPr>
          <w:rFonts w:cs="Arial" w:hint="cs"/>
          <w:sz w:val="14"/>
          <w:szCs w:val="14"/>
          <w:u w:val="double"/>
          <w:rtl/>
        </w:rPr>
        <w:t>(כא.)</w:t>
      </w:r>
      <w:r w:rsidRPr="008B3866">
        <w:rPr>
          <w:rFonts w:cs="Arial" w:hint="cs"/>
          <w:u w:val="double"/>
          <w:rtl/>
        </w:rPr>
        <w:t>:</w:t>
      </w:r>
      <w:r>
        <w:rPr>
          <w:rFonts w:cs="Arial" w:hint="cs"/>
          <w:rtl/>
        </w:rPr>
        <w:t xml:space="preserve"> </w:t>
      </w:r>
      <w:r w:rsidRPr="00F03E0F">
        <w:rPr>
          <w:rFonts w:cs="Arial"/>
          <w:rtl/>
        </w:rPr>
        <w:t xml:space="preserve">ולא בשמן קיק וכו'. מאי שמן קיק? </w:t>
      </w:r>
      <w:r w:rsidRPr="00663594">
        <w:rPr>
          <w:rFonts w:cs="Arial"/>
          <w:u w:val="single"/>
          <w:rtl/>
        </w:rPr>
        <w:t>אמר שמואל</w:t>
      </w:r>
      <w:r w:rsidRPr="00F03E0F">
        <w:rPr>
          <w:rFonts w:cs="Arial"/>
          <w:rtl/>
        </w:rPr>
        <w:t xml:space="preserve">: שאילתינהו לכל נחותי ימא ואמרו לי: עוף אחד יש בכרכי הים וקיק שמו. </w:t>
      </w:r>
      <w:r w:rsidRPr="00663594">
        <w:rPr>
          <w:rFonts w:cs="Arial"/>
          <w:u w:val="single"/>
          <w:rtl/>
        </w:rPr>
        <w:t>רב יצחק בריה דרב יהודה אמר</w:t>
      </w:r>
      <w:r w:rsidRPr="00F03E0F">
        <w:rPr>
          <w:rFonts w:cs="Arial"/>
          <w:rtl/>
        </w:rPr>
        <w:t>: משחא דקאזא</w:t>
      </w:r>
      <w:r>
        <w:rPr>
          <w:rStyle w:val="a9"/>
          <w:rFonts w:cs="Arial"/>
          <w:rtl/>
        </w:rPr>
        <w:footnoteReference w:id="691"/>
      </w:r>
      <w:r w:rsidRPr="00F03E0F">
        <w:rPr>
          <w:rFonts w:cs="Arial"/>
          <w:rtl/>
        </w:rPr>
        <w:t xml:space="preserve">. </w:t>
      </w:r>
      <w:r w:rsidRPr="00663594">
        <w:rPr>
          <w:rFonts w:cs="Arial"/>
          <w:u w:val="single"/>
          <w:rtl/>
        </w:rPr>
        <w:t>ריש לקיש אמר</w:t>
      </w:r>
      <w:r w:rsidRPr="00F03E0F">
        <w:rPr>
          <w:rFonts w:cs="Arial"/>
          <w:rtl/>
        </w:rPr>
        <w:t>: קיקיון דיונ</w:t>
      </w:r>
      <w:r>
        <w:rPr>
          <w:rFonts w:cs="Arial" w:hint="cs"/>
          <w:rtl/>
        </w:rPr>
        <w:t>ה.</w:t>
      </w:r>
      <w:r w:rsidRPr="00F03E0F">
        <w:rPr>
          <w:rFonts w:cs="Arial"/>
          <w:rtl/>
        </w:rPr>
        <w:t xml:space="preserve">.. </w:t>
      </w:r>
      <w:r w:rsidRPr="008B3866">
        <w:rPr>
          <w:rFonts w:cs="Arial"/>
          <w:u w:val="single"/>
          <w:rtl/>
        </w:rPr>
        <w:t>אמר רבה</w:t>
      </w:r>
      <w:r w:rsidRPr="008B3866">
        <w:rPr>
          <w:rFonts w:cs="Arial"/>
          <w:rtl/>
        </w:rPr>
        <w:t>:</w:t>
      </w:r>
      <w:r>
        <w:rPr>
          <w:rFonts w:cs="Arial" w:hint="cs"/>
          <w:rtl/>
        </w:rPr>
        <w:t>...</w:t>
      </w:r>
      <w:r w:rsidRPr="008B3866">
        <w:rPr>
          <w:rFonts w:cs="Arial"/>
          <w:rtl/>
        </w:rPr>
        <w:t xml:space="preserve"> שמנים שאמרו חכמים אין מדליקין בהן - מפני שאין נמשכין אחר הפתילה. </w:t>
      </w:r>
      <w:r w:rsidRPr="00663594">
        <w:rPr>
          <w:rFonts w:cs="Arial"/>
          <w:u w:val="single"/>
          <w:rtl/>
        </w:rPr>
        <w:t>בעא מיניה אביי מרבה</w:t>
      </w:r>
      <w:r w:rsidRPr="008B3866">
        <w:rPr>
          <w:rFonts w:cs="Arial"/>
          <w:rtl/>
        </w:rPr>
        <w:t>: שמנים שאמרו חכמים אין מדליקין בהן בשבת, מהו שיתן לתוכן שמן כל שהוא</w:t>
      </w:r>
      <w:r>
        <w:rPr>
          <w:rStyle w:val="a9"/>
          <w:rFonts w:cs="Arial"/>
          <w:rtl/>
        </w:rPr>
        <w:footnoteReference w:id="692"/>
      </w:r>
      <w:r w:rsidRPr="008B3866">
        <w:rPr>
          <w:rFonts w:cs="Arial"/>
          <w:rtl/>
        </w:rPr>
        <w:t xml:space="preserve"> וידליק? מי גזרינן דילמא אתי לאדלוקי בעינייהו, או לא? </w:t>
      </w:r>
      <w:r w:rsidRPr="00663594">
        <w:rPr>
          <w:rFonts w:cs="Arial"/>
          <w:u w:val="single"/>
          <w:rtl/>
        </w:rPr>
        <w:t>אמר ליה</w:t>
      </w:r>
      <w:r w:rsidRPr="008B3866">
        <w:rPr>
          <w:rFonts w:cs="Arial"/>
          <w:rtl/>
        </w:rPr>
        <w:t>: אין מדליקין. מאי טעמא; לפי שאין מדליקין</w:t>
      </w:r>
      <w:r>
        <w:rPr>
          <w:rStyle w:val="a9"/>
          <w:rFonts w:cs="Arial"/>
          <w:rtl/>
        </w:rPr>
        <w:footnoteReference w:id="693"/>
      </w:r>
      <w:r w:rsidRPr="008B3866">
        <w:rPr>
          <w:rFonts w:cs="Arial"/>
          <w:rtl/>
        </w:rPr>
        <w:t>.</w:t>
      </w:r>
      <w:r>
        <w:rPr>
          <w:rFonts w:cs="Arial" w:hint="cs"/>
          <w:rtl/>
        </w:rPr>
        <w:t>..</w:t>
      </w:r>
    </w:p>
    <w:p w14:paraId="4825B465" w14:textId="77777777" w:rsidR="004B2E7C" w:rsidRPr="00465980" w:rsidRDefault="004B2E7C" w:rsidP="00434A6A">
      <w:pPr>
        <w:rPr>
          <w:rtl/>
        </w:rPr>
      </w:pPr>
      <w:r w:rsidRPr="00421772">
        <w:rPr>
          <w:rFonts w:cs="Arial" w:hint="cs"/>
          <w:b/>
          <w:bCs/>
          <w:rtl/>
        </w:rPr>
        <w:t>שבת</w:t>
      </w:r>
      <w:r w:rsidRPr="00421772">
        <w:rPr>
          <w:rFonts w:cs="Arial" w:hint="cs"/>
          <w:b/>
          <w:bCs/>
          <w:sz w:val="16"/>
          <w:szCs w:val="16"/>
          <w:rtl/>
        </w:rPr>
        <w:t xml:space="preserve"> (פ</w:t>
      </w:r>
      <w:r>
        <w:rPr>
          <w:rFonts w:cs="Arial" w:hint="cs"/>
          <w:b/>
          <w:bCs/>
          <w:sz w:val="16"/>
          <w:szCs w:val="16"/>
          <w:rtl/>
        </w:rPr>
        <w:t>'</w:t>
      </w:r>
      <w:r w:rsidRPr="00421772">
        <w:rPr>
          <w:rFonts w:cs="Arial"/>
          <w:b/>
          <w:bCs/>
          <w:sz w:val="16"/>
          <w:szCs w:val="16"/>
          <w:rtl/>
        </w:rPr>
        <w:t xml:space="preserve"> במה מדליקין</w:t>
      </w:r>
      <w:r w:rsidRPr="00421772">
        <w:rPr>
          <w:rFonts w:cs="Arial" w:hint="cs"/>
          <w:b/>
          <w:bCs/>
          <w:sz w:val="16"/>
          <w:szCs w:val="16"/>
          <w:rtl/>
        </w:rPr>
        <w:t>)</w:t>
      </w:r>
      <w:r w:rsidRPr="00421772">
        <w:rPr>
          <w:rFonts w:cs="Arial"/>
          <w:b/>
          <w:bCs/>
          <w:rtl/>
        </w:rPr>
        <w:t xml:space="preserve"> כ</w:t>
      </w:r>
      <w:r>
        <w:rPr>
          <w:rFonts w:cs="Arial" w:hint="cs"/>
          <w:b/>
          <w:bCs/>
          <w:rtl/>
        </w:rPr>
        <w:t>ד</w:t>
      </w:r>
      <w:r w:rsidRPr="00421772">
        <w:rPr>
          <w:rFonts w:cs="Arial" w:hint="cs"/>
          <w:b/>
          <w:bCs/>
          <w:rtl/>
        </w:rPr>
        <w:t xml:space="preserve"> ע"ב</w:t>
      </w:r>
      <w:r w:rsidRPr="00421772">
        <w:rPr>
          <w:rFonts w:cs="Arial"/>
          <w:b/>
          <w:bCs/>
          <w:rtl/>
        </w:rPr>
        <w:t>:</w:t>
      </w:r>
      <w:r>
        <w:rPr>
          <w:rFonts w:cs="Arial"/>
          <w:rtl/>
        </w:rPr>
        <w:t xml:space="preserve"> </w:t>
      </w:r>
      <w:r w:rsidRPr="00421772">
        <w:rPr>
          <w:rFonts w:cs="Arial"/>
          <w:u w:val="double"/>
          <w:rtl/>
        </w:rPr>
        <w:t>משנה</w:t>
      </w:r>
      <w:r>
        <w:rPr>
          <w:rFonts w:cs="Arial" w:hint="cs"/>
          <w:rtl/>
        </w:rPr>
        <w:t>:</w:t>
      </w:r>
      <w:r w:rsidRPr="003131AC">
        <w:rPr>
          <w:rFonts w:cs="Arial"/>
          <w:rtl/>
        </w:rPr>
        <w:t xml:space="preserve"> אין מדליקין בשמן שריפה ביום טוב. </w:t>
      </w:r>
      <w:r w:rsidRPr="003131AC">
        <w:rPr>
          <w:rFonts w:cs="Arial"/>
          <w:u w:val="single"/>
          <w:rtl/>
        </w:rPr>
        <w:t>רבי ישמעאל אומר</w:t>
      </w:r>
      <w:r w:rsidRPr="003131AC">
        <w:rPr>
          <w:rFonts w:cs="Arial"/>
          <w:rtl/>
        </w:rPr>
        <w:t xml:space="preserve">: אין מדליקין בעטרן, מפני כבוד השבת. </w:t>
      </w:r>
      <w:r w:rsidRPr="00CE6AEE">
        <w:rPr>
          <w:rFonts w:cs="Arial"/>
          <w:u w:val="single"/>
          <w:rtl/>
        </w:rPr>
        <w:t>וחכמים מתירין</w:t>
      </w:r>
      <w:r w:rsidRPr="003131AC">
        <w:rPr>
          <w:rFonts w:cs="Arial"/>
          <w:rtl/>
        </w:rPr>
        <w:t xml:space="preserve"> בכל השמנים</w:t>
      </w:r>
      <w:r>
        <w:rPr>
          <w:rFonts w:cs="Arial" w:hint="cs"/>
          <w:rtl/>
        </w:rPr>
        <w:t>,</w:t>
      </w:r>
      <w:r w:rsidRPr="003131AC">
        <w:rPr>
          <w:rFonts w:cs="Arial"/>
          <w:rtl/>
        </w:rPr>
        <w:t xml:space="preserve"> בשמן שומשמין, בשמן אגוזים, בשמן צנונות, בשמן דגים, בשמן פקועות, בעטרן ובנפט. </w:t>
      </w:r>
      <w:r w:rsidRPr="00CE6AEE">
        <w:rPr>
          <w:rFonts w:cs="Arial"/>
          <w:u w:val="single"/>
          <w:rtl/>
        </w:rPr>
        <w:t>רבי טרפון אומר</w:t>
      </w:r>
      <w:r w:rsidRPr="003131AC">
        <w:rPr>
          <w:rFonts w:cs="Arial"/>
          <w:rtl/>
        </w:rPr>
        <w:t>: אין מדליקין אלא בשמן זית בלבד.</w:t>
      </w:r>
      <w:r>
        <w:rPr>
          <w:rFonts w:hint="cs"/>
          <w:rtl/>
        </w:rPr>
        <w:t xml:space="preserve">        </w:t>
      </w:r>
      <w:r w:rsidRPr="003131AC">
        <w:rPr>
          <w:rtl/>
        </w:rPr>
        <w:t xml:space="preserve"> </w:t>
      </w:r>
      <w:r w:rsidRPr="008B3866">
        <w:rPr>
          <w:rFonts w:cs="Arial" w:hint="cs"/>
          <w:u w:val="double"/>
          <w:rtl/>
        </w:rPr>
        <w:t>גמ'</w:t>
      </w:r>
      <w:r w:rsidRPr="008B3866">
        <w:rPr>
          <w:rFonts w:cs="Arial" w:hint="cs"/>
          <w:sz w:val="14"/>
          <w:szCs w:val="14"/>
          <w:u w:val="double"/>
          <w:rtl/>
        </w:rPr>
        <w:t>(כ</w:t>
      </w:r>
      <w:r>
        <w:rPr>
          <w:rFonts w:cs="Arial" w:hint="cs"/>
          <w:sz w:val="14"/>
          <w:szCs w:val="14"/>
          <w:u w:val="double"/>
          <w:rtl/>
        </w:rPr>
        <w:t>ה:</w:t>
      </w:r>
      <w:r w:rsidRPr="008B3866">
        <w:rPr>
          <w:rFonts w:cs="Arial" w:hint="cs"/>
          <w:sz w:val="14"/>
          <w:szCs w:val="14"/>
          <w:u w:val="double"/>
          <w:rtl/>
        </w:rPr>
        <w:t>)</w:t>
      </w:r>
      <w:r w:rsidRPr="008B3866">
        <w:rPr>
          <w:rFonts w:cs="Arial" w:hint="cs"/>
          <w:u w:val="double"/>
          <w:rtl/>
        </w:rPr>
        <w:t>:</w:t>
      </w:r>
      <w:r>
        <w:rPr>
          <w:rFonts w:cs="Arial" w:hint="cs"/>
          <w:rtl/>
        </w:rPr>
        <w:t xml:space="preserve"> </w:t>
      </w:r>
      <w:r w:rsidRPr="003131AC">
        <w:rPr>
          <w:rFonts w:cs="Arial"/>
          <w:rtl/>
        </w:rPr>
        <w:t xml:space="preserve">רבי ישמעאל אומר כו'. מאי טעמא? </w:t>
      </w:r>
      <w:r w:rsidRPr="00CE6AEE">
        <w:rPr>
          <w:rFonts w:cs="Arial"/>
          <w:u w:val="single"/>
          <w:rtl/>
        </w:rPr>
        <w:t>אמר רבא</w:t>
      </w:r>
      <w:r w:rsidRPr="003131AC">
        <w:rPr>
          <w:rFonts w:cs="Arial"/>
          <w:rtl/>
        </w:rPr>
        <w:t xml:space="preserve">: מתוך שריחו רע, גזרה שמא יניחנה ויצא. </w:t>
      </w:r>
      <w:r w:rsidRPr="00CE6AEE">
        <w:rPr>
          <w:rFonts w:cs="Arial"/>
          <w:u w:val="single"/>
          <w:rtl/>
        </w:rPr>
        <w:t>אמר ליה אביי</w:t>
      </w:r>
      <w:r w:rsidRPr="003131AC">
        <w:rPr>
          <w:rFonts w:cs="Arial"/>
          <w:rtl/>
        </w:rPr>
        <w:t>: ויצא! אמר ליה, שאני אומר: הדלקת נר בשבת - חובה</w:t>
      </w:r>
      <w:r>
        <w:rPr>
          <w:rFonts w:cs="Arial" w:hint="cs"/>
          <w:rtl/>
        </w:rPr>
        <w:t xml:space="preserve">. </w:t>
      </w:r>
      <w:r>
        <w:rPr>
          <w:rFonts w:cs="Arial" w:hint="cs"/>
          <w:sz w:val="16"/>
          <w:szCs w:val="16"/>
          <w:rtl/>
        </w:rPr>
        <w:t>(</w:t>
      </w:r>
      <w:r w:rsidRPr="00CE6AEE">
        <w:rPr>
          <w:rFonts w:cs="Arial"/>
          <w:sz w:val="16"/>
          <w:szCs w:val="16"/>
          <w:rtl/>
        </w:rPr>
        <w:t>וכתבוהו הרי"ף (יא:) והרא"ש (סי' יח) והרמב"ם בפ"ה (ה"י), וטעמייהו דמדמהדרי אמוראי לפרושי טעמא דרבי ישמעאל אלמא כוותיה נקטינן</w:t>
      </w:r>
      <w:r w:rsidRPr="00CE6AEE">
        <w:rPr>
          <w:rFonts w:hint="cs"/>
          <w:sz w:val="16"/>
          <w:szCs w:val="16"/>
          <w:rtl/>
        </w:rPr>
        <w:t>, ב"י)</w:t>
      </w:r>
    </w:p>
    <w:p w14:paraId="69866F24" w14:textId="77777777" w:rsidR="004B2E7C" w:rsidRPr="00CE6AEE" w:rsidRDefault="004B2E7C" w:rsidP="00434A6A">
      <w:pPr>
        <w:rPr>
          <w:rtl/>
        </w:rPr>
      </w:pPr>
      <w:r w:rsidRPr="00421772">
        <w:rPr>
          <w:rFonts w:cs="Arial" w:hint="cs"/>
          <w:b/>
          <w:bCs/>
          <w:rtl/>
        </w:rPr>
        <w:t>שבת</w:t>
      </w:r>
      <w:r w:rsidRPr="00421772">
        <w:rPr>
          <w:rFonts w:cs="Arial" w:hint="cs"/>
          <w:b/>
          <w:bCs/>
          <w:sz w:val="16"/>
          <w:szCs w:val="16"/>
          <w:rtl/>
        </w:rPr>
        <w:t xml:space="preserve"> (פ</w:t>
      </w:r>
      <w:r>
        <w:rPr>
          <w:rFonts w:cs="Arial" w:hint="cs"/>
          <w:b/>
          <w:bCs/>
          <w:sz w:val="16"/>
          <w:szCs w:val="16"/>
          <w:rtl/>
        </w:rPr>
        <w:t>'</w:t>
      </w:r>
      <w:r w:rsidRPr="00421772">
        <w:rPr>
          <w:rFonts w:cs="Arial"/>
          <w:b/>
          <w:bCs/>
          <w:sz w:val="16"/>
          <w:szCs w:val="16"/>
          <w:rtl/>
        </w:rPr>
        <w:t xml:space="preserve"> במה מדליקין</w:t>
      </w:r>
      <w:r w:rsidRPr="00421772">
        <w:rPr>
          <w:rFonts w:cs="Arial" w:hint="cs"/>
          <w:b/>
          <w:bCs/>
          <w:sz w:val="16"/>
          <w:szCs w:val="16"/>
          <w:rtl/>
        </w:rPr>
        <w:t>)</w:t>
      </w:r>
      <w:r w:rsidRPr="00421772">
        <w:rPr>
          <w:rFonts w:cs="Arial"/>
          <w:b/>
          <w:bCs/>
          <w:rtl/>
        </w:rPr>
        <w:t xml:space="preserve"> כ</w:t>
      </w:r>
      <w:r>
        <w:rPr>
          <w:rFonts w:cs="Arial" w:hint="cs"/>
          <w:b/>
          <w:bCs/>
          <w:rtl/>
        </w:rPr>
        <w:t>ה</w:t>
      </w:r>
      <w:r w:rsidRPr="00421772">
        <w:rPr>
          <w:rFonts w:cs="Arial" w:hint="cs"/>
          <w:b/>
          <w:bCs/>
          <w:rtl/>
        </w:rPr>
        <w:t xml:space="preserve"> ע"ב</w:t>
      </w:r>
      <w:r w:rsidRPr="00421772">
        <w:rPr>
          <w:rFonts w:cs="Arial"/>
          <w:b/>
          <w:bCs/>
          <w:rtl/>
        </w:rPr>
        <w:t>:</w:t>
      </w:r>
      <w:r>
        <w:rPr>
          <w:rFonts w:cs="Arial"/>
          <w:rtl/>
        </w:rPr>
        <w:t xml:space="preserve"> </w:t>
      </w:r>
      <w:r w:rsidRPr="00CE6AEE">
        <w:rPr>
          <w:rFonts w:cs="Arial"/>
          <w:rtl/>
        </w:rPr>
        <w:t xml:space="preserve">תניא, </w:t>
      </w:r>
      <w:r w:rsidRPr="00CE6AEE">
        <w:rPr>
          <w:rFonts w:cs="Arial"/>
          <w:u w:val="single"/>
          <w:rtl/>
        </w:rPr>
        <w:t>רבי שמעון בן אלעזר אומר</w:t>
      </w:r>
      <w:r w:rsidRPr="00CE6AEE">
        <w:rPr>
          <w:rFonts w:cs="Arial"/>
          <w:rtl/>
        </w:rPr>
        <w:t xml:space="preserve">: אין מדליקין בצרי. מאי טעמא? </w:t>
      </w:r>
      <w:r w:rsidRPr="00CE6AEE">
        <w:rPr>
          <w:rFonts w:cs="Arial"/>
          <w:u w:val="single"/>
          <w:rtl/>
        </w:rPr>
        <w:t>אמר רבה</w:t>
      </w:r>
      <w:r w:rsidRPr="00CE6AEE">
        <w:rPr>
          <w:rFonts w:cs="Arial"/>
          <w:rtl/>
        </w:rPr>
        <w:t xml:space="preserve">: מתוך שריחו נודף, גזרה שמא יסתפק ממנו. </w:t>
      </w:r>
      <w:r w:rsidRPr="00CE6AEE">
        <w:rPr>
          <w:rFonts w:cs="Arial"/>
          <w:u w:val="single"/>
          <w:rtl/>
        </w:rPr>
        <w:t>אמר ליה אביי</w:t>
      </w:r>
      <w:r w:rsidRPr="00CE6AEE">
        <w:rPr>
          <w:rFonts w:cs="Arial"/>
          <w:rtl/>
        </w:rPr>
        <w:t>:</w:t>
      </w:r>
      <w:r w:rsidRPr="00CE6AEE">
        <w:rPr>
          <w:rtl/>
        </w:rPr>
        <w:t xml:space="preserve"> </w:t>
      </w:r>
      <w:r>
        <w:rPr>
          <w:rFonts w:hint="cs"/>
          <w:sz w:val="14"/>
          <w:szCs w:val="14"/>
          <w:rtl/>
        </w:rPr>
        <w:t xml:space="preserve">(כו.) </w:t>
      </w:r>
      <w:r w:rsidRPr="00CE6AEE">
        <w:rPr>
          <w:rFonts w:cs="Arial"/>
          <w:rtl/>
        </w:rPr>
        <w:t>לימא מר: מפני שהוא עף! חדא ועוד קאמר, חדא - מפני שהוא עף, ועוד: גזירה שמא יסתפק ממנו.</w:t>
      </w:r>
      <w:r>
        <w:rPr>
          <w:rFonts w:hint="cs"/>
          <w:rtl/>
        </w:rPr>
        <w:t xml:space="preserve"> </w:t>
      </w:r>
      <w:r w:rsidRPr="00D11ABD">
        <w:rPr>
          <w:rFonts w:hint="cs"/>
          <w:sz w:val="16"/>
          <w:szCs w:val="16"/>
          <w:rtl/>
        </w:rPr>
        <w:t>(</w:t>
      </w:r>
      <w:r w:rsidRPr="00D11ABD">
        <w:rPr>
          <w:rFonts w:cs="Arial"/>
          <w:sz w:val="16"/>
          <w:szCs w:val="16"/>
          <w:rtl/>
        </w:rPr>
        <w:t>ופירש רש"י שהוא עף ונדבק בכותלי הבית ומדליק את הבית. ורבינו לא כתב טעם דמפני שהוא עף לפי שאינו ענין לשבת דמשום הכי לא הזכירו רב</w:t>
      </w:r>
      <w:r>
        <w:rPr>
          <w:rFonts w:cs="Arial" w:hint="cs"/>
          <w:sz w:val="16"/>
          <w:szCs w:val="16"/>
          <w:rtl/>
        </w:rPr>
        <w:t>ה</w:t>
      </w:r>
      <w:r w:rsidRPr="00D11ABD">
        <w:rPr>
          <w:rFonts w:cs="Arial"/>
          <w:sz w:val="16"/>
          <w:szCs w:val="16"/>
          <w:rtl/>
        </w:rPr>
        <w:t xml:space="preserve"> גם כן</w:t>
      </w:r>
      <w:r>
        <w:rPr>
          <w:rFonts w:cs="Arial" w:hint="cs"/>
          <w:sz w:val="16"/>
          <w:szCs w:val="16"/>
          <w:rtl/>
        </w:rPr>
        <w:t>.</w:t>
      </w:r>
      <w:r w:rsidRPr="00D11ABD">
        <w:rPr>
          <w:rFonts w:cs="Arial"/>
          <w:sz w:val="16"/>
          <w:szCs w:val="16"/>
          <w:rtl/>
        </w:rPr>
        <w:t xml:space="preserve"> ומפני כך לא כתב גם כן הא דתניא התם (כו.) אין מדליקין בנפט לבן בחול ואין צריך לומר בשבת מפני שהוא עף אע</w:t>
      </w:r>
      <w:r>
        <w:rPr>
          <w:rFonts w:cs="Arial" w:hint="cs"/>
          <w:sz w:val="16"/>
          <w:szCs w:val="16"/>
          <w:rtl/>
        </w:rPr>
        <w:t>"</w:t>
      </w:r>
      <w:r w:rsidRPr="00D11ABD">
        <w:rPr>
          <w:rFonts w:cs="Arial"/>
          <w:sz w:val="16"/>
          <w:szCs w:val="16"/>
          <w:rtl/>
        </w:rPr>
        <w:t>פ שכתבוהו הרי"ף (יב.) והרא"ש (סי' יח) והרמב"ם בפ"ה (ה"י)</w:t>
      </w:r>
      <w:r w:rsidRPr="00D11ABD">
        <w:rPr>
          <w:rFonts w:cs="Arial" w:hint="cs"/>
          <w:sz w:val="16"/>
          <w:szCs w:val="16"/>
          <w:rtl/>
        </w:rPr>
        <w:t>, ב"י)</w:t>
      </w:r>
    </w:p>
    <w:p w14:paraId="6562A77F" w14:textId="77777777" w:rsidR="004B2E7C" w:rsidRPr="002641F9" w:rsidRDefault="004B2E7C" w:rsidP="00434A6A">
      <w:pPr>
        <w:rPr>
          <w:u w:val="single"/>
          <w:rtl/>
        </w:rPr>
      </w:pPr>
      <w:r w:rsidRPr="002641F9">
        <w:rPr>
          <w:rFonts w:hint="cs"/>
          <w:u w:val="single"/>
          <w:rtl/>
        </w:rPr>
        <w:t>באיזה שמן מדליקים:</w:t>
      </w:r>
    </w:p>
    <w:p w14:paraId="14C090CD" w14:textId="77777777" w:rsidR="004B2E7C" w:rsidRPr="006319B2" w:rsidRDefault="004B2E7C" w:rsidP="00FF2D21">
      <w:pPr>
        <w:pStyle w:val="aa"/>
        <w:numPr>
          <w:ilvl w:val="0"/>
          <w:numId w:val="90"/>
        </w:numPr>
      </w:pPr>
      <w:r>
        <w:rPr>
          <w:rFonts w:cs="Arial" w:hint="cs"/>
          <w:rtl/>
        </w:rPr>
        <w:t xml:space="preserve">טור- </w:t>
      </w:r>
      <w:r w:rsidRPr="001D2D8A">
        <w:rPr>
          <w:rFonts w:cs="Arial"/>
          <w:rtl/>
        </w:rPr>
        <w:t>אין מדליקין נר של שבת אלא בשמן הנמשך אחר הפתילה</w:t>
      </w:r>
      <w:r>
        <w:rPr>
          <w:rFonts w:cs="Arial" w:hint="cs"/>
          <w:rtl/>
        </w:rPr>
        <w:t>.</w:t>
      </w:r>
      <w:r w:rsidRPr="001D2D8A">
        <w:rPr>
          <w:rFonts w:cs="Arial"/>
          <w:rtl/>
        </w:rPr>
        <w:t xml:space="preserve"> הילכך אין מדליקין בשעוה</w:t>
      </w:r>
      <w:r>
        <w:rPr>
          <w:rFonts w:cs="Arial" w:hint="cs"/>
          <w:rtl/>
        </w:rPr>
        <w:t>,</w:t>
      </w:r>
      <w:r w:rsidRPr="001D2D8A">
        <w:rPr>
          <w:rFonts w:cs="Arial"/>
          <w:rtl/>
        </w:rPr>
        <w:t xml:space="preserve"> ולא בזפת</w:t>
      </w:r>
      <w:r>
        <w:rPr>
          <w:rFonts w:cs="Arial" w:hint="cs"/>
          <w:rtl/>
        </w:rPr>
        <w:t>,</w:t>
      </w:r>
      <w:r w:rsidRPr="001D2D8A">
        <w:rPr>
          <w:rFonts w:cs="Arial"/>
          <w:rtl/>
        </w:rPr>
        <w:t xml:space="preserve"> ולא בשמן קיק</w:t>
      </w:r>
      <w:r>
        <w:rPr>
          <w:rFonts w:cs="Arial" w:hint="cs"/>
          <w:rtl/>
        </w:rPr>
        <w:t>,</w:t>
      </w:r>
      <w:r w:rsidRPr="001D2D8A">
        <w:rPr>
          <w:rFonts w:cs="Arial"/>
          <w:rtl/>
        </w:rPr>
        <w:t xml:space="preserve"> ופירש"י שמן העשוי מגרעיני צמר גפן</w:t>
      </w:r>
      <w:r>
        <w:rPr>
          <w:rFonts w:cs="Arial" w:hint="cs"/>
          <w:rtl/>
        </w:rPr>
        <w:t>,</w:t>
      </w:r>
      <w:r w:rsidRPr="001D2D8A">
        <w:rPr>
          <w:rFonts w:cs="Arial"/>
          <w:rtl/>
        </w:rPr>
        <w:t xml:space="preserve"> ולא באליה</w:t>
      </w:r>
      <w:r>
        <w:rPr>
          <w:rFonts w:cs="Arial" w:hint="cs"/>
          <w:rtl/>
        </w:rPr>
        <w:t>,</w:t>
      </w:r>
      <w:r w:rsidRPr="001D2D8A">
        <w:rPr>
          <w:rFonts w:cs="Arial"/>
          <w:rtl/>
        </w:rPr>
        <w:t xml:space="preserve"> ולא בחלב</w:t>
      </w:r>
      <w:r>
        <w:rPr>
          <w:rFonts w:cs="Arial" w:hint="cs"/>
          <w:rtl/>
        </w:rPr>
        <w:t>.</w:t>
      </w:r>
      <w:r w:rsidRPr="001D2D8A">
        <w:rPr>
          <w:rFonts w:cs="Arial"/>
          <w:rtl/>
        </w:rPr>
        <w:t xml:space="preserve"> ולא בעטרן</w:t>
      </w:r>
      <w:r>
        <w:rPr>
          <w:rFonts w:cs="Arial" w:hint="cs"/>
          <w:rtl/>
        </w:rPr>
        <w:t>,</w:t>
      </w:r>
      <w:r w:rsidRPr="001D2D8A">
        <w:rPr>
          <w:rFonts w:cs="Arial"/>
          <w:rtl/>
        </w:rPr>
        <w:t xml:space="preserve"> אף על פי שנמשך אחר הפתילה</w:t>
      </w:r>
      <w:r>
        <w:rPr>
          <w:rFonts w:cs="Arial" w:hint="cs"/>
          <w:rtl/>
        </w:rPr>
        <w:t>,</w:t>
      </w:r>
      <w:r w:rsidRPr="001D2D8A">
        <w:rPr>
          <w:rFonts w:cs="Arial"/>
          <w:rtl/>
        </w:rPr>
        <w:t xml:space="preserve"> מפני שריחו רע ושמא יניחנו ויצא</w:t>
      </w:r>
      <w:r>
        <w:rPr>
          <w:rFonts w:cs="Arial" w:hint="cs"/>
          <w:rtl/>
        </w:rPr>
        <w:t>.</w:t>
      </w:r>
      <w:r w:rsidRPr="001D2D8A">
        <w:rPr>
          <w:rFonts w:cs="Arial"/>
          <w:rtl/>
        </w:rPr>
        <w:t xml:space="preserve"> ולא בצרי</w:t>
      </w:r>
      <w:r>
        <w:rPr>
          <w:rFonts w:cs="Arial" w:hint="cs"/>
          <w:rtl/>
        </w:rPr>
        <w:t>,</w:t>
      </w:r>
      <w:r w:rsidRPr="001D2D8A">
        <w:rPr>
          <w:rFonts w:cs="Arial"/>
          <w:rtl/>
        </w:rPr>
        <w:t xml:space="preserve"> מפני שריחו נודף שמא יסתפק ממנו</w:t>
      </w:r>
      <w:r>
        <w:rPr>
          <w:rFonts w:cs="Arial" w:hint="cs"/>
          <w:rtl/>
        </w:rPr>
        <w:t>.</w:t>
      </w:r>
      <w:r w:rsidRPr="001D2D8A">
        <w:rPr>
          <w:rFonts w:cs="Arial"/>
          <w:rtl/>
        </w:rPr>
        <w:t xml:space="preserve"> </w:t>
      </w:r>
      <w:r w:rsidRPr="00C713E9">
        <w:rPr>
          <w:rFonts w:cs="Arial" w:hint="cs"/>
          <w:color w:val="E36C0A" w:themeColor="accent6" w:themeShade="BF"/>
          <w:rtl/>
        </w:rPr>
        <w:t>(וכ"פ בשו"ע)</w:t>
      </w:r>
    </w:p>
    <w:p w14:paraId="3A7FBDE6" w14:textId="77777777" w:rsidR="004B2E7C" w:rsidRPr="006319B2" w:rsidRDefault="004B2E7C" w:rsidP="00434A6A">
      <w:pPr>
        <w:ind w:left="360"/>
        <w:rPr>
          <w:u w:val="dotted"/>
        </w:rPr>
      </w:pPr>
      <w:r w:rsidRPr="006319B2">
        <w:rPr>
          <w:rFonts w:hint="cs"/>
          <w:u w:val="dotted"/>
          <w:rtl/>
        </w:rPr>
        <w:t xml:space="preserve">ומה הדין אם ערב בהם מעט שמן זית </w:t>
      </w:r>
      <w:r w:rsidRPr="006319B2">
        <w:rPr>
          <w:rFonts w:hint="cs"/>
          <w:sz w:val="16"/>
          <w:szCs w:val="16"/>
          <w:u w:val="dotted"/>
          <w:rtl/>
        </w:rPr>
        <w:t>(ואז שם נמשכים אחר הפתילה)</w:t>
      </w:r>
      <w:r w:rsidRPr="006319B2">
        <w:rPr>
          <w:rFonts w:hint="cs"/>
          <w:u w:val="dotted"/>
          <w:rtl/>
        </w:rPr>
        <w:t>:</w:t>
      </w:r>
    </w:p>
    <w:p w14:paraId="51A4E796" w14:textId="77777777" w:rsidR="004B2E7C" w:rsidRPr="001D2D8A" w:rsidRDefault="004B2E7C" w:rsidP="00FF2D21">
      <w:pPr>
        <w:pStyle w:val="aa"/>
        <w:numPr>
          <w:ilvl w:val="0"/>
          <w:numId w:val="90"/>
        </w:numPr>
      </w:pPr>
      <w:r>
        <w:rPr>
          <w:rFonts w:cs="Arial" w:hint="cs"/>
          <w:rtl/>
        </w:rPr>
        <w:t xml:space="preserve">טור- </w:t>
      </w:r>
      <w:r w:rsidRPr="001D2D8A">
        <w:rPr>
          <w:rFonts w:cs="Arial"/>
          <w:rtl/>
        </w:rPr>
        <w:t>ואפילו אם נתן מעט שמן זית בשמנים אלו שאינן נמשכין ואז נמשכין</w:t>
      </w:r>
      <w:r>
        <w:rPr>
          <w:rFonts w:cs="Arial" w:hint="cs"/>
          <w:rtl/>
        </w:rPr>
        <w:t>,</w:t>
      </w:r>
      <w:r w:rsidRPr="001D2D8A">
        <w:rPr>
          <w:rFonts w:cs="Arial"/>
          <w:rtl/>
        </w:rPr>
        <w:t xml:space="preserve"> אפ"ה אין מדליקין בהן</w:t>
      </w:r>
      <w:r>
        <w:rPr>
          <w:rFonts w:cs="Arial" w:hint="cs"/>
          <w:rtl/>
        </w:rPr>
        <w:t>,</w:t>
      </w:r>
      <w:r w:rsidRPr="001D2D8A">
        <w:rPr>
          <w:rFonts w:cs="Arial"/>
          <w:rtl/>
        </w:rPr>
        <w:t xml:space="preserve"> משום גזירה שמא לא יתן בהן שמן</w:t>
      </w:r>
      <w:r>
        <w:rPr>
          <w:rFonts w:cs="Arial" w:hint="cs"/>
          <w:rtl/>
        </w:rPr>
        <w:t>.</w:t>
      </w:r>
      <w:r w:rsidRPr="00D11ABD">
        <w:rPr>
          <w:rFonts w:cs="Arial" w:hint="cs"/>
          <w:color w:val="E36C0A" w:themeColor="accent6" w:themeShade="BF"/>
          <w:rtl/>
        </w:rPr>
        <w:t xml:space="preserve"> </w:t>
      </w:r>
      <w:r w:rsidRPr="00C713E9">
        <w:rPr>
          <w:rFonts w:cs="Arial" w:hint="cs"/>
          <w:color w:val="E36C0A" w:themeColor="accent6" w:themeShade="BF"/>
          <w:rtl/>
        </w:rPr>
        <w:t>(וכ"פ בשו"ע)</w:t>
      </w:r>
    </w:p>
    <w:p w14:paraId="3E5546D3"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88AE49E" w14:textId="77777777" w:rsidR="004B2E7C" w:rsidRDefault="004B2E7C" w:rsidP="00434A6A">
      <w:pPr>
        <w:rPr>
          <w:rFonts w:asciiTheme="minorBidi" w:hAnsiTheme="minorBidi"/>
          <w:rtl/>
        </w:rPr>
      </w:pPr>
      <w:r w:rsidRPr="00CC2350">
        <w:rPr>
          <w:rFonts w:asciiTheme="minorBidi" w:hAnsiTheme="minorBidi" w:cs="Arial"/>
          <w:rtl/>
        </w:rPr>
        <w:t>אין מדליקין נר לשבת אלא משמן הנמשך אחר הפתילה, ולפיכך אין מדליקין בזפת ולא בשעוה ולא בשמן העשוי מצמר גפן ולא באליה ולא בחלב</w:t>
      </w:r>
      <w:r>
        <w:rPr>
          <w:rFonts w:asciiTheme="minorBidi" w:hAnsiTheme="minorBidi" w:cs="Arial" w:hint="cs"/>
          <w:rtl/>
        </w:rPr>
        <w:t>.</w:t>
      </w:r>
      <w:r w:rsidRPr="00CC2350">
        <w:rPr>
          <w:rFonts w:asciiTheme="minorBidi" w:hAnsiTheme="minorBidi" w:cs="Arial"/>
          <w:rtl/>
        </w:rPr>
        <w:t xml:space="preserve"> וכן אין מדליקין בעטרן מפני שריחו רע ויניחנו ויצא</w:t>
      </w:r>
      <w:r>
        <w:rPr>
          <w:rFonts w:asciiTheme="minorBidi" w:hAnsiTheme="minorBidi" w:cs="Arial" w:hint="cs"/>
          <w:rtl/>
        </w:rPr>
        <w:t>.</w:t>
      </w:r>
      <w:r w:rsidRPr="00CC2350">
        <w:rPr>
          <w:rFonts w:asciiTheme="minorBidi" w:hAnsiTheme="minorBidi" w:cs="Arial"/>
          <w:rtl/>
        </w:rPr>
        <w:t xml:space="preserve"> ולא בצרי מפני שריחו נודף שמא יסתפק ממנו ונמצא מתחייב משום מכבה. </w:t>
      </w:r>
    </w:p>
    <w:p w14:paraId="337164AE" w14:textId="77777777" w:rsidR="004B2E7C" w:rsidRPr="00CC2350" w:rsidRDefault="004B2E7C" w:rsidP="00434A6A">
      <w:pPr>
        <w:rPr>
          <w:rFonts w:asciiTheme="minorBidi" w:hAnsiTheme="minorBidi"/>
          <w:rtl/>
        </w:rPr>
      </w:pPr>
    </w:p>
    <w:p w14:paraId="2030348A" w14:textId="77777777" w:rsidR="004B2E7C" w:rsidRDefault="004B2E7C" w:rsidP="00434A6A">
      <w:pPr>
        <w:pStyle w:val="2"/>
        <w:rPr>
          <w:rtl/>
        </w:rPr>
      </w:pPr>
      <w:r w:rsidRPr="00CC2350">
        <w:rPr>
          <w:rtl/>
        </w:rPr>
        <w:t>סעיף ד</w:t>
      </w:r>
      <w:r>
        <w:rPr>
          <w:rFonts w:hint="cs"/>
          <w:rtl/>
        </w:rPr>
        <w:t>: עירב שמן שמדליקים בו בשמן שאין מדליקים בו.</w:t>
      </w:r>
    </w:p>
    <w:p w14:paraId="745C56FD" w14:textId="77777777" w:rsidR="004B2E7C" w:rsidRPr="00EB4111" w:rsidRDefault="004B2E7C" w:rsidP="00434A6A">
      <w:pPr>
        <w:rPr>
          <w:rtl/>
        </w:rPr>
      </w:pPr>
      <w:r>
        <w:rPr>
          <w:rFonts w:cs="Arial" w:hint="cs"/>
          <w:rtl/>
        </w:rPr>
        <w:t>עיין במקורות בסעיף הקודם.</w:t>
      </w:r>
    </w:p>
    <w:p w14:paraId="15822558"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3CDF5724" w14:textId="77777777" w:rsidR="004B2E7C" w:rsidRDefault="004B2E7C" w:rsidP="00434A6A">
      <w:pPr>
        <w:rPr>
          <w:rFonts w:asciiTheme="minorBidi" w:hAnsiTheme="minorBidi"/>
          <w:rtl/>
        </w:rPr>
      </w:pPr>
      <w:r w:rsidRPr="00CC2350">
        <w:rPr>
          <w:rFonts w:asciiTheme="minorBidi" w:hAnsiTheme="minorBidi" w:cs="Arial"/>
          <w:rtl/>
        </w:rPr>
        <w:t>אפי</w:t>
      </w:r>
      <w:r>
        <w:rPr>
          <w:rFonts w:asciiTheme="minorBidi" w:hAnsiTheme="minorBidi" w:cs="Arial" w:hint="cs"/>
          <w:rtl/>
        </w:rPr>
        <w:t>לו</w:t>
      </w:r>
      <w:r w:rsidRPr="00CC2350">
        <w:rPr>
          <w:rFonts w:asciiTheme="minorBidi" w:hAnsiTheme="minorBidi" w:cs="Arial"/>
          <w:rtl/>
        </w:rPr>
        <w:t xml:space="preserve"> נתן מעט</w:t>
      </w:r>
      <w:r>
        <w:rPr>
          <w:rStyle w:val="a9"/>
          <w:rFonts w:asciiTheme="minorBidi" w:hAnsiTheme="minorBidi" w:cs="Arial"/>
          <w:rtl/>
        </w:rPr>
        <w:footnoteReference w:id="694"/>
      </w:r>
      <w:r w:rsidRPr="00CC2350">
        <w:rPr>
          <w:rFonts w:asciiTheme="minorBidi" w:hAnsiTheme="minorBidi" w:cs="Arial"/>
          <w:rtl/>
        </w:rPr>
        <w:t xml:space="preserve"> שמן זית בשמנים אלו שאינם נמשכים ואז נמשכין, אין מדליקין בהם. </w:t>
      </w:r>
    </w:p>
    <w:p w14:paraId="5F1EE66E" w14:textId="77777777" w:rsidR="004B2E7C" w:rsidRPr="00CC2350" w:rsidRDefault="004B2E7C" w:rsidP="00434A6A">
      <w:pPr>
        <w:rPr>
          <w:rFonts w:asciiTheme="minorBidi" w:hAnsiTheme="minorBidi"/>
          <w:rtl/>
        </w:rPr>
      </w:pPr>
    </w:p>
    <w:p w14:paraId="3F7AE872" w14:textId="77777777" w:rsidR="004B2E7C" w:rsidRDefault="004B2E7C" w:rsidP="00434A6A">
      <w:pPr>
        <w:pStyle w:val="2"/>
        <w:rPr>
          <w:rtl/>
        </w:rPr>
      </w:pPr>
      <w:r w:rsidRPr="00CC2350">
        <w:rPr>
          <w:rtl/>
        </w:rPr>
        <w:t>סעיף ה</w:t>
      </w:r>
      <w:r>
        <w:rPr>
          <w:rFonts w:hint="cs"/>
          <w:rtl/>
        </w:rPr>
        <w:t>:</w:t>
      </w:r>
      <w:r w:rsidRPr="006C3EBB">
        <w:rPr>
          <w:rFonts w:asciiTheme="minorBidi" w:hAnsiTheme="minorBidi"/>
          <w:rtl/>
        </w:rPr>
        <w:t xml:space="preserve"> </w:t>
      </w:r>
      <w:r w:rsidRPr="00CC2350">
        <w:rPr>
          <w:rFonts w:asciiTheme="minorBidi" w:hAnsiTheme="minorBidi"/>
          <w:rtl/>
        </w:rPr>
        <w:t>חלב מהותך וקרבי דגים</w:t>
      </w:r>
      <w:r>
        <w:rPr>
          <w:rFonts w:hint="cs"/>
          <w:rtl/>
        </w:rPr>
        <w:t>.</w:t>
      </w:r>
    </w:p>
    <w:p w14:paraId="69343920" w14:textId="77777777" w:rsidR="004B2E7C" w:rsidRPr="006C3EBB" w:rsidRDefault="004B2E7C" w:rsidP="00434A6A">
      <w:pPr>
        <w:rPr>
          <w:rtl/>
        </w:rPr>
      </w:pPr>
      <w:r w:rsidRPr="00421772">
        <w:rPr>
          <w:rFonts w:cs="Arial" w:hint="cs"/>
          <w:b/>
          <w:bCs/>
          <w:rtl/>
        </w:rPr>
        <w:t>שבת</w:t>
      </w:r>
      <w:r w:rsidRPr="00421772">
        <w:rPr>
          <w:rFonts w:cs="Arial" w:hint="cs"/>
          <w:b/>
          <w:bCs/>
          <w:sz w:val="16"/>
          <w:szCs w:val="16"/>
          <w:rtl/>
        </w:rPr>
        <w:t xml:space="preserve"> (ר"פ</w:t>
      </w:r>
      <w:r w:rsidRPr="00421772">
        <w:rPr>
          <w:rFonts w:cs="Arial"/>
          <w:b/>
          <w:bCs/>
          <w:sz w:val="16"/>
          <w:szCs w:val="16"/>
          <w:rtl/>
        </w:rPr>
        <w:t xml:space="preserve"> במה מדליקין</w:t>
      </w:r>
      <w:r w:rsidRPr="00421772">
        <w:rPr>
          <w:rFonts w:cs="Arial" w:hint="cs"/>
          <w:b/>
          <w:bCs/>
          <w:sz w:val="16"/>
          <w:szCs w:val="16"/>
          <w:rtl/>
        </w:rPr>
        <w:t>)</w:t>
      </w:r>
      <w:r w:rsidRPr="00421772">
        <w:rPr>
          <w:rFonts w:cs="Arial"/>
          <w:b/>
          <w:bCs/>
          <w:rtl/>
        </w:rPr>
        <w:t xml:space="preserve"> כ</w:t>
      </w:r>
      <w:r w:rsidRPr="00421772">
        <w:rPr>
          <w:rFonts w:cs="Arial" w:hint="cs"/>
          <w:b/>
          <w:bCs/>
          <w:rtl/>
        </w:rPr>
        <w:t xml:space="preserve"> ע"ב</w:t>
      </w:r>
      <w:r w:rsidRPr="00421772">
        <w:rPr>
          <w:rFonts w:cs="Arial"/>
          <w:b/>
          <w:bCs/>
          <w:rtl/>
        </w:rPr>
        <w:t>:</w:t>
      </w:r>
      <w:r w:rsidRPr="00B40386">
        <w:rPr>
          <w:rtl/>
        </w:rPr>
        <w:t xml:space="preserve"> </w:t>
      </w:r>
      <w:r w:rsidRPr="00B40386">
        <w:rPr>
          <w:rFonts w:cs="Arial"/>
          <w:u w:val="single"/>
          <w:rtl/>
        </w:rPr>
        <w:t>בעא מיניה אביי מרבה</w:t>
      </w:r>
      <w:r w:rsidRPr="00B40386">
        <w:rPr>
          <w:rFonts w:cs="Arial"/>
          <w:rtl/>
        </w:rPr>
        <w:t>: שמנים שאמרו חכמים אין מדליקין בהן בשבת, מהו שיתן לתוכן שמן כל שהוא וידליק? מי גזרינן דילמא אתי לאדלוקי בעינייהו, או לא? אמר ליה: אין מדליקין. מאי טעמא; לפי שאין מדליקין</w:t>
      </w:r>
      <w:r>
        <w:rPr>
          <w:rStyle w:val="a9"/>
          <w:rFonts w:cs="Arial"/>
          <w:rtl/>
        </w:rPr>
        <w:footnoteReference w:id="695"/>
      </w:r>
      <w:r w:rsidRPr="00B40386">
        <w:rPr>
          <w:rFonts w:cs="Arial"/>
          <w:rtl/>
        </w:rPr>
        <w:t>.</w:t>
      </w:r>
      <w:r>
        <w:rPr>
          <w:rFonts w:cs="Arial" w:hint="cs"/>
          <w:rtl/>
        </w:rPr>
        <w:t>..</w:t>
      </w:r>
      <w:r w:rsidRPr="00B40386">
        <w:rPr>
          <w:rFonts w:cs="Arial"/>
          <w:rtl/>
        </w:rPr>
        <w:t xml:space="preserve"> </w:t>
      </w:r>
      <w:r w:rsidRPr="006C3EBB">
        <w:rPr>
          <w:rtl/>
        </w:rPr>
        <w:t xml:space="preserve"> </w:t>
      </w:r>
      <w:r w:rsidRPr="00B40386">
        <w:rPr>
          <w:rFonts w:cs="Arial"/>
          <w:rtl/>
        </w:rPr>
        <w:t xml:space="preserve">איני? </w:t>
      </w:r>
      <w:r>
        <w:rPr>
          <w:rFonts w:cs="Arial" w:hint="cs"/>
          <w:u w:val="single"/>
          <w:rtl/>
        </w:rPr>
        <w:t>וה</w:t>
      </w:r>
      <w:r w:rsidRPr="006C3EBB">
        <w:rPr>
          <w:rFonts w:cs="Arial"/>
          <w:u w:val="single"/>
          <w:rtl/>
        </w:rPr>
        <w:t>אמר רב ברונא אמר רב</w:t>
      </w:r>
      <w:r w:rsidRPr="006C3EBB">
        <w:rPr>
          <w:rFonts w:cs="Arial"/>
          <w:rtl/>
        </w:rPr>
        <w:t>: חלב מהותך</w:t>
      </w:r>
      <w:r>
        <w:rPr>
          <w:rStyle w:val="a9"/>
          <w:rFonts w:cs="Arial"/>
          <w:rtl/>
        </w:rPr>
        <w:footnoteReference w:id="696"/>
      </w:r>
      <w:r w:rsidRPr="006C3EBB">
        <w:rPr>
          <w:rFonts w:cs="Arial"/>
          <w:rtl/>
        </w:rPr>
        <w:t xml:space="preserve"> וקרבי דגים</w:t>
      </w:r>
      <w:r>
        <w:rPr>
          <w:rStyle w:val="a9"/>
          <w:rFonts w:cs="Arial"/>
          <w:rtl/>
        </w:rPr>
        <w:footnoteReference w:id="697"/>
      </w:r>
      <w:r w:rsidRPr="006C3EBB">
        <w:rPr>
          <w:rFonts w:cs="Arial"/>
          <w:rtl/>
        </w:rPr>
        <w:t xml:space="preserve"> שנמוחו, אדם נותן לתוכו שמן כל שהוא ומדליק</w:t>
      </w:r>
      <w:r>
        <w:rPr>
          <w:rFonts w:cs="Arial" w:hint="cs"/>
          <w:rtl/>
        </w:rPr>
        <w:t>!</w:t>
      </w:r>
      <w:r w:rsidRPr="00B40386">
        <w:rPr>
          <w:rtl/>
        </w:rPr>
        <w:t xml:space="preserve"> </w:t>
      </w:r>
      <w:r w:rsidRPr="00B40386">
        <w:rPr>
          <w:rFonts w:cs="Arial"/>
          <w:rtl/>
        </w:rPr>
        <w:t xml:space="preserve">הני מימשכי בעינייהו, והני - לא מימשכי בעינייהו וגזרו רבנן על חלב מהותך משום חלב שאינו מהותך, ועל קרבי דגים שנמוחו משום קרבי דגים שלא נמוחו. - וליגזור נמי חלב מהותך וקרבי דגים שנמוחו שנתן לתוכן שמן, משום חלב מהותך וקרבי דגים שנמוחו שלא נתן לתוכן שמן. - היא גופה גזירה, ואנן ניקום וניגזור גזירה לגזירה?  </w:t>
      </w:r>
      <w:r w:rsidRPr="00B40386">
        <w:rPr>
          <w:rFonts w:cs="Arial" w:hint="cs"/>
          <w:sz w:val="16"/>
          <w:szCs w:val="16"/>
          <w:rtl/>
        </w:rPr>
        <w:t>(</w:t>
      </w:r>
      <w:r w:rsidRPr="00B40386">
        <w:rPr>
          <w:rFonts w:cs="Arial"/>
          <w:sz w:val="16"/>
          <w:szCs w:val="16"/>
          <w:rtl/>
        </w:rPr>
        <w:t>ופסקוה הרי"ף (ט.) והרא"ש (סי' ב) והרמב"ם בפ"ה (ה"ט) וכן הסכימו ההגהות (מיימוניות אות י) ודלא כסמ"ג (ל"ת סה, טז עמוד ב') וסמ"ק (סי' רעט) שפסקו דלא כוותיה</w:t>
      </w:r>
      <w:r w:rsidRPr="00B40386">
        <w:rPr>
          <w:rFonts w:cs="Arial" w:hint="cs"/>
          <w:sz w:val="16"/>
          <w:szCs w:val="16"/>
          <w:rtl/>
        </w:rPr>
        <w:t>, ב"י)</w:t>
      </w:r>
    </w:p>
    <w:p w14:paraId="1380670E" w14:textId="77777777" w:rsidR="004B2E7C" w:rsidRPr="006C3EBB" w:rsidRDefault="004B2E7C" w:rsidP="00434A6A">
      <w:pPr>
        <w:rPr>
          <w:u w:val="single"/>
          <w:rtl/>
        </w:rPr>
      </w:pPr>
      <w:r w:rsidRPr="006C3EBB">
        <w:rPr>
          <w:rFonts w:asciiTheme="minorBidi" w:hAnsiTheme="minorBidi" w:cs="Arial"/>
          <w:u w:val="single"/>
          <w:rtl/>
        </w:rPr>
        <w:t>חלב מהותך וקרבי דגים</w:t>
      </w:r>
      <w:r w:rsidRPr="006C3EBB">
        <w:rPr>
          <w:rFonts w:hint="cs"/>
          <w:u w:val="single"/>
          <w:rtl/>
        </w:rPr>
        <w:t>:</w:t>
      </w:r>
    </w:p>
    <w:p w14:paraId="3FFE432D" w14:textId="77777777" w:rsidR="004B2E7C" w:rsidRPr="00B40386" w:rsidRDefault="004B2E7C" w:rsidP="00FF2D21">
      <w:pPr>
        <w:pStyle w:val="aa"/>
        <w:numPr>
          <w:ilvl w:val="0"/>
          <w:numId w:val="90"/>
        </w:numPr>
        <w:rPr>
          <w:rtl/>
        </w:rPr>
      </w:pPr>
      <w:r>
        <w:rPr>
          <w:rFonts w:cs="Arial" w:hint="cs"/>
          <w:rtl/>
        </w:rPr>
        <w:t xml:space="preserve">טור- </w:t>
      </w:r>
      <w:r w:rsidRPr="001D2D8A">
        <w:rPr>
          <w:rFonts w:cs="Arial"/>
          <w:rtl/>
        </w:rPr>
        <w:t>חלב מהותך וקרבי דגים אין מדליקין בהן כשהם לבדם</w:t>
      </w:r>
      <w:r>
        <w:rPr>
          <w:rFonts w:cs="Arial" w:hint="cs"/>
          <w:rtl/>
        </w:rPr>
        <w:t>.</w:t>
      </w:r>
      <w:r w:rsidRPr="001D2D8A">
        <w:rPr>
          <w:rFonts w:cs="Arial"/>
          <w:rtl/>
        </w:rPr>
        <w:t xml:space="preserve"> ואם נתן בהן מעט שמן זית</w:t>
      </w:r>
      <w:r>
        <w:rPr>
          <w:rStyle w:val="a9"/>
          <w:rFonts w:cs="Arial"/>
          <w:rtl/>
        </w:rPr>
        <w:footnoteReference w:id="698"/>
      </w:r>
      <w:r>
        <w:rPr>
          <w:rFonts w:cs="Arial" w:hint="cs"/>
          <w:rtl/>
        </w:rPr>
        <w:t xml:space="preserve"> - </w:t>
      </w:r>
      <w:r w:rsidRPr="001D2D8A">
        <w:rPr>
          <w:rFonts w:cs="Arial"/>
          <w:rtl/>
        </w:rPr>
        <w:t>מדליקין בהן</w:t>
      </w:r>
      <w:r>
        <w:rPr>
          <w:rFonts w:cs="Arial" w:hint="cs"/>
          <w:rtl/>
        </w:rPr>
        <w:t>.</w:t>
      </w:r>
      <w:r w:rsidRPr="00D11ABD">
        <w:rPr>
          <w:rFonts w:cs="Arial" w:hint="cs"/>
          <w:color w:val="E36C0A" w:themeColor="accent6" w:themeShade="BF"/>
          <w:rtl/>
        </w:rPr>
        <w:t xml:space="preserve"> </w:t>
      </w:r>
      <w:r w:rsidRPr="00C713E9">
        <w:rPr>
          <w:rFonts w:cs="Arial" w:hint="cs"/>
          <w:color w:val="E36C0A" w:themeColor="accent6" w:themeShade="BF"/>
          <w:rtl/>
        </w:rPr>
        <w:t>(וכ"פ בשו"ע)</w:t>
      </w:r>
      <w:r>
        <w:rPr>
          <w:rFonts w:cs="Arial" w:hint="cs"/>
          <w:rtl/>
        </w:rPr>
        <w:t xml:space="preserve"> </w:t>
      </w:r>
      <w:r w:rsidRPr="001D2D8A">
        <w:rPr>
          <w:rFonts w:cs="Arial"/>
          <w:rtl/>
        </w:rPr>
        <w:t xml:space="preserve"> </w:t>
      </w:r>
    </w:p>
    <w:p w14:paraId="1863ECF1"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C8599FD" w14:textId="77777777" w:rsidR="004B2E7C" w:rsidRDefault="004B2E7C" w:rsidP="00434A6A">
      <w:pPr>
        <w:rPr>
          <w:rFonts w:asciiTheme="minorBidi" w:hAnsiTheme="minorBidi"/>
          <w:rtl/>
        </w:rPr>
      </w:pPr>
      <w:r w:rsidRPr="00CC2350">
        <w:rPr>
          <w:rFonts w:asciiTheme="minorBidi" w:hAnsiTheme="minorBidi" w:cs="Arial"/>
          <w:rtl/>
        </w:rPr>
        <w:t>חלב מהותך</w:t>
      </w:r>
      <w:r>
        <w:rPr>
          <w:rStyle w:val="a9"/>
          <w:rFonts w:asciiTheme="minorBidi" w:hAnsiTheme="minorBidi" w:cs="Arial"/>
          <w:rtl/>
        </w:rPr>
        <w:footnoteReference w:id="699"/>
      </w:r>
      <w:r w:rsidRPr="00CC2350">
        <w:rPr>
          <w:rFonts w:asciiTheme="minorBidi" w:hAnsiTheme="minorBidi" w:cs="Arial"/>
          <w:rtl/>
        </w:rPr>
        <w:t xml:space="preserve"> וקרבי דגים א</w:t>
      </w:r>
      <w:r>
        <w:rPr>
          <w:rFonts w:asciiTheme="minorBidi" w:hAnsiTheme="minorBidi" w:cs="Arial" w:hint="cs"/>
          <w:rtl/>
        </w:rPr>
        <w:t xml:space="preserve">ין </w:t>
      </w:r>
      <w:r w:rsidRPr="00CC2350">
        <w:rPr>
          <w:rFonts w:asciiTheme="minorBidi" w:hAnsiTheme="minorBidi" w:cs="Arial"/>
          <w:rtl/>
        </w:rPr>
        <w:t>מ</w:t>
      </w:r>
      <w:r>
        <w:rPr>
          <w:rFonts w:asciiTheme="minorBidi" w:hAnsiTheme="minorBidi" w:cs="Arial" w:hint="cs"/>
          <w:rtl/>
        </w:rPr>
        <w:t>דליקים</w:t>
      </w:r>
      <w:r w:rsidRPr="00CC2350">
        <w:rPr>
          <w:rFonts w:asciiTheme="minorBidi" w:hAnsiTheme="minorBidi" w:cs="Arial"/>
          <w:rtl/>
        </w:rPr>
        <w:t xml:space="preserve"> בהם</w:t>
      </w:r>
      <w:r>
        <w:rPr>
          <w:rFonts w:asciiTheme="minorBidi" w:hAnsiTheme="minorBidi" w:cs="Arial" w:hint="cs"/>
          <w:rtl/>
        </w:rPr>
        <w:t>.</w:t>
      </w:r>
      <w:r w:rsidRPr="00CC2350">
        <w:rPr>
          <w:rFonts w:asciiTheme="minorBidi" w:hAnsiTheme="minorBidi" w:cs="Arial"/>
          <w:rtl/>
        </w:rPr>
        <w:t xml:space="preserve"> ואם נתן בהם מעט מאחת משמנים שמדליקין בהם, מותר להדליק בהם. </w:t>
      </w:r>
    </w:p>
    <w:p w14:paraId="3C7160D8" w14:textId="77777777" w:rsidR="004B2E7C" w:rsidRPr="00CC2350" w:rsidRDefault="004B2E7C" w:rsidP="00434A6A">
      <w:pPr>
        <w:rPr>
          <w:rFonts w:asciiTheme="minorBidi" w:hAnsiTheme="minorBidi"/>
          <w:rtl/>
        </w:rPr>
      </w:pPr>
    </w:p>
    <w:p w14:paraId="649D0174" w14:textId="77777777" w:rsidR="004B2E7C" w:rsidRDefault="004B2E7C" w:rsidP="00434A6A">
      <w:pPr>
        <w:pStyle w:val="2"/>
        <w:rPr>
          <w:rtl/>
        </w:rPr>
      </w:pPr>
      <w:r w:rsidRPr="00CC2350">
        <w:rPr>
          <w:rtl/>
        </w:rPr>
        <w:t>סעיף ו</w:t>
      </w:r>
      <w:r>
        <w:rPr>
          <w:rFonts w:hint="cs"/>
          <w:rtl/>
        </w:rPr>
        <w:t>: שמנים שמדליקים בהם.</w:t>
      </w:r>
    </w:p>
    <w:p w14:paraId="764DA7D0" w14:textId="77777777" w:rsidR="004B2E7C" w:rsidRPr="00465980" w:rsidRDefault="004B2E7C" w:rsidP="00434A6A">
      <w:pPr>
        <w:rPr>
          <w:rtl/>
        </w:rPr>
      </w:pPr>
      <w:r w:rsidRPr="00421772">
        <w:rPr>
          <w:rFonts w:cs="Arial" w:hint="cs"/>
          <w:b/>
          <w:bCs/>
          <w:rtl/>
        </w:rPr>
        <w:t>שבת</w:t>
      </w:r>
      <w:r w:rsidRPr="00421772">
        <w:rPr>
          <w:rFonts w:cs="Arial" w:hint="cs"/>
          <w:b/>
          <w:bCs/>
          <w:sz w:val="16"/>
          <w:szCs w:val="16"/>
          <w:rtl/>
        </w:rPr>
        <w:t xml:space="preserve"> (פ</w:t>
      </w:r>
      <w:r>
        <w:rPr>
          <w:rFonts w:cs="Arial" w:hint="cs"/>
          <w:b/>
          <w:bCs/>
          <w:sz w:val="16"/>
          <w:szCs w:val="16"/>
          <w:rtl/>
        </w:rPr>
        <w:t>'</w:t>
      </w:r>
      <w:r w:rsidRPr="00421772">
        <w:rPr>
          <w:rFonts w:cs="Arial"/>
          <w:b/>
          <w:bCs/>
          <w:sz w:val="16"/>
          <w:szCs w:val="16"/>
          <w:rtl/>
        </w:rPr>
        <w:t xml:space="preserve"> במה מדליקין</w:t>
      </w:r>
      <w:r w:rsidRPr="00421772">
        <w:rPr>
          <w:rFonts w:cs="Arial" w:hint="cs"/>
          <w:b/>
          <w:bCs/>
          <w:sz w:val="16"/>
          <w:szCs w:val="16"/>
          <w:rtl/>
        </w:rPr>
        <w:t>)</w:t>
      </w:r>
      <w:r w:rsidRPr="00421772">
        <w:rPr>
          <w:rFonts w:cs="Arial"/>
          <w:b/>
          <w:bCs/>
          <w:rtl/>
        </w:rPr>
        <w:t xml:space="preserve"> כ</w:t>
      </w:r>
      <w:r>
        <w:rPr>
          <w:rFonts w:cs="Arial" w:hint="cs"/>
          <w:b/>
          <w:bCs/>
          <w:rtl/>
        </w:rPr>
        <w:t>ד</w:t>
      </w:r>
      <w:r w:rsidRPr="00421772">
        <w:rPr>
          <w:rFonts w:cs="Arial" w:hint="cs"/>
          <w:b/>
          <w:bCs/>
          <w:rtl/>
        </w:rPr>
        <w:t xml:space="preserve"> ע"ב</w:t>
      </w:r>
      <w:r w:rsidRPr="00421772">
        <w:rPr>
          <w:rFonts w:cs="Arial"/>
          <w:b/>
          <w:bCs/>
          <w:rtl/>
        </w:rPr>
        <w:t>:</w:t>
      </w:r>
      <w:r>
        <w:rPr>
          <w:rFonts w:cs="Arial"/>
          <w:rtl/>
        </w:rPr>
        <w:t xml:space="preserve"> </w:t>
      </w:r>
      <w:r w:rsidRPr="00421772">
        <w:rPr>
          <w:rFonts w:cs="Arial"/>
          <w:u w:val="double"/>
          <w:rtl/>
        </w:rPr>
        <w:t>משנה</w:t>
      </w:r>
      <w:r>
        <w:rPr>
          <w:rFonts w:cs="Arial" w:hint="cs"/>
          <w:rtl/>
        </w:rPr>
        <w:t>:</w:t>
      </w:r>
      <w:r w:rsidRPr="003131AC">
        <w:rPr>
          <w:rFonts w:cs="Arial"/>
          <w:rtl/>
        </w:rPr>
        <w:t xml:space="preserve"> אין מדליקין בשמן שריפה ביום טוב. </w:t>
      </w:r>
      <w:r w:rsidRPr="003131AC">
        <w:rPr>
          <w:rFonts w:cs="Arial"/>
          <w:u w:val="single"/>
          <w:rtl/>
        </w:rPr>
        <w:t>רבי ישמעאל אומר</w:t>
      </w:r>
      <w:r w:rsidRPr="003131AC">
        <w:rPr>
          <w:rFonts w:cs="Arial"/>
          <w:rtl/>
        </w:rPr>
        <w:t xml:space="preserve">: אין מדליקין בעטרן, מפני כבוד השבת. </w:t>
      </w:r>
      <w:r w:rsidRPr="00CE6AEE">
        <w:rPr>
          <w:rFonts w:cs="Arial"/>
          <w:u w:val="single"/>
          <w:rtl/>
        </w:rPr>
        <w:t>וחכמים מתירין</w:t>
      </w:r>
      <w:r w:rsidRPr="003131AC">
        <w:rPr>
          <w:rFonts w:cs="Arial"/>
          <w:rtl/>
        </w:rPr>
        <w:t xml:space="preserve"> בכל השמנים</w:t>
      </w:r>
      <w:r>
        <w:rPr>
          <w:rFonts w:cs="Arial" w:hint="cs"/>
          <w:rtl/>
        </w:rPr>
        <w:t>,</w:t>
      </w:r>
      <w:r w:rsidRPr="003131AC">
        <w:rPr>
          <w:rFonts w:cs="Arial"/>
          <w:rtl/>
        </w:rPr>
        <w:t xml:space="preserve"> בשמן שומשמין, בשמן אגוזים, בשמן צנונות, בשמן דגים, בשמן פקועות, בעטרן ובנפט. </w:t>
      </w:r>
      <w:r w:rsidRPr="00CE6AEE">
        <w:rPr>
          <w:rFonts w:cs="Arial"/>
          <w:u w:val="single"/>
          <w:rtl/>
        </w:rPr>
        <w:t>רבי טרפון אומר</w:t>
      </w:r>
      <w:r w:rsidRPr="003131AC">
        <w:rPr>
          <w:rFonts w:cs="Arial"/>
          <w:rtl/>
        </w:rPr>
        <w:t>: אין מדליקין אלא בשמן זית בלבד.</w:t>
      </w:r>
      <w:r>
        <w:rPr>
          <w:rFonts w:hint="cs"/>
          <w:rtl/>
        </w:rPr>
        <w:t xml:space="preserve"> </w:t>
      </w:r>
      <w:r>
        <w:rPr>
          <w:rFonts w:cs="Arial" w:hint="cs"/>
          <w:sz w:val="16"/>
          <w:szCs w:val="16"/>
          <w:rtl/>
        </w:rPr>
        <w:t>(</w:t>
      </w:r>
      <w:r w:rsidRPr="00CE6AEE">
        <w:rPr>
          <w:rFonts w:cs="Arial"/>
          <w:sz w:val="16"/>
          <w:szCs w:val="16"/>
          <w:rtl/>
        </w:rPr>
        <w:t>בשאר שמנים נקטינן כחכמים</w:t>
      </w:r>
      <w:r>
        <w:rPr>
          <w:rFonts w:cs="Arial" w:hint="cs"/>
          <w:sz w:val="16"/>
          <w:szCs w:val="16"/>
          <w:rtl/>
        </w:rPr>
        <w:t>,</w:t>
      </w:r>
      <w:r w:rsidRPr="00CE6AEE">
        <w:rPr>
          <w:rFonts w:cs="Arial"/>
          <w:sz w:val="16"/>
          <w:szCs w:val="16"/>
          <w:rtl/>
        </w:rPr>
        <w:t xml:space="preserve"> דרבי ישמעאל נמי לא פליג עלייהו אלא בעטרן לבדו</w:t>
      </w:r>
      <w:r>
        <w:rPr>
          <w:rFonts w:cs="Arial" w:hint="cs"/>
          <w:sz w:val="16"/>
          <w:szCs w:val="16"/>
          <w:rtl/>
        </w:rPr>
        <w:t>,</w:t>
      </w:r>
      <w:r w:rsidRPr="00CE6AEE">
        <w:rPr>
          <w:rFonts w:cs="Arial"/>
          <w:sz w:val="16"/>
          <w:szCs w:val="16"/>
          <w:rtl/>
        </w:rPr>
        <w:t xml:space="preserve"> והוה ליה רבי טרפון יחידאה לגבייהו</w:t>
      </w:r>
      <w:r>
        <w:rPr>
          <w:rFonts w:cs="Arial" w:hint="cs"/>
          <w:sz w:val="16"/>
          <w:szCs w:val="16"/>
          <w:rtl/>
        </w:rPr>
        <w:t>.</w:t>
      </w:r>
      <w:r w:rsidRPr="00CE6AEE">
        <w:rPr>
          <w:rFonts w:cs="Arial"/>
          <w:sz w:val="16"/>
          <w:szCs w:val="16"/>
          <w:rtl/>
        </w:rPr>
        <w:t xml:space="preserve"> ור</w:t>
      </w:r>
      <w:r>
        <w:rPr>
          <w:rFonts w:cs="Arial" w:hint="cs"/>
          <w:sz w:val="16"/>
          <w:szCs w:val="16"/>
          <w:rtl/>
        </w:rPr>
        <w:t>י"ו</w:t>
      </w:r>
      <w:r w:rsidRPr="00CE6AEE">
        <w:rPr>
          <w:rFonts w:cs="Arial"/>
          <w:sz w:val="16"/>
          <w:szCs w:val="16"/>
          <w:rtl/>
        </w:rPr>
        <w:t xml:space="preserve"> בח</w:t>
      </w:r>
      <w:r>
        <w:rPr>
          <w:rFonts w:cs="Arial" w:hint="cs"/>
          <w:sz w:val="16"/>
          <w:szCs w:val="16"/>
          <w:rtl/>
        </w:rPr>
        <w:t>"</w:t>
      </w:r>
      <w:r w:rsidRPr="00CE6AEE">
        <w:rPr>
          <w:rFonts w:cs="Arial"/>
          <w:sz w:val="16"/>
          <w:szCs w:val="16"/>
          <w:rtl/>
        </w:rPr>
        <w:t>ב (ני"ב סז.) פסק לגמרי כחכמים דשרו אף בעטרן. ודע דאע</w:t>
      </w:r>
      <w:r>
        <w:rPr>
          <w:rFonts w:cs="Arial" w:hint="cs"/>
          <w:sz w:val="16"/>
          <w:szCs w:val="16"/>
          <w:rtl/>
        </w:rPr>
        <w:t>"</w:t>
      </w:r>
      <w:r w:rsidRPr="00CE6AEE">
        <w:rPr>
          <w:rFonts w:cs="Arial"/>
          <w:sz w:val="16"/>
          <w:szCs w:val="16"/>
          <w:rtl/>
        </w:rPr>
        <w:t>ג דפסקינן הלכתא כחכמים שמתירין להדליק בכל השמנים כתבו התוס</w:t>
      </w:r>
      <w:r>
        <w:rPr>
          <w:rFonts w:cs="Arial" w:hint="cs"/>
          <w:sz w:val="16"/>
          <w:szCs w:val="16"/>
          <w:rtl/>
        </w:rPr>
        <w:t>'</w:t>
      </w:r>
      <w:r w:rsidRPr="00CE6AEE">
        <w:rPr>
          <w:rFonts w:cs="Arial"/>
          <w:sz w:val="16"/>
          <w:szCs w:val="16"/>
          <w:rtl/>
        </w:rPr>
        <w:t xml:space="preserve"> שם (כג. ד"ה מריש) אהא דאמר אביי מריש הוה מהדר מר אמשחא דשומשמי וכו' דלנר שבת פשיטא דשמן זית מן המובחר לפי שנמשך אחר הפתילה טפי מכולהו כדמוכח במתניתין וכולהו מודו ביה דמדליקין</w:t>
      </w:r>
      <w:r w:rsidRPr="00CE6AEE">
        <w:rPr>
          <w:rFonts w:hint="cs"/>
          <w:sz w:val="16"/>
          <w:szCs w:val="16"/>
          <w:rtl/>
        </w:rPr>
        <w:t>, ב"י</w:t>
      </w:r>
      <w:r>
        <w:rPr>
          <w:rFonts w:hint="cs"/>
          <w:sz w:val="16"/>
          <w:szCs w:val="16"/>
          <w:rtl/>
        </w:rPr>
        <w:t>.</w:t>
      </w:r>
      <w:r w:rsidRPr="00465980">
        <w:rPr>
          <w:rFonts w:cs="Arial" w:hint="cs"/>
          <w:color w:val="E36C0A" w:themeColor="accent6" w:themeShade="BF"/>
          <w:rtl/>
        </w:rPr>
        <w:t xml:space="preserve"> </w:t>
      </w:r>
      <w:r w:rsidRPr="00465980">
        <w:rPr>
          <w:rFonts w:hint="cs"/>
          <w:color w:val="E36C0A" w:themeColor="accent6" w:themeShade="BF"/>
          <w:sz w:val="16"/>
          <w:szCs w:val="16"/>
          <w:rtl/>
        </w:rPr>
        <w:t>(וכ"פ בשו"ע)</w:t>
      </w:r>
      <w:r w:rsidRPr="00CE6AEE">
        <w:rPr>
          <w:rFonts w:hint="cs"/>
          <w:sz w:val="16"/>
          <w:szCs w:val="16"/>
          <w:rtl/>
        </w:rPr>
        <w:t>)</w:t>
      </w:r>
    </w:p>
    <w:p w14:paraId="1C2BCD40" w14:textId="77777777" w:rsidR="004B2E7C" w:rsidRPr="00465980" w:rsidRDefault="004B2E7C" w:rsidP="00434A6A">
      <w:pPr>
        <w:rPr>
          <w:u w:val="single"/>
          <w:rtl/>
        </w:rPr>
      </w:pPr>
      <w:r w:rsidRPr="00465980">
        <w:rPr>
          <w:rFonts w:hint="cs"/>
          <w:u w:val="single"/>
          <w:rtl/>
        </w:rPr>
        <w:t>באלו שמנים מדליקים:</w:t>
      </w:r>
    </w:p>
    <w:p w14:paraId="576DDF4C" w14:textId="77777777" w:rsidR="004B2E7C" w:rsidRPr="00080BE7" w:rsidRDefault="004B2E7C" w:rsidP="00FF2D21">
      <w:pPr>
        <w:pStyle w:val="aa"/>
        <w:numPr>
          <w:ilvl w:val="0"/>
          <w:numId w:val="90"/>
        </w:numPr>
        <w:rPr>
          <w:rtl/>
        </w:rPr>
      </w:pPr>
      <w:r w:rsidRPr="00080BE7">
        <w:rPr>
          <w:rFonts w:cs="Arial" w:hint="cs"/>
          <w:rtl/>
        </w:rPr>
        <w:t xml:space="preserve">טור- </w:t>
      </w:r>
      <w:r w:rsidRPr="00080BE7">
        <w:rPr>
          <w:rFonts w:cs="Arial"/>
          <w:rtl/>
        </w:rPr>
        <w:t>ושאר השמנים כולן חוץ מאלו מדליקין בהן</w:t>
      </w:r>
      <w:r w:rsidRPr="00080BE7">
        <w:rPr>
          <w:rFonts w:cs="Arial" w:hint="cs"/>
          <w:rtl/>
        </w:rPr>
        <w:t>.</w:t>
      </w:r>
      <w:r w:rsidRPr="00465980">
        <w:rPr>
          <w:rFonts w:cs="Arial" w:hint="cs"/>
          <w:color w:val="E36C0A" w:themeColor="accent6" w:themeShade="BF"/>
          <w:rtl/>
        </w:rPr>
        <w:t xml:space="preserve"> </w:t>
      </w:r>
      <w:r w:rsidRPr="00C713E9">
        <w:rPr>
          <w:rFonts w:cs="Arial" w:hint="cs"/>
          <w:color w:val="E36C0A" w:themeColor="accent6" w:themeShade="BF"/>
          <w:rtl/>
        </w:rPr>
        <w:t>(וכ"פ בשו"ע)</w:t>
      </w:r>
    </w:p>
    <w:p w14:paraId="2D1C58A7"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3381C3AE" w14:textId="77777777" w:rsidR="004B2E7C" w:rsidRDefault="004B2E7C" w:rsidP="00434A6A">
      <w:pPr>
        <w:rPr>
          <w:rFonts w:asciiTheme="minorBidi" w:hAnsiTheme="minorBidi"/>
          <w:rtl/>
        </w:rPr>
      </w:pPr>
      <w:r w:rsidRPr="00CC2350">
        <w:rPr>
          <w:rFonts w:asciiTheme="minorBidi" w:hAnsiTheme="minorBidi" w:cs="Arial"/>
          <w:rtl/>
        </w:rPr>
        <w:t>שאר כל השמנים, חוץ מאלו, מדליקים בהם</w:t>
      </w:r>
      <w:r>
        <w:rPr>
          <w:rFonts w:asciiTheme="minorBidi" w:hAnsiTheme="minorBidi" w:cs="Arial" w:hint="cs"/>
          <w:rtl/>
        </w:rPr>
        <w:t>.</w:t>
      </w:r>
      <w:r w:rsidRPr="00CC2350">
        <w:rPr>
          <w:rFonts w:asciiTheme="minorBidi" w:hAnsiTheme="minorBidi" w:cs="Arial"/>
          <w:rtl/>
        </w:rPr>
        <w:t xml:space="preserve"> ומ</w:t>
      </w:r>
      <w:r>
        <w:rPr>
          <w:rFonts w:asciiTheme="minorBidi" w:hAnsiTheme="minorBidi" w:cs="Arial" w:hint="cs"/>
          <w:rtl/>
        </w:rPr>
        <w:t xml:space="preserve">כל </w:t>
      </w:r>
      <w:r w:rsidRPr="00CC2350">
        <w:rPr>
          <w:rFonts w:asciiTheme="minorBidi" w:hAnsiTheme="minorBidi" w:cs="Arial"/>
          <w:rtl/>
        </w:rPr>
        <w:t>מ</w:t>
      </w:r>
      <w:r>
        <w:rPr>
          <w:rFonts w:asciiTheme="minorBidi" w:hAnsiTheme="minorBidi" w:cs="Arial" w:hint="cs"/>
          <w:rtl/>
        </w:rPr>
        <w:t>קום</w:t>
      </w:r>
      <w:r w:rsidRPr="00CC2350">
        <w:rPr>
          <w:rFonts w:asciiTheme="minorBidi" w:hAnsiTheme="minorBidi" w:cs="Arial"/>
          <w:rtl/>
        </w:rPr>
        <w:t xml:space="preserve"> שמן זית מצוה מן המובחר</w:t>
      </w:r>
      <w:r>
        <w:rPr>
          <w:rStyle w:val="a9"/>
          <w:rFonts w:asciiTheme="minorBidi" w:hAnsiTheme="minorBidi" w:cs="Arial"/>
          <w:rtl/>
        </w:rPr>
        <w:footnoteReference w:id="700"/>
      </w:r>
      <w:r w:rsidRPr="00CC2350">
        <w:rPr>
          <w:rFonts w:asciiTheme="minorBidi" w:hAnsiTheme="minorBidi" w:cs="Arial"/>
          <w:rtl/>
        </w:rPr>
        <w:t xml:space="preserve">. </w:t>
      </w:r>
    </w:p>
    <w:p w14:paraId="143CA8DB" w14:textId="77777777" w:rsidR="004B2E7C" w:rsidRPr="00CC2350" w:rsidRDefault="004B2E7C" w:rsidP="00434A6A">
      <w:pPr>
        <w:rPr>
          <w:rFonts w:asciiTheme="minorBidi" w:hAnsiTheme="minorBidi"/>
          <w:rtl/>
        </w:rPr>
      </w:pPr>
    </w:p>
    <w:p w14:paraId="76268756" w14:textId="77777777" w:rsidR="004B2E7C" w:rsidRDefault="004B2E7C" w:rsidP="00434A6A">
      <w:pPr>
        <w:pStyle w:val="2"/>
        <w:rPr>
          <w:rtl/>
        </w:rPr>
      </w:pPr>
      <w:r w:rsidRPr="00CC2350">
        <w:rPr>
          <w:rtl/>
        </w:rPr>
        <w:t>סעיף ז</w:t>
      </w:r>
      <w:r>
        <w:rPr>
          <w:rFonts w:hint="cs"/>
          <w:rtl/>
        </w:rPr>
        <w:t>:</w:t>
      </w:r>
      <w:r w:rsidRPr="00465980">
        <w:rPr>
          <w:rtl/>
        </w:rPr>
        <w:t xml:space="preserve"> </w:t>
      </w:r>
      <w:r w:rsidRPr="001D2D8A">
        <w:rPr>
          <w:rtl/>
        </w:rPr>
        <w:t>שמן פסול ופתילה פסולה שכרכן יחד ועשה מהן נר</w:t>
      </w:r>
      <w:r>
        <w:rPr>
          <w:rFonts w:hint="cs"/>
          <w:rtl/>
        </w:rPr>
        <w:t>.</w:t>
      </w:r>
    </w:p>
    <w:p w14:paraId="3F22EDC5" w14:textId="77777777" w:rsidR="004B2E7C" w:rsidRPr="00465980" w:rsidRDefault="004B2E7C" w:rsidP="00434A6A">
      <w:pPr>
        <w:rPr>
          <w:u w:val="single"/>
          <w:rtl/>
        </w:rPr>
      </w:pPr>
      <w:r w:rsidRPr="00465980">
        <w:rPr>
          <w:rFonts w:cs="Arial"/>
          <w:u w:val="single"/>
          <w:rtl/>
        </w:rPr>
        <w:t>שמן פסול ופתילה פסולה שכרכן יחד ועשה מהן נר</w:t>
      </w:r>
      <w:r w:rsidRPr="00465980">
        <w:rPr>
          <w:rFonts w:hint="cs"/>
          <w:u w:val="single"/>
          <w:rtl/>
        </w:rPr>
        <w:t>:</w:t>
      </w:r>
    </w:p>
    <w:p w14:paraId="3A087E66" w14:textId="77777777" w:rsidR="004B2E7C" w:rsidRPr="007A3F5D" w:rsidRDefault="004B2E7C" w:rsidP="00FF2D21">
      <w:pPr>
        <w:pStyle w:val="aa"/>
        <w:numPr>
          <w:ilvl w:val="0"/>
          <w:numId w:val="90"/>
        </w:numPr>
      </w:pPr>
      <w:r>
        <w:rPr>
          <w:rFonts w:cs="Arial" w:hint="cs"/>
          <w:rtl/>
        </w:rPr>
        <w:t xml:space="preserve">י"א </w:t>
      </w:r>
      <w:r>
        <w:rPr>
          <w:rFonts w:cs="Arial" w:hint="cs"/>
          <w:sz w:val="16"/>
          <w:szCs w:val="16"/>
          <w:rtl/>
        </w:rPr>
        <w:t>(הביאום הרא"ש [פ' במה מדליקין סי' א] והטור)</w:t>
      </w:r>
      <w:r>
        <w:rPr>
          <w:rFonts w:cs="Arial" w:hint="cs"/>
          <w:rtl/>
        </w:rPr>
        <w:t xml:space="preserve">- </w:t>
      </w:r>
      <w:r w:rsidRPr="001D2D8A">
        <w:rPr>
          <w:rFonts w:cs="Arial"/>
          <w:rtl/>
        </w:rPr>
        <w:t xml:space="preserve">אפילו שמן פסול ופתילה פסולה שכרכן יחד ועשה מהן נר </w:t>
      </w:r>
      <w:r>
        <w:rPr>
          <w:rFonts w:cs="Arial"/>
          <w:rtl/>
        </w:rPr>
        <w:t>–</w:t>
      </w:r>
      <w:r>
        <w:rPr>
          <w:rFonts w:cs="Arial" w:hint="cs"/>
          <w:rtl/>
        </w:rPr>
        <w:t xml:space="preserve"> מותר. </w:t>
      </w:r>
      <w:r w:rsidRPr="001D2D8A">
        <w:rPr>
          <w:rFonts w:cs="Arial"/>
          <w:rtl/>
        </w:rPr>
        <w:t>שלא אסרו אלא בשכל א</w:t>
      </w:r>
      <w:r>
        <w:rPr>
          <w:rFonts w:cs="Arial" w:hint="cs"/>
          <w:rtl/>
        </w:rPr>
        <w:t>חד</w:t>
      </w:r>
      <w:r w:rsidRPr="001D2D8A">
        <w:rPr>
          <w:rFonts w:cs="Arial"/>
          <w:rtl/>
        </w:rPr>
        <w:t xml:space="preserve"> לבדו בתוך הנר</w:t>
      </w:r>
      <w:r>
        <w:rPr>
          <w:rFonts w:cs="Arial" w:hint="cs"/>
          <w:rtl/>
        </w:rPr>
        <w:t>,</w:t>
      </w:r>
      <w:r w:rsidRPr="001D2D8A">
        <w:rPr>
          <w:rFonts w:cs="Arial"/>
          <w:rtl/>
        </w:rPr>
        <w:t xml:space="preserve"> אבל כשכרכן יחד שרי</w:t>
      </w:r>
      <w:r>
        <w:rPr>
          <w:rFonts w:cs="Arial" w:hint="cs"/>
          <w:rtl/>
        </w:rPr>
        <w:t>,</w:t>
      </w:r>
      <w:r w:rsidRPr="001D2D8A">
        <w:rPr>
          <w:rFonts w:cs="Arial"/>
          <w:rtl/>
        </w:rPr>
        <w:t xml:space="preserve"> דטעמא משום שאין נמשכין אחר הפתילה</w:t>
      </w:r>
      <w:r>
        <w:rPr>
          <w:rFonts w:cs="Arial" w:hint="cs"/>
          <w:rtl/>
        </w:rPr>
        <w:t>,</w:t>
      </w:r>
      <w:r w:rsidRPr="001D2D8A">
        <w:rPr>
          <w:rFonts w:cs="Arial"/>
          <w:rtl/>
        </w:rPr>
        <w:t xml:space="preserve"> וכשכרכן יחד לא שייך האי טעמא</w:t>
      </w:r>
      <w:r>
        <w:rPr>
          <w:rFonts w:cs="Arial" w:hint="cs"/>
          <w:rtl/>
        </w:rPr>
        <w:t>.</w:t>
      </w:r>
      <w:r w:rsidRPr="001D2D8A">
        <w:rPr>
          <w:rFonts w:cs="Arial"/>
          <w:rtl/>
        </w:rPr>
        <w:t xml:space="preserve"> </w:t>
      </w:r>
    </w:p>
    <w:p w14:paraId="72E5F51B" w14:textId="77777777" w:rsidR="004B2E7C" w:rsidRDefault="004B2E7C" w:rsidP="00FF2D21">
      <w:pPr>
        <w:pStyle w:val="aa"/>
        <w:numPr>
          <w:ilvl w:val="0"/>
          <w:numId w:val="90"/>
        </w:numPr>
      </w:pPr>
      <w:r w:rsidRPr="001D2D8A">
        <w:rPr>
          <w:rFonts w:cs="Arial"/>
          <w:rtl/>
        </w:rPr>
        <w:t>ר"ת</w:t>
      </w:r>
      <w:r>
        <w:rPr>
          <w:rFonts w:cs="Arial" w:hint="cs"/>
          <w:sz w:val="16"/>
          <w:szCs w:val="16"/>
          <w:rtl/>
        </w:rPr>
        <w:t xml:space="preserve"> (הביאוהו הרא"ש [שם] והטור)</w:t>
      </w:r>
      <w:r>
        <w:rPr>
          <w:rFonts w:cs="Arial" w:hint="cs"/>
          <w:rtl/>
        </w:rPr>
        <w:t xml:space="preserve"> התרומה </w:t>
      </w:r>
      <w:r>
        <w:rPr>
          <w:rFonts w:cs="Arial" w:hint="cs"/>
          <w:sz w:val="16"/>
          <w:szCs w:val="16"/>
          <w:rtl/>
        </w:rPr>
        <w:t>(סי' רכז)</w:t>
      </w:r>
      <w:r>
        <w:rPr>
          <w:rFonts w:cs="Arial" w:hint="cs"/>
          <w:rtl/>
        </w:rPr>
        <w:t xml:space="preserve"> רא"ש</w:t>
      </w:r>
      <w:r>
        <w:rPr>
          <w:rFonts w:cs="Arial" w:hint="cs"/>
          <w:sz w:val="16"/>
          <w:szCs w:val="16"/>
          <w:rtl/>
        </w:rPr>
        <w:t xml:space="preserve"> (סי' א)</w:t>
      </w:r>
      <w:r>
        <w:rPr>
          <w:rFonts w:cs="Arial" w:hint="cs"/>
          <w:rtl/>
        </w:rPr>
        <w:t xml:space="preserve"> ורי"ו</w:t>
      </w:r>
      <w:r w:rsidRPr="002222CD">
        <w:rPr>
          <w:rFonts w:cs="Arial"/>
          <w:rtl/>
        </w:rPr>
        <w:t xml:space="preserve"> </w:t>
      </w:r>
      <w:r w:rsidRPr="002222CD">
        <w:rPr>
          <w:rFonts w:cs="Arial" w:hint="cs"/>
          <w:sz w:val="16"/>
          <w:szCs w:val="16"/>
          <w:rtl/>
        </w:rPr>
        <w:t>(</w:t>
      </w:r>
      <w:r w:rsidRPr="002222CD">
        <w:rPr>
          <w:rFonts w:cs="Arial"/>
          <w:sz w:val="16"/>
          <w:szCs w:val="16"/>
          <w:rtl/>
        </w:rPr>
        <w:t>ח"ב סו ע"ד)</w:t>
      </w:r>
      <w:r>
        <w:rPr>
          <w:rFonts w:cs="Arial" w:hint="cs"/>
          <w:rtl/>
        </w:rPr>
        <w:t>-</w:t>
      </w:r>
      <w:r w:rsidRPr="001D2D8A">
        <w:rPr>
          <w:rFonts w:cs="Arial"/>
          <w:rtl/>
        </w:rPr>
        <w:t xml:space="preserve"> אס</w:t>
      </w:r>
      <w:r>
        <w:rPr>
          <w:rFonts w:cs="Arial" w:hint="cs"/>
          <w:rtl/>
        </w:rPr>
        <w:t>ו</w:t>
      </w:r>
      <w:r w:rsidRPr="001D2D8A">
        <w:rPr>
          <w:rFonts w:cs="Arial"/>
          <w:rtl/>
        </w:rPr>
        <w:t>ר</w:t>
      </w:r>
      <w:r>
        <w:rPr>
          <w:rFonts w:cs="Arial" w:hint="cs"/>
          <w:rtl/>
        </w:rPr>
        <w:t>.</w:t>
      </w:r>
      <w:r w:rsidRPr="001D2D8A">
        <w:rPr>
          <w:rFonts w:cs="Arial"/>
          <w:rtl/>
        </w:rPr>
        <w:t xml:space="preserve"> </w:t>
      </w:r>
      <w:r>
        <w:rPr>
          <w:rFonts w:hint="cs"/>
          <w:rtl/>
        </w:rPr>
        <w:t xml:space="preserve">(וכ"פ מג"א </w:t>
      </w:r>
      <w:r w:rsidRPr="002222CD">
        <w:rPr>
          <w:rFonts w:hint="cs"/>
          <w:sz w:val="16"/>
          <w:szCs w:val="16"/>
          <w:rtl/>
        </w:rPr>
        <w:t xml:space="preserve">[סקי"ג] </w:t>
      </w:r>
      <w:r>
        <w:rPr>
          <w:rFonts w:hint="cs"/>
          <w:rtl/>
        </w:rPr>
        <w:t xml:space="preserve">ומשנ"ב </w:t>
      </w:r>
      <w:r w:rsidRPr="002222CD">
        <w:rPr>
          <w:rFonts w:hint="cs"/>
          <w:sz w:val="16"/>
          <w:szCs w:val="16"/>
          <w:rtl/>
        </w:rPr>
        <w:t>[סקכ"ה]</w:t>
      </w:r>
      <w:r>
        <w:rPr>
          <w:rFonts w:hint="cs"/>
          <w:rtl/>
        </w:rPr>
        <w:t>)</w:t>
      </w:r>
    </w:p>
    <w:p w14:paraId="7AF8F5C8" w14:textId="77777777" w:rsidR="004B2E7C" w:rsidRDefault="004B2E7C" w:rsidP="00434A6A">
      <w:r w:rsidRPr="00565331">
        <w:rPr>
          <w:rFonts w:cs="Arial" w:hint="cs"/>
          <w:b/>
          <w:bCs/>
          <w:rtl/>
        </w:rPr>
        <w:t xml:space="preserve">שבת </w:t>
      </w:r>
      <w:r w:rsidRPr="00762875">
        <w:rPr>
          <w:rFonts w:cs="Arial" w:hint="cs"/>
          <w:b/>
          <w:bCs/>
          <w:sz w:val="16"/>
          <w:szCs w:val="16"/>
          <w:rtl/>
        </w:rPr>
        <w:t>(</w:t>
      </w:r>
      <w:r>
        <w:rPr>
          <w:rFonts w:cs="Arial" w:hint="cs"/>
          <w:b/>
          <w:bCs/>
          <w:sz w:val="16"/>
          <w:szCs w:val="16"/>
          <w:rtl/>
        </w:rPr>
        <w:t>ר"</w:t>
      </w:r>
      <w:r w:rsidRPr="00762875">
        <w:rPr>
          <w:rFonts w:cs="Arial" w:hint="cs"/>
          <w:b/>
          <w:bCs/>
          <w:sz w:val="16"/>
          <w:szCs w:val="16"/>
          <w:rtl/>
        </w:rPr>
        <w:t xml:space="preserve">פ </w:t>
      </w:r>
      <w:r>
        <w:rPr>
          <w:rFonts w:cs="Arial" w:hint="cs"/>
          <w:b/>
          <w:bCs/>
          <w:sz w:val="16"/>
          <w:szCs w:val="16"/>
          <w:rtl/>
        </w:rPr>
        <w:t>במה מדליקין</w:t>
      </w:r>
      <w:r w:rsidRPr="00762875">
        <w:rPr>
          <w:rFonts w:cs="Arial" w:hint="cs"/>
          <w:b/>
          <w:bCs/>
          <w:sz w:val="16"/>
          <w:szCs w:val="16"/>
          <w:rtl/>
        </w:rPr>
        <w:t xml:space="preserve">) </w:t>
      </w:r>
      <w:r>
        <w:rPr>
          <w:rFonts w:cs="Arial" w:hint="cs"/>
          <w:b/>
          <w:bCs/>
          <w:rtl/>
        </w:rPr>
        <w:t>כ</w:t>
      </w:r>
      <w:r w:rsidRPr="00565331">
        <w:rPr>
          <w:rFonts w:cs="Arial" w:hint="cs"/>
          <w:b/>
          <w:bCs/>
          <w:rtl/>
        </w:rPr>
        <w:t xml:space="preserve"> ע"</w:t>
      </w:r>
      <w:r>
        <w:rPr>
          <w:rFonts w:cs="Arial" w:hint="cs"/>
          <w:b/>
          <w:bCs/>
          <w:rtl/>
        </w:rPr>
        <w:t>ב</w:t>
      </w:r>
      <w:r w:rsidRPr="00565331">
        <w:rPr>
          <w:rFonts w:cs="Arial" w:hint="cs"/>
          <w:b/>
          <w:bCs/>
          <w:rtl/>
        </w:rPr>
        <w:t>:</w:t>
      </w:r>
      <w:r>
        <w:rPr>
          <w:rFonts w:cs="Arial" w:hint="cs"/>
          <w:rtl/>
        </w:rPr>
        <w:t xml:space="preserve"> </w:t>
      </w:r>
      <w:r w:rsidRPr="00421772">
        <w:rPr>
          <w:rFonts w:cs="Arial"/>
          <w:u w:val="double"/>
          <w:rtl/>
        </w:rPr>
        <w:t>משנה</w:t>
      </w:r>
      <w:r>
        <w:rPr>
          <w:rFonts w:cs="Arial" w:hint="cs"/>
          <w:rtl/>
        </w:rPr>
        <w:t>:</w:t>
      </w:r>
      <w:r w:rsidRPr="00421772">
        <w:rPr>
          <w:rFonts w:cs="Arial"/>
          <w:rtl/>
        </w:rPr>
        <w:t xml:space="preserve"> במה מדליקין ובמה אין מדליקין?</w:t>
      </w:r>
      <w:r>
        <w:rPr>
          <w:rFonts w:cs="Arial" w:hint="cs"/>
          <w:rtl/>
        </w:rPr>
        <w:t>...</w:t>
      </w:r>
      <w:r w:rsidRPr="00421772">
        <w:rPr>
          <w:rFonts w:cs="Arial"/>
          <w:rtl/>
        </w:rPr>
        <w:t xml:space="preserve"> אין מדליקין</w:t>
      </w:r>
      <w:r>
        <w:rPr>
          <w:rFonts w:cs="Arial" w:hint="cs"/>
          <w:rtl/>
        </w:rPr>
        <w:t>...</w:t>
      </w:r>
      <w:r w:rsidRPr="00F018D0">
        <w:rPr>
          <w:rtl/>
        </w:rPr>
        <w:t xml:space="preserve"> </w:t>
      </w:r>
      <w:r w:rsidRPr="00F018D0">
        <w:rPr>
          <w:rFonts w:cs="Arial"/>
          <w:rtl/>
        </w:rPr>
        <w:t>ולא בפתילת המדבר, ולא בירוקה שעל פני המים. ולא בזפת, ולא בשעוה</w:t>
      </w:r>
      <w:r>
        <w:rPr>
          <w:rFonts w:cs="Arial" w:hint="cs"/>
          <w:rtl/>
        </w:rPr>
        <w:t xml:space="preserve">... </w:t>
      </w:r>
      <w:r w:rsidRPr="007A3F5D">
        <w:rPr>
          <w:rFonts w:cs="Arial"/>
          <w:rtl/>
        </w:rPr>
        <w:t xml:space="preserve"> </w:t>
      </w:r>
      <w:r>
        <w:rPr>
          <w:rFonts w:cs="Arial" w:hint="cs"/>
          <w:rtl/>
        </w:rPr>
        <w:t xml:space="preserve">    </w:t>
      </w:r>
      <w:r w:rsidRPr="00F018D0">
        <w:rPr>
          <w:rFonts w:cs="Arial" w:hint="cs"/>
          <w:u w:val="double"/>
          <w:rtl/>
        </w:rPr>
        <w:t>גמ'</w:t>
      </w:r>
      <w:r>
        <w:rPr>
          <w:rFonts w:cs="Arial" w:hint="cs"/>
          <w:rtl/>
        </w:rPr>
        <w:t xml:space="preserve">: ולא בזפת... </w:t>
      </w:r>
      <w:r w:rsidRPr="007A3F5D">
        <w:rPr>
          <w:rFonts w:cs="Arial"/>
          <w:rtl/>
        </w:rPr>
        <w:t>תנא: עד כאן - פסול פתילות, מכאן ואילך - פסול שמנים. פשיטא! שעוה איצטריכא ליה, מהו דתימא: לפתילות נמי לא חזיא, קא משמע לן</w:t>
      </w:r>
      <w:r>
        <w:rPr>
          <w:rStyle w:val="a9"/>
          <w:rFonts w:cs="Arial"/>
          <w:rtl/>
        </w:rPr>
        <w:footnoteReference w:id="701"/>
      </w:r>
      <w:r w:rsidRPr="007A3F5D">
        <w:rPr>
          <w:rFonts w:cs="Arial"/>
          <w:rtl/>
        </w:rPr>
        <w:t xml:space="preserve">. </w:t>
      </w:r>
    </w:p>
    <w:p w14:paraId="3BF9E5EE" w14:textId="77777777" w:rsidR="004B2E7C" w:rsidRPr="007A3F5D" w:rsidRDefault="004B2E7C" w:rsidP="00434A6A">
      <w:pPr>
        <w:rPr>
          <w:u w:val="single"/>
        </w:rPr>
      </w:pPr>
      <w:r w:rsidRPr="007A3F5D">
        <w:rPr>
          <w:rFonts w:cs="Arial"/>
          <w:u w:val="single"/>
          <w:rtl/>
        </w:rPr>
        <w:t>כרך שעוה סביב הפתילה ועשה ממנו נר</w:t>
      </w:r>
      <w:r w:rsidRPr="007A3F5D">
        <w:rPr>
          <w:rFonts w:hint="cs"/>
          <w:u w:val="single"/>
          <w:rtl/>
        </w:rPr>
        <w:t>:</w:t>
      </w:r>
    </w:p>
    <w:p w14:paraId="7CF6A111" w14:textId="77777777" w:rsidR="004B2E7C" w:rsidRPr="00D23AC0" w:rsidRDefault="004B2E7C" w:rsidP="00FF2D21">
      <w:pPr>
        <w:pStyle w:val="aa"/>
        <w:numPr>
          <w:ilvl w:val="0"/>
          <w:numId w:val="90"/>
        </w:numPr>
        <w:rPr>
          <w:rtl/>
        </w:rPr>
      </w:pPr>
      <w:r>
        <w:rPr>
          <w:rFonts w:cs="Arial" w:hint="cs"/>
          <w:rtl/>
        </w:rPr>
        <w:t>רי"ף רש"י תוס' תרומה סמ"ג ה"ר יונה סמ"ק הגה"מ ורא"ש</w:t>
      </w:r>
      <w:r>
        <w:rPr>
          <w:rStyle w:val="a9"/>
          <w:rFonts w:cs="Arial"/>
          <w:rtl/>
        </w:rPr>
        <w:footnoteReference w:id="702"/>
      </w:r>
      <w:r>
        <w:rPr>
          <w:rFonts w:cs="Arial" w:hint="cs"/>
          <w:rtl/>
        </w:rPr>
        <w:t>-</w:t>
      </w:r>
      <w:r w:rsidRPr="001D2D8A">
        <w:rPr>
          <w:rFonts w:cs="Arial"/>
          <w:rtl/>
        </w:rPr>
        <w:t xml:space="preserve"> מ</w:t>
      </w:r>
      <w:r>
        <w:rPr>
          <w:rFonts w:cs="Arial" w:hint="cs"/>
          <w:rtl/>
        </w:rPr>
        <w:t>ו</w:t>
      </w:r>
      <w:r w:rsidRPr="001D2D8A">
        <w:rPr>
          <w:rFonts w:cs="Arial"/>
          <w:rtl/>
        </w:rPr>
        <w:t xml:space="preserve">תר. </w:t>
      </w:r>
      <w:r w:rsidRPr="00C713E9">
        <w:rPr>
          <w:rFonts w:cs="Arial" w:hint="cs"/>
          <w:color w:val="E36C0A" w:themeColor="accent6" w:themeShade="BF"/>
          <w:rtl/>
        </w:rPr>
        <w:t>(וכ"פ בשו"ע)</w:t>
      </w:r>
    </w:p>
    <w:p w14:paraId="1C8DFF91" w14:textId="77777777" w:rsidR="004B2E7C" w:rsidRPr="00E36642" w:rsidRDefault="004B2E7C" w:rsidP="00FF2D21">
      <w:pPr>
        <w:pStyle w:val="aa"/>
        <w:numPr>
          <w:ilvl w:val="0"/>
          <w:numId w:val="90"/>
        </w:numPr>
      </w:pPr>
      <w:r>
        <w:rPr>
          <w:rFonts w:cs="Arial" w:hint="cs"/>
          <w:rtl/>
        </w:rPr>
        <w:t xml:space="preserve">גאונים </w:t>
      </w:r>
      <w:r>
        <w:rPr>
          <w:rFonts w:cs="Arial" w:hint="cs"/>
          <w:sz w:val="16"/>
          <w:szCs w:val="16"/>
          <w:rtl/>
        </w:rPr>
        <w:t xml:space="preserve">(כ"כ הטור בשמם) </w:t>
      </w:r>
      <w:r>
        <w:rPr>
          <w:rFonts w:cs="Arial" w:hint="cs"/>
          <w:rtl/>
        </w:rPr>
        <w:t>ובני נרבונא</w:t>
      </w:r>
      <w:r>
        <w:rPr>
          <w:rFonts w:cs="Arial" w:hint="cs"/>
          <w:sz w:val="16"/>
          <w:szCs w:val="16"/>
          <w:rtl/>
        </w:rPr>
        <w:t xml:space="preserve"> (הביאום התוס' [שם] והרא"ש [שם])</w:t>
      </w:r>
      <w:r>
        <w:rPr>
          <w:rFonts w:cs="Arial" w:hint="cs"/>
          <w:rtl/>
        </w:rPr>
        <w:t>-</w:t>
      </w:r>
      <w:r w:rsidRPr="001D2D8A">
        <w:rPr>
          <w:rFonts w:cs="Arial"/>
          <w:rtl/>
        </w:rPr>
        <w:t xml:space="preserve"> אס</w:t>
      </w:r>
      <w:r>
        <w:rPr>
          <w:rFonts w:cs="Arial" w:hint="cs"/>
          <w:rtl/>
        </w:rPr>
        <w:t>ו</w:t>
      </w:r>
      <w:r w:rsidRPr="001D2D8A">
        <w:rPr>
          <w:rFonts w:cs="Arial"/>
          <w:rtl/>
        </w:rPr>
        <w:t>ר</w:t>
      </w:r>
      <w:r>
        <w:rPr>
          <w:rStyle w:val="a9"/>
          <w:rFonts w:cs="Arial"/>
          <w:rtl/>
        </w:rPr>
        <w:footnoteReference w:id="703"/>
      </w:r>
      <w:r>
        <w:rPr>
          <w:rFonts w:cs="Arial" w:hint="cs"/>
          <w:rtl/>
        </w:rPr>
        <w:t>.</w:t>
      </w:r>
    </w:p>
    <w:p w14:paraId="0E9210DB" w14:textId="77777777" w:rsidR="004B2E7C" w:rsidRPr="00E36642" w:rsidRDefault="004B2E7C" w:rsidP="00434A6A">
      <w:pPr>
        <w:ind w:left="360"/>
        <w:rPr>
          <w:u w:val="dotted"/>
        </w:rPr>
      </w:pPr>
      <w:r w:rsidRPr="00E36642">
        <w:rPr>
          <w:rFonts w:hint="cs"/>
          <w:u w:val="dotted"/>
          <w:rtl/>
        </w:rPr>
        <w:t xml:space="preserve">לרש"י וסיעתו </w:t>
      </w:r>
      <w:r w:rsidRPr="00E36642">
        <w:rPr>
          <w:u w:val="dotted"/>
          <w:rtl/>
        </w:rPr>
        <w:t>–</w:t>
      </w:r>
      <w:r w:rsidRPr="00E36642">
        <w:rPr>
          <w:rFonts w:hint="cs"/>
          <w:u w:val="dotted"/>
          <w:rtl/>
        </w:rPr>
        <w:t xml:space="preserve"> מה הדין אם כרך זפת/חלב סביב פתילה ועשה ממנו נר:</w:t>
      </w:r>
    </w:p>
    <w:p w14:paraId="149D575C" w14:textId="77777777" w:rsidR="004B2E7C" w:rsidRPr="00EB4111" w:rsidRDefault="004B2E7C" w:rsidP="00FF2D21">
      <w:pPr>
        <w:pStyle w:val="aa"/>
        <w:numPr>
          <w:ilvl w:val="0"/>
          <w:numId w:val="90"/>
        </w:numPr>
        <w:rPr>
          <w:rtl/>
        </w:rPr>
      </w:pPr>
      <w:r w:rsidRPr="0050228F">
        <w:rPr>
          <w:rFonts w:cs="Arial"/>
          <w:rtl/>
        </w:rPr>
        <w:t xml:space="preserve">תרומה </w:t>
      </w:r>
      <w:r w:rsidRPr="00856227">
        <w:rPr>
          <w:rFonts w:cs="Arial"/>
          <w:sz w:val="16"/>
          <w:szCs w:val="16"/>
          <w:rtl/>
        </w:rPr>
        <w:t>(</w:t>
      </w:r>
      <w:r>
        <w:rPr>
          <w:rFonts w:cs="Arial" w:hint="cs"/>
          <w:sz w:val="16"/>
          <w:szCs w:val="16"/>
          <w:rtl/>
        </w:rPr>
        <w:t>סי' רכז</w:t>
      </w:r>
      <w:r w:rsidRPr="00856227">
        <w:rPr>
          <w:rFonts w:cs="Arial"/>
          <w:sz w:val="16"/>
          <w:szCs w:val="16"/>
          <w:rtl/>
        </w:rPr>
        <w:t>)</w:t>
      </w:r>
      <w:r>
        <w:rPr>
          <w:rFonts w:cs="Arial" w:hint="cs"/>
          <w:sz w:val="16"/>
          <w:szCs w:val="16"/>
          <w:rtl/>
        </w:rPr>
        <w:t xml:space="preserve"> </w:t>
      </w:r>
      <w:r w:rsidRPr="0050228F">
        <w:rPr>
          <w:rFonts w:cs="Arial"/>
          <w:rtl/>
        </w:rPr>
        <w:t xml:space="preserve">סמ"ג </w:t>
      </w:r>
      <w:r w:rsidRPr="00856227">
        <w:rPr>
          <w:rFonts w:cs="Arial"/>
          <w:sz w:val="16"/>
          <w:szCs w:val="16"/>
          <w:rtl/>
        </w:rPr>
        <w:t>(ל"ת סה)</w:t>
      </w:r>
      <w:r w:rsidRPr="0050228F">
        <w:rPr>
          <w:rFonts w:cs="Arial"/>
          <w:rtl/>
        </w:rPr>
        <w:t xml:space="preserve"> </w:t>
      </w:r>
      <w:r w:rsidRPr="00E36642">
        <w:rPr>
          <w:rFonts w:cs="Arial"/>
          <w:rtl/>
        </w:rPr>
        <w:t xml:space="preserve">מרדכי </w:t>
      </w:r>
      <w:r w:rsidRPr="00E36642">
        <w:rPr>
          <w:rFonts w:cs="Arial"/>
          <w:sz w:val="16"/>
          <w:szCs w:val="16"/>
          <w:rtl/>
        </w:rPr>
        <w:t xml:space="preserve">(סי' רסב) </w:t>
      </w:r>
      <w:r w:rsidRPr="0050228F">
        <w:rPr>
          <w:rFonts w:cs="Arial"/>
          <w:rtl/>
        </w:rPr>
        <w:t>הגה</w:t>
      </w:r>
      <w:r>
        <w:rPr>
          <w:rFonts w:cs="Arial" w:hint="cs"/>
          <w:rtl/>
        </w:rPr>
        <w:t xml:space="preserve">"מ </w:t>
      </w:r>
      <w:r w:rsidRPr="00856227">
        <w:rPr>
          <w:rFonts w:cs="Arial" w:hint="cs"/>
          <w:sz w:val="16"/>
          <w:szCs w:val="16"/>
          <w:rtl/>
        </w:rPr>
        <w:t>(</w:t>
      </w:r>
      <w:r w:rsidRPr="00856227">
        <w:rPr>
          <w:rFonts w:cs="Arial"/>
          <w:sz w:val="16"/>
          <w:szCs w:val="16"/>
          <w:rtl/>
        </w:rPr>
        <w:t>פ"ה אות ט)</w:t>
      </w:r>
      <w:r w:rsidRPr="00E36642">
        <w:rPr>
          <w:rFonts w:cs="Arial" w:hint="cs"/>
          <w:rtl/>
        </w:rPr>
        <w:t xml:space="preserve"> </w:t>
      </w:r>
      <w:r w:rsidRPr="00E36642">
        <w:rPr>
          <w:rFonts w:cs="Arial"/>
          <w:rtl/>
        </w:rPr>
        <w:t xml:space="preserve">רא"ש </w:t>
      </w:r>
      <w:r w:rsidRPr="00E36642">
        <w:rPr>
          <w:rFonts w:cs="Arial"/>
          <w:sz w:val="16"/>
          <w:szCs w:val="16"/>
          <w:rtl/>
        </w:rPr>
        <w:t>(סי' א</w:t>
      </w:r>
      <w:r>
        <w:rPr>
          <w:rFonts w:cs="Arial" w:hint="cs"/>
          <w:sz w:val="16"/>
          <w:szCs w:val="16"/>
          <w:rtl/>
        </w:rPr>
        <w:t>, כ"כ בשמו הב"י</w:t>
      </w:r>
      <w:r w:rsidRPr="00E36642">
        <w:rPr>
          <w:rFonts w:cs="Arial"/>
          <w:sz w:val="16"/>
          <w:szCs w:val="16"/>
          <w:rtl/>
        </w:rPr>
        <w:t>)</w:t>
      </w:r>
      <w:r>
        <w:rPr>
          <w:rFonts w:cs="Arial" w:hint="cs"/>
          <w:sz w:val="16"/>
          <w:szCs w:val="16"/>
          <w:rtl/>
        </w:rPr>
        <w:t xml:space="preserve"> </w:t>
      </w:r>
      <w:r w:rsidRPr="00E36642">
        <w:rPr>
          <w:rFonts w:cs="Arial"/>
          <w:rtl/>
        </w:rPr>
        <w:t>ור</w:t>
      </w:r>
      <w:r>
        <w:rPr>
          <w:rFonts w:cs="Arial" w:hint="cs"/>
          <w:rtl/>
        </w:rPr>
        <w:t>י"ו</w:t>
      </w:r>
      <w:r w:rsidRPr="00E36642">
        <w:rPr>
          <w:rFonts w:cs="Arial"/>
          <w:rtl/>
        </w:rPr>
        <w:t xml:space="preserve"> </w:t>
      </w:r>
      <w:r w:rsidRPr="00E36642">
        <w:rPr>
          <w:rFonts w:cs="Arial" w:hint="cs"/>
          <w:sz w:val="16"/>
          <w:szCs w:val="16"/>
          <w:rtl/>
        </w:rPr>
        <w:t>(ח"</w:t>
      </w:r>
      <w:r w:rsidRPr="00E36642">
        <w:rPr>
          <w:rFonts w:cs="Arial"/>
          <w:sz w:val="16"/>
          <w:szCs w:val="16"/>
          <w:rtl/>
        </w:rPr>
        <w:t>ב שם)</w:t>
      </w:r>
      <w:r>
        <w:rPr>
          <w:rFonts w:cs="Arial" w:hint="cs"/>
          <w:rtl/>
        </w:rPr>
        <w:t>-</w:t>
      </w:r>
      <w:r w:rsidRPr="00E36642">
        <w:rPr>
          <w:rFonts w:cs="Arial"/>
          <w:rtl/>
        </w:rPr>
        <w:t xml:space="preserve"> הוא הדין בשל זפת או חלב שרי לדעת רש"י</w:t>
      </w:r>
      <w:r>
        <w:rPr>
          <w:rStyle w:val="a9"/>
          <w:rFonts w:cs="Arial"/>
          <w:rtl/>
        </w:rPr>
        <w:footnoteReference w:id="704"/>
      </w:r>
      <w:r w:rsidRPr="00E36642">
        <w:rPr>
          <w:rFonts w:cs="Arial" w:hint="cs"/>
          <w:rtl/>
        </w:rPr>
        <w:t>.</w:t>
      </w:r>
      <w:r w:rsidRPr="00E36642">
        <w:rPr>
          <w:rFonts w:cs="Arial"/>
          <w:rtl/>
        </w:rPr>
        <w:t xml:space="preserve"> </w:t>
      </w:r>
      <w:r w:rsidRPr="00C713E9">
        <w:rPr>
          <w:rFonts w:cs="Arial" w:hint="cs"/>
          <w:color w:val="E36C0A" w:themeColor="accent6" w:themeShade="BF"/>
          <w:rtl/>
        </w:rPr>
        <w:t>(וכ"פ בשו"ע)</w:t>
      </w:r>
    </w:p>
    <w:p w14:paraId="732D27EE"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661C88D" w14:textId="77777777" w:rsidR="004B2E7C" w:rsidRDefault="004B2E7C" w:rsidP="00434A6A">
      <w:pPr>
        <w:rPr>
          <w:rFonts w:asciiTheme="minorBidi" w:hAnsiTheme="minorBidi"/>
          <w:rtl/>
        </w:rPr>
      </w:pPr>
      <w:r w:rsidRPr="00CC2350">
        <w:rPr>
          <w:rFonts w:asciiTheme="minorBidi" w:hAnsiTheme="minorBidi" w:cs="Arial"/>
          <w:rtl/>
        </w:rPr>
        <w:t>כרך זפת או שעוה או חלב סביב הפתילה, מדליקים בהם</w:t>
      </w:r>
      <w:r>
        <w:rPr>
          <w:rStyle w:val="a9"/>
          <w:rFonts w:asciiTheme="minorBidi" w:hAnsiTheme="minorBidi" w:cs="Arial"/>
          <w:rtl/>
        </w:rPr>
        <w:footnoteReference w:id="705"/>
      </w:r>
      <w:r w:rsidRPr="00CC2350">
        <w:rPr>
          <w:rFonts w:asciiTheme="minorBidi" w:hAnsiTheme="minorBidi" w:cs="Arial"/>
          <w:rtl/>
        </w:rPr>
        <w:t xml:space="preserve">. </w:t>
      </w:r>
    </w:p>
    <w:p w14:paraId="1057A311" w14:textId="77777777" w:rsidR="004B2E7C" w:rsidRPr="00CC2350" w:rsidRDefault="004B2E7C" w:rsidP="00434A6A">
      <w:pPr>
        <w:rPr>
          <w:rFonts w:asciiTheme="minorBidi" w:hAnsiTheme="minorBidi"/>
          <w:rtl/>
        </w:rPr>
      </w:pPr>
    </w:p>
    <w:p w14:paraId="0D176E7D" w14:textId="77777777" w:rsidR="004B2E7C" w:rsidRDefault="004B2E7C" w:rsidP="00434A6A">
      <w:pPr>
        <w:pStyle w:val="2"/>
        <w:rPr>
          <w:rtl/>
        </w:rPr>
      </w:pPr>
      <w:r w:rsidRPr="00CC2350">
        <w:rPr>
          <w:rtl/>
        </w:rPr>
        <w:t>סעיף ח</w:t>
      </w:r>
      <w:r>
        <w:rPr>
          <w:rFonts w:hint="cs"/>
          <w:rtl/>
        </w:rPr>
        <w:t>: הדלקת רוב הפתילה.</w:t>
      </w:r>
    </w:p>
    <w:p w14:paraId="56F6646F" w14:textId="77777777" w:rsidR="004B2E7C" w:rsidRDefault="004B2E7C" w:rsidP="00434A6A">
      <w:pPr>
        <w:rPr>
          <w:rtl/>
        </w:rPr>
      </w:pPr>
      <w:r w:rsidRPr="00565331">
        <w:rPr>
          <w:rFonts w:cs="Arial" w:hint="cs"/>
          <w:b/>
          <w:bCs/>
          <w:rtl/>
        </w:rPr>
        <w:t xml:space="preserve">שבת </w:t>
      </w:r>
      <w:r w:rsidRPr="00762875">
        <w:rPr>
          <w:rFonts w:cs="Arial" w:hint="cs"/>
          <w:b/>
          <w:bCs/>
          <w:sz w:val="16"/>
          <w:szCs w:val="16"/>
          <w:rtl/>
        </w:rPr>
        <w:t>(</w:t>
      </w:r>
      <w:r>
        <w:rPr>
          <w:rFonts w:cs="Arial" w:hint="cs"/>
          <w:b/>
          <w:bCs/>
          <w:sz w:val="16"/>
          <w:szCs w:val="16"/>
          <w:rtl/>
        </w:rPr>
        <w:t>ס</w:t>
      </w:r>
      <w:r w:rsidRPr="00762875">
        <w:rPr>
          <w:rFonts w:cs="Arial" w:hint="cs"/>
          <w:b/>
          <w:bCs/>
          <w:sz w:val="16"/>
          <w:szCs w:val="16"/>
          <w:rtl/>
        </w:rPr>
        <w:t>פ</w:t>
      </w:r>
      <w:r>
        <w:rPr>
          <w:rFonts w:cs="Arial" w:hint="cs"/>
          <w:b/>
          <w:bCs/>
          <w:sz w:val="16"/>
          <w:szCs w:val="16"/>
          <w:rtl/>
        </w:rPr>
        <w:t>"ק</w:t>
      </w:r>
      <w:r w:rsidRPr="00762875">
        <w:rPr>
          <w:rFonts w:cs="Arial" w:hint="cs"/>
          <w:b/>
          <w:bCs/>
          <w:sz w:val="16"/>
          <w:szCs w:val="16"/>
          <w:rtl/>
        </w:rPr>
        <w:t xml:space="preserve">) </w:t>
      </w:r>
      <w:r>
        <w:rPr>
          <w:rFonts w:cs="Arial" w:hint="cs"/>
          <w:b/>
          <w:bCs/>
          <w:rtl/>
        </w:rPr>
        <w:t>כ</w:t>
      </w:r>
      <w:r w:rsidRPr="00565331">
        <w:rPr>
          <w:rFonts w:cs="Arial" w:hint="cs"/>
          <w:b/>
          <w:bCs/>
          <w:rtl/>
        </w:rPr>
        <w:t xml:space="preserve"> ע"</w:t>
      </w:r>
      <w:r>
        <w:rPr>
          <w:rFonts w:cs="Arial" w:hint="cs"/>
          <w:b/>
          <w:bCs/>
          <w:rtl/>
        </w:rPr>
        <w:t>ב</w:t>
      </w:r>
      <w:r w:rsidRPr="00565331">
        <w:rPr>
          <w:rFonts w:cs="Arial" w:hint="cs"/>
          <w:b/>
          <w:bCs/>
          <w:rtl/>
        </w:rPr>
        <w:t>:</w:t>
      </w:r>
      <w:r>
        <w:rPr>
          <w:rFonts w:cs="Arial" w:hint="cs"/>
          <w:rtl/>
        </w:rPr>
        <w:t xml:space="preserve"> </w:t>
      </w:r>
      <w:r w:rsidRPr="002222CD">
        <w:rPr>
          <w:rFonts w:cs="Arial"/>
          <w:u w:val="single"/>
          <w:rtl/>
        </w:rPr>
        <w:t>אמר עולא</w:t>
      </w:r>
      <w:r w:rsidRPr="002222CD">
        <w:rPr>
          <w:rFonts w:cs="Arial"/>
          <w:rtl/>
        </w:rPr>
        <w:t>: המדליק צריך שידליק ברוב היוצא</w:t>
      </w:r>
      <w:r>
        <w:rPr>
          <w:rFonts w:hint="cs"/>
          <w:rtl/>
        </w:rPr>
        <w:t>.</w:t>
      </w:r>
    </w:p>
    <w:p w14:paraId="4577EAEA" w14:textId="77777777" w:rsidR="004B2E7C" w:rsidRPr="00236AD9" w:rsidRDefault="004B2E7C" w:rsidP="00434A6A">
      <w:pPr>
        <w:rPr>
          <w:u w:val="single"/>
          <w:rtl/>
        </w:rPr>
      </w:pPr>
      <w:r w:rsidRPr="00236AD9">
        <w:rPr>
          <w:rFonts w:hint="cs"/>
          <w:u w:val="single"/>
          <w:rtl/>
        </w:rPr>
        <w:t>הדלקת רוב הפתילה:</w:t>
      </w:r>
    </w:p>
    <w:p w14:paraId="247BDEC3" w14:textId="77777777" w:rsidR="004B2E7C" w:rsidRPr="00080BE7" w:rsidRDefault="004B2E7C" w:rsidP="00FF2D21">
      <w:pPr>
        <w:pStyle w:val="aa"/>
        <w:numPr>
          <w:ilvl w:val="0"/>
          <w:numId w:val="90"/>
        </w:numPr>
      </w:pPr>
      <w:r>
        <w:rPr>
          <w:rFonts w:cs="Arial" w:hint="cs"/>
          <w:rtl/>
        </w:rPr>
        <w:t xml:space="preserve">טור- </w:t>
      </w:r>
      <w:r w:rsidRPr="001D2D8A">
        <w:rPr>
          <w:rFonts w:cs="Arial"/>
          <w:rtl/>
        </w:rPr>
        <w:t>המדליק נר צריך שידליק רוב מה שיוצא מן הפתילה מן הנר</w:t>
      </w:r>
      <w:r>
        <w:rPr>
          <w:rFonts w:cs="Arial" w:hint="cs"/>
          <w:rtl/>
        </w:rPr>
        <w:t>.</w:t>
      </w:r>
      <w:r w:rsidRPr="001D2D8A">
        <w:rPr>
          <w:rFonts w:cs="Arial"/>
          <w:rtl/>
        </w:rPr>
        <w:t xml:space="preserve"> </w:t>
      </w:r>
      <w:r w:rsidRPr="00C713E9">
        <w:rPr>
          <w:rFonts w:cs="Arial" w:hint="cs"/>
          <w:color w:val="E36C0A" w:themeColor="accent6" w:themeShade="BF"/>
          <w:rtl/>
        </w:rPr>
        <w:t>(וכ"פ בשו"ע)</w:t>
      </w:r>
    </w:p>
    <w:p w14:paraId="3F1DAAD1"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02EF4CE" w14:textId="77777777" w:rsidR="004B2E7C" w:rsidRDefault="004B2E7C" w:rsidP="00434A6A">
      <w:pPr>
        <w:rPr>
          <w:rFonts w:asciiTheme="minorBidi" w:hAnsiTheme="minorBidi"/>
          <w:rtl/>
        </w:rPr>
      </w:pPr>
      <w:r w:rsidRPr="00CC2350">
        <w:rPr>
          <w:rFonts w:asciiTheme="minorBidi" w:hAnsiTheme="minorBidi" w:cs="Arial"/>
          <w:rtl/>
        </w:rPr>
        <w:t>המדליק צריך שידליק רוב מה שיוצא מן הפתילה מהנר</w:t>
      </w:r>
      <w:r>
        <w:rPr>
          <w:rStyle w:val="a9"/>
          <w:rFonts w:asciiTheme="minorBidi" w:hAnsiTheme="minorBidi" w:cs="Arial"/>
          <w:rtl/>
        </w:rPr>
        <w:footnoteReference w:id="706"/>
      </w:r>
      <w:r w:rsidRPr="00CC2350">
        <w:rPr>
          <w:rFonts w:asciiTheme="minorBidi" w:hAnsiTheme="minorBidi" w:cs="Arial"/>
          <w:rtl/>
        </w:rPr>
        <w:t xml:space="preserve">. </w:t>
      </w:r>
    </w:p>
    <w:p w14:paraId="54727DB8" w14:textId="77777777" w:rsidR="004B2E7C" w:rsidRPr="00CC2350" w:rsidRDefault="004B2E7C" w:rsidP="00434A6A">
      <w:pPr>
        <w:rPr>
          <w:rFonts w:asciiTheme="minorBidi" w:hAnsiTheme="minorBidi"/>
          <w:rtl/>
        </w:rPr>
      </w:pPr>
    </w:p>
    <w:p w14:paraId="474DD17D" w14:textId="77777777" w:rsidR="004B2E7C" w:rsidRDefault="004B2E7C" w:rsidP="00434A6A">
      <w:pPr>
        <w:pStyle w:val="2"/>
        <w:rPr>
          <w:rtl/>
        </w:rPr>
      </w:pPr>
      <w:r w:rsidRPr="00CC2350">
        <w:rPr>
          <w:rtl/>
        </w:rPr>
        <w:t>סעיף ט</w:t>
      </w:r>
      <w:r>
        <w:rPr>
          <w:rFonts w:hint="cs"/>
          <w:rtl/>
        </w:rPr>
        <w:t>: הבהוב הפתילה.</w:t>
      </w:r>
    </w:p>
    <w:p w14:paraId="0F6A737E" w14:textId="77777777" w:rsidR="004B2E7C" w:rsidRPr="00761F1E" w:rsidRDefault="004B2E7C" w:rsidP="00434A6A">
      <w:pPr>
        <w:rPr>
          <w:rtl/>
        </w:rPr>
      </w:pPr>
      <w:r w:rsidRPr="00761F1E">
        <w:rPr>
          <w:rFonts w:cs="Arial" w:hint="cs"/>
          <w:b/>
          <w:bCs/>
          <w:rtl/>
        </w:rPr>
        <w:t xml:space="preserve">תוספתא שבת פ"ב ה"א: </w:t>
      </w:r>
      <w:r w:rsidRPr="00761F1E">
        <w:rPr>
          <w:rFonts w:cs="Arial"/>
          <w:rtl/>
        </w:rPr>
        <w:t>מדליקין בפתילה מחורכת ולא בסמרטוטין ואף על פי מחורכין</w:t>
      </w:r>
      <w:r>
        <w:rPr>
          <w:rFonts w:hint="cs"/>
          <w:rtl/>
        </w:rPr>
        <w:t>.</w:t>
      </w:r>
    </w:p>
    <w:p w14:paraId="01DD5C67" w14:textId="77777777" w:rsidR="004B2E7C" w:rsidRPr="00236AD9" w:rsidRDefault="004B2E7C" w:rsidP="00434A6A">
      <w:pPr>
        <w:rPr>
          <w:rtl/>
        </w:rPr>
      </w:pPr>
      <w:r w:rsidRPr="00565331">
        <w:rPr>
          <w:rFonts w:cs="Arial" w:hint="cs"/>
          <w:b/>
          <w:bCs/>
          <w:rtl/>
        </w:rPr>
        <w:t xml:space="preserve">שבת </w:t>
      </w:r>
      <w:r w:rsidRPr="00762875">
        <w:rPr>
          <w:rFonts w:cs="Arial" w:hint="cs"/>
          <w:b/>
          <w:bCs/>
          <w:sz w:val="16"/>
          <w:szCs w:val="16"/>
          <w:rtl/>
        </w:rPr>
        <w:t>(פ</w:t>
      </w:r>
      <w:r>
        <w:rPr>
          <w:rFonts w:cs="Arial" w:hint="cs"/>
          <w:b/>
          <w:bCs/>
          <w:sz w:val="16"/>
          <w:szCs w:val="16"/>
          <w:rtl/>
        </w:rPr>
        <w:t>'</w:t>
      </w:r>
      <w:r w:rsidRPr="00762875">
        <w:rPr>
          <w:rFonts w:cs="Arial" w:hint="cs"/>
          <w:b/>
          <w:bCs/>
          <w:sz w:val="16"/>
          <w:szCs w:val="16"/>
          <w:rtl/>
        </w:rPr>
        <w:t xml:space="preserve"> </w:t>
      </w:r>
      <w:r>
        <w:rPr>
          <w:rFonts w:cs="Arial" w:hint="cs"/>
          <w:b/>
          <w:bCs/>
          <w:sz w:val="16"/>
          <w:szCs w:val="16"/>
          <w:rtl/>
        </w:rPr>
        <w:t>במה מדליקין</w:t>
      </w:r>
      <w:r w:rsidRPr="00762875">
        <w:rPr>
          <w:rFonts w:cs="Arial" w:hint="cs"/>
          <w:b/>
          <w:bCs/>
          <w:sz w:val="16"/>
          <w:szCs w:val="16"/>
          <w:rtl/>
        </w:rPr>
        <w:t xml:space="preserve">) </w:t>
      </w:r>
      <w:r>
        <w:rPr>
          <w:rFonts w:cs="Arial" w:hint="cs"/>
          <w:b/>
          <w:bCs/>
          <w:rtl/>
        </w:rPr>
        <w:t>כח</w:t>
      </w:r>
      <w:r w:rsidRPr="00565331">
        <w:rPr>
          <w:rFonts w:cs="Arial" w:hint="cs"/>
          <w:b/>
          <w:bCs/>
          <w:rtl/>
        </w:rPr>
        <w:t xml:space="preserve"> ע"</w:t>
      </w:r>
      <w:r>
        <w:rPr>
          <w:rFonts w:cs="Arial" w:hint="cs"/>
          <w:b/>
          <w:bCs/>
          <w:rtl/>
        </w:rPr>
        <w:t>ב</w:t>
      </w:r>
      <w:r w:rsidRPr="00565331">
        <w:rPr>
          <w:rFonts w:cs="Arial" w:hint="cs"/>
          <w:b/>
          <w:bCs/>
          <w:rtl/>
        </w:rPr>
        <w:t>:</w:t>
      </w:r>
      <w:r>
        <w:rPr>
          <w:rFonts w:cs="Arial" w:hint="cs"/>
          <w:rtl/>
        </w:rPr>
        <w:t xml:space="preserve"> </w:t>
      </w:r>
      <w:r w:rsidRPr="00421772">
        <w:rPr>
          <w:rFonts w:cs="Arial"/>
          <w:u w:val="double"/>
          <w:rtl/>
        </w:rPr>
        <w:t>משנה</w:t>
      </w:r>
      <w:r>
        <w:rPr>
          <w:rFonts w:cs="Arial" w:hint="cs"/>
          <w:rtl/>
        </w:rPr>
        <w:t>:</w:t>
      </w:r>
      <w:r w:rsidRPr="00421772">
        <w:rPr>
          <w:rFonts w:cs="Arial"/>
          <w:rtl/>
        </w:rPr>
        <w:t xml:space="preserve"> </w:t>
      </w:r>
      <w:r>
        <w:rPr>
          <w:rFonts w:cs="Arial"/>
          <w:rtl/>
        </w:rPr>
        <w:t xml:space="preserve">פתילת הבגד שקפלה ולא הבהבה, </w:t>
      </w:r>
      <w:r w:rsidRPr="00236AD9">
        <w:rPr>
          <w:rFonts w:cs="Arial"/>
          <w:u w:val="single"/>
          <w:rtl/>
        </w:rPr>
        <w:t>רבי אליעזר אומר</w:t>
      </w:r>
      <w:r>
        <w:rPr>
          <w:rFonts w:cs="Arial"/>
          <w:rtl/>
        </w:rPr>
        <w:t xml:space="preserve">: טמאה היא ואין מדליקין בה, </w:t>
      </w:r>
      <w:r w:rsidRPr="00236AD9">
        <w:rPr>
          <w:rFonts w:cs="Arial"/>
          <w:u w:val="single"/>
          <w:rtl/>
        </w:rPr>
        <w:t>רבי עקיבא אומר</w:t>
      </w:r>
      <w:r>
        <w:rPr>
          <w:rFonts w:cs="Arial"/>
          <w:rtl/>
        </w:rPr>
        <w:t xml:space="preserve">: טהורה היא ומדליקין בה. </w:t>
      </w:r>
      <w:r>
        <w:rPr>
          <w:rFonts w:hint="cs"/>
          <w:rtl/>
        </w:rPr>
        <w:t xml:space="preserve">     </w:t>
      </w:r>
      <w:r w:rsidRPr="00236AD9">
        <w:rPr>
          <w:rFonts w:cs="Arial"/>
          <w:u w:val="double"/>
          <w:rtl/>
        </w:rPr>
        <w:t>גמרא</w:t>
      </w:r>
      <w:r>
        <w:rPr>
          <w:rFonts w:cs="Arial" w:hint="cs"/>
          <w:rtl/>
        </w:rPr>
        <w:t>:</w:t>
      </w:r>
      <w:r>
        <w:rPr>
          <w:rFonts w:cs="Arial"/>
          <w:rtl/>
        </w:rPr>
        <w:t xml:space="preserve"> בשלמא לענין טומאה - בהא פליגי, דרבי אליעזר סבר: קיפול אינו מועיל, ובמילתיה קמייתא קיימא. ורבי עקיבא סבר: קיפול מועיל ובטולי בטיל. אלא לענין הדלקה במאי פליגי?</w:t>
      </w:r>
      <w:r>
        <w:rPr>
          <w:rFonts w:cs="Arial" w:hint="cs"/>
          <w:rtl/>
        </w:rPr>
        <w:t>...</w:t>
      </w:r>
      <w:r>
        <w:rPr>
          <w:rFonts w:cs="Arial"/>
          <w:rtl/>
        </w:rPr>
        <w:t xml:space="preserve"> </w:t>
      </w:r>
      <w:r>
        <w:rPr>
          <w:rFonts w:cs="Arial" w:hint="cs"/>
          <w:sz w:val="14"/>
          <w:szCs w:val="14"/>
          <w:rtl/>
        </w:rPr>
        <w:t xml:space="preserve">(כט.) </w:t>
      </w:r>
      <w:r w:rsidRPr="001F584E">
        <w:rPr>
          <w:rFonts w:cs="Arial"/>
          <w:u w:val="single"/>
          <w:rtl/>
        </w:rPr>
        <w:t>רבא אמר</w:t>
      </w:r>
      <w:r w:rsidRPr="00236AD9">
        <w:rPr>
          <w:rFonts w:cs="Arial"/>
          <w:rtl/>
        </w:rPr>
        <w:t xml:space="preserve">: היינו טעמא דרבי אליעזר - לפי שאין מדליקין בפתילה שאינה מחורכת, ולא בסמרטוטין שאינן מחורכין. </w:t>
      </w:r>
    </w:p>
    <w:p w14:paraId="242E94AA" w14:textId="77777777" w:rsidR="004B2E7C" w:rsidRPr="00236AD9" w:rsidRDefault="004B2E7C" w:rsidP="00434A6A">
      <w:pPr>
        <w:rPr>
          <w:u w:val="single"/>
          <w:rtl/>
        </w:rPr>
      </w:pPr>
      <w:r w:rsidRPr="00236AD9">
        <w:rPr>
          <w:rFonts w:hint="cs"/>
          <w:u w:val="single"/>
          <w:rtl/>
        </w:rPr>
        <w:t>האם צריך להבהב את הפתילה:</w:t>
      </w:r>
    </w:p>
    <w:p w14:paraId="2A0A0EE9" w14:textId="77777777" w:rsidR="004B2E7C" w:rsidRPr="00D269AE" w:rsidRDefault="004B2E7C" w:rsidP="00FF2D21">
      <w:pPr>
        <w:pStyle w:val="aa"/>
        <w:numPr>
          <w:ilvl w:val="0"/>
          <w:numId w:val="90"/>
        </w:numPr>
      </w:pPr>
      <w:r w:rsidRPr="001F584E">
        <w:rPr>
          <w:rFonts w:cs="Arial"/>
          <w:rtl/>
        </w:rPr>
        <w:t>תוס</w:t>
      </w:r>
      <w:r>
        <w:rPr>
          <w:rFonts w:cs="Arial" w:hint="cs"/>
          <w:rtl/>
        </w:rPr>
        <w:t>'</w:t>
      </w:r>
      <w:r w:rsidRPr="001F584E">
        <w:rPr>
          <w:rFonts w:cs="Arial"/>
          <w:rtl/>
        </w:rPr>
        <w:t xml:space="preserve"> </w:t>
      </w:r>
      <w:r w:rsidRPr="00D269AE">
        <w:rPr>
          <w:rFonts w:cs="Arial"/>
          <w:sz w:val="16"/>
          <w:szCs w:val="16"/>
          <w:rtl/>
        </w:rPr>
        <w:t>(ד"ה רבא)</w:t>
      </w:r>
      <w:r w:rsidRPr="00D269AE">
        <w:rPr>
          <w:rFonts w:cs="Arial"/>
          <w:rtl/>
        </w:rPr>
        <w:t xml:space="preserve"> </w:t>
      </w:r>
      <w:r w:rsidRPr="001F584E">
        <w:rPr>
          <w:rFonts w:cs="Arial"/>
          <w:rtl/>
        </w:rPr>
        <w:t xml:space="preserve">רמב"ם </w:t>
      </w:r>
      <w:r w:rsidRPr="00D269AE">
        <w:rPr>
          <w:rFonts w:cs="Arial" w:hint="cs"/>
          <w:sz w:val="16"/>
          <w:szCs w:val="16"/>
          <w:rtl/>
        </w:rPr>
        <w:t>(</w:t>
      </w:r>
      <w:r w:rsidRPr="00D269AE">
        <w:rPr>
          <w:rFonts w:cs="Arial"/>
          <w:sz w:val="16"/>
          <w:szCs w:val="16"/>
          <w:rtl/>
        </w:rPr>
        <w:t>פ</w:t>
      </w:r>
      <w:r w:rsidRPr="00D269AE">
        <w:rPr>
          <w:rFonts w:cs="Arial" w:hint="cs"/>
          <w:sz w:val="16"/>
          <w:szCs w:val="16"/>
          <w:rtl/>
        </w:rPr>
        <w:t xml:space="preserve">המ"ש </w:t>
      </w:r>
      <w:r w:rsidRPr="00D269AE">
        <w:rPr>
          <w:rFonts w:cs="Arial"/>
          <w:sz w:val="16"/>
          <w:szCs w:val="16"/>
          <w:rtl/>
        </w:rPr>
        <w:t xml:space="preserve">פ"ב מ"ג) </w:t>
      </w:r>
      <w:r>
        <w:rPr>
          <w:rFonts w:cs="Arial" w:hint="cs"/>
          <w:rtl/>
        </w:rPr>
        <w:t xml:space="preserve">סמ"ג </w:t>
      </w:r>
      <w:r w:rsidRPr="00D269AE">
        <w:rPr>
          <w:rFonts w:cs="Arial" w:hint="cs"/>
          <w:sz w:val="16"/>
          <w:szCs w:val="16"/>
          <w:rtl/>
        </w:rPr>
        <w:t>(כ"כ בשמו המרדכי [סי' רפט])</w:t>
      </w:r>
      <w:r w:rsidRPr="001F584E">
        <w:rPr>
          <w:rFonts w:cs="Arial"/>
          <w:rtl/>
        </w:rPr>
        <w:t xml:space="preserve"> </w:t>
      </w:r>
      <w:r>
        <w:rPr>
          <w:rFonts w:cs="Arial" w:hint="cs"/>
          <w:rtl/>
        </w:rPr>
        <w:t xml:space="preserve">והגה"מ </w:t>
      </w:r>
      <w:r w:rsidRPr="00D269AE">
        <w:rPr>
          <w:rFonts w:cs="Arial" w:hint="cs"/>
          <w:sz w:val="16"/>
          <w:szCs w:val="16"/>
          <w:rtl/>
        </w:rPr>
        <w:t>(</w:t>
      </w:r>
      <w:r w:rsidRPr="00D269AE">
        <w:rPr>
          <w:rFonts w:cs="Arial"/>
          <w:sz w:val="16"/>
          <w:szCs w:val="16"/>
          <w:rtl/>
        </w:rPr>
        <w:t>פ"ה אות ט)</w:t>
      </w:r>
      <w:r>
        <w:rPr>
          <w:rFonts w:cs="Arial" w:hint="cs"/>
          <w:rtl/>
        </w:rPr>
        <w:t xml:space="preserve">- </w:t>
      </w:r>
      <w:r w:rsidRPr="001F584E">
        <w:rPr>
          <w:rFonts w:cs="Arial"/>
          <w:rtl/>
        </w:rPr>
        <w:t>נראה לי דבחנם נהגו הנשים להדליק הפתילה ולכבותה כדי שתהא מהובהבת דהא לא קיימא לן כרבי אליעזר דשמותי הוא</w:t>
      </w:r>
      <w:r>
        <w:rPr>
          <w:rFonts w:cs="Arial" w:hint="cs"/>
          <w:sz w:val="16"/>
          <w:szCs w:val="16"/>
          <w:rtl/>
        </w:rPr>
        <w:t xml:space="preserve"> (ל' התוס')</w:t>
      </w:r>
      <w:r w:rsidRPr="001F584E">
        <w:rPr>
          <w:rFonts w:cs="Arial" w:hint="cs"/>
          <w:rtl/>
        </w:rPr>
        <w:t>.</w:t>
      </w:r>
      <w:r w:rsidRPr="001F584E">
        <w:rPr>
          <w:rFonts w:cs="Arial"/>
          <w:rtl/>
        </w:rPr>
        <w:t xml:space="preserve"> </w:t>
      </w:r>
      <w:r w:rsidRPr="00C713E9">
        <w:rPr>
          <w:rFonts w:cs="Arial" w:hint="cs"/>
          <w:color w:val="E36C0A" w:themeColor="accent6" w:themeShade="BF"/>
          <w:rtl/>
        </w:rPr>
        <w:t>(וכ"פ בשו"ע)</w:t>
      </w:r>
    </w:p>
    <w:p w14:paraId="5EEAC042" w14:textId="77777777" w:rsidR="004B2E7C" w:rsidRPr="001F584E" w:rsidRDefault="004B2E7C" w:rsidP="00FF2D21">
      <w:pPr>
        <w:pStyle w:val="aa"/>
        <w:numPr>
          <w:ilvl w:val="0"/>
          <w:numId w:val="90"/>
        </w:numPr>
      </w:pPr>
      <w:r w:rsidRPr="001F584E">
        <w:rPr>
          <w:rFonts w:cs="Arial"/>
          <w:rtl/>
        </w:rPr>
        <w:t xml:space="preserve">רא"ש </w:t>
      </w:r>
      <w:r w:rsidRPr="00D269AE">
        <w:rPr>
          <w:rFonts w:cs="Arial"/>
          <w:sz w:val="16"/>
          <w:szCs w:val="16"/>
          <w:rtl/>
        </w:rPr>
        <w:t>(סי' יח)</w:t>
      </w:r>
      <w:r>
        <w:rPr>
          <w:rFonts w:cs="Arial" w:hint="cs"/>
          <w:rtl/>
        </w:rPr>
        <w:t xml:space="preserve"> וטור-</w:t>
      </w:r>
      <w:r w:rsidRPr="001F584E">
        <w:rPr>
          <w:rFonts w:cs="Arial"/>
          <w:rtl/>
        </w:rPr>
        <w:t xml:space="preserve"> נוהגות הנשים להדליק הנר ולכבותה כדי שתהא מהובהבת ויאחז בה האור היטב</w:t>
      </w:r>
      <w:r>
        <w:rPr>
          <w:rFonts w:cs="Arial" w:hint="cs"/>
          <w:rtl/>
        </w:rPr>
        <w:t>,</w:t>
      </w:r>
      <w:r w:rsidRPr="001F584E">
        <w:rPr>
          <w:rFonts w:cs="Arial"/>
          <w:rtl/>
        </w:rPr>
        <w:t xml:space="preserve"> ומנהג יפה הוא</w:t>
      </w:r>
      <w:r>
        <w:rPr>
          <w:rFonts w:cs="Arial" w:hint="cs"/>
          <w:rtl/>
        </w:rPr>
        <w:t>.</w:t>
      </w:r>
      <w:r w:rsidRPr="001F584E">
        <w:rPr>
          <w:rFonts w:cs="Arial"/>
          <w:rtl/>
        </w:rPr>
        <w:t xml:space="preserve"> ומיהו הלכה כרבי עקיבא דמדליקין אף על פי שאינה מחורכת</w:t>
      </w:r>
      <w:r>
        <w:rPr>
          <w:rFonts w:cs="Arial" w:hint="cs"/>
          <w:sz w:val="16"/>
          <w:szCs w:val="16"/>
          <w:rtl/>
        </w:rPr>
        <w:t xml:space="preserve"> (ל' הרא"ש)</w:t>
      </w:r>
      <w:r>
        <w:rPr>
          <w:rFonts w:cs="Arial" w:hint="cs"/>
          <w:rtl/>
        </w:rPr>
        <w:t>.</w:t>
      </w:r>
      <w:r>
        <w:rPr>
          <w:rFonts w:hint="cs"/>
          <w:rtl/>
        </w:rPr>
        <w:t xml:space="preserve"> </w:t>
      </w:r>
      <w:r w:rsidRPr="00761F1E">
        <w:rPr>
          <w:rFonts w:hint="cs"/>
          <w:color w:val="00B0F0"/>
          <w:rtl/>
        </w:rPr>
        <w:t>(וכ"כ הרמ"א)</w:t>
      </w:r>
    </w:p>
    <w:p w14:paraId="6EDE85FB" w14:textId="77777777" w:rsidR="004B2E7C" w:rsidRPr="00D269AE" w:rsidRDefault="004B2E7C" w:rsidP="00FF2D21">
      <w:pPr>
        <w:pStyle w:val="aa"/>
        <w:numPr>
          <w:ilvl w:val="0"/>
          <w:numId w:val="90"/>
        </w:numPr>
      </w:pPr>
      <w:r w:rsidRPr="001F584E">
        <w:rPr>
          <w:rFonts w:cs="Arial"/>
          <w:rtl/>
        </w:rPr>
        <w:t>בה"ג</w:t>
      </w:r>
      <w:r w:rsidRPr="00D269AE">
        <w:rPr>
          <w:rFonts w:cs="Arial"/>
          <w:sz w:val="16"/>
          <w:szCs w:val="16"/>
          <w:rtl/>
        </w:rPr>
        <w:t xml:space="preserve"> (שבת פ"א יז ע"ג</w:t>
      </w:r>
      <w:r w:rsidRPr="00D269AE">
        <w:rPr>
          <w:rFonts w:cs="Arial" w:hint="cs"/>
          <w:sz w:val="16"/>
          <w:szCs w:val="16"/>
          <w:rtl/>
        </w:rPr>
        <w:t>, כ"כ בשמו המרדכי [סי' רפט])</w:t>
      </w:r>
      <w:r>
        <w:rPr>
          <w:rFonts w:cs="Arial" w:hint="cs"/>
          <w:rtl/>
        </w:rPr>
        <w:t xml:space="preserve">- </w:t>
      </w:r>
      <w:r w:rsidRPr="001F584E">
        <w:rPr>
          <w:rFonts w:cs="Arial"/>
          <w:rtl/>
        </w:rPr>
        <w:t>אין מדליקין בסמרטוטין ולא בפתילה שאינה מחורכת</w:t>
      </w:r>
      <w:r>
        <w:rPr>
          <w:rFonts w:cs="Arial" w:hint="cs"/>
          <w:rtl/>
        </w:rPr>
        <w:t>,</w:t>
      </w:r>
      <w:r w:rsidRPr="001F584E">
        <w:rPr>
          <w:rFonts w:cs="Arial"/>
          <w:rtl/>
        </w:rPr>
        <w:t xml:space="preserve"> וכן איתא בתוספתא (פ"ב ה"א)</w:t>
      </w:r>
      <w:r w:rsidRPr="001F584E">
        <w:rPr>
          <w:rFonts w:cs="Arial" w:hint="cs"/>
          <w:rtl/>
        </w:rPr>
        <w:t>.</w:t>
      </w:r>
      <w:r w:rsidRPr="001F584E">
        <w:rPr>
          <w:rFonts w:cs="Arial"/>
          <w:rtl/>
        </w:rPr>
        <w:t xml:space="preserve"> </w:t>
      </w:r>
    </w:p>
    <w:p w14:paraId="69C6DE80" w14:textId="77777777" w:rsidR="004B2E7C" w:rsidRPr="00EB4111" w:rsidRDefault="004B2E7C" w:rsidP="00FF2D21">
      <w:pPr>
        <w:pStyle w:val="aa"/>
        <w:numPr>
          <w:ilvl w:val="0"/>
          <w:numId w:val="90"/>
        </w:numPr>
        <w:rPr>
          <w:rtl/>
        </w:rPr>
      </w:pPr>
      <w:r w:rsidRPr="001F584E">
        <w:rPr>
          <w:rFonts w:cs="Arial"/>
          <w:rtl/>
        </w:rPr>
        <w:t>ר"י</w:t>
      </w:r>
      <w:r>
        <w:rPr>
          <w:rFonts w:cs="Arial" w:hint="cs"/>
          <w:sz w:val="16"/>
          <w:szCs w:val="16"/>
          <w:rtl/>
        </w:rPr>
        <w:t xml:space="preserve"> (כ"כ המרדכי בשמו)</w:t>
      </w:r>
      <w:r>
        <w:rPr>
          <w:rFonts w:cs="Arial" w:hint="cs"/>
          <w:rtl/>
        </w:rPr>
        <w:t xml:space="preserve">- </w:t>
      </w:r>
      <w:r w:rsidRPr="001F584E">
        <w:rPr>
          <w:rFonts w:cs="Arial"/>
          <w:rtl/>
        </w:rPr>
        <w:t xml:space="preserve">בחירוך ששפשפה באור דרך העברה </w:t>
      </w:r>
      <w:r>
        <w:rPr>
          <w:rFonts w:cs="Arial" w:hint="cs"/>
          <w:rtl/>
        </w:rPr>
        <w:t xml:space="preserve">- </w:t>
      </w:r>
      <w:r w:rsidRPr="001F584E">
        <w:rPr>
          <w:rFonts w:cs="Arial"/>
          <w:rtl/>
        </w:rPr>
        <w:t>כולי עלמא מודו דצריך לעשותו</w:t>
      </w:r>
      <w:r w:rsidRPr="001F584E">
        <w:rPr>
          <w:rFonts w:cs="Arial" w:hint="cs"/>
          <w:rtl/>
        </w:rPr>
        <w:t>,</w:t>
      </w:r>
      <w:r w:rsidRPr="001F584E">
        <w:rPr>
          <w:rFonts w:cs="Arial"/>
          <w:rtl/>
        </w:rPr>
        <w:t xml:space="preserve"> אבל הבהוב גמור להדליק ולכבות </w:t>
      </w:r>
      <w:r>
        <w:rPr>
          <w:rFonts w:cs="Arial" w:hint="cs"/>
          <w:rtl/>
        </w:rPr>
        <w:t xml:space="preserve">- </w:t>
      </w:r>
      <w:r w:rsidRPr="001F584E">
        <w:rPr>
          <w:rFonts w:cs="Arial"/>
          <w:rtl/>
        </w:rPr>
        <w:t>אין צריך לעשות בערב שבת</w:t>
      </w:r>
      <w:r>
        <w:rPr>
          <w:rFonts w:cs="Arial" w:hint="cs"/>
          <w:rtl/>
        </w:rPr>
        <w:t>.</w:t>
      </w:r>
    </w:p>
    <w:p w14:paraId="0D52B922"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3994FEA8" w14:textId="77777777" w:rsidR="004B2E7C" w:rsidRDefault="004B2E7C" w:rsidP="00434A6A">
      <w:pPr>
        <w:rPr>
          <w:rFonts w:asciiTheme="minorBidi" w:hAnsiTheme="minorBidi"/>
          <w:rtl/>
        </w:rPr>
      </w:pPr>
      <w:r w:rsidRPr="00CC2350">
        <w:rPr>
          <w:rFonts w:asciiTheme="minorBidi" w:hAnsiTheme="minorBidi" w:cs="Arial"/>
          <w:rtl/>
        </w:rPr>
        <w:t>א</w:t>
      </w:r>
      <w:r>
        <w:rPr>
          <w:rFonts w:asciiTheme="minorBidi" w:hAnsiTheme="minorBidi" w:cs="Arial" w:hint="cs"/>
          <w:rtl/>
        </w:rPr>
        <w:t xml:space="preserve">ין </w:t>
      </w:r>
      <w:r w:rsidRPr="00CC2350">
        <w:rPr>
          <w:rFonts w:asciiTheme="minorBidi" w:hAnsiTheme="minorBidi" w:cs="Arial"/>
          <w:rtl/>
        </w:rPr>
        <w:t>צ</w:t>
      </w:r>
      <w:r>
        <w:rPr>
          <w:rFonts w:asciiTheme="minorBidi" w:hAnsiTheme="minorBidi" w:cs="Arial" w:hint="cs"/>
          <w:rtl/>
        </w:rPr>
        <w:t>ריך</w:t>
      </w:r>
      <w:r w:rsidRPr="00CC2350">
        <w:rPr>
          <w:rFonts w:asciiTheme="minorBidi" w:hAnsiTheme="minorBidi" w:cs="Arial"/>
          <w:rtl/>
        </w:rPr>
        <w:t xml:space="preserve"> להבהב הפתילה. </w:t>
      </w:r>
      <w:r w:rsidRPr="00EB4111">
        <w:rPr>
          <w:rFonts w:asciiTheme="minorBidi" w:hAnsiTheme="minorBidi" w:cs="Arial"/>
          <w:sz w:val="18"/>
          <w:szCs w:val="18"/>
          <w:rtl/>
        </w:rPr>
        <w:t>הגה: ומ"מ נהגו להדליק הפתילה ולכבותה כדי שתהיה מחורכת ותאחז בה האור יפה</w:t>
      </w:r>
      <w:r>
        <w:rPr>
          <w:rStyle w:val="a9"/>
          <w:rFonts w:asciiTheme="minorBidi" w:hAnsiTheme="minorBidi" w:cs="Arial"/>
          <w:sz w:val="18"/>
          <w:szCs w:val="18"/>
          <w:rtl/>
        </w:rPr>
        <w:footnoteReference w:id="707"/>
      </w:r>
      <w:r w:rsidRPr="00EB4111">
        <w:rPr>
          <w:rFonts w:asciiTheme="minorBidi" w:hAnsiTheme="minorBidi" w:cs="Arial"/>
          <w:sz w:val="18"/>
          <w:szCs w:val="18"/>
          <w:rtl/>
        </w:rPr>
        <w:t xml:space="preserve"> (טור). </w:t>
      </w:r>
    </w:p>
    <w:p w14:paraId="23FA3A71" w14:textId="77777777" w:rsidR="004B2E7C" w:rsidRPr="00CC2350" w:rsidRDefault="004B2E7C" w:rsidP="00434A6A">
      <w:pPr>
        <w:rPr>
          <w:rFonts w:asciiTheme="minorBidi" w:hAnsiTheme="minorBidi"/>
          <w:rtl/>
        </w:rPr>
      </w:pPr>
    </w:p>
    <w:p w14:paraId="51A0B87F" w14:textId="77777777" w:rsidR="004B2E7C" w:rsidRDefault="004B2E7C" w:rsidP="00434A6A">
      <w:pPr>
        <w:pStyle w:val="2"/>
        <w:rPr>
          <w:rtl/>
        </w:rPr>
      </w:pPr>
      <w:r w:rsidRPr="00CC2350">
        <w:rPr>
          <w:rtl/>
        </w:rPr>
        <w:t>סעיף י</w:t>
      </w:r>
      <w:r>
        <w:rPr>
          <w:rFonts w:hint="cs"/>
          <w:rtl/>
        </w:rPr>
        <w:t>: הדלקה בסמרטוטין.</w:t>
      </w:r>
    </w:p>
    <w:p w14:paraId="1DD2C9DD" w14:textId="77777777" w:rsidR="004B2E7C" w:rsidRPr="00761F1E" w:rsidRDefault="004B2E7C" w:rsidP="00434A6A">
      <w:pPr>
        <w:rPr>
          <w:rtl/>
        </w:rPr>
      </w:pPr>
      <w:r w:rsidRPr="00761F1E">
        <w:rPr>
          <w:rFonts w:cs="Arial" w:hint="cs"/>
          <w:b/>
          <w:bCs/>
          <w:rtl/>
        </w:rPr>
        <w:t xml:space="preserve">תוספתא שבת פ"ב ה"א: </w:t>
      </w:r>
      <w:r w:rsidRPr="00761F1E">
        <w:rPr>
          <w:rFonts w:cs="Arial"/>
          <w:rtl/>
        </w:rPr>
        <w:t>מדליקין בפתילה מחורכת ולא בסמרטוטין ואף על פי מחורכין</w:t>
      </w:r>
      <w:r>
        <w:rPr>
          <w:rFonts w:hint="cs"/>
          <w:rtl/>
        </w:rPr>
        <w:t>.</w:t>
      </w:r>
    </w:p>
    <w:p w14:paraId="3A96E213" w14:textId="77777777" w:rsidR="004B2E7C" w:rsidRPr="00761F1E" w:rsidRDefault="004B2E7C" w:rsidP="00434A6A">
      <w:pPr>
        <w:rPr>
          <w:u w:val="single"/>
          <w:rtl/>
        </w:rPr>
      </w:pPr>
      <w:r w:rsidRPr="00761F1E">
        <w:rPr>
          <w:rFonts w:hint="cs"/>
          <w:u w:val="single"/>
          <w:rtl/>
        </w:rPr>
        <w:t>האם אפשר להדליק בסמרטוטים:</w:t>
      </w:r>
    </w:p>
    <w:p w14:paraId="496BD4FC" w14:textId="77777777" w:rsidR="004B2E7C" w:rsidRPr="00EB4111" w:rsidRDefault="004B2E7C" w:rsidP="00FF2D21">
      <w:pPr>
        <w:pStyle w:val="aa"/>
        <w:numPr>
          <w:ilvl w:val="0"/>
          <w:numId w:val="92"/>
        </w:numPr>
        <w:rPr>
          <w:rtl/>
        </w:rPr>
      </w:pPr>
      <w:r w:rsidRPr="00761F1E">
        <w:rPr>
          <w:rFonts w:cs="Arial" w:hint="cs"/>
          <w:rtl/>
        </w:rPr>
        <w:t xml:space="preserve">רי"ו </w:t>
      </w:r>
      <w:r w:rsidRPr="00761F1E">
        <w:rPr>
          <w:rFonts w:cs="Arial" w:hint="cs"/>
          <w:sz w:val="16"/>
          <w:szCs w:val="16"/>
          <w:rtl/>
        </w:rPr>
        <w:t>(</w:t>
      </w:r>
      <w:r w:rsidRPr="00761F1E">
        <w:rPr>
          <w:rFonts w:cs="Arial"/>
          <w:sz w:val="16"/>
          <w:szCs w:val="16"/>
          <w:rtl/>
        </w:rPr>
        <w:t>ח"ב סז.)</w:t>
      </w:r>
      <w:r w:rsidRPr="00761F1E">
        <w:rPr>
          <w:rFonts w:cs="Arial"/>
          <w:rtl/>
        </w:rPr>
        <w:t xml:space="preserve"> בשם התוספות </w:t>
      </w:r>
      <w:r w:rsidRPr="00761F1E">
        <w:rPr>
          <w:rFonts w:cs="Arial"/>
          <w:sz w:val="16"/>
          <w:szCs w:val="16"/>
          <w:rtl/>
        </w:rPr>
        <w:t>(כט. ד"ה ולא)</w:t>
      </w:r>
      <w:r w:rsidRPr="00761F1E">
        <w:rPr>
          <w:rFonts w:cs="Arial" w:hint="cs"/>
          <w:rtl/>
        </w:rPr>
        <w:t xml:space="preserve">- </w:t>
      </w:r>
      <w:r w:rsidRPr="00761F1E">
        <w:rPr>
          <w:rFonts w:cs="Arial"/>
          <w:rtl/>
        </w:rPr>
        <w:t>אין מדליקין בסמרטוטין אפילו מחורכין</w:t>
      </w:r>
      <w:r w:rsidRPr="00761F1E">
        <w:rPr>
          <w:rFonts w:cs="Arial" w:hint="cs"/>
          <w:rtl/>
        </w:rPr>
        <w:t>.</w:t>
      </w:r>
      <w:r w:rsidRPr="00761F1E">
        <w:rPr>
          <w:rFonts w:cs="Arial"/>
          <w:rtl/>
        </w:rPr>
        <w:t xml:space="preserve"> </w:t>
      </w:r>
      <w:r w:rsidRPr="00C713E9">
        <w:rPr>
          <w:rFonts w:cs="Arial" w:hint="cs"/>
          <w:color w:val="E36C0A" w:themeColor="accent6" w:themeShade="BF"/>
          <w:rtl/>
        </w:rPr>
        <w:t>(וכ"פ בשו"ע)</w:t>
      </w:r>
    </w:p>
    <w:p w14:paraId="48D69878"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BA41406" w14:textId="77777777" w:rsidR="004B2E7C" w:rsidRDefault="004B2E7C" w:rsidP="00434A6A">
      <w:pPr>
        <w:rPr>
          <w:rFonts w:asciiTheme="minorBidi" w:hAnsiTheme="minorBidi"/>
          <w:rtl/>
        </w:rPr>
      </w:pPr>
      <w:r w:rsidRPr="00CC2350">
        <w:rPr>
          <w:rFonts w:asciiTheme="minorBidi" w:hAnsiTheme="minorBidi" w:cs="Arial"/>
          <w:rtl/>
        </w:rPr>
        <w:t>אין מדליקין בסמרטוטין</w:t>
      </w:r>
      <w:r>
        <w:rPr>
          <w:rStyle w:val="a9"/>
          <w:rFonts w:asciiTheme="minorBidi" w:hAnsiTheme="minorBidi" w:cs="Arial"/>
          <w:rtl/>
        </w:rPr>
        <w:footnoteReference w:id="708"/>
      </w:r>
      <w:r w:rsidRPr="00CC2350">
        <w:rPr>
          <w:rFonts w:asciiTheme="minorBidi" w:hAnsiTheme="minorBidi" w:cs="Arial"/>
          <w:rtl/>
        </w:rPr>
        <w:t>, אפי</w:t>
      </w:r>
      <w:r>
        <w:rPr>
          <w:rFonts w:asciiTheme="minorBidi" w:hAnsiTheme="minorBidi" w:cs="Arial" w:hint="cs"/>
          <w:rtl/>
        </w:rPr>
        <w:t>לו</w:t>
      </w:r>
      <w:r w:rsidRPr="00CC2350">
        <w:rPr>
          <w:rFonts w:asciiTheme="minorBidi" w:hAnsiTheme="minorBidi" w:cs="Arial"/>
          <w:rtl/>
        </w:rPr>
        <w:t xml:space="preserve"> מחורכין.</w:t>
      </w:r>
    </w:p>
    <w:p w14:paraId="10A1219E" w14:textId="77777777" w:rsidR="004B2E7C" w:rsidRDefault="004B2E7C" w:rsidP="00434A6A">
      <w:pPr>
        <w:pStyle w:val="1"/>
        <w:rPr>
          <w:rtl/>
        </w:rPr>
        <w:sectPr w:rsidR="004B2E7C" w:rsidSect="00BD29B1">
          <w:headerReference w:type="default" r:id="rId35"/>
          <w:footnotePr>
            <w:numRestart w:val="eachSect"/>
          </w:footnotePr>
          <w:pgSz w:w="11906" w:h="16838"/>
          <w:pgMar w:top="720" w:right="1134" w:bottom="720" w:left="1134" w:header="0" w:footer="0" w:gutter="0"/>
          <w:cols w:space="720"/>
          <w:bidi/>
          <w:rtlGutter/>
          <w:docGrid w:linePitch="360"/>
        </w:sectPr>
      </w:pPr>
    </w:p>
    <w:p w14:paraId="1093728F" w14:textId="77777777" w:rsidR="004B2E7C" w:rsidRPr="00CC2350" w:rsidRDefault="004B2E7C" w:rsidP="00434A6A">
      <w:pPr>
        <w:pStyle w:val="1"/>
        <w:rPr>
          <w:rtl/>
        </w:rPr>
      </w:pPr>
      <w:r>
        <w:rPr>
          <w:rFonts w:hint="cs"/>
          <w:rtl/>
        </w:rPr>
        <w:t xml:space="preserve">סימן רסה: </w:t>
      </w:r>
      <w:r w:rsidRPr="00CC2350">
        <w:rPr>
          <w:rtl/>
        </w:rPr>
        <w:t xml:space="preserve">דין כלים הנתנים תחת הנר, ובו ד' סעיפים. </w:t>
      </w:r>
    </w:p>
    <w:p w14:paraId="039E885B" w14:textId="77777777" w:rsidR="004B2E7C" w:rsidRDefault="004B2E7C" w:rsidP="00434A6A">
      <w:pPr>
        <w:pStyle w:val="2"/>
        <w:rPr>
          <w:rtl/>
        </w:rPr>
      </w:pPr>
      <w:r w:rsidRPr="00CC2350">
        <w:rPr>
          <w:rtl/>
        </w:rPr>
        <w:t>סעיף א</w:t>
      </w:r>
      <w:r>
        <w:rPr>
          <w:rFonts w:hint="cs"/>
          <w:rtl/>
        </w:rPr>
        <w:t>: נתינת כלי מנוקב ע"ג הנר.</w:t>
      </w:r>
    </w:p>
    <w:p w14:paraId="73E1CB92" w14:textId="77777777" w:rsidR="004B2E7C" w:rsidRPr="004C4320" w:rsidRDefault="004B2E7C" w:rsidP="00434A6A">
      <w:pPr>
        <w:rPr>
          <w:rtl/>
        </w:rPr>
      </w:pPr>
      <w:r w:rsidRPr="00565331">
        <w:rPr>
          <w:rFonts w:cs="Arial" w:hint="cs"/>
          <w:b/>
          <w:bCs/>
          <w:rtl/>
        </w:rPr>
        <w:t xml:space="preserve">שבת </w:t>
      </w:r>
      <w:r w:rsidRPr="00762875">
        <w:rPr>
          <w:rFonts w:cs="Arial" w:hint="cs"/>
          <w:b/>
          <w:bCs/>
          <w:sz w:val="16"/>
          <w:szCs w:val="16"/>
          <w:rtl/>
        </w:rPr>
        <w:t>(פ</w:t>
      </w:r>
      <w:r>
        <w:rPr>
          <w:rFonts w:cs="Arial" w:hint="cs"/>
          <w:b/>
          <w:bCs/>
          <w:sz w:val="16"/>
          <w:szCs w:val="16"/>
          <w:rtl/>
        </w:rPr>
        <w:t>'</w:t>
      </w:r>
      <w:r w:rsidRPr="00762875">
        <w:rPr>
          <w:rFonts w:cs="Arial" w:hint="cs"/>
          <w:b/>
          <w:bCs/>
          <w:sz w:val="16"/>
          <w:szCs w:val="16"/>
          <w:rtl/>
        </w:rPr>
        <w:t xml:space="preserve"> </w:t>
      </w:r>
      <w:r>
        <w:rPr>
          <w:rFonts w:cs="Arial" w:hint="cs"/>
          <w:b/>
          <w:bCs/>
          <w:sz w:val="16"/>
          <w:szCs w:val="16"/>
          <w:rtl/>
        </w:rPr>
        <w:t>במה מדליקין</w:t>
      </w:r>
      <w:r w:rsidRPr="00762875">
        <w:rPr>
          <w:rFonts w:cs="Arial" w:hint="cs"/>
          <w:b/>
          <w:bCs/>
          <w:sz w:val="16"/>
          <w:szCs w:val="16"/>
          <w:rtl/>
        </w:rPr>
        <w:t xml:space="preserve">) </w:t>
      </w:r>
      <w:r>
        <w:rPr>
          <w:rFonts w:cs="Arial" w:hint="cs"/>
          <w:b/>
          <w:bCs/>
          <w:rtl/>
        </w:rPr>
        <w:t>כח</w:t>
      </w:r>
      <w:r w:rsidRPr="00565331">
        <w:rPr>
          <w:rFonts w:cs="Arial" w:hint="cs"/>
          <w:b/>
          <w:bCs/>
          <w:rtl/>
        </w:rPr>
        <w:t xml:space="preserve"> ע"</w:t>
      </w:r>
      <w:r>
        <w:rPr>
          <w:rFonts w:cs="Arial" w:hint="cs"/>
          <w:b/>
          <w:bCs/>
          <w:rtl/>
        </w:rPr>
        <w:t>ב</w:t>
      </w:r>
      <w:r w:rsidRPr="00565331">
        <w:rPr>
          <w:rFonts w:cs="Arial" w:hint="cs"/>
          <w:b/>
          <w:bCs/>
          <w:rtl/>
        </w:rPr>
        <w:t>:</w:t>
      </w:r>
      <w:r>
        <w:rPr>
          <w:rFonts w:cs="Arial" w:hint="cs"/>
          <w:rtl/>
        </w:rPr>
        <w:t xml:space="preserve"> </w:t>
      </w:r>
      <w:r w:rsidRPr="00421772">
        <w:rPr>
          <w:rFonts w:cs="Arial"/>
          <w:u w:val="double"/>
          <w:rtl/>
        </w:rPr>
        <w:t>משנה</w:t>
      </w:r>
      <w:r>
        <w:rPr>
          <w:rFonts w:cs="Arial" w:hint="cs"/>
          <w:rtl/>
        </w:rPr>
        <w:t>:</w:t>
      </w:r>
      <w:r w:rsidRPr="00421772">
        <w:rPr>
          <w:rFonts w:cs="Arial"/>
          <w:rtl/>
        </w:rPr>
        <w:t xml:space="preserve"> </w:t>
      </w:r>
      <w:r w:rsidRPr="004C4320">
        <w:rPr>
          <w:rFonts w:cs="Arial"/>
          <w:rtl/>
        </w:rPr>
        <w:t>לא יקוב אדם שפופרת של ביצה וימלאנה שמן ויתננה על פי הנר בשביל שתהא מנטפת</w:t>
      </w:r>
      <w:r>
        <w:rPr>
          <w:rStyle w:val="a9"/>
          <w:rFonts w:cs="Arial"/>
          <w:rtl/>
        </w:rPr>
        <w:footnoteReference w:id="709"/>
      </w:r>
      <w:r w:rsidRPr="004C4320">
        <w:rPr>
          <w:rFonts w:cs="Arial"/>
          <w:rtl/>
        </w:rPr>
        <w:t>, ואפילו היא של חרס</w:t>
      </w:r>
      <w:r>
        <w:rPr>
          <w:rFonts w:cs="Arial" w:hint="cs"/>
          <w:rtl/>
        </w:rPr>
        <w:t>.</w:t>
      </w:r>
      <w:r w:rsidRPr="004C4320">
        <w:rPr>
          <w:rFonts w:cs="Arial"/>
          <w:rtl/>
        </w:rPr>
        <w:t xml:space="preserve"> </w:t>
      </w:r>
      <w:r w:rsidRPr="004C4320">
        <w:rPr>
          <w:rFonts w:cs="Arial"/>
          <w:u w:val="single"/>
          <w:rtl/>
        </w:rPr>
        <w:t>ורבי יהודה</w:t>
      </w:r>
      <w:r w:rsidRPr="004C4320">
        <w:rPr>
          <w:rFonts w:cs="Arial"/>
          <w:rtl/>
        </w:rPr>
        <w:t xml:space="preserve"> מתיר. אבל אם חברה</w:t>
      </w:r>
      <w:r>
        <w:rPr>
          <w:rStyle w:val="a9"/>
          <w:rFonts w:cs="Arial"/>
          <w:rtl/>
        </w:rPr>
        <w:footnoteReference w:id="710"/>
      </w:r>
      <w:r w:rsidRPr="004C4320">
        <w:rPr>
          <w:rFonts w:cs="Arial"/>
          <w:rtl/>
        </w:rPr>
        <w:t xml:space="preserve"> היוצר מתחילה - מותר, מפני שהוא כלי אחד</w:t>
      </w:r>
      <w:r>
        <w:rPr>
          <w:rFonts w:cs="Arial" w:hint="cs"/>
          <w:rtl/>
        </w:rPr>
        <w:t>..</w:t>
      </w:r>
      <w:r w:rsidRPr="004C4320">
        <w:rPr>
          <w:rFonts w:cs="Arial"/>
          <w:rtl/>
        </w:rPr>
        <w:t>.</w:t>
      </w:r>
      <w:r w:rsidRPr="004C4320">
        <w:rPr>
          <w:rtl/>
        </w:rPr>
        <w:t xml:space="preserve"> </w:t>
      </w:r>
      <w:r>
        <w:rPr>
          <w:rFonts w:cs="Arial" w:hint="cs"/>
          <w:rtl/>
        </w:rPr>
        <w:t xml:space="preserve">      </w:t>
      </w:r>
      <w:r w:rsidRPr="004C4320">
        <w:rPr>
          <w:rFonts w:cs="Arial" w:hint="cs"/>
          <w:u w:val="double"/>
          <w:rtl/>
        </w:rPr>
        <w:t>גמרא</w:t>
      </w:r>
      <w:r>
        <w:rPr>
          <w:rFonts w:cs="Arial" w:hint="cs"/>
          <w:rtl/>
        </w:rPr>
        <w:t xml:space="preserve">: </w:t>
      </w:r>
      <w:r w:rsidRPr="004C4320">
        <w:rPr>
          <w:rFonts w:cs="Arial"/>
          <w:rtl/>
        </w:rPr>
        <w:t>ואם חברה היוצר מתחלה מותר וכו'. תנא: אם חברה בסיד ובחרסית - מותר, והאנן יוצר תנן! מאי יוצר - כעין יוצר.</w:t>
      </w:r>
    </w:p>
    <w:p w14:paraId="384B88F1" w14:textId="77777777" w:rsidR="004B2E7C" w:rsidRPr="004C4320" w:rsidRDefault="004B2E7C" w:rsidP="00434A6A">
      <w:pPr>
        <w:rPr>
          <w:u w:val="single"/>
          <w:rtl/>
        </w:rPr>
      </w:pPr>
      <w:r w:rsidRPr="004C4320">
        <w:rPr>
          <w:rFonts w:hint="cs"/>
          <w:u w:val="single"/>
          <w:rtl/>
        </w:rPr>
        <w:t>נתינת כלי מנוקב ע"ג הנר:</w:t>
      </w:r>
    </w:p>
    <w:p w14:paraId="44D1446A" w14:textId="77777777" w:rsidR="004B2E7C" w:rsidRPr="0087596A" w:rsidRDefault="004B2E7C" w:rsidP="00FF2D21">
      <w:pPr>
        <w:pStyle w:val="aa"/>
        <w:numPr>
          <w:ilvl w:val="0"/>
          <w:numId w:val="92"/>
        </w:numPr>
        <w:rPr>
          <w:rFonts w:asciiTheme="minorBidi" w:hAnsiTheme="minorBidi" w:cs="Arial"/>
          <w:rtl/>
        </w:rPr>
      </w:pPr>
      <w:r w:rsidRPr="0051299C">
        <w:rPr>
          <w:rFonts w:asciiTheme="minorBidi" w:hAnsiTheme="minorBidi" w:cs="Arial" w:hint="cs"/>
          <w:rtl/>
        </w:rPr>
        <w:t xml:space="preserve">טור- </w:t>
      </w:r>
      <w:r w:rsidRPr="0051299C">
        <w:rPr>
          <w:rFonts w:asciiTheme="minorBidi" w:hAnsiTheme="minorBidi" w:cs="Arial"/>
          <w:rtl/>
        </w:rPr>
        <w:t>אין נותנין כלי מנוקב מלא שמן ע</w:t>
      </w:r>
      <w:r>
        <w:rPr>
          <w:rFonts w:asciiTheme="minorBidi" w:hAnsiTheme="minorBidi" w:cs="Arial" w:hint="cs"/>
          <w:rtl/>
        </w:rPr>
        <w:t xml:space="preserve">ל </w:t>
      </w:r>
      <w:r w:rsidRPr="0051299C">
        <w:rPr>
          <w:rFonts w:asciiTheme="minorBidi" w:hAnsiTheme="minorBidi" w:cs="Arial"/>
          <w:rtl/>
        </w:rPr>
        <w:t>פ</w:t>
      </w:r>
      <w:r>
        <w:rPr>
          <w:rFonts w:asciiTheme="minorBidi" w:hAnsiTheme="minorBidi" w:cs="Arial" w:hint="cs"/>
          <w:rtl/>
        </w:rPr>
        <w:t>י</w:t>
      </w:r>
      <w:r w:rsidRPr="0051299C">
        <w:rPr>
          <w:rFonts w:asciiTheme="minorBidi" w:hAnsiTheme="minorBidi" w:cs="Arial"/>
          <w:rtl/>
        </w:rPr>
        <w:t xml:space="preserve"> הנר כדי שיהא נוטף בתוכו</w:t>
      </w:r>
      <w:r>
        <w:rPr>
          <w:rFonts w:asciiTheme="minorBidi" w:hAnsiTheme="minorBidi" w:cs="Arial" w:hint="cs"/>
          <w:rtl/>
        </w:rPr>
        <w:t>,</w:t>
      </w:r>
      <w:r w:rsidRPr="0051299C">
        <w:rPr>
          <w:rFonts w:asciiTheme="minorBidi" w:hAnsiTheme="minorBidi" w:cs="Arial"/>
          <w:rtl/>
        </w:rPr>
        <w:t xml:space="preserve"> גזירה שמא יסתפק ממנו</w:t>
      </w:r>
      <w:r>
        <w:rPr>
          <w:rFonts w:asciiTheme="minorBidi" w:hAnsiTheme="minorBidi" w:cs="Arial" w:hint="cs"/>
          <w:rtl/>
        </w:rPr>
        <w:t>.</w:t>
      </w:r>
      <w:r w:rsidRPr="0051299C">
        <w:rPr>
          <w:rFonts w:asciiTheme="minorBidi" w:hAnsiTheme="minorBidi" w:cs="Arial"/>
          <w:rtl/>
        </w:rPr>
        <w:t xml:space="preserve"> ואם חברו לו בסיד או בחרסית </w:t>
      </w:r>
      <w:r>
        <w:rPr>
          <w:rFonts w:asciiTheme="minorBidi" w:hAnsiTheme="minorBidi" w:cs="Arial" w:hint="cs"/>
          <w:rtl/>
        </w:rPr>
        <w:t xml:space="preserve">- </w:t>
      </w:r>
      <w:r w:rsidRPr="0051299C">
        <w:rPr>
          <w:rFonts w:asciiTheme="minorBidi" w:hAnsiTheme="minorBidi" w:cs="Arial"/>
          <w:rtl/>
        </w:rPr>
        <w:t xml:space="preserve">מותר. </w:t>
      </w:r>
      <w:r w:rsidRPr="00C713E9">
        <w:rPr>
          <w:rFonts w:cs="Arial" w:hint="cs"/>
          <w:color w:val="E36C0A" w:themeColor="accent6" w:themeShade="BF"/>
          <w:rtl/>
        </w:rPr>
        <w:t>(וכ"פ בשו"ע)</w:t>
      </w:r>
    </w:p>
    <w:p w14:paraId="2B3A7F8F"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E3C5DBF" w14:textId="77777777" w:rsidR="004B2E7C" w:rsidRDefault="004B2E7C" w:rsidP="00434A6A">
      <w:pPr>
        <w:rPr>
          <w:rFonts w:asciiTheme="minorBidi" w:hAnsiTheme="minorBidi"/>
          <w:rtl/>
        </w:rPr>
      </w:pPr>
      <w:r w:rsidRPr="00CC2350">
        <w:rPr>
          <w:rFonts w:asciiTheme="minorBidi" w:hAnsiTheme="minorBidi" w:cs="Arial"/>
          <w:rtl/>
        </w:rPr>
        <w:t>אין נותנין כלי מנוקב מלא שמן ע</w:t>
      </w:r>
      <w:r>
        <w:rPr>
          <w:rFonts w:asciiTheme="minorBidi" w:hAnsiTheme="minorBidi" w:cs="Arial" w:hint="cs"/>
          <w:rtl/>
        </w:rPr>
        <w:t xml:space="preserve">ל </w:t>
      </w:r>
      <w:r w:rsidRPr="00CC2350">
        <w:rPr>
          <w:rFonts w:asciiTheme="minorBidi" w:hAnsiTheme="minorBidi" w:cs="Arial"/>
          <w:rtl/>
        </w:rPr>
        <w:t>פ</w:t>
      </w:r>
      <w:r>
        <w:rPr>
          <w:rFonts w:asciiTheme="minorBidi" w:hAnsiTheme="minorBidi" w:cs="Arial" w:hint="cs"/>
          <w:rtl/>
        </w:rPr>
        <w:t>י</w:t>
      </w:r>
      <w:r w:rsidRPr="00CC2350">
        <w:rPr>
          <w:rFonts w:asciiTheme="minorBidi" w:hAnsiTheme="minorBidi" w:cs="Arial"/>
          <w:rtl/>
        </w:rPr>
        <w:t xml:space="preserve"> הנר כדי שיהא נוטף בתוכו, גזירה שמא יסתפק ממנו ויתחייב</w:t>
      </w:r>
      <w:r>
        <w:rPr>
          <w:rStyle w:val="a9"/>
          <w:rFonts w:asciiTheme="minorBidi" w:hAnsiTheme="minorBidi" w:cs="Arial"/>
          <w:rtl/>
        </w:rPr>
        <w:footnoteReference w:id="711"/>
      </w:r>
      <w:r w:rsidRPr="00CC2350">
        <w:rPr>
          <w:rFonts w:asciiTheme="minorBidi" w:hAnsiTheme="minorBidi" w:cs="Arial"/>
          <w:rtl/>
        </w:rPr>
        <w:t xml:space="preserve"> משום מכבה</w:t>
      </w:r>
      <w:r>
        <w:rPr>
          <w:rFonts w:asciiTheme="minorBidi" w:hAnsiTheme="minorBidi" w:cs="Arial" w:hint="cs"/>
          <w:rtl/>
        </w:rPr>
        <w:t>.</w:t>
      </w:r>
      <w:r w:rsidRPr="00CC2350">
        <w:rPr>
          <w:rFonts w:asciiTheme="minorBidi" w:hAnsiTheme="minorBidi" w:cs="Arial"/>
          <w:rtl/>
        </w:rPr>
        <w:t xml:space="preserve"> ואם חברו לו בסיד או בחרסית, מותר</w:t>
      </w:r>
      <w:r>
        <w:rPr>
          <w:rFonts w:asciiTheme="minorBidi" w:hAnsiTheme="minorBidi" w:cs="Arial" w:hint="cs"/>
          <w:rtl/>
        </w:rPr>
        <w:t>,</w:t>
      </w:r>
      <w:r w:rsidRPr="00CC2350">
        <w:rPr>
          <w:rFonts w:asciiTheme="minorBidi" w:hAnsiTheme="minorBidi" w:cs="Arial"/>
          <w:rtl/>
        </w:rPr>
        <w:t xml:space="preserve"> דכיון שהוא כלי אחד בדיל מיניה משום איסור שבת. </w:t>
      </w:r>
    </w:p>
    <w:p w14:paraId="6CE56F8E" w14:textId="77777777" w:rsidR="004B2E7C" w:rsidRPr="00CC2350" w:rsidRDefault="004B2E7C" w:rsidP="00434A6A">
      <w:pPr>
        <w:rPr>
          <w:rFonts w:asciiTheme="minorBidi" w:hAnsiTheme="minorBidi"/>
          <w:rtl/>
        </w:rPr>
      </w:pPr>
    </w:p>
    <w:p w14:paraId="38F58E80" w14:textId="77777777" w:rsidR="004B2E7C" w:rsidRDefault="004B2E7C" w:rsidP="00434A6A">
      <w:pPr>
        <w:pStyle w:val="2"/>
        <w:rPr>
          <w:rtl/>
        </w:rPr>
      </w:pPr>
      <w:r w:rsidRPr="00CC2350">
        <w:rPr>
          <w:rtl/>
        </w:rPr>
        <w:t>סעיף ב</w:t>
      </w:r>
      <w:r>
        <w:rPr>
          <w:rFonts w:hint="cs"/>
          <w:rtl/>
        </w:rPr>
        <w:t>: נתינת כלי מלא שמן ליד הנר כדי ליתן הפתילה בתוכו.</w:t>
      </w:r>
    </w:p>
    <w:p w14:paraId="3F689E57" w14:textId="77777777" w:rsidR="004B2E7C" w:rsidRPr="004C4320" w:rsidRDefault="004B2E7C" w:rsidP="00434A6A">
      <w:pPr>
        <w:rPr>
          <w:rtl/>
        </w:rPr>
      </w:pPr>
      <w:r w:rsidRPr="00565331">
        <w:rPr>
          <w:rFonts w:cs="Arial" w:hint="cs"/>
          <w:b/>
          <w:bCs/>
          <w:rtl/>
        </w:rPr>
        <w:t xml:space="preserve">שבת </w:t>
      </w:r>
      <w:r w:rsidRPr="00762875">
        <w:rPr>
          <w:rFonts w:cs="Arial" w:hint="cs"/>
          <w:b/>
          <w:bCs/>
          <w:sz w:val="16"/>
          <w:szCs w:val="16"/>
          <w:rtl/>
        </w:rPr>
        <w:t>(פ</w:t>
      </w:r>
      <w:r>
        <w:rPr>
          <w:rFonts w:cs="Arial" w:hint="cs"/>
          <w:b/>
          <w:bCs/>
          <w:sz w:val="16"/>
          <w:szCs w:val="16"/>
          <w:rtl/>
        </w:rPr>
        <w:t>'</w:t>
      </w:r>
      <w:r w:rsidRPr="00762875">
        <w:rPr>
          <w:rFonts w:cs="Arial" w:hint="cs"/>
          <w:b/>
          <w:bCs/>
          <w:sz w:val="16"/>
          <w:szCs w:val="16"/>
          <w:rtl/>
        </w:rPr>
        <w:t xml:space="preserve"> </w:t>
      </w:r>
      <w:r>
        <w:rPr>
          <w:rFonts w:cs="Arial" w:hint="cs"/>
          <w:b/>
          <w:bCs/>
          <w:sz w:val="16"/>
          <w:szCs w:val="16"/>
          <w:rtl/>
        </w:rPr>
        <w:t>במה מדליקין</w:t>
      </w:r>
      <w:r w:rsidRPr="00762875">
        <w:rPr>
          <w:rFonts w:cs="Arial" w:hint="cs"/>
          <w:b/>
          <w:bCs/>
          <w:sz w:val="16"/>
          <w:szCs w:val="16"/>
          <w:rtl/>
        </w:rPr>
        <w:t xml:space="preserve">) </w:t>
      </w:r>
      <w:r>
        <w:rPr>
          <w:rFonts w:cs="Arial" w:hint="cs"/>
          <w:b/>
          <w:bCs/>
          <w:rtl/>
        </w:rPr>
        <w:t>כח</w:t>
      </w:r>
      <w:r w:rsidRPr="00565331">
        <w:rPr>
          <w:rFonts w:cs="Arial" w:hint="cs"/>
          <w:b/>
          <w:bCs/>
          <w:rtl/>
        </w:rPr>
        <w:t xml:space="preserve"> ע"</w:t>
      </w:r>
      <w:r>
        <w:rPr>
          <w:rFonts w:cs="Arial" w:hint="cs"/>
          <w:b/>
          <w:bCs/>
          <w:rtl/>
        </w:rPr>
        <w:t>ב</w:t>
      </w:r>
      <w:r w:rsidRPr="00565331">
        <w:rPr>
          <w:rFonts w:cs="Arial" w:hint="cs"/>
          <w:b/>
          <w:bCs/>
          <w:rtl/>
        </w:rPr>
        <w:t>:</w:t>
      </w:r>
      <w:r>
        <w:rPr>
          <w:rFonts w:cs="Arial" w:hint="cs"/>
          <w:rtl/>
        </w:rPr>
        <w:t xml:space="preserve"> </w:t>
      </w:r>
      <w:r w:rsidRPr="00421772">
        <w:rPr>
          <w:rFonts w:cs="Arial"/>
          <w:u w:val="double"/>
          <w:rtl/>
        </w:rPr>
        <w:t>משנה</w:t>
      </w:r>
      <w:r>
        <w:rPr>
          <w:rFonts w:cs="Arial" w:hint="cs"/>
          <w:rtl/>
        </w:rPr>
        <w:t>:...</w:t>
      </w:r>
      <w:r w:rsidRPr="00421772">
        <w:rPr>
          <w:rFonts w:cs="Arial"/>
          <w:rtl/>
        </w:rPr>
        <w:t xml:space="preserve"> </w:t>
      </w:r>
      <w:r w:rsidRPr="004C4320">
        <w:rPr>
          <w:rFonts w:cs="Arial"/>
          <w:rtl/>
        </w:rPr>
        <w:t>לא ימלא אדם קערה של שמן ויתננה בצד הנר ויתן ראש הפתילה בתוכה בשביל שתהא שואבת</w:t>
      </w:r>
      <w:r>
        <w:rPr>
          <w:rFonts w:cs="Arial" w:hint="cs"/>
          <w:rtl/>
        </w:rPr>
        <w:t>.</w:t>
      </w:r>
      <w:r w:rsidRPr="004C4320">
        <w:rPr>
          <w:rFonts w:cs="Arial"/>
          <w:rtl/>
        </w:rPr>
        <w:t xml:space="preserve"> </w:t>
      </w:r>
      <w:r w:rsidRPr="004C4320">
        <w:rPr>
          <w:rFonts w:cs="Arial"/>
          <w:u w:val="single"/>
          <w:rtl/>
        </w:rPr>
        <w:t>ורבי יהודה</w:t>
      </w:r>
      <w:r w:rsidRPr="004C4320">
        <w:rPr>
          <w:rFonts w:cs="Arial"/>
          <w:rtl/>
        </w:rPr>
        <w:t xml:space="preserve"> מתיר.</w:t>
      </w:r>
      <w:r w:rsidRPr="004C4320">
        <w:rPr>
          <w:rtl/>
        </w:rPr>
        <w:t xml:space="preserve"> </w:t>
      </w:r>
    </w:p>
    <w:p w14:paraId="2B8F4147" w14:textId="77777777" w:rsidR="004B2E7C" w:rsidRPr="0087596A" w:rsidRDefault="004B2E7C" w:rsidP="00434A6A">
      <w:pPr>
        <w:rPr>
          <w:u w:val="single"/>
          <w:rtl/>
        </w:rPr>
      </w:pPr>
      <w:r w:rsidRPr="0087596A">
        <w:rPr>
          <w:rFonts w:hint="cs"/>
          <w:u w:val="single"/>
          <w:rtl/>
        </w:rPr>
        <w:t>נתינת כלי מלא שמן ליד הנר כדי ליתן הפתילה בתוכו:</w:t>
      </w:r>
    </w:p>
    <w:p w14:paraId="31C81A2F" w14:textId="77777777" w:rsidR="004B2E7C" w:rsidRPr="0087596A" w:rsidRDefault="004B2E7C" w:rsidP="00FF2D21">
      <w:pPr>
        <w:pStyle w:val="aa"/>
        <w:numPr>
          <w:ilvl w:val="0"/>
          <w:numId w:val="92"/>
        </w:numPr>
        <w:rPr>
          <w:rFonts w:asciiTheme="minorBidi" w:hAnsiTheme="minorBidi" w:cs="Arial"/>
          <w:rtl/>
        </w:rPr>
      </w:pPr>
      <w:r w:rsidRPr="0051299C">
        <w:rPr>
          <w:rFonts w:asciiTheme="minorBidi" w:hAnsiTheme="minorBidi" w:cs="Arial" w:hint="cs"/>
          <w:rtl/>
        </w:rPr>
        <w:t xml:space="preserve">טור- </w:t>
      </w:r>
      <w:r w:rsidRPr="0051299C">
        <w:rPr>
          <w:rFonts w:asciiTheme="minorBidi" w:hAnsiTheme="minorBidi" w:cs="Arial"/>
          <w:rtl/>
        </w:rPr>
        <w:t>לא ימלא קערה שמן ויתננה בצד הנר ויתן ראש הפתילה בתוכה כדי שתהא שואבת</w:t>
      </w:r>
      <w:r>
        <w:rPr>
          <w:rFonts w:asciiTheme="minorBidi" w:hAnsiTheme="minorBidi" w:cs="Arial" w:hint="cs"/>
          <w:rtl/>
        </w:rPr>
        <w:t>,</w:t>
      </w:r>
      <w:r w:rsidRPr="0051299C">
        <w:rPr>
          <w:rFonts w:asciiTheme="minorBidi" w:hAnsiTheme="minorBidi" w:cs="Arial"/>
          <w:rtl/>
        </w:rPr>
        <w:t xml:space="preserve"> משום ההיא גזירה גופה שמא יסתפק מן השמן. </w:t>
      </w:r>
      <w:r w:rsidRPr="00C713E9">
        <w:rPr>
          <w:rFonts w:cs="Arial" w:hint="cs"/>
          <w:color w:val="E36C0A" w:themeColor="accent6" w:themeShade="BF"/>
          <w:rtl/>
        </w:rPr>
        <w:t>(וכ"פ בשו"ע)</w:t>
      </w:r>
    </w:p>
    <w:p w14:paraId="64A14B4C"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AD294BA" w14:textId="77777777" w:rsidR="004B2E7C" w:rsidRDefault="004B2E7C" w:rsidP="00434A6A">
      <w:pPr>
        <w:rPr>
          <w:rFonts w:asciiTheme="minorBidi" w:hAnsiTheme="minorBidi" w:cs="Arial"/>
          <w:rtl/>
        </w:rPr>
      </w:pPr>
      <w:r w:rsidRPr="00CC2350">
        <w:rPr>
          <w:rFonts w:asciiTheme="minorBidi" w:hAnsiTheme="minorBidi" w:cs="Arial"/>
          <w:rtl/>
        </w:rPr>
        <w:t>לא ימלא קערה שמן ויתננה בצד הנר ויתן ראש הפתילה בתוכה בשביל שתהא שואבת, גזירה שמא יסתפק ממנו</w:t>
      </w:r>
      <w:r>
        <w:rPr>
          <w:rStyle w:val="a9"/>
          <w:rFonts w:asciiTheme="minorBidi" w:hAnsiTheme="minorBidi" w:cs="Arial"/>
          <w:rtl/>
        </w:rPr>
        <w:footnoteReference w:id="712"/>
      </w:r>
      <w:r w:rsidRPr="00CC2350">
        <w:rPr>
          <w:rFonts w:asciiTheme="minorBidi" w:hAnsiTheme="minorBidi" w:cs="Arial"/>
          <w:rtl/>
        </w:rPr>
        <w:t xml:space="preserve">. </w:t>
      </w:r>
    </w:p>
    <w:p w14:paraId="1BA06F8D" w14:textId="77777777" w:rsidR="004B2E7C" w:rsidRPr="00CC2350" w:rsidRDefault="004B2E7C" w:rsidP="00434A6A">
      <w:pPr>
        <w:rPr>
          <w:rFonts w:asciiTheme="minorBidi" w:hAnsiTheme="minorBidi"/>
          <w:rtl/>
        </w:rPr>
      </w:pPr>
    </w:p>
    <w:p w14:paraId="74E42EBD" w14:textId="77777777" w:rsidR="004B2E7C" w:rsidRDefault="004B2E7C" w:rsidP="00434A6A">
      <w:pPr>
        <w:pStyle w:val="2"/>
        <w:rPr>
          <w:rtl/>
        </w:rPr>
      </w:pPr>
      <w:r w:rsidRPr="00CC2350">
        <w:rPr>
          <w:rtl/>
        </w:rPr>
        <w:t>סעיף ג</w:t>
      </w:r>
      <w:r>
        <w:rPr>
          <w:rFonts w:hint="cs"/>
          <w:rtl/>
        </w:rPr>
        <w:t>:</w:t>
      </w:r>
      <w:r w:rsidRPr="00B55693">
        <w:rPr>
          <w:rFonts w:asciiTheme="minorBidi" w:hAnsiTheme="minorBidi" w:hint="cs"/>
          <w:rtl/>
        </w:rPr>
        <w:t xml:space="preserve"> נתינת כלי ריק תחת הנר לקבל בו את השמן הנוטף</w:t>
      </w:r>
      <w:r>
        <w:rPr>
          <w:rFonts w:hint="cs"/>
          <w:rtl/>
        </w:rPr>
        <w:t>.</w:t>
      </w:r>
    </w:p>
    <w:p w14:paraId="70E2038A" w14:textId="77777777" w:rsidR="004B2E7C" w:rsidRPr="00A163AF" w:rsidRDefault="004B2E7C" w:rsidP="00434A6A">
      <w:pPr>
        <w:rPr>
          <w:rtl/>
        </w:rPr>
      </w:pPr>
      <w:r w:rsidRPr="00565331">
        <w:rPr>
          <w:rFonts w:cs="Arial" w:hint="cs"/>
          <w:b/>
          <w:bCs/>
          <w:rtl/>
        </w:rPr>
        <w:t xml:space="preserve">שבת </w:t>
      </w:r>
      <w:r w:rsidRPr="00762875">
        <w:rPr>
          <w:rFonts w:cs="Arial" w:hint="cs"/>
          <w:b/>
          <w:bCs/>
          <w:sz w:val="16"/>
          <w:szCs w:val="16"/>
          <w:rtl/>
        </w:rPr>
        <w:t>(</w:t>
      </w:r>
      <w:r>
        <w:rPr>
          <w:rFonts w:cs="Arial" w:hint="cs"/>
          <w:b/>
          <w:bCs/>
          <w:sz w:val="16"/>
          <w:szCs w:val="16"/>
          <w:rtl/>
        </w:rPr>
        <w:t>פ' כירה</w:t>
      </w:r>
      <w:r w:rsidRPr="00762875">
        <w:rPr>
          <w:rFonts w:cs="Arial" w:hint="cs"/>
          <w:b/>
          <w:bCs/>
          <w:sz w:val="16"/>
          <w:szCs w:val="16"/>
          <w:rtl/>
        </w:rPr>
        <w:t xml:space="preserve">) </w:t>
      </w:r>
      <w:r>
        <w:rPr>
          <w:rFonts w:cs="Arial" w:hint="cs"/>
          <w:b/>
          <w:bCs/>
          <w:rtl/>
        </w:rPr>
        <w:t>מב</w:t>
      </w:r>
      <w:r w:rsidRPr="00565331">
        <w:rPr>
          <w:rFonts w:cs="Arial" w:hint="cs"/>
          <w:b/>
          <w:bCs/>
          <w:rtl/>
        </w:rPr>
        <w:t xml:space="preserve"> ע"</w:t>
      </w:r>
      <w:r>
        <w:rPr>
          <w:rFonts w:cs="Arial" w:hint="cs"/>
          <w:b/>
          <w:bCs/>
          <w:rtl/>
        </w:rPr>
        <w:t>ב</w:t>
      </w:r>
      <w:r w:rsidRPr="00565331">
        <w:rPr>
          <w:rFonts w:cs="Arial" w:hint="cs"/>
          <w:b/>
          <w:bCs/>
          <w:rtl/>
        </w:rPr>
        <w:t>:</w:t>
      </w:r>
      <w:r>
        <w:rPr>
          <w:rFonts w:cs="Arial" w:hint="cs"/>
          <w:rtl/>
        </w:rPr>
        <w:t xml:space="preserve"> </w:t>
      </w:r>
      <w:r w:rsidRPr="00421772">
        <w:rPr>
          <w:rFonts w:cs="Arial"/>
          <w:u w:val="double"/>
          <w:rtl/>
        </w:rPr>
        <w:t>משנה</w:t>
      </w:r>
      <w:r>
        <w:rPr>
          <w:rFonts w:cs="Arial" w:hint="cs"/>
          <w:rtl/>
        </w:rPr>
        <w:t xml:space="preserve">: </w:t>
      </w:r>
      <w:r>
        <w:rPr>
          <w:rFonts w:cs="Arial"/>
          <w:rtl/>
        </w:rPr>
        <w:t xml:space="preserve">אין נותנין כלי תחת הנר לקבל בו את השמן, ואם נתנוה מבעוד יום - מותר. ואין ניאותין ממנו, לפי שאינו מן המוכן. </w:t>
      </w:r>
    </w:p>
    <w:p w14:paraId="29AEC124" w14:textId="77777777" w:rsidR="004B2E7C" w:rsidRPr="00102A62" w:rsidRDefault="004B2E7C" w:rsidP="00434A6A">
      <w:pPr>
        <w:rPr>
          <w:rFonts w:asciiTheme="minorBidi" w:hAnsiTheme="minorBidi" w:cs="Arial"/>
          <w:u w:val="single"/>
        </w:rPr>
      </w:pPr>
      <w:r w:rsidRPr="00B55693">
        <w:rPr>
          <w:rFonts w:asciiTheme="minorBidi" w:hAnsiTheme="minorBidi" w:cs="Arial" w:hint="cs"/>
          <w:u w:val="single"/>
          <w:rtl/>
        </w:rPr>
        <w:t xml:space="preserve">נתינת כלי ריק </w:t>
      </w:r>
      <w:r>
        <w:rPr>
          <w:rFonts w:asciiTheme="minorBidi" w:hAnsiTheme="minorBidi" w:cs="Arial" w:hint="cs"/>
          <w:u w:val="single"/>
          <w:rtl/>
        </w:rPr>
        <w:t>מ</w:t>
      </w:r>
      <w:r w:rsidRPr="00B55693">
        <w:rPr>
          <w:rFonts w:asciiTheme="minorBidi" w:hAnsiTheme="minorBidi" w:cs="Arial" w:hint="cs"/>
          <w:u w:val="single"/>
          <w:rtl/>
        </w:rPr>
        <w:t>תחת הנר לקבל בו את השמן הנוטף</w:t>
      </w:r>
      <w:r w:rsidRPr="00102A62">
        <w:rPr>
          <w:rFonts w:asciiTheme="minorBidi" w:hAnsiTheme="minorBidi" w:cs="Arial" w:hint="cs"/>
          <w:u w:val="single"/>
          <w:rtl/>
        </w:rPr>
        <w:t>:</w:t>
      </w:r>
      <w:r w:rsidRPr="00102A62">
        <w:rPr>
          <w:rFonts w:asciiTheme="minorBidi" w:hAnsiTheme="minorBidi" w:cs="Arial"/>
          <w:u w:val="single"/>
          <w:rtl/>
        </w:rPr>
        <w:t xml:space="preserve"> </w:t>
      </w:r>
    </w:p>
    <w:p w14:paraId="30344D3C" w14:textId="77777777" w:rsidR="004B2E7C" w:rsidRDefault="004B2E7C" w:rsidP="00FF2D21">
      <w:pPr>
        <w:pStyle w:val="aa"/>
        <w:numPr>
          <w:ilvl w:val="0"/>
          <w:numId w:val="92"/>
        </w:numPr>
        <w:rPr>
          <w:rFonts w:asciiTheme="minorBidi" w:hAnsiTheme="minorBidi" w:cs="Arial"/>
        </w:rPr>
      </w:pPr>
      <w:r>
        <w:rPr>
          <w:rFonts w:asciiTheme="minorBidi" w:hAnsiTheme="minorBidi" w:cs="Arial" w:hint="cs"/>
          <w:rtl/>
        </w:rPr>
        <w:t xml:space="preserve">טור- </w:t>
      </w:r>
      <w:r w:rsidRPr="0051299C">
        <w:rPr>
          <w:rFonts w:asciiTheme="minorBidi" w:hAnsiTheme="minorBidi" w:cs="Arial"/>
          <w:rtl/>
        </w:rPr>
        <w:t>אסור ליתנו תחתיו בשב</w:t>
      </w:r>
      <w:r>
        <w:rPr>
          <w:rFonts w:asciiTheme="minorBidi" w:hAnsiTheme="minorBidi" w:cs="Arial" w:hint="cs"/>
          <w:rtl/>
        </w:rPr>
        <w:t>ת</w:t>
      </w:r>
      <w:r w:rsidRPr="0051299C">
        <w:rPr>
          <w:rFonts w:asciiTheme="minorBidi" w:hAnsiTheme="minorBidi" w:cs="Arial"/>
          <w:rtl/>
        </w:rPr>
        <w:t xml:space="preserve"> כדי לקבל שמן הנוטף</w:t>
      </w:r>
      <w:r>
        <w:rPr>
          <w:rFonts w:asciiTheme="minorBidi" w:hAnsiTheme="minorBidi" w:cs="Arial" w:hint="cs"/>
          <w:rtl/>
        </w:rPr>
        <w:t>,</w:t>
      </w:r>
      <w:r w:rsidRPr="0051299C">
        <w:rPr>
          <w:rFonts w:asciiTheme="minorBidi" w:hAnsiTheme="minorBidi" w:cs="Arial"/>
          <w:rtl/>
        </w:rPr>
        <w:t xml:space="preserve"> משו</w:t>
      </w:r>
      <w:r>
        <w:rPr>
          <w:rFonts w:asciiTheme="minorBidi" w:hAnsiTheme="minorBidi" w:cs="Arial" w:hint="cs"/>
          <w:rtl/>
        </w:rPr>
        <w:t>ם</w:t>
      </w:r>
      <w:r w:rsidRPr="0051299C">
        <w:rPr>
          <w:rFonts w:asciiTheme="minorBidi" w:hAnsiTheme="minorBidi" w:cs="Arial"/>
          <w:rtl/>
        </w:rPr>
        <w:t xml:space="preserve"> מבטל כלי מהיכנו</w:t>
      </w:r>
      <w:r>
        <w:rPr>
          <w:rFonts w:asciiTheme="minorBidi" w:hAnsiTheme="minorBidi" w:cs="Arial" w:hint="cs"/>
          <w:rtl/>
        </w:rPr>
        <w:t>.</w:t>
      </w:r>
      <w:r w:rsidRPr="0051299C">
        <w:rPr>
          <w:rFonts w:asciiTheme="minorBidi" w:hAnsiTheme="minorBidi" w:cs="Arial"/>
          <w:rtl/>
        </w:rPr>
        <w:t xml:space="preserve"> ומערב שבת מותר ליתנו תחתיו כדי לקבלו בשמן</w:t>
      </w:r>
      <w:r>
        <w:rPr>
          <w:rFonts w:asciiTheme="minorBidi" w:hAnsiTheme="minorBidi" w:cs="Arial" w:hint="cs"/>
          <w:rtl/>
        </w:rPr>
        <w:t>,</w:t>
      </w:r>
      <w:r w:rsidRPr="0051299C">
        <w:rPr>
          <w:rFonts w:asciiTheme="minorBidi" w:hAnsiTheme="minorBidi" w:cs="Arial"/>
          <w:rtl/>
        </w:rPr>
        <w:t xml:space="preserve"> והשמן אסור להסתפק ממנו בשבת</w:t>
      </w:r>
      <w:r>
        <w:rPr>
          <w:rFonts w:asciiTheme="minorBidi" w:hAnsiTheme="minorBidi" w:cs="Arial" w:hint="cs"/>
          <w:rtl/>
        </w:rPr>
        <w:t>.</w:t>
      </w:r>
      <w:r w:rsidRPr="009655F5">
        <w:rPr>
          <w:rFonts w:hint="cs"/>
          <w:color w:val="E36C0A" w:themeColor="accent6" w:themeShade="BF"/>
          <w:rtl/>
        </w:rPr>
        <w:t xml:space="preserve"> </w:t>
      </w:r>
      <w:r w:rsidRPr="00A163AF">
        <w:rPr>
          <w:rFonts w:hint="cs"/>
          <w:color w:val="E36C0A" w:themeColor="accent6" w:themeShade="BF"/>
          <w:rtl/>
        </w:rPr>
        <w:t>(וכ"פ בשו"ע)</w:t>
      </w:r>
    </w:p>
    <w:p w14:paraId="6183B164" w14:textId="77777777" w:rsidR="004B2E7C" w:rsidRPr="00B55693" w:rsidRDefault="004B2E7C" w:rsidP="00434A6A">
      <w:pPr>
        <w:ind w:left="360"/>
        <w:rPr>
          <w:rFonts w:asciiTheme="minorBidi" w:hAnsiTheme="minorBidi" w:cs="Arial"/>
          <w:u w:val="dotted"/>
          <w:rtl/>
        </w:rPr>
      </w:pPr>
      <w:r w:rsidRPr="00B55693">
        <w:rPr>
          <w:rFonts w:asciiTheme="minorBidi" w:hAnsiTheme="minorBidi" w:cs="Arial" w:hint="cs"/>
          <w:u w:val="dotted"/>
          <w:rtl/>
        </w:rPr>
        <w:t xml:space="preserve">האם מתחת נר </w:t>
      </w:r>
      <w:r w:rsidRPr="001B3380">
        <w:rPr>
          <w:rFonts w:asciiTheme="minorBidi" w:hAnsiTheme="minorBidi" w:cs="Arial" w:hint="cs"/>
          <w:b/>
          <w:bCs/>
          <w:u w:val="dotted"/>
          <w:rtl/>
        </w:rPr>
        <w:t>שעוה</w:t>
      </w:r>
      <w:r w:rsidRPr="00B55693">
        <w:rPr>
          <w:rFonts w:asciiTheme="minorBidi" w:hAnsiTheme="minorBidi" w:cs="Arial" w:hint="cs"/>
          <w:u w:val="dotted"/>
          <w:rtl/>
        </w:rPr>
        <w:t xml:space="preserve"> מותר ליתן כלי ריק</w:t>
      </w:r>
      <w:r>
        <w:rPr>
          <w:rFonts w:asciiTheme="minorBidi" w:hAnsiTheme="minorBidi" w:cs="Arial" w:hint="cs"/>
          <w:u w:val="dotted"/>
          <w:rtl/>
        </w:rPr>
        <w:t xml:space="preserve"> </w:t>
      </w:r>
      <w:r w:rsidRPr="001B3380">
        <w:rPr>
          <w:rFonts w:asciiTheme="minorBidi" w:hAnsiTheme="minorBidi" w:cs="Arial" w:hint="cs"/>
          <w:b/>
          <w:bCs/>
          <w:u w:val="dotted"/>
          <w:rtl/>
        </w:rPr>
        <w:t>בשבת</w:t>
      </w:r>
      <w:r w:rsidRPr="00B55693">
        <w:rPr>
          <w:rFonts w:asciiTheme="minorBidi" w:hAnsiTheme="minorBidi" w:cs="Arial" w:hint="cs"/>
          <w:u w:val="dotted"/>
          <w:rtl/>
        </w:rPr>
        <w:t>:</w:t>
      </w:r>
    </w:p>
    <w:p w14:paraId="143924D2" w14:textId="77777777" w:rsidR="004B2E7C" w:rsidRDefault="004B2E7C" w:rsidP="00FF2D21">
      <w:pPr>
        <w:pStyle w:val="aa"/>
        <w:numPr>
          <w:ilvl w:val="0"/>
          <w:numId w:val="92"/>
        </w:numPr>
        <w:rPr>
          <w:rFonts w:cs="Arial"/>
        </w:rPr>
      </w:pPr>
      <w:r w:rsidRPr="0051299C">
        <w:rPr>
          <w:rFonts w:cs="Arial"/>
          <w:rtl/>
        </w:rPr>
        <w:t>או</w:t>
      </w:r>
      <w:r>
        <w:rPr>
          <w:rFonts w:cs="Arial" w:hint="cs"/>
          <w:rtl/>
        </w:rPr>
        <w:t>"</w:t>
      </w:r>
      <w:r w:rsidRPr="0051299C">
        <w:rPr>
          <w:rFonts w:cs="Arial"/>
          <w:rtl/>
        </w:rPr>
        <w:t xml:space="preserve">ז </w:t>
      </w:r>
      <w:r w:rsidRPr="006F16A8">
        <w:rPr>
          <w:rFonts w:cs="Arial"/>
          <w:sz w:val="16"/>
          <w:szCs w:val="16"/>
          <w:rtl/>
        </w:rPr>
        <w:t>(הלכות ערב שבת סי' כט)</w:t>
      </w:r>
      <w:r w:rsidRPr="006F16A8">
        <w:rPr>
          <w:rFonts w:cs="Arial" w:hint="cs"/>
          <w:sz w:val="16"/>
          <w:szCs w:val="16"/>
          <w:rtl/>
        </w:rPr>
        <w:t xml:space="preserve"> </w:t>
      </w:r>
      <w:r>
        <w:rPr>
          <w:rFonts w:cs="Arial" w:hint="cs"/>
          <w:rtl/>
        </w:rPr>
        <w:t>והג"א</w:t>
      </w:r>
      <w:r w:rsidRPr="006740DD">
        <w:rPr>
          <w:rFonts w:cs="Arial"/>
          <w:rtl/>
        </w:rPr>
        <w:t xml:space="preserve"> </w:t>
      </w:r>
      <w:r w:rsidRPr="00B55693">
        <w:rPr>
          <w:rFonts w:cs="Arial"/>
          <w:sz w:val="16"/>
          <w:szCs w:val="16"/>
          <w:rtl/>
        </w:rPr>
        <w:t>(פ"ג סי' יח)</w:t>
      </w:r>
      <w:r>
        <w:rPr>
          <w:rFonts w:cs="Arial" w:hint="cs"/>
          <w:rtl/>
        </w:rPr>
        <w:t>-</w:t>
      </w:r>
      <w:r w:rsidRPr="006740DD">
        <w:rPr>
          <w:rFonts w:cs="Arial"/>
          <w:rtl/>
        </w:rPr>
        <w:t xml:space="preserve"> מותר לתת כלי תחת נר של שעוה</w:t>
      </w:r>
      <w:r>
        <w:rPr>
          <w:rFonts w:cs="Arial" w:hint="cs"/>
          <w:rtl/>
        </w:rPr>
        <w:t>,</w:t>
      </w:r>
      <w:r w:rsidRPr="006740DD">
        <w:rPr>
          <w:rFonts w:cs="Arial"/>
          <w:rtl/>
        </w:rPr>
        <w:t xml:space="preserve"> דכיון דאפשר לנער האיסור מתוך הכלי לא חשיב מבטל כלי מהיכנו</w:t>
      </w:r>
      <w:r>
        <w:rPr>
          <w:rStyle w:val="a9"/>
          <w:rFonts w:cs="Arial"/>
          <w:rtl/>
        </w:rPr>
        <w:footnoteReference w:id="713"/>
      </w:r>
      <w:r>
        <w:rPr>
          <w:rFonts w:cs="Arial" w:hint="cs"/>
          <w:rtl/>
        </w:rPr>
        <w:t>.</w:t>
      </w:r>
      <w:r w:rsidRPr="006740DD">
        <w:rPr>
          <w:rFonts w:cs="Arial"/>
          <w:rtl/>
        </w:rPr>
        <w:t xml:space="preserve"> ולא דמי לשמן שאינו רוצה לנערו ולהפסידו ומשום הכי הוי מבטל כלי מהיכנו</w:t>
      </w:r>
      <w:r>
        <w:rPr>
          <w:rFonts w:cs="Arial" w:hint="cs"/>
          <w:rtl/>
        </w:rPr>
        <w:t>,</w:t>
      </w:r>
      <w:r w:rsidRPr="006740DD">
        <w:rPr>
          <w:rFonts w:cs="Arial"/>
          <w:rtl/>
        </w:rPr>
        <w:t xml:space="preserve"> אבל האי נר ודאי ינער קודם שיאחז האור בכלי</w:t>
      </w:r>
      <w:r>
        <w:rPr>
          <w:rStyle w:val="a9"/>
          <w:rFonts w:cs="Arial"/>
          <w:rtl/>
        </w:rPr>
        <w:footnoteReference w:id="714"/>
      </w:r>
      <w:r>
        <w:rPr>
          <w:rFonts w:cs="Arial" w:hint="cs"/>
          <w:rtl/>
        </w:rPr>
        <w:t>. (וכ"פ במשנ"ב</w:t>
      </w:r>
      <w:r>
        <w:rPr>
          <w:rFonts w:cs="Arial" w:hint="cs"/>
          <w:sz w:val="16"/>
          <w:szCs w:val="16"/>
          <w:rtl/>
        </w:rPr>
        <w:t xml:space="preserve"> [סק"ה]</w:t>
      </w:r>
      <w:r>
        <w:rPr>
          <w:rFonts w:cs="Arial" w:hint="cs"/>
          <w:rtl/>
        </w:rPr>
        <w:t>)</w:t>
      </w:r>
    </w:p>
    <w:p w14:paraId="6F463772" w14:textId="77777777" w:rsidR="004B2E7C" w:rsidRPr="001B3380" w:rsidRDefault="004B2E7C" w:rsidP="00434A6A">
      <w:pPr>
        <w:ind w:left="360"/>
        <w:rPr>
          <w:rFonts w:cs="Arial"/>
          <w:u w:val="dotted"/>
          <w:rtl/>
        </w:rPr>
      </w:pPr>
      <w:r w:rsidRPr="001B3380">
        <w:rPr>
          <w:rFonts w:cs="Arial" w:hint="cs"/>
          <w:u w:val="dotted"/>
          <w:rtl/>
        </w:rPr>
        <w:t xml:space="preserve">האם מותר ליתן כלי עם דבר היתר </w:t>
      </w:r>
      <w:r>
        <w:rPr>
          <w:rFonts w:cs="Arial" w:hint="cs"/>
          <w:u w:val="dotted"/>
          <w:rtl/>
        </w:rPr>
        <w:t xml:space="preserve">מתחת הנר </w:t>
      </w:r>
      <w:r w:rsidRPr="006F16A8">
        <w:rPr>
          <w:rFonts w:cs="Arial" w:hint="cs"/>
          <w:b/>
          <w:bCs/>
          <w:u w:val="dotted"/>
          <w:rtl/>
        </w:rPr>
        <w:t>שמן</w:t>
      </w:r>
      <w:r>
        <w:rPr>
          <w:rFonts w:cs="Arial" w:hint="cs"/>
          <w:u w:val="dotted"/>
          <w:rtl/>
        </w:rPr>
        <w:t xml:space="preserve"> </w:t>
      </w:r>
      <w:r w:rsidRPr="001B3380">
        <w:rPr>
          <w:rFonts w:cs="Arial" w:hint="cs"/>
          <w:sz w:val="16"/>
          <w:szCs w:val="16"/>
          <w:u w:val="dotted"/>
          <w:rtl/>
        </w:rPr>
        <w:t>(ע"מ שיוכל אח"כ לטלטלו)</w:t>
      </w:r>
      <w:r w:rsidRPr="001B3380">
        <w:rPr>
          <w:rFonts w:cs="Arial" w:hint="cs"/>
          <w:u w:val="dotted"/>
          <w:rtl/>
        </w:rPr>
        <w:t>:</w:t>
      </w:r>
    </w:p>
    <w:p w14:paraId="73CA023A" w14:textId="77777777" w:rsidR="004B2E7C" w:rsidRDefault="004B2E7C" w:rsidP="00FF2D21">
      <w:pPr>
        <w:pStyle w:val="aa"/>
        <w:numPr>
          <w:ilvl w:val="0"/>
          <w:numId w:val="92"/>
        </w:numPr>
        <w:rPr>
          <w:rFonts w:cs="Arial"/>
        </w:rPr>
      </w:pPr>
      <w:r w:rsidRPr="0051299C">
        <w:rPr>
          <w:rFonts w:cs="Arial"/>
          <w:rtl/>
        </w:rPr>
        <w:t>או</w:t>
      </w:r>
      <w:r>
        <w:rPr>
          <w:rFonts w:cs="Arial" w:hint="cs"/>
          <w:rtl/>
        </w:rPr>
        <w:t>"</w:t>
      </w:r>
      <w:r w:rsidRPr="0051299C">
        <w:rPr>
          <w:rFonts w:cs="Arial"/>
          <w:rtl/>
        </w:rPr>
        <w:t xml:space="preserve">ז </w:t>
      </w:r>
      <w:r w:rsidRPr="006F16A8">
        <w:rPr>
          <w:rFonts w:cs="Arial"/>
          <w:sz w:val="16"/>
          <w:szCs w:val="16"/>
          <w:rtl/>
        </w:rPr>
        <w:t>(הלכות ערב שבת סי' כט)</w:t>
      </w:r>
      <w:r w:rsidRPr="006F16A8">
        <w:rPr>
          <w:rFonts w:cs="Arial" w:hint="cs"/>
          <w:sz w:val="16"/>
          <w:szCs w:val="16"/>
          <w:rtl/>
        </w:rPr>
        <w:t xml:space="preserve"> </w:t>
      </w:r>
      <w:r>
        <w:rPr>
          <w:rFonts w:cs="Arial" w:hint="cs"/>
          <w:rtl/>
        </w:rPr>
        <w:t>והג"א</w:t>
      </w:r>
      <w:r w:rsidRPr="006740DD">
        <w:rPr>
          <w:rFonts w:cs="Arial"/>
          <w:rtl/>
        </w:rPr>
        <w:t xml:space="preserve"> </w:t>
      </w:r>
      <w:r w:rsidRPr="00B55693">
        <w:rPr>
          <w:rFonts w:cs="Arial"/>
          <w:sz w:val="16"/>
          <w:szCs w:val="16"/>
          <w:rtl/>
        </w:rPr>
        <w:t>(פ"ג סי' יח)</w:t>
      </w:r>
      <w:r>
        <w:rPr>
          <w:rFonts w:cs="Arial" w:hint="cs"/>
          <w:rtl/>
        </w:rPr>
        <w:t>-</w:t>
      </w:r>
      <w:r w:rsidRPr="006740DD">
        <w:rPr>
          <w:rFonts w:cs="Arial"/>
          <w:rtl/>
        </w:rPr>
        <w:t xml:space="preserve"> נראה דהוא הדין אם יש בכלי דבר היתר דלא אפשר לנערו אם לא יתקלקל דמותר לתת אותו כלי תחת הנר לקבל השמן או נר עצמו שיפול</w:t>
      </w:r>
      <w:r>
        <w:rPr>
          <w:rFonts w:cs="Arial" w:hint="cs"/>
          <w:rtl/>
        </w:rPr>
        <w:t>.</w:t>
      </w:r>
      <w:r w:rsidRPr="006740DD">
        <w:rPr>
          <w:rFonts w:cs="Arial"/>
          <w:rtl/>
        </w:rPr>
        <w:t xml:space="preserve"> דהא יכול לטלטלו לכשיכבה לכל הפחות אגב היתרא</w:t>
      </w:r>
      <w:r>
        <w:rPr>
          <w:rFonts w:cs="Arial" w:hint="cs"/>
          <w:rtl/>
        </w:rPr>
        <w:t>,</w:t>
      </w:r>
      <w:r w:rsidRPr="006740DD">
        <w:rPr>
          <w:rFonts w:cs="Arial"/>
          <w:rtl/>
        </w:rPr>
        <w:t xml:space="preserve"> כמו כנונא אגב קטמיה </w:t>
      </w:r>
      <w:r w:rsidRPr="001B3380">
        <w:rPr>
          <w:rFonts w:cs="Arial"/>
          <w:sz w:val="16"/>
          <w:szCs w:val="16"/>
          <w:rtl/>
        </w:rPr>
        <w:t>(מז.)</w:t>
      </w:r>
      <w:r>
        <w:rPr>
          <w:rFonts w:cs="Arial" w:hint="cs"/>
          <w:rtl/>
        </w:rPr>
        <w:t xml:space="preserve">. </w:t>
      </w:r>
      <w:r w:rsidRPr="006740DD">
        <w:rPr>
          <w:rFonts w:cs="Arial"/>
          <w:rtl/>
        </w:rPr>
        <w:t xml:space="preserve">מיהו לרבא </w:t>
      </w:r>
      <w:r w:rsidRPr="001B3380">
        <w:rPr>
          <w:rFonts w:cs="Arial"/>
          <w:sz w:val="16"/>
          <w:szCs w:val="16"/>
          <w:rtl/>
        </w:rPr>
        <w:t xml:space="preserve">(מב:) </w:t>
      </w:r>
      <w:r w:rsidRPr="006740DD">
        <w:rPr>
          <w:rFonts w:cs="Arial"/>
          <w:rtl/>
        </w:rPr>
        <w:t>דאמר הצלה שאינה מצויה לא התירו אפילו לצורך דבר הניטל</w:t>
      </w:r>
      <w:r>
        <w:rPr>
          <w:rFonts w:cs="Arial" w:hint="cs"/>
          <w:rtl/>
        </w:rPr>
        <w:t>,</w:t>
      </w:r>
      <w:r w:rsidRPr="006740DD">
        <w:rPr>
          <w:rFonts w:cs="Arial"/>
          <w:rtl/>
        </w:rPr>
        <w:t xml:space="preserve"> היה אסור אם אין הצלה מצויה</w:t>
      </w:r>
      <w:r>
        <w:rPr>
          <w:rFonts w:cs="Arial" w:hint="cs"/>
          <w:rtl/>
        </w:rPr>
        <w:t>,</w:t>
      </w:r>
      <w:r w:rsidRPr="006740DD">
        <w:rPr>
          <w:rFonts w:cs="Arial"/>
          <w:rtl/>
        </w:rPr>
        <w:t xml:space="preserve"> מיהו לצורך מקומו היה מותר</w:t>
      </w:r>
      <w:r>
        <w:rPr>
          <w:rStyle w:val="a9"/>
          <w:rFonts w:cs="Arial"/>
          <w:rtl/>
        </w:rPr>
        <w:footnoteReference w:id="715"/>
      </w:r>
      <w:r w:rsidRPr="006740DD">
        <w:rPr>
          <w:rFonts w:cs="Arial"/>
          <w:rtl/>
        </w:rPr>
        <w:t>.</w:t>
      </w:r>
      <w:r w:rsidRPr="001B3380">
        <w:rPr>
          <w:rFonts w:cs="Arial"/>
          <w:rtl/>
        </w:rPr>
        <w:t xml:space="preserve"> </w:t>
      </w:r>
    </w:p>
    <w:p w14:paraId="27C467FA" w14:textId="77777777" w:rsidR="004B2E7C" w:rsidRPr="005A3E75" w:rsidRDefault="004B2E7C" w:rsidP="00434A6A">
      <w:pPr>
        <w:rPr>
          <w:rFonts w:cs="Arial"/>
          <w:u w:val="single"/>
          <w:rtl/>
        </w:rPr>
      </w:pPr>
      <w:r>
        <w:rPr>
          <w:rFonts w:cs="Arial" w:hint="cs"/>
          <w:u w:val="single"/>
          <w:rtl/>
        </w:rPr>
        <w:t>נתינת</w:t>
      </w:r>
      <w:r w:rsidRPr="005A3E75">
        <w:rPr>
          <w:rFonts w:cs="Arial"/>
          <w:u w:val="single"/>
          <w:rtl/>
        </w:rPr>
        <w:t xml:space="preserve"> כלי מבעוד יום תחת השולחן</w:t>
      </w:r>
      <w:r>
        <w:rPr>
          <w:rFonts w:cs="Arial" w:hint="cs"/>
          <w:u w:val="single"/>
          <w:rtl/>
        </w:rPr>
        <w:t>,</w:t>
      </w:r>
      <w:r w:rsidRPr="005A3E75">
        <w:rPr>
          <w:rFonts w:cs="Arial"/>
          <w:u w:val="single"/>
          <w:rtl/>
        </w:rPr>
        <w:t xml:space="preserve"> וכש</w:t>
      </w:r>
      <w:r>
        <w:rPr>
          <w:rFonts w:cs="Arial" w:hint="cs"/>
          <w:u w:val="single"/>
          <w:rtl/>
        </w:rPr>
        <w:t>י</w:t>
      </w:r>
      <w:r w:rsidRPr="005A3E75">
        <w:rPr>
          <w:rFonts w:cs="Arial"/>
          <w:u w:val="single"/>
          <w:rtl/>
        </w:rPr>
        <w:t>ל</w:t>
      </w:r>
      <w:r>
        <w:rPr>
          <w:rFonts w:cs="Arial" w:hint="cs"/>
          <w:u w:val="single"/>
          <w:rtl/>
        </w:rPr>
        <w:t>כו</w:t>
      </w:r>
      <w:r w:rsidRPr="005A3E75">
        <w:rPr>
          <w:rFonts w:cs="Arial"/>
          <w:u w:val="single"/>
          <w:rtl/>
        </w:rPr>
        <w:t xml:space="preserve"> לישן </w:t>
      </w:r>
      <w:r>
        <w:rPr>
          <w:rFonts w:cs="Arial" w:hint="cs"/>
          <w:u w:val="single"/>
          <w:rtl/>
        </w:rPr>
        <w:t>י</w:t>
      </w:r>
      <w:r w:rsidRPr="005A3E75">
        <w:rPr>
          <w:rFonts w:cs="Arial"/>
          <w:u w:val="single"/>
          <w:rtl/>
        </w:rPr>
        <w:t>סיר</w:t>
      </w:r>
      <w:r>
        <w:rPr>
          <w:rFonts w:cs="Arial" w:hint="cs"/>
          <w:u w:val="single"/>
          <w:rtl/>
        </w:rPr>
        <w:t>ו</w:t>
      </w:r>
      <w:r w:rsidRPr="005A3E75">
        <w:rPr>
          <w:rFonts w:cs="Arial"/>
          <w:u w:val="single"/>
          <w:rtl/>
        </w:rPr>
        <w:t xml:space="preserve"> </w:t>
      </w:r>
      <w:r>
        <w:rPr>
          <w:rFonts w:cs="Arial" w:hint="cs"/>
          <w:u w:val="single"/>
          <w:rtl/>
        </w:rPr>
        <w:t xml:space="preserve">את </w:t>
      </w:r>
      <w:r w:rsidRPr="005A3E75">
        <w:rPr>
          <w:rFonts w:cs="Arial"/>
          <w:u w:val="single"/>
          <w:rtl/>
        </w:rPr>
        <w:t>השולחן</w:t>
      </w:r>
      <w:r>
        <w:rPr>
          <w:rFonts w:cs="Arial" w:hint="cs"/>
          <w:u w:val="single"/>
          <w:rtl/>
        </w:rPr>
        <w:t>, ונמצא</w:t>
      </w:r>
      <w:r w:rsidRPr="005A3E75">
        <w:rPr>
          <w:rFonts w:cs="Arial"/>
          <w:u w:val="single"/>
          <w:rtl/>
        </w:rPr>
        <w:t xml:space="preserve"> </w:t>
      </w:r>
      <w:r>
        <w:rPr>
          <w:rFonts w:cs="Arial" w:hint="cs"/>
          <w:u w:val="single"/>
          <w:rtl/>
        </w:rPr>
        <w:t>ש</w:t>
      </w:r>
      <w:r w:rsidRPr="005A3E75">
        <w:rPr>
          <w:rFonts w:cs="Arial"/>
          <w:u w:val="single"/>
          <w:rtl/>
        </w:rPr>
        <w:t>הכלי עומד מעצמו תחת הנר</w:t>
      </w:r>
      <w:r w:rsidRPr="005A3E75">
        <w:rPr>
          <w:rFonts w:cs="Arial" w:hint="cs"/>
          <w:u w:val="single"/>
          <w:rtl/>
        </w:rPr>
        <w:t>:</w:t>
      </w:r>
    </w:p>
    <w:p w14:paraId="34D5B3DE" w14:textId="77777777" w:rsidR="004B2E7C" w:rsidRDefault="004B2E7C" w:rsidP="00FF2D21">
      <w:pPr>
        <w:pStyle w:val="aa"/>
        <w:numPr>
          <w:ilvl w:val="0"/>
          <w:numId w:val="92"/>
        </w:numPr>
      </w:pPr>
      <w:r w:rsidRPr="006740DD">
        <w:rPr>
          <w:rFonts w:cs="Arial"/>
          <w:rtl/>
        </w:rPr>
        <w:t>מהרי"ל</w:t>
      </w:r>
      <w:r w:rsidRPr="006F16A8">
        <w:rPr>
          <w:rFonts w:cs="Arial"/>
          <w:sz w:val="16"/>
          <w:szCs w:val="16"/>
          <w:rtl/>
        </w:rPr>
        <w:t xml:space="preserve"> </w:t>
      </w:r>
      <w:r w:rsidRPr="006F16A8">
        <w:rPr>
          <w:rFonts w:cs="Arial" w:hint="cs"/>
          <w:sz w:val="16"/>
          <w:szCs w:val="16"/>
          <w:rtl/>
        </w:rPr>
        <w:t>(</w:t>
      </w:r>
      <w:r w:rsidRPr="006F16A8">
        <w:rPr>
          <w:rFonts w:cs="Arial"/>
          <w:sz w:val="16"/>
          <w:szCs w:val="16"/>
          <w:rtl/>
        </w:rPr>
        <w:t>סי' לב</w:t>
      </w:r>
      <w:r w:rsidRPr="006F16A8">
        <w:rPr>
          <w:rFonts w:cs="Arial" w:hint="cs"/>
          <w:sz w:val="16"/>
          <w:szCs w:val="16"/>
          <w:rtl/>
        </w:rPr>
        <w:t>, הב"י הביא כן בשם תשובה אשכנזית</w:t>
      </w:r>
      <w:r w:rsidRPr="006F16A8">
        <w:rPr>
          <w:rFonts w:cs="Arial"/>
          <w:sz w:val="16"/>
          <w:szCs w:val="16"/>
          <w:rtl/>
        </w:rPr>
        <w:t>)</w:t>
      </w:r>
      <w:r>
        <w:rPr>
          <w:rFonts w:cs="Arial" w:hint="cs"/>
          <w:rtl/>
        </w:rPr>
        <w:t>-</w:t>
      </w:r>
      <w:r w:rsidRPr="006740DD">
        <w:rPr>
          <w:rFonts w:cs="Arial"/>
          <w:rtl/>
        </w:rPr>
        <w:t xml:space="preserve"> קצת דעתי נוטה שמותר לשים כלי מבעוד יום תחת השולחן וכשתלך לישן תסיר השולחן והכלי עומד מעצמו תחת הנר אע</w:t>
      </w:r>
      <w:r>
        <w:rPr>
          <w:rFonts w:cs="Arial" w:hint="cs"/>
          <w:rtl/>
        </w:rPr>
        <w:t>"</w:t>
      </w:r>
      <w:r w:rsidRPr="006740DD">
        <w:rPr>
          <w:rFonts w:cs="Arial"/>
          <w:rtl/>
        </w:rPr>
        <w:t>ג דגורם לבטל כלי מהיכנו נראה דשרי</w:t>
      </w:r>
      <w:r>
        <w:rPr>
          <w:rFonts w:cs="Arial" w:hint="cs"/>
          <w:rtl/>
        </w:rPr>
        <w:t>.</w:t>
      </w:r>
      <w:r w:rsidRPr="006740DD">
        <w:rPr>
          <w:rFonts w:cs="Arial"/>
          <w:rtl/>
        </w:rPr>
        <w:t xml:space="preserve"> דעד כאן לא פליגי רבי יוסי ורבנן (קכ.) אלא גרם כיבוי דאיסורא דאורייתא</w:t>
      </w:r>
      <w:r>
        <w:rPr>
          <w:rFonts w:cs="Arial" w:hint="cs"/>
          <w:rtl/>
        </w:rPr>
        <w:t>,</w:t>
      </w:r>
      <w:r w:rsidRPr="006740DD">
        <w:rPr>
          <w:rFonts w:cs="Arial"/>
          <w:rtl/>
        </w:rPr>
        <w:t xml:space="preserve"> אבל גרם ביטול כלי מהיכנו לא חזינן דאסיר</w:t>
      </w:r>
      <w:r>
        <w:rPr>
          <w:rFonts w:cs="Arial" w:hint="cs"/>
          <w:rtl/>
        </w:rPr>
        <w:t>.</w:t>
      </w:r>
      <w:r w:rsidRPr="006740DD">
        <w:rPr>
          <w:rFonts w:cs="Arial"/>
          <w:rtl/>
        </w:rPr>
        <w:t xml:space="preserve"> וגרם כיבוי נמי פסקינן כרבי יוסי דשרי</w:t>
      </w:r>
      <w:r>
        <w:rPr>
          <w:rFonts w:cs="Arial" w:hint="cs"/>
          <w:rtl/>
        </w:rPr>
        <w:t>,</w:t>
      </w:r>
      <w:r w:rsidRPr="006740DD">
        <w:rPr>
          <w:rFonts w:cs="Arial"/>
          <w:rtl/>
        </w:rPr>
        <w:t xml:space="preserve"> מיהו כתב מהר"ם דוקא משום הפסד דליקה הא לאו הכי אפילו ביום טוב אסור</w:t>
      </w:r>
      <w:r>
        <w:rPr>
          <w:rFonts w:cs="Arial" w:hint="cs"/>
          <w:rtl/>
        </w:rPr>
        <w:t>.</w:t>
      </w:r>
      <w:r w:rsidRPr="006740DD">
        <w:rPr>
          <w:rFonts w:cs="Arial"/>
          <w:rtl/>
        </w:rPr>
        <w:t xml:space="preserve"> ומכל מקום דעתי נוטה להתיר כדלעיל</w:t>
      </w:r>
      <w:r>
        <w:rPr>
          <w:rFonts w:cs="Arial" w:hint="cs"/>
          <w:rtl/>
        </w:rPr>
        <w:t>.</w:t>
      </w:r>
      <w:r w:rsidRPr="006740DD">
        <w:rPr>
          <w:rFonts w:cs="Arial"/>
          <w:rtl/>
        </w:rPr>
        <w:t xml:space="preserve"> ועוד הא אין נזהרין מלהשים כלי תחת הנר</w:t>
      </w:r>
      <w:r>
        <w:rPr>
          <w:rFonts w:cs="Arial" w:hint="cs"/>
          <w:rtl/>
        </w:rPr>
        <w:t>,</w:t>
      </w:r>
      <w:r w:rsidRPr="006740DD">
        <w:rPr>
          <w:rFonts w:cs="Arial"/>
          <w:rtl/>
        </w:rPr>
        <w:t xml:space="preserve"> כי אין מתכוונין שיפול בו שמן</w:t>
      </w:r>
      <w:r>
        <w:rPr>
          <w:rFonts w:cs="Arial" w:hint="cs"/>
          <w:rtl/>
        </w:rPr>
        <w:t>,</w:t>
      </w:r>
      <w:r w:rsidRPr="006740DD">
        <w:rPr>
          <w:rFonts w:cs="Arial"/>
          <w:rtl/>
        </w:rPr>
        <w:t xml:space="preserve"> הכי נמי אין מתכוונין כשמסיר השולחן אלא להצלת השולחן</w:t>
      </w:r>
      <w:r>
        <w:rPr>
          <w:rFonts w:cs="Arial" w:hint="cs"/>
          <w:rtl/>
        </w:rPr>
        <w:t>.</w:t>
      </w:r>
      <w:r w:rsidRPr="006740DD">
        <w:rPr>
          <w:rFonts w:cs="Arial"/>
          <w:rtl/>
        </w:rPr>
        <w:t xml:space="preserve"> ועוד דקי</w:t>
      </w:r>
      <w:r>
        <w:rPr>
          <w:rFonts w:cs="Arial" w:hint="cs"/>
          <w:rtl/>
        </w:rPr>
        <w:t>י"</w:t>
      </w:r>
      <w:r w:rsidRPr="006740DD">
        <w:rPr>
          <w:rFonts w:cs="Arial"/>
          <w:rtl/>
        </w:rPr>
        <w:t>ל (לקמן ריש סי' שלז) כרבי שמעון דבר שאין מתכוין מותר דלא הוי פסיק רישיה</w:t>
      </w:r>
      <w:r>
        <w:rPr>
          <w:rFonts w:cs="Arial" w:hint="cs"/>
          <w:rtl/>
        </w:rPr>
        <w:t>,</w:t>
      </w:r>
      <w:r w:rsidRPr="006740DD">
        <w:rPr>
          <w:rFonts w:cs="Arial"/>
          <w:rtl/>
        </w:rPr>
        <w:t xml:space="preserve"> וכל שכן הכא דרבנן הוא</w:t>
      </w:r>
      <w:r>
        <w:rPr>
          <w:rFonts w:cs="Arial" w:hint="cs"/>
          <w:rtl/>
        </w:rPr>
        <w:t>.</w:t>
      </w:r>
      <w:r w:rsidRPr="006740DD">
        <w:rPr>
          <w:rFonts w:cs="Arial"/>
          <w:rtl/>
        </w:rPr>
        <w:t xml:space="preserve"> ואפילו הכי לא אסמוך על היתר זה עד יסכימו עמי אחד מרבותינו</w:t>
      </w:r>
      <w:r>
        <w:rPr>
          <w:rFonts w:cs="Arial" w:hint="cs"/>
          <w:rtl/>
        </w:rPr>
        <w:t>.</w:t>
      </w:r>
    </w:p>
    <w:p w14:paraId="05622185" w14:textId="77777777" w:rsidR="004B2E7C" w:rsidRPr="009655F5" w:rsidRDefault="004B2E7C" w:rsidP="00434A6A">
      <w:pPr>
        <w:rPr>
          <w:sz w:val="16"/>
          <w:szCs w:val="16"/>
        </w:rPr>
      </w:pPr>
      <w:r w:rsidRPr="009655F5">
        <w:rPr>
          <w:rFonts w:hint="cs"/>
          <w:u w:val="single"/>
          <w:rtl/>
        </w:rPr>
        <w:t>האם מותר לחתוך מנר שעוה בעוד הנר דולק:</w:t>
      </w:r>
      <w:r>
        <w:rPr>
          <w:rFonts w:hint="cs"/>
          <w:sz w:val="16"/>
          <w:szCs w:val="16"/>
          <w:rtl/>
        </w:rPr>
        <w:t xml:space="preserve">  (דרכ"מ אות ב)</w:t>
      </w:r>
    </w:p>
    <w:p w14:paraId="20ACA4F0" w14:textId="77777777" w:rsidR="004B2E7C" w:rsidRDefault="004B2E7C" w:rsidP="00FF2D21">
      <w:pPr>
        <w:pStyle w:val="aa"/>
        <w:numPr>
          <w:ilvl w:val="0"/>
          <w:numId w:val="92"/>
        </w:numPr>
      </w:pPr>
      <w:r>
        <w:rPr>
          <w:rFonts w:cs="Arial" w:hint="cs"/>
          <w:rtl/>
        </w:rPr>
        <w:t>או"ז</w:t>
      </w:r>
      <w:r w:rsidRPr="0051299C">
        <w:rPr>
          <w:rFonts w:cs="Arial"/>
          <w:rtl/>
        </w:rPr>
        <w:t xml:space="preserve"> </w:t>
      </w:r>
      <w:r w:rsidRPr="009655F5">
        <w:rPr>
          <w:rFonts w:cs="Arial"/>
          <w:sz w:val="16"/>
          <w:szCs w:val="16"/>
          <w:rtl/>
        </w:rPr>
        <w:t>(הל' ערב שבת סי' כח, ד"ה פרק יום טוב)</w:t>
      </w:r>
      <w:r>
        <w:rPr>
          <w:rFonts w:cs="Arial" w:hint="cs"/>
          <w:rtl/>
        </w:rPr>
        <w:t>-</w:t>
      </w:r>
      <w:r w:rsidRPr="0051299C">
        <w:rPr>
          <w:rFonts w:cs="Arial"/>
          <w:rtl/>
        </w:rPr>
        <w:t xml:space="preserve"> אם היו חתיכות חלב בנר מותר ליקח חתיכה אחת הרחוקה מן הפתילה</w:t>
      </w:r>
      <w:r>
        <w:rPr>
          <w:rFonts w:cs="Arial" w:hint="cs"/>
          <w:rtl/>
        </w:rPr>
        <w:t>,</w:t>
      </w:r>
      <w:r w:rsidRPr="0051299C">
        <w:rPr>
          <w:rFonts w:cs="Arial"/>
          <w:rtl/>
        </w:rPr>
        <w:t xml:space="preserve"> דלא הוי אפילו גרם כיבוי, אבל ריב"א אוסרו, וכן אסור לחתוך מן הנר של שעוה בשעה שהוא דולק</w:t>
      </w:r>
      <w:r>
        <w:rPr>
          <w:rStyle w:val="a9"/>
          <w:rFonts w:cs="Arial"/>
          <w:rtl/>
        </w:rPr>
        <w:footnoteReference w:id="716"/>
      </w:r>
      <w:r w:rsidRPr="0051299C">
        <w:rPr>
          <w:rFonts w:cs="Arial"/>
          <w:rtl/>
        </w:rPr>
        <w:t xml:space="preserve">. </w:t>
      </w:r>
    </w:p>
    <w:p w14:paraId="1A4058D1" w14:textId="77777777" w:rsidR="004B2E7C" w:rsidRPr="009655F5" w:rsidRDefault="004B2E7C" w:rsidP="00434A6A">
      <w:pPr>
        <w:rPr>
          <w:u w:val="single"/>
        </w:rPr>
      </w:pPr>
      <w:r w:rsidRPr="009655F5">
        <w:rPr>
          <w:rFonts w:hint="cs"/>
          <w:u w:val="single"/>
          <w:rtl/>
        </w:rPr>
        <w:t>נגיעה בנר דולק:</w:t>
      </w:r>
      <w:r>
        <w:rPr>
          <w:rFonts w:hint="cs"/>
          <w:sz w:val="16"/>
          <w:szCs w:val="16"/>
          <w:rtl/>
        </w:rPr>
        <w:t xml:space="preserve">  (דרכ"מ אות ב)</w:t>
      </w:r>
    </w:p>
    <w:p w14:paraId="319C044C" w14:textId="77777777" w:rsidR="004B2E7C" w:rsidRPr="0051299C" w:rsidRDefault="004B2E7C" w:rsidP="00FF2D21">
      <w:pPr>
        <w:pStyle w:val="aa"/>
        <w:numPr>
          <w:ilvl w:val="0"/>
          <w:numId w:val="92"/>
        </w:numPr>
        <w:rPr>
          <w:rtl/>
        </w:rPr>
      </w:pPr>
      <w:r>
        <w:rPr>
          <w:rFonts w:cs="Arial" w:hint="cs"/>
          <w:rtl/>
        </w:rPr>
        <w:t>או"ז</w:t>
      </w:r>
      <w:r w:rsidRPr="0051299C">
        <w:rPr>
          <w:rFonts w:cs="Arial"/>
          <w:rtl/>
        </w:rPr>
        <w:t xml:space="preserve"> </w:t>
      </w:r>
      <w:r w:rsidRPr="009655F5">
        <w:rPr>
          <w:rFonts w:cs="Arial"/>
          <w:sz w:val="16"/>
          <w:szCs w:val="16"/>
          <w:rtl/>
        </w:rPr>
        <w:t xml:space="preserve">(הל' ערב שבת סי' </w:t>
      </w:r>
      <w:r>
        <w:rPr>
          <w:rFonts w:cs="Arial" w:hint="cs"/>
          <w:sz w:val="16"/>
          <w:szCs w:val="16"/>
          <w:rtl/>
        </w:rPr>
        <w:t>לג</w:t>
      </w:r>
      <w:r w:rsidRPr="009655F5">
        <w:rPr>
          <w:rFonts w:cs="Arial"/>
          <w:sz w:val="16"/>
          <w:szCs w:val="16"/>
          <w:rtl/>
        </w:rPr>
        <w:t>)</w:t>
      </w:r>
      <w:r>
        <w:rPr>
          <w:rFonts w:cs="Arial" w:hint="cs"/>
          <w:rtl/>
        </w:rPr>
        <w:t>-</w:t>
      </w:r>
      <w:r w:rsidRPr="0051299C">
        <w:rPr>
          <w:rFonts w:cs="Arial"/>
          <w:rtl/>
        </w:rPr>
        <w:t xml:space="preserve"> ראיתי כתוב בשם רבינו תם שהתיר ליגע בנר תלוי בשעה שהוא דולק</w:t>
      </w:r>
      <w:r>
        <w:rPr>
          <w:rFonts w:cs="Arial" w:hint="cs"/>
          <w:rtl/>
        </w:rPr>
        <w:t>,</w:t>
      </w:r>
      <w:r w:rsidRPr="0051299C">
        <w:rPr>
          <w:rFonts w:cs="Arial"/>
          <w:rtl/>
        </w:rPr>
        <w:t xml:space="preserve"> דמאחר שאין מכוין להבעיר הוי דבר שאין מתכוין</w:t>
      </w:r>
      <w:r>
        <w:rPr>
          <w:rFonts w:cs="Arial" w:hint="cs"/>
          <w:rtl/>
        </w:rPr>
        <w:t>,</w:t>
      </w:r>
      <w:r w:rsidRPr="0051299C">
        <w:rPr>
          <w:rFonts w:cs="Arial"/>
          <w:rtl/>
        </w:rPr>
        <w:t xml:space="preserve"> ומשום מוקצה ליכא דהא טלטול מן הצד הוא ולא שמיה טלטול</w:t>
      </w:r>
      <w:r>
        <w:rPr>
          <w:rFonts w:cs="Arial" w:hint="cs"/>
          <w:rtl/>
        </w:rPr>
        <w:t>.</w:t>
      </w:r>
      <w:r w:rsidRPr="0051299C">
        <w:rPr>
          <w:rFonts w:cs="Arial"/>
          <w:rtl/>
        </w:rPr>
        <w:t xml:space="preserve"> ובמלכותינו בארץ כנען נזהרים שלא ליגע בנר תלוי</w:t>
      </w:r>
      <w:r>
        <w:rPr>
          <w:rFonts w:cs="Arial" w:hint="cs"/>
          <w:rtl/>
        </w:rPr>
        <w:t>.</w:t>
      </w:r>
      <w:r w:rsidRPr="0051299C">
        <w:rPr>
          <w:rFonts w:cs="Arial"/>
          <w:rtl/>
        </w:rPr>
        <w:t xml:space="preserve"> ונשים מתענות על כך</w:t>
      </w:r>
      <w:r>
        <w:rPr>
          <w:rFonts w:cs="Arial" w:hint="cs"/>
          <w:rtl/>
        </w:rPr>
        <w:t>.</w:t>
      </w:r>
      <w:r w:rsidRPr="0051299C">
        <w:rPr>
          <w:rFonts w:cs="Arial"/>
          <w:rtl/>
        </w:rPr>
        <w:t xml:space="preserve"> וכל שכן בנר של שמן שכולו נמשך אחר הפתילה ובקרוב מתנדנד ומחייב משום מכבה ומבעיר</w:t>
      </w:r>
      <w:r>
        <w:rPr>
          <w:rFonts w:cs="Arial" w:hint="cs"/>
          <w:rtl/>
        </w:rPr>
        <w:t>.</w:t>
      </w:r>
      <w:r w:rsidRPr="0051299C">
        <w:rPr>
          <w:rFonts w:cs="Arial"/>
          <w:rtl/>
        </w:rPr>
        <w:t xml:space="preserve"> ואפשר דאף רבינו תם לא קאמר להיתר מעשה אלא להיתר פלפול בעלמא נתכוין</w:t>
      </w:r>
      <w:r>
        <w:rPr>
          <w:rFonts w:cs="Arial" w:hint="cs"/>
          <w:rtl/>
        </w:rPr>
        <w:t>,</w:t>
      </w:r>
      <w:r w:rsidRPr="0051299C">
        <w:rPr>
          <w:rFonts w:cs="Arial"/>
          <w:rtl/>
        </w:rPr>
        <w:t xml:space="preserve"> וכן מצינו </w:t>
      </w:r>
      <w:r w:rsidRPr="009655F5">
        <w:rPr>
          <w:rFonts w:cs="Arial"/>
          <w:sz w:val="16"/>
          <w:szCs w:val="16"/>
          <w:rtl/>
        </w:rPr>
        <w:t xml:space="preserve">(בירושלמי עבודה זרה פ"ב ה"ג) </w:t>
      </w:r>
      <w:r w:rsidRPr="0051299C">
        <w:rPr>
          <w:rFonts w:cs="Arial"/>
          <w:rtl/>
        </w:rPr>
        <w:t>באמוראים שהיו עושים כן</w:t>
      </w:r>
      <w:r>
        <w:rPr>
          <w:rFonts w:cs="Arial" w:hint="cs"/>
          <w:rtl/>
        </w:rPr>
        <w:t>.</w:t>
      </w:r>
      <w:r w:rsidRPr="0051299C">
        <w:rPr>
          <w:rFonts w:cs="Arial"/>
          <w:rtl/>
        </w:rPr>
        <w:t xml:space="preserve"> ולכן איני סומך על הוראה ז</w:t>
      </w:r>
      <w:r>
        <w:rPr>
          <w:rFonts w:cs="Arial" w:hint="cs"/>
          <w:rtl/>
        </w:rPr>
        <w:t>ו.</w:t>
      </w:r>
      <w:r w:rsidRPr="009655F5">
        <w:rPr>
          <w:rFonts w:hint="cs"/>
          <w:color w:val="00B0F0"/>
          <w:rtl/>
        </w:rPr>
        <w:t xml:space="preserve"> </w:t>
      </w:r>
      <w:r w:rsidRPr="00A163AF">
        <w:rPr>
          <w:rFonts w:hint="cs"/>
          <w:color w:val="00B0F0"/>
          <w:rtl/>
        </w:rPr>
        <w:t>(וכ"פ הרמ"א)</w:t>
      </w:r>
    </w:p>
    <w:p w14:paraId="495D9E31"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78A9BB0" w14:textId="77777777" w:rsidR="004B2E7C" w:rsidRDefault="004B2E7C" w:rsidP="00434A6A">
      <w:pPr>
        <w:rPr>
          <w:rFonts w:asciiTheme="minorBidi" w:hAnsiTheme="minorBidi"/>
          <w:rtl/>
        </w:rPr>
      </w:pPr>
      <w:r w:rsidRPr="00CC2350">
        <w:rPr>
          <w:rFonts w:asciiTheme="minorBidi" w:hAnsiTheme="minorBidi" w:cs="Arial"/>
          <w:rtl/>
        </w:rPr>
        <w:t>אין נותנין כלי בשבת תחת הנר לקבל שמן הנוטף, מפני שהוא מבטל כלי מהיכנו</w:t>
      </w:r>
      <w:r>
        <w:rPr>
          <w:rFonts w:asciiTheme="minorBidi" w:hAnsiTheme="minorBidi" w:cs="Arial" w:hint="cs"/>
          <w:rtl/>
        </w:rPr>
        <w:t>.</w:t>
      </w:r>
      <w:r w:rsidRPr="00CC2350">
        <w:rPr>
          <w:rFonts w:asciiTheme="minorBidi" w:hAnsiTheme="minorBidi" w:cs="Arial"/>
          <w:rtl/>
        </w:rPr>
        <w:t xml:space="preserve"> ומותר ליתנו מבע</w:t>
      </w:r>
      <w:r>
        <w:rPr>
          <w:rFonts w:asciiTheme="minorBidi" w:hAnsiTheme="minorBidi" w:cs="Arial" w:hint="cs"/>
          <w:rtl/>
        </w:rPr>
        <w:t xml:space="preserve">וד </w:t>
      </w:r>
      <w:r w:rsidRPr="00CC2350">
        <w:rPr>
          <w:rFonts w:asciiTheme="minorBidi" w:hAnsiTheme="minorBidi" w:cs="Arial"/>
          <w:rtl/>
        </w:rPr>
        <w:t>י</w:t>
      </w:r>
      <w:r>
        <w:rPr>
          <w:rFonts w:asciiTheme="minorBidi" w:hAnsiTheme="minorBidi" w:cs="Arial" w:hint="cs"/>
          <w:rtl/>
        </w:rPr>
        <w:t>ום.</w:t>
      </w:r>
      <w:r w:rsidRPr="00CC2350">
        <w:rPr>
          <w:rFonts w:asciiTheme="minorBidi" w:hAnsiTheme="minorBidi" w:cs="Arial"/>
          <w:rtl/>
        </w:rPr>
        <w:t xml:space="preserve"> והשמן הנוטף אסור להסתפק</w:t>
      </w:r>
      <w:r>
        <w:rPr>
          <w:rStyle w:val="a9"/>
          <w:rFonts w:asciiTheme="minorBidi" w:hAnsiTheme="minorBidi" w:cs="Arial"/>
          <w:rtl/>
        </w:rPr>
        <w:footnoteReference w:id="717"/>
      </w:r>
      <w:r w:rsidRPr="00CC2350">
        <w:rPr>
          <w:rFonts w:asciiTheme="minorBidi" w:hAnsiTheme="minorBidi" w:cs="Arial"/>
          <w:rtl/>
        </w:rPr>
        <w:t xml:space="preserve"> ממנו בשבת. </w:t>
      </w:r>
      <w:r w:rsidRPr="00C70047">
        <w:rPr>
          <w:rFonts w:asciiTheme="minorBidi" w:hAnsiTheme="minorBidi" w:cs="Arial"/>
          <w:sz w:val="18"/>
          <w:szCs w:val="18"/>
          <w:rtl/>
        </w:rPr>
        <w:t>הגה: ואסור ליגע בנר דולק כשהוא תלוי, אף על פי שאינו מטלטלו ואין בו משום מוקצה בנגיעה בעלמא</w:t>
      </w:r>
      <w:r>
        <w:rPr>
          <w:rStyle w:val="a9"/>
          <w:rFonts w:asciiTheme="minorBidi" w:hAnsiTheme="minorBidi" w:cs="Arial"/>
          <w:sz w:val="18"/>
          <w:szCs w:val="18"/>
          <w:rtl/>
        </w:rPr>
        <w:footnoteReference w:id="718"/>
      </w:r>
      <w:r w:rsidRPr="00C70047">
        <w:rPr>
          <w:rFonts w:asciiTheme="minorBidi" w:hAnsiTheme="minorBidi" w:cs="Arial"/>
          <w:sz w:val="18"/>
          <w:szCs w:val="18"/>
          <w:rtl/>
        </w:rPr>
        <w:t>, מ"מ אסור פן יתנדנד קצת מנגיעתו ויטה</w:t>
      </w:r>
      <w:r>
        <w:rPr>
          <w:rStyle w:val="a9"/>
          <w:rFonts w:asciiTheme="minorBidi" w:hAnsiTheme="minorBidi" w:cs="Arial"/>
          <w:sz w:val="18"/>
          <w:szCs w:val="18"/>
          <w:rtl/>
        </w:rPr>
        <w:footnoteReference w:id="719"/>
      </w:r>
      <w:r w:rsidRPr="00C70047">
        <w:rPr>
          <w:rFonts w:asciiTheme="minorBidi" w:hAnsiTheme="minorBidi" w:cs="Arial"/>
          <w:sz w:val="18"/>
          <w:szCs w:val="18"/>
          <w:rtl/>
        </w:rPr>
        <w:t xml:space="preserve"> (א</w:t>
      </w:r>
      <w:r>
        <w:rPr>
          <w:rFonts w:asciiTheme="minorBidi" w:hAnsiTheme="minorBidi" w:cs="Arial" w:hint="cs"/>
          <w:sz w:val="18"/>
          <w:szCs w:val="18"/>
          <w:rtl/>
        </w:rPr>
        <w:t>ו</w:t>
      </w:r>
      <w:r w:rsidRPr="00C70047">
        <w:rPr>
          <w:rFonts w:asciiTheme="minorBidi" w:hAnsiTheme="minorBidi" w:cs="Arial"/>
          <w:sz w:val="18"/>
          <w:szCs w:val="18"/>
          <w:rtl/>
        </w:rPr>
        <w:t xml:space="preserve">"ז). </w:t>
      </w:r>
    </w:p>
    <w:p w14:paraId="0B837945" w14:textId="77777777" w:rsidR="004B2E7C" w:rsidRPr="00CC2350" w:rsidRDefault="004B2E7C" w:rsidP="00434A6A">
      <w:pPr>
        <w:rPr>
          <w:rFonts w:asciiTheme="minorBidi" w:hAnsiTheme="minorBidi"/>
          <w:rtl/>
        </w:rPr>
      </w:pPr>
    </w:p>
    <w:p w14:paraId="4DD006BC" w14:textId="77777777" w:rsidR="004B2E7C" w:rsidRDefault="004B2E7C" w:rsidP="00434A6A">
      <w:pPr>
        <w:pStyle w:val="2"/>
        <w:rPr>
          <w:rtl/>
        </w:rPr>
      </w:pPr>
      <w:r w:rsidRPr="00CC2350">
        <w:rPr>
          <w:rtl/>
        </w:rPr>
        <w:t>סעיף ד</w:t>
      </w:r>
      <w:r>
        <w:rPr>
          <w:rFonts w:hint="cs"/>
          <w:rtl/>
        </w:rPr>
        <w:t>:</w:t>
      </w:r>
      <w:r w:rsidRPr="005A256C">
        <w:rPr>
          <w:rFonts w:hint="cs"/>
          <w:rtl/>
        </w:rPr>
        <w:t xml:space="preserve"> נתינת כלי</w:t>
      </w:r>
      <w:r>
        <w:rPr>
          <w:rFonts w:hint="cs"/>
          <w:rtl/>
        </w:rPr>
        <w:t xml:space="preserve"> </w:t>
      </w:r>
      <w:r>
        <w:rPr>
          <w:rFonts w:hint="cs"/>
          <w:sz w:val="18"/>
          <w:szCs w:val="18"/>
          <w:rtl/>
        </w:rPr>
        <w:t>(ריק/עם מים)</w:t>
      </w:r>
      <w:r w:rsidRPr="005A256C">
        <w:rPr>
          <w:rFonts w:hint="cs"/>
          <w:rtl/>
        </w:rPr>
        <w:t xml:space="preserve"> תחת הנר לקבל בו את הניצוצות</w:t>
      </w:r>
      <w:r>
        <w:rPr>
          <w:rFonts w:hint="cs"/>
          <w:rtl/>
        </w:rPr>
        <w:t>. נתינת מים תחת השמן.</w:t>
      </w:r>
    </w:p>
    <w:p w14:paraId="409F3CC1" w14:textId="77777777" w:rsidR="004B2E7C" w:rsidRDefault="004B2E7C" w:rsidP="00434A6A">
      <w:pPr>
        <w:rPr>
          <w:rtl/>
        </w:rPr>
      </w:pPr>
      <w:r w:rsidRPr="00565331">
        <w:rPr>
          <w:rFonts w:cs="Arial" w:hint="cs"/>
          <w:b/>
          <w:bCs/>
          <w:rtl/>
        </w:rPr>
        <w:t xml:space="preserve">שבת </w:t>
      </w:r>
      <w:r w:rsidRPr="00762875">
        <w:rPr>
          <w:rFonts w:cs="Arial" w:hint="cs"/>
          <w:b/>
          <w:bCs/>
          <w:sz w:val="16"/>
          <w:szCs w:val="16"/>
          <w:rtl/>
        </w:rPr>
        <w:t>(</w:t>
      </w:r>
      <w:r>
        <w:rPr>
          <w:rFonts w:cs="Arial" w:hint="cs"/>
          <w:b/>
          <w:bCs/>
          <w:sz w:val="16"/>
          <w:szCs w:val="16"/>
          <w:rtl/>
        </w:rPr>
        <w:t>ס"פ כירה</w:t>
      </w:r>
      <w:r w:rsidRPr="00762875">
        <w:rPr>
          <w:rFonts w:cs="Arial" w:hint="cs"/>
          <w:b/>
          <w:bCs/>
          <w:sz w:val="16"/>
          <w:szCs w:val="16"/>
          <w:rtl/>
        </w:rPr>
        <w:t xml:space="preserve">) </w:t>
      </w:r>
      <w:r>
        <w:rPr>
          <w:rFonts w:cs="Arial" w:hint="cs"/>
          <w:b/>
          <w:bCs/>
          <w:rtl/>
        </w:rPr>
        <w:t>מז</w:t>
      </w:r>
      <w:r w:rsidRPr="00565331">
        <w:rPr>
          <w:rFonts w:cs="Arial" w:hint="cs"/>
          <w:b/>
          <w:bCs/>
          <w:rtl/>
        </w:rPr>
        <w:t xml:space="preserve"> ע"</w:t>
      </w:r>
      <w:r>
        <w:rPr>
          <w:rFonts w:cs="Arial" w:hint="cs"/>
          <w:b/>
          <w:bCs/>
          <w:rtl/>
        </w:rPr>
        <w:t>ב</w:t>
      </w:r>
      <w:r w:rsidRPr="00565331">
        <w:rPr>
          <w:rFonts w:cs="Arial" w:hint="cs"/>
          <w:b/>
          <w:bCs/>
          <w:rtl/>
        </w:rPr>
        <w:t>:</w:t>
      </w:r>
      <w:r>
        <w:rPr>
          <w:rFonts w:cs="Arial" w:hint="cs"/>
          <w:rtl/>
        </w:rPr>
        <w:t xml:space="preserve"> </w:t>
      </w:r>
      <w:r w:rsidRPr="00421772">
        <w:rPr>
          <w:rFonts w:cs="Arial"/>
          <w:u w:val="double"/>
          <w:rtl/>
        </w:rPr>
        <w:t>משנה</w:t>
      </w:r>
      <w:r>
        <w:rPr>
          <w:rFonts w:cs="Arial" w:hint="cs"/>
          <w:rtl/>
        </w:rPr>
        <w:t xml:space="preserve">: </w:t>
      </w:r>
      <w:r>
        <w:rPr>
          <w:rFonts w:cs="Arial"/>
          <w:rtl/>
        </w:rPr>
        <w:t xml:space="preserve">נותנין כלי תחת הנר לקבל ניצוצות. ולא יתן לתוכו מים - מפני שהוא מכבה. </w:t>
      </w:r>
      <w:r>
        <w:rPr>
          <w:rFonts w:hint="cs"/>
          <w:rtl/>
        </w:rPr>
        <w:t xml:space="preserve">    </w:t>
      </w:r>
      <w:r w:rsidRPr="007F175B">
        <w:rPr>
          <w:rFonts w:cs="Arial"/>
          <w:u w:val="double"/>
          <w:rtl/>
        </w:rPr>
        <w:t>גמרא</w:t>
      </w:r>
      <w:r>
        <w:rPr>
          <w:rFonts w:cs="Arial" w:hint="cs"/>
          <w:rtl/>
        </w:rPr>
        <w:t>:</w:t>
      </w:r>
      <w:r>
        <w:rPr>
          <w:rFonts w:cs="Arial"/>
          <w:rtl/>
        </w:rPr>
        <w:t xml:space="preserve"> והא קמבטל כלי מהיכנו! </w:t>
      </w:r>
      <w:r w:rsidRPr="007F175B">
        <w:rPr>
          <w:rFonts w:cs="Arial"/>
          <w:u w:val="single"/>
          <w:rtl/>
        </w:rPr>
        <w:t>אמר רב הונא בריה דרב יהושע</w:t>
      </w:r>
      <w:r>
        <w:rPr>
          <w:rFonts w:cs="Arial"/>
          <w:rtl/>
        </w:rPr>
        <w:t>: ניצוצות אין בהן ממש</w:t>
      </w:r>
      <w:r>
        <w:rPr>
          <w:rStyle w:val="a9"/>
          <w:rFonts w:cs="Arial"/>
          <w:rtl/>
        </w:rPr>
        <w:footnoteReference w:id="720"/>
      </w:r>
      <w:r>
        <w:rPr>
          <w:rFonts w:cs="Arial"/>
          <w:rtl/>
        </w:rPr>
        <w:t xml:space="preserve">. ולא יתן לתוכו מים מפני שהוא מכבה. לימא תנן סתמא כרבי יוסי, דאמר: גורם לכיבוי - אסור! ותסברא? אימור דאמר רבי יוסי - בשבת, בערב שבת מי אמר? וכי תימא הכא נמי בשבת - והתניא: נותנין כלי תחת הנר לקבל ניצוצות בשבת - ואין צריך לומר בערב שבת, ולא יתן לתוכו מים מפני שהוא מכבה מערב שבת, ואין צריך לומר בשבת! </w:t>
      </w:r>
      <w:r w:rsidRPr="007F175B">
        <w:rPr>
          <w:rFonts w:cs="Arial"/>
          <w:u w:val="single"/>
          <w:rtl/>
        </w:rPr>
        <w:t>אלא אמר רב אשי</w:t>
      </w:r>
      <w:r>
        <w:rPr>
          <w:rStyle w:val="a9"/>
          <w:rFonts w:cs="Arial"/>
          <w:rtl/>
        </w:rPr>
        <w:footnoteReference w:id="721"/>
      </w:r>
      <w:r>
        <w:rPr>
          <w:rFonts w:cs="Arial"/>
          <w:rtl/>
        </w:rPr>
        <w:t>: אפילו תימא רבנן, שאני הכא - מפני שמקרב את כיבויו</w:t>
      </w:r>
      <w:r>
        <w:rPr>
          <w:rStyle w:val="a9"/>
          <w:rFonts w:cs="Arial"/>
          <w:rtl/>
        </w:rPr>
        <w:footnoteReference w:id="722"/>
      </w:r>
      <w:r>
        <w:rPr>
          <w:rFonts w:cs="Arial"/>
          <w:rtl/>
        </w:rPr>
        <w:t>.</w:t>
      </w:r>
    </w:p>
    <w:p w14:paraId="37EA8584" w14:textId="77777777" w:rsidR="004B2E7C" w:rsidRPr="00F63ABA" w:rsidRDefault="004B2E7C" w:rsidP="00434A6A">
      <w:pPr>
        <w:rPr>
          <w:u w:val="single"/>
          <w:rtl/>
        </w:rPr>
      </w:pPr>
      <w:r w:rsidRPr="005A256C">
        <w:rPr>
          <w:rFonts w:hint="cs"/>
          <w:u w:val="single"/>
          <w:rtl/>
        </w:rPr>
        <w:t xml:space="preserve">נתינת כלי ריק </w:t>
      </w:r>
      <w:r>
        <w:rPr>
          <w:rFonts w:hint="cs"/>
          <w:u w:val="single"/>
          <w:rtl/>
        </w:rPr>
        <w:t>מ</w:t>
      </w:r>
      <w:r w:rsidRPr="005A256C">
        <w:rPr>
          <w:rFonts w:hint="cs"/>
          <w:u w:val="single"/>
          <w:rtl/>
        </w:rPr>
        <w:t>תחת הנר לקבל בו את הניצוצות</w:t>
      </w:r>
      <w:r w:rsidRPr="00F63ABA">
        <w:rPr>
          <w:rFonts w:hint="cs"/>
          <w:u w:val="single"/>
          <w:rtl/>
        </w:rPr>
        <w:t>:</w:t>
      </w:r>
    </w:p>
    <w:p w14:paraId="3B10E4C8" w14:textId="77777777" w:rsidR="004B2E7C" w:rsidRDefault="004B2E7C" w:rsidP="00FF2D21">
      <w:pPr>
        <w:pStyle w:val="aa"/>
        <w:numPr>
          <w:ilvl w:val="0"/>
          <w:numId w:val="92"/>
        </w:numPr>
        <w:rPr>
          <w:rFonts w:asciiTheme="minorBidi" w:hAnsiTheme="minorBidi" w:cs="Arial"/>
        </w:rPr>
      </w:pPr>
      <w:r>
        <w:rPr>
          <w:rFonts w:asciiTheme="minorBidi" w:hAnsiTheme="minorBidi" w:cs="Arial" w:hint="cs"/>
          <w:rtl/>
        </w:rPr>
        <w:t xml:space="preserve">טור- </w:t>
      </w:r>
      <w:r w:rsidRPr="0051299C">
        <w:rPr>
          <w:rFonts w:asciiTheme="minorBidi" w:hAnsiTheme="minorBidi" w:cs="Arial"/>
          <w:rtl/>
        </w:rPr>
        <w:t>מותר ליתן כלי ריקן תחתיו אפי</w:t>
      </w:r>
      <w:r>
        <w:rPr>
          <w:rFonts w:asciiTheme="minorBidi" w:hAnsiTheme="minorBidi" w:cs="Arial" w:hint="cs"/>
          <w:rtl/>
        </w:rPr>
        <w:t>לו</w:t>
      </w:r>
      <w:r w:rsidRPr="0051299C">
        <w:rPr>
          <w:rFonts w:asciiTheme="minorBidi" w:hAnsiTheme="minorBidi" w:cs="Arial"/>
          <w:rtl/>
        </w:rPr>
        <w:t xml:space="preserve"> בשבת לקבל ניצוצות הנוטפות</w:t>
      </w:r>
      <w:r>
        <w:rPr>
          <w:rFonts w:asciiTheme="minorBidi" w:hAnsiTheme="minorBidi" w:cs="Arial" w:hint="cs"/>
          <w:rtl/>
        </w:rPr>
        <w:t>.</w:t>
      </w:r>
      <w:r w:rsidRPr="009655F5">
        <w:rPr>
          <w:rFonts w:hint="cs"/>
          <w:color w:val="E36C0A" w:themeColor="accent6" w:themeShade="BF"/>
          <w:rtl/>
        </w:rPr>
        <w:t xml:space="preserve"> </w:t>
      </w:r>
      <w:r w:rsidRPr="00A163AF">
        <w:rPr>
          <w:rFonts w:hint="cs"/>
          <w:color w:val="E36C0A" w:themeColor="accent6" w:themeShade="BF"/>
          <w:rtl/>
        </w:rPr>
        <w:t>(וכ"פ בשו"ע)</w:t>
      </w:r>
    </w:p>
    <w:p w14:paraId="12259F9B" w14:textId="77777777" w:rsidR="004B2E7C" w:rsidRPr="00F63ABA" w:rsidRDefault="004B2E7C" w:rsidP="00434A6A">
      <w:pPr>
        <w:ind w:left="360"/>
        <w:rPr>
          <w:rFonts w:asciiTheme="minorBidi" w:hAnsiTheme="minorBidi" w:cs="Arial"/>
          <w:u w:val="dotted"/>
        </w:rPr>
      </w:pPr>
      <w:r w:rsidRPr="00F63ABA">
        <w:rPr>
          <w:rFonts w:asciiTheme="minorBidi" w:hAnsiTheme="minorBidi" w:cs="Arial" w:hint="cs"/>
          <w:u w:val="dotted"/>
          <w:rtl/>
        </w:rPr>
        <w:t>האם מותר ליתן מים בכלי הנ"ל:</w:t>
      </w:r>
    </w:p>
    <w:p w14:paraId="4868B3B5" w14:textId="77777777" w:rsidR="004B2E7C" w:rsidRDefault="004B2E7C" w:rsidP="00FF2D21">
      <w:pPr>
        <w:pStyle w:val="aa"/>
        <w:numPr>
          <w:ilvl w:val="0"/>
          <w:numId w:val="92"/>
        </w:numPr>
        <w:rPr>
          <w:rFonts w:asciiTheme="minorBidi" w:hAnsiTheme="minorBidi" w:cs="Arial"/>
        </w:rPr>
      </w:pPr>
      <w:r>
        <w:rPr>
          <w:rFonts w:asciiTheme="minorBidi" w:hAnsiTheme="minorBidi" w:cs="Arial" w:hint="cs"/>
          <w:rtl/>
        </w:rPr>
        <w:t xml:space="preserve">טור- </w:t>
      </w:r>
      <w:r w:rsidRPr="0051299C">
        <w:rPr>
          <w:rFonts w:asciiTheme="minorBidi" w:hAnsiTheme="minorBidi" w:cs="Arial"/>
          <w:rtl/>
        </w:rPr>
        <w:t>אסור ליתן כלי של מים תחת הנר אפילו מערב שבת</w:t>
      </w:r>
      <w:r>
        <w:rPr>
          <w:rStyle w:val="a9"/>
          <w:rFonts w:asciiTheme="minorBidi" w:hAnsiTheme="minorBidi" w:cs="Arial"/>
          <w:rtl/>
        </w:rPr>
        <w:footnoteReference w:id="723"/>
      </w:r>
      <w:r w:rsidRPr="0051299C">
        <w:rPr>
          <w:rFonts w:asciiTheme="minorBidi" w:hAnsiTheme="minorBidi" w:cs="Arial"/>
          <w:rtl/>
        </w:rPr>
        <w:t xml:space="preserve"> מפני שהוא מכבה</w:t>
      </w:r>
      <w:r>
        <w:rPr>
          <w:rFonts w:asciiTheme="minorBidi" w:hAnsiTheme="minorBidi" w:cs="Arial" w:hint="cs"/>
          <w:rtl/>
        </w:rPr>
        <w:t>.</w:t>
      </w:r>
      <w:r w:rsidRPr="0051299C">
        <w:rPr>
          <w:rFonts w:asciiTheme="minorBidi" w:hAnsiTheme="minorBidi" w:cs="Arial"/>
          <w:rtl/>
        </w:rPr>
        <w:t xml:space="preserve"> </w:t>
      </w:r>
      <w:r w:rsidRPr="00A163AF">
        <w:rPr>
          <w:rFonts w:hint="cs"/>
          <w:color w:val="E36C0A" w:themeColor="accent6" w:themeShade="BF"/>
          <w:rtl/>
        </w:rPr>
        <w:t>(וכ"פ בשו"ע)</w:t>
      </w:r>
    </w:p>
    <w:p w14:paraId="73C2FBA5" w14:textId="77777777" w:rsidR="004B2E7C" w:rsidRDefault="004B2E7C" w:rsidP="00FF2D21">
      <w:pPr>
        <w:pStyle w:val="aa"/>
        <w:numPr>
          <w:ilvl w:val="0"/>
          <w:numId w:val="92"/>
        </w:numPr>
        <w:rPr>
          <w:rFonts w:asciiTheme="minorBidi" w:hAnsiTheme="minorBidi" w:cs="Arial"/>
        </w:rPr>
      </w:pPr>
      <w:r>
        <w:rPr>
          <w:rFonts w:cs="Arial" w:hint="cs"/>
          <w:rtl/>
        </w:rPr>
        <w:t>או"ז</w:t>
      </w:r>
      <w:r w:rsidRPr="00102A62">
        <w:rPr>
          <w:rFonts w:cs="Arial"/>
          <w:sz w:val="16"/>
          <w:szCs w:val="16"/>
          <w:rtl/>
        </w:rPr>
        <w:t xml:space="preserve"> (הל' ערב שבת סי' כח, ד"ה פרק כירה</w:t>
      </w:r>
      <w:r w:rsidRPr="00102A62">
        <w:rPr>
          <w:rFonts w:cs="Arial" w:hint="cs"/>
          <w:sz w:val="16"/>
          <w:szCs w:val="16"/>
          <w:rtl/>
        </w:rPr>
        <w:t>, כ"כ בשמו הדרכ"מ [אות א]</w:t>
      </w:r>
      <w:r w:rsidRPr="00102A62">
        <w:rPr>
          <w:rFonts w:cs="Arial"/>
          <w:sz w:val="16"/>
          <w:szCs w:val="16"/>
          <w:rtl/>
        </w:rPr>
        <w:t>)</w:t>
      </w:r>
      <w:r>
        <w:rPr>
          <w:rFonts w:cs="Arial" w:hint="cs"/>
          <w:rtl/>
        </w:rPr>
        <w:t>-</w:t>
      </w:r>
      <w:r w:rsidRPr="0051299C">
        <w:rPr>
          <w:rFonts w:cs="Arial"/>
          <w:rtl/>
        </w:rPr>
        <w:t xml:space="preserve"> הא דאסור ליתן כלי תחת הנר היינו לאחר שהודלק הנר</w:t>
      </w:r>
      <w:r>
        <w:rPr>
          <w:rFonts w:cs="Arial" w:hint="cs"/>
          <w:rtl/>
        </w:rPr>
        <w:t>,</w:t>
      </w:r>
      <w:r w:rsidRPr="0051299C">
        <w:rPr>
          <w:rFonts w:cs="Arial"/>
          <w:rtl/>
        </w:rPr>
        <w:t xml:space="preserve"> דאיכא האש שם</w:t>
      </w:r>
      <w:r>
        <w:rPr>
          <w:rFonts w:cs="Arial" w:hint="cs"/>
          <w:rtl/>
        </w:rPr>
        <w:t>,</w:t>
      </w:r>
      <w:r w:rsidRPr="0051299C">
        <w:rPr>
          <w:rFonts w:cs="Arial"/>
          <w:rtl/>
        </w:rPr>
        <w:t xml:space="preserve"> אבל קודם שהדליקו הנר מותר ליתן כלי של מים תחתיו</w:t>
      </w:r>
      <w:r>
        <w:rPr>
          <w:rFonts w:cs="Arial" w:hint="cs"/>
          <w:rtl/>
        </w:rPr>
        <w:t>.</w:t>
      </w:r>
    </w:p>
    <w:p w14:paraId="1A3CE16E" w14:textId="77777777" w:rsidR="004B2E7C" w:rsidRPr="00E56F36" w:rsidRDefault="004B2E7C" w:rsidP="00FF2D21">
      <w:pPr>
        <w:pStyle w:val="aa"/>
        <w:numPr>
          <w:ilvl w:val="0"/>
          <w:numId w:val="92"/>
        </w:numPr>
        <w:rPr>
          <w:rFonts w:cs="Arial"/>
          <w:rtl/>
        </w:rPr>
      </w:pPr>
      <w:r w:rsidRPr="00E56F36">
        <w:rPr>
          <w:rFonts w:cs="Arial" w:hint="cs"/>
          <w:rtl/>
        </w:rPr>
        <w:t xml:space="preserve">רי"ו </w:t>
      </w:r>
      <w:r w:rsidRPr="00E56F36">
        <w:rPr>
          <w:rFonts w:cs="Arial" w:hint="cs"/>
          <w:sz w:val="16"/>
          <w:szCs w:val="16"/>
          <w:rtl/>
        </w:rPr>
        <w:t>(</w:t>
      </w:r>
      <w:r w:rsidRPr="00E56F36">
        <w:rPr>
          <w:rFonts w:cs="Arial"/>
          <w:sz w:val="16"/>
          <w:szCs w:val="16"/>
          <w:rtl/>
        </w:rPr>
        <w:t>ח"ב סז ע"ג)</w:t>
      </w:r>
      <w:r w:rsidRPr="00E56F36">
        <w:rPr>
          <w:rFonts w:cs="Arial"/>
          <w:rtl/>
        </w:rPr>
        <w:t xml:space="preserve"> בשם הרמ"ה</w:t>
      </w:r>
      <w:r w:rsidRPr="00E56F36">
        <w:rPr>
          <w:rFonts w:cs="Arial" w:hint="cs"/>
          <w:rtl/>
        </w:rPr>
        <w:t>-</w:t>
      </w:r>
      <w:r w:rsidRPr="00E56F36">
        <w:rPr>
          <w:rFonts w:cs="Arial"/>
          <w:rtl/>
        </w:rPr>
        <w:t xml:space="preserve"> מותר לתת מים מבעוד יום בנר כי כל מה שעשה מערב שבת אין בו משום גורם כיבוי</w:t>
      </w:r>
      <w:r>
        <w:rPr>
          <w:rStyle w:val="a9"/>
          <w:rFonts w:cs="Arial"/>
          <w:rtl/>
        </w:rPr>
        <w:footnoteReference w:id="724"/>
      </w:r>
      <w:r w:rsidRPr="00E56F36">
        <w:rPr>
          <w:rFonts w:cs="Arial" w:hint="cs"/>
          <w:rtl/>
        </w:rPr>
        <w:t>.</w:t>
      </w:r>
      <w:r w:rsidRPr="00E56F36">
        <w:rPr>
          <w:rFonts w:cs="Arial"/>
          <w:rtl/>
        </w:rPr>
        <w:t xml:space="preserve"> </w:t>
      </w:r>
    </w:p>
    <w:p w14:paraId="2CA0EF6F" w14:textId="77777777" w:rsidR="004B2E7C" w:rsidRPr="00F63ABA" w:rsidRDefault="004B2E7C" w:rsidP="00434A6A">
      <w:pPr>
        <w:ind w:left="360"/>
        <w:rPr>
          <w:rFonts w:asciiTheme="minorBidi" w:hAnsiTheme="minorBidi" w:cs="Arial"/>
          <w:u w:val="dotted"/>
        </w:rPr>
      </w:pPr>
      <w:r w:rsidRPr="00F63ABA">
        <w:rPr>
          <w:rFonts w:asciiTheme="minorBidi" w:hAnsiTheme="minorBidi" w:cs="Arial" w:hint="cs"/>
          <w:u w:val="dotted"/>
          <w:rtl/>
        </w:rPr>
        <w:t xml:space="preserve">האם מותר ליתן </w:t>
      </w:r>
      <w:r>
        <w:rPr>
          <w:rFonts w:asciiTheme="minorBidi" w:hAnsiTheme="minorBidi" w:cs="Arial" w:hint="cs"/>
          <w:u w:val="dotted"/>
          <w:rtl/>
        </w:rPr>
        <w:t xml:space="preserve">מים </w:t>
      </w:r>
      <w:r w:rsidRPr="00F63ABA">
        <w:rPr>
          <w:rFonts w:asciiTheme="minorBidi" w:hAnsiTheme="minorBidi" w:cs="Arial" w:hint="cs"/>
          <w:u w:val="dotted"/>
          <w:rtl/>
        </w:rPr>
        <w:t xml:space="preserve">בעששית </w:t>
      </w:r>
      <w:r w:rsidRPr="00102A62">
        <w:rPr>
          <w:rFonts w:asciiTheme="minorBidi" w:hAnsiTheme="minorBidi" w:cs="Arial" w:hint="cs"/>
          <w:sz w:val="16"/>
          <w:szCs w:val="16"/>
          <w:u w:val="dotted"/>
          <w:rtl/>
        </w:rPr>
        <w:t xml:space="preserve">(דומה לנר שלנו) </w:t>
      </w:r>
      <w:r w:rsidRPr="00F63ABA">
        <w:rPr>
          <w:rFonts w:asciiTheme="minorBidi" w:hAnsiTheme="minorBidi" w:cs="Arial" w:hint="cs"/>
          <w:u w:val="dotted"/>
          <w:rtl/>
        </w:rPr>
        <w:t>על מנת להגביה את השמ</w:t>
      </w:r>
      <w:r>
        <w:rPr>
          <w:rFonts w:asciiTheme="minorBidi" w:hAnsiTheme="minorBidi" w:cs="Arial" w:hint="cs"/>
          <w:u w:val="dotted"/>
          <w:rtl/>
        </w:rPr>
        <w:t>ן</w:t>
      </w:r>
      <w:r w:rsidRPr="00F63ABA">
        <w:rPr>
          <w:rFonts w:asciiTheme="minorBidi" w:hAnsiTheme="minorBidi" w:cs="Arial" w:hint="cs"/>
          <w:u w:val="dotted"/>
          <w:rtl/>
        </w:rPr>
        <w:t xml:space="preserve"> לראש הפתילה:</w:t>
      </w:r>
    </w:p>
    <w:p w14:paraId="350E5130" w14:textId="77777777" w:rsidR="004B2E7C" w:rsidRDefault="004B2E7C" w:rsidP="00FF2D21">
      <w:pPr>
        <w:pStyle w:val="aa"/>
        <w:numPr>
          <w:ilvl w:val="0"/>
          <w:numId w:val="92"/>
        </w:numPr>
        <w:rPr>
          <w:rFonts w:asciiTheme="minorBidi" w:hAnsiTheme="minorBidi" w:cs="Arial"/>
        </w:rPr>
      </w:pPr>
      <w:r>
        <w:rPr>
          <w:rFonts w:asciiTheme="minorBidi" w:hAnsiTheme="minorBidi" w:cs="Arial" w:hint="cs"/>
          <w:rtl/>
        </w:rPr>
        <w:t xml:space="preserve">תוס' </w:t>
      </w:r>
      <w:r w:rsidRPr="00102A62">
        <w:rPr>
          <w:rFonts w:cs="Arial"/>
          <w:sz w:val="16"/>
          <w:szCs w:val="16"/>
          <w:rtl/>
        </w:rPr>
        <w:t>(</w:t>
      </w:r>
      <w:r>
        <w:rPr>
          <w:rFonts w:cs="Arial" w:hint="cs"/>
          <w:sz w:val="16"/>
          <w:szCs w:val="16"/>
          <w:rtl/>
        </w:rPr>
        <w:t xml:space="preserve">מז: </w:t>
      </w:r>
      <w:r w:rsidRPr="00102A62">
        <w:rPr>
          <w:rFonts w:cs="Arial"/>
          <w:sz w:val="16"/>
          <w:szCs w:val="16"/>
          <w:rtl/>
        </w:rPr>
        <w:t>סוד"ה מפני)</w:t>
      </w:r>
      <w:r>
        <w:rPr>
          <w:rFonts w:cs="Arial"/>
          <w:rtl/>
        </w:rPr>
        <w:t xml:space="preserve"> </w:t>
      </w:r>
      <w:r w:rsidRPr="0051299C">
        <w:rPr>
          <w:rFonts w:cs="Arial"/>
          <w:rtl/>
        </w:rPr>
        <w:t xml:space="preserve">סמ"ג </w:t>
      </w:r>
      <w:r w:rsidRPr="00102A62">
        <w:rPr>
          <w:rFonts w:cs="Arial"/>
          <w:sz w:val="16"/>
          <w:szCs w:val="16"/>
          <w:rtl/>
        </w:rPr>
        <w:t xml:space="preserve">(ל"ת סה, טז ריש ע"ג) </w:t>
      </w:r>
      <w:r>
        <w:rPr>
          <w:rFonts w:asciiTheme="minorBidi" w:hAnsiTheme="minorBidi" w:cs="Arial" w:hint="cs"/>
          <w:rtl/>
        </w:rPr>
        <w:t xml:space="preserve">וטור- </w:t>
      </w:r>
      <w:r w:rsidRPr="0051299C">
        <w:rPr>
          <w:rFonts w:asciiTheme="minorBidi" w:hAnsiTheme="minorBidi" w:cs="Arial"/>
          <w:rtl/>
        </w:rPr>
        <w:t>ומ"מ מותר להדליק בעששית אע</w:t>
      </w:r>
      <w:r>
        <w:rPr>
          <w:rFonts w:asciiTheme="minorBidi" w:hAnsiTheme="minorBidi" w:cs="Arial" w:hint="cs"/>
          <w:rtl/>
        </w:rPr>
        <w:t>"</w:t>
      </w:r>
      <w:r w:rsidRPr="0051299C">
        <w:rPr>
          <w:rFonts w:asciiTheme="minorBidi" w:hAnsiTheme="minorBidi" w:cs="Arial"/>
          <w:rtl/>
        </w:rPr>
        <w:t>פ שנותנין מים למטה</w:t>
      </w:r>
      <w:r>
        <w:rPr>
          <w:rStyle w:val="a9"/>
          <w:rFonts w:asciiTheme="minorBidi" w:hAnsiTheme="minorBidi" w:cs="Arial"/>
          <w:rtl/>
        </w:rPr>
        <w:footnoteReference w:id="725"/>
      </w:r>
      <w:r>
        <w:rPr>
          <w:rFonts w:asciiTheme="minorBidi" w:hAnsiTheme="minorBidi" w:cs="Arial" w:hint="cs"/>
          <w:sz w:val="16"/>
          <w:szCs w:val="16"/>
          <w:rtl/>
        </w:rPr>
        <w:t xml:space="preserve"> (ל' הטור)</w:t>
      </w:r>
      <w:r>
        <w:rPr>
          <w:rFonts w:asciiTheme="minorBidi" w:hAnsiTheme="minorBidi" w:cs="Arial" w:hint="cs"/>
          <w:rtl/>
        </w:rPr>
        <w:t>.</w:t>
      </w:r>
      <w:r w:rsidRPr="0051299C">
        <w:rPr>
          <w:rFonts w:asciiTheme="minorBidi" w:hAnsiTheme="minorBidi" w:cs="Arial"/>
          <w:rtl/>
        </w:rPr>
        <w:t xml:space="preserve"> </w:t>
      </w:r>
      <w:r w:rsidRPr="00A163AF">
        <w:rPr>
          <w:rFonts w:hint="cs"/>
          <w:color w:val="E36C0A" w:themeColor="accent6" w:themeShade="BF"/>
          <w:rtl/>
        </w:rPr>
        <w:t>(וכ"פ בשו"ע)</w:t>
      </w:r>
    </w:p>
    <w:p w14:paraId="014D6C71" w14:textId="77777777" w:rsidR="004B2E7C" w:rsidRDefault="004B2E7C" w:rsidP="00434A6A">
      <w:pPr>
        <w:rPr>
          <w:rFonts w:cs="Arial"/>
          <w:rtl/>
        </w:rPr>
      </w:pPr>
      <w:r w:rsidRPr="00F63ABA">
        <w:rPr>
          <w:rFonts w:cs="Arial" w:hint="cs"/>
          <w:u w:val="single"/>
          <w:rtl/>
        </w:rPr>
        <w:t xml:space="preserve">נתינת כלי </w:t>
      </w:r>
      <w:r>
        <w:rPr>
          <w:rFonts w:cs="Arial" w:hint="cs"/>
          <w:u w:val="single"/>
          <w:rtl/>
        </w:rPr>
        <w:t>מ</w:t>
      </w:r>
      <w:r w:rsidRPr="00F63ABA">
        <w:rPr>
          <w:rFonts w:cs="Arial" w:hint="cs"/>
          <w:u w:val="single"/>
          <w:rtl/>
        </w:rPr>
        <w:t>תחת הנר על מנת שיקבל את הפחם שבראש הפתילה:</w:t>
      </w:r>
    </w:p>
    <w:p w14:paraId="1245E1E7" w14:textId="77777777" w:rsidR="004B2E7C" w:rsidRPr="0051299C" w:rsidRDefault="004B2E7C" w:rsidP="00FF2D21">
      <w:pPr>
        <w:pStyle w:val="aa"/>
        <w:numPr>
          <w:ilvl w:val="0"/>
          <w:numId w:val="93"/>
        </w:numPr>
        <w:rPr>
          <w:rtl/>
        </w:rPr>
      </w:pPr>
      <w:r w:rsidRPr="00F63ABA">
        <w:rPr>
          <w:rFonts w:cs="Arial"/>
          <w:rtl/>
        </w:rPr>
        <w:t xml:space="preserve">כל בו </w:t>
      </w:r>
      <w:r w:rsidRPr="00F63ABA">
        <w:rPr>
          <w:rFonts w:cs="Arial"/>
          <w:sz w:val="16"/>
          <w:szCs w:val="16"/>
          <w:rtl/>
        </w:rPr>
        <w:t>(סי' לא, כז ע"ג)</w:t>
      </w:r>
      <w:r>
        <w:rPr>
          <w:rFonts w:cs="Arial" w:hint="cs"/>
          <w:rtl/>
        </w:rPr>
        <w:t>-</w:t>
      </w:r>
      <w:r w:rsidRPr="00F63ABA">
        <w:rPr>
          <w:rFonts w:cs="Arial"/>
          <w:rtl/>
        </w:rPr>
        <w:t xml:space="preserve"> לתת כלי תחת הנר לקבל פחם שבראש הפתילה יש מתירין דמדמו ליה לניצוצות ויש אוסרין לפי שיש ביטול כלי מהיכנו לפי שיש בהם ממש</w:t>
      </w:r>
      <w:r>
        <w:rPr>
          <w:rStyle w:val="a9"/>
          <w:rFonts w:cs="Arial"/>
          <w:rtl/>
        </w:rPr>
        <w:footnoteReference w:id="726"/>
      </w:r>
      <w:r>
        <w:rPr>
          <w:rFonts w:cs="Arial" w:hint="cs"/>
          <w:rtl/>
        </w:rPr>
        <w:t>.</w:t>
      </w:r>
    </w:p>
    <w:p w14:paraId="1DF80CE6"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0139873" w14:textId="77777777" w:rsidR="004B2E7C" w:rsidRDefault="004B2E7C" w:rsidP="00434A6A">
      <w:pPr>
        <w:rPr>
          <w:rFonts w:asciiTheme="minorBidi" w:hAnsiTheme="minorBidi" w:cs="Arial"/>
          <w:sz w:val="18"/>
          <w:szCs w:val="18"/>
          <w:rtl/>
        </w:rPr>
      </w:pPr>
      <w:r w:rsidRPr="00CC2350">
        <w:rPr>
          <w:rFonts w:asciiTheme="minorBidi" w:hAnsiTheme="minorBidi" w:cs="Arial"/>
          <w:rtl/>
        </w:rPr>
        <w:t>נותנים כלי תחת הנר לקבל ניצוצות</w:t>
      </w:r>
      <w:r>
        <w:rPr>
          <w:rFonts w:asciiTheme="minorBidi" w:hAnsiTheme="minorBidi" w:cs="Arial" w:hint="cs"/>
          <w:rtl/>
        </w:rPr>
        <w:t>,</w:t>
      </w:r>
      <w:r w:rsidRPr="00CC2350">
        <w:rPr>
          <w:rFonts w:asciiTheme="minorBidi" w:hAnsiTheme="minorBidi" w:cs="Arial"/>
          <w:rtl/>
        </w:rPr>
        <w:t xml:space="preserve"> מפני שאין בהם ממש ואין כאן ביטול כלי מהיכנו</w:t>
      </w:r>
      <w:r>
        <w:rPr>
          <w:rFonts w:asciiTheme="minorBidi" w:hAnsiTheme="minorBidi" w:cs="Arial" w:hint="cs"/>
          <w:rtl/>
        </w:rPr>
        <w:t>.</w:t>
      </w:r>
      <w:r w:rsidRPr="00CC2350">
        <w:rPr>
          <w:rFonts w:asciiTheme="minorBidi" w:hAnsiTheme="minorBidi" w:cs="Arial"/>
          <w:rtl/>
        </w:rPr>
        <w:t xml:space="preserve"> אבל לא יתן לתוכו מים אפי</w:t>
      </w:r>
      <w:r>
        <w:rPr>
          <w:rFonts w:asciiTheme="minorBidi" w:hAnsiTheme="minorBidi" w:cs="Arial" w:hint="cs"/>
          <w:rtl/>
        </w:rPr>
        <w:t>לו</w:t>
      </w:r>
      <w:r w:rsidRPr="00CC2350">
        <w:rPr>
          <w:rFonts w:asciiTheme="minorBidi" w:hAnsiTheme="minorBidi" w:cs="Arial"/>
          <w:rtl/>
        </w:rPr>
        <w:t xml:space="preserve"> מבע</w:t>
      </w:r>
      <w:r>
        <w:rPr>
          <w:rFonts w:asciiTheme="minorBidi" w:hAnsiTheme="minorBidi" w:cs="Arial" w:hint="cs"/>
          <w:rtl/>
        </w:rPr>
        <w:t xml:space="preserve">וד </w:t>
      </w:r>
      <w:r w:rsidRPr="00CC2350">
        <w:rPr>
          <w:rFonts w:asciiTheme="minorBidi" w:hAnsiTheme="minorBidi" w:cs="Arial"/>
          <w:rtl/>
        </w:rPr>
        <w:t>י</w:t>
      </w:r>
      <w:r>
        <w:rPr>
          <w:rFonts w:asciiTheme="minorBidi" w:hAnsiTheme="minorBidi" w:cs="Arial" w:hint="cs"/>
          <w:rtl/>
        </w:rPr>
        <w:t>ום</w:t>
      </w:r>
      <w:r w:rsidRPr="00CC2350">
        <w:rPr>
          <w:rFonts w:asciiTheme="minorBidi" w:hAnsiTheme="minorBidi" w:cs="Arial"/>
          <w:rtl/>
        </w:rPr>
        <w:t>, מפני שמקרב זמן כיבוי הניצוצות</w:t>
      </w:r>
      <w:r>
        <w:rPr>
          <w:rStyle w:val="a9"/>
          <w:rFonts w:asciiTheme="minorBidi" w:hAnsiTheme="minorBidi" w:cs="Arial"/>
          <w:rtl/>
        </w:rPr>
        <w:footnoteReference w:id="727"/>
      </w:r>
      <w:r w:rsidRPr="00CC2350">
        <w:rPr>
          <w:rFonts w:asciiTheme="minorBidi" w:hAnsiTheme="minorBidi" w:cs="Arial"/>
          <w:rtl/>
        </w:rPr>
        <w:t>. ומ</w:t>
      </w:r>
      <w:r>
        <w:rPr>
          <w:rFonts w:asciiTheme="minorBidi" w:hAnsiTheme="minorBidi" w:cs="Arial" w:hint="cs"/>
          <w:rtl/>
        </w:rPr>
        <w:t xml:space="preserve">כל </w:t>
      </w:r>
      <w:r w:rsidRPr="00CC2350">
        <w:rPr>
          <w:rFonts w:asciiTheme="minorBidi" w:hAnsiTheme="minorBidi" w:cs="Arial"/>
          <w:rtl/>
        </w:rPr>
        <w:t>מ</w:t>
      </w:r>
      <w:r>
        <w:rPr>
          <w:rFonts w:asciiTheme="minorBidi" w:hAnsiTheme="minorBidi" w:cs="Arial" w:hint="cs"/>
          <w:rtl/>
        </w:rPr>
        <w:t>קום</w:t>
      </w:r>
      <w:r w:rsidRPr="00CC2350">
        <w:rPr>
          <w:rFonts w:asciiTheme="minorBidi" w:hAnsiTheme="minorBidi" w:cs="Arial"/>
          <w:rtl/>
        </w:rPr>
        <w:t xml:space="preserve"> מותר ליתן מים בעששית שמדליקים בה בערב שבת כיון שאינו מתכוין לכבוי אלא להגביה השמן. </w:t>
      </w:r>
      <w:r w:rsidRPr="00C70047">
        <w:rPr>
          <w:rFonts w:asciiTheme="minorBidi" w:hAnsiTheme="minorBidi" w:cs="Arial"/>
          <w:sz w:val="18"/>
          <w:szCs w:val="18"/>
          <w:rtl/>
        </w:rPr>
        <w:t>הגה: וי"א אפילו מתכוין לכבוי שרי</w:t>
      </w:r>
      <w:r>
        <w:rPr>
          <w:rStyle w:val="a9"/>
          <w:rFonts w:asciiTheme="minorBidi" w:hAnsiTheme="minorBidi" w:cs="Arial"/>
          <w:sz w:val="18"/>
          <w:szCs w:val="18"/>
          <w:rtl/>
        </w:rPr>
        <w:footnoteReference w:id="728"/>
      </w:r>
      <w:r>
        <w:rPr>
          <w:rFonts w:asciiTheme="minorBidi" w:hAnsiTheme="minorBidi" w:cs="Arial" w:hint="cs"/>
          <w:sz w:val="18"/>
          <w:szCs w:val="18"/>
          <w:rtl/>
        </w:rPr>
        <w:t>,</w:t>
      </w:r>
      <w:r w:rsidRPr="00C70047">
        <w:rPr>
          <w:rFonts w:asciiTheme="minorBidi" w:hAnsiTheme="minorBidi" w:cs="Arial"/>
          <w:sz w:val="18"/>
          <w:szCs w:val="18"/>
          <w:rtl/>
        </w:rPr>
        <w:t xml:space="preserve"> מאחר שאין המים בעין אלא תחת השמן לא הוי אלא גרם כיבוי</w:t>
      </w:r>
      <w:r>
        <w:rPr>
          <w:rFonts w:asciiTheme="minorBidi" w:hAnsiTheme="minorBidi" w:cs="Arial" w:hint="cs"/>
          <w:sz w:val="18"/>
          <w:szCs w:val="18"/>
          <w:rtl/>
        </w:rPr>
        <w:t xml:space="preserve"> </w:t>
      </w:r>
      <w:r w:rsidRPr="00C70047">
        <w:rPr>
          <w:rFonts w:asciiTheme="minorBidi" w:hAnsiTheme="minorBidi" w:cs="Arial"/>
          <w:sz w:val="18"/>
          <w:szCs w:val="18"/>
          <w:rtl/>
        </w:rPr>
        <w:t>(סמ"ג)</w:t>
      </w:r>
      <w:r>
        <w:rPr>
          <w:rFonts w:asciiTheme="minorBidi" w:hAnsiTheme="minorBidi" w:cs="Arial" w:hint="cs"/>
          <w:sz w:val="18"/>
          <w:szCs w:val="18"/>
          <w:rtl/>
        </w:rPr>
        <w:t xml:space="preserve">. </w:t>
      </w:r>
      <w:r w:rsidRPr="00C70047">
        <w:rPr>
          <w:rFonts w:asciiTheme="minorBidi" w:hAnsiTheme="minorBidi" w:cs="Arial"/>
          <w:sz w:val="18"/>
          <w:szCs w:val="18"/>
          <w:rtl/>
        </w:rPr>
        <w:t>וכן נוהגין.</w:t>
      </w:r>
    </w:p>
    <w:p w14:paraId="1ACC6183" w14:textId="77777777" w:rsidR="004B2E7C" w:rsidRPr="000465C3" w:rsidRDefault="004B2E7C" w:rsidP="00434A6A">
      <w:pPr>
        <w:rPr>
          <w:u w:val="single"/>
          <w:rtl/>
        </w:rPr>
      </w:pPr>
      <w:r w:rsidRPr="000465C3">
        <w:rPr>
          <w:rFonts w:hint="cs"/>
          <w:u w:val="single"/>
          <w:rtl/>
        </w:rPr>
        <w:t>האם מותר ליתן נר שעוה בתוך קערה עם מים לפני שבת:</w:t>
      </w:r>
    </w:p>
    <w:p w14:paraId="2DC5A5C6" w14:textId="77777777" w:rsidR="004B2E7C" w:rsidRPr="000465C3" w:rsidRDefault="004B2E7C" w:rsidP="00FF2D21">
      <w:pPr>
        <w:pStyle w:val="aa"/>
        <w:numPr>
          <w:ilvl w:val="0"/>
          <w:numId w:val="93"/>
        </w:numPr>
        <w:rPr>
          <w:rtl/>
        </w:rPr>
        <w:sectPr w:rsidR="004B2E7C" w:rsidRPr="000465C3" w:rsidSect="00BD29B1">
          <w:headerReference w:type="default" r:id="rId36"/>
          <w:footnotePr>
            <w:numRestart w:val="eachSect"/>
          </w:footnotePr>
          <w:pgSz w:w="11906" w:h="16838"/>
          <w:pgMar w:top="720" w:right="1134" w:bottom="720" w:left="1134" w:header="0" w:footer="0" w:gutter="0"/>
          <w:cols w:space="720"/>
          <w:bidi/>
          <w:rtlGutter/>
          <w:docGrid w:linePitch="360"/>
        </w:sectPr>
      </w:pPr>
      <w:r w:rsidRPr="000465C3">
        <w:rPr>
          <w:rFonts w:cs="Arial" w:hint="cs"/>
          <w:rtl/>
        </w:rPr>
        <w:t>מ</w:t>
      </w:r>
      <w:r>
        <w:rPr>
          <w:rFonts w:cs="Arial" w:hint="cs"/>
          <w:rtl/>
        </w:rPr>
        <w:t>שנ"ב</w:t>
      </w:r>
      <w:r w:rsidRPr="000465C3">
        <w:rPr>
          <w:rFonts w:cs="Arial" w:hint="cs"/>
          <w:rtl/>
        </w:rPr>
        <w:t xml:space="preserve"> </w:t>
      </w:r>
      <w:r w:rsidRPr="000465C3">
        <w:rPr>
          <w:rFonts w:cs="Arial" w:hint="cs"/>
          <w:sz w:val="16"/>
          <w:szCs w:val="16"/>
          <w:rtl/>
        </w:rPr>
        <w:t>(סקי</w:t>
      </w:r>
      <w:r>
        <w:rPr>
          <w:rFonts w:cs="Arial" w:hint="cs"/>
          <w:sz w:val="16"/>
          <w:szCs w:val="16"/>
          <w:rtl/>
        </w:rPr>
        <w:t>"ח</w:t>
      </w:r>
      <w:r w:rsidRPr="000465C3">
        <w:rPr>
          <w:rFonts w:cs="Arial" w:hint="cs"/>
          <w:sz w:val="16"/>
          <w:szCs w:val="16"/>
          <w:rtl/>
        </w:rPr>
        <w:t>)</w:t>
      </w:r>
      <w:r w:rsidRPr="000465C3">
        <w:rPr>
          <w:rFonts w:cs="Arial" w:hint="cs"/>
          <w:rtl/>
        </w:rPr>
        <w:t xml:space="preserve">- </w:t>
      </w:r>
      <w:r w:rsidRPr="000465C3">
        <w:rPr>
          <w:rFonts w:cs="Arial"/>
          <w:rtl/>
        </w:rPr>
        <w:t xml:space="preserve">ליתן בע"ש מים לתוך הקנה שעומד בו נר שעוה או חלב כדי שיכבה כשיבוא עד המים </w:t>
      </w:r>
      <w:r>
        <w:rPr>
          <w:rFonts w:cs="Arial" w:hint="cs"/>
          <w:rtl/>
        </w:rPr>
        <w:t xml:space="preserve">- </w:t>
      </w:r>
      <w:r w:rsidRPr="000465C3">
        <w:rPr>
          <w:rFonts w:cs="Arial"/>
          <w:rtl/>
        </w:rPr>
        <w:t>אסור לכו"ע</w:t>
      </w:r>
      <w:r>
        <w:rPr>
          <w:rFonts w:cs="Arial" w:hint="cs"/>
          <w:rtl/>
        </w:rPr>
        <w:t>,</w:t>
      </w:r>
      <w:r w:rsidRPr="000465C3">
        <w:rPr>
          <w:rFonts w:cs="Arial"/>
          <w:rtl/>
        </w:rPr>
        <w:t xml:space="preserve"> דהא מתכוין לכיבוי והאש נופל לתוכו ממש והמים בעין והם תחת האש</w:t>
      </w:r>
      <w:r>
        <w:rPr>
          <w:rStyle w:val="a9"/>
          <w:rFonts w:cs="Arial"/>
          <w:rtl/>
        </w:rPr>
        <w:footnoteReference w:id="729"/>
      </w:r>
      <w:r>
        <w:rPr>
          <w:rFonts w:cs="Arial" w:hint="cs"/>
          <w:rtl/>
        </w:rPr>
        <w:t>.</w:t>
      </w:r>
      <w:r w:rsidRPr="000465C3">
        <w:rPr>
          <w:rFonts w:cs="Arial"/>
          <w:rtl/>
        </w:rPr>
        <w:t xml:space="preserve"> ומ"מ במקום צורך יש להתיר בזה לסמוך על הפוסקים דס"ל דדוקא כשהמים בכלי אחר אסור שמא יעשה כן בשבת</w:t>
      </w:r>
      <w:r>
        <w:rPr>
          <w:rFonts w:cs="Arial" w:hint="cs"/>
          <w:rtl/>
        </w:rPr>
        <w:t>,</w:t>
      </w:r>
      <w:r w:rsidRPr="000465C3">
        <w:rPr>
          <w:rFonts w:cs="Arial"/>
          <w:rtl/>
        </w:rPr>
        <w:t xml:space="preserve"> אבל באותו נר עצמו לא שייך למיגזר שיעשה כן בשבת</w:t>
      </w:r>
      <w:r>
        <w:rPr>
          <w:rFonts w:cs="Arial" w:hint="cs"/>
          <w:rtl/>
        </w:rPr>
        <w:t>,</w:t>
      </w:r>
      <w:r w:rsidRPr="000465C3">
        <w:rPr>
          <w:rFonts w:cs="Arial"/>
          <w:rtl/>
        </w:rPr>
        <w:t xml:space="preserve"> שהכל יודעין שאסור ליגע בנר הדלוק</w:t>
      </w:r>
      <w:r>
        <w:rPr>
          <w:rFonts w:cs="Arial" w:hint="cs"/>
          <w:rtl/>
        </w:rPr>
        <w:t>.</w:t>
      </w:r>
      <w:r w:rsidRPr="000465C3">
        <w:rPr>
          <w:rFonts w:cs="Arial"/>
          <w:rtl/>
        </w:rPr>
        <w:t xml:space="preserve"> גם יזהר ליתן המים בקנה קודם שמדליק הנר [א"ר וח"א]</w:t>
      </w:r>
      <w:r>
        <w:rPr>
          <w:rFonts w:cs="Arial" w:hint="cs"/>
          <w:rtl/>
        </w:rPr>
        <w:t>.</w:t>
      </w:r>
      <w:r w:rsidRPr="000465C3">
        <w:rPr>
          <w:rFonts w:cs="Arial"/>
          <w:rtl/>
        </w:rPr>
        <w:t xml:space="preserve"> ולכ</w:t>
      </w:r>
      <w:r>
        <w:rPr>
          <w:rFonts w:cs="Arial" w:hint="cs"/>
          <w:rtl/>
        </w:rPr>
        <w:t>ו</w:t>
      </w:r>
      <w:r w:rsidRPr="000465C3">
        <w:rPr>
          <w:rFonts w:cs="Arial"/>
          <w:rtl/>
        </w:rPr>
        <w:t>"ע מותר לתחוב הנר בע"ש לתוך החול וכיוצא בענין שכשיגיע האור לשם ימנעהו מלשרוף יותר ויכבה מאליו</w:t>
      </w:r>
      <w:r>
        <w:rPr>
          <w:rFonts w:cs="Arial" w:hint="cs"/>
          <w:rtl/>
        </w:rPr>
        <w:t>,</w:t>
      </w:r>
      <w:r w:rsidRPr="000465C3">
        <w:rPr>
          <w:rFonts w:cs="Arial"/>
          <w:rtl/>
        </w:rPr>
        <w:t xml:space="preserve"> שגרם כיבוי הוא [אחרונים</w:t>
      </w:r>
      <w:r>
        <w:rPr>
          <w:rFonts w:cs="Arial" w:hint="cs"/>
          <w:rtl/>
        </w:rPr>
        <w:t>]</w:t>
      </w:r>
      <w:r w:rsidRPr="000465C3">
        <w:rPr>
          <w:rFonts w:cs="Arial" w:hint="cs"/>
          <w:rtl/>
        </w:rPr>
        <w:t>.</w:t>
      </w:r>
    </w:p>
    <w:p w14:paraId="127565D7" w14:textId="77777777" w:rsidR="004B2E7C" w:rsidRPr="00CC2350" w:rsidRDefault="004B2E7C" w:rsidP="00434A6A">
      <w:pPr>
        <w:pStyle w:val="1"/>
        <w:rPr>
          <w:rtl/>
        </w:rPr>
      </w:pPr>
      <w:r>
        <w:rPr>
          <w:rFonts w:hint="cs"/>
          <w:rtl/>
        </w:rPr>
        <w:t xml:space="preserve">סימן רסו: </w:t>
      </w:r>
      <w:r w:rsidRPr="00CC2350">
        <w:rPr>
          <w:rtl/>
        </w:rPr>
        <w:t xml:space="preserve">דין מי שהחשיך לו בדרך, ובו י"ג סעיפים. </w:t>
      </w:r>
    </w:p>
    <w:p w14:paraId="3CD09277" w14:textId="77777777" w:rsidR="004B2E7C" w:rsidRDefault="004B2E7C" w:rsidP="00434A6A">
      <w:pPr>
        <w:pStyle w:val="2"/>
        <w:rPr>
          <w:rtl/>
        </w:rPr>
      </w:pPr>
      <w:r w:rsidRPr="00CC2350">
        <w:rPr>
          <w:rtl/>
        </w:rPr>
        <w:t>סעיף א</w:t>
      </w:r>
      <w:r>
        <w:rPr>
          <w:rFonts w:hint="cs"/>
          <w:rtl/>
        </w:rPr>
        <w:t>:</w:t>
      </w:r>
      <w:r w:rsidRPr="007966FB">
        <w:rPr>
          <w:rtl/>
        </w:rPr>
        <w:t xml:space="preserve"> מי שהחשיך לו בדרך בע</w:t>
      </w:r>
      <w:r w:rsidRPr="007966FB">
        <w:rPr>
          <w:rFonts w:hint="cs"/>
          <w:rtl/>
        </w:rPr>
        <w:t>ר</w:t>
      </w:r>
      <w:r w:rsidRPr="007966FB">
        <w:rPr>
          <w:rtl/>
        </w:rPr>
        <w:t>"ש ועמו כיס</w:t>
      </w:r>
      <w:r>
        <w:rPr>
          <w:rFonts w:hint="cs"/>
          <w:rtl/>
        </w:rPr>
        <w:t xml:space="preserve"> או מציאה, ויש עמו גוי.</w:t>
      </w:r>
    </w:p>
    <w:p w14:paraId="288FC343" w14:textId="77777777" w:rsidR="004B2E7C" w:rsidRPr="007966FB" w:rsidRDefault="004B2E7C" w:rsidP="00434A6A">
      <w:pPr>
        <w:rPr>
          <w:rFonts w:cs="Arial"/>
          <w:rtl/>
        </w:rPr>
      </w:pPr>
      <w:r w:rsidRPr="00565331">
        <w:rPr>
          <w:rFonts w:cs="Arial" w:hint="cs"/>
          <w:b/>
          <w:bCs/>
          <w:rtl/>
        </w:rPr>
        <w:t xml:space="preserve">שבת </w:t>
      </w:r>
      <w:r w:rsidRPr="00762875">
        <w:rPr>
          <w:rFonts w:cs="Arial" w:hint="cs"/>
          <w:b/>
          <w:bCs/>
          <w:sz w:val="16"/>
          <w:szCs w:val="16"/>
          <w:rtl/>
        </w:rPr>
        <w:t>(</w:t>
      </w:r>
      <w:r>
        <w:rPr>
          <w:rFonts w:cs="Arial" w:hint="cs"/>
          <w:b/>
          <w:bCs/>
          <w:sz w:val="16"/>
          <w:szCs w:val="16"/>
          <w:rtl/>
        </w:rPr>
        <w:t>ר"פ מי שהחשיך</w:t>
      </w:r>
      <w:r w:rsidRPr="00762875">
        <w:rPr>
          <w:rFonts w:cs="Arial" w:hint="cs"/>
          <w:b/>
          <w:bCs/>
          <w:sz w:val="16"/>
          <w:szCs w:val="16"/>
          <w:rtl/>
        </w:rPr>
        <w:t xml:space="preserve">) </w:t>
      </w:r>
      <w:r>
        <w:rPr>
          <w:rFonts w:cs="Arial" w:hint="cs"/>
          <w:b/>
          <w:bCs/>
          <w:rtl/>
        </w:rPr>
        <w:t>קנג</w:t>
      </w:r>
      <w:r w:rsidRPr="00565331">
        <w:rPr>
          <w:rFonts w:cs="Arial" w:hint="cs"/>
          <w:b/>
          <w:bCs/>
          <w:rtl/>
        </w:rPr>
        <w:t xml:space="preserve"> ע"</w:t>
      </w:r>
      <w:r>
        <w:rPr>
          <w:rFonts w:cs="Arial" w:hint="cs"/>
          <w:b/>
          <w:bCs/>
          <w:rtl/>
        </w:rPr>
        <w:t>א</w:t>
      </w:r>
      <w:r w:rsidRPr="00565331">
        <w:rPr>
          <w:rFonts w:cs="Arial" w:hint="cs"/>
          <w:b/>
          <w:bCs/>
          <w:rtl/>
        </w:rPr>
        <w:t>:</w:t>
      </w:r>
      <w:r>
        <w:rPr>
          <w:rFonts w:cs="Arial" w:hint="cs"/>
          <w:rtl/>
        </w:rPr>
        <w:t xml:space="preserve"> </w:t>
      </w:r>
      <w:r w:rsidRPr="00421772">
        <w:rPr>
          <w:rFonts w:cs="Arial"/>
          <w:u w:val="double"/>
          <w:rtl/>
        </w:rPr>
        <w:t>משנה</w:t>
      </w:r>
      <w:r>
        <w:rPr>
          <w:rFonts w:cs="Arial" w:hint="cs"/>
          <w:rtl/>
        </w:rPr>
        <w:t>:</w:t>
      </w:r>
      <w:r w:rsidRPr="00672B81">
        <w:rPr>
          <w:rFonts w:cs="Arial"/>
          <w:rtl/>
        </w:rPr>
        <w:t xml:space="preserve"> מי שהחשיך בדרך - נותן כיסו לנכרי</w:t>
      </w:r>
      <w:r>
        <w:rPr>
          <w:rStyle w:val="a9"/>
          <w:rFonts w:cs="Arial"/>
          <w:rtl/>
        </w:rPr>
        <w:footnoteReference w:id="730"/>
      </w:r>
      <w:r w:rsidRPr="00672B81">
        <w:rPr>
          <w:rFonts w:cs="Arial"/>
          <w:rtl/>
        </w:rPr>
        <w:t>, ואם אין עמו נכרי - מניחו על החמור.</w:t>
      </w:r>
      <w:r>
        <w:rPr>
          <w:rFonts w:cs="Arial" w:hint="cs"/>
          <w:rtl/>
        </w:rPr>
        <w:t>.</w:t>
      </w:r>
      <w:r w:rsidRPr="00672B81">
        <w:rPr>
          <w:rFonts w:cs="Arial"/>
          <w:rtl/>
        </w:rPr>
        <w:t xml:space="preserve">. </w:t>
      </w:r>
      <w:r>
        <w:rPr>
          <w:rFonts w:cs="Arial" w:hint="cs"/>
          <w:rtl/>
        </w:rPr>
        <w:t xml:space="preserve">  </w:t>
      </w:r>
      <w:r w:rsidRPr="007966FB">
        <w:rPr>
          <w:rFonts w:cs="Arial"/>
          <w:u w:val="double"/>
          <w:rtl/>
        </w:rPr>
        <w:t>גמרא</w:t>
      </w:r>
      <w:r>
        <w:rPr>
          <w:rFonts w:cs="Arial" w:hint="cs"/>
          <w:rtl/>
        </w:rPr>
        <w:t>:</w:t>
      </w:r>
      <w:r w:rsidRPr="00672B81">
        <w:rPr>
          <w:rFonts w:cs="Arial"/>
          <w:rtl/>
        </w:rPr>
        <w:t xml:space="preserve"> מאי טעמא שרו ליה רבנן למיתב כיסיה לנכרי? קים להו לרבנן דאין אדם מעמיד עצמו על ממונו, אי לא שרית ליה - אתי לאיתויי ארבע אמות ברשות הרבים. </w:t>
      </w:r>
      <w:r w:rsidRPr="007966FB">
        <w:rPr>
          <w:rFonts w:cs="Arial"/>
          <w:u w:val="single"/>
          <w:rtl/>
        </w:rPr>
        <w:t>אמר רבא</w:t>
      </w:r>
      <w:r w:rsidRPr="00672B81">
        <w:rPr>
          <w:rFonts w:cs="Arial"/>
          <w:rtl/>
        </w:rPr>
        <w:t xml:space="preserve">: דוקא כיסו, אבל מציאה - לא. פשיטא, כיסו תנן! מהו דתימא: הוא הדין אפילו מציאה, והאי דקתני כיסו - אורחא דמילתא קתני, קא משמע לן. ולא אמרן אלא דלא אתי לידיה, אבל אתי לידיה - ככיסיה דמי. </w:t>
      </w:r>
      <w:r w:rsidRPr="00350A14">
        <w:rPr>
          <w:rFonts w:cs="Arial"/>
          <w:u w:val="dotted"/>
          <w:rtl/>
        </w:rPr>
        <w:t>איכא דאמרי</w:t>
      </w:r>
      <w:r w:rsidRPr="00672B81">
        <w:rPr>
          <w:rFonts w:cs="Arial"/>
          <w:rtl/>
        </w:rPr>
        <w:t xml:space="preserve">; </w:t>
      </w:r>
      <w:r w:rsidRPr="00350A14">
        <w:rPr>
          <w:rFonts w:cs="Arial"/>
          <w:u w:val="single"/>
          <w:rtl/>
        </w:rPr>
        <w:t>בעי רבא</w:t>
      </w:r>
      <w:r w:rsidRPr="00672B81">
        <w:rPr>
          <w:rFonts w:cs="Arial"/>
          <w:rtl/>
        </w:rPr>
        <w:t>: מציאה הבאה לידו מהו? כיון דאתא לידיה - ככיסיה דמי, או דילמא: כיון דלא טרח בה - לאו ככיסיה דמי? תיקו</w:t>
      </w:r>
      <w:r>
        <w:rPr>
          <w:rStyle w:val="a9"/>
          <w:rFonts w:cs="Arial"/>
          <w:rtl/>
        </w:rPr>
        <w:footnoteReference w:id="731"/>
      </w:r>
      <w:r w:rsidRPr="00672B81">
        <w:rPr>
          <w:rFonts w:cs="Arial"/>
          <w:rtl/>
        </w:rPr>
        <w:t>.</w:t>
      </w:r>
      <w:r>
        <w:rPr>
          <w:rFonts w:cs="Arial" w:hint="cs"/>
          <w:rtl/>
        </w:rPr>
        <w:t xml:space="preserve"> </w:t>
      </w:r>
      <w:r w:rsidRPr="000A3353">
        <w:rPr>
          <w:rFonts w:cs="Arial"/>
          <w:rtl/>
        </w:rPr>
        <w:t>אין עמו נכרי. טעמא, דאין עמו נכרי, הא יש עמו נכרי - לנכרי יהיב ליה. מאי טעמא? חמור אתה מצווה על שביתתו, נכרי - אי אתה מצווה על שביתתו.</w:t>
      </w:r>
    </w:p>
    <w:p w14:paraId="2E42A7A0" w14:textId="77777777" w:rsidR="004B2E7C" w:rsidRPr="007966FB" w:rsidRDefault="004B2E7C" w:rsidP="00434A6A">
      <w:pPr>
        <w:rPr>
          <w:u w:val="single"/>
          <w:rtl/>
        </w:rPr>
      </w:pPr>
      <w:r w:rsidRPr="007966FB">
        <w:rPr>
          <w:rFonts w:cs="Arial"/>
          <w:u w:val="single"/>
          <w:rtl/>
        </w:rPr>
        <w:t>מי שהחשיך לו בדרך בע</w:t>
      </w:r>
      <w:r w:rsidRPr="007966FB">
        <w:rPr>
          <w:rFonts w:cs="Arial" w:hint="cs"/>
          <w:u w:val="single"/>
          <w:rtl/>
        </w:rPr>
        <w:t>ר</w:t>
      </w:r>
      <w:r w:rsidRPr="007966FB">
        <w:rPr>
          <w:rFonts w:cs="Arial"/>
          <w:u w:val="single"/>
          <w:rtl/>
        </w:rPr>
        <w:t>"ש ועמו כיס</w:t>
      </w:r>
      <w:r w:rsidRPr="007966FB">
        <w:rPr>
          <w:rFonts w:hint="cs"/>
          <w:u w:val="single"/>
          <w:rtl/>
        </w:rPr>
        <w:t>:</w:t>
      </w:r>
    </w:p>
    <w:p w14:paraId="4E256723" w14:textId="77777777" w:rsidR="004B2E7C" w:rsidRDefault="004B2E7C" w:rsidP="00FF2D21">
      <w:pPr>
        <w:pStyle w:val="aa"/>
        <w:numPr>
          <w:ilvl w:val="0"/>
          <w:numId w:val="93"/>
        </w:numPr>
      </w:pPr>
      <w:r>
        <w:rPr>
          <w:rFonts w:cs="Arial" w:hint="cs"/>
          <w:rtl/>
        </w:rPr>
        <w:t xml:space="preserve">תוס' </w:t>
      </w:r>
      <w:r w:rsidRPr="007966FB">
        <w:rPr>
          <w:rFonts w:cs="Arial" w:hint="cs"/>
          <w:sz w:val="16"/>
          <w:szCs w:val="16"/>
          <w:rtl/>
        </w:rPr>
        <w:t>(כ"כ רי"ו בשמם [</w:t>
      </w:r>
      <w:r w:rsidRPr="007966FB">
        <w:rPr>
          <w:rFonts w:cs="Arial"/>
          <w:sz w:val="16"/>
          <w:szCs w:val="16"/>
          <w:rtl/>
        </w:rPr>
        <w:t>ח</w:t>
      </w:r>
      <w:r w:rsidRPr="007966FB">
        <w:rPr>
          <w:rFonts w:cs="Arial" w:hint="cs"/>
          <w:sz w:val="16"/>
          <w:szCs w:val="16"/>
          <w:rtl/>
        </w:rPr>
        <w:t>"</w:t>
      </w:r>
      <w:r w:rsidRPr="007966FB">
        <w:rPr>
          <w:rFonts w:cs="Arial"/>
          <w:sz w:val="16"/>
          <w:szCs w:val="16"/>
          <w:rtl/>
        </w:rPr>
        <w:t>א סו ע"ג</w:t>
      </w:r>
      <w:r w:rsidRPr="007966FB">
        <w:rPr>
          <w:rFonts w:cs="Arial" w:hint="cs"/>
          <w:sz w:val="16"/>
          <w:szCs w:val="16"/>
          <w:rtl/>
        </w:rPr>
        <w:t xml:space="preserve">]) </w:t>
      </w:r>
      <w:r>
        <w:rPr>
          <w:rFonts w:cs="Arial" w:hint="cs"/>
          <w:rtl/>
        </w:rPr>
        <w:t>רמב"ם</w:t>
      </w:r>
      <w:r>
        <w:rPr>
          <w:rStyle w:val="a9"/>
          <w:rFonts w:cs="Arial"/>
          <w:rtl/>
        </w:rPr>
        <w:footnoteReference w:id="732"/>
      </w:r>
      <w:r>
        <w:rPr>
          <w:rFonts w:cs="Arial" w:hint="cs"/>
          <w:rtl/>
        </w:rPr>
        <w:t xml:space="preserve"> </w:t>
      </w:r>
      <w:r w:rsidRPr="007966FB">
        <w:rPr>
          <w:rFonts w:cs="Arial" w:hint="cs"/>
          <w:sz w:val="16"/>
          <w:szCs w:val="16"/>
          <w:rtl/>
        </w:rPr>
        <w:t xml:space="preserve">(פ"ו הכ"ב) </w:t>
      </w:r>
      <w:r>
        <w:rPr>
          <w:rFonts w:cs="Arial" w:hint="cs"/>
          <w:rtl/>
        </w:rPr>
        <w:t xml:space="preserve">רא"ש </w:t>
      </w:r>
      <w:r w:rsidRPr="007966FB">
        <w:rPr>
          <w:rFonts w:cs="Arial" w:hint="cs"/>
          <w:sz w:val="16"/>
          <w:szCs w:val="16"/>
          <w:rtl/>
        </w:rPr>
        <w:t xml:space="preserve">(סי' א) </w:t>
      </w:r>
      <w:r w:rsidRPr="00BA4E2A">
        <w:rPr>
          <w:rFonts w:cs="Arial" w:hint="cs"/>
          <w:rtl/>
        </w:rPr>
        <w:t>טור</w:t>
      </w:r>
      <w:r>
        <w:rPr>
          <w:rFonts w:cs="Arial" w:hint="cs"/>
          <w:rtl/>
        </w:rPr>
        <w:t xml:space="preserve"> ורי"ו </w:t>
      </w:r>
      <w:r w:rsidRPr="007966FB">
        <w:rPr>
          <w:rFonts w:cs="Arial" w:hint="cs"/>
          <w:sz w:val="16"/>
          <w:szCs w:val="16"/>
          <w:rtl/>
        </w:rPr>
        <w:t>(</w:t>
      </w:r>
      <w:r w:rsidRPr="007966FB">
        <w:rPr>
          <w:rFonts w:cs="Arial"/>
          <w:sz w:val="16"/>
          <w:szCs w:val="16"/>
          <w:rtl/>
        </w:rPr>
        <w:t>ח</w:t>
      </w:r>
      <w:r w:rsidRPr="007966FB">
        <w:rPr>
          <w:rFonts w:cs="Arial" w:hint="cs"/>
          <w:sz w:val="16"/>
          <w:szCs w:val="16"/>
          <w:rtl/>
        </w:rPr>
        <w:t>"</w:t>
      </w:r>
      <w:r w:rsidRPr="007966FB">
        <w:rPr>
          <w:rFonts w:cs="Arial"/>
          <w:sz w:val="16"/>
          <w:szCs w:val="16"/>
          <w:rtl/>
        </w:rPr>
        <w:t>א סו ע"ג)</w:t>
      </w:r>
      <w:r w:rsidRPr="00BA4E2A">
        <w:rPr>
          <w:rFonts w:cs="Arial" w:hint="cs"/>
          <w:rtl/>
        </w:rPr>
        <w:t xml:space="preserve">- </w:t>
      </w:r>
      <w:r w:rsidRPr="00BA4E2A">
        <w:rPr>
          <w:rFonts w:cs="Arial"/>
          <w:rtl/>
        </w:rPr>
        <w:t>מי שהחשיך לו בדרך בע"ש ועמו כיס</w:t>
      </w:r>
      <w:r>
        <w:rPr>
          <w:rFonts w:cs="Arial" w:hint="cs"/>
          <w:rtl/>
        </w:rPr>
        <w:t>,</w:t>
      </w:r>
      <w:r w:rsidRPr="00BA4E2A">
        <w:rPr>
          <w:rFonts w:cs="Arial"/>
          <w:rtl/>
        </w:rPr>
        <w:t xml:space="preserve"> אם יש עמו </w:t>
      </w:r>
      <w:r>
        <w:rPr>
          <w:rFonts w:cs="Arial" w:hint="cs"/>
          <w:rtl/>
        </w:rPr>
        <w:t>גוי</w:t>
      </w:r>
      <w:r w:rsidRPr="00BA4E2A">
        <w:rPr>
          <w:rFonts w:cs="Arial"/>
          <w:rtl/>
        </w:rPr>
        <w:t xml:space="preserve"> וחמור</w:t>
      </w:r>
      <w:r>
        <w:rPr>
          <w:rFonts w:cs="Arial" w:hint="cs"/>
          <w:rtl/>
        </w:rPr>
        <w:t>,</w:t>
      </w:r>
      <w:r w:rsidRPr="00BA4E2A">
        <w:rPr>
          <w:rFonts w:cs="Arial"/>
          <w:rtl/>
        </w:rPr>
        <w:t xml:space="preserve"> יתן כיסו </w:t>
      </w:r>
      <w:r>
        <w:rPr>
          <w:rFonts w:cs="Arial" w:hint="cs"/>
          <w:rtl/>
        </w:rPr>
        <w:t xml:space="preserve">לגוי </w:t>
      </w:r>
      <w:r w:rsidRPr="00BA4E2A">
        <w:rPr>
          <w:rFonts w:cs="Arial"/>
          <w:rtl/>
        </w:rPr>
        <w:t>אף לאחר שתחשך</w:t>
      </w:r>
      <w:r>
        <w:rPr>
          <w:rStyle w:val="a9"/>
          <w:rFonts w:cs="Arial"/>
          <w:rtl/>
        </w:rPr>
        <w:footnoteReference w:id="733"/>
      </w:r>
      <w:r w:rsidRPr="00BA4E2A">
        <w:rPr>
          <w:rFonts w:cs="Arial"/>
          <w:rtl/>
        </w:rPr>
        <w:t xml:space="preserve"> ולא יניחנו על החמור</w:t>
      </w:r>
      <w:r>
        <w:rPr>
          <w:rFonts w:cs="Arial" w:hint="cs"/>
          <w:rtl/>
        </w:rPr>
        <w:t>.</w:t>
      </w:r>
      <w:r w:rsidRPr="00BA4E2A">
        <w:rPr>
          <w:rFonts w:cs="Arial"/>
          <w:rtl/>
        </w:rPr>
        <w:t xml:space="preserve"> </w:t>
      </w:r>
      <w:r w:rsidRPr="00A163AF">
        <w:rPr>
          <w:rFonts w:hint="cs"/>
          <w:color w:val="E36C0A" w:themeColor="accent6" w:themeShade="BF"/>
          <w:rtl/>
        </w:rPr>
        <w:t>(וכ"פ בשו"ע)</w:t>
      </w:r>
    </w:p>
    <w:p w14:paraId="0BF28488" w14:textId="77777777" w:rsidR="004B2E7C" w:rsidRPr="007966FB" w:rsidRDefault="004B2E7C" w:rsidP="00434A6A">
      <w:pPr>
        <w:ind w:left="360"/>
        <w:rPr>
          <w:u w:val="dotted"/>
        </w:rPr>
      </w:pPr>
      <w:r w:rsidRPr="007966FB">
        <w:rPr>
          <w:rFonts w:hint="cs"/>
          <w:u w:val="dotted"/>
          <w:rtl/>
        </w:rPr>
        <w:t xml:space="preserve">ומה הדין אם </w:t>
      </w:r>
      <w:r>
        <w:rPr>
          <w:rFonts w:hint="cs"/>
          <w:u w:val="dotted"/>
          <w:rtl/>
        </w:rPr>
        <w:t xml:space="preserve">אין זה כיס אלא </w:t>
      </w:r>
      <w:r w:rsidRPr="007966FB">
        <w:rPr>
          <w:rFonts w:hint="cs"/>
          <w:u w:val="dotted"/>
          <w:rtl/>
        </w:rPr>
        <w:t>מציאה:</w:t>
      </w:r>
    </w:p>
    <w:p w14:paraId="71D30E93" w14:textId="77777777" w:rsidR="004B2E7C" w:rsidRPr="000A3353" w:rsidRDefault="004B2E7C" w:rsidP="00FF2D21">
      <w:pPr>
        <w:pStyle w:val="aa"/>
        <w:numPr>
          <w:ilvl w:val="0"/>
          <w:numId w:val="93"/>
        </w:numPr>
      </w:pPr>
      <w:r>
        <w:rPr>
          <w:rFonts w:cs="Arial" w:hint="cs"/>
          <w:rtl/>
        </w:rPr>
        <w:t xml:space="preserve">טור- </w:t>
      </w:r>
      <w:r w:rsidRPr="00BA4E2A">
        <w:rPr>
          <w:rFonts w:cs="Arial"/>
          <w:rtl/>
        </w:rPr>
        <w:t>אבל אם מצא מציאה</w:t>
      </w:r>
      <w:r>
        <w:rPr>
          <w:rFonts w:cs="Arial" w:hint="cs"/>
          <w:rtl/>
        </w:rPr>
        <w:t>,</w:t>
      </w:r>
      <w:r w:rsidRPr="00BA4E2A">
        <w:rPr>
          <w:rFonts w:cs="Arial"/>
          <w:rtl/>
        </w:rPr>
        <w:t xml:space="preserve"> אינו יכול ליתנה </w:t>
      </w:r>
      <w:r>
        <w:rPr>
          <w:rFonts w:cs="Arial" w:hint="cs"/>
          <w:rtl/>
        </w:rPr>
        <w:t>לגוי</w:t>
      </w:r>
      <w:r w:rsidRPr="00BA4E2A">
        <w:rPr>
          <w:rFonts w:cs="Arial"/>
          <w:rtl/>
        </w:rPr>
        <w:t xml:space="preserve"> אא"כ באה לידו מבע</w:t>
      </w:r>
      <w:r>
        <w:rPr>
          <w:rFonts w:cs="Arial" w:hint="cs"/>
          <w:rtl/>
        </w:rPr>
        <w:t>ו</w:t>
      </w:r>
      <w:r w:rsidRPr="00BA4E2A">
        <w:rPr>
          <w:rFonts w:cs="Arial"/>
          <w:rtl/>
        </w:rPr>
        <w:t>"י</w:t>
      </w:r>
      <w:r>
        <w:rPr>
          <w:rFonts w:cs="Arial" w:hint="cs"/>
          <w:rtl/>
        </w:rPr>
        <w:t>,</w:t>
      </w:r>
      <w:r w:rsidRPr="00BA4E2A">
        <w:rPr>
          <w:rFonts w:cs="Arial"/>
          <w:rtl/>
        </w:rPr>
        <w:t xml:space="preserve"> דהשתא הוי ככיסו</w:t>
      </w:r>
      <w:r>
        <w:rPr>
          <w:rFonts w:cs="Arial" w:hint="cs"/>
          <w:rtl/>
        </w:rPr>
        <w:t>.</w:t>
      </w:r>
      <w:r w:rsidRPr="00BA4E2A">
        <w:rPr>
          <w:rFonts w:cs="Arial"/>
          <w:rtl/>
        </w:rPr>
        <w:t xml:space="preserve"> </w:t>
      </w:r>
      <w:r w:rsidRPr="00A163AF">
        <w:rPr>
          <w:rFonts w:hint="cs"/>
          <w:color w:val="E36C0A" w:themeColor="accent6" w:themeShade="BF"/>
          <w:rtl/>
        </w:rPr>
        <w:t>(וכ"פ בשו"ע)</w:t>
      </w:r>
    </w:p>
    <w:p w14:paraId="48E30DF2"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99AD029" w14:textId="77777777" w:rsidR="004B2E7C" w:rsidRDefault="004B2E7C" w:rsidP="00434A6A">
      <w:pPr>
        <w:rPr>
          <w:rFonts w:asciiTheme="minorBidi" w:hAnsiTheme="minorBidi"/>
          <w:rtl/>
        </w:rPr>
      </w:pPr>
      <w:r w:rsidRPr="00CC2350">
        <w:rPr>
          <w:rFonts w:asciiTheme="minorBidi" w:hAnsiTheme="minorBidi" w:cs="Arial"/>
          <w:rtl/>
        </w:rPr>
        <w:t xml:space="preserve">מי שהיה בא בדרך וקדש עליו היום והיה עמו מעות ויש לו חמורו וגם יש עמו </w:t>
      </w:r>
      <w:r>
        <w:rPr>
          <w:rFonts w:asciiTheme="minorBidi" w:hAnsiTheme="minorBidi" w:cs="Arial" w:hint="cs"/>
          <w:rtl/>
        </w:rPr>
        <w:t>גו</w:t>
      </w:r>
      <w:r w:rsidRPr="00CC2350">
        <w:rPr>
          <w:rFonts w:asciiTheme="minorBidi" w:hAnsiTheme="minorBidi" w:cs="Arial"/>
          <w:rtl/>
        </w:rPr>
        <w:t>י, לא יניח כיסו על חמורו</w:t>
      </w:r>
      <w:r>
        <w:rPr>
          <w:rStyle w:val="a9"/>
          <w:rFonts w:asciiTheme="minorBidi" w:hAnsiTheme="minorBidi" w:cs="Arial"/>
          <w:rtl/>
        </w:rPr>
        <w:footnoteReference w:id="734"/>
      </w:r>
      <w:r w:rsidRPr="00CC2350">
        <w:rPr>
          <w:rFonts w:asciiTheme="minorBidi" w:hAnsiTheme="minorBidi" w:cs="Arial"/>
          <w:rtl/>
        </w:rPr>
        <w:t xml:space="preserve">, מפני שהוא מצווה על שביתתו, אלא נותן כיסו </w:t>
      </w:r>
      <w:r>
        <w:rPr>
          <w:rFonts w:asciiTheme="minorBidi" w:hAnsiTheme="minorBidi" w:cs="Arial" w:hint="cs"/>
          <w:rtl/>
        </w:rPr>
        <w:t>לגו</w:t>
      </w:r>
      <w:r w:rsidRPr="00CC2350">
        <w:rPr>
          <w:rFonts w:asciiTheme="minorBidi" w:hAnsiTheme="minorBidi" w:cs="Arial"/>
          <w:rtl/>
        </w:rPr>
        <w:t>י להוליכו לו</w:t>
      </w:r>
      <w:r>
        <w:rPr>
          <w:rStyle w:val="a9"/>
          <w:rFonts w:asciiTheme="minorBidi" w:hAnsiTheme="minorBidi" w:cs="Arial"/>
          <w:rtl/>
        </w:rPr>
        <w:footnoteReference w:id="735"/>
      </w:r>
      <w:r w:rsidRPr="00CC2350">
        <w:rPr>
          <w:rFonts w:asciiTheme="minorBidi" w:hAnsiTheme="minorBidi" w:cs="Arial"/>
          <w:rtl/>
        </w:rPr>
        <w:t>, ולמו</w:t>
      </w:r>
      <w:r>
        <w:rPr>
          <w:rFonts w:asciiTheme="minorBidi" w:hAnsiTheme="minorBidi" w:cs="Arial" w:hint="cs"/>
          <w:rtl/>
        </w:rPr>
        <w:t xml:space="preserve">צאי </w:t>
      </w:r>
      <w:r w:rsidRPr="00CC2350">
        <w:rPr>
          <w:rFonts w:asciiTheme="minorBidi" w:hAnsiTheme="minorBidi" w:cs="Arial"/>
          <w:rtl/>
        </w:rPr>
        <w:t>ש</w:t>
      </w:r>
      <w:r>
        <w:rPr>
          <w:rFonts w:asciiTheme="minorBidi" w:hAnsiTheme="minorBidi" w:cs="Arial" w:hint="cs"/>
          <w:rtl/>
        </w:rPr>
        <w:t>בת</w:t>
      </w:r>
      <w:r w:rsidRPr="00CC2350">
        <w:rPr>
          <w:rFonts w:asciiTheme="minorBidi" w:hAnsiTheme="minorBidi" w:cs="Arial"/>
          <w:rtl/>
        </w:rPr>
        <w:t xml:space="preserve"> לוקחו ממנו ואפי</w:t>
      </w:r>
      <w:r>
        <w:rPr>
          <w:rFonts w:asciiTheme="minorBidi" w:hAnsiTheme="minorBidi" w:cs="Arial" w:hint="cs"/>
          <w:rtl/>
        </w:rPr>
        <w:t>לו</w:t>
      </w:r>
      <w:r w:rsidRPr="00CC2350">
        <w:rPr>
          <w:rFonts w:asciiTheme="minorBidi" w:hAnsiTheme="minorBidi" w:cs="Arial"/>
          <w:rtl/>
        </w:rPr>
        <w:t xml:space="preserve"> לא נתן לו שכר על זה</w:t>
      </w:r>
      <w:r>
        <w:rPr>
          <w:rFonts w:asciiTheme="minorBidi" w:hAnsiTheme="minorBidi" w:cs="Arial" w:hint="cs"/>
          <w:rtl/>
        </w:rPr>
        <w:t>,</w:t>
      </w:r>
      <w:r w:rsidRPr="00CC2350">
        <w:rPr>
          <w:rFonts w:asciiTheme="minorBidi" w:hAnsiTheme="minorBidi" w:cs="Arial"/>
          <w:rtl/>
        </w:rPr>
        <w:t xml:space="preserve"> ואף על פי שנתנו לו משחשיכה, מותר</w:t>
      </w:r>
      <w:r>
        <w:rPr>
          <w:rFonts w:asciiTheme="minorBidi" w:hAnsiTheme="minorBidi" w:cs="Arial" w:hint="cs"/>
          <w:rtl/>
        </w:rPr>
        <w:t>.</w:t>
      </w:r>
      <w:r w:rsidRPr="00CC2350">
        <w:rPr>
          <w:rFonts w:asciiTheme="minorBidi" w:hAnsiTheme="minorBidi" w:cs="Arial"/>
          <w:rtl/>
        </w:rPr>
        <w:t xml:space="preserve"> אבל אם מצא מציאה אינו יכול ליתנה ל</w:t>
      </w:r>
      <w:r>
        <w:rPr>
          <w:rFonts w:asciiTheme="minorBidi" w:hAnsiTheme="minorBidi" w:cs="Arial" w:hint="cs"/>
          <w:rtl/>
        </w:rPr>
        <w:t>גו</w:t>
      </w:r>
      <w:r w:rsidRPr="00CC2350">
        <w:rPr>
          <w:rFonts w:asciiTheme="minorBidi" w:hAnsiTheme="minorBidi" w:cs="Arial"/>
          <w:rtl/>
        </w:rPr>
        <w:t>י א</w:t>
      </w:r>
      <w:r>
        <w:rPr>
          <w:rFonts w:asciiTheme="minorBidi" w:hAnsiTheme="minorBidi" w:cs="Arial" w:hint="cs"/>
          <w:rtl/>
        </w:rPr>
        <w:t xml:space="preserve">לא אם </w:t>
      </w:r>
      <w:r w:rsidRPr="00CC2350">
        <w:rPr>
          <w:rFonts w:asciiTheme="minorBidi" w:hAnsiTheme="minorBidi" w:cs="Arial"/>
          <w:rtl/>
        </w:rPr>
        <w:t>כ</w:t>
      </w:r>
      <w:r>
        <w:rPr>
          <w:rFonts w:asciiTheme="minorBidi" w:hAnsiTheme="minorBidi" w:cs="Arial" w:hint="cs"/>
          <w:rtl/>
        </w:rPr>
        <w:t>ן</w:t>
      </w:r>
      <w:r w:rsidRPr="00CC2350">
        <w:rPr>
          <w:rFonts w:asciiTheme="minorBidi" w:hAnsiTheme="minorBidi" w:cs="Arial"/>
          <w:rtl/>
        </w:rPr>
        <w:t xml:space="preserve"> באה לידו מבע</w:t>
      </w:r>
      <w:r>
        <w:rPr>
          <w:rFonts w:asciiTheme="minorBidi" w:hAnsiTheme="minorBidi" w:cs="Arial" w:hint="cs"/>
          <w:rtl/>
        </w:rPr>
        <w:t xml:space="preserve">וד </w:t>
      </w:r>
      <w:r w:rsidRPr="00CC2350">
        <w:rPr>
          <w:rFonts w:asciiTheme="minorBidi" w:hAnsiTheme="minorBidi" w:cs="Arial"/>
          <w:rtl/>
        </w:rPr>
        <w:t>י</w:t>
      </w:r>
      <w:r>
        <w:rPr>
          <w:rFonts w:asciiTheme="minorBidi" w:hAnsiTheme="minorBidi" w:cs="Arial" w:hint="cs"/>
          <w:rtl/>
        </w:rPr>
        <w:t>ום</w:t>
      </w:r>
      <w:r w:rsidRPr="00CC2350">
        <w:rPr>
          <w:rFonts w:asciiTheme="minorBidi" w:hAnsiTheme="minorBidi" w:cs="Arial"/>
          <w:rtl/>
        </w:rPr>
        <w:t xml:space="preserve"> דהשתא הויא ככיסו. </w:t>
      </w:r>
    </w:p>
    <w:p w14:paraId="5330872A" w14:textId="77777777" w:rsidR="004B2E7C" w:rsidRPr="00CC2350" w:rsidRDefault="004B2E7C" w:rsidP="00434A6A">
      <w:pPr>
        <w:rPr>
          <w:rFonts w:asciiTheme="minorBidi" w:hAnsiTheme="minorBidi"/>
          <w:rtl/>
        </w:rPr>
      </w:pPr>
    </w:p>
    <w:p w14:paraId="07BE4109" w14:textId="77777777" w:rsidR="004B2E7C" w:rsidRDefault="004B2E7C" w:rsidP="00434A6A">
      <w:pPr>
        <w:pStyle w:val="2"/>
        <w:rPr>
          <w:rtl/>
        </w:rPr>
      </w:pPr>
      <w:r w:rsidRPr="00CC2350">
        <w:rPr>
          <w:rtl/>
        </w:rPr>
        <w:t>סעיף ב</w:t>
      </w:r>
      <w:r>
        <w:rPr>
          <w:rFonts w:hint="cs"/>
          <w:rtl/>
        </w:rPr>
        <w:t xml:space="preserve">: </w:t>
      </w:r>
      <w:r w:rsidRPr="007966FB">
        <w:rPr>
          <w:rtl/>
        </w:rPr>
        <w:t>מי שהחשיך לו בדרך</w:t>
      </w:r>
      <w:r>
        <w:rPr>
          <w:rFonts w:hint="cs"/>
          <w:rtl/>
        </w:rPr>
        <w:t xml:space="preserve"> כנ"ל, ואין עמו גוי.</w:t>
      </w:r>
    </w:p>
    <w:p w14:paraId="28D1A387" w14:textId="77777777" w:rsidR="004B2E7C" w:rsidRPr="00EB1A03" w:rsidRDefault="004B2E7C" w:rsidP="00434A6A">
      <w:pPr>
        <w:rPr>
          <w:rtl/>
        </w:rPr>
      </w:pPr>
      <w:r w:rsidRPr="00565331">
        <w:rPr>
          <w:rFonts w:cs="Arial" w:hint="cs"/>
          <w:b/>
          <w:bCs/>
          <w:rtl/>
        </w:rPr>
        <w:t xml:space="preserve">שבת </w:t>
      </w:r>
      <w:r w:rsidRPr="00762875">
        <w:rPr>
          <w:rFonts w:cs="Arial" w:hint="cs"/>
          <w:b/>
          <w:bCs/>
          <w:sz w:val="16"/>
          <w:szCs w:val="16"/>
          <w:rtl/>
        </w:rPr>
        <w:t>(</w:t>
      </w:r>
      <w:r>
        <w:rPr>
          <w:rFonts w:cs="Arial" w:hint="cs"/>
          <w:b/>
          <w:bCs/>
          <w:sz w:val="16"/>
          <w:szCs w:val="16"/>
          <w:rtl/>
        </w:rPr>
        <w:t>ר"פ מי שהחשיך</w:t>
      </w:r>
      <w:r w:rsidRPr="00762875">
        <w:rPr>
          <w:rFonts w:cs="Arial" w:hint="cs"/>
          <w:b/>
          <w:bCs/>
          <w:sz w:val="16"/>
          <w:szCs w:val="16"/>
          <w:rtl/>
        </w:rPr>
        <w:t xml:space="preserve">) </w:t>
      </w:r>
      <w:r>
        <w:rPr>
          <w:rFonts w:cs="Arial" w:hint="cs"/>
          <w:b/>
          <w:bCs/>
          <w:rtl/>
        </w:rPr>
        <w:t>קנג</w:t>
      </w:r>
      <w:r w:rsidRPr="00565331">
        <w:rPr>
          <w:rFonts w:cs="Arial" w:hint="cs"/>
          <w:b/>
          <w:bCs/>
          <w:rtl/>
        </w:rPr>
        <w:t xml:space="preserve"> ע"</w:t>
      </w:r>
      <w:r>
        <w:rPr>
          <w:rFonts w:cs="Arial" w:hint="cs"/>
          <w:b/>
          <w:bCs/>
          <w:rtl/>
        </w:rPr>
        <w:t>א</w:t>
      </w:r>
      <w:r w:rsidRPr="00565331">
        <w:rPr>
          <w:rFonts w:cs="Arial" w:hint="cs"/>
          <w:b/>
          <w:bCs/>
          <w:rtl/>
        </w:rPr>
        <w:t>:</w:t>
      </w:r>
      <w:r>
        <w:rPr>
          <w:rFonts w:cs="Arial" w:hint="cs"/>
          <w:rtl/>
        </w:rPr>
        <w:t xml:space="preserve"> </w:t>
      </w:r>
      <w:r w:rsidRPr="00421772">
        <w:rPr>
          <w:rFonts w:cs="Arial"/>
          <w:u w:val="double"/>
          <w:rtl/>
        </w:rPr>
        <w:t>משנה</w:t>
      </w:r>
      <w:r>
        <w:rPr>
          <w:rFonts w:cs="Arial" w:hint="cs"/>
          <w:rtl/>
        </w:rPr>
        <w:t>:</w:t>
      </w:r>
      <w:r w:rsidRPr="00672B81">
        <w:rPr>
          <w:rFonts w:cs="Arial"/>
          <w:rtl/>
        </w:rPr>
        <w:t xml:space="preserve"> מי שהחשיך בדרך - נותן כיסו לנכרי, ואם אין עמו נכרי - מניחו על החמור.</w:t>
      </w:r>
      <w:r>
        <w:rPr>
          <w:rFonts w:cs="Arial" w:hint="cs"/>
          <w:rtl/>
        </w:rPr>
        <w:t>.</w:t>
      </w:r>
      <w:r w:rsidRPr="00672B81">
        <w:rPr>
          <w:rFonts w:cs="Arial"/>
          <w:rtl/>
        </w:rPr>
        <w:t xml:space="preserve">. </w:t>
      </w:r>
      <w:r>
        <w:rPr>
          <w:rFonts w:cs="Arial" w:hint="cs"/>
          <w:rtl/>
        </w:rPr>
        <w:t xml:space="preserve">  </w:t>
      </w:r>
      <w:r w:rsidRPr="007966FB">
        <w:rPr>
          <w:rFonts w:cs="Arial"/>
          <w:u w:val="double"/>
          <w:rtl/>
        </w:rPr>
        <w:t>גמרא</w:t>
      </w:r>
      <w:r>
        <w:rPr>
          <w:rFonts w:cs="Arial" w:hint="cs"/>
          <w:rtl/>
        </w:rPr>
        <w:t>:</w:t>
      </w:r>
      <w:r w:rsidRPr="00672B81">
        <w:rPr>
          <w:rFonts w:cs="Arial"/>
          <w:rtl/>
        </w:rPr>
        <w:t xml:space="preserve"> </w:t>
      </w:r>
      <w:r w:rsidRPr="000A3353">
        <w:rPr>
          <w:rFonts w:cs="Arial"/>
          <w:rtl/>
        </w:rPr>
        <w:t>אין עמו נכרי. טעמא, דאין עמו נכרי, הא יש עמו נכרי - לנכרי יהיב ליה. מאי טעמא? חמור אתה מצווה על שביתתו, נכרי - אי אתה מצווה על שביתתו.</w:t>
      </w:r>
      <w:r>
        <w:rPr>
          <w:rFonts w:hint="cs"/>
          <w:rtl/>
        </w:rPr>
        <w:t xml:space="preserve">.. </w:t>
      </w:r>
      <w:r>
        <w:rPr>
          <w:rFonts w:cs="Arial" w:hint="cs"/>
          <w:sz w:val="14"/>
          <w:szCs w:val="14"/>
          <w:rtl/>
        </w:rPr>
        <w:t>(קנג:)</w:t>
      </w:r>
      <w:r>
        <w:rPr>
          <w:rFonts w:cs="Arial" w:hint="cs"/>
          <w:rtl/>
        </w:rPr>
        <w:t xml:space="preserve"> </w:t>
      </w:r>
      <w:r w:rsidRPr="0005672C">
        <w:rPr>
          <w:rFonts w:cs="Arial"/>
          <w:u w:val="single"/>
          <w:rtl/>
        </w:rPr>
        <w:t>אמר מר</w:t>
      </w:r>
      <w:r w:rsidRPr="00A20896">
        <w:rPr>
          <w:rFonts w:cs="Arial"/>
          <w:rtl/>
        </w:rPr>
        <w:t xml:space="preserve">: אין עמו נכרי - מניחו על החמור. והלא מחמר, ורחמנא אמר לא תעשה כל מלאכה! </w:t>
      </w:r>
      <w:r w:rsidRPr="0005672C">
        <w:rPr>
          <w:rFonts w:cs="Arial"/>
          <w:u w:val="single"/>
          <w:rtl/>
        </w:rPr>
        <w:t>אמר רב אדא בר אהבה</w:t>
      </w:r>
      <w:r w:rsidRPr="00A20896">
        <w:rPr>
          <w:rFonts w:cs="Arial"/>
          <w:rtl/>
        </w:rPr>
        <w:t>: מניחו עליה כשהיא מהלכת</w:t>
      </w:r>
      <w:r>
        <w:rPr>
          <w:rStyle w:val="a9"/>
          <w:rFonts w:cs="Arial"/>
          <w:rtl/>
        </w:rPr>
        <w:footnoteReference w:id="736"/>
      </w:r>
      <w:r w:rsidRPr="00A20896">
        <w:rPr>
          <w:rFonts w:cs="Arial"/>
          <w:rtl/>
        </w:rPr>
        <w:t>. והא אי אפשר דלא קיימא להשתין מים ולהטיל גללים, ואיכא עקירה והנחה! כשהיא מהלכת - מניחו עליה, כשהיא עומדת - נוטלו הימנה</w:t>
      </w:r>
      <w:r>
        <w:rPr>
          <w:rStyle w:val="a9"/>
          <w:rFonts w:cs="Arial"/>
          <w:rtl/>
        </w:rPr>
        <w:footnoteReference w:id="737"/>
      </w:r>
      <w:r w:rsidRPr="00A20896">
        <w:rPr>
          <w:rFonts w:cs="Arial"/>
          <w:rtl/>
        </w:rPr>
        <w:t>. אי הכי, אפילו חברו</w:t>
      </w:r>
      <w:r>
        <w:rPr>
          <w:rStyle w:val="a9"/>
          <w:rFonts w:cs="Arial"/>
          <w:rtl/>
        </w:rPr>
        <w:footnoteReference w:id="738"/>
      </w:r>
      <w:r w:rsidRPr="00A20896">
        <w:rPr>
          <w:rFonts w:cs="Arial"/>
          <w:rtl/>
        </w:rPr>
        <w:t xml:space="preserve"> נמי! </w:t>
      </w:r>
      <w:r w:rsidRPr="009463EF">
        <w:rPr>
          <w:rFonts w:cs="Arial"/>
          <w:u w:val="single"/>
          <w:rtl/>
        </w:rPr>
        <w:t>אמר רב פפא</w:t>
      </w:r>
      <w:r w:rsidRPr="00A20896">
        <w:rPr>
          <w:rFonts w:cs="Arial"/>
          <w:rtl/>
        </w:rPr>
        <w:t>: כל שבגופו חייב חטאת</w:t>
      </w:r>
      <w:r>
        <w:rPr>
          <w:rStyle w:val="a9"/>
          <w:rFonts w:cs="Arial"/>
          <w:rtl/>
        </w:rPr>
        <w:footnoteReference w:id="739"/>
      </w:r>
      <w:r w:rsidRPr="00A20896">
        <w:rPr>
          <w:rFonts w:cs="Arial"/>
          <w:rtl/>
        </w:rPr>
        <w:t xml:space="preserve"> - בחברו פטור אבל אסור. כל שחברו פטור אבל אסור - בחמורו מותר לכתחלה.</w:t>
      </w:r>
    </w:p>
    <w:p w14:paraId="0D7B40CC" w14:textId="77777777" w:rsidR="004B2E7C" w:rsidRPr="00F04892" w:rsidRDefault="004B2E7C" w:rsidP="00434A6A">
      <w:pPr>
        <w:rPr>
          <w:u w:val="single"/>
          <w:rtl/>
        </w:rPr>
      </w:pPr>
      <w:r w:rsidRPr="00F04892">
        <w:rPr>
          <w:rFonts w:cs="Arial"/>
          <w:u w:val="single"/>
          <w:rtl/>
        </w:rPr>
        <w:t>מי שהחשיך לו בדרך</w:t>
      </w:r>
      <w:r w:rsidRPr="00F04892">
        <w:rPr>
          <w:rFonts w:hint="cs"/>
          <w:u w:val="single"/>
          <w:rtl/>
        </w:rPr>
        <w:t xml:space="preserve"> כנ"ל, ואין עמו גוי:</w:t>
      </w:r>
    </w:p>
    <w:p w14:paraId="4C7181EA" w14:textId="77777777" w:rsidR="004B2E7C" w:rsidRPr="005B21C2" w:rsidRDefault="004B2E7C" w:rsidP="00FF2D21">
      <w:pPr>
        <w:pStyle w:val="aa"/>
        <w:numPr>
          <w:ilvl w:val="0"/>
          <w:numId w:val="93"/>
        </w:numPr>
      </w:pPr>
      <w:r>
        <w:rPr>
          <w:rFonts w:cs="Arial" w:hint="cs"/>
          <w:rtl/>
        </w:rPr>
        <w:t xml:space="preserve">טור- </w:t>
      </w:r>
      <w:r w:rsidRPr="00BA4E2A">
        <w:rPr>
          <w:rFonts w:cs="Arial"/>
          <w:rtl/>
        </w:rPr>
        <w:t xml:space="preserve">אין עמו </w:t>
      </w:r>
      <w:r>
        <w:rPr>
          <w:rFonts w:cs="Arial" w:hint="cs"/>
          <w:rtl/>
        </w:rPr>
        <w:t>גוי</w:t>
      </w:r>
      <w:r w:rsidRPr="00BA4E2A">
        <w:rPr>
          <w:rFonts w:cs="Arial"/>
          <w:rtl/>
        </w:rPr>
        <w:t xml:space="preserve"> יניחנו של החמור כשהוא הולך</w:t>
      </w:r>
      <w:r>
        <w:rPr>
          <w:rFonts w:cs="Arial" w:hint="cs"/>
          <w:rtl/>
        </w:rPr>
        <w:t>,</w:t>
      </w:r>
      <w:r w:rsidRPr="00BA4E2A">
        <w:rPr>
          <w:rFonts w:cs="Arial"/>
          <w:rtl/>
        </w:rPr>
        <w:t xml:space="preserve"> ויזהר ליטול ממנו בכל שעה שיעמוד</w:t>
      </w:r>
      <w:r>
        <w:rPr>
          <w:rFonts w:cs="Arial" w:hint="cs"/>
          <w:rtl/>
        </w:rPr>
        <w:t>,</w:t>
      </w:r>
      <w:r w:rsidRPr="00BA4E2A">
        <w:rPr>
          <w:rFonts w:cs="Arial"/>
          <w:rtl/>
        </w:rPr>
        <w:t xml:space="preserve"> וכשיחזור וילך יניחנו עליו</w:t>
      </w:r>
      <w:r>
        <w:rPr>
          <w:rFonts w:cs="Arial" w:hint="cs"/>
          <w:rtl/>
        </w:rPr>
        <w:t>.</w:t>
      </w:r>
      <w:r w:rsidRPr="00BA4E2A">
        <w:rPr>
          <w:rFonts w:cs="Arial"/>
          <w:rtl/>
        </w:rPr>
        <w:t xml:space="preserve"> </w:t>
      </w:r>
      <w:r w:rsidRPr="00A163AF">
        <w:rPr>
          <w:rFonts w:hint="cs"/>
          <w:color w:val="E36C0A" w:themeColor="accent6" w:themeShade="BF"/>
          <w:rtl/>
        </w:rPr>
        <w:t>(וכ"פ בשו"ע)</w:t>
      </w:r>
    </w:p>
    <w:p w14:paraId="3991C380" w14:textId="77777777" w:rsidR="004B2E7C" w:rsidRPr="005B21C2" w:rsidRDefault="004B2E7C" w:rsidP="00434A6A">
      <w:pPr>
        <w:ind w:left="360"/>
        <w:rPr>
          <w:u w:val="dotted"/>
        </w:rPr>
      </w:pPr>
      <w:r w:rsidRPr="005B21C2">
        <w:rPr>
          <w:rFonts w:hint="cs"/>
          <w:u w:val="dotted"/>
          <w:rtl/>
        </w:rPr>
        <w:t>האם יכול להנהיג את החמור בקול</w:t>
      </w:r>
      <w:r>
        <w:rPr>
          <w:rFonts w:hint="cs"/>
          <w:sz w:val="16"/>
          <w:szCs w:val="16"/>
          <w:u w:val="dotted"/>
          <w:rtl/>
        </w:rPr>
        <w:t xml:space="preserve"> (משום מחמר)</w:t>
      </w:r>
      <w:r w:rsidRPr="005B21C2">
        <w:rPr>
          <w:rFonts w:hint="cs"/>
          <w:u w:val="dotted"/>
          <w:rtl/>
        </w:rPr>
        <w:t>:</w:t>
      </w:r>
    </w:p>
    <w:p w14:paraId="2805E902" w14:textId="77777777" w:rsidR="004B2E7C" w:rsidRPr="005B21C2" w:rsidRDefault="004B2E7C" w:rsidP="00FF2D21">
      <w:pPr>
        <w:pStyle w:val="aa"/>
        <w:numPr>
          <w:ilvl w:val="0"/>
          <w:numId w:val="93"/>
        </w:numPr>
      </w:pPr>
      <w:r w:rsidRPr="005B21C2">
        <w:rPr>
          <w:rFonts w:cs="Arial"/>
          <w:rtl/>
        </w:rPr>
        <w:t xml:space="preserve">רמב"ם </w:t>
      </w:r>
      <w:r w:rsidRPr="005B21C2">
        <w:rPr>
          <w:rFonts w:cs="Arial" w:hint="cs"/>
          <w:sz w:val="16"/>
          <w:szCs w:val="16"/>
          <w:rtl/>
        </w:rPr>
        <w:t>(</w:t>
      </w:r>
      <w:r w:rsidRPr="005B21C2">
        <w:rPr>
          <w:rFonts w:cs="Arial"/>
          <w:sz w:val="16"/>
          <w:szCs w:val="16"/>
          <w:rtl/>
        </w:rPr>
        <w:t>פ</w:t>
      </w:r>
      <w:r w:rsidRPr="005B21C2">
        <w:rPr>
          <w:rFonts w:cs="Arial" w:hint="cs"/>
          <w:sz w:val="16"/>
          <w:szCs w:val="16"/>
          <w:rtl/>
        </w:rPr>
        <w:t xml:space="preserve">"כ </w:t>
      </w:r>
      <w:r w:rsidRPr="005B21C2">
        <w:rPr>
          <w:rFonts w:cs="Arial"/>
          <w:sz w:val="16"/>
          <w:szCs w:val="16"/>
          <w:rtl/>
        </w:rPr>
        <w:t>ה"ו)</w:t>
      </w:r>
      <w:r>
        <w:rPr>
          <w:rFonts w:cs="Arial" w:hint="cs"/>
          <w:rtl/>
        </w:rPr>
        <w:t xml:space="preserve">- </w:t>
      </w:r>
      <w:r w:rsidRPr="005B21C2">
        <w:rPr>
          <w:rFonts w:cs="Arial"/>
          <w:rtl/>
        </w:rPr>
        <w:t>אסור להנהיגה בקול רם כל זמן שהכיס עליה כדי שלא יהיה מחמר בשבת</w:t>
      </w:r>
      <w:r>
        <w:rPr>
          <w:rFonts w:cs="Arial" w:hint="cs"/>
          <w:rtl/>
        </w:rPr>
        <w:t>.</w:t>
      </w:r>
      <w:r w:rsidRPr="005B21C2">
        <w:rPr>
          <w:rFonts w:cs="Arial"/>
          <w:rtl/>
        </w:rPr>
        <w:t xml:space="preserve"> </w:t>
      </w:r>
      <w:r w:rsidRPr="00A163AF">
        <w:rPr>
          <w:rFonts w:hint="cs"/>
          <w:color w:val="E36C0A" w:themeColor="accent6" w:themeShade="BF"/>
          <w:rtl/>
        </w:rPr>
        <w:t>(וכ"</w:t>
      </w:r>
      <w:r>
        <w:rPr>
          <w:rFonts w:hint="cs"/>
          <w:color w:val="E36C0A" w:themeColor="accent6" w:themeShade="BF"/>
          <w:rtl/>
        </w:rPr>
        <w:t>ס</w:t>
      </w:r>
      <w:r w:rsidRPr="00A163AF">
        <w:rPr>
          <w:rFonts w:hint="cs"/>
          <w:color w:val="E36C0A" w:themeColor="accent6" w:themeShade="BF"/>
          <w:rtl/>
        </w:rPr>
        <w:t xml:space="preserve"> בשו"ע)</w:t>
      </w:r>
    </w:p>
    <w:p w14:paraId="05C8AD99" w14:textId="77777777" w:rsidR="004B2E7C" w:rsidRPr="00BA4E2A" w:rsidRDefault="004B2E7C" w:rsidP="00FF2D21">
      <w:pPr>
        <w:pStyle w:val="aa"/>
        <w:numPr>
          <w:ilvl w:val="0"/>
          <w:numId w:val="93"/>
        </w:numPr>
        <w:rPr>
          <w:rtl/>
        </w:rPr>
      </w:pPr>
      <w:r w:rsidRPr="005B21C2">
        <w:rPr>
          <w:rFonts w:cs="Arial"/>
          <w:rtl/>
        </w:rPr>
        <w:t xml:space="preserve">רשב"א </w:t>
      </w:r>
      <w:r w:rsidRPr="005B21C2">
        <w:rPr>
          <w:rFonts w:cs="Arial"/>
          <w:sz w:val="16"/>
          <w:szCs w:val="16"/>
          <w:rtl/>
        </w:rPr>
        <w:t>(חי' קנג סוע"ב)</w:t>
      </w:r>
      <w:r>
        <w:rPr>
          <w:rFonts w:cs="Arial" w:hint="cs"/>
          <w:rtl/>
        </w:rPr>
        <w:t>-</w:t>
      </w:r>
      <w:r w:rsidRPr="005B21C2">
        <w:rPr>
          <w:rFonts w:cs="Arial"/>
          <w:rtl/>
        </w:rPr>
        <w:t xml:space="preserve"> כיון שאינו מניח עליה עד שתהא מהלכת אינו מחמר עוד</w:t>
      </w:r>
      <w:r>
        <w:rPr>
          <w:rStyle w:val="a9"/>
          <w:rFonts w:cs="Arial"/>
          <w:rtl/>
        </w:rPr>
        <w:footnoteReference w:id="740"/>
      </w:r>
      <w:r>
        <w:rPr>
          <w:rFonts w:cs="Arial" w:hint="cs"/>
          <w:rtl/>
        </w:rPr>
        <w:t>.</w:t>
      </w:r>
    </w:p>
    <w:p w14:paraId="7EB87F13" w14:textId="77777777" w:rsidR="004B2E7C" w:rsidRPr="00937E79" w:rsidRDefault="004B2E7C" w:rsidP="00434A6A">
      <w:pPr>
        <w:rPr>
          <w:u w:val="single"/>
        </w:rPr>
      </w:pPr>
      <w:r w:rsidRPr="00937E79">
        <w:rPr>
          <w:rFonts w:cs="Arial"/>
          <w:u w:val="single"/>
          <w:rtl/>
        </w:rPr>
        <w:t>הרוכב על סוס והחשיך לו בדרך</w:t>
      </w:r>
      <w:r w:rsidRPr="00937E79">
        <w:rPr>
          <w:rFonts w:hint="cs"/>
          <w:u w:val="single"/>
          <w:rtl/>
        </w:rPr>
        <w:t xml:space="preserve"> </w:t>
      </w:r>
      <w:r w:rsidRPr="00937E79">
        <w:rPr>
          <w:u w:val="single"/>
          <w:rtl/>
        </w:rPr>
        <w:t>–</w:t>
      </w:r>
      <w:r w:rsidRPr="00937E79">
        <w:rPr>
          <w:rFonts w:hint="cs"/>
          <w:u w:val="single"/>
          <w:rtl/>
        </w:rPr>
        <w:t xml:space="preserve"> האם עדיף שימשיך לרכב או שעדיף ללכת ברגל:</w:t>
      </w:r>
    </w:p>
    <w:p w14:paraId="06EFFA76" w14:textId="77777777" w:rsidR="004B2E7C" w:rsidRPr="00937E79" w:rsidRDefault="004B2E7C" w:rsidP="00FF2D21">
      <w:pPr>
        <w:pStyle w:val="aa"/>
        <w:numPr>
          <w:ilvl w:val="0"/>
          <w:numId w:val="97"/>
        </w:numPr>
      </w:pPr>
      <w:r>
        <w:rPr>
          <w:rFonts w:cs="Arial" w:hint="cs"/>
          <w:rtl/>
        </w:rPr>
        <w:t>הגמ"ר</w:t>
      </w:r>
      <w:r w:rsidRPr="00937E79">
        <w:rPr>
          <w:rFonts w:cs="Arial"/>
          <w:rtl/>
        </w:rPr>
        <w:t xml:space="preserve"> </w:t>
      </w:r>
      <w:r w:rsidRPr="00937E79">
        <w:rPr>
          <w:rFonts w:cs="Arial"/>
          <w:sz w:val="16"/>
          <w:szCs w:val="16"/>
          <w:rtl/>
        </w:rPr>
        <w:t>(פב ע"ג)</w:t>
      </w:r>
      <w:r>
        <w:rPr>
          <w:rFonts w:cs="Arial" w:hint="cs"/>
          <w:rtl/>
        </w:rPr>
        <w:t>-</w:t>
      </w:r>
      <w:r w:rsidRPr="00937E79">
        <w:rPr>
          <w:rFonts w:cs="Arial"/>
          <w:rtl/>
        </w:rPr>
        <w:t xml:space="preserve"> הרוכב על סוס והחשיך לו בדרך</w:t>
      </w:r>
      <w:r>
        <w:rPr>
          <w:rFonts w:cs="Arial" w:hint="cs"/>
          <w:rtl/>
        </w:rPr>
        <w:t>,</w:t>
      </w:r>
      <w:r w:rsidRPr="00937E79">
        <w:rPr>
          <w:rFonts w:cs="Arial"/>
          <w:rtl/>
        </w:rPr>
        <w:t xml:space="preserve"> מוטב לו לרכוב ולבוא</w:t>
      </w:r>
      <w:r>
        <w:rPr>
          <w:rFonts w:cs="Arial" w:hint="cs"/>
          <w:rtl/>
        </w:rPr>
        <w:t>,</w:t>
      </w:r>
      <w:r w:rsidRPr="00937E79">
        <w:rPr>
          <w:rFonts w:cs="Arial"/>
          <w:rtl/>
        </w:rPr>
        <w:t xml:space="preserve"> דאז אינו עובר אלא משום שבות אם הוא בתוך התחום</w:t>
      </w:r>
      <w:r>
        <w:rPr>
          <w:rFonts w:cs="Arial" w:hint="cs"/>
          <w:rtl/>
        </w:rPr>
        <w:t>,</w:t>
      </w:r>
      <w:r w:rsidRPr="00937E79">
        <w:rPr>
          <w:rFonts w:cs="Arial"/>
          <w:rtl/>
        </w:rPr>
        <w:t xml:space="preserve"> דהחי נושא את עצמו</w:t>
      </w:r>
      <w:r>
        <w:rPr>
          <w:rFonts w:cs="Arial" w:hint="cs"/>
          <w:rtl/>
        </w:rPr>
        <w:t>.</w:t>
      </w:r>
      <w:r w:rsidRPr="00937E79">
        <w:rPr>
          <w:rFonts w:cs="Arial"/>
          <w:rtl/>
        </w:rPr>
        <w:t xml:space="preserve"> ואי משום האוכף שעל הסוס</w:t>
      </w:r>
      <w:r>
        <w:rPr>
          <w:rFonts w:cs="Arial" w:hint="cs"/>
          <w:rtl/>
        </w:rPr>
        <w:t>,</w:t>
      </w:r>
      <w:r w:rsidRPr="00937E79">
        <w:rPr>
          <w:rFonts w:cs="Arial"/>
          <w:rtl/>
        </w:rPr>
        <w:t xml:space="preserve"> הואיל ופטור על רכיבתו פטור על האוכף שהיא טפלה לו</w:t>
      </w:r>
      <w:r>
        <w:rPr>
          <w:rFonts w:cs="Arial" w:hint="cs"/>
          <w:rtl/>
        </w:rPr>
        <w:t>.</w:t>
      </w:r>
      <w:r w:rsidRPr="00937E79">
        <w:rPr>
          <w:rFonts w:cs="Arial"/>
          <w:rtl/>
        </w:rPr>
        <w:t xml:space="preserve"> אבל אם ירד יעבור על שביתת בהמתו</w:t>
      </w:r>
      <w:r>
        <w:rPr>
          <w:rFonts w:cs="Arial" w:hint="cs"/>
          <w:rtl/>
        </w:rPr>
        <w:t>,</w:t>
      </w:r>
      <w:r w:rsidRPr="00937E79">
        <w:rPr>
          <w:rFonts w:cs="Arial"/>
          <w:rtl/>
        </w:rPr>
        <w:t xml:space="preserve"> שנושא האוכף</w:t>
      </w:r>
      <w:r>
        <w:rPr>
          <w:rFonts w:cs="Arial" w:hint="cs"/>
          <w:rtl/>
        </w:rPr>
        <w:t>.</w:t>
      </w:r>
      <w:r w:rsidRPr="00937E79">
        <w:rPr>
          <w:rFonts w:cs="Arial"/>
          <w:rtl/>
        </w:rPr>
        <w:t xml:space="preserve"> וכמו כן מחמר אחריה</w:t>
      </w:r>
      <w:r>
        <w:rPr>
          <w:rFonts w:cs="Arial" w:hint="cs"/>
          <w:rtl/>
        </w:rPr>
        <w:t>.</w:t>
      </w:r>
      <w:r w:rsidRPr="00937E79">
        <w:rPr>
          <w:rFonts w:cs="Arial"/>
          <w:rtl/>
        </w:rPr>
        <w:t xml:space="preserve"> ולאבא מארי ה"ר מרדכי נראה דלא ירכוב ויזרוק האוכף דמשום הפסד מועט דאוכף לא נתיר לו לעבור על גזירת חכמים </w:t>
      </w:r>
      <w:r w:rsidRPr="00E51F8E">
        <w:rPr>
          <w:rFonts w:cs="Arial"/>
          <w:sz w:val="16"/>
          <w:szCs w:val="16"/>
          <w:rtl/>
        </w:rPr>
        <w:t xml:space="preserve">(ביצה לו:) </w:t>
      </w:r>
      <w:r w:rsidRPr="00937E79">
        <w:rPr>
          <w:rFonts w:cs="Arial"/>
          <w:rtl/>
        </w:rPr>
        <w:t>דאין רוכבין על גבי בהמה</w:t>
      </w:r>
      <w:r>
        <w:rPr>
          <w:rFonts w:cs="Arial" w:hint="cs"/>
          <w:rtl/>
        </w:rPr>
        <w:t>.</w:t>
      </w:r>
      <w:r w:rsidRPr="00937E79">
        <w:rPr>
          <w:rFonts w:cs="Arial"/>
          <w:rtl/>
        </w:rPr>
        <w:t xml:space="preserve"> </w:t>
      </w:r>
    </w:p>
    <w:p w14:paraId="3F682C67" w14:textId="77777777" w:rsidR="004B2E7C" w:rsidRDefault="004B2E7C" w:rsidP="00FF2D21">
      <w:pPr>
        <w:pStyle w:val="aa"/>
        <w:numPr>
          <w:ilvl w:val="0"/>
          <w:numId w:val="97"/>
        </w:numPr>
        <w:rPr>
          <w:rtl/>
        </w:rPr>
      </w:pPr>
      <w:r w:rsidRPr="00937E79">
        <w:rPr>
          <w:rFonts w:cs="Arial"/>
          <w:rtl/>
        </w:rPr>
        <w:t xml:space="preserve">ריב"ש </w:t>
      </w:r>
      <w:r w:rsidRPr="00396903">
        <w:rPr>
          <w:rFonts w:cs="Arial"/>
          <w:sz w:val="16"/>
          <w:szCs w:val="16"/>
          <w:rtl/>
        </w:rPr>
        <w:t>(סו"ס קא)</w:t>
      </w:r>
      <w:r w:rsidRPr="00396903">
        <w:rPr>
          <w:rFonts w:cs="Arial" w:hint="cs"/>
          <w:rtl/>
        </w:rPr>
        <w:t xml:space="preserve"> </w:t>
      </w:r>
      <w:r>
        <w:rPr>
          <w:rFonts w:cs="Arial" w:hint="cs"/>
          <w:rtl/>
        </w:rPr>
        <w:t xml:space="preserve">ורשב"ץ </w:t>
      </w:r>
      <w:r w:rsidRPr="00396903">
        <w:rPr>
          <w:rFonts w:cs="Arial"/>
          <w:sz w:val="16"/>
          <w:szCs w:val="16"/>
          <w:rtl/>
        </w:rPr>
        <w:t>(ח"א סי' כא)</w:t>
      </w:r>
      <w:r>
        <w:rPr>
          <w:rFonts w:cs="Arial" w:hint="cs"/>
          <w:rtl/>
        </w:rPr>
        <w:t xml:space="preserve">- </w:t>
      </w:r>
      <w:r w:rsidRPr="00937E79">
        <w:rPr>
          <w:rFonts w:cs="Arial"/>
          <w:rtl/>
        </w:rPr>
        <w:t xml:space="preserve">כיון שע"ג בהמה איכא איסור אפילו תוך התחום וברגליו ליכא איסור תוך התחום </w:t>
      </w:r>
      <w:r>
        <w:rPr>
          <w:rFonts w:cs="Arial" w:hint="cs"/>
          <w:rtl/>
        </w:rPr>
        <w:t xml:space="preserve">- </w:t>
      </w:r>
      <w:r w:rsidRPr="00937E79">
        <w:rPr>
          <w:rFonts w:cs="Arial"/>
          <w:rtl/>
        </w:rPr>
        <w:t>טוב לו שילך ברגליו בעוד שהוא בתוך התחום</w:t>
      </w:r>
      <w:r>
        <w:rPr>
          <w:rFonts w:cs="Arial" w:hint="cs"/>
          <w:rtl/>
        </w:rPr>
        <w:t>,</w:t>
      </w:r>
      <w:r w:rsidRPr="00937E79">
        <w:rPr>
          <w:rFonts w:cs="Arial"/>
          <w:rtl/>
        </w:rPr>
        <w:t xml:space="preserve"> אא</w:t>
      </w:r>
      <w:r>
        <w:rPr>
          <w:rFonts w:cs="Arial" w:hint="cs"/>
          <w:rtl/>
        </w:rPr>
        <w:t>"</w:t>
      </w:r>
      <w:r w:rsidRPr="00937E79">
        <w:rPr>
          <w:rFonts w:cs="Arial"/>
          <w:rtl/>
        </w:rPr>
        <w:t>כ איכא סכנה כגון שלא יוכל ללכת לרגל השיירא וישאר שם במקום סכנה</w:t>
      </w:r>
      <w:r>
        <w:rPr>
          <w:rFonts w:cs="Arial" w:hint="cs"/>
          <w:sz w:val="16"/>
          <w:szCs w:val="16"/>
          <w:rtl/>
        </w:rPr>
        <w:t xml:space="preserve"> (ל' הריב"ש)</w:t>
      </w:r>
      <w:r>
        <w:rPr>
          <w:rFonts w:cs="Arial" w:hint="cs"/>
          <w:rtl/>
        </w:rPr>
        <w:t>.</w:t>
      </w:r>
      <w:r w:rsidRPr="00937E79">
        <w:rPr>
          <w:rFonts w:cs="Arial"/>
          <w:rtl/>
        </w:rPr>
        <w:t xml:space="preserve"> </w:t>
      </w:r>
      <w:r w:rsidRPr="009B440C">
        <w:rPr>
          <w:rFonts w:hint="cs"/>
          <w:color w:val="00B0F0"/>
          <w:rtl/>
        </w:rPr>
        <w:t>(וכ"פ הרמ"א)</w:t>
      </w:r>
    </w:p>
    <w:p w14:paraId="1A7C335A" w14:textId="77777777" w:rsidR="004B2E7C" w:rsidRDefault="004B2E7C" w:rsidP="00FF2D21">
      <w:pPr>
        <w:pStyle w:val="aa"/>
        <w:numPr>
          <w:ilvl w:val="0"/>
          <w:numId w:val="97"/>
        </w:numPr>
      </w:pPr>
      <w:r w:rsidRPr="00937E79">
        <w:rPr>
          <w:rFonts w:cs="Arial"/>
          <w:rtl/>
        </w:rPr>
        <w:t xml:space="preserve">רשב"ש </w:t>
      </w:r>
      <w:r w:rsidRPr="00E51F8E">
        <w:rPr>
          <w:rFonts w:cs="Arial" w:hint="cs"/>
          <w:sz w:val="16"/>
          <w:szCs w:val="16"/>
          <w:rtl/>
        </w:rPr>
        <w:t>(</w:t>
      </w:r>
      <w:r w:rsidRPr="00E51F8E">
        <w:rPr>
          <w:rFonts w:cs="Arial"/>
          <w:sz w:val="16"/>
          <w:szCs w:val="16"/>
          <w:rtl/>
        </w:rPr>
        <w:t xml:space="preserve">סי' תח, </w:t>
      </w:r>
      <w:r w:rsidRPr="00E51F8E">
        <w:rPr>
          <w:rFonts w:cs="Arial" w:hint="cs"/>
          <w:sz w:val="16"/>
          <w:szCs w:val="16"/>
          <w:rtl/>
        </w:rPr>
        <w:t xml:space="preserve">וסי' </w:t>
      </w:r>
      <w:r w:rsidRPr="00E51F8E">
        <w:rPr>
          <w:rFonts w:cs="Arial"/>
          <w:sz w:val="16"/>
          <w:szCs w:val="16"/>
          <w:rtl/>
        </w:rPr>
        <w:t>תכב</w:t>
      </w:r>
      <w:r w:rsidRPr="00E51F8E">
        <w:rPr>
          <w:rFonts w:cs="Arial" w:hint="cs"/>
          <w:sz w:val="16"/>
          <w:szCs w:val="16"/>
          <w:rtl/>
        </w:rPr>
        <w:t>, הביאו הב"י בבדה"ב</w:t>
      </w:r>
      <w:r w:rsidRPr="00E51F8E">
        <w:rPr>
          <w:rFonts w:cs="Arial"/>
          <w:sz w:val="16"/>
          <w:szCs w:val="16"/>
          <w:rtl/>
        </w:rPr>
        <w:t>)</w:t>
      </w:r>
      <w:r>
        <w:rPr>
          <w:rFonts w:cs="Arial" w:hint="cs"/>
          <w:rtl/>
        </w:rPr>
        <w:t>-</w:t>
      </w:r>
      <w:r w:rsidRPr="00937E79">
        <w:rPr>
          <w:rFonts w:cs="Arial"/>
          <w:rtl/>
        </w:rPr>
        <w:t xml:space="preserve"> מה שהתירו לילך בשבת במקום סכנה </w:t>
      </w:r>
      <w:r>
        <w:rPr>
          <w:rFonts w:cs="Arial" w:hint="cs"/>
          <w:rtl/>
        </w:rPr>
        <w:t xml:space="preserve">- </w:t>
      </w:r>
      <w:r w:rsidRPr="00937E79">
        <w:rPr>
          <w:rFonts w:cs="Arial"/>
          <w:rtl/>
        </w:rPr>
        <w:t>דוקא על רגליו אם יכול</w:t>
      </w:r>
      <w:r>
        <w:rPr>
          <w:rFonts w:cs="Arial" w:hint="cs"/>
          <w:rtl/>
        </w:rPr>
        <w:t>,</w:t>
      </w:r>
      <w:r w:rsidRPr="00937E79">
        <w:rPr>
          <w:rFonts w:cs="Arial"/>
          <w:rtl/>
        </w:rPr>
        <w:t xml:space="preserve"> ולא לרכוב</w:t>
      </w:r>
      <w:r>
        <w:rPr>
          <w:rFonts w:cs="Arial" w:hint="cs"/>
          <w:rtl/>
        </w:rPr>
        <w:t>,</w:t>
      </w:r>
      <w:r w:rsidRPr="00937E79">
        <w:rPr>
          <w:rFonts w:cs="Arial"/>
          <w:rtl/>
        </w:rPr>
        <w:t xml:space="preserve"> דרכוב כמהלך </w:t>
      </w:r>
      <w:r w:rsidRPr="00E51F8E">
        <w:rPr>
          <w:rFonts w:cs="Arial"/>
          <w:sz w:val="16"/>
          <w:szCs w:val="16"/>
          <w:rtl/>
        </w:rPr>
        <w:t>(קידושין לג:)</w:t>
      </w:r>
      <w:r>
        <w:rPr>
          <w:rFonts w:cs="Arial" w:hint="cs"/>
          <w:rtl/>
        </w:rPr>
        <w:t xml:space="preserve">, </w:t>
      </w:r>
      <w:r w:rsidRPr="00937E79">
        <w:rPr>
          <w:rFonts w:cs="Arial"/>
          <w:rtl/>
        </w:rPr>
        <w:t>ויש יותר איסור ברכיבה</w:t>
      </w:r>
      <w:r>
        <w:rPr>
          <w:rFonts w:cs="Arial" w:hint="cs"/>
          <w:rtl/>
        </w:rPr>
        <w:t>.</w:t>
      </w:r>
      <w:r w:rsidRPr="00937E79">
        <w:rPr>
          <w:rFonts w:cs="Arial"/>
          <w:rtl/>
        </w:rPr>
        <w:t xml:space="preserve"> </w:t>
      </w:r>
    </w:p>
    <w:p w14:paraId="29CAC58F" w14:textId="77777777" w:rsidR="004B2E7C" w:rsidRPr="00396903" w:rsidRDefault="004B2E7C" w:rsidP="00434A6A">
      <w:pPr>
        <w:ind w:left="360"/>
        <w:rPr>
          <w:u w:val="dotted"/>
        </w:rPr>
      </w:pPr>
      <w:r w:rsidRPr="00396903">
        <w:rPr>
          <w:rFonts w:hint="cs"/>
          <w:u w:val="dotted"/>
          <w:rtl/>
        </w:rPr>
        <w:t xml:space="preserve">ומה הדין אם </w:t>
      </w:r>
      <w:r>
        <w:rPr>
          <w:rFonts w:hint="cs"/>
          <w:u w:val="dotted"/>
          <w:rtl/>
        </w:rPr>
        <w:t>צריך</w:t>
      </w:r>
      <w:r w:rsidRPr="00396903">
        <w:rPr>
          <w:rFonts w:hint="cs"/>
          <w:u w:val="dotted"/>
          <w:rtl/>
        </w:rPr>
        <w:t xml:space="preserve"> </w:t>
      </w:r>
      <w:r>
        <w:rPr>
          <w:rFonts w:hint="cs"/>
          <w:u w:val="dotted"/>
          <w:rtl/>
        </w:rPr>
        <w:t xml:space="preserve">להגיע </w:t>
      </w:r>
      <w:r w:rsidRPr="00396903">
        <w:rPr>
          <w:rFonts w:hint="cs"/>
          <w:u w:val="dotted"/>
          <w:rtl/>
        </w:rPr>
        <w:t>חוץ לתחו</w:t>
      </w:r>
      <w:r>
        <w:rPr>
          <w:rFonts w:hint="cs"/>
          <w:u w:val="dotted"/>
          <w:rtl/>
        </w:rPr>
        <w:t>מו</w:t>
      </w:r>
      <w:r w:rsidRPr="00396903">
        <w:rPr>
          <w:rFonts w:hint="cs"/>
          <w:u w:val="dotted"/>
          <w:rtl/>
        </w:rPr>
        <w:t>:</w:t>
      </w:r>
    </w:p>
    <w:p w14:paraId="6309CBD3" w14:textId="77777777" w:rsidR="004B2E7C" w:rsidRPr="00701169" w:rsidRDefault="004B2E7C" w:rsidP="00FF2D21">
      <w:pPr>
        <w:pStyle w:val="aa"/>
        <w:numPr>
          <w:ilvl w:val="0"/>
          <w:numId w:val="97"/>
        </w:numPr>
      </w:pPr>
      <w:r>
        <w:rPr>
          <w:rFonts w:cs="Arial" w:hint="cs"/>
          <w:rtl/>
        </w:rPr>
        <w:t>תרוה"ד</w:t>
      </w:r>
      <w:r w:rsidRPr="00937E79">
        <w:rPr>
          <w:rFonts w:cs="Arial"/>
          <w:rtl/>
        </w:rPr>
        <w:t xml:space="preserve"> </w:t>
      </w:r>
      <w:r w:rsidRPr="00E51F8E">
        <w:rPr>
          <w:rFonts w:cs="Arial" w:hint="cs"/>
          <w:sz w:val="16"/>
          <w:szCs w:val="16"/>
          <w:rtl/>
        </w:rPr>
        <w:t>(</w:t>
      </w:r>
      <w:r>
        <w:rPr>
          <w:rFonts w:cs="Arial" w:hint="cs"/>
          <w:sz w:val="16"/>
          <w:szCs w:val="16"/>
          <w:rtl/>
        </w:rPr>
        <w:t>פסקים וכתבים</w:t>
      </w:r>
      <w:r w:rsidRPr="00E51F8E">
        <w:rPr>
          <w:rFonts w:cs="Arial"/>
          <w:sz w:val="16"/>
          <w:szCs w:val="16"/>
          <w:rtl/>
        </w:rPr>
        <w:t xml:space="preserve"> סי</w:t>
      </w:r>
      <w:r w:rsidRPr="00E51F8E">
        <w:rPr>
          <w:rFonts w:cs="Arial" w:hint="cs"/>
          <w:sz w:val="16"/>
          <w:szCs w:val="16"/>
          <w:rtl/>
        </w:rPr>
        <w:t>'</w:t>
      </w:r>
      <w:r w:rsidRPr="00E51F8E">
        <w:rPr>
          <w:rFonts w:cs="Arial"/>
          <w:sz w:val="16"/>
          <w:szCs w:val="16"/>
          <w:rtl/>
        </w:rPr>
        <w:t xml:space="preserve"> סא</w:t>
      </w:r>
      <w:r w:rsidRPr="00E51F8E">
        <w:rPr>
          <w:rFonts w:cs="Arial" w:hint="cs"/>
          <w:sz w:val="16"/>
          <w:szCs w:val="16"/>
          <w:rtl/>
        </w:rPr>
        <w:t>)</w:t>
      </w:r>
      <w:r>
        <w:rPr>
          <w:rFonts w:cs="Arial" w:hint="cs"/>
          <w:rtl/>
        </w:rPr>
        <w:t>-</w:t>
      </w:r>
      <w:r w:rsidRPr="00937E79">
        <w:rPr>
          <w:rFonts w:cs="Arial"/>
          <w:rtl/>
        </w:rPr>
        <w:t xml:space="preserve"> ועוד אומר מהר"י</w:t>
      </w:r>
      <w:r>
        <w:rPr>
          <w:rFonts w:cs="Arial" w:hint="cs"/>
          <w:rtl/>
        </w:rPr>
        <w:t xml:space="preserve"> כ"ץ</w:t>
      </w:r>
      <w:r w:rsidRPr="00937E79">
        <w:rPr>
          <w:rFonts w:cs="Arial"/>
          <w:rtl/>
        </w:rPr>
        <w:t xml:space="preserve"> ששמע ממורי ז"ל שטוב יותר לרכוב חוץ לתחום מלהלוך ברגל</w:t>
      </w:r>
      <w:r>
        <w:rPr>
          <w:rFonts w:cs="Arial" w:hint="cs"/>
          <w:rtl/>
        </w:rPr>
        <w:t>,</w:t>
      </w:r>
      <w:r w:rsidRPr="00937E79">
        <w:rPr>
          <w:rFonts w:cs="Arial"/>
          <w:rtl/>
        </w:rPr>
        <w:t xml:space="preserve"> דשימוש בעלי חיים לכולי עלמא דרבנן</w:t>
      </w:r>
      <w:r>
        <w:rPr>
          <w:rFonts w:cs="Arial" w:hint="cs"/>
          <w:rtl/>
        </w:rPr>
        <w:t>.</w:t>
      </w:r>
      <w:r w:rsidRPr="00937E79">
        <w:rPr>
          <w:rFonts w:cs="Arial"/>
          <w:rtl/>
        </w:rPr>
        <w:t xml:space="preserve"> והקשיתי לו מאותם שלוו המת וכעס עליהם רבינו תם אף על ההולכים ברגל</w:t>
      </w:r>
      <w:r>
        <w:rPr>
          <w:rFonts w:cs="Arial" w:hint="cs"/>
          <w:rtl/>
        </w:rPr>
        <w:t>,</w:t>
      </w:r>
      <w:r w:rsidRPr="00937E79">
        <w:rPr>
          <w:rFonts w:cs="Arial"/>
          <w:rtl/>
        </w:rPr>
        <w:t xml:space="preserve"> משמע דהולכי רגל קיל טפי מדקאמר אף וכו'</w:t>
      </w:r>
      <w:r>
        <w:rPr>
          <w:rFonts w:cs="Arial" w:hint="cs"/>
          <w:rtl/>
        </w:rPr>
        <w:t>.</w:t>
      </w:r>
      <w:r w:rsidRPr="00937E79">
        <w:rPr>
          <w:rFonts w:cs="Arial"/>
          <w:rtl/>
        </w:rPr>
        <w:t xml:space="preserve"> </w:t>
      </w:r>
    </w:p>
    <w:p w14:paraId="09DD456F" w14:textId="77777777" w:rsidR="004B2E7C" w:rsidRDefault="004B2E7C" w:rsidP="00FF2D21">
      <w:pPr>
        <w:pStyle w:val="aa"/>
        <w:numPr>
          <w:ilvl w:val="0"/>
          <w:numId w:val="97"/>
        </w:numPr>
      </w:pPr>
      <w:r>
        <w:rPr>
          <w:rFonts w:cs="Arial" w:hint="cs"/>
          <w:rtl/>
        </w:rPr>
        <w:t xml:space="preserve">ב"י- </w:t>
      </w:r>
      <w:r w:rsidRPr="00937E79">
        <w:rPr>
          <w:rFonts w:cs="Arial"/>
          <w:rtl/>
        </w:rPr>
        <w:t>אפשר לומר שטוב לרכוב מלילך על רגליו מדאיבעיא לן (עירובין מג.) אם יש תחומין למעלה מעשרה ולא איפשיטא</w:t>
      </w:r>
      <w:r>
        <w:rPr>
          <w:rFonts w:cs="Arial" w:hint="cs"/>
          <w:rtl/>
        </w:rPr>
        <w:t>,</w:t>
      </w:r>
      <w:r w:rsidRPr="00937E79">
        <w:rPr>
          <w:rFonts w:cs="Arial"/>
          <w:rtl/>
        </w:rPr>
        <w:t xml:space="preserve"> ולדעת כמה פוסקים נקטינן לקולא כמבואר בסימן ת"ד</w:t>
      </w:r>
      <w:r>
        <w:rPr>
          <w:rFonts w:cs="Arial" w:hint="cs"/>
          <w:rtl/>
        </w:rPr>
        <w:t>.</w:t>
      </w:r>
      <w:r w:rsidRPr="00937E79">
        <w:rPr>
          <w:rFonts w:cs="Arial"/>
          <w:rtl/>
        </w:rPr>
        <w:t xml:space="preserve"> והרוכב על גבי בהמה הוא למעלה מי'</w:t>
      </w:r>
      <w:r>
        <w:rPr>
          <w:rFonts w:cs="Arial" w:hint="cs"/>
          <w:rtl/>
        </w:rPr>
        <w:t>.</w:t>
      </w:r>
      <w:r w:rsidRPr="00937E79">
        <w:rPr>
          <w:rFonts w:cs="Arial"/>
          <w:rtl/>
        </w:rPr>
        <w:t xml:space="preserve"> ואע</w:t>
      </w:r>
      <w:r>
        <w:rPr>
          <w:rFonts w:cs="Arial" w:hint="cs"/>
          <w:rtl/>
        </w:rPr>
        <w:t>"</w:t>
      </w:r>
      <w:r w:rsidRPr="00937E79">
        <w:rPr>
          <w:rFonts w:cs="Arial"/>
          <w:rtl/>
        </w:rPr>
        <w:t>פ שעובר על גזירת רבנן דאין רוכבין על גבי בהמה, על איסור תחומין דהוו דאורייתא אליבא דמאן דאמר מיהא לא עבר</w:t>
      </w:r>
      <w:r>
        <w:rPr>
          <w:rFonts w:cs="Arial" w:hint="cs"/>
          <w:rtl/>
        </w:rPr>
        <w:t>,</w:t>
      </w:r>
      <w:r w:rsidRPr="00937E79">
        <w:rPr>
          <w:rFonts w:cs="Arial"/>
          <w:rtl/>
        </w:rPr>
        <w:t xml:space="preserve"> ואם ילך ברגליו יעבור אדאורייתא</w:t>
      </w:r>
      <w:r>
        <w:rPr>
          <w:rStyle w:val="a9"/>
          <w:rFonts w:cs="Arial"/>
          <w:rtl/>
        </w:rPr>
        <w:footnoteReference w:id="741"/>
      </w:r>
      <w:r>
        <w:rPr>
          <w:rFonts w:cs="Arial" w:hint="cs"/>
          <w:rtl/>
        </w:rPr>
        <w:t>.</w:t>
      </w:r>
      <w:r w:rsidRPr="00937E79">
        <w:rPr>
          <w:rFonts w:cs="Arial"/>
          <w:rtl/>
        </w:rPr>
        <w:t xml:space="preserve"> </w:t>
      </w:r>
      <w:r w:rsidRPr="009B440C">
        <w:rPr>
          <w:rFonts w:hint="cs"/>
          <w:color w:val="00B0F0"/>
          <w:rtl/>
        </w:rPr>
        <w:t>(וכ"פ הרמ"א)</w:t>
      </w:r>
    </w:p>
    <w:p w14:paraId="08BD5665" w14:textId="77777777" w:rsidR="004B2E7C" w:rsidRPr="00701169" w:rsidRDefault="004B2E7C" w:rsidP="00FF2D21">
      <w:pPr>
        <w:pStyle w:val="aa"/>
        <w:numPr>
          <w:ilvl w:val="0"/>
          <w:numId w:val="97"/>
        </w:numPr>
      </w:pPr>
      <w:r w:rsidRPr="00937E79">
        <w:rPr>
          <w:rFonts w:cs="Arial"/>
          <w:rtl/>
        </w:rPr>
        <w:t>הגמ</w:t>
      </w:r>
      <w:r>
        <w:rPr>
          <w:rFonts w:cs="Arial" w:hint="cs"/>
          <w:rtl/>
        </w:rPr>
        <w:t>"</w:t>
      </w:r>
      <w:r w:rsidRPr="00937E79">
        <w:rPr>
          <w:rFonts w:cs="Arial"/>
          <w:rtl/>
        </w:rPr>
        <w:t xml:space="preserve">ר </w:t>
      </w:r>
      <w:r>
        <w:rPr>
          <w:rFonts w:cs="Arial" w:hint="cs"/>
          <w:rtl/>
        </w:rPr>
        <w:t>(</w:t>
      </w:r>
      <w:r w:rsidRPr="00937E79">
        <w:rPr>
          <w:rFonts w:cs="Arial"/>
          <w:rtl/>
        </w:rPr>
        <w:t>פ</w:t>
      </w:r>
      <w:r>
        <w:rPr>
          <w:rFonts w:cs="Arial" w:hint="cs"/>
          <w:rtl/>
        </w:rPr>
        <w:t>"</w:t>
      </w:r>
      <w:r w:rsidRPr="00937E79">
        <w:rPr>
          <w:rFonts w:cs="Arial"/>
          <w:rtl/>
        </w:rPr>
        <w:t>ק דעירובין לט ע"ג)</w:t>
      </w:r>
      <w:r>
        <w:rPr>
          <w:rFonts w:cs="Arial" w:hint="cs"/>
          <w:rtl/>
        </w:rPr>
        <w:t xml:space="preserve">- </w:t>
      </w:r>
      <w:r w:rsidRPr="00937E79">
        <w:rPr>
          <w:rFonts w:cs="Arial"/>
          <w:rtl/>
        </w:rPr>
        <w:t>ברוכב נמי איכא איסור תחומין והביא ראיה מדאמר אלישע אחר לרבי מאיר (חגיגה טו.) חזור בך ששיערתי בטלפי סוסי עד כאן תחום שבת והשיב לו רבי מאיר ואתה מה תהא עליך</w:t>
      </w:r>
      <w:r>
        <w:rPr>
          <w:rStyle w:val="a9"/>
          <w:rFonts w:cs="Arial"/>
          <w:rtl/>
        </w:rPr>
        <w:footnoteReference w:id="742"/>
      </w:r>
      <w:r>
        <w:rPr>
          <w:rFonts w:cs="Arial" w:hint="cs"/>
          <w:rtl/>
        </w:rPr>
        <w:t>.</w:t>
      </w:r>
    </w:p>
    <w:p w14:paraId="62A81477" w14:textId="77777777" w:rsidR="004B2E7C" w:rsidRPr="00D03CEA" w:rsidRDefault="004B2E7C" w:rsidP="00434A6A">
      <w:pPr>
        <w:ind w:left="360"/>
        <w:rPr>
          <w:u w:val="dotted"/>
        </w:rPr>
      </w:pPr>
      <w:r w:rsidRPr="00D03CEA">
        <w:rPr>
          <w:rFonts w:hint="cs"/>
          <w:u w:val="dotted"/>
          <w:rtl/>
        </w:rPr>
        <w:t>ומה הדין אם יושב בקרון:</w:t>
      </w:r>
    </w:p>
    <w:p w14:paraId="652606C6" w14:textId="77777777" w:rsidR="004B2E7C" w:rsidRPr="00701169" w:rsidRDefault="004B2E7C" w:rsidP="00FF2D21">
      <w:pPr>
        <w:pStyle w:val="aa"/>
        <w:numPr>
          <w:ilvl w:val="0"/>
          <w:numId w:val="97"/>
        </w:numPr>
      </w:pPr>
      <w:r>
        <w:rPr>
          <w:rFonts w:cs="Arial" w:hint="cs"/>
          <w:rtl/>
        </w:rPr>
        <w:t xml:space="preserve">ב"י- </w:t>
      </w:r>
      <w:r w:rsidRPr="00937E79">
        <w:rPr>
          <w:rFonts w:cs="Arial"/>
          <w:rtl/>
        </w:rPr>
        <w:t>אם הולך בקרון</w:t>
      </w:r>
      <w:r>
        <w:rPr>
          <w:rFonts w:cs="Arial" w:hint="cs"/>
          <w:rtl/>
        </w:rPr>
        <w:t>,</w:t>
      </w:r>
      <w:r w:rsidRPr="00937E79">
        <w:rPr>
          <w:rFonts w:cs="Arial"/>
          <w:rtl/>
        </w:rPr>
        <w:t xml:space="preserve"> כל שהוא רחב ד' אף על פי שהוא גבוה י' או יותר</w:t>
      </w:r>
      <w:r>
        <w:rPr>
          <w:rFonts w:cs="Arial" w:hint="cs"/>
          <w:rtl/>
        </w:rPr>
        <w:t xml:space="preserve">, </w:t>
      </w:r>
      <w:r w:rsidRPr="00937E79">
        <w:rPr>
          <w:rFonts w:cs="Arial"/>
          <w:rtl/>
        </w:rPr>
        <w:t>כארעא סמיכתא היא</w:t>
      </w:r>
      <w:r>
        <w:rPr>
          <w:rFonts w:cs="Arial" w:hint="cs"/>
          <w:rtl/>
        </w:rPr>
        <w:t>,</w:t>
      </w:r>
      <w:r w:rsidRPr="00937E79">
        <w:rPr>
          <w:rFonts w:cs="Arial"/>
          <w:rtl/>
        </w:rPr>
        <w:t xml:space="preserve"> ואית ביה איסור תחומין לכולי עלמא אם יוצא חוץ לתחום</w:t>
      </w:r>
      <w:r>
        <w:rPr>
          <w:rFonts w:cs="Arial" w:hint="cs"/>
          <w:rtl/>
        </w:rPr>
        <w:t>,</w:t>
      </w:r>
      <w:r w:rsidRPr="00937E79">
        <w:rPr>
          <w:rFonts w:cs="Arial"/>
          <w:rtl/>
        </w:rPr>
        <w:t xml:space="preserve"> כדאמרינן בריש פרק מי שהוציאוהו (עירובין מג.) גבי עמוד</w:t>
      </w:r>
      <w:r>
        <w:rPr>
          <w:rFonts w:cs="Arial" w:hint="cs"/>
          <w:rtl/>
        </w:rPr>
        <w:t>.</w:t>
      </w:r>
      <w:r w:rsidRPr="00937E79">
        <w:rPr>
          <w:rFonts w:cs="Arial"/>
          <w:rtl/>
        </w:rPr>
        <w:t xml:space="preserve"> וכן כתב הריטב"א שם (מג:), הילכך כיון דאיכא תרי איסורי איסור תחומין ואיסור משתמש בבעלי חיים ירד וילך על רגליו. </w:t>
      </w:r>
    </w:p>
    <w:p w14:paraId="7EDEC932"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3D97940" w14:textId="77777777" w:rsidR="004B2E7C" w:rsidRDefault="004B2E7C" w:rsidP="00434A6A">
      <w:pPr>
        <w:rPr>
          <w:rFonts w:asciiTheme="minorBidi" w:hAnsiTheme="minorBidi"/>
          <w:rtl/>
        </w:rPr>
      </w:pPr>
      <w:r w:rsidRPr="00CC2350">
        <w:rPr>
          <w:rFonts w:asciiTheme="minorBidi" w:hAnsiTheme="minorBidi" w:cs="Arial"/>
          <w:rtl/>
        </w:rPr>
        <w:t xml:space="preserve">אם אין עמו </w:t>
      </w:r>
      <w:r>
        <w:rPr>
          <w:rFonts w:asciiTheme="minorBidi" w:hAnsiTheme="minorBidi" w:cs="Arial" w:hint="cs"/>
          <w:rtl/>
        </w:rPr>
        <w:t>גוי</w:t>
      </w:r>
      <w:r>
        <w:rPr>
          <w:rStyle w:val="a9"/>
          <w:rFonts w:asciiTheme="minorBidi" w:hAnsiTheme="minorBidi" w:cs="Arial"/>
          <w:rtl/>
        </w:rPr>
        <w:footnoteReference w:id="743"/>
      </w:r>
      <w:r w:rsidRPr="00CC2350">
        <w:rPr>
          <w:rFonts w:asciiTheme="minorBidi" w:hAnsiTheme="minorBidi" w:cs="Arial"/>
          <w:rtl/>
        </w:rPr>
        <w:t>, מניחו על חמורו, וכדי שלא יהא חייב משום</w:t>
      </w:r>
      <w:r>
        <w:rPr>
          <w:rStyle w:val="a9"/>
          <w:rFonts w:asciiTheme="minorBidi" w:hAnsiTheme="minorBidi" w:cs="Arial"/>
          <w:rtl/>
        </w:rPr>
        <w:footnoteReference w:id="744"/>
      </w:r>
      <w:r w:rsidRPr="00CC2350">
        <w:rPr>
          <w:rFonts w:asciiTheme="minorBidi" w:hAnsiTheme="minorBidi" w:cs="Arial"/>
          <w:rtl/>
        </w:rPr>
        <w:t xml:space="preserve"> מחמר</w:t>
      </w:r>
      <w:r>
        <w:rPr>
          <w:rStyle w:val="a9"/>
          <w:rFonts w:asciiTheme="minorBidi" w:hAnsiTheme="minorBidi" w:cs="Arial"/>
          <w:rtl/>
        </w:rPr>
        <w:footnoteReference w:id="745"/>
      </w:r>
      <w:r w:rsidRPr="00CC2350">
        <w:rPr>
          <w:rFonts w:asciiTheme="minorBidi" w:hAnsiTheme="minorBidi" w:cs="Arial"/>
          <w:rtl/>
        </w:rPr>
        <w:t xml:space="preserve"> אי איכא עקירה והנחה מניחו לאחר שעקרה יד ורגל ללכת, דלאו עקירה היא, וכשהיא עומדת נוטל הימנה ולאחר שתחזור ותעקור רגלה יניחנו</w:t>
      </w:r>
      <w:r>
        <w:rPr>
          <w:rStyle w:val="a9"/>
          <w:rFonts w:asciiTheme="minorBidi" w:hAnsiTheme="minorBidi" w:cs="Arial"/>
          <w:rtl/>
        </w:rPr>
        <w:footnoteReference w:id="746"/>
      </w:r>
      <w:r>
        <w:rPr>
          <w:rFonts w:asciiTheme="minorBidi" w:hAnsiTheme="minorBidi" w:cs="Arial" w:hint="cs"/>
          <w:rtl/>
        </w:rPr>
        <w:t>.</w:t>
      </w:r>
      <w:r w:rsidRPr="00CC2350">
        <w:rPr>
          <w:rFonts w:asciiTheme="minorBidi" w:hAnsiTheme="minorBidi" w:cs="Arial"/>
          <w:rtl/>
        </w:rPr>
        <w:t xml:space="preserve"> וי</w:t>
      </w:r>
      <w:r>
        <w:rPr>
          <w:rFonts w:asciiTheme="minorBidi" w:hAnsiTheme="minorBidi" w:cs="Arial" w:hint="cs"/>
          <w:rtl/>
        </w:rPr>
        <w:t xml:space="preserve">ש </w:t>
      </w:r>
      <w:r w:rsidRPr="00CC2350">
        <w:rPr>
          <w:rFonts w:asciiTheme="minorBidi" w:hAnsiTheme="minorBidi" w:cs="Arial"/>
          <w:rtl/>
        </w:rPr>
        <w:t>א</w:t>
      </w:r>
      <w:r>
        <w:rPr>
          <w:rFonts w:asciiTheme="minorBidi" w:hAnsiTheme="minorBidi" w:cs="Arial" w:hint="cs"/>
          <w:rtl/>
        </w:rPr>
        <w:t>ומרים</w:t>
      </w:r>
      <w:r w:rsidRPr="00CC2350">
        <w:rPr>
          <w:rFonts w:asciiTheme="minorBidi" w:hAnsiTheme="minorBidi" w:cs="Arial"/>
          <w:rtl/>
        </w:rPr>
        <w:t xml:space="preserve"> שצריך ליזהר מלהנהיגה בקול רם כל זמן שהכיס עליה. </w:t>
      </w:r>
      <w:r w:rsidRPr="00A02E31">
        <w:rPr>
          <w:rFonts w:asciiTheme="minorBidi" w:hAnsiTheme="minorBidi" w:cs="Arial"/>
          <w:sz w:val="18"/>
          <w:szCs w:val="18"/>
          <w:rtl/>
        </w:rPr>
        <w:t>הגה: והוא לא ירכב על החמור, אלא ילך ברגליו. ואם הוא צריך לצאת חוץ לתחום מפני שמתיירא מן הלסטים, או שאר סכנה ואפילו הוא תוך התחום</w:t>
      </w:r>
      <w:r>
        <w:rPr>
          <w:rStyle w:val="a9"/>
          <w:rFonts w:asciiTheme="minorBidi" w:hAnsiTheme="minorBidi" w:cs="Arial"/>
          <w:sz w:val="18"/>
          <w:szCs w:val="18"/>
          <w:rtl/>
        </w:rPr>
        <w:footnoteReference w:id="747"/>
      </w:r>
      <w:r w:rsidRPr="00A02E31">
        <w:rPr>
          <w:rFonts w:asciiTheme="minorBidi" w:hAnsiTheme="minorBidi" w:cs="Arial"/>
          <w:sz w:val="18"/>
          <w:szCs w:val="18"/>
          <w:rtl/>
        </w:rPr>
        <w:t>, יכול לישב על החמור ולרכוב (ריב"ש וב"י בשם תשב"ץ).</w:t>
      </w:r>
      <w:r w:rsidRPr="00CC2350">
        <w:rPr>
          <w:rFonts w:asciiTheme="minorBidi" w:hAnsiTheme="minorBidi" w:cs="Arial"/>
          <w:rtl/>
        </w:rPr>
        <w:t xml:space="preserve"> </w:t>
      </w:r>
    </w:p>
    <w:p w14:paraId="090D7048" w14:textId="77777777" w:rsidR="004B2E7C" w:rsidRPr="00CC2350" w:rsidRDefault="004B2E7C" w:rsidP="00434A6A">
      <w:pPr>
        <w:rPr>
          <w:rFonts w:asciiTheme="minorBidi" w:hAnsiTheme="minorBidi"/>
          <w:rtl/>
        </w:rPr>
      </w:pPr>
    </w:p>
    <w:p w14:paraId="63994070" w14:textId="77777777" w:rsidR="004B2E7C" w:rsidRDefault="004B2E7C" w:rsidP="00434A6A">
      <w:pPr>
        <w:pStyle w:val="2"/>
        <w:rPr>
          <w:rtl/>
        </w:rPr>
      </w:pPr>
      <w:r w:rsidRPr="00CC2350">
        <w:rPr>
          <w:rtl/>
        </w:rPr>
        <w:t>סעיף ג</w:t>
      </w:r>
      <w:r>
        <w:rPr>
          <w:rFonts w:hint="cs"/>
          <w:rtl/>
        </w:rPr>
        <w:t>:</w:t>
      </w:r>
      <w:r w:rsidRPr="003373D2">
        <w:rPr>
          <w:rtl/>
        </w:rPr>
        <w:t xml:space="preserve"> </w:t>
      </w:r>
      <w:r w:rsidRPr="00BA4E2A">
        <w:rPr>
          <w:rtl/>
        </w:rPr>
        <w:t>הי</w:t>
      </w:r>
      <w:r>
        <w:rPr>
          <w:rFonts w:hint="cs"/>
          <w:rtl/>
        </w:rPr>
        <w:t>ו</w:t>
      </w:r>
      <w:r w:rsidRPr="00BA4E2A">
        <w:rPr>
          <w:rtl/>
        </w:rPr>
        <w:t xml:space="preserve"> עמו חמור וחרש </w:t>
      </w:r>
      <w:r>
        <w:rPr>
          <w:rFonts w:hint="cs"/>
          <w:rtl/>
        </w:rPr>
        <w:t>ו</w:t>
      </w:r>
      <w:r w:rsidRPr="00BA4E2A">
        <w:rPr>
          <w:rtl/>
        </w:rPr>
        <w:t>שוטה וקטן</w:t>
      </w:r>
      <w:r>
        <w:rPr>
          <w:rFonts w:hint="cs"/>
          <w:rtl/>
        </w:rPr>
        <w:t>.</w:t>
      </w:r>
    </w:p>
    <w:p w14:paraId="0949F111" w14:textId="77777777" w:rsidR="004B2E7C" w:rsidRPr="003373D2" w:rsidRDefault="004B2E7C" w:rsidP="00434A6A">
      <w:pPr>
        <w:rPr>
          <w:rtl/>
        </w:rPr>
      </w:pPr>
      <w:r w:rsidRPr="00565331">
        <w:rPr>
          <w:rFonts w:cs="Arial" w:hint="cs"/>
          <w:b/>
          <w:bCs/>
          <w:rtl/>
        </w:rPr>
        <w:t xml:space="preserve">שבת </w:t>
      </w:r>
      <w:r w:rsidRPr="00762875">
        <w:rPr>
          <w:rFonts w:cs="Arial" w:hint="cs"/>
          <w:b/>
          <w:bCs/>
          <w:sz w:val="16"/>
          <w:szCs w:val="16"/>
          <w:rtl/>
        </w:rPr>
        <w:t>(</w:t>
      </w:r>
      <w:r>
        <w:rPr>
          <w:rFonts w:cs="Arial" w:hint="cs"/>
          <w:b/>
          <w:bCs/>
          <w:sz w:val="16"/>
          <w:szCs w:val="16"/>
          <w:rtl/>
        </w:rPr>
        <w:t>ר"פ מי שהחשיך</w:t>
      </w:r>
      <w:r w:rsidRPr="00762875">
        <w:rPr>
          <w:rFonts w:cs="Arial" w:hint="cs"/>
          <w:b/>
          <w:bCs/>
          <w:sz w:val="16"/>
          <w:szCs w:val="16"/>
          <w:rtl/>
        </w:rPr>
        <w:t xml:space="preserve">) </w:t>
      </w:r>
      <w:r>
        <w:rPr>
          <w:rFonts w:cs="Arial" w:hint="cs"/>
          <w:b/>
          <w:bCs/>
          <w:rtl/>
        </w:rPr>
        <w:t>קנג</w:t>
      </w:r>
      <w:r w:rsidRPr="00565331">
        <w:rPr>
          <w:rFonts w:cs="Arial" w:hint="cs"/>
          <w:b/>
          <w:bCs/>
          <w:rtl/>
        </w:rPr>
        <w:t xml:space="preserve"> ע"</w:t>
      </w:r>
      <w:r>
        <w:rPr>
          <w:rFonts w:cs="Arial" w:hint="cs"/>
          <w:b/>
          <w:bCs/>
          <w:rtl/>
        </w:rPr>
        <w:t>א</w:t>
      </w:r>
      <w:r w:rsidRPr="00565331">
        <w:rPr>
          <w:rFonts w:cs="Arial" w:hint="cs"/>
          <w:b/>
          <w:bCs/>
          <w:rtl/>
        </w:rPr>
        <w:t>:</w:t>
      </w:r>
      <w:r>
        <w:rPr>
          <w:rFonts w:cs="Arial" w:hint="cs"/>
          <w:rtl/>
        </w:rPr>
        <w:t xml:space="preserve"> </w:t>
      </w:r>
      <w:r w:rsidRPr="00421772">
        <w:rPr>
          <w:rFonts w:cs="Arial"/>
          <w:u w:val="double"/>
          <w:rtl/>
        </w:rPr>
        <w:t>משנה</w:t>
      </w:r>
      <w:r>
        <w:rPr>
          <w:rFonts w:cs="Arial" w:hint="cs"/>
          <w:rtl/>
        </w:rPr>
        <w:t>:</w:t>
      </w:r>
      <w:r w:rsidRPr="00672B81">
        <w:rPr>
          <w:rFonts w:cs="Arial"/>
          <w:rtl/>
        </w:rPr>
        <w:t xml:space="preserve"> מי שהחשיך בדרך - נותן כיסו לנכרי, ואם אין עמו נכרי - מניחו על החמור.</w:t>
      </w:r>
      <w:r>
        <w:rPr>
          <w:rFonts w:cs="Arial" w:hint="cs"/>
          <w:rtl/>
        </w:rPr>
        <w:t>.</w:t>
      </w:r>
      <w:r w:rsidRPr="00672B81">
        <w:rPr>
          <w:rFonts w:cs="Arial"/>
          <w:rtl/>
        </w:rPr>
        <w:t xml:space="preserve">. </w:t>
      </w:r>
      <w:r>
        <w:rPr>
          <w:rFonts w:cs="Arial" w:hint="cs"/>
          <w:rtl/>
        </w:rPr>
        <w:t xml:space="preserve">  </w:t>
      </w:r>
      <w:r w:rsidRPr="007966FB">
        <w:rPr>
          <w:rFonts w:cs="Arial"/>
          <w:u w:val="double"/>
          <w:rtl/>
        </w:rPr>
        <w:t>גמרא</w:t>
      </w:r>
      <w:r>
        <w:rPr>
          <w:rFonts w:cs="Arial" w:hint="cs"/>
          <w:rtl/>
        </w:rPr>
        <w:t>:</w:t>
      </w:r>
      <w:r w:rsidRPr="00672B81">
        <w:rPr>
          <w:rFonts w:cs="Arial"/>
          <w:rtl/>
        </w:rPr>
        <w:t xml:space="preserve"> </w:t>
      </w:r>
      <w:r w:rsidRPr="003373D2">
        <w:rPr>
          <w:rFonts w:cs="Arial"/>
          <w:rtl/>
        </w:rPr>
        <w:t>חמור וחרש שוטה וקטן - אחמור מנח ליה, לחרש שוטה וקטן לא יהיב ליה. מאי טעמא - הני אדם, האי - לאו אדם. חרש ושוטה - לשוטה, שוטה וקטן - לשוטה. איבעיא להו: חרש וקטן מאי?</w:t>
      </w:r>
      <w:r>
        <w:rPr>
          <w:rFonts w:cs="Arial" w:hint="cs"/>
          <w:rtl/>
        </w:rPr>
        <w:t>...</w:t>
      </w:r>
      <w:r>
        <w:rPr>
          <w:rFonts w:cs="Arial" w:hint="cs"/>
          <w:sz w:val="14"/>
          <w:szCs w:val="14"/>
          <w:rtl/>
        </w:rPr>
        <w:t xml:space="preserve"> (קנג:)</w:t>
      </w:r>
      <w:r w:rsidRPr="003373D2">
        <w:rPr>
          <w:rtl/>
        </w:rPr>
        <w:t xml:space="preserve"> </w:t>
      </w:r>
      <w:r w:rsidRPr="003373D2">
        <w:rPr>
          <w:rFonts w:cs="Arial"/>
          <w:rtl/>
        </w:rPr>
        <w:t>לחרש יהיב ליה - דקטן אתי לכלל דעת, או דילמא: לקטן יהיב ליה, דחרש אתי לאחלופי בגדול פיקח? איכא דאמרי: לחרש יהיב ליה, איכא דאמרי: לקטן יהיב ליה.</w:t>
      </w:r>
      <w:r w:rsidRPr="00F62218">
        <w:rPr>
          <w:rFonts w:cs="Arial" w:hint="cs"/>
          <w:sz w:val="16"/>
          <w:szCs w:val="16"/>
          <w:rtl/>
        </w:rPr>
        <w:t xml:space="preserve"> (</w:t>
      </w:r>
      <w:r w:rsidRPr="00F62218">
        <w:rPr>
          <w:rFonts w:cs="Arial"/>
          <w:sz w:val="16"/>
          <w:szCs w:val="16"/>
          <w:rtl/>
        </w:rPr>
        <w:t>וכתבו הרי"ף (סו.) והרא"ש (סי' א) דכיון דלא איפסיקא הלכתא בהדיא</w:t>
      </w:r>
      <w:r w:rsidRPr="00F62218">
        <w:rPr>
          <w:rFonts w:cs="Arial" w:hint="cs"/>
          <w:sz w:val="16"/>
          <w:szCs w:val="16"/>
          <w:rtl/>
        </w:rPr>
        <w:t>-</w:t>
      </w:r>
      <w:r w:rsidRPr="00F62218">
        <w:rPr>
          <w:rFonts w:cs="Arial"/>
          <w:sz w:val="16"/>
          <w:szCs w:val="16"/>
          <w:rtl/>
        </w:rPr>
        <w:t xml:space="preserve"> דעבד כי האי לישנא עבד ודעבד כי האי לישנא עבד וכן פסק הרמב"ם בפרק כ' (ה"ז)</w:t>
      </w:r>
      <w:r>
        <w:rPr>
          <w:rFonts w:cs="Arial" w:hint="cs"/>
          <w:sz w:val="16"/>
          <w:szCs w:val="16"/>
          <w:rtl/>
        </w:rPr>
        <w:t>, ב"י)</w:t>
      </w:r>
    </w:p>
    <w:p w14:paraId="74B1CD9F" w14:textId="77777777" w:rsidR="004B2E7C" w:rsidRPr="003373D2" w:rsidRDefault="004B2E7C" w:rsidP="00434A6A">
      <w:pPr>
        <w:rPr>
          <w:u w:val="single"/>
          <w:rtl/>
        </w:rPr>
      </w:pPr>
      <w:r w:rsidRPr="003373D2">
        <w:rPr>
          <w:rFonts w:cs="Arial"/>
          <w:u w:val="single"/>
          <w:rtl/>
        </w:rPr>
        <w:t>הי</w:t>
      </w:r>
      <w:r w:rsidRPr="003373D2">
        <w:rPr>
          <w:rFonts w:hint="cs"/>
          <w:u w:val="single"/>
          <w:rtl/>
        </w:rPr>
        <w:t>ו</w:t>
      </w:r>
      <w:r w:rsidRPr="003373D2">
        <w:rPr>
          <w:rFonts w:cs="Arial"/>
          <w:u w:val="single"/>
          <w:rtl/>
        </w:rPr>
        <w:t xml:space="preserve"> עמו חמור וחרש </w:t>
      </w:r>
      <w:r w:rsidRPr="003373D2">
        <w:rPr>
          <w:rFonts w:hint="cs"/>
          <w:u w:val="single"/>
          <w:rtl/>
        </w:rPr>
        <w:t>ו</w:t>
      </w:r>
      <w:r w:rsidRPr="003373D2">
        <w:rPr>
          <w:rFonts w:cs="Arial"/>
          <w:u w:val="single"/>
          <w:rtl/>
        </w:rPr>
        <w:t>שוטה וקטן</w:t>
      </w:r>
      <w:r w:rsidRPr="003373D2">
        <w:rPr>
          <w:rFonts w:hint="cs"/>
          <w:u w:val="single"/>
          <w:rtl/>
        </w:rPr>
        <w:t>:</w:t>
      </w:r>
    </w:p>
    <w:p w14:paraId="642A52A8" w14:textId="77777777" w:rsidR="004B2E7C" w:rsidRPr="00F62218" w:rsidRDefault="004B2E7C" w:rsidP="00FF2D21">
      <w:pPr>
        <w:pStyle w:val="aa"/>
        <w:numPr>
          <w:ilvl w:val="0"/>
          <w:numId w:val="93"/>
        </w:numPr>
      </w:pPr>
      <w:r>
        <w:rPr>
          <w:rFonts w:cs="Arial" w:hint="cs"/>
          <w:rtl/>
        </w:rPr>
        <w:t xml:space="preserve">טור- </w:t>
      </w:r>
      <w:r w:rsidRPr="00BA4E2A">
        <w:rPr>
          <w:rFonts w:cs="Arial"/>
          <w:rtl/>
        </w:rPr>
        <w:t>היה עמו חמור וחרש שוטה וקטן יניחנו על החמור ולא יתננו לאחד מאלו כיון שהם אדם כמותו</w:t>
      </w:r>
      <w:r>
        <w:rPr>
          <w:rFonts w:cs="Arial" w:hint="cs"/>
          <w:rtl/>
        </w:rPr>
        <w:t>.</w:t>
      </w:r>
      <w:r w:rsidRPr="00BA4E2A">
        <w:rPr>
          <w:rFonts w:cs="Arial"/>
          <w:rtl/>
        </w:rPr>
        <w:t xml:space="preserve"> היה עם חרש ושוטה</w:t>
      </w:r>
      <w:r>
        <w:rPr>
          <w:rFonts w:cs="Arial" w:hint="cs"/>
          <w:rtl/>
        </w:rPr>
        <w:t>,</w:t>
      </w:r>
      <w:r w:rsidRPr="00BA4E2A">
        <w:rPr>
          <w:rFonts w:cs="Arial"/>
          <w:rtl/>
        </w:rPr>
        <w:t xml:space="preserve"> יתננו לשוטה</w:t>
      </w:r>
      <w:r>
        <w:rPr>
          <w:rFonts w:cs="Arial" w:hint="cs"/>
          <w:rtl/>
        </w:rPr>
        <w:t>,</w:t>
      </w:r>
      <w:r w:rsidRPr="00BA4E2A">
        <w:rPr>
          <w:rFonts w:cs="Arial"/>
          <w:rtl/>
        </w:rPr>
        <w:t xml:space="preserve"> לפי שאין לו דעת כלל</w:t>
      </w:r>
      <w:r>
        <w:rPr>
          <w:rFonts w:cs="Arial" w:hint="cs"/>
          <w:rtl/>
        </w:rPr>
        <w:t>.</w:t>
      </w:r>
      <w:r w:rsidRPr="00BA4E2A">
        <w:rPr>
          <w:rFonts w:cs="Arial"/>
          <w:rtl/>
        </w:rPr>
        <w:t xml:space="preserve"> שוטה וקטן</w:t>
      </w:r>
      <w:r>
        <w:rPr>
          <w:rFonts w:cs="Arial" w:hint="cs"/>
          <w:rtl/>
        </w:rPr>
        <w:t>,</w:t>
      </w:r>
      <w:r w:rsidRPr="00BA4E2A">
        <w:rPr>
          <w:rFonts w:cs="Arial"/>
          <w:rtl/>
        </w:rPr>
        <w:t xml:space="preserve"> יתננו לשוטה שהקטן יבא לכלל דעת</w:t>
      </w:r>
      <w:r>
        <w:rPr>
          <w:rFonts w:cs="Arial" w:hint="cs"/>
          <w:rtl/>
        </w:rPr>
        <w:t>.</w:t>
      </w:r>
      <w:r w:rsidRPr="00BA4E2A">
        <w:rPr>
          <w:rFonts w:cs="Arial"/>
          <w:rtl/>
        </w:rPr>
        <w:t xml:space="preserve"> חרש וקטן</w:t>
      </w:r>
      <w:r>
        <w:rPr>
          <w:rFonts w:cs="Arial" w:hint="cs"/>
          <w:rtl/>
        </w:rPr>
        <w:t>,</w:t>
      </w:r>
      <w:r w:rsidRPr="00BA4E2A">
        <w:rPr>
          <w:rFonts w:cs="Arial"/>
          <w:rtl/>
        </w:rPr>
        <w:t xml:space="preserve"> יתננו למי שירצה</w:t>
      </w:r>
      <w:r>
        <w:rPr>
          <w:rFonts w:cs="Arial" w:hint="cs"/>
          <w:rtl/>
        </w:rPr>
        <w:t>.</w:t>
      </w:r>
      <w:r w:rsidRPr="00BA4E2A">
        <w:rPr>
          <w:rFonts w:cs="Arial"/>
          <w:rtl/>
        </w:rPr>
        <w:t xml:space="preserve"> </w:t>
      </w:r>
      <w:r w:rsidRPr="00A163AF">
        <w:rPr>
          <w:rFonts w:hint="cs"/>
          <w:color w:val="E36C0A" w:themeColor="accent6" w:themeShade="BF"/>
          <w:rtl/>
        </w:rPr>
        <w:t>(וכ"</w:t>
      </w:r>
      <w:r>
        <w:rPr>
          <w:rFonts w:hint="cs"/>
          <w:color w:val="E36C0A" w:themeColor="accent6" w:themeShade="BF"/>
          <w:rtl/>
        </w:rPr>
        <w:t>פ</w:t>
      </w:r>
      <w:r w:rsidRPr="00A163AF">
        <w:rPr>
          <w:rFonts w:hint="cs"/>
          <w:color w:val="E36C0A" w:themeColor="accent6" w:themeShade="BF"/>
          <w:rtl/>
        </w:rPr>
        <w:t xml:space="preserve"> בשו"ע</w:t>
      </w:r>
      <w:r>
        <w:rPr>
          <w:rFonts w:hint="cs"/>
          <w:color w:val="E36C0A" w:themeColor="accent6" w:themeShade="BF"/>
          <w:sz w:val="16"/>
          <w:szCs w:val="16"/>
          <w:rtl/>
        </w:rPr>
        <w:t xml:space="preserve"> </w:t>
      </w:r>
      <w:r w:rsidRPr="00ED6053">
        <w:rPr>
          <w:rFonts w:hint="cs"/>
          <w:color w:val="000000" w:themeColor="text1"/>
          <w:sz w:val="16"/>
          <w:szCs w:val="16"/>
          <w:rtl/>
        </w:rPr>
        <w:t>[כאן ובסע' ד-ו]</w:t>
      </w:r>
      <w:r w:rsidRPr="00A163AF">
        <w:rPr>
          <w:rFonts w:hint="cs"/>
          <w:color w:val="E36C0A" w:themeColor="accent6" w:themeShade="BF"/>
          <w:rtl/>
        </w:rPr>
        <w:t>)</w:t>
      </w:r>
    </w:p>
    <w:p w14:paraId="46B1E7A6" w14:textId="77777777" w:rsidR="004B2E7C" w:rsidRPr="00ED6053" w:rsidRDefault="004B2E7C" w:rsidP="00434A6A">
      <w:pPr>
        <w:ind w:left="360"/>
        <w:rPr>
          <w:u w:val="dotted"/>
        </w:rPr>
      </w:pPr>
      <w:r w:rsidRPr="00ED6053">
        <w:rPr>
          <w:rFonts w:cs="Arial"/>
          <w:u w:val="dotted"/>
          <w:rtl/>
        </w:rPr>
        <w:t>כשהוא נותנו לאחד מאלו –</w:t>
      </w:r>
      <w:r w:rsidRPr="00ED6053">
        <w:rPr>
          <w:rFonts w:cs="Arial" w:hint="cs"/>
          <w:u w:val="dotted"/>
          <w:rtl/>
        </w:rPr>
        <w:t xml:space="preserve"> האם צריך להניח כשהוא </w:t>
      </w:r>
      <w:r w:rsidRPr="00ED6053">
        <w:rPr>
          <w:rFonts w:cs="Arial"/>
          <w:u w:val="dotted"/>
          <w:rtl/>
        </w:rPr>
        <w:t>מהלך</w:t>
      </w:r>
      <w:r w:rsidRPr="00ED6053">
        <w:rPr>
          <w:rFonts w:cs="Arial" w:hint="cs"/>
          <w:u w:val="dotted"/>
          <w:rtl/>
        </w:rPr>
        <w:t xml:space="preserve">/ליטול </w:t>
      </w:r>
      <w:r w:rsidRPr="00ED6053">
        <w:rPr>
          <w:rFonts w:cs="Arial"/>
          <w:u w:val="dotted"/>
          <w:rtl/>
        </w:rPr>
        <w:t>כשהוא עומד</w:t>
      </w:r>
      <w:r>
        <w:rPr>
          <w:rFonts w:cs="Arial" w:hint="cs"/>
          <w:sz w:val="16"/>
          <w:szCs w:val="16"/>
          <w:u w:val="dotted"/>
          <w:rtl/>
        </w:rPr>
        <w:t xml:space="preserve"> (כמו בבהמה)</w:t>
      </w:r>
      <w:r w:rsidRPr="00ED6053">
        <w:rPr>
          <w:rFonts w:cs="Arial" w:hint="cs"/>
          <w:u w:val="dotted"/>
          <w:rtl/>
        </w:rPr>
        <w:t>:</w:t>
      </w:r>
    </w:p>
    <w:p w14:paraId="3210A55F" w14:textId="77777777" w:rsidR="004B2E7C" w:rsidRPr="00BA4E2A" w:rsidRDefault="004B2E7C" w:rsidP="00FF2D21">
      <w:pPr>
        <w:pStyle w:val="aa"/>
        <w:numPr>
          <w:ilvl w:val="0"/>
          <w:numId w:val="93"/>
        </w:numPr>
        <w:rPr>
          <w:rtl/>
        </w:rPr>
      </w:pPr>
      <w:r w:rsidRPr="00F62218">
        <w:rPr>
          <w:rFonts w:cs="Arial"/>
          <w:rtl/>
        </w:rPr>
        <w:t xml:space="preserve">רמב"ן </w:t>
      </w:r>
      <w:r w:rsidRPr="00F62218">
        <w:rPr>
          <w:rFonts w:cs="Arial"/>
          <w:sz w:val="16"/>
          <w:szCs w:val="16"/>
          <w:rtl/>
        </w:rPr>
        <w:t xml:space="preserve">(חי' קנג. ד"ה חמור) </w:t>
      </w:r>
      <w:r w:rsidRPr="00F62218">
        <w:rPr>
          <w:rFonts w:cs="Arial"/>
          <w:rtl/>
        </w:rPr>
        <w:t xml:space="preserve">רשב"א </w:t>
      </w:r>
      <w:r w:rsidRPr="00F62218">
        <w:rPr>
          <w:rFonts w:cs="Arial"/>
          <w:sz w:val="16"/>
          <w:szCs w:val="16"/>
          <w:rtl/>
        </w:rPr>
        <w:t>(חי' קנג: ד"ה כשהיא מהלכת)</w:t>
      </w:r>
      <w:r>
        <w:rPr>
          <w:rFonts w:cs="Arial" w:hint="cs"/>
          <w:rtl/>
        </w:rPr>
        <w:t xml:space="preserve"> ור"ן </w:t>
      </w:r>
      <w:r>
        <w:rPr>
          <w:rFonts w:cs="Arial" w:hint="cs"/>
          <w:sz w:val="16"/>
          <w:szCs w:val="16"/>
          <w:rtl/>
        </w:rPr>
        <w:t>(סו. מדפה"ר ד"ה איכא)</w:t>
      </w:r>
      <w:r>
        <w:rPr>
          <w:rFonts w:cs="Arial" w:hint="cs"/>
          <w:rtl/>
        </w:rPr>
        <w:t>-</w:t>
      </w:r>
      <w:r w:rsidRPr="00F62218">
        <w:rPr>
          <w:rFonts w:cs="Arial"/>
          <w:rtl/>
        </w:rPr>
        <w:t xml:space="preserve"> כשהוא נותנו לאחד מאלו מניחו עליו כשהוא מהלך ונוטלו ממנו כשהוא עומד</w:t>
      </w:r>
      <w:r w:rsidRPr="00F62218">
        <w:rPr>
          <w:rFonts w:cs="Arial" w:hint="cs"/>
          <w:rtl/>
        </w:rPr>
        <w:t>,</w:t>
      </w:r>
      <w:r w:rsidRPr="00F62218">
        <w:rPr>
          <w:rFonts w:cs="Arial"/>
          <w:rtl/>
        </w:rPr>
        <w:t xml:space="preserve"> הא לאו הכי אסור</w:t>
      </w:r>
      <w:r w:rsidRPr="00F62218">
        <w:rPr>
          <w:rFonts w:cs="Arial" w:hint="cs"/>
          <w:rtl/>
        </w:rPr>
        <w:t>,</w:t>
      </w:r>
      <w:r w:rsidRPr="00F62218">
        <w:rPr>
          <w:rFonts w:cs="Arial"/>
          <w:rtl/>
        </w:rPr>
        <w:t xml:space="preserve"> דלא גרע מבהמה</w:t>
      </w:r>
      <w:r w:rsidRPr="00F62218">
        <w:rPr>
          <w:rFonts w:cs="Arial" w:hint="cs"/>
          <w:rtl/>
        </w:rPr>
        <w:t>.</w:t>
      </w:r>
      <w:r w:rsidRPr="00F62218">
        <w:rPr>
          <w:rFonts w:cs="Arial"/>
          <w:rtl/>
        </w:rPr>
        <w:t xml:space="preserve"> ואסור הוא להאכילו בידים</w:t>
      </w:r>
      <w:r>
        <w:rPr>
          <w:rStyle w:val="a9"/>
          <w:rFonts w:cs="Arial"/>
          <w:rtl/>
        </w:rPr>
        <w:footnoteReference w:id="748"/>
      </w:r>
      <w:r>
        <w:rPr>
          <w:rFonts w:cs="Arial" w:hint="cs"/>
          <w:sz w:val="16"/>
          <w:szCs w:val="16"/>
          <w:rtl/>
        </w:rPr>
        <w:t xml:space="preserve"> (ל' הה"מ בשם הרמב"ן והרשב"א)</w:t>
      </w:r>
      <w:r w:rsidRPr="00F62218">
        <w:rPr>
          <w:rFonts w:cs="Arial" w:hint="cs"/>
          <w:rtl/>
        </w:rPr>
        <w:t>.</w:t>
      </w:r>
    </w:p>
    <w:p w14:paraId="43A4EDBA"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940C599" w14:textId="77777777" w:rsidR="004B2E7C" w:rsidRDefault="004B2E7C" w:rsidP="00434A6A">
      <w:pPr>
        <w:rPr>
          <w:rFonts w:asciiTheme="minorBidi" w:hAnsiTheme="minorBidi"/>
          <w:rtl/>
        </w:rPr>
      </w:pPr>
      <w:r w:rsidRPr="00CC2350">
        <w:rPr>
          <w:rFonts w:asciiTheme="minorBidi" w:hAnsiTheme="minorBidi" w:cs="Arial"/>
          <w:rtl/>
        </w:rPr>
        <w:t xml:space="preserve">היה עמו חמורו וחרש שוטה וקטן, יניחנו על החמור ולא יתננה לאחד מאלו. </w:t>
      </w:r>
    </w:p>
    <w:p w14:paraId="34E94DEF" w14:textId="77777777" w:rsidR="004B2E7C" w:rsidRPr="00CC2350" w:rsidRDefault="004B2E7C" w:rsidP="00434A6A">
      <w:pPr>
        <w:rPr>
          <w:rFonts w:asciiTheme="minorBidi" w:hAnsiTheme="minorBidi"/>
          <w:rtl/>
        </w:rPr>
      </w:pPr>
    </w:p>
    <w:p w14:paraId="755F8B02" w14:textId="77777777" w:rsidR="004B2E7C" w:rsidRDefault="004B2E7C" w:rsidP="00434A6A">
      <w:pPr>
        <w:pStyle w:val="2"/>
        <w:rPr>
          <w:rtl/>
        </w:rPr>
      </w:pPr>
      <w:r w:rsidRPr="00CC2350">
        <w:rPr>
          <w:rtl/>
        </w:rPr>
        <w:t>סעיף ד</w:t>
      </w:r>
      <w:r>
        <w:rPr>
          <w:rFonts w:hint="cs"/>
          <w:rtl/>
        </w:rPr>
        <w:t>:</w:t>
      </w:r>
      <w:r w:rsidRPr="00ED6053">
        <w:rPr>
          <w:rFonts w:asciiTheme="minorBidi" w:hAnsiTheme="minorBidi"/>
          <w:rtl/>
        </w:rPr>
        <w:t xml:space="preserve"> </w:t>
      </w:r>
      <w:r w:rsidRPr="00CC2350">
        <w:rPr>
          <w:rFonts w:asciiTheme="minorBidi" w:hAnsiTheme="minorBidi"/>
          <w:rtl/>
        </w:rPr>
        <w:t>היה עמו חרש ושוטה</w:t>
      </w:r>
      <w:r>
        <w:rPr>
          <w:rFonts w:hint="cs"/>
          <w:rtl/>
        </w:rPr>
        <w:t>.</w:t>
      </w:r>
    </w:p>
    <w:p w14:paraId="6D64CCFA" w14:textId="77777777" w:rsidR="004B2E7C" w:rsidRPr="00F62218" w:rsidRDefault="004B2E7C" w:rsidP="00434A6A">
      <w:pPr>
        <w:rPr>
          <w:rtl/>
        </w:rPr>
      </w:pPr>
      <w:r>
        <w:rPr>
          <w:rFonts w:hint="cs"/>
          <w:rtl/>
        </w:rPr>
        <w:t>עיין במקורות בסעיף ג.</w:t>
      </w:r>
    </w:p>
    <w:p w14:paraId="4F187966"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8F60B27" w14:textId="77777777" w:rsidR="004B2E7C" w:rsidRDefault="004B2E7C" w:rsidP="00434A6A">
      <w:pPr>
        <w:rPr>
          <w:rFonts w:asciiTheme="minorBidi" w:hAnsiTheme="minorBidi"/>
          <w:rtl/>
        </w:rPr>
      </w:pPr>
      <w:r w:rsidRPr="00CC2350">
        <w:rPr>
          <w:rFonts w:asciiTheme="minorBidi" w:hAnsiTheme="minorBidi" w:cs="Arial"/>
          <w:rtl/>
        </w:rPr>
        <w:t xml:space="preserve">היה עמו חרש ושוטה, יתננו לשוטה לפי שאין לו דעת כלל. </w:t>
      </w:r>
    </w:p>
    <w:p w14:paraId="1216D3DA" w14:textId="77777777" w:rsidR="004B2E7C" w:rsidRPr="00CC2350" w:rsidRDefault="004B2E7C" w:rsidP="00434A6A">
      <w:pPr>
        <w:rPr>
          <w:rFonts w:asciiTheme="minorBidi" w:hAnsiTheme="minorBidi"/>
          <w:rtl/>
        </w:rPr>
      </w:pPr>
    </w:p>
    <w:p w14:paraId="10CA0F44" w14:textId="77777777" w:rsidR="004B2E7C" w:rsidRDefault="004B2E7C" w:rsidP="00434A6A">
      <w:pPr>
        <w:pStyle w:val="2"/>
        <w:rPr>
          <w:rtl/>
        </w:rPr>
      </w:pPr>
      <w:r w:rsidRPr="00CC2350">
        <w:rPr>
          <w:rtl/>
        </w:rPr>
        <w:t>סעיף ה</w:t>
      </w:r>
      <w:r>
        <w:rPr>
          <w:rFonts w:hint="cs"/>
          <w:rtl/>
        </w:rPr>
        <w:t>: היו עמו שוטה וקטן או חרש וקטן.</w:t>
      </w:r>
    </w:p>
    <w:p w14:paraId="32B8589B" w14:textId="77777777" w:rsidR="004B2E7C" w:rsidRPr="00F62218" w:rsidRDefault="004B2E7C" w:rsidP="00434A6A">
      <w:pPr>
        <w:rPr>
          <w:rtl/>
        </w:rPr>
      </w:pPr>
      <w:r>
        <w:rPr>
          <w:rFonts w:hint="cs"/>
          <w:rtl/>
        </w:rPr>
        <w:t>עיין במקורות בסעיף ג.</w:t>
      </w:r>
    </w:p>
    <w:p w14:paraId="652BEEEC"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179D1E9" w14:textId="77777777" w:rsidR="004B2E7C" w:rsidRDefault="004B2E7C" w:rsidP="00434A6A">
      <w:pPr>
        <w:rPr>
          <w:rFonts w:asciiTheme="minorBidi" w:hAnsiTheme="minorBidi"/>
          <w:rtl/>
        </w:rPr>
      </w:pPr>
      <w:r w:rsidRPr="00CC2350">
        <w:rPr>
          <w:rFonts w:asciiTheme="minorBidi" w:hAnsiTheme="minorBidi" w:cs="Arial"/>
          <w:rtl/>
        </w:rPr>
        <w:t xml:space="preserve">שוטה וקטן, יתננו לשוטה שהקטן יבא לכלל דעת. חרש וקטן, יתננו למי שירצה. </w:t>
      </w:r>
    </w:p>
    <w:p w14:paraId="1976D35B" w14:textId="77777777" w:rsidR="004B2E7C" w:rsidRPr="00CC2350" w:rsidRDefault="004B2E7C" w:rsidP="00434A6A">
      <w:pPr>
        <w:rPr>
          <w:rFonts w:asciiTheme="minorBidi" w:hAnsiTheme="minorBidi"/>
          <w:rtl/>
        </w:rPr>
      </w:pPr>
    </w:p>
    <w:p w14:paraId="7E96F943" w14:textId="77777777" w:rsidR="004B2E7C" w:rsidRDefault="004B2E7C" w:rsidP="00434A6A">
      <w:pPr>
        <w:pStyle w:val="2"/>
        <w:rPr>
          <w:rtl/>
        </w:rPr>
      </w:pPr>
      <w:r w:rsidRPr="00CC2350">
        <w:rPr>
          <w:rtl/>
        </w:rPr>
        <w:t>סעיף ו</w:t>
      </w:r>
      <w:r>
        <w:rPr>
          <w:rFonts w:hint="cs"/>
          <w:rtl/>
        </w:rPr>
        <w:t>: היו עמו חרש/שוטה/קטן, האם צריך להניח בהליכה וליטול לפני עמידה.</w:t>
      </w:r>
    </w:p>
    <w:p w14:paraId="00E569D1" w14:textId="77777777" w:rsidR="004B2E7C" w:rsidRPr="00F62218" w:rsidRDefault="004B2E7C" w:rsidP="00434A6A">
      <w:pPr>
        <w:rPr>
          <w:rtl/>
        </w:rPr>
      </w:pPr>
      <w:r>
        <w:rPr>
          <w:rFonts w:hint="cs"/>
          <w:rtl/>
        </w:rPr>
        <w:t>עיין במקורות בסעיף ג.</w:t>
      </w:r>
    </w:p>
    <w:p w14:paraId="7C192EBE"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D233B96" w14:textId="77777777" w:rsidR="004B2E7C" w:rsidRDefault="004B2E7C" w:rsidP="00434A6A">
      <w:pPr>
        <w:rPr>
          <w:rFonts w:asciiTheme="minorBidi" w:hAnsiTheme="minorBidi"/>
          <w:rtl/>
        </w:rPr>
      </w:pPr>
      <w:r w:rsidRPr="00CC2350">
        <w:rPr>
          <w:rFonts w:asciiTheme="minorBidi" w:hAnsiTheme="minorBidi" w:cs="Arial"/>
          <w:rtl/>
        </w:rPr>
        <w:t>וי</w:t>
      </w:r>
      <w:r>
        <w:rPr>
          <w:rFonts w:asciiTheme="minorBidi" w:hAnsiTheme="minorBidi" w:cs="Arial" w:hint="cs"/>
          <w:rtl/>
        </w:rPr>
        <w:t xml:space="preserve">ש </w:t>
      </w:r>
      <w:r w:rsidRPr="00CC2350">
        <w:rPr>
          <w:rFonts w:asciiTheme="minorBidi" w:hAnsiTheme="minorBidi" w:cs="Arial"/>
          <w:rtl/>
        </w:rPr>
        <w:t>א</w:t>
      </w:r>
      <w:r>
        <w:rPr>
          <w:rFonts w:asciiTheme="minorBidi" w:hAnsiTheme="minorBidi" w:cs="Arial" w:hint="cs"/>
          <w:rtl/>
        </w:rPr>
        <w:t>ומרים</w:t>
      </w:r>
      <w:r w:rsidRPr="00CC2350">
        <w:rPr>
          <w:rFonts w:asciiTheme="minorBidi" w:hAnsiTheme="minorBidi" w:cs="Arial"/>
          <w:rtl/>
        </w:rPr>
        <w:t xml:space="preserve"> שכשנותנו לאחד מאלו מניחו עליו כשהוא מהלך ונוטלו ממנו כשהוא עומד</w:t>
      </w:r>
      <w:r>
        <w:rPr>
          <w:rStyle w:val="a9"/>
          <w:rFonts w:asciiTheme="minorBidi" w:hAnsiTheme="minorBidi" w:cs="Arial"/>
          <w:rtl/>
        </w:rPr>
        <w:footnoteReference w:id="749"/>
      </w:r>
      <w:r w:rsidRPr="00CC2350">
        <w:rPr>
          <w:rFonts w:asciiTheme="minorBidi" w:hAnsiTheme="minorBidi" w:cs="Arial"/>
          <w:rtl/>
        </w:rPr>
        <w:t xml:space="preserve">. </w:t>
      </w:r>
      <w:r w:rsidRPr="00F62218">
        <w:rPr>
          <w:rFonts w:asciiTheme="minorBidi" w:hAnsiTheme="minorBidi" w:cs="Arial"/>
          <w:sz w:val="18"/>
          <w:szCs w:val="18"/>
          <w:rtl/>
        </w:rPr>
        <w:t>הגה: ודוקא כשנותן להם משחשכה, אבל כשנותן להם מבע</w:t>
      </w:r>
      <w:r>
        <w:rPr>
          <w:rFonts w:asciiTheme="minorBidi" w:hAnsiTheme="minorBidi" w:cs="Arial" w:hint="cs"/>
          <w:sz w:val="18"/>
          <w:szCs w:val="18"/>
          <w:rtl/>
        </w:rPr>
        <w:t>ו</w:t>
      </w:r>
      <w:r w:rsidRPr="00F62218">
        <w:rPr>
          <w:rFonts w:asciiTheme="minorBidi" w:hAnsiTheme="minorBidi" w:cs="Arial"/>
          <w:sz w:val="18"/>
          <w:szCs w:val="18"/>
          <w:rtl/>
        </w:rPr>
        <w:t>"י, מותר בכל ענין</w:t>
      </w:r>
      <w:r>
        <w:rPr>
          <w:rStyle w:val="a9"/>
          <w:rFonts w:asciiTheme="minorBidi" w:hAnsiTheme="minorBidi" w:cs="Arial"/>
          <w:sz w:val="18"/>
          <w:szCs w:val="18"/>
          <w:rtl/>
        </w:rPr>
        <w:footnoteReference w:id="750"/>
      </w:r>
      <w:r w:rsidRPr="00F62218">
        <w:rPr>
          <w:rFonts w:asciiTheme="minorBidi" w:hAnsiTheme="minorBidi" w:cs="Arial"/>
          <w:sz w:val="18"/>
          <w:szCs w:val="18"/>
          <w:rtl/>
        </w:rPr>
        <w:t>.</w:t>
      </w:r>
      <w:r w:rsidRPr="00CC2350">
        <w:rPr>
          <w:rFonts w:asciiTheme="minorBidi" w:hAnsiTheme="minorBidi" w:cs="Arial"/>
          <w:rtl/>
        </w:rPr>
        <w:t xml:space="preserve"> </w:t>
      </w:r>
    </w:p>
    <w:p w14:paraId="7BB1EBF0" w14:textId="77777777" w:rsidR="004B2E7C" w:rsidRPr="00CC2350" w:rsidRDefault="004B2E7C" w:rsidP="00434A6A">
      <w:pPr>
        <w:rPr>
          <w:rFonts w:asciiTheme="minorBidi" w:hAnsiTheme="minorBidi"/>
          <w:rtl/>
        </w:rPr>
      </w:pPr>
    </w:p>
    <w:p w14:paraId="73B55F87" w14:textId="77777777" w:rsidR="004B2E7C" w:rsidRDefault="004B2E7C" w:rsidP="00434A6A">
      <w:pPr>
        <w:pStyle w:val="2"/>
        <w:rPr>
          <w:rtl/>
        </w:rPr>
      </w:pPr>
      <w:r w:rsidRPr="00CC2350">
        <w:rPr>
          <w:rtl/>
        </w:rPr>
        <w:t>סעיף ז</w:t>
      </w:r>
      <w:r>
        <w:rPr>
          <w:rFonts w:hint="cs"/>
          <w:rtl/>
        </w:rPr>
        <w:t>:</w:t>
      </w:r>
      <w:r w:rsidRPr="006054E0">
        <w:rPr>
          <w:rtl/>
        </w:rPr>
        <w:t xml:space="preserve"> </w:t>
      </w:r>
      <w:r w:rsidRPr="00BA4E2A">
        <w:rPr>
          <w:rtl/>
        </w:rPr>
        <w:t>אין עמו לא זה ולא זה</w:t>
      </w:r>
      <w:r>
        <w:rPr>
          <w:rFonts w:hint="cs"/>
          <w:rtl/>
        </w:rPr>
        <w:t>, מוליך פחות פחות מד' אמות.</w:t>
      </w:r>
    </w:p>
    <w:p w14:paraId="101EBC4D" w14:textId="77777777" w:rsidR="004B2E7C" w:rsidRDefault="004B2E7C" w:rsidP="00434A6A">
      <w:pPr>
        <w:rPr>
          <w:rFonts w:cs="Arial"/>
          <w:rtl/>
        </w:rPr>
      </w:pPr>
      <w:r w:rsidRPr="00565331">
        <w:rPr>
          <w:rFonts w:cs="Arial" w:hint="cs"/>
          <w:b/>
          <w:bCs/>
          <w:rtl/>
        </w:rPr>
        <w:t xml:space="preserve">שבת </w:t>
      </w:r>
      <w:r w:rsidRPr="00762875">
        <w:rPr>
          <w:rFonts w:cs="Arial" w:hint="cs"/>
          <w:b/>
          <w:bCs/>
          <w:sz w:val="16"/>
          <w:szCs w:val="16"/>
          <w:rtl/>
        </w:rPr>
        <w:t>(</w:t>
      </w:r>
      <w:r>
        <w:rPr>
          <w:rFonts w:cs="Arial" w:hint="cs"/>
          <w:b/>
          <w:bCs/>
          <w:sz w:val="16"/>
          <w:szCs w:val="16"/>
          <w:rtl/>
        </w:rPr>
        <w:t>ר"פ מי שהחשיך</w:t>
      </w:r>
      <w:r w:rsidRPr="00762875">
        <w:rPr>
          <w:rFonts w:cs="Arial" w:hint="cs"/>
          <w:b/>
          <w:bCs/>
          <w:sz w:val="16"/>
          <w:szCs w:val="16"/>
          <w:rtl/>
        </w:rPr>
        <w:t xml:space="preserve">) </w:t>
      </w:r>
      <w:r>
        <w:rPr>
          <w:rFonts w:cs="Arial" w:hint="cs"/>
          <w:b/>
          <w:bCs/>
          <w:rtl/>
        </w:rPr>
        <w:t>קנג</w:t>
      </w:r>
      <w:r w:rsidRPr="00565331">
        <w:rPr>
          <w:rFonts w:cs="Arial" w:hint="cs"/>
          <w:b/>
          <w:bCs/>
          <w:rtl/>
        </w:rPr>
        <w:t xml:space="preserve"> ע"</w:t>
      </w:r>
      <w:r>
        <w:rPr>
          <w:rFonts w:cs="Arial" w:hint="cs"/>
          <w:b/>
          <w:bCs/>
          <w:rtl/>
        </w:rPr>
        <w:t>ב</w:t>
      </w:r>
      <w:r w:rsidRPr="00565331">
        <w:rPr>
          <w:rFonts w:cs="Arial" w:hint="cs"/>
          <w:b/>
          <w:bCs/>
          <w:rtl/>
        </w:rPr>
        <w:t>:</w:t>
      </w:r>
      <w:r>
        <w:rPr>
          <w:rFonts w:cs="Arial" w:hint="cs"/>
          <w:rtl/>
        </w:rPr>
        <w:t xml:space="preserve"> אין </w:t>
      </w:r>
      <w:r w:rsidRPr="00240FEB">
        <w:rPr>
          <w:rFonts w:cs="Arial"/>
          <w:rtl/>
        </w:rPr>
        <w:t xml:space="preserve">שם לא נכרי ולא חמור ולא חרש ולא שוטה ולא קטן, מאי? </w:t>
      </w:r>
      <w:r w:rsidRPr="00240FEB">
        <w:rPr>
          <w:rFonts w:cs="Arial"/>
          <w:u w:val="single"/>
          <w:rtl/>
        </w:rPr>
        <w:t>אמר רבי יצחק</w:t>
      </w:r>
      <w:r w:rsidRPr="00240FEB">
        <w:rPr>
          <w:rFonts w:cs="Arial"/>
          <w:rtl/>
        </w:rPr>
        <w:t>: עוד אחרת היתה, ולא רצו חכמים לגלותה. מאי עוד אחרת היתה - מוליכו פחות פחות מארבע אמות. אמאי לא רצו חכמים לגלותה - משום כבד אלהים הסתר דבר וכבד מלכים חקר דבר. והכא, מאי כבד אלהים איכא? דילמא אתי לאתויי ארבע אמות ברשות הרבים.</w:t>
      </w:r>
      <w:r w:rsidRPr="006054E0">
        <w:rPr>
          <w:rtl/>
        </w:rPr>
        <w:t xml:space="preserve"> </w:t>
      </w:r>
      <w:r w:rsidRPr="006054E0">
        <w:rPr>
          <w:rFonts w:cs="Arial"/>
          <w:rtl/>
        </w:rPr>
        <w:t xml:space="preserve">תניא, </w:t>
      </w:r>
      <w:r w:rsidRPr="006054E0">
        <w:rPr>
          <w:rFonts w:cs="Arial"/>
          <w:u w:val="single"/>
          <w:rtl/>
        </w:rPr>
        <w:t>רבי אליעזר אומר</w:t>
      </w:r>
      <w:r w:rsidRPr="006054E0">
        <w:rPr>
          <w:rFonts w:cs="Arial"/>
          <w:rtl/>
        </w:rPr>
        <w:t>: בו ביום גדשו סאה</w:t>
      </w:r>
      <w:r>
        <w:rPr>
          <w:rStyle w:val="a9"/>
          <w:rFonts w:cs="Arial"/>
          <w:rtl/>
        </w:rPr>
        <w:footnoteReference w:id="751"/>
      </w:r>
      <w:r w:rsidRPr="006054E0">
        <w:rPr>
          <w:rFonts w:cs="Arial"/>
          <w:rtl/>
        </w:rPr>
        <w:t xml:space="preserve">. </w:t>
      </w:r>
      <w:r w:rsidRPr="006054E0">
        <w:rPr>
          <w:rFonts w:cs="Arial"/>
          <w:u w:val="single"/>
          <w:rtl/>
        </w:rPr>
        <w:t>רבי יהושע אומר</w:t>
      </w:r>
      <w:r w:rsidRPr="006054E0">
        <w:rPr>
          <w:rFonts w:cs="Arial"/>
          <w:rtl/>
        </w:rPr>
        <w:t>: בו ביום מחקו סאה</w:t>
      </w:r>
      <w:r>
        <w:rPr>
          <w:rStyle w:val="a9"/>
          <w:rFonts w:cs="Arial"/>
          <w:rtl/>
        </w:rPr>
        <w:footnoteReference w:id="752"/>
      </w:r>
      <w:r w:rsidRPr="006054E0">
        <w:rPr>
          <w:rFonts w:cs="Arial"/>
          <w:rtl/>
        </w:rPr>
        <w:t>. תניא, משל דרבי אליעזר, למה הדבר דומה - לקופה מלאה קישואין ודילועין, אדם נותן לתוכה חרדל - והיא מחזקת. משל דרבי יהושע, למה הדבר דומה - לעריבה מלאה דבש, נותן לתוכה רימונים ואגוזים - והיא מקיאה</w:t>
      </w:r>
      <w:r>
        <w:rPr>
          <w:rStyle w:val="a9"/>
          <w:rFonts w:cs="Arial"/>
          <w:rtl/>
        </w:rPr>
        <w:footnoteReference w:id="753"/>
      </w:r>
      <w:r w:rsidRPr="006054E0">
        <w:rPr>
          <w:rFonts w:cs="Arial"/>
          <w:rtl/>
        </w:rPr>
        <w:t>.</w:t>
      </w:r>
      <w:r>
        <w:rPr>
          <w:rFonts w:cs="Arial" w:hint="cs"/>
          <w:sz w:val="16"/>
          <w:szCs w:val="16"/>
          <w:rtl/>
        </w:rPr>
        <w:t xml:space="preserve"> </w:t>
      </w:r>
      <w:r w:rsidRPr="00711DC6">
        <w:rPr>
          <w:rFonts w:cs="Arial" w:hint="cs"/>
          <w:sz w:val="16"/>
          <w:szCs w:val="16"/>
          <w:rtl/>
        </w:rPr>
        <w:t>(</w:t>
      </w:r>
      <w:r w:rsidRPr="00711DC6">
        <w:rPr>
          <w:rFonts w:cs="Arial"/>
          <w:sz w:val="16"/>
          <w:szCs w:val="16"/>
          <w:rtl/>
        </w:rPr>
        <w:t xml:space="preserve">וכתבוה הרי"ף (שם) והרא"ש (שם) להא דרבי יצחק וגם הרמב"ם פסקה בפרק כ' (ה"ז). משמע דס"ל דהא דלא רצו חכמים לגלותה דוקא היכא דאיכא חמור או חרש שוטה וקטן אבל היכא דליכא חד מהני ודאי מגלין את הסוד דאם לא כן מאחר שאין אדם מעמיד עצמו על ממונו אתי לאיתויי ארבע אמות ברשות הרבים והכי משמע מדבעי תלמודא אין שם לא נכרי ולא חרש שוטה וקטן מאי משמע שדעתו היה שיגלה הסוד וגם מדחזינן שרבי יצחק גילה אותו משמע דכל היכא דליכא חד מהני שרי, וכן נראה ממה שכתב רש"י </w:t>
      </w:r>
      <w:r w:rsidRPr="00711DC6">
        <w:rPr>
          <w:rFonts w:cs="Arial" w:hint="cs"/>
          <w:sz w:val="16"/>
          <w:szCs w:val="16"/>
          <w:rtl/>
        </w:rPr>
        <w:t>(ד"ה בו ביום גדשו סאה), ב"י)</w:t>
      </w:r>
    </w:p>
    <w:p w14:paraId="062A8C00" w14:textId="77777777" w:rsidR="004B2E7C" w:rsidRPr="006054E0" w:rsidRDefault="004B2E7C" w:rsidP="00434A6A">
      <w:pPr>
        <w:rPr>
          <w:u w:val="single"/>
          <w:rtl/>
        </w:rPr>
      </w:pPr>
      <w:r w:rsidRPr="006054E0">
        <w:rPr>
          <w:rFonts w:cs="Arial"/>
          <w:u w:val="single"/>
          <w:rtl/>
        </w:rPr>
        <w:t>אין עמו לא זה ולא זה</w:t>
      </w:r>
      <w:r w:rsidRPr="006054E0">
        <w:rPr>
          <w:rFonts w:hint="cs"/>
          <w:u w:val="single"/>
          <w:rtl/>
        </w:rPr>
        <w:t>:</w:t>
      </w:r>
    </w:p>
    <w:p w14:paraId="29498E0E" w14:textId="77777777" w:rsidR="004B2E7C" w:rsidRPr="009B3B32" w:rsidRDefault="004B2E7C" w:rsidP="00FF2D21">
      <w:pPr>
        <w:pStyle w:val="aa"/>
        <w:numPr>
          <w:ilvl w:val="0"/>
          <w:numId w:val="93"/>
        </w:numPr>
      </w:pPr>
      <w:r>
        <w:rPr>
          <w:rFonts w:cs="Arial" w:hint="cs"/>
          <w:rtl/>
        </w:rPr>
        <w:t xml:space="preserve">טור- </w:t>
      </w:r>
      <w:r w:rsidRPr="00BA4E2A">
        <w:rPr>
          <w:rFonts w:cs="Arial"/>
          <w:rtl/>
        </w:rPr>
        <w:t>אין עמו לא זה ולא זה יטלטלנו פחות פחות מד' אמות</w:t>
      </w:r>
      <w:r>
        <w:rPr>
          <w:rFonts w:cs="Arial" w:hint="cs"/>
          <w:rtl/>
        </w:rPr>
        <w:t>.</w:t>
      </w:r>
      <w:r w:rsidRPr="00BA4E2A">
        <w:rPr>
          <w:rFonts w:cs="Arial"/>
          <w:rtl/>
        </w:rPr>
        <w:t xml:space="preserve"> </w:t>
      </w:r>
      <w:r w:rsidRPr="00A163AF">
        <w:rPr>
          <w:rFonts w:hint="cs"/>
          <w:color w:val="E36C0A" w:themeColor="accent6" w:themeShade="BF"/>
          <w:rtl/>
        </w:rPr>
        <w:t>(וכ"</w:t>
      </w:r>
      <w:r>
        <w:rPr>
          <w:rFonts w:hint="cs"/>
          <w:color w:val="E36C0A" w:themeColor="accent6" w:themeShade="BF"/>
          <w:rtl/>
        </w:rPr>
        <w:t>פ</w:t>
      </w:r>
      <w:r w:rsidRPr="00A163AF">
        <w:rPr>
          <w:rFonts w:hint="cs"/>
          <w:color w:val="E36C0A" w:themeColor="accent6" w:themeShade="BF"/>
          <w:rtl/>
        </w:rPr>
        <w:t xml:space="preserve"> בשו"ע)</w:t>
      </w:r>
    </w:p>
    <w:p w14:paraId="05DB6F74" w14:textId="77777777" w:rsidR="004B2E7C" w:rsidRPr="00EA6107" w:rsidRDefault="004B2E7C" w:rsidP="00434A6A">
      <w:pPr>
        <w:ind w:left="360"/>
        <w:rPr>
          <w:u w:val="dotted"/>
        </w:rPr>
      </w:pPr>
      <w:r w:rsidRPr="00EA6107">
        <w:rPr>
          <w:rFonts w:hint="cs"/>
          <w:u w:val="dotted"/>
          <w:rtl/>
        </w:rPr>
        <w:t xml:space="preserve">האם כשהולך פחות פחות מארבע אמות צריך לישב כל פעם או שמספיק שיעמוד: </w:t>
      </w:r>
    </w:p>
    <w:p w14:paraId="4E4F69BD" w14:textId="77777777" w:rsidR="004B2E7C" w:rsidRPr="00EA6107" w:rsidRDefault="004B2E7C" w:rsidP="00FF2D21">
      <w:pPr>
        <w:pStyle w:val="aa"/>
        <w:numPr>
          <w:ilvl w:val="0"/>
          <w:numId w:val="93"/>
        </w:numPr>
      </w:pPr>
      <w:r w:rsidRPr="009B3B32">
        <w:rPr>
          <w:rFonts w:cs="Arial"/>
          <w:rtl/>
        </w:rPr>
        <w:t xml:space="preserve">כל בו </w:t>
      </w:r>
      <w:r w:rsidRPr="008B13D9">
        <w:rPr>
          <w:rFonts w:cs="Arial"/>
          <w:sz w:val="16"/>
          <w:szCs w:val="16"/>
          <w:rtl/>
        </w:rPr>
        <w:t>(סי' לא, כט סוף ע"ד</w:t>
      </w:r>
      <w:r>
        <w:rPr>
          <w:rFonts w:cs="Arial" w:hint="cs"/>
          <w:sz w:val="16"/>
          <w:szCs w:val="16"/>
          <w:rtl/>
        </w:rPr>
        <w:t>, כ"כ הב"י בשמו</w:t>
      </w:r>
      <w:r w:rsidRPr="008B13D9">
        <w:rPr>
          <w:rFonts w:cs="Arial"/>
          <w:sz w:val="16"/>
          <w:szCs w:val="16"/>
          <w:rtl/>
        </w:rPr>
        <w:t>)</w:t>
      </w:r>
      <w:r w:rsidRPr="008B13D9">
        <w:rPr>
          <w:rFonts w:cs="Arial" w:hint="cs"/>
          <w:sz w:val="16"/>
          <w:szCs w:val="16"/>
          <w:rtl/>
        </w:rPr>
        <w:t xml:space="preserve"> </w:t>
      </w:r>
      <w:r>
        <w:rPr>
          <w:rFonts w:cs="Arial" w:hint="cs"/>
          <w:rtl/>
        </w:rPr>
        <w:t>ו</w:t>
      </w:r>
      <w:r w:rsidRPr="009B3B32">
        <w:rPr>
          <w:rFonts w:cs="Arial" w:hint="cs"/>
          <w:rtl/>
        </w:rPr>
        <w:t>רי"ו</w:t>
      </w:r>
      <w:r w:rsidRPr="009B3B32">
        <w:rPr>
          <w:rFonts w:cs="Arial"/>
          <w:rtl/>
        </w:rPr>
        <w:t xml:space="preserve"> </w:t>
      </w:r>
      <w:r w:rsidRPr="009B3B32">
        <w:rPr>
          <w:rFonts w:cs="Arial" w:hint="cs"/>
          <w:sz w:val="16"/>
          <w:szCs w:val="16"/>
          <w:rtl/>
        </w:rPr>
        <w:t>(</w:t>
      </w:r>
      <w:r w:rsidRPr="009B3B32">
        <w:rPr>
          <w:rFonts w:cs="Arial"/>
          <w:sz w:val="16"/>
          <w:szCs w:val="16"/>
          <w:rtl/>
        </w:rPr>
        <w:t>ח</w:t>
      </w:r>
      <w:r w:rsidRPr="009B3B32">
        <w:rPr>
          <w:rFonts w:cs="Arial" w:hint="cs"/>
          <w:sz w:val="16"/>
          <w:szCs w:val="16"/>
          <w:rtl/>
        </w:rPr>
        <w:t>"</w:t>
      </w:r>
      <w:r w:rsidRPr="009B3B32">
        <w:rPr>
          <w:rFonts w:cs="Arial"/>
          <w:sz w:val="16"/>
          <w:szCs w:val="16"/>
          <w:rtl/>
        </w:rPr>
        <w:t>ו עה ע"ג)</w:t>
      </w:r>
      <w:r w:rsidRPr="009B3B32">
        <w:rPr>
          <w:rFonts w:cs="Arial" w:hint="cs"/>
          <w:rtl/>
        </w:rPr>
        <w:t>-</w:t>
      </w:r>
      <w:r w:rsidRPr="009B3B32">
        <w:rPr>
          <w:rFonts w:cs="Arial"/>
          <w:rtl/>
        </w:rPr>
        <w:t xml:space="preserve"> מוליכו פחות פחות מארבע אמות שאמרו חז"ל בכל מקום </w:t>
      </w:r>
      <w:r>
        <w:rPr>
          <w:rFonts w:cs="Arial" w:hint="cs"/>
          <w:rtl/>
        </w:rPr>
        <w:t xml:space="preserve">- </w:t>
      </w:r>
      <w:r w:rsidRPr="009B3B32">
        <w:rPr>
          <w:rFonts w:cs="Arial"/>
          <w:rtl/>
        </w:rPr>
        <w:t>צריך לישב בכל פחות מארבע אמות</w:t>
      </w:r>
      <w:r>
        <w:rPr>
          <w:rFonts w:cs="Arial" w:hint="cs"/>
          <w:rtl/>
        </w:rPr>
        <w:t>,</w:t>
      </w:r>
      <w:r w:rsidRPr="009B3B32">
        <w:rPr>
          <w:rFonts w:cs="Arial"/>
          <w:rtl/>
        </w:rPr>
        <w:t xml:space="preserve"> שאם לא ישב</w:t>
      </w:r>
      <w:r>
        <w:rPr>
          <w:rFonts w:cs="Arial" w:hint="cs"/>
          <w:rtl/>
        </w:rPr>
        <w:t>,</w:t>
      </w:r>
      <w:r w:rsidRPr="009B3B32">
        <w:rPr>
          <w:rFonts w:cs="Arial"/>
          <w:rtl/>
        </w:rPr>
        <w:t xml:space="preserve"> אף על פי שעמד ולא הלך בכל פחות מארבע אמות חייב</w:t>
      </w:r>
      <w:r>
        <w:rPr>
          <w:rFonts w:cs="Arial" w:hint="cs"/>
          <w:rtl/>
        </w:rPr>
        <w:t>,</w:t>
      </w:r>
      <w:r w:rsidRPr="009B3B32">
        <w:rPr>
          <w:rFonts w:cs="Arial"/>
          <w:rtl/>
        </w:rPr>
        <w:t xml:space="preserve"> שאע"פ שעומד הליכה אחת היא</w:t>
      </w:r>
      <w:r>
        <w:rPr>
          <w:rFonts w:cs="Arial" w:hint="cs"/>
          <w:rtl/>
        </w:rPr>
        <w:t>,</w:t>
      </w:r>
      <w:r w:rsidRPr="009B3B32">
        <w:rPr>
          <w:rFonts w:cs="Arial"/>
          <w:rtl/>
        </w:rPr>
        <w:t xml:space="preserve"> ואפילו בכרמלית או בשדה חייב מלקות מדרבנן</w:t>
      </w:r>
      <w:r>
        <w:rPr>
          <w:rFonts w:cs="Arial" w:hint="cs"/>
          <w:rtl/>
        </w:rPr>
        <w:t>,</w:t>
      </w:r>
      <w:r w:rsidRPr="009B3B32">
        <w:rPr>
          <w:rFonts w:cs="Arial"/>
          <w:rtl/>
        </w:rPr>
        <w:t xml:space="preserve"> כך כתב מר שר שלום בתשובה </w:t>
      </w:r>
      <w:r w:rsidRPr="008B13D9">
        <w:rPr>
          <w:rFonts w:cs="Arial"/>
          <w:rtl/>
        </w:rPr>
        <w:t>(שערי תשובה סי' קמז)</w:t>
      </w:r>
      <w:r>
        <w:rPr>
          <w:rStyle w:val="a9"/>
          <w:rFonts w:cs="Arial"/>
          <w:rtl/>
        </w:rPr>
        <w:footnoteReference w:id="754"/>
      </w:r>
      <w:r>
        <w:rPr>
          <w:rFonts w:cs="Arial" w:hint="cs"/>
          <w:sz w:val="16"/>
          <w:szCs w:val="16"/>
          <w:rtl/>
        </w:rPr>
        <w:t xml:space="preserve"> (ל' רי"ו)</w:t>
      </w:r>
      <w:r w:rsidRPr="009B3B32">
        <w:rPr>
          <w:rFonts w:cs="Arial" w:hint="cs"/>
          <w:rtl/>
        </w:rPr>
        <w:t>.</w:t>
      </w:r>
      <w:r w:rsidRPr="009B3B32">
        <w:rPr>
          <w:rFonts w:cs="Arial"/>
          <w:rtl/>
        </w:rPr>
        <w:t xml:space="preserve"> </w:t>
      </w:r>
    </w:p>
    <w:p w14:paraId="57986521" w14:textId="77777777" w:rsidR="004B2E7C" w:rsidRPr="00EA6107" w:rsidRDefault="004B2E7C" w:rsidP="00434A6A">
      <w:pPr>
        <w:ind w:left="360"/>
        <w:rPr>
          <w:u w:val="dotted"/>
        </w:rPr>
      </w:pPr>
      <w:r w:rsidRPr="00EA6107">
        <w:rPr>
          <w:rFonts w:hint="cs"/>
          <w:u w:val="dotted"/>
          <w:rtl/>
        </w:rPr>
        <w:t xml:space="preserve">האם יכול לטלטל פחות פחות מד' אמות גם מציאה שמצא ולא באה לידו מבעו"י: </w:t>
      </w:r>
    </w:p>
    <w:p w14:paraId="0C6C8B4B" w14:textId="77777777" w:rsidR="004B2E7C" w:rsidRDefault="004B2E7C" w:rsidP="00FF2D21">
      <w:pPr>
        <w:pStyle w:val="aa"/>
        <w:numPr>
          <w:ilvl w:val="0"/>
          <w:numId w:val="93"/>
        </w:numPr>
      </w:pPr>
      <w:r w:rsidRPr="009B3B32">
        <w:rPr>
          <w:rFonts w:cs="Arial"/>
          <w:rtl/>
        </w:rPr>
        <w:t xml:space="preserve">רמב"ם </w:t>
      </w:r>
      <w:r w:rsidRPr="00EA6107">
        <w:rPr>
          <w:rFonts w:cs="Arial" w:hint="cs"/>
          <w:sz w:val="16"/>
          <w:szCs w:val="16"/>
          <w:rtl/>
        </w:rPr>
        <w:t>(</w:t>
      </w:r>
      <w:r w:rsidRPr="00EA6107">
        <w:rPr>
          <w:rFonts w:cs="Arial"/>
          <w:sz w:val="16"/>
          <w:szCs w:val="16"/>
          <w:rtl/>
        </w:rPr>
        <w:t>פ</w:t>
      </w:r>
      <w:r w:rsidRPr="00EA6107">
        <w:rPr>
          <w:rFonts w:cs="Arial" w:hint="cs"/>
          <w:sz w:val="16"/>
          <w:szCs w:val="16"/>
          <w:rtl/>
        </w:rPr>
        <w:t>"</w:t>
      </w:r>
      <w:r w:rsidRPr="00EA6107">
        <w:rPr>
          <w:rFonts w:cs="Arial"/>
          <w:sz w:val="16"/>
          <w:szCs w:val="16"/>
          <w:rtl/>
        </w:rPr>
        <w:t>כ ה"ז)</w:t>
      </w:r>
      <w:r>
        <w:rPr>
          <w:rFonts w:cs="Arial" w:hint="cs"/>
          <w:rtl/>
        </w:rPr>
        <w:t>-</w:t>
      </w:r>
      <w:r w:rsidRPr="009B3B32">
        <w:rPr>
          <w:rFonts w:cs="Arial"/>
          <w:rtl/>
        </w:rPr>
        <w:t xml:space="preserve"> לא היתה עמו בהמה ולא נכרי ולא אחד מכל אלו</w:t>
      </w:r>
      <w:r>
        <w:rPr>
          <w:rFonts w:cs="Arial" w:hint="cs"/>
          <w:rtl/>
        </w:rPr>
        <w:t>,</w:t>
      </w:r>
      <w:r w:rsidRPr="009B3B32">
        <w:rPr>
          <w:rFonts w:cs="Arial"/>
          <w:rtl/>
        </w:rPr>
        <w:t xml:space="preserve"> מהלך בו פחות פחות מארבע אמות</w:t>
      </w:r>
      <w:r>
        <w:rPr>
          <w:rFonts w:cs="Arial" w:hint="cs"/>
          <w:rtl/>
        </w:rPr>
        <w:t>.</w:t>
      </w:r>
      <w:r w:rsidRPr="009B3B32">
        <w:rPr>
          <w:rFonts w:cs="Arial"/>
          <w:rtl/>
        </w:rPr>
        <w:t xml:space="preserve"> ואפילו מציאה שבאה לידו</w:t>
      </w:r>
      <w:r>
        <w:rPr>
          <w:rFonts w:cs="Arial" w:hint="cs"/>
          <w:rtl/>
        </w:rPr>
        <w:t>,</w:t>
      </w:r>
      <w:r w:rsidRPr="009B3B32">
        <w:rPr>
          <w:rFonts w:cs="Arial"/>
          <w:rtl/>
        </w:rPr>
        <w:t xml:space="preserve"> מהלך בה פחות מארבע אמות</w:t>
      </w:r>
      <w:r>
        <w:rPr>
          <w:rFonts w:cs="Arial" w:hint="cs"/>
          <w:rtl/>
        </w:rPr>
        <w:t>.</w:t>
      </w:r>
      <w:r w:rsidRPr="009B3B32">
        <w:rPr>
          <w:rFonts w:cs="Arial"/>
          <w:rtl/>
        </w:rPr>
        <w:t xml:space="preserve"> אבל קודם שתבוא לידו</w:t>
      </w:r>
      <w:r>
        <w:rPr>
          <w:rFonts w:cs="Arial" w:hint="cs"/>
          <w:rtl/>
        </w:rPr>
        <w:t>,</w:t>
      </w:r>
      <w:r w:rsidRPr="009B3B32">
        <w:rPr>
          <w:rFonts w:cs="Arial"/>
          <w:rtl/>
        </w:rPr>
        <w:t xml:space="preserve"> אם יכול להחשיך עליה</w:t>
      </w:r>
      <w:r>
        <w:rPr>
          <w:rFonts w:cs="Arial" w:hint="cs"/>
          <w:rtl/>
        </w:rPr>
        <w:t>,</w:t>
      </w:r>
      <w:r w:rsidRPr="009B3B32">
        <w:rPr>
          <w:rFonts w:cs="Arial"/>
          <w:rtl/>
        </w:rPr>
        <w:t xml:space="preserve"> מחשיך</w:t>
      </w:r>
      <w:r>
        <w:rPr>
          <w:rFonts w:cs="Arial" w:hint="cs"/>
          <w:rtl/>
        </w:rPr>
        <w:t>,</w:t>
      </w:r>
      <w:r w:rsidRPr="009B3B32">
        <w:rPr>
          <w:rFonts w:cs="Arial"/>
          <w:rtl/>
        </w:rPr>
        <w:t xml:space="preserve"> ואם לאו</w:t>
      </w:r>
      <w:r>
        <w:rPr>
          <w:rFonts w:cs="Arial" w:hint="cs"/>
          <w:rtl/>
        </w:rPr>
        <w:t>,</w:t>
      </w:r>
      <w:r w:rsidRPr="009B3B32">
        <w:rPr>
          <w:rFonts w:cs="Arial"/>
          <w:rtl/>
        </w:rPr>
        <w:t xml:space="preserve"> מוליכה פחות פחות מארבע אמות</w:t>
      </w:r>
      <w:r>
        <w:rPr>
          <w:rStyle w:val="a9"/>
          <w:rFonts w:cs="Arial"/>
          <w:rtl/>
        </w:rPr>
        <w:footnoteReference w:id="755"/>
      </w:r>
      <w:r>
        <w:rPr>
          <w:rFonts w:cs="Arial" w:hint="cs"/>
          <w:rtl/>
        </w:rPr>
        <w:t xml:space="preserve">. </w:t>
      </w:r>
    </w:p>
    <w:p w14:paraId="3B2869BA" w14:textId="77777777" w:rsidR="004B2E7C" w:rsidRPr="00BA4E2A" w:rsidRDefault="004B2E7C" w:rsidP="00FF2D21">
      <w:pPr>
        <w:pStyle w:val="aa"/>
        <w:numPr>
          <w:ilvl w:val="0"/>
          <w:numId w:val="93"/>
        </w:numPr>
        <w:rPr>
          <w:rtl/>
        </w:rPr>
      </w:pPr>
      <w:r>
        <w:rPr>
          <w:rFonts w:cs="Arial" w:hint="cs"/>
          <w:rtl/>
        </w:rPr>
        <w:t xml:space="preserve">ראב"ד </w:t>
      </w:r>
      <w:r>
        <w:rPr>
          <w:rFonts w:cs="Arial" w:hint="cs"/>
          <w:sz w:val="16"/>
          <w:szCs w:val="16"/>
          <w:rtl/>
        </w:rPr>
        <w:t xml:space="preserve">(שם) </w:t>
      </w:r>
      <w:r>
        <w:rPr>
          <w:rFonts w:cs="Arial" w:hint="cs"/>
          <w:rtl/>
        </w:rPr>
        <w:t xml:space="preserve">הה"מ </w:t>
      </w:r>
      <w:r>
        <w:rPr>
          <w:rFonts w:cs="Arial" w:hint="cs"/>
          <w:sz w:val="16"/>
          <w:szCs w:val="16"/>
          <w:rtl/>
        </w:rPr>
        <w:t xml:space="preserve">(שם) </w:t>
      </w:r>
      <w:r>
        <w:rPr>
          <w:rFonts w:cs="Arial" w:hint="cs"/>
          <w:rtl/>
        </w:rPr>
        <w:t>ו</w:t>
      </w:r>
      <w:r w:rsidRPr="009B3B32">
        <w:rPr>
          <w:rFonts w:cs="Arial"/>
          <w:rtl/>
        </w:rPr>
        <w:t xml:space="preserve">ר"ן </w:t>
      </w:r>
      <w:r w:rsidRPr="00842260">
        <w:rPr>
          <w:rFonts w:cs="Arial" w:hint="cs"/>
          <w:sz w:val="16"/>
          <w:szCs w:val="16"/>
          <w:rtl/>
        </w:rPr>
        <w:t>(</w:t>
      </w:r>
      <w:r w:rsidRPr="00842260">
        <w:rPr>
          <w:rFonts w:cs="Arial"/>
          <w:sz w:val="16"/>
          <w:szCs w:val="16"/>
          <w:rtl/>
        </w:rPr>
        <w:t>פרק מי שהחשיך סו. ד"ה אין)</w:t>
      </w:r>
      <w:r>
        <w:rPr>
          <w:rFonts w:cs="Arial" w:hint="cs"/>
          <w:rtl/>
        </w:rPr>
        <w:t xml:space="preserve">- </w:t>
      </w:r>
      <w:r w:rsidRPr="00CC2350">
        <w:rPr>
          <w:rFonts w:asciiTheme="minorBidi" w:hAnsiTheme="minorBidi" w:cs="Arial"/>
          <w:rtl/>
        </w:rPr>
        <w:t>דוקא כיסו או מציאה שבאה לידו, אבל אם לא באה לידו, לא.</w:t>
      </w:r>
      <w:r w:rsidRPr="00BA4E2A">
        <w:rPr>
          <w:rFonts w:cs="Arial"/>
          <w:rtl/>
        </w:rPr>
        <w:t xml:space="preserve"> </w:t>
      </w:r>
      <w:r w:rsidRPr="00A163AF">
        <w:rPr>
          <w:rFonts w:hint="cs"/>
          <w:color w:val="E36C0A" w:themeColor="accent6" w:themeShade="BF"/>
          <w:rtl/>
        </w:rPr>
        <w:t>(וכ"</w:t>
      </w:r>
      <w:r>
        <w:rPr>
          <w:rFonts w:hint="cs"/>
          <w:color w:val="E36C0A" w:themeColor="accent6" w:themeShade="BF"/>
          <w:rtl/>
        </w:rPr>
        <w:t>פ</w:t>
      </w:r>
      <w:r w:rsidRPr="00A163AF">
        <w:rPr>
          <w:rFonts w:hint="cs"/>
          <w:color w:val="E36C0A" w:themeColor="accent6" w:themeShade="BF"/>
          <w:rtl/>
        </w:rPr>
        <w:t xml:space="preserve"> בשו"ע)</w:t>
      </w:r>
    </w:p>
    <w:p w14:paraId="186CE83A"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515C2E0" w14:textId="77777777" w:rsidR="004B2E7C" w:rsidRDefault="004B2E7C" w:rsidP="00434A6A">
      <w:pPr>
        <w:rPr>
          <w:rFonts w:asciiTheme="minorBidi" w:hAnsiTheme="minorBidi"/>
          <w:rtl/>
        </w:rPr>
      </w:pPr>
      <w:r w:rsidRPr="00CC2350">
        <w:rPr>
          <w:rFonts w:asciiTheme="minorBidi" w:hAnsiTheme="minorBidi" w:cs="Arial"/>
          <w:rtl/>
        </w:rPr>
        <w:t>אם אין עמו שום אחד מכל אלו, יטלטלנו</w:t>
      </w:r>
      <w:r>
        <w:rPr>
          <w:rStyle w:val="a9"/>
          <w:rFonts w:asciiTheme="minorBidi" w:hAnsiTheme="minorBidi" w:cs="Arial"/>
          <w:rtl/>
        </w:rPr>
        <w:footnoteReference w:id="756"/>
      </w:r>
      <w:r w:rsidRPr="00CC2350">
        <w:rPr>
          <w:rFonts w:asciiTheme="minorBidi" w:hAnsiTheme="minorBidi" w:cs="Arial"/>
          <w:rtl/>
        </w:rPr>
        <w:t xml:space="preserve"> פחות פחות מארבע אמות</w:t>
      </w:r>
      <w:r>
        <w:rPr>
          <w:rStyle w:val="a9"/>
          <w:rFonts w:asciiTheme="minorBidi" w:hAnsiTheme="minorBidi" w:cs="Arial"/>
          <w:rtl/>
        </w:rPr>
        <w:footnoteReference w:id="757"/>
      </w:r>
      <w:r w:rsidRPr="00CC2350">
        <w:rPr>
          <w:rFonts w:asciiTheme="minorBidi" w:hAnsiTheme="minorBidi" w:cs="Arial"/>
          <w:rtl/>
        </w:rPr>
        <w:t xml:space="preserve">. ודוקא כיסו או מציאה שבאה לידו, אבל אם לא באה לידו, לא. </w:t>
      </w:r>
    </w:p>
    <w:p w14:paraId="4EE1E1FE" w14:textId="77777777" w:rsidR="004B2E7C" w:rsidRPr="00CC2350" w:rsidRDefault="004B2E7C" w:rsidP="00434A6A">
      <w:pPr>
        <w:rPr>
          <w:rFonts w:asciiTheme="minorBidi" w:hAnsiTheme="minorBidi"/>
          <w:rtl/>
        </w:rPr>
      </w:pPr>
    </w:p>
    <w:p w14:paraId="4AA7A637" w14:textId="77777777" w:rsidR="004B2E7C" w:rsidRDefault="004B2E7C" w:rsidP="00434A6A">
      <w:pPr>
        <w:pStyle w:val="2"/>
        <w:rPr>
          <w:rtl/>
        </w:rPr>
      </w:pPr>
      <w:r w:rsidRPr="00CC2350">
        <w:rPr>
          <w:rtl/>
        </w:rPr>
        <w:t>סעיף ח</w:t>
      </w:r>
      <w:r>
        <w:rPr>
          <w:rFonts w:hint="cs"/>
          <w:rtl/>
        </w:rPr>
        <w:t>: היוצא מביתו סמוך לחשכה והחשיך לו בדרך.</w:t>
      </w:r>
    </w:p>
    <w:p w14:paraId="1CA056C3" w14:textId="77777777" w:rsidR="004B2E7C" w:rsidRPr="00471F2F" w:rsidRDefault="004B2E7C" w:rsidP="00434A6A">
      <w:pPr>
        <w:rPr>
          <w:u w:val="single"/>
          <w:rtl/>
        </w:rPr>
      </w:pPr>
      <w:r w:rsidRPr="00471F2F">
        <w:rPr>
          <w:rFonts w:hint="cs"/>
          <w:u w:val="single"/>
          <w:rtl/>
        </w:rPr>
        <w:t>היוצא מביתו סמוך לחשכה והחשיך לו בדרך:</w:t>
      </w:r>
    </w:p>
    <w:p w14:paraId="4E2D34F4" w14:textId="77777777" w:rsidR="004B2E7C" w:rsidRDefault="004B2E7C" w:rsidP="00FF2D21">
      <w:pPr>
        <w:pStyle w:val="aa"/>
        <w:numPr>
          <w:ilvl w:val="0"/>
          <w:numId w:val="93"/>
        </w:numPr>
      </w:pPr>
      <w:r w:rsidRPr="00471F2F">
        <w:rPr>
          <w:rFonts w:cs="Arial" w:hint="cs"/>
          <w:rtl/>
        </w:rPr>
        <w:t xml:space="preserve">רי"ו </w:t>
      </w:r>
      <w:r w:rsidRPr="00471F2F">
        <w:rPr>
          <w:rFonts w:cs="Arial" w:hint="cs"/>
          <w:sz w:val="16"/>
          <w:szCs w:val="16"/>
          <w:rtl/>
        </w:rPr>
        <w:t>(</w:t>
      </w:r>
      <w:r w:rsidRPr="00471F2F">
        <w:rPr>
          <w:rFonts w:cs="Arial"/>
          <w:sz w:val="16"/>
          <w:szCs w:val="16"/>
          <w:rtl/>
        </w:rPr>
        <w:t xml:space="preserve">ח"א </w:t>
      </w:r>
      <w:r w:rsidRPr="006B3F63">
        <w:rPr>
          <w:rFonts w:cs="Arial"/>
          <w:sz w:val="16"/>
          <w:szCs w:val="16"/>
          <w:rtl/>
        </w:rPr>
        <w:t>סו סוף ע"ג</w:t>
      </w:r>
      <w:r w:rsidRPr="00471F2F">
        <w:rPr>
          <w:rFonts w:cs="Arial"/>
          <w:sz w:val="16"/>
          <w:szCs w:val="16"/>
          <w:rtl/>
        </w:rPr>
        <w:t>)</w:t>
      </w:r>
      <w:r w:rsidRPr="00471F2F">
        <w:rPr>
          <w:rFonts w:cs="Arial" w:hint="cs"/>
          <w:rtl/>
        </w:rPr>
        <w:t>-</w:t>
      </w:r>
      <w:r w:rsidRPr="00471F2F">
        <w:rPr>
          <w:rFonts w:cs="Arial"/>
          <w:rtl/>
        </w:rPr>
        <w:t xml:space="preserve"> יש מפרשים שכתבו דוקא מי שהחשיך לו בדרך שהיה סבור שעדיין יש שהות ביום</w:t>
      </w:r>
      <w:r w:rsidRPr="00471F2F">
        <w:rPr>
          <w:rFonts w:cs="Arial" w:hint="cs"/>
          <w:rtl/>
        </w:rPr>
        <w:t>,</w:t>
      </w:r>
      <w:r w:rsidRPr="00471F2F">
        <w:rPr>
          <w:rFonts w:cs="Arial"/>
          <w:rtl/>
        </w:rPr>
        <w:t xml:space="preserve"> אבל מי שיצא מביתו סמוך לחשיכה ושכח והוציא לרשות הרבים לא התירו לו שום אחד מהדרכים האלה</w:t>
      </w:r>
      <w:r w:rsidRPr="00471F2F">
        <w:rPr>
          <w:rFonts w:cs="Arial" w:hint="cs"/>
          <w:rtl/>
        </w:rPr>
        <w:t>.</w:t>
      </w:r>
      <w:r w:rsidRPr="00BA4E2A">
        <w:rPr>
          <w:rFonts w:cs="Arial"/>
          <w:rtl/>
        </w:rPr>
        <w:t xml:space="preserve"> </w:t>
      </w:r>
      <w:r w:rsidRPr="00A163AF">
        <w:rPr>
          <w:rFonts w:hint="cs"/>
          <w:color w:val="E36C0A" w:themeColor="accent6" w:themeShade="BF"/>
          <w:rtl/>
        </w:rPr>
        <w:t>(וכ"</w:t>
      </w:r>
      <w:r>
        <w:rPr>
          <w:rFonts w:hint="cs"/>
          <w:color w:val="E36C0A" w:themeColor="accent6" w:themeShade="BF"/>
          <w:rtl/>
        </w:rPr>
        <w:t>פ</w:t>
      </w:r>
      <w:r w:rsidRPr="00A163AF">
        <w:rPr>
          <w:rFonts w:hint="cs"/>
          <w:color w:val="E36C0A" w:themeColor="accent6" w:themeShade="BF"/>
          <w:rtl/>
        </w:rPr>
        <w:t xml:space="preserve"> בשו"ע)</w:t>
      </w:r>
    </w:p>
    <w:p w14:paraId="375564BC" w14:textId="77777777" w:rsidR="004B2E7C" w:rsidRPr="00BA4E2A" w:rsidRDefault="004B2E7C" w:rsidP="00FF2D21">
      <w:pPr>
        <w:pStyle w:val="aa"/>
        <w:numPr>
          <w:ilvl w:val="0"/>
          <w:numId w:val="93"/>
        </w:numPr>
        <w:rPr>
          <w:rtl/>
        </w:rPr>
      </w:pPr>
      <w:r>
        <w:rPr>
          <w:rFonts w:cs="Arial" w:hint="cs"/>
          <w:rtl/>
        </w:rPr>
        <w:t xml:space="preserve">רשב"א </w:t>
      </w:r>
      <w:r>
        <w:rPr>
          <w:rFonts w:cs="Arial" w:hint="cs"/>
          <w:sz w:val="16"/>
          <w:szCs w:val="16"/>
          <w:rtl/>
        </w:rPr>
        <w:t>(עבודת הקודש שער ג סי' ב אות צב)</w:t>
      </w:r>
      <w:r>
        <w:rPr>
          <w:rFonts w:cs="Arial" w:hint="cs"/>
          <w:rtl/>
        </w:rPr>
        <w:t xml:space="preserve">- </w:t>
      </w:r>
      <w:r w:rsidRPr="008508C2">
        <w:rPr>
          <w:rFonts w:cs="Arial"/>
          <w:rtl/>
        </w:rPr>
        <w:t>שכח והוציא כיסו בשבת, יש מי שאוסר להוליכו פחות פחות מארבע אמות שלא התירו אלא במי שהחשיך לו בדרך בלבד. ויראה לי שהוא מותר, שאין עיקר הדבר אלא מפני שאין אדם מעמיד עצמו על ממונו וחוששין שמא יעבירנו ארבע אמות, וכשם שאינו מעמיד עצמו בשהחשיך לו כן אינו מעמיד עצמו לאבד ממונו שהוציאו בשכחה</w:t>
      </w:r>
      <w:r>
        <w:rPr>
          <w:rStyle w:val="a9"/>
          <w:rFonts w:cs="Arial"/>
          <w:rtl/>
        </w:rPr>
        <w:footnoteReference w:id="758"/>
      </w:r>
      <w:r w:rsidRPr="008508C2">
        <w:rPr>
          <w:rFonts w:cs="Arial"/>
          <w:rtl/>
        </w:rPr>
        <w:t>.</w:t>
      </w:r>
      <w:r>
        <w:rPr>
          <w:rFonts w:hint="cs"/>
          <w:rtl/>
        </w:rPr>
        <w:t xml:space="preserve"> (וכ"פ הא"ר</w:t>
      </w:r>
      <w:r>
        <w:rPr>
          <w:rFonts w:hint="cs"/>
          <w:sz w:val="16"/>
          <w:szCs w:val="16"/>
          <w:rtl/>
        </w:rPr>
        <w:t xml:space="preserve"> [סק"כ]</w:t>
      </w:r>
      <w:r>
        <w:rPr>
          <w:rFonts w:hint="cs"/>
          <w:rtl/>
        </w:rPr>
        <w:t>)</w:t>
      </w:r>
    </w:p>
    <w:p w14:paraId="62064FF2"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735D3FA" w14:textId="77777777" w:rsidR="004B2E7C" w:rsidRDefault="004B2E7C" w:rsidP="00434A6A">
      <w:pPr>
        <w:rPr>
          <w:rFonts w:asciiTheme="minorBidi" w:hAnsiTheme="minorBidi" w:cs="Arial"/>
          <w:rtl/>
        </w:rPr>
      </w:pPr>
      <w:r w:rsidRPr="00CC2350">
        <w:rPr>
          <w:rFonts w:asciiTheme="minorBidi" w:hAnsiTheme="minorBidi" w:cs="Arial"/>
          <w:rtl/>
        </w:rPr>
        <w:t>י</w:t>
      </w:r>
      <w:r>
        <w:rPr>
          <w:rFonts w:asciiTheme="minorBidi" w:hAnsiTheme="minorBidi" w:cs="Arial" w:hint="cs"/>
          <w:rtl/>
        </w:rPr>
        <w:t xml:space="preserve">ש </w:t>
      </w:r>
      <w:r w:rsidRPr="00CC2350">
        <w:rPr>
          <w:rFonts w:asciiTheme="minorBidi" w:hAnsiTheme="minorBidi" w:cs="Arial"/>
          <w:rtl/>
        </w:rPr>
        <w:t>א</w:t>
      </w:r>
      <w:r>
        <w:rPr>
          <w:rFonts w:asciiTheme="minorBidi" w:hAnsiTheme="minorBidi" w:cs="Arial" w:hint="cs"/>
          <w:rtl/>
        </w:rPr>
        <w:t>ומרים</w:t>
      </w:r>
      <w:r w:rsidRPr="00CC2350">
        <w:rPr>
          <w:rFonts w:asciiTheme="minorBidi" w:hAnsiTheme="minorBidi" w:cs="Arial"/>
          <w:rtl/>
        </w:rPr>
        <w:t xml:space="preserve"> דדוקא מי שהחשיך לו בדרך שהיה סבור שעדיין יש שהות ביום, אבל מי שיצא מביתו סמוך לחשכה ושכח והוציא לרשות הרבים לא התירו לו שום אחד מהדרכים האלו</w:t>
      </w:r>
      <w:r>
        <w:rPr>
          <w:rStyle w:val="a9"/>
          <w:rFonts w:asciiTheme="minorBidi" w:hAnsiTheme="minorBidi" w:cs="Arial"/>
          <w:rtl/>
        </w:rPr>
        <w:footnoteReference w:id="759"/>
      </w:r>
      <w:r w:rsidRPr="00CC2350">
        <w:rPr>
          <w:rFonts w:asciiTheme="minorBidi" w:hAnsiTheme="minorBidi" w:cs="Arial"/>
          <w:rtl/>
        </w:rPr>
        <w:t xml:space="preserve">. </w:t>
      </w:r>
    </w:p>
    <w:p w14:paraId="5711E839" w14:textId="77777777" w:rsidR="004B2E7C" w:rsidRPr="00CC2350" w:rsidRDefault="004B2E7C" w:rsidP="00434A6A">
      <w:pPr>
        <w:rPr>
          <w:rFonts w:asciiTheme="minorBidi" w:hAnsiTheme="minorBidi"/>
          <w:rtl/>
        </w:rPr>
      </w:pPr>
    </w:p>
    <w:p w14:paraId="6506BAB5" w14:textId="77777777" w:rsidR="004B2E7C" w:rsidRDefault="004B2E7C" w:rsidP="00434A6A">
      <w:pPr>
        <w:pStyle w:val="2"/>
        <w:rPr>
          <w:rtl/>
        </w:rPr>
      </w:pPr>
      <w:r w:rsidRPr="00CC2350">
        <w:rPr>
          <w:rtl/>
        </w:rPr>
        <w:t>סעיף ט</w:t>
      </w:r>
      <w:r>
        <w:rPr>
          <w:rFonts w:hint="cs"/>
          <w:rtl/>
        </w:rPr>
        <w:t xml:space="preserve">: </w:t>
      </w:r>
      <w:r w:rsidRPr="00BA4E2A">
        <w:rPr>
          <w:rtl/>
        </w:rPr>
        <w:t>הגיע לחצר הראשונה המשתמרת</w:t>
      </w:r>
      <w:r>
        <w:rPr>
          <w:rFonts w:hint="cs"/>
          <w:rtl/>
        </w:rPr>
        <w:t>.</w:t>
      </w:r>
    </w:p>
    <w:p w14:paraId="4E359017" w14:textId="77777777" w:rsidR="004B2E7C" w:rsidRDefault="004B2E7C" w:rsidP="00434A6A">
      <w:pPr>
        <w:rPr>
          <w:rtl/>
        </w:rPr>
      </w:pPr>
      <w:r w:rsidRPr="00565331">
        <w:rPr>
          <w:rFonts w:cs="Arial" w:hint="cs"/>
          <w:b/>
          <w:bCs/>
          <w:rtl/>
        </w:rPr>
        <w:t xml:space="preserve">שבת </w:t>
      </w:r>
      <w:r w:rsidRPr="00762875">
        <w:rPr>
          <w:rFonts w:cs="Arial" w:hint="cs"/>
          <w:b/>
          <w:bCs/>
          <w:sz w:val="16"/>
          <w:szCs w:val="16"/>
          <w:rtl/>
        </w:rPr>
        <w:t>(</w:t>
      </w:r>
      <w:r>
        <w:rPr>
          <w:rFonts w:cs="Arial" w:hint="cs"/>
          <w:b/>
          <w:bCs/>
          <w:sz w:val="16"/>
          <w:szCs w:val="16"/>
          <w:rtl/>
        </w:rPr>
        <w:t>ר"פ מי שהחשיך</w:t>
      </w:r>
      <w:r w:rsidRPr="00762875">
        <w:rPr>
          <w:rFonts w:cs="Arial" w:hint="cs"/>
          <w:b/>
          <w:bCs/>
          <w:sz w:val="16"/>
          <w:szCs w:val="16"/>
          <w:rtl/>
        </w:rPr>
        <w:t xml:space="preserve">) </w:t>
      </w:r>
      <w:r>
        <w:rPr>
          <w:rFonts w:cs="Arial" w:hint="cs"/>
          <w:b/>
          <w:bCs/>
          <w:rtl/>
        </w:rPr>
        <w:t>קנג</w:t>
      </w:r>
      <w:r w:rsidRPr="00565331">
        <w:rPr>
          <w:rFonts w:cs="Arial" w:hint="cs"/>
          <w:b/>
          <w:bCs/>
          <w:rtl/>
        </w:rPr>
        <w:t xml:space="preserve"> ע"</w:t>
      </w:r>
      <w:r>
        <w:rPr>
          <w:rFonts w:cs="Arial" w:hint="cs"/>
          <w:b/>
          <w:bCs/>
          <w:rtl/>
        </w:rPr>
        <w:t>א</w:t>
      </w:r>
      <w:r w:rsidRPr="00565331">
        <w:rPr>
          <w:rFonts w:cs="Arial" w:hint="cs"/>
          <w:b/>
          <w:bCs/>
          <w:rtl/>
        </w:rPr>
        <w:t>:</w:t>
      </w:r>
      <w:r>
        <w:rPr>
          <w:rFonts w:cs="Arial" w:hint="cs"/>
          <w:rtl/>
        </w:rPr>
        <w:t xml:space="preserve"> </w:t>
      </w:r>
      <w:r w:rsidRPr="00421772">
        <w:rPr>
          <w:rFonts w:cs="Arial"/>
          <w:u w:val="double"/>
          <w:rtl/>
        </w:rPr>
        <w:t>משנה</w:t>
      </w:r>
      <w:r>
        <w:rPr>
          <w:rFonts w:cs="Arial" w:hint="cs"/>
          <w:rtl/>
        </w:rPr>
        <w:t>:...</w:t>
      </w:r>
      <w:r w:rsidRPr="00672B81">
        <w:rPr>
          <w:rFonts w:cs="Arial"/>
          <w:rtl/>
        </w:rPr>
        <w:t xml:space="preserve"> </w:t>
      </w:r>
      <w:r w:rsidRPr="00E90C01">
        <w:rPr>
          <w:rFonts w:cs="Arial"/>
          <w:rtl/>
        </w:rPr>
        <w:t>הגיע לחצר החיצונה - נוטל את הכלים הניטלין בשבת, ושאינן ניטלין בשבת - מתיר החבלים, והשקין נופלין מאיליהם.</w:t>
      </w:r>
      <w:r>
        <w:rPr>
          <w:rFonts w:hint="cs"/>
          <w:rtl/>
        </w:rPr>
        <w:t xml:space="preserve">       </w:t>
      </w:r>
      <w:r>
        <w:rPr>
          <w:rFonts w:cs="Arial" w:hint="cs"/>
          <w:u w:val="double"/>
          <w:rtl/>
        </w:rPr>
        <w:t>גמרא</w:t>
      </w:r>
      <w:r>
        <w:rPr>
          <w:rFonts w:cs="Arial" w:hint="cs"/>
          <w:sz w:val="14"/>
          <w:szCs w:val="14"/>
          <w:u w:val="double"/>
          <w:rtl/>
        </w:rPr>
        <w:t xml:space="preserve"> (קנד:)</w:t>
      </w:r>
      <w:r>
        <w:rPr>
          <w:rFonts w:cs="Arial" w:hint="cs"/>
          <w:u w:val="double"/>
          <w:rtl/>
        </w:rPr>
        <w:t>:</w:t>
      </w:r>
      <w:r>
        <w:rPr>
          <w:rFonts w:cs="Arial" w:hint="cs"/>
          <w:rtl/>
        </w:rPr>
        <w:t xml:space="preserve"> </w:t>
      </w:r>
      <w:r w:rsidRPr="00E90C01">
        <w:rPr>
          <w:rFonts w:cs="Arial"/>
          <w:rtl/>
        </w:rPr>
        <w:t xml:space="preserve">הגיע לחצר החיצונה. </w:t>
      </w:r>
      <w:r w:rsidRPr="00E90C01">
        <w:rPr>
          <w:rFonts w:cs="Arial"/>
          <w:u w:val="single"/>
          <w:rtl/>
        </w:rPr>
        <w:t>אמר רב הונא</w:t>
      </w:r>
      <w:r w:rsidRPr="00E90C01">
        <w:rPr>
          <w:rFonts w:cs="Arial"/>
          <w:rtl/>
        </w:rPr>
        <w:t>: היתה בהמתו טעונה כלי זכוכית</w:t>
      </w:r>
      <w:r>
        <w:rPr>
          <w:rStyle w:val="a9"/>
          <w:rFonts w:cs="Arial"/>
          <w:rtl/>
        </w:rPr>
        <w:footnoteReference w:id="760"/>
      </w:r>
      <w:r w:rsidRPr="00E90C01">
        <w:rPr>
          <w:rFonts w:cs="Arial"/>
          <w:rtl/>
        </w:rPr>
        <w:t xml:space="preserve"> - מביא כרים וכסתות ומניח תחתיה, ומתיר החבלים והשקין נופלים. והאנן תנן: נוטל את הכלים הניטלין</w:t>
      </w:r>
      <w:r>
        <w:rPr>
          <w:rStyle w:val="a9"/>
          <w:rFonts w:cs="Arial"/>
          <w:rtl/>
        </w:rPr>
        <w:footnoteReference w:id="761"/>
      </w:r>
      <w:r w:rsidRPr="00E90C01">
        <w:rPr>
          <w:rFonts w:cs="Arial"/>
          <w:rtl/>
        </w:rPr>
        <w:t xml:space="preserve"> בשבת! כי קאמר רב הונא - בקרני דאומנא</w:t>
      </w:r>
      <w:r>
        <w:rPr>
          <w:rStyle w:val="a9"/>
          <w:rFonts w:cs="Arial"/>
          <w:rtl/>
        </w:rPr>
        <w:footnoteReference w:id="762"/>
      </w:r>
      <w:r w:rsidRPr="00E90C01">
        <w:rPr>
          <w:rFonts w:cs="Arial"/>
          <w:rtl/>
        </w:rPr>
        <w:t>, דלא חזיא ליה. והא קא מבטל כלי מהיכנו</w:t>
      </w:r>
      <w:r>
        <w:rPr>
          <w:rStyle w:val="a9"/>
          <w:rFonts w:cs="Arial"/>
          <w:rtl/>
        </w:rPr>
        <w:footnoteReference w:id="763"/>
      </w:r>
      <w:r w:rsidRPr="00E90C01">
        <w:rPr>
          <w:rFonts w:cs="Arial"/>
          <w:rtl/>
        </w:rPr>
        <w:t>! בשליפי זוטרי</w:t>
      </w:r>
      <w:r>
        <w:rPr>
          <w:rStyle w:val="a9"/>
          <w:rFonts w:cs="Arial"/>
          <w:rtl/>
        </w:rPr>
        <w:footnoteReference w:id="764"/>
      </w:r>
      <w:r w:rsidRPr="00E90C01">
        <w:rPr>
          <w:rFonts w:cs="Arial"/>
          <w:rtl/>
        </w:rPr>
        <w:t>. מיתיבי: היתה בהמתו טעונה טבל ועששיות</w:t>
      </w:r>
      <w:r>
        <w:rPr>
          <w:rStyle w:val="a9"/>
          <w:rFonts w:cs="Arial"/>
          <w:rtl/>
        </w:rPr>
        <w:footnoteReference w:id="765"/>
      </w:r>
      <w:r w:rsidRPr="00E90C01">
        <w:rPr>
          <w:rFonts w:cs="Arial"/>
          <w:rtl/>
        </w:rPr>
        <w:t xml:space="preserve"> - מתיר את החבלים והשקין נופלין, ואף על פי שמשתברין. התם בכולסא</w:t>
      </w:r>
      <w:r>
        <w:rPr>
          <w:rStyle w:val="a9"/>
          <w:rFonts w:cs="Arial"/>
          <w:rtl/>
        </w:rPr>
        <w:footnoteReference w:id="766"/>
      </w:r>
      <w:r w:rsidRPr="00E90C01">
        <w:rPr>
          <w:rFonts w:cs="Arial"/>
          <w:rtl/>
        </w:rPr>
        <w:t>. דיקא נמי, דקתני דומיא דטבל. מה טבל - דלא חזי ליה</w:t>
      </w:r>
      <w:r>
        <w:rPr>
          <w:rStyle w:val="a9"/>
          <w:rFonts w:cs="Arial"/>
          <w:rtl/>
        </w:rPr>
        <w:footnoteReference w:id="767"/>
      </w:r>
      <w:r w:rsidRPr="00E90C01">
        <w:rPr>
          <w:rFonts w:cs="Arial"/>
          <w:rtl/>
        </w:rPr>
        <w:t>, אף הכא נמי - לא חזי ליה. ומאי אף על פי שמשתברין</w:t>
      </w:r>
      <w:r>
        <w:rPr>
          <w:rStyle w:val="a9"/>
          <w:rFonts w:cs="Arial"/>
          <w:rtl/>
        </w:rPr>
        <w:footnoteReference w:id="768"/>
      </w:r>
      <w:r w:rsidRPr="00E90C01">
        <w:rPr>
          <w:rFonts w:cs="Arial"/>
          <w:rtl/>
        </w:rPr>
        <w:t xml:space="preserve"> - מהו דתימא: להפסד מועט נמי חששו</w:t>
      </w:r>
      <w:r>
        <w:rPr>
          <w:rStyle w:val="a9"/>
          <w:rFonts w:cs="Arial"/>
          <w:rtl/>
        </w:rPr>
        <w:footnoteReference w:id="769"/>
      </w:r>
      <w:r w:rsidRPr="00E90C01">
        <w:rPr>
          <w:rFonts w:cs="Arial"/>
          <w:rtl/>
        </w:rPr>
        <w:t xml:space="preserve">, קא משמע לן. </w:t>
      </w:r>
      <w:r w:rsidRPr="005C28EC">
        <w:rPr>
          <w:rFonts w:cs="Arial" w:hint="cs"/>
          <w:sz w:val="16"/>
          <w:szCs w:val="16"/>
          <w:rtl/>
        </w:rPr>
        <w:t>(</w:t>
      </w:r>
      <w:r w:rsidRPr="005C28EC">
        <w:rPr>
          <w:rFonts w:cs="Arial"/>
          <w:sz w:val="16"/>
          <w:szCs w:val="16"/>
          <w:rtl/>
        </w:rPr>
        <w:t>ומשום דאוקימנא הא דרב הונא בקרני דאומנא כתב רבינו היתה טעונה כלי זכוכית שאסור לטלטלם כלומר היתה טעונה כלי זכוכית מאותם כלים שאסור לטלטלם כגון קרני דאומנא</w:t>
      </w:r>
      <w:r w:rsidRPr="005C28EC">
        <w:rPr>
          <w:rFonts w:cs="Arial" w:hint="cs"/>
          <w:sz w:val="16"/>
          <w:szCs w:val="16"/>
          <w:rtl/>
        </w:rPr>
        <w:t>, ב"י)</w:t>
      </w:r>
    </w:p>
    <w:p w14:paraId="77E59021" w14:textId="77777777" w:rsidR="004B2E7C" w:rsidRPr="00967692" w:rsidRDefault="004B2E7C" w:rsidP="00434A6A">
      <w:pPr>
        <w:rPr>
          <w:u w:val="single"/>
          <w:rtl/>
        </w:rPr>
      </w:pPr>
      <w:r w:rsidRPr="005C28EC">
        <w:rPr>
          <w:rFonts w:cs="Arial"/>
          <w:u w:val="single"/>
          <w:rtl/>
        </w:rPr>
        <w:t>הגיע לחצר הראשונה המשתמרת –</w:t>
      </w:r>
      <w:r w:rsidRPr="005C28EC">
        <w:rPr>
          <w:rFonts w:hint="cs"/>
          <w:u w:val="single"/>
          <w:rtl/>
        </w:rPr>
        <w:t xml:space="preserve"> כיצד פורק</w:t>
      </w:r>
      <w:r>
        <w:rPr>
          <w:rFonts w:hint="cs"/>
          <w:u w:val="single"/>
          <w:rtl/>
        </w:rPr>
        <w:t xml:space="preserve"> את המשוי</w:t>
      </w:r>
      <w:r w:rsidRPr="00967692">
        <w:rPr>
          <w:rFonts w:hint="cs"/>
          <w:u w:val="single"/>
          <w:rtl/>
        </w:rPr>
        <w:t>:</w:t>
      </w:r>
    </w:p>
    <w:p w14:paraId="3CD730A8" w14:textId="77777777" w:rsidR="004B2E7C" w:rsidRPr="00F66CBE" w:rsidRDefault="004B2E7C" w:rsidP="00FF2D21">
      <w:pPr>
        <w:pStyle w:val="aa"/>
        <w:numPr>
          <w:ilvl w:val="0"/>
          <w:numId w:val="93"/>
        </w:numPr>
      </w:pPr>
      <w:r>
        <w:rPr>
          <w:rFonts w:cs="Arial" w:hint="cs"/>
          <w:rtl/>
        </w:rPr>
        <w:t xml:space="preserve">טור- </w:t>
      </w:r>
      <w:r w:rsidRPr="00BA4E2A">
        <w:rPr>
          <w:rFonts w:cs="Arial"/>
          <w:rtl/>
        </w:rPr>
        <w:t>הגיע לחצר הראשונה המשתמרת נוטל מעל החמור כלים הניטלין ושאינן ניטלין מתיר החבלים והשקים נופלין היתה טעונה כלי זכוכית שאסור לטלטלם וישברו אם יפלו לארץ מניח תחתיהם כרים וכסתות ודוקא במשאות קטנים שיכול לשומטן מתחתיהם ונמצא שאינו מבטל כלי מהיכנו אבל אם הן גדולים שאינו יכול לשמוט הכרים מתחתיהם אסור ליתנן תחתיהן אלא פורקן בנחת</w:t>
      </w:r>
      <w:r>
        <w:rPr>
          <w:rStyle w:val="a9"/>
          <w:rFonts w:cs="Arial"/>
          <w:rtl/>
        </w:rPr>
        <w:footnoteReference w:id="770"/>
      </w:r>
      <w:r w:rsidRPr="00BA4E2A">
        <w:rPr>
          <w:rFonts w:cs="Arial"/>
          <w:rtl/>
        </w:rPr>
        <w:t xml:space="preserve">. </w:t>
      </w:r>
      <w:r w:rsidRPr="00A163AF">
        <w:rPr>
          <w:rFonts w:hint="cs"/>
          <w:color w:val="E36C0A" w:themeColor="accent6" w:themeShade="BF"/>
          <w:rtl/>
        </w:rPr>
        <w:t>(וכ"</w:t>
      </w:r>
      <w:r>
        <w:rPr>
          <w:rFonts w:hint="cs"/>
          <w:color w:val="E36C0A" w:themeColor="accent6" w:themeShade="BF"/>
          <w:rtl/>
        </w:rPr>
        <w:t>פ</w:t>
      </w:r>
      <w:r w:rsidRPr="00A163AF">
        <w:rPr>
          <w:rFonts w:hint="cs"/>
          <w:color w:val="E36C0A" w:themeColor="accent6" w:themeShade="BF"/>
          <w:rtl/>
        </w:rPr>
        <w:t xml:space="preserve"> בשו"ע)</w:t>
      </w:r>
    </w:p>
    <w:p w14:paraId="267281D0"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1EAC7CE" w14:textId="77777777" w:rsidR="004B2E7C" w:rsidRDefault="004B2E7C" w:rsidP="00434A6A">
      <w:pPr>
        <w:rPr>
          <w:rFonts w:asciiTheme="minorBidi" w:hAnsiTheme="minorBidi"/>
          <w:rtl/>
        </w:rPr>
      </w:pPr>
      <w:r w:rsidRPr="00CC2350">
        <w:rPr>
          <w:rFonts w:asciiTheme="minorBidi" w:hAnsiTheme="minorBidi" w:cs="Arial"/>
          <w:rtl/>
        </w:rPr>
        <w:t>הגיע לחצר</w:t>
      </w:r>
      <w:r>
        <w:rPr>
          <w:rStyle w:val="a9"/>
          <w:rFonts w:asciiTheme="minorBidi" w:hAnsiTheme="minorBidi" w:cs="Arial"/>
          <w:rtl/>
        </w:rPr>
        <w:footnoteReference w:id="771"/>
      </w:r>
      <w:r w:rsidRPr="00CC2350">
        <w:rPr>
          <w:rFonts w:asciiTheme="minorBidi" w:hAnsiTheme="minorBidi" w:cs="Arial"/>
          <w:rtl/>
        </w:rPr>
        <w:t xml:space="preserve"> החיצונה המשתמרת, נוטל מעל החמור כלים הנטלים</w:t>
      </w:r>
      <w:r>
        <w:rPr>
          <w:rStyle w:val="a9"/>
          <w:rFonts w:asciiTheme="minorBidi" w:hAnsiTheme="minorBidi" w:cs="Arial"/>
          <w:rtl/>
        </w:rPr>
        <w:footnoteReference w:id="772"/>
      </w:r>
      <w:r>
        <w:rPr>
          <w:rFonts w:asciiTheme="minorBidi" w:hAnsiTheme="minorBidi" w:cs="Arial" w:hint="cs"/>
          <w:rtl/>
        </w:rPr>
        <w:t>,</w:t>
      </w:r>
      <w:r w:rsidRPr="00CC2350">
        <w:rPr>
          <w:rFonts w:asciiTheme="minorBidi" w:hAnsiTheme="minorBidi" w:cs="Arial"/>
          <w:rtl/>
        </w:rPr>
        <w:t xml:space="preserve"> ושאינם נטלים מתיר את החבלים והשקים נופלים. ואם היתה טעונה כלי זכוכית שאסור לטלטלם, כגון שהם כוסות של מקיזי דם שאין ראוים בשבת לכלום לפי שהם מאוסים</w:t>
      </w:r>
      <w:r>
        <w:rPr>
          <w:rStyle w:val="a9"/>
          <w:rFonts w:asciiTheme="minorBidi" w:hAnsiTheme="minorBidi" w:cs="Arial"/>
          <w:rtl/>
        </w:rPr>
        <w:footnoteReference w:id="773"/>
      </w:r>
      <w:r w:rsidRPr="00CC2350">
        <w:rPr>
          <w:rFonts w:asciiTheme="minorBidi" w:hAnsiTheme="minorBidi" w:cs="Arial"/>
          <w:rtl/>
        </w:rPr>
        <w:t xml:space="preserve"> ואם יפלו לארץ ישברו, מניח תחתיהם כרים וכסתות. ודוקא במשאות קטנים שיכול לשמטן</w:t>
      </w:r>
      <w:r>
        <w:rPr>
          <w:rStyle w:val="a9"/>
          <w:rFonts w:asciiTheme="minorBidi" w:hAnsiTheme="minorBidi" w:cs="Arial"/>
          <w:rtl/>
        </w:rPr>
        <w:footnoteReference w:id="774"/>
      </w:r>
      <w:r w:rsidRPr="00CC2350">
        <w:rPr>
          <w:rFonts w:asciiTheme="minorBidi" w:hAnsiTheme="minorBidi" w:cs="Arial"/>
          <w:rtl/>
        </w:rPr>
        <w:t xml:space="preserve"> מתחתיהן, אבל אם הם גדולות שאינו יכול לשמוט הכרים מתחתיהן, אסור להניחם תחתיהן מפני שמבטל כלי מהיכנו</w:t>
      </w:r>
      <w:r>
        <w:rPr>
          <w:rFonts w:asciiTheme="minorBidi" w:hAnsiTheme="minorBidi" w:cs="Arial" w:hint="cs"/>
          <w:rtl/>
        </w:rPr>
        <w:t>,</w:t>
      </w:r>
      <w:r w:rsidRPr="00CC2350">
        <w:rPr>
          <w:rFonts w:asciiTheme="minorBidi" w:hAnsiTheme="minorBidi" w:cs="Arial"/>
          <w:rtl/>
        </w:rPr>
        <w:t xml:space="preserve"> אלא פורקן בנחת שלא ישברו, ולא יניחם על הבהמה משום צער ב</w:t>
      </w:r>
      <w:r>
        <w:rPr>
          <w:rFonts w:asciiTheme="minorBidi" w:hAnsiTheme="minorBidi" w:cs="Arial" w:hint="cs"/>
          <w:rtl/>
        </w:rPr>
        <w:t>עלי חיים</w:t>
      </w:r>
      <w:r w:rsidRPr="00CC2350">
        <w:rPr>
          <w:rFonts w:asciiTheme="minorBidi" w:hAnsiTheme="minorBidi" w:cs="Arial"/>
          <w:rtl/>
        </w:rPr>
        <w:t xml:space="preserve">. </w:t>
      </w:r>
    </w:p>
    <w:p w14:paraId="76FFE8FF" w14:textId="77777777" w:rsidR="004B2E7C" w:rsidRPr="00CC2350" w:rsidRDefault="004B2E7C" w:rsidP="00434A6A">
      <w:pPr>
        <w:rPr>
          <w:rFonts w:asciiTheme="minorBidi" w:hAnsiTheme="minorBidi"/>
          <w:rtl/>
        </w:rPr>
      </w:pPr>
    </w:p>
    <w:p w14:paraId="529A838F" w14:textId="77777777" w:rsidR="004B2E7C" w:rsidRDefault="004B2E7C" w:rsidP="00434A6A">
      <w:pPr>
        <w:pStyle w:val="2"/>
        <w:rPr>
          <w:rtl/>
        </w:rPr>
      </w:pPr>
      <w:r w:rsidRPr="00CC2350">
        <w:rPr>
          <w:rtl/>
        </w:rPr>
        <w:t>סעיף י</w:t>
      </w:r>
      <w:r>
        <w:rPr>
          <w:rFonts w:hint="cs"/>
          <w:rtl/>
        </w:rPr>
        <w:t xml:space="preserve">: </w:t>
      </w:r>
      <w:r w:rsidRPr="00CC2350">
        <w:rPr>
          <w:rFonts w:asciiTheme="minorBidi" w:hAnsiTheme="minorBidi"/>
          <w:rtl/>
        </w:rPr>
        <w:t>חשכה לו בדרך ותפילין בראשו</w:t>
      </w:r>
      <w:r>
        <w:rPr>
          <w:rFonts w:hint="cs"/>
          <w:rtl/>
        </w:rPr>
        <w:t>.</w:t>
      </w:r>
    </w:p>
    <w:p w14:paraId="0CB5E7C8" w14:textId="77777777" w:rsidR="004B2E7C" w:rsidRDefault="004B2E7C" w:rsidP="00434A6A">
      <w:pPr>
        <w:rPr>
          <w:rtl/>
        </w:rPr>
      </w:pPr>
      <w:r w:rsidRPr="00C70D69">
        <w:rPr>
          <w:rFonts w:hint="cs"/>
          <w:b/>
          <w:bCs/>
          <w:rtl/>
        </w:rPr>
        <w:t xml:space="preserve">ביצה </w:t>
      </w:r>
      <w:r w:rsidRPr="00C70D69">
        <w:rPr>
          <w:rFonts w:hint="cs"/>
          <w:b/>
          <w:bCs/>
          <w:sz w:val="16"/>
          <w:szCs w:val="16"/>
          <w:rtl/>
        </w:rPr>
        <w:t xml:space="preserve">(ספ"ק) </w:t>
      </w:r>
      <w:r w:rsidRPr="00C70D69">
        <w:rPr>
          <w:rFonts w:hint="cs"/>
          <w:b/>
          <w:bCs/>
          <w:rtl/>
        </w:rPr>
        <w:t>טו ע"א:</w:t>
      </w:r>
      <w:r>
        <w:rPr>
          <w:rFonts w:hint="cs"/>
          <w:rtl/>
        </w:rPr>
        <w:t xml:space="preserve"> </w:t>
      </w:r>
      <w:r w:rsidRPr="001C5D6E">
        <w:rPr>
          <w:rFonts w:cs="Arial"/>
          <w:u w:val="single"/>
          <w:rtl/>
        </w:rPr>
        <w:t>אמר אביי</w:t>
      </w:r>
      <w:r w:rsidRPr="00C70D69">
        <w:rPr>
          <w:rFonts w:cs="Arial"/>
          <w:rtl/>
        </w:rPr>
        <w:t>: תפלין, הואיל ואתו לידן נימא בהו מילתא: היה בא בדרך ותפלין בראשו, ושקעה עליו חמה - מניח ידו עליהן</w:t>
      </w:r>
      <w:r>
        <w:rPr>
          <w:rStyle w:val="a9"/>
          <w:rFonts w:cs="Arial"/>
          <w:rtl/>
        </w:rPr>
        <w:footnoteReference w:id="775"/>
      </w:r>
      <w:r w:rsidRPr="00C70D69">
        <w:rPr>
          <w:rFonts w:cs="Arial"/>
          <w:rtl/>
        </w:rPr>
        <w:t xml:space="preserve"> עד שמגיע לביתו. היה יושב בבית המדרש</w:t>
      </w:r>
      <w:r>
        <w:rPr>
          <w:rStyle w:val="a9"/>
          <w:rFonts w:cs="Arial"/>
          <w:rtl/>
        </w:rPr>
        <w:footnoteReference w:id="776"/>
      </w:r>
      <w:r w:rsidRPr="00C70D69">
        <w:rPr>
          <w:rFonts w:cs="Arial"/>
          <w:rtl/>
        </w:rPr>
        <w:t xml:space="preserve"> ותפלין בראשו, וקדש עליו היום - מניח ידו עליהן עד שמגיע לביתו. </w:t>
      </w:r>
      <w:r w:rsidRPr="00CB3AAB">
        <w:rPr>
          <w:rFonts w:cs="Arial"/>
          <w:u w:val="single"/>
          <w:rtl/>
        </w:rPr>
        <w:t>מתיב רב הונא בריה דרב איקא</w:t>
      </w:r>
      <w:r w:rsidRPr="00C70D69">
        <w:rPr>
          <w:rFonts w:cs="Arial"/>
          <w:rtl/>
        </w:rPr>
        <w:t>: היה בא בדרך ותפלין בראשו וקדש עליו היום - מניח ידו עליהן עד שמגיע לבית הסמוך לחומה, היה יושב בבית המדרש וקדש עליו היום - מניח ידו עליהן עד שמגיע לבית הסמוך לבית המדרש! לא קשיא</w:t>
      </w:r>
      <w:r>
        <w:rPr>
          <w:rFonts w:cs="Arial" w:hint="cs"/>
          <w:rtl/>
        </w:rPr>
        <w:t>,</w:t>
      </w:r>
      <w:r w:rsidRPr="00C70D69">
        <w:rPr>
          <w:rFonts w:cs="Arial"/>
          <w:rtl/>
        </w:rPr>
        <w:t xml:space="preserve"> הא - דמנטרא, הא - דלא מנטרא. אי דלא מנטרא, מאי איריא בראשו? אפילו מחתן בארעא נמי</w:t>
      </w:r>
      <w:r>
        <w:rPr>
          <w:rStyle w:val="a9"/>
          <w:rFonts w:cs="Arial"/>
          <w:rtl/>
        </w:rPr>
        <w:footnoteReference w:id="777"/>
      </w:r>
      <w:r w:rsidRPr="00C70D69">
        <w:rPr>
          <w:rFonts w:cs="Arial"/>
          <w:rtl/>
        </w:rPr>
        <w:t>! דהא תנן: המוצא תפלין מכניסן זוג זוג</w:t>
      </w:r>
      <w:r>
        <w:rPr>
          <w:rStyle w:val="a9"/>
          <w:rFonts w:cs="Arial"/>
          <w:rtl/>
        </w:rPr>
        <w:footnoteReference w:id="778"/>
      </w:r>
      <w:r w:rsidRPr="00C70D69">
        <w:rPr>
          <w:rFonts w:cs="Arial"/>
          <w:rtl/>
        </w:rPr>
        <w:t>! לא קשיא</w:t>
      </w:r>
      <w:r>
        <w:rPr>
          <w:rFonts w:cs="Arial" w:hint="cs"/>
          <w:rtl/>
        </w:rPr>
        <w:t>,</w:t>
      </w:r>
      <w:r w:rsidRPr="00C70D69">
        <w:rPr>
          <w:rFonts w:cs="Arial"/>
          <w:rtl/>
        </w:rPr>
        <w:t xml:space="preserve"> הא - דמנטרא מחמת גנבי ומחמת כלבי, הא דמנטרא מחמת כלבי, ולא מנטרא מחמת גנבי</w:t>
      </w:r>
      <w:r>
        <w:rPr>
          <w:rStyle w:val="a9"/>
          <w:rFonts w:cs="Arial"/>
          <w:rtl/>
        </w:rPr>
        <w:footnoteReference w:id="779"/>
      </w:r>
      <w:r w:rsidRPr="00C70D69">
        <w:rPr>
          <w:rFonts w:cs="Arial"/>
          <w:rtl/>
        </w:rPr>
        <w:t>. מהו דתימא: רוב לסטים ישראל נינהו, ולא מזלזלי בהו, קא משמע לן.</w:t>
      </w:r>
      <w:r w:rsidRPr="001C5D6E">
        <w:rPr>
          <w:sz w:val="16"/>
          <w:szCs w:val="16"/>
          <w:rtl/>
        </w:rPr>
        <w:t xml:space="preserve"> </w:t>
      </w:r>
      <w:r w:rsidRPr="001C5D6E">
        <w:rPr>
          <w:rFonts w:cs="Arial" w:hint="cs"/>
          <w:sz w:val="16"/>
          <w:szCs w:val="16"/>
          <w:rtl/>
        </w:rPr>
        <w:t>(</w:t>
      </w:r>
      <w:r w:rsidRPr="001C5D6E">
        <w:rPr>
          <w:rFonts w:cs="Arial"/>
          <w:sz w:val="16"/>
          <w:szCs w:val="16"/>
          <w:rtl/>
        </w:rPr>
        <w:t>והביאה הרמב"ם בסוף פי"ט מהלכות שבת</w:t>
      </w:r>
      <w:r w:rsidRPr="001C5D6E">
        <w:rPr>
          <w:rFonts w:hint="cs"/>
          <w:sz w:val="16"/>
          <w:szCs w:val="16"/>
          <w:rtl/>
        </w:rPr>
        <w:t>, ב"י)</w:t>
      </w:r>
    </w:p>
    <w:p w14:paraId="3989AD89" w14:textId="77777777" w:rsidR="004B2E7C" w:rsidRPr="00C70D69" w:rsidRDefault="004B2E7C" w:rsidP="00434A6A">
      <w:pPr>
        <w:rPr>
          <w:u w:val="single"/>
          <w:rtl/>
        </w:rPr>
      </w:pPr>
      <w:r w:rsidRPr="00C70D69">
        <w:rPr>
          <w:rFonts w:asciiTheme="minorBidi" w:hAnsiTheme="minorBidi" w:cs="Arial"/>
          <w:u w:val="single"/>
          <w:rtl/>
        </w:rPr>
        <w:t>חשכה לו בדרך ותפילין בראשו</w:t>
      </w:r>
      <w:r w:rsidRPr="00C70D69">
        <w:rPr>
          <w:rFonts w:hint="cs"/>
          <w:u w:val="single"/>
          <w:rtl/>
        </w:rPr>
        <w:t>:</w:t>
      </w:r>
    </w:p>
    <w:p w14:paraId="71D33E5A" w14:textId="77777777" w:rsidR="004B2E7C" w:rsidRPr="00F66CBE" w:rsidRDefault="004B2E7C" w:rsidP="00FF2D21">
      <w:pPr>
        <w:pStyle w:val="aa"/>
        <w:numPr>
          <w:ilvl w:val="0"/>
          <w:numId w:val="93"/>
        </w:numPr>
        <w:rPr>
          <w:rtl/>
        </w:rPr>
      </w:pPr>
      <w:r>
        <w:rPr>
          <w:rFonts w:cs="Arial" w:hint="cs"/>
          <w:rtl/>
        </w:rPr>
        <w:t xml:space="preserve">טור- </w:t>
      </w:r>
      <w:r w:rsidRPr="00BA4E2A">
        <w:rPr>
          <w:rFonts w:cs="Arial"/>
          <w:rtl/>
        </w:rPr>
        <w:t>חשכה לו בדרך ותפילין בראשו</w:t>
      </w:r>
      <w:r>
        <w:rPr>
          <w:rFonts w:cs="Arial" w:hint="cs"/>
          <w:rtl/>
        </w:rPr>
        <w:t>,</w:t>
      </w:r>
      <w:r w:rsidRPr="00BA4E2A">
        <w:rPr>
          <w:rFonts w:cs="Arial"/>
          <w:rtl/>
        </w:rPr>
        <w:t xml:space="preserve"> או שיושב בבית המדרש וחשכה לו והן בראשו </w:t>
      </w:r>
      <w:r>
        <w:rPr>
          <w:rFonts w:cs="Arial" w:hint="cs"/>
          <w:rtl/>
        </w:rPr>
        <w:t xml:space="preserve">- </w:t>
      </w:r>
      <w:r w:rsidRPr="00BA4E2A">
        <w:rPr>
          <w:rFonts w:cs="Arial"/>
          <w:rtl/>
        </w:rPr>
        <w:t>מניח ידו עליהן עד שמגיע לביתו</w:t>
      </w:r>
      <w:r>
        <w:rPr>
          <w:rFonts w:cs="Arial" w:hint="cs"/>
          <w:rtl/>
        </w:rPr>
        <w:t>.</w:t>
      </w:r>
      <w:r w:rsidRPr="00BA4E2A">
        <w:rPr>
          <w:rFonts w:cs="Arial"/>
          <w:rtl/>
        </w:rPr>
        <w:t xml:space="preserve"> ואם יש בית סמוך לחומה שנשמרים בתוכו</w:t>
      </w:r>
      <w:r>
        <w:rPr>
          <w:rFonts w:cs="Arial" w:hint="cs"/>
          <w:rtl/>
        </w:rPr>
        <w:t xml:space="preserve"> -</w:t>
      </w:r>
      <w:r w:rsidRPr="00BA4E2A">
        <w:rPr>
          <w:rFonts w:cs="Arial"/>
          <w:rtl/>
        </w:rPr>
        <w:t xml:space="preserve"> מניחן שם. </w:t>
      </w:r>
      <w:r w:rsidRPr="00A163AF">
        <w:rPr>
          <w:rFonts w:hint="cs"/>
          <w:color w:val="E36C0A" w:themeColor="accent6" w:themeShade="BF"/>
          <w:rtl/>
        </w:rPr>
        <w:t>(וכ"</w:t>
      </w:r>
      <w:r>
        <w:rPr>
          <w:rFonts w:hint="cs"/>
          <w:color w:val="E36C0A" w:themeColor="accent6" w:themeShade="BF"/>
          <w:rtl/>
        </w:rPr>
        <w:t>פ</w:t>
      </w:r>
      <w:r w:rsidRPr="00A163AF">
        <w:rPr>
          <w:rFonts w:hint="cs"/>
          <w:color w:val="E36C0A" w:themeColor="accent6" w:themeShade="BF"/>
          <w:rtl/>
        </w:rPr>
        <w:t xml:space="preserve"> בשו"ע)</w:t>
      </w:r>
    </w:p>
    <w:p w14:paraId="500BFDE0"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7176BE3" w14:textId="77777777" w:rsidR="004B2E7C" w:rsidRDefault="004B2E7C" w:rsidP="00434A6A">
      <w:pPr>
        <w:rPr>
          <w:rFonts w:asciiTheme="minorBidi" w:hAnsiTheme="minorBidi"/>
          <w:rtl/>
        </w:rPr>
      </w:pPr>
      <w:r w:rsidRPr="00CC2350">
        <w:rPr>
          <w:rFonts w:asciiTheme="minorBidi" w:hAnsiTheme="minorBidi" w:cs="Arial"/>
          <w:rtl/>
        </w:rPr>
        <w:t>חשכה לו בדרך ותפילין בראשו, או שיושב בב</w:t>
      </w:r>
      <w:r>
        <w:rPr>
          <w:rFonts w:asciiTheme="minorBidi" w:hAnsiTheme="minorBidi" w:cs="Arial" w:hint="cs"/>
          <w:rtl/>
        </w:rPr>
        <w:t>ית המדרש</w:t>
      </w:r>
      <w:r w:rsidRPr="00CC2350">
        <w:rPr>
          <w:rFonts w:asciiTheme="minorBidi" w:hAnsiTheme="minorBidi" w:cs="Arial"/>
          <w:rtl/>
        </w:rPr>
        <w:t xml:space="preserve"> בשדה וחשכה לו, מניח ידו עליהם עד שמגיע לביתו</w:t>
      </w:r>
      <w:r>
        <w:rPr>
          <w:rFonts w:asciiTheme="minorBidi" w:hAnsiTheme="minorBidi" w:cs="Arial" w:hint="cs"/>
          <w:rtl/>
        </w:rPr>
        <w:t>.</w:t>
      </w:r>
      <w:r w:rsidRPr="00CC2350">
        <w:rPr>
          <w:rFonts w:asciiTheme="minorBidi" w:hAnsiTheme="minorBidi" w:cs="Arial"/>
          <w:rtl/>
        </w:rPr>
        <w:t xml:space="preserve"> ואם יש בית סמוך לחומה שנשמרים בתוכו, מניחן שם. </w:t>
      </w:r>
    </w:p>
    <w:p w14:paraId="5892EAC9" w14:textId="77777777" w:rsidR="004B2E7C" w:rsidRPr="00CC2350" w:rsidRDefault="004B2E7C" w:rsidP="00434A6A">
      <w:pPr>
        <w:rPr>
          <w:rFonts w:asciiTheme="minorBidi" w:hAnsiTheme="minorBidi"/>
          <w:rtl/>
        </w:rPr>
      </w:pPr>
    </w:p>
    <w:p w14:paraId="1745FCA9" w14:textId="77777777" w:rsidR="004B2E7C" w:rsidRDefault="004B2E7C" w:rsidP="00434A6A">
      <w:pPr>
        <w:pStyle w:val="2"/>
        <w:rPr>
          <w:rtl/>
        </w:rPr>
      </w:pPr>
      <w:r w:rsidRPr="00CC2350">
        <w:rPr>
          <w:rtl/>
        </w:rPr>
        <w:t>סעיף יא</w:t>
      </w:r>
      <w:r>
        <w:rPr>
          <w:rFonts w:hint="cs"/>
          <w:rtl/>
        </w:rPr>
        <w:t>:</w:t>
      </w:r>
      <w:r w:rsidRPr="0028671B">
        <w:rPr>
          <w:rtl/>
        </w:rPr>
        <w:t xml:space="preserve"> </w:t>
      </w:r>
      <w:r w:rsidRPr="00BA4E2A">
        <w:rPr>
          <w:rtl/>
        </w:rPr>
        <w:t>היתה חבילתו מונחת על כתפו וקדש עליו היום</w:t>
      </w:r>
      <w:r>
        <w:rPr>
          <w:rFonts w:hint="cs"/>
          <w:rtl/>
        </w:rPr>
        <w:t>.</w:t>
      </w:r>
    </w:p>
    <w:p w14:paraId="72FA987D" w14:textId="77777777" w:rsidR="004B2E7C" w:rsidRDefault="004B2E7C" w:rsidP="00434A6A">
      <w:pPr>
        <w:rPr>
          <w:rtl/>
        </w:rPr>
      </w:pPr>
      <w:r w:rsidRPr="00565331">
        <w:rPr>
          <w:rFonts w:cs="Arial" w:hint="cs"/>
          <w:b/>
          <w:bCs/>
          <w:rtl/>
        </w:rPr>
        <w:t xml:space="preserve">שבת </w:t>
      </w:r>
      <w:r w:rsidRPr="00762875">
        <w:rPr>
          <w:rFonts w:cs="Arial" w:hint="cs"/>
          <w:b/>
          <w:bCs/>
          <w:sz w:val="16"/>
          <w:szCs w:val="16"/>
          <w:rtl/>
        </w:rPr>
        <w:t>(</w:t>
      </w:r>
      <w:r>
        <w:rPr>
          <w:rFonts w:cs="Arial" w:hint="cs"/>
          <w:b/>
          <w:bCs/>
          <w:sz w:val="16"/>
          <w:szCs w:val="16"/>
          <w:rtl/>
        </w:rPr>
        <w:t>ר"פ מי שהחשיך</w:t>
      </w:r>
      <w:r w:rsidRPr="00762875">
        <w:rPr>
          <w:rFonts w:cs="Arial" w:hint="cs"/>
          <w:b/>
          <w:bCs/>
          <w:sz w:val="16"/>
          <w:szCs w:val="16"/>
          <w:rtl/>
        </w:rPr>
        <w:t xml:space="preserve">) </w:t>
      </w:r>
      <w:r>
        <w:rPr>
          <w:rFonts w:cs="Arial" w:hint="cs"/>
          <w:b/>
          <w:bCs/>
          <w:rtl/>
        </w:rPr>
        <w:t>קנג</w:t>
      </w:r>
      <w:r w:rsidRPr="00565331">
        <w:rPr>
          <w:rFonts w:cs="Arial" w:hint="cs"/>
          <w:b/>
          <w:bCs/>
          <w:rtl/>
        </w:rPr>
        <w:t xml:space="preserve"> ע"</w:t>
      </w:r>
      <w:r>
        <w:rPr>
          <w:rFonts w:cs="Arial" w:hint="cs"/>
          <w:b/>
          <w:bCs/>
          <w:rtl/>
        </w:rPr>
        <w:t>ב</w:t>
      </w:r>
      <w:r w:rsidRPr="00565331">
        <w:rPr>
          <w:rFonts w:cs="Arial" w:hint="cs"/>
          <w:b/>
          <w:bCs/>
          <w:rtl/>
        </w:rPr>
        <w:t>:</w:t>
      </w:r>
      <w:r>
        <w:rPr>
          <w:rFonts w:cs="Arial" w:hint="cs"/>
          <w:rtl/>
        </w:rPr>
        <w:t xml:space="preserve"> </w:t>
      </w:r>
      <w:r w:rsidRPr="0028671B">
        <w:rPr>
          <w:rFonts w:cs="Arial"/>
          <w:u w:val="single"/>
          <w:rtl/>
        </w:rPr>
        <w:t>אמר רב אדא בר אהבה</w:t>
      </w:r>
      <w:r w:rsidRPr="0028671B">
        <w:rPr>
          <w:rFonts w:cs="Arial"/>
          <w:rtl/>
        </w:rPr>
        <w:t>: היתה חבילתו מונחת לו על כתיפו</w:t>
      </w:r>
      <w:r>
        <w:rPr>
          <w:rStyle w:val="a9"/>
          <w:rFonts w:cs="Arial"/>
          <w:rtl/>
        </w:rPr>
        <w:footnoteReference w:id="780"/>
      </w:r>
      <w:r w:rsidRPr="0028671B">
        <w:rPr>
          <w:rFonts w:cs="Arial"/>
          <w:rtl/>
        </w:rPr>
        <w:t xml:space="preserve"> - רץ תחתיה</w:t>
      </w:r>
      <w:r>
        <w:rPr>
          <w:rStyle w:val="a9"/>
          <w:rFonts w:cs="Arial"/>
          <w:rtl/>
        </w:rPr>
        <w:footnoteReference w:id="781"/>
      </w:r>
      <w:r w:rsidRPr="0028671B">
        <w:rPr>
          <w:rFonts w:cs="Arial"/>
          <w:rtl/>
        </w:rPr>
        <w:t xml:space="preserve"> עד שמגיע לביתו. דוקא רץ, אבל קלי קלי</w:t>
      </w:r>
      <w:r>
        <w:rPr>
          <w:rStyle w:val="a9"/>
          <w:rFonts w:cs="Arial"/>
          <w:rtl/>
        </w:rPr>
        <w:footnoteReference w:id="782"/>
      </w:r>
      <w:r w:rsidRPr="0028671B">
        <w:rPr>
          <w:rFonts w:cs="Arial"/>
          <w:rtl/>
        </w:rPr>
        <w:t xml:space="preserve"> - לא. מאי טעמא? כיון דלית ליה היכירא - אתי למיעבד עקירה והנחה</w:t>
      </w:r>
      <w:r>
        <w:rPr>
          <w:rStyle w:val="a9"/>
          <w:rFonts w:cs="Arial"/>
          <w:rtl/>
        </w:rPr>
        <w:footnoteReference w:id="783"/>
      </w:r>
      <w:r w:rsidRPr="0028671B">
        <w:rPr>
          <w:rFonts w:cs="Arial"/>
          <w:rtl/>
        </w:rPr>
        <w:t>, סוף סוף, כי מטא לביתיה אי אפשר דלא קאי פורתא, וקמעייל מרשות הרבים לרשות היחיד! דזריק ליה כלאחר יד</w:t>
      </w:r>
      <w:r>
        <w:rPr>
          <w:rStyle w:val="a9"/>
          <w:rFonts w:cs="Arial"/>
          <w:rtl/>
        </w:rPr>
        <w:footnoteReference w:id="784"/>
      </w:r>
      <w:r w:rsidRPr="0028671B">
        <w:rPr>
          <w:rFonts w:cs="Arial"/>
          <w:rtl/>
        </w:rPr>
        <w:t>.</w:t>
      </w:r>
      <w:r>
        <w:rPr>
          <w:rFonts w:hint="cs"/>
          <w:rtl/>
        </w:rPr>
        <w:t xml:space="preserve"> </w:t>
      </w:r>
    </w:p>
    <w:p w14:paraId="12B8DCFD" w14:textId="77777777" w:rsidR="004B2E7C" w:rsidRPr="0028671B" w:rsidRDefault="004B2E7C" w:rsidP="00434A6A">
      <w:pPr>
        <w:rPr>
          <w:u w:val="single"/>
          <w:rtl/>
        </w:rPr>
      </w:pPr>
      <w:r w:rsidRPr="0028671B">
        <w:rPr>
          <w:rFonts w:cs="Arial"/>
          <w:u w:val="single"/>
          <w:rtl/>
        </w:rPr>
        <w:t>היתה חבילתו מונחת על כתפו וקדש עליו היום</w:t>
      </w:r>
      <w:r w:rsidRPr="0028671B">
        <w:rPr>
          <w:rFonts w:hint="cs"/>
          <w:u w:val="single"/>
          <w:rtl/>
        </w:rPr>
        <w:t>:</w:t>
      </w:r>
    </w:p>
    <w:p w14:paraId="590286D6" w14:textId="77777777" w:rsidR="004B2E7C" w:rsidRPr="00F66CBE" w:rsidRDefault="004B2E7C" w:rsidP="00FF2D21">
      <w:pPr>
        <w:pStyle w:val="aa"/>
        <w:numPr>
          <w:ilvl w:val="0"/>
          <w:numId w:val="93"/>
        </w:numPr>
        <w:rPr>
          <w:rtl/>
        </w:rPr>
      </w:pPr>
      <w:r>
        <w:rPr>
          <w:rFonts w:cs="Arial" w:hint="cs"/>
          <w:rtl/>
        </w:rPr>
        <w:t xml:space="preserve">טור- </w:t>
      </w:r>
      <w:r w:rsidRPr="00BA4E2A">
        <w:rPr>
          <w:rFonts w:cs="Arial"/>
          <w:rtl/>
        </w:rPr>
        <w:t>היתה חבילתו מונחת על כתפו וקדש עליו היום</w:t>
      </w:r>
      <w:r>
        <w:rPr>
          <w:rFonts w:cs="Arial" w:hint="cs"/>
          <w:rtl/>
        </w:rPr>
        <w:t>,</w:t>
      </w:r>
      <w:r w:rsidRPr="00BA4E2A">
        <w:rPr>
          <w:rFonts w:cs="Arial"/>
          <w:rtl/>
        </w:rPr>
        <w:t xml:space="preserve"> רץ תחתיה עד ביתו וזורק כלאחר יד</w:t>
      </w:r>
      <w:r>
        <w:rPr>
          <w:rFonts w:cs="Arial" w:hint="cs"/>
          <w:rtl/>
        </w:rPr>
        <w:t>,</w:t>
      </w:r>
      <w:r w:rsidRPr="00BA4E2A">
        <w:rPr>
          <w:rFonts w:cs="Arial"/>
          <w:rtl/>
        </w:rPr>
        <w:t xml:space="preserve"> אבל לא ילך לאט</w:t>
      </w:r>
      <w:r>
        <w:rPr>
          <w:rFonts w:cs="Arial" w:hint="cs"/>
          <w:rtl/>
        </w:rPr>
        <w:t>.</w:t>
      </w:r>
      <w:r w:rsidRPr="00CA5160">
        <w:rPr>
          <w:rFonts w:hint="cs"/>
          <w:color w:val="E36C0A" w:themeColor="accent6" w:themeShade="BF"/>
          <w:rtl/>
        </w:rPr>
        <w:t xml:space="preserve"> </w:t>
      </w:r>
      <w:r w:rsidRPr="00A163AF">
        <w:rPr>
          <w:rFonts w:hint="cs"/>
          <w:color w:val="E36C0A" w:themeColor="accent6" w:themeShade="BF"/>
          <w:rtl/>
        </w:rPr>
        <w:t>(וכ"</w:t>
      </w:r>
      <w:r>
        <w:rPr>
          <w:rFonts w:hint="cs"/>
          <w:color w:val="E36C0A" w:themeColor="accent6" w:themeShade="BF"/>
          <w:rtl/>
        </w:rPr>
        <w:t>פ</w:t>
      </w:r>
      <w:r w:rsidRPr="00A163AF">
        <w:rPr>
          <w:rFonts w:hint="cs"/>
          <w:color w:val="E36C0A" w:themeColor="accent6" w:themeShade="BF"/>
          <w:rtl/>
        </w:rPr>
        <w:t xml:space="preserve"> בשו"ע)</w:t>
      </w:r>
    </w:p>
    <w:p w14:paraId="50FBB108"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2C37252" w14:textId="77777777" w:rsidR="004B2E7C" w:rsidRDefault="004B2E7C" w:rsidP="00434A6A">
      <w:pPr>
        <w:rPr>
          <w:rFonts w:asciiTheme="minorBidi" w:hAnsiTheme="minorBidi"/>
          <w:rtl/>
        </w:rPr>
      </w:pPr>
      <w:r w:rsidRPr="00CC2350">
        <w:rPr>
          <w:rFonts w:asciiTheme="minorBidi" w:hAnsiTheme="minorBidi" w:cs="Arial"/>
          <w:rtl/>
        </w:rPr>
        <w:t>היתה חבילתו מונחת על כתיפו וקידש עליו היום, רץ תחתיה</w:t>
      </w:r>
      <w:r>
        <w:rPr>
          <w:rStyle w:val="a9"/>
          <w:rFonts w:asciiTheme="minorBidi" w:hAnsiTheme="minorBidi" w:cs="Arial"/>
          <w:rtl/>
        </w:rPr>
        <w:footnoteReference w:id="785"/>
      </w:r>
      <w:r w:rsidRPr="00CC2350">
        <w:rPr>
          <w:rFonts w:asciiTheme="minorBidi" w:hAnsiTheme="minorBidi" w:cs="Arial"/>
          <w:rtl/>
        </w:rPr>
        <w:t xml:space="preserve"> עד ביתו</w:t>
      </w:r>
      <w:r>
        <w:rPr>
          <w:rFonts w:asciiTheme="minorBidi" w:hAnsiTheme="minorBidi" w:cs="Arial" w:hint="cs"/>
          <w:rtl/>
        </w:rPr>
        <w:t>.</w:t>
      </w:r>
      <w:r w:rsidRPr="00CC2350">
        <w:rPr>
          <w:rFonts w:asciiTheme="minorBidi" w:hAnsiTheme="minorBidi" w:cs="Arial"/>
          <w:rtl/>
        </w:rPr>
        <w:t xml:space="preserve"> ודוקא רץ, אבל לילך לאט, לא, כיון דלית היכירא אתי למעבד עקירה והנחה, דזמנין קאי</w:t>
      </w:r>
      <w:r>
        <w:rPr>
          <w:rStyle w:val="a9"/>
          <w:rFonts w:asciiTheme="minorBidi" w:hAnsiTheme="minorBidi" w:cs="Arial"/>
          <w:rtl/>
        </w:rPr>
        <w:footnoteReference w:id="786"/>
      </w:r>
      <w:r w:rsidRPr="00CC2350">
        <w:rPr>
          <w:rFonts w:asciiTheme="minorBidi" w:hAnsiTheme="minorBidi" w:cs="Arial"/>
          <w:rtl/>
        </w:rPr>
        <w:t xml:space="preserve"> ולאו אדעתיה</w:t>
      </w:r>
      <w:r>
        <w:rPr>
          <w:rFonts w:asciiTheme="minorBidi" w:hAnsiTheme="minorBidi" w:cs="Arial" w:hint="cs"/>
          <w:rtl/>
        </w:rPr>
        <w:t>,</w:t>
      </w:r>
      <w:r w:rsidRPr="00CC2350">
        <w:rPr>
          <w:rFonts w:asciiTheme="minorBidi" w:hAnsiTheme="minorBidi" w:cs="Arial"/>
          <w:rtl/>
        </w:rPr>
        <w:t xml:space="preserve"> אבל רץ אית ליה היכירא</w:t>
      </w:r>
      <w:r>
        <w:rPr>
          <w:rFonts w:asciiTheme="minorBidi" w:hAnsiTheme="minorBidi" w:cs="Arial" w:hint="cs"/>
          <w:rtl/>
        </w:rPr>
        <w:t>.</w:t>
      </w:r>
      <w:r w:rsidRPr="00CC2350">
        <w:rPr>
          <w:rFonts w:asciiTheme="minorBidi" w:hAnsiTheme="minorBidi" w:cs="Arial"/>
          <w:rtl/>
        </w:rPr>
        <w:t xml:space="preserve"> וכי מטי לביתיה כי היכי דלא קאי פורתא ואשתכח דקא מעייל מרשות הרבים לר</w:t>
      </w:r>
      <w:r>
        <w:rPr>
          <w:rFonts w:asciiTheme="minorBidi" w:hAnsiTheme="minorBidi" w:cs="Arial" w:hint="cs"/>
          <w:rtl/>
        </w:rPr>
        <w:t>שות ה</w:t>
      </w:r>
      <w:r w:rsidRPr="00CC2350">
        <w:rPr>
          <w:rFonts w:asciiTheme="minorBidi" w:hAnsiTheme="minorBidi" w:cs="Arial"/>
          <w:rtl/>
        </w:rPr>
        <w:t>י</w:t>
      </w:r>
      <w:r>
        <w:rPr>
          <w:rFonts w:asciiTheme="minorBidi" w:hAnsiTheme="minorBidi" w:cs="Arial" w:hint="cs"/>
          <w:rtl/>
        </w:rPr>
        <w:t>חיד</w:t>
      </w:r>
      <w:r w:rsidRPr="00CC2350">
        <w:rPr>
          <w:rFonts w:asciiTheme="minorBidi" w:hAnsiTheme="minorBidi" w:cs="Arial"/>
          <w:rtl/>
        </w:rPr>
        <w:t>, זורק לה כלאחר יד</w:t>
      </w:r>
      <w:r>
        <w:rPr>
          <w:rStyle w:val="a9"/>
          <w:rFonts w:asciiTheme="minorBidi" w:hAnsiTheme="minorBidi" w:cs="Arial"/>
          <w:rtl/>
        </w:rPr>
        <w:footnoteReference w:id="787"/>
      </w:r>
      <w:r>
        <w:rPr>
          <w:rFonts w:asciiTheme="minorBidi" w:hAnsiTheme="minorBidi" w:cs="Arial" w:hint="cs"/>
          <w:rtl/>
        </w:rPr>
        <w:t>,</w:t>
      </w:r>
      <w:r w:rsidRPr="00CC2350">
        <w:rPr>
          <w:rFonts w:asciiTheme="minorBidi" w:hAnsiTheme="minorBidi" w:cs="Arial"/>
          <w:rtl/>
        </w:rPr>
        <w:t xml:space="preserve"> דהיינו שלא כדרך זריקה, כגון מכתיפיו ולאחריו. </w:t>
      </w:r>
    </w:p>
    <w:p w14:paraId="7F059BA3" w14:textId="77777777" w:rsidR="004B2E7C" w:rsidRPr="00CC2350" w:rsidRDefault="004B2E7C" w:rsidP="00434A6A">
      <w:pPr>
        <w:rPr>
          <w:rFonts w:asciiTheme="minorBidi" w:hAnsiTheme="minorBidi"/>
          <w:rtl/>
        </w:rPr>
      </w:pPr>
    </w:p>
    <w:p w14:paraId="1530B2FB" w14:textId="77777777" w:rsidR="004B2E7C" w:rsidRDefault="004B2E7C" w:rsidP="00434A6A">
      <w:pPr>
        <w:pStyle w:val="2"/>
        <w:rPr>
          <w:rtl/>
        </w:rPr>
      </w:pPr>
      <w:r w:rsidRPr="00CC2350">
        <w:rPr>
          <w:rtl/>
        </w:rPr>
        <w:t>סעיף יב</w:t>
      </w:r>
      <w:r>
        <w:rPr>
          <w:rFonts w:hint="cs"/>
          <w:rtl/>
        </w:rPr>
        <w:t>: ריצה עם כיסו.</w:t>
      </w:r>
    </w:p>
    <w:p w14:paraId="084EF6EB" w14:textId="77777777" w:rsidR="004B2E7C" w:rsidRPr="00F068F6" w:rsidRDefault="004B2E7C" w:rsidP="00434A6A">
      <w:pPr>
        <w:rPr>
          <w:u w:val="single"/>
          <w:rtl/>
        </w:rPr>
      </w:pPr>
      <w:r w:rsidRPr="00F068F6">
        <w:rPr>
          <w:rFonts w:hint="cs"/>
          <w:u w:val="single"/>
          <w:rtl/>
        </w:rPr>
        <w:t>האם גם עם כיסו מותר לרוץ כנ"ל:</w:t>
      </w:r>
    </w:p>
    <w:p w14:paraId="58633D88" w14:textId="77777777" w:rsidR="004B2E7C" w:rsidRPr="00CA5160" w:rsidRDefault="004B2E7C" w:rsidP="00FF2D21">
      <w:pPr>
        <w:pStyle w:val="aa"/>
        <w:numPr>
          <w:ilvl w:val="0"/>
          <w:numId w:val="93"/>
        </w:numPr>
      </w:pPr>
      <w:r w:rsidRPr="00CA5160">
        <w:rPr>
          <w:rFonts w:cs="Arial"/>
          <w:rtl/>
        </w:rPr>
        <w:t>רמב"ן</w:t>
      </w:r>
      <w:r>
        <w:rPr>
          <w:rStyle w:val="a9"/>
          <w:rFonts w:cs="Arial"/>
          <w:rtl/>
        </w:rPr>
        <w:footnoteReference w:id="788"/>
      </w:r>
      <w:r w:rsidRPr="00CA5160">
        <w:rPr>
          <w:rFonts w:cs="Arial"/>
          <w:rtl/>
        </w:rPr>
        <w:t xml:space="preserve"> </w:t>
      </w:r>
      <w:r w:rsidRPr="00F068F6">
        <w:rPr>
          <w:rFonts w:cs="Arial"/>
          <w:sz w:val="16"/>
          <w:szCs w:val="16"/>
          <w:rtl/>
        </w:rPr>
        <w:t>(בחי' קנג: ד"ה הא</w:t>
      </w:r>
      <w:r w:rsidRPr="00F068F6">
        <w:rPr>
          <w:rFonts w:cs="Arial" w:hint="cs"/>
          <w:sz w:val="16"/>
          <w:szCs w:val="16"/>
          <w:rtl/>
        </w:rPr>
        <w:t>)</w:t>
      </w:r>
      <w:r w:rsidRPr="00F068F6">
        <w:rPr>
          <w:rFonts w:cs="Arial"/>
          <w:sz w:val="16"/>
          <w:szCs w:val="16"/>
          <w:rtl/>
        </w:rPr>
        <w:t xml:space="preserve"> </w:t>
      </w:r>
      <w:r>
        <w:rPr>
          <w:rFonts w:cs="Arial" w:hint="cs"/>
          <w:rtl/>
        </w:rPr>
        <w:t>ו</w:t>
      </w:r>
      <w:r w:rsidRPr="00CA5160">
        <w:rPr>
          <w:rFonts w:cs="Arial"/>
          <w:rtl/>
        </w:rPr>
        <w:t xml:space="preserve">ר"ן </w:t>
      </w:r>
      <w:r w:rsidRPr="00F068F6">
        <w:rPr>
          <w:rFonts w:cs="Arial"/>
          <w:sz w:val="16"/>
          <w:szCs w:val="16"/>
          <w:rtl/>
        </w:rPr>
        <w:t>(סו</w:t>
      </w:r>
      <w:r w:rsidRPr="00F068F6">
        <w:rPr>
          <w:rFonts w:cs="Arial" w:hint="cs"/>
          <w:sz w:val="16"/>
          <w:szCs w:val="16"/>
          <w:rtl/>
        </w:rPr>
        <w:t>:</w:t>
      </w:r>
      <w:r w:rsidRPr="00F068F6">
        <w:rPr>
          <w:rFonts w:cs="Arial"/>
          <w:sz w:val="16"/>
          <w:szCs w:val="16"/>
          <w:rtl/>
        </w:rPr>
        <w:t xml:space="preserve"> ד"ה רץ)</w:t>
      </w:r>
      <w:r>
        <w:rPr>
          <w:rFonts w:cs="Arial" w:hint="cs"/>
          <w:rtl/>
        </w:rPr>
        <w:t xml:space="preserve">- </w:t>
      </w:r>
      <w:r w:rsidRPr="00CA5160">
        <w:rPr>
          <w:rFonts w:cs="Arial"/>
          <w:rtl/>
        </w:rPr>
        <w:t>דוקא בחבילה הוא דשרינן הכי לפי שאין דרכו של אדם לרוץ עמה ומאן דעבד הכי אית ליה היכרא טובא</w:t>
      </w:r>
      <w:r w:rsidRPr="00CA5160">
        <w:rPr>
          <w:rFonts w:cs="Arial" w:hint="cs"/>
          <w:rtl/>
        </w:rPr>
        <w:t>,</w:t>
      </w:r>
      <w:r w:rsidRPr="00CA5160">
        <w:rPr>
          <w:rFonts w:cs="Arial"/>
          <w:rtl/>
        </w:rPr>
        <w:t xml:space="preserve"> אבל רץ בכיס לית ליה היכרא</w:t>
      </w:r>
      <w:r w:rsidRPr="00CA5160">
        <w:rPr>
          <w:rFonts w:cs="Arial" w:hint="cs"/>
          <w:rtl/>
        </w:rPr>
        <w:t>,</w:t>
      </w:r>
      <w:r w:rsidRPr="00CA5160">
        <w:rPr>
          <w:rFonts w:cs="Arial"/>
          <w:rtl/>
        </w:rPr>
        <w:t xml:space="preserve"> ואסור</w:t>
      </w:r>
      <w:r>
        <w:rPr>
          <w:rFonts w:cs="Arial" w:hint="cs"/>
          <w:sz w:val="16"/>
          <w:szCs w:val="16"/>
          <w:rtl/>
        </w:rPr>
        <w:t xml:space="preserve"> (ל' הר"ן)</w:t>
      </w:r>
      <w:r w:rsidRPr="00CA5160">
        <w:rPr>
          <w:rFonts w:cs="Arial" w:hint="cs"/>
          <w:rtl/>
        </w:rPr>
        <w:t>.</w:t>
      </w:r>
      <w:r w:rsidRPr="00CA5160">
        <w:rPr>
          <w:rFonts w:cs="Arial"/>
          <w:rtl/>
        </w:rPr>
        <w:t xml:space="preserve"> </w:t>
      </w:r>
    </w:p>
    <w:p w14:paraId="723C7208" w14:textId="77777777" w:rsidR="004B2E7C" w:rsidRDefault="004B2E7C" w:rsidP="00FF2D21">
      <w:pPr>
        <w:pStyle w:val="aa"/>
        <w:numPr>
          <w:ilvl w:val="0"/>
          <w:numId w:val="93"/>
        </w:numPr>
        <w:rPr>
          <w:rtl/>
        </w:rPr>
      </w:pPr>
      <w:r w:rsidRPr="00CA5160">
        <w:rPr>
          <w:rFonts w:cs="Arial"/>
          <w:rtl/>
        </w:rPr>
        <w:t xml:space="preserve">תרומה </w:t>
      </w:r>
      <w:r w:rsidRPr="003A6E95">
        <w:rPr>
          <w:rFonts w:cs="Arial"/>
          <w:sz w:val="16"/>
          <w:szCs w:val="16"/>
          <w:rtl/>
        </w:rPr>
        <w:t>(סי' רכו)</w:t>
      </w:r>
      <w:r>
        <w:rPr>
          <w:rFonts w:cs="Arial" w:hint="cs"/>
          <w:rtl/>
        </w:rPr>
        <w:t xml:space="preserve"> סמ"ג</w:t>
      </w:r>
      <w:r w:rsidRPr="003A6E95">
        <w:rPr>
          <w:rFonts w:cs="Arial" w:hint="cs"/>
          <w:sz w:val="16"/>
          <w:szCs w:val="16"/>
          <w:rtl/>
        </w:rPr>
        <w:t xml:space="preserve"> (לאוין סה ד"ה ואם דואג)</w:t>
      </w:r>
      <w:r>
        <w:rPr>
          <w:rFonts w:cs="Arial" w:hint="cs"/>
          <w:rtl/>
        </w:rPr>
        <w:t xml:space="preserve"> הגה"מ </w:t>
      </w:r>
      <w:r w:rsidRPr="003A6E95">
        <w:rPr>
          <w:rFonts w:cs="Arial"/>
          <w:sz w:val="16"/>
          <w:szCs w:val="16"/>
          <w:rtl/>
        </w:rPr>
        <w:t>(</w:t>
      </w:r>
      <w:r w:rsidRPr="003A6E95">
        <w:rPr>
          <w:rFonts w:cs="Arial" w:hint="cs"/>
          <w:sz w:val="16"/>
          <w:szCs w:val="16"/>
          <w:rtl/>
        </w:rPr>
        <w:t xml:space="preserve">פ"כ </w:t>
      </w:r>
      <w:r w:rsidRPr="003A6E95">
        <w:rPr>
          <w:rFonts w:cs="Arial"/>
          <w:sz w:val="16"/>
          <w:szCs w:val="16"/>
          <w:rtl/>
        </w:rPr>
        <w:t xml:space="preserve">ה"ז) </w:t>
      </w:r>
      <w:r>
        <w:rPr>
          <w:rFonts w:cs="Arial" w:hint="cs"/>
          <w:rtl/>
        </w:rPr>
        <w:t>ו</w:t>
      </w:r>
      <w:r w:rsidRPr="00CA5160">
        <w:rPr>
          <w:rFonts w:cs="Arial"/>
          <w:rtl/>
        </w:rPr>
        <w:t>סמ"ק</w:t>
      </w:r>
      <w:r w:rsidRPr="003A6E95">
        <w:rPr>
          <w:rFonts w:cs="Arial"/>
          <w:sz w:val="16"/>
          <w:szCs w:val="16"/>
          <w:rtl/>
        </w:rPr>
        <w:t xml:space="preserve"> (סי' רפ</w:t>
      </w:r>
      <w:r w:rsidRPr="003A6E95">
        <w:rPr>
          <w:rFonts w:cs="Arial" w:hint="cs"/>
          <w:sz w:val="16"/>
          <w:szCs w:val="16"/>
          <w:rtl/>
        </w:rPr>
        <w:t>ב</w:t>
      </w:r>
      <w:r w:rsidRPr="003A6E95">
        <w:rPr>
          <w:rFonts w:cs="Arial"/>
          <w:sz w:val="16"/>
          <w:szCs w:val="16"/>
          <w:rtl/>
        </w:rPr>
        <w:t>)</w:t>
      </w:r>
      <w:r>
        <w:rPr>
          <w:rFonts w:hint="cs"/>
          <w:rtl/>
        </w:rPr>
        <w:t xml:space="preserve">- </w:t>
      </w:r>
      <w:r>
        <w:rPr>
          <w:rFonts w:cs="Arial"/>
          <w:rtl/>
        </w:rPr>
        <w:t>מי שהחשיך לו בדרך נותן כיסו לנכרי או חבילתו</w:t>
      </w:r>
      <w:r>
        <w:rPr>
          <w:rFonts w:cs="Arial" w:hint="cs"/>
          <w:rtl/>
        </w:rPr>
        <w:t xml:space="preserve">... </w:t>
      </w:r>
      <w:r w:rsidRPr="003A6E95">
        <w:rPr>
          <w:rFonts w:cs="Arial"/>
          <w:rtl/>
        </w:rPr>
        <w:t>ואם דואג פן יראוה הגוים ויגזלוה ממנו יניחנה עליו וירוץ שלא יעמוד כלל וכשיהיה על פתח ביתו יזרקנה כלאחר יד קודם שיעמו</w:t>
      </w:r>
      <w:r>
        <w:rPr>
          <w:rFonts w:cs="Arial" w:hint="cs"/>
          <w:rtl/>
        </w:rPr>
        <w:t xml:space="preserve">ד, </w:t>
      </w:r>
      <w:r w:rsidRPr="003A6E95">
        <w:rPr>
          <w:rFonts w:cs="Arial"/>
          <w:rtl/>
        </w:rPr>
        <w:t>דהשתא לא עשה כלל איסורא דאורייתא דהא מבעוד יום התחיל לרוץ ואם כן לא עשה עקירה</w:t>
      </w:r>
      <w:r>
        <w:rPr>
          <w:rFonts w:cs="Arial" w:hint="cs"/>
          <w:rtl/>
        </w:rPr>
        <w:t xml:space="preserve"> </w:t>
      </w:r>
      <w:r w:rsidRPr="003A6E95">
        <w:rPr>
          <w:rFonts w:cs="Arial"/>
          <w:rtl/>
        </w:rPr>
        <w:t>משנכנסה שבת וכן אמר רב הונא הייתה חבילתו על כתפיו רהיט</w:t>
      </w:r>
      <w:r>
        <w:rPr>
          <w:rFonts w:cs="Arial" w:hint="cs"/>
          <w:sz w:val="16"/>
          <w:szCs w:val="16"/>
          <w:rtl/>
        </w:rPr>
        <w:t xml:space="preserve"> (ל' הסמ"ג)</w:t>
      </w:r>
      <w:r>
        <w:rPr>
          <w:rStyle w:val="a9"/>
          <w:rFonts w:cs="Arial"/>
          <w:rtl/>
        </w:rPr>
        <w:footnoteReference w:id="789"/>
      </w:r>
      <w:r>
        <w:rPr>
          <w:rFonts w:cs="Arial" w:hint="cs"/>
          <w:rtl/>
        </w:rPr>
        <w:t>.</w:t>
      </w:r>
      <w:r>
        <w:rPr>
          <w:rFonts w:hint="cs"/>
          <w:rtl/>
        </w:rPr>
        <w:t xml:space="preserve"> </w:t>
      </w:r>
      <w:r w:rsidRPr="00990CAF">
        <w:rPr>
          <w:rFonts w:hint="cs"/>
          <w:color w:val="E36C0A" w:themeColor="accent6" w:themeShade="BF"/>
          <w:rtl/>
        </w:rPr>
        <w:t>(וכ"פ בשו"ע)</w:t>
      </w:r>
    </w:p>
    <w:p w14:paraId="13EF7EC4" w14:textId="77777777" w:rsidR="004B2E7C" w:rsidRDefault="004B2E7C" w:rsidP="00434A6A">
      <w:pPr>
        <w:rPr>
          <w:rFonts w:cs="Arial"/>
          <w:rtl/>
        </w:rPr>
      </w:pPr>
      <w:r w:rsidRPr="00244E86">
        <w:rPr>
          <w:rFonts w:cs="Arial" w:hint="cs"/>
          <w:u w:val="single"/>
          <w:rtl/>
        </w:rPr>
        <w:t>שכח ויצא עם כיסו בשבת:</w:t>
      </w:r>
      <w:r>
        <w:rPr>
          <w:rFonts w:cs="Arial" w:hint="cs"/>
          <w:rtl/>
        </w:rPr>
        <w:t xml:space="preserve">  </w:t>
      </w:r>
      <w:r w:rsidRPr="00990CAF">
        <w:rPr>
          <w:rFonts w:cs="Arial" w:hint="cs"/>
          <w:sz w:val="16"/>
          <w:szCs w:val="16"/>
          <w:rtl/>
        </w:rPr>
        <w:t xml:space="preserve">(דרכ"מ אות </w:t>
      </w:r>
      <w:r w:rsidRPr="00990CAF">
        <w:rPr>
          <w:rFonts w:cs="Arial"/>
          <w:sz w:val="16"/>
          <w:szCs w:val="16"/>
          <w:rtl/>
        </w:rPr>
        <w:t>ב)</w:t>
      </w:r>
      <w:r w:rsidRPr="00BA4E2A">
        <w:rPr>
          <w:rFonts w:cs="Arial"/>
          <w:rtl/>
        </w:rPr>
        <w:t xml:space="preserve"> </w:t>
      </w:r>
    </w:p>
    <w:p w14:paraId="65DEE15E" w14:textId="77777777" w:rsidR="004B2E7C" w:rsidRPr="00244E86" w:rsidRDefault="004B2E7C" w:rsidP="00FF2D21">
      <w:pPr>
        <w:pStyle w:val="aa"/>
        <w:numPr>
          <w:ilvl w:val="0"/>
          <w:numId w:val="96"/>
        </w:numPr>
      </w:pPr>
      <w:r w:rsidRPr="00244E86">
        <w:rPr>
          <w:rFonts w:cs="Arial"/>
          <w:rtl/>
        </w:rPr>
        <w:t xml:space="preserve">כל בו </w:t>
      </w:r>
      <w:r w:rsidRPr="00244E86">
        <w:rPr>
          <w:rFonts w:cs="Arial"/>
          <w:sz w:val="16"/>
          <w:szCs w:val="16"/>
          <w:rtl/>
        </w:rPr>
        <w:t>(לד ב)</w:t>
      </w:r>
      <w:r>
        <w:rPr>
          <w:rFonts w:cs="Arial" w:hint="cs"/>
          <w:rtl/>
        </w:rPr>
        <w:t>-</w:t>
      </w:r>
      <w:r w:rsidRPr="00244E86">
        <w:rPr>
          <w:rFonts w:cs="Arial"/>
          <w:rtl/>
        </w:rPr>
        <w:t xml:space="preserve"> דוקא מי שהחשיך לו בדרך</w:t>
      </w:r>
      <w:r>
        <w:rPr>
          <w:rFonts w:cs="Arial" w:hint="cs"/>
          <w:rtl/>
        </w:rPr>
        <w:t>,</w:t>
      </w:r>
      <w:r w:rsidRPr="00244E86">
        <w:rPr>
          <w:rFonts w:cs="Arial"/>
          <w:rtl/>
        </w:rPr>
        <w:t xml:space="preserve"> אבל אם שכח כיסו עליו מתיר חגורו והכיס נופל</w:t>
      </w:r>
      <w:r>
        <w:rPr>
          <w:rFonts w:cs="Arial" w:hint="cs"/>
          <w:rtl/>
        </w:rPr>
        <w:t>,</w:t>
      </w:r>
      <w:r w:rsidRPr="00244E86">
        <w:rPr>
          <w:rFonts w:cs="Arial"/>
          <w:rtl/>
        </w:rPr>
        <w:t xml:space="preserve"> ואפילו היו שם כתבי הקודש</w:t>
      </w:r>
      <w:r>
        <w:rPr>
          <w:rFonts w:cs="Arial" w:hint="cs"/>
          <w:rtl/>
        </w:rPr>
        <w:t>.</w:t>
      </w:r>
      <w:r w:rsidRPr="00244E86">
        <w:rPr>
          <w:rFonts w:cs="Arial"/>
          <w:rtl/>
        </w:rPr>
        <w:t xml:space="preserve"> ולא יאמר לגוי להצניע</w:t>
      </w:r>
      <w:r>
        <w:rPr>
          <w:rFonts w:cs="Arial" w:hint="cs"/>
          <w:rtl/>
        </w:rPr>
        <w:t>,</w:t>
      </w:r>
      <w:r w:rsidRPr="00244E86">
        <w:rPr>
          <w:rFonts w:cs="Arial"/>
          <w:rtl/>
        </w:rPr>
        <w:t xml:space="preserve"> דאמירה לגוי שבות הוא</w:t>
      </w:r>
      <w:r>
        <w:rPr>
          <w:rStyle w:val="a9"/>
          <w:rFonts w:cs="Arial"/>
          <w:rtl/>
        </w:rPr>
        <w:footnoteReference w:id="790"/>
      </w:r>
      <w:r>
        <w:rPr>
          <w:rFonts w:cs="Arial" w:hint="cs"/>
          <w:rtl/>
        </w:rPr>
        <w:t>.</w:t>
      </w:r>
      <w:r w:rsidRPr="00244E86">
        <w:rPr>
          <w:rFonts w:cs="Arial"/>
          <w:rtl/>
        </w:rPr>
        <w:t xml:space="preserve"> </w:t>
      </w:r>
    </w:p>
    <w:p w14:paraId="3278CDE2" w14:textId="77777777" w:rsidR="004B2E7C" w:rsidRPr="00BA4E2A" w:rsidRDefault="004B2E7C" w:rsidP="00FF2D21">
      <w:pPr>
        <w:pStyle w:val="aa"/>
        <w:numPr>
          <w:ilvl w:val="0"/>
          <w:numId w:val="96"/>
        </w:numPr>
        <w:rPr>
          <w:rtl/>
        </w:rPr>
      </w:pPr>
      <w:r w:rsidRPr="00244E86">
        <w:rPr>
          <w:rFonts w:cs="Arial"/>
          <w:rtl/>
        </w:rPr>
        <w:t>אגודה</w:t>
      </w:r>
      <w:r w:rsidRPr="006B3F63">
        <w:rPr>
          <w:rFonts w:cs="Arial"/>
          <w:sz w:val="16"/>
          <w:szCs w:val="16"/>
          <w:rtl/>
        </w:rPr>
        <w:t xml:space="preserve"> </w:t>
      </w:r>
      <w:r w:rsidRPr="006B3F63">
        <w:rPr>
          <w:rFonts w:cs="Arial" w:hint="cs"/>
          <w:sz w:val="16"/>
          <w:szCs w:val="16"/>
          <w:rtl/>
        </w:rPr>
        <w:t>(</w:t>
      </w:r>
      <w:r w:rsidRPr="006B3F63">
        <w:rPr>
          <w:rFonts w:cs="Arial"/>
          <w:sz w:val="16"/>
          <w:szCs w:val="16"/>
          <w:rtl/>
        </w:rPr>
        <w:t>מסכת ביצה פ"א סוף אות ה', הובא בב"י סו"ס שט)</w:t>
      </w:r>
      <w:r>
        <w:rPr>
          <w:rFonts w:cs="Arial" w:hint="cs"/>
          <w:rtl/>
        </w:rPr>
        <w:t xml:space="preserve">- </w:t>
      </w:r>
      <w:r w:rsidRPr="00244E86">
        <w:rPr>
          <w:rFonts w:cs="Arial"/>
          <w:rtl/>
        </w:rPr>
        <w:t>אם הוא בביתו</w:t>
      </w:r>
      <w:r>
        <w:rPr>
          <w:rFonts w:cs="Arial" w:hint="cs"/>
          <w:rtl/>
        </w:rPr>
        <w:t>,</w:t>
      </w:r>
      <w:r w:rsidRPr="00244E86">
        <w:rPr>
          <w:rFonts w:cs="Arial"/>
          <w:rtl/>
        </w:rPr>
        <w:t xml:space="preserve"> יכול לילך עמו לחדרו להצניעו</w:t>
      </w:r>
      <w:r>
        <w:rPr>
          <w:rFonts w:cs="Arial" w:hint="cs"/>
          <w:rtl/>
        </w:rPr>
        <w:t>.</w:t>
      </w:r>
      <w:r w:rsidRPr="00244E86">
        <w:rPr>
          <w:rFonts w:cs="Arial"/>
          <w:rtl/>
        </w:rPr>
        <w:t xml:space="preserve"> אבל אם הוא בשוק</w:t>
      </w:r>
      <w:r>
        <w:rPr>
          <w:rFonts w:cs="Arial" w:hint="cs"/>
          <w:rtl/>
        </w:rPr>
        <w:t xml:space="preserve">, </w:t>
      </w:r>
      <w:r w:rsidRPr="00244E86">
        <w:rPr>
          <w:rFonts w:cs="Arial"/>
          <w:rtl/>
        </w:rPr>
        <w:t>אסור להביאו</w:t>
      </w:r>
      <w:r>
        <w:rPr>
          <w:rFonts w:cs="Arial" w:hint="cs"/>
          <w:rtl/>
        </w:rPr>
        <w:t>,</w:t>
      </w:r>
      <w:r w:rsidRPr="00244E86">
        <w:rPr>
          <w:rFonts w:cs="Arial"/>
          <w:rtl/>
        </w:rPr>
        <w:t xml:space="preserve"> אלא מתיר והוא נופל</w:t>
      </w:r>
      <w:r>
        <w:rPr>
          <w:rFonts w:cs="Arial" w:hint="cs"/>
          <w:rtl/>
        </w:rPr>
        <w:t>.</w:t>
      </w:r>
      <w:r w:rsidRPr="00244E86">
        <w:rPr>
          <w:rFonts w:cs="Arial"/>
          <w:rtl/>
        </w:rPr>
        <w:t xml:space="preserve"> ויכול לומר לגוי לשמרו ואם הביאו אין לחוש</w:t>
      </w:r>
      <w:r>
        <w:rPr>
          <w:rStyle w:val="a9"/>
          <w:rFonts w:cs="Arial"/>
          <w:rtl/>
        </w:rPr>
        <w:footnoteReference w:id="791"/>
      </w:r>
      <w:r>
        <w:rPr>
          <w:rFonts w:cs="Arial" w:hint="cs"/>
          <w:rtl/>
        </w:rPr>
        <w:t>.</w:t>
      </w:r>
      <w:r w:rsidRPr="00244E86">
        <w:rPr>
          <w:rFonts w:cs="Arial"/>
          <w:rtl/>
        </w:rPr>
        <w:t xml:space="preserve"> </w:t>
      </w:r>
      <w:r w:rsidRPr="00990CAF">
        <w:rPr>
          <w:rFonts w:hint="cs"/>
          <w:color w:val="00B0F0"/>
          <w:rtl/>
        </w:rPr>
        <w:t>(וכ"פ הרמ"א)</w:t>
      </w:r>
    </w:p>
    <w:p w14:paraId="5F7F1ECE"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ACDBE85" w14:textId="77777777" w:rsidR="004B2E7C" w:rsidRDefault="004B2E7C" w:rsidP="00434A6A">
      <w:pPr>
        <w:rPr>
          <w:rFonts w:asciiTheme="minorBidi" w:hAnsiTheme="minorBidi" w:cs="Arial"/>
          <w:rtl/>
        </w:rPr>
      </w:pPr>
      <w:r w:rsidRPr="00CC2350">
        <w:rPr>
          <w:rFonts w:asciiTheme="minorBidi" w:hAnsiTheme="minorBidi" w:cs="Arial"/>
          <w:rtl/>
        </w:rPr>
        <w:t>י</w:t>
      </w:r>
      <w:r>
        <w:rPr>
          <w:rFonts w:asciiTheme="minorBidi" w:hAnsiTheme="minorBidi" w:cs="Arial" w:hint="cs"/>
          <w:rtl/>
        </w:rPr>
        <w:t xml:space="preserve">ש </w:t>
      </w:r>
      <w:r w:rsidRPr="00CC2350">
        <w:rPr>
          <w:rFonts w:asciiTheme="minorBidi" w:hAnsiTheme="minorBidi" w:cs="Arial"/>
          <w:rtl/>
        </w:rPr>
        <w:t>א</w:t>
      </w:r>
      <w:r>
        <w:rPr>
          <w:rFonts w:asciiTheme="minorBidi" w:hAnsiTheme="minorBidi" w:cs="Arial" w:hint="cs"/>
          <w:rtl/>
        </w:rPr>
        <w:t>ומרים</w:t>
      </w:r>
      <w:r w:rsidRPr="00CC2350">
        <w:rPr>
          <w:rFonts w:asciiTheme="minorBidi" w:hAnsiTheme="minorBidi" w:cs="Arial"/>
          <w:rtl/>
        </w:rPr>
        <w:t xml:space="preserve"> דדוקא בחבילה התירו לעשות כן אבל לא בכיסו</w:t>
      </w:r>
      <w:r>
        <w:rPr>
          <w:rFonts w:asciiTheme="minorBidi" w:hAnsiTheme="minorBidi" w:cs="Arial" w:hint="cs"/>
          <w:rtl/>
        </w:rPr>
        <w:t>.</w:t>
      </w:r>
      <w:r w:rsidRPr="00CC2350">
        <w:rPr>
          <w:rFonts w:asciiTheme="minorBidi" w:hAnsiTheme="minorBidi" w:cs="Arial"/>
          <w:rtl/>
        </w:rPr>
        <w:t xml:space="preserve"> וי</w:t>
      </w:r>
      <w:r>
        <w:rPr>
          <w:rFonts w:asciiTheme="minorBidi" w:hAnsiTheme="minorBidi" w:cs="Arial" w:hint="cs"/>
          <w:rtl/>
        </w:rPr>
        <w:t xml:space="preserve">ש </w:t>
      </w:r>
      <w:r w:rsidRPr="00CC2350">
        <w:rPr>
          <w:rFonts w:asciiTheme="minorBidi" w:hAnsiTheme="minorBidi" w:cs="Arial"/>
          <w:rtl/>
        </w:rPr>
        <w:t>א</w:t>
      </w:r>
      <w:r>
        <w:rPr>
          <w:rFonts w:asciiTheme="minorBidi" w:hAnsiTheme="minorBidi" w:cs="Arial" w:hint="cs"/>
          <w:rtl/>
        </w:rPr>
        <w:t>ומרים</w:t>
      </w:r>
      <w:r w:rsidRPr="00CC2350">
        <w:rPr>
          <w:rFonts w:asciiTheme="minorBidi" w:hAnsiTheme="minorBidi" w:cs="Arial"/>
          <w:rtl/>
        </w:rPr>
        <w:t xml:space="preserve"> דה</w:t>
      </w:r>
      <w:r>
        <w:rPr>
          <w:rFonts w:asciiTheme="minorBidi" w:hAnsiTheme="minorBidi" w:cs="Arial" w:hint="cs"/>
          <w:rtl/>
        </w:rPr>
        <w:t xml:space="preserve">וא </w:t>
      </w:r>
      <w:r w:rsidRPr="00CC2350">
        <w:rPr>
          <w:rFonts w:asciiTheme="minorBidi" w:hAnsiTheme="minorBidi" w:cs="Arial"/>
          <w:rtl/>
        </w:rPr>
        <w:t>ה</w:t>
      </w:r>
      <w:r>
        <w:rPr>
          <w:rFonts w:asciiTheme="minorBidi" w:hAnsiTheme="minorBidi" w:cs="Arial" w:hint="cs"/>
          <w:rtl/>
        </w:rPr>
        <w:t>דין</w:t>
      </w:r>
      <w:r w:rsidRPr="00CC2350">
        <w:rPr>
          <w:rFonts w:asciiTheme="minorBidi" w:hAnsiTheme="minorBidi" w:cs="Arial"/>
          <w:rtl/>
        </w:rPr>
        <w:t xml:space="preserve"> לכיסו</w:t>
      </w:r>
      <w:r>
        <w:rPr>
          <w:rStyle w:val="a9"/>
          <w:rFonts w:asciiTheme="minorBidi" w:hAnsiTheme="minorBidi" w:cs="Arial"/>
          <w:rtl/>
        </w:rPr>
        <w:footnoteReference w:id="792"/>
      </w:r>
      <w:r w:rsidRPr="00CC2350">
        <w:rPr>
          <w:rFonts w:asciiTheme="minorBidi" w:hAnsiTheme="minorBidi" w:cs="Arial"/>
          <w:rtl/>
        </w:rPr>
        <w:t xml:space="preserve">. </w:t>
      </w:r>
      <w:r w:rsidRPr="008E5D85">
        <w:rPr>
          <w:rFonts w:asciiTheme="minorBidi" w:hAnsiTheme="minorBidi" w:cs="Arial"/>
          <w:sz w:val="18"/>
          <w:szCs w:val="18"/>
          <w:rtl/>
        </w:rPr>
        <w:t>הגה: ומי ששכח כיסו עליו בשבת אם הוא בביתו יכול לילך עמו לחדר להתיר חגורו וליפול שם להצניעו, ואם הוא בשוק</w:t>
      </w:r>
      <w:r>
        <w:rPr>
          <w:rStyle w:val="a9"/>
          <w:rFonts w:asciiTheme="minorBidi" w:hAnsiTheme="minorBidi" w:cs="Arial"/>
          <w:sz w:val="18"/>
          <w:szCs w:val="18"/>
          <w:rtl/>
        </w:rPr>
        <w:footnoteReference w:id="793"/>
      </w:r>
      <w:r w:rsidRPr="008E5D85">
        <w:rPr>
          <w:rFonts w:asciiTheme="minorBidi" w:hAnsiTheme="minorBidi" w:cs="Arial"/>
          <w:sz w:val="18"/>
          <w:szCs w:val="18"/>
          <w:rtl/>
        </w:rPr>
        <w:t xml:space="preserve"> אסור להביאו לביתו רק מתיר חגורו בשוק והוא נופל, ואומר ל</w:t>
      </w:r>
      <w:r>
        <w:rPr>
          <w:rFonts w:asciiTheme="minorBidi" w:hAnsiTheme="minorBidi" w:cs="Arial" w:hint="cs"/>
          <w:sz w:val="18"/>
          <w:szCs w:val="18"/>
          <w:rtl/>
        </w:rPr>
        <w:t>גוי</w:t>
      </w:r>
      <w:r w:rsidRPr="008E5D85">
        <w:rPr>
          <w:rFonts w:asciiTheme="minorBidi" w:hAnsiTheme="minorBidi" w:cs="Arial"/>
          <w:sz w:val="18"/>
          <w:szCs w:val="18"/>
          <w:rtl/>
        </w:rPr>
        <w:t xml:space="preserve"> לשומרו</w:t>
      </w:r>
      <w:r>
        <w:rPr>
          <w:rStyle w:val="a9"/>
          <w:rFonts w:asciiTheme="minorBidi" w:hAnsiTheme="minorBidi" w:cs="Arial"/>
          <w:sz w:val="18"/>
          <w:szCs w:val="18"/>
          <w:rtl/>
        </w:rPr>
        <w:footnoteReference w:id="794"/>
      </w:r>
      <w:r w:rsidRPr="008E5D85">
        <w:rPr>
          <w:rFonts w:asciiTheme="minorBidi" w:hAnsiTheme="minorBidi" w:cs="Arial"/>
          <w:sz w:val="18"/>
          <w:szCs w:val="18"/>
          <w:rtl/>
        </w:rPr>
        <w:t xml:space="preserve"> ואם מביאו אין לחוש (אגודה מסכת ביצה ב"י סי</w:t>
      </w:r>
      <w:r>
        <w:rPr>
          <w:rFonts w:asciiTheme="minorBidi" w:hAnsiTheme="minorBidi" w:cs="Arial" w:hint="cs"/>
          <w:sz w:val="18"/>
          <w:szCs w:val="18"/>
          <w:rtl/>
        </w:rPr>
        <w:t>'</w:t>
      </w:r>
      <w:r w:rsidRPr="008E5D85">
        <w:rPr>
          <w:rFonts w:asciiTheme="minorBidi" w:hAnsiTheme="minorBidi" w:cs="Arial"/>
          <w:sz w:val="18"/>
          <w:szCs w:val="18"/>
          <w:rtl/>
        </w:rPr>
        <w:t xml:space="preserve"> שט). וע"ל סי' ש"י אם הכיס תפור בבגדו מה דינו.</w:t>
      </w:r>
    </w:p>
    <w:p w14:paraId="3212CD8F" w14:textId="77777777" w:rsidR="004B2E7C" w:rsidRPr="00CC2350" w:rsidRDefault="004B2E7C" w:rsidP="00434A6A">
      <w:pPr>
        <w:rPr>
          <w:rFonts w:asciiTheme="minorBidi" w:hAnsiTheme="minorBidi"/>
          <w:rtl/>
        </w:rPr>
      </w:pPr>
      <w:r w:rsidRPr="00CC2350">
        <w:rPr>
          <w:rFonts w:asciiTheme="minorBidi" w:hAnsiTheme="minorBidi" w:cs="Arial"/>
          <w:rtl/>
        </w:rPr>
        <w:t xml:space="preserve"> </w:t>
      </w:r>
    </w:p>
    <w:p w14:paraId="1664A73E" w14:textId="77777777" w:rsidR="004B2E7C" w:rsidRPr="00937E79" w:rsidRDefault="004B2E7C" w:rsidP="00434A6A">
      <w:pPr>
        <w:pStyle w:val="2"/>
        <w:rPr>
          <w:rtl/>
        </w:rPr>
      </w:pPr>
      <w:r w:rsidRPr="00CC2350">
        <w:rPr>
          <w:rtl/>
        </w:rPr>
        <w:t>סעיף יג</w:t>
      </w:r>
      <w:r>
        <w:rPr>
          <w:rFonts w:hint="cs"/>
          <w:rtl/>
        </w:rPr>
        <w:t>: מצא ארנק בשבת.</w:t>
      </w:r>
    </w:p>
    <w:p w14:paraId="2E70A328" w14:textId="77777777" w:rsidR="004B2E7C" w:rsidRPr="00937E79" w:rsidRDefault="004B2E7C" w:rsidP="00434A6A">
      <w:pPr>
        <w:rPr>
          <w:u w:val="single"/>
          <w:rtl/>
        </w:rPr>
      </w:pPr>
      <w:r w:rsidRPr="00937E79">
        <w:rPr>
          <w:rFonts w:hint="cs"/>
          <w:u w:val="single"/>
          <w:rtl/>
        </w:rPr>
        <w:t>מצא ארנק בשבת:</w:t>
      </w:r>
    </w:p>
    <w:p w14:paraId="323000C3" w14:textId="77777777" w:rsidR="004B2E7C" w:rsidRPr="009B440C" w:rsidRDefault="004B2E7C" w:rsidP="00FF2D21">
      <w:pPr>
        <w:pStyle w:val="aa"/>
        <w:numPr>
          <w:ilvl w:val="0"/>
          <w:numId w:val="97"/>
        </w:numPr>
      </w:pPr>
      <w:r w:rsidRPr="00937E79">
        <w:rPr>
          <w:rFonts w:cs="Arial"/>
          <w:rtl/>
        </w:rPr>
        <w:t xml:space="preserve">רא"ש </w:t>
      </w:r>
      <w:r w:rsidRPr="00937E79">
        <w:rPr>
          <w:rFonts w:cs="Arial"/>
          <w:sz w:val="16"/>
          <w:szCs w:val="16"/>
          <w:rtl/>
        </w:rPr>
        <w:t xml:space="preserve">(סי' כב) </w:t>
      </w:r>
      <w:r>
        <w:rPr>
          <w:rFonts w:cs="Arial" w:hint="cs"/>
          <w:rtl/>
        </w:rPr>
        <w:t>הגה"מ</w:t>
      </w:r>
      <w:r w:rsidRPr="00937E79">
        <w:rPr>
          <w:rFonts w:cs="Arial"/>
          <w:rtl/>
        </w:rPr>
        <w:t xml:space="preserve"> </w:t>
      </w:r>
      <w:r w:rsidRPr="00937E79">
        <w:rPr>
          <w:rFonts w:cs="Arial"/>
          <w:sz w:val="16"/>
          <w:szCs w:val="16"/>
          <w:rtl/>
        </w:rPr>
        <w:t>(</w:t>
      </w:r>
      <w:r w:rsidRPr="00937E79">
        <w:rPr>
          <w:rFonts w:cs="Arial" w:hint="cs"/>
          <w:sz w:val="16"/>
          <w:szCs w:val="16"/>
          <w:rtl/>
        </w:rPr>
        <w:t xml:space="preserve">פ"כ </w:t>
      </w:r>
      <w:r w:rsidRPr="00937E79">
        <w:rPr>
          <w:rFonts w:cs="Arial"/>
          <w:sz w:val="16"/>
          <w:szCs w:val="16"/>
          <w:rtl/>
        </w:rPr>
        <w:t xml:space="preserve">אות ו) </w:t>
      </w:r>
      <w:r w:rsidRPr="00937E79">
        <w:rPr>
          <w:rFonts w:cs="Arial"/>
          <w:rtl/>
        </w:rPr>
        <w:t>ר</w:t>
      </w:r>
      <w:r>
        <w:rPr>
          <w:rFonts w:cs="Arial" w:hint="cs"/>
          <w:rtl/>
        </w:rPr>
        <w:t xml:space="preserve">י"ו </w:t>
      </w:r>
      <w:r w:rsidRPr="00937E79">
        <w:rPr>
          <w:rFonts w:cs="Arial" w:hint="cs"/>
          <w:sz w:val="16"/>
          <w:szCs w:val="16"/>
          <w:rtl/>
        </w:rPr>
        <w:t>(</w:t>
      </w:r>
      <w:r w:rsidRPr="00937E79">
        <w:rPr>
          <w:rFonts w:cs="Arial"/>
          <w:sz w:val="16"/>
          <w:szCs w:val="16"/>
          <w:rtl/>
        </w:rPr>
        <w:t>חי"ג פה.)</w:t>
      </w:r>
      <w:r>
        <w:rPr>
          <w:rFonts w:cs="Arial" w:hint="cs"/>
          <w:rtl/>
        </w:rPr>
        <w:t xml:space="preserve"> </w:t>
      </w:r>
      <w:r w:rsidRPr="00937E79">
        <w:rPr>
          <w:rFonts w:cs="Arial"/>
          <w:rtl/>
        </w:rPr>
        <w:t xml:space="preserve">ור"ן </w:t>
      </w:r>
      <w:r w:rsidRPr="00937E79">
        <w:rPr>
          <w:rFonts w:cs="Arial" w:hint="cs"/>
          <w:sz w:val="16"/>
          <w:szCs w:val="16"/>
          <w:rtl/>
        </w:rPr>
        <w:t>(</w:t>
      </w:r>
      <w:r w:rsidRPr="00937E79">
        <w:rPr>
          <w:rFonts w:cs="Arial"/>
          <w:sz w:val="16"/>
          <w:szCs w:val="16"/>
          <w:rtl/>
        </w:rPr>
        <w:t>פ</w:t>
      </w:r>
      <w:r w:rsidRPr="00937E79">
        <w:rPr>
          <w:rFonts w:cs="Arial" w:hint="cs"/>
          <w:sz w:val="16"/>
          <w:szCs w:val="16"/>
          <w:rtl/>
        </w:rPr>
        <w:t xml:space="preserve">"ק </w:t>
      </w:r>
      <w:r w:rsidRPr="00937E79">
        <w:rPr>
          <w:rFonts w:cs="Arial"/>
          <w:sz w:val="16"/>
          <w:szCs w:val="16"/>
          <w:rtl/>
        </w:rPr>
        <w:t>דמציעא</w:t>
      </w:r>
      <w:r w:rsidRPr="00937E79">
        <w:rPr>
          <w:rFonts w:cs="Arial" w:hint="cs"/>
          <w:sz w:val="16"/>
          <w:szCs w:val="16"/>
          <w:rtl/>
        </w:rPr>
        <w:t>)</w:t>
      </w:r>
      <w:r w:rsidRPr="00937E79">
        <w:rPr>
          <w:rFonts w:cs="Arial"/>
          <w:sz w:val="16"/>
          <w:szCs w:val="16"/>
          <w:rtl/>
        </w:rPr>
        <w:t xml:space="preserve"> </w:t>
      </w:r>
      <w:r w:rsidRPr="00937E79">
        <w:rPr>
          <w:rFonts w:cs="Arial"/>
          <w:rtl/>
        </w:rPr>
        <w:t>בשם התוס</w:t>
      </w:r>
      <w:r>
        <w:rPr>
          <w:rFonts w:cs="Arial" w:hint="cs"/>
          <w:rtl/>
        </w:rPr>
        <w:t xml:space="preserve">'- </w:t>
      </w:r>
      <w:r w:rsidRPr="00937E79">
        <w:rPr>
          <w:rFonts w:cs="Arial"/>
          <w:rtl/>
        </w:rPr>
        <w:t>אם מצא ארנקי בשבת אסור ליטלו אע</w:t>
      </w:r>
      <w:r>
        <w:rPr>
          <w:rFonts w:cs="Arial" w:hint="cs"/>
          <w:rtl/>
        </w:rPr>
        <w:t>"</w:t>
      </w:r>
      <w:r w:rsidRPr="00937E79">
        <w:rPr>
          <w:rFonts w:cs="Arial"/>
          <w:rtl/>
        </w:rPr>
        <w:t>פ שירא פן יקדמנו אחר</w:t>
      </w:r>
      <w:r>
        <w:rPr>
          <w:rFonts w:cs="Arial" w:hint="cs"/>
          <w:rtl/>
        </w:rPr>
        <w:t xml:space="preserve">. </w:t>
      </w:r>
      <w:r w:rsidRPr="00990CAF">
        <w:rPr>
          <w:rFonts w:hint="cs"/>
          <w:color w:val="E36C0A" w:themeColor="accent6" w:themeShade="BF"/>
          <w:rtl/>
        </w:rPr>
        <w:t>(וכ"פ בשו"ע)</w:t>
      </w:r>
    </w:p>
    <w:p w14:paraId="7699FA66" w14:textId="77777777" w:rsidR="004B2E7C" w:rsidRPr="009B440C" w:rsidRDefault="004B2E7C" w:rsidP="00434A6A">
      <w:pPr>
        <w:rPr>
          <w:u w:val="single"/>
        </w:rPr>
      </w:pPr>
      <w:r w:rsidRPr="009B440C">
        <w:rPr>
          <w:rFonts w:hint="cs"/>
          <w:u w:val="single"/>
          <w:rtl/>
        </w:rPr>
        <w:t>אדם שירא פן יקחו מעותיו מביתו בשבת:</w:t>
      </w:r>
    </w:p>
    <w:p w14:paraId="0C2818CA" w14:textId="77777777" w:rsidR="004B2E7C" w:rsidRPr="00BA4E2A" w:rsidRDefault="004B2E7C" w:rsidP="00FF2D21">
      <w:pPr>
        <w:pStyle w:val="aa"/>
        <w:numPr>
          <w:ilvl w:val="0"/>
          <w:numId w:val="97"/>
        </w:numPr>
        <w:rPr>
          <w:rtl/>
        </w:rPr>
      </w:pPr>
      <w:r w:rsidRPr="009B440C">
        <w:rPr>
          <w:rFonts w:cs="Arial" w:hint="cs"/>
          <w:rtl/>
        </w:rPr>
        <w:t>סמ"ג</w:t>
      </w:r>
      <w:r w:rsidRPr="009B440C">
        <w:rPr>
          <w:rFonts w:cs="Arial" w:hint="cs"/>
          <w:sz w:val="16"/>
          <w:szCs w:val="16"/>
          <w:rtl/>
        </w:rPr>
        <w:t xml:space="preserve"> (לאוין סה ד"ה ואם דואג)</w:t>
      </w:r>
      <w:r w:rsidRPr="009B440C">
        <w:rPr>
          <w:rFonts w:cs="Arial" w:hint="cs"/>
          <w:rtl/>
        </w:rPr>
        <w:t xml:space="preserve">- </w:t>
      </w:r>
      <w:r w:rsidRPr="009B440C">
        <w:rPr>
          <w:rFonts w:cs="Arial"/>
          <w:rtl/>
        </w:rPr>
        <w:t>ונראין הדברים דאם ירא פן יבואו עבדי המושל ליקח המעות שבתיבתו בשבת או כספו או זהבו שאינם כלים מותר להצניען במקום שירצה ברשות היחיד אף על פי שהם מוקצים שהרי גדולה מזו התירו משום פסידא להוליך פחות פחות מד' אמות דרך ר"ה שיש לחוש לאיסורא דאורייתא וכל שכן הא, ודווקא בדליקה לא התירו להציל מעות אם לא שיש ספר עמהם (שם קטז</w:t>
      </w:r>
      <w:r>
        <w:rPr>
          <w:rFonts w:cs="Arial" w:hint="cs"/>
          <w:rtl/>
        </w:rPr>
        <w:t>:</w:t>
      </w:r>
      <w:r w:rsidRPr="009B440C">
        <w:rPr>
          <w:rFonts w:cs="Arial"/>
          <w:rtl/>
        </w:rPr>
        <w:t>) דילמא אתי לכבויי (ע"פ סה"ת שם וסימנים)</w:t>
      </w:r>
      <w:r>
        <w:rPr>
          <w:rFonts w:hint="cs"/>
          <w:rtl/>
        </w:rPr>
        <w:t>.</w:t>
      </w:r>
    </w:p>
    <w:p w14:paraId="794BA910"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6A1C70B" w14:textId="77777777" w:rsidR="004B2E7C" w:rsidRPr="00BA4E2A" w:rsidRDefault="004B2E7C" w:rsidP="00434A6A">
      <w:pPr>
        <w:rPr>
          <w:rFonts w:asciiTheme="minorBidi" w:hAnsiTheme="minorBidi" w:cs="Arial"/>
          <w:rtl/>
        </w:rPr>
        <w:sectPr w:rsidR="004B2E7C" w:rsidRPr="00BA4E2A" w:rsidSect="00BD29B1">
          <w:headerReference w:type="default" r:id="rId37"/>
          <w:footnotePr>
            <w:numRestart w:val="eachSect"/>
          </w:footnotePr>
          <w:pgSz w:w="11906" w:h="16838"/>
          <w:pgMar w:top="720" w:right="1134" w:bottom="720" w:left="1134" w:header="0" w:footer="0" w:gutter="0"/>
          <w:cols w:space="720"/>
          <w:bidi/>
          <w:rtlGutter/>
          <w:docGrid w:linePitch="360"/>
        </w:sectPr>
      </w:pPr>
      <w:r w:rsidRPr="00CC2350">
        <w:rPr>
          <w:rFonts w:asciiTheme="minorBidi" w:hAnsiTheme="minorBidi" w:cs="Arial"/>
          <w:rtl/>
        </w:rPr>
        <w:t>מצא ארנקי בשבת, אסור ליטלו</w:t>
      </w:r>
      <w:r>
        <w:rPr>
          <w:rStyle w:val="a9"/>
          <w:rFonts w:asciiTheme="minorBidi" w:hAnsiTheme="minorBidi" w:cs="Arial"/>
          <w:rtl/>
        </w:rPr>
        <w:footnoteReference w:id="795"/>
      </w:r>
      <w:r w:rsidRPr="00CC2350">
        <w:rPr>
          <w:rFonts w:asciiTheme="minorBidi" w:hAnsiTheme="minorBidi" w:cs="Arial"/>
          <w:rtl/>
        </w:rPr>
        <w:t xml:space="preserve"> אף על פי שירא פן יקדמנו אחר.</w:t>
      </w:r>
    </w:p>
    <w:p w14:paraId="675DD121" w14:textId="77777777" w:rsidR="004B2E7C" w:rsidRPr="00CC2350" w:rsidRDefault="004B2E7C" w:rsidP="00434A6A">
      <w:pPr>
        <w:pStyle w:val="1"/>
        <w:rPr>
          <w:rtl/>
        </w:rPr>
      </w:pPr>
      <w:r>
        <w:rPr>
          <w:rFonts w:hint="cs"/>
          <w:rtl/>
        </w:rPr>
        <w:t xml:space="preserve">סימן רסז: </w:t>
      </w:r>
      <w:r w:rsidRPr="00CC2350">
        <w:rPr>
          <w:rtl/>
        </w:rPr>
        <w:t xml:space="preserve">דיני התפלה בערב שבת, ובו ג' סעיפים. </w:t>
      </w:r>
    </w:p>
    <w:p w14:paraId="152CBA8E" w14:textId="77777777" w:rsidR="004B2E7C" w:rsidRDefault="004B2E7C" w:rsidP="00434A6A">
      <w:pPr>
        <w:pStyle w:val="2"/>
        <w:rPr>
          <w:rtl/>
        </w:rPr>
      </w:pPr>
      <w:r w:rsidRPr="00CC2350">
        <w:rPr>
          <w:rtl/>
        </w:rPr>
        <w:t>סעיף א</w:t>
      </w:r>
      <w:r>
        <w:rPr>
          <w:rFonts w:hint="cs"/>
          <w:rtl/>
        </w:rPr>
        <w:t>: נפילת אפיים במנחה של ער"ש.</w:t>
      </w:r>
    </w:p>
    <w:p w14:paraId="6FFD8BB6" w14:textId="77777777" w:rsidR="004B2E7C" w:rsidRPr="00996909" w:rsidRDefault="004B2E7C" w:rsidP="00434A6A">
      <w:pPr>
        <w:rPr>
          <w:u w:val="single"/>
          <w:rtl/>
        </w:rPr>
      </w:pPr>
      <w:r w:rsidRPr="00996909">
        <w:rPr>
          <w:rFonts w:hint="cs"/>
          <w:u w:val="single"/>
          <w:rtl/>
        </w:rPr>
        <w:t>נפילת אפיים במנחה של ער"ש:</w:t>
      </w:r>
    </w:p>
    <w:p w14:paraId="6CE5B2CF" w14:textId="77777777" w:rsidR="004B2E7C" w:rsidRPr="00A5050D" w:rsidRDefault="004B2E7C" w:rsidP="00FF2D21">
      <w:pPr>
        <w:pStyle w:val="aa"/>
        <w:numPr>
          <w:ilvl w:val="0"/>
          <w:numId w:val="97"/>
        </w:numPr>
      </w:pPr>
      <w:r>
        <w:rPr>
          <w:rFonts w:cs="Arial" w:hint="cs"/>
          <w:rtl/>
        </w:rPr>
        <w:t xml:space="preserve">טור- </w:t>
      </w:r>
      <w:r w:rsidRPr="007C6986">
        <w:rPr>
          <w:rFonts w:cs="Arial"/>
          <w:rtl/>
        </w:rPr>
        <w:t>נכנסין לבה"כ ומתפללין תפלת מנחה כמו בשאר ימות החול אלא שאין נופלין על פניהם</w:t>
      </w:r>
      <w:r>
        <w:rPr>
          <w:rFonts w:cs="Arial" w:hint="cs"/>
          <w:rtl/>
        </w:rPr>
        <w:t>.</w:t>
      </w:r>
      <w:r w:rsidRPr="007C6986">
        <w:rPr>
          <w:rFonts w:cs="Arial"/>
          <w:rtl/>
        </w:rPr>
        <w:t xml:space="preserve"> </w:t>
      </w:r>
      <w:r w:rsidRPr="00990CAF">
        <w:rPr>
          <w:rFonts w:hint="cs"/>
          <w:color w:val="E36C0A" w:themeColor="accent6" w:themeShade="BF"/>
          <w:rtl/>
        </w:rPr>
        <w:t>(וכ"פ בשו"ע)</w:t>
      </w:r>
    </w:p>
    <w:p w14:paraId="4309AC68"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527D956" w14:textId="77777777" w:rsidR="004B2E7C" w:rsidRDefault="004B2E7C" w:rsidP="00434A6A">
      <w:pPr>
        <w:rPr>
          <w:rFonts w:asciiTheme="minorBidi" w:hAnsiTheme="minorBidi"/>
          <w:rtl/>
        </w:rPr>
      </w:pPr>
      <w:r w:rsidRPr="00CC2350">
        <w:rPr>
          <w:rFonts w:asciiTheme="minorBidi" w:hAnsiTheme="minorBidi" w:cs="Arial"/>
          <w:rtl/>
        </w:rPr>
        <w:t>בתפלת המנחה בע</w:t>
      </w:r>
      <w:r>
        <w:rPr>
          <w:rFonts w:asciiTheme="minorBidi" w:hAnsiTheme="minorBidi" w:cs="Arial" w:hint="cs"/>
          <w:rtl/>
        </w:rPr>
        <w:t xml:space="preserve">רב </w:t>
      </w:r>
      <w:r w:rsidRPr="00CC2350">
        <w:rPr>
          <w:rFonts w:asciiTheme="minorBidi" w:hAnsiTheme="minorBidi" w:cs="Arial"/>
          <w:rtl/>
        </w:rPr>
        <w:t>ש</w:t>
      </w:r>
      <w:r>
        <w:rPr>
          <w:rFonts w:asciiTheme="minorBidi" w:hAnsiTheme="minorBidi" w:cs="Arial" w:hint="cs"/>
          <w:rtl/>
        </w:rPr>
        <w:t>בת</w:t>
      </w:r>
      <w:r w:rsidRPr="00CC2350">
        <w:rPr>
          <w:rFonts w:asciiTheme="minorBidi" w:hAnsiTheme="minorBidi" w:cs="Arial"/>
          <w:rtl/>
        </w:rPr>
        <w:t xml:space="preserve"> אין נופלין על פניהם. </w:t>
      </w:r>
    </w:p>
    <w:p w14:paraId="44C9A3FD" w14:textId="77777777" w:rsidR="004B2E7C" w:rsidRPr="00CC2350" w:rsidRDefault="004B2E7C" w:rsidP="00434A6A">
      <w:pPr>
        <w:rPr>
          <w:rFonts w:asciiTheme="minorBidi" w:hAnsiTheme="minorBidi"/>
          <w:rtl/>
        </w:rPr>
      </w:pPr>
    </w:p>
    <w:p w14:paraId="06A50265" w14:textId="77777777" w:rsidR="004B2E7C" w:rsidRDefault="004B2E7C" w:rsidP="00434A6A">
      <w:pPr>
        <w:pStyle w:val="2"/>
        <w:rPr>
          <w:rtl/>
        </w:rPr>
      </w:pPr>
      <w:r w:rsidRPr="00CC2350">
        <w:rPr>
          <w:rtl/>
        </w:rPr>
        <w:t>סעיף ב</w:t>
      </w:r>
      <w:r>
        <w:rPr>
          <w:rFonts w:hint="cs"/>
          <w:rtl/>
        </w:rPr>
        <w:t>: קבלת שבת מוקדמת.</w:t>
      </w:r>
    </w:p>
    <w:p w14:paraId="03599C3C" w14:textId="77777777" w:rsidR="004B2E7C" w:rsidRDefault="004B2E7C" w:rsidP="00434A6A">
      <w:pPr>
        <w:rPr>
          <w:rtl/>
        </w:rPr>
      </w:pPr>
      <w:r w:rsidRPr="00A5050D">
        <w:rPr>
          <w:rFonts w:cs="Arial" w:hint="cs"/>
          <w:b/>
          <w:bCs/>
          <w:rtl/>
        </w:rPr>
        <w:t xml:space="preserve">שבת </w:t>
      </w:r>
      <w:r>
        <w:rPr>
          <w:rFonts w:cs="Arial" w:hint="cs"/>
          <w:b/>
          <w:bCs/>
          <w:sz w:val="16"/>
          <w:szCs w:val="16"/>
          <w:rtl/>
        </w:rPr>
        <w:t xml:space="preserve">(פ' כל כתבי) </w:t>
      </w:r>
      <w:r w:rsidRPr="00A5050D">
        <w:rPr>
          <w:rFonts w:cs="Arial" w:hint="cs"/>
          <w:b/>
          <w:bCs/>
          <w:rtl/>
        </w:rPr>
        <w:t xml:space="preserve">קיח ע"ב: </w:t>
      </w:r>
      <w:r w:rsidRPr="00A5050D">
        <w:rPr>
          <w:rFonts w:cs="Arial"/>
          <w:u w:val="single"/>
          <w:rtl/>
        </w:rPr>
        <w:t>ואמר רבי יוסי</w:t>
      </w:r>
      <w:r w:rsidRPr="00A5050D">
        <w:rPr>
          <w:rFonts w:cs="Arial"/>
          <w:rtl/>
        </w:rPr>
        <w:t>: יהא חלקי ממכניסי שבת בטבריא וממוציאי שבת בצפורי.</w:t>
      </w:r>
    </w:p>
    <w:p w14:paraId="1FCB5E79" w14:textId="77777777" w:rsidR="004B2E7C" w:rsidRDefault="004B2E7C" w:rsidP="00434A6A">
      <w:pPr>
        <w:rPr>
          <w:rtl/>
        </w:rPr>
      </w:pPr>
      <w:r>
        <w:rPr>
          <w:rFonts w:cs="Arial" w:hint="cs"/>
          <w:b/>
          <w:bCs/>
          <w:rtl/>
        </w:rPr>
        <w:t>פסחים</w:t>
      </w:r>
      <w:r w:rsidRPr="00A5050D">
        <w:rPr>
          <w:rFonts w:cs="Arial" w:hint="cs"/>
          <w:b/>
          <w:bCs/>
          <w:rtl/>
        </w:rPr>
        <w:t xml:space="preserve"> </w:t>
      </w:r>
      <w:r>
        <w:rPr>
          <w:rFonts w:cs="Arial" w:hint="cs"/>
          <w:b/>
          <w:bCs/>
          <w:sz w:val="16"/>
          <w:szCs w:val="16"/>
          <w:rtl/>
        </w:rPr>
        <w:t xml:space="preserve">(פ' ערבי פסחים) </w:t>
      </w:r>
      <w:r w:rsidRPr="00A5050D">
        <w:rPr>
          <w:rFonts w:cs="Arial" w:hint="cs"/>
          <w:b/>
          <w:bCs/>
          <w:rtl/>
        </w:rPr>
        <w:t>ק</w:t>
      </w:r>
      <w:r>
        <w:rPr>
          <w:rFonts w:cs="Arial" w:hint="cs"/>
          <w:b/>
          <w:bCs/>
          <w:rtl/>
        </w:rPr>
        <w:t>ה</w:t>
      </w:r>
      <w:r w:rsidRPr="00A5050D">
        <w:rPr>
          <w:rFonts w:cs="Arial" w:hint="cs"/>
          <w:b/>
          <w:bCs/>
          <w:rtl/>
        </w:rPr>
        <w:t xml:space="preserve"> ע"ב: </w:t>
      </w:r>
      <w:r w:rsidRPr="00C95BB9">
        <w:rPr>
          <w:rFonts w:cs="Arial"/>
          <w:u w:val="single"/>
          <w:rtl/>
        </w:rPr>
        <w:t>אמר ליה</w:t>
      </w:r>
      <w:r>
        <w:rPr>
          <w:rFonts w:cs="Arial" w:hint="cs"/>
          <w:rtl/>
        </w:rPr>
        <w:t>:</w:t>
      </w:r>
      <w:r w:rsidRPr="00996909">
        <w:rPr>
          <w:rFonts w:cs="Arial" w:hint="cs"/>
          <w:sz w:val="16"/>
          <w:szCs w:val="16"/>
          <w:rtl/>
        </w:rPr>
        <w:t xml:space="preserve"> {רב נחמן בר יצחק לרבינא}</w:t>
      </w:r>
      <w:r>
        <w:rPr>
          <w:rFonts w:cs="Arial" w:hint="cs"/>
          <w:rtl/>
        </w:rPr>
        <w:t>...</w:t>
      </w:r>
      <w:r w:rsidRPr="00C95BB9">
        <w:rPr>
          <w:rFonts w:cs="Arial"/>
          <w:rtl/>
        </w:rPr>
        <w:t xml:space="preserve"> שאני לן בין עיולי יומא לאפוקי יומא. עיולי יומא - כל כמה דמקדמינן ליה עדיף, ומחבבינן ליה. אפוקי יומא - מאחרינן ליה, כי היכי דלא ליהוי עלן כטונא.</w:t>
      </w:r>
    </w:p>
    <w:p w14:paraId="57F41608" w14:textId="77777777" w:rsidR="004B2E7C" w:rsidRPr="009360BE" w:rsidRDefault="004B2E7C" w:rsidP="00434A6A">
      <w:pPr>
        <w:rPr>
          <w:u w:val="single"/>
          <w:rtl/>
        </w:rPr>
      </w:pPr>
      <w:r w:rsidRPr="009360BE">
        <w:rPr>
          <w:rFonts w:hint="cs"/>
          <w:u w:val="single"/>
          <w:rtl/>
        </w:rPr>
        <w:t>הקדמת תפילת ערבית בער"ש:</w:t>
      </w:r>
    </w:p>
    <w:p w14:paraId="49FE1516" w14:textId="77777777" w:rsidR="004B2E7C" w:rsidRPr="009360BE" w:rsidRDefault="004B2E7C" w:rsidP="00FF2D21">
      <w:pPr>
        <w:pStyle w:val="aa"/>
        <w:numPr>
          <w:ilvl w:val="0"/>
          <w:numId w:val="97"/>
        </w:numPr>
      </w:pPr>
      <w:r>
        <w:rPr>
          <w:rFonts w:cs="Arial" w:hint="cs"/>
          <w:rtl/>
        </w:rPr>
        <w:t xml:space="preserve">טור- </w:t>
      </w:r>
      <w:r w:rsidRPr="007C6986">
        <w:rPr>
          <w:rFonts w:cs="Arial"/>
          <w:rtl/>
        </w:rPr>
        <w:t xml:space="preserve">ומקדימין להתפלל ערבית יותר מבשאר ימות החול כדאמרינן </w:t>
      </w:r>
      <w:r w:rsidRPr="009360BE">
        <w:rPr>
          <w:rFonts w:cs="Arial"/>
          <w:sz w:val="16"/>
          <w:szCs w:val="16"/>
          <w:rtl/>
        </w:rPr>
        <w:t>(פסחים קה</w:t>
      </w:r>
      <w:r w:rsidRPr="009360BE">
        <w:rPr>
          <w:rFonts w:cs="Arial" w:hint="cs"/>
          <w:sz w:val="16"/>
          <w:szCs w:val="16"/>
          <w:rtl/>
        </w:rPr>
        <w:t>:</w:t>
      </w:r>
      <w:r w:rsidRPr="009360BE">
        <w:rPr>
          <w:rFonts w:cs="Arial"/>
          <w:sz w:val="16"/>
          <w:szCs w:val="16"/>
          <w:rtl/>
        </w:rPr>
        <w:t xml:space="preserve">) </w:t>
      </w:r>
      <w:r w:rsidRPr="007C6986">
        <w:rPr>
          <w:rFonts w:cs="Arial"/>
          <w:rtl/>
        </w:rPr>
        <w:t>עיולי יומא מקדימין ליה</w:t>
      </w:r>
      <w:r>
        <w:rPr>
          <w:rFonts w:cs="Arial" w:hint="cs"/>
          <w:rtl/>
        </w:rPr>
        <w:t>,</w:t>
      </w:r>
      <w:r w:rsidRPr="007C6986">
        <w:rPr>
          <w:rFonts w:cs="Arial"/>
          <w:rtl/>
        </w:rPr>
        <w:t xml:space="preserve"> וא"ר יוסי יהא חלקי עם מכניסי שבת בטבריא</w:t>
      </w:r>
      <w:r>
        <w:rPr>
          <w:rFonts w:cs="Arial" w:hint="cs"/>
          <w:rtl/>
        </w:rPr>
        <w:t>,</w:t>
      </w:r>
      <w:r w:rsidRPr="007C6986">
        <w:rPr>
          <w:rFonts w:cs="Arial"/>
          <w:rtl/>
        </w:rPr>
        <w:t xml:space="preserve"> שהיתה יושבת בעמק ובעוד היום גדול היה נדמה להם ערב</w:t>
      </w:r>
      <w:r>
        <w:rPr>
          <w:rFonts w:cs="Arial" w:hint="cs"/>
          <w:rtl/>
        </w:rPr>
        <w:t>.</w:t>
      </w:r>
      <w:r w:rsidRPr="007C6986">
        <w:rPr>
          <w:rFonts w:cs="Arial"/>
          <w:rtl/>
        </w:rPr>
        <w:t xml:space="preserve"> </w:t>
      </w:r>
      <w:r w:rsidRPr="00990CAF">
        <w:rPr>
          <w:rFonts w:hint="cs"/>
          <w:color w:val="E36C0A" w:themeColor="accent6" w:themeShade="BF"/>
          <w:rtl/>
        </w:rPr>
        <w:t>(וכ"פ בשו"ע)</w:t>
      </w:r>
    </w:p>
    <w:p w14:paraId="337BC136" w14:textId="77777777" w:rsidR="004B2E7C" w:rsidRPr="009360BE" w:rsidRDefault="004B2E7C" w:rsidP="00434A6A">
      <w:pPr>
        <w:ind w:left="360"/>
        <w:rPr>
          <w:u w:val="dotted"/>
        </w:rPr>
      </w:pPr>
      <w:r w:rsidRPr="009360BE">
        <w:rPr>
          <w:rFonts w:hint="cs"/>
          <w:u w:val="dotted"/>
          <w:rtl/>
        </w:rPr>
        <w:t>כמה אפשר להקדים:</w:t>
      </w:r>
    </w:p>
    <w:p w14:paraId="2DB014C0" w14:textId="77777777" w:rsidR="004B2E7C" w:rsidRDefault="004B2E7C" w:rsidP="00FF2D21">
      <w:pPr>
        <w:pStyle w:val="aa"/>
        <w:numPr>
          <w:ilvl w:val="0"/>
          <w:numId w:val="97"/>
        </w:numPr>
      </w:pPr>
      <w:r>
        <w:rPr>
          <w:rFonts w:cs="Arial"/>
          <w:rtl/>
        </w:rPr>
        <w:t>רמב"ם</w:t>
      </w:r>
      <w:r>
        <w:rPr>
          <w:rStyle w:val="a9"/>
          <w:rFonts w:cs="Arial"/>
          <w:rtl/>
        </w:rPr>
        <w:footnoteReference w:id="796"/>
      </w:r>
      <w:r>
        <w:rPr>
          <w:rFonts w:cs="Arial"/>
          <w:rtl/>
        </w:rPr>
        <w:t xml:space="preserve"> </w:t>
      </w:r>
      <w:r w:rsidRPr="00117BD6">
        <w:rPr>
          <w:rFonts w:cs="Arial" w:hint="cs"/>
          <w:sz w:val="16"/>
          <w:szCs w:val="16"/>
          <w:rtl/>
        </w:rPr>
        <w:t>(</w:t>
      </w:r>
      <w:r w:rsidRPr="00117BD6">
        <w:rPr>
          <w:rFonts w:cs="Arial"/>
          <w:sz w:val="16"/>
          <w:szCs w:val="16"/>
          <w:rtl/>
        </w:rPr>
        <w:t>פ"ג מה</w:t>
      </w:r>
      <w:r w:rsidRPr="00117BD6">
        <w:rPr>
          <w:rFonts w:cs="Arial" w:hint="cs"/>
          <w:sz w:val="16"/>
          <w:szCs w:val="16"/>
          <w:rtl/>
        </w:rPr>
        <w:t>ל'</w:t>
      </w:r>
      <w:r w:rsidRPr="00117BD6">
        <w:rPr>
          <w:rFonts w:cs="Arial"/>
          <w:sz w:val="16"/>
          <w:szCs w:val="16"/>
          <w:rtl/>
        </w:rPr>
        <w:t xml:space="preserve"> תפלה ה"ז)</w:t>
      </w:r>
      <w:r>
        <w:rPr>
          <w:rFonts w:cs="Arial" w:hint="cs"/>
          <w:rtl/>
        </w:rPr>
        <w:t xml:space="preserve"> רשב"א</w:t>
      </w:r>
      <w:r>
        <w:rPr>
          <w:rStyle w:val="a9"/>
          <w:rFonts w:cs="Arial"/>
          <w:rtl/>
        </w:rPr>
        <w:footnoteReference w:id="797"/>
      </w:r>
      <w:r>
        <w:rPr>
          <w:rFonts w:cs="Arial" w:hint="cs"/>
          <w:rtl/>
        </w:rPr>
        <w:t xml:space="preserve"> </w:t>
      </w:r>
      <w:r w:rsidRPr="00B8142A">
        <w:rPr>
          <w:rFonts w:cs="Arial"/>
          <w:sz w:val="16"/>
          <w:szCs w:val="16"/>
          <w:rtl/>
        </w:rPr>
        <w:t>(</w:t>
      </w:r>
      <w:r>
        <w:rPr>
          <w:rFonts w:cs="Arial" w:hint="cs"/>
          <w:sz w:val="16"/>
          <w:szCs w:val="16"/>
          <w:rtl/>
        </w:rPr>
        <w:t xml:space="preserve">ברכות </w:t>
      </w:r>
      <w:r w:rsidRPr="00B8142A">
        <w:rPr>
          <w:rFonts w:cs="Arial"/>
          <w:sz w:val="16"/>
          <w:szCs w:val="16"/>
          <w:rtl/>
        </w:rPr>
        <w:t>כז: ד"ה הא דאמר שמואל)</w:t>
      </w:r>
      <w:r>
        <w:rPr>
          <w:rFonts w:cs="Arial" w:hint="cs"/>
          <w:rtl/>
        </w:rPr>
        <w:t xml:space="preserve"> </w:t>
      </w:r>
      <w:r>
        <w:rPr>
          <w:rFonts w:cs="Arial"/>
          <w:rtl/>
        </w:rPr>
        <w:t xml:space="preserve">רא"ש </w:t>
      </w:r>
      <w:r w:rsidRPr="00117BD6">
        <w:rPr>
          <w:rFonts w:cs="Arial"/>
          <w:sz w:val="16"/>
          <w:szCs w:val="16"/>
          <w:rtl/>
        </w:rPr>
        <w:t>(שם)</w:t>
      </w:r>
      <w:r>
        <w:rPr>
          <w:rFonts w:cs="Arial" w:hint="cs"/>
          <w:rtl/>
        </w:rPr>
        <w:t xml:space="preserve"> וטור- </w:t>
      </w:r>
      <w:r w:rsidRPr="007C6986">
        <w:rPr>
          <w:rFonts w:cs="Arial"/>
          <w:rtl/>
        </w:rPr>
        <w:t>פירשו התוס'</w:t>
      </w:r>
      <w:r>
        <w:rPr>
          <w:rStyle w:val="a9"/>
          <w:rFonts w:cs="Arial"/>
          <w:rtl/>
        </w:rPr>
        <w:footnoteReference w:id="798"/>
      </w:r>
      <w:r w:rsidRPr="007C6986">
        <w:rPr>
          <w:rFonts w:cs="Arial"/>
          <w:rtl/>
        </w:rPr>
        <w:t xml:space="preserve"> שמפלג המנחה ולמעלה יכול להדליק הנר ולקבל שבת בתפלת ערבית</w:t>
      </w:r>
      <w:r>
        <w:rPr>
          <w:rFonts w:cs="Arial" w:hint="cs"/>
          <w:rtl/>
        </w:rPr>
        <w:t>...</w:t>
      </w:r>
      <w:r w:rsidRPr="007C6986">
        <w:rPr>
          <w:rFonts w:cs="Arial"/>
          <w:rtl/>
        </w:rPr>
        <w:t xml:space="preserve"> ואין בזה משום </w:t>
      </w:r>
      <w:r>
        <w:rPr>
          <w:rFonts w:cs="Arial" w:hint="cs"/>
          <w:rtl/>
        </w:rPr>
        <w:t>'</w:t>
      </w:r>
      <w:r w:rsidRPr="007C6986">
        <w:rPr>
          <w:rFonts w:cs="Arial"/>
          <w:rtl/>
        </w:rPr>
        <w:t>ובלבד שלא יקדים</w:t>
      </w:r>
      <w:r>
        <w:rPr>
          <w:rFonts w:cs="Arial" w:hint="cs"/>
          <w:rtl/>
        </w:rPr>
        <w:t>'</w:t>
      </w:r>
      <w:r w:rsidRPr="007C6986">
        <w:rPr>
          <w:rFonts w:cs="Arial"/>
          <w:rtl/>
        </w:rPr>
        <w:t xml:space="preserve"> דאין זה הקדמה כיון שמקבל עליו השבת באותה שעה</w:t>
      </w:r>
      <w:r>
        <w:rPr>
          <w:rFonts w:cs="Arial" w:hint="cs"/>
          <w:rtl/>
        </w:rPr>
        <w:t>.</w:t>
      </w:r>
      <w:r w:rsidRPr="007C6986">
        <w:rPr>
          <w:rFonts w:cs="Arial"/>
          <w:rtl/>
        </w:rPr>
        <w:t xml:space="preserve"> ומשהתפלל אסור במלאכה</w:t>
      </w:r>
      <w:r>
        <w:rPr>
          <w:rStyle w:val="a9"/>
          <w:rFonts w:cs="Arial"/>
          <w:rtl/>
        </w:rPr>
        <w:footnoteReference w:id="799"/>
      </w:r>
      <w:r w:rsidRPr="007C6986">
        <w:rPr>
          <w:rFonts w:cs="Arial"/>
          <w:rtl/>
        </w:rPr>
        <w:t xml:space="preserve"> שהרי קיבל עליו השבת באותה שעה</w:t>
      </w:r>
      <w:r>
        <w:rPr>
          <w:rFonts w:cs="Arial" w:hint="cs"/>
          <w:sz w:val="16"/>
          <w:szCs w:val="16"/>
          <w:rtl/>
        </w:rPr>
        <w:t xml:space="preserve"> (ל' הטור)</w:t>
      </w:r>
      <w:r>
        <w:rPr>
          <w:rFonts w:cs="Arial" w:hint="cs"/>
          <w:rtl/>
        </w:rPr>
        <w:t>.</w:t>
      </w:r>
      <w:r w:rsidRPr="00FA5D8E">
        <w:rPr>
          <w:rFonts w:hint="cs"/>
          <w:color w:val="E36C0A" w:themeColor="accent6" w:themeShade="BF"/>
          <w:rtl/>
        </w:rPr>
        <w:t xml:space="preserve"> </w:t>
      </w:r>
      <w:r w:rsidRPr="00AF0EFA">
        <w:rPr>
          <w:rFonts w:cs="Arial"/>
          <w:rtl/>
        </w:rPr>
        <w:t>ולאחר יציאת הכוכבים היה קורא קריאת שמע בעונתה</w:t>
      </w:r>
      <w:r w:rsidRPr="00AF0EFA">
        <w:rPr>
          <w:rFonts w:cs="Arial" w:hint="cs"/>
          <w:rtl/>
        </w:rPr>
        <w:t>.</w:t>
      </w:r>
      <w:r w:rsidRPr="00AF0EFA">
        <w:rPr>
          <w:rFonts w:cs="Arial"/>
          <w:rtl/>
        </w:rPr>
        <w:t xml:space="preserve"> ואע</w:t>
      </w:r>
      <w:r w:rsidRPr="00AF0EFA">
        <w:rPr>
          <w:rFonts w:cs="Arial" w:hint="cs"/>
          <w:rtl/>
        </w:rPr>
        <w:t>"</w:t>
      </w:r>
      <w:r w:rsidRPr="00AF0EFA">
        <w:rPr>
          <w:rFonts w:cs="Arial"/>
          <w:rtl/>
        </w:rPr>
        <w:t>פ שלא היה סומך גאולה לתפלה כיון שהיה מכוין למצוה להוסיף מחול על הקודש לא חייש לסמיכה</w:t>
      </w:r>
      <w:r w:rsidRPr="00AF0EFA">
        <w:rPr>
          <w:rFonts w:cs="Arial" w:hint="cs"/>
          <w:sz w:val="16"/>
          <w:szCs w:val="16"/>
          <w:rtl/>
        </w:rPr>
        <w:t xml:space="preserve"> (ל' הרא"ש)</w:t>
      </w:r>
      <w:r w:rsidRPr="00AF0EFA">
        <w:rPr>
          <w:rFonts w:cs="Arial" w:hint="cs"/>
          <w:rtl/>
        </w:rPr>
        <w:t>.</w:t>
      </w:r>
      <w:r w:rsidRPr="00AF0EFA">
        <w:rPr>
          <w:rFonts w:cs="Arial"/>
          <w:rtl/>
        </w:rPr>
        <w:t xml:space="preserve"> </w:t>
      </w:r>
      <w:r w:rsidRPr="00AF0EFA">
        <w:rPr>
          <w:rFonts w:hint="cs"/>
          <w:color w:val="E36C0A" w:themeColor="accent6" w:themeShade="BF"/>
          <w:rtl/>
        </w:rPr>
        <w:t>(וכ"פ בשו"ע)</w:t>
      </w:r>
    </w:p>
    <w:p w14:paraId="5718E550" w14:textId="77777777" w:rsidR="004B2E7C" w:rsidRDefault="004B2E7C" w:rsidP="00FF2D21">
      <w:pPr>
        <w:pStyle w:val="aa"/>
        <w:numPr>
          <w:ilvl w:val="0"/>
          <w:numId w:val="97"/>
        </w:numPr>
        <w:rPr>
          <w:rFonts w:cs="Arial"/>
        </w:rPr>
      </w:pPr>
      <w:r w:rsidRPr="00886088">
        <w:rPr>
          <w:rFonts w:cs="Arial"/>
          <w:rtl/>
        </w:rPr>
        <w:t xml:space="preserve">ר"י ן' גיאת </w:t>
      </w:r>
      <w:r w:rsidRPr="00886088">
        <w:rPr>
          <w:rFonts w:cs="Arial"/>
          <w:sz w:val="16"/>
          <w:szCs w:val="16"/>
          <w:rtl/>
        </w:rPr>
        <w:t>(הל' הבדלה יט.</w:t>
      </w:r>
      <w:r w:rsidRPr="00886088">
        <w:rPr>
          <w:rFonts w:cs="Arial" w:hint="cs"/>
          <w:sz w:val="16"/>
          <w:szCs w:val="16"/>
          <w:rtl/>
        </w:rPr>
        <w:t>, הביאוהו הב"י [כאן] והטור בסי' רצג</w:t>
      </w:r>
      <w:r w:rsidRPr="00886088">
        <w:rPr>
          <w:rFonts w:cs="Arial"/>
          <w:sz w:val="16"/>
          <w:szCs w:val="16"/>
          <w:rtl/>
        </w:rPr>
        <w:t>)</w:t>
      </w:r>
      <w:r w:rsidRPr="00886088">
        <w:rPr>
          <w:rFonts w:cs="Arial" w:hint="cs"/>
          <w:rtl/>
        </w:rPr>
        <w:t xml:space="preserve">- </w:t>
      </w:r>
      <w:r w:rsidRPr="00886088">
        <w:rPr>
          <w:rFonts w:cs="Arial"/>
          <w:rtl/>
        </w:rPr>
        <w:t>כיון שנהגו כל ישראל כרבנן שאין מתפללין ערבית אלא משחשכה</w:t>
      </w:r>
      <w:r>
        <w:rPr>
          <w:rFonts w:cs="Arial" w:hint="cs"/>
          <w:rtl/>
        </w:rPr>
        <w:t>,</w:t>
      </w:r>
      <w:r w:rsidRPr="00886088">
        <w:rPr>
          <w:rFonts w:cs="Arial"/>
          <w:rtl/>
        </w:rPr>
        <w:t xml:space="preserve"> אין להתפלל של שבת בערב שבת ולא של מוצאי שבת בשבת</w:t>
      </w:r>
      <w:r w:rsidRPr="00886088">
        <w:rPr>
          <w:rFonts w:cs="Arial" w:hint="cs"/>
          <w:rtl/>
        </w:rPr>
        <w:t>.</w:t>
      </w:r>
    </w:p>
    <w:p w14:paraId="7122068D" w14:textId="77777777" w:rsidR="004B2E7C" w:rsidRPr="00886088" w:rsidRDefault="004B2E7C" w:rsidP="00FF2D21">
      <w:pPr>
        <w:pStyle w:val="aa"/>
        <w:numPr>
          <w:ilvl w:val="1"/>
          <w:numId w:val="97"/>
        </w:numPr>
        <w:rPr>
          <w:rFonts w:cs="Arial"/>
        </w:rPr>
      </w:pPr>
      <w:r>
        <w:rPr>
          <w:rFonts w:cs="Arial" w:hint="cs"/>
          <w:rtl/>
        </w:rPr>
        <w:t xml:space="preserve">ב"י- </w:t>
      </w:r>
      <w:r w:rsidRPr="00886088">
        <w:rPr>
          <w:rFonts w:cs="Arial"/>
          <w:rtl/>
        </w:rPr>
        <w:t>ולענין הלכה כיון שהרמב"ם והרא"ש מסכימים לדעת אחת הכי נקטינן ודלא כרי"ץ ן' גיאת</w:t>
      </w:r>
      <w:r w:rsidRPr="00886088">
        <w:rPr>
          <w:rFonts w:cs="Arial" w:hint="cs"/>
          <w:rtl/>
        </w:rPr>
        <w:t>.</w:t>
      </w:r>
    </w:p>
    <w:p w14:paraId="41623CEB" w14:textId="77777777" w:rsidR="004B2E7C" w:rsidRPr="00117BD6" w:rsidRDefault="004B2E7C" w:rsidP="00434A6A">
      <w:pPr>
        <w:ind w:left="360"/>
        <w:rPr>
          <w:u w:val="dotted"/>
        </w:rPr>
      </w:pPr>
      <w:r w:rsidRPr="00117BD6">
        <w:rPr>
          <w:rFonts w:hint="cs"/>
          <w:u w:val="dotted"/>
          <w:rtl/>
        </w:rPr>
        <w:t xml:space="preserve">מתי יכול </w:t>
      </w:r>
      <w:r>
        <w:rPr>
          <w:rFonts w:hint="cs"/>
          <w:u w:val="dotted"/>
          <w:rtl/>
        </w:rPr>
        <w:t>לקדש ו</w:t>
      </w:r>
      <w:r w:rsidRPr="00117BD6">
        <w:rPr>
          <w:rFonts w:hint="cs"/>
          <w:u w:val="dotted"/>
          <w:rtl/>
        </w:rPr>
        <w:t>לאכול</w:t>
      </w:r>
      <w:r>
        <w:rPr>
          <w:rFonts w:hint="cs"/>
          <w:u w:val="dotted"/>
          <w:rtl/>
        </w:rPr>
        <w:t xml:space="preserve"> סעודת ליל שבת</w:t>
      </w:r>
      <w:r w:rsidRPr="00117BD6">
        <w:rPr>
          <w:rFonts w:hint="cs"/>
          <w:u w:val="dotted"/>
          <w:rtl/>
        </w:rPr>
        <w:t>:</w:t>
      </w:r>
    </w:p>
    <w:p w14:paraId="70C7DA36" w14:textId="77777777" w:rsidR="004B2E7C" w:rsidRDefault="004B2E7C" w:rsidP="00FF2D21">
      <w:pPr>
        <w:pStyle w:val="aa"/>
        <w:numPr>
          <w:ilvl w:val="0"/>
          <w:numId w:val="97"/>
        </w:numPr>
      </w:pPr>
      <w:r>
        <w:rPr>
          <w:rFonts w:cs="Arial" w:hint="cs"/>
          <w:rtl/>
        </w:rPr>
        <w:t>רמב"ם</w:t>
      </w:r>
      <w:r>
        <w:rPr>
          <w:rStyle w:val="a9"/>
          <w:rFonts w:cs="Arial"/>
          <w:rtl/>
        </w:rPr>
        <w:footnoteReference w:id="800"/>
      </w:r>
      <w:r>
        <w:rPr>
          <w:rFonts w:cs="Arial" w:hint="cs"/>
          <w:rtl/>
        </w:rPr>
        <w:t xml:space="preserve"> רשב"א רא"ש</w:t>
      </w:r>
      <w:r>
        <w:rPr>
          <w:rStyle w:val="a9"/>
          <w:rFonts w:cs="Arial"/>
          <w:rtl/>
        </w:rPr>
        <w:footnoteReference w:id="801"/>
      </w:r>
      <w:r>
        <w:rPr>
          <w:rFonts w:cs="Arial" w:hint="cs"/>
          <w:rtl/>
        </w:rPr>
        <w:t xml:space="preserve"> </w:t>
      </w:r>
      <w:r w:rsidRPr="00FA5D8E">
        <w:rPr>
          <w:rFonts w:cs="Arial"/>
          <w:rtl/>
        </w:rPr>
        <w:t>אהל מועד</w:t>
      </w:r>
      <w:r>
        <w:rPr>
          <w:rStyle w:val="a9"/>
          <w:rFonts w:cs="Arial"/>
          <w:rtl/>
        </w:rPr>
        <w:footnoteReference w:id="802"/>
      </w:r>
      <w:r w:rsidRPr="00FA5D8E">
        <w:rPr>
          <w:rFonts w:cs="Arial"/>
          <w:rtl/>
        </w:rPr>
        <w:t xml:space="preserve"> </w:t>
      </w:r>
      <w:r>
        <w:rPr>
          <w:rFonts w:cs="Arial"/>
          <w:rtl/>
        </w:rPr>
        <w:t>מהר"י אבוהב</w:t>
      </w:r>
      <w:r>
        <w:rPr>
          <w:rFonts w:cs="Arial" w:hint="cs"/>
          <w:rtl/>
        </w:rPr>
        <w:t xml:space="preserve"> ורי"ו</w:t>
      </w:r>
      <w:r>
        <w:rPr>
          <w:rStyle w:val="a9"/>
          <w:rFonts w:cs="Arial"/>
          <w:rtl/>
        </w:rPr>
        <w:footnoteReference w:id="803"/>
      </w:r>
      <w:r>
        <w:rPr>
          <w:rFonts w:cs="Arial" w:hint="cs"/>
          <w:rtl/>
        </w:rPr>
        <w:t>-</w:t>
      </w:r>
      <w:r>
        <w:rPr>
          <w:rFonts w:cs="Arial"/>
          <w:rtl/>
        </w:rPr>
        <w:t xml:space="preserve"> וזאת הקבלה יראה שיכול לקבל שבת ולאכול מיד</w:t>
      </w:r>
      <w:r>
        <w:rPr>
          <w:rFonts w:cs="Arial" w:hint="cs"/>
          <w:rtl/>
        </w:rPr>
        <w:t>,</w:t>
      </w:r>
      <w:r>
        <w:rPr>
          <w:rFonts w:cs="Arial"/>
          <w:rtl/>
        </w:rPr>
        <w:t xml:space="preserve"> כך נראה בפסקים </w:t>
      </w:r>
      <w:r w:rsidRPr="00AF0EFA">
        <w:rPr>
          <w:rFonts w:cs="Arial" w:hint="cs"/>
          <w:sz w:val="18"/>
          <w:szCs w:val="18"/>
          <w:rtl/>
        </w:rPr>
        <w:t xml:space="preserve">(רא"ש </w:t>
      </w:r>
      <w:r>
        <w:rPr>
          <w:rFonts w:cs="Arial" w:hint="cs"/>
          <w:sz w:val="18"/>
          <w:szCs w:val="18"/>
          <w:rtl/>
        </w:rPr>
        <w:t>שם ושם</w:t>
      </w:r>
      <w:r w:rsidRPr="00AF0EFA">
        <w:rPr>
          <w:rFonts w:cs="Arial" w:hint="cs"/>
          <w:sz w:val="18"/>
          <w:szCs w:val="18"/>
          <w:rtl/>
        </w:rPr>
        <w:t>)</w:t>
      </w:r>
      <w:r>
        <w:rPr>
          <w:rFonts w:cs="Arial" w:hint="cs"/>
          <w:sz w:val="18"/>
          <w:szCs w:val="18"/>
          <w:rtl/>
        </w:rPr>
        <w:t xml:space="preserve"> </w:t>
      </w:r>
      <w:r>
        <w:rPr>
          <w:rFonts w:cs="Arial"/>
          <w:rtl/>
        </w:rPr>
        <w:t>שאומר שדוקא אכילת מצה הוא משתחשך דאיתקש לפסח אבל אכילת שבת נראה שיכול לאכול אפילו בזה הזמן</w:t>
      </w:r>
      <w:r>
        <w:rPr>
          <w:rStyle w:val="a9"/>
          <w:rFonts w:cs="Arial"/>
          <w:rtl/>
        </w:rPr>
        <w:footnoteReference w:id="804"/>
      </w:r>
      <w:r>
        <w:rPr>
          <w:rFonts w:cs="Arial" w:hint="cs"/>
          <w:sz w:val="16"/>
          <w:szCs w:val="16"/>
          <w:rtl/>
        </w:rPr>
        <w:t xml:space="preserve"> (ל' הב"י בשם מהר"י אבוהב)</w:t>
      </w:r>
      <w:r>
        <w:rPr>
          <w:rFonts w:cs="Arial"/>
          <w:rtl/>
        </w:rPr>
        <w:t xml:space="preserve">. </w:t>
      </w:r>
      <w:r w:rsidRPr="00990CAF">
        <w:rPr>
          <w:rFonts w:hint="cs"/>
          <w:color w:val="E36C0A" w:themeColor="accent6" w:themeShade="BF"/>
          <w:rtl/>
        </w:rPr>
        <w:t>(וכ"פ בשו"ע)</w:t>
      </w:r>
    </w:p>
    <w:p w14:paraId="3E0B3776" w14:textId="77777777" w:rsidR="004B2E7C" w:rsidRDefault="004B2E7C" w:rsidP="00FF2D21">
      <w:pPr>
        <w:pStyle w:val="aa"/>
        <w:numPr>
          <w:ilvl w:val="0"/>
          <w:numId w:val="97"/>
        </w:numPr>
        <w:rPr>
          <w:rFonts w:cs="Arial"/>
        </w:rPr>
      </w:pPr>
      <w:r w:rsidRPr="00886088">
        <w:rPr>
          <w:rFonts w:cs="Arial"/>
          <w:rtl/>
        </w:rPr>
        <w:t xml:space="preserve">ר"י ן' גיאת </w:t>
      </w:r>
      <w:r w:rsidRPr="00886088">
        <w:rPr>
          <w:rFonts w:cs="Arial"/>
          <w:sz w:val="16"/>
          <w:szCs w:val="16"/>
          <w:rtl/>
        </w:rPr>
        <w:t>(הל' הבדלה יט.</w:t>
      </w:r>
      <w:r w:rsidRPr="00886088">
        <w:rPr>
          <w:rFonts w:cs="Arial" w:hint="cs"/>
          <w:sz w:val="16"/>
          <w:szCs w:val="16"/>
          <w:rtl/>
        </w:rPr>
        <w:t>, הביאוהו הב"י [כאן] והטור בסי' רצג</w:t>
      </w:r>
      <w:r w:rsidRPr="00886088">
        <w:rPr>
          <w:rFonts w:cs="Arial"/>
          <w:sz w:val="16"/>
          <w:szCs w:val="16"/>
          <w:rtl/>
        </w:rPr>
        <w:t>)</w:t>
      </w:r>
      <w:r w:rsidRPr="00886088">
        <w:rPr>
          <w:rFonts w:cs="Arial" w:hint="cs"/>
          <w:rtl/>
        </w:rPr>
        <w:t xml:space="preserve">- </w:t>
      </w:r>
      <w:r w:rsidRPr="00886088">
        <w:rPr>
          <w:rFonts w:cs="Arial"/>
          <w:rtl/>
        </w:rPr>
        <w:t>אין לקדש ולהבדיל אלא בכניסת היום בין יין מצוי בין אינו מצוי</w:t>
      </w:r>
      <w:r>
        <w:rPr>
          <w:rFonts w:cs="Arial" w:hint="cs"/>
          <w:rtl/>
        </w:rPr>
        <w:t>,</w:t>
      </w:r>
      <w:r w:rsidRPr="00886088">
        <w:rPr>
          <w:rFonts w:cs="Arial"/>
          <w:rtl/>
        </w:rPr>
        <w:t xml:space="preserve"> דהא אפשר בפת</w:t>
      </w:r>
      <w:r w:rsidRPr="00886088">
        <w:rPr>
          <w:rFonts w:cs="Arial" w:hint="cs"/>
          <w:rtl/>
        </w:rPr>
        <w:t>.</w:t>
      </w:r>
    </w:p>
    <w:p w14:paraId="4F5B8ECC" w14:textId="77777777" w:rsidR="004B2E7C" w:rsidRPr="00CB7D1C" w:rsidRDefault="004B2E7C" w:rsidP="00FF2D21">
      <w:pPr>
        <w:pStyle w:val="aa"/>
        <w:numPr>
          <w:ilvl w:val="1"/>
          <w:numId w:val="97"/>
        </w:numPr>
        <w:rPr>
          <w:rFonts w:cs="Arial"/>
        </w:rPr>
      </w:pPr>
      <w:r>
        <w:rPr>
          <w:rFonts w:cs="Arial" w:hint="cs"/>
          <w:rtl/>
        </w:rPr>
        <w:t xml:space="preserve">ב"י- </w:t>
      </w:r>
      <w:r w:rsidRPr="00886088">
        <w:rPr>
          <w:rFonts w:cs="Arial"/>
          <w:rtl/>
        </w:rPr>
        <w:t>ולענין הלכה כיון שהרמב"ם והרא"ש מסכימים לדעת אחת הכי נקטינן ודלא כרי"ץ ן' גיאת</w:t>
      </w:r>
      <w:r w:rsidRPr="00886088">
        <w:rPr>
          <w:rFonts w:cs="Arial" w:hint="cs"/>
          <w:rtl/>
        </w:rPr>
        <w:t>.</w:t>
      </w:r>
    </w:p>
    <w:p w14:paraId="0681F54A" w14:textId="77777777" w:rsidR="004B2E7C" w:rsidRPr="009360BE" w:rsidRDefault="004B2E7C" w:rsidP="00434A6A">
      <w:pPr>
        <w:rPr>
          <w:u w:val="single"/>
        </w:rPr>
      </w:pPr>
      <w:r w:rsidRPr="009360BE">
        <w:rPr>
          <w:rFonts w:cs="Arial" w:hint="cs"/>
          <w:u w:val="single"/>
          <w:rtl/>
        </w:rPr>
        <w:t xml:space="preserve">'והוא רחום' </w:t>
      </w:r>
      <w:r w:rsidRPr="009360BE">
        <w:rPr>
          <w:rFonts w:cs="Arial"/>
          <w:u w:val="single"/>
          <w:rtl/>
        </w:rPr>
        <w:t>–</w:t>
      </w:r>
      <w:r w:rsidRPr="009360BE">
        <w:rPr>
          <w:rFonts w:cs="Arial" w:hint="cs"/>
          <w:u w:val="single"/>
          <w:rtl/>
        </w:rPr>
        <w:t xml:space="preserve"> בשבת:</w:t>
      </w:r>
      <w:r w:rsidRPr="009360BE">
        <w:rPr>
          <w:rFonts w:cs="Arial"/>
          <w:u w:val="single"/>
          <w:rtl/>
        </w:rPr>
        <w:t xml:space="preserve"> </w:t>
      </w:r>
    </w:p>
    <w:p w14:paraId="42ABCECE" w14:textId="77777777" w:rsidR="004B2E7C" w:rsidRDefault="004B2E7C" w:rsidP="00FF2D21">
      <w:pPr>
        <w:pStyle w:val="aa"/>
        <w:numPr>
          <w:ilvl w:val="0"/>
          <w:numId w:val="97"/>
        </w:numPr>
      </w:pPr>
      <w:r>
        <w:rPr>
          <w:rFonts w:cs="Arial" w:hint="cs"/>
          <w:rtl/>
        </w:rPr>
        <w:t>טור- נ</w:t>
      </w:r>
      <w:r w:rsidRPr="007C6986">
        <w:rPr>
          <w:rFonts w:cs="Arial"/>
          <w:rtl/>
        </w:rPr>
        <w:t>והגין בספרד לומר והוא רחום כבשאר הימים</w:t>
      </w:r>
      <w:r>
        <w:rPr>
          <w:rFonts w:cs="Arial" w:hint="cs"/>
          <w:rtl/>
        </w:rPr>
        <w:t>.</w:t>
      </w:r>
      <w:r w:rsidRPr="007C6986">
        <w:rPr>
          <w:rFonts w:cs="Arial"/>
          <w:rtl/>
        </w:rPr>
        <w:t xml:space="preserve"> ובאשכנז אין נוהגים לאומרה</w:t>
      </w:r>
      <w:r>
        <w:rPr>
          <w:rFonts w:cs="Arial" w:hint="cs"/>
          <w:rtl/>
        </w:rPr>
        <w:t>.</w:t>
      </w:r>
      <w:r w:rsidRPr="007C6986">
        <w:rPr>
          <w:rFonts w:cs="Arial"/>
          <w:rtl/>
        </w:rPr>
        <w:t xml:space="preserve"> ולפי הטעם שכתבתי למעלה שאומרים אותו בשביל המלקות ראוי שלא לאומרו בשבת</w:t>
      </w:r>
      <w:r>
        <w:rPr>
          <w:rFonts w:cs="Arial" w:hint="cs"/>
          <w:rtl/>
        </w:rPr>
        <w:t>.</w:t>
      </w:r>
      <w:r w:rsidRPr="007C6986">
        <w:rPr>
          <w:rFonts w:cs="Arial"/>
          <w:rtl/>
        </w:rPr>
        <w:t xml:space="preserve"> </w:t>
      </w:r>
    </w:p>
    <w:p w14:paraId="54299425"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A252B14" w14:textId="77777777" w:rsidR="004B2E7C" w:rsidRDefault="004B2E7C" w:rsidP="00434A6A">
      <w:pPr>
        <w:rPr>
          <w:rFonts w:asciiTheme="minorBidi" w:hAnsiTheme="minorBidi"/>
          <w:rtl/>
        </w:rPr>
      </w:pPr>
      <w:r w:rsidRPr="00CC2350">
        <w:rPr>
          <w:rFonts w:asciiTheme="minorBidi" w:hAnsiTheme="minorBidi" w:cs="Arial"/>
          <w:rtl/>
        </w:rPr>
        <w:t>מקדימין להתפלל ערבית יותר מבימות החול</w:t>
      </w:r>
      <w:r>
        <w:rPr>
          <w:rFonts w:asciiTheme="minorBidi" w:hAnsiTheme="minorBidi" w:cs="Arial" w:hint="cs"/>
          <w:rtl/>
        </w:rPr>
        <w:t>.</w:t>
      </w:r>
      <w:r w:rsidRPr="00CC2350">
        <w:rPr>
          <w:rFonts w:asciiTheme="minorBidi" w:hAnsiTheme="minorBidi" w:cs="Arial"/>
          <w:rtl/>
        </w:rPr>
        <w:t xml:space="preserve"> ובפלג המנחה</w:t>
      </w:r>
      <w:r>
        <w:rPr>
          <w:rStyle w:val="a9"/>
          <w:rFonts w:asciiTheme="minorBidi" w:hAnsiTheme="minorBidi" w:cs="Arial"/>
          <w:rtl/>
        </w:rPr>
        <w:footnoteReference w:id="805"/>
      </w:r>
      <w:r w:rsidRPr="00CC2350">
        <w:rPr>
          <w:rFonts w:asciiTheme="minorBidi" w:hAnsiTheme="minorBidi" w:cs="Arial"/>
          <w:rtl/>
        </w:rPr>
        <w:t xml:space="preserve"> יכול להדליק ולקבל שבת בתפלת ערבית</w:t>
      </w:r>
      <w:r>
        <w:rPr>
          <w:rFonts w:asciiTheme="minorBidi" w:hAnsiTheme="minorBidi" w:cs="Arial" w:hint="cs"/>
          <w:rtl/>
        </w:rPr>
        <w:t>,</w:t>
      </w:r>
      <w:r w:rsidRPr="00CC2350">
        <w:rPr>
          <w:rFonts w:asciiTheme="minorBidi" w:hAnsiTheme="minorBidi" w:cs="Arial"/>
          <w:rtl/>
        </w:rPr>
        <w:t xml:space="preserve"> ולאכול</w:t>
      </w:r>
      <w:r>
        <w:rPr>
          <w:rStyle w:val="a9"/>
          <w:rFonts w:asciiTheme="minorBidi" w:hAnsiTheme="minorBidi" w:cs="Arial"/>
          <w:rtl/>
        </w:rPr>
        <w:footnoteReference w:id="806"/>
      </w:r>
      <w:r w:rsidRPr="00CC2350">
        <w:rPr>
          <w:rFonts w:asciiTheme="minorBidi" w:hAnsiTheme="minorBidi" w:cs="Arial"/>
          <w:rtl/>
        </w:rPr>
        <w:t xml:space="preserve"> מיד</w:t>
      </w:r>
      <w:r>
        <w:rPr>
          <w:rStyle w:val="a9"/>
          <w:rFonts w:asciiTheme="minorBidi" w:hAnsiTheme="minorBidi" w:cs="Arial"/>
          <w:rtl/>
        </w:rPr>
        <w:footnoteReference w:id="807"/>
      </w:r>
      <w:r w:rsidRPr="00CC2350">
        <w:rPr>
          <w:rFonts w:asciiTheme="minorBidi" w:hAnsiTheme="minorBidi" w:cs="Arial"/>
          <w:rtl/>
        </w:rPr>
        <w:t xml:space="preserve">. </w:t>
      </w:r>
    </w:p>
    <w:p w14:paraId="5EF27DB9" w14:textId="77777777" w:rsidR="004B2E7C" w:rsidRPr="00CC2350" w:rsidRDefault="004B2E7C" w:rsidP="00434A6A">
      <w:pPr>
        <w:rPr>
          <w:rFonts w:asciiTheme="minorBidi" w:hAnsiTheme="minorBidi"/>
          <w:rtl/>
        </w:rPr>
      </w:pPr>
    </w:p>
    <w:p w14:paraId="17CE0BC9" w14:textId="77777777" w:rsidR="004B2E7C" w:rsidRDefault="004B2E7C" w:rsidP="00434A6A">
      <w:pPr>
        <w:pStyle w:val="2"/>
        <w:rPr>
          <w:rtl/>
        </w:rPr>
      </w:pPr>
      <w:r w:rsidRPr="00CC2350">
        <w:rPr>
          <w:rtl/>
        </w:rPr>
        <w:t>סעיף ג</w:t>
      </w:r>
      <w:r>
        <w:rPr>
          <w:rFonts w:hint="cs"/>
          <w:rtl/>
        </w:rPr>
        <w:t>: השכיבנו.</w:t>
      </w:r>
    </w:p>
    <w:p w14:paraId="56A6CEDF" w14:textId="77777777" w:rsidR="004B2E7C" w:rsidRPr="00DB4DB2" w:rsidRDefault="004B2E7C" w:rsidP="00434A6A">
      <w:pPr>
        <w:rPr>
          <w:u w:val="single"/>
        </w:rPr>
      </w:pPr>
      <w:r>
        <w:rPr>
          <w:rFonts w:hint="cs"/>
          <w:u w:val="single"/>
          <w:rtl/>
        </w:rPr>
        <w:t xml:space="preserve">סדר התפילה </w:t>
      </w:r>
      <w:r w:rsidRPr="00DB4DB2">
        <w:rPr>
          <w:rFonts w:hint="cs"/>
          <w:u w:val="single"/>
          <w:rtl/>
        </w:rPr>
        <w:t>לאחר קריאת שמע:</w:t>
      </w:r>
    </w:p>
    <w:p w14:paraId="585B2B55" w14:textId="77777777" w:rsidR="004B2E7C" w:rsidRPr="00DB4DB2" w:rsidRDefault="004B2E7C" w:rsidP="00FF2D21">
      <w:pPr>
        <w:pStyle w:val="aa"/>
        <w:numPr>
          <w:ilvl w:val="0"/>
          <w:numId w:val="97"/>
        </w:numPr>
      </w:pPr>
      <w:r>
        <w:rPr>
          <w:rFonts w:cs="Arial" w:hint="cs"/>
          <w:rtl/>
        </w:rPr>
        <w:t xml:space="preserve">טור- </w:t>
      </w:r>
      <w:r w:rsidRPr="007C6986">
        <w:rPr>
          <w:rFonts w:cs="Arial"/>
          <w:rtl/>
        </w:rPr>
        <w:t>קורין שמע בברכותיה כבשאר ימות החול בלא גירוע ובלא תוספת עד סוף ברכת השכיבנו</w:t>
      </w:r>
      <w:r>
        <w:rPr>
          <w:rFonts w:cs="Arial" w:hint="cs"/>
          <w:rtl/>
        </w:rPr>
        <w:t>,</w:t>
      </w:r>
      <w:r w:rsidRPr="007C6986">
        <w:rPr>
          <w:rFonts w:cs="Arial"/>
          <w:rtl/>
        </w:rPr>
        <w:t xml:space="preserve"> ומשנין בחתימה</w:t>
      </w:r>
      <w:r>
        <w:rPr>
          <w:rFonts w:cs="Arial" w:hint="cs"/>
          <w:rtl/>
        </w:rPr>
        <w:t>,</w:t>
      </w:r>
      <w:r w:rsidRPr="007C6986">
        <w:rPr>
          <w:rFonts w:cs="Arial"/>
          <w:rtl/>
        </w:rPr>
        <w:t xml:space="preserve"> שחותם </w:t>
      </w:r>
      <w:r>
        <w:rPr>
          <w:rFonts w:cs="Arial" w:hint="cs"/>
          <w:rtl/>
        </w:rPr>
        <w:t>'</w:t>
      </w:r>
      <w:r w:rsidRPr="007C6986">
        <w:rPr>
          <w:rFonts w:cs="Arial"/>
          <w:rtl/>
        </w:rPr>
        <w:t>ופרוס סוכת שלום עלינו ועל ירושלים עירך ב</w:t>
      </w:r>
      <w:r>
        <w:rPr>
          <w:rFonts w:cs="Arial"/>
          <w:rtl/>
        </w:rPr>
        <w:t>גוי</w:t>
      </w:r>
      <w:r w:rsidRPr="007C6986">
        <w:rPr>
          <w:rFonts w:cs="Arial"/>
          <w:rtl/>
        </w:rPr>
        <w:t xml:space="preserve"> הפורס סוכת שלום עלינו ועל עמו ישראל ועל ירושלים</w:t>
      </w:r>
      <w:r>
        <w:rPr>
          <w:rFonts w:cs="Arial" w:hint="cs"/>
          <w:rtl/>
        </w:rPr>
        <w:t>'.</w:t>
      </w:r>
      <w:r w:rsidRPr="007C6986">
        <w:rPr>
          <w:rFonts w:cs="Arial"/>
          <w:rtl/>
        </w:rPr>
        <w:t xml:space="preserve"> וכן המנהג באשכנז ובצרפת</w:t>
      </w:r>
      <w:r>
        <w:rPr>
          <w:rFonts w:cs="Arial" w:hint="cs"/>
          <w:rtl/>
        </w:rPr>
        <w:t>.</w:t>
      </w:r>
      <w:r w:rsidRPr="007C6986">
        <w:rPr>
          <w:rFonts w:cs="Arial"/>
          <w:rtl/>
        </w:rPr>
        <w:t xml:space="preserve"> ואין חותמין </w:t>
      </w:r>
      <w:r>
        <w:rPr>
          <w:rFonts w:cs="Arial" w:hint="cs"/>
          <w:rtl/>
        </w:rPr>
        <w:t>'</w:t>
      </w:r>
      <w:r w:rsidRPr="007C6986">
        <w:rPr>
          <w:rFonts w:cs="Arial"/>
          <w:rtl/>
        </w:rPr>
        <w:t>שומר עמו ישראל לעד</w:t>
      </w:r>
      <w:r>
        <w:rPr>
          <w:rFonts w:cs="Arial" w:hint="cs"/>
          <w:rtl/>
        </w:rPr>
        <w:t>',</w:t>
      </w:r>
      <w:r w:rsidRPr="007C6986">
        <w:rPr>
          <w:rFonts w:cs="Arial"/>
          <w:rtl/>
        </w:rPr>
        <w:t xml:space="preserve"> כדאיתא במדרש שבשבת אין צריכין שמירה</w:t>
      </w:r>
      <w:r>
        <w:rPr>
          <w:rFonts w:cs="Arial" w:hint="cs"/>
          <w:rtl/>
        </w:rPr>
        <w:t>,</w:t>
      </w:r>
      <w:r w:rsidRPr="007C6986">
        <w:rPr>
          <w:rFonts w:cs="Arial"/>
          <w:rtl/>
        </w:rPr>
        <w:t xml:space="preserve"> שהשבת שומר</w:t>
      </w:r>
      <w:r>
        <w:rPr>
          <w:rFonts w:cs="Arial" w:hint="cs"/>
          <w:rtl/>
        </w:rPr>
        <w:t>.</w:t>
      </w:r>
      <w:r w:rsidRPr="007C6986">
        <w:rPr>
          <w:rFonts w:cs="Arial"/>
          <w:rtl/>
        </w:rPr>
        <w:t xml:space="preserve"> ונוהגין לומר פסוק ושמרו בני ישראל וגו'</w:t>
      </w:r>
      <w:r>
        <w:rPr>
          <w:rFonts w:cs="Arial" w:hint="cs"/>
          <w:rtl/>
        </w:rPr>
        <w:t>,</w:t>
      </w:r>
      <w:r w:rsidRPr="007C6986">
        <w:rPr>
          <w:rFonts w:cs="Arial"/>
          <w:rtl/>
        </w:rPr>
        <w:t xml:space="preserve"> לומר שאם ישמרו שבת אין צריכין שמירה</w:t>
      </w:r>
      <w:r>
        <w:rPr>
          <w:rFonts w:cs="Arial" w:hint="cs"/>
          <w:rtl/>
        </w:rPr>
        <w:t>,</w:t>
      </w:r>
      <w:r w:rsidRPr="007C6986">
        <w:rPr>
          <w:rFonts w:cs="Arial"/>
          <w:rtl/>
        </w:rPr>
        <w:t xml:space="preserve"> והוא ג"כ מעין גאולה כדכתיבנא לעיל שאם ישמרו ישראל ב' שבתות מיד נגאלין</w:t>
      </w:r>
      <w:r>
        <w:rPr>
          <w:rFonts w:cs="Arial" w:hint="cs"/>
          <w:rtl/>
        </w:rPr>
        <w:t>.</w:t>
      </w:r>
      <w:r w:rsidRPr="007C6986">
        <w:rPr>
          <w:rFonts w:cs="Arial"/>
          <w:rtl/>
        </w:rPr>
        <w:t xml:space="preserve"> ואומר ש"ץ קדיש ומתפללין ערבית</w:t>
      </w:r>
      <w:r>
        <w:rPr>
          <w:rFonts w:cs="Arial" w:hint="cs"/>
          <w:rtl/>
        </w:rPr>
        <w:t>.</w:t>
      </w:r>
      <w:r w:rsidRPr="007C6986">
        <w:rPr>
          <w:rFonts w:cs="Arial"/>
          <w:rtl/>
        </w:rPr>
        <w:t xml:space="preserve"> ובטוליטולה נוהגין לחתום בשבת כמו בחול ואינו נכון כדפרישית</w:t>
      </w:r>
      <w:r>
        <w:rPr>
          <w:rFonts w:cs="Arial" w:hint="cs"/>
          <w:rtl/>
        </w:rPr>
        <w:t>.</w:t>
      </w:r>
      <w:r w:rsidRPr="007C6986">
        <w:rPr>
          <w:rFonts w:cs="Arial"/>
          <w:rtl/>
        </w:rPr>
        <w:t xml:space="preserve"> ועוד דבירושל</w:t>
      </w:r>
      <w:r>
        <w:rPr>
          <w:rFonts w:cs="Arial" w:hint="cs"/>
          <w:rtl/>
        </w:rPr>
        <w:t>מי</w:t>
      </w:r>
      <w:r w:rsidRPr="007C6986">
        <w:rPr>
          <w:rFonts w:cs="Arial"/>
          <w:rtl/>
        </w:rPr>
        <w:t xml:space="preserve"> גרסינן בהדיא </w:t>
      </w:r>
      <w:r>
        <w:rPr>
          <w:rFonts w:cs="Arial" w:hint="cs"/>
          <w:rtl/>
        </w:rPr>
        <w:t>'</w:t>
      </w:r>
      <w:r w:rsidRPr="007C6986">
        <w:rPr>
          <w:rFonts w:cs="Arial"/>
          <w:rtl/>
        </w:rPr>
        <w:t>הדא דתימור בחול אבל בשבת אומרים ופרוס עלינו סוכת שלום</w:t>
      </w:r>
      <w:r>
        <w:rPr>
          <w:rFonts w:cs="Arial" w:hint="cs"/>
          <w:rtl/>
        </w:rPr>
        <w:t>'.</w:t>
      </w:r>
      <w:r w:rsidRPr="007C6986">
        <w:rPr>
          <w:rFonts w:cs="Arial"/>
          <w:rtl/>
        </w:rPr>
        <w:t xml:space="preserve"> וכן כתבו הגאונים</w:t>
      </w:r>
      <w:r>
        <w:rPr>
          <w:rFonts w:cs="Arial" w:hint="cs"/>
          <w:rtl/>
        </w:rPr>
        <w:t>.</w:t>
      </w:r>
      <w:r>
        <w:rPr>
          <w:rFonts w:hint="cs"/>
          <w:rtl/>
        </w:rPr>
        <w:t>..</w:t>
      </w:r>
      <w:r w:rsidRPr="006A0CE0">
        <w:rPr>
          <w:rFonts w:cs="Arial"/>
          <w:rtl/>
        </w:rPr>
        <w:t xml:space="preserve"> </w:t>
      </w:r>
      <w:r w:rsidRPr="007C6986">
        <w:rPr>
          <w:rFonts w:cs="Arial"/>
          <w:rtl/>
        </w:rPr>
        <w:t xml:space="preserve">וכתב בעל המנהיג </w:t>
      </w:r>
      <w:r>
        <w:rPr>
          <w:rFonts w:cs="Arial" w:hint="cs"/>
          <w:rtl/>
        </w:rPr>
        <w:t>'</w:t>
      </w:r>
      <w:r w:rsidRPr="007C6986">
        <w:rPr>
          <w:rFonts w:cs="Arial"/>
          <w:rtl/>
        </w:rPr>
        <w:t>ולמנהג צרפת שנהגו לומר ופרוס</w:t>
      </w:r>
      <w:r>
        <w:rPr>
          <w:rFonts w:cs="Arial" w:hint="cs"/>
          <w:rtl/>
        </w:rPr>
        <w:t>,</w:t>
      </w:r>
      <w:r w:rsidRPr="007C6986">
        <w:rPr>
          <w:rFonts w:cs="Arial"/>
          <w:rtl/>
        </w:rPr>
        <w:t xml:space="preserve"> ראוי לומר ובצל כנפיך תסתירנו ופרוס עלינו וכו'</w:t>
      </w:r>
      <w:r>
        <w:rPr>
          <w:rFonts w:cs="Arial" w:hint="cs"/>
          <w:rtl/>
        </w:rPr>
        <w:t>,</w:t>
      </w:r>
      <w:r w:rsidRPr="007C6986">
        <w:rPr>
          <w:rFonts w:cs="Arial"/>
          <w:rtl/>
        </w:rPr>
        <w:t xml:space="preserve"> ואין לומר כי אל שומרנו וכו' ושמור צאתנו ובואנו וכו' כי הוא להסמיך מעין חתימת החול שחותמין שומר עמו ישראל לעד</w:t>
      </w:r>
      <w:r>
        <w:rPr>
          <w:rFonts w:cs="Arial" w:hint="cs"/>
          <w:rtl/>
        </w:rPr>
        <w:t>'.</w:t>
      </w:r>
      <w:r>
        <w:rPr>
          <w:rFonts w:hint="cs"/>
          <w:rtl/>
        </w:rPr>
        <w:t xml:space="preserve"> </w:t>
      </w:r>
      <w:r w:rsidRPr="00990CAF">
        <w:rPr>
          <w:rFonts w:hint="cs"/>
          <w:color w:val="E36C0A" w:themeColor="accent6" w:themeShade="BF"/>
          <w:rtl/>
        </w:rPr>
        <w:t>(וכ"פ בשו"ע)</w:t>
      </w:r>
    </w:p>
    <w:p w14:paraId="3C9A526A" w14:textId="77777777" w:rsidR="004B2E7C" w:rsidRPr="006A0CE0" w:rsidRDefault="004B2E7C" w:rsidP="00434A6A">
      <w:pPr>
        <w:rPr>
          <w:u w:val="single"/>
        </w:rPr>
      </w:pPr>
      <w:r w:rsidRPr="006A0CE0">
        <w:rPr>
          <w:rFonts w:hint="cs"/>
          <w:u w:val="single"/>
          <w:rtl/>
        </w:rPr>
        <w:t>ברכת המולך בשבת:</w:t>
      </w:r>
    </w:p>
    <w:p w14:paraId="075893FD" w14:textId="77777777" w:rsidR="004B2E7C" w:rsidRPr="00FA5D8E" w:rsidRDefault="004B2E7C" w:rsidP="00FF2D21">
      <w:pPr>
        <w:pStyle w:val="aa"/>
        <w:numPr>
          <w:ilvl w:val="0"/>
          <w:numId w:val="97"/>
        </w:numPr>
        <w:rPr>
          <w:rtl/>
        </w:rPr>
      </w:pPr>
      <w:r>
        <w:rPr>
          <w:rFonts w:cs="Arial" w:hint="cs"/>
          <w:rtl/>
        </w:rPr>
        <w:t>טור-</w:t>
      </w:r>
      <w:r w:rsidRPr="007C6986">
        <w:rPr>
          <w:rFonts w:cs="Arial"/>
          <w:rtl/>
        </w:rPr>
        <w:t xml:space="preserve"> נוהגין בטוליטולה שלאחר שאמרו פסוק </w:t>
      </w:r>
      <w:r>
        <w:rPr>
          <w:rFonts w:cs="Arial" w:hint="cs"/>
          <w:rtl/>
        </w:rPr>
        <w:t>'</w:t>
      </w:r>
      <w:r w:rsidRPr="007C6986">
        <w:rPr>
          <w:rFonts w:cs="Arial"/>
          <w:rtl/>
        </w:rPr>
        <w:t>ושמרו</w:t>
      </w:r>
      <w:r>
        <w:rPr>
          <w:rFonts w:cs="Arial" w:hint="cs"/>
          <w:rtl/>
        </w:rPr>
        <w:t>'</w:t>
      </w:r>
      <w:r w:rsidRPr="007C6986">
        <w:rPr>
          <w:rFonts w:cs="Arial"/>
          <w:rtl/>
        </w:rPr>
        <w:t xml:space="preserve"> אומר ברכת המולך</w:t>
      </w:r>
      <w:r>
        <w:rPr>
          <w:rFonts w:cs="Arial" w:hint="cs"/>
          <w:rtl/>
        </w:rPr>
        <w:t>,</w:t>
      </w:r>
      <w:r w:rsidRPr="007C6986">
        <w:rPr>
          <w:rFonts w:cs="Arial"/>
          <w:rtl/>
        </w:rPr>
        <w:t xml:space="preserve"> אלא שמשנין בפתיחתה במקום </w:t>
      </w:r>
      <w:r>
        <w:rPr>
          <w:rFonts w:cs="Arial" w:hint="cs"/>
          <w:rtl/>
        </w:rPr>
        <w:t>'</w:t>
      </w:r>
      <w:r w:rsidRPr="007C6986">
        <w:rPr>
          <w:rFonts w:cs="Arial"/>
          <w:rtl/>
        </w:rPr>
        <w:t>יראו עינינו</w:t>
      </w:r>
      <w:r>
        <w:rPr>
          <w:rFonts w:cs="Arial" w:hint="cs"/>
          <w:rtl/>
        </w:rPr>
        <w:t>'</w:t>
      </w:r>
      <w:r w:rsidRPr="007C6986">
        <w:rPr>
          <w:rFonts w:cs="Arial"/>
          <w:rtl/>
        </w:rPr>
        <w:t xml:space="preserve"> אומר </w:t>
      </w:r>
      <w:r>
        <w:rPr>
          <w:rFonts w:cs="Arial" w:hint="cs"/>
          <w:rtl/>
        </w:rPr>
        <w:t>'</w:t>
      </w:r>
      <w:r w:rsidRPr="007C6986">
        <w:rPr>
          <w:rFonts w:cs="Arial"/>
          <w:rtl/>
        </w:rPr>
        <w:t>ישמחו השמים ותגל הארץ</w:t>
      </w:r>
      <w:r>
        <w:rPr>
          <w:rFonts w:cs="Arial" w:hint="cs"/>
          <w:rtl/>
        </w:rPr>
        <w:t>' -</w:t>
      </w:r>
      <w:r w:rsidRPr="007C6986">
        <w:rPr>
          <w:rFonts w:cs="Arial"/>
          <w:rtl/>
        </w:rPr>
        <w:t xml:space="preserve"> וזה מנהג טעות</w:t>
      </w:r>
      <w:r>
        <w:rPr>
          <w:rFonts w:cs="Arial" w:hint="cs"/>
          <w:rtl/>
        </w:rPr>
        <w:t>,</w:t>
      </w:r>
      <w:r w:rsidRPr="007C6986">
        <w:rPr>
          <w:rFonts w:cs="Arial"/>
          <w:rtl/>
        </w:rPr>
        <w:t xml:space="preserve"> שלא תקנו ברכת המולך אלא לפי שתקנו לומר פסוקים שיש בהם י"ח אזכרות תקנו לומר ברכה אחריהם</w:t>
      </w:r>
      <w:r>
        <w:rPr>
          <w:rFonts w:cs="Arial" w:hint="cs"/>
          <w:rtl/>
        </w:rPr>
        <w:t>,</w:t>
      </w:r>
      <w:r w:rsidRPr="007C6986">
        <w:rPr>
          <w:rFonts w:cs="Arial"/>
          <w:rtl/>
        </w:rPr>
        <w:t xml:space="preserve"> וכיון שא</w:t>
      </w:r>
      <w:r>
        <w:rPr>
          <w:rFonts w:cs="Arial" w:hint="cs"/>
          <w:rtl/>
        </w:rPr>
        <w:t>ין אומרים</w:t>
      </w:r>
      <w:r w:rsidRPr="007C6986">
        <w:rPr>
          <w:rFonts w:cs="Arial"/>
          <w:rtl/>
        </w:rPr>
        <w:t xml:space="preserve"> פסוקים בשבת למה יאמרו הברכה שתקנו בשבילם</w:t>
      </w:r>
      <w:r>
        <w:rPr>
          <w:rFonts w:cs="Arial" w:hint="cs"/>
          <w:rtl/>
        </w:rPr>
        <w:t>.</w:t>
      </w:r>
      <w:r w:rsidRPr="007C6986">
        <w:rPr>
          <w:rFonts w:cs="Arial"/>
          <w:rtl/>
        </w:rPr>
        <w:t xml:space="preserve"> וכ"כ רב נטרונאי והאריך הרבה וסיום דבריו </w:t>
      </w:r>
      <w:r>
        <w:rPr>
          <w:rFonts w:cs="Arial" w:hint="cs"/>
          <w:rtl/>
        </w:rPr>
        <w:t>'</w:t>
      </w:r>
      <w:r w:rsidRPr="007C6986">
        <w:rPr>
          <w:rFonts w:cs="Arial"/>
          <w:rtl/>
        </w:rPr>
        <w:t>בשבת דשכיחי מזיקין וצריכי ישראל למיעל לבתיהם מקמי דליחשך או דילמא מיעקר שרגא סלקוה לתוספת שהוסיפו על שתים לאחריה ואוקמוה אדאורייתא</w:t>
      </w:r>
      <w:r>
        <w:rPr>
          <w:rFonts w:cs="Arial" w:hint="cs"/>
          <w:rtl/>
        </w:rPr>
        <w:t>,</w:t>
      </w:r>
      <w:r w:rsidRPr="007C6986">
        <w:rPr>
          <w:rFonts w:cs="Arial"/>
          <w:rtl/>
        </w:rPr>
        <w:t xml:space="preserve"> וכן המנהג בבית רבינו שבבבל שלא לומר שומר עמו ישראל לעד</w:t>
      </w:r>
      <w:r>
        <w:rPr>
          <w:rFonts w:cs="Arial" w:hint="cs"/>
          <w:rtl/>
        </w:rPr>
        <w:t>,</w:t>
      </w:r>
      <w:r w:rsidRPr="007C6986">
        <w:rPr>
          <w:rFonts w:cs="Arial"/>
          <w:rtl/>
        </w:rPr>
        <w:t xml:space="preserve"> וחותמין במקומו הפורס סוכת שלום וקדיש לאלתר</w:t>
      </w:r>
      <w:r>
        <w:rPr>
          <w:rFonts w:cs="Arial" w:hint="cs"/>
          <w:rtl/>
        </w:rPr>
        <w:t>'.</w:t>
      </w:r>
      <w:r w:rsidRPr="007C6986">
        <w:rPr>
          <w:rFonts w:cs="Arial"/>
          <w:rtl/>
        </w:rPr>
        <w:t xml:space="preserve"> וא"א ז"ל לא רצה לענות אחריה אמן מפני שהיה אומר שהיא ברכה לבטלה</w:t>
      </w:r>
      <w:r w:rsidRPr="00117BD6">
        <w:rPr>
          <w:rFonts w:cs="Arial"/>
          <w:rtl/>
        </w:rPr>
        <w:t xml:space="preserve">. </w:t>
      </w:r>
    </w:p>
    <w:p w14:paraId="6C31FE77"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4FC05DA" w14:textId="77777777" w:rsidR="004B2E7C" w:rsidRDefault="004B2E7C" w:rsidP="00434A6A">
      <w:pPr>
        <w:rPr>
          <w:rFonts w:asciiTheme="minorBidi" w:hAnsiTheme="minorBidi"/>
          <w:rtl/>
        </w:rPr>
      </w:pPr>
      <w:r w:rsidRPr="00CC2350">
        <w:rPr>
          <w:rFonts w:asciiTheme="minorBidi" w:hAnsiTheme="minorBidi" w:cs="Arial"/>
          <w:rtl/>
        </w:rPr>
        <w:t>בברכת השכיבנו אינו חותם בה שומר עמו ישראל, אלא כיון שהגיע לובצל כנפיך תסתירנו אומר: ופרוס סכת שלום עלינו ועל ירושלים עירך, ב</w:t>
      </w:r>
      <w:r>
        <w:rPr>
          <w:rFonts w:asciiTheme="minorBidi" w:hAnsiTheme="minorBidi" w:cs="Arial" w:hint="cs"/>
          <w:rtl/>
        </w:rPr>
        <w:t>רוך אתה ה'</w:t>
      </w:r>
      <w:r w:rsidRPr="00CC2350">
        <w:rPr>
          <w:rFonts w:asciiTheme="minorBidi" w:hAnsiTheme="minorBidi" w:cs="Arial"/>
          <w:rtl/>
        </w:rPr>
        <w:t xml:space="preserve"> הפורס סכת שלום עלינו ועל כל עמו ישראל ועל ירושלים</w:t>
      </w:r>
      <w:r>
        <w:rPr>
          <w:rStyle w:val="a9"/>
          <w:rFonts w:asciiTheme="minorBidi" w:hAnsiTheme="minorBidi" w:cs="Arial"/>
          <w:rtl/>
        </w:rPr>
        <w:footnoteReference w:id="808"/>
      </w:r>
      <w:r w:rsidRPr="00CC2350">
        <w:rPr>
          <w:rFonts w:asciiTheme="minorBidi" w:hAnsiTheme="minorBidi" w:cs="Arial"/>
          <w:rtl/>
        </w:rPr>
        <w:t>.</w:t>
      </w:r>
    </w:p>
    <w:p w14:paraId="63796851" w14:textId="77777777" w:rsidR="004B2E7C" w:rsidRDefault="004B2E7C" w:rsidP="00434A6A">
      <w:pPr>
        <w:pStyle w:val="1"/>
        <w:rPr>
          <w:rtl/>
        </w:rPr>
        <w:sectPr w:rsidR="004B2E7C" w:rsidSect="00BD29B1">
          <w:headerReference w:type="default" r:id="rId38"/>
          <w:footnotePr>
            <w:numRestart w:val="eachSect"/>
          </w:footnotePr>
          <w:pgSz w:w="11906" w:h="16838"/>
          <w:pgMar w:top="720" w:right="1134" w:bottom="720" w:left="1134" w:header="0" w:footer="0" w:gutter="0"/>
          <w:cols w:space="720"/>
          <w:bidi/>
          <w:rtlGutter/>
          <w:docGrid w:linePitch="360"/>
        </w:sectPr>
      </w:pPr>
    </w:p>
    <w:p w14:paraId="43A3C963" w14:textId="77777777" w:rsidR="004B2E7C" w:rsidRPr="00CC2350" w:rsidRDefault="004B2E7C" w:rsidP="00434A6A">
      <w:pPr>
        <w:pStyle w:val="1"/>
        <w:rPr>
          <w:rtl/>
        </w:rPr>
      </w:pPr>
      <w:r>
        <w:rPr>
          <w:rFonts w:hint="cs"/>
          <w:rtl/>
        </w:rPr>
        <w:t xml:space="preserve">סימן רסח: </w:t>
      </w:r>
      <w:r w:rsidRPr="00CC2350">
        <w:rPr>
          <w:rtl/>
        </w:rPr>
        <w:t xml:space="preserve">דין הטועה בתפלת השבת, ובו י"ג סעיפים. </w:t>
      </w:r>
    </w:p>
    <w:p w14:paraId="7D71AC42" w14:textId="77777777" w:rsidR="004B2E7C" w:rsidRDefault="004B2E7C" w:rsidP="00434A6A">
      <w:pPr>
        <w:pStyle w:val="2"/>
        <w:rPr>
          <w:rtl/>
        </w:rPr>
      </w:pPr>
      <w:r w:rsidRPr="00CC2350">
        <w:rPr>
          <w:rtl/>
        </w:rPr>
        <w:t>סעיף א</w:t>
      </w:r>
      <w:r>
        <w:rPr>
          <w:rFonts w:hint="cs"/>
          <w:rtl/>
        </w:rPr>
        <w:t>: ויכולו בתפילת עמידה של ערבית.</w:t>
      </w:r>
    </w:p>
    <w:p w14:paraId="0CEA6341" w14:textId="77777777" w:rsidR="004B2E7C" w:rsidRPr="00CA5F1E" w:rsidRDefault="004B2E7C" w:rsidP="00434A6A">
      <w:pPr>
        <w:rPr>
          <w:u w:val="single"/>
          <w:rtl/>
        </w:rPr>
      </w:pPr>
      <w:r w:rsidRPr="00CA5F1E">
        <w:rPr>
          <w:rFonts w:hint="cs"/>
          <w:u w:val="single"/>
          <w:rtl/>
        </w:rPr>
        <w:t>ויכולו בתפילת עמידה של ערבית:</w:t>
      </w:r>
    </w:p>
    <w:p w14:paraId="16EE7115" w14:textId="77777777" w:rsidR="004B2E7C" w:rsidRPr="00CA5F1E" w:rsidRDefault="004B2E7C" w:rsidP="00FF2D21">
      <w:pPr>
        <w:pStyle w:val="aa"/>
        <w:numPr>
          <w:ilvl w:val="0"/>
          <w:numId w:val="97"/>
        </w:numPr>
      </w:pPr>
      <w:r>
        <w:rPr>
          <w:rFonts w:cs="Arial" w:hint="cs"/>
          <w:rtl/>
        </w:rPr>
        <w:t xml:space="preserve">טור- </w:t>
      </w:r>
      <w:r w:rsidRPr="00CA5F1E">
        <w:rPr>
          <w:rFonts w:cs="Arial"/>
          <w:rtl/>
        </w:rPr>
        <w:t>עומדין להתפלל ואומרים אבות וגבורות וקדושת השם כבימות החול בלא תוספת ובלא גירוע</w:t>
      </w:r>
      <w:r>
        <w:rPr>
          <w:rFonts w:cs="Arial" w:hint="cs"/>
          <w:rtl/>
        </w:rPr>
        <w:t>,</w:t>
      </w:r>
      <w:r w:rsidRPr="00CA5F1E">
        <w:rPr>
          <w:rFonts w:cs="Arial"/>
          <w:rtl/>
        </w:rPr>
        <w:t xml:space="preserve"> ודלא כרב עמרם שכתב בשבת בין בערבית ושחרית ומוסף ומנחה מזכיר במגן כך</w:t>
      </w:r>
      <w:r>
        <w:rPr>
          <w:rFonts w:cs="Arial" w:hint="cs"/>
          <w:rtl/>
        </w:rPr>
        <w:t xml:space="preserve">- </w:t>
      </w:r>
      <w:r w:rsidRPr="00CA5F1E">
        <w:rPr>
          <w:rFonts w:cs="Arial"/>
          <w:rtl/>
        </w:rPr>
        <w:t>רצה והנחל שבת לבניהם למנוחה למען שמו באהבה מלך עוזר ומושיע ומגן וכו'</w:t>
      </w:r>
      <w:r>
        <w:rPr>
          <w:rFonts w:cs="Arial" w:hint="cs"/>
          <w:rtl/>
        </w:rPr>
        <w:t>,</w:t>
      </w:r>
      <w:r w:rsidRPr="00CA5F1E">
        <w:rPr>
          <w:rFonts w:cs="Arial"/>
          <w:rtl/>
        </w:rPr>
        <w:t xml:space="preserve"> ושלש אחרונות</w:t>
      </w:r>
      <w:r>
        <w:rPr>
          <w:rFonts w:cs="Arial" w:hint="cs"/>
          <w:rtl/>
        </w:rPr>
        <w:t>.</w:t>
      </w:r>
      <w:r w:rsidRPr="00CA5F1E">
        <w:rPr>
          <w:rFonts w:cs="Arial"/>
          <w:rtl/>
        </w:rPr>
        <w:t xml:space="preserve"> ומזכיר של שבת באמצעה וזה נוסחו </w:t>
      </w:r>
      <w:r>
        <w:rPr>
          <w:rFonts w:cs="Arial" w:hint="cs"/>
          <w:rtl/>
        </w:rPr>
        <w:t>'</w:t>
      </w:r>
      <w:r w:rsidRPr="00CA5F1E">
        <w:rPr>
          <w:rFonts w:cs="Arial"/>
          <w:rtl/>
        </w:rPr>
        <w:t>אתה קדשת את יום השביעי לשמך</w:t>
      </w:r>
      <w:r>
        <w:rPr>
          <w:rStyle w:val="a9"/>
          <w:rFonts w:cs="Arial"/>
          <w:rtl/>
        </w:rPr>
        <w:footnoteReference w:id="809"/>
      </w:r>
      <w:r>
        <w:rPr>
          <w:rFonts w:cs="Arial" w:hint="cs"/>
          <w:rtl/>
        </w:rPr>
        <w:t>,</w:t>
      </w:r>
      <w:r w:rsidRPr="00CA5F1E">
        <w:rPr>
          <w:rFonts w:cs="Arial"/>
          <w:rtl/>
        </w:rPr>
        <w:t xml:space="preserve"> תכלית מעשה שמים ואר</w:t>
      </w:r>
      <w:r>
        <w:rPr>
          <w:rFonts w:cs="Arial" w:hint="cs"/>
          <w:rtl/>
        </w:rPr>
        <w:t>ץ,</w:t>
      </w:r>
      <w:r w:rsidRPr="00CA5F1E">
        <w:rPr>
          <w:rFonts w:cs="Arial"/>
          <w:rtl/>
        </w:rPr>
        <w:t xml:space="preserve"> וברכתו מכל הימי</w:t>
      </w:r>
      <w:r>
        <w:rPr>
          <w:rFonts w:cs="Arial" w:hint="cs"/>
          <w:rtl/>
        </w:rPr>
        <w:t>ם,</w:t>
      </w:r>
      <w:r w:rsidRPr="00CA5F1E">
        <w:rPr>
          <w:rFonts w:cs="Arial"/>
          <w:rtl/>
        </w:rPr>
        <w:t xml:space="preserve"> וקדשתו מכל הזמנים</w:t>
      </w:r>
      <w:r>
        <w:rPr>
          <w:rFonts w:cs="Arial" w:hint="cs"/>
          <w:rtl/>
        </w:rPr>
        <w:t>,</w:t>
      </w:r>
      <w:r w:rsidRPr="00CA5F1E">
        <w:rPr>
          <w:rFonts w:cs="Arial"/>
          <w:rtl/>
        </w:rPr>
        <w:t xml:space="preserve"> וכן כתוב בתורתך ויכולו וגו' ויכל אלהים</w:t>
      </w:r>
      <w:r>
        <w:rPr>
          <w:rFonts w:cs="Arial" w:hint="cs"/>
          <w:rtl/>
        </w:rPr>
        <w:t>'.</w:t>
      </w:r>
      <w:r w:rsidRPr="00CA5F1E">
        <w:rPr>
          <w:rFonts w:cs="Arial"/>
          <w:rtl/>
        </w:rPr>
        <w:t xml:space="preserve"> ויש סידורים שאין כתוב בהם ויכולו</w:t>
      </w:r>
      <w:r>
        <w:rPr>
          <w:rFonts w:cs="Arial" w:hint="cs"/>
          <w:rtl/>
        </w:rPr>
        <w:t>,</w:t>
      </w:r>
      <w:r w:rsidRPr="00CA5F1E">
        <w:rPr>
          <w:rFonts w:cs="Arial"/>
          <w:rtl/>
        </w:rPr>
        <w:t xml:space="preserve"> אלא כתוב </w:t>
      </w:r>
      <w:r>
        <w:rPr>
          <w:rFonts w:cs="Arial" w:hint="cs"/>
          <w:rtl/>
        </w:rPr>
        <w:t>'</w:t>
      </w:r>
      <w:r w:rsidRPr="00CA5F1E">
        <w:rPr>
          <w:rFonts w:cs="Arial"/>
          <w:rtl/>
        </w:rPr>
        <w:t>וברכתו מכל הימים וקדשתו מכל הזמנים וכן כתוב בתורתך ויברך אלהים את יום השביעי ויקדש אותו</w:t>
      </w:r>
      <w:r>
        <w:rPr>
          <w:rFonts w:cs="Arial" w:hint="cs"/>
          <w:rtl/>
        </w:rPr>
        <w:t>',</w:t>
      </w:r>
      <w:r w:rsidRPr="00CA5F1E">
        <w:rPr>
          <w:rFonts w:cs="Arial"/>
          <w:rtl/>
        </w:rPr>
        <w:t xml:space="preserve"> ויותר נכון לאומרו</w:t>
      </w:r>
      <w:r>
        <w:rPr>
          <w:rFonts w:cs="Arial" w:hint="cs"/>
          <w:rtl/>
        </w:rPr>
        <w:t>,</w:t>
      </w:r>
      <w:r w:rsidRPr="00CA5F1E">
        <w:rPr>
          <w:rFonts w:cs="Arial"/>
          <w:rtl/>
        </w:rPr>
        <w:t xml:space="preserve"> דגרסינן בפרק כל כתבי (קיט</w:t>
      </w:r>
      <w:r>
        <w:rPr>
          <w:rFonts w:cs="Arial" w:hint="cs"/>
          <w:rtl/>
        </w:rPr>
        <w:t>:</w:t>
      </w:r>
      <w:r w:rsidRPr="00CA5F1E">
        <w:rPr>
          <w:rFonts w:cs="Arial"/>
          <w:rtl/>
        </w:rPr>
        <w:t>) אמר רב ואיתימא רבי יהושע בן לוי אפי' יחיד המתפלל צריך לומר ויכולו</w:t>
      </w:r>
      <w:r>
        <w:rPr>
          <w:rFonts w:cs="Arial" w:hint="cs"/>
          <w:rtl/>
        </w:rPr>
        <w:t>.</w:t>
      </w:r>
      <w:r w:rsidRPr="00CA5F1E">
        <w:rPr>
          <w:rFonts w:cs="Arial"/>
          <w:rtl/>
        </w:rPr>
        <w:t xml:space="preserve"> ואמר רב המנונא כל המתפלל ואומר ויכולו מעלה עליו הכתוב כאילו נעשה שותף להקב"ה במעשה בראשית</w:t>
      </w:r>
      <w:r>
        <w:rPr>
          <w:rFonts w:cs="Arial" w:hint="cs"/>
          <w:rtl/>
        </w:rPr>
        <w:t>,</w:t>
      </w:r>
      <w:r w:rsidRPr="00CA5F1E">
        <w:rPr>
          <w:rFonts w:cs="Arial"/>
          <w:rtl/>
        </w:rPr>
        <w:t xml:space="preserve"> שנאמר ויכולו</w:t>
      </w:r>
      <w:r>
        <w:rPr>
          <w:rFonts w:cs="Arial" w:hint="cs"/>
          <w:rtl/>
        </w:rPr>
        <w:t>,</w:t>
      </w:r>
      <w:r w:rsidRPr="00CA5F1E">
        <w:rPr>
          <w:rFonts w:cs="Arial"/>
          <w:rtl/>
        </w:rPr>
        <w:t xml:space="preserve"> אל תקרי ויכולו אלא ויכלו</w:t>
      </w:r>
      <w:r>
        <w:rPr>
          <w:rFonts w:cs="Arial" w:hint="cs"/>
          <w:rtl/>
        </w:rPr>
        <w:t>.</w:t>
      </w:r>
      <w:r w:rsidRPr="00CA5F1E">
        <w:rPr>
          <w:rFonts w:cs="Arial"/>
          <w:rtl/>
        </w:rPr>
        <w:t xml:space="preserve"> פירוש</w:t>
      </w:r>
      <w:r>
        <w:rPr>
          <w:rFonts w:cs="Arial" w:hint="cs"/>
          <w:rtl/>
        </w:rPr>
        <w:t>,</w:t>
      </w:r>
      <w:r w:rsidRPr="00CA5F1E">
        <w:rPr>
          <w:rFonts w:cs="Arial"/>
          <w:rtl/>
        </w:rPr>
        <w:t xml:space="preserve"> הקדוש ברוך הוא</w:t>
      </w:r>
      <w:r>
        <w:rPr>
          <w:rFonts w:cs="Arial" w:hint="cs"/>
          <w:rtl/>
        </w:rPr>
        <w:t>,</w:t>
      </w:r>
      <w:r w:rsidRPr="00CA5F1E">
        <w:rPr>
          <w:rFonts w:cs="Arial"/>
          <w:rtl/>
        </w:rPr>
        <w:t xml:space="preserve"> והוא</w:t>
      </w:r>
      <w:r>
        <w:rPr>
          <w:rFonts w:cs="Arial" w:hint="cs"/>
          <w:rtl/>
        </w:rPr>
        <w:t>.</w:t>
      </w:r>
      <w:r w:rsidRPr="00CA5F1E">
        <w:rPr>
          <w:rFonts w:cs="Arial"/>
          <w:rtl/>
        </w:rPr>
        <w:t xml:space="preserve"> אלמא שהעיקר לומר ויכולו שמורה כאילו נעשה שותף</w:t>
      </w:r>
      <w:r>
        <w:rPr>
          <w:rFonts w:cs="Arial" w:hint="cs"/>
          <w:rtl/>
        </w:rPr>
        <w:t>.</w:t>
      </w:r>
      <w:r w:rsidRPr="00CA5F1E">
        <w:rPr>
          <w:rFonts w:cs="Arial"/>
          <w:rtl/>
        </w:rPr>
        <w:t xml:space="preserve"> ומה שאומרים </w:t>
      </w:r>
      <w:r>
        <w:rPr>
          <w:rFonts w:cs="Arial" w:hint="cs"/>
          <w:rtl/>
        </w:rPr>
        <w:t>'</w:t>
      </w:r>
      <w:r w:rsidRPr="00CA5F1E">
        <w:rPr>
          <w:rFonts w:cs="Arial"/>
          <w:rtl/>
        </w:rPr>
        <w:t>וכ</w:t>
      </w:r>
      <w:r>
        <w:rPr>
          <w:rFonts w:cs="Arial" w:hint="cs"/>
          <w:rtl/>
        </w:rPr>
        <w:t xml:space="preserve">ן </w:t>
      </w:r>
      <w:r w:rsidRPr="00CA5F1E">
        <w:rPr>
          <w:rFonts w:cs="Arial"/>
          <w:rtl/>
        </w:rPr>
        <w:t>כ</w:t>
      </w:r>
      <w:r>
        <w:rPr>
          <w:rFonts w:cs="Arial" w:hint="cs"/>
          <w:rtl/>
        </w:rPr>
        <w:t>תוב</w:t>
      </w:r>
      <w:r w:rsidRPr="00CA5F1E">
        <w:rPr>
          <w:rFonts w:cs="Arial"/>
          <w:rtl/>
        </w:rPr>
        <w:t xml:space="preserve"> בתורתך ויכולו</w:t>
      </w:r>
      <w:r>
        <w:rPr>
          <w:rFonts w:cs="Arial" w:hint="cs"/>
          <w:rtl/>
        </w:rPr>
        <w:t>'</w:t>
      </w:r>
      <w:r w:rsidRPr="00CA5F1E">
        <w:rPr>
          <w:rFonts w:cs="Arial"/>
          <w:rtl/>
        </w:rPr>
        <w:t xml:space="preserve"> אינו חוזר על </w:t>
      </w:r>
      <w:r>
        <w:rPr>
          <w:rFonts w:cs="Arial" w:hint="cs"/>
          <w:rtl/>
        </w:rPr>
        <w:t>'</w:t>
      </w:r>
      <w:r w:rsidRPr="00CA5F1E">
        <w:rPr>
          <w:rFonts w:cs="Arial"/>
          <w:rtl/>
        </w:rPr>
        <w:t>וברכתו</w:t>
      </w:r>
      <w:r>
        <w:rPr>
          <w:rFonts w:cs="Arial" w:hint="cs"/>
          <w:rtl/>
        </w:rPr>
        <w:t>'</w:t>
      </w:r>
      <w:r w:rsidRPr="00CA5F1E">
        <w:rPr>
          <w:rFonts w:cs="Arial"/>
          <w:rtl/>
        </w:rPr>
        <w:t xml:space="preserve"> שלפניו</w:t>
      </w:r>
      <w:r>
        <w:rPr>
          <w:rFonts w:cs="Arial" w:hint="cs"/>
          <w:rtl/>
        </w:rPr>
        <w:t>,</w:t>
      </w:r>
      <w:r w:rsidRPr="00CA5F1E">
        <w:rPr>
          <w:rFonts w:cs="Arial"/>
          <w:rtl/>
        </w:rPr>
        <w:t xml:space="preserve"> אלא על שלפני פניו </w:t>
      </w:r>
      <w:r>
        <w:rPr>
          <w:rFonts w:cs="Arial" w:hint="cs"/>
          <w:rtl/>
        </w:rPr>
        <w:t>'</w:t>
      </w:r>
      <w:r w:rsidRPr="00CA5F1E">
        <w:rPr>
          <w:rFonts w:cs="Arial"/>
          <w:rtl/>
        </w:rPr>
        <w:t>תכלית מעשה שמים וארץ</w:t>
      </w:r>
      <w:r>
        <w:rPr>
          <w:rFonts w:cs="Arial" w:hint="cs"/>
          <w:rtl/>
        </w:rPr>
        <w:t>',</w:t>
      </w:r>
      <w:r w:rsidRPr="00CA5F1E">
        <w:rPr>
          <w:rFonts w:cs="Arial"/>
          <w:rtl/>
        </w:rPr>
        <w:t xml:space="preserve"> </w:t>
      </w:r>
      <w:r>
        <w:rPr>
          <w:rFonts w:cs="Arial" w:hint="cs"/>
          <w:rtl/>
        </w:rPr>
        <w:t>'</w:t>
      </w:r>
      <w:r w:rsidRPr="00CA5F1E">
        <w:rPr>
          <w:rFonts w:cs="Arial"/>
          <w:rtl/>
        </w:rPr>
        <w:t>וכ</w:t>
      </w:r>
      <w:r>
        <w:rPr>
          <w:rFonts w:cs="Arial" w:hint="cs"/>
          <w:rtl/>
        </w:rPr>
        <w:t xml:space="preserve">ן </w:t>
      </w:r>
      <w:r w:rsidRPr="00CA5F1E">
        <w:rPr>
          <w:rFonts w:cs="Arial"/>
          <w:rtl/>
        </w:rPr>
        <w:t>כ</w:t>
      </w:r>
      <w:r>
        <w:rPr>
          <w:rFonts w:cs="Arial" w:hint="cs"/>
          <w:rtl/>
        </w:rPr>
        <w:t>תוב',</w:t>
      </w:r>
      <w:r w:rsidRPr="00CA5F1E">
        <w:rPr>
          <w:rFonts w:cs="Arial"/>
          <w:rtl/>
        </w:rPr>
        <w:t xml:space="preserve"> </w:t>
      </w:r>
      <w:r>
        <w:rPr>
          <w:rFonts w:cs="Arial" w:hint="cs"/>
          <w:rtl/>
        </w:rPr>
        <w:t>'</w:t>
      </w:r>
      <w:r w:rsidRPr="00CA5F1E">
        <w:rPr>
          <w:rFonts w:cs="Arial"/>
          <w:rtl/>
        </w:rPr>
        <w:t>ויכולו</w:t>
      </w:r>
      <w:r>
        <w:rPr>
          <w:rFonts w:cs="Arial" w:hint="cs"/>
          <w:rtl/>
        </w:rPr>
        <w:t>'.</w:t>
      </w:r>
      <w:r w:rsidRPr="00CA5F1E">
        <w:rPr>
          <w:rFonts w:cs="Arial"/>
          <w:rtl/>
        </w:rPr>
        <w:t xml:space="preserve"> </w:t>
      </w:r>
      <w:r>
        <w:rPr>
          <w:rFonts w:cs="Arial" w:hint="cs"/>
          <w:rtl/>
        </w:rPr>
        <w:t>'</w:t>
      </w:r>
      <w:r w:rsidRPr="00CA5F1E">
        <w:rPr>
          <w:rFonts w:cs="Arial"/>
          <w:rtl/>
        </w:rPr>
        <w:t>וברכתו מכל הימים</w:t>
      </w:r>
      <w:r>
        <w:rPr>
          <w:rFonts w:cs="Arial" w:hint="cs"/>
          <w:rtl/>
        </w:rPr>
        <w:t>'</w:t>
      </w:r>
      <w:r w:rsidRPr="00CA5F1E">
        <w:rPr>
          <w:rFonts w:cs="Arial"/>
          <w:rtl/>
        </w:rPr>
        <w:t xml:space="preserve"> כדכתיב </w:t>
      </w:r>
      <w:r>
        <w:rPr>
          <w:rFonts w:cs="Arial" w:hint="cs"/>
          <w:rtl/>
        </w:rPr>
        <w:t>'</w:t>
      </w:r>
      <w:r w:rsidRPr="00CA5F1E">
        <w:rPr>
          <w:rFonts w:cs="Arial"/>
          <w:rtl/>
        </w:rPr>
        <w:t>ויברך</w:t>
      </w:r>
      <w:r>
        <w:rPr>
          <w:rFonts w:cs="Arial" w:hint="cs"/>
          <w:rtl/>
        </w:rPr>
        <w:t>'.</w:t>
      </w:r>
      <w:r w:rsidRPr="00CA5F1E">
        <w:rPr>
          <w:rFonts w:cs="Arial"/>
          <w:rtl/>
        </w:rPr>
        <w:t xml:space="preserve"> </w:t>
      </w:r>
      <w:r w:rsidRPr="00990CAF">
        <w:rPr>
          <w:rFonts w:hint="cs"/>
          <w:color w:val="E36C0A" w:themeColor="accent6" w:themeShade="BF"/>
          <w:rtl/>
        </w:rPr>
        <w:t>(וכ"פ בשו"ע)</w:t>
      </w:r>
    </w:p>
    <w:p w14:paraId="5474FC82" w14:textId="77777777" w:rsidR="004B2E7C" w:rsidRPr="00CC2350" w:rsidRDefault="004B2E7C" w:rsidP="00434A6A">
      <w:pPr>
        <w:rPr>
          <w:rFonts w:asciiTheme="minorBidi" w:hAnsiTheme="minorBidi"/>
          <w:rtl/>
        </w:rPr>
      </w:pPr>
      <w:r w:rsidRPr="005275DF">
        <w:rPr>
          <w:rFonts w:asciiTheme="minorBidi" w:hAnsiTheme="minorBidi"/>
          <w:b/>
          <w:bCs/>
          <w:sz w:val="32"/>
          <w:szCs w:val="28"/>
          <w:u w:val="single"/>
          <w:rtl/>
        </w:rPr>
        <w:t>שו"ע:</w:t>
      </w:r>
    </w:p>
    <w:p w14:paraId="2707E4D0" w14:textId="77777777" w:rsidR="004B2E7C" w:rsidRDefault="004B2E7C" w:rsidP="00434A6A">
      <w:pPr>
        <w:rPr>
          <w:rFonts w:asciiTheme="minorBidi" w:hAnsiTheme="minorBidi"/>
          <w:rtl/>
        </w:rPr>
      </w:pPr>
      <w:r w:rsidRPr="00CC2350">
        <w:rPr>
          <w:rFonts w:asciiTheme="minorBidi" w:hAnsiTheme="minorBidi" w:cs="Arial"/>
          <w:rtl/>
        </w:rPr>
        <w:t xml:space="preserve">אומר ויכלו בתפלת ערבית. </w:t>
      </w:r>
    </w:p>
    <w:p w14:paraId="74E1D461" w14:textId="77777777" w:rsidR="004B2E7C" w:rsidRPr="00CC2350" w:rsidRDefault="004B2E7C" w:rsidP="00434A6A">
      <w:pPr>
        <w:rPr>
          <w:rFonts w:asciiTheme="minorBidi" w:hAnsiTheme="minorBidi"/>
          <w:rtl/>
        </w:rPr>
      </w:pPr>
    </w:p>
    <w:p w14:paraId="169D7EC2" w14:textId="77777777" w:rsidR="004B2E7C" w:rsidRDefault="004B2E7C" w:rsidP="00434A6A">
      <w:pPr>
        <w:pStyle w:val="2"/>
        <w:rPr>
          <w:rtl/>
        </w:rPr>
      </w:pPr>
      <w:r w:rsidRPr="00CC2350">
        <w:rPr>
          <w:rtl/>
        </w:rPr>
        <w:t>סעיף ב</w:t>
      </w:r>
      <w:r>
        <w:rPr>
          <w:rFonts w:hint="cs"/>
          <w:rtl/>
        </w:rPr>
        <w:t>: טעה והתחיל תפילת חול.</w:t>
      </w:r>
    </w:p>
    <w:p w14:paraId="33149326" w14:textId="77777777" w:rsidR="004B2E7C" w:rsidRPr="00492B01" w:rsidRDefault="004B2E7C" w:rsidP="00434A6A">
      <w:pPr>
        <w:rPr>
          <w:rtl/>
        </w:rPr>
      </w:pPr>
      <w:r>
        <w:rPr>
          <w:rFonts w:cs="Arial" w:hint="cs"/>
          <w:b/>
          <w:bCs/>
          <w:rtl/>
        </w:rPr>
        <w:t>ברכות</w:t>
      </w:r>
      <w:r w:rsidRPr="00492B01">
        <w:rPr>
          <w:rFonts w:cs="Arial" w:hint="cs"/>
          <w:b/>
          <w:bCs/>
          <w:sz w:val="16"/>
          <w:szCs w:val="16"/>
          <w:rtl/>
        </w:rPr>
        <w:t xml:space="preserve"> (</w:t>
      </w:r>
      <w:r>
        <w:rPr>
          <w:rFonts w:cs="Arial" w:hint="cs"/>
          <w:b/>
          <w:bCs/>
          <w:sz w:val="16"/>
          <w:szCs w:val="16"/>
          <w:rtl/>
        </w:rPr>
        <w:t>פ' מי שמתו</w:t>
      </w:r>
      <w:r w:rsidRPr="00492B01">
        <w:rPr>
          <w:rFonts w:cs="Arial" w:hint="cs"/>
          <w:b/>
          <w:bCs/>
          <w:sz w:val="16"/>
          <w:szCs w:val="16"/>
          <w:rtl/>
        </w:rPr>
        <w:t>)</w:t>
      </w:r>
      <w:r>
        <w:rPr>
          <w:rFonts w:cs="Arial" w:hint="cs"/>
          <w:b/>
          <w:bCs/>
          <w:rtl/>
        </w:rPr>
        <w:t xml:space="preserve"> כא ע"א: </w:t>
      </w:r>
      <w:r w:rsidRPr="00492B01">
        <w:rPr>
          <w:rFonts w:cs="Arial"/>
          <w:u w:val="single"/>
          <w:rtl/>
        </w:rPr>
        <w:t>ואמר רב יהודה אמר שמואל</w:t>
      </w:r>
      <w:r w:rsidRPr="00492B01">
        <w:rPr>
          <w:rFonts w:cs="Arial"/>
          <w:rtl/>
        </w:rPr>
        <w:t xml:space="preserve">: היה עומד בתפלה ונזכר שהתפלל - פוסק, ואפילו באמצע ברכה. איני? </w:t>
      </w:r>
      <w:r w:rsidRPr="00492B01">
        <w:rPr>
          <w:rFonts w:cs="Arial"/>
          <w:u w:val="single"/>
          <w:rtl/>
        </w:rPr>
        <w:t>והאמר רב נחמן</w:t>
      </w:r>
      <w:r w:rsidRPr="00492B01">
        <w:rPr>
          <w:rFonts w:cs="Arial"/>
          <w:rtl/>
        </w:rPr>
        <w:t>: כי הוינן בי רבה בר אבוה, בען מיניה, הני בני בי רב דטעו ומדכרי דחול בשבת, מהו שיגמרו? ואמר לן: גומרין כל אותה ברכה! הכי השתא! התם - גברא בר חיובא הוא, ורבנן הוא דלא אטרחוהו משום כבוד שבת, אבל הכא - הא צלי ליה.</w:t>
      </w:r>
    </w:p>
    <w:p w14:paraId="375DD4E6" w14:textId="77777777" w:rsidR="004B2E7C" w:rsidRPr="00492B01" w:rsidRDefault="004B2E7C" w:rsidP="00434A6A">
      <w:pPr>
        <w:rPr>
          <w:u w:val="single"/>
          <w:rtl/>
        </w:rPr>
      </w:pPr>
      <w:r w:rsidRPr="00492B01">
        <w:rPr>
          <w:rFonts w:hint="cs"/>
          <w:u w:val="single"/>
          <w:rtl/>
        </w:rPr>
        <w:t>טעה והתחיל תפילת חול:</w:t>
      </w:r>
    </w:p>
    <w:p w14:paraId="25BD48F5" w14:textId="77777777" w:rsidR="004B2E7C" w:rsidRPr="005B18C7" w:rsidRDefault="004B2E7C" w:rsidP="00FF2D21">
      <w:pPr>
        <w:pStyle w:val="aa"/>
        <w:numPr>
          <w:ilvl w:val="0"/>
          <w:numId w:val="97"/>
        </w:numPr>
      </w:pPr>
      <w:r>
        <w:rPr>
          <w:rFonts w:cs="Arial" w:hint="cs"/>
          <w:rtl/>
        </w:rPr>
        <w:t xml:space="preserve">טור- </w:t>
      </w:r>
      <w:r w:rsidRPr="00CA5F1E">
        <w:rPr>
          <w:rFonts w:cs="Arial"/>
          <w:rtl/>
        </w:rPr>
        <w:t xml:space="preserve">אם טעה והתחיל תפלת החול </w:t>
      </w:r>
      <w:r>
        <w:rPr>
          <w:rFonts w:cs="Arial" w:hint="cs"/>
          <w:rtl/>
        </w:rPr>
        <w:t xml:space="preserve">- </w:t>
      </w:r>
      <w:r w:rsidRPr="00CA5F1E">
        <w:rPr>
          <w:rFonts w:cs="Arial"/>
          <w:rtl/>
        </w:rPr>
        <w:t>גומר אותה ברכה שנזכר בה שטעה ומתחיל של שבת</w:t>
      </w:r>
      <w:r>
        <w:rPr>
          <w:rFonts w:cs="Arial" w:hint="cs"/>
          <w:rtl/>
        </w:rPr>
        <w:t>.</w:t>
      </w:r>
      <w:r w:rsidRPr="00CA5F1E">
        <w:rPr>
          <w:rFonts w:cs="Arial"/>
          <w:rtl/>
        </w:rPr>
        <w:t xml:space="preserve"> </w:t>
      </w:r>
      <w:r w:rsidRPr="00990CAF">
        <w:rPr>
          <w:rFonts w:hint="cs"/>
          <w:color w:val="E36C0A" w:themeColor="accent6" w:themeShade="BF"/>
          <w:rtl/>
        </w:rPr>
        <w:t>(וכ"פ בשו"ע)</w:t>
      </w:r>
    </w:p>
    <w:p w14:paraId="69A4AAD4" w14:textId="77777777" w:rsidR="004B2E7C" w:rsidRPr="005B18C7" w:rsidRDefault="004B2E7C" w:rsidP="00434A6A">
      <w:pPr>
        <w:ind w:left="360"/>
        <w:rPr>
          <w:u w:val="dotted"/>
        </w:rPr>
      </w:pPr>
      <w:r w:rsidRPr="005B18C7">
        <w:rPr>
          <w:rFonts w:hint="cs"/>
          <w:u w:val="dotted"/>
          <w:rtl/>
        </w:rPr>
        <w:t>האם זה משנה באיזו ברכה נזכר שטעה:</w:t>
      </w:r>
    </w:p>
    <w:p w14:paraId="6D3A8052" w14:textId="77777777" w:rsidR="004B2E7C" w:rsidRDefault="004B2E7C" w:rsidP="00FF2D21">
      <w:pPr>
        <w:pStyle w:val="aa"/>
        <w:numPr>
          <w:ilvl w:val="0"/>
          <w:numId w:val="97"/>
        </w:numPr>
      </w:pPr>
      <w:r>
        <w:rPr>
          <w:rFonts w:cs="Arial"/>
          <w:rtl/>
        </w:rPr>
        <w:t xml:space="preserve">ה"ר יונה </w:t>
      </w:r>
      <w:r w:rsidRPr="005B18C7">
        <w:rPr>
          <w:rFonts w:cs="Arial"/>
          <w:sz w:val="16"/>
          <w:szCs w:val="16"/>
          <w:rtl/>
        </w:rPr>
        <w:t xml:space="preserve">(יג. ד"ה אמר ליה) </w:t>
      </w:r>
      <w:r>
        <w:rPr>
          <w:rFonts w:cs="Arial"/>
          <w:rtl/>
        </w:rPr>
        <w:t xml:space="preserve">רא"ש </w:t>
      </w:r>
      <w:r w:rsidRPr="005B18C7">
        <w:rPr>
          <w:rFonts w:cs="Arial"/>
          <w:sz w:val="16"/>
          <w:szCs w:val="16"/>
          <w:rtl/>
        </w:rPr>
        <w:t>(סי' יז)</w:t>
      </w:r>
      <w:r>
        <w:rPr>
          <w:rFonts w:cs="Arial" w:hint="cs"/>
          <w:sz w:val="16"/>
          <w:szCs w:val="16"/>
          <w:rtl/>
        </w:rPr>
        <w:t xml:space="preserve"> </w:t>
      </w:r>
      <w:r>
        <w:rPr>
          <w:rFonts w:cs="Arial" w:hint="cs"/>
          <w:rtl/>
        </w:rPr>
        <w:t xml:space="preserve">וטור- </w:t>
      </w:r>
      <w:r w:rsidRPr="00CA5F1E">
        <w:rPr>
          <w:rFonts w:cs="Arial"/>
          <w:rtl/>
        </w:rPr>
        <w:t>לא שנא נזכר בברכת אתה חונן</w:t>
      </w:r>
      <w:r>
        <w:rPr>
          <w:rFonts w:cs="Arial" w:hint="cs"/>
          <w:rtl/>
        </w:rPr>
        <w:t>,</w:t>
      </w:r>
      <w:r w:rsidRPr="00CA5F1E">
        <w:rPr>
          <w:rFonts w:cs="Arial"/>
          <w:rtl/>
        </w:rPr>
        <w:t xml:space="preserve"> לא שנא נזכר בברכה אחת משאר הברכות</w:t>
      </w:r>
      <w:r>
        <w:rPr>
          <w:rFonts w:cs="Arial" w:hint="cs"/>
          <w:sz w:val="18"/>
          <w:szCs w:val="18"/>
          <w:rtl/>
        </w:rPr>
        <w:t xml:space="preserve"> </w:t>
      </w:r>
      <w:r w:rsidRPr="002365A7">
        <w:rPr>
          <w:rFonts w:cs="Arial" w:hint="cs"/>
          <w:sz w:val="16"/>
          <w:szCs w:val="16"/>
          <w:rtl/>
        </w:rPr>
        <w:t>(ל' הטור)</w:t>
      </w:r>
      <w:r>
        <w:rPr>
          <w:rFonts w:cs="Arial" w:hint="cs"/>
          <w:rtl/>
        </w:rPr>
        <w:t>.</w:t>
      </w:r>
      <w:r w:rsidRPr="00CA5F1E">
        <w:rPr>
          <w:rFonts w:cs="Arial"/>
          <w:rtl/>
        </w:rPr>
        <w:t xml:space="preserve"> </w:t>
      </w:r>
      <w:r w:rsidRPr="00990CAF">
        <w:rPr>
          <w:rFonts w:hint="cs"/>
          <w:color w:val="E36C0A" w:themeColor="accent6" w:themeShade="BF"/>
          <w:rtl/>
        </w:rPr>
        <w:t>(וכ"פ בשו"ע)</w:t>
      </w:r>
    </w:p>
    <w:p w14:paraId="7859CCE9" w14:textId="77777777" w:rsidR="004B2E7C" w:rsidRPr="005B18C7" w:rsidRDefault="004B2E7C" w:rsidP="00FF2D21">
      <w:pPr>
        <w:pStyle w:val="aa"/>
        <w:numPr>
          <w:ilvl w:val="0"/>
          <w:numId w:val="97"/>
        </w:numPr>
      </w:pPr>
      <w:r>
        <w:rPr>
          <w:rFonts w:cs="Arial"/>
          <w:rtl/>
        </w:rPr>
        <w:t xml:space="preserve">רא"ש מלוניל </w:t>
      </w:r>
      <w:r>
        <w:rPr>
          <w:rFonts w:cs="Arial" w:hint="cs"/>
          <w:sz w:val="16"/>
          <w:szCs w:val="16"/>
          <w:rtl/>
        </w:rPr>
        <w:t>(כ"כ ה"ר יונה [שם] והרא"ש [שם] בשמו)</w:t>
      </w:r>
      <w:r>
        <w:rPr>
          <w:rFonts w:cs="Arial" w:hint="cs"/>
          <w:rtl/>
        </w:rPr>
        <w:t xml:space="preserve">- </w:t>
      </w:r>
      <w:r>
        <w:rPr>
          <w:rFonts w:cs="Arial"/>
          <w:rtl/>
        </w:rPr>
        <w:t>לא אמרו אלא בברכת אתה חונן שהיא ראשונה אבל אם נזכר בשאר ברכות פוסק אפילו באמצע ברכה</w:t>
      </w:r>
      <w:r>
        <w:rPr>
          <w:rFonts w:hint="cs"/>
          <w:rtl/>
        </w:rPr>
        <w:t>.</w:t>
      </w:r>
    </w:p>
    <w:p w14:paraId="2817020E" w14:textId="77777777" w:rsidR="004B2E7C" w:rsidRPr="005B18C7" w:rsidRDefault="004B2E7C" w:rsidP="00434A6A">
      <w:pPr>
        <w:ind w:left="360"/>
        <w:rPr>
          <w:u w:val="dotted"/>
        </w:rPr>
      </w:pPr>
      <w:r w:rsidRPr="005B18C7">
        <w:rPr>
          <w:rFonts w:hint="cs"/>
          <w:u w:val="dotted"/>
          <w:rtl/>
        </w:rPr>
        <w:t>האם הדין כן בכל תפילות שבת:</w:t>
      </w:r>
    </w:p>
    <w:p w14:paraId="15B68CDC" w14:textId="77777777" w:rsidR="004B2E7C" w:rsidRPr="005B18C7" w:rsidRDefault="004B2E7C" w:rsidP="00FF2D21">
      <w:pPr>
        <w:pStyle w:val="aa"/>
        <w:numPr>
          <w:ilvl w:val="0"/>
          <w:numId w:val="97"/>
        </w:numPr>
      </w:pPr>
      <w:r>
        <w:rPr>
          <w:rFonts w:cs="Arial" w:hint="cs"/>
          <w:rtl/>
        </w:rPr>
        <w:t xml:space="preserve">ראב"ד </w:t>
      </w:r>
      <w:r>
        <w:rPr>
          <w:rFonts w:cs="Arial" w:hint="cs"/>
          <w:sz w:val="16"/>
          <w:szCs w:val="16"/>
          <w:rtl/>
        </w:rPr>
        <w:t xml:space="preserve">(כ"כ הרא"ש בשמו) </w:t>
      </w:r>
      <w:r>
        <w:rPr>
          <w:rFonts w:cs="Arial"/>
          <w:rtl/>
        </w:rPr>
        <w:t xml:space="preserve">רא"ש </w:t>
      </w:r>
      <w:r w:rsidRPr="005B18C7">
        <w:rPr>
          <w:rFonts w:cs="Arial"/>
          <w:sz w:val="16"/>
          <w:szCs w:val="16"/>
          <w:rtl/>
        </w:rPr>
        <w:t>(סי' יז)</w:t>
      </w:r>
      <w:r>
        <w:rPr>
          <w:rFonts w:cs="Arial" w:hint="cs"/>
          <w:sz w:val="16"/>
          <w:szCs w:val="16"/>
          <w:rtl/>
        </w:rPr>
        <w:t xml:space="preserve"> </w:t>
      </w:r>
      <w:r>
        <w:rPr>
          <w:rFonts w:cs="Arial" w:hint="cs"/>
          <w:rtl/>
        </w:rPr>
        <w:t xml:space="preserve">וטור- </w:t>
      </w:r>
      <w:r w:rsidRPr="00CA5F1E">
        <w:rPr>
          <w:rFonts w:cs="Arial"/>
          <w:rtl/>
        </w:rPr>
        <w:t>בין בערבית שחרית ומוסף ומנחה</w:t>
      </w:r>
      <w:r>
        <w:rPr>
          <w:rStyle w:val="a9"/>
          <w:rFonts w:cs="Arial"/>
          <w:rtl/>
        </w:rPr>
        <w:footnoteReference w:id="810"/>
      </w:r>
      <w:r>
        <w:rPr>
          <w:rFonts w:cs="Arial" w:hint="cs"/>
          <w:sz w:val="16"/>
          <w:szCs w:val="16"/>
          <w:rtl/>
        </w:rPr>
        <w:t xml:space="preserve"> (ל' הטור)</w:t>
      </w:r>
      <w:r>
        <w:rPr>
          <w:rFonts w:cs="Arial" w:hint="cs"/>
          <w:rtl/>
        </w:rPr>
        <w:t>.</w:t>
      </w:r>
      <w:r w:rsidRPr="00CA5F1E">
        <w:rPr>
          <w:rFonts w:cs="Arial"/>
          <w:rtl/>
        </w:rPr>
        <w:t xml:space="preserve"> </w:t>
      </w:r>
      <w:r w:rsidRPr="00990CAF">
        <w:rPr>
          <w:rFonts w:hint="cs"/>
          <w:color w:val="E36C0A" w:themeColor="accent6" w:themeShade="BF"/>
          <w:rtl/>
        </w:rPr>
        <w:t>(וכ"פ בשו"ע)</w:t>
      </w:r>
    </w:p>
    <w:p w14:paraId="17468920" w14:textId="77777777" w:rsidR="004B2E7C" w:rsidRPr="00CC3E59" w:rsidRDefault="004B2E7C" w:rsidP="00FF2D21">
      <w:pPr>
        <w:pStyle w:val="aa"/>
        <w:numPr>
          <w:ilvl w:val="0"/>
          <w:numId w:val="97"/>
        </w:numPr>
        <w:rPr>
          <w:rtl/>
        </w:rPr>
      </w:pPr>
      <w:r w:rsidRPr="005B18C7">
        <w:rPr>
          <w:rFonts w:cs="Arial"/>
          <w:rtl/>
        </w:rPr>
        <w:t xml:space="preserve">רמב"ם </w:t>
      </w:r>
      <w:r w:rsidRPr="00CA4CAD">
        <w:rPr>
          <w:rFonts w:cs="Arial" w:hint="cs"/>
          <w:sz w:val="16"/>
          <w:szCs w:val="16"/>
          <w:rtl/>
        </w:rPr>
        <w:t>(</w:t>
      </w:r>
      <w:r w:rsidRPr="00CA4CAD">
        <w:rPr>
          <w:rFonts w:cs="Arial"/>
          <w:sz w:val="16"/>
          <w:szCs w:val="16"/>
          <w:rtl/>
        </w:rPr>
        <w:t>פ"י מהל</w:t>
      </w:r>
      <w:r w:rsidRPr="00CA4CAD">
        <w:rPr>
          <w:rFonts w:cs="Arial" w:hint="cs"/>
          <w:sz w:val="16"/>
          <w:szCs w:val="16"/>
          <w:rtl/>
        </w:rPr>
        <w:t>'</w:t>
      </w:r>
      <w:r w:rsidRPr="00CA4CAD">
        <w:rPr>
          <w:rFonts w:cs="Arial"/>
          <w:sz w:val="16"/>
          <w:szCs w:val="16"/>
          <w:rtl/>
        </w:rPr>
        <w:t xml:space="preserve"> תפלה ה"ז) </w:t>
      </w:r>
      <w:r w:rsidRPr="005B18C7">
        <w:rPr>
          <w:rFonts w:cs="Arial"/>
          <w:rtl/>
        </w:rPr>
        <w:t xml:space="preserve">סמ"ג </w:t>
      </w:r>
      <w:r w:rsidRPr="00CA4CAD">
        <w:rPr>
          <w:rFonts w:cs="Arial" w:hint="cs"/>
          <w:sz w:val="16"/>
          <w:szCs w:val="16"/>
          <w:rtl/>
        </w:rPr>
        <w:t xml:space="preserve">(עשין </w:t>
      </w:r>
      <w:r w:rsidRPr="00CA4CAD">
        <w:rPr>
          <w:rFonts w:cs="Arial"/>
          <w:sz w:val="16"/>
          <w:szCs w:val="16"/>
          <w:rtl/>
        </w:rPr>
        <w:t>סי</w:t>
      </w:r>
      <w:r w:rsidRPr="00CA4CAD">
        <w:rPr>
          <w:rFonts w:cs="Arial" w:hint="cs"/>
          <w:sz w:val="16"/>
          <w:szCs w:val="16"/>
          <w:rtl/>
        </w:rPr>
        <w:t>'</w:t>
      </w:r>
      <w:r w:rsidRPr="00CA4CAD">
        <w:rPr>
          <w:rFonts w:cs="Arial"/>
          <w:sz w:val="16"/>
          <w:szCs w:val="16"/>
          <w:rtl/>
        </w:rPr>
        <w:t xml:space="preserve"> יט) </w:t>
      </w:r>
      <w:r>
        <w:rPr>
          <w:rFonts w:cs="Arial" w:hint="cs"/>
          <w:rtl/>
        </w:rPr>
        <w:t xml:space="preserve">מהר"ם </w:t>
      </w:r>
      <w:r>
        <w:rPr>
          <w:rFonts w:cs="Arial" w:hint="cs"/>
          <w:sz w:val="16"/>
          <w:szCs w:val="16"/>
          <w:rtl/>
        </w:rPr>
        <w:t>(כ"כ ה"ר יונה בשמו)</w:t>
      </w:r>
      <w:r>
        <w:rPr>
          <w:rFonts w:cs="Arial" w:hint="cs"/>
          <w:rtl/>
        </w:rPr>
        <w:t xml:space="preserve"> ו</w:t>
      </w:r>
      <w:r w:rsidRPr="005B18C7">
        <w:rPr>
          <w:rFonts w:cs="Arial"/>
          <w:rtl/>
        </w:rPr>
        <w:t xml:space="preserve">ה"ר יונה </w:t>
      </w:r>
      <w:r w:rsidRPr="00CA4CAD">
        <w:rPr>
          <w:rFonts w:cs="Arial"/>
          <w:sz w:val="16"/>
          <w:szCs w:val="16"/>
          <w:rtl/>
        </w:rPr>
        <w:t>(שם)</w:t>
      </w:r>
      <w:r>
        <w:rPr>
          <w:rFonts w:cs="Arial" w:hint="cs"/>
          <w:rtl/>
        </w:rPr>
        <w:t xml:space="preserve">- </w:t>
      </w:r>
      <w:r w:rsidRPr="005B18C7">
        <w:rPr>
          <w:rFonts w:cs="Arial"/>
          <w:rtl/>
        </w:rPr>
        <w:t>בתפלת המוספין פוסק באמצע ברכה</w:t>
      </w:r>
      <w:r>
        <w:rPr>
          <w:rFonts w:cs="Arial" w:hint="cs"/>
          <w:rtl/>
        </w:rPr>
        <w:t>,</w:t>
      </w:r>
      <w:r w:rsidRPr="005B18C7">
        <w:rPr>
          <w:rFonts w:cs="Arial"/>
          <w:rtl/>
        </w:rPr>
        <w:t xml:space="preserve"> דהא ליכא למימר ביה בדין הוא דאיבעיא לצלויי י"ח שהרי אין תפילת י"ח בחול במקום מוסף</w:t>
      </w:r>
      <w:r>
        <w:rPr>
          <w:rStyle w:val="a9"/>
          <w:rFonts w:cs="Arial"/>
          <w:rtl/>
        </w:rPr>
        <w:footnoteReference w:id="811"/>
      </w:r>
      <w:r w:rsidRPr="005B18C7">
        <w:rPr>
          <w:rFonts w:cs="Arial"/>
          <w:rtl/>
        </w:rPr>
        <w:t xml:space="preserve"> </w:t>
      </w:r>
      <w:r>
        <w:rPr>
          <w:rFonts w:cs="Arial" w:hint="cs"/>
          <w:sz w:val="16"/>
          <w:szCs w:val="16"/>
          <w:rtl/>
        </w:rPr>
        <w:t>(ל' ה"ר יונה)</w:t>
      </w:r>
      <w:r w:rsidRPr="005B18C7">
        <w:rPr>
          <w:rFonts w:cs="Arial"/>
          <w:rtl/>
        </w:rPr>
        <w:t xml:space="preserve">. </w:t>
      </w:r>
    </w:p>
    <w:p w14:paraId="080742C1"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998AD73" w14:textId="77777777" w:rsidR="004B2E7C" w:rsidRDefault="004B2E7C" w:rsidP="00434A6A">
      <w:pPr>
        <w:rPr>
          <w:rFonts w:asciiTheme="minorBidi" w:hAnsiTheme="minorBidi"/>
          <w:rtl/>
        </w:rPr>
      </w:pPr>
      <w:r w:rsidRPr="00CC2350">
        <w:rPr>
          <w:rFonts w:asciiTheme="minorBidi" w:hAnsiTheme="minorBidi" w:cs="Arial"/>
          <w:rtl/>
        </w:rPr>
        <w:t>אם טעה והתחיל תפלת החול, גומר אותה ברכה שנזכר בה שטעה ומתחיל של שבת</w:t>
      </w:r>
      <w:r>
        <w:rPr>
          <w:rStyle w:val="a9"/>
          <w:rFonts w:asciiTheme="minorBidi" w:hAnsiTheme="minorBidi" w:cs="Arial"/>
          <w:rtl/>
        </w:rPr>
        <w:footnoteReference w:id="812"/>
      </w:r>
      <w:r w:rsidRPr="00CC2350">
        <w:rPr>
          <w:rFonts w:asciiTheme="minorBidi" w:hAnsiTheme="minorBidi" w:cs="Arial"/>
          <w:rtl/>
        </w:rPr>
        <w:t>, ל</w:t>
      </w:r>
      <w:r>
        <w:rPr>
          <w:rFonts w:asciiTheme="minorBidi" w:hAnsiTheme="minorBidi" w:cs="Arial" w:hint="cs"/>
          <w:rtl/>
        </w:rPr>
        <w:t xml:space="preserve">א </w:t>
      </w:r>
      <w:r w:rsidRPr="00CC2350">
        <w:rPr>
          <w:rFonts w:asciiTheme="minorBidi" w:hAnsiTheme="minorBidi" w:cs="Arial"/>
          <w:rtl/>
        </w:rPr>
        <w:t>ש</w:t>
      </w:r>
      <w:r>
        <w:rPr>
          <w:rFonts w:asciiTheme="minorBidi" w:hAnsiTheme="minorBidi" w:cs="Arial" w:hint="cs"/>
          <w:rtl/>
        </w:rPr>
        <w:t>נא</w:t>
      </w:r>
      <w:r w:rsidRPr="00CC2350">
        <w:rPr>
          <w:rFonts w:asciiTheme="minorBidi" w:hAnsiTheme="minorBidi" w:cs="Arial"/>
          <w:rtl/>
        </w:rPr>
        <w:t xml:space="preserve"> נזכר בברכת אתה חונן ל</w:t>
      </w:r>
      <w:r>
        <w:rPr>
          <w:rFonts w:asciiTheme="minorBidi" w:hAnsiTheme="minorBidi" w:cs="Arial" w:hint="cs"/>
          <w:rtl/>
        </w:rPr>
        <w:t xml:space="preserve">א </w:t>
      </w:r>
      <w:r w:rsidRPr="00CC2350">
        <w:rPr>
          <w:rFonts w:asciiTheme="minorBidi" w:hAnsiTheme="minorBidi" w:cs="Arial"/>
          <w:rtl/>
        </w:rPr>
        <w:t>ש</w:t>
      </w:r>
      <w:r>
        <w:rPr>
          <w:rFonts w:asciiTheme="minorBidi" w:hAnsiTheme="minorBidi" w:cs="Arial" w:hint="cs"/>
          <w:rtl/>
        </w:rPr>
        <w:t>נא</w:t>
      </w:r>
      <w:r w:rsidRPr="00CC2350">
        <w:rPr>
          <w:rFonts w:asciiTheme="minorBidi" w:hAnsiTheme="minorBidi" w:cs="Arial"/>
          <w:rtl/>
        </w:rPr>
        <w:t xml:space="preserve"> נזכר בברכה אחת משאר הברכות, בין בערבית בין בשחרית מוסף ומנחה. וי</w:t>
      </w:r>
      <w:r>
        <w:rPr>
          <w:rFonts w:asciiTheme="minorBidi" w:hAnsiTheme="minorBidi" w:cs="Arial" w:hint="cs"/>
          <w:rtl/>
        </w:rPr>
        <w:t xml:space="preserve">ש </w:t>
      </w:r>
      <w:r w:rsidRPr="00CC2350">
        <w:rPr>
          <w:rFonts w:asciiTheme="minorBidi" w:hAnsiTheme="minorBidi" w:cs="Arial"/>
          <w:rtl/>
        </w:rPr>
        <w:t>א</w:t>
      </w:r>
      <w:r>
        <w:rPr>
          <w:rFonts w:asciiTheme="minorBidi" w:hAnsiTheme="minorBidi" w:cs="Arial" w:hint="cs"/>
          <w:rtl/>
        </w:rPr>
        <w:t>ומרים</w:t>
      </w:r>
      <w:r w:rsidRPr="00CC2350">
        <w:rPr>
          <w:rFonts w:asciiTheme="minorBidi" w:hAnsiTheme="minorBidi" w:cs="Arial"/>
          <w:rtl/>
        </w:rPr>
        <w:t xml:space="preserve"> דבמוסף פוסק</w:t>
      </w:r>
      <w:r>
        <w:rPr>
          <w:rStyle w:val="a9"/>
          <w:rFonts w:asciiTheme="minorBidi" w:hAnsiTheme="minorBidi" w:cs="Arial"/>
          <w:rtl/>
        </w:rPr>
        <w:footnoteReference w:id="813"/>
      </w:r>
      <w:r w:rsidRPr="00CC2350">
        <w:rPr>
          <w:rFonts w:asciiTheme="minorBidi" w:hAnsiTheme="minorBidi" w:cs="Arial"/>
          <w:rtl/>
        </w:rPr>
        <w:t xml:space="preserve"> אפילו באמצע ברכה</w:t>
      </w:r>
      <w:r>
        <w:rPr>
          <w:rStyle w:val="a9"/>
          <w:rFonts w:asciiTheme="minorBidi" w:hAnsiTheme="minorBidi" w:cs="Arial"/>
          <w:rtl/>
        </w:rPr>
        <w:footnoteReference w:id="814"/>
      </w:r>
      <w:r w:rsidRPr="00CC2350">
        <w:rPr>
          <w:rFonts w:asciiTheme="minorBidi" w:hAnsiTheme="minorBidi" w:cs="Arial"/>
          <w:rtl/>
        </w:rPr>
        <w:t xml:space="preserve">. </w:t>
      </w:r>
    </w:p>
    <w:p w14:paraId="1142C542" w14:textId="77777777" w:rsidR="004B2E7C" w:rsidRPr="00CC2350" w:rsidRDefault="004B2E7C" w:rsidP="00434A6A">
      <w:pPr>
        <w:rPr>
          <w:rFonts w:asciiTheme="minorBidi" w:hAnsiTheme="minorBidi"/>
          <w:rtl/>
        </w:rPr>
      </w:pPr>
    </w:p>
    <w:p w14:paraId="49963C75" w14:textId="77777777" w:rsidR="004B2E7C" w:rsidRDefault="004B2E7C" w:rsidP="00434A6A">
      <w:pPr>
        <w:pStyle w:val="2"/>
        <w:rPr>
          <w:rtl/>
        </w:rPr>
      </w:pPr>
      <w:r w:rsidRPr="00CC2350">
        <w:rPr>
          <w:rtl/>
        </w:rPr>
        <w:t>סעיף ג</w:t>
      </w:r>
      <w:r>
        <w:rPr>
          <w:rFonts w:hint="cs"/>
          <w:rtl/>
        </w:rPr>
        <w:t xml:space="preserve">: </w:t>
      </w:r>
      <w:bookmarkStart w:id="4" w:name="_Hlk55506271"/>
      <w:r>
        <w:rPr>
          <w:rFonts w:hint="cs"/>
          <w:rtl/>
        </w:rPr>
        <w:t>בא לומר 'אתה חונן' ועצר ב-'אתה'</w:t>
      </w:r>
      <w:bookmarkEnd w:id="4"/>
      <w:r>
        <w:rPr>
          <w:rFonts w:hint="cs"/>
          <w:rtl/>
        </w:rPr>
        <w:t>.</w:t>
      </w:r>
    </w:p>
    <w:p w14:paraId="239A3949" w14:textId="77777777" w:rsidR="004B2E7C" w:rsidRPr="005B7690" w:rsidRDefault="004B2E7C" w:rsidP="00434A6A">
      <w:pPr>
        <w:rPr>
          <w:u w:val="single"/>
          <w:rtl/>
        </w:rPr>
      </w:pPr>
      <w:r w:rsidRPr="005B7690">
        <w:rPr>
          <w:rFonts w:hint="cs"/>
          <w:u w:val="single"/>
          <w:rtl/>
        </w:rPr>
        <w:t>בא לומר 'אתה חונן' ועצר ב-'אתה':</w:t>
      </w:r>
    </w:p>
    <w:p w14:paraId="6E9464C2" w14:textId="77777777" w:rsidR="004B2E7C" w:rsidRPr="00CC3E59" w:rsidRDefault="004B2E7C" w:rsidP="00FF2D21">
      <w:pPr>
        <w:pStyle w:val="aa"/>
        <w:numPr>
          <w:ilvl w:val="0"/>
          <w:numId w:val="98"/>
        </w:numPr>
        <w:rPr>
          <w:rtl/>
        </w:rPr>
      </w:pPr>
      <w:r w:rsidRPr="00286866">
        <w:rPr>
          <w:rFonts w:cs="Arial" w:hint="cs"/>
          <w:rtl/>
        </w:rPr>
        <w:t xml:space="preserve">תרוה"ד </w:t>
      </w:r>
      <w:r w:rsidRPr="00286866">
        <w:rPr>
          <w:rFonts w:cs="Arial" w:hint="cs"/>
          <w:sz w:val="16"/>
          <w:szCs w:val="16"/>
          <w:rtl/>
        </w:rPr>
        <w:t>(</w:t>
      </w:r>
      <w:r w:rsidRPr="00286866">
        <w:rPr>
          <w:rFonts w:cs="Arial"/>
          <w:sz w:val="16"/>
          <w:szCs w:val="16"/>
          <w:rtl/>
        </w:rPr>
        <w:t>סי</w:t>
      </w:r>
      <w:r w:rsidRPr="00286866">
        <w:rPr>
          <w:rFonts w:cs="Arial" w:hint="cs"/>
          <w:sz w:val="16"/>
          <w:szCs w:val="16"/>
          <w:rtl/>
        </w:rPr>
        <w:t>'</w:t>
      </w:r>
      <w:r w:rsidRPr="00286866">
        <w:rPr>
          <w:rFonts w:cs="Arial"/>
          <w:sz w:val="16"/>
          <w:szCs w:val="16"/>
          <w:rtl/>
        </w:rPr>
        <w:t xml:space="preserve"> יד</w:t>
      </w:r>
      <w:r w:rsidRPr="00286866">
        <w:rPr>
          <w:rFonts w:cs="Arial" w:hint="cs"/>
          <w:sz w:val="16"/>
          <w:szCs w:val="16"/>
          <w:rtl/>
        </w:rPr>
        <w:t>)</w:t>
      </w:r>
      <w:r w:rsidRPr="00286866">
        <w:rPr>
          <w:rFonts w:cs="Arial" w:hint="cs"/>
          <w:rtl/>
        </w:rPr>
        <w:t>-</w:t>
      </w:r>
      <w:r w:rsidRPr="00286866">
        <w:rPr>
          <w:rFonts w:cs="Arial"/>
          <w:rtl/>
        </w:rPr>
        <w:t xml:space="preserve"> אם התחיל לומר אתה חונן ומיד כשאמר תיבת אתה נזכר קודם שאמר חונן, אם סבור שהוא חול והתחיל אדעתא דחול אפילו אי קאי באתה קדשת או באתה אחד נראה דמיקרי התחיל בשל חול וגומר אותה ברכה, אבל אם לא בכוונה התחיל תיבת אתה דידע שהוא שבת ולישניה דאיתקיל ליה לפי הרגלו כהאי גוונא לא מיקרי כוונה לדבר טעות</w:t>
      </w:r>
      <w:r>
        <w:rPr>
          <w:rFonts w:cs="Arial" w:hint="cs"/>
          <w:rtl/>
        </w:rPr>
        <w:t>.</w:t>
      </w:r>
      <w:r w:rsidRPr="00286866">
        <w:rPr>
          <w:rFonts w:cs="Arial"/>
          <w:rtl/>
        </w:rPr>
        <w:t xml:space="preserve"> ואם כן אפילו בישמח משה שאינה פותחת באתה</w:t>
      </w:r>
      <w:r>
        <w:rPr>
          <w:rFonts w:cs="Arial" w:hint="cs"/>
          <w:rtl/>
        </w:rPr>
        <w:t>,</w:t>
      </w:r>
      <w:r w:rsidRPr="00286866">
        <w:rPr>
          <w:rFonts w:cs="Arial"/>
          <w:rtl/>
        </w:rPr>
        <w:t xml:space="preserve"> מכל מקום חשבינן ליה כטעה בתפלת שבת בין זו לזו</w:t>
      </w:r>
      <w:r>
        <w:rPr>
          <w:rFonts w:cs="Arial" w:hint="cs"/>
          <w:rtl/>
        </w:rPr>
        <w:t>,</w:t>
      </w:r>
      <w:r w:rsidRPr="00286866">
        <w:rPr>
          <w:rFonts w:cs="Arial"/>
          <w:rtl/>
        </w:rPr>
        <w:t xml:space="preserve"> דתיבת אתה נמי התחלת תפלת שבת היא</w:t>
      </w:r>
      <w:r>
        <w:rPr>
          <w:rFonts w:cs="Arial" w:hint="cs"/>
          <w:rtl/>
        </w:rPr>
        <w:t>,</w:t>
      </w:r>
      <w:r w:rsidRPr="00286866">
        <w:rPr>
          <w:rFonts w:cs="Arial"/>
          <w:rtl/>
        </w:rPr>
        <w:t xml:space="preserve"> ואף על גב דהרגל של חול גורם הטעות</w:t>
      </w:r>
      <w:r>
        <w:rPr>
          <w:rFonts w:cs="Arial" w:hint="cs"/>
          <w:rtl/>
        </w:rPr>
        <w:t>,</w:t>
      </w:r>
      <w:r w:rsidRPr="00286866">
        <w:rPr>
          <w:rFonts w:cs="Arial"/>
          <w:rtl/>
        </w:rPr>
        <w:t xml:space="preserve"> מכל מקום לא מיקרי בשביל כך התחלת תפילת חול כיון דידע דשבת הוא</w:t>
      </w:r>
      <w:r w:rsidRPr="00286866">
        <w:rPr>
          <w:rFonts w:cs="Arial" w:hint="cs"/>
          <w:rtl/>
        </w:rPr>
        <w:t>.</w:t>
      </w:r>
      <w:r w:rsidRPr="000D40AC">
        <w:rPr>
          <w:rFonts w:hint="cs"/>
          <w:color w:val="E36C0A" w:themeColor="accent6" w:themeShade="BF"/>
          <w:rtl/>
        </w:rPr>
        <w:t xml:space="preserve"> </w:t>
      </w:r>
      <w:r w:rsidRPr="00990CAF">
        <w:rPr>
          <w:rFonts w:hint="cs"/>
          <w:color w:val="E36C0A" w:themeColor="accent6" w:themeShade="BF"/>
          <w:rtl/>
        </w:rPr>
        <w:t>(וכ"פ בשו"ע)</w:t>
      </w:r>
    </w:p>
    <w:p w14:paraId="4DEA4C01"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3072A100" w14:textId="77777777" w:rsidR="004B2E7C" w:rsidRDefault="004B2E7C" w:rsidP="00434A6A">
      <w:pPr>
        <w:rPr>
          <w:rFonts w:asciiTheme="minorBidi" w:hAnsiTheme="minorBidi"/>
          <w:rtl/>
        </w:rPr>
      </w:pPr>
      <w:r w:rsidRPr="00CC2350">
        <w:rPr>
          <w:rFonts w:asciiTheme="minorBidi" w:hAnsiTheme="minorBidi" w:cs="Arial"/>
          <w:rtl/>
        </w:rPr>
        <w:t>אם היה סבור שהוא חול והתחיל אדעתא דחול ומיד כשאמר תיבת אתה נזכר קודם שאמר חונן, הוה ליה התחיל בשל חול</w:t>
      </w:r>
      <w:r>
        <w:rPr>
          <w:rStyle w:val="a9"/>
          <w:rFonts w:asciiTheme="minorBidi" w:hAnsiTheme="minorBidi" w:cs="Arial"/>
          <w:rtl/>
        </w:rPr>
        <w:footnoteReference w:id="815"/>
      </w:r>
      <w:r w:rsidRPr="00CC2350">
        <w:rPr>
          <w:rFonts w:asciiTheme="minorBidi" w:hAnsiTheme="minorBidi" w:cs="Arial"/>
          <w:rtl/>
        </w:rPr>
        <w:t xml:space="preserve"> וגומר אותה ברכה</w:t>
      </w:r>
      <w:r>
        <w:rPr>
          <w:rFonts w:asciiTheme="minorBidi" w:hAnsiTheme="minorBidi" w:cs="Arial" w:hint="cs"/>
          <w:rtl/>
        </w:rPr>
        <w:t>.</w:t>
      </w:r>
      <w:r w:rsidRPr="00CC2350">
        <w:rPr>
          <w:rFonts w:asciiTheme="minorBidi" w:hAnsiTheme="minorBidi" w:cs="Arial"/>
          <w:rtl/>
        </w:rPr>
        <w:t xml:space="preserve"> אבל אם היה יודע שהוא שבת, ושלא בכוונה התחיל תיבת אתה, אפילו אם הוא בתפלת שחרית שאינה פותחת באתה</w:t>
      </w:r>
      <w:r>
        <w:rPr>
          <w:rFonts w:asciiTheme="minorBidi" w:hAnsiTheme="minorBidi" w:cs="Arial" w:hint="cs"/>
          <w:rtl/>
        </w:rPr>
        <w:t>,</w:t>
      </w:r>
      <w:r w:rsidRPr="00CC2350">
        <w:rPr>
          <w:rFonts w:asciiTheme="minorBidi" w:hAnsiTheme="minorBidi" w:cs="Arial"/>
          <w:rtl/>
        </w:rPr>
        <w:t xml:space="preserve"> אינו גומר ברכת אתה חונן דחשבינן ליה כטעה בתפלת שבת בין זו לזו. </w:t>
      </w:r>
      <w:r w:rsidRPr="008E1F5B">
        <w:rPr>
          <w:rFonts w:asciiTheme="minorBidi" w:hAnsiTheme="minorBidi" w:cs="Arial"/>
          <w:sz w:val="18"/>
          <w:szCs w:val="18"/>
          <w:rtl/>
        </w:rPr>
        <w:t>הגה: דהרי יכול לומר אתה קדשת או אתה אחד (תרו</w:t>
      </w:r>
      <w:r>
        <w:rPr>
          <w:rFonts w:asciiTheme="minorBidi" w:hAnsiTheme="minorBidi" w:cs="Arial" w:hint="cs"/>
          <w:sz w:val="18"/>
          <w:szCs w:val="18"/>
          <w:rtl/>
        </w:rPr>
        <w:t>ה"ד שם</w:t>
      </w:r>
      <w:r w:rsidRPr="008E1F5B">
        <w:rPr>
          <w:rFonts w:asciiTheme="minorBidi" w:hAnsiTheme="minorBidi" w:cs="Arial"/>
          <w:sz w:val="18"/>
          <w:szCs w:val="18"/>
          <w:rtl/>
        </w:rPr>
        <w:t>).</w:t>
      </w:r>
      <w:r w:rsidRPr="00CC2350">
        <w:rPr>
          <w:rFonts w:asciiTheme="minorBidi" w:hAnsiTheme="minorBidi" w:cs="Arial"/>
          <w:rtl/>
        </w:rPr>
        <w:t xml:space="preserve"> </w:t>
      </w:r>
    </w:p>
    <w:p w14:paraId="38974049" w14:textId="77777777" w:rsidR="004B2E7C" w:rsidRPr="00CC2350" w:rsidRDefault="004B2E7C" w:rsidP="00434A6A">
      <w:pPr>
        <w:rPr>
          <w:rFonts w:asciiTheme="minorBidi" w:hAnsiTheme="minorBidi"/>
          <w:rtl/>
        </w:rPr>
      </w:pPr>
    </w:p>
    <w:p w14:paraId="1D8A0EB5" w14:textId="77777777" w:rsidR="004B2E7C" w:rsidRDefault="004B2E7C" w:rsidP="00434A6A">
      <w:pPr>
        <w:pStyle w:val="2"/>
        <w:rPr>
          <w:rtl/>
        </w:rPr>
      </w:pPr>
      <w:r w:rsidRPr="00CC2350">
        <w:rPr>
          <w:rtl/>
        </w:rPr>
        <w:t>סעיף ד</w:t>
      </w:r>
      <w:r>
        <w:rPr>
          <w:rFonts w:hint="cs"/>
          <w:rtl/>
        </w:rPr>
        <w:t>: התפלל תפילה של חול.</w:t>
      </w:r>
    </w:p>
    <w:p w14:paraId="5462F598" w14:textId="77777777" w:rsidR="004B2E7C" w:rsidRPr="005E1050" w:rsidRDefault="004B2E7C" w:rsidP="00434A6A">
      <w:pPr>
        <w:rPr>
          <w:rtl/>
        </w:rPr>
      </w:pPr>
      <w:r w:rsidRPr="00A5050D">
        <w:rPr>
          <w:rFonts w:cs="Arial" w:hint="cs"/>
          <w:b/>
          <w:bCs/>
          <w:rtl/>
        </w:rPr>
        <w:t xml:space="preserve">שבת </w:t>
      </w:r>
      <w:r>
        <w:rPr>
          <w:rFonts w:cs="Arial" w:hint="cs"/>
          <w:b/>
          <w:bCs/>
          <w:sz w:val="16"/>
          <w:szCs w:val="16"/>
          <w:rtl/>
        </w:rPr>
        <w:t xml:space="preserve">(פ' במה מדליקין) </w:t>
      </w:r>
      <w:r>
        <w:rPr>
          <w:rFonts w:cs="Arial" w:hint="cs"/>
          <w:b/>
          <w:bCs/>
          <w:rtl/>
        </w:rPr>
        <w:t>כד</w:t>
      </w:r>
      <w:r w:rsidRPr="00A5050D">
        <w:rPr>
          <w:rFonts w:cs="Arial" w:hint="cs"/>
          <w:b/>
          <w:bCs/>
          <w:rtl/>
        </w:rPr>
        <w:t xml:space="preserve"> ע"</w:t>
      </w:r>
      <w:r>
        <w:rPr>
          <w:rFonts w:cs="Arial" w:hint="cs"/>
          <w:b/>
          <w:bCs/>
          <w:rtl/>
        </w:rPr>
        <w:t>א</w:t>
      </w:r>
      <w:r w:rsidRPr="00A5050D">
        <w:rPr>
          <w:rFonts w:cs="Arial" w:hint="cs"/>
          <w:b/>
          <w:bCs/>
          <w:rtl/>
        </w:rPr>
        <w:t>:</w:t>
      </w:r>
      <w:r>
        <w:rPr>
          <w:rFonts w:hint="cs"/>
          <w:rtl/>
        </w:rPr>
        <w:t xml:space="preserve"> </w:t>
      </w:r>
      <w:r w:rsidRPr="005E1050">
        <w:rPr>
          <w:rFonts w:cs="Arial"/>
          <w:rtl/>
        </w:rPr>
        <w:t>דתני רבי אושעיא: ימים שיש בהן קרבן מוסף, כגון ראש חודש וחולו של מועד - ערבית ושחרית ומנחה מתפלל שמונה עשרה, ואומר מעין המאורע בעבודה, ואם לא אמר - מחזירין אותו</w:t>
      </w:r>
      <w:r>
        <w:rPr>
          <w:rFonts w:cs="Arial" w:hint="cs"/>
          <w:rtl/>
        </w:rPr>
        <w:t>...</w:t>
      </w:r>
    </w:p>
    <w:p w14:paraId="737498C4" w14:textId="77777777" w:rsidR="004B2E7C" w:rsidRPr="00DB75F3" w:rsidRDefault="004B2E7C" w:rsidP="00434A6A">
      <w:pPr>
        <w:rPr>
          <w:u w:val="single"/>
          <w:rtl/>
        </w:rPr>
      </w:pPr>
      <w:r w:rsidRPr="00DB75F3">
        <w:rPr>
          <w:rFonts w:hint="cs"/>
          <w:u w:val="single"/>
          <w:rtl/>
        </w:rPr>
        <w:t>מי שהתפלל תפילה של חול בשבת:</w:t>
      </w:r>
    </w:p>
    <w:p w14:paraId="5B157B28" w14:textId="77777777" w:rsidR="004B2E7C" w:rsidRPr="00F55330" w:rsidRDefault="004B2E7C" w:rsidP="00FF2D21">
      <w:pPr>
        <w:pStyle w:val="aa"/>
        <w:numPr>
          <w:ilvl w:val="0"/>
          <w:numId w:val="98"/>
        </w:numPr>
      </w:pPr>
      <w:r w:rsidRPr="00DB75F3">
        <w:rPr>
          <w:rFonts w:cs="Arial" w:hint="cs"/>
          <w:rtl/>
        </w:rPr>
        <w:t xml:space="preserve">ב"י- </w:t>
      </w:r>
      <w:r w:rsidRPr="00DB75F3">
        <w:rPr>
          <w:rFonts w:cs="Arial"/>
          <w:rtl/>
        </w:rPr>
        <w:t>מי שהתפלל תפלה של חול בשבת ולא הזכיר של שבת חוזר ומתפלל תפלת שבת</w:t>
      </w:r>
      <w:r>
        <w:rPr>
          <w:rStyle w:val="a9"/>
          <w:rFonts w:cs="Arial"/>
          <w:rtl/>
        </w:rPr>
        <w:footnoteReference w:id="816"/>
      </w:r>
      <w:r>
        <w:rPr>
          <w:rFonts w:cs="Arial" w:hint="cs"/>
          <w:rtl/>
        </w:rPr>
        <w:t>...</w:t>
      </w:r>
      <w:r w:rsidRPr="00DB75F3">
        <w:rPr>
          <w:rFonts w:cs="Arial"/>
          <w:rtl/>
        </w:rPr>
        <w:t xml:space="preserve"> מיהו היכא שהזכיר של שבת בתוך י"ח נראה שאע"פ שלא קבע ברכה בפני עצמה לשבת יצא</w:t>
      </w:r>
      <w:r>
        <w:rPr>
          <w:rFonts w:cs="Arial" w:hint="cs"/>
          <w:rtl/>
        </w:rPr>
        <w:t>,</w:t>
      </w:r>
      <w:r w:rsidRPr="00DB75F3">
        <w:rPr>
          <w:rFonts w:cs="Arial"/>
          <w:rtl/>
        </w:rPr>
        <w:t xml:space="preserve"> דומיא דמוספין דירושלמי שכתבתי בסמוך</w:t>
      </w:r>
      <w:r>
        <w:rPr>
          <w:rFonts w:cs="Arial" w:hint="cs"/>
          <w:rtl/>
        </w:rPr>
        <w:t>.</w:t>
      </w:r>
      <w:r w:rsidRPr="00DB75F3">
        <w:rPr>
          <w:rFonts w:cs="Arial"/>
          <w:rtl/>
        </w:rPr>
        <w:t xml:space="preserve"> </w:t>
      </w:r>
      <w:r w:rsidRPr="00990CAF">
        <w:rPr>
          <w:rFonts w:hint="cs"/>
          <w:color w:val="E36C0A" w:themeColor="accent6" w:themeShade="BF"/>
          <w:rtl/>
        </w:rPr>
        <w:t>(וכ"פ בשו"ע)</w:t>
      </w:r>
    </w:p>
    <w:p w14:paraId="6222935B" w14:textId="77777777" w:rsidR="004B2E7C" w:rsidRPr="00F55330" w:rsidRDefault="004B2E7C" w:rsidP="00FF2D21">
      <w:pPr>
        <w:pStyle w:val="aa"/>
        <w:numPr>
          <w:ilvl w:val="0"/>
          <w:numId w:val="98"/>
        </w:numPr>
      </w:pPr>
      <w:r w:rsidRPr="00DB75F3">
        <w:rPr>
          <w:rFonts w:cs="Arial"/>
          <w:rtl/>
        </w:rPr>
        <w:t xml:space="preserve">כל בו </w:t>
      </w:r>
      <w:r w:rsidRPr="00F55330">
        <w:rPr>
          <w:rFonts w:cs="Arial" w:hint="cs"/>
          <w:sz w:val="16"/>
          <w:szCs w:val="16"/>
          <w:rtl/>
        </w:rPr>
        <w:t>(</w:t>
      </w:r>
      <w:r w:rsidRPr="00F55330">
        <w:rPr>
          <w:rFonts w:cs="Arial"/>
          <w:sz w:val="16"/>
          <w:szCs w:val="16"/>
          <w:rtl/>
        </w:rPr>
        <w:t>סי</w:t>
      </w:r>
      <w:r w:rsidRPr="00F55330">
        <w:rPr>
          <w:rFonts w:cs="Arial" w:hint="cs"/>
          <w:sz w:val="16"/>
          <w:szCs w:val="16"/>
          <w:rtl/>
        </w:rPr>
        <w:t>'</w:t>
      </w:r>
      <w:r w:rsidRPr="00F55330">
        <w:rPr>
          <w:rFonts w:cs="Arial"/>
          <w:sz w:val="16"/>
          <w:szCs w:val="16"/>
          <w:rtl/>
        </w:rPr>
        <w:t xml:space="preserve"> יא ו סוף ע"ד)</w:t>
      </w:r>
      <w:r>
        <w:rPr>
          <w:rFonts w:cs="Arial" w:hint="cs"/>
          <w:rtl/>
        </w:rPr>
        <w:t>-</w:t>
      </w:r>
      <w:r w:rsidRPr="00DB75F3">
        <w:rPr>
          <w:rFonts w:cs="Arial"/>
          <w:rtl/>
        </w:rPr>
        <w:t xml:space="preserve"> ירושלמי התפלל ומצא עצמו טועה של חול בשבת יצא ואם נזכר בתוך התפלה גומר הברכה שהתחיל בה וחוזר ומתפלל של שבת</w:t>
      </w:r>
      <w:r>
        <w:rPr>
          <w:rStyle w:val="a9"/>
          <w:rFonts w:cs="Arial"/>
          <w:rtl/>
        </w:rPr>
        <w:footnoteReference w:id="817"/>
      </w:r>
      <w:r>
        <w:rPr>
          <w:rFonts w:cs="Arial" w:hint="cs"/>
          <w:rtl/>
        </w:rPr>
        <w:t>.</w:t>
      </w:r>
    </w:p>
    <w:p w14:paraId="637C047D" w14:textId="77777777" w:rsidR="004B2E7C" w:rsidRPr="00F55330" w:rsidRDefault="004B2E7C" w:rsidP="00434A6A">
      <w:pPr>
        <w:ind w:left="360"/>
        <w:rPr>
          <w:u w:val="dotted"/>
        </w:rPr>
      </w:pPr>
      <w:r w:rsidRPr="00F55330">
        <w:rPr>
          <w:rFonts w:hint="cs"/>
          <w:u w:val="dotted"/>
          <w:rtl/>
        </w:rPr>
        <w:t xml:space="preserve">ומה הדין אם התפלל תפילה של חול במקום תפילת מוסף אבל חידש בה דבר במוספין: </w:t>
      </w:r>
    </w:p>
    <w:p w14:paraId="27C527F9" w14:textId="77777777" w:rsidR="004B2E7C" w:rsidRPr="00CC3E59" w:rsidRDefault="004B2E7C" w:rsidP="00FF2D21">
      <w:pPr>
        <w:pStyle w:val="aa"/>
        <w:numPr>
          <w:ilvl w:val="0"/>
          <w:numId w:val="98"/>
        </w:numPr>
        <w:rPr>
          <w:rtl/>
        </w:rPr>
      </w:pPr>
      <w:r>
        <w:rPr>
          <w:rFonts w:cs="Arial" w:hint="cs"/>
          <w:rtl/>
        </w:rPr>
        <w:t>ראב"ד</w:t>
      </w:r>
      <w:r w:rsidRPr="000D40AC">
        <w:rPr>
          <w:rFonts w:cs="Arial" w:hint="cs"/>
          <w:sz w:val="16"/>
          <w:szCs w:val="16"/>
          <w:rtl/>
        </w:rPr>
        <w:t xml:space="preserve"> (כ"כ הרא"ש [סי' יז] בשמו)</w:t>
      </w:r>
      <w:r>
        <w:rPr>
          <w:rFonts w:cs="Arial" w:hint="cs"/>
          <w:rtl/>
        </w:rPr>
        <w:t xml:space="preserve">- </w:t>
      </w:r>
      <w:r w:rsidRPr="005B18C7">
        <w:rPr>
          <w:rFonts w:cs="Arial"/>
          <w:rtl/>
        </w:rPr>
        <w:t>ואם התפלל שמנה עשרה ברכות וחידש בה דבר מועט במוספין שאמר ונעשה לפניך את חובותינו תמידי יום וקרבן מוסף יצא</w:t>
      </w:r>
      <w:r>
        <w:rPr>
          <w:rFonts w:cs="Arial" w:hint="cs"/>
          <w:rtl/>
        </w:rPr>
        <w:t>,</w:t>
      </w:r>
      <w:r w:rsidRPr="005B18C7">
        <w:rPr>
          <w:rFonts w:cs="Arial"/>
          <w:rtl/>
        </w:rPr>
        <w:t xml:space="preserve"> כדאיתא בירושלמי </w:t>
      </w:r>
      <w:r w:rsidRPr="000D40AC">
        <w:rPr>
          <w:rFonts w:cs="Arial"/>
          <w:sz w:val="18"/>
          <w:szCs w:val="18"/>
          <w:rtl/>
        </w:rPr>
        <w:t>(ברכות פ"ד ה"ו)</w:t>
      </w:r>
      <w:r>
        <w:rPr>
          <w:rFonts w:cs="Arial" w:hint="cs"/>
          <w:rtl/>
        </w:rPr>
        <w:t>.</w:t>
      </w:r>
      <w:r>
        <w:rPr>
          <w:rFonts w:hint="cs"/>
          <w:rtl/>
        </w:rPr>
        <w:t xml:space="preserve"> </w:t>
      </w:r>
      <w:r w:rsidRPr="000D40AC">
        <w:rPr>
          <w:rFonts w:hint="cs"/>
          <w:color w:val="00B0F0"/>
          <w:rtl/>
        </w:rPr>
        <w:t>(וכ"פ הרמ"א)</w:t>
      </w:r>
    </w:p>
    <w:p w14:paraId="519B38E6"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AE2A74C" w14:textId="77777777" w:rsidR="004B2E7C" w:rsidRDefault="004B2E7C" w:rsidP="00434A6A">
      <w:pPr>
        <w:rPr>
          <w:rFonts w:asciiTheme="minorBidi" w:hAnsiTheme="minorBidi"/>
          <w:rtl/>
        </w:rPr>
      </w:pPr>
      <w:r w:rsidRPr="00CC2350">
        <w:rPr>
          <w:rFonts w:asciiTheme="minorBidi" w:hAnsiTheme="minorBidi" w:cs="Arial"/>
          <w:rtl/>
        </w:rPr>
        <w:t>מי שהתפלל תפלה של חול בשבת</w:t>
      </w:r>
      <w:r>
        <w:rPr>
          <w:rStyle w:val="a9"/>
          <w:rFonts w:asciiTheme="minorBidi" w:hAnsiTheme="minorBidi" w:cs="Arial"/>
          <w:rtl/>
        </w:rPr>
        <w:footnoteReference w:id="818"/>
      </w:r>
      <w:r w:rsidRPr="00CC2350">
        <w:rPr>
          <w:rFonts w:asciiTheme="minorBidi" w:hAnsiTheme="minorBidi" w:cs="Arial"/>
          <w:rtl/>
        </w:rPr>
        <w:t xml:space="preserve"> ולא הזכיר של שבת, לא יצא</w:t>
      </w:r>
      <w:r>
        <w:rPr>
          <w:rStyle w:val="a9"/>
          <w:rFonts w:asciiTheme="minorBidi" w:hAnsiTheme="minorBidi" w:cs="Arial"/>
          <w:rtl/>
        </w:rPr>
        <w:footnoteReference w:id="819"/>
      </w:r>
      <w:r w:rsidRPr="00CC2350">
        <w:rPr>
          <w:rFonts w:asciiTheme="minorBidi" w:hAnsiTheme="minorBidi" w:cs="Arial"/>
          <w:rtl/>
        </w:rPr>
        <w:t>. ואם הזכיר ש</w:t>
      </w:r>
      <w:r>
        <w:rPr>
          <w:rFonts w:asciiTheme="minorBidi" w:hAnsiTheme="minorBidi" w:cs="Arial" w:hint="cs"/>
          <w:rtl/>
        </w:rPr>
        <w:t xml:space="preserve">ל </w:t>
      </w:r>
      <w:r w:rsidRPr="00CC2350">
        <w:rPr>
          <w:rFonts w:asciiTheme="minorBidi" w:hAnsiTheme="minorBidi" w:cs="Arial"/>
          <w:rtl/>
        </w:rPr>
        <w:t>ש</w:t>
      </w:r>
      <w:r>
        <w:rPr>
          <w:rFonts w:asciiTheme="minorBidi" w:hAnsiTheme="minorBidi" w:cs="Arial" w:hint="cs"/>
          <w:rtl/>
        </w:rPr>
        <w:t>בת</w:t>
      </w:r>
      <w:r w:rsidRPr="00CC2350">
        <w:rPr>
          <w:rFonts w:asciiTheme="minorBidi" w:hAnsiTheme="minorBidi" w:cs="Arial"/>
          <w:rtl/>
        </w:rPr>
        <w:t xml:space="preserve"> בתוך י"ח אף על פי שלא קבע ברכה לשבת, יצא</w:t>
      </w:r>
      <w:r>
        <w:rPr>
          <w:rStyle w:val="a9"/>
          <w:rFonts w:asciiTheme="minorBidi" w:hAnsiTheme="minorBidi" w:cs="Arial"/>
          <w:rtl/>
        </w:rPr>
        <w:footnoteReference w:id="820"/>
      </w:r>
      <w:r w:rsidRPr="00CC2350">
        <w:rPr>
          <w:rFonts w:asciiTheme="minorBidi" w:hAnsiTheme="minorBidi" w:cs="Arial"/>
          <w:rtl/>
        </w:rPr>
        <w:t xml:space="preserve">. </w:t>
      </w:r>
      <w:r w:rsidRPr="00286866">
        <w:rPr>
          <w:rFonts w:asciiTheme="minorBidi" w:hAnsiTheme="minorBidi" w:cs="Arial"/>
          <w:sz w:val="18"/>
          <w:szCs w:val="18"/>
          <w:rtl/>
        </w:rPr>
        <w:t>הגה: במוסף אפילו לא אמר רק ונעשה לפניך את חובותינו בתמידי יום ובקרבן מוסף</w:t>
      </w:r>
      <w:r>
        <w:rPr>
          <w:rStyle w:val="a9"/>
          <w:rFonts w:asciiTheme="minorBidi" w:hAnsiTheme="minorBidi" w:cs="Arial"/>
          <w:sz w:val="18"/>
          <w:szCs w:val="18"/>
          <w:rtl/>
        </w:rPr>
        <w:footnoteReference w:id="821"/>
      </w:r>
      <w:r w:rsidRPr="00286866">
        <w:rPr>
          <w:rFonts w:asciiTheme="minorBidi" w:hAnsiTheme="minorBidi" w:cs="Arial"/>
          <w:sz w:val="18"/>
          <w:szCs w:val="18"/>
          <w:rtl/>
        </w:rPr>
        <w:t xml:space="preserve">, יצא. (ב"י בשם הרא"ש). </w:t>
      </w:r>
    </w:p>
    <w:p w14:paraId="7438DCFB" w14:textId="77777777" w:rsidR="004B2E7C" w:rsidRPr="00CC2350" w:rsidRDefault="004B2E7C" w:rsidP="00434A6A">
      <w:pPr>
        <w:rPr>
          <w:rFonts w:asciiTheme="minorBidi" w:hAnsiTheme="minorBidi"/>
          <w:rtl/>
        </w:rPr>
      </w:pPr>
    </w:p>
    <w:p w14:paraId="4482893C" w14:textId="77777777" w:rsidR="004B2E7C" w:rsidRDefault="004B2E7C" w:rsidP="00434A6A">
      <w:pPr>
        <w:pStyle w:val="2"/>
        <w:rPr>
          <w:rtl/>
        </w:rPr>
      </w:pPr>
      <w:r w:rsidRPr="00CC2350">
        <w:rPr>
          <w:rtl/>
        </w:rPr>
        <w:t>סעיף ה</w:t>
      </w:r>
      <w:r>
        <w:rPr>
          <w:rFonts w:hint="cs"/>
          <w:rtl/>
        </w:rPr>
        <w:t xml:space="preserve">: התפלל תפילה של חול </w:t>
      </w:r>
      <w:r>
        <w:rPr>
          <w:rtl/>
        </w:rPr>
        <w:t>–</w:t>
      </w:r>
      <w:r>
        <w:rPr>
          <w:rFonts w:hint="cs"/>
          <w:rtl/>
        </w:rPr>
        <w:t xml:space="preserve"> ולא עקר רגליו.</w:t>
      </w:r>
    </w:p>
    <w:p w14:paraId="5ED7ACF8" w14:textId="77777777" w:rsidR="004B2E7C" w:rsidRDefault="004B2E7C" w:rsidP="00434A6A">
      <w:pPr>
        <w:rPr>
          <w:rFonts w:cs="Arial"/>
          <w:rtl/>
        </w:rPr>
      </w:pPr>
      <w:r w:rsidRPr="00B76EA3">
        <w:rPr>
          <w:rFonts w:hint="cs"/>
          <w:u w:val="single"/>
          <w:rtl/>
        </w:rPr>
        <w:t xml:space="preserve">התפלל תפילה של חול </w:t>
      </w:r>
      <w:r w:rsidRPr="00B76EA3">
        <w:rPr>
          <w:rFonts w:cs="Arial"/>
          <w:u w:val="single"/>
          <w:rtl/>
        </w:rPr>
        <w:t>–</w:t>
      </w:r>
      <w:r w:rsidRPr="00B76EA3">
        <w:rPr>
          <w:rFonts w:hint="cs"/>
          <w:u w:val="single"/>
          <w:rtl/>
        </w:rPr>
        <w:t xml:space="preserve"> ולא עקר רגליו</w:t>
      </w:r>
      <w:r>
        <w:rPr>
          <w:rFonts w:cs="Arial" w:hint="cs"/>
          <w:u w:val="single"/>
          <w:rtl/>
        </w:rPr>
        <w:t>:</w:t>
      </w:r>
    </w:p>
    <w:p w14:paraId="13138EB2" w14:textId="77777777" w:rsidR="004B2E7C" w:rsidRDefault="004B2E7C" w:rsidP="00FF2D21">
      <w:pPr>
        <w:pStyle w:val="aa"/>
        <w:numPr>
          <w:ilvl w:val="0"/>
          <w:numId w:val="98"/>
        </w:numPr>
        <w:rPr>
          <w:rFonts w:cs="Arial"/>
        </w:rPr>
      </w:pPr>
      <w:r w:rsidRPr="00B64172">
        <w:rPr>
          <w:rFonts w:cs="Arial"/>
          <w:rtl/>
        </w:rPr>
        <w:t xml:space="preserve">סמ"ק </w:t>
      </w:r>
      <w:r w:rsidRPr="00B64172">
        <w:rPr>
          <w:rFonts w:cs="Arial" w:hint="cs"/>
          <w:sz w:val="16"/>
          <w:szCs w:val="16"/>
          <w:rtl/>
        </w:rPr>
        <w:t>(</w:t>
      </w:r>
      <w:r w:rsidRPr="00B64172">
        <w:rPr>
          <w:rFonts w:cs="Arial"/>
          <w:sz w:val="16"/>
          <w:szCs w:val="16"/>
          <w:rtl/>
        </w:rPr>
        <w:t>סי</w:t>
      </w:r>
      <w:r w:rsidRPr="00B64172">
        <w:rPr>
          <w:rFonts w:cs="Arial" w:hint="cs"/>
          <w:sz w:val="16"/>
          <w:szCs w:val="16"/>
          <w:rtl/>
        </w:rPr>
        <w:t>'</w:t>
      </w:r>
      <w:r w:rsidRPr="00B64172">
        <w:rPr>
          <w:rFonts w:cs="Arial"/>
          <w:sz w:val="16"/>
          <w:szCs w:val="16"/>
          <w:rtl/>
        </w:rPr>
        <w:t xml:space="preserve"> יא סוף ע' יב)</w:t>
      </w:r>
      <w:r w:rsidRPr="00B64172">
        <w:rPr>
          <w:rFonts w:cs="Arial" w:hint="cs"/>
          <w:rtl/>
        </w:rPr>
        <w:t xml:space="preserve"> והגה"מ </w:t>
      </w:r>
      <w:r w:rsidRPr="00B64172">
        <w:rPr>
          <w:rFonts w:cs="Arial"/>
          <w:sz w:val="16"/>
          <w:szCs w:val="16"/>
          <w:rtl/>
        </w:rPr>
        <w:t>(דפוס קושטא ריש פ</w:t>
      </w:r>
      <w:r w:rsidRPr="00B64172">
        <w:rPr>
          <w:rFonts w:cs="Arial" w:hint="cs"/>
          <w:sz w:val="16"/>
          <w:szCs w:val="16"/>
          <w:rtl/>
        </w:rPr>
        <w:t>"</w:t>
      </w:r>
      <w:r w:rsidRPr="00B64172">
        <w:rPr>
          <w:rFonts w:cs="Arial"/>
          <w:sz w:val="16"/>
          <w:szCs w:val="16"/>
          <w:rtl/>
        </w:rPr>
        <w:t>י מהל</w:t>
      </w:r>
      <w:r w:rsidRPr="00B64172">
        <w:rPr>
          <w:rFonts w:cs="Arial" w:hint="cs"/>
          <w:sz w:val="16"/>
          <w:szCs w:val="16"/>
          <w:rtl/>
        </w:rPr>
        <w:t>'</w:t>
      </w:r>
      <w:r w:rsidRPr="00B64172">
        <w:rPr>
          <w:rFonts w:cs="Arial"/>
          <w:sz w:val="16"/>
          <w:szCs w:val="16"/>
          <w:rtl/>
        </w:rPr>
        <w:t xml:space="preserve"> תפלה</w:t>
      </w:r>
      <w:r w:rsidRPr="00B64172">
        <w:rPr>
          <w:rFonts w:cs="Arial" w:hint="cs"/>
          <w:sz w:val="16"/>
          <w:szCs w:val="16"/>
          <w:rtl/>
        </w:rPr>
        <w:t>)</w:t>
      </w:r>
      <w:r w:rsidRPr="00B64172">
        <w:rPr>
          <w:rFonts w:cs="Arial" w:hint="cs"/>
          <w:rtl/>
        </w:rPr>
        <w:t>-</w:t>
      </w:r>
      <w:r w:rsidRPr="00B64172">
        <w:rPr>
          <w:rFonts w:cs="Arial"/>
          <w:rtl/>
        </w:rPr>
        <w:t xml:space="preserve"> מי שטעה בשבת והזכיר של חול</w:t>
      </w:r>
      <w:r w:rsidRPr="00B64172">
        <w:rPr>
          <w:rFonts w:cs="Arial" w:hint="cs"/>
          <w:rtl/>
        </w:rPr>
        <w:t>,</w:t>
      </w:r>
      <w:r w:rsidRPr="00B64172">
        <w:rPr>
          <w:rFonts w:cs="Arial"/>
          <w:rtl/>
        </w:rPr>
        <w:t xml:space="preserve"> כגון שחרית ערבית ומנחה</w:t>
      </w:r>
      <w:r w:rsidRPr="00B64172">
        <w:rPr>
          <w:rFonts w:cs="Arial" w:hint="cs"/>
          <w:rtl/>
        </w:rPr>
        <w:t xml:space="preserve"> -</w:t>
      </w:r>
      <w:r w:rsidRPr="00B64172">
        <w:rPr>
          <w:rFonts w:cs="Arial"/>
          <w:rtl/>
        </w:rPr>
        <w:t xml:space="preserve"> גומר הברכה שהתחיל בה וחוזר ומתפלל של שבת</w:t>
      </w:r>
      <w:r w:rsidRPr="00B64172">
        <w:rPr>
          <w:rFonts w:cs="Arial" w:hint="cs"/>
          <w:rtl/>
        </w:rPr>
        <w:t>.</w:t>
      </w:r>
      <w:r w:rsidRPr="00B64172">
        <w:rPr>
          <w:rFonts w:cs="Arial"/>
          <w:rtl/>
        </w:rPr>
        <w:t xml:space="preserve"> ואם עקר רגליו ולא התפלל של שבת </w:t>
      </w:r>
      <w:r w:rsidRPr="00B64172">
        <w:rPr>
          <w:rFonts w:cs="Arial" w:hint="cs"/>
          <w:rtl/>
        </w:rPr>
        <w:t xml:space="preserve">- </w:t>
      </w:r>
      <w:r w:rsidRPr="00B64172">
        <w:rPr>
          <w:rFonts w:cs="Arial"/>
          <w:rtl/>
        </w:rPr>
        <w:t>חוזר לראש</w:t>
      </w:r>
      <w:r w:rsidRPr="00B64172">
        <w:rPr>
          <w:rFonts w:cs="Arial" w:hint="cs"/>
          <w:rtl/>
        </w:rPr>
        <w:t>,</w:t>
      </w:r>
      <w:r w:rsidRPr="00B64172">
        <w:rPr>
          <w:rFonts w:cs="Arial"/>
          <w:rtl/>
        </w:rPr>
        <w:t xml:space="preserve"> ואם לא עקר רגליו אף על פי שסיים תפלתו </w:t>
      </w:r>
      <w:r w:rsidRPr="00B64172">
        <w:rPr>
          <w:rFonts w:cs="Arial" w:hint="cs"/>
          <w:rtl/>
        </w:rPr>
        <w:t xml:space="preserve">- </w:t>
      </w:r>
      <w:r w:rsidRPr="00B64172">
        <w:rPr>
          <w:rFonts w:cs="Arial"/>
          <w:rtl/>
        </w:rPr>
        <w:t>נראה שאינו חוזר לראש כי אם לשל שבת</w:t>
      </w:r>
      <w:r w:rsidRPr="00B64172">
        <w:rPr>
          <w:rFonts w:cs="Arial" w:hint="cs"/>
          <w:rtl/>
        </w:rPr>
        <w:t>,</w:t>
      </w:r>
      <w:r w:rsidRPr="00B64172">
        <w:rPr>
          <w:rFonts w:cs="Arial"/>
          <w:rtl/>
        </w:rPr>
        <w:t xml:space="preserve"> כדאמרינן ביעלה ויבוא</w:t>
      </w:r>
      <w:r w:rsidRPr="00B64172">
        <w:rPr>
          <w:rFonts w:cs="Arial" w:hint="cs"/>
          <w:sz w:val="16"/>
          <w:szCs w:val="16"/>
          <w:rtl/>
        </w:rPr>
        <w:t xml:space="preserve"> (ל' הסמ"ק)</w:t>
      </w:r>
      <w:r w:rsidRPr="00B64172">
        <w:rPr>
          <w:rFonts w:cs="Arial" w:hint="cs"/>
          <w:rtl/>
        </w:rPr>
        <w:t>.</w:t>
      </w:r>
      <w:r w:rsidRPr="00B64172">
        <w:rPr>
          <w:rFonts w:hint="cs"/>
          <w:color w:val="E36C0A" w:themeColor="accent6" w:themeShade="BF"/>
          <w:rtl/>
        </w:rPr>
        <w:t xml:space="preserve"> </w:t>
      </w:r>
      <w:r w:rsidRPr="00990CAF">
        <w:rPr>
          <w:rFonts w:hint="cs"/>
          <w:color w:val="E36C0A" w:themeColor="accent6" w:themeShade="BF"/>
          <w:rtl/>
        </w:rPr>
        <w:t>(וכ"פ בשו"ע)</w:t>
      </w:r>
    </w:p>
    <w:p w14:paraId="70560C04" w14:textId="77777777" w:rsidR="004B2E7C" w:rsidRPr="00B64172" w:rsidRDefault="004B2E7C" w:rsidP="00434A6A">
      <w:pPr>
        <w:rPr>
          <w:rFonts w:cs="Arial"/>
        </w:rPr>
      </w:pPr>
      <w:r>
        <w:rPr>
          <w:rFonts w:cs="Arial" w:hint="cs"/>
          <w:u w:val="single"/>
          <w:rtl/>
        </w:rPr>
        <w:t>'</w:t>
      </w:r>
      <w:r w:rsidRPr="00B64172">
        <w:rPr>
          <w:rFonts w:cs="Arial" w:hint="cs"/>
          <w:u w:val="single"/>
          <w:rtl/>
        </w:rPr>
        <w:t>אלהי נצור</w:t>
      </w:r>
      <w:r>
        <w:rPr>
          <w:rFonts w:cs="Arial" w:hint="cs"/>
          <w:u w:val="single"/>
          <w:rtl/>
        </w:rPr>
        <w:t>'</w:t>
      </w:r>
      <w:r w:rsidRPr="00B64172">
        <w:rPr>
          <w:rFonts w:cs="Arial" w:hint="cs"/>
          <w:u w:val="single"/>
          <w:rtl/>
        </w:rPr>
        <w:t xml:space="preserve"> </w:t>
      </w:r>
      <w:r w:rsidRPr="00B64172">
        <w:rPr>
          <w:rFonts w:cs="Arial"/>
          <w:u w:val="single"/>
          <w:rtl/>
        </w:rPr>
        <w:t>–</w:t>
      </w:r>
      <w:r w:rsidRPr="00B64172">
        <w:rPr>
          <w:rFonts w:cs="Arial" w:hint="cs"/>
          <w:u w:val="single"/>
          <w:rtl/>
        </w:rPr>
        <w:t xml:space="preserve"> בשבת:</w:t>
      </w:r>
      <w:r>
        <w:rPr>
          <w:rFonts w:cs="Arial" w:hint="cs"/>
          <w:rtl/>
        </w:rPr>
        <w:t xml:space="preserve">  </w:t>
      </w:r>
      <w:r w:rsidRPr="00B64172">
        <w:rPr>
          <w:rFonts w:cs="Arial" w:hint="cs"/>
          <w:sz w:val="16"/>
          <w:szCs w:val="16"/>
          <w:rtl/>
        </w:rPr>
        <w:t>(דרכ"מ אות ב)</w:t>
      </w:r>
    </w:p>
    <w:p w14:paraId="3017EEFD" w14:textId="77777777" w:rsidR="004B2E7C" w:rsidRPr="00B64172" w:rsidRDefault="004B2E7C" w:rsidP="00FF2D21">
      <w:pPr>
        <w:pStyle w:val="aa"/>
        <w:numPr>
          <w:ilvl w:val="0"/>
          <w:numId w:val="98"/>
        </w:numPr>
        <w:rPr>
          <w:rFonts w:cs="Arial"/>
          <w:rtl/>
        </w:rPr>
      </w:pPr>
      <w:r w:rsidRPr="00CC3E59">
        <w:rPr>
          <w:rFonts w:cs="Arial"/>
          <w:rtl/>
        </w:rPr>
        <w:t>או</w:t>
      </w:r>
      <w:r>
        <w:rPr>
          <w:rFonts w:cs="Arial" w:hint="cs"/>
          <w:rtl/>
        </w:rPr>
        <w:t>"ז</w:t>
      </w:r>
      <w:r w:rsidRPr="00CC3E59">
        <w:rPr>
          <w:rFonts w:cs="Arial"/>
          <w:rtl/>
        </w:rPr>
        <w:t xml:space="preserve"> </w:t>
      </w:r>
      <w:r w:rsidRPr="00B64172">
        <w:rPr>
          <w:rFonts w:cs="Arial"/>
          <w:sz w:val="16"/>
          <w:szCs w:val="16"/>
          <w:rtl/>
        </w:rPr>
        <w:t>(הל' תפילה סו"ס צה)</w:t>
      </w:r>
      <w:r>
        <w:rPr>
          <w:rFonts w:cs="Arial" w:hint="cs"/>
          <w:rtl/>
        </w:rPr>
        <w:t>-</w:t>
      </w:r>
      <w:r w:rsidRPr="00CC3E59">
        <w:rPr>
          <w:rFonts w:cs="Arial"/>
          <w:rtl/>
        </w:rPr>
        <w:t xml:space="preserve"> מותר להתפלל אלהי נצור בשבת אף על פי שהיא בקשה</w:t>
      </w:r>
      <w:r>
        <w:rPr>
          <w:rStyle w:val="a9"/>
          <w:rtl/>
        </w:rPr>
        <w:footnoteReference w:id="822"/>
      </w:r>
      <w:r>
        <w:rPr>
          <w:rFonts w:cs="Arial" w:hint="cs"/>
          <w:rtl/>
        </w:rPr>
        <w:t>.</w:t>
      </w:r>
    </w:p>
    <w:p w14:paraId="21382B5D"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02E46542" w14:textId="77777777" w:rsidR="004B2E7C" w:rsidRDefault="004B2E7C" w:rsidP="00434A6A">
      <w:pPr>
        <w:rPr>
          <w:rFonts w:asciiTheme="minorBidi" w:hAnsiTheme="minorBidi"/>
          <w:rtl/>
        </w:rPr>
      </w:pPr>
      <w:r w:rsidRPr="00CC2350">
        <w:rPr>
          <w:rFonts w:asciiTheme="minorBidi" w:hAnsiTheme="minorBidi" w:cs="Arial"/>
          <w:rtl/>
        </w:rPr>
        <w:t>טעה והתפלל של חול בשבת, ולא הזכיר של שבת, אם עקר רגליו חוזר לראש</w:t>
      </w:r>
      <w:r>
        <w:rPr>
          <w:rFonts w:asciiTheme="minorBidi" w:hAnsiTheme="minorBidi" w:cs="Arial" w:hint="cs"/>
          <w:rtl/>
        </w:rPr>
        <w:t>.</w:t>
      </w:r>
      <w:r w:rsidRPr="00CC2350">
        <w:rPr>
          <w:rFonts w:asciiTheme="minorBidi" w:hAnsiTheme="minorBidi" w:cs="Arial"/>
          <w:rtl/>
        </w:rPr>
        <w:t xml:space="preserve"> ואם לא עקר רגליו</w:t>
      </w:r>
      <w:r>
        <w:rPr>
          <w:rStyle w:val="a9"/>
          <w:rFonts w:asciiTheme="minorBidi" w:hAnsiTheme="minorBidi" w:cs="Arial"/>
          <w:rtl/>
        </w:rPr>
        <w:footnoteReference w:id="823"/>
      </w:r>
      <w:r w:rsidRPr="00CC2350">
        <w:rPr>
          <w:rFonts w:asciiTheme="minorBidi" w:hAnsiTheme="minorBidi" w:cs="Arial"/>
          <w:rtl/>
        </w:rPr>
        <w:t xml:space="preserve"> אף על פי שסיים תפלתו, אינו חוזר אלא לשל שבת</w:t>
      </w:r>
      <w:r>
        <w:rPr>
          <w:rStyle w:val="a9"/>
          <w:rFonts w:asciiTheme="minorBidi" w:hAnsiTheme="minorBidi" w:cs="Arial"/>
          <w:rtl/>
        </w:rPr>
        <w:footnoteReference w:id="824"/>
      </w:r>
      <w:r w:rsidRPr="00CC2350">
        <w:rPr>
          <w:rFonts w:asciiTheme="minorBidi" w:hAnsiTheme="minorBidi" w:cs="Arial"/>
          <w:rtl/>
        </w:rPr>
        <w:t xml:space="preserve">. </w:t>
      </w:r>
    </w:p>
    <w:p w14:paraId="0F0D399F" w14:textId="77777777" w:rsidR="004B2E7C" w:rsidRPr="00CC2350" w:rsidRDefault="004B2E7C" w:rsidP="00434A6A">
      <w:pPr>
        <w:rPr>
          <w:rFonts w:asciiTheme="minorBidi" w:hAnsiTheme="minorBidi"/>
          <w:rtl/>
        </w:rPr>
      </w:pPr>
    </w:p>
    <w:p w14:paraId="0968356D" w14:textId="77777777" w:rsidR="004B2E7C" w:rsidRDefault="004B2E7C" w:rsidP="00434A6A">
      <w:pPr>
        <w:pStyle w:val="2"/>
        <w:rPr>
          <w:rtl/>
        </w:rPr>
      </w:pPr>
      <w:r w:rsidRPr="00CC2350">
        <w:rPr>
          <w:rtl/>
        </w:rPr>
        <w:t>סעיף ו</w:t>
      </w:r>
      <w:r>
        <w:rPr>
          <w:rFonts w:hint="cs"/>
          <w:rtl/>
        </w:rPr>
        <w:t>: החליף תפילות שבת זו בזו.</w:t>
      </w:r>
    </w:p>
    <w:p w14:paraId="7DD6449A" w14:textId="77777777" w:rsidR="004B2E7C" w:rsidRPr="00C240A1" w:rsidRDefault="004B2E7C" w:rsidP="00434A6A">
      <w:pPr>
        <w:rPr>
          <w:u w:val="single"/>
          <w:rtl/>
        </w:rPr>
      </w:pPr>
      <w:r w:rsidRPr="00C240A1">
        <w:rPr>
          <w:rFonts w:hint="cs"/>
          <w:u w:val="single"/>
          <w:rtl/>
        </w:rPr>
        <w:t>החליף תפילות שבת זו בזו:</w:t>
      </w:r>
    </w:p>
    <w:p w14:paraId="2012B604" w14:textId="77777777" w:rsidR="004B2E7C" w:rsidRPr="00CC3E59" w:rsidRDefault="004B2E7C" w:rsidP="00FF2D21">
      <w:pPr>
        <w:pStyle w:val="aa"/>
        <w:numPr>
          <w:ilvl w:val="0"/>
          <w:numId w:val="98"/>
        </w:numPr>
        <w:rPr>
          <w:rtl/>
        </w:rPr>
      </w:pPr>
      <w:r w:rsidRPr="00B64172">
        <w:rPr>
          <w:rFonts w:cs="Arial" w:hint="cs"/>
          <w:rtl/>
        </w:rPr>
        <w:t>שבה"ל</w:t>
      </w:r>
      <w:r w:rsidRPr="00B64172">
        <w:rPr>
          <w:rFonts w:cs="Arial"/>
          <w:rtl/>
        </w:rPr>
        <w:t xml:space="preserve"> </w:t>
      </w:r>
      <w:r w:rsidRPr="00B64172">
        <w:rPr>
          <w:rFonts w:cs="Arial"/>
          <w:sz w:val="16"/>
          <w:szCs w:val="16"/>
          <w:rtl/>
        </w:rPr>
        <w:t>(סי' קכח)</w:t>
      </w:r>
      <w:r w:rsidRPr="00B64172">
        <w:rPr>
          <w:rFonts w:cs="Arial" w:hint="cs"/>
          <w:rtl/>
        </w:rPr>
        <w:t>-</w:t>
      </w:r>
      <w:r w:rsidRPr="00B64172">
        <w:rPr>
          <w:rFonts w:cs="Arial"/>
          <w:rtl/>
        </w:rPr>
        <w:t xml:space="preserve"> כתב ה"ר בנימין הטועה בתפלות שבת ערבית שחרית ומנחה והחליף של זו בזו אומר אני שאינו צריך לחזור ולהתפלל לפי שעיקר ברכה רביעית היא רצה נא במנוחתנו</w:t>
      </w:r>
      <w:r>
        <w:rPr>
          <w:rFonts w:cs="Arial" w:hint="cs"/>
          <w:rtl/>
        </w:rPr>
        <w:t>.</w:t>
      </w:r>
      <w:r w:rsidRPr="00B64172">
        <w:rPr>
          <w:rFonts w:cs="Arial"/>
          <w:rtl/>
        </w:rPr>
        <w:t xml:space="preserve"> אבל בתפלת מוסף אין נראה לומר כן</w:t>
      </w:r>
      <w:r>
        <w:rPr>
          <w:rFonts w:cs="Arial" w:hint="cs"/>
          <w:rtl/>
        </w:rPr>
        <w:t>,</w:t>
      </w:r>
      <w:r w:rsidRPr="00B64172">
        <w:rPr>
          <w:rFonts w:cs="Arial"/>
          <w:rtl/>
        </w:rPr>
        <w:t xml:space="preserve"> שאין דרך למוסף כשאר תפלות</w:t>
      </w:r>
      <w:r>
        <w:rPr>
          <w:rFonts w:cs="Arial" w:hint="cs"/>
          <w:rtl/>
        </w:rPr>
        <w:t>,</w:t>
      </w:r>
      <w:r w:rsidRPr="00B64172">
        <w:rPr>
          <w:rFonts w:cs="Arial"/>
          <w:rtl/>
        </w:rPr>
        <w:t xml:space="preserve"> ולא לשאר תפלות כמוסף</w:t>
      </w:r>
      <w:r w:rsidRPr="00B64172">
        <w:rPr>
          <w:rFonts w:cs="Arial" w:hint="cs"/>
          <w:rtl/>
        </w:rPr>
        <w:t>.</w:t>
      </w:r>
    </w:p>
    <w:p w14:paraId="08DD8ADA"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3624870A" w14:textId="77777777" w:rsidR="004B2E7C" w:rsidRDefault="004B2E7C" w:rsidP="00434A6A">
      <w:pPr>
        <w:rPr>
          <w:rFonts w:asciiTheme="minorBidi" w:hAnsiTheme="minorBidi"/>
          <w:rtl/>
        </w:rPr>
      </w:pPr>
      <w:r w:rsidRPr="00CC2350">
        <w:rPr>
          <w:rFonts w:asciiTheme="minorBidi" w:hAnsiTheme="minorBidi" w:cs="Arial"/>
          <w:rtl/>
        </w:rPr>
        <w:t>הטועה בתפלת שבת והחליף של זו בזו, אינו חוזר</w:t>
      </w:r>
      <w:r>
        <w:rPr>
          <w:rFonts w:asciiTheme="minorBidi" w:hAnsiTheme="minorBidi" w:cs="Arial" w:hint="cs"/>
          <w:rtl/>
        </w:rPr>
        <w:t>.</w:t>
      </w:r>
      <w:r w:rsidRPr="00CC2350">
        <w:rPr>
          <w:rFonts w:asciiTheme="minorBidi" w:hAnsiTheme="minorBidi" w:cs="Arial"/>
          <w:rtl/>
        </w:rPr>
        <w:t xml:space="preserve"> וי</w:t>
      </w:r>
      <w:r>
        <w:rPr>
          <w:rFonts w:asciiTheme="minorBidi" w:hAnsiTheme="minorBidi" w:cs="Arial" w:hint="cs"/>
          <w:rtl/>
        </w:rPr>
        <w:t xml:space="preserve">ש </w:t>
      </w:r>
      <w:r w:rsidRPr="00CC2350">
        <w:rPr>
          <w:rFonts w:asciiTheme="minorBidi" w:hAnsiTheme="minorBidi" w:cs="Arial"/>
          <w:rtl/>
        </w:rPr>
        <w:t>א</w:t>
      </w:r>
      <w:r>
        <w:rPr>
          <w:rFonts w:asciiTheme="minorBidi" w:hAnsiTheme="minorBidi" w:cs="Arial" w:hint="cs"/>
          <w:rtl/>
        </w:rPr>
        <w:t>ומרים</w:t>
      </w:r>
      <w:r>
        <w:rPr>
          <w:rStyle w:val="a9"/>
          <w:rFonts w:asciiTheme="minorBidi" w:hAnsiTheme="minorBidi" w:cs="Arial"/>
          <w:rtl/>
        </w:rPr>
        <w:footnoteReference w:id="825"/>
      </w:r>
      <w:r w:rsidRPr="00CC2350">
        <w:rPr>
          <w:rFonts w:asciiTheme="minorBidi" w:hAnsiTheme="minorBidi" w:cs="Arial"/>
          <w:rtl/>
        </w:rPr>
        <w:t xml:space="preserve"> שאם החליף של מוסף באחרת, או אחרת בשל מוסף, חוזר</w:t>
      </w:r>
      <w:r>
        <w:rPr>
          <w:rStyle w:val="a9"/>
          <w:rFonts w:asciiTheme="minorBidi" w:hAnsiTheme="minorBidi" w:cs="Arial"/>
          <w:rtl/>
        </w:rPr>
        <w:footnoteReference w:id="826"/>
      </w:r>
      <w:r w:rsidRPr="00CC2350">
        <w:rPr>
          <w:rFonts w:asciiTheme="minorBidi" w:hAnsiTheme="minorBidi" w:cs="Arial"/>
          <w:rtl/>
        </w:rPr>
        <w:t xml:space="preserve">. </w:t>
      </w:r>
    </w:p>
    <w:p w14:paraId="325D6D2A" w14:textId="77777777" w:rsidR="004B2E7C" w:rsidRPr="00834BAC" w:rsidRDefault="004B2E7C" w:rsidP="00434A6A">
      <w:pPr>
        <w:rPr>
          <w:rFonts w:asciiTheme="minorBidi" w:hAnsiTheme="minorBidi"/>
          <w:rtl/>
        </w:rPr>
      </w:pPr>
    </w:p>
    <w:p w14:paraId="4531B8A1" w14:textId="77777777" w:rsidR="004B2E7C" w:rsidRDefault="004B2E7C" w:rsidP="00434A6A">
      <w:pPr>
        <w:pStyle w:val="2"/>
        <w:rPr>
          <w:rtl/>
        </w:rPr>
      </w:pPr>
      <w:r w:rsidRPr="00CC2350">
        <w:rPr>
          <w:rtl/>
        </w:rPr>
        <w:t>סעיף ז</w:t>
      </w:r>
      <w:r>
        <w:rPr>
          <w:rFonts w:hint="cs"/>
          <w:rtl/>
        </w:rPr>
        <w:t>: אמירת 'ויכלו' לאחר עמידה.</w:t>
      </w:r>
    </w:p>
    <w:p w14:paraId="1F84C032" w14:textId="77777777" w:rsidR="004B2E7C" w:rsidRPr="00834BAC" w:rsidRDefault="004B2E7C" w:rsidP="00434A6A">
      <w:pPr>
        <w:rPr>
          <w:u w:val="single"/>
          <w:rtl/>
        </w:rPr>
      </w:pPr>
      <w:r w:rsidRPr="00834BAC">
        <w:rPr>
          <w:rFonts w:hint="cs"/>
          <w:u w:val="single"/>
          <w:rtl/>
        </w:rPr>
        <w:t>אמירת 'ויכלו' לאחר עמידה:</w:t>
      </w:r>
    </w:p>
    <w:p w14:paraId="42CE117C" w14:textId="77777777" w:rsidR="004B2E7C" w:rsidRDefault="004B2E7C" w:rsidP="00FF2D21">
      <w:pPr>
        <w:pStyle w:val="aa"/>
        <w:numPr>
          <w:ilvl w:val="0"/>
          <w:numId w:val="97"/>
        </w:numPr>
      </w:pPr>
      <w:r>
        <w:rPr>
          <w:rFonts w:cs="Arial" w:hint="cs"/>
          <w:rtl/>
        </w:rPr>
        <w:t xml:space="preserve">טור- </w:t>
      </w:r>
      <w:r w:rsidRPr="00CA5F1E">
        <w:rPr>
          <w:rFonts w:cs="Arial"/>
          <w:rtl/>
        </w:rPr>
        <w:t>חוזרים ואומרים ויכולו בציבור</w:t>
      </w:r>
      <w:r>
        <w:rPr>
          <w:rFonts w:hint="cs"/>
          <w:rtl/>
        </w:rPr>
        <w:t>.</w:t>
      </w:r>
      <w:r w:rsidRPr="004964E4">
        <w:rPr>
          <w:rFonts w:hint="cs"/>
          <w:color w:val="E36C0A" w:themeColor="accent6" w:themeShade="BF"/>
          <w:rtl/>
        </w:rPr>
        <w:t xml:space="preserve"> </w:t>
      </w:r>
      <w:r w:rsidRPr="00990CAF">
        <w:rPr>
          <w:rFonts w:hint="cs"/>
          <w:color w:val="E36C0A" w:themeColor="accent6" w:themeShade="BF"/>
          <w:rtl/>
        </w:rPr>
        <w:t>(וכ"פ בשו"ע)</w:t>
      </w:r>
    </w:p>
    <w:p w14:paraId="76819B49" w14:textId="77777777" w:rsidR="004B2E7C" w:rsidRPr="0048194E" w:rsidRDefault="004B2E7C" w:rsidP="00434A6A">
      <w:pPr>
        <w:ind w:left="360"/>
        <w:rPr>
          <w:u w:val="dotted"/>
        </w:rPr>
      </w:pPr>
      <w:r w:rsidRPr="0048194E">
        <w:rPr>
          <w:rFonts w:hint="cs"/>
          <w:u w:val="dotted"/>
          <w:rtl/>
        </w:rPr>
        <w:t>מה הטעם לאומרו, והרי כולם אמרוהו בתפילת עמידה:</w:t>
      </w:r>
    </w:p>
    <w:p w14:paraId="652F262B" w14:textId="77777777" w:rsidR="004B2E7C" w:rsidRDefault="004B2E7C" w:rsidP="00FF2D21">
      <w:pPr>
        <w:pStyle w:val="aa"/>
        <w:numPr>
          <w:ilvl w:val="0"/>
          <w:numId w:val="97"/>
        </w:numPr>
      </w:pPr>
      <w:r w:rsidRPr="00CA5F1E">
        <w:rPr>
          <w:rFonts w:cs="Arial"/>
          <w:rtl/>
        </w:rPr>
        <w:t>תוס</w:t>
      </w:r>
      <w:r>
        <w:rPr>
          <w:rFonts w:cs="Arial" w:hint="cs"/>
          <w:rtl/>
        </w:rPr>
        <w:t>'</w:t>
      </w:r>
      <w:r w:rsidRPr="00CA5F1E">
        <w:rPr>
          <w:rFonts w:cs="Arial"/>
          <w:rtl/>
        </w:rPr>
        <w:t xml:space="preserve"> תרומה מרדכי </w:t>
      </w:r>
      <w:r>
        <w:rPr>
          <w:rFonts w:cs="Arial" w:hint="cs"/>
          <w:rtl/>
        </w:rPr>
        <w:t>ו</w:t>
      </w:r>
      <w:r w:rsidRPr="00CA5F1E">
        <w:rPr>
          <w:rFonts w:cs="Arial"/>
          <w:rtl/>
        </w:rPr>
        <w:t>רא"ש</w:t>
      </w:r>
      <w:r>
        <w:rPr>
          <w:rStyle w:val="a9"/>
          <w:rFonts w:cs="Arial"/>
          <w:rtl/>
        </w:rPr>
        <w:footnoteReference w:id="827"/>
      </w:r>
      <w:r>
        <w:rPr>
          <w:rFonts w:cs="Arial" w:hint="cs"/>
          <w:rtl/>
        </w:rPr>
        <w:t xml:space="preserve">- </w:t>
      </w:r>
      <w:r w:rsidRPr="00CA5F1E">
        <w:rPr>
          <w:rFonts w:cs="Arial"/>
          <w:rtl/>
        </w:rPr>
        <w:t>משום י</w:t>
      </w:r>
      <w:r>
        <w:rPr>
          <w:rFonts w:cs="Arial" w:hint="cs"/>
          <w:rtl/>
        </w:rPr>
        <w:t>ו</w:t>
      </w:r>
      <w:r w:rsidRPr="00CA5F1E">
        <w:rPr>
          <w:rFonts w:cs="Arial"/>
          <w:rtl/>
        </w:rPr>
        <w:t>"ט שחל להיות בשבת</w:t>
      </w:r>
      <w:r>
        <w:rPr>
          <w:rFonts w:cs="Arial" w:hint="cs"/>
          <w:rtl/>
        </w:rPr>
        <w:t>,</w:t>
      </w:r>
      <w:r w:rsidRPr="00CA5F1E">
        <w:rPr>
          <w:rFonts w:cs="Arial"/>
          <w:rtl/>
        </w:rPr>
        <w:t xml:space="preserve"> שאין אומרים אותו בתפילה שמתפללין אתה בחרתנו ואז צריך לאומרו מפני שלא אמרוהו בתפלה</w:t>
      </w:r>
      <w:r>
        <w:rPr>
          <w:rFonts w:cs="Arial" w:hint="cs"/>
          <w:rtl/>
        </w:rPr>
        <w:t>,</w:t>
      </w:r>
      <w:r w:rsidRPr="00CA5F1E">
        <w:rPr>
          <w:rFonts w:cs="Arial"/>
          <w:rtl/>
        </w:rPr>
        <w:t xml:space="preserve"> ואגב זה תיקנו לומר בכל השבתות</w:t>
      </w:r>
      <w:r>
        <w:rPr>
          <w:rFonts w:cs="Arial" w:hint="cs"/>
          <w:rtl/>
        </w:rPr>
        <w:t>.</w:t>
      </w:r>
      <w:r w:rsidRPr="00CA5F1E">
        <w:rPr>
          <w:rFonts w:cs="Arial"/>
          <w:rtl/>
        </w:rPr>
        <w:t xml:space="preserve"> וגם להוציא מי שאינו יודע אותו</w:t>
      </w:r>
      <w:r>
        <w:rPr>
          <w:rFonts w:cs="Arial" w:hint="cs"/>
          <w:sz w:val="16"/>
          <w:szCs w:val="16"/>
          <w:rtl/>
        </w:rPr>
        <w:t xml:space="preserve"> (ל' הטור)</w:t>
      </w:r>
      <w:r>
        <w:rPr>
          <w:rFonts w:cs="Arial" w:hint="cs"/>
          <w:rtl/>
        </w:rPr>
        <w:t>.</w:t>
      </w:r>
      <w:r w:rsidRPr="00CA5F1E">
        <w:rPr>
          <w:rFonts w:cs="Arial"/>
          <w:rtl/>
        </w:rPr>
        <w:t xml:space="preserve"> </w:t>
      </w:r>
      <w:r w:rsidRPr="00990CAF">
        <w:rPr>
          <w:rFonts w:hint="cs"/>
          <w:color w:val="E36C0A" w:themeColor="accent6" w:themeShade="BF"/>
          <w:rtl/>
        </w:rPr>
        <w:t>(וכ"פ בשו"ע)</w:t>
      </w:r>
    </w:p>
    <w:p w14:paraId="5CD83A21" w14:textId="77777777" w:rsidR="004B2E7C" w:rsidRPr="008B5875" w:rsidRDefault="004B2E7C" w:rsidP="00434A6A">
      <w:pPr>
        <w:ind w:left="360"/>
        <w:rPr>
          <w:u w:val="dotted"/>
        </w:rPr>
      </w:pPr>
      <w:r w:rsidRPr="008B5875">
        <w:rPr>
          <w:rFonts w:hint="cs"/>
          <w:u w:val="dotted"/>
          <w:rtl/>
        </w:rPr>
        <w:t>ומה הטעם שנהגו לאומרו מעומד בקול רם:</w:t>
      </w:r>
    </w:p>
    <w:p w14:paraId="6E3ADD27" w14:textId="77777777" w:rsidR="004B2E7C" w:rsidRDefault="004B2E7C" w:rsidP="00FF2D21">
      <w:pPr>
        <w:pStyle w:val="aa"/>
        <w:numPr>
          <w:ilvl w:val="0"/>
          <w:numId w:val="97"/>
        </w:numPr>
      </w:pPr>
      <w:r>
        <w:rPr>
          <w:rFonts w:cs="Arial" w:hint="cs"/>
          <w:rtl/>
        </w:rPr>
        <w:t xml:space="preserve">מרדכי </w:t>
      </w:r>
      <w:r>
        <w:rPr>
          <w:rFonts w:cs="Arial" w:hint="cs"/>
          <w:sz w:val="16"/>
          <w:szCs w:val="16"/>
          <w:rtl/>
        </w:rPr>
        <w:t>(פסחים סי' תריא)</w:t>
      </w:r>
      <w:r>
        <w:rPr>
          <w:rFonts w:cs="Arial" w:hint="cs"/>
          <w:rtl/>
        </w:rPr>
        <w:t xml:space="preserve"> וי"א</w:t>
      </w:r>
      <w:r>
        <w:rPr>
          <w:rFonts w:cs="Arial" w:hint="cs"/>
          <w:sz w:val="16"/>
          <w:szCs w:val="16"/>
          <w:rtl/>
        </w:rPr>
        <w:t xml:space="preserve"> (כ"כ הטור בשמם)</w:t>
      </w:r>
      <w:r>
        <w:rPr>
          <w:rFonts w:cs="Arial" w:hint="cs"/>
          <w:rtl/>
        </w:rPr>
        <w:t xml:space="preserve">- </w:t>
      </w:r>
      <w:r w:rsidRPr="008B5875">
        <w:rPr>
          <w:rFonts w:cs="Arial"/>
          <w:rtl/>
        </w:rPr>
        <w:t>מה שאנו אומרים אותו מעומד בקול רם היינו משום דהוי עדות שהקב"ה שבת בשבת ועדות מעומד הוא דכתיב ועמדו שני אנשים</w:t>
      </w:r>
      <w:r>
        <w:rPr>
          <w:rStyle w:val="a9"/>
          <w:rFonts w:cs="Arial"/>
          <w:rtl/>
        </w:rPr>
        <w:footnoteReference w:id="828"/>
      </w:r>
      <w:r>
        <w:rPr>
          <w:rFonts w:cs="Arial" w:hint="cs"/>
          <w:sz w:val="16"/>
          <w:szCs w:val="16"/>
          <w:rtl/>
        </w:rPr>
        <w:t xml:space="preserve"> (ל' המרדכי)</w:t>
      </w:r>
      <w:r>
        <w:rPr>
          <w:rFonts w:cs="Arial" w:hint="cs"/>
          <w:rtl/>
        </w:rPr>
        <w:t>.</w:t>
      </w:r>
      <w:r w:rsidRPr="008B5875">
        <w:rPr>
          <w:rFonts w:cs="Arial"/>
          <w:rtl/>
        </w:rPr>
        <w:t xml:space="preserve"> </w:t>
      </w:r>
      <w:r w:rsidRPr="00990CAF">
        <w:rPr>
          <w:rFonts w:hint="cs"/>
          <w:color w:val="E36C0A" w:themeColor="accent6" w:themeShade="BF"/>
          <w:rtl/>
        </w:rPr>
        <w:t>(וכ"פ בשו"ע)</w:t>
      </w:r>
      <w:r w:rsidRPr="00021839">
        <w:rPr>
          <w:rFonts w:cs="Arial"/>
          <w:rtl/>
        </w:rPr>
        <w:t xml:space="preserve"> </w:t>
      </w:r>
    </w:p>
    <w:p w14:paraId="634300D9"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C848363" w14:textId="77777777" w:rsidR="004B2E7C" w:rsidRDefault="004B2E7C" w:rsidP="00434A6A">
      <w:pPr>
        <w:rPr>
          <w:rFonts w:asciiTheme="minorBidi" w:hAnsiTheme="minorBidi"/>
          <w:rtl/>
        </w:rPr>
      </w:pPr>
      <w:r w:rsidRPr="00CC2350">
        <w:rPr>
          <w:rFonts w:asciiTheme="minorBidi" w:hAnsiTheme="minorBidi" w:cs="Arial"/>
          <w:rtl/>
        </w:rPr>
        <w:t>חוזרים לומר ויכלו משום יום טוב שחל להיות בשבת שאין אומרים אותו בתפלה, וגם להוציא למי שאינו יודע</w:t>
      </w:r>
      <w:r>
        <w:rPr>
          <w:rFonts w:asciiTheme="minorBidi" w:hAnsiTheme="minorBidi" w:cs="Arial" w:hint="cs"/>
          <w:rtl/>
        </w:rPr>
        <w:t>.</w:t>
      </w:r>
      <w:r w:rsidRPr="00CC2350">
        <w:rPr>
          <w:rFonts w:asciiTheme="minorBidi" w:hAnsiTheme="minorBidi" w:cs="Arial"/>
          <w:rtl/>
        </w:rPr>
        <w:t xml:space="preserve"> ואומרים אותו בקול רם ומעומד</w:t>
      </w:r>
      <w:r>
        <w:rPr>
          <w:rStyle w:val="a9"/>
          <w:rFonts w:asciiTheme="minorBidi" w:hAnsiTheme="minorBidi" w:cs="Arial"/>
          <w:rtl/>
        </w:rPr>
        <w:footnoteReference w:id="829"/>
      </w:r>
      <w:r w:rsidRPr="00CC2350">
        <w:rPr>
          <w:rFonts w:asciiTheme="minorBidi" w:hAnsiTheme="minorBidi" w:cs="Arial"/>
          <w:rtl/>
        </w:rPr>
        <w:t xml:space="preserve">. </w:t>
      </w:r>
    </w:p>
    <w:p w14:paraId="22B13ECA" w14:textId="77777777" w:rsidR="004B2E7C" w:rsidRPr="00CC2350" w:rsidRDefault="004B2E7C" w:rsidP="00434A6A">
      <w:pPr>
        <w:rPr>
          <w:rFonts w:asciiTheme="minorBidi" w:hAnsiTheme="minorBidi"/>
          <w:rtl/>
        </w:rPr>
      </w:pPr>
    </w:p>
    <w:p w14:paraId="04C28C59" w14:textId="77777777" w:rsidR="004B2E7C" w:rsidRDefault="004B2E7C" w:rsidP="00434A6A">
      <w:pPr>
        <w:pStyle w:val="2"/>
        <w:rPr>
          <w:rtl/>
        </w:rPr>
      </w:pPr>
      <w:r w:rsidRPr="00CC2350">
        <w:rPr>
          <w:rtl/>
        </w:rPr>
        <w:t>סעיף ח</w:t>
      </w:r>
      <w:r>
        <w:rPr>
          <w:rFonts w:hint="cs"/>
          <w:rtl/>
        </w:rPr>
        <w:t>: ברכה מעין שבע.</w:t>
      </w:r>
    </w:p>
    <w:p w14:paraId="368EF851" w14:textId="77777777" w:rsidR="004B2E7C" w:rsidRPr="00122B05" w:rsidRDefault="004B2E7C" w:rsidP="00434A6A">
      <w:pPr>
        <w:rPr>
          <w:rtl/>
        </w:rPr>
      </w:pPr>
      <w:r w:rsidRPr="00A5050D">
        <w:rPr>
          <w:rFonts w:cs="Arial" w:hint="cs"/>
          <w:b/>
          <w:bCs/>
          <w:rtl/>
        </w:rPr>
        <w:t xml:space="preserve">שבת </w:t>
      </w:r>
      <w:r>
        <w:rPr>
          <w:rFonts w:cs="Arial" w:hint="cs"/>
          <w:b/>
          <w:bCs/>
          <w:sz w:val="16"/>
          <w:szCs w:val="16"/>
          <w:rtl/>
        </w:rPr>
        <w:t xml:space="preserve">(פ' במה מדליקין) </w:t>
      </w:r>
      <w:r>
        <w:rPr>
          <w:rFonts w:cs="Arial" w:hint="cs"/>
          <w:b/>
          <w:bCs/>
          <w:rtl/>
        </w:rPr>
        <w:t>כד</w:t>
      </w:r>
      <w:r w:rsidRPr="00A5050D">
        <w:rPr>
          <w:rFonts w:cs="Arial" w:hint="cs"/>
          <w:b/>
          <w:bCs/>
          <w:rtl/>
        </w:rPr>
        <w:t xml:space="preserve"> ע"</w:t>
      </w:r>
      <w:r>
        <w:rPr>
          <w:rFonts w:cs="Arial" w:hint="cs"/>
          <w:b/>
          <w:bCs/>
          <w:rtl/>
        </w:rPr>
        <w:t>נ</w:t>
      </w:r>
      <w:r w:rsidRPr="00A5050D">
        <w:rPr>
          <w:rFonts w:cs="Arial" w:hint="cs"/>
          <w:b/>
          <w:bCs/>
          <w:rtl/>
        </w:rPr>
        <w:t>:</w:t>
      </w:r>
      <w:r>
        <w:rPr>
          <w:rFonts w:hint="cs"/>
          <w:rtl/>
        </w:rPr>
        <w:t xml:space="preserve"> </w:t>
      </w:r>
      <w:r w:rsidRPr="00122B05">
        <w:rPr>
          <w:rFonts w:cs="Arial"/>
          <w:rtl/>
        </w:rPr>
        <w:t xml:space="preserve">הילכתא כרבא. </w:t>
      </w:r>
      <w:r w:rsidRPr="00122B05">
        <w:rPr>
          <w:rFonts w:cs="Arial"/>
          <w:u w:val="single"/>
          <w:rtl/>
        </w:rPr>
        <w:t>דאמר רבא</w:t>
      </w:r>
      <w:r w:rsidRPr="00122B05">
        <w:rPr>
          <w:rFonts w:cs="Arial"/>
          <w:rtl/>
        </w:rPr>
        <w:t>: יום טוב שחל להיות בשבת, שליח ציבור היורד לפני התיבה ערבית אינו צריך להזכיר של יום טוב, שאילמלא שבת אין שליח צבור יורד ערבית ביום טוב.</w:t>
      </w:r>
      <w:r>
        <w:rPr>
          <w:rFonts w:cs="Arial" w:hint="cs"/>
          <w:rtl/>
        </w:rPr>
        <w:t>..</w:t>
      </w:r>
      <w:r w:rsidRPr="00122B05">
        <w:rPr>
          <w:rFonts w:cs="Arial"/>
          <w:rtl/>
        </w:rPr>
        <w:t xml:space="preserve"> בדין הוא דאפילו בשבת נמי לא צריך, ורבנן הוא דתקוני משום סכנה</w:t>
      </w:r>
      <w:r>
        <w:rPr>
          <w:rFonts w:cs="Arial" w:hint="cs"/>
          <w:rtl/>
        </w:rPr>
        <w:t>...</w:t>
      </w:r>
    </w:p>
    <w:p w14:paraId="25D907EE" w14:textId="77777777" w:rsidR="004B2E7C" w:rsidRPr="0048194E" w:rsidRDefault="004B2E7C" w:rsidP="00434A6A">
      <w:pPr>
        <w:rPr>
          <w:u w:val="single"/>
        </w:rPr>
      </w:pPr>
      <w:r w:rsidRPr="0048194E">
        <w:rPr>
          <w:rFonts w:hint="cs"/>
          <w:u w:val="single"/>
          <w:rtl/>
        </w:rPr>
        <w:t>ברכה מעין שבע:</w:t>
      </w:r>
    </w:p>
    <w:p w14:paraId="1211FA66" w14:textId="77777777" w:rsidR="004B2E7C" w:rsidRDefault="004B2E7C" w:rsidP="00FF2D21">
      <w:pPr>
        <w:pStyle w:val="aa"/>
        <w:numPr>
          <w:ilvl w:val="0"/>
          <w:numId w:val="97"/>
        </w:numPr>
      </w:pPr>
      <w:r>
        <w:rPr>
          <w:rFonts w:cs="Arial" w:hint="cs"/>
          <w:rtl/>
        </w:rPr>
        <w:t xml:space="preserve">סמ"ג </w:t>
      </w:r>
      <w:r>
        <w:rPr>
          <w:rFonts w:cs="Arial" w:hint="cs"/>
          <w:sz w:val="16"/>
          <w:szCs w:val="16"/>
          <w:rtl/>
        </w:rPr>
        <w:t xml:space="preserve">(עשין יט ד"ה בלילי שבתות) </w:t>
      </w:r>
      <w:r>
        <w:rPr>
          <w:rFonts w:cs="Arial" w:hint="cs"/>
          <w:rtl/>
        </w:rPr>
        <w:t xml:space="preserve">מרדכי </w:t>
      </w:r>
      <w:r>
        <w:rPr>
          <w:rFonts w:cs="Arial" w:hint="cs"/>
          <w:sz w:val="16"/>
          <w:szCs w:val="16"/>
          <w:rtl/>
        </w:rPr>
        <w:t>(שבת סי' תז)</w:t>
      </w:r>
      <w:r>
        <w:rPr>
          <w:rFonts w:cs="Arial" w:hint="cs"/>
          <w:rtl/>
        </w:rPr>
        <w:t xml:space="preserve"> וטור- </w:t>
      </w:r>
      <w:r w:rsidRPr="0095778F">
        <w:rPr>
          <w:rFonts w:cs="Arial"/>
          <w:rtl/>
        </w:rPr>
        <w:t>בלילי שבתות חוזר שליח צבור אחר שהתפלל בלחש עם הצבור ומתפלל בקול רם ויכולו וברכה אחת מעין שבע</w:t>
      </w:r>
      <w:r>
        <w:rPr>
          <w:rStyle w:val="a9"/>
          <w:rFonts w:cs="Arial"/>
          <w:rtl/>
        </w:rPr>
        <w:footnoteReference w:id="830"/>
      </w:r>
      <w:r>
        <w:rPr>
          <w:rFonts w:cs="Arial" w:hint="cs"/>
          <w:rtl/>
        </w:rPr>
        <w:t>.</w:t>
      </w:r>
      <w:r w:rsidRPr="0095778F">
        <w:rPr>
          <w:rFonts w:cs="Arial"/>
          <w:rtl/>
        </w:rPr>
        <w:t xml:space="preserve"> ולמה תקנו חכמים זה מפני שכל ימי החול אין רגילין בעלי מלאכה לבא לבית הכנסת ובלילי שבת באין ויהיה שם מי שנתאחר לבא ולא השלים תפלתו וישאר לבדו בבית הכנסת ויבא לידי סכנה, מפני המזיקין שהיו בתי כנסיות שלהם בשדות </w:t>
      </w:r>
      <w:r w:rsidRPr="005B3388">
        <w:rPr>
          <w:rFonts w:cs="Arial"/>
          <w:rtl/>
        </w:rPr>
        <w:t>(ע"פ רש"י שבת נה</w:t>
      </w:r>
      <w:r w:rsidRPr="005B3388">
        <w:rPr>
          <w:rFonts w:cs="Arial" w:hint="cs"/>
          <w:rtl/>
        </w:rPr>
        <w:t>:</w:t>
      </w:r>
      <w:r w:rsidRPr="005B3388">
        <w:rPr>
          <w:rFonts w:cs="Arial"/>
          <w:rtl/>
        </w:rPr>
        <w:t xml:space="preserve"> ד"ה משום)</w:t>
      </w:r>
      <w:r w:rsidRPr="0095778F">
        <w:rPr>
          <w:rFonts w:cs="Arial"/>
          <w:rtl/>
        </w:rPr>
        <w:t xml:space="preserve">, לפיכך חוזר שליח צבור לבדו ומתפלל כדי שיתעכבו כל העם עד שישלים המתאחר ויצא עמהם </w:t>
      </w:r>
      <w:r w:rsidRPr="005B3388">
        <w:rPr>
          <w:rFonts w:cs="Arial"/>
          <w:rtl/>
        </w:rPr>
        <w:t>(ע"פ רמב"ם פ"ט הל</w:t>
      </w:r>
      <w:r w:rsidRPr="005B3388">
        <w:rPr>
          <w:rFonts w:cs="Arial" w:hint="cs"/>
          <w:rtl/>
        </w:rPr>
        <w:t>"</w:t>
      </w:r>
      <w:r w:rsidRPr="005B3388">
        <w:rPr>
          <w:rFonts w:cs="Arial"/>
          <w:rtl/>
        </w:rPr>
        <w:t>י</w:t>
      </w:r>
      <w:r w:rsidRPr="005B3388">
        <w:rPr>
          <w:rFonts w:cs="Arial" w:hint="cs"/>
          <w:rtl/>
        </w:rPr>
        <w:t>-</w:t>
      </w:r>
      <w:r w:rsidRPr="005B3388">
        <w:rPr>
          <w:rFonts w:cs="Arial"/>
          <w:rtl/>
        </w:rPr>
        <w:t>א)</w:t>
      </w:r>
      <w:r>
        <w:rPr>
          <w:rFonts w:hint="cs"/>
          <w:sz w:val="16"/>
          <w:szCs w:val="16"/>
          <w:rtl/>
        </w:rPr>
        <w:t xml:space="preserve"> (ל' הסמ"ג)</w:t>
      </w:r>
      <w:r>
        <w:rPr>
          <w:rFonts w:hint="cs"/>
          <w:rtl/>
        </w:rPr>
        <w:t>.</w:t>
      </w:r>
      <w:r w:rsidRPr="004964E4">
        <w:rPr>
          <w:rFonts w:hint="cs"/>
          <w:color w:val="E36C0A" w:themeColor="accent6" w:themeShade="BF"/>
          <w:rtl/>
        </w:rPr>
        <w:t xml:space="preserve"> </w:t>
      </w:r>
      <w:r w:rsidRPr="00990CAF">
        <w:rPr>
          <w:rFonts w:hint="cs"/>
          <w:color w:val="E36C0A" w:themeColor="accent6" w:themeShade="BF"/>
          <w:rtl/>
        </w:rPr>
        <w:t>(וכ"פ בשו"ע)</w:t>
      </w:r>
    </w:p>
    <w:p w14:paraId="56BFD2BA" w14:textId="77777777" w:rsidR="004B2E7C" w:rsidRPr="00EE77B0" w:rsidRDefault="004B2E7C" w:rsidP="00434A6A">
      <w:pPr>
        <w:ind w:left="360"/>
        <w:rPr>
          <w:u w:val="dotted"/>
        </w:rPr>
      </w:pPr>
      <w:r w:rsidRPr="0048194E">
        <w:rPr>
          <w:rFonts w:hint="cs"/>
          <w:u w:val="dotted"/>
          <w:rtl/>
        </w:rPr>
        <w:t>האם יחיד אומרה:</w:t>
      </w:r>
    </w:p>
    <w:p w14:paraId="180401D7" w14:textId="77777777" w:rsidR="004B2E7C" w:rsidRPr="005B3388" w:rsidRDefault="004B2E7C" w:rsidP="00FF2D21">
      <w:pPr>
        <w:pStyle w:val="aa"/>
        <w:numPr>
          <w:ilvl w:val="0"/>
          <w:numId w:val="97"/>
        </w:numPr>
      </w:pPr>
      <w:r w:rsidRPr="005A1FA8">
        <w:rPr>
          <w:rFonts w:cs="Arial"/>
          <w:rtl/>
        </w:rPr>
        <w:t xml:space="preserve">ראבי"ה </w:t>
      </w:r>
      <w:r>
        <w:rPr>
          <w:rFonts w:cs="Arial" w:hint="cs"/>
          <w:rtl/>
        </w:rPr>
        <w:t xml:space="preserve">ר"י </w:t>
      </w:r>
      <w:r w:rsidRPr="00CA5F1E">
        <w:rPr>
          <w:rFonts w:cs="Arial"/>
          <w:rtl/>
        </w:rPr>
        <w:t xml:space="preserve">סמ"ג </w:t>
      </w:r>
      <w:r>
        <w:rPr>
          <w:rFonts w:cs="Arial" w:hint="cs"/>
          <w:rtl/>
        </w:rPr>
        <w:t>וטור</w:t>
      </w:r>
      <w:r>
        <w:rPr>
          <w:rStyle w:val="a9"/>
          <w:rFonts w:cs="Arial"/>
          <w:rtl/>
        </w:rPr>
        <w:footnoteReference w:id="831"/>
      </w:r>
      <w:r>
        <w:rPr>
          <w:rFonts w:cs="Arial" w:hint="cs"/>
          <w:rtl/>
        </w:rPr>
        <w:t xml:space="preserve">- </w:t>
      </w:r>
      <w:r w:rsidRPr="00122B05">
        <w:rPr>
          <w:rFonts w:cs="Arial"/>
          <w:rtl/>
        </w:rPr>
        <w:t>אין ליחיד לומר אותה</w:t>
      </w:r>
      <w:r>
        <w:rPr>
          <w:rStyle w:val="a9"/>
          <w:rFonts w:cs="Arial"/>
          <w:rtl/>
        </w:rPr>
        <w:footnoteReference w:id="832"/>
      </w:r>
      <w:r>
        <w:rPr>
          <w:rFonts w:cs="Arial" w:hint="cs"/>
          <w:rtl/>
        </w:rPr>
        <w:t>,</w:t>
      </w:r>
      <w:r w:rsidRPr="00122B05">
        <w:rPr>
          <w:rFonts w:cs="Arial"/>
          <w:rtl/>
        </w:rPr>
        <w:t xml:space="preserve"> שלא נתקנה אלא משום סכנת מזיקין שבתי כנסיות שלהם היו בשדות ותקנו אותה בשביל בני אדם שמאחרין לבא שיסיימו תפלתם בעוד שש"ץ מאריך</w:t>
      </w:r>
      <w:r>
        <w:rPr>
          <w:rFonts w:cs="Arial" w:hint="cs"/>
          <w:rtl/>
        </w:rPr>
        <w:t>.</w:t>
      </w:r>
      <w:r w:rsidRPr="00122B05">
        <w:rPr>
          <w:rFonts w:cs="Arial"/>
          <w:rtl/>
        </w:rPr>
        <w:t xml:space="preserve"> כדאיתא בפ' במה מדליקין (כד</w:t>
      </w:r>
      <w:r>
        <w:rPr>
          <w:rFonts w:cs="Arial" w:hint="cs"/>
          <w:rtl/>
        </w:rPr>
        <w:t>:</w:t>
      </w:r>
      <w:r w:rsidRPr="00122B05">
        <w:rPr>
          <w:rFonts w:cs="Arial"/>
          <w:rtl/>
        </w:rPr>
        <w:t xml:space="preserve">) </w:t>
      </w:r>
      <w:r w:rsidRPr="00CA5F1E">
        <w:rPr>
          <w:rFonts w:cs="Arial"/>
          <w:rtl/>
        </w:rPr>
        <w:t>י</w:t>
      </w:r>
      <w:r>
        <w:rPr>
          <w:rFonts w:cs="Arial" w:hint="cs"/>
          <w:rtl/>
        </w:rPr>
        <w:t>ו</w:t>
      </w:r>
      <w:r w:rsidRPr="00CA5F1E">
        <w:rPr>
          <w:rFonts w:cs="Arial"/>
          <w:rtl/>
        </w:rPr>
        <w:t>"ט שחל להיות בשבת ש"ץ היורד לפני התיבה ערבית אינו מזכיר של י</w:t>
      </w:r>
      <w:r>
        <w:rPr>
          <w:rFonts w:cs="Arial" w:hint="cs"/>
          <w:rtl/>
        </w:rPr>
        <w:t>ו</w:t>
      </w:r>
      <w:r w:rsidRPr="00CA5F1E">
        <w:rPr>
          <w:rFonts w:cs="Arial"/>
          <w:rtl/>
        </w:rPr>
        <w:t>"ט בברכת מעין שבע</w:t>
      </w:r>
      <w:r>
        <w:rPr>
          <w:rFonts w:cs="Arial" w:hint="cs"/>
          <w:rtl/>
        </w:rPr>
        <w:t>,</w:t>
      </w:r>
      <w:r w:rsidRPr="00CA5F1E">
        <w:rPr>
          <w:rFonts w:cs="Arial"/>
          <w:rtl/>
        </w:rPr>
        <w:t xml:space="preserve"> ומסיק טעמא</w:t>
      </w:r>
      <w:r>
        <w:rPr>
          <w:rFonts w:cs="Arial" w:hint="cs"/>
          <w:sz w:val="16"/>
          <w:szCs w:val="16"/>
          <w:rtl/>
        </w:rPr>
        <w:t xml:space="preserve"> {בגמרא}</w:t>
      </w:r>
      <w:r w:rsidRPr="00CA5F1E">
        <w:rPr>
          <w:rFonts w:cs="Arial"/>
          <w:rtl/>
        </w:rPr>
        <w:t xml:space="preserve"> משום בדין הוא דאפילו בשבת לא בעי למימריה ורבנן הוא דתקון משום סכנה</w:t>
      </w:r>
      <w:r>
        <w:rPr>
          <w:rFonts w:cs="Arial" w:hint="cs"/>
          <w:rtl/>
        </w:rPr>
        <w:t>,</w:t>
      </w:r>
      <w:r w:rsidRPr="00CA5F1E">
        <w:rPr>
          <w:rFonts w:cs="Arial"/>
          <w:rtl/>
        </w:rPr>
        <w:t xml:space="preserve"> מאי דתקון תקון ומאי דלא תקון לא תקון</w:t>
      </w:r>
      <w:r>
        <w:rPr>
          <w:rFonts w:cs="Arial" w:hint="cs"/>
          <w:rtl/>
        </w:rPr>
        <w:t>,</w:t>
      </w:r>
      <w:r w:rsidRPr="00CA5F1E">
        <w:rPr>
          <w:rFonts w:cs="Arial"/>
          <w:rtl/>
        </w:rPr>
        <w:t xml:space="preserve"> אלמא שאין להוסיף על מאי דתקון</w:t>
      </w:r>
      <w:r>
        <w:rPr>
          <w:rFonts w:cs="Arial" w:hint="cs"/>
          <w:rtl/>
        </w:rPr>
        <w:t>,</w:t>
      </w:r>
      <w:r w:rsidRPr="00CA5F1E">
        <w:rPr>
          <w:rFonts w:cs="Arial"/>
          <w:rtl/>
        </w:rPr>
        <w:t xml:space="preserve"> ולא נתקנה אלא בציבור כדמשמע לישנא דש"ץ היורד לפני התיבה ערבית</w:t>
      </w:r>
      <w:r>
        <w:rPr>
          <w:rFonts w:cs="Arial" w:hint="cs"/>
          <w:rtl/>
        </w:rPr>
        <w:t>,</w:t>
      </w:r>
      <w:r w:rsidRPr="00CA5F1E">
        <w:rPr>
          <w:rFonts w:cs="Arial"/>
          <w:rtl/>
        </w:rPr>
        <w:t xml:space="preserve"> אלמא שלא נתקנה אלא לש"ץ</w:t>
      </w:r>
      <w:r>
        <w:rPr>
          <w:rFonts w:cs="Arial" w:hint="cs"/>
          <w:rtl/>
        </w:rPr>
        <w:t>,</w:t>
      </w:r>
      <w:r w:rsidRPr="00CA5F1E">
        <w:rPr>
          <w:rFonts w:cs="Arial"/>
          <w:rtl/>
        </w:rPr>
        <w:t xml:space="preserve"> ותו אנן דלית לן סכנה לא אמרינן לה אלא משום מנהג אבותינו</w:t>
      </w:r>
      <w:r>
        <w:rPr>
          <w:rFonts w:cs="Arial" w:hint="cs"/>
          <w:sz w:val="16"/>
          <w:szCs w:val="16"/>
          <w:rtl/>
        </w:rPr>
        <w:t xml:space="preserve"> (ל' הטור)</w:t>
      </w:r>
      <w:r>
        <w:rPr>
          <w:rFonts w:cs="Arial" w:hint="cs"/>
          <w:rtl/>
        </w:rPr>
        <w:t>.</w:t>
      </w:r>
      <w:r w:rsidRPr="005A1FA8">
        <w:rPr>
          <w:rFonts w:cs="Arial"/>
          <w:rtl/>
        </w:rPr>
        <w:t xml:space="preserve"> </w:t>
      </w:r>
      <w:r w:rsidRPr="00990CAF">
        <w:rPr>
          <w:rFonts w:hint="cs"/>
          <w:color w:val="E36C0A" w:themeColor="accent6" w:themeShade="BF"/>
          <w:rtl/>
        </w:rPr>
        <w:t>(וכ"פ בשו"ע</w:t>
      </w:r>
      <w:r>
        <w:rPr>
          <w:rFonts w:hint="cs"/>
          <w:color w:val="E36C0A" w:themeColor="accent6" w:themeShade="BF"/>
          <w:sz w:val="16"/>
          <w:szCs w:val="16"/>
          <w:rtl/>
        </w:rPr>
        <w:t xml:space="preserve"> </w:t>
      </w:r>
      <w:r w:rsidRPr="00A449EF">
        <w:rPr>
          <w:rFonts w:hint="cs"/>
          <w:color w:val="000000" w:themeColor="text1"/>
          <w:sz w:val="16"/>
          <w:szCs w:val="16"/>
          <w:rtl/>
        </w:rPr>
        <w:t>[כאן ובסעיף הבא]</w:t>
      </w:r>
      <w:r w:rsidRPr="00990CAF">
        <w:rPr>
          <w:rFonts w:hint="cs"/>
          <w:color w:val="E36C0A" w:themeColor="accent6" w:themeShade="BF"/>
          <w:rtl/>
        </w:rPr>
        <w:t>)</w:t>
      </w:r>
    </w:p>
    <w:p w14:paraId="6CC74788" w14:textId="77777777" w:rsidR="004B2E7C" w:rsidRDefault="004B2E7C" w:rsidP="00FF2D21">
      <w:pPr>
        <w:pStyle w:val="aa"/>
        <w:numPr>
          <w:ilvl w:val="0"/>
          <w:numId w:val="97"/>
        </w:numPr>
      </w:pPr>
      <w:r w:rsidRPr="005A1FA8">
        <w:rPr>
          <w:rFonts w:cs="Arial"/>
          <w:rtl/>
        </w:rPr>
        <w:t xml:space="preserve">הגה"ה </w:t>
      </w:r>
      <w:r>
        <w:rPr>
          <w:rFonts w:cs="Arial" w:hint="cs"/>
          <w:rtl/>
        </w:rPr>
        <w:t xml:space="preserve">על המרדכי </w:t>
      </w:r>
      <w:r>
        <w:rPr>
          <w:rFonts w:cs="Arial" w:hint="cs"/>
          <w:sz w:val="16"/>
          <w:szCs w:val="16"/>
          <w:rtl/>
        </w:rPr>
        <w:t>(</w:t>
      </w:r>
      <w:r w:rsidRPr="005B3388">
        <w:rPr>
          <w:rFonts w:cs="Arial"/>
          <w:sz w:val="16"/>
          <w:szCs w:val="16"/>
          <w:rtl/>
        </w:rPr>
        <w:t>פ</w:t>
      </w:r>
      <w:r w:rsidRPr="005B3388">
        <w:rPr>
          <w:rFonts w:cs="Arial" w:hint="cs"/>
          <w:sz w:val="16"/>
          <w:szCs w:val="16"/>
          <w:rtl/>
        </w:rPr>
        <w:t>"</w:t>
      </w:r>
      <w:r w:rsidRPr="005B3388">
        <w:rPr>
          <w:rFonts w:cs="Arial"/>
          <w:sz w:val="16"/>
          <w:szCs w:val="16"/>
          <w:rtl/>
        </w:rPr>
        <w:t>ב דשבת סי' רפד</w:t>
      </w:r>
      <w:r>
        <w:rPr>
          <w:rFonts w:cs="Arial" w:hint="cs"/>
          <w:sz w:val="16"/>
          <w:szCs w:val="16"/>
          <w:rtl/>
        </w:rPr>
        <w:t>)</w:t>
      </w:r>
      <w:r>
        <w:rPr>
          <w:rFonts w:cs="Arial" w:hint="cs"/>
          <w:rtl/>
        </w:rPr>
        <w:t>-</w:t>
      </w:r>
      <w:r w:rsidRPr="005A1FA8">
        <w:rPr>
          <w:rFonts w:cs="Arial"/>
          <w:rtl/>
        </w:rPr>
        <w:t xml:space="preserve"> הגאונים פסקו בין יחיד בין צבור צ"ל ויכולו וברכת מגן</w:t>
      </w:r>
      <w:r>
        <w:rPr>
          <w:rFonts w:cs="Arial" w:hint="cs"/>
          <w:rtl/>
        </w:rPr>
        <w:t>.</w:t>
      </w:r>
      <w:r w:rsidRPr="005A1FA8">
        <w:rPr>
          <w:rFonts w:cs="Arial"/>
          <w:rtl/>
        </w:rPr>
        <w:t xml:space="preserve"> </w:t>
      </w:r>
    </w:p>
    <w:p w14:paraId="34100F9D" w14:textId="77777777" w:rsidR="004B2E7C" w:rsidRPr="00EE77B0" w:rsidRDefault="004B2E7C" w:rsidP="00434A6A">
      <w:pPr>
        <w:ind w:left="360"/>
        <w:rPr>
          <w:u w:val="dotted"/>
        </w:rPr>
      </w:pPr>
      <w:r w:rsidRPr="00EE77B0">
        <w:rPr>
          <w:rFonts w:hint="cs"/>
          <w:u w:val="dotted"/>
          <w:rtl/>
        </w:rPr>
        <w:t>האם יחיד יכול לאומרה בלא ברכה:</w:t>
      </w:r>
      <w:r>
        <w:rPr>
          <w:rFonts w:cs="Arial" w:hint="cs"/>
          <w:rtl/>
        </w:rPr>
        <w:t xml:space="preserve"> </w:t>
      </w:r>
      <w:r w:rsidRPr="00EE77B0">
        <w:rPr>
          <w:rFonts w:cs="Arial"/>
          <w:sz w:val="16"/>
          <w:szCs w:val="16"/>
          <w:rtl/>
        </w:rPr>
        <w:t>(</w:t>
      </w:r>
      <w:r w:rsidRPr="00EE77B0">
        <w:rPr>
          <w:rFonts w:cs="Arial" w:hint="cs"/>
          <w:sz w:val="16"/>
          <w:szCs w:val="16"/>
          <w:rtl/>
        </w:rPr>
        <w:t xml:space="preserve">דרכ"מ אות </w:t>
      </w:r>
      <w:r w:rsidRPr="00EE77B0">
        <w:rPr>
          <w:rFonts w:cs="Arial"/>
          <w:sz w:val="16"/>
          <w:szCs w:val="16"/>
          <w:rtl/>
        </w:rPr>
        <w:t>ג)</w:t>
      </w:r>
    </w:p>
    <w:p w14:paraId="6733C064" w14:textId="77777777" w:rsidR="004B2E7C" w:rsidRPr="004964E4" w:rsidRDefault="004B2E7C" w:rsidP="00FF2D21">
      <w:pPr>
        <w:pStyle w:val="aa"/>
        <w:numPr>
          <w:ilvl w:val="0"/>
          <w:numId w:val="97"/>
        </w:numPr>
      </w:pPr>
      <w:r w:rsidRPr="00AD037B">
        <w:rPr>
          <w:rFonts w:cs="Arial"/>
          <w:rtl/>
        </w:rPr>
        <w:t xml:space="preserve">אבודרהם </w:t>
      </w:r>
      <w:r w:rsidRPr="00EE77B0">
        <w:rPr>
          <w:rFonts w:cs="Arial"/>
          <w:sz w:val="16"/>
          <w:szCs w:val="16"/>
          <w:rtl/>
        </w:rPr>
        <w:t>(סדר מעריב של שבת ופירושה ע' קמט)</w:t>
      </w:r>
      <w:r>
        <w:rPr>
          <w:rFonts w:cs="Arial" w:hint="cs"/>
          <w:rtl/>
        </w:rPr>
        <w:t>-</w:t>
      </w:r>
      <w:r w:rsidRPr="00AD037B">
        <w:rPr>
          <w:rFonts w:cs="Arial"/>
          <w:rtl/>
        </w:rPr>
        <w:t xml:space="preserve"> אם היחיד רוצה לאמרה אומרה בלא פתיחה וחתימה</w:t>
      </w:r>
      <w:r>
        <w:rPr>
          <w:rFonts w:cs="Arial" w:hint="cs"/>
          <w:rtl/>
        </w:rPr>
        <w:t>.</w:t>
      </w:r>
      <w:r w:rsidRPr="004964E4">
        <w:rPr>
          <w:rFonts w:hint="cs"/>
          <w:color w:val="00B0F0"/>
          <w:rtl/>
        </w:rPr>
        <w:t xml:space="preserve"> </w:t>
      </w:r>
      <w:r w:rsidRPr="000D40AC">
        <w:rPr>
          <w:rFonts w:hint="cs"/>
          <w:color w:val="00B0F0"/>
          <w:rtl/>
        </w:rPr>
        <w:t>(וכ"פ הרמ"א)</w:t>
      </w:r>
    </w:p>
    <w:p w14:paraId="4768ABAC" w14:textId="77777777" w:rsidR="004B2E7C" w:rsidRDefault="004B2E7C" w:rsidP="00FF2D21">
      <w:pPr>
        <w:pStyle w:val="aa"/>
        <w:numPr>
          <w:ilvl w:val="0"/>
          <w:numId w:val="97"/>
        </w:numPr>
      </w:pPr>
      <w:r w:rsidRPr="00AD037B">
        <w:rPr>
          <w:rFonts w:cs="Arial"/>
          <w:rtl/>
        </w:rPr>
        <w:t xml:space="preserve">כל בו </w:t>
      </w:r>
      <w:r w:rsidRPr="004964E4">
        <w:rPr>
          <w:rFonts w:cs="Arial"/>
          <w:sz w:val="16"/>
          <w:szCs w:val="16"/>
          <w:rtl/>
        </w:rPr>
        <w:t>(הל' תפלה סו"ס יא, ט ע"א)</w:t>
      </w:r>
      <w:r>
        <w:rPr>
          <w:rFonts w:cs="Arial" w:hint="cs"/>
          <w:rtl/>
        </w:rPr>
        <w:t>-</w:t>
      </w:r>
      <w:r w:rsidRPr="00AD037B">
        <w:rPr>
          <w:rFonts w:cs="Arial"/>
          <w:rtl/>
        </w:rPr>
        <w:t xml:space="preserve"> נהגו לומר עם השליח ציבור ממגן אבות עד מעשה בראשית</w:t>
      </w:r>
      <w:r>
        <w:rPr>
          <w:rFonts w:cs="Arial" w:hint="cs"/>
          <w:rtl/>
        </w:rPr>
        <w:t>.</w:t>
      </w:r>
      <w:r w:rsidRPr="004964E4">
        <w:rPr>
          <w:rFonts w:hint="cs"/>
          <w:color w:val="00B0F0"/>
          <w:rtl/>
        </w:rPr>
        <w:t xml:space="preserve"> </w:t>
      </w:r>
      <w:r w:rsidRPr="000D40AC">
        <w:rPr>
          <w:rFonts w:hint="cs"/>
          <w:color w:val="00B0F0"/>
          <w:rtl/>
        </w:rPr>
        <w:t>(וכ"פ הרמ"א)</w:t>
      </w:r>
    </w:p>
    <w:p w14:paraId="158EBC2E" w14:textId="77777777" w:rsidR="004B2E7C" w:rsidRPr="0048194E" w:rsidRDefault="004B2E7C" w:rsidP="00434A6A"/>
    <w:p w14:paraId="1FD5EA42"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C88ACA2" w14:textId="77777777" w:rsidR="004B2E7C" w:rsidRDefault="004B2E7C" w:rsidP="00434A6A">
      <w:pPr>
        <w:rPr>
          <w:rFonts w:asciiTheme="minorBidi" w:hAnsiTheme="minorBidi"/>
          <w:rtl/>
        </w:rPr>
      </w:pPr>
      <w:r w:rsidRPr="00CC2350">
        <w:rPr>
          <w:rFonts w:asciiTheme="minorBidi" w:hAnsiTheme="minorBidi" w:cs="Arial"/>
          <w:rtl/>
        </w:rPr>
        <w:t>ואומר ש</w:t>
      </w:r>
      <w:r>
        <w:rPr>
          <w:rFonts w:asciiTheme="minorBidi" w:hAnsiTheme="minorBidi" w:cs="Arial" w:hint="cs"/>
          <w:rtl/>
        </w:rPr>
        <w:t xml:space="preserve">ליח </w:t>
      </w:r>
      <w:r w:rsidRPr="00CC2350">
        <w:rPr>
          <w:rFonts w:asciiTheme="minorBidi" w:hAnsiTheme="minorBidi" w:cs="Arial"/>
          <w:rtl/>
        </w:rPr>
        <w:t>צ</w:t>
      </w:r>
      <w:r>
        <w:rPr>
          <w:rFonts w:asciiTheme="minorBidi" w:hAnsiTheme="minorBidi" w:cs="Arial" w:hint="cs"/>
          <w:rtl/>
        </w:rPr>
        <w:t>יבור</w:t>
      </w:r>
      <w:r w:rsidRPr="00CC2350">
        <w:rPr>
          <w:rFonts w:asciiTheme="minorBidi" w:hAnsiTheme="minorBidi" w:cs="Arial"/>
          <w:rtl/>
        </w:rPr>
        <w:t xml:space="preserve"> ברכה אחת מעין שבע, ואין היחיד אומר אותה. </w:t>
      </w:r>
      <w:r w:rsidRPr="0048194E">
        <w:rPr>
          <w:rFonts w:asciiTheme="minorBidi" w:hAnsiTheme="minorBidi" w:cs="Arial"/>
          <w:sz w:val="18"/>
          <w:szCs w:val="18"/>
          <w:rtl/>
        </w:rPr>
        <w:t>הגה: מיהו אם היחיד רוצה להחמיר על עצמו יכול לאומרה בלא פתיחה ובלא חתימה</w:t>
      </w:r>
      <w:r>
        <w:rPr>
          <w:rStyle w:val="a9"/>
          <w:rFonts w:asciiTheme="minorBidi" w:hAnsiTheme="minorBidi" w:cs="Arial"/>
          <w:sz w:val="18"/>
          <w:szCs w:val="18"/>
          <w:rtl/>
        </w:rPr>
        <w:footnoteReference w:id="833"/>
      </w:r>
      <w:r>
        <w:rPr>
          <w:rFonts w:asciiTheme="minorBidi" w:hAnsiTheme="minorBidi" w:cs="Arial" w:hint="cs"/>
          <w:sz w:val="18"/>
          <w:szCs w:val="18"/>
          <w:rtl/>
        </w:rPr>
        <w:t xml:space="preserve"> </w:t>
      </w:r>
      <w:r w:rsidRPr="0048194E">
        <w:rPr>
          <w:rFonts w:asciiTheme="minorBidi" w:hAnsiTheme="minorBidi" w:cs="Arial"/>
          <w:sz w:val="18"/>
          <w:szCs w:val="18"/>
          <w:rtl/>
        </w:rPr>
        <w:t>(אבודרהם</w:t>
      </w:r>
      <w:r>
        <w:rPr>
          <w:rFonts w:asciiTheme="minorBidi" w:hAnsiTheme="minorBidi" w:cs="Arial" w:hint="cs"/>
          <w:sz w:val="18"/>
          <w:szCs w:val="18"/>
          <w:rtl/>
        </w:rPr>
        <w:t>).</w:t>
      </w:r>
      <w:r w:rsidRPr="0048194E">
        <w:rPr>
          <w:rFonts w:asciiTheme="minorBidi" w:hAnsiTheme="minorBidi" w:cs="Arial"/>
          <w:sz w:val="18"/>
          <w:szCs w:val="18"/>
          <w:rtl/>
        </w:rPr>
        <w:t xml:space="preserve"> וכן נוהגין הצבור לאמרה עם ש"צ בלא פתיחה וחתימה</w:t>
      </w:r>
      <w:r>
        <w:rPr>
          <w:rStyle w:val="a9"/>
          <w:rFonts w:asciiTheme="minorBidi" w:hAnsiTheme="minorBidi" w:cs="Arial"/>
          <w:sz w:val="18"/>
          <w:szCs w:val="18"/>
          <w:rtl/>
        </w:rPr>
        <w:footnoteReference w:id="834"/>
      </w:r>
      <w:r w:rsidRPr="0048194E">
        <w:rPr>
          <w:rFonts w:asciiTheme="minorBidi" w:hAnsiTheme="minorBidi" w:cs="Arial"/>
          <w:sz w:val="18"/>
          <w:szCs w:val="18"/>
          <w:rtl/>
        </w:rPr>
        <w:t xml:space="preserve"> </w:t>
      </w:r>
      <w:r>
        <w:rPr>
          <w:rFonts w:asciiTheme="minorBidi" w:hAnsiTheme="minorBidi" w:cs="Arial" w:hint="cs"/>
          <w:sz w:val="18"/>
          <w:szCs w:val="18"/>
          <w:rtl/>
        </w:rPr>
        <w:t>(</w:t>
      </w:r>
      <w:r w:rsidRPr="0048194E">
        <w:rPr>
          <w:rFonts w:asciiTheme="minorBidi" w:hAnsiTheme="minorBidi" w:cs="Arial"/>
          <w:sz w:val="18"/>
          <w:szCs w:val="18"/>
          <w:rtl/>
        </w:rPr>
        <w:t>כל בו).</w:t>
      </w:r>
      <w:r w:rsidRPr="00CC2350">
        <w:rPr>
          <w:rFonts w:asciiTheme="minorBidi" w:hAnsiTheme="minorBidi" w:cs="Arial"/>
          <w:rtl/>
        </w:rPr>
        <w:t xml:space="preserve"> </w:t>
      </w:r>
    </w:p>
    <w:p w14:paraId="5253A7B4" w14:textId="77777777" w:rsidR="004B2E7C" w:rsidRPr="00CC2350" w:rsidRDefault="004B2E7C" w:rsidP="00434A6A">
      <w:pPr>
        <w:rPr>
          <w:rFonts w:asciiTheme="minorBidi" w:hAnsiTheme="minorBidi"/>
          <w:rtl/>
        </w:rPr>
      </w:pPr>
    </w:p>
    <w:p w14:paraId="6E55911C" w14:textId="77777777" w:rsidR="004B2E7C" w:rsidRDefault="004B2E7C" w:rsidP="00434A6A">
      <w:pPr>
        <w:pStyle w:val="2"/>
        <w:rPr>
          <w:rtl/>
        </w:rPr>
      </w:pPr>
      <w:r w:rsidRPr="00CC2350">
        <w:rPr>
          <w:rtl/>
        </w:rPr>
        <w:t>סעיף ט</w:t>
      </w:r>
      <w:r>
        <w:rPr>
          <w:rFonts w:hint="cs"/>
          <w:rtl/>
        </w:rPr>
        <w:t>: ברכה מעין שבע ביו"ט שחל להיות בשבת.</w:t>
      </w:r>
    </w:p>
    <w:p w14:paraId="63ACCE83" w14:textId="77777777" w:rsidR="004B2E7C" w:rsidRDefault="004B2E7C" w:rsidP="00434A6A">
      <w:pPr>
        <w:rPr>
          <w:sz w:val="16"/>
          <w:szCs w:val="16"/>
          <w:rtl/>
        </w:rPr>
      </w:pPr>
      <w:r w:rsidRPr="00A5050D">
        <w:rPr>
          <w:rFonts w:cs="Arial" w:hint="cs"/>
          <w:b/>
          <w:bCs/>
          <w:rtl/>
        </w:rPr>
        <w:t xml:space="preserve">שבת </w:t>
      </w:r>
      <w:r>
        <w:rPr>
          <w:rFonts w:cs="Arial" w:hint="cs"/>
          <w:b/>
          <w:bCs/>
          <w:sz w:val="16"/>
          <w:szCs w:val="16"/>
          <w:rtl/>
        </w:rPr>
        <w:t xml:space="preserve">(פ' במה מדליקין) </w:t>
      </w:r>
      <w:r>
        <w:rPr>
          <w:rFonts w:cs="Arial" w:hint="cs"/>
          <w:b/>
          <w:bCs/>
          <w:rtl/>
        </w:rPr>
        <w:t>כד</w:t>
      </w:r>
      <w:r w:rsidRPr="00A5050D">
        <w:rPr>
          <w:rFonts w:cs="Arial" w:hint="cs"/>
          <w:b/>
          <w:bCs/>
          <w:rtl/>
        </w:rPr>
        <w:t xml:space="preserve"> ע"</w:t>
      </w:r>
      <w:r>
        <w:rPr>
          <w:rFonts w:cs="Arial" w:hint="cs"/>
          <w:b/>
          <w:bCs/>
          <w:rtl/>
        </w:rPr>
        <w:t>נ</w:t>
      </w:r>
      <w:r w:rsidRPr="00A5050D">
        <w:rPr>
          <w:rFonts w:cs="Arial" w:hint="cs"/>
          <w:b/>
          <w:bCs/>
          <w:rtl/>
        </w:rPr>
        <w:t>:</w:t>
      </w:r>
      <w:r>
        <w:rPr>
          <w:rFonts w:hint="cs"/>
          <w:rtl/>
        </w:rPr>
        <w:t xml:space="preserve"> </w:t>
      </w:r>
      <w:r w:rsidRPr="00122B05">
        <w:rPr>
          <w:rFonts w:cs="Arial"/>
          <w:rtl/>
        </w:rPr>
        <w:t xml:space="preserve">הילכתא כרבא. </w:t>
      </w:r>
      <w:r w:rsidRPr="00122B05">
        <w:rPr>
          <w:rFonts w:cs="Arial"/>
          <w:u w:val="single"/>
          <w:rtl/>
        </w:rPr>
        <w:t>דאמר רבא</w:t>
      </w:r>
      <w:r w:rsidRPr="00122B05">
        <w:rPr>
          <w:rFonts w:cs="Arial"/>
          <w:rtl/>
        </w:rPr>
        <w:t>: יום טוב שחל להיות בשבת, שליח ציבור היורד לפני התיבה ערבית אינו צריך להזכיר של יום טוב, שאילמלא שבת אין שליח צבור יורד ערבית ביום טוב.</w:t>
      </w:r>
      <w:r>
        <w:rPr>
          <w:rFonts w:cs="Arial" w:hint="cs"/>
          <w:rtl/>
        </w:rPr>
        <w:t>..</w:t>
      </w:r>
      <w:r w:rsidRPr="00122B05">
        <w:rPr>
          <w:rFonts w:cs="Arial"/>
          <w:rtl/>
        </w:rPr>
        <w:t xml:space="preserve"> בדין הוא דאפילו בשבת נמי לא צריך, ורבנן הוא דתקוני משום סכנה</w:t>
      </w:r>
      <w:r>
        <w:rPr>
          <w:rFonts w:cs="Arial" w:hint="cs"/>
          <w:rtl/>
        </w:rPr>
        <w:t>..</w:t>
      </w:r>
      <w:r>
        <w:rPr>
          <w:rFonts w:hint="cs"/>
          <w:rtl/>
        </w:rPr>
        <w:t xml:space="preserve">. </w:t>
      </w:r>
      <w:r>
        <w:rPr>
          <w:rFonts w:hint="cs"/>
          <w:sz w:val="16"/>
          <w:szCs w:val="16"/>
          <w:rtl/>
        </w:rPr>
        <w:t xml:space="preserve">(וכ"כ הטור. </w:t>
      </w:r>
      <w:r w:rsidRPr="00B158B3">
        <w:rPr>
          <w:rFonts w:hint="cs"/>
          <w:color w:val="E36C0A" w:themeColor="accent6" w:themeShade="BF"/>
          <w:sz w:val="16"/>
          <w:szCs w:val="16"/>
          <w:rtl/>
        </w:rPr>
        <w:t>וכ"פ בשו"ע</w:t>
      </w:r>
      <w:r>
        <w:rPr>
          <w:rFonts w:hint="cs"/>
          <w:sz w:val="16"/>
          <w:szCs w:val="16"/>
          <w:rtl/>
        </w:rPr>
        <w:t>)</w:t>
      </w:r>
    </w:p>
    <w:p w14:paraId="777B74CB" w14:textId="77777777" w:rsidR="004B2E7C" w:rsidRPr="00A449EF" w:rsidRDefault="004B2E7C" w:rsidP="00434A6A">
      <w:pPr>
        <w:rPr>
          <w:rtl/>
        </w:rPr>
      </w:pPr>
      <w:r w:rsidRPr="00A449EF">
        <w:rPr>
          <w:rFonts w:hint="cs"/>
          <w:rtl/>
        </w:rPr>
        <w:t>עיין במקורות בסעיף הקודם.</w:t>
      </w:r>
    </w:p>
    <w:p w14:paraId="563C7D97"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9AAEEC8" w14:textId="77777777" w:rsidR="004B2E7C" w:rsidRDefault="004B2E7C" w:rsidP="00434A6A">
      <w:pPr>
        <w:rPr>
          <w:rFonts w:asciiTheme="minorBidi" w:hAnsiTheme="minorBidi" w:cs="Arial"/>
          <w:rtl/>
        </w:rPr>
      </w:pPr>
      <w:r w:rsidRPr="00CC2350">
        <w:rPr>
          <w:rFonts w:asciiTheme="minorBidi" w:hAnsiTheme="minorBidi" w:cs="Arial"/>
          <w:rtl/>
        </w:rPr>
        <w:t xml:space="preserve">יום טוב שחל להיות בשבת, אינו מזכיר של יום טוב בברכה מעין שבע. </w:t>
      </w:r>
    </w:p>
    <w:p w14:paraId="5D976232" w14:textId="77777777" w:rsidR="004B2E7C" w:rsidRPr="00CC2350" w:rsidRDefault="004B2E7C" w:rsidP="00434A6A">
      <w:pPr>
        <w:rPr>
          <w:rFonts w:asciiTheme="minorBidi" w:hAnsiTheme="minorBidi"/>
          <w:rtl/>
        </w:rPr>
      </w:pPr>
    </w:p>
    <w:p w14:paraId="139EF574" w14:textId="77777777" w:rsidR="004B2E7C" w:rsidRDefault="004B2E7C" w:rsidP="00434A6A">
      <w:pPr>
        <w:pStyle w:val="2"/>
        <w:rPr>
          <w:rtl/>
        </w:rPr>
      </w:pPr>
      <w:r w:rsidRPr="00CC2350">
        <w:rPr>
          <w:rtl/>
        </w:rPr>
        <w:t>סעיף י</w:t>
      </w:r>
      <w:r>
        <w:rPr>
          <w:rFonts w:hint="cs"/>
          <w:rtl/>
        </w:rPr>
        <w:t>: ברכה מעין שבע בבית חתנים/אבלים.</w:t>
      </w:r>
    </w:p>
    <w:p w14:paraId="543B1C16" w14:textId="77777777" w:rsidR="004B2E7C" w:rsidRPr="00A449EF" w:rsidRDefault="004B2E7C" w:rsidP="00434A6A">
      <w:pPr>
        <w:rPr>
          <w:u w:val="single"/>
          <w:rtl/>
        </w:rPr>
      </w:pPr>
      <w:r w:rsidRPr="00A449EF">
        <w:rPr>
          <w:rFonts w:hint="cs"/>
          <w:u w:val="single"/>
          <w:rtl/>
        </w:rPr>
        <w:t>ברכה מעין שבע בבית חתנים/אבלים:</w:t>
      </w:r>
    </w:p>
    <w:p w14:paraId="7AB153A0" w14:textId="77777777" w:rsidR="004B2E7C" w:rsidRPr="00CA5F1E" w:rsidRDefault="004B2E7C" w:rsidP="00FF2D21">
      <w:pPr>
        <w:pStyle w:val="aa"/>
        <w:numPr>
          <w:ilvl w:val="0"/>
          <w:numId w:val="97"/>
        </w:numPr>
        <w:rPr>
          <w:rtl/>
        </w:rPr>
      </w:pPr>
      <w:r w:rsidRPr="004964E4">
        <w:rPr>
          <w:rFonts w:cs="Arial"/>
          <w:rtl/>
        </w:rPr>
        <w:t xml:space="preserve">מהר"י אבוהב </w:t>
      </w:r>
      <w:r>
        <w:rPr>
          <w:rFonts w:cs="Arial" w:hint="cs"/>
          <w:sz w:val="16"/>
          <w:szCs w:val="16"/>
          <w:rtl/>
        </w:rPr>
        <w:t xml:space="preserve">(כ"כ הב"י בשמו) </w:t>
      </w:r>
      <w:r w:rsidRPr="004964E4">
        <w:rPr>
          <w:rFonts w:cs="Arial"/>
          <w:rtl/>
        </w:rPr>
        <w:t>בשם ספר המנהגות</w:t>
      </w:r>
      <w:r>
        <w:rPr>
          <w:rFonts w:cs="Arial" w:hint="cs"/>
          <w:rtl/>
        </w:rPr>
        <w:t xml:space="preserve"> ו</w:t>
      </w:r>
      <w:r w:rsidRPr="004964E4">
        <w:rPr>
          <w:rFonts w:cs="Arial"/>
          <w:rtl/>
        </w:rPr>
        <w:t xml:space="preserve">ריב"ש </w:t>
      </w:r>
      <w:r w:rsidRPr="00A449EF">
        <w:rPr>
          <w:rFonts w:cs="Arial"/>
          <w:sz w:val="16"/>
          <w:szCs w:val="16"/>
          <w:rtl/>
        </w:rPr>
        <w:t>(ס</w:t>
      </w:r>
      <w:r w:rsidRPr="00A449EF">
        <w:rPr>
          <w:rFonts w:cs="Arial" w:hint="cs"/>
          <w:sz w:val="16"/>
          <w:szCs w:val="16"/>
          <w:rtl/>
        </w:rPr>
        <w:t>י'</w:t>
      </w:r>
      <w:r w:rsidRPr="00A449EF">
        <w:rPr>
          <w:rFonts w:cs="Arial"/>
          <w:sz w:val="16"/>
          <w:szCs w:val="16"/>
          <w:rtl/>
        </w:rPr>
        <w:t xml:space="preserve"> מ)</w:t>
      </w:r>
      <w:r>
        <w:rPr>
          <w:rFonts w:cs="Arial" w:hint="cs"/>
          <w:rtl/>
        </w:rPr>
        <w:t xml:space="preserve">- </w:t>
      </w:r>
      <w:r w:rsidRPr="004964E4">
        <w:rPr>
          <w:rFonts w:cs="Arial"/>
          <w:rtl/>
        </w:rPr>
        <w:t xml:space="preserve">בבית חתנים ואבלים דליכא טעמא דמאחרים לבוא שיהו ניזקין </w:t>
      </w:r>
      <w:r>
        <w:rPr>
          <w:rFonts w:cs="Arial" w:hint="cs"/>
          <w:rtl/>
        </w:rPr>
        <w:t xml:space="preserve">- </w:t>
      </w:r>
      <w:r w:rsidRPr="004964E4">
        <w:rPr>
          <w:rFonts w:cs="Arial"/>
          <w:rtl/>
        </w:rPr>
        <w:t>לא אמרינן ברכה אחת מעין שבע</w:t>
      </w:r>
      <w:r>
        <w:rPr>
          <w:rFonts w:cs="Arial" w:hint="cs"/>
          <w:sz w:val="16"/>
          <w:szCs w:val="16"/>
          <w:rtl/>
        </w:rPr>
        <w:t xml:space="preserve"> (ל' הב"י בשם מהר"י אבוהב)</w:t>
      </w:r>
      <w:r w:rsidRPr="004964E4">
        <w:rPr>
          <w:rFonts w:cs="Arial"/>
          <w:rtl/>
        </w:rPr>
        <w:t xml:space="preserve">. </w:t>
      </w:r>
      <w:r w:rsidRPr="004964E4">
        <w:rPr>
          <w:rFonts w:hint="cs"/>
          <w:color w:val="E36C0A" w:themeColor="accent6" w:themeShade="BF"/>
          <w:rtl/>
        </w:rPr>
        <w:t>(וכ"פ בשו"ע)</w:t>
      </w:r>
    </w:p>
    <w:p w14:paraId="7FE226F2"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1FCFBA4" w14:textId="77777777" w:rsidR="004B2E7C" w:rsidRDefault="004B2E7C" w:rsidP="00434A6A">
      <w:pPr>
        <w:rPr>
          <w:rFonts w:asciiTheme="minorBidi" w:hAnsiTheme="minorBidi" w:cs="Arial"/>
          <w:rtl/>
        </w:rPr>
      </w:pPr>
      <w:r w:rsidRPr="00CC2350">
        <w:rPr>
          <w:rFonts w:asciiTheme="minorBidi" w:hAnsiTheme="minorBidi" w:cs="Arial"/>
          <w:rtl/>
        </w:rPr>
        <w:t>א</w:t>
      </w:r>
      <w:r>
        <w:rPr>
          <w:rFonts w:asciiTheme="minorBidi" w:hAnsiTheme="minorBidi" w:cs="Arial" w:hint="cs"/>
          <w:rtl/>
        </w:rPr>
        <w:t xml:space="preserve">ין </w:t>
      </w:r>
      <w:r w:rsidRPr="00CC2350">
        <w:rPr>
          <w:rFonts w:asciiTheme="minorBidi" w:hAnsiTheme="minorBidi" w:cs="Arial"/>
          <w:rtl/>
        </w:rPr>
        <w:t>א</w:t>
      </w:r>
      <w:r>
        <w:rPr>
          <w:rFonts w:asciiTheme="minorBidi" w:hAnsiTheme="minorBidi" w:cs="Arial" w:hint="cs"/>
          <w:rtl/>
        </w:rPr>
        <w:t>ומרים</w:t>
      </w:r>
      <w:r w:rsidRPr="00CC2350">
        <w:rPr>
          <w:rFonts w:asciiTheme="minorBidi" w:hAnsiTheme="minorBidi" w:cs="Arial"/>
          <w:rtl/>
        </w:rPr>
        <w:t xml:space="preserve"> ברכה מעין שבע בבית חתנים ואבלים</w:t>
      </w:r>
      <w:r>
        <w:rPr>
          <w:rStyle w:val="a9"/>
          <w:rFonts w:asciiTheme="minorBidi" w:hAnsiTheme="minorBidi" w:cs="Arial"/>
          <w:rtl/>
        </w:rPr>
        <w:footnoteReference w:id="835"/>
      </w:r>
      <w:r w:rsidRPr="00CC2350">
        <w:rPr>
          <w:rFonts w:asciiTheme="minorBidi" w:hAnsiTheme="minorBidi" w:cs="Arial"/>
          <w:rtl/>
        </w:rPr>
        <w:t>, דליכא טעמא דמאחרין לבא שיהיו ניזוקין</w:t>
      </w:r>
      <w:r>
        <w:rPr>
          <w:rStyle w:val="a9"/>
          <w:rFonts w:asciiTheme="minorBidi" w:hAnsiTheme="minorBidi" w:cs="Arial"/>
          <w:rtl/>
        </w:rPr>
        <w:footnoteReference w:id="836"/>
      </w:r>
      <w:r w:rsidRPr="00CC2350">
        <w:rPr>
          <w:rFonts w:asciiTheme="minorBidi" w:hAnsiTheme="minorBidi" w:cs="Arial"/>
          <w:rtl/>
        </w:rPr>
        <w:t xml:space="preserve">. </w:t>
      </w:r>
    </w:p>
    <w:p w14:paraId="014E8172" w14:textId="77777777" w:rsidR="004B2E7C" w:rsidRPr="00CC2350" w:rsidRDefault="004B2E7C" w:rsidP="00434A6A">
      <w:pPr>
        <w:rPr>
          <w:rFonts w:asciiTheme="minorBidi" w:hAnsiTheme="minorBidi"/>
          <w:rtl/>
        </w:rPr>
      </w:pPr>
    </w:p>
    <w:p w14:paraId="3BC8B51A" w14:textId="77777777" w:rsidR="004B2E7C" w:rsidRDefault="004B2E7C" w:rsidP="00434A6A">
      <w:pPr>
        <w:pStyle w:val="2"/>
        <w:rPr>
          <w:rtl/>
        </w:rPr>
      </w:pPr>
      <w:r w:rsidRPr="00CC2350">
        <w:rPr>
          <w:rtl/>
        </w:rPr>
        <w:t>סעיף יא</w:t>
      </w:r>
      <w:r>
        <w:rPr>
          <w:rFonts w:hint="cs"/>
          <w:rtl/>
        </w:rPr>
        <w:t>: ברכה מעין שבע בשבת שאחר יו"ט.</w:t>
      </w:r>
    </w:p>
    <w:p w14:paraId="1DD87340" w14:textId="77777777" w:rsidR="004B2E7C" w:rsidRPr="00454C39" w:rsidRDefault="004B2E7C" w:rsidP="00434A6A">
      <w:pPr>
        <w:rPr>
          <w:u w:val="single"/>
        </w:rPr>
      </w:pPr>
      <w:r w:rsidRPr="00AF427A">
        <w:rPr>
          <w:rFonts w:hint="cs"/>
          <w:u w:val="single"/>
          <w:rtl/>
        </w:rPr>
        <w:t>ברכה מעין שבע בשבת שאחר יו"ט:</w:t>
      </w:r>
    </w:p>
    <w:p w14:paraId="13CA2429" w14:textId="77777777" w:rsidR="004B2E7C" w:rsidRPr="00454C39" w:rsidRDefault="004B2E7C" w:rsidP="00FF2D21">
      <w:pPr>
        <w:pStyle w:val="aa"/>
        <w:numPr>
          <w:ilvl w:val="0"/>
          <w:numId w:val="97"/>
        </w:numPr>
      </w:pPr>
      <w:r w:rsidRPr="004964E4">
        <w:rPr>
          <w:rFonts w:cs="Arial"/>
          <w:rtl/>
        </w:rPr>
        <w:t xml:space="preserve">ספר השלחן </w:t>
      </w:r>
      <w:r w:rsidRPr="00AF427A">
        <w:rPr>
          <w:rFonts w:cs="Arial"/>
          <w:sz w:val="16"/>
          <w:szCs w:val="16"/>
          <w:rtl/>
        </w:rPr>
        <w:t>(הל' שבת סי' ז</w:t>
      </w:r>
      <w:r>
        <w:rPr>
          <w:rFonts w:cs="Arial" w:hint="cs"/>
          <w:sz w:val="16"/>
          <w:szCs w:val="16"/>
          <w:rtl/>
        </w:rPr>
        <w:t>, כ"כ הריב"ש [שם] בשמו</w:t>
      </w:r>
      <w:r w:rsidRPr="00AF427A">
        <w:rPr>
          <w:rFonts w:cs="Arial"/>
          <w:sz w:val="16"/>
          <w:szCs w:val="16"/>
          <w:rtl/>
        </w:rPr>
        <w:t>)</w:t>
      </w:r>
      <w:r>
        <w:rPr>
          <w:rFonts w:cs="Arial" w:hint="cs"/>
          <w:rtl/>
        </w:rPr>
        <w:t xml:space="preserve">- </w:t>
      </w:r>
      <w:r w:rsidRPr="004964E4">
        <w:rPr>
          <w:rFonts w:cs="Arial"/>
          <w:rtl/>
        </w:rPr>
        <w:t>בשבת שאחר יום טוב אין אומרים אותה</w:t>
      </w:r>
      <w:r>
        <w:rPr>
          <w:rFonts w:cs="Arial" w:hint="cs"/>
          <w:rtl/>
        </w:rPr>
        <w:t>.</w:t>
      </w:r>
      <w:r w:rsidRPr="004964E4">
        <w:rPr>
          <w:rFonts w:cs="Arial"/>
          <w:rtl/>
        </w:rPr>
        <w:t xml:space="preserve"> </w:t>
      </w:r>
    </w:p>
    <w:p w14:paraId="4CD9FE6D" w14:textId="77777777" w:rsidR="004B2E7C" w:rsidRPr="00CA5F1E" w:rsidRDefault="004B2E7C" w:rsidP="00FF2D21">
      <w:pPr>
        <w:pStyle w:val="aa"/>
        <w:numPr>
          <w:ilvl w:val="0"/>
          <w:numId w:val="97"/>
        </w:numPr>
        <w:rPr>
          <w:rtl/>
        </w:rPr>
      </w:pPr>
      <w:r>
        <w:rPr>
          <w:rFonts w:cs="Arial" w:hint="cs"/>
          <w:rtl/>
        </w:rPr>
        <w:t>ספר המנהיג</w:t>
      </w:r>
      <w:r w:rsidRPr="00454C39">
        <w:rPr>
          <w:rFonts w:cs="Arial"/>
          <w:rtl/>
        </w:rPr>
        <w:t xml:space="preserve"> </w:t>
      </w:r>
      <w:r>
        <w:rPr>
          <w:rFonts w:cs="Arial"/>
          <w:rtl/>
        </w:rPr>
        <w:t>מרדכי</w:t>
      </w:r>
      <w:r>
        <w:rPr>
          <w:rStyle w:val="a9"/>
          <w:rFonts w:cs="Arial"/>
          <w:rtl/>
        </w:rPr>
        <w:footnoteReference w:id="837"/>
      </w:r>
      <w:r>
        <w:rPr>
          <w:rFonts w:cs="Arial"/>
          <w:rtl/>
        </w:rPr>
        <w:t xml:space="preserve"> </w:t>
      </w:r>
      <w:r>
        <w:rPr>
          <w:rFonts w:cs="Arial" w:hint="cs"/>
          <w:rtl/>
        </w:rPr>
        <w:t>ו</w:t>
      </w:r>
      <w:r w:rsidRPr="004964E4">
        <w:rPr>
          <w:rFonts w:cs="Arial"/>
          <w:rtl/>
        </w:rPr>
        <w:t>ריב"ש</w:t>
      </w:r>
      <w:r>
        <w:rPr>
          <w:rStyle w:val="a9"/>
          <w:rFonts w:cs="Arial"/>
          <w:rtl/>
        </w:rPr>
        <w:footnoteReference w:id="838"/>
      </w:r>
      <w:r>
        <w:rPr>
          <w:rFonts w:cs="Arial" w:hint="cs"/>
          <w:rtl/>
        </w:rPr>
        <w:t>-</w:t>
      </w:r>
      <w:r w:rsidRPr="00454C39">
        <w:rPr>
          <w:rFonts w:cs="Arial"/>
          <w:rtl/>
        </w:rPr>
        <w:t xml:space="preserve"> אפילו יום טוב שחל להיות ערב שבת אומרים ברכה אחת מעין שבע</w:t>
      </w:r>
      <w:r>
        <w:rPr>
          <w:rStyle w:val="a9"/>
          <w:rFonts w:cs="Arial"/>
          <w:rtl/>
        </w:rPr>
        <w:footnoteReference w:id="839"/>
      </w:r>
      <w:r w:rsidRPr="00454C39">
        <w:rPr>
          <w:rFonts w:hint="cs"/>
          <w:sz w:val="16"/>
          <w:szCs w:val="16"/>
          <w:rtl/>
        </w:rPr>
        <w:t xml:space="preserve"> (ל' הדרכ"מ בשם המרדכי)</w:t>
      </w:r>
      <w:r>
        <w:rPr>
          <w:rFonts w:hint="cs"/>
          <w:rtl/>
        </w:rPr>
        <w:t>.</w:t>
      </w:r>
      <w:r w:rsidRPr="00454C39">
        <w:rPr>
          <w:rFonts w:hint="cs"/>
          <w:color w:val="E36C0A" w:themeColor="accent6" w:themeShade="BF"/>
          <w:rtl/>
        </w:rPr>
        <w:t xml:space="preserve"> (וכ"פ בשו"ע)</w:t>
      </w:r>
    </w:p>
    <w:p w14:paraId="62028B04"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69BF61E" w14:textId="77777777" w:rsidR="004B2E7C" w:rsidRDefault="004B2E7C" w:rsidP="00434A6A">
      <w:pPr>
        <w:rPr>
          <w:rFonts w:asciiTheme="minorBidi" w:hAnsiTheme="minorBidi"/>
          <w:rtl/>
        </w:rPr>
      </w:pPr>
      <w:r w:rsidRPr="00CC2350">
        <w:rPr>
          <w:rFonts w:asciiTheme="minorBidi" w:hAnsiTheme="minorBidi" w:cs="Arial"/>
          <w:rtl/>
        </w:rPr>
        <w:t xml:space="preserve">אף בשבת שאחר יום טוב אומרים ברכה מעין שבע. </w:t>
      </w:r>
    </w:p>
    <w:p w14:paraId="783D9252" w14:textId="77777777" w:rsidR="004B2E7C" w:rsidRPr="00CC2350" w:rsidRDefault="004B2E7C" w:rsidP="00434A6A">
      <w:pPr>
        <w:rPr>
          <w:rFonts w:asciiTheme="minorBidi" w:hAnsiTheme="minorBidi"/>
          <w:rtl/>
        </w:rPr>
      </w:pPr>
    </w:p>
    <w:p w14:paraId="6D23412F" w14:textId="77777777" w:rsidR="004B2E7C" w:rsidRDefault="004B2E7C" w:rsidP="00434A6A">
      <w:pPr>
        <w:pStyle w:val="2"/>
        <w:rPr>
          <w:rtl/>
        </w:rPr>
      </w:pPr>
      <w:r w:rsidRPr="00CC2350">
        <w:rPr>
          <w:rtl/>
        </w:rPr>
        <w:t>סעיף יב</w:t>
      </w:r>
      <w:r>
        <w:rPr>
          <w:rFonts w:hint="cs"/>
          <w:rtl/>
        </w:rPr>
        <w:t>: דיבור בזמן אמירת ויכלו וברכה מעין שבע.</w:t>
      </w:r>
    </w:p>
    <w:p w14:paraId="7C888967" w14:textId="77777777" w:rsidR="004B2E7C" w:rsidRPr="000A7599" w:rsidRDefault="004B2E7C" w:rsidP="00434A6A">
      <w:pPr>
        <w:rPr>
          <w:u w:val="single"/>
          <w:rtl/>
        </w:rPr>
      </w:pPr>
      <w:r w:rsidRPr="000A7599">
        <w:rPr>
          <w:rFonts w:hint="cs"/>
          <w:u w:val="single"/>
          <w:rtl/>
        </w:rPr>
        <w:t>דיבור בזמן אמירת ויכלו וברכה מעין שבע:</w:t>
      </w:r>
    </w:p>
    <w:p w14:paraId="1D0C32D3" w14:textId="77777777" w:rsidR="004B2E7C" w:rsidRPr="00AD037B" w:rsidRDefault="004B2E7C" w:rsidP="00FF2D21">
      <w:pPr>
        <w:pStyle w:val="aa"/>
        <w:numPr>
          <w:ilvl w:val="0"/>
          <w:numId w:val="97"/>
        </w:numPr>
        <w:rPr>
          <w:rtl/>
        </w:rPr>
      </w:pPr>
      <w:r w:rsidRPr="00CA5F1E">
        <w:rPr>
          <w:rFonts w:cs="Arial"/>
          <w:rtl/>
        </w:rPr>
        <w:t>ספר חסידים</w:t>
      </w:r>
      <w:r>
        <w:rPr>
          <w:rFonts w:cs="Arial" w:hint="cs"/>
          <w:rtl/>
        </w:rPr>
        <w:t xml:space="preserve"> </w:t>
      </w:r>
      <w:r>
        <w:rPr>
          <w:rFonts w:cs="Arial" w:hint="cs"/>
          <w:sz w:val="16"/>
          <w:szCs w:val="16"/>
          <w:rtl/>
        </w:rPr>
        <w:t>(סי' נח, הביאו הטור)</w:t>
      </w:r>
      <w:r w:rsidRPr="00CA5F1E">
        <w:rPr>
          <w:rFonts w:cs="Arial"/>
          <w:rtl/>
        </w:rPr>
        <w:t xml:space="preserve"> </w:t>
      </w:r>
      <w:r>
        <w:rPr>
          <w:rFonts w:cs="Arial" w:hint="cs"/>
          <w:rtl/>
        </w:rPr>
        <w:t>וטור</w:t>
      </w:r>
      <w:r>
        <w:rPr>
          <w:rStyle w:val="a9"/>
          <w:rFonts w:cs="Arial"/>
          <w:rtl/>
        </w:rPr>
        <w:footnoteReference w:id="840"/>
      </w:r>
      <w:r>
        <w:rPr>
          <w:rFonts w:cs="Arial" w:hint="cs"/>
          <w:rtl/>
        </w:rPr>
        <w:t xml:space="preserve">- </w:t>
      </w:r>
      <w:r w:rsidRPr="000A7599">
        <w:rPr>
          <w:rFonts w:cs="Arial"/>
          <w:rtl/>
        </w:rPr>
        <w:t>מעשה שראה אחד בחלום מת צדיק שנפטר ופניו ירוקות אמר לו מפני מה פניך ירוקות, אמר לו משום שהיו צפורני גדולים וחלב נכנס בתוכם והייתי אוכל דבר חם בלא ניקור צפרניים והייתי מדבר בין ויכולו לברכת אבות וקדיש</w:t>
      </w:r>
      <w:r>
        <w:rPr>
          <w:rFonts w:cs="Arial" w:hint="cs"/>
          <w:sz w:val="16"/>
          <w:szCs w:val="16"/>
          <w:rtl/>
        </w:rPr>
        <w:t xml:space="preserve"> (ל' ספר חסידים)</w:t>
      </w:r>
      <w:r>
        <w:rPr>
          <w:rFonts w:cs="Arial" w:hint="cs"/>
          <w:rtl/>
        </w:rPr>
        <w:t xml:space="preserve">. </w:t>
      </w:r>
      <w:r w:rsidRPr="000A7599">
        <w:rPr>
          <w:rFonts w:hint="cs"/>
          <w:color w:val="E36C0A" w:themeColor="accent6" w:themeShade="BF"/>
          <w:rtl/>
        </w:rPr>
        <w:t>(וכ"פ בשו"ע)</w:t>
      </w:r>
    </w:p>
    <w:p w14:paraId="78068C9C"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E4D3336" w14:textId="77777777" w:rsidR="004B2E7C" w:rsidRDefault="004B2E7C" w:rsidP="00434A6A">
      <w:pPr>
        <w:rPr>
          <w:rFonts w:asciiTheme="minorBidi" w:hAnsiTheme="minorBidi"/>
          <w:rtl/>
        </w:rPr>
      </w:pPr>
      <w:r w:rsidRPr="00CC2350">
        <w:rPr>
          <w:rFonts w:asciiTheme="minorBidi" w:hAnsiTheme="minorBidi" w:cs="Arial"/>
          <w:rtl/>
        </w:rPr>
        <w:t>אין לדבר בשעה שאומרים ויכלו, ולא בשעה שאומר ש</w:t>
      </w:r>
      <w:r>
        <w:rPr>
          <w:rFonts w:asciiTheme="minorBidi" w:hAnsiTheme="minorBidi" w:cs="Arial" w:hint="cs"/>
          <w:rtl/>
        </w:rPr>
        <w:t xml:space="preserve">ליח </w:t>
      </w:r>
      <w:r w:rsidRPr="00CC2350">
        <w:rPr>
          <w:rFonts w:asciiTheme="minorBidi" w:hAnsiTheme="minorBidi" w:cs="Arial"/>
          <w:rtl/>
        </w:rPr>
        <w:t>צ</w:t>
      </w:r>
      <w:r>
        <w:rPr>
          <w:rFonts w:asciiTheme="minorBidi" w:hAnsiTheme="minorBidi" w:cs="Arial" w:hint="cs"/>
          <w:rtl/>
        </w:rPr>
        <w:t>יבור</w:t>
      </w:r>
      <w:r w:rsidRPr="00CC2350">
        <w:rPr>
          <w:rFonts w:asciiTheme="minorBidi" w:hAnsiTheme="minorBidi" w:cs="Arial"/>
          <w:rtl/>
        </w:rPr>
        <w:t xml:space="preserve"> ברכה מעין שבע. </w:t>
      </w:r>
    </w:p>
    <w:p w14:paraId="62B25FE1" w14:textId="77777777" w:rsidR="004B2E7C" w:rsidRPr="00CC2350" w:rsidRDefault="004B2E7C" w:rsidP="00434A6A">
      <w:pPr>
        <w:rPr>
          <w:rFonts w:asciiTheme="minorBidi" w:hAnsiTheme="minorBidi"/>
          <w:rtl/>
        </w:rPr>
      </w:pPr>
    </w:p>
    <w:p w14:paraId="70151C98" w14:textId="77777777" w:rsidR="004B2E7C" w:rsidRDefault="004B2E7C" w:rsidP="00434A6A">
      <w:pPr>
        <w:pStyle w:val="2"/>
        <w:rPr>
          <w:rtl/>
        </w:rPr>
      </w:pPr>
      <w:r w:rsidRPr="00CC2350">
        <w:rPr>
          <w:rtl/>
        </w:rPr>
        <w:t>סעיף יג</w:t>
      </w:r>
      <w:r>
        <w:rPr>
          <w:rFonts w:hint="cs"/>
          <w:rtl/>
        </w:rPr>
        <w:t>: יציאת ידי חובה תפילה משמיעת ברכה מעין שבע של הש"ץ.</w:t>
      </w:r>
    </w:p>
    <w:p w14:paraId="74F6D599" w14:textId="77777777" w:rsidR="004B2E7C" w:rsidRPr="00851026" w:rsidRDefault="004B2E7C" w:rsidP="00434A6A">
      <w:pPr>
        <w:rPr>
          <w:u w:val="single"/>
          <w:rtl/>
        </w:rPr>
      </w:pPr>
      <w:r w:rsidRPr="00851026">
        <w:rPr>
          <w:rFonts w:hint="cs"/>
          <w:u w:val="single"/>
          <w:rtl/>
        </w:rPr>
        <w:t>יציאת ידי חובה תפילה משמיעת ברכה מעין שבע של הש"ץ:</w:t>
      </w:r>
    </w:p>
    <w:p w14:paraId="3C6D3B74" w14:textId="77777777" w:rsidR="004B2E7C" w:rsidRPr="00851026" w:rsidRDefault="004B2E7C" w:rsidP="00FF2D21">
      <w:pPr>
        <w:pStyle w:val="aa"/>
        <w:numPr>
          <w:ilvl w:val="0"/>
          <w:numId w:val="97"/>
        </w:numPr>
      </w:pPr>
      <w:r w:rsidRPr="00CA5F1E">
        <w:rPr>
          <w:rFonts w:cs="Arial"/>
          <w:rtl/>
        </w:rPr>
        <w:t>רב עמרם</w:t>
      </w:r>
      <w:r>
        <w:rPr>
          <w:rStyle w:val="a9"/>
          <w:rFonts w:cs="Arial"/>
          <w:rtl/>
        </w:rPr>
        <w:footnoteReference w:id="841"/>
      </w:r>
      <w:r w:rsidRPr="0010093D">
        <w:rPr>
          <w:rFonts w:cs="Arial"/>
          <w:rtl/>
        </w:rPr>
        <w:t xml:space="preserve"> </w:t>
      </w:r>
      <w:r>
        <w:rPr>
          <w:rFonts w:cs="Arial" w:hint="cs"/>
          <w:sz w:val="16"/>
          <w:szCs w:val="16"/>
          <w:rtl/>
        </w:rPr>
        <w:t xml:space="preserve">(כ"כ הטור בשמו) </w:t>
      </w:r>
      <w:r>
        <w:rPr>
          <w:rFonts w:cs="Arial" w:hint="cs"/>
          <w:rtl/>
        </w:rPr>
        <w:t>ו</w:t>
      </w:r>
      <w:r w:rsidRPr="00AD037B">
        <w:rPr>
          <w:rFonts w:cs="Arial"/>
          <w:rtl/>
        </w:rPr>
        <w:t>אבודרהם</w:t>
      </w:r>
      <w:r w:rsidRPr="0010093D">
        <w:rPr>
          <w:rFonts w:cs="Arial"/>
          <w:sz w:val="16"/>
          <w:szCs w:val="16"/>
          <w:rtl/>
        </w:rPr>
        <w:t xml:space="preserve"> (סדר מעריב של שבת ופירושה, ע' קמט</w:t>
      </w:r>
      <w:r w:rsidRPr="0010093D">
        <w:rPr>
          <w:rFonts w:cs="Arial" w:hint="cs"/>
          <w:sz w:val="16"/>
          <w:szCs w:val="16"/>
          <w:rtl/>
        </w:rPr>
        <w:t>, כ"כ בשמו הדרכ"מ [אות ד]</w:t>
      </w:r>
      <w:r w:rsidRPr="0010093D">
        <w:rPr>
          <w:rFonts w:cs="Arial"/>
          <w:sz w:val="16"/>
          <w:szCs w:val="16"/>
          <w:rtl/>
        </w:rPr>
        <w:t>)</w:t>
      </w:r>
      <w:r>
        <w:rPr>
          <w:rFonts w:cs="Arial" w:hint="cs"/>
          <w:rtl/>
        </w:rPr>
        <w:t>-</w:t>
      </w:r>
      <w:r w:rsidRPr="00CA5F1E">
        <w:rPr>
          <w:rFonts w:cs="Arial"/>
          <w:rtl/>
        </w:rPr>
        <w:t xml:space="preserve"> טעה ולא הזכיר של שבת בערבית מחזירין אותו</w:t>
      </w:r>
      <w:r>
        <w:rPr>
          <w:rFonts w:cs="Arial" w:hint="cs"/>
          <w:sz w:val="16"/>
          <w:szCs w:val="16"/>
          <w:rtl/>
        </w:rPr>
        <w:t xml:space="preserve"> (ל' הטור בשם רב עמרם)</w:t>
      </w:r>
      <w:r>
        <w:rPr>
          <w:rFonts w:cs="Arial" w:hint="cs"/>
          <w:rtl/>
        </w:rPr>
        <w:t>,</w:t>
      </w:r>
      <w:r w:rsidRPr="00CA5F1E">
        <w:rPr>
          <w:rFonts w:cs="Arial"/>
          <w:rtl/>
        </w:rPr>
        <w:t xml:space="preserve"> </w:t>
      </w:r>
      <w:r w:rsidRPr="00AD037B">
        <w:rPr>
          <w:rFonts w:cs="Arial"/>
          <w:rtl/>
        </w:rPr>
        <w:t>דאינו יוצא בברכה אחת מעין שבע</w:t>
      </w:r>
      <w:r>
        <w:rPr>
          <w:rFonts w:hint="cs"/>
          <w:sz w:val="16"/>
          <w:szCs w:val="16"/>
          <w:rtl/>
        </w:rPr>
        <w:t xml:space="preserve"> (ל' הדרכ"מ בשם האבודרהם)</w:t>
      </w:r>
      <w:r>
        <w:rPr>
          <w:rFonts w:hint="cs"/>
          <w:rtl/>
        </w:rPr>
        <w:t>.</w:t>
      </w:r>
    </w:p>
    <w:p w14:paraId="458EA822" w14:textId="77777777" w:rsidR="004B2E7C" w:rsidRPr="00851026" w:rsidRDefault="004B2E7C" w:rsidP="00FF2D21">
      <w:pPr>
        <w:pStyle w:val="aa"/>
        <w:numPr>
          <w:ilvl w:val="0"/>
          <w:numId w:val="97"/>
        </w:numPr>
      </w:pPr>
      <w:r w:rsidRPr="00CA5F1E">
        <w:rPr>
          <w:rFonts w:cs="Arial"/>
          <w:rtl/>
        </w:rPr>
        <w:t>רב משה גאון</w:t>
      </w:r>
      <w:r>
        <w:rPr>
          <w:rFonts w:cs="Arial" w:hint="cs"/>
          <w:rtl/>
        </w:rPr>
        <w:t>-</w:t>
      </w:r>
      <w:r w:rsidRPr="00CA5F1E">
        <w:rPr>
          <w:rFonts w:cs="Arial"/>
          <w:rtl/>
        </w:rPr>
        <w:t xml:space="preserve"> יחיד שטעה ולא הזכיר אתה קדשת בליל שבת</w:t>
      </w:r>
      <w:r>
        <w:rPr>
          <w:rFonts w:cs="Arial" w:hint="cs"/>
          <w:rtl/>
        </w:rPr>
        <w:t>,</w:t>
      </w:r>
      <w:r w:rsidRPr="00CA5F1E">
        <w:rPr>
          <w:rFonts w:cs="Arial"/>
          <w:rtl/>
        </w:rPr>
        <w:t xml:space="preserve"> אם שמע מש"ץ מגן אבות בדברו שהיא ברכת מעין שבע מראש ועד סוף </w:t>
      </w:r>
      <w:r>
        <w:rPr>
          <w:rFonts w:cs="Arial" w:hint="cs"/>
          <w:rtl/>
        </w:rPr>
        <w:t xml:space="preserve">- </w:t>
      </w:r>
      <w:r w:rsidRPr="00CA5F1E">
        <w:rPr>
          <w:rFonts w:cs="Arial"/>
          <w:rtl/>
        </w:rPr>
        <w:t>יצא ידי חובתו</w:t>
      </w:r>
      <w:r>
        <w:rPr>
          <w:rFonts w:cs="Arial" w:hint="cs"/>
          <w:rtl/>
        </w:rPr>
        <w:t>.</w:t>
      </w:r>
      <w:r w:rsidRPr="00797AD8">
        <w:rPr>
          <w:rFonts w:hint="cs"/>
          <w:color w:val="E36C0A" w:themeColor="accent6" w:themeShade="BF"/>
          <w:rtl/>
        </w:rPr>
        <w:t xml:space="preserve"> </w:t>
      </w:r>
      <w:r w:rsidRPr="00990CAF">
        <w:rPr>
          <w:rFonts w:hint="cs"/>
          <w:color w:val="E36C0A" w:themeColor="accent6" w:themeShade="BF"/>
          <w:rtl/>
        </w:rPr>
        <w:t>(וכ"פ בשו"ע)</w:t>
      </w:r>
    </w:p>
    <w:p w14:paraId="0CD4F5C6" w14:textId="77777777" w:rsidR="004B2E7C" w:rsidRPr="00CA5F1E" w:rsidRDefault="004B2E7C" w:rsidP="00FF2D21">
      <w:pPr>
        <w:pStyle w:val="aa"/>
        <w:numPr>
          <w:ilvl w:val="0"/>
          <w:numId w:val="97"/>
        </w:numPr>
        <w:rPr>
          <w:rtl/>
        </w:rPr>
      </w:pPr>
      <w:r w:rsidRPr="00CA5F1E">
        <w:rPr>
          <w:rFonts w:cs="Arial"/>
          <w:rtl/>
        </w:rPr>
        <w:t>רב נטרונאי</w:t>
      </w:r>
      <w:r>
        <w:rPr>
          <w:rFonts w:cs="Arial" w:hint="cs"/>
          <w:rtl/>
        </w:rPr>
        <w:t xml:space="preserve"> </w:t>
      </w:r>
      <w:r w:rsidRPr="00EE77B0">
        <w:rPr>
          <w:rFonts w:cs="Arial" w:hint="cs"/>
          <w:sz w:val="16"/>
          <w:szCs w:val="16"/>
          <w:rtl/>
        </w:rPr>
        <w:t>(</w:t>
      </w:r>
      <w:r>
        <w:rPr>
          <w:rFonts w:cs="Arial" w:hint="cs"/>
          <w:sz w:val="16"/>
          <w:szCs w:val="16"/>
          <w:rtl/>
        </w:rPr>
        <w:t>כ"כ הטור בשמו, וכ"כ בהג"ה על המרדכי [</w:t>
      </w:r>
      <w:r w:rsidRPr="00EE77B0">
        <w:rPr>
          <w:rFonts w:cs="Arial" w:hint="cs"/>
          <w:sz w:val="16"/>
          <w:szCs w:val="16"/>
          <w:rtl/>
        </w:rPr>
        <w:t>שבת סי' רפד</w:t>
      </w:r>
      <w:r>
        <w:rPr>
          <w:rFonts w:cs="Arial" w:hint="cs"/>
          <w:sz w:val="16"/>
          <w:szCs w:val="16"/>
          <w:rtl/>
        </w:rPr>
        <w:t>]</w:t>
      </w:r>
      <w:r w:rsidRPr="00EE77B0">
        <w:rPr>
          <w:rFonts w:cs="Arial" w:hint="cs"/>
          <w:sz w:val="16"/>
          <w:szCs w:val="16"/>
          <w:rtl/>
        </w:rPr>
        <w:t>)</w:t>
      </w:r>
      <w:r>
        <w:rPr>
          <w:rFonts w:cs="Arial" w:hint="cs"/>
          <w:rtl/>
        </w:rPr>
        <w:t xml:space="preserve">- </w:t>
      </w:r>
      <w:r w:rsidRPr="00CA5F1E">
        <w:rPr>
          <w:rFonts w:cs="Arial"/>
          <w:rtl/>
        </w:rPr>
        <w:t>אפי' לא התפלל ז' ברכות כלל ושמע מפי ש"ץ מגן אבות מראש ועד סוף יצא י"ח</w:t>
      </w:r>
      <w:r>
        <w:rPr>
          <w:rStyle w:val="a9"/>
          <w:rFonts w:cs="Arial"/>
          <w:rtl/>
        </w:rPr>
        <w:footnoteReference w:id="842"/>
      </w:r>
      <w:r>
        <w:rPr>
          <w:rFonts w:cs="Arial" w:hint="cs"/>
          <w:rtl/>
        </w:rPr>
        <w:t>.</w:t>
      </w:r>
      <w:r w:rsidRPr="00797AD8">
        <w:rPr>
          <w:rFonts w:hint="cs"/>
          <w:color w:val="E36C0A" w:themeColor="accent6" w:themeShade="BF"/>
          <w:rtl/>
        </w:rPr>
        <w:t xml:space="preserve"> </w:t>
      </w:r>
      <w:r w:rsidRPr="00990CAF">
        <w:rPr>
          <w:rFonts w:hint="cs"/>
          <w:color w:val="E36C0A" w:themeColor="accent6" w:themeShade="BF"/>
          <w:rtl/>
        </w:rPr>
        <w:t>(וכ"פ בשו"ע)</w:t>
      </w:r>
    </w:p>
    <w:p w14:paraId="60E5631A"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B17C2CC" w14:textId="77777777" w:rsidR="004B2E7C" w:rsidRPr="00BD53CF" w:rsidRDefault="004B2E7C" w:rsidP="00434A6A">
      <w:pPr>
        <w:rPr>
          <w:rFonts w:asciiTheme="minorBidi" w:hAnsiTheme="minorBidi"/>
          <w:rtl/>
        </w:rPr>
        <w:sectPr w:rsidR="004B2E7C" w:rsidRPr="00BD53CF" w:rsidSect="00BD29B1">
          <w:headerReference w:type="default" r:id="rId39"/>
          <w:footnotePr>
            <w:numRestart w:val="eachSect"/>
          </w:footnotePr>
          <w:pgSz w:w="11906" w:h="16838"/>
          <w:pgMar w:top="720" w:right="1134" w:bottom="720" w:left="1134" w:header="0" w:footer="0" w:gutter="0"/>
          <w:cols w:space="720"/>
          <w:bidi/>
          <w:rtlGutter/>
          <w:docGrid w:linePitch="360"/>
        </w:sectPr>
      </w:pPr>
      <w:r w:rsidRPr="00CC2350">
        <w:rPr>
          <w:rFonts w:asciiTheme="minorBidi" w:hAnsiTheme="minorBidi" w:cs="Arial"/>
          <w:rtl/>
        </w:rPr>
        <w:t>אם התפלל של חול ולא הזכיר של שבת, או שלא התפלל כלל ושמע מש</w:t>
      </w:r>
      <w:r>
        <w:rPr>
          <w:rFonts w:asciiTheme="minorBidi" w:hAnsiTheme="minorBidi" w:cs="Arial" w:hint="cs"/>
          <w:rtl/>
        </w:rPr>
        <w:t xml:space="preserve">ליח </w:t>
      </w:r>
      <w:r w:rsidRPr="00CC2350">
        <w:rPr>
          <w:rFonts w:asciiTheme="minorBidi" w:hAnsiTheme="minorBidi" w:cs="Arial"/>
          <w:rtl/>
        </w:rPr>
        <w:t>צ</w:t>
      </w:r>
      <w:r>
        <w:rPr>
          <w:rFonts w:asciiTheme="minorBidi" w:hAnsiTheme="minorBidi" w:cs="Arial" w:hint="cs"/>
          <w:rtl/>
        </w:rPr>
        <w:t>יבור</w:t>
      </w:r>
      <w:r w:rsidRPr="00CC2350">
        <w:rPr>
          <w:rFonts w:asciiTheme="minorBidi" w:hAnsiTheme="minorBidi" w:cs="Arial"/>
          <w:rtl/>
        </w:rPr>
        <w:t xml:space="preserve"> ברכה מעין שבע מראש ועד סוף, יצא.</w:t>
      </w:r>
    </w:p>
    <w:p w14:paraId="3998EA98" w14:textId="77777777" w:rsidR="004B2E7C" w:rsidRPr="00CC2350" w:rsidRDefault="004B2E7C" w:rsidP="00434A6A">
      <w:pPr>
        <w:pStyle w:val="1"/>
        <w:rPr>
          <w:rtl/>
        </w:rPr>
      </w:pPr>
      <w:r>
        <w:rPr>
          <w:rFonts w:hint="cs"/>
          <w:rtl/>
        </w:rPr>
        <w:t xml:space="preserve">סימן רסט: </w:t>
      </w:r>
      <w:r w:rsidRPr="00CC2350">
        <w:rPr>
          <w:rtl/>
        </w:rPr>
        <w:t xml:space="preserve">דין הקידוש בבית הכנסת, ובו סעיף אחד. </w:t>
      </w:r>
    </w:p>
    <w:p w14:paraId="3A6CA4EF" w14:textId="77777777" w:rsidR="004B2E7C" w:rsidRDefault="004B2E7C" w:rsidP="00434A6A">
      <w:pPr>
        <w:pStyle w:val="2"/>
        <w:rPr>
          <w:rtl/>
        </w:rPr>
      </w:pPr>
      <w:r w:rsidRPr="00CC2350">
        <w:rPr>
          <w:rtl/>
        </w:rPr>
        <w:t>סעיף א</w:t>
      </w:r>
    </w:p>
    <w:p w14:paraId="750024E3" w14:textId="77777777" w:rsidR="004B2E7C" w:rsidRDefault="004B2E7C" w:rsidP="00434A6A">
      <w:pPr>
        <w:rPr>
          <w:rtl/>
        </w:rPr>
      </w:pPr>
      <w:r>
        <w:rPr>
          <w:rFonts w:cs="Arial" w:hint="cs"/>
          <w:b/>
          <w:bCs/>
          <w:rtl/>
        </w:rPr>
        <w:t xml:space="preserve">פסחים </w:t>
      </w:r>
      <w:r>
        <w:rPr>
          <w:rFonts w:cs="Arial" w:hint="cs"/>
          <w:b/>
          <w:bCs/>
          <w:sz w:val="16"/>
          <w:szCs w:val="16"/>
          <w:rtl/>
        </w:rPr>
        <w:t>(פ' ערבי פסחים)</w:t>
      </w:r>
      <w:r>
        <w:rPr>
          <w:rFonts w:cs="Arial" w:hint="cs"/>
          <w:b/>
          <w:bCs/>
          <w:rtl/>
        </w:rPr>
        <w:t xml:space="preserve"> קא ע"א: </w:t>
      </w:r>
      <w:r w:rsidRPr="00881B86">
        <w:rPr>
          <w:rFonts w:cs="Arial"/>
          <w:rtl/>
        </w:rPr>
        <w:t xml:space="preserve">אותם בני אדם שקידשו בבית הכנסת. </w:t>
      </w:r>
      <w:r w:rsidRPr="00881B86">
        <w:rPr>
          <w:rFonts w:cs="Arial"/>
          <w:u w:val="single"/>
          <w:rtl/>
        </w:rPr>
        <w:t>אמר רב</w:t>
      </w:r>
      <w:r w:rsidRPr="00881B86">
        <w:rPr>
          <w:rFonts w:cs="Arial"/>
          <w:rtl/>
        </w:rPr>
        <w:t xml:space="preserve">: ידי יין - לא יצאו, ידי קידוש - יצאו. </w:t>
      </w:r>
      <w:r w:rsidRPr="00881B86">
        <w:rPr>
          <w:rFonts w:cs="Arial"/>
          <w:u w:val="single"/>
          <w:rtl/>
        </w:rPr>
        <w:t>ושמואל אמר</w:t>
      </w:r>
      <w:r w:rsidRPr="00881B86">
        <w:rPr>
          <w:rFonts w:cs="Arial"/>
          <w:rtl/>
        </w:rPr>
        <w:t xml:space="preserve">: אף ידי קידוש לא יצאו. אלא לרב, למה ליה לקדושי בביתיה? כדי להוציא בניו ובני ביתו. ושמואל, למה לי לקדושי בבי כנישתא? לאפוקי אורחים ידי חובתן, דאכלו ושתו וגנו בבי כנישתא. ואזדא שמואל לטעמיה, </w:t>
      </w:r>
      <w:r w:rsidRPr="004158C4">
        <w:rPr>
          <w:rFonts w:cs="Arial"/>
          <w:u w:val="single"/>
          <w:rtl/>
        </w:rPr>
        <w:t>דאמר שמואל</w:t>
      </w:r>
      <w:r w:rsidRPr="00881B86">
        <w:rPr>
          <w:rFonts w:cs="Arial"/>
          <w:rtl/>
        </w:rPr>
        <w:t>: אין קידוש אלא במקום סעודה.</w:t>
      </w:r>
      <w:r>
        <w:rPr>
          <w:rFonts w:hint="cs"/>
          <w:rtl/>
        </w:rPr>
        <w:t xml:space="preserve"> </w:t>
      </w:r>
      <w:r w:rsidRPr="004158C4">
        <w:rPr>
          <w:rFonts w:hint="cs"/>
          <w:sz w:val="16"/>
          <w:szCs w:val="16"/>
          <w:rtl/>
        </w:rPr>
        <w:t>(</w:t>
      </w:r>
      <w:r w:rsidRPr="004158C4">
        <w:rPr>
          <w:rFonts w:cs="Arial"/>
          <w:sz w:val="16"/>
          <w:szCs w:val="16"/>
          <w:rtl/>
        </w:rPr>
        <w:t>ונראה דהלכה כשמואל דאמר אין קידוש אלא במקום סעודה</w:t>
      </w:r>
      <w:r>
        <w:rPr>
          <w:rFonts w:cs="Arial" w:hint="cs"/>
          <w:sz w:val="16"/>
          <w:szCs w:val="16"/>
          <w:rtl/>
        </w:rPr>
        <w:t>,</w:t>
      </w:r>
      <w:r w:rsidRPr="004158C4">
        <w:rPr>
          <w:rFonts w:cs="Arial"/>
          <w:sz w:val="16"/>
          <w:szCs w:val="16"/>
          <w:rtl/>
        </w:rPr>
        <w:t xml:space="preserve"> ואע</w:t>
      </w:r>
      <w:r>
        <w:rPr>
          <w:rFonts w:cs="Arial" w:hint="cs"/>
          <w:sz w:val="16"/>
          <w:szCs w:val="16"/>
          <w:rtl/>
        </w:rPr>
        <w:t>"</w:t>
      </w:r>
      <w:r w:rsidRPr="004158C4">
        <w:rPr>
          <w:rFonts w:cs="Arial"/>
          <w:sz w:val="16"/>
          <w:szCs w:val="16"/>
          <w:rtl/>
        </w:rPr>
        <w:t>ג דבעלמא הלכה כרב באיסורי וגם ר' יוחנן סבר לקמן כרב הכא הלכה כשמואל דרב הונא ורבה ואביי כולהו סברי בסמוך אין קידוש אלא במקום סעודה</w:t>
      </w:r>
      <w:r>
        <w:rPr>
          <w:rFonts w:cs="Arial" w:hint="cs"/>
          <w:sz w:val="16"/>
          <w:szCs w:val="16"/>
          <w:rtl/>
        </w:rPr>
        <w:t>,</w:t>
      </w:r>
      <w:r w:rsidRPr="004158C4">
        <w:rPr>
          <w:rFonts w:cs="Arial"/>
          <w:sz w:val="16"/>
          <w:szCs w:val="16"/>
          <w:rtl/>
        </w:rPr>
        <w:t xml:space="preserve"> וכן פסק במגילת סתרים</w:t>
      </w:r>
      <w:r w:rsidRPr="004158C4">
        <w:rPr>
          <w:rFonts w:cs="Arial" w:hint="cs"/>
          <w:sz w:val="16"/>
          <w:szCs w:val="16"/>
          <w:rtl/>
        </w:rPr>
        <w:t>, תוס' [שם ד"ה ידי קידוש])</w:t>
      </w:r>
    </w:p>
    <w:p w14:paraId="2193FDEC" w14:textId="77777777" w:rsidR="004B2E7C" w:rsidRPr="00881B86" w:rsidRDefault="004B2E7C" w:rsidP="00434A6A">
      <w:pPr>
        <w:rPr>
          <w:rtl/>
        </w:rPr>
      </w:pPr>
      <w:r w:rsidRPr="004158C4">
        <w:rPr>
          <w:rFonts w:cs="Arial" w:hint="cs"/>
          <w:b/>
          <w:bCs/>
          <w:rtl/>
        </w:rPr>
        <w:t xml:space="preserve">ברכות </w:t>
      </w:r>
      <w:r>
        <w:rPr>
          <w:rFonts w:cs="Arial" w:hint="cs"/>
          <w:b/>
          <w:bCs/>
          <w:sz w:val="16"/>
          <w:szCs w:val="16"/>
          <w:rtl/>
        </w:rPr>
        <w:t xml:space="preserve">(פ' כיצד מברכין) </w:t>
      </w:r>
      <w:r w:rsidRPr="004158C4">
        <w:rPr>
          <w:rFonts w:cs="Arial" w:hint="cs"/>
          <w:b/>
          <w:bCs/>
          <w:rtl/>
        </w:rPr>
        <w:t xml:space="preserve">מג ע"ב: </w:t>
      </w:r>
      <w:r w:rsidRPr="004158C4">
        <w:rPr>
          <w:rFonts w:cs="Arial"/>
          <w:rtl/>
        </w:rPr>
        <w:t>תנו רבנן: ששה דברים גנאי לו לתלמיד חכם</w:t>
      </w:r>
      <w:r>
        <w:rPr>
          <w:rFonts w:cs="Arial" w:hint="cs"/>
          <w:rtl/>
        </w:rPr>
        <w:t>...</w:t>
      </w:r>
      <w:r w:rsidRPr="004158C4">
        <w:rPr>
          <w:rFonts w:cs="Arial"/>
          <w:rtl/>
        </w:rPr>
        <w:t xml:space="preserve"> ויש אומרים: אף לא יפסיע פסיעה גסה</w:t>
      </w:r>
      <w:r>
        <w:rPr>
          <w:rFonts w:cs="Arial" w:hint="cs"/>
          <w:rtl/>
        </w:rPr>
        <w:t>.</w:t>
      </w:r>
      <w:r w:rsidRPr="004158C4">
        <w:rPr>
          <w:rFonts w:cs="Arial"/>
          <w:rtl/>
        </w:rPr>
        <w:t xml:space="preserve"> דאמר מר: פסיעה גסה נוטלת אחד מחמש מאות ממאור עיניו של אדם. מאי תקנתיה? להדריה בקדושא דבי שמשי.</w:t>
      </w:r>
      <w:r w:rsidRPr="0038124D">
        <w:rPr>
          <w:rFonts w:cs="Arial"/>
          <w:rtl/>
        </w:rPr>
        <w:t xml:space="preserve"> </w:t>
      </w:r>
      <w:r w:rsidRPr="0038124D">
        <w:rPr>
          <w:rFonts w:cs="Arial" w:hint="cs"/>
          <w:sz w:val="16"/>
          <w:szCs w:val="16"/>
          <w:rtl/>
        </w:rPr>
        <w:t>(</w:t>
      </w:r>
      <w:r w:rsidRPr="0038124D">
        <w:rPr>
          <w:rFonts w:cs="Arial"/>
          <w:sz w:val="16"/>
          <w:szCs w:val="16"/>
          <w:rtl/>
        </w:rPr>
        <w:t>ופירש שם ה"ר יונה (לא: ד"ה מאי) יחזיר אותו בזכות שיהיה רגיל בקידוש, אבל לא שיתן את היין בתוך עינו דהא אמרינן במסכת שבת (קח:) שאפילו על גבי העין אסור מפני שהוא דרך רפואה עכ"ל. ותמהני</w:t>
      </w:r>
      <w:r>
        <w:rPr>
          <w:rFonts w:cs="Arial" w:hint="cs"/>
          <w:sz w:val="16"/>
          <w:szCs w:val="16"/>
          <w:rtl/>
        </w:rPr>
        <w:t>,</w:t>
      </w:r>
      <w:r w:rsidRPr="0038124D">
        <w:rPr>
          <w:rFonts w:cs="Arial"/>
          <w:sz w:val="16"/>
          <w:szCs w:val="16"/>
          <w:rtl/>
        </w:rPr>
        <w:t xml:space="preserve"> דהא בהדיא אמרינן בפרק שמונה שרצים (שם) תוך העין אסור על גבי העין מותר</w:t>
      </w:r>
      <w:r>
        <w:rPr>
          <w:rFonts w:cs="Arial" w:hint="cs"/>
          <w:sz w:val="16"/>
          <w:szCs w:val="16"/>
          <w:rtl/>
        </w:rPr>
        <w:t>.</w:t>
      </w:r>
      <w:r w:rsidRPr="0038124D">
        <w:rPr>
          <w:rFonts w:cs="Arial"/>
          <w:sz w:val="16"/>
          <w:szCs w:val="16"/>
          <w:rtl/>
        </w:rPr>
        <w:t xml:space="preserve"> וצריך לומר שכוונת ה"ר יונה בדעמיץ ופתח</w:t>
      </w:r>
      <w:r>
        <w:rPr>
          <w:rFonts w:cs="Arial" w:hint="cs"/>
          <w:sz w:val="16"/>
          <w:szCs w:val="16"/>
          <w:rtl/>
        </w:rPr>
        <w:t>,</w:t>
      </w:r>
      <w:r w:rsidRPr="0038124D">
        <w:rPr>
          <w:rFonts w:cs="Arial"/>
          <w:sz w:val="16"/>
          <w:szCs w:val="16"/>
          <w:rtl/>
        </w:rPr>
        <w:t xml:space="preserve"> דכל כהאי גוונא אפילו על גבי העין אסור כדמשמע התם</w:t>
      </w:r>
      <w:r w:rsidRPr="0038124D">
        <w:rPr>
          <w:rStyle w:val="a9"/>
          <w:rFonts w:cs="Arial"/>
          <w:sz w:val="16"/>
          <w:szCs w:val="16"/>
          <w:rtl/>
        </w:rPr>
        <w:footnoteReference w:id="843"/>
      </w:r>
      <w:r>
        <w:rPr>
          <w:rFonts w:cs="Arial" w:hint="cs"/>
          <w:sz w:val="16"/>
          <w:szCs w:val="16"/>
          <w:rtl/>
        </w:rPr>
        <w:t>, ב"י)</w:t>
      </w:r>
    </w:p>
    <w:p w14:paraId="4580F81D" w14:textId="77777777" w:rsidR="004B2E7C" w:rsidRPr="00E96462" w:rsidRDefault="004B2E7C" w:rsidP="00434A6A">
      <w:pPr>
        <w:rPr>
          <w:u w:val="single"/>
          <w:rtl/>
        </w:rPr>
      </w:pPr>
      <w:r w:rsidRPr="00E96462">
        <w:rPr>
          <w:rFonts w:hint="cs"/>
          <w:u w:val="single"/>
          <w:rtl/>
        </w:rPr>
        <w:t>קידוש בבית הכנסת:</w:t>
      </w:r>
    </w:p>
    <w:p w14:paraId="7FBB3EE8" w14:textId="77777777" w:rsidR="004B2E7C" w:rsidRDefault="004B2E7C" w:rsidP="00FF2D21">
      <w:pPr>
        <w:pStyle w:val="aa"/>
        <w:numPr>
          <w:ilvl w:val="0"/>
          <w:numId w:val="99"/>
        </w:numPr>
        <w:rPr>
          <w:rFonts w:cs="Arial"/>
        </w:rPr>
      </w:pPr>
      <w:r>
        <w:rPr>
          <w:rFonts w:cs="Arial"/>
          <w:rtl/>
        </w:rPr>
        <w:t>תוס</w:t>
      </w:r>
      <w:r>
        <w:rPr>
          <w:rFonts w:cs="Arial" w:hint="cs"/>
          <w:rtl/>
        </w:rPr>
        <w:t>'</w:t>
      </w:r>
      <w:r>
        <w:rPr>
          <w:rFonts w:cs="Arial"/>
          <w:rtl/>
        </w:rPr>
        <w:t xml:space="preserve"> </w:t>
      </w:r>
      <w:r w:rsidRPr="006417D4">
        <w:rPr>
          <w:rFonts w:cs="Arial"/>
          <w:sz w:val="16"/>
          <w:szCs w:val="16"/>
          <w:rtl/>
        </w:rPr>
        <w:t>(ק: ד"ה ידי קידוש)</w:t>
      </w:r>
      <w:r>
        <w:rPr>
          <w:rFonts w:cs="Arial" w:hint="cs"/>
          <w:rtl/>
        </w:rPr>
        <w:t xml:space="preserve"> </w:t>
      </w:r>
      <w:r>
        <w:rPr>
          <w:rFonts w:cs="Arial"/>
          <w:rtl/>
        </w:rPr>
        <w:t xml:space="preserve">רא"ש </w:t>
      </w:r>
      <w:r w:rsidRPr="006417D4">
        <w:rPr>
          <w:rFonts w:cs="Arial" w:hint="cs"/>
          <w:sz w:val="16"/>
          <w:szCs w:val="16"/>
          <w:rtl/>
        </w:rPr>
        <w:t>(</w:t>
      </w:r>
      <w:r w:rsidRPr="006417D4">
        <w:rPr>
          <w:rFonts w:cs="Arial"/>
          <w:sz w:val="16"/>
          <w:szCs w:val="16"/>
          <w:rtl/>
        </w:rPr>
        <w:t>פ</w:t>
      </w:r>
      <w:r w:rsidRPr="006417D4">
        <w:rPr>
          <w:rFonts w:cs="Arial" w:hint="cs"/>
          <w:sz w:val="16"/>
          <w:szCs w:val="16"/>
          <w:rtl/>
        </w:rPr>
        <w:t>'</w:t>
      </w:r>
      <w:r w:rsidRPr="006417D4">
        <w:rPr>
          <w:rFonts w:cs="Arial"/>
          <w:sz w:val="16"/>
          <w:szCs w:val="16"/>
          <w:rtl/>
        </w:rPr>
        <w:t xml:space="preserve"> ערבי פסחים סי' ה)</w:t>
      </w:r>
      <w:r>
        <w:rPr>
          <w:rFonts w:cs="Arial" w:hint="cs"/>
          <w:rtl/>
        </w:rPr>
        <w:t xml:space="preserve"> טור ורי"ו </w:t>
      </w:r>
      <w:r w:rsidRPr="006417D4">
        <w:rPr>
          <w:rFonts w:cs="Arial" w:hint="cs"/>
          <w:sz w:val="16"/>
          <w:szCs w:val="16"/>
          <w:rtl/>
        </w:rPr>
        <w:t>(</w:t>
      </w:r>
      <w:r w:rsidRPr="006417D4">
        <w:rPr>
          <w:rFonts w:cs="Arial"/>
          <w:sz w:val="16"/>
          <w:szCs w:val="16"/>
          <w:rtl/>
        </w:rPr>
        <w:t>ח</w:t>
      </w:r>
      <w:r w:rsidRPr="006417D4">
        <w:rPr>
          <w:rFonts w:cs="Arial" w:hint="cs"/>
          <w:sz w:val="16"/>
          <w:szCs w:val="16"/>
          <w:rtl/>
        </w:rPr>
        <w:t>"</w:t>
      </w:r>
      <w:r w:rsidRPr="006417D4">
        <w:rPr>
          <w:rFonts w:cs="Arial"/>
          <w:sz w:val="16"/>
          <w:szCs w:val="16"/>
          <w:rtl/>
        </w:rPr>
        <w:t>א סו.)</w:t>
      </w:r>
      <w:r>
        <w:rPr>
          <w:rFonts w:cs="Arial" w:hint="cs"/>
          <w:rtl/>
        </w:rPr>
        <w:t xml:space="preserve">- </w:t>
      </w:r>
      <w:r w:rsidRPr="003623C8">
        <w:rPr>
          <w:rFonts w:cs="Arial"/>
          <w:rtl/>
        </w:rPr>
        <w:t>נוהגין בכל המקומות שש"ץ מקדש בבה"כ</w:t>
      </w:r>
      <w:r>
        <w:rPr>
          <w:rFonts w:cs="Arial" w:hint="cs"/>
          <w:rtl/>
        </w:rPr>
        <w:t>.</w:t>
      </w:r>
      <w:r w:rsidRPr="003623C8">
        <w:rPr>
          <w:rFonts w:cs="Arial"/>
          <w:rtl/>
        </w:rPr>
        <w:t xml:space="preserve"> ואני תמה</w:t>
      </w:r>
      <w:r>
        <w:rPr>
          <w:rStyle w:val="a9"/>
          <w:rFonts w:cs="Arial"/>
          <w:rtl/>
        </w:rPr>
        <w:footnoteReference w:id="844"/>
      </w:r>
      <w:r w:rsidRPr="003623C8">
        <w:rPr>
          <w:rFonts w:cs="Arial"/>
          <w:rtl/>
        </w:rPr>
        <w:t xml:space="preserve"> היאך נתפשט זה המנהג</w:t>
      </w:r>
      <w:r>
        <w:rPr>
          <w:rFonts w:cs="Arial" w:hint="cs"/>
          <w:rtl/>
        </w:rPr>
        <w:t>,</w:t>
      </w:r>
      <w:r w:rsidRPr="003623C8">
        <w:rPr>
          <w:rFonts w:cs="Arial"/>
          <w:rtl/>
        </w:rPr>
        <w:t xml:space="preserve"> דהא קי"ל כשמואל שאין קידוש אלא במקום סעודה</w:t>
      </w:r>
      <w:r>
        <w:rPr>
          <w:rFonts w:cs="Arial" w:hint="cs"/>
          <w:rtl/>
        </w:rPr>
        <w:t>,</w:t>
      </w:r>
      <w:r w:rsidRPr="003623C8">
        <w:rPr>
          <w:rFonts w:cs="Arial"/>
          <w:rtl/>
        </w:rPr>
        <w:t xml:space="preserve"> ולדידיה אין מקדשין בבה"כ אלא לאפוקי אורחין דאכלי ושתי בבי כנישתא</w:t>
      </w:r>
      <w:r>
        <w:rPr>
          <w:rFonts w:cs="Arial" w:hint="cs"/>
          <w:rtl/>
        </w:rPr>
        <w:t>,</w:t>
      </w:r>
      <w:r w:rsidRPr="003623C8">
        <w:rPr>
          <w:rFonts w:cs="Arial"/>
          <w:rtl/>
        </w:rPr>
        <w:t xml:space="preserve"> דלדידהו הוי מקום סעודה</w:t>
      </w:r>
      <w:r>
        <w:rPr>
          <w:rFonts w:cs="Arial" w:hint="cs"/>
          <w:rtl/>
        </w:rPr>
        <w:t>,</w:t>
      </w:r>
      <w:r w:rsidRPr="003623C8">
        <w:rPr>
          <w:rFonts w:cs="Arial"/>
          <w:rtl/>
        </w:rPr>
        <w:t xml:space="preserve"> וכיון דהשתא ליכא אורחין דאכלי התם קרוב הדבר להיות ברכה לבטלה</w:t>
      </w:r>
      <w:r>
        <w:rPr>
          <w:rStyle w:val="a9"/>
          <w:rFonts w:cs="Arial"/>
          <w:rtl/>
        </w:rPr>
        <w:footnoteReference w:id="845"/>
      </w:r>
      <w:r>
        <w:rPr>
          <w:rFonts w:cs="Arial" w:hint="cs"/>
          <w:rtl/>
        </w:rPr>
        <w:t>...</w:t>
      </w:r>
      <w:r w:rsidRPr="004158C4">
        <w:rPr>
          <w:rFonts w:cs="Arial" w:hint="cs"/>
          <w:rtl/>
        </w:rPr>
        <w:t xml:space="preserve"> </w:t>
      </w:r>
      <w:r>
        <w:rPr>
          <w:rFonts w:cs="Arial" w:hint="cs"/>
          <w:rtl/>
        </w:rPr>
        <w:t>ו</w:t>
      </w:r>
      <w:r w:rsidRPr="003623C8">
        <w:rPr>
          <w:rFonts w:cs="Arial"/>
          <w:rtl/>
        </w:rPr>
        <w:t>ראוי היה שלא לקדש ואי איישר חילי אבטליניה וכ"כ רב האי שאם אין אורחין אין מקדשין בבהכ"נ</w:t>
      </w:r>
      <w:r>
        <w:rPr>
          <w:rFonts w:cs="Arial" w:hint="cs"/>
          <w:sz w:val="16"/>
          <w:szCs w:val="16"/>
          <w:rtl/>
        </w:rPr>
        <w:t xml:space="preserve"> (ל' הטור)</w:t>
      </w:r>
      <w:r>
        <w:rPr>
          <w:rFonts w:cs="Arial" w:hint="cs"/>
          <w:rtl/>
        </w:rPr>
        <w:t xml:space="preserve">. </w:t>
      </w:r>
      <w:r w:rsidRPr="00990CAF">
        <w:rPr>
          <w:rFonts w:hint="cs"/>
          <w:color w:val="E36C0A" w:themeColor="accent6" w:themeShade="BF"/>
          <w:rtl/>
        </w:rPr>
        <w:t>(וכ"פ בשו"ע)</w:t>
      </w:r>
    </w:p>
    <w:p w14:paraId="4D694A55" w14:textId="77777777" w:rsidR="004B2E7C" w:rsidRDefault="004B2E7C" w:rsidP="00FF2D21">
      <w:pPr>
        <w:pStyle w:val="aa"/>
        <w:numPr>
          <w:ilvl w:val="0"/>
          <w:numId w:val="99"/>
        </w:numPr>
        <w:rPr>
          <w:rFonts w:cs="Arial"/>
        </w:rPr>
      </w:pPr>
      <w:r w:rsidRPr="003623C8">
        <w:rPr>
          <w:rFonts w:cs="Arial"/>
          <w:rtl/>
        </w:rPr>
        <w:t>רב נטרונאי</w:t>
      </w:r>
      <w:r>
        <w:rPr>
          <w:rFonts w:cs="Arial" w:hint="cs"/>
          <w:sz w:val="16"/>
          <w:szCs w:val="16"/>
          <w:rtl/>
        </w:rPr>
        <w:t xml:space="preserve"> (כ"כ הטור בשמו)</w:t>
      </w:r>
      <w:r>
        <w:rPr>
          <w:rFonts w:cs="Arial" w:hint="cs"/>
          <w:rtl/>
        </w:rPr>
        <w:t xml:space="preserve"> ורשב"א</w:t>
      </w:r>
      <w:r w:rsidRPr="006417D4">
        <w:rPr>
          <w:rFonts w:cs="Arial"/>
          <w:sz w:val="16"/>
          <w:szCs w:val="16"/>
          <w:rtl/>
        </w:rPr>
        <w:t xml:space="preserve"> (ח"א סי' לז)</w:t>
      </w:r>
      <w:r>
        <w:rPr>
          <w:rFonts w:cs="Arial" w:hint="cs"/>
          <w:rtl/>
        </w:rPr>
        <w:t xml:space="preserve">- </w:t>
      </w:r>
      <w:r w:rsidRPr="003623C8">
        <w:rPr>
          <w:rFonts w:cs="Arial"/>
          <w:rtl/>
        </w:rPr>
        <w:t>מקדשין בבהכ"נ אע"פ שאין אוכלין שם</w:t>
      </w:r>
      <w:r>
        <w:rPr>
          <w:rFonts w:cs="Arial" w:hint="cs"/>
          <w:rtl/>
        </w:rPr>
        <w:t>,</w:t>
      </w:r>
      <w:r w:rsidRPr="003623C8">
        <w:rPr>
          <w:rFonts w:cs="Arial"/>
          <w:rtl/>
        </w:rPr>
        <w:t xml:space="preserve"> אע</w:t>
      </w:r>
      <w:r>
        <w:rPr>
          <w:rFonts w:cs="Arial" w:hint="cs"/>
          <w:rtl/>
        </w:rPr>
        <w:t>"</w:t>
      </w:r>
      <w:r w:rsidRPr="003623C8">
        <w:rPr>
          <w:rFonts w:cs="Arial"/>
          <w:rtl/>
        </w:rPr>
        <w:t>פ שאין קידוש אלא במקום סעודה</w:t>
      </w:r>
      <w:r>
        <w:rPr>
          <w:rFonts w:cs="Arial" w:hint="cs"/>
          <w:rtl/>
        </w:rPr>
        <w:t>,</w:t>
      </w:r>
      <w:r w:rsidRPr="003623C8">
        <w:rPr>
          <w:rFonts w:cs="Arial"/>
          <w:rtl/>
        </w:rPr>
        <w:t xml:space="preserve"> אפי' הכי מקדשין בה מפני שהטעמת יין של קידוש של שבת רפואה היא</w:t>
      </w:r>
      <w:r>
        <w:rPr>
          <w:rStyle w:val="a9"/>
          <w:rFonts w:cs="Arial"/>
          <w:rtl/>
        </w:rPr>
        <w:footnoteReference w:id="846"/>
      </w:r>
      <w:r>
        <w:rPr>
          <w:rFonts w:cs="Arial" w:hint="cs"/>
          <w:rtl/>
        </w:rPr>
        <w:t>.</w:t>
      </w:r>
      <w:r w:rsidRPr="003623C8">
        <w:rPr>
          <w:rFonts w:cs="Arial"/>
          <w:rtl/>
        </w:rPr>
        <w:t xml:space="preserve"> ומה שטועמין כל הציבור</w:t>
      </w:r>
      <w:r>
        <w:rPr>
          <w:rFonts w:cs="Arial" w:hint="cs"/>
          <w:rtl/>
        </w:rPr>
        <w:t>,</w:t>
      </w:r>
      <w:r w:rsidRPr="003623C8">
        <w:rPr>
          <w:rFonts w:cs="Arial"/>
          <w:rtl/>
        </w:rPr>
        <w:t xml:space="preserve"> לא שחובה היא לטעום אלא שחובה לשמוע קידוש בלבד</w:t>
      </w:r>
      <w:r>
        <w:rPr>
          <w:rFonts w:cs="Arial" w:hint="cs"/>
          <w:rtl/>
        </w:rPr>
        <w:t>,</w:t>
      </w:r>
      <w:r w:rsidRPr="003623C8">
        <w:rPr>
          <w:rFonts w:cs="Arial"/>
          <w:rtl/>
        </w:rPr>
        <w:t xml:space="preserve"> וכיון ששמעו הציבור הקידוש יצאו ידי חובתם ואין צריכים לטעום</w:t>
      </w:r>
      <w:r>
        <w:rPr>
          <w:rFonts w:cs="Arial" w:hint="cs"/>
          <w:rtl/>
        </w:rPr>
        <w:t>,</w:t>
      </w:r>
      <w:r w:rsidRPr="003623C8">
        <w:rPr>
          <w:rFonts w:cs="Arial"/>
          <w:rtl/>
        </w:rPr>
        <w:t xml:space="preserve"> וזה שמקדש ונותן לציבור משום רפואה ליתן על עיניהם דאמרינן פסיעה גסה נוטלת אחת מחמש מאות ממאור עיניו של אדם ובמאי מהדר ליה בקידושא דבי שמשי</w:t>
      </w:r>
      <w:r>
        <w:rPr>
          <w:rFonts w:cs="Arial" w:hint="cs"/>
          <w:rtl/>
        </w:rPr>
        <w:t>.</w:t>
      </w:r>
      <w:r w:rsidRPr="003623C8">
        <w:rPr>
          <w:rFonts w:cs="Arial"/>
          <w:rtl/>
        </w:rPr>
        <w:t xml:space="preserve"> הילכך כיון דאיכא מן הציבור דלית להו יין תיקנו לקדש בבהכ"נ על היין משום רפואה</w:t>
      </w:r>
      <w:r>
        <w:rPr>
          <w:rStyle w:val="a9"/>
          <w:rFonts w:cs="Arial"/>
          <w:rtl/>
        </w:rPr>
        <w:footnoteReference w:id="847"/>
      </w:r>
      <w:r>
        <w:rPr>
          <w:rFonts w:cs="Arial" w:hint="cs"/>
          <w:rtl/>
        </w:rPr>
        <w:t>.</w:t>
      </w:r>
      <w:r w:rsidRPr="006417D4">
        <w:rPr>
          <w:rFonts w:cs="Arial"/>
          <w:rtl/>
        </w:rPr>
        <w:t xml:space="preserve"> </w:t>
      </w:r>
    </w:p>
    <w:p w14:paraId="5B55890D" w14:textId="77777777" w:rsidR="004B2E7C" w:rsidRPr="00B26941" w:rsidRDefault="004B2E7C" w:rsidP="00FF2D21">
      <w:pPr>
        <w:pStyle w:val="aa"/>
        <w:numPr>
          <w:ilvl w:val="0"/>
          <w:numId w:val="99"/>
        </w:numPr>
        <w:rPr>
          <w:rFonts w:cs="Arial"/>
          <w:rtl/>
        </w:rPr>
      </w:pPr>
      <w:r w:rsidRPr="00B26941">
        <w:rPr>
          <w:rFonts w:cs="Arial"/>
          <w:rtl/>
        </w:rPr>
        <w:t>ה"ר שמואל בשם השר מקוצי</w:t>
      </w:r>
      <w:r>
        <w:rPr>
          <w:rFonts w:cs="Arial" w:hint="cs"/>
          <w:sz w:val="16"/>
          <w:szCs w:val="16"/>
          <w:rtl/>
        </w:rPr>
        <w:t xml:space="preserve"> (הביאו המרדכי [פסחים סי' תריא])</w:t>
      </w:r>
      <w:r>
        <w:rPr>
          <w:rFonts w:cs="Arial" w:hint="cs"/>
          <w:rtl/>
        </w:rPr>
        <w:t xml:space="preserve"> וסמ"ק </w:t>
      </w:r>
      <w:r w:rsidRPr="00B26941">
        <w:rPr>
          <w:rFonts w:cs="Arial"/>
          <w:sz w:val="16"/>
          <w:szCs w:val="16"/>
          <w:rtl/>
        </w:rPr>
        <w:t>(עי' הגהות סמ"ק מצוה רפא אות ג)</w:t>
      </w:r>
      <w:r>
        <w:rPr>
          <w:rFonts w:cs="Arial" w:hint="cs"/>
          <w:rtl/>
        </w:rPr>
        <w:t xml:space="preserve">- </w:t>
      </w:r>
      <w:r w:rsidRPr="00B26941">
        <w:rPr>
          <w:rFonts w:cs="Arial"/>
          <w:rtl/>
        </w:rPr>
        <w:t>מותר המקדש לשתות במקום אחר ולא חשיב כשותה קודם קידוש</w:t>
      </w:r>
      <w:r>
        <w:rPr>
          <w:rStyle w:val="a9"/>
          <w:rFonts w:cs="Arial"/>
          <w:rtl/>
        </w:rPr>
        <w:footnoteReference w:id="848"/>
      </w:r>
      <w:r>
        <w:rPr>
          <w:rFonts w:cs="Arial" w:hint="cs"/>
          <w:sz w:val="16"/>
          <w:szCs w:val="16"/>
          <w:rtl/>
        </w:rPr>
        <w:t xml:space="preserve"> (ל' המרדכי בשם ה"ר שמואל)</w:t>
      </w:r>
      <w:r>
        <w:rPr>
          <w:rFonts w:cs="Arial" w:hint="cs"/>
          <w:rtl/>
        </w:rPr>
        <w:t>.</w:t>
      </w:r>
    </w:p>
    <w:p w14:paraId="7B77A052" w14:textId="77777777" w:rsidR="004B2E7C" w:rsidRPr="00E6355C" w:rsidRDefault="004B2E7C" w:rsidP="00434A6A">
      <w:pPr>
        <w:ind w:left="360"/>
        <w:rPr>
          <w:rFonts w:cs="Arial"/>
          <w:u w:val="dotted"/>
        </w:rPr>
      </w:pPr>
      <w:r w:rsidRPr="00E6355C">
        <w:rPr>
          <w:rFonts w:cs="Arial" w:hint="cs"/>
          <w:u w:val="dotted"/>
          <w:rtl/>
        </w:rPr>
        <w:t xml:space="preserve">לנוהגים לקדש בבית הכנסת </w:t>
      </w:r>
      <w:r w:rsidRPr="00E6355C">
        <w:rPr>
          <w:rFonts w:cs="Arial"/>
          <w:u w:val="dotted"/>
          <w:rtl/>
        </w:rPr>
        <w:t>–</w:t>
      </w:r>
      <w:r w:rsidRPr="00E6355C">
        <w:rPr>
          <w:rFonts w:cs="Arial" w:hint="cs"/>
          <w:u w:val="dotted"/>
          <w:rtl/>
        </w:rPr>
        <w:t xml:space="preserve"> מה יעשו כדי להנצל מברכה לבטלה:</w:t>
      </w:r>
    </w:p>
    <w:p w14:paraId="374E5982" w14:textId="77777777" w:rsidR="004B2E7C" w:rsidRDefault="004B2E7C" w:rsidP="00FF2D21">
      <w:pPr>
        <w:pStyle w:val="aa"/>
        <w:numPr>
          <w:ilvl w:val="0"/>
          <w:numId w:val="99"/>
        </w:numPr>
        <w:rPr>
          <w:rFonts w:cs="Arial"/>
        </w:rPr>
      </w:pPr>
      <w:r>
        <w:rPr>
          <w:rFonts w:cs="Arial"/>
          <w:rtl/>
        </w:rPr>
        <w:t>מ</w:t>
      </w:r>
      <w:r>
        <w:rPr>
          <w:rFonts w:cs="Arial" w:hint="cs"/>
          <w:rtl/>
        </w:rPr>
        <w:t>הר"ם הגה"מ רא"ש טור ורי"ו</w:t>
      </w:r>
      <w:r>
        <w:rPr>
          <w:rStyle w:val="a9"/>
          <w:rFonts w:cs="Arial"/>
          <w:rtl/>
        </w:rPr>
        <w:footnoteReference w:id="849"/>
      </w:r>
      <w:r>
        <w:rPr>
          <w:rFonts w:cs="Arial" w:hint="cs"/>
          <w:rtl/>
        </w:rPr>
        <w:t xml:space="preserve">- </w:t>
      </w:r>
      <w:r w:rsidRPr="00ED0469">
        <w:rPr>
          <w:rFonts w:cs="Arial"/>
          <w:rtl/>
        </w:rPr>
        <w:t>והמקדש בב"ה אין לו לשתות מיין של קידוש דכיון שאינו יוצא בו שאינו לו במקום סעודה אסור לו לטעום עד שיקדש במקום סעודה</w:t>
      </w:r>
      <w:r>
        <w:rPr>
          <w:rFonts w:cs="Arial" w:hint="cs"/>
          <w:rtl/>
        </w:rPr>
        <w:t>,</w:t>
      </w:r>
      <w:r w:rsidRPr="00ED0469">
        <w:rPr>
          <w:rFonts w:cs="Arial"/>
          <w:rtl/>
        </w:rPr>
        <w:t xml:space="preserve"> אלא יתן לתינוק ושפיר דמי</w:t>
      </w:r>
      <w:r>
        <w:rPr>
          <w:rStyle w:val="a9"/>
          <w:rFonts w:cs="Arial"/>
          <w:rtl/>
        </w:rPr>
        <w:footnoteReference w:id="850"/>
      </w:r>
      <w:r>
        <w:rPr>
          <w:rFonts w:cs="Arial" w:hint="cs"/>
          <w:rtl/>
        </w:rPr>
        <w:t>,</w:t>
      </w:r>
      <w:r w:rsidRPr="00ED0469">
        <w:rPr>
          <w:rFonts w:cs="Arial"/>
          <w:rtl/>
        </w:rPr>
        <w:t xml:space="preserve"> דהא דאמרינן </w:t>
      </w:r>
      <w:r w:rsidRPr="00B26941">
        <w:rPr>
          <w:rFonts w:cs="Arial"/>
          <w:sz w:val="16"/>
          <w:szCs w:val="16"/>
          <w:rtl/>
        </w:rPr>
        <w:t>(פסחים קו</w:t>
      </w:r>
      <w:r w:rsidRPr="00B26941">
        <w:rPr>
          <w:rFonts w:cs="Arial" w:hint="cs"/>
          <w:sz w:val="16"/>
          <w:szCs w:val="16"/>
          <w:rtl/>
        </w:rPr>
        <w:t>.</w:t>
      </w:r>
      <w:r w:rsidRPr="00B26941">
        <w:rPr>
          <w:rFonts w:cs="Arial"/>
          <w:sz w:val="16"/>
          <w:szCs w:val="16"/>
          <w:rtl/>
        </w:rPr>
        <w:t>)</w:t>
      </w:r>
      <w:r w:rsidRPr="00ED0469">
        <w:rPr>
          <w:rFonts w:cs="Arial"/>
          <w:rtl/>
        </w:rPr>
        <w:t xml:space="preserve"> המברך צריך שיטעום לאו דוקא הוא אלא ה"ה נמי אם טעים אחר שפיר דמי</w:t>
      </w:r>
      <w:r>
        <w:rPr>
          <w:rFonts w:cs="Arial" w:hint="cs"/>
          <w:sz w:val="16"/>
          <w:szCs w:val="16"/>
          <w:rtl/>
        </w:rPr>
        <w:t xml:space="preserve"> (ל' הטור)</w:t>
      </w:r>
      <w:r>
        <w:rPr>
          <w:rFonts w:cs="Arial" w:hint="cs"/>
          <w:rtl/>
        </w:rPr>
        <w:t>.</w:t>
      </w:r>
      <w:r w:rsidRPr="00385ED3">
        <w:rPr>
          <w:rFonts w:cs="Arial"/>
          <w:rtl/>
        </w:rPr>
        <w:t xml:space="preserve"> </w:t>
      </w:r>
      <w:r w:rsidRPr="00990CAF">
        <w:rPr>
          <w:rFonts w:hint="cs"/>
          <w:color w:val="E36C0A" w:themeColor="accent6" w:themeShade="BF"/>
          <w:rtl/>
        </w:rPr>
        <w:t>(וכ"</w:t>
      </w:r>
      <w:r>
        <w:rPr>
          <w:rFonts w:hint="cs"/>
          <w:color w:val="E36C0A" w:themeColor="accent6" w:themeShade="BF"/>
          <w:rtl/>
        </w:rPr>
        <w:t>כ</w:t>
      </w:r>
      <w:r w:rsidRPr="00990CAF">
        <w:rPr>
          <w:rFonts w:hint="cs"/>
          <w:color w:val="E36C0A" w:themeColor="accent6" w:themeShade="BF"/>
          <w:rtl/>
        </w:rPr>
        <w:t xml:space="preserve"> בשו"ע)</w:t>
      </w:r>
    </w:p>
    <w:p w14:paraId="53CCA379" w14:textId="77777777" w:rsidR="004B2E7C" w:rsidRPr="0038124D" w:rsidRDefault="004B2E7C" w:rsidP="00FF2D21">
      <w:pPr>
        <w:pStyle w:val="aa"/>
        <w:numPr>
          <w:ilvl w:val="0"/>
          <w:numId w:val="99"/>
        </w:numPr>
        <w:rPr>
          <w:rFonts w:cs="Arial"/>
          <w:rtl/>
        </w:rPr>
      </w:pPr>
      <w:r>
        <w:rPr>
          <w:rFonts w:cs="Arial" w:hint="cs"/>
          <w:rtl/>
        </w:rPr>
        <w:t xml:space="preserve">ב"י- </w:t>
      </w:r>
      <w:r w:rsidRPr="00385ED3">
        <w:rPr>
          <w:rFonts w:cs="Arial"/>
          <w:rtl/>
        </w:rPr>
        <w:t>רבינו כתב בסימן רע"ג בשם הגאונים שאם שתה כוס יין שחייב עליו ברכה</w:t>
      </w:r>
      <w:r>
        <w:rPr>
          <w:rFonts w:cs="Arial" w:hint="cs"/>
          <w:rtl/>
        </w:rPr>
        <w:t>,</w:t>
      </w:r>
      <w:r w:rsidRPr="00385ED3">
        <w:rPr>
          <w:rFonts w:cs="Arial"/>
          <w:rtl/>
        </w:rPr>
        <w:t xml:space="preserve"> יצא ידי קידוש וגומר סעודתו במקום אחר</w:t>
      </w:r>
      <w:r>
        <w:rPr>
          <w:rFonts w:cs="Arial" w:hint="cs"/>
          <w:rtl/>
        </w:rPr>
        <w:t>.</w:t>
      </w:r>
      <w:r w:rsidRPr="00385ED3">
        <w:rPr>
          <w:rFonts w:cs="Arial"/>
          <w:rtl/>
        </w:rPr>
        <w:t xml:space="preserve"> ולפי זה יכול המקדש בבית הכנסת לשתות מיין הקידוש ובלבד שישתה רביעית</w:t>
      </w:r>
      <w:r>
        <w:rPr>
          <w:rFonts w:cs="Arial" w:hint="cs"/>
          <w:rtl/>
        </w:rPr>
        <w:t>.</w:t>
      </w:r>
      <w:r w:rsidRPr="00385ED3">
        <w:rPr>
          <w:rFonts w:cs="Arial"/>
          <w:rtl/>
        </w:rPr>
        <w:t xml:space="preserve"> ומכל מקום נהגו העולם שלא לשתות שום גדול בבית הכנסת</w:t>
      </w:r>
      <w:r w:rsidRPr="00385ED3">
        <w:rPr>
          <w:rFonts w:cs="Arial" w:hint="cs"/>
          <w:rtl/>
        </w:rPr>
        <w:t>.</w:t>
      </w:r>
    </w:p>
    <w:p w14:paraId="6CA82B3A"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0A8F3AD9" w14:textId="77777777" w:rsidR="004B2E7C" w:rsidRDefault="004B2E7C" w:rsidP="00434A6A">
      <w:pPr>
        <w:rPr>
          <w:rFonts w:asciiTheme="minorBidi" w:hAnsiTheme="minorBidi"/>
          <w:rtl/>
        </w:rPr>
      </w:pPr>
      <w:r w:rsidRPr="00CC2350">
        <w:rPr>
          <w:rFonts w:asciiTheme="minorBidi" w:hAnsiTheme="minorBidi" w:cs="Arial"/>
          <w:rtl/>
        </w:rPr>
        <w:t>נוהגין לקדש בב</w:t>
      </w:r>
      <w:r>
        <w:rPr>
          <w:rFonts w:asciiTheme="minorBidi" w:hAnsiTheme="minorBidi" w:cs="Arial" w:hint="cs"/>
          <w:rtl/>
        </w:rPr>
        <w:t xml:space="preserve">ית </w:t>
      </w:r>
      <w:r w:rsidRPr="00CC2350">
        <w:rPr>
          <w:rFonts w:asciiTheme="minorBidi" w:hAnsiTheme="minorBidi" w:cs="Arial"/>
          <w:rtl/>
        </w:rPr>
        <w:t>הכנ</w:t>
      </w:r>
      <w:r>
        <w:rPr>
          <w:rFonts w:asciiTheme="minorBidi" w:hAnsiTheme="minorBidi" w:cs="Arial" w:hint="cs"/>
          <w:rtl/>
        </w:rPr>
        <w:t>סת</w:t>
      </w:r>
      <w:r w:rsidRPr="00CC2350">
        <w:rPr>
          <w:rFonts w:asciiTheme="minorBidi" w:hAnsiTheme="minorBidi" w:cs="Arial"/>
          <w:rtl/>
        </w:rPr>
        <w:t>, ואין למקדש לטעום מיין הקידוש אלא מטעימו לקטן, דאין קידוש אלא במקום סעודה. ומעיקרא לא נתקן אלא בשביל אורחים דאכלי ושתי בבי כנישתא, להוציאם י</w:t>
      </w:r>
      <w:r>
        <w:rPr>
          <w:rFonts w:asciiTheme="minorBidi" w:hAnsiTheme="minorBidi" w:cs="Arial" w:hint="cs"/>
          <w:rtl/>
        </w:rPr>
        <w:t xml:space="preserve">די </w:t>
      </w:r>
      <w:r w:rsidRPr="00CC2350">
        <w:rPr>
          <w:rFonts w:asciiTheme="minorBidi" w:hAnsiTheme="minorBidi" w:cs="Arial"/>
          <w:rtl/>
        </w:rPr>
        <w:t>ח</w:t>
      </w:r>
      <w:r>
        <w:rPr>
          <w:rFonts w:asciiTheme="minorBidi" w:hAnsiTheme="minorBidi" w:cs="Arial" w:hint="cs"/>
          <w:rtl/>
        </w:rPr>
        <w:t>ובה</w:t>
      </w:r>
      <w:r w:rsidRPr="00CC2350">
        <w:rPr>
          <w:rFonts w:asciiTheme="minorBidi" w:hAnsiTheme="minorBidi" w:cs="Arial"/>
          <w:rtl/>
        </w:rPr>
        <w:t>, ועכשיו אף על גב דלא אכלי אורחים בבי כנישתא לא בטלה התקנה, זהו טעם המקומות שנהגו לקדש בב</w:t>
      </w:r>
      <w:r>
        <w:rPr>
          <w:rFonts w:asciiTheme="minorBidi" w:hAnsiTheme="minorBidi" w:cs="Arial" w:hint="cs"/>
          <w:rtl/>
        </w:rPr>
        <w:t xml:space="preserve">ית </w:t>
      </w:r>
      <w:r w:rsidRPr="00CC2350">
        <w:rPr>
          <w:rFonts w:asciiTheme="minorBidi" w:hAnsiTheme="minorBidi" w:cs="Arial"/>
          <w:rtl/>
        </w:rPr>
        <w:t>הכנ</w:t>
      </w:r>
      <w:r>
        <w:rPr>
          <w:rFonts w:asciiTheme="minorBidi" w:hAnsiTheme="minorBidi" w:cs="Arial" w:hint="cs"/>
          <w:rtl/>
        </w:rPr>
        <w:t>סת</w:t>
      </w:r>
      <w:r w:rsidRPr="00CC2350">
        <w:rPr>
          <w:rFonts w:asciiTheme="minorBidi" w:hAnsiTheme="minorBidi" w:cs="Arial"/>
          <w:rtl/>
        </w:rPr>
        <w:t>. אבל יותר טוב להנהיג שלא לקדש בב</w:t>
      </w:r>
      <w:r>
        <w:rPr>
          <w:rFonts w:asciiTheme="minorBidi" w:hAnsiTheme="minorBidi" w:cs="Arial" w:hint="cs"/>
          <w:rtl/>
        </w:rPr>
        <w:t xml:space="preserve">ית </w:t>
      </w:r>
      <w:r w:rsidRPr="00CC2350">
        <w:rPr>
          <w:rFonts w:asciiTheme="minorBidi" w:hAnsiTheme="minorBidi" w:cs="Arial"/>
          <w:rtl/>
        </w:rPr>
        <w:t>הכנ</w:t>
      </w:r>
      <w:r>
        <w:rPr>
          <w:rFonts w:asciiTheme="minorBidi" w:hAnsiTheme="minorBidi" w:cs="Arial" w:hint="cs"/>
          <w:rtl/>
        </w:rPr>
        <w:t>סת</w:t>
      </w:r>
      <w:r w:rsidRPr="00CC2350">
        <w:rPr>
          <w:rFonts w:asciiTheme="minorBidi" w:hAnsiTheme="minorBidi" w:cs="Arial"/>
          <w:rtl/>
        </w:rPr>
        <w:t xml:space="preserve">, וכן מנהג ארץ ישראל. </w:t>
      </w:r>
      <w:r w:rsidRPr="00D83BCC">
        <w:rPr>
          <w:rFonts w:asciiTheme="minorBidi" w:hAnsiTheme="minorBidi" w:cs="Arial"/>
          <w:sz w:val="18"/>
          <w:szCs w:val="18"/>
          <w:rtl/>
        </w:rPr>
        <w:t>הגה: ונהגו לעמוד בשעה שמקדשין בבית הכנסת.</w:t>
      </w:r>
    </w:p>
    <w:p w14:paraId="33D1442A" w14:textId="77777777" w:rsidR="004B2E7C" w:rsidRDefault="004B2E7C" w:rsidP="00434A6A">
      <w:pPr>
        <w:pStyle w:val="1"/>
        <w:rPr>
          <w:rtl/>
        </w:rPr>
        <w:sectPr w:rsidR="004B2E7C" w:rsidSect="00BD29B1">
          <w:headerReference w:type="default" r:id="rId40"/>
          <w:footnotePr>
            <w:numRestart w:val="eachSect"/>
          </w:footnotePr>
          <w:pgSz w:w="11906" w:h="16838"/>
          <w:pgMar w:top="720" w:right="1134" w:bottom="720" w:left="1134" w:header="0" w:footer="0" w:gutter="0"/>
          <w:cols w:space="720"/>
          <w:bidi/>
          <w:rtlGutter/>
          <w:docGrid w:linePitch="360"/>
        </w:sectPr>
      </w:pPr>
    </w:p>
    <w:p w14:paraId="7E30D4F9" w14:textId="77777777" w:rsidR="004B2E7C" w:rsidRPr="00CC2350" w:rsidRDefault="004B2E7C" w:rsidP="00434A6A">
      <w:pPr>
        <w:pStyle w:val="1"/>
        <w:rPr>
          <w:rtl/>
        </w:rPr>
      </w:pPr>
      <w:r>
        <w:rPr>
          <w:rFonts w:hint="cs"/>
          <w:rtl/>
        </w:rPr>
        <w:t xml:space="preserve">סימן ער: </w:t>
      </w:r>
      <w:r w:rsidRPr="00CC2350">
        <w:rPr>
          <w:rtl/>
        </w:rPr>
        <w:t xml:space="preserve">לומר משנת במה מדליקין, ובו ב' סעיפים. </w:t>
      </w:r>
    </w:p>
    <w:p w14:paraId="32674CDE" w14:textId="77777777" w:rsidR="004B2E7C" w:rsidRDefault="004B2E7C" w:rsidP="00434A6A">
      <w:pPr>
        <w:pStyle w:val="2"/>
        <w:rPr>
          <w:rtl/>
        </w:rPr>
      </w:pPr>
      <w:r w:rsidRPr="00CC2350">
        <w:rPr>
          <w:rtl/>
        </w:rPr>
        <w:t>סעיף א</w:t>
      </w:r>
      <w:r>
        <w:rPr>
          <w:rFonts w:hint="cs"/>
          <w:rtl/>
        </w:rPr>
        <w:t>: אמירת פרק במה מדליקין.</w:t>
      </w:r>
    </w:p>
    <w:p w14:paraId="3FFCB697" w14:textId="77777777" w:rsidR="004B2E7C" w:rsidRPr="001C190E" w:rsidRDefault="004B2E7C" w:rsidP="00434A6A">
      <w:pPr>
        <w:rPr>
          <w:rtl/>
        </w:rPr>
      </w:pPr>
    </w:p>
    <w:p w14:paraId="5CF5A5CE"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6E6BFB4" w14:textId="77777777" w:rsidR="004B2E7C" w:rsidRDefault="004B2E7C" w:rsidP="00434A6A">
      <w:pPr>
        <w:rPr>
          <w:rFonts w:asciiTheme="minorBidi" w:hAnsiTheme="minorBidi"/>
          <w:rtl/>
        </w:rPr>
      </w:pPr>
      <w:r w:rsidRPr="00CC2350">
        <w:rPr>
          <w:rFonts w:asciiTheme="minorBidi" w:hAnsiTheme="minorBidi" w:cs="Arial"/>
          <w:rtl/>
        </w:rPr>
        <w:t xml:space="preserve">נוהגים לומר פרק במה מדליקין, והספרדים אומרים אותו קודם תפלת ערבית, והוא הנכון. </w:t>
      </w:r>
    </w:p>
    <w:p w14:paraId="6D553D7F" w14:textId="77777777" w:rsidR="004B2E7C" w:rsidRPr="00CC2350" w:rsidRDefault="004B2E7C" w:rsidP="00434A6A">
      <w:pPr>
        <w:rPr>
          <w:rFonts w:asciiTheme="minorBidi" w:hAnsiTheme="minorBidi"/>
          <w:rtl/>
        </w:rPr>
      </w:pPr>
    </w:p>
    <w:p w14:paraId="7A251A8F" w14:textId="77777777" w:rsidR="004B2E7C" w:rsidRPr="00CC2350" w:rsidRDefault="004B2E7C" w:rsidP="00434A6A">
      <w:pPr>
        <w:pStyle w:val="2"/>
        <w:rPr>
          <w:rtl/>
        </w:rPr>
      </w:pPr>
      <w:r w:rsidRPr="00CC2350">
        <w:rPr>
          <w:rtl/>
        </w:rPr>
        <w:t>סעיף ב</w:t>
      </w:r>
      <w:r>
        <w:rPr>
          <w:rFonts w:hint="cs"/>
          <w:rtl/>
        </w:rPr>
        <w:t>: אמירתו בשבת של חנוכה, או ביו"ט שחל להיות בער"ש.</w:t>
      </w:r>
    </w:p>
    <w:p w14:paraId="7C78CFAA"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1C3A65E" w14:textId="77777777" w:rsidR="004B2E7C" w:rsidRDefault="004B2E7C" w:rsidP="00434A6A">
      <w:pPr>
        <w:rPr>
          <w:rFonts w:asciiTheme="minorBidi" w:hAnsiTheme="minorBidi"/>
          <w:rtl/>
        </w:rPr>
      </w:pPr>
      <w:r w:rsidRPr="00CC2350">
        <w:rPr>
          <w:rFonts w:asciiTheme="minorBidi" w:hAnsiTheme="minorBidi" w:cs="Arial"/>
          <w:rtl/>
        </w:rPr>
        <w:t>יש שאין אומרים אותו ביום טוב שחל להיות בערב שבת, ויש שאין אומרים אותו בשבת של חנוכה. הגה: ואין נוהגין כן בחנוכה ובשבת של חול המועד אין אומרים אותו (מנהגים). וכן ביום טוב שחל להיות בשבת, אין אומרים אותו (מהרי"ל הלכות סוכה).</w:t>
      </w:r>
    </w:p>
    <w:p w14:paraId="09D23680" w14:textId="77777777" w:rsidR="004B2E7C" w:rsidRDefault="004B2E7C" w:rsidP="00434A6A">
      <w:pPr>
        <w:pStyle w:val="1"/>
        <w:rPr>
          <w:rtl/>
        </w:rPr>
        <w:sectPr w:rsidR="004B2E7C" w:rsidSect="00BD29B1">
          <w:headerReference w:type="default" r:id="rId41"/>
          <w:footnotePr>
            <w:numRestart w:val="eachSect"/>
          </w:footnotePr>
          <w:pgSz w:w="11906" w:h="16838"/>
          <w:pgMar w:top="720" w:right="1134" w:bottom="720" w:left="1134" w:header="0" w:footer="0" w:gutter="0"/>
          <w:cols w:space="720"/>
          <w:bidi/>
          <w:rtlGutter/>
          <w:docGrid w:linePitch="360"/>
        </w:sectPr>
      </w:pPr>
    </w:p>
    <w:p w14:paraId="60817183" w14:textId="77777777" w:rsidR="004B2E7C" w:rsidRPr="00CC2350" w:rsidRDefault="004B2E7C" w:rsidP="00434A6A">
      <w:pPr>
        <w:pStyle w:val="1"/>
        <w:rPr>
          <w:rtl/>
        </w:rPr>
      </w:pPr>
      <w:r>
        <w:rPr>
          <w:rFonts w:hint="cs"/>
          <w:rtl/>
        </w:rPr>
        <w:t xml:space="preserve">סימן רעא: </w:t>
      </w:r>
      <w:r w:rsidRPr="00CC2350">
        <w:rPr>
          <w:rtl/>
        </w:rPr>
        <w:t xml:space="preserve">דיני קידוש על היין, ובו י"ז סעיפים. </w:t>
      </w:r>
    </w:p>
    <w:p w14:paraId="60ECA473" w14:textId="77777777" w:rsidR="004B2E7C" w:rsidRDefault="004B2E7C" w:rsidP="00434A6A">
      <w:pPr>
        <w:pStyle w:val="2"/>
        <w:rPr>
          <w:rtl/>
        </w:rPr>
      </w:pPr>
      <w:r w:rsidRPr="00CC2350">
        <w:rPr>
          <w:rtl/>
        </w:rPr>
        <w:t>סעיף א</w:t>
      </w:r>
      <w:r>
        <w:rPr>
          <w:rFonts w:hint="cs"/>
          <w:rtl/>
        </w:rPr>
        <w:t>: כשיבא לביתו ימהר לאכול.</w:t>
      </w:r>
    </w:p>
    <w:p w14:paraId="716DC543" w14:textId="77777777" w:rsidR="004B2E7C" w:rsidRDefault="004B2E7C" w:rsidP="00434A6A">
      <w:pPr>
        <w:rPr>
          <w:rFonts w:cs="Arial"/>
          <w:rtl/>
        </w:rPr>
      </w:pPr>
      <w:r w:rsidRPr="008036C3">
        <w:rPr>
          <w:rFonts w:cs="Arial" w:hint="cs"/>
          <w:b/>
          <w:bCs/>
          <w:rtl/>
        </w:rPr>
        <w:t xml:space="preserve">פסחים </w:t>
      </w:r>
      <w:r w:rsidRPr="008036C3">
        <w:rPr>
          <w:rFonts w:cs="Arial" w:hint="cs"/>
          <w:b/>
          <w:bCs/>
          <w:sz w:val="16"/>
          <w:szCs w:val="16"/>
          <w:rtl/>
        </w:rPr>
        <w:t xml:space="preserve">(פ' ערבי פסחים) </w:t>
      </w:r>
      <w:r w:rsidRPr="008036C3">
        <w:rPr>
          <w:rFonts w:cs="Arial" w:hint="cs"/>
          <w:b/>
          <w:bCs/>
          <w:rtl/>
        </w:rPr>
        <w:t>קו ע"א:</w:t>
      </w:r>
      <w:r>
        <w:rPr>
          <w:rFonts w:cs="Arial" w:hint="cs"/>
          <w:rtl/>
        </w:rPr>
        <w:t xml:space="preserve"> </w:t>
      </w:r>
      <w:r w:rsidRPr="00550352">
        <w:rPr>
          <w:rFonts w:cs="Arial"/>
          <w:rtl/>
        </w:rPr>
        <w:t>תנו רבנן זכור את יום השבת לקדשו - זוכרהו על היין. אין לי אלא ביום, בלילה מנין - תלמוד לומר זכור את יום השבת לקדשו. בלילה מניין? אדרבה, עיקר קדושא בלילה הוא קדיש, דכי קדיש - תחלת יומא בעי לקידושי! ותו: בלילה מנין - תלמוד לומר זכור את יום. תנא מיהדר אלילה וקא נסיב ליה קרא דיממא! הכי קאמר: זכור את יום השבת לקדשו - זוכרהו על היין בכניסתו. אין לי אלא בלילה, ביום מנין - תלמוד לומר זכור את יום השבת.</w:t>
      </w:r>
      <w:r w:rsidRPr="00A53168">
        <w:rPr>
          <w:rFonts w:cs="Arial"/>
          <w:sz w:val="16"/>
          <w:szCs w:val="16"/>
          <w:rtl/>
        </w:rPr>
        <w:t xml:space="preserve"> </w:t>
      </w:r>
      <w:r>
        <w:rPr>
          <w:rFonts w:cs="Arial" w:hint="cs"/>
          <w:sz w:val="16"/>
          <w:szCs w:val="16"/>
          <w:rtl/>
        </w:rPr>
        <w:t>(</w:t>
      </w:r>
      <w:r w:rsidRPr="00A53168">
        <w:rPr>
          <w:rFonts w:cs="Arial"/>
          <w:sz w:val="16"/>
          <w:szCs w:val="16"/>
          <w:rtl/>
        </w:rPr>
        <w:t>ומפרש רבינו דהיינו לומר שתיכף שנכנס צריך לקדשו על היין</w:t>
      </w:r>
      <w:r>
        <w:rPr>
          <w:rFonts w:cs="Arial" w:hint="cs"/>
          <w:sz w:val="16"/>
          <w:szCs w:val="16"/>
          <w:rtl/>
        </w:rPr>
        <w:t>, ב"י)</w:t>
      </w:r>
    </w:p>
    <w:p w14:paraId="1B35945A" w14:textId="77777777" w:rsidR="004B2E7C" w:rsidRPr="00B87076" w:rsidRDefault="004B2E7C" w:rsidP="00434A6A">
      <w:pPr>
        <w:rPr>
          <w:u w:val="single"/>
          <w:rtl/>
        </w:rPr>
      </w:pPr>
      <w:r w:rsidRPr="00B87076">
        <w:rPr>
          <w:rFonts w:hint="cs"/>
          <w:u w:val="single"/>
          <w:rtl/>
        </w:rPr>
        <w:t>כשיבא לביתו ימהר לאכול:</w:t>
      </w:r>
    </w:p>
    <w:p w14:paraId="718901A8" w14:textId="77777777" w:rsidR="004B2E7C" w:rsidRPr="00B87076" w:rsidRDefault="004B2E7C" w:rsidP="00FF2D21">
      <w:pPr>
        <w:pStyle w:val="aa"/>
        <w:numPr>
          <w:ilvl w:val="0"/>
          <w:numId w:val="116"/>
        </w:numPr>
        <w:rPr>
          <w:rtl/>
        </w:rPr>
      </w:pPr>
      <w:bookmarkStart w:id="5" w:name="_Hlk77788953"/>
      <w:r>
        <w:rPr>
          <w:rFonts w:cs="Arial" w:hint="cs"/>
          <w:rtl/>
        </w:rPr>
        <w:t xml:space="preserve">טור- </w:t>
      </w:r>
      <w:bookmarkEnd w:id="5"/>
      <w:r w:rsidRPr="003A3CB9">
        <w:rPr>
          <w:rFonts w:cs="Arial"/>
          <w:rtl/>
        </w:rPr>
        <w:t>וכשיבא לביתו ימהר לאכול מיד</w:t>
      </w:r>
      <w:r w:rsidRPr="00A53168">
        <w:rPr>
          <w:rStyle w:val="a9"/>
          <w:rFonts w:cs="Arial"/>
          <w:rtl/>
        </w:rPr>
        <w:footnoteReference w:id="851"/>
      </w:r>
      <w:r>
        <w:rPr>
          <w:rFonts w:cs="Arial" w:hint="cs"/>
          <w:rtl/>
        </w:rPr>
        <w:t>,</w:t>
      </w:r>
      <w:r w:rsidRPr="003A3CB9">
        <w:rPr>
          <w:rFonts w:cs="Arial"/>
          <w:rtl/>
        </w:rPr>
        <w:t xml:space="preserve"> דתניא זכור את יום השבת לקדשו זכרהו על היין בכניסתו</w:t>
      </w:r>
      <w:r>
        <w:rPr>
          <w:rFonts w:cs="Arial" w:hint="cs"/>
          <w:rtl/>
        </w:rPr>
        <w:t>.</w:t>
      </w:r>
      <w:r w:rsidRPr="003A3CB9">
        <w:rPr>
          <w:rFonts w:cs="Arial"/>
          <w:rtl/>
        </w:rPr>
        <w:t xml:space="preserve"> </w:t>
      </w:r>
      <w:r w:rsidRPr="00B8142A">
        <w:rPr>
          <w:rFonts w:cs="Arial" w:hint="cs"/>
          <w:color w:val="E36C0A" w:themeColor="accent6" w:themeShade="BF"/>
          <w:rtl/>
        </w:rPr>
        <w:t>(וכ"פ בשו"ע)</w:t>
      </w:r>
      <w:r w:rsidRPr="00A53168">
        <w:rPr>
          <w:rFonts w:cs="Arial"/>
          <w:rtl/>
        </w:rPr>
        <w:t xml:space="preserve"> </w:t>
      </w:r>
    </w:p>
    <w:p w14:paraId="30117661"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8F733E4" w14:textId="77777777" w:rsidR="004B2E7C" w:rsidRDefault="004B2E7C" w:rsidP="00434A6A">
      <w:pPr>
        <w:rPr>
          <w:rFonts w:asciiTheme="minorBidi" w:hAnsiTheme="minorBidi"/>
          <w:rtl/>
        </w:rPr>
      </w:pPr>
      <w:r w:rsidRPr="00CC2350">
        <w:rPr>
          <w:rFonts w:asciiTheme="minorBidi" w:hAnsiTheme="minorBidi" w:cs="Arial"/>
          <w:rtl/>
        </w:rPr>
        <w:t>כשיבא לביתו ימהר לאכול מיד</w:t>
      </w:r>
      <w:r>
        <w:rPr>
          <w:rStyle w:val="a9"/>
          <w:rFonts w:asciiTheme="minorBidi" w:hAnsiTheme="minorBidi" w:cs="Arial"/>
          <w:rtl/>
        </w:rPr>
        <w:footnoteReference w:id="852"/>
      </w:r>
      <w:r w:rsidRPr="00CC2350">
        <w:rPr>
          <w:rFonts w:asciiTheme="minorBidi" w:hAnsiTheme="minorBidi" w:cs="Arial"/>
          <w:rtl/>
        </w:rPr>
        <w:t xml:space="preserve">. </w:t>
      </w:r>
    </w:p>
    <w:p w14:paraId="2E8E84B3" w14:textId="77777777" w:rsidR="004B2E7C" w:rsidRPr="00CC2350" w:rsidRDefault="004B2E7C" w:rsidP="00434A6A">
      <w:pPr>
        <w:rPr>
          <w:rFonts w:asciiTheme="minorBidi" w:hAnsiTheme="minorBidi"/>
          <w:rtl/>
        </w:rPr>
      </w:pPr>
    </w:p>
    <w:p w14:paraId="2C859CD2" w14:textId="77777777" w:rsidR="004B2E7C" w:rsidRDefault="004B2E7C" w:rsidP="00434A6A">
      <w:pPr>
        <w:pStyle w:val="2"/>
        <w:rPr>
          <w:rtl/>
        </w:rPr>
      </w:pPr>
      <w:r w:rsidRPr="00CC2350">
        <w:rPr>
          <w:rtl/>
        </w:rPr>
        <w:t>סעיף ב</w:t>
      </w:r>
      <w:r>
        <w:rPr>
          <w:rFonts w:hint="cs"/>
          <w:rtl/>
        </w:rPr>
        <w:t>: חיוב נשים בקידוש.</w:t>
      </w:r>
    </w:p>
    <w:p w14:paraId="1CDDFD4E" w14:textId="77777777" w:rsidR="004B2E7C" w:rsidRDefault="004B2E7C" w:rsidP="00434A6A">
      <w:pPr>
        <w:rPr>
          <w:rFonts w:cs="Arial"/>
          <w:rtl/>
        </w:rPr>
      </w:pPr>
      <w:r>
        <w:rPr>
          <w:rFonts w:cs="Arial" w:hint="cs"/>
          <w:b/>
          <w:bCs/>
          <w:rtl/>
        </w:rPr>
        <w:t xml:space="preserve">ברכות </w:t>
      </w:r>
      <w:r w:rsidRPr="00E5405D">
        <w:rPr>
          <w:rFonts w:cs="Arial" w:hint="cs"/>
          <w:b/>
          <w:bCs/>
          <w:sz w:val="16"/>
          <w:szCs w:val="16"/>
          <w:rtl/>
        </w:rPr>
        <w:t xml:space="preserve">(פ' מי שמתו) </w:t>
      </w:r>
      <w:r>
        <w:rPr>
          <w:rFonts w:cs="Arial" w:hint="cs"/>
          <w:b/>
          <w:bCs/>
          <w:rtl/>
        </w:rPr>
        <w:t xml:space="preserve">כ ע"ב: </w:t>
      </w:r>
      <w:r w:rsidRPr="00E5405D">
        <w:rPr>
          <w:rFonts w:cs="Arial"/>
          <w:u w:val="single"/>
          <w:rtl/>
        </w:rPr>
        <w:t>אמר רב אדא בר אהבה</w:t>
      </w:r>
      <w:r w:rsidRPr="00E5405D">
        <w:rPr>
          <w:rFonts w:cs="Arial"/>
          <w:rtl/>
        </w:rPr>
        <w:t xml:space="preserve">: נשים חייבות בקדוש היום דבר תורה. אמאי? מצות עשה שהזמן גרמא הוא, וכל מצות עשה שהזמן גרמא נשים פטורות! </w:t>
      </w:r>
      <w:r w:rsidRPr="00E5405D">
        <w:rPr>
          <w:rFonts w:cs="Arial"/>
          <w:u w:val="single"/>
          <w:rtl/>
        </w:rPr>
        <w:t>אמר אביי</w:t>
      </w:r>
      <w:r w:rsidRPr="00E5405D">
        <w:rPr>
          <w:rFonts w:cs="Arial"/>
          <w:rtl/>
        </w:rPr>
        <w:t xml:space="preserve">: מדרבנן. </w:t>
      </w:r>
      <w:r w:rsidRPr="00E5405D">
        <w:rPr>
          <w:rFonts w:cs="Arial"/>
          <w:u w:val="single"/>
          <w:rtl/>
        </w:rPr>
        <w:t>אמר ליה רבא</w:t>
      </w:r>
      <w:r w:rsidRPr="00E5405D">
        <w:rPr>
          <w:rFonts w:cs="Arial"/>
          <w:rtl/>
        </w:rPr>
        <w:t xml:space="preserve">: והא דבר תורה קאמר! ועוד, כל מצות עשה נחייבינהו מדרבנן! </w:t>
      </w:r>
      <w:r w:rsidRPr="00E5405D">
        <w:rPr>
          <w:rFonts w:cs="Arial"/>
          <w:u w:val="single"/>
          <w:rtl/>
        </w:rPr>
        <w:t>אלא אמר רבא</w:t>
      </w:r>
      <w:r w:rsidRPr="00E5405D">
        <w:rPr>
          <w:rFonts w:cs="Arial"/>
          <w:rtl/>
        </w:rPr>
        <w:t xml:space="preserve">: אמר קרא זכור ושמור - כל שישנו בשמירה ישנו בזכירה, והני נשי, הואיל ואיתנהו בשמירה - איתנהו בזכירה. </w:t>
      </w:r>
    </w:p>
    <w:p w14:paraId="0B4B6B16" w14:textId="77777777" w:rsidR="004B2E7C" w:rsidRPr="00B87076" w:rsidRDefault="004B2E7C" w:rsidP="00434A6A">
      <w:pPr>
        <w:rPr>
          <w:u w:val="single"/>
          <w:rtl/>
        </w:rPr>
      </w:pPr>
      <w:r w:rsidRPr="00B87076">
        <w:rPr>
          <w:rFonts w:hint="cs"/>
          <w:u w:val="single"/>
          <w:rtl/>
        </w:rPr>
        <w:t>חיוב נשים בקידוש:</w:t>
      </w:r>
    </w:p>
    <w:p w14:paraId="6757E4FC" w14:textId="77777777" w:rsidR="004B2E7C" w:rsidRDefault="004B2E7C" w:rsidP="00FF2D21">
      <w:pPr>
        <w:pStyle w:val="aa"/>
        <w:numPr>
          <w:ilvl w:val="0"/>
          <w:numId w:val="116"/>
        </w:numPr>
      </w:pPr>
      <w:r>
        <w:rPr>
          <w:rFonts w:cs="Arial" w:hint="cs"/>
          <w:rtl/>
        </w:rPr>
        <w:t xml:space="preserve">טור- </w:t>
      </w:r>
      <w:r w:rsidRPr="003A3CB9">
        <w:rPr>
          <w:rFonts w:cs="Arial"/>
          <w:rtl/>
        </w:rPr>
        <w:t>ואחד אנשים ואחד נשים חייבים בקידוש היום</w:t>
      </w:r>
      <w:r>
        <w:rPr>
          <w:rFonts w:cs="Arial" w:hint="cs"/>
          <w:rtl/>
        </w:rPr>
        <w:t>.</w:t>
      </w:r>
      <w:r w:rsidRPr="003A3CB9">
        <w:rPr>
          <w:rFonts w:cs="Arial"/>
          <w:rtl/>
        </w:rPr>
        <w:t xml:space="preserve"> </w:t>
      </w:r>
      <w:r w:rsidRPr="00B8142A">
        <w:rPr>
          <w:rFonts w:cs="Arial" w:hint="cs"/>
          <w:color w:val="E36C0A" w:themeColor="accent6" w:themeShade="BF"/>
          <w:rtl/>
        </w:rPr>
        <w:t>(וכ"פ בשו"ע)</w:t>
      </w:r>
    </w:p>
    <w:p w14:paraId="31F88804" w14:textId="77777777" w:rsidR="004B2E7C" w:rsidRPr="00E5405D" w:rsidRDefault="004B2E7C" w:rsidP="00434A6A">
      <w:pPr>
        <w:ind w:left="360"/>
        <w:rPr>
          <w:u w:val="dotted"/>
        </w:rPr>
      </w:pPr>
      <w:r w:rsidRPr="00E5405D">
        <w:rPr>
          <w:rFonts w:hint="cs"/>
          <w:u w:val="dotted"/>
          <w:rtl/>
        </w:rPr>
        <w:t>האם נשים יכולות להוציא גברים ידי חובת קידוש:</w:t>
      </w:r>
    </w:p>
    <w:p w14:paraId="2686CD95" w14:textId="77777777" w:rsidR="004B2E7C" w:rsidRPr="00146CF1" w:rsidRDefault="004B2E7C" w:rsidP="00FF2D21">
      <w:pPr>
        <w:pStyle w:val="aa"/>
        <w:numPr>
          <w:ilvl w:val="0"/>
          <w:numId w:val="116"/>
        </w:numPr>
        <w:rPr>
          <w:rtl/>
        </w:rPr>
      </w:pPr>
      <w:r w:rsidRPr="00E5405D">
        <w:rPr>
          <w:rFonts w:cs="Arial"/>
          <w:rtl/>
        </w:rPr>
        <w:t>כל בו</w:t>
      </w:r>
      <w:r w:rsidRPr="00E5405D">
        <w:rPr>
          <w:rFonts w:cs="Arial"/>
          <w:sz w:val="16"/>
          <w:szCs w:val="16"/>
          <w:rtl/>
        </w:rPr>
        <w:t xml:space="preserve"> (סי' לא, לד ע"ג)</w:t>
      </w:r>
      <w:r>
        <w:rPr>
          <w:rFonts w:cs="Arial" w:hint="cs"/>
          <w:rtl/>
        </w:rPr>
        <w:t>- נשים</w:t>
      </w:r>
      <w:r w:rsidRPr="00E5405D">
        <w:rPr>
          <w:rFonts w:cs="Arial"/>
          <w:rtl/>
        </w:rPr>
        <w:t xml:space="preserve"> מוציאות את האנשים הואיל וחייבות מן התורה כמותם</w:t>
      </w:r>
      <w:r w:rsidRPr="00E5405D">
        <w:rPr>
          <w:rFonts w:cs="Arial" w:hint="cs"/>
          <w:rtl/>
        </w:rPr>
        <w:t>.</w:t>
      </w:r>
      <w:r w:rsidRPr="00E5405D">
        <w:rPr>
          <w:rFonts w:cs="Arial" w:hint="cs"/>
          <w:color w:val="E36C0A" w:themeColor="accent6" w:themeShade="BF"/>
          <w:rtl/>
        </w:rPr>
        <w:t xml:space="preserve"> </w:t>
      </w:r>
      <w:r w:rsidRPr="00B8142A">
        <w:rPr>
          <w:rFonts w:cs="Arial" w:hint="cs"/>
          <w:color w:val="E36C0A" w:themeColor="accent6" w:themeShade="BF"/>
          <w:rtl/>
        </w:rPr>
        <w:t>(וכ"פ בשו"ע)</w:t>
      </w:r>
    </w:p>
    <w:p w14:paraId="1C899596"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53C67C4" w14:textId="77777777" w:rsidR="004B2E7C" w:rsidRDefault="004B2E7C" w:rsidP="00434A6A">
      <w:pPr>
        <w:rPr>
          <w:rFonts w:asciiTheme="minorBidi" w:hAnsiTheme="minorBidi"/>
          <w:rtl/>
        </w:rPr>
      </w:pPr>
      <w:r w:rsidRPr="00CC2350">
        <w:rPr>
          <w:rFonts w:asciiTheme="minorBidi" w:hAnsiTheme="minorBidi" w:cs="Arial"/>
          <w:rtl/>
        </w:rPr>
        <w:t xml:space="preserve">נשים חייבות בקידוש אף על פי שהוא מצות עשה שהזמן גרמא, משום דאיתקש זכור </w:t>
      </w:r>
      <w:r w:rsidRPr="00E5405D">
        <w:rPr>
          <w:rFonts w:asciiTheme="minorBidi" w:hAnsiTheme="minorBidi" w:cs="Arial"/>
          <w:sz w:val="16"/>
          <w:szCs w:val="16"/>
          <w:rtl/>
        </w:rPr>
        <w:t xml:space="preserve">(שמות כ, ח) </w:t>
      </w:r>
      <w:r w:rsidRPr="00CC2350">
        <w:rPr>
          <w:rFonts w:asciiTheme="minorBidi" w:hAnsiTheme="minorBidi" w:cs="Arial"/>
          <w:rtl/>
        </w:rPr>
        <w:t xml:space="preserve">לשמור </w:t>
      </w:r>
      <w:r w:rsidRPr="00E5405D">
        <w:rPr>
          <w:rFonts w:asciiTheme="minorBidi" w:hAnsiTheme="minorBidi" w:cs="Arial"/>
          <w:sz w:val="16"/>
          <w:szCs w:val="16"/>
          <w:rtl/>
        </w:rPr>
        <w:t>(דברים ה, יב)</w:t>
      </w:r>
      <w:r>
        <w:rPr>
          <w:rFonts w:asciiTheme="minorBidi" w:hAnsiTheme="minorBidi" w:cs="Arial" w:hint="cs"/>
          <w:rtl/>
        </w:rPr>
        <w:t>.</w:t>
      </w:r>
      <w:r w:rsidRPr="00CC2350">
        <w:rPr>
          <w:rFonts w:asciiTheme="minorBidi" w:hAnsiTheme="minorBidi" w:cs="Arial"/>
          <w:rtl/>
        </w:rPr>
        <w:t xml:space="preserve"> והני נשי הואיל ואיתנהו בשמירה</w:t>
      </w:r>
      <w:r>
        <w:rPr>
          <w:rFonts w:asciiTheme="minorBidi" w:hAnsiTheme="minorBidi" w:cs="Arial" w:hint="cs"/>
          <w:rtl/>
        </w:rPr>
        <w:t>,</w:t>
      </w:r>
      <w:r w:rsidRPr="00CC2350">
        <w:rPr>
          <w:rFonts w:asciiTheme="minorBidi" w:hAnsiTheme="minorBidi" w:cs="Arial"/>
          <w:rtl/>
        </w:rPr>
        <w:t xml:space="preserve"> איתנהו בזכירה</w:t>
      </w:r>
      <w:r>
        <w:rPr>
          <w:rFonts w:asciiTheme="minorBidi" w:hAnsiTheme="minorBidi" w:cs="Arial" w:hint="cs"/>
          <w:rtl/>
        </w:rPr>
        <w:t>.</w:t>
      </w:r>
      <w:r w:rsidRPr="00CC2350">
        <w:rPr>
          <w:rFonts w:asciiTheme="minorBidi" w:hAnsiTheme="minorBidi" w:cs="Arial"/>
          <w:rtl/>
        </w:rPr>
        <w:t xml:space="preserve"> ומוציאות את האנשים</w:t>
      </w:r>
      <w:r>
        <w:rPr>
          <w:rFonts w:asciiTheme="minorBidi" w:hAnsiTheme="minorBidi" w:cs="Arial" w:hint="cs"/>
          <w:rtl/>
        </w:rPr>
        <w:t>,</w:t>
      </w:r>
      <w:r w:rsidRPr="00CC2350">
        <w:rPr>
          <w:rFonts w:asciiTheme="minorBidi" w:hAnsiTheme="minorBidi" w:cs="Arial"/>
          <w:rtl/>
        </w:rPr>
        <w:t xml:space="preserve"> הואיל וחייבות מן התורה כמותם. </w:t>
      </w:r>
    </w:p>
    <w:p w14:paraId="5965C6F5" w14:textId="77777777" w:rsidR="004B2E7C" w:rsidRPr="00E5405D" w:rsidRDefault="004B2E7C" w:rsidP="00434A6A">
      <w:pPr>
        <w:rPr>
          <w:rFonts w:asciiTheme="minorBidi" w:hAnsiTheme="minorBidi"/>
          <w:u w:val="single"/>
          <w:rtl/>
        </w:rPr>
      </w:pPr>
      <w:r>
        <w:rPr>
          <w:rFonts w:asciiTheme="minorBidi" w:hAnsiTheme="minorBidi" w:hint="cs"/>
          <w:u w:val="single"/>
          <w:rtl/>
        </w:rPr>
        <w:t>האם יוצאים ידי חובת קידוש מדאורייתא בתפילה, והקידוש על הכוס הוא רק מדרבנן:</w:t>
      </w:r>
    </w:p>
    <w:p w14:paraId="308E8F67" w14:textId="77777777" w:rsidR="004B2E7C" w:rsidRDefault="004B2E7C" w:rsidP="00FF2D21">
      <w:pPr>
        <w:pStyle w:val="aa"/>
        <w:numPr>
          <w:ilvl w:val="0"/>
          <w:numId w:val="116"/>
        </w:numPr>
        <w:rPr>
          <w:rFonts w:asciiTheme="minorBidi" w:hAnsiTheme="minorBidi"/>
        </w:rPr>
      </w:pPr>
      <w:r w:rsidRPr="00E5405D">
        <w:rPr>
          <w:rFonts w:asciiTheme="minorBidi" w:hAnsiTheme="minorBidi" w:cs="Arial" w:hint="cs"/>
          <w:rtl/>
        </w:rPr>
        <w:t xml:space="preserve">ביאור הלכה </w:t>
      </w:r>
      <w:r w:rsidRPr="00E5405D">
        <w:rPr>
          <w:rFonts w:asciiTheme="minorBidi" w:hAnsiTheme="minorBidi" w:cs="Arial" w:hint="cs"/>
          <w:sz w:val="16"/>
          <w:szCs w:val="16"/>
          <w:rtl/>
        </w:rPr>
        <w:t xml:space="preserve">(סע' א ד"ה </w:t>
      </w:r>
      <w:r w:rsidRPr="00E5405D">
        <w:rPr>
          <w:rFonts w:asciiTheme="minorBidi" w:hAnsiTheme="minorBidi" w:cs="Arial"/>
          <w:sz w:val="16"/>
          <w:szCs w:val="16"/>
          <w:rtl/>
        </w:rPr>
        <w:t>מיד</w:t>
      </w:r>
      <w:r w:rsidRPr="00E5405D">
        <w:rPr>
          <w:rFonts w:asciiTheme="minorBidi" w:hAnsiTheme="minorBidi" w:cs="Arial" w:hint="cs"/>
          <w:sz w:val="16"/>
          <w:szCs w:val="16"/>
          <w:rtl/>
        </w:rPr>
        <w:t>)</w:t>
      </w:r>
      <w:r w:rsidRPr="00E5405D">
        <w:rPr>
          <w:rFonts w:asciiTheme="minorBidi" w:hAnsiTheme="minorBidi" w:cs="Arial"/>
          <w:rtl/>
        </w:rPr>
        <w:t>- הנה קידוש היום הוא מ"ע דאורייתא לכל הפוסקים ממה דכתיב זכור את יום השבת לקדשו וכתב הרמב"ם בפרק כ"ט מהלכות שבת דהמ"ע נוכל לקיים בזכירת שבחו של יום וקידושו בלבד</w:t>
      </w:r>
      <w:r>
        <w:rPr>
          <w:rFonts w:asciiTheme="minorBidi" w:hAnsiTheme="minorBidi" w:cs="Arial" w:hint="cs"/>
          <w:rtl/>
        </w:rPr>
        <w:t>,</w:t>
      </w:r>
      <w:r w:rsidRPr="00E5405D">
        <w:rPr>
          <w:rFonts w:asciiTheme="minorBidi" w:hAnsiTheme="minorBidi" w:cs="Arial"/>
          <w:rtl/>
        </w:rPr>
        <w:t xml:space="preserve"> ומה דמקדשין על הכוס הוא רק מד"ס בלבד</w:t>
      </w:r>
      <w:r>
        <w:rPr>
          <w:rFonts w:asciiTheme="minorBidi" w:hAnsiTheme="minorBidi" w:cs="Arial" w:hint="cs"/>
          <w:rtl/>
        </w:rPr>
        <w:t>.</w:t>
      </w:r>
      <w:r w:rsidRPr="00E5405D">
        <w:rPr>
          <w:rFonts w:asciiTheme="minorBidi" w:hAnsiTheme="minorBidi" w:cs="Arial"/>
          <w:rtl/>
        </w:rPr>
        <w:t xml:space="preserve"> והוזכר שיטתו עוד בכמה פוסקים ראשונים</w:t>
      </w:r>
      <w:r>
        <w:rPr>
          <w:rFonts w:asciiTheme="minorBidi" w:hAnsiTheme="minorBidi" w:cs="Arial" w:hint="cs"/>
          <w:rtl/>
        </w:rPr>
        <w:t>.</w:t>
      </w:r>
      <w:r w:rsidRPr="00E5405D">
        <w:rPr>
          <w:rFonts w:asciiTheme="minorBidi" w:hAnsiTheme="minorBidi" w:cs="Arial"/>
          <w:rtl/>
        </w:rPr>
        <w:t xml:space="preserve"> וכתב המ"א דלפ"ז בתפלה בלבד שבה נזכר קדושת היום מקיים המ"ע</w:t>
      </w:r>
      <w:r>
        <w:rPr>
          <w:rFonts w:asciiTheme="minorBidi" w:hAnsiTheme="minorBidi" w:cs="Arial" w:hint="cs"/>
          <w:rtl/>
        </w:rPr>
        <w:t>.</w:t>
      </w:r>
      <w:r w:rsidRPr="00E5405D">
        <w:rPr>
          <w:rFonts w:asciiTheme="minorBidi" w:hAnsiTheme="minorBidi" w:cs="Arial"/>
          <w:rtl/>
        </w:rPr>
        <w:t xml:space="preserve"> והביא עוד ראיה לזה מדאמר בברכות ל"ג ע"ב כשנסתפקו המבדיל בתפלה צריך שיבדיל על הכוס או לא והשיבו כי קידושא מה קידושא אף על גב דמקדש בצלותא הדר מקדש אכסא אף הבדלה נמי אף על גב דמבדיל בתפלה הדר מבדיל אכסא</w:t>
      </w:r>
      <w:r>
        <w:rPr>
          <w:rFonts w:asciiTheme="minorBidi" w:hAnsiTheme="minorBidi" w:cs="Arial" w:hint="cs"/>
          <w:rtl/>
        </w:rPr>
        <w:t>.</w:t>
      </w:r>
      <w:r w:rsidRPr="00E5405D">
        <w:rPr>
          <w:rFonts w:asciiTheme="minorBidi" w:hAnsiTheme="minorBidi" w:cs="Arial"/>
          <w:rtl/>
        </w:rPr>
        <w:t xml:space="preserve"> ועיין בחדושי רע"א שהביא דמדברי הר"ן בסוגיא דנר חנוכה ונר ביתו מוכח דס"ל דקידוש על היין או על הפת הוא דאורייתא</w:t>
      </w:r>
      <w:r>
        <w:rPr>
          <w:rFonts w:asciiTheme="minorBidi" w:hAnsiTheme="minorBidi" w:cs="Arial" w:hint="cs"/>
          <w:rtl/>
        </w:rPr>
        <w:t>.</w:t>
      </w:r>
      <w:r w:rsidRPr="00E5405D">
        <w:rPr>
          <w:rFonts w:asciiTheme="minorBidi" w:hAnsiTheme="minorBidi" w:cs="Arial"/>
          <w:rtl/>
        </w:rPr>
        <w:t xml:space="preserve"> [וכן מוכח ג"כ בדברי הרשב"א שם בהאי סוגיא ע"ש]</w:t>
      </w:r>
      <w:r>
        <w:rPr>
          <w:rFonts w:asciiTheme="minorBidi" w:hAnsiTheme="minorBidi" w:cs="Arial" w:hint="cs"/>
          <w:rtl/>
        </w:rPr>
        <w:t>.</w:t>
      </w:r>
      <w:r w:rsidRPr="00E5405D">
        <w:rPr>
          <w:rFonts w:asciiTheme="minorBidi" w:hAnsiTheme="minorBidi" w:cs="Arial"/>
          <w:rtl/>
        </w:rPr>
        <w:t xml:space="preserve"> וכן הביא שם עוד דמדברי הרא"ש בפרק ערבי פסחים מוכח ג"כ דס"ל דבתפלה בלבד אינו יוצא בודאי</w:t>
      </w:r>
      <w:r>
        <w:rPr>
          <w:rFonts w:asciiTheme="minorBidi" w:hAnsiTheme="minorBidi" w:cs="Arial" w:hint="cs"/>
          <w:rtl/>
        </w:rPr>
        <w:t>,</w:t>
      </w:r>
      <w:r w:rsidRPr="00E5405D">
        <w:rPr>
          <w:rFonts w:asciiTheme="minorBidi" w:hAnsiTheme="minorBidi" w:cs="Arial"/>
          <w:rtl/>
        </w:rPr>
        <w:t xml:space="preserve"> וביותר ס"ל דאפילו בקידוש גמור שלא במקום סעודה תיכף ג"כ אין יוצא מה"ת</w:t>
      </w:r>
      <w:r>
        <w:rPr>
          <w:rFonts w:asciiTheme="minorBidi" w:hAnsiTheme="minorBidi" w:cs="Arial" w:hint="cs"/>
          <w:rtl/>
        </w:rPr>
        <w:t>.</w:t>
      </w:r>
      <w:r w:rsidRPr="00E5405D">
        <w:rPr>
          <w:rFonts w:asciiTheme="minorBidi" w:hAnsiTheme="minorBidi" w:cs="Arial"/>
          <w:rtl/>
        </w:rPr>
        <w:t xml:space="preserve"> ולדעת רבינו יונה שם בקידוש גמור יוצא המ"ע דאורייתא אפילו שלא במקום סעודה</w:t>
      </w:r>
      <w:r>
        <w:rPr>
          <w:rFonts w:asciiTheme="minorBidi" w:hAnsiTheme="minorBidi" w:cs="Arial" w:hint="cs"/>
          <w:rtl/>
        </w:rPr>
        <w:t>.</w:t>
      </w:r>
      <w:r w:rsidRPr="00E5405D">
        <w:rPr>
          <w:rFonts w:asciiTheme="minorBidi" w:hAnsiTheme="minorBidi" w:cs="Arial"/>
          <w:rtl/>
        </w:rPr>
        <w:t xml:space="preserve"> [וצריך להבין איך יפרנס הרא"ש והר"ן והרשב"א את מה שאמר הגמרא מה קידושא אף על גב דמקדש בצלותא וכו' ויש לומר דה"ק מה קידושא אף על גב שקידש בתפלה צריך לקדש עוד הפעם על הכוס והיינו מדכתיב זכור וקי"ל זכרהו על היין או על הפת דהוא ג"כ במקום יין ואם לא אינו יוצא כלל ידי קידוש אף הבדלה נמי דתקון רבנן כעין דאורייתא תקון וע"כ אף על גב דאבדיל בצלותא צריך להבדיל על הכוס ואם לאו אינו יוצא כלל ידי הבדלה ולדעת רבינו יונה ג"כ ניחא דהגמרא מביא ראיה דבצלותא בלבד אינו יוצא ידי הבדלה כלל כמו שאינו יוצא שם כלל בקידושא דבצלותא]. </w:t>
      </w:r>
      <w:r w:rsidRPr="003D1F17">
        <w:rPr>
          <w:rFonts w:asciiTheme="minorBidi" w:hAnsiTheme="minorBidi" w:cs="Arial"/>
          <w:rtl/>
        </w:rPr>
        <w:t>עוד ראיתי לעורר בדין זה דהא איתא בפסחים קי"ז ע"ב אמר רב אחא בר יעקב וצריך להזכיר יציאת מצרים בקידוש היום</w:t>
      </w:r>
      <w:r w:rsidRPr="003D1F17">
        <w:rPr>
          <w:rFonts w:asciiTheme="minorBidi" w:hAnsiTheme="minorBidi" w:cs="Arial" w:hint="cs"/>
          <w:rtl/>
        </w:rPr>
        <w:t>,</w:t>
      </w:r>
      <w:r w:rsidRPr="003D1F17">
        <w:rPr>
          <w:rFonts w:asciiTheme="minorBidi" w:hAnsiTheme="minorBidi" w:cs="Arial"/>
          <w:rtl/>
        </w:rPr>
        <w:t xml:space="preserve"> כתיב הכא זכור וגו' וכתיב התם למען תזכור וגו' [ואף דבכל לילה צריך להזכיר ג"כ יצ"מ שם יש לו רשות להזכיר כל הלילה והכא לענין קידוש מקפיד הכתוב שיזכור אצל קידוש]</w:t>
      </w:r>
      <w:r w:rsidRPr="003D1F17">
        <w:rPr>
          <w:rFonts w:asciiTheme="minorBidi" w:hAnsiTheme="minorBidi" w:cs="Arial" w:hint="cs"/>
          <w:rtl/>
        </w:rPr>
        <w:t>.</w:t>
      </w:r>
      <w:r w:rsidRPr="003D1F17">
        <w:rPr>
          <w:rFonts w:asciiTheme="minorBidi" w:hAnsiTheme="minorBidi" w:cs="Arial"/>
          <w:rtl/>
        </w:rPr>
        <w:t xml:space="preserve"> והובא מימרא זו בר"ח שלפנינו וגם ברי"ף ורא"ש</w:t>
      </w:r>
      <w:r w:rsidRPr="003D1F17">
        <w:rPr>
          <w:rFonts w:asciiTheme="minorBidi" w:hAnsiTheme="minorBidi" w:cs="Arial" w:hint="cs"/>
          <w:rtl/>
        </w:rPr>
        <w:t>.</w:t>
      </w:r>
      <w:r w:rsidRPr="003D1F17">
        <w:rPr>
          <w:rFonts w:asciiTheme="minorBidi" w:hAnsiTheme="minorBidi" w:cs="Arial"/>
          <w:rtl/>
        </w:rPr>
        <w:t xml:space="preserve"> וא"כ איך יוצא ידי קידוש בתפלה הא לא נזכר בתפלת לילה יציאת מצרים כלל</w:t>
      </w:r>
      <w:r w:rsidRPr="003D1F17">
        <w:rPr>
          <w:rFonts w:asciiTheme="minorBidi" w:hAnsiTheme="minorBidi" w:cs="Arial" w:hint="cs"/>
          <w:rtl/>
        </w:rPr>
        <w:t>.</w:t>
      </w:r>
      <w:r w:rsidRPr="003D1F17">
        <w:rPr>
          <w:rFonts w:asciiTheme="minorBidi" w:hAnsiTheme="minorBidi" w:cs="Arial"/>
          <w:rtl/>
        </w:rPr>
        <w:t xml:space="preserve"> [ובתפלת שחרית ראיתי בהגהת מראה כהן שהביא בשם הכלבו הנוסחא זכר למעשה בראשית וליציאת מצרים]</w:t>
      </w:r>
      <w:r w:rsidRPr="003D1F17">
        <w:rPr>
          <w:rFonts w:asciiTheme="minorBidi" w:hAnsiTheme="minorBidi" w:cs="Arial" w:hint="cs"/>
          <w:rtl/>
        </w:rPr>
        <w:t>.</w:t>
      </w:r>
      <w:r w:rsidRPr="003D1F17">
        <w:rPr>
          <w:rFonts w:asciiTheme="minorBidi" w:hAnsiTheme="minorBidi" w:cs="Arial"/>
          <w:rtl/>
        </w:rPr>
        <w:t xml:space="preserve"> ואף שברשב"ם כתב שם דצריך להזכיר יצ"מ בצלותא ועל הכוס</w:t>
      </w:r>
      <w:r w:rsidRPr="003D1F17">
        <w:rPr>
          <w:rFonts w:asciiTheme="minorBidi" w:hAnsiTheme="minorBidi" w:cs="Arial" w:hint="cs"/>
          <w:rtl/>
        </w:rPr>
        <w:t>,</w:t>
      </w:r>
      <w:r w:rsidRPr="003D1F17">
        <w:rPr>
          <w:rFonts w:asciiTheme="minorBidi" w:hAnsiTheme="minorBidi" w:cs="Arial"/>
          <w:rtl/>
        </w:rPr>
        <w:t xml:space="preserve"> אבל בנוסח תפלתנו לא נזכר יצ"מ כלל</w:t>
      </w:r>
      <w:r w:rsidRPr="003D1F17">
        <w:rPr>
          <w:rFonts w:asciiTheme="minorBidi" w:hAnsiTheme="minorBidi" w:cs="Arial" w:hint="cs"/>
          <w:rtl/>
        </w:rPr>
        <w:t>,</w:t>
      </w:r>
      <w:r w:rsidRPr="003D1F17">
        <w:rPr>
          <w:rFonts w:asciiTheme="minorBidi" w:hAnsiTheme="minorBidi" w:cs="Arial"/>
          <w:rtl/>
        </w:rPr>
        <w:t xml:space="preserve"> ואיך כתב המ"א דיוצא בזה</w:t>
      </w:r>
      <w:r w:rsidRPr="003D1F17">
        <w:rPr>
          <w:rFonts w:asciiTheme="minorBidi" w:hAnsiTheme="minorBidi" w:cs="Arial" w:hint="cs"/>
          <w:rtl/>
        </w:rPr>
        <w:t>.</w:t>
      </w:r>
      <w:r w:rsidRPr="003D1F17">
        <w:rPr>
          <w:rFonts w:asciiTheme="minorBidi" w:hAnsiTheme="minorBidi" w:cs="Arial"/>
          <w:rtl/>
        </w:rPr>
        <w:t xml:space="preserve"> ועל הרמב"ם לא קשה כלל דמה שאמר דיוצא בזכירת דברים היינו כשמזכיר בה גם יציאת מצרים וכמו שכתב בהדיא בסה"מ מצוה קנ"ה</w:t>
      </w:r>
      <w:r w:rsidRPr="003D1F17">
        <w:rPr>
          <w:rFonts w:asciiTheme="minorBidi" w:hAnsiTheme="minorBidi" w:cs="Arial" w:hint="cs"/>
          <w:rtl/>
        </w:rPr>
        <w:t>.</w:t>
      </w:r>
      <w:r w:rsidRPr="003D1F17">
        <w:rPr>
          <w:rFonts w:asciiTheme="minorBidi" w:hAnsiTheme="minorBidi" w:cs="Arial"/>
          <w:rtl/>
        </w:rPr>
        <w:t xml:space="preserve"> ומשמע ג"כ דס"ל דהוא דאורייתא ולא אסמכתא בעלמא מדכתב שם זה בבאור המ"ע [אך לפלא מה שהשמיט זה ברמב"ם גופא וצ"ע]</w:t>
      </w:r>
      <w:r w:rsidRPr="003D1F17">
        <w:rPr>
          <w:rFonts w:asciiTheme="minorBidi" w:hAnsiTheme="minorBidi" w:cs="Arial" w:hint="cs"/>
          <w:rtl/>
        </w:rPr>
        <w:t>.</w:t>
      </w:r>
      <w:r w:rsidRPr="003D1F17">
        <w:rPr>
          <w:rFonts w:asciiTheme="minorBidi" w:hAnsiTheme="minorBidi" w:cs="Arial"/>
          <w:rtl/>
        </w:rPr>
        <w:t xml:space="preserve"> אבל על המ"א ושארי אחרונים שהעתיקו דבריו להלכה קשה איך העלימו עין מזה</w:t>
      </w:r>
      <w:r w:rsidRPr="003D1F17">
        <w:rPr>
          <w:rFonts w:asciiTheme="minorBidi" w:hAnsiTheme="minorBidi" w:cs="Arial" w:hint="cs"/>
          <w:rtl/>
        </w:rPr>
        <w:t>.</w:t>
      </w:r>
      <w:r w:rsidRPr="003D1F17">
        <w:rPr>
          <w:rFonts w:asciiTheme="minorBidi" w:hAnsiTheme="minorBidi" w:cs="Arial"/>
          <w:rtl/>
        </w:rPr>
        <w:t xml:space="preserve"> ושמעתי שבספר מנחת חינוך ג"כ הפליא בזה על המ"א</w:t>
      </w:r>
      <w:r w:rsidRPr="003D1F17">
        <w:rPr>
          <w:rFonts w:asciiTheme="minorBidi" w:hAnsiTheme="minorBidi" w:cs="Arial" w:hint="cs"/>
          <w:rtl/>
        </w:rPr>
        <w:t>,</w:t>
      </w:r>
      <w:r w:rsidRPr="003D1F17">
        <w:rPr>
          <w:rFonts w:asciiTheme="minorBidi" w:hAnsiTheme="minorBidi" w:cs="Arial"/>
          <w:rtl/>
        </w:rPr>
        <w:t xml:space="preserve"> ומחמת זה מסיק להלכה דלא כוותיה</w:t>
      </w:r>
      <w:r w:rsidRPr="003D1F17">
        <w:rPr>
          <w:rFonts w:asciiTheme="minorBidi" w:hAnsiTheme="minorBidi" w:cs="Arial" w:hint="cs"/>
          <w:rtl/>
        </w:rPr>
        <w:t>.</w:t>
      </w:r>
      <w:r w:rsidRPr="003D1F17">
        <w:rPr>
          <w:rFonts w:asciiTheme="minorBidi" w:hAnsiTheme="minorBidi" w:cs="Arial"/>
          <w:rtl/>
        </w:rPr>
        <w:t xml:space="preserve"> ולענ"ד יש ליישב דבריו קצת או דסובר דהוא רק מדרבנן והגז"ש הוא אסמכתא בעלמא</w:t>
      </w:r>
      <w:r w:rsidRPr="003D1F17">
        <w:rPr>
          <w:rFonts w:asciiTheme="minorBidi" w:hAnsiTheme="minorBidi" w:cs="Arial" w:hint="cs"/>
          <w:rtl/>
        </w:rPr>
        <w:t>.</w:t>
      </w:r>
      <w:r w:rsidRPr="003D1F17">
        <w:rPr>
          <w:rFonts w:asciiTheme="minorBidi" w:hAnsiTheme="minorBidi" w:cs="Arial"/>
          <w:rtl/>
        </w:rPr>
        <w:t xml:space="preserve"> וגם דהגז"ש זכירה זכירה צריכינן להא דדרש בשבת פ"ו ע"ב ע"ש או דסובר דיוצא מן התורה במה שהזכיר יציאת מצרים סמוך לתפלה דהשכיבנו כגאולה אריכתא דמיא כמו שאמרו חז"ל ולא צריכינן שיזכיר דוקא בקידושא גופא</w:t>
      </w:r>
      <w:r w:rsidRPr="003D1F17">
        <w:rPr>
          <w:rFonts w:asciiTheme="minorBidi" w:hAnsiTheme="minorBidi" w:cs="Arial" w:hint="cs"/>
          <w:rtl/>
        </w:rPr>
        <w:t>.</w:t>
      </w:r>
      <w:r w:rsidRPr="003D1F17">
        <w:rPr>
          <w:rFonts w:asciiTheme="minorBidi" w:hAnsiTheme="minorBidi" w:cs="Arial"/>
          <w:rtl/>
        </w:rPr>
        <w:t xml:space="preserve"> אבל מ"מ הוא דוחק דהא מפסיק בג' ראשונות ואולי אפשר לומר דכיון שמזכיר פסוק ושמרו בני ישראל את השבת וגו' תיכף להשכיבנו שהיא גאולה אריכתא די בזה מן התורה שיש בזה שבחו של היום שבת ואף שלא הזכיר עדיין קדושת היום וברמב"ם נזכר שבח וקידוש זה הלא יזכיר תיכף אחר ג' ראשונות ובודאי לא נגרע המ"ע במה שהפסיק בג' ראשונות דהוא שבחו של הקדוש ברוך הוא בין שבח שבת לקידושו זהו הנ"ל ליישב דברי המ"א מפני חומר הקושיא אבל מ"מ לדינא צ"ע דאולי כונת הגמ' שיזכיר יצ"מ בתוך הקדוש ובנוסח תפלתנו לא מצינו זה</w:t>
      </w:r>
      <w:r w:rsidRPr="003D1F17">
        <w:rPr>
          <w:rFonts w:asciiTheme="minorBidi" w:hAnsiTheme="minorBidi" w:cs="Arial" w:hint="cs"/>
          <w:rtl/>
        </w:rPr>
        <w:t>.</w:t>
      </w:r>
      <w:r w:rsidRPr="003D1F17">
        <w:rPr>
          <w:rFonts w:asciiTheme="minorBidi" w:hAnsiTheme="minorBidi" w:cs="Arial"/>
          <w:rtl/>
        </w:rPr>
        <w:t xml:space="preserve"> ומפני כל הטעמים הנ"ל כתבנו בפנים שיש לפקפק בזה הרבה</w:t>
      </w:r>
      <w:r w:rsidRPr="003D1F17">
        <w:rPr>
          <w:rFonts w:asciiTheme="minorBidi" w:hAnsiTheme="minorBidi" w:cs="Arial" w:hint="cs"/>
          <w:rtl/>
        </w:rPr>
        <w:t>.</w:t>
      </w:r>
      <w:r w:rsidRPr="003D1F17">
        <w:rPr>
          <w:rFonts w:asciiTheme="minorBidi" w:hAnsiTheme="minorBidi" w:cs="Arial"/>
          <w:rtl/>
        </w:rPr>
        <w:t xml:space="preserve"> וגם בדה"ח כתב דלכתחלה יש לחוש לגדולי הפוסקים שס"ל דאין יוצא ד"ת בתפלה</w:t>
      </w:r>
      <w:r w:rsidRPr="003D1F17">
        <w:rPr>
          <w:rFonts w:asciiTheme="minorBidi" w:hAnsiTheme="minorBidi" w:cs="Arial" w:hint="cs"/>
          <w:rtl/>
        </w:rPr>
        <w:t>.</w:t>
      </w:r>
      <w:r w:rsidRPr="003D1F17">
        <w:rPr>
          <w:rFonts w:asciiTheme="minorBidi" w:hAnsiTheme="minorBidi" w:cs="Arial"/>
          <w:rtl/>
        </w:rPr>
        <w:t xml:space="preserve"> ומה שעוררתי עוד בפנים דהלא קי"ל דמצות צריכות כונה וכו'</w:t>
      </w:r>
      <w:r w:rsidRPr="003D1F17">
        <w:rPr>
          <w:rFonts w:asciiTheme="minorBidi" w:hAnsiTheme="minorBidi" w:cs="Arial" w:hint="cs"/>
          <w:rtl/>
        </w:rPr>
        <w:t>,</w:t>
      </w:r>
      <w:r w:rsidRPr="003D1F17">
        <w:rPr>
          <w:rFonts w:asciiTheme="minorBidi" w:hAnsiTheme="minorBidi" w:cs="Arial"/>
          <w:rtl/>
        </w:rPr>
        <w:t xml:space="preserve"> לזה התעורר בעל תו"ש ע"ש</w:t>
      </w:r>
      <w:r w:rsidRPr="003D1F17">
        <w:rPr>
          <w:rFonts w:asciiTheme="minorBidi" w:hAnsiTheme="minorBidi" w:cs="Arial" w:hint="cs"/>
          <w:rtl/>
        </w:rPr>
        <w:t>...</w:t>
      </w:r>
    </w:p>
    <w:p w14:paraId="6820398F" w14:textId="77777777" w:rsidR="004B2E7C" w:rsidRPr="003D1F17" w:rsidRDefault="004B2E7C" w:rsidP="00434A6A">
      <w:pPr>
        <w:rPr>
          <w:rFonts w:asciiTheme="minorBidi" w:hAnsiTheme="minorBidi"/>
          <w:u w:val="single"/>
        </w:rPr>
      </w:pPr>
      <w:r w:rsidRPr="003D1F17">
        <w:rPr>
          <w:rFonts w:asciiTheme="minorBidi" w:hAnsiTheme="minorBidi" w:hint="cs"/>
          <w:u w:val="single"/>
          <w:rtl/>
        </w:rPr>
        <w:t>האם ילד קטן יכול להוציא אשה ידי חובת קידוש:</w:t>
      </w:r>
    </w:p>
    <w:p w14:paraId="374D064E" w14:textId="77777777" w:rsidR="004B2E7C" w:rsidRPr="003D1F17" w:rsidRDefault="004B2E7C" w:rsidP="00FF2D21">
      <w:pPr>
        <w:pStyle w:val="aa"/>
        <w:numPr>
          <w:ilvl w:val="0"/>
          <w:numId w:val="116"/>
        </w:numPr>
        <w:rPr>
          <w:rFonts w:asciiTheme="minorBidi" w:hAnsiTheme="minorBidi"/>
          <w:rtl/>
        </w:rPr>
      </w:pPr>
      <w:r>
        <w:rPr>
          <w:rFonts w:asciiTheme="minorBidi" w:hAnsiTheme="minorBidi" w:cs="Arial" w:hint="cs"/>
          <w:rtl/>
        </w:rPr>
        <w:t xml:space="preserve">משנ"ב </w:t>
      </w:r>
      <w:r w:rsidRPr="003D1F17">
        <w:rPr>
          <w:rFonts w:asciiTheme="minorBidi" w:hAnsiTheme="minorBidi" w:cs="Arial" w:hint="cs"/>
          <w:sz w:val="16"/>
          <w:szCs w:val="16"/>
          <w:rtl/>
        </w:rPr>
        <w:t>(סק"ג)</w:t>
      </w:r>
      <w:r>
        <w:rPr>
          <w:rFonts w:asciiTheme="minorBidi" w:hAnsiTheme="minorBidi" w:cs="Arial" w:hint="cs"/>
          <w:rtl/>
        </w:rPr>
        <w:t xml:space="preserve">- </w:t>
      </w:r>
      <w:r w:rsidRPr="003D1F17">
        <w:rPr>
          <w:rFonts w:asciiTheme="minorBidi" w:hAnsiTheme="minorBidi" w:cs="Arial"/>
          <w:rtl/>
        </w:rPr>
        <w:t>פשוט דקטן אינו מוציא את האשה דלא אתי דרבנן ומפיק דאורייתא</w:t>
      </w:r>
      <w:r>
        <w:rPr>
          <w:rStyle w:val="a9"/>
          <w:rFonts w:asciiTheme="minorBidi" w:hAnsiTheme="minorBidi" w:cs="Arial"/>
          <w:rtl/>
        </w:rPr>
        <w:footnoteReference w:id="853"/>
      </w:r>
      <w:r>
        <w:rPr>
          <w:rFonts w:asciiTheme="minorBidi" w:hAnsiTheme="minorBidi" w:cs="Arial" w:hint="cs"/>
          <w:rtl/>
        </w:rPr>
        <w:t>.</w:t>
      </w:r>
      <w:r w:rsidRPr="003D1F17">
        <w:rPr>
          <w:rFonts w:asciiTheme="minorBidi" w:hAnsiTheme="minorBidi" w:cs="Arial"/>
          <w:rtl/>
        </w:rPr>
        <w:t xml:space="preserve"> ואפילו אם הוא בן י"ג שנה חיישינן שמא לא הביא שתי שערות</w:t>
      </w:r>
      <w:r>
        <w:rPr>
          <w:rFonts w:asciiTheme="minorBidi" w:hAnsiTheme="minorBidi" w:cs="Arial" w:hint="cs"/>
          <w:rtl/>
        </w:rPr>
        <w:t>,</w:t>
      </w:r>
      <w:r w:rsidRPr="003D1F17">
        <w:rPr>
          <w:rFonts w:asciiTheme="minorBidi" w:hAnsiTheme="minorBidi" w:cs="Arial"/>
          <w:rtl/>
        </w:rPr>
        <w:t xml:space="preserve"> דבמילי דאורייתא לא סמכינן אחזקה דמכיון שהגיע לכלל שנים הגיע לכלל סימני שערות עד שיתמלא זקנו כמ"ש בח"מ סימן ל"ה</w:t>
      </w:r>
      <w:r>
        <w:rPr>
          <w:rFonts w:asciiTheme="minorBidi" w:hAnsiTheme="minorBidi" w:cs="Arial" w:hint="cs"/>
          <w:rtl/>
        </w:rPr>
        <w:t>.</w:t>
      </w:r>
      <w:r w:rsidRPr="003D1F17">
        <w:rPr>
          <w:rFonts w:asciiTheme="minorBidi" w:hAnsiTheme="minorBidi" w:cs="Arial"/>
          <w:rtl/>
        </w:rPr>
        <w:t xml:space="preserve"> ולכן תקדש האשה לעצמה</w:t>
      </w:r>
      <w:r>
        <w:rPr>
          <w:rFonts w:asciiTheme="minorBidi" w:hAnsiTheme="minorBidi" w:cs="Arial" w:hint="cs"/>
          <w:rtl/>
        </w:rPr>
        <w:t>.</w:t>
      </w:r>
      <w:r w:rsidRPr="003D1F17">
        <w:rPr>
          <w:rFonts w:asciiTheme="minorBidi" w:hAnsiTheme="minorBidi" w:cs="Arial"/>
          <w:rtl/>
        </w:rPr>
        <w:t xml:space="preserve"> ואם אינה יודעת לקדש בעצמה תאמר עמו מלה במלה מראשו ועד סופו</w:t>
      </w:r>
      <w:r>
        <w:rPr>
          <w:rFonts w:asciiTheme="minorBidi" w:hAnsiTheme="minorBidi" w:cs="Arial" w:hint="cs"/>
          <w:rtl/>
        </w:rPr>
        <w:t>,</w:t>
      </w:r>
      <w:r w:rsidRPr="003D1F17">
        <w:rPr>
          <w:rFonts w:asciiTheme="minorBidi" w:hAnsiTheme="minorBidi" w:cs="Arial"/>
          <w:rtl/>
        </w:rPr>
        <w:t xml:space="preserve"> ולא תכוין לצאת בקידושו</w:t>
      </w:r>
      <w:r>
        <w:rPr>
          <w:rFonts w:asciiTheme="minorBidi" w:hAnsiTheme="minorBidi" w:cs="Arial" w:hint="cs"/>
          <w:rtl/>
        </w:rPr>
        <w:t>.</w:t>
      </w:r>
      <w:r w:rsidRPr="003D1F17">
        <w:rPr>
          <w:rFonts w:asciiTheme="minorBidi" w:hAnsiTheme="minorBidi" w:cs="Arial"/>
          <w:rtl/>
        </w:rPr>
        <w:t xml:space="preserve"> ובאופן זה כיון שהיא אומרת הקידוש בעצמה נכון שיהא פת או יין מונח גם לפניה בעת הקידוש</w:t>
      </w:r>
      <w:r>
        <w:rPr>
          <w:rFonts w:asciiTheme="minorBidi" w:hAnsiTheme="minorBidi" w:cs="Arial" w:hint="cs"/>
          <w:rtl/>
        </w:rPr>
        <w:t>,</w:t>
      </w:r>
      <w:r w:rsidRPr="003D1F17">
        <w:rPr>
          <w:rFonts w:asciiTheme="minorBidi" w:hAnsiTheme="minorBidi" w:cs="Arial"/>
          <w:rtl/>
        </w:rPr>
        <w:t xml:space="preserve"> ולא תסמוך על מה שהנער אוחז הכוס או הפת בידו</w:t>
      </w:r>
      <w:r>
        <w:rPr>
          <w:rFonts w:asciiTheme="minorBidi" w:hAnsiTheme="minorBidi" w:cs="Arial" w:hint="cs"/>
          <w:rtl/>
        </w:rPr>
        <w:t>,</w:t>
      </w:r>
      <w:r w:rsidRPr="003D1F17">
        <w:rPr>
          <w:rFonts w:asciiTheme="minorBidi" w:hAnsiTheme="minorBidi" w:cs="Arial"/>
          <w:rtl/>
        </w:rPr>
        <w:t xml:space="preserve"> כיון שאינה יוצאת בקידוש שלו</w:t>
      </w:r>
      <w:r>
        <w:rPr>
          <w:rFonts w:asciiTheme="minorBidi" w:hAnsiTheme="minorBidi" w:cs="Arial" w:hint="cs"/>
          <w:rtl/>
        </w:rPr>
        <w:t>.</w:t>
      </w:r>
      <w:r w:rsidRPr="003D1F17">
        <w:rPr>
          <w:rFonts w:asciiTheme="minorBidi" w:hAnsiTheme="minorBidi" w:cs="Arial"/>
          <w:rtl/>
        </w:rPr>
        <w:t xml:space="preserve"> ועצה זו מועילה אפילו אם הוא קטן ביותר. וכ"ז בשלא התפללה האשה תפלת ערבית</w:t>
      </w:r>
      <w:r>
        <w:rPr>
          <w:rFonts w:asciiTheme="minorBidi" w:hAnsiTheme="minorBidi" w:cs="Arial" w:hint="cs"/>
          <w:rtl/>
        </w:rPr>
        <w:t>,</w:t>
      </w:r>
      <w:r w:rsidRPr="003D1F17">
        <w:rPr>
          <w:rFonts w:asciiTheme="minorBidi" w:hAnsiTheme="minorBidi" w:cs="Arial"/>
          <w:rtl/>
        </w:rPr>
        <w:t xml:space="preserve"> אבל אם התפללה דלדעת המ"א הנ"ל כבר יצאה ידי קידוש דאורייתא בזה יש לסמוך על נער בן י"ג שנים שיוציאה אח"כ בקידוש דהיינו שיכוין להוציאה.</w:t>
      </w:r>
    </w:p>
    <w:p w14:paraId="20F7B2A2" w14:textId="77777777" w:rsidR="004B2E7C" w:rsidRPr="00CC2350" w:rsidRDefault="004B2E7C" w:rsidP="00434A6A">
      <w:pPr>
        <w:rPr>
          <w:rFonts w:asciiTheme="minorBidi" w:hAnsiTheme="minorBidi"/>
          <w:rtl/>
        </w:rPr>
      </w:pPr>
    </w:p>
    <w:p w14:paraId="598CB197" w14:textId="77777777" w:rsidR="004B2E7C" w:rsidRDefault="004B2E7C" w:rsidP="00434A6A">
      <w:pPr>
        <w:pStyle w:val="2"/>
        <w:rPr>
          <w:rtl/>
        </w:rPr>
      </w:pPr>
      <w:r w:rsidRPr="00CC2350">
        <w:rPr>
          <w:rtl/>
        </w:rPr>
        <w:t>סעיף ג</w:t>
      </w:r>
      <w:r>
        <w:rPr>
          <w:rFonts w:hint="cs"/>
          <w:rtl/>
        </w:rPr>
        <w:t>: מי שאין ידו משגת לקנות גם יין לקידוש וגם צרכי סעודה.</w:t>
      </w:r>
    </w:p>
    <w:p w14:paraId="0585C54D" w14:textId="77777777" w:rsidR="004B2E7C" w:rsidRPr="00E26B01" w:rsidRDefault="004B2E7C" w:rsidP="00434A6A">
      <w:pPr>
        <w:rPr>
          <w:rtl/>
        </w:rPr>
      </w:pPr>
      <w:r w:rsidRPr="008036C3">
        <w:rPr>
          <w:rFonts w:cs="Arial" w:hint="cs"/>
          <w:b/>
          <w:bCs/>
          <w:rtl/>
        </w:rPr>
        <w:t xml:space="preserve">פסחים </w:t>
      </w:r>
      <w:r w:rsidRPr="008036C3">
        <w:rPr>
          <w:rFonts w:cs="Arial" w:hint="cs"/>
          <w:b/>
          <w:bCs/>
          <w:sz w:val="16"/>
          <w:szCs w:val="16"/>
          <w:rtl/>
        </w:rPr>
        <w:t xml:space="preserve">(פ' ערבי פסחים) </w:t>
      </w:r>
      <w:r w:rsidRPr="008036C3">
        <w:rPr>
          <w:rFonts w:cs="Arial" w:hint="cs"/>
          <w:b/>
          <w:bCs/>
          <w:rtl/>
        </w:rPr>
        <w:t>ק</w:t>
      </w:r>
      <w:r>
        <w:rPr>
          <w:rFonts w:cs="Arial" w:hint="cs"/>
          <w:b/>
          <w:bCs/>
          <w:rtl/>
        </w:rPr>
        <w:t>ה</w:t>
      </w:r>
      <w:r w:rsidRPr="008036C3">
        <w:rPr>
          <w:rFonts w:cs="Arial" w:hint="cs"/>
          <w:b/>
          <w:bCs/>
          <w:rtl/>
        </w:rPr>
        <w:t xml:space="preserve"> ע"א:</w:t>
      </w:r>
      <w:r>
        <w:rPr>
          <w:rFonts w:cs="Arial" w:hint="cs"/>
          <w:rtl/>
        </w:rPr>
        <w:t xml:space="preserve"> </w:t>
      </w:r>
      <w:r w:rsidRPr="00350195">
        <w:rPr>
          <w:rFonts w:cs="Arial"/>
          <w:u w:val="single"/>
          <w:rtl/>
        </w:rPr>
        <w:t>בעא מיניה רבינא מרב נחמן בר יצ</w:t>
      </w:r>
      <w:r w:rsidRPr="00B9012A">
        <w:rPr>
          <w:rFonts w:cs="Arial"/>
          <w:u w:val="single"/>
          <w:rtl/>
        </w:rPr>
        <w:t>חק</w:t>
      </w:r>
      <w:r w:rsidRPr="00350195">
        <w:rPr>
          <w:rFonts w:cs="Arial"/>
          <w:rtl/>
        </w:rPr>
        <w:t xml:space="preserve">: מי שלא קידש בערב שבת מהו שיקדש והולך כל היום כולו? </w:t>
      </w:r>
      <w:r w:rsidRPr="00350195">
        <w:rPr>
          <w:rFonts w:cs="Arial"/>
          <w:u w:val="single"/>
          <w:rtl/>
        </w:rPr>
        <w:t>אמר ליה</w:t>
      </w:r>
      <w:r w:rsidRPr="00350195">
        <w:rPr>
          <w:rFonts w:cs="Arial"/>
          <w:rtl/>
        </w:rPr>
        <w:t>: מדאמרי בני רבי חייא: מי שלא הבדיל במוצאי שבת - מבדיל והולך כל השבת כולו, הכא נמי - מי שלא קידש בערב שבת מקדש והולך כל היום כולו.</w:t>
      </w:r>
      <w:r>
        <w:rPr>
          <w:rFonts w:cs="Arial" w:hint="cs"/>
          <w:rtl/>
        </w:rPr>
        <w:t>..</w:t>
      </w:r>
      <w:r w:rsidRPr="00350195">
        <w:rPr>
          <w:rFonts w:cs="Arial"/>
          <w:rtl/>
        </w:rPr>
        <w:t xml:space="preserve"> איתיביה: כבוד יום וכבוד לילה - כבוד יום קודם, ואם אין לו אלא כוס אחד - אומר עליו</w:t>
      </w:r>
      <w:r>
        <w:rPr>
          <w:rFonts w:cs="Arial" w:hint="cs"/>
          <w:rtl/>
        </w:rPr>
        <w:t xml:space="preserve"> </w:t>
      </w:r>
      <w:r>
        <w:rPr>
          <w:rFonts w:cs="Arial" w:hint="cs"/>
          <w:sz w:val="14"/>
          <w:szCs w:val="14"/>
          <w:rtl/>
        </w:rPr>
        <w:t xml:space="preserve">(קה:) </w:t>
      </w:r>
      <w:r w:rsidRPr="00350195">
        <w:rPr>
          <w:rFonts w:cs="Arial"/>
          <w:rtl/>
        </w:rPr>
        <w:t xml:space="preserve">קידוש היום - מפני שקידוש </w:t>
      </w:r>
      <w:r>
        <w:rPr>
          <w:rStyle w:val="a9"/>
          <w:rFonts w:cs="Arial"/>
          <w:rtl/>
        </w:rPr>
        <w:footnoteReference w:id="854"/>
      </w:r>
      <w:r>
        <w:rPr>
          <w:rFonts w:cs="Arial" w:hint="cs"/>
          <w:rtl/>
        </w:rPr>
        <w:t>[</w:t>
      </w:r>
      <w:r w:rsidRPr="00350195">
        <w:rPr>
          <w:rFonts w:cs="Arial"/>
          <w:rtl/>
        </w:rPr>
        <w:t>היום</w:t>
      </w:r>
      <w:r>
        <w:rPr>
          <w:rFonts w:cs="Arial" w:hint="cs"/>
          <w:rtl/>
        </w:rPr>
        <w:t>]</w:t>
      </w:r>
      <w:r w:rsidRPr="00350195">
        <w:rPr>
          <w:rFonts w:cs="Arial"/>
          <w:rtl/>
        </w:rPr>
        <w:t xml:space="preserve"> קודם לכבוד יום וכבוד לילה. ואם איתא - לישבקיה עד למחר, וליעביד ביה תרתי! </w:t>
      </w:r>
      <w:r w:rsidRPr="00B9012A">
        <w:rPr>
          <w:rFonts w:cs="Arial"/>
          <w:u w:val="single"/>
          <w:rtl/>
        </w:rPr>
        <w:t>אמר ליה</w:t>
      </w:r>
      <w:r w:rsidRPr="00350195">
        <w:rPr>
          <w:rFonts w:cs="Arial"/>
          <w:rtl/>
        </w:rPr>
        <w:t xml:space="preserve">: חביבה מצוה בשעתה. ומי אמרינן חביבה מצוה בשעתה? והא תניא: הנכנס לביתו במוצאי שבת - מברך על היין, ועל המאור, ועל הבשמים, ואחר כך אומר הבדלה על הכוס. ואם אין לו אלא כוס אחד - מניחו עד לאחר המזון, ומשלשלן כולן לאחריו. ולא אמרינן חביבה מצוה בשעתה! </w:t>
      </w:r>
      <w:r w:rsidRPr="00B9012A">
        <w:rPr>
          <w:rFonts w:cs="Arial"/>
          <w:u w:val="single"/>
          <w:rtl/>
        </w:rPr>
        <w:t>אמר ליה</w:t>
      </w:r>
      <w:r w:rsidRPr="00350195">
        <w:rPr>
          <w:rFonts w:cs="Arial"/>
          <w:rtl/>
        </w:rPr>
        <w:t>: אנא לא חכימאה אנא, ולא חוזאה אנא, ולא יחידאה אנא, אלא גמרנא וסדרנא אנא, וכן מורין בבי מדרשא כוותי - שאני לן בין עיולי יומא לאפוקי יומא. עיולי יומא - כל כמה דמקדמינן ליה עדיף, ומחבבינן ליה. אפוקי יומא - מאחרינן ליה, כי היכי דלא ליהוי עלן כטונא</w:t>
      </w:r>
      <w:r>
        <w:rPr>
          <w:rFonts w:cs="Arial" w:hint="cs"/>
          <w:rtl/>
        </w:rPr>
        <w:t>.</w:t>
      </w:r>
    </w:p>
    <w:p w14:paraId="77EECD79" w14:textId="77777777" w:rsidR="004B2E7C" w:rsidRPr="000C2775" w:rsidRDefault="004B2E7C" w:rsidP="00434A6A">
      <w:pPr>
        <w:rPr>
          <w:u w:val="single"/>
          <w:rtl/>
        </w:rPr>
      </w:pPr>
      <w:r w:rsidRPr="000C2775">
        <w:rPr>
          <w:rFonts w:hint="cs"/>
          <w:u w:val="single"/>
          <w:rtl/>
        </w:rPr>
        <w:t>מי שאין ידו משגת לקנות גם יין לקידוש וגם צרכי סעודה</w:t>
      </w:r>
      <w:r>
        <w:rPr>
          <w:rFonts w:hint="cs"/>
          <w:u w:val="single"/>
          <w:rtl/>
        </w:rPr>
        <w:t xml:space="preserve"> </w:t>
      </w:r>
      <w:r>
        <w:rPr>
          <w:u w:val="single"/>
          <w:rtl/>
        </w:rPr>
        <w:t>–</w:t>
      </w:r>
      <w:r>
        <w:rPr>
          <w:rFonts w:hint="cs"/>
          <w:u w:val="single"/>
          <w:rtl/>
        </w:rPr>
        <w:t xml:space="preserve"> מה יקנה</w:t>
      </w:r>
      <w:r w:rsidRPr="000C2775">
        <w:rPr>
          <w:rFonts w:hint="cs"/>
          <w:u w:val="single"/>
          <w:rtl/>
        </w:rPr>
        <w:t>:</w:t>
      </w:r>
    </w:p>
    <w:p w14:paraId="1F4D8522" w14:textId="77777777" w:rsidR="004B2E7C" w:rsidRPr="00146CF1" w:rsidRDefault="004B2E7C" w:rsidP="00FF2D21">
      <w:pPr>
        <w:pStyle w:val="aa"/>
        <w:numPr>
          <w:ilvl w:val="0"/>
          <w:numId w:val="116"/>
        </w:numPr>
        <w:rPr>
          <w:rtl/>
        </w:rPr>
      </w:pPr>
      <w:r>
        <w:rPr>
          <w:rFonts w:cs="Arial" w:hint="cs"/>
          <w:rtl/>
        </w:rPr>
        <w:t xml:space="preserve">טור- </w:t>
      </w:r>
      <w:r w:rsidRPr="003A3CB9">
        <w:rPr>
          <w:rFonts w:cs="Arial"/>
          <w:rtl/>
        </w:rPr>
        <w:t>ואם אין ידו משגת לקנות יין לקידוש ולהכין צרכי סעודה לכבוד הלילה ולכבוד היום ולקידוש היום</w:t>
      </w:r>
      <w:r>
        <w:rPr>
          <w:rFonts w:cs="Arial" w:hint="cs"/>
          <w:rtl/>
        </w:rPr>
        <w:t xml:space="preserve"> -</w:t>
      </w:r>
      <w:r w:rsidRPr="003A3CB9">
        <w:rPr>
          <w:rFonts w:cs="Arial"/>
          <w:rtl/>
        </w:rPr>
        <w:t xml:space="preserve"> מוטב שיקנה יין לקידוש הלילה ממה שיכין צרכי הסעודה או ממה שיקנה יין לצורך היום</w:t>
      </w:r>
      <w:r>
        <w:rPr>
          <w:rStyle w:val="a9"/>
          <w:rFonts w:cs="Arial"/>
          <w:rtl/>
        </w:rPr>
        <w:footnoteReference w:id="855"/>
      </w:r>
      <w:r>
        <w:rPr>
          <w:rFonts w:cs="Arial" w:hint="cs"/>
          <w:rtl/>
        </w:rPr>
        <w:t>.</w:t>
      </w:r>
      <w:r w:rsidRPr="003A3CB9">
        <w:rPr>
          <w:rFonts w:cs="Arial"/>
          <w:rtl/>
        </w:rPr>
        <w:t xml:space="preserve"> </w:t>
      </w:r>
      <w:r w:rsidRPr="00B8142A">
        <w:rPr>
          <w:rFonts w:cs="Arial" w:hint="cs"/>
          <w:color w:val="E36C0A" w:themeColor="accent6" w:themeShade="BF"/>
          <w:rtl/>
        </w:rPr>
        <w:t>(וכ"פ בשו"ע)</w:t>
      </w:r>
    </w:p>
    <w:p w14:paraId="7BF92BA9"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10CE915" w14:textId="77777777" w:rsidR="004B2E7C" w:rsidRDefault="004B2E7C" w:rsidP="00434A6A">
      <w:pPr>
        <w:rPr>
          <w:rFonts w:asciiTheme="minorBidi" w:hAnsiTheme="minorBidi"/>
          <w:rtl/>
        </w:rPr>
      </w:pPr>
      <w:r w:rsidRPr="00CC2350">
        <w:rPr>
          <w:rFonts w:asciiTheme="minorBidi" w:hAnsiTheme="minorBidi" w:cs="Arial"/>
          <w:rtl/>
        </w:rPr>
        <w:t>אם אין ידו משגת לקנות יין לקידוש ולהכין צרכי סעודה לכבוד הלילה ולכבוד היום ולקידוש היום, מוטב שיקנה יין לקידוש הלילה ממה שיכין צרכי הסעודה</w:t>
      </w:r>
      <w:r>
        <w:rPr>
          <w:rStyle w:val="a9"/>
          <w:rFonts w:asciiTheme="minorBidi" w:hAnsiTheme="minorBidi" w:cs="Arial"/>
          <w:rtl/>
        </w:rPr>
        <w:footnoteReference w:id="856"/>
      </w:r>
      <w:r w:rsidRPr="00CC2350">
        <w:rPr>
          <w:rFonts w:asciiTheme="minorBidi" w:hAnsiTheme="minorBidi" w:cs="Arial"/>
          <w:rtl/>
        </w:rPr>
        <w:t xml:space="preserve"> או ממה שיקנה יין לצורך היום</w:t>
      </w:r>
      <w:r>
        <w:rPr>
          <w:rStyle w:val="a9"/>
          <w:rFonts w:asciiTheme="minorBidi" w:hAnsiTheme="minorBidi" w:cs="Arial"/>
          <w:rtl/>
        </w:rPr>
        <w:footnoteReference w:id="857"/>
      </w:r>
      <w:r w:rsidRPr="00CC2350">
        <w:rPr>
          <w:rFonts w:asciiTheme="minorBidi" w:hAnsiTheme="minorBidi" w:cs="Arial"/>
          <w:rtl/>
        </w:rPr>
        <w:t>. והא דתניא: כבוד יום קודם לכבוד לילה, היינו דוקא בשאר צרכי סעודה</w:t>
      </w:r>
      <w:r>
        <w:rPr>
          <w:rStyle w:val="a9"/>
          <w:rFonts w:asciiTheme="minorBidi" w:hAnsiTheme="minorBidi" w:cs="Arial"/>
          <w:rtl/>
        </w:rPr>
        <w:footnoteReference w:id="858"/>
      </w:r>
      <w:r>
        <w:rPr>
          <w:rFonts w:asciiTheme="minorBidi" w:hAnsiTheme="minorBidi" w:cs="Arial" w:hint="cs"/>
          <w:rtl/>
        </w:rPr>
        <w:t>,</w:t>
      </w:r>
      <w:r w:rsidRPr="00CC2350">
        <w:rPr>
          <w:rFonts w:asciiTheme="minorBidi" w:hAnsiTheme="minorBidi" w:cs="Arial"/>
          <w:rtl/>
        </w:rPr>
        <w:t xml:space="preserve"> אבל אם אין לו אלא כוס אחד לקידוש, כבוד לילה קודם לכבוד יום. </w:t>
      </w:r>
    </w:p>
    <w:p w14:paraId="075699AF" w14:textId="77777777" w:rsidR="004B2E7C" w:rsidRPr="00CC2350" w:rsidRDefault="004B2E7C" w:rsidP="00434A6A">
      <w:pPr>
        <w:rPr>
          <w:rFonts w:asciiTheme="minorBidi" w:hAnsiTheme="minorBidi"/>
          <w:rtl/>
        </w:rPr>
      </w:pPr>
    </w:p>
    <w:p w14:paraId="205273E4" w14:textId="77777777" w:rsidR="004B2E7C" w:rsidRDefault="004B2E7C" w:rsidP="00434A6A">
      <w:pPr>
        <w:pStyle w:val="2"/>
        <w:rPr>
          <w:rtl/>
        </w:rPr>
      </w:pPr>
      <w:bookmarkStart w:id="6" w:name="_סעיף_ד:_אכילה"/>
      <w:bookmarkEnd w:id="6"/>
      <w:r w:rsidRPr="00CC2350">
        <w:rPr>
          <w:rtl/>
        </w:rPr>
        <w:t>סעיף ד</w:t>
      </w:r>
      <w:r>
        <w:rPr>
          <w:rFonts w:hint="cs"/>
          <w:rtl/>
        </w:rPr>
        <w:t>: אכילה ושתיה קודם קידוש.</w:t>
      </w:r>
    </w:p>
    <w:p w14:paraId="1634B6D7" w14:textId="77777777" w:rsidR="004B2E7C" w:rsidRDefault="004B2E7C" w:rsidP="00434A6A">
      <w:pPr>
        <w:rPr>
          <w:rFonts w:cs="Arial"/>
          <w:rtl/>
        </w:rPr>
      </w:pPr>
      <w:r w:rsidRPr="008036C3">
        <w:rPr>
          <w:rFonts w:cs="Arial" w:hint="cs"/>
          <w:b/>
          <w:bCs/>
          <w:rtl/>
        </w:rPr>
        <w:t xml:space="preserve">פסחים </w:t>
      </w:r>
      <w:r w:rsidRPr="008036C3">
        <w:rPr>
          <w:rFonts w:cs="Arial" w:hint="cs"/>
          <w:b/>
          <w:bCs/>
          <w:sz w:val="16"/>
          <w:szCs w:val="16"/>
          <w:rtl/>
        </w:rPr>
        <w:t xml:space="preserve">(פ' ערבי פסחים) </w:t>
      </w:r>
      <w:r w:rsidRPr="008036C3">
        <w:rPr>
          <w:rFonts w:cs="Arial" w:hint="cs"/>
          <w:b/>
          <w:bCs/>
          <w:rtl/>
        </w:rPr>
        <w:t>קו ע"</w:t>
      </w:r>
      <w:r>
        <w:rPr>
          <w:rFonts w:cs="Arial" w:hint="cs"/>
          <w:b/>
          <w:bCs/>
          <w:rtl/>
        </w:rPr>
        <w:t>ב</w:t>
      </w:r>
      <w:r w:rsidRPr="008036C3">
        <w:rPr>
          <w:rFonts w:cs="Arial" w:hint="cs"/>
          <w:b/>
          <w:bCs/>
          <w:rtl/>
        </w:rPr>
        <w:t>:</w:t>
      </w:r>
      <w:r>
        <w:rPr>
          <w:rFonts w:cs="Arial" w:hint="cs"/>
          <w:rtl/>
        </w:rPr>
        <w:t xml:space="preserve"> </w:t>
      </w:r>
      <w:r w:rsidRPr="005A3BFE">
        <w:rPr>
          <w:rFonts w:cs="Arial"/>
          <w:u w:val="single"/>
          <w:rtl/>
        </w:rPr>
        <w:t>אמר רב הונא אמר רב</w:t>
      </w:r>
      <w:r w:rsidRPr="005A3BFE">
        <w:rPr>
          <w:rFonts w:cs="Arial"/>
          <w:rtl/>
        </w:rPr>
        <w:t xml:space="preserve">: טעם - אינו מקדש. </w:t>
      </w:r>
      <w:r w:rsidRPr="005A3BFE">
        <w:rPr>
          <w:rFonts w:cs="Arial"/>
          <w:u w:val="single"/>
          <w:rtl/>
        </w:rPr>
        <w:t>בעא מיניה רב חנא בר חיננא מרב הונא</w:t>
      </w:r>
      <w:r w:rsidRPr="005A3BFE">
        <w:rPr>
          <w:rFonts w:cs="Arial"/>
          <w:rtl/>
        </w:rPr>
        <w:t xml:space="preserve">: טעם מהו שיבדיל? </w:t>
      </w:r>
      <w:r w:rsidRPr="005A3BFE">
        <w:rPr>
          <w:rFonts w:cs="Arial"/>
          <w:u w:val="single"/>
          <w:rtl/>
        </w:rPr>
        <w:t>אמר ליה</w:t>
      </w:r>
      <w:r w:rsidRPr="005A3BFE">
        <w:rPr>
          <w:rFonts w:cs="Arial"/>
          <w:rtl/>
        </w:rPr>
        <w:t xml:space="preserve">: אני אומר טעם מבדיל, </w:t>
      </w:r>
      <w:r w:rsidRPr="005A3BFE">
        <w:rPr>
          <w:rFonts w:cs="Arial"/>
          <w:u w:val="single"/>
          <w:rtl/>
        </w:rPr>
        <w:t>ורב אסי אמר</w:t>
      </w:r>
      <w:r w:rsidRPr="005A3BFE">
        <w:rPr>
          <w:rFonts w:cs="Arial"/>
          <w:rtl/>
        </w:rPr>
        <w:t xml:space="preserve">: טעם אינו מבדיל. רב ירמיה בר אבא איקלע לבי רב אסי, אישתלי וטעים מידי. הבו ליה כסא ואבדיל. </w:t>
      </w:r>
      <w:r w:rsidRPr="005A3BFE">
        <w:rPr>
          <w:rFonts w:cs="Arial"/>
          <w:u w:val="single"/>
          <w:rtl/>
        </w:rPr>
        <w:t>אמרה ליה דביתהו</w:t>
      </w:r>
      <w:r w:rsidRPr="005A3BFE">
        <w:rPr>
          <w:rFonts w:cs="Arial"/>
          <w:rtl/>
        </w:rPr>
        <w:t xml:space="preserve">: והא מר לא עביד הכי! </w:t>
      </w:r>
      <w:r w:rsidRPr="005A3BFE">
        <w:rPr>
          <w:rFonts w:cs="Arial"/>
          <w:u w:val="single"/>
          <w:rtl/>
        </w:rPr>
        <w:t>אמר לה</w:t>
      </w:r>
      <w:r w:rsidRPr="005A3BFE">
        <w:rPr>
          <w:rFonts w:cs="Arial"/>
          <w:rtl/>
        </w:rPr>
        <w:t xml:space="preserve">: שבקיה, כרביה סבירא ליה. </w:t>
      </w:r>
      <w:r w:rsidRPr="005A3BFE">
        <w:rPr>
          <w:rFonts w:cs="Arial"/>
          <w:u w:val="single"/>
          <w:rtl/>
        </w:rPr>
        <w:t>אמר רב יוסף אמר שמואל</w:t>
      </w:r>
      <w:r w:rsidRPr="005A3BFE">
        <w:rPr>
          <w:rFonts w:cs="Arial"/>
          <w:rtl/>
        </w:rPr>
        <w:t xml:space="preserve">: טעם - אינו מקדש, טעם - אינו מבדיל. </w:t>
      </w:r>
      <w:r w:rsidRPr="005A3BFE">
        <w:rPr>
          <w:rFonts w:cs="Arial"/>
          <w:u w:val="single"/>
          <w:rtl/>
        </w:rPr>
        <w:t>ורבה אמר רב נחמן אמר שמואל</w:t>
      </w:r>
      <w:r w:rsidRPr="005A3BFE">
        <w:rPr>
          <w:rFonts w:cs="Arial"/>
          <w:rtl/>
        </w:rPr>
        <w:t>: טעם - מקדש, וטעם - מבדיל.</w:t>
      </w:r>
      <w:r>
        <w:rPr>
          <w:rFonts w:hint="cs"/>
          <w:rtl/>
        </w:rPr>
        <w:t xml:space="preserve"> </w:t>
      </w:r>
      <w:r w:rsidRPr="00025A0D">
        <w:rPr>
          <w:rFonts w:hint="cs"/>
          <w:sz w:val="16"/>
          <w:szCs w:val="16"/>
          <w:rtl/>
        </w:rPr>
        <w:t>(</w:t>
      </w:r>
      <w:r w:rsidRPr="00025A0D">
        <w:rPr>
          <w:rFonts w:cs="Arial"/>
          <w:sz w:val="16"/>
          <w:szCs w:val="16"/>
          <w:rtl/>
        </w:rPr>
        <w:t>ואע</w:t>
      </w:r>
      <w:r>
        <w:rPr>
          <w:rFonts w:cs="Arial" w:hint="cs"/>
          <w:sz w:val="16"/>
          <w:szCs w:val="16"/>
          <w:rtl/>
        </w:rPr>
        <w:t>"</w:t>
      </w:r>
      <w:r w:rsidRPr="00025A0D">
        <w:rPr>
          <w:rFonts w:cs="Arial"/>
          <w:sz w:val="16"/>
          <w:szCs w:val="16"/>
          <w:rtl/>
        </w:rPr>
        <w:t>ג דאסיקנא טעם מקדש מכל מקום משמע דלכתחלה אסור לטעום מדלא אמרינן טועם ואח</w:t>
      </w:r>
      <w:r>
        <w:rPr>
          <w:rFonts w:cs="Arial" w:hint="cs"/>
          <w:sz w:val="16"/>
          <w:szCs w:val="16"/>
          <w:rtl/>
        </w:rPr>
        <w:t>"</w:t>
      </w:r>
      <w:r w:rsidRPr="00025A0D">
        <w:rPr>
          <w:rFonts w:cs="Arial"/>
          <w:sz w:val="16"/>
          <w:szCs w:val="16"/>
          <w:rtl/>
        </w:rPr>
        <w:t>כ מקדש</w:t>
      </w:r>
      <w:r w:rsidRPr="00025A0D">
        <w:rPr>
          <w:rFonts w:cs="Arial" w:hint="cs"/>
          <w:sz w:val="16"/>
          <w:szCs w:val="16"/>
          <w:rtl/>
        </w:rPr>
        <w:t>, ב"י)</w:t>
      </w:r>
      <w:r>
        <w:rPr>
          <w:rFonts w:cs="Arial"/>
          <w:rtl/>
        </w:rPr>
        <w:t xml:space="preserve"> </w:t>
      </w:r>
    </w:p>
    <w:p w14:paraId="7F5714BE" w14:textId="77777777" w:rsidR="004B2E7C" w:rsidRDefault="004B2E7C" w:rsidP="00434A6A">
      <w:pPr>
        <w:rPr>
          <w:rFonts w:cs="Arial"/>
          <w:rtl/>
        </w:rPr>
      </w:pPr>
      <w:r w:rsidRPr="008036C3">
        <w:rPr>
          <w:rFonts w:cs="Arial" w:hint="cs"/>
          <w:b/>
          <w:bCs/>
          <w:rtl/>
        </w:rPr>
        <w:t xml:space="preserve">פסחים </w:t>
      </w:r>
      <w:r w:rsidRPr="008036C3">
        <w:rPr>
          <w:rFonts w:cs="Arial" w:hint="cs"/>
          <w:b/>
          <w:bCs/>
          <w:sz w:val="16"/>
          <w:szCs w:val="16"/>
          <w:rtl/>
        </w:rPr>
        <w:t xml:space="preserve">(פ' ערבי פסחים) </w:t>
      </w:r>
      <w:r w:rsidRPr="008036C3">
        <w:rPr>
          <w:rFonts w:cs="Arial" w:hint="cs"/>
          <w:b/>
          <w:bCs/>
          <w:rtl/>
        </w:rPr>
        <w:t>ק</w:t>
      </w:r>
      <w:r>
        <w:rPr>
          <w:rFonts w:cs="Arial" w:hint="cs"/>
          <w:b/>
          <w:bCs/>
          <w:rtl/>
        </w:rPr>
        <w:t>ה</w:t>
      </w:r>
      <w:r w:rsidRPr="008036C3">
        <w:rPr>
          <w:rFonts w:cs="Arial" w:hint="cs"/>
          <w:b/>
          <w:bCs/>
          <w:rtl/>
        </w:rPr>
        <w:t xml:space="preserve"> ע"</w:t>
      </w:r>
      <w:r>
        <w:rPr>
          <w:rFonts w:cs="Arial" w:hint="cs"/>
          <w:b/>
          <w:bCs/>
          <w:rtl/>
        </w:rPr>
        <w:t>א</w:t>
      </w:r>
      <w:r w:rsidRPr="008036C3">
        <w:rPr>
          <w:rFonts w:cs="Arial" w:hint="cs"/>
          <w:b/>
          <w:bCs/>
          <w:rtl/>
        </w:rPr>
        <w:t>:</w:t>
      </w:r>
      <w:r>
        <w:rPr>
          <w:rFonts w:cs="Arial" w:hint="cs"/>
          <w:rtl/>
        </w:rPr>
        <w:t xml:space="preserve"> </w:t>
      </w:r>
      <w:r w:rsidRPr="00D618EA">
        <w:rPr>
          <w:rFonts w:cs="Arial"/>
          <w:rtl/>
        </w:rPr>
        <w:t>רב חנניא בר שלמיא ותלמידי דרב הוו יתבי בסעודתא, וקאי עלייהו רב המנונא סבא. אמרו ליה: זיל חזי אי מקדיש יומא נפסיק, וניקבעיה לשבתא. אמר להו: לא צריכיתו, שבתא קבעה נפשה. דאמר רב: כשם שהשבת קובעת למעשר - כך שבת קובעת לקידוש</w:t>
      </w:r>
      <w:r>
        <w:rPr>
          <w:rStyle w:val="a9"/>
          <w:rFonts w:cs="Arial"/>
          <w:rtl/>
        </w:rPr>
        <w:footnoteReference w:id="859"/>
      </w:r>
      <w:r w:rsidRPr="00D618EA">
        <w:rPr>
          <w:rFonts w:cs="Arial"/>
          <w:rtl/>
        </w:rPr>
        <w:t xml:space="preserve">. </w:t>
      </w:r>
    </w:p>
    <w:p w14:paraId="4AC3B788" w14:textId="77777777" w:rsidR="004B2E7C" w:rsidRPr="007A0A9D" w:rsidRDefault="004B2E7C" w:rsidP="00434A6A">
      <w:pPr>
        <w:rPr>
          <w:rFonts w:cs="Arial"/>
          <w:rtl/>
        </w:rPr>
      </w:pPr>
      <w:r w:rsidRPr="002858AC">
        <w:rPr>
          <w:rFonts w:cs="Arial" w:hint="cs"/>
          <w:b/>
          <w:bCs/>
          <w:rtl/>
        </w:rPr>
        <w:t xml:space="preserve">ירושלמי פסחים פ"י ה"א: </w:t>
      </w:r>
      <w:r w:rsidRPr="002858AC">
        <w:rPr>
          <w:rFonts w:cs="Arial"/>
          <w:rtl/>
        </w:rPr>
        <w:t>ר' יודן נשייא סחה וצחא</w:t>
      </w:r>
      <w:r>
        <w:rPr>
          <w:rStyle w:val="a9"/>
          <w:rFonts w:cs="Arial"/>
          <w:rtl/>
        </w:rPr>
        <w:footnoteReference w:id="860"/>
      </w:r>
      <w:r>
        <w:rPr>
          <w:rFonts w:cs="Arial" w:hint="cs"/>
          <w:rtl/>
        </w:rPr>
        <w:t xml:space="preserve">, </w:t>
      </w:r>
      <w:r w:rsidRPr="008D3CAC">
        <w:rPr>
          <w:rFonts w:cs="Arial"/>
          <w:u w:val="single"/>
          <w:rtl/>
        </w:rPr>
        <w:t>שאל לר' מנא</w:t>
      </w:r>
      <w:r>
        <w:rPr>
          <w:rFonts w:cs="Arial" w:hint="cs"/>
          <w:rtl/>
        </w:rPr>
        <w:t>:</w:t>
      </w:r>
      <w:r w:rsidRPr="002858AC">
        <w:rPr>
          <w:rFonts w:cs="Arial"/>
          <w:rtl/>
        </w:rPr>
        <w:t xml:space="preserve"> בגין דאתא צחי</w:t>
      </w:r>
      <w:r>
        <w:rPr>
          <w:rStyle w:val="a9"/>
          <w:rFonts w:cs="Arial"/>
          <w:rtl/>
        </w:rPr>
        <w:footnoteReference w:id="861"/>
      </w:r>
      <w:r w:rsidRPr="002858AC">
        <w:rPr>
          <w:rFonts w:cs="Arial"/>
          <w:rtl/>
        </w:rPr>
        <w:t xml:space="preserve"> מהו נישתי</w:t>
      </w:r>
      <w:r>
        <w:rPr>
          <w:rFonts w:cs="Arial" w:hint="cs"/>
          <w:rtl/>
        </w:rPr>
        <w:t>?</w:t>
      </w:r>
      <w:r w:rsidRPr="002858AC">
        <w:rPr>
          <w:rFonts w:cs="Arial"/>
          <w:rtl/>
        </w:rPr>
        <w:t xml:space="preserve"> </w:t>
      </w:r>
      <w:r w:rsidRPr="008D3CAC">
        <w:rPr>
          <w:rFonts w:cs="Arial"/>
          <w:u w:val="single"/>
          <w:rtl/>
        </w:rPr>
        <w:t>א"ל</w:t>
      </w:r>
      <w:r>
        <w:rPr>
          <w:rFonts w:cs="Arial" w:hint="cs"/>
          <w:rtl/>
        </w:rPr>
        <w:t>:</w:t>
      </w:r>
      <w:r w:rsidRPr="002858AC">
        <w:rPr>
          <w:rFonts w:cs="Arial"/>
          <w:rtl/>
        </w:rPr>
        <w:t xml:space="preserve"> תני ר' חייה אסור לאדם לטעום כלום עד שתחשך.</w:t>
      </w:r>
      <w:r w:rsidRPr="00FA6FE0">
        <w:rPr>
          <w:rtl/>
        </w:rPr>
        <w:t xml:space="preserve"> </w:t>
      </w:r>
      <w:r w:rsidRPr="00FA6FE0">
        <w:rPr>
          <w:rFonts w:hint="cs"/>
          <w:sz w:val="16"/>
          <w:szCs w:val="16"/>
          <w:rtl/>
        </w:rPr>
        <w:t xml:space="preserve">(וכתב הרשב"א (ח"ג סי' רסד) דגם מכאן משמע </w:t>
      </w:r>
      <w:r w:rsidRPr="00FA6FE0">
        <w:rPr>
          <w:rFonts w:cs="Arial"/>
          <w:sz w:val="16"/>
          <w:szCs w:val="16"/>
          <w:rtl/>
        </w:rPr>
        <w:t xml:space="preserve">דאפילו מים אסור לשתות </w:t>
      </w:r>
      <w:r w:rsidRPr="00FA6FE0">
        <w:rPr>
          <w:rFonts w:cs="Arial" w:hint="cs"/>
          <w:sz w:val="16"/>
          <w:szCs w:val="16"/>
          <w:rtl/>
        </w:rPr>
        <w:t>ד</w:t>
      </w:r>
      <w:r w:rsidRPr="00FA6FE0">
        <w:rPr>
          <w:rFonts w:cs="Arial"/>
          <w:sz w:val="16"/>
          <w:szCs w:val="16"/>
          <w:rtl/>
        </w:rPr>
        <w:t>ר' יודא לא שאיל מיניה מה אנא למישתי חמרא</w:t>
      </w:r>
      <w:r w:rsidRPr="00FA6FE0">
        <w:rPr>
          <w:rFonts w:cs="Arial" w:hint="cs"/>
          <w:sz w:val="16"/>
          <w:szCs w:val="16"/>
          <w:rtl/>
        </w:rPr>
        <w:t>.</w:t>
      </w:r>
      <w:r w:rsidRPr="00FA6FE0">
        <w:rPr>
          <w:rFonts w:cs="Arial"/>
          <w:sz w:val="16"/>
          <w:szCs w:val="16"/>
          <w:rtl/>
        </w:rPr>
        <w:t xml:space="preserve"> ועוד איך השיב לו כן</w:t>
      </w:r>
      <w:r w:rsidRPr="00FA6FE0">
        <w:rPr>
          <w:rFonts w:cs="Arial" w:hint="cs"/>
          <w:sz w:val="16"/>
          <w:szCs w:val="16"/>
          <w:rtl/>
        </w:rPr>
        <w:t>,</w:t>
      </w:r>
      <w:r w:rsidRPr="00FA6FE0">
        <w:rPr>
          <w:rFonts w:cs="Arial"/>
          <w:sz w:val="16"/>
          <w:szCs w:val="16"/>
          <w:rtl/>
        </w:rPr>
        <w:t xml:space="preserve"> הוה ליה למימר חמרא אסיר מיא שרי</w:t>
      </w:r>
      <w:r w:rsidRPr="00FA6FE0">
        <w:rPr>
          <w:rFonts w:cs="Arial" w:hint="cs"/>
          <w:sz w:val="16"/>
          <w:szCs w:val="16"/>
          <w:rtl/>
        </w:rPr>
        <w:t>.</w:t>
      </w:r>
      <w:r w:rsidRPr="00FA6FE0">
        <w:rPr>
          <w:rFonts w:cs="Arial"/>
          <w:sz w:val="16"/>
          <w:szCs w:val="16"/>
          <w:rtl/>
        </w:rPr>
        <w:t xml:space="preserve"> אלא ש"מ דבקדוש קפדי ואפילו אמיא, וכן נהגו. ומנהגן של ישראל תורה היא</w:t>
      </w:r>
      <w:r w:rsidRPr="00FA6FE0">
        <w:rPr>
          <w:rFonts w:cs="Arial" w:hint="cs"/>
          <w:sz w:val="16"/>
          <w:szCs w:val="16"/>
          <w:rtl/>
        </w:rPr>
        <w:t>)</w:t>
      </w:r>
    </w:p>
    <w:p w14:paraId="5164B5A5" w14:textId="77777777" w:rsidR="004B2E7C" w:rsidRPr="00985567" w:rsidRDefault="004B2E7C" w:rsidP="00434A6A">
      <w:pPr>
        <w:rPr>
          <w:u w:val="single"/>
          <w:rtl/>
        </w:rPr>
      </w:pPr>
      <w:r w:rsidRPr="00985567">
        <w:rPr>
          <w:rFonts w:hint="cs"/>
          <w:u w:val="single"/>
          <w:rtl/>
        </w:rPr>
        <w:t>אכילה ושתיה קודם הקידוש:</w:t>
      </w:r>
    </w:p>
    <w:p w14:paraId="1F996198" w14:textId="77777777" w:rsidR="004B2E7C" w:rsidRDefault="004B2E7C" w:rsidP="00FF2D21">
      <w:pPr>
        <w:pStyle w:val="aa"/>
        <w:numPr>
          <w:ilvl w:val="0"/>
          <w:numId w:val="116"/>
        </w:numPr>
      </w:pPr>
      <w:r>
        <w:rPr>
          <w:rFonts w:cs="Arial" w:hint="cs"/>
          <w:rtl/>
        </w:rPr>
        <w:t xml:space="preserve">רשב"א </w:t>
      </w:r>
      <w:r w:rsidRPr="00FA6FE0">
        <w:rPr>
          <w:rFonts w:hint="cs"/>
          <w:sz w:val="16"/>
          <w:szCs w:val="16"/>
          <w:rtl/>
        </w:rPr>
        <w:t xml:space="preserve">(ח"ג סי' רסד) </w:t>
      </w:r>
      <w:r>
        <w:rPr>
          <w:rFonts w:cs="Arial" w:hint="cs"/>
          <w:rtl/>
        </w:rPr>
        <w:t xml:space="preserve">וטור- </w:t>
      </w:r>
      <w:r w:rsidRPr="003A3CB9">
        <w:rPr>
          <w:rFonts w:cs="Arial"/>
          <w:rtl/>
        </w:rPr>
        <w:t>אסור לטעום כלום</w:t>
      </w:r>
      <w:r>
        <w:rPr>
          <w:rFonts w:cs="Arial" w:hint="cs"/>
          <w:rtl/>
        </w:rPr>
        <w:t>,</w:t>
      </w:r>
      <w:r w:rsidRPr="003A3CB9">
        <w:rPr>
          <w:rFonts w:cs="Arial"/>
          <w:rtl/>
        </w:rPr>
        <w:t xml:space="preserve"> בין מים ובין יין</w:t>
      </w:r>
      <w:r>
        <w:rPr>
          <w:rFonts w:cs="Arial" w:hint="cs"/>
          <w:rtl/>
        </w:rPr>
        <w:t>,</w:t>
      </w:r>
      <w:r w:rsidRPr="003A3CB9">
        <w:rPr>
          <w:rFonts w:cs="Arial"/>
          <w:rtl/>
        </w:rPr>
        <w:t xml:space="preserve"> משתחשך עד שיקדש</w:t>
      </w:r>
      <w:r>
        <w:rPr>
          <w:rStyle w:val="a9"/>
          <w:rFonts w:cs="Arial"/>
          <w:rtl/>
        </w:rPr>
        <w:footnoteReference w:id="862"/>
      </w:r>
      <w:r>
        <w:rPr>
          <w:rFonts w:cs="Arial" w:hint="cs"/>
          <w:sz w:val="16"/>
          <w:szCs w:val="16"/>
          <w:rtl/>
        </w:rPr>
        <w:t xml:space="preserve"> (ל' הטור)</w:t>
      </w:r>
      <w:r>
        <w:rPr>
          <w:rFonts w:cs="Arial" w:hint="cs"/>
          <w:rtl/>
        </w:rPr>
        <w:t>.</w:t>
      </w:r>
      <w:r w:rsidRPr="003A3CB9">
        <w:rPr>
          <w:rFonts w:cs="Arial"/>
          <w:rtl/>
        </w:rPr>
        <w:t xml:space="preserve"> </w:t>
      </w:r>
      <w:r w:rsidRPr="00B8142A">
        <w:rPr>
          <w:rFonts w:cs="Arial" w:hint="cs"/>
          <w:color w:val="E36C0A" w:themeColor="accent6" w:themeShade="BF"/>
          <w:rtl/>
        </w:rPr>
        <w:t>(וכ"פ בשו"ע)</w:t>
      </w:r>
    </w:p>
    <w:p w14:paraId="5A41D836" w14:textId="77777777" w:rsidR="004B2E7C" w:rsidRDefault="004B2E7C" w:rsidP="00FF2D21">
      <w:pPr>
        <w:pStyle w:val="aa"/>
        <w:numPr>
          <w:ilvl w:val="0"/>
          <w:numId w:val="116"/>
        </w:numPr>
      </w:pPr>
      <w:r>
        <w:rPr>
          <w:rFonts w:cs="Arial" w:hint="cs"/>
          <w:rtl/>
        </w:rPr>
        <w:t>רמב"ם</w:t>
      </w:r>
      <w:r>
        <w:rPr>
          <w:rFonts w:cs="Arial" w:hint="cs"/>
          <w:sz w:val="16"/>
          <w:szCs w:val="16"/>
          <w:rtl/>
        </w:rPr>
        <w:t xml:space="preserve"> </w:t>
      </w:r>
      <w:r w:rsidRPr="007A0A9D">
        <w:rPr>
          <w:rFonts w:cs="Arial"/>
          <w:sz w:val="16"/>
          <w:szCs w:val="16"/>
          <w:rtl/>
        </w:rPr>
        <w:t>(</w:t>
      </w:r>
      <w:r w:rsidRPr="007A0A9D">
        <w:rPr>
          <w:rFonts w:cs="Arial" w:hint="cs"/>
          <w:sz w:val="16"/>
          <w:szCs w:val="16"/>
          <w:rtl/>
        </w:rPr>
        <w:t>פכ"ט ה"ה</w:t>
      </w:r>
      <w:r w:rsidRPr="007A0A9D">
        <w:rPr>
          <w:rFonts w:cs="Arial"/>
          <w:sz w:val="16"/>
          <w:szCs w:val="16"/>
          <w:rtl/>
        </w:rPr>
        <w:t>)</w:t>
      </w:r>
      <w:r>
        <w:rPr>
          <w:rFonts w:cs="Arial" w:hint="cs"/>
          <w:rtl/>
        </w:rPr>
        <w:t xml:space="preserve">- </w:t>
      </w:r>
      <w:r w:rsidRPr="00985567">
        <w:rPr>
          <w:rFonts w:cs="Arial"/>
          <w:rtl/>
        </w:rPr>
        <w:t>אסור לאדם לאכול או לשתות יין משקדש היום עד שיקדש</w:t>
      </w:r>
      <w:r>
        <w:rPr>
          <w:rFonts w:cs="Arial" w:hint="cs"/>
          <w:rtl/>
        </w:rPr>
        <w:t>.</w:t>
      </w:r>
      <w:r w:rsidRPr="00985567">
        <w:rPr>
          <w:rFonts w:cs="Arial"/>
          <w:rtl/>
        </w:rPr>
        <w:t xml:space="preserve"> וכן משיצא היום אסור לו להתחיל לאכול ולשתות ולעשות מלאכה או לטעום כלום עד שיבדיל</w:t>
      </w:r>
      <w:r>
        <w:rPr>
          <w:rFonts w:cs="Arial" w:hint="cs"/>
          <w:rtl/>
        </w:rPr>
        <w:t>.</w:t>
      </w:r>
      <w:r w:rsidRPr="00985567">
        <w:rPr>
          <w:rFonts w:cs="Arial"/>
          <w:rtl/>
        </w:rPr>
        <w:t xml:space="preserve"> ולשתות המים מותר</w:t>
      </w:r>
      <w:r>
        <w:rPr>
          <w:rFonts w:cs="Arial" w:hint="cs"/>
          <w:rtl/>
        </w:rPr>
        <w:t>...</w:t>
      </w:r>
      <w:r w:rsidRPr="00985567">
        <w:rPr>
          <w:rFonts w:cs="Arial"/>
          <w:rtl/>
        </w:rPr>
        <w:t xml:space="preserve"> </w:t>
      </w:r>
    </w:p>
    <w:p w14:paraId="2B108136" w14:textId="77777777" w:rsidR="004B2E7C" w:rsidRDefault="004B2E7C" w:rsidP="00434A6A">
      <w:pPr>
        <w:rPr>
          <w:rFonts w:cs="Arial"/>
          <w:rtl/>
        </w:rPr>
      </w:pPr>
      <w:r w:rsidRPr="008036C3">
        <w:rPr>
          <w:rFonts w:cs="Arial" w:hint="cs"/>
          <w:b/>
          <w:bCs/>
          <w:rtl/>
        </w:rPr>
        <w:t xml:space="preserve">פסחים </w:t>
      </w:r>
      <w:r w:rsidRPr="008036C3">
        <w:rPr>
          <w:rFonts w:cs="Arial" w:hint="cs"/>
          <w:b/>
          <w:bCs/>
          <w:sz w:val="16"/>
          <w:szCs w:val="16"/>
          <w:rtl/>
        </w:rPr>
        <w:t>(</w:t>
      </w:r>
      <w:r>
        <w:rPr>
          <w:rFonts w:cs="Arial" w:hint="cs"/>
          <w:b/>
          <w:bCs/>
          <w:sz w:val="16"/>
          <w:szCs w:val="16"/>
          <w:rtl/>
        </w:rPr>
        <w:t>ר"</w:t>
      </w:r>
      <w:r w:rsidRPr="008036C3">
        <w:rPr>
          <w:rFonts w:cs="Arial" w:hint="cs"/>
          <w:b/>
          <w:bCs/>
          <w:sz w:val="16"/>
          <w:szCs w:val="16"/>
          <w:rtl/>
        </w:rPr>
        <w:t xml:space="preserve">פ ערבי פסחים) </w:t>
      </w:r>
      <w:r>
        <w:rPr>
          <w:rFonts w:cs="Arial" w:hint="cs"/>
          <w:b/>
          <w:bCs/>
          <w:rtl/>
        </w:rPr>
        <w:t>ק</w:t>
      </w:r>
      <w:r w:rsidRPr="008036C3">
        <w:rPr>
          <w:rFonts w:cs="Arial" w:hint="cs"/>
          <w:b/>
          <w:bCs/>
          <w:rtl/>
        </w:rPr>
        <w:t xml:space="preserve"> ע"</w:t>
      </w:r>
      <w:r>
        <w:rPr>
          <w:rFonts w:cs="Arial" w:hint="cs"/>
          <w:b/>
          <w:bCs/>
          <w:rtl/>
        </w:rPr>
        <w:t>א</w:t>
      </w:r>
      <w:r w:rsidRPr="008036C3">
        <w:rPr>
          <w:rFonts w:cs="Arial" w:hint="cs"/>
          <w:b/>
          <w:bCs/>
          <w:rtl/>
        </w:rPr>
        <w:t>:</w:t>
      </w:r>
      <w:r>
        <w:rPr>
          <w:rFonts w:cs="Arial" w:hint="cs"/>
          <w:rtl/>
        </w:rPr>
        <w:t xml:space="preserve"> </w:t>
      </w:r>
      <w:r w:rsidRPr="000D7ABE">
        <w:rPr>
          <w:rFonts w:cs="Arial"/>
          <w:rtl/>
        </w:rPr>
        <w:t>דתניא: מפסיקין לשבתות</w:t>
      </w:r>
      <w:r>
        <w:rPr>
          <w:rStyle w:val="a9"/>
          <w:rFonts w:cs="Arial"/>
          <w:rtl/>
        </w:rPr>
        <w:footnoteReference w:id="863"/>
      </w:r>
      <w:r w:rsidRPr="000D7ABE">
        <w:rPr>
          <w:rFonts w:cs="Arial"/>
          <w:rtl/>
        </w:rPr>
        <w:t xml:space="preserve">, </w:t>
      </w:r>
      <w:r w:rsidRPr="002A4E43">
        <w:rPr>
          <w:rFonts w:cs="Arial"/>
          <w:u w:val="single"/>
          <w:rtl/>
        </w:rPr>
        <w:t>דברי רבי יהודה</w:t>
      </w:r>
      <w:r w:rsidRPr="000D7ABE">
        <w:rPr>
          <w:rFonts w:cs="Arial"/>
          <w:rtl/>
        </w:rPr>
        <w:t xml:space="preserve">. </w:t>
      </w:r>
      <w:r w:rsidRPr="002A4E43">
        <w:rPr>
          <w:rFonts w:cs="Arial"/>
          <w:u w:val="single"/>
          <w:rtl/>
        </w:rPr>
        <w:t>רבי יוסי אומר</w:t>
      </w:r>
      <w:r w:rsidRPr="000D7ABE">
        <w:rPr>
          <w:rFonts w:cs="Arial"/>
          <w:rtl/>
        </w:rPr>
        <w:t>: אין מפסיקין</w:t>
      </w:r>
      <w:r>
        <w:rPr>
          <w:rStyle w:val="a9"/>
          <w:rFonts w:cs="Arial"/>
          <w:rtl/>
        </w:rPr>
        <w:footnoteReference w:id="864"/>
      </w:r>
      <w:r w:rsidRPr="000D7ABE">
        <w:rPr>
          <w:rFonts w:cs="Arial"/>
          <w:rtl/>
        </w:rPr>
        <w:t xml:space="preserve">. ומעשה ברבן שמעון בן גמליאל </w:t>
      </w:r>
      <w:r>
        <w:rPr>
          <w:rFonts w:cs="Arial" w:hint="cs"/>
          <w:rtl/>
        </w:rPr>
        <w:t>[</w:t>
      </w:r>
      <w:r w:rsidRPr="000D7ABE">
        <w:rPr>
          <w:rFonts w:cs="Arial"/>
          <w:rtl/>
        </w:rPr>
        <w:t xml:space="preserve">ורבי יהודה] ורבי יוסי שהיו מסובין בעכו, וקדש עליהם היום. אמר לו רבן שמעון בן גמליאל לרבי יוסי: ברבי, רצונך נפסיק, וניחוש לדברי יהודה חבירנו? אמר לו: בכל יום ויום אתה מחבב דבריי לפני רבי יהודה, ועכשיו אתה מחבב דברי רבי יהודה בפני, הגם לכבוש את המלכה עמי בבית? אמר לו: אם כן לא נפסיק, שמא יראו התלמידים, ויקבעו הלכה לדורות. אמרו: לא זזו משם עד שקבעו הלכה כרבי יוסי. </w:t>
      </w:r>
      <w:r w:rsidRPr="00ED4DB4">
        <w:rPr>
          <w:rFonts w:cs="Arial"/>
          <w:u w:val="single"/>
          <w:rtl/>
        </w:rPr>
        <w:t>אמר רב יהודה אמר שמואל</w:t>
      </w:r>
      <w:r w:rsidRPr="000D7ABE">
        <w:rPr>
          <w:rFonts w:cs="Arial"/>
          <w:rtl/>
        </w:rPr>
        <w:t>: אין הלכה לא כרבי יהודה</w:t>
      </w:r>
      <w:r>
        <w:rPr>
          <w:rStyle w:val="a9"/>
          <w:rFonts w:cs="Arial"/>
          <w:rtl/>
        </w:rPr>
        <w:footnoteReference w:id="865"/>
      </w:r>
      <w:r w:rsidRPr="000D7ABE">
        <w:rPr>
          <w:rFonts w:cs="Arial"/>
          <w:rtl/>
        </w:rPr>
        <w:t xml:space="preserve"> ולא כרבי יוסי</w:t>
      </w:r>
      <w:r>
        <w:rPr>
          <w:rStyle w:val="a9"/>
          <w:rFonts w:cs="Arial"/>
          <w:rtl/>
        </w:rPr>
        <w:footnoteReference w:id="866"/>
      </w:r>
      <w:r w:rsidRPr="000D7ABE">
        <w:rPr>
          <w:rFonts w:cs="Arial"/>
          <w:rtl/>
        </w:rPr>
        <w:t>, אלא: פורס מפה</w:t>
      </w:r>
      <w:r>
        <w:rPr>
          <w:rStyle w:val="a9"/>
          <w:rFonts w:cs="Arial"/>
          <w:rtl/>
        </w:rPr>
        <w:footnoteReference w:id="867"/>
      </w:r>
      <w:r w:rsidRPr="000D7ABE">
        <w:rPr>
          <w:rFonts w:cs="Arial"/>
          <w:rtl/>
        </w:rPr>
        <w:t xml:space="preserve"> ומקדש. איני? והא אמר רב תחליפא בר אבדימי אמר שמואל: כשם שמפסיקין לקידוש</w:t>
      </w:r>
      <w:r>
        <w:rPr>
          <w:rFonts w:cs="Arial" w:hint="cs"/>
          <w:rtl/>
        </w:rPr>
        <w:t xml:space="preserve"> </w:t>
      </w:r>
      <w:r>
        <w:rPr>
          <w:rFonts w:cs="Arial" w:hint="cs"/>
          <w:sz w:val="14"/>
          <w:szCs w:val="14"/>
          <w:rtl/>
        </w:rPr>
        <w:t xml:space="preserve">(ק:) </w:t>
      </w:r>
      <w:r w:rsidRPr="00A74517">
        <w:rPr>
          <w:rFonts w:cs="Arial"/>
          <w:rtl/>
        </w:rPr>
        <w:t>כך מפסיקין להבדלה. מאי מפסיקין? לאו לעקירת שולחן? לא, למפה. רבה בר רב הונא איקלע לבי ריש גלותא. אייתו תכא קמיה, פרס מפה וקידש.</w:t>
      </w:r>
    </w:p>
    <w:p w14:paraId="3339B62E" w14:textId="77777777" w:rsidR="004B2E7C" w:rsidRPr="000D7ABE" w:rsidRDefault="004B2E7C" w:rsidP="00434A6A">
      <w:pPr>
        <w:rPr>
          <w:rFonts w:cs="Arial"/>
        </w:rPr>
      </w:pPr>
      <w:r>
        <w:rPr>
          <w:rFonts w:cs="Arial" w:hint="cs"/>
          <w:b/>
          <w:bCs/>
          <w:rtl/>
        </w:rPr>
        <w:t xml:space="preserve">ירושלמי ברכות פ"א ה"ה: </w:t>
      </w:r>
      <w:r w:rsidRPr="00085287">
        <w:rPr>
          <w:rFonts w:cs="Arial"/>
          <w:rtl/>
        </w:rPr>
        <w:t>כל הברכות פותחין בהן בברוך</w:t>
      </w:r>
      <w:r>
        <w:rPr>
          <w:rFonts w:cs="Arial" w:hint="cs"/>
          <w:rtl/>
        </w:rPr>
        <w:t>,</w:t>
      </w:r>
      <w:r w:rsidRPr="00085287">
        <w:rPr>
          <w:rFonts w:cs="Arial"/>
          <w:rtl/>
        </w:rPr>
        <w:t xml:space="preserve"> ואם היתה ברכה סמוכה לחברתה כגון ק"ש ותפילה </w:t>
      </w:r>
      <w:r>
        <w:rPr>
          <w:rFonts w:cs="Arial" w:hint="cs"/>
          <w:rtl/>
        </w:rPr>
        <w:t xml:space="preserve">- </w:t>
      </w:r>
      <w:r w:rsidRPr="00085287">
        <w:rPr>
          <w:rFonts w:cs="Arial"/>
          <w:rtl/>
        </w:rPr>
        <w:t xml:space="preserve">אין פותחין בהן בברוך. </w:t>
      </w:r>
      <w:r w:rsidRPr="00085287">
        <w:rPr>
          <w:rFonts w:cs="Arial"/>
          <w:u w:val="single"/>
          <w:rtl/>
        </w:rPr>
        <w:t>התיב רבי ירמיה</w:t>
      </w:r>
      <w:r>
        <w:rPr>
          <w:rFonts w:cs="Arial" w:hint="cs"/>
          <w:rtl/>
        </w:rPr>
        <w:t>:...</w:t>
      </w:r>
      <w:r w:rsidRPr="00085287">
        <w:rPr>
          <w:rFonts w:cs="Arial"/>
          <w:rtl/>
        </w:rPr>
        <w:t xml:space="preserve"> הא קדושה</w:t>
      </w:r>
      <w:r>
        <w:rPr>
          <w:rStyle w:val="a9"/>
          <w:rFonts w:cs="Arial"/>
          <w:rtl/>
        </w:rPr>
        <w:footnoteReference w:id="868"/>
      </w:r>
      <w:r>
        <w:rPr>
          <w:rFonts w:cs="Arial" w:hint="cs"/>
          <w:rtl/>
        </w:rPr>
        <w:t>!</w:t>
      </w:r>
      <w:r w:rsidRPr="00085287">
        <w:rPr>
          <w:rFonts w:cs="Arial"/>
          <w:rtl/>
        </w:rPr>
        <w:t xml:space="preserve"> שנייא היא</w:t>
      </w:r>
      <w:r>
        <w:rPr>
          <w:rStyle w:val="a9"/>
          <w:rFonts w:cs="Arial"/>
          <w:rtl/>
        </w:rPr>
        <w:footnoteReference w:id="869"/>
      </w:r>
      <w:r>
        <w:rPr>
          <w:rFonts w:cs="Arial" w:hint="cs"/>
          <w:rtl/>
        </w:rPr>
        <w:t>,</w:t>
      </w:r>
      <w:r w:rsidRPr="00085287">
        <w:rPr>
          <w:rFonts w:cs="Arial"/>
          <w:rtl/>
        </w:rPr>
        <w:t xml:space="preserve"> שאם היה יושב ושותה מבעוד יום וקדש עליו היום שאינו אומר בורא פרי הגפן.</w:t>
      </w:r>
      <w:r w:rsidRPr="008269AC">
        <w:rPr>
          <w:rFonts w:cs="Arial"/>
          <w:rtl/>
        </w:rPr>
        <w:t xml:space="preserve"> </w:t>
      </w:r>
      <w:r w:rsidRPr="008269AC">
        <w:rPr>
          <w:rFonts w:cs="Arial" w:hint="cs"/>
          <w:sz w:val="16"/>
          <w:szCs w:val="16"/>
          <w:rtl/>
        </w:rPr>
        <w:t>(</w:t>
      </w:r>
      <w:r w:rsidRPr="008269AC">
        <w:rPr>
          <w:rFonts w:cs="Arial"/>
          <w:sz w:val="16"/>
          <w:szCs w:val="16"/>
          <w:rtl/>
        </w:rPr>
        <w:t>ועל הירושלמי יש לתמוה</w:t>
      </w:r>
      <w:r w:rsidRPr="008269AC">
        <w:rPr>
          <w:rFonts w:cs="Arial" w:hint="cs"/>
          <w:sz w:val="16"/>
          <w:szCs w:val="16"/>
          <w:rtl/>
        </w:rPr>
        <w:t>,</w:t>
      </w:r>
      <w:r w:rsidRPr="008269AC">
        <w:rPr>
          <w:rFonts w:cs="Arial"/>
          <w:sz w:val="16"/>
          <w:szCs w:val="16"/>
          <w:rtl/>
        </w:rPr>
        <w:t xml:space="preserve"> דכיון דצריך להפסיק לקידוש ואיתסר ליה למיכל עד שיקדש</w:t>
      </w:r>
      <w:r w:rsidRPr="008269AC">
        <w:rPr>
          <w:rFonts w:cs="Arial" w:hint="cs"/>
          <w:sz w:val="16"/>
          <w:szCs w:val="16"/>
          <w:rtl/>
        </w:rPr>
        <w:t>,</w:t>
      </w:r>
      <w:r w:rsidRPr="008269AC">
        <w:rPr>
          <w:rFonts w:cs="Arial"/>
          <w:sz w:val="16"/>
          <w:szCs w:val="16"/>
          <w:rtl/>
        </w:rPr>
        <w:t xml:space="preserve"> הוי הפסק וסילוק</w:t>
      </w:r>
      <w:r>
        <w:rPr>
          <w:rFonts w:cs="Arial" w:hint="cs"/>
          <w:sz w:val="16"/>
          <w:szCs w:val="16"/>
          <w:rtl/>
        </w:rPr>
        <w:t>,</w:t>
      </w:r>
      <w:r w:rsidRPr="008269AC">
        <w:rPr>
          <w:rFonts w:cs="Arial"/>
          <w:sz w:val="16"/>
          <w:szCs w:val="16"/>
          <w:rtl/>
        </w:rPr>
        <w:t xml:space="preserve"> והוה ליה להצריך לחזור ולברך בורא פרי הגפן</w:t>
      </w:r>
      <w:r w:rsidRPr="008269AC">
        <w:rPr>
          <w:rFonts w:cs="Arial" w:hint="cs"/>
          <w:sz w:val="16"/>
          <w:szCs w:val="16"/>
          <w:rtl/>
        </w:rPr>
        <w:t>,</w:t>
      </w:r>
      <w:r w:rsidRPr="008269AC">
        <w:rPr>
          <w:rFonts w:cs="Arial"/>
          <w:sz w:val="16"/>
          <w:szCs w:val="16"/>
          <w:rtl/>
        </w:rPr>
        <w:t xml:space="preserve"> וכדאמרינן בפרק כיסוי הדם</w:t>
      </w:r>
      <w:r>
        <w:rPr>
          <w:rStyle w:val="a9"/>
          <w:rFonts w:cs="Arial"/>
          <w:sz w:val="16"/>
          <w:szCs w:val="16"/>
          <w:rtl/>
        </w:rPr>
        <w:footnoteReference w:id="870"/>
      </w:r>
      <w:r w:rsidRPr="008269AC">
        <w:rPr>
          <w:rFonts w:cs="Arial"/>
          <w:sz w:val="16"/>
          <w:szCs w:val="16"/>
          <w:rtl/>
        </w:rPr>
        <w:t xml:space="preserve"> (חולין פו:)</w:t>
      </w:r>
      <w:r w:rsidRPr="008269AC">
        <w:rPr>
          <w:rFonts w:cs="Arial" w:hint="cs"/>
          <w:sz w:val="16"/>
          <w:szCs w:val="16"/>
          <w:rtl/>
        </w:rPr>
        <w:t>.</w:t>
      </w:r>
      <w:r w:rsidRPr="008269AC">
        <w:rPr>
          <w:rFonts w:cs="Arial"/>
          <w:sz w:val="16"/>
          <w:szCs w:val="16"/>
          <w:rtl/>
        </w:rPr>
        <w:t xml:space="preserve"> ויש לומר שאע"פ שאסור לאכול עד שיקדש </w:t>
      </w:r>
      <w:r>
        <w:rPr>
          <w:rFonts w:cs="Arial" w:hint="cs"/>
          <w:sz w:val="16"/>
          <w:szCs w:val="16"/>
          <w:rtl/>
        </w:rPr>
        <w:t xml:space="preserve">- </w:t>
      </w:r>
      <w:r w:rsidRPr="008269AC">
        <w:rPr>
          <w:rFonts w:cs="Arial"/>
          <w:sz w:val="16"/>
          <w:szCs w:val="16"/>
          <w:rtl/>
        </w:rPr>
        <w:t>אינו מזקיק לברכת היין</w:t>
      </w:r>
      <w:r>
        <w:rPr>
          <w:rFonts w:cs="Arial" w:hint="cs"/>
          <w:sz w:val="16"/>
          <w:szCs w:val="16"/>
          <w:rtl/>
        </w:rPr>
        <w:t>.</w:t>
      </w:r>
      <w:r w:rsidRPr="008269AC">
        <w:rPr>
          <w:rFonts w:cs="Arial"/>
          <w:sz w:val="16"/>
          <w:szCs w:val="16"/>
          <w:rtl/>
        </w:rPr>
        <w:t xml:space="preserve"> דהא אפילו אם לא היה אוכל מבעוד יום</w:t>
      </w:r>
      <w:r>
        <w:rPr>
          <w:rFonts w:cs="Arial" w:hint="cs"/>
          <w:sz w:val="16"/>
          <w:szCs w:val="16"/>
          <w:rtl/>
        </w:rPr>
        <w:t>,</w:t>
      </w:r>
      <w:r w:rsidRPr="008269AC">
        <w:rPr>
          <w:rFonts w:cs="Arial"/>
          <w:sz w:val="16"/>
          <w:szCs w:val="16"/>
          <w:rtl/>
        </w:rPr>
        <w:t xml:space="preserve"> כשקדש היום אסור לאכול ולשתות עד שיקדש</w:t>
      </w:r>
      <w:r>
        <w:rPr>
          <w:rFonts w:cs="Arial" w:hint="cs"/>
          <w:sz w:val="16"/>
          <w:szCs w:val="16"/>
          <w:rtl/>
        </w:rPr>
        <w:t>,</w:t>
      </w:r>
      <w:r w:rsidRPr="008269AC">
        <w:rPr>
          <w:rFonts w:cs="Arial"/>
          <w:sz w:val="16"/>
          <w:szCs w:val="16"/>
          <w:rtl/>
        </w:rPr>
        <w:t xml:space="preserve"> והוא מברך בורא פרי הגפן קודם הקידוש</w:t>
      </w:r>
      <w:r w:rsidRPr="008269AC">
        <w:rPr>
          <w:rFonts w:cs="Arial" w:hint="cs"/>
          <w:sz w:val="16"/>
          <w:szCs w:val="16"/>
          <w:rtl/>
        </w:rPr>
        <w:t>,</w:t>
      </w:r>
      <w:r w:rsidRPr="008269AC">
        <w:rPr>
          <w:rFonts w:cs="Arial"/>
          <w:sz w:val="16"/>
          <w:szCs w:val="16"/>
          <w:rtl/>
        </w:rPr>
        <w:t xml:space="preserve"> ואע</w:t>
      </w:r>
      <w:r>
        <w:rPr>
          <w:rFonts w:cs="Arial" w:hint="cs"/>
          <w:sz w:val="16"/>
          <w:szCs w:val="16"/>
          <w:rtl/>
        </w:rPr>
        <w:t>"</w:t>
      </w:r>
      <w:r w:rsidRPr="008269AC">
        <w:rPr>
          <w:rFonts w:cs="Arial"/>
          <w:sz w:val="16"/>
          <w:szCs w:val="16"/>
          <w:rtl/>
        </w:rPr>
        <w:t>פ שעדיין הוא אסור לאכול עד שיגמור הקידוש אין הקידוש הפסק בין ברכת היין לשתיה</w:t>
      </w:r>
      <w:r w:rsidRPr="008269AC">
        <w:rPr>
          <w:rFonts w:cs="Arial" w:hint="cs"/>
          <w:sz w:val="16"/>
          <w:szCs w:val="16"/>
          <w:rtl/>
        </w:rPr>
        <w:t xml:space="preserve"> -</w:t>
      </w:r>
      <w:r w:rsidRPr="008269AC">
        <w:rPr>
          <w:rFonts w:cs="Arial"/>
          <w:sz w:val="16"/>
          <w:szCs w:val="16"/>
          <w:rtl/>
        </w:rPr>
        <w:t xml:space="preserve"> הכי נמי ברכת היין שבירך בתחלת הסעודה עולה לו ליין ששותה אחר הקידוש</w:t>
      </w:r>
      <w:r w:rsidRPr="008269AC">
        <w:rPr>
          <w:rFonts w:cs="Arial" w:hint="cs"/>
          <w:sz w:val="16"/>
          <w:szCs w:val="16"/>
          <w:rtl/>
        </w:rPr>
        <w:t>.</w:t>
      </w:r>
      <w:r w:rsidRPr="008269AC">
        <w:rPr>
          <w:rFonts w:cs="Arial"/>
          <w:sz w:val="16"/>
          <w:szCs w:val="16"/>
          <w:rtl/>
        </w:rPr>
        <w:t xml:space="preserve"> וטעמא דמילתא משום דלא אמרו בפרק כיסוי הדם דהוי הפסק אלא בדבר שהוא גמר ואי אפשר</w:t>
      </w:r>
      <w:r w:rsidRPr="008269AC">
        <w:rPr>
          <w:rFonts w:cs="Arial" w:hint="cs"/>
          <w:sz w:val="16"/>
          <w:szCs w:val="16"/>
          <w:rtl/>
        </w:rPr>
        <w:t xml:space="preserve">, </w:t>
      </w:r>
      <w:r w:rsidRPr="008269AC">
        <w:rPr>
          <w:rFonts w:cs="Arial"/>
          <w:sz w:val="16"/>
          <w:szCs w:val="16"/>
          <w:rtl/>
        </w:rPr>
        <w:t>כברכת המזון שהוא גמר אכילה</w:t>
      </w:r>
      <w:r w:rsidRPr="008269AC">
        <w:rPr>
          <w:rFonts w:cs="Arial" w:hint="cs"/>
          <w:sz w:val="16"/>
          <w:szCs w:val="16"/>
          <w:rtl/>
        </w:rPr>
        <w:t>,</w:t>
      </w:r>
      <w:r w:rsidRPr="008269AC">
        <w:rPr>
          <w:rFonts w:cs="Arial"/>
          <w:sz w:val="16"/>
          <w:szCs w:val="16"/>
          <w:rtl/>
        </w:rPr>
        <w:t xml:space="preserve"> והב לן ונבריך שהוא גם כן גמר אכילה</w:t>
      </w:r>
      <w:r w:rsidRPr="008269AC">
        <w:rPr>
          <w:rFonts w:cs="Arial" w:hint="cs"/>
          <w:sz w:val="16"/>
          <w:szCs w:val="16"/>
          <w:rtl/>
        </w:rPr>
        <w:t>.</w:t>
      </w:r>
      <w:r w:rsidRPr="008269AC">
        <w:rPr>
          <w:rFonts w:cs="Arial"/>
          <w:sz w:val="16"/>
          <w:szCs w:val="16"/>
          <w:rtl/>
        </w:rPr>
        <w:t xml:space="preserve"> וגם אי אפשר למישתי וברוכי כהדדי</w:t>
      </w:r>
      <w:r w:rsidRPr="008269AC">
        <w:rPr>
          <w:rFonts w:cs="Arial" w:hint="cs"/>
          <w:sz w:val="16"/>
          <w:szCs w:val="16"/>
          <w:rtl/>
        </w:rPr>
        <w:t>.</w:t>
      </w:r>
      <w:r w:rsidRPr="008269AC">
        <w:rPr>
          <w:rFonts w:cs="Arial"/>
          <w:sz w:val="16"/>
          <w:szCs w:val="16"/>
          <w:rtl/>
        </w:rPr>
        <w:t xml:space="preserve"> אבל בדבר שאינו גמר</w:t>
      </w:r>
      <w:r w:rsidRPr="008269AC">
        <w:rPr>
          <w:rFonts w:cs="Arial" w:hint="cs"/>
          <w:sz w:val="16"/>
          <w:szCs w:val="16"/>
          <w:rtl/>
        </w:rPr>
        <w:t>,</w:t>
      </w:r>
      <w:r w:rsidRPr="008269AC">
        <w:rPr>
          <w:rFonts w:cs="Arial"/>
          <w:sz w:val="16"/>
          <w:szCs w:val="16"/>
          <w:rtl/>
        </w:rPr>
        <w:t xml:space="preserve"> לא</w:t>
      </w:r>
      <w:r>
        <w:rPr>
          <w:rFonts w:cs="Arial" w:hint="cs"/>
          <w:sz w:val="16"/>
          <w:szCs w:val="16"/>
          <w:rtl/>
        </w:rPr>
        <w:t>, ב"י)</w:t>
      </w:r>
    </w:p>
    <w:p w14:paraId="480EDA14" w14:textId="77777777" w:rsidR="004B2E7C" w:rsidRPr="00985567" w:rsidRDefault="004B2E7C" w:rsidP="00434A6A">
      <w:pPr>
        <w:rPr>
          <w:u w:val="single"/>
        </w:rPr>
      </w:pPr>
      <w:r w:rsidRPr="00985567">
        <w:rPr>
          <w:rFonts w:hint="cs"/>
          <w:u w:val="single"/>
          <w:rtl/>
        </w:rPr>
        <w:t xml:space="preserve">התחיל </w:t>
      </w:r>
      <w:r>
        <w:rPr>
          <w:rFonts w:hint="cs"/>
          <w:u w:val="single"/>
          <w:rtl/>
        </w:rPr>
        <w:t>בסעודה</w:t>
      </w:r>
      <w:r w:rsidRPr="00985567">
        <w:rPr>
          <w:rFonts w:hint="cs"/>
          <w:u w:val="single"/>
          <w:rtl/>
        </w:rPr>
        <w:t xml:space="preserve"> </w:t>
      </w:r>
      <w:r>
        <w:rPr>
          <w:rFonts w:hint="cs"/>
          <w:u w:val="single"/>
          <w:rtl/>
        </w:rPr>
        <w:t xml:space="preserve">ושתיה </w:t>
      </w:r>
      <w:r w:rsidRPr="00985567">
        <w:rPr>
          <w:rFonts w:hint="cs"/>
          <w:u w:val="single"/>
          <w:rtl/>
        </w:rPr>
        <w:t>מבעוד יום ונכנסה שבת:</w:t>
      </w:r>
    </w:p>
    <w:p w14:paraId="7CD10329" w14:textId="77777777" w:rsidR="004B2E7C" w:rsidRPr="00CC38D3" w:rsidRDefault="004B2E7C" w:rsidP="00FF2D21">
      <w:pPr>
        <w:pStyle w:val="aa"/>
        <w:numPr>
          <w:ilvl w:val="0"/>
          <w:numId w:val="116"/>
        </w:numPr>
      </w:pPr>
      <w:r>
        <w:rPr>
          <w:rFonts w:cs="Arial" w:hint="cs"/>
          <w:rtl/>
        </w:rPr>
        <w:t xml:space="preserve">טור- </w:t>
      </w:r>
      <w:r w:rsidRPr="00B87076">
        <w:rPr>
          <w:rFonts w:cs="Arial"/>
          <w:rtl/>
        </w:rPr>
        <w:t>אפי</w:t>
      </w:r>
      <w:r>
        <w:rPr>
          <w:rFonts w:cs="Arial" w:hint="cs"/>
          <w:rtl/>
        </w:rPr>
        <w:t>לו</w:t>
      </w:r>
      <w:r w:rsidRPr="00B87076">
        <w:rPr>
          <w:rFonts w:cs="Arial"/>
          <w:rtl/>
        </w:rPr>
        <w:t xml:space="preserve"> התחיל לאכול מב</w:t>
      </w:r>
      <w:r>
        <w:rPr>
          <w:rFonts w:cs="Arial" w:hint="cs"/>
          <w:rtl/>
        </w:rPr>
        <w:t>עוד יום -</w:t>
      </w:r>
      <w:r w:rsidRPr="00B87076">
        <w:rPr>
          <w:rFonts w:cs="Arial"/>
          <w:rtl/>
        </w:rPr>
        <w:t xml:space="preserve"> צריך להפסיק</w:t>
      </w:r>
      <w:r>
        <w:rPr>
          <w:rFonts w:cs="Arial" w:hint="cs"/>
          <w:rtl/>
        </w:rPr>
        <w:t>.</w:t>
      </w:r>
      <w:r w:rsidRPr="00B87076">
        <w:rPr>
          <w:rFonts w:cs="Arial"/>
          <w:rtl/>
        </w:rPr>
        <w:t xml:space="preserve"> ומיהו אין צריך להפסיק בעקירת השלחן</w:t>
      </w:r>
      <w:r>
        <w:rPr>
          <w:rFonts w:cs="Arial" w:hint="cs"/>
          <w:rtl/>
        </w:rPr>
        <w:t>,</w:t>
      </w:r>
      <w:r w:rsidRPr="00B87076">
        <w:rPr>
          <w:rFonts w:cs="Arial"/>
          <w:rtl/>
        </w:rPr>
        <w:t xml:space="preserve"> אלא פורס מפה ומקדש</w:t>
      </w:r>
      <w:r>
        <w:rPr>
          <w:rFonts w:cs="Arial" w:hint="cs"/>
          <w:rtl/>
        </w:rPr>
        <w:t>.</w:t>
      </w:r>
      <w:r w:rsidRPr="00B87076">
        <w:rPr>
          <w:rFonts w:cs="Arial"/>
          <w:rtl/>
        </w:rPr>
        <w:t xml:space="preserve"> </w:t>
      </w:r>
      <w:r w:rsidRPr="00B8142A">
        <w:rPr>
          <w:rFonts w:cs="Arial" w:hint="cs"/>
          <w:color w:val="E36C0A" w:themeColor="accent6" w:themeShade="BF"/>
          <w:rtl/>
        </w:rPr>
        <w:t>(וכ"פ בשו"ע)</w:t>
      </w:r>
    </w:p>
    <w:p w14:paraId="79732A30" w14:textId="77777777" w:rsidR="004B2E7C" w:rsidRPr="00CC38D3" w:rsidRDefault="004B2E7C" w:rsidP="00434A6A">
      <w:pPr>
        <w:ind w:left="360"/>
        <w:rPr>
          <w:u w:val="dotted"/>
        </w:rPr>
      </w:pPr>
      <w:r w:rsidRPr="00CC38D3">
        <w:rPr>
          <w:rFonts w:hint="cs"/>
          <w:u w:val="dotted"/>
          <w:rtl/>
        </w:rPr>
        <w:t>כיצד מקדש:</w:t>
      </w:r>
    </w:p>
    <w:p w14:paraId="52265BA9" w14:textId="77777777" w:rsidR="004B2E7C" w:rsidRPr="00CC38D3" w:rsidRDefault="004B2E7C" w:rsidP="00FF2D21">
      <w:pPr>
        <w:pStyle w:val="aa"/>
        <w:numPr>
          <w:ilvl w:val="0"/>
          <w:numId w:val="116"/>
        </w:numPr>
      </w:pPr>
      <w:r>
        <w:rPr>
          <w:rFonts w:cs="Arial" w:hint="cs"/>
          <w:rtl/>
        </w:rPr>
        <w:t>יש אומרים</w:t>
      </w:r>
      <w:r>
        <w:rPr>
          <w:rFonts w:cs="Arial" w:hint="cs"/>
          <w:sz w:val="16"/>
          <w:szCs w:val="16"/>
          <w:rtl/>
        </w:rPr>
        <w:t xml:space="preserve"> (כ"כ בשמם הטור)</w:t>
      </w:r>
      <w:r>
        <w:rPr>
          <w:rFonts w:cs="Arial" w:hint="cs"/>
          <w:rtl/>
        </w:rPr>
        <w:t xml:space="preserve">- </w:t>
      </w:r>
      <w:r w:rsidRPr="00B87076">
        <w:rPr>
          <w:rFonts w:cs="Arial"/>
          <w:rtl/>
        </w:rPr>
        <w:t>מקדש כמו בשאר פעמים שמברך על היין ואח"כ קידוש</w:t>
      </w:r>
      <w:r>
        <w:rPr>
          <w:rStyle w:val="a9"/>
          <w:rFonts w:cs="Arial"/>
          <w:rtl/>
        </w:rPr>
        <w:footnoteReference w:id="871"/>
      </w:r>
      <w:r>
        <w:rPr>
          <w:rFonts w:cs="Arial" w:hint="cs"/>
          <w:sz w:val="16"/>
          <w:szCs w:val="16"/>
          <w:rtl/>
        </w:rPr>
        <w:t xml:space="preserve"> (ל' הטור בשם י"א)</w:t>
      </w:r>
      <w:r>
        <w:rPr>
          <w:rFonts w:cs="Arial" w:hint="cs"/>
          <w:rtl/>
        </w:rPr>
        <w:t>.</w:t>
      </w:r>
      <w:r w:rsidRPr="00B87076">
        <w:rPr>
          <w:rFonts w:cs="Arial"/>
          <w:rtl/>
        </w:rPr>
        <w:t xml:space="preserve"> </w:t>
      </w:r>
    </w:p>
    <w:p w14:paraId="249755B6" w14:textId="77777777" w:rsidR="004B2E7C" w:rsidRDefault="004B2E7C" w:rsidP="00FF2D21">
      <w:pPr>
        <w:pStyle w:val="aa"/>
        <w:numPr>
          <w:ilvl w:val="0"/>
          <w:numId w:val="116"/>
        </w:numPr>
      </w:pPr>
      <w:r>
        <w:rPr>
          <w:rFonts w:cs="Arial" w:hint="cs"/>
          <w:rtl/>
        </w:rPr>
        <w:t xml:space="preserve">רי"ץ גיאות </w:t>
      </w:r>
      <w:r>
        <w:rPr>
          <w:rFonts w:cs="Arial" w:hint="cs"/>
          <w:sz w:val="16"/>
          <w:szCs w:val="16"/>
          <w:rtl/>
        </w:rPr>
        <w:t xml:space="preserve">(כ"כ בשמו הטור) </w:t>
      </w:r>
      <w:r>
        <w:rPr>
          <w:rFonts w:cs="Arial" w:hint="cs"/>
          <w:rtl/>
        </w:rPr>
        <w:t xml:space="preserve">ורא"ש- </w:t>
      </w:r>
      <w:r w:rsidRPr="00B87076">
        <w:rPr>
          <w:rFonts w:cs="Arial"/>
          <w:rtl/>
        </w:rPr>
        <w:t>בירושל</w:t>
      </w:r>
      <w:r>
        <w:rPr>
          <w:rFonts w:cs="Arial" w:hint="cs"/>
          <w:rtl/>
        </w:rPr>
        <w:t>מי</w:t>
      </w:r>
      <w:r w:rsidRPr="00B87076">
        <w:rPr>
          <w:rFonts w:cs="Arial"/>
          <w:rtl/>
        </w:rPr>
        <w:t xml:space="preserve"> יש שאם היו שותים יין תחלה שא"צ לברך על היין</w:t>
      </w:r>
      <w:r>
        <w:rPr>
          <w:rFonts w:cs="Arial" w:hint="cs"/>
          <w:rtl/>
        </w:rPr>
        <w:t>,</w:t>
      </w:r>
      <w:r w:rsidRPr="00B87076">
        <w:rPr>
          <w:rFonts w:cs="Arial"/>
          <w:rtl/>
        </w:rPr>
        <w:t xml:space="preserve"> אלא אומר קידוש לבד</w:t>
      </w:r>
      <w:r>
        <w:rPr>
          <w:rFonts w:cs="Arial" w:hint="cs"/>
          <w:rtl/>
        </w:rPr>
        <w:t>,</w:t>
      </w:r>
      <w:r w:rsidRPr="00B87076">
        <w:rPr>
          <w:rFonts w:cs="Arial"/>
          <w:rtl/>
        </w:rPr>
        <w:t xml:space="preserve"> כיון שהיו יושבין ושותין תחלה</w:t>
      </w:r>
      <w:r>
        <w:rPr>
          <w:rFonts w:cs="Arial" w:hint="cs"/>
          <w:sz w:val="16"/>
          <w:szCs w:val="16"/>
          <w:rtl/>
        </w:rPr>
        <w:t xml:space="preserve"> (ל' הטור )</w:t>
      </w:r>
      <w:r w:rsidRPr="00B87076">
        <w:rPr>
          <w:rFonts w:cs="Arial"/>
          <w:rtl/>
        </w:rPr>
        <w:t xml:space="preserve">. </w:t>
      </w:r>
      <w:r w:rsidRPr="00B8142A">
        <w:rPr>
          <w:rFonts w:cs="Arial" w:hint="cs"/>
          <w:color w:val="E36C0A" w:themeColor="accent6" w:themeShade="BF"/>
          <w:rtl/>
        </w:rPr>
        <w:t>(וכ"פ בשו"ע)</w:t>
      </w:r>
    </w:p>
    <w:p w14:paraId="5CBFEF7F" w14:textId="77777777" w:rsidR="004B2E7C" w:rsidRPr="00CC38D3" w:rsidRDefault="004B2E7C" w:rsidP="00FF2D21">
      <w:pPr>
        <w:pStyle w:val="aa"/>
        <w:numPr>
          <w:ilvl w:val="1"/>
          <w:numId w:val="116"/>
        </w:numPr>
      </w:pPr>
      <w:r>
        <w:rPr>
          <w:rFonts w:cs="Arial" w:hint="cs"/>
          <w:rtl/>
        </w:rPr>
        <w:t xml:space="preserve">ב"י- </w:t>
      </w:r>
      <w:r>
        <w:rPr>
          <w:rFonts w:cs="Arial"/>
          <w:rtl/>
        </w:rPr>
        <w:t>ולענין הלכה נראה דכיון דבירושלמי מפורש שאינו צריך לברך</w:t>
      </w:r>
      <w:r>
        <w:rPr>
          <w:rFonts w:cs="Arial" w:hint="cs"/>
          <w:rtl/>
        </w:rPr>
        <w:t>,</w:t>
      </w:r>
      <w:r>
        <w:rPr>
          <w:rFonts w:cs="Arial"/>
          <w:rtl/>
        </w:rPr>
        <w:t xml:space="preserve"> וסבר כן הרא"ש</w:t>
      </w:r>
      <w:r>
        <w:rPr>
          <w:rFonts w:cs="Arial" w:hint="cs"/>
          <w:rtl/>
        </w:rPr>
        <w:t>,</w:t>
      </w:r>
      <w:r>
        <w:rPr>
          <w:rFonts w:cs="Arial"/>
          <w:rtl/>
        </w:rPr>
        <w:t xml:space="preserve"> ומפרש דהרי"ף נמי סבר הכי</w:t>
      </w:r>
      <w:r>
        <w:rPr>
          <w:rFonts w:cs="Arial" w:hint="cs"/>
          <w:rtl/>
        </w:rPr>
        <w:t>,</w:t>
      </w:r>
      <w:r>
        <w:rPr>
          <w:rFonts w:cs="Arial"/>
          <w:rtl/>
        </w:rPr>
        <w:t xml:space="preserve"> מאחר ששניהם סוברים כן</w:t>
      </w:r>
      <w:r>
        <w:rPr>
          <w:rFonts w:cs="Arial" w:hint="cs"/>
          <w:rtl/>
        </w:rPr>
        <w:t>,</w:t>
      </w:r>
      <w:r>
        <w:rPr>
          <w:rFonts w:cs="Arial"/>
          <w:rtl/>
        </w:rPr>
        <w:t xml:space="preserve"> וגם הוא בספק ברכות דאינון להקל </w:t>
      </w:r>
      <w:r>
        <w:rPr>
          <w:rFonts w:cs="Arial" w:hint="cs"/>
          <w:rtl/>
        </w:rPr>
        <w:t xml:space="preserve">- </w:t>
      </w:r>
      <w:r>
        <w:rPr>
          <w:rFonts w:cs="Arial"/>
          <w:rtl/>
        </w:rPr>
        <w:t>הכי נקיטינן</w:t>
      </w:r>
      <w:bookmarkStart w:id="7" w:name="_Ref78282897"/>
      <w:r>
        <w:rPr>
          <w:rStyle w:val="a9"/>
          <w:rFonts w:cs="Arial"/>
          <w:rtl/>
        </w:rPr>
        <w:footnoteReference w:id="872"/>
      </w:r>
      <w:bookmarkEnd w:id="7"/>
      <w:r>
        <w:rPr>
          <w:rFonts w:cs="Arial" w:hint="cs"/>
          <w:rtl/>
        </w:rPr>
        <w:t>.</w:t>
      </w:r>
    </w:p>
    <w:p w14:paraId="4A53C6CF" w14:textId="77777777" w:rsidR="004B2E7C" w:rsidRPr="00CC38D3" w:rsidRDefault="004B2E7C" w:rsidP="00434A6A">
      <w:pPr>
        <w:ind w:left="360"/>
        <w:rPr>
          <w:u w:val="dotted"/>
        </w:rPr>
      </w:pPr>
      <w:r w:rsidRPr="00CC38D3">
        <w:rPr>
          <w:rFonts w:hint="cs"/>
          <w:u w:val="dotted"/>
          <w:rtl/>
        </w:rPr>
        <w:t>האם צריך לברך שוב 'המוציא':</w:t>
      </w:r>
    </w:p>
    <w:p w14:paraId="0AFECDB7" w14:textId="77777777" w:rsidR="004B2E7C" w:rsidRPr="000D7ABE" w:rsidRDefault="004B2E7C" w:rsidP="00FF2D21">
      <w:pPr>
        <w:pStyle w:val="aa"/>
        <w:numPr>
          <w:ilvl w:val="0"/>
          <w:numId w:val="116"/>
        </w:numPr>
      </w:pPr>
      <w:r>
        <w:rPr>
          <w:rFonts w:cs="Arial" w:hint="cs"/>
          <w:rtl/>
        </w:rPr>
        <w:t xml:space="preserve">רי"ף </w:t>
      </w:r>
      <w:r w:rsidRPr="00516E79">
        <w:rPr>
          <w:rFonts w:cs="Arial"/>
          <w:sz w:val="16"/>
          <w:szCs w:val="16"/>
          <w:rtl/>
        </w:rPr>
        <w:t>(יט:)</w:t>
      </w:r>
      <w:r>
        <w:rPr>
          <w:rFonts w:cs="Arial" w:hint="cs"/>
          <w:rtl/>
        </w:rPr>
        <w:t xml:space="preserve"> רא"ש </w:t>
      </w:r>
      <w:r w:rsidRPr="00FC45D7">
        <w:rPr>
          <w:rFonts w:cs="Arial"/>
          <w:sz w:val="16"/>
          <w:szCs w:val="16"/>
          <w:rtl/>
        </w:rPr>
        <w:t>(פסחים פ"י סוף סי' ב)</w:t>
      </w:r>
      <w:r>
        <w:rPr>
          <w:rFonts w:cs="Arial" w:hint="cs"/>
          <w:sz w:val="16"/>
          <w:szCs w:val="16"/>
          <w:rtl/>
        </w:rPr>
        <w:t xml:space="preserve"> </w:t>
      </w:r>
      <w:r>
        <w:rPr>
          <w:rFonts w:cs="Arial"/>
          <w:rtl/>
        </w:rPr>
        <w:t xml:space="preserve">ור"ן </w:t>
      </w:r>
      <w:r w:rsidRPr="00FC45D7">
        <w:rPr>
          <w:rFonts w:cs="Arial"/>
          <w:sz w:val="16"/>
          <w:szCs w:val="16"/>
          <w:rtl/>
        </w:rPr>
        <w:t>(שם ד"ה ואח"כ שרי)</w:t>
      </w:r>
      <w:r>
        <w:rPr>
          <w:rFonts w:cs="Arial" w:hint="cs"/>
          <w:rtl/>
        </w:rPr>
        <w:t xml:space="preserve">- </w:t>
      </w:r>
      <w:r w:rsidRPr="00B87076">
        <w:rPr>
          <w:rFonts w:cs="Arial"/>
          <w:rtl/>
        </w:rPr>
        <w:t>צריך לברך המוציא</w:t>
      </w:r>
      <w:r>
        <w:rPr>
          <w:rStyle w:val="a9"/>
          <w:rFonts w:cs="Arial"/>
          <w:rtl/>
        </w:rPr>
        <w:footnoteReference w:id="873"/>
      </w:r>
      <w:r>
        <w:rPr>
          <w:rFonts w:cs="Arial" w:hint="cs"/>
          <w:rtl/>
        </w:rPr>
        <w:t>.</w:t>
      </w:r>
      <w:r w:rsidRPr="00B87076">
        <w:rPr>
          <w:rFonts w:cs="Arial"/>
          <w:rtl/>
        </w:rPr>
        <w:t xml:space="preserve"> </w:t>
      </w:r>
      <w:r w:rsidRPr="00B8142A">
        <w:rPr>
          <w:rFonts w:cs="Arial" w:hint="cs"/>
          <w:color w:val="E36C0A" w:themeColor="accent6" w:themeShade="BF"/>
          <w:rtl/>
        </w:rPr>
        <w:t>(וכ"</w:t>
      </w:r>
      <w:r>
        <w:rPr>
          <w:rFonts w:cs="Arial" w:hint="cs"/>
          <w:color w:val="E36C0A" w:themeColor="accent6" w:themeShade="BF"/>
          <w:rtl/>
        </w:rPr>
        <w:t>ס</w:t>
      </w:r>
      <w:r w:rsidRPr="00B8142A">
        <w:rPr>
          <w:rFonts w:cs="Arial" w:hint="cs"/>
          <w:color w:val="E36C0A" w:themeColor="accent6" w:themeShade="BF"/>
          <w:rtl/>
        </w:rPr>
        <w:t xml:space="preserve"> בשו"ע)</w:t>
      </w:r>
    </w:p>
    <w:p w14:paraId="6C26A923" w14:textId="77777777" w:rsidR="004B2E7C" w:rsidRPr="00CC38D3" w:rsidRDefault="004B2E7C" w:rsidP="00FF2D21">
      <w:pPr>
        <w:pStyle w:val="aa"/>
        <w:numPr>
          <w:ilvl w:val="0"/>
          <w:numId w:val="116"/>
        </w:numPr>
      </w:pPr>
      <w:r>
        <w:rPr>
          <w:rFonts w:cs="Arial" w:hint="cs"/>
          <w:rtl/>
        </w:rPr>
        <w:t xml:space="preserve">י"א </w:t>
      </w:r>
      <w:r>
        <w:rPr>
          <w:rFonts w:cs="Arial" w:hint="cs"/>
          <w:sz w:val="16"/>
          <w:szCs w:val="16"/>
          <w:rtl/>
        </w:rPr>
        <w:t>(כ"כ בשמו הרי"ץ גיאות והטור)</w:t>
      </w:r>
      <w:r>
        <w:rPr>
          <w:rFonts w:cs="Arial" w:hint="cs"/>
          <w:rtl/>
        </w:rPr>
        <w:t xml:space="preserve"> ו</w:t>
      </w:r>
      <w:r>
        <w:rPr>
          <w:rFonts w:cs="Arial"/>
          <w:rtl/>
        </w:rPr>
        <w:t xml:space="preserve">רז"ה </w:t>
      </w:r>
      <w:r w:rsidRPr="00516E79">
        <w:rPr>
          <w:rFonts w:cs="Arial"/>
          <w:sz w:val="16"/>
          <w:szCs w:val="16"/>
          <w:rtl/>
        </w:rPr>
        <w:t>(יט:)</w:t>
      </w:r>
      <w:r>
        <w:rPr>
          <w:rFonts w:cs="Arial" w:hint="cs"/>
          <w:rtl/>
        </w:rPr>
        <w:t xml:space="preserve">- </w:t>
      </w:r>
      <w:r w:rsidRPr="00B87076">
        <w:rPr>
          <w:rFonts w:cs="Arial"/>
          <w:rtl/>
        </w:rPr>
        <w:t>א"צ לברך</w:t>
      </w:r>
      <w:r>
        <w:rPr>
          <w:rFonts w:cs="Arial" w:hint="cs"/>
          <w:rtl/>
        </w:rPr>
        <w:t>,</w:t>
      </w:r>
      <w:r w:rsidRPr="00B87076">
        <w:rPr>
          <w:rFonts w:cs="Arial"/>
          <w:rtl/>
        </w:rPr>
        <w:t xml:space="preserve"> אלא מקדש ואוכל בלא המוציא</w:t>
      </w:r>
      <w:r>
        <w:rPr>
          <w:rFonts w:cs="Arial" w:hint="cs"/>
          <w:sz w:val="16"/>
          <w:szCs w:val="16"/>
          <w:rtl/>
        </w:rPr>
        <w:t xml:space="preserve"> (ל' הטור בשם י"א)</w:t>
      </w:r>
      <w:r>
        <w:rPr>
          <w:rStyle w:val="a9"/>
          <w:rFonts w:cs="Arial"/>
          <w:rtl/>
        </w:rPr>
        <w:footnoteReference w:id="874"/>
      </w:r>
      <w:r>
        <w:rPr>
          <w:rFonts w:cs="Arial" w:hint="cs"/>
          <w:rtl/>
        </w:rPr>
        <w:t>.</w:t>
      </w:r>
    </w:p>
    <w:p w14:paraId="2233A4BE" w14:textId="77777777" w:rsidR="004B2E7C" w:rsidRPr="000D7ABE" w:rsidRDefault="004B2E7C" w:rsidP="00434A6A">
      <w:pPr>
        <w:ind w:left="360"/>
        <w:rPr>
          <w:u w:val="dotted"/>
        </w:rPr>
      </w:pPr>
      <w:r w:rsidRPr="000D7ABE">
        <w:rPr>
          <w:rFonts w:cs="Arial" w:hint="cs"/>
          <w:u w:val="dotted"/>
          <w:rtl/>
        </w:rPr>
        <w:t>ומה הדין אם אין לו יין:</w:t>
      </w:r>
      <w:r w:rsidRPr="000D7ABE">
        <w:rPr>
          <w:rFonts w:cs="Arial"/>
          <w:u w:val="dotted"/>
          <w:rtl/>
        </w:rPr>
        <w:t xml:space="preserve"> </w:t>
      </w:r>
    </w:p>
    <w:p w14:paraId="3243DEC5" w14:textId="77777777" w:rsidR="004B2E7C" w:rsidRPr="00B87076" w:rsidRDefault="004B2E7C" w:rsidP="00FF2D21">
      <w:pPr>
        <w:pStyle w:val="aa"/>
        <w:numPr>
          <w:ilvl w:val="0"/>
          <w:numId w:val="116"/>
        </w:numPr>
        <w:rPr>
          <w:rtl/>
        </w:rPr>
      </w:pPr>
      <w:r>
        <w:rPr>
          <w:rFonts w:cs="Arial" w:hint="cs"/>
          <w:rtl/>
        </w:rPr>
        <w:t xml:space="preserve">רי"ץ גיאות </w:t>
      </w:r>
      <w:r>
        <w:rPr>
          <w:rFonts w:cs="Arial" w:hint="cs"/>
          <w:sz w:val="16"/>
          <w:szCs w:val="16"/>
          <w:rtl/>
        </w:rPr>
        <w:t xml:space="preserve">(כ"כ בשמו הטור) </w:t>
      </w:r>
      <w:r>
        <w:rPr>
          <w:rFonts w:cs="Arial" w:hint="cs"/>
          <w:rtl/>
        </w:rPr>
        <w:t>ורא"ש</w:t>
      </w:r>
      <w:r>
        <w:rPr>
          <w:rFonts w:cs="Arial" w:hint="cs"/>
          <w:sz w:val="16"/>
          <w:szCs w:val="16"/>
          <w:rtl/>
        </w:rPr>
        <w:t xml:space="preserve"> (להב' הטור)</w:t>
      </w:r>
      <w:r>
        <w:rPr>
          <w:rFonts w:cs="Arial" w:hint="cs"/>
          <w:rtl/>
        </w:rPr>
        <w:t xml:space="preserve">- </w:t>
      </w:r>
      <w:r w:rsidRPr="00B87076">
        <w:rPr>
          <w:rFonts w:cs="Arial"/>
          <w:rtl/>
        </w:rPr>
        <w:t>אוכלין שקדש עליהם היום ואין להם יין</w:t>
      </w:r>
      <w:r>
        <w:rPr>
          <w:rFonts w:cs="Arial" w:hint="cs"/>
          <w:rtl/>
        </w:rPr>
        <w:t>,</w:t>
      </w:r>
      <w:r w:rsidRPr="00B87076">
        <w:rPr>
          <w:rFonts w:cs="Arial"/>
          <w:rtl/>
        </w:rPr>
        <w:t xml:space="preserve"> שמקדשין על הפת </w:t>
      </w:r>
      <w:r>
        <w:rPr>
          <w:rFonts w:cs="Arial" w:hint="cs"/>
          <w:rtl/>
        </w:rPr>
        <w:t xml:space="preserve">- </w:t>
      </w:r>
      <w:r w:rsidRPr="00B87076">
        <w:rPr>
          <w:rFonts w:cs="Arial"/>
          <w:rtl/>
        </w:rPr>
        <w:t>א</w:t>
      </w:r>
      <w:r>
        <w:rPr>
          <w:rFonts w:cs="Arial" w:hint="cs"/>
          <w:rtl/>
        </w:rPr>
        <w:t xml:space="preserve">ינם </w:t>
      </w:r>
      <w:r w:rsidRPr="00B87076">
        <w:rPr>
          <w:rFonts w:cs="Arial"/>
          <w:rtl/>
        </w:rPr>
        <w:t>צ</w:t>
      </w:r>
      <w:r>
        <w:rPr>
          <w:rFonts w:cs="Arial" w:hint="cs"/>
          <w:rtl/>
        </w:rPr>
        <w:t>ריכים</w:t>
      </w:r>
      <w:r w:rsidRPr="00B87076">
        <w:rPr>
          <w:rFonts w:cs="Arial"/>
          <w:rtl/>
        </w:rPr>
        <w:t xml:space="preserve"> לברך עליו המוציא אלא מקדשין וחוזרין ואוכלין</w:t>
      </w:r>
      <w:r>
        <w:rPr>
          <w:rFonts w:cs="Arial" w:hint="cs"/>
          <w:sz w:val="16"/>
          <w:szCs w:val="16"/>
          <w:rtl/>
        </w:rPr>
        <w:t xml:space="preserve"> (ל' הטור)</w:t>
      </w:r>
      <w:r>
        <w:rPr>
          <w:rStyle w:val="a9"/>
          <w:rFonts w:cs="Arial"/>
          <w:sz w:val="16"/>
          <w:szCs w:val="16"/>
          <w:rtl/>
        </w:rPr>
        <w:footnoteReference w:id="875"/>
      </w:r>
      <w:r w:rsidRPr="00791814">
        <w:rPr>
          <w:rFonts w:cs="Arial" w:hint="cs"/>
          <w:rtl/>
        </w:rPr>
        <w:t>.</w:t>
      </w:r>
      <w:r w:rsidRPr="00791814">
        <w:rPr>
          <w:rFonts w:cs="Arial" w:hint="cs"/>
          <w:color w:val="E36C0A" w:themeColor="accent6" w:themeShade="BF"/>
          <w:rtl/>
        </w:rPr>
        <w:t xml:space="preserve"> </w:t>
      </w:r>
      <w:r w:rsidRPr="00B8142A">
        <w:rPr>
          <w:rFonts w:cs="Arial" w:hint="cs"/>
          <w:color w:val="E36C0A" w:themeColor="accent6" w:themeShade="BF"/>
          <w:rtl/>
        </w:rPr>
        <w:t>(וכ"פ בשו"ע)</w:t>
      </w:r>
    </w:p>
    <w:p w14:paraId="70C60BEC"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8C44D33" w14:textId="77777777" w:rsidR="004B2E7C" w:rsidRDefault="004B2E7C" w:rsidP="00434A6A">
      <w:pPr>
        <w:rPr>
          <w:rFonts w:asciiTheme="minorBidi" w:hAnsiTheme="minorBidi"/>
          <w:rtl/>
        </w:rPr>
      </w:pPr>
      <w:r w:rsidRPr="00CC2350">
        <w:rPr>
          <w:rFonts w:asciiTheme="minorBidi" w:hAnsiTheme="minorBidi" w:cs="Arial"/>
          <w:rtl/>
        </w:rPr>
        <w:t>אסור לטעום כלום קודם שיקדש, אפי</w:t>
      </w:r>
      <w:r>
        <w:rPr>
          <w:rFonts w:asciiTheme="minorBidi" w:hAnsiTheme="minorBidi" w:cs="Arial" w:hint="cs"/>
          <w:rtl/>
        </w:rPr>
        <w:t>לו</w:t>
      </w:r>
      <w:r w:rsidRPr="00CC2350">
        <w:rPr>
          <w:rFonts w:asciiTheme="minorBidi" w:hAnsiTheme="minorBidi" w:cs="Arial"/>
          <w:rtl/>
        </w:rPr>
        <w:t xml:space="preserve"> מים</w:t>
      </w:r>
      <w:r>
        <w:rPr>
          <w:rStyle w:val="a9"/>
          <w:rFonts w:asciiTheme="minorBidi" w:hAnsiTheme="minorBidi" w:cs="Arial"/>
          <w:rtl/>
        </w:rPr>
        <w:footnoteReference w:id="876"/>
      </w:r>
      <w:r w:rsidRPr="00CC2350">
        <w:rPr>
          <w:rFonts w:asciiTheme="minorBidi" w:hAnsiTheme="minorBidi" w:cs="Arial"/>
          <w:rtl/>
        </w:rPr>
        <w:t>. ואפי</w:t>
      </w:r>
      <w:r>
        <w:rPr>
          <w:rFonts w:asciiTheme="minorBidi" w:hAnsiTheme="minorBidi" w:cs="Arial" w:hint="cs"/>
          <w:rtl/>
        </w:rPr>
        <w:t xml:space="preserve">לו </w:t>
      </w:r>
      <w:r w:rsidRPr="00CC2350">
        <w:rPr>
          <w:rFonts w:asciiTheme="minorBidi" w:hAnsiTheme="minorBidi" w:cs="Arial"/>
          <w:rtl/>
        </w:rPr>
        <w:t>אם התחיל מבעוד יום, צריך להפסיק, שפורס מפה</w:t>
      </w:r>
      <w:r>
        <w:rPr>
          <w:rStyle w:val="a9"/>
          <w:rFonts w:asciiTheme="minorBidi" w:hAnsiTheme="minorBidi" w:cs="Arial"/>
          <w:rtl/>
        </w:rPr>
        <w:footnoteReference w:id="877"/>
      </w:r>
      <w:r w:rsidRPr="00CC2350">
        <w:rPr>
          <w:rFonts w:asciiTheme="minorBidi" w:hAnsiTheme="minorBidi" w:cs="Arial"/>
          <w:rtl/>
        </w:rPr>
        <w:t xml:space="preserve"> ומקדש. ואם היו שותים יין תחלה, אינו אומר אלא קידוש בלבד בלא ברכת היין, ואח</w:t>
      </w:r>
      <w:r>
        <w:rPr>
          <w:rFonts w:asciiTheme="minorBidi" w:hAnsiTheme="minorBidi" w:cs="Arial" w:hint="cs"/>
          <w:rtl/>
        </w:rPr>
        <w:t xml:space="preserve">ר </w:t>
      </w:r>
      <w:r w:rsidRPr="00CC2350">
        <w:rPr>
          <w:rFonts w:asciiTheme="minorBidi" w:hAnsiTheme="minorBidi" w:cs="Arial"/>
          <w:rtl/>
        </w:rPr>
        <w:t>כ</w:t>
      </w:r>
      <w:r>
        <w:rPr>
          <w:rFonts w:asciiTheme="minorBidi" w:hAnsiTheme="minorBidi" w:cs="Arial" w:hint="cs"/>
          <w:rtl/>
        </w:rPr>
        <w:t>ך</w:t>
      </w:r>
      <w:r w:rsidRPr="00CC2350">
        <w:rPr>
          <w:rFonts w:asciiTheme="minorBidi" w:hAnsiTheme="minorBidi" w:cs="Arial"/>
          <w:rtl/>
        </w:rPr>
        <w:t xml:space="preserve"> מברך ברכת המוציא. ואם אין לו יין ומקדש על הפת, אינו מברך המוציא. וי</w:t>
      </w:r>
      <w:r>
        <w:rPr>
          <w:rFonts w:asciiTheme="minorBidi" w:hAnsiTheme="minorBidi" w:cs="Arial" w:hint="cs"/>
          <w:rtl/>
        </w:rPr>
        <w:t xml:space="preserve">ש </w:t>
      </w:r>
      <w:r w:rsidRPr="00CC2350">
        <w:rPr>
          <w:rFonts w:asciiTheme="minorBidi" w:hAnsiTheme="minorBidi" w:cs="Arial"/>
          <w:rtl/>
        </w:rPr>
        <w:t>א</w:t>
      </w:r>
      <w:r>
        <w:rPr>
          <w:rFonts w:asciiTheme="minorBidi" w:hAnsiTheme="minorBidi" w:cs="Arial" w:hint="cs"/>
          <w:rtl/>
        </w:rPr>
        <w:t>ומרים</w:t>
      </w:r>
      <w:r w:rsidRPr="00CC2350">
        <w:rPr>
          <w:rFonts w:asciiTheme="minorBidi" w:hAnsiTheme="minorBidi" w:cs="Arial"/>
          <w:rtl/>
        </w:rPr>
        <w:t xml:space="preserve"> שאף כשמקדש על היין אינו מברך המוציא</w:t>
      </w:r>
      <w:r>
        <w:rPr>
          <w:rStyle w:val="a9"/>
          <w:rFonts w:asciiTheme="minorBidi" w:hAnsiTheme="minorBidi" w:cs="Arial"/>
          <w:rtl/>
        </w:rPr>
        <w:footnoteReference w:id="878"/>
      </w:r>
      <w:r w:rsidRPr="00CC2350">
        <w:rPr>
          <w:rFonts w:asciiTheme="minorBidi" w:hAnsiTheme="minorBidi" w:cs="Arial"/>
          <w:rtl/>
        </w:rPr>
        <w:t xml:space="preserve">. </w:t>
      </w:r>
    </w:p>
    <w:p w14:paraId="1DD29018" w14:textId="77777777" w:rsidR="004B2E7C" w:rsidRPr="00CC2350" w:rsidRDefault="004B2E7C" w:rsidP="00434A6A">
      <w:pPr>
        <w:rPr>
          <w:rFonts w:asciiTheme="minorBidi" w:hAnsiTheme="minorBidi"/>
          <w:rtl/>
        </w:rPr>
      </w:pPr>
    </w:p>
    <w:p w14:paraId="31EEB838" w14:textId="77777777" w:rsidR="004B2E7C" w:rsidRDefault="004B2E7C" w:rsidP="00434A6A">
      <w:pPr>
        <w:pStyle w:val="2"/>
        <w:rPr>
          <w:rtl/>
        </w:rPr>
      </w:pPr>
      <w:r w:rsidRPr="00CC2350">
        <w:rPr>
          <w:rtl/>
        </w:rPr>
        <w:t>סעיף ה</w:t>
      </w:r>
      <w:r>
        <w:rPr>
          <w:rFonts w:hint="cs"/>
          <w:rtl/>
        </w:rPr>
        <w:t>: שנים שהיו שותים יין ואמרו 'בואו ונקדש קידוש היום'.</w:t>
      </w:r>
    </w:p>
    <w:p w14:paraId="2E1E0B78" w14:textId="77777777" w:rsidR="004B2E7C" w:rsidRPr="00FF01F0" w:rsidRDefault="004B2E7C" w:rsidP="00434A6A">
      <w:pPr>
        <w:rPr>
          <w:u w:val="single"/>
          <w:rtl/>
        </w:rPr>
      </w:pPr>
      <w:r w:rsidRPr="00FF01F0">
        <w:rPr>
          <w:rFonts w:hint="cs"/>
          <w:u w:val="single"/>
          <w:rtl/>
        </w:rPr>
        <w:t>שנים שהיו שותים יין ואמרו 'בואו ונקדש קידוש היום':</w:t>
      </w:r>
    </w:p>
    <w:p w14:paraId="51AACD3D" w14:textId="77777777" w:rsidR="004B2E7C" w:rsidRPr="00C308C5" w:rsidRDefault="004B2E7C" w:rsidP="00FF2D21">
      <w:pPr>
        <w:pStyle w:val="aa"/>
        <w:numPr>
          <w:ilvl w:val="0"/>
          <w:numId w:val="116"/>
        </w:numPr>
      </w:pPr>
      <w:r>
        <w:rPr>
          <w:rFonts w:cs="Arial" w:hint="cs"/>
          <w:rtl/>
        </w:rPr>
        <w:t xml:space="preserve">רמב"ם </w:t>
      </w:r>
      <w:r>
        <w:rPr>
          <w:rFonts w:cs="Arial" w:hint="cs"/>
          <w:sz w:val="16"/>
          <w:szCs w:val="16"/>
          <w:rtl/>
        </w:rPr>
        <w:t>(ברכות פ"ד ה"ח)</w:t>
      </w:r>
      <w:r>
        <w:rPr>
          <w:rFonts w:cs="Arial" w:hint="cs"/>
          <w:rtl/>
        </w:rPr>
        <w:t xml:space="preserve">- </w:t>
      </w:r>
      <w:r w:rsidRPr="00C308C5">
        <w:rPr>
          <w:rFonts w:cs="Arial"/>
          <w:rtl/>
        </w:rPr>
        <w:t xml:space="preserve">היו שותין ואמרו </w:t>
      </w:r>
      <w:r>
        <w:rPr>
          <w:rFonts w:cs="Arial" w:hint="cs"/>
          <w:rtl/>
        </w:rPr>
        <w:t>'</w:t>
      </w:r>
      <w:r w:rsidRPr="00C308C5">
        <w:rPr>
          <w:rFonts w:cs="Arial"/>
          <w:rtl/>
        </w:rPr>
        <w:t>בואו ונברך ברכת המזון</w:t>
      </w:r>
      <w:r>
        <w:rPr>
          <w:rFonts w:cs="Arial" w:hint="cs"/>
          <w:rtl/>
        </w:rPr>
        <w:t>'</w:t>
      </w:r>
      <w:r w:rsidRPr="00C308C5">
        <w:rPr>
          <w:rFonts w:cs="Arial"/>
          <w:rtl/>
        </w:rPr>
        <w:t xml:space="preserve"> או </w:t>
      </w:r>
      <w:r>
        <w:rPr>
          <w:rFonts w:cs="Arial" w:hint="cs"/>
          <w:rtl/>
        </w:rPr>
        <w:t>'</w:t>
      </w:r>
      <w:r w:rsidRPr="00C308C5">
        <w:rPr>
          <w:rFonts w:cs="Arial"/>
          <w:rtl/>
        </w:rPr>
        <w:t>בואו ונקדש קידוש היום</w:t>
      </w:r>
      <w:r>
        <w:rPr>
          <w:rFonts w:cs="Arial" w:hint="cs"/>
          <w:rtl/>
        </w:rPr>
        <w:t>' -</w:t>
      </w:r>
      <w:r w:rsidRPr="00C308C5">
        <w:rPr>
          <w:rFonts w:cs="Arial"/>
          <w:rtl/>
        </w:rPr>
        <w:t xml:space="preserve"> נאסר עליהם לשתות עד שיברכו או יקדשו</w:t>
      </w:r>
      <w:r>
        <w:rPr>
          <w:rFonts w:cs="Arial" w:hint="cs"/>
          <w:rtl/>
        </w:rPr>
        <w:t>.</w:t>
      </w:r>
      <w:r w:rsidRPr="00C308C5">
        <w:rPr>
          <w:rFonts w:cs="Arial"/>
          <w:rtl/>
        </w:rPr>
        <w:t xml:space="preserve"> ואם רצו לחזור ולשתות קודם שיברכו או יקדשו אע"פ שאינם רשאים </w:t>
      </w:r>
      <w:r>
        <w:rPr>
          <w:rFonts w:cs="Arial" w:hint="cs"/>
          <w:rtl/>
        </w:rPr>
        <w:t xml:space="preserve">- </w:t>
      </w:r>
      <w:r w:rsidRPr="00C308C5">
        <w:rPr>
          <w:rFonts w:cs="Arial"/>
          <w:rtl/>
        </w:rPr>
        <w:t>צריכים לחזור ולברך תחלה בורא פרי הגפן ואח"כ ישתו</w:t>
      </w:r>
      <w:r>
        <w:rPr>
          <w:rFonts w:cs="Arial" w:hint="cs"/>
          <w:rtl/>
        </w:rPr>
        <w:t>.</w:t>
      </w:r>
      <w:r w:rsidRPr="00C308C5">
        <w:rPr>
          <w:rFonts w:cs="Arial"/>
          <w:rtl/>
        </w:rPr>
        <w:t xml:space="preserve"> אבל אם אמרו בואו ונבדיל אין צריכין לחזור ולברך. </w:t>
      </w:r>
      <w:r w:rsidRPr="00B8142A">
        <w:rPr>
          <w:rFonts w:cs="Arial" w:hint="cs"/>
          <w:color w:val="E36C0A" w:themeColor="accent6" w:themeShade="BF"/>
          <w:rtl/>
        </w:rPr>
        <w:t>(וכ"פ בשו"ע</w:t>
      </w:r>
      <w:r>
        <w:rPr>
          <w:rStyle w:val="a9"/>
          <w:rFonts w:cs="Arial"/>
          <w:color w:val="E36C0A" w:themeColor="accent6" w:themeShade="BF"/>
          <w:rtl/>
        </w:rPr>
        <w:footnoteReference w:id="879"/>
      </w:r>
      <w:r w:rsidRPr="00B8142A">
        <w:rPr>
          <w:rFonts w:cs="Arial" w:hint="cs"/>
          <w:color w:val="E36C0A" w:themeColor="accent6" w:themeShade="BF"/>
          <w:rtl/>
        </w:rPr>
        <w:t>)</w:t>
      </w:r>
    </w:p>
    <w:p w14:paraId="2090846A" w14:textId="77777777" w:rsidR="004B2E7C" w:rsidRPr="00FF01F0" w:rsidRDefault="004B2E7C" w:rsidP="00FF2D21">
      <w:pPr>
        <w:pStyle w:val="aa"/>
        <w:numPr>
          <w:ilvl w:val="0"/>
          <w:numId w:val="116"/>
        </w:numPr>
      </w:pPr>
      <w:r>
        <w:rPr>
          <w:rFonts w:cs="Arial" w:hint="cs"/>
          <w:rtl/>
        </w:rPr>
        <w:t>ראב"ד</w:t>
      </w:r>
      <w:r>
        <w:rPr>
          <w:rFonts w:cs="Arial" w:hint="cs"/>
          <w:sz w:val="16"/>
          <w:szCs w:val="16"/>
          <w:rtl/>
        </w:rPr>
        <w:t xml:space="preserve"> (שם בהשגות)</w:t>
      </w:r>
      <w:r>
        <w:rPr>
          <w:rFonts w:cs="Arial" w:hint="cs"/>
          <w:rtl/>
        </w:rPr>
        <w:t xml:space="preserve">- </w:t>
      </w:r>
      <w:r w:rsidRPr="00C308C5">
        <w:rPr>
          <w:rFonts w:cs="Arial"/>
          <w:rtl/>
        </w:rPr>
        <w:t>הפסקת הקידוש אע"פ שלא אמרו בואו ונקדש כיון שקדש היום חייב להפסיק מה שאין כן בהבדלה שאע"פ שחשיכה אינו מפסיק מ"מ אם אמר בואו ונבדיל הא סליק נפשיה משתיה ואסור למישתי בלא ברכה.</w:t>
      </w:r>
    </w:p>
    <w:p w14:paraId="63349585" w14:textId="77777777" w:rsidR="004B2E7C" w:rsidRPr="00FF01F0" w:rsidRDefault="004B2E7C" w:rsidP="00434A6A">
      <w:r w:rsidRPr="00FF01F0">
        <w:rPr>
          <w:rFonts w:cs="Arial"/>
          <w:u w:val="single"/>
          <w:rtl/>
        </w:rPr>
        <w:t>אדם ששכח לקדש</w:t>
      </w:r>
      <w:r w:rsidRPr="00FF01F0">
        <w:rPr>
          <w:rFonts w:cs="Arial" w:hint="cs"/>
          <w:u w:val="single"/>
          <w:rtl/>
        </w:rPr>
        <w:t>,</w:t>
      </w:r>
      <w:r w:rsidRPr="00FF01F0">
        <w:rPr>
          <w:rFonts w:cs="Arial"/>
          <w:u w:val="single"/>
          <w:rtl/>
        </w:rPr>
        <w:t xml:space="preserve"> ונטל ידיו לאכילה ובירך ברכת המוציא</w:t>
      </w:r>
      <w:r w:rsidRPr="00FF01F0">
        <w:rPr>
          <w:rFonts w:cs="Arial" w:hint="cs"/>
          <w:u w:val="single"/>
          <w:rtl/>
        </w:rPr>
        <w:t>,</w:t>
      </w:r>
      <w:r w:rsidRPr="00FF01F0">
        <w:rPr>
          <w:rFonts w:cs="Arial"/>
          <w:u w:val="single"/>
          <w:rtl/>
        </w:rPr>
        <w:t xml:space="preserve"> ולאחר הברכה נזכר שלא קידש</w:t>
      </w:r>
      <w:r w:rsidRPr="00FF01F0">
        <w:rPr>
          <w:rFonts w:cs="Arial" w:hint="cs"/>
          <w:u w:val="single"/>
          <w:rtl/>
        </w:rPr>
        <w:t>:</w:t>
      </w:r>
      <w:r w:rsidRPr="00FF01F0">
        <w:rPr>
          <w:rFonts w:cs="Arial"/>
          <w:sz w:val="16"/>
          <w:szCs w:val="16"/>
          <w:rtl/>
        </w:rPr>
        <w:t xml:space="preserve"> </w:t>
      </w:r>
      <w:r>
        <w:rPr>
          <w:rFonts w:cs="Arial" w:hint="cs"/>
          <w:sz w:val="16"/>
          <w:szCs w:val="16"/>
          <w:rtl/>
        </w:rPr>
        <w:t xml:space="preserve"> </w:t>
      </w:r>
      <w:r w:rsidRPr="00FF01F0">
        <w:rPr>
          <w:rFonts w:cs="Arial"/>
          <w:sz w:val="16"/>
          <w:szCs w:val="16"/>
          <w:rtl/>
        </w:rPr>
        <w:t>(</w:t>
      </w:r>
      <w:r w:rsidRPr="00FF01F0">
        <w:rPr>
          <w:rFonts w:cs="Arial" w:hint="cs"/>
          <w:sz w:val="16"/>
          <w:szCs w:val="16"/>
          <w:rtl/>
        </w:rPr>
        <w:t xml:space="preserve">דרכ"מ אות </w:t>
      </w:r>
      <w:r w:rsidRPr="00FF01F0">
        <w:rPr>
          <w:rFonts w:cs="Arial"/>
          <w:sz w:val="16"/>
          <w:szCs w:val="16"/>
          <w:rtl/>
        </w:rPr>
        <w:t>ג)</w:t>
      </w:r>
    </w:p>
    <w:p w14:paraId="7359064D" w14:textId="77777777" w:rsidR="004B2E7C" w:rsidRPr="0043002C" w:rsidRDefault="004B2E7C" w:rsidP="00FF2D21">
      <w:pPr>
        <w:pStyle w:val="aa"/>
        <w:numPr>
          <w:ilvl w:val="0"/>
          <w:numId w:val="116"/>
        </w:numPr>
        <w:rPr>
          <w:rtl/>
        </w:rPr>
      </w:pPr>
      <w:r w:rsidRPr="0043002C">
        <w:rPr>
          <w:rFonts w:cs="Arial"/>
          <w:rtl/>
        </w:rPr>
        <w:t>שלטי הגבורים</w:t>
      </w:r>
      <w:r w:rsidRPr="00FF01F0">
        <w:rPr>
          <w:rFonts w:cs="Arial"/>
          <w:sz w:val="16"/>
          <w:szCs w:val="16"/>
          <w:rtl/>
        </w:rPr>
        <w:t xml:space="preserve"> </w:t>
      </w:r>
      <w:r w:rsidRPr="00FF01F0">
        <w:rPr>
          <w:rFonts w:cs="Arial" w:hint="cs"/>
          <w:sz w:val="16"/>
          <w:szCs w:val="16"/>
          <w:rtl/>
        </w:rPr>
        <w:t>(</w:t>
      </w:r>
      <w:r w:rsidRPr="00FF01F0">
        <w:rPr>
          <w:rFonts w:cs="Arial"/>
          <w:sz w:val="16"/>
          <w:szCs w:val="16"/>
          <w:rtl/>
        </w:rPr>
        <w:t>על מרדכי ברכות פרק כיצד מברכין מח: אות טו)</w:t>
      </w:r>
      <w:r w:rsidRPr="0043002C">
        <w:rPr>
          <w:rFonts w:cs="Arial"/>
          <w:rtl/>
        </w:rPr>
        <w:t xml:space="preserve"> בשם תשובת הגאונים</w:t>
      </w:r>
      <w:r>
        <w:rPr>
          <w:rFonts w:cs="Arial" w:hint="cs"/>
          <w:rtl/>
        </w:rPr>
        <w:t>-</w:t>
      </w:r>
      <w:r w:rsidRPr="0043002C">
        <w:rPr>
          <w:rFonts w:cs="Arial"/>
          <w:rtl/>
        </w:rPr>
        <w:t xml:space="preserve"> אדם ששכח לקדש או להבדיל ונטל ידיו לאכילה ובירך ברכת המוציא</w:t>
      </w:r>
      <w:r>
        <w:rPr>
          <w:rFonts w:cs="Arial" w:hint="cs"/>
          <w:rtl/>
        </w:rPr>
        <w:t>,</w:t>
      </w:r>
      <w:r w:rsidRPr="0043002C">
        <w:rPr>
          <w:rFonts w:cs="Arial"/>
          <w:rtl/>
        </w:rPr>
        <w:t xml:space="preserve"> ולאחר הברכה נזכר שלא קידש </w:t>
      </w:r>
      <w:r>
        <w:rPr>
          <w:rFonts w:cs="Arial" w:hint="cs"/>
          <w:rtl/>
        </w:rPr>
        <w:t xml:space="preserve">- </w:t>
      </w:r>
      <w:r w:rsidRPr="0043002C">
        <w:rPr>
          <w:rFonts w:cs="Arial"/>
          <w:rtl/>
        </w:rPr>
        <w:t>יקדש על הפת קודם שיאכל פרוסת המוציא</w:t>
      </w:r>
      <w:r>
        <w:rPr>
          <w:rFonts w:cs="Arial" w:hint="cs"/>
          <w:rtl/>
        </w:rPr>
        <w:t>.</w:t>
      </w:r>
      <w:r w:rsidRPr="0043002C">
        <w:rPr>
          <w:rFonts w:cs="Arial"/>
          <w:rtl/>
        </w:rPr>
        <w:t xml:space="preserve"> אבל בהבדלה שאינו על הפת</w:t>
      </w:r>
      <w:r>
        <w:rPr>
          <w:rFonts w:cs="Arial" w:hint="cs"/>
          <w:rtl/>
        </w:rPr>
        <w:t xml:space="preserve"> -</w:t>
      </w:r>
      <w:r w:rsidRPr="0043002C">
        <w:rPr>
          <w:rFonts w:cs="Arial"/>
          <w:rtl/>
        </w:rPr>
        <w:t xml:space="preserve"> יאכל כדי שלא יהא ברכה לבטלה</w:t>
      </w:r>
      <w:r>
        <w:rPr>
          <w:rFonts w:cs="Arial" w:hint="cs"/>
          <w:rtl/>
        </w:rPr>
        <w:t>,</w:t>
      </w:r>
      <w:r w:rsidRPr="0043002C">
        <w:rPr>
          <w:rFonts w:cs="Arial"/>
          <w:rtl/>
        </w:rPr>
        <w:t xml:space="preserve"> דהא לא יוכל להבדיל על הפת</w:t>
      </w:r>
      <w:r>
        <w:rPr>
          <w:rFonts w:cs="Arial" w:hint="cs"/>
          <w:rtl/>
        </w:rPr>
        <w:t>,</w:t>
      </w:r>
      <w:r w:rsidRPr="0043002C">
        <w:rPr>
          <w:rFonts w:cs="Arial"/>
          <w:rtl/>
        </w:rPr>
        <w:t xml:space="preserve"> ולכן אוכל תחלה ומבדיל אחר כך</w:t>
      </w:r>
      <w:r>
        <w:rPr>
          <w:rFonts w:hint="cs"/>
          <w:rtl/>
        </w:rPr>
        <w:t xml:space="preserve">. </w:t>
      </w:r>
      <w:r>
        <w:rPr>
          <w:rFonts w:hint="cs"/>
          <w:color w:val="00B0F0"/>
          <w:rtl/>
        </w:rPr>
        <w:t>(</w:t>
      </w:r>
      <w:r w:rsidRPr="00FF01F0">
        <w:rPr>
          <w:rFonts w:hint="cs"/>
          <w:color w:val="00B0F0"/>
          <w:rtl/>
        </w:rPr>
        <w:t>וכ"פ הרמ"א)</w:t>
      </w:r>
    </w:p>
    <w:p w14:paraId="3953A2E5"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89D0CD2" w14:textId="77777777" w:rsidR="004B2E7C" w:rsidRDefault="004B2E7C" w:rsidP="00434A6A">
      <w:pPr>
        <w:rPr>
          <w:rFonts w:asciiTheme="minorBidi" w:hAnsiTheme="minorBidi"/>
          <w:rtl/>
        </w:rPr>
      </w:pPr>
      <w:r w:rsidRPr="00CC2350">
        <w:rPr>
          <w:rFonts w:asciiTheme="minorBidi" w:hAnsiTheme="minorBidi" w:cs="Arial"/>
          <w:rtl/>
        </w:rPr>
        <w:t>שנים שהיו שותים ואמרו: בואו ונקדש</w:t>
      </w:r>
      <w:r>
        <w:rPr>
          <w:rStyle w:val="a9"/>
          <w:rFonts w:asciiTheme="minorBidi" w:hAnsiTheme="minorBidi" w:cs="Arial"/>
          <w:rtl/>
        </w:rPr>
        <w:footnoteReference w:id="880"/>
      </w:r>
      <w:r w:rsidRPr="00CC2350">
        <w:rPr>
          <w:rFonts w:asciiTheme="minorBidi" w:hAnsiTheme="minorBidi" w:cs="Arial"/>
          <w:rtl/>
        </w:rPr>
        <w:t xml:space="preserve"> קידוש היום, נאסר עליהם לשתות עד שיקדשו</w:t>
      </w:r>
      <w:r>
        <w:rPr>
          <w:rFonts w:asciiTheme="minorBidi" w:hAnsiTheme="minorBidi" w:cs="Arial" w:hint="cs"/>
          <w:rtl/>
        </w:rPr>
        <w:t>.</w:t>
      </w:r>
      <w:r w:rsidRPr="00CC2350">
        <w:rPr>
          <w:rFonts w:asciiTheme="minorBidi" w:hAnsiTheme="minorBidi" w:cs="Arial"/>
          <w:rtl/>
        </w:rPr>
        <w:t xml:space="preserve"> ואם רצו לחזור ולשתות קודם שיקדשו, אף על פי שאינם רשאים, צריכים לחזור ולברך</w:t>
      </w:r>
      <w:r>
        <w:rPr>
          <w:rStyle w:val="a9"/>
          <w:rFonts w:asciiTheme="minorBidi" w:hAnsiTheme="minorBidi" w:cs="Arial"/>
          <w:rtl/>
        </w:rPr>
        <w:footnoteReference w:id="881"/>
      </w:r>
      <w:r w:rsidRPr="00CC2350">
        <w:rPr>
          <w:rFonts w:asciiTheme="minorBidi" w:hAnsiTheme="minorBidi" w:cs="Arial"/>
          <w:rtl/>
        </w:rPr>
        <w:t xml:space="preserve"> תחלה ב</w:t>
      </w:r>
      <w:r>
        <w:rPr>
          <w:rFonts w:asciiTheme="minorBidi" w:hAnsiTheme="minorBidi" w:cs="Arial" w:hint="cs"/>
          <w:rtl/>
        </w:rPr>
        <w:t>ורא פרי הגפן</w:t>
      </w:r>
      <w:r>
        <w:rPr>
          <w:rStyle w:val="a9"/>
          <w:rFonts w:asciiTheme="minorBidi" w:hAnsiTheme="minorBidi" w:cs="Arial"/>
          <w:rtl/>
        </w:rPr>
        <w:footnoteReference w:id="882"/>
      </w:r>
      <w:r w:rsidRPr="00CC2350">
        <w:rPr>
          <w:rFonts w:asciiTheme="minorBidi" w:hAnsiTheme="minorBidi" w:cs="Arial"/>
          <w:rtl/>
        </w:rPr>
        <w:t>, ואח</w:t>
      </w:r>
      <w:r>
        <w:rPr>
          <w:rFonts w:asciiTheme="minorBidi" w:hAnsiTheme="minorBidi" w:cs="Arial" w:hint="cs"/>
          <w:rtl/>
        </w:rPr>
        <w:t>ר כך</w:t>
      </w:r>
      <w:r w:rsidRPr="00CC2350">
        <w:rPr>
          <w:rFonts w:asciiTheme="minorBidi" w:hAnsiTheme="minorBidi" w:cs="Arial"/>
          <w:rtl/>
        </w:rPr>
        <w:t xml:space="preserve"> ישתו. </w:t>
      </w:r>
      <w:r w:rsidRPr="006D1F5F">
        <w:rPr>
          <w:rFonts w:asciiTheme="minorBidi" w:hAnsiTheme="minorBidi" w:cs="Arial"/>
          <w:sz w:val="18"/>
          <w:szCs w:val="18"/>
          <w:rtl/>
        </w:rPr>
        <w:t>הגה: אדם ששכח לקדש עד לאחר שברך ברכת המוציא ונזכר קודם שאכל, יקדש על הפת</w:t>
      </w:r>
      <w:r>
        <w:rPr>
          <w:rStyle w:val="a9"/>
          <w:rFonts w:asciiTheme="minorBidi" w:hAnsiTheme="minorBidi" w:cs="Arial"/>
          <w:sz w:val="18"/>
          <w:szCs w:val="18"/>
          <w:rtl/>
        </w:rPr>
        <w:footnoteReference w:id="883"/>
      </w:r>
      <w:r w:rsidRPr="006D1F5F">
        <w:rPr>
          <w:rFonts w:asciiTheme="minorBidi" w:hAnsiTheme="minorBidi" w:cs="Arial"/>
          <w:sz w:val="18"/>
          <w:szCs w:val="18"/>
          <w:rtl/>
        </w:rPr>
        <w:t xml:space="preserve"> ואח"כ יאכל. אבל בהבדלה יאכל תחלה</w:t>
      </w:r>
      <w:r>
        <w:rPr>
          <w:rStyle w:val="a9"/>
          <w:rFonts w:asciiTheme="minorBidi" w:hAnsiTheme="minorBidi" w:cs="Arial"/>
          <w:sz w:val="18"/>
          <w:szCs w:val="18"/>
          <w:rtl/>
        </w:rPr>
        <w:footnoteReference w:id="884"/>
      </w:r>
      <w:r w:rsidRPr="006D1F5F">
        <w:rPr>
          <w:rFonts w:asciiTheme="minorBidi" w:hAnsiTheme="minorBidi" w:cs="Arial"/>
          <w:sz w:val="18"/>
          <w:szCs w:val="18"/>
          <w:rtl/>
        </w:rPr>
        <w:t>, דהרי אין מבדילין על הפת (</w:t>
      </w:r>
      <w:r>
        <w:rPr>
          <w:rFonts w:asciiTheme="minorBidi" w:hAnsiTheme="minorBidi" w:cs="Arial" w:hint="cs"/>
          <w:sz w:val="18"/>
          <w:szCs w:val="18"/>
          <w:rtl/>
        </w:rPr>
        <w:t>שלט"ג</w:t>
      </w:r>
      <w:r w:rsidRPr="006D1F5F">
        <w:rPr>
          <w:rFonts w:asciiTheme="minorBidi" w:hAnsiTheme="minorBidi" w:cs="Arial"/>
          <w:sz w:val="18"/>
          <w:szCs w:val="18"/>
          <w:rtl/>
        </w:rPr>
        <w:t>).</w:t>
      </w:r>
      <w:r w:rsidRPr="00CC2350">
        <w:rPr>
          <w:rFonts w:asciiTheme="minorBidi" w:hAnsiTheme="minorBidi" w:cs="Arial"/>
          <w:rtl/>
        </w:rPr>
        <w:t xml:space="preserve"> </w:t>
      </w:r>
    </w:p>
    <w:p w14:paraId="1C01C821" w14:textId="77777777" w:rsidR="004B2E7C" w:rsidRPr="00CC2350" w:rsidRDefault="004B2E7C" w:rsidP="00434A6A">
      <w:pPr>
        <w:rPr>
          <w:rFonts w:asciiTheme="minorBidi" w:hAnsiTheme="minorBidi"/>
          <w:rtl/>
        </w:rPr>
      </w:pPr>
    </w:p>
    <w:p w14:paraId="0B676CCA" w14:textId="77777777" w:rsidR="004B2E7C" w:rsidRDefault="004B2E7C" w:rsidP="00434A6A">
      <w:pPr>
        <w:pStyle w:val="2"/>
        <w:rPr>
          <w:rtl/>
        </w:rPr>
      </w:pPr>
      <w:r w:rsidRPr="00CC2350">
        <w:rPr>
          <w:rtl/>
        </w:rPr>
        <w:t>סעיף ו</w:t>
      </w:r>
      <w:r>
        <w:rPr>
          <w:rFonts w:hint="cs"/>
          <w:rtl/>
        </w:rPr>
        <w:t>: גמר סעודתו לפני שקדש היום ולא ברך ברהמ"ז.</w:t>
      </w:r>
    </w:p>
    <w:p w14:paraId="19C529D9" w14:textId="77777777" w:rsidR="004B2E7C" w:rsidRPr="004D2078" w:rsidRDefault="004B2E7C" w:rsidP="00434A6A">
      <w:pPr>
        <w:rPr>
          <w:rtl/>
        </w:rPr>
      </w:pPr>
      <w:r w:rsidRPr="008036C3">
        <w:rPr>
          <w:rFonts w:cs="Arial" w:hint="cs"/>
          <w:b/>
          <w:bCs/>
          <w:rtl/>
        </w:rPr>
        <w:t xml:space="preserve">פסחים </w:t>
      </w:r>
      <w:r w:rsidRPr="008036C3">
        <w:rPr>
          <w:rFonts w:cs="Arial" w:hint="cs"/>
          <w:b/>
          <w:bCs/>
          <w:sz w:val="16"/>
          <w:szCs w:val="16"/>
          <w:rtl/>
        </w:rPr>
        <w:t>(פ</w:t>
      </w:r>
      <w:r>
        <w:rPr>
          <w:rFonts w:cs="Arial" w:hint="cs"/>
          <w:b/>
          <w:bCs/>
          <w:sz w:val="16"/>
          <w:szCs w:val="16"/>
          <w:rtl/>
        </w:rPr>
        <w:t>'</w:t>
      </w:r>
      <w:r w:rsidRPr="008036C3">
        <w:rPr>
          <w:rFonts w:cs="Arial" w:hint="cs"/>
          <w:b/>
          <w:bCs/>
          <w:sz w:val="16"/>
          <w:szCs w:val="16"/>
          <w:rtl/>
        </w:rPr>
        <w:t xml:space="preserve"> ערבי פסחים) </w:t>
      </w:r>
      <w:r>
        <w:rPr>
          <w:rFonts w:cs="Arial" w:hint="cs"/>
          <w:b/>
          <w:bCs/>
          <w:rtl/>
        </w:rPr>
        <w:t>קב</w:t>
      </w:r>
      <w:r w:rsidRPr="008036C3">
        <w:rPr>
          <w:rFonts w:cs="Arial" w:hint="cs"/>
          <w:b/>
          <w:bCs/>
          <w:rtl/>
        </w:rPr>
        <w:t xml:space="preserve"> ע"</w:t>
      </w:r>
      <w:r>
        <w:rPr>
          <w:rFonts w:cs="Arial" w:hint="cs"/>
          <w:b/>
          <w:bCs/>
          <w:rtl/>
        </w:rPr>
        <w:t>א</w:t>
      </w:r>
      <w:r w:rsidRPr="008036C3">
        <w:rPr>
          <w:rFonts w:cs="Arial" w:hint="cs"/>
          <w:b/>
          <w:bCs/>
          <w:rtl/>
        </w:rPr>
        <w:t>:</w:t>
      </w:r>
      <w:r>
        <w:rPr>
          <w:rFonts w:cs="Arial" w:hint="cs"/>
          <w:rtl/>
        </w:rPr>
        <w:t xml:space="preserve"> </w:t>
      </w:r>
      <w:r w:rsidRPr="004D2078">
        <w:rPr>
          <w:rFonts w:cs="Arial"/>
          <w:rtl/>
        </w:rPr>
        <w:t xml:space="preserve">תנו רבנן: בני חבורה שהיו מסובין וקדש עליהן היום - מביאין לו כוס של יין, ואומר עליו קדושת היום ושני אומר עליו ברכת המזון, </w:t>
      </w:r>
      <w:r w:rsidRPr="004D2078">
        <w:rPr>
          <w:rFonts w:cs="Arial"/>
          <w:u w:val="single"/>
          <w:rtl/>
        </w:rPr>
        <w:t>דברי רבי יהודה</w:t>
      </w:r>
      <w:r w:rsidRPr="004D2078">
        <w:rPr>
          <w:rFonts w:cs="Arial"/>
          <w:rtl/>
        </w:rPr>
        <w:t xml:space="preserve">. </w:t>
      </w:r>
      <w:r w:rsidRPr="004D2078">
        <w:rPr>
          <w:rFonts w:cs="Arial"/>
          <w:u w:val="single"/>
          <w:rtl/>
        </w:rPr>
        <w:t>רבי יוסי אומר</w:t>
      </w:r>
      <w:r w:rsidRPr="004D2078">
        <w:rPr>
          <w:rFonts w:cs="Arial"/>
          <w:rtl/>
        </w:rPr>
        <w:t>: אוכל והולך עד שתחשך.</w:t>
      </w:r>
      <w:r>
        <w:rPr>
          <w:rFonts w:hint="cs"/>
          <w:sz w:val="14"/>
          <w:szCs w:val="14"/>
          <w:rtl/>
        </w:rPr>
        <w:t xml:space="preserve"> (קב:)</w:t>
      </w:r>
      <w:r w:rsidRPr="004D2078">
        <w:rPr>
          <w:rtl/>
        </w:rPr>
        <w:t xml:space="preserve"> </w:t>
      </w:r>
      <w:r w:rsidRPr="004D2078">
        <w:rPr>
          <w:rFonts w:cs="Arial"/>
          <w:rtl/>
        </w:rPr>
        <w:t xml:space="preserve">גמרו, כוס ראשון מברך עליו ברכת המזון, והשני אומר עליו קדושת היום. אמאי? ונימרינהו לתרוייהו אחדא כסא! </w:t>
      </w:r>
      <w:r w:rsidRPr="00793E7E">
        <w:rPr>
          <w:rFonts w:cs="Arial"/>
          <w:u w:val="single"/>
          <w:rtl/>
        </w:rPr>
        <w:t>אמר רב הונא אמר רב ששת</w:t>
      </w:r>
      <w:r w:rsidRPr="004D2078">
        <w:rPr>
          <w:rFonts w:cs="Arial"/>
          <w:rtl/>
        </w:rPr>
        <w:t xml:space="preserve">: אין אומרים שתי קדושות על כוס אחד. מאי טעמא? </w:t>
      </w:r>
      <w:r w:rsidRPr="00793E7E">
        <w:rPr>
          <w:rFonts w:cs="Arial"/>
          <w:u w:val="single"/>
          <w:rtl/>
        </w:rPr>
        <w:t>אמר רב נחמן בר יצחק</w:t>
      </w:r>
      <w:r w:rsidRPr="004D2078">
        <w:rPr>
          <w:rFonts w:cs="Arial"/>
          <w:rtl/>
        </w:rPr>
        <w:t>: לפי שאין עושין מצות חבילות חבילות.</w:t>
      </w:r>
    </w:p>
    <w:p w14:paraId="3BE3209B" w14:textId="77777777" w:rsidR="004B2E7C" w:rsidRPr="00F041DD" w:rsidRDefault="004B2E7C" w:rsidP="00434A6A">
      <w:pPr>
        <w:rPr>
          <w:u w:val="single"/>
          <w:rtl/>
        </w:rPr>
      </w:pPr>
      <w:r w:rsidRPr="00F041DD">
        <w:rPr>
          <w:rFonts w:hint="cs"/>
          <w:u w:val="single"/>
          <w:rtl/>
        </w:rPr>
        <w:t>גמר סעודתו לפני שקדש היום ולא ברך ברהמ"ז:</w:t>
      </w:r>
    </w:p>
    <w:p w14:paraId="1366ABAF" w14:textId="77777777" w:rsidR="004B2E7C" w:rsidRDefault="004B2E7C" w:rsidP="00FF2D21">
      <w:pPr>
        <w:pStyle w:val="aa"/>
        <w:numPr>
          <w:ilvl w:val="0"/>
          <w:numId w:val="116"/>
        </w:numPr>
      </w:pPr>
      <w:r w:rsidRPr="00C15193">
        <w:rPr>
          <w:rFonts w:cs="Arial"/>
          <w:rtl/>
        </w:rPr>
        <w:t xml:space="preserve">רי"ף </w:t>
      </w:r>
      <w:r w:rsidRPr="00C15193">
        <w:rPr>
          <w:rFonts w:cs="Arial"/>
          <w:sz w:val="16"/>
          <w:szCs w:val="16"/>
          <w:rtl/>
        </w:rPr>
        <w:t>(כ:)</w:t>
      </w:r>
      <w:r w:rsidRPr="001C2F35">
        <w:rPr>
          <w:rFonts w:cs="Arial"/>
          <w:rtl/>
        </w:rPr>
        <w:t xml:space="preserve"> </w:t>
      </w:r>
      <w:r>
        <w:rPr>
          <w:rFonts w:cs="Arial" w:hint="cs"/>
          <w:rtl/>
        </w:rPr>
        <w:t>ו</w:t>
      </w:r>
      <w:r w:rsidRPr="0043002C">
        <w:rPr>
          <w:rFonts w:cs="Arial"/>
          <w:rtl/>
        </w:rPr>
        <w:t xml:space="preserve">רמב"ם </w:t>
      </w:r>
      <w:r w:rsidRPr="001C2F35">
        <w:rPr>
          <w:rFonts w:cs="Arial" w:hint="cs"/>
          <w:sz w:val="16"/>
          <w:szCs w:val="16"/>
          <w:rtl/>
        </w:rPr>
        <w:t>(</w:t>
      </w:r>
      <w:r w:rsidRPr="001C2F35">
        <w:rPr>
          <w:rFonts w:cs="Arial"/>
          <w:sz w:val="16"/>
          <w:szCs w:val="16"/>
          <w:rtl/>
        </w:rPr>
        <w:t>פכ</w:t>
      </w:r>
      <w:r w:rsidRPr="001C2F35">
        <w:rPr>
          <w:rFonts w:cs="Arial" w:hint="cs"/>
          <w:sz w:val="16"/>
          <w:szCs w:val="16"/>
          <w:rtl/>
        </w:rPr>
        <w:t>"</w:t>
      </w:r>
      <w:r w:rsidRPr="001C2F35">
        <w:rPr>
          <w:rFonts w:cs="Arial"/>
          <w:sz w:val="16"/>
          <w:szCs w:val="16"/>
          <w:rtl/>
        </w:rPr>
        <w:t>ט הי"ג)</w:t>
      </w:r>
      <w:r>
        <w:rPr>
          <w:rFonts w:cs="Arial" w:hint="cs"/>
          <w:rtl/>
        </w:rPr>
        <w:t xml:space="preserve">- </w:t>
      </w:r>
      <w:r>
        <w:rPr>
          <w:rStyle w:val="a9"/>
          <w:rFonts w:cs="Arial"/>
          <w:rtl/>
        </w:rPr>
        <w:footnoteReference w:id="885"/>
      </w:r>
      <w:r w:rsidRPr="00C15193">
        <w:rPr>
          <w:rFonts w:cs="Arial"/>
          <w:rtl/>
        </w:rPr>
        <w:t>היכא דגמור סעודתיהו מקמי דקדיש יומא ואדמשו ידיהו קדיש יומא מקדימינן ומברכינן ברכת המזון על כוס ראשון ואחר כך אומר קידוש היום על כוס שני</w:t>
      </w:r>
      <w:r>
        <w:rPr>
          <w:rFonts w:cs="Arial" w:hint="cs"/>
          <w:rtl/>
        </w:rPr>
        <w:t>,</w:t>
      </w:r>
      <w:r w:rsidRPr="00C15193">
        <w:rPr>
          <w:rFonts w:cs="Arial"/>
          <w:rtl/>
        </w:rPr>
        <w:t xml:space="preserve"> כרבי יוסי דאמר גמרו כוס ראשון מברך עליו ברכת המזון והשני אומר עליו קידוש היום</w:t>
      </w:r>
      <w:r>
        <w:rPr>
          <w:rStyle w:val="a9"/>
          <w:rFonts w:cs="Arial"/>
          <w:rtl/>
        </w:rPr>
        <w:footnoteReference w:id="886"/>
      </w:r>
      <w:r>
        <w:rPr>
          <w:rFonts w:cs="Arial" w:hint="cs"/>
          <w:sz w:val="16"/>
          <w:szCs w:val="16"/>
          <w:rtl/>
        </w:rPr>
        <w:t xml:space="preserve"> (ל' הרי"ף)</w:t>
      </w:r>
      <w:r w:rsidRPr="00C15193">
        <w:rPr>
          <w:rFonts w:cs="Arial"/>
          <w:rtl/>
        </w:rPr>
        <w:t xml:space="preserve">. </w:t>
      </w:r>
      <w:r w:rsidRPr="003A3CB9">
        <w:rPr>
          <w:rFonts w:cs="Arial"/>
          <w:rtl/>
        </w:rPr>
        <w:t>אבל שתיהם על כוס א</w:t>
      </w:r>
      <w:r>
        <w:rPr>
          <w:rFonts w:cs="Arial" w:hint="cs"/>
          <w:rtl/>
        </w:rPr>
        <w:t>חת -</w:t>
      </w:r>
      <w:r w:rsidRPr="003A3CB9">
        <w:rPr>
          <w:rFonts w:cs="Arial"/>
          <w:rtl/>
        </w:rPr>
        <w:t xml:space="preserve"> לא</w:t>
      </w:r>
      <w:r>
        <w:rPr>
          <w:rFonts w:cs="Arial" w:hint="cs"/>
          <w:rtl/>
        </w:rPr>
        <w:t>,</w:t>
      </w:r>
      <w:r w:rsidRPr="003A3CB9">
        <w:rPr>
          <w:rFonts w:cs="Arial"/>
          <w:rtl/>
        </w:rPr>
        <w:t xml:space="preserve"> לפי שאין עושין מצות חבילות חבילות </w:t>
      </w:r>
      <w:r>
        <w:rPr>
          <w:rFonts w:cs="Arial" w:hint="cs"/>
          <w:sz w:val="16"/>
          <w:szCs w:val="16"/>
          <w:rtl/>
        </w:rPr>
        <w:t>(ל' הטור בשם הרי"ף)</w:t>
      </w:r>
      <w:r>
        <w:rPr>
          <w:rFonts w:hint="cs"/>
          <w:rtl/>
        </w:rPr>
        <w:t xml:space="preserve">. </w:t>
      </w:r>
      <w:r w:rsidRPr="00880191">
        <w:rPr>
          <w:rFonts w:hint="cs"/>
          <w:color w:val="E36C0A" w:themeColor="accent6" w:themeShade="BF"/>
          <w:rtl/>
        </w:rPr>
        <w:t>(וכ"ס בשו"ע)</w:t>
      </w:r>
    </w:p>
    <w:p w14:paraId="64D51617" w14:textId="77777777" w:rsidR="004B2E7C" w:rsidRDefault="004B2E7C" w:rsidP="00FF2D21">
      <w:pPr>
        <w:pStyle w:val="aa"/>
        <w:numPr>
          <w:ilvl w:val="0"/>
          <w:numId w:val="116"/>
        </w:numPr>
      </w:pPr>
      <w:r>
        <w:rPr>
          <w:rFonts w:cs="Arial" w:hint="cs"/>
          <w:rtl/>
        </w:rPr>
        <w:t xml:space="preserve">י"א </w:t>
      </w:r>
      <w:r>
        <w:rPr>
          <w:rFonts w:cs="Arial" w:hint="cs"/>
          <w:sz w:val="16"/>
          <w:szCs w:val="16"/>
          <w:rtl/>
        </w:rPr>
        <w:t>(כ"כ הטור בשמם)</w:t>
      </w:r>
      <w:r>
        <w:rPr>
          <w:rFonts w:cs="Arial" w:hint="cs"/>
          <w:rtl/>
        </w:rPr>
        <w:t xml:space="preserve"> ורא"ש</w:t>
      </w:r>
      <w:r>
        <w:rPr>
          <w:rStyle w:val="a9"/>
          <w:rFonts w:cs="Arial"/>
          <w:rtl/>
        </w:rPr>
        <w:footnoteReference w:id="887"/>
      </w:r>
      <w:r>
        <w:rPr>
          <w:rFonts w:cs="Arial" w:hint="cs"/>
          <w:sz w:val="16"/>
          <w:szCs w:val="16"/>
          <w:rtl/>
        </w:rPr>
        <w:t xml:space="preserve"> (סי' ז)</w:t>
      </w:r>
      <w:r>
        <w:rPr>
          <w:rFonts w:cs="Arial" w:hint="cs"/>
          <w:rtl/>
        </w:rPr>
        <w:t xml:space="preserve">- </w:t>
      </w:r>
      <w:r w:rsidRPr="003A3CB9">
        <w:rPr>
          <w:rFonts w:cs="Arial"/>
          <w:rtl/>
        </w:rPr>
        <w:t>אף בגמר סעודתו א"צ לברך ברכת המזון תחלה</w:t>
      </w:r>
      <w:r>
        <w:rPr>
          <w:rFonts w:cs="Arial" w:hint="cs"/>
          <w:rtl/>
        </w:rPr>
        <w:t>,</w:t>
      </w:r>
      <w:r w:rsidRPr="003A3CB9">
        <w:rPr>
          <w:rFonts w:cs="Arial"/>
          <w:rtl/>
        </w:rPr>
        <w:t xml:space="preserve"> אלא פורס מפה ומקדש</w:t>
      </w:r>
      <w:r>
        <w:rPr>
          <w:rFonts w:cs="Arial" w:hint="cs"/>
          <w:rtl/>
        </w:rPr>
        <w:t>,</w:t>
      </w:r>
      <w:r w:rsidRPr="003A3CB9">
        <w:rPr>
          <w:rFonts w:cs="Arial"/>
          <w:rtl/>
        </w:rPr>
        <w:t xml:space="preserve"> ומברך המוציא ואוכל מעט</w:t>
      </w:r>
      <w:r>
        <w:rPr>
          <w:rFonts w:cs="Arial" w:hint="cs"/>
          <w:rtl/>
        </w:rPr>
        <w:t>,</w:t>
      </w:r>
      <w:r w:rsidRPr="003A3CB9">
        <w:rPr>
          <w:rFonts w:cs="Arial"/>
          <w:rtl/>
        </w:rPr>
        <w:t xml:space="preserve"> ואח"כ מברך ברכת המזון</w:t>
      </w:r>
      <w:r>
        <w:rPr>
          <w:rFonts w:cs="Arial" w:hint="cs"/>
          <w:sz w:val="16"/>
          <w:szCs w:val="16"/>
          <w:rtl/>
        </w:rPr>
        <w:t xml:space="preserve"> (ל' הטור בשם י"א)</w:t>
      </w:r>
      <w:r>
        <w:rPr>
          <w:rFonts w:cs="Arial" w:hint="cs"/>
          <w:rtl/>
        </w:rPr>
        <w:t>.</w:t>
      </w:r>
      <w:r w:rsidRPr="003A3CB9">
        <w:rPr>
          <w:rFonts w:cs="Arial"/>
          <w:rtl/>
        </w:rPr>
        <w:t xml:space="preserve"> </w:t>
      </w:r>
      <w:r w:rsidRPr="00880191">
        <w:rPr>
          <w:rFonts w:hint="cs"/>
          <w:color w:val="00B0F0"/>
          <w:rtl/>
        </w:rPr>
        <w:t>(וכ"פ הרמ"א)</w:t>
      </w:r>
    </w:p>
    <w:p w14:paraId="5DBD4F10" w14:textId="77777777" w:rsidR="004B2E7C" w:rsidRPr="00C15193" w:rsidRDefault="004B2E7C" w:rsidP="00FF2D21">
      <w:pPr>
        <w:pStyle w:val="aa"/>
        <w:numPr>
          <w:ilvl w:val="0"/>
          <w:numId w:val="116"/>
        </w:numPr>
      </w:pPr>
      <w:r w:rsidRPr="0043002C">
        <w:rPr>
          <w:rFonts w:cs="Arial"/>
          <w:rtl/>
        </w:rPr>
        <w:t>ארחות חיים</w:t>
      </w:r>
      <w:r w:rsidRPr="00CE6D65">
        <w:rPr>
          <w:rFonts w:cs="Arial"/>
          <w:sz w:val="16"/>
          <w:szCs w:val="16"/>
          <w:rtl/>
        </w:rPr>
        <w:t xml:space="preserve"> (הל' קדוש היום אות כ)</w:t>
      </w:r>
      <w:r>
        <w:rPr>
          <w:rFonts w:cs="Arial" w:hint="cs"/>
          <w:rtl/>
        </w:rPr>
        <w:t xml:space="preserve">- </w:t>
      </w:r>
      <w:r w:rsidRPr="0043002C">
        <w:rPr>
          <w:rFonts w:cs="Arial"/>
          <w:rtl/>
        </w:rPr>
        <w:t xml:space="preserve">היה אוכל וגמר סעודתו עם הכנסת שבת </w:t>
      </w:r>
      <w:r>
        <w:rPr>
          <w:rFonts w:cs="Arial" w:hint="cs"/>
          <w:rtl/>
        </w:rPr>
        <w:t xml:space="preserve">- </w:t>
      </w:r>
      <w:r w:rsidRPr="0043002C">
        <w:rPr>
          <w:rFonts w:cs="Arial"/>
          <w:rtl/>
        </w:rPr>
        <w:t>מברך ברכת המזון על כוס אחד</w:t>
      </w:r>
      <w:r>
        <w:rPr>
          <w:rFonts w:cs="Arial" w:hint="cs"/>
          <w:rtl/>
        </w:rPr>
        <w:t>,</w:t>
      </w:r>
      <w:r w:rsidRPr="0043002C">
        <w:rPr>
          <w:rFonts w:cs="Arial"/>
          <w:rtl/>
        </w:rPr>
        <w:t xml:space="preserve"> ולא יברך עליו בורא פרי הגפן ולא ישתה ממנו</w:t>
      </w:r>
      <w:r>
        <w:rPr>
          <w:rStyle w:val="a9"/>
          <w:rFonts w:cs="Arial"/>
          <w:rtl/>
        </w:rPr>
        <w:footnoteReference w:id="888"/>
      </w:r>
      <w:r>
        <w:rPr>
          <w:rFonts w:cs="Arial" w:hint="cs"/>
          <w:rtl/>
        </w:rPr>
        <w:t>,</w:t>
      </w:r>
      <w:r w:rsidRPr="0043002C">
        <w:rPr>
          <w:rFonts w:cs="Arial"/>
          <w:rtl/>
        </w:rPr>
        <w:t xml:space="preserve"> שאסור לטעום קודם שיקדש</w:t>
      </w:r>
      <w:r>
        <w:rPr>
          <w:rFonts w:cs="Arial" w:hint="cs"/>
          <w:rtl/>
        </w:rPr>
        <w:t>.</w:t>
      </w:r>
      <w:r w:rsidRPr="0043002C">
        <w:rPr>
          <w:rFonts w:cs="Arial"/>
          <w:rtl/>
        </w:rPr>
        <w:t xml:space="preserve"> ואח</w:t>
      </w:r>
      <w:r>
        <w:rPr>
          <w:rFonts w:cs="Arial" w:hint="cs"/>
          <w:rtl/>
        </w:rPr>
        <w:t>"</w:t>
      </w:r>
      <w:r w:rsidRPr="0043002C">
        <w:rPr>
          <w:rFonts w:cs="Arial"/>
          <w:rtl/>
        </w:rPr>
        <w:t>כ מקדש על כוס שני ושותה משניהם</w:t>
      </w:r>
      <w:r>
        <w:rPr>
          <w:rStyle w:val="a9"/>
          <w:rFonts w:cs="Arial"/>
          <w:rtl/>
        </w:rPr>
        <w:footnoteReference w:id="889"/>
      </w:r>
      <w:r>
        <w:rPr>
          <w:rFonts w:cs="Arial" w:hint="cs"/>
          <w:rtl/>
        </w:rPr>
        <w:t>.</w:t>
      </w:r>
    </w:p>
    <w:p w14:paraId="428F096E" w14:textId="77777777" w:rsidR="004B2E7C" w:rsidRPr="008243CD" w:rsidRDefault="004B2E7C" w:rsidP="00434A6A">
      <w:pPr>
        <w:ind w:left="360"/>
        <w:rPr>
          <w:u w:val="dotted"/>
        </w:rPr>
      </w:pPr>
      <w:r w:rsidRPr="008243CD">
        <w:rPr>
          <w:rFonts w:hint="cs"/>
          <w:u w:val="dotted"/>
          <w:rtl/>
        </w:rPr>
        <w:t>האם צריך להזכיר שבת בברכת המזון:</w:t>
      </w:r>
    </w:p>
    <w:p w14:paraId="04699B07" w14:textId="77777777" w:rsidR="004B2E7C" w:rsidRDefault="004B2E7C" w:rsidP="00FF2D21">
      <w:pPr>
        <w:pStyle w:val="aa"/>
        <w:numPr>
          <w:ilvl w:val="0"/>
          <w:numId w:val="116"/>
        </w:numPr>
      </w:pPr>
      <w:r>
        <w:rPr>
          <w:rFonts w:cs="Arial" w:hint="cs"/>
          <w:rtl/>
        </w:rPr>
        <w:t>רי"ף</w:t>
      </w:r>
      <w:r>
        <w:rPr>
          <w:rStyle w:val="a9"/>
          <w:rFonts w:cs="Arial"/>
          <w:rtl/>
        </w:rPr>
        <w:footnoteReference w:id="890"/>
      </w:r>
      <w:r>
        <w:rPr>
          <w:rFonts w:cs="Arial" w:hint="cs"/>
          <w:rtl/>
        </w:rPr>
        <w:t xml:space="preserve"> </w:t>
      </w:r>
      <w:r>
        <w:rPr>
          <w:rFonts w:cs="Arial" w:hint="cs"/>
          <w:sz w:val="16"/>
          <w:szCs w:val="16"/>
          <w:rtl/>
        </w:rPr>
        <w:t>(כ"כ הטור בשמו)</w:t>
      </w:r>
      <w:r>
        <w:rPr>
          <w:rFonts w:cs="Arial" w:hint="cs"/>
          <w:rtl/>
        </w:rPr>
        <w:t xml:space="preserve"> ורא"ש</w:t>
      </w:r>
      <w:r>
        <w:rPr>
          <w:rStyle w:val="a9"/>
          <w:rFonts w:cs="Arial"/>
          <w:rtl/>
        </w:rPr>
        <w:footnoteReference w:id="891"/>
      </w:r>
      <w:r>
        <w:rPr>
          <w:rFonts w:cs="Arial" w:hint="cs"/>
          <w:rtl/>
        </w:rPr>
        <w:t xml:space="preserve"> </w:t>
      </w:r>
      <w:r>
        <w:rPr>
          <w:rFonts w:cs="Arial" w:hint="cs"/>
          <w:sz w:val="16"/>
          <w:szCs w:val="16"/>
          <w:rtl/>
        </w:rPr>
        <w:t>(סי' ז)</w:t>
      </w:r>
      <w:r>
        <w:rPr>
          <w:rFonts w:cs="Arial" w:hint="cs"/>
          <w:rtl/>
        </w:rPr>
        <w:t xml:space="preserve">- </w:t>
      </w:r>
      <w:r w:rsidRPr="003A3CB9">
        <w:rPr>
          <w:rFonts w:cs="Arial"/>
          <w:rtl/>
        </w:rPr>
        <w:t>צריך להזכיר של שבת בב</w:t>
      </w:r>
      <w:r>
        <w:rPr>
          <w:rFonts w:cs="Arial" w:hint="cs"/>
          <w:rtl/>
        </w:rPr>
        <w:t>רכת המזון.</w:t>
      </w:r>
      <w:r w:rsidRPr="003A3CB9">
        <w:rPr>
          <w:rFonts w:cs="Arial"/>
          <w:rtl/>
        </w:rPr>
        <w:t xml:space="preserve"> </w:t>
      </w:r>
      <w:r w:rsidRPr="00880191">
        <w:rPr>
          <w:rFonts w:hint="cs"/>
          <w:color w:val="E36C0A" w:themeColor="accent6" w:themeShade="BF"/>
          <w:rtl/>
        </w:rPr>
        <w:t>(וכ"ס בשו"ע)</w:t>
      </w:r>
    </w:p>
    <w:p w14:paraId="626D1BC1" w14:textId="77777777" w:rsidR="004B2E7C" w:rsidRPr="00B87076" w:rsidRDefault="004B2E7C" w:rsidP="00FF2D21">
      <w:pPr>
        <w:pStyle w:val="aa"/>
        <w:numPr>
          <w:ilvl w:val="0"/>
          <w:numId w:val="116"/>
        </w:numPr>
        <w:rPr>
          <w:rtl/>
        </w:rPr>
      </w:pPr>
      <w:r w:rsidRPr="0043002C">
        <w:rPr>
          <w:rFonts w:cs="Arial"/>
          <w:rtl/>
        </w:rPr>
        <w:t>ארחות חיים</w:t>
      </w:r>
      <w:r w:rsidRPr="00CE6D65">
        <w:rPr>
          <w:rFonts w:cs="Arial"/>
          <w:sz w:val="16"/>
          <w:szCs w:val="16"/>
          <w:rtl/>
        </w:rPr>
        <w:t xml:space="preserve"> (הל' קדוש היום אות כ)</w:t>
      </w:r>
      <w:r>
        <w:rPr>
          <w:rFonts w:cs="Arial" w:hint="cs"/>
          <w:rtl/>
        </w:rPr>
        <w:t xml:space="preserve">- </w:t>
      </w:r>
      <w:r w:rsidRPr="0043002C">
        <w:rPr>
          <w:rFonts w:cs="Arial"/>
          <w:rtl/>
        </w:rPr>
        <w:t>היה אוכל וקדש היום בברכת המזון מזכיר של שבת</w:t>
      </w:r>
      <w:r>
        <w:rPr>
          <w:rFonts w:cs="Arial" w:hint="cs"/>
          <w:rtl/>
        </w:rPr>
        <w:t>.</w:t>
      </w:r>
      <w:r w:rsidRPr="0043002C">
        <w:rPr>
          <w:rFonts w:cs="Arial"/>
          <w:rtl/>
        </w:rPr>
        <w:t xml:space="preserve"> ויש אומרים שאין מזכיר</w:t>
      </w:r>
      <w:r>
        <w:rPr>
          <w:rFonts w:cs="Arial" w:hint="cs"/>
          <w:rtl/>
        </w:rPr>
        <w:t>,</w:t>
      </w:r>
      <w:r w:rsidRPr="0043002C">
        <w:rPr>
          <w:rFonts w:cs="Arial"/>
          <w:rtl/>
        </w:rPr>
        <w:t xml:space="preserve"> וכ"כ בתוספות לא יזכיר כי הכל הולך אחר התחלת הסעודה</w:t>
      </w:r>
      <w:r>
        <w:rPr>
          <w:rStyle w:val="a9"/>
          <w:rFonts w:cs="Arial"/>
          <w:rtl/>
        </w:rPr>
        <w:footnoteReference w:id="892"/>
      </w:r>
      <w:r>
        <w:rPr>
          <w:rFonts w:cs="Arial" w:hint="cs"/>
          <w:rtl/>
        </w:rPr>
        <w:t>.</w:t>
      </w:r>
      <w:r>
        <w:rPr>
          <w:rFonts w:hint="cs"/>
          <w:rtl/>
        </w:rPr>
        <w:t xml:space="preserve"> </w:t>
      </w:r>
      <w:r w:rsidRPr="00880191">
        <w:rPr>
          <w:rFonts w:hint="cs"/>
          <w:color w:val="00B0F0"/>
          <w:rtl/>
        </w:rPr>
        <w:t>(וכ"פ הרמ"א)</w:t>
      </w:r>
    </w:p>
    <w:p w14:paraId="0ECEAE82"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A095A37" w14:textId="77777777" w:rsidR="004B2E7C" w:rsidRDefault="004B2E7C" w:rsidP="00434A6A">
      <w:pPr>
        <w:rPr>
          <w:rFonts w:asciiTheme="minorBidi" w:hAnsiTheme="minorBidi"/>
          <w:rtl/>
        </w:rPr>
      </w:pPr>
      <w:r w:rsidRPr="00CC2350">
        <w:rPr>
          <w:rFonts w:asciiTheme="minorBidi" w:hAnsiTheme="minorBidi" w:cs="Arial"/>
          <w:rtl/>
        </w:rPr>
        <w:t>אם גמר סעודתו</w:t>
      </w:r>
      <w:r>
        <w:rPr>
          <w:rStyle w:val="a9"/>
          <w:rFonts w:asciiTheme="minorBidi" w:hAnsiTheme="minorBidi" w:cs="Arial"/>
          <w:rtl/>
        </w:rPr>
        <w:footnoteReference w:id="893"/>
      </w:r>
      <w:r w:rsidRPr="00CC2350">
        <w:rPr>
          <w:rFonts w:asciiTheme="minorBidi" w:hAnsiTheme="minorBidi" w:cs="Arial"/>
          <w:rtl/>
        </w:rPr>
        <w:t xml:space="preserve"> וקידש היום קודם שברך </w:t>
      </w:r>
      <w:r>
        <w:rPr>
          <w:rFonts w:asciiTheme="minorBidi" w:hAnsiTheme="minorBidi" w:cs="Arial"/>
          <w:rtl/>
        </w:rPr>
        <w:t>ברכת המזון</w:t>
      </w:r>
      <w:r w:rsidRPr="00CC2350">
        <w:rPr>
          <w:rFonts w:asciiTheme="minorBidi" w:hAnsiTheme="minorBidi" w:cs="Arial"/>
          <w:rtl/>
        </w:rPr>
        <w:t xml:space="preserve">, מברך </w:t>
      </w:r>
      <w:r>
        <w:rPr>
          <w:rFonts w:asciiTheme="minorBidi" w:hAnsiTheme="minorBidi" w:cs="Arial"/>
          <w:rtl/>
        </w:rPr>
        <w:t>ברכת המזון</w:t>
      </w:r>
      <w:r w:rsidRPr="00CC2350">
        <w:rPr>
          <w:rFonts w:asciiTheme="minorBidi" w:hAnsiTheme="minorBidi" w:cs="Arial"/>
          <w:rtl/>
        </w:rPr>
        <w:t xml:space="preserve"> על כוס ראשון</w:t>
      </w:r>
      <w:r>
        <w:rPr>
          <w:rFonts w:asciiTheme="minorBidi" w:hAnsiTheme="minorBidi" w:cs="Arial" w:hint="cs"/>
          <w:rtl/>
        </w:rPr>
        <w:t>,</w:t>
      </w:r>
      <w:r w:rsidRPr="00CC2350">
        <w:rPr>
          <w:rFonts w:asciiTheme="minorBidi" w:hAnsiTheme="minorBidi" w:cs="Arial"/>
          <w:rtl/>
        </w:rPr>
        <w:t xml:space="preserve"> ואח</w:t>
      </w:r>
      <w:r>
        <w:rPr>
          <w:rFonts w:asciiTheme="minorBidi" w:hAnsiTheme="minorBidi" w:cs="Arial" w:hint="cs"/>
          <w:rtl/>
        </w:rPr>
        <w:t xml:space="preserve">ר </w:t>
      </w:r>
      <w:r w:rsidRPr="00CC2350">
        <w:rPr>
          <w:rFonts w:asciiTheme="minorBidi" w:hAnsiTheme="minorBidi" w:cs="Arial"/>
          <w:rtl/>
        </w:rPr>
        <w:t>כ</w:t>
      </w:r>
      <w:r>
        <w:rPr>
          <w:rFonts w:asciiTheme="minorBidi" w:hAnsiTheme="minorBidi" w:cs="Arial" w:hint="cs"/>
          <w:rtl/>
        </w:rPr>
        <w:t>ך</w:t>
      </w:r>
      <w:r w:rsidRPr="00CC2350">
        <w:rPr>
          <w:rFonts w:asciiTheme="minorBidi" w:hAnsiTheme="minorBidi" w:cs="Arial"/>
          <w:rtl/>
        </w:rPr>
        <w:t xml:space="preserve"> אומר קידוש היום על כוס שני</w:t>
      </w:r>
      <w:r>
        <w:rPr>
          <w:rFonts w:asciiTheme="minorBidi" w:hAnsiTheme="minorBidi" w:cs="Arial" w:hint="cs"/>
          <w:rtl/>
        </w:rPr>
        <w:t>.</w:t>
      </w:r>
      <w:r w:rsidRPr="00CC2350">
        <w:rPr>
          <w:rFonts w:asciiTheme="minorBidi" w:hAnsiTheme="minorBidi" w:cs="Arial"/>
          <w:rtl/>
        </w:rPr>
        <w:t xml:space="preserve"> וצריך להזכיר של שבת ב</w:t>
      </w:r>
      <w:r>
        <w:rPr>
          <w:rFonts w:asciiTheme="minorBidi" w:hAnsiTheme="minorBidi" w:cs="Arial"/>
          <w:rtl/>
        </w:rPr>
        <w:t>ברכת המזון</w:t>
      </w:r>
      <w:r>
        <w:rPr>
          <w:rStyle w:val="a9"/>
          <w:rFonts w:asciiTheme="minorBidi" w:hAnsiTheme="minorBidi" w:cs="Arial"/>
          <w:rtl/>
        </w:rPr>
        <w:footnoteReference w:id="894"/>
      </w:r>
      <w:r w:rsidRPr="00CC2350">
        <w:rPr>
          <w:rFonts w:asciiTheme="minorBidi" w:hAnsiTheme="minorBidi" w:cs="Arial"/>
          <w:rtl/>
        </w:rPr>
        <w:t xml:space="preserve">, אף על פי שמברך קודם קידוש. </w:t>
      </w:r>
      <w:r w:rsidRPr="0039472D">
        <w:rPr>
          <w:rFonts w:asciiTheme="minorBidi" w:hAnsiTheme="minorBidi" w:cs="Arial"/>
          <w:sz w:val="18"/>
          <w:szCs w:val="18"/>
          <w:rtl/>
        </w:rPr>
        <w:t>הגה: וי"א דאינו מזכיר של שבת, דאזלינן בתר תחלת הסעודה</w:t>
      </w:r>
      <w:r>
        <w:rPr>
          <w:rStyle w:val="a9"/>
          <w:rFonts w:asciiTheme="minorBidi" w:hAnsiTheme="minorBidi" w:cs="Arial"/>
          <w:sz w:val="18"/>
          <w:szCs w:val="18"/>
          <w:rtl/>
        </w:rPr>
        <w:footnoteReference w:id="895"/>
      </w:r>
      <w:r w:rsidRPr="0039472D">
        <w:rPr>
          <w:rFonts w:asciiTheme="minorBidi" w:hAnsiTheme="minorBidi" w:cs="Arial"/>
          <w:sz w:val="18"/>
          <w:szCs w:val="18"/>
          <w:rtl/>
        </w:rPr>
        <w:t>, וכן עיקר כמו שנתבאר לעיל סוף סימן קפ"ח. ויש מחלוקת אם יטעום מכוס של ברכת המזון קודם שיקדש</w:t>
      </w:r>
      <w:r>
        <w:rPr>
          <w:rStyle w:val="a9"/>
          <w:rFonts w:asciiTheme="minorBidi" w:hAnsiTheme="minorBidi" w:cs="Arial"/>
          <w:sz w:val="18"/>
          <w:szCs w:val="18"/>
          <w:rtl/>
        </w:rPr>
        <w:footnoteReference w:id="896"/>
      </w:r>
      <w:r w:rsidRPr="0039472D">
        <w:rPr>
          <w:rFonts w:asciiTheme="minorBidi" w:hAnsiTheme="minorBidi" w:cs="Arial"/>
          <w:sz w:val="18"/>
          <w:szCs w:val="18"/>
          <w:rtl/>
        </w:rPr>
        <w:t xml:space="preserve">, גם אם צריך לאכול מעט אחר הקידוש כדי שיהא הקידוש במקום סעודה. </w:t>
      </w:r>
      <w:r w:rsidRPr="00CC2350">
        <w:rPr>
          <w:rFonts w:asciiTheme="minorBidi" w:hAnsiTheme="minorBidi" w:cs="Arial"/>
          <w:rtl/>
        </w:rPr>
        <w:t>וי</w:t>
      </w:r>
      <w:r>
        <w:rPr>
          <w:rFonts w:asciiTheme="minorBidi" w:hAnsiTheme="minorBidi" w:cs="Arial" w:hint="cs"/>
          <w:rtl/>
        </w:rPr>
        <w:t xml:space="preserve">ש </w:t>
      </w:r>
      <w:r w:rsidRPr="00CC2350">
        <w:rPr>
          <w:rFonts w:asciiTheme="minorBidi" w:hAnsiTheme="minorBidi" w:cs="Arial"/>
          <w:rtl/>
        </w:rPr>
        <w:t>א</w:t>
      </w:r>
      <w:r>
        <w:rPr>
          <w:rFonts w:asciiTheme="minorBidi" w:hAnsiTheme="minorBidi" w:cs="Arial" w:hint="cs"/>
          <w:rtl/>
        </w:rPr>
        <w:t>ומרים</w:t>
      </w:r>
      <w:r w:rsidRPr="00CC2350">
        <w:rPr>
          <w:rFonts w:asciiTheme="minorBidi" w:hAnsiTheme="minorBidi" w:cs="Arial"/>
          <w:rtl/>
        </w:rPr>
        <w:t xml:space="preserve"> דאף בגמר סעודתו אינו מברך </w:t>
      </w:r>
      <w:r>
        <w:rPr>
          <w:rFonts w:asciiTheme="minorBidi" w:hAnsiTheme="minorBidi" w:cs="Arial"/>
          <w:rtl/>
        </w:rPr>
        <w:t>ברכת המזון</w:t>
      </w:r>
      <w:r w:rsidRPr="00CC2350">
        <w:rPr>
          <w:rFonts w:asciiTheme="minorBidi" w:hAnsiTheme="minorBidi" w:cs="Arial"/>
          <w:rtl/>
        </w:rPr>
        <w:t xml:space="preserve"> תחלה, אלא פורס מפה ומקדש, ומברך המוציא ואוכל מעט</w:t>
      </w:r>
      <w:r>
        <w:rPr>
          <w:rStyle w:val="a9"/>
          <w:rFonts w:asciiTheme="minorBidi" w:hAnsiTheme="minorBidi" w:cs="Arial"/>
          <w:rtl/>
        </w:rPr>
        <w:footnoteReference w:id="897"/>
      </w:r>
      <w:r w:rsidRPr="00CC2350">
        <w:rPr>
          <w:rFonts w:asciiTheme="minorBidi" w:hAnsiTheme="minorBidi" w:cs="Arial"/>
          <w:rtl/>
        </w:rPr>
        <w:t>, ואח</w:t>
      </w:r>
      <w:r>
        <w:rPr>
          <w:rFonts w:asciiTheme="minorBidi" w:hAnsiTheme="minorBidi" w:cs="Arial" w:hint="cs"/>
          <w:rtl/>
        </w:rPr>
        <w:t xml:space="preserve">ר </w:t>
      </w:r>
      <w:r w:rsidRPr="00CC2350">
        <w:rPr>
          <w:rFonts w:asciiTheme="minorBidi" w:hAnsiTheme="minorBidi" w:cs="Arial"/>
          <w:rtl/>
        </w:rPr>
        <w:t>כ</w:t>
      </w:r>
      <w:r>
        <w:rPr>
          <w:rFonts w:asciiTheme="minorBidi" w:hAnsiTheme="minorBidi" w:cs="Arial" w:hint="cs"/>
          <w:rtl/>
        </w:rPr>
        <w:t>ך</w:t>
      </w:r>
      <w:r w:rsidRPr="00CC2350">
        <w:rPr>
          <w:rFonts w:asciiTheme="minorBidi" w:hAnsiTheme="minorBidi" w:cs="Arial"/>
          <w:rtl/>
        </w:rPr>
        <w:t xml:space="preserve"> מברך ברכת המזון. </w:t>
      </w:r>
      <w:r w:rsidRPr="0039472D">
        <w:rPr>
          <w:rFonts w:asciiTheme="minorBidi" w:hAnsiTheme="minorBidi" w:cs="Arial"/>
          <w:sz w:val="18"/>
          <w:szCs w:val="18"/>
          <w:rtl/>
        </w:rPr>
        <w:t xml:space="preserve">הגה: והכי נהוג להוציא את נפשיה מפלוגתת סברא ראשונה. </w:t>
      </w:r>
    </w:p>
    <w:p w14:paraId="43D6B12B" w14:textId="77777777" w:rsidR="004B2E7C" w:rsidRPr="00CC2350" w:rsidRDefault="004B2E7C" w:rsidP="00434A6A">
      <w:pPr>
        <w:rPr>
          <w:rFonts w:asciiTheme="minorBidi" w:hAnsiTheme="minorBidi"/>
          <w:rtl/>
        </w:rPr>
      </w:pPr>
    </w:p>
    <w:p w14:paraId="1E579983" w14:textId="77777777" w:rsidR="004B2E7C" w:rsidRDefault="004B2E7C" w:rsidP="00434A6A">
      <w:pPr>
        <w:pStyle w:val="2"/>
        <w:rPr>
          <w:rtl/>
        </w:rPr>
      </w:pPr>
      <w:r w:rsidRPr="00CC2350">
        <w:rPr>
          <w:rtl/>
        </w:rPr>
        <w:t>סעיף ז</w:t>
      </w:r>
      <w:r>
        <w:rPr>
          <w:rFonts w:hint="cs"/>
          <w:rtl/>
        </w:rPr>
        <w:t>: שכח וטעם לפני קידוש.</w:t>
      </w:r>
    </w:p>
    <w:p w14:paraId="21A8F6BB" w14:textId="77777777" w:rsidR="004B2E7C" w:rsidRDefault="004B2E7C" w:rsidP="00434A6A">
      <w:pPr>
        <w:rPr>
          <w:rFonts w:cs="Arial"/>
          <w:rtl/>
        </w:rPr>
      </w:pPr>
      <w:r w:rsidRPr="008036C3">
        <w:rPr>
          <w:rFonts w:cs="Arial" w:hint="cs"/>
          <w:b/>
          <w:bCs/>
          <w:rtl/>
        </w:rPr>
        <w:t xml:space="preserve">פסחים </w:t>
      </w:r>
      <w:r w:rsidRPr="008036C3">
        <w:rPr>
          <w:rFonts w:cs="Arial" w:hint="cs"/>
          <w:b/>
          <w:bCs/>
          <w:sz w:val="16"/>
          <w:szCs w:val="16"/>
          <w:rtl/>
        </w:rPr>
        <w:t xml:space="preserve">(פ' ערבי פסחים) </w:t>
      </w:r>
      <w:r w:rsidRPr="008036C3">
        <w:rPr>
          <w:rFonts w:cs="Arial" w:hint="cs"/>
          <w:b/>
          <w:bCs/>
          <w:rtl/>
        </w:rPr>
        <w:t>קו ע"</w:t>
      </w:r>
      <w:r>
        <w:rPr>
          <w:rFonts w:cs="Arial" w:hint="cs"/>
          <w:b/>
          <w:bCs/>
          <w:rtl/>
        </w:rPr>
        <w:t>ב</w:t>
      </w:r>
      <w:r w:rsidRPr="008036C3">
        <w:rPr>
          <w:rFonts w:cs="Arial" w:hint="cs"/>
          <w:b/>
          <w:bCs/>
          <w:rtl/>
        </w:rPr>
        <w:t>:</w:t>
      </w:r>
      <w:r>
        <w:rPr>
          <w:rFonts w:cs="Arial" w:hint="cs"/>
          <w:rtl/>
        </w:rPr>
        <w:t xml:space="preserve"> </w:t>
      </w:r>
      <w:r w:rsidRPr="005A3BFE">
        <w:rPr>
          <w:rFonts w:cs="Arial"/>
          <w:u w:val="single"/>
          <w:rtl/>
        </w:rPr>
        <w:t>אמר רב הונא אמר רב</w:t>
      </w:r>
      <w:r w:rsidRPr="005A3BFE">
        <w:rPr>
          <w:rFonts w:cs="Arial"/>
          <w:rtl/>
        </w:rPr>
        <w:t>: טעם - אינו מקדש.</w:t>
      </w:r>
      <w:r>
        <w:rPr>
          <w:rFonts w:cs="Arial" w:hint="cs"/>
          <w:rtl/>
        </w:rPr>
        <w:t>.</w:t>
      </w:r>
      <w:r w:rsidRPr="005A3BFE">
        <w:rPr>
          <w:rFonts w:cs="Arial"/>
          <w:rtl/>
        </w:rPr>
        <w:t xml:space="preserve">. </w:t>
      </w:r>
      <w:r w:rsidRPr="005A3BFE">
        <w:rPr>
          <w:rFonts w:cs="Arial"/>
          <w:u w:val="single"/>
          <w:rtl/>
        </w:rPr>
        <w:t>ורבה אמר רב נחמן אמר שמואל</w:t>
      </w:r>
      <w:r w:rsidRPr="005A3BFE">
        <w:rPr>
          <w:rFonts w:cs="Arial"/>
          <w:rtl/>
        </w:rPr>
        <w:t>: טעם - מקדש, וטעם - מבדיל.</w:t>
      </w:r>
      <w:r>
        <w:rPr>
          <w:rFonts w:hint="cs"/>
          <w:sz w:val="16"/>
          <w:szCs w:val="16"/>
          <w:rtl/>
        </w:rPr>
        <w:t xml:space="preserve"> </w:t>
      </w:r>
      <w:r w:rsidRPr="00AC58F0">
        <w:rPr>
          <w:rFonts w:hint="cs"/>
          <w:sz w:val="14"/>
          <w:szCs w:val="14"/>
          <w:rtl/>
        </w:rPr>
        <w:t>(קז.)</w:t>
      </w:r>
      <w:r w:rsidRPr="00451FB5">
        <w:rPr>
          <w:rtl/>
        </w:rPr>
        <w:t xml:space="preserve"> </w:t>
      </w:r>
      <w:r w:rsidRPr="00451FB5">
        <w:rPr>
          <w:rFonts w:cs="Arial"/>
          <w:u w:val="single"/>
          <w:rtl/>
        </w:rPr>
        <w:t>אמר רבא</w:t>
      </w:r>
      <w:r>
        <w:rPr>
          <w:rFonts w:cs="Arial" w:hint="cs"/>
          <w:rtl/>
        </w:rPr>
        <w:t>:</w:t>
      </w:r>
      <w:r w:rsidRPr="00451FB5">
        <w:rPr>
          <w:rFonts w:cs="Arial"/>
          <w:rtl/>
        </w:rPr>
        <w:t xml:space="preserve"> הילכתא</w:t>
      </w:r>
      <w:r>
        <w:rPr>
          <w:rFonts w:cs="Arial" w:hint="cs"/>
          <w:rtl/>
        </w:rPr>
        <w:t>,</w:t>
      </w:r>
      <w:r w:rsidRPr="00451FB5">
        <w:rPr>
          <w:rFonts w:cs="Arial"/>
          <w:rtl/>
        </w:rPr>
        <w:t xml:space="preserve"> טעם - מקדש, וטעם - מבדיל. ומי שלא קידש בערב שבת - מקדש והולך כל היום כולו, עד מוצאי שבת. מי שלא הבדיל במוצאי שבת - מבדיל והולך כל השבת כולו.</w:t>
      </w:r>
      <w:r w:rsidRPr="00025A0D">
        <w:rPr>
          <w:rFonts w:cs="Arial" w:hint="cs"/>
          <w:sz w:val="16"/>
          <w:szCs w:val="16"/>
          <w:rtl/>
        </w:rPr>
        <w:t xml:space="preserve"> </w:t>
      </w:r>
    </w:p>
    <w:p w14:paraId="6A0E29FD" w14:textId="77777777" w:rsidR="004B2E7C" w:rsidRPr="0090597D" w:rsidRDefault="004B2E7C" w:rsidP="00434A6A">
      <w:pPr>
        <w:rPr>
          <w:u w:val="single"/>
          <w:rtl/>
        </w:rPr>
      </w:pPr>
      <w:r w:rsidRPr="0090597D">
        <w:rPr>
          <w:rFonts w:hint="cs"/>
          <w:u w:val="single"/>
          <w:rtl/>
        </w:rPr>
        <w:t xml:space="preserve">שכח וטעם לפני קידוש </w:t>
      </w:r>
      <w:r w:rsidRPr="0090597D">
        <w:rPr>
          <w:u w:val="single"/>
          <w:rtl/>
        </w:rPr>
        <w:t>–</w:t>
      </w:r>
      <w:r w:rsidRPr="0090597D">
        <w:rPr>
          <w:rFonts w:hint="cs"/>
          <w:u w:val="single"/>
          <w:rtl/>
        </w:rPr>
        <w:t xml:space="preserve"> האם יכול לקדש:</w:t>
      </w:r>
    </w:p>
    <w:p w14:paraId="3C6DC8BE" w14:textId="77777777" w:rsidR="004B2E7C" w:rsidRDefault="004B2E7C" w:rsidP="00FF2D21">
      <w:pPr>
        <w:pStyle w:val="aa"/>
        <w:numPr>
          <w:ilvl w:val="0"/>
          <w:numId w:val="116"/>
        </w:numPr>
      </w:pPr>
      <w:r>
        <w:rPr>
          <w:rFonts w:cs="Arial" w:hint="cs"/>
          <w:rtl/>
        </w:rPr>
        <w:t xml:space="preserve">טור- </w:t>
      </w:r>
      <w:r w:rsidRPr="003A3CB9">
        <w:rPr>
          <w:rFonts w:cs="Arial"/>
          <w:rtl/>
        </w:rPr>
        <w:t>אם שכח וטעם שום דבר קודם שקידש</w:t>
      </w:r>
      <w:r>
        <w:rPr>
          <w:rFonts w:cs="Arial" w:hint="cs"/>
          <w:rtl/>
        </w:rPr>
        <w:t xml:space="preserve"> -</w:t>
      </w:r>
      <w:r w:rsidRPr="003A3CB9">
        <w:rPr>
          <w:rFonts w:cs="Arial"/>
          <w:rtl/>
        </w:rPr>
        <w:t xml:space="preserve"> יכול לקדש אח"כ</w:t>
      </w:r>
      <w:r>
        <w:rPr>
          <w:rFonts w:cs="Arial" w:hint="cs"/>
          <w:rtl/>
        </w:rPr>
        <w:t>.</w:t>
      </w:r>
      <w:r w:rsidRPr="003A3CB9">
        <w:rPr>
          <w:rFonts w:cs="Arial"/>
          <w:rtl/>
        </w:rPr>
        <w:t xml:space="preserve"> </w:t>
      </w:r>
      <w:r w:rsidRPr="00880191">
        <w:rPr>
          <w:rFonts w:hint="cs"/>
          <w:color w:val="E36C0A" w:themeColor="accent6" w:themeShade="BF"/>
          <w:rtl/>
        </w:rPr>
        <w:t>(וכ"</w:t>
      </w:r>
      <w:r>
        <w:rPr>
          <w:rFonts w:hint="cs"/>
          <w:color w:val="E36C0A" w:themeColor="accent6" w:themeShade="BF"/>
          <w:rtl/>
        </w:rPr>
        <w:t>פ</w:t>
      </w:r>
      <w:r w:rsidRPr="00880191">
        <w:rPr>
          <w:rFonts w:hint="cs"/>
          <w:color w:val="E36C0A" w:themeColor="accent6" w:themeShade="BF"/>
          <w:rtl/>
        </w:rPr>
        <w:t xml:space="preserve"> בשו"ע)</w:t>
      </w:r>
    </w:p>
    <w:p w14:paraId="5ABB0833"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4366AF0" w14:textId="77777777" w:rsidR="004B2E7C" w:rsidRDefault="004B2E7C" w:rsidP="00434A6A">
      <w:pPr>
        <w:rPr>
          <w:rFonts w:asciiTheme="minorBidi" w:hAnsiTheme="minorBidi"/>
          <w:rtl/>
        </w:rPr>
      </w:pPr>
      <w:r w:rsidRPr="00CC2350">
        <w:rPr>
          <w:rFonts w:asciiTheme="minorBidi" w:hAnsiTheme="minorBidi" w:cs="Arial"/>
          <w:rtl/>
        </w:rPr>
        <w:t>אף על פי שאסור לו לטעום קודם קידוש, אם טעם, מקדש</w:t>
      </w:r>
      <w:r>
        <w:rPr>
          <w:rStyle w:val="a9"/>
          <w:rFonts w:asciiTheme="minorBidi" w:hAnsiTheme="minorBidi" w:cs="Arial"/>
          <w:rtl/>
        </w:rPr>
        <w:footnoteReference w:id="898"/>
      </w:r>
      <w:r w:rsidRPr="00CC2350">
        <w:rPr>
          <w:rFonts w:asciiTheme="minorBidi" w:hAnsiTheme="minorBidi" w:cs="Arial"/>
          <w:rtl/>
        </w:rPr>
        <w:t xml:space="preserve">. </w:t>
      </w:r>
    </w:p>
    <w:p w14:paraId="46B14DEE" w14:textId="77777777" w:rsidR="004B2E7C" w:rsidRPr="00CC2350" w:rsidRDefault="004B2E7C" w:rsidP="00434A6A">
      <w:pPr>
        <w:rPr>
          <w:rFonts w:asciiTheme="minorBidi" w:hAnsiTheme="minorBidi"/>
          <w:rtl/>
        </w:rPr>
      </w:pPr>
    </w:p>
    <w:p w14:paraId="1B078E03" w14:textId="77777777" w:rsidR="004B2E7C" w:rsidRDefault="004B2E7C" w:rsidP="00434A6A">
      <w:pPr>
        <w:pStyle w:val="2"/>
        <w:rPr>
          <w:rtl/>
        </w:rPr>
      </w:pPr>
      <w:r w:rsidRPr="00CC2350">
        <w:rPr>
          <w:rtl/>
        </w:rPr>
        <w:t>סעיף ח</w:t>
      </w:r>
      <w:r>
        <w:rPr>
          <w:rFonts w:hint="cs"/>
          <w:rtl/>
        </w:rPr>
        <w:t>: מי שלא קידש בלילה.</w:t>
      </w:r>
    </w:p>
    <w:p w14:paraId="0BDFC7CF" w14:textId="77777777" w:rsidR="004B2E7C" w:rsidRPr="00AC58F0" w:rsidRDefault="004B2E7C" w:rsidP="00434A6A">
      <w:pPr>
        <w:rPr>
          <w:rFonts w:cs="Arial"/>
          <w:rtl/>
        </w:rPr>
      </w:pPr>
      <w:r w:rsidRPr="008036C3">
        <w:rPr>
          <w:rFonts w:cs="Arial" w:hint="cs"/>
          <w:b/>
          <w:bCs/>
          <w:rtl/>
        </w:rPr>
        <w:t xml:space="preserve">פסחים </w:t>
      </w:r>
      <w:r w:rsidRPr="008036C3">
        <w:rPr>
          <w:rFonts w:cs="Arial" w:hint="cs"/>
          <w:b/>
          <w:bCs/>
          <w:sz w:val="16"/>
          <w:szCs w:val="16"/>
          <w:rtl/>
        </w:rPr>
        <w:t xml:space="preserve">(פ' ערבי פסחים) </w:t>
      </w:r>
      <w:r w:rsidRPr="008036C3">
        <w:rPr>
          <w:rFonts w:cs="Arial" w:hint="cs"/>
          <w:b/>
          <w:bCs/>
          <w:rtl/>
        </w:rPr>
        <w:t>ק</w:t>
      </w:r>
      <w:r>
        <w:rPr>
          <w:rFonts w:cs="Arial" w:hint="cs"/>
          <w:b/>
          <w:bCs/>
          <w:rtl/>
        </w:rPr>
        <w:t>ז</w:t>
      </w:r>
      <w:r w:rsidRPr="008036C3">
        <w:rPr>
          <w:rFonts w:cs="Arial" w:hint="cs"/>
          <w:b/>
          <w:bCs/>
          <w:rtl/>
        </w:rPr>
        <w:t xml:space="preserve"> ע"</w:t>
      </w:r>
      <w:r>
        <w:rPr>
          <w:rFonts w:cs="Arial" w:hint="cs"/>
          <w:b/>
          <w:bCs/>
          <w:rtl/>
        </w:rPr>
        <w:t>א</w:t>
      </w:r>
      <w:r w:rsidRPr="008036C3">
        <w:rPr>
          <w:rFonts w:cs="Arial" w:hint="cs"/>
          <w:b/>
          <w:bCs/>
          <w:rtl/>
        </w:rPr>
        <w:t>:</w:t>
      </w:r>
      <w:r>
        <w:rPr>
          <w:rFonts w:cs="Arial" w:hint="cs"/>
          <w:rtl/>
        </w:rPr>
        <w:t xml:space="preserve"> </w:t>
      </w:r>
      <w:r w:rsidRPr="00451FB5">
        <w:rPr>
          <w:rFonts w:cs="Arial"/>
          <w:u w:val="single"/>
          <w:rtl/>
        </w:rPr>
        <w:t>אמר רבא</w:t>
      </w:r>
      <w:r>
        <w:rPr>
          <w:rFonts w:cs="Arial" w:hint="cs"/>
          <w:rtl/>
        </w:rPr>
        <w:t>:</w:t>
      </w:r>
      <w:r w:rsidRPr="00451FB5">
        <w:rPr>
          <w:rFonts w:cs="Arial"/>
          <w:rtl/>
        </w:rPr>
        <w:t xml:space="preserve"> הילכתא</w:t>
      </w:r>
      <w:r>
        <w:rPr>
          <w:rFonts w:cs="Arial" w:hint="cs"/>
          <w:rtl/>
        </w:rPr>
        <w:t>,</w:t>
      </w:r>
      <w:r w:rsidRPr="00451FB5">
        <w:rPr>
          <w:rFonts w:cs="Arial"/>
          <w:rtl/>
        </w:rPr>
        <w:t xml:space="preserve"> טעם - מקדש, וטעם - מבדיל. ומי שלא קידש בערב שבת - מקדש והולך כל היום כולו, עד מוצאי שבת. מי שלא הבדיל במוצאי שבת - מבדיל והולך כל השבת כולו.</w:t>
      </w:r>
      <w:r w:rsidRPr="00025A0D">
        <w:rPr>
          <w:rFonts w:cs="Arial" w:hint="cs"/>
          <w:sz w:val="16"/>
          <w:szCs w:val="16"/>
          <w:rtl/>
        </w:rPr>
        <w:t xml:space="preserve"> </w:t>
      </w:r>
    </w:p>
    <w:p w14:paraId="230104F3" w14:textId="77777777" w:rsidR="004B2E7C" w:rsidRPr="00AC58F0" w:rsidRDefault="004B2E7C" w:rsidP="00434A6A">
      <w:pPr>
        <w:rPr>
          <w:rtl/>
        </w:rPr>
      </w:pPr>
      <w:r w:rsidRPr="00BE6085">
        <w:rPr>
          <w:rFonts w:hint="cs"/>
          <w:u w:val="single"/>
          <w:rtl/>
        </w:rPr>
        <w:t>מי שלא קידש בלילה</w:t>
      </w:r>
      <w:r>
        <w:rPr>
          <w:rFonts w:hint="cs"/>
          <w:u w:val="single"/>
          <w:rtl/>
        </w:rPr>
        <w:t>:</w:t>
      </w:r>
    </w:p>
    <w:p w14:paraId="7927B351" w14:textId="77777777" w:rsidR="004B2E7C" w:rsidRPr="004844A4" w:rsidRDefault="004B2E7C" w:rsidP="00FF2D21">
      <w:pPr>
        <w:pStyle w:val="aa"/>
        <w:numPr>
          <w:ilvl w:val="0"/>
          <w:numId w:val="116"/>
        </w:numPr>
      </w:pPr>
      <w:r>
        <w:rPr>
          <w:rFonts w:cs="Arial" w:hint="cs"/>
          <w:rtl/>
        </w:rPr>
        <w:t xml:space="preserve">טור- </w:t>
      </w:r>
      <w:r w:rsidRPr="003A3CB9">
        <w:rPr>
          <w:rFonts w:cs="Arial"/>
          <w:rtl/>
        </w:rPr>
        <w:t xml:space="preserve">ואם לא קידש בלילה </w:t>
      </w:r>
      <w:r>
        <w:rPr>
          <w:rFonts w:cs="Arial" w:hint="cs"/>
          <w:rtl/>
        </w:rPr>
        <w:t xml:space="preserve">- </w:t>
      </w:r>
      <w:r w:rsidRPr="003A3CB9">
        <w:rPr>
          <w:rFonts w:cs="Arial"/>
          <w:rtl/>
        </w:rPr>
        <w:t>יש לו תשלומין למחר כל היום</w:t>
      </w:r>
      <w:r>
        <w:rPr>
          <w:rFonts w:cs="Arial" w:hint="cs"/>
          <w:rtl/>
        </w:rPr>
        <w:t>.</w:t>
      </w:r>
      <w:r w:rsidRPr="003A3CB9">
        <w:rPr>
          <w:rFonts w:cs="Arial"/>
          <w:rtl/>
        </w:rPr>
        <w:t xml:space="preserve"> </w:t>
      </w:r>
      <w:r w:rsidRPr="00880191">
        <w:rPr>
          <w:rFonts w:hint="cs"/>
          <w:color w:val="E36C0A" w:themeColor="accent6" w:themeShade="BF"/>
          <w:rtl/>
        </w:rPr>
        <w:t>(וכ"</w:t>
      </w:r>
      <w:r>
        <w:rPr>
          <w:rFonts w:hint="cs"/>
          <w:color w:val="E36C0A" w:themeColor="accent6" w:themeShade="BF"/>
          <w:rtl/>
        </w:rPr>
        <w:t>פ</w:t>
      </w:r>
      <w:r w:rsidRPr="00880191">
        <w:rPr>
          <w:rFonts w:hint="cs"/>
          <w:color w:val="E36C0A" w:themeColor="accent6" w:themeShade="BF"/>
          <w:rtl/>
        </w:rPr>
        <w:t xml:space="preserve"> בשו"ע)</w:t>
      </w:r>
    </w:p>
    <w:p w14:paraId="031730DA" w14:textId="77777777" w:rsidR="004B2E7C" w:rsidRPr="004844A4" w:rsidRDefault="004B2E7C" w:rsidP="00434A6A">
      <w:pPr>
        <w:ind w:left="360"/>
        <w:rPr>
          <w:u w:val="dotted"/>
        </w:rPr>
      </w:pPr>
      <w:r w:rsidRPr="004844A4">
        <w:rPr>
          <w:rFonts w:hint="cs"/>
          <w:u w:val="dotted"/>
          <w:rtl/>
        </w:rPr>
        <w:t>האם הדין כן דוקא כששכח או גם אם לא קידש במזיד:</w:t>
      </w:r>
    </w:p>
    <w:p w14:paraId="2BB9C994" w14:textId="77777777" w:rsidR="004B2E7C" w:rsidRPr="004844A4" w:rsidRDefault="004B2E7C" w:rsidP="00FF2D21">
      <w:pPr>
        <w:pStyle w:val="aa"/>
        <w:numPr>
          <w:ilvl w:val="0"/>
          <w:numId w:val="116"/>
        </w:numPr>
      </w:pPr>
      <w:r>
        <w:rPr>
          <w:rFonts w:cs="Arial" w:hint="cs"/>
          <w:rtl/>
        </w:rPr>
        <w:t>רב עמרם גאון</w:t>
      </w:r>
      <w:r>
        <w:rPr>
          <w:rFonts w:cs="Arial" w:hint="cs"/>
          <w:sz w:val="16"/>
          <w:szCs w:val="16"/>
          <w:rtl/>
        </w:rPr>
        <w:t xml:space="preserve"> (כ"כ הטור בשמו)</w:t>
      </w:r>
      <w:r>
        <w:rPr>
          <w:rFonts w:cs="Arial" w:hint="cs"/>
          <w:rtl/>
        </w:rPr>
        <w:t>-</w:t>
      </w:r>
      <w:r w:rsidRPr="003A3CB9">
        <w:rPr>
          <w:rFonts w:cs="Arial"/>
          <w:rtl/>
        </w:rPr>
        <w:t xml:space="preserve"> אם לא קידש בלילה מחמת שכחה או אונס יקדש למחר</w:t>
      </w:r>
      <w:r>
        <w:rPr>
          <w:rFonts w:cs="Arial" w:hint="cs"/>
          <w:rtl/>
        </w:rPr>
        <w:t>.</w:t>
      </w:r>
    </w:p>
    <w:p w14:paraId="1176F6F5" w14:textId="77777777" w:rsidR="004B2E7C" w:rsidRPr="00146CF1" w:rsidRDefault="004B2E7C" w:rsidP="00FF2D21">
      <w:pPr>
        <w:pStyle w:val="aa"/>
        <w:numPr>
          <w:ilvl w:val="0"/>
          <w:numId w:val="116"/>
        </w:numPr>
      </w:pPr>
      <w:r w:rsidRPr="003A3CB9">
        <w:rPr>
          <w:rFonts w:cs="Arial"/>
          <w:rtl/>
        </w:rPr>
        <w:t xml:space="preserve">רמב"ם </w:t>
      </w:r>
      <w:r>
        <w:rPr>
          <w:rFonts w:cs="Arial" w:hint="cs"/>
          <w:sz w:val="16"/>
          <w:szCs w:val="16"/>
          <w:rtl/>
        </w:rPr>
        <w:t>()</w:t>
      </w:r>
      <w:r>
        <w:rPr>
          <w:rFonts w:cs="Arial" w:hint="cs"/>
          <w:rtl/>
        </w:rPr>
        <w:t xml:space="preserve"> וטור- </w:t>
      </w:r>
      <w:r w:rsidRPr="004844A4">
        <w:rPr>
          <w:rFonts w:cs="Arial"/>
          <w:rtl/>
        </w:rPr>
        <w:t xml:space="preserve">אם לא קידש בלילה בין בשוגג בין במזיד </w:t>
      </w:r>
      <w:r>
        <w:rPr>
          <w:rFonts w:cs="Arial" w:hint="cs"/>
          <w:rtl/>
        </w:rPr>
        <w:t xml:space="preserve">- </w:t>
      </w:r>
      <w:r w:rsidRPr="004844A4">
        <w:rPr>
          <w:rFonts w:cs="Arial"/>
          <w:rtl/>
        </w:rPr>
        <w:t xml:space="preserve">מקדש והולך כל היום כולו </w:t>
      </w:r>
      <w:r>
        <w:rPr>
          <w:rFonts w:cs="Arial" w:hint="cs"/>
          <w:sz w:val="16"/>
          <w:szCs w:val="16"/>
          <w:rtl/>
        </w:rPr>
        <w:t>(ל' הרמב"ם)</w:t>
      </w:r>
      <w:r>
        <w:rPr>
          <w:rFonts w:cs="Arial" w:hint="cs"/>
          <w:rtl/>
        </w:rPr>
        <w:t>.</w:t>
      </w:r>
      <w:r w:rsidRPr="003A3CB9">
        <w:rPr>
          <w:rFonts w:cs="Arial"/>
          <w:rtl/>
        </w:rPr>
        <w:t xml:space="preserve"> </w:t>
      </w:r>
      <w:r w:rsidRPr="00880191">
        <w:rPr>
          <w:rFonts w:hint="cs"/>
          <w:color w:val="E36C0A" w:themeColor="accent6" w:themeShade="BF"/>
          <w:rtl/>
        </w:rPr>
        <w:t>(וכ"</w:t>
      </w:r>
      <w:r>
        <w:rPr>
          <w:rFonts w:hint="cs"/>
          <w:color w:val="E36C0A" w:themeColor="accent6" w:themeShade="BF"/>
          <w:rtl/>
        </w:rPr>
        <w:t>פ</w:t>
      </w:r>
      <w:r w:rsidRPr="00880191">
        <w:rPr>
          <w:rFonts w:hint="cs"/>
          <w:color w:val="E36C0A" w:themeColor="accent6" w:themeShade="BF"/>
          <w:rtl/>
        </w:rPr>
        <w:t xml:space="preserve"> בשו"ע)</w:t>
      </w:r>
    </w:p>
    <w:p w14:paraId="1BECC45C" w14:textId="77777777" w:rsidR="004B2E7C" w:rsidRPr="00BE6085" w:rsidRDefault="004B2E7C" w:rsidP="00434A6A">
      <w:pPr>
        <w:rPr>
          <w:u w:val="single"/>
        </w:rPr>
      </w:pPr>
      <w:r w:rsidRPr="00BE6085">
        <w:rPr>
          <w:rFonts w:hint="cs"/>
          <w:u w:val="single"/>
          <w:rtl/>
        </w:rPr>
        <w:t xml:space="preserve">מי שלא קידש בלילה </w:t>
      </w:r>
      <w:r>
        <w:rPr>
          <w:rFonts w:hint="cs"/>
          <w:sz w:val="16"/>
          <w:szCs w:val="16"/>
          <w:u w:val="single"/>
          <w:rtl/>
        </w:rPr>
        <w:t>(ודינו לקדש ביום)</w:t>
      </w:r>
      <w:r>
        <w:rPr>
          <w:rFonts w:hint="cs"/>
          <w:u w:val="single"/>
          <w:rtl/>
        </w:rPr>
        <w:t xml:space="preserve"> -</w:t>
      </w:r>
      <w:r w:rsidRPr="00BE6085">
        <w:rPr>
          <w:rFonts w:hint="cs"/>
          <w:u w:val="single"/>
          <w:rtl/>
        </w:rPr>
        <w:t xml:space="preserve"> כיצד יקדש ביום:</w:t>
      </w:r>
    </w:p>
    <w:p w14:paraId="6535CF77" w14:textId="77777777" w:rsidR="004B2E7C" w:rsidRPr="00AC58F0" w:rsidRDefault="004B2E7C" w:rsidP="00FF2D21">
      <w:pPr>
        <w:pStyle w:val="aa"/>
        <w:numPr>
          <w:ilvl w:val="0"/>
          <w:numId w:val="116"/>
        </w:numPr>
        <w:rPr>
          <w:rtl/>
        </w:rPr>
      </w:pPr>
      <w:r>
        <w:rPr>
          <w:rFonts w:cs="Arial" w:hint="cs"/>
          <w:rtl/>
        </w:rPr>
        <w:t xml:space="preserve">ב"י- </w:t>
      </w:r>
      <w:r w:rsidRPr="00BE6085">
        <w:rPr>
          <w:rFonts w:cs="Arial"/>
          <w:rtl/>
        </w:rPr>
        <w:t>היכא דלא קידש בלילה שיש לו תשלומין כל היום</w:t>
      </w:r>
      <w:r>
        <w:rPr>
          <w:rFonts w:cs="Arial" w:hint="cs"/>
          <w:rtl/>
        </w:rPr>
        <w:t xml:space="preserve"> -</w:t>
      </w:r>
      <w:r w:rsidRPr="00BE6085">
        <w:rPr>
          <w:rFonts w:cs="Arial"/>
          <w:rtl/>
        </w:rPr>
        <w:t xml:space="preserve"> צריך לקדש קידוש של לילה</w:t>
      </w:r>
      <w:r w:rsidRPr="00BE6085">
        <w:rPr>
          <w:rFonts w:cs="Arial" w:hint="cs"/>
          <w:rtl/>
        </w:rPr>
        <w:t>.</w:t>
      </w:r>
      <w:r w:rsidRPr="00BE6085">
        <w:rPr>
          <w:rFonts w:cs="Arial"/>
          <w:rtl/>
        </w:rPr>
        <w:t xml:space="preserve"> וכן כתב המכתם</w:t>
      </w:r>
      <w:r>
        <w:rPr>
          <w:rStyle w:val="a9"/>
          <w:rFonts w:cs="Arial"/>
          <w:rtl/>
        </w:rPr>
        <w:footnoteReference w:id="899"/>
      </w:r>
      <w:r w:rsidRPr="00BE6085">
        <w:rPr>
          <w:rFonts w:cs="Arial"/>
          <w:rtl/>
        </w:rPr>
        <w:t xml:space="preserve"> בפשיטות פרק ערבי פסחים (קו. ד"ה ליקדיש)</w:t>
      </w:r>
      <w:r>
        <w:rPr>
          <w:rFonts w:cs="Arial" w:hint="cs"/>
          <w:rtl/>
        </w:rPr>
        <w:t>.</w:t>
      </w:r>
      <w:r w:rsidRPr="00BE6085">
        <w:rPr>
          <w:rFonts w:cs="Arial"/>
          <w:rtl/>
        </w:rPr>
        <w:t xml:space="preserve"> וכתוב בארחות חיים (שם אות ג) בשם התוספות שאינו אומר ויכולו</w:t>
      </w:r>
      <w:r>
        <w:rPr>
          <w:rFonts w:cs="Arial" w:hint="cs"/>
          <w:rtl/>
        </w:rPr>
        <w:t>,</w:t>
      </w:r>
      <w:r w:rsidRPr="00BE6085">
        <w:rPr>
          <w:rFonts w:cs="Arial"/>
          <w:rtl/>
        </w:rPr>
        <w:t xml:space="preserve"> לפי שבלילה היתה גמר מלאכת השי"ת</w:t>
      </w:r>
      <w:r>
        <w:rPr>
          <w:rFonts w:cs="Arial" w:hint="cs"/>
          <w:rtl/>
        </w:rPr>
        <w:t>.</w:t>
      </w:r>
      <w:r w:rsidRPr="004844A4">
        <w:rPr>
          <w:rFonts w:hint="cs"/>
          <w:color w:val="00B0F0"/>
          <w:rtl/>
        </w:rPr>
        <w:t xml:space="preserve"> </w:t>
      </w:r>
      <w:r w:rsidRPr="00880191">
        <w:rPr>
          <w:rFonts w:hint="cs"/>
          <w:color w:val="00B0F0"/>
          <w:rtl/>
        </w:rPr>
        <w:t>(וכ"פ הרמ"א)</w:t>
      </w:r>
    </w:p>
    <w:p w14:paraId="5C650476"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A6902DA" w14:textId="77777777" w:rsidR="004B2E7C" w:rsidRDefault="004B2E7C" w:rsidP="00434A6A">
      <w:pPr>
        <w:rPr>
          <w:rFonts w:asciiTheme="minorBidi" w:hAnsiTheme="minorBidi"/>
          <w:rtl/>
        </w:rPr>
      </w:pPr>
      <w:r w:rsidRPr="00CC2350">
        <w:rPr>
          <w:rFonts w:asciiTheme="minorBidi" w:hAnsiTheme="minorBidi" w:cs="Arial"/>
          <w:rtl/>
        </w:rPr>
        <w:t>אם לא קידש בלילה, בין בשוגג בין במזיד, יש לו תשלומין למחר כל היום</w:t>
      </w:r>
      <w:r>
        <w:rPr>
          <w:rStyle w:val="a9"/>
          <w:rFonts w:asciiTheme="minorBidi" w:hAnsiTheme="minorBidi" w:cs="Arial"/>
          <w:rtl/>
        </w:rPr>
        <w:footnoteReference w:id="900"/>
      </w:r>
      <w:r w:rsidRPr="00CC2350">
        <w:rPr>
          <w:rFonts w:asciiTheme="minorBidi" w:hAnsiTheme="minorBidi" w:cs="Arial"/>
          <w:rtl/>
        </w:rPr>
        <w:t xml:space="preserve">. </w:t>
      </w:r>
      <w:r w:rsidRPr="0043002C">
        <w:rPr>
          <w:rFonts w:asciiTheme="minorBidi" w:hAnsiTheme="minorBidi" w:cs="Arial"/>
          <w:sz w:val="18"/>
          <w:szCs w:val="18"/>
          <w:rtl/>
        </w:rPr>
        <w:t>הגה: ואומר כל הקידוש של לילה (ב"י)</w:t>
      </w:r>
      <w:r>
        <w:rPr>
          <w:rFonts w:asciiTheme="minorBidi" w:hAnsiTheme="minorBidi" w:cs="Arial" w:hint="cs"/>
          <w:sz w:val="18"/>
          <w:szCs w:val="18"/>
          <w:rtl/>
        </w:rPr>
        <w:t>,</w:t>
      </w:r>
      <w:r w:rsidRPr="0043002C">
        <w:rPr>
          <w:rFonts w:asciiTheme="minorBidi" w:hAnsiTheme="minorBidi" w:cs="Arial"/>
          <w:sz w:val="18"/>
          <w:szCs w:val="18"/>
          <w:rtl/>
        </w:rPr>
        <w:t xml:space="preserve"> מלבד ויכלו (אורח</w:t>
      </w:r>
      <w:r>
        <w:rPr>
          <w:rFonts w:asciiTheme="minorBidi" w:hAnsiTheme="minorBidi" w:cs="Arial" w:hint="cs"/>
          <w:sz w:val="18"/>
          <w:szCs w:val="18"/>
          <w:rtl/>
        </w:rPr>
        <w:t>ות</w:t>
      </w:r>
      <w:r w:rsidRPr="0043002C">
        <w:rPr>
          <w:rFonts w:asciiTheme="minorBidi" w:hAnsiTheme="minorBidi" w:cs="Arial"/>
          <w:sz w:val="18"/>
          <w:szCs w:val="18"/>
          <w:rtl/>
        </w:rPr>
        <w:t xml:space="preserve"> חיים בשם תוספות). </w:t>
      </w:r>
    </w:p>
    <w:p w14:paraId="199F32D3" w14:textId="77777777" w:rsidR="004B2E7C" w:rsidRPr="00CC2350" w:rsidRDefault="004B2E7C" w:rsidP="00434A6A">
      <w:pPr>
        <w:rPr>
          <w:rFonts w:asciiTheme="minorBidi" w:hAnsiTheme="minorBidi"/>
          <w:rtl/>
        </w:rPr>
      </w:pPr>
    </w:p>
    <w:p w14:paraId="0B6D8306" w14:textId="77777777" w:rsidR="004B2E7C" w:rsidRDefault="004B2E7C" w:rsidP="00434A6A">
      <w:pPr>
        <w:pStyle w:val="2"/>
        <w:rPr>
          <w:rtl/>
        </w:rPr>
      </w:pPr>
      <w:r w:rsidRPr="00CC2350">
        <w:rPr>
          <w:rtl/>
        </w:rPr>
        <w:t>סעיף ט</w:t>
      </w:r>
      <w:r>
        <w:rPr>
          <w:rFonts w:hint="cs"/>
          <w:rtl/>
        </w:rPr>
        <w:t>: מפה תחת הפת, ועוד מפה מעל הפת.</w:t>
      </w:r>
    </w:p>
    <w:p w14:paraId="034843C4" w14:textId="77777777" w:rsidR="004B2E7C" w:rsidRPr="004263FF" w:rsidRDefault="004B2E7C" w:rsidP="00434A6A">
      <w:pPr>
        <w:rPr>
          <w:rFonts w:cs="Arial"/>
          <w:rtl/>
        </w:rPr>
      </w:pPr>
      <w:r w:rsidRPr="008036C3">
        <w:rPr>
          <w:rFonts w:cs="Arial" w:hint="cs"/>
          <w:b/>
          <w:bCs/>
          <w:rtl/>
        </w:rPr>
        <w:t xml:space="preserve">פסחים </w:t>
      </w:r>
      <w:r w:rsidRPr="008036C3">
        <w:rPr>
          <w:rFonts w:cs="Arial" w:hint="cs"/>
          <w:b/>
          <w:bCs/>
          <w:sz w:val="16"/>
          <w:szCs w:val="16"/>
          <w:rtl/>
        </w:rPr>
        <w:t>(</w:t>
      </w:r>
      <w:r>
        <w:rPr>
          <w:rFonts w:cs="Arial" w:hint="cs"/>
          <w:b/>
          <w:bCs/>
          <w:sz w:val="16"/>
          <w:szCs w:val="16"/>
          <w:rtl/>
        </w:rPr>
        <w:t>ר"</w:t>
      </w:r>
      <w:r w:rsidRPr="008036C3">
        <w:rPr>
          <w:rFonts w:cs="Arial" w:hint="cs"/>
          <w:b/>
          <w:bCs/>
          <w:sz w:val="16"/>
          <w:szCs w:val="16"/>
          <w:rtl/>
        </w:rPr>
        <w:t xml:space="preserve">פ ערבי פסחים) </w:t>
      </w:r>
      <w:r w:rsidRPr="008036C3">
        <w:rPr>
          <w:rFonts w:cs="Arial" w:hint="cs"/>
          <w:b/>
          <w:bCs/>
          <w:rtl/>
        </w:rPr>
        <w:t>ק ע"</w:t>
      </w:r>
      <w:r>
        <w:rPr>
          <w:rFonts w:cs="Arial" w:hint="cs"/>
          <w:b/>
          <w:bCs/>
          <w:rtl/>
        </w:rPr>
        <w:t>ב</w:t>
      </w:r>
      <w:r w:rsidRPr="008036C3">
        <w:rPr>
          <w:rFonts w:cs="Arial" w:hint="cs"/>
          <w:b/>
          <w:bCs/>
          <w:rtl/>
        </w:rPr>
        <w:t>:</w:t>
      </w:r>
      <w:r>
        <w:rPr>
          <w:rFonts w:cs="Arial" w:hint="cs"/>
          <w:rtl/>
        </w:rPr>
        <w:t xml:space="preserve"> </w:t>
      </w:r>
      <w:r w:rsidRPr="004263FF">
        <w:rPr>
          <w:rFonts w:cs="Arial"/>
          <w:rtl/>
        </w:rPr>
        <w:t>רבה בר רב הונא איקלע לבי ריש גלותא. אייתו תכא קמיה, פרס מפה וקידש. תניא נמי הכי:</w:t>
      </w:r>
      <w:r>
        <w:rPr>
          <w:rFonts w:cs="Arial" w:hint="cs"/>
          <w:rtl/>
        </w:rPr>
        <w:t xml:space="preserve"> </w:t>
      </w:r>
      <w:r w:rsidRPr="004263FF">
        <w:rPr>
          <w:rFonts w:cs="Arial"/>
          <w:rtl/>
        </w:rPr>
        <w:t>שאין מביאין את השולחן אלא אם כן קידש, ואם הביא - פורס מפה ומקדש.</w:t>
      </w:r>
      <w:r>
        <w:rPr>
          <w:rFonts w:cs="Arial" w:hint="cs"/>
          <w:rtl/>
        </w:rPr>
        <w:t xml:space="preserve"> </w:t>
      </w:r>
      <w:r w:rsidRPr="004263FF">
        <w:rPr>
          <w:rFonts w:cs="Arial" w:hint="cs"/>
          <w:sz w:val="16"/>
          <w:szCs w:val="16"/>
          <w:rtl/>
        </w:rPr>
        <w:t>(</w:t>
      </w:r>
      <w:r w:rsidRPr="004263FF">
        <w:rPr>
          <w:rFonts w:cs="Arial"/>
          <w:sz w:val="16"/>
          <w:szCs w:val="16"/>
          <w:rtl/>
        </w:rPr>
        <w:t>וכתבו התוספות (שם ד"ה שאין מביאין) והרא"ש (סי' ג) והמרדכי (לד ע"ד) דלא קשיא מדאמרינן בפרק כל כתבי (שבת קיט:) מצא שולחן ערוך מלאך טוב אומר וכו'</w:t>
      </w:r>
      <w:r w:rsidRPr="004263FF">
        <w:rPr>
          <w:rFonts w:cs="Arial" w:hint="cs"/>
          <w:sz w:val="16"/>
          <w:szCs w:val="16"/>
          <w:rtl/>
        </w:rPr>
        <w:t>,</w:t>
      </w:r>
      <w:r w:rsidRPr="004263FF">
        <w:rPr>
          <w:rFonts w:cs="Arial"/>
          <w:sz w:val="16"/>
          <w:szCs w:val="16"/>
          <w:rtl/>
        </w:rPr>
        <w:t xml:space="preserve"> דערוך הוא במקום אחר כדי להביאו אחר הקידוש</w:t>
      </w:r>
      <w:r w:rsidRPr="004263FF">
        <w:rPr>
          <w:rFonts w:cs="Arial" w:hint="cs"/>
          <w:sz w:val="16"/>
          <w:szCs w:val="16"/>
          <w:rtl/>
        </w:rPr>
        <w:t>, ב"י</w:t>
      </w:r>
      <w:r>
        <w:rPr>
          <w:rFonts w:cs="Arial" w:hint="cs"/>
          <w:sz w:val="16"/>
          <w:szCs w:val="16"/>
          <w:rtl/>
        </w:rPr>
        <w:t>)</w:t>
      </w:r>
    </w:p>
    <w:p w14:paraId="065C6DBB" w14:textId="77777777" w:rsidR="004B2E7C" w:rsidRPr="00743E16" w:rsidRDefault="004B2E7C" w:rsidP="00434A6A">
      <w:pPr>
        <w:rPr>
          <w:rFonts w:cs="Arial"/>
          <w:u w:val="single"/>
          <w:rtl/>
        </w:rPr>
      </w:pPr>
      <w:r w:rsidRPr="00743E16">
        <w:rPr>
          <w:rFonts w:cs="Arial" w:hint="cs"/>
          <w:u w:val="single"/>
          <w:rtl/>
        </w:rPr>
        <w:t>הבאת השלחן רק לאחר הקידוש:</w:t>
      </w:r>
    </w:p>
    <w:p w14:paraId="22EA42E7" w14:textId="77777777" w:rsidR="004B2E7C" w:rsidRDefault="004B2E7C" w:rsidP="00FF2D21">
      <w:pPr>
        <w:pStyle w:val="aa"/>
        <w:numPr>
          <w:ilvl w:val="0"/>
          <w:numId w:val="116"/>
        </w:numPr>
      </w:pPr>
      <w:r>
        <w:rPr>
          <w:rFonts w:cs="Arial" w:hint="cs"/>
          <w:rtl/>
        </w:rPr>
        <w:t xml:space="preserve">טור- </w:t>
      </w:r>
      <w:r w:rsidRPr="003A3CB9">
        <w:rPr>
          <w:rFonts w:cs="Arial"/>
          <w:rtl/>
        </w:rPr>
        <w:t>וכשישב לאכול יהיה לו מפה פרוסה על הלחם</w:t>
      </w:r>
      <w:r>
        <w:rPr>
          <w:rFonts w:cs="Arial" w:hint="cs"/>
          <w:rtl/>
        </w:rPr>
        <w:t>,</w:t>
      </w:r>
      <w:r w:rsidRPr="003A3CB9">
        <w:rPr>
          <w:rFonts w:cs="Arial"/>
          <w:rtl/>
        </w:rPr>
        <w:t xml:space="preserve"> דתניא אין מביאים את השלחן אא"כ קידש ואם הביא פורס מפה ומקדש</w:t>
      </w:r>
      <w:r>
        <w:rPr>
          <w:rFonts w:cs="Arial" w:hint="cs"/>
          <w:rtl/>
        </w:rPr>
        <w:t>.</w:t>
      </w:r>
      <w:r w:rsidRPr="003A3CB9">
        <w:rPr>
          <w:rFonts w:cs="Arial"/>
          <w:rtl/>
        </w:rPr>
        <w:t xml:space="preserve"> אף על פי שצריך שיערוך שלחנו מבע"י ודאי צריך שיהיה ערוך ומסודר במקום אחר</w:t>
      </w:r>
      <w:r>
        <w:rPr>
          <w:rFonts w:cs="Arial" w:hint="cs"/>
          <w:rtl/>
        </w:rPr>
        <w:t>,</w:t>
      </w:r>
      <w:r w:rsidRPr="003A3CB9">
        <w:rPr>
          <w:rFonts w:cs="Arial"/>
          <w:rtl/>
        </w:rPr>
        <w:t xml:space="preserve"> ומ"מ אין מביאין אותו לפניו אלא עד אחר הקידוש כדי שיהא ניכר שבא לכבוד שבת</w:t>
      </w:r>
      <w:r>
        <w:rPr>
          <w:rFonts w:cs="Arial" w:hint="cs"/>
          <w:rtl/>
        </w:rPr>
        <w:t>.</w:t>
      </w:r>
      <w:r w:rsidRPr="003A3CB9">
        <w:rPr>
          <w:rFonts w:cs="Arial"/>
          <w:rtl/>
        </w:rPr>
        <w:t xml:space="preserve"> הילכך אם הביאוהו קודם הקידוש פורס עליו מפה כאילו אינו כאן ומקדש ומסיר המפה</w:t>
      </w:r>
      <w:r>
        <w:rPr>
          <w:rFonts w:cs="Arial" w:hint="cs"/>
          <w:rtl/>
        </w:rPr>
        <w:t>.</w:t>
      </w:r>
      <w:r w:rsidRPr="003A3CB9">
        <w:rPr>
          <w:rFonts w:cs="Arial"/>
          <w:rtl/>
        </w:rPr>
        <w:t xml:space="preserve"> </w:t>
      </w:r>
    </w:p>
    <w:p w14:paraId="10156995" w14:textId="77777777" w:rsidR="004B2E7C" w:rsidRPr="00743E16" w:rsidRDefault="004B2E7C" w:rsidP="00434A6A">
      <w:pPr>
        <w:ind w:left="360"/>
        <w:rPr>
          <w:u w:val="dotted"/>
        </w:rPr>
      </w:pPr>
      <w:r w:rsidRPr="00743E16">
        <w:rPr>
          <w:rFonts w:cs="Arial" w:hint="cs"/>
          <w:u w:val="dotted"/>
          <w:rtl/>
        </w:rPr>
        <w:t>מדוע עכשיו לא נוהגים להביא את השלחן רק לאחר הקידוש, אלא פורסים מפה על הלחם ומקדשים:</w:t>
      </w:r>
    </w:p>
    <w:p w14:paraId="20804346" w14:textId="77777777" w:rsidR="004B2E7C" w:rsidRPr="00743E16" w:rsidRDefault="004B2E7C" w:rsidP="00FF2D21">
      <w:pPr>
        <w:pStyle w:val="aa"/>
        <w:numPr>
          <w:ilvl w:val="0"/>
          <w:numId w:val="116"/>
        </w:numPr>
        <w:rPr>
          <w:rtl/>
        </w:rPr>
      </w:pPr>
      <w:r w:rsidRPr="00743E16">
        <w:rPr>
          <w:rFonts w:cs="Arial" w:hint="cs"/>
          <w:rtl/>
        </w:rPr>
        <w:t xml:space="preserve">תוס' </w:t>
      </w:r>
      <w:r w:rsidRPr="00743E16">
        <w:rPr>
          <w:rFonts w:cs="Arial" w:hint="cs"/>
          <w:sz w:val="16"/>
          <w:szCs w:val="16"/>
          <w:rtl/>
        </w:rPr>
        <w:t>(ק: ד"ה שאין מביאין)</w:t>
      </w:r>
      <w:r w:rsidRPr="00743E16">
        <w:rPr>
          <w:rFonts w:cs="Arial" w:hint="cs"/>
          <w:rtl/>
        </w:rPr>
        <w:t xml:space="preserve">- </w:t>
      </w:r>
      <w:r w:rsidRPr="00743E16">
        <w:rPr>
          <w:rFonts w:cs="Arial"/>
          <w:rtl/>
        </w:rPr>
        <w:t>ועכשיו שלחנות שלנו שהם גדולים יותר מדאי וקשה להביאם אחר קידוש שלא להפסיק כל כך בין קידוש לסעודה אנו רגילין לפרוס מפה ולקדש</w:t>
      </w:r>
      <w:r>
        <w:rPr>
          <w:rStyle w:val="a9"/>
          <w:rFonts w:cs="Arial"/>
          <w:rtl/>
        </w:rPr>
        <w:footnoteReference w:id="901"/>
      </w:r>
      <w:r w:rsidRPr="00743E16">
        <w:rPr>
          <w:rFonts w:cs="Arial" w:hint="cs"/>
          <w:rtl/>
        </w:rPr>
        <w:t>.</w:t>
      </w:r>
      <w:r w:rsidRPr="00743E16">
        <w:rPr>
          <w:rFonts w:cs="Arial"/>
          <w:rtl/>
        </w:rPr>
        <w:t xml:space="preserve"> והטעם מפורש בשאילתות כי היכי דתיתי סעודתא ביקרא דשבתא</w:t>
      </w:r>
      <w:r w:rsidRPr="00743E16">
        <w:rPr>
          <w:rFonts w:cs="Arial" w:hint="cs"/>
          <w:rtl/>
        </w:rPr>
        <w:t>.</w:t>
      </w:r>
      <w:r w:rsidRPr="00743E16">
        <w:rPr>
          <w:rFonts w:cs="Arial"/>
          <w:rtl/>
        </w:rPr>
        <w:t xml:space="preserve"> ויש מפרש</w:t>
      </w:r>
      <w:r>
        <w:rPr>
          <w:rStyle w:val="a9"/>
          <w:rFonts w:cs="Arial"/>
          <w:rtl/>
        </w:rPr>
        <w:footnoteReference w:id="902"/>
      </w:r>
      <w:r w:rsidRPr="00743E16">
        <w:rPr>
          <w:rFonts w:cs="Arial"/>
          <w:rtl/>
        </w:rPr>
        <w:t xml:space="preserve"> זכר למן שלא היה יורד בשבתות וי"ט והיה טל מלמעלה ומלמטה והמן בינתים.</w:t>
      </w:r>
    </w:p>
    <w:p w14:paraId="73A190DB" w14:textId="77777777" w:rsidR="004B2E7C" w:rsidRPr="00743E16" w:rsidRDefault="004B2E7C" w:rsidP="00FF2D21">
      <w:pPr>
        <w:pStyle w:val="aa"/>
        <w:numPr>
          <w:ilvl w:val="0"/>
          <w:numId w:val="116"/>
        </w:numPr>
      </w:pPr>
      <w:r>
        <w:rPr>
          <w:rFonts w:cs="Arial" w:hint="cs"/>
          <w:rtl/>
        </w:rPr>
        <w:t xml:space="preserve">טור- </w:t>
      </w:r>
      <w:r>
        <w:rPr>
          <w:rStyle w:val="a9"/>
          <w:rFonts w:cs="Arial"/>
          <w:rtl/>
        </w:rPr>
        <w:footnoteReference w:id="903"/>
      </w:r>
      <w:r w:rsidRPr="003A3CB9">
        <w:rPr>
          <w:rFonts w:cs="Arial"/>
          <w:rtl/>
        </w:rPr>
        <w:t>בירושלמי קאמר שלא יראה הפת בושתו</w:t>
      </w:r>
      <w:r>
        <w:rPr>
          <w:rStyle w:val="a9"/>
          <w:rFonts w:cs="Arial"/>
          <w:rtl/>
        </w:rPr>
        <w:footnoteReference w:id="904"/>
      </w:r>
      <w:r>
        <w:rPr>
          <w:rFonts w:cs="Arial" w:hint="cs"/>
          <w:rtl/>
        </w:rPr>
        <w:t>.</w:t>
      </w:r>
      <w:r w:rsidRPr="003A3CB9">
        <w:rPr>
          <w:rFonts w:cs="Arial"/>
          <w:rtl/>
        </w:rPr>
        <w:t xml:space="preserve"> פירוש שהוא מוקדם בפסוק והיה ראוי להקדימו בברכה ומקדימין בברכת היין</w:t>
      </w:r>
      <w:r>
        <w:rPr>
          <w:rFonts w:cs="Arial" w:hint="cs"/>
          <w:rtl/>
        </w:rPr>
        <w:t>.</w:t>
      </w:r>
      <w:r w:rsidRPr="003A3CB9">
        <w:rPr>
          <w:rFonts w:cs="Arial"/>
          <w:rtl/>
        </w:rPr>
        <w:t xml:space="preserve"> </w:t>
      </w:r>
    </w:p>
    <w:p w14:paraId="183F2180"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8F4F800" w14:textId="77777777" w:rsidR="004B2E7C" w:rsidRDefault="004B2E7C" w:rsidP="00434A6A">
      <w:pPr>
        <w:rPr>
          <w:rFonts w:asciiTheme="minorBidi" w:hAnsiTheme="minorBidi"/>
          <w:rtl/>
        </w:rPr>
      </w:pPr>
      <w:r w:rsidRPr="00CC2350">
        <w:rPr>
          <w:rFonts w:asciiTheme="minorBidi" w:hAnsiTheme="minorBidi" w:cs="Arial"/>
          <w:rtl/>
        </w:rPr>
        <w:t xml:space="preserve">צריך שתהיה מפה על השולחן תחת הפת ומפה אחרת פרוסה על גביו. </w:t>
      </w:r>
    </w:p>
    <w:p w14:paraId="78DB034B" w14:textId="77777777" w:rsidR="004B2E7C" w:rsidRPr="00CC2350" w:rsidRDefault="004B2E7C" w:rsidP="00434A6A">
      <w:pPr>
        <w:rPr>
          <w:rFonts w:asciiTheme="minorBidi" w:hAnsiTheme="minorBidi"/>
          <w:rtl/>
        </w:rPr>
      </w:pPr>
    </w:p>
    <w:p w14:paraId="051A58A6" w14:textId="77777777" w:rsidR="004B2E7C" w:rsidRDefault="004B2E7C" w:rsidP="00434A6A">
      <w:pPr>
        <w:pStyle w:val="2"/>
        <w:rPr>
          <w:rtl/>
        </w:rPr>
      </w:pPr>
      <w:r w:rsidRPr="00CC2350">
        <w:rPr>
          <w:rtl/>
        </w:rPr>
        <w:t>סעיף י</w:t>
      </w:r>
      <w:r>
        <w:rPr>
          <w:rFonts w:hint="cs"/>
          <w:rtl/>
        </w:rPr>
        <w:t>: דיני כוס של קידוש.</w:t>
      </w:r>
      <w:r>
        <w:rPr>
          <w:rtl/>
        </w:rPr>
        <w:t xml:space="preserve"> </w:t>
      </w:r>
    </w:p>
    <w:p w14:paraId="5EC78A48" w14:textId="77777777" w:rsidR="004B2E7C" w:rsidRPr="00344526" w:rsidRDefault="004B2E7C" w:rsidP="00434A6A">
      <w:pPr>
        <w:rPr>
          <w:rtl/>
        </w:rPr>
      </w:pPr>
      <w:r w:rsidRPr="008036C3">
        <w:rPr>
          <w:rFonts w:cs="Arial" w:hint="cs"/>
          <w:b/>
          <w:bCs/>
          <w:rtl/>
        </w:rPr>
        <w:t xml:space="preserve">פסחים </w:t>
      </w:r>
      <w:r w:rsidRPr="008036C3">
        <w:rPr>
          <w:rFonts w:cs="Arial" w:hint="cs"/>
          <w:b/>
          <w:bCs/>
          <w:sz w:val="16"/>
          <w:szCs w:val="16"/>
          <w:rtl/>
        </w:rPr>
        <w:t>(פ</w:t>
      </w:r>
      <w:r>
        <w:rPr>
          <w:rFonts w:cs="Arial" w:hint="cs"/>
          <w:b/>
          <w:bCs/>
          <w:sz w:val="16"/>
          <w:szCs w:val="16"/>
          <w:rtl/>
        </w:rPr>
        <w:t>'</w:t>
      </w:r>
      <w:r w:rsidRPr="008036C3">
        <w:rPr>
          <w:rFonts w:cs="Arial" w:hint="cs"/>
          <w:b/>
          <w:bCs/>
          <w:sz w:val="16"/>
          <w:szCs w:val="16"/>
          <w:rtl/>
        </w:rPr>
        <w:t xml:space="preserve"> ערבי פסחים) </w:t>
      </w:r>
      <w:r w:rsidRPr="008036C3">
        <w:rPr>
          <w:rFonts w:cs="Arial" w:hint="cs"/>
          <w:b/>
          <w:bCs/>
          <w:rtl/>
        </w:rPr>
        <w:t>ק</w:t>
      </w:r>
      <w:r>
        <w:rPr>
          <w:rFonts w:cs="Arial" w:hint="cs"/>
          <w:b/>
          <w:bCs/>
          <w:rtl/>
        </w:rPr>
        <w:t>ה</w:t>
      </w:r>
      <w:r w:rsidRPr="008036C3">
        <w:rPr>
          <w:rFonts w:cs="Arial" w:hint="cs"/>
          <w:b/>
          <w:bCs/>
          <w:rtl/>
        </w:rPr>
        <w:t xml:space="preserve"> ע"</w:t>
      </w:r>
      <w:r>
        <w:rPr>
          <w:rFonts w:cs="Arial" w:hint="cs"/>
          <w:b/>
          <w:bCs/>
          <w:rtl/>
        </w:rPr>
        <w:t>ב</w:t>
      </w:r>
      <w:r w:rsidRPr="008036C3">
        <w:rPr>
          <w:rFonts w:cs="Arial" w:hint="cs"/>
          <w:b/>
          <w:bCs/>
          <w:rtl/>
        </w:rPr>
        <w:t>:</w:t>
      </w:r>
      <w:r>
        <w:rPr>
          <w:rFonts w:cs="Arial" w:hint="cs"/>
          <w:rtl/>
        </w:rPr>
        <w:t xml:space="preserve"> </w:t>
      </w:r>
      <w:r w:rsidRPr="00B02631">
        <w:rPr>
          <w:rFonts w:cs="Arial"/>
          <w:rtl/>
        </w:rPr>
        <w:t>תניא: הנכנס לביתו במוצאי שבת - מברך על היין, ועל המאור, ועל הבשמים, ואחר כך אומר הבדלה על הכוס. ואם אין לו אלא כוס אחד - מניחו עד לאחר המזון, ומשלשלן כולן לאחריו.</w:t>
      </w:r>
      <w:r>
        <w:rPr>
          <w:rFonts w:cs="Arial" w:hint="cs"/>
          <w:rtl/>
        </w:rPr>
        <w:t>..</w:t>
      </w:r>
      <w:r w:rsidRPr="00B02631">
        <w:rPr>
          <w:rFonts w:cs="Arial"/>
          <w:rtl/>
        </w:rPr>
        <w:t xml:space="preserve"> </w:t>
      </w:r>
      <w:r w:rsidRPr="00344526">
        <w:rPr>
          <w:rFonts w:cs="Arial"/>
          <w:rtl/>
        </w:rPr>
        <w:t>שמע מינה מיהא מתניתא תמני</w:t>
      </w:r>
      <w:r>
        <w:rPr>
          <w:rFonts w:cs="Arial" w:hint="cs"/>
          <w:rtl/>
        </w:rPr>
        <w:t>...</w:t>
      </w:r>
      <w:r w:rsidRPr="00344526">
        <w:rPr>
          <w:rFonts w:cs="Arial"/>
          <w:rtl/>
        </w:rPr>
        <w:t xml:space="preserve"> ושמע מינה: ברכה</w:t>
      </w:r>
      <w:r>
        <w:rPr>
          <w:rStyle w:val="a9"/>
          <w:rFonts w:cs="Arial"/>
          <w:rtl/>
        </w:rPr>
        <w:footnoteReference w:id="905"/>
      </w:r>
      <w:r w:rsidRPr="00344526">
        <w:rPr>
          <w:rFonts w:cs="Arial"/>
          <w:rtl/>
        </w:rPr>
        <w:t xml:space="preserve"> טעונה כוס, ושמע מינה: כוס של ברכה צריך שיעור</w:t>
      </w:r>
      <w:r>
        <w:rPr>
          <w:rStyle w:val="a9"/>
          <w:rFonts w:cs="Arial"/>
          <w:rtl/>
        </w:rPr>
        <w:footnoteReference w:id="906"/>
      </w:r>
      <w:r w:rsidRPr="00344526">
        <w:rPr>
          <w:rFonts w:cs="Arial"/>
          <w:rtl/>
        </w:rPr>
        <w:t>. ושמע מינה: המברך צריך שיטעום</w:t>
      </w:r>
      <w:r>
        <w:rPr>
          <w:rStyle w:val="a9"/>
          <w:rFonts w:cs="Arial"/>
          <w:rtl/>
        </w:rPr>
        <w:footnoteReference w:id="907"/>
      </w:r>
      <w:r>
        <w:rPr>
          <w:rFonts w:cs="Arial" w:hint="cs"/>
          <w:rtl/>
        </w:rPr>
        <w:t>.</w:t>
      </w:r>
      <w:r w:rsidRPr="00344526">
        <w:rPr>
          <w:rFonts w:cs="Arial"/>
          <w:rtl/>
        </w:rPr>
        <w:t xml:space="preserve"> ושמע מינה: טעמו פגמו</w:t>
      </w:r>
      <w:r>
        <w:rPr>
          <w:rFonts w:cs="Arial" w:hint="cs"/>
          <w:rtl/>
        </w:rPr>
        <w:t>...</w:t>
      </w:r>
      <w:r>
        <w:rPr>
          <w:rFonts w:cs="Arial" w:hint="cs"/>
          <w:sz w:val="14"/>
          <w:szCs w:val="14"/>
          <w:rtl/>
        </w:rPr>
        <w:t xml:space="preserve"> (קו.)</w:t>
      </w:r>
      <w:r w:rsidRPr="00344526">
        <w:rPr>
          <w:rtl/>
        </w:rPr>
        <w:t xml:space="preserve"> </w:t>
      </w:r>
      <w:r w:rsidRPr="00344526">
        <w:rPr>
          <w:rFonts w:cs="Arial"/>
          <w:u w:val="single"/>
          <w:rtl/>
        </w:rPr>
        <w:t>רב אשי אמר</w:t>
      </w:r>
      <w:r w:rsidRPr="00344526">
        <w:rPr>
          <w:rFonts w:cs="Arial"/>
          <w:rtl/>
        </w:rPr>
        <w:t>: טעמו פגמו וכוס של ברכה צריך שיעור - חדא מילתא היא. והכי קאמר: מאי טעמא טעמו פגמו - משום דכוס של ברכה צריך שיעור</w:t>
      </w:r>
      <w:r>
        <w:rPr>
          <w:rStyle w:val="a9"/>
          <w:rFonts w:cs="Arial"/>
          <w:rtl/>
        </w:rPr>
        <w:footnoteReference w:id="908"/>
      </w:r>
      <w:r w:rsidRPr="00344526">
        <w:rPr>
          <w:rFonts w:cs="Arial"/>
          <w:rtl/>
        </w:rPr>
        <w:t>. רבי יעקב בר אידי קפיד</w:t>
      </w:r>
      <w:r>
        <w:rPr>
          <w:rStyle w:val="a9"/>
          <w:rFonts w:cs="Arial"/>
          <w:rtl/>
        </w:rPr>
        <w:footnoteReference w:id="909"/>
      </w:r>
      <w:r w:rsidRPr="00344526">
        <w:rPr>
          <w:rFonts w:cs="Arial"/>
          <w:rtl/>
        </w:rPr>
        <w:t xml:space="preserve"> אחצבא פגימא, רב אידי בר שישא קפיד אכסא פגימא, מר בר רב אשי קפיד אפילו אחביתא פגימתא.</w:t>
      </w:r>
      <w:r w:rsidRPr="0078027E">
        <w:rPr>
          <w:rFonts w:cs="Arial"/>
          <w:sz w:val="16"/>
          <w:szCs w:val="16"/>
          <w:rtl/>
        </w:rPr>
        <w:t xml:space="preserve"> </w:t>
      </w:r>
      <w:r>
        <w:rPr>
          <w:rFonts w:cs="Arial" w:hint="cs"/>
          <w:sz w:val="16"/>
          <w:szCs w:val="16"/>
          <w:rtl/>
        </w:rPr>
        <w:t>(</w:t>
      </w:r>
      <w:r w:rsidRPr="0078027E">
        <w:rPr>
          <w:rFonts w:cs="Arial"/>
          <w:sz w:val="16"/>
          <w:szCs w:val="16"/>
          <w:rtl/>
        </w:rPr>
        <w:t>ואע</w:t>
      </w:r>
      <w:r w:rsidRPr="0078027E">
        <w:rPr>
          <w:rFonts w:cs="Arial" w:hint="cs"/>
          <w:sz w:val="16"/>
          <w:szCs w:val="16"/>
          <w:rtl/>
        </w:rPr>
        <w:t>"</w:t>
      </w:r>
      <w:r w:rsidRPr="0078027E">
        <w:rPr>
          <w:rFonts w:cs="Arial"/>
          <w:sz w:val="16"/>
          <w:szCs w:val="16"/>
          <w:rtl/>
        </w:rPr>
        <w:t>ג דבגמרא לא הזכירו אלא כוס של ברכה</w:t>
      </w:r>
      <w:r w:rsidRPr="0078027E">
        <w:rPr>
          <w:rFonts w:cs="Arial" w:hint="cs"/>
          <w:sz w:val="16"/>
          <w:szCs w:val="16"/>
          <w:rtl/>
        </w:rPr>
        <w:t xml:space="preserve"> -</w:t>
      </w:r>
      <w:r w:rsidRPr="0078027E">
        <w:rPr>
          <w:rFonts w:cs="Arial"/>
          <w:sz w:val="16"/>
          <w:szCs w:val="16"/>
          <w:rtl/>
        </w:rPr>
        <w:t xml:space="preserve"> קידוש והבדלה בכלל כוס של ברכה הם</w:t>
      </w:r>
      <w:r w:rsidRPr="0078027E">
        <w:rPr>
          <w:rFonts w:cs="Arial" w:hint="cs"/>
          <w:sz w:val="16"/>
          <w:szCs w:val="16"/>
          <w:rtl/>
        </w:rPr>
        <w:t>.</w:t>
      </w:r>
      <w:r w:rsidRPr="0078027E">
        <w:rPr>
          <w:rFonts w:cs="Arial"/>
          <w:sz w:val="16"/>
          <w:szCs w:val="16"/>
          <w:rtl/>
        </w:rPr>
        <w:t xml:space="preserve"> וכן כתב שם הרי"ף (כב:) וז"ל כסא דטעים ליה בפומיה לא מיבעי ליה לברוכי עליה ברכת המזון ולאו למימר עליה קידושא ואבדלתא דאמר מר טעמו פגמו</w:t>
      </w:r>
      <w:r w:rsidRPr="0078027E">
        <w:rPr>
          <w:rFonts w:cs="Arial" w:hint="cs"/>
          <w:sz w:val="16"/>
          <w:szCs w:val="16"/>
          <w:rtl/>
        </w:rPr>
        <w:t>.</w:t>
      </w:r>
      <w:r w:rsidRPr="0078027E">
        <w:rPr>
          <w:rFonts w:cs="Arial"/>
          <w:sz w:val="16"/>
          <w:szCs w:val="16"/>
          <w:rtl/>
        </w:rPr>
        <w:t xml:space="preserve"> וכן כתב הרמב"ם בפכ"ט (הט"ז) והתוספות בפרק אלו דברים שבין בית שמאי (ברכות נב. ד"ה טעמו)</w:t>
      </w:r>
      <w:r>
        <w:rPr>
          <w:rFonts w:cs="Arial" w:hint="cs"/>
          <w:sz w:val="16"/>
          <w:szCs w:val="16"/>
          <w:rtl/>
        </w:rPr>
        <w:t>, ב"י)</w:t>
      </w:r>
    </w:p>
    <w:p w14:paraId="2810CBEB" w14:textId="77777777" w:rsidR="004B2E7C" w:rsidRPr="00FB0700" w:rsidRDefault="004B2E7C" w:rsidP="00434A6A">
      <w:pPr>
        <w:rPr>
          <w:u w:val="single"/>
          <w:rtl/>
        </w:rPr>
      </w:pPr>
      <w:r w:rsidRPr="00FB0700">
        <w:rPr>
          <w:rFonts w:hint="cs"/>
          <w:u w:val="single"/>
          <w:rtl/>
        </w:rPr>
        <w:t>דיני כוס של קידוש:</w:t>
      </w:r>
    </w:p>
    <w:p w14:paraId="276BAF18" w14:textId="77777777" w:rsidR="004B2E7C" w:rsidRPr="0078027E" w:rsidRDefault="004B2E7C" w:rsidP="00FF2D21">
      <w:pPr>
        <w:pStyle w:val="aa"/>
        <w:numPr>
          <w:ilvl w:val="0"/>
          <w:numId w:val="116"/>
        </w:numPr>
      </w:pPr>
      <w:r>
        <w:rPr>
          <w:rFonts w:cs="Arial" w:hint="cs"/>
          <w:rtl/>
        </w:rPr>
        <w:t xml:space="preserve">טור- </w:t>
      </w:r>
      <w:r w:rsidRPr="003A3CB9">
        <w:rPr>
          <w:rFonts w:cs="Arial"/>
          <w:rtl/>
        </w:rPr>
        <w:t>מקדש על כוס מלא יין</w:t>
      </w:r>
      <w:r>
        <w:rPr>
          <w:rFonts w:cs="Arial" w:hint="cs"/>
          <w:rtl/>
        </w:rPr>
        <w:t>,</w:t>
      </w:r>
      <w:r w:rsidRPr="003A3CB9">
        <w:rPr>
          <w:rFonts w:cs="Arial"/>
          <w:rtl/>
        </w:rPr>
        <w:t xml:space="preserve"> שלא יהא פגום</w:t>
      </w:r>
      <w:r>
        <w:rPr>
          <w:rStyle w:val="a9"/>
          <w:rFonts w:cs="Arial"/>
          <w:rtl/>
        </w:rPr>
        <w:footnoteReference w:id="910"/>
      </w:r>
      <w:r>
        <w:rPr>
          <w:rFonts w:cs="Arial" w:hint="cs"/>
          <w:rtl/>
        </w:rPr>
        <w:t>...</w:t>
      </w:r>
      <w:r w:rsidRPr="00E75E97">
        <w:rPr>
          <w:rFonts w:cs="Arial"/>
          <w:rtl/>
        </w:rPr>
        <w:t xml:space="preserve"> </w:t>
      </w:r>
      <w:r w:rsidRPr="003A3CB9">
        <w:rPr>
          <w:rFonts w:cs="Arial"/>
          <w:rtl/>
        </w:rPr>
        <w:t>ויאחזנו בימינו</w:t>
      </w:r>
      <w:r>
        <w:rPr>
          <w:rFonts w:cs="Arial" w:hint="cs"/>
          <w:rtl/>
        </w:rPr>
        <w:t>.</w:t>
      </w:r>
      <w:r w:rsidRPr="003A3CB9">
        <w:rPr>
          <w:rFonts w:cs="Arial"/>
          <w:rtl/>
        </w:rPr>
        <w:t xml:space="preserve"> </w:t>
      </w:r>
    </w:p>
    <w:p w14:paraId="6928F273" w14:textId="77777777" w:rsidR="004B2E7C" w:rsidRDefault="004B2E7C" w:rsidP="00FF2D21">
      <w:pPr>
        <w:pStyle w:val="aa"/>
        <w:numPr>
          <w:ilvl w:val="0"/>
          <w:numId w:val="116"/>
        </w:numPr>
      </w:pPr>
      <w:r>
        <w:rPr>
          <w:rFonts w:cs="Arial" w:hint="cs"/>
          <w:rtl/>
        </w:rPr>
        <w:t xml:space="preserve">רמב"ם </w:t>
      </w:r>
      <w:r>
        <w:rPr>
          <w:rFonts w:cs="Arial" w:hint="cs"/>
          <w:sz w:val="16"/>
          <w:szCs w:val="16"/>
          <w:rtl/>
        </w:rPr>
        <w:t>(פכ"ט ה"ז)</w:t>
      </w:r>
      <w:r>
        <w:rPr>
          <w:rFonts w:cs="Arial" w:hint="cs"/>
          <w:rtl/>
        </w:rPr>
        <w:t xml:space="preserve">- </w:t>
      </w:r>
      <w:r w:rsidRPr="0078027E">
        <w:rPr>
          <w:rFonts w:cs="Arial"/>
          <w:rtl/>
        </w:rPr>
        <w:t>כיצד הוא עושה לוקח כוס שהוא מחזיק רביעית או יתר</w:t>
      </w:r>
      <w:r>
        <w:rPr>
          <w:rFonts w:cs="Arial" w:hint="cs"/>
          <w:rtl/>
        </w:rPr>
        <w:t>,</w:t>
      </w:r>
      <w:r w:rsidRPr="0078027E">
        <w:rPr>
          <w:rFonts w:cs="Arial"/>
          <w:rtl/>
        </w:rPr>
        <w:t xml:space="preserve"> ומדיחו מבפנים</w:t>
      </w:r>
      <w:r>
        <w:rPr>
          <w:rFonts w:cs="Arial" w:hint="cs"/>
          <w:rtl/>
        </w:rPr>
        <w:t>,</w:t>
      </w:r>
      <w:r w:rsidRPr="0078027E">
        <w:rPr>
          <w:rFonts w:cs="Arial"/>
          <w:rtl/>
        </w:rPr>
        <w:t xml:space="preserve"> ושוטפו מבחוץ</w:t>
      </w:r>
      <w:r>
        <w:rPr>
          <w:rFonts w:cs="Arial" w:hint="cs"/>
          <w:rtl/>
        </w:rPr>
        <w:t>,</w:t>
      </w:r>
      <w:r w:rsidRPr="0078027E">
        <w:rPr>
          <w:rFonts w:cs="Arial"/>
          <w:rtl/>
        </w:rPr>
        <w:t xml:space="preserve"> וממלאהו יין</w:t>
      </w:r>
      <w:r>
        <w:rPr>
          <w:rFonts w:cs="Arial" w:hint="cs"/>
          <w:rtl/>
        </w:rPr>
        <w:t>,</w:t>
      </w:r>
      <w:r w:rsidRPr="0078027E">
        <w:rPr>
          <w:rFonts w:cs="Arial"/>
          <w:rtl/>
        </w:rPr>
        <w:t xml:space="preserve"> ואוחזו בימינו</w:t>
      </w:r>
      <w:r>
        <w:rPr>
          <w:rFonts w:cs="Arial" w:hint="cs"/>
          <w:rtl/>
        </w:rPr>
        <w:t>,</w:t>
      </w:r>
      <w:r w:rsidRPr="0078027E">
        <w:rPr>
          <w:rFonts w:cs="Arial"/>
          <w:rtl/>
        </w:rPr>
        <w:t xml:space="preserve"> ומגביהו מן הקרקע טפח או יתר</w:t>
      </w:r>
      <w:r>
        <w:rPr>
          <w:rFonts w:cs="Arial" w:hint="cs"/>
          <w:rtl/>
        </w:rPr>
        <w:t>,</w:t>
      </w:r>
      <w:r w:rsidRPr="0078027E">
        <w:rPr>
          <w:rFonts w:cs="Arial"/>
          <w:rtl/>
        </w:rPr>
        <w:t xml:space="preserve"> ולא יסייע בשמאל, ומברך על הגפן ואחר כך מקדש</w:t>
      </w:r>
      <w:r>
        <w:rPr>
          <w:rStyle w:val="a9"/>
          <w:rFonts w:cs="Arial"/>
          <w:rtl/>
        </w:rPr>
        <w:footnoteReference w:id="911"/>
      </w:r>
      <w:r>
        <w:rPr>
          <w:rFonts w:cs="Arial" w:hint="cs"/>
          <w:rtl/>
        </w:rPr>
        <w:t>.</w:t>
      </w:r>
      <w:r w:rsidRPr="00E75E97">
        <w:rPr>
          <w:rFonts w:cs="Arial"/>
          <w:color w:val="E36C0A" w:themeColor="accent6" w:themeShade="BF"/>
          <w:rtl/>
        </w:rPr>
        <w:t xml:space="preserve"> </w:t>
      </w:r>
      <w:r w:rsidRPr="00E75E97">
        <w:rPr>
          <w:rFonts w:hint="cs"/>
          <w:color w:val="E36C0A" w:themeColor="accent6" w:themeShade="BF"/>
          <w:rtl/>
        </w:rPr>
        <w:t>(וכ"פ בשו"ע)</w:t>
      </w:r>
    </w:p>
    <w:p w14:paraId="62EA1199" w14:textId="77777777" w:rsidR="004B2E7C" w:rsidRPr="00FB0700" w:rsidRDefault="004B2E7C" w:rsidP="00434A6A">
      <w:pPr>
        <w:rPr>
          <w:u w:val="single"/>
        </w:rPr>
      </w:pPr>
      <w:r w:rsidRPr="00FB0700">
        <w:rPr>
          <w:rFonts w:hint="cs"/>
          <w:u w:val="single"/>
          <w:rtl/>
        </w:rPr>
        <w:t>סדר הקידוש:</w:t>
      </w:r>
    </w:p>
    <w:p w14:paraId="48B20308" w14:textId="77777777" w:rsidR="004B2E7C" w:rsidRPr="00FB0700" w:rsidRDefault="004B2E7C" w:rsidP="00FF2D21">
      <w:pPr>
        <w:pStyle w:val="aa"/>
        <w:numPr>
          <w:ilvl w:val="0"/>
          <w:numId w:val="116"/>
        </w:numPr>
      </w:pPr>
      <w:r>
        <w:rPr>
          <w:rFonts w:cs="Arial" w:hint="cs"/>
          <w:rtl/>
        </w:rPr>
        <w:t>רמב"ם</w:t>
      </w:r>
      <w:r>
        <w:rPr>
          <w:rStyle w:val="a9"/>
          <w:rFonts w:cs="Arial"/>
          <w:rtl/>
        </w:rPr>
        <w:footnoteReference w:id="912"/>
      </w:r>
      <w:r>
        <w:rPr>
          <w:rFonts w:cs="Arial" w:hint="cs"/>
          <w:rtl/>
        </w:rPr>
        <w:t xml:space="preserve"> </w:t>
      </w:r>
      <w:r>
        <w:rPr>
          <w:rFonts w:cs="Arial" w:hint="cs"/>
          <w:sz w:val="16"/>
          <w:szCs w:val="16"/>
          <w:rtl/>
        </w:rPr>
        <w:t>(פכ"ט ה"ז)</w:t>
      </w:r>
      <w:r>
        <w:rPr>
          <w:rFonts w:cs="Arial" w:hint="cs"/>
          <w:rtl/>
        </w:rPr>
        <w:t xml:space="preserve"> וטור- </w:t>
      </w:r>
      <w:r w:rsidRPr="003A3CB9">
        <w:rPr>
          <w:rFonts w:cs="Arial"/>
          <w:rtl/>
        </w:rPr>
        <w:t>ויאמר ויכולו</w:t>
      </w:r>
      <w:r>
        <w:rPr>
          <w:rStyle w:val="a9"/>
          <w:rFonts w:cs="Arial"/>
          <w:rtl/>
        </w:rPr>
        <w:footnoteReference w:id="913"/>
      </w:r>
      <w:r>
        <w:rPr>
          <w:rFonts w:cs="Arial" w:hint="cs"/>
          <w:rtl/>
        </w:rPr>
        <w:t>...,</w:t>
      </w:r>
      <w:r w:rsidRPr="003A3CB9">
        <w:rPr>
          <w:rFonts w:cs="Arial"/>
          <w:rtl/>
        </w:rPr>
        <w:t xml:space="preserve"> ובורא פה"ג וקידוש</w:t>
      </w:r>
      <w:r>
        <w:rPr>
          <w:rStyle w:val="a9"/>
          <w:rFonts w:cs="Arial"/>
          <w:rtl/>
        </w:rPr>
        <w:footnoteReference w:id="914"/>
      </w:r>
      <w:r>
        <w:rPr>
          <w:rFonts w:cs="Arial" w:hint="cs"/>
          <w:sz w:val="16"/>
          <w:szCs w:val="16"/>
          <w:rtl/>
        </w:rPr>
        <w:t xml:space="preserve"> (ל' הטור)</w:t>
      </w:r>
      <w:r>
        <w:rPr>
          <w:rFonts w:cs="Arial" w:hint="cs"/>
          <w:rtl/>
        </w:rPr>
        <w:t>.</w:t>
      </w:r>
      <w:r w:rsidRPr="003A3CB9">
        <w:rPr>
          <w:rFonts w:cs="Arial"/>
          <w:rtl/>
        </w:rPr>
        <w:t xml:space="preserve"> </w:t>
      </w:r>
      <w:r w:rsidRPr="00E75E97">
        <w:rPr>
          <w:rFonts w:hint="cs"/>
          <w:color w:val="E36C0A" w:themeColor="accent6" w:themeShade="BF"/>
          <w:rtl/>
        </w:rPr>
        <w:t>(וכ"פ בשו"ע)</w:t>
      </w:r>
    </w:p>
    <w:p w14:paraId="702B2BAF" w14:textId="77777777" w:rsidR="004B2E7C" w:rsidRPr="0040449B" w:rsidRDefault="004B2E7C" w:rsidP="00434A6A">
      <w:pPr>
        <w:rPr>
          <w:u w:val="single"/>
        </w:rPr>
      </w:pPr>
      <w:r w:rsidRPr="0040449B">
        <w:rPr>
          <w:rFonts w:hint="cs"/>
          <w:u w:val="single"/>
          <w:rtl/>
        </w:rPr>
        <w:t>קידוש</w:t>
      </w:r>
      <w:r>
        <w:rPr>
          <w:rFonts w:hint="cs"/>
          <w:u w:val="single"/>
          <w:rtl/>
        </w:rPr>
        <w:t xml:space="preserve"> בעמידה או בישיבה</w:t>
      </w:r>
      <w:r>
        <w:rPr>
          <w:u w:val="single"/>
          <w:rtl/>
        </w:rPr>
        <w:tab/>
      </w:r>
      <w:r w:rsidRPr="0040449B">
        <w:rPr>
          <w:rFonts w:hint="cs"/>
          <w:u w:val="single"/>
          <w:rtl/>
        </w:rPr>
        <w:t>:</w:t>
      </w:r>
    </w:p>
    <w:p w14:paraId="4337DA5A" w14:textId="77777777" w:rsidR="004B2E7C" w:rsidRPr="002C3123" w:rsidRDefault="004B2E7C" w:rsidP="00FF2D21">
      <w:pPr>
        <w:pStyle w:val="aa"/>
        <w:numPr>
          <w:ilvl w:val="0"/>
          <w:numId w:val="116"/>
        </w:numPr>
      </w:pPr>
      <w:r w:rsidRPr="002C3123">
        <w:rPr>
          <w:rFonts w:cs="Arial"/>
          <w:rtl/>
        </w:rPr>
        <w:t xml:space="preserve">כל בו </w:t>
      </w:r>
      <w:r w:rsidRPr="002C3123">
        <w:rPr>
          <w:rFonts w:cs="Arial" w:hint="cs"/>
          <w:sz w:val="16"/>
          <w:szCs w:val="16"/>
          <w:rtl/>
        </w:rPr>
        <w:t>(</w:t>
      </w:r>
      <w:r w:rsidRPr="002C3123">
        <w:rPr>
          <w:rFonts w:cs="Arial"/>
          <w:sz w:val="16"/>
          <w:szCs w:val="16"/>
          <w:rtl/>
        </w:rPr>
        <w:t>סי</w:t>
      </w:r>
      <w:r w:rsidRPr="002C3123">
        <w:rPr>
          <w:rFonts w:cs="Arial" w:hint="cs"/>
          <w:sz w:val="16"/>
          <w:szCs w:val="16"/>
          <w:rtl/>
        </w:rPr>
        <w:t>'</w:t>
      </w:r>
      <w:r w:rsidRPr="002C3123">
        <w:rPr>
          <w:rFonts w:cs="Arial"/>
          <w:sz w:val="16"/>
          <w:szCs w:val="16"/>
          <w:rtl/>
        </w:rPr>
        <w:t xml:space="preserve"> מא</w:t>
      </w:r>
      <w:r w:rsidRPr="002C3123">
        <w:rPr>
          <w:rFonts w:cs="Arial" w:hint="cs"/>
          <w:sz w:val="16"/>
          <w:szCs w:val="16"/>
          <w:rtl/>
        </w:rPr>
        <w:t>)</w:t>
      </w:r>
      <w:r w:rsidRPr="002C3123">
        <w:rPr>
          <w:rFonts w:cs="Arial" w:hint="cs"/>
          <w:rtl/>
        </w:rPr>
        <w:t xml:space="preserve">- </w:t>
      </w:r>
      <w:r w:rsidRPr="002C3123">
        <w:rPr>
          <w:rFonts w:cs="Arial"/>
          <w:rtl/>
        </w:rPr>
        <w:t>היה לנו לקדש מעומד לכבוד המלך שאנו יוצאין לקראתו</w:t>
      </w:r>
      <w:r w:rsidRPr="002C3123">
        <w:rPr>
          <w:rFonts w:cs="Arial" w:hint="cs"/>
          <w:rtl/>
        </w:rPr>
        <w:t>,</w:t>
      </w:r>
      <w:r w:rsidRPr="002C3123">
        <w:rPr>
          <w:rFonts w:cs="Arial"/>
          <w:rtl/>
        </w:rPr>
        <w:t xml:space="preserve"> אך לפי שאין קידוש אלא במקום סעודה צריך לישב</w:t>
      </w:r>
      <w:r w:rsidRPr="002C3123">
        <w:rPr>
          <w:rFonts w:cs="Arial" w:hint="cs"/>
          <w:rtl/>
        </w:rPr>
        <w:t>,</w:t>
      </w:r>
      <w:r w:rsidRPr="002C3123">
        <w:rPr>
          <w:rFonts w:cs="Arial"/>
          <w:rtl/>
        </w:rPr>
        <w:t xml:space="preserve"> דאי קאים ויתיב מיחזי כי חוכא ואטלולא. </w:t>
      </w:r>
    </w:p>
    <w:p w14:paraId="50C07940" w14:textId="77777777" w:rsidR="004B2E7C" w:rsidRDefault="004B2E7C" w:rsidP="00FF2D21">
      <w:pPr>
        <w:pStyle w:val="aa"/>
        <w:numPr>
          <w:ilvl w:val="0"/>
          <w:numId w:val="116"/>
        </w:numPr>
        <w:rPr>
          <w:rtl/>
        </w:rPr>
      </w:pPr>
      <w:r w:rsidRPr="002C3123">
        <w:rPr>
          <w:rFonts w:cs="Arial" w:hint="cs"/>
          <w:rtl/>
        </w:rPr>
        <w:t xml:space="preserve">ב"י- </w:t>
      </w:r>
      <w:r w:rsidRPr="002C3123">
        <w:rPr>
          <w:rFonts w:cs="Arial"/>
          <w:rtl/>
        </w:rPr>
        <w:t>לי נראה דמקדש מעומד נמי</w:t>
      </w:r>
      <w:r>
        <w:rPr>
          <w:rStyle w:val="a9"/>
          <w:rFonts w:cs="Arial"/>
          <w:rtl/>
        </w:rPr>
        <w:footnoteReference w:id="915"/>
      </w:r>
      <w:r>
        <w:rPr>
          <w:rFonts w:cs="Arial" w:hint="cs"/>
          <w:rtl/>
        </w:rPr>
        <w:t>,</w:t>
      </w:r>
      <w:r w:rsidRPr="002C3123">
        <w:rPr>
          <w:rFonts w:cs="Arial"/>
          <w:rtl/>
        </w:rPr>
        <w:t xml:space="preserve"> כיון דסמוך לשולחן הוא שפיר מיקרי במקום סעודה</w:t>
      </w:r>
      <w:r>
        <w:rPr>
          <w:rFonts w:cs="Arial" w:hint="cs"/>
          <w:rtl/>
        </w:rPr>
        <w:t>,</w:t>
      </w:r>
      <w:r w:rsidRPr="002C3123">
        <w:rPr>
          <w:rFonts w:cs="Arial"/>
          <w:rtl/>
        </w:rPr>
        <w:t xml:space="preserve"> שהרי לדעת הרמב"ם </w:t>
      </w:r>
      <w:r w:rsidRPr="002C3123">
        <w:rPr>
          <w:rFonts w:cs="Arial"/>
          <w:sz w:val="16"/>
          <w:szCs w:val="16"/>
          <w:rtl/>
        </w:rPr>
        <w:t xml:space="preserve">(הל' סוכה פ"ו הי"ב) </w:t>
      </w:r>
      <w:r w:rsidRPr="002C3123">
        <w:rPr>
          <w:rFonts w:cs="Arial"/>
          <w:rtl/>
        </w:rPr>
        <w:t>בחג הסוכות צריך לקדש מעומד</w:t>
      </w:r>
      <w:r w:rsidRPr="002C3123">
        <w:rPr>
          <w:rFonts w:cs="Arial" w:hint="cs"/>
          <w:rtl/>
        </w:rPr>
        <w:t>.</w:t>
      </w:r>
      <w:r w:rsidRPr="002171E8">
        <w:rPr>
          <w:rFonts w:hint="cs"/>
          <w:color w:val="E36C0A" w:themeColor="accent6" w:themeShade="BF"/>
          <w:rtl/>
        </w:rPr>
        <w:t xml:space="preserve"> </w:t>
      </w:r>
      <w:r w:rsidRPr="00E75E97">
        <w:rPr>
          <w:rFonts w:hint="cs"/>
          <w:color w:val="E36C0A" w:themeColor="accent6" w:themeShade="BF"/>
          <w:rtl/>
        </w:rPr>
        <w:t>(וכ"פ בשו"ע)</w:t>
      </w:r>
    </w:p>
    <w:p w14:paraId="02F85BD4" w14:textId="77777777" w:rsidR="004B2E7C" w:rsidRPr="00FB0700" w:rsidRDefault="004B2E7C" w:rsidP="00434A6A">
      <w:pPr>
        <w:rPr>
          <w:u w:val="single"/>
        </w:rPr>
      </w:pPr>
      <w:r w:rsidRPr="00FB0700">
        <w:rPr>
          <w:rFonts w:hint="cs"/>
          <w:u w:val="single"/>
          <w:rtl/>
        </w:rPr>
        <w:t>פירוש נוסח הקידוש:</w:t>
      </w:r>
    </w:p>
    <w:p w14:paraId="0CE783C0" w14:textId="77777777" w:rsidR="004B2E7C" w:rsidRPr="007D35D4" w:rsidRDefault="004B2E7C" w:rsidP="00FF2D21">
      <w:pPr>
        <w:pStyle w:val="aa"/>
        <w:numPr>
          <w:ilvl w:val="0"/>
          <w:numId w:val="116"/>
        </w:numPr>
      </w:pPr>
      <w:r>
        <w:rPr>
          <w:rFonts w:cs="Arial" w:hint="cs"/>
          <w:rtl/>
        </w:rPr>
        <w:t xml:space="preserve">טור- </w:t>
      </w:r>
      <w:r w:rsidRPr="009459A5">
        <w:rPr>
          <w:rFonts w:cs="Arial" w:hint="cs"/>
          <w:b/>
          <w:bCs/>
          <w:rtl/>
        </w:rPr>
        <w:t>'</w:t>
      </w:r>
      <w:r w:rsidRPr="009459A5">
        <w:rPr>
          <w:rFonts w:cs="Arial"/>
          <w:b/>
          <w:bCs/>
          <w:rtl/>
        </w:rPr>
        <w:t>זכרון למעשה בראשית</w:t>
      </w:r>
      <w:r w:rsidRPr="009459A5">
        <w:rPr>
          <w:rFonts w:cs="Arial" w:hint="cs"/>
          <w:b/>
          <w:bCs/>
          <w:rtl/>
        </w:rPr>
        <w:t>'</w:t>
      </w:r>
      <w:r>
        <w:rPr>
          <w:rFonts w:cs="Arial" w:hint="cs"/>
          <w:rtl/>
        </w:rPr>
        <w:t>,</w:t>
      </w:r>
      <w:r w:rsidRPr="003A3CB9">
        <w:rPr>
          <w:rFonts w:cs="Arial"/>
          <w:rtl/>
        </w:rPr>
        <w:t xml:space="preserve"> פירוש שאנו שובתים ביום ששבת בו הקדוש ברוך הוא אחר תכלית מעשה בראשית</w:t>
      </w:r>
      <w:r>
        <w:rPr>
          <w:rFonts w:cs="Arial" w:hint="cs"/>
          <w:rtl/>
        </w:rPr>
        <w:t>.</w:t>
      </w:r>
      <w:r w:rsidRPr="003A3CB9">
        <w:rPr>
          <w:rFonts w:cs="Arial"/>
          <w:rtl/>
        </w:rPr>
        <w:t xml:space="preserve"> </w:t>
      </w:r>
      <w:r w:rsidRPr="009459A5">
        <w:rPr>
          <w:rFonts w:cs="Arial" w:hint="cs"/>
          <w:b/>
          <w:bCs/>
          <w:rtl/>
        </w:rPr>
        <w:t>'</w:t>
      </w:r>
      <w:r w:rsidRPr="009459A5">
        <w:rPr>
          <w:rFonts w:cs="Arial"/>
          <w:b/>
          <w:bCs/>
          <w:rtl/>
        </w:rPr>
        <w:t>תחלה למקראי קודש</w:t>
      </w:r>
      <w:r w:rsidRPr="009459A5">
        <w:rPr>
          <w:rFonts w:cs="Arial" w:hint="cs"/>
          <w:b/>
          <w:bCs/>
          <w:rtl/>
        </w:rPr>
        <w:t>'</w:t>
      </w:r>
      <w:r>
        <w:rPr>
          <w:rFonts w:cs="Arial" w:hint="cs"/>
          <w:rtl/>
        </w:rPr>
        <w:t>,</w:t>
      </w:r>
      <w:r w:rsidRPr="003A3CB9">
        <w:rPr>
          <w:rFonts w:cs="Arial"/>
          <w:rtl/>
        </w:rPr>
        <w:t xml:space="preserve"> שהשבת מוזכר תחלה בפרשת המועדים קודם לכולם</w:t>
      </w:r>
      <w:r>
        <w:rPr>
          <w:rFonts w:cs="Arial" w:hint="cs"/>
          <w:rtl/>
        </w:rPr>
        <w:t>.</w:t>
      </w:r>
      <w:r w:rsidRPr="003A3CB9">
        <w:rPr>
          <w:rFonts w:cs="Arial"/>
          <w:rtl/>
        </w:rPr>
        <w:t xml:space="preserve"> </w:t>
      </w:r>
      <w:r w:rsidRPr="009459A5">
        <w:rPr>
          <w:rFonts w:cs="Arial" w:hint="cs"/>
          <w:b/>
          <w:bCs/>
          <w:rtl/>
        </w:rPr>
        <w:t>'</w:t>
      </w:r>
      <w:r w:rsidRPr="009459A5">
        <w:rPr>
          <w:rFonts w:cs="Arial"/>
          <w:b/>
          <w:bCs/>
          <w:rtl/>
        </w:rPr>
        <w:t>זכר ליציאת מצרים</w:t>
      </w:r>
      <w:r w:rsidRPr="009459A5">
        <w:rPr>
          <w:rFonts w:cs="Arial" w:hint="cs"/>
          <w:b/>
          <w:bCs/>
          <w:rtl/>
        </w:rPr>
        <w:t>'</w:t>
      </w:r>
      <w:r>
        <w:rPr>
          <w:rFonts w:cs="Arial" w:hint="cs"/>
          <w:rtl/>
        </w:rPr>
        <w:t>,</w:t>
      </w:r>
      <w:r w:rsidRPr="003A3CB9">
        <w:rPr>
          <w:rFonts w:cs="Arial"/>
          <w:rtl/>
        </w:rPr>
        <w:t xml:space="preserve"> אפשר לומר שהשבת תחלה למקראי קדש שהם זכר ליציאת מצרים</w:t>
      </w:r>
      <w:r>
        <w:rPr>
          <w:rFonts w:cs="Arial" w:hint="cs"/>
          <w:rtl/>
        </w:rPr>
        <w:t>.</w:t>
      </w:r>
      <w:r w:rsidRPr="003A3CB9">
        <w:rPr>
          <w:rFonts w:cs="Arial"/>
          <w:rtl/>
        </w:rPr>
        <w:t xml:space="preserve"> והרמב"ן כתב שהשבת עצמו זכר ליציאת מצרים</w:t>
      </w:r>
      <w:r>
        <w:rPr>
          <w:rFonts w:cs="Arial" w:hint="cs"/>
          <w:rtl/>
        </w:rPr>
        <w:t>,</w:t>
      </w:r>
      <w:r w:rsidRPr="003A3CB9">
        <w:rPr>
          <w:rFonts w:cs="Arial"/>
          <w:rtl/>
        </w:rPr>
        <w:t xml:space="preserve"> כי בעבור היות יציאת מצרים מורה על אלוה קדמון מחדש חפץ ויכול</w:t>
      </w:r>
      <w:r>
        <w:rPr>
          <w:rFonts w:cs="Arial" w:hint="cs"/>
          <w:rtl/>
        </w:rPr>
        <w:t>,</w:t>
      </w:r>
      <w:r w:rsidRPr="003A3CB9">
        <w:rPr>
          <w:rFonts w:cs="Arial"/>
          <w:rtl/>
        </w:rPr>
        <w:t xml:space="preserve"> על כן כתוב בדברות שניות </w:t>
      </w:r>
      <w:r>
        <w:rPr>
          <w:rFonts w:cs="Arial" w:hint="cs"/>
          <w:rtl/>
        </w:rPr>
        <w:t>'</w:t>
      </w:r>
      <w:r w:rsidRPr="003A3CB9">
        <w:rPr>
          <w:rFonts w:cs="Arial"/>
          <w:rtl/>
        </w:rPr>
        <w:t>וזכרת כי עבד היית בארץ מצרים</w:t>
      </w:r>
      <w:r>
        <w:rPr>
          <w:rFonts w:cs="Arial" w:hint="cs"/>
          <w:rtl/>
        </w:rPr>
        <w:t>...</w:t>
      </w:r>
      <w:r w:rsidRPr="003A3CB9">
        <w:rPr>
          <w:rFonts w:cs="Arial"/>
          <w:rtl/>
        </w:rPr>
        <w:t xml:space="preserve"> ע</w:t>
      </w:r>
      <w:r>
        <w:rPr>
          <w:rFonts w:cs="Arial" w:hint="cs"/>
          <w:rtl/>
        </w:rPr>
        <w:t xml:space="preserve">ל </w:t>
      </w:r>
      <w:r w:rsidRPr="003A3CB9">
        <w:rPr>
          <w:rFonts w:cs="Arial"/>
          <w:rtl/>
        </w:rPr>
        <w:t>כ</w:t>
      </w:r>
      <w:r>
        <w:rPr>
          <w:rFonts w:cs="Arial" w:hint="cs"/>
          <w:rtl/>
        </w:rPr>
        <w:t>ן</w:t>
      </w:r>
      <w:r w:rsidRPr="003A3CB9">
        <w:rPr>
          <w:rFonts w:cs="Arial"/>
          <w:rtl/>
        </w:rPr>
        <w:t xml:space="preserve"> צוך ה' אלהיך לעשות </w:t>
      </w:r>
      <w:r>
        <w:rPr>
          <w:rFonts w:cs="Arial" w:hint="cs"/>
          <w:rtl/>
        </w:rPr>
        <w:t>את יום השבת</w:t>
      </w:r>
      <w:r w:rsidRPr="003A3CB9">
        <w:rPr>
          <w:rFonts w:cs="Arial"/>
          <w:rtl/>
        </w:rPr>
        <w:t>'</w:t>
      </w:r>
      <w:r>
        <w:rPr>
          <w:rFonts w:cs="Arial" w:hint="cs"/>
          <w:rtl/>
        </w:rPr>
        <w:t>,</w:t>
      </w:r>
      <w:r w:rsidRPr="003A3CB9">
        <w:rPr>
          <w:rFonts w:cs="Arial"/>
          <w:rtl/>
        </w:rPr>
        <w:t xml:space="preserve"> שאם יעלה על לבבך ספק על השבת שמורה על החדוש ועל החפץ ועל היכולת</w:t>
      </w:r>
      <w:r>
        <w:rPr>
          <w:rFonts w:cs="Arial" w:hint="cs"/>
          <w:rtl/>
        </w:rPr>
        <w:t xml:space="preserve"> -</w:t>
      </w:r>
      <w:r w:rsidRPr="003A3CB9">
        <w:rPr>
          <w:rFonts w:cs="Arial"/>
          <w:rtl/>
        </w:rPr>
        <w:t xml:space="preserve"> תזכור מה ראו עיניך ביציאת מצרים שהוא לך לראיה ולזכור</w:t>
      </w:r>
      <w:r>
        <w:rPr>
          <w:rFonts w:cs="Arial" w:hint="cs"/>
          <w:rtl/>
        </w:rPr>
        <w:t>,</w:t>
      </w:r>
      <w:r w:rsidRPr="003A3CB9">
        <w:rPr>
          <w:rFonts w:cs="Arial"/>
          <w:rtl/>
        </w:rPr>
        <w:t xml:space="preserve"> והנה השבת זכר ליציאת מצרים</w:t>
      </w:r>
      <w:r>
        <w:rPr>
          <w:rFonts w:cs="Arial" w:hint="cs"/>
          <w:rtl/>
        </w:rPr>
        <w:t>,</w:t>
      </w:r>
      <w:r w:rsidRPr="003A3CB9">
        <w:rPr>
          <w:rFonts w:cs="Arial"/>
          <w:rtl/>
        </w:rPr>
        <w:t xml:space="preserve"> ויציאת מצרים זכר לשבת</w:t>
      </w:r>
      <w:r>
        <w:rPr>
          <w:rFonts w:cs="Arial" w:hint="cs"/>
          <w:rtl/>
        </w:rPr>
        <w:t>,</w:t>
      </w:r>
      <w:r w:rsidRPr="003A3CB9">
        <w:rPr>
          <w:rFonts w:cs="Arial"/>
          <w:rtl/>
        </w:rPr>
        <w:t xml:space="preserve"> כי יזכרנו בו ויאמרו כי השם מחדש בכל זמן אותות ומופתים ועושה הכל ברצונו</w:t>
      </w:r>
      <w:r>
        <w:rPr>
          <w:rFonts w:cs="Arial" w:hint="cs"/>
          <w:rtl/>
        </w:rPr>
        <w:t>,</w:t>
      </w:r>
      <w:r w:rsidRPr="003A3CB9">
        <w:rPr>
          <w:rFonts w:cs="Arial"/>
          <w:rtl/>
        </w:rPr>
        <w:t xml:space="preserve"> כי הוא אשר ברא את הכל במעשה בראשית</w:t>
      </w:r>
      <w:r>
        <w:rPr>
          <w:rFonts w:cs="Arial" w:hint="cs"/>
          <w:rtl/>
        </w:rPr>
        <w:t>.</w:t>
      </w:r>
      <w:r w:rsidRPr="003A3CB9">
        <w:rPr>
          <w:rFonts w:cs="Arial"/>
          <w:rtl/>
        </w:rPr>
        <w:t xml:space="preserve"> </w:t>
      </w:r>
    </w:p>
    <w:p w14:paraId="28B604EA" w14:textId="77777777" w:rsidR="004B2E7C" w:rsidRPr="00130FA8" w:rsidRDefault="004B2E7C" w:rsidP="00434A6A">
      <w:pPr>
        <w:ind w:left="360"/>
        <w:rPr>
          <w:u w:val="dotted"/>
          <w:rtl/>
        </w:rPr>
      </w:pPr>
      <w:r w:rsidRPr="00130FA8">
        <w:rPr>
          <w:rFonts w:hint="cs"/>
          <w:u w:val="dotted"/>
          <w:rtl/>
        </w:rPr>
        <w:t>למה אומרים בקידוש 'אשר רצה בנו', ולא 'אשר בחר בנו':</w:t>
      </w:r>
    </w:p>
    <w:p w14:paraId="69E75D43" w14:textId="77777777" w:rsidR="004B2E7C" w:rsidRPr="0026120B" w:rsidRDefault="004B2E7C" w:rsidP="00FF2D21">
      <w:pPr>
        <w:pStyle w:val="aa"/>
        <w:numPr>
          <w:ilvl w:val="0"/>
          <w:numId w:val="116"/>
        </w:numPr>
        <w:rPr>
          <w:rFonts w:cs="Arial"/>
          <w:rtl/>
        </w:rPr>
      </w:pPr>
      <w:r w:rsidRPr="0026120B">
        <w:rPr>
          <w:rFonts w:cs="Arial" w:hint="cs"/>
          <w:rtl/>
        </w:rPr>
        <w:t xml:space="preserve">אורחות חיים </w:t>
      </w:r>
      <w:r w:rsidRPr="0026120B">
        <w:rPr>
          <w:rFonts w:cs="Arial" w:hint="cs"/>
          <w:sz w:val="16"/>
          <w:szCs w:val="16"/>
          <w:rtl/>
        </w:rPr>
        <w:t xml:space="preserve">(ערב שבת סי' י, כ"כ בשמו הב"י והמטה משה </w:t>
      </w:r>
      <w:r>
        <w:rPr>
          <w:rFonts w:cs="Arial" w:hint="cs"/>
          <w:sz w:val="16"/>
          <w:szCs w:val="16"/>
          <w:rtl/>
        </w:rPr>
        <w:t>[</w:t>
      </w:r>
      <w:r w:rsidRPr="0026120B">
        <w:rPr>
          <w:rFonts w:cs="Arial" w:hint="cs"/>
          <w:sz w:val="16"/>
          <w:szCs w:val="16"/>
          <w:rtl/>
        </w:rPr>
        <w:t>סי' תלז</w:t>
      </w:r>
      <w:r>
        <w:rPr>
          <w:rFonts w:cs="Arial" w:hint="cs"/>
          <w:sz w:val="16"/>
          <w:szCs w:val="16"/>
          <w:rtl/>
        </w:rPr>
        <w:t>]</w:t>
      </w:r>
      <w:r w:rsidRPr="0026120B">
        <w:rPr>
          <w:rFonts w:cs="Arial" w:hint="cs"/>
          <w:sz w:val="16"/>
          <w:szCs w:val="16"/>
          <w:rtl/>
        </w:rPr>
        <w:t>, ולפני ליתא באורחות חיים שם)</w:t>
      </w:r>
      <w:r w:rsidRPr="0026120B">
        <w:rPr>
          <w:rFonts w:cs="Arial" w:hint="cs"/>
          <w:rtl/>
        </w:rPr>
        <w:t xml:space="preserve">- </w:t>
      </w:r>
      <w:r w:rsidRPr="0026120B">
        <w:rPr>
          <w:rFonts w:cs="Arial"/>
          <w:rtl/>
        </w:rPr>
        <w:t>ואין אומרים בקידוש אשר בחר בנו, לפי ששבת ניתן במרה ועדיין לא בחר בנו לגמרי עד אחר נתינת התורה</w:t>
      </w:r>
      <w:r w:rsidRPr="0026120B">
        <w:rPr>
          <w:rFonts w:cs="Arial" w:hint="cs"/>
          <w:sz w:val="16"/>
          <w:szCs w:val="16"/>
          <w:rtl/>
        </w:rPr>
        <w:t xml:space="preserve"> (ל' המטה משה)</w:t>
      </w:r>
      <w:r w:rsidRPr="0026120B">
        <w:rPr>
          <w:rFonts w:cs="Arial" w:hint="cs"/>
          <w:rtl/>
        </w:rPr>
        <w:t>.</w:t>
      </w:r>
      <w:r w:rsidRPr="0026120B">
        <w:rPr>
          <w:rFonts w:cs="Arial"/>
          <w:rtl/>
        </w:rPr>
        <w:t xml:space="preserve"> </w:t>
      </w:r>
    </w:p>
    <w:p w14:paraId="6BF1C33E"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34DC1943" w14:textId="77777777" w:rsidR="004B2E7C" w:rsidRPr="002171E8" w:rsidRDefault="004B2E7C" w:rsidP="00434A6A">
      <w:pPr>
        <w:rPr>
          <w:rFonts w:asciiTheme="minorBidi" w:hAnsiTheme="minorBidi" w:cs="Arial"/>
          <w:rtl/>
        </w:rPr>
      </w:pPr>
      <w:r w:rsidRPr="00CC2350">
        <w:rPr>
          <w:rFonts w:asciiTheme="minorBidi" w:hAnsiTheme="minorBidi" w:cs="Arial"/>
          <w:rtl/>
        </w:rPr>
        <w:t>מקדש על כוס מלא</w:t>
      </w:r>
      <w:r>
        <w:rPr>
          <w:rStyle w:val="a9"/>
          <w:rFonts w:asciiTheme="minorBidi" w:hAnsiTheme="minorBidi" w:cs="Arial"/>
          <w:rtl/>
        </w:rPr>
        <w:footnoteReference w:id="916"/>
      </w:r>
      <w:r w:rsidRPr="00CC2350">
        <w:rPr>
          <w:rFonts w:asciiTheme="minorBidi" w:hAnsiTheme="minorBidi" w:cs="Arial"/>
          <w:rtl/>
        </w:rPr>
        <w:t xml:space="preserve"> יין שלא יהיה פגום, וטעון כל מה שטעון כוס של </w:t>
      </w:r>
      <w:r>
        <w:rPr>
          <w:rFonts w:asciiTheme="minorBidi" w:hAnsiTheme="minorBidi" w:cs="Arial"/>
          <w:rtl/>
        </w:rPr>
        <w:t>ברכת המזון</w:t>
      </w:r>
      <w:r>
        <w:rPr>
          <w:rFonts w:asciiTheme="minorBidi" w:hAnsiTheme="minorBidi" w:cs="Arial" w:hint="cs"/>
          <w:rtl/>
        </w:rPr>
        <w:t>.</w:t>
      </w:r>
      <w:r w:rsidRPr="00CC2350">
        <w:rPr>
          <w:rFonts w:asciiTheme="minorBidi" w:hAnsiTheme="minorBidi" w:cs="Arial"/>
          <w:rtl/>
        </w:rPr>
        <w:t xml:space="preserve"> ואומר ויכלו מעומד</w:t>
      </w:r>
      <w:r>
        <w:rPr>
          <w:rFonts w:asciiTheme="minorBidi" w:hAnsiTheme="minorBidi" w:cs="Arial" w:hint="cs"/>
          <w:rtl/>
        </w:rPr>
        <w:t>.</w:t>
      </w:r>
      <w:r w:rsidRPr="00CC2350">
        <w:rPr>
          <w:rFonts w:asciiTheme="minorBidi" w:hAnsiTheme="minorBidi" w:cs="Arial"/>
          <w:rtl/>
        </w:rPr>
        <w:t xml:space="preserve"> ואח</w:t>
      </w:r>
      <w:r>
        <w:rPr>
          <w:rFonts w:asciiTheme="minorBidi" w:hAnsiTheme="minorBidi" w:cs="Arial" w:hint="cs"/>
          <w:rtl/>
        </w:rPr>
        <w:t>ר כך</w:t>
      </w:r>
      <w:r w:rsidRPr="00CC2350">
        <w:rPr>
          <w:rFonts w:asciiTheme="minorBidi" w:hAnsiTheme="minorBidi" w:cs="Arial"/>
          <w:rtl/>
        </w:rPr>
        <w:t xml:space="preserve"> אומר ב</w:t>
      </w:r>
      <w:r>
        <w:rPr>
          <w:rFonts w:asciiTheme="minorBidi" w:hAnsiTheme="minorBidi" w:cs="Arial" w:hint="cs"/>
          <w:rtl/>
        </w:rPr>
        <w:t>ורא פרי הגפן.</w:t>
      </w:r>
      <w:r w:rsidRPr="00CC2350">
        <w:rPr>
          <w:rFonts w:asciiTheme="minorBidi" w:hAnsiTheme="minorBidi" w:cs="Arial"/>
          <w:rtl/>
        </w:rPr>
        <w:t xml:space="preserve"> ואח</w:t>
      </w:r>
      <w:r>
        <w:rPr>
          <w:rFonts w:asciiTheme="minorBidi" w:hAnsiTheme="minorBidi" w:cs="Arial" w:hint="cs"/>
          <w:rtl/>
        </w:rPr>
        <w:t>ר כך</w:t>
      </w:r>
      <w:r w:rsidRPr="00CC2350">
        <w:rPr>
          <w:rFonts w:asciiTheme="minorBidi" w:hAnsiTheme="minorBidi" w:cs="Arial"/>
          <w:rtl/>
        </w:rPr>
        <w:t xml:space="preserve"> קידוש. </w:t>
      </w:r>
      <w:r w:rsidRPr="0043002C">
        <w:rPr>
          <w:rFonts w:asciiTheme="minorBidi" w:hAnsiTheme="minorBidi" w:cs="Arial"/>
          <w:sz w:val="18"/>
          <w:szCs w:val="18"/>
          <w:rtl/>
        </w:rPr>
        <w:t>הגה: ויכול לעמוד בשעת הקידוש, ויותר טוב לישב</w:t>
      </w:r>
      <w:r>
        <w:rPr>
          <w:rStyle w:val="a9"/>
          <w:rFonts w:asciiTheme="minorBidi" w:hAnsiTheme="minorBidi" w:cs="Arial"/>
          <w:sz w:val="18"/>
          <w:szCs w:val="18"/>
          <w:rtl/>
        </w:rPr>
        <w:footnoteReference w:id="917"/>
      </w:r>
      <w:r w:rsidRPr="0043002C">
        <w:rPr>
          <w:rFonts w:asciiTheme="minorBidi" w:hAnsiTheme="minorBidi" w:cs="Arial"/>
          <w:sz w:val="18"/>
          <w:szCs w:val="18"/>
          <w:rtl/>
        </w:rPr>
        <w:t xml:space="preserve"> (כל בו)</w:t>
      </w:r>
      <w:r>
        <w:rPr>
          <w:rFonts w:asciiTheme="minorBidi" w:hAnsiTheme="minorBidi" w:cs="Arial" w:hint="cs"/>
          <w:sz w:val="18"/>
          <w:szCs w:val="18"/>
          <w:rtl/>
        </w:rPr>
        <w:t>.</w:t>
      </w:r>
      <w:r w:rsidRPr="0043002C">
        <w:rPr>
          <w:rFonts w:asciiTheme="minorBidi" w:hAnsiTheme="minorBidi" w:cs="Arial"/>
          <w:sz w:val="18"/>
          <w:szCs w:val="18"/>
          <w:rtl/>
        </w:rPr>
        <w:t xml:space="preserve"> ונוהגים לישב אף בשעה שאומר ויכלו, רק כשמתחילין עומדין קצת לכבוד השם כי מתחילין יום הששי ויכלו השמים ונרמז השם בר"ת. וכשמתחיל יתן עיניו בנרות (מהרי"ל ושכל טוב), ובשעת הקידוש בכוס של ברכה, וכן נראה לי. ע"ל סימן קפ"ג סעיף ד'.</w:t>
      </w:r>
      <w:r w:rsidRPr="00CC2350">
        <w:rPr>
          <w:rFonts w:asciiTheme="minorBidi" w:hAnsiTheme="minorBidi" w:cs="Arial"/>
          <w:rtl/>
        </w:rPr>
        <w:t xml:space="preserve"> </w:t>
      </w:r>
    </w:p>
    <w:p w14:paraId="7AC1DD01" w14:textId="77777777" w:rsidR="004B2E7C" w:rsidRPr="00CC2350" w:rsidRDefault="004B2E7C" w:rsidP="00434A6A">
      <w:pPr>
        <w:rPr>
          <w:rFonts w:asciiTheme="minorBidi" w:hAnsiTheme="minorBidi"/>
          <w:rtl/>
        </w:rPr>
      </w:pPr>
    </w:p>
    <w:p w14:paraId="7A485C02" w14:textId="77777777" w:rsidR="004B2E7C" w:rsidRDefault="004B2E7C" w:rsidP="00434A6A">
      <w:pPr>
        <w:pStyle w:val="2"/>
        <w:rPr>
          <w:rtl/>
        </w:rPr>
      </w:pPr>
      <w:r w:rsidRPr="00CC2350">
        <w:rPr>
          <w:rtl/>
        </w:rPr>
        <w:t>סעיף יא</w:t>
      </w:r>
      <w:r>
        <w:rPr>
          <w:rFonts w:hint="cs"/>
          <w:rtl/>
        </w:rPr>
        <w:t>: מי שיש לו רק כוס אחת של יין.</w:t>
      </w:r>
    </w:p>
    <w:p w14:paraId="44FEA140" w14:textId="77777777" w:rsidR="004B2E7C" w:rsidRPr="00EC10A2" w:rsidRDefault="004B2E7C" w:rsidP="00434A6A">
      <w:pPr>
        <w:rPr>
          <w:rFonts w:cs="Arial"/>
          <w:rtl/>
        </w:rPr>
      </w:pPr>
      <w:r>
        <w:rPr>
          <w:rFonts w:cs="Arial" w:hint="cs"/>
          <w:b/>
          <w:bCs/>
          <w:rtl/>
        </w:rPr>
        <w:t xml:space="preserve">ירושלמי ברכות פ"ז ה"ה: </w:t>
      </w:r>
      <w:r w:rsidRPr="00AC1308">
        <w:rPr>
          <w:rFonts w:cs="Arial"/>
          <w:rtl/>
        </w:rPr>
        <w:t>אין מברכין על היין עד שיתן לתוכו מים</w:t>
      </w:r>
      <w:r>
        <w:rPr>
          <w:rFonts w:cs="Arial" w:hint="cs"/>
          <w:rtl/>
        </w:rPr>
        <w:t>,</w:t>
      </w:r>
      <w:r w:rsidRPr="00AC1308">
        <w:rPr>
          <w:rFonts w:cs="Arial"/>
          <w:rtl/>
        </w:rPr>
        <w:t xml:space="preserve"> </w:t>
      </w:r>
      <w:r w:rsidRPr="00AC1308">
        <w:rPr>
          <w:rFonts w:cs="Arial"/>
          <w:u w:val="single"/>
          <w:rtl/>
        </w:rPr>
        <w:t>דברי ר' אליעזר</w:t>
      </w:r>
      <w:r>
        <w:rPr>
          <w:rFonts w:cs="Arial" w:hint="cs"/>
          <w:rtl/>
        </w:rPr>
        <w:t>.</w:t>
      </w:r>
      <w:r w:rsidRPr="00AC1308">
        <w:rPr>
          <w:rFonts w:cs="Arial"/>
          <w:rtl/>
        </w:rPr>
        <w:t xml:space="preserve"> </w:t>
      </w:r>
      <w:r w:rsidRPr="00EF3343">
        <w:rPr>
          <w:rFonts w:cs="Arial"/>
          <w:u w:val="single"/>
          <w:rtl/>
        </w:rPr>
        <w:t>וחכמים אומרים</w:t>
      </w:r>
      <w:r>
        <w:rPr>
          <w:rFonts w:cs="Arial" w:hint="cs"/>
          <w:rtl/>
        </w:rPr>
        <w:t>:</w:t>
      </w:r>
      <w:r w:rsidRPr="00AC1308">
        <w:rPr>
          <w:rFonts w:cs="Arial"/>
          <w:rtl/>
        </w:rPr>
        <w:t xml:space="preserve"> מברכין. </w:t>
      </w:r>
      <w:r w:rsidRPr="00EF3343">
        <w:rPr>
          <w:rFonts w:cs="Arial"/>
          <w:u w:val="single"/>
          <w:rtl/>
        </w:rPr>
        <w:t>רבי זריקא בשם ר' יוסי בן חנינא</w:t>
      </w:r>
      <w:r>
        <w:rPr>
          <w:rFonts w:cs="Arial" w:hint="cs"/>
          <w:rtl/>
        </w:rPr>
        <w:t>:</w:t>
      </w:r>
      <w:r w:rsidRPr="00AC1308">
        <w:rPr>
          <w:rFonts w:cs="Arial"/>
          <w:rtl/>
        </w:rPr>
        <w:t xml:space="preserve"> מודים חכמים לר' אליעזר בכוס של ברכה שהוא נותן לתוכו מים כל שהוא. נהיגין רבנן בההן כסא דקידושא. מילתא דר' יוסה פליגא אדר' יונה</w:t>
      </w:r>
      <w:r>
        <w:rPr>
          <w:rFonts w:cs="Arial" w:hint="cs"/>
          <w:rtl/>
        </w:rPr>
        <w:t>,</w:t>
      </w:r>
      <w:r w:rsidRPr="00AC1308">
        <w:rPr>
          <w:rFonts w:cs="Arial"/>
          <w:rtl/>
        </w:rPr>
        <w:t xml:space="preserve"> דר' יונה טעם כסא ומתקן לה</w:t>
      </w:r>
      <w:r>
        <w:rPr>
          <w:rStyle w:val="a9"/>
          <w:rFonts w:cs="Arial"/>
          <w:rtl/>
        </w:rPr>
        <w:footnoteReference w:id="918"/>
      </w:r>
      <w:r w:rsidRPr="00AC1308">
        <w:rPr>
          <w:rFonts w:cs="Arial"/>
          <w:rtl/>
        </w:rPr>
        <w:t xml:space="preserve">. </w:t>
      </w:r>
      <w:r w:rsidRPr="00EF3343">
        <w:rPr>
          <w:rFonts w:cs="Arial"/>
          <w:rtl/>
        </w:rPr>
        <w:t>אין</w:t>
      </w:r>
      <w:r>
        <w:rPr>
          <w:rFonts w:cs="Arial" w:hint="cs"/>
          <w:rtl/>
        </w:rPr>
        <w:t>,</w:t>
      </w:r>
      <w:r w:rsidRPr="00EF3343">
        <w:rPr>
          <w:rFonts w:cs="Arial"/>
          <w:rtl/>
        </w:rPr>
        <w:t xml:space="preserve"> תימר שהוא מזוג. והתני השותה משקין מזוגין שעבר עליהן הלילה דמו בראשו. א"ר יוחנן והן שלנו בכלי מתכות</w:t>
      </w:r>
      <w:r>
        <w:rPr>
          <w:rStyle w:val="a9"/>
          <w:rFonts w:cs="Arial"/>
          <w:rtl/>
        </w:rPr>
        <w:footnoteReference w:id="919"/>
      </w:r>
      <w:r w:rsidRPr="00EF3343">
        <w:rPr>
          <w:rFonts w:cs="Arial"/>
          <w:rtl/>
        </w:rPr>
        <w:t>.</w:t>
      </w:r>
      <w:r>
        <w:rPr>
          <w:rFonts w:cs="Arial" w:hint="cs"/>
          <w:rtl/>
        </w:rPr>
        <w:t xml:space="preserve"> </w:t>
      </w:r>
      <w:r w:rsidRPr="00EC10A2">
        <w:rPr>
          <w:rFonts w:cs="Arial" w:hint="cs"/>
          <w:sz w:val="16"/>
          <w:szCs w:val="16"/>
          <w:rtl/>
        </w:rPr>
        <w:t>(</w:t>
      </w:r>
      <w:r w:rsidRPr="00EC10A2">
        <w:rPr>
          <w:rFonts w:cs="Arial"/>
          <w:sz w:val="16"/>
          <w:szCs w:val="16"/>
          <w:rtl/>
        </w:rPr>
        <w:t>ויש מביאין ראיה מן הירושלמי שיכול להכשיר כוס פגום ע"י נתינת מים לתוכו</w:t>
      </w:r>
      <w:r w:rsidRPr="00EC10A2">
        <w:rPr>
          <w:rFonts w:cs="Arial" w:hint="cs"/>
          <w:sz w:val="16"/>
          <w:szCs w:val="16"/>
          <w:rtl/>
        </w:rPr>
        <w:t>,</w:t>
      </w:r>
      <w:r w:rsidRPr="00EC10A2">
        <w:rPr>
          <w:rFonts w:cs="Arial"/>
          <w:sz w:val="16"/>
          <w:szCs w:val="16"/>
          <w:rtl/>
        </w:rPr>
        <w:t xml:space="preserve"> ועל זה נהגו להכשיר במעט יין ששופכין לתוכו</w:t>
      </w:r>
      <w:r w:rsidRPr="00EC10A2">
        <w:rPr>
          <w:rFonts w:cs="Arial" w:hint="cs"/>
          <w:sz w:val="16"/>
          <w:szCs w:val="16"/>
          <w:rtl/>
        </w:rPr>
        <w:t>...</w:t>
      </w:r>
      <w:r w:rsidRPr="00EC10A2">
        <w:rPr>
          <w:rFonts w:cs="Arial"/>
          <w:sz w:val="16"/>
          <w:szCs w:val="16"/>
          <w:rtl/>
        </w:rPr>
        <w:t xml:space="preserve"> ותימה דא"כ הא דקאמר הכא </w:t>
      </w:r>
      <w:r w:rsidRPr="00EC10A2">
        <w:rPr>
          <w:rFonts w:cs="Arial" w:hint="cs"/>
          <w:sz w:val="16"/>
          <w:szCs w:val="16"/>
          <w:rtl/>
        </w:rPr>
        <w:t xml:space="preserve">(פסחים קה:) </w:t>
      </w:r>
      <w:r w:rsidRPr="00EC10A2">
        <w:rPr>
          <w:rFonts w:cs="Arial"/>
          <w:sz w:val="16"/>
          <w:szCs w:val="16"/>
          <w:rtl/>
        </w:rPr>
        <w:t>ואם אין לו אלא כוס אחד משלשלן לאחר המזון</w:t>
      </w:r>
      <w:r w:rsidRPr="00EC10A2">
        <w:rPr>
          <w:rFonts w:cs="Arial" w:hint="cs"/>
          <w:sz w:val="16"/>
          <w:szCs w:val="16"/>
          <w:rtl/>
        </w:rPr>
        <w:t>,</w:t>
      </w:r>
      <w:r w:rsidRPr="00EC10A2">
        <w:rPr>
          <w:rFonts w:cs="Arial"/>
          <w:sz w:val="16"/>
          <w:szCs w:val="16"/>
          <w:rtl/>
        </w:rPr>
        <w:t xml:space="preserve"> למה לא יבדיל על הכוס ויתקננו במים ויכשירנו לברכת המזון</w:t>
      </w:r>
      <w:r w:rsidRPr="00EC10A2">
        <w:rPr>
          <w:rFonts w:cs="Arial" w:hint="cs"/>
          <w:sz w:val="16"/>
          <w:szCs w:val="16"/>
          <w:rtl/>
        </w:rPr>
        <w:t>?</w:t>
      </w:r>
      <w:r w:rsidRPr="00EC10A2">
        <w:rPr>
          <w:rFonts w:cs="Arial"/>
          <w:sz w:val="16"/>
          <w:szCs w:val="16"/>
          <w:rtl/>
        </w:rPr>
        <w:t xml:space="preserve"> וי"ל דמיירי שכבר היה מזוג כדינו</w:t>
      </w:r>
      <w:r w:rsidRPr="00EC10A2">
        <w:rPr>
          <w:rFonts w:cs="Arial" w:hint="cs"/>
          <w:sz w:val="16"/>
          <w:szCs w:val="16"/>
          <w:rtl/>
        </w:rPr>
        <w:t>,</w:t>
      </w:r>
      <w:r w:rsidRPr="00EC10A2">
        <w:rPr>
          <w:rFonts w:cs="Arial"/>
          <w:sz w:val="16"/>
          <w:szCs w:val="16"/>
          <w:rtl/>
        </w:rPr>
        <w:t xml:space="preserve"> ואם היה משים בו מים יותר לא היה ראוי לשתיה</w:t>
      </w:r>
      <w:r w:rsidRPr="00EC10A2">
        <w:rPr>
          <w:rFonts w:cs="Arial" w:hint="cs"/>
          <w:sz w:val="16"/>
          <w:szCs w:val="16"/>
          <w:rtl/>
        </w:rPr>
        <w:t>.</w:t>
      </w:r>
      <w:r w:rsidRPr="00EC10A2">
        <w:rPr>
          <w:rFonts w:cs="Arial"/>
          <w:sz w:val="16"/>
          <w:szCs w:val="16"/>
          <w:rtl/>
        </w:rPr>
        <w:t xml:space="preserve"> וההיא דירושלמי</w:t>
      </w:r>
      <w:r>
        <w:rPr>
          <w:rStyle w:val="a9"/>
          <w:rFonts w:cs="Arial"/>
          <w:sz w:val="16"/>
          <w:szCs w:val="16"/>
          <w:rtl/>
        </w:rPr>
        <w:footnoteReference w:id="920"/>
      </w:r>
      <w:r>
        <w:rPr>
          <w:rFonts w:cs="Arial" w:hint="cs"/>
          <w:sz w:val="16"/>
          <w:szCs w:val="16"/>
          <w:rtl/>
        </w:rPr>
        <w:t xml:space="preserve"> </w:t>
      </w:r>
      <w:r w:rsidRPr="00EC10A2">
        <w:rPr>
          <w:rFonts w:cs="Arial"/>
          <w:sz w:val="16"/>
          <w:szCs w:val="16"/>
          <w:rtl/>
        </w:rPr>
        <w:t>יש לדחות שהיה טועם כוס של קידוש בכלי אחר ומוזגו למחר להשלימו לכשיעור</w:t>
      </w:r>
      <w:r>
        <w:rPr>
          <w:rFonts w:hint="cs"/>
          <w:sz w:val="16"/>
          <w:szCs w:val="16"/>
          <w:rtl/>
        </w:rPr>
        <w:t>, רא"ש (ברכות פ"ח סי' ב). ופסק הטור כדחיית הרא"ש)</w:t>
      </w:r>
    </w:p>
    <w:p w14:paraId="777CFD12" w14:textId="77777777" w:rsidR="004B2E7C" w:rsidRPr="00900A2A" w:rsidRDefault="004B2E7C" w:rsidP="00434A6A">
      <w:pPr>
        <w:rPr>
          <w:u w:val="single"/>
          <w:rtl/>
        </w:rPr>
      </w:pPr>
      <w:r w:rsidRPr="00900A2A">
        <w:rPr>
          <w:rFonts w:cs="Arial"/>
          <w:u w:val="single"/>
          <w:rtl/>
        </w:rPr>
        <w:t>מי ש</w:t>
      </w:r>
      <w:r>
        <w:rPr>
          <w:rFonts w:cs="Arial" w:hint="cs"/>
          <w:u w:val="single"/>
          <w:rtl/>
        </w:rPr>
        <w:t>יש לו רק</w:t>
      </w:r>
      <w:r w:rsidRPr="00900A2A">
        <w:rPr>
          <w:rFonts w:cs="Arial"/>
          <w:u w:val="single"/>
          <w:rtl/>
        </w:rPr>
        <w:t xml:space="preserve"> כוס</w:t>
      </w:r>
      <w:r w:rsidRPr="00900A2A">
        <w:rPr>
          <w:rFonts w:cs="Arial" w:hint="cs"/>
          <w:u w:val="single"/>
          <w:rtl/>
        </w:rPr>
        <w:t xml:space="preserve"> אחת של יין:</w:t>
      </w:r>
      <w:r w:rsidRPr="00900A2A">
        <w:rPr>
          <w:rFonts w:cs="Arial"/>
          <w:u w:val="single"/>
          <w:rtl/>
        </w:rPr>
        <w:t xml:space="preserve"> </w:t>
      </w:r>
    </w:p>
    <w:p w14:paraId="1105A02A" w14:textId="77777777" w:rsidR="004B2E7C" w:rsidRDefault="004B2E7C" w:rsidP="00FF2D21">
      <w:pPr>
        <w:pStyle w:val="aa"/>
        <w:numPr>
          <w:ilvl w:val="0"/>
          <w:numId w:val="116"/>
        </w:numPr>
        <w:rPr>
          <w:rFonts w:cs="Arial"/>
        </w:rPr>
      </w:pPr>
      <w:r w:rsidRPr="00900A2A">
        <w:rPr>
          <w:rFonts w:cs="Arial" w:hint="cs"/>
          <w:rtl/>
        </w:rPr>
        <w:t xml:space="preserve">רי"ו </w:t>
      </w:r>
      <w:r w:rsidRPr="00900A2A">
        <w:rPr>
          <w:rFonts w:cs="Arial" w:hint="cs"/>
          <w:sz w:val="16"/>
          <w:szCs w:val="16"/>
          <w:rtl/>
        </w:rPr>
        <w:t>(</w:t>
      </w:r>
      <w:r w:rsidRPr="00900A2A">
        <w:rPr>
          <w:rFonts w:cs="Arial"/>
          <w:sz w:val="16"/>
          <w:szCs w:val="16"/>
          <w:rtl/>
        </w:rPr>
        <w:t>ח"א ני"ב סו ע"ג)</w:t>
      </w:r>
      <w:r w:rsidRPr="00900A2A">
        <w:rPr>
          <w:rFonts w:cs="Arial" w:hint="cs"/>
          <w:rtl/>
        </w:rPr>
        <w:t>-</w:t>
      </w:r>
      <w:r w:rsidRPr="00900A2A">
        <w:rPr>
          <w:rFonts w:cs="Arial"/>
          <w:rtl/>
        </w:rPr>
        <w:t xml:space="preserve"> מי שאין לו אלא כוס אחד</w:t>
      </w:r>
      <w:r>
        <w:rPr>
          <w:rFonts w:cs="Arial" w:hint="cs"/>
          <w:rtl/>
        </w:rPr>
        <w:t>,</w:t>
      </w:r>
      <w:r w:rsidRPr="00900A2A">
        <w:rPr>
          <w:rFonts w:cs="Arial"/>
          <w:rtl/>
        </w:rPr>
        <w:t xml:space="preserve"> מקדש בו בלילה</w:t>
      </w:r>
      <w:r>
        <w:rPr>
          <w:rFonts w:cs="Arial" w:hint="cs"/>
          <w:rtl/>
        </w:rPr>
        <w:t>,</w:t>
      </w:r>
      <w:r w:rsidRPr="00900A2A">
        <w:rPr>
          <w:rFonts w:cs="Arial"/>
          <w:rtl/>
        </w:rPr>
        <w:t xml:space="preserve"> ושופך ממנו לכלי אחר כדי לטעום מיין של קידוש</w:t>
      </w:r>
      <w:r>
        <w:rPr>
          <w:rFonts w:cs="Arial" w:hint="cs"/>
          <w:rtl/>
        </w:rPr>
        <w:t>,</w:t>
      </w:r>
      <w:r w:rsidRPr="00900A2A">
        <w:rPr>
          <w:rFonts w:cs="Arial"/>
          <w:rtl/>
        </w:rPr>
        <w:t xml:space="preserve"> ואינו שותה בכוס עצמו שלא יפגמנו</w:t>
      </w:r>
      <w:r>
        <w:rPr>
          <w:rFonts w:cs="Arial" w:hint="cs"/>
          <w:rtl/>
        </w:rPr>
        <w:t>.</w:t>
      </w:r>
      <w:r w:rsidRPr="00900A2A">
        <w:rPr>
          <w:rFonts w:cs="Arial"/>
          <w:rtl/>
        </w:rPr>
        <w:t xml:space="preserve"> ולמחר מקדש במה שנשאר בכוס</w:t>
      </w:r>
      <w:r>
        <w:rPr>
          <w:rFonts w:cs="Arial" w:hint="cs"/>
          <w:rtl/>
        </w:rPr>
        <w:t>.</w:t>
      </w:r>
      <w:r w:rsidRPr="00900A2A">
        <w:rPr>
          <w:rFonts w:cs="Arial"/>
          <w:rtl/>
        </w:rPr>
        <w:t xml:space="preserve"> ואם אין בו אלא רביעית בצמצום ונחסר ממנו בלילה </w:t>
      </w:r>
      <w:r>
        <w:rPr>
          <w:rFonts w:cs="Arial" w:hint="cs"/>
          <w:rtl/>
        </w:rPr>
        <w:t xml:space="preserve">- </w:t>
      </w:r>
      <w:r w:rsidRPr="00900A2A">
        <w:rPr>
          <w:rFonts w:cs="Arial"/>
          <w:rtl/>
        </w:rPr>
        <w:t xml:space="preserve">מוזגו למחר להשלימו לרביעית. </w:t>
      </w:r>
      <w:r w:rsidRPr="00E75E97">
        <w:rPr>
          <w:rFonts w:hint="cs"/>
          <w:color w:val="E36C0A" w:themeColor="accent6" w:themeShade="BF"/>
          <w:rtl/>
        </w:rPr>
        <w:t>(וכ"פ בשו"ע)</w:t>
      </w:r>
    </w:p>
    <w:p w14:paraId="1FDE3238" w14:textId="77777777" w:rsidR="004B2E7C" w:rsidRPr="00900A2A" w:rsidRDefault="004B2E7C" w:rsidP="00434A6A">
      <w:pPr>
        <w:ind w:left="360"/>
        <w:rPr>
          <w:rFonts w:cs="Arial"/>
          <w:u w:val="dotted"/>
        </w:rPr>
      </w:pPr>
      <w:r w:rsidRPr="00900A2A">
        <w:rPr>
          <w:rFonts w:cs="Arial" w:hint="cs"/>
          <w:u w:val="dotted"/>
          <w:rtl/>
        </w:rPr>
        <w:t>ומה הדין אם גם להבדלה לא יהיה לו להשיג יין:</w:t>
      </w:r>
    </w:p>
    <w:p w14:paraId="2A394258" w14:textId="77777777" w:rsidR="004B2E7C" w:rsidRDefault="004B2E7C" w:rsidP="00FF2D21">
      <w:pPr>
        <w:pStyle w:val="aa"/>
        <w:numPr>
          <w:ilvl w:val="0"/>
          <w:numId w:val="116"/>
        </w:numPr>
        <w:rPr>
          <w:rFonts w:cs="Arial"/>
        </w:rPr>
      </w:pPr>
      <w:r>
        <w:rPr>
          <w:rFonts w:cs="Arial" w:hint="cs"/>
          <w:rtl/>
        </w:rPr>
        <w:t>ב"י- ו</w:t>
      </w:r>
      <w:r w:rsidRPr="00900A2A">
        <w:rPr>
          <w:rFonts w:cs="Arial"/>
          <w:rtl/>
        </w:rPr>
        <w:t>מיהו היינו דוקא בשיש לו כוס אחר להבדלה</w:t>
      </w:r>
      <w:r>
        <w:rPr>
          <w:rFonts w:cs="Arial" w:hint="cs"/>
          <w:rtl/>
        </w:rPr>
        <w:t>,</w:t>
      </w:r>
      <w:r w:rsidRPr="00900A2A">
        <w:rPr>
          <w:rFonts w:cs="Arial"/>
          <w:rtl/>
        </w:rPr>
        <w:t xml:space="preserve"> שאם לא כן </w:t>
      </w:r>
      <w:r>
        <w:rPr>
          <w:rFonts w:cs="Arial" w:hint="cs"/>
          <w:rtl/>
        </w:rPr>
        <w:t xml:space="preserve">- </w:t>
      </w:r>
      <w:r w:rsidRPr="00900A2A">
        <w:rPr>
          <w:rFonts w:cs="Arial"/>
          <w:rtl/>
        </w:rPr>
        <w:t>מוטב שיניחנו להבדלה</w:t>
      </w:r>
      <w:r>
        <w:rPr>
          <w:rFonts w:cs="Arial" w:hint="cs"/>
          <w:rtl/>
        </w:rPr>
        <w:t>,</w:t>
      </w:r>
      <w:r w:rsidRPr="00900A2A">
        <w:rPr>
          <w:rFonts w:cs="Arial"/>
          <w:rtl/>
        </w:rPr>
        <w:t xml:space="preserve"> שאי אפשר בפת</w:t>
      </w:r>
      <w:r>
        <w:rPr>
          <w:rFonts w:cs="Arial" w:hint="cs"/>
          <w:rtl/>
        </w:rPr>
        <w:t>,</w:t>
      </w:r>
      <w:r w:rsidRPr="00900A2A">
        <w:rPr>
          <w:rFonts w:cs="Arial"/>
          <w:rtl/>
        </w:rPr>
        <w:t xml:space="preserve"> משיקדש עליו ולא יהיה לו יין להבדלה</w:t>
      </w:r>
      <w:r>
        <w:rPr>
          <w:rFonts w:cs="Arial" w:hint="cs"/>
          <w:rtl/>
        </w:rPr>
        <w:t>,</w:t>
      </w:r>
      <w:r w:rsidRPr="00900A2A">
        <w:rPr>
          <w:rFonts w:cs="Arial"/>
          <w:rtl/>
        </w:rPr>
        <w:t xml:space="preserve"> וכמו שכתב רבינו בסוף סימן רצ"ו. </w:t>
      </w:r>
      <w:r w:rsidRPr="00E75E97">
        <w:rPr>
          <w:rFonts w:hint="cs"/>
          <w:color w:val="E36C0A" w:themeColor="accent6" w:themeShade="BF"/>
          <w:rtl/>
        </w:rPr>
        <w:t>(וכ"פ בשו"ע)</w:t>
      </w:r>
    </w:p>
    <w:p w14:paraId="71B3060E" w14:textId="77777777" w:rsidR="004B2E7C" w:rsidRPr="00AC1308" w:rsidRDefault="004B2E7C" w:rsidP="00434A6A">
      <w:pPr>
        <w:rPr>
          <w:rFonts w:cs="Arial"/>
          <w:u w:val="single"/>
        </w:rPr>
      </w:pPr>
      <w:r>
        <w:rPr>
          <w:rFonts w:cs="Arial" w:hint="cs"/>
          <w:u w:val="single"/>
          <w:rtl/>
        </w:rPr>
        <w:t>מי ש</w:t>
      </w:r>
      <w:r w:rsidRPr="00AC1308">
        <w:rPr>
          <w:rFonts w:cs="Arial"/>
          <w:u w:val="single"/>
          <w:rtl/>
        </w:rPr>
        <w:t>יש לו יין לב' כוסות מצומצמים אחר מזיגה</w:t>
      </w:r>
      <w:r w:rsidRPr="00AC1308">
        <w:rPr>
          <w:rFonts w:cs="Arial" w:hint="cs"/>
          <w:u w:val="single"/>
          <w:rtl/>
        </w:rPr>
        <w:t>:</w:t>
      </w:r>
    </w:p>
    <w:p w14:paraId="7BFC29FD" w14:textId="77777777" w:rsidR="004B2E7C" w:rsidRPr="00900A2A" w:rsidRDefault="004B2E7C" w:rsidP="00FF2D21">
      <w:pPr>
        <w:pStyle w:val="aa"/>
        <w:numPr>
          <w:ilvl w:val="0"/>
          <w:numId w:val="116"/>
        </w:numPr>
        <w:rPr>
          <w:rFonts w:cs="Arial"/>
          <w:rtl/>
        </w:rPr>
      </w:pPr>
      <w:r>
        <w:rPr>
          <w:rFonts w:cs="Arial" w:hint="cs"/>
          <w:rtl/>
        </w:rPr>
        <w:t xml:space="preserve">ב"י- </w:t>
      </w:r>
      <w:r w:rsidRPr="00900A2A">
        <w:rPr>
          <w:rFonts w:cs="Arial"/>
          <w:rtl/>
        </w:rPr>
        <w:t>אם יש לו יין לב' כוסות מצומצמים אחר מזיגה</w:t>
      </w:r>
      <w:r>
        <w:rPr>
          <w:rFonts w:cs="Arial" w:hint="cs"/>
          <w:rtl/>
        </w:rPr>
        <w:t>,</w:t>
      </w:r>
      <w:r w:rsidRPr="00900A2A">
        <w:rPr>
          <w:rFonts w:cs="Arial"/>
          <w:rtl/>
        </w:rPr>
        <w:t xml:space="preserve"> יקדש בלילה</w:t>
      </w:r>
      <w:r>
        <w:rPr>
          <w:rFonts w:cs="Arial" w:hint="cs"/>
          <w:rtl/>
        </w:rPr>
        <w:t>,</w:t>
      </w:r>
      <w:r w:rsidRPr="00900A2A">
        <w:rPr>
          <w:rFonts w:cs="Arial"/>
          <w:rtl/>
        </w:rPr>
        <w:t xml:space="preserve"> ויבדיל עליהם</w:t>
      </w:r>
      <w:r>
        <w:rPr>
          <w:rFonts w:cs="Arial" w:hint="cs"/>
          <w:rtl/>
        </w:rPr>
        <w:t>.</w:t>
      </w:r>
      <w:r w:rsidRPr="00900A2A">
        <w:rPr>
          <w:rFonts w:cs="Arial"/>
          <w:rtl/>
        </w:rPr>
        <w:t xml:space="preserve"> וביום לא יקדש</w:t>
      </w:r>
      <w:r>
        <w:rPr>
          <w:rFonts w:cs="Arial" w:hint="cs"/>
          <w:rtl/>
        </w:rPr>
        <w:t>,</w:t>
      </w:r>
      <w:r w:rsidRPr="00900A2A">
        <w:rPr>
          <w:rFonts w:cs="Arial"/>
          <w:rtl/>
        </w:rPr>
        <w:t xml:space="preserve"> דקידוש דלילה עדיף</w:t>
      </w:r>
      <w:r>
        <w:rPr>
          <w:rFonts w:cs="Arial" w:hint="cs"/>
          <w:rtl/>
        </w:rPr>
        <w:t>,</w:t>
      </w:r>
      <w:r w:rsidRPr="00900A2A">
        <w:rPr>
          <w:rFonts w:cs="Arial"/>
          <w:rtl/>
        </w:rPr>
        <w:t xml:space="preserve"> וכמו שנתבאר בתחלת סימן זה (ד"ה ואם אין ידו משגת)</w:t>
      </w:r>
      <w:r>
        <w:rPr>
          <w:rFonts w:cs="Arial" w:hint="cs"/>
          <w:rtl/>
        </w:rPr>
        <w:t>.</w:t>
      </w:r>
      <w:r w:rsidRPr="00035A24">
        <w:rPr>
          <w:rFonts w:hint="cs"/>
          <w:color w:val="E36C0A" w:themeColor="accent6" w:themeShade="BF"/>
          <w:rtl/>
        </w:rPr>
        <w:t xml:space="preserve"> </w:t>
      </w:r>
      <w:r w:rsidRPr="00E75E97">
        <w:rPr>
          <w:rFonts w:hint="cs"/>
          <w:color w:val="E36C0A" w:themeColor="accent6" w:themeShade="BF"/>
          <w:rtl/>
        </w:rPr>
        <w:t>(וכ"פ בשו"ע)</w:t>
      </w:r>
    </w:p>
    <w:p w14:paraId="13E3C620"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4346CCE" w14:textId="77777777" w:rsidR="004B2E7C" w:rsidRPr="00900A2A" w:rsidRDefault="004B2E7C" w:rsidP="00434A6A">
      <w:pPr>
        <w:rPr>
          <w:rFonts w:asciiTheme="minorBidi" w:hAnsiTheme="minorBidi" w:cs="Arial"/>
          <w:rtl/>
        </w:rPr>
      </w:pPr>
      <w:r w:rsidRPr="00CC2350">
        <w:rPr>
          <w:rFonts w:asciiTheme="minorBidi" w:hAnsiTheme="minorBidi" w:cs="Arial"/>
          <w:rtl/>
        </w:rPr>
        <w:t>אם אין לו אלא כוס אחד, מקדש בו בלילה ואינו טועם ממנו שלא יפגמנו, אלא שופך ממנו</w:t>
      </w:r>
      <w:r>
        <w:rPr>
          <w:rStyle w:val="a9"/>
          <w:rFonts w:asciiTheme="minorBidi" w:hAnsiTheme="minorBidi" w:cs="Arial"/>
          <w:rtl/>
        </w:rPr>
        <w:footnoteReference w:id="921"/>
      </w:r>
      <w:r w:rsidRPr="00CC2350">
        <w:rPr>
          <w:rFonts w:asciiTheme="minorBidi" w:hAnsiTheme="minorBidi" w:cs="Arial"/>
          <w:rtl/>
        </w:rPr>
        <w:t xml:space="preserve"> לכוס אחר וטועם יין של קידוש מהכוס השני</w:t>
      </w:r>
      <w:r>
        <w:rPr>
          <w:rStyle w:val="a9"/>
          <w:rFonts w:asciiTheme="minorBidi" w:hAnsiTheme="minorBidi" w:cs="Arial"/>
          <w:rtl/>
        </w:rPr>
        <w:footnoteReference w:id="922"/>
      </w:r>
      <w:r w:rsidRPr="00CC2350">
        <w:rPr>
          <w:rFonts w:asciiTheme="minorBidi" w:hAnsiTheme="minorBidi" w:cs="Arial"/>
          <w:rtl/>
        </w:rPr>
        <w:t>, ולמחר מקדש במה שנשאר</w:t>
      </w:r>
      <w:r>
        <w:rPr>
          <w:rStyle w:val="a9"/>
          <w:rFonts w:asciiTheme="minorBidi" w:hAnsiTheme="minorBidi" w:cs="Arial"/>
          <w:rtl/>
        </w:rPr>
        <w:footnoteReference w:id="923"/>
      </w:r>
      <w:r w:rsidRPr="00CC2350">
        <w:rPr>
          <w:rFonts w:asciiTheme="minorBidi" w:hAnsiTheme="minorBidi" w:cs="Arial"/>
          <w:rtl/>
        </w:rPr>
        <w:t xml:space="preserve"> בכוס ראשון</w:t>
      </w:r>
      <w:r>
        <w:rPr>
          <w:rFonts w:asciiTheme="minorBidi" w:hAnsiTheme="minorBidi" w:cs="Arial" w:hint="cs"/>
          <w:rtl/>
        </w:rPr>
        <w:t>.</w:t>
      </w:r>
      <w:r w:rsidRPr="00CC2350">
        <w:rPr>
          <w:rFonts w:asciiTheme="minorBidi" w:hAnsiTheme="minorBidi" w:cs="Arial"/>
          <w:rtl/>
        </w:rPr>
        <w:t xml:space="preserve"> ואם לא היה בו אלא רביעית בצמצום</w:t>
      </w:r>
      <w:r>
        <w:rPr>
          <w:rStyle w:val="a9"/>
          <w:rFonts w:asciiTheme="minorBidi" w:hAnsiTheme="minorBidi" w:cs="Arial"/>
          <w:rtl/>
        </w:rPr>
        <w:footnoteReference w:id="924"/>
      </w:r>
      <w:r w:rsidRPr="00CC2350">
        <w:rPr>
          <w:rFonts w:asciiTheme="minorBidi" w:hAnsiTheme="minorBidi" w:cs="Arial"/>
          <w:rtl/>
        </w:rPr>
        <w:t xml:space="preserve"> ונחסר ממנו בלילה, מוזגו למחר להשלימו לרביעית. והיינו דוקא כשיש לו כוס אחר להבדלה, שא</w:t>
      </w:r>
      <w:r>
        <w:rPr>
          <w:rFonts w:asciiTheme="minorBidi" w:hAnsiTheme="minorBidi" w:cs="Arial" w:hint="cs"/>
          <w:rtl/>
        </w:rPr>
        <w:t xml:space="preserve">ם </w:t>
      </w:r>
      <w:r w:rsidRPr="00CC2350">
        <w:rPr>
          <w:rFonts w:asciiTheme="minorBidi" w:hAnsiTheme="minorBidi" w:cs="Arial"/>
          <w:rtl/>
        </w:rPr>
        <w:t>ל</w:t>
      </w:r>
      <w:r>
        <w:rPr>
          <w:rFonts w:asciiTheme="minorBidi" w:hAnsiTheme="minorBidi" w:cs="Arial" w:hint="cs"/>
          <w:rtl/>
        </w:rPr>
        <w:t xml:space="preserve">א </w:t>
      </w:r>
      <w:r w:rsidRPr="00CC2350">
        <w:rPr>
          <w:rFonts w:asciiTheme="minorBidi" w:hAnsiTheme="minorBidi" w:cs="Arial"/>
          <w:rtl/>
        </w:rPr>
        <w:t>כ</w:t>
      </w:r>
      <w:r>
        <w:rPr>
          <w:rFonts w:asciiTheme="minorBidi" w:hAnsiTheme="minorBidi" w:cs="Arial" w:hint="cs"/>
          <w:rtl/>
        </w:rPr>
        <w:t>ן,</w:t>
      </w:r>
      <w:r w:rsidRPr="00CC2350">
        <w:rPr>
          <w:rFonts w:asciiTheme="minorBidi" w:hAnsiTheme="minorBidi" w:cs="Arial"/>
          <w:rtl/>
        </w:rPr>
        <w:t xml:space="preserve"> מוטב שיניחנה להבדלה</w:t>
      </w:r>
      <w:r>
        <w:rPr>
          <w:rStyle w:val="a9"/>
          <w:rFonts w:asciiTheme="minorBidi" w:hAnsiTheme="minorBidi" w:cs="Arial"/>
          <w:rtl/>
        </w:rPr>
        <w:footnoteReference w:id="925"/>
      </w:r>
      <w:r w:rsidRPr="00CC2350">
        <w:rPr>
          <w:rFonts w:asciiTheme="minorBidi" w:hAnsiTheme="minorBidi" w:cs="Arial"/>
          <w:rtl/>
        </w:rPr>
        <w:t>, שא</w:t>
      </w:r>
      <w:r>
        <w:rPr>
          <w:rFonts w:asciiTheme="minorBidi" w:hAnsiTheme="minorBidi" w:cs="Arial" w:hint="cs"/>
          <w:rtl/>
        </w:rPr>
        <w:t xml:space="preserve">י </w:t>
      </w:r>
      <w:r w:rsidRPr="00CC2350">
        <w:rPr>
          <w:rFonts w:asciiTheme="minorBidi" w:hAnsiTheme="minorBidi" w:cs="Arial"/>
          <w:rtl/>
        </w:rPr>
        <w:t>א</w:t>
      </w:r>
      <w:r>
        <w:rPr>
          <w:rFonts w:asciiTheme="minorBidi" w:hAnsiTheme="minorBidi" w:cs="Arial" w:hint="cs"/>
          <w:rtl/>
        </w:rPr>
        <w:t xml:space="preserve">פשר </w:t>
      </w:r>
      <w:r w:rsidRPr="00CC2350">
        <w:rPr>
          <w:rFonts w:asciiTheme="minorBidi" w:hAnsiTheme="minorBidi" w:cs="Arial"/>
          <w:rtl/>
        </w:rPr>
        <w:t>בפת, משיקדש עליו ולא יהא לו יין להבדלה</w:t>
      </w:r>
      <w:r>
        <w:rPr>
          <w:rFonts w:asciiTheme="minorBidi" w:hAnsiTheme="minorBidi" w:cs="Arial" w:hint="cs"/>
          <w:rtl/>
        </w:rPr>
        <w:t>.</w:t>
      </w:r>
      <w:r w:rsidRPr="00CC2350">
        <w:rPr>
          <w:rFonts w:asciiTheme="minorBidi" w:hAnsiTheme="minorBidi" w:cs="Arial"/>
          <w:rtl/>
        </w:rPr>
        <w:t xml:space="preserve"> ואם יש לו שני כוסות מצומצמים אחר מזיגה, יקדש בלילה באחד ויבדיל על השני</w:t>
      </w:r>
      <w:r>
        <w:rPr>
          <w:rFonts w:asciiTheme="minorBidi" w:hAnsiTheme="minorBidi" w:cs="Arial" w:hint="cs"/>
          <w:rtl/>
        </w:rPr>
        <w:t>.</w:t>
      </w:r>
      <w:r w:rsidRPr="00CC2350">
        <w:rPr>
          <w:rFonts w:asciiTheme="minorBidi" w:hAnsiTheme="minorBidi" w:cs="Arial"/>
          <w:rtl/>
        </w:rPr>
        <w:t xml:space="preserve"> ולא יקדש ביום, דקידוש דלילה עדיף. </w:t>
      </w:r>
    </w:p>
    <w:p w14:paraId="0A3ED0A3" w14:textId="77777777" w:rsidR="004B2E7C" w:rsidRPr="00CC2350" w:rsidRDefault="004B2E7C" w:rsidP="00434A6A">
      <w:pPr>
        <w:rPr>
          <w:rFonts w:asciiTheme="minorBidi" w:hAnsiTheme="minorBidi"/>
          <w:rtl/>
        </w:rPr>
      </w:pPr>
    </w:p>
    <w:p w14:paraId="26D6C0BA" w14:textId="77777777" w:rsidR="004B2E7C" w:rsidRDefault="004B2E7C" w:rsidP="00434A6A">
      <w:pPr>
        <w:pStyle w:val="2"/>
        <w:rPr>
          <w:rtl/>
        </w:rPr>
      </w:pPr>
      <w:r w:rsidRPr="00CC2350">
        <w:rPr>
          <w:rtl/>
        </w:rPr>
        <w:t>סעיף יב</w:t>
      </w:r>
      <w:r>
        <w:rPr>
          <w:rFonts w:hint="cs"/>
          <w:rtl/>
        </w:rPr>
        <w:t>: נטילת ידים קודם הקידוש בליל שבת.</w:t>
      </w:r>
    </w:p>
    <w:p w14:paraId="17AC6C4D" w14:textId="77777777" w:rsidR="004B2E7C" w:rsidRDefault="004B2E7C" w:rsidP="00434A6A">
      <w:pPr>
        <w:rPr>
          <w:rtl/>
        </w:rPr>
      </w:pPr>
      <w:r w:rsidRPr="00810E30">
        <w:rPr>
          <w:rFonts w:cs="Arial" w:hint="cs"/>
          <w:b/>
          <w:bCs/>
          <w:rtl/>
        </w:rPr>
        <w:t xml:space="preserve">פסחים </w:t>
      </w:r>
      <w:r w:rsidRPr="00810E30">
        <w:rPr>
          <w:rFonts w:cs="Arial" w:hint="cs"/>
          <w:b/>
          <w:bCs/>
          <w:sz w:val="16"/>
          <w:szCs w:val="16"/>
          <w:rtl/>
        </w:rPr>
        <w:t xml:space="preserve">(פ' ערבי פסחים) </w:t>
      </w:r>
      <w:r w:rsidRPr="00810E30">
        <w:rPr>
          <w:rFonts w:cs="Arial" w:hint="cs"/>
          <w:b/>
          <w:bCs/>
          <w:rtl/>
        </w:rPr>
        <w:t>קו סוע"א:</w:t>
      </w:r>
      <w:r w:rsidRPr="00810E30">
        <w:rPr>
          <w:rFonts w:cs="Arial" w:hint="cs"/>
          <w:rtl/>
        </w:rPr>
        <w:t xml:space="preserve"> </w:t>
      </w:r>
      <w:r w:rsidRPr="00810E30">
        <w:rPr>
          <w:rFonts w:cs="Arial"/>
          <w:u w:val="single"/>
          <w:rtl/>
        </w:rPr>
        <w:t xml:space="preserve">אמר רב </w:t>
      </w:r>
      <w:r>
        <w:rPr>
          <w:rFonts w:cs="Arial" w:hint="cs"/>
          <w:u w:val="single"/>
          <w:rtl/>
        </w:rPr>
        <w:t>ברונא</w:t>
      </w:r>
      <w:r w:rsidRPr="00810E30">
        <w:rPr>
          <w:rFonts w:cs="Arial"/>
          <w:u w:val="single"/>
          <w:rtl/>
        </w:rPr>
        <w:t xml:space="preserve"> אמר רב</w:t>
      </w:r>
      <w:r w:rsidRPr="00810E30">
        <w:rPr>
          <w:rFonts w:cs="Arial"/>
          <w:rtl/>
        </w:rPr>
        <w:t>:</w:t>
      </w:r>
      <w:r w:rsidRPr="00810E30">
        <w:rPr>
          <w:rFonts w:cs="Arial" w:hint="cs"/>
          <w:sz w:val="14"/>
          <w:szCs w:val="14"/>
          <w:rtl/>
        </w:rPr>
        <w:t xml:space="preserve"> (קו:) </w:t>
      </w:r>
      <w:r w:rsidRPr="00810E30">
        <w:rPr>
          <w:rFonts w:cs="Arial"/>
          <w:rtl/>
        </w:rPr>
        <w:t xml:space="preserve">הנוטל ידיו לא יקדש. </w:t>
      </w:r>
      <w:r w:rsidRPr="00810E30">
        <w:rPr>
          <w:rFonts w:cs="Arial"/>
          <w:u w:val="single"/>
          <w:rtl/>
        </w:rPr>
        <w:t>אמר להו רב יצחק בר שמואל בר מרתא</w:t>
      </w:r>
      <w:r w:rsidRPr="00810E30">
        <w:rPr>
          <w:rFonts w:cs="Arial"/>
          <w:rtl/>
        </w:rPr>
        <w:t>: אכתי לא נח נפשיה דרב שכחנינהו לשמעתתיה! זמנין סגיאין הוה קאימנא קמיה דרב, זימנין דחביבא עליה ריפתא - מקדש אריפתא, זימנין דחביבא ליה חמרא - מקדש אחמרא.</w:t>
      </w:r>
      <w:r w:rsidRPr="00A02634">
        <w:rPr>
          <w:rFonts w:cs="Arial"/>
          <w:sz w:val="16"/>
          <w:szCs w:val="16"/>
          <w:rtl/>
        </w:rPr>
        <w:t xml:space="preserve"> </w:t>
      </w:r>
      <w:r>
        <w:rPr>
          <w:rFonts w:cs="Arial" w:hint="cs"/>
          <w:sz w:val="16"/>
          <w:szCs w:val="16"/>
          <w:rtl/>
        </w:rPr>
        <w:t>(</w:t>
      </w:r>
      <w:r w:rsidRPr="00A02634">
        <w:rPr>
          <w:rFonts w:cs="Arial"/>
          <w:sz w:val="16"/>
          <w:szCs w:val="16"/>
          <w:rtl/>
        </w:rPr>
        <w:t>כל הפוסקים מסכימים דלא קיימא לן כרב ברונא, ולאפוקי מה"ר יונה שכתב בפרק אלו דברים (ברכות מא: ד"ה נוטל) גבי נוטל אדם ידיו שחרית ומתנה עליהם דהלכה היא דנטל ידיו לא יקדש ויאכל מיד אלא חוזר ונוטל פעם שנית</w:t>
      </w:r>
      <w:r>
        <w:rPr>
          <w:rFonts w:cs="Arial" w:hint="cs"/>
          <w:sz w:val="16"/>
          <w:szCs w:val="16"/>
          <w:rtl/>
        </w:rPr>
        <w:t>, ב"י)</w:t>
      </w:r>
    </w:p>
    <w:p w14:paraId="4CC37973" w14:textId="77777777" w:rsidR="004B2E7C" w:rsidRPr="00EC6608" w:rsidRDefault="004B2E7C" w:rsidP="00434A6A">
      <w:pPr>
        <w:rPr>
          <w:rFonts w:cs="Arial"/>
          <w:u w:val="single"/>
          <w:rtl/>
        </w:rPr>
      </w:pPr>
      <w:r>
        <w:rPr>
          <w:rFonts w:cs="Arial" w:hint="cs"/>
          <w:u w:val="single"/>
          <w:rtl/>
        </w:rPr>
        <w:t>כיצד יש לפרש את דברי הגמרא גבי</w:t>
      </w:r>
      <w:r w:rsidRPr="00EC6608">
        <w:rPr>
          <w:rFonts w:cs="Arial" w:hint="cs"/>
          <w:u w:val="single"/>
          <w:rtl/>
        </w:rPr>
        <w:t xml:space="preserve"> הא דאמר </w:t>
      </w:r>
      <w:r w:rsidRPr="00EC6608">
        <w:rPr>
          <w:rFonts w:cs="Arial"/>
          <w:u w:val="single"/>
          <w:rtl/>
        </w:rPr>
        <w:t xml:space="preserve">רב </w:t>
      </w:r>
      <w:r>
        <w:rPr>
          <w:rFonts w:cs="Arial" w:hint="cs"/>
          <w:u w:val="single"/>
          <w:rtl/>
        </w:rPr>
        <w:t>בר</w:t>
      </w:r>
      <w:r w:rsidRPr="00EC6608">
        <w:rPr>
          <w:rFonts w:cs="Arial"/>
          <w:u w:val="single"/>
          <w:rtl/>
        </w:rPr>
        <w:t>ונא אמר רב</w:t>
      </w:r>
      <w:r w:rsidRPr="00EC6608">
        <w:rPr>
          <w:rFonts w:cs="Arial" w:hint="cs"/>
          <w:u w:val="single"/>
          <w:rtl/>
        </w:rPr>
        <w:t xml:space="preserve"> '</w:t>
      </w:r>
      <w:r w:rsidRPr="00EC6608">
        <w:rPr>
          <w:rFonts w:cs="Arial"/>
          <w:u w:val="single"/>
          <w:rtl/>
        </w:rPr>
        <w:t>הנוטל ידיו לא יקדש</w:t>
      </w:r>
      <w:r w:rsidRPr="00EC6608">
        <w:rPr>
          <w:rFonts w:cs="Arial" w:hint="cs"/>
          <w:u w:val="single"/>
          <w:rtl/>
        </w:rPr>
        <w:t>'</w:t>
      </w:r>
      <w:r>
        <w:rPr>
          <w:rFonts w:cs="Arial" w:hint="cs"/>
          <w:u w:val="single"/>
          <w:rtl/>
        </w:rPr>
        <w:t xml:space="preserve"> וכו'</w:t>
      </w:r>
      <w:r w:rsidRPr="00EC6608">
        <w:rPr>
          <w:rFonts w:cs="Arial" w:hint="cs"/>
          <w:u w:val="single"/>
          <w:rtl/>
        </w:rPr>
        <w:t>:</w:t>
      </w:r>
    </w:p>
    <w:p w14:paraId="02170274" w14:textId="77777777" w:rsidR="004B2E7C" w:rsidRDefault="004B2E7C" w:rsidP="00FF2D21">
      <w:pPr>
        <w:pStyle w:val="aa"/>
        <w:numPr>
          <w:ilvl w:val="0"/>
          <w:numId w:val="119"/>
        </w:numPr>
        <w:rPr>
          <w:rFonts w:cs="Arial"/>
        </w:rPr>
      </w:pPr>
      <w:r w:rsidRPr="00EC6608">
        <w:rPr>
          <w:rFonts w:cs="Arial" w:hint="cs"/>
          <w:rtl/>
        </w:rPr>
        <w:t>רי"ף</w:t>
      </w:r>
      <w:r w:rsidRPr="00EC6608">
        <w:rPr>
          <w:rFonts w:cs="Arial" w:hint="cs"/>
          <w:sz w:val="16"/>
          <w:szCs w:val="16"/>
          <w:rtl/>
        </w:rPr>
        <w:t xml:space="preserve"> (כב.)</w:t>
      </w:r>
      <w:r w:rsidRPr="00EC6608">
        <w:rPr>
          <w:rFonts w:cs="Arial" w:hint="cs"/>
          <w:rtl/>
        </w:rPr>
        <w:t xml:space="preserve">- </w:t>
      </w:r>
      <w:r>
        <w:rPr>
          <w:rStyle w:val="a9"/>
          <w:rFonts w:cs="Arial"/>
          <w:rtl/>
        </w:rPr>
        <w:footnoteReference w:id="926"/>
      </w:r>
      <w:r w:rsidRPr="00EC6608">
        <w:rPr>
          <w:rFonts w:cs="Arial" w:hint="cs"/>
          <w:rtl/>
        </w:rPr>
        <w:t>'</w:t>
      </w:r>
      <w:r w:rsidRPr="00EC6608">
        <w:rPr>
          <w:rFonts w:cs="Arial"/>
          <w:rtl/>
        </w:rPr>
        <w:t>נטל ידיו לא יקדש</w:t>
      </w:r>
      <w:r w:rsidRPr="00EC6608">
        <w:rPr>
          <w:rFonts w:cs="Arial" w:hint="cs"/>
          <w:rtl/>
        </w:rPr>
        <w:t>',</w:t>
      </w:r>
      <w:r w:rsidRPr="00EC6608">
        <w:rPr>
          <w:rFonts w:cs="Arial"/>
          <w:rtl/>
        </w:rPr>
        <w:t xml:space="preserve"> משום דכיון דאין נוטלין ידים לפירות גלי דעתיה דחביבא ליה ריפתא</w:t>
      </w:r>
      <w:r w:rsidRPr="00EC6608">
        <w:rPr>
          <w:rFonts w:cs="Arial" w:hint="cs"/>
          <w:rtl/>
        </w:rPr>
        <w:t>,</w:t>
      </w:r>
      <w:r w:rsidRPr="00EC6608">
        <w:rPr>
          <w:rFonts w:cs="Arial"/>
          <w:rtl/>
        </w:rPr>
        <w:t xml:space="preserve"> וסבירא ליה לרב ברונא דאין מקדשין על הפת</w:t>
      </w:r>
      <w:r w:rsidRPr="00EC6608">
        <w:rPr>
          <w:rFonts w:cs="Arial" w:hint="cs"/>
          <w:rtl/>
        </w:rPr>
        <w:t>,</w:t>
      </w:r>
      <w:r w:rsidRPr="00EC6608">
        <w:rPr>
          <w:rFonts w:cs="Arial"/>
          <w:rtl/>
        </w:rPr>
        <w:t xml:space="preserve"> הילכך לא יקדש</w:t>
      </w:r>
      <w:r w:rsidRPr="00EC6608">
        <w:rPr>
          <w:rFonts w:cs="Arial" w:hint="cs"/>
          <w:rtl/>
        </w:rPr>
        <w:t>,</w:t>
      </w:r>
      <w:r w:rsidRPr="00EC6608">
        <w:rPr>
          <w:rFonts w:cs="Arial"/>
          <w:rtl/>
        </w:rPr>
        <w:t xml:space="preserve"> שעל הפת אי אפשר לקדש</w:t>
      </w:r>
      <w:r w:rsidRPr="00EC6608">
        <w:rPr>
          <w:rFonts w:cs="Arial" w:hint="cs"/>
          <w:rtl/>
        </w:rPr>
        <w:t>,</w:t>
      </w:r>
      <w:r w:rsidRPr="00EC6608">
        <w:rPr>
          <w:rFonts w:cs="Arial"/>
          <w:rtl/>
        </w:rPr>
        <w:t xml:space="preserve"> ואי מקדש אחמרא נמצא מקדש על שאינו חביב</w:t>
      </w:r>
      <w:r w:rsidRPr="00EC6608">
        <w:rPr>
          <w:rFonts w:cs="Arial" w:hint="cs"/>
          <w:rtl/>
        </w:rPr>
        <w:t>.</w:t>
      </w:r>
      <w:r w:rsidRPr="00EC6608">
        <w:rPr>
          <w:rFonts w:cs="Arial"/>
          <w:rtl/>
        </w:rPr>
        <w:t xml:space="preserve"> ואסיקנא דליתא</w:t>
      </w:r>
      <w:r w:rsidRPr="00EC6608">
        <w:rPr>
          <w:rFonts w:cs="Arial" w:hint="cs"/>
          <w:rtl/>
        </w:rPr>
        <w:t>,</w:t>
      </w:r>
      <w:r w:rsidRPr="00EC6608">
        <w:rPr>
          <w:rFonts w:cs="Arial"/>
          <w:rtl/>
        </w:rPr>
        <w:t xml:space="preserve"> דהא רב כל אימת דחביבא ליה ריפתא מקדש אריפתא</w:t>
      </w:r>
      <w:r w:rsidRPr="00EC6608">
        <w:rPr>
          <w:rFonts w:cs="Arial" w:hint="cs"/>
          <w:rtl/>
        </w:rPr>
        <w:t>.</w:t>
      </w:r>
      <w:r w:rsidRPr="00EC6608">
        <w:rPr>
          <w:rFonts w:cs="Arial"/>
          <w:rtl/>
        </w:rPr>
        <w:t xml:space="preserve"> ומיהו נפקא לן מדרב ברונא דנטל ידיו לא יקדש </w:t>
      </w:r>
      <w:r w:rsidRPr="00773B09">
        <w:rPr>
          <w:rFonts w:cs="Arial"/>
          <w:b/>
          <w:bCs/>
          <w:rtl/>
        </w:rPr>
        <w:t>אלא על הפת</w:t>
      </w:r>
      <w:r w:rsidRPr="00EC6608">
        <w:rPr>
          <w:rFonts w:cs="Arial" w:hint="cs"/>
          <w:rtl/>
        </w:rPr>
        <w:t>,</w:t>
      </w:r>
      <w:r w:rsidRPr="00EC6608">
        <w:rPr>
          <w:rFonts w:cs="Arial"/>
          <w:rtl/>
        </w:rPr>
        <w:t xml:space="preserve"> דבמאי דאמר דמכי משא ידיה גלי דעתיה דריפתא חביבא ליה מיהא לא איתותב</w:t>
      </w:r>
      <w:r>
        <w:rPr>
          <w:rFonts w:cs="Arial" w:hint="cs"/>
          <w:sz w:val="16"/>
          <w:szCs w:val="16"/>
          <w:rtl/>
        </w:rPr>
        <w:t xml:space="preserve"> (ל' הר"ן)</w:t>
      </w:r>
      <w:r w:rsidRPr="00EC6608">
        <w:rPr>
          <w:rFonts w:cs="Arial" w:hint="cs"/>
          <w:rtl/>
        </w:rPr>
        <w:t>.</w:t>
      </w:r>
      <w:r w:rsidRPr="00EC6608">
        <w:rPr>
          <w:rFonts w:cs="Arial"/>
          <w:rtl/>
        </w:rPr>
        <w:t xml:space="preserve"> </w:t>
      </w:r>
    </w:p>
    <w:p w14:paraId="47C5CF2B" w14:textId="77777777" w:rsidR="004B2E7C" w:rsidRPr="00B55284" w:rsidRDefault="004B2E7C" w:rsidP="00FF2D21">
      <w:pPr>
        <w:pStyle w:val="aa"/>
        <w:numPr>
          <w:ilvl w:val="0"/>
          <w:numId w:val="119"/>
        </w:numPr>
        <w:rPr>
          <w:rFonts w:cs="Arial"/>
          <w:rtl/>
        </w:rPr>
      </w:pPr>
      <w:r>
        <w:rPr>
          <w:rFonts w:cs="Arial" w:hint="cs"/>
          <w:rtl/>
        </w:rPr>
        <w:t>רשב"ם</w:t>
      </w:r>
      <w:r>
        <w:rPr>
          <w:rFonts w:cs="Arial" w:hint="cs"/>
          <w:sz w:val="16"/>
          <w:szCs w:val="16"/>
          <w:rtl/>
        </w:rPr>
        <w:t xml:space="preserve"> (קו: ד"ה נטל, וד"ה דחביבא)</w:t>
      </w:r>
      <w:r>
        <w:rPr>
          <w:rFonts w:cs="Arial" w:hint="cs"/>
          <w:rtl/>
        </w:rPr>
        <w:t>- '</w:t>
      </w:r>
      <w:r w:rsidRPr="00B55284">
        <w:rPr>
          <w:rFonts w:cs="Arial"/>
          <w:rtl/>
        </w:rPr>
        <w:t>נטל ידיו לא יקדש</w:t>
      </w:r>
      <w:r>
        <w:rPr>
          <w:rFonts w:cs="Arial" w:hint="cs"/>
          <w:rtl/>
        </w:rPr>
        <w:t>',</w:t>
      </w:r>
      <w:r w:rsidRPr="00B55284">
        <w:rPr>
          <w:rFonts w:cs="Arial"/>
          <w:rtl/>
        </w:rPr>
        <w:t xml:space="preserve"> אלא אחר יקדש והוא יצא ידי חובתו בשמיעה ושתיה</w:t>
      </w:r>
      <w:r>
        <w:rPr>
          <w:rFonts w:cs="Arial" w:hint="cs"/>
          <w:rtl/>
        </w:rPr>
        <w:t>,</w:t>
      </w:r>
      <w:r w:rsidRPr="00B55284">
        <w:rPr>
          <w:rFonts w:cs="Arial"/>
          <w:rtl/>
        </w:rPr>
        <w:t xml:space="preserve"> דאין כאן היסח הדעת מאחר שהוא עצמו אינו מברך</w:t>
      </w:r>
      <w:r>
        <w:rPr>
          <w:rFonts w:cs="Arial" w:hint="cs"/>
          <w:rtl/>
        </w:rPr>
        <w:t>.</w:t>
      </w:r>
      <w:r w:rsidRPr="00B55284">
        <w:rPr>
          <w:rFonts w:cs="Arial"/>
          <w:rtl/>
        </w:rPr>
        <w:t xml:space="preserve"> אבל הוא עצמו לא יקדש אם נטל ידיו כדי שיאכל על סמך נטילה דלפני קידוש</w:t>
      </w:r>
      <w:r>
        <w:rPr>
          <w:rFonts w:cs="Arial" w:hint="cs"/>
          <w:rtl/>
        </w:rPr>
        <w:t>,</w:t>
      </w:r>
      <w:r w:rsidRPr="00B55284">
        <w:rPr>
          <w:rFonts w:cs="Arial"/>
          <w:rtl/>
        </w:rPr>
        <w:t xml:space="preserve"> דקידוש מפסיק בין נטילה לאכילה והוי כהיסח הדעת</w:t>
      </w:r>
      <w:r>
        <w:rPr>
          <w:rStyle w:val="a9"/>
          <w:rFonts w:cs="Arial"/>
          <w:rtl/>
        </w:rPr>
        <w:footnoteReference w:id="927"/>
      </w:r>
      <w:r>
        <w:rPr>
          <w:rFonts w:cs="Arial" w:hint="cs"/>
          <w:rtl/>
        </w:rPr>
        <w:t>,</w:t>
      </w:r>
      <w:r w:rsidRPr="00B55284">
        <w:rPr>
          <w:rFonts w:cs="Arial"/>
          <w:rtl/>
        </w:rPr>
        <w:t xml:space="preserve"> ובעי נטילה אחריתי בתר קידושא</w:t>
      </w:r>
      <w:r>
        <w:rPr>
          <w:rFonts w:cs="Arial" w:hint="cs"/>
          <w:rtl/>
        </w:rPr>
        <w:t>,</w:t>
      </w:r>
      <w:r w:rsidRPr="00B55284">
        <w:rPr>
          <w:rFonts w:cs="Arial"/>
          <w:rtl/>
        </w:rPr>
        <w:t xml:space="preserve"> דתכף לנטילת ידים סעודה</w:t>
      </w:r>
      <w:r>
        <w:rPr>
          <w:rFonts w:cs="Arial" w:hint="cs"/>
          <w:rtl/>
        </w:rPr>
        <w:t>. '</w:t>
      </w:r>
      <w:r w:rsidRPr="00B55284">
        <w:rPr>
          <w:rFonts w:cs="Arial"/>
          <w:rtl/>
        </w:rPr>
        <w:t>דחביבא ליה ריפתא</w:t>
      </w:r>
      <w:r>
        <w:rPr>
          <w:rFonts w:cs="Arial" w:hint="cs"/>
          <w:rtl/>
        </w:rPr>
        <w:t>',</w:t>
      </w:r>
      <w:r w:rsidRPr="00B55284">
        <w:rPr>
          <w:rFonts w:cs="Arial"/>
          <w:rtl/>
        </w:rPr>
        <w:t xml:space="preserve"> שהיה רעב מקדש אריפתא</w:t>
      </w:r>
      <w:r>
        <w:rPr>
          <w:rFonts w:cs="Arial" w:hint="cs"/>
          <w:rtl/>
        </w:rPr>
        <w:t>.</w:t>
      </w:r>
      <w:r w:rsidRPr="00B55284">
        <w:rPr>
          <w:rFonts w:cs="Arial"/>
          <w:rtl/>
        </w:rPr>
        <w:t xml:space="preserve"> אלמא לא בעי נטילה אחריתי אלא מעיקרא משי ידיה ואכיל נהמא דקידוש</w:t>
      </w:r>
      <w:r>
        <w:rPr>
          <w:rFonts w:cs="Arial" w:hint="cs"/>
          <w:rtl/>
        </w:rPr>
        <w:t>.</w:t>
      </w:r>
      <w:r w:rsidRPr="00B55284">
        <w:rPr>
          <w:rFonts w:cs="Arial"/>
          <w:rtl/>
        </w:rPr>
        <w:t xml:space="preserve"> אלמא קידוש שלאחר נטילה לא חשיב היסח הדעת. </w:t>
      </w:r>
    </w:p>
    <w:p w14:paraId="0AA972DA" w14:textId="77777777" w:rsidR="004B2E7C" w:rsidRPr="00EC6608" w:rsidRDefault="004B2E7C" w:rsidP="00FF2D21">
      <w:pPr>
        <w:pStyle w:val="aa"/>
        <w:numPr>
          <w:ilvl w:val="0"/>
          <w:numId w:val="119"/>
        </w:numPr>
        <w:rPr>
          <w:rFonts w:cs="Arial"/>
          <w:rtl/>
        </w:rPr>
      </w:pPr>
      <w:r w:rsidRPr="00EC6608">
        <w:rPr>
          <w:rFonts w:cs="Arial"/>
          <w:rtl/>
        </w:rPr>
        <w:t>תוס</w:t>
      </w:r>
      <w:r>
        <w:rPr>
          <w:rFonts w:cs="Arial" w:hint="cs"/>
          <w:rtl/>
        </w:rPr>
        <w:t xml:space="preserve">' </w:t>
      </w:r>
      <w:r w:rsidRPr="00EC6608">
        <w:rPr>
          <w:rFonts w:cs="Arial"/>
          <w:sz w:val="16"/>
          <w:szCs w:val="16"/>
          <w:rtl/>
        </w:rPr>
        <w:t>(פסחים קו: ד"ה מקדש)</w:t>
      </w:r>
      <w:r>
        <w:rPr>
          <w:rFonts w:cs="Arial" w:hint="cs"/>
          <w:rtl/>
        </w:rPr>
        <w:t>-</w:t>
      </w:r>
      <w:r w:rsidRPr="00EC6608">
        <w:rPr>
          <w:rFonts w:cs="Arial"/>
          <w:rtl/>
        </w:rPr>
        <w:t xml:space="preserve"> נראה לרבינו תם שאין מקדשין על הפת כלל</w:t>
      </w:r>
      <w:r w:rsidRPr="00EC6608">
        <w:rPr>
          <w:rFonts w:cs="Arial" w:hint="cs"/>
          <w:rtl/>
        </w:rPr>
        <w:t>.</w:t>
      </w:r>
      <w:r w:rsidRPr="00EC6608">
        <w:rPr>
          <w:rFonts w:cs="Arial"/>
          <w:rtl/>
        </w:rPr>
        <w:t xml:space="preserve"> והכא הכי פירושו</w:t>
      </w:r>
      <w:r w:rsidRPr="00EC6608">
        <w:rPr>
          <w:rFonts w:cs="Arial" w:hint="cs"/>
          <w:rtl/>
        </w:rPr>
        <w:t>:</w:t>
      </w:r>
      <w:r w:rsidRPr="00EC6608">
        <w:rPr>
          <w:rFonts w:cs="Arial"/>
          <w:rtl/>
        </w:rPr>
        <w:t xml:space="preserve"> </w:t>
      </w:r>
      <w:r w:rsidRPr="00EC6608">
        <w:rPr>
          <w:rFonts w:cs="Arial" w:hint="cs"/>
          <w:rtl/>
        </w:rPr>
        <w:t>'</w:t>
      </w:r>
      <w:r w:rsidRPr="00EC6608">
        <w:rPr>
          <w:rFonts w:cs="Arial"/>
          <w:rtl/>
        </w:rPr>
        <w:t>הנוטל ידיו לא יקדש</w:t>
      </w:r>
      <w:r w:rsidRPr="00EC6608">
        <w:rPr>
          <w:rFonts w:cs="Arial" w:hint="cs"/>
          <w:rtl/>
        </w:rPr>
        <w:t>',</w:t>
      </w:r>
      <w:r w:rsidRPr="00EC6608">
        <w:rPr>
          <w:rFonts w:cs="Arial"/>
          <w:rtl/>
        </w:rPr>
        <w:t xml:space="preserve"> משום דסבירא ליה לרב דיש קידוש שלא במקום סעודה</w:t>
      </w:r>
      <w:r w:rsidRPr="00EC6608">
        <w:rPr>
          <w:rFonts w:cs="Arial" w:hint="cs"/>
          <w:rtl/>
        </w:rPr>
        <w:t>,</w:t>
      </w:r>
      <w:r w:rsidRPr="00EC6608">
        <w:rPr>
          <w:rFonts w:cs="Arial"/>
          <w:rtl/>
        </w:rPr>
        <w:t xml:space="preserve"> וחיישינן שמא יפליג ויצא לחוץ</w:t>
      </w:r>
      <w:r w:rsidRPr="00EC6608">
        <w:rPr>
          <w:rFonts w:cs="Arial" w:hint="cs"/>
          <w:rtl/>
        </w:rPr>
        <w:t>.</w:t>
      </w:r>
      <w:r w:rsidRPr="00EC6608">
        <w:rPr>
          <w:rFonts w:cs="Arial"/>
          <w:rtl/>
        </w:rPr>
        <w:t xml:space="preserve"> א"ל רב יצחק וכו' זימנין דחביבא ליה ריפתא ומקדש אריפתא</w:t>
      </w:r>
      <w:r w:rsidRPr="00EC6608">
        <w:rPr>
          <w:rFonts w:cs="Arial" w:hint="cs"/>
          <w:rtl/>
        </w:rPr>
        <w:t>,</w:t>
      </w:r>
      <w:r w:rsidRPr="00EC6608">
        <w:rPr>
          <w:rFonts w:cs="Arial"/>
          <w:rtl/>
        </w:rPr>
        <w:t xml:space="preserve"> כלומר הוה מקדש אחמרא על דעת לאכול מיד ריפתא והיה נוטל מיד ידיו קודם קידוש</w:t>
      </w:r>
      <w:r w:rsidRPr="00EC6608">
        <w:rPr>
          <w:rFonts w:cs="Arial" w:hint="cs"/>
          <w:rtl/>
        </w:rPr>
        <w:t>.</w:t>
      </w:r>
      <w:r w:rsidRPr="00EC6608">
        <w:rPr>
          <w:rFonts w:cs="Arial"/>
          <w:rtl/>
        </w:rPr>
        <w:t xml:space="preserve"> וזימנין דחביבא ליה חמרא הוה מקדש אחמרא שלא במקום ריפתא דהיינו סעודה</w:t>
      </w:r>
      <w:r w:rsidRPr="00EC6608">
        <w:rPr>
          <w:rFonts w:cs="Arial" w:hint="cs"/>
          <w:rtl/>
        </w:rPr>
        <w:t>,</w:t>
      </w:r>
      <w:r w:rsidRPr="00EC6608">
        <w:rPr>
          <w:rFonts w:cs="Arial"/>
          <w:rtl/>
        </w:rPr>
        <w:t xml:space="preserve"> דסבירא ליה דיש קידוש שלא במקום סעודה</w:t>
      </w:r>
      <w:r>
        <w:rPr>
          <w:rFonts w:cs="Arial" w:hint="cs"/>
          <w:rtl/>
        </w:rPr>
        <w:t>.</w:t>
      </w:r>
      <w:r w:rsidRPr="00EC6608">
        <w:rPr>
          <w:rFonts w:cs="Arial"/>
          <w:rtl/>
        </w:rPr>
        <w:t xml:space="preserve"> ומאן דסבר אין קידוש אלא במקום סעודה כל שכן דנוטל ידיו ומקדש</w:t>
      </w:r>
      <w:r>
        <w:rPr>
          <w:rFonts w:cs="Arial" w:hint="cs"/>
          <w:sz w:val="16"/>
          <w:szCs w:val="16"/>
          <w:rtl/>
        </w:rPr>
        <w:t xml:space="preserve"> {על היין}</w:t>
      </w:r>
      <w:r>
        <w:rPr>
          <w:rFonts w:cs="Arial" w:hint="cs"/>
          <w:rtl/>
        </w:rPr>
        <w:t>,</w:t>
      </w:r>
      <w:r w:rsidRPr="00EC6608">
        <w:rPr>
          <w:rFonts w:cs="Arial"/>
          <w:rtl/>
        </w:rPr>
        <w:t xml:space="preserve"> דלא הוי היסח</w:t>
      </w:r>
      <w:r>
        <w:rPr>
          <w:rStyle w:val="a9"/>
          <w:rFonts w:cs="Arial"/>
          <w:rtl/>
        </w:rPr>
        <w:footnoteReference w:id="928"/>
      </w:r>
      <w:r w:rsidRPr="00EC6608">
        <w:rPr>
          <w:rFonts w:cs="Arial"/>
          <w:rtl/>
        </w:rPr>
        <w:t xml:space="preserve">. </w:t>
      </w:r>
    </w:p>
    <w:p w14:paraId="21A7D197" w14:textId="77777777" w:rsidR="004B2E7C" w:rsidRPr="00F2363B" w:rsidRDefault="004B2E7C" w:rsidP="00FF2D21">
      <w:pPr>
        <w:pStyle w:val="aa"/>
        <w:numPr>
          <w:ilvl w:val="0"/>
          <w:numId w:val="119"/>
        </w:numPr>
        <w:rPr>
          <w:rFonts w:cs="Arial"/>
        </w:rPr>
      </w:pPr>
      <w:r w:rsidRPr="00EC6608">
        <w:rPr>
          <w:rFonts w:cs="Arial"/>
          <w:rtl/>
        </w:rPr>
        <w:t xml:space="preserve">רז"ה </w:t>
      </w:r>
      <w:r w:rsidRPr="006A02C2">
        <w:rPr>
          <w:rFonts w:cs="Arial"/>
          <w:sz w:val="16"/>
          <w:szCs w:val="16"/>
          <w:rtl/>
        </w:rPr>
        <w:t>(בעל המאור כא: ד"ה אמר רב ברונא</w:t>
      </w:r>
      <w:r w:rsidRPr="006A02C2">
        <w:rPr>
          <w:rFonts w:cs="Arial" w:hint="cs"/>
          <w:sz w:val="16"/>
          <w:szCs w:val="16"/>
          <w:rtl/>
        </w:rPr>
        <w:t>, כ"כ הר"ן בשמו</w:t>
      </w:r>
      <w:r w:rsidRPr="006A02C2">
        <w:rPr>
          <w:rFonts w:cs="Arial"/>
          <w:sz w:val="16"/>
          <w:szCs w:val="16"/>
          <w:rtl/>
        </w:rPr>
        <w:t>)</w:t>
      </w:r>
      <w:r>
        <w:rPr>
          <w:rFonts w:cs="Arial" w:hint="cs"/>
          <w:rtl/>
        </w:rPr>
        <w:t>-</w:t>
      </w:r>
      <w:r w:rsidRPr="00EC6608">
        <w:rPr>
          <w:rFonts w:cs="Arial"/>
          <w:rtl/>
        </w:rPr>
        <w:t xml:space="preserve"> פירש דרב לטעמיה דאמר טעם אינו מקדש</w:t>
      </w:r>
      <w:r>
        <w:rPr>
          <w:rFonts w:cs="Arial" w:hint="cs"/>
          <w:rtl/>
        </w:rPr>
        <w:t>,</w:t>
      </w:r>
      <w:r w:rsidRPr="00EC6608">
        <w:rPr>
          <w:rFonts w:cs="Arial"/>
          <w:rtl/>
        </w:rPr>
        <w:t xml:space="preserve"> ואף זה שנטל ידיו גילה בדעתו שקפץ לאכילה וזלזל בקידוש היום</w:t>
      </w:r>
      <w:r>
        <w:rPr>
          <w:rFonts w:cs="Arial" w:hint="cs"/>
          <w:rtl/>
        </w:rPr>
        <w:t>,</w:t>
      </w:r>
      <w:r w:rsidRPr="00EC6608">
        <w:rPr>
          <w:rFonts w:cs="Arial"/>
          <w:rtl/>
        </w:rPr>
        <w:t xml:space="preserve"> והוה ליה כאילו טעם ולא יקדש הוא</w:t>
      </w:r>
      <w:r>
        <w:rPr>
          <w:rFonts w:cs="Arial" w:hint="cs"/>
          <w:rtl/>
        </w:rPr>
        <w:t>,</w:t>
      </w:r>
      <w:r w:rsidRPr="00EC6608">
        <w:rPr>
          <w:rFonts w:cs="Arial"/>
          <w:rtl/>
        </w:rPr>
        <w:t xml:space="preserve"> אבל אחרים מקדשין לו</w:t>
      </w:r>
      <w:r>
        <w:rPr>
          <w:rFonts w:cs="Arial" w:hint="cs"/>
          <w:rtl/>
        </w:rPr>
        <w:t>.</w:t>
      </w:r>
      <w:r w:rsidRPr="00EC6608">
        <w:rPr>
          <w:rFonts w:cs="Arial"/>
          <w:rtl/>
        </w:rPr>
        <w:t xml:space="preserve"> ודחאה רב יצחק דכיון דאפשר לקדושי אריפתא אין זה זלזול בקידוש היום ומקדש על איזה מהם שירצה</w:t>
      </w:r>
      <w:r>
        <w:rPr>
          <w:rFonts w:cs="Arial" w:hint="cs"/>
          <w:rtl/>
        </w:rPr>
        <w:t>.</w:t>
      </w:r>
      <w:r w:rsidRPr="00EC6608">
        <w:rPr>
          <w:rFonts w:cs="Arial"/>
          <w:rtl/>
        </w:rPr>
        <w:t xml:space="preserve"> וכל שכן אנן השתא דקיימא לן טעם מקדש לא חיישינן להא דרב ברונא כל עיקר</w:t>
      </w:r>
      <w:r>
        <w:rPr>
          <w:rFonts w:cs="Arial" w:hint="cs"/>
          <w:rtl/>
        </w:rPr>
        <w:t>.</w:t>
      </w:r>
    </w:p>
    <w:p w14:paraId="3E2050C4" w14:textId="77777777" w:rsidR="004B2E7C" w:rsidRPr="00EC6608" w:rsidRDefault="004B2E7C" w:rsidP="00434A6A">
      <w:pPr>
        <w:ind w:left="360"/>
        <w:rPr>
          <w:rFonts w:cs="Arial"/>
          <w:u w:val="dotted"/>
          <w:rtl/>
        </w:rPr>
      </w:pPr>
      <w:r w:rsidRPr="00EC6608">
        <w:rPr>
          <w:rFonts w:cs="Arial" w:hint="cs"/>
          <w:u w:val="dotted"/>
          <w:rtl/>
        </w:rPr>
        <w:t xml:space="preserve">למעשה - כיצד יש לנהוג לגבי נטילת ידים לפני </w:t>
      </w:r>
      <w:r>
        <w:rPr>
          <w:rFonts w:cs="Arial" w:hint="cs"/>
          <w:u w:val="dotted"/>
          <w:rtl/>
        </w:rPr>
        <w:t>ה</w:t>
      </w:r>
      <w:r w:rsidRPr="00EC6608">
        <w:rPr>
          <w:rFonts w:cs="Arial" w:hint="cs"/>
          <w:u w:val="dotted"/>
          <w:rtl/>
        </w:rPr>
        <w:t>קידוש</w:t>
      </w:r>
      <w:r>
        <w:rPr>
          <w:rFonts w:cs="Arial" w:hint="cs"/>
          <w:u w:val="dotted"/>
          <w:rtl/>
        </w:rPr>
        <w:t xml:space="preserve"> בסעודת הלילה</w:t>
      </w:r>
      <w:r>
        <w:rPr>
          <w:rStyle w:val="a9"/>
          <w:rFonts w:cs="Arial"/>
          <w:u w:val="dotted"/>
          <w:rtl/>
        </w:rPr>
        <w:footnoteReference w:id="929"/>
      </w:r>
      <w:r w:rsidRPr="00EC6608">
        <w:rPr>
          <w:rFonts w:cs="Arial" w:hint="cs"/>
          <w:u w:val="dotted"/>
          <w:rtl/>
        </w:rPr>
        <w:t>:</w:t>
      </w:r>
    </w:p>
    <w:p w14:paraId="78C750E8" w14:textId="77777777" w:rsidR="004B2E7C" w:rsidRDefault="004B2E7C" w:rsidP="00FF2D21">
      <w:pPr>
        <w:pStyle w:val="aa"/>
        <w:numPr>
          <w:ilvl w:val="0"/>
          <w:numId w:val="119"/>
        </w:numPr>
        <w:rPr>
          <w:rFonts w:cs="Arial"/>
        </w:rPr>
      </w:pPr>
      <w:r w:rsidRPr="00EC6608">
        <w:rPr>
          <w:rFonts w:cs="Arial" w:hint="cs"/>
          <w:rtl/>
        </w:rPr>
        <w:t>רי"ף</w:t>
      </w:r>
      <w:r w:rsidRPr="00EC6608">
        <w:rPr>
          <w:rFonts w:cs="Arial" w:hint="cs"/>
          <w:sz w:val="16"/>
          <w:szCs w:val="16"/>
          <w:rtl/>
        </w:rPr>
        <w:t xml:space="preserve"> (כב.) </w:t>
      </w:r>
      <w:r w:rsidRPr="00EC6608">
        <w:rPr>
          <w:rFonts w:cs="Arial" w:hint="cs"/>
          <w:rtl/>
        </w:rPr>
        <w:t xml:space="preserve">רמב"ם </w:t>
      </w:r>
      <w:r w:rsidRPr="00EC6608">
        <w:rPr>
          <w:rFonts w:cs="Arial" w:hint="cs"/>
          <w:sz w:val="16"/>
          <w:szCs w:val="16"/>
          <w:rtl/>
        </w:rPr>
        <w:t>(</w:t>
      </w:r>
      <w:r w:rsidRPr="00EC6608">
        <w:rPr>
          <w:rFonts w:cs="Arial"/>
          <w:sz w:val="16"/>
          <w:szCs w:val="16"/>
          <w:rtl/>
        </w:rPr>
        <w:t>פכ"ט ה"ט-י)</w:t>
      </w:r>
      <w:r>
        <w:rPr>
          <w:rFonts w:cs="Arial" w:hint="cs"/>
          <w:rtl/>
        </w:rPr>
        <w:t>-</w:t>
      </w:r>
      <w:r w:rsidRPr="00EC6608">
        <w:rPr>
          <w:rFonts w:cs="Arial"/>
          <w:rtl/>
        </w:rPr>
        <w:t xml:space="preserve"> </w:t>
      </w:r>
      <w:r w:rsidRPr="00E31E3B">
        <w:rPr>
          <w:rFonts w:cs="Arial"/>
          <w:rtl/>
        </w:rPr>
        <w:t xml:space="preserve">בחביבותא תליא מלתא ולאו בנטילה תליא מילתא </w:t>
      </w:r>
      <w:r>
        <w:rPr>
          <w:rFonts w:cs="Arial" w:hint="cs"/>
          <w:sz w:val="16"/>
          <w:szCs w:val="16"/>
          <w:rtl/>
        </w:rPr>
        <w:t>(ל' הרי"ף)</w:t>
      </w:r>
      <w:r>
        <w:rPr>
          <w:rFonts w:cs="Arial" w:hint="cs"/>
          <w:rtl/>
        </w:rPr>
        <w:t xml:space="preserve">. </w:t>
      </w:r>
      <w:r>
        <w:rPr>
          <w:rFonts w:cs="Arial" w:hint="cs"/>
          <w:sz w:val="16"/>
          <w:szCs w:val="16"/>
          <w:rtl/>
        </w:rPr>
        <w:t>{הילכך}</w:t>
      </w:r>
      <w:r>
        <w:rPr>
          <w:rFonts w:cs="Arial" w:hint="cs"/>
          <w:rtl/>
        </w:rPr>
        <w:t xml:space="preserve"> </w:t>
      </w:r>
      <w:r w:rsidRPr="00E31E3B">
        <w:rPr>
          <w:rFonts w:cs="Arial"/>
          <w:rtl/>
        </w:rPr>
        <w:t>היה מתאוה לפת יתר מן היין</w:t>
      </w:r>
      <w:r>
        <w:rPr>
          <w:rFonts w:cs="Arial" w:hint="cs"/>
          <w:rtl/>
        </w:rPr>
        <w:t>,</w:t>
      </w:r>
      <w:r w:rsidRPr="00E31E3B">
        <w:rPr>
          <w:rFonts w:cs="Arial"/>
          <w:rtl/>
        </w:rPr>
        <w:t xml:space="preserve"> או שלא היה לו יין </w:t>
      </w:r>
      <w:r>
        <w:rPr>
          <w:rFonts w:cs="Arial" w:hint="cs"/>
          <w:rtl/>
        </w:rPr>
        <w:t xml:space="preserve">- </w:t>
      </w:r>
      <w:r w:rsidRPr="00E31E3B">
        <w:rPr>
          <w:rFonts w:cs="Arial"/>
          <w:rtl/>
        </w:rPr>
        <w:t>הרי זה נוטל ידיו תחלה ומברך המוציא ומקדש ואחר כך בוצע ואוכל</w:t>
      </w:r>
      <w:r>
        <w:rPr>
          <w:rFonts w:cs="Arial" w:hint="cs"/>
          <w:rtl/>
        </w:rPr>
        <w:t xml:space="preserve">... </w:t>
      </w:r>
      <w:r>
        <w:rPr>
          <w:rFonts w:cs="Arial" w:hint="cs"/>
          <w:sz w:val="16"/>
          <w:szCs w:val="16"/>
          <w:rtl/>
        </w:rPr>
        <w:t xml:space="preserve">{וכן} </w:t>
      </w:r>
      <w:r w:rsidRPr="00E31E3B">
        <w:rPr>
          <w:rFonts w:cs="Arial"/>
          <w:rtl/>
        </w:rPr>
        <w:t xml:space="preserve">מי שנתכוין לקדש על היין בלילי שבת ושכח ונטל ידיו קודם שיקדש </w:t>
      </w:r>
      <w:r>
        <w:rPr>
          <w:rFonts w:cs="Arial" w:hint="cs"/>
          <w:rtl/>
        </w:rPr>
        <w:t xml:space="preserve">- </w:t>
      </w:r>
      <w:r w:rsidRPr="00E31E3B">
        <w:rPr>
          <w:rFonts w:cs="Arial"/>
          <w:rtl/>
        </w:rPr>
        <w:t>הרי זה מקדש על הפת</w:t>
      </w:r>
      <w:r>
        <w:rPr>
          <w:rFonts w:cs="Arial" w:hint="cs"/>
          <w:rtl/>
        </w:rPr>
        <w:t>,</w:t>
      </w:r>
      <w:r w:rsidRPr="00E31E3B">
        <w:rPr>
          <w:rFonts w:cs="Arial"/>
          <w:rtl/>
        </w:rPr>
        <w:t xml:space="preserve"> ואינו מקדש על היין</w:t>
      </w:r>
      <w:r>
        <w:rPr>
          <w:rFonts w:cs="Arial" w:hint="cs"/>
          <w:rtl/>
        </w:rPr>
        <w:t>,</w:t>
      </w:r>
      <w:r w:rsidRPr="00E31E3B">
        <w:rPr>
          <w:rFonts w:cs="Arial"/>
          <w:rtl/>
        </w:rPr>
        <w:t xml:space="preserve"> אחר שנטל ידיו לסעודה</w:t>
      </w:r>
      <w:r>
        <w:rPr>
          <w:rStyle w:val="a9"/>
          <w:rFonts w:cs="Arial"/>
          <w:rtl/>
        </w:rPr>
        <w:footnoteReference w:id="930"/>
      </w:r>
      <w:r>
        <w:rPr>
          <w:rFonts w:cs="Arial" w:hint="cs"/>
          <w:sz w:val="16"/>
          <w:szCs w:val="16"/>
          <w:rtl/>
        </w:rPr>
        <w:t xml:space="preserve"> (ל' הרמב"ם)</w:t>
      </w:r>
      <w:r>
        <w:rPr>
          <w:rFonts w:cs="Arial" w:hint="cs"/>
          <w:rtl/>
        </w:rPr>
        <w:t>.</w:t>
      </w:r>
      <w:r w:rsidRPr="00E31E3B">
        <w:rPr>
          <w:rFonts w:cs="Arial"/>
          <w:rtl/>
        </w:rPr>
        <w:t xml:space="preserve"> </w:t>
      </w:r>
      <w:r w:rsidRPr="008A5C36">
        <w:rPr>
          <w:rFonts w:cs="Arial" w:hint="cs"/>
          <w:color w:val="E36C0A" w:themeColor="accent6" w:themeShade="BF"/>
          <w:rtl/>
        </w:rPr>
        <w:t>(וכ"פ בשו"ע)</w:t>
      </w:r>
    </w:p>
    <w:p w14:paraId="1177CF18" w14:textId="77777777" w:rsidR="004B2E7C" w:rsidRPr="00F2363B" w:rsidRDefault="004B2E7C" w:rsidP="00FF2D21">
      <w:pPr>
        <w:pStyle w:val="aa"/>
        <w:numPr>
          <w:ilvl w:val="0"/>
          <w:numId w:val="119"/>
        </w:numPr>
        <w:rPr>
          <w:rFonts w:cs="Arial"/>
        </w:rPr>
      </w:pPr>
      <w:r>
        <w:rPr>
          <w:rFonts w:cs="Arial" w:hint="cs"/>
          <w:rtl/>
        </w:rPr>
        <w:t xml:space="preserve">רב עמרם </w:t>
      </w:r>
      <w:r>
        <w:rPr>
          <w:rFonts w:cs="Arial" w:hint="cs"/>
          <w:sz w:val="16"/>
          <w:szCs w:val="16"/>
          <w:rtl/>
        </w:rPr>
        <w:t>(כ"כ הטור בשמו)</w:t>
      </w:r>
      <w:r>
        <w:rPr>
          <w:rFonts w:cs="Arial" w:hint="cs"/>
          <w:rtl/>
        </w:rPr>
        <w:t xml:space="preserve">- </w:t>
      </w:r>
      <w:r w:rsidRPr="003A3CB9">
        <w:rPr>
          <w:rFonts w:cs="Arial"/>
          <w:rtl/>
        </w:rPr>
        <w:t>לאחר שמקדש על הכוס נוטל ידיו ומברך על נטילת ידים</w:t>
      </w:r>
      <w:r>
        <w:rPr>
          <w:rFonts w:cs="Arial" w:hint="cs"/>
          <w:rtl/>
        </w:rPr>
        <w:t>.</w:t>
      </w:r>
      <w:r w:rsidRPr="003A3CB9">
        <w:rPr>
          <w:rFonts w:cs="Arial"/>
          <w:rtl/>
        </w:rPr>
        <w:t xml:space="preserve"> אבל אם נטל קודם לא יקדש על היין אלא על פת דא"ר ברונא נטל ידיו לא יקדש</w:t>
      </w:r>
      <w:r>
        <w:rPr>
          <w:rStyle w:val="a9"/>
          <w:rFonts w:cs="Arial"/>
          <w:rtl/>
        </w:rPr>
        <w:footnoteReference w:id="931"/>
      </w:r>
      <w:r>
        <w:rPr>
          <w:rFonts w:cs="Arial" w:hint="cs"/>
          <w:sz w:val="16"/>
          <w:szCs w:val="16"/>
          <w:rtl/>
        </w:rPr>
        <w:t xml:space="preserve"> (ל' הטור בשם רב עמרם)</w:t>
      </w:r>
      <w:r>
        <w:rPr>
          <w:rFonts w:cs="Arial" w:hint="cs"/>
          <w:rtl/>
        </w:rPr>
        <w:t>.</w:t>
      </w:r>
    </w:p>
    <w:p w14:paraId="3C50741B" w14:textId="77777777" w:rsidR="004B2E7C" w:rsidRPr="00EC6608" w:rsidRDefault="004B2E7C" w:rsidP="00FF2D21">
      <w:pPr>
        <w:pStyle w:val="aa"/>
        <w:numPr>
          <w:ilvl w:val="0"/>
          <w:numId w:val="119"/>
        </w:numPr>
        <w:rPr>
          <w:rFonts w:cs="Arial"/>
          <w:rtl/>
        </w:rPr>
      </w:pPr>
      <w:r>
        <w:rPr>
          <w:rFonts w:cs="Arial" w:hint="cs"/>
          <w:rtl/>
        </w:rPr>
        <w:t>רשב"ם</w:t>
      </w:r>
      <w:r>
        <w:rPr>
          <w:rFonts w:cs="Arial" w:hint="cs"/>
          <w:sz w:val="16"/>
          <w:szCs w:val="16"/>
          <w:rtl/>
        </w:rPr>
        <w:t xml:space="preserve"> (קו: ד"ה דחביבא)</w:t>
      </w:r>
      <w:r>
        <w:rPr>
          <w:rFonts w:cs="Arial" w:hint="cs"/>
          <w:rtl/>
        </w:rPr>
        <w:t xml:space="preserve">- </w:t>
      </w:r>
      <w:r w:rsidRPr="00B55284">
        <w:rPr>
          <w:rFonts w:cs="Arial"/>
          <w:rtl/>
        </w:rPr>
        <w:t>מי שנטל ידיו קודם קידוש א"צ לחזור וליטלן אחר קידוש</w:t>
      </w:r>
      <w:r>
        <w:rPr>
          <w:rFonts w:cs="Arial" w:hint="cs"/>
          <w:rtl/>
        </w:rPr>
        <w:t>...</w:t>
      </w:r>
      <w:r w:rsidRPr="00B55284">
        <w:rPr>
          <w:rFonts w:cs="Arial"/>
          <w:rtl/>
        </w:rPr>
        <w:t xml:space="preserve"> ומיהו לכתחלה מוזגין ואח"כ נוטלין לידים</w:t>
      </w:r>
      <w:r>
        <w:rPr>
          <w:rStyle w:val="a9"/>
          <w:rFonts w:cs="Arial"/>
          <w:rtl/>
        </w:rPr>
        <w:footnoteReference w:id="932"/>
      </w:r>
      <w:r>
        <w:rPr>
          <w:rFonts w:cs="Arial" w:hint="cs"/>
          <w:rtl/>
        </w:rPr>
        <w:t>.</w:t>
      </w:r>
    </w:p>
    <w:p w14:paraId="758305F9" w14:textId="77777777" w:rsidR="004B2E7C" w:rsidRDefault="004B2E7C" w:rsidP="00FF2D21">
      <w:pPr>
        <w:pStyle w:val="aa"/>
        <w:numPr>
          <w:ilvl w:val="0"/>
          <w:numId w:val="119"/>
        </w:numPr>
      </w:pPr>
      <w:r w:rsidRPr="003A3CB9">
        <w:rPr>
          <w:rFonts w:cs="Arial"/>
          <w:rtl/>
        </w:rPr>
        <w:t>ר"ת ר"י</w:t>
      </w:r>
      <w:r>
        <w:rPr>
          <w:rFonts w:cs="Arial" w:hint="cs"/>
          <w:sz w:val="16"/>
          <w:szCs w:val="16"/>
          <w:rtl/>
        </w:rPr>
        <w:t xml:space="preserve"> (כ"כ הטור בשמם)</w:t>
      </w:r>
      <w:r>
        <w:rPr>
          <w:rFonts w:cs="Arial" w:hint="cs"/>
          <w:rtl/>
        </w:rPr>
        <w:t xml:space="preserve"> ומרדכי</w:t>
      </w:r>
      <w:r>
        <w:rPr>
          <w:rStyle w:val="a9"/>
          <w:rFonts w:cs="Arial"/>
          <w:rtl/>
        </w:rPr>
        <w:footnoteReference w:id="933"/>
      </w:r>
      <w:r>
        <w:rPr>
          <w:rFonts w:cs="Arial" w:hint="cs"/>
          <w:rtl/>
        </w:rPr>
        <w:t xml:space="preserve"> </w:t>
      </w:r>
      <w:r>
        <w:rPr>
          <w:rFonts w:cs="Arial" w:hint="cs"/>
          <w:sz w:val="16"/>
          <w:szCs w:val="16"/>
          <w:rtl/>
        </w:rPr>
        <w:t>(תוספת מערבי פסחים קו ע"ב)</w:t>
      </w:r>
      <w:r>
        <w:rPr>
          <w:rFonts w:cs="Arial" w:hint="cs"/>
          <w:rtl/>
        </w:rPr>
        <w:t xml:space="preserve">- </w:t>
      </w:r>
      <w:r w:rsidRPr="003A3CB9">
        <w:rPr>
          <w:rFonts w:cs="Arial"/>
          <w:rtl/>
        </w:rPr>
        <w:t>אפי' לכתחלה יכול ליטול קודם הקידוש</w:t>
      </w:r>
      <w:r>
        <w:rPr>
          <w:rStyle w:val="a9"/>
          <w:rFonts w:cs="Arial"/>
          <w:rtl/>
        </w:rPr>
        <w:footnoteReference w:id="934"/>
      </w:r>
      <w:r>
        <w:rPr>
          <w:rFonts w:cs="Arial" w:hint="cs"/>
          <w:sz w:val="16"/>
          <w:szCs w:val="16"/>
          <w:rtl/>
        </w:rPr>
        <w:t xml:space="preserve"> (ל' הטור בשמם)</w:t>
      </w:r>
      <w:r>
        <w:rPr>
          <w:rFonts w:cs="Arial" w:hint="cs"/>
          <w:rtl/>
        </w:rPr>
        <w:t>.</w:t>
      </w:r>
      <w:r>
        <w:rPr>
          <w:rFonts w:hint="cs"/>
          <w:rtl/>
        </w:rPr>
        <w:t xml:space="preserve"> </w:t>
      </w:r>
      <w:r w:rsidRPr="008A5C36">
        <w:rPr>
          <w:rFonts w:hint="cs"/>
          <w:color w:val="00B0F0"/>
          <w:rtl/>
        </w:rPr>
        <w:t>(וכ"פ הרמ"א)</w:t>
      </w:r>
    </w:p>
    <w:p w14:paraId="3E891D50" w14:textId="77777777" w:rsidR="004B2E7C" w:rsidRPr="000E5C2C" w:rsidRDefault="004B2E7C" w:rsidP="00FF2D21">
      <w:pPr>
        <w:pStyle w:val="aa"/>
        <w:numPr>
          <w:ilvl w:val="1"/>
          <w:numId w:val="119"/>
        </w:numPr>
        <w:rPr>
          <w:rtl/>
        </w:rPr>
      </w:pPr>
      <w:r>
        <w:rPr>
          <w:rFonts w:hint="cs"/>
          <w:rtl/>
        </w:rPr>
        <w:t xml:space="preserve">ב"י- </w:t>
      </w:r>
      <w:r w:rsidRPr="00B56299">
        <w:rPr>
          <w:rFonts w:cs="Arial"/>
          <w:rtl/>
        </w:rPr>
        <w:t>ואע</w:t>
      </w:r>
      <w:r>
        <w:rPr>
          <w:rFonts w:cs="Arial" w:hint="cs"/>
          <w:rtl/>
        </w:rPr>
        <w:t>"</w:t>
      </w:r>
      <w:r w:rsidRPr="00B56299">
        <w:rPr>
          <w:rFonts w:cs="Arial"/>
          <w:rtl/>
        </w:rPr>
        <w:t>פ שתמה רבינו על מנהג הרא"ש</w:t>
      </w:r>
      <w:r>
        <w:rPr>
          <w:rFonts w:cs="Arial" w:hint="cs"/>
          <w:rtl/>
        </w:rPr>
        <w:t>,</w:t>
      </w:r>
      <w:r w:rsidRPr="00B56299">
        <w:rPr>
          <w:rFonts w:cs="Arial"/>
          <w:rtl/>
        </w:rPr>
        <w:t xml:space="preserve"> ראיתי כמה בני אדם נוהגים ליטול ידיהם קודם קידוש לעולם ואומרים שכך היה מנהג פשוט בספרד</w:t>
      </w:r>
      <w:r w:rsidRPr="00B56299">
        <w:rPr>
          <w:rFonts w:cs="Arial" w:hint="cs"/>
          <w:rtl/>
        </w:rPr>
        <w:t>.</w:t>
      </w:r>
      <w:r w:rsidRPr="00B56299">
        <w:rPr>
          <w:rFonts w:cs="Arial"/>
          <w:rtl/>
        </w:rPr>
        <w:t xml:space="preserve"> ותמהני עליהם</w:t>
      </w:r>
      <w:r w:rsidRPr="00B56299">
        <w:rPr>
          <w:rFonts w:cs="Arial" w:hint="cs"/>
          <w:rtl/>
        </w:rPr>
        <w:t>,</w:t>
      </w:r>
      <w:r w:rsidRPr="00B56299">
        <w:rPr>
          <w:rFonts w:cs="Arial"/>
          <w:rtl/>
        </w:rPr>
        <w:t xml:space="preserve"> דכיון דלהרי"ף וסיעתו </w:t>
      </w:r>
      <w:r>
        <w:rPr>
          <w:rFonts w:cs="Arial" w:hint="cs"/>
          <w:sz w:val="16"/>
          <w:szCs w:val="16"/>
          <w:rtl/>
        </w:rPr>
        <w:t xml:space="preserve">{אם יין חביב לו יותר מפת} </w:t>
      </w:r>
      <w:r w:rsidRPr="00B56299">
        <w:rPr>
          <w:rFonts w:cs="Arial"/>
          <w:rtl/>
        </w:rPr>
        <w:t>צריך לקדש קודם שיטול ידיו</w:t>
      </w:r>
      <w:r w:rsidRPr="00B56299">
        <w:rPr>
          <w:rFonts w:cs="Arial" w:hint="cs"/>
          <w:rtl/>
        </w:rPr>
        <w:t>,</w:t>
      </w:r>
      <w:r w:rsidRPr="00B56299">
        <w:rPr>
          <w:rFonts w:cs="Arial"/>
          <w:rtl/>
        </w:rPr>
        <w:t xml:space="preserve"> ואם נטל ידיו קודם קידוש לא יקדש ביין</w:t>
      </w:r>
      <w:r>
        <w:rPr>
          <w:rFonts w:cs="Arial" w:hint="cs"/>
          <w:rtl/>
        </w:rPr>
        <w:t>.</w:t>
      </w:r>
      <w:r w:rsidRPr="00B56299">
        <w:rPr>
          <w:rFonts w:cs="Arial"/>
          <w:rtl/>
        </w:rPr>
        <w:t xml:space="preserve"> ולדעת רשב"ם טוב לקדש קודם מההיא דמוזגין את הכוס ואח</w:t>
      </w:r>
      <w:r>
        <w:rPr>
          <w:rFonts w:cs="Arial" w:hint="cs"/>
          <w:rtl/>
        </w:rPr>
        <w:t>"</w:t>
      </w:r>
      <w:r w:rsidRPr="00B56299">
        <w:rPr>
          <w:rFonts w:cs="Arial"/>
          <w:rtl/>
        </w:rPr>
        <w:t>כ נוטלין לידים</w:t>
      </w:r>
      <w:r>
        <w:rPr>
          <w:rFonts w:cs="Arial" w:hint="cs"/>
          <w:rtl/>
        </w:rPr>
        <w:t>.</w:t>
      </w:r>
      <w:r w:rsidRPr="00B56299">
        <w:rPr>
          <w:rFonts w:cs="Arial"/>
          <w:rtl/>
        </w:rPr>
        <w:t xml:space="preserve"> והרז"ה שלא ביאר דבריו בזה מסתמא יפרש המשנה כפשטה</w:t>
      </w:r>
      <w:r>
        <w:rPr>
          <w:rFonts w:cs="Arial" w:hint="cs"/>
          <w:rtl/>
        </w:rPr>
        <w:t>,</w:t>
      </w:r>
      <w:r w:rsidRPr="00B56299">
        <w:rPr>
          <w:rFonts w:cs="Arial"/>
          <w:rtl/>
        </w:rPr>
        <w:t xml:space="preserve"> וכדברי רשב"ם</w:t>
      </w:r>
      <w:r w:rsidRPr="00B56299">
        <w:rPr>
          <w:rFonts w:cs="Arial" w:hint="cs"/>
          <w:rtl/>
        </w:rPr>
        <w:t>.</w:t>
      </w:r>
      <w:r w:rsidRPr="00B56299">
        <w:rPr>
          <w:rFonts w:cs="Arial"/>
          <w:rtl/>
        </w:rPr>
        <w:t xml:space="preserve"> וגם ר</w:t>
      </w:r>
      <w:r>
        <w:rPr>
          <w:rFonts w:cs="Arial" w:hint="cs"/>
          <w:rtl/>
        </w:rPr>
        <w:t>"</w:t>
      </w:r>
      <w:r w:rsidRPr="00B56299">
        <w:rPr>
          <w:rFonts w:cs="Arial"/>
          <w:rtl/>
        </w:rPr>
        <w:t>ת ור"י שדחו ראיית אותה משנה ומפרשים מקדש אריפתא כלומר מקדש אחמרא על דעת לאכול מיד ריפתא והיה נוטל ידיו מיד קודם קידוש</w:t>
      </w:r>
      <w:r w:rsidRPr="00B56299">
        <w:rPr>
          <w:rFonts w:cs="Arial" w:hint="cs"/>
          <w:rtl/>
        </w:rPr>
        <w:t>,</w:t>
      </w:r>
      <w:r w:rsidRPr="00B56299">
        <w:rPr>
          <w:rFonts w:cs="Arial"/>
          <w:rtl/>
        </w:rPr>
        <w:t xml:space="preserve"> היינו משום דס"ל דאין מקדשין על הפת</w:t>
      </w:r>
      <w:r w:rsidRPr="00B56299">
        <w:rPr>
          <w:rFonts w:cs="Arial" w:hint="cs"/>
          <w:rtl/>
        </w:rPr>
        <w:t>,</w:t>
      </w:r>
      <w:r w:rsidRPr="00B56299">
        <w:rPr>
          <w:rFonts w:cs="Arial"/>
          <w:rtl/>
        </w:rPr>
        <w:t xml:space="preserve"> אבל לדידן דקיימא לן מקדשין על הפת ודאי דמקדש אריפתא היינו שמקדש על הפת</w:t>
      </w:r>
      <w:r w:rsidRPr="00B56299">
        <w:rPr>
          <w:rFonts w:cs="Arial" w:hint="cs"/>
          <w:rtl/>
        </w:rPr>
        <w:t>,</w:t>
      </w:r>
      <w:r w:rsidRPr="00B56299">
        <w:rPr>
          <w:rFonts w:cs="Arial"/>
          <w:rtl/>
        </w:rPr>
        <w:t xml:space="preserve"> ואם כן אין ראיה שהמקדש על היין יהא צריך ליטול ידיו קודם. ועוד שרבינו לא כתב שלדעת ר</w:t>
      </w:r>
      <w:r>
        <w:rPr>
          <w:rFonts w:cs="Arial" w:hint="cs"/>
          <w:rtl/>
        </w:rPr>
        <w:t>"</w:t>
      </w:r>
      <w:r w:rsidRPr="00B56299">
        <w:rPr>
          <w:rFonts w:cs="Arial"/>
          <w:rtl/>
        </w:rPr>
        <w:t>ת ור"י צריך ליטול ידיו קודם קידוש</w:t>
      </w:r>
      <w:r w:rsidRPr="00B56299">
        <w:rPr>
          <w:rFonts w:cs="Arial" w:hint="cs"/>
          <w:rtl/>
        </w:rPr>
        <w:t>,</w:t>
      </w:r>
      <w:r w:rsidRPr="00B56299">
        <w:rPr>
          <w:rFonts w:cs="Arial"/>
          <w:rtl/>
        </w:rPr>
        <w:t xml:space="preserve"> אלא שיכול ליטול ידיו</w:t>
      </w:r>
      <w:r>
        <w:rPr>
          <w:rFonts w:cs="Arial" w:hint="cs"/>
          <w:rtl/>
        </w:rPr>
        <w:t>,</w:t>
      </w:r>
      <w:r w:rsidRPr="00B56299">
        <w:rPr>
          <w:rFonts w:cs="Arial"/>
          <w:rtl/>
        </w:rPr>
        <w:t xml:space="preserve"> כלומר דלא הוי היסח דעת</w:t>
      </w:r>
      <w:r w:rsidRPr="00B56299">
        <w:rPr>
          <w:rFonts w:cs="Arial" w:hint="cs"/>
          <w:rtl/>
        </w:rPr>
        <w:t>,</w:t>
      </w:r>
      <w:r w:rsidRPr="00B56299">
        <w:rPr>
          <w:rFonts w:cs="Arial"/>
          <w:rtl/>
        </w:rPr>
        <w:t xml:space="preserve"> ומיהו אם רצה שלא ליטול ידיו עד אחר קידוש הרשות בידו</w:t>
      </w:r>
      <w:r w:rsidRPr="00B56299">
        <w:rPr>
          <w:rFonts w:cs="Arial" w:hint="cs"/>
          <w:rtl/>
        </w:rPr>
        <w:t xml:space="preserve"> -</w:t>
      </w:r>
      <w:r w:rsidRPr="00B56299">
        <w:rPr>
          <w:rFonts w:cs="Arial"/>
          <w:rtl/>
        </w:rPr>
        <w:t xml:space="preserve"> למה להם לנהוג כן בקביעות נגד כמה רבוותא במקום דאפילו לדעת רבינו תם ור"י אינם צריכים לעשות כן בקביעות</w:t>
      </w:r>
      <w:r>
        <w:rPr>
          <w:rStyle w:val="a9"/>
          <w:rFonts w:cs="Arial"/>
          <w:rtl/>
        </w:rPr>
        <w:footnoteReference w:id="935"/>
      </w:r>
      <w:r>
        <w:rPr>
          <w:rFonts w:cs="Arial" w:hint="cs"/>
          <w:rtl/>
        </w:rPr>
        <w:t xml:space="preserve"> -</w:t>
      </w:r>
      <w:r w:rsidRPr="00B56299">
        <w:rPr>
          <w:rFonts w:cs="Arial"/>
          <w:rtl/>
        </w:rPr>
        <w:t xml:space="preserve"> הילכך לקדש קודם נטילה עדיף טפי כנ"ל</w:t>
      </w:r>
      <w:r>
        <w:rPr>
          <w:rStyle w:val="a9"/>
          <w:rFonts w:cs="Arial"/>
          <w:rtl/>
        </w:rPr>
        <w:footnoteReference w:id="936"/>
      </w:r>
      <w:r>
        <w:rPr>
          <w:rFonts w:cs="Arial" w:hint="cs"/>
          <w:rtl/>
        </w:rPr>
        <w:t xml:space="preserve">. </w:t>
      </w:r>
      <w:r w:rsidRPr="008A5C36">
        <w:rPr>
          <w:rFonts w:cs="Arial" w:hint="cs"/>
          <w:color w:val="E36C0A" w:themeColor="accent6" w:themeShade="BF"/>
          <w:rtl/>
        </w:rPr>
        <w:t>(וכ"פ בשו"ע</w:t>
      </w:r>
      <w:r>
        <w:rPr>
          <w:rFonts w:cs="Arial" w:hint="cs"/>
          <w:color w:val="E36C0A" w:themeColor="accent6" w:themeShade="BF"/>
          <w:rtl/>
        </w:rPr>
        <w:t>)</w:t>
      </w:r>
    </w:p>
    <w:p w14:paraId="2D3669A5"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B7FA1C8" w14:textId="77777777" w:rsidR="004B2E7C" w:rsidRDefault="004B2E7C" w:rsidP="00434A6A">
      <w:pPr>
        <w:rPr>
          <w:rFonts w:asciiTheme="minorBidi" w:hAnsiTheme="minorBidi"/>
          <w:rtl/>
        </w:rPr>
      </w:pPr>
      <w:r w:rsidRPr="00CC2350">
        <w:rPr>
          <w:rFonts w:asciiTheme="minorBidi" w:hAnsiTheme="minorBidi" w:cs="Arial"/>
          <w:rtl/>
        </w:rPr>
        <w:t>אחר שקידש על כוס</w:t>
      </w:r>
      <w:r>
        <w:rPr>
          <w:rStyle w:val="a9"/>
          <w:rFonts w:asciiTheme="minorBidi" w:hAnsiTheme="minorBidi" w:cs="Arial"/>
          <w:rtl/>
        </w:rPr>
        <w:footnoteReference w:id="937"/>
      </w:r>
      <w:r w:rsidRPr="00CC2350">
        <w:rPr>
          <w:rFonts w:asciiTheme="minorBidi" w:hAnsiTheme="minorBidi" w:cs="Arial"/>
          <w:rtl/>
        </w:rPr>
        <w:t>, נוטל ידיו ומברך ע</w:t>
      </w:r>
      <w:r>
        <w:rPr>
          <w:rFonts w:asciiTheme="minorBidi" w:hAnsiTheme="minorBidi" w:cs="Arial" w:hint="cs"/>
          <w:rtl/>
        </w:rPr>
        <w:t>ל נטילת ידים.</w:t>
      </w:r>
      <w:r w:rsidRPr="00CC2350">
        <w:rPr>
          <w:rFonts w:asciiTheme="minorBidi" w:hAnsiTheme="minorBidi" w:cs="Arial"/>
          <w:rtl/>
        </w:rPr>
        <w:t xml:space="preserve"> ואם נטל ידיו קודם קידוש גלי דעתיה דריפתא חביבא ליה, לא יקדש על היין אלא על הפת. </w:t>
      </w:r>
      <w:r w:rsidRPr="004844A4">
        <w:rPr>
          <w:rFonts w:asciiTheme="minorBidi" w:hAnsiTheme="minorBidi" w:cs="Arial"/>
          <w:sz w:val="18"/>
          <w:szCs w:val="18"/>
          <w:rtl/>
        </w:rPr>
        <w:t>הגה: וי"א דלכתחלה יש ליטול ידיו קודם הקידוש ולקדש על היין</w:t>
      </w:r>
      <w:r>
        <w:rPr>
          <w:rStyle w:val="a9"/>
          <w:rFonts w:asciiTheme="minorBidi" w:hAnsiTheme="minorBidi" w:cs="Arial"/>
          <w:sz w:val="18"/>
          <w:szCs w:val="18"/>
          <w:rtl/>
        </w:rPr>
        <w:footnoteReference w:id="938"/>
      </w:r>
      <w:r w:rsidRPr="004844A4">
        <w:rPr>
          <w:rFonts w:asciiTheme="minorBidi" w:hAnsiTheme="minorBidi" w:cs="Arial"/>
          <w:sz w:val="18"/>
          <w:szCs w:val="18"/>
          <w:rtl/>
        </w:rPr>
        <w:t xml:space="preserve"> (רא"ש מרדכי רשב"א והגה"מ</w:t>
      </w:r>
      <w:r>
        <w:rPr>
          <w:rFonts w:asciiTheme="minorBidi" w:hAnsiTheme="minorBidi" w:cs="Arial" w:hint="cs"/>
          <w:sz w:val="18"/>
          <w:szCs w:val="18"/>
          <w:rtl/>
        </w:rPr>
        <w:t xml:space="preserve"> [להב' הדרכ"מ]</w:t>
      </w:r>
      <w:r w:rsidRPr="004844A4">
        <w:rPr>
          <w:rFonts w:asciiTheme="minorBidi" w:hAnsiTheme="minorBidi" w:cs="Arial"/>
          <w:sz w:val="18"/>
          <w:szCs w:val="18"/>
          <w:rtl/>
        </w:rPr>
        <w:t>). וכן המנהג פשוט במדינות אלו</w:t>
      </w:r>
      <w:r>
        <w:rPr>
          <w:rFonts w:asciiTheme="minorBidi" w:hAnsiTheme="minorBidi" w:cs="Arial" w:hint="cs"/>
          <w:sz w:val="18"/>
          <w:szCs w:val="18"/>
          <w:rtl/>
        </w:rPr>
        <w:t>,</w:t>
      </w:r>
      <w:r w:rsidRPr="004844A4">
        <w:rPr>
          <w:rFonts w:asciiTheme="minorBidi" w:hAnsiTheme="minorBidi" w:cs="Arial"/>
          <w:sz w:val="18"/>
          <w:szCs w:val="18"/>
          <w:rtl/>
        </w:rPr>
        <w:t xml:space="preserve"> ואין לשנות</w:t>
      </w:r>
      <w:r>
        <w:rPr>
          <w:rStyle w:val="a9"/>
          <w:rFonts w:asciiTheme="minorBidi" w:hAnsiTheme="minorBidi" w:cs="Arial"/>
          <w:sz w:val="18"/>
          <w:szCs w:val="18"/>
          <w:rtl/>
        </w:rPr>
        <w:footnoteReference w:id="939"/>
      </w:r>
      <w:r>
        <w:rPr>
          <w:rFonts w:asciiTheme="minorBidi" w:hAnsiTheme="minorBidi" w:cs="Arial" w:hint="cs"/>
          <w:sz w:val="18"/>
          <w:szCs w:val="18"/>
          <w:rtl/>
        </w:rPr>
        <w:t>,</w:t>
      </w:r>
      <w:r w:rsidRPr="004844A4">
        <w:rPr>
          <w:rFonts w:asciiTheme="minorBidi" w:hAnsiTheme="minorBidi" w:cs="Arial"/>
          <w:sz w:val="18"/>
          <w:szCs w:val="18"/>
          <w:rtl/>
        </w:rPr>
        <w:t xml:space="preserve"> רק בליל פסח</w:t>
      </w:r>
      <w:r>
        <w:rPr>
          <w:rFonts w:asciiTheme="minorBidi" w:hAnsiTheme="minorBidi" w:cs="Arial" w:hint="cs"/>
          <w:sz w:val="18"/>
          <w:szCs w:val="18"/>
          <w:rtl/>
        </w:rPr>
        <w:t>,</w:t>
      </w:r>
      <w:r w:rsidRPr="004844A4">
        <w:rPr>
          <w:rFonts w:asciiTheme="minorBidi" w:hAnsiTheme="minorBidi" w:cs="Arial"/>
          <w:sz w:val="18"/>
          <w:szCs w:val="18"/>
          <w:rtl/>
        </w:rPr>
        <w:t xml:space="preserve"> כמו שיתבאר סי' תע"ג. </w:t>
      </w:r>
    </w:p>
    <w:p w14:paraId="0A6E2A09" w14:textId="77777777" w:rsidR="004B2E7C" w:rsidRPr="00CC2350" w:rsidRDefault="004B2E7C" w:rsidP="00434A6A">
      <w:pPr>
        <w:rPr>
          <w:rFonts w:asciiTheme="minorBidi" w:hAnsiTheme="minorBidi"/>
          <w:rtl/>
        </w:rPr>
      </w:pPr>
    </w:p>
    <w:p w14:paraId="3F4F4D79" w14:textId="77777777" w:rsidR="004B2E7C" w:rsidRDefault="004B2E7C" w:rsidP="00434A6A">
      <w:pPr>
        <w:pStyle w:val="2"/>
        <w:rPr>
          <w:rtl/>
        </w:rPr>
      </w:pPr>
      <w:r w:rsidRPr="00CC2350">
        <w:rPr>
          <w:rtl/>
        </w:rPr>
        <w:t>סעיף יג</w:t>
      </w:r>
      <w:r>
        <w:rPr>
          <w:rFonts w:hint="cs"/>
          <w:rtl/>
        </w:rPr>
        <w:t>: שיעור השתיה מכוס הקידוש.</w:t>
      </w:r>
    </w:p>
    <w:p w14:paraId="605BE941" w14:textId="77777777" w:rsidR="004B2E7C" w:rsidRDefault="004B2E7C" w:rsidP="00434A6A">
      <w:pPr>
        <w:rPr>
          <w:rtl/>
        </w:rPr>
      </w:pPr>
      <w:r w:rsidRPr="008036C3">
        <w:rPr>
          <w:rFonts w:cs="Arial" w:hint="cs"/>
          <w:b/>
          <w:bCs/>
          <w:rtl/>
        </w:rPr>
        <w:t xml:space="preserve">פסחים </w:t>
      </w:r>
      <w:r w:rsidRPr="008036C3">
        <w:rPr>
          <w:rFonts w:cs="Arial" w:hint="cs"/>
          <w:b/>
          <w:bCs/>
          <w:sz w:val="16"/>
          <w:szCs w:val="16"/>
          <w:rtl/>
        </w:rPr>
        <w:t>(פ</w:t>
      </w:r>
      <w:r>
        <w:rPr>
          <w:rFonts w:cs="Arial" w:hint="cs"/>
          <w:b/>
          <w:bCs/>
          <w:sz w:val="16"/>
          <w:szCs w:val="16"/>
          <w:rtl/>
        </w:rPr>
        <w:t>'</w:t>
      </w:r>
      <w:r w:rsidRPr="008036C3">
        <w:rPr>
          <w:rFonts w:cs="Arial" w:hint="cs"/>
          <w:b/>
          <w:bCs/>
          <w:sz w:val="16"/>
          <w:szCs w:val="16"/>
          <w:rtl/>
        </w:rPr>
        <w:t xml:space="preserve"> ערבי פסחים) </w:t>
      </w:r>
      <w:r w:rsidRPr="008036C3">
        <w:rPr>
          <w:rFonts w:cs="Arial" w:hint="cs"/>
          <w:b/>
          <w:bCs/>
          <w:rtl/>
        </w:rPr>
        <w:t>ק</w:t>
      </w:r>
      <w:r>
        <w:rPr>
          <w:rFonts w:cs="Arial" w:hint="cs"/>
          <w:b/>
          <w:bCs/>
          <w:rtl/>
        </w:rPr>
        <w:t>ה</w:t>
      </w:r>
      <w:r w:rsidRPr="008036C3">
        <w:rPr>
          <w:rFonts w:cs="Arial" w:hint="cs"/>
          <w:b/>
          <w:bCs/>
          <w:rtl/>
        </w:rPr>
        <w:t xml:space="preserve"> ע"</w:t>
      </w:r>
      <w:r>
        <w:rPr>
          <w:rFonts w:cs="Arial" w:hint="cs"/>
          <w:b/>
          <w:bCs/>
          <w:rtl/>
        </w:rPr>
        <w:t>ב</w:t>
      </w:r>
      <w:r w:rsidRPr="008036C3">
        <w:rPr>
          <w:rFonts w:cs="Arial" w:hint="cs"/>
          <w:b/>
          <w:bCs/>
          <w:rtl/>
        </w:rPr>
        <w:t>:</w:t>
      </w:r>
      <w:r>
        <w:rPr>
          <w:rFonts w:cs="Arial" w:hint="cs"/>
          <w:rtl/>
        </w:rPr>
        <w:t xml:space="preserve"> </w:t>
      </w:r>
      <w:r w:rsidRPr="00B02631">
        <w:rPr>
          <w:rFonts w:cs="Arial"/>
          <w:rtl/>
        </w:rPr>
        <w:t>תניא: הנכנס לביתו במוצאי שבת - מברך על היין, ועל המאור, ועל הבשמים, ואחר כך אומר הבדלה על הכוס. ואם אין לו אלא כוס אחד - מניחו עד לאחר המזון, ומשלשלן כולן לאחריו.</w:t>
      </w:r>
      <w:r>
        <w:rPr>
          <w:rFonts w:cs="Arial" w:hint="cs"/>
          <w:rtl/>
        </w:rPr>
        <w:t>..</w:t>
      </w:r>
      <w:r w:rsidRPr="00B02631">
        <w:rPr>
          <w:rFonts w:cs="Arial"/>
          <w:rtl/>
        </w:rPr>
        <w:t xml:space="preserve"> </w:t>
      </w:r>
      <w:r w:rsidRPr="00344526">
        <w:rPr>
          <w:rFonts w:cs="Arial"/>
          <w:rtl/>
        </w:rPr>
        <w:t>שמע מינה מיהא מתניתא תמני</w:t>
      </w:r>
      <w:r>
        <w:rPr>
          <w:rFonts w:cs="Arial" w:hint="cs"/>
          <w:rtl/>
        </w:rPr>
        <w:t>...</w:t>
      </w:r>
      <w:r w:rsidRPr="00344526">
        <w:rPr>
          <w:rFonts w:cs="Arial"/>
          <w:rtl/>
        </w:rPr>
        <w:t xml:space="preserve"> ושמע מינה: המברך צריך שיטעום</w:t>
      </w:r>
      <w:r>
        <w:rPr>
          <w:rStyle w:val="a9"/>
          <w:rFonts w:cs="Arial"/>
          <w:rtl/>
        </w:rPr>
        <w:footnoteReference w:id="940"/>
      </w:r>
      <w:r>
        <w:rPr>
          <w:rFonts w:cs="Arial" w:hint="cs"/>
          <w:rtl/>
        </w:rPr>
        <w:t>...</w:t>
      </w:r>
      <w:r>
        <w:rPr>
          <w:rFonts w:cs="Arial" w:hint="cs"/>
          <w:sz w:val="14"/>
          <w:szCs w:val="14"/>
          <w:rtl/>
        </w:rPr>
        <w:t xml:space="preserve"> (קז.)</w:t>
      </w:r>
      <w:r>
        <w:rPr>
          <w:rFonts w:cs="Arial" w:hint="cs"/>
          <w:rtl/>
        </w:rPr>
        <w:t xml:space="preserve"> </w:t>
      </w:r>
      <w:r w:rsidRPr="00F11129">
        <w:rPr>
          <w:rFonts w:cs="Arial"/>
          <w:rtl/>
        </w:rPr>
        <w:t>מטעמת יין - כל שהוא</w:t>
      </w:r>
      <w:r>
        <w:rPr>
          <w:rStyle w:val="a9"/>
          <w:rFonts w:cs="Arial"/>
          <w:rtl/>
        </w:rPr>
        <w:footnoteReference w:id="941"/>
      </w:r>
      <w:r>
        <w:rPr>
          <w:rFonts w:cs="Arial" w:hint="cs"/>
          <w:rtl/>
        </w:rPr>
        <w:t>.</w:t>
      </w:r>
      <w:r w:rsidRPr="00F11129">
        <w:rPr>
          <w:rFonts w:cs="Arial"/>
          <w:rtl/>
        </w:rPr>
        <w:t xml:space="preserve"> </w:t>
      </w:r>
      <w:r w:rsidRPr="00F11129">
        <w:rPr>
          <w:rFonts w:cs="Arial"/>
          <w:u w:val="single"/>
          <w:rtl/>
        </w:rPr>
        <w:t>רבי יוסי בר יהודה אומר</w:t>
      </w:r>
      <w:r w:rsidRPr="00F11129">
        <w:rPr>
          <w:rFonts w:cs="Arial"/>
          <w:rtl/>
        </w:rPr>
        <w:t xml:space="preserve">: מלא לוגמא. </w:t>
      </w:r>
      <w:r w:rsidRPr="002C22DF">
        <w:rPr>
          <w:rFonts w:cs="Arial"/>
          <w:u w:val="single"/>
          <w:rtl/>
        </w:rPr>
        <w:t>אמר רב הונא אמר רב</w:t>
      </w:r>
      <w:r>
        <w:rPr>
          <w:rFonts w:cs="Arial" w:hint="cs"/>
          <w:rtl/>
        </w:rPr>
        <w:t>:</w:t>
      </w:r>
      <w:r w:rsidRPr="00F11129">
        <w:rPr>
          <w:rFonts w:cs="Arial"/>
          <w:rtl/>
        </w:rPr>
        <w:t xml:space="preserve"> וכן תני רב גידל דמן נרש</w:t>
      </w:r>
      <w:r>
        <w:rPr>
          <w:rFonts w:cs="Arial" w:hint="cs"/>
          <w:rtl/>
        </w:rPr>
        <w:t>,</w:t>
      </w:r>
      <w:r w:rsidRPr="00F11129">
        <w:rPr>
          <w:rFonts w:cs="Arial"/>
          <w:rtl/>
        </w:rPr>
        <w:t xml:space="preserve"> המקדש וטעם מלא לוגמא - יצא, ואם לאו - לא יצא.</w:t>
      </w:r>
      <w:r>
        <w:rPr>
          <w:rFonts w:hint="cs"/>
          <w:rtl/>
        </w:rPr>
        <w:t xml:space="preserve"> </w:t>
      </w:r>
      <w:r w:rsidRPr="00155CD7">
        <w:rPr>
          <w:rFonts w:hint="cs"/>
          <w:sz w:val="16"/>
          <w:szCs w:val="16"/>
          <w:rtl/>
        </w:rPr>
        <w:t>(</w:t>
      </w:r>
      <w:r w:rsidRPr="00155CD7">
        <w:rPr>
          <w:rFonts w:cs="Arial"/>
          <w:sz w:val="16"/>
          <w:szCs w:val="16"/>
          <w:rtl/>
        </w:rPr>
        <w:t>וכתבו התוספות (שם ד"ה אם טעם) והרא"ש (סי' יח) והר"ן (כב: ד"ה אם טעם) דלאו מלא לוגמיו ממש קאמר אלא כדמפרש בפרק בתרא דיומא כל שאילו מסלקו לצד אחד ויראה כמלא לוגמיו</w:t>
      </w:r>
      <w:r w:rsidRPr="00155CD7">
        <w:rPr>
          <w:rFonts w:cs="Arial" w:hint="cs"/>
          <w:sz w:val="16"/>
          <w:szCs w:val="16"/>
          <w:rtl/>
        </w:rPr>
        <w:t>.</w:t>
      </w:r>
      <w:r w:rsidRPr="00155CD7">
        <w:rPr>
          <w:rFonts w:cs="Arial"/>
          <w:sz w:val="16"/>
          <w:szCs w:val="16"/>
          <w:rtl/>
        </w:rPr>
        <w:t xml:space="preserve"> והוא פחות מרביעית</w:t>
      </w:r>
      <w:r w:rsidRPr="00155CD7">
        <w:rPr>
          <w:rFonts w:cs="Arial" w:hint="cs"/>
          <w:sz w:val="16"/>
          <w:szCs w:val="16"/>
          <w:rtl/>
        </w:rPr>
        <w:t>,</w:t>
      </w:r>
      <w:r w:rsidRPr="00155CD7">
        <w:rPr>
          <w:rFonts w:cs="Arial"/>
          <w:sz w:val="16"/>
          <w:szCs w:val="16"/>
          <w:rtl/>
        </w:rPr>
        <w:t xml:space="preserve"> כדאמרינן התם</w:t>
      </w:r>
      <w:r w:rsidRPr="00155CD7">
        <w:rPr>
          <w:rFonts w:cs="Arial" w:hint="cs"/>
          <w:sz w:val="16"/>
          <w:szCs w:val="16"/>
          <w:rtl/>
        </w:rPr>
        <w:t>.</w:t>
      </w:r>
      <w:r w:rsidRPr="00155CD7">
        <w:rPr>
          <w:rFonts w:cs="Arial"/>
          <w:sz w:val="16"/>
          <w:szCs w:val="16"/>
          <w:rtl/>
        </w:rPr>
        <w:t xml:space="preserve"> ונראה שהוא רוב רביעית</w:t>
      </w:r>
      <w:r w:rsidRPr="00155CD7">
        <w:rPr>
          <w:rFonts w:cs="Arial" w:hint="cs"/>
          <w:sz w:val="16"/>
          <w:szCs w:val="16"/>
          <w:rtl/>
        </w:rPr>
        <w:t>,</w:t>
      </w:r>
      <w:r w:rsidRPr="00155CD7">
        <w:rPr>
          <w:rFonts w:cs="Arial"/>
          <w:sz w:val="16"/>
          <w:szCs w:val="16"/>
          <w:rtl/>
        </w:rPr>
        <w:t xml:space="preserve"> דאמרינן לקמן (פסחים קח:) והוא דשתה רובא דכסא</w:t>
      </w:r>
      <w:r w:rsidRPr="00155CD7">
        <w:rPr>
          <w:rFonts w:cs="Arial" w:hint="cs"/>
          <w:sz w:val="16"/>
          <w:szCs w:val="16"/>
          <w:rtl/>
        </w:rPr>
        <w:t>.</w:t>
      </w:r>
      <w:r w:rsidRPr="00155CD7">
        <w:rPr>
          <w:rFonts w:cs="Arial"/>
          <w:sz w:val="16"/>
          <w:szCs w:val="16"/>
          <w:rtl/>
        </w:rPr>
        <w:t xml:space="preserve"> וסיים בה הרא"ש ודלא כרב עמרם ורב צמח גאון (ספר העתים סי' קמא ע' קפה) שכתבו אם קידש ולא טעם רביעית לא יצא עכ"ל</w:t>
      </w:r>
      <w:r>
        <w:rPr>
          <w:rFonts w:cs="Arial" w:hint="cs"/>
          <w:sz w:val="16"/>
          <w:szCs w:val="16"/>
          <w:rtl/>
        </w:rPr>
        <w:t>, ב"י)</w:t>
      </w:r>
    </w:p>
    <w:p w14:paraId="41105BB3" w14:textId="77777777" w:rsidR="004B2E7C" w:rsidRDefault="004B2E7C" w:rsidP="00434A6A">
      <w:pPr>
        <w:rPr>
          <w:rtl/>
        </w:rPr>
      </w:pPr>
      <w:r w:rsidRPr="008036C3">
        <w:rPr>
          <w:rFonts w:cs="Arial" w:hint="cs"/>
          <w:b/>
          <w:bCs/>
          <w:rtl/>
        </w:rPr>
        <w:t xml:space="preserve">פסחים </w:t>
      </w:r>
      <w:r w:rsidRPr="008036C3">
        <w:rPr>
          <w:rFonts w:cs="Arial" w:hint="cs"/>
          <w:b/>
          <w:bCs/>
          <w:sz w:val="16"/>
          <w:szCs w:val="16"/>
          <w:rtl/>
        </w:rPr>
        <w:t>(פ</w:t>
      </w:r>
      <w:r>
        <w:rPr>
          <w:rFonts w:cs="Arial" w:hint="cs"/>
          <w:b/>
          <w:bCs/>
          <w:sz w:val="16"/>
          <w:szCs w:val="16"/>
          <w:rtl/>
        </w:rPr>
        <w:t>'</w:t>
      </w:r>
      <w:r w:rsidRPr="008036C3">
        <w:rPr>
          <w:rFonts w:cs="Arial" w:hint="cs"/>
          <w:b/>
          <w:bCs/>
          <w:sz w:val="16"/>
          <w:szCs w:val="16"/>
          <w:rtl/>
        </w:rPr>
        <w:t xml:space="preserve"> ערבי פסחים) </w:t>
      </w:r>
      <w:r w:rsidRPr="008036C3">
        <w:rPr>
          <w:rFonts w:cs="Arial" w:hint="cs"/>
          <w:b/>
          <w:bCs/>
          <w:rtl/>
        </w:rPr>
        <w:t>ק</w:t>
      </w:r>
      <w:r>
        <w:rPr>
          <w:rFonts w:cs="Arial" w:hint="cs"/>
          <w:b/>
          <w:bCs/>
          <w:rtl/>
        </w:rPr>
        <w:t>ח</w:t>
      </w:r>
      <w:r w:rsidRPr="008036C3">
        <w:rPr>
          <w:rFonts w:cs="Arial" w:hint="cs"/>
          <w:b/>
          <w:bCs/>
          <w:rtl/>
        </w:rPr>
        <w:t xml:space="preserve"> ע"</w:t>
      </w:r>
      <w:r>
        <w:rPr>
          <w:rFonts w:cs="Arial" w:hint="cs"/>
          <w:b/>
          <w:bCs/>
          <w:rtl/>
        </w:rPr>
        <w:t>ב</w:t>
      </w:r>
      <w:r w:rsidRPr="008036C3">
        <w:rPr>
          <w:rFonts w:cs="Arial" w:hint="cs"/>
          <w:b/>
          <w:bCs/>
          <w:rtl/>
        </w:rPr>
        <w:t>:</w:t>
      </w:r>
      <w:r>
        <w:rPr>
          <w:rFonts w:cs="Arial" w:hint="cs"/>
          <w:rtl/>
        </w:rPr>
        <w:t xml:space="preserve"> </w:t>
      </w:r>
      <w:r w:rsidRPr="00155CD7">
        <w:rPr>
          <w:rFonts w:cs="Arial"/>
          <w:u w:val="single"/>
          <w:rtl/>
        </w:rPr>
        <w:t>אמר רב יהודה אמר שמואל</w:t>
      </w:r>
      <w:r w:rsidRPr="00155CD7">
        <w:rPr>
          <w:rFonts w:cs="Arial"/>
          <w:rtl/>
        </w:rPr>
        <w:t>: ארבעה כוסות הללו צריך שיהא בהן כדי מזיגת כוס יפה.</w:t>
      </w:r>
      <w:r>
        <w:rPr>
          <w:rFonts w:cs="Arial" w:hint="cs"/>
          <w:rtl/>
        </w:rPr>
        <w:t>..</w:t>
      </w:r>
      <w:r w:rsidRPr="00155CD7">
        <w:rPr>
          <w:rFonts w:cs="Arial"/>
          <w:rtl/>
        </w:rPr>
        <w:t xml:space="preserve"> </w:t>
      </w:r>
      <w:r w:rsidRPr="00155CD7">
        <w:rPr>
          <w:rFonts w:cs="Arial"/>
          <w:u w:val="single"/>
          <w:rtl/>
        </w:rPr>
        <w:t>אמר רב נחמן בר יצחק</w:t>
      </w:r>
      <w:r w:rsidRPr="00155CD7">
        <w:rPr>
          <w:rFonts w:cs="Arial"/>
          <w:rtl/>
        </w:rPr>
        <w:t>: והוא דאשתי רובא דכסא. מיתיבי: ארבעה כוסות הללו צריך שיהא בהן כדי רביעית</w:t>
      </w:r>
      <w:r>
        <w:rPr>
          <w:rFonts w:cs="Arial" w:hint="cs"/>
          <w:rtl/>
        </w:rPr>
        <w:t>..</w:t>
      </w:r>
      <w:r w:rsidRPr="00155CD7">
        <w:rPr>
          <w:rFonts w:cs="Arial"/>
          <w:rtl/>
        </w:rPr>
        <w:t>. קתני מיהת: כדי רביעית, ואת אמרת כוס יפה! אמרי: אידי ואידי חד שיעורא הוא, מאי כדי מזיגת כוס יפה דקאמר - לכל חד וחד, דהוי להו כולהו רביעית.</w:t>
      </w:r>
    </w:p>
    <w:p w14:paraId="2B9AA9E3" w14:textId="77777777" w:rsidR="004B2E7C" w:rsidRPr="00F11129" w:rsidRDefault="004B2E7C" w:rsidP="00434A6A">
      <w:pPr>
        <w:rPr>
          <w:rtl/>
        </w:rPr>
      </w:pPr>
      <w:r w:rsidRPr="002C22DF">
        <w:rPr>
          <w:rFonts w:cs="Arial" w:hint="cs"/>
          <w:b/>
          <w:bCs/>
          <w:rtl/>
        </w:rPr>
        <w:t>יומא</w:t>
      </w:r>
      <w:r>
        <w:rPr>
          <w:rFonts w:cs="Arial" w:hint="cs"/>
          <w:b/>
          <w:bCs/>
          <w:sz w:val="16"/>
          <w:szCs w:val="16"/>
          <w:rtl/>
        </w:rPr>
        <w:t xml:space="preserve"> (פ' יום הכיפורים)</w:t>
      </w:r>
      <w:r w:rsidRPr="002C22DF">
        <w:rPr>
          <w:rFonts w:cs="Arial" w:hint="cs"/>
          <w:b/>
          <w:bCs/>
          <w:rtl/>
        </w:rPr>
        <w:t xml:space="preserve"> פ ע"א:</w:t>
      </w:r>
      <w:r>
        <w:rPr>
          <w:rFonts w:cs="Arial" w:hint="cs"/>
          <w:rtl/>
        </w:rPr>
        <w:t xml:space="preserve"> </w:t>
      </w:r>
      <w:r w:rsidRPr="002C22DF">
        <w:rPr>
          <w:rFonts w:cs="Arial"/>
          <w:rtl/>
        </w:rPr>
        <w:t xml:space="preserve">השותה מלא לוגמיו. </w:t>
      </w:r>
      <w:r w:rsidRPr="002C22DF">
        <w:rPr>
          <w:rFonts w:cs="Arial"/>
          <w:u w:val="single"/>
          <w:rtl/>
        </w:rPr>
        <w:t>אמר רב יהודה אמר שמואל</w:t>
      </w:r>
      <w:r w:rsidRPr="002C22DF">
        <w:rPr>
          <w:rFonts w:cs="Arial"/>
          <w:rtl/>
        </w:rPr>
        <w:t>: לא מלא לוגמיו ממש, אלא כל שאילו יסלקנו לצד אחד ויראה כמלא לוגמיו. והא אנן תנן מלא לוגמיו! אימא: כמלא לוגמיו.</w:t>
      </w:r>
    </w:p>
    <w:p w14:paraId="6774245B" w14:textId="77777777" w:rsidR="004B2E7C" w:rsidRPr="00F11129" w:rsidRDefault="004B2E7C" w:rsidP="00434A6A">
      <w:pPr>
        <w:rPr>
          <w:u w:val="single"/>
          <w:rtl/>
        </w:rPr>
      </w:pPr>
      <w:r w:rsidRPr="00F11129">
        <w:rPr>
          <w:rFonts w:hint="cs"/>
          <w:u w:val="single"/>
          <w:rtl/>
        </w:rPr>
        <w:t>שיעור השתיה מכוס הקידוש:</w:t>
      </w:r>
    </w:p>
    <w:p w14:paraId="6DA3AE6B" w14:textId="77777777" w:rsidR="004B2E7C" w:rsidRPr="00A90865" w:rsidRDefault="004B2E7C" w:rsidP="00FF2D21">
      <w:pPr>
        <w:pStyle w:val="aa"/>
        <w:numPr>
          <w:ilvl w:val="0"/>
          <w:numId w:val="116"/>
        </w:numPr>
      </w:pPr>
      <w:r>
        <w:rPr>
          <w:rFonts w:cs="Arial" w:hint="cs"/>
          <w:rtl/>
        </w:rPr>
        <w:t xml:space="preserve">טור- </w:t>
      </w:r>
      <w:r w:rsidRPr="003A3CB9">
        <w:rPr>
          <w:rFonts w:cs="Arial"/>
          <w:rtl/>
        </w:rPr>
        <w:t>שותה מלא לוגמיו</w:t>
      </w:r>
      <w:r>
        <w:rPr>
          <w:rFonts w:cs="Arial" w:hint="cs"/>
          <w:rtl/>
        </w:rPr>
        <w:t>.</w:t>
      </w:r>
      <w:r w:rsidRPr="003A3CB9">
        <w:rPr>
          <w:rFonts w:cs="Arial"/>
          <w:rtl/>
        </w:rPr>
        <w:t xml:space="preserve"> ואם שתה פחות </w:t>
      </w:r>
      <w:r>
        <w:rPr>
          <w:rFonts w:cs="Arial" w:hint="cs"/>
          <w:rtl/>
        </w:rPr>
        <w:t xml:space="preserve">- </w:t>
      </w:r>
      <w:r w:rsidRPr="003A3CB9">
        <w:rPr>
          <w:rFonts w:cs="Arial"/>
          <w:rtl/>
        </w:rPr>
        <w:t>לא יצא</w:t>
      </w:r>
      <w:r>
        <w:rPr>
          <w:rFonts w:cs="Arial" w:hint="cs"/>
          <w:rtl/>
        </w:rPr>
        <w:t>.</w:t>
      </w:r>
      <w:r w:rsidRPr="003A3CB9">
        <w:rPr>
          <w:rFonts w:cs="Arial"/>
          <w:rtl/>
        </w:rPr>
        <w:t xml:space="preserve"> ולא מלא לוגמיו ממש</w:t>
      </w:r>
      <w:r>
        <w:rPr>
          <w:rFonts w:cs="Arial" w:hint="cs"/>
          <w:rtl/>
        </w:rPr>
        <w:t>,</w:t>
      </w:r>
      <w:r w:rsidRPr="003A3CB9">
        <w:rPr>
          <w:rFonts w:cs="Arial"/>
          <w:rtl/>
        </w:rPr>
        <w:t xml:space="preserve"> אלא כמלא לוגמיו</w:t>
      </w:r>
      <w:r>
        <w:rPr>
          <w:rFonts w:cs="Arial" w:hint="cs"/>
          <w:rtl/>
        </w:rPr>
        <w:t>.</w:t>
      </w:r>
      <w:r w:rsidRPr="003A3CB9">
        <w:rPr>
          <w:rFonts w:cs="Arial"/>
          <w:rtl/>
        </w:rPr>
        <w:t xml:space="preserve"> ומפרש במס' יומא (פ</w:t>
      </w:r>
      <w:r>
        <w:rPr>
          <w:rFonts w:cs="Arial" w:hint="cs"/>
          <w:rtl/>
        </w:rPr>
        <w:t>.</w:t>
      </w:r>
      <w:r w:rsidRPr="003A3CB9">
        <w:rPr>
          <w:rFonts w:cs="Arial"/>
          <w:rtl/>
        </w:rPr>
        <w:t>) וכמה מלא לוגמיו כל שאילו מסלקו לצד אחד בפיו ויראה מלא לוגמיו</w:t>
      </w:r>
      <w:r>
        <w:rPr>
          <w:rFonts w:cs="Arial" w:hint="cs"/>
          <w:rtl/>
        </w:rPr>
        <w:t>.</w:t>
      </w:r>
      <w:r w:rsidRPr="003A3CB9">
        <w:rPr>
          <w:rFonts w:cs="Arial"/>
          <w:rtl/>
        </w:rPr>
        <w:t xml:space="preserve"> והוא רובו של רביעית</w:t>
      </w:r>
      <w:r>
        <w:rPr>
          <w:rFonts w:cs="Arial" w:hint="cs"/>
          <w:rtl/>
        </w:rPr>
        <w:t>.</w:t>
      </w:r>
      <w:r w:rsidRPr="003A3CB9">
        <w:rPr>
          <w:rFonts w:cs="Arial"/>
          <w:rtl/>
        </w:rPr>
        <w:t xml:space="preserve"> דלא כר</w:t>
      </w:r>
      <w:r>
        <w:rPr>
          <w:rFonts w:cs="Arial" w:hint="cs"/>
          <w:rtl/>
        </w:rPr>
        <w:t xml:space="preserve">ב </w:t>
      </w:r>
      <w:r w:rsidRPr="003A3CB9">
        <w:rPr>
          <w:rFonts w:cs="Arial"/>
          <w:rtl/>
        </w:rPr>
        <w:t>ע</w:t>
      </w:r>
      <w:r>
        <w:rPr>
          <w:rFonts w:cs="Arial" w:hint="cs"/>
          <w:rtl/>
        </w:rPr>
        <w:t>מרם</w:t>
      </w:r>
      <w:r w:rsidRPr="003A3CB9">
        <w:rPr>
          <w:rFonts w:cs="Arial"/>
          <w:rtl/>
        </w:rPr>
        <w:t xml:space="preserve"> שכתב אם קידש ולא טעם רביעית לא יצא</w:t>
      </w:r>
      <w:r>
        <w:rPr>
          <w:rFonts w:cs="Arial" w:hint="cs"/>
          <w:rtl/>
        </w:rPr>
        <w:t>.</w:t>
      </w:r>
      <w:r w:rsidRPr="003A3CB9">
        <w:rPr>
          <w:rFonts w:cs="Arial"/>
          <w:rtl/>
        </w:rPr>
        <w:t xml:space="preserve"> דודאי ברוב רביעית סגי</w:t>
      </w:r>
      <w:r>
        <w:rPr>
          <w:rFonts w:cs="Arial" w:hint="cs"/>
          <w:rtl/>
        </w:rPr>
        <w:t>.</w:t>
      </w:r>
      <w:r w:rsidRPr="003A3CB9">
        <w:rPr>
          <w:rFonts w:cs="Arial"/>
          <w:rtl/>
        </w:rPr>
        <w:t xml:space="preserve"> </w:t>
      </w:r>
      <w:r w:rsidRPr="006736A8">
        <w:rPr>
          <w:rFonts w:hint="cs"/>
          <w:color w:val="E36C0A" w:themeColor="accent6" w:themeShade="BF"/>
          <w:rtl/>
        </w:rPr>
        <w:t>(וכ"פ בשו"ע)</w:t>
      </w:r>
    </w:p>
    <w:p w14:paraId="3B672646" w14:textId="77777777" w:rsidR="004B2E7C" w:rsidRPr="00B87076" w:rsidRDefault="004B2E7C" w:rsidP="00FF2D21">
      <w:pPr>
        <w:pStyle w:val="aa"/>
        <w:numPr>
          <w:ilvl w:val="0"/>
          <w:numId w:val="116"/>
        </w:numPr>
      </w:pPr>
      <w:r w:rsidRPr="00A90865">
        <w:rPr>
          <w:rFonts w:cs="Arial"/>
          <w:rtl/>
        </w:rPr>
        <w:t xml:space="preserve">ראבי"ה </w:t>
      </w:r>
      <w:r w:rsidRPr="00A90865">
        <w:rPr>
          <w:rFonts w:cs="Arial" w:hint="cs"/>
          <w:sz w:val="16"/>
          <w:szCs w:val="16"/>
          <w:rtl/>
        </w:rPr>
        <w:t>(</w:t>
      </w:r>
      <w:r w:rsidRPr="00A90865">
        <w:rPr>
          <w:rFonts w:cs="Arial"/>
          <w:sz w:val="16"/>
          <w:szCs w:val="16"/>
          <w:rtl/>
        </w:rPr>
        <w:t>ח</w:t>
      </w:r>
      <w:r w:rsidRPr="00A90865">
        <w:rPr>
          <w:rFonts w:cs="Arial" w:hint="cs"/>
          <w:sz w:val="16"/>
          <w:szCs w:val="16"/>
          <w:rtl/>
        </w:rPr>
        <w:t>"</w:t>
      </w:r>
      <w:r w:rsidRPr="00A90865">
        <w:rPr>
          <w:rFonts w:cs="Arial"/>
          <w:sz w:val="16"/>
          <w:szCs w:val="16"/>
          <w:rtl/>
        </w:rPr>
        <w:t>ג הלכות תענית סי</w:t>
      </w:r>
      <w:r w:rsidRPr="00A90865">
        <w:rPr>
          <w:rFonts w:cs="Arial" w:hint="cs"/>
          <w:sz w:val="16"/>
          <w:szCs w:val="16"/>
          <w:rtl/>
        </w:rPr>
        <w:t>'</w:t>
      </w:r>
      <w:r w:rsidRPr="00A90865">
        <w:rPr>
          <w:rFonts w:cs="Arial"/>
          <w:sz w:val="16"/>
          <w:szCs w:val="16"/>
          <w:rtl/>
        </w:rPr>
        <w:t xml:space="preserve"> תתצא</w:t>
      </w:r>
      <w:r w:rsidRPr="00A90865">
        <w:rPr>
          <w:rFonts w:cs="Arial" w:hint="cs"/>
          <w:sz w:val="16"/>
          <w:szCs w:val="16"/>
          <w:rtl/>
        </w:rPr>
        <w:t>, הביאו הב"י בשם מרדכי ישן)</w:t>
      </w:r>
      <w:r w:rsidRPr="00A90865">
        <w:rPr>
          <w:rFonts w:cs="Arial" w:hint="cs"/>
          <w:rtl/>
        </w:rPr>
        <w:t xml:space="preserve">- </w:t>
      </w:r>
      <w:r w:rsidRPr="00A90865">
        <w:rPr>
          <w:rFonts w:cs="Arial"/>
          <w:rtl/>
        </w:rPr>
        <w:t xml:space="preserve">השיב ר"י </w:t>
      </w:r>
      <w:r w:rsidRPr="00A90865">
        <w:rPr>
          <w:rFonts w:cs="Arial" w:hint="cs"/>
          <w:rtl/>
        </w:rPr>
        <w:t xml:space="preserve">ברבי יהודה... </w:t>
      </w:r>
      <w:r w:rsidRPr="00A90865">
        <w:rPr>
          <w:rFonts w:cs="Arial"/>
          <w:rtl/>
        </w:rPr>
        <w:t>וכמה שיעור טעימה</w:t>
      </w:r>
      <w:r w:rsidRPr="00A90865">
        <w:rPr>
          <w:rFonts w:cs="Arial" w:hint="cs"/>
          <w:rtl/>
        </w:rPr>
        <w:t>,</w:t>
      </w:r>
      <w:r w:rsidRPr="00A90865">
        <w:rPr>
          <w:rFonts w:cs="Arial"/>
          <w:rtl/>
        </w:rPr>
        <w:t xml:space="preserve"> גבי מקדש הוא דבעינן מלא לוגמיו</w:t>
      </w:r>
      <w:r w:rsidRPr="00A90865">
        <w:rPr>
          <w:rFonts w:cs="Arial" w:hint="cs"/>
          <w:rtl/>
        </w:rPr>
        <w:t xml:space="preserve">... </w:t>
      </w:r>
      <w:r w:rsidRPr="00A90865">
        <w:rPr>
          <w:rFonts w:cs="Arial"/>
          <w:rtl/>
        </w:rPr>
        <w:t>ואני אב"י העזר"י איני כמשיב על הארי לאחר מיתה אלא תורה היא וללמוד אנו צריכים, דכך מקובלני דהמברך אינו צריך לשתות מלא לוגמא אלא קימעא, שיערער בגרונו וילך סביב לוגמא</w:t>
      </w:r>
      <w:r>
        <w:rPr>
          <w:rStyle w:val="a9"/>
          <w:rFonts w:cs="Arial"/>
          <w:rtl/>
        </w:rPr>
        <w:footnoteReference w:id="942"/>
      </w:r>
      <w:r w:rsidRPr="00A90865">
        <w:rPr>
          <w:rFonts w:cs="Arial"/>
          <w:rtl/>
        </w:rPr>
        <w:t>.</w:t>
      </w:r>
    </w:p>
    <w:p w14:paraId="7F341861"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0C982FFC" w14:textId="77777777" w:rsidR="004B2E7C" w:rsidRDefault="004B2E7C" w:rsidP="00434A6A">
      <w:pPr>
        <w:rPr>
          <w:rFonts w:asciiTheme="minorBidi" w:hAnsiTheme="minorBidi"/>
          <w:rtl/>
        </w:rPr>
      </w:pPr>
      <w:r w:rsidRPr="00CC2350">
        <w:rPr>
          <w:rFonts w:asciiTheme="minorBidi" w:hAnsiTheme="minorBidi" w:cs="Arial"/>
          <w:rtl/>
        </w:rPr>
        <w:t>צריך לשתות מכוס של קידוש כמלא לוגמיו, דהיינו כל שיסלקנו לצד אחד בפיו ויראה מלא לוגמיו, והוא רובו של רביעית</w:t>
      </w:r>
      <w:r>
        <w:rPr>
          <w:rStyle w:val="a9"/>
          <w:rFonts w:asciiTheme="minorBidi" w:hAnsiTheme="minorBidi" w:cs="Arial"/>
          <w:rtl/>
        </w:rPr>
        <w:footnoteReference w:id="943"/>
      </w:r>
      <w:r w:rsidRPr="00CC2350">
        <w:rPr>
          <w:rFonts w:asciiTheme="minorBidi" w:hAnsiTheme="minorBidi" w:cs="Arial"/>
          <w:rtl/>
        </w:rPr>
        <w:t xml:space="preserve">. </w:t>
      </w:r>
    </w:p>
    <w:p w14:paraId="45759C01" w14:textId="77777777" w:rsidR="004B2E7C" w:rsidRPr="00CC2350" w:rsidRDefault="004B2E7C" w:rsidP="00434A6A">
      <w:pPr>
        <w:rPr>
          <w:rFonts w:asciiTheme="minorBidi" w:hAnsiTheme="minorBidi"/>
          <w:rtl/>
        </w:rPr>
      </w:pPr>
    </w:p>
    <w:p w14:paraId="4BEEBAD0" w14:textId="77777777" w:rsidR="004B2E7C" w:rsidRDefault="004B2E7C" w:rsidP="00434A6A">
      <w:pPr>
        <w:pStyle w:val="2"/>
        <w:rPr>
          <w:rtl/>
        </w:rPr>
      </w:pPr>
      <w:r w:rsidRPr="00CC2350">
        <w:rPr>
          <w:rtl/>
        </w:rPr>
        <w:t>סעיף יד</w:t>
      </w:r>
      <w:r>
        <w:rPr>
          <w:rFonts w:hint="cs"/>
          <w:rtl/>
        </w:rPr>
        <w:t>: קידש על היין ואחר שתה במקומו.</w:t>
      </w:r>
    </w:p>
    <w:p w14:paraId="20819F59" w14:textId="77777777" w:rsidR="004B2E7C" w:rsidRPr="00C4556F" w:rsidRDefault="004B2E7C" w:rsidP="00434A6A">
      <w:pPr>
        <w:rPr>
          <w:sz w:val="16"/>
          <w:szCs w:val="16"/>
          <w:rtl/>
        </w:rPr>
      </w:pPr>
      <w:r w:rsidRPr="00153B20">
        <w:rPr>
          <w:rFonts w:cs="Arial" w:hint="cs"/>
          <w:b/>
          <w:bCs/>
          <w:rtl/>
        </w:rPr>
        <w:t xml:space="preserve">ערובין </w:t>
      </w:r>
      <w:r>
        <w:rPr>
          <w:rFonts w:cs="Arial" w:hint="cs"/>
          <w:b/>
          <w:bCs/>
          <w:sz w:val="16"/>
          <w:szCs w:val="16"/>
          <w:rtl/>
        </w:rPr>
        <w:t xml:space="preserve">(פ' בכל מערבין) </w:t>
      </w:r>
      <w:r w:rsidRPr="00153B20">
        <w:rPr>
          <w:rFonts w:cs="Arial" w:hint="cs"/>
          <w:b/>
          <w:bCs/>
          <w:rtl/>
        </w:rPr>
        <w:t xml:space="preserve">מ ע"ב: </w:t>
      </w:r>
      <w:r w:rsidRPr="00153B20">
        <w:rPr>
          <w:rFonts w:cs="Arial"/>
          <w:rtl/>
        </w:rPr>
        <w:t>ואמר רבה: כי הוינא בי רב הונא איבעיא לן: מהו לומר זמן בראש השנה וביום הכפורים? כיון דמזמן לזמן אתי - אמרינן, או דילמא: כיון דלא איקרו רגלים - לא אמרינן? לא הוה בידיה. כי אתאי בי רב יהודה אמר: אנא אקרא חדתא נמי אמינא זמן. אמר ליה: רשות לא קא מיבעיא לי, כי קא מיבעיא לי - חובה מאי? א"ל: רב ושמואל דאמרי תרווייהו: אין אומר זמן אלא בשלש רגלים. מיתיבי תן חלק לשבעה וגם לשמונה, רבי אליעזר אומר: שבעה - אלו שבעה ימי בראשית, שמונה - אלו שמונה ימי מילה. רבי יהושע אומר: שבעה אלו שבעה ימי פסח, שמונה - אלו שמונה ימי החג. וכשהוא אומר וגם - לרבות עצרת וראש השנה ויום הכפורים. מאי לאו לזמן? לא, לברכה. הכי נמי מסתברא, דאי סלקא דעתך לזמן - זמן כל שבעה מי איכא? הא לא קשיא, דאי לא מברך האידנא - מברך למחר וליום אוחרא. מכל מקום בעינן כוס? לימא מסייע ליה לרב נחמן, דאמר רב נחמן: זמן אומרו אפילו בשוק. הא לא קשיא - דאיקלע ליה כוס. התינח עצרת וראש השנה, יום הכפורים היכי עביד? אי מברך עליה ושתי ליה - כיון דאמר זמן קבליה עליה, ואסר ליה. דהאמר ליה רב ירמיה בר אבא לרב: מי בדלת? ואמר ליה: אין, בדילנא. לברוך עליה ולנחיה</w:t>
      </w:r>
      <w:r>
        <w:rPr>
          <w:rFonts w:cs="Arial" w:hint="cs"/>
          <w:rtl/>
        </w:rPr>
        <w:t>.</w:t>
      </w:r>
      <w:r w:rsidRPr="00153B20">
        <w:rPr>
          <w:rFonts w:cs="Arial"/>
          <w:rtl/>
        </w:rPr>
        <w:t xml:space="preserve"> המברך צריך שיטעום! ליתביה לינוקא</w:t>
      </w:r>
      <w:r>
        <w:rPr>
          <w:rFonts w:cs="Arial" w:hint="cs"/>
          <w:rtl/>
        </w:rPr>
        <w:t>.</w:t>
      </w:r>
      <w:r w:rsidRPr="00153B20">
        <w:rPr>
          <w:rFonts w:cs="Arial"/>
          <w:rtl/>
        </w:rPr>
        <w:t xml:space="preserve"> לית הלכתא כרב אחא, דילמא אתי למסרך.</w:t>
      </w:r>
      <w:r>
        <w:rPr>
          <w:rFonts w:hint="cs"/>
          <w:sz w:val="16"/>
          <w:szCs w:val="16"/>
          <w:rtl/>
        </w:rPr>
        <w:t xml:space="preserve"> (</w:t>
      </w:r>
      <w:r w:rsidRPr="00A90865">
        <w:rPr>
          <w:rFonts w:cs="Arial"/>
          <w:sz w:val="16"/>
          <w:szCs w:val="16"/>
          <w:rtl/>
        </w:rPr>
        <w:t>טעמא דאתי למיסרך, אבל כי ליכא למיחש למיסרך</w:t>
      </w:r>
      <w:r>
        <w:rPr>
          <w:rFonts w:cs="Arial" w:hint="cs"/>
          <w:sz w:val="16"/>
          <w:szCs w:val="16"/>
          <w:rtl/>
        </w:rPr>
        <w:t>,</w:t>
      </w:r>
      <w:r w:rsidRPr="00A90865">
        <w:rPr>
          <w:rFonts w:cs="Arial"/>
          <w:sz w:val="16"/>
          <w:szCs w:val="16"/>
          <w:rtl/>
        </w:rPr>
        <w:t xml:space="preserve"> כי טעים ליה אחרינא </w:t>
      </w:r>
      <w:r>
        <w:rPr>
          <w:rFonts w:cs="Arial" w:hint="cs"/>
          <w:sz w:val="16"/>
          <w:szCs w:val="16"/>
          <w:rtl/>
        </w:rPr>
        <w:t xml:space="preserve">- </w:t>
      </w:r>
      <w:r w:rsidRPr="00A90865">
        <w:rPr>
          <w:rFonts w:cs="Arial"/>
          <w:sz w:val="16"/>
          <w:szCs w:val="16"/>
          <w:rtl/>
        </w:rPr>
        <w:t>שפיר דמי</w:t>
      </w:r>
      <w:r>
        <w:rPr>
          <w:rFonts w:cs="Arial" w:hint="cs"/>
          <w:sz w:val="16"/>
          <w:szCs w:val="16"/>
          <w:rtl/>
        </w:rPr>
        <w:t>, ראבי"ה (ח"ג הל' תענית סי' תתצא))</w:t>
      </w:r>
      <w:r w:rsidRPr="00A90865">
        <w:rPr>
          <w:rFonts w:cs="Arial"/>
          <w:sz w:val="16"/>
          <w:szCs w:val="16"/>
          <w:rtl/>
        </w:rPr>
        <w:t>.</w:t>
      </w:r>
    </w:p>
    <w:p w14:paraId="27CACE62" w14:textId="77777777" w:rsidR="004B2E7C" w:rsidRPr="007A081B" w:rsidRDefault="004B2E7C" w:rsidP="00434A6A">
      <w:pPr>
        <w:rPr>
          <w:u w:val="single"/>
          <w:rtl/>
        </w:rPr>
      </w:pPr>
      <w:r w:rsidRPr="007A081B">
        <w:rPr>
          <w:rFonts w:hint="cs"/>
          <w:u w:val="single"/>
          <w:rtl/>
        </w:rPr>
        <w:t>קידש על היין ואחר שתה במקומו:</w:t>
      </w:r>
    </w:p>
    <w:p w14:paraId="2A5C5028" w14:textId="77777777" w:rsidR="004B2E7C" w:rsidRPr="002001BE" w:rsidRDefault="004B2E7C" w:rsidP="00FF2D21">
      <w:pPr>
        <w:pStyle w:val="aa"/>
        <w:numPr>
          <w:ilvl w:val="0"/>
          <w:numId w:val="116"/>
        </w:numPr>
      </w:pPr>
      <w:r>
        <w:rPr>
          <w:rFonts w:cs="Arial" w:hint="cs"/>
          <w:rtl/>
        </w:rPr>
        <w:t xml:space="preserve">בה"ג </w:t>
      </w:r>
      <w:r>
        <w:rPr>
          <w:rFonts w:cs="Arial" w:hint="cs"/>
          <w:sz w:val="16"/>
          <w:szCs w:val="16"/>
          <w:rtl/>
        </w:rPr>
        <w:t xml:space="preserve">(כ"כ הטור בשמו) </w:t>
      </w:r>
      <w:r>
        <w:rPr>
          <w:rFonts w:cs="Arial" w:hint="cs"/>
          <w:rtl/>
        </w:rPr>
        <w:t>ו</w:t>
      </w:r>
      <w:r w:rsidRPr="002D65C5">
        <w:rPr>
          <w:rFonts w:cs="Arial"/>
          <w:rtl/>
        </w:rPr>
        <w:t>ספר העיתים</w:t>
      </w:r>
      <w:r>
        <w:rPr>
          <w:rStyle w:val="a9"/>
          <w:rFonts w:cs="Arial"/>
          <w:rtl/>
        </w:rPr>
        <w:footnoteReference w:id="944"/>
      </w:r>
      <w:r w:rsidRPr="002D65C5">
        <w:rPr>
          <w:rFonts w:cs="Arial"/>
          <w:rtl/>
        </w:rPr>
        <w:t xml:space="preserve"> </w:t>
      </w:r>
      <w:r>
        <w:rPr>
          <w:rFonts w:cs="Arial" w:hint="cs"/>
          <w:sz w:val="16"/>
          <w:szCs w:val="16"/>
          <w:rtl/>
        </w:rPr>
        <w:t>(</w:t>
      </w:r>
      <w:r w:rsidRPr="002D65C5">
        <w:rPr>
          <w:rFonts w:cs="Arial"/>
          <w:sz w:val="16"/>
          <w:szCs w:val="16"/>
          <w:rtl/>
        </w:rPr>
        <w:t>סי</w:t>
      </w:r>
      <w:r>
        <w:rPr>
          <w:rFonts w:cs="Arial" w:hint="cs"/>
          <w:sz w:val="16"/>
          <w:szCs w:val="16"/>
          <w:rtl/>
        </w:rPr>
        <w:t>'</w:t>
      </w:r>
      <w:r w:rsidRPr="002D65C5">
        <w:rPr>
          <w:rFonts w:cs="Arial"/>
          <w:sz w:val="16"/>
          <w:szCs w:val="16"/>
          <w:rtl/>
        </w:rPr>
        <w:t xml:space="preserve"> קמב</w:t>
      </w:r>
      <w:r>
        <w:rPr>
          <w:rFonts w:cs="Arial" w:hint="cs"/>
          <w:sz w:val="16"/>
          <w:szCs w:val="16"/>
          <w:rtl/>
        </w:rPr>
        <w:t>, והביאו הכל בו [</w:t>
      </w:r>
      <w:r w:rsidRPr="005D144C">
        <w:rPr>
          <w:rFonts w:cs="Arial" w:hint="cs"/>
          <w:sz w:val="16"/>
          <w:szCs w:val="16"/>
          <w:rtl/>
        </w:rPr>
        <w:t xml:space="preserve">סי' לא ד"ה </w:t>
      </w:r>
      <w:r w:rsidRPr="005D144C">
        <w:rPr>
          <w:rFonts w:cs="Arial"/>
          <w:sz w:val="16"/>
          <w:szCs w:val="16"/>
          <w:rtl/>
        </w:rPr>
        <w:t>אסור לאדם שיטעום</w:t>
      </w:r>
      <w:r>
        <w:rPr>
          <w:rFonts w:cs="Arial" w:hint="cs"/>
          <w:sz w:val="16"/>
          <w:szCs w:val="16"/>
          <w:rtl/>
        </w:rPr>
        <w:t>]</w:t>
      </w:r>
      <w:r w:rsidRPr="002D65C5">
        <w:rPr>
          <w:rFonts w:cs="Arial" w:hint="cs"/>
          <w:sz w:val="16"/>
          <w:szCs w:val="16"/>
          <w:rtl/>
        </w:rPr>
        <w:t>)</w:t>
      </w:r>
      <w:r>
        <w:rPr>
          <w:rFonts w:cs="Arial" w:hint="cs"/>
          <w:rtl/>
        </w:rPr>
        <w:t xml:space="preserve">- </w:t>
      </w:r>
      <w:r w:rsidRPr="002D65C5">
        <w:rPr>
          <w:rFonts w:cs="Arial"/>
          <w:rtl/>
        </w:rPr>
        <w:t>קדיש ואישתלי ולא טעים</w:t>
      </w:r>
      <w:r>
        <w:rPr>
          <w:rFonts w:cs="Arial" w:hint="cs"/>
          <w:rtl/>
        </w:rPr>
        <w:t>,</w:t>
      </w:r>
      <w:r w:rsidRPr="002D65C5">
        <w:rPr>
          <w:rFonts w:cs="Arial"/>
          <w:rtl/>
        </w:rPr>
        <w:t xml:space="preserve"> ושתי ליה אחרינא</w:t>
      </w:r>
      <w:r>
        <w:rPr>
          <w:rStyle w:val="a9"/>
          <w:rFonts w:cs="Arial"/>
          <w:rtl/>
        </w:rPr>
        <w:footnoteReference w:id="945"/>
      </w:r>
      <w:r>
        <w:rPr>
          <w:rFonts w:cs="Arial" w:hint="cs"/>
          <w:rtl/>
        </w:rPr>
        <w:t xml:space="preserve"> -</w:t>
      </w:r>
      <w:r w:rsidRPr="002D65C5">
        <w:rPr>
          <w:rFonts w:cs="Arial"/>
          <w:rtl/>
        </w:rPr>
        <w:t xml:space="preserve"> מייתא ליה כסא אחרינא ומברך בפה"ג ושתי</w:t>
      </w:r>
      <w:r>
        <w:rPr>
          <w:rStyle w:val="a9"/>
          <w:rFonts w:cs="Arial"/>
          <w:rtl/>
        </w:rPr>
        <w:footnoteReference w:id="946"/>
      </w:r>
      <w:r w:rsidRPr="002D65C5">
        <w:rPr>
          <w:rFonts w:cs="Arial"/>
          <w:rtl/>
        </w:rPr>
        <w:t xml:space="preserve"> ולא צריך אהדורי קידושא</w:t>
      </w:r>
      <w:r>
        <w:rPr>
          <w:rFonts w:cs="Arial" w:hint="cs"/>
          <w:rtl/>
        </w:rPr>
        <w:t>,</w:t>
      </w:r>
      <w:r w:rsidRPr="002D65C5">
        <w:rPr>
          <w:rFonts w:cs="Arial"/>
          <w:rtl/>
        </w:rPr>
        <w:t xml:space="preserve"> דאמר מר המקדש אם טעם מלא לוגמיו יצא</w:t>
      </w:r>
      <w:r>
        <w:rPr>
          <w:rFonts w:cs="Arial" w:hint="cs"/>
          <w:rtl/>
        </w:rPr>
        <w:t>,</w:t>
      </w:r>
      <w:r w:rsidRPr="002D65C5">
        <w:rPr>
          <w:rFonts w:cs="Arial"/>
          <w:rtl/>
        </w:rPr>
        <w:t xml:space="preserve"> ואם לאו לא יצא</w:t>
      </w:r>
      <w:r>
        <w:rPr>
          <w:rFonts w:cs="Arial" w:hint="cs"/>
          <w:rtl/>
        </w:rPr>
        <w:t>.</w:t>
      </w:r>
      <w:r w:rsidRPr="002D65C5">
        <w:rPr>
          <w:rFonts w:cs="Arial"/>
          <w:rtl/>
        </w:rPr>
        <w:t xml:space="preserve"> ואמר מר רב שרירא הכי סבירא לנא</w:t>
      </w:r>
      <w:r>
        <w:rPr>
          <w:rFonts w:cs="Arial" w:hint="cs"/>
          <w:rtl/>
        </w:rPr>
        <w:t>,</w:t>
      </w:r>
      <w:r w:rsidRPr="002D65C5">
        <w:rPr>
          <w:rFonts w:cs="Arial"/>
          <w:rtl/>
        </w:rPr>
        <w:t xml:space="preserve"> דזמנין סגיא בהכין</w:t>
      </w:r>
      <w:r>
        <w:rPr>
          <w:rFonts w:cs="Arial" w:hint="cs"/>
          <w:rtl/>
        </w:rPr>
        <w:t>,</w:t>
      </w:r>
      <w:r w:rsidRPr="002D65C5">
        <w:rPr>
          <w:rFonts w:cs="Arial"/>
          <w:rtl/>
        </w:rPr>
        <w:t xml:space="preserve"> וזימנין לא סגיא בהכין</w:t>
      </w:r>
      <w:r>
        <w:rPr>
          <w:rFonts w:cs="Arial" w:hint="cs"/>
          <w:rtl/>
        </w:rPr>
        <w:t>.</w:t>
      </w:r>
      <w:r w:rsidRPr="002D65C5">
        <w:rPr>
          <w:rFonts w:cs="Arial"/>
          <w:rtl/>
        </w:rPr>
        <w:t xml:space="preserve"> היכי דמי</w:t>
      </w:r>
      <w:r>
        <w:rPr>
          <w:rFonts w:cs="Arial" w:hint="cs"/>
          <w:rtl/>
        </w:rPr>
        <w:t>,</w:t>
      </w:r>
      <w:r w:rsidRPr="002D65C5">
        <w:rPr>
          <w:rFonts w:cs="Arial"/>
          <w:rtl/>
        </w:rPr>
        <w:t xml:space="preserve"> אי במקום סעודה קדיש ושקלוהו אחריני לכסא ושתיוה</w:t>
      </w:r>
      <w:r>
        <w:rPr>
          <w:rFonts w:cs="Arial" w:hint="cs"/>
          <w:rtl/>
        </w:rPr>
        <w:t>,</w:t>
      </w:r>
      <w:r w:rsidRPr="002D65C5">
        <w:rPr>
          <w:rFonts w:cs="Arial"/>
          <w:rtl/>
        </w:rPr>
        <w:t xml:space="preserve"> ועדיין יושב הוא במקומו </w:t>
      </w:r>
      <w:r>
        <w:rPr>
          <w:rFonts w:cs="Arial" w:hint="cs"/>
          <w:rtl/>
        </w:rPr>
        <w:t xml:space="preserve">- </w:t>
      </w:r>
      <w:r w:rsidRPr="002D65C5">
        <w:rPr>
          <w:rFonts w:cs="Arial"/>
          <w:rtl/>
        </w:rPr>
        <w:t>סגיא בהכין לברך על הכוס אחר בפה"ג ודיו</w:t>
      </w:r>
      <w:r>
        <w:rPr>
          <w:rFonts w:cs="Arial" w:hint="cs"/>
          <w:rtl/>
        </w:rPr>
        <w:t>.</w:t>
      </w:r>
      <w:r w:rsidRPr="002D65C5">
        <w:rPr>
          <w:rFonts w:cs="Arial"/>
          <w:rtl/>
        </w:rPr>
        <w:t xml:space="preserve"> ואי שלא במקום סעודה קדיש</w:t>
      </w:r>
      <w:r>
        <w:rPr>
          <w:rFonts w:cs="Arial" w:hint="cs"/>
          <w:rtl/>
        </w:rPr>
        <w:t>,</w:t>
      </w:r>
      <w:r w:rsidRPr="002D65C5">
        <w:rPr>
          <w:rFonts w:cs="Arial"/>
          <w:rtl/>
        </w:rPr>
        <w:t xml:space="preserve"> או קם מן ההוא דוכתא </w:t>
      </w:r>
      <w:r>
        <w:rPr>
          <w:rFonts w:cs="Arial" w:hint="cs"/>
          <w:rtl/>
        </w:rPr>
        <w:t xml:space="preserve">- </w:t>
      </w:r>
      <w:r w:rsidRPr="002D65C5">
        <w:rPr>
          <w:rFonts w:cs="Arial"/>
          <w:rtl/>
        </w:rPr>
        <w:t>צריך למיהדר ולקדושי</w:t>
      </w:r>
      <w:r>
        <w:rPr>
          <w:rFonts w:cs="Arial" w:hint="cs"/>
          <w:sz w:val="16"/>
          <w:szCs w:val="16"/>
          <w:rtl/>
        </w:rPr>
        <w:t xml:space="preserve"> (ל' ספר העיתים)</w:t>
      </w:r>
      <w:r w:rsidRPr="007A081B">
        <w:rPr>
          <w:rFonts w:cs="Arial" w:hint="cs"/>
          <w:rtl/>
        </w:rPr>
        <w:t>.</w:t>
      </w:r>
    </w:p>
    <w:p w14:paraId="327BDE1B" w14:textId="77777777" w:rsidR="004B2E7C" w:rsidRDefault="004B2E7C" w:rsidP="00FF2D21">
      <w:pPr>
        <w:pStyle w:val="aa"/>
        <w:numPr>
          <w:ilvl w:val="0"/>
          <w:numId w:val="116"/>
        </w:numPr>
      </w:pPr>
      <w:r>
        <w:rPr>
          <w:rFonts w:cs="Arial" w:hint="cs"/>
          <w:rtl/>
        </w:rPr>
        <w:t xml:space="preserve">רא"ש </w:t>
      </w:r>
      <w:r w:rsidRPr="007A081B">
        <w:rPr>
          <w:rFonts w:cs="Arial" w:hint="cs"/>
          <w:sz w:val="16"/>
          <w:szCs w:val="16"/>
          <w:rtl/>
        </w:rPr>
        <w:t>(</w:t>
      </w:r>
      <w:r w:rsidRPr="007A081B">
        <w:rPr>
          <w:rFonts w:cs="Arial"/>
          <w:sz w:val="16"/>
          <w:szCs w:val="16"/>
          <w:rtl/>
        </w:rPr>
        <w:t>פ</w:t>
      </w:r>
      <w:r w:rsidRPr="007A081B">
        <w:rPr>
          <w:rFonts w:cs="Arial" w:hint="cs"/>
          <w:sz w:val="16"/>
          <w:szCs w:val="16"/>
          <w:rtl/>
        </w:rPr>
        <w:t>'</w:t>
      </w:r>
      <w:r w:rsidRPr="007A081B">
        <w:rPr>
          <w:rFonts w:cs="Arial"/>
          <w:sz w:val="16"/>
          <w:szCs w:val="16"/>
          <w:rtl/>
        </w:rPr>
        <w:t xml:space="preserve"> ערבי פסחים סי' יח)</w:t>
      </w:r>
      <w:r>
        <w:rPr>
          <w:rFonts w:cs="Arial" w:hint="cs"/>
          <w:rtl/>
        </w:rPr>
        <w:t xml:space="preserve">- </w:t>
      </w:r>
      <w:r w:rsidRPr="003A3CB9">
        <w:rPr>
          <w:rFonts w:cs="Arial"/>
          <w:rtl/>
        </w:rPr>
        <w:t>גם בקידוש יוצאין בטעימת אחר</w:t>
      </w:r>
      <w:r>
        <w:rPr>
          <w:rFonts w:cs="Arial" w:hint="cs"/>
          <w:rtl/>
        </w:rPr>
        <w:t xml:space="preserve"> </w:t>
      </w:r>
      <w:r>
        <w:rPr>
          <w:rFonts w:cs="Arial" w:hint="cs"/>
          <w:sz w:val="16"/>
          <w:szCs w:val="16"/>
          <w:rtl/>
        </w:rPr>
        <w:t>(ל' הטור בשמו)</w:t>
      </w:r>
      <w:r>
        <w:rPr>
          <w:rFonts w:cs="Arial" w:hint="cs"/>
          <w:rtl/>
        </w:rPr>
        <w:t>.</w:t>
      </w:r>
      <w:r w:rsidRPr="003A3CB9">
        <w:rPr>
          <w:rFonts w:cs="Arial"/>
          <w:rtl/>
        </w:rPr>
        <w:t xml:space="preserve"> </w:t>
      </w:r>
      <w:r w:rsidRPr="006736A8">
        <w:rPr>
          <w:rFonts w:hint="cs"/>
          <w:color w:val="E36C0A" w:themeColor="accent6" w:themeShade="BF"/>
          <w:rtl/>
        </w:rPr>
        <w:t>(וכ"</w:t>
      </w:r>
      <w:r>
        <w:rPr>
          <w:rFonts w:hint="cs"/>
          <w:color w:val="E36C0A" w:themeColor="accent6" w:themeShade="BF"/>
          <w:rtl/>
        </w:rPr>
        <w:t>ס</w:t>
      </w:r>
      <w:r w:rsidRPr="006736A8">
        <w:rPr>
          <w:rFonts w:hint="cs"/>
          <w:color w:val="E36C0A" w:themeColor="accent6" w:themeShade="BF"/>
          <w:rtl/>
        </w:rPr>
        <w:t xml:space="preserve"> בשו"ע)</w:t>
      </w:r>
    </w:p>
    <w:p w14:paraId="550487E6" w14:textId="77777777" w:rsidR="004B2E7C" w:rsidRPr="00153B20" w:rsidRDefault="004B2E7C" w:rsidP="00434A6A">
      <w:pPr>
        <w:ind w:left="360"/>
        <w:rPr>
          <w:u w:val="dotted"/>
        </w:rPr>
      </w:pPr>
      <w:r w:rsidRPr="00153B20">
        <w:rPr>
          <w:rFonts w:hint="cs"/>
          <w:u w:val="dotted"/>
          <w:rtl/>
        </w:rPr>
        <w:t xml:space="preserve">לרא"ש וסיעתו </w:t>
      </w:r>
      <w:r w:rsidRPr="00153B20">
        <w:rPr>
          <w:u w:val="dotted"/>
          <w:rtl/>
        </w:rPr>
        <w:t>–</w:t>
      </w:r>
      <w:r w:rsidRPr="00153B20">
        <w:rPr>
          <w:rFonts w:hint="cs"/>
          <w:u w:val="dotted"/>
          <w:rtl/>
        </w:rPr>
        <w:t xml:space="preserve"> האם שנים </w:t>
      </w:r>
      <w:r w:rsidRPr="00153B20">
        <w:rPr>
          <w:rFonts w:hint="cs"/>
          <w:sz w:val="16"/>
          <w:szCs w:val="16"/>
          <w:u w:val="dotted"/>
          <w:rtl/>
        </w:rPr>
        <w:t>(או יותר)</w:t>
      </w:r>
      <w:r w:rsidRPr="00153B20">
        <w:rPr>
          <w:rFonts w:hint="cs"/>
          <w:u w:val="dotted"/>
          <w:rtl/>
        </w:rPr>
        <w:t xml:space="preserve"> מצטרפים לשיעור מלא לוגמיו: </w:t>
      </w:r>
    </w:p>
    <w:p w14:paraId="29DE7772" w14:textId="77777777" w:rsidR="004B2E7C" w:rsidRPr="00153B20" w:rsidRDefault="004B2E7C" w:rsidP="00FF2D21">
      <w:pPr>
        <w:pStyle w:val="aa"/>
        <w:numPr>
          <w:ilvl w:val="0"/>
          <w:numId w:val="116"/>
        </w:numPr>
      </w:pPr>
      <w:r>
        <w:rPr>
          <w:rFonts w:cs="Arial" w:hint="cs"/>
          <w:rtl/>
        </w:rPr>
        <w:t xml:space="preserve">רא"ש </w:t>
      </w:r>
      <w:r w:rsidRPr="007A081B">
        <w:rPr>
          <w:rFonts w:cs="Arial" w:hint="cs"/>
          <w:sz w:val="16"/>
          <w:szCs w:val="16"/>
          <w:rtl/>
        </w:rPr>
        <w:t>(</w:t>
      </w:r>
      <w:r w:rsidRPr="007A081B">
        <w:rPr>
          <w:rFonts w:cs="Arial"/>
          <w:sz w:val="16"/>
          <w:szCs w:val="16"/>
          <w:rtl/>
        </w:rPr>
        <w:t>פ</w:t>
      </w:r>
      <w:r w:rsidRPr="007A081B">
        <w:rPr>
          <w:rFonts w:cs="Arial" w:hint="cs"/>
          <w:sz w:val="16"/>
          <w:szCs w:val="16"/>
          <w:rtl/>
        </w:rPr>
        <w:t>'</w:t>
      </w:r>
      <w:r w:rsidRPr="007A081B">
        <w:rPr>
          <w:rFonts w:cs="Arial"/>
          <w:sz w:val="16"/>
          <w:szCs w:val="16"/>
          <w:rtl/>
        </w:rPr>
        <w:t xml:space="preserve"> ערבי פסחים סי' יח)</w:t>
      </w:r>
      <w:r>
        <w:rPr>
          <w:rFonts w:cs="Arial" w:hint="cs"/>
          <w:rtl/>
        </w:rPr>
        <w:t xml:space="preserve">- </w:t>
      </w:r>
      <w:r w:rsidRPr="003A3CB9">
        <w:rPr>
          <w:rFonts w:cs="Arial"/>
          <w:rtl/>
        </w:rPr>
        <w:t>ומיהו צריך אחד מן המסובין לשתות מלא לוגמיו</w:t>
      </w:r>
      <w:r>
        <w:rPr>
          <w:rFonts w:cs="Arial" w:hint="cs"/>
          <w:rtl/>
        </w:rPr>
        <w:t>,</w:t>
      </w:r>
      <w:r w:rsidRPr="003A3CB9">
        <w:rPr>
          <w:rFonts w:cs="Arial"/>
          <w:rtl/>
        </w:rPr>
        <w:t xml:space="preserve"> ואין שתיית שנים מצטרפין למלא לוגמיו</w:t>
      </w:r>
      <w:r>
        <w:rPr>
          <w:rFonts w:cs="Arial" w:hint="cs"/>
          <w:rtl/>
        </w:rPr>
        <w:t>,</w:t>
      </w:r>
      <w:r w:rsidRPr="003A3CB9">
        <w:rPr>
          <w:rFonts w:cs="Arial"/>
          <w:rtl/>
        </w:rPr>
        <w:t xml:space="preserve"> דלא מיקרי שתייה של הנאה בפחות ממלא לוגמיו</w:t>
      </w:r>
      <w:r>
        <w:rPr>
          <w:rFonts w:cs="Arial" w:hint="cs"/>
          <w:rtl/>
        </w:rPr>
        <w:t>,</w:t>
      </w:r>
      <w:r w:rsidRPr="003A3CB9">
        <w:rPr>
          <w:rFonts w:cs="Arial"/>
          <w:rtl/>
        </w:rPr>
        <w:t xml:space="preserve"> ואנן בעינן שיהנה אחד מהם משתיית כוס של ברכה </w:t>
      </w:r>
      <w:r>
        <w:rPr>
          <w:rFonts w:cs="Arial" w:hint="cs"/>
          <w:sz w:val="16"/>
          <w:szCs w:val="16"/>
          <w:rtl/>
        </w:rPr>
        <w:t>(ל' הטור בשמו)</w:t>
      </w:r>
      <w:r>
        <w:rPr>
          <w:rFonts w:cs="Arial" w:hint="cs"/>
          <w:rtl/>
        </w:rPr>
        <w:t>.</w:t>
      </w:r>
      <w:r w:rsidRPr="004B65B2">
        <w:rPr>
          <w:rFonts w:hint="cs"/>
          <w:color w:val="E36C0A" w:themeColor="accent6" w:themeShade="BF"/>
          <w:rtl/>
        </w:rPr>
        <w:t xml:space="preserve"> </w:t>
      </w:r>
      <w:r w:rsidRPr="006736A8">
        <w:rPr>
          <w:rFonts w:hint="cs"/>
          <w:color w:val="E36C0A" w:themeColor="accent6" w:themeShade="BF"/>
          <w:rtl/>
        </w:rPr>
        <w:t>(וכ"</w:t>
      </w:r>
      <w:r>
        <w:rPr>
          <w:rFonts w:hint="cs"/>
          <w:color w:val="E36C0A" w:themeColor="accent6" w:themeShade="BF"/>
          <w:rtl/>
        </w:rPr>
        <w:t>ס</w:t>
      </w:r>
      <w:r w:rsidRPr="006736A8">
        <w:rPr>
          <w:rFonts w:hint="cs"/>
          <w:color w:val="E36C0A" w:themeColor="accent6" w:themeShade="BF"/>
          <w:rtl/>
        </w:rPr>
        <w:t xml:space="preserve"> בשו"ע)</w:t>
      </w:r>
    </w:p>
    <w:p w14:paraId="569911AD" w14:textId="77777777" w:rsidR="004B2E7C" w:rsidRDefault="004B2E7C" w:rsidP="00FF2D21">
      <w:pPr>
        <w:pStyle w:val="aa"/>
        <w:numPr>
          <w:ilvl w:val="0"/>
          <w:numId w:val="116"/>
        </w:numPr>
      </w:pPr>
      <w:r w:rsidRPr="00153B20">
        <w:rPr>
          <w:rFonts w:cs="Arial"/>
          <w:rtl/>
        </w:rPr>
        <w:t xml:space="preserve">ריטב"א </w:t>
      </w:r>
      <w:r w:rsidRPr="00153B20">
        <w:rPr>
          <w:rFonts w:cs="Arial" w:hint="cs"/>
          <w:sz w:val="16"/>
          <w:szCs w:val="16"/>
          <w:rtl/>
        </w:rPr>
        <w:t>(</w:t>
      </w:r>
      <w:r w:rsidRPr="00153B20">
        <w:rPr>
          <w:rFonts w:cs="Arial"/>
          <w:sz w:val="16"/>
          <w:szCs w:val="16"/>
          <w:rtl/>
        </w:rPr>
        <w:t>פ</w:t>
      </w:r>
      <w:r w:rsidRPr="00153B20">
        <w:rPr>
          <w:rFonts w:cs="Arial" w:hint="cs"/>
          <w:sz w:val="16"/>
          <w:szCs w:val="16"/>
          <w:rtl/>
        </w:rPr>
        <w:t>'</w:t>
      </w:r>
      <w:r w:rsidRPr="00153B20">
        <w:rPr>
          <w:rFonts w:cs="Arial"/>
          <w:sz w:val="16"/>
          <w:szCs w:val="16"/>
          <w:rtl/>
        </w:rPr>
        <w:t xml:space="preserve"> חלון עירובין עט: ד"ה הא דאמרינן המקדש) </w:t>
      </w:r>
      <w:r w:rsidRPr="00153B20">
        <w:rPr>
          <w:rFonts w:cs="Arial"/>
          <w:rtl/>
        </w:rPr>
        <w:t>בשם התוס</w:t>
      </w:r>
      <w:r w:rsidRPr="00153B20">
        <w:rPr>
          <w:rFonts w:cs="Arial" w:hint="cs"/>
          <w:rtl/>
        </w:rPr>
        <w:t>'-</w:t>
      </w:r>
      <w:r w:rsidRPr="00153B20">
        <w:rPr>
          <w:rFonts w:cs="Arial"/>
          <w:rtl/>
        </w:rPr>
        <w:t xml:space="preserve"> אם לא טעם אחד מהם מלא לוגמיו</w:t>
      </w:r>
      <w:r>
        <w:rPr>
          <w:rFonts w:cs="Arial" w:hint="cs"/>
          <w:rtl/>
        </w:rPr>
        <w:t>,</w:t>
      </w:r>
      <w:r w:rsidRPr="00153B20">
        <w:rPr>
          <w:rFonts w:cs="Arial"/>
          <w:rtl/>
        </w:rPr>
        <w:t xml:space="preserve"> כיון שבין כולם טעמו כשיעור ההוא </w:t>
      </w:r>
      <w:r>
        <w:rPr>
          <w:rFonts w:cs="Arial" w:hint="cs"/>
          <w:rtl/>
        </w:rPr>
        <w:t xml:space="preserve">- </w:t>
      </w:r>
      <w:r w:rsidRPr="00153B20">
        <w:rPr>
          <w:rFonts w:cs="Arial"/>
          <w:rtl/>
        </w:rPr>
        <w:t>יצאו</w:t>
      </w:r>
      <w:r>
        <w:rPr>
          <w:rFonts w:cs="Arial" w:hint="cs"/>
          <w:rtl/>
        </w:rPr>
        <w:t>,</w:t>
      </w:r>
      <w:r w:rsidRPr="00153B20">
        <w:rPr>
          <w:rFonts w:cs="Arial"/>
          <w:rtl/>
        </w:rPr>
        <w:t xml:space="preserve"> דכולם מצטרפין למלא לוגמיו</w:t>
      </w:r>
      <w:r>
        <w:rPr>
          <w:rFonts w:cs="Arial" w:hint="cs"/>
          <w:rtl/>
        </w:rPr>
        <w:t>.</w:t>
      </w:r>
      <w:r w:rsidRPr="00153B20">
        <w:rPr>
          <w:rFonts w:cs="Arial"/>
          <w:rtl/>
        </w:rPr>
        <w:t xml:space="preserve"> </w:t>
      </w:r>
    </w:p>
    <w:p w14:paraId="4947FBB4" w14:textId="77777777" w:rsidR="004B2E7C" w:rsidRPr="00153B20" w:rsidRDefault="004B2E7C" w:rsidP="00434A6A">
      <w:r w:rsidRPr="008036C3">
        <w:rPr>
          <w:rFonts w:cs="Arial" w:hint="cs"/>
          <w:b/>
          <w:bCs/>
          <w:rtl/>
        </w:rPr>
        <w:t xml:space="preserve">פסחים </w:t>
      </w:r>
      <w:r w:rsidRPr="008036C3">
        <w:rPr>
          <w:rFonts w:cs="Arial" w:hint="cs"/>
          <w:b/>
          <w:bCs/>
          <w:sz w:val="16"/>
          <w:szCs w:val="16"/>
          <w:rtl/>
        </w:rPr>
        <w:t>(פ</w:t>
      </w:r>
      <w:r>
        <w:rPr>
          <w:rFonts w:cs="Arial" w:hint="cs"/>
          <w:b/>
          <w:bCs/>
          <w:sz w:val="16"/>
          <w:szCs w:val="16"/>
          <w:rtl/>
        </w:rPr>
        <w:t>'</w:t>
      </w:r>
      <w:r w:rsidRPr="008036C3">
        <w:rPr>
          <w:rFonts w:cs="Arial" w:hint="cs"/>
          <w:b/>
          <w:bCs/>
          <w:sz w:val="16"/>
          <w:szCs w:val="16"/>
          <w:rtl/>
        </w:rPr>
        <w:t xml:space="preserve"> ערבי פסחים) </w:t>
      </w:r>
      <w:r w:rsidRPr="008036C3">
        <w:rPr>
          <w:rFonts w:cs="Arial" w:hint="cs"/>
          <w:b/>
          <w:bCs/>
          <w:rtl/>
        </w:rPr>
        <w:t>ק</w:t>
      </w:r>
      <w:r>
        <w:rPr>
          <w:rFonts w:cs="Arial" w:hint="cs"/>
          <w:b/>
          <w:bCs/>
          <w:rtl/>
        </w:rPr>
        <w:t>ו</w:t>
      </w:r>
      <w:r w:rsidRPr="008036C3">
        <w:rPr>
          <w:rFonts w:cs="Arial" w:hint="cs"/>
          <w:b/>
          <w:bCs/>
          <w:rtl/>
        </w:rPr>
        <w:t xml:space="preserve"> ע"</w:t>
      </w:r>
      <w:r>
        <w:rPr>
          <w:rFonts w:cs="Arial" w:hint="cs"/>
          <w:b/>
          <w:bCs/>
          <w:rtl/>
        </w:rPr>
        <w:t>א</w:t>
      </w:r>
      <w:r w:rsidRPr="008036C3">
        <w:rPr>
          <w:rFonts w:cs="Arial" w:hint="cs"/>
          <w:b/>
          <w:bCs/>
          <w:rtl/>
        </w:rPr>
        <w:t>:</w:t>
      </w:r>
      <w:r>
        <w:rPr>
          <w:rFonts w:cs="Arial" w:hint="cs"/>
          <w:rtl/>
        </w:rPr>
        <w:t xml:space="preserve"> </w:t>
      </w:r>
      <w:r w:rsidRPr="004B65B2">
        <w:rPr>
          <w:rFonts w:cs="Arial"/>
          <w:rtl/>
        </w:rPr>
        <w:t>רב אשי איקלע למחוזא, אמרו ליה: ליקדיש לן מר קידושא רבה. הבו ליה. סבר: מאי ניהו קידושא רבה? אמר: מכדי כל הברכות כולן בורא פרי הגפן אמרי ברישא, אמר בורא פרי הגפן ואגיד ביה. חזייה לההוא סבא דגחין ושתי. קרי אנפשיה החכם עיניו בראשו.</w:t>
      </w:r>
    </w:p>
    <w:p w14:paraId="69900AC5" w14:textId="77777777" w:rsidR="004B2E7C" w:rsidRDefault="004B2E7C" w:rsidP="00434A6A">
      <w:pPr>
        <w:rPr>
          <w:rFonts w:cs="Arial"/>
          <w:rtl/>
        </w:rPr>
      </w:pPr>
      <w:r w:rsidRPr="004B65B2">
        <w:rPr>
          <w:rFonts w:cs="Arial" w:hint="cs"/>
          <w:u w:val="single"/>
          <w:rtl/>
        </w:rPr>
        <w:t>האם יש ענין שכולם יטעמו</w:t>
      </w:r>
      <w:r>
        <w:rPr>
          <w:rFonts w:cs="Arial" w:hint="cs"/>
          <w:u w:val="single"/>
          <w:rtl/>
        </w:rPr>
        <w:t xml:space="preserve"> מהיין</w:t>
      </w:r>
      <w:r w:rsidRPr="004B65B2">
        <w:rPr>
          <w:rFonts w:cs="Arial" w:hint="cs"/>
          <w:u w:val="single"/>
          <w:rtl/>
        </w:rPr>
        <w:t>:</w:t>
      </w:r>
    </w:p>
    <w:p w14:paraId="55FA145C" w14:textId="77777777" w:rsidR="004B2E7C" w:rsidRPr="004B65B2" w:rsidRDefault="004B2E7C" w:rsidP="00FF2D21">
      <w:pPr>
        <w:pStyle w:val="aa"/>
        <w:numPr>
          <w:ilvl w:val="0"/>
          <w:numId w:val="120"/>
        </w:numPr>
        <w:rPr>
          <w:rFonts w:cs="Arial"/>
          <w:rtl/>
        </w:rPr>
      </w:pPr>
      <w:r w:rsidRPr="004B65B2">
        <w:rPr>
          <w:rFonts w:cs="Arial" w:hint="cs"/>
          <w:rtl/>
        </w:rPr>
        <w:t xml:space="preserve">רא"ש </w:t>
      </w:r>
      <w:r w:rsidRPr="004B65B2">
        <w:rPr>
          <w:rFonts w:cs="Arial" w:hint="cs"/>
          <w:sz w:val="16"/>
          <w:szCs w:val="16"/>
          <w:rtl/>
        </w:rPr>
        <w:t>(</w:t>
      </w:r>
      <w:r w:rsidRPr="004B65B2">
        <w:rPr>
          <w:rFonts w:cs="Arial"/>
          <w:sz w:val="16"/>
          <w:szCs w:val="16"/>
          <w:rtl/>
        </w:rPr>
        <w:t>פ</w:t>
      </w:r>
      <w:r w:rsidRPr="004B65B2">
        <w:rPr>
          <w:rFonts w:cs="Arial" w:hint="cs"/>
          <w:sz w:val="16"/>
          <w:szCs w:val="16"/>
          <w:rtl/>
        </w:rPr>
        <w:t>'</w:t>
      </w:r>
      <w:r w:rsidRPr="004B65B2">
        <w:rPr>
          <w:rFonts w:cs="Arial"/>
          <w:sz w:val="16"/>
          <w:szCs w:val="16"/>
          <w:rtl/>
        </w:rPr>
        <w:t xml:space="preserve"> ערבי פסחים סי' </w:t>
      </w:r>
      <w:r>
        <w:rPr>
          <w:rFonts w:cs="Arial" w:hint="cs"/>
          <w:sz w:val="16"/>
          <w:szCs w:val="16"/>
          <w:rtl/>
        </w:rPr>
        <w:t>טז</w:t>
      </w:r>
      <w:r w:rsidRPr="004B65B2">
        <w:rPr>
          <w:rFonts w:cs="Arial"/>
          <w:sz w:val="16"/>
          <w:szCs w:val="16"/>
          <w:rtl/>
        </w:rPr>
        <w:t>)</w:t>
      </w:r>
      <w:r w:rsidRPr="004B65B2">
        <w:rPr>
          <w:rFonts w:cs="Arial" w:hint="cs"/>
          <w:rtl/>
        </w:rPr>
        <w:t>- ו</w:t>
      </w:r>
      <w:r w:rsidRPr="004B65B2">
        <w:rPr>
          <w:rFonts w:cs="Arial"/>
          <w:rtl/>
        </w:rPr>
        <w:t>מ</w:t>
      </w:r>
      <w:r w:rsidRPr="004B65B2">
        <w:rPr>
          <w:rFonts w:cs="Arial" w:hint="cs"/>
          <w:rtl/>
        </w:rPr>
        <w:t>כל מקום</w:t>
      </w:r>
      <w:r>
        <w:rPr>
          <w:rStyle w:val="a9"/>
          <w:rFonts w:cs="Arial"/>
          <w:rtl/>
        </w:rPr>
        <w:footnoteReference w:id="947"/>
      </w:r>
      <w:r w:rsidRPr="004B65B2">
        <w:rPr>
          <w:rFonts w:cs="Arial"/>
          <w:rtl/>
        </w:rPr>
        <w:t xml:space="preserve"> מצוה מן המובחר שיטעמו כולם</w:t>
      </w:r>
      <w:r>
        <w:rPr>
          <w:rStyle w:val="a9"/>
          <w:rFonts w:cs="Arial"/>
          <w:rtl/>
        </w:rPr>
        <w:footnoteReference w:id="948"/>
      </w:r>
      <w:r w:rsidRPr="004B65B2">
        <w:rPr>
          <w:rFonts w:cs="Arial" w:hint="cs"/>
          <w:sz w:val="16"/>
          <w:szCs w:val="16"/>
          <w:rtl/>
        </w:rPr>
        <w:t xml:space="preserve"> (ל' הטור בשמו)</w:t>
      </w:r>
      <w:r w:rsidRPr="004B65B2">
        <w:rPr>
          <w:rFonts w:cs="Arial" w:hint="cs"/>
          <w:rtl/>
        </w:rPr>
        <w:t>.</w:t>
      </w:r>
      <w:r w:rsidRPr="004B65B2">
        <w:rPr>
          <w:rFonts w:hint="cs"/>
          <w:color w:val="E36C0A" w:themeColor="accent6" w:themeShade="BF"/>
          <w:rtl/>
        </w:rPr>
        <w:t xml:space="preserve"> </w:t>
      </w:r>
      <w:r w:rsidRPr="006736A8">
        <w:rPr>
          <w:rFonts w:hint="cs"/>
          <w:color w:val="E36C0A" w:themeColor="accent6" w:themeShade="BF"/>
          <w:rtl/>
        </w:rPr>
        <w:t>(וכ"פ בשו"ע)</w:t>
      </w:r>
    </w:p>
    <w:p w14:paraId="75EC03BB"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A5815DD" w14:textId="77777777" w:rsidR="004B2E7C" w:rsidRDefault="004B2E7C" w:rsidP="00434A6A">
      <w:pPr>
        <w:rPr>
          <w:rFonts w:asciiTheme="minorBidi" w:hAnsiTheme="minorBidi"/>
          <w:rtl/>
        </w:rPr>
      </w:pPr>
      <w:r w:rsidRPr="00CC2350">
        <w:rPr>
          <w:rFonts w:asciiTheme="minorBidi" w:hAnsiTheme="minorBidi" w:cs="Arial"/>
          <w:rtl/>
        </w:rPr>
        <w:t>אם לא טעם המקדש, וטעם אחד מהמסובין</w:t>
      </w:r>
      <w:r>
        <w:rPr>
          <w:rStyle w:val="a9"/>
          <w:rFonts w:asciiTheme="minorBidi" w:hAnsiTheme="minorBidi" w:cs="Arial"/>
          <w:rtl/>
        </w:rPr>
        <w:footnoteReference w:id="949"/>
      </w:r>
      <w:r w:rsidRPr="00CC2350">
        <w:rPr>
          <w:rFonts w:asciiTheme="minorBidi" w:hAnsiTheme="minorBidi" w:cs="Arial"/>
          <w:rtl/>
        </w:rPr>
        <w:t xml:space="preserve"> כמלא לוגמי</w:t>
      </w:r>
      <w:r>
        <w:rPr>
          <w:rFonts w:asciiTheme="minorBidi" w:hAnsiTheme="minorBidi" w:cs="Arial" w:hint="cs"/>
          <w:rtl/>
        </w:rPr>
        <w:t>ו</w:t>
      </w:r>
      <w:r w:rsidRPr="00CC2350">
        <w:rPr>
          <w:rFonts w:asciiTheme="minorBidi" w:hAnsiTheme="minorBidi" w:cs="Arial"/>
          <w:rtl/>
        </w:rPr>
        <w:t>, יצא</w:t>
      </w:r>
      <w:r>
        <w:rPr>
          <w:rFonts w:asciiTheme="minorBidi" w:hAnsiTheme="minorBidi" w:cs="Arial" w:hint="cs"/>
          <w:rtl/>
        </w:rPr>
        <w:t>.</w:t>
      </w:r>
      <w:r w:rsidRPr="00CC2350">
        <w:rPr>
          <w:rFonts w:asciiTheme="minorBidi" w:hAnsiTheme="minorBidi" w:cs="Arial"/>
          <w:rtl/>
        </w:rPr>
        <w:t xml:space="preserve"> ואין שתיית שנים מצטרפת למלא לוגמיו</w:t>
      </w:r>
      <w:r>
        <w:rPr>
          <w:rFonts w:asciiTheme="minorBidi" w:hAnsiTheme="minorBidi" w:cs="Arial" w:hint="cs"/>
          <w:rtl/>
        </w:rPr>
        <w:t>.</w:t>
      </w:r>
      <w:r w:rsidRPr="00CC2350">
        <w:rPr>
          <w:rFonts w:asciiTheme="minorBidi" w:hAnsiTheme="minorBidi" w:cs="Arial"/>
          <w:rtl/>
        </w:rPr>
        <w:t xml:space="preserve"> ומ</w:t>
      </w:r>
      <w:r>
        <w:rPr>
          <w:rFonts w:asciiTheme="minorBidi" w:hAnsiTheme="minorBidi" w:cs="Arial" w:hint="cs"/>
          <w:rtl/>
        </w:rPr>
        <w:t xml:space="preserve">כל </w:t>
      </w:r>
      <w:r w:rsidRPr="00CC2350">
        <w:rPr>
          <w:rFonts w:asciiTheme="minorBidi" w:hAnsiTheme="minorBidi" w:cs="Arial"/>
          <w:rtl/>
        </w:rPr>
        <w:t>מ</w:t>
      </w:r>
      <w:r>
        <w:rPr>
          <w:rFonts w:asciiTheme="minorBidi" w:hAnsiTheme="minorBidi" w:cs="Arial" w:hint="cs"/>
          <w:rtl/>
        </w:rPr>
        <w:t>קום</w:t>
      </w:r>
      <w:r w:rsidRPr="00CC2350">
        <w:rPr>
          <w:rFonts w:asciiTheme="minorBidi" w:hAnsiTheme="minorBidi" w:cs="Arial"/>
          <w:rtl/>
        </w:rPr>
        <w:t xml:space="preserve"> מצוה מן המובחר שיטעמו כולם. וי</w:t>
      </w:r>
      <w:r>
        <w:rPr>
          <w:rFonts w:asciiTheme="minorBidi" w:hAnsiTheme="minorBidi" w:cs="Arial" w:hint="cs"/>
          <w:rtl/>
        </w:rPr>
        <w:t xml:space="preserve">ש </w:t>
      </w:r>
      <w:r w:rsidRPr="00CC2350">
        <w:rPr>
          <w:rFonts w:asciiTheme="minorBidi" w:hAnsiTheme="minorBidi" w:cs="Arial"/>
          <w:rtl/>
        </w:rPr>
        <w:t>א</w:t>
      </w:r>
      <w:r>
        <w:rPr>
          <w:rFonts w:asciiTheme="minorBidi" w:hAnsiTheme="minorBidi" w:cs="Arial" w:hint="cs"/>
          <w:rtl/>
        </w:rPr>
        <w:t>ומרים</w:t>
      </w:r>
      <w:r w:rsidRPr="00CC2350">
        <w:rPr>
          <w:rFonts w:asciiTheme="minorBidi" w:hAnsiTheme="minorBidi" w:cs="Arial"/>
          <w:rtl/>
        </w:rPr>
        <w:t xml:space="preserve"> דכיון שבין כולם טעמו כמלא לוגמיו יצאו</w:t>
      </w:r>
      <w:r>
        <w:rPr>
          <w:rStyle w:val="a9"/>
          <w:rFonts w:asciiTheme="minorBidi" w:hAnsiTheme="minorBidi" w:cs="Arial"/>
          <w:rtl/>
        </w:rPr>
        <w:footnoteReference w:id="950"/>
      </w:r>
      <w:r w:rsidRPr="00CC2350">
        <w:rPr>
          <w:rFonts w:asciiTheme="minorBidi" w:hAnsiTheme="minorBidi" w:cs="Arial"/>
          <w:rtl/>
        </w:rPr>
        <w:t>, דשתיית כולם מצטרפת לכשיעור. והגאונים סוברים שאם לא טעם המקדש לא יצא, וראוי לחוש לדבריהם</w:t>
      </w:r>
      <w:r>
        <w:rPr>
          <w:rStyle w:val="a9"/>
          <w:rFonts w:asciiTheme="minorBidi" w:hAnsiTheme="minorBidi" w:cs="Arial"/>
          <w:rtl/>
        </w:rPr>
        <w:footnoteReference w:id="951"/>
      </w:r>
      <w:r>
        <w:rPr>
          <w:rFonts w:asciiTheme="minorBidi" w:hAnsiTheme="minorBidi" w:cs="Arial" w:hint="cs"/>
          <w:rtl/>
        </w:rPr>
        <w:t>.</w:t>
      </w:r>
      <w:r w:rsidRPr="00CC2350">
        <w:rPr>
          <w:rFonts w:asciiTheme="minorBidi" w:hAnsiTheme="minorBidi" w:cs="Arial"/>
          <w:rtl/>
        </w:rPr>
        <w:t xml:space="preserve"> ודוקא בקידוש</w:t>
      </w:r>
      <w:r>
        <w:rPr>
          <w:rStyle w:val="a9"/>
          <w:rFonts w:asciiTheme="minorBidi" w:hAnsiTheme="minorBidi" w:cs="Arial"/>
          <w:rtl/>
        </w:rPr>
        <w:footnoteReference w:id="952"/>
      </w:r>
      <w:r w:rsidRPr="00CC2350">
        <w:rPr>
          <w:rFonts w:asciiTheme="minorBidi" w:hAnsiTheme="minorBidi" w:cs="Arial"/>
          <w:rtl/>
        </w:rPr>
        <w:t xml:space="preserve">, אבל בשאר דברים הטעונים כוס מודים הגאונים דסגי בטעימת אחר. </w:t>
      </w:r>
    </w:p>
    <w:p w14:paraId="204BC615" w14:textId="77777777" w:rsidR="004B2E7C" w:rsidRPr="00CC2350" w:rsidRDefault="004B2E7C" w:rsidP="00434A6A">
      <w:pPr>
        <w:rPr>
          <w:rFonts w:asciiTheme="minorBidi" w:hAnsiTheme="minorBidi"/>
          <w:rtl/>
        </w:rPr>
      </w:pPr>
    </w:p>
    <w:p w14:paraId="15FAE4C7" w14:textId="77777777" w:rsidR="004B2E7C" w:rsidRDefault="004B2E7C" w:rsidP="00434A6A">
      <w:pPr>
        <w:pStyle w:val="2"/>
        <w:rPr>
          <w:rtl/>
        </w:rPr>
      </w:pPr>
      <w:r w:rsidRPr="00CC2350">
        <w:rPr>
          <w:rtl/>
        </w:rPr>
        <w:t>סעיף טו</w:t>
      </w:r>
      <w:r>
        <w:rPr>
          <w:rFonts w:hint="cs"/>
          <w:rtl/>
        </w:rPr>
        <w:t>: הפסיק בדיבור בין קידוש לטעימה.</w:t>
      </w:r>
    </w:p>
    <w:p w14:paraId="55277544" w14:textId="77777777" w:rsidR="004B2E7C" w:rsidRPr="00356DA8" w:rsidRDefault="004B2E7C" w:rsidP="00434A6A">
      <w:pPr>
        <w:rPr>
          <w:u w:val="single"/>
          <w:rtl/>
        </w:rPr>
      </w:pPr>
      <w:r w:rsidRPr="00356DA8">
        <w:rPr>
          <w:rFonts w:hint="cs"/>
          <w:u w:val="single"/>
          <w:rtl/>
        </w:rPr>
        <w:t>הפסיק בדיבור בין קידוש לטעימה:</w:t>
      </w:r>
    </w:p>
    <w:p w14:paraId="65CA9CC6" w14:textId="77777777" w:rsidR="004B2E7C" w:rsidRDefault="004B2E7C" w:rsidP="00FF2D21">
      <w:pPr>
        <w:pStyle w:val="aa"/>
        <w:numPr>
          <w:ilvl w:val="0"/>
          <w:numId w:val="116"/>
        </w:numPr>
      </w:pPr>
      <w:r>
        <w:rPr>
          <w:rFonts w:cs="Arial" w:hint="cs"/>
          <w:rtl/>
        </w:rPr>
        <w:t xml:space="preserve">בה"ג </w:t>
      </w:r>
      <w:r>
        <w:rPr>
          <w:rFonts w:cs="Arial" w:hint="cs"/>
          <w:sz w:val="16"/>
          <w:szCs w:val="16"/>
          <w:rtl/>
        </w:rPr>
        <w:t>(כ"כ הטור בשמו)</w:t>
      </w:r>
      <w:r>
        <w:rPr>
          <w:rFonts w:cs="Arial" w:hint="cs"/>
          <w:rtl/>
        </w:rPr>
        <w:t xml:space="preserve">- </w:t>
      </w:r>
      <w:r w:rsidRPr="003A3CB9">
        <w:rPr>
          <w:rFonts w:cs="Arial"/>
          <w:rtl/>
        </w:rPr>
        <w:t>מאן דמקדש ומקמי דליטעם משתעי הדר מברך בפ"ה וא"צ לחזור ולקדש</w:t>
      </w:r>
      <w:r>
        <w:rPr>
          <w:rStyle w:val="a9"/>
          <w:rFonts w:cs="Arial"/>
          <w:rtl/>
        </w:rPr>
        <w:footnoteReference w:id="953"/>
      </w:r>
      <w:r>
        <w:rPr>
          <w:rFonts w:cs="Arial" w:hint="cs"/>
          <w:sz w:val="16"/>
          <w:szCs w:val="16"/>
          <w:rtl/>
        </w:rPr>
        <w:t xml:space="preserve"> (ל' הטור בשמו)</w:t>
      </w:r>
      <w:r>
        <w:rPr>
          <w:rFonts w:cs="Arial" w:hint="cs"/>
          <w:rtl/>
        </w:rPr>
        <w:t>.</w:t>
      </w:r>
      <w:r w:rsidRPr="003A3CB9">
        <w:rPr>
          <w:rFonts w:cs="Arial"/>
          <w:rtl/>
        </w:rPr>
        <w:t xml:space="preserve"> </w:t>
      </w:r>
      <w:r w:rsidRPr="006736A8">
        <w:rPr>
          <w:rFonts w:hint="cs"/>
          <w:color w:val="E36C0A" w:themeColor="accent6" w:themeShade="BF"/>
          <w:rtl/>
        </w:rPr>
        <w:t>(וכ"פ בשו"ע)</w:t>
      </w:r>
    </w:p>
    <w:p w14:paraId="28ED476D" w14:textId="77777777" w:rsidR="004B2E7C" w:rsidRPr="00B87076" w:rsidRDefault="004B2E7C" w:rsidP="00434A6A">
      <w:r w:rsidRPr="008036C3">
        <w:rPr>
          <w:rFonts w:cs="Arial" w:hint="cs"/>
          <w:b/>
          <w:bCs/>
          <w:rtl/>
        </w:rPr>
        <w:t xml:space="preserve">פסחים </w:t>
      </w:r>
      <w:r w:rsidRPr="008036C3">
        <w:rPr>
          <w:rFonts w:cs="Arial" w:hint="cs"/>
          <w:b/>
          <w:bCs/>
          <w:sz w:val="16"/>
          <w:szCs w:val="16"/>
          <w:rtl/>
        </w:rPr>
        <w:t>(פ</w:t>
      </w:r>
      <w:r>
        <w:rPr>
          <w:rFonts w:cs="Arial" w:hint="cs"/>
          <w:b/>
          <w:bCs/>
          <w:sz w:val="16"/>
          <w:szCs w:val="16"/>
          <w:rtl/>
        </w:rPr>
        <w:t>'</w:t>
      </w:r>
      <w:r w:rsidRPr="008036C3">
        <w:rPr>
          <w:rFonts w:cs="Arial" w:hint="cs"/>
          <w:b/>
          <w:bCs/>
          <w:sz w:val="16"/>
          <w:szCs w:val="16"/>
          <w:rtl/>
        </w:rPr>
        <w:t xml:space="preserve"> ערבי פסחים) </w:t>
      </w:r>
      <w:r w:rsidRPr="008036C3">
        <w:rPr>
          <w:rFonts w:cs="Arial" w:hint="cs"/>
          <w:b/>
          <w:bCs/>
          <w:rtl/>
        </w:rPr>
        <w:t>ק</w:t>
      </w:r>
      <w:r>
        <w:rPr>
          <w:rFonts w:cs="Arial" w:hint="cs"/>
          <w:b/>
          <w:bCs/>
          <w:rtl/>
        </w:rPr>
        <w:t>ה</w:t>
      </w:r>
      <w:r w:rsidRPr="008036C3">
        <w:rPr>
          <w:rFonts w:cs="Arial" w:hint="cs"/>
          <w:b/>
          <w:bCs/>
          <w:rtl/>
        </w:rPr>
        <w:t xml:space="preserve"> ע"</w:t>
      </w:r>
      <w:r>
        <w:rPr>
          <w:rFonts w:cs="Arial" w:hint="cs"/>
          <w:b/>
          <w:bCs/>
          <w:rtl/>
        </w:rPr>
        <w:t>ב</w:t>
      </w:r>
      <w:r w:rsidRPr="008036C3">
        <w:rPr>
          <w:rFonts w:cs="Arial" w:hint="cs"/>
          <w:b/>
          <w:bCs/>
          <w:rtl/>
        </w:rPr>
        <w:t>:</w:t>
      </w:r>
      <w:r>
        <w:rPr>
          <w:rFonts w:cs="Arial" w:hint="cs"/>
          <w:rtl/>
        </w:rPr>
        <w:t xml:space="preserve"> </w:t>
      </w:r>
      <w:r w:rsidRPr="00F11129">
        <w:rPr>
          <w:rFonts w:cs="Arial"/>
          <w:rtl/>
        </w:rPr>
        <w:t>מטעמת יין - כל שהוא</w:t>
      </w:r>
      <w:r>
        <w:rPr>
          <w:rStyle w:val="a9"/>
          <w:rFonts w:cs="Arial"/>
          <w:rtl/>
        </w:rPr>
        <w:footnoteReference w:id="954"/>
      </w:r>
      <w:r>
        <w:rPr>
          <w:rFonts w:cs="Arial" w:hint="cs"/>
          <w:rtl/>
        </w:rPr>
        <w:t>.</w:t>
      </w:r>
      <w:r w:rsidRPr="00F11129">
        <w:rPr>
          <w:rFonts w:cs="Arial"/>
          <w:rtl/>
        </w:rPr>
        <w:t xml:space="preserve"> </w:t>
      </w:r>
      <w:r w:rsidRPr="00F11129">
        <w:rPr>
          <w:rFonts w:cs="Arial"/>
          <w:u w:val="single"/>
          <w:rtl/>
        </w:rPr>
        <w:t>רבי יוסי בר יהודה אומר</w:t>
      </w:r>
      <w:r w:rsidRPr="00F11129">
        <w:rPr>
          <w:rFonts w:cs="Arial"/>
          <w:rtl/>
        </w:rPr>
        <w:t xml:space="preserve">: מלא לוגמא. </w:t>
      </w:r>
      <w:r w:rsidRPr="002C22DF">
        <w:rPr>
          <w:rFonts w:cs="Arial"/>
          <w:u w:val="single"/>
          <w:rtl/>
        </w:rPr>
        <w:t>אמר רב הונא אמר רב</w:t>
      </w:r>
      <w:r>
        <w:rPr>
          <w:rFonts w:cs="Arial" w:hint="cs"/>
          <w:rtl/>
        </w:rPr>
        <w:t>:</w:t>
      </w:r>
      <w:r w:rsidRPr="00F11129">
        <w:rPr>
          <w:rFonts w:cs="Arial"/>
          <w:rtl/>
        </w:rPr>
        <w:t xml:space="preserve"> וכן תני רב גידל דמן נרש</w:t>
      </w:r>
      <w:r>
        <w:rPr>
          <w:rFonts w:cs="Arial" w:hint="cs"/>
          <w:rtl/>
        </w:rPr>
        <w:t>,</w:t>
      </w:r>
      <w:r w:rsidRPr="00F11129">
        <w:rPr>
          <w:rFonts w:cs="Arial"/>
          <w:rtl/>
        </w:rPr>
        <w:t xml:space="preserve"> המקדש וטעם מלא לוגמא - יצא, ואם לאו - לא יצא.</w:t>
      </w:r>
    </w:p>
    <w:p w14:paraId="31D9DEDD" w14:textId="77777777" w:rsidR="004B2E7C" w:rsidRPr="005468E0" w:rsidRDefault="004B2E7C" w:rsidP="00434A6A">
      <w:pPr>
        <w:rPr>
          <w:rFonts w:cs="Arial"/>
          <w:u w:val="single"/>
          <w:rtl/>
        </w:rPr>
      </w:pPr>
      <w:r w:rsidRPr="005468E0">
        <w:rPr>
          <w:rFonts w:cs="Arial" w:hint="cs"/>
          <w:u w:val="single"/>
          <w:rtl/>
        </w:rPr>
        <w:t>נשפך היין לאחר הקידוש קודם שטעם:</w:t>
      </w:r>
    </w:p>
    <w:p w14:paraId="0E479BF4" w14:textId="77777777" w:rsidR="004B2E7C" w:rsidRDefault="004B2E7C" w:rsidP="00FF2D21">
      <w:pPr>
        <w:pStyle w:val="aa"/>
        <w:numPr>
          <w:ilvl w:val="0"/>
          <w:numId w:val="116"/>
        </w:numPr>
        <w:rPr>
          <w:rtl/>
        </w:rPr>
      </w:pPr>
      <w:r w:rsidRPr="005468E0">
        <w:rPr>
          <w:rFonts w:cs="Arial" w:hint="cs"/>
          <w:rtl/>
        </w:rPr>
        <w:t xml:space="preserve">ב"י- </w:t>
      </w:r>
      <w:r w:rsidRPr="005468E0">
        <w:rPr>
          <w:rFonts w:cs="Arial"/>
          <w:rtl/>
        </w:rPr>
        <w:t xml:space="preserve">נראה לי שאם נשפך הכוס קודם שיטעום </w:t>
      </w:r>
      <w:r>
        <w:rPr>
          <w:rFonts w:cs="Arial" w:hint="cs"/>
          <w:rtl/>
        </w:rPr>
        <w:t xml:space="preserve">- </w:t>
      </w:r>
      <w:r w:rsidRPr="005468E0">
        <w:rPr>
          <w:rFonts w:cs="Arial"/>
          <w:rtl/>
        </w:rPr>
        <w:t>אינו צריך לחזור ולקדש</w:t>
      </w:r>
      <w:r w:rsidRPr="005468E0">
        <w:rPr>
          <w:rFonts w:cs="Arial" w:hint="cs"/>
          <w:rtl/>
        </w:rPr>
        <w:t>,</w:t>
      </w:r>
      <w:r w:rsidRPr="005468E0">
        <w:rPr>
          <w:rFonts w:cs="Arial"/>
          <w:rtl/>
        </w:rPr>
        <w:t xml:space="preserve"> דמאי דאמרינן אם לא טעם לא יצא היינו לומר דלא יצא ידי מצוה כתקנה</w:t>
      </w:r>
      <w:r>
        <w:rPr>
          <w:rFonts w:cs="Arial" w:hint="cs"/>
          <w:rtl/>
        </w:rPr>
        <w:t>.</w:t>
      </w:r>
      <w:r w:rsidRPr="005468E0">
        <w:rPr>
          <w:rFonts w:cs="Arial"/>
          <w:rtl/>
        </w:rPr>
        <w:t xml:space="preserve"> ויש סעד לזה ממה שכתב רבינו בסוף סימן זה בשם בה"ג, וכן כתוב בארחות חיים (הל' קדוש היום אות כא) בהדיא</w:t>
      </w:r>
      <w:r w:rsidRPr="005468E0">
        <w:rPr>
          <w:rFonts w:cs="Arial" w:hint="cs"/>
          <w:rtl/>
        </w:rPr>
        <w:t>.</w:t>
      </w:r>
      <w:r w:rsidRPr="004B65B2">
        <w:rPr>
          <w:rFonts w:hint="cs"/>
          <w:color w:val="E36C0A" w:themeColor="accent6" w:themeShade="BF"/>
          <w:rtl/>
        </w:rPr>
        <w:t xml:space="preserve"> </w:t>
      </w:r>
      <w:r w:rsidRPr="006736A8">
        <w:rPr>
          <w:rFonts w:hint="cs"/>
          <w:color w:val="E36C0A" w:themeColor="accent6" w:themeShade="BF"/>
          <w:rtl/>
        </w:rPr>
        <w:t>(וכ"פ בשו"ע)</w:t>
      </w:r>
    </w:p>
    <w:p w14:paraId="6C36A70B"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07B3552C" w14:textId="77777777" w:rsidR="004B2E7C" w:rsidRDefault="004B2E7C" w:rsidP="00434A6A">
      <w:pPr>
        <w:rPr>
          <w:rFonts w:asciiTheme="minorBidi" w:hAnsiTheme="minorBidi"/>
          <w:rtl/>
        </w:rPr>
      </w:pPr>
      <w:r w:rsidRPr="00CC2350">
        <w:rPr>
          <w:rFonts w:asciiTheme="minorBidi" w:hAnsiTheme="minorBidi" w:cs="Arial"/>
          <w:rtl/>
        </w:rPr>
        <w:t>קידש, וקודם שיטעום הפסיק בדיבור</w:t>
      </w:r>
      <w:r>
        <w:rPr>
          <w:rStyle w:val="a9"/>
          <w:rFonts w:asciiTheme="minorBidi" w:hAnsiTheme="minorBidi" w:cs="Arial"/>
          <w:rtl/>
        </w:rPr>
        <w:footnoteReference w:id="955"/>
      </w:r>
      <w:r w:rsidRPr="00CC2350">
        <w:rPr>
          <w:rFonts w:asciiTheme="minorBidi" w:hAnsiTheme="minorBidi" w:cs="Arial"/>
          <w:rtl/>
        </w:rPr>
        <w:t>, חוזר ומברך ב</w:t>
      </w:r>
      <w:r>
        <w:rPr>
          <w:rFonts w:asciiTheme="minorBidi" w:hAnsiTheme="minorBidi" w:cs="Arial" w:hint="cs"/>
          <w:rtl/>
        </w:rPr>
        <w:t>ורא פרי הגפן</w:t>
      </w:r>
      <w:r w:rsidRPr="00CC2350">
        <w:rPr>
          <w:rFonts w:asciiTheme="minorBidi" w:hAnsiTheme="minorBidi" w:cs="Arial"/>
          <w:rtl/>
        </w:rPr>
        <w:t xml:space="preserve"> ואין צריך לחזור ולקדש. וה</w:t>
      </w:r>
      <w:r>
        <w:rPr>
          <w:rFonts w:asciiTheme="minorBidi" w:hAnsiTheme="minorBidi" w:cs="Arial" w:hint="cs"/>
          <w:rtl/>
        </w:rPr>
        <w:t xml:space="preserve">וא </w:t>
      </w:r>
      <w:r w:rsidRPr="00CC2350">
        <w:rPr>
          <w:rFonts w:asciiTheme="minorBidi" w:hAnsiTheme="minorBidi" w:cs="Arial"/>
          <w:rtl/>
        </w:rPr>
        <w:t>ה</w:t>
      </w:r>
      <w:r>
        <w:rPr>
          <w:rFonts w:asciiTheme="minorBidi" w:hAnsiTheme="minorBidi" w:cs="Arial" w:hint="cs"/>
          <w:rtl/>
        </w:rPr>
        <w:t>דין</w:t>
      </w:r>
      <w:r w:rsidRPr="00CC2350">
        <w:rPr>
          <w:rFonts w:asciiTheme="minorBidi" w:hAnsiTheme="minorBidi" w:cs="Arial"/>
          <w:rtl/>
        </w:rPr>
        <w:t xml:space="preserve"> אם נשפך הכוס קודם שיטעום ממנו, יביא כוס אחר ומברך עליו</w:t>
      </w:r>
      <w:r>
        <w:rPr>
          <w:rStyle w:val="a9"/>
          <w:rFonts w:asciiTheme="minorBidi" w:hAnsiTheme="minorBidi" w:cs="Arial"/>
          <w:rtl/>
        </w:rPr>
        <w:footnoteReference w:id="956"/>
      </w:r>
      <w:r w:rsidRPr="00CC2350">
        <w:rPr>
          <w:rFonts w:asciiTheme="minorBidi" w:hAnsiTheme="minorBidi" w:cs="Arial"/>
          <w:rtl/>
        </w:rPr>
        <w:t xml:space="preserve"> ב</w:t>
      </w:r>
      <w:r>
        <w:rPr>
          <w:rFonts w:asciiTheme="minorBidi" w:hAnsiTheme="minorBidi" w:cs="Arial" w:hint="cs"/>
          <w:rtl/>
        </w:rPr>
        <w:t>ורא פרי הגפן</w:t>
      </w:r>
      <w:r w:rsidRPr="00CC2350">
        <w:rPr>
          <w:rFonts w:asciiTheme="minorBidi" w:hAnsiTheme="minorBidi" w:cs="Arial"/>
          <w:rtl/>
        </w:rPr>
        <w:t>, וא</w:t>
      </w:r>
      <w:r>
        <w:rPr>
          <w:rFonts w:asciiTheme="minorBidi" w:hAnsiTheme="minorBidi" w:cs="Arial" w:hint="cs"/>
          <w:rtl/>
        </w:rPr>
        <w:t>ין צריך</w:t>
      </w:r>
      <w:r w:rsidRPr="00CC2350">
        <w:rPr>
          <w:rFonts w:asciiTheme="minorBidi" w:hAnsiTheme="minorBidi" w:cs="Arial"/>
          <w:rtl/>
        </w:rPr>
        <w:t xml:space="preserve"> לחזור</w:t>
      </w:r>
      <w:r>
        <w:rPr>
          <w:rStyle w:val="a9"/>
          <w:rFonts w:asciiTheme="minorBidi" w:hAnsiTheme="minorBidi" w:cs="Arial"/>
          <w:rtl/>
        </w:rPr>
        <w:footnoteReference w:id="957"/>
      </w:r>
      <w:r w:rsidRPr="00CC2350">
        <w:rPr>
          <w:rFonts w:asciiTheme="minorBidi" w:hAnsiTheme="minorBidi" w:cs="Arial"/>
          <w:rtl/>
        </w:rPr>
        <w:t xml:space="preserve"> ולקדש</w:t>
      </w:r>
      <w:r>
        <w:rPr>
          <w:rStyle w:val="a9"/>
          <w:rFonts w:asciiTheme="minorBidi" w:hAnsiTheme="minorBidi" w:cs="Arial"/>
          <w:rtl/>
        </w:rPr>
        <w:footnoteReference w:id="958"/>
      </w:r>
      <w:r w:rsidRPr="00CC2350">
        <w:rPr>
          <w:rFonts w:asciiTheme="minorBidi" w:hAnsiTheme="minorBidi" w:cs="Arial"/>
          <w:rtl/>
        </w:rPr>
        <w:t xml:space="preserve">. </w:t>
      </w:r>
    </w:p>
    <w:p w14:paraId="05D73C59" w14:textId="77777777" w:rsidR="004B2E7C" w:rsidRPr="00CC2350" w:rsidRDefault="004B2E7C" w:rsidP="00434A6A">
      <w:pPr>
        <w:rPr>
          <w:rFonts w:asciiTheme="minorBidi" w:hAnsiTheme="minorBidi"/>
          <w:rtl/>
        </w:rPr>
      </w:pPr>
    </w:p>
    <w:p w14:paraId="2D32E120" w14:textId="77777777" w:rsidR="004B2E7C" w:rsidRDefault="004B2E7C" w:rsidP="00434A6A">
      <w:pPr>
        <w:pStyle w:val="2"/>
        <w:rPr>
          <w:rtl/>
        </w:rPr>
      </w:pPr>
      <w:r w:rsidRPr="00CC2350">
        <w:rPr>
          <w:rtl/>
        </w:rPr>
        <w:t>סעיף טז</w:t>
      </w:r>
      <w:r>
        <w:rPr>
          <w:rFonts w:hint="cs"/>
          <w:rtl/>
        </w:rPr>
        <w:t>: מתי המסובין שותים מהיין.</w:t>
      </w:r>
    </w:p>
    <w:p w14:paraId="13F34459" w14:textId="77777777" w:rsidR="004B2E7C" w:rsidRPr="00153B20" w:rsidRDefault="004B2E7C" w:rsidP="00434A6A">
      <w:r w:rsidRPr="00CE3C00">
        <w:rPr>
          <w:rFonts w:cs="Arial" w:hint="cs"/>
          <w:b/>
          <w:bCs/>
          <w:rtl/>
        </w:rPr>
        <w:t xml:space="preserve">ירושלמי ברכות פ"ו ה"א: </w:t>
      </w:r>
      <w:r w:rsidRPr="00CE3C00">
        <w:rPr>
          <w:rFonts w:cs="Arial"/>
          <w:u w:val="single"/>
          <w:rtl/>
        </w:rPr>
        <w:t>רבי אבא בשם רב</w:t>
      </w:r>
      <w:r>
        <w:rPr>
          <w:rFonts w:cs="Arial" w:hint="cs"/>
          <w:rtl/>
        </w:rPr>
        <w:t>:</w:t>
      </w:r>
      <w:r w:rsidRPr="00CE3C00">
        <w:rPr>
          <w:rFonts w:cs="Arial"/>
          <w:rtl/>
        </w:rPr>
        <w:t xml:space="preserve"> מסובין אסורים לטעום כלום עד שיטעום המברך</w:t>
      </w:r>
      <w:r>
        <w:rPr>
          <w:rFonts w:cs="Arial" w:hint="cs"/>
          <w:rtl/>
        </w:rPr>
        <w:t>.</w:t>
      </w:r>
      <w:r w:rsidRPr="00CE3C00">
        <w:rPr>
          <w:rFonts w:cs="Arial"/>
          <w:rtl/>
        </w:rPr>
        <w:t xml:space="preserve"> </w:t>
      </w:r>
      <w:r w:rsidRPr="00CE3C00">
        <w:rPr>
          <w:rFonts w:cs="Arial"/>
          <w:u w:val="single"/>
          <w:rtl/>
        </w:rPr>
        <w:t>ריב"ל אמר</w:t>
      </w:r>
      <w:r>
        <w:rPr>
          <w:rFonts w:cs="Arial" w:hint="cs"/>
          <w:rtl/>
        </w:rPr>
        <w:t>:</w:t>
      </w:r>
      <w:r w:rsidRPr="00CE3C00">
        <w:rPr>
          <w:rFonts w:cs="Arial"/>
          <w:rtl/>
        </w:rPr>
        <w:t xml:space="preserve"> שותין אף על פי שלא שתה</w:t>
      </w:r>
      <w:r>
        <w:rPr>
          <w:rFonts w:cs="Arial" w:hint="cs"/>
          <w:rtl/>
        </w:rPr>
        <w:t>.</w:t>
      </w:r>
      <w:r w:rsidRPr="00CE3C00">
        <w:rPr>
          <w:rFonts w:cs="Arial"/>
          <w:rtl/>
        </w:rPr>
        <w:t xml:space="preserve"> מה פליג</w:t>
      </w:r>
      <w:r>
        <w:rPr>
          <w:rFonts w:cs="Arial" w:hint="cs"/>
          <w:rtl/>
        </w:rPr>
        <w:t>?</w:t>
      </w:r>
      <w:r w:rsidRPr="00CE3C00">
        <w:rPr>
          <w:rFonts w:cs="Arial"/>
          <w:rtl/>
        </w:rPr>
        <w:t xml:space="preserve"> מה דמר רב </w:t>
      </w:r>
      <w:r>
        <w:rPr>
          <w:rFonts w:cs="Arial" w:hint="cs"/>
          <w:rtl/>
        </w:rPr>
        <w:t xml:space="preserve">- </w:t>
      </w:r>
      <w:r w:rsidRPr="00CE3C00">
        <w:rPr>
          <w:rFonts w:cs="Arial"/>
          <w:rtl/>
        </w:rPr>
        <w:t>כשהיו כולן זקוקין לככר אחד</w:t>
      </w:r>
      <w:r>
        <w:rPr>
          <w:rFonts w:cs="Arial" w:hint="cs"/>
          <w:rtl/>
        </w:rPr>
        <w:t>.</w:t>
      </w:r>
      <w:r w:rsidRPr="00CE3C00">
        <w:rPr>
          <w:rFonts w:cs="Arial"/>
          <w:rtl/>
        </w:rPr>
        <w:t xml:space="preserve"> מה דמר ריב"ל </w:t>
      </w:r>
      <w:r>
        <w:rPr>
          <w:rFonts w:cs="Arial" w:hint="cs"/>
          <w:rtl/>
        </w:rPr>
        <w:t xml:space="preserve">- </w:t>
      </w:r>
      <w:r w:rsidRPr="00CE3C00">
        <w:rPr>
          <w:rFonts w:cs="Arial"/>
          <w:rtl/>
        </w:rPr>
        <w:t>כשהיה כל א' וא' כוסו בידו</w:t>
      </w:r>
      <w:r>
        <w:rPr>
          <w:rFonts w:hint="cs"/>
          <w:rtl/>
        </w:rPr>
        <w:t>.</w:t>
      </w:r>
    </w:p>
    <w:p w14:paraId="7691B4E3" w14:textId="77777777" w:rsidR="004B2E7C" w:rsidRPr="008A361C" w:rsidRDefault="004B2E7C" w:rsidP="00434A6A">
      <w:pPr>
        <w:rPr>
          <w:rtl/>
        </w:rPr>
      </w:pPr>
      <w:r w:rsidRPr="008036C3">
        <w:rPr>
          <w:rFonts w:cs="Arial" w:hint="cs"/>
          <w:b/>
          <w:bCs/>
          <w:rtl/>
        </w:rPr>
        <w:t xml:space="preserve">פסחים </w:t>
      </w:r>
      <w:r w:rsidRPr="008036C3">
        <w:rPr>
          <w:rFonts w:cs="Arial" w:hint="cs"/>
          <w:b/>
          <w:bCs/>
          <w:sz w:val="16"/>
          <w:szCs w:val="16"/>
          <w:rtl/>
        </w:rPr>
        <w:t>(פ</w:t>
      </w:r>
      <w:r>
        <w:rPr>
          <w:rFonts w:cs="Arial" w:hint="cs"/>
          <w:b/>
          <w:bCs/>
          <w:sz w:val="16"/>
          <w:szCs w:val="16"/>
          <w:rtl/>
        </w:rPr>
        <w:t>'</w:t>
      </w:r>
      <w:r w:rsidRPr="008036C3">
        <w:rPr>
          <w:rFonts w:cs="Arial" w:hint="cs"/>
          <w:b/>
          <w:bCs/>
          <w:sz w:val="16"/>
          <w:szCs w:val="16"/>
          <w:rtl/>
        </w:rPr>
        <w:t xml:space="preserve"> ערבי פסחים) </w:t>
      </w:r>
      <w:r w:rsidRPr="008036C3">
        <w:rPr>
          <w:rFonts w:cs="Arial" w:hint="cs"/>
          <w:b/>
          <w:bCs/>
          <w:rtl/>
        </w:rPr>
        <w:t>ק</w:t>
      </w:r>
      <w:r>
        <w:rPr>
          <w:rFonts w:cs="Arial" w:hint="cs"/>
          <w:b/>
          <w:bCs/>
          <w:rtl/>
        </w:rPr>
        <w:t>ו</w:t>
      </w:r>
      <w:r w:rsidRPr="008036C3">
        <w:rPr>
          <w:rFonts w:cs="Arial" w:hint="cs"/>
          <w:b/>
          <w:bCs/>
          <w:rtl/>
        </w:rPr>
        <w:t xml:space="preserve"> ע"</w:t>
      </w:r>
      <w:r>
        <w:rPr>
          <w:rFonts w:cs="Arial" w:hint="cs"/>
          <w:b/>
          <w:bCs/>
          <w:rtl/>
        </w:rPr>
        <w:t>א</w:t>
      </w:r>
      <w:r w:rsidRPr="008036C3">
        <w:rPr>
          <w:rFonts w:cs="Arial" w:hint="cs"/>
          <w:b/>
          <w:bCs/>
          <w:rtl/>
        </w:rPr>
        <w:t>:</w:t>
      </w:r>
      <w:r>
        <w:rPr>
          <w:rFonts w:cs="Arial" w:hint="cs"/>
          <w:rtl/>
        </w:rPr>
        <w:t xml:space="preserve"> </w:t>
      </w:r>
      <w:r w:rsidRPr="004B65B2">
        <w:rPr>
          <w:rFonts w:cs="Arial"/>
          <w:rtl/>
        </w:rPr>
        <w:t>רב אשי איקלע למחוזא, אמרו ליה: ליקדיש לן מר קידושא רבה. הבו ליה. סבר: מאי ניהו קידושא רבה? אמר: מכדי כל הברכות כולן בורא פרי הגפן אמרי ברישא, אמר בורא פרי הגפן ואגיד ביה. חזייה לההוא סבא דגחין ושתי. קרי אנפשיה החכם עיניו בראשו.</w:t>
      </w:r>
      <w:r>
        <w:rPr>
          <w:rFonts w:hint="cs"/>
          <w:rtl/>
        </w:rPr>
        <w:t xml:space="preserve"> </w:t>
      </w:r>
      <w:r w:rsidRPr="00CE3C00">
        <w:rPr>
          <w:rFonts w:hint="cs"/>
          <w:sz w:val="16"/>
          <w:szCs w:val="16"/>
          <w:rtl/>
        </w:rPr>
        <w:t>(וכתבו התוס' (</w:t>
      </w:r>
      <w:r>
        <w:rPr>
          <w:rFonts w:hint="cs"/>
          <w:sz w:val="16"/>
          <w:szCs w:val="16"/>
          <w:rtl/>
        </w:rPr>
        <w:t xml:space="preserve">שם קו. </w:t>
      </w:r>
      <w:r w:rsidRPr="00CE3C00">
        <w:rPr>
          <w:rFonts w:hint="cs"/>
          <w:sz w:val="16"/>
          <w:szCs w:val="16"/>
          <w:rtl/>
        </w:rPr>
        <w:t>ד"ה הוה גחין</w:t>
      </w:r>
      <w:r>
        <w:rPr>
          <w:rFonts w:hint="cs"/>
          <w:sz w:val="16"/>
          <w:szCs w:val="16"/>
          <w:rtl/>
        </w:rPr>
        <w:t>, ובברכות מז. ד"ה אין</w:t>
      </w:r>
      <w:r w:rsidRPr="00CE3C00">
        <w:rPr>
          <w:rFonts w:hint="cs"/>
          <w:sz w:val="16"/>
          <w:szCs w:val="16"/>
          <w:rtl/>
        </w:rPr>
        <w:t xml:space="preserve">) </w:t>
      </w:r>
      <w:r w:rsidRPr="00CE3C00">
        <w:rPr>
          <w:rFonts w:cs="Arial"/>
          <w:sz w:val="16"/>
          <w:szCs w:val="16"/>
          <w:rtl/>
        </w:rPr>
        <w:t>וא"ת דבפרק שלשה שאכלו (ברכות ד' מז.) אמרינן אין המסובין רשאין לטעום עד שיטעום המברך</w:t>
      </w:r>
      <w:r w:rsidRPr="00CE3C00">
        <w:rPr>
          <w:rFonts w:cs="Arial" w:hint="cs"/>
          <w:sz w:val="16"/>
          <w:szCs w:val="16"/>
          <w:rtl/>
        </w:rPr>
        <w:t>.</w:t>
      </w:r>
      <w:r w:rsidRPr="00CE3C00">
        <w:rPr>
          <w:rFonts w:cs="Arial"/>
          <w:sz w:val="16"/>
          <w:szCs w:val="16"/>
          <w:rtl/>
        </w:rPr>
        <w:t xml:space="preserve"> וי"ל דהיינו דוקא בהמוציא שצריך לאכול כדאמרי' בפרק ראוהו ב"ד (ר"ה ד' כט:) לא יפרוס אדם פרוסה לאורחין אא"כ אוכל עמהן הלכך צריך להמתין עד שיטעום המברך אבל קידוש שאין חובה לשתות להמברך א"צ להמתין ומיהו בירושלמי דברכות א"ר אבא בשם רב מסובין אסורין לטעום עד שיטעום המברך ר' יהושע בן לוי אומר שותין אף על פי שלא שתה ולא פליגי מה דא"ר אבהו כשהיו כולן זקוקין לכוס אחד מה דאמר ר' יהושע כשיש לכל אחד כוסו בידו ומשמע נמי אם אין כוסו בידו אפי' שפך מכוס ברכה לכוסות אחרים אין להם לטעום עד שיטעום המברך אבל כשיש לכל אחד כוס א"צ להמתין ולכך הוה גחין ושתי</w:t>
      </w:r>
      <w:r>
        <w:rPr>
          <w:rFonts w:cs="Arial" w:hint="cs"/>
          <w:sz w:val="16"/>
          <w:szCs w:val="16"/>
          <w:rtl/>
        </w:rPr>
        <w:t>.</w:t>
      </w:r>
      <w:r w:rsidRPr="00CE3C00">
        <w:rPr>
          <w:rFonts w:cs="Arial"/>
          <w:sz w:val="16"/>
          <w:szCs w:val="16"/>
          <w:rtl/>
        </w:rPr>
        <w:t xml:space="preserve"> ומכאן יש להוכיח שא"צ לשפוך מכוס של ברכה לשאר כוסות ומיהו היכא דפגימי צריך לשפוך ממנו לשאר כוסות כדי שישתו כולם מכוס שאינו פגום אף על גב דשתיה לא מעכבא כדאמרינן בפרק בכל מערבין (עירובין דף מ:)</w:t>
      </w:r>
      <w:r>
        <w:rPr>
          <w:rFonts w:cs="Arial" w:hint="cs"/>
          <w:sz w:val="16"/>
          <w:szCs w:val="16"/>
          <w:rtl/>
        </w:rPr>
        <w:t>.</w:t>
      </w:r>
      <w:r w:rsidRPr="00CE3C00">
        <w:rPr>
          <w:rFonts w:cs="Arial"/>
          <w:sz w:val="16"/>
          <w:szCs w:val="16"/>
          <w:rtl/>
        </w:rPr>
        <w:t xml:space="preserve"> וגם בהמוציא יש להוכיח מירושלמי אם יש לכל אחד ככרו א"צ להמתין ואוכל כל אחד משלו</w:t>
      </w:r>
      <w:r w:rsidRPr="00CE3C00">
        <w:rPr>
          <w:rFonts w:cs="Arial" w:hint="cs"/>
          <w:sz w:val="16"/>
          <w:szCs w:val="16"/>
          <w:rtl/>
        </w:rPr>
        <w:t>.</w:t>
      </w:r>
      <w:r w:rsidRPr="00CE3C00">
        <w:rPr>
          <w:rFonts w:cs="Arial"/>
          <w:sz w:val="16"/>
          <w:szCs w:val="16"/>
          <w:rtl/>
        </w:rPr>
        <w:t xml:space="preserve"> והא דאמר טול ברוך (ברכות דף מ.) ואמרינן נמי (שם דף מו.) בעל הבית בוצע כדי שיבצע בעין יפה דמשמע שאין אוכלין אלא מה שמחלק להם מיירי בשאין ככר לפני כל אחד א"נ בשבת וכגון שאין להם לחם משנה דאז צריכין לאכול מבציעתו</w:t>
      </w:r>
      <w:r>
        <w:rPr>
          <w:rFonts w:cs="Arial" w:hint="cs"/>
          <w:sz w:val="16"/>
          <w:szCs w:val="16"/>
          <w:rtl/>
        </w:rPr>
        <w:t>. עכ"ל. וכתב הב"י דכ"כ הרא"ש (פ' ערבי פסחים סי' טז, ובברכות פ' ג' שאכלו סי' טו) ותלמידי רבנו יונה (ברכות לד: ד"ה אין המסובין))</w:t>
      </w:r>
    </w:p>
    <w:p w14:paraId="4ED56F43" w14:textId="77777777" w:rsidR="004B2E7C" w:rsidRPr="008A361C" w:rsidRDefault="004B2E7C" w:rsidP="00434A6A">
      <w:pPr>
        <w:rPr>
          <w:u w:val="single"/>
          <w:rtl/>
        </w:rPr>
      </w:pPr>
      <w:r w:rsidRPr="008A361C">
        <w:rPr>
          <w:rFonts w:hint="cs"/>
          <w:u w:val="single"/>
          <w:rtl/>
        </w:rPr>
        <w:t>מתי המסובין שותים מהיין:</w:t>
      </w:r>
    </w:p>
    <w:p w14:paraId="6D1A2E7C" w14:textId="77777777" w:rsidR="004B2E7C" w:rsidRPr="008C7CC1" w:rsidRDefault="004B2E7C" w:rsidP="00FF2D21">
      <w:pPr>
        <w:pStyle w:val="aa"/>
        <w:numPr>
          <w:ilvl w:val="0"/>
          <w:numId w:val="116"/>
        </w:numPr>
        <w:rPr>
          <w:rtl/>
        </w:rPr>
      </w:pPr>
      <w:r>
        <w:rPr>
          <w:rFonts w:cs="Arial" w:hint="cs"/>
          <w:rtl/>
        </w:rPr>
        <w:t xml:space="preserve">תוס' </w:t>
      </w:r>
      <w:r>
        <w:rPr>
          <w:rFonts w:cs="Arial" w:hint="cs"/>
          <w:sz w:val="16"/>
          <w:szCs w:val="16"/>
          <w:rtl/>
        </w:rPr>
        <w:t xml:space="preserve">(שם) </w:t>
      </w:r>
      <w:r>
        <w:rPr>
          <w:rFonts w:cs="Arial" w:hint="cs"/>
          <w:rtl/>
        </w:rPr>
        <w:t>רא"ש</w:t>
      </w:r>
      <w:r>
        <w:rPr>
          <w:rFonts w:cs="Arial" w:hint="cs"/>
          <w:sz w:val="16"/>
          <w:szCs w:val="16"/>
          <w:rtl/>
        </w:rPr>
        <w:t xml:space="preserve"> (שם)</w:t>
      </w:r>
      <w:r>
        <w:rPr>
          <w:rFonts w:cs="Arial" w:hint="cs"/>
          <w:rtl/>
        </w:rPr>
        <w:t xml:space="preserve"> וטור- </w:t>
      </w:r>
      <w:r w:rsidRPr="003A3CB9">
        <w:rPr>
          <w:rFonts w:cs="Arial"/>
          <w:rtl/>
        </w:rPr>
        <w:t>ואחר שישתה המקדש ישתו המסובין</w:t>
      </w:r>
      <w:r>
        <w:rPr>
          <w:rFonts w:cs="Arial" w:hint="cs"/>
          <w:rtl/>
        </w:rPr>
        <w:t>,</w:t>
      </w:r>
      <w:r w:rsidRPr="003A3CB9">
        <w:rPr>
          <w:rFonts w:cs="Arial"/>
          <w:rtl/>
        </w:rPr>
        <w:t xml:space="preserve"> ולא קודם</w:t>
      </w:r>
      <w:r>
        <w:rPr>
          <w:rFonts w:cs="Arial" w:hint="cs"/>
          <w:rtl/>
        </w:rPr>
        <w:t>.</w:t>
      </w:r>
      <w:r w:rsidRPr="003A3CB9">
        <w:rPr>
          <w:rFonts w:cs="Arial"/>
          <w:rtl/>
        </w:rPr>
        <w:t xml:space="preserve"> ואם יש לכל אחד כוסו לפניו </w:t>
      </w:r>
      <w:r>
        <w:rPr>
          <w:rFonts w:cs="Arial" w:hint="cs"/>
          <w:rtl/>
        </w:rPr>
        <w:t xml:space="preserve">- </w:t>
      </w:r>
      <w:r w:rsidRPr="003A3CB9">
        <w:rPr>
          <w:rFonts w:cs="Arial"/>
          <w:rtl/>
        </w:rPr>
        <w:t>יכולין לשתות קודם</w:t>
      </w:r>
      <w:r>
        <w:rPr>
          <w:rFonts w:cs="Arial" w:hint="cs"/>
          <w:rtl/>
        </w:rPr>
        <w:t>,</w:t>
      </w:r>
      <w:r w:rsidRPr="003A3CB9">
        <w:rPr>
          <w:rFonts w:cs="Arial"/>
          <w:rtl/>
        </w:rPr>
        <w:t xml:space="preserve"> ובלבד שלא יהיו כוסות שלפניהם פגומים</w:t>
      </w:r>
      <w:r>
        <w:rPr>
          <w:rFonts w:cs="Arial" w:hint="cs"/>
          <w:sz w:val="16"/>
          <w:szCs w:val="16"/>
          <w:rtl/>
        </w:rPr>
        <w:t xml:space="preserve"> (ל' הטור)</w:t>
      </w:r>
      <w:r>
        <w:rPr>
          <w:rFonts w:cs="Arial" w:hint="cs"/>
          <w:rtl/>
        </w:rPr>
        <w:t>.</w:t>
      </w:r>
      <w:r w:rsidRPr="002A6DDE">
        <w:rPr>
          <w:rFonts w:hint="cs"/>
          <w:color w:val="E36C0A" w:themeColor="accent6" w:themeShade="BF"/>
          <w:rtl/>
        </w:rPr>
        <w:t xml:space="preserve"> </w:t>
      </w:r>
      <w:r w:rsidRPr="006736A8">
        <w:rPr>
          <w:rFonts w:hint="cs"/>
          <w:color w:val="E36C0A" w:themeColor="accent6" w:themeShade="BF"/>
          <w:rtl/>
        </w:rPr>
        <w:t>(וכ"פ בשו"ע)</w:t>
      </w:r>
    </w:p>
    <w:p w14:paraId="20764063"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390DAD2" w14:textId="77777777" w:rsidR="004B2E7C" w:rsidRDefault="004B2E7C" w:rsidP="00434A6A">
      <w:pPr>
        <w:rPr>
          <w:rFonts w:asciiTheme="minorBidi" w:hAnsiTheme="minorBidi"/>
          <w:rtl/>
        </w:rPr>
      </w:pPr>
      <w:r w:rsidRPr="00CC2350">
        <w:rPr>
          <w:rFonts w:asciiTheme="minorBidi" w:hAnsiTheme="minorBidi" w:cs="Arial"/>
          <w:rtl/>
        </w:rPr>
        <w:t>לא יטעמו המסובין קודם שיטעום המקדש אם הם זקוקים לכוסו ושפך ממנו לכוסות שבידם ריקנים או פגומים</w:t>
      </w:r>
      <w:r>
        <w:rPr>
          <w:rStyle w:val="a9"/>
          <w:rFonts w:asciiTheme="minorBidi" w:hAnsiTheme="minorBidi" w:cs="Arial"/>
          <w:rtl/>
        </w:rPr>
        <w:footnoteReference w:id="959"/>
      </w:r>
      <w:r>
        <w:rPr>
          <w:rFonts w:asciiTheme="minorBidi" w:hAnsiTheme="minorBidi" w:cs="Arial" w:hint="cs"/>
          <w:rtl/>
        </w:rPr>
        <w:t>.</w:t>
      </w:r>
      <w:r w:rsidRPr="00CC2350">
        <w:rPr>
          <w:rFonts w:asciiTheme="minorBidi" w:hAnsiTheme="minorBidi" w:cs="Arial"/>
          <w:rtl/>
        </w:rPr>
        <w:t xml:space="preserve"> אבל אם היו להם כוסות יין שאינם פגומים רשאים לשתות קודם שישתה המקדש. </w:t>
      </w:r>
    </w:p>
    <w:p w14:paraId="1727A7B9" w14:textId="77777777" w:rsidR="004B2E7C" w:rsidRPr="00CC2350" w:rsidRDefault="004B2E7C" w:rsidP="00434A6A">
      <w:pPr>
        <w:rPr>
          <w:rFonts w:asciiTheme="minorBidi" w:hAnsiTheme="minorBidi"/>
          <w:rtl/>
        </w:rPr>
      </w:pPr>
    </w:p>
    <w:p w14:paraId="675A1A61" w14:textId="77777777" w:rsidR="004B2E7C" w:rsidRDefault="004B2E7C" w:rsidP="00434A6A">
      <w:pPr>
        <w:pStyle w:val="2"/>
        <w:rPr>
          <w:rtl/>
        </w:rPr>
      </w:pPr>
      <w:r w:rsidRPr="00CC2350">
        <w:rPr>
          <w:rtl/>
        </w:rPr>
        <w:t>סעיף יז</w:t>
      </w:r>
      <w:r>
        <w:rPr>
          <w:rFonts w:hint="cs"/>
          <w:rtl/>
        </w:rPr>
        <w:t>: שפיכה מכוס הקידוש לכוסות המסובין.</w:t>
      </w:r>
    </w:p>
    <w:p w14:paraId="06B2E198" w14:textId="77777777" w:rsidR="004B2E7C" w:rsidRDefault="004B2E7C" w:rsidP="00434A6A">
      <w:pPr>
        <w:rPr>
          <w:rtl/>
        </w:rPr>
      </w:pPr>
      <w:r w:rsidRPr="008036C3">
        <w:rPr>
          <w:rFonts w:cs="Arial" w:hint="cs"/>
          <w:b/>
          <w:bCs/>
          <w:rtl/>
        </w:rPr>
        <w:t xml:space="preserve">פסחים </w:t>
      </w:r>
      <w:r w:rsidRPr="008036C3">
        <w:rPr>
          <w:rFonts w:cs="Arial" w:hint="cs"/>
          <w:b/>
          <w:bCs/>
          <w:sz w:val="16"/>
          <w:szCs w:val="16"/>
          <w:rtl/>
        </w:rPr>
        <w:t>(פ</w:t>
      </w:r>
      <w:r>
        <w:rPr>
          <w:rFonts w:cs="Arial" w:hint="cs"/>
          <w:b/>
          <w:bCs/>
          <w:sz w:val="16"/>
          <w:szCs w:val="16"/>
          <w:rtl/>
        </w:rPr>
        <w:t>'</w:t>
      </w:r>
      <w:r w:rsidRPr="008036C3">
        <w:rPr>
          <w:rFonts w:cs="Arial" w:hint="cs"/>
          <w:b/>
          <w:bCs/>
          <w:sz w:val="16"/>
          <w:szCs w:val="16"/>
          <w:rtl/>
        </w:rPr>
        <w:t xml:space="preserve"> ערבי פסחים) </w:t>
      </w:r>
      <w:r w:rsidRPr="008036C3">
        <w:rPr>
          <w:rFonts w:cs="Arial" w:hint="cs"/>
          <w:b/>
          <w:bCs/>
          <w:rtl/>
        </w:rPr>
        <w:t>ק</w:t>
      </w:r>
      <w:r>
        <w:rPr>
          <w:rFonts w:cs="Arial" w:hint="cs"/>
          <w:b/>
          <w:bCs/>
          <w:rtl/>
        </w:rPr>
        <w:t>ו</w:t>
      </w:r>
      <w:r w:rsidRPr="008036C3">
        <w:rPr>
          <w:rFonts w:cs="Arial" w:hint="cs"/>
          <w:b/>
          <w:bCs/>
          <w:rtl/>
        </w:rPr>
        <w:t xml:space="preserve"> ע"</w:t>
      </w:r>
      <w:r>
        <w:rPr>
          <w:rFonts w:cs="Arial" w:hint="cs"/>
          <w:b/>
          <w:bCs/>
          <w:rtl/>
        </w:rPr>
        <w:t>א</w:t>
      </w:r>
      <w:r w:rsidRPr="008036C3">
        <w:rPr>
          <w:rFonts w:cs="Arial" w:hint="cs"/>
          <w:b/>
          <w:bCs/>
          <w:rtl/>
        </w:rPr>
        <w:t>:</w:t>
      </w:r>
      <w:r>
        <w:rPr>
          <w:rFonts w:cs="Arial" w:hint="cs"/>
          <w:rtl/>
        </w:rPr>
        <w:t xml:space="preserve"> </w:t>
      </w:r>
      <w:r w:rsidRPr="004B65B2">
        <w:rPr>
          <w:rFonts w:cs="Arial"/>
          <w:rtl/>
        </w:rPr>
        <w:t>רב אשי איקלע למחוזא, אמרו ליה: ליקדיש לן מר קידושא רבה. הבו ליה. סבר: מאי ניהו קידושא רבה? אמר: מכדי כל הברכות כולן בורא פרי הגפן אמרי ברישא, אמר בורא פרי הגפן ואגיד ביה. חזייה לההוא סבא דגחין ושתי. קרי אנפשיה החכם עיניו בראשו.</w:t>
      </w:r>
      <w:r>
        <w:rPr>
          <w:rFonts w:hint="cs"/>
          <w:rtl/>
        </w:rPr>
        <w:t xml:space="preserve"> </w:t>
      </w:r>
      <w:r w:rsidRPr="00CE3C00">
        <w:rPr>
          <w:rFonts w:hint="cs"/>
          <w:sz w:val="16"/>
          <w:szCs w:val="16"/>
          <w:rtl/>
        </w:rPr>
        <w:t>(וכתבו התוס' (</w:t>
      </w:r>
      <w:r>
        <w:rPr>
          <w:rFonts w:hint="cs"/>
          <w:sz w:val="16"/>
          <w:szCs w:val="16"/>
          <w:rtl/>
        </w:rPr>
        <w:t xml:space="preserve">שם קו. </w:t>
      </w:r>
      <w:r w:rsidRPr="00CE3C00">
        <w:rPr>
          <w:rFonts w:hint="cs"/>
          <w:sz w:val="16"/>
          <w:szCs w:val="16"/>
          <w:rtl/>
        </w:rPr>
        <w:t>ד"ה הוה גחין</w:t>
      </w:r>
      <w:r>
        <w:rPr>
          <w:rFonts w:hint="cs"/>
          <w:sz w:val="16"/>
          <w:szCs w:val="16"/>
          <w:rtl/>
        </w:rPr>
        <w:t>, ובברכות מז. ד"ה אין</w:t>
      </w:r>
      <w:r w:rsidRPr="00CE3C00">
        <w:rPr>
          <w:rFonts w:hint="cs"/>
          <w:sz w:val="16"/>
          <w:szCs w:val="16"/>
          <w:rtl/>
        </w:rPr>
        <w:t xml:space="preserve">) </w:t>
      </w:r>
      <w:r>
        <w:rPr>
          <w:rFonts w:cs="Arial" w:hint="cs"/>
          <w:sz w:val="16"/>
          <w:szCs w:val="16"/>
          <w:rtl/>
        </w:rPr>
        <w:t>ד</w:t>
      </w:r>
      <w:r w:rsidRPr="00CE3C00">
        <w:rPr>
          <w:rFonts w:cs="Arial"/>
          <w:sz w:val="16"/>
          <w:szCs w:val="16"/>
          <w:rtl/>
        </w:rPr>
        <w:t>מכאן יש להוכיח שא"צ לשפוך מכוס של ברכה לשאר כוסות ומיהו היכא דפגימי צריך לשפוך ממנו לשאר כוסות כדי שישתו כולם מכוס שאינו פגום אף על גב דשתיה לא מעכבא כדאמרינן בפרק בכל מערבין (עירובין דף מ:)</w:t>
      </w:r>
      <w:r>
        <w:rPr>
          <w:rFonts w:cs="Arial" w:hint="cs"/>
          <w:sz w:val="16"/>
          <w:szCs w:val="16"/>
          <w:rtl/>
        </w:rPr>
        <w:t>)</w:t>
      </w:r>
    </w:p>
    <w:p w14:paraId="17853C58" w14:textId="77777777" w:rsidR="004B2E7C" w:rsidRPr="00D91BDE" w:rsidRDefault="004B2E7C" w:rsidP="00434A6A">
      <w:pPr>
        <w:rPr>
          <w:u w:val="single"/>
          <w:rtl/>
        </w:rPr>
      </w:pPr>
      <w:r w:rsidRPr="00D91BDE">
        <w:rPr>
          <w:rFonts w:hint="cs"/>
          <w:u w:val="single"/>
          <w:rtl/>
        </w:rPr>
        <w:t>האם צריך לשפוך מכוס הקידוש לכוסות המסובין:</w:t>
      </w:r>
    </w:p>
    <w:p w14:paraId="6D68B151" w14:textId="77777777" w:rsidR="004B2E7C" w:rsidRDefault="004B2E7C" w:rsidP="00FF2D21">
      <w:pPr>
        <w:pStyle w:val="aa"/>
        <w:numPr>
          <w:ilvl w:val="0"/>
          <w:numId w:val="116"/>
        </w:numPr>
        <w:rPr>
          <w:rFonts w:cs="Arial"/>
        </w:rPr>
      </w:pPr>
      <w:r w:rsidRPr="002A6DDE">
        <w:rPr>
          <w:rFonts w:cs="Arial" w:hint="cs"/>
          <w:rtl/>
        </w:rPr>
        <w:t xml:space="preserve">תוס' </w:t>
      </w:r>
      <w:r w:rsidRPr="002A6DDE">
        <w:rPr>
          <w:rFonts w:hint="cs"/>
          <w:sz w:val="16"/>
          <w:szCs w:val="16"/>
          <w:rtl/>
        </w:rPr>
        <w:t xml:space="preserve">(פסחים קו. ד"ה הוה גחין, ובברכות מז. ד"ה אין) </w:t>
      </w:r>
      <w:r w:rsidRPr="002A6DDE">
        <w:rPr>
          <w:rFonts w:cs="Arial" w:hint="cs"/>
          <w:rtl/>
        </w:rPr>
        <w:t>ורא"ש</w:t>
      </w:r>
      <w:r w:rsidRPr="002A6DDE">
        <w:rPr>
          <w:rFonts w:cs="Arial" w:hint="cs"/>
          <w:sz w:val="16"/>
          <w:szCs w:val="16"/>
          <w:rtl/>
        </w:rPr>
        <w:t xml:space="preserve"> (ברכות פ' ג' שאכלו סי' טו)</w:t>
      </w:r>
      <w:r w:rsidRPr="002A6DDE">
        <w:rPr>
          <w:rFonts w:cs="Arial" w:hint="cs"/>
          <w:rtl/>
        </w:rPr>
        <w:t xml:space="preserve">- </w:t>
      </w:r>
      <w:r w:rsidRPr="002A6DDE">
        <w:rPr>
          <w:rFonts w:cs="Arial"/>
          <w:rtl/>
        </w:rPr>
        <w:t>אין צריך לשפוך מכוס של ברכה לשאר כוסות</w:t>
      </w:r>
      <w:r>
        <w:rPr>
          <w:rFonts w:cs="Arial" w:hint="cs"/>
          <w:rtl/>
        </w:rPr>
        <w:t>.</w:t>
      </w:r>
      <w:r w:rsidRPr="002A6DDE">
        <w:rPr>
          <w:rFonts w:cs="Arial"/>
          <w:rtl/>
        </w:rPr>
        <w:t xml:space="preserve"> ומיהו היכא דפגימי צריך לשפוך ממנו לשאר כוסות כדי שישתו כולם מכוס שאינו פגום</w:t>
      </w:r>
      <w:r>
        <w:rPr>
          <w:rFonts w:cs="Arial" w:hint="cs"/>
          <w:sz w:val="16"/>
          <w:szCs w:val="16"/>
          <w:rtl/>
        </w:rPr>
        <w:t xml:space="preserve"> (ל' התוס')</w:t>
      </w:r>
      <w:r>
        <w:rPr>
          <w:rFonts w:cs="Arial" w:hint="cs"/>
          <w:rtl/>
        </w:rPr>
        <w:t>.</w:t>
      </w:r>
      <w:r w:rsidRPr="00D91BDE">
        <w:rPr>
          <w:rFonts w:hint="cs"/>
          <w:color w:val="E36C0A" w:themeColor="accent6" w:themeShade="BF"/>
          <w:rtl/>
        </w:rPr>
        <w:t xml:space="preserve"> </w:t>
      </w:r>
      <w:r w:rsidRPr="006736A8">
        <w:rPr>
          <w:rFonts w:hint="cs"/>
          <w:color w:val="E36C0A" w:themeColor="accent6" w:themeShade="BF"/>
          <w:rtl/>
        </w:rPr>
        <w:t>(וכ"פ בשו"ע)</w:t>
      </w:r>
    </w:p>
    <w:p w14:paraId="646756DA" w14:textId="77777777" w:rsidR="004B2E7C" w:rsidRPr="00D91BDE" w:rsidRDefault="004B2E7C" w:rsidP="00434A6A">
      <w:pPr>
        <w:rPr>
          <w:rFonts w:cs="Arial"/>
          <w:u w:val="single"/>
        </w:rPr>
      </w:pPr>
      <w:r w:rsidRPr="00D91BDE">
        <w:rPr>
          <w:rFonts w:cs="Arial" w:hint="cs"/>
          <w:u w:val="single"/>
          <w:rtl/>
        </w:rPr>
        <w:t>מדוע ברכת הקידוש פותחת בברוך, שהרי היא ברכה הסמוכה לחברתה:</w:t>
      </w:r>
    </w:p>
    <w:p w14:paraId="6B7BCEB9" w14:textId="77777777" w:rsidR="004B2E7C" w:rsidRPr="00D91BDE" w:rsidRDefault="004B2E7C" w:rsidP="00FF2D21">
      <w:pPr>
        <w:pStyle w:val="aa"/>
        <w:numPr>
          <w:ilvl w:val="0"/>
          <w:numId w:val="116"/>
        </w:numPr>
        <w:rPr>
          <w:rFonts w:cs="Arial"/>
          <w:rtl/>
        </w:rPr>
      </w:pPr>
      <w:r w:rsidRPr="00D91BDE">
        <w:rPr>
          <w:rFonts w:cs="Arial"/>
          <w:rtl/>
        </w:rPr>
        <w:t xml:space="preserve">רשב"א </w:t>
      </w:r>
      <w:r w:rsidRPr="00D91BDE">
        <w:rPr>
          <w:rFonts w:cs="Arial" w:hint="cs"/>
          <w:sz w:val="16"/>
          <w:szCs w:val="16"/>
          <w:rtl/>
        </w:rPr>
        <w:t xml:space="preserve">(ברכות </w:t>
      </w:r>
      <w:r w:rsidRPr="00D91BDE">
        <w:rPr>
          <w:rFonts w:cs="Arial"/>
          <w:sz w:val="16"/>
          <w:szCs w:val="16"/>
          <w:rtl/>
        </w:rPr>
        <w:t>מו.)</w:t>
      </w:r>
      <w:r>
        <w:rPr>
          <w:rFonts w:cs="Arial" w:hint="cs"/>
          <w:rtl/>
        </w:rPr>
        <w:t>-</w:t>
      </w:r>
      <w:r w:rsidRPr="00D91BDE">
        <w:rPr>
          <w:rFonts w:cs="Arial"/>
          <w:rtl/>
        </w:rPr>
        <w:t xml:space="preserve"> עד היכן ברכת זימון</w:t>
      </w:r>
      <w:r>
        <w:rPr>
          <w:rFonts w:cs="Arial" w:hint="cs"/>
          <w:rtl/>
        </w:rPr>
        <w:t xml:space="preserve">? </w:t>
      </w:r>
      <w:r w:rsidRPr="00D91BDE">
        <w:rPr>
          <w:rFonts w:cs="Arial"/>
          <w:rtl/>
        </w:rPr>
        <w:t>כל ברכה שלפעמים אינה סמוכה נהגו בה מנהג אותן שאינן סמוכות לעולם</w:t>
      </w:r>
      <w:r>
        <w:rPr>
          <w:rFonts w:cs="Arial" w:hint="cs"/>
          <w:rtl/>
        </w:rPr>
        <w:t>.</w:t>
      </w:r>
      <w:r w:rsidRPr="00D91BDE">
        <w:rPr>
          <w:rFonts w:cs="Arial"/>
          <w:rtl/>
        </w:rPr>
        <w:t xml:space="preserve"> כקידוש</w:t>
      </w:r>
      <w:r>
        <w:rPr>
          <w:rFonts w:cs="Arial" w:hint="cs"/>
          <w:rtl/>
        </w:rPr>
        <w:t>,</w:t>
      </w:r>
      <w:r w:rsidRPr="00D91BDE">
        <w:rPr>
          <w:rFonts w:cs="Arial"/>
          <w:rtl/>
        </w:rPr>
        <w:t xml:space="preserve"> שאע"פ שהיא סמוכה לבורא פרי הגפן</w:t>
      </w:r>
      <w:r>
        <w:rPr>
          <w:rFonts w:cs="Arial" w:hint="cs"/>
          <w:rtl/>
        </w:rPr>
        <w:t>,</w:t>
      </w:r>
      <w:r w:rsidRPr="00D91BDE">
        <w:rPr>
          <w:rFonts w:cs="Arial"/>
          <w:rtl/>
        </w:rPr>
        <w:t xml:space="preserve"> עשאוה כאינה סמוכה משום דאם היה שותה מבעוד יום וקדש עליו היום אינו אומר בורא פרי הגפן</w:t>
      </w:r>
      <w:r>
        <w:rPr>
          <w:rFonts w:cs="Arial" w:hint="cs"/>
          <w:rtl/>
        </w:rPr>
        <w:t>.</w:t>
      </w:r>
      <w:r w:rsidRPr="00D91BDE">
        <w:rPr>
          <w:rFonts w:cs="Arial"/>
          <w:rtl/>
        </w:rPr>
        <w:t xml:space="preserve"> והכי אמרינן בירושלמי (ברכות פ"א סוף ה"ה)</w:t>
      </w:r>
      <w:r>
        <w:rPr>
          <w:rFonts w:cs="Arial" w:hint="cs"/>
          <w:rtl/>
        </w:rPr>
        <w:t>.</w:t>
      </w:r>
    </w:p>
    <w:p w14:paraId="07B66DC5"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C9DDB08" w14:textId="77777777" w:rsidR="004B2E7C" w:rsidRDefault="004B2E7C" w:rsidP="00434A6A">
      <w:pPr>
        <w:rPr>
          <w:rFonts w:asciiTheme="minorBidi" w:hAnsiTheme="minorBidi"/>
          <w:rtl/>
        </w:rPr>
      </w:pPr>
      <w:r w:rsidRPr="00CC2350">
        <w:rPr>
          <w:rFonts w:asciiTheme="minorBidi" w:hAnsiTheme="minorBidi" w:cs="Arial"/>
          <w:rtl/>
        </w:rPr>
        <w:t>א</w:t>
      </w:r>
      <w:r>
        <w:rPr>
          <w:rFonts w:asciiTheme="minorBidi" w:hAnsiTheme="minorBidi" w:cs="Arial" w:hint="cs"/>
          <w:rtl/>
        </w:rPr>
        <w:t xml:space="preserve">ין </w:t>
      </w:r>
      <w:r w:rsidRPr="00CC2350">
        <w:rPr>
          <w:rFonts w:asciiTheme="minorBidi" w:hAnsiTheme="minorBidi" w:cs="Arial"/>
          <w:rtl/>
        </w:rPr>
        <w:t>צ</w:t>
      </w:r>
      <w:r>
        <w:rPr>
          <w:rFonts w:asciiTheme="minorBidi" w:hAnsiTheme="minorBidi" w:cs="Arial" w:hint="cs"/>
          <w:rtl/>
        </w:rPr>
        <w:t>ריך</w:t>
      </w:r>
      <w:r w:rsidRPr="00CC2350">
        <w:rPr>
          <w:rFonts w:asciiTheme="minorBidi" w:hAnsiTheme="minorBidi" w:cs="Arial"/>
          <w:rtl/>
        </w:rPr>
        <w:t xml:space="preserve"> לשפוך מכוס המקדש לכוסות יין שלפני המסובין, א</w:t>
      </w:r>
      <w:r>
        <w:rPr>
          <w:rFonts w:asciiTheme="minorBidi" w:hAnsiTheme="minorBidi" w:cs="Arial" w:hint="cs"/>
          <w:rtl/>
        </w:rPr>
        <w:t>לא אם כן</w:t>
      </w:r>
      <w:r w:rsidRPr="00CC2350">
        <w:rPr>
          <w:rFonts w:asciiTheme="minorBidi" w:hAnsiTheme="minorBidi" w:cs="Arial"/>
          <w:rtl/>
        </w:rPr>
        <w:t xml:space="preserve"> היו פגומים שאז צריך לשפוך</w:t>
      </w:r>
      <w:r>
        <w:rPr>
          <w:rStyle w:val="a9"/>
          <w:rFonts w:asciiTheme="minorBidi" w:hAnsiTheme="minorBidi" w:cs="Arial"/>
          <w:rtl/>
        </w:rPr>
        <w:footnoteReference w:id="960"/>
      </w:r>
      <w:r w:rsidRPr="00CC2350">
        <w:rPr>
          <w:rFonts w:asciiTheme="minorBidi" w:hAnsiTheme="minorBidi" w:cs="Arial"/>
          <w:rtl/>
        </w:rPr>
        <w:t xml:space="preserve"> לכל כוס וכוס, כדי שישתו כולם מכוס שאינו פגום</w:t>
      </w:r>
      <w:r>
        <w:rPr>
          <w:rStyle w:val="a9"/>
          <w:rFonts w:asciiTheme="minorBidi" w:hAnsiTheme="minorBidi" w:cs="Arial"/>
          <w:rtl/>
        </w:rPr>
        <w:footnoteReference w:id="961"/>
      </w:r>
      <w:r w:rsidRPr="00CC2350">
        <w:rPr>
          <w:rFonts w:asciiTheme="minorBidi" w:hAnsiTheme="minorBidi" w:cs="Arial"/>
          <w:rtl/>
        </w:rPr>
        <w:t>.</w:t>
      </w:r>
    </w:p>
    <w:p w14:paraId="4EE8B226" w14:textId="77777777" w:rsidR="004B2E7C" w:rsidRDefault="004B2E7C" w:rsidP="00434A6A">
      <w:pPr>
        <w:rPr>
          <w:rFonts w:asciiTheme="minorBidi" w:hAnsiTheme="minorBidi"/>
          <w:rtl/>
        </w:rPr>
      </w:pPr>
    </w:p>
    <w:p w14:paraId="5007398A" w14:textId="77777777" w:rsidR="004B2E7C" w:rsidRDefault="004B2E7C" w:rsidP="00434A6A">
      <w:pPr>
        <w:pStyle w:val="1"/>
        <w:rPr>
          <w:rtl/>
        </w:rPr>
        <w:sectPr w:rsidR="004B2E7C" w:rsidSect="00BD29B1">
          <w:headerReference w:type="default" r:id="rId42"/>
          <w:footnotePr>
            <w:numRestart w:val="eachSect"/>
          </w:footnotePr>
          <w:pgSz w:w="11906" w:h="16838"/>
          <w:pgMar w:top="720" w:right="1134" w:bottom="720" w:left="1134" w:header="0" w:footer="0" w:gutter="0"/>
          <w:cols w:space="720"/>
          <w:bidi/>
          <w:rtlGutter/>
          <w:docGrid w:linePitch="360"/>
        </w:sectPr>
      </w:pPr>
    </w:p>
    <w:p w14:paraId="403745E3" w14:textId="77777777" w:rsidR="004B2E7C" w:rsidRPr="00CC2350" w:rsidRDefault="004B2E7C" w:rsidP="00434A6A">
      <w:pPr>
        <w:pStyle w:val="1"/>
        <w:rPr>
          <w:rtl/>
        </w:rPr>
      </w:pPr>
      <w:r>
        <w:rPr>
          <w:rFonts w:hint="cs"/>
          <w:rtl/>
        </w:rPr>
        <w:t xml:space="preserve">סימן ערב: </w:t>
      </w:r>
      <w:r w:rsidRPr="00CC2350">
        <w:rPr>
          <w:rtl/>
        </w:rPr>
        <w:t xml:space="preserve">על איזה יין מקדשים, ובו י' סעיפים. </w:t>
      </w:r>
    </w:p>
    <w:p w14:paraId="2380FEBE" w14:textId="77777777" w:rsidR="004B2E7C" w:rsidRDefault="004B2E7C" w:rsidP="00434A6A">
      <w:pPr>
        <w:pStyle w:val="2"/>
        <w:rPr>
          <w:rtl/>
        </w:rPr>
      </w:pPr>
      <w:r w:rsidRPr="00CC2350">
        <w:rPr>
          <w:rtl/>
        </w:rPr>
        <w:t>סעיף א</w:t>
      </w:r>
    </w:p>
    <w:p w14:paraId="26B97A5E" w14:textId="77777777" w:rsidR="004B2E7C" w:rsidRDefault="004B2E7C" w:rsidP="00FF2D21">
      <w:pPr>
        <w:pStyle w:val="aa"/>
        <w:numPr>
          <w:ilvl w:val="0"/>
          <w:numId w:val="116"/>
        </w:numPr>
      </w:pPr>
      <w:r w:rsidRPr="00A271F1">
        <w:rPr>
          <w:rFonts w:cs="Arial" w:hint="cs"/>
          <w:rtl/>
        </w:rPr>
        <w:t xml:space="preserve">טור- </w:t>
      </w:r>
      <w:r w:rsidRPr="00A271F1">
        <w:rPr>
          <w:rFonts w:cs="Arial"/>
          <w:rtl/>
        </w:rPr>
        <w:t>אין מקדשין אלא על היין הראוי לנסך על גבי המזבח למעוטי ריחו רע שמסריח קצת ואפילו ריחיה וטעמיה חמרא אף על פי שמברכין עליו בפה"ג ולמעוטי מגולה אפי' סיננו במסננת כתב הרי"ץ גיאת אפילו האידנא דלא קפדינן אגילוי אין מקדשים עליו אבל מברכין עליו בפה"ג ויין מגתו מקדשין עליו דתנן סוחט אדם אשכול של ענבים ואומר עליו קידוש היום וכן היין שבפי החבית אף על פי שיש בו קמחין</w:t>
      </w:r>
      <w:r>
        <w:rPr>
          <w:rStyle w:val="a9"/>
          <w:rFonts w:cs="Arial"/>
          <w:rtl/>
        </w:rPr>
        <w:footnoteReference w:id="962"/>
      </w:r>
      <w:r w:rsidRPr="00A271F1">
        <w:rPr>
          <w:rFonts w:cs="Arial"/>
          <w:rtl/>
        </w:rPr>
        <w:t xml:space="preserve"> ויין שבשולי החבית אף על פי שיש בו שמרים ויין כושי פירוש שחור בורק פי' לבן ביותר והוא לגריעותא יין הלסטיון פי' מתוק ויין סתם של מרתף שאינו בדוק אם הוא טוב אם לאו כולם מקדשין עליהם ומ"מ מצוה מן המובחר לברור מן היין טוב לקדש עליו כתב בה"ג שיין חי אפי' אם הוא חזק דדרי על חד תלתא מיא מקדשין עליו ומ"מ יותר טוב למוזגו ובלבד שיהא מזוג כראוי ויינות שלנו יותר טובים הם בלא מזיגה ויין צמוקים מקדשין עליהם ל"ש מכמשי בגופנייהו ול"ש נצטמקו ע"י חמה או על ידי תולדות האור כגון שהכניסן בחמין למהר צמוקן או שתלאן בעשן והוא שיצא מהן קצת לחלוחית כשמעצרין אותן אבל אם אין בהן לחלוחית ואין יוצא מהן דבר אלא ע"י שרייה ששורין אותן במים לא וחמרא דריחיה חלא וטעמיה חמרא חמרא אבל אם ריחיה חמרא וטעמיה חלא חלא דבתר טעמיה אזלינן. שמרי יין שנתן עליהם מים או חרצנים שנתן עליהם מים ויש בהם טעם יין אין מקדשין עליהם ומברכין עליהם שהכל אפי' אם נתן עליהם ג' מדות מים ויצאו ג' מדות וחצי אבל אם נתן ג' מדות מים ויצאו ארבעה הוה ליה כיין מזוג ועל יין מבושל רבו הדעות הרב ר' שמעיה כתב בשם רבינו שלמה שמברכין עליו שהכל וכ"כ הרב ר' יצחק ן' גיאות. יין שנתבשל אפילו מעט וכן אם נתן לתוכו מעט דבש מברכין עליו שהכל וכ"כ רב האי וכיון שנתן האור תחתיו והרתיח אין בו משום גילוי ולא משום יין נסך ואין אומרים עליו קידוש היום ואינו נראה לבעל העיטור דלא גרע מקונדיטון דאיתא בירושלמי שיוצאין בו בפסח ידי ד' כוסות וכ"כ ר"ת ור"י שמקדשין על המבושל ולזה הסכים א"א ז"ל והרמב"ם ז"ל כתב אין מקדשין אלא על יין הראוי לנסך על גבי מזבח לפיכך אם נתערב בו דבש או שאור אפי' כטפת חרדל בחבית גדולה אין מקדשין עליו כך אנו מורין בכל מערב ויש מי שמתיר לקדש עליו שלא אמרו יין הראוי לנסך על גבי מזבח אלא להוציא מגולה או ריחו רע או מבושל שאין מקדשין על אחת מאלו. במקום שאין יין מצוי מקדשין על השכר ושאר משקין כיון שאין יין מצוי שם הוי שאר משקין חמר מדינה ופרשב"ם שנקרא חמר מדינה כשאין יין בכל העיר ויש מפרשין דלא הוי חמר מדינה אלא אם כן שלא יהא יין גדל מהלך יום כל סביב העיר ומדברי הרמב"ם ז"ל יראה שאין מקדשין עליו שכתב מדינה שרוב יינה שכר אף על פי שאין מקדשין עליו מבדילין עליו הואיל והוא חמר מדינה ועל הפת כתב ר"ת שאין מקדשין עליו ורשב"ם כתב שמקדשין עליו וכ"כ רב עמרם ואומר ויכולו ומברך ברכת המוציא ואינו פורס וגומר הקידוש ופורס כ"כ רב האי וכתב עוד דאפי' אם יש לו יין אם אינו מקובל לו ואינו חביב לו שיקדש עליו שאין לו לברך על דבר שאינו נהנה ממנו וכתב א"א ז"ל שמקדשין על השכר אם הוא חמר מדינה ומ"מ יותר טוב הוא לקדש על פת כיון שהסעודה באה לכבוד שבת אבל בסעודת הבקר יותר טוב לקדש על השכר פי' שיברך עליו שהכל נהיה בדברו קודם לברכת המוציא שאם יברך על הפת תחלה אין כאן שום שינוי כתב ר"ע כוס של קידוש כל זמן שלא בירך ברהמ"ז חייב לברך עליו ברכה אחרונה וה"מ שאין לו כוס לברהמ"ז אבל אם יש לו כוס לברהמ"ז כיון דאכתי לא אסח דעתיה דהא אית ליה כוס של ברכה לא בעו לברוכי אחר כוס של קידוש שנפטר בברכה של ג' ע"כ ואיני מבין דבריו כיון שכתב שאם בירך ברה"מ שנפטר מלברך על הקידוש והוא צריך לברך ברכת המזון אם כן למה מחייבו לברך ברכה אחרונה על של קידוש מה לי יש לו כוס או אין לו כוס אלא לעולם כוס של קידוש צרכי הסעודה ונפטר בברכת המזון וא"צ לברך עליו ברכה אחרונה הילכך פוטר יין שבתוך המזון ומיהו י"ל כשיש לו כוס לבהמ"ז ודעתו לשתות עוד ברכה אחרונה שעל כוס של בהמ"ז פוטר של קידוש ולדעת ר"ע שסובר שבהמ"ז פוטר כוס של ברהמ"ז מברכה אחרונה אגב זה נמי פוטר של קידוש אבל אם אין לו כוס לבהמ"ז צריך לברך ברכה אחרונה על של קידוש דאע"ג דברכה אחת מעין ג' פוטרתו ברכת ג' אינה פוטרתו וא"א ז"ל כתב כסברא הראשונה דיין שלפני המזון נפטר בברה"מ אפילו אין לו לברה"ז כוס דכיון שבא להמשיך האדם לתאות המאכל חשיב כדברים הבאים מחמת הסעודה וכ"ש בכוס של קידוש שהוא צורך סעודה טפי דקי"ל אין קידוש אלא במקום סעודה:</w:t>
      </w:r>
    </w:p>
    <w:p w14:paraId="34983C98" w14:textId="77777777" w:rsidR="004B2E7C" w:rsidRDefault="004B2E7C" w:rsidP="00434A6A">
      <w:pPr>
        <w:rPr>
          <w:rtl/>
        </w:rPr>
      </w:pPr>
      <w:r>
        <w:rPr>
          <w:rFonts w:cs="Arial"/>
          <w:rtl/>
        </w:rPr>
        <w:t>[א (א)] אין מקדשין אלא על היין הראוי לנסך על גבי המזבח למעוטי ריחו רע. בפרק המוכר פירות (ב"ב צז):</w:t>
      </w:r>
    </w:p>
    <w:p w14:paraId="4F5961E5" w14:textId="77777777" w:rsidR="004B2E7C" w:rsidRDefault="004B2E7C" w:rsidP="00434A6A">
      <w:pPr>
        <w:rPr>
          <w:rtl/>
        </w:rPr>
      </w:pPr>
      <w:r>
        <w:rPr>
          <w:rFonts w:cs="Arial"/>
          <w:rtl/>
        </w:rPr>
        <w:t>וביאור דברי רבינו למעוטי ריחו רע. דהיינו שמסריח קצת אבל אין בו שינוי לחמיצות דריחיה וטעמיה חמרא ומברכין עליו בורא פרי הגפן ואפילו הכי אין מקדשין עליו מאחר שמסריח קצת. ועוד יש לומר דהכי קאמר למעוטי ריחו רע שמסריח קצת ומכל מקום כיון דריחיה וטעמיה חמרא מברכין עליו בורא פרי הגפן. והראשון נראה יותר דהכא בדיני קידוש עסיק ולא בדיני ברכות:</w:t>
      </w:r>
    </w:p>
    <w:p w14:paraId="330D5D64" w14:textId="77777777" w:rsidR="004B2E7C" w:rsidRDefault="004B2E7C" w:rsidP="00434A6A">
      <w:pPr>
        <w:rPr>
          <w:rtl/>
        </w:rPr>
      </w:pPr>
      <w:r>
        <w:rPr>
          <w:rFonts w:cs="Arial"/>
          <w:rtl/>
        </w:rPr>
        <w:t>ולמעוטי מגולה אפילו סיננו במסננת. גם זה שם (ע"ב):</w:t>
      </w:r>
    </w:p>
    <w:p w14:paraId="22C49EF2" w14:textId="77777777" w:rsidR="004B2E7C" w:rsidRDefault="004B2E7C" w:rsidP="00434A6A">
      <w:pPr>
        <w:rPr>
          <w:rtl/>
        </w:rPr>
      </w:pPr>
      <w:r>
        <w:rPr>
          <w:rFonts w:cs="Arial"/>
          <w:rtl/>
        </w:rPr>
        <w:t>[א (ב)] וחמרא דריחיה חלא וטעמיה חמרא חמרא. גם זה בהמוכר פירות (צו.) פלוגתא דרבי יוחנן ורבי יהושע בן לוי ופסקו רשב"ם (ד"ה חד אמר) והרא"ש (סי' ח) כרבי יוחנן דאמר הכי וכן פסק הרי"ף בפרק ערבי פסחים (כג.) והרמב"ם בפרק כ"ט (שם):</w:t>
      </w:r>
    </w:p>
    <w:p w14:paraId="6C1266AE" w14:textId="77777777" w:rsidR="004B2E7C" w:rsidRPr="00A271F1" w:rsidRDefault="004B2E7C" w:rsidP="00434A6A">
      <w:pPr>
        <w:rPr>
          <w:rtl/>
        </w:rPr>
      </w:pPr>
      <w:r>
        <w:rPr>
          <w:rFonts w:cs="Arial"/>
          <w:rtl/>
        </w:rPr>
        <w:t>ומ"ש אבל אי ריחיה חמרא וטעמיה חלא חלא. מדברי הרמב"ם בפרק הנזכר (הט"ו) ופשוט הוא:</w:t>
      </w:r>
    </w:p>
    <w:p w14:paraId="18FA06F7"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AE9FEFB" w14:textId="77777777" w:rsidR="004B2E7C" w:rsidRDefault="004B2E7C" w:rsidP="00434A6A">
      <w:pPr>
        <w:rPr>
          <w:rFonts w:asciiTheme="minorBidi" w:hAnsiTheme="minorBidi"/>
          <w:rtl/>
        </w:rPr>
      </w:pPr>
      <w:r w:rsidRPr="00CC2350">
        <w:rPr>
          <w:rFonts w:asciiTheme="minorBidi" w:hAnsiTheme="minorBidi" w:cs="Arial"/>
          <w:rtl/>
        </w:rPr>
        <w:t xml:space="preserve">אין מקדשין על יין שריחו רע, אף על גב דריחיה וטעמיה חמרא, ולא על יין מגולה אפילו האידנא דלא קפדינן אגילוי. </w:t>
      </w:r>
      <w:r w:rsidRPr="00A271F1">
        <w:rPr>
          <w:rFonts w:asciiTheme="minorBidi" w:hAnsiTheme="minorBidi" w:cs="Arial"/>
          <w:sz w:val="18"/>
          <w:szCs w:val="18"/>
          <w:rtl/>
        </w:rPr>
        <w:t xml:space="preserve">הגה: ואין מקדשין על היין דריחיה חמרא וטעמיה חלא (טור). </w:t>
      </w:r>
    </w:p>
    <w:p w14:paraId="0DE7C771" w14:textId="77777777" w:rsidR="004B2E7C" w:rsidRPr="00CC2350" w:rsidRDefault="004B2E7C" w:rsidP="00434A6A">
      <w:pPr>
        <w:rPr>
          <w:rFonts w:asciiTheme="minorBidi" w:hAnsiTheme="minorBidi"/>
          <w:rtl/>
        </w:rPr>
      </w:pPr>
    </w:p>
    <w:p w14:paraId="0FDAEEE1" w14:textId="77777777" w:rsidR="004B2E7C" w:rsidRDefault="004B2E7C" w:rsidP="00434A6A">
      <w:pPr>
        <w:pStyle w:val="2"/>
        <w:rPr>
          <w:rtl/>
        </w:rPr>
      </w:pPr>
      <w:r w:rsidRPr="00CC2350">
        <w:rPr>
          <w:rtl/>
        </w:rPr>
        <w:t>סעיף ב</w:t>
      </w:r>
      <w:r>
        <w:rPr>
          <w:rFonts w:hint="cs"/>
          <w:rtl/>
        </w:rPr>
        <w:t>:</w:t>
      </w:r>
    </w:p>
    <w:p w14:paraId="5D0AE363" w14:textId="77777777" w:rsidR="004B2E7C" w:rsidRPr="00A271F1" w:rsidRDefault="004B2E7C" w:rsidP="00434A6A">
      <w:pPr>
        <w:rPr>
          <w:rtl/>
        </w:rPr>
      </w:pPr>
      <w:r w:rsidRPr="00A271F1">
        <w:rPr>
          <w:rFonts w:cs="Arial"/>
          <w:rtl/>
        </w:rPr>
        <w:t>[ב] ויין מגתו וכו' דתנן סוחט אדם וכו'. שם אמר רבה סוחט אדם אשכול של ענבים ואומר עליו קידוש היום, ורבינו שכתב דתנן לא דק:</w:t>
      </w:r>
    </w:p>
    <w:p w14:paraId="05C228E8"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04A7FAE4" w14:textId="77777777" w:rsidR="004B2E7C" w:rsidRDefault="004B2E7C" w:rsidP="00434A6A">
      <w:pPr>
        <w:rPr>
          <w:rFonts w:asciiTheme="minorBidi" w:hAnsiTheme="minorBidi"/>
          <w:rtl/>
        </w:rPr>
      </w:pPr>
      <w:r w:rsidRPr="00CC2350">
        <w:rPr>
          <w:rFonts w:asciiTheme="minorBidi" w:hAnsiTheme="minorBidi" w:cs="Arial"/>
          <w:rtl/>
        </w:rPr>
        <w:t>יין מגתו מקדשין עליו</w:t>
      </w:r>
      <w:r>
        <w:rPr>
          <w:rFonts w:asciiTheme="minorBidi" w:hAnsiTheme="minorBidi" w:cs="Arial" w:hint="cs"/>
          <w:rtl/>
        </w:rPr>
        <w:t>.</w:t>
      </w:r>
      <w:r w:rsidRPr="00CC2350">
        <w:rPr>
          <w:rFonts w:asciiTheme="minorBidi" w:hAnsiTheme="minorBidi" w:cs="Arial"/>
          <w:rtl/>
        </w:rPr>
        <w:t xml:space="preserve"> וסוחט אדם אשכול של ענבים ואומר עליו קידוש היום. </w:t>
      </w:r>
    </w:p>
    <w:p w14:paraId="3B50AF8E" w14:textId="77777777" w:rsidR="004B2E7C" w:rsidRPr="00CC2350" w:rsidRDefault="004B2E7C" w:rsidP="00434A6A">
      <w:pPr>
        <w:rPr>
          <w:rFonts w:asciiTheme="minorBidi" w:hAnsiTheme="minorBidi"/>
          <w:rtl/>
        </w:rPr>
      </w:pPr>
    </w:p>
    <w:p w14:paraId="216BB34E" w14:textId="77777777" w:rsidR="004B2E7C" w:rsidRDefault="004B2E7C" w:rsidP="00434A6A">
      <w:pPr>
        <w:pStyle w:val="2"/>
        <w:rPr>
          <w:rtl/>
        </w:rPr>
      </w:pPr>
      <w:r w:rsidRPr="00CC2350">
        <w:rPr>
          <w:rtl/>
        </w:rPr>
        <w:t>סעיף ג</w:t>
      </w:r>
      <w:r>
        <w:rPr>
          <w:rFonts w:hint="cs"/>
          <w:rtl/>
        </w:rPr>
        <w:t>:</w:t>
      </w:r>
    </w:p>
    <w:p w14:paraId="3BCA6D36" w14:textId="77777777" w:rsidR="004B2E7C" w:rsidRDefault="004B2E7C" w:rsidP="00434A6A">
      <w:pPr>
        <w:rPr>
          <w:rtl/>
        </w:rPr>
      </w:pPr>
      <w:r>
        <w:rPr>
          <w:rFonts w:cs="Arial"/>
          <w:rtl/>
        </w:rPr>
        <w:t>[ג (א)] וכן יין שבפי החבית וכו' ויין שבשולי החבית וכו'. שם ואלא למעוטי מפיה ומשוליה והא תני ר' חייא מפיה ומשוליה לא יביא ואם הביא כשר כלומר לנסכים וכיון דאם הביא כשר לנסכים לקידוש לכתחלה נמי כשר:</w:t>
      </w:r>
    </w:p>
    <w:p w14:paraId="5FCC7B18" w14:textId="77777777" w:rsidR="004B2E7C" w:rsidRDefault="004B2E7C" w:rsidP="00434A6A">
      <w:pPr>
        <w:rPr>
          <w:rtl/>
        </w:rPr>
      </w:pPr>
      <w:r>
        <w:rPr>
          <w:rFonts w:cs="Arial"/>
          <w:rtl/>
        </w:rPr>
        <w:t>ויין כושי וכו' ויין של מרתף וכו'. הכל שם, ולא היה צריך רבינו לכתוב דיין של מרתף כשר דהא חשש יין של מרתף פירש רשב"ם (שם ד"ה של מרתף) דאינו אלא שמא יהיה קוסס כלומר ריחיה חלא וטעמיה חמרא וכיון שרבינו פוסק בסמוך כמאן דאמר ריחיה חלא וטעמיה חמרא חמרא כל שכן דשל מרתף סתם הוי חמרא אלא אגב שיטפא דאחריני נקטיה:</w:t>
      </w:r>
    </w:p>
    <w:p w14:paraId="429B36B0" w14:textId="77777777" w:rsidR="004B2E7C" w:rsidRPr="00A271F1" w:rsidRDefault="004B2E7C" w:rsidP="00434A6A">
      <w:pPr>
        <w:rPr>
          <w:rtl/>
        </w:rPr>
      </w:pPr>
      <w:r w:rsidRPr="0027457B">
        <w:rPr>
          <w:rFonts w:cs="Arial"/>
          <w:rtl/>
        </w:rPr>
        <w:t>[ג (ב)] כתוב בארחות חיים (הל' קידוש אות כב) בתוספות אוסר לקידוש יין שמעלה קמחין אם אי אפשר לסננו שלא ישארו בו קמחין:</w:t>
      </w:r>
    </w:p>
    <w:p w14:paraId="578DD826"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7AA1E51" w14:textId="77777777" w:rsidR="004B2E7C" w:rsidRDefault="004B2E7C" w:rsidP="00434A6A">
      <w:pPr>
        <w:rPr>
          <w:rFonts w:asciiTheme="minorBidi" w:hAnsiTheme="minorBidi"/>
          <w:rtl/>
        </w:rPr>
      </w:pPr>
      <w:r w:rsidRPr="00CC2350">
        <w:rPr>
          <w:rFonts w:asciiTheme="minorBidi" w:hAnsiTheme="minorBidi" w:cs="Arial"/>
          <w:rtl/>
        </w:rPr>
        <w:t xml:space="preserve">מקדשין על יין שבפי החבית, אף על פי שיש בו קמחין. הגה: ויש אוסרין לקדש עליו אלא יסננו תחלה להעביר הקמחין. (הגהות מרדכי פרק המוכר פירות וב"י בשם א"ח ותוס') ועל יין שבשולי החבית, אף על פי שיש בו שמרים; ועל יין שחור; ועל יין מתוק; ועל יין דריחיה חלא וטעמיה חמרא. ומ"מ מצוה לברור יין טוב לקדש עליו. </w:t>
      </w:r>
    </w:p>
    <w:p w14:paraId="5459F493" w14:textId="77777777" w:rsidR="004B2E7C" w:rsidRPr="00CC2350" w:rsidRDefault="004B2E7C" w:rsidP="00434A6A">
      <w:pPr>
        <w:rPr>
          <w:rFonts w:asciiTheme="minorBidi" w:hAnsiTheme="minorBidi"/>
          <w:rtl/>
        </w:rPr>
      </w:pPr>
    </w:p>
    <w:p w14:paraId="1A087BA7" w14:textId="77777777" w:rsidR="004B2E7C" w:rsidRDefault="004B2E7C" w:rsidP="00434A6A">
      <w:pPr>
        <w:pStyle w:val="2"/>
        <w:rPr>
          <w:rtl/>
        </w:rPr>
      </w:pPr>
      <w:r w:rsidRPr="00CC2350">
        <w:rPr>
          <w:rtl/>
        </w:rPr>
        <w:t>סעיף ד</w:t>
      </w:r>
      <w:r>
        <w:rPr>
          <w:rFonts w:hint="cs"/>
          <w:rtl/>
        </w:rPr>
        <w:t>:</w:t>
      </w:r>
    </w:p>
    <w:p w14:paraId="527C7DC0" w14:textId="77777777" w:rsidR="004B2E7C" w:rsidRPr="00A271F1" w:rsidRDefault="004B2E7C" w:rsidP="00434A6A">
      <w:pPr>
        <w:rPr>
          <w:rtl/>
        </w:rPr>
      </w:pPr>
      <w:r w:rsidRPr="00A271F1">
        <w:rPr>
          <w:rFonts w:cs="Arial"/>
          <w:rtl/>
        </w:rPr>
        <w:t>[ד] גרסינן בגמרא שם בעא מיניה רב כהנא מרבא חמר חיוריין מהו אמר ליה אל תרא יין כי יתאדם (משלי כג לא) כלומר דאינו קרוי יין אלא אדום, וכתב הר"ן בפרק ערבי פסחים (כב: ד"ה גרסי') דלקידוש קא מיבעיא ליה אי נמי לקידוש ולנסכים אבל ליכא למימר דלנסכים בלחוד קאמר דאם כן הוה ליה לפרושי וכיון דפשיט ליה מאל תרא יין כי יתאדם שמע מינה דחמר חיוריין פסול לקידוש וכתב הרמב"ן (חי' ב"ב שם ד"ה חמר) דאפילו בדיעבד לא יצא אם קידש ביין לבן עכ"ל, והיה נראה לי דהרמב"ן סובר דהא דמכשרי בגמרא בורק היינו שמבהיק ומתלבן קצת ודומה קצת לאדמימות וכמו שפירשו התוספות (שם ד"ה חמר) בשם ר"י ובעיין בחיוריין שהוא לבן יותר מדאי, אלא שמצאתי להר"ן בפרק המוכר פירות (חי' הר"ן שם ד"ה חמר) על מה שכתב דחמר חיוריין פסול לקידוש ולפי זה בודק גרסינן בדלי"ת דאי בורק גרסינן וכדפירש רש"י שמפרש לבן תיקשי אמאי דאסיקנא דפסול לקידוש ע"כ וכן פירש הרמב"ן עצמו (חי' ב"ב שם ד"ה בודק): ודע דבירושלמי דשקלים פ"ג (ה"ב) אמר ר' ירמיה מצוה לצאת ביין אדום שנאמר אל תרא יין כי יתאדם ע"כ, ומדנקט לישנא דמצוה משמע דלא לעיכובא קאמר וכיון שכן היה נראה לומר דאפילו אם תמצא לומר דבעיא דגמרא דילן לענין קידוש היא איכא למימר דלמצוה בעי כדברי הירושלמי ולא לעיכובא, ולכאורה יש לתמוה על הרמב"ן למה פסק לפסול בחמר חיוריין, וכבר נזהרו מזה שהר"ן כתב בפרק המוכר פירות (שם) ואף על פי שאמרו בירושלמי מצוה לצאת ביין אדום דכתיב אל תרא יין כי יתאדם אפילו דיעבד נמי הוא דליכא למימר דלכתחלה בלחוד קאמר דמנא תיתי אי בעי קרא כדכתיב אפילו דיעבד נמי ואי לא בעי קרא כדכתיב אפילו לכתחלה יהא כשר שהרי חשוב הוא ועולה על שולחן מלכים ולא אשכחן בגמרא דילן לענין קידוש לא יביא ואם הביא כשר עכ"ל, וכן כתב הרמב"ן עצמו בפרק הנזכר (שם ד"ה חמר). וכתב עוד (הרמב"ן שם) דמדאמרינן בפרק ערבי פסחים (קח:) לענין ד' כוסות עד שיהא בהם טעם ומראה יין משמע דאפילו בדיעבד לא יצא דעד שיהא בהן מראה יין דיעבד הוא. וכתב עוד וקשה לי כושי אמאי כשר ויש לומר אדום הוא אלא שלקה (סוכה לג:) אי נמי כושי אינו שחור גמור כדמשמע במסכת סוכה תדע מדלא קאמר שחור כדתנן (נדה יט.) לענין דמים: והריטב"א כתב בפרק המוכר פירות ולענין הא דאמרינן הכא דיין לבן אין מקדשין עליו יש לומר דאפילו דיעבד נמי קאמר אבל בירושלמי משמע דדוקא לכתחלה אבל בדיעבד יצא דגרסינן התם א"ר ירמיה מצוה לצאת ביין אדום וכו' ומשמע דוקא מצוה דהיינו מצוה מן המובחר אבל דיעבד או אפילו לכתחלה היכא שאין לו יין אחר מותר וכן נראה ומיהו אם חמר מדינה הוא מקדש [עליו] וכדמשמע התם עכ"ל: והתוספות (ב"ב צז: ד"ה חמר) כתבו חמר חיוריין מהו פירש ר"ש דחיוריין היינו בורק ולא שמיע ליה ברייתא דלעיל דקתני בורק לא יביא ואם הביא כשר ולר"י נראה דשפיר שמיע ליה וחיוריין גרוע מבורק דחיוריין לבן יותר מדאי אבל בורק אינו אלא מבהיק ומתלבן קצת ודומה קצת לאדמימות ולכך אם הביא כשר עכ"ל: והרי"ף והרא"ש השמיטו בעיא זו ולא כתבוה לא בפרק ערבי פסחים ולא בפרק המוכר פירות, וגם הרמב"ם לא כתבה בסוף הלכות שבת לענין קידוש, משמע דסבירא להו דלנסכים בלחוד קאמר, ויש לתמוה על הרמב"ם שלא הזכיר יין חיוריין לפסול לנסכים בפ"ו מהלכות איסורי מזבח, ואפשר שהוא ז"ל מפרש דלהכשיר פשט ליה דמדקאמר אל תרא יין כי יתאדם משמע דאף שאינו אדום יין מיקרי: ודעת רבינו גם כן להכשיר ביין לבן לקידוש אפילו לכתחלה שכתב אצל ד' כוסות בסימן תע"ב ואיתא בירושלמי שמצוה לחזר אחר יין אדום ויראה שאם הלבן משובח מהאדום שהוא קודם ע"כ והרי אחד מד' כוסות הוא כוס של קידוש וקאמר שאם הלבן משובח מן האדום הוא קודם וכן כתב הרוקח (סי' רפג): וכתב הרשב"ץ (שו"ת תשב"ץ ח"א סימן פ"ה, לד:) שמצא סמך שהיין החשוב הלבן אפילו לכתחלה כשר מתרגום ירושלמי של שיר השירים (ה א) על שתיתי ייני עם חלבי ויין חיוריין שבגמרא הוא (שנחלק) [שנתלבן] בגריעות. וכתב עוד דאפילו לדעת הרמב"ן מבדילין עליו דלא גרע משיכרא:</w:t>
      </w:r>
    </w:p>
    <w:p w14:paraId="0CF0FE8D"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4622BDC" w14:textId="77777777" w:rsidR="004B2E7C" w:rsidRDefault="004B2E7C" w:rsidP="00434A6A">
      <w:pPr>
        <w:rPr>
          <w:rFonts w:asciiTheme="minorBidi" w:hAnsiTheme="minorBidi"/>
          <w:rtl/>
        </w:rPr>
      </w:pPr>
      <w:r w:rsidRPr="00CC2350">
        <w:rPr>
          <w:rFonts w:asciiTheme="minorBidi" w:hAnsiTheme="minorBidi" w:cs="Arial"/>
          <w:rtl/>
        </w:rPr>
        <w:t xml:space="preserve">מקדשין על יין לבן, והרמב"ן פוסלו לקידוש אפי' בדיעבד, אבל מבדילין עליו, ומנהג העולם כסברא ראשונה. </w:t>
      </w:r>
    </w:p>
    <w:p w14:paraId="15395916" w14:textId="77777777" w:rsidR="004B2E7C" w:rsidRPr="00CC2350" w:rsidRDefault="004B2E7C" w:rsidP="00434A6A">
      <w:pPr>
        <w:rPr>
          <w:rFonts w:asciiTheme="minorBidi" w:hAnsiTheme="minorBidi"/>
          <w:rtl/>
        </w:rPr>
      </w:pPr>
    </w:p>
    <w:p w14:paraId="541B6361" w14:textId="77777777" w:rsidR="004B2E7C" w:rsidRDefault="004B2E7C" w:rsidP="00434A6A">
      <w:pPr>
        <w:pStyle w:val="2"/>
        <w:rPr>
          <w:rtl/>
        </w:rPr>
      </w:pPr>
      <w:r w:rsidRPr="00CC2350">
        <w:rPr>
          <w:rtl/>
        </w:rPr>
        <w:t>סעיף ה</w:t>
      </w:r>
      <w:r>
        <w:rPr>
          <w:rFonts w:hint="cs"/>
          <w:rtl/>
        </w:rPr>
        <w:t>:</w:t>
      </w:r>
    </w:p>
    <w:p w14:paraId="39C05788" w14:textId="77777777" w:rsidR="004B2E7C" w:rsidRDefault="004B2E7C" w:rsidP="00434A6A">
      <w:pPr>
        <w:rPr>
          <w:rtl/>
        </w:rPr>
      </w:pPr>
      <w:r>
        <w:rPr>
          <w:rFonts w:cs="Arial"/>
          <w:rtl/>
        </w:rPr>
        <w:t>[ה] כתב בה"ג שיין חי אפילו אם הוא חזק וכו'. נראה שכתב כן מדתנן בסוף פרק ג' שאכלו (ברכות נ.) אין מברכין על היין עד שיתן לתוכו מים דברי רבי אליעזר וחכמים אומרים מברכין וטעמא דרבי אליעזר לפי שאינו ראוי לשתיה בלא מים, ובגמרא (שם:) אמר רבי יוסי בר חנינא מודים חכמים בכוס של ברכה שאין מברכין עליו עד שיתן לתוכו מים [מאי טעמא אמר רבי אושעיא] משום דבעינן מצוה מן המובחר, ומשמע דאין כל דברים הללו אמורים אלא ביין שהוא כל כך חזק שאינו ראוי לשתותו חי כלל אבל כי דרי על חד תלתא מיא יכול לשתותו חי הוא וזהו היין המשובח וכדאמר רבא בריש פרק המוציא יין (שבת עז.) ובפרק המוכר פירות (ב"ב צו:) כל חמרא דלא דרי על חד תלתא מיא לאו חמרא הוא:</w:t>
      </w:r>
    </w:p>
    <w:p w14:paraId="22EAC756" w14:textId="77777777" w:rsidR="004B2E7C" w:rsidRPr="00A271F1" w:rsidRDefault="004B2E7C" w:rsidP="00434A6A">
      <w:pPr>
        <w:rPr>
          <w:rtl/>
        </w:rPr>
      </w:pPr>
      <w:r>
        <w:rPr>
          <w:rFonts w:cs="Arial"/>
          <w:rtl/>
        </w:rPr>
        <w:t>ומ"ש ומכל מקום יותר טוב למוזגו וכו'. הטעם פשוט שהוא כדי שיהיה ערב לשתייה:</w:t>
      </w:r>
    </w:p>
    <w:p w14:paraId="23EDFA4C"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BA7F718" w14:textId="77777777" w:rsidR="004B2E7C" w:rsidRDefault="004B2E7C" w:rsidP="00434A6A">
      <w:pPr>
        <w:rPr>
          <w:rFonts w:asciiTheme="minorBidi" w:hAnsiTheme="minorBidi"/>
          <w:rtl/>
        </w:rPr>
      </w:pPr>
      <w:r w:rsidRPr="00CC2350">
        <w:rPr>
          <w:rFonts w:asciiTheme="minorBidi" w:hAnsiTheme="minorBidi" w:cs="Arial"/>
          <w:rtl/>
        </w:rPr>
        <w:t xml:space="preserve">יין חי אפי' אם הוא חזק דדרי (פי' שראוי למזוג) על חד תלת מיא, מקדשים עליו; ומ"מ יותר טוב למזגו ובלבד שיהא מזוג כראוי. </w:t>
      </w:r>
      <w:r w:rsidRPr="00A271F1">
        <w:rPr>
          <w:rFonts w:asciiTheme="minorBidi" w:hAnsiTheme="minorBidi" w:cs="Arial"/>
          <w:sz w:val="18"/>
          <w:szCs w:val="18"/>
          <w:rtl/>
        </w:rPr>
        <w:t>הגה: ויינות שלנו יותר טובים הם בלא מזיגה (טור).</w:t>
      </w:r>
      <w:r w:rsidRPr="00CC2350">
        <w:rPr>
          <w:rFonts w:asciiTheme="minorBidi" w:hAnsiTheme="minorBidi" w:cs="Arial"/>
          <w:rtl/>
        </w:rPr>
        <w:t xml:space="preserve"> </w:t>
      </w:r>
    </w:p>
    <w:p w14:paraId="75BF4A7A" w14:textId="77777777" w:rsidR="004B2E7C" w:rsidRPr="00CC2350" w:rsidRDefault="004B2E7C" w:rsidP="00434A6A">
      <w:pPr>
        <w:rPr>
          <w:rFonts w:asciiTheme="minorBidi" w:hAnsiTheme="minorBidi"/>
          <w:rtl/>
        </w:rPr>
      </w:pPr>
    </w:p>
    <w:p w14:paraId="469926C7" w14:textId="77777777" w:rsidR="004B2E7C" w:rsidRDefault="004B2E7C" w:rsidP="00434A6A">
      <w:pPr>
        <w:pStyle w:val="2"/>
        <w:rPr>
          <w:rtl/>
        </w:rPr>
      </w:pPr>
      <w:r w:rsidRPr="00CC2350">
        <w:rPr>
          <w:rtl/>
        </w:rPr>
        <w:t>סעיף ו</w:t>
      </w:r>
      <w:r>
        <w:rPr>
          <w:rFonts w:hint="cs"/>
          <w:rtl/>
        </w:rPr>
        <w:t xml:space="preserve">: </w:t>
      </w:r>
    </w:p>
    <w:p w14:paraId="7C716EE4" w14:textId="77777777" w:rsidR="004B2E7C" w:rsidRDefault="004B2E7C" w:rsidP="00434A6A">
      <w:pPr>
        <w:rPr>
          <w:rtl/>
        </w:rPr>
      </w:pPr>
      <w:r>
        <w:rPr>
          <w:rFonts w:cs="Arial"/>
          <w:rtl/>
        </w:rPr>
        <w:t>[ו] ויין של צמוקים מקדשין עליו וכו'. ברייתא בפרק המוכר פירות (צז:):</w:t>
      </w:r>
    </w:p>
    <w:p w14:paraId="26B80F6D" w14:textId="77777777" w:rsidR="004B2E7C" w:rsidRPr="00A271F1" w:rsidRDefault="004B2E7C" w:rsidP="00434A6A">
      <w:pPr>
        <w:rPr>
          <w:rtl/>
        </w:rPr>
      </w:pPr>
      <w:r>
        <w:rPr>
          <w:rFonts w:cs="Arial"/>
          <w:rtl/>
        </w:rPr>
        <w:t>ומ"ש והוא שיצא מהם לחלוחית קצת וכו'. כך כתבו הרי"ף בפרק ערבי פסחים (כב:) והרא"ש בפרק המוכר פירות (סי' י) מיהו אמרי רבוותא לא כל הצמוקים שרי לקדושי עלייהו אלא כגון דמכמשן בגופנייהו ולא דיבישן וכד עצרת להו נפקא מינייהו לחלוחית הני הוא דשרינן במיא ומעצרינן להו ומקדשין עלייהו אבל אי כד מעצרת להו לא נפיק מינייהו לחלוחית לא מקדשינן עלייהו וכן כתב הרמב"ם בפרק כ"ט (הי"ז) וז"ל והוא שיהיו צמוקים שיהיה בהם לחלוחית שאם ידרוך אותן יצא מהם דבשן כלומר לאפוקי צמוקים יבשות ביותר שאין בהם שום לחלוחית דבש: [בדק הבית] וכן כתב הריב"ש (סי' ט) [עד כאן]:</w:t>
      </w:r>
    </w:p>
    <w:p w14:paraId="7E347FF7"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3F1E2FDA" w14:textId="77777777" w:rsidR="004B2E7C" w:rsidRDefault="004B2E7C" w:rsidP="00434A6A">
      <w:pPr>
        <w:rPr>
          <w:rFonts w:asciiTheme="minorBidi" w:hAnsiTheme="minorBidi"/>
          <w:rtl/>
        </w:rPr>
      </w:pPr>
      <w:r w:rsidRPr="00CC2350">
        <w:rPr>
          <w:rFonts w:asciiTheme="minorBidi" w:hAnsiTheme="minorBidi" w:cs="Arial"/>
          <w:rtl/>
        </w:rPr>
        <w:t>יין צמוקים מקדשין עליו</w:t>
      </w:r>
      <w:r>
        <w:rPr>
          <w:rFonts w:asciiTheme="minorBidi" w:hAnsiTheme="minorBidi" w:cs="Arial" w:hint="cs"/>
          <w:rtl/>
        </w:rPr>
        <w:t>.</w:t>
      </w:r>
      <w:r w:rsidRPr="00CC2350">
        <w:rPr>
          <w:rFonts w:asciiTheme="minorBidi" w:hAnsiTheme="minorBidi" w:cs="Arial"/>
          <w:rtl/>
        </w:rPr>
        <w:t xml:space="preserve"> </w:t>
      </w:r>
      <w:r w:rsidRPr="00A271F1">
        <w:rPr>
          <w:rFonts w:asciiTheme="minorBidi" w:hAnsiTheme="minorBidi" w:cs="Arial" w:hint="cs"/>
          <w:sz w:val="18"/>
          <w:szCs w:val="18"/>
          <w:rtl/>
        </w:rPr>
        <w:t xml:space="preserve">[הגה] </w:t>
      </w:r>
      <w:r w:rsidRPr="00A271F1">
        <w:rPr>
          <w:rFonts w:asciiTheme="minorBidi" w:hAnsiTheme="minorBidi" w:cs="Arial"/>
          <w:sz w:val="18"/>
          <w:szCs w:val="18"/>
          <w:rtl/>
        </w:rPr>
        <w:t>והוא שיש בהן לחלוחית קצת בלא שרייה (טור).</w:t>
      </w:r>
      <w:r w:rsidRPr="00CC2350">
        <w:rPr>
          <w:rFonts w:asciiTheme="minorBidi" w:hAnsiTheme="minorBidi" w:cs="Arial"/>
          <w:rtl/>
        </w:rPr>
        <w:t xml:space="preserve"> </w:t>
      </w:r>
    </w:p>
    <w:p w14:paraId="041E8143" w14:textId="77777777" w:rsidR="004B2E7C" w:rsidRPr="00CC2350" w:rsidRDefault="004B2E7C" w:rsidP="00434A6A">
      <w:pPr>
        <w:rPr>
          <w:rFonts w:asciiTheme="minorBidi" w:hAnsiTheme="minorBidi"/>
          <w:rtl/>
        </w:rPr>
      </w:pPr>
    </w:p>
    <w:p w14:paraId="21518A42" w14:textId="77777777" w:rsidR="004B2E7C" w:rsidRDefault="004B2E7C" w:rsidP="00434A6A">
      <w:pPr>
        <w:pStyle w:val="2"/>
        <w:rPr>
          <w:rtl/>
        </w:rPr>
      </w:pPr>
      <w:r w:rsidRPr="00CC2350">
        <w:rPr>
          <w:rtl/>
        </w:rPr>
        <w:t>סעיף ז</w:t>
      </w:r>
      <w:r>
        <w:rPr>
          <w:rFonts w:hint="cs"/>
          <w:rtl/>
        </w:rPr>
        <w:t>:</w:t>
      </w:r>
    </w:p>
    <w:p w14:paraId="5031D22E" w14:textId="77777777" w:rsidR="004B2E7C" w:rsidRDefault="004B2E7C" w:rsidP="00434A6A">
      <w:pPr>
        <w:rPr>
          <w:rtl/>
        </w:rPr>
      </w:pPr>
      <w:r>
        <w:rPr>
          <w:rFonts w:cs="Arial"/>
          <w:rtl/>
        </w:rPr>
        <w:t>[ז] שמרי יין שנתן לתוכם מים וכו'. גם זה בפרק המוכר פירות (צו:): כתב הרשב"א בתשובה (ח"א סי' שמא) מה שאמרת דרמא תלתא ואתא ד' ביין שירוני דרפי לאו חמרא הוא ובעיא טפי, שפיר קאמרת וכדמשמע נמי בריש פרק המוציא (שבת עז.), ומה שאמרו כאן יין סתם לפי שיין שירוני בשמו מזכירין אותו דברים נכונים הם עכ"ל:</w:t>
      </w:r>
    </w:p>
    <w:p w14:paraId="2258FE23" w14:textId="77777777" w:rsidR="004B2E7C" w:rsidRPr="00A271F1" w:rsidRDefault="004B2E7C" w:rsidP="00434A6A">
      <w:pPr>
        <w:rPr>
          <w:rtl/>
        </w:rPr>
      </w:pPr>
      <w:r>
        <w:rPr>
          <w:rFonts w:cs="Arial"/>
          <w:rtl/>
        </w:rPr>
        <w:t>ומ"ש דחרצנים דינם כשמרים. הוא ממ"ש שם הרא"ש (ב"ב פ"ו סי' ט) דמוכח בריש פרק אלו עוברין (פסחים מב:) דתמד של חרצנים גרוע משל שמרים ומיהו כשנתן שלש מדות והוציא ארבע דחזינן בהדיא דרביעיתו יין פשיטא ודאי דמקדשין עליו, וכן כתב הר"ן בפרק ערבי פסחים (כג. ד"ה ומיהו) והרב המגיד בפרק כ"ט (הט"ו) שחרצנים דינם שוה לשמרים מיהו כתבו דהני מילי בחרצנים הנדרכים בגת על ידי קורה שהקורה דוחקת ומוציאה כל לחלוחית שבהם אבל בפורצני שלנו הנדרכים ברגלי אדם ורמי בהו מיא והיין נמשך מאליו לא אמרינן הכי שהרי ברוב הפעמים אינו מוציא כדי מדתו ואפילו הכי חמרא מעליא הוא לפי שהחרצנים עצמן בולעין המים והיין יוצא הילכך הכל לפי טעמו וריחו:</w:t>
      </w:r>
    </w:p>
    <w:p w14:paraId="4B1A4CDF"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B03DDC7" w14:textId="77777777" w:rsidR="004B2E7C" w:rsidRDefault="004B2E7C" w:rsidP="00434A6A">
      <w:pPr>
        <w:rPr>
          <w:rFonts w:asciiTheme="minorBidi" w:hAnsiTheme="minorBidi"/>
          <w:rtl/>
        </w:rPr>
      </w:pPr>
      <w:r w:rsidRPr="00CC2350">
        <w:rPr>
          <w:rFonts w:asciiTheme="minorBidi" w:hAnsiTheme="minorBidi" w:cs="Arial"/>
          <w:rtl/>
        </w:rPr>
        <w:t xml:space="preserve">שמרי יין או חרצנים שנתן עליהם מים, אם ראוי לברך עליהם בפה"ג מקדשין עליו. (וע"ל סי' ר"ד סעיף ה'). </w:t>
      </w:r>
    </w:p>
    <w:p w14:paraId="6E60022B" w14:textId="77777777" w:rsidR="004B2E7C" w:rsidRPr="00CC2350" w:rsidRDefault="004B2E7C" w:rsidP="00434A6A">
      <w:pPr>
        <w:rPr>
          <w:rFonts w:asciiTheme="minorBidi" w:hAnsiTheme="minorBidi"/>
          <w:rtl/>
        </w:rPr>
      </w:pPr>
    </w:p>
    <w:p w14:paraId="74401485" w14:textId="77777777" w:rsidR="004B2E7C" w:rsidRDefault="004B2E7C" w:rsidP="00434A6A">
      <w:pPr>
        <w:pStyle w:val="2"/>
        <w:rPr>
          <w:rtl/>
        </w:rPr>
      </w:pPr>
      <w:r w:rsidRPr="00CC2350">
        <w:rPr>
          <w:rtl/>
        </w:rPr>
        <w:t>סעיף ח</w:t>
      </w:r>
      <w:r>
        <w:rPr>
          <w:rFonts w:hint="cs"/>
          <w:rtl/>
        </w:rPr>
        <w:t>:</w:t>
      </w:r>
    </w:p>
    <w:p w14:paraId="5960178B" w14:textId="77777777" w:rsidR="004B2E7C" w:rsidRDefault="004B2E7C" w:rsidP="00434A6A">
      <w:pPr>
        <w:rPr>
          <w:rtl/>
        </w:rPr>
      </w:pPr>
      <w:r>
        <w:rPr>
          <w:rFonts w:cs="Arial"/>
          <w:rtl/>
        </w:rPr>
        <w:t>[ח] ועל יין מבושל רבו הדיעות. התוספות בפרק המוכר פירות (צז. ד"ה אילימא) כתבו דיין מבושל כשר לקידוש כדאיתא בירושלמי (פסחים פ"י סוף ה"א) ודלא כפירוש רש"י והר"ש שכתבו דמברכין עליו שהכל דאשתני לגריעותא והרא"ש כתב שם (סי' י) כדברי התוספות משום דכי אשתני למעליותא אשתני וכן דעת הר"ן בפרק ערבי פסחים (כב: ד"ה אין) להכשיר המבושל והמעושן לקידוש משום דאשתנו לעילויא וכן הסכים (בסוף) [בספר] מצות קטן (סי' רפא ע' רעט) וכתב הרב המגיד בפרק כ"ט (הי"ד) שכן דעת הרמב"ן (חי' ב"ב צז: ד"ה למעוטי) והרשב"א (חי' שם ד"ה ויין) אבל הרמב"ם (שם) דעתו כדעת הגאונים שאין מקדשין עליו. כתב האגור (סי' שפא) מנהג אשכנז וכל גדוליה לקדש על יין מבושל אם אין לו אחר ואפילו יש לו אחר שאינו טוב. וכתבו הרמב"ן (שם) והריטב"א (שם ד"ה או) בפרק המוכר פירות והרשב"א בתשובה (ח"א סי' כד) דבהדיא אמרו בירושלמי (שם) שיוצאין ביין מבושל בפסח בד' כוסות דאלמא אומרין עליו קידוש היום ואומר עליו בורא פרי הגפן וכן כתב הריב"ש בתשובה (סי' י):</w:t>
      </w:r>
    </w:p>
    <w:p w14:paraId="5674189F" w14:textId="77777777" w:rsidR="004B2E7C" w:rsidRPr="00A271F1" w:rsidRDefault="004B2E7C" w:rsidP="00434A6A">
      <w:pPr>
        <w:rPr>
          <w:rtl/>
        </w:rPr>
      </w:pPr>
      <w:r>
        <w:rPr>
          <w:rFonts w:cs="Arial"/>
          <w:rtl/>
        </w:rPr>
        <w:t>ולענין מה שהביא רבינו דברי הרמב"ם ביין שנתערב בו דבש. הרב המגיד בפרק כ"ט (שם) נתן טעם לדברי המתירים ולדברי האוסרים וכתב שהאחרונים הסכימו לדברי המתיר[ים] ומבואר בירושלמי (שם) שיוצאין בקונדיטון ויש בו דבש ופלפלין וכן כתב הרשב"א בתשובה (שם) וכן דעת הרמב"ן והריטב"א בפרק המוכר פירות (שם) והריב"ש בתשובה (שם) וכן דעת ההשגות (הראב"ד שם) וכן דעת הר"ן בפרק ערבי פסחים (שם) וכן הסכים בספר מצות קטן (שם) וכתב רבינו ירוחם בח"א (סה ע"ג) שאפילו יהיה בו כל כך דבש ופלפלין עד שמשתנה מקדשין עליו:</w:t>
      </w:r>
    </w:p>
    <w:p w14:paraId="3EE15F88"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71AC117" w14:textId="77777777" w:rsidR="004B2E7C" w:rsidRDefault="004B2E7C" w:rsidP="00434A6A">
      <w:pPr>
        <w:rPr>
          <w:rFonts w:asciiTheme="minorBidi" w:hAnsiTheme="minorBidi" w:cs="Arial"/>
          <w:rtl/>
        </w:rPr>
      </w:pPr>
      <w:r w:rsidRPr="00CC2350">
        <w:rPr>
          <w:rFonts w:asciiTheme="minorBidi" w:hAnsiTheme="minorBidi" w:cs="Arial"/>
          <w:rtl/>
        </w:rPr>
        <w:t xml:space="preserve">מקדשין על יין מבושל ועל יין שיש בו דבש, וי"א שאין מקדשין עליהם. </w:t>
      </w:r>
      <w:r w:rsidRPr="00A271F1">
        <w:rPr>
          <w:rFonts w:asciiTheme="minorBidi" w:hAnsiTheme="minorBidi" w:cs="Arial"/>
          <w:sz w:val="18"/>
          <w:szCs w:val="18"/>
          <w:rtl/>
        </w:rPr>
        <w:t>הגה: והמנהג לקדש עליו אפילו יש לו יין אחר רק שאינו טוב כמו המבושל או שיש בו דבש (אגור).</w:t>
      </w:r>
    </w:p>
    <w:p w14:paraId="086E83A6" w14:textId="77777777" w:rsidR="004B2E7C" w:rsidRPr="00CC2350" w:rsidRDefault="004B2E7C" w:rsidP="00434A6A">
      <w:pPr>
        <w:rPr>
          <w:rFonts w:asciiTheme="minorBidi" w:hAnsiTheme="minorBidi"/>
          <w:rtl/>
        </w:rPr>
      </w:pPr>
      <w:r w:rsidRPr="00CC2350">
        <w:rPr>
          <w:rFonts w:asciiTheme="minorBidi" w:hAnsiTheme="minorBidi" w:cs="Arial"/>
          <w:rtl/>
        </w:rPr>
        <w:t xml:space="preserve"> </w:t>
      </w:r>
    </w:p>
    <w:p w14:paraId="12BD2730" w14:textId="77777777" w:rsidR="004B2E7C" w:rsidRDefault="004B2E7C" w:rsidP="00434A6A">
      <w:pPr>
        <w:pStyle w:val="2"/>
        <w:rPr>
          <w:rtl/>
        </w:rPr>
      </w:pPr>
      <w:r w:rsidRPr="00CC2350">
        <w:rPr>
          <w:rtl/>
        </w:rPr>
        <w:t>סעיף ט</w:t>
      </w:r>
      <w:r>
        <w:rPr>
          <w:rFonts w:hint="cs"/>
          <w:rtl/>
        </w:rPr>
        <w:t>:</w:t>
      </w:r>
    </w:p>
    <w:p w14:paraId="7D951288" w14:textId="77777777" w:rsidR="004B2E7C" w:rsidRDefault="004B2E7C" w:rsidP="00434A6A">
      <w:pPr>
        <w:rPr>
          <w:rtl/>
        </w:rPr>
      </w:pPr>
      <w:r>
        <w:rPr>
          <w:rFonts w:cs="Arial"/>
          <w:rtl/>
        </w:rPr>
        <w:t>[ט] במקום שאין יין מצוי מקדשין על השכר וכו'. בפרק ערבי פסחים (קז.) אמרינן דרבין אבדיל אשיכרא היכא דהוי חמר מדינה ואמרינן בתר הכי בעא מיניה רב הונא מרב חסדא מהו לקדושי אשיכרא ופשט דאין מקדשין ואין מבדילין עליו, וכתב הרא"ש (סי' יז) שאפילו אם נפרש בעיא דרב הונא בחמר מדינה אפשר דכי היכי דלא קיימא לן כוותיה במאי דאמר אין מבדילין עליו הכי נמי לא קיימא לן כוותיה במאי דאמר אין מקדשין עליו וכל שכן אם נפרש הבעיא בשאינו חמר מדינה אבל כשהוא חמר מדינה מקדשין נמי עליו ונראה שדעת ר"י נוטה שמקדשין על השכר היכא דהוי חמר מדינה וכן כתב ראב"ן (פסחים קסד ע"ד) וכן הסכימו רוב הגאונים עכ"ל: ומשמע בגמרא (שם) דשכר שמבדילין עליו לאו דוקא של תמרים אלא הוא הדין למשקה שאר הפירות וזהו שכתב רבינו מקדשין על השכר ושאר משקין, ומיהו על המים כתב שם רשב"ם (ד"ה חמר מדינה) דאין מבדילין אפילו היכא דליכא יין ושכר וכתבו הרא"ש שם וכן כתב רבינו ירוחם בחלק (ב') [כ' קג.] והגהות (מיימוניות) בפרק כ"ט (הי"ז אות ד): וכתוב עוד בהגהות פרק כ"ט (שם) בשם ראבי"ה (סי' תקטז) חמר מדינה פירוש כגון הגמוניא אחת אבל אם נמצא יין באותה הגמוניא אלא שהוא ביוקר אין לו לקדש אריפתא ולא להבדיל אשיכרא. וכתב המרדכי שם (לז ע"ג) שאם לקו הכרמים ואין יין מצוי אף על פי שבשאר שנים מצוי רוב יין, לשנה זו מיהא הוי השכר חמר מדינה. ונראה דכל היכא שאין יין ישראל מצוי אף על פי שנמצא שם יין גוים הרבה שפיר הוי שכר חמר מדינה וכן כתוב בתשובות הגהות מיימוניות שבסוף ספר הפלאה. אבל דעת הרמב"ם בפרק כ"ט (הי"ז) שאין מקדשין על השכר כלל, וכתב הרב המגיד שכן כתב הר"י ן' גיאת (הל' קידוש ע' ה) ושכן עיקר וכן כתבו הגהות (מיימונית הי"ז אות ג) בשם רשב"ם והגאונים והלכות גדולות והאלפסי וראבי"ה (שם) והר"ם וכן כתב המרדכי (שם) בשם רבינו פרץ (סמ"ק סי' רפא ע' רעט אות ד) דטוב יותר לקדש על הפת ולא על השכר אפילו אם הוא חמר מדינה ובסמוך כתב רבינו בשם הרא"ש דהיינו בסעודת הלילה דוקא:</w:t>
      </w:r>
    </w:p>
    <w:p w14:paraId="5AF4F127" w14:textId="77777777" w:rsidR="004B2E7C" w:rsidRDefault="004B2E7C" w:rsidP="00434A6A">
      <w:pPr>
        <w:rPr>
          <w:rtl/>
        </w:rPr>
      </w:pPr>
      <w:r>
        <w:rPr>
          <w:rFonts w:cs="Arial"/>
          <w:rtl/>
        </w:rPr>
        <w:t>ומ"ש רבינו ומדברי הרמב"ם יראה. הוא משום דאפשר דאינו מחלק בין קידוש להבדלה אלא במדינה שרוב יינה שכר ומכל מקום יש בה יין אבל אם אינו מצוי בה יין כלל מקדשין על השכר אלא שלפי שלא מצינו שחילקו בגמרא בכך נראה יותר דאפילו אין מצוי בה יין כלל קאמר דאין מקדשין על השכר:</w:t>
      </w:r>
    </w:p>
    <w:p w14:paraId="01D447DA" w14:textId="77777777" w:rsidR="004B2E7C" w:rsidRDefault="004B2E7C" w:rsidP="00434A6A">
      <w:pPr>
        <w:rPr>
          <w:rtl/>
        </w:rPr>
      </w:pPr>
      <w:r>
        <w:rPr>
          <w:rFonts w:cs="Arial"/>
          <w:rtl/>
        </w:rPr>
        <w:t>ועל הפת כתב רבינו תם שאין מקדשין עליו וכו'. דברי רבינו תם הם כתובים בתוספות פרק ערבי פסחים (קו: ד"ה מקדש) אההיא דזמנין חביבא ליה ריפתא מקדש אריפתא ופירש דהכי קאמר הוה מקדש אחמרא על דעת לאכול מיד ריפתא והיה נוטל מיד ידיו קודם קידוש, ורשב"ם כתב שם (ד"ה חביבא ליה ריפתא) דמקדשין על הפת וכן כתב שם רש"י אמתניתין (קיד.) דמזגו לו כוס ראשון וכו' וכן כתב הרמב"ם בפרק כ"ט (ה"ט) וכן כתבו שם הגהות (מיימוניות אות נ וס) בשם כמה גדולים וכן כתב הרא"ש בפרק ערבי פסחים (סי' יז) ונהגו העם לקדש בפת וכן הסכימו כל הגאונים עכ"ל. ומשמע שאע"פ שמצוה מדברי סופרים לקדש על היין כמו שכתב הרמב"ם בפרק כ"ט (ה"ו), אי חביבא ליה ריפתא מקדש אריפתא, וכן כתב שם הרמב"ם (ה"ט) בהדיא שאם היה מתאוה לפת יותר מן היין מקדש על הפת אף על פי שיש לו יין, ולפי זה מי שאינו שותה יין אינו צריך לחזר אחר יין לקידוש דהא ודאי חביבא ליה ריפתא, אבל בהגהות כתוב שם דהא דמקדשין על הפת בשאין לו יין דוקא היא וכן ראיתי נוהגין דאפילו מי שאינו שותה יין מחזר אחר יין לקידוש</w:t>
      </w:r>
      <w:r>
        <w:rPr>
          <w:rStyle w:val="a9"/>
          <w:rFonts w:cs="Arial"/>
          <w:rtl/>
        </w:rPr>
        <w:footnoteReference w:id="963"/>
      </w:r>
      <w:r>
        <w:rPr>
          <w:rFonts w:cs="Arial"/>
          <w:rtl/>
        </w:rPr>
        <w:t>. ואההיא דזימנין חביבא ליה ריפתא מקדש אריפתא איכא למידק דמשמע שאע"פ שיש לו יין היא כדברי הרמב"ם דאי בשאין לו יין אפילו לא חביבא ליה ריפתא נמי אי אפשר לו לקדש אלא על הפת, ואם כן סתם בני אדם שמתאוים יותר למאכל מלמשתה היה להם לקדש על הפת ולא על היין דמצוה להקדים החביב, ושמא יש לומר שאע"פ שאם רצה להקדים החביב ולקדש על הפת הרשות בידו מכל מקום כשאינו מקדים החביב ומקדש על היין כיון דמצוה מדברי סופרים לקדש על היין שפיר דמי:</w:t>
      </w:r>
    </w:p>
    <w:p w14:paraId="47D53223" w14:textId="77777777" w:rsidR="004B2E7C" w:rsidRPr="00A271F1" w:rsidRDefault="004B2E7C" w:rsidP="00434A6A">
      <w:pPr>
        <w:rPr>
          <w:rtl/>
        </w:rPr>
      </w:pPr>
      <w:r>
        <w:rPr>
          <w:rFonts w:cs="Arial"/>
          <w:rtl/>
        </w:rPr>
        <w:t>וכתב א"א שמקדשין על השכר וכו' עד אין כאן שום שינוי. בפרק ערבי פסחים (שם): אם חל יום טוב במוצאי שבת על איזה יותר טוב לומר יקנה"ז על השכר או על הפת יתבאר בסימן רצ"ו:</w:t>
      </w:r>
    </w:p>
    <w:p w14:paraId="58F14E8B"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3C5F1592" w14:textId="77777777" w:rsidR="004B2E7C" w:rsidRDefault="004B2E7C" w:rsidP="00434A6A">
      <w:pPr>
        <w:rPr>
          <w:rFonts w:asciiTheme="minorBidi" w:hAnsiTheme="minorBidi"/>
          <w:rtl/>
        </w:rPr>
      </w:pPr>
      <w:r w:rsidRPr="00CC2350">
        <w:rPr>
          <w:rFonts w:asciiTheme="minorBidi" w:hAnsiTheme="minorBidi" w:cs="Arial"/>
          <w:rtl/>
        </w:rPr>
        <w:t xml:space="preserve">במקום שאין יין מצוי, י"א שמקדשים על שכר ושאר משקין, חוץ מן המים. וי"א שאין מקדשין. ולהרא"ש, בלילה לא יקדש על השכר אלא על הפת, ובבקר יותר טוב לקדש על השכר, שיברך עליו שהכל קודם ברכת המוציא, שאם יברך על הפת תחלה אין כאן שום שינוי, ודברי טעם הם. </w:t>
      </w:r>
      <w:r w:rsidRPr="00A271F1">
        <w:rPr>
          <w:rFonts w:asciiTheme="minorBidi" w:hAnsiTheme="minorBidi" w:cs="Arial"/>
          <w:sz w:val="18"/>
          <w:szCs w:val="18"/>
          <w:rtl/>
        </w:rPr>
        <w:t xml:space="preserve">הגה: וכן המנהג פשוט כדברי הרא"ש. ואם יין בעיר, לא יקדש על הפת. ומי שאינו שותה יין משום נדר, יכול לקדש עליו וישתו אחרים המסובין עמו; ואם אין אחרים עמו יקדש על הפת ולא על היין, או ישמע קידוש מאחרים. (הגהות מיימוני פרק כ"ט דמחזר אחר יין ותשובת מיימוני סוף הפלאה סי' ד' דיקדש על הפת לכן צ"ל החילוק אם אוכל לבדו ואם אוכל עם אחרים). </w:t>
      </w:r>
    </w:p>
    <w:p w14:paraId="26CB4B2C" w14:textId="77777777" w:rsidR="004B2E7C" w:rsidRPr="00CC2350" w:rsidRDefault="004B2E7C" w:rsidP="00434A6A">
      <w:pPr>
        <w:rPr>
          <w:rFonts w:asciiTheme="minorBidi" w:hAnsiTheme="minorBidi"/>
          <w:rtl/>
        </w:rPr>
      </w:pPr>
    </w:p>
    <w:p w14:paraId="600F9540" w14:textId="77777777" w:rsidR="004B2E7C" w:rsidRDefault="004B2E7C" w:rsidP="00434A6A">
      <w:pPr>
        <w:pStyle w:val="2"/>
        <w:rPr>
          <w:rtl/>
        </w:rPr>
      </w:pPr>
      <w:r w:rsidRPr="00CC2350">
        <w:rPr>
          <w:rtl/>
        </w:rPr>
        <w:t>סעיף י</w:t>
      </w:r>
      <w:r>
        <w:rPr>
          <w:rFonts w:hint="cs"/>
          <w:rtl/>
        </w:rPr>
        <w:t>:</w:t>
      </w:r>
    </w:p>
    <w:p w14:paraId="50DD8FEA" w14:textId="77777777" w:rsidR="004B2E7C" w:rsidRDefault="004B2E7C" w:rsidP="00434A6A">
      <w:pPr>
        <w:rPr>
          <w:rtl/>
        </w:rPr>
      </w:pPr>
      <w:r>
        <w:rPr>
          <w:rFonts w:cs="Arial"/>
          <w:rtl/>
        </w:rPr>
        <w:t>[י] כתב רב עמרם כוס של קידוש כל זמן שלא בירך ברכת המזון וכו' ואיני מבין דבריו וכו'. השגתו על דברי רב עמרם מבוארת ולכן דחה דבריו והעלה אלא לעולם כוס של קידוש צרכי סעודה הוא וכו', ואם כן בין יש לו כוס לברכת המזון בין אין לו אינו צריך לברך על יין הקידוש דברכת המזון פוטרתו. ואחר כך כתב ומיהו יש לומר כשיש לו כוס לברכת המזון וכו', כלומר יש ליישב דברי רב עמרם דיש חילוק בין יש לו כוס לברכת המזון לאין לו, וזה בין לדידן דסבירא לן דכוס של ברכת המזון טעון אחריו ברכה אחת מעין ג' בין לרב עמרם דאין טעון ברכה לאחריו דברכת המזון פוטרתו כאילו שתה תחלה, דכיון דמחמת הסעודה הוא, חשיב כיין שבתוך הסעודה, ולדברי הכל נאמר דכוס של קידוש לא חשיב מצרכי סעודה ומפני כך אין ברכת המזון פוטרתו דאין ברכת שלש פוטרת מעין שלש, דהשתא בשיש לו כוס לברכת המזון, לדידן ברכה אחת מעין ג' שמברך אחר כוס של ברכת המזון פוטרת גם של קידוש, ולדעת רב עמרם שברכת המזון פוטרת כוס של ברכת המזון מברכה אחרונה מתוך שברכת המזון פוטרתו פוטרת נמי לכוס של קידוש, אבל אם אין לו כוס לברכת המזון בין לדידן בין לרב עמרם צריך לברך אחר כוס של קידוש ברכה אחת מעין ג', לדידן דהא לעולם אין ברכת ג' פוטרת מעין ג', לרב עמרם דאע"ג דבשיש לו כוס לברכת המזון ברכת ג' פוטרת גם כוס של קידוש היינו מטעם אגב כמו שנתבאר אבל היכא דלית ליה כוס לברכת המזון דליכא אגב אין ברכת ג' פוטרת מעין ג' הילכך צריך לברך אחריו ברכה אחת מעין ג'. ולפי זה יהיה פירוש לשון רב עמרם כוס של קידוש כל זמן שלא בירך ברכת המזון כתקנה חייב לברך ברכה אחרונה כלומר מעין ג', הא אם בירך ברכת המזון כתקנה אינו צריך לברך אחר כוס של קידוש, והדר מפרש דברכת המזון שלא כתקנה הוא כשאינה על הכוס וזהו שכתב והני מילי שאין לו כוס לברכת המזון אבל אם יש לו כוס לברכת המזון דהיינו כתקנה לא בעי לברוכי אחר כוס של קידוש שנפטר בברכת המזון:</w:t>
      </w:r>
    </w:p>
    <w:p w14:paraId="5EE6F1C7" w14:textId="77777777" w:rsidR="004B2E7C" w:rsidRPr="00A271F1" w:rsidRDefault="004B2E7C" w:rsidP="00434A6A">
      <w:pPr>
        <w:rPr>
          <w:rtl/>
        </w:rPr>
      </w:pPr>
      <w:r>
        <w:rPr>
          <w:rFonts w:cs="Arial"/>
          <w:rtl/>
        </w:rPr>
        <w:t>וא"א ז"ל כתב כסברא הראשונה. הוא מה שכתב (הטור) אלא לעולם כוס של הקידוש צרכי סעודה הוא ונפטר בברכת המזון הוא, וכן העלה (הרא"ש) בריש פרק ערבי פסחים (סו"ס ד) וז"ל הלכך נראה דיין קידוש והבדלה שעל שולחנו או בשאר פעמים כשמברך על היין לפני המזון באקראי בעלמא ואפילו בחול ודעתו לשתות יין בתוך הסעודה אין צריך לברך על היין שבתוך הסעודה וגם אין צריך ברכה אחרונה על מה ששתה עכ"ל: ולענין יין קידוש שפוטר יין שבתוך המזון כן דעת התוספות בפרק כיצד מברכין (ברכות מב: ד"ה ורב ששת) ובפרק ערבי פסחים (ק: ד"ה ידי יין) ומשמע דהוא הדין למה שכתב הרא"ש עוד או בשאר פעמים כשמברך על היין לפני המזון באקראי בעלמא וכו':</w:t>
      </w:r>
    </w:p>
    <w:p w14:paraId="5CD63D1A"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1F2F82C" w14:textId="77777777" w:rsidR="004B2E7C" w:rsidRDefault="004B2E7C" w:rsidP="00434A6A">
      <w:pPr>
        <w:rPr>
          <w:rFonts w:asciiTheme="minorBidi" w:hAnsiTheme="minorBidi"/>
          <w:rtl/>
        </w:rPr>
      </w:pPr>
      <w:r w:rsidRPr="00CC2350">
        <w:rPr>
          <w:rFonts w:asciiTheme="minorBidi" w:hAnsiTheme="minorBidi" w:cs="Arial"/>
          <w:rtl/>
        </w:rPr>
        <w:t>ברכת יין של קידוש פוטרת יין שבתוך הסעודה, ואינו טעון ברכה לאחריו דבה"מ פוטרתו בין שהוא על הכוס בין שאינו על הכוס (וע"ל סי' קע"ד סעיף ו').</w:t>
      </w:r>
    </w:p>
    <w:p w14:paraId="01276EC7" w14:textId="77777777" w:rsidR="004B2E7C" w:rsidRDefault="004B2E7C" w:rsidP="00434A6A">
      <w:pPr>
        <w:rPr>
          <w:rFonts w:asciiTheme="minorBidi" w:hAnsiTheme="minorBidi"/>
          <w:rtl/>
        </w:rPr>
      </w:pPr>
    </w:p>
    <w:p w14:paraId="60D18402" w14:textId="77777777" w:rsidR="004B2E7C" w:rsidRDefault="004B2E7C" w:rsidP="00434A6A">
      <w:pPr>
        <w:rPr>
          <w:rFonts w:asciiTheme="minorBidi" w:hAnsiTheme="minorBidi"/>
          <w:rtl/>
        </w:rPr>
      </w:pPr>
    </w:p>
    <w:p w14:paraId="60C23803" w14:textId="77777777" w:rsidR="004B2E7C" w:rsidRDefault="004B2E7C" w:rsidP="00434A6A">
      <w:pPr>
        <w:pStyle w:val="1"/>
        <w:rPr>
          <w:rtl/>
        </w:rPr>
        <w:sectPr w:rsidR="004B2E7C" w:rsidSect="00BD29B1">
          <w:headerReference w:type="default" r:id="rId43"/>
          <w:footnotePr>
            <w:numRestart w:val="eachSect"/>
          </w:footnotePr>
          <w:pgSz w:w="11906" w:h="16838"/>
          <w:pgMar w:top="720" w:right="1134" w:bottom="720" w:left="1134" w:header="0" w:footer="0" w:gutter="0"/>
          <w:cols w:space="720"/>
          <w:bidi/>
          <w:rtlGutter/>
          <w:docGrid w:linePitch="360"/>
        </w:sectPr>
      </w:pPr>
    </w:p>
    <w:p w14:paraId="15EBB6FD" w14:textId="77777777" w:rsidR="004B2E7C" w:rsidRPr="00CC2350" w:rsidRDefault="004B2E7C" w:rsidP="00434A6A">
      <w:pPr>
        <w:pStyle w:val="1"/>
        <w:rPr>
          <w:rtl/>
        </w:rPr>
      </w:pPr>
      <w:r>
        <w:rPr>
          <w:rFonts w:hint="cs"/>
          <w:rtl/>
        </w:rPr>
        <w:t xml:space="preserve">סימן רעג: </w:t>
      </w:r>
      <w:r w:rsidRPr="00CC2350">
        <w:rPr>
          <w:rtl/>
        </w:rPr>
        <w:t xml:space="preserve">שיהיה הקידוש במקום סעודה, ובו ז' סעיפים. </w:t>
      </w:r>
    </w:p>
    <w:p w14:paraId="0ED7D0F8" w14:textId="77777777" w:rsidR="004B2E7C" w:rsidRDefault="004B2E7C" w:rsidP="00434A6A">
      <w:pPr>
        <w:pStyle w:val="2"/>
        <w:rPr>
          <w:rtl/>
        </w:rPr>
      </w:pPr>
      <w:r w:rsidRPr="00CC2350">
        <w:rPr>
          <w:rtl/>
        </w:rPr>
        <w:t>סעיף א</w:t>
      </w:r>
      <w:r>
        <w:rPr>
          <w:rFonts w:hint="cs"/>
          <w:rtl/>
        </w:rPr>
        <w:t>:</w:t>
      </w:r>
    </w:p>
    <w:p w14:paraId="08787165" w14:textId="77777777" w:rsidR="004B2E7C" w:rsidRPr="00BD3493" w:rsidRDefault="004B2E7C" w:rsidP="00FF2D21">
      <w:pPr>
        <w:pStyle w:val="aa"/>
        <w:numPr>
          <w:ilvl w:val="0"/>
          <w:numId w:val="116"/>
        </w:numPr>
        <w:rPr>
          <w:rtl/>
        </w:rPr>
      </w:pPr>
      <w:r w:rsidRPr="00BD3493">
        <w:rPr>
          <w:rFonts w:cs="Arial" w:hint="cs"/>
          <w:rtl/>
        </w:rPr>
        <w:t xml:space="preserve">טור- </w:t>
      </w:r>
      <w:r w:rsidRPr="00BD3493">
        <w:rPr>
          <w:rFonts w:cs="Arial"/>
          <w:rtl/>
        </w:rPr>
        <w:t>אמר שמואל אין קידוש אלא במקום סעודה וקיימא לן כוותיה וכתב רבי' נסים דוקא שלא היה דעתו תחילה לאכול במקום אחר אבל אם קידש כאן על דעת לאכול במקום אחר ש"ד ומפרשין התוס' דבריו הא דמהני תנאה לקדש כאן על דעת לאכול במקום אחר דוקא כששני המקומות בבית אחד כגון מחדר לחדר או מאגרא לארעא אבל מבית לבית לא מהני תנאה ובחדר אחד מפינה לפינה לא שייך שינוי מקום שאפילו אם קידש לאכול בפינה זו ונמלך לאכול בפינה אחרת לא הוי שינוי מקום אפילו הוא גדול הרבה ורב שר שלום כתב כל זמן שרואה מקומו מותר אפילו מבית לחצר ואם לאו אסור יכול אדם לקדש לאחרים אף על פי שאינו אוכל עמהם דלדידהו הוי מקום סעודה דאע"ג דבברכת היין אינו יכול להוציא אחרים אם אינו נהנה עמהם כיון דהאי בפה"ג הוא חובה לקידוש היום כקידוש היום דמי ויכול להוציאם אף על פי שאינו נהנה וצריך ליזהר שלא יטעום עמהם שאסור לו לטעום עד שיקדש במקום סעודתו וראיתי כתוב על שם הגאונים מי שקידש לאנשי ביתו ובא אצל אנשים אחרים אינו מקדש להם ואני תמה אם כתבו הגאונים כן ובה"ג חילק אם בא אצל אחרים שאין יודעין לקדש מקדש להם אבל אם יודעין לקדש אינו מקדש להם כתבו הגאונים הא דאמרינן אין קידוש אלא במקום סעודה אין צריך שיגמור שם כל סעודתו אלא אפילו אכל דבר מועט או שתה כוס יין שחייב עליו ברכה יצא ידי קידוש וגומר סעודתו במקום אחר ודוקא שאכל לחם או שתה יין אבל אכל פירות לא ואם קידש בביתו ושמע שכינו ושלחן ערוך לפניו יוצא בו דלדידיה הוי מקום סעודה וכגון שנתכוון השומע לצא' ומשמיע להוציא ואין הקידוש תלוי בנר שאם ירצה לאכול בחושך יכול לקדש בלא נר וכ"כ גאון היה נרו דלוק בבית ומצטער לאכול שם מקדש בחוץ ואוכל שם אף על פי שאינו רואה הנר:</w:t>
      </w:r>
    </w:p>
    <w:p w14:paraId="0FA2E51E" w14:textId="77777777" w:rsidR="004B2E7C" w:rsidRDefault="004B2E7C" w:rsidP="00434A6A">
      <w:pPr>
        <w:rPr>
          <w:rtl/>
        </w:rPr>
      </w:pPr>
      <w:r>
        <w:rPr>
          <w:rFonts w:cs="Arial"/>
          <w:rtl/>
        </w:rPr>
        <w:t>[א] אמר שמואל אין קידוש אלא במקום סעודה. בריש פרק ערבי פסחים (קא.) וטעמא משום דכתיב (ישעיה נח יג) וקראת לשבת עונג במקום קריאה שם תהא עונג ואף על גב דרב ורבי יוחנן פליגי עליה פסקו הרי"ף (כ.) והרא"ש (סי' ה) והתוספות (ק: ד"ה ידי קידוש) כוותיה משום דכמה אמוראי סבירא להו כוותיה וכן פסק הרמב"ם בפרק כ"ט (ה"ח):</w:t>
      </w:r>
    </w:p>
    <w:p w14:paraId="773C76ED" w14:textId="77777777" w:rsidR="004B2E7C" w:rsidRDefault="004B2E7C" w:rsidP="00434A6A">
      <w:pPr>
        <w:rPr>
          <w:rtl/>
        </w:rPr>
      </w:pPr>
      <w:r>
        <w:rPr>
          <w:rFonts w:cs="Arial"/>
          <w:rtl/>
        </w:rPr>
        <w:t>וכתב הר' ניסים דוקא שלא היה דעתו תחלה וכו' ומפרשים התוספות דבריו הא דמהני תנאה וכו'. שם, וכן כתב גם כן הרא"ש (שם), וטעמא משום דבגמרא דידן משמע דאין תנאי מועיל לקדש בבית זה על דעת לאכול במקום אחר ובירושלמי (ברכות פ"ו ה"ו) קאמר דמועיל ולפיכך חילקו דגמרא דידן מיירי במבית לבית ומשום הכי לא מהני תנאה אבל בירושלמי מיירי כששני המקומות בבית אחד אבל הר"ן (כ. סוד"ה סבור) כתב דלא נהירא דכיון דלענין קידוש אף על פי ששני המקומות בבית אחד דינם כשני בתים אין לחלק ביניהם אלא ודאי דירושלמי פליגא ואנן כגמרא דידן נקטינן:</w:t>
      </w:r>
    </w:p>
    <w:p w14:paraId="65AB69CA" w14:textId="77777777" w:rsidR="004B2E7C" w:rsidRDefault="004B2E7C" w:rsidP="00434A6A">
      <w:pPr>
        <w:rPr>
          <w:rtl/>
        </w:rPr>
      </w:pPr>
      <w:r>
        <w:rPr>
          <w:rFonts w:cs="Arial"/>
          <w:rtl/>
        </w:rPr>
        <w:t>ובחדר אחד מפינה לפינה לא שייך שינוי מקום וכו'. שם אהא דאמר שמואל אין קידוש אלא במקום סעודה סבור מינה הני מילי מבית לבית אבל ממקום למקום בחד ביתא לא אמר ליה רב ענן זימנין סגיאין הוה קאימנא קמיה דשמואל ונחית מאגרא לארעא והדר מקדש וכתב הרא"ש (שם) ואפילו מאגרא לארעא הוה מקדש והוא הדין מחדר לחדר אבל מפינה לפינה בבית אחד אפילו טרקלין גדולים אינו צריך לברך והכי אמרינן בשמעתין דמפינה לפינה לא חשיב שינוי מקום וכן כתבו התוספות (קא. ד"ה אבל), וכך הם דברי הרמב"ם בפרק כ"ט (שם), והרי"ף (כ.) גורס אבל מפינה לפינה לא אמר ליה רב ענן זימנין סגיאין וכו' ואפילו מאגרא לארעא הוה מקדש ופירש הר"ן (שם) מפינה לפינה בחד ביתא לא, וכתב עוד ואפילו מאגרא לארעא הוה מקדש, ואף על גב דליכא למיפשט מהא מפינה לפינה אפילו הכי כיון דמבית לבית לאו דוקא אלמא אין הקביעות תלוי בבית אלא במקום סעודה ומעתה אפילו מפינה לפינה, והרב המגיד אף על פי שהיה גורס מפינה לפינה יישב הגירסא לשיטת הרמב"ם שפסק כדברי התוספות והרא"ש דאם קידש בזוית זו אוכל בזוית שנייה. ולענין הלכה כיון שהרמב"ם והרא"ש מסכימין בכך הכי נקטינן וכל שכן שהתוספות סוברים כן וגם כי דברי הרי"ף אפשר להתפרש כן וכמו שפירש הרב המגיד אותה גירסא כדעת הרמב"ם</w:t>
      </w:r>
      <w:r>
        <w:rPr>
          <w:rStyle w:val="a9"/>
          <w:rFonts w:cs="Arial"/>
          <w:rtl/>
        </w:rPr>
        <w:footnoteReference w:id="964"/>
      </w:r>
      <w:r>
        <w:rPr>
          <w:rFonts w:cs="Arial"/>
          <w:rtl/>
        </w:rPr>
        <w:t>:</w:t>
      </w:r>
    </w:p>
    <w:p w14:paraId="7C0668C9" w14:textId="77777777" w:rsidR="004B2E7C" w:rsidRPr="00A271F1" w:rsidRDefault="004B2E7C" w:rsidP="00434A6A">
      <w:pPr>
        <w:rPr>
          <w:rtl/>
        </w:rPr>
      </w:pPr>
      <w:r>
        <w:rPr>
          <w:rFonts w:cs="Arial"/>
          <w:rtl/>
        </w:rPr>
        <w:t>ודברי רב שר שלום שכתב רבינו להקל אפילו במבית לחצר אם רואה את מקומו. כן כתב הרב המגיד בפרק כ"ט (ה"ח) בשם הגאונים (ספר העתים סי' קמז, רי"ץ גיאות הל' קידוש ע' י) וגם הר"ן (שם) כתב מיהו איכא למאן דאמר דהני מילי היכא דלא חזי ליה דוכתא דקדיש ביה אבל חזי ליה דוכתא דקדיש ביה לא צריך ומדמו לשתי חבורות שהיו אוכלות בבית אחד דתנן בפרק ג' שאכלו (ברכות נ.) דמזמנין כאחת:</w:t>
      </w:r>
    </w:p>
    <w:p w14:paraId="1CEED145"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0DF0D6D" w14:textId="77777777" w:rsidR="004B2E7C" w:rsidRDefault="004B2E7C" w:rsidP="00434A6A">
      <w:pPr>
        <w:rPr>
          <w:rFonts w:asciiTheme="minorBidi" w:hAnsiTheme="minorBidi"/>
          <w:rtl/>
        </w:rPr>
      </w:pPr>
      <w:r w:rsidRPr="00CC2350">
        <w:rPr>
          <w:rFonts w:asciiTheme="minorBidi" w:hAnsiTheme="minorBidi" w:cs="Arial"/>
          <w:rtl/>
        </w:rPr>
        <w:t xml:space="preserve">אין קידוש אלא במקום סעודה, ובבית אחד מפנה לפנה חשוב מקום אחד, שאם קידש לאכול בפנה זו ונמלך לאכול בפנה אחרת, אפי' הוא טרקלין גדול, א"צ לחזור ולקדש. </w:t>
      </w:r>
      <w:r w:rsidRPr="00A271F1">
        <w:rPr>
          <w:rFonts w:asciiTheme="minorBidi" w:hAnsiTheme="minorBidi" w:cs="Arial"/>
          <w:rtl/>
        </w:rPr>
        <w:t>הגה: ומבית לסוכה חשוב כמפנה לפנה (מרדכי פ' ע"פ) וי"א שכל שרואה מקומו, אפילו מבית לחצר, א"צ לחזור ולקדש. וי"א שאם קידש במקום אחד על דעת לאכול במקום אחר, שפיר דמי (וע"ל ריש סי' קע"ח), והוא שיהיו שני המקומות בבית אחד, כגון מחדר לחדר או מאיגרא לארעא, (וכן עיקר).</w:t>
      </w:r>
      <w:r w:rsidRPr="00CC2350">
        <w:rPr>
          <w:rFonts w:asciiTheme="minorBidi" w:hAnsiTheme="minorBidi" w:cs="Arial"/>
          <w:rtl/>
        </w:rPr>
        <w:t xml:space="preserve"> </w:t>
      </w:r>
    </w:p>
    <w:p w14:paraId="5812BB67" w14:textId="77777777" w:rsidR="004B2E7C" w:rsidRPr="00CC2350" w:rsidRDefault="004B2E7C" w:rsidP="00434A6A">
      <w:pPr>
        <w:rPr>
          <w:rFonts w:asciiTheme="minorBidi" w:hAnsiTheme="minorBidi"/>
          <w:rtl/>
        </w:rPr>
      </w:pPr>
    </w:p>
    <w:p w14:paraId="61AC5015" w14:textId="77777777" w:rsidR="004B2E7C" w:rsidRDefault="004B2E7C" w:rsidP="00434A6A">
      <w:pPr>
        <w:pStyle w:val="2"/>
        <w:rPr>
          <w:rtl/>
        </w:rPr>
      </w:pPr>
      <w:r w:rsidRPr="00CC2350">
        <w:rPr>
          <w:rtl/>
        </w:rPr>
        <w:t>סעיף ב</w:t>
      </w:r>
      <w:r>
        <w:rPr>
          <w:rFonts w:hint="cs"/>
          <w:rtl/>
        </w:rPr>
        <w:t>:</w:t>
      </w:r>
    </w:p>
    <w:p w14:paraId="2A892486" w14:textId="77777777" w:rsidR="004B2E7C" w:rsidRPr="00BD3493" w:rsidRDefault="004B2E7C" w:rsidP="00434A6A">
      <w:pPr>
        <w:rPr>
          <w:rtl/>
        </w:rPr>
      </w:pPr>
      <w:r w:rsidRPr="00BD3493">
        <w:rPr>
          <w:rFonts w:cs="Arial"/>
          <w:rtl/>
        </w:rPr>
        <w:t>[ב] מי שקידש בבית אחד על דעת לאכול שם ואחר כך נמלך לאכול במקום אחר הוי קידוש שלא במקום סעודה וצריך לחזור ולקדש מדאמרינן בריש פרק ערבי פסחים (קא.) דרב הונא בתר דקדיש אתעקר ליה שרגא ועייליה למאניה לבי גננא דרבה בריה דהוה שרגא וקדיש וטעים מידי, וכן משמע ממה שכתב רבינו בתחלת סימן זה בשם רבינו ניסים דטפי עדיף לקדש על דעת לאכול במקום אחר מלקדש על דעת לאכול במקום זה ונמלך לאכול במקום אחר דבכי האי גונא אפילו לדידיה דמיקל לא יצא ידי קידוש וכל שכן לדברי החולק עליו ואומר דאפילו קידש כאן על דעת לאכול במקום אחר לא יצא, מיהו אם קידש כאן על דעת לאכול במקום אחר ואחר כך נמלך לאכול שם נראה דאינו צריך לחזור ולקדש דכיון שאוכל במקום שקידש שפיר הוי קידוש במקום סעודה ולא חיישינן למה שהיה בדעתו:</w:t>
      </w:r>
    </w:p>
    <w:p w14:paraId="6A4AFBEC"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9AF855E" w14:textId="77777777" w:rsidR="004B2E7C" w:rsidRPr="00CC2350" w:rsidRDefault="004B2E7C" w:rsidP="00434A6A">
      <w:pPr>
        <w:rPr>
          <w:rFonts w:asciiTheme="minorBidi" w:hAnsiTheme="minorBidi"/>
          <w:rtl/>
        </w:rPr>
      </w:pPr>
      <w:r w:rsidRPr="00CC2350">
        <w:rPr>
          <w:rFonts w:asciiTheme="minorBidi" w:hAnsiTheme="minorBidi" w:cs="Arial"/>
          <w:rtl/>
        </w:rPr>
        <w:t xml:space="preserve">אם קידש בבית אחד ע"מ לאכול שם, ואח"כ נמלך לאכול במקום אחר, צריך לחזור ולקדש במקום שרוצה לאכול שם. </w:t>
      </w:r>
    </w:p>
    <w:p w14:paraId="3D9C51EC" w14:textId="77777777" w:rsidR="004B2E7C" w:rsidRDefault="004B2E7C" w:rsidP="00434A6A">
      <w:pPr>
        <w:pStyle w:val="2"/>
        <w:rPr>
          <w:rtl/>
        </w:rPr>
      </w:pPr>
      <w:r w:rsidRPr="00CC2350">
        <w:rPr>
          <w:rtl/>
        </w:rPr>
        <w:t>סעיף ג</w:t>
      </w:r>
      <w:r>
        <w:rPr>
          <w:rFonts w:hint="cs"/>
          <w:rtl/>
        </w:rPr>
        <w:t>:</w:t>
      </w:r>
    </w:p>
    <w:p w14:paraId="30FF9E5B" w14:textId="77777777" w:rsidR="004B2E7C" w:rsidRPr="00BD3493" w:rsidRDefault="004B2E7C" w:rsidP="00434A6A">
      <w:pPr>
        <w:rPr>
          <w:rtl/>
        </w:rPr>
      </w:pPr>
      <w:r w:rsidRPr="00BD3493">
        <w:rPr>
          <w:rFonts w:cs="Arial"/>
          <w:rtl/>
        </w:rPr>
        <w:t>[ג] ממה שכתבתי בסמוך (לעיל ד"ה כתבו) דאמר אביי כי הוינא בי מר וכו', משמע בהדיא דהא דאמרינן אין קידוש אלא במקום סעודה לא מיבעיא כשסועד במקום אחר אלא כי אפילו אינו סועד כלל נמי וקידש לא יצא ידי קידוש:</w:t>
      </w:r>
    </w:p>
    <w:p w14:paraId="596AD7CF" w14:textId="77777777" w:rsidR="004B2E7C" w:rsidRPr="00BD3493" w:rsidRDefault="004B2E7C" w:rsidP="00434A6A">
      <w:pPr>
        <w:rPr>
          <w:rtl/>
        </w:rPr>
      </w:pPr>
    </w:p>
    <w:p w14:paraId="72E5F65D"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B2949A3" w14:textId="77777777" w:rsidR="004B2E7C" w:rsidRDefault="004B2E7C" w:rsidP="00434A6A">
      <w:pPr>
        <w:rPr>
          <w:rFonts w:asciiTheme="minorBidi" w:hAnsiTheme="minorBidi"/>
          <w:rtl/>
        </w:rPr>
      </w:pPr>
      <w:r w:rsidRPr="00CC2350">
        <w:rPr>
          <w:rFonts w:asciiTheme="minorBidi" w:hAnsiTheme="minorBidi" w:cs="Arial"/>
          <w:rtl/>
        </w:rPr>
        <w:t xml:space="preserve">אם קידש ולא סעד, אף ידי קידוש לא יצא. </w:t>
      </w:r>
      <w:r w:rsidRPr="00BD3493">
        <w:rPr>
          <w:rFonts w:asciiTheme="minorBidi" w:hAnsiTheme="minorBidi" w:cs="Arial"/>
          <w:sz w:val="18"/>
          <w:szCs w:val="18"/>
          <w:rtl/>
        </w:rPr>
        <w:t>הגה: וצריך לאכול במקום קידוש לאלתר, או שיהא בדעתו לאכול שם מיד, אבל בלאו הכי אפילו אכל במקום קידוש אינו יוצא (מהר"י מולין), ואם היה בדעתו שלא לאכול שם מיד, ונמלך ואכל, יצא (ב"י סוף הסי').</w:t>
      </w:r>
      <w:r w:rsidRPr="00CC2350">
        <w:rPr>
          <w:rFonts w:asciiTheme="minorBidi" w:hAnsiTheme="minorBidi" w:cs="Arial"/>
          <w:rtl/>
        </w:rPr>
        <w:t xml:space="preserve"> </w:t>
      </w:r>
    </w:p>
    <w:p w14:paraId="79FAFC28" w14:textId="77777777" w:rsidR="004B2E7C" w:rsidRPr="00CC2350" w:rsidRDefault="004B2E7C" w:rsidP="00434A6A">
      <w:pPr>
        <w:rPr>
          <w:rFonts w:asciiTheme="minorBidi" w:hAnsiTheme="minorBidi"/>
          <w:rtl/>
        </w:rPr>
      </w:pPr>
    </w:p>
    <w:p w14:paraId="2CA873CF" w14:textId="77777777" w:rsidR="004B2E7C" w:rsidRDefault="004B2E7C" w:rsidP="00434A6A">
      <w:pPr>
        <w:pStyle w:val="2"/>
        <w:rPr>
          <w:rtl/>
        </w:rPr>
      </w:pPr>
      <w:r w:rsidRPr="00CC2350">
        <w:rPr>
          <w:rtl/>
        </w:rPr>
        <w:t>סעיף ד</w:t>
      </w:r>
      <w:r>
        <w:rPr>
          <w:rFonts w:hint="cs"/>
          <w:rtl/>
        </w:rPr>
        <w:t>:</w:t>
      </w:r>
    </w:p>
    <w:p w14:paraId="556F879E" w14:textId="77777777" w:rsidR="004B2E7C" w:rsidRDefault="004B2E7C" w:rsidP="00434A6A">
      <w:pPr>
        <w:rPr>
          <w:rtl/>
        </w:rPr>
      </w:pPr>
      <w:r>
        <w:rPr>
          <w:rFonts w:cs="Arial"/>
          <w:rtl/>
        </w:rPr>
        <w:t>[ד (א)] יכול אדם לקדש לאחרים וכו'. כן כתב הרא"ש בריש פרק ערבי פסחים (סי' ה) וכתב דהכי משמע מדאמרינן התם דמקדשין בבית הכנסת להוציא אורחין ידי חובתם ומסתמא אחד מבני העיר מקדש להם:</w:t>
      </w:r>
    </w:p>
    <w:p w14:paraId="32B293D0" w14:textId="77777777" w:rsidR="004B2E7C" w:rsidRDefault="004B2E7C" w:rsidP="00434A6A">
      <w:pPr>
        <w:rPr>
          <w:rtl/>
        </w:rPr>
      </w:pPr>
      <w:r>
        <w:rPr>
          <w:rFonts w:cs="Arial"/>
          <w:rtl/>
        </w:rPr>
        <w:t>ומ"ש דאע"ג דבברכת היין אינו יכול להוציא אחרים וכו' עד אף על פי שאינו נהנה. פשוט סוף פרק ראוהו בית דין (ר"ה כט:), ומיהו כתב המרדכי בפרק ערבי פסחים (לה.) דקידוש דשחרית אינו יכול להוציא אחרים אם הוא מתענה כיון שאינו מברך אלא ברכת הנהנין לבד, אבל רבינו ירוחם כתב בח"א (סו.) שאע"פ שאינו מברך אלא ברכת הנהנין כיון דמשום דמצוה לקדש הוא מברך מוציא את אחרים וכיוצא בזה כתב רבינו בסימן תפ"ד שנחלקו הפוסקים לענין אם יכול להוציא אחרים מברכת בורא פרי האדמה דטיבול ראשון אף על פי שאינו טועם עמהם ודעת הרא"ש (פרק ע"פ סי' לו) שיכול להוציא וכן נראה מדברי הרי"ף (שם כז:) והכי נקטינן</w:t>
      </w:r>
      <w:r>
        <w:rPr>
          <w:rStyle w:val="a9"/>
          <w:rFonts w:cs="Arial"/>
          <w:rtl/>
        </w:rPr>
        <w:footnoteReference w:id="965"/>
      </w:r>
      <w:r>
        <w:rPr>
          <w:rFonts w:cs="Arial"/>
          <w:rtl/>
        </w:rPr>
        <w:t>:</w:t>
      </w:r>
    </w:p>
    <w:p w14:paraId="07DD5D1F" w14:textId="77777777" w:rsidR="004B2E7C" w:rsidRDefault="004B2E7C" w:rsidP="00434A6A">
      <w:pPr>
        <w:rPr>
          <w:rtl/>
        </w:rPr>
      </w:pPr>
      <w:r>
        <w:rPr>
          <w:rFonts w:cs="Arial"/>
          <w:rtl/>
        </w:rPr>
        <w:t>ומ"ש וצריך ליזהר שלא יטעום עמהם וכו'. נתבאר בסימן רס"ט גבי המקדש בבית הכנסת אסור לו לטעום שכן כתב הרא"ש בפרק ערבי פסחים (סי' ה) וכן כתב רבינו ירוחם בח"א (שם) והגהות בפרק כ"ט (ה"ח אות מ), והמרדכי בפרק ערבי פסחים (שם) כתב שמור"ם אוסר והר"ש בשם השר מקוצי מתיר: ומה שכתוב בהגהות (מיימוניות) פרק כ"ט (דפוס קושטא ה"ח) וז"ל ואותם בני אדם שעושים קידוש לאלמנות בביתם וחוזרין לאכול בביתם, האלמנות יוצאות והם אינם יוצאים לכך נהגו לשתות בבית האלמנות עכ"ל צריך לומר דמיירי בשאין להם יין בביתם ולפי שמצוה מדברי סופרים לקדש על היין שותים כוס יין בבית האלמנות כי היכי דיהא שם מקום סעודה וכדברי הגאונים שכתב רבינו בסמוך שאם שתה כוס יין שחייב עליו ברכה יצא ידי קידוש וגומר סעודתו במקום אחר, ויותר נכון להגיה לכך נהגו שלא לשתות בבית האלמנות וכן הוא בסמ"ק (סי' רפא הגהות הר"פ): כתב המרדכי בפרק ב' דמגילה (סי' תשצח) שנשאל ה"ר טוביה איך סגי נהור פוטר בניו ובני ביתו מקידוש לרבי יהודה דאמר (ב"ק פז.) סומא פטור מן המצות והשיב לתת טעם לדבר דאפילו לרבי יהודה שפיר מוציא אחרים ידי חובתן:</w:t>
      </w:r>
    </w:p>
    <w:p w14:paraId="524A1779" w14:textId="77777777" w:rsidR="004B2E7C" w:rsidRPr="00BD3493" w:rsidRDefault="004B2E7C" w:rsidP="00434A6A">
      <w:pPr>
        <w:rPr>
          <w:rtl/>
        </w:rPr>
      </w:pPr>
      <w:r w:rsidRPr="00BD3493">
        <w:rPr>
          <w:rFonts w:cs="Arial"/>
          <w:rtl/>
        </w:rPr>
        <w:t>[ד (ב)] ובה"ג חילק אם בא אצל אחרים שאין יודעין לקדש וכו'. חילוק זה כתוב בכל בו (סי' לא, לד ע"ג) בשם הריא"ג וטעמו משום דהא דאמרינן (ר"ה כט.) כל הברכות אף על פי שיצא מוציא הני מילי להוציא את שאינו בקי אבל לא להוציא את הבקי:</w:t>
      </w:r>
    </w:p>
    <w:p w14:paraId="7F73530C"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0645E840" w14:textId="77777777" w:rsidR="004B2E7C" w:rsidRDefault="004B2E7C" w:rsidP="00434A6A">
      <w:pPr>
        <w:rPr>
          <w:rFonts w:asciiTheme="minorBidi" w:hAnsiTheme="minorBidi"/>
          <w:rtl/>
        </w:rPr>
      </w:pPr>
      <w:r w:rsidRPr="00CC2350">
        <w:rPr>
          <w:rFonts w:asciiTheme="minorBidi" w:hAnsiTheme="minorBidi" w:cs="Arial"/>
          <w:rtl/>
        </w:rPr>
        <w:t xml:space="preserve">יכול אדם לקדש לאחרים אף על פי שאינו אוכל עמהם, דלדידהו הוי מקום סעודה. ואף על גב דבברכת היין אינו יכול להוציא אחרים אם אינו נהנה עמהם, כיון דהאי בפה"ג הוא חובה לקידוש, כקידוש היום דמי ויכול להוציאם אף על פי שאינו נהנה. הגה: ואפילו בקידוש של יום בשחרית בשבת, מותר לעשות כן (רבינו ירוחם וב"י בשם הרי"ף והרא"ש והטור סי' תפ"ד). והוא שאינם יודעים. ואם עדיין לא קידש לעצמו, יזהר שלא יטעום עמהם, שאסור לו לטעום עד שיקדש במקום סעודתו. </w:t>
      </w:r>
    </w:p>
    <w:p w14:paraId="42EBA083" w14:textId="77777777" w:rsidR="004B2E7C" w:rsidRPr="00CC2350" w:rsidRDefault="004B2E7C" w:rsidP="00434A6A">
      <w:pPr>
        <w:rPr>
          <w:rFonts w:asciiTheme="minorBidi" w:hAnsiTheme="minorBidi"/>
          <w:rtl/>
        </w:rPr>
      </w:pPr>
    </w:p>
    <w:p w14:paraId="6479A372" w14:textId="77777777" w:rsidR="004B2E7C" w:rsidRDefault="004B2E7C" w:rsidP="00434A6A">
      <w:pPr>
        <w:pStyle w:val="2"/>
        <w:rPr>
          <w:rtl/>
        </w:rPr>
      </w:pPr>
      <w:r w:rsidRPr="00CC2350">
        <w:rPr>
          <w:rtl/>
        </w:rPr>
        <w:t>סעיף ה</w:t>
      </w:r>
    </w:p>
    <w:p w14:paraId="29802ECC" w14:textId="77777777" w:rsidR="004B2E7C" w:rsidRDefault="004B2E7C" w:rsidP="00434A6A">
      <w:pPr>
        <w:rPr>
          <w:rtl/>
        </w:rPr>
      </w:pPr>
      <w:r w:rsidRPr="00BD3493">
        <w:rPr>
          <w:rFonts w:cs="Arial"/>
          <w:rtl/>
        </w:rPr>
        <w:t>[ה (א)] כתוב בהגהות (מיימוניות) פרק כ"ט (ה"י אות פ) בשם הר"מ דכוס מילה שהוא בשבת יתננו לתינוק עכ"ל, ולפי דברי הגאונים שכתב רבינו בסמוך אם שותה שיעור שחייב עליו ברכה אין צריך ליתנו לתינוק דשפיר דמי שישתנו המוהל עצמו:</w:t>
      </w:r>
    </w:p>
    <w:p w14:paraId="35900E8B" w14:textId="77777777" w:rsidR="004B2E7C" w:rsidRPr="00BD3493" w:rsidRDefault="004B2E7C" w:rsidP="00434A6A">
      <w:pPr>
        <w:rPr>
          <w:rtl/>
        </w:rPr>
      </w:pPr>
      <w:r w:rsidRPr="00BD3493">
        <w:rPr>
          <w:rFonts w:cs="Arial"/>
          <w:rtl/>
        </w:rPr>
        <w:t>[ה (ב)] כתבו הגאונים הא דאמרינן אין קידוש אלא במקום סעודה וכו'. אין להוכיח שהתוספות והרא"ש חולקים על סברא זו מדכתבו בריש פרק ערבי פסחים (קא. תוס' ד"ה טעימו, רא"ש שם סי' ה) אמאי דאמרינן ואף רבה סבר אין קידוש אלא במקום סעודה דאמר אביי כי הוינא בי מר כי הוה מקדש לן אמר טעומו מידי דילמא אדאזליתו לבי אושפיזא מתעקרא לכו שרגא ולא מתקדיש לכו ולא מתאכיל לכו ובקידושא דהכא לא נפקיתו דאין קידוש אלא במקום סעודה, טעומו מידי, נראה דהיינו טעימת לחם דוקא, דאיכא למימר דלא כתבו כן משום דבשתיית כוס לא ליפקו ידי קידוש אלא משום דלא נפקי ידי סעודה אלא בפת וכדמשמע מסוף לשונם אבל אפשר דמודו לדברי גאונים הללו דלענין קידוש במקום סעודה שפיר מיקרי מקום סעודה במקום ששותה כוס יין שחייב עליו ברכה:</w:t>
      </w:r>
    </w:p>
    <w:p w14:paraId="728ABA71"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F1F79FC" w14:textId="77777777" w:rsidR="004B2E7C" w:rsidRDefault="004B2E7C" w:rsidP="00434A6A">
      <w:pPr>
        <w:rPr>
          <w:rFonts w:asciiTheme="minorBidi" w:hAnsiTheme="minorBidi"/>
          <w:rtl/>
        </w:rPr>
      </w:pPr>
      <w:r w:rsidRPr="00CC2350">
        <w:rPr>
          <w:rFonts w:asciiTheme="minorBidi" w:hAnsiTheme="minorBidi" w:cs="Arial"/>
          <w:rtl/>
        </w:rPr>
        <w:t xml:space="preserve">כתבו הגאונים הא דאין קידוש אלא במקום סעודה, אפי' אכל דבר מועט, או שתה כוס יין שחייב עליו ברכה, יצא ידי קידוש במקום סעודה וגומר סעודתו במקום אחר. ודוקא אכל לחם או שתה יין, אבל אכל פירות, לא. הגה: ולפי זה היה מותר למוהל ולסנדק לשתות מכוס של מילה בשבת בשחרית, אם שותין כשיעור (ב"י) אבל נהגו ליתן לתינוק (הגמי"י פרק כ"ט). </w:t>
      </w:r>
    </w:p>
    <w:p w14:paraId="059798FC" w14:textId="77777777" w:rsidR="004B2E7C" w:rsidRPr="00CC2350" w:rsidRDefault="004B2E7C" w:rsidP="00434A6A">
      <w:pPr>
        <w:rPr>
          <w:rFonts w:asciiTheme="minorBidi" w:hAnsiTheme="minorBidi"/>
          <w:rtl/>
        </w:rPr>
      </w:pPr>
    </w:p>
    <w:p w14:paraId="23D4A642" w14:textId="77777777" w:rsidR="004B2E7C" w:rsidRDefault="004B2E7C" w:rsidP="00434A6A">
      <w:pPr>
        <w:pStyle w:val="2"/>
        <w:rPr>
          <w:rtl/>
        </w:rPr>
      </w:pPr>
      <w:r w:rsidRPr="00CC2350">
        <w:rPr>
          <w:rtl/>
        </w:rPr>
        <w:t>סעיף ו</w:t>
      </w:r>
      <w:r>
        <w:rPr>
          <w:rFonts w:hint="cs"/>
          <w:rtl/>
        </w:rPr>
        <w:t>:</w:t>
      </w:r>
    </w:p>
    <w:p w14:paraId="2FFAF9FC" w14:textId="77777777" w:rsidR="004B2E7C" w:rsidRDefault="004B2E7C" w:rsidP="00434A6A">
      <w:pPr>
        <w:rPr>
          <w:rtl/>
        </w:rPr>
      </w:pPr>
      <w:r>
        <w:rPr>
          <w:rFonts w:cs="Arial"/>
          <w:rtl/>
        </w:rPr>
        <w:t>[ו] ואם קידש בביתו ושמע שכנו וכו'. כן כתב רבינו ירוחם בח"א (סו רע"א) וסמ"ק (סי' רפא) והגהות (מיימוניות) פרק כ"ט (דפוס קושטא ה"ח):</w:t>
      </w:r>
    </w:p>
    <w:p w14:paraId="4A550160" w14:textId="77777777" w:rsidR="004B2E7C" w:rsidRPr="00BD3493" w:rsidRDefault="004B2E7C" w:rsidP="00434A6A">
      <w:pPr>
        <w:rPr>
          <w:rtl/>
        </w:rPr>
      </w:pPr>
      <w:r>
        <w:rPr>
          <w:rFonts w:cs="Arial"/>
          <w:rtl/>
        </w:rPr>
        <w:t>ומ"ש וכגון שנתכוין השומע לצאת וכו'. הוא מדאמרינן בסוף פרק ראוהו ב"ד (ר"ה כח:) דאמר ליה ר' זירא לשמעיה איכוין ותקע לי וכו' אבל אם שמע משליח ציבור אמרינן התם דאין צריך להתכוין ביחוד להוציא את זה דשליח ציבור מכוליה עלמא מכוין, מיהו בזמן הזה ששליח ציבור מקדש בבית הכנסת משום מנהג ולא להוציא אחרים ידי חובתן משמע דלא יצא השומע אלא אם כן נתכוין להוציאו:</w:t>
      </w:r>
    </w:p>
    <w:p w14:paraId="3A22AEFF"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FA02E6C" w14:textId="77777777" w:rsidR="004B2E7C" w:rsidRDefault="004B2E7C" w:rsidP="00434A6A">
      <w:pPr>
        <w:rPr>
          <w:rFonts w:asciiTheme="minorBidi" w:hAnsiTheme="minorBidi"/>
          <w:rtl/>
        </w:rPr>
      </w:pPr>
      <w:r w:rsidRPr="00CC2350">
        <w:rPr>
          <w:rFonts w:asciiTheme="minorBidi" w:hAnsiTheme="minorBidi" w:cs="Arial"/>
          <w:rtl/>
        </w:rPr>
        <w:t xml:space="preserve">ואם קידש בביתו ושמע שכנו ושלחנו ערוך לפניו, יוצא בו דשפיר הוי מקום סעודה. וכגון שנתכוין השומע לצאת, ומשמיע להוציא. </w:t>
      </w:r>
    </w:p>
    <w:p w14:paraId="1F21D182" w14:textId="77777777" w:rsidR="004B2E7C" w:rsidRPr="00CC2350" w:rsidRDefault="004B2E7C" w:rsidP="00434A6A">
      <w:pPr>
        <w:rPr>
          <w:rFonts w:asciiTheme="minorBidi" w:hAnsiTheme="minorBidi"/>
          <w:rtl/>
        </w:rPr>
      </w:pPr>
    </w:p>
    <w:p w14:paraId="6F6F2DC2" w14:textId="77777777" w:rsidR="004B2E7C" w:rsidRDefault="004B2E7C" w:rsidP="00434A6A">
      <w:pPr>
        <w:pStyle w:val="2"/>
        <w:rPr>
          <w:rtl/>
        </w:rPr>
      </w:pPr>
      <w:r w:rsidRPr="00CC2350">
        <w:rPr>
          <w:rtl/>
        </w:rPr>
        <w:t>סעיף ז</w:t>
      </w:r>
      <w:r>
        <w:rPr>
          <w:rFonts w:hint="cs"/>
          <w:rtl/>
        </w:rPr>
        <w:t>:</w:t>
      </w:r>
    </w:p>
    <w:p w14:paraId="173B5AE6" w14:textId="77777777" w:rsidR="004B2E7C" w:rsidRPr="00BD3493" w:rsidRDefault="004B2E7C" w:rsidP="00434A6A">
      <w:pPr>
        <w:rPr>
          <w:rtl/>
        </w:rPr>
      </w:pPr>
      <w:r w:rsidRPr="00BD3493">
        <w:rPr>
          <w:rFonts w:cs="Arial"/>
          <w:rtl/>
        </w:rPr>
        <w:t>[ז] ואין הקידוש תלוי בנר וכו'. בריש פרק ערבי פסחים (קא.) על מה שכתבתי בסמוך דאמר אביי כי הוינא בי מר וכו' דילמא מתעקרא לכו שרגא ולא מתקדיש לכו ולא מתאכיל לכו כתב הרא"ש (סי' ה) יש רוצים להביא ראיה מכאן שאין מקדשין אלא לאור הנר ומפרשים מתעקרא לכו שרגא ולא תוכלו לקדש בלא נר וליתא דהכי פירושו ולא תאכלו בלא נר אבל אם היו רוצים לאכול בלא נר היו יכולים לקדש וכן כתב רבינו ירוחם בחלק א' (סו.) ושלא כדברי המרדכי (לה.) שדייק מכאן שצריך נר לקידוש: אהא דאמרינן בפרק במה מדליקין (כה:) הדלקת נר בשבת חובה כתבו התוספות (ד"ה הדלקת) והמרדכי (פ"ב דשבת סי' רצד) פירוש שצריך לאכול במקום הנר וכן נראה מפירוש רש"י (שם ד"ה חובה), ומיהו כתב המרדכי (שם) שרבינו שמחה היה רגיל להדליק נר בבית ולאכול בחצר וכן כתוב בהגהות (מיימוניות ריש) פ"ה שרבינו שמחה היה נוהג כן ושהר"ם גם כן כתב להתיר, והכל בו (סי' לא, כה ע"ג) כתב בשם הר"פ (תשב"ץ קטן סי' ג) דהיינו דוקא לבני ארץ אשכנז שאוכלים מבעוד יום אבל כבר פירשו כל גדולי צרפת שאין אוכלים מבעוד יום כל כך ולפי זה אין לאכול אלא במקום הנר ועוד סמך מדאורייתא מפני שלום הבית עכ"ל וכן דעת שבלי הלקט (סי' נט) והאריך בדבר להצריך שיאכל במקום הנר על כל פנים</w:t>
      </w:r>
      <w:r>
        <w:rPr>
          <w:rStyle w:val="a9"/>
          <w:rFonts w:cs="Arial"/>
          <w:rtl/>
        </w:rPr>
        <w:footnoteReference w:id="966"/>
      </w:r>
      <w:r w:rsidRPr="00BD3493">
        <w:rPr>
          <w:rFonts w:cs="Arial"/>
          <w:rtl/>
        </w:rPr>
        <w:t>, ובהגהות חדשות פ"ד כתב שהשיב ר"י שהנרות לעונג נצטוו ולא לצער ואם הוא נהנה בחצר יותר מפני האויר או מפני הזבובים פשיטא שלאכול בחצר מותר:</w:t>
      </w:r>
    </w:p>
    <w:p w14:paraId="5B1AE0ED"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3133C6DB" w14:textId="77777777" w:rsidR="004B2E7C" w:rsidRDefault="004B2E7C" w:rsidP="00434A6A">
      <w:pPr>
        <w:rPr>
          <w:rFonts w:asciiTheme="minorBidi" w:hAnsiTheme="minorBidi"/>
          <w:rtl/>
        </w:rPr>
      </w:pPr>
      <w:r w:rsidRPr="00CC2350">
        <w:rPr>
          <w:rFonts w:asciiTheme="minorBidi" w:hAnsiTheme="minorBidi" w:cs="Arial"/>
          <w:rtl/>
        </w:rPr>
        <w:t>י"א שאין מקדשים אלא לאור הנר, וי"א שאין הקידוש תלוי בנר ואם הוא נהנה בחצר יותר מפני האויר או מפני הזבובים, מקדש בחצר ואוכל שם אף על פי שאינו רואה הנר, שהנרות לעונג נצטוו ולא לצער, והכי מסתברא.</w:t>
      </w:r>
    </w:p>
    <w:p w14:paraId="2A608279" w14:textId="77777777" w:rsidR="004B2E7C" w:rsidRDefault="004B2E7C" w:rsidP="00434A6A">
      <w:pPr>
        <w:rPr>
          <w:rFonts w:asciiTheme="minorBidi" w:hAnsiTheme="minorBidi"/>
          <w:rtl/>
        </w:rPr>
      </w:pPr>
    </w:p>
    <w:p w14:paraId="537A174D" w14:textId="77777777" w:rsidR="004B2E7C" w:rsidRDefault="004B2E7C" w:rsidP="00434A6A">
      <w:pPr>
        <w:rPr>
          <w:rFonts w:asciiTheme="minorBidi" w:hAnsiTheme="minorBidi"/>
          <w:rtl/>
        </w:rPr>
      </w:pPr>
    </w:p>
    <w:p w14:paraId="0DDCB96C" w14:textId="77777777" w:rsidR="004B2E7C" w:rsidRDefault="004B2E7C" w:rsidP="00434A6A">
      <w:pPr>
        <w:pStyle w:val="1"/>
        <w:rPr>
          <w:rtl/>
        </w:rPr>
        <w:sectPr w:rsidR="004B2E7C" w:rsidSect="00BD29B1">
          <w:headerReference w:type="default" r:id="rId44"/>
          <w:footnotePr>
            <w:numRestart w:val="eachSect"/>
          </w:footnotePr>
          <w:pgSz w:w="11906" w:h="16838"/>
          <w:pgMar w:top="720" w:right="1134" w:bottom="720" w:left="1134" w:header="0" w:footer="0" w:gutter="0"/>
          <w:cols w:space="720"/>
          <w:bidi/>
          <w:rtlGutter/>
          <w:docGrid w:linePitch="360"/>
        </w:sectPr>
      </w:pPr>
    </w:p>
    <w:p w14:paraId="67C20C8B" w14:textId="77777777" w:rsidR="004B2E7C" w:rsidRPr="00CC2350" w:rsidRDefault="004B2E7C" w:rsidP="00434A6A">
      <w:pPr>
        <w:pStyle w:val="1"/>
        <w:rPr>
          <w:rtl/>
        </w:rPr>
      </w:pPr>
      <w:r>
        <w:rPr>
          <w:rFonts w:hint="cs"/>
          <w:rtl/>
        </w:rPr>
        <w:t xml:space="preserve">סימן רעד: </w:t>
      </w:r>
      <w:r w:rsidRPr="00CC2350">
        <w:rPr>
          <w:rtl/>
        </w:rPr>
        <w:t xml:space="preserve">דיני בציעת הפת בשבת, ובו ד' סעיפים. </w:t>
      </w:r>
    </w:p>
    <w:p w14:paraId="1A682610" w14:textId="77777777" w:rsidR="004B2E7C" w:rsidRDefault="004B2E7C" w:rsidP="00434A6A">
      <w:pPr>
        <w:pStyle w:val="2"/>
        <w:rPr>
          <w:rtl/>
        </w:rPr>
      </w:pPr>
      <w:r w:rsidRPr="00CC2350">
        <w:rPr>
          <w:rtl/>
        </w:rPr>
        <w:t>סעיף א</w:t>
      </w:r>
      <w:r>
        <w:rPr>
          <w:rFonts w:hint="cs"/>
          <w:rtl/>
        </w:rPr>
        <w:t>:</w:t>
      </w:r>
    </w:p>
    <w:p w14:paraId="2888E711" w14:textId="77777777" w:rsidR="004B2E7C" w:rsidRDefault="004B2E7C" w:rsidP="00FF2D21">
      <w:pPr>
        <w:pStyle w:val="aa"/>
        <w:numPr>
          <w:ilvl w:val="0"/>
          <w:numId w:val="116"/>
        </w:numPr>
      </w:pPr>
      <w:r w:rsidRPr="00BD3493">
        <w:rPr>
          <w:rFonts w:cs="Arial" w:hint="cs"/>
          <w:rtl/>
        </w:rPr>
        <w:t xml:space="preserve">טור- </w:t>
      </w:r>
      <w:r w:rsidRPr="00BD3493">
        <w:rPr>
          <w:rFonts w:cs="Arial"/>
          <w:rtl/>
        </w:rPr>
        <w:t>ובוצע על ב' ככרות דכתיב לקטו לחם משנה ואמר רב אשי חזינא לרב כהנא דנקיט תרתי ובצע חדא פי' אוחז שתים בידו ובוצע מהאחת ומצוה לבצוע פרוסה גדולה שתספיק לו לכל הסעודה מפני שנראה כמחבב סעודת שבת שחפץ לאכול בה הרבה ולא מיחזי כרעבתנותא כיון שאינו עושה כן בחול ואם המסובים שנים או רבים טועם הבוצע תחלה ואח"כ יטעמו הם ואם יש לפני כל אחד ואחד ככרו והוא לחם משנה יכולין לטעום אף על פי שלא טעם הוא. ודין הזכרת שבת בברה"מ ודין חזרתו אם שכח כתבתי למעלה בברהמ"ז של חול וסעודה זו ושל שחרית אי אפשר לעשותה בלא פת אפילו למ"ד סעודה שלישית יכול לעשותה בלא פת אלו כיון שהם עיקר סעודת שבת אי אפשר להם בלא פת:</w:t>
      </w:r>
    </w:p>
    <w:p w14:paraId="271533F2" w14:textId="77777777" w:rsidR="004B2E7C" w:rsidRDefault="004B2E7C" w:rsidP="00434A6A">
      <w:pPr>
        <w:rPr>
          <w:rtl/>
        </w:rPr>
      </w:pPr>
      <w:r w:rsidRPr="00BD3493">
        <w:rPr>
          <w:rFonts w:cs="Arial"/>
          <w:rtl/>
        </w:rPr>
        <w:t>[א (א), ב] ובוצע על שתי ככרות וכו' עד כיון שאינו עושה כן בחול. פרק כל כתבי (קיז:) ופרק כיצד מברכין (ברכות לט:) רבי זירא בצע אכולה שירותא אמר ליה רבינא לרב אשי והא מתחזי כרעבתנותא אמר ליה כיון דכל יומא לא עביד הכי והאידנא קא עביד לא מתחזי כרעבתנותא ופירש רש"י אכולה שירותא. פרוסה גדולה שהיה די לו לכל הסעודה. והרשב"א כתב בפרק כיצד מברכין (ד"ה ר' זירא) שאינו מחוור בעיניו פירוש זה אלא הכי פירושו בצע על כל הככרות המונחים לפניו לאכול וכן פירש רבינו האי וז"ל אי מברך אינש בשבת אתרתי ובצע חדא כרב כהנא שפיר דמי ואי בצע לתרווייהו אפילו לכולא שירותיה כרבי זירא שפיר דמי ע"כ, ורבינו כתב כפירוש רש"י וגם הרמב"ם כתב בפ"ז מהלכות ברכות (ה"ג וה"ד) כדברי רש"י, והר"ן כתב בפרק כל כתבי (מג: ד"ה אמר) שני הפירושים:</w:t>
      </w:r>
    </w:p>
    <w:p w14:paraId="73768A4D" w14:textId="77777777" w:rsidR="004B2E7C" w:rsidRPr="00BD3493" w:rsidRDefault="004B2E7C" w:rsidP="00434A6A">
      <w:pPr>
        <w:rPr>
          <w:rtl/>
        </w:rPr>
      </w:pPr>
      <w:r w:rsidRPr="008A00D7">
        <w:rPr>
          <w:rFonts w:cs="Arial"/>
          <w:rtl/>
        </w:rPr>
        <w:t>[א (ב)] כתב הכל בו בסימן כ"ד (טז ע"ד) יש נוהגים לבצוע התחתון ולא העליון ואנו נוהגין לבצוע העליון עכ"ל וכן כתבו הגהות מיימון פ"ח מהלכות חמץ ומצה (על נוסח ההגדה אות ז) שמן הככר העליון בוצע, ואני ראיתי גדולים שבוצעין התחתון ושמעתי שכן נכון לעשות על פי הקבלה</w:t>
      </w:r>
      <w:r>
        <w:rPr>
          <w:rStyle w:val="a9"/>
          <w:rFonts w:cs="Arial"/>
          <w:rtl/>
        </w:rPr>
        <w:footnoteReference w:id="967"/>
      </w:r>
      <w:r w:rsidRPr="008A00D7">
        <w:rPr>
          <w:rFonts w:cs="Arial"/>
          <w:rtl/>
        </w:rPr>
        <w:t>:</w:t>
      </w:r>
    </w:p>
    <w:p w14:paraId="25A49F70"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37856215" w14:textId="77777777" w:rsidR="004B2E7C" w:rsidRDefault="004B2E7C" w:rsidP="00434A6A">
      <w:pPr>
        <w:rPr>
          <w:rFonts w:asciiTheme="minorBidi" w:hAnsiTheme="minorBidi"/>
          <w:rtl/>
        </w:rPr>
      </w:pPr>
      <w:r w:rsidRPr="00CC2350">
        <w:rPr>
          <w:rFonts w:asciiTheme="minorBidi" w:hAnsiTheme="minorBidi" w:cs="Arial"/>
          <w:rtl/>
        </w:rPr>
        <w:t xml:space="preserve">בוצע על שתי ככרות (שלימות), שאוחז שתיהן בידו ובוצע התחתונה. </w:t>
      </w:r>
      <w:r w:rsidRPr="008A00D7">
        <w:rPr>
          <w:rFonts w:asciiTheme="minorBidi" w:hAnsiTheme="minorBidi" w:cs="Arial"/>
          <w:sz w:val="18"/>
          <w:szCs w:val="18"/>
          <w:rtl/>
        </w:rPr>
        <w:t>הגה: ודוקא בלילי שבת (ד"ע), אבל ביום השבת או בלילי יום טוב בוצע על העליונה (כל בו והגהות מיימוני פ"ח מהלכות חמץ ומצה), והטעם הוא על דרך הקבלה.</w:t>
      </w:r>
      <w:r w:rsidRPr="00CC2350">
        <w:rPr>
          <w:rFonts w:asciiTheme="minorBidi" w:hAnsiTheme="minorBidi" w:cs="Arial"/>
          <w:rtl/>
        </w:rPr>
        <w:t xml:space="preserve"> </w:t>
      </w:r>
    </w:p>
    <w:p w14:paraId="131083AB" w14:textId="77777777" w:rsidR="004B2E7C" w:rsidRPr="00CC2350" w:rsidRDefault="004B2E7C" w:rsidP="00434A6A">
      <w:pPr>
        <w:rPr>
          <w:rFonts w:asciiTheme="minorBidi" w:hAnsiTheme="minorBidi"/>
          <w:rtl/>
        </w:rPr>
      </w:pPr>
    </w:p>
    <w:p w14:paraId="7B97E7E5" w14:textId="77777777" w:rsidR="004B2E7C" w:rsidRDefault="004B2E7C" w:rsidP="00434A6A">
      <w:pPr>
        <w:pStyle w:val="2"/>
        <w:rPr>
          <w:rtl/>
        </w:rPr>
      </w:pPr>
      <w:r w:rsidRPr="00CC2350">
        <w:rPr>
          <w:rtl/>
        </w:rPr>
        <w:t>סעיף ב</w:t>
      </w:r>
      <w:r>
        <w:rPr>
          <w:rFonts w:hint="cs"/>
          <w:rtl/>
        </w:rPr>
        <w:t>:</w:t>
      </w:r>
    </w:p>
    <w:p w14:paraId="0DA845EA" w14:textId="77777777" w:rsidR="004B2E7C" w:rsidRPr="00BD3493" w:rsidRDefault="004B2E7C" w:rsidP="00434A6A">
      <w:pPr>
        <w:rPr>
          <w:rtl/>
        </w:rPr>
      </w:pPr>
    </w:p>
    <w:p w14:paraId="0B8ED018"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00D1D109" w14:textId="77777777" w:rsidR="004B2E7C" w:rsidRDefault="004B2E7C" w:rsidP="00434A6A">
      <w:pPr>
        <w:rPr>
          <w:rFonts w:asciiTheme="minorBidi" w:hAnsiTheme="minorBidi"/>
          <w:rtl/>
        </w:rPr>
      </w:pPr>
      <w:r w:rsidRPr="00CC2350">
        <w:rPr>
          <w:rFonts w:asciiTheme="minorBidi" w:hAnsiTheme="minorBidi" w:cs="Arial"/>
          <w:rtl/>
        </w:rPr>
        <w:t xml:space="preserve">מצוה לבצוע בשבת פרוסה גדולה שתספיק לו לכל הסעודה (וע"ל סי' קס"ז). </w:t>
      </w:r>
    </w:p>
    <w:p w14:paraId="0C4CEF1C" w14:textId="77777777" w:rsidR="004B2E7C" w:rsidRPr="00CC2350" w:rsidRDefault="004B2E7C" w:rsidP="00434A6A">
      <w:pPr>
        <w:rPr>
          <w:rFonts w:asciiTheme="minorBidi" w:hAnsiTheme="minorBidi"/>
          <w:rtl/>
        </w:rPr>
      </w:pPr>
    </w:p>
    <w:p w14:paraId="7E7DB86C" w14:textId="77777777" w:rsidR="004B2E7C" w:rsidRDefault="004B2E7C" w:rsidP="00434A6A">
      <w:pPr>
        <w:pStyle w:val="2"/>
        <w:rPr>
          <w:rtl/>
        </w:rPr>
      </w:pPr>
      <w:r w:rsidRPr="00CC2350">
        <w:rPr>
          <w:rtl/>
        </w:rPr>
        <w:t>סעיף ג</w:t>
      </w:r>
      <w:r>
        <w:rPr>
          <w:rFonts w:hint="cs"/>
          <w:rtl/>
        </w:rPr>
        <w:t>:</w:t>
      </w:r>
    </w:p>
    <w:p w14:paraId="3818F5DE" w14:textId="77777777" w:rsidR="004B2E7C" w:rsidRDefault="004B2E7C" w:rsidP="00434A6A">
      <w:pPr>
        <w:rPr>
          <w:rtl/>
        </w:rPr>
      </w:pPr>
      <w:r>
        <w:rPr>
          <w:rFonts w:cs="Arial"/>
          <w:rtl/>
        </w:rPr>
        <w:t>[ג] ואם המסובין שנים וכו'. בפרק שלשה שאכלו (ברכות מז.) אמר רב יהודה אין המסובין רשאין לטעום כלום עד שיטעום הבוצע:</w:t>
      </w:r>
    </w:p>
    <w:p w14:paraId="309D13CD" w14:textId="77777777" w:rsidR="004B2E7C" w:rsidRDefault="004B2E7C" w:rsidP="00434A6A">
      <w:pPr>
        <w:rPr>
          <w:rtl/>
        </w:rPr>
      </w:pPr>
      <w:r>
        <w:rPr>
          <w:rFonts w:cs="Arial"/>
          <w:rtl/>
        </w:rPr>
        <w:t>ואם יש לפני כל אחד ככרו והוא לחם משנה וכו'. מדברי ה"ר יונה שם (לד: ד"ה אין המסובין) ומדברי הרא"ש שם (סי' טו) ופרק ערבי פסחים (סי' טז) וכן כתבו גם כן התוספות בפרק ערבי פסחים (קו. ד"ה הוה גחין):</w:t>
      </w:r>
    </w:p>
    <w:p w14:paraId="150D6443" w14:textId="77777777" w:rsidR="004B2E7C" w:rsidRPr="008A00D7" w:rsidRDefault="004B2E7C" w:rsidP="00434A6A">
      <w:pPr>
        <w:rPr>
          <w:rtl/>
        </w:rPr>
      </w:pPr>
      <w:r>
        <w:rPr>
          <w:rFonts w:cs="Arial"/>
          <w:rtl/>
        </w:rPr>
        <w:t>ודין הזכרת שבת בברכת המזון וכו' כתבתי לעיל. בסימן קפ"ח (קסז.):</w:t>
      </w:r>
    </w:p>
    <w:p w14:paraId="3DCC0813"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75EA169" w14:textId="77777777" w:rsidR="004B2E7C" w:rsidRPr="00CC2350" w:rsidRDefault="004B2E7C" w:rsidP="00434A6A">
      <w:pPr>
        <w:rPr>
          <w:rFonts w:asciiTheme="minorBidi" w:hAnsiTheme="minorBidi"/>
          <w:rtl/>
        </w:rPr>
      </w:pPr>
      <w:r w:rsidRPr="00CC2350">
        <w:rPr>
          <w:rFonts w:asciiTheme="minorBidi" w:hAnsiTheme="minorBidi" w:cs="Arial"/>
          <w:rtl/>
        </w:rPr>
        <w:t xml:space="preserve">אין המסובין רשאים לטעום עד שיטעום הבוצע, ואם יש לפני כל אחד לחם משנה יכולים לטעום אף על פי שעדיין לא טעם הוא. </w:t>
      </w:r>
    </w:p>
    <w:p w14:paraId="6463112F" w14:textId="77777777" w:rsidR="004B2E7C" w:rsidRDefault="004B2E7C" w:rsidP="00434A6A">
      <w:pPr>
        <w:pStyle w:val="2"/>
        <w:rPr>
          <w:rtl/>
        </w:rPr>
      </w:pPr>
      <w:r w:rsidRPr="00CC2350">
        <w:rPr>
          <w:rtl/>
        </w:rPr>
        <w:t>סעיף ד</w:t>
      </w:r>
      <w:r>
        <w:rPr>
          <w:rFonts w:hint="cs"/>
          <w:rtl/>
        </w:rPr>
        <w:t>:</w:t>
      </w:r>
    </w:p>
    <w:p w14:paraId="47972253" w14:textId="77777777" w:rsidR="004B2E7C" w:rsidRPr="008A00D7" w:rsidRDefault="004B2E7C" w:rsidP="00434A6A">
      <w:pPr>
        <w:rPr>
          <w:rtl/>
        </w:rPr>
      </w:pPr>
      <w:r w:rsidRPr="008A00D7">
        <w:rPr>
          <w:rFonts w:cs="Arial"/>
          <w:rtl/>
        </w:rPr>
        <w:t>[ד] וסעודה זו ושל שחרית וכו' בלא פת וכו'. כן כתבו התוספות (קא. ד"ה טעימו) והרא"ש בר"פ ערבי פסחים (סי' ה) גבי הא דאמר אביי כי הוינא בי מר וכו' אמר לן טעימו מידי. וסמ"ג כתב בסימן כ"ז (עשין, קט ע"ד) דבשבת צריך ג' סעודות פת דבההוא קרא דדרשינן מיניה ג' סעודות בפרק כל כתבי (קיז:) כתיב לחם דכתיב (שמות טז טו) הוא הלחם אשר נתן ה' לכם לאכלה. ודין סעודה שלישית יתבאר בסימן רצ"א בס"ד:</w:t>
      </w:r>
    </w:p>
    <w:p w14:paraId="0C0C935C"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97DF5A8" w14:textId="77777777" w:rsidR="004B2E7C" w:rsidRDefault="004B2E7C" w:rsidP="00434A6A">
      <w:pPr>
        <w:rPr>
          <w:rFonts w:asciiTheme="minorBidi" w:hAnsiTheme="minorBidi"/>
          <w:rtl/>
        </w:rPr>
      </w:pPr>
      <w:r w:rsidRPr="00CC2350">
        <w:rPr>
          <w:rFonts w:asciiTheme="minorBidi" w:hAnsiTheme="minorBidi" w:cs="Arial"/>
          <w:rtl/>
        </w:rPr>
        <w:t>סעודה זו ושל שחרית אי אפשר לעשותה בלא פת.</w:t>
      </w:r>
    </w:p>
    <w:p w14:paraId="50460193" w14:textId="77777777" w:rsidR="004B2E7C" w:rsidRDefault="004B2E7C" w:rsidP="00434A6A">
      <w:pPr>
        <w:rPr>
          <w:rFonts w:asciiTheme="minorBidi" w:hAnsiTheme="minorBidi"/>
          <w:rtl/>
        </w:rPr>
      </w:pPr>
    </w:p>
    <w:p w14:paraId="28B7528C" w14:textId="77777777" w:rsidR="004B2E7C" w:rsidRDefault="004B2E7C" w:rsidP="00434A6A">
      <w:pPr>
        <w:pStyle w:val="1"/>
        <w:rPr>
          <w:rtl/>
        </w:rPr>
        <w:sectPr w:rsidR="004B2E7C" w:rsidSect="00BD29B1">
          <w:headerReference w:type="default" r:id="rId45"/>
          <w:footnotePr>
            <w:numRestart w:val="eachSect"/>
          </w:footnotePr>
          <w:pgSz w:w="11906" w:h="16838"/>
          <w:pgMar w:top="720" w:right="1134" w:bottom="720" w:left="1134" w:header="0" w:footer="0" w:gutter="0"/>
          <w:cols w:space="720"/>
          <w:bidi/>
          <w:rtlGutter/>
          <w:docGrid w:linePitch="360"/>
        </w:sectPr>
      </w:pPr>
    </w:p>
    <w:p w14:paraId="1BE69F27" w14:textId="77777777" w:rsidR="004B2E7C" w:rsidRPr="00CC2350" w:rsidRDefault="004B2E7C" w:rsidP="00434A6A">
      <w:pPr>
        <w:pStyle w:val="1"/>
        <w:rPr>
          <w:rtl/>
        </w:rPr>
      </w:pPr>
      <w:r>
        <w:rPr>
          <w:rFonts w:hint="cs"/>
          <w:rtl/>
        </w:rPr>
        <w:t xml:space="preserve">סימן ערה: </w:t>
      </w:r>
      <w:r w:rsidRPr="00CC2350">
        <w:rPr>
          <w:rtl/>
        </w:rPr>
        <w:t xml:space="preserve">דברים האסורים לעשות לאור הנר בשבת, ובו י"ב סעיפים. </w:t>
      </w:r>
    </w:p>
    <w:p w14:paraId="797449EC" w14:textId="77777777" w:rsidR="004B2E7C" w:rsidRDefault="004B2E7C" w:rsidP="00434A6A">
      <w:pPr>
        <w:pStyle w:val="2"/>
        <w:rPr>
          <w:rtl/>
        </w:rPr>
      </w:pPr>
      <w:r w:rsidRPr="00CC2350">
        <w:rPr>
          <w:rtl/>
        </w:rPr>
        <w:t>סעיף א</w:t>
      </w:r>
    </w:p>
    <w:p w14:paraId="7D44C9C2" w14:textId="77777777" w:rsidR="004B2E7C" w:rsidRDefault="004B2E7C" w:rsidP="00FF2D21">
      <w:pPr>
        <w:pStyle w:val="aa"/>
        <w:numPr>
          <w:ilvl w:val="0"/>
          <w:numId w:val="116"/>
        </w:numPr>
        <w:rPr>
          <w:rtl/>
        </w:rPr>
      </w:pPr>
      <w:r w:rsidRPr="008A00D7">
        <w:rPr>
          <w:rFonts w:cs="Arial" w:hint="cs"/>
          <w:rtl/>
        </w:rPr>
        <w:t xml:space="preserve">טור- </w:t>
      </w:r>
      <w:r w:rsidRPr="008A00D7">
        <w:rPr>
          <w:rFonts w:cs="Arial"/>
          <w:rtl/>
        </w:rPr>
        <w:t>אין פולין ולא קורין לאור הנר שמא יטה ואפי' הוא גבוה עשר קומות שאינו יכול ליגע אליו שלא חלקו חכמים וכ' הרב ר' פרץ ומטעם זה יש לאסור אפי' הוא בעששית או קבוע בחור שבכותל ודוקא אחד אבל שנים קורין ביחד שאם בא האחד להטות יזכירנו חבירו וכגון שקורין בענין אחד שאז ישגיח הא' במה שיעשה חבירו אבל אם קורין בב' ענינים לא כתב בעל התרומות אבל מי שאינו יודע כלום או אשתו לא יספיק במה שיעיינו עליו ויש מתירין והכי מסתבר טפי דכיון שאינו טרוד בקריאה יותר יעיין עליו משאם היה טרוד בקריאתו ואדם חשוב שאין דרכו להטות בחול מותר ובמדורה אפילו י' כאחד אין קורין שבקל יכול להטות קודם שירגיש בו חבירו. תינוקות של בית רבן קורין לפני רבן לאור הנר שאימת רבן עליהם ולא יטו וכתב בעל התרומות ומטעם זה נוהגין לקרות בליל יה"כ בסדורים ובמחזורים לפי שאימת יוה"כ עליהם ולא יטו אבל ליל פסח שחל להיות בשבת אין לקרות ההגדה יחידי ובספר המצות כתב לומר פיוטים בליל י"ט שחל להיות בשבת בב"ה יש להתיר משום שנותנים לב זה לזה ויש אוסרים ומ"מ נראה שמותר לקרות במה מדליקין לאור הנר שהרי הוא מזכיר איסור שבת ואיך ישכח והרב יכול לראות לאור הנר מהיכן יקראו התינוקות ולסדר ראשי הפרשיות אבל לא יקרא כל הפרשה:</w:t>
      </w:r>
    </w:p>
    <w:p w14:paraId="52FD0E63" w14:textId="77777777" w:rsidR="004B2E7C" w:rsidRDefault="004B2E7C" w:rsidP="00FF2D21">
      <w:pPr>
        <w:pStyle w:val="aa"/>
        <w:numPr>
          <w:ilvl w:val="0"/>
          <w:numId w:val="116"/>
        </w:numPr>
      </w:pPr>
      <w:r w:rsidRPr="008A00D7">
        <w:rPr>
          <w:rFonts w:cs="Arial"/>
          <w:rtl/>
        </w:rPr>
        <w:t>כלים הדומין זה לזה וצריך עיון להבחין ביניהם אסור לבודקן לאור הנר ואפי' להבחין בין בגדיו לבגדי אשתו אסור לבדוק אם הן דומין הלכך שמש שאין קבוע אסור לבדוק כלים לאור הנר של שמן שכיון שאינו קבוע אינו בקי בהם וצריך עיון רב והקבוע אם בודק אותם אין מונעים אותו אבל אם בא לפנינו לשאול אין מורין לו היתר ואם הנר של נפט בין קבוע בין אינו קבוע מותרין כיון שהוא מסריח לא חיישינן שמא יסתפק ממנו ורבינו שלמה מחמיר טפי בקבוע מפני שאימת רבו עליו ומדקדק יותר שלא יטה ולדבריו בשל נפט הכל מותר בשל שמן קבוע אסור שאינו קבוע מותר אם עושה מעצמו ואין מורין לו היתר:</w:t>
      </w:r>
    </w:p>
    <w:p w14:paraId="511DCFFE" w14:textId="77777777" w:rsidR="004B2E7C" w:rsidRDefault="004B2E7C" w:rsidP="00434A6A">
      <w:pPr>
        <w:rPr>
          <w:rtl/>
        </w:rPr>
      </w:pPr>
      <w:r>
        <w:rPr>
          <w:rFonts w:cs="Arial"/>
          <w:rtl/>
        </w:rPr>
        <w:t>[א (א)] אין פולין ולא קורין לאור הנר וכו'. משנה בפרק קמא דשבת (יא.) לא יפלה את כליו ולא יקרא לאור הנר, ומפרש טעמא בגמרא (יב.) שמא יטה כלומר שמא יטה השמן לראש הפתילה שידליק יפה ונמצא מבעיר בשבת:</w:t>
      </w:r>
    </w:p>
    <w:p w14:paraId="7FC12FEA" w14:textId="77777777" w:rsidR="004B2E7C" w:rsidRDefault="004B2E7C" w:rsidP="00434A6A">
      <w:pPr>
        <w:rPr>
          <w:rtl/>
        </w:rPr>
      </w:pPr>
      <w:r>
        <w:rPr>
          <w:rFonts w:cs="Arial"/>
          <w:rtl/>
        </w:rPr>
        <w:t>ומ"ש ואפילו גבוה עשר קומות וכו'. מימרא דרבא שם (ע"ב):</w:t>
      </w:r>
    </w:p>
    <w:p w14:paraId="315832BF" w14:textId="77777777" w:rsidR="004B2E7C" w:rsidRPr="008A00D7" w:rsidRDefault="004B2E7C" w:rsidP="00434A6A">
      <w:pPr>
        <w:rPr>
          <w:rtl/>
        </w:rPr>
      </w:pPr>
      <w:r>
        <w:rPr>
          <w:rFonts w:cs="Arial"/>
          <w:rtl/>
        </w:rPr>
        <w:t>וכתב הר"פ ומטעם זה יש לאסור אפילו הוא בעששית וכו'. כן כתוב בסמ"ק (סי' רפב ע' רצד): כתוב בהגהות אשיר"י (סי' כז) מספקא לי נר של שעוה שאין שייך בו הטייה אם יכול לקרות לאורה עכ"ל, ולי נראה פשוט לאסור דהא שייך ביה שימחוט ויחתוך ראש הפתילה:</w:t>
      </w:r>
    </w:p>
    <w:p w14:paraId="1F9FA447"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A6DF7EE" w14:textId="77777777" w:rsidR="004B2E7C" w:rsidRDefault="004B2E7C" w:rsidP="00434A6A">
      <w:pPr>
        <w:rPr>
          <w:rFonts w:asciiTheme="minorBidi" w:hAnsiTheme="minorBidi"/>
          <w:rtl/>
        </w:rPr>
      </w:pPr>
      <w:r w:rsidRPr="00CC2350">
        <w:rPr>
          <w:rFonts w:asciiTheme="minorBidi" w:hAnsiTheme="minorBidi" w:cs="Arial"/>
          <w:rtl/>
        </w:rPr>
        <w:t xml:space="preserve">אין פולין (פי' לבער את הכנים מהבגדים, תרגום בערתי הקדש (דברים כו, יג) פליתי), ואין קורין בספר לאור הנר ואפילו אינו מוציא בפיו, שמא יטה. ואפי' הוא גבוה עשר קומות שאינו יכול ליגע אליו, שלא חלקו חכמים בדבר. ומטעם זה יש לאסור אפי' הוא בעששית או קבוע בחור שבכותל, וכן בנר של שעוה. </w:t>
      </w:r>
    </w:p>
    <w:p w14:paraId="77CD51E1" w14:textId="77777777" w:rsidR="004B2E7C" w:rsidRPr="00CC2350" w:rsidRDefault="004B2E7C" w:rsidP="00434A6A">
      <w:pPr>
        <w:rPr>
          <w:rFonts w:asciiTheme="minorBidi" w:hAnsiTheme="minorBidi"/>
          <w:rtl/>
        </w:rPr>
      </w:pPr>
    </w:p>
    <w:p w14:paraId="1ACB1E93" w14:textId="77777777" w:rsidR="004B2E7C" w:rsidRDefault="004B2E7C" w:rsidP="00434A6A">
      <w:pPr>
        <w:pStyle w:val="2"/>
        <w:rPr>
          <w:rtl/>
        </w:rPr>
      </w:pPr>
      <w:r w:rsidRPr="00CC2350">
        <w:rPr>
          <w:rtl/>
        </w:rPr>
        <w:t>סעיף ב</w:t>
      </w:r>
      <w:r>
        <w:rPr>
          <w:rFonts w:hint="cs"/>
          <w:rtl/>
        </w:rPr>
        <w:t>:</w:t>
      </w:r>
    </w:p>
    <w:p w14:paraId="7D60AE5D" w14:textId="77777777" w:rsidR="004B2E7C" w:rsidRDefault="004B2E7C" w:rsidP="00434A6A">
      <w:pPr>
        <w:rPr>
          <w:rtl/>
        </w:rPr>
      </w:pPr>
      <w:r w:rsidRPr="008A00D7">
        <w:rPr>
          <w:rFonts w:cs="Arial"/>
          <w:rtl/>
        </w:rPr>
        <w:t>[ב (א)] ודוקא אחד אבל שנים קורין ביחד וכו' וכגון שקורין בענין אחד וכו'. בפרק קמא דשבת (שם) ולא יקרא לאור הנר חד הוא דלא ליקרי הא תרי שפיר דמי והא תניא לא אחד ולא שנים אמר רבי אלעזר לא קשיא כאן בענין אחד כאן בשני ענינים ופירש רש"י בשני ענינים, כגון בשתי פרשיות הואיל וכל אחד מעיין לעצמו אין מכיר במעשה חבירו. ומשמע דכל שקורא כל אחד בספרו אף על פי ששניהם קורין בענין אחד דינם כקורין בשתי ענינים ואסור משום דכל אחד מעיין בספרו ואינו משגיח במה שחבירו עושה, וכן נראה ממה שכתב רבינו בסמוך שיש אוסרים לומר פיוטים בליל יום טוב שחל להיות בשבת בבית הכנסת הרי שאע"פ שכל הציבור קורין בענין אחד אסור מפני שכל אחד מעיין בספרו ואינו משגיח במה שעושה חבירו והוא דעת המרדכי (סי' רלו) והסמ"ג (ל"ת ס"ה, טז.) והתרומה (סי' ריט) והגהות (מיימוניות שבת פ"ה אות ס), מיהו לדעת המתירים לומר פיוטים לאור הנר בליל יום טוב שחל להיות בשבת בבית הכנסת וכמו שכתב רבינו בסמוך בשם ספר המצות כל שקורין בענין אחד אפילו שכל אחד קורא בספרו שרי</w:t>
      </w:r>
      <w:r>
        <w:rPr>
          <w:rStyle w:val="a9"/>
          <w:rFonts w:cs="Arial"/>
          <w:rtl/>
        </w:rPr>
        <w:footnoteReference w:id="968"/>
      </w:r>
      <w:r w:rsidRPr="008A00D7">
        <w:rPr>
          <w:rFonts w:cs="Arial"/>
          <w:rtl/>
        </w:rPr>
        <w:t>:</w:t>
      </w:r>
    </w:p>
    <w:p w14:paraId="010E1223" w14:textId="77777777" w:rsidR="004B2E7C" w:rsidRPr="008A00D7" w:rsidRDefault="004B2E7C" w:rsidP="00434A6A">
      <w:pPr>
        <w:rPr>
          <w:rtl/>
        </w:rPr>
      </w:pPr>
      <w:r w:rsidRPr="008A00D7">
        <w:rPr>
          <w:rFonts w:cs="Arial"/>
          <w:rtl/>
        </w:rPr>
        <w:t>[ב (ב)] ובספר המצות כתב, היינו סמ"ק (סי' רפב ע' רצד), אבל סמ"ג (שם) כתב סתם לאסור ואפילו לחזן וכן כתב המרדכי בפרק קמא (שם) וכן כתוב בספר התרומה (סי' ריט) וכן כתוב בהגהות פ"ה אלא שכתב בסוף דבריו ומכל מקום החזן נראה לי דשרי דלא גרע מתינוקות שאימת רבן עליהם הכא נמי אימת ציבור עליו</w:t>
      </w:r>
      <w:r>
        <w:rPr>
          <w:rStyle w:val="a9"/>
          <w:rFonts w:cs="Arial"/>
          <w:rtl/>
        </w:rPr>
        <w:footnoteReference w:id="969"/>
      </w:r>
      <w:r w:rsidRPr="008A00D7">
        <w:rPr>
          <w:rFonts w:cs="Arial"/>
          <w:rtl/>
        </w:rPr>
        <w:t>:</w:t>
      </w:r>
    </w:p>
    <w:p w14:paraId="13DA6F02"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3DE14C3C" w14:textId="77777777" w:rsidR="004B2E7C" w:rsidRPr="00CC2350" w:rsidRDefault="004B2E7C" w:rsidP="00434A6A">
      <w:pPr>
        <w:rPr>
          <w:rFonts w:asciiTheme="minorBidi" w:hAnsiTheme="minorBidi"/>
          <w:rtl/>
        </w:rPr>
      </w:pPr>
      <w:r w:rsidRPr="00CC2350">
        <w:rPr>
          <w:rFonts w:asciiTheme="minorBidi" w:hAnsiTheme="minorBidi" w:cs="Arial"/>
          <w:rtl/>
        </w:rPr>
        <w:t xml:space="preserve">ודוקא אחד, אבל שנים קורים ביחד, שאם בא האחד להטות (פי' להטות הנר כדי שיגיע השמן לפתילה), יזכירנו חבירו. והוא שקורים בענין אחד, שאז ישגיח האחד במה שיעשה חבירו, אבל בשני עניינים לא. הגה: וי"א דבשני ספרים, אפילו בענין אחד אסור (ב"י), ולכן אסור לומר פיוטים בליל יום טוב שחל להיות בשבת, בבהכ"נ, וכן נהגו (מרדכי וסה"ת וסמ"ג והגהות). </w:t>
      </w:r>
    </w:p>
    <w:p w14:paraId="07367B18" w14:textId="77777777" w:rsidR="004B2E7C" w:rsidRDefault="004B2E7C" w:rsidP="00434A6A">
      <w:pPr>
        <w:pStyle w:val="2"/>
        <w:rPr>
          <w:rtl/>
        </w:rPr>
      </w:pPr>
      <w:r w:rsidRPr="00CC2350">
        <w:rPr>
          <w:rtl/>
        </w:rPr>
        <w:t>סעיף ג</w:t>
      </w:r>
    </w:p>
    <w:p w14:paraId="501D090E" w14:textId="77777777" w:rsidR="004B2E7C" w:rsidRPr="008A00D7" w:rsidRDefault="004B2E7C" w:rsidP="00434A6A">
      <w:pPr>
        <w:rPr>
          <w:rtl/>
        </w:rPr>
      </w:pPr>
      <w:r w:rsidRPr="008A00D7">
        <w:rPr>
          <w:rFonts w:cs="Arial"/>
          <w:rtl/>
        </w:rPr>
        <w:t>[ג] כתב בעל התרומה אבל מי שאינו יודע כלום וכו'. זה לשון בעל התרומה ולא [יועיל] בעיוני אשתו עמו אם אינה יודעת לקרות, ובסמ"ג (שם) כתוב ולעיין עמו מי שאינו יודע לקרות אינו מועיל, ומשמע לרבינו דהא דאסר בעל התרומה באשתו הוא הדין באחר כיון דטעמא משום שאינו יודע מה לי אשתו מה לי אחר. ומשמע דאפילו באומר תן דעתך שלא אטה אסור, ובהגהות פ"ה (שם) כתוב ולא יועיל אם אשתו תעיין עמו או אחר שאינו יודע לקרות מיהו פר"י אם היודע לקרות אומר לשאינו יודע תן דעתך שלא אטה שרי, ודברי ר"י כתובים בסמ"ק (סי' רפב ע' רצד) וכתב אחר זה מיהו אסור לקרות ואשתו משמרתו דדעתה קרובה אצלו עכ"ל, ולפי הטעם שכתב משמע דאפילו ביודעת לקרות וקוראה עמו אסר ודלא כספר התרומה והגהות, ולקמן בסמוך (ד"ה וכתוב) אכתוב ששבלי הלקט מתיר בכל זה וכדבריו דעתי נוטה דדברים של טעם הם ועוד דכיון דגזירה דרבנן היא שומעין למיקל:</w:t>
      </w:r>
    </w:p>
    <w:p w14:paraId="04F146EA"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373A36E8" w14:textId="77777777" w:rsidR="004B2E7C" w:rsidRDefault="004B2E7C" w:rsidP="00434A6A">
      <w:pPr>
        <w:rPr>
          <w:rFonts w:asciiTheme="minorBidi" w:hAnsiTheme="minorBidi" w:cs="Arial"/>
          <w:rtl/>
        </w:rPr>
      </w:pPr>
      <w:r w:rsidRPr="00CC2350">
        <w:rPr>
          <w:rFonts w:asciiTheme="minorBidi" w:hAnsiTheme="minorBidi" w:cs="Arial"/>
          <w:rtl/>
        </w:rPr>
        <w:t xml:space="preserve">אם יש אחר עמו, אפי' אינו קורא, ואומר לו: תן דעתך עלי שלא אטה, מותר; וה"ה אם אומר כן לאשתו. </w:t>
      </w:r>
    </w:p>
    <w:p w14:paraId="4F592916" w14:textId="77777777" w:rsidR="004B2E7C" w:rsidRPr="00CC2350" w:rsidRDefault="004B2E7C" w:rsidP="00434A6A">
      <w:pPr>
        <w:rPr>
          <w:rFonts w:asciiTheme="minorBidi" w:hAnsiTheme="minorBidi"/>
          <w:rtl/>
        </w:rPr>
      </w:pPr>
    </w:p>
    <w:p w14:paraId="2A8A23C9" w14:textId="77777777" w:rsidR="004B2E7C" w:rsidRDefault="004B2E7C" w:rsidP="00434A6A">
      <w:pPr>
        <w:pStyle w:val="2"/>
        <w:rPr>
          <w:rtl/>
        </w:rPr>
      </w:pPr>
      <w:r w:rsidRPr="00CC2350">
        <w:rPr>
          <w:rtl/>
        </w:rPr>
        <w:t>סעיף ד</w:t>
      </w:r>
    </w:p>
    <w:p w14:paraId="108B93FD" w14:textId="77777777" w:rsidR="004B2E7C" w:rsidRPr="008A00D7" w:rsidRDefault="004B2E7C" w:rsidP="00434A6A">
      <w:pPr>
        <w:rPr>
          <w:rtl/>
        </w:rPr>
      </w:pPr>
      <w:r w:rsidRPr="008A00D7">
        <w:rPr>
          <w:rFonts w:cs="Arial"/>
          <w:rtl/>
        </w:rPr>
        <w:t>[ד] ואדם חשוב שאין דרכו להטות בחול מותר. מימרא דרבא בפרק קמא דשבת (שם):</w:t>
      </w:r>
    </w:p>
    <w:p w14:paraId="55B90CB4"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37292D48" w14:textId="77777777" w:rsidR="004B2E7C" w:rsidRDefault="004B2E7C" w:rsidP="00434A6A">
      <w:pPr>
        <w:rPr>
          <w:rFonts w:asciiTheme="minorBidi" w:hAnsiTheme="minorBidi"/>
          <w:rtl/>
        </w:rPr>
      </w:pPr>
      <w:r w:rsidRPr="00CC2350">
        <w:rPr>
          <w:rFonts w:asciiTheme="minorBidi" w:hAnsiTheme="minorBidi" w:cs="Arial"/>
          <w:rtl/>
        </w:rPr>
        <w:t xml:space="preserve">אדם חשוב, שאין דרכו בחול להטות, מותר בכל גוונא. </w:t>
      </w:r>
    </w:p>
    <w:p w14:paraId="41BAFF78" w14:textId="77777777" w:rsidR="004B2E7C" w:rsidRPr="00CC2350" w:rsidRDefault="004B2E7C" w:rsidP="00434A6A">
      <w:pPr>
        <w:rPr>
          <w:rFonts w:asciiTheme="minorBidi" w:hAnsiTheme="minorBidi"/>
          <w:rtl/>
        </w:rPr>
      </w:pPr>
    </w:p>
    <w:p w14:paraId="3DE7700B" w14:textId="77777777" w:rsidR="004B2E7C" w:rsidRDefault="004B2E7C" w:rsidP="00434A6A">
      <w:pPr>
        <w:pStyle w:val="2"/>
        <w:rPr>
          <w:rtl/>
        </w:rPr>
      </w:pPr>
      <w:r w:rsidRPr="00CC2350">
        <w:rPr>
          <w:rtl/>
        </w:rPr>
        <w:t>סעיף ה</w:t>
      </w:r>
    </w:p>
    <w:p w14:paraId="72C21A7A" w14:textId="77777777" w:rsidR="004B2E7C" w:rsidRPr="008A00D7" w:rsidRDefault="004B2E7C" w:rsidP="00434A6A">
      <w:pPr>
        <w:rPr>
          <w:rtl/>
        </w:rPr>
      </w:pPr>
      <w:r w:rsidRPr="008A00D7">
        <w:rPr>
          <w:rFonts w:cs="Arial"/>
          <w:rtl/>
        </w:rPr>
        <w:t>[ה] ובמדורה אפילו עשרה כאחד אין קורין. גם זה שם מימרא דרב הונא ופירש רש"י טעמא משום דהואיל ויושבים רחוק זה מזה ועוד שזנבות האודים סמוכים להם אין זה מכיר בבא חבירו להבעיר ולחתות:</w:t>
      </w:r>
    </w:p>
    <w:p w14:paraId="1B7EBB46"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7E33722" w14:textId="77777777" w:rsidR="004B2E7C" w:rsidRDefault="004B2E7C" w:rsidP="00434A6A">
      <w:pPr>
        <w:rPr>
          <w:rFonts w:asciiTheme="minorBidi" w:hAnsiTheme="minorBidi"/>
          <w:rtl/>
        </w:rPr>
      </w:pPr>
      <w:r w:rsidRPr="00CC2350">
        <w:rPr>
          <w:rFonts w:asciiTheme="minorBidi" w:hAnsiTheme="minorBidi" w:cs="Arial"/>
          <w:rtl/>
        </w:rPr>
        <w:t xml:space="preserve">במדורה, אפילו עשרה אין קורין משום דהואיל ויושבים רחוקים זה מזה, ועוד שזנבות האודים סמוכים להם, אין זה מכיר כשבא חבירו להבעיר ולחתות. </w:t>
      </w:r>
    </w:p>
    <w:p w14:paraId="12C6F0DD" w14:textId="77777777" w:rsidR="004B2E7C" w:rsidRPr="00CC2350" w:rsidRDefault="004B2E7C" w:rsidP="00434A6A">
      <w:pPr>
        <w:rPr>
          <w:rFonts w:asciiTheme="minorBidi" w:hAnsiTheme="minorBidi"/>
          <w:rtl/>
        </w:rPr>
      </w:pPr>
    </w:p>
    <w:p w14:paraId="75131C22" w14:textId="77777777" w:rsidR="004B2E7C" w:rsidRDefault="004B2E7C" w:rsidP="00434A6A">
      <w:pPr>
        <w:pStyle w:val="2"/>
        <w:rPr>
          <w:rtl/>
        </w:rPr>
      </w:pPr>
      <w:r w:rsidRPr="00CC2350">
        <w:rPr>
          <w:rtl/>
        </w:rPr>
        <w:t>סעיף ו</w:t>
      </w:r>
    </w:p>
    <w:p w14:paraId="792B39FC" w14:textId="77777777" w:rsidR="004B2E7C" w:rsidRPr="008A00D7" w:rsidRDefault="004B2E7C" w:rsidP="00434A6A">
      <w:pPr>
        <w:rPr>
          <w:rtl/>
        </w:rPr>
      </w:pPr>
      <w:r w:rsidRPr="008A00D7">
        <w:rPr>
          <w:rFonts w:cs="Arial"/>
          <w:rtl/>
        </w:rPr>
        <w:t>[ו] תינוקות של בית רבן קורין לפני רבן וכו'. גם זה שם במשנה (יא.) באמת אמרו החזן רואה מהיכן התינוקות קורין אבל הוא לא יקרא ומפרש בגמרא (יב:) מאי רואה מסדר ראשי פרשיותיו פירש רש"י שמריצם בפיו שמתוך כך הוא נזכר בכולה למחר ומסייע את הקורין ופריך וכולה פרשה לא מיתיבי רבן שמעון בן גמליאל אומר התינוקות של בית רבן היו מסדרין פרשיות וקורין לאור הנר איבעית אימא ראשי פרשיות ואיבעית אימא שאני תינוקות הואיל ואימת רבן עליהם ולא אתו לאצלויי, ומשמע דהני תרי תירוצי קושטא נינהו לענין דינא ולפיכך פסקום הפוסקים ז"ל, ורבינו כתב כאן כתירוצא בתרא ולקמן בסמוך כתירוצא קמא. וכתב הרב המגיד בפ"ה (הט"ו) בשם הרשב"א (חי' יב: ד"ה וכולה) דאפילו אין רבן [עומד] עליהם מסדרין דכל שעה אימתו עליהם ואין נראה כן דעת רבינו עכ"ל [המ"מ]:</w:t>
      </w:r>
    </w:p>
    <w:p w14:paraId="0A5C7FA5"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999A39A" w14:textId="77777777" w:rsidR="004B2E7C" w:rsidRDefault="004B2E7C" w:rsidP="00434A6A">
      <w:pPr>
        <w:rPr>
          <w:rFonts w:asciiTheme="minorBidi" w:hAnsiTheme="minorBidi"/>
          <w:rtl/>
        </w:rPr>
      </w:pPr>
      <w:r w:rsidRPr="00CC2350">
        <w:rPr>
          <w:rFonts w:asciiTheme="minorBidi" w:hAnsiTheme="minorBidi" w:cs="Arial"/>
          <w:rtl/>
        </w:rPr>
        <w:t xml:space="preserve">תינוקות של בית רבן קוראין לאור הנר, מפני שאימת רבן עליהם. </w:t>
      </w:r>
    </w:p>
    <w:p w14:paraId="36260970" w14:textId="77777777" w:rsidR="004B2E7C" w:rsidRPr="00CC2350" w:rsidRDefault="004B2E7C" w:rsidP="00434A6A">
      <w:pPr>
        <w:rPr>
          <w:rFonts w:asciiTheme="minorBidi" w:hAnsiTheme="minorBidi"/>
          <w:rtl/>
        </w:rPr>
      </w:pPr>
    </w:p>
    <w:p w14:paraId="6C44D3E5" w14:textId="77777777" w:rsidR="004B2E7C" w:rsidRDefault="004B2E7C" w:rsidP="00434A6A">
      <w:pPr>
        <w:pStyle w:val="2"/>
        <w:rPr>
          <w:rtl/>
        </w:rPr>
      </w:pPr>
      <w:r w:rsidRPr="00CC2350">
        <w:rPr>
          <w:rtl/>
        </w:rPr>
        <w:t>סעיף ז</w:t>
      </w:r>
    </w:p>
    <w:p w14:paraId="2781D99A" w14:textId="77777777" w:rsidR="004B2E7C" w:rsidRPr="008A00D7" w:rsidRDefault="004B2E7C" w:rsidP="00434A6A">
      <w:pPr>
        <w:rPr>
          <w:rtl/>
        </w:rPr>
      </w:pPr>
      <w:r w:rsidRPr="008A00D7">
        <w:rPr>
          <w:rFonts w:cs="Arial"/>
          <w:rtl/>
        </w:rPr>
        <w:t>[ז] ומ"ש ומכל מקום נראה שמותר לקרות במה מדליקין וכו'. כן כתוב בכל הספרים הנזכרים:</w:t>
      </w:r>
    </w:p>
    <w:p w14:paraId="3B85A184"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092241E" w14:textId="77777777" w:rsidR="004B2E7C" w:rsidRDefault="004B2E7C" w:rsidP="00434A6A">
      <w:pPr>
        <w:rPr>
          <w:rFonts w:asciiTheme="minorBidi" w:hAnsiTheme="minorBidi"/>
          <w:rtl/>
        </w:rPr>
      </w:pPr>
      <w:r w:rsidRPr="00CC2350">
        <w:rPr>
          <w:rFonts w:asciiTheme="minorBidi" w:hAnsiTheme="minorBidi" w:cs="Arial"/>
          <w:rtl/>
        </w:rPr>
        <w:t xml:space="preserve">מותר לקרות במה מדליקין לאור הנר, שהרי הוא מזכיר איסור שבת ואיך ישכח. </w:t>
      </w:r>
    </w:p>
    <w:p w14:paraId="51803A3C" w14:textId="77777777" w:rsidR="004B2E7C" w:rsidRPr="00CC2350" w:rsidRDefault="004B2E7C" w:rsidP="00434A6A">
      <w:pPr>
        <w:rPr>
          <w:rFonts w:asciiTheme="minorBidi" w:hAnsiTheme="minorBidi"/>
          <w:rtl/>
        </w:rPr>
      </w:pPr>
    </w:p>
    <w:p w14:paraId="3F46F77F" w14:textId="77777777" w:rsidR="004B2E7C" w:rsidRDefault="004B2E7C" w:rsidP="00434A6A">
      <w:pPr>
        <w:pStyle w:val="2"/>
        <w:rPr>
          <w:rtl/>
        </w:rPr>
      </w:pPr>
      <w:r w:rsidRPr="00CC2350">
        <w:rPr>
          <w:rtl/>
        </w:rPr>
        <w:t>סעיף ח</w:t>
      </w:r>
    </w:p>
    <w:p w14:paraId="2091ABF7" w14:textId="77777777" w:rsidR="004B2E7C" w:rsidRPr="008A00D7" w:rsidRDefault="004B2E7C" w:rsidP="00434A6A">
      <w:pPr>
        <w:rPr>
          <w:rtl/>
        </w:rPr>
      </w:pPr>
      <w:r w:rsidRPr="008A00D7">
        <w:rPr>
          <w:rFonts w:cs="Arial"/>
          <w:rtl/>
        </w:rPr>
        <w:t>[ח] וכתב בעל התרומה ומטעם זה נוהגים לקרות וכו'. כן כתוב בהגהות (מיימוניות) פ"ה (אות ס) ובסמ"ג (ל"ת סה, טז.) ובמרדכי פרק קמא (סי' רלו):</w:t>
      </w:r>
    </w:p>
    <w:p w14:paraId="0F7EDAA1"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096194C" w14:textId="77777777" w:rsidR="004B2E7C" w:rsidRDefault="004B2E7C" w:rsidP="00434A6A">
      <w:pPr>
        <w:rPr>
          <w:rFonts w:asciiTheme="minorBidi" w:hAnsiTheme="minorBidi"/>
          <w:rtl/>
        </w:rPr>
      </w:pPr>
      <w:r w:rsidRPr="00CC2350">
        <w:rPr>
          <w:rFonts w:asciiTheme="minorBidi" w:hAnsiTheme="minorBidi" w:cs="Arial"/>
          <w:rtl/>
        </w:rPr>
        <w:t xml:space="preserve">נוהגים לקרות בליל יו"כ במחזורים, מפני שאימת יוה"כ עליהם. </w:t>
      </w:r>
    </w:p>
    <w:p w14:paraId="69554509" w14:textId="77777777" w:rsidR="004B2E7C" w:rsidRPr="00CC2350" w:rsidRDefault="004B2E7C" w:rsidP="00434A6A">
      <w:pPr>
        <w:rPr>
          <w:rFonts w:asciiTheme="minorBidi" w:hAnsiTheme="minorBidi"/>
          <w:rtl/>
        </w:rPr>
      </w:pPr>
    </w:p>
    <w:p w14:paraId="07464E9A" w14:textId="77777777" w:rsidR="004B2E7C" w:rsidRDefault="004B2E7C" w:rsidP="00434A6A">
      <w:pPr>
        <w:pStyle w:val="2"/>
        <w:rPr>
          <w:rtl/>
        </w:rPr>
      </w:pPr>
      <w:r w:rsidRPr="00CC2350">
        <w:rPr>
          <w:rtl/>
        </w:rPr>
        <w:t>סעיף ט</w:t>
      </w:r>
    </w:p>
    <w:p w14:paraId="2F4225BD" w14:textId="77777777" w:rsidR="004B2E7C" w:rsidRPr="008A00D7" w:rsidRDefault="004B2E7C" w:rsidP="00434A6A">
      <w:pPr>
        <w:rPr>
          <w:rtl/>
        </w:rPr>
      </w:pPr>
      <w:r w:rsidRPr="008A00D7">
        <w:rPr>
          <w:rFonts w:cs="Arial"/>
          <w:rtl/>
        </w:rPr>
        <w:t>[ט] וכתוב בשבלי הלקט (סי' סד) בשם ה"ר בנימין על דברי בעל התרומה מ"ש בליל פסח שחל להיות בשבת וצריך לומר הגדה על השולחן וכו' אם כן מה יעשה תבטל מצות הגדה משום ספק שמא יטה ועוד אם התרנו תרי גברי בחד עניינא דאיכא למימר כל חד וחד נותן דעתו לקרות ואינו מרגיש בהטיית חבירו כל שכן שיש להתיר כשאין חבירו קורא עמו ובעיוני אשתו והא דנקט תרי גברי בחד עניינא רבותא קמשמע לן שאע"פ ששניהם קורין שרי וכל שכן אם האחד קורא והאחר מעיין בו ושומע ועוד דקריאת ההגדה בספר הוי כעיון ראשי פרקים דאין עם הארץ שלא תהא שגורה בפיו קצת וכדברי ה"ר בנימין נראה בעיני ע"כ:</w:t>
      </w:r>
      <w:r>
        <w:rPr>
          <w:rStyle w:val="a9"/>
          <w:rtl/>
        </w:rPr>
        <w:footnoteReference w:id="970"/>
      </w:r>
    </w:p>
    <w:p w14:paraId="17AE9B8E"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0924C89" w14:textId="77777777" w:rsidR="004B2E7C" w:rsidRDefault="004B2E7C" w:rsidP="00434A6A">
      <w:pPr>
        <w:rPr>
          <w:rFonts w:asciiTheme="minorBidi" w:hAnsiTheme="minorBidi"/>
          <w:rtl/>
        </w:rPr>
      </w:pPr>
      <w:r w:rsidRPr="00CC2350">
        <w:rPr>
          <w:rFonts w:asciiTheme="minorBidi" w:hAnsiTheme="minorBidi" w:cs="Arial"/>
          <w:rtl/>
        </w:rPr>
        <w:t xml:space="preserve">ליל פסח שחל להיות בשבת, מותר לקרות ההגדה בספר משום דהוי כעין ראשי פרקים, דאין ע"ה שלא תהא שגורה בפיו קצת. </w:t>
      </w:r>
    </w:p>
    <w:p w14:paraId="278EF538" w14:textId="77777777" w:rsidR="004B2E7C" w:rsidRPr="00CC2350" w:rsidRDefault="004B2E7C" w:rsidP="00434A6A">
      <w:pPr>
        <w:rPr>
          <w:rFonts w:asciiTheme="minorBidi" w:hAnsiTheme="minorBidi"/>
          <w:rtl/>
        </w:rPr>
      </w:pPr>
    </w:p>
    <w:p w14:paraId="326229D4" w14:textId="77777777" w:rsidR="004B2E7C" w:rsidRDefault="004B2E7C" w:rsidP="00434A6A">
      <w:pPr>
        <w:pStyle w:val="2"/>
        <w:rPr>
          <w:rtl/>
        </w:rPr>
      </w:pPr>
      <w:r w:rsidRPr="00CC2350">
        <w:rPr>
          <w:rtl/>
        </w:rPr>
        <w:t>סעיף י</w:t>
      </w:r>
    </w:p>
    <w:p w14:paraId="7AEB849A" w14:textId="77777777" w:rsidR="004B2E7C" w:rsidRPr="008A00D7" w:rsidRDefault="004B2E7C" w:rsidP="00434A6A">
      <w:pPr>
        <w:rPr>
          <w:rtl/>
        </w:rPr>
      </w:pPr>
      <w:r w:rsidRPr="008A00D7">
        <w:rPr>
          <w:rFonts w:cs="Arial"/>
          <w:rtl/>
        </w:rPr>
        <w:t>[א (ב), י] והרב יכול לראות [לאור] הנר וכו'. משנה בפרק קמא דשבת (יא.) באמת [אמרו] החזן רואה מהיכן התינוקות קורין ופירש רש"י בחד לישנא חזן מלמד תינוקות ומפרש בגמרא (יב:) מאי רואה מסדר ראשי פרשיות כלומר שרואה ראשי פרשיות בספר וקורא כל הפרשה על פה, ומה שכתב רבינו אבל לא יקרא כל הפרשה היינו דוקא מתוך הספר, וכך הם דברי הרמב"ם שכתב בפ"ה (הט"ו) שיש לרב לראות בספר לאור הנר ראש הפרשה שהוא צריך להקרותן וכך הם דברי סמ"ג (שם) והתרומה (שם) והגהות פ"ה (אות ס). ומשמע לי דראשי פרשיות לאו דוקא אלא כל שיודע הפרשה על פה ובקצת דברים צריך לראות בספר שרי דמאחר שאינו מעיין בספר תמיד אית ליה היכרא ולא אתי לאטויי. ומשמע נמי דשרי לסדר ראשי פרשיות אפילו בהוצאת דיבור וכן פירש רש"י (שם) מסדר ראשי פרשיותיו ומריצן בפיו וכן נראה מדברי הפוסקים, ושלא כדברי הגהות אשיר"י (סי' לא) שכתב דעד כאן לא שרי לסדר ראשי פרשיות אלא שרואה ומחשב בלבו אך לא יקרא בהוצאת דיבור אבל כולה הפרשה לא ואפילו בהרהור בעלמא עכ"ל, ומכל מקום במה שאסר לראות כל הפרשה לאור הנר אפילו בהרהור בעלמא לא ראיתי חולק עליו וטעמא דמסתבר דפשוט הוא לאסור דהא איכא למיחש שמא יטה:</w:t>
      </w:r>
    </w:p>
    <w:p w14:paraId="384AF8F0"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F3CE5BB" w14:textId="77777777" w:rsidR="004B2E7C" w:rsidRDefault="004B2E7C" w:rsidP="00434A6A">
      <w:pPr>
        <w:rPr>
          <w:rFonts w:asciiTheme="minorBidi" w:hAnsiTheme="minorBidi"/>
          <w:rtl/>
        </w:rPr>
      </w:pPr>
      <w:r w:rsidRPr="00CC2350">
        <w:rPr>
          <w:rFonts w:asciiTheme="minorBidi" w:hAnsiTheme="minorBidi" w:cs="Arial"/>
          <w:rtl/>
        </w:rPr>
        <w:t xml:space="preserve">הרב יכול לראות לאור הנר מהיכן יקראו התינוקות, ולסדר ראשי הפרשיות בפיו בספר, וקורא כל שאר הפרשה על פה. וראשי פרשיות לאו דוקא, אלא כל שיודע הפרשה ע"פ ובקצת צריך לראות בספר, שרי, שמאחר שאינו מעיין בספר תמיד אית ליה היכירא ולא אתי להטויי. </w:t>
      </w:r>
    </w:p>
    <w:p w14:paraId="4E4608E8" w14:textId="77777777" w:rsidR="004B2E7C" w:rsidRPr="00CC2350" w:rsidRDefault="004B2E7C" w:rsidP="00434A6A">
      <w:pPr>
        <w:rPr>
          <w:rFonts w:asciiTheme="minorBidi" w:hAnsiTheme="minorBidi"/>
          <w:rtl/>
        </w:rPr>
      </w:pPr>
    </w:p>
    <w:p w14:paraId="6FD07B2E" w14:textId="77777777" w:rsidR="004B2E7C" w:rsidRDefault="004B2E7C" w:rsidP="00434A6A">
      <w:pPr>
        <w:pStyle w:val="2"/>
        <w:rPr>
          <w:rtl/>
        </w:rPr>
      </w:pPr>
      <w:r w:rsidRPr="00CC2350">
        <w:rPr>
          <w:rtl/>
        </w:rPr>
        <w:t>סעיף יא</w:t>
      </w:r>
    </w:p>
    <w:p w14:paraId="2C1277D1" w14:textId="77777777" w:rsidR="004B2E7C" w:rsidRPr="008A00D7" w:rsidRDefault="004B2E7C" w:rsidP="00434A6A">
      <w:pPr>
        <w:rPr>
          <w:rtl/>
        </w:rPr>
      </w:pPr>
      <w:r w:rsidRPr="008A00D7">
        <w:rPr>
          <w:rFonts w:cs="Arial"/>
          <w:rtl/>
        </w:rPr>
        <w:t>[יא] כלים הדומים זה לזה וכו' ואפילו להבחין בין בגדיו לבגדי אשתו אסור לבדוק וכו'. שם (יב.) מימרא:</w:t>
      </w:r>
    </w:p>
    <w:p w14:paraId="5B8B5A2D"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0C0F549B" w14:textId="77777777" w:rsidR="004B2E7C" w:rsidRDefault="004B2E7C" w:rsidP="00434A6A">
      <w:pPr>
        <w:rPr>
          <w:rFonts w:asciiTheme="minorBidi" w:hAnsiTheme="minorBidi"/>
          <w:rtl/>
        </w:rPr>
      </w:pPr>
      <w:r w:rsidRPr="00CC2350">
        <w:rPr>
          <w:rFonts w:asciiTheme="minorBidi" w:hAnsiTheme="minorBidi" w:cs="Arial"/>
          <w:rtl/>
        </w:rPr>
        <w:t xml:space="preserve">כלים הדומים זה לזה וצריך עיון להבחין ביניהם, אסור לבדקן לאור הנר ואפילו להבחין בין בגדיו לבגדי אשתו אם הם דומים, אסור לבדוק. </w:t>
      </w:r>
    </w:p>
    <w:p w14:paraId="432D7322" w14:textId="77777777" w:rsidR="004B2E7C" w:rsidRPr="00CC2350" w:rsidRDefault="004B2E7C" w:rsidP="00434A6A">
      <w:pPr>
        <w:rPr>
          <w:rFonts w:asciiTheme="minorBidi" w:hAnsiTheme="minorBidi"/>
          <w:rtl/>
        </w:rPr>
      </w:pPr>
    </w:p>
    <w:p w14:paraId="41A6BB5D" w14:textId="77777777" w:rsidR="004B2E7C" w:rsidRDefault="004B2E7C" w:rsidP="00434A6A">
      <w:pPr>
        <w:pStyle w:val="2"/>
        <w:rPr>
          <w:rtl/>
        </w:rPr>
      </w:pPr>
      <w:r w:rsidRPr="00CC2350">
        <w:rPr>
          <w:rtl/>
        </w:rPr>
        <w:t>סעיף יב</w:t>
      </w:r>
      <w:r>
        <w:rPr>
          <w:rFonts w:hint="cs"/>
          <w:rtl/>
        </w:rPr>
        <w:t>:</w:t>
      </w:r>
    </w:p>
    <w:p w14:paraId="346EBAB9" w14:textId="77777777" w:rsidR="004B2E7C" w:rsidRPr="008A00D7" w:rsidRDefault="004B2E7C" w:rsidP="00434A6A">
      <w:pPr>
        <w:rPr>
          <w:rtl/>
        </w:rPr>
      </w:pPr>
      <w:r w:rsidRPr="008A00D7">
        <w:rPr>
          <w:rFonts w:cs="Arial"/>
          <w:rtl/>
        </w:rPr>
        <w:t>[יב] הלכך שמש שאינו קבוע וכו'. גם זה שם (ע"ב) תני חדא שמש בודק קערות וכוסות לאור הנר ותניא אידך לא יבדוק לא קשיא כאן בשמש קבוע כאן בשמש שאינו קבוע ואיבעית אימא הא והא בשמש קבוע ולא קשיא הא בדמשחא הא בדנפטא איבעיא להו שמש שאינו קבוע בדמשחא מאי אמר רב הונא הלכה ואין מורין כן ורב ירמיה בר אבא אמר הלכה ומורין כן כך גירסת רש"י, ולפי זה שמש קבוע חמיר טפי ואסור בדמשחא מפני שאימת רבו עליו וחיישינן שמא יטה כדי לבודקן יפה ואפילו הכי שרי בדנפטא אבל שמש שאינו קבוע לא רמי עליה כולי האי ומשום הכי שרי אפילו בדמשחא ואיבעיא לן הא דשרינן לשאינו קבוע בדמשחא אי מורין כן או דילמא הוי הלכה ואין מורין כן: אבל הרי"ף (ה:) והתוספות (ד"ה שמש) גורסים איבעית אימא הא והא בשמש שאינו קבוע ולא קשיא הא בדמשחא וכו' איבעיא להו שמש קבוע בדמשחא מאי, ולפי זה שמש שאינו קבוע חמיר טפי ואסור בדמשחא ומיהו בדנפטא שרי ושמש קבוע שרי אפילו בדמשחא ואיבעיא לן הא דשרי שמש קבוע בדמשחא אי מורין כן או לא ופסקו הרי"ף (שם) והרא"ש (סי' לא) והרמב"ם בפרק ה' (הט"ז) כמאן דאמר אין מורין כן משום דמשמע בגמרא דרב אסי נמי סבר הכי: ובטעם חילוק דמשחא לדנפטא פירש רש"י דבדמשחא חיישינן דילמא אתי לאטויי ובדנפטא לא חיישינן מפני שהוא מסריח, והרי"ף והרא"ש כתבו דטעמא משום דנפטא מאיס ונפיש נהוריה ולא צריך לאצלויי ונראה שלא רצו לפרש משום דמסריח לחוד משום דאפילו הכי איכא למיחש שמא יטה ויזהר מליגע בו ולכך פירשו הטעם משום דנפיש נהוריה טובא ואינו צריך הטייה ולא סגי להו בהאי טעמא לחוד משום דנהי דליכא למיחש לאצלויי איכא למיחש שמא יסתפק ממנו לכך כתבו תרי טעמי. ונראה דטעמא דבדמשחא אסור הוא משום דלא נפיש נהוריה (בדנפטא) [כדנפטא]: אבל הרמב"ם בפרק ה' (שם) כתב דמשחא אסור משום שמא יסתפק ממנו ובדנפטא כתב שאורו רב כדברי הרי"ף והרא"ש, משמע שהוא מפרש דנפטא כיון שאורו רב לא חיישינן להטיה וגם לשמא יסתפק לא חיישינן משום דמאיס אבל בדמשחא אי לאו דאיכא למיחש שמא יסתפק משום הטייה לא הוה גזרינן דאע"ג דלא נפיש נהוריה כדנפטא מכל מקום כיון דנפיש נהוריה טובא לא הוה גזרינן ואף על פי שהתירו להדליק בדמשחא ולא חששו שמא יסתפק ממנו הכא על ידי שהוא מתקרב לנר ביותר חיישינן טפי כנ"ל: ויש בדברי רבינו קיצור שכתב ואם הנר של נפט בין קבוע בין שאינו קבוע מותר כיון שהוא מסריח לא חיישינן שמא יסתפק ממנו, וכך הוה ליה לכתוב ואם הנר של נפט בין קבוע בין שאינו קבוע מותר ולא חיישינן שמא יטה משום דנפיש נהוריה וגם לא חיישינן שמא יסתפק ממנו כיון שהוא מסריח: ובטעם חילוק בין שמש קבוע לשאינו קבוע לגירסת הרי"ף כתב הרא"ש (שם) שהוא משום דשמש שאינו קבוע מדקדק טפי שמא ימצא חן וישכירוהו והרמב"ם בפרק ה' (שם) כתב שהטעם משום דשמש שאינו קבוע צריך עיון יותר לפי שאינו בקי בהם הלכך חיישינן ביה טפי לשמא יטה וכן כתב הר"ן (ה: ד"ה ואמר) וכך הם דברי רבינו: ובעיקר דינים הללו יש להרמב"ם דרך אחרת שכתב בפרק ה' (שם) וז"ל שמש שאינו קבוע אסור לו לבדוק כוסות וקערות לאור הנר מפני שאינו מכירן בין בנר של שמן זית בין בנר של נפט שאורו רב אבל שמש קבוע מותר לו לבדוק לאור הנר כוסות וקערות מפני שאינו צריך עיון הרבה ואם היה נר של שמן זית אין מורין לו לבדוק ואף על פי שהוא מותר גזירה שמא יסתפק ממנו עכ"ל. וכתב הר"ן (שם) שגירסתו כגירסת הרי"ף אלא שאסר לשמש שאינו קבוע אפילו בשל נפט ולא נתבררו לי דבריו עכ"ל: ואיני יודע היאך אפשר ליישב דבריו על פי גירסת הרי"ף דכיון דלגירסא זו אמרינן ואיבעית אימא הא והא בשמש שאינו קבוע ולא קשיא הא בדמשחא הא בדנפטא הרי מתיר בהדיא שמש שאינו קבוע בדנפטא היאך יעלה על דעת הרמב"ם לאסרו, ואין ספק שאי אפשר לומר דגריס לגמרי כרש"י דאם כן היכי כתב דשמש קבוע בדמשחא אין מורין דהא כשאינו קבוע הוא דאמרינן בגמרא הכי ועוד דלכשתמצא לומר דגריס ואיבעית אימא הא והא בשמש קבוע כדגריס רש"י אי אפשר לומר שמפרשו כרש"י דהא לרש"י שמש שאינו קבוע קיל משמש קבוע ולהרמב"ם הוי איפכא: לכך צריך לומר שגירסת הרמב"ם מורכבת משתי הגירסאות שהוא גורס ואיבעית אימא הא והא בשמש קבוע כדגרס רש"י ובבעיא גורס כהרי"ף שמש קבוע בדמשחא מאי, והכי פירושו הא והא בשמש קבוע ולא קשיא הא בדמשחא הא בדנפטא כלומר אבל שמש שאינו קבוע אפילו בדנפטא אסור ואיבעיא לן הא דאסרינן לשמש קבוע בדמשחא דוקא להורות כן אבל להלכה שרי ואין מוחין ביד העושה כן או דילמא אסור גם מדינא ומוחין ביד העושה כן. ועוד יש לומר דהכי קא מיבעיא ליה הלכה כלישנא קמא דשרי לקבוע לבדוק סתמא ואפילו בדמשחא משמע או הלכה כלישנא בתרא דאסר בדמשחא אפילו לקבוע וכן פירש הרב המגיד ז"ל</w:t>
      </w:r>
      <w:r>
        <w:rPr>
          <w:rStyle w:val="a9"/>
          <w:rFonts w:cs="Arial"/>
          <w:rtl/>
        </w:rPr>
        <w:footnoteReference w:id="971"/>
      </w:r>
      <w:r w:rsidRPr="008A00D7">
        <w:rPr>
          <w:rFonts w:cs="Arial"/>
          <w:rtl/>
        </w:rPr>
        <w:t>:</w:t>
      </w:r>
    </w:p>
    <w:p w14:paraId="16FE202E"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E253770" w14:textId="77777777" w:rsidR="004B2E7C" w:rsidRDefault="004B2E7C" w:rsidP="00434A6A">
      <w:pPr>
        <w:rPr>
          <w:rFonts w:asciiTheme="minorBidi" w:hAnsiTheme="minorBidi"/>
          <w:rtl/>
        </w:rPr>
      </w:pPr>
      <w:r w:rsidRPr="00CC2350">
        <w:rPr>
          <w:rFonts w:asciiTheme="minorBidi" w:hAnsiTheme="minorBidi" w:cs="Arial"/>
          <w:rtl/>
        </w:rPr>
        <w:t>שמש שאינו קבוע אסור לו לבדוק כוסות וקערות לאור הנר, מפני שאינו מכירן בין בנר שמן זית בין בנר של נפט (פי' מין זפת לבן וריחו רע) שאורו רב. הגה: ויש מתירין בשל נפט, אפילו בשמש שאינו קבוע (טור וב"י בשם הפוסקים), אבל שמש קבוע מותר לו לבדוק לאור הנר כוסות, מפני שא"צ עיון הרבה. ואם היה נר של שמן זית, אין מורין לו לבדוק ואף על פי שהוא מותר, גזירה שמא יסתפק ממנו. הגה: נהגו לכסות הקטנים שלא יהיו ערומים בפני הנרות, משום ביזוי מצוה. וכ"כ הרוקח.</w:t>
      </w:r>
    </w:p>
    <w:p w14:paraId="64CC9C67" w14:textId="77777777" w:rsidR="004B2E7C" w:rsidRDefault="004B2E7C" w:rsidP="00434A6A">
      <w:pPr>
        <w:rPr>
          <w:rFonts w:asciiTheme="minorBidi" w:hAnsiTheme="minorBidi"/>
          <w:rtl/>
        </w:rPr>
      </w:pPr>
    </w:p>
    <w:p w14:paraId="1898F7A8" w14:textId="77777777" w:rsidR="004B2E7C" w:rsidRDefault="004B2E7C" w:rsidP="00434A6A">
      <w:pPr>
        <w:rPr>
          <w:rFonts w:asciiTheme="minorBidi" w:hAnsiTheme="minorBidi"/>
          <w:rtl/>
        </w:rPr>
      </w:pPr>
    </w:p>
    <w:p w14:paraId="3F61B283" w14:textId="77777777" w:rsidR="004B2E7C" w:rsidRDefault="004B2E7C" w:rsidP="00434A6A">
      <w:pPr>
        <w:pStyle w:val="1"/>
        <w:rPr>
          <w:rtl/>
        </w:rPr>
        <w:sectPr w:rsidR="004B2E7C" w:rsidSect="00BD29B1">
          <w:headerReference w:type="default" r:id="rId46"/>
          <w:footnotePr>
            <w:numRestart w:val="eachSect"/>
          </w:footnotePr>
          <w:pgSz w:w="11906" w:h="16838"/>
          <w:pgMar w:top="720" w:right="1134" w:bottom="720" w:left="1134" w:header="0" w:footer="0" w:gutter="0"/>
          <w:cols w:space="720"/>
          <w:bidi/>
          <w:rtlGutter/>
          <w:docGrid w:linePitch="360"/>
        </w:sectPr>
      </w:pPr>
    </w:p>
    <w:p w14:paraId="220A1433" w14:textId="77777777" w:rsidR="004B2E7C" w:rsidRPr="00CC2350" w:rsidRDefault="004B2E7C" w:rsidP="00434A6A">
      <w:pPr>
        <w:pStyle w:val="1"/>
        <w:rPr>
          <w:rtl/>
        </w:rPr>
      </w:pPr>
      <w:r>
        <w:rPr>
          <w:rFonts w:hint="cs"/>
          <w:rtl/>
        </w:rPr>
        <w:t xml:space="preserve">סימן רעו: </w:t>
      </w:r>
      <w:r w:rsidRPr="00CC2350">
        <w:rPr>
          <w:rtl/>
        </w:rPr>
        <w:t xml:space="preserve">דיני נר שהדליק </w:t>
      </w:r>
      <w:r>
        <w:rPr>
          <w:rtl/>
        </w:rPr>
        <w:t>גוי</w:t>
      </w:r>
      <w:r w:rsidRPr="00CC2350">
        <w:rPr>
          <w:rtl/>
        </w:rPr>
        <w:t xml:space="preserve"> בשבת, ובו ה' סעיפים. </w:t>
      </w:r>
    </w:p>
    <w:p w14:paraId="77B59C60" w14:textId="77777777" w:rsidR="004B2E7C" w:rsidRDefault="004B2E7C" w:rsidP="00434A6A">
      <w:pPr>
        <w:pStyle w:val="2"/>
        <w:rPr>
          <w:rtl/>
        </w:rPr>
      </w:pPr>
      <w:r w:rsidRPr="00CC2350">
        <w:rPr>
          <w:rtl/>
        </w:rPr>
        <w:t>סעיף א</w:t>
      </w:r>
    </w:p>
    <w:p w14:paraId="0D3D0364" w14:textId="77777777" w:rsidR="004B2E7C" w:rsidRPr="008A00D7" w:rsidRDefault="004B2E7C" w:rsidP="00FF2D21">
      <w:pPr>
        <w:pStyle w:val="aa"/>
        <w:numPr>
          <w:ilvl w:val="0"/>
          <w:numId w:val="117"/>
        </w:numPr>
      </w:pPr>
      <w:r>
        <w:rPr>
          <w:rFonts w:hint="cs"/>
          <w:rtl/>
        </w:rPr>
        <w:t xml:space="preserve">טור- </w:t>
      </w:r>
      <w:r w:rsidRPr="008A00D7">
        <w:rPr>
          <w:rFonts w:cs="Arial"/>
          <w:rtl/>
        </w:rPr>
        <w:t>עכו"ם שהדליק את הנר לצרכו או לצורך חולה שאין בו סכנה</w:t>
      </w:r>
      <w:r>
        <w:rPr>
          <w:rStyle w:val="a9"/>
          <w:rFonts w:cs="Arial"/>
          <w:rtl/>
        </w:rPr>
        <w:footnoteReference w:id="972"/>
      </w:r>
      <w:r w:rsidRPr="008A00D7">
        <w:rPr>
          <w:rFonts w:cs="Arial"/>
          <w:rtl/>
        </w:rPr>
        <w:t xml:space="preserve"> יכול ישראל להשתמש לאורו ואם בשביל ישראל אסור לכל אפילו למי שלא הודלק בשבילו אבל אם עשה אש לצורכו או לצורך חולה שאין בו סכנה אסור להתחמם כנגדו שמא ירבה בשבילו. ישראל ועכו"ם שהסיבו יחד והדליק עכו"ם הנר אם הרוב עכו"ם מותר להשתמש לאורו שלצורך הרוב הדליק ואם רוב ישראל או אפילו מחצה על מחצה ישראל אסור אא"כ יש הוכחה שלצורך עכו"ם מדליקה</w:t>
      </w:r>
      <w:r>
        <w:rPr>
          <w:rStyle w:val="a9"/>
          <w:rFonts w:cs="Arial"/>
          <w:rtl/>
        </w:rPr>
        <w:footnoteReference w:id="973"/>
      </w:r>
      <w:r w:rsidRPr="008A00D7">
        <w:rPr>
          <w:rFonts w:cs="Arial"/>
          <w:rtl/>
        </w:rPr>
        <w:t xml:space="preserve"> ואם אומר לעבדו או לשפחתו לילך עמו והדליקו את הנר אף על פי שגם הם צריכין לו אין זה לצורך עכו"ם כיון שעיקר ההליכה לצורך ישראל ואם יש נר בבית ישראל ובא עכו"ם והדליק עוד אחרת מותר להשתמש לאורו כיון דבלאו זה היה שם נר אבל לאחר שיכבה הראשון אסור להשתמש לאור השני וכן אם נתן שמן בנר הדלוק יכול להשתמש בו עד כדי שיכלה השמן שהיה בו כבר ויכול למחות בו שלא ידליק הנר ושלא ליתן בו שמן ואיתא בירושלמי שאם העכו"ם הדליק מדעתו בבית ישראל שאין מטריחין אותו לצאת משם:</w:t>
      </w:r>
    </w:p>
    <w:p w14:paraId="78B7D82F" w14:textId="77777777" w:rsidR="004B2E7C" w:rsidRDefault="004B2E7C" w:rsidP="00434A6A">
      <w:pPr>
        <w:rPr>
          <w:rtl/>
        </w:rPr>
      </w:pPr>
      <w:r>
        <w:rPr>
          <w:rFonts w:cs="Arial"/>
          <w:rtl/>
        </w:rPr>
        <w:t>[א (א)] נכרי שהדליק את הנר וכו'. משנה בסוף פרק כל כתבי (קכב.) נכרי שהדליק את הנר ישתמש לאורו ישראל ואם בשביל ישראל אסור:</w:t>
      </w:r>
    </w:p>
    <w:p w14:paraId="3FED8081" w14:textId="77777777" w:rsidR="004B2E7C" w:rsidRDefault="004B2E7C" w:rsidP="00434A6A">
      <w:pPr>
        <w:rPr>
          <w:rtl/>
        </w:rPr>
      </w:pPr>
      <w:r>
        <w:rPr>
          <w:rFonts w:cs="Arial"/>
          <w:rtl/>
        </w:rPr>
        <w:t>ומ"ש רבינו אסור לכל אפילו למי שלא הודלק בשבילו. כן כתבו שם התוספות (בד"ה ואם) והרא"ש (סימן יב) והר"ן (מו. ד"ה ואיכא) ושלא כדברי האומרים דדוקא לישראל שעושה בשבילו אבל למי שלא נעשה בשבילו שרי כדאמרינן (ביצה כה.) בבא מחוץ לתחום וטעמא משום דדוקא באיסור תחומין דרבנן התירו אבל לא באיסור תורה, והר"ן כתב עוד (שם) דאפילו באיסורי דרבנן אפשר דלא מקילינן בהכי אלא באיסור תחומין שאינו שוה לכל דמה שהוא חוץ לתחומו של זה הוא תוך תחומו של זה אבל בשאר איסורין דרבנן לא: והא דתנן ואם בשביל ישראל אסור כתוב בסמ"ג (ל"ת סה, יט ריש ע"ד) והתרומה (סי' רנב) דאפילו אם קצץ לו שכר על זה אסור ולא דמי לשילוח אגרות (לעיל סי' רמז) דשרי בקצץ דהתם אין גוף ישראל נהנה מגוף השליחות אבל הכא גוף הישראל נהנה ממלאכת שבת הנעשית בשבילו וכן כתוב בהגהות אשיר"י בפרק קמא (סי' לז):</w:t>
      </w:r>
    </w:p>
    <w:p w14:paraId="1567B167" w14:textId="77777777" w:rsidR="004B2E7C" w:rsidRDefault="004B2E7C" w:rsidP="00434A6A">
      <w:pPr>
        <w:rPr>
          <w:rtl/>
        </w:rPr>
      </w:pPr>
      <w:r>
        <w:rPr>
          <w:rFonts w:cs="Arial"/>
          <w:rtl/>
        </w:rPr>
        <w:t>ומ"ש רבינו או לצורך חולה שאין בו סכנה. היינו לומר דאע"פ שאין בו סכנה הודלק בהיתר הוא כדאמרינן בסוף פרק מפנין (קכט.) דצרכי חולה שאין בו סכנה נעשים על ידי גוי וכיון דבהיתר הודלק מותר להשתמש לאורה וכן כתוב בסמ"ג (שם כ ע"ג) והתרומה (שם) והגהות (מיימוניות) פ"ו (אות ה):</w:t>
      </w:r>
    </w:p>
    <w:p w14:paraId="460D7C68" w14:textId="77777777" w:rsidR="004B2E7C" w:rsidRDefault="004B2E7C" w:rsidP="00434A6A">
      <w:pPr>
        <w:rPr>
          <w:rtl/>
        </w:rPr>
      </w:pPr>
      <w:r>
        <w:rPr>
          <w:rFonts w:cs="Arial"/>
          <w:rtl/>
        </w:rPr>
        <w:t>אבל אם עשה אש לצרכו וכו'. כלומר בהדליק הנר לצרכו או לצורך חולה שאין בו סכנה הוא דמותר לישראל להשתמש לאורו אבל אם עשה אש לצרכו וכו' אסור להתחמם כנגדו וכו', והכי משמע מדתניא סוף פרק כל כתבי (קכב.) גוי שמילא מים להשקות בהמתו משקה אחריו ישראל במה דברים אמורים בשאינו מכירו אבל מכירו אסור גזירה שמא ירבה בשבילו ומפרש רבא דלא דמי להדליק גוי נר לצרכו דמותר לישראל להשתמש לאורו דשאני התם דליכא למיחש שמא ירבה בשבילו דנר לאחד נר למאה, ואם כן עשיית אש דשייך בה ריבוי דיש אש מספקת לחמם כמה בני אדם ויש שאינה מספקת אלא לאחד או שנים חיישינן שמא ירבה בשבילו ורבינו שלא חילק כאן בין מכירו לשאינו מכירו צריך לומר שסמך על מה שחילק ביניהם בסימן שכ"ה (צז:) ובסמוך (ד"ה ודעת הרוקח) אכתוב טעם אחר בזה:</w:t>
      </w:r>
    </w:p>
    <w:p w14:paraId="0E6A8045" w14:textId="77777777" w:rsidR="004B2E7C" w:rsidRDefault="004B2E7C" w:rsidP="00434A6A">
      <w:pPr>
        <w:rPr>
          <w:rtl/>
        </w:rPr>
      </w:pPr>
      <w:r>
        <w:rPr>
          <w:rFonts w:cs="Arial"/>
          <w:rtl/>
        </w:rPr>
        <w:t>ומ"ש רבינו או לצורך חולה שאין בו סכנה. לאו דוקא דהוא הדין אם עשאו לצורך חולה שיש בו סכנה שאסור לישראל ליהנות ממנו לדעת רבינו דהא איכא למיחש שמא ירבה בשבילו וכדחיישינן במבשל בשבת בפרק קמא דחולין אלא איידי דנקט ברישא דלישניה חולה שאין בו סכנה נקט נמי הכי בסיפא ולא דק. אי נמי משום דצרכי חולה שיש בו סכנה אין נעשין על ידי גוים אלא על ידי גדולי ישראל (לקמן סי' שכח סי"ב) משום הכי נקט גבי גוים חולה שאין בו סכנה: וכן כתב האגור (סי' תצה) שרבינו תם אסר ליהנות במדורה שהרבה הגוי לצורך ישראל והוא מדברי שבלי הלקט (סי' קיב) וגם המרדכי כתב בפרק קמא (סי' רנ) שיש אוסרין, אבל סמ"ג (שם) והתרומה (שם) והמרדכי בפרק קמא (שם) והגהות פ"ו (שם) חלוקים על דברי רבינו שהם ז"ל התירו לישראל להתחמם כנגד אש שעשה הגוי לצרכו או לצורך חולה שאין בו סכנה ולא חילקו בין הדליק נר לעשה אש ונראה לי דמשמע להו דכשם דבהדלקת הנר לא חיישינן שמא ירבה משום דבנר אחד סגי למאה הכי נמי באש מועטת סגי להתחמם מאה בני אדם ואם נפשך לומר שאינם מתחממים כל כך כמו באש גדולה אף בהדלקת נר אינו מאיר להם כל כך בנר אחד כמו בעשרה נרות אלא כיון דנר אחד מאיר לכולם תו לא חיישינן שמא ירבה לגבי אש נמי כיון דאש מועטת מחממת לכולם תו לא חיישינן שמא ירבה: ודעת הרוקח (סי' צ) כדעת רבינו שכתב אין לישב אצל האש שתיקן הגוי פן יבעיר עצים או יחתה בגחלים עבור ישראל עכ"ל ואם רבינו היה דעתו לאסור לישב אצל אש שתיקן הגוי לעצמו קודם שבא ישראל אצלו משום האי חששא דספר הרוקח שפיר דייק שלא חילק כאן בין מכירו לשאינו מכירו דאפילו לא הכירו מעולם עכשיו שיושב אצל אש שלו הוה ליה כמכירו ואיכא למיחש שמא יבעיר עצים או יחתה בגחלים עבור ישראל:</w:t>
      </w:r>
    </w:p>
    <w:p w14:paraId="26C78C6B" w14:textId="77777777" w:rsidR="004B2E7C" w:rsidRPr="008A00D7" w:rsidRDefault="004B2E7C" w:rsidP="00434A6A">
      <w:pPr>
        <w:rPr>
          <w:rtl/>
        </w:rPr>
      </w:pPr>
      <w:r w:rsidRPr="008A00D7">
        <w:rPr>
          <w:rFonts w:cs="Arial"/>
          <w:rtl/>
        </w:rPr>
        <w:t>[א (ב)] ואיתא בירושלמי שאם הגוי הדליק מדעתו וכו'. בכל בו (שם) כתוב ואומר הר"מ נ"ע שצריך אדם למחות לעבדו או לשפחתו גויה שלא להדליק בשבילו את הנר ואם הדליקו אסור ליהנות בו כדאיתא פרק כל כתבי נכרי שהדליק וכו' ורבינו פרץ ז"ל כתב מיהו בירושלמי שאין מטריחין אותו לצאת מביתו אם הדליק הגוי מדעתו בשביל ישראל עכ"ל. ובספר התרומה סימן רמ"ט כתוב דבר הנעשה בשביל ישראל ובשביל גוים אסור במוצאי שבת בכדי שיעשו וכן משמע בירושלמי פרק כל כתבי בעובדא דאיקלע שמואל בביתא דגוי אדליק גוי בוצינא בשבתא והפך שמואל אפוי אייתי גוי שטרא וקרא ביה ידע שמואל דלאו בגינתיה אדליק הדר שמואל אפוי וקאמר הדא אמרה נעשה בשביל גוי ובשביל ישראל מותר וקאמר דילמא משום דאין מטריחין את האדם לצאת מביתו אבל בעלמא אסור אף על גב דיש בספר ירושלמי כתוב הדא אמרה אסור נראה דטעות סופר הוא ומותר גרסינן עכ"ל. וכן כתוב בסמ"ג (שם, כ:) גבי גוי שליקט פירות לישראל וגוי. ודברי רבינו הם כדברי ה"ר פרץ. ואף על גב דבההוא עובדא לא היה שמואל בביתו אלא בבית הגוי כיון שהיה בית הגוי באותה שעה מיוחד לדירתו ביתו מיקרי והוי טורח לצאת ממנו: ואיכא למידק דהא בירושלמי הכי איתא לצרכו ולצורך ישראל נשמעינה מן הדא שמואל איקבל גבי חד פרסיי איטפי בוצינא אזיל ההוא פרסיי בעא מדלקתיה הפך שמואל לאפוי כיון דחזיתיה מתעסק בשטרותיו ידע דלאו בגיניה אדלקה והפך שמואל אפוי אמר רבי יעקב הדא אמרה לצרכו ולצורך ישראל אסור אמר רבי יונה שניא היא שאין מטריחין על האדם לצאת מביתו אמר רבי אליעזר אי משום שאין מטריחין על האדם לצאת מביתו למה הפך שמואל אפוי, ומשמע דרבי אליעזר פליג אדרבי יונה ואמר אם כן דאין מטריחין על האדם לצאת מביתו למה הפך שמואל פניו מהנר כשהיה סבור שלצורך ישראל הדליקה הא כשמדליק בביתו של ישראל לא אסרו חכמים ליהנות לאורו, ובשלמא סמ"ג והתרומה שהביאו ירושלמי זה לענין דבר הנעשה לצורך גוי ולצורך ישראל איכא למימר אף על גב דרבי אליעזר שרי חשו לרבי יונה דאסר לחומרא אבל הר"פ דמייתי לה לענין אם מטריחין אותו לצאת מביתו מנא ליה למיפסק כרבי יונה דשרי דילמא הלכה כרבי אליעזר דאסר ועוד דהא אקשי לרבי יונה ושתיק ליה אלמא הלכתא כוותיה, ויש לומר דסבירא ליה (להרי"ף) [להר"פ] דרבי אליעזר לא פליג על רבי יונה אלא דאקשי ליה דאם כן דאין מטריחין וכו' למה הפך שמואל פניו מהנר כשהיה סבור שגם לצורך ישראל הדליקה, וזו אינה קושיא שאע"פ שלא הטריחוהו לצאת מביתו, להפוך פניו שאינו דבר של טורח מיהא בעי, והא דשתק ליה רבי יונה משום דלא חש לאהדורי ליה לפי שחילוק זה הוא מבואר, ומיהו קשה לזה דאם כן הוה ליה לר"פ לכתוב שצריך להפוך פניו, ואפשר לומר שהר"פ מפרש דרבי אליעזר לא מקשי לרבי (ינאי) [יונה] אלא מסייע ליה והכי קאמר ודאי דהכי הוא דמשום דאין מטריחין וכו' לכך הפך שמואל פניו מהנר ולא יצא חוץ לבית ולמה הפך יהיה פירוש כמו לכך הפך, ואפשר שכן מפרשים גם כן סמ"ג והתרומה ומפני כך לא הזכירו דברי ר' אליעזר כלל, ולפי זה לא אסרו כלל ליהנות כשמדליק בבית ישראל ואפילו להפוך פניו אינו צריך ושמואל דהפך אפוי משום מדת חסידות עבד אי נמי אדם חשוב שאני שצריך שיכירו דלאו מדעתיה אדליק: ולענין מה שמגיהים סמ"ג והתרומה הירושלמי לכתוב מותר במקום אסור נראה שטעמם משום דמשמע להו לפרש דמאי דאמר רבי יונה שניא היא שאין מטריחין וכו' היינו לומר דלעולם לצורך גוי ולצורך ישראל אסור והכא בעובדא דשמואל שאני דמשום שאין מטריחין את האדם וכו' התירו בלצרכו ולצורך ישראל, ואי הוה גרסינן אסור לא היה אפשר לומר כן דהא אמרינן דמהאי עובדא שמעינן דלצרכו ולצורך ישראל אסור, לכך הגיהו הדא אמרה לצרכו ולצורך ישראל מותר וילפינן הכי מדאמרינן כיון דחזיתיה מתעסק בשטרותיו וכו' והפך אפוי והא אף על גב דמתעסק בשטרותיו דילמא לצורך ישראל נמי הדליק נר זה ואסור ליהנות ממנו אלא ודאי כל לצרכו ולצורך ישראל שרי, ולפי זה הא דאמר ידע דלאו בגיניה אדלקה היינו לומר דלאו בגיניה לחודיה אדלקה אלא גם לצורך עצמו ומעיקרא הפך אפוי משום דסבר דלצורך ישראל לחודיה אדלקה, והשתא אתי שפיר דיחויא דרבי יונה דילמא משום שאין מטריחין וכו' שרי בלצרכו ולצורך ישראל אבל בעלמא אסור: ולע"ד נראה לקיים גירסת הספרים הדא אמרה לצרכו ולצורך ישראל אסור וילפי לה מדחזינן דקודם שיתעסק הגוי בשטרותיו הפך שמואל פניו מהנר אף על גב דמשמע דלצרכו ולצורך ישראל הדליק נר זה וכשנתעסק בשטרותיו איגלאי מילתא דלצורך עצמו לחוד אדלקה וכפשט לישנא דידע דלאו בגיניה אדלקה דמשמע שלא הדליק לצורך ישראל כלל אלא לצורך הגוי לבדו, ומאי דאמר רבי יונה שניא היא וכו' לאו לדחויי הא דשמעינן מינה דלצרכו ולצורך ישראל אסור אתא אלא דקשיא ליה מעיקרא כי הוה סבר שמואל דלצורך ישראל נמי הדליקה אמאי לא נפק שמואל מההוא ביתא כי היכי דלא ליתהני מההוא שרגא כלל וכדתנן נכרי שהדליק את הנר וכו' ואם בשביל ישראל אסור, וניחא ליה דהני מילי כשהדליק במקום שאינו ביתו שאינו טורח לו לצאת משם אבל כשמדליק בתוך ביתו אין מטריחין אותו לצאת מביתו, ורבי אליעזר אקשי ליה דאי מהאי טעמא לא אסרו חכמים ליהנות מנר שהדליק גוי לצורך ישראל, להפוך פניו נמי לא היה צריך, אי נמי שהוא מסייע לרבי יונה כדפרישית לעיל: ועוד יש לומר דהא דרבי יונה קאי אמאי דאמר כי חזיתיה מתעסק בשטרותיו וכו' וקשיא ליה דאכתי ליחוש דילמא גם לצורך ישראל הדליקה, וניחא ליה דאע"ג דכי אדליק סתמא אמרינן דלצורך ישראל נמי אדלקה ואסור ליהנות לאורו מכל מקום כי מוכחא מילתא דלצורך הגוי לבדו הדליקה כגון שהוא מתעסק בשטרותיו אף על גב דאיכא למימר דלצורך ישראל נמי אדלקה לא אמרינן הכי לפי שאין מטריחין את האדם וכו', ורבי אליעזר פליג עליה ואמר אי אפילו כשהגוי מתעסק בשטרותיו הוה ליה למיחש שמא הדליק לצורך ישראל נמי אלא משום שאין מטריחין וכו' כי חזיתיה שמואל מתעסק בשטרותיו אמאי הפך אפוי לשרגא הוה ליה לישאר פניו הפוכים מהנר כמו שהיה אלא ודאי כל שיש הוכחה דגוי לצרכיה הוא מדליק בלאו טעמא דאין מטריחין נמי שרי ליהנות מהנר ולא אמרינן דלצורך ישראל נמי אדלקה:</w:t>
      </w:r>
    </w:p>
    <w:p w14:paraId="5062A4EF"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35E4A46" w14:textId="77777777" w:rsidR="004B2E7C" w:rsidRDefault="004B2E7C" w:rsidP="00434A6A">
      <w:pPr>
        <w:rPr>
          <w:rFonts w:asciiTheme="minorBidi" w:hAnsiTheme="minorBidi"/>
          <w:rtl/>
        </w:rPr>
      </w:pPr>
      <w:r>
        <w:rPr>
          <w:rFonts w:asciiTheme="minorBidi" w:hAnsiTheme="minorBidi" w:cs="Arial"/>
          <w:rtl/>
        </w:rPr>
        <w:t>גוי</w:t>
      </w:r>
      <w:r w:rsidRPr="00CC2350">
        <w:rPr>
          <w:rFonts w:asciiTheme="minorBidi" w:hAnsiTheme="minorBidi" w:cs="Arial"/>
          <w:rtl/>
        </w:rPr>
        <w:t xml:space="preserve"> שהדליק את הנר בשביל ישראל, אסור לכל, אפי' למי שלא הודלק בשבילו. </w:t>
      </w:r>
      <w:r w:rsidRPr="008A00D7">
        <w:rPr>
          <w:rFonts w:asciiTheme="minorBidi" w:hAnsiTheme="minorBidi" w:cs="Arial"/>
          <w:sz w:val="18"/>
          <w:szCs w:val="18"/>
          <w:rtl/>
        </w:rPr>
        <w:t>הגה: ואין חילוק בזה בין קצב לו שכר או לא קצב, או שעשאו בקבלנות או בשכירות, דהואיל והישראל נהנה ממלאכה עצמה בשבת, אסור בכל ענין (הג"א פ"ק דשבת וב"י בשם סמ"ג וסה"ת)</w:t>
      </w:r>
      <w:r w:rsidRPr="00CC2350">
        <w:rPr>
          <w:rFonts w:asciiTheme="minorBidi" w:hAnsiTheme="minorBidi" w:cs="Arial"/>
          <w:rtl/>
        </w:rPr>
        <w:t xml:space="preserve"> אבל אם הדליקו לצרכו או לצורך חולה ישראל, אפי' אין בו סכנה, </w:t>
      </w:r>
      <w:r w:rsidRPr="008A00D7">
        <w:rPr>
          <w:rFonts w:asciiTheme="minorBidi" w:hAnsiTheme="minorBidi" w:cs="Arial"/>
          <w:sz w:val="18"/>
          <w:szCs w:val="18"/>
          <w:rtl/>
        </w:rPr>
        <w:t>הגה: או לצורך קטנים דהוא כחולה שאין בו סכנה (מרדכי פ"ק דשבת)</w:t>
      </w:r>
      <w:r w:rsidRPr="00CC2350">
        <w:rPr>
          <w:rFonts w:asciiTheme="minorBidi" w:hAnsiTheme="minorBidi" w:cs="Arial"/>
          <w:rtl/>
        </w:rPr>
        <w:t>, מותר לכל ישראל להשתמש לאורו. וה"ה לעושה מדורה לצרכו או לצורך חולה. ויש אוסרים במדורה, משום דגזרינן שמא ירבה בשבילו</w:t>
      </w:r>
      <w:r w:rsidRPr="008A00D7">
        <w:rPr>
          <w:rFonts w:asciiTheme="minorBidi" w:hAnsiTheme="minorBidi" w:cs="Arial"/>
          <w:sz w:val="18"/>
          <w:szCs w:val="18"/>
          <w:rtl/>
        </w:rPr>
        <w:t>. הגה: מיהו אם עשה גוי בבית ישראל, מדעתו, אין הישראל צריך לצאת אף על פי שנהנה מן הנר או מן המדורה (טור).</w:t>
      </w:r>
      <w:r w:rsidRPr="00CC2350">
        <w:rPr>
          <w:rFonts w:asciiTheme="minorBidi" w:hAnsiTheme="minorBidi" w:cs="Arial"/>
          <w:rtl/>
        </w:rPr>
        <w:t xml:space="preserve"> </w:t>
      </w:r>
    </w:p>
    <w:p w14:paraId="03545D63" w14:textId="77777777" w:rsidR="004B2E7C" w:rsidRPr="00CC2350" w:rsidRDefault="004B2E7C" w:rsidP="00434A6A">
      <w:pPr>
        <w:rPr>
          <w:rFonts w:asciiTheme="minorBidi" w:hAnsiTheme="minorBidi"/>
          <w:rtl/>
        </w:rPr>
      </w:pPr>
    </w:p>
    <w:p w14:paraId="568F5F7A" w14:textId="77777777" w:rsidR="004B2E7C" w:rsidRDefault="004B2E7C" w:rsidP="00434A6A">
      <w:pPr>
        <w:pStyle w:val="2"/>
        <w:rPr>
          <w:rtl/>
        </w:rPr>
      </w:pPr>
      <w:r w:rsidRPr="00CC2350">
        <w:rPr>
          <w:rtl/>
        </w:rPr>
        <w:t>סעיף ב</w:t>
      </w:r>
    </w:p>
    <w:p w14:paraId="554EB439" w14:textId="77777777" w:rsidR="004B2E7C" w:rsidRPr="008A00D7" w:rsidRDefault="004B2E7C" w:rsidP="00434A6A">
      <w:pPr>
        <w:rPr>
          <w:rtl/>
        </w:rPr>
      </w:pPr>
      <w:r w:rsidRPr="008A00D7">
        <w:rPr>
          <w:rFonts w:cs="Arial"/>
          <w:rtl/>
        </w:rPr>
        <w:t>[ב] ישראל וגוי שהסיבו יחד והדליק גוי הנר וכו'. ברייתא בסוף פרק כל כתבי (שם) ומפרש רש"י (שם רע"ב) טעמא דמחצה על מחצה נמי אסור משום דליכא למיקם עלה דמילתא אי אדעתא דישראל מדלקי ליה אי אדעתא דגוים. ומשמע מסוגית הגמרא דכל היכא דמדליק ליה גוי לצרכו כגון שאנו רואין שהוא משתמש בו אף על פי שרוב ישראל שרי וכן כתב הרא"ש שם (סי' יד), אלא שרש"י כתב אבל גוי וישראל והמדליק עצמו משתמש לאורה ודאי עיקר אדעתא דידיה עבד וכיון דנר לאחד נר למאה שרי עכ"ל ונראה מדבריו דעד כאן לא שרינן אלא במחצה על מחצה דומיא דישראל וגוי דנקט אבל ברוב ישראל לעולם אסור, והרב המגיד נסתפק בזה בפרק ו' (ה"ד) והניח הדבר בצ"ע, ודברי רבינו נוטים לדעת הרא"ש דארוב ישראל נמי קאמר אלא אם כן יש הוכחה שלצורך גוים מדליקה. ולענין הלכה נראה דלא שבקינן פשיטותא דהרא"ש משום ספיקיה דהרב המגיד וכל שכן דבגמרא משמע הכי ודברי רש"י אינם מוכרחים לומר דאסר ועוד דמידי דרבנן הוא הילכך נקיטינן להתיר:</w:t>
      </w:r>
    </w:p>
    <w:p w14:paraId="4764C493"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FD61B62" w14:textId="77777777" w:rsidR="004B2E7C" w:rsidRDefault="004B2E7C" w:rsidP="00434A6A">
      <w:pPr>
        <w:rPr>
          <w:rFonts w:asciiTheme="minorBidi" w:hAnsiTheme="minorBidi"/>
          <w:rtl/>
        </w:rPr>
      </w:pPr>
      <w:r w:rsidRPr="00CC2350">
        <w:rPr>
          <w:rFonts w:asciiTheme="minorBidi" w:hAnsiTheme="minorBidi" w:cs="Arial"/>
          <w:rtl/>
        </w:rPr>
        <w:t>ישראל ו</w:t>
      </w:r>
      <w:r>
        <w:rPr>
          <w:rFonts w:asciiTheme="minorBidi" w:hAnsiTheme="minorBidi" w:cs="Arial"/>
          <w:rtl/>
        </w:rPr>
        <w:t>גוי</w:t>
      </w:r>
      <w:r w:rsidRPr="00CC2350">
        <w:rPr>
          <w:rFonts w:asciiTheme="minorBidi" w:hAnsiTheme="minorBidi" w:cs="Arial"/>
          <w:rtl/>
        </w:rPr>
        <w:t xml:space="preserve"> שהסיבו יחד והדליק </w:t>
      </w:r>
      <w:r>
        <w:rPr>
          <w:rFonts w:asciiTheme="minorBidi" w:hAnsiTheme="minorBidi" w:cs="Arial"/>
          <w:rtl/>
        </w:rPr>
        <w:t>גוי</w:t>
      </w:r>
      <w:r w:rsidRPr="00CC2350">
        <w:rPr>
          <w:rFonts w:asciiTheme="minorBidi" w:hAnsiTheme="minorBidi" w:cs="Arial"/>
          <w:rtl/>
        </w:rPr>
        <w:t xml:space="preserve"> נר, אם רוב </w:t>
      </w:r>
      <w:r>
        <w:rPr>
          <w:rFonts w:asciiTheme="minorBidi" w:hAnsiTheme="minorBidi" w:cs="Arial"/>
          <w:rtl/>
        </w:rPr>
        <w:t>גוי</w:t>
      </w:r>
      <w:r w:rsidRPr="00CC2350">
        <w:rPr>
          <w:rFonts w:asciiTheme="minorBidi" w:hAnsiTheme="minorBidi" w:cs="Arial"/>
          <w:rtl/>
        </w:rPr>
        <w:t xml:space="preserve">, מותר להשתמש לאורו. ואם רוב ישראל, או אפי' מחצה על מחצה, אסור. ואם יש הוכחה שלצורך </w:t>
      </w:r>
      <w:r>
        <w:rPr>
          <w:rFonts w:asciiTheme="minorBidi" w:hAnsiTheme="minorBidi" w:cs="Arial"/>
          <w:rtl/>
        </w:rPr>
        <w:t>גוי</w:t>
      </w:r>
      <w:r w:rsidRPr="00CC2350">
        <w:rPr>
          <w:rFonts w:asciiTheme="minorBidi" w:hAnsiTheme="minorBidi" w:cs="Arial"/>
          <w:rtl/>
        </w:rPr>
        <w:t xml:space="preserve"> מדליקה, כגון שאנו רואים שהוא משתמש לאורה, אף על פי שרוב ישראל, מותר. </w:t>
      </w:r>
      <w:r w:rsidRPr="008A00D7">
        <w:rPr>
          <w:rFonts w:asciiTheme="minorBidi" w:hAnsiTheme="minorBidi" w:cs="Arial"/>
          <w:sz w:val="18"/>
          <w:szCs w:val="18"/>
          <w:rtl/>
        </w:rPr>
        <w:t>הגה: י"א דמותר לומר לגוי להדליק לו נר לסעודת שבת משום דסבירא ליה דמותר אמירה לגוי אפי' במלאכה גמורה במקום מצוה (ר"ן ס"פ ר"א דמילה בשם העיטור), שעל פי זה נהגו רבים להקל בדבר לצוות לגוי להדליק נרות לצורך סעודה, בפרט בסעודת חתונה או מילה, ואין מוחה בידם. ויש להחמיר במקום שאין צורך גדול, דהא רוב הפוסקים חולקים על סברא זו וע"ל סי' ש"ז.</w:t>
      </w:r>
      <w:r w:rsidRPr="00CC2350">
        <w:rPr>
          <w:rFonts w:asciiTheme="minorBidi" w:hAnsiTheme="minorBidi" w:cs="Arial"/>
          <w:rtl/>
        </w:rPr>
        <w:t xml:space="preserve"> </w:t>
      </w:r>
    </w:p>
    <w:p w14:paraId="53E57297" w14:textId="77777777" w:rsidR="004B2E7C" w:rsidRPr="00CC2350" w:rsidRDefault="004B2E7C" w:rsidP="00434A6A">
      <w:pPr>
        <w:rPr>
          <w:rFonts w:asciiTheme="minorBidi" w:hAnsiTheme="minorBidi"/>
          <w:rtl/>
        </w:rPr>
      </w:pPr>
    </w:p>
    <w:p w14:paraId="2469EB97" w14:textId="77777777" w:rsidR="004B2E7C" w:rsidRDefault="004B2E7C" w:rsidP="00434A6A">
      <w:pPr>
        <w:pStyle w:val="2"/>
        <w:rPr>
          <w:rtl/>
        </w:rPr>
      </w:pPr>
      <w:r w:rsidRPr="00CC2350">
        <w:rPr>
          <w:rtl/>
        </w:rPr>
        <w:t>סעיף ג</w:t>
      </w:r>
      <w:r>
        <w:rPr>
          <w:rFonts w:hint="cs"/>
          <w:rtl/>
        </w:rPr>
        <w:t>:</w:t>
      </w:r>
    </w:p>
    <w:p w14:paraId="0E7FC671" w14:textId="77777777" w:rsidR="004B2E7C" w:rsidRPr="008A00D7" w:rsidRDefault="004B2E7C" w:rsidP="00434A6A">
      <w:pPr>
        <w:rPr>
          <w:rtl/>
        </w:rPr>
      </w:pPr>
      <w:r w:rsidRPr="008A00D7">
        <w:rPr>
          <w:rFonts w:cs="Arial"/>
          <w:rtl/>
        </w:rPr>
        <w:t>[ג] ואם אומר לעבדו או לשפחתו לילך עמו וכו'. כן כתבו הגהות בפ"ו, ואף על פי שכתבו שיש בדבר זה קצת היתר דהא אי בעי ישראל מייתי בלא נר העלו דאין להקל בענין כלל. מיהו כתבו שרבינו תם מתיר שילך גוי עם ישראל בנר הדולק בידו למשוך היין ולהביא לחם דהא טלטול נר אינו אסור אלא משום מוקצה ושרי לישראל על ידי טלטול מן הצד הילכך כי שקיל ליה גוי שלא מן הצד לית לן בה. וכן כתב רבינו ירוחם בח"ב (סז ע"ג) שרבינו תם עשה מעשה בכך להתיר ושכן כתב הר"מ (בתשובות מהר"ם מראטנבערג ד"פ סי' תקנח) וגם בהגהות מרדכי פרק קמא דשבת (פ"ב ע"ד) התיר לומר לגוי להביא נר הדלוק דאפילו לישראל אינו אסור אלא משום דהוה בסיס לדבר האסור:</w:t>
      </w:r>
    </w:p>
    <w:p w14:paraId="56EC9492"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D0C95BB" w14:textId="77777777" w:rsidR="004B2E7C" w:rsidRDefault="004B2E7C" w:rsidP="00434A6A">
      <w:pPr>
        <w:rPr>
          <w:rFonts w:asciiTheme="minorBidi" w:hAnsiTheme="minorBidi"/>
          <w:rtl/>
        </w:rPr>
      </w:pPr>
      <w:r w:rsidRPr="00CC2350">
        <w:rPr>
          <w:rFonts w:asciiTheme="minorBidi" w:hAnsiTheme="minorBidi" w:cs="Arial"/>
          <w:rtl/>
        </w:rPr>
        <w:t>אם אומר אדם לעבדו או לשפחתו לילך עמו והדליקו הנר, אף על פי שגם הם צריכים לו אין זה לצורך ה</w:t>
      </w:r>
      <w:r>
        <w:rPr>
          <w:rFonts w:asciiTheme="minorBidi" w:hAnsiTheme="minorBidi" w:cs="Arial"/>
          <w:rtl/>
        </w:rPr>
        <w:t>גוי</w:t>
      </w:r>
      <w:r w:rsidRPr="00CC2350">
        <w:rPr>
          <w:rFonts w:asciiTheme="minorBidi" w:hAnsiTheme="minorBidi" w:cs="Arial"/>
          <w:rtl/>
        </w:rPr>
        <w:t xml:space="preserve">, כיון שעיקר ההליכה בשביל ישראל. </w:t>
      </w:r>
      <w:r w:rsidRPr="008A00D7">
        <w:rPr>
          <w:rFonts w:asciiTheme="minorBidi" w:hAnsiTheme="minorBidi" w:cs="Arial"/>
          <w:sz w:val="18"/>
          <w:szCs w:val="18"/>
          <w:rtl/>
        </w:rPr>
        <w:t>הגה: ומותר לומר לגוי לילך עמו ליטול נר דלוק כבר, הואיל ואינו עושה רק טלטול הנר בעלמא (רבי ירוחם והגהות מרדכי פ"ק דשבת והגהות מיימוני פ"ו)</w:t>
      </w:r>
      <w:r w:rsidRPr="00CC2350">
        <w:rPr>
          <w:rFonts w:asciiTheme="minorBidi" w:hAnsiTheme="minorBidi" w:cs="Arial"/>
          <w:rtl/>
        </w:rPr>
        <w:t xml:space="preserve">. </w:t>
      </w:r>
    </w:p>
    <w:p w14:paraId="76D907F6" w14:textId="77777777" w:rsidR="004B2E7C" w:rsidRPr="00CC2350" w:rsidRDefault="004B2E7C" w:rsidP="00434A6A">
      <w:pPr>
        <w:rPr>
          <w:rFonts w:asciiTheme="minorBidi" w:hAnsiTheme="minorBidi"/>
          <w:rtl/>
        </w:rPr>
      </w:pPr>
    </w:p>
    <w:p w14:paraId="7F13712F" w14:textId="77777777" w:rsidR="004B2E7C" w:rsidRDefault="004B2E7C" w:rsidP="00434A6A">
      <w:pPr>
        <w:pStyle w:val="2"/>
        <w:rPr>
          <w:rtl/>
        </w:rPr>
      </w:pPr>
      <w:r w:rsidRPr="00CC2350">
        <w:rPr>
          <w:rtl/>
        </w:rPr>
        <w:t>סעיף ד</w:t>
      </w:r>
      <w:r>
        <w:rPr>
          <w:rFonts w:hint="cs"/>
          <w:rtl/>
        </w:rPr>
        <w:t>:</w:t>
      </w:r>
    </w:p>
    <w:p w14:paraId="27EA0BFD" w14:textId="77777777" w:rsidR="004B2E7C" w:rsidRDefault="004B2E7C" w:rsidP="00434A6A">
      <w:pPr>
        <w:rPr>
          <w:rtl/>
        </w:rPr>
      </w:pPr>
      <w:r>
        <w:rPr>
          <w:rFonts w:cs="Arial"/>
          <w:rtl/>
        </w:rPr>
        <w:t>[ד] ואם יש נר בבית ישראל ובא גוי והדליק עוד אחרת וכו'. כן כתבו הגהות (מיימוניות) בפ"ו (אות ה) וסמ"ג (ל"ת סה, כ סוע"ב) והתרומה (סי' רנב) והמרדכי בפרק קמא (סי' רנ). וכתבו עוד דהוא הדין נמי אם יש אש דולקת והרבה עליה הגוי מותר ליהנות ממנו כיון שמתחלה היה יכול ליהנות קצת ולטעמייהו אזלי דלא מפלגי בין עשיית אש להדלקת נר כמו שכתבתי בסמוך (ד"ה וכן כתב האגור) אבל לרבינו שכתב שאסור ליהנות מאש שעשה הגוי לצרכו משום דחיישינן שמא ירבה בשבילו בשמרבה על אש הדולקת אסור ומשום הכי נקט רבינו שריותא בהדלקה ולא בעשיית אש וכבר כתבתי שכן כתב האגור שרבינו תם אסר ליהנות במדורה שהרבה גוי לצורך ישראל אף על פי שהיה אש מתחלה ושגם המרדכי כתב בפרק קמא (שם) שיש אוסרין:</w:t>
      </w:r>
    </w:p>
    <w:p w14:paraId="58DAC2BF" w14:textId="77777777" w:rsidR="004B2E7C" w:rsidRDefault="004B2E7C" w:rsidP="00434A6A">
      <w:pPr>
        <w:rPr>
          <w:rtl/>
        </w:rPr>
      </w:pPr>
      <w:r>
        <w:rPr>
          <w:rFonts w:cs="Arial"/>
          <w:rtl/>
        </w:rPr>
        <w:t>ומ"ש אבל לאחר שיכבה הראשון אסור להשתמש לאור השני. פשוט הוא ומשמע דכולי עלמא מודו ביה דאסור מאחר שהודלק לצורך ישראל ולא נשאר שם נר זולתו:</w:t>
      </w:r>
    </w:p>
    <w:p w14:paraId="5B6E116C" w14:textId="77777777" w:rsidR="004B2E7C" w:rsidRPr="008A00D7" w:rsidRDefault="004B2E7C" w:rsidP="00434A6A">
      <w:pPr>
        <w:rPr>
          <w:rtl/>
        </w:rPr>
      </w:pPr>
      <w:r>
        <w:rPr>
          <w:rFonts w:cs="Arial"/>
          <w:rtl/>
        </w:rPr>
        <w:t>ומ"ש ויכול למחות בו שלא ידליק וכו'. כן כתב הכל בו (סי' לא, ל עג) בשם ה"ר פרץ ונראה דאתא לאשמועינן דלא תימא שאסור לדבר בענין הדלקה כלל וכמו שכתב המרדכי בפרק כל כתבי (סי' תא) שיש שהיו רוצין לומר דאסור לומר לגוי אל תכבה ודחה רבינו תם דבריהם:</w:t>
      </w:r>
    </w:p>
    <w:p w14:paraId="289F35A0"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ED90959" w14:textId="77777777" w:rsidR="004B2E7C" w:rsidRDefault="004B2E7C" w:rsidP="00434A6A">
      <w:pPr>
        <w:rPr>
          <w:rFonts w:asciiTheme="minorBidi" w:hAnsiTheme="minorBidi"/>
          <w:rtl/>
        </w:rPr>
      </w:pPr>
      <w:r w:rsidRPr="00CC2350">
        <w:rPr>
          <w:rFonts w:asciiTheme="minorBidi" w:hAnsiTheme="minorBidi" w:cs="Arial"/>
          <w:rtl/>
        </w:rPr>
        <w:t xml:space="preserve">אם יש נר בבית ישראל ובא </w:t>
      </w:r>
      <w:r>
        <w:rPr>
          <w:rFonts w:asciiTheme="minorBidi" w:hAnsiTheme="minorBidi" w:cs="Arial"/>
          <w:rtl/>
        </w:rPr>
        <w:t>גוי</w:t>
      </w:r>
      <w:r w:rsidRPr="00CC2350">
        <w:rPr>
          <w:rFonts w:asciiTheme="minorBidi" w:hAnsiTheme="minorBidi" w:cs="Arial"/>
          <w:rtl/>
        </w:rPr>
        <w:t xml:space="preserve"> והדליק נר אחר, מותר להשתמש לאורו בעוד נר ראשון דולק, אבל לאחר שיכבה הראשון אסור להשתמש לאור השני. וכן אם נתן שמן בנר הדולק, מותר להשתמש עד כדי שיכלה השמן שהיה בו כבר, ואח"כ אסור. </w:t>
      </w:r>
      <w:r w:rsidRPr="008A00D7">
        <w:rPr>
          <w:rFonts w:asciiTheme="minorBidi" w:hAnsiTheme="minorBidi" w:cs="Arial"/>
          <w:sz w:val="18"/>
          <w:szCs w:val="18"/>
          <w:rtl/>
        </w:rPr>
        <w:t xml:space="preserve">הגה: ומותר למחות בגוי שבא להדליק נר או להוסיף שמן (טור). </w:t>
      </w:r>
    </w:p>
    <w:p w14:paraId="67488D72" w14:textId="77777777" w:rsidR="004B2E7C" w:rsidRPr="00CC2350" w:rsidRDefault="004B2E7C" w:rsidP="00434A6A">
      <w:pPr>
        <w:rPr>
          <w:rFonts w:asciiTheme="minorBidi" w:hAnsiTheme="minorBidi"/>
          <w:rtl/>
        </w:rPr>
      </w:pPr>
    </w:p>
    <w:p w14:paraId="656740D4" w14:textId="77777777" w:rsidR="004B2E7C" w:rsidRDefault="004B2E7C" w:rsidP="00434A6A">
      <w:pPr>
        <w:pStyle w:val="2"/>
        <w:rPr>
          <w:rtl/>
        </w:rPr>
      </w:pPr>
      <w:r w:rsidRPr="00CC2350">
        <w:rPr>
          <w:rtl/>
        </w:rPr>
        <w:t>סעיף ה</w:t>
      </w:r>
      <w:r>
        <w:rPr>
          <w:rFonts w:hint="cs"/>
          <w:rtl/>
        </w:rPr>
        <w:t>:</w:t>
      </w:r>
    </w:p>
    <w:p w14:paraId="452EECDE" w14:textId="77777777" w:rsidR="004B2E7C" w:rsidRPr="008A00D7" w:rsidRDefault="004B2E7C" w:rsidP="00434A6A">
      <w:pPr>
        <w:rPr>
          <w:rtl/>
        </w:rPr>
      </w:pPr>
      <w:r w:rsidRPr="008A00D7">
        <w:rPr>
          <w:rFonts w:cs="Arial"/>
          <w:rtl/>
        </w:rPr>
        <w:t>[ה] כתוב בהגהות מרדכי פרק קמא (סי' תנב) בשם רבינו שמחה על המדורות שהשפחות עושות בבית אדוניהם שאם ראה ישראל ושתק אדעתיה עביד כיון שהעצים שלו וכל הני דפרק כל כתבי דאמרינן בשביל גוי מותר היינו שהגוי עושה מלאכה בשלו אבל בשל ישראל אפילו בבית גוי אסור, ואחר כך הביא תשובת רבינו ישראל שמתיר להתחמם כנגד מדורת הגוי הנעשה בשביל ישראל כי ראה אביו ורבינו משולם שהיו פרושים שמתחממים וכן גדולי עולם וטעמא משום דהכל חולים אצל הקור</w:t>
      </w:r>
      <w:r>
        <w:rPr>
          <w:rStyle w:val="a9"/>
          <w:rFonts w:cs="Arial"/>
          <w:rtl/>
        </w:rPr>
        <w:footnoteReference w:id="974"/>
      </w:r>
      <w:r w:rsidRPr="008A00D7">
        <w:rPr>
          <w:rFonts w:cs="Arial"/>
          <w:rtl/>
        </w:rPr>
        <w:t xml:space="preserve"> ואם אינם חולים לפחות הם מצטערים ואמרינן (כתובות ס.) גונח יונק חלב בשבת ואף על גב דמפרק כלאחר יד הוא לא גזרו ביה רבנן ולולי יתמהו עלי הייתי מתיר אפילו האמירה בפירוש כל שכן אם הגוי עצמו עושה בשביל ישראל שישראל מתחמם כנגדו והביא עוד ראיות לדבריו: ובהגהות מיימון פ"ו (אות ה) כתוב על מה שהתירו סמ"ג (ל"ת סה, כ ריש ע"ג) והתרומה (סי' רנב) לישראל ליהנות מאש שעשה גוי בעבור תינוק לחממו או לתקן לו מאכל או בשביל חולה שאין בו סכנה שנאמר מכאן דבתי החורף שהוחמו בשביל קטנים או בשביל העבדים והשפחות שאינם רוצים לישב בקור שמותרים הגדולים ליכנס וליהנות ממנו ואפילו להחם בשביל הגדולים התיר ה"ר יום טוב לומר לגוי לעשות מדורה בשבת כי הכל חולים אצל קור ואפילו אם אינם חולים מכל מקום מצטערים ומשום צערא לא גזור רבנן כדאמרינן גונח יונק חלב בשבת ורבינו שמחה אסר כדלעיל במרדכי. ומשמע שם מדברי הגהות דמהר"מ</w:t>
      </w:r>
      <w:r w:rsidRPr="00242621">
        <w:rPr>
          <w:rtl/>
        </w:rPr>
        <w:t xml:space="preserve"> </w:t>
      </w:r>
      <w:r>
        <w:rPr>
          <w:rFonts w:cs="Arial" w:hint="cs"/>
          <w:rtl/>
        </w:rPr>
        <w:t>(</w:t>
      </w:r>
      <w:r w:rsidRPr="00242621">
        <w:rPr>
          <w:rFonts w:cs="Arial"/>
          <w:rtl/>
        </w:rPr>
        <w:t>בתשובות רשב"א ח"א סי</w:t>
      </w:r>
      <w:r>
        <w:rPr>
          <w:rFonts w:cs="Arial" w:hint="cs"/>
          <w:rtl/>
        </w:rPr>
        <w:t>'</w:t>
      </w:r>
      <w:r w:rsidRPr="00242621">
        <w:rPr>
          <w:rFonts w:cs="Arial"/>
          <w:rtl/>
        </w:rPr>
        <w:t xml:space="preserve"> תתנז</w:t>
      </w:r>
      <w:r>
        <w:rPr>
          <w:rFonts w:cs="Arial" w:hint="cs"/>
          <w:rtl/>
        </w:rPr>
        <w:t>,</w:t>
      </w:r>
      <w:r w:rsidRPr="00242621">
        <w:rPr>
          <w:rFonts w:cs="Arial"/>
          <w:rtl/>
        </w:rPr>
        <w:t xml:space="preserve"> </w:t>
      </w:r>
      <w:r>
        <w:rPr>
          <w:rFonts w:cs="Arial" w:hint="cs"/>
          <w:rtl/>
        </w:rPr>
        <w:t xml:space="preserve">כ"כ הדרכ"מ אות </w:t>
      </w:r>
      <w:r w:rsidRPr="00242621">
        <w:rPr>
          <w:rFonts w:cs="Arial"/>
          <w:rtl/>
        </w:rPr>
        <w:t>ג</w:t>
      </w:r>
      <w:r>
        <w:rPr>
          <w:rFonts w:cs="Arial" w:hint="cs"/>
          <w:rtl/>
        </w:rPr>
        <w:t>)</w:t>
      </w:r>
      <w:r w:rsidRPr="008A00D7">
        <w:rPr>
          <w:rFonts w:cs="Arial"/>
          <w:rtl/>
        </w:rPr>
        <w:t xml:space="preserve"> סבירא ליה דמדינא שרי אלא שבמקום שנהגו איסור ליכנס בבית החורף בשבת היה מוחה ביד השפחות שלא לחממו כלל כדברי רבינו שמחה ובמקום שלא נהגו בו איסור היה מתחמם אצל מדורה שעשה גוי לצורך ישראל, ורבינו ירוחם כתב בחלק ג' (ע:) שהר"מ כתב בתשובה וז"ל רבי יעקב מאורלינ"ש היה אומר לגוי להדליק האש ולתקנו בשבת משום דהכל חולים אצל האש לישב בקרירות אמנם במלכותינו נראה לאסור משום דברים המותרים ואחרים נהגו בהם איסור ואני הייתי מוחה בשפחתי שלא לחמם התנור של בית החורף פעמים ושלש והרגשתי שהיתה (מחממו) [מחממתו] בצנעא ועשיתי לו מסגרת כל ערב שבת אני סוגרו עד מוצאי שבת עכ"ל, ודבריו כמו שכתבתי בשם הגהות: וכתב רבינו ירוחם על תשובה זו וכן נראה לי באותם ארצות שאינן קרות כל כך שאסור שאינם חולים אצל האש עכ"ל. ופשוט הוא והוא הדין דאפילו בארצות הקרות ביותר אם אין (עושה) קור גדול ביום השבת שאסור כיון שאינם חולים אצל הקור באותו יום: וכן מצאתי בתשובה אשכנזית (שו"ת מהרי"ל סי' קסו) וז"ל מנהג שלי לחמם בעת שהוא קר כל כך דמצערנא אף על גב דמהר"ם עשה מסגרת לתנורו הלא הוא עצמו כתב בתשובה שסובר כדברי המתירין אלא דחשיב ליה דברים המותרים ואחרים נהגו בהם איסור כי כן נהגו באשכנז משום חומרא ופרישות ואם כן כיון דבזמן הזה אין שום אדם נוהג איסור אדרבה מתחזי כיוהרא ומתמיה הנוהג איסור, אבל המחממין כשאין הקור כל כך גדול וגם אין להם ילדים שמצטערים הרבה בעיני הוא איסור גדול ולית היכולת בידי לאסור ומונע אני מלהגיד לרבים דמוטב שיהו שוגגין ואל יהו מזידין עכ"ל. ולהרמב"ם שכתב בפרק ב' (הי"ד) דאין עושין מדורה לחולה בשבת אלא אם כן הקיז דם ונצטנן ופירש הראב"ד דבחולה שאין בו סכנה קאמר כלומר שאע"פ שצרכיו נעשין על ידי גוי אין אומרים לגוי לעשות לו מדורה מכל מקום אפשר דבארצות קרות מאד מודה דכל אדם הוי כהקיז דם ונצטנן: תשלום דינים אלו דהיינו שהגוי עושה מלאכה מעצמו אם מותר לישראל ליהנות ממנה תמצא בסימן שכ"ה. ודיני אמירה לגוי בסימן ש"ז וסימן של"ח. ואם מצווה על שביתת עבד ערל בסימן ד"ש:</w:t>
      </w:r>
    </w:p>
    <w:p w14:paraId="3441D10C"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BFD8F60" w14:textId="77777777" w:rsidR="004B2E7C" w:rsidRDefault="004B2E7C" w:rsidP="00434A6A">
      <w:pPr>
        <w:rPr>
          <w:rFonts w:asciiTheme="minorBidi" w:hAnsiTheme="minorBidi"/>
          <w:rtl/>
        </w:rPr>
      </w:pPr>
      <w:r w:rsidRPr="00CC2350">
        <w:rPr>
          <w:rFonts w:asciiTheme="minorBidi" w:hAnsiTheme="minorBidi" w:cs="Arial"/>
          <w:rtl/>
        </w:rPr>
        <w:t>בארצות קרות, מותר ל</w:t>
      </w:r>
      <w:r>
        <w:rPr>
          <w:rFonts w:asciiTheme="minorBidi" w:hAnsiTheme="minorBidi" w:cs="Arial"/>
          <w:rtl/>
        </w:rPr>
        <w:t>גוי</w:t>
      </w:r>
      <w:r w:rsidRPr="00CC2350">
        <w:rPr>
          <w:rFonts w:asciiTheme="minorBidi" w:hAnsiTheme="minorBidi" w:cs="Arial"/>
          <w:rtl/>
        </w:rPr>
        <w:t xml:space="preserve"> לעשות מדורה בשביל הקטנים ומותרין הגדולים להתחמם בו, ואפי' בשביל הגדולים מותר אם הקור גדול, שהכל חולים אצל הקור; ולא כאותם שנוהגים היתר אף על פי שאין הקור גדול ביום ההוא.</w:t>
      </w:r>
    </w:p>
    <w:p w14:paraId="297243CC" w14:textId="77777777" w:rsidR="004B2E7C" w:rsidRDefault="004B2E7C" w:rsidP="00434A6A">
      <w:pPr>
        <w:pStyle w:val="1"/>
        <w:rPr>
          <w:rtl/>
        </w:rPr>
        <w:sectPr w:rsidR="004B2E7C" w:rsidSect="00BD29B1">
          <w:headerReference w:type="default" r:id="rId47"/>
          <w:footnotePr>
            <w:numRestart w:val="eachSect"/>
          </w:footnotePr>
          <w:pgSz w:w="11906" w:h="16838"/>
          <w:pgMar w:top="720" w:right="1134" w:bottom="720" w:left="1134" w:header="0" w:footer="0" w:gutter="0"/>
          <w:cols w:space="720"/>
          <w:bidi/>
          <w:rtlGutter/>
          <w:docGrid w:linePitch="360"/>
        </w:sectPr>
      </w:pPr>
    </w:p>
    <w:p w14:paraId="1F9FAE7F" w14:textId="77777777" w:rsidR="004B2E7C" w:rsidRPr="00CC2350" w:rsidRDefault="004B2E7C" w:rsidP="00434A6A">
      <w:pPr>
        <w:pStyle w:val="1"/>
        <w:rPr>
          <w:rtl/>
        </w:rPr>
      </w:pPr>
      <w:r>
        <w:rPr>
          <w:rFonts w:hint="cs"/>
          <w:rtl/>
        </w:rPr>
        <w:t xml:space="preserve">סימן רעז: </w:t>
      </w:r>
      <w:r w:rsidRPr="00CC2350">
        <w:rPr>
          <w:rtl/>
        </w:rPr>
        <w:t xml:space="preserve">שלא לגרום כיבוי הנר, ובו ה' סעיפים. </w:t>
      </w:r>
    </w:p>
    <w:p w14:paraId="4BF5F941" w14:textId="77777777" w:rsidR="004B2E7C" w:rsidRDefault="004B2E7C" w:rsidP="00434A6A">
      <w:pPr>
        <w:pStyle w:val="2"/>
        <w:rPr>
          <w:rtl/>
        </w:rPr>
      </w:pPr>
      <w:r w:rsidRPr="00CC2350">
        <w:rPr>
          <w:rtl/>
        </w:rPr>
        <w:t>סעיף א</w:t>
      </w:r>
    </w:p>
    <w:p w14:paraId="36681884" w14:textId="77777777" w:rsidR="004B2E7C" w:rsidRDefault="004B2E7C" w:rsidP="00FF2D21">
      <w:pPr>
        <w:pStyle w:val="aa"/>
        <w:numPr>
          <w:ilvl w:val="0"/>
          <w:numId w:val="117"/>
        </w:numPr>
        <w:rPr>
          <w:rtl/>
        </w:rPr>
      </w:pPr>
      <w:r>
        <w:rPr>
          <w:rFonts w:hint="cs"/>
          <w:rtl/>
        </w:rPr>
        <w:t xml:space="preserve">טור- </w:t>
      </w:r>
      <w:r w:rsidRPr="00242621">
        <w:rPr>
          <w:rFonts w:cs="Arial"/>
          <w:rtl/>
        </w:rPr>
        <w:t>נר שמונח אחורי הדלת אסור לפתוח הדלת כנגדו שמא יכבנו הרוח או אם קבוע בכותל שאחורי הדלת לא יפתחנו כנגדו שמא תהא הדלת נוקשת עליו ותכבנו וכן אם הוא קבוע בדלת עצמה לא יפתחנה שבפתיחתה ונעילתה מקרב השמן לנר או מרחיקו ממנו. אסור לפתוח הדלת כנגד המדורה אפי' ברוח מצויה אבל אם היה פתוח כנגדה מותר לסתרו ואין בו משום מכבה:</w:t>
      </w:r>
    </w:p>
    <w:p w14:paraId="52815AFD" w14:textId="77777777" w:rsidR="004B2E7C" w:rsidRDefault="004B2E7C" w:rsidP="00FF2D21">
      <w:pPr>
        <w:pStyle w:val="aa"/>
        <w:numPr>
          <w:ilvl w:val="0"/>
          <w:numId w:val="117"/>
        </w:numPr>
        <w:rPr>
          <w:rtl/>
        </w:rPr>
      </w:pPr>
      <w:r w:rsidRPr="00242621">
        <w:rPr>
          <w:rFonts w:cs="Arial"/>
          <w:rtl/>
        </w:rPr>
        <w:t>נר ששכחו על הטבלא מנער הטבלא והוא נופל אפי' אם הוא דולק רק שלא יכוין לכבותו ובלבד שיהא נר של שעוה או שלא יהא בו שמן אבל יש בו שמן אי אפשר שלא יקרבנו אל הפתילה ונמצא חייב משום מבעיר ואם הניחה עליה מדעת אסור לנערה שהרי הטבלא היא בסיס לדבר האסור. מותר להניח נר של שבת על גבי אילן אף על פי שהוא מחובר ולא חיישינן שמא ישתמש בו ושל י"ט אסור:</w:t>
      </w:r>
    </w:p>
    <w:p w14:paraId="478C9059" w14:textId="77777777" w:rsidR="004B2E7C" w:rsidRDefault="004B2E7C" w:rsidP="00FF2D21">
      <w:pPr>
        <w:pStyle w:val="aa"/>
        <w:numPr>
          <w:ilvl w:val="0"/>
          <w:numId w:val="117"/>
        </w:numPr>
      </w:pPr>
      <w:r w:rsidRPr="00242621">
        <w:rPr>
          <w:rFonts w:cs="Arial"/>
          <w:rtl/>
        </w:rPr>
        <w:t>מותר לכפות קערה ע"ג הנר בשבת כדי שלא יאחוז בקורה:</w:t>
      </w:r>
    </w:p>
    <w:p w14:paraId="768A8A82" w14:textId="77777777" w:rsidR="004B2E7C" w:rsidRPr="00242621" w:rsidRDefault="004B2E7C" w:rsidP="00434A6A">
      <w:pPr>
        <w:rPr>
          <w:rtl/>
        </w:rPr>
      </w:pPr>
      <w:r w:rsidRPr="00242621">
        <w:rPr>
          <w:rFonts w:cs="Arial"/>
          <w:rtl/>
        </w:rPr>
        <w:t>[א, ג (א)] נר שמונח אחורי הדלת אסור לפתוח הדלת כנגדו וכו'. בסוף פרק כל כתבי (קכ:) תנא נר שאחורי הדלת פותח ונועל כדרכו ואם כבתה כבתה לייט עלה רב משום דאפילו רבי שמעון דשרי בדבר שאין מתכוין מודה בהא דאסור משום דהוי פסיק רישיה ופסקו הרי"ף (מה.) והרא"ש (סי' ט) והרמב"ם בפרק ה' (הי"ז) כרב: וכתב הרא"ש וז"ל רש"י פירש שהנר מונח אחורי הדלת וחיישינן שמא יכבנו הרוח, ורבינו חננאל (בגליון שם) פירש שהנר מונח בכותל שאחורי הדלת וכשפותח הדלת נוקש בכותל ואיכא למיחש שמא יכבה הנר, ור"י פירש שהנר קבוע באחורי הדלת ובפתיחת הדלת ובנעילתו מרחיק את השמן מן הפתילה או מקרבו אל הפתילה עכ"ל. ורבינו משום דלא ברירא ליה כהי מינייהו נקטינן כתב כדברי כל הפירושים לאסור: וכתב המרדכי (סי' ת) דאין להקשות לפירוש ר"י בלא כיבוי והבערה יהא אסור מחמת טלטול הנר דנעילת הדלת לא חשיב טלטול הנר וגם לא נעשה בסיס לנר דחשיב ובטיל לגבי הבית ולא לגבי הנר עכ"ל. ולפי זה אם נר של שעוה קבוע בדלת עצמו מותר לפתוח ולנעול כיון דלית ביה משום מכבה ומבעיר: ולפירוש רש"י פשיטא דלא מיתסר אלא לפתוח אבל לנעול ליכא שום איסורא שהרי מאחר שאינו לא מכבה ולא מבעיר לא לייט רב עליה, וכן נראה מדברי התוספות (שם ד"ה פותח) וכן הסכים בתרומת הדשן (ח"א) סימן נ"ט וכן כתב המרדכי פרק כל כתבי (שם) שהורה הר"ם שמותר לסגור החלון בשבת מפני הרוח וכן משמע בהדיא מדין נעילת דלת שכנגד המדורה שכתב רבינו בסמוך</w:t>
      </w:r>
      <w:r>
        <w:rPr>
          <w:rStyle w:val="a9"/>
          <w:rFonts w:cs="Arial"/>
          <w:rtl/>
        </w:rPr>
        <w:footnoteReference w:id="975"/>
      </w:r>
      <w:r w:rsidRPr="00242621">
        <w:rPr>
          <w:rFonts w:cs="Arial"/>
          <w:rtl/>
        </w:rPr>
        <w:t>: ולפירוש ר"ח משמע דלא מיתסר אלא כשפותח ונועל כדרכו אבל אם פותח ונועל בנחת מותר, וכן כתב הרמב"ם בפרק ה' (שם) וז"ל נר שאחורי הדלת אסור לפתוח הדלת ולנעול כדרכו אלא יזהר בשעה שפותח ובשעה שנועל וכן כתוב בסמ"ג וכתב הרב המגיד שהרמב"ם מפרש כפירוש רבינו חננאל: ודינו של רש"י לכולי עלמא איתיה דודאי אסור לפתוח כל היכא שהנר מונח במקום שיוכל לכבות על ידי פתיחת הדלת מדין פתיחת דלת כנגד המדורה דבסמוך ולא פליגי התוספות עליה אלא בפירוש נר שאחורי הדלת: וכתבו הגהות (מיימוניות) בפרק ה' (אות צ) שה"ר שמואל היה מניח הנר בדלת עצמה והיה אומר דלא אסור לפתוח ולנעול דמשום מוקצה ליכא דכיון שהדלת בטלה לגבי הבית חשיב כמחובר לקרקע ואין כאן טלטול וגם לא חיישינן שכשפותח ונועל מקרב או מרחיק השמן אל הפתילה משום דהוי דבר שאין מתכוין, וכתבו רבינו בסימן תר"ף, וכתב שם דהיינו דלא כפירוש ר"י כלומר במה שכתב דאע"פ שמקרב השמן לפתילה או מרחיקו שרי, דאילו במה שכתב דמשום מוקצה ליכא גם ר"י סובר כן כמו שכתבתי בסמוך:</w:t>
      </w:r>
    </w:p>
    <w:p w14:paraId="3BF097CF"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7FCC056" w14:textId="77777777" w:rsidR="004B2E7C" w:rsidRDefault="004B2E7C" w:rsidP="00434A6A">
      <w:pPr>
        <w:rPr>
          <w:rFonts w:asciiTheme="minorBidi" w:hAnsiTheme="minorBidi" w:cs="Arial"/>
          <w:sz w:val="18"/>
          <w:szCs w:val="18"/>
          <w:rtl/>
        </w:rPr>
      </w:pPr>
      <w:r w:rsidRPr="00CC2350">
        <w:rPr>
          <w:rFonts w:asciiTheme="minorBidi" w:hAnsiTheme="minorBidi" w:cs="Arial"/>
          <w:rtl/>
        </w:rPr>
        <w:t xml:space="preserve">נר שמונח אחורי הדלת, אסור לפתוח הדלת (כדרכו), (רמב"ם פ"ה ומרדכי פ' כ"ב וב"י בשם סמ"ג) שמא יכבנו הרוח. אבל לנעול הדלת כנגדו, מותר (ת"ה סי' נ"ט) וה"ה בחלון שכנגד הנר שעל השלחן (מרדכי פכ"ב וב"י בשם תוספות וטור) ואם הוא קבוע בכותל שאחורי הדלת, אסור לפתוח הדלת ולנעלו כדרכו שמא תהא הדלת נוקשת עליו ותכבנו, אלא פותח ונועל בנחת. ואם הוא קבוע בדלת עצמו, שפתיחתו ונעילתו מקרב השמן לנר או מרחיקו ממנו, אסור לפתחו ולנעלו. </w:t>
      </w:r>
      <w:r w:rsidRPr="00242621">
        <w:rPr>
          <w:rFonts w:asciiTheme="minorBidi" w:hAnsiTheme="minorBidi" w:cs="Arial"/>
          <w:sz w:val="18"/>
          <w:szCs w:val="18"/>
          <w:rtl/>
        </w:rPr>
        <w:t xml:space="preserve">הגה: ובנר של שעוה מותר לפתוח ולנעול אף על פי שהוא קבוע בדלת (ב"י). </w:t>
      </w:r>
    </w:p>
    <w:p w14:paraId="566B5871" w14:textId="77777777" w:rsidR="004B2E7C" w:rsidRPr="00CC2350" w:rsidRDefault="004B2E7C" w:rsidP="00434A6A">
      <w:pPr>
        <w:rPr>
          <w:rFonts w:asciiTheme="minorBidi" w:hAnsiTheme="minorBidi"/>
          <w:rtl/>
        </w:rPr>
      </w:pPr>
    </w:p>
    <w:p w14:paraId="6F2CBF8A" w14:textId="77777777" w:rsidR="004B2E7C" w:rsidRDefault="004B2E7C" w:rsidP="00434A6A">
      <w:pPr>
        <w:pStyle w:val="2"/>
        <w:rPr>
          <w:rtl/>
        </w:rPr>
      </w:pPr>
      <w:r w:rsidRPr="00CC2350">
        <w:rPr>
          <w:rtl/>
        </w:rPr>
        <w:t>סעיף ב</w:t>
      </w:r>
    </w:p>
    <w:p w14:paraId="22BCFED4" w14:textId="77777777" w:rsidR="004B2E7C" w:rsidRDefault="004B2E7C" w:rsidP="00434A6A">
      <w:pPr>
        <w:rPr>
          <w:rtl/>
        </w:rPr>
      </w:pPr>
      <w:r>
        <w:rPr>
          <w:rFonts w:cs="Arial"/>
          <w:rtl/>
        </w:rPr>
        <w:t>[ב] אסור לפתוח הדלת וכו'. גם זה שם אמר רב יהודה פותח אדם דלת כנגד מדורה בשבת לייט עלה אביי ואסיקנא דאביי אסר ברוח מצויה שאין דרכה להבעיר גזירה אטו שאינה מצויה דהוי פסיק רישיה, ופסקו הרי"ף (מה.) והרא"ש (סי' ט) והרמב"ם בפרק ה' (הי"ז) (דאביי) [כאביי] וכן פסקו התוספות (שם ד"ה מר סבר) וז"ל הילכך צריך ליזהר שלא לפתוח הדלת כנגד המדורה אפילו ברוח מצויה דהא לייט עלה אביי דהוה בתרא והני מילי כשהמדורה קצת קרובה אל הדלת:</w:t>
      </w:r>
    </w:p>
    <w:p w14:paraId="4788E1DB" w14:textId="77777777" w:rsidR="004B2E7C" w:rsidRPr="00242621" w:rsidRDefault="004B2E7C" w:rsidP="00434A6A">
      <w:pPr>
        <w:rPr>
          <w:rtl/>
        </w:rPr>
      </w:pPr>
      <w:r>
        <w:rPr>
          <w:rFonts w:cs="Arial"/>
          <w:rtl/>
        </w:rPr>
        <w:t>ומ"ש אבל אם היה פתוח כנגדה מותר לסגרו וכו'. כן כתבו שם התוספות (ד"ה פותח) גבי נר שמונח אחורי הדלת דבסמוך ופשוט הוא:</w:t>
      </w:r>
    </w:p>
    <w:p w14:paraId="694D7C67"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CAA6032" w14:textId="77777777" w:rsidR="004B2E7C" w:rsidRDefault="004B2E7C" w:rsidP="00434A6A">
      <w:pPr>
        <w:rPr>
          <w:rFonts w:asciiTheme="minorBidi" w:hAnsiTheme="minorBidi"/>
          <w:rtl/>
        </w:rPr>
      </w:pPr>
      <w:r w:rsidRPr="00CC2350">
        <w:rPr>
          <w:rFonts w:asciiTheme="minorBidi" w:hAnsiTheme="minorBidi" w:cs="Arial"/>
          <w:rtl/>
        </w:rPr>
        <w:t xml:space="preserve">אסור לפתוח הדלת כנגד המדורה שהיא קרובה קצת אל הדלת ואפי' אין שם אלא רוח מצויה, אבל אם היה פתוח כנגדה, מותר לסוגרו ואין בו משום מכבה. </w:t>
      </w:r>
    </w:p>
    <w:p w14:paraId="0F3943C5" w14:textId="77777777" w:rsidR="004B2E7C" w:rsidRPr="00CC2350" w:rsidRDefault="004B2E7C" w:rsidP="00434A6A">
      <w:pPr>
        <w:rPr>
          <w:rFonts w:asciiTheme="minorBidi" w:hAnsiTheme="minorBidi"/>
          <w:rtl/>
        </w:rPr>
      </w:pPr>
    </w:p>
    <w:p w14:paraId="22E99BBC" w14:textId="77777777" w:rsidR="004B2E7C" w:rsidRDefault="004B2E7C" w:rsidP="00434A6A">
      <w:pPr>
        <w:pStyle w:val="2"/>
        <w:rPr>
          <w:rtl/>
        </w:rPr>
      </w:pPr>
      <w:r w:rsidRPr="00CC2350">
        <w:rPr>
          <w:rtl/>
        </w:rPr>
        <w:t>סעיף ג</w:t>
      </w:r>
    </w:p>
    <w:p w14:paraId="7708337D" w14:textId="77777777" w:rsidR="004B2E7C" w:rsidRDefault="004B2E7C" w:rsidP="00434A6A">
      <w:pPr>
        <w:rPr>
          <w:rtl/>
        </w:rPr>
      </w:pPr>
      <w:r>
        <w:rPr>
          <w:rFonts w:cs="Arial"/>
          <w:rtl/>
        </w:rPr>
        <w:t>[ג (ב)] נר ששכחו על הטבלא וכו'. ברייתא שם:</w:t>
      </w:r>
    </w:p>
    <w:p w14:paraId="10AC4B75" w14:textId="77777777" w:rsidR="004B2E7C" w:rsidRDefault="004B2E7C" w:rsidP="00434A6A">
      <w:pPr>
        <w:rPr>
          <w:rtl/>
        </w:rPr>
      </w:pPr>
      <w:r>
        <w:rPr>
          <w:rFonts w:cs="Arial"/>
          <w:rtl/>
        </w:rPr>
        <w:t>ומ"ש רק שלא יכוין לכבותו וכו'. פשוט הוא דהא לא שרי אלא משום שאינו מתכוין לכבותה וכרבי שמעון דאמר דבר שאין מתכוין מותר:</w:t>
      </w:r>
    </w:p>
    <w:p w14:paraId="3CD78386" w14:textId="77777777" w:rsidR="004B2E7C" w:rsidRDefault="004B2E7C" w:rsidP="00434A6A">
      <w:pPr>
        <w:rPr>
          <w:rtl/>
        </w:rPr>
      </w:pPr>
      <w:r>
        <w:rPr>
          <w:rFonts w:cs="Arial"/>
          <w:rtl/>
        </w:rPr>
        <w:t>ומ"ש ובלבד שיהא נר של שעוה וכו'. כן כתבו שם התוספות (ד"ה מנער) והרא"ש (סי' ח) והר"ן (מה. ד"ה תנו רבנן) והרב המגיד פרק י"ב (ה"ו), ואף על פי שכתב שם הרא"ש דלפירוש הערוך (ערך פסק א') דרבי שמעון לא מחייב בפסיק רישיה אלא היכא דניחא ליה באותה מלאכה איכא לאוקומה אפילו בנר שיש בו שמן כיון דלא מהני ליה מידי בההוא כיבוי מכל מקום משמע דכדברי התוספות סבירא ליה ולא כבעל הערוך וכן נראה מדבריו בפרק הבונה (סי' א) וכמו שכתבתי בסוף סימן (ש"ב) [ש"כ דף פט. ד"ה חבית]. וכתבו התוספות (שם) בירושלמי (פ"ג ה"ז) מוקי לה להאי ברייתא בנר שכבה ואתא לאשמועינן היתר טלטול על ידי ניעור וכן כתב הרא"ש (שם): וכתב הכל בו (סי' לא, כז ע"ג) וז"ל כתב הר"מ כשנופל נר או פתילה על השולחן התלמוד שלנו מתיר לנער את השולחן ואם כבתה כבתה ואף על פי שהירושלמי אוסר אם לא שכבתה קודם אנן סבירא לן כתלמודא דידן והגיה ה"ר פרץ מיהו טוב ליזהר כי אם על ידי גוי עכ"ל והגהות (מיימוניות) כתבו בפרק י"ב (דפוס קושטא ה"ו) בשם סמ"ג וסמ"ק (סי' רפב ע' רצה) שהירושלמי איירי בנר של שמן ותלמוד שלנו בנר של שעוה:</w:t>
      </w:r>
    </w:p>
    <w:p w14:paraId="32DD721D" w14:textId="77777777" w:rsidR="004B2E7C" w:rsidRPr="00242621" w:rsidRDefault="004B2E7C" w:rsidP="00434A6A">
      <w:pPr>
        <w:rPr>
          <w:rtl/>
        </w:rPr>
      </w:pPr>
      <w:r>
        <w:rPr>
          <w:rFonts w:cs="Arial"/>
          <w:rtl/>
        </w:rPr>
        <w:t>ומ"ש ואם הניחו עליה מדעת וכו'. מימרא דרבי ינאי שם, ובסימן ש"ט כתב רבינו מה נקרא מניח מדעת:</w:t>
      </w:r>
    </w:p>
    <w:p w14:paraId="746F927B"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753719D" w14:textId="77777777" w:rsidR="004B2E7C" w:rsidRDefault="004B2E7C" w:rsidP="00434A6A">
      <w:pPr>
        <w:rPr>
          <w:rFonts w:asciiTheme="minorBidi" w:hAnsiTheme="minorBidi"/>
          <w:rtl/>
        </w:rPr>
      </w:pPr>
      <w:r w:rsidRPr="00CC2350">
        <w:rPr>
          <w:rFonts w:asciiTheme="minorBidi" w:hAnsiTheme="minorBidi" w:cs="Arial"/>
          <w:rtl/>
        </w:rPr>
        <w:t xml:space="preserve">שכח נר על הטבלא, מנער את הטבלא והוא נופל, אפי' אם הוא דולק, רק שלא יכוין לכבותו. הגה: וטוב לעשותו ע"י </w:t>
      </w:r>
      <w:r>
        <w:rPr>
          <w:rFonts w:asciiTheme="minorBidi" w:hAnsiTheme="minorBidi" w:cs="Arial"/>
          <w:rtl/>
        </w:rPr>
        <w:t>גוי</w:t>
      </w:r>
      <w:r w:rsidRPr="00CC2350">
        <w:rPr>
          <w:rFonts w:asciiTheme="minorBidi" w:hAnsiTheme="minorBidi" w:cs="Arial"/>
          <w:rtl/>
        </w:rPr>
        <w:t xml:space="preserve">, במקום שא"צ כ"כ (כל בו), ובלבד שיהא נר של שעוה וכיוצא בו, או שלא יהא בו שמן, אבל אם יש בו שמן א"א שלא יקרבנו אל הפתילה ונמצא מבעיר; ואם הניחו עליה מדעת, אסור לנערה שהרי הטבלא היא בסיס (פי' דבר הנושא דבר אחר תרגום ואת כנו (שמות לא, ט) וית בסיסיה), לדבר האיסור. </w:t>
      </w:r>
      <w:r w:rsidRPr="00242621">
        <w:rPr>
          <w:rFonts w:asciiTheme="minorBidi" w:hAnsiTheme="minorBidi" w:cs="Arial"/>
          <w:sz w:val="18"/>
          <w:szCs w:val="18"/>
          <w:rtl/>
        </w:rPr>
        <w:t xml:space="preserve">הגה: ומ"מ מותר ליגע בטבלא הואיל ואינו מטלטל הנר. וה"ה שמותר ליגע במנורה שבבהכ"נ והנרות דולקות עליו, ובלבד שלא ינענע (מרדכי פכ"ב). </w:t>
      </w:r>
    </w:p>
    <w:p w14:paraId="573A9AD4" w14:textId="77777777" w:rsidR="004B2E7C" w:rsidRPr="00CC2350" w:rsidRDefault="004B2E7C" w:rsidP="00434A6A">
      <w:pPr>
        <w:rPr>
          <w:rFonts w:asciiTheme="minorBidi" w:hAnsiTheme="minorBidi"/>
          <w:rtl/>
        </w:rPr>
      </w:pPr>
    </w:p>
    <w:p w14:paraId="7E52AE86" w14:textId="77777777" w:rsidR="004B2E7C" w:rsidRDefault="004B2E7C" w:rsidP="00434A6A">
      <w:pPr>
        <w:pStyle w:val="2"/>
        <w:rPr>
          <w:rtl/>
        </w:rPr>
      </w:pPr>
      <w:r w:rsidRPr="00CC2350">
        <w:rPr>
          <w:rtl/>
        </w:rPr>
        <w:t>סעיף ד</w:t>
      </w:r>
      <w:r>
        <w:rPr>
          <w:rFonts w:hint="cs"/>
          <w:rtl/>
        </w:rPr>
        <w:t>:</w:t>
      </w:r>
    </w:p>
    <w:p w14:paraId="44FE4004" w14:textId="77777777" w:rsidR="004B2E7C" w:rsidRPr="00242621" w:rsidRDefault="004B2E7C" w:rsidP="00434A6A">
      <w:pPr>
        <w:rPr>
          <w:rtl/>
        </w:rPr>
      </w:pPr>
      <w:r w:rsidRPr="00242621">
        <w:rPr>
          <w:rFonts w:cs="Arial"/>
          <w:rtl/>
        </w:rPr>
        <w:t>[ד] מותר להניח נר של שבת על גבי אילן וכו'. מימרא דרב פרק כירה עלה מ"ה (ע"א) ופירש רש"י מניחין נר. מבעוד יום: על גבי דקל. וידליק שם בשבת דליכא למיחש לכשיכבה לישקליה מיניה ונמצא משתמש במחובר דכיון דאקצייה לדבר האסור בין השמשות איתקצאי לכולי יומא: ואין מניחין נר על גבי דקל ביום טוב. דשקיל ומנח ליה ומשתמש באילן:</w:t>
      </w:r>
    </w:p>
    <w:p w14:paraId="68EAC4AC"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187F7EB" w14:textId="77777777" w:rsidR="004B2E7C" w:rsidRPr="00CC2350" w:rsidRDefault="004B2E7C" w:rsidP="00434A6A">
      <w:pPr>
        <w:rPr>
          <w:rFonts w:asciiTheme="minorBidi" w:hAnsiTheme="minorBidi"/>
          <w:rtl/>
        </w:rPr>
      </w:pPr>
      <w:r w:rsidRPr="00CC2350">
        <w:rPr>
          <w:rFonts w:asciiTheme="minorBidi" w:hAnsiTheme="minorBidi" w:cs="Arial"/>
          <w:rtl/>
        </w:rPr>
        <w:t xml:space="preserve">מותר להניח נר של שבת מבע"י ע"ג אילן וידלק שם בשבת דליכא למיחש דלכשיכבה לשקליה מיניה ונמצא משתמש במחובר, אבל אין מניחין נר של יום טוב ע"ג אילן, דשקיל ומנח ליה ונמצא משתמש באילן. </w:t>
      </w:r>
    </w:p>
    <w:p w14:paraId="283EA865" w14:textId="77777777" w:rsidR="004B2E7C" w:rsidRDefault="004B2E7C" w:rsidP="00434A6A">
      <w:pPr>
        <w:pStyle w:val="2"/>
        <w:rPr>
          <w:rtl/>
        </w:rPr>
      </w:pPr>
      <w:r w:rsidRPr="00CC2350">
        <w:rPr>
          <w:rtl/>
        </w:rPr>
        <w:t>סעיף ה</w:t>
      </w:r>
    </w:p>
    <w:p w14:paraId="06CF031C" w14:textId="77777777" w:rsidR="004B2E7C" w:rsidRDefault="004B2E7C" w:rsidP="00434A6A">
      <w:pPr>
        <w:rPr>
          <w:rtl/>
        </w:rPr>
      </w:pPr>
    </w:p>
    <w:p w14:paraId="4EB70989" w14:textId="77777777" w:rsidR="004B2E7C" w:rsidRPr="00242621" w:rsidRDefault="004B2E7C" w:rsidP="00434A6A">
      <w:pPr>
        <w:rPr>
          <w:rtl/>
        </w:rPr>
      </w:pPr>
      <w:r>
        <w:rPr>
          <w:rFonts w:cs="Arial"/>
          <w:rtl/>
        </w:rPr>
        <w:t>[ה] מותר לכפות קערה על גבי הנר בשבת וכו'. משנה בסוף פרק כל כתבי (קכא:):</w:t>
      </w:r>
    </w:p>
    <w:p w14:paraId="5EF5A7BB"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1309E68" w14:textId="77777777" w:rsidR="004B2E7C" w:rsidRDefault="004B2E7C" w:rsidP="00434A6A">
      <w:pPr>
        <w:rPr>
          <w:rFonts w:asciiTheme="minorBidi" w:hAnsiTheme="minorBidi"/>
          <w:rtl/>
        </w:rPr>
      </w:pPr>
      <w:r w:rsidRPr="00CC2350">
        <w:rPr>
          <w:rFonts w:asciiTheme="minorBidi" w:hAnsiTheme="minorBidi" w:cs="Arial"/>
          <w:rtl/>
        </w:rPr>
        <w:t>מותר לכפות קערה ע"ג הנר בשבת כדי שלא יאחוז האור בקורה.</w:t>
      </w:r>
    </w:p>
    <w:p w14:paraId="1139BDB9" w14:textId="77777777" w:rsidR="004B2E7C" w:rsidRDefault="004B2E7C" w:rsidP="00434A6A">
      <w:pPr>
        <w:rPr>
          <w:rFonts w:asciiTheme="minorBidi" w:hAnsiTheme="minorBidi"/>
          <w:rtl/>
        </w:rPr>
      </w:pPr>
    </w:p>
    <w:p w14:paraId="6F300FB0" w14:textId="77777777" w:rsidR="004B2E7C" w:rsidRDefault="004B2E7C" w:rsidP="00434A6A">
      <w:pPr>
        <w:pStyle w:val="1"/>
        <w:rPr>
          <w:rtl/>
        </w:rPr>
        <w:sectPr w:rsidR="004B2E7C" w:rsidSect="00BD29B1">
          <w:footnotePr>
            <w:numRestart w:val="eachSect"/>
          </w:footnotePr>
          <w:pgSz w:w="11906" w:h="16838"/>
          <w:pgMar w:top="720" w:right="1134" w:bottom="720" w:left="1134" w:header="0" w:footer="0" w:gutter="0"/>
          <w:cols w:space="720"/>
          <w:bidi/>
          <w:rtlGutter/>
          <w:docGrid w:linePitch="360"/>
        </w:sectPr>
      </w:pPr>
    </w:p>
    <w:p w14:paraId="21D6B698" w14:textId="77777777" w:rsidR="004B2E7C" w:rsidRPr="005E5F5A" w:rsidRDefault="004B2E7C" w:rsidP="00434A6A">
      <w:pPr>
        <w:pStyle w:val="1"/>
        <w:rPr>
          <w:rtl/>
        </w:rPr>
      </w:pPr>
      <w:r>
        <w:rPr>
          <w:rFonts w:hint="cs"/>
          <w:rtl/>
        </w:rPr>
        <w:t xml:space="preserve">סימן רעח: </w:t>
      </w:r>
      <w:r w:rsidRPr="005E5F5A">
        <w:rPr>
          <w:rtl/>
        </w:rPr>
        <w:t xml:space="preserve">שיכול לכבות הנר בשביל החולה, ובו סעיף אחד. </w:t>
      </w:r>
    </w:p>
    <w:p w14:paraId="4527AF2C" w14:textId="77777777" w:rsidR="004B2E7C" w:rsidRDefault="004B2E7C" w:rsidP="00434A6A">
      <w:pPr>
        <w:pStyle w:val="2"/>
        <w:rPr>
          <w:rtl/>
        </w:rPr>
      </w:pPr>
      <w:r w:rsidRPr="005E5F5A">
        <w:rPr>
          <w:rtl/>
        </w:rPr>
        <w:t>סעיף א</w:t>
      </w:r>
    </w:p>
    <w:p w14:paraId="1E780F8A" w14:textId="77777777" w:rsidR="004B2E7C" w:rsidRPr="00242621" w:rsidRDefault="004B2E7C" w:rsidP="00FF2D21">
      <w:pPr>
        <w:pStyle w:val="aa"/>
        <w:numPr>
          <w:ilvl w:val="0"/>
          <w:numId w:val="118"/>
        </w:numPr>
        <w:rPr>
          <w:rFonts w:cs="Arial"/>
          <w:rtl/>
        </w:rPr>
      </w:pPr>
      <w:r w:rsidRPr="00242621">
        <w:rPr>
          <w:rFonts w:cs="Arial" w:hint="cs"/>
          <w:rtl/>
        </w:rPr>
        <w:t xml:space="preserve">טור- </w:t>
      </w:r>
      <w:r w:rsidRPr="00242621">
        <w:rPr>
          <w:rFonts w:cs="Arial"/>
          <w:rtl/>
        </w:rPr>
        <w:t xml:space="preserve">המכבה הנר מפני שהוא מתירא מפני עכו"ם או לסטים או רוח רעה או לצורך חולה שאין בו סכנה פטור אבל אסור ואם יש בו סכנה מותר לכתחלה ואם כבהו מפני שחס על הנר או על השמן או על הפתילה פטור ואם כבהו כדי להבהב הפתילה חייב חטאת: </w:t>
      </w:r>
    </w:p>
    <w:p w14:paraId="7EF8F1D4" w14:textId="77777777" w:rsidR="004B2E7C" w:rsidRDefault="004B2E7C" w:rsidP="00434A6A">
      <w:pPr>
        <w:rPr>
          <w:rtl/>
        </w:rPr>
      </w:pPr>
      <w:r>
        <w:rPr>
          <w:rFonts w:cs="Arial"/>
          <w:rtl/>
        </w:rPr>
        <w:t>[א] המכבה הנר מפני שהוא מתיירא מפני גוים וכו'. משנה בפרק במה מדליקין (כט:) המכבה את הנר מפני שהוא מתיירא מפני גוים מפני ליסטים מפני רוח רעה ואם בשביל החולה שישן פטור, ומפרש בגמרא (ל.) דמתניתין רבי יהודה היא דאמר מלאכה שאינה צריכה לגופה חייב עליה ומתניתין בחולה שיש בו סכנה ובדין הוא דליתני נמי מותר ואיידי דבעי למיתני סיפא חייב תנא נמי רישא פטור אבל אם אין בו סכנה חייב חטאת הוא אבל לרבי שמעון בחולה שיש בו סכנה מותר ובחולה שאין בו סכנה פטור משום דסבירא ליה מלאכה שאינה צריכה לגופה פטור עליה, ורבינו פוסק כרבי שמעון וכדעת הרמב"ן (חי' קנז. ד"ה בכל) שכתב הר"ן בסוף שבת (סז: ד"ה גמרא) וגם הוא ז"ל העלה כן בפרק המצניע (לו רע"א) וגם הרב המגיד כתב בפרק א' (ה"ז) שכן דעת האחרונים, אבל הרמב"ם פסק שם כרבי יהודה. ובכוונת הרי"ף כתב הר"ן בהמצניע (שם) דסבירא ליה כרבי שמעון והרב המגיד כתב בפרק הנזכר שכן דחק לומר הרמב"ן (חי' קכא: ד"ה ברצין, מלחמות דף מו.) ושכן דעת הרשב"א (קכא: ד"ה ברצין) ואף על פי שממה שכתב בפרק כירה (יט:) נראה שפוסק כרבי יהודה:</w:t>
      </w:r>
    </w:p>
    <w:p w14:paraId="2F6243E8" w14:textId="77777777" w:rsidR="004B2E7C" w:rsidRPr="00242621" w:rsidRDefault="004B2E7C" w:rsidP="00434A6A">
      <w:pPr>
        <w:rPr>
          <w:rtl/>
        </w:rPr>
      </w:pPr>
      <w:r>
        <w:rPr>
          <w:rFonts w:cs="Arial"/>
          <w:rtl/>
        </w:rPr>
        <w:t>ואם כבהו מפני שחס על הנר וכו'. משנה שם כחס על הנר כחס על השמן כחס על הפתילה חייב רבי יוסי פוטר בכולן חוץ מן הפתילה מפני שהוא עושה פחם, ומפרש בגמרא (לא:) דרבי יוסי כרבי שמעון סבירא ליה ומשום הכי פוטר בכולן והא דמחייב בפתילה דוקא כשצריך להבהבה כלומר שלא הובהבה מבעוד יום דכיבוי זה צריך לגופו שיהא הלהב נוח לאחוז בה כשיבא להדליקה, ואם כן לדברי הפוסקים כרבי שמעון הלכה כרבי יוסי ולדברי הפוסקים כרבי יהודה הלכה כתנא קמא:</w:t>
      </w:r>
    </w:p>
    <w:p w14:paraId="67D3F8B7"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9F971BA" w14:textId="77777777" w:rsidR="004B2E7C" w:rsidRPr="005275DF" w:rsidRDefault="004B2E7C" w:rsidP="00434A6A">
      <w:pPr>
        <w:rPr>
          <w:rFonts w:asciiTheme="minorBidi" w:hAnsiTheme="minorBidi"/>
          <w:rtl/>
        </w:rPr>
      </w:pPr>
      <w:r w:rsidRPr="005E5F5A">
        <w:rPr>
          <w:rFonts w:asciiTheme="minorBidi" w:hAnsiTheme="minorBidi" w:cs="Arial"/>
          <w:rtl/>
        </w:rPr>
        <w:t>מותר לכבות הנר בשביל שישן החולה שיש בו סכנה.</w:t>
      </w:r>
    </w:p>
    <w:p w14:paraId="018CBFF8" w14:textId="77777777" w:rsidR="004B2E7C" w:rsidRPr="005275DF" w:rsidRDefault="004B2E7C" w:rsidP="00434A6A">
      <w:pPr>
        <w:rPr>
          <w:rFonts w:asciiTheme="minorBidi" w:hAnsiTheme="minorBidi"/>
          <w:rtl/>
        </w:rPr>
      </w:pPr>
    </w:p>
    <w:p w14:paraId="0FAD46F1" w14:textId="77777777" w:rsidR="004B2E7C" w:rsidRPr="005275DF" w:rsidRDefault="004B2E7C" w:rsidP="00434A6A">
      <w:pPr>
        <w:rPr>
          <w:rFonts w:asciiTheme="minorBidi" w:hAnsiTheme="minorBidi"/>
          <w:rtl/>
        </w:rPr>
      </w:pPr>
    </w:p>
    <w:p w14:paraId="058747B9" w14:textId="77777777" w:rsidR="004B2E7C" w:rsidRPr="005275DF" w:rsidRDefault="004B2E7C" w:rsidP="00434A6A">
      <w:pPr>
        <w:rPr>
          <w:rFonts w:asciiTheme="minorBidi" w:hAnsiTheme="minorBidi"/>
          <w:rtl/>
        </w:rPr>
      </w:pPr>
    </w:p>
    <w:p w14:paraId="31D73DB7" w14:textId="77777777" w:rsidR="004B2E7C" w:rsidRDefault="004B2E7C" w:rsidP="00434A6A">
      <w:pPr>
        <w:pStyle w:val="1"/>
        <w:rPr>
          <w:rFonts w:asciiTheme="minorBidi" w:hAnsiTheme="minorBidi"/>
          <w:rtl/>
        </w:rPr>
        <w:sectPr w:rsidR="004B2E7C" w:rsidSect="00BD29B1">
          <w:headerReference w:type="default" r:id="rId48"/>
          <w:footnotePr>
            <w:numRestart w:val="eachSect"/>
          </w:footnotePr>
          <w:pgSz w:w="11906" w:h="16838"/>
          <w:pgMar w:top="720" w:right="1134" w:bottom="720" w:left="1134" w:header="0" w:footer="0" w:gutter="0"/>
          <w:cols w:space="720"/>
          <w:bidi/>
          <w:rtlGutter/>
          <w:docGrid w:linePitch="360"/>
        </w:sectPr>
      </w:pPr>
    </w:p>
    <w:p w14:paraId="29676BD6" w14:textId="77777777" w:rsidR="004B2E7C" w:rsidRPr="005275DF" w:rsidRDefault="004B2E7C" w:rsidP="00434A6A">
      <w:pPr>
        <w:pStyle w:val="1"/>
        <w:rPr>
          <w:rFonts w:asciiTheme="minorBidi" w:hAnsiTheme="minorBidi"/>
          <w:rtl/>
        </w:rPr>
      </w:pPr>
      <w:r w:rsidRPr="005275DF">
        <w:rPr>
          <w:rFonts w:asciiTheme="minorBidi" w:hAnsiTheme="minorBidi"/>
          <w:rtl/>
        </w:rPr>
        <w:t xml:space="preserve">סימן רעט: דיני טלטול הנר בשבת, ובו ז' סעיפים. </w:t>
      </w:r>
    </w:p>
    <w:p w14:paraId="7FA0C479"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א: טלטול נר שדלק בשבת וכן מותר השמן שבנר ובקערה.</w:t>
      </w:r>
    </w:p>
    <w:p w14:paraId="559E4257" w14:textId="77777777" w:rsidR="004B2E7C" w:rsidRPr="005275DF" w:rsidRDefault="004B2E7C" w:rsidP="00434A6A">
      <w:pPr>
        <w:rPr>
          <w:rFonts w:asciiTheme="minorBidi" w:hAnsiTheme="minorBidi"/>
          <w:rtl/>
        </w:rPr>
      </w:pPr>
      <w:r w:rsidRPr="005275DF">
        <w:rPr>
          <w:rFonts w:asciiTheme="minorBidi" w:hAnsiTheme="minorBidi"/>
          <w:b/>
          <w:bCs/>
          <w:rtl/>
        </w:rPr>
        <w:t xml:space="preserve">שבת </w:t>
      </w:r>
      <w:r>
        <w:rPr>
          <w:rFonts w:asciiTheme="minorBidi" w:hAnsiTheme="minorBidi" w:hint="cs"/>
          <w:b/>
          <w:bCs/>
          <w:sz w:val="16"/>
          <w:szCs w:val="16"/>
          <w:rtl/>
        </w:rPr>
        <w:t xml:space="preserve">(פ' כירה) </w:t>
      </w:r>
      <w:r w:rsidRPr="005275DF">
        <w:rPr>
          <w:rFonts w:asciiTheme="minorBidi" w:hAnsiTheme="minorBidi"/>
          <w:b/>
          <w:bCs/>
          <w:rtl/>
        </w:rPr>
        <w:t xml:space="preserve">מב ע"ב: </w:t>
      </w:r>
      <w:r w:rsidRPr="005275DF">
        <w:rPr>
          <w:rFonts w:asciiTheme="minorBidi" w:hAnsiTheme="minorBidi"/>
          <w:u w:val="double"/>
          <w:rtl/>
        </w:rPr>
        <w:t>משנה:</w:t>
      </w:r>
      <w:r w:rsidRPr="005275DF">
        <w:rPr>
          <w:rFonts w:asciiTheme="minorBidi" w:hAnsiTheme="minorBidi"/>
          <w:rtl/>
        </w:rPr>
        <w:t xml:space="preserve"> אין נותנין כלי תחת הנר לקבל בו את השמן, ואם נתנוה מבעוד יום - מותר. ואין ניאותין ממנו, לפי שאינו מן המוכן.     </w:t>
      </w:r>
      <w:r w:rsidRPr="005275DF">
        <w:rPr>
          <w:rFonts w:asciiTheme="minorBidi" w:hAnsiTheme="minorBidi"/>
          <w:u w:val="double"/>
          <w:rtl/>
        </w:rPr>
        <w:t xml:space="preserve">גמרא </w:t>
      </w:r>
      <w:r w:rsidRPr="005275DF">
        <w:rPr>
          <w:rFonts w:asciiTheme="minorBidi" w:hAnsiTheme="minorBidi"/>
          <w:sz w:val="16"/>
          <w:szCs w:val="16"/>
          <w:u w:val="double"/>
          <w:rtl/>
        </w:rPr>
        <w:t>(מד.)</w:t>
      </w:r>
      <w:r w:rsidRPr="005275DF">
        <w:rPr>
          <w:rFonts w:asciiTheme="minorBidi" w:hAnsiTheme="minorBidi"/>
          <w:u w:val="double"/>
          <w:rtl/>
        </w:rPr>
        <w:t>:</w:t>
      </w:r>
      <w:r w:rsidRPr="005275DF">
        <w:rPr>
          <w:rFonts w:asciiTheme="minorBidi" w:hAnsiTheme="minorBidi"/>
          <w:rtl/>
        </w:rPr>
        <w:t xml:space="preserve"> אין ניאותין הימנו לפי שאינו מן המוכן. תנו רבנן: מותר השמן שבנר ושבקערה - אסור, </w:t>
      </w:r>
      <w:r w:rsidRPr="005275DF">
        <w:rPr>
          <w:rFonts w:asciiTheme="minorBidi" w:hAnsiTheme="minorBidi"/>
          <w:u w:val="single"/>
          <w:rtl/>
        </w:rPr>
        <w:t>ורבי שמעון</w:t>
      </w:r>
      <w:r w:rsidRPr="005275DF">
        <w:rPr>
          <w:rFonts w:asciiTheme="minorBidi" w:hAnsiTheme="minorBidi"/>
          <w:rtl/>
        </w:rPr>
        <w:t>: מתיר.</w:t>
      </w:r>
      <w:r w:rsidRPr="005275DF">
        <w:rPr>
          <w:rFonts w:asciiTheme="minorBidi" w:hAnsiTheme="minorBidi"/>
          <w:sz w:val="16"/>
          <w:szCs w:val="16"/>
          <w:rtl/>
        </w:rPr>
        <w:t xml:space="preserve"> (ופירש הר"ן (כ: ד"ה תנו רבנן) אסור להסתפק ממנו משום דאיתקצאי לבין השמשות מחמת איסור, שהרי המסתפק מן השמן שבנר חייב משום מכבה, איתקצאי לכולי יומא אפילו לאחר שכבה, והך קערה שמדליק בה קאמר דומיא דנר, ורבי שמעון מתיר דלית ליה אפילו במוקצה מחמת איסור מגו דאיתקצאי ולא קיי"ל כרבי שמעון כמו שיתבאר בסמוך, ב"י)</w:t>
      </w:r>
    </w:p>
    <w:p w14:paraId="3363E6E3" w14:textId="77777777" w:rsidR="004B2E7C" w:rsidRPr="005275DF" w:rsidRDefault="004B2E7C" w:rsidP="00434A6A">
      <w:pPr>
        <w:rPr>
          <w:rFonts w:asciiTheme="minorBidi" w:hAnsiTheme="minorBidi"/>
          <w:sz w:val="16"/>
          <w:szCs w:val="16"/>
          <w:rtl/>
        </w:rPr>
      </w:pPr>
      <w:r w:rsidRPr="005275DF">
        <w:rPr>
          <w:rFonts w:asciiTheme="minorBidi" w:hAnsiTheme="minorBidi"/>
          <w:b/>
          <w:bCs/>
          <w:rtl/>
        </w:rPr>
        <w:t xml:space="preserve">שבת </w:t>
      </w:r>
      <w:r>
        <w:rPr>
          <w:rFonts w:asciiTheme="minorBidi" w:hAnsiTheme="minorBidi" w:hint="cs"/>
          <w:b/>
          <w:bCs/>
          <w:sz w:val="16"/>
          <w:szCs w:val="16"/>
          <w:rtl/>
        </w:rPr>
        <w:t xml:space="preserve">(פ' כירה) </w:t>
      </w:r>
      <w:r w:rsidRPr="005275DF">
        <w:rPr>
          <w:rFonts w:asciiTheme="minorBidi" w:hAnsiTheme="minorBidi"/>
          <w:b/>
          <w:bCs/>
          <w:rtl/>
        </w:rPr>
        <w:t xml:space="preserve">מד ע"א: </w:t>
      </w:r>
      <w:r w:rsidRPr="005275DF">
        <w:rPr>
          <w:rFonts w:asciiTheme="minorBidi" w:hAnsiTheme="minorBidi"/>
          <w:u w:val="double"/>
          <w:rtl/>
        </w:rPr>
        <w:t>משנה:</w:t>
      </w:r>
      <w:r w:rsidRPr="005275DF">
        <w:rPr>
          <w:rFonts w:asciiTheme="minorBidi" w:hAnsiTheme="minorBidi"/>
          <w:rtl/>
        </w:rPr>
        <w:t xml:space="preserve"> מטלטלין נר חדש</w:t>
      </w:r>
      <w:r w:rsidRPr="005275DF">
        <w:rPr>
          <w:rStyle w:val="a9"/>
          <w:rFonts w:asciiTheme="minorBidi" w:hAnsiTheme="minorBidi"/>
          <w:rtl/>
        </w:rPr>
        <w:footnoteReference w:id="976"/>
      </w:r>
      <w:r w:rsidRPr="005275DF">
        <w:rPr>
          <w:rFonts w:asciiTheme="minorBidi" w:hAnsiTheme="minorBidi"/>
          <w:rtl/>
        </w:rPr>
        <w:t xml:space="preserve"> אבל לא ישן</w:t>
      </w:r>
      <w:r w:rsidRPr="005275DF">
        <w:rPr>
          <w:rStyle w:val="a9"/>
          <w:rFonts w:asciiTheme="minorBidi" w:hAnsiTheme="minorBidi"/>
          <w:rtl/>
        </w:rPr>
        <w:footnoteReference w:id="977"/>
      </w:r>
      <w:r w:rsidRPr="005275DF">
        <w:rPr>
          <w:rFonts w:asciiTheme="minorBidi" w:hAnsiTheme="minorBidi"/>
          <w:rtl/>
        </w:rPr>
        <w:t xml:space="preserve">. </w:t>
      </w:r>
      <w:r w:rsidRPr="005275DF">
        <w:rPr>
          <w:rFonts w:asciiTheme="minorBidi" w:hAnsiTheme="minorBidi"/>
          <w:u w:val="single"/>
          <w:rtl/>
        </w:rPr>
        <w:t>רבי שמעון אומר</w:t>
      </w:r>
      <w:r w:rsidRPr="005275DF">
        <w:rPr>
          <w:rFonts w:asciiTheme="minorBidi" w:hAnsiTheme="minorBidi"/>
          <w:rtl/>
        </w:rPr>
        <w:t xml:space="preserve">: כל הנרות מטלטלין, חוץ מן הנר הדולק בשבת.      </w:t>
      </w:r>
      <w:r w:rsidRPr="005275DF">
        <w:rPr>
          <w:rFonts w:asciiTheme="minorBidi" w:hAnsiTheme="minorBidi"/>
          <w:u w:val="double"/>
          <w:rtl/>
        </w:rPr>
        <w:t>גמרא:</w:t>
      </w:r>
      <w:r w:rsidRPr="005275DF">
        <w:rPr>
          <w:rFonts w:asciiTheme="minorBidi" w:hAnsiTheme="minorBidi"/>
          <w:rtl/>
        </w:rPr>
        <w:t xml:space="preserve"> תנו רבנן: מטלטלין נר חדש אבל לא ישן, </w:t>
      </w:r>
      <w:r w:rsidRPr="005275DF">
        <w:rPr>
          <w:rFonts w:asciiTheme="minorBidi" w:hAnsiTheme="minorBidi"/>
          <w:u w:val="single"/>
          <w:rtl/>
        </w:rPr>
        <w:t>דברי רבי יהודה</w:t>
      </w:r>
      <w:r w:rsidRPr="005275DF">
        <w:rPr>
          <w:rFonts w:asciiTheme="minorBidi" w:hAnsiTheme="minorBidi"/>
          <w:rtl/>
        </w:rPr>
        <w:t xml:space="preserve">. </w:t>
      </w:r>
      <w:r w:rsidRPr="005275DF">
        <w:rPr>
          <w:rFonts w:asciiTheme="minorBidi" w:hAnsiTheme="minorBidi"/>
          <w:u w:val="single"/>
          <w:rtl/>
        </w:rPr>
        <w:t>רבי מאיר אומר</w:t>
      </w:r>
      <w:r w:rsidRPr="005275DF">
        <w:rPr>
          <w:rFonts w:asciiTheme="minorBidi" w:hAnsiTheme="minorBidi"/>
          <w:rtl/>
        </w:rPr>
        <w:t>: כל הנרות מטלטלין, חוץ מן הנר שהדליקו</w:t>
      </w:r>
      <w:r w:rsidRPr="005275DF">
        <w:rPr>
          <w:rStyle w:val="a9"/>
          <w:rFonts w:asciiTheme="minorBidi" w:hAnsiTheme="minorBidi"/>
          <w:rtl/>
        </w:rPr>
        <w:footnoteReference w:id="978"/>
      </w:r>
      <w:r w:rsidRPr="005275DF">
        <w:rPr>
          <w:rFonts w:asciiTheme="minorBidi" w:hAnsiTheme="minorBidi"/>
          <w:rtl/>
        </w:rPr>
        <w:t xml:space="preserve"> בו בשבת. </w:t>
      </w:r>
      <w:r w:rsidRPr="005275DF">
        <w:rPr>
          <w:rFonts w:asciiTheme="minorBidi" w:hAnsiTheme="minorBidi"/>
          <w:u w:val="single"/>
          <w:rtl/>
        </w:rPr>
        <w:t>רבי שמעון אומר</w:t>
      </w:r>
      <w:r w:rsidRPr="005275DF">
        <w:rPr>
          <w:rFonts w:asciiTheme="minorBidi" w:hAnsiTheme="minorBidi"/>
          <w:rtl/>
        </w:rPr>
        <w:t>: חוץ מן הנר הדולק בשבת</w:t>
      </w:r>
      <w:r w:rsidRPr="005275DF">
        <w:rPr>
          <w:rStyle w:val="a9"/>
          <w:rFonts w:asciiTheme="minorBidi" w:hAnsiTheme="minorBidi"/>
          <w:rtl/>
        </w:rPr>
        <w:footnoteReference w:id="979"/>
      </w:r>
      <w:r w:rsidRPr="005275DF">
        <w:rPr>
          <w:rFonts w:asciiTheme="minorBidi" w:hAnsiTheme="minorBidi"/>
          <w:rtl/>
        </w:rPr>
        <w:t>. כבתה - מותר לטלטלה</w:t>
      </w:r>
      <w:r w:rsidRPr="005275DF">
        <w:rPr>
          <w:rStyle w:val="a9"/>
          <w:rFonts w:asciiTheme="minorBidi" w:hAnsiTheme="minorBidi"/>
          <w:rtl/>
        </w:rPr>
        <w:footnoteReference w:id="980"/>
      </w:r>
      <w:r w:rsidRPr="005275DF">
        <w:rPr>
          <w:rFonts w:asciiTheme="minorBidi" w:hAnsiTheme="minorBidi"/>
          <w:rtl/>
        </w:rPr>
        <w:t xml:space="preserve">. </w:t>
      </w:r>
      <w:r w:rsidRPr="005275DF">
        <w:rPr>
          <w:rFonts w:asciiTheme="minorBidi" w:hAnsiTheme="minorBidi"/>
          <w:sz w:val="16"/>
          <w:szCs w:val="16"/>
          <w:rtl/>
        </w:rPr>
        <w:t>(וכתבו הרי"ף (כא.) והרא"ש (סי' כ) ואע"ג דקיימא לן הלכה כרבי שמעון לענין מוקצה בהא לית הלכתא כוותיה דגרסינן בפרק מי שהחשיך (קנז.) פליגי בה רב אחא ורבינא חד אמר בכל השבת כולה הלכה כרבי שמעון לבר ממוקצה מחמת מיאוס ומאי ניהו נר ישן וחד אמר במוקצה מחמת מיאוס נמי הלכתא כוותיה לבר ממוקצה מחמת איסור ומאי ניהו נר שהדליק בה באותה שבת, וקיי"ל כל היכא דפליגי רב אחא ורבינא הלכה כדברי המיקל, הלכך נר שהדליקו בה באותה שבת אע"פ שכבה אסור לטלטלו דמוקצה מחמת איסור הוא וכן מותר שמן שבנר ושבקערה שהדליקו בהן באותה שבת אסור לטלטלו ולהסתפק ממנו באותה שבת. וכ"פ הרמב"ם בפ"ה (הי"ב) ובפכ"ו (הי"ד) במותר שמן שבנר ושבקערה, ובפכ"ה (ה"י י"א) בנר שהדליקו בה באותה שבת שאסור לטלטלו ומוקצה מחמת מיאוס מותר, ב"י)</w:t>
      </w:r>
    </w:p>
    <w:p w14:paraId="1A9D5FCB" w14:textId="77777777" w:rsidR="004B2E7C" w:rsidRPr="005275DF" w:rsidRDefault="004B2E7C" w:rsidP="00434A6A">
      <w:pPr>
        <w:rPr>
          <w:rFonts w:asciiTheme="minorBidi" w:hAnsiTheme="minorBidi"/>
          <w:u w:val="single"/>
          <w:rtl/>
        </w:rPr>
      </w:pPr>
      <w:r w:rsidRPr="005275DF">
        <w:rPr>
          <w:rFonts w:asciiTheme="minorBidi" w:hAnsiTheme="minorBidi"/>
          <w:u w:val="single"/>
          <w:rtl/>
        </w:rPr>
        <w:t xml:space="preserve">טלטול נר שדלק בשבת וכן מותר השמן שבנר ובקערה: </w:t>
      </w:r>
    </w:p>
    <w:p w14:paraId="2270B39B" w14:textId="77777777" w:rsidR="004B2E7C" w:rsidRPr="005275DF" w:rsidRDefault="004B2E7C" w:rsidP="00FF2D21">
      <w:pPr>
        <w:pStyle w:val="aa"/>
        <w:numPr>
          <w:ilvl w:val="0"/>
          <w:numId w:val="81"/>
        </w:numPr>
        <w:rPr>
          <w:rFonts w:asciiTheme="minorBidi" w:hAnsiTheme="minorBidi"/>
          <w:rtl/>
        </w:rPr>
      </w:pPr>
      <w:r w:rsidRPr="005275DF">
        <w:rPr>
          <w:rFonts w:asciiTheme="minorBidi" w:hAnsiTheme="minorBidi"/>
          <w:rtl/>
        </w:rPr>
        <w:t>טור- מותר השמן שבנר ושבקערה שהדליקו בהן באותה שבת וכן הנר שהדליקו בו באותו שבת אסור לטלטלו אפי' אחר שכבה</w:t>
      </w:r>
      <w:r w:rsidRPr="005275DF">
        <w:rPr>
          <w:rStyle w:val="a9"/>
          <w:rFonts w:asciiTheme="minorBidi" w:hAnsiTheme="minorBidi"/>
          <w:rtl/>
        </w:rPr>
        <w:footnoteReference w:id="981"/>
      </w:r>
      <w:r w:rsidRPr="005275DF">
        <w:rPr>
          <w:rFonts w:asciiTheme="minorBidi" w:hAnsiTheme="minorBidi"/>
          <w:rtl/>
        </w:rPr>
        <w:t>.</w:t>
      </w:r>
      <w:r w:rsidRPr="005275DF">
        <w:rPr>
          <w:rFonts w:asciiTheme="minorBidi" w:hAnsiTheme="minorBidi"/>
          <w:color w:val="E36C0A" w:themeColor="accent6" w:themeShade="BF"/>
          <w:rtl/>
        </w:rPr>
        <w:t xml:space="preserve"> (וכ"פ בשו"ע)</w:t>
      </w:r>
    </w:p>
    <w:p w14:paraId="58A71860"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D5EF744" w14:textId="77777777" w:rsidR="004B2E7C" w:rsidRPr="005275DF" w:rsidRDefault="004B2E7C" w:rsidP="00434A6A">
      <w:pPr>
        <w:rPr>
          <w:rFonts w:asciiTheme="minorBidi" w:hAnsiTheme="minorBidi"/>
          <w:rtl/>
        </w:rPr>
      </w:pPr>
      <w:r w:rsidRPr="005275DF">
        <w:rPr>
          <w:rFonts w:asciiTheme="minorBidi" w:hAnsiTheme="minorBidi"/>
          <w:rtl/>
        </w:rPr>
        <w:t>נר שהדליקו בו באותה שבת, אף על פי שכבה, אסור לטלטלו</w:t>
      </w:r>
      <w:r w:rsidRPr="005275DF">
        <w:rPr>
          <w:rStyle w:val="a9"/>
          <w:rFonts w:asciiTheme="minorBidi" w:hAnsiTheme="minorBidi"/>
          <w:rtl/>
        </w:rPr>
        <w:footnoteReference w:id="982"/>
      </w:r>
      <w:r w:rsidRPr="005275DF">
        <w:rPr>
          <w:rFonts w:asciiTheme="minorBidi" w:hAnsiTheme="minorBidi"/>
          <w:rtl/>
        </w:rPr>
        <w:t>. וכן מותר השמן שבנר שהדליקו בו באותה שבת, אסור לטלטלו ולהסתפק ממנו באותה שבת</w:t>
      </w:r>
      <w:r w:rsidRPr="005275DF">
        <w:rPr>
          <w:rStyle w:val="a9"/>
          <w:rFonts w:asciiTheme="minorBidi" w:hAnsiTheme="minorBidi"/>
          <w:rtl/>
        </w:rPr>
        <w:footnoteReference w:id="983"/>
      </w:r>
      <w:r w:rsidRPr="005275DF">
        <w:rPr>
          <w:rFonts w:asciiTheme="minorBidi" w:hAnsiTheme="minorBidi"/>
          <w:rtl/>
        </w:rPr>
        <w:t xml:space="preserve">. </w:t>
      </w:r>
    </w:p>
    <w:p w14:paraId="5F409DC1" w14:textId="77777777" w:rsidR="004B2E7C" w:rsidRPr="005275DF" w:rsidRDefault="004B2E7C" w:rsidP="00434A6A">
      <w:pPr>
        <w:rPr>
          <w:rFonts w:asciiTheme="minorBidi" w:hAnsiTheme="minorBidi"/>
          <w:rtl/>
        </w:rPr>
      </w:pPr>
    </w:p>
    <w:p w14:paraId="4CF0DBD7"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ב: טלטול נר מדין גרף של רעי.</w:t>
      </w:r>
    </w:p>
    <w:p w14:paraId="4F2EA211" w14:textId="77777777" w:rsidR="004B2E7C" w:rsidRPr="005275DF" w:rsidRDefault="004B2E7C" w:rsidP="00434A6A">
      <w:pPr>
        <w:rPr>
          <w:rFonts w:asciiTheme="minorBidi" w:hAnsiTheme="minorBidi"/>
          <w:rtl/>
        </w:rPr>
      </w:pPr>
      <w:r w:rsidRPr="005275DF">
        <w:rPr>
          <w:rFonts w:asciiTheme="minorBidi" w:hAnsiTheme="minorBidi"/>
          <w:u w:val="single"/>
          <w:rtl/>
        </w:rPr>
        <w:t xml:space="preserve">נר שהדליקו בו בשבת – האם מותר למי שהנר מפריע לו להוציאו </w:t>
      </w:r>
      <w:r w:rsidRPr="005275DF">
        <w:rPr>
          <w:rFonts w:asciiTheme="minorBidi" w:hAnsiTheme="minorBidi"/>
          <w:sz w:val="16"/>
          <w:szCs w:val="16"/>
          <w:u w:val="single"/>
          <w:rtl/>
        </w:rPr>
        <w:t>(לאחר שכבה הנר)</w:t>
      </w:r>
      <w:r w:rsidRPr="005275DF">
        <w:rPr>
          <w:rFonts w:asciiTheme="minorBidi" w:hAnsiTheme="minorBidi"/>
          <w:u w:val="single"/>
          <w:rtl/>
        </w:rPr>
        <w:t xml:space="preserve"> מדין גרף של רעי:</w:t>
      </w:r>
      <w:r w:rsidRPr="005275DF">
        <w:rPr>
          <w:rFonts w:asciiTheme="minorBidi" w:hAnsiTheme="minorBidi"/>
          <w:rtl/>
        </w:rPr>
        <w:t xml:space="preserve"> </w:t>
      </w:r>
    </w:p>
    <w:p w14:paraId="4B0C53A5" w14:textId="77777777" w:rsidR="004B2E7C" w:rsidRPr="005275DF" w:rsidRDefault="004B2E7C" w:rsidP="00FF2D21">
      <w:pPr>
        <w:pStyle w:val="aa"/>
        <w:numPr>
          <w:ilvl w:val="0"/>
          <w:numId w:val="81"/>
        </w:numPr>
        <w:rPr>
          <w:rFonts w:asciiTheme="minorBidi" w:hAnsiTheme="minorBidi"/>
        </w:rPr>
      </w:pPr>
      <w:r w:rsidRPr="005275DF">
        <w:rPr>
          <w:rFonts w:asciiTheme="minorBidi" w:hAnsiTheme="minorBidi"/>
          <w:rtl/>
        </w:rPr>
        <w:t xml:space="preserve">מרדכי </w:t>
      </w:r>
      <w:r w:rsidRPr="005275DF">
        <w:rPr>
          <w:rFonts w:asciiTheme="minorBidi" w:hAnsiTheme="minorBidi"/>
          <w:sz w:val="16"/>
          <w:szCs w:val="16"/>
          <w:rtl/>
        </w:rPr>
        <w:t>(ביצה סי' תרמב)</w:t>
      </w:r>
      <w:r w:rsidRPr="005275DF">
        <w:rPr>
          <w:rFonts w:asciiTheme="minorBidi" w:hAnsiTheme="minorBidi"/>
          <w:rtl/>
        </w:rPr>
        <w:t xml:space="preserve">- במוקצה דנולד פסק בסה"מ </w:t>
      </w:r>
      <w:r w:rsidRPr="005275DF">
        <w:rPr>
          <w:rFonts w:asciiTheme="minorBidi" w:hAnsiTheme="minorBidi"/>
          <w:sz w:val="16"/>
          <w:szCs w:val="16"/>
          <w:rtl/>
        </w:rPr>
        <w:t xml:space="preserve">(לאוין עה הל' יו"ט כה:)  </w:t>
      </w:r>
      <w:r w:rsidRPr="005275DF">
        <w:rPr>
          <w:rFonts w:asciiTheme="minorBidi" w:hAnsiTheme="minorBidi"/>
          <w:rtl/>
        </w:rPr>
        <w:t>דאסור וכן במוקצה מחמת איסור דדחיה בידים כגון נר הדולק באותה שבת כדאיתא בסוף מסכת שבת וא"כ נר שהדליקו בה בשבת אסור לטלטלו, ויש מתירין משום דהוי כגרף של רעי, ואין זה נכון כי כל השוטים יאמרו דאנינו דעתייהו, ואינו מותר אלא למי שהוא אסטניס, והמחמיר</w:t>
      </w:r>
      <w:r w:rsidRPr="005275DF">
        <w:rPr>
          <w:rStyle w:val="a9"/>
          <w:rFonts w:asciiTheme="minorBidi" w:hAnsiTheme="minorBidi"/>
          <w:rtl/>
        </w:rPr>
        <w:footnoteReference w:id="984"/>
      </w:r>
      <w:r w:rsidRPr="005275DF">
        <w:rPr>
          <w:rFonts w:asciiTheme="minorBidi" w:hAnsiTheme="minorBidi"/>
          <w:rtl/>
        </w:rPr>
        <w:t xml:space="preserve"> לא הפסיד</w:t>
      </w:r>
      <w:r w:rsidRPr="005275DF">
        <w:rPr>
          <w:rStyle w:val="a9"/>
          <w:rFonts w:asciiTheme="minorBidi" w:hAnsiTheme="minorBidi"/>
          <w:rtl/>
        </w:rPr>
        <w:footnoteReference w:id="985"/>
      </w:r>
      <w:r w:rsidRPr="005275DF">
        <w:rPr>
          <w:rFonts w:asciiTheme="minorBidi" w:hAnsiTheme="minorBidi"/>
          <w:rtl/>
        </w:rPr>
        <w:t xml:space="preserve">. </w:t>
      </w:r>
      <w:r w:rsidRPr="005275DF">
        <w:rPr>
          <w:rFonts w:asciiTheme="minorBidi" w:hAnsiTheme="minorBidi"/>
          <w:color w:val="00B0F0"/>
          <w:rtl/>
        </w:rPr>
        <w:t>(וכ"פ הרמ"א)</w:t>
      </w:r>
    </w:p>
    <w:p w14:paraId="32F1C93E" w14:textId="77777777" w:rsidR="004B2E7C" w:rsidRPr="005275DF" w:rsidRDefault="004B2E7C" w:rsidP="00FF2D21">
      <w:pPr>
        <w:pStyle w:val="aa"/>
        <w:numPr>
          <w:ilvl w:val="0"/>
          <w:numId w:val="81"/>
        </w:numPr>
        <w:rPr>
          <w:rFonts w:asciiTheme="minorBidi" w:hAnsiTheme="minorBidi"/>
        </w:rPr>
      </w:pPr>
      <w:r w:rsidRPr="005275DF">
        <w:rPr>
          <w:rFonts w:asciiTheme="minorBidi" w:hAnsiTheme="minorBidi"/>
          <w:rtl/>
        </w:rPr>
        <w:t>רבינו ישעיה</w:t>
      </w:r>
      <w:r w:rsidRPr="005275DF">
        <w:rPr>
          <w:rFonts w:asciiTheme="minorBidi" w:hAnsiTheme="minorBidi"/>
          <w:sz w:val="16"/>
          <w:szCs w:val="16"/>
          <w:rtl/>
        </w:rPr>
        <w:t xml:space="preserve"> (פסקי רי"ד שבת דף מד ודף קנז., כ"כ האגור בשמו [סי' תנד])</w:t>
      </w:r>
      <w:r w:rsidRPr="005275DF">
        <w:rPr>
          <w:rFonts w:asciiTheme="minorBidi" w:hAnsiTheme="minorBidi"/>
          <w:rtl/>
        </w:rPr>
        <w:t xml:space="preserve"> ומרדכי</w:t>
      </w:r>
      <w:r w:rsidRPr="005275DF">
        <w:rPr>
          <w:rStyle w:val="a9"/>
          <w:rFonts w:asciiTheme="minorBidi" w:hAnsiTheme="minorBidi"/>
          <w:rtl/>
        </w:rPr>
        <w:footnoteReference w:id="986"/>
      </w:r>
      <w:r w:rsidRPr="005275DF">
        <w:rPr>
          <w:rFonts w:asciiTheme="minorBidi" w:hAnsiTheme="minorBidi"/>
          <w:rtl/>
        </w:rPr>
        <w:t xml:space="preserve"> </w:t>
      </w:r>
      <w:r w:rsidRPr="005275DF">
        <w:rPr>
          <w:rFonts w:asciiTheme="minorBidi" w:hAnsiTheme="minorBidi"/>
          <w:sz w:val="16"/>
          <w:szCs w:val="16"/>
          <w:rtl/>
        </w:rPr>
        <w:t>(שבת סי' שטו)</w:t>
      </w:r>
      <w:r w:rsidRPr="005275DF">
        <w:rPr>
          <w:rFonts w:asciiTheme="minorBidi" w:hAnsiTheme="minorBidi"/>
          <w:rtl/>
        </w:rPr>
        <w:t>- אפי' נר שהדליקו בו באותה שבת דאסרו רב אחא ורבינא, אילו היה צריך למקומו כגון שתלה הנר על שלחנו או בשום מקום שצריך להשתמש בו והנר מעכבו שמותר לטלטלו</w:t>
      </w:r>
      <w:r w:rsidRPr="005275DF">
        <w:rPr>
          <w:rFonts w:asciiTheme="minorBidi" w:hAnsiTheme="minorBidi"/>
          <w:sz w:val="16"/>
          <w:szCs w:val="16"/>
          <w:rtl/>
        </w:rPr>
        <w:t xml:space="preserve"> (ל' האגור בשם ר' ישעיה)</w:t>
      </w:r>
      <w:r w:rsidRPr="005275DF">
        <w:rPr>
          <w:rFonts w:asciiTheme="minorBidi" w:hAnsiTheme="minorBidi"/>
          <w:rtl/>
        </w:rPr>
        <w:t>. (וכ"פ הב"ח)</w:t>
      </w:r>
    </w:p>
    <w:p w14:paraId="00C2235F" w14:textId="77777777" w:rsidR="004B2E7C" w:rsidRPr="005275DF" w:rsidRDefault="004B2E7C" w:rsidP="00FF2D21">
      <w:pPr>
        <w:pStyle w:val="aa"/>
        <w:numPr>
          <w:ilvl w:val="0"/>
          <w:numId w:val="81"/>
        </w:numPr>
        <w:rPr>
          <w:rFonts w:asciiTheme="minorBidi" w:hAnsiTheme="minorBidi"/>
        </w:rPr>
      </w:pPr>
      <w:r w:rsidRPr="005275DF">
        <w:rPr>
          <w:rFonts w:asciiTheme="minorBidi" w:hAnsiTheme="minorBidi"/>
          <w:rtl/>
        </w:rPr>
        <w:t>רמב"ם</w:t>
      </w:r>
      <w:r w:rsidRPr="005275DF">
        <w:rPr>
          <w:rStyle w:val="a9"/>
          <w:rFonts w:asciiTheme="minorBidi" w:hAnsiTheme="minorBidi"/>
          <w:rtl/>
        </w:rPr>
        <w:footnoteReference w:id="987"/>
      </w:r>
      <w:r w:rsidRPr="005275DF">
        <w:rPr>
          <w:rFonts w:asciiTheme="minorBidi" w:hAnsiTheme="minorBidi"/>
          <w:sz w:val="16"/>
          <w:szCs w:val="16"/>
          <w:rtl/>
        </w:rPr>
        <w:t xml:space="preserve"> (</w:t>
      </w:r>
      <w:r>
        <w:rPr>
          <w:rFonts w:asciiTheme="minorBidi" w:hAnsiTheme="minorBidi" w:hint="cs"/>
          <w:sz w:val="16"/>
          <w:szCs w:val="16"/>
          <w:rtl/>
        </w:rPr>
        <w:t>פכ"ה ה"י-יא</w:t>
      </w:r>
      <w:r w:rsidRPr="005275DF">
        <w:rPr>
          <w:rFonts w:asciiTheme="minorBidi" w:hAnsiTheme="minorBidi"/>
          <w:sz w:val="16"/>
          <w:szCs w:val="16"/>
          <w:rtl/>
        </w:rPr>
        <w:t>)</w:t>
      </w:r>
      <w:r w:rsidRPr="005275DF">
        <w:rPr>
          <w:rFonts w:asciiTheme="minorBidi" w:hAnsiTheme="minorBidi"/>
          <w:rtl/>
        </w:rPr>
        <w:t>- כלי שהוקצה מחמת איסור אסור לטלטלו כגון נר שהדליקו בו בשבת והמנורה שהיה הנר עליה ושלחן שהיו עליו מעות אע"פ שכבה הנר או שנפלו המעות אסור לטלטל, שכל כלי שהיה אסור לטלטלו בין השמשות נאסר לטלטלו כל השבת כולה אע"פ שהלך הדבר שגרם לו האיסור, אבל כלי שהוקצה מחמת מיאוסו... מותר לטלטלן בשבת אם הוצרך להם</w:t>
      </w:r>
      <w:r w:rsidRPr="005275DF">
        <w:rPr>
          <w:rStyle w:val="a9"/>
          <w:rFonts w:asciiTheme="minorBidi" w:hAnsiTheme="minorBidi"/>
          <w:rtl/>
        </w:rPr>
        <w:footnoteReference w:id="988"/>
      </w:r>
      <w:r w:rsidRPr="005275DF">
        <w:rPr>
          <w:rFonts w:asciiTheme="minorBidi" w:hAnsiTheme="minorBidi"/>
          <w:rtl/>
        </w:rPr>
        <w:t xml:space="preserve">. </w:t>
      </w:r>
      <w:r w:rsidRPr="005275DF">
        <w:rPr>
          <w:rFonts w:asciiTheme="minorBidi" w:hAnsiTheme="minorBidi"/>
          <w:color w:val="E36C0A" w:themeColor="accent6" w:themeShade="BF"/>
          <w:rtl/>
        </w:rPr>
        <w:t>(וכ"פ בשו"ע)</w:t>
      </w:r>
      <w:r w:rsidRPr="005275DF">
        <w:rPr>
          <w:rFonts w:asciiTheme="minorBidi" w:hAnsiTheme="minorBidi"/>
          <w:rtl/>
        </w:rPr>
        <w:t xml:space="preserve"> </w:t>
      </w:r>
    </w:p>
    <w:p w14:paraId="32D3B0CE" w14:textId="77777777" w:rsidR="004B2E7C" w:rsidRPr="005275DF" w:rsidRDefault="004B2E7C" w:rsidP="00FF2D21">
      <w:pPr>
        <w:pStyle w:val="aa"/>
        <w:numPr>
          <w:ilvl w:val="0"/>
          <w:numId w:val="81"/>
        </w:numPr>
        <w:rPr>
          <w:rFonts w:asciiTheme="minorBidi" w:hAnsiTheme="minorBidi"/>
          <w:rtl/>
        </w:rPr>
      </w:pPr>
      <w:r w:rsidRPr="005275DF">
        <w:rPr>
          <w:rFonts w:asciiTheme="minorBidi" w:hAnsiTheme="minorBidi"/>
          <w:rtl/>
        </w:rPr>
        <w:t xml:space="preserve">סה"ת </w:t>
      </w:r>
      <w:r w:rsidRPr="005275DF">
        <w:rPr>
          <w:rFonts w:asciiTheme="minorBidi" w:hAnsiTheme="minorBidi"/>
          <w:sz w:val="16"/>
          <w:szCs w:val="16"/>
          <w:rtl/>
        </w:rPr>
        <w:t>(סי' רנד)</w:t>
      </w:r>
      <w:r w:rsidRPr="005275DF">
        <w:rPr>
          <w:rFonts w:asciiTheme="minorBidi" w:hAnsiTheme="minorBidi"/>
          <w:rtl/>
        </w:rPr>
        <w:t xml:space="preserve"> ורבינו ישעיה </w:t>
      </w:r>
      <w:r w:rsidRPr="005275DF">
        <w:rPr>
          <w:rFonts w:asciiTheme="minorBidi" w:hAnsiTheme="minorBidi"/>
          <w:sz w:val="16"/>
          <w:szCs w:val="16"/>
          <w:rtl/>
        </w:rPr>
        <w:t>(כ"כ האגור בשמו)</w:t>
      </w:r>
      <w:r w:rsidRPr="005275DF">
        <w:rPr>
          <w:rFonts w:asciiTheme="minorBidi" w:hAnsiTheme="minorBidi"/>
          <w:rtl/>
        </w:rPr>
        <w:t>- פי' של מניח היינו שמניח שם המעות או דבר האסור כדי לשהות שם כל השבת כולה, אבל נתנן במזיד בע"ש כדי לנוטלן למחר בשבת מותר לנער כמו שכח כדתנן טומנין בגיזי צמר ואין מטלטלין אותן למחר נוטל לו הכסוי והן נופלות</w:t>
      </w:r>
      <w:r w:rsidRPr="005275DF">
        <w:rPr>
          <w:rFonts w:asciiTheme="minorBidi" w:hAnsiTheme="minorBidi"/>
          <w:sz w:val="16"/>
          <w:szCs w:val="16"/>
          <w:rtl/>
        </w:rPr>
        <w:t xml:space="preserve"> (ל' סה"ת)</w:t>
      </w:r>
      <w:r w:rsidRPr="005275DF">
        <w:rPr>
          <w:rFonts w:asciiTheme="minorBidi" w:hAnsiTheme="minorBidi"/>
          <w:rtl/>
        </w:rPr>
        <w:t>.</w:t>
      </w:r>
    </w:p>
    <w:p w14:paraId="7E3298A3"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7616ADB2" w14:textId="77777777" w:rsidR="004B2E7C" w:rsidRPr="005275DF" w:rsidRDefault="004B2E7C" w:rsidP="00434A6A">
      <w:pPr>
        <w:rPr>
          <w:rFonts w:asciiTheme="minorBidi" w:hAnsiTheme="minorBidi"/>
          <w:rtl/>
        </w:rPr>
      </w:pPr>
      <w:r w:rsidRPr="005275DF">
        <w:rPr>
          <w:rFonts w:asciiTheme="minorBidi" w:hAnsiTheme="minorBidi"/>
          <w:rtl/>
        </w:rPr>
        <w:t xml:space="preserve">נר זה שאמרנו שאסור לטלטלו, אפילו לצורך גופו ולצורך מקומו אסור. ויש מי שהתיר, ולא נראו דבריו. </w:t>
      </w:r>
      <w:r w:rsidRPr="005275DF">
        <w:rPr>
          <w:rFonts w:asciiTheme="minorBidi" w:hAnsiTheme="minorBidi"/>
          <w:sz w:val="18"/>
          <w:szCs w:val="18"/>
          <w:rtl/>
        </w:rPr>
        <w:t>הגה: וי"א דמי שהוא איסטניס והנר מאיס עליו מותר להוציאו דהוי לדידיה כגרף של רעי, והמחמיר</w:t>
      </w:r>
      <w:r w:rsidRPr="005275DF">
        <w:rPr>
          <w:rStyle w:val="a9"/>
          <w:rFonts w:asciiTheme="minorBidi" w:hAnsiTheme="minorBidi"/>
          <w:sz w:val="18"/>
          <w:szCs w:val="18"/>
          <w:rtl/>
        </w:rPr>
        <w:footnoteReference w:id="989"/>
      </w:r>
      <w:r w:rsidRPr="005275DF">
        <w:rPr>
          <w:rFonts w:asciiTheme="minorBidi" w:hAnsiTheme="minorBidi"/>
          <w:sz w:val="18"/>
          <w:szCs w:val="18"/>
          <w:rtl/>
        </w:rPr>
        <w:t xml:space="preserve"> לא הפסיד (מרדכי).</w:t>
      </w:r>
      <w:r w:rsidRPr="005275DF">
        <w:rPr>
          <w:rFonts w:asciiTheme="minorBidi" w:hAnsiTheme="minorBidi"/>
          <w:rtl/>
        </w:rPr>
        <w:t xml:space="preserve"> </w:t>
      </w:r>
    </w:p>
    <w:p w14:paraId="5F126D4A" w14:textId="77777777" w:rsidR="004B2E7C" w:rsidRPr="005275DF" w:rsidRDefault="004B2E7C" w:rsidP="00434A6A">
      <w:pPr>
        <w:rPr>
          <w:rFonts w:asciiTheme="minorBidi" w:hAnsiTheme="minorBidi"/>
          <w:rtl/>
        </w:rPr>
      </w:pPr>
    </w:p>
    <w:p w14:paraId="60F791D0"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ג: טלטול נר ע"י לחם.</w:t>
      </w:r>
    </w:p>
    <w:p w14:paraId="14A1C1EA" w14:textId="77777777" w:rsidR="004B2E7C" w:rsidRPr="005275DF" w:rsidRDefault="004B2E7C" w:rsidP="00434A6A">
      <w:pPr>
        <w:rPr>
          <w:rFonts w:asciiTheme="minorBidi" w:hAnsiTheme="minorBidi"/>
          <w:u w:val="single"/>
          <w:rtl/>
        </w:rPr>
      </w:pPr>
      <w:r w:rsidRPr="005275DF">
        <w:rPr>
          <w:rFonts w:asciiTheme="minorBidi" w:hAnsiTheme="minorBidi"/>
          <w:u w:val="single"/>
          <w:rtl/>
        </w:rPr>
        <w:t>הניח לחם על הנר - האם מותר לטלטלו לאחר שכבה:</w:t>
      </w:r>
    </w:p>
    <w:p w14:paraId="1C98F052" w14:textId="77777777" w:rsidR="004B2E7C" w:rsidRPr="005275DF" w:rsidRDefault="004B2E7C" w:rsidP="00FF2D21">
      <w:pPr>
        <w:pStyle w:val="aa"/>
        <w:numPr>
          <w:ilvl w:val="0"/>
          <w:numId w:val="82"/>
        </w:numPr>
        <w:rPr>
          <w:rFonts w:asciiTheme="minorBidi" w:hAnsiTheme="minorBidi"/>
        </w:rPr>
      </w:pPr>
      <w:r w:rsidRPr="005275DF">
        <w:rPr>
          <w:rFonts w:asciiTheme="minorBidi" w:hAnsiTheme="minorBidi"/>
          <w:rtl/>
        </w:rPr>
        <w:t>רא"ש בשם רבינו ניסים בעל ההשלמה</w:t>
      </w:r>
      <w:r w:rsidRPr="005275DF">
        <w:rPr>
          <w:rStyle w:val="a9"/>
          <w:rFonts w:asciiTheme="minorBidi" w:hAnsiTheme="minorBidi"/>
          <w:rtl/>
        </w:rPr>
        <w:footnoteReference w:id="990"/>
      </w:r>
      <w:r w:rsidRPr="005275DF">
        <w:rPr>
          <w:rFonts w:asciiTheme="minorBidi" w:hAnsiTheme="minorBidi"/>
          <w:rtl/>
        </w:rPr>
        <w:t xml:space="preserve"> ורי"ו</w:t>
      </w:r>
      <w:r w:rsidRPr="005275DF">
        <w:rPr>
          <w:rStyle w:val="a9"/>
          <w:rFonts w:asciiTheme="minorBidi" w:hAnsiTheme="minorBidi"/>
          <w:rtl/>
        </w:rPr>
        <w:footnoteReference w:id="991"/>
      </w:r>
      <w:r w:rsidRPr="005275DF">
        <w:rPr>
          <w:rFonts w:asciiTheme="minorBidi" w:hAnsiTheme="minorBidi"/>
          <w:rtl/>
        </w:rPr>
        <w:t>- אותם שמטלטלין מנורה שהדליקו עליה בשבת ע"י ככר או תינוק לא יפה הם עושים</w:t>
      </w:r>
      <w:r w:rsidRPr="005275DF">
        <w:rPr>
          <w:rFonts w:asciiTheme="minorBidi" w:hAnsiTheme="minorBidi"/>
          <w:sz w:val="16"/>
          <w:szCs w:val="16"/>
          <w:rtl/>
        </w:rPr>
        <w:t xml:space="preserve"> (ל' הרא"ש)</w:t>
      </w:r>
      <w:r w:rsidRPr="005275DF">
        <w:rPr>
          <w:rFonts w:asciiTheme="minorBidi" w:hAnsiTheme="minorBidi"/>
          <w:rtl/>
        </w:rPr>
        <w:t>. שלא התירו ע"י ככר אלא למת בלבד</w:t>
      </w:r>
      <w:r w:rsidRPr="005275DF">
        <w:rPr>
          <w:rFonts w:asciiTheme="minorBidi" w:hAnsiTheme="minorBidi"/>
          <w:sz w:val="16"/>
          <w:szCs w:val="16"/>
          <w:rtl/>
        </w:rPr>
        <w:t xml:space="preserve"> (ל' רי"ו)</w:t>
      </w:r>
      <w:r w:rsidRPr="005275DF">
        <w:rPr>
          <w:rFonts w:asciiTheme="minorBidi" w:hAnsiTheme="minorBidi"/>
          <w:rtl/>
        </w:rPr>
        <w:t xml:space="preserve">. </w:t>
      </w:r>
      <w:r w:rsidRPr="005275DF">
        <w:rPr>
          <w:rFonts w:asciiTheme="minorBidi" w:hAnsiTheme="minorBidi"/>
          <w:color w:val="E36C0A" w:themeColor="accent6" w:themeShade="BF"/>
          <w:rtl/>
        </w:rPr>
        <w:t>(וכ"פ בשו"ע)</w:t>
      </w:r>
    </w:p>
    <w:p w14:paraId="32484A1D" w14:textId="77777777" w:rsidR="004B2E7C" w:rsidRPr="005275DF" w:rsidRDefault="004B2E7C" w:rsidP="00FF2D21">
      <w:pPr>
        <w:pStyle w:val="aa"/>
        <w:numPr>
          <w:ilvl w:val="0"/>
          <w:numId w:val="82"/>
        </w:numPr>
        <w:rPr>
          <w:rFonts w:asciiTheme="minorBidi" w:hAnsiTheme="minorBidi"/>
        </w:rPr>
      </w:pPr>
      <w:r w:rsidRPr="005275DF">
        <w:rPr>
          <w:rFonts w:asciiTheme="minorBidi" w:hAnsiTheme="minorBidi"/>
          <w:rtl/>
        </w:rPr>
        <w:t xml:space="preserve">קצת חכמי צרפת </w:t>
      </w:r>
      <w:r w:rsidRPr="005275DF">
        <w:rPr>
          <w:rFonts w:asciiTheme="minorBidi" w:hAnsiTheme="minorBidi"/>
          <w:sz w:val="16"/>
          <w:szCs w:val="16"/>
          <w:rtl/>
        </w:rPr>
        <w:t>(כ"כ הכל בו בשמו [סי' לא, לב ע"ג])</w:t>
      </w:r>
      <w:r w:rsidRPr="005275DF">
        <w:rPr>
          <w:rFonts w:asciiTheme="minorBidi" w:hAnsiTheme="minorBidi"/>
          <w:rtl/>
        </w:rPr>
        <w:t xml:space="preserve">- שרי לטלטל נר שהדליקו בה באותה שבת ע"י ככר אם הונח עליו מבעוד יום שמה שאמרו ז"ל </w:t>
      </w:r>
      <w:r w:rsidRPr="005275DF">
        <w:rPr>
          <w:rFonts w:asciiTheme="minorBidi" w:hAnsiTheme="minorBidi"/>
          <w:sz w:val="16"/>
          <w:szCs w:val="16"/>
          <w:rtl/>
        </w:rPr>
        <w:t xml:space="preserve">(קמב:) </w:t>
      </w:r>
      <w:r w:rsidRPr="005275DF">
        <w:rPr>
          <w:rFonts w:asciiTheme="minorBidi" w:hAnsiTheme="minorBidi"/>
          <w:rtl/>
        </w:rPr>
        <w:t>לא אמרו ככר או תינוק אלא למת בלבד ר"ל כשמניחין אותו בשבת אבל כשהונח מבעוד יום מותר</w:t>
      </w:r>
      <w:r w:rsidRPr="005275DF">
        <w:rPr>
          <w:rStyle w:val="a9"/>
          <w:rFonts w:asciiTheme="minorBidi" w:hAnsiTheme="minorBidi"/>
          <w:rtl/>
        </w:rPr>
        <w:footnoteReference w:id="992"/>
      </w:r>
      <w:r w:rsidRPr="005275DF">
        <w:rPr>
          <w:rFonts w:asciiTheme="minorBidi" w:hAnsiTheme="minorBidi"/>
          <w:rtl/>
        </w:rPr>
        <w:t xml:space="preserve">. </w:t>
      </w:r>
    </w:p>
    <w:p w14:paraId="1A500996" w14:textId="77777777" w:rsidR="004B2E7C" w:rsidRPr="005275DF" w:rsidRDefault="004B2E7C" w:rsidP="00FF2D21">
      <w:pPr>
        <w:pStyle w:val="aa"/>
        <w:numPr>
          <w:ilvl w:val="0"/>
          <w:numId w:val="82"/>
        </w:numPr>
        <w:rPr>
          <w:rFonts w:asciiTheme="minorBidi" w:hAnsiTheme="minorBidi"/>
          <w:rtl/>
        </w:rPr>
      </w:pPr>
      <w:r w:rsidRPr="005275DF">
        <w:rPr>
          <w:rFonts w:asciiTheme="minorBidi" w:hAnsiTheme="minorBidi"/>
          <w:rtl/>
        </w:rPr>
        <w:t xml:space="preserve">ריב"ש </w:t>
      </w:r>
      <w:r w:rsidRPr="005275DF">
        <w:rPr>
          <w:rFonts w:asciiTheme="minorBidi" w:hAnsiTheme="minorBidi"/>
          <w:sz w:val="16"/>
          <w:szCs w:val="16"/>
          <w:rtl/>
        </w:rPr>
        <w:t>(סי' צג)</w:t>
      </w:r>
      <w:r w:rsidRPr="005275DF">
        <w:rPr>
          <w:rFonts w:asciiTheme="minorBidi" w:hAnsiTheme="minorBidi"/>
          <w:rtl/>
        </w:rPr>
        <w:t xml:space="preserve">- מה שמטלטלין הנר שלא ע"י תנאי ע"י מעט לחם, אם נותנים הלחם בנר בשבת טועים הם, שכבר העלה רב אשי בפרק נוטל לא אמרו ככר או תינוק אלא למת בלבד, אבל אם נותנים הלחם מערב שבת אז מותר לטלטלו לאחר שכבה, לפי שאין טלטול הנר אסור אפילו בעוד שהוא דולק אלא מפני שנעשה בסיס לדבר האסור, וא"כ כל שמער"ש הניחו בנר דבר המותר הרי נעשה הנר בסיס לדבר המותר ולדבר האסור ומותר לטלטלו כדאמרינן פרק כירה </w:t>
      </w:r>
      <w:r w:rsidRPr="005275DF">
        <w:rPr>
          <w:rFonts w:asciiTheme="minorBidi" w:hAnsiTheme="minorBidi"/>
          <w:sz w:val="16"/>
          <w:szCs w:val="16"/>
          <w:rtl/>
        </w:rPr>
        <w:t xml:space="preserve">(מז.) </w:t>
      </w:r>
      <w:r w:rsidRPr="005275DF">
        <w:rPr>
          <w:rFonts w:asciiTheme="minorBidi" w:hAnsiTheme="minorBidi"/>
          <w:rtl/>
        </w:rPr>
        <w:t xml:space="preserve">ופרק נוטל </w:t>
      </w:r>
      <w:r w:rsidRPr="005275DF">
        <w:rPr>
          <w:rFonts w:asciiTheme="minorBidi" w:hAnsiTheme="minorBidi"/>
          <w:sz w:val="16"/>
          <w:szCs w:val="16"/>
          <w:rtl/>
        </w:rPr>
        <w:t>(קמב.)</w:t>
      </w:r>
      <w:r w:rsidRPr="005275DF">
        <w:rPr>
          <w:rFonts w:asciiTheme="minorBidi" w:hAnsiTheme="minorBidi"/>
          <w:rtl/>
        </w:rPr>
        <w:t xml:space="preserve">, ועל זה סמכו אותם המניחים מעט לחם בנר מערב שבת, ולדבריהם גם בעוד שהנר דולק היה מותר לטלטלו, שאל"כ אף לאחר שיכבה יהיה אסור מגו דאיתקצאי לבה"ש, מ"מ צריך שיהא הלחם יותר חשוב מן השמן ולא יספיק מעט לחם כי בכל דבר הנעשה בסיס לדבר המותר ולדבר האסור אין מותר לטלטלו אא"כ הדבר המותר חשוב יותר מהדבר האסור, כדאמר' בפרק כירה </w:t>
      </w:r>
      <w:r w:rsidRPr="005275DF">
        <w:rPr>
          <w:rFonts w:asciiTheme="minorBidi" w:hAnsiTheme="minorBidi"/>
          <w:sz w:val="16"/>
          <w:szCs w:val="16"/>
          <w:rtl/>
        </w:rPr>
        <w:t xml:space="preserve">(שם) </w:t>
      </w:r>
      <w:r w:rsidRPr="005275DF">
        <w:rPr>
          <w:rFonts w:asciiTheme="minorBidi" w:hAnsiTheme="minorBidi"/>
          <w:rtl/>
        </w:rPr>
        <w:t>גבי כנונא אגב קיטמיה, ועוד שאפילו היה נותן בה דבר חשוב עדיין אין היתר זה ברור לפי שהשמן שבנר חשוב לו לעולם יותר מהדבר המותר שנותן בו לפי שהוא צריך לו עתה בעוד שהוא דולק, וא"כ אף לאחר שכבה אסור מגו דאיתקצאי, אלא שיש לומר שהרי זה כאילו התנה שיוכל לטלטלו לאחר שכבה.</w:t>
      </w:r>
    </w:p>
    <w:p w14:paraId="0B8C8B2C"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9C3DBFF" w14:textId="77777777" w:rsidR="004B2E7C" w:rsidRPr="005275DF" w:rsidRDefault="004B2E7C" w:rsidP="00434A6A">
      <w:pPr>
        <w:rPr>
          <w:rFonts w:asciiTheme="minorBidi" w:hAnsiTheme="minorBidi"/>
          <w:rtl/>
        </w:rPr>
      </w:pPr>
      <w:r w:rsidRPr="005275DF">
        <w:rPr>
          <w:rFonts w:asciiTheme="minorBidi" w:hAnsiTheme="minorBidi"/>
          <w:rtl/>
        </w:rPr>
        <w:t xml:space="preserve">לטלטל נר על ידי שנותנין עליו לחם בשבת, אסור. ואם נתן עליו הלחם מבעוד יום, יש מי שמתיר לטלטלו בשבת על ידי לחם זה, ואין לסמוך עליו. </w:t>
      </w:r>
    </w:p>
    <w:p w14:paraId="59DB8447" w14:textId="77777777" w:rsidR="004B2E7C" w:rsidRPr="005275DF" w:rsidRDefault="004B2E7C" w:rsidP="00434A6A">
      <w:pPr>
        <w:rPr>
          <w:rFonts w:asciiTheme="minorBidi" w:hAnsiTheme="minorBidi"/>
          <w:rtl/>
        </w:rPr>
      </w:pPr>
    </w:p>
    <w:p w14:paraId="556E6BF0" w14:textId="77777777" w:rsidR="004B2E7C" w:rsidRDefault="004B2E7C" w:rsidP="00434A6A">
      <w:pPr>
        <w:pStyle w:val="2"/>
        <w:rPr>
          <w:rFonts w:asciiTheme="minorBidi" w:hAnsiTheme="minorBidi" w:cstheme="minorBidi"/>
          <w:rtl/>
        </w:rPr>
      </w:pPr>
      <w:r w:rsidRPr="005275DF">
        <w:rPr>
          <w:rFonts w:asciiTheme="minorBidi" w:hAnsiTheme="minorBidi" w:cstheme="minorBidi"/>
          <w:rtl/>
        </w:rPr>
        <w:t>סעיף ד: טלטול הנר ע"י תנאי.</w:t>
      </w:r>
    </w:p>
    <w:p w14:paraId="082FAF5B" w14:textId="77777777" w:rsidR="004B2E7C" w:rsidRPr="005275DF" w:rsidRDefault="004B2E7C" w:rsidP="00434A6A">
      <w:pPr>
        <w:rPr>
          <w:rFonts w:asciiTheme="minorBidi" w:hAnsiTheme="minorBidi"/>
          <w:u w:val="single"/>
          <w:rtl/>
        </w:rPr>
      </w:pPr>
      <w:r w:rsidRPr="005275DF">
        <w:rPr>
          <w:rFonts w:asciiTheme="minorBidi" w:hAnsiTheme="minorBidi"/>
          <w:u w:val="single"/>
          <w:rtl/>
        </w:rPr>
        <w:t>טלטול נר ע"י תנאי מערב שבת:</w:t>
      </w:r>
    </w:p>
    <w:p w14:paraId="2866EF61" w14:textId="77777777" w:rsidR="004B2E7C" w:rsidRPr="005275DF" w:rsidRDefault="004B2E7C" w:rsidP="00FF2D21">
      <w:pPr>
        <w:pStyle w:val="aa"/>
        <w:numPr>
          <w:ilvl w:val="0"/>
          <w:numId w:val="83"/>
        </w:numPr>
        <w:rPr>
          <w:rFonts w:asciiTheme="minorBidi" w:hAnsiTheme="minorBidi"/>
          <w:rtl/>
        </w:rPr>
      </w:pPr>
      <w:r w:rsidRPr="005275DF">
        <w:rPr>
          <w:rFonts w:asciiTheme="minorBidi" w:hAnsiTheme="minorBidi"/>
          <w:rtl/>
        </w:rPr>
        <w:t>רמב"ן רשב"א א"ח בשם הרא"ה ר"ן רשב"ץ ורשב"ש</w:t>
      </w:r>
      <w:r w:rsidRPr="005275DF">
        <w:rPr>
          <w:rStyle w:val="a9"/>
          <w:rFonts w:asciiTheme="minorBidi" w:hAnsiTheme="minorBidi"/>
          <w:rtl/>
        </w:rPr>
        <w:footnoteReference w:id="993"/>
      </w:r>
      <w:r w:rsidRPr="005275DF">
        <w:rPr>
          <w:rFonts w:asciiTheme="minorBidi" w:hAnsiTheme="minorBidi"/>
          <w:rtl/>
        </w:rPr>
        <w:t xml:space="preserve">- הא דמסקינן דנר שהדליקו בה באותה שבת אסור לטלטלה </w:t>
      </w:r>
      <w:r>
        <w:rPr>
          <w:rFonts w:asciiTheme="minorBidi" w:hAnsiTheme="minorBidi" w:hint="cs"/>
          <w:rtl/>
        </w:rPr>
        <w:t xml:space="preserve">- </w:t>
      </w:r>
      <w:r w:rsidRPr="005275DF">
        <w:rPr>
          <w:rFonts w:asciiTheme="minorBidi" w:hAnsiTheme="minorBidi"/>
          <w:rtl/>
        </w:rPr>
        <w:t>דוקא כשלא התנה עליו</w:t>
      </w:r>
      <w:r>
        <w:rPr>
          <w:rFonts w:asciiTheme="minorBidi" w:hAnsiTheme="minorBidi" w:hint="cs"/>
          <w:rtl/>
        </w:rPr>
        <w:t>,</w:t>
      </w:r>
      <w:r w:rsidRPr="005275DF">
        <w:rPr>
          <w:rFonts w:asciiTheme="minorBidi" w:hAnsiTheme="minorBidi"/>
          <w:rtl/>
        </w:rPr>
        <w:t xml:space="preserve"> אבל התנה עליו שיטלטלנו לאחר שכבה </w:t>
      </w:r>
      <w:r>
        <w:rPr>
          <w:rFonts w:asciiTheme="minorBidi" w:hAnsiTheme="minorBidi" w:hint="cs"/>
          <w:rtl/>
        </w:rPr>
        <w:t xml:space="preserve">- </w:t>
      </w:r>
      <w:r w:rsidRPr="005275DF">
        <w:rPr>
          <w:rFonts w:asciiTheme="minorBidi" w:hAnsiTheme="minorBidi"/>
          <w:rtl/>
        </w:rPr>
        <w:t>שרי לטלטלו משכבה</w:t>
      </w:r>
      <w:r w:rsidRPr="005275DF">
        <w:rPr>
          <w:rStyle w:val="a9"/>
          <w:rFonts w:asciiTheme="minorBidi" w:hAnsiTheme="minorBidi"/>
          <w:rtl/>
        </w:rPr>
        <w:footnoteReference w:id="994"/>
      </w:r>
      <w:r w:rsidRPr="005275DF">
        <w:rPr>
          <w:rFonts w:asciiTheme="minorBidi" w:hAnsiTheme="minorBidi"/>
          <w:sz w:val="16"/>
          <w:szCs w:val="16"/>
          <w:rtl/>
        </w:rPr>
        <w:t xml:space="preserve"> (ל' הר"ן)</w:t>
      </w:r>
      <w:r w:rsidRPr="005275DF">
        <w:rPr>
          <w:rStyle w:val="a9"/>
          <w:rFonts w:asciiTheme="minorBidi" w:hAnsiTheme="minorBidi"/>
          <w:rtl/>
        </w:rPr>
        <w:footnoteReference w:id="995"/>
      </w:r>
      <w:r w:rsidRPr="005275DF">
        <w:rPr>
          <w:rFonts w:asciiTheme="minorBidi" w:hAnsiTheme="minorBidi"/>
          <w:rtl/>
        </w:rPr>
        <w:t xml:space="preserve">. </w:t>
      </w:r>
      <w:r w:rsidRPr="005275DF">
        <w:rPr>
          <w:rFonts w:asciiTheme="minorBidi" w:hAnsiTheme="minorBidi"/>
          <w:color w:val="E36C0A" w:themeColor="accent6" w:themeShade="BF"/>
          <w:rtl/>
        </w:rPr>
        <w:t>(וכ"פ בשו"ע)</w:t>
      </w:r>
    </w:p>
    <w:p w14:paraId="0FFA345B" w14:textId="77777777" w:rsidR="004B2E7C" w:rsidRPr="005275DF" w:rsidRDefault="004B2E7C" w:rsidP="00FF2D21">
      <w:pPr>
        <w:pStyle w:val="aa"/>
        <w:numPr>
          <w:ilvl w:val="0"/>
          <w:numId w:val="83"/>
        </w:numPr>
        <w:rPr>
          <w:rFonts w:asciiTheme="minorBidi" w:hAnsiTheme="minorBidi"/>
          <w:rtl/>
        </w:rPr>
      </w:pPr>
      <w:r w:rsidRPr="005275DF">
        <w:rPr>
          <w:rFonts w:asciiTheme="minorBidi" w:hAnsiTheme="minorBidi"/>
          <w:rtl/>
        </w:rPr>
        <w:t xml:space="preserve">תוס' </w:t>
      </w:r>
      <w:r w:rsidRPr="005275DF">
        <w:rPr>
          <w:rFonts w:asciiTheme="minorBidi" w:hAnsiTheme="minorBidi"/>
          <w:sz w:val="16"/>
          <w:szCs w:val="16"/>
          <w:rtl/>
        </w:rPr>
        <w:t xml:space="preserve">(מד. ד"ה שבנר) </w:t>
      </w:r>
      <w:r w:rsidRPr="005275DF">
        <w:rPr>
          <w:rFonts w:asciiTheme="minorBidi" w:hAnsiTheme="minorBidi"/>
          <w:rtl/>
        </w:rPr>
        <w:t>הג"א</w:t>
      </w:r>
      <w:r w:rsidRPr="005275DF">
        <w:rPr>
          <w:rFonts w:asciiTheme="minorBidi" w:hAnsiTheme="minorBidi"/>
          <w:sz w:val="16"/>
          <w:szCs w:val="16"/>
          <w:rtl/>
        </w:rPr>
        <w:t xml:space="preserve"> (פרק כירה סי' כ ד"ה אבל)</w:t>
      </w:r>
      <w:r w:rsidRPr="005275DF">
        <w:rPr>
          <w:rFonts w:asciiTheme="minorBidi" w:hAnsiTheme="minorBidi"/>
          <w:rtl/>
        </w:rPr>
        <w:t xml:space="preserve"> ורי"ו </w:t>
      </w:r>
      <w:r w:rsidRPr="005275DF">
        <w:rPr>
          <w:rFonts w:asciiTheme="minorBidi" w:hAnsiTheme="minorBidi"/>
          <w:sz w:val="16"/>
          <w:szCs w:val="16"/>
          <w:rtl/>
        </w:rPr>
        <w:t>(</w:t>
      </w:r>
      <w:r>
        <w:rPr>
          <w:rFonts w:asciiTheme="minorBidi" w:hAnsiTheme="minorBidi" w:hint="cs"/>
          <w:sz w:val="16"/>
          <w:szCs w:val="16"/>
          <w:rtl/>
        </w:rPr>
        <w:t xml:space="preserve">ני"ב </w:t>
      </w:r>
      <w:r w:rsidRPr="005275DF">
        <w:rPr>
          <w:rFonts w:asciiTheme="minorBidi" w:hAnsiTheme="minorBidi"/>
          <w:sz w:val="16"/>
          <w:szCs w:val="16"/>
          <w:rtl/>
        </w:rPr>
        <w:t>ח"ב סז:)</w:t>
      </w:r>
      <w:r w:rsidRPr="005275DF">
        <w:rPr>
          <w:rFonts w:asciiTheme="minorBidi" w:hAnsiTheme="minorBidi"/>
          <w:rtl/>
        </w:rPr>
        <w:t>- אפילו התנה נמי אסור</w:t>
      </w:r>
      <w:r w:rsidRPr="005275DF">
        <w:rPr>
          <w:rStyle w:val="a9"/>
          <w:rFonts w:asciiTheme="minorBidi" w:hAnsiTheme="minorBidi"/>
          <w:rtl/>
        </w:rPr>
        <w:footnoteReference w:id="996"/>
      </w:r>
      <w:r w:rsidRPr="005275DF">
        <w:rPr>
          <w:rFonts w:asciiTheme="minorBidi" w:hAnsiTheme="minorBidi"/>
          <w:rtl/>
        </w:rPr>
        <w:t xml:space="preserve">. </w:t>
      </w:r>
      <w:r w:rsidRPr="005275DF">
        <w:rPr>
          <w:rFonts w:asciiTheme="minorBidi" w:hAnsiTheme="minorBidi"/>
          <w:color w:val="00B0F0"/>
          <w:rtl/>
        </w:rPr>
        <w:t>(וכ"פ הרמ"א)</w:t>
      </w:r>
    </w:p>
    <w:p w14:paraId="0CB751EA" w14:textId="77777777" w:rsidR="004B2E7C" w:rsidRPr="005275DF" w:rsidRDefault="004B2E7C" w:rsidP="00FF2D21">
      <w:pPr>
        <w:pStyle w:val="aa"/>
        <w:numPr>
          <w:ilvl w:val="0"/>
          <w:numId w:val="83"/>
        </w:numPr>
        <w:rPr>
          <w:rFonts w:asciiTheme="minorBidi" w:hAnsiTheme="minorBidi"/>
        </w:rPr>
      </w:pPr>
      <w:r w:rsidRPr="005275DF">
        <w:rPr>
          <w:rFonts w:asciiTheme="minorBidi" w:hAnsiTheme="minorBidi"/>
          <w:rtl/>
        </w:rPr>
        <w:t xml:space="preserve">ריב"ש </w:t>
      </w:r>
      <w:r w:rsidRPr="005275DF">
        <w:rPr>
          <w:rFonts w:asciiTheme="minorBidi" w:hAnsiTheme="minorBidi"/>
          <w:sz w:val="16"/>
          <w:szCs w:val="16"/>
          <w:rtl/>
        </w:rPr>
        <w:t>(סי' צג)</w:t>
      </w:r>
      <w:r w:rsidRPr="005275DF">
        <w:rPr>
          <w:rFonts w:asciiTheme="minorBidi" w:hAnsiTheme="minorBidi"/>
          <w:rtl/>
        </w:rPr>
        <w:t>- התרתי להם לטלטל נר שהדליקו בו באותו שבת לאחר שכבה ע"י תנאי, וכ"כ הרמב"ן, ואע"פ שיש לי לדון בהיתר זה וכו' כבר הורה זקן</w:t>
      </w:r>
      <w:r w:rsidRPr="005275DF">
        <w:rPr>
          <w:rStyle w:val="a9"/>
          <w:rFonts w:asciiTheme="minorBidi" w:hAnsiTheme="minorBidi"/>
          <w:rtl/>
        </w:rPr>
        <w:footnoteReference w:id="997"/>
      </w:r>
      <w:r w:rsidRPr="005275DF">
        <w:rPr>
          <w:rFonts w:asciiTheme="minorBidi" w:hAnsiTheme="minorBidi"/>
          <w:rtl/>
        </w:rPr>
        <w:t xml:space="preserve">. </w:t>
      </w:r>
    </w:p>
    <w:p w14:paraId="6FCE4317" w14:textId="77777777" w:rsidR="004B2E7C" w:rsidRPr="008B018A" w:rsidRDefault="004B2E7C" w:rsidP="00FF2D21">
      <w:pPr>
        <w:pStyle w:val="aa"/>
        <w:numPr>
          <w:ilvl w:val="1"/>
          <w:numId w:val="83"/>
        </w:numPr>
        <w:rPr>
          <w:rFonts w:asciiTheme="minorBidi" w:hAnsiTheme="minorBidi"/>
          <w:rtl/>
        </w:rPr>
      </w:pPr>
      <w:r w:rsidRPr="005275DF">
        <w:rPr>
          <w:rFonts w:asciiTheme="minorBidi" w:hAnsiTheme="minorBidi"/>
          <w:rtl/>
        </w:rPr>
        <w:t>ב"י- ולענין הלכה נראה דכיון דמוקצה דרבנן כדאי הם הנך רבוותא דשרו לטלטל ע"י תנאה לסמוך עליהם</w:t>
      </w:r>
      <w:r w:rsidRPr="005275DF">
        <w:rPr>
          <w:rStyle w:val="a9"/>
          <w:rFonts w:asciiTheme="minorBidi" w:hAnsiTheme="minorBidi"/>
          <w:rtl/>
        </w:rPr>
        <w:footnoteReference w:id="998"/>
      </w:r>
      <w:r w:rsidRPr="005275DF">
        <w:rPr>
          <w:rFonts w:asciiTheme="minorBidi" w:hAnsiTheme="minorBidi"/>
          <w:rtl/>
        </w:rPr>
        <w:t>.</w:t>
      </w:r>
    </w:p>
    <w:p w14:paraId="56F0B553"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6B69279D" w14:textId="77777777" w:rsidR="004B2E7C" w:rsidRPr="005275DF" w:rsidRDefault="004B2E7C" w:rsidP="00434A6A">
      <w:pPr>
        <w:rPr>
          <w:rFonts w:asciiTheme="minorBidi" w:hAnsiTheme="minorBidi"/>
          <w:rtl/>
        </w:rPr>
      </w:pPr>
      <w:r w:rsidRPr="005275DF">
        <w:rPr>
          <w:rFonts w:asciiTheme="minorBidi" w:hAnsiTheme="minorBidi"/>
          <w:rtl/>
        </w:rPr>
        <w:t xml:space="preserve">אם התנה מערב שבת על נר זה שיטלטלנו משיכבה, מותר לטלטלו אחר שכבה. </w:t>
      </w:r>
      <w:r w:rsidRPr="005275DF">
        <w:rPr>
          <w:rFonts w:asciiTheme="minorBidi" w:hAnsiTheme="minorBidi"/>
          <w:sz w:val="18"/>
          <w:szCs w:val="18"/>
          <w:rtl/>
        </w:rPr>
        <w:t>הגה: וי"א דלא מהני תנאי (תוס' הג"א רי"ו וכל בו), וכן נוהגין במדינות אלו. ודין התנאי ע"ל סי' תרלח. ונוהגין לטלטלו ע"י גוי</w:t>
      </w:r>
      <w:r w:rsidRPr="005275DF">
        <w:rPr>
          <w:rStyle w:val="a9"/>
          <w:rFonts w:asciiTheme="minorBidi" w:hAnsiTheme="minorBidi"/>
          <w:sz w:val="18"/>
          <w:szCs w:val="18"/>
          <w:rtl/>
        </w:rPr>
        <w:footnoteReference w:id="999"/>
      </w:r>
      <w:r w:rsidRPr="005275DF">
        <w:rPr>
          <w:rFonts w:asciiTheme="minorBidi" w:hAnsiTheme="minorBidi"/>
          <w:sz w:val="18"/>
          <w:szCs w:val="18"/>
          <w:rtl/>
        </w:rPr>
        <w:t xml:space="preserve"> ואין בזה משום איסור אמירה לגוי הואיל והמנהג כך הוי כאילו התנה</w:t>
      </w:r>
      <w:r w:rsidRPr="005275DF">
        <w:rPr>
          <w:rStyle w:val="a9"/>
          <w:rFonts w:asciiTheme="minorBidi" w:hAnsiTheme="minorBidi"/>
          <w:sz w:val="18"/>
          <w:szCs w:val="18"/>
          <w:rtl/>
        </w:rPr>
        <w:footnoteReference w:id="1000"/>
      </w:r>
      <w:r w:rsidRPr="005275DF">
        <w:rPr>
          <w:rFonts w:asciiTheme="minorBidi" w:hAnsiTheme="minorBidi"/>
          <w:sz w:val="18"/>
          <w:szCs w:val="18"/>
          <w:rtl/>
        </w:rPr>
        <w:t xml:space="preserve"> עליו מתחלה ושרי, כנ"ל.</w:t>
      </w:r>
      <w:r w:rsidRPr="005275DF">
        <w:rPr>
          <w:rFonts w:asciiTheme="minorBidi" w:hAnsiTheme="minorBidi"/>
          <w:rtl/>
        </w:rPr>
        <w:t xml:space="preserve">  </w:t>
      </w:r>
    </w:p>
    <w:p w14:paraId="3C21928B" w14:textId="77777777" w:rsidR="004B2E7C" w:rsidRPr="005275DF" w:rsidRDefault="004B2E7C" w:rsidP="00434A6A">
      <w:pPr>
        <w:rPr>
          <w:rFonts w:asciiTheme="minorBidi" w:hAnsiTheme="minorBidi"/>
          <w:rtl/>
        </w:rPr>
      </w:pPr>
    </w:p>
    <w:p w14:paraId="6EFFB689"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 xml:space="preserve">סעיף ה: נר שהדליקו בשבת </w:t>
      </w:r>
      <w:r w:rsidRPr="005275DF">
        <w:rPr>
          <w:rFonts w:asciiTheme="minorBidi" w:hAnsiTheme="minorBidi" w:cstheme="minorBidi"/>
          <w:sz w:val="18"/>
          <w:szCs w:val="18"/>
          <w:rtl/>
        </w:rPr>
        <w:t>(לחיה לחולה או בשוגג)</w:t>
      </w:r>
      <w:r w:rsidRPr="005275DF">
        <w:rPr>
          <w:rFonts w:asciiTheme="minorBidi" w:hAnsiTheme="minorBidi" w:cstheme="minorBidi"/>
          <w:rtl/>
        </w:rPr>
        <w:t>.</w:t>
      </w:r>
    </w:p>
    <w:p w14:paraId="630A9004" w14:textId="77777777" w:rsidR="004B2E7C" w:rsidRPr="005275DF" w:rsidRDefault="004B2E7C" w:rsidP="00434A6A">
      <w:pPr>
        <w:rPr>
          <w:rFonts w:asciiTheme="minorBidi" w:hAnsiTheme="minorBidi"/>
          <w:u w:val="single"/>
          <w:rtl/>
        </w:rPr>
      </w:pPr>
      <w:r w:rsidRPr="005275DF">
        <w:rPr>
          <w:rFonts w:asciiTheme="minorBidi" w:hAnsiTheme="minorBidi"/>
          <w:u w:val="single"/>
          <w:rtl/>
        </w:rPr>
        <w:t>נר שהדליקו בשבת לחיה או לחולה או שהדליקו בשוגג:</w:t>
      </w:r>
    </w:p>
    <w:p w14:paraId="2743D92C" w14:textId="77777777" w:rsidR="004B2E7C" w:rsidRPr="005275DF" w:rsidRDefault="004B2E7C" w:rsidP="00FF2D21">
      <w:pPr>
        <w:pStyle w:val="aa"/>
        <w:numPr>
          <w:ilvl w:val="0"/>
          <w:numId w:val="84"/>
        </w:numPr>
        <w:rPr>
          <w:rFonts w:asciiTheme="minorBidi" w:hAnsiTheme="minorBidi"/>
          <w:rtl/>
        </w:rPr>
      </w:pPr>
      <w:r w:rsidRPr="005275DF">
        <w:rPr>
          <w:rFonts w:asciiTheme="minorBidi" w:hAnsiTheme="minorBidi"/>
          <w:rtl/>
        </w:rPr>
        <w:t xml:space="preserve">רשב"א </w:t>
      </w:r>
      <w:r w:rsidRPr="005275DF">
        <w:rPr>
          <w:rFonts w:asciiTheme="minorBidi" w:hAnsiTheme="minorBidi"/>
          <w:sz w:val="16"/>
          <w:szCs w:val="16"/>
          <w:rtl/>
        </w:rPr>
        <w:t>(ח"ג סי' רסח)</w:t>
      </w:r>
      <w:r w:rsidRPr="005275DF">
        <w:rPr>
          <w:rFonts w:asciiTheme="minorBidi" w:hAnsiTheme="minorBidi"/>
          <w:rtl/>
        </w:rPr>
        <w:t xml:space="preserve">- נר שהדליקו בשבת לחיה ולחולה וילדה החיה ונתרפא החולה מסתברא מותר לטלטלו אם כבה ואינו נמנע, דקיי"ל כר"ש במוקצה וא"כ לא היה הנר בכניסת שבת מוקצה מחמת עצמו אא"כ הדליקו מער"ש משום דדחייה בידים וזה שהדליקו לצורך החולה או החיה אין זו הקצאה ולא דחייה דאדרבה מדליקו כדי לטלטלו לצורך החולה, ועוד דאיבעיא לן </w:t>
      </w:r>
      <w:r w:rsidRPr="005275DF">
        <w:rPr>
          <w:rFonts w:asciiTheme="minorBidi" w:hAnsiTheme="minorBidi"/>
          <w:sz w:val="16"/>
          <w:szCs w:val="16"/>
          <w:rtl/>
        </w:rPr>
        <w:t>(ביצה כו:)</w:t>
      </w:r>
      <w:r w:rsidRPr="005275DF">
        <w:rPr>
          <w:rFonts w:asciiTheme="minorBidi" w:hAnsiTheme="minorBidi"/>
          <w:rtl/>
        </w:rPr>
        <w:t xml:space="preserve"> אם יש מוקצה לחצי שבת דאיחזי ואידחי והדר איחזי ולא איפשיטא ומוקצה דרבנן וספיקא לקולא, ועוד דפשטא </w:t>
      </w:r>
      <w:r w:rsidRPr="005275DF">
        <w:rPr>
          <w:rFonts w:asciiTheme="minorBidi" w:hAnsiTheme="minorBidi"/>
          <w:sz w:val="16"/>
          <w:szCs w:val="16"/>
          <w:rtl/>
        </w:rPr>
        <w:t xml:space="preserve">(שם) </w:t>
      </w:r>
      <w:r w:rsidRPr="005275DF">
        <w:rPr>
          <w:rFonts w:asciiTheme="minorBidi" w:hAnsiTheme="minorBidi"/>
          <w:rtl/>
        </w:rPr>
        <w:t>דושוין שאם נולד ומומו עמו הכין דייקא, דמאי דאוקמא אביי בדיתבי דייני התם דחוק הוא ודחייה בעלמא הוא דלא שכיח, וממנה למדליק בשבת בשוגג וכבה דאין מוקצה לחצי שבת דכיון שנראה בין השמשות אע"פ שנדחה כשהדליקו בו אין זה מוקצה דאין מוקצה לחצי שבת מספק.</w:t>
      </w:r>
    </w:p>
    <w:p w14:paraId="70EF4027"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257D09D6" w14:textId="77777777" w:rsidR="004B2E7C" w:rsidRPr="005275DF" w:rsidRDefault="004B2E7C" w:rsidP="00434A6A">
      <w:pPr>
        <w:rPr>
          <w:rFonts w:asciiTheme="minorBidi" w:hAnsiTheme="minorBidi"/>
          <w:rtl/>
        </w:rPr>
      </w:pPr>
      <w:r w:rsidRPr="005275DF">
        <w:rPr>
          <w:rFonts w:asciiTheme="minorBidi" w:hAnsiTheme="minorBidi"/>
          <w:rtl/>
        </w:rPr>
        <w:t xml:space="preserve">נר שהדליקו בשבת לחיה ולחולה וילדה החיה ונתרפא החולה, מותר לטלטלו אם כבה. והוא הדין למדליק בשבת בשוגג וכבה, שמותר לטלטלו. </w:t>
      </w:r>
    </w:p>
    <w:p w14:paraId="48EF1F59" w14:textId="77777777" w:rsidR="004B2E7C" w:rsidRPr="005275DF" w:rsidRDefault="004B2E7C" w:rsidP="00434A6A">
      <w:pPr>
        <w:rPr>
          <w:rFonts w:asciiTheme="minorBidi" w:hAnsiTheme="minorBidi"/>
          <w:rtl/>
        </w:rPr>
      </w:pPr>
    </w:p>
    <w:p w14:paraId="1892738C"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ו: נר שלא הדליקו בו והוא מאוס.</w:t>
      </w:r>
    </w:p>
    <w:p w14:paraId="45679002" w14:textId="77777777" w:rsidR="004B2E7C" w:rsidRPr="005275DF" w:rsidRDefault="004B2E7C" w:rsidP="00434A6A">
      <w:pPr>
        <w:rPr>
          <w:rFonts w:asciiTheme="minorBidi" w:hAnsiTheme="minorBidi"/>
          <w:rtl/>
        </w:rPr>
      </w:pPr>
      <w:r w:rsidRPr="005275DF">
        <w:rPr>
          <w:rFonts w:asciiTheme="minorBidi" w:hAnsiTheme="minorBidi"/>
          <w:b/>
          <w:bCs/>
          <w:rtl/>
        </w:rPr>
        <w:t xml:space="preserve">שבת </w:t>
      </w:r>
      <w:r>
        <w:rPr>
          <w:rFonts w:asciiTheme="minorBidi" w:hAnsiTheme="minorBidi" w:hint="cs"/>
          <w:b/>
          <w:bCs/>
          <w:sz w:val="16"/>
          <w:szCs w:val="16"/>
          <w:rtl/>
        </w:rPr>
        <w:t xml:space="preserve">(פ' כירה) </w:t>
      </w:r>
      <w:r w:rsidRPr="005275DF">
        <w:rPr>
          <w:rFonts w:asciiTheme="minorBidi" w:hAnsiTheme="minorBidi"/>
          <w:b/>
          <w:bCs/>
          <w:rtl/>
        </w:rPr>
        <w:t xml:space="preserve">מו ע"א: </w:t>
      </w:r>
      <w:r w:rsidRPr="005275DF">
        <w:rPr>
          <w:rFonts w:asciiTheme="minorBidi" w:hAnsiTheme="minorBidi"/>
          <w:u w:val="single"/>
          <w:rtl/>
        </w:rPr>
        <w:t>אמר רב יהודה</w:t>
      </w:r>
      <w:r w:rsidRPr="005275DF">
        <w:rPr>
          <w:rFonts w:asciiTheme="minorBidi" w:hAnsiTheme="minorBidi"/>
          <w:rtl/>
        </w:rPr>
        <w:t>: שרגא דמשחא</w:t>
      </w:r>
      <w:r w:rsidRPr="005275DF">
        <w:rPr>
          <w:rStyle w:val="a9"/>
          <w:rFonts w:asciiTheme="minorBidi" w:hAnsiTheme="minorBidi"/>
          <w:rtl/>
        </w:rPr>
        <w:footnoteReference w:id="1001"/>
      </w:r>
      <w:r w:rsidRPr="005275DF">
        <w:rPr>
          <w:rFonts w:asciiTheme="minorBidi" w:hAnsiTheme="minorBidi"/>
          <w:rtl/>
        </w:rPr>
        <w:t xml:space="preserve"> - שרי לטלטולה</w:t>
      </w:r>
      <w:r w:rsidRPr="005275DF">
        <w:rPr>
          <w:rStyle w:val="a9"/>
          <w:rFonts w:asciiTheme="minorBidi" w:hAnsiTheme="minorBidi"/>
          <w:rtl/>
        </w:rPr>
        <w:footnoteReference w:id="1002"/>
      </w:r>
      <w:r w:rsidRPr="005275DF">
        <w:rPr>
          <w:rFonts w:asciiTheme="minorBidi" w:hAnsiTheme="minorBidi"/>
          <w:rtl/>
        </w:rPr>
        <w:t>, דנפטא</w:t>
      </w:r>
      <w:r w:rsidRPr="005275DF">
        <w:rPr>
          <w:rStyle w:val="a9"/>
          <w:rFonts w:asciiTheme="minorBidi" w:hAnsiTheme="minorBidi"/>
          <w:rtl/>
        </w:rPr>
        <w:footnoteReference w:id="1003"/>
      </w:r>
      <w:r w:rsidRPr="005275DF">
        <w:rPr>
          <w:rFonts w:asciiTheme="minorBidi" w:hAnsiTheme="minorBidi"/>
          <w:rtl/>
        </w:rPr>
        <w:t xml:space="preserve"> - אסור לטלטולה. </w:t>
      </w:r>
      <w:r w:rsidRPr="005275DF">
        <w:rPr>
          <w:rFonts w:asciiTheme="minorBidi" w:hAnsiTheme="minorBidi"/>
          <w:u w:val="single"/>
          <w:rtl/>
        </w:rPr>
        <w:t>רבה ורב יוסף דאמרי</w:t>
      </w:r>
      <w:r w:rsidRPr="005275DF">
        <w:rPr>
          <w:rFonts w:asciiTheme="minorBidi" w:hAnsiTheme="minorBidi"/>
          <w:rtl/>
        </w:rPr>
        <w:t xml:space="preserve"> </w:t>
      </w:r>
      <w:r w:rsidRPr="005275DF">
        <w:rPr>
          <w:rFonts w:asciiTheme="minorBidi" w:hAnsiTheme="minorBidi"/>
          <w:u w:val="single"/>
          <w:rtl/>
        </w:rPr>
        <w:t>תרוייהו</w:t>
      </w:r>
      <w:r w:rsidRPr="005275DF">
        <w:rPr>
          <w:rFonts w:asciiTheme="minorBidi" w:hAnsiTheme="minorBidi"/>
          <w:rtl/>
        </w:rPr>
        <w:t xml:space="preserve">: דנפטא נמי שרי לטלטולה. (דהואיל וחזי לכסות ביה מנא). </w:t>
      </w:r>
      <w:r w:rsidRPr="005275DF">
        <w:rPr>
          <w:rFonts w:asciiTheme="minorBidi" w:hAnsiTheme="minorBidi"/>
          <w:u w:val="single"/>
          <w:rtl/>
        </w:rPr>
        <w:t>רב אויא איקלע לבי רבא</w:t>
      </w:r>
      <w:r w:rsidRPr="005275DF">
        <w:rPr>
          <w:rFonts w:asciiTheme="minorBidi" w:hAnsiTheme="minorBidi"/>
          <w:rtl/>
        </w:rPr>
        <w:t>, הוה מאיסן בי כרעיה בטינא, אתיבי אפוריא קמיה דרבא. איקפד רבא</w:t>
      </w:r>
      <w:r w:rsidRPr="005275DF">
        <w:rPr>
          <w:rStyle w:val="a9"/>
          <w:rFonts w:asciiTheme="minorBidi" w:hAnsiTheme="minorBidi"/>
          <w:rtl/>
        </w:rPr>
        <w:footnoteReference w:id="1004"/>
      </w:r>
      <w:r w:rsidRPr="005275DF">
        <w:rPr>
          <w:rFonts w:asciiTheme="minorBidi" w:hAnsiTheme="minorBidi"/>
          <w:rtl/>
        </w:rPr>
        <w:t>, בעא לצעוריה</w:t>
      </w:r>
      <w:r w:rsidRPr="005275DF">
        <w:rPr>
          <w:rStyle w:val="a9"/>
          <w:rFonts w:asciiTheme="minorBidi" w:hAnsiTheme="minorBidi"/>
          <w:rtl/>
        </w:rPr>
        <w:footnoteReference w:id="1005"/>
      </w:r>
      <w:r w:rsidRPr="005275DF">
        <w:rPr>
          <w:rFonts w:asciiTheme="minorBidi" w:hAnsiTheme="minorBidi"/>
          <w:rtl/>
        </w:rPr>
        <w:t xml:space="preserve">. </w:t>
      </w:r>
      <w:r w:rsidRPr="005275DF">
        <w:rPr>
          <w:rFonts w:asciiTheme="minorBidi" w:hAnsiTheme="minorBidi"/>
          <w:u w:val="single"/>
          <w:rtl/>
        </w:rPr>
        <w:t>אמר ליה</w:t>
      </w:r>
      <w:r w:rsidRPr="005275DF">
        <w:rPr>
          <w:rFonts w:asciiTheme="minorBidi" w:hAnsiTheme="minorBidi"/>
          <w:rtl/>
        </w:rPr>
        <w:t xml:space="preserve">: מאי טעמא רבה ורב יוסף דאמרי תרוייהו שרגא דנפטא נמי שרי לטלטוליה? </w:t>
      </w:r>
      <w:r w:rsidRPr="005275DF">
        <w:rPr>
          <w:rFonts w:asciiTheme="minorBidi" w:hAnsiTheme="minorBidi"/>
          <w:u w:val="single"/>
          <w:rtl/>
        </w:rPr>
        <w:t>אמר ליה</w:t>
      </w:r>
      <w:r w:rsidRPr="005275DF">
        <w:rPr>
          <w:rFonts w:asciiTheme="minorBidi" w:hAnsiTheme="minorBidi"/>
          <w:rtl/>
        </w:rPr>
        <w:t xml:space="preserve">: הואיל וחזיא לכסויי בה מנא. אלא מעתה כל צרורות שבחצר מטלטלין, הואיל וחזיא לכסויי בהו מנא! </w:t>
      </w:r>
      <w:r w:rsidRPr="005275DF">
        <w:rPr>
          <w:rFonts w:asciiTheme="minorBidi" w:hAnsiTheme="minorBidi"/>
          <w:u w:val="single"/>
          <w:rtl/>
        </w:rPr>
        <w:t>אמר ליה</w:t>
      </w:r>
      <w:r w:rsidRPr="005275DF">
        <w:rPr>
          <w:rFonts w:asciiTheme="minorBidi" w:hAnsiTheme="minorBidi"/>
          <w:rtl/>
        </w:rPr>
        <w:t xml:space="preserve">: הא - איכא תורת כלי עליה, הני - ליכא תורת כלי עליה. מי לא תניא השירים והנזמים והטבעות הרי הן ככל הכלים הנטלים בחצר, ואמר עולא: מה טעם - הואיל ואיכא תורת כלי עליה. הכא נמי - הואיל ואיכא תורת כלי עליה. </w:t>
      </w:r>
      <w:r w:rsidRPr="005275DF">
        <w:rPr>
          <w:rFonts w:asciiTheme="minorBidi" w:hAnsiTheme="minorBidi"/>
          <w:u w:val="single"/>
          <w:rtl/>
        </w:rPr>
        <w:t>אמר רב נחמן בר יצחק</w:t>
      </w:r>
      <w:r w:rsidRPr="005275DF">
        <w:rPr>
          <w:rFonts w:asciiTheme="minorBidi" w:hAnsiTheme="minorBidi"/>
          <w:rtl/>
        </w:rPr>
        <w:t xml:space="preserve">: בריך רחמנא דלא כסיפיה רבא לרב אויא. </w:t>
      </w:r>
      <w:r w:rsidRPr="005275DF">
        <w:rPr>
          <w:rFonts w:asciiTheme="minorBidi" w:hAnsiTheme="minorBidi"/>
          <w:sz w:val="16"/>
          <w:szCs w:val="16"/>
          <w:rtl/>
        </w:rPr>
        <w:t xml:space="preserve">(ומשמע דהכי סבירא להו לרבא ורב אויא, וכ"פ שם הרא"ש (סי' כב) והרמב"ם בפכ"ה (הי"א) וכן דעת הרי"ף (שם) שסתם דבריו ופסק הלכה כר"ש במוקצה מחמת מיאוס ולא חלק בין דמשחא לדנפטא ולכן כתב רבינו אפילו של נפט מותר לטלטלו, ב"י. </w:t>
      </w:r>
      <w:r w:rsidRPr="005275DF">
        <w:rPr>
          <w:rFonts w:asciiTheme="minorBidi" w:hAnsiTheme="minorBidi"/>
          <w:color w:val="E36C0A" w:themeColor="accent6" w:themeShade="BF"/>
          <w:sz w:val="16"/>
          <w:szCs w:val="16"/>
          <w:rtl/>
        </w:rPr>
        <w:t>וכ"פ בשו"ע</w:t>
      </w:r>
      <w:r w:rsidRPr="005275DF">
        <w:rPr>
          <w:rFonts w:asciiTheme="minorBidi" w:hAnsiTheme="minorBidi"/>
          <w:sz w:val="16"/>
          <w:szCs w:val="16"/>
          <w:rtl/>
        </w:rPr>
        <w:t>)</w:t>
      </w:r>
    </w:p>
    <w:p w14:paraId="310C87E0"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48C56C79" w14:textId="77777777" w:rsidR="004B2E7C" w:rsidRPr="005275DF" w:rsidRDefault="004B2E7C" w:rsidP="00434A6A">
      <w:pPr>
        <w:rPr>
          <w:rFonts w:asciiTheme="minorBidi" w:hAnsiTheme="minorBidi"/>
          <w:rtl/>
        </w:rPr>
      </w:pPr>
      <w:r w:rsidRPr="005275DF">
        <w:rPr>
          <w:rFonts w:asciiTheme="minorBidi" w:hAnsiTheme="minorBidi"/>
          <w:rtl/>
        </w:rPr>
        <w:t>נר שלא הדליקו בו באותו שבת, אפילו הוא של חרס דמאיס ואפילו הוא של נפט דמסריח, מותר לטלטלו</w:t>
      </w:r>
      <w:r w:rsidRPr="005275DF">
        <w:rPr>
          <w:rStyle w:val="a9"/>
          <w:rFonts w:asciiTheme="minorBidi" w:hAnsiTheme="minorBidi"/>
          <w:rtl/>
        </w:rPr>
        <w:footnoteReference w:id="1006"/>
      </w:r>
      <w:r w:rsidRPr="005275DF">
        <w:rPr>
          <w:rFonts w:asciiTheme="minorBidi" w:hAnsiTheme="minorBidi"/>
          <w:rtl/>
        </w:rPr>
        <w:t>, דמוקצה מחמת מיאוס מותר</w:t>
      </w:r>
      <w:r w:rsidRPr="005275DF">
        <w:rPr>
          <w:rStyle w:val="a9"/>
          <w:rFonts w:asciiTheme="minorBidi" w:hAnsiTheme="minorBidi"/>
          <w:rtl/>
        </w:rPr>
        <w:footnoteReference w:id="1007"/>
      </w:r>
      <w:r w:rsidRPr="005275DF">
        <w:rPr>
          <w:rFonts w:asciiTheme="minorBidi" w:hAnsiTheme="minorBidi"/>
          <w:rtl/>
        </w:rPr>
        <w:t xml:space="preserve">. </w:t>
      </w:r>
    </w:p>
    <w:p w14:paraId="58DF3E77" w14:textId="77777777" w:rsidR="004B2E7C" w:rsidRPr="005275DF" w:rsidRDefault="004B2E7C" w:rsidP="00434A6A">
      <w:pPr>
        <w:rPr>
          <w:rFonts w:asciiTheme="minorBidi" w:hAnsiTheme="minorBidi"/>
          <w:rtl/>
        </w:rPr>
      </w:pPr>
    </w:p>
    <w:p w14:paraId="076C3346" w14:textId="77777777" w:rsidR="004B2E7C" w:rsidRPr="005275DF" w:rsidRDefault="004B2E7C" w:rsidP="00434A6A">
      <w:pPr>
        <w:pStyle w:val="2"/>
        <w:rPr>
          <w:rFonts w:asciiTheme="minorBidi" w:hAnsiTheme="minorBidi" w:cstheme="minorBidi"/>
          <w:rtl/>
        </w:rPr>
      </w:pPr>
      <w:r w:rsidRPr="005275DF">
        <w:rPr>
          <w:rFonts w:asciiTheme="minorBidi" w:hAnsiTheme="minorBidi" w:cstheme="minorBidi"/>
          <w:rtl/>
        </w:rPr>
        <w:t>סעיף ז: טלטול מנורה.</w:t>
      </w:r>
    </w:p>
    <w:p w14:paraId="5CF7C850" w14:textId="77777777" w:rsidR="004B2E7C" w:rsidRPr="005275DF" w:rsidRDefault="004B2E7C" w:rsidP="00434A6A">
      <w:pPr>
        <w:rPr>
          <w:rFonts w:asciiTheme="minorBidi" w:hAnsiTheme="minorBidi"/>
          <w:rtl/>
        </w:rPr>
      </w:pPr>
      <w:r w:rsidRPr="005275DF">
        <w:rPr>
          <w:rFonts w:asciiTheme="minorBidi" w:hAnsiTheme="minorBidi"/>
          <w:b/>
          <w:bCs/>
          <w:rtl/>
        </w:rPr>
        <w:t>שבת</w:t>
      </w:r>
      <w:r>
        <w:rPr>
          <w:rFonts w:asciiTheme="minorBidi" w:hAnsiTheme="minorBidi" w:hint="cs"/>
          <w:b/>
          <w:bCs/>
          <w:rtl/>
        </w:rPr>
        <w:t xml:space="preserve"> </w:t>
      </w:r>
      <w:r>
        <w:rPr>
          <w:rFonts w:asciiTheme="minorBidi" w:hAnsiTheme="minorBidi" w:hint="cs"/>
          <w:b/>
          <w:bCs/>
          <w:sz w:val="16"/>
          <w:szCs w:val="16"/>
          <w:rtl/>
        </w:rPr>
        <w:t>(פ' כירה)</w:t>
      </w:r>
      <w:r w:rsidRPr="005275DF">
        <w:rPr>
          <w:rFonts w:asciiTheme="minorBidi" w:hAnsiTheme="minorBidi"/>
          <w:b/>
          <w:bCs/>
          <w:rtl/>
        </w:rPr>
        <w:t xml:space="preserve"> מה ע"ב: </w:t>
      </w:r>
      <w:r w:rsidRPr="005275DF">
        <w:rPr>
          <w:rFonts w:asciiTheme="minorBidi" w:hAnsiTheme="minorBidi"/>
          <w:u w:val="single"/>
          <w:rtl/>
        </w:rPr>
        <w:t>הורה ריש לקיש בצידן</w:t>
      </w:r>
      <w:r w:rsidRPr="005275DF">
        <w:rPr>
          <w:rFonts w:asciiTheme="minorBidi" w:hAnsiTheme="minorBidi"/>
          <w:rtl/>
        </w:rPr>
        <w:t>: מנורה הניטלת בידו אחת - מותר לטלטלה, בשתי ידיו - אסור לטלטלה</w:t>
      </w:r>
      <w:r w:rsidRPr="005275DF">
        <w:rPr>
          <w:rStyle w:val="a9"/>
          <w:rFonts w:asciiTheme="minorBidi" w:hAnsiTheme="minorBidi"/>
          <w:rtl/>
        </w:rPr>
        <w:footnoteReference w:id="1008"/>
      </w:r>
      <w:r w:rsidRPr="005275DF">
        <w:rPr>
          <w:rFonts w:asciiTheme="minorBidi" w:hAnsiTheme="minorBidi"/>
          <w:rtl/>
        </w:rPr>
        <w:t xml:space="preserve">. </w:t>
      </w:r>
      <w:r w:rsidRPr="005275DF">
        <w:rPr>
          <w:rFonts w:asciiTheme="minorBidi" w:hAnsiTheme="minorBidi"/>
          <w:u w:val="single"/>
          <w:rtl/>
        </w:rPr>
        <w:t>ורבי</w:t>
      </w:r>
      <w:r w:rsidRPr="005275DF">
        <w:rPr>
          <w:rFonts w:asciiTheme="minorBidi" w:hAnsiTheme="minorBidi"/>
          <w:rtl/>
        </w:rPr>
        <w:t xml:space="preserve"> </w:t>
      </w:r>
      <w:r w:rsidRPr="005275DF">
        <w:rPr>
          <w:rFonts w:asciiTheme="minorBidi" w:hAnsiTheme="minorBidi"/>
          <w:u w:val="single"/>
          <w:rtl/>
        </w:rPr>
        <w:t>יוחנן אמר</w:t>
      </w:r>
      <w:r w:rsidRPr="005275DF">
        <w:rPr>
          <w:rFonts w:asciiTheme="minorBidi" w:hAnsiTheme="minorBidi"/>
          <w:rtl/>
        </w:rPr>
        <w:t>: אנו אין לנו</w:t>
      </w:r>
      <w:r w:rsidRPr="005275DF">
        <w:rPr>
          <w:rStyle w:val="a9"/>
          <w:rFonts w:asciiTheme="minorBidi" w:hAnsiTheme="minorBidi"/>
          <w:rtl/>
        </w:rPr>
        <w:footnoteReference w:id="1009"/>
      </w:r>
      <w:r w:rsidRPr="005275DF">
        <w:rPr>
          <w:rFonts w:asciiTheme="minorBidi" w:hAnsiTheme="minorBidi"/>
          <w:rtl/>
        </w:rPr>
        <w:t xml:space="preserve"> אלא בנר</w:t>
      </w:r>
      <w:r w:rsidRPr="005275DF">
        <w:rPr>
          <w:rStyle w:val="a9"/>
          <w:rFonts w:asciiTheme="minorBidi" w:hAnsiTheme="minorBidi"/>
          <w:rtl/>
        </w:rPr>
        <w:footnoteReference w:id="1010"/>
      </w:r>
      <w:r w:rsidRPr="005275DF">
        <w:rPr>
          <w:rFonts w:asciiTheme="minorBidi" w:hAnsiTheme="minorBidi"/>
          <w:rtl/>
        </w:rPr>
        <w:t xml:space="preserve"> כרבי שמעון. אבל מנורה, בין ניטלה בידו אחת בין ניטלה בשתי ידיו - אסור לטלטלה. וטעמא מאי? </w:t>
      </w:r>
      <w:r w:rsidRPr="005275DF">
        <w:rPr>
          <w:rFonts w:asciiTheme="minorBidi" w:hAnsiTheme="minorBidi"/>
          <w:u w:val="single"/>
          <w:rtl/>
        </w:rPr>
        <w:t>רבה ורב יוסף דאמרי תרוייהו</w:t>
      </w:r>
      <w:r w:rsidRPr="005275DF">
        <w:rPr>
          <w:rFonts w:asciiTheme="minorBidi" w:hAnsiTheme="minorBidi"/>
          <w:rtl/>
        </w:rPr>
        <w:t xml:space="preserve">: הואיל ואדם קובע לה מקום. </w:t>
      </w:r>
      <w:r w:rsidRPr="005275DF">
        <w:rPr>
          <w:rFonts w:asciiTheme="minorBidi" w:hAnsiTheme="minorBidi"/>
          <w:u w:val="single"/>
          <w:rtl/>
        </w:rPr>
        <w:t>אמר ליה אביי לרב יוסף</w:t>
      </w:r>
      <w:r w:rsidRPr="005275DF">
        <w:rPr>
          <w:rFonts w:asciiTheme="minorBidi" w:hAnsiTheme="minorBidi"/>
          <w:rtl/>
        </w:rPr>
        <w:t xml:space="preserve">: והרי כילת חתנים, דאדם קובע לו מקום, ואמר שמואל משום רבי חייא: כילת חתנים </w:t>
      </w:r>
      <w:r w:rsidRPr="005275DF">
        <w:rPr>
          <w:rFonts w:asciiTheme="minorBidi" w:hAnsiTheme="minorBidi"/>
          <w:sz w:val="16"/>
          <w:szCs w:val="16"/>
          <w:rtl/>
        </w:rPr>
        <w:t xml:space="preserve">(מו.) </w:t>
      </w:r>
      <w:r w:rsidRPr="005275DF">
        <w:rPr>
          <w:rFonts w:asciiTheme="minorBidi" w:hAnsiTheme="minorBidi"/>
          <w:rtl/>
        </w:rPr>
        <w:t>מותר לנטותה</w:t>
      </w:r>
      <w:r w:rsidRPr="005275DF">
        <w:rPr>
          <w:rStyle w:val="a9"/>
          <w:rFonts w:asciiTheme="minorBidi" w:hAnsiTheme="minorBidi"/>
          <w:rtl/>
        </w:rPr>
        <w:footnoteReference w:id="1011"/>
      </w:r>
      <w:r w:rsidRPr="005275DF">
        <w:rPr>
          <w:rFonts w:asciiTheme="minorBidi" w:hAnsiTheme="minorBidi"/>
          <w:rtl/>
        </w:rPr>
        <w:t xml:space="preserve"> ומותר לפרקה בשבת! </w:t>
      </w:r>
      <w:r w:rsidRPr="005275DF">
        <w:rPr>
          <w:rFonts w:asciiTheme="minorBidi" w:hAnsiTheme="minorBidi"/>
          <w:u w:val="single"/>
          <w:rtl/>
        </w:rPr>
        <w:t>אלא אמר אביי</w:t>
      </w:r>
      <w:r w:rsidRPr="005275DF">
        <w:rPr>
          <w:rFonts w:asciiTheme="minorBidi" w:hAnsiTheme="minorBidi"/>
          <w:rtl/>
        </w:rPr>
        <w:t>: בשל חוליות</w:t>
      </w:r>
      <w:r w:rsidRPr="005275DF">
        <w:rPr>
          <w:rStyle w:val="a9"/>
          <w:rFonts w:asciiTheme="minorBidi" w:hAnsiTheme="minorBidi"/>
          <w:rtl/>
        </w:rPr>
        <w:footnoteReference w:id="1012"/>
      </w:r>
      <w:r w:rsidRPr="005275DF">
        <w:rPr>
          <w:rFonts w:asciiTheme="minorBidi" w:hAnsiTheme="minorBidi"/>
          <w:rtl/>
        </w:rPr>
        <w:t>. אי הכי, מאי טעמא דרבי שמעון בן לקיש דשרי? מאי חוליות - כעין חוליות, דאית בה חידקי</w:t>
      </w:r>
      <w:r w:rsidRPr="005275DF">
        <w:rPr>
          <w:rStyle w:val="a9"/>
          <w:rFonts w:asciiTheme="minorBidi" w:hAnsiTheme="minorBidi"/>
          <w:rtl/>
        </w:rPr>
        <w:footnoteReference w:id="1013"/>
      </w:r>
      <w:r w:rsidRPr="005275DF">
        <w:rPr>
          <w:rFonts w:asciiTheme="minorBidi" w:hAnsiTheme="minorBidi"/>
          <w:rtl/>
        </w:rPr>
        <w:t>. הלכך: חוליות - בין גדולה בין קטנה אסורה לטלטלה. גדולה</w:t>
      </w:r>
      <w:r w:rsidRPr="005275DF">
        <w:rPr>
          <w:rStyle w:val="a9"/>
          <w:rFonts w:asciiTheme="minorBidi" w:hAnsiTheme="minorBidi"/>
          <w:rtl/>
        </w:rPr>
        <w:footnoteReference w:id="1014"/>
      </w:r>
      <w:r w:rsidRPr="005275DF">
        <w:rPr>
          <w:rFonts w:asciiTheme="minorBidi" w:hAnsiTheme="minorBidi"/>
          <w:rtl/>
        </w:rPr>
        <w:t xml:space="preserve"> נמי דאית בה חידקי - גזירה אטו גדולה דחוליות. כי פליגי - בקטנה דאית בה חידקי</w:t>
      </w:r>
      <w:r w:rsidRPr="005275DF">
        <w:rPr>
          <w:rStyle w:val="a9"/>
          <w:rFonts w:asciiTheme="minorBidi" w:hAnsiTheme="minorBidi"/>
          <w:rtl/>
        </w:rPr>
        <w:footnoteReference w:id="1015"/>
      </w:r>
      <w:r w:rsidRPr="005275DF">
        <w:rPr>
          <w:rFonts w:asciiTheme="minorBidi" w:hAnsiTheme="minorBidi"/>
          <w:rtl/>
        </w:rPr>
        <w:t>. מר סבר: גזרינן</w:t>
      </w:r>
      <w:r w:rsidRPr="005275DF">
        <w:rPr>
          <w:rStyle w:val="a9"/>
          <w:rFonts w:asciiTheme="minorBidi" w:hAnsiTheme="minorBidi"/>
          <w:rtl/>
        </w:rPr>
        <w:footnoteReference w:id="1016"/>
      </w:r>
      <w:r w:rsidRPr="005275DF">
        <w:rPr>
          <w:rFonts w:asciiTheme="minorBidi" w:hAnsiTheme="minorBidi"/>
          <w:rtl/>
        </w:rPr>
        <w:t>, ומר סבר: לא גזרינן.</w:t>
      </w:r>
    </w:p>
    <w:p w14:paraId="28CC94A2" w14:textId="77777777" w:rsidR="004B2E7C" w:rsidRPr="005275DF" w:rsidRDefault="004B2E7C" w:rsidP="00434A6A">
      <w:pPr>
        <w:rPr>
          <w:rFonts w:asciiTheme="minorBidi" w:hAnsiTheme="minorBidi"/>
          <w:u w:val="single"/>
          <w:rtl/>
        </w:rPr>
      </w:pPr>
      <w:r w:rsidRPr="005275DF">
        <w:rPr>
          <w:rFonts w:asciiTheme="minorBidi" w:hAnsiTheme="minorBidi"/>
          <w:u w:val="single"/>
          <w:rtl/>
        </w:rPr>
        <w:t>מנורה של חוליות או דאית בה חידקי – מהו לטלטלה:</w:t>
      </w:r>
    </w:p>
    <w:p w14:paraId="4B6ED016" w14:textId="77777777" w:rsidR="004B2E7C" w:rsidRPr="005275DF" w:rsidRDefault="004B2E7C" w:rsidP="00FF2D21">
      <w:pPr>
        <w:pStyle w:val="aa"/>
        <w:numPr>
          <w:ilvl w:val="0"/>
          <w:numId w:val="84"/>
        </w:numPr>
        <w:rPr>
          <w:rFonts w:asciiTheme="minorBidi" w:hAnsiTheme="minorBidi"/>
          <w:rtl/>
        </w:rPr>
      </w:pPr>
      <w:r w:rsidRPr="005275DF">
        <w:rPr>
          <w:rFonts w:asciiTheme="minorBidi" w:hAnsiTheme="minorBidi"/>
          <w:rtl/>
        </w:rPr>
        <w:t>תוס'</w:t>
      </w:r>
      <w:r w:rsidRPr="005275DF">
        <w:rPr>
          <w:rStyle w:val="a9"/>
          <w:rFonts w:asciiTheme="minorBidi" w:hAnsiTheme="minorBidi"/>
          <w:rtl/>
        </w:rPr>
        <w:footnoteReference w:id="1017"/>
      </w:r>
      <w:r w:rsidRPr="005275DF">
        <w:rPr>
          <w:rFonts w:asciiTheme="minorBidi" w:hAnsiTheme="minorBidi"/>
          <w:rtl/>
        </w:rPr>
        <w:t xml:space="preserve"> </w:t>
      </w:r>
      <w:r w:rsidRPr="005275DF">
        <w:rPr>
          <w:rFonts w:asciiTheme="minorBidi" w:hAnsiTheme="minorBidi"/>
          <w:sz w:val="16"/>
          <w:szCs w:val="16"/>
          <w:rtl/>
        </w:rPr>
        <w:t xml:space="preserve">(מו. ד"ה דחוליות) </w:t>
      </w:r>
      <w:r w:rsidRPr="005275DF">
        <w:rPr>
          <w:rFonts w:asciiTheme="minorBidi" w:hAnsiTheme="minorBidi"/>
          <w:rtl/>
        </w:rPr>
        <w:t xml:space="preserve">ורא"ש </w:t>
      </w:r>
      <w:r w:rsidRPr="005275DF">
        <w:rPr>
          <w:rFonts w:asciiTheme="minorBidi" w:hAnsiTheme="minorBidi"/>
          <w:sz w:val="16"/>
          <w:szCs w:val="16"/>
          <w:rtl/>
        </w:rPr>
        <w:t>(סי' כב, כן הבין הב"י מדבריו)</w:t>
      </w:r>
      <w:r w:rsidRPr="005275DF">
        <w:rPr>
          <w:rFonts w:asciiTheme="minorBidi" w:hAnsiTheme="minorBidi"/>
          <w:rtl/>
        </w:rPr>
        <w:t xml:space="preserve">- כל מנורה שהיא של חוליות או דאית בה חידקי בין גדולה בין קטנה אסור כרבי יוחנן דהלכתא כוותיה לגבי ריש לקיש. </w:t>
      </w:r>
    </w:p>
    <w:p w14:paraId="7531AF89" w14:textId="77777777" w:rsidR="004B2E7C" w:rsidRPr="005275DF" w:rsidRDefault="004B2E7C" w:rsidP="00FF2D21">
      <w:pPr>
        <w:pStyle w:val="aa"/>
        <w:numPr>
          <w:ilvl w:val="0"/>
          <w:numId w:val="84"/>
        </w:numPr>
        <w:rPr>
          <w:rFonts w:asciiTheme="minorBidi" w:hAnsiTheme="minorBidi"/>
          <w:rtl/>
        </w:rPr>
      </w:pPr>
      <w:r w:rsidRPr="005275DF">
        <w:rPr>
          <w:rFonts w:asciiTheme="minorBidi" w:hAnsiTheme="minorBidi"/>
          <w:rtl/>
        </w:rPr>
        <w:t>רי"ף- אפילו דחוליות נמי שריא</w:t>
      </w:r>
      <w:r w:rsidRPr="005275DF">
        <w:rPr>
          <w:rStyle w:val="a9"/>
          <w:rFonts w:asciiTheme="minorBidi" w:hAnsiTheme="minorBidi"/>
          <w:rtl/>
        </w:rPr>
        <w:footnoteReference w:id="1018"/>
      </w:r>
      <w:r w:rsidRPr="005275DF">
        <w:rPr>
          <w:rFonts w:asciiTheme="minorBidi" w:hAnsiTheme="minorBidi"/>
          <w:rtl/>
        </w:rPr>
        <w:t>.</w:t>
      </w:r>
    </w:p>
    <w:p w14:paraId="0E2808EB" w14:textId="77777777" w:rsidR="004B2E7C" w:rsidRPr="005275DF" w:rsidRDefault="004B2E7C" w:rsidP="00FF2D21">
      <w:pPr>
        <w:pStyle w:val="aa"/>
        <w:numPr>
          <w:ilvl w:val="0"/>
          <w:numId w:val="84"/>
        </w:numPr>
        <w:rPr>
          <w:rFonts w:asciiTheme="minorBidi" w:hAnsiTheme="minorBidi"/>
        </w:rPr>
      </w:pPr>
      <w:r w:rsidRPr="005275DF">
        <w:rPr>
          <w:rFonts w:asciiTheme="minorBidi" w:hAnsiTheme="minorBidi"/>
          <w:rtl/>
        </w:rPr>
        <w:t>טור- כל מנורה בין גדולה בין קטנה, אם היא של פרקים שמתפרקת, או אפי' אינה של פרקים אלא יש בה חריצים סביב ודומה לפרקים, אסור לטלטלה.</w:t>
      </w:r>
      <w:r w:rsidRPr="005275DF">
        <w:rPr>
          <w:rFonts w:asciiTheme="minorBidi" w:hAnsiTheme="minorBidi"/>
          <w:color w:val="E36C0A" w:themeColor="accent6" w:themeShade="BF"/>
          <w:rtl/>
        </w:rPr>
        <w:t xml:space="preserve"> (וכ"פ בשו"ע)</w:t>
      </w:r>
    </w:p>
    <w:p w14:paraId="30EAD373" w14:textId="77777777" w:rsidR="004B2E7C" w:rsidRPr="005275DF" w:rsidRDefault="004B2E7C" w:rsidP="00FF2D21">
      <w:pPr>
        <w:pStyle w:val="aa"/>
        <w:numPr>
          <w:ilvl w:val="0"/>
          <w:numId w:val="84"/>
        </w:numPr>
        <w:rPr>
          <w:rFonts w:asciiTheme="minorBidi" w:hAnsiTheme="minorBidi"/>
          <w:rtl/>
        </w:rPr>
      </w:pPr>
      <w:r w:rsidRPr="005275DF">
        <w:rPr>
          <w:rFonts w:asciiTheme="minorBidi" w:hAnsiTheme="minorBidi"/>
          <w:rtl/>
        </w:rPr>
        <w:t xml:space="preserve">רמב"ם </w:t>
      </w:r>
      <w:r w:rsidRPr="005275DF">
        <w:rPr>
          <w:rFonts w:asciiTheme="minorBidi" w:hAnsiTheme="minorBidi"/>
          <w:sz w:val="16"/>
          <w:szCs w:val="16"/>
          <w:rtl/>
        </w:rPr>
        <w:t>(פכ"ו הי"א)</w:t>
      </w:r>
      <w:r w:rsidRPr="005275DF">
        <w:rPr>
          <w:rFonts w:asciiTheme="minorBidi" w:hAnsiTheme="minorBidi"/>
          <w:rtl/>
        </w:rPr>
        <w:t>- מנורה של חוליות בין גדולה בין קטנה אין מטלטלין אותה שמא יחזירנה בשבת, היו בה חדקים והיא נראית כבעלת חוליות אם היתה גדולה הניטלת בשתי ידים אסור לטלטלה מפני כובדה היתה, קטנה מזו מותר לטלטלה</w:t>
      </w:r>
      <w:r w:rsidRPr="005275DF">
        <w:rPr>
          <w:rStyle w:val="a9"/>
          <w:rFonts w:asciiTheme="minorBidi" w:hAnsiTheme="minorBidi"/>
          <w:rtl/>
        </w:rPr>
        <w:footnoteReference w:id="1019"/>
      </w:r>
      <w:r w:rsidRPr="005275DF">
        <w:rPr>
          <w:rFonts w:asciiTheme="minorBidi" w:hAnsiTheme="minorBidi"/>
          <w:rtl/>
        </w:rPr>
        <w:t>.</w:t>
      </w:r>
    </w:p>
    <w:p w14:paraId="3BBE9F78" w14:textId="77777777" w:rsidR="004B2E7C" w:rsidRPr="005275DF" w:rsidRDefault="004B2E7C" w:rsidP="00434A6A">
      <w:pPr>
        <w:ind w:left="360"/>
        <w:rPr>
          <w:rFonts w:asciiTheme="minorBidi" w:hAnsiTheme="minorBidi"/>
          <w:u w:val="dotted"/>
        </w:rPr>
      </w:pPr>
      <w:r w:rsidRPr="005275DF">
        <w:rPr>
          <w:rFonts w:asciiTheme="minorBidi" w:hAnsiTheme="minorBidi"/>
          <w:u w:val="dotted"/>
          <w:rtl/>
        </w:rPr>
        <w:t xml:space="preserve">ומה הדין במנורה גדולה </w:t>
      </w:r>
      <w:r w:rsidRPr="005275DF">
        <w:rPr>
          <w:rFonts w:asciiTheme="minorBidi" w:hAnsiTheme="minorBidi"/>
          <w:b/>
          <w:bCs/>
          <w:u w:val="dotted"/>
          <w:rtl/>
        </w:rPr>
        <w:t>שאינה</w:t>
      </w:r>
      <w:r w:rsidRPr="005275DF">
        <w:rPr>
          <w:rFonts w:asciiTheme="minorBidi" w:hAnsiTheme="minorBidi"/>
          <w:u w:val="dotted"/>
          <w:rtl/>
        </w:rPr>
        <w:t xml:space="preserve"> של פרקים </w:t>
      </w:r>
      <w:r w:rsidRPr="005275DF">
        <w:rPr>
          <w:rFonts w:asciiTheme="minorBidi" w:hAnsiTheme="minorBidi"/>
          <w:b/>
          <w:bCs/>
          <w:u w:val="dotted"/>
          <w:rtl/>
        </w:rPr>
        <w:t>ולית</w:t>
      </w:r>
      <w:r w:rsidRPr="005275DF">
        <w:rPr>
          <w:rFonts w:asciiTheme="minorBidi" w:hAnsiTheme="minorBidi"/>
          <w:u w:val="dotted"/>
          <w:rtl/>
        </w:rPr>
        <w:t xml:space="preserve"> בה חידקי:</w:t>
      </w:r>
    </w:p>
    <w:p w14:paraId="1AF89D61" w14:textId="77777777" w:rsidR="004B2E7C" w:rsidRPr="005275DF" w:rsidRDefault="004B2E7C" w:rsidP="00FF2D21">
      <w:pPr>
        <w:pStyle w:val="aa"/>
        <w:numPr>
          <w:ilvl w:val="0"/>
          <w:numId w:val="84"/>
        </w:numPr>
        <w:rPr>
          <w:rFonts w:asciiTheme="minorBidi" w:hAnsiTheme="minorBidi"/>
        </w:rPr>
      </w:pPr>
      <w:r w:rsidRPr="005275DF">
        <w:rPr>
          <w:rFonts w:asciiTheme="minorBidi" w:hAnsiTheme="minorBidi"/>
          <w:rtl/>
        </w:rPr>
        <w:t>טור</w:t>
      </w:r>
      <w:r w:rsidRPr="005275DF">
        <w:rPr>
          <w:rFonts w:asciiTheme="minorBidi" w:hAnsiTheme="minorBidi"/>
          <w:sz w:val="16"/>
          <w:szCs w:val="16"/>
          <w:rtl/>
        </w:rPr>
        <w:t xml:space="preserve"> (להב' הב"י)</w:t>
      </w:r>
      <w:r w:rsidRPr="005275DF">
        <w:rPr>
          <w:rFonts w:asciiTheme="minorBidi" w:hAnsiTheme="minorBidi"/>
          <w:rtl/>
        </w:rPr>
        <w:t>- אפילו גדולה כמה שריא</w:t>
      </w:r>
      <w:r w:rsidRPr="005275DF">
        <w:rPr>
          <w:rStyle w:val="a9"/>
          <w:rFonts w:asciiTheme="minorBidi" w:hAnsiTheme="minorBidi"/>
          <w:rtl/>
        </w:rPr>
        <w:footnoteReference w:id="1020"/>
      </w:r>
      <w:r w:rsidRPr="005275DF">
        <w:rPr>
          <w:rFonts w:asciiTheme="minorBidi" w:hAnsiTheme="minorBidi"/>
          <w:rtl/>
        </w:rPr>
        <w:t xml:space="preserve"> </w:t>
      </w:r>
      <w:r w:rsidRPr="005275DF">
        <w:rPr>
          <w:rFonts w:asciiTheme="minorBidi" w:hAnsiTheme="minorBidi"/>
          <w:sz w:val="16"/>
          <w:szCs w:val="16"/>
          <w:rtl/>
        </w:rPr>
        <w:t>(ומנורה קטנה כה"ג ודאי שריא)</w:t>
      </w:r>
      <w:r w:rsidRPr="005275DF">
        <w:rPr>
          <w:rFonts w:asciiTheme="minorBidi" w:hAnsiTheme="minorBidi"/>
          <w:rtl/>
        </w:rPr>
        <w:t>.</w:t>
      </w:r>
    </w:p>
    <w:p w14:paraId="4EBA6376" w14:textId="77777777" w:rsidR="004B2E7C" w:rsidRPr="005275DF" w:rsidRDefault="004B2E7C" w:rsidP="00FF2D21">
      <w:pPr>
        <w:pStyle w:val="aa"/>
        <w:numPr>
          <w:ilvl w:val="0"/>
          <w:numId w:val="84"/>
        </w:numPr>
        <w:rPr>
          <w:rFonts w:asciiTheme="minorBidi" w:hAnsiTheme="minorBidi"/>
          <w:rtl/>
        </w:rPr>
      </w:pPr>
      <w:r w:rsidRPr="005275DF">
        <w:rPr>
          <w:rFonts w:asciiTheme="minorBidi" w:hAnsiTheme="minorBidi"/>
          <w:rtl/>
        </w:rPr>
        <w:t>רמב"ם</w:t>
      </w:r>
      <w:r w:rsidRPr="005275DF">
        <w:rPr>
          <w:rFonts w:asciiTheme="minorBidi" w:hAnsiTheme="minorBidi"/>
          <w:sz w:val="16"/>
          <w:szCs w:val="16"/>
          <w:rtl/>
        </w:rPr>
        <w:t xml:space="preserve"> (להב' הב"י)</w:t>
      </w:r>
      <w:r w:rsidRPr="005275DF">
        <w:rPr>
          <w:rFonts w:asciiTheme="minorBidi" w:hAnsiTheme="minorBidi"/>
          <w:rtl/>
        </w:rPr>
        <w:t>- גדולה אפילו לית בה חידקי אסור לטלטלה, אבל קטנה אפילו אית בה חידקי שריא</w:t>
      </w:r>
      <w:r w:rsidRPr="005275DF">
        <w:rPr>
          <w:rStyle w:val="a9"/>
          <w:rFonts w:asciiTheme="minorBidi" w:hAnsiTheme="minorBidi"/>
          <w:rtl/>
        </w:rPr>
        <w:footnoteReference w:id="1021"/>
      </w:r>
      <w:r w:rsidRPr="005275DF">
        <w:rPr>
          <w:rFonts w:asciiTheme="minorBidi" w:hAnsiTheme="minorBidi"/>
          <w:rtl/>
        </w:rPr>
        <w:t>.</w:t>
      </w:r>
    </w:p>
    <w:p w14:paraId="5F867BCF" w14:textId="77777777" w:rsidR="004B2E7C" w:rsidRPr="005275DF" w:rsidRDefault="004B2E7C" w:rsidP="00434A6A">
      <w:pPr>
        <w:rPr>
          <w:rFonts w:asciiTheme="minorBidi" w:hAnsiTheme="minorBidi"/>
          <w:rtl/>
        </w:rPr>
      </w:pPr>
      <w:r w:rsidRPr="005275DF">
        <w:rPr>
          <w:rFonts w:asciiTheme="minorBidi" w:hAnsiTheme="minorBidi"/>
          <w:u w:val="single"/>
          <w:rtl/>
        </w:rPr>
        <w:t xml:space="preserve">מנורה של חוליות </w:t>
      </w:r>
      <w:r w:rsidRPr="005275DF">
        <w:rPr>
          <w:rFonts w:asciiTheme="minorBidi" w:hAnsiTheme="minorBidi"/>
          <w:b/>
          <w:bCs/>
          <w:u w:val="single"/>
          <w:rtl/>
        </w:rPr>
        <w:t>רפויה</w:t>
      </w:r>
      <w:r w:rsidRPr="005275DF">
        <w:rPr>
          <w:rFonts w:asciiTheme="minorBidi" w:hAnsiTheme="minorBidi"/>
          <w:u w:val="single"/>
          <w:rtl/>
        </w:rPr>
        <w:t>:</w:t>
      </w:r>
    </w:p>
    <w:p w14:paraId="45489B27" w14:textId="77777777" w:rsidR="004B2E7C" w:rsidRPr="005275DF" w:rsidRDefault="004B2E7C" w:rsidP="00FF2D21">
      <w:pPr>
        <w:pStyle w:val="aa"/>
        <w:numPr>
          <w:ilvl w:val="0"/>
          <w:numId w:val="85"/>
        </w:numPr>
        <w:rPr>
          <w:rFonts w:asciiTheme="minorBidi" w:hAnsiTheme="minorBidi"/>
          <w:rtl/>
        </w:rPr>
      </w:pPr>
      <w:r w:rsidRPr="005275DF">
        <w:rPr>
          <w:rFonts w:asciiTheme="minorBidi" w:hAnsiTheme="minorBidi"/>
          <w:rtl/>
        </w:rPr>
        <w:t>רשב"א</w:t>
      </w:r>
      <w:r w:rsidRPr="005275DF">
        <w:rPr>
          <w:rFonts w:asciiTheme="minorBidi" w:hAnsiTheme="minorBidi"/>
          <w:sz w:val="16"/>
          <w:szCs w:val="16"/>
          <w:rtl/>
        </w:rPr>
        <w:t xml:space="preserve"> (עבוה"ק בי"מ ש"ג פ"ג, כ"כ בשמו הה"מ [פכ"ו הי"א])</w:t>
      </w:r>
      <w:r w:rsidRPr="005275DF">
        <w:rPr>
          <w:rFonts w:asciiTheme="minorBidi" w:hAnsiTheme="minorBidi"/>
          <w:rtl/>
        </w:rPr>
        <w:t xml:space="preserve">- הא דהכא אין צריך לומר כשאינה רפויה כלל אלא אפילו רפויה ואינה רפויה אסור לטלטלה, אבל רפויה לגמרי מותר אפילו להחזירה. </w:t>
      </w:r>
    </w:p>
    <w:p w14:paraId="0D74F0AD"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5A41D797" w14:textId="77777777" w:rsidR="004B2E7C" w:rsidRDefault="004B2E7C" w:rsidP="00434A6A">
      <w:pPr>
        <w:rPr>
          <w:rFonts w:asciiTheme="minorBidi" w:hAnsiTheme="minorBidi"/>
          <w:rtl/>
        </w:rPr>
      </w:pPr>
      <w:r w:rsidRPr="005275DF">
        <w:rPr>
          <w:rFonts w:asciiTheme="minorBidi" w:hAnsiTheme="minorBidi"/>
          <w:rtl/>
        </w:rPr>
        <w:t>מנורה, בין גדולה בין קטנה, אם היא של פרקים אין מטלטלין אותה</w:t>
      </w:r>
      <w:r w:rsidRPr="005275DF">
        <w:rPr>
          <w:rStyle w:val="a9"/>
          <w:rFonts w:asciiTheme="minorBidi" w:hAnsiTheme="minorBidi"/>
          <w:rtl/>
        </w:rPr>
        <w:footnoteReference w:id="1022"/>
      </w:r>
      <w:r w:rsidRPr="005275DF">
        <w:rPr>
          <w:rFonts w:asciiTheme="minorBidi" w:hAnsiTheme="minorBidi"/>
          <w:rtl/>
        </w:rPr>
        <w:t xml:space="preserve"> דחיישינן שמא תפול ותתפרק ויחזירנה ונמצא עושה כלי</w:t>
      </w:r>
      <w:r w:rsidRPr="005275DF">
        <w:rPr>
          <w:rStyle w:val="a9"/>
          <w:rFonts w:asciiTheme="minorBidi" w:hAnsiTheme="minorBidi"/>
          <w:rtl/>
        </w:rPr>
        <w:footnoteReference w:id="1023"/>
      </w:r>
      <w:r w:rsidRPr="005275DF">
        <w:rPr>
          <w:rFonts w:asciiTheme="minorBidi" w:hAnsiTheme="minorBidi"/>
          <w:rtl/>
        </w:rPr>
        <w:t>, ואפילו אם אינה של פרקים אלא יש בה חריצים סביב ודומה לשל פרקים אסור לטלטלה.</w:t>
      </w:r>
    </w:p>
    <w:p w14:paraId="2AF8A548" w14:textId="77777777" w:rsidR="004B2E7C" w:rsidRDefault="004B2E7C" w:rsidP="00434A6A">
      <w:pPr>
        <w:pStyle w:val="1"/>
        <w:rPr>
          <w:rStyle w:val="10"/>
          <w:b/>
          <w:bCs/>
          <w:rtl/>
        </w:rPr>
        <w:sectPr w:rsidR="004B2E7C" w:rsidSect="00BD29B1">
          <w:headerReference w:type="default" r:id="rId49"/>
          <w:footnotePr>
            <w:numRestart w:val="eachSect"/>
          </w:footnotePr>
          <w:pgSz w:w="11906" w:h="16838"/>
          <w:pgMar w:top="720" w:right="1134" w:bottom="720" w:left="1134" w:header="0" w:footer="0" w:gutter="0"/>
          <w:cols w:space="720"/>
          <w:bidi/>
          <w:rtlGutter/>
          <w:docGrid w:linePitch="360"/>
        </w:sectPr>
      </w:pPr>
    </w:p>
    <w:p w14:paraId="1FE98470" w14:textId="77777777" w:rsidR="004B2E7C" w:rsidRPr="00745A9A" w:rsidRDefault="004B2E7C" w:rsidP="00434A6A">
      <w:pPr>
        <w:pStyle w:val="1"/>
        <w:rPr>
          <w:rtl/>
        </w:rPr>
      </w:pPr>
      <w:r w:rsidRPr="00745A9A">
        <w:rPr>
          <w:rStyle w:val="10"/>
          <w:rFonts w:hint="cs"/>
          <w:b/>
          <w:bCs/>
          <w:rtl/>
        </w:rPr>
        <w:t xml:space="preserve">סימן </w:t>
      </w:r>
      <w:r>
        <w:rPr>
          <w:rStyle w:val="10"/>
          <w:rFonts w:hint="cs"/>
          <w:b/>
          <w:bCs/>
          <w:rtl/>
        </w:rPr>
        <w:t>ר</w:t>
      </w:r>
      <w:r w:rsidRPr="00745A9A">
        <w:rPr>
          <w:rStyle w:val="10"/>
          <w:rFonts w:hint="cs"/>
          <w:b/>
          <w:bCs/>
          <w:rtl/>
        </w:rPr>
        <w:t xml:space="preserve">פ: </w:t>
      </w:r>
      <w:r w:rsidRPr="00745A9A">
        <w:rPr>
          <w:rtl/>
        </w:rPr>
        <w:t xml:space="preserve">תשמיש המטה בשבת, ובו ב' סעיפים. </w:t>
      </w:r>
    </w:p>
    <w:p w14:paraId="5C8A88E3" w14:textId="77777777" w:rsidR="004B2E7C" w:rsidRDefault="004B2E7C" w:rsidP="00434A6A">
      <w:pPr>
        <w:pStyle w:val="2"/>
        <w:rPr>
          <w:rtl/>
        </w:rPr>
      </w:pPr>
      <w:r w:rsidRPr="004E65CB">
        <w:rPr>
          <w:rtl/>
        </w:rPr>
        <w:t>סעיף א</w:t>
      </w:r>
      <w:r>
        <w:rPr>
          <w:rFonts w:hint="cs"/>
          <w:rtl/>
        </w:rPr>
        <w:t>:</w:t>
      </w:r>
    </w:p>
    <w:p w14:paraId="49B26240" w14:textId="77777777" w:rsidR="004B2E7C" w:rsidRDefault="004B2E7C" w:rsidP="00FF2D21">
      <w:pPr>
        <w:pStyle w:val="aa"/>
        <w:numPr>
          <w:ilvl w:val="0"/>
          <w:numId w:val="85"/>
        </w:numPr>
      </w:pPr>
      <w:r w:rsidRPr="00242621">
        <w:rPr>
          <w:rFonts w:cs="Arial" w:hint="cs"/>
          <w:rtl/>
        </w:rPr>
        <w:t xml:space="preserve">טור- </w:t>
      </w:r>
      <w:r w:rsidRPr="00242621">
        <w:rPr>
          <w:rFonts w:cs="Arial"/>
          <w:rtl/>
        </w:rPr>
        <w:t>וקורא ק"ש כבשאר הלילות ויהא זהיר לקיים עונתו כדאיתא בכתובות בפרק אף על פי יהודה בריה דרבי חייא חתניה דר' ינאי הוה שכיח ויתיב בבי רב וכל בי שימשא הוה אזיל לביתיה וכי היה קאתי הוו קא חזו קמיה עמודא דנורא יומא חד משכתיה שמעתיה ולא אתא כיון דלא חזי ההוא סימנא אמר להו ר' ינאי כפו מטתו שאלמלא יהודה קיים לא ביטל עונתו לשון הרמב"ם תשמיש המטה מתענוגי שבת הוא לפיכך עונת תלמידי חכמים הבריאים לשמש מטותיהן מליל שבת לליל שבת ומותר לבעול לכתחלה לבתולה בשבת ואין בו לא משום חובל ולא משום צער לה:</w:t>
      </w:r>
    </w:p>
    <w:p w14:paraId="5B701FC5" w14:textId="77777777" w:rsidR="004B2E7C" w:rsidRDefault="004B2E7C" w:rsidP="00434A6A">
      <w:pPr>
        <w:rPr>
          <w:rtl/>
        </w:rPr>
      </w:pPr>
      <w:r>
        <w:rPr>
          <w:rFonts w:cs="Arial"/>
          <w:rtl/>
        </w:rPr>
        <w:t>[א] וקורא קריאת שמע כבשאר לילות וכו'. פשוט הוא:</w:t>
      </w:r>
    </w:p>
    <w:p w14:paraId="777F9F55" w14:textId="77777777" w:rsidR="004B2E7C" w:rsidRDefault="004B2E7C" w:rsidP="00434A6A">
      <w:pPr>
        <w:rPr>
          <w:rtl/>
        </w:rPr>
      </w:pPr>
      <w:r>
        <w:rPr>
          <w:rFonts w:cs="Arial"/>
          <w:rtl/>
        </w:rPr>
        <w:t>לשון הרמב"ם תשמיש המטה מתענוגי שבת הוא וכו' עד סוף הסימן. בפרק ל' (הי"ד) והם דברים פשוטים בגמרא:</w:t>
      </w:r>
    </w:p>
    <w:p w14:paraId="761066C1" w14:textId="77777777" w:rsidR="004B2E7C" w:rsidRPr="001B14E1" w:rsidRDefault="004B2E7C" w:rsidP="00434A6A">
      <w:pPr>
        <w:rPr>
          <w:rtl/>
        </w:rPr>
      </w:pPr>
      <w:r>
        <w:rPr>
          <w:rFonts w:cs="Arial"/>
          <w:rtl/>
        </w:rPr>
        <w:t>עונת תלמידי חכמים מליל שבת לליל שבת. הוא בפרק אף על פי (כתובות סב:):</w:t>
      </w:r>
    </w:p>
    <w:p w14:paraId="6E42E316"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170EAF44" w14:textId="77777777" w:rsidR="004B2E7C" w:rsidRDefault="004B2E7C" w:rsidP="00434A6A">
      <w:pPr>
        <w:rPr>
          <w:rFonts w:asciiTheme="minorBidi" w:hAnsiTheme="minorBidi"/>
          <w:rtl/>
        </w:rPr>
      </w:pPr>
      <w:r w:rsidRPr="004E65CB">
        <w:rPr>
          <w:rFonts w:asciiTheme="minorBidi" w:hAnsiTheme="minorBidi" w:cs="Arial"/>
          <w:rtl/>
        </w:rPr>
        <w:t xml:space="preserve">תשמיש המטה מתענוגי שבת הוא, לפיכך עונת תלמידי חכמים הבריאים מליל שבת לליל שבת. </w:t>
      </w:r>
    </w:p>
    <w:p w14:paraId="29668950" w14:textId="77777777" w:rsidR="004B2E7C" w:rsidRPr="004E65CB" w:rsidRDefault="004B2E7C" w:rsidP="00434A6A">
      <w:pPr>
        <w:rPr>
          <w:rFonts w:asciiTheme="minorBidi" w:hAnsiTheme="minorBidi"/>
          <w:rtl/>
        </w:rPr>
      </w:pPr>
    </w:p>
    <w:p w14:paraId="5DAE9216" w14:textId="77777777" w:rsidR="004B2E7C" w:rsidRDefault="004B2E7C" w:rsidP="00434A6A">
      <w:pPr>
        <w:pStyle w:val="2"/>
        <w:rPr>
          <w:rtl/>
        </w:rPr>
      </w:pPr>
      <w:r w:rsidRPr="004E65CB">
        <w:rPr>
          <w:rtl/>
        </w:rPr>
        <w:t>סעיף ב</w:t>
      </w:r>
    </w:p>
    <w:p w14:paraId="0D272F89" w14:textId="77777777" w:rsidR="004B2E7C" w:rsidRPr="00242621" w:rsidRDefault="004B2E7C" w:rsidP="00434A6A">
      <w:pPr>
        <w:rPr>
          <w:rtl/>
        </w:rPr>
      </w:pPr>
      <w:r w:rsidRPr="00242621">
        <w:rPr>
          <w:rFonts w:cs="Arial"/>
          <w:rtl/>
        </w:rPr>
        <w:t>[ב] ומותר לבעול בתולה בשבת. מסקנא דגמרא בריש כתובות (ז.):</w:t>
      </w:r>
    </w:p>
    <w:p w14:paraId="33575092" w14:textId="77777777" w:rsidR="004B2E7C" w:rsidRPr="005275DF" w:rsidRDefault="004B2E7C" w:rsidP="00434A6A">
      <w:pPr>
        <w:rPr>
          <w:rFonts w:asciiTheme="minorBidi" w:hAnsiTheme="minorBidi"/>
          <w:rtl/>
        </w:rPr>
      </w:pPr>
      <w:r w:rsidRPr="005275DF">
        <w:rPr>
          <w:rFonts w:asciiTheme="minorBidi" w:hAnsiTheme="minorBidi"/>
          <w:b/>
          <w:bCs/>
          <w:sz w:val="32"/>
          <w:szCs w:val="28"/>
          <w:u w:val="single"/>
          <w:rtl/>
        </w:rPr>
        <w:t xml:space="preserve">שו"ע: </w:t>
      </w:r>
    </w:p>
    <w:p w14:paraId="37BAB48D" w14:textId="77777777" w:rsidR="004B2E7C" w:rsidRDefault="004B2E7C" w:rsidP="00434A6A">
      <w:pPr>
        <w:rPr>
          <w:rFonts w:asciiTheme="minorBidi" w:hAnsiTheme="minorBidi"/>
          <w:rtl/>
        </w:rPr>
      </w:pPr>
      <w:r w:rsidRPr="004E65CB">
        <w:rPr>
          <w:rFonts w:asciiTheme="minorBidi" w:hAnsiTheme="minorBidi" w:cs="Arial"/>
          <w:rtl/>
        </w:rPr>
        <w:t>מותר לבעול לכתחלה בתולה בשבת ואין בו משום חובל ולא משום צער לה.</w:t>
      </w:r>
    </w:p>
    <w:p w14:paraId="10AD51F4" w14:textId="77777777" w:rsidR="004B2E7C" w:rsidRDefault="004B2E7C" w:rsidP="00434A6A">
      <w:pPr>
        <w:rPr>
          <w:rFonts w:asciiTheme="minorBidi" w:hAnsiTheme="minorBidi"/>
          <w:rtl/>
        </w:rPr>
        <w:sectPr w:rsidR="004B2E7C" w:rsidSect="00BD29B1">
          <w:headerReference w:type="default" r:id="rId50"/>
          <w:footnotePr>
            <w:numRestart w:val="eachSect"/>
          </w:footnotePr>
          <w:pgSz w:w="11906" w:h="16838"/>
          <w:pgMar w:top="720" w:right="1134" w:bottom="720" w:left="1134" w:header="0" w:footer="0" w:gutter="0"/>
          <w:cols w:space="720"/>
          <w:bidi/>
          <w:rtlGutter/>
          <w:docGrid w:linePitch="360"/>
        </w:sectPr>
      </w:pPr>
    </w:p>
    <w:p w14:paraId="642DB11D" w14:textId="77777777" w:rsidR="004B2E7C" w:rsidRDefault="004B2E7C" w:rsidP="00434A6A">
      <w:pPr>
        <w:pStyle w:val="1"/>
      </w:pPr>
      <w:r>
        <w:rPr>
          <w:rStyle w:val="10"/>
          <w:b/>
          <w:bCs/>
          <w:rtl/>
        </w:rPr>
        <w:t>סימן רפא:</w:t>
      </w:r>
      <w:r>
        <w:rPr>
          <w:rtl/>
        </w:rPr>
        <w:t xml:space="preserve"> שלא יכרע בולך אנחנו מודים, ובו סעיף אחד. </w:t>
      </w:r>
    </w:p>
    <w:p w14:paraId="47F09D92" w14:textId="77777777" w:rsidR="004B2E7C" w:rsidRDefault="004B2E7C" w:rsidP="00434A6A">
      <w:pPr>
        <w:pStyle w:val="2"/>
        <w:rPr>
          <w:rtl/>
        </w:rPr>
      </w:pPr>
      <w:r>
        <w:rPr>
          <w:rtl/>
        </w:rPr>
        <w:t>סעיף א</w:t>
      </w:r>
    </w:p>
    <w:p w14:paraId="74D9C36D" w14:textId="77777777" w:rsidR="004B2E7C" w:rsidRDefault="004B2E7C" w:rsidP="00FF2D21">
      <w:pPr>
        <w:pStyle w:val="aa"/>
        <w:numPr>
          <w:ilvl w:val="0"/>
          <w:numId w:val="85"/>
        </w:numPr>
        <w:rPr>
          <w:rtl/>
        </w:rPr>
      </w:pPr>
      <w:r>
        <w:rPr>
          <w:rFonts w:cs="Arial"/>
          <w:rtl/>
        </w:rPr>
        <w:t>בשחר משכימין לבהכ"נ ומסדרין הברכות ופרשת הקרבנות ומשנת איזהו מקומן כסדר שאר הימים רק שמוסיפין וביום השבת ואומרים ברוך שאמר ופסוקי דזמרה ונוהגין להוסיף מזמורים לפי שאין בו ביטול מלאכה לעם ונוהגין באשכנז לומר מיד ברוך שאמר אחר משנת איזהו מקומן ואח"כ כל המזמורים שמוסיפין ובטוליטולא אומרים המזמורים תחלה ואח"כ ברוך שאמר ואח"כ מזמור שיר ליום השבת ויותר נכון מנהג אשכנז לומר כל המזמורים בין ברוך שאמר לישתבח כדי שיהא לכולם ברכה לפניהם וברכה לאחריהם ובאשכנז אין אומרים</w:t>
      </w:r>
      <w:r>
        <w:rPr>
          <w:rStyle w:val="a9"/>
          <w:rFonts w:cs="Arial"/>
          <w:rtl/>
        </w:rPr>
        <w:footnoteReference w:id="1024"/>
      </w:r>
      <w:r>
        <w:rPr>
          <w:rFonts w:cs="Arial"/>
          <w:rtl/>
        </w:rPr>
        <w:t xml:space="preserve"> מזמור לתודה בשבת לפי שאין תודה קריבה בשבת ואינו טעם של עיקר ואחר השירה מוסיפין נשמת שיש בו מענין יציאת מצרים לכך סמכוהו אצל השירה וחותמין בישתבח ואומר ש"ץ קדיש וברכו וקורין שמע בברכותיה ומוסיפין בברכה ראשונה שבח ותהלה להקב"ה והיה תמה א"א ז"ל על מה שנוהגין בכל המקומות שהקהל אומרים מקצת הברכה וש"צ גומרה. קרא לשמש ויזרח אור ראה והתקין צורת הלבנה פירוש כשקרא לשמש להאיר וראה שיבאו העולם לטעות אחריו לעבדו אז התקין צורת הלבנה כדי שימנעו מלטעות אחריו כאשר יראו כי הם שנים וצריכה הלבנה לעזור את השמש בלילה להודיע שלא יספיק לעולם בשמש לבד וי"מ ראה והקטין ומפרשים אותו על הקטרוג ונוהגין באשכנז ובצרפת לומר לאל אשר שבת ורב עמרם גם כן כתב ובטוליטולא א"א אותו ועומדין להתפלל ומתפלל שלש ראשונות ושלש אחרונות וקדושת היום באמצע וחותם מקדש השבת:</w:t>
      </w:r>
    </w:p>
    <w:p w14:paraId="612B212F" w14:textId="77777777" w:rsidR="004B2E7C" w:rsidRDefault="004B2E7C" w:rsidP="00FF2D21">
      <w:pPr>
        <w:pStyle w:val="aa"/>
        <w:numPr>
          <w:ilvl w:val="0"/>
          <w:numId w:val="85"/>
        </w:numPr>
        <w:rPr>
          <w:rtl/>
        </w:rPr>
      </w:pPr>
      <w:r>
        <w:rPr>
          <w:rFonts w:cs="Arial"/>
          <w:rtl/>
        </w:rPr>
        <w:t>פי' ישמח משה כשהיו אבותינו במצרים וראה משה כובד השיעבוד שהכבידו עליהם בקש מפרעה שיתן להם יום אחד בשבוע שינוחו בו ונתנו לו ובחר ביום השביעי וכאשר נצטוו על יום השבת שמח משה שבחר בו וזהו ישמח משה במתנת חלקו ויש מפרשים משום הא דכתיב לדעת כי אני ה' מקדשכם (וכדאיתא שבת י ב ביצה טז א) אמר לו הקדוש ברוך הוא למשה מתנה טובה יש לי בבית גנזי ושבת שמה ואני מבקש ליתנה לישראל לך והודיעם ועל כן תקנו ישמח משה באותה מתנה ויש בו נ"ה תיבות כנגד נ"ה תיבות שיש מאך את שבתותי תשמורו עד ויתן אל משה ככלותו וזהו שתקנו בעמדו לפניך על הר סיני שפרשת ויתן אל משה סמוכה לפרשת שבת. ואם לא הזכיר של שבת מחזירין אותו אם עקר רגליו חוזר לראש ואם לא עקר רגליו חוזר לשל שבת ומחזיר ש"צ התפלה ואומרים באשכנז בקדושה של שחרית ממקומך מלכנו ואז בקול רעש גדול והכי שדר רב נטרונאי ריש מתיבתא דמתא מחסי' מנהג בכל ישיבות לומר בקדושה כתר יתנו לך וממקומך מלכנו ואז בקול רעש גדול ובמוסף של שבת וי"ט ויה"כ ובנעילה אנו אומרים פעמים ולהיות לכם לאלהים אבל בר"ח ובחולו של מועד אין אומרים אותו ואומר ש"צ קדיש שלם ומנהג בספרד לומר אתה הראת קודם ס"ת לפי שנאמר על קבלת התורה והיא ניתנה בשבת:</w:t>
      </w:r>
    </w:p>
    <w:p w14:paraId="4EA4FA30" w14:textId="77777777" w:rsidR="004B2E7C" w:rsidRDefault="004B2E7C" w:rsidP="00434A6A">
      <w:r>
        <w:rPr>
          <w:rFonts w:cs="Arial"/>
          <w:rtl/>
        </w:rPr>
        <w:t>בשחר משכימין לבית הכנסת וכו'. כל סימן זה הוא מבואר:</w:t>
      </w:r>
    </w:p>
    <w:p w14:paraId="2A1EF5C8" w14:textId="77777777" w:rsidR="004B2E7C" w:rsidRDefault="004B2E7C" w:rsidP="00434A6A">
      <w:pPr>
        <w:rPr>
          <w:rtl/>
        </w:rPr>
      </w:pPr>
      <w:r>
        <w:rPr>
          <w:rFonts w:cs="Arial"/>
          <w:rtl/>
        </w:rPr>
        <w:t>ומ"ש ובאשכנז אין אומרים מזמור לתודה בשבת לפי שאין תודה קריבה בשבת. כן כתוב בשבלי הלקט (סי' עו) בשם רש"י (סדור רש"י סי' תצד):</w:t>
      </w:r>
    </w:p>
    <w:p w14:paraId="00C7B42E" w14:textId="77777777" w:rsidR="004B2E7C" w:rsidRDefault="004B2E7C" w:rsidP="00434A6A">
      <w:pPr>
        <w:rPr>
          <w:rtl/>
        </w:rPr>
      </w:pPr>
      <w:r>
        <w:rPr>
          <w:rFonts w:cs="Arial"/>
          <w:rtl/>
        </w:rPr>
        <w:t>ומ"ש רבינו שאינו טעם של עיקר. נראה שהוא משום דמזמור זה אין אנו אומרים אותו לשם קרבן תודה אלא לשם הודאה. וכתוב בשבלי הלקט (שם) שיש שאומרים אותו בשבת ולא בחול ונתן טעם למנהגם, ומנהגינו לומר מזמור לתודה בחול ולא בשבת: כתוב בשבלי הלקט (שם) חמדת ימים אותו קראת יש מפרשים היכן מצינו שנקרא שבת חמדה דכתיב (בראשית ב ב) ויכל והוא מלשון כלתה נפשי (תהלים פד ג) ויש מפרשים לא שהשבת נקרא כך אלא כך הצעה של תפילה רצית בו וקדשתו חמדת ימים כלומר קדשת אותו להיות נחמד מכל הימים וה"ר מאיר ציר נאמן היה מתקן הדבר כן ובשביעי רצית בו וקדשתו חמדת ימים [ו]אותו קראת זכר למעשה בראשית עכ"ל: כתוב עוד שם (סו"ס פ"ב) מ"ש ישמחו במלכותך פירש ה"ר [אביגדור] כהן צדק שסמכו על מה שכתוב (במדבר י י) וביום שמחתכם ובמועדיכם וגו' ואמרו (ספרי בהעלותך פסקא עז) וביום שמחתכם זה שבת ויש לומר שעל זה סמכו לומר וישמחו בך כל ישראל מקדשי שמך עכ"ל: כתב ה"ר יונה בס"פ אין עומדין (ברכות כד. ד"ה הכורע) שאין נכון לשחות בולך לבדך אנחנו מודים שאין לשחות אלא במקומות שאמרו חכמים:</w:t>
      </w:r>
    </w:p>
    <w:p w14:paraId="0857F6DF"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1A6784B" w14:textId="77777777" w:rsidR="004B2E7C" w:rsidRDefault="004B2E7C" w:rsidP="00434A6A">
      <w:pPr>
        <w:rPr>
          <w:rFonts w:asciiTheme="minorBidi" w:hAnsiTheme="minorBidi"/>
          <w:rtl/>
        </w:rPr>
      </w:pPr>
      <w:r>
        <w:rPr>
          <w:rFonts w:asciiTheme="minorBidi" w:hAnsiTheme="minorBidi" w:cs="Arial"/>
          <w:rtl/>
        </w:rPr>
        <w:t xml:space="preserve">אין לשחות בולך לבדך אנחנו מודים, שאין לשחות אלא במקומות שאמרו חכמים. </w:t>
      </w:r>
      <w:r>
        <w:rPr>
          <w:rFonts w:asciiTheme="minorBidi" w:hAnsiTheme="minorBidi" w:cs="Arial"/>
          <w:sz w:val="18"/>
          <w:szCs w:val="18"/>
          <w:rtl/>
        </w:rPr>
        <w:t>הגה: ונוהגים שבשבת מאחרין יותר לבא לבהכ"נ מבחול, משום דבתמיד של ימות החול נאמר בבקר (במדבר כח, ד) ואצל שבת נאמר וביום השבת (במדבר כח, ט) דמשמע איחור (מרדכי פרק כ"כ). ונוהגין להרבות בזמירות של שבת כ"מ לפי מנהגו, ובכל דבר אם לא אמרו אין מחזירין אותו מלבד אם לא אמר לאל אשר שבת וכו' מחזירין אותו. ויש להאריך ולהנעים בזמירות ואין למחות במאריך בהם, אף על פי שהמוחה מכוין משום ביטול תורה (א"ז). ומ"מ בשבת ויו"ט לא יאריך יותר מדאי, כדי שיאכלו קודם שעה ששית כדלקמן סי' רפ"ח.</w:t>
      </w:r>
    </w:p>
    <w:p w14:paraId="5A61ABD3" w14:textId="77777777" w:rsidR="004B2E7C" w:rsidRDefault="004B2E7C" w:rsidP="00434A6A">
      <w:pPr>
        <w:rPr>
          <w:rFonts w:asciiTheme="minorBidi" w:hAnsiTheme="minorBidi"/>
          <w:rtl/>
        </w:rPr>
      </w:pPr>
    </w:p>
    <w:p w14:paraId="7009A649" w14:textId="77777777" w:rsidR="004B2E7C" w:rsidRDefault="004B2E7C" w:rsidP="00434A6A">
      <w:pPr>
        <w:rPr>
          <w:rFonts w:asciiTheme="minorBidi" w:hAnsiTheme="minorBidi"/>
          <w:rtl/>
        </w:rPr>
      </w:pPr>
    </w:p>
    <w:p w14:paraId="3D3D44F1" w14:textId="77777777" w:rsidR="004B2E7C" w:rsidRDefault="004B2E7C" w:rsidP="00434A6A">
      <w:pPr>
        <w:rPr>
          <w:rFonts w:asciiTheme="minorBidi" w:hAnsiTheme="minorBidi"/>
          <w:rtl/>
        </w:rPr>
      </w:pPr>
    </w:p>
    <w:p w14:paraId="728AA64B" w14:textId="77777777" w:rsidR="004B2E7C" w:rsidRDefault="004B2E7C" w:rsidP="00434A6A">
      <w:pPr>
        <w:rPr>
          <w:rFonts w:asciiTheme="minorBidi" w:hAnsiTheme="minorBidi"/>
          <w:rtl/>
        </w:rPr>
      </w:pPr>
    </w:p>
    <w:p w14:paraId="4C1A75CB"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51"/>
          <w:footnotePr>
            <w:numRestart w:val="eachSect"/>
          </w:footnotePr>
          <w:pgSz w:w="11906" w:h="16838"/>
          <w:pgMar w:top="720" w:right="1134" w:bottom="720" w:left="1134" w:header="0" w:footer="0" w:gutter="0"/>
          <w:cols w:space="720"/>
          <w:bidi/>
          <w:rtlGutter/>
        </w:sectPr>
      </w:pPr>
    </w:p>
    <w:p w14:paraId="2E25D1FA" w14:textId="77777777" w:rsidR="004B2E7C" w:rsidRDefault="004B2E7C" w:rsidP="00434A6A">
      <w:pPr>
        <w:pStyle w:val="1"/>
        <w:rPr>
          <w:rtl/>
        </w:rPr>
      </w:pPr>
      <w:r>
        <w:rPr>
          <w:rtl/>
        </w:rPr>
        <w:t xml:space="preserve">סימן רפב: קריאת התורה והמפטיר בשבת, ובו ז' סעיפים. </w:t>
      </w:r>
    </w:p>
    <w:p w14:paraId="7BF52681" w14:textId="77777777" w:rsidR="004B2E7C" w:rsidRDefault="004B2E7C" w:rsidP="00434A6A">
      <w:pPr>
        <w:pStyle w:val="2"/>
        <w:rPr>
          <w:rtl/>
        </w:rPr>
      </w:pPr>
      <w:r>
        <w:rPr>
          <w:rtl/>
        </w:rPr>
        <w:t>סעיף א</w:t>
      </w:r>
    </w:p>
    <w:p w14:paraId="06D31608" w14:textId="77777777" w:rsidR="004B2E7C" w:rsidRDefault="004B2E7C" w:rsidP="00FF2D21">
      <w:pPr>
        <w:pStyle w:val="aa"/>
        <w:numPr>
          <w:ilvl w:val="0"/>
          <w:numId w:val="121"/>
        </w:numPr>
        <w:rPr>
          <w:rtl/>
        </w:rPr>
      </w:pPr>
      <w:r>
        <w:rPr>
          <w:rtl/>
        </w:rPr>
        <w:t xml:space="preserve">טור- </w:t>
      </w:r>
      <w:r>
        <w:rPr>
          <w:rFonts w:cs="Arial"/>
          <w:rtl/>
        </w:rPr>
        <w:t>ומוציאין ס"ת וקורין שבעה דתניא בפ' הקורא את המגילה כל יום שיש בו מוסף ואין בו י"ט כגון ר"ח וחולו של מועד קורין ד' ובי"ט ה' וביה"כ ו' ובשבת ז' ולמעלה בתפלת החול כתבתי דין קריאת התורה וברכותיה אין פוחתין מז' אבל מוסיפין עליהן הכל עולין למנין ז' אפי' אשה וקטן אבל אמרו חכמים אשה לא תקרא בציבור מפני כבוד ציבור ומפטיר מיבעיא אם עולה או לאו ואסיקנא דעולה לפיכך נוהגין בתענית וביה"כ במנחה ובט' באב שהשלישי מפטיר כיון שעולה למנין ואין יכולין להוסיף על ג' אבל בשבת ובי"ט ויוה"כ שיכולין להוסיף נוהגין שבשבת השמיני מפטיר ובי"ט הששי וביוה"כ השביעי ואתי שפיר בין למ"ד עולה בין למ"ד אינו עולה שאם עולה והוסיפו עליהם אין לחוש שהרי יכולין להוסיף ואם אינו עולה הרי כבר קראו שבעה לפניו הלכך קורא שבעה וגומר עמהם הפרשה ואומר קדיש וחוזר וקורא עם המפטיר מה שקרא הז' כתב הר"ם מרוטנבורק שאם טעה ש"צ וסיים הפרשה עם הששי ואמר קדיש שאין צריך לקרות עוד אחר אלא יקרא עם המפטיר מה שקרא עם הו' ויאמר אחריו קדיש שהרי מפטיר עולה למנין ז' וא"א הרא"ש ז"ל היה אומר שאין לומר קדיש פעם אחרת:</w:t>
      </w:r>
    </w:p>
    <w:p w14:paraId="6B00EB6C" w14:textId="77777777" w:rsidR="004B2E7C" w:rsidRDefault="004B2E7C" w:rsidP="00434A6A">
      <w:r>
        <w:rPr>
          <w:rFonts w:cs="Arial"/>
          <w:rtl/>
        </w:rPr>
        <w:t>[א] ומוציאין ספר תורה וקורין שבעה וכו'. בפרק הקורא את המגילה (מגילה כא.) תנן כל יום שיש בו מוסף ואינו יום טוב קורין ארבעה ביום טוב חמשה ביום הכפורים ששה בשבת שבעה אין פוחתין מהם אבל מוסיפין עליהם ומדברי רש"י נראה דאבל מוסיפין עליהם קאי אשבת ויום הכפורים ויום טוב וכן מצאתי בתשובת מהר"מ (דפוס פראג סי' קי) וכן דעת הרמב"ם בהלכות תפילה פרק י"ב (הט"ז) וכן כתב רבינו בסמוך, ודלא כיש מפרשים שכתב הר"ן (יב: ד"ה מתני') דלא קאי אלא אשבת לחודיה אבל באינך יומי אין מוסיפין</w:t>
      </w:r>
      <w:r>
        <w:rPr>
          <w:rStyle w:val="a9"/>
          <w:rFonts w:cs="Arial"/>
          <w:rtl/>
        </w:rPr>
        <w:footnoteReference w:id="1025"/>
      </w:r>
      <w:r>
        <w:rPr>
          <w:rFonts w:cs="Arial"/>
          <w:rtl/>
        </w:rPr>
        <w:t>, ומ"ש רבינו אין פוחתין משבעה אבל מוסיפין, היינו בשבת ומינה לכולהו יומי דאין פוחתין לכל אחד משיעור הקצוב לו, ובענין אבל מוסיפין סמך על מה שכתב בסמוך דהיינו בשבת ויום טוב ויום הכפורים אבל בשאר ימים אין מוסיפין: כתוב בשבלי הלקט (סי' עז) בשם הגאונים למה קורין ז' בתורה שאם יארע לאדם אונס שלא בא לבית הכנסת כל ז' ימי השבוע ולא שמע ברכו יאזין מפי הקורין ז' פעמים ברכו ויצא ידי חובתו עכ"ל:</w:t>
      </w:r>
    </w:p>
    <w:p w14:paraId="1D54891F"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F1D198A" w14:textId="77777777" w:rsidR="004B2E7C" w:rsidRDefault="004B2E7C" w:rsidP="00434A6A">
      <w:pPr>
        <w:rPr>
          <w:rFonts w:asciiTheme="minorBidi" w:hAnsiTheme="minorBidi"/>
          <w:rtl/>
        </w:rPr>
      </w:pPr>
      <w:r>
        <w:rPr>
          <w:rFonts w:asciiTheme="minorBidi" w:hAnsiTheme="minorBidi" w:cs="Arial"/>
          <w:rtl/>
        </w:rPr>
        <w:t xml:space="preserve">מוציאין ס"ת וקורין בו שבעה; ואם רצה להוסיף, מוסיף. הגה: וה"ה ביום טוב מותר להוסיף על מנין הקרואים (רמב"ם פ' י"ב מה"ת ותשובת מהר"ם וב"י). וי"א דביו"ט אין להוסיף (ר"ן פרק הקורא) וכן נהגו במדינות אלו מלבד בשמחת תורה שמוסיפין הרבה, גם בכל יום טוב אין המפטירין ממנין הקרואים, כדלקמן. </w:t>
      </w:r>
    </w:p>
    <w:p w14:paraId="2A69B493" w14:textId="77777777" w:rsidR="004B2E7C" w:rsidRDefault="004B2E7C" w:rsidP="00434A6A">
      <w:pPr>
        <w:rPr>
          <w:rFonts w:asciiTheme="minorBidi" w:hAnsiTheme="minorBidi"/>
          <w:rtl/>
        </w:rPr>
      </w:pPr>
    </w:p>
    <w:p w14:paraId="34414564" w14:textId="77777777" w:rsidR="004B2E7C" w:rsidRDefault="004B2E7C" w:rsidP="00434A6A">
      <w:pPr>
        <w:pStyle w:val="2"/>
        <w:rPr>
          <w:rtl/>
        </w:rPr>
      </w:pPr>
      <w:r>
        <w:rPr>
          <w:rtl/>
        </w:rPr>
        <w:t>סעיף ב</w:t>
      </w:r>
    </w:p>
    <w:p w14:paraId="470FECF0" w14:textId="77777777" w:rsidR="004B2E7C" w:rsidRDefault="004B2E7C" w:rsidP="00434A6A">
      <w:pPr>
        <w:rPr>
          <w:rtl/>
        </w:rPr>
      </w:pPr>
      <w:r>
        <w:rPr>
          <w:rFonts w:cs="Arial"/>
          <w:rtl/>
        </w:rPr>
        <w:t>[ב] כתב הריב"ש בתשובה (סי' פד) מותר לקרות עולים הרבה אף על פי שקורא זה מה שקרא זה וחוזר ומברך אין בכך כלום שהרי בימי חנוכה ובחולו של מועד דסוכות קורא זה מה שקרא זה ע"כ, וכן נהגו העולם ולא כדכתב המרדכי בסוף מגילה (סי' תתלא, יט ע"ג) בשם רבינו אפרים</w:t>
      </w:r>
      <w:r>
        <w:rPr>
          <w:rStyle w:val="a9"/>
          <w:rFonts w:cs="Arial"/>
          <w:rtl/>
        </w:rPr>
        <w:footnoteReference w:id="1026"/>
      </w:r>
      <w:r>
        <w:rPr>
          <w:rFonts w:cs="Arial"/>
          <w:rtl/>
        </w:rPr>
        <w:t>:</w:t>
      </w:r>
    </w:p>
    <w:p w14:paraId="49018456" w14:textId="77777777" w:rsidR="004B2E7C" w:rsidRDefault="004B2E7C" w:rsidP="00434A6A">
      <w:pPr>
        <w:rPr>
          <w:rtl/>
        </w:rPr>
      </w:pPr>
    </w:p>
    <w:p w14:paraId="5A3EA637"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07B770E" w14:textId="77777777" w:rsidR="004B2E7C" w:rsidRDefault="004B2E7C" w:rsidP="00434A6A">
      <w:pPr>
        <w:rPr>
          <w:rFonts w:asciiTheme="minorBidi" w:hAnsiTheme="minorBidi"/>
          <w:rtl/>
        </w:rPr>
      </w:pPr>
      <w:r>
        <w:rPr>
          <w:rFonts w:asciiTheme="minorBidi" w:hAnsiTheme="minorBidi" w:cs="Arial"/>
          <w:rtl/>
        </w:rPr>
        <w:t xml:space="preserve">מותר לקרות עולים הרבה אף על פי שקרא זה מה שקרא זה וחוזר ומברך, אין בכך כלום. </w:t>
      </w:r>
      <w:r>
        <w:rPr>
          <w:rFonts w:asciiTheme="minorBidi" w:hAnsiTheme="minorBidi" w:cs="Arial"/>
          <w:sz w:val="18"/>
          <w:szCs w:val="18"/>
          <w:rtl/>
        </w:rPr>
        <w:t>הגה: ויש אוסרים (מרדכי סוף מגילה), וכן נהגו במדינות אלו, חוץ מבשמחת תורה, שנהגו להרבות בקרואים ונהגו כסברא הראשונה.</w:t>
      </w:r>
      <w:r>
        <w:rPr>
          <w:rFonts w:asciiTheme="minorBidi" w:hAnsiTheme="minorBidi" w:cs="Arial"/>
          <w:rtl/>
        </w:rPr>
        <w:t xml:space="preserve"> </w:t>
      </w:r>
    </w:p>
    <w:p w14:paraId="0B931D38" w14:textId="77777777" w:rsidR="004B2E7C" w:rsidRDefault="004B2E7C" w:rsidP="00434A6A">
      <w:pPr>
        <w:rPr>
          <w:rFonts w:asciiTheme="minorBidi" w:hAnsiTheme="minorBidi"/>
          <w:rtl/>
        </w:rPr>
      </w:pPr>
    </w:p>
    <w:p w14:paraId="25D4AB9C" w14:textId="77777777" w:rsidR="004B2E7C" w:rsidRDefault="004B2E7C" w:rsidP="00434A6A">
      <w:pPr>
        <w:pStyle w:val="2"/>
        <w:rPr>
          <w:rtl/>
        </w:rPr>
      </w:pPr>
      <w:r>
        <w:rPr>
          <w:rtl/>
        </w:rPr>
        <w:t>סעיף ג:</w:t>
      </w:r>
    </w:p>
    <w:p w14:paraId="6AC85756" w14:textId="77777777" w:rsidR="004B2E7C" w:rsidRDefault="004B2E7C" w:rsidP="00434A6A">
      <w:pPr>
        <w:rPr>
          <w:rtl/>
        </w:rPr>
      </w:pPr>
      <w:r>
        <w:rPr>
          <w:rFonts w:cs="Arial"/>
          <w:rtl/>
        </w:rPr>
        <w:t>[ג] הכל עולין למנין שבעה אפילו אשה וקטן וכו'. שם (כג.). וכתבו הגהות מימון פרק י"ב מהלכות תפילה (אות ס) כתב הר"מ דאין לקרות כמו כן [עבדים] כנענים בתורה אלא לשביעי כדאמרינן הכל משלימין לשביעי וכו' ואם אמו מישראל מותר כדאמרינן (יבמות מה:) גוי ועבד הבא על בת ישראל הולד כשר עכ"ל: וכתבו עוד (שם אות ע) בשם הירושלמי (ברכות פ"ז ה"ב) דאימתי [קטן] עולה למנין שבעה חד אמר כדי שידע בטיב ברכה וחד אמר משידע למי מברכין וכן פסק מהר"ם עכ"ל: וכתב הר"ד אבודרהם בתפילות החול (ע' קל) גבי עיר שכולה כהנים דנראה מדברי הר"מ (ד"ק סי' ח וד"פ סי' קח) שאם יש שם נשים או קטנים דכהן קורא פעמים ושוב יקראו נשים או קטנים שהכל משלימין למנין ז' ע"כ וכן כתב רבינו ירוחם (נתיב ב חלק ג דף כ:). ובסימן קל"ה (בסופו) כתבתי בשם הרוקח (סי' שלד) שאין קטן מצטרף לג', ולפי דבריו נראה דלשבעה נמי אינו עולה אלא אחר שקראו ג'. והר"ן (יג. ד"ה הכל) כתב הכל עולין למנין ז' ואפילו קטן פירוש עולין להשלים קאמר ולא שיהיו כולם קטנים ולא נשים דכיון דלאו בני חיובא נינהו לא מפקי לגמרי ולפום עיקר דינא נמי שאינו מברך אלא הפותח והחותם אשה וקטן אין קורין ראשון ואחרון משום ברכה משום דאי אפשר לקורין האחרים שיצאו בברכתם ומיהו השתא דתקון רבנן שיברכו כולם אשה וקטן קורין אפילו ראשון ואחרון וכיון דקורין ודאי מברכין מידי דהוה אקטן דמפטיר בנביא ומברך ברכת ההפטרה עכ"ל</w:t>
      </w:r>
      <w:r>
        <w:rPr>
          <w:rStyle w:val="a9"/>
          <w:rFonts w:cs="Arial"/>
          <w:rtl/>
        </w:rPr>
        <w:footnoteReference w:id="1027"/>
      </w:r>
      <w:r>
        <w:rPr>
          <w:rFonts w:cs="Arial"/>
          <w:rtl/>
        </w:rPr>
        <w:t>:</w:t>
      </w:r>
    </w:p>
    <w:p w14:paraId="22CB6C04"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0FB8CF9" w14:textId="77777777" w:rsidR="004B2E7C" w:rsidRDefault="004B2E7C" w:rsidP="00434A6A">
      <w:pPr>
        <w:rPr>
          <w:rFonts w:asciiTheme="minorBidi" w:hAnsiTheme="minorBidi"/>
          <w:rtl/>
        </w:rPr>
      </w:pPr>
      <w:r>
        <w:rPr>
          <w:rFonts w:asciiTheme="minorBidi" w:hAnsiTheme="minorBidi" w:cs="Arial"/>
          <w:rtl/>
        </w:rPr>
        <w:t xml:space="preserve">הכל עולים למנין שבעה, אפילו אשה וקטן שיודע למי מברכין, אבל אמרו חכמים: אשה לא תקרא בצבור מפני כבוד הצבור. הגה: ואלו דוקא מצטרפים למנין הקרואים, אבל לא שיהיו כולם נשים או קטנים (ר"ן וריב"ש). ודין עבד כנעני כדין אשה, אבל אם אמו מישראל מותר לעלות (הגהות מיימוני פי"ב מהל' תפלה). ואסור לקרות בראש מגולה. ואין איסור לקרות ע"ה נכבד, עשיר וגדול הדור לפני ת"ח, כי אין זה בזיון לת"ח רק כבוד לתורה שמתכבדת באנשים גדולים (א"ז). וממזר מותר לעלות לס"ת (מהר"א מפראג). וע"ל סימן קל"ז מסדר הקרואים. </w:t>
      </w:r>
    </w:p>
    <w:p w14:paraId="7D5C1D25" w14:textId="77777777" w:rsidR="004B2E7C" w:rsidRDefault="004B2E7C" w:rsidP="00434A6A">
      <w:pPr>
        <w:rPr>
          <w:rFonts w:asciiTheme="minorBidi" w:hAnsiTheme="minorBidi"/>
          <w:rtl/>
        </w:rPr>
      </w:pPr>
    </w:p>
    <w:p w14:paraId="51D71BD6" w14:textId="77777777" w:rsidR="004B2E7C" w:rsidRDefault="004B2E7C" w:rsidP="00434A6A">
      <w:pPr>
        <w:pStyle w:val="2"/>
        <w:rPr>
          <w:rtl/>
        </w:rPr>
      </w:pPr>
      <w:r>
        <w:rPr>
          <w:rtl/>
        </w:rPr>
        <w:t>סעיף ד</w:t>
      </w:r>
    </w:p>
    <w:p w14:paraId="4453C346" w14:textId="77777777" w:rsidR="004B2E7C" w:rsidRDefault="004B2E7C" w:rsidP="00434A6A">
      <w:pPr>
        <w:rPr>
          <w:rtl/>
        </w:rPr>
      </w:pPr>
      <w:r>
        <w:rPr>
          <w:rFonts w:cs="Arial"/>
          <w:rtl/>
        </w:rPr>
        <w:t>[ד (א)] ומפטיר מיבעיא אם עולה וכו'. בפרק הקורא עומד (מגילה כג.):</w:t>
      </w:r>
    </w:p>
    <w:p w14:paraId="5C7728CC" w14:textId="77777777" w:rsidR="004B2E7C" w:rsidRDefault="004B2E7C" w:rsidP="00434A6A">
      <w:pPr>
        <w:rPr>
          <w:rtl/>
        </w:rPr>
      </w:pPr>
      <w:r>
        <w:rPr>
          <w:rFonts w:cs="Arial"/>
          <w:rtl/>
        </w:rPr>
        <w:t>ומ"ש ואסיקנא דעולה. לא אסיקנא הכא בגמרא מידי אלא שכתבו הרי"ף (יג.) והרא"ש (סי' ה) דמשמע ממימרא דאביי פרק בני העיר (שם ל.) דעולה וכן הלכה וכן פסק הרמב"ם בפרק י"ב [מהלכות] תפילה (הי"ז):</w:t>
      </w:r>
    </w:p>
    <w:p w14:paraId="6265082D" w14:textId="77777777" w:rsidR="004B2E7C" w:rsidRDefault="004B2E7C" w:rsidP="00434A6A">
      <w:pPr>
        <w:rPr>
          <w:rtl/>
        </w:rPr>
      </w:pPr>
      <w:r>
        <w:rPr>
          <w:rFonts w:cs="Arial"/>
          <w:rtl/>
        </w:rPr>
        <w:t>[ד (ב)] ומ"ש לפיכך נוהגין בתעניות וביום הכפורים במנחה וכו' עד מה שקרא השביעי. הכל דברי התוספות (כג. ד"ה חד) והרא"ש (שם) והמרדכי שם (סי' תתט) בשם רבינו תם ורבינו משולם והגאונים ז"ל וכן כתב סמ"ג סימן י"ט (עשין, קב ע"ד): כתב המרדכי שם אין להקשות על מנהגינו שקטן קורא במוספין דהא קטן עולה למנין שבעה וכל שכן שקורא לפרשת המוספין עכ"ל וכן מצאתי כתוב בתשובה (מהר"ם מראטנבערג ד"פ סוף סי' קי) על מה שהקטן קורא במוספין אין לחוש דלכתחלה עולה למנין שבעה וכל שכן לשמיני של ימים טובים שלא מצינו בתלמוד ושלום, מאיר ב"ר ברוך ע"כ. ובתשובה אשכנזית (שו"ת מהרי"ל סי' קסז) מצאתי כתוב על זה וקצת לבי מגמגם על פרשת זכור: וריב"ש כתב בתשובה (סי' שכו) כתבו בשם רבינו תם שבפרשה שבאה חובה ליום צריך שיקראנה גדול ומה שאמרו הכל עולין למנין שבעה אפילו קטן לא אמרו אלא עולין ר"ל להצטרף למנין שבעה כשיש שם גדולים הקורים אבל שיהו כל הקורים קטנים לא ומה שאמרת שיש מקומות שנהגו כשהמפטיר קטן עולה גדול במקומו וקורא בתורה והמפטיר קורא ההפטרה ואינו קורא בתורה ואף על פי שצריך המפטיר לקרות בתורה היינו משום כבוד התורה והכא הא איכא כבוד התורה כשנאמר המפטיר אינו ראוי לתורה וקורא גדול במקומו וזה הטעם אינו דלעולם מי שקורא ההפטרה צריך לקרות בתורה כי שמא הגדול קרא לתוספת ולעצמו ולא בעד המפטיר ואין כאן כבוד התורה והמנהג ההוא אינו מנהג יפה בעיני והמנהג היפה הוא או במפטיר גדול או שיקרא גדול בחובת היום ויפסיקו בקדיש ויחזור הקטן המפטיר לקרות הפרשה ההיא או ג' פסוקים ממנה משום כבוד התורה ויכול לברך לפניה ולאחריה מידי דהוה אברכות ההפטרה עכ"ל. ואנו לא ראינו מי שנהג כדברי הריב"ש אלא כמנהג אותם מקומות שכתב השואל וגם הוא ז"ל כתב בתשובה (סי' לה) שלא רצו לשמוע לו, וגם בעיני נפלאו דבריו שכתב כי שמא הגדול קרא לתוספת ולעצמו ולא בעד המפטיר, דכיון שהפסיקו בקדיש בין העולים הראשונ[ים] לקריאת גדול זה ליכא למימר דלתוספת עצמו הוא קורא ומוכחא מילתא ודאי דבעד המפטיר הוא קורא: כתב הר"ש בר צמח בתשובה (שו"ת תשב"ץ ח"א סי' קלא) ספר שני שקורא בו המפטיר שנמצא בו טעות אין ספק שצריך להוציא ספר תורה אחר שחובת היום היא ובספר מוטעה לא אפשר ומפטיר שבכל שבת אם נפסל ספר תורה אחר שקראו ז' כגון שנקרע אפשר דכיון דאין קריאת המפטיר אלא מפני כבוד התורה שיספיק בקריאת ג' פסוקים בספר פסול בלא ברכה כדי שלא להטריח הציבור ויש לפקפק בדבר עכ"ל</w:t>
      </w:r>
      <w:r>
        <w:rPr>
          <w:rStyle w:val="a9"/>
          <w:rtl/>
        </w:rPr>
        <w:footnoteReference w:id="1028"/>
      </w:r>
      <w:r>
        <w:rPr>
          <w:rFonts w:cs="Arial"/>
          <w:rtl/>
        </w:rPr>
        <w:t>: וכתבו התוספות עוד (שם כג. ד"ה חד) חזן שטעה וגמר כל הסדר של שבת יחזור ויקרא השביעי</w:t>
      </w:r>
      <w:r>
        <w:rPr>
          <w:rStyle w:val="a9"/>
          <w:rtl/>
        </w:rPr>
        <w:footnoteReference w:id="1029"/>
      </w:r>
      <w:r>
        <w:rPr>
          <w:rFonts w:cs="Arial"/>
          <w:rtl/>
        </w:rPr>
        <w:t>: כתוב בשבלי הלקט (סי' עט) בשם הראב"ד בשבת שיש בו ספר תורה אחד יאמר קדיש עד שלא יקרא המפטיר לפי שאין המפטיר ממנין העולים שאינו קורא בתורה אלא מפני כבוד התורה לפיכך די לו בקדיש שיאמר (אחר) [קודם] ההפטרה ויתערב עם עולי הספר אבל בשבת שיש בו ב' ספרי תורות וכן ביום טוב לא יקדיש החזן עד שיקרא המפטיר בספר תורה השני שאם יקדיש על הראשון ויקרא המפטיר על השני בלא קדיש חוששין אנו לפגם הספר השני ואם תאמר יש לנו גם כן לחוש לפגם הספר הראשון אין לנו לחוש על זה שהכל יודעין שקריאת הספר הראשון שעלו חמשה או ששה או שבעה הוא העיקר וה"ר ישעיה כתב מה שנהגו שהמפטיר קורא המוספין ומפסיק בקדיש בין קריאת התורה לקריאת המפטיר נראה לי שקריאת המוספין אינה חובה שהרי אינה נזכרת בתלמוד ואינה אלא תיקון הגאונים שיקרא המפטיר במוספין לגורסם שליח צבור ויאמר אותם בתוך התפילה ומפני שאינם חובה לא ניתנו לאחד מן הקורים הבאים חובה ליום אלא תקנו שיקראם המפטיר שאינו קורא משום חובה וכיון שאין קריאתו חובה לא חששו אם לא יקרא במה שקרא החמישי אבל ד' פרשיות ופרשת ראש חודש שהם חובה ליום וקובעים הפטרה אחרת אינו דין שיקרא אותם אלא אחד מהז' שהם באים חובה ליום וגם לא להפסיק בקדיש ביניהם שכמו שפרשת היום היא חובה גם זו היא חובה ועודפת עליה שמפסיקין הפטרת פרשת היום ומפטירין בפרשה הנוספת הילכך הטוב והישר הוא לקרות ששה בפרשת היום והשביעי בפרשה הנוספת כמו שמפורש בגמרא (עיי' מגילה כט סוע"ב) ואחר כך אומר קדיש ואחר כך חוזר המפטיר וקורא לכבוד התורה בפרשה הנוספת שקרא הז' כמשפטו בכל שבתות השנה עכ"ל ואף על פי שאין אנו נוהגים כן כתבתי דברים אלו לפי שאם באיזה מקום ימצא שנוהגים כן אין מזחיחין אותם: והריב"ש כתב בתשובה (סי' שכא) מנהגים חלוקים בענין קדיש ביום שמוציאין בו שני ספרים או ג'. ואנו בני ספרד נוהגים לומר קדיש בין ספר ראשון לשני וחוזרים ואומרים קדיש אחר קריאת ספר שני ובראש חודש טבת שחל להיות בשבת שמוציאין ג' ספרים אין אומרים קדיש אחר ספר ראשון לפי שאין קורין בו אלא ששה וכיון שלא גמרו לקרות חובת היום שהם שבעה אין לומר קדיש עד אחר ספר שני וכן חוזרים ואומרים קדיש אחר ספר שלישי והוא דעת הרא"ש פרק הקורא עומד (סי' ה) וכן כתב רבינו ירוחם (נתיב ט חלק ב) והר"ד אבודרהם (ע' רג) בשם גאון</w:t>
      </w:r>
      <w:r>
        <w:rPr>
          <w:rStyle w:val="a9"/>
          <w:rtl/>
        </w:rPr>
        <w:footnoteReference w:id="1030"/>
      </w:r>
      <w:r>
        <w:rPr>
          <w:rFonts w:cs="Arial"/>
          <w:rtl/>
        </w:rPr>
        <w:t>, וביום אחרון של חג שמוציאין ג' ספרים אף על פי שקורין בראשון יותר משבעה אין אומרים קדיש עד אחר ספר שני שלא לחלק בימים שמוציאים ג' ספרים בין זה לזה ועוד דכיון דטעמא דקרינן פרשת בראשית הוא כדי שלא ליתן פתחון פה לשטן לומר סיימו את התורה ואינם חפצים לקרות עוד אין להפסיק ביניהם כלל:</w:t>
      </w:r>
    </w:p>
    <w:p w14:paraId="58F7A008"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EC32C26" w14:textId="77777777" w:rsidR="004B2E7C" w:rsidRDefault="004B2E7C" w:rsidP="00434A6A">
      <w:pPr>
        <w:rPr>
          <w:rFonts w:asciiTheme="minorBidi" w:hAnsiTheme="minorBidi" w:cs="Arial"/>
          <w:rtl/>
        </w:rPr>
      </w:pPr>
      <w:r>
        <w:rPr>
          <w:rFonts w:asciiTheme="minorBidi" w:hAnsiTheme="minorBidi" w:cs="Arial"/>
          <w:rtl/>
        </w:rPr>
        <w:t>נוהגים לקרות שבעה ולגמור עמהם הפרשה ואומר קדיש, וחוזר וקורא עם המפטיר מה שקרא השביעי. הגה: וכן נוהגים ביום טוב שאין מפטיר ממנין הקרואים, אבל בחול שאסור להוסיף על מנין הקרואים, השלישי הוא מפטיר. וביום שמוציאין ב' ספרים או ג', המפטיר קורא באחרונה. וקטן יכול לקרות בפרשת המוספין או בד' פרשיות שמוסיפין באדר, וכן נוהגים (ר"ן ומרדכי פרק ב' דמגילה), אף על פי שיש חולקים. ואומרים קדיש קודם שעולה המפטיר, ואין חילוק בזה בין הוסיפו על מנין הקרואים או לא ובין מוציאין ס"ת א' או ג' (ב"י בשם הר"ר ישעיה והרא"ש ורבינו ירוחם).</w:t>
      </w:r>
    </w:p>
    <w:p w14:paraId="10816E19" w14:textId="77777777" w:rsidR="004B2E7C" w:rsidRDefault="004B2E7C" w:rsidP="00434A6A">
      <w:pPr>
        <w:rPr>
          <w:rFonts w:asciiTheme="minorBidi" w:hAnsiTheme="minorBidi"/>
          <w:rtl/>
        </w:rPr>
      </w:pPr>
      <w:r>
        <w:rPr>
          <w:rFonts w:asciiTheme="minorBidi" w:hAnsiTheme="minorBidi" w:cs="Arial"/>
          <w:rtl/>
        </w:rPr>
        <w:t xml:space="preserve"> </w:t>
      </w:r>
    </w:p>
    <w:p w14:paraId="506962B6" w14:textId="77777777" w:rsidR="004B2E7C" w:rsidRDefault="004B2E7C" w:rsidP="00434A6A">
      <w:pPr>
        <w:pStyle w:val="2"/>
        <w:rPr>
          <w:rtl/>
        </w:rPr>
      </w:pPr>
      <w:r>
        <w:rPr>
          <w:rtl/>
        </w:rPr>
        <w:t>סעיף ה</w:t>
      </w:r>
    </w:p>
    <w:p w14:paraId="75FCD1B5" w14:textId="77777777" w:rsidR="004B2E7C" w:rsidRDefault="004B2E7C" w:rsidP="00434A6A">
      <w:pPr>
        <w:rPr>
          <w:rtl/>
        </w:rPr>
      </w:pPr>
      <w:r>
        <w:rPr>
          <w:rFonts w:cs="Arial"/>
          <w:rtl/>
        </w:rPr>
        <w:t>[ה] כתב הריב"ש בתשובה (סימן קיב) אם לא נמצא מי שיודע להפטיר אלא אחד מאותם שעלו לקרות בתורה וכבר אמר השליח צבור קדיש אחר קריאת הפרשה זה שרוצה להפטיר צריך לחזור ולקרות מפני כבוד התורה ויברך על קריאתו תחלה וסוף דהא איכא למיגזר משום הנכנסים שלא ראוהו קורא בתורה ובשלמא אם המפטיר הוא אותו שקרא אחרון היה אפשר לומר שלא יחזור לקרות ולברך אף על פי שהפסיקו בקדיש בין קריאת התורה לקריאת ההפטרה דבזמן מועט לא חיישינן משום הנכנסים וגם בזה יש לדון כיון שאין דרך להפסיק בקדיש בין קריאת המפטיר בתורה לקריאתו ההפטרה אבל כשאחד מן העולים האחרים הוא מפטיר אין ספק אצלי שצריך לחזור לקרות ולברך עכ"ל:</w:t>
      </w:r>
      <w:r>
        <w:rPr>
          <w:rStyle w:val="a9"/>
          <w:rtl/>
        </w:rPr>
        <w:footnoteReference w:id="1031"/>
      </w:r>
    </w:p>
    <w:p w14:paraId="7F05F4AD"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2888EA8" w14:textId="77777777" w:rsidR="004B2E7C" w:rsidRDefault="004B2E7C" w:rsidP="00434A6A">
      <w:pPr>
        <w:rPr>
          <w:rFonts w:asciiTheme="minorBidi" w:hAnsiTheme="minorBidi"/>
          <w:rtl/>
        </w:rPr>
      </w:pPr>
      <w:r>
        <w:rPr>
          <w:rFonts w:asciiTheme="minorBidi" w:hAnsiTheme="minorBidi" w:cs="Arial"/>
          <w:rtl/>
        </w:rPr>
        <w:t xml:space="preserve">אם לא נמצא מי שיודע להפטיר אלא אחד מאותם שעלו לקרות בתורה, וכבר אמר ש"צ קדיש אחר קריאת הפרשה, זה שרוצה להפטיר צריך לחזור ולקרות ויברך על קריאתו תחלה וסוף. הגה: אבל אם לא אמר קדיש, יפטיר מי שעלה לשביעי אם יודע, ואם יש אחרים שיודעים להפטיר לא יפטיר מי שעלה כבר (א"ז). </w:t>
      </w:r>
    </w:p>
    <w:p w14:paraId="6BD5759B" w14:textId="77777777" w:rsidR="004B2E7C" w:rsidRDefault="004B2E7C" w:rsidP="00434A6A">
      <w:pPr>
        <w:pStyle w:val="2"/>
        <w:rPr>
          <w:rtl/>
        </w:rPr>
      </w:pPr>
      <w:r>
        <w:rPr>
          <w:rtl/>
        </w:rPr>
        <w:t>סעיף ו</w:t>
      </w:r>
    </w:p>
    <w:p w14:paraId="770DAC73" w14:textId="77777777" w:rsidR="004B2E7C" w:rsidRDefault="004B2E7C" w:rsidP="00434A6A">
      <w:pPr>
        <w:rPr>
          <w:rtl/>
        </w:rPr>
      </w:pPr>
      <w:r>
        <w:rPr>
          <w:rFonts w:cs="Arial"/>
          <w:rtl/>
        </w:rPr>
        <w:t>[ו] כתב הר"מ מרוטנבורק שאם טעה שליח צבור וכו'. כן כתב המרדכי בהלכות קטנות סוף פרק הקומץ (סי' תתקסט) והכל בו בסימן כ' (י ע"ג), ושבלי הלקט (סי' עז) כתב בשם מסכת סופרים (פי"א ה"ד) החזן שהוא קורא בתורה פחות מז' כסבור שקרא ז' יחזור ויקרא וימלא ז' קריאות:</w:t>
      </w:r>
    </w:p>
    <w:p w14:paraId="629D9C67"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3861985" w14:textId="77777777" w:rsidR="004B2E7C" w:rsidRDefault="004B2E7C" w:rsidP="00434A6A">
      <w:pPr>
        <w:rPr>
          <w:rFonts w:asciiTheme="minorBidi" w:hAnsiTheme="minorBidi"/>
          <w:rtl/>
        </w:rPr>
      </w:pPr>
      <w:r>
        <w:rPr>
          <w:rFonts w:asciiTheme="minorBidi" w:hAnsiTheme="minorBidi" w:cs="Arial"/>
          <w:rtl/>
        </w:rPr>
        <w:t xml:space="preserve">אם טעה ש"צ וסיים הפרשה עם הששי ואמר קדיש, א"צ לקרות עוד אחר אלא יקרא עם המפטיר מה שקרא עם הששי, דקי"ל מפטיר עולה למנין שבעה. </w:t>
      </w:r>
    </w:p>
    <w:p w14:paraId="5A8DF80E" w14:textId="77777777" w:rsidR="004B2E7C" w:rsidRDefault="004B2E7C" w:rsidP="00434A6A">
      <w:pPr>
        <w:rPr>
          <w:rFonts w:asciiTheme="minorBidi" w:hAnsiTheme="minorBidi"/>
          <w:rtl/>
        </w:rPr>
      </w:pPr>
    </w:p>
    <w:p w14:paraId="13720AC7" w14:textId="77777777" w:rsidR="004B2E7C" w:rsidRDefault="004B2E7C" w:rsidP="00434A6A">
      <w:pPr>
        <w:pStyle w:val="2"/>
        <w:rPr>
          <w:rtl/>
        </w:rPr>
      </w:pPr>
      <w:r>
        <w:rPr>
          <w:rtl/>
        </w:rPr>
        <w:t>סעיף ז</w:t>
      </w:r>
    </w:p>
    <w:p w14:paraId="19143808" w14:textId="77777777" w:rsidR="004B2E7C" w:rsidRDefault="004B2E7C" w:rsidP="00434A6A">
      <w:pPr>
        <w:rPr>
          <w:rtl/>
        </w:rPr>
      </w:pPr>
      <w:r>
        <w:rPr>
          <w:rFonts w:cs="Arial"/>
          <w:rtl/>
        </w:rPr>
        <w:t>[ז] כתוב בהגהות מיימון פרק י"ב מהלכות תפילה (אות מ) אם קרא ודילג פסוק אחד ולא קראו אם הוא במנחה בשבת או בשני וחמישי וקרא עשרה הפסוקים בלא פסוק המדולג אינו חוזר ואם לאו חוזר אבל בשבת אפילו דילג פסוק אחד חוזר וקורא הוא ושנים עמו ואפילו הפטיר והתפלל מוסף מפסיק מיד וקורא והם דברי מסכת סופרים פי"א (ה"ו):</w:t>
      </w:r>
    </w:p>
    <w:p w14:paraId="37B6462D"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6AEF9D2" w14:textId="77777777" w:rsidR="004B2E7C" w:rsidRDefault="004B2E7C" w:rsidP="00434A6A">
      <w:pPr>
        <w:rPr>
          <w:rFonts w:asciiTheme="minorBidi" w:hAnsiTheme="minorBidi"/>
          <w:rtl/>
        </w:rPr>
      </w:pPr>
      <w:r>
        <w:rPr>
          <w:rFonts w:asciiTheme="minorBidi" w:hAnsiTheme="minorBidi" w:cs="Arial"/>
          <w:rtl/>
        </w:rPr>
        <w:t>קרא הפרשה בתפלת שחרית בשבת ודילג פסוק אחד, חוזר וקורא הוא ושנים עמו; ואפילו הפטיר והתפלל מוסף, חוזר וקורא.</w:t>
      </w:r>
    </w:p>
    <w:p w14:paraId="61B2E672" w14:textId="77777777" w:rsidR="004B2E7C" w:rsidRDefault="004B2E7C" w:rsidP="00434A6A">
      <w:pPr>
        <w:rPr>
          <w:rFonts w:asciiTheme="minorBidi" w:hAnsiTheme="minorBidi"/>
          <w:rtl/>
        </w:rPr>
      </w:pPr>
    </w:p>
    <w:p w14:paraId="273F989B" w14:textId="77777777" w:rsidR="004B2E7C" w:rsidRDefault="004B2E7C" w:rsidP="00434A6A">
      <w:pPr>
        <w:rPr>
          <w:rFonts w:asciiTheme="minorBidi" w:hAnsiTheme="minorBidi"/>
          <w:rtl/>
        </w:rPr>
      </w:pPr>
    </w:p>
    <w:p w14:paraId="4DCE2915"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52"/>
          <w:footnotePr>
            <w:numRestart w:val="eachSect"/>
          </w:footnotePr>
          <w:pgSz w:w="11906" w:h="16838"/>
          <w:pgMar w:top="720" w:right="1134" w:bottom="720" w:left="1134" w:header="0" w:footer="0" w:gutter="0"/>
          <w:cols w:space="720"/>
          <w:bidi/>
          <w:rtlGutter/>
        </w:sectPr>
      </w:pPr>
    </w:p>
    <w:p w14:paraId="790ADBFF" w14:textId="77777777" w:rsidR="004B2E7C" w:rsidRDefault="004B2E7C" w:rsidP="00434A6A">
      <w:pPr>
        <w:pStyle w:val="1"/>
        <w:rPr>
          <w:rtl/>
        </w:rPr>
      </w:pPr>
      <w:r>
        <w:rPr>
          <w:rtl/>
        </w:rPr>
        <w:t xml:space="preserve">סימן רפג: למה אין מוציאין שני ספרי תורה בשבת, ובו סעיף אחד. </w:t>
      </w:r>
    </w:p>
    <w:p w14:paraId="30A6CFE1" w14:textId="77777777" w:rsidR="004B2E7C" w:rsidRDefault="004B2E7C" w:rsidP="00434A6A">
      <w:pPr>
        <w:pStyle w:val="2"/>
        <w:rPr>
          <w:rtl/>
        </w:rPr>
      </w:pPr>
      <w:r>
        <w:rPr>
          <w:rtl/>
        </w:rPr>
        <w:t>סעיף א</w:t>
      </w:r>
    </w:p>
    <w:p w14:paraId="0A81C987" w14:textId="77777777" w:rsidR="004B2E7C" w:rsidRDefault="004B2E7C" w:rsidP="00FF2D21">
      <w:pPr>
        <w:pStyle w:val="aa"/>
        <w:numPr>
          <w:ilvl w:val="0"/>
          <w:numId w:val="121"/>
        </w:numPr>
        <w:rPr>
          <w:rFonts w:cs="Arial"/>
          <w:rtl/>
        </w:rPr>
      </w:pPr>
      <w:r>
        <w:rPr>
          <w:rFonts w:cs="Arial"/>
          <w:rtl/>
        </w:rPr>
        <w:t>טור- מה שאין מוציאין בשבת ב' ספרים לקרות המוספין וביום השבת וגו' כמו שקורין בי"ט פרשת קרבנות המוספין לפי שאין בפרשת קרבנות מוסף שבת רק ב' פסוקים ואין לקרות אלא מענינו של יום ועוד טעם אחר דאיתא במס' תענית (כז ב) אמר הקדוש ברוך הוא לאברהם תקנתי להם סדר קרבנות בזמן שקורין אותם לפני מעלה אני עליהם כאילו הקריבום לפני ומוחל אני על כל עונותם ובמוסף שבת אין קרבן לכפר שכולם עולות (וזהו רצית קרבנותיה למה רצית קרבנותיה לפי ששאר יום טוב כולן באין חטאת ובשבת כולן באין עולות):</w:t>
      </w:r>
    </w:p>
    <w:p w14:paraId="301CEAE7" w14:textId="77777777" w:rsidR="004B2E7C" w:rsidRDefault="004B2E7C" w:rsidP="00434A6A">
      <w:pPr>
        <w:rPr>
          <w:rtl/>
        </w:rPr>
      </w:pPr>
      <w:r>
        <w:rPr>
          <w:rFonts w:cs="Arial"/>
          <w:rtl/>
        </w:rPr>
        <w:t>מה שאין מוציאין בשבת ב' ספרים וכו'. כן כתבו התוספות (ד"ה כיון) והרא"ש (סי' ה) בפרק הקורא את המגילה עומד (כג.) והמרדכי (סי' תתלא, יט ע"ג) והר"ן (י: ד"ה ומדאמרינן) בפרק בני העיר, ועוד כתבו התוספות (שם) טעם אחר לפי שצריך להפטיר בכל שבת מעניינו של יום ואי קרינן בשל שבת אם כן יהא צריך להפטיר בדסליק מיניה והיינו בשבת ואם כן יהיו כל ההפטרות מענין אחד:</w:t>
      </w:r>
    </w:p>
    <w:p w14:paraId="606C75DC"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BF25FE0" w14:textId="77777777" w:rsidR="004B2E7C" w:rsidRDefault="004B2E7C" w:rsidP="00434A6A">
      <w:pPr>
        <w:rPr>
          <w:rFonts w:asciiTheme="minorBidi" w:hAnsiTheme="minorBidi"/>
          <w:rtl/>
        </w:rPr>
      </w:pPr>
      <w:r>
        <w:rPr>
          <w:rFonts w:asciiTheme="minorBidi" w:hAnsiTheme="minorBidi" w:cs="Arial"/>
          <w:rtl/>
        </w:rPr>
        <w:t>מה שאין מוציאין בשבת ספר שני לקרות פרשת המוספים, מפני שאין בה אלא שני פסוקים.</w:t>
      </w:r>
    </w:p>
    <w:p w14:paraId="5C54DDE1" w14:textId="77777777" w:rsidR="004B2E7C" w:rsidRDefault="004B2E7C" w:rsidP="00434A6A">
      <w:pPr>
        <w:rPr>
          <w:rFonts w:asciiTheme="minorBidi" w:hAnsiTheme="minorBidi"/>
          <w:rtl/>
        </w:rPr>
      </w:pPr>
    </w:p>
    <w:p w14:paraId="3ED0E1D9" w14:textId="77777777" w:rsidR="004B2E7C" w:rsidRDefault="004B2E7C" w:rsidP="00434A6A">
      <w:pPr>
        <w:rPr>
          <w:rFonts w:asciiTheme="minorBidi" w:hAnsiTheme="minorBidi"/>
          <w:rtl/>
        </w:rPr>
      </w:pPr>
    </w:p>
    <w:p w14:paraId="6E7504E4"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53"/>
          <w:footnotePr>
            <w:numRestart w:val="eachSect"/>
          </w:footnotePr>
          <w:pgSz w:w="11906" w:h="16838"/>
          <w:pgMar w:top="720" w:right="1134" w:bottom="720" w:left="1134" w:header="0" w:footer="0" w:gutter="0"/>
          <w:cols w:space="720"/>
          <w:bidi/>
          <w:rtlGutter/>
        </w:sectPr>
      </w:pPr>
    </w:p>
    <w:p w14:paraId="1A498E79" w14:textId="77777777" w:rsidR="004B2E7C" w:rsidRDefault="004B2E7C" w:rsidP="00434A6A">
      <w:pPr>
        <w:pStyle w:val="1"/>
        <w:rPr>
          <w:rtl/>
        </w:rPr>
      </w:pPr>
      <w:r>
        <w:rPr>
          <w:rtl/>
        </w:rPr>
        <w:t xml:space="preserve">סימן רפד: דיני הפטרה וברכותיה, ובו ז' סעיפים. </w:t>
      </w:r>
    </w:p>
    <w:p w14:paraId="12EB8450" w14:textId="77777777" w:rsidR="004B2E7C" w:rsidRDefault="004B2E7C" w:rsidP="00434A6A">
      <w:pPr>
        <w:pStyle w:val="2"/>
        <w:rPr>
          <w:rtl/>
        </w:rPr>
      </w:pPr>
      <w:r>
        <w:rPr>
          <w:rtl/>
        </w:rPr>
        <w:t>סעיף א</w:t>
      </w:r>
    </w:p>
    <w:p w14:paraId="703FA80F" w14:textId="77777777" w:rsidR="004B2E7C" w:rsidRDefault="004B2E7C" w:rsidP="00FF2D21">
      <w:pPr>
        <w:pStyle w:val="aa"/>
        <w:numPr>
          <w:ilvl w:val="0"/>
          <w:numId w:val="121"/>
        </w:numPr>
        <w:rPr>
          <w:rtl/>
        </w:rPr>
      </w:pPr>
      <w:r>
        <w:rPr>
          <w:rtl/>
        </w:rPr>
        <w:t xml:space="preserve">טור- </w:t>
      </w:r>
      <w:r>
        <w:rPr>
          <w:rFonts w:cs="Arial"/>
          <w:rtl/>
        </w:rPr>
        <w:t>ומפטירין בנביא מענינה של פרשה ואין פוחתין מכ"א פסוקים</w:t>
      </w:r>
      <w:r>
        <w:rPr>
          <w:rStyle w:val="a9"/>
          <w:rFonts w:cs="Arial"/>
          <w:rtl/>
        </w:rPr>
        <w:footnoteReference w:id="1032"/>
      </w:r>
      <w:r>
        <w:rPr>
          <w:rFonts w:cs="Arial"/>
          <w:rtl/>
        </w:rPr>
        <w:t xml:space="preserve"> כנגד ז' שקראו בתורה שאין פוחתין לכל אחד מג' פסוקים ואי סליק ענינא בבציר מכ"א פסוקים כגון עולותיכם ספו על זבחיכם לא בעינן כ"א ואי איכא תורגמן אפי' לא קרא אלא י' פסוקים שפיר דמי שכל אחד חשוב כשנים הוא ותרגומו והאחרון חשוב כשלשה לפי שאחר שתרגמו המתרגם חוזר וקורא אותו פעם שנית:</w:t>
      </w:r>
    </w:p>
    <w:p w14:paraId="551F2DBA" w14:textId="77777777" w:rsidR="004B2E7C" w:rsidRDefault="004B2E7C" w:rsidP="00FF2D21">
      <w:pPr>
        <w:pStyle w:val="aa"/>
        <w:numPr>
          <w:ilvl w:val="0"/>
          <w:numId w:val="121"/>
        </w:numPr>
        <w:rPr>
          <w:rtl/>
        </w:rPr>
      </w:pPr>
      <w:r>
        <w:rPr>
          <w:rFonts w:cs="Arial"/>
          <w:rtl/>
        </w:rPr>
        <w:t>ותקנו למפטיר ז' ברכות כנגד ז' שקראו בתורה ג' לפני ההפטרה וארבעה לאחריה שלש שלפניה ב' מהם על קריאת התורה ואחד שלפני ההפטרה אשר בחר בנביאים טובים וכו' ופותחת וחותמת בברוך וד' לאחריה הראשונה פותחת בברוך וחותמת בברוך ומה שמפסיקין כשמגיעין לכל דבריו אמת וצדק לא מפני שהוא סיום ברכה שהרי לא תקנו אלא ז' ואם הוא סוף ברכה א"כ הוה להו ח' אלא כדאיתא במסכת סופרים שהיו נוהגין לומר שם דברי שבח וריצוי. שנייה רחם והיא חותמת בברוך ואינה פותחת בברוך כדין ברכה הסמוכה לחבירתה וכן השלישית שהיא שמחנו וחותם בא"י מגן דוד כדאיתא בפרק ערבי פסחים (קיז ב) דבצלותא מצמיח קרן ישועה דאפטרתא מגן דוד:</w:t>
      </w:r>
    </w:p>
    <w:p w14:paraId="282A102A" w14:textId="77777777" w:rsidR="004B2E7C" w:rsidRDefault="004B2E7C" w:rsidP="00FF2D21">
      <w:pPr>
        <w:pStyle w:val="aa"/>
        <w:numPr>
          <w:ilvl w:val="0"/>
          <w:numId w:val="121"/>
        </w:numPr>
        <w:rPr>
          <w:rtl/>
        </w:rPr>
      </w:pPr>
      <w:r>
        <w:rPr>
          <w:rFonts w:cs="Arial"/>
          <w:rtl/>
        </w:rPr>
        <w:t>הרביעית על התורה וחותם בא"י מקדש השבת ואם חל ר"ח בשבת פר"י שאין המפטיר צריך להזכיר של ר"ח וה"ר יונה פי' שצריך להזכיר ולומר את יום המנוחה הזה ואת יום ר"ח הזה אבל אין צריך לחתום בשל ר"ח ויכוין כל אדם לברכת הקורא בתורה ולברכת המפטיר שאין מתפללין בשבת י"ח ברכות וחסר הרבה ממאה ברכות ומי שיכוין לאלו הברכות ויענה אחריהם אמן יהא לו בהם תשלומין וקטן יכול להפטיר כדתנן המפטיר בנביא הוא פורס על שמע ואם היה קטן אביו או רבו פורסין על ידו ומחזירים ס"ת למקומה ונוהגים לומר בספרד מזמור הבו לה' בני אלים כשמחזירין הספר מפני שנאמר על מתן תורה וגם ז' ברכות של שבת נתקנו כנגד שבעה קולות שנאמרו בו:</w:t>
      </w:r>
    </w:p>
    <w:p w14:paraId="70BADBB2" w14:textId="77777777" w:rsidR="004B2E7C" w:rsidRDefault="004B2E7C" w:rsidP="00434A6A">
      <w:r>
        <w:rPr>
          <w:rFonts w:cs="Arial"/>
          <w:rtl/>
        </w:rPr>
        <w:t>[א (א)] ומפטירין בנביא וכו' ואין פוחתין מכ"א פסוקים וכו' עד וקורא אותו פעם שנית וכו'. בפרק הקורא את המגילה עומד (מגילה כג.):</w:t>
      </w:r>
    </w:p>
    <w:p w14:paraId="4B8B1D98" w14:textId="77777777" w:rsidR="004B2E7C" w:rsidRDefault="004B2E7C" w:rsidP="00434A6A">
      <w:pPr>
        <w:rPr>
          <w:rtl/>
        </w:rPr>
      </w:pPr>
      <w:r>
        <w:rPr>
          <w:rFonts w:cs="Arial"/>
          <w:rtl/>
        </w:rPr>
        <w:t>ותקנו למפטיר ז' ברכות. הכי איתא במסכת סופרים (פי"ד ה"א):</w:t>
      </w:r>
    </w:p>
    <w:p w14:paraId="32FB39A5" w14:textId="77777777" w:rsidR="004B2E7C" w:rsidRDefault="004B2E7C" w:rsidP="00434A6A">
      <w:pPr>
        <w:rPr>
          <w:rtl/>
        </w:rPr>
      </w:pPr>
      <w:r>
        <w:rPr>
          <w:rFonts w:cs="Arial"/>
          <w:rtl/>
        </w:rPr>
        <w:t>ומ"ש ומה שמפסיקין כשמגיעין לכל דבריו האמת והצדק לא מפני שהוא סיום ברכה וכו'. כן כתבו התוספות פרק ערבי פסחים עלה ק"ד (ע"ב ד"ה חוץ):</w:t>
      </w:r>
    </w:p>
    <w:p w14:paraId="6ADF3838" w14:textId="77777777" w:rsidR="004B2E7C" w:rsidRDefault="004B2E7C" w:rsidP="00434A6A">
      <w:pPr>
        <w:rPr>
          <w:rtl/>
        </w:rPr>
      </w:pPr>
      <w:r>
        <w:rPr>
          <w:rFonts w:cs="Arial"/>
          <w:rtl/>
        </w:rPr>
        <w:t>[א (ב)] כתוב בתשובות (הרשב"א המיוחסות) להרמב"ן סימן קצ"ט לקרות ההפטרה במקום שאין ספר תורה פירוש שלא קראו בספר תורה אסור שלא נתקנה אלא אחר קריאת ספר תורה ושיקרא בתורה ואחר כך בנביא עכ"ל ונראה דהיינו להפטיר ולברך אבל אם רצה להפטיר בלא ברכה מפטיר ואין בכך כלום. ובתשובת הרשב"א שכתב הכל בו (סו"ס כ) על איסור קריאה בספר תורה פסול כתוב ובהפטרה ששאלת א"א שאין מקפידין בה ומברכין על הקריאה אפילו בלא ספר עכ"ל, ונראה שטעות סופר יש בה וצריך להגיה אפשר במקום א"א, ומיהו דוקא במקום שקראו בתורה ואף על פי שהספר תורה פסול אבל אם לא קראו כלל בתורה נראה שאין מפטירין בברכה וכדברי תשובה להרמב"ן:</w:t>
      </w:r>
    </w:p>
    <w:p w14:paraId="107CAEEA"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A4EF025" w14:textId="77777777" w:rsidR="004B2E7C" w:rsidRDefault="004B2E7C" w:rsidP="00434A6A">
      <w:pPr>
        <w:rPr>
          <w:rFonts w:asciiTheme="minorBidi" w:hAnsiTheme="minorBidi"/>
          <w:rtl/>
        </w:rPr>
      </w:pPr>
      <w:r>
        <w:rPr>
          <w:rFonts w:asciiTheme="minorBidi" w:hAnsiTheme="minorBidi" w:cs="Arial"/>
          <w:rtl/>
        </w:rPr>
        <w:t xml:space="preserve">מפטירין בנביא מענינה של פרשה. ואין פוחתין מכ"א פסוקים, אא"כ סליק ענינא בבציר מהכי כגון: עולותיכם ספו על זבחיכם (ירמיהו ז, כא). הגה: ודוקא בשבת בעינן כ"א פסוקים, ג"פ לכל א' מן הקרואים, אבל ביום טוב שקורין ה' סגי בט"ו פסוקים (מהר"ם פאדוא"ה). ולא נתקנה ההפטרה רק בצבור, אחר שקראו בתורה (תשובת הרמב"ן סימן קצ"ט), אבל בלאו הכי אסור לקרות עם הברכות שלפניה ולאחריה, אבל בלא ברכה שרי (ב"י). </w:t>
      </w:r>
    </w:p>
    <w:p w14:paraId="615F8A90" w14:textId="77777777" w:rsidR="004B2E7C" w:rsidRDefault="004B2E7C" w:rsidP="00434A6A">
      <w:pPr>
        <w:rPr>
          <w:rFonts w:asciiTheme="minorBidi" w:hAnsiTheme="minorBidi"/>
          <w:rtl/>
        </w:rPr>
      </w:pPr>
    </w:p>
    <w:p w14:paraId="2953AF53" w14:textId="77777777" w:rsidR="004B2E7C" w:rsidRDefault="004B2E7C" w:rsidP="00434A6A">
      <w:pPr>
        <w:pStyle w:val="2"/>
        <w:rPr>
          <w:rtl/>
        </w:rPr>
      </w:pPr>
      <w:r>
        <w:rPr>
          <w:rtl/>
        </w:rPr>
        <w:t>סעיף ב</w:t>
      </w:r>
    </w:p>
    <w:p w14:paraId="0A79C40B" w14:textId="77777777" w:rsidR="004B2E7C" w:rsidRDefault="004B2E7C" w:rsidP="00434A6A">
      <w:pPr>
        <w:rPr>
          <w:rtl/>
        </w:rPr>
      </w:pPr>
      <w:r>
        <w:rPr>
          <w:rFonts w:cs="Arial"/>
          <w:rtl/>
        </w:rPr>
        <w:t>[ב] ואם חל ראש חדש בשבת וכו'. בפרק במה מדליקין (כד.) אמר רב גידל אמר רב ראש חדש שחל להיות בשבת המפטיר בנביא אינו צריך להזכיר של ראש חדש שאלמלא שבת אין נביא בראש חדש ובתר הכי (ע"ב) אמרינן לית הלכתא ככל הני שמעתתא ופירש רש"י דאהא דרב גידל נמי קאי דלית הלכתא כוותיה אלא המפטיר מזכיר של ראש חדש וכן כתב הרי"ף (שם יא.), וכתבו הרא"ש (שם סי' טז) והר"ן (שם ד"ה והא) שה"ר יונה סובר כדברי הרי"ף דאידחיא לה דרב גידל ומיהו אינו חותם בשל ראש חדש שלא יהא יפה כח ההפטרה בראש חדש יותר מג' תפילות הקבועות הילכך אינו חותם בראש חדש אלא שמזכירו ואומר על התורה ועל העבודה ועל יום המנוח ויום ראש חדש הזה וכך הם דברי הרמב"ם בפרק י"ב מהלכות תפלה (הט"ו), אבל התוספות (שם ד"ה ולית) כתבו דמאי דאמרינן לית הלכתא ככל הני שמעתתא לא קאי אדרב גידל דבההיא כולי עלמא מודו כיון דליכא נביא בראש חדש והעולם נהגו כדברי התוספות:</w:t>
      </w:r>
    </w:p>
    <w:p w14:paraId="7C629902"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D94D8B6" w14:textId="77777777" w:rsidR="004B2E7C" w:rsidRDefault="004B2E7C" w:rsidP="00434A6A">
      <w:pPr>
        <w:rPr>
          <w:rFonts w:asciiTheme="minorBidi" w:hAnsiTheme="minorBidi"/>
          <w:rtl/>
        </w:rPr>
      </w:pPr>
      <w:r>
        <w:rPr>
          <w:rFonts w:asciiTheme="minorBidi" w:hAnsiTheme="minorBidi" w:cs="Arial"/>
          <w:rtl/>
        </w:rPr>
        <w:t xml:space="preserve">אם חל ר"ח בשבת, אין המפטיר מזכיר של ר"ח כלל. וי"א שאע"פ שאינו מזכיר בחתימה של ר"ח, מזכירין אותו בתוך הברכה שאומר את יום המנוח הזה ואת יום ר"ח הזה, והמנהג כסברא הראשונה. </w:t>
      </w:r>
    </w:p>
    <w:p w14:paraId="024AA90B" w14:textId="77777777" w:rsidR="004B2E7C" w:rsidRDefault="004B2E7C" w:rsidP="00434A6A">
      <w:pPr>
        <w:rPr>
          <w:rFonts w:asciiTheme="minorBidi" w:hAnsiTheme="minorBidi"/>
          <w:rtl/>
        </w:rPr>
      </w:pPr>
    </w:p>
    <w:p w14:paraId="0543C645" w14:textId="77777777" w:rsidR="004B2E7C" w:rsidRDefault="004B2E7C" w:rsidP="00434A6A">
      <w:pPr>
        <w:pStyle w:val="2"/>
        <w:rPr>
          <w:rtl/>
        </w:rPr>
      </w:pPr>
      <w:r>
        <w:rPr>
          <w:rtl/>
        </w:rPr>
        <w:t>סעיף ג</w:t>
      </w:r>
    </w:p>
    <w:p w14:paraId="1419EC2F" w14:textId="77777777" w:rsidR="004B2E7C" w:rsidRDefault="004B2E7C" w:rsidP="00434A6A">
      <w:pPr>
        <w:rPr>
          <w:rtl/>
        </w:rPr>
      </w:pPr>
      <w:r>
        <w:rPr>
          <w:rFonts w:cs="Arial"/>
          <w:rtl/>
        </w:rPr>
        <w:t>[ג] ויכוין כל אדם לברכת הקורא בתורה וכו'. כן כתב הרא"ש בסוף ברכות (פ"ט סי' כד):</w:t>
      </w:r>
    </w:p>
    <w:p w14:paraId="41868A80"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17C2D5F" w14:textId="77777777" w:rsidR="004B2E7C" w:rsidRDefault="004B2E7C" w:rsidP="00434A6A">
      <w:pPr>
        <w:rPr>
          <w:rFonts w:asciiTheme="minorBidi" w:hAnsiTheme="minorBidi"/>
          <w:rtl/>
        </w:rPr>
      </w:pPr>
      <w:r>
        <w:rPr>
          <w:rFonts w:asciiTheme="minorBidi" w:hAnsiTheme="minorBidi" w:cs="Arial"/>
          <w:rtl/>
        </w:rPr>
        <w:t xml:space="preserve">צריך לכוין לברכות הקוראים בתורה ולברכות המפטיר ויענה אחריהם אמן, ויעלו לו להשלים מנין מאה ברכות שחיסר מנינם בשבת. </w:t>
      </w:r>
    </w:p>
    <w:p w14:paraId="73E58800" w14:textId="77777777" w:rsidR="004B2E7C" w:rsidRDefault="004B2E7C" w:rsidP="00434A6A">
      <w:pPr>
        <w:rPr>
          <w:rFonts w:asciiTheme="minorBidi" w:hAnsiTheme="minorBidi"/>
          <w:rtl/>
        </w:rPr>
      </w:pPr>
    </w:p>
    <w:p w14:paraId="479F56D2" w14:textId="77777777" w:rsidR="004B2E7C" w:rsidRDefault="004B2E7C" w:rsidP="00434A6A">
      <w:pPr>
        <w:pStyle w:val="2"/>
        <w:rPr>
          <w:rtl/>
        </w:rPr>
      </w:pPr>
      <w:r>
        <w:rPr>
          <w:rtl/>
        </w:rPr>
        <w:t>סעיף ד</w:t>
      </w:r>
    </w:p>
    <w:p w14:paraId="46D282A4" w14:textId="77777777" w:rsidR="004B2E7C" w:rsidRDefault="004B2E7C" w:rsidP="00434A6A">
      <w:pPr>
        <w:rPr>
          <w:rtl/>
        </w:rPr>
      </w:pPr>
    </w:p>
    <w:p w14:paraId="14EAAAF1" w14:textId="77777777" w:rsidR="004B2E7C" w:rsidRDefault="004B2E7C" w:rsidP="00434A6A">
      <w:pPr>
        <w:rPr>
          <w:rtl/>
        </w:rPr>
      </w:pPr>
      <w:r>
        <w:rPr>
          <w:rFonts w:cs="Arial"/>
          <w:rtl/>
        </w:rPr>
        <w:t>[ד (א)] וקטן יכול להפטיר כדתנן. בפרק הקורא את המגילה עומד (כד.). ובסימן רפ"ב (ד"ה כתב המרדכי שם) כתבתי אם קטן (ה)מפטיר ביום שמוציאים שני ספרים:</w:t>
      </w:r>
    </w:p>
    <w:p w14:paraId="09AC9F78" w14:textId="77777777" w:rsidR="004B2E7C" w:rsidRDefault="004B2E7C" w:rsidP="00434A6A">
      <w:pPr>
        <w:rPr>
          <w:rtl/>
        </w:rPr>
      </w:pPr>
      <w:r>
        <w:rPr>
          <w:rFonts w:cs="Arial"/>
          <w:rtl/>
        </w:rPr>
        <w:t>[ד (ב)] מצאתי בתשובה אשכנזית במקום שאין ישראל יודע להפטיר לא יעמוד כהן או לוי להפטיר</w:t>
      </w:r>
      <w:r>
        <w:rPr>
          <w:rStyle w:val="a9"/>
          <w:rFonts w:cs="Arial"/>
          <w:rtl/>
        </w:rPr>
        <w:footnoteReference w:id="1033"/>
      </w:r>
      <w:r>
        <w:rPr>
          <w:rFonts w:cs="Arial"/>
          <w:rtl/>
        </w:rPr>
        <w:t xml:space="preserve"> כהן משום פגמו של ראשון ומשום עצמו אלא ישראל יפטיר ואם אינו יודע יקרוהו דאטו מי חמיר מקריאת ביכורים וקריאת חליצה עכ"ל, ולדידן (לעיל סי' קלה ס"י) שאנו נוהגים לקרות כהן או לוי שני בתוך העולים וסומכים על מה ששליח צבור אומר בעת שקורהו לעלות אף על פי שהוא כהן או אף על פי שהוא לוי פשיטא שעולה למפטיר על פי תיקון זה:</w:t>
      </w:r>
    </w:p>
    <w:p w14:paraId="3E6E6FBF"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DC1D239" w14:textId="77777777" w:rsidR="004B2E7C" w:rsidRDefault="004B2E7C" w:rsidP="00434A6A">
      <w:pPr>
        <w:rPr>
          <w:rFonts w:asciiTheme="minorBidi" w:hAnsiTheme="minorBidi"/>
          <w:rtl/>
        </w:rPr>
      </w:pPr>
      <w:r>
        <w:rPr>
          <w:rFonts w:asciiTheme="minorBidi" w:hAnsiTheme="minorBidi" w:cs="Arial"/>
          <w:rtl/>
        </w:rPr>
        <w:t xml:space="preserve">קטן יכול להפטיר. הגה: ואם קראו למפטיר מי שאינו יודע לומר ההפטרה יכול אחר לאומרה, אבל לכתחלה אסור לעשות כן. </w:t>
      </w:r>
    </w:p>
    <w:p w14:paraId="7FAA9464" w14:textId="77777777" w:rsidR="004B2E7C" w:rsidRDefault="004B2E7C" w:rsidP="00434A6A">
      <w:pPr>
        <w:rPr>
          <w:rFonts w:asciiTheme="minorBidi" w:hAnsiTheme="minorBidi"/>
          <w:rtl/>
        </w:rPr>
      </w:pPr>
    </w:p>
    <w:p w14:paraId="4E0BCFAA" w14:textId="77777777" w:rsidR="004B2E7C" w:rsidRDefault="004B2E7C" w:rsidP="00434A6A">
      <w:pPr>
        <w:pStyle w:val="2"/>
        <w:rPr>
          <w:rtl/>
        </w:rPr>
      </w:pPr>
      <w:r>
        <w:rPr>
          <w:rtl/>
        </w:rPr>
        <w:t>סעיף ה</w:t>
      </w:r>
    </w:p>
    <w:p w14:paraId="362A9908" w14:textId="77777777" w:rsidR="004B2E7C" w:rsidRDefault="004B2E7C" w:rsidP="00434A6A">
      <w:pPr>
        <w:rPr>
          <w:rtl/>
        </w:rPr>
      </w:pPr>
      <w:r>
        <w:rPr>
          <w:rFonts w:cs="Arial"/>
          <w:rtl/>
        </w:rPr>
        <w:t>[ה] כתוב בתשובת הריב"ש (סו"ס מ) אם נשתתק המפטיר באמצע ההפטרה הבא לסיימה לא יתחיל ממקום שפסק הראשון אלא צריך לחזור ולברך ולהתחיל ממקום שהתחיל האחד כמו בספר תורה (לעיל ריש סי' קמ) ולא דמי לשליח צבור שנשתתק באמצע התפילה (לעיל סי' קכו ס"ב) שמתחיל מתחלת ברכה שטעה זה דהתם כבר יצאו הציבור ידי חובתן מאותן ברכות שקרא הראשון מה שאין כן בהפטרה שצריך [לברך] לפניה ולאחריה</w:t>
      </w:r>
      <w:r>
        <w:rPr>
          <w:rStyle w:val="a9"/>
          <w:rFonts w:cs="Arial"/>
          <w:rtl/>
        </w:rPr>
        <w:footnoteReference w:id="1034"/>
      </w:r>
      <w:r>
        <w:rPr>
          <w:rFonts w:cs="Arial"/>
          <w:rtl/>
        </w:rPr>
        <w:t>: וכתב עוד (שם) הוספת לשאול שמפטיר אחד קורא פסוק אחד והשני פסוק אחר וקורין אותה בדילוג וזה מנהג טעות כי המפטיר שקרא בתורה מפני כבוד התורה צריך שיקרא הוא כל ההפטרה עכ"ל:</w:t>
      </w:r>
    </w:p>
    <w:p w14:paraId="1B3D8D71"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367F11C" w14:textId="77777777" w:rsidR="004B2E7C" w:rsidRDefault="004B2E7C" w:rsidP="00434A6A">
      <w:pPr>
        <w:rPr>
          <w:rFonts w:asciiTheme="minorBidi" w:hAnsiTheme="minorBidi"/>
          <w:rtl/>
        </w:rPr>
      </w:pPr>
      <w:r>
        <w:rPr>
          <w:rFonts w:asciiTheme="minorBidi" w:hAnsiTheme="minorBidi" w:cs="Arial"/>
          <w:rtl/>
        </w:rPr>
        <w:t xml:space="preserve">אם נשתתק המפטיר באמצע ההפטרה, הבא לסיימה לא יתחיל ממקום שפסק הראשון אלא צריך לחזור להתחיל ממקום שהתחיל הראשון, כמו בס"ת. הגה: ושנים לא יאמרו ההפטרה בפעם אחת דתרי קלי לא משתמעי (ריב"ש סימן ל"ו). </w:t>
      </w:r>
    </w:p>
    <w:p w14:paraId="65997678" w14:textId="77777777" w:rsidR="004B2E7C" w:rsidRDefault="004B2E7C" w:rsidP="00434A6A">
      <w:pPr>
        <w:pStyle w:val="2"/>
        <w:rPr>
          <w:rtl/>
        </w:rPr>
      </w:pPr>
      <w:r>
        <w:rPr>
          <w:rtl/>
        </w:rPr>
        <w:t>סעיף ו</w:t>
      </w:r>
    </w:p>
    <w:p w14:paraId="4B62B561" w14:textId="77777777" w:rsidR="004B2E7C" w:rsidRDefault="004B2E7C" w:rsidP="00434A6A">
      <w:pPr>
        <w:rPr>
          <w:rtl/>
        </w:rPr>
      </w:pPr>
      <w:r>
        <w:rPr>
          <w:rFonts w:cs="Arial"/>
          <w:rtl/>
        </w:rPr>
        <w:t>[ו] גרסינן בסוטה פרק אלו נאמרין (לט:) אמר רבי תנחום אמר רבי יהושע בן לוי המפטיר אינו מפטיר עד שיגלל ספר תורה וכתבוהו הרי"ף (מגילה יד:) והרא"ש (סי' יג) פרק הקורא עומד, וכתב המרדכי (סי' תתיג) פירש הר"ש עד שיגמור הגלילה כדי שגם הגולל יבין את המפטיר וכן פירש רש"י (סוטה שם), ובשבלי הלקט (סי' פ) כתב הטעם משום דאיכא בזיון ספר תורה שלא נגלל עדיין והם קורים בנביא כדאמרינן ביומא (ע.) וניתי ספר תורה וניקרי ביה ומשני משום פגמו של ראשון ואם בספר תורה אחר אסור לקרות כל זמן שהוא פתוח משום פגם הראשון כל שכן שאסור להפטיר בנביא עד שיגלול ספר תורה עכ"ל, וראייתו איני מכיר דפגמו של ראשון אינו כדמשמע מדבריו אלא כדי שלא יאמרו שהוא פסול והאי טעמא לא שייך במפטיר עד שלא יגלל ספר תורה: כתוב עוד בשבלי הלקט (שם) בשם הגאונים כשמברך אחר ההפטרה אינו רשאי לסלק ספר הנביאים כדי שיראה ויברך על מה שהפטיר ע"כ וגם זה איני מוצא לו טעם:</w:t>
      </w:r>
    </w:p>
    <w:p w14:paraId="24D537A3"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2C4232F" w14:textId="77777777" w:rsidR="004B2E7C" w:rsidRDefault="004B2E7C" w:rsidP="00434A6A">
      <w:pPr>
        <w:rPr>
          <w:rFonts w:asciiTheme="minorBidi" w:hAnsiTheme="minorBidi"/>
          <w:rtl/>
        </w:rPr>
      </w:pPr>
      <w:r>
        <w:rPr>
          <w:rFonts w:asciiTheme="minorBidi" w:hAnsiTheme="minorBidi" w:cs="Arial"/>
          <w:rtl/>
        </w:rPr>
        <w:t xml:space="preserve">אין המפטיר מפטיר עד שיגמור הגולל לגלול הס"ת. </w:t>
      </w:r>
    </w:p>
    <w:p w14:paraId="59869A0A" w14:textId="77777777" w:rsidR="004B2E7C" w:rsidRDefault="004B2E7C" w:rsidP="00434A6A">
      <w:pPr>
        <w:rPr>
          <w:rFonts w:asciiTheme="minorBidi" w:hAnsiTheme="minorBidi"/>
          <w:rtl/>
        </w:rPr>
      </w:pPr>
    </w:p>
    <w:p w14:paraId="1BD054EA" w14:textId="77777777" w:rsidR="004B2E7C" w:rsidRDefault="004B2E7C" w:rsidP="00434A6A">
      <w:pPr>
        <w:pStyle w:val="2"/>
        <w:rPr>
          <w:rtl/>
        </w:rPr>
      </w:pPr>
      <w:r>
        <w:rPr>
          <w:rtl/>
        </w:rPr>
        <w:t>סעיף ז</w:t>
      </w:r>
    </w:p>
    <w:p w14:paraId="22566256" w14:textId="77777777" w:rsidR="004B2E7C" w:rsidRDefault="004B2E7C" w:rsidP="00434A6A">
      <w:pPr>
        <w:rPr>
          <w:rtl/>
        </w:rPr>
      </w:pPr>
      <w:r>
        <w:rPr>
          <w:rFonts w:cs="Arial"/>
          <w:rtl/>
        </w:rPr>
        <w:t>[ז] כתוב עוד בשבלי הלקט (סי' פא) אחר קריאת התורה נהגו להזכיר נשמות ולברך העוסקים בצרכי ציבור וכתב ה"ר בנימין לפי ששבת הוא יום מנוחה דוגמא לעתיד לבא ויום שגם המתים נוחים בו ואינם נדונין ראוי להזכירם למנוחה ולברכה ולהתפלל עליהם וכן מברכים על העוסקים בצרכי ציבור וצדקה וגמילות חסדים והמתקנין נר למאור ומעילים או כל דבר לכבוד התורה והעוסקים בתורה והחי יתן אל לבו כמה גדול שכר העוסקים בתורה ובמצות ומה שנהגו להזכיר נשמות ולפסוק צדקה בעד המתים שיועיל להם מצאתי בשם ה"ר שניאור שמעתי שיש בדרש (ספרי סוף פ' שופטים) כפר לעמך ישראל אלו החיים אשר פדית אלו המתים מגיד שהמתים צריכין כפרה נמצינו למדים ששופך דמים חוטא עד יוצאי מצרים ונראה דעל זה סמכו העולם בהא דאמרינן פ"ק דקידושין (לא:) אומר הרי אני כפרת משכבו (ו)תוך י"ב חודש שמע מינה דמתכפרים המתים בחיים [ב]גופם והוא הדין בממונם ומה שדורש בספרי ששופך דמים חוטא עד יוצאי מצרים נראה דהכי פירושו שההורג הזה מגלגל בעונו חטא ועון ואפילו על אותם שמתו מאותו היום עד שיצאו ישראל ממצרים דהכי פירושו דדריש בתר הכי אשר פדית ה' על כן פדיתנו שלא יהיה בינינו שופכי דמים כדמפרשינן טעמא משום דכל ישראל ערבים זה לזה הוא ועל מנת כן נפדו שלא יהא בהם ובזרעם שופכי דמים וזה עבר על כן נעשים גם המתים ערבים עליו ובשילהי כריתות (כו.) יש להוכיח כן וה"ר אביגדור אומר שאין טעם על מה סמכו ומה שאומר בדרש כפר לעמך ישראל שהמתים צריכין כפרה עד יוצאי מצרים דוקא ברוצח אבל לענין צדקה לא אשמועינן מידי עכ"ל: בשבת שהפרשיות מחוברות כתב המרדכי בפרק בני העיר (מגילה סי' תתלא, יט סוע"ב) והגהות מיימון בפי"ג (דפוס קושטא ה"כ) מהלכות תפילה שיש אומרים להפטיר בהפטרת פרשה ראשונה ויש אומרים בהפטרת פרשה שנייה וכתוב בשבלי הלקט (סי' פ) שכך הוא הנכון שהרי בה אנו מפסיקין ובה קורא המפטיר וכן כתב הרמב"ם בסוף סדר התפילות (בסוף ספר אהבה) שהוא מנהג ברוב המקומות וכן אנו נוהגים:</w:t>
      </w:r>
    </w:p>
    <w:p w14:paraId="67074219"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C7FB684" w14:textId="77777777" w:rsidR="004B2E7C" w:rsidRDefault="004B2E7C" w:rsidP="00434A6A">
      <w:pPr>
        <w:rPr>
          <w:rFonts w:asciiTheme="minorBidi" w:hAnsiTheme="minorBidi"/>
          <w:rtl/>
        </w:rPr>
      </w:pPr>
      <w:r>
        <w:rPr>
          <w:rFonts w:asciiTheme="minorBidi" w:hAnsiTheme="minorBidi" w:cs="Arial"/>
          <w:rtl/>
        </w:rPr>
        <w:t>בשבת שהפרשיות מחוברות, מפטירין בהפטרת פרשה שנייה. הגה: וע"ל סי' תכ"ח ונהגו להזכיר אחר קריאת התורה נשמת המתים ולברך העוסקים בצרכי צבור, כ"מ לפי מנהגו. (שבולי הלקט והגהות מרדכי פ"ק דשבת) ונוהגין לומר: יקום פורקן, ואין בזה משום איסור תחינה בשבת. וג"כ נוהגין לומר: אב הרחמים; ובכל יום שא"א בו צו"צ אין אומרים אותו, וכן כשיש חתונה או מילה. ויש מקומות שא"א אותו כשמברכין החדש, מלבד בימי הספירה, והולכים בכל זה אחר המנהג.</w:t>
      </w:r>
    </w:p>
    <w:p w14:paraId="6A899BF9" w14:textId="77777777" w:rsidR="004B2E7C" w:rsidRDefault="004B2E7C" w:rsidP="00434A6A">
      <w:pPr>
        <w:rPr>
          <w:rFonts w:asciiTheme="minorBidi" w:hAnsiTheme="minorBidi"/>
          <w:rtl/>
        </w:rPr>
      </w:pPr>
    </w:p>
    <w:p w14:paraId="3C319E3C" w14:textId="77777777" w:rsidR="004B2E7C" w:rsidRDefault="004B2E7C" w:rsidP="00434A6A">
      <w:pPr>
        <w:rPr>
          <w:rFonts w:asciiTheme="minorBidi" w:hAnsiTheme="minorBidi"/>
          <w:rtl/>
        </w:rPr>
      </w:pPr>
    </w:p>
    <w:p w14:paraId="56904A86" w14:textId="77777777" w:rsidR="004B2E7C" w:rsidRDefault="004B2E7C" w:rsidP="00434A6A">
      <w:pPr>
        <w:rPr>
          <w:rFonts w:asciiTheme="minorBidi" w:hAnsiTheme="minorBidi"/>
          <w:rtl/>
        </w:rPr>
      </w:pPr>
    </w:p>
    <w:p w14:paraId="7887D1A4" w14:textId="77777777" w:rsidR="004B2E7C" w:rsidRDefault="004B2E7C" w:rsidP="00434A6A">
      <w:pPr>
        <w:rPr>
          <w:rFonts w:asciiTheme="minorBidi" w:hAnsiTheme="minorBidi"/>
          <w:rtl/>
        </w:rPr>
      </w:pPr>
    </w:p>
    <w:p w14:paraId="0D826E0D" w14:textId="77777777" w:rsidR="004B2E7C" w:rsidRDefault="004B2E7C" w:rsidP="00434A6A">
      <w:pPr>
        <w:rPr>
          <w:rFonts w:asciiTheme="minorBidi" w:hAnsiTheme="minorBidi"/>
          <w:rtl/>
        </w:rPr>
      </w:pPr>
    </w:p>
    <w:p w14:paraId="5FC4AABC"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54"/>
          <w:footnotePr>
            <w:numRestart w:val="eachSect"/>
          </w:footnotePr>
          <w:pgSz w:w="11906" w:h="16838"/>
          <w:pgMar w:top="720" w:right="1134" w:bottom="720" w:left="1134" w:header="0" w:footer="0" w:gutter="0"/>
          <w:cols w:space="720"/>
          <w:bidi/>
          <w:rtlGutter/>
        </w:sectPr>
      </w:pPr>
    </w:p>
    <w:p w14:paraId="16D6C91D" w14:textId="77777777" w:rsidR="004B2E7C" w:rsidRDefault="004B2E7C" w:rsidP="00434A6A">
      <w:pPr>
        <w:pStyle w:val="1"/>
        <w:rPr>
          <w:rtl/>
        </w:rPr>
      </w:pPr>
      <w:r>
        <w:rPr>
          <w:rtl/>
        </w:rPr>
        <w:t xml:space="preserve">סימן רפה: לקרוא הפרשה שנים מקרא, ואחד תרגום, ובו ז' סעיפים. </w:t>
      </w:r>
    </w:p>
    <w:p w14:paraId="48EE16B5" w14:textId="77777777" w:rsidR="004B2E7C" w:rsidRDefault="004B2E7C" w:rsidP="00434A6A">
      <w:pPr>
        <w:pStyle w:val="2"/>
        <w:rPr>
          <w:rtl/>
        </w:rPr>
      </w:pPr>
      <w:r>
        <w:rPr>
          <w:rtl/>
        </w:rPr>
        <w:t>סעיף א</w:t>
      </w:r>
    </w:p>
    <w:p w14:paraId="70E9E7EE" w14:textId="77777777" w:rsidR="004B2E7C" w:rsidRDefault="004B2E7C" w:rsidP="00FF2D21">
      <w:pPr>
        <w:pStyle w:val="aa"/>
        <w:numPr>
          <w:ilvl w:val="0"/>
          <w:numId w:val="122"/>
        </w:numPr>
        <w:rPr>
          <w:rtl/>
        </w:rPr>
      </w:pPr>
      <w:r>
        <w:rPr>
          <w:rFonts w:cs="Arial"/>
          <w:rtl/>
        </w:rPr>
        <w:t>טור- וצריך ליזהר להשלים הפרשה עם הציבור דאמר רב הונא בריה דרב יהושע א"ר יונה א"ר אמי לעולם ישלים אדם פרשיותיו עם הציבור שנים מקרא ואחד תרגום אפי' עטרות ודיבון:</w:t>
      </w:r>
    </w:p>
    <w:p w14:paraId="58738EEB" w14:textId="77777777" w:rsidR="004B2E7C" w:rsidRDefault="004B2E7C" w:rsidP="00FF2D21">
      <w:pPr>
        <w:pStyle w:val="aa"/>
        <w:numPr>
          <w:ilvl w:val="0"/>
          <w:numId w:val="122"/>
        </w:numPr>
        <w:rPr>
          <w:rtl/>
        </w:rPr>
      </w:pPr>
      <w:r>
        <w:rPr>
          <w:rFonts w:cs="Arial"/>
          <w:rtl/>
        </w:rPr>
        <w:t>וכל המשלים פרשיותיו עם הציבור מאריכין לו ימיו ושנותיו אפי' עטרות ודיבון פי' רבינו שלמה אף על פי שאין בו תרגום ולפירוש זה אפילו ראובן ושמעון וכיוצא בזה צריך לקרותו שלשה פעמים ויש מפרשים דנקט עטרות ודיבון לפי שיש ספרים שכתוב בהם תרגום ירושלמי ונקט עטרות ודיבון אף ע"פ שאין צריכין כל כך תרגום ולפי זה ראובן ושמעון אין צריך לקרותו שלשה פעמים ומ"מ נהגו להחמיר כפירש"י ואם למד הפרשה בפירש"י חשיב כמו תרגום שאין כוונת התרגום אלא שיבין הענין אבל אם קורא בשאר לעז לא:</w:t>
      </w:r>
    </w:p>
    <w:p w14:paraId="643EB824" w14:textId="77777777" w:rsidR="004B2E7C" w:rsidRDefault="004B2E7C" w:rsidP="00FF2D21">
      <w:pPr>
        <w:pStyle w:val="aa"/>
        <w:numPr>
          <w:ilvl w:val="0"/>
          <w:numId w:val="122"/>
        </w:numPr>
        <w:rPr>
          <w:rtl/>
        </w:rPr>
      </w:pPr>
      <w:r>
        <w:rPr>
          <w:rFonts w:cs="Arial"/>
          <w:rtl/>
        </w:rPr>
        <w:t>וכל השבוע מיום ראשון ואילך</w:t>
      </w:r>
      <w:r>
        <w:rPr>
          <w:rStyle w:val="a9"/>
          <w:rFonts w:cs="Arial"/>
          <w:rtl/>
        </w:rPr>
        <w:footnoteReference w:id="1035"/>
      </w:r>
      <w:r>
        <w:rPr>
          <w:rFonts w:cs="Arial"/>
          <w:rtl/>
        </w:rPr>
        <w:t xml:space="preserve"> חשיב עם הציבור כיון שמתחילין הפרשה ביום שבת במנחה:</w:t>
      </w:r>
    </w:p>
    <w:p w14:paraId="552B370F" w14:textId="77777777" w:rsidR="004B2E7C" w:rsidRDefault="004B2E7C" w:rsidP="00FF2D21">
      <w:pPr>
        <w:pStyle w:val="aa"/>
        <w:numPr>
          <w:ilvl w:val="0"/>
          <w:numId w:val="122"/>
        </w:numPr>
        <w:rPr>
          <w:rtl/>
        </w:rPr>
      </w:pPr>
      <w:r>
        <w:rPr>
          <w:rFonts w:cs="Arial"/>
          <w:rtl/>
        </w:rPr>
        <w:t>מצוה מן המובחר שישלים אותה קודם שיאכל בשבת ואם לא השלים אותה קודם אכילה ישלים אחר אכילה קודם המנחה אבל משם ואילך כיון שמתחילין אחרת עבר זמנה של זאת:</w:t>
      </w:r>
    </w:p>
    <w:p w14:paraId="75EC2F8F" w14:textId="77777777" w:rsidR="004B2E7C" w:rsidRDefault="004B2E7C" w:rsidP="00434A6A">
      <w:r>
        <w:rPr>
          <w:rFonts w:cs="Arial"/>
          <w:rtl/>
        </w:rPr>
        <w:t>[א] וצריך ליזהר להשלים הפרשה עם הציבור דאמר רב הונא בריה דרב יהושע וכו'. בפרק קמא דברכות (ח), ודברי הרמב"ם בפרק י"ג מהלכות תפלה (הכ"ה) כפירוש רש"י:</w:t>
      </w:r>
    </w:p>
    <w:p w14:paraId="00E97D7C" w14:textId="77777777" w:rsidR="004B2E7C" w:rsidRDefault="004B2E7C" w:rsidP="00434A6A">
      <w:pPr>
        <w:rPr>
          <w:rtl/>
        </w:rPr>
      </w:pPr>
      <w:r>
        <w:rPr>
          <w:rFonts w:cs="Arial"/>
          <w:rtl/>
        </w:rPr>
        <w:t>ומ"ש ויש מפרשים דנקט עטרות לפי שיש ספרים שכתוב בהם תרגום ירושלמי וכו'. כן דעת ה"ר יונה (ד: ד"ה ואפילו), והרא"ש (סי' ח) הזכיר שני הפירושים וכתב שנהגו להחמיר כפירוש רש"י:</w:t>
      </w:r>
    </w:p>
    <w:p w14:paraId="187FAD54"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5293A98" w14:textId="77777777" w:rsidR="004B2E7C" w:rsidRDefault="004B2E7C" w:rsidP="00434A6A">
      <w:pPr>
        <w:rPr>
          <w:rFonts w:asciiTheme="minorBidi" w:hAnsiTheme="minorBidi"/>
          <w:rtl/>
        </w:rPr>
      </w:pPr>
      <w:r>
        <w:rPr>
          <w:rFonts w:asciiTheme="minorBidi" w:hAnsiTheme="minorBidi" w:cs="Arial"/>
          <w:rtl/>
        </w:rPr>
        <w:t xml:space="preserve">אף על פי שאדם שומע כל התורה כולה כל שבת בצבור, חייב לקרות לעצמו בכל שבוע פרשת אותו השבוע שנים מקרא ואחד תרגום אפילו עטרות ודיבן. (במדבר לב, ג). </w:t>
      </w:r>
    </w:p>
    <w:p w14:paraId="49B9BEB5" w14:textId="77777777" w:rsidR="004B2E7C" w:rsidRDefault="004B2E7C" w:rsidP="00434A6A">
      <w:pPr>
        <w:rPr>
          <w:rFonts w:asciiTheme="minorBidi" w:hAnsiTheme="minorBidi"/>
          <w:rtl/>
        </w:rPr>
      </w:pPr>
    </w:p>
    <w:p w14:paraId="75D6141F" w14:textId="77777777" w:rsidR="004B2E7C" w:rsidRDefault="004B2E7C" w:rsidP="00434A6A">
      <w:pPr>
        <w:pStyle w:val="2"/>
        <w:rPr>
          <w:rtl/>
        </w:rPr>
      </w:pPr>
      <w:r>
        <w:rPr>
          <w:rtl/>
        </w:rPr>
        <w:t>סעיף ב</w:t>
      </w:r>
    </w:p>
    <w:p w14:paraId="30CED875" w14:textId="77777777" w:rsidR="004B2E7C" w:rsidRDefault="004B2E7C" w:rsidP="00434A6A">
      <w:pPr>
        <w:rPr>
          <w:rtl/>
        </w:rPr>
      </w:pPr>
      <w:r>
        <w:rPr>
          <w:rFonts w:cs="Arial"/>
          <w:rtl/>
        </w:rPr>
        <w:t>[ב] ואם למד הפרשה בפירוש רש"י חשוב כמו תרגום וכו' אבל אם קורא בשאר לעז לא. התוספות (ד"ה שנים) והרא"ש כתבו שם שיש מפרשים דהוא הדין ללעוזות דלעז מהני כמו תרגום ולא נהירא שהרי התרגום מפרש כמה דברים שאין להבין מתוך המקרא. וכתב הרא"ש עוד (שם) ונראה שהקורא בפירוש התורה יוצא בו ידי תרגום כיון שמפרש בו כל מלה ומלה, וכן כתב סמ"ג (עשין יט, קג ע"ג) וז"ל ואני דנתי לפני רבותי שהפירוש מועיל יותר מהתרגום והודו לי, וכתבו המרדכי שם (סי' יט) והגהות (מיימוניות) בפרק י"ג מהלכות תפלה (אות ש) דברי סמ"ג מיהו כתבו סמ"ג והגהות דאין נראה לר"י ורב עמרם (בסידורו ח"ב סי' לא) ורב נטרונאי שכתבו שהתרגום זכה מפני שניתן בסיני (מגילה ג.) ע"כ. וירא שמים יצא את כולם ויקרא התרגום ופירוש רש"י:</w:t>
      </w:r>
    </w:p>
    <w:p w14:paraId="0A52C943"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4FFD121" w14:textId="77777777" w:rsidR="004B2E7C" w:rsidRDefault="004B2E7C" w:rsidP="00434A6A">
      <w:pPr>
        <w:rPr>
          <w:rFonts w:asciiTheme="minorBidi" w:hAnsiTheme="minorBidi"/>
          <w:rtl/>
        </w:rPr>
      </w:pPr>
      <w:r>
        <w:rPr>
          <w:rFonts w:asciiTheme="minorBidi" w:hAnsiTheme="minorBidi" w:cs="Arial"/>
          <w:rtl/>
        </w:rPr>
        <w:t xml:space="preserve">אם למד הפרשה בפירוש רש"י חשוב כמו תרגום, וירא שמים יקרא תרגום וגם פירוש רש"י. </w:t>
      </w:r>
    </w:p>
    <w:p w14:paraId="0506A4E6" w14:textId="77777777" w:rsidR="004B2E7C" w:rsidRDefault="004B2E7C" w:rsidP="00434A6A">
      <w:pPr>
        <w:rPr>
          <w:rFonts w:asciiTheme="minorBidi" w:hAnsiTheme="minorBidi"/>
          <w:rtl/>
        </w:rPr>
      </w:pPr>
    </w:p>
    <w:p w14:paraId="6AF0D116" w14:textId="77777777" w:rsidR="004B2E7C" w:rsidRDefault="004B2E7C" w:rsidP="00434A6A">
      <w:pPr>
        <w:pStyle w:val="2"/>
        <w:rPr>
          <w:rtl/>
        </w:rPr>
      </w:pPr>
      <w:r>
        <w:rPr>
          <w:rtl/>
        </w:rPr>
        <w:t>סעיף ג</w:t>
      </w:r>
    </w:p>
    <w:p w14:paraId="33922869" w14:textId="77777777" w:rsidR="004B2E7C" w:rsidRDefault="004B2E7C" w:rsidP="00434A6A">
      <w:pPr>
        <w:rPr>
          <w:rtl/>
        </w:rPr>
      </w:pPr>
      <w:r>
        <w:rPr>
          <w:rFonts w:cs="Arial"/>
          <w:rtl/>
        </w:rPr>
        <w:t>[ג] וכל השבוע מיום ראשון ואילך חשוב עם הציבור וכו'. כן כתבו שם התוספות (ח: ד"ה ישלים) והרא"ש (שם):</w:t>
      </w:r>
    </w:p>
    <w:p w14:paraId="092521E2"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091977E" w14:textId="77777777" w:rsidR="004B2E7C" w:rsidRDefault="004B2E7C" w:rsidP="00434A6A">
      <w:pPr>
        <w:rPr>
          <w:rFonts w:asciiTheme="minorBidi" w:hAnsiTheme="minorBidi"/>
          <w:rtl/>
        </w:rPr>
      </w:pPr>
      <w:r>
        <w:rPr>
          <w:rFonts w:asciiTheme="minorBidi" w:hAnsiTheme="minorBidi" w:cs="Arial"/>
          <w:rtl/>
        </w:rPr>
        <w:t xml:space="preserve">מיום ראשון ואילך חשוב עם הצבור. </w:t>
      </w:r>
    </w:p>
    <w:p w14:paraId="1C6DA60D" w14:textId="77777777" w:rsidR="004B2E7C" w:rsidRDefault="004B2E7C" w:rsidP="00434A6A">
      <w:pPr>
        <w:rPr>
          <w:rFonts w:asciiTheme="minorBidi" w:hAnsiTheme="minorBidi"/>
          <w:rtl/>
        </w:rPr>
      </w:pPr>
    </w:p>
    <w:p w14:paraId="3587FC24" w14:textId="77777777" w:rsidR="004B2E7C" w:rsidRDefault="004B2E7C" w:rsidP="00434A6A">
      <w:pPr>
        <w:pStyle w:val="2"/>
        <w:rPr>
          <w:rtl/>
        </w:rPr>
      </w:pPr>
      <w:r>
        <w:rPr>
          <w:rtl/>
        </w:rPr>
        <w:t>סעיף ד</w:t>
      </w:r>
    </w:p>
    <w:p w14:paraId="3CE0CC7E" w14:textId="77777777" w:rsidR="004B2E7C" w:rsidRDefault="004B2E7C" w:rsidP="00434A6A">
      <w:pPr>
        <w:rPr>
          <w:rFonts w:cs="Arial"/>
          <w:rtl/>
        </w:rPr>
      </w:pPr>
      <w:r>
        <w:rPr>
          <w:rFonts w:cs="Arial"/>
          <w:rtl/>
        </w:rPr>
        <w:t>[ד] מצוה מן המובחר שישלים אותה קודם שיאכל וכו'. כן כתבו שם התוספות והרא"ש מדאמרינן במדרש שצוה רבי את בניו אל תאכלו לחם בשבת עד שתגמרו כל הפרשה, ומשמע מדבריהם שלא צוה אלא שלא יאחרו מלקרותה עד אחר אכילה אבל אם הקדימו וקראוה קודם השבת בכלל מצוה מן המובחר נמי הוא וכן נראה מדברי הרמב"ם בפרק י"ג מהלכות תפלה (הכ"ה), ומדברי ההגהות שם (אות ש) נראה קצת דדוקא בשבת קודם אכילה הוא דהוי מצוה מן המובחר ולא קודם לכן, והמדרש הזה הוא במכילתא פרשת בא אל פרעה והיה כי יאמרו אליכם בניכם וכו' ז' דברים צוה רבי את בניו ואחד מהם אל תאכלו בשבת עד שתקראו הפרשה. וראיתי המדקדקים שמתחילים לקרותה בערב שבת וגומרים אותה בשבת:</w:t>
      </w:r>
    </w:p>
    <w:p w14:paraId="1711C854" w14:textId="77777777" w:rsidR="004B2E7C" w:rsidRDefault="004B2E7C" w:rsidP="00434A6A">
      <w:pPr>
        <w:rPr>
          <w:rtl/>
        </w:rPr>
      </w:pPr>
      <w:r>
        <w:rPr>
          <w:rFonts w:cs="Arial"/>
          <w:rtl/>
        </w:rPr>
        <w:t>(דרכ"מ אות ב) ובאור זרוע (הל' שבת סי' מב) כתב דנוהגים להשלימה קודם כניסה לבית הכנסת שחרית בשבת:</w:t>
      </w:r>
    </w:p>
    <w:p w14:paraId="203F0E17" w14:textId="77777777" w:rsidR="004B2E7C" w:rsidRDefault="004B2E7C" w:rsidP="00434A6A">
      <w:pPr>
        <w:rPr>
          <w:rtl/>
        </w:rPr>
      </w:pPr>
      <w:r>
        <w:rPr>
          <w:rFonts w:cs="Arial"/>
          <w:rtl/>
        </w:rPr>
        <w:t>אבל משם ואילך כיון שמתחילין אחרת עבר זמנה של זאת. כן כתב הכל בו (סי' לז, לח ע"ג) בשם הר"פ (הגהותיו לתשב"ץ קטן סי' קפד). והגהות כתבו בפרק י"ג מהלכות תפלה (אות ש) בשם הר"מ דבדיעבד יכול להשלים עד רביעי בשבת כדאמרינן (פסחים קו.) בהבדלה. והמרדכי בסוף הלכות מזוזה (סי' תתקסח) כתב שתי הסברות: וכתבו עוד ההגהות (שם) בשם רבינו שמחה שאם לא השלים פרשיותיו עם הציבור ישלים ביום שמיני עצרת שבו גומרים הציבור וכתבו עוד שהעושין כרבינו שמחה צריכין לחזור שנים מקרא ואחד תרגום</w:t>
      </w:r>
      <w:r>
        <w:rPr>
          <w:rStyle w:val="a9"/>
          <w:rFonts w:cs="Arial"/>
          <w:rtl/>
        </w:rPr>
        <w:footnoteReference w:id="1036"/>
      </w:r>
      <w:r>
        <w:rPr>
          <w:rFonts w:cs="Arial"/>
          <w:rtl/>
        </w:rPr>
        <w:t xml:space="preserve"> עכ"ל, ופשוט הוא אלא שכתבו כן לאפוקי ממנהג העולם שקורין ביום שמיני עצרת כל התורה פעם אחת מקרא לבד:</w:t>
      </w:r>
    </w:p>
    <w:p w14:paraId="2E0C5E73"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B90304E" w14:textId="77777777" w:rsidR="004B2E7C" w:rsidRDefault="004B2E7C" w:rsidP="00434A6A">
      <w:pPr>
        <w:rPr>
          <w:rFonts w:asciiTheme="minorBidi" w:hAnsiTheme="minorBidi"/>
          <w:rtl/>
        </w:rPr>
      </w:pPr>
      <w:r>
        <w:rPr>
          <w:rFonts w:asciiTheme="minorBidi" w:hAnsiTheme="minorBidi" w:cs="Arial"/>
          <w:rtl/>
        </w:rPr>
        <w:t xml:space="preserve">מצוה מן המובחר שישלים אותה קודם שיאכל בשבת, ואם לא השלים קודם אכילה ישלים אחר אכילה עד המנחה; וי"א עד רביעי בשבת; וי"א עד שמ"ע (דהיינו בשמחת תורה, שאז משלימים הצבור). </w:t>
      </w:r>
    </w:p>
    <w:p w14:paraId="5599E199" w14:textId="77777777" w:rsidR="004B2E7C" w:rsidRDefault="004B2E7C" w:rsidP="00434A6A">
      <w:pPr>
        <w:pStyle w:val="2"/>
        <w:rPr>
          <w:rtl/>
        </w:rPr>
      </w:pPr>
      <w:r>
        <w:rPr>
          <w:rtl/>
        </w:rPr>
        <w:t>סעיף ה</w:t>
      </w:r>
    </w:p>
    <w:p w14:paraId="0B708C71" w14:textId="77777777" w:rsidR="004B2E7C" w:rsidRDefault="004B2E7C" w:rsidP="00434A6A">
      <w:pPr>
        <w:rPr>
          <w:rtl/>
        </w:rPr>
      </w:pPr>
      <w:r>
        <w:rPr>
          <w:rFonts w:cs="Arial"/>
          <w:rtl/>
        </w:rPr>
        <w:t>[ה] כתב המרדכי בפ"ק דברכות (סי' יט) כתוב באור זרוע (ח"א הל' ק"ש סי' יא) ראיתי מורי רבינו יהודה חסיד ומה"ר אברהם שהיו קורין ב' מקרא ואחד תרגום בשעת קריאת התורה משום דבאותו ענין עסיק וכן כתב הכל בו בסימן כ' (יא:) וכבר כתבתי בסימן (קמ"ד) [קמ"ו] (ד"ה כתוב במרדכי) שאע"פ שיש חולקין בדבר הכי נקיטינן:</w:t>
      </w:r>
    </w:p>
    <w:p w14:paraId="77C88711"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2F283F8" w14:textId="77777777" w:rsidR="004B2E7C" w:rsidRDefault="004B2E7C" w:rsidP="00434A6A">
      <w:pPr>
        <w:rPr>
          <w:rFonts w:asciiTheme="minorBidi" w:hAnsiTheme="minorBidi"/>
          <w:rtl/>
        </w:rPr>
      </w:pPr>
      <w:r>
        <w:rPr>
          <w:rFonts w:asciiTheme="minorBidi" w:hAnsiTheme="minorBidi" w:cs="Arial"/>
          <w:rtl/>
        </w:rPr>
        <w:t xml:space="preserve">יכול לקרות הפרשה שמו"ת בשעת קריאת התורה (וע"ל סימן קמ"ו). </w:t>
      </w:r>
    </w:p>
    <w:p w14:paraId="0CBDB769" w14:textId="77777777" w:rsidR="004B2E7C" w:rsidRDefault="004B2E7C" w:rsidP="00434A6A">
      <w:pPr>
        <w:rPr>
          <w:rFonts w:asciiTheme="minorBidi" w:hAnsiTheme="minorBidi"/>
          <w:rtl/>
        </w:rPr>
      </w:pPr>
    </w:p>
    <w:p w14:paraId="6531E35A" w14:textId="77777777" w:rsidR="004B2E7C" w:rsidRDefault="004B2E7C" w:rsidP="00434A6A">
      <w:pPr>
        <w:pStyle w:val="2"/>
        <w:rPr>
          <w:rtl/>
        </w:rPr>
      </w:pPr>
      <w:r>
        <w:rPr>
          <w:rtl/>
        </w:rPr>
        <w:t>סעיף ו</w:t>
      </w:r>
    </w:p>
    <w:p w14:paraId="45EBD3FA" w14:textId="77777777" w:rsidR="004B2E7C" w:rsidRDefault="004B2E7C" w:rsidP="00434A6A">
      <w:pPr>
        <w:rPr>
          <w:rtl/>
        </w:rPr>
      </w:pPr>
      <w:r>
        <w:rPr>
          <w:rFonts w:cs="Arial"/>
          <w:rtl/>
        </w:rPr>
        <w:t>[ו] כתב המרדכי שם והגהות בפרק י"ג מהלכות תפלה (שם) בשם אור זרוע (שם סי' יב) שמלמדי תנוקות אין צריכין לחזור ולקרות הפרשה בשבת שהרי השלימו בשעה הראויה להשלמה וכן כתוב בהגהות אשיר"י שם וזה בכלל מה שכתב רבינו שכל השבוע חשוב עם הציבור: כתוב בהגהות פרק י"ג מהלכות תפלה (שם) בשם ראב"ן (סי' פח) דהא דאמרינן לעולם ישלים אדם פרשיותיו עם הציבור איירי ביחיד הדר בכרך שאין בו מנין לקרות בתורה דצריך לכוין השעה שהציבור קורין בבית הכנסת יקרא גם הוא ביחיד שנים מקרא ואחד תרגום אבל אם הוא בעיר שיש בה מנין ושומע הפרשה משליח צבור שוב אינו צריך להשלים ונדחו דבריו שם בהגהות וכן דעת הפוסקים שסתמו דבריהם וכן כתב שם הרמב"ם (הכ"ה) בהדיא וז"ל אף על פי שאדם שומע כל התורה כולה בכל שבת בציבור חייב לקרות לעצמו בכל שבוע ושבוע סדר של אותה שבת שנים מקרא ואחד תרגום:</w:t>
      </w:r>
    </w:p>
    <w:p w14:paraId="03300753"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495A509" w14:textId="77777777" w:rsidR="004B2E7C" w:rsidRDefault="004B2E7C" w:rsidP="00434A6A">
      <w:pPr>
        <w:rPr>
          <w:rFonts w:asciiTheme="minorBidi" w:hAnsiTheme="minorBidi"/>
          <w:rtl/>
        </w:rPr>
      </w:pPr>
      <w:r>
        <w:rPr>
          <w:rFonts w:asciiTheme="minorBidi" w:hAnsiTheme="minorBidi" w:cs="Arial"/>
          <w:rtl/>
        </w:rPr>
        <w:t xml:space="preserve">מלמדי תינוקות א"צ לחזור ולקרות הפרשה בשבת. </w:t>
      </w:r>
    </w:p>
    <w:p w14:paraId="5BE938B7" w14:textId="77777777" w:rsidR="004B2E7C" w:rsidRDefault="004B2E7C" w:rsidP="00434A6A">
      <w:pPr>
        <w:rPr>
          <w:rFonts w:asciiTheme="minorBidi" w:hAnsiTheme="minorBidi"/>
          <w:rtl/>
        </w:rPr>
      </w:pPr>
    </w:p>
    <w:p w14:paraId="1D31AB49" w14:textId="77777777" w:rsidR="004B2E7C" w:rsidRDefault="004B2E7C" w:rsidP="00434A6A">
      <w:pPr>
        <w:pStyle w:val="2"/>
        <w:rPr>
          <w:rtl/>
        </w:rPr>
      </w:pPr>
      <w:r>
        <w:rPr>
          <w:rtl/>
        </w:rPr>
        <w:t>סעיף ז:</w:t>
      </w:r>
    </w:p>
    <w:p w14:paraId="1584CB17" w14:textId="77777777" w:rsidR="004B2E7C" w:rsidRDefault="004B2E7C" w:rsidP="00434A6A">
      <w:pPr>
        <w:rPr>
          <w:rtl/>
        </w:rPr>
      </w:pPr>
      <w:r>
        <w:rPr>
          <w:rFonts w:cs="Arial"/>
          <w:rtl/>
        </w:rPr>
        <w:t>[ז] כתב מה"ר ישראל בכתביו (תרומת הדשן ח"ב) סימן ק"ע דדוקא פרשת השבת חייב להשלים אבל אין צריך לקרות פרשת יום טוב וכן כתב בתרומת הדשן (ח"א) סימן כ"ג ואף על פי שכתב דלפירוש רבינו חננאל אפשר שטעם שחייב להשלים פרשיותיו כדי שיהא רגיל במה שהציבור קורין ואם כן היה צריך להשלים פרשיות של יום טוב ומוספין כבר כתב דלשאר גאונים אין צריך ושקרוב בעיניו שלא נהגו רבותינו להשלים וכן עמא דבר: כתב במרדכי סוף הלכות מזוזה (שם) שאין צריך לחזר ההפטרה עם הסדר ולא הפרשה של מנחה</w:t>
      </w:r>
      <w:r>
        <w:rPr>
          <w:rStyle w:val="a9"/>
          <w:rFonts w:cs="Arial"/>
          <w:rtl/>
        </w:rPr>
        <w:footnoteReference w:id="1037"/>
      </w:r>
      <w:r>
        <w:rPr>
          <w:rFonts w:cs="Arial"/>
          <w:rtl/>
        </w:rPr>
        <w:t>:</w:t>
      </w:r>
    </w:p>
    <w:p w14:paraId="226FF458"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BFD9648" w14:textId="77777777" w:rsidR="004B2E7C" w:rsidRDefault="004B2E7C" w:rsidP="00434A6A">
      <w:pPr>
        <w:rPr>
          <w:rFonts w:asciiTheme="minorBidi" w:hAnsiTheme="minorBidi"/>
          <w:rtl/>
        </w:rPr>
      </w:pPr>
      <w:r>
        <w:rPr>
          <w:rFonts w:asciiTheme="minorBidi" w:hAnsiTheme="minorBidi" w:cs="Arial"/>
          <w:rtl/>
        </w:rPr>
        <w:t>א"צ לקרות פרשת יום טוב. הגה: וכן א"צ לקרות ההפטרות (מרדכי ה"ק), ומ"מ נהגו לקרות ההפטרה; ובשבת של חתונה יקרא ההפטרה של שבת ולא שוש אשיש (פסקי מהרגוי סי' ק"א).</w:t>
      </w:r>
    </w:p>
    <w:p w14:paraId="0A7B187C" w14:textId="77777777" w:rsidR="004B2E7C" w:rsidRDefault="004B2E7C" w:rsidP="00434A6A">
      <w:pPr>
        <w:rPr>
          <w:rFonts w:asciiTheme="minorBidi" w:hAnsiTheme="minorBidi"/>
          <w:rtl/>
        </w:rPr>
      </w:pPr>
    </w:p>
    <w:p w14:paraId="2F66F5BC" w14:textId="77777777" w:rsidR="004B2E7C" w:rsidRDefault="004B2E7C" w:rsidP="00434A6A">
      <w:pPr>
        <w:rPr>
          <w:rFonts w:asciiTheme="minorBidi" w:hAnsiTheme="minorBidi"/>
          <w:rtl/>
        </w:rPr>
      </w:pPr>
    </w:p>
    <w:p w14:paraId="1BEDF8FA"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55"/>
          <w:footnotePr>
            <w:numRestart w:val="eachSect"/>
          </w:footnotePr>
          <w:pgSz w:w="11906" w:h="16838"/>
          <w:pgMar w:top="720" w:right="1134" w:bottom="720" w:left="1134" w:header="0" w:footer="0" w:gutter="0"/>
          <w:cols w:space="720"/>
          <w:bidi/>
          <w:rtlGutter/>
        </w:sectPr>
      </w:pPr>
    </w:p>
    <w:p w14:paraId="137553D5" w14:textId="77777777" w:rsidR="004B2E7C" w:rsidRDefault="004B2E7C" w:rsidP="00434A6A">
      <w:pPr>
        <w:pStyle w:val="1"/>
        <w:rPr>
          <w:rtl/>
        </w:rPr>
      </w:pPr>
      <w:r>
        <w:rPr>
          <w:rtl/>
        </w:rPr>
        <w:t xml:space="preserve">סימן רפו: דיני תפלת מוסף בשבת, ובו ה' סעיפים. </w:t>
      </w:r>
    </w:p>
    <w:p w14:paraId="171DD106" w14:textId="77777777" w:rsidR="004B2E7C" w:rsidRDefault="004B2E7C" w:rsidP="00434A6A">
      <w:pPr>
        <w:pStyle w:val="2"/>
        <w:rPr>
          <w:rtl/>
        </w:rPr>
      </w:pPr>
      <w:r>
        <w:rPr>
          <w:rtl/>
        </w:rPr>
        <w:t>סעיף א</w:t>
      </w:r>
    </w:p>
    <w:p w14:paraId="6DE880F5" w14:textId="77777777" w:rsidR="004B2E7C" w:rsidRDefault="004B2E7C" w:rsidP="00FF2D21">
      <w:pPr>
        <w:pStyle w:val="aa"/>
        <w:numPr>
          <w:ilvl w:val="0"/>
          <w:numId w:val="123"/>
        </w:numPr>
        <w:rPr>
          <w:rtl/>
        </w:rPr>
      </w:pPr>
      <w:r>
        <w:rPr>
          <w:rtl/>
        </w:rPr>
        <w:t xml:space="preserve">טור- </w:t>
      </w:r>
      <w:r>
        <w:rPr>
          <w:rFonts w:cs="Arial"/>
          <w:rtl/>
        </w:rPr>
        <w:t>ולאחר שיחזרו הספר יאמר ש"צ קדיש ויתפללו הציבור תפלת מוסף שלש ראשונות ושלש אחרונות וקדושת היום באמצע ונוהגין בספרד לומר למשה צוית ובאשכנז נוהגין לומר תכנת שבת מיוסדת על אלפא ביתא של תשר"ק על שם הגאולה דכתיב אשרקה להם ואקבצם ויש בה כ"א תיבות עד אז מסיני כנגד וביום השבת ועולת שבת שיש בה כ"א תיבות:</w:t>
      </w:r>
    </w:p>
    <w:p w14:paraId="0BA83689" w14:textId="77777777" w:rsidR="004B2E7C" w:rsidRDefault="004B2E7C" w:rsidP="00FF2D21">
      <w:pPr>
        <w:pStyle w:val="aa"/>
        <w:numPr>
          <w:ilvl w:val="0"/>
          <w:numId w:val="123"/>
        </w:numPr>
        <w:rPr>
          <w:rtl/>
        </w:rPr>
      </w:pPr>
      <w:r>
        <w:rPr>
          <w:rFonts w:cs="Arial"/>
          <w:rtl/>
        </w:rPr>
        <w:t>רצית קרבנותיה בשביל שצריכין לחלל עליו השבת תיקנו לומר רצית קרבנותיה פי' אף על פי שיש בה חילול שבת רצית בהן. ומחזיר ש"צ התפלה ואומר קדושה רבה</w:t>
      </w:r>
      <w:r>
        <w:rPr>
          <w:rStyle w:val="a9"/>
          <w:rFonts w:cs="Arial"/>
          <w:rtl/>
        </w:rPr>
        <w:footnoteReference w:id="1038"/>
      </w:r>
      <w:r>
        <w:rPr>
          <w:rFonts w:cs="Arial"/>
          <w:rtl/>
        </w:rPr>
        <w:t xml:space="preserve"> וכ"כ רב שרירא גאון א"א קדושה רבה בי"ט ובשבת אלא במוסף ולא בשחרית ובמנחה ואומר קדיש שלם ונוהגין לומר בספרד משנת פרק אחד ואומר אחריו קדיש ונפטרין לבתיהם לשלום:</w:t>
      </w:r>
    </w:p>
    <w:p w14:paraId="4F40DF3D" w14:textId="77777777" w:rsidR="004B2E7C" w:rsidRDefault="004B2E7C" w:rsidP="00FF2D21">
      <w:pPr>
        <w:pStyle w:val="aa"/>
        <w:numPr>
          <w:ilvl w:val="0"/>
          <w:numId w:val="123"/>
        </w:numPr>
        <w:rPr>
          <w:rtl/>
        </w:rPr>
      </w:pPr>
      <w:r>
        <w:rPr>
          <w:rFonts w:cs="Arial"/>
          <w:rtl/>
        </w:rPr>
        <w:t>וזמן תפלת המוסף מיד אחר תפלת השחר שזמנה מתחיל בבוקר שהוא כנגד קרבן מוסף שזמנו מיד בבקר דבמסכת יומא (לג א) מצריך פסוק לומר שנסכים קודמין למוספין ואם לא היה הפסוק היו מוספים כשרים לקדם אף על גב דכתיב בנסכים בבקר אלמא דקרבן מוסף זמנו מיד בבקר וכיון שזמנו בבקר טוב הוא להקדימה מיד אחר תפלת שחרית אף על פי שאין הלכה כרב הונא דאמר אסור לאדם שיטעום כלום קודם המוספין מ"מ צריך להתפלל אותה קודם אכילה כדאיתא במסכת תעניות בפרק ג' פרקים גבי נשיאות כפים שחרית ומוסף דלא שכיחי בהו שכרות אלמא אין דרך לאכול קודם וכ"כ ר"ח התם שמעינן מכאן דאין אדם רשאי לאכול עד אחר תפלת מוסף הלכך לא שכיח בה שכרות:</w:t>
      </w:r>
    </w:p>
    <w:p w14:paraId="06C10D37" w14:textId="77777777" w:rsidR="004B2E7C" w:rsidRDefault="004B2E7C" w:rsidP="00FF2D21">
      <w:pPr>
        <w:pStyle w:val="aa"/>
        <w:numPr>
          <w:ilvl w:val="0"/>
          <w:numId w:val="123"/>
        </w:numPr>
        <w:rPr>
          <w:rtl/>
        </w:rPr>
      </w:pPr>
      <w:r>
        <w:rPr>
          <w:rFonts w:cs="Arial"/>
          <w:rtl/>
        </w:rPr>
        <w:t>וזמנה כל היום ומיהו עיקר מצותה עד סוף שבע שעות ואסור לאחרה לכתחלה ואם שכח ולא התפלל עד שעבר כל זמנה כתב רשב"ם שאין לה תשלומין אף על גב דבשאר תפלות שכח באחד מהם ולא התפלל משלים אותה עם תפלה שלאחריה שאני תפלת מוסף כיון שמזכיר בה את מוסף יום חג פלוני הזה אין ראוי להתפלל אותה אלא בזמנה ויש בה נשיאת כפים וכל יחיד חייב להתפלל אותה בין אם יש ציבור בעיר או לא:</w:t>
      </w:r>
    </w:p>
    <w:p w14:paraId="3724B998" w14:textId="77777777" w:rsidR="004B2E7C" w:rsidRDefault="004B2E7C" w:rsidP="00FF2D21">
      <w:pPr>
        <w:pStyle w:val="aa"/>
        <w:numPr>
          <w:ilvl w:val="0"/>
          <w:numId w:val="123"/>
        </w:numPr>
        <w:rPr>
          <w:rtl/>
        </w:rPr>
      </w:pPr>
      <w:r>
        <w:rPr>
          <w:rFonts w:cs="Arial"/>
          <w:rtl/>
        </w:rPr>
        <w:t>היו לפניו שתי תפלות אחת של מנחה ואחת של מוספין כגון שאיחר להתפלל מוסף עד ו' שעות ומחצה שהוא זמן תפלת המנחה צריך להתפלל של מנחה ואח"כ של מוסף:</w:t>
      </w:r>
    </w:p>
    <w:p w14:paraId="16F0C20E" w14:textId="77777777" w:rsidR="004B2E7C" w:rsidRDefault="004B2E7C" w:rsidP="00FF2D21">
      <w:pPr>
        <w:pStyle w:val="aa"/>
        <w:numPr>
          <w:ilvl w:val="0"/>
          <w:numId w:val="123"/>
        </w:numPr>
        <w:rPr>
          <w:rtl/>
        </w:rPr>
      </w:pPr>
      <w:r>
        <w:rPr>
          <w:rFonts w:cs="Arial"/>
          <w:rtl/>
        </w:rPr>
        <w:t>וי"א הא דאמרינן שצריך להקדים של מנחה תחלה היינו דוקא שצריך עתה להתפלל שתיהם כגון שרוצה לאכול ואסור לו לאכול עד שיתפלל מנחה תחלה הילכך כיון שצריך להתפלל שתיהם של מנחה קודמת שהיא תדירה וגם עתה עיקר זמנה אבל אם אינו צריך עתה להתפלל תפלת מנחה יכול להקדים של מוסף ולאחר של מנחה עד דמדומי חמה והתוס' אינם מחלקים שכתבו שיש ליזהר ביוה"כ כשמאחרים תפלת יוצר עד לאחר שש שעות ומחצה שיקדימו תפלת המנחה לתפלת המוספין והרמב"ם ז"ל כתב יש מי שהורה שאין עושין כן בציבור כדי שלא יטעו וא"א ז"ל היה נוהג ביה"כ להתפלל תפלת מוסף ביחיד כדי להתפלל אותה בזמנה:</w:t>
      </w:r>
    </w:p>
    <w:p w14:paraId="2D5151A7" w14:textId="77777777" w:rsidR="004B2E7C" w:rsidRDefault="004B2E7C" w:rsidP="00434A6A">
      <w:r>
        <w:rPr>
          <w:rFonts w:cs="Arial"/>
          <w:rtl/>
        </w:rPr>
        <w:t>[א (א)] ולאחר שיחזירו הספר וכו' וזמן תפלת המוסף מיד אחר תפלת השחר שזמנה מתחיל בבוקר וכו' עד אלמא דקרבן מוסף זמנו מיד בבוקר. כן כתבו התוספות (ברכות כו. ד"ה תפלת השחר) והרא"ש (סי' א) וה"ר יונה בריש פרק תפלת השחר (יח. ד"ה תפלת המנחה) וכן כתב הרמב"ם בפ"ג מהלכות תפלה (ה"ה) תפלת המוספין זמנה אחר תפלת השחר. וכתב הרשב"א בר"פ תפלת השחר (כח. סוף ד"ה ת"ר) שנראה מהתוספתא (ברכות פ"ג ה"ב) שאם הקדים תפלת מוסף לשל שחרית יצא וכן כתוב בספר אוהל מועד (שער התפילה דרך ב נ"ד דף נח.) בשמו:</w:t>
      </w:r>
    </w:p>
    <w:p w14:paraId="23B640D9" w14:textId="77777777" w:rsidR="004B2E7C" w:rsidRDefault="004B2E7C" w:rsidP="00434A6A">
      <w:pPr>
        <w:rPr>
          <w:rtl/>
        </w:rPr>
      </w:pPr>
      <w:r>
        <w:rPr>
          <w:rFonts w:cs="Arial"/>
          <w:rtl/>
        </w:rPr>
        <w:t>ובאשכנז נוהגין לומר תכנת שבת וכו'. כתוב בשבלי הלקט (סי' פב) תכנת לשון סידור כמו (משלי כא ב) ותוכן לבות [ה'], רצית קרבנותיה יש מפרשים בכל הקרבנות כתיב ושעיר לכפר ובקרבן של שבת לא כתיב שעיר לכך סדרו לומר רצית קרבנותיה שהם קרבנות [רצון] שהם אינם צריכין כפרה, ויש מפרשים רצית קרבנותיה לא רצית קרבן אלא אם כן עבר עליו שבת דכתיב (ויקרא כב כז) ומיום השמיני והלאה ירצה ואין ז' בלא שבת, צוית פירושיה עם סידור[י] נסכיה יש מפרשים על שם צו את בני ישראל (במדבר כח ב) ששם מפורש קרבן שבת, צוית קרבנות המפורשים בה עם מערכות של לחם הפנים, שש המערכת (ויקרא כד ו) תרגומו שית סדרין, נסכיה מלשון קשות הנסך (במדבר ד ז) אשר יוסך (שמות כה כט), מענגיה לעולם כבוד ינחלו על שם האגדה דפסיקתא דבאתי לגני בזכות (ג') [ב'] דברים ישראל מתענגים לפני הקדוש ברוך הוא בזכות שבת בזכות מעשר בזכות שבת דכתיב (ישעיה נח יד) אז תתענג על ה', טועמיה חיים זכו המכבדים אותה במיני מאכל ומטעמים ויש סומכין [מכאן] לטעום תבשילו מערב שבת עכ"ל:</w:t>
      </w:r>
    </w:p>
    <w:p w14:paraId="21E27BC2" w14:textId="77777777" w:rsidR="004B2E7C" w:rsidRDefault="004B2E7C" w:rsidP="00434A6A">
      <w:pPr>
        <w:rPr>
          <w:rtl/>
        </w:rPr>
      </w:pPr>
      <w:r>
        <w:rPr>
          <w:rFonts w:cs="Arial"/>
          <w:rtl/>
        </w:rPr>
        <w:t>ומ"ש רבינו על שם הגאולה דכתיב אשרקה להם וכו'. זה לשון שבלי הלקט (שם) מצאתי בשם רש"י (סידור רש"י סי' תקה) לפיכך הוא מיוסד באלפא ביתא זו לפי שהיא נשמעת על הגאולה והגאולה עתידה להיות בזכות שבת שנאמר (ישעיה נו ד) לסריסים אשר ישמרו את שבתותי וגו' וכתיב (שם פסוק ז) והביאותים אל הר קדשי וכתיב (שם ל טו) בשובה ונחת תושעון, וכיצד נשמעת על הגאולה תשר"ק על שם אשרקה להם ואקבצם כי פדיתים, צפע"ס יטפו ההרים עסיס (יואל ד יח) צף וטף אחד הוא, נמל"ך והיה ה' למלך (זכריה יד ט), יטח"ז יטו שכם [אחד] לעבדו כי עין בעין יראו (ישעיה נב ח), והד"ג בא יבוא לויתן ויכרו עליו חברים, אז מסיני נצטוו עליה פירש ה"ר בנימין אז מסיני קודם שבאו ישראל לסיני במצרים ובמרה ומצינו אז שהוא לשון הקדמה קדם מפעליו מאז (משלי ח כב):</w:t>
      </w:r>
      <w:r>
        <w:rPr>
          <w:rtl/>
        </w:rPr>
        <w:t xml:space="preserve"> - </w:t>
      </w:r>
      <w:r>
        <w:rPr>
          <w:rFonts w:cs="Arial"/>
          <w:rtl/>
        </w:rPr>
        <w:t>(דרכ"מ אות ב) וכן כתב באור זרוע (שם):</w:t>
      </w:r>
    </w:p>
    <w:p w14:paraId="08B27A6D" w14:textId="77777777" w:rsidR="004B2E7C" w:rsidRDefault="004B2E7C" w:rsidP="00434A6A">
      <w:pPr>
        <w:rPr>
          <w:rtl/>
        </w:rPr>
      </w:pPr>
      <w:r>
        <w:rPr>
          <w:rFonts w:cs="Arial"/>
          <w:rtl/>
        </w:rPr>
        <w:t>[א (ב)] וזמנה כל היום ומיהו עיקר מצותה עד סוף שבע שעות וכו'. בריש פרק תפלת השחר (כו.) תנן ושל מוספין כל היום רבי יהודה אומר עד שבע שעות, ובגמרא (כח.) תפלת המוספין כל היום אמר רבי יוחנן ונקרא פושע ופירש רש"י ונקרא פושע המאחר כל כך, אמר רבי יהושע בן לוי כל המתפלל תפלת המוספין לאחר שבע שעות דרבי יהודה עליו הכתוב אומר (צפניה ג יח) נוגי ממועד אספתי, וכן כתב הרמב"ם בפ"ג מהלכות תפלה (ה"ה) שהמתפלל תפלת המוספין לאחר שבע שעות אף על פי שפשע יצא ידי חובתו מפני שזמנה כל היום:</w:t>
      </w:r>
    </w:p>
    <w:p w14:paraId="420F5CDF" w14:textId="77777777" w:rsidR="004B2E7C" w:rsidRDefault="004B2E7C" w:rsidP="00434A6A">
      <w:pPr>
        <w:rPr>
          <w:rtl/>
        </w:rPr>
      </w:pPr>
      <w:r>
        <w:rPr>
          <w:rFonts w:cs="Arial"/>
          <w:rtl/>
        </w:rPr>
        <w:t>ואם שכח ולא התפלל עד שעבר כל זמנה כתב רשב"ם שאין לה תשלומין וכו'. כן כתבו התוספות (ד"ה איבעיא) והרא"ש (סי' ב) וה"ר יונה (יח. ד"ה טעה) בריש פרק תפלת השחר, וטעמא משום דדוקא בתפלת י"ח שהיא של רחמים יש לה תשלומין שאין זמן בקשת רחמים עובר ואפילו בשבת שאינה אלא שבח מכל מקום כיון שהיא כנגד תפלה של כל יום שהיא של רחמים יש לה תשלומין כמותה אבל מוסף כיון שמזכיר בתפלה קרבן המוסף אינו ראוי להתפלל אלא בזמן הקרבת המוסף ואף על פי ששאר תפלות כנגד קרבנות תקנום מכל מקום אינו מזכיר בהם קרבנות:</w:t>
      </w:r>
    </w:p>
    <w:p w14:paraId="626AB678" w14:textId="77777777" w:rsidR="004B2E7C" w:rsidRDefault="004B2E7C" w:rsidP="00434A6A">
      <w:pPr>
        <w:rPr>
          <w:rtl/>
        </w:rPr>
      </w:pPr>
      <w:r>
        <w:rPr>
          <w:rFonts w:cs="Arial"/>
          <w:rtl/>
        </w:rPr>
        <w:t>ויש בה נשיאות כפים. משנה בפרק בתרא דתעניות (כו.):</w:t>
      </w:r>
    </w:p>
    <w:p w14:paraId="32E7032B"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3715FD6" w14:textId="77777777" w:rsidR="004B2E7C" w:rsidRDefault="004B2E7C" w:rsidP="00434A6A">
      <w:pPr>
        <w:rPr>
          <w:rFonts w:asciiTheme="minorBidi" w:hAnsiTheme="minorBidi"/>
          <w:rtl/>
        </w:rPr>
      </w:pPr>
      <w:r>
        <w:rPr>
          <w:rFonts w:asciiTheme="minorBidi" w:hAnsiTheme="minorBidi" w:cs="Arial"/>
          <w:rtl/>
        </w:rPr>
        <w:t xml:space="preserve">זמן תפלת מוסף מיד אחר תפלת השחר ואין לאחרה יותר מעד סוף ז' שעות. ואם התפלל אותה אחר שבע שעות נקרא פושע ואעפ"כ יצא י"ח מפני שזמנה כל היום. ואם שכח ולא התפלל עד שעבר כל זמנה, אין לה תשלומין. ויש בה נשיאות כפים. הגה: ואם התפלל אותה קודם תפלת שחרית, יצא (א"מ =אוהל מועד= בשם הרשב"א ור"י פ' תפלת השחר). </w:t>
      </w:r>
    </w:p>
    <w:p w14:paraId="0F767F12" w14:textId="77777777" w:rsidR="004B2E7C" w:rsidRDefault="004B2E7C" w:rsidP="00434A6A">
      <w:pPr>
        <w:rPr>
          <w:rFonts w:asciiTheme="minorBidi" w:hAnsiTheme="minorBidi"/>
          <w:rtl/>
        </w:rPr>
      </w:pPr>
    </w:p>
    <w:p w14:paraId="4FF57F59" w14:textId="77777777" w:rsidR="004B2E7C" w:rsidRDefault="004B2E7C" w:rsidP="00434A6A">
      <w:pPr>
        <w:pStyle w:val="2"/>
        <w:rPr>
          <w:rtl/>
        </w:rPr>
      </w:pPr>
      <w:r>
        <w:rPr>
          <w:rtl/>
        </w:rPr>
        <w:t>סעיף ב</w:t>
      </w:r>
    </w:p>
    <w:p w14:paraId="182360D0" w14:textId="77777777" w:rsidR="004B2E7C" w:rsidRDefault="004B2E7C" w:rsidP="00434A6A">
      <w:pPr>
        <w:rPr>
          <w:rtl/>
        </w:rPr>
      </w:pPr>
      <w:r>
        <w:rPr>
          <w:rFonts w:cs="Arial"/>
          <w:rtl/>
        </w:rPr>
        <w:t>[ב] וכל יחיד חייב להתפלל אותה וכו'. בסוף פרק תפלת השחר (ל.) איפליגו תנאי במילתא ופסקו הפוסקים כחכמים דאמרי דתפלת המוספין בין בחבר עיר בין שלא בחבר עיר פי' [רש"י] חבר עיר חבורת עיר כלומר ציבור: אם אומרים כתר במוסף כתב רבינו בסימן רפ"א: טעם למה אומרים בכתר פעמים ולהיות לכם לאלהים אכתוב בסימן תכ"ג בס"ד (ד"ה ועומדים): כתב שבלי הלקט (סי' מה) בשם ה"ר (הושעיא) [ישעיה] (פסקי רי"ד ברכות ל. ד"ה מתני') אין טוב לעשות כמו שנהגו בהרבה מקומות להתפלל שליח צבור תפלת המוספין בקול רם והציבור אומרים עמו בלחש על כל דיבור ודיבור (וענין) [ועונין] קדושה אלא צריכין להתפלל אותה ביחיד תחלה ככל התפלות ואחר כך יאמר אותה שליח צבור בקול רם עכ"ל:</w:t>
      </w:r>
    </w:p>
    <w:p w14:paraId="2045B91F"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DDB9E86" w14:textId="77777777" w:rsidR="004B2E7C" w:rsidRDefault="004B2E7C" w:rsidP="00434A6A">
      <w:pPr>
        <w:rPr>
          <w:rFonts w:asciiTheme="minorBidi" w:hAnsiTheme="minorBidi"/>
          <w:rtl/>
        </w:rPr>
      </w:pPr>
      <w:r>
        <w:rPr>
          <w:rFonts w:asciiTheme="minorBidi" w:hAnsiTheme="minorBidi" w:cs="Arial"/>
          <w:rtl/>
        </w:rPr>
        <w:t xml:space="preserve">כל יחיד חייב להתפלל תפלת המוספין בין אם יש צבור בעיר או לא. הגה: ואח"כ חוזר הש"צ התפלה כמו בשאר תפלות (ב"י בשם שבולי לקט). </w:t>
      </w:r>
    </w:p>
    <w:p w14:paraId="5D5D405D" w14:textId="77777777" w:rsidR="004B2E7C" w:rsidRDefault="004B2E7C" w:rsidP="00434A6A">
      <w:pPr>
        <w:rPr>
          <w:rFonts w:asciiTheme="minorBidi" w:hAnsiTheme="minorBidi"/>
          <w:rtl/>
        </w:rPr>
      </w:pPr>
    </w:p>
    <w:p w14:paraId="5D7B06C7" w14:textId="77777777" w:rsidR="004B2E7C" w:rsidRDefault="004B2E7C" w:rsidP="00434A6A">
      <w:pPr>
        <w:pStyle w:val="2"/>
        <w:rPr>
          <w:rtl/>
        </w:rPr>
      </w:pPr>
      <w:r>
        <w:rPr>
          <w:rtl/>
        </w:rPr>
        <w:t>סעיף ג</w:t>
      </w:r>
    </w:p>
    <w:p w14:paraId="53BFD5B6" w14:textId="77777777" w:rsidR="004B2E7C" w:rsidRDefault="004B2E7C" w:rsidP="00434A6A">
      <w:pPr>
        <w:rPr>
          <w:rtl/>
        </w:rPr>
      </w:pPr>
      <w:r>
        <w:rPr>
          <w:rFonts w:cs="Arial"/>
          <w:rtl/>
        </w:rPr>
        <w:t>[ג] אף על פי שאין הלכה כרב הונא דאמר אסור לאדם שיטעום וכו'. בפרק תפלת השחר (כח:) אסיקנא דלית הלכתא כוותיה וכתב הרשב"א (שם ד"ה ולית) לית הלכתא כרב הונא פירוש אלא מותר לטעום קודם תפלת המוספין וכתב הראב"ד דיש אומרים דוקא טעימה ולא אכילה והוא ז"ל פירש דאפילו טעימה שיש בה כדי לסעוד את הלב כי הא דרב אויא עכ"ל, כלומר דאיתא התם דרב אויא לא אתא לפירקא משום דחלש ליביה ואמרו ליה דהוה ליה למיטעם מידי קודם תפלת המוספין ולמיתי. וגבי הא דלית הלכתא כרב הונא אמרינן נמי דלית הלכתא כרבי יהושע בן לוי דאמר כיון שהגיע זמן תפלת המנחה אסור לאדם שיטעום כלום, וכתב על זה ה"ר יונה (יט. ד"ה ולית) ודוקא טעימה אינה אסורה כגון אכילת פירות או אכילת פת מועט אבל סעודה אסורה עכ"ל ומשמע דהכי נמי מתפרש מאי דאמרינן דלית הלכתא כרב הונא דאמר אסור לאדם שיטעום קודם תפלת המוספין, ודבריו מטין כדברי הראב"ד. ונראה שכך הם דברי רבינו דכי אמרינן דלית הלכתא כרב הונא אינו אלא להתיר טעימה אבל אכילה כלומר סעודה אסורה מההיא דפרק בשלשה פרקים, דאין לפרש דברי רבינו דמדינא מותר לטעום קודם תפלת המוספין וכדאסיקנא דלית הלכתא כרב הונא ובין טעימה ובין אכילה שרי דאכילה נמי טעימה מיקריא אלא שאין דרך לאכול ולא לטעום קודם תפלת המוספין דטעימה נמי אכילה קרי לה, דאם כן מאי אין אדם רשאי לאכול דקאמר רבינו חננאל שהרי לפי זה רשאי לאכול אלא שאין דרך העולם לאכול, אבל רבינו ירוחם כתב בחי"ט (ני"ב, קא ע"ד) אסור לטעום כלומר לאכול קודם תפלת מוסף כך פשוט בפרק תפלת השחר, ודבריו תמהין דהא בהדיא אסיקנא דלית הלכתא כרב הונא, ואפשר דהכי קאמר רבינו ירוחם אסור לטעום טעימה גדולה כלומר לאכול וממילא משמע דטעימה קטנה שריא ודלא כרב הונא וכדברי הראב"ד:</w:t>
      </w:r>
    </w:p>
    <w:p w14:paraId="017683A8" w14:textId="77777777" w:rsidR="004B2E7C" w:rsidRDefault="004B2E7C" w:rsidP="00434A6A">
      <w:pPr>
        <w:rPr>
          <w:rtl/>
        </w:rPr>
      </w:pPr>
      <w:r>
        <w:rPr>
          <w:rFonts w:cs="Arial"/>
          <w:rtl/>
        </w:rPr>
        <w:t>וזה שכתב רבינו בשם רבינו חננאל דאין אדם רשאי לאכול עד אחר תפלת מוסף. כתבו הרא"ש בפסקיו בפרק הנזכר (תענית סי' לא):</w:t>
      </w:r>
    </w:p>
    <w:p w14:paraId="3AA58405"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AC6924D" w14:textId="77777777" w:rsidR="004B2E7C" w:rsidRDefault="004B2E7C" w:rsidP="00434A6A">
      <w:pPr>
        <w:rPr>
          <w:rFonts w:asciiTheme="minorBidi" w:hAnsiTheme="minorBidi"/>
          <w:rtl/>
        </w:rPr>
      </w:pPr>
      <w:r>
        <w:rPr>
          <w:rFonts w:asciiTheme="minorBidi" w:hAnsiTheme="minorBidi" w:cs="Arial"/>
          <w:rtl/>
        </w:rPr>
        <w:t xml:space="preserve">מותר לטעום קודם תפלת המוספין, דהיינו אכילת פירות או אפילו פת מועט אפילו טעימה שיש בה כדי לסעוד הלב, אבל סעודה אסור. </w:t>
      </w:r>
    </w:p>
    <w:p w14:paraId="2EE77B26" w14:textId="77777777" w:rsidR="004B2E7C" w:rsidRDefault="004B2E7C" w:rsidP="00434A6A">
      <w:pPr>
        <w:rPr>
          <w:rFonts w:asciiTheme="minorBidi" w:hAnsiTheme="minorBidi"/>
          <w:rtl/>
        </w:rPr>
      </w:pPr>
    </w:p>
    <w:p w14:paraId="016C3F4B" w14:textId="77777777" w:rsidR="004B2E7C" w:rsidRDefault="004B2E7C" w:rsidP="00434A6A">
      <w:pPr>
        <w:pStyle w:val="2"/>
        <w:rPr>
          <w:rtl/>
        </w:rPr>
      </w:pPr>
      <w:r>
        <w:rPr>
          <w:rtl/>
        </w:rPr>
        <w:t>סעיף ד</w:t>
      </w:r>
    </w:p>
    <w:p w14:paraId="30C4D599" w14:textId="77777777" w:rsidR="004B2E7C" w:rsidRDefault="004B2E7C" w:rsidP="00434A6A">
      <w:pPr>
        <w:rPr>
          <w:rtl/>
        </w:rPr>
      </w:pPr>
      <w:r>
        <w:rPr>
          <w:rFonts w:cs="Arial"/>
          <w:rtl/>
        </w:rPr>
        <w:t>[ד] היו לפניו שתי תפלות וכו'. פלוגתא דרבי יהודה ורבנן בפרק תפלת השחר (כח.) ופסק רבי יוחנן הלכה כרבנן דאמרי מתפלל של מנחה ואחר כך מתפלל של מוספין:</w:t>
      </w:r>
    </w:p>
    <w:p w14:paraId="0A430EA7" w14:textId="77777777" w:rsidR="004B2E7C" w:rsidRDefault="004B2E7C" w:rsidP="00434A6A">
      <w:pPr>
        <w:rPr>
          <w:rtl/>
        </w:rPr>
      </w:pPr>
      <w:r>
        <w:rPr>
          <w:rFonts w:cs="Arial"/>
          <w:rtl/>
        </w:rPr>
        <w:t>ומ"ש כגון שאיחר להתפלל מוסף עד שש שעות ומחצה. הוא כדברי התוספות שם (ד"ה הלכה) וכן כתב הרא"ש (סי' ח) דמשמע בתלמודא דידן ודלא כירושלמי (ברכות פ"ד ה"א) שכתבו ה"ר יונה (יט. ד"ה ויש) והרא"ש (שם) דלא אמרינן מתפלל של מנחה תחלה אלא כשאיחר עד זמן מנחה קטנה אבל קודם לכן מתפלל של מוספין תחלה:</w:t>
      </w:r>
    </w:p>
    <w:p w14:paraId="4995C0E5" w14:textId="77777777" w:rsidR="004B2E7C" w:rsidRDefault="004B2E7C" w:rsidP="00434A6A">
      <w:pPr>
        <w:rPr>
          <w:rtl/>
        </w:rPr>
      </w:pPr>
      <w:r>
        <w:rPr>
          <w:rFonts w:cs="Arial"/>
          <w:rtl/>
        </w:rPr>
        <w:t>וי"א הא דאמרינן שצריך להקדים של מנחה תחלה וכו'. כן כתבו התוספות והרא"ש (שם) בשם הר"י וזה דעת רבינו יונה (שם) והרשב"א (כח. ד"ה ת"ר). וכתב הרשב"א (שם) ומסתברא שאם עבר והקדים תפלת המוספין לתפלת המנחה ואפילו במקום שיש לו להתפלל תפלת המנחה יצא ואין צריך לחזור ולהתפלל של מוספין שנייה משום דמוספין כל שעתא זמניה הוא דהא תפלת המוספין כל היום אלא דלכתחלה צריך להקדים תפלת המנחה עכ"ל:</w:t>
      </w:r>
    </w:p>
    <w:p w14:paraId="1115F76F" w14:textId="77777777" w:rsidR="004B2E7C" w:rsidRDefault="004B2E7C" w:rsidP="00434A6A">
      <w:pPr>
        <w:rPr>
          <w:rtl/>
        </w:rPr>
      </w:pPr>
      <w:r>
        <w:rPr>
          <w:rFonts w:cs="Arial"/>
          <w:rtl/>
        </w:rPr>
        <w:t>והתוספות אינם מחלקים שכתבו שיש ליזהר ביום הכפורים וכו'. שם:</w:t>
      </w:r>
    </w:p>
    <w:p w14:paraId="12C21E37" w14:textId="77777777" w:rsidR="004B2E7C" w:rsidRDefault="004B2E7C" w:rsidP="00434A6A">
      <w:pPr>
        <w:rPr>
          <w:rtl/>
        </w:rPr>
      </w:pPr>
      <w:r>
        <w:rPr>
          <w:rFonts w:cs="Arial"/>
          <w:rtl/>
        </w:rPr>
        <w:t>והרמב"ם כתב יש מי שהורה וכו'. בסוף פרק ג' מהלכות תפלה (הי"א): כתב הרא"ש בפרק מי שמתו (ברכות סי' יז) דבתפלת מוסף אם התפלל י"ח ברכות וחידש בה דבר מועט יצא כדאמרינן בירושלמי פרק תפלת השחר (ה"ו) אפילו אמר ונעשה לפניך את חובותינו (כ)תמידי יום וקרבן מוסף יצא:</w:t>
      </w:r>
    </w:p>
    <w:p w14:paraId="3C0DE2FF"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BCA2142" w14:textId="77777777" w:rsidR="004B2E7C" w:rsidRDefault="004B2E7C" w:rsidP="00434A6A">
      <w:pPr>
        <w:rPr>
          <w:rFonts w:asciiTheme="minorBidi" w:hAnsiTheme="minorBidi"/>
          <w:rtl/>
        </w:rPr>
      </w:pPr>
      <w:r>
        <w:rPr>
          <w:rFonts w:asciiTheme="minorBidi" w:hAnsiTheme="minorBidi" w:cs="Arial"/>
          <w:rtl/>
        </w:rPr>
        <w:t xml:space="preserve">היו לפניו שתי תפלות, אחת של מנחה ואחת של מוספין, כגון שאיחר מלהתפלל תפלת מוסף עד ו' שעות (ומחצה, טור) שהוא זמן תפלת מנחה, צריך להתפלל של מנחה תחלה ואח"כ של מוסף. הגה: ומיהו אם הקדים של מוסף, יצא (ב"י בשם הרשב"א). וי"א דהיינו דוקא שצריך עתה להתפלל שתיהן, כגון שרוצה לאכול ואסור לו לאכול עד שיתפלל מנחה, אבל אם א"צ עתה להתפלל מנחה יכול להקדים של מוסף. הגה: ומיהו אם הגיע מנחה קטנה יתפלל מנחה תחלה (הר"י והרא"ש בשם ירושלמי). ויש מי שהורה שאין עושים כן בצבור להקדים תפלת מנחה לתפלת מוסף, כדי שלא יטעו. </w:t>
      </w:r>
    </w:p>
    <w:p w14:paraId="146ACBE7" w14:textId="77777777" w:rsidR="004B2E7C" w:rsidRDefault="004B2E7C" w:rsidP="00434A6A">
      <w:pPr>
        <w:rPr>
          <w:rFonts w:asciiTheme="minorBidi" w:hAnsiTheme="minorBidi"/>
          <w:rtl/>
        </w:rPr>
      </w:pPr>
    </w:p>
    <w:p w14:paraId="601D182F" w14:textId="77777777" w:rsidR="004B2E7C" w:rsidRDefault="004B2E7C" w:rsidP="00434A6A">
      <w:pPr>
        <w:pStyle w:val="2"/>
        <w:rPr>
          <w:rtl/>
        </w:rPr>
      </w:pPr>
      <w:r>
        <w:rPr>
          <w:rtl/>
        </w:rPr>
        <w:t>סעיף ה</w:t>
      </w:r>
    </w:p>
    <w:p w14:paraId="5735B6EA" w14:textId="77777777" w:rsidR="004B2E7C" w:rsidRDefault="004B2E7C" w:rsidP="00434A6A">
      <w:pPr>
        <w:rPr>
          <w:rtl/>
        </w:rPr>
      </w:pPr>
      <w:r>
        <w:rPr>
          <w:rFonts w:cs="Arial"/>
          <w:rtl/>
        </w:rPr>
        <w:t>[ה] כתב ריב"ש בתשובה (סי' שלד) שבשבתות וימים טובים אין אומרים ברכו אחר קדיש בתרא וכתבתי זה בסוף סימן קל"ג (ד"ה כתב הריב"ש):</w:t>
      </w:r>
    </w:p>
    <w:p w14:paraId="42B701CE"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1CD0AAA" w14:textId="77777777" w:rsidR="004B2E7C" w:rsidRDefault="004B2E7C" w:rsidP="00434A6A">
      <w:pPr>
        <w:rPr>
          <w:rFonts w:asciiTheme="minorBidi" w:hAnsiTheme="minorBidi"/>
          <w:rtl/>
        </w:rPr>
      </w:pPr>
      <w:r>
        <w:rPr>
          <w:rFonts w:asciiTheme="minorBidi" w:hAnsiTheme="minorBidi" w:cs="Arial"/>
          <w:rtl/>
        </w:rPr>
        <w:t>בשבת ויו"ט אין אומרים ברכו אחר קדיש בתרא (וע"ל סי' קל"ג).</w:t>
      </w:r>
    </w:p>
    <w:p w14:paraId="321ED288" w14:textId="77777777" w:rsidR="004B2E7C" w:rsidRDefault="004B2E7C" w:rsidP="00434A6A">
      <w:pPr>
        <w:rPr>
          <w:rFonts w:asciiTheme="minorBidi" w:hAnsiTheme="minorBidi"/>
          <w:rtl/>
        </w:rPr>
      </w:pPr>
    </w:p>
    <w:p w14:paraId="637F7CC7"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56"/>
          <w:footnotePr>
            <w:numRestart w:val="eachSect"/>
          </w:footnotePr>
          <w:pgSz w:w="11906" w:h="16838"/>
          <w:pgMar w:top="720" w:right="1134" w:bottom="720" w:left="1134" w:header="0" w:footer="0" w:gutter="0"/>
          <w:cols w:space="720"/>
          <w:bidi/>
          <w:rtlGutter/>
        </w:sectPr>
      </w:pPr>
    </w:p>
    <w:p w14:paraId="2CE2D92D" w14:textId="77777777" w:rsidR="004B2E7C" w:rsidRDefault="004B2E7C" w:rsidP="00434A6A">
      <w:pPr>
        <w:pStyle w:val="1"/>
        <w:rPr>
          <w:rtl/>
        </w:rPr>
      </w:pPr>
      <w:r>
        <w:rPr>
          <w:rtl/>
        </w:rPr>
        <w:t xml:space="preserve">סימן רפז: ניחום אבלים וביקור חולים בשבת, ובו סעיף אחד. </w:t>
      </w:r>
    </w:p>
    <w:p w14:paraId="15B268FE" w14:textId="77777777" w:rsidR="004B2E7C" w:rsidRDefault="004B2E7C" w:rsidP="00434A6A">
      <w:pPr>
        <w:pStyle w:val="2"/>
        <w:rPr>
          <w:rtl/>
        </w:rPr>
      </w:pPr>
      <w:r>
        <w:rPr>
          <w:rtl/>
        </w:rPr>
        <w:t>סעיף א</w:t>
      </w:r>
    </w:p>
    <w:p w14:paraId="7872A359" w14:textId="77777777" w:rsidR="004B2E7C" w:rsidRDefault="004B2E7C" w:rsidP="00FF2D21">
      <w:pPr>
        <w:pStyle w:val="aa"/>
        <w:numPr>
          <w:ilvl w:val="0"/>
          <w:numId w:val="124"/>
        </w:numPr>
        <w:rPr>
          <w:rFonts w:cs="Arial"/>
          <w:rtl/>
        </w:rPr>
      </w:pPr>
      <w:r>
        <w:rPr>
          <w:rFonts w:cs="Arial"/>
          <w:rtl/>
        </w:rPr>
        <w:t>טור- ואם יש אבל יכול לילך לנחמו ולחולה לבקרו ולא יאמר לו כדרך שאומר בחול אלא יאמר לו שבת היא מלזעוק רפואה קרובה לבא ורחמיו מרובים ושבתו בשלום:</w:t>
      </w:r>
    </w:p>
    <w:p w14:paraId="60F18DAF" w14:textId="77777777" w:rsidR="004B2E7C" w:rsidRDefault="004B2E7C" w:rsidP="00434A6A">
      <w:pPr>
        <w:rPr>
          <w:rtl/>
        </w:rPr>
      </w:pPr>
      <w:r>
        <w:rPr>
          <w:rFonts w:cs="Arial"/>
          <w:rtl/>
        </w:rPr>
        <w:t>ואם יש אבל יכול לילך לנחמו ולחולה לבקרו. בפ"ק דשבת (יב.) אין מנחמין אבלים ואין מבקרין חולים בשבת דברי בית שמאי ובית הלל מתירין:</w:t>
      </w:r>
    </w:p>
    <w:p w14:paraId="2DD55242" w14:textId="77777777" w:rsidR="004B2E7C" w:rsidRDefault="004B2E7C" w:rsidP="00434A6A">
      <w:pPr>
        <w:rPr>
          <w:rtl/>
        </w:rPr>
      </w:pPr>
      <w:r>
        <w:rPr>
          <w:rFonts w:cs="Arial"/>
          <w:rtl/>
        </w:rPr>
        <w:t>ולא יאמר לו כדרך שאומר בחול וכו'. (שם) תנו רבנן הנכנס לבקר את החולה אומר שבת היא מלזעוק ורפואה קרובה לבוא ורבי מאיר אומר יכולה היא שבת שתרחם בזכותה רבי יהודה אומר המקום ירחם עליך ועל חולי עמו ישראל רבי יוסי אומר המקום ירחם עליך בתוך חולי עמו ישראל שבנא איש ירושלים אומר בכניסתו אומר שלום וביציאתו אומר שבת היא מלזעוק ורפואה קרובה לבוא ורחמיו מרובין ושבתו בשלום, ופירש הר"ן (ה: ד"ה תניא) שבת היא מלזעוק, [פירוש] אינו יכול לבקש רחמים עכשיו שעל ידי כן יעורר בכי ויצטער אלא אומר להם דברי תנחומין שלא יצטערו. ופסק הרמב"ם בפרק כ"ד (ה"ה) כת"ק וכן נראה שהוא דעת רבינו אלא שסובר דשבנא לא בא לחלוק אלא לפרש דברי ת"ק, והרמב"ן בספר תורת האדם, (ריש שער המיחוש) פסק כרבי יוסי ולא נהגו כן: מילה שחל להיות בשבת מה יעשה בכוס כתבתי בסימן רע"ג (ד"ה כתוב בהגהות):</w:t>
      </w:r>
    </w:p>
    <w:p w14:paraId="6BC18617"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A421192" w14:textId="77777777" w:rsidR="004B2E7C" w:rsidRDefault="004B2E7C" w:rsidP="00434A6A">
      <w:pPr>
        <w:rPr>
          <w:rFonts w:asciiTheme="minorBidi" w:hAnsiTheme="minorBidi" w:cs="Arial"/>
          <w:rtl/>
        </w:rPr>
      </w:pPr>
      <w:r>
        <w:rPr>
          <w:rFonts w:asciiTheme="minorBidi" w:hAnsiTheme="minorBidi" w:cs="Arial"/>
          <w:rtl/>
        </w:rPr>
        <w:t>יכולים לנחם אבלים בשבת, וכן יכולים לבקר את החולה. ולא יאמר לו כדרך שאומר לו בחול, אלא אומר לו: שבת היא מלזעוק ורפואה קרובה לבא ורחמיו מרובים ושבתו בשלום. הגה: וי"א דאין צריך לומר ורחמיו מרובים וכו', וכן נהגו (רמב"ם פרק כ"ד).</w:t>
      </w:r>
    </w:p>
    <w:p w14:paraId="53A8F98F" w14:textId="77777777" w:rsidR="004B2E7C" w:rsidRDefault="004B2E7C" w:rsidP="00434A6A">
      <w:pPr>
        <w:rPr>
          <w:rFonts w:asciiTheme="minorBidi" w:hAnsiTheme="minorBidi" w:cs="Arial"/>
          <w:rtl/>
        </w:rPr>
      </w:pPr>
    </w:p>
    <w:p w14:paraId="147AD5F8" w14:textId="77777777" w:rsidR="004B2E7C" w:rsidRDefault="004B2E7C" w:rsidP="00434A6A">
      <w:pPr>
        <w:rPr>
          <w:rFonts w:asciiTheme="minorBidi" w:hAnsiTheme="minorBidi" w:cs="Arial"/>
          <w:rtl/>
        </w:rPr>
      </w:pPr>
    </w:p>
    <w:p w14:paraId="476F379A"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57"/>
          <w:footnotePr>
            <w:numRestart w:val="eachSect"/>
          </w:footnotePr>
          <w:pgSz w:w="11906" w:h="16838"/>
          <w:pgMar w:top="720" w:right="1134" w:bottom="720" w:left="1134" w:header="0" w:footer="0" w:gutter="0"/>
          <w:cols w:space="720"/>
          <w:bidi/>
          <w:rtlGutter/>
        </w:sectPr>
      </w:pPr>
    </w:p>
    <w:p w14:paraId="10B4E4BE" w14:textId="77777777" w:rsidR="004B2E7C" w:rsidRDefault="004B2E7C" w:rsidP="00434A6A">
      <w:pPr>
        <w:pStyle w:val="1"/>
        <w:rPr>
          <w:rtl/>
        </w:rPr>
      </w:pPr>
      <w:r>
        <w:rPr>
          <w:rtl/>
        </w:rPr>
        <w:t xml:space="preserve">סימן רפח: דין תענית ודין תענית חלום בשבת, ובו י' סעיפים. </w:t>
      </w:r>
    </w:p>
    <w:p w14:paraId="06B7FFAE" w14:textId="77777777" w:rsidR="004B2E7C" w:rsidRDefault="004B2E7C" w:rsidP="00434A6A">
      <w:pPr>
        <w:pStyle w:val="2"/>
        <w:rPr>
          <w:rtl/>
        </w:rPr>
      </w:pPr>
      <w:r>
        <w:rPr>
          <w:rtl/>
        </w:rPr>
        <w:t>סעיף א</w:t>
      </w:r>
    </w:p>
    <w:p w14:paraId="5BD86198" w14:textId="77777777" w:rsidR="004B2E7C" w:rsidRDefault="004B2E7C" w:rsidP="00FF2D21">
      <w:pPr>
        <w:pStyle w:val="aa"/>
        <w:numPr>
          <w:ilvl w:val="0"/>
          <w:numId w:val="124"/>
        </w:numPr>
        <w:rPr>
          <w:rtl/>
        </w:rPr>
      </w:pPr>
      <w:r>
        <w:rPr>
          <w:rFonts w:cs="Arial"/>
          <w:rtl/>
        </w:rPr>
        <w:t>טור- וימהר לאכול קודם שש שעות דגרסינן בירושלמי ר' אחא ורבי אבהו בשם רבי יוסי בר חנינא אסור להתענות בשבת עד שש שעות ואין צריך לומר שאסור להתענות בו תענית גמור והא דאיתא בפרק אין עומדין היושב בתענית בשבת קורעים לו גזר דינו של ע' שנה מיירי בתענית חלום שאותו מותר בשבת לפי שנפשו עגומה על חלומו שראה וחושב שיתבטל בשכר התענית א"כ התענית הוא עונג לו ומ"מ צריך להתענות יום אחר שיתכפר על שביטל עיקר עונג שבת וא"צ שיהא התענית מיד ביום ראשון של אחריו אלא לכשירצה גרסינן בפרק כל כתבי (קיט ב) וכבדתו רב אמר להקדים פירוש שיקדים למהר לאכול בסעודת שבת ושמואל אמר לאחר ונ"ל דלא פליגי אלא כל אדם לפי עניינו אם ההקדמה עונג לו כגון שנתעכל לו סעודת הלילה יקדים ואם האיחור עונג לו כגון שעדיין לא נתעכל לא יאחר א"ל בריה דרב פפא לר"פ כגון אנן דשכיח לן חמרא ובשרא כל יומא במאי נשנייה א"ל אי רגיליתו לאקדומי אחרו ואי רגיליתו לאחורי אקדימו רבי זירא הוה מהדר אזוגא דרבנן אמר להו במטותא מינייכו לא תחללוניה פירו' כשהיה רואה תלמידים שקובעין ללמוד בזמן הסעודה היה מזהירם שלא יבטלו סעודת שבת:</w:t>
      </w:r>
    </w:p>
    <w:p w14:paraId="1724E494" w14:textId="77777777" w:rsidR="004B2E7C" w:rsidRDefault="004B2E7C" w:rsidP="00FF2D21">
      <w:pPr>
        <w:pStyle w:val="aa"/>
        <w:numPr>
          <w:ilvl w:val="0"/>
          <w:numId w:val="124"/>
        </w:numPr>
        <w:rPr>
          <w:rtl/>
        </w:rPr>
      </w:pPr>
      <w:r>
        <w:rPr>
          <w:rFonts w:cs="Arial"/>
          <w:rtl/>
        </w:rPr>
        <w:t>אין מתענים ולא מתריעין בו אפילו על הצרות שמתריעין עליהם חוץ מעל עיר שהקיפוה אויבים או נהר וכן על ספינה המטורפת בים וכן אפי' על יחיד הנרדף מפני אויבים או לסטים או רוח רעה ואפי' על אלו אין מתריעין בתפלה ותחינה אלא מתריעין להשמיע קול שיבואו להם לעזרה:</w:t>
      </w:r>
    </w:p>
    <w:p w14:paraId="7D61CBDE" w14:textId="77777777" w:rsidR="004B2E7C" w:rsidRDefault="004B2E7C" w:rsidP="00434A6A">
      <w:r>
        <w:rPr>
          <w:rFonts w:cs="Arial"/>
          <w:rtl/>
        </w:rPr>
        <w:t>[א] וימהר לאכול קודם שש שעות דגרסינן בירושלמי בשם רבי יוסי בר חנינא וכו'. בסוף פרק ג' דתעניות, והרי"ף (ה.) והרא"ש (סי' כד) כתבוהו בפרק קמא דשבת. וכתב שם המרדכי (שבת סי' רל) בשם אבי העזרי (הל' תענית סי' תתעו) אבל בתפלה ובתלמוד שרי דקיימא לן כרבי אליעזר (פסחים סח:) ושוב ראיתי דס"ל כרבי יהושע וכן פסק ראבי"ה (הל' סוכה סי' תרלו) עכ"ל: גרסינן בירושלמי (שבת פט"ו ה"ג) רבי חגי אמר לא ניתנו שבתות וימים טובים אלא לאכילה ושתייה רבי ברכיה אמר לא ניתנו אלא לעסוק בהם בדברי תורה ובתנחומא מפרש לא פלגין מה דאמר רבי ברכיה לתלמוד תורה אלו הפועלים שהם עסוקים במלאכתם כל ימות השבוע ובשבת הם באים ומתעסקים בתלמוד תורה ומה דאמר רבי חגי להתענג אלו תלמידי חכמים שהם יגעים בתורה כל ימות השבוע ובשבת הם מתענגים. והא דאמר (רבא) [רבה] (שם) הכל מודים בשבת דבעינן לכם כמו שנתבאר בסימן רמ"ב יש לומר התם לרבי אליעזר ורבי יהושע קאמר אי נמי התם בעונג קצת והכא לעסוק כל היום בתענוג:</w:t>
      </w:r>
    </w:p>
    <w:p w14:paraId="2BD6F624"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0AD8B88" w14:textId="77777777" w:rsidR="004B2E7C" w:rsidRDefault="004B2E7C" w:rsidP="00434A6A">
      <w:pPr>
        <w:rPr>
          <w:rFonts w:asciiTheme="minorBidi" w:hAnsiTheme="minorBidi"/>
          <w:rtl/>
        </w:rPr>
      </w:pPr>
      <w:r>
        <w:rPr>
          <w:rFonts w:asciiTheme="minorBidi" w:hAnsiTheme="minorBidi" w:cs="Arial"/>
          <w:rtl/>
        </w:rPr>
        <w:t xml:space="preserve">אסור להתענות בשבת עד ו' שעות. </w:t>
      </w:r>
      <w:r>
        <w:rPr>
          <w:rFonts w:asciiTheme="minorBidi" w:hAnsiTheme="minorBidi" w:cs="Arial"/>
          <w:sz w:val="18"/>
          <w:szCs w:val="18"/>
          <w:rtl/>
        </w:rPr>
        <w:t xml:space="preserve">הגה: ואפילו לומד ומתפלל, אסור (מרדכי פ"ק דשבת). </w:t>
      </w:r>
    </w:p>
    <w:p w14:paraId="4CCED30C" w14:textId="77777777" w:rsidR="004B2E7C" w:rsidRDefault="004B2E7C" w:rsidP="00434A6A">
      <w:pPr>
        <w:rPr>
          <w:rFonts w:asciiTheme="minorBidi" w:hAnsiTheme="minorBidi"/>
          <w:rtl/>
        </w:rPr>
      </w:pPr>
    </w:p>
    <w:p w14:paraId="358349E7" w14:textId="77777777" w:rsidR="004B2E7C" w:rsidRDefault="004B2E7C" w:rsidP="00434A6A">
      <w:pPr>
        <w:pStyle w:val="2"/>
        <w:rPr>
          <w:rtl/>
        </w:rPr>
      </w:pPr>
      <w:r>
        <w:rPr>
          <w:rtl/>
        </w:rPr>
        <w:t>סעיף ב</w:t>
      </w:r>
    </w:p>
    <w:p w14:paraId="08B6F4E5" w14:textId="77777777" w:rsidR="004B2E7C" w:rsidRDefault="004B2E7C" w:rsidP="00434A6A">
      <w:pPr>
        <w:rPr>
          <w:rtl/>
        </w:rPr>
      </w:pPr>
      <w:r>
        <w:rPr>
          <w:rFonts w:cs="Arial"/>
          <w:rtl/>
        </w:rPr>
        <w:t xml:space="preserve">[ב] </w:t>
      </w:r>
      <w:r>
        <w:rPr>
          <w:rStyle w:val="a9"/>
          <w:rFonts w:cs="Arial"/>
          <w:rtl/>
        </w:rPr>
        <w:footnoteReference w:id="1039"/>
      </w:r>
      <w:r>
        <w:rPr>
          <w:rFonts w:cs="Arial"/>
          <w:rtl/>
        </w:rPr>
        <w:t>כתב האגור (סי' תב) בשם שבלי הלקט (סי' צג) דאיתא בהגדה שמצאו תלמידיו לרבי עקיבא שהיה בוכה בשבת ואמר זהו עונג לי יש מוכיחין מכאן שאדם שמזיק לו אכילתו דאז עונג לו שלא לאכול וכמעט שהוא אסור לאכול דהא מצער ליה במה שאוכל עכ"ל: כתב הכל בו סימן נ"ח (יז ע"ד) אפשר לומר דדוקא להתענות מחמת עסקיו או מחמת יאוש שמחת יום טוב הוא שאסור אבל המתענה מחמת תשובה וחסידות תעניתו לו תענוג ומותר ומכל מקום אין ראוי לאדם להרגיל על זה ולא תמצא מי שמופלא בחסידות שמתענה בשבתות וימים טובים:</w:t>
      </w:r>
    </w:p>
    <w:p w14:paraId="6DDD9DBA"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9F8CCAC" w14:textId="77777777" w:rsidR="004B2E7C" w:rsidRDefault="004B2E7C" w:rsidP="00434A6A">
      <w:pPr>
        <w:rPr>
          <w:rFonts w:asciiTheme="minorBidi" w:hAnsiTheme="minorBidi"/>
          <w:rtl/>
        </w:rPr>
      </w:pPr>
      <w:r>
        <w:rPr>
          <w:rFonts w:asciiTheme="minorBidi" w:hAnsiTheme="minorBidi" w:cs="Arial"/>
          <w:rtl/>
        </w:rPr>
        <w:t xml:space="preserve">י"א שאדם שמזיק לו האכילה, דאז עונג הוא שלא לאכול, לא יאכל. הגה: וכן מי שיש לו עונג אם יבכה, כדי שילך הצער מלבו, מותר לבכות בשבת (אגור בשם שבולי לקט). </w:t>
      </w:r>
    </w:p>
    <w:p w14:paraId="08D0D61A" w14:textId="77777777" w:rsidR="004B2E7C" w:rsidRDefault="004B2E7C" w:rsidP="00434A6A">
      <w:pPr>
        <w:pStyle w:val="2"/>
        <w:rPr>
          <w:rtl/>
        </w:rPr>
      </w:pPr>
      <w:r>
        <w:rPr>
          <w:rtl/>
        </w:rPr>
        <w:t>סעיף ג</w:t>
      </w:r>
    </w:p>
    <w:p w14:paraId="4EB26156" w14:textId="77777777" w:rsidR="004B2E7C" w:rsidRDefault="004B2E7C" w:rsidP="00434A6A">
      <w:pPr>
        <w:rPr>
          <w:rtl/>
        </w:rPr>
      </w:pPr>
      <w:r>
        <w:rPr>
          <w:rFonts w:cs="Arial"/>
          <w:rtl/>
        </w:rPr>
        <w:t>[ג] והגהות מיימון כתבו בפ"א מהלכות תענית (אות ב) אדם המתענה בכל יום ואכילה בשבת צער הוא לו מפני שינוי וסת ראינו כמה חסידים ואנשי מעשה שהתענו בשבת מטעם זה וכן שמעתי על רבי יהודה החסיד שהיה עושה כן וכן אמרינן בפסחים (סח:) מר בריה דרבינא הוה יתיב בתעניתא כולי שתא בר מעצרתא ופוריא ומעלי יומא דכפורי אבל בלא כהאי גוונא אסור עכ"ל:</w:t>
      </w:r>
    </w:p>
    <w:p w14:paraId="2C4CFB6E"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05686FA" w14:textId="77777777" w:rsidR="004B2E7C" w:rsidRDefault="004B2E7C" w:rsidP="00434A6A">
      <w:pPr>
        <w:rPr>
          <w:rFonts w:asciiTheme="minorBidi" w:hAnsiTheme="minorBidi"/>
          <w:rtl/>
        </w:rPr>
      </w:pPr>
      <w:r>
        <w:rPr>
          <w:rFonts w:asciiTheme="minorBidi" w:hAnsiTheme="minorBidi" w:cs="Arial"/>
          <w:rtl/>
        </w:rPr>
        <w:t xml:space="preserve">אדם המתענה בכל יום ואכילה בשבת צער הוא לו מפני שינוי וסת (פי' דבר קבוע), י"א שראו כמה חסידים ואנשי מעשה שהתענו בשבת מטעם זה, וכן אמרו שכך היה עושה הר"י החסיד ז"ל. </w:t>
      </w:r>
    </w:p>
    <w:p w14:paraId="3284DA65" w14:textId="77777777" w:rsidR="004B2E7C" w:rsidRDefault="004B2E7C" w:rsidP="00434A6A">
      <w:pPr>
        <w:rPr>
          <w:rFonts w:asciiTheme="minorBidi" w:hAnsiTheme="minorBidi"/>
          <w:rtl/>
        </w:rPr>
      </w:pPr>
    </w:p>
    <w:p w14:paraId="2DBB29A9" w14:textId="77777777" w:rsidR="004B2E7C" w:rsidRDefault="004B2E7C" w:rsidP="00434A6A">
      <w:pPr>
        <w:pStyle w:val="2"/>
        <w:rPr>
          <w:rtl/>
        </w:rPr>
      </w:pPr>
      <w:r>
        <w:rPr>
          <w:rtl/>
        </w:rPr>
        <w:t>סעיף ד</w:t>
      </w:r>
    </w:p>
    <w:p w14:paraId="003A117D" w14:textId="77777777" w:rsidR="004B2E7C" w:rsidRDefault="004B2E7C" w:rsidP="00434A6A">
      <w:pPr>
        <w:rPr>
          <w:rtl/>
        </w:rPr>
      </w:pPr>
      <w:r>
        <w:rPr>
          <w:rFonts w:cs="Arial"/>
          <w:rtl/>
        </w:rPr>
        <w:t>[ד (א)] והא דאיתא בפרק אין עומדין (ברכות לא סוע"ב) היושב בתענית בשבת וכו' מיירי בתענית חלום. כן כתבו התוספות שם (ד"ה כל), והרי"ף (ה.) והרא"ש (סי' כד) בפרק קמא דשבת. וטעמו של דבר למה (קוראין) [קורעין] גזר דינו כתוב בספר הזוהר פרשת אמור (קה.):</w:t>
      </w:r>
    </w:p>
    <w:p w14:paraId="4EBD9AC3" w14:textId="77777777" w:rsidR="004B2E7C" w:rsidRDefault="004B2E7C" w:rsidP="00434A6A">
      <w:pPr>
        <w:rPr>
          <w:rtl/>
        </w:rPr>
      </w:pPr>
      <w:r>
        <w:rPr>
          <w:rFonts w:cs="Arial"/>
          <w:rtl/>
        </w:rPr>
        <w:t>[ד (ב)] ומכל מקום צריך להתענות יום אחר וכו'. פשוט הוא בפ"ק דתעניות (יב:) ובפרק אין עומדין (ברכות לא סוע"ב) והביאו הרי"ף בפרק קמא דשבת (ה.):</w:t>
      </w:r>
    </w:p>
    <w:p w14:paraId="5AE70714" w14:textId="77777777" w:rsidR="004B2E7C" w:rsidRDefault="004B2E7C" w:rsidP="00434A6A">
      <w:pPr>
        <w:rPr>
          <w:rtl/>
        </w:rPr>
      </w:pPr>
      <w:r>
        <w:rPr>
          <w:rFonts w:cs="Arial"/>
          <w:rtl/>
        </w:rPr>
        <w:t>ומ"ש ואין צריך שיהיה התענית מיד ביום ראשון. כן כתב המרדכי בפרק קמא דשבת (סי' רכט) והרב המגיד בפ"א מהלכות תענית (הי"ב) אבל בספר הזוהר כתוב בפרשת ויקהל (רז:) שצריך להתענות מיד ביום המחרת כדי לתקן את אשר עיות בביטול עונג שבת. וגם בשם הרשב"א (חי' הרשב"א ברכות לא: ד"ה מאי תקנתיה, ושו"ת ח"ג סי' רכב) מצאתי כתוב דהא דאין צריך שיהיה התענית מיד ביום א' דוקא מי שתשש כחו ואינו יכול להתענות ב' ימים רצופים שאם לא כן ראוי לו שלא יתעכב לבקש סליחה וכפרה ע"כ:</w:t>
      </w:r>
      <w:r>
        <w:rPr>
          <w:rStyle w:val="a9"/>
          <w:rtl/>
        </w:rPr>
        <w:footnoteReference w:id="1040"/>
      </w:r>
    </w:p>
    <w:p w14:paraId="6C076321" w14:textId="77777777" w:rsidR="004B2E7C" w:rsidRDefault="004B2E7C" w:rsidP="00434A6A">
      <w:pPr>
        <w:rPr>
          <w:rtl/>
        </w:rPr>
      </w:pPr>
      <w:r>
        <w:rPr>
          <w:rFonts w:cs="Arial"/>
          <w:rtl/>
        </w:rPr>
        <w:t>[ד (ג), ו (א)] אבל הרשב"א כתב בתשובה (ח"ד סי' רסב) דההיא דמר בריה דרבינא הוה יתיב בתעניתא וכו' בתענית חלום דוקא הוא דאי לאו הכי אסור וכן צריך לפרש כדי שלא יחלוק אכולהו תנאי ואמוראי ואת"ל דבתענית דעלמא קאמר לא שבקינן כולהו תנאי ואמוראי ועבדינן כיחידאה וכל שכן בשל תורה והאריך להביא ראיות לדבר:</w:t>
      </w:r>
      <w:r>
        <w:rPr>
          <w:rStyle w:val="a9"/>
          <w:rtl/>
        </w:rPr>
        <w:footnoteReference w:id="1041"/>
      </w:r>
    </w:p>
    <w:p w14:paraId="7272D329"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A1BB492" w14:textId="77777777" w:rsidR="004B2E7C" w:rsidRDefault="004B2E7C" w:rsidP="00434A6A">
      <w:pPr>
        <w:rPr>
          <w:rFonts w:asciiTheme="minorBidi" w:hAnsiTheme="minorBidi" w:cs="Arial"/>
          <w:rtl/>
        </w:rPr>
      </w:pPr>
      <w:r>
        <w:rPr>
          <w:rFonts w:asciiTheme="minorBidi" w:hAnsiTheme="minorBidi" w:cs="Arial"/>
          <w:rtl/>
        </w:rPr>
        <w:t xml:space="preserve">מותר להתענות בו תענית חלום כדי שיקרע גזר דינו. וצריך להתענות ביום ראשון, כדי שיתכפר לו מה שביטל עונג שבת. ואם תשש כחו ואינו יכול להתענות ב' ימים רצופים, לא יתענה ביום א' ויתענה אח"כ. </w:t>
      </w:r>
      <w:r>
        <w:rPr>
          <w:rFonts w:asciiTheme="minorBidi" w:hAnsiTheme="minorBidi" w:cs="Arial"/>
          <w:sz w:val="18"/>
          <w:szCs w:val="18"/>
          <w:rtl/>
        </w:rPr>
        <w:t>הגה: וכ"ש אם היה ביום א' חנוכה או ר"ח או פורים או יום טוב אפילו יום טוב שני של גליות שאין להתענות עד אח"כ. וי"א מי שישן שינת צהרים וחלם לו חלום רע, יתענה מחצי היום עד חצי הלילה ואז יבדיל, וביום הראשון יתענה כאילו התענה כל יום השבת (מ"כ).</w:t>
      </w:r>
    </w:p>
    <w:p w14:paraId="53EB1570" w14:textId="77777777" w:rsidR="004B2E7C" w:rsidRDefault="004B2E7C" w:rsidP="00434A6A">
      <w:pPr>
        <w:rPr>
          <w:rFonts w:asciiTheme="minorBidi" w:hAnsiTheme="minorBidi"/>
          <w:rtl/>
        </w:rPr>
      </w:pPr>
      <w:r>
        <w:rPr>
          <w:rFonts w:asciiTheme="minorBidi" w:hAnsiTheme="minorBidi" w:cs="Arial"/>
          <w:rtl/>
        </w:rPr>
        <w:t xml:space="preserve"> </w:t>
      </w:r>
    </w:p>
    <w:p w14:paraId="7CA23FB4" w14:textId="77777777" w:rsidR="004B2E7C" w:rsidRDefault="004B2E7C" w:rsidP="00434A6A">
      <w:pPr>
        <w:pStyle w:val="2"/>
        <w:rPr>
          <w:rtl/>
        </w:rPr>
      </w:pPr>
      <w:r>
        <w:rPr>
          <w:rtl/>
        </w:rPr>
        <w:t>סעיף ה</w:t>
      </w:r>
    </w:p>
    <w:p w14:paraId="7772CA4F" w14:textId="77777777" w:rsidR="004B2E7C" w:rsidRDefault="004B2E7C" w:rsidP="00434A6A">
      <w:pPr>
        <w:rPr>
          <w:rtl/>
        </w:rPr>
      </w:pPr>
      <w:r>
        <w:rPr>
          <w:rFonts w:cs="Arial"/>
          <w:rtl/>
        </w:rPr>
        <w:t>[ה] וכתב המרדכי בפ"ק דשבת (סי' רכט) בשם רא"ם דאין להתענות אלא על חלום שראהו תלת זימני, ורבינו כתב בסימן תקס"ח (רצ.) בשם רב עמרם ורבינו קלונימוס שבזמן הזה אין להתענות תענית חלום בשבת שאין אנו בקיאין בפתרון החלומות לידע איזה רע ואיזה טוב ואין מתענין מספק וכן כתב אבי העזרי (סי' תתס) עכ"ל ולא כתבו כאן לפי שסמך על מה שכתב שם ובהגהות אשיר"י פ"ק דתעניות (סוף סי' טז) הביא דברים הללו ואחר כך כתב ומנהג בזמן הזה שמתענין בשבת תענית חלום וכן היו נוהגין רבותינו ואם הוא תלמיד חכם ישב כל היום וילמוד בתעניתו ויתכפר לו ע"כ: והעולם אומרים שנמצא בספרים קדמונים שעל ג' חלומות מתענין בשבת ואלו הם הרואה ספר תורה שנשרף או יום הכפורים בשעת נעילה או קורות ביתו או שיניו שנפלו ויש אומרים הרואה יום הכפורים אפילו שלא בשעת נעילה ויש אומרים הקורא בספר תורה ויש אומרים הרואה שנושא אשה</w:t>
      </w:r>
      <w:r>
        <w:rPr>
          <w:rStyle w:val="a9"/>
          <w:rFonts w:cs="Arial"/>
          <w:rtl/>
        </w:rPr>
        <w:footnoteReference w:id="1042"/>
      </w:r>
      <w:r>
        <w:rPr>
          <w:rFonts w:cs="Arial"/>
          <w:rtl/>
        </w:rPr>
        <w:t>. [בדק הבית] והא דרואה שיניו שנפלו דוקא שיניו אבל הרואה לחייו שנשרו חלום טוב הוא שמתו היועצים עליו רע כדאיתא בפרק הרואה (ברכות נו:) ונראה לי שהחלומות שאמרו בפרק הרואה שהם רעים גם עליהם מתענין בשבת [עד כאן]:</w:t>
      </w:r>
    </w:p>
    <w:p w14:paraId="09C82486"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E2DEAD7" w14:textId="77777777" w:rsidR="004B2E7C" w:rsidRDefault="004B2E7C" w:rsidP="00434A6A">
      <w:pPr>
        <w:rPr>
          <w:rFonts w:asciiTheme="minorBidi" w:hAnsiTheme="minorBidi"/>
          <w:rtl/>
        </w:rPr>
      </w:pPr>
      <w:r>
        <w:rPr>
          <w:rFonts w:asciiTheme="minorBidi" w:hAnsiTheme="minorBidi" w:cs="Arial"/>
          <w:rtl/>
        </w:rPr>
        <w:t xml:space="preserve">י"א שאין להתענות ת"ח =תענית חלום= בשבת אלא על חלום שראהו תלת זימני. וי"א שבזמן הזה אין להתענות ת"ח =תענית חלום= בשבת, שאין אנו בקיאים בפתרון חלומות לידע איזה טוב ואיזה רע. והעולם אומרים שנמצא בספרים קדמונים שעל שלשה חלומות מתענים בשבת, ואלו הן: הרואה ס"ת שנשרף, או יוה"כ בשעת נעילה, או קורות ביתו או שיניו שנפלו; וי"א הרואה יוה"כ אפילו שלא בשעת נעילה; וי"א הרואה שקורא בתורה; וי"א הרואה שנושא אשה. והא דרואה שיניו שנפלו דוקא שיניו, אבל הרואה לחייו שנשרו, חלום טוב הוא דמתו היועצים עליו רעה ונ"ל שהחלומות שאמרו בפרק הרואה שהם רעים, גם עליהם מתענין בשבת. </w:t>
      </w:r>
    </w:p>
    <w:p w14:paraId="229722DB" w14:textId="77777777" w:rsidR="004B2E7C" w:rsidRDefault="004B2E7C" w:rsidP="00434A6A">
      <w:pPr>
        <w:rPr>
          <w:rFonts w:asciiTheme="minorBidi" w:hAnsiTheme="minorBidi"/>
          <w:rtl/>
        </w:rPr>
      </w:pPr>
    </w:p>
    <w:p w14:paraId="1B2102DA" w14:textId="77777777" w:rsidR="004B2E7C" w:rsidRDefault="004B2E7C" w:rsidP="00434A6A">
      <w:pPr>
        <w:pStyle w:val="2"/>
        <w:rPr>
          <w:rtl/>
        </w:rPr>
      </w:pPr>
      <w:r>
        <w:rPr>
          <w:rtl/>
        </w:rPr>
        <w:t>סעיף ו</w:t>
      </w:r>
    </w:p>
    <w:p w14:paraId="5C77301F" w14:textId="77777777" w:rsidR="004B2E7C" w:rsidRDefault="004B2E7C" w:rsidP="00434A6A">
      <w:pPr>
        <w:rPr>
          <w:rtl/>
        </w:rPr>
      </w:pPr>
      <w:r>
        <w:rPr>
          <w:rFonts w:cs="Arial"/>
          <w:rtl/>
        </w:rPr>
        <w:t>[ו (ב)] המתענה בשבת באיזה מקום יאמר עננו כתב רבינו בסימן ר"כ ובסימן תקס"ח:</w:t>
      </w:r>
      <w:r>
        <w:rPr>
          <w:rStyle w:val="a9"/>
          <w:rtl/>
        </w:rPr>
        <w:footnoteReference w:id="1043"/>
      </w:r>
    </w:p>
    <w:p w14:paraId="637E07AD"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4F95FB2" w14:textId="77777777" w:rsidR="004B2E7C" w:rsidRDefault="004B2E7C" w:rsidP="00434A6A">
      <w:pPr>
        <w:rPr>
          <w:rFonts w:asciiTheme="minorBidi" w:hAnsiTheme="minorBidi"/>
          <w:rtl/>
        </w:rPr>
      </w:pPr>
      <w:r>
        <w:rPr>
          <w:rFonts w:asciiTheme="minorBidi" w:hAnsiTheme="minorBidi" w:cs="Arial"/>
          <w:rtl/>
        </w:rPr>
        <w:t xml:space="preserve">המתענה בשבת אומר: עננו, אחר סיום תפלתו בלא חתימה, וכוללו באלהי נצור. הגה: ויאמר אחר תפלתו: רבון העולמים גלוי וכו' כמו בחול (א"ז הלכות תענית). </w:t>
      </w:r>
    </w:p>
    <w:p w14:paraId="1DD9266E" w14:textId="77777777" w:rsidR="004B2E7C" w:rsidRDefault="004B2E7C" w:rsidP="00434A6A">
      <w:pPr>
        <w:pStyle w:val="2"/>
        <w:rPr>
          <w:rtl/>
        </w:rPr>
      </w:pPr>
      <w:r>
        <w:rPr>
          <w:rtl/>
        </w:rPr>
        <w:t>סעיף ז</w:t>
      </w:r>
    </w:p>
    <w:p w14:paraId="2EA3F9B1"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3AEC9D3" w14:textId="77777777" w:rsidR="004B2E7C" w:rsidRDefault="004B2E7C" w:rsidP="00434A6A">
      <w:pPr>
        <w:rPr>
          <w:rFonts w:asciiTheme="minorBidi" w:hAnsiTheme="minorBidi"/>
          <w:rtl/>
        </w:rPr>
      </w:pPr>
      <w:r>
        <w:rPr>
          <w:rFonts w:asciiTheme="minorBidi" w:hAnsiTheme="minorBidi" w:cs="Arial"/>
          <w:rtl/>
        </w:rPr>
        <w:t xml:space="preserve">אם הקדימה לאכול הוא עונג לו כגון שנתעכלה סעודת הלילה, יקדים. ואם האיחור עונג לו, כגון שעדיין לא נתעכל, יאחר. הגה: וכן מי שיש לו סעודות כל יום כמו בשבת, ישנה בשבת להקדים או לאחר (גמ' פכ"ב וטור). </w:t>
      </w:r>
    </w:p>
    <w:p w14:paraId="43818B47" w14:textId="77777777" w:rsidR="004B2E7C" w:rsidRDefault="004B2E7C" w:rsidP="00434A6A">
      <w:pPr>
        <w:rPr>
          <w:rFonts w:asciiTheme="minorBidi" w:hAnsiTheme="minorBidi"/>
          <w:rtl/>
        </w:rPr>
      </w:pPr>
    </w:p>
    <w:p w14:paraId="5BC904A6" w14:textId="77777777" w:rsidR="004B2E7C" w:rsidRDefault="004B2E7C" w:rsidP="00434A6A">
      <w:pPr>
        <w:pStyle w:val="2"/>
        <w:rPr>
          <w:rtl/>
        </w:rPr>
      </w:pPr>
      <w:r>
        <w:rPr>
          <w:rtl/>
        </w:rPr>
        <w:t>סעיף ח</w:t>
      </w:r>
    </w:p>
    <w:p w14:paraId="49C436AF" w14:textId="77777777" w:rsidR="004B2E7C" w:rsidRDefault="004B2E7C" w:rsidP="00434A6A">
      <w:pPr>
        <w:rPr>
          <w:rtl/>
        </w:rPr>
      </w:pPr>
      <w:r>
        <w:rPr>
          <w:rFonts w:cs="Arial"/>
          <w:rtl/>
        </w:rPr>
        <w:t>[ח] ומ"ש שאין מתענין אפילו על דברים אלו. כן משמע ממה שכתבתי בסמוך דאיתא בפ"ק דתעניות התרעה בשופרות מי שריא הרי דאפילו ת"ק לא שרי אלא צעקה בפה לא תקיעה בשופר וכל שכן דלהתענות בשבת אסור, אבל הרמב"ם כתב בפרק א' מהלכות תענית (ה"ו) שמתענין על כל אלו בשבת וכתב הרב המגיד שטעמו מדאמרינן בספ"ק דתעניות מאי מתריעין אילימא בשופרות שופרות בשבת מי איכא אלא לאו בענינו ומפרש בענינו תפלת תענית שהיא ענינו מתפללין אותה לפי שמתענין וכתב שלא ראה לאחד מן המפרשים שפירש כן ובסוף דבריו כתב ובאמת שדברי רבינו במה שכתב מתענין בשבת תמוהים בעיני וצ"ע עכ"ל, ורבינו אף על גב שבסימן תקע"ו הסכים לדעת הרמב"ם לענין שצועקים ומתחננים עליהם מכל מקום לענין מה שכתב שמתענים בהן לא הסכים עמו שהרי כשכתב דברי הרמב"ם השמיט מהם שמתענים ואולי שלא היה כתוב בנוסחתו והיא נוסחא ישרה שהרי בפרק ב' ופרק ל' מהלכות שבת שהזכיר דין זה לא כתב שמתענין עליהם בשבת אף על פי שבפירוש המשנה פ"ג דתעניות (מ"ז) כתב בהדיא שמתענין על אלו בשבת:</w:t>
      </w:r>
    </w:p>
    <w:p w14:paraId="0772C460"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8E44076" w14:textId="77777777" w:rsidR="004B2E7C" w:rsidRDefault="004B2E7C" w:rsidP="00434A6A">
      <w:pPr>
        <w:rPr>
          <w:rFonts w:asciiTheme="minorBidi" w:hAnsiTheme="minorBidi"/>
          <w:rtl/>
        </w:rPr>
      </w:pPr>
      <w:r>
        <w:rPr>
          <w:rFonts w:asciiTheme="minorBidi" w:hAnsiTheme="minorBidi" w:cs="Arial"/>
          <w:rtl/>
        </w:rPr>
        <w:t xml:space="preserve">אין מתענין על שום צרה מהצרות כלל. </w:t>
      </w:r>
    </w:p>
    <w:p w14:paraId="4789C170" w14:textId="77777777" w:rsidR="004B2E7C" w:rsidRDefault="004B2E7C" w:rsidP="00434A6A">
      <w:pPr>
        <w:rPr>
          <w:rFonts w:asciiTheme="minorBidi" w:hAnsiTheme="minorBidi"/>
          <w:rtl/>
        </w:rPr>
      </w:pPr>
    </w:p>
    <w:p w14:paraId="0ACEC5F9" w14:textId="77777777" w:rsidR="004B2E7C" w:rsidRDefault="004B2E7C" w:rsidP="00434A6A">
      <w:pPr>
        <w:pStyle w:val="2"/>
        <w:rPr>
          <w:rtl/>
        </w:rPr>
      </w:pPr>
      <w:r>
        <w:rPr>
          <w:rtl/>
        </w:rPr>
        <w:t>סעיף ט</w:t>
      </w:r>
    </w:p>
    <w:p w14:paraId="398DA498" w14:textId="77777777" w:rsidR="004B2E7C" w:rsidRDefault="004B2E7C" w:rsidP="00434A6A">
      <w:pPr>
        <w:rPr>
          <w:rtl/>
        </w:rPr>
      </w:pPr>
      <w:r>
        <w:rPr>
          <w:rFonts w:cs="Arial"/>
          <w:rtl/>
        </w:rPr>
        <w:t>[ט (א)] אין מתענין ולא מתריעין בו וכו'. משנה בפ"ג דתעניות (יט.) על אלו מתריעין בשבת על עיר שהקיפוה גוים או נהר ועל ספינה המטרפת בים רבי יוסי אומר לעזרה אבל לא לצעקה. ואמרינן בספ"ק (יד.) דהאי התרעה בפה היא דאילו בשופרות מי שרי ומשמע דלתפלה הוא דאמרינן הכי אבל לעזרה פשיטא דשרי שהרי אפילו חילול גמור מחללין, ופסק הרמב"ם בפרק ב' (הכ"ד) ובפרק ל' (הי"ב) כתנא קמא וכן כתב גם כן בפרק א' מהלכות תעניות (ה"ו) שזועקים עליהם ומתחננים בשבת ומתריעים עליהם לעזור אותם וכן דעת סמ"ג (ל"ת סה, כא ע"ג) וסמ"ק (סו"ס רפב, ע' שה) וכן נראה מדברי רבינו ירוחם בנתיב י"ח ח"א (קסג.), אבל רבינו פסק כאן כרבי יוסי ובסימן תקע"ו כתב אין מתענין ולא מתריעין לא בשבתות ולא בימים טובים חוץ מעיר שהקיפוה גוים או נהר ואפילו על יחיד הנרדף מפני גוים או ליסטים או רוח רעה זועקים ומתחננים בתפלות בשבת אבל אין תוקעין אלא אם כן תוקעין לקבץ העם לעזור לאחיהם להצילם כך כתב הרמב"ם (שם) ורש"י (שם) פירש אפילו תפלה להתחנן ולזעוק אין לעשות אלא צועקים על בני אדם שיבואו לעזור ומסתברא כדברי הרמב"ם עכ"ל, ויש לתמוה עליו שכאן כתב כדברי רש"י ושם כתב דמסתברא כהרמב"ם ושם (רצד: ד"ה ויש) אבאר בס"ד:</w:t>
      </w:r>
    </w:p>
    <w:p w14:paraId="09F02B78"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DC062AC" w14:textId="77777777" w:rsidR="004B2E7C" w:rsidRDefault="004B2E7C" w:rsidP="00434A6A">
      <w:pPr>
        <w:rPr>
          <w:rFonts w:asciiTheme="minorBidi" w:hAnsiTheme="minorBidi" w:cs="Arial"/>
          <w:rtl/>
        </w:rPr>
      </w:pPr>
      <w:r>
        <w:rPr>
          <w:rFonts w:asciiTheme="minorBidi" w:hAnsiTheme="minorBidi" w:cs="Arial"/>
          <w:rtl/>
        </w:rPr>
        <w:t xml:space="preserve">אין צועקים ולא מתריעין בו על שום צרה חוץ מצרת המזונות שצועקים עליה בפה בשבת, ולא בשופר. וכן עיר שהקיפוה אנסין או נהר וספינה המטורפת בים, ואפילו על יחיד הנרדף מפני אנסין או לסטים או רוח רעה, זועקין ומתחננין בתפלות בשבת, אבל אין תוקעין אא"כ תוקעין לקבץ העם לעזור אחיהם ולהצילם (וע"ל סי' תקע"ו סי"ג). </w:t>
      </w:r>
    </w:p>
    <w:p w14:paraId="389656A6" w14:textId="77777777" w:rsidR="004B2E7C" w:rsidRDefault="004B2E7C" w:rsidP="00434A6A">
      <w:pPr>
        <w:rPr>
          <w:rFonts w:asciiTheme="minorBidi" w:hAnsiTheme="minorBidi"/>
          <w:rtl/>
        </w:rPr>
      </w:pPr>
    </w:p>
    <w:p w14:paraId="7A86E2F0" w14:textId="77777777" w:rsidR="004B2E7C" w:rsidRDefault="004B2E7C" w:rsidP="00434A6A">
      <w:pPr>
        <w:pStyle w:val="2"/>
        <w:rPr>
          <w:rtl/>
        </w:rPr>
      </w:pPr>
      <w:r>
        <w:rPr>
          <w:rtl/>
        </w:rPr>
        <w:t>סעיף י</w:t>
      </w:r>
    </w:p>
    <w:p w14:paraId="23BCF9B7" w14:textId="77777777" w:rsidR="004B2E7C" w:rsidRDefault="004B2E7C" w:rsidP="00434A6A">
      <w:pPr>
        <w:rPr>
          <w:rtl/>
        </w:rPr>
      </w:pPr>
      <w:r>
        <w:rPr>
          <w:rFonts w:cs="Arial"/>
          <w:rtl/>
        </w:rPr>
        <w:t>[ט (ב), י] ומ"ש וכן אפילו על יחיד הנרדף וכו'. גם זה שם (כב:) תנו רבנן עיר שהקיפוה גוים או נהר וספינה המטרפת בים ויחיד הנרדף מפני גוים ומפני רוח רעה ומפני ליסטים מתריעין עליהם מיד בשבת ורבינו לטעמיה דבסמוך אזיל דפסק כרבי יוסי דאמר לעזרה אבל לא לזעקה ולפיכך פירש דברייתא זו לעזרה דוקא היא, אבל הרמב"ם (שם) וסמ"ג (שם) וסמ"ק (שם) ורבינו ירוחם (שם) פירשוה דאף לזעקה מתריעין. וכן נראה שהוא דעת הר"ן (ח: ד"ה גמרא) שכתב על ברייתא זו מפני רוח רעה שנכנס בו רוח שד ורץ והולך שמא יטבע בנהר או יפול וימות או שהוא חולי ממיני החולאים ולפי זה יש ללמוד לכל חולי שיש בו סכנת היום שמתריעין עליו בשבת שלא אמרו מפני רוח רעה אלא מפני שהוא חולי של סכנה ביומו ואפשר שעל זה סמכו בהרבה מקומות שאומרים על החולים מצלאין בשבת ומכל מקום דוקא שיש בו סכנת היום</w:t>
      </w:r>
      <w:r>
        <w:rPr>
          <w:rStyle w:val="a9"/>
          <w:rFonts w:cs="Arial"/>
          <w:rtl/>
        </w:rPr>
        <w:footnoteReference w:id="1044"/>
      </w:r>
      <w:r>
        <w:rPr>
          <w:rFonts w:cs="Arial"/>
          <w:rtl/>
        </w:rPr>
        <w:t xml:space="preserve"> שלא שנינו רוח רעה אלא דומיא דספינה מטרפת בים ויחיד הנרדף מפני גוים עכ"ל ולדעת הרמב"ם מתענין על אלו גם כן וכן כתב בפירוש בפרק א' מהלכות תעניות (ה"ו):</w:t>
      </w:r>
    </w:p>
    <w:p w14:paraId="23C4A3F2"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9D232CF" w14:textId="77777777" w:rsidR="004B2E7C" w:rsidRDefault="004B2E7C" w:rsidP="00434A6A">
      <w:pPr>
        <w:rPr>
          <w:rFonts w:asciiTheme="minorBidi" w:hAnsiTheme="minorBidi"/>
          <w:rtl/>
        </w:rPr>
      </w:pPr>
      <w:r>
        <w:rPr>
          <w:rFonts w:asciiTheme="minorBidi" w:hAnsiTheme="minorBidi" w:cs="Arial"/>
          <w:rtl/>
        </w:rPr>
        <w:t>נרדף מפני רוח רעה שאמרו ל"ד =לאו דוקא= דה"ה לכל חולה שיש בו סכנת היום זועקים ומתחננין. וכן נהגו לומר: מצלאים בשבת על חולים המסוכנים סכנת היום. הגה: וכן מותר לברך החולה המסוכן, בו ביום (ליקוטי מהר"י ברי"ן וב"י בשם הר"ן פ"ג דתענית).</w:t>
      </w:r>
    </w:p>
    <w:p w14:paraId="1FF41C5F" w14:textId="77777777" w:rsidR="004B2E7C" w:rsidRDefault="004B2E7C" w:rsidP="00434A6A">
      <w:pPr>
        <w:rPr>
          <w:rFonts w:asciiTheme="minorBidi" w:hAnsiTheme="minorBidi"/>
          <w:rtl/>
        </w:rPr>
      </w:pPr>
    </w:p>
    <w:p w14:paraId="72F134F0" w14:textId="77777777" w:rsidR="004B2E7C" w:rsidRDefault="004B2E7C" w:rsidP="00434A6A">
      <w:pPr>
        <w:rPr>
          <w:rFonts w:asciiTheme="minorBidi" w:hAnsiTheme="minorBidi"/>
          <w:rtl/>
        </w:rPr>
      </w:pPr>
    </w:p>
    <w:p w14:paraId="2A88BF85"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58"/>
          <w:footnotePr>
            <w:numRestart w:val="eachSect"/>
          </w:footnotePr>
          <w:pgSz w:w="11906" w:h="16838"/>
          <w:pgMar w:top="720" w:right="1134" w:bottom="720" w:left="1134" w:header="0" w:footer="0" w:gutter="0"/>
          <w:cols w:space="720"/>
          <w:bidi/>
          <w:rtlGutter/>
        </w:sectPr>
      </w:pPr>
    </w:p>
    <w:p w14:paraId="5B280D2F" w14:textId="77777777" w:rsidR="004B2E7C" w:rsidRDefault="004B2E7C" w:rsidP="00434A6A">
      <w:pPr>
        <w:pStyle w:val="1"/>
        <w:rPr>
          <w:rtl/>
        </w:rPr>
      </w:pPr>
      <w:r>
        <w:rPr>
          <w:rtl/>
        </w:rPr>
        <w:t xml:space="preserve">סימן רפט: סדר סעודת שחרית של שבת, ובו ב' סעיפים. </w:t>
      </w:r>
    </w:p>
    <w:p w14:paraId="2A8EA2EF" w14:textId="77777777" w:rsidR="004B2E7C" w:rsidRDefault="004B2E7C" w:rsidP="00434A6A">
      <w:pPr>
        <w:pStyle w:val="2"/>
        <w:rPr>
          <w:rtl/>
        </w:rPr>
      </w:pPr>
      <w:r>
        <w:rPr>
          <w:rtl/>
        </w:rPr>
        <w:t>סעיף א</w:t>
      </w:r>
    </w:p>
    <w:p w14:paraId="3D0D8304" w14:textId="77777777" w:rsidR="004B2E7C" w:rsidRDefault="004B2E7C" w:rsidP="00FF2D21">
      <w:pPr>
        <w:pStyle w:val="aa"/>
        <w:numPr>
          <w:ilvl w:val="0"/>
          <w:numId w:val="125"/>
        </w:numPr>
        <w:rPr>
          <w:rtl/>
        </w:rPr>
      </w:pPr>
      <w:r>
        <w:rPr>
          <w:rtl/>
        </w:rPr>
        <w:t xml:space="preserve">טור- </w:t>
      </w:r>
      <w:r>
        <w:rPr>
          <w:rFonts w:cs="Arial"/>
          <w:rtl/>
        </w:rPr>
        <w:t>ויהיה שולחנו ערוך ומטה מוצעת יפה ומפה פרוסה על הפת כמו בסעודת הלילה ויטול ידיו ויקדש פי' יברך בפה"ג ואח"כ יברך המוציא ואם אין לו יין יברך על השכר או שאר משקין תחלה ונראה דאפילו לרב ברונא דאמר נטל ידיו לא יקדש דוקא בקידוש לילה קאמר דשייך ביה הפסק טפי אבל בקידוש היום כיון שאינו אלא בפ"ה מודה שיכול ליטול ידיו קודם אבל הרמב"ם ז"ל כתב מצוה לברך על היין בשבת קודם שיסעוד ומברך בפ"ה בלבד ושותה ואח"כ נוטל ידיו וסועד וצריך שיהיה ג"ז הקידוש במקום סעודה ושלא יטעום קודם וא"א ז"ל היה שותה מים בבוקר קודם תפלה שכיון שלא חל עליו עדיין חובת קידוש עד לאחר התפלה אינו אוסרו מלטעום ומשום ואותי השלכת אחרי גויך ליכא דבמים ליכא גאוה ויגמור סעודתו ויברך ובאשכנז מניחין השלחן ערוך כל השבת לכבוד שבת:</w:t>
      </w:r>
    </w:p>
    <w:p w14:paraId="4A680246" w14:textId="77777777" w:rsidR="004B2E7C" w:rsidRDefault="004B2E7C" w:rsidP="00434A6A">
      <w:r>
        <w:rPr>
          <w:rFonts w:cs="Arial"/>
          <w:rtl/>
        </w:rPr>
        <w:t>[א (א)] ויהיה שלחנו ערוך וכו' ויקדש פי' יברך בורא פרי הגפן. כלומר ולא יאמר קידוש כמו בלילה אלא בורא פרי הגפן לבד וזה פשוט בפרק ערבי פסחים (קו.) בעובדא דרב אשי דאמרו ליה ליקדש לן מר קידושא רבה:</w:t>
      </w:r>
    </w:p>
    <w:p w14:paraId="132C1EC2" w14:textId="77777777" w:rsidR="004B2E7C" w:rsidRDefault="004B2E7C" w:rsidP="00434A6A">
      <w:pPr>
        <w:rPr>
          <w:rtl/>
        </w:rPr>
      </w:pPr>
      <w:r>
        <w:rPr>
          <w:rFonts w:cs="Arial"/>
          <w:rtl/>
        </w:rPr>
        <w:t>[א (ב)] ומ"ש ונראה דאפילו לרב ברונא דאמר נטל ידיו לא יקדש דוקא בקידוש הלילה וכו'. אין זה מוכרח:</w:t>
      </w:r>
    </w:p>
    <w:p w14:paraId="1EA4BE76" w14:textId="77777777" w:rsidR="004B2E7C" w:rsidRDefault="004B2E7C" w:rsidP="00434A6A">
      <w:pPr>
        <w:rPr>
          <w:rtl/>
        </w:rPr>
      </w:pPr>
      <w:r>
        <w:rPr>
          <w:rFonts w:cs="Arial"/>
          <w:rtl/>
        </w:rPr>
        <w:t>ומ"ש בשם הרמב"ם. בפרק כ"ט (ה"י):</w:t>
      </w:r>
    </w:p>
    <w:p w14:paraId="312B815F" w14:textId="77777777" w:rsidR="004B2E7C" w:rsidRDefault="004B2E7C" w:rsidP="00434A6A">
      <w:pPr>
        <w:rPr>
          <w:rtl/>
        </w:rPr>
      </w:pPr>
      <w:r>
        <w:rPr>
          <w:rFonts w:cs="Arial"/>
          <w:rtl/>
        </w:rPr>
        <w:t>ובמה שכתב שמקדש ואחר כך נוטל ידיו. גם הגהות כתבו שם (ה"ו סוף אות ח) שכך היה נוהג הר"מ שלא ליטול עד אחר קידוש אפילו בסעודת שחרית:</w:t>
      </w:r>
    </w:p>
    <w:p w14:paraId="6D0EDE71" w14:textId="77777777" w:rsidR="004B2E7C" w:rsidRDefault="004B2E7C" w:rsidP="00434A6A">
      <w:pPr>
        <w:rPr>
          <w:rtl/>
        </w:rPr>
      </w:pPr>
      <w:r>
        <w:rPr>
          <w:rFonts w:cs="Arial"/>
          <w:rtl/>
        </w:rPr>
        <w:t>ובמה שאסר לטעום קודם קידוש דשחרית. הראב"ד (בהשגות שם) חלק עליו והתיר לטעום קודם קידוש דשחרית והרב המגיד טען בעד הרמב"ם וכן דעת ההגהות שם (אות פ) וכתבו דמהך טעמא כוס מילה שהיא בשבת יתננה לתינוק וכבר כתבתי בזה בסימן רע"ג (ד"ה כתוב בהגהות):</w:t>
      </w:r>
    </w:p>
    <w:p w14:paraId="6E789972" w14:textId="77777777" w:rsidR="004B2E7C" w:rsidRDefault="004B2E7C" w:rsidP="00434A6A">
      <w:pPr>
        <w:rPr>
          <w:rtl/>
        </w:rPr>
      </w:pPr>
      <w:r>
        <w:rPr>
          <w:rFonts w:cs="Arial"/>
          <w:rtl/>
        </w:rPr>
        <w:t>וא"א ז"ל היה שותה מים וכו'. כתבו רבינו בסימן פ"ט (פ:) ושם כתב שאבי העזרי אוסר, ודבר פשוט הוא דכהרא"ש נקיטינן: המתענה בשבת אם יכול לקדש להוציא בני ביתו כתבתי בסימן רע"ג קס"ז (בסוף הסי' ד"ה ולענין בורא פרי הגפן):</w:t>
      </w:r>
    </w:p>
    <w:p w14:paraId="23A3A91F" w14:textId="77777777" w:rsidR="004B2E7C" w:rsidRDefault="004B2E7C" w:rsidP="00434A6A">
      <w:pPr>
        <w:rPr>
          <w:rtl/>
        </w:rPr>
      </w:pPr>
      <w:r>
        <w:rPr>
          <w:rFonts w:cs="Arial"/>
          <w:rtl/>
        </w:rPr>
        <w:t>ובאשכנז מניחין השולחן ערוך כל השבת וכו'. כן כתב המרדכי בפרק כל כתבי (סי' תח):</w:t>
      </w:r>
    </w:p>
    <w:p w14:paraId="589BC3BB"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AB0C2FC" w14:textId="77777777" w:rsidR="004B2E7C" w:rsidRDefault="004B2E7C" w:rsidP="00434A6A">
      <w:pPr>
        <w:rPr>
          <w:rFonts w:asciiTheme="minorBidi" w:hAnsiTheme="minorBidi"/>
          <w:rtl/>
        </w:rPr>
      </w:pPr>
      <w:r>
        <w:rPr>
          <w:rFonts w:asciiTheme="minorBidi" w:hAnsiTheme="minorBidi" w:cs="Arial"/>
          <w:rtl/>
        </w:rPr>
        <w:t xml:space="preserve">יהיה שלחנו ערוך ומטה מוצעת יפה ומפה פרוסה כמו בסעודת הלילה, ויברך על היין בפה"ג והוא נקרא קידושא רבא. ואחר כך יטול ידיו (וע"ל סי' רע"א סעיף י"ב בהג"ה) ויבצע על לחם משנה כמו בלילה ויסעוד, וגם זה הקידוש צריך שיהיה במקום סעודה ושלא יטעום קודם לו כלום כמו בקידוש הלילה. ומיהו לשתות מים בבוקר קודם תפלה מותר, מפני שעדיין לא חל עליו חובת קידוש. הגה: וע"ל כל דיני קידוש סי' רע"א ער"ב רע"ג. </w:t>
      </w:r>
    </w:p>
    <w:p w14:paraId="1A352686" w14:textId="77777777" w:rsidR="004B2E7C" w:rsidRDefault="004B2E7C" w:rsidP="00434A6A">
      <w:pPr>
        <w:rPr>
          <w:rFonts w:asciiTheme="minorBidi" w:hAnsiTheme="minorBidi"/>
          <w:rtl/>
        </w:rPr>
      </w:pPr>
    </w:p>
    <w:p w14:paraId="0413A884" w14:textId="77777777" w:rsidR="004B2E7C" w:rsidRDefault="004B2E7C" w:rsidP="00434A6A">
      <w:pPr>
        <w:pStyle w:val="2"/>
        <w:rPr>
          <w:rtl/>
        </w:rPr>
      </w:pPr>
      <w:r>
        <w:rPr>
          <w:rtl/>
        </w:rPr>
        <w:t>סעיף ב</w:t>
      </w:r>
    </w:p>
    <w:p w14:paraId="01348E86" w14:textId="77777777" w:rsidR="004B2E7C" w:rsidRDefault="004B2E7C" w:rsidP="00434A6A">
      <w:pPr>
        <w:rPr>
          <w:rtl/>
        </w:rPr>
      </w:pPr>
      <w:r>
        <w:rPr>
          <w:rFonts w:cs="Arial"/>
          <w:rtl/>
        </w:rPr>
        <w:t>[ב] ואם אין לו יין יברך על השכר וכו'. כלומר והוא שיהא חמר מדינה כמו שנתבאר בסימן רע"ב, ושם כתב דיותר טוב לקדש על השכר מעל הפת בסעודת שחרית משום דכשמברך שחרית על הפת תחלה אין כאן שום שינוי, ומשמע דאפילו אינו חמר מדינה קאמר דמקדשין עליו בשחרית מההוא טעמא. וכתב הראב"ד בפכ"ט מהלכות שבת (ה"י) שאם בא לקדש ביום על הפת מקדש ותחשב המוציא במקום ברכת היין ויאכל והרב המגיד כתב שאינו מקדש לפי שביום כיון שאינו מזכיר קדושת היום אין ההיכר אלא שמברך בורא פרי הגפן קודם סעודה שלא כדרכו בחול ואם בא לקדש על הפת איזה היכר יש כאן וכן כתב הרא"ש בתשובה (כלל כב סי' י). ומשמע שאם לא מצא יין או שכר לקדש עליו ביום אוכל בלא קידוש דאין לו לבטל עונג שבת בשביל שאינו יכול לקדש:</w:t>
      </w:r>
    </w:p>
    <w:p w14:paraId="584C517E"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2DF2C10" w14:textId="77777777" w:rsidR="004B2E7C" w:rsidRDefault="004B2E7C" w:rsidP="00434A6A">
      <w:pPr>
        <w:rPr>
          <w:rFonts w:asciiTheme="minorBidi" w:hAnsiTheme="minorBidi"/>
          <w:rtl/>
        </w:rPr>
      </w:pPr>
      <w:r>
        <w:rPr>
          <w:rFonts w:asciiTheme="minorBidi" w:hAnsiTheme="minorBidi" w:cs="Arial"/>
          <w:rtl/>
        </w:rPr>
        <w:t>במקום שאין יין מצוי הוי שכר ושאר משקין, חוץ מן המים, חמר מדינה ומקדשין עליו. ואם אין לו שכר ושאר משקין, אוכל בלא קידוש.</w:t>
      </w:r>
    </w:p>
    <w:p w14:paraId="46AA2639" w14:textId="77777777" w:rsidR="004B2E7C" w:rsidRDefault="004B2E7C" w:rsidP="00434A6A">
      <w:pPr>
        <w:rPr>
          <w:rFonts w:asciiTheme="minorBidi" w:hAnsiTheme="minorBidi"/>
          <w:rtl/>
        </w:rPr>
      </w:pPr>
    </w:p>
    <w:p w14:paraId="08892C55" w14:textId="77777777" w:rsidR="004B2E7C" w:rsidRDefault="004B2E7C" w:rsidP="00434A6A">
      <w:pPr>
        <w:rPr>
          <w:rFonts w:asciiTheme="minorBidi" w:hAnsiTheme="minorBidi"/>
          <w:rtl/>
        </w:rPr>
      </w:pPr>
    </w:p>
    <w:p w14:paraId="11767845"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59"/>
          <w:footnotePr>
            <w:numRestart w:val="eachSect"/>
          </w:footnotePr>
          <w:pgSz w:w="11906" w:h="16838"/>
          <w:pgMar w:top="720" w:right="1134" w:bottom="720" w:left="1134" w:header="0" w:footer="0" w:gutter="0"/>
          <w:cols w:space="720"/>
          <w:bidi/>
          <w:rtlGutter/>
        </w:sectPr>
      </w:pPr>
    </w:p>
    <w:p w14:paraId="08F0BC2C" w14:textId="77777777" w:rsidR="004B2E7C" w:rsidRDefault="004B2E7C" w:rsidP="00434A6A">
      <w:pPr>
        <w:pStyle w:val="1"/>
        <w:rPr>
          <w:rtl/>
        </w:rPr>
      </w:pPr>
      <w:r>
        <w:rPr>
          <w:rtl/>
        </w:rPr>
        <w:t xml:space="preserve">סימן רצ: בשבת ישלים מאה ברכות בפירות, ובו ב' סעיפים. </w:t>
      </w:r>
    </w:p>
    <w:p w14:paraId="166F93F1" w14:textId="77777777" w:rsidR="004B2E7C" w:rsidRDefault="004B2E7C" w:rsidP="00434A6A">
      <w:pPr>
        <w:pStyle w:val="2"/>
        <w:rPr>
          <w:rtl/>
        </w:rPr>
      </w:pPr>
      <w:r>
        <w:rPr>
          <w:rtl/>
        </w:rPr>
        <w:t>סעיף א</w:t>
      </w:r>
    </w:p>
    <w:p w14:paraId="518B419E" w14:textId="77777777" w:rsidR="004B2E7C" w:rsidRDefault="004B2E7C" w:rsidP="00FF2D21">
      <w:pPr>
        <w:pStyle w:val="aa"/>
        <w:numPr>
          <w:ilvl w:val="0"/>
          <w:numId w:val="125"/>
        </w:numPr>
        <w:rPr>
          <w:rtl/>
        </w:rPr>
      </w:pPr>
      <w:r>
        <w:rPr>
          <w:rtl/>
        </w:rPr>
        <w:t xml:space="preserve">טור- </w:t>
      </w:r>
      <w:r>
        <w:rPr>
          <w:rFonts w:cs="Arial"/>
          <w:rtl/>
        </w:rPr>
        <w:t>ויכוין להרבות בפירות ומגדים כל היום כדי להשלים מנין ק' ברכות שחסרים בתפלת י"ח ואם רגיל בשינת הצהרים אל יבטלה כי עונג הוא לו ואחר השינה קובעין מדרש כדאיתא במדרש אמרה תורה לפני הקדוש ברוך הוא רבש"ע כשיכנסו ישראל לארץ זה רץ לכרמו וזה רץ לשדהו ואני מה תהא עלי אמר לה יש לי זוג שאני מזווג לך ושבת שמו שהם בטלים ממלאכתם ויכולין לעסוק בך ע"כ צריך שיקבעו מדרש להודיע לעם את חוקי האלהים ואת תורותיו ואסור לקבוע סעודה בזמן בית המדרש כדאי' בגיטין בפרק השולח (לח ב) אמר רבה בהני תלת מילי נחתי בעלי בתים מנכסייהו וחד מינייהו דקבעי סעודתא בשבתא בעידן בי מדרשא:</w:t>
      </w:r>
    </w:p>
    <w:p w14:paraId="666125A9" w14:textId="77777777" w:rsidR="004B2E7C" w:rsidRDefault="004B2E7C" w:rsidP="00434A6A">
      <w:pPr>
        <w:rPr>
          <w:rtl/>
        </w:rPr>
      </w:pPr>
      <w:r>
        <w:rPr>
          <w:rFonts w:cs="Arial"/>
          <w:rtl/>
        </w:rPr>
        <w:t>[א] ויכוין להרבות בפירות וכו'. בפרק התכלת (מנחות מג:), וכתבוהו הרי"ף (ברכות מד:) והרא"ש בסוף ברכות (סי' כד) והרמב"ם בפרק ז' מהלכות תפלה (הט"ו):</w:t>
      </w:r>
    </w:p>
    <w:p w14:paraId="37EEA760"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997E5B1" w14:textId="77777777" w:rsidR="004B2E7C" w:rsidRDefault="004B2E7C" w:rsidP="00434A6A">
      <w:pPr>
        <w:rPr>
          <w:rFonts w:asciiTheme="minorBidi" w:hAnsiTheme="minorBidi"/>
          <w:rtl/>
        </w:rPr>
      </w:pPr>
      <w:r>
        <w:rPr>
          <w:rFonts w:asciiTheme="minorBidi" w:hAnsiTheme="minorBidi" w:cs="Arial"/>
          <w:rtl/>
        </w:rPr>
        <w:t xml:space="preserve">ירבה בפירות ומגדים ומיני ריח, כדי להשלים מנין מאה ברכות. הגה: ואם רגיל בשינת צהרים אל יבטלנו, כי עונג הוא לו (טור). </w:t>
      </w:r>
    </w:p>
    <w:p w14:paraId="33538CA5" w14:textId="77777777" w:rsidR="004B2E7C" w:rsidRDefault="004B2E7C" w:rsidP="00434A6A">
      <w:pPr>
        <w:rPr>
          <w:rFonts w:asciiTheme="minorBidi" w:hAnsiTheme="minorBidi"/>
          <w:rtl/>
        </w:rPr>
      </w:pPr>
    </w:p>
    <w:p w14:paraId="27476B83" w14:textId="77777777" w:rsidR="004B2E7C" w:rsidRDefault="004B2E7C" w:rsidP="00434A6A">
      <w:pPr>
        <w:pStyle w:val="2"/>
        <w:rPr>
          <w:rtl/>
        </w:rPr>
      </w:pPr>
      <w:r>
        <w:rPr>
          <w:rtl/>
        </w:rPr>
        <w:t>סעיף ב</w:t>
      </w:r>
    </w:p>
    <w:p w14:paraId="79F444B2" w14:textId="77777777" w:rsidR="004B2E7C" w:rsidRDefault="004B2E7C" w:rsidP="00434A6A">
      <w:pPr>
        <w:rPr>
          <w:rtl/>
        </w:rPr>
      </w:pPr>
      <w:r>
        <w:rPr>
          <w:rFonts w:cs="Arial"/>
          <w:rtl/>
        </w:rPr>
        <w:t>[ב] בתנחומא ויקהל משה בעלי אגדה היו אומרים מתחלת התורה ועד סופה אין בה פרשה שנאמר בה קהלה בראשה אלא פרשה זו בלבד ולמה כך אמר הקדוש ברוך הוא למשה רד ועשה לי קהלות גדולות בשבת כדי שילמדו כל הדורות הבאים אחריך להקהיל קהלות בכל שבת להכנס בבתי כנסיות ובתי מדרשות ללמוד בהם תורה לרבים, דבר אחר ויקהל משה אמר להם הקדוש ברוך הוא לישראל אם אתם נקהלים בכל שבת ושבת בבתי כנסיות ובבתי מדרשות וקורין בתורה ובנביאים מעלה אני עליכם כאילו המלכתם אותי בעולמי שכן ישעיהו הנביא מפרש (מג יב) ואתם עדי נאם ה' ואני אל אתם מעידים עלי שאני אלוה בעולם ע"כ. ומכאן סמכו בכל תפוצות הגולה להתקבץ בבתי כנסיות לקרות מקרא ולדרוש בדברי אגדה אחר סעודת שחרית:</w:t>
      </w:r>
    </w:p>
    <w:p w14:paraId="2AFC6524"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FC0CEF3" w14:textId="77777777" w:rsidR="004B2E7C" w:rsidRDefault="004B2E7C" w:rsidP="00434A6A">
      <w:pPr>
        <w:rPr>
          <w:rFonts w:asciiTheme="minorBidi" w:hAnsiTheme="minorBidi"/>
          <w:rtl/>
        </w:rPr>
      </w:pPr>
      <w:r>
        <w:rPr>
          <w:rFonts w:asciiTheme="minorBidi" w:hAnsiTheme="minorBidi" w:cs="Arial"/>
          <w:rtl/>
        </w:rPr>
        <w:t>אחר סעודת שחרית קובעים מדרש לקרות בנביאים ולדרוש בדברי אגדה, ואסור לקבוע סעודה באותה שעה. הגה: ופועלים וב"ב שאינן עוסקים בתורה כל ימי שבוע, יעסקו יותר בתורה בשבת מת"ח העוסקים בתורה כל ימי השבוע, והת"ח ימשיכו יותר בעונג אכילה ושתייה קצת, דהרי הם מתענגים בלמודם כל ימי השבוע (ב"י סי' רפ"ח בשם ירושלמי).</w:t>
      </w:r>
    </w:p>
    <w:p w14:paraId="12D014F3" w14:textId="77777777" w:rsidR="004B2E7C" w:rsidRDefault="004B2E7C" w:rsidP="00434A6A">
      <w:pPr>
        <w:rPr>
          <w:rFonts w:asciiTheme="minorBidi" w:hAnsiTheme="minorBidi"/>
          <w:rtl/>
        </w:rPr>
      </w:pPr>
    </w:p>
    <w:p w14:paraId="53C06B7E" w14:textId="77777777" w:rsidR="004B2E7C" w:rsidRDefault="004B2E7C" w:rsidP="00434A6A">
      <w:pPr>
        <w:rPr>
          <w:rFonts w:asciiTheme="minorBidi" w:hAnsiTheme="minorBidi"/>
          <w:rtl/>
        </w:rPr>
      </w:pPr>
    </w:p>
    <w:p w14:paraId="17E8A9FA"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60"/>
          <w:footnotePr>
            <w:numRestart w:val="eachSect"/>
          </w:footnotePr>
          <w:pgSz w:w="11906" w:h="16838"/>
          <w:pgMar w:top="720" w:right="1134" w:bottom="720" w:left="1134" w:header="0" w:footer="0" w:gutter="0"/>
          <w:cols w:space="720"/>
          <w:bidi/>
          <w:rtlGutter/>
        </w:sectPr>
      </w:pPr>
    </w:p>
    <w:p w14:paraId="53CD9032" w14:textId="77777777" w:rsidR="004B2E7C" w:rsidRDefault="004B2E7C" w:rsidP="00434A6A">
      <w:pPr>
        <w:pStyle w:val="1"/>
        <w:rPr>
          <w:rtl/>
        </w:rPr>
      </w:pPr>
      <w:r>
        <w:rPr>
          <w:rtl/>
        </w:rPr>
        <w:t xml:space="preserve">סימן רצא: דין שלש סעודות, ובו ו' סעיפים. </w:t>
      </w:r>
    </w:p>
    <w:p w14:paraId="1021A6BC" w14:textId="77777777" w:rsidR="004B2E7C" w:rsidRDefault="004B2E7C" w:rsidP="00434A6A">
      <w:pPr>
        <w:pStyle w:val="2"/>
        <w:rPr>
          <w:rtl/>
        </w:rPr>
      </w:pPr>
      <w:r>
        <w:rPr>
          <w:rtl/>
        </w:rPr>
        <w:t>סעיף א</w:t>
      </w:r>
    </w:p>
    <w:p w14:paraId="7606223B" w14:textId="77777777" w:rsidR="004B2E7C" w:rsidRDefault="004B2E7C" w:rsidP="00FF2D21">
      <w:pPr>
        <w:pStyle w:val="aa"/>
        <w:numPr>
          <w:ilvl w:val="0"/>
          <w:numId w:val="125"/>
        </w:numPr>
        <w:rPr>
          <w:rtl/>
        </w:rPr>
      </w:pPr>
      <w:r>
        <w:rPr>
          <w:rFonts w:cs="Arial"/>
          <w:rtl/>
        </w:rPr>
        <w:t>טור- ויהא זהיר מאד לקיים סעודה שלישית דאר"ש בן פזי א"ר יהושע בן לוי משום בר קפרא כל המקיים ג' סעודות</w:t>
      </w:r>
      <w:r>
        <w:rPr>
          <w:rStyle w:val="a9"/>
          <w:rFonts w:cs="Arial"/>
          <w:rtl/>
        </w:rPr>
        <w:footnoteReference w:id="1045"/>
      </w:r>
      <w:r>
        <w:rPr>
          <w:rFonts w:cs="Arial"/>
          <w:rtl/>
        </w:rPr>
        <w:t xml:space="preserve"> ניצול מג' פורעניות מחבלו של משיח ומדינה של גיהנם וממלחמות גוג ומגוג וא"ר יוסי יהא חלקי עם מקיימי ג' סעודות בשבת ואף אם הוא שבע הרבה יכול לקיים אותה בכביצה ומיהו אם אי אפשר לו כלל לאכול אינו חייב לצער עצמו וכ"כ הרמב"ם ז"ל ואם הוא חולה מרוב אכילה או שהוא מתענה פטור מג' סעודות והחכם עיניו בראשו שלא ימלא בטנו בסעודת הבקר כדי ליתן מקום לסעודה ג' וזמנה משיגיע זמן המנחה דהיינו מו' שעות ומחצה ולמעלה ולא קודם הילכך אותם שמפסיקין מסעודת שחרית לחלק לשנים ועדיין לא הגיע זמן המנחה אינן מקיימין מצות ג' סעודות אבל הגיע זמן המנחה יכולין לעשותה מיד אחר סעודת שחרית וכן היה עושה א"א הרא"ש ז"ל היה מברך ברהמ"ז והיה נוטל ידיו ומברך עליהם ומברך המוציא והיה אומר שיותר טוב לעשות כן כיון שנמשכה סעודת הבוקר עד אחר המנחה ואם לא היה עושה מיד השלישית לא היה יכול לאכול אחר כך אלא אכילה גסה ור"ת הנהיג שלא לאכול בשבת בין מנחה לערבית משום דאיתא במדרש כל השותה מים בשבת בין השמשות כאילו גוזל המתים וע"כ הנהיג לעשות סעודה שלישית קודם המנחה והרמב"ם ז"ל כתב הולך לבה"מ וקורא עד המנחה ומתפלל מנחה ואח"כ קובע סעודה ונראה דהכי עדיף טפי</w:t>
      </w:r>
      <w:r>
        <w:rPr>
          <w:rStyle w:val="a9"/>
          <w:rFonts w:cs="Arial"/>
          <w:rtl/>
        </w:rPr>
        <w:footnoteReference w:id="1046"/>
      </w:r>
      <w:r>
        <w:rPr>
          <w:rFonts w:cs="Arial"/>
          <w:rtl/>
        </w:rPr>
        <w:t xml:space="preserve"> דכיון שהגיע זמן המנחה אסור לאכול עד שיתפלל וכתב הרמב"ם ז"ל שגם בסעודה שלישית קובע על היין ובוצע על שתי ככרות וא"א הרא"ש ז"ל לא היה מברך על היין קודם משום דאיתקש יום ללילה לענין קידוש מה לילה סגי בחד זימנא אף ביום נמי בחד זימנא אבל היה בוצע על ב' ככרות ואיתא בירושלמי במכילתא דבסעודה שלישית צריך לפחות ככר אחד שלם משום דביום ו' ירד לכל אחד שני עומרים ומכל עומר עשו שתי ככרות הרי ד' לשני עומרים אכל אחד בע"ש ואחד בליל שבת ואחד בבקר הרי נשאר לו אחד שלם לסעודה שלישית וי"א שיכול להשלים סעודה שלישית במיני תרגימא פירוש מאכל העשוי מחמשת מיני דגן כדאמרינן גבי סוכה לרבי אליעזר שצריך י"ד סעודות בסוכה ואם השלים במיני תרגימא יצא ור"י היה אומר כיון דילפינן ג' סעודות מג"פ היום דכתיבי גבי מן צריך לעשותה בפת:</w:t>
      </w:r>
    </w:p>
    <w:p w14:paraId="645C2A84" w14:textId="77777777" w:rsidR="004B2E7C" w:rsidRDefault="004B2E7C" w:rsidP="00434A6A">
      <w:r>
        <w:rPr>
          <w:rFonts w:cs="Arial"/>
          <w:rtl/>
        </w:rPr>
        <w:t>[א] ויהא זהיר מאד לקיים סעודה שלישית דאמר רבי שמעון בן פזי וכו'. בפרק כל כתבי (קיח.):</w:t>
      </w:r>
    </w:p>
    <w:p w14:paraId="3ED7F82C" w14:textId="77777777" w:rsidR="004B2E7C" w:rsidRDefault="004B2E7C" w:rsidP="00434A6A">
      <w:pPr>
        <w:rPr>
          <w:rtl/>
        </w:rPr>
      </w:pPr>
      <w:r>
        <w:rPr>
          <w:rFonts w:cs="Arial"/>
          <w:rtl/>
        </w:rPr>
        <w:t>ומה שכתב ששיעורה כביצה. כן כתב הר"ן (מג: ד"ה ת"ר כמה) בשם בעל הלכות (בה"ג) בפרק כל כתבי וכמו שאכתוב בסמוך:</w:t>
      </w:r>
    </w:p>
    <w:p w14:paraId="7E58913D" w14:textId="77777777" w:rsidR="004B2E7C" w:rsidRDefault="004B2E7C" w:rsidP="00434A6A">
      <w:pPr>
        <w:rPr>
          <w:rtl/>
        </w:rPr>
      </w:pPr>
      <w:r>
        <w:rPr>
          <w:rFonts w:cs="Arial"/>
          <w:rtl/>
        </w:rPr>
        <w:t>וכן כתב הרמב"ם אם הוא חולה מרוב אכילה וכו'. בפרק ל' (ה"ט), וכבר כתבתי בזה בסימן רפ"ח (מא: ד"ה והגהות):</w:t>
      </w:r>
    </w:p>
    <w:p w14:paraId="26C8C886"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FC17DCA" w14:textId="77777777" w:rsidR="004B2E7C" w:rsidRDefault="004B2E7C" w:rsidP="00434A6A">
      <w:pPr>
        <w:rPr>
          <w:rFonts w:asciiTheme="minorBidi" w:hAnsiTheme="minorBidi"/>
          <w:rtl/>
        </w:rPr>
      </w:pPr>
      <w:r>
        <w:rPr>
          <w:rFonts w:asciiTheme="minorBidi" w:hAnsiTheme="minorBidi" w:cs="Arial"/>
          <w:rtl/>
        </w:rPr>
        <w:t xml:space="preserve">יהא זהיר מאד לקיים סעודה שלישית ואף אם הוא שבע יכול לקיים אותה בכביצה, ואם א"א לו כלל לאכול אינו חייב לצער את עצמו. והחכם עיניו בראשו (קהלת ב, יד) שלא ימלא בטנו בסעודת הבוקר, כדי ליתן מקום לסעודה שלישית. הגה: ומי שלא אכל בליל שבת, יאכל שלש סעודות ביום השבת (הרא"ש פרק ע"פ). </w:t>
      </w:r>
    </w:p>
    <w:p w14:paraId="3D03A8AB" w14:textId="77777777" w:rsidR="004B2E7C" w:rsidRDefault="004B2E7C" w:rsidP="00434A6A">
      <w:pPr>
        <w:rPr>
          <w:rFonts w:asciiTheme="minorBidi" w:hAnsiTheme="minorBidi"/>
          <w:rtl/>
        </w:rPr>
      </w:pPr>
    </w:p>
    <w:p w14:paraId="506A6C61" w14:textId="77777777" w:rsidR="004B2E7C" w:rsidRDefault="004B2E7C" w:rsidP="00434A6A">
      <w:pPr>
        <w:pStyle w:val="2"/>
        <w:rPr>
          <w:rtl/>
        </w:rPr>
      </w:pPr>
      <w:r>
        <w:rPr>
          <w:rtl/>
        </w:rPr>
        <w:t>סעיף ב</w:t>
      </w:r>
    </w:p>
    <w:p w14:paraId="1DCCB14A" w14:textId="77777777" w:rsidR="004B2E7C" w:rsidRDefault="004B2E7C" w:rsidP="00434A6A">
      <w:pPr>
        <w:rPr>
          <w:rtl/>
        </w:rPr>
      </w:pPr>
      <w:r>
        <w:rPr>
          <w:rFonts w:cs="Arial"/>
          <w:rtl/>
        </w:rPr>
        <w:t>[ב (א)] וזמנה משיגיע זמן המנחה וכו'. הר"ן כתב בפרק כל כתבי (שם) בשם בעל הלכות (שם) דאפילו מפסיק באמצע סעודה ופורס מפה ומברך והדר שרי המוציא ואוכל כביצה ומברך שפיר דמי, אבל התוספות (קיח. ד"ה במנחה) והרא"ש (סי' ה) והמרדכי (סו"ס שצז) כתבו שם שאין זמנה אלא מן המנחה ולמעלה וכן כתבו הגהות (מיימוניות) בפרק (כ"ט) [ל' אות ו ואות ח]:</w:t>
      </w:r>
    </w:p>
    <w:p w14:paraId="50BA1483" w14:textId="77777777" w:rsidR="004B2E7C" w:rsidRDefault="004B2E7C" w:rsidP="00434A6A">
      <w:pPr>
        <w:rPr>
          <w:rtl/>
        </w:rPr>
      </w:pPr>
      <w:r>
        <w:rPr>
          <w:rFonts w:cs="Arial"/>
          <w:rtl/>
        </w:rPr>
        <w:t>[ב (ב)] ורבינו תם הנהיג שלא לאכול בין מנחה למעריב וכו'. כן כתבו התוספות (פסחים קה. ד"ה והנ"מ) והרא"ש (שם סי' יג) והמרדכי בפרק ערבי פסחים (לו סוף ע"ד) וכתבו שרבינו משולם השיב לו דהכי גרסינן במדרש כל השותה מים בערב שבת אבל בשבת לא הוזכר שם, וכן עמא דבר לאכול ולשתות בין מנחה למעריב וכן הסכימו הגהות (מיימוניות) בפרק ל' (אות כ) וכתבו שכן היה נוהג ה"ר מאיר ז"ל, וכתבו עוד ההגהות שאפילו האוסרים זהו דוקא מן הנהר אבל מים שבבית מותר</w:t>
      </w:r>
      <w:r>
        <w:rPr>
          <w:rStyle w:val="a9"/>
          <w:rFonts w:cs="Arial"/>
          <w:rtl/>
        </w:rPr>
        <w:footnoteReference w:id="1047"/>
      </w:r>
      <w:r>
        <w:rPr>
          <w:rFonts w:cs="Arial"/>
          <w:rtl/>
        </w:rPr>
        <w:t xml:space="preserve"> עכ"ל ומדבריהם נלמוד למה שכתב רבינו משולם דהכי גרסינן במדרש כל השותה מים בערב שבת דהיינו דוקא מן הנהר. מצאתי כתוב (סוף שו"ת מהר"י ווייל) בשם ספר אגודה (פסחים פ"י סו"ס פא) השותה מים בין השמשות גוזל קרוביו מתים ויש מפרשים בין השמשות של ערב שבת ויש מפרשים דוקא בשנים עשר חדשים ראשונים של אביו ואמו</w:t>
      </w:r>
      <w:r>
        <w:rPr>
          <w:rStyle w:val="a9"/>
          <w:rFonts w:cs="Arial"/>
          <w:rtl/>
        </w:rPr>
        <w:footnoteReference w:id="1048"/>
      </w:r>
      <w:r>
        <w:rPr>
          <w:rFonts w:cs="Arial"/>
          <w:rtl/>
        </w:rPr>
        <w:t>:</w:t>
      </w:r>
    </w:p>
    <w:p w14:paraId="0DB1BB03"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6601843" w14:textId="77777777" w:rsidR="004B2E7C" w:rsidRDefault="004B2E7C" w:rsidP="00434A6A">
      <w:pPr>
        <w:rPr>
          <w:rFonts w:asciiTheme="minorBidi" w:hAnsiTheme="minorBidi"/>
          <w:rtl/>
        </w:rPr>
      </w:pPr>
      <w:r>
        <w:rPr>
          <w:rFonts w:asciiTheme="minorBidi" w:hAnsiTheme="minorBidi" w:cs="Arial"/>
          <w:rtl/>
        </w:rPr>
        <w:t xml:space="preserve">זמנה משיגיע זמן המנחה דהיינו משש שעות ומחצה ולמעלה, ואם עשאה קודם לכן לא קיים מצות סעודה שלישית. הגה: י"א דאסור לשתות מים בין מנחה למעריב בשבת, דאז חוזרים הנשמות לגיהנם, וע"כ אין לאכול סעודה שלישית בין מנחה למעריב, אלא יאכל אותה קודם מנחה (תוספות והרא"ש ומרדכי פרק ע"פ). וי"א דיותר טוב להתפלל מנחה תחלה (רמב"ם וטור והגמ"ר והגמי"י פ"ל ואגור), וכן נוהגים לכתחלה בכל מדינות אלו, ומ"מ אין לשתות מים מן הנהרות, אבל בבית שרי וכ"ש שאר משקין דשרי (הגמי"י פ"ל). וי"א דאין אסור אלא תוך י"ב חודש על אביו ואמו (אגודה ומרדכי פ' ע"פ). וי"א דאיסור זה של שתיית מים אינו רק בע"ש (תוספות והרא"ש ומרדכי בשם ר' משולם והגמי"י). </w:t>
      </w:r>
    </w:p>
    <w:p w14:paraId="5F8FA8B1" w14:textId="77777777" w:rsidR="004B2E7C" w:rsidRDefault="004B2E7C" w:rsidP="00434A6A">
      <w:pPr>
        <w:rPr>
          <w:rFonts w:asciiTheme="minorBidi" w:hAnsiTheme="minorBidi"/>
          <w:rtl/>
        </w:rPr>
      </w:pPr>
    </w:p>
    <w:p w14:paraId="25476CF0" w14:textId="77777777" w:rsidR="004B2E7C" w:rsidRDefault="004B2E7C" w:rsidP="00434A6A">
      <w:pPr>
        <w:pStyle w:val="2"/>
        <w:rPr>
          <w:rtl/>
        </w:rPr>
      </w:pPr>
      <w:r>
        <w:rPr>
          <w:rtl/>
        </w:rPr>
        <w:t>סעיף ג</w:t>
      </w:r>
    </w:p>
    <w:p w14:paraId="402AF679" w14:textId="77777777" w:rsidR="004B2E7C" w:rsidRDefault="004B2E7C" w:rsidP="00434A6A">
      <w:pPr>
        <w:rPr>
          <w:rtl/>
        </w:rPr>
      </w:pPr>
      <w:r>
        <w:rPr>
          <w:rFonts w:cs="Arial"/>
          <w:rtl/>
        </w:rPr>
        <w:t>[ג] וכן היה עושה אדוני אבי ז"ל וכו'. הוא ז"ל כתב בתשובה (כלל כב סי' ד) שכך ראה רבותיו נוהגים וכן הוא נוהג אחריהם ואף על פי שתוספות (שם) כתבו שר"י אומר שאין להפסיק באמצע סעודה משום איסור ברכה שאינה צריכה תירץ הוא ז"ל דכיון שהוא מפסיק לכבוד שבת אין כאן משום מרבה בברכות שלא לצורך, וכתב הוא ז"ל בתשובה אחרת (שם סי' יג) שאין לדרוש כן בציבור דכיון שאם אוכל קודם חצות אינו יכול להפסיק אין הציבור בקיאין בזה. וכתוב בתשב"ץ (קטן סי' כא) שמהר"מ בחורף שהימים קצרים היה עושה סעודה שלישית על השלחן מיד אחר ברכת המזון:</w:t>
      </w:r>
    </w:p>
    <w:p w14:paraId="4B3E5E24"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2AE7148" w14:textId="77777777" w:rsidR="004B2E7C" w:rsidRDefault="004B2E7C" w:rsidP="00434A6A">
      <w:pPr>
        <w:rPr>
          <w:rFonts w:asciiTheme="minorBidi" w:hAnsiTheme="minorBidi"/>
          <w:rtl/>
        </w:rPr>
      </w:pPr>
      <w:r>
        <w:rPr>
          <w:rFonts w:asciiTheme="minorBidi" w:hAnsiTheme="minorBidi" w:cs="Arial"/>
          <w:rtl/>
        </w:rPr>
        <w:t xml:space="preserve">אם נמשכה סעודת הבוקר עד שהגיע זמן המנחה יפסיק הסעודה ויברך בהמ"ז ויטול ידיו ויברך ברכת המוציא ויסעוד ונכון הדבר שאם לא היה עושה כן, מאחר שנמשכה סעודת הבוקר עד אותה שעה, לא היה יכול לאכול אח"כ אלא אכילה גסה. הגה: אבל מי שיודע שאפשר לאכול אחר שיתפלל מנחה עם הצבור, לא יעשה סעודה שלישית קודם מנחה; מיהו אם עשאה, יצא. </w:t>
      </w:r>
    </w:p>
    <w:p w14:paraId="693CA7B4" w14:textId="77777777" w:rsidR="004B2E7C" w:rsidRDefault="004B2E7C" w:rsidP="00434A6A">
      <w:pPr>
        <w:rPr>
          <w:rFonts w:asciiTheme="minorBidi" w:hAnsiTheme="minorBidi"/>
          <w:rtl/>
        </w:rPr>
      </w:pPr>
    </w:p>
    <w:p w14:paraId="56FA8858" w14:textId="77777777" w:rsidR="004B2E7C" w:rsidRDefault="004B2E7C" w:rsidP="00434A6A">
      <w:pPr>
        <w:pStyle w:val="2"/>
        <w:rPr>
          <w:rtl/>
        </w:rPr>
      </w:pPr>
      <w:r>
        <w:rPr>
          <w:rtl/>
        </w:rPr>
        <w:t>סעיף ד</w:t>
      </w:r>
    </w:p>
    <w:p w14:paraId="644D7DA5" w14:textId="77777777" w:rsidR="004B2E7C" w:rsidRDefault="004B2E7C" w:rsidP="00434A6A">
      <w:pPr>
        <w:rPr>
          <w:rtl/>
        </w:rPr>
      </w:pPr>
      <w:r>
        <w:rPr>
          <w:rFonts w:cs="Arial"/>
          <w:rtl/>
        </w:rPr>
        <w:t>[ד] וכתב הרמב"ם שגם בסעודה שלישית קובע על היין ובוצע על שתי ככרות. בפרק (כ"ט) [ל'] (ה"ט), ורבינו ירוחם כתב בחלק א' (ני"ב, סה סוף ע"ג) בשם הרמ"ה דאין צריך לומר קידוש בסעודה שלישית, וכן כתוב במרדכי פרק כל כתבי (סי' שצז) ובתשובות (הרשב"א המיוחסות) להרמב"ן סימן ר"י שהר"מ לא היה מברך בורא פרי הגפן בסעודה שלישית קודם, וגם ה"ר יונה כתב בפרק שלשה שאכלו (ברכות לו: ד"ה ברכת) שאין נראין לו דברי הרמב"ם, ובשבלי הלקט (סי' צג) האריך לתת טעם למה אין צריך לקדש בסעודה שלישית ואחר כך כתב וז"ל והר"מ כתב אני רגיל לקדש בסעודה שלישית אבל לא שמעתי טעם מפיו ע"כ: ובאמת שאין לשון הרמב"ם מבואר שצריך לקדש בסעודה שלישית דקובע על היין שכתב איכא לפרושי דהיינו לומר שישתה יין בסעודתו. וכיון שכל הפוסקים סוברים דאין צריך לקדש וגם לשון הרמב"ם אינו מבואר שיצריך לקדש אין מקדשין, ומכל מקום המקדש לא הפסיד כיון שאפשר לפרש דברי הרמב"ם שמצריך לקדש וכמו שנראה שפירש רבינו יכול לומר כהרמב"ם אני נוהג וכיון דגם לשאר הפוסקים אין איסור בדבר אין מוחין בידו: [בדק הבית] אחר כך ראיתי להרמב"ם שכתב בפרק (ט') [כ"ט] (ה"י) ומצוה לברך על היין ביום השבת קודם שיסעוד סעודה שניה, משמע מדבריו שבסעודה שלישית אין מצוה לברך על היין קודם שיסעוד ומכל מקום הרוצה לעשות כן אין מוחין בידו [עד כאן]: ולענין בציעה על שתי ככרות כתב בשבלי הלקט (שם) בשם ה"ר בנימין דליכא קפידא לבצוע על שתי ככרות דמהיכא ילפינן (שבת קיז:) ליה [מדכתיב] (שמות טז כב) לקטו לחם משנה שני העומר כיון שאכלו סעודת שחרית לא היה לחם משנה בצהרים והמקפיד בזה שכרו אתו ופעולתו לפניו עכ"ל, אבל הגהות (מיימוניות) פרק ל' (אות ט) והמרדכי פרק כל כתבי (שם) ורבינו ירוחם בחלק א' (סה ע"ג) ותשובות (הרשב"א המיוחסות) להרמב"ן סימן ר"י כתבו שגם בסעודה שלישית צריך לחם משנה ושכך היה רגיל מהר"ם וכן כתב הרב המגיד (שם ה"ט) בשם גאון שכל זמן שהוא סועד בשבת צריך לבצוע על שתי ככרות:</w:t>
      </w:r>
      <w:r>
        <w:rPr>
          <w:rtl/>
        </w:rPr>
        <w:t xml:space="preserve"> </w:t>
      </w:r>
      <w:r>
        <w:rPr>
          <w:rFonts w:cs="Arial"/>
          <w:rtl/>
        </w:rPr>
        <w:t>(דרכ"מ ד) וכן כתב אבודרהם (דיני שלש סעודות, ע' קפב):</w:t>
      </w:r>
    </w:p>
    <w:p w14:paraId="0BDA0F71" w14:textId="77777777" w:rsidR="004B2E7C" w:rsidRDefault="004B2E7C" w:rsidP="00434A6A">
      <w:pPr>
        <w:rPr>
          <w:rtl/>
        </w:rPr>
      </w:pPr>
      <w:r>
        <w:rPr>
          <w:rFonts w:cs="Arial"/>
          <w:rtl/>
        </w:rPr>
        <w:t>ואיתא במכילתא דבסעודה שלישית צריך לפחות ככר אחד שלם וכו'. כן כתב המרדכי בפרק כל כתבי (סי' שצז):</w:t>
      </w:r>
    </w:p>
    <w:p w14:paraId="478F1620"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750ACAE" w14:textId="77777777" w:rsidR="004B2E7C" w:rsidRDefault="004B2E7C" w:rsidP="00434A6A">
      <w:pPr>
        <w:rPr>
          <w:rFonts w:asciiTheme="minorBidi" w:hAnsiTheme="minorBidi"/>
          <w:rtl/>
        </w:rPr>
      </w:pPr>
      <w:r>
        <w:rPr>
          <w:rFonts w:asciiTheme="minorBidi" w:hAnsiTheme="minorBidi" w:cs="Arial"/>
          <w:rtl/>
        </w:rPr>
        <w:t xml:space="preserve">א"צ לקדש בסעודה שלישית, אבל צריך לבצוע על שתי ככרות. הגה: ואם סועד הרבה פעמים בשבת צריך לכל סעודה ב' ככרות (אבודרהם ומיימוני), ולפחות לא יהיה לו בסעודה שלישית פחות מככר אחד שלם (טור ומרדכי פ' כ"כ). ומזה פשט המנהג להקל לבצוע בסעודה שלישית רק בככר א' שלם, אבל יש להחמיר ליקח שנים. </w:t>
      </w:r>
    </w:p>
    <w:p w14:paraId="4CFD6DFF" w14:textId="77777777" w:rsidR="004B2E7C" w:rsidRDefault="004B2E7C" w:rsidP="00434A6A">
      <w:pPr>
        <w:rPr>
          <w:rFonts w:asciiTheme="minorBidi" w:hAnsiTheme="minorBidi"/>
          <w:rtl/>
        </w:rPr>
      </w:pPr>
    </w:p>
    <w:p w14:paraId="3171A0DC" w14:textId="77777777" w:rsidR="004B2E7C" w:rsidRDefault="004B2E7C" w:rsidP="00434A6A">
      <w:pPr>
        <w:pStyle w:val="2"/>
        <w:rPr>
          <w:rtl/>
        </w:rPr>
      </w:pPr>
      <w:r>
        <w:rPr>
          <w:rtl/>
        </w:rPr>
        <w:t>סעיף ה</w:t>
      </w:r>
    </w:p>
    <w:p w14:paraId="6F34EDDD" w14:textId="77777777" w:rsidR="004B2E7C" w:rsidRDefault="004B2E7C" w:rsidP="00434A6A">
      <w:pPr>
        <w:rPr>
          <w:rtl/>
        </w:rPr>
      </w:pPr>
      <w:r>
        <w:rPr>
          <w:rFonts w:cs="Arial"/>
          <w:rtl/>
        </w:rPr>
        <w:t>[ה] ויש אומרים שיכול להשלים סעודה שלישית במיני תרגימא. כן כתב הר"ן בפרק כל כתבי (מד. ד"ה ואיכא) שיש אומרים כן ושהביאו ראיה מפרק הישן (סוכה כז.) וכן כתב ה"ר יונה בפרק שלשה שאכלו (ברכות לו: ד"ה ברכת) בשם רבני צרפת, והתוספות (סוכה כז. ד"ה במיני) והרא"ש בפרק הישן (סו"ס יג) ובפרק בתרא דיומא (עט: תוס' ד"ה מיני) דחו ראייתם וכן כתבו הגהות (מיימוניות) בפרק ל' (אות ו), והמרדכי בפרק כל כתבי (שם) כתב שתי הסברות ולא הכריע, וסמ"ג כתב בסימן כ"ז (עשין, קט ע"ד) דבכל שלש סעודות צריך פת:</w:t>
      </w:r>
    </w:p>
    <w:p w14:paraId="5C961E3C" w14:textId="77777777" w:rsidR="004B2E7C" w:rsidRDefault="004B2E7C" w:rsidP="00434A6A">
      <w:pPr>
        <w:rPr>
          <w:rtl/>
        </w:rPr>
      </w:pPr>
      <w:r>
        <w:rPr>
          <w:rFonts w:cs="Arial"/>
          <w:rtl/>
        </w:rPr>
        <w:t>ומיני תרגימא. כתב הר"ן בפרק כל כתבי (שם) שהם פירות וכן פירש רש"י בפרק הישן (סוכה כז. ד"ה במיני תרגימא), אבל התוספות כתבו שם ובפרק בתרא דיומא (שם) שהם כמו בשר ודגים וכיוצא דברים שמלפתים בהם את הפת. וכתבו עוד ואפילו אי הוה אמרינן דנפיק בשלש סעודות במיני תרגימא כמו גבי סוכה מכל מקום בפירי לא נפיק דלא מהני נמי בסוכה</w:t>
      </w:r>
      <w:r>
        <w:rPr>
          <w:rStyle w:val="a9"/>
          <w:rFonts w:cs="Arial"/>
          <w:rtl/>
        </w:rPr>
        <w:footnoteReference w:id="1049"/>
      </w:r>
      <w:r>
        <w:rPr>
          <w:rFonts w:cs="Arial"/>
          <w:rtl/>
        </w:rPr>
        <w:t>. וכתב עוד הרא"ש בפרק הישן (שם) דבתוספתא פרק כיצד מברכין (ברכות פ"ד ה"ד) תניא הביאו לפניו מיני תרגימא מברך עליו בורא מיני מזונות ומשמע דמיני תרגימא היינו מאכל שעשוי מחמשת מינים ואפשר שהוא חשוב יותר מבשר וגבינה עכ"ל וכן כתבו הגהות (מיימוניות) בפרק ל' (שם), וסמך רבינו על פירוש זה משום דמשמע כן בתוספתא. ורבינו ירוחם בחלק א' (שם) כתב דמיני תרגימא הם פירות וגם ה"ר יונה בפרק שלשה שאכלו (שם) כתב דבסעודה שלישית נפטר באכילת פירות וכן כתוב בשבלי הלקט (סי' צג) שהיה ר"י ב"ר יהודה נוהג להשלים סעודה שלישית במיני פירות וה"ר יהודה מקפיד במיני פירות של שבעת מינים עכ"ל:</w:t>
      </w:r>
    </w:p>
    <w:p w14:paraId="0612D3D2"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B54C19C" w14:textId="77777777" w:rsidR="004B2E7C" w:rsidRDefault="004B2E7C" w:rsidP="00434A6A">
      <w:pPr>
        <w:rPr>
          <w:rFonts w:asciiTheme="minorBidi" w:hAnsiTheme="minorBidi"/>
          <w:rtl/>
        </w:rPr>
      </w:pPr>
      <w:r>
        <w:rPr>
          <w:rFonts w:asciiTheme="minorBidi" w:hAnsiTheme="minorBidi" w:cs="Arial"/>
          <w:rtl/>
        </w:rPr>
        <w:t xml:space="preserve">צריך לעשותה בפת; וי"א שיכול לעשותה בכל מאכל העשוי מאחד מחמשת מיני דגן; וי"א שיכול לעשותה בדברים שמלפתים בהם הפת כבשר ודגים, אבל לא בפירות; וי"א דאפילו בפירות יכול לעשותה. וסברא ראשונה עיקר, שצריך לעשותה בפת אא"כ הוא שבע ביותר. הגה: או במקום שא"א לו לאכול פת, כגון בערב פסח שחל להיות בשבת שאסור לו לאכול פת לאחר מנחה כדלקמן בהלכות פסח (מהרי"ל ה"פ). </w:t>
      </w:r>
    </w:p>
    <w:p w14:paraId="1D94387E" w14:textId="77777777" w:rsidR="004B2E7C" w:rsidRDefault="004B2E7C" w:rsidP="00434A6A">
      <w:pPr>
        <w:pStyle w:val="2"/>
        <w:rPr>
          <w:rtl/>
        </w:rPr>
      </w:pPr>
      <w:r>
        <w:rPr>
          <w:rtl/>
        </w:rPr>
        <w:t>סעיף ו</w:t>
      </w:r>
    </w:p>
    <w:p w14:paraId="5A4803CD" w14:textId="77777777" w:rsidR="004B2E7C" w:rsidRDefault="004B2E7C" w:rsidP="00434A6A">
      <w:pPr>
        <w:rPr>
          <w:rtl/>
        </w:rPr>
      </w:pPr>
      <w:r>
        <w:rPr>
          <w:rFonts w:cs="Arial"/>
          <w:rtl/>
        </w:rPr>
        <w:t>[ו] כתבו הר"ן (שבת מד. ד"ה וכתב) והמרדכי בפרק כל כתבי (שם,</w:t>
      </w:r>
      <w:r>
        <w:rPr>
          <w:rtl/>
        </w:rPr>
        <w:t xml:space="preserve"> </w:t>
      </w:r>
      <w:r>
        <w:rPr>
          <w:rFonts w:cs="Arial"/>
          <w:rtl/>
        </w:rPr>
        <w:t>ובמרדכי פרק קמא דמגילה (סי' תשפ, דרכ"מ אות ו)) בשם רבינו תם דנשים חייבות בשלש סעודות וכן נמי לבצוע על שתי ככרות שאף הן היו בנס המן וכתב הר"ן ואין צורך שבכל מעשה שבת איש ואשה שוין וכן כתוב בשבלי הלקט (סו"ס צג) דנשים חייבות משום דעל כולם הוא אומר (שמות טז כה) אכלוהו היום ובין אנשים בין נשים נתרבו באכילה זו וכן מוכיח בפרק אף על פי (כתובות סד ע"ב) גבי משרה אשתו על ידי שליש:</w:t>
      </w:r>
    </w:p>
    <w:p w14:paraId="17C6BAFF"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E009537" w14:textId="77777777" w:rsidR="004B2E7C" w:rsidRDefault="004B2E7C" w:rsidP="00434A6A">
      <w:pPr>
        <w:rPr>
          <w:rFonts w:asciiTheme="minorBidi" w:hAnsiTheme="minorBidi"/>
          <w:rtl/>
        </w:rPr>
      </w:pPr>
      <w:r>
        <w:rPr>
          <w:rFonts w:asciiTheme="minorBidi" w:hAnsiTheme="minorBidi" w:cs="Arial"/>
          <w:rtl/>
        </w:rPr>
        <w:t>נשים חייבות בסעודה שלישית.</w:t>
      </w:r>
    </w:p>
    <w:p w14:paraId="37692AE2" w14:textId="77777777" w:rsidR="004B2E7C" w:rsidRDefault="004B2E7C" w:rsidP="00434A6A">
      <w:pPr>
        <w:rPr>
          <w:rFonts w:asciiTheme="minorBidi" w:hAnsiTheme="minorBidi"/>
          <w:rtl/>
        </w:rPr>
      </w:pPr>
    </w:p>
    <w:p w14:paraId="589EFA04" w14:textId="77777777" w:rsidR="004B2E7C" w:rsidRDefault="004B2E7C" w:rsidP="00434A6A">
      <w:pPr>
        <w:rPr>
          <w:rFonts w:asciiTheme="minorBidi" w:hAnsiTheme="minorBidi"/>
          <w:rtl/>
        </w:rPr>
      </w:pPr>
    </w:p>
    <w:p w14:paraId="65EA4417"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61"/>
          <w:footnotePr>
            <w:numRestart w:val="eachSect"/>
          </w:footnotePr>
          <w:pgSz w:w="11906" w:h="16838"/>
          <w:pgMar w:top="720" w:right="1134" w:bottom="720" w:left="1134" w:header="0" w:footer="0" w:gutter="0"/>
          <w:cols w:space="720"/>
          <w:bidi/>
          <w:rtlGutter/>
        </w:sectPr>
      </w:pPr>
    </w:p>
    <w:p w14:paraId="674321FC" w14:textId="77777777" w:rsidR="004B2E7C" w:rsidRDefault="004B2E7C" w:rsidP="00434A6A">
      <w:pPr>
        <w:pStyle w:val="1"/>
        <w:rPr>
          <w:rtl/>
        </w:rPr>
      </w:pPr>
      <w:r>
        <w:rPr>
          <w:rtl/>
        </w:rPr>
        <w:t xml:space="preserve">סימן רצב: דין תפלת מנחה בשבת, ובו ב' סעיפים. </w:t>
      </w:r>
    </w:p>
    <w:p w14:paraId="157BB583" w14:textId="77777777" w:rsidR="004B2E7C" w:rsidRDefault="004B2E7C" w:rsidP="00434A6A">
      <w:pPr>
        <w:pStyle w:val="2"/>
        <w:rPr>
          <w:rtl/>
        </w:rPr>
      </w:pPr>
      <w:r>
        <w:rPr>
          <w:rtl/>
        </w:rPr>
        <w:t>סעיף א</w:t>
      </w:r>
    </w:p>
    <w:p w14:paraId="45EF2AD2" w14:textId="77777777" w:rsidR="004B2E7C" w:rsidRDefault="004B2E7C" w:rsidP="00FF2D21">
      <w:pPr>
        <w:pStyle w:val="aa"/>
        <w:numPr>
          <w:ilvl w:val="0"/>
          <w:numId w:val="125"/>
        </w:numPr>
        <w:rPr>
          <w:rtl/>
        </w:rPr>
      </w:pPr>
      <w:r>
        <w:rPr>
          <w:rtl/>
        </w:rPr>
        <w:t xml:space="preserve">טור- </w:t>
      </w:r>
      <w:r>
        <w:rPr>
          <w:rFonts w:cs="Arial"/>
          <w:rtl/>
        </w:rPr>
        <w:t>סדר מנחה אומר ש"צ אשרי ובא לציון וקדיש ואומר פסוק ואני תפלתי לך ה' עת רצון ע"פ המדרש ישיחו בי יושבי שער ונגינות שותי שכר וכתיב בתריה ואני תפלתי לך ה' עת רצון וגו' אמר דוד לפני הקדוש ברוך הוא רבש"ע אף על פי ששתינו ואני תפלתי לך ה' ובספרד נוהגין לכפלו ואין נוהגין כן באשכנז ובצרפת ומוציאין ס"ת כדאיתא בירושלמי עזרא תיקן להם לישראל שיהו קורין בתורה בשבת במנחה ובשני ובחמישי ותנן בפ' הקורא את המגילה (כא א) בשבת במנחה ובשני ובחמישי קורין ג' אין פוחתין מהם ואין מוסיפין עליהם ואין מפטירין בנביא וקורין י' פסוקים מפרשה הבאה דתניא במגילה בפרק בני העיר (לא א) במקום שפוסקין שבת שחרית שם קורין במנחה במנחה שם קורין בב' בב' שם קורין בה' דברי ר"מ רבי יהודה אומר במקום שפוסקין בשבת שחרית שם קורין במנחה בשני ובחמישי ולשבת הבאה והרי הלכתא ומתפללין שלש ראשונות ושלש אחרונות וקדושת היום באמצע אתה אחד וכו' ויש בו נ"ד תיבות כמו שיש בפרשת זכור את יום השבת לקדשו עד ויקדשהו. מי כעמך ישראל גוי אחד בארץ א איתא במדרש ג' מעידין זה על זה הקדוש ברוך הוא ישראל ושבת הקדוש ברוך הוא וישראל מעידין על השבת שהוא יום מנוחה ישראל ושבת מעידין על הקדוש ברוך הוא שהוא אחד הקדוש ברוך הוא ושבת מעידין על ישראל שהן יחידין באומות ועל פי זה נתקן אתה אחד ומה שתקנו בשבת ג' ענייני תפלות אתה קדשת ישמח משה אתה אחד ובי"ט לא תקנו אלא אחת אתה בחרתנו מפני שאלו ג' תפלות תקנום כנגד ג' שבתות אתה קדשת כנגד שבת בראשית כמו שמוכיח מתוכו ישמח משה כנגד שבת של מתן תורה דלכולי עלמא בשבת ניתנה תורה ואתה אחד כנגד שבת של עתיד ונוהגין בכל המקומות לומר ג' פסוקים של צדקתך וכתב רב שלום הטעם שתקנו לומר צדוק הדין על שמת משה רבינו באותה שעה וגם נהגו שלא לקבוע מדרש בין שתי תפלות משום חכם שמת כל בתי מדרשות בטילין מזה הטעם נמי הנהיג ר"ת שלא לקבוע אז סעודה ויש מדרשים שמוכיחים שלא מת באותה שעה ומה שאומרים צדקתך בשביל הרשעים שחוזרים לגיהנם במ"ש ונוהגים באשכנז כשאין תחנה ביום ראשון שאין אומרים בשבת צדקתך</w:t>
      </w:r>
      <w:r>
        <w:rPr>
          <w:rStyle w:val="a9"/>
          <w:rFonts w:cs="Arial"/>
          <w:rtl/>
        </w:rPr>
        <w:footnoteReference w:id="1050"/>
      </w:r>
      <w:r>
        <w:rPr>
          <w:rFonts w:cs="Arial"/>
          <w:rtl/>
        </w:rPr>
        <w:t xml:space="preserve"> ונוהגים באשכנז לומר תחלה צדקתך צדק לעולם ואחריו וצדקתך אלהים ואחריו צדקתך כהררי אל ובספרד אומרים תחלה צדקתך כהררי אל ואחריו וצדקתך אלהים ואחריו צדקתך צדק לעולם וזה נכון יותר שבזה הסדר כתובות בס' תהלים ונוהגין באשכנז לומר פרקי אבות במנחה וכ"כ רב עמרם ובספרד אומרים אותם בשחרית. טעה ולא התפלל מנחה בשבת מתפלל במ"ש שתים של חול מבדיל בראשונה שיש להקדים אותה שזמנה עתה ואינו מבדיל בשנייה שהיא לתשלומין של שבת ואם לא הבדיל בראשונה והבדיל בשנייה שנייה עלתה לו ראשונה לא עלתה לו דכיון דלא מבדיל בראשונה גלי דעתי' שכיון בראשונה לשם תשלומין ובשנייה משום חובתו ואין לו להקדים אותה של תשלומין לחובת הזמן וצריך להתפלל פעם שלישית בשביל אותה של תשלומין ואם הבדיל בשניהם או לא הבדיל בשום אחת מהם יצא וה"מ בטעה ולא התפלל מנחה כלל אבל אם טעה והתפלל י"ח ברכות ולא הזכיר של שבת כתב ר"י אף על פי שלא יצא באותה תפלה ואילו נזכר מבע"י היה צריך להתפלל ז' ברכות אפ"ה לא יתפלל במ"ש שתים כיון שכבר התפלל י"ח ברכות וחכמי פרובינצא היו אומרים כיון שלא יצא ידי חובתו באותה תפלה הוי כאילו לא התפלל וצריך להתפלל שתים לערב וכתב א"א ז"ל והדבר מוכרע לכך היה אומר ה"ר יונה שהנכון לצאת ידי ספק ולהתפלל אותה לערב בתורת נדבה ואין צריך לחדש בה דבר דכיון שמתפלל אותה מספק אין לך חידוש גדול מזה:</w:t>
      </w:r>
    </w:p>
    <w:p w14:paraId="034A9807" w14:textId="77777777" w:rsidR="004B2E7C" w:rsidRDefault="004B2E7C" w:rsidP="00434A6A">
      <w:pPr>
        <w:rPr>
          <w:rtl/>
        </w:rPr>
      </w:pPr>
      <w:r>
        <w:rPr>
          <w:rFonts w:cs="Arial"/>
          <w:rtl/>
        </w:rPr>
        <w:t>[א] סדר מנחה אומר שליח צבור אשרי וכו' ואומר פסוק ואני תפלתי על פי המדרש וכו'. כן כתוב בשבלי הלקט (סי' קכו) בשם רש"י (ספר הפרדס ע' שיג) וכתב שלא נהגו לאמרו ביום טוב מפני שתיקן עזרא שיהו קורין בתורה בשבת במנחה ולא תיקן כן ביום טוב: כתב הרוקח בסימן (ש"כ) [ש"ב] יום טוב שחל להיות בשבת קורין במנחה פרשה הנוהגת ולא של יום טוב כדאמרינן בפרק במה מדליקין (כד סוע"א) גבי מפטיר הכי נמי אלמלא שבת אין קריאה במנחה ביום טוב: כתוב בשבלי הלקט (סי' עט) אחר שקראו חובת היום בתורה מקדישין בין בחול בין בשבת בין ביום טוב חוץ משבת במנחה ותענית שאין בה הפטרה במנחה שאין מקדישין בהם והטעם שמעתי מפי ה"ר בנימין שבת ויום טוב שחרית ומנחת יום הכפורים ותשעה באב שיש בהם קריאת ההפטרה המפסקת בין הקדיש שלאחר קריאת התורה לקדיש שלפני תפלת המנחה בהצנעת ספר תורה מקדישין לאחר קריאת התורה [אבל מנחת שבת ומנחת תענית שאין הפטרה ולא דבר אחר להפסיק בין שני הקדישין אין מקדישין לאחר קריאת התורה] שהרי צריך לו להקדיש מיד בהצנעת התורה בעמדם לתפלת לחש עכ"ל: כתוב עוד שם (סי' קכו) יום מנוחה וקדושה לעמך נתת כך ראוי לומר שהרי בסוף הלשון אומר ינוחו בו לשון זכר ומי שאינו אומר יום מנוחה צריך לומר ינוחו בה שכל הלשון שלמעלה הוא לשון נקבה, ולפי שהאבות שמרו משמרת השבת שאפילו ערובי תבשילין שמר אברהם אבינו (יומא כח:) וכן צוה את בניו [זה יצחק] ואת ביתו זה יעקב לכן אנו מזכירין אותם בתפלה, גילה באברהם בבראשית רבה (פרשה סג סי' א) גיל יגיל אבי צדיק (משלי כג כד) זה אברהם בשעה שנתבשר לא יירשך זה וכו' (בראשית טו ד) בא שמחה וגיל בלבו שנאמר (שם יז יז) ויפול אברהם על פניו ויצחק, וכיון שנדרש גיל יגיל אבי צדיק על אברהם נמצא שיצחק הוא הצדיק ומצינו רנה אצל צדיקים דכתיב (תהלים לג א) רננו צדיקים ועוד כשאמר אברהם (בראשית כב ח) השה לעולה בני מיד רינן יצחק ואמר שירה ומה שירה אמר שיר של קרבן, יעקב ובניו ינוחו בו דכתיב ביה (שם לג יח) ויחן את פני העיר ואמרו בבראשית רבה (פרשה עט סו"ס ו) שקבע תחומין מבעוד יום הדא אמרה ששימר יעקב שבת יעקב ובניו לא אברהם ובניו ולא יצחק ובניו שהרי בני ישמעאל ועשו אינם נוחים בו, מנוחת אהבה ונדבה מוסב על האמור למעלה יום מנוחה וקדושה לעמך נתת [עכ"ל]:</w:t>
      </w:r>
    </w:p>
    <w:p w14:paraId="5FB700EF"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AABBA1B" w14:textId="77777777" w:rsidR="004B2E7C" w:rsidRDefault="004B2E7C" w:rsidP="00434A6A">
      <w:pPr>
        <w:rPr>
          <w:rFonts w:asciiTheme="minorBidi" w:hAnsiTheme="minorBidi"/>
          <w:rtl/>
        </w:rPr>
      </w:pPr>
      <w:r>
        <w:rPr>
          <w:rFonts w:asciiTheme="minorBidi" w:hAnsiTheme="minorBidi" w:cs="Arial"/>
          <w:rtl/>
        </w:rPr>
        <w:t xml:space="preserve">במנחה (אומרים אשרי ובא לציון ואני תפלתי וגו') (טור) ומוציאין ס"ת וקורין ג' אנשים י' פסוקים מפרשה הבאה. ואפילו חל יום טוב להיות בשבת, קורין בפרשה הבאה ולא בשל יום טוב. </w:t>
      </w:r>
    </w:p>
    <w:p w14:paraId="790F49CA" w14:textId="77777777" w:rsidR="004B2E7C" w:rsidRDefault="004B2E7C" w:rsidP="00434A6A">
      <w:pPr>
        <w:rPr>
          <w:rFonts w:asciiTheme="minorBidi" w:hAnsiTheme="minorBidi"/>
          <w:rtl/>
        </w:rPr>
      </w:pPr>
    </w:p>
    <w:p w14:paraId="5A8EBC1F" w14:textId="77777777" w:rsidR="004B2E7C" w:rsidRDefault="004B2E7C" w:rsidP="00434A6A">
      <w:pPr>
        <w:pStyle w:val="2"/>
        <w:rPr>
          <w:rtl/>
        </w:rPr>
      </w:pPr>
      <w:r>
        <w:rPr>
          <w:rtl/>
        </w:rPr>
        <w:t>סעיף ב</w:t>
      </w:r>
    </w:p>
    <w:p w14:paraId="30D3E746" w14:textId="77777777" w:rsidR="004B2E7C" w:rsidRDefault="004B2E7C" w:rsidP="00434A6A">
      <w:pPr>
        <w:rPr>
          <w:rtl/>
        </w:rPr>
      </w:pPr>
      <w:r>
        <w:rPr>
          <w:rFonts w:cs="Arial"/>
          <w:rtl/>
        </w:rPr>
        <w:t>[ב] וכתב רב שר שלום הטעם שתקנו לומר צדוק הדין וכו' ויש מדרשים שמוכיחים שלא מת באותה שעה וכו' עד במוצאי שבת. הכל כתוב באורך בפרק ערבי פסחים בפסקי הרא"ש (סי' יג) ובמרדכי (לז.)</w:t>
      </w:r>
      <w:r>
        <w:rPr>
          <w:rStyle w:val="a9"/>
          <w:rFonts w:cs="Arial"/>
          <w:rtl/>
        </w:rPr>
        <w:footnoteReference w:id="1051"/>
      </w:r>
      <w:r>
        <w:rPr>
          <w:rFonts w:cs="Arial"/>
          <w:rtl/>
        </w:rPr>
        <w:t>:</w:t>
      </w:r>
    </w:p>
    <w:p w14:paraId="4C5C457D" w14:textId="77777777" w:rsidR="004B2E7C" w:rsidRDefault="004B2E7C" w:rsidP="00434A6A">
      <w:pPr>
        <w:rPr>
          <w:rtl/>
        </w:rPr>
      </w:pPr>
      <w:r>
        <w:rPr>
          <w:rFonts w:cs="Arial"/>
          <w:rtl/>
        </w:rPr>
        <w:t>טעה ולא התפלל מנחה בשבת וכו'. ברייתא בריש פרק תפלת השחר (ברכות כו:) ואף על גב דאסיקנא בקשיא כבר כתבו שם הרא"ש (סי' ב) והרשב"א (חי' שם) דכיון דלא אסיקנא בתיובתא הכי נקטינן משום דטעמא דמסתבר הוא וכן פסק הרי"ף (שם יח.) והרמב"ם בפרק י' מהלכות תפלה (הט"ו):</w:t>
      </w:r>
    </w:p>
    <w:p w14:paraId="0AE2BD2E" w14:textId="77777777" w:rsidR="004B2E7C" w:rsidRDefault="004B2E7C" w:rsidP="00434A6A">
      <w:pPr>
        <w:rPr>
          <w:rtl/>
        </w:rPr>
      </w:pPr>
      <w:r>
        <w:rPr>
          <w:rFonts w:cs="Arial"/>
          <w:rtl/>
        </w:rPr>
        <w:t>ומה שכתב ואם הבדיל בשניהם או לא הבדיל ב[שום] אחת מהם יצא. כן כתבו שם הפוסקים הנזכרים:</w:t>
      </w:r>
    </w:p>
    <w:p w14:paraId="37804F59" w14:textId="77777777" w:rsidR="004B2E7C" w:rsidRDefault="004B2E7C" w:rsidP="00434A6A">
      <w:pPr>
        <w:rPr>
          <w:rtl/>
        </w:rPr>
      </w:pPr>
      <w:r>
        <w:rPr>
          <w:rFonts w:cs="Arial"/>
          <w:rtl/>
        </w:rPr>
        <w:t>והני מילי בטעה ולא התפלל מנחה כלל אבל אם טעה והתפלל שמונה עשרה ברכות וכו' עד וצריך להתפלל שתים בערב. בתוספות (ברכות כו: ד"ה טעה) והרא"ש (שם) וה"ר יונה ריש פרק תפלת השחר (ברכות יח סוע"א). ודייק רבינו לכתוב בכל הני טעה דאילו הזיד אין לו תשלומין כמו שנתבאר בסימן ק"ח (צד.):</w:t>
      </w:r>
      <w:r>
        <w:rPr>
          <w:rtl/>
        </w:rPr>
        <w:tab/>
      </w:r>
    </w:p>
    <w:p w14:paraId="5070E7AB"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67458E6" w14:textId="77777777" w:rsidR="004B2E7C" w:rsidRDefault="004B2E7C" w:rsidP="00434A6A">
      <w:pPr>
        <w:rPr>
          <w:rFonts w:asciiTheme="minorBidi" w:hAnsiTheme="minorBidi"/>
          <w:rtl/>
        </w:rPr>
      </w:pPr>
      <w:r>
        <w:rPr>
          <w:rFonts w:asciiTheme="minorBidi" w:hAnsiTheme="minorBidi" w:cs="Arial"/>
          <w:rtl/>
        </w:rPr>
        <w:t>אומרים: צדקתך ואם חל בו יום שאילו היה חול לא היו אומרים בו במנחה נפילת אפים, אין אומרים צדקתך. הגה: ונהגו שלא לקבוע מדרש בין מנחה למעריב (טור), אבל אומרים פרקי אבות בקיץ ושיר המעלות בחורף, וכ"מ לפי מנהגו.</w:t>
      </w:r>
    </w:p>
    <w:p w14:paraId="088337DD" w14:textId="77777777" w:rsidR="004B2E7C" w:rsidRDefault="004B2E7C" w:rsidP="00434A6A">
      <w:pPr>
        <w:rPr>
          <w:rFonts w:asciiTheme="minorBidi" w:hAnsiTheme="minorBidi"/>
          <w:rtl/>
        </w:rPr>
      </w:pPr>
    </w:p>
    <w:p w14:paraId="2D02D7A1" w14:textId="77777777" w:rsidR="004B2E7C" w:rsidRDefault="004B2E7C" w:rsidP="00434A6A">
      <w:pPr>
        <w:rPr>
          <w:rFonts w:asciiTheme="minorBidi" w:hAnsiTheme="minorBidi"/>
          <w:rtl/>
        </w:rPr>
      </w:pPr>
    </w:p>
    <w:p w14:paraId="6116F3C2"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62"/>
          <w:footnotePr>
            <w:numRestart w:val="eachSect"/>
          </w:footnotePr>
          <w:pgSz w:w="11906" w:h="16838"/>
          <w:pgMar w:top="720" w:right="1134" w:bottom="720" w:left="1134" w:header="0" w:footer="0" w:gutter="0"/>
          <w:cols w:space="720"/>
          <w:bidi/>
          <w:rtlGutter/>
        </w:sectPr>
      </w:pPr>
    </w:p>
    <w:p w14:paraId="48924320" w14:textId="77777777" w:rsidR="004B2E7C" w:rsidRDefault="004B2E7C" w:rsidP="00434A6A">
      <w:pPr>
        <w:pStyle w:val="1"/>
        <w:rPr>
          <w:rtl/>
        </w:rPr>
      </w:pPr>
      <w:r>
        <w:rPr>
          <w:rtl/>
        </w:rPr>
        <w:t xml:space="preserve">סימן רצג: דיני ערבית במוצאי שבת, ובו ג' סעיפים. </w:t>
      </w:r>
    </w:p>
    <w:p w14:paraId="2E2600D0" w14:textId="77777777" w:rsidR="004B2E7C" w:rsidRDefault="004B2E7C" w:rsidP="00434A6A">
      <w:pPr>
        <w:pStyle w:val="2"/>
        <w:rPr>
          <w:rtl/>
        </w:rPr>
      </w:pPr>
      <w:r>
        <w:rPr>
          <w:rtl/>
        </w:rPr>
        <w:t>סעיף א</w:t>
      </w:r>
    </w:p>
    <w:p w14:paraId="02F9EB68" w14:textId="77777777" w:rsidR="004B2E7C" w:rsidRDefault="004B2E7C" w:rsidP="00FF2D21">
      <w:pPr>
        <w:pStyle w:val="aa"/>
        <w:numPr>
          <w:ilvl w:val="0"/>
          <w:numId w:val="125"/>
        </w:numPr>
        <w:rPr>
          <w:rtl/>
        </w:rPr>
      </w:pPr>
      <w:r>
        <w:rPr>
          <w:rFonts w:cs="Arial"/>
          <w:rtl/>
        </w:rPr>
        <w:t>טור- סדר ערבית ומאחרין אותו כדי להוסיף מחול על הקודש דאמר ר"י יהא חלקי עם מוציאי שבת בציפורי שהיא יושבת בהר והיה נראה להם יום גדול עד צאת הכוכבים ולכך היו מאחרין במ"ש ומ"מ זמן יציאת השבת להיות מותר במלאכה הוא משישלים בין השמשות דר' יוסי והוא אחר בין השמשות דר' יהודה שהוא ג' חלקי מיל אחר שקיעת החמ' נמצא אחר שקיעת החמה כדי להלך אלף ות"ק אמה מותר בעשיית מלאכה. מי שהוא אנוס כגון שצריך להחשיך על התחום לדבר מצוה יכול להתפלל של מ"ש מפלג המנחה ולמעלה ולהבדיל מיד ומיהו לא יברך על הנר וגם אסור בעשיית מלאכה עד הלילה גרסינן בפ' תפלת השחר אמר שמואל מתפלל אדם של מוצ"ש בשבת ואומר הבדלה על הכוס רב צלי של מ"ש בשבת וכן ר' יאשיה והיו מבדילין על הכוס ופי' רב האי כגון שהיה להם שום אונס שלא היה להם יין להבדיל או שהיו צריכין להחשיך על התחום לצורך מצו' כגון על עסקי מת או כלה כי דבר פשוט הוא שלא היו ממהרין להתפלל של מוצ"ש בשבת אם לא בשביל אונס ופר"י דסבירא להו דמפלג המנחה ולמעלה הוא זמן תפלת ערבית הילכך היו מתפללים והיו ממתינין מלקרות שמע עד צאת הכוכבים אף על פי שלא היו סומכין גאולה לתפלה לא היו חוששין כיון שהיו אנוסים וקורין שמע בברכותיה ומתפללין י"ח וכתב הרי"ץ גיאות כיון שנהגו כל ישראל כרבנן שאין מתפללין ערבית אלא משחשכה אין להתפלל של שבת בע"ש ולא של מוצ"ש בשבת ואין לקדש ולהבדיל אלא בכניסת יום וביציאתו בין יין מצוי בין אינו מצוי דקידוש אפשר בפת והבדלה אפשר למחר:</w:t>
      </w:r>
    </w:p>
    <w:p w14:paraId="48C89EF7" w14:textId="77777777" w:rsidR="004B2E7C" w:rsidRDefault="004B2E7C" w:rsidP="00434A6A">
      <w:r>
        <w:rPr>
          <w:rFonts w:cs="Arial"/>
          <w:rtl/>
        </w:rPr>
        <w:t>א סדר ערבית ומאחרין אותו וכו' דאמר רבי יוסי. בפרק כל כתבי (קיח:):</w:t>
      </w:r>
    </w:p>
    <w:p w14:paraId="53874DB0"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8BC2F42" w14:textId="77777777" w:rsidR="004B2E7C" w:rsidRDefault="004B2E7C" w:rsidP="00434A6A">
      <w:pPr>
        <w:rPr>
          <w:rFonts w:asciiTheme="minorBidi" w:hAnsiTheme="minorBidi"/>
          <w:rtl/>
        </w:rPr>
      </w:pPr>
      <w:r>
        <w:rPr>
          <w:rFonts w:asciiTheme="minorBidi" w:hAnsiTheme="minorBidi" w:cs="Arial"/>
          <w:rtl/>
        </w:rPr>
        <w:t xml:space="preserve">מאחרין תפלת ערבית, כדי להוסיף מחול על הקודש. </w:t>
      </w:r>
    </w:p>
    <w:p w14:paraId="366DB40B" w14:textId="77777777" w:rsidR="004B2E7C" w:rsidRDefault="004B2E7C" w:rsidP="00434A6A">
      <w:pPr>
        <w:rPr>
          <w:rFonts w:asciiTheme="minorBidi" w:hAnsiTheme="minorBidi"/>
          <w:rtl/>
        </w:rPr>
      </w:pPr>
    </w:p>
    <w:p w14:paraId="29A0E543" w14:textId="77777777" w:rsidR="004B2E7C" w:rsidRDefault="004B2E7C" w:rsidP="00434A6A">
      <w:pPr>
        <w:pStyle w:val="2"/>
        <w:rPr>
          <w:rtl/>
        </w:rPr>
      </w:pPr>
      <w:r>
        <w:rPr>
          <w:rtl/>
        </w:rPr>
        <w:t>סעיף ב:</w:t>
      </w:r>
    </w:p>
    <w:p w14:paraId="1C87F7F6" w14:textId="77777777" w:rsidR="004B2E7C" w:rsidRDefault="004B2E7C" w:rsidP="00434A6A">
      <w:pPr>
        <w:rPr>
          <w:rtl/>
        </w:rPr>
      </w:pPr>
      <w:r>
        <w:rPr>
          <w:rFonts w:cs="Arial"/>
          <w:rtl/>
        </w:rPr>
        <w:t>ב ומכל מקום זמן יציאת שבת להיות מותר במלאכה הוא משישלים בין השמשות דרבי יוסי וכו'. כבר כתבתי בסימן רס"א (כא. ד"ה ומ"ש וזמנו) דלרבי יהודה אחר סוף שקיעת החמה אלף וחמש מאות אמה הוי בין השמשות כדאיתא בפרק במה מדליקין (לד:) ורבי יוסי פליג עליה שם ואמר בין השמשות כהרף עין ומפרש בגמרא (לה.) דבין השמשות דרבי יהודה הוי יממא לרבי יוסי ואסיקנא דהלכה כדברי שניהם להחמיר כרבי יהודה לענין קבלת שבת וכרבי יוסי לענין תרומה דלא אכלי כהנים תרומה עד דשלים בין השמשות דרבי יוסי וכתבו רש"י (לה: ד"ה אלא לאכילת) והתוספות (שם ד"ה הקשה) והרא"ש (סי' כג) וממילא נמי למוצאי שבת נקטינן כרבי יוסי ונסתפק שם הרא"ש כמה יש בין בין השמשות דרבי יהודה לדרבי יוסי והוכיח שאין ביניהם שיעור חמשים אמה וכתב נמצא שמשתשקע החמה [מהלך] אלף וחמש מאות וארבעים ותשע אמה מותר לעשות מלאכה במוצאי שבת ועל כן יש להגיה בספרי רבינו נמצא אחר שקיעת החמה אלף וחמש מאות וארבעים ותשע אמה: ולא ידעתי למה השמיט רבינו הא דאמרינן התם (לה:) כוכב אחד יום שנים בין השמשות שלשה לילה וכוכבים שאמרו לא כוכבים גדולים הנראים ביום ולא כוכבים [קטנים] שאינם נראים אלא בלילה אלא בינוניים וה"ר יונה כתבו בתחלת מסכת ברכות (א: ד"ה והא) וכתב וכיון שאין הכל בקיאים בין גדולים (לקטנים) [לבינונים] צריך ליזהר שלא לעשות שום מלאכה עד שיראו שלשה כוכבים קטנים ואם הוא יום מעונן ימתין עד שיצא הספק מלבו: וכתב הר"ן בפרק במה מדליקין (טו. סוד"ה אמר רבה) וביומא (ב: סוד"ה ת"ר ועיניתם) דלענין תוספת שצריך להוסיף מחול על הקודש שיעורו לענין מוצאי שבת כענין שאמרו בירושלמי דברכות (פ"א ה"א) שצריך שיראו שלשה כוכבים רצופים היו מפוזרים אסור בעשיית מלאכה משום תוספת</w:t>
      </w:r>
      <w:r>
        <w:rPr>
          <w:rStyle w:val="a9"/>
          <w:rFonts w:cs="Arial"/>
          <w:rtl/>
        </w:rPr>
        <w:footnoteReference w:id="1052"/>
      </w:r>
      <w:r>
        <w:rPr>
          <w:rFonts w:cs="Arial"/>
          <w:rtl/>
        </w:rPr>
        <w:t xml:space="preserve"> ואף על גב דרבינו סבירא ליה כהרמב"ם דלית ליה תוספת לענין שבת כמו שכתבתי בסימן רס"א (כא. ד"ה והרמב"ם) מכל מקום לא היה לו להשמיט הא דכוכב אחד יום וכו' ללמדנו דשלשה כוכבים ודאי לילה וקודם לכן אסור בעשיית מלאכה והרמב"ם כתבה בפרק ה' (ה"ד): ואף על פי שחשכה אסור לעשות מלאכה עד שיבדיל בתפילה ואחר כך יאמר המבדיל בין קודש לחול כמבואר בסוף סימן (ש') [רצ"ט] (סוע"ב ובב"י ד"ה אסור):</w:t>
      </w:r>
    </w:p>
    <w:p w14:paraId="274049D2"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85CD2A1" w14:textId="77777777" w:rsidR="004B2E7C" w:rsidRDefault="004B2E7C" w:rsidP="00434A6A">
      <w:pPr>
        <w:rPr>
          <w:rFonts w:asciiTheme="minorBidi" w:hAnsiTheme="minorBidi"/>
          <w:rtl/>
        </w:rPr>
      </w:pPr>
      <w:r>
        <w:rPr>
          <w:rFonts w:asciiTheme="minorBidi" w:hAnsiTheme="minorBidi" w:cs="Arial"/>
          <w:rtl/>
        </w:rPr>
        <w:t xml:space="preserve">צריך ליזהר מלעשות מלאכה עד שיראו ג' כוכבים קטנים, ולא יהיו מפוזרים אלא רצופים, ואם הוא יום מעונן ימתין עד שיצא הספק מלבו. </w:t>
      </w:r>
    </w:p>
    <w:p w14:paraId="4C09666B" w14:textId="77777777" w:rsidR="004B2E7C" w:rsidRDefault="004B2E7C" w:rsidP="00434A6A">
      <w:pPr>
        <w:rPr>
          <w:rFonts w:asciiTheme="minorBidi" w:hAnsiTheme="minorBidi"/>
          <w:rtl/>
        </w:rPr>
      </w:pPr>
    </w:p>
    <w:p w14:paraId="1FAB0159" w14:textId="77777777" w:rsidR="004B2E7C" w:rsidRDefault="004B2E7C" w:rsidP="00434A6A">
      <w:pPr>
        <w:pStyle w:val="2"/>
        <w:rPr>
          <w:rtl/>
        </w:rPr>
      </w:pPr>
      <w:r>
        <w:rPr>
          <w:rtl/>
        </w:rPr>
        <w:t>סעיף ג:</w:t>
      </w:r>
    </w:p>
    <w:p w14:paraId="7E5F6B13" w14:textId="77777777" w:rsidR="004B2E7C" w:rsidRDefault="004B2E7C" w:rsidP="00434A6A">
      <w:pPr>
        <w:rPr>
          <w:rtl/>
        </w:rPr>
      </w:pPr>
      <w:r>
        <w:rPr>
          <w:rFonts w:cs="Arial"/>
          <w:rtl/>
        </w:rPr>
        <w:t>ג מי שהוא אנוס כגון שצריך להחשיך על התחום וכו' ופירש רבינו האי כגון שהיה להם שום אונס וכו'. כן כתבו התוספות (ברכות כז: ד"ה צלי) והרא"ש (שם סי' ו) וה"ר יונה (שם יח: ד"ה ורבי) והמרדכי בריש פרק תפילת השחר (שם סי' צ):</w:t>
      </w:r>
    </w:p>
    <w:p w14:paraId="2D9BBD80" w14:textId="77777777" w:rsidR="004B2E7C" w:rsidRDefault="004B2E7C" w:rsidP="00434A6A">
      <w:pPr>
        <w:rPr>
          <w:rtl/>
        </w:rPr>
      </w:pPr>
      <w:r>
        <w:rPr>
          <w:rFonts w:cs="Arial"/>
          <w:rtl/>
        </w:rPr>
        <w:t>ומה שכתב רבינו וקורין קריאת שמע בברכותיה וכו'. הכי פירושו וקורין קריאת שמע אחר צאת הכוכבים ומתפללין שמונה עשרה קודם לכן: והרמב"ם בפרק ג' מהלכות תפלה (ה"ז) כתב ויש לו להתפלל תפלת ערבית של לילי שבת בערב שבת קודם שתשקע החמה וכן יתפלל ערבית של מוצאי שבת בשבת לפי שתפלת ערבית רשות אין מדקדקין בזמנה ובלבד שיקרא קריאת שמע בזמנה אחר צאת הכוכבים</w:t>
      </w:r>
      <w:r>
        <w:rPr>
          <w:rStyle w:val="a9"/>
          <w:rFonts w:cs="Arial"/>
          <w:rtl/>
        </w:rPr>
        <w:footnoteReference w:id="1053"/>
      </w:r>
      <w:r>
        <w:rPr>
          <w:rFonts w:cs="Arial"/>
          <w:rtl/>
        </w:rPr>
        <w:t xml:space="preserve"> עכ"ל ובפרק כ"ט מהלכות שבת (הי"א) כתב יש לו לאדם לקדש ערב שבת מבעוד יום אף על פי שלא נכנסה השבת וכן מבדיל על הכוס מבעוד יום אף על פי שעדיין הוא שבת שמצות זכירה לאמרה בין בשעת כניסתו ויציאתו בין קודם לשעה זו כמעט וכתב הרב המגיד שפירשו שאע"פ שמבעוד יום קידש או הבדיל מותר לו לערב לאכול בקידוש זה ולאכול ולעשות בהבדלה זו מלאכה וזה דעת קצת מן הגאונים וכן כתבו מן האחרונים וכדברי רבינו וכן עיקר עכ"ל ולזה הסכים הרשב"א בריש פרק תפילת השחר (ברכות כז: ד"ה הא):</w:t>
      </w:r>
    </w:p>
    <w:p w14:paraId="4AC1AC3E"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2F9B113" w14:textId="77777777" w:rsidR="004B2E7C" w:rsidRDefault="004B2E7C" w:rsidP="00434A6A">
      <w:pPr>
        <w:rPr>
          <w:rFonts w:asciiTheme="minorBidi" w:hAnsiTheme="minorBidi"/>
          <w:rtl/>
        </w:rPr>
      </w:pPr>
      <w:r>
        <w:rPr>
          <w:rFonts w:asciiTheme="minorBidi" w:hAnsiTheme="minorBidi" w:cs="Arial"/>
          <w:rtl/>
        </w:rPr>
        <w:t>מי שהוא אנוס, כגון שצריך להחשיך על התחום לדבר מצוה, יכול להתפלל של מו"ש מפלג המנחה ולמעלה ולהבדיל מיד אבל לא יברך על הנר, וכן אסור בעשיית מלאכה, עד צאת הכוכבים. הגה: ונוהגים לומר: והוא רחום וברכו באריכות נועם, כדי להוסיף מחול על הקודש (א"ז).</w:t>
      </w:r>
    </w:p>
    <w:p w14:paraId="400AE49E" w14:textId="77777777" w:rsidR="004B2E7C" w:rsidRDefault="004B2E7C" w:rsidP="00434A6A">
      <w:pPr>
        <w:rPr>
          <w:rFonts w:asciiTheme="minorBidi" w:hAnsiTheme="minorBidi"/>
          <w:rtl/>
        </w:rPr>
      </w:pPr>
    </w:p>
    <w:p w14:paraId="7CF15C83" w14:textId="77777777" w:rsidR="004B2E7C" w:rsidRDefault="004B2E7C" w:rsidP="00434A6A">
      <w:pPr>
        <w:rPr>
          <w:rFonts w:asciiTheme="minorBidi" w:hAnsiTheme="minorBidi"/>
          <w:rtl/>
        </w:rPr>
      </w:pPr>
    </w:p>
    <w:p w14:paraId="5276F9A3"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63"/>
          <w:footnotePr>
            <w:numRestart w:val="eachSect"/>
          </w:footnotePr>
          <w:pgSz w:w="11906" w:h="16838"/>
          <w:pgMar w:top="720" w:right="1134" w:bottom="720" w:left="1134" w:header="0" w:footer="0" w:gutter="0"/>
          <w:cols w:space="720"/>
          <w:bidi/>
          <w:rtlGutter/>
        </w:sectPr>
      </w:pPr>
    </w:p>
    <w:p w14:paraId="3953B95B" w14:textId="77777777" w:rsidR="004B2E7C" w:rsidRDefault="004B2E7C" w:rsidP="00434A6A">
      <w:pPr>
        <w:pStyle w:val="1"/>
        <w:rPr>
          <w:rtl/>
        </w:rPr>
      </w:pPr>
      <w:r>
        <w:rPr>
          <w:rtl/>
        </w:rPr>
        <w:t xml:space="preserve">סימן רצד: דיני הבדלה בתפלה, ובו ה' סעיפים. </w:t>
      </w:r>
    </w:p>
    <w:p w14:paraId="5BFABB6A" w14:textId="77777777" w:rsidR="004B2E7C" w:rsidRDefault="004B2E7C" w:rsidP="00434A6A">
      <w:pPr>
        <w:pStyle w:val="2"/>
        <w:rPr>
          <w:rtl/>
        </w:rPr>
      </w:pPr>
      <w:r>
        <w:rPr>
          <w:rtl/>
        </w:rPr>
        <w:t>סעיף א:</w:t>
      </w:r>
    </w:p>
    <w:p w14:paraId="3CF4A5CD" w14:textId="77777777" w:rsidR="004B2E7C" w:rsidRDefault="004B2E7C" w:rsidP="00FF2D21">
      <w:pPr>
        <w:pStyle w:val="aa"/>
        <w:numPr>
          <w:ilvl w:val="0"/>
          <w:numId w:val="125"/>
        </w:numPr>
        <w:rPr>
          <w:rtl/>
        </w:rPr>
      </w:pPr>
      <w:r>
        <w:rPr>
          <w:rtl/>
        </w:rPr>
        <w:t xml:space="preserve">טור- </w:t>
      </w:r>
      <w:r>
        <w:rPr>
          <w:rFonts w:cs="Arial"/>
          <w:rtl/>
        </w:rPr>
        <w:t>ואומר הבדלה בחונן הדעת וע"כ אין מתפללין הביננו במ"ש מפני שצריך לומר הבדלה בברכת חונן הדעת ואם טעה ולא הבדיל בתפלה אין צריך לחזור מפני שצריך להבדיל על הכוס דקי"ל המבדיל בתפלה צריך שיבדיל על הכוס והמבדיל על הכוס צריך שיבדיל בתפלה ואם טעה גם בכוס כגון שטעם קודם שהבדיל צריך לחזור ולהתפלל ולהבדיל בתפלה אף על גב דקי"ל טעם מבדיל פירוש שיכול להבדיל על כוס אחר שאכל מ"מ כיון שאכל באיסור קרינן ביה טעה וצריך לחזור ולהתפלל ואם נזכר קודם שומע תפלה כ' הרמב"ם ז"ל יש מי שהורה שמבדיל בשומע תפלה כתב בה"ג כיון שהטעם שאין צריך לחזור ולהתפלל מפני שצריך להבדיל על הכוס אם כן אם אין לו כוס צריך לחזור ולהתפלל וכתב הר"י אף אם אין לו כוס בלילה וסבר שיהיה לו למחר אין צריך לחזור ולהתפלל אא"כ סבור שאף למחר לא יהיה לו ולפי זה אף בתשעה באב שחל באחד בשבת אם טעה ולא הבדיל בתפלה אין צריך לחזור ולהתפלל כיון שמבדיל על הכוס במוצאי ט"ב והיכא שיש לו כוס שא"צ לחזור ולהתפלל מיד כשיסיים הברכה אין לו לחזור אף על פי שלא פתח בברכה שלאחריה וה"ר אלחנן כתב כל זמן שלא פתח בברכה שלאחריה חוזר וכן בכל הדברים שאין צריך לחזור בשבילם כגון על הנסים בחנוכה ובפורים ויעלה ויבא בליל ראש חדש ועננו ור"ת כתב שאפילו פתח בברכה של אחריה חוזר אם ירצה וכן עשה מעשה וחזר לאחר מודים בדבר שאם לא אמרו אין מחזירין וא"א ז"ל כתב דלא מסתברא כלל כיון שאם עקר רגליו אינו חוזר לראש גם אם סיים הברכה אין חוזר לעבודה ואפשר שר"ת היה מפרש אין מחזירין אותו אינו חייב לחזור אבל אם ירצה לחזור חוזר ומיהו גם זה יתכן שאם סיים תפלתו שיכול לחזור לראש דלא גרע מתפלת נדבה אבל באמצע תפלה כיון שאינו חוזר לראש נראה לי דהוי הפסק אם חוזר עד כאן:</w:t>
      </w:r>
    </w:p>
    <w:p w14:paraId="10899094" w14:textId="77777777" w:rsidR="004B2E7C" w:rsidRDefault="004B2E7C" w:rsidP="00434A6A">
      <w:r>
        <w:rPr>
          <w:rFonts w:cs="Arial"/>
          <w:rtl/>
        </w:rPr>
        <w:t>א ואומר הבדלה בחונן הדעת. פלוגתא דתנאי בפרק אין עומדין (ברכות לג.) באיזה מקום מזכיר הבדלה ופסקו הפוסקים הלכה כתנא קמא דאמר שמזכיר הבדלה בחונן הדעת: כתוב בארחות חיים (סדר תפילת מוצאי שבת סי' ב) אין מתחילין באתה חוננתנו לפי שמשנה מטבע שטבעו חכמים בברכה אינו אלא טועה (ברכות מ:) אלא מתחיל אתה חונן עד וחננו מאתך ומתחיל אתה הבדלת בין קודש לחול וכן כתב הרמב"ם (סדר תפלות כל השנה) וכן כתוב בסדר רב עמרם (סדר ח"ב סי' לו) עכ"ל והעולם נוהגים לומר אתה חוננתנו שאין זה נקרא שינוי מטבע שהכל ענין אחד הוא</w:t>
      </w:r>
      <w:r>
        <w:rPr>
          <w:rStyle w:val="a9"/>
          <w:rFonts w:cs="Arial"/>
          <w:rtl/>
        </w:rPr>
        <w:footnoteReference w:id="1054"/>
      </w:r>
      <w:r>
        <w:rPr>
          <w:rFonts w:cs="Arial"/>
          <w:rtl/>
        </w:rPr>
        <w:t>:</w:t>
      </w:r>
    </w:p>
    <w:p w14:paraId="087C2ED9" w14:textId="77777777" w:rsidR="004B2E7C" w:rsidRDefault="004B2E7C" w:rsidP="00434A6A">
      <w:pPr>
        <w:rPr>
          <w:rtl/>
        </w:rPr>
      </w:pPr>
      <w:r>
        <w:rPr>
          <w:rFonts w:cs="Arial"/>
          <w:rtl/>
        </w:rPr>
        <w:t>ומה שכתב ועל כן אין מתפללין הביננו במוצאי שבת. מימרא דרב נחמן אמר שמואל בסוף פרק תפלת השחר (כט.) ואף על גב דאסיקנא בקשיא פסקוה הפוסקים וכבר נתן ה"ר יונה (יט: ד"ה מפני) טעם לשבח בדבר:</w:t>
      </w:r>
    </w:p>
    <w:p w14:paraId="1F1DED56" w14:textId="77777777" w:rsidR="004B2E7C" w:rsidRDefault="004B2E7C" w:rsidP="00434A6A">
      <w:pPr>
        <w:rPr>
          <w:rtl/>
        </w:rPr>
      </w:pPr>
      <w:r>
        <w:rPr>
          <w:rFonts w:cs="Arial"/>
          <w:rtl/>
        </w:rPr>
        <w:t>ואם טעה ולא הבדיל בתפלה אין צריך לחזור וכו'. מימרא וברייתא בסוף פרק תפלת השחר (שם). וכתבו תלמידי ה"ר יונה (כ. ד"ה ואם) שיש אומרים שאע"פ שסיים ברכת אתה חונן כל זמן שלא התחיל בברכה אחרת חוזר לתחלת הברכה ומבדיל בה דכאילו עומד עדיין באמצע הברכה דיינינן ליה ור"י (תוס' ל: ד"ה מסתברא) אומר דכיון שכבר סיים כל הברכה ולא נזכר אין מחזירין אותו דכמי שטעה והתחיל האחרת דיינינן ליה ולזה נוטה דעת מורי עכ"ל וכן דעת הרא"ש (סי' יז) וכתבו רבינו סוף סימן זה [גבי והיכא שיש לו כוס וכו']:</w:t>
      </w:r>
    </w:p>
    <w:p w14:paraId="5A26C00D" w14:textId="77777777" w:rsidR="004B2E7C" w:rsidRDefault="004B2E7C" w:rsidP="00434A6A">
      <w:pPr>
        <w:rPr>
          <w:rtl/>
        </w:rPr>
      </w:pPr>
      <w:r>
        <w:rPr>
          <w:rFonts w:cs="Arial"/>
          <w:rtl/>
        </w:rPr>
        <w:t>דקיימא לן המבדיל בתפלה צריך שיבדיל על הכוס והמבדיל על הכוס צריך שיבדיל בתפלה. הכי אסיקנא בפרק אין עומדין (שם):</w:t>
      </w:r>
    </w:p>
    <w:p w14:paraId="1BA29B53" w14:textId="77777777" w:rsidR="004B2E7C" w:rsidRDefault="004B2E7C" w:rsidP="00434A6A">
      <w:pPr>
        <w:rPr>
          <w:rtl/>
        </w:rPr>
      </w:pPr>
      <w:r>
        <w:rPr>
          <w:rFonts w:cs="Arial"/>
          <w:rtl/>
        </w:rPr>
        <w:t>ואם טעה גם בכוס וכו'. שם בעא מיניה רב חסדא מרב ששת טעה בזו ובזו מהו אמר ליה טעה בזו ובזו חוזר לראש ופירשו הרא"ש (סי' יד) וה"ר יונה (כג: ד"ה טעה) כגון שאכל קודם שהבדיל אף על גב דקיימא לן (פסחים קה סוע"ב) טעם מבדיל מכל מקום באיסור אכל ומשום הכי חוזר לראש ולא ראיתי להרמב"ם שהזכיר דין זה ולא ידעתי למה:</w:t>
      </w:r>
    </w:p>
    <w:p w14:paraId="482D8882" w14:textId="77777777" w:rsidR="004B2E7C" w:rsidRDefault="004B2E7C" w:rsidP="00434A6A">
      <w:pPr>
        <w:rPr>
          <w:rtl/>
        </w:rPr>
      </w:pPr>
      <w:r>
        <w:rPr>
          <w:rFonts w:cs="Arial"/>
          <w:rtl/>
        </w:rPr>
        <w:t>ואם נזכר קודם שומע תפלה כתב הרמב"ם בפרק י' מהלכות תפילה (הי"ד) יש מי שהורה שמבדיל בשומע תפלה. נראה שטעמו משום דאמרינן בפרק תפלת השחר (כט.) טעה ולא הזכיר שאלה בברכת השנים אין מחזירין אותו מפני שיכול לאמרה בשומע תפלה והבדלה בחונן הדעת אין מחזירין אותו מפני שיכול לאמרה על הכוס ומשמע ליה דהבדלה נמי אומרה בשומע תפלה דמאי שנא מברכת השנים אלא דעדיפא מינה אשמעינן דאפילו לא נזכר עד אחר שומע תפלה אינו חוזר מפני שאומרה על הכוס אבל התוספות (ד"ה מפני) כתבו דוקא צרכיו כגון שיש לו חולה בתוך ביתו או שצריך שדהו מים דהוא מעין תפלה וכן שאלה אבל הזכרה והבדלה ושאר שכחה אסור שאינה מעין שומע תפלה עכ"ל: ויש לדחות דכיון דכשאנו מבדילים בתפלה אנו מתפללים ואומרים כשם שהבדלתנו וכו' שפיר הוי מעין שומע תפלה. ומכל מקום כבר כתבתי בביאורי להרמב"ם (כסף משנה שם) שנ"ל שהגירסא הנכונה בדברי הרמב"ם כמו שמצאתי בספר הרמב"ם מדוייק שכתוב בלשון הזה טעה ולא הזכיר הבדלה בחונן הדעת משלים תפלתו ואינו צריך לחזור וזה מבואר כדברי התוספות:</w:t>
      </w:r>
    </w:p>
    <w:p w14:paraId="15DAB666"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294325D" w14:textId="77777777" w:rsidR="004B2E7C" w:rsidRDefault="004B2E7C" w:rsidP="00434A6A">
      <w:pPr>
        <w:rPr>
          <w:rFonts w:asciiTheme="minorBidi" w:hAnsiTheme="minorBidi"/>
          <w:rtl/>
        </w:rPr>
      </w:pPr>
      <w:r>
        <w:rPr>
          <w:rFonts w:asciiTheme="minorBidi" w:hAnsiTheme="minorBidi" w:cs="Arial"/>
          <w:rtl/>
        </w:rPr>
        <w:t xml:space="preserve">אומרים הבדלה בחונן הדעת, ואם טעה ולא הבדיל משלים תפלתו ואינו חוזר, מפני שצריך להבדיל על הכוס. ואם טעם קודם שהבדיל על הכוס צריך לחזור ולהבדיל בתפלה. </w:t>
      </w:r>
    </w:p>
    <w:p w14:paraId="0A5CBBF5" w14:textId="77777777" w:rsidR="004B2E7C" w:rsidRDefault="004B2E7C" w:rsidP="00434A6A">
      <w:pPr>
        <w:rPr>
          <w:rFonts w:asciiTheme="minorBidi" w:hAnsiTheme="minorBidi"/>
          <w:rtl/>
        </w:rPr>
      </w:pPr>
    </w:p>
    <w:p w14:paraId="22A352E4" w14:textId="77777777" w:rsidR="004B2E7C" w:rsidRDefault="004B2E7C" w:rsidP="00434A6A">
      <w:pPr>
        <w:pStyle w:val="2"/>
        <w:rPr>
          <w:rtl/>
        </w:rPr>
      </w:pPr>
      <w:r>
        <w:rPr>
          <w:rtl/>
        </w:rPr>
        <w:t>סעיף ב</w:t>
      </w:r>
    </w:p>
    <w:p w14:paraId="6EAFB7BA" w14:textId="77777777" w:rsidR="004B2E7C" w:rsidRDefault="004B2E7C" w:rsidP="00434A6A">
      <w:pPr>
        <w:rPr>
          <w:rtl/>
        </w:rPr>
      </w:pPr>
      <w:r>
        <w:rPr>
          <w:rFonts w:cs="Arial"/>
          <w:rtl/>
        </w:rPr>
        <w:t>ב כתב בה"ג (הל' קידוש יד ע"ג) כיון שהטעם שאין צריך לחזור ולהתפלל וכו' עד אלא אם כן סבור שאף למחר לא יהיה לו. כן כתבו תלמידי ה"ר יונה בפרק תפלת השחר (כ. ד"ה וכתב) וגם הרא"ש כתב כן שם (סי' טו):</w:t>
      </w:r>
    </w:p>
    <w:p w14:paraId="66285364"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4140C74" w14:textId="77777777" w:rsidR="004B2E7C" w:rsidRDefault="004B2E7C" w:rsidP="00434A6A">
      <w:pPr>
        <w:rPr>
          <w:rFonts w:asciiTheme="minorBidi" w:hAnsiTheme="minorBidi"/>
          <w:rtl/>
        </w:rPr>
      </w:pPr>
      <w:r>
        <w:rPr>
          <w:rFonts w:asciiTheme="minorBidi" w:hAnsiTheme="minorBidi" w:cs="Arial"/>
          <w:rtl/>
        </w:rPr>
        <w:t xml:space="preserve">טעה ולא הבדיל בתפלה, ואין לו כוס בלילה וסובר שאף למחר לא יהיה לו, צריך לחזור ולהתפלל. </w:t>
      </w:r>
    </w:p>
    <w:p w14:paraId="002E91EA" w14:textId="77777777" w:rsidR="004B2E7C" w:rsidRDefault="004B2E7C" w:rsidP="00434A6A">
      <w:pPr>
        <w:rPr>
          <w:rFonts w:asciiTheme="minorBidi" w:hAnsiTheme="minorBidi"/>
          <w:rtl/>
        </w:rPr>
      </w:pPr>
    </w:p>
    <w:p w14:paraId="15A07455" w14:textId="77777777" w:rsidR="004B2E7C" w:rsidRDefault="004B2E7C" w:rsidP="00434A6A">
      <w:pPr>
        <w:pStyle w:val="2"/>
        <w:rPr>
          <w:rtl/>
        </w:rPr>
      </w:pPr>
      <w:r>
        <w:rPr>
          <w:rtl/>
        </w:rPr>
        <w:t>סעיף ג</w:t>
      </w:r>
    </w:p>
    <w:p w14:paraId="479BAECE" w14:textId="77777777" w:rsidR="004B2E7C" w:rsidRDefault="004B2E7C" w:rsidP="00434A6A">
      <w:pPr>
        <w:rPr>
          <w:rtl/>
        </w:rPr>
      </w:pPr>
    </w:p>
    <w:p w14:paraId="3A8DF972"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3A769F2" w14:textId="77777777" w:rsidR="004B2E7C" w:rsidRDefault="004B2E7C" w:rsidP="00434A6A">
      <w:pPr>
        <w:rPr>
          <w:rFonts w:asciiTheme="minorBidi" w:hAnsiTheme="minorBidi"/>
          <w:rtl/>
        </w:rPr>
      </w:pPr>
      <w:r>
        <w:rPr>
          <w:rFonts w:asciiTheme="minorBidi" w:hAnsiTheme="minorBidi" w:cs="Arial"/>
          <w:rtl/>
        </w:rPr>
        <w:t xml:space="preserve">תשעה באב שחל להיות באחד בשבת, טעה ולא הבדיל בתפלה א"צ לחזור ולהתפלל, כיון שמבדיל על הכוס במוצאי תשעה באב. </w:t>
      </w:r>
    </w:p>
    <w:p w14:paraId="78985974" w14:textId="77777777" w:rsidR="004B2E7C" w:rsidRDefault="004B2E7C" w:rsidP="00434A6A">
      <w:pPr>
        <w:rPr>
          <w:rFonts w:asciiTheme="minorBidi" w:hAnsiTheme="minorBidi"/>
          <w:rtl/>
        </w:rPr>
      </w:pPr>
    </w:p>
    <w:p w14:paraId="07ACB0C1" w14:textId="77777777" w:rsidR="004B2E7C" w:rsidRDefault="004B2E7C" w:rsidP="00434A6A">
      <w:pPr>
        <w:pStyle w:val="2"/>
        <w:rPr>
          <w:rtl/>
        </w:rPr>
      </w:pPr>
      <w:r>
        <w:rPr>
          <w:rtl/>
        </w:rPr>
        <w:t>סעיף ד</w:t>
      </w:r>
    </w:p>
    <w:p w14:paraId="0705881A" w14:textId="77777777" w:rsidR="004B2E7C" w:rsidRDefault="004B2E7C" w:rsidP="00434A6A">
      <w:pPr>
        <w:rPr>
          <w:rtl/>
        </w:rPr>
      </w:pPr>
      <w:r>
        <w:rPr>
          <w:rFonts w:cs="Arial"/>
          <w:rtl/>
        </w:rPr>
        <w:t>ד והיכא שיש לו כוס שאין צריך לחזור ולהתפלל מיד כשיסיים הברכה אין לו לחזור אף על פי שלא פתח בברכה שלאחריה. כבר כתבתי בסמוך (מד: ד"ה ואם טעה גם) שזה דעת ר"י וה"ר יונה והרא"ש. ודברי רבי אלחנן ודברי רבינו תם גם דברי ר"י שהזכרתי הכל בתוספות (ברכות ל: ד"ה מסתברא) ובפסקי הרא"ש (שם סי' יז) ובמרדכי פרק תפלת השחר (סי' צח) ואף על פי שהתוספות כתבו דעמא דבר כרבינו תם הרא"ש חולק עליו בפרק הנזכר וכמו שכתב רבינו וכן ראוי לנהוג:</w:t>
      </w:r>
    </w:p>
    <w:p w14:paraId="7A42F275" w14:textId="77777777" w:rsidR="004B2E7C" w:rsidRDefault="004B2E7C" w:rsidP="00434A6A">
      <w:pPr>
        <w:rPr>
          <w:rtl/>
        </w:rPr>
      </w:pPr>
      <w:r>
        <w:rPr>
          <w:rFonts w:cs="Arial"/>
          <w:rtl/>
        </w:rPr>
        <w:t>(דרכ"מ ב) וכן כתב הר"ן ריש פרק הקורא (מגילה ד: ד"ה גמ', עיין שם) ודלא כמרדכי (ברכות סו"ס צח) שכתב בשם ראבי"ה (ברכות סי' פה) כהר"ר אלחנן: כתוב באור זרוע (הל' מוצ"ש סוס"י צ) אמרינן בירושלמי (תענית פ"א ה"ו) הני נשי דנהיגין דלא למעבד עבידתא עד דפניא סדרא מנהג אם כן צריכים ליזהר שלא לעשות מלאכה עד אחר סדר קדושה אף על פי שכבר הבדיל מיהו חזן בית הכנסת מדליק הנרות בבית הכנסת כשהבדיל בתפלה אפילו קודם סדר קדושה. ובספר הזוהר פרשת בראשית (יד ב) כתוב דיש ליזהר שלא להדליק נר עד אחר שהבדיל על הכוס ואמר המבדיל בין קודש לחול וכתב דיש עונש גדול בדבר, ולא ראיתי מי שחשש לזה אלא המנהג פשוט להדליק נרות אחר הבדלת התפלה, וכן הוא לקמן סימן תרפ"א (אות א) דאין לחוש, ועיין לקמן סימן רצ"ט (אות ד) נתבאר מחלוקת זה:</w:t>
      </w:r>
    </w:p>
    <w:p w14:paraId="755C685D"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51CAD58" w14:textId="77777777" w:rsidR="004B2E7C" w:rsidRDefault="004B2E7C" w:rsidP="00434A6A">
      <w:pPr>
        <w:rPr>
          <w:rFonts w:asciiTheme="minorBidi" w:hAnsiTheme="minorBidi"/>
          <w:rtl/>
        </w:rPr>
      </w:pPr>
      <w:r>
        <w:rPr>
          <w:rFonts w:asciiTheme="minorBidi" w:hAnsiTheme="minorBidi" w:cs="Arial"/>
          <w:rtl/>
        </w:rPr>
        <w:t xml:space="preserve">במקום שאמרו שאינו חוזר להתפלל, מיד כשסיים הברכה אין לו לחזור, אף על פי שלא פתח בברכה שלאחריה. </w:t>
      </w:r>
    </w:p>
    <w:p w14:paraId="68330905" w14:textId="77777777" w:rsidR="004B2E7C" w:rsidRDefault="004B2E7C" w:rsidP="00434A6A">
      <w:pPr>
        <w:pStyle w:val="2"/>
        <w:rPr>
          <w:rtl/>
        </w:rPr>
      </w:pPr>
      <w:r>
        <w:rPr>
          <w:rtl/>
        </w:rPr>
        <w:t>סעיף ה</w:t>
      </w:r>
    </w:p>
    <w:p w14:paraId="08EDEEFE"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AF64883" w14:textId="77777777" w:rsidR="004B2E7C" w:rsidRDefault="004B2E7C" w:rsidP="00434A6A">
      <w:pPr>
        <w:rPr>
          <w:rFonts w:asciiTheme="minorBidi" w:hAnsiTheme="minorBidi"/>
          <w:rtl/>
        </w:rPr>
      </w:pPr>
      <w:r>
        <w:rPr>
          <w:rFonts w:asciiTheme="minorBidi" w:hAnsiTheme="minorBidi" w:cs="Arial"/>
          <w:rtl/>
        </w:rPr>
        <w:t>במקום שאמרו שאינו חוזר, אם רצה להחמיר על עצמו לחזור, אם סיים תפלתו, רשאי, אבל אם עדיין לא סיים תפלתו, אינו רשאי לחזור.</w:t>
      </w:r>
    </w:p>
    <w:p w14:paraId="454892F2" w14:textId="77777777" w:rsidR="004B2E7C" w:rsidRDefault="004B2E7C" w:rsidP="00434A6A">
      <w:pPr>
        <w:rPr>
          <w:rFonts w:asciiTheme="minorBidi" w:hAnsiTheme="minorBidi"/>
          <w:rtl/>
        </w:rPr>
      </w:pPr>
    </w:p>
    <w:p w14:paraId="0C3A2117" w14:textId="77777777" w:rsidR="004B2E7C" w:rsidRDefault="004B2E7C" w:rsidP="00434A6A">
      <w:pPr>
        <w:rPr>
          <w:rFonts w:asciiTheme="minorBidi" w:hAnsiTheme="minorBidi"/>
          <w:rtl/>
        </w:rPr>
      </w:pPr>
    </w:p>
    <w:p w14:paraId="2D14144C"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64"/>
          <w:footnotePr>
            <w:numRestart w:val="eachSect"/>
          </w:footnotePr>
          <w:pgSz w:w="11906" w:h="16838"/>
          <w:pgMar w:top="720" w:right="1134" w:bottom="720" w:left="1134" w:header="0" w:footer="0" w:gutter="0"/>
          <w:cols w:space="720"/>
          <w:bidi/>
          <w:rtlGutter/>
        </w:sectPr>
      </w:pPr>
    </w:p>
    <w:p w14:paraId="765B7023" w14:textId="77777777" w:rsidR="004B2E7C" w:rsidRDefault="004B2E7C" w:rsidP="00434A6A">
      <w:pPr>
        <w:pStyle w:val="1"/>
        <w:rPr>
          <w:rtl/>
        </w:rPr>
      </w:pPr>
      <w:r>
        <w:rPr>
          <w:rtl/>
        </w:rPr>
        <w:t xml:space="preserve">סימן רצה: הבדלה שעושה ש"צ, ובו סעיף אחד. </w:t>
      </w:r>
    </w:p>
    <w:p w14:paraId="2CE9E853" w14:textId="77777777" w:rsidR="004B2E7C" w:rsidRDefault="004B2E7C" w:rsidP="00434A6A">
      <w:pPr>
        <w:pStyle w:val="2"/>
        <w:rPr>
          <w:rtl/>
        </w:rPr>
      </w:pPr>
      <w:r>
        <w:rPr>
          <w:rtl/>
        </w:rPr>
        <w:t>סעיף א</w:t>
      </w:r>
    </w:p>
    <w:p w14:paraId="24828A80" w14:textId="77777777" w:rsidR="004B2E7C" w:rsidRDefault="004B2E7C" w:rsidP="00FF2D21">
      <w:pPr>
        <w:pStyle w:val="aa"/>
        <w:numPr>
          <w:ilvl w:val="0"/>
          <w:numId w:val="125"/>
        </w:numPr>
        <w:rPr>
          <w:rtl/>
        </w:rPr>
      </w:pPr>
      <w:r>
        <w:rPr>
          <w:rFonts w:cs="Arial"/>
          <w:rtl/>
        </w:rPr>
        <w:t>טור- ונוהגין לומר ויהי נועם לפי שהוא מזמור של ברכה שבו בירך משה לישראל בשעה שסיימו מלאכת המשכן ונוהגין לכפול פסוק אורך ימים אשביעהו שע"י כן נשלם השם היוצא ממנו ואומרים סדר קדושה לפי שהוא זמן חזרת רשעים לגיהנם ששבתו בשבת וע"כ מאריכין בעניני תפלות כי ממתינין להם שיסיימו כנסיה אחרונה של ישראל תפלתם ועל כן נוהגין במקצת מקומות להאריך הרבה בויהי נועם וסדר קדושה וכ"כ ר"ע זה שנהגו לומר ויהי נועם וקדושה דסדרא בנעימה ובאריכות נועם באפוקי שבתא כדי שישתהו ישראל בהשלמת סדריהם כדי להאריך לרשעים מלחזור לגיהנם דבמ"ש צועק הממונה על הרוחות חזרו לגיהנם שכבר השלימו ישראל את סדריהם ומתחילים בואתה קדוש לפי שאין גאולה בלילה ונוהגין באשכנז כשא"א ויהי נועם כגון שחל י"ט באמצע השבוע אז אין אומרין ג"כ סדר קדושה</w:t>
      </w:r>
      <w:r>
        <w:rPr>
          <w:rStyle w:val="a9"/>
          <w:rFonts w:cs="Arial"/>
          <w:rtl/>
        </w:rPr>
        <w:footnoteReference w:id="1055"/>
      </w:r>
      <w:r>
        <w:rPr>
          <w:rFonts w:cs="Arial"/>
          <w:rtl/>
        </w:rPr>
        <w:t xml:space="preserve"> וכ"כ רב שר שלום אין אומרים ויהי נועם אלא ממ"ש לחול לא במוצאי י"ט ואפילו חל י"ט באמצע שבת או צום כפור דליכא ששת ימי המעשה אין לומר ויהי נועם במ"ש כיון דאומר ומעשה ידינו תרי זימני בעינן שיתא יומא כולא דחול וכל היכא דליכא ויהי נועם אין אומרים סדר קדושה ואין נוהגין כן בספרד אלא מתחילין פסוק אורך ימים אשביעהו וגו' ואתה קדוש. ומבדיל ש"צ להוציא מי שאין לו יין שיוצא בזה י"ח דאע"פ שמבדילין בתפלה צריך להבדיל על הכוס ורגילין להזכיר אליהו הנביא ופירש ב"ה הטעם לפי שהוא עתיד לבשר הגאולה ואיתא בעירובין (מג ב) מובטח להן לישראל שאין אליהו בא לא בערבי שבתות ולא בערבי י"ט וע"כ אנו מתפללין כיון שעבר השבת ויכול לבא שיבא ויבשרנו ונוהגים לומר פסוקים של ברכה כגון יפתח ה' לך את אוצרו הטוב כדי שיתברכו במעשה ידיהם:</w:t>
      </w:r>
    </w:p>
    <w:p w14:paraId="3F081BE1" w14:textId="77777777" w:rsidR="004B2E7C" w:rsidRDefault="004B2E7C" w:rsidP="00434A6A">
      <w:pPr>
        <w:rPr>
          <w:rtl/>
        </w:rPr>
      </w:pPr>
      <w:r>
        <w:rPr>
          <w:rFonts w:cs="Arial"/>
          <w:rtl/>
        </w:rPr>
        <w:t>א ונוהגין לומר ויהי נועם (תהלים צ יז, צא טז). כל סימן זה פשוט ואינו צריך ביאור:</w:t>
      </w:r>
    </w:p>
    <w:p w14:paraId="3522563D"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153314A" w14:textId="77777777" w:rsidR="004B2E7C" w:rsidRDefault="004B2E7C" w:rsidP="00434A6A">
      <w:pPr>
        <w:rPr>
          <w:rFonts w:asciiTheme="minorBidi" w:hAnsiTheme="minorBidi"/>
          <w:rtl/>
        </w:rPr>
      </w:pPr>
      <w:r>
        <w:rPr>
          <w:rFonts w:asciiTheme="minorBidi" w:hAnsiTheme="minorBidi" w:cs="Arial"/>
          <w:sz w:val="18"/>
          <w:szCs w:val="18"/>
          <w:rtl/>
        </w:rPr>
        <w:t>הגה: ואומרים ויהי נועם וסדר קדושה באריכות, כדי לאחר סדר קדושה שאז חוזרים רשעים לגיהנם (טור). ובזמן שאין אומרים ויהי נועם כגון שחל יום טוב בשבוע, אין אומרים סדר קדושה אבל אומרים ויתן לך (כל בו).</w:t>
      </w:r>
      <w:r>
        <w:rPr>
          <w:rFonts w:asciiTheme="minorBidi" w:hAnsiTheme="minorBidi"/>
          <w:sz w:val="18"/>
          <w:szCs w:val="18"/>
          <w:rtl/>
        </w:rPr>
        <w:t xml:space="preserve"> </w:t>
      </w:r>
      <w:r>
        <w:rPr>
          <w:rFonts w:asciiTheme="minorBidi" w:hAnsiTheme="minorBidi" w:cs="Arial"/>
          <w:rtl/>
        </w:rPr>
        <w:t xml:space="preserve">מבדיל ש"צ כדי להוציא מי שאין לו יין. </w:t>
      </w:r>
      <w:r>
        <w:rPr>
          <w:rFonts w:asciiTheme="minorBidi" w:hAnsiTheme="minorBidi" w:cs="Arial"/>
          <w:sz w:val="18"/>
          <w:szCs w:val="18"/>
          <w:rtl/>
        </w:rPr>
        <w:t>הגה: ונהגו לומר ולהזכיר אליהו הנביא במו"ש, להתפלל שיבא ויבשרנו הגאולה (טור).</w:t>
      </w:r>
    </w:p>
    <w:p w14:paraId="6F96902A" w14:textId="77777777" w:rsidR="004B2E7C" w:rsidRDefault="004B2E7C" w:rsidP="00434A6A">
      <w:pPr>
        <w:rPr>
          <w:rFonts w:asciiTheme="minorBidi" w:hAnsiTheme="minorBidi"/>
          <w:rtl/>
        </w:rPr>
      </w:pPr>
    </w:p>
    <w:p w14:paraId="7E258282" w14:textId="77777777" w:rsidR="004B2E7C" w:rsidRDefault="004B2E7C" w:rsidP="00434A6A">
      <w:pPr>
        <w:rPr>
          <w:rFonts w:asciiTheme="minorBidi" w:hAnsiTheme="minorBidi"/>
          <w:rtl/>
        </w:rPr>
      </w:pPr>
    </w:p>
    <w:p w14:paraId="000CA626"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65"/>
          <w:footnotePr>
            <w:numRestart w:val="eachSect"/>
          </w:footnotePr>
          <w:pgSz w:w="11906" w:h="16838"/>
          <w:pgMar w:top="720" w:right="1134" w:bottom="720" w:left="1134" w:header="0" w:footer="0" w:gutter="0"/>
          <w:cols w:space="720"/>
          <w:bidi/>
          <w:rtlGutter/>
        </w:sectPr>
      </w:pPr>
    </w:p>
    <w:p w14:paraId="004EA918" w14:textId="77777777" w:rsidR="004B2E7C" w:rsidRDefault="004B2E7C" w:rsidP="00434A6A">
      <w:pPr>
        <w:pStyle w:val="1"/>
        <w:rPr>
          <w:rtl/>
        </w:rPr>
      </w:pPr>
      <w:r>
        <w:rPr>
          <w:rtl/>
        </w:rPr>
        <w:t xml:space="preserve">סימן רצו: דיני הבדלה על היין, ובו ח' סעיפים. </w:t>
      </w:r>
    </w:p>
    <w:p w14:paraId="64B9B46A" w14:textId="77777777" w:rsidR="004B2E7C" w:rsidRDefault="004B2E7C" w:rsidP="00434A6A">
      <w:pPr>
        <w:pStyle w:val="2"/>
        <w:rPr>
          <w:rtl/>
        </w:rPr>
      </w:pPr>
      <w:r>
        <w:rPr>
          <w:rtl/>
        </w:rPr>
        <w:t>סעיף א</w:t>
      </w:r>
    </w:p>
    <w:p w14:paraId="434B44EE" w14:textId="77777777" w:rsidR="004B2E7C" w:rsidRDefault="004B2E7C" w:rsidP="00FF2D21">
      <w:pPr>
        <w:pStyle w:val="aa"/>
        <w:numPr>
          <w:ilvl w:val="0"/>
          <w:numId w:val="125"/>
        </w:numPr>
        <w:rPr>
          <w:rtl/>
        </w:rPr>
      </w:pPr>
      <w:r>
        <w:rPr>
          <w:rFonts w:cs="Arial"/>
          <w:rtl/>
        </w:rPr>
        <w:t>טור- סדר הבדלה</w:t>
      </w:r>
      <w:r>
        <w:rPr>
          <w:rStyle w:val="a9"/>
          <w:rFonts w:cs="Arial"/>
          <w:rtl/>
        </w:rPr>
        <w:footnoteReference w:id="1056"/>
      </w:r>
      <w:r>
        <w:rPr>
          <w:rFonts w:cs="Arial"/>
          <w:rtl/>
        </w:rPr>
        <w:t xml:space="preserve"> יין בשמים נר הבדלה יברך בפה"ג על כוס של יין שלם שלא יהיה פגום ואם אין לו יין איתא בפירקי ר"א א"ר מונא כיצד אדם חייב להבדיל מקרב ידו לאור הנר ואומר בורא מאורי האש וכיון שמרחיק ידו מן האש אומר בא"י אמ"ה המבדיל בין קודש לחול ואם אין לו יין ואין לו שמן לנר פושט ידו לאור האש ומסתכל בצפרנים שהן לבנות מן הגוף ומברך בורא מאורי האש ואם היה בדרך פושט את ידו לאור הכוכבים שהן מן האש ומברך בורא מאורי האש ואם נתקדרו שמים בעבים תולש אבן מן האדמה ואומר המבדיל בין קודש לחול וכתב ר"ע ואנן לא ס"ל הכי אלא אין מבדילין אלא על היין ואפי' על הפת אין מבדילין וכן פירשו התוספות שאין מבדילין על הפת אבל מבדילין על השכר אם הוא חמר מדינה והגאונים כתבו אף על פי שאין מבדילין על הפת אם חל י"ט במ"ש מבדילין עליו כיון שמקדשין עליו הקידוש עיקר ואגב הקידוש מבדילין ג"כ עליו וא"א ז"ל כתב שיותר טוב לעשות ההבדלה והקידוש שניהם על השכר ומי שאין לו יין ומצפה שיהיה לו למחר לא יאכל עד למחר שיבדיל ואם אין לו אלא כוס אחד ואינו מצפה שיהיה לו למחר יותר טוב שיאכל קודם שיבדיל ויברך עליו ברכת המזון ואח"כ יבדיל עליו כסדר ההבדלה ממה שיבדיל ויברך בהמ"ז בלא כוס שבהמ"ז טעונה כוס ר' צדוק אומר כל מי שאינו מבדיל על היין במוצ"ש או שאינו שומע מאחרים שמבדילין אינו רואה סימן ברכה לעולם אבל המבדיל על היין או שומע מאחרים שמבדילין הקדוש ברוך הוא קוראו קדוש ועושהו סגולה שנאמר והייתם לי סגולה מכל העמים ואומר ואבדיל אתכם מן העמים וא"ר יוחנן ג' מנוחלי העוה"ב הדר בא"י והמגדל בניו לתלמוד תורה והמבדיל על היין במ"ש והוא דשייר מקידושא לאבדלתא הלכך מאן דאית ליה חד כסא ולית ביה שיעור קידושא ואבדלתא שבק ליה לאבדלתא וקידושא מקדש אריפתא דכי תקינו רבנן אבדלתא אחמרא תקינו ונר חנוכה ויין להבדלה נר חנוכה קודם דאפשר לאבדולי בתפלה:</w:t>
      </w:r>
    </w:p>
    <w:p w14:paraId="39A03DFF" w14:textId="77777777" w:rsidR="004B2E7C" w:rsidRDefault="004B2E7C" w:rsidP="00434A6A">
      <w:r>
        <w:rPr>
          <w:rFonts w:cs="Arial"/>
          <w:rtl/>
        </w:rPr>
        <w:t>א סדר הבדלה יין בשמים נר הבדלה. הכי אסיקנא בברכות בפרק אלו דברים שבין בית שמאי (נב:) ובפרק ערבי פסחים (קג.):</w:t>
      </w:r>
    </w:p>
    <w:p w14:paraId="537729D1" w14:textId="77777777" w:rsidR="004B2E7C" w:rsidRDefault="004B2E7C" w:rsidP="00434A6A">
      <w:pPr>
        <w:rPr>
          <w:rtl/>
        </w:rPr>
      </w:pPr>
      <w:r>
        <w:rPr>
          <w:rFonts w:cs="Arial"/>
          <w:rtl/>
        </w:rPr>
        <w:t>יברך בורא פרי הגפן על כוס של יין שלם שלא יהא פגום. פיסול כוס פגום נזכר בפרק ערבי פסחים (קה:) ואף על גב דבגמרא לא אמרו אלא כוס של ברכה קידוש והבדלה בכלל כוס של ברכה הם וכן משמע מדברי הרי"ף שם (כב:) ומדברי הרמב"ם בפרק כ"ט (הט"ז) ובסימן קפ"ב נתבארו דיני כוס פגום:</w:t>
      </w:r>
    </w:p>
    <w:p w14:paraId="1D8C0A06"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0694C84" w14:textId="77777777" w:rsidR="004B2E7C" w:rsidRDefault="004B2E7C" w:rsidP="00434A6A">
      <w:pPr>
        <w:rPr>
          <w:rFonts w:asciiTheme="minorBidi" w:hAnsiTheme="minorBidi"/>
          <w:rtl/>
        </w:rPr>
      </w:pPr>
      <w:r>
        <w:rPr>
          <w:rFonts w:asciiTheme="minorBidi" w:hAnsiTheme="minorBidi" w:cs="Arial"/>
          <w:rtl/>
        </w:rPr>
        <w:t xml:space="preserve">סדר הבדלה: יין, בשמים, נר, הבדלה וסימנך יבנ"ה. וצריך ליזהר שלא יהא הכוס פגום. הגה: ונהגו לומר קודם הבדלה שעושים בבית: הנה אל ישועתי וגו' כוס ישועות אשא וגו' ליהודים היתה אורה וגו', לסימן טוב. ובשעת הבדלה יתנו עיניהם בכוס ובנר. ונוהגין לשפוך מכוס של יין על הארץ, קודם שסיים בפה"ג, כדי שלא יהיה הכוס פגום. וטעם השפיכה, דאמרינן: כל בית שלא נשפך בו יין כמים אין בו סימן ברכה, ועושין כן לסימן טוב בתחלת השבוע. גם שופכין מן הכוס לאחר הבדלה ומכבין בו הנר ורוחצים בו עיניו, משום חיבוב המצוה. </w:t>
      </w:r>
    </w:p>
    <w:p w14:paraId="02A9309C" w14:textId="77777777" w:rsidR="004B2E7C" w:rsidRDefault="004B2E7C" w:rsidP="00434A6A">
      <w:pPr>
        <w:pStyle w:val="2"/>
        <w:rPr>
          <w:rtl/>
        </w:rPr>
      </w:pPr>
      <w:r>
        <w:rPr>
          <w:rtl/>
        </w:rPr>
        <w:t>סעיף ב</w:t>
      </w:r>
    </w:p>
    <w:p w14:paraId="2FBA7D2E" w14:textId="77777777" w:rsidR="004B2E7C" w:rsidRDefault="004B2E7C" w:rsidP="00434A6A">
      <w:pPr>
        <w:rPr>
          <w:rtl/>
        </w:rPr>
      </w:pPr>
      <w:r>
        <w:rPr>
          <w:rFonts w:cs="Arial"/>
          <w:rtl/>
        </w:rPr>
        <w:t>ב ואם אין לו יין (וכו') איתא בפרקי רבי אליעזר [וכו']. בפרק עשרים אבל בנוסחא שלנו אין כתוב שמבדיל בלא יין ובנוסחת רבינו נראה שהיה כתוב אם אין לו יין וכן כתב הרוקח בסימן (שנ"ג) [שנ"ו]:</w:t>
      </w:r>
    </w:p>
    <w:p w14:paraId="20612382" w14:textId="77777777" w:rsidR="004B2E7C" w:rsidRDefault="004B2E7C" w:rsidP="00434A6A">
      <w:pPr>
        <w:rPr>
          <w:rtl/>
        </w:rPr>
      </w:pPr>
      <w:r>
        <w:rPr>
          <w:rFonts w:cs="Arial"/>
          <w:rtl/>
        </w:rPr>
        <w:t>וכתב רב עמרם (סדר ח"ב סי' לט) ואנן לא סבירא לן הכי אלא אין מבדילין אלא על היין ואפילו על הפת אין מבדילין. כן כתבו התוספות (פסחים קו: ד"ה מקדש) והרא"ש בפרק ערבי פסחים (סי' יז) וכן הם דברי הרי"ף בפרק אלו דברים שבין בית שמאי (ברכות לט.) וכן הסכימו כל הפוסקים ולא דמי לקידוש משום דכיון דאין קידוש אלא במקום סעודה (פסחים קא.) פת מענינא דקידוש הוא אבל אינו מענין הבדלה:</w:t>
      </w:r>
    </w:p>
    <w:p w14:paraId="499BFBE1" w14:textId="77777777" w:rsidR="004B2E7C" w:rsidRDefault="004B2E7C" w:rsidP="00434A6A">
      <w:pPr>
        <w:rPr>
          <w:rtl/>
        </w:rPr>
      </w:pPr>
      <w:r>
        <w:rPr>
          <w:rFonts w:cs="Arial"/>
          <w:rtl/>
        </w:rPr>
        <w:t>אבל מבדילין על השכר אם הוא חמר מדינה. פשוט בפרק ערבי פסחים (קז.) בעובדא דאמימר ויש גורסים רבין במקום אמימר וכבר נתבאר בסימן רע"ב מה נקרא חמר מדינה וגם שם (לא: ד"ה וזהו) נתבאר שעל כל המשקין מבדילין היכא דהוו חמר מדינה חוץ מן המים</w:t>
      </w:r>
      <w:r>
        <w:rPr>
          <w:rStyle w:val="a9"/>
          <w:rFonts w:cs="Arial"/>
          <w:rtl/>
        </w:rPr>
        <w:footnoteReference w:id="1057"/>
      </w:r>
      <w:r>
        <w:rPr>
          <w:rFonts w:cs="Arial"/>
          <w:rtl/>
        </w:rPr>
        <w:t>:</w:t>
      </w:r>
      <w:r>
        <w:rPr>
          <w:rtl/>
        </w:rPr>
        <w:t xml:space="preserve"> </w:t>
      </w:r>
    </w:p>
    <w:p w14:paraId="001AD5C9" w14:textId="77777777" w:rsidR="004B2E7C" w:rsidRDefault="004B2E7C" w:rsidP="00434A6A">
      <w:pPr>
        <w:rPr>
          <w:rtl/>
        </w:rPr>
      </w:pPr>
      <w:r>
        <w:rPr>
          <w:rFonts w:cs="Arial"/>
          <w:rtl/>
        </w:rPr>
        <w:t>והגאונים כתבו אף על פי שאין מבדילין על הפת אם חל יום טוב במוצאי שבת מבדילין עליו וכו'. הרי"ף בפרק אלו דברים שבין בית שמאי (שם) הביא סברא זו ודחה אותה והעלה שאין מבדילין על הפת כלל והתוספות והרא"ש בפרק ערבי פסחים (שם) הביאו סברא זו בשם רב עמרם (סדר ח"ב סי' צג) וחלק עליו הרא"ש וכתב שיותר טוב לעשות יקנה"ז על השכר ממה שיעשה על הפת שיעשה הבדלה שלא כהלכתא מטעם טפילה ולא ידעתי למה סתם רבינו כדברי רב עמרם ולא כתב דעת הרי"ף והרא"ש:</w:t>
      </w:r>
    </w:p>
    <w:p w14:paraId="20883AD7"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5461423" w14:textId="77777777" w:rsidR="004B2E7C" w:rsidRDefault="004B2E7C" w:rsidP="00434A6A">
      <w:pPr>
        <w:rPr>
          <w:rFonts w:asciiTheme="minorBidi" w:hAnsiTheme="minorBidi"/>
          <w:rtl/>
        </w:rPr>
      </w:pPr>
      <w:r>
        <w:rPr>
          <w:rFonts w:asciiTheme="minorBidi" w:hAnsiTheme="minorBidi" w:cs="Arial"/>
          <w:rtl/>
        </w:rPr>
        <w:t xml:space="preserve">אין מבדילין על הפת, אבל על השכר מבדילין אם הוא חמר מדינה וה"ה לשאר משקין, חוץ מן המים. הגה: וטוב יותר להבדיל על כוס פגום של יין, מעל שכר (אבודרהם). ונהגו להבדיל במוצאי פסח על שכר ולא על יין, משום דחביב עליו. וביו"ט שחל להיות במו"ש, שיש בו קידוש שהוא נאמר על הפת, י"א שאגב הקידוש מבדילין ג"כ עליו. וי"א שיותר טוב לומר הקידוש והבדלה שניהם על השכר. (הגה: והסברא ראשונה עיקר). </w:t>
      </w:r>
    </w:p>
    <w:p w14:paraId="0C7F5643" w14:textId="77777777" w:rsidR="004B2E7C" w:rsidRDefault="004B2E7C" w:rsidP="00434A6A">
      <w:pPr>
        <w:pStyle w:val="2"/>
        <w:rPr>
          <w:rtl/>
        </w:rPr>
      </w:pPr>
      <w:r>
        <w:rPr>
          <w:rtl/>
        </w:rPr>
        <w:t>סעיף ג</w:t>
      </w:r>
    </w:p>
    <w:p w14:paraId="0C1D1020" w14:textId="77777777" w:rsidR="004B2E7C" w:rsidRDefault="004B2E7C" w:rsidP="00434A6A">
      <w:pPr>
        <w:rPr>
          <w:rtl/>
        </w:rPr>
      </w:pPr>
      <w:r>
        <w:rPr>
          <w:rFonts w:cs="Arial"/>
          <w:rtl/>
        </w:rPr>
        <w:t>ג ומי שאין לו יין ומצפה שיהיה לו למחר וכו'. בפרק ערבי פסחים (קז.) אמר ליה מר ינוקא לרב אשי זמנא חדא איקלע אמימר לאתרין ולא הוה לן חמרא אייתינן ליה שכרא ולא אבדיל ובת טות פירוש לן כשהוא מעונה למחר טרחנא ואייתינא ליה חמרא ואבדיל וטעים מידי וכתב הרא"ש (שם) והא דאמרינן (ברכות נב., פסחים קב:) ואם אין לו אלא כוס אחד מניחו לאחר המזון אלמא מותר לאכול קודם הבדלה אוקמה רבינו ניסים (עי' תוס' פסחים קב: ד"ה מניחו) ביושב על שלחנו וחשכה לו ור"י (תוס' הרא"ש ברכות נב. סוד"ה ואם) תירץ דודאי אם אין לו כוס ומצפה למחר למצוא לו כוס לא יאכל [כל] הלילה אלא ימתין עד למחר שיבדיל על הכוס אבל אם יש לו כוס ואינו מצפה שיהיה לו למחר יין יותר (מותר) [מוטב] שיאכל קודם שיבדיל ויברך ברכת המזון והבדלה על אותו כוס ממה שיבדיל על הכוס ויברך ברכת המזון בלא כוס עכ"ל ובפרק אלו דברים שבין בית שמאי (ברכות סי' ב) הכריע כדברי ר"י והתוספות שם (נב. ד"ה מניחו) כתבו כיוצא בזה וז"ל וי"ל דשאני אמימר שהיה סבור שיהיה לו כוס למחר עכ"ל ומשמע שאם אינו מצפה שיהיה לו כוס למחר מותר לו לטעום מיד אפילו אין לו עכשיו כוס וכן כתוב בכל בו (סי' מא ב:)</w:t>
      </w:r>
      <w:r>
        <w:rPr>
          <w:rStyle w:val="a9"/>
          <w:rFonts w:cs="Arial"/>
          <w:rtl/>
        </w:rPr>
        <w:footnoteReference w:id="1058"/>
      </w:r>
      <w:r>
        <w:rPr>
          <w:rFonts w:cs="Arial"/>
          <w:rtl/>
        </w:rPr>
        <w:t>: ומשמע שדעת רבינו ניסים והתוספות והרא"ש דאמימר מדינא בת טות וכן כתב ה"ר יונה בפרק אלו דברים (שם לח: ד"ה ומשום) לדעת הגאונים</w:t>
      </w:r>
      <w:r>
        <w:rPr>
          <w:rStyle w:val="a9"/>
          <w:rFonts w:cs="Arial"/>
          <w:rtl/>
        </w:rPr>
        <w:footnoteReference w:id="1059"/>
      </w:r>
      <w:r>
        <w:rPr>
          <w:rFonts w:cs="Arial"/>
          <w:rtl/>
        </w:rPr>
        <w:t xml:space="preserve"> וכן נראה מדברי הרי"ף (ברכות לט., פסחים כב.) אבל בתוספות תירצו עוד דאמימר דבת טות מחמיר על עצמו היה ולזה הסכים ה"ר יונה בפרק (תפלת השחר) [אין עומדין] (ברכות כג: סוד"ה טעה) גבי גמרא (שם לג.) מזכירין גבורות גשמים דמדינא מותר לטעום אם אין לו כוס ולא חילק בין מצפה שיהיה לו כוס למחר לאינו מצפה וכן כתב האגור (סי' תכג) בשם שבלי הלקט (סי' קל נב.) וכן נראה שהוא דעת הרמב"ם שהשמיט דבר זה</w:t>
      </w:r>
      <w:r>
        <w:rPr>
          <w:rStyle w:val="a9"/>
          <w:rFonts w:cs="Arial"/>
          <w:rtl/>
        </w:rPr>
        <w:footnoteReference w:id="1060"/>
      </w:r>
      <w:r>
        <w:rPr>
          <w:rFonts w:cs="Arial"/>
          <w:rtl/>
        </w:rPr>
        <w:t>: וכתב שם הרא"ש (ברכות פ"ח סי' ב) דהא דתניא דאם אין לו אלא כוס אחד מניחו לאחר המזון כלומר שסועד ומברך ברכת המזון על כוס זה ואחר כך סודר עליו סדר הבדלה [ו]מה שאינו מבדיל ושותה ממנו מעט ועל המותר יברך ברכת המזון משום דאין מברכין על כוס פגום (ברכות נב., פסחים קה:) ולרשב"ם (שם קו. ד"ה קפיד) [דכתב] דהני מילי לכתחלה אבל אם אין לו אלא כוס פגום מברך עליו צ"ל דאין בו אלא רביעית בצמצום וכתב עוד ותימה למה לא יבדיל על הכוס ויתקננו במים ויכשירנו לברכת המזון כדמשמע בירושלמי (ברכות פ"ז ה"ה) וי"ל דמיירי כגון שכבר היה מזוג כדינו (עי' שבת עז.) ואם היה משים בו מים יותר לא היה ראוי לשתיה עכ"ל:</w:t>
      </w:r>
    </w:p>
    <w:p w14:paraId="52004F8D"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0F8A957" w14:textId="77777777" w:rsidR="004B2E7C" w:rsidRDefault="004B2E7C" w:rsidP="00434A6A">
      <w:pPr>
        <w:rPr>
          <w:rFonts w:asciiTheme="minorBidi" w:hAnsiTheme="minorBidi"/>
          <w:rtl/>
        </w:rPr>
      </w:pPr>
      <w:r>
        <w:rPr>
          <w:rFonts w:asciiTheme="minorBidi" w:hAnsiTheme="minorBidi" w:cs="Arial"/>
          <w:rtl/>
        </w:rPr>
        <w:t xml:space="preserve">אם אין לו יין ולא שכר ושאר משקין, י"א שמותר לו לאכול וי"א שאם מצפה שיהיה לו למחר לא יאכל עד למחר שיבדיל. ואם אין לו אלא כוס אחד ואינו מצפה שיהיה לו למחר, מוטב שיאכל קודם שיבדיל ויברך עליו בהמ"ז ואח"כ יבדיל עליו, ממה שיברך ברכת המזון בלא כוס לדברי האומרים דבהמ"ז טעונה כוס. ולדברי האומרים דאינה טעונה כוס, לא יאכל עד שיבדיל. ומיירי שכוס זה לא היה בו אלא רביעית בצמצום, וכבר היה מזוג כדינו שאם היה משים בו מים יותר לא היה ראוי לשתייה, שאל"כ לד"ה מבדיל תחלה ושותה ממנו מעט ומוסיף עליו להשלימו לרביעית, ומברך עליו בהמ"ז. </w:t>
      </w:r>
    </w:p>
    <w:p w14:paraId="0E8555A3" w14:textId="77777777" w:rsidR="004B2E7C" w:rsidRDefault="004B2E7C" w:rsidP="00434A6A">
      <w:pPr>
        <w:pStyle w:val="2"/>
        <w:rPr>
          <w:rtl/>
        </w:rPr>
      </w:pPr>
      <w:r>
        <w:rPr>
          <w:rtl/>
        </w:rPr>
        <w:t>סעיף ד</w:t>
      </w:r>
    </w:p>
    <w:p w14:paraId="2C32F867" w14:textId="77777777" w:rsidR="004B2E7C" w:rsidRDefault="004B2E7C" w:rsidP="00434A6A">
      <w:pPr>
        <w:rPr>
          <w:rtl/>
        </w:rPr>
      </w:pPr>
      <w:r>
        <w:rPr>
          <w:rFonts w:cs="Arial"/>
          <w:rtl/>
        </w:rPr>
        <w:t>ד רבי צדוק אומר כל מי שאינו מבדיל על וכו' עד ואבדיל אתכם מן העמים. פרק כ' מפרקי רבי אליעזר:</w:t>
      </w:r>
    </w:p>
    <w:p w14:paraId="3A704502" w14:textId="77777777" w:rsidR="004B2E7C" w:rsidRDefault="004B2E7C" w:rsidP="00434A6A">
      <w:pPr>
        <w:rPr>
          <w:rtl/>
        </w:rPr>
      </w:pPr>
      <w:r>
        <w:rPr>
          <w:rFonts w:cs="Arial"/>
          <w:rtl/>
        </w:rPr>
        <w:t>ואמר רבי יוחנן שלשה מנוחלי העולם הבא. בפרק ערבי פסחים עלה קיג (ע"א):</w:t>
      </w:r>
    </w:p>
    <w:p w14:paraId="00144369"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46AB2EB" w14:textId="77777777" w:rsidR="004B2E7C" w:rsidRDefault="004B2E7C" w:rsidP="00434A6A">
      <w:pPr>
        <w:rPr>
          <w:rFonts w:asciiTheme="minorBidi" w:hAnsiTheme="minorBidi"/>
          <w:rtl/>
        </w:rPr>
      </w:pPr>
      <w:r>
        <w:rPr>
          <w:rFonts w:asciiTheme="minorBidi" w:hAnsiTheme="minorBidi" w:cs="Arial"/>
          <w:rtl/>
        </w:rPr>
        <w:t xml:space="preserve">מי שאין ידו משגת לקנות יין לקידוש ולהבדלה יקנה להבדלה, משום דקידוש אפשר בפת. </w:t>
      </w:r>
    </w:p>
    <w:p w14:paraId="2C5E9573" w14:textId="77777777" w:rsidR="004B2E7C" w:rsidRDefault="004B2E7C" w:rsidP="00434A6A">
      <w:pPr>
        <w:pStyle w:val="2"/>
        <w:rPr>
          <w:rtl/>
        </w:rPr>
      </w:pPr>
      <w:r>
        <w:rPr>
          <w:rtl/>
        </w:rPr>
        <w:t>סעיף ה</w:t>
      </w:r>
    </w:p>
    <w:p w14:paraId="4398271B" w14:textId="77777777" w:rsidR="004B2E7C" w:rsidRDefault="004B2E7C" w:rsidP="00434A6A">
      <w:pPr>
        <w:rPr>
          <w:rtl/>
        </w:rPr>
      </w:pPr>
      <w:r>
        <w:rPr>
          <w:rFonts w:cs="Arial"/>
          <w:rtl/>
        </w:rPr>
        <w:t>ה ונר חנוכה ויין להבדלה נר חנוכה קודם. זה נלמד מדפשטינן בפרק ב' דשבת (כג:) דנר חנוכה קודם לקידוש היום משום דפרסומי ניסא עדיף ואם כן הוא הדין להבדלה ואף ע"ג דבסמוך (מה: ד"ה וכתב רב עמרם) נתבאר דיין להבדלה עדיף מלקידוש היום משום דאפשר בפת מכל מקום פרסומי ניסא עדיף ועוד דהבדלה נמי כיון שכל מצותה היא הזכרה בפה מזכיר בתפילה ודיו אבל נר חנוכה שמצותה בהדלקה לא סגי בהזכרה דתפלה הלכך נר חנוכה קודם ליין דהבדלה:</w:t>
      </w:r>
    </w:p>
    <w:p w14:paraId="3F2117D7"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39C758F" w14:textId="77777777" w:rsidR="004B2E7C" w:rsidRDefault="004B2E7C" w:rsidP="00434A6A">
      <w:pPr>
        <w:rPr>
          <w:rFonts w:asciiTheme="minorBidi" w:hAnsiTheme="minorBidi"/>
          <w:rtl/>
        </w:rPr>
      </w:pPr>
      <w:r>
        <w:rPr>
          <w:rFonts w:asciiTheme="minorBidi" w:hAnsiTheme="minorBidi" w:cs="Arial"/>
          <w:rtl/>
        </w:rPr>
        <w:t xml:space="preserve">אם אין ידו משגת לקנות שמן לנר חנוכה ויין להבדלה, נר חנוכה קודם. </w:t>
      </w:r>
    </w:p>
    <w:p w14:paraId="5456E2B6" w14:textId="77777777" w:rsidR="004B2E7C" w:rsidRDefault="004B2E7C" w:rsidP="00434A6A">
      <w:pPr>
        <w:pStyle w:val="2"/>
        <w:rPr>
          <w:rtl/>
        </w:rPr>
      </w:pPr>
      <w:r>
        <w:rPr>
          <w:rtl/>
        </w:rPr>
        <w:t>סעיף ו</w:t>
      </w:r>
    </w:p>
    <w:p w14:paraId="24445263" w14:textId="77777777" w:rsidR="004B2E7C" w:rsidRDefault="004B2E7C" w:rsidP="00434A6A">
      <w:pPr>
        <w:rPr>
          <w:rtl/>
        </w:rPr>
      </w:pPr>
      <w:r>
        <w:rPr>
          <w:rFonts w:cs="Arial"/>
          <w:rtl/>
        </w:rPr>
        <w:t>ו כתוב בכל בו (סי' מא ב:) שנכון להבדיל מעומד לכבוד המלך שאנו מלוין אותו (עי' פסחים קג.) ודרך לויה מעומד. והתוספות כתבו בפרק כיצד מברכין (מג. סוד"ה הואיל) צ"ע קצת מהבדלה שאנו מבדילין ועומדים היאך אנו פוטרין זה את זה מיין ומהבדלה אחר שאין אנו לא יושבין ולא מסובין ושמא יש לומר מתוך שקובעים עצמם כדי לצאת ידי הבדלה קבעי נמי אכולה מילתא לכך נאה וטוב למבדיל וגם לשומעים שישבו בשעת הבדלה שאז יהיה נראה כקבע ופוטר (אותו) [אותם] ע"כ וכן כתב גם כן המרדכי (ברכות סו"ס קמה) וכתבו האגור (סי' תכ) ואחר כך כתב ובספר אגודה (ברכות סי' קנז) פוסק שאין צריך דכיון שקובעים עצמם לצאת ידי הבדלה קובעים נמי לבורא פרי הגפן וכן נוהגין באשכנז לעמוד עכ"ל. ואנו אין לנו אלא דברי התוספות שכתבו שנאה וטוב לישב</w:t>
      </w:r>
      <w:r>
        <w:rPr>
          <w:rStyle w:val="a9"/>
          <w:rFonts w:cs="Arial"/>
          <w:rtl/>
        </w:rPr>
        <w:footnoteReference w:id="1061"/>
      </w:r>
      <w:r>
        <w:rPr>
          <w:rFonts w:cs="Arial"/>
          <w:rtl/>
        </w:rPr>
        <w:t>: בסימן רצ"ט כתב רבינו שצריך ליזהר שלא יביא הלחם לשולחן עד אחר הבדלה ואם הביא פורס עליו מפה ומכסנו מפני שהוא מוקדם בפסוק (דברים ח ח, ברכות מא.) ושם (מח: ד"ה וכתב הר"מ) יתבאר בע"ה: כתב המרדכי בפרק כיצד מברכין (סי' קמט) נוטל את היין בימינו (ברכות מג:) כתב ראבי"ה (סי' קכ) ומינה נשמע שכל ברכה של דבר מצוה ראוי לו שיאחזנו בימין וכן הבדלה אוחז את היין בימין ומברך בורא פרי הגפן ושוב נוטל את ההדס בימין והיין בשמאל ומברך על ההדס ומחזיר היין לימינו וגם רבינו כתב בסימן רי"ב הביאו לפניו יין ושמן טוב להריח בו אוחז היין בימינו ומברך תחלה עליו ואחר כך נוטל השמן בימינו ומברך [עליו] ע"כ וזה כדברי ראבי"ה וכמו שכתבתי שם (קד: ד"ה הביאו)</w:t>
      </w:r>
      <w:r>
        <w:rPr>
          <w:rStyle w:val="a9"/>
          <w:rFonts w:cs="Arial"/>
          <w:rtl/>
        </w:rPr>
        <w:footnoteReference w:id="1062"/>
      </w:r>
      <w:r>
        <w:rPr>
          <w:rFonts w:cs="Arial"/>
          <w:rtl/>
        </w:rPr>
        <w:t>:</w:t>
      </w:r>
    </w:p>
    <w:p w14:paraId="6C195383"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2A5C798" w14:textId="77777777" w:rsidR="004B2E7C" w:rsidRDefault="004B2E7C" w:rsidP="00434A6A">
      <w:pPr>
        <w:rPr>
          <w:rFonts w:asciiTheme="minorBidi" w:hAnsiTheme="minorBidi"/>
          <w:rtl/>
        </w:rPr>
      </w:pPr>
      <w:r>
        <w:rPr>
          <w:rFonts w:asciiTheme="minorBidi" w:hAnsiTheme="minorBidi" w:cs="Arial"/>
          <w:rtl/>
        </w:rPr>
        <w:t xml:space="preserve">אומר הבדלה מיושב. הגה: וי"א מעומד (אגודה וכל בו ואגור), וכן נוהגין במדינות אלו, ואוחז היין בימין וההדס בשמאל ומברך על היין, ושוב נוטל ההדס בימין והיין בשמאל ומברך על ההדס, ומחזיר היין לימינו. </w:t>
      </w:r>
    </w:p>
    <w:p w14:paraId="4CE6E790" w14:textId="77777777" w:rsidR="004B2E7C" w:rsidRDefault="004B2E7C" w:rsidP="00434A6A">
      <w:pPr>
        <w:pStyle w:val="2"/>
        <w:rPr>
          <w:rtl/>
        </w:rPr>
      </w:pPr>
      <w:r>
        <w:rPr>
          <w:rtl/>
        </w:rPr>
        <w:t>סעיף ז</w:t>
      </w:r>
    </w:p>
    <w:p w14:paraId="514E54E1" w14:textId="77777777" w:rsidR="004B2E7C" w:rsidRDefault="004B2E7C" w:rsidP="00434A6A">
      <w:pPr>
        <w:rPr>
          <w:rtl/>
        </w:rPr>
      </w:pPr>
      <w:r>
        <w:rPr>
          <w:rFonts w:cs="Arial"/>
          <w:rtl/>
        </w:rPr>
        <w:t>ז נהגו העולם להבדיל בבית אף על פי ששמעו כל בני הבית הבדלה בבית הכנסת וכתב הר"ן בסוף פרק ראוהו בית דין (ר"ה ז: ד"ה אבל) דאפילו אי קיימא לן (ר"ה כח:) מצות אינן צריכות כוונה שפיר דמי משום דהני מילי (דסתם) [בסתם] אבל אם מתכוין שלא לצאת אינו יוצא והכי נמי כיון שמתכונים שלא לצאת בהבדלה שמבדילים בבית הכנסת לא נפקי והוה להו כלא הבדילו כלל וכן כתבו תלמידי ה"ר יונה בסוף פרק קמא דברכות (ו. ד"ה ורבינו): אם משקה מכוס הבדלה לבני הבית כתב רבינו בסימן רצ"ט:</w:t>
      </w:r>
    </w:p>
    <w:p w14:paraId="451B2636"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D95C3BA" w14:textId="77777777" w:rsidR="004B2E7C" w:rsidRDefault="004B2E7C" w:rsidP="00434A6A">
      <w:pPr>
        <w:rPr>
          <w:rFonts w:asciiTheme="minorBidi" w:hAnsiTheme="minorBidi"/>
          <w:rtl/>
        </w:rPr>
      </w:pPr>
      <w:r>
        <w:rPr>
          <w:rFonts w:asciiTheme="minorBidi" w:hAnsiTheme="minorBidi" w:cs="Arial"/>
          <w:rtl/>
        </w:rPr>
        <w:t xml:space="preserve">אפי' שמעו כל בני הבית הבדלה בבהכ"נ, אם נתכונו שלא לצאת מבדילים בבית. </w:t>
      </w:r>
    </w:p>
    <w:p w14:paraId="358295CE" w14:textId="77777777" w:rsidR="004B2E7C" w:rsidRDefault="004B2E7C" w:rsidP="00434A6A">
      <w:pPr>
        <w:pStyle w:val="2"/>
        <w:rPr>
          <w:rtl/>
        </w:rPr>
      </w:pPr>
      <w:r>
        <w:rPr>
          <w:rtl/>
        </w:rPr>
        <w:t>סעיף ח</w:t>
      </w:r>
    </w:p>
    <w:p w14:paraId="6DB9D481" w14:textId="77777777" w:rsidR="004B2E7C" w:rsidRDefault="004B2E7C" w:rsidP="00434A6A">
      <w:pPr>
        <w:rPr>
          <w:rtl/>
        </w:rPr>
      </w:pPr>
      <w:r>
        <w:rPr>
          <w:rFonts w:cs="Arial"/>
          <w:rtl/>
        </w:rPr>
        <w:t>ח כתוב בארחות חיים (הל' הבדלה סי' יח) נשים אין מבדילות לעצמן דאין הבדלה תלויה בשמירת שבת אלא רבנן אסמכוה (פסחים קו.) אקרא (שמות כ ח) וה"ר יונה כתב דכשם שחייבות בקידוש חייבות בהבדלה:</w:t>
      </w:r>
    </w:p>
    <w:p w14:paraId="0D1A3C72"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28DA453" w14:textId="77777777" w:rsidR="004B2E7C" w:rsidRDefault="004B2E7C" w:rsidP="00434A6A">
      <w:pPr>
        <w:rPr>
          <w:rFonts w:asciiTheme="minorBidi" w:hAnsiTheme="minorBidi"/>
          <w:rtl/>
        </w:rPr>
      </w:pPr>
      <w:r>
        <w:rPr>
          <w:rFonts w:asciiTheme="minorBidi" w:hAnsiTheme="minorBidi" w:cs="Arial"/>
          <w:rtl/>
        </w:rPr>
        <w:t>נשים חייבות בהבדלה כשם שחייבות בקידוש, ויש מי שחולק. הגה: ע"כ לא יבדילו לעצמן רק ישמעו הבדלה מן האנשים.</w:t>
      </w:r>
    </w:p>
    <w:p w14:paraId="4EE5E5DC" w14:textId="77777777" w:rsidR="004B2E7C" w:rsidRDefault="004B2E7C" w:rsidP="00434A6A">
      <w:pPr>
        <w:rPr>
          <w:rFonts w:asciiTheme="minorBidi" w:hAnsiTheme="minorBidi"/>
          <w:rtl/>
        </w:rPr>
      </w:pPr>
    </w:p>
    <w:p w14:paraId="64AFFD5D" w14:textId="77777777" w:rsidR="004B2E7C" w:rsidRDefault="004B2E7C" w:rsidP="00434A6A">
      <w:pPr>
        <w:rPr>
          <w:rFonts w:asciiTheme="minorBidi" w:hAnsiTheme="minorBidi"/>
          <w:rtl/>
        </w:rPr>
      </w:pPr>
    </w:p>
    <w:p w14:paraId="4E97CDD3"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66"/>
          <w:footnotePr>
            <w:numRestart w:val="eachSect"/>
          </w:footnotePr>
          <w:pgSz w:w="11906" w:h="16838"/>
          <w:pgMar w:top="720" w:right="1134" w:bottom="720" w:left="1134" w:header="0" w:footer="0" w:gutter="0"/>
          <w:cols w:space="720"/>
          <w:bidi/>
          <w:rtlGutter/>
        </w:sectPr>
      </w:pPr>
    </w:p>
    <w:p w14:paraId="30BFE6DA" w14:textId="77777777" w:rsidR="004B2E7C" w:rsidRDefault="004B2E7C" w:rsidP="00434A6A">
      <w:pPr>
        <w:pStyle w:val="1"/>
        <w:rPr>
          <w:rtl/>
        </w:rPr>
      </w:pPr>
      <w:r>
        <w:rPr>
          <w:rtl/>
        </w:rPr>
        <w:t xml:space="preserve">סימן רצז: דיני בשמים להבדלה, ובו ה' סעיפים. </w:t>
      </w:r>
    </w:p>
    <w:p w14:paraId="4D0812CF" w14:textId="77777777" w:rsidR="004B2E7C" w:rsidRDefault="004B2E7C" w:rsidP="00434A6A">
      <w:pPr>
        <w:pStyle w:val="2"/>
        <w:rPr>
          <w:rtl/>
        </w:rPr>
      </w:pPr>
      <w:r>
        <w:rPr>
          <w:rtl/>
        </w:rPr>
        <w:t>סעיף א</w:t>
      </w:r>
    </w:p>
    <w:p w14:paraId="49C67254" w14:textId="77777777" w:rsidR="004B2E7C" w:rsidRDefault="004B2E7C" w:rsidP="00FF2D21">
      <w:pPr>
        <w:pStyle w:val="aa"/>
        <w:numPr>
          <w:ilvl w:val="0"/>
          <w:numId w:val="125"/>
        </w:numPr>
        <w:rPr>
          <w:rtl/>
        </w:rPr>
      </w:pPr>
      <w:r>
        <w:rPr>
          <w:rFonts w:cs="Arial"/>
          <w:rtl/>
        </w:rPr>
        <w:t>טור- ומברך על הבשמים אם יש לו ואם אין לו א"צ לחזור אחריהם שאין מברכין עליהן אלא להשיב הנפש שהיא כואבת מיציאת השבת ואין מברכין על בשמים של בית הכסא ושל מתים דלאו לריחא עבידי ירושלמי הדא דתימא כשנתונין למעלה ממטתו של מת אבל נתונין למטה מברכין שאני אומר לכבוד חיים הם עשויין ואין מברכין על בשמים של עו"ג דסתמן לע"ג ונהגו לברך על עצי הדס וסמך לדבר כל שומר שבת מחללו וסמיך ליה תחת הסרפד יעלה הדס ויש נותנין טעם לדבר כיון דאיתעביד ביה חדא מצוה של הלולב ניעביד ביה מצוה אחריתי כדאיתא בעירובין רב אמי ורב אסי כד מיקלע להו ריפתא דעירובא הוו מברכי עליה המוציא אמרי הואיל ואיתעביד ביה חדא מצוה דעירובא ניעבד ביה מצוה אחריתי וכתב ה"ר אפרים אני איני מברך על הדס שוטה שלבו יבש ואין בו לחלוחית של ריח ויש לי זכוכית קטנה ובה מיני בשמים ועליה אני מברך עד כאן ומיהו נהגו בכל המקומות לברך על ההדס ומנהג אבותינו תורה וכתב עוד ה"ר אפרים מי שאינו מריח ומברך על הבשמים הוי ברכה לבטלה ואף להוציא בני ביתו אינו יכול ולא דמי לקידושא ואבדלתא וברכת המוציא של מצוה שהן חובה אבל זה אינו אלא מנהג בעלמא ולא נהירא שהרי פורס אדם פרוסה לבני ביתו אף ע"פ שאינו אוכל עמהם והתם מאי חובה איכא וכן הורה לי אדוני אבי הרא"ש ז"ל</w:t>
      </w:r>
      <w:r>
        <w:rPr>
          <w:rStyle w:val="a9"/>
          <w:rFonts w:cs="Arial"/>
          <w:rtl/>
        </w:rPr>
        <w:footnoteReference w:id="1063"/>
      </w:r>
      <w:r>
        <w:rPr>
          <w:rFonts w:cs="Arial"/>
          <w:rtl/>
        </w:rPr>
        <w:t>:</w:t>
      </w:r>
    </w:p>
    <w:p w14:paraId="5D1CE644" w14:textId="77777777" w:rsidR="004B2E7C" w:rsidRDefault="004B2E7C" w:rsidP="00434A6A">
      <w:r>
        <w:rPr>
          <w:rFonts w:cs="Arial"/>
          <w:rtl/>
        </w:rPr>
        <w:t>א ומברך על הבשמים. פרק אלו דברים שבין בית שמאי ובית הלל (ברכות נא:):</w:t>
      </w:r>
    </w:p>
    <w:p w14:paraId="38BAB22B" w14:textId="77777777" w:rsidR="004B2E7C" w:rsidRDefault="004B2E7C" w:rsidP="00434A6A">
      <w:pPr>
        <w:rPr>
          <w:rtl/>
        </w:rPr>
      </w:pPr>
      <w:r>
        <w:rPr>
          <w:rFonts w:cs="Arial"/>
          <w:rtl/>
        </w:rPr>
        <w:t>ואם אין לו (יין) אינו צריך לחזר אחריהם וכו'. שם (נג:) אמר רב יהודה אמר רב אין מחזרין על האור כדרך שמחזרין על כל המצות וכתב הרא"ש (סו"ס ג) ומכל שכן על הבשמים דאינם אלא להשבת נפשות וכן כתב הרב המגיד בפרק כ"ט (הכ"ו) שכתב הרשב"א (שם ד"ה אר"י) בשם הראב"ד ז"ל וכן כתב רבינו ירוחם בחלק כ' (ני"ב קב ע"ג):</w:t>
      </w:r>
    </w:p>
    <w:p w14:paraId="6D51F1F0"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BBB679D" w14:textId="77777777" w:rsidR="004B2E7C" w:rsidRDefault="004B2E7C" w:rsidP="00434A6A">
      <w:pPr>
        <w:rPr>
          <w:rFonts w:asciiTheme="minorBidi" w:hAnsiTheme="minorBidi"/>
          <w:rtl/>
        </w:rPr>
      </w:pPr>
      <w:r>
        <w:rPr>
          <w:rFonts w:asciiTheme="minorBidi" w:hAnsiTheme="minorBidi" w:cs="Arial"/>
          <w:rtl/>
        </w:rPr>
        <w:t xml:space="preserve">מברך על הבשמים אם יש לו, ואם אין לו א"צ לחזור אחריהם. </w:t>
      </w:r>
    </w:p>
    <w:p w14:paraId="5F82F3BC" w14:textId="77777777" w:rsidR="004B2E7C" w:rsidRDefault="004B2E7C" w:rsidP="00434A6A">
      <w:pPr>
        <w:pStyle w:val="2"/>
        <w:rPr>
          <w:rtl/>
        </w:rPr>
      </w:pPr>
      <w:r>
        <w:rPr>
          <w:rtl/>
        </w:rPr>
        <w:t>סעיף ב</w:t>
      </w:r>
    </w:p>
    <w:p w14:paraId="3DCD5D52" w14:textId="77777777" w:rsidR="004B2E7C" w:rsidRDefault="004B2E7C" w:rsidP="00434A6A">
      <w:pPr>
        <w:rPr>
          <w:rtl/>
        </w:rPr>
      </w:pPr>
      <w:r>
        <w:rPr>
          <w:rFonts w:cs="Arial"/>
          <w:rtl/>
        </w:rPr>
        <w:t>ב (א) ואין מברכין על בשמים של בית הכסא ושל מתים וכו'. משנה שם (נא:) אין מברכין על הנר ועל הבשמים של מתים ויהיב טעמא בגמרא (נג.) משום דלאעבורי ריחא הוא דעבידי אמר רב הונא בשמים של בית הכסא אין מברכין עליו ופירש רש"י בשמים של מתים. עבידי לעבורי ריח דסרחונו של מת: ושל בית הכסא. עבידי להעביר ריח בית הכסא:</w:t>
      </w:r>
    </w:p>
    <w:p w14:paraId="0A81ED75" w14:textId="77777777" w:rsidR="004B2E7C" w:rsidRDefault="004B2E7C" w:rsidP="00434A6A">
      <w:pPr>
        <w:rPr>
          <w:rtl/>
        </w:rPr>
      </w:pPr>
      <w:r>
        <w:rPr>
          <w:rFonts w:cs="Arial"/>
          <w:rtl/>
        </w:rPr>
        <w:t>ואין מברכין על בשמים של אומות העולם וכו'. גם זה שם במשנה (נא:) אין מברכין על הנר ועל הבשמים של גוים ובגמרא (נב:) בשמים מאי טעמא לא אמר רב יהודה אמר רב הכא במסבת גוים עסקינן מפני שסתם מסבת גוים לעבודה זרה ופירש רש"י מסבת גוים. לאכילה לסעודה: ואם כן על בשמים של גוים מברכין כל שאינה במסבה וכן כתב הרמב"ם בפרק ט' מהלכות ברכות (ה"ט) והרי"ף (לט.) והרא"ש (סי' ג) כתבו [דאין מברכין על] בשמים של גוים משום דסתם מסבתן לעבודה זרה וכתב ה"ר יונה (לט: דיבור ראשון) שאע"פ שעכשיו אינם עומדים הבשמים במסבה של עבודה זרה [אסור לברך] שהבשמים שלהם סתמן למכרן למסבת עבודה זרה והרב המגיד כתב בפרק כ"ט (שבת הכ"ה) שהרי"ף היה גורס גירסא אחרת כלומר שלא היה גורס הכא במאי עסקינן במסבת גוים אלא בשמים מאי טעמא לא מפני שסתם מסבת גוים לעבודה זרה דלפי זה כל בשמים של גוים אף על פי שאינם במסבה אסורים וכדברי ה"ר יונה: ורבינו כתב בסימן רי"ז מסבה של גוים אין מברכין על בשמים שלהם דסתם מסבתן לעבודה זרה משמע דכשאינם במסבה מברכין עליהם וצ"ל שהוא סובר דגם להרא"ש לא מיתסר אלא דוקא כשהם במסבה אלא שקיצר לשונו וסמך על מה שכתב דסתם מסבתן לעבודה זרה דמינה נשמע דבמסבה עסקינן ולפי זה מה שסתם רבינו דבריו כאן וכתב לאסור בשמים של גוים סמך על מה שכתב בסימן רי"ז דדוקא במסבה קאמר: וכל הני דאין מברכין על הבשמים אפילו בלא הבדלה נמי אין מברכין עליהם כמבואר בסימן רי"ז ולכן לא כתבם הרמב"ם בהלכות שבת ורבינו אף על פי שכתבם בסימן רי"ז לענין ברכת הריח חזר וכתבם כאן גבי הבדלה משום דמתניתין דקתני ואין מברכין על אלו גבי הבדלה מיתניא דסמוך להא מתניתין תנן פלוגתא דבית שמאי ובית הלל בסדר הבדלה ובבורא מאורי האש:</w:t>
      </w:r>
    </w:p>
    <w:p w14:paraId="357F4CBD" w14:textId="77777777" w:rsidR="004B2E7C" w:rsidRDefault="004B2E7C" w:rsidP="00434A6A">
      <w:pPr>
        <w:rPr>
          <w:rtl/>
        </w:rPr>
      </w:pPr>
      <w:r>
        <w:rPr>
          <w:rFonts w:cs="Arial"/>
          <w:rtl/>
        </w:rPr>
        <w:t>ב (ב) כתוב בארחות חיים בשם הרשב"א כל שבירך על אחד מאותם ששנו במשנתינו (ברכות נא:) שאין מברכין אפילו בדיעבד לא יצא וצריך לחזור ולברך:</w:t>
      </w:r>
    </w:p>
    <w:p w14:paraId="6FAFC114"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48F14FA" w14:textId="77777777" w:rsidR="004B2E7C" w:rsidRDefault="004B2E7C" w:rsidP="00434A6A">
      <w:pPr>
        <w:rPr>
          <w:rFonts w:asciiTheme="minorBidi" w:hAnsiTheme="minorBidi"/>
          <w:rtl/>
        </w:rPr>
      </w:pPr>
      <w:r>
        <w:rPr>
          <w:rFonts w:asciiTheme="minorBidi" w:hAnsiTheme="minorBidi" w:cs="Arial"/>
          <w:rtl/>
        </w:rPr>
        <w:t xml:space="preserve">אין מברכין על בשמים של בית הכסא ולא על של מתים (ודוקא) הנתונים למעלה ממטתו של מת, ולא על בשמים שבמסיבות גוים, דסתם מסיבתן לעבודת כוכבים. הגה: ואם בירך על בשמים אלו לא יצא וצריך לחזור ולברך על אחרים (ב"י בשם א"ח). </w:t>
      </w:r>
    </w:p>
    <w:p w14:paraId="40248646" w14:textId="77777777" w:rsidR="004B2E7C" w:rsidRDefault="004B2E7C" w:rsidP="00434A6A">
      <w:pPr>
        <w:pStyle w:val="2"/>
        <w:rPr>
          <w:rtl/>
        </w:rPr>
      </w:pPr>
      <w:r>
        <w:rPr>
          <w:rtl/>
        </w:rPr>
        <w:t>סעיף ג</w:t>
      </w:r>
    </w:p>
    <w:p w14:paraId="544001E5" w14:textId="77777777" w:rsidR="004B2E7C" w:rsidRDefault="004B2E7C" w:rsidP="00434A6A">
      <w:pPr>
        <w:rPr>
          <w:rtl/>
        </w:rPr>
      </w:pPr>
      <w:r>
        <w:rPr>
          <w:rFonts w:cs="Arial"/>
          <w:rtl/>
        </w:rPr>
        <w:t>ג כתב הרשב"א בתשובה (ח"ג סי' רלד) על הגוים שמשימין שק פלפלין וזנגביל בתוך קנקני היין לתת טעם ביין שמותר להריח באותם בשמים ומכל מקום מסתברא דלבשמים דלהבדלה אסור משום הקריבהו נא לפחתך (מלאכי א ח) ועוד דכל שיש בו איסור מעורב אפשר דמימאיס למצוה וכדבעא ריש לקיש פרק כל הצלמים (ע"ז מז.) המשתחוה לדקל לולבו מהו למצוה ואף על גב דלא איפשיטא ואפשר נמי דשרי שהרי"ף לא כתבה בהלכות מכל מקום טוב ליזהר מזה משום הקריבהו נא לפחתך מיהא ע"כ:</w:t>
      </w:r>
    </w:p>
    <w:p w14:paraId="36959F8F"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51703F9" w14:textId="77777777" w:rsidR="004B2E7C" w:rsidRDefault="004B2E7C" w:rsidP="00434A6A">
      <w:pPr>
        <w:rPr>
          <w:rFonts w:asciiTheme="minorBidi" w:hAnsiTheme="minorBidi"/>
          <w:rtl/>
        </w:rPr>
      </w:pPr>
      <w:r>
        <w:rPr>
          <w:rFonts w:asciiTheme="minorBidi" w:hAnsiTheme="minorBidi" w:cs="Arial"/>
          <w:rtl/>
        </w:rPr>
        <w:t xml:space="preserve">שקים מלאים בשמים שמשימים הגוים תוך קנקני היין, אף על פי שמותר להריח בהם אין מבדילין עליהם. </w:t>
      </w:r>
    </w:p>
    <w:p w14:paraId="7F0024D2" w14:textId="77777777" w:rsidR="004B2E7C" w:rsidRDefault="004B2E7C" w:rsidP="00434A6A">
      <w:pPr>
        <w:pStyle w:val="2"/>
        <w:rPr>
          <w:rtl/>
        </w:rPr>
      </w:pPr>
      <w:r>
        <w:rPr>
          <w:rtl/>
        </w:rPr>
        <w:t>סעיף ד</w:t>
      </w:r>
    </w:p>
    <w:p w14:paraId="4391836D" w14:textId="77777777" w:rsidR="004B2E7C" w:rsidRDefault="004B2E7C" w:rsidP="00434A6A">
      <w:pPr>
        <w:rPr>
          <w:rtl/>
        </w:rPr>
      </w:pPr>
      <w:r>
        <w:rPr>
          <w:rFonts w:cs="Arial"/>
          <w:rtl/>
        </w:rPr>
        <w:t>ד וכתב ה"ר אפרים אני איני מברך על הדס שוטה (עי' סוכה לב:) וכו'. דברי ה"ר אפרים הם במרדכי פרק אלו דברים (סי' קפח): וכתב הגאון מהר"י קולון בשורש מ"א (ענף ב) שהדס הכשר לא היו מריחים בו לפי שהיו מצניעים אותו לשנה אחרת והיו חוששים שאם יריחו בו בכל מוצאי שבת שמא ינשרו עליו ויפסל אלא בשוטה שמשימין למילוי היו מריחין ומשום הכי לא היה רוצה ה"ר אפרים להריח בו כיון שאינו מריח כל כך אבל בהדס הכשר מודה ה"ר אפרים שאע"פ שאין בו ריח כל כך מברכין עליו</w:t>
      </w:r>
      <w:r>
        <w:rPr>
          <w:rStyle w:val="a9"/>
          <w:rFonts w:cs="Arial"/>
          <w:rtl/>
        </w:rPr>
        <w:footnoteReference w:id="1064"/>
      </w:r>
      <w:r>
        <w:rPr>
          <w:rFonts w:cs="Arial"/>
          <w:rtl/>
        </w:rPr>
        <w:t xml:space="preserve"> הואיל ואתעביד ביה מצוה חדא:</w:t>
      </w:r>
    </w:p>
    <w:p w14:paraId="406BBF3E" w14:textId="77777777" w:rsidR="004B2E7C" w:rsidRDefault="004B2E7C" w:rsidP="00434A6A">
      <w:pPr>
        <w:rPr>
          <w:rtl/>
        </w:rPr>
      </w:pPr>
      <w:r>
        <w:rPr>
          <w:rFonts w:cs="Arial"/>
          <w:rtl/>
        </w:rPr>
        <w:t>ומ"ש רבינו ומיהו ונהגו בכל המקומות לברך על ההדס ומנהג אבותינו תורה היא (תוס' מנחות כ: ד"ה נפסל). יש לתמוה על זה שאם אין בו ריח ודאי שאסור לברך עליו ואם נהגו לברך מנהג טעות הוא ואם דעתו לומר דיש בו ריח היה לו לפרש ועוד שנמצא שהוא מחלוקת במציאות ולכן נראה לי שה"ר אפרים מודה שיש בו ריח אף על פי שהוא יבש ומכל מקום כיון שאין בו ריח לחלוחית רוצה לברך יותר על בשמים שעיקר ריחם בהם וזה מבואר בדברי מהר"י קולון שכתבתי בסמוך אבל בהדס הכשר מודה ה"ר אפרים שאע"פ שאין בו ריח כל כך מברכין עליו וכו' אלמא שאע"פ שהוא יבש קצת ריח יש בו: והטעם שנהגו לברך על ההדס במוצאי שבת שמעתי סמך לדבר דכתיב (ישעיה נה יג) תחת הסרפד יעלה הדס וסמיך ליה שומר שבת מחללו (שם נו ו) ובעלי הקבלה אומרים שיש סוד בהדס לברך עליו במוצאי שבת</w:t>
      </w:r>
      <w:r>
        <w:rPr>
          <w:rStyle w:val="a9"/>
          <w:rFonts w:cs="Arial"/>
          <w:rtl/>
        </w:rPr>
        <w:footnoteReference w:id="1065"/>
      </w:r>
      <w:r>
        <w:rPr>
          <w:rFonts w:cs="Arial"/>
          <w:rtl/>
        </w:rPr>
        <w:t>:</w:t>
      </w:r>
    </w:p>
    <w:p w14:paraId="009494C7"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F1C554E" w14:textId="77777777" w:rsidR="004B2E7C" w:rsidRDefault="004B2E7C" w:rsidP="00434A6A">
      <w:pPr>
        <w:rPr>
          <w:rFonts w:asciiTheme="minorBidi" w:hAnsiTheme="minorBidi"/>
          <w:rtl/>
        </w:rPr>
      </w:pPr>
      <w:r>
        <w:rPr>
          <w:rFonts w:asciiTheme="minorBidi" w:hAnsiTheme="minorBidi" w:cs="Arial"/>
          <w:rtl/>
        </w:rPr>
        <w:t xml:space="preserve">נהגו לברך על ההדס כל היכא דאפשר. הגה: וי"א דאין לברך על הדס היבש דאינו מריח, רק על שאר בשמים (טור בשם הר"ר אפרים והר"א מפראג), וכן נהגו במדינות אלו. ונ"ל דיש להניח גם הדס עם הבשמים, דאז עושין ככ"ע. </w:t>
      </w:r>
    </w:p>
    <w:p w14:paraId="5D018852" w14:textId="77777777" w:rsidR="004B2E7C" w:rsidRDefault="004B2E7C" w:rsidP="00434A6A">
      <w:pPr>
        <w:pStyle w:val="2"/>
        <w:rPr>
          <w:rtl/>
        </w:rPr>
      </w:pPr>
      <w:r>
        <w:rPr>
          <w:rtl/>
        </w:rPr>
        <w:t>סעיף ה</w:t>
      </w:r>
    </w:p>
    <w:p w14:paraId="1ED7A82E" w14:textId="77777777" w:rsidR="004B2E7C" w:rsidRDefault="004B2E7C" w:rsidP="00434A6A">
      <w:pPr>
        <w:rPr>
          <w:rtl/>
        </w:rPr>
      </w:pPr>
      <w:r>
        <w:rPr>
          <w:rFonts w:cs="Arial"/>
          <w:rtl/>
        </w:rPr>
        <w:t>ה וכתב עוד ה"ר אפרים מי שאינו מריח וכו' ולא נהירא שהרי פורס אדם פרוסה לבני ביתו וכו'. אין מכאן קושיא לה"ר אפרים דההיא בני ביתו הקטנים היא וכדמסיים בה בסוף פרק ראוהו בית דין (ראש השנה כט:) כדי לחנכן במצות וחינוך לא שייך אלא בקטנים ועל כרחך [צריך] לפרש דבקטנים מיירי דאם לא כן מאי איריא בני ביתו אפילו לאינשי אחריני נמי ורישא דברייתא קתני לא יפרוס אדם פרוסה לאורחים אלא אם כן אוכל עמהם אלא ודאי כדאמרן ופשוט הוא ומכל מקום אפשר לקיים הוראת הרא"ש דאע"ג דאינו חובה כיון שחכמים קבעו אותו מנהג הוה ליה מצוה ודמי לקדושא וברכת המוציא של מצוה: ובארחות חיים (הל' הבדלה סי' ח) כתוב שיש אומרים שאע"פ שאינו נהנה מריח שאין לו חוש הריח מברך שאע"פ שאינו מרגיש בריח הנאה יש לו שמחזק ראשו וגופו: כתוב בכל בו בסימן כ"ד (כ ע"ג) וז"ל והמריח בפת ונהנה מברך עליו בורא מיני בשמים ועל זה נהגו מקצת אנשים שאין להם הדס במוצאי שבת לברך עליו ולהריח בו במקום הדס עכ"ל. ונ"ל דהיינו דוקא כשהפת חם דאם אינו חם אין לו ריח כלל וברכה לבטלה הויא והכי דייק לישניה שכתב המריח בפת ונהנה דמשמע כשנהנה ממנו והיינו כשהוא חם וכן כתב ה"ר דוד אבודרהם (עמ' קפח) בשם ה"ר שמואל ב"ר גרשום דמברכין בלחם חם שריחו נודף אלא שנראה מדבריו שאינו מברך על הפת בורא מיני בשמים אלא שנתן ריח טוב בפת וכן כתוב בארחות חיים (שם סי' ו) בשם ה"ר יהודה מפרי"ש המברך על הפת בורא מיני בשמים טועה דפת אינו נקרא בושם וכן שמעתי מרבותי ויש אומרים שמברך בו נותן ריח טוב [בפת] שהרי יש לו ריח טוב וערב ועוד בהיותו חם עכ"ל. ואני אומר שאפילו על החם לבי נוקפי מלברך עליו כלל דאם כן לא לישמיט תנא או אמורא להזכירו בכלל הדברים שיש להם ריח טוב:</w:t>
      </w:r>
    </w:p>
    <w:p w14:paraId="525B9FE3"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011A3A1" w14:textId="77777777" w:rsidR="004B2E7C" w:rsidRDefault="004B2E7C" w:rsidP="00434A6A">
      <w:pPr>
        <w:rPr>
          <w:rFonts w:asciiTheme="minorBidi" w:hAnsiTheme="minorBidi"/>
          <w:rtl/>
        </w:rPr>
      </w:pPr>
      <w:r>
        <w:rPr>
          <w:rFonts w:asciiTheme="minorBidi" w:hAnsiTheme="minorBidi" w:cs="Arial"/>
          <w:rtl/>
        </w:rPr>
        <w:t>מי שאינו מריח אינו מברך על הבשמים אא"כ נתכוין להוציא בני ביתו הקטנים שהגיעו לחינוך או להוציא מי שאינו יודע.</w:t>
      </w:r>
    </w:p>
    <w:p w14:paraId="5FBF1AFF" w14:textId="77777777" w:rsidR="004B2E7C" w:rsidRDefault="004B2E7C" w:rsidP="00434A6A">
      <w:pPr>
        <w:rPr>
          <w:rFonts w:asciiTheme="minorBidi" w:hAnsiTheme="minorBidi"/>
          <w:rtl/>
        </w:rPr>
      </w:pPr>
    </w:p>
    <w:p w14:paraId="417B9BBA" w14:textId="77777777" w:rsidR="004B2E7C" w:rsidRDefault="004B2E7C" w:rsidP="00434A6A">
      <w:pPr>
        <w:rPr>
          <w:rFonts w:asciiTheme="minorBidi" w:hAnsiTheme="minorBidi"/>
          <w:rtl/>
        </w:rPr>
      </w:pPr>
    </w:p>
    <w:p w14:paraId="3E120869"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67"/>
          <w:footnotePr>
            <w:numRestart w:val="eachSect"/>
          </w:footnotePr>
          <w:pgSz w:w="11906" w:h="16838"/>
          <w:pgMar w:top="720" w:right="1134" w:bottom="720" w:left="1134" w:header="0" w:footer="0" w:gutter="0"/>
          <w:cols w:space="720"/>
          <w:bidi/>
          <w:rtlGutter/>
        </w:sectPr>
      </w:pPr>
    </w:p>
    <w:p w14:paraId="54D975D1" w14:textId="77777777" w:rsidR="004B2E7C" w:rsidRDefault="004B2E7C" w:rsidP="00434A6A">
      <w:pPr>
        <w:pStyle w:val="1"/>
        <w:rPr>
          <w:rtl/>
        </w:rPr>
      </w:pPr>
      <w:r>
        <w:rPr>
          <w:rtl/>
        </w:rPr>
        <w:t xml:space="preserve">סימן רצח: דיני נר הבדלה, ובו ט"ו סעיפים. </w:t>
      </w:r>
    </w:p>
    <w:p w14:paraId="3589AC51" w14:textId="77777777" w:rsidR="004B2E7C" w:rsidRDefault="004B2E7C" w:rsidP="00434A6A">
      <w:pPr>
        <w:pStyle w:val="2"/>
        <w:rPr>
          <w:rtl/>
        </w:rPr>
      </w:pPr>
      <w:r>
        <w:rPr>
          <w:rtl/>
        </w:rPr>
        <w:t>סעיף א</w:t>
      </w:r>
    </w:p>
    <w:p w14:paraId="7DA46DA6" w14:textId="77777777" w:rsidR="004B2E7C" w:rsidRDefault="004B2E7C" w:rsidP="00FF2D21">
      <w:pPr>
        <w:pStyle w:val="aa"/>
        <w:numPr>
          <w:ilvl w:val="0"/>
          <w:numId w:val="125"/>
        </w:numPr>
        <w:rPr>
          <w:rtl/>
        </w:rPr>
      </w:pPr>
      <w:r>
        <w:rPr>
          <w:rtl/>
        </w:rPr>
        <w:t xml:space="preserve">טור- </w:t>
      </w:r>
      <w:r>
        <w:rPr>
          <w:rFonts w:cs="Arial"/>
          <w:rtl/>
        </w:rPr>
        <w:t>ומברך על הנר בורא מאורי האש אם יש לו ואינו צריך לחזור אחריו שאין מברכין עליו אלא לזכר שנברא האור במוצ"ש ומצוה מן המובחר לברך על אבוקה</w:t>
      </w:r>
      <w:r>
        <w:rPr>
          <w:rStyle w:val="a9"/>
          <w:rFonts w:cs="Arial"/>
          <w:rtl/>
        </w:rPr>
        <w:footnoteReference w:id="1066"/>
      </w:r>
      <w:r>
        <w:rPr>
          <w:rFonts w:cs="Arial"/>
          <w:rtl/>
        </w:rPr>
        <w:t xml:space="preserve"> ונוהגין להסתכל בצפרנים</w:t>
      </w:r>
      <w:r>
        <w:rPr>
          <w:rStyle w:val="a9"/>
          <w:rFonts w:cs="Arial"/>
          <w:rtl/>
        </w:rPr>
        <w:footnoteReference w:id="1067"/>
      </w:r>
      <w:r>
        <w:rPr>
          <w:rFonts w:cs="Arial"/>
          <w:rtl/>
        </w:rPr>
        <w:t xml:space="preserve"> וכן איתא בפירקי דרבי אליעזר וסמך מהא דתנן אין מברכין על האור עד שיאותו לאורו וכמה אמר עולא עד שיכיר בין סלע לפונדיון ועל כן מסתכלין בצפרנים לראות שיוכל ליהנות ממנו ולהכיר בין מטבע למטבע כמו שמכיר בין צפורן לבשר וכ"כ ר"ע א"ר נטרונאי בבורא מאורי האש כך עושין בשתי ישיבות מביטין לכפות הידים כדי שיהנו מן הנר וא"ר האי ברכת האור חובה על כל מי שמכיר בין שני דברים שאינן ניכרין ונהגו הראשונים להביט בשרטוטי הכפים עד שיכיר ביניהן מפני שהן מצויות ושמענו מזקנים שאומרים שיש בשרטוטי פסת היד סי' להתברך בו ועוד מנהג אצלנו להביט בצפרנים ואומרים מפני שהן פרות ורבות לעולם</w:t>
      </w:r>
      <w:r>
        <w:rPr>
          <w:rStyle w:val="a9"/>
          <w:rFonts w:cs="Arial"/>
          <w:rtl/>
        </w:rPr>
        <w:footnoteReference w:id="1068"/>
      </w:r>
      <w:r>
        <w:rPr>
          <w:rFonts w:cs="Arial"/>
          <w:rtl/>
        </w:rPr>
        <w:t xml:space="preserve"> ואי לא מתרמי ליה כוס כשיראה האש ונהנה לאורו מברך בורא מאורי האש:</w:t>
      </w:r>
    </w:p>
    <w:p w14:paraId="280F6B6C" w14:textId="77777777" w:rsidR="004B2E7C" w:rsidRDefault="004B2E7C" w:rsidP="00FF2D21">
      <w:pPr>
        <w:pStyle w:val="aa"/>
        <w:numPr>
          <w:ilvl w:val="0"/>
          <w:numId w:val="125"/>
        </w:numPr>
        <w:rPr>
          <w:rtl/>
        </w:rPr>
      </w:pPr>
      <w:r>
        <w:rPr>
          <w:rFonts w:cs="Arial"/>
          <w:rtl/>
        </w:rPr>
        <w:t>אין מברכין על האור של ע"ג ואין מברכין אלא על האור ששבת ממלאכת איסור הלכך אין מברכין על אור של עכו"ם ועכו"ם שהדליק מישראל במוצ"ש או ישראל מעכו"ם מברכין עליו אבל עכו"ם שהדליק מעכו"ם אין מברכין עליו:</w:t>
      </w:r>
    </w:p>
    <w:p w14:paraId="7298DA49" w14:textId="77777777" w:rsidR="004B2E7C" w:rsidRDefault="004B2E7C" w:rsidP="00FF2D21">
      <w:pPr>
        <w:pStyle w:val="aa"/>
        <w:numPr>
          <w:ilvl w:val="0"/>
          <w:numId w:val="125"/>
        </w:numPr>
        <w:rPr>
          <w:rtl/>
        </w:rPr>
      </w:pPr>
      <w:r>
        <w:rPr>
          <w:rFonts w:cs="Arial"/>
          <w:rtl/>
        </w:rPr>
        <w:t>היה הולך חוץ לכרך וראה אור אם רובן עכו"ם אין מברכין עליו ואם רובן ישראל או אפילו מחצה על מחצה מברכין עליו אור שהודלק בשבת ליולדת או לחולה מברכין עליו כיון שהודלקו בהיתר וכן עששית שהיתה דולקת והולכת מע"ש מברכין עליה במוצ"ש מברכין על האור היוצא מן העצים ומן האבנים אף על פי שאין מברכין עליו במוצאי יה"כ גחלים שבוערות כל כך שאילו מכניס קיסם ביניהם הוא נדלק מברכין עליהם והוא שעשוי להאיר ואם אינן בוערות כל כך אין מברכין עליהם אור של כבשן בתחלת שרפת האבנים אין מברכין עליו שאז אינו עשוי להאיר ולבסוף אחר שנשרפו אז נעשה להאיר ומברכין עליו נר של בית הכנסת פירש"י אם יש שם אדם חשוב אין מברכין עליו שנעשה לכבודו ולא להאיר ואם אין שם אדם חשוב מברכין עליו וי"מ איפכא דכשיש שם אדם חשוב מברכין עליו שנעשה להאיר לו וכשאין שם אדם חשוב אין מברכין עליו שלא נעשה אלא לכבוד שכינה ואם יש שמש שאוכל שם בכל ענין מברכין עליו שנעשה להאיר לו והוא שלא תהא לבנה זורחת שאם יש לבנה אז א"צ לאורה ולא נעשה אלא לכבוד שכינה אין מברכין על האור של מתים שאינו עשוי להאיר הלכך מת שהיו מוליכים לפניו נר אילו הוציאוהו ביום והוציאוהו בלילה בנר אין מברכין עליו כיון שגם ביום היו מוליכין לפניו א"כ הוא לכבוד אף על פי שצריכין לו עתה בלילה וכל שאין מוליכין לפניו ביום אם הוציאוהו בלילה בנר מברכין עליו שאותו הוא להאיר וסומא כתב אבי העזרי שאין לו לברך דהא אין מברכין עליו עד שיאותו לאורו וכמה אמר עולא עד שיכיר בין איסר לפונדיון אלמא כל זמן שאינו נהנה כשיעור הזה אין לו לברך היו יושבין בבה"מ והביאו לפניהם אור אחד מברך לכולם:</w:t>
      </w:r>
    </w:p>
    <w:p w14:paraId="6CFB0A5E" w14:textId="77777777" w:rsidR="004B2E7C" w:rsidRDefault="004B2E7C" w:rsidP="00434A6A">
      <w:r>
        <w:rPr>
          <w:rFonts w:cs="Arial"/>
          <w:rtl/>
        </w:rPr>
        <w:t>א ומברך על הנר וכו':</w:t>
      </w:r>
    </w:p>
    <w:p w14:paraId="75C9AF0F" w14:textId="77777777" w:rsidR="004B2E7C" w:rsidRDefault="004B2E7C" w:rsidP="00434A6A">
      <w:pPr>
        <w:rPr>
          <w:rtl/>
        </w:rPr>
      </w:pPr>
      <w:r>
        <w:rPr>
          <w:rFonts w:cs="Arial"/>
          <w:rtl/>
        </w:rPr>
        <w:t>ואינו צריך לחזר אחריו. כלומר אלא אי מיקלע ממילא מברכין עליו וכך פשוט בפרק אלו דברים (ברכות נג:) וכתב הרא"ש (סי' ג) דטעמא משום דברכה זו אינה אלא לזכר בעלמא שנברא (העולם) [האור] במוצאי שבת דאי משום הנאת האור מברך היה צריך לברך בכל פעם ופעם כשנהנה מן האור: וכתב הרשב"א (שם סוד"ה אר"י) בשם הראב"ד דהני מילי במוצאי שבת אבל במוצאי יום הכפורים איכא למימר דמהדר בתר האור לפי שהיא כברכת הבדלה שמברך לבורא יתברך שהבדיל לנו בין זה היום לשאר הימים שכל היום היינו אסורין להשתמש בו ועכשיו אנו מותרים וכתבו הרב המגיד בפרק כ"ט (הכ"ו):</w:t>
      </w:r>
    </w:p>
    <w:p w14:paraId="554DB67A"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15E530B" w14:textId="77777777" w:rsidR="004B2E7C" w:rsidRDefault="004B2E7C" w:rsidP="00434A6A">
      <w:pPr>
        <w:rPr>
          <w:rFonts w:asciiTheme="minorBidi" w:hAnsiTheme="minorBidi"/>
          <w:rtl/>
        </w:rPr>
      </w:pPr>
      <w:r>
        <w:rPr>
          <w:rFonts w:asciiTheme="minorBidi" w:hAnsiTheme="minorBidi" w:cs="Arial"/>
          <w:rtl/>
        </w:rPr>
        <w:t xml:space="preserve">מברך על הנר: בורא מאורי האש, אם יש לו וא"צ לחזור אחריו. וה"מ במוצאי שבת, אבל במוצאי יוה"כ י"א שמחזיר אחריו. הגה: מי שאין לו כוס להבדיל, כשרואה האש מברך עליו, וכן הבשמים (טור). </w:t>
      </w:r>
    </w:p>
    <w:p w14:paraId="3AA495FA" w14:textId="77777777" w:rsidR="004B2E7C" w:rsidRDefault="004B2E7C" w:rsidP="00434A6A">
      <w:pPr>
        <w:pStyle w:val="2"/>
        <w:rPr>
          <w:rtl/>
        </w:rPr>
      </w:pPr>
      <w:r>
        <w:rPr>
          <w:rtl/>
        </w:rPr>
        <w:t>סעיף ב</w:t>
      </w:r>
    </w:p>
    <w:p w14:paraId="571A6E83" w14:textId="77777777" w:rsidR="004B2E7C" w:rsidRDefault="004B2E7C" w:rsidP="00434A6A">
      <w:pPr>
        <w:rPr>
          <w:rtl/>
        </w:rPr>
      </w:pPr>
      <w:r>
        <w:rPr>
          <w:rFonts w:cs="Arial"/>
          <w:rtl/>
        </w:rPr>
        <w:t>ב ומצוה מן המובחר לברך על אבוקה (וכו'). הכי אמר רבא בפרק ערבי פסחים (קג:) וכתב הרב המגיד בפרק כ"ט (שם) פירוש אבוקה כמו חבוקה שיש בה עצים הרבה ומאורות הרבה. ומצאתי כתוב (סוף שו"ת מהר"י וייל) בשם ספר אגודה (שם סי' עט) אבוקה להבדלה והוא הדין נר שתי פתילות: וכתוב בארחות חיים (הל' הבדלה סי' יז) שהר"מ (תשב"ץ קטן סי' פא) היה נוטל אבוקה בידו אף על פי שיש לו נר אחר וכתוב בתוספות שאם אין לו אבוקה צריך להדליק נר אחר לצורך הבדלה חוץ מהנר המיוחד להאיר בבית עכ"ל:</w:t>
      </w:r>
    </w:p>
    <w:p w14:paraId="2C0E7780"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20B3028" w14:textId="77777777" w:rsidR="004B2E7C" w:rsidRDefault="004B2E7C" w:rsidP="00434A6A">
      <w:pPr>
        <w:rPr>
          <w:rFonts w:asciiTheme="minorBidi" w:hAnsiTheme="minorBidi"/>
          <w:rtl/>
        </w:rPr>
      </w:pPr>
      <w:r>
        <w:rPr>
          <w:rFonts w:asciiTheme="minorBidi" w:hAnsiTheme="minorBidi" w:cs="Arial"/>
          <w:rtl/>
        </w:rPr>
        <w:t xml:space="preserve">מצוה מן המובחר לברך על אבוקה. ויש מי שאומר שאם אין לו אבוקה צריך להדליק נר אחר לצורך הבדלה חוץ מהנר המיוחד להאיר בבית. הגה: ונר שיש לו שתי פתילות מיקרי אבוקה (אגודה). </w:t>
      </w:r>
    </w:p>
    <w:p w14:paraId="42435363" w14:textId="77777777" w:rsidR="004B2E7C" w:rsidRDefault="004B2E7C" w:rsidP="00434A6A">
      <w:pPr>
        <w:pStyle w:val="2"/>
        <w:rPr>
          <w:rtl/>
        </w:rPr>
      </w:pPr>
      <w:r>
        <w:rPr>
          <w:rtl/>
        </w:rPr>
        <w:t>סעיף ג</w:t>
      </w:r>
    </w:p>
    <w:p w14:paraId="2BE2C32D" w14:textId="77777777" w:rsidR="004B2E7C" w:rsidRDefault="004B2E7C" w:rsidP="00434A6A">
      <w:pPr>
        <w:rPr>
          <w:rtl/>
        </w:rPr>
      </w:pPr>
      <w:r>
        <w:rPr>
          <w:rFonts w:cs="Arial"/>
          <w:rtl/>
        </w:rPr>
        <w:t>ג ונוהגין להסתכל בציפרנים וכן איתא בפרק כ' מפרקי רבי אליעזר. והזכירו רבינו בסימן רצ"ו:</w:t>
      </w:r>
    </w:p>
    <w:p w14:paraId="35665064" w14:textId="77777777" w:rsidR="004B2E7C" w:rsidRDefault="004B2E7C" w:rsidP="00434A6A">
      <w:pPr>
        <w:rPr>
          <w:rtl/>
        </w:rPr>
      </w:pPr>
      <w:r>
        <w:rPr>
          <w:rFonts w:cs="Arial"/>
          <w:rtl/>
        </w:rPr>
        <w:t>וסמך מהא דתנן פרק אלו דברים (ברכות נא:) אין מברכין על האור וכו':</w:t>
      </w:r>
    </w:p>
    <w:p w14:paraId="3126EB43" w14:textId="77777777" w:rsidR="004B2E7C" w:rsidRDefault="004B2E7C" w:rsidP="00434A6A">
      <w:pPr>
        <w:rPr>
          <w:rtl/>
        </w:rPr>
      </w:pPr>
      <w:r>
        <w:rPr>
          <w:rFonts w:cs="Arial"/>
          <w:rtl/>
        </w:rPr>
        <w:t>ומה שכתב ועל כן מסתכלים בצפרנים וכו'. כן כתב שם הרא"ש וגם המרדכי כתב במסכת יומא (סי' תשכג) בשם תשובות הגאונים וז"ל ומה שאנו נוהגים להסתכל בציפרנים וכו' זה הדבר שנוי בתלמוד בבלי (שם) וירושלמי (פ"ח ה"ו) שאין מברכין על האור עד שיאותו לאורו פירוש עד שמרגיש בוהק אור נר של הבדלה ואף כי זוכרים על צפרניו של אדם הראשון (עי' פרקי דרבי אליעזר פי"ד, זוהר ח"ב רח:) עכ"ל וכיוצא בזה כתוב בשבלי הלקט (סי' קל נב:) בשם רב נטרונאי וכתב עוד כך הוא המנהג (עי' בה"ג הל' קדוש יד., פרדס עמ' כז) תחלה מכניס אצבעותיו לתוך ידיו ומחשיך תחתיהן ואחר כך פושטן והנה אור במקום חשך ומברך שכבר הוא נאות מן האור עכ"ל:</w:t>
      </w:r>
    </w:p>
    <w:p w14:paraId="3D1C4880" w14:textId="77777777" w:rsidR="004B2E7C" w:rsidRDefault="004B2E7C" w:rsidP="00434A6A">
      <w:pPr>
        <w:rPr>
          <w:rtl/>
        </w:rPr>
      </w:pPr>
      <w:r>
        <w:rPr>
          <w:rFonts w:cs="Arial"/>
          <w:rtl/>
        </w:rPr>
        <w:t>(דרכמ ב) ואני אומר כי מנהגן של ישראל תורה היא שנוהגין לכפוף האצבעות ולראות בצפרנים ולא לפשוט האצבעות ולראות פני האצבעות רק אחורי אצבעות במקום הצפרנים ויש לו סוד נקשר במרכבה העליונה כמו שהאריך בזה הזוהר פרשת ויקהל (רח ב) ופרשת בראשית (כ סוע"ב) ושם (ח"ב רח א) דיש להסתכל ביד ימין:</w:t>
      </w:r>
    </w:p>
    <w:p w14:paraId="01162434"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977A03A" w14:textId="77777777" w:rsidR="004B2E7C" w:rsidRDefault="004B2E7C" w:rsidP="00434A6A">
      <w:pPr>
        <w:rPr>
          <w:rFonts w:asciiTheme="minorBidi" w:hAnsiTheme="minorBidi"/>
          <w:rtl/>
        </w:rPr>
      </w:pPr>
      <w:r>
        <w:rPr>
          <w:rFonts w:asciiTheme="minorBidi" w:hAnsiTheme="minorBidi" w:cs="Arial"/>
          <w:rtl/>
        </w:rPr>
        <w:t xml:space="preserve">נוהגים להסתכל בכפות הידים ובצפרנים. הגה: ויש לראות בצפרני יד ימין ולאחוז הכוס ביד שמאל, ויש לכפוף האצבעות לתוך היד שאז רואה הצפרנים עם הכפות בבת אחת ולא יראה פני האצבעות שבפנים (זוהר פ' בראשית ובפ' ויקהל). </w:t>
      </w:r>
    </w:p>
    <w:p w14:paraId="0D4AB9E6" w14:textId="77777777" w:rsidR="004B2E7C" w:rsidRDefault="004B2E7C" w:rsidP="00434A6A">
      <w:pPr>
        <w:pStyle w:val="2"/>
        <w:rPr>
          <w:rtl/>
        </w:rPr>
      </w:pPr>
      <w:r>
        <w:rPr>
          <w:rtl/>
        </w:rPr>
        <w:t>סעיף ד</w:t>
      </w:r>
    </w:p>
    <w:p w14:paraId="06CA6FEB" w14:textId="77777777" w:rsidR="004B2E7C" w:rsidRDefault="004B2E7C" w:rsidP="00434A6A">
      <w:pPr>
        <w:rPr>
          <w:rtl/>
        </w:rPr>
      </w:pPr>
      <w:r>
        <w:rPr>
          <w:rFonts w:cs="Arial"/>
          <w:rtl/>
        </w:rPr>
        <w:t>ד גרסינן בגמרא פרק אלו דברים (ברכות נג:) עד שיאותו לאורו אמר רב יהודה אמר רב לא יאותו יאותו ממש אלא כל שעומד בקרוב ומשתמש לאורו ואפילו ברחוק מקום וכן אמר רב אשי ורבא אמר יאותו ממש וכמה אמר עולא כדי שיכיר בין איסר לפונדיון חזקיה אמר כדי שיכיר בין מלוזמא של טבריה למלוזמא של ציפורי: וכתוב בארחות חיים (הל' הבדלה סי' ט) שהרשב"א פסק כרב יהודה והרי"ף (לט.) והרא"ש (סי' ג) כתבו המשנה כצורתה משמע דסבירא להו כרבא כדמשמע מפשטא דמתניתין דעד שיאותו ממש קאמר וכן הסכים הרשב"א (נג: ד"ה רב) וכן כתב הרמב"ם בפרק כ"ט (הכ"ה) עד שיאותו לאורו כדי שיכיר בין מטבע מדינה זו למטבע מדינה אחרת פירוש (מגיד משנה שם) שצריך לעמוד בסמוך שאם היו בידו שתי מטבעות אלו יכיר בין זו לזו. ודבריו מבוארים שפסק כחזקיה אף על גב דלא משמע הכי מדברי הרי"ף והרא"ש שסתמו דבריהם: גרסינן בירושלמי דברכות פרק אלו דברים (ה"ו) אין מברכין על הנר עד שיאותו לאורו רבי אושעיא אמר אפילו טרקלין עשר על עשר מברכין רבי זעירא מקרב קמי בוצינא אמרין ליה תלמידיו מה את מחמיר עלינו והא תנא רבי אושעיא אפילו טרקלין עשר על עשר מברכין ונ"ל דרבי אושעיא הוה סבר כמאן דאמר בגמרא דידן לא יאותו יאותו ממש וכו' וכבר כתבתי שדעת הפוסקים לפסוק כמאן דאמר יאותו ממש:</w:t>
      </w:r>
    </w:p>
    <w:p w14:paraId="1F34492A"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3E78BFA" w14:textId="77777777" w:rsidR="004B2E7C" w:rsidRDefault="004B2E7C" w:rsidP="00434A6A">
      <w:pPr>
        <w:rPr>
          <w:rFonts w:asciiTheme="minorBidi" w:hAnsiTheme="minorBidi"/>
          <w:rtl/>
        </w:rPr>
      </w:pPr>
      <w:r>
        <w:rPr>
          <w:rFonts w:asciiTheme="minorBidi" w:hAnsiTheme="minorBidi" w:cs="Arial"/>
          <w:rtl/>
        </w:rPr>
        <w:t xml:space="preserve">אין מברכין על הנר עד שיאותו לאורו, דהיינו שיהיה סמוך לו בכדי שיוכל להכיר בין מטבע מדינה זו למטבע מדינה אחרת. </w:t>
      </w:r>
    </w:p>
    <w:p w14:paraId="54F1C6BE" w14:textId="77777777" w:rsidR="004B2E7C" w:rsidRDefault="004B2E7C" w:rsidP="00434A6A">
      <w:pPr>
        <w:pStyle w:val="2"/>
        <w:rPr>
          <w:rtl/>
        </w:rPr>
      </w:pPr>
      <w:r>
        <w:rPr>
          <w:rtl/>
        </w:rPr>
        <w:t>סעיף ה</w:t>
      </w:r>
    </w:p>
    <w:p w14:paraId="5A624774" w14:textId="77777777" w:rsidR="004B2E7C" w:rsidRDefault="004B2E7C" w:rsidP="00434A6A">
      <w:pPr>
        <w:rPr>
          <w:rtl/>
        </w:rPr>
      </w:pPr>
      <w:r>
        <w:rPr>
          <w:rFonts w:cs="Arial"/>
          <w:rtl/>
        </w:rPr>
        <w:t>ה (א) אין מברכין על האור של עבודה זרה. משנה שם (נא:). בפרק משילין (ביצה לט.) תניא גחלת של עבודה זרה אסורה והשלהבת מותרת וכתב שם הרא"ש (סו"ס י) ירושלמי (ברכות פ"ח ה"ו ביצה פ"ה ה"ה) מברכין על השלהבת ואין מברכין על הגחלת והא דאסרינן לברך אשלהבת עבודה זרה ואף על גב דשריא משום דיש עמה גחלת ואף על פי שאין הברכה אלא על השלהבת:</w:t>
      </w:r>
    </w:p>
    <w:p w14:paraId="075C2495" w14:textId="77777777" w:rsidR="004B2E7C" w:rsidRDefault="004B2E7C" w:rsidP="00434A6A">
      <w:pPr>
        <w:rPr>
          <w:rtl/>
        </w:rPr>
      </w:pPr>
      <w:r>
        <w:rPr>
          <w:rFonts w:cs="Arial"/>
          <w:rtl/>
        </w:rPr>
        <w:t>ואין מברכין אלא על האור ששבת ממלאכת איסור. בפרק אלו דברים (נב סוע"ב) תנו רבנן אור ששבת מברכין עליו ושלא שבת אין מברכין עליו ומפרש בגמרא דמאי שבת שבת [מ]מלאכת עבירה לאפוקי אור שהודלק לחיה ולחולה שכיון שלא הודלק בעבירה דהא שבת לגבי דידהו כחול דמי מברכים עליו אבל כשהדליקו גוי בשבת כיון שאם היה מדליקו ישראל היה עובר לא שבת ממלאכת עבירה מיקרי וכמו שכתב רבינו הלכך אין מברכין על אור של גוים:</w:t>
      </w:r>
    </w:p>
    <w:p w14:paraId="74F409C5"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127B9C2" w14:textId="77777777" w:rsidR="004B2E7C" w:rsidRDefault="004B2E7C" w:rsidP="00434A6A">
      <w:pPr>
        <w:rPr>
          <w:rFonts w:asciiTheme="minorBidi" w:hAnsiTheme="minorBidi"/>
          <w:rtl/>
        </w:rPr>
      </w:pPr>
      <w:r>
        <w:rPr>
          <w:rFonts w:asciiTheme="minorBidi" w:hAnsiTheme="minorBidi" w:cs="Arial"/>
          <w:rtl/>
        </w:rPr>
        <w:t xml:space="preserve">אין מברכין על הנר שלא שבת ממלאכת עבירה, לאפוקי אור שהודלק לחיה ולחולה שכיון שלא הודלק לעבירה מברכין עליו, אבל אם הדליקו אינו ישראל בשבת כיון שאם היה מדליקו ישראל היה עובר, לא שבת ממלאכת עבירה מיקרי. ואין מברכין על אור של עבודת אלילים (טור). </w:t>
      </w:r>
    </w:p>
    <w:p w14:paraId="7C0E3698" w14:textId="77777777" w:rsidR="004B2E7C" w:rsidRDefault="004B2E7C" w:rsidP="00434A6A">
      <w:pPr>
        <w:pStyle w:val="2"/>
        <w:rPr>
          <w:rtl/>
        </w:rPr>
      </w:pPr>
      <w:r>
        <w:rPr>
          <w:rtl/>
        </w:rPr>
        <w:t>סעיף ו</w:t>
      </w:r>
    </w:p>
    <w:p w14:paraId="48514D5E" w14:textId="77777777" w:rsidR="004B2E7C" w:rsidRDefault="004B2E7C" w:rsidP="00434A6A">
      <w:pPr>
        <w:rPr>
          <w:rtl/>
        </w:rPr>
      </w:pPr>
      <w:r>
        <w:rPr>
          <w:rFonts w:cs="Arial"/>
          <w:rtl/>
        </w:rPr>
        <w:t>ו וגוי שהדליק מישראל וכו' עד אין מברכין עליו. ברייתא שם (נג.) ופריך בגמרא מאי שנא גוי מגוי דלא משום דלא שבת ישראל מגוי נמי הא לא שבת (וכתב) [וכי תימא] אתוספת דהיתרא קא מברך אי הכי גוי מגוי נמי אין הכי נמי גזירה משום גוי ראשון ועמוד ראשון ופירש רש"י גזירה משום גוי ראשון. אי שרית בגוי שהדליק מגוי משחשכה אתי לברוכי בגוי שהדליקו מבעוד יום ובאותו אור עצמו שלא ניתוסף משחשכה כגון שמברך עליו סמוך לחשכה מיד עכ"ל: ולפי זה אור של ישראל שהודלק בשבת בעבירה פשיטא שאין מברך עליו סמוך לחשכה דאור שלא שבת הוא אבל היכא דנתוסף משחשכה אפשר דמברכין עליו ולא גזרינן אטו קודם שנתוסף דלא גזרו אלא בשל גוי דשכיח להדליק בעבירה הוא: כתב הרב המגיד בפרק כ"ט (הכ"ו) דלדעת הרמב"ם (ברכות פ"ט ה"ט) שגורס דהא דתנן (ברכות נא:) אין מברכין לא על הנר ולא על הבשמים של גוים במסבה היא (שם נב:) משום דסתם מסבתן לעבודה זרה וכמו שכתבתי בסימן רצ"ז (מו: ד"ה ואין)</w:t>
      </w:r>
      <w:r>
        <w:rPr>
          <w:rStyle w:val="a9"/>
          <w:rFonts w:cs="Arial"/>
          <w:rtl/>
        </w:rPr>
        <w:footnoteReference w:id="1069"/>
      </w:r>
      <w:r>
        <w:rPr>
          <w:rFonts w:cs="Arial"/>
          <w:rtl/>
        </w:rPr>
        <w:t xml:space="preserve"> הא דשרינן בגוי שהדליק מישראל לברך עליו דוקא כשאין הגוי במסבה אבל אם הוא במסבה אסור מפני שהיא לעבודה זרה. ואיני יודע למה תלה הדבר בהרמב"ם דהא מאן דלא גריס כהרמב"ם מחמיר טפי כמו שנתבאר בסימן הנזכר (שם). ולדברי הכל במסבה מיהא אסור ושמא י"ל שרצה להכריע סברת הרמב"ם דלדידיה אתי הכל שפיר אבל למי שגורס (רי"ף שם לט) גירסא אחרת בשמים [מאי טעמא וכו'] אפילו שלא במסבה אסור ואם כן הוא הדין לנר והיכי שרי בגמרא לברך על נר שהדליק גוי מישראל: וכתב עוד הרב המגיד שם (הכ"ז) בשם הרמב"ן (חי' ברכות שם ד"ה וקשה) שישראל שהדליק מגוי אין מברכין עליו ביום הכפורים שאף ע"פ שבמוצאי שבת מברכין עליו כבר אמרו בגמרא (שם נג.) שעל תוספת ההיתר הוא מברך והוה ליה כאור היוצא מן העצים ומן האבנים (עי' פסחים נד.) אבל ביום הכפורים אין מברכין אלא על אור ששבת ממש או על אור שהודלק ממנו (פסחים שם) וכן נהגו במקומותינו להדליק [במוצאי יום הכפורים] מעששיות של בית הכנסת ונראה שזו היא כוונת רבינו שהזכיר אור ששבת ביום הכפורים בדוקא ואמר שאין מברכין אלא עליו עכ"ל</w:t>
      </w:r>
      <w:r>
        <w:rPr>
          <w:rStyle w:val="a9"/>
          <w:rFonts w:cs="Arial"/>
          <w:rtl/>
        </w:rPr>
        <w:footnoteReference w:id="1070"/>
      </w:r>
      <w:r>
        <w:rPr>
          <w:rFonts w:cs="Arial"/>
          <w:rtl/>
        </w:rPr>
        <w:t>:</w:t>
      </w:r>
    </w:p>
    <w:p w14:paraId="7211FB91"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6ECE383" w14:textId="77777777" w:rsidR="004B2E7C" w:rsidRDefault="004B2E7C" w:rsidP="00434A6A">
      <w:pPr>
        <w:rPr>
          <w:rFonts w:asciiTheme="minorBidi" w:hAnsiTheme="minorBidi"/>
          <w:rtl/>
        </w:rPr>
      </w:pPr>
      <w:r>
        <w:rPr>
          <w:rFonts w:asciiTheme="minorBidi" w:hAnsiTheme="minorBidi" w:cs="Arial"/>
          <w:rtl/>
        </w:rPr>
        <w:t xml:space="preserve">גוי שהדליק במו"ש מישראל, או ישראל מגוי, מברכין עליו. אבל גוי שהדליק מגוי, אין מברכין עליו. ובמוצאי יוה"כ אין מברכין על נר שהדליק ישראל מגוי (וע"ל סי' תרכ"ד סעיף ה'). </w:t>
      </w:r>
    </w:p>
    <w:p w14:paraId="38E0D98E" w14:textId="77777777" w:rsidR="004B2E7C" w:rsidRDefault="004B2E7C" w:rsidP="00434A6A">
      <w:pPr>
        <w:pStyle w:val="2"/>
        <w:rPr>
          <w:rtl/>
        </w:rPr>
      </w:pPr>
      <w:r>
        <w:rPr>
          <w:rtl/>
        </w:rPr>
        <w:t>סעיף ז</w:t>
      </w:r>
    </w:p>
    <w:p w14:paraId="2506E292" w14:textId="77777777" w:rsidR="004B2E7C" w:rsidRDefault="004B2E7C" w:rsidP="00434A6A">
      <w:pPr>
        <w:rPr>
          <w:rtl/>
        </w:rPr>
      </w:pPr>
      <w:r>
        <w:rPr>
          <w:rFonts w:cs="Arial"/>
          <w:rtl/>
        </w:rPr>
        <w:t>ז היה הולך חוץ לכרך וראה אור וכו'. ברייתא בפרק אלו דברים (נג.):</w:t>
      </w:r>
    </w:p>
    <w:p w14:paraId="142EC78B"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1A9E46E" w14:textId="77777777" w:rsidR="004B2E7C" w:rsidRDefault="004B2E7C" w:rsidP="00434A6A">
      <w:pPr>
        <w:rPr>
          <w:rFonts w:asciiTheme="minorBidi" w:hAnsiTheme="minorBidi"/>
          <w:rtl/>
        </w:rPr>
      </w:pPr>
      <w:r>
        <w:rPr>
          <w:rFonts w:asciiTheme="minorBidi" w:hAnsiTheme="minorBidi" w:cs="Arial"/>
          <w:rtl/>
        </w:rPr>
        <w:t xml:space="preserve">היה הולך חוץ לכרך וראה אור, אם רובן גוים, אין מברכין עליו. ואם רובן ישראל, או אפילו מחצה על מחצה, מברכין עליו. </w:t>
      </w:r>
    </w:p>
    <w:p w14:paraId="4DAD2DFF" w14:textId="77777777" w:rsidR="004B2E7C" w:rsidRDefault="004B2E7C" w:rsidP="00434A6A">
      <w:pPr>
        <w:pStyle w:val="2"/>
        <w:rPr>
          <w:rtl/>
        </w:rPr>
      </w:pPr>
      <w:r>
        <w:rPr>
          <w:rtl/>
        </w:rPr>
        <w:t>סעיף ח</w:t>
      </w:r>
    </w:p>
    <w:p w14:paraId="07CA67E8" w14:textId="77777777" w:rsidR="004B2E7C" w:rsidRDefault="004B2E7C" w:rsidP="00434A6A">
      <w:pPr>
        <w:rPr>
          <w:rtl/>
        </w:rPr>
      </w:pPr>
      <w:r>
        <w:rPr>
          <w:rFonts w:cs="Arial"/>
          <w:rtl/>
        </w:rPr>
        <w:t>ח מברכין על האור היוצא מן העצים וכו' אף על פי שאין מברכין עליו במוצאי יום הכפורים. פשוט בפרק מקום שנהגו (פסחים נד.) והביאו הרי"ף בפרק אלו דברים (לט סוע"ב) ופירש רש"י (פסחים נד. ד"ה באור היוצא מהעצים) טעמא לפי שנברא עכשיו אין מברכין עליו במוצאי יום הכפורים אבל במוצאי שבת מברכין שאף הוא תחלת בריית האור:</w:t>
      </w:r>
    </w:p>
    <w:p w14:paraId="7B00E1B4"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BDFBFF5" w14:textId="77777777" w:rsidR="004B2E7C" w:rsidRDefault="004B2E7C" w:rsidP="00434A6A">
      <w:pPr>
        <w:rPr>
          <w:rFonts w:asciiTheme="minorBidi" w:hAnsiTheme="minorBidi"/>
          <w:rtl/>
        </w:rPr>
      </w:pPr>
      <w:r>
        <w:rPr>
          <w:rFonts w:asciiTheme="minorBidi" w:hAnsiTheme="minorBidi" w:cs="Arial"/>
          <w:rtl/>
        </w:rPr>
        <w:t xml:space="preserve">אור היוצא מהעצים ומהאבנים מברכין עליו, אבל במוצאי יוה"כ אין מברכין עליו. </w:t>
      </w:r>
    </w:p>
    <w:p w14:paraId="01D406BB" w14:textId="77777777" w:rsidR="004B2E7C" w:rsidRDefault="004B2E7C" w:rsidP="00434A6A">
      <w:pPr>
        <w:pStyle w:val="2"/>
        <w:rPr>
          <w:rtl/>
        </w:rPr>
      </w:pPr>
      <w:r>
        <w:rPr>
          <w:rtl/>
        </w:rPr>
        <w:t>סעיף ט</w:t>
      </w:r>
    </w:p>
    <w:p w14:paraId="3E12D6A0" w14:textId="77777777" w:rsidR="004B2E7C" w:rsidRDefault="004B2E7C" w:rsidP="00434A6A">
      <w:pPr>
        <w:rPr>
          <w:rtl/>
        </w:rPr>
      </w:pPr>
      <w:r>
        <w:rPr>
          <w:rFonts w:cs="Arial"/>
          <w:rtl/>
        </w:rPr>
        <w:t>ט גחלים שבוערות כל כך וכו'. פשוט בפרק אלו דברים (נג:):</w:t>
      </w:r>
    </w:p>
    <w:p w14:paraId="73C095C9" w14:textId="77777777" w:rsidR="004B2E7C" w:rsidRDefault="004B2E7C" w:rsidP="00434A6A">
      <w:pPr>
        <w:rPr>
          <w:rtl/>
        </w:rPr>
      </w:pPr>
      <w:r>
        <w:rPr>
          <w:rFonts w:cs="Arial"/>
          <w:rtl/>
        </w:rPr>
        <w:t>ומה שכתב והוא שעשויין להאיר. כן כתב שם הרא"ש (סי' ג) והוא נלמד מדין אור של מתים (שם נא:) שיבא בסמוך:</w:t>
      </w:r>
    </w:p>
    <w:p w14:paraId="3E3F32CF"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98D1388" w14:textId="77777777" w:rsidR="004B2E7C" w:rsidRDefault="004B2E7C" w:rsidP="00434A6A">
      <w:pPr>
        <w:rPr>
          <w:rFonts w:asciiTheme="minorBidi" w:hAnsiTheme="minorBidi"/>
          <w:rtl/>
        </w:rPr>
      </w:pPr>
      <w:r>
        <w:rPr>
          <w:rFonts w:asciiTheme="minorBidi" w:hAnsiTheme="minorBidi" w:cs="Arial"/>
          <w:rtl/>
        </w:rPr>
        <w:t xml:space="preserve">גחלים הבוערות כ"כ שאילו מכניס קיסם ביניהם הוא נדלק, מברכין עליהם, והוא שעשוים להאיר. </w:t>
      </w:r>
    </w:p>
    <w:p w14:paraId="54330433" w14:textId="77777777" w:rsidR="004B2E7C" w:rsidRDefault="004B2E7C" w:rsidP="00434A6A">
      <w:pPr>
        <w:pStyle w:val="2"/>
        <w:rPr>
          <w:rtl/>
        </w:rPr>
      </w:pPr>
      <w:r>
        <w:rPr>
          <w:rtl/>
        </w:rPr>
        <w:t>סעיף י</w:t>
      </w:r>
    </w:p>
    <w:p w14:paraId="4434F06B" w14:textId="77777777" w:rsidR="004B2E7C" w:rsidRDefault="004B2E7C" w:rsidP="00434A6A">
      <w:pPr>
        <w:rPr>
          <w:rtl/>
        </w:rPr>
      </w:pPr>
      <w:r>
        <w:rPr>
          <w:rFonts w:cs="Arial"/>
          <w:rtl/>
        </w:rPr>
        <w:t>י אור של כבשן וכו'. גם זה שם (נג.) ודברי רבינו בה כפירוש רש"י (שם ד"ה בתחלה וד"ה בסוף) והרשב"א (שם ד"ה תני) כתב שרבינו האי (רי"ץ גיאות ח"א עמ' יז) פירש בתחלה עד שלא אחז האור ברוב העצים אין מברכין עליו משום דסליק קוטרא ולא צאיל נהורא אבל לבסוף צאית נורא וצאיל נהורא:</w:t>
      </w:r>
    </w:p>
    <w:p w14:paraId="3DF8152F"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1517D85" w14:textId="77777777" w:rsidR="004B2E7C" w:rsidRDefault="004B2E7C" w:rsidP="00434A6A">
      <w:pPr>
        <w:rPr>
          <w:rFonts w:asciiTheme="minorBidi" w:hAnsiTheme="minorBidi"/>
          <w:rtl/>
        </w:rPr>
      </w:pPr>
      <w:r>
        <w:rPr>
          <w:rFonts w:asciiTheme="minorBidi" w:hAnsiTheme="minorBidi" w:cs="Arial"/>
          <w:rtl/>
        </w:rPr>
        <w:t xml:space="preserve">אור של כבשן בתחלת שריפת הלבנים, אין מברכין עליו שאז אינו עשוי להאיר, ואחר שנשרפו אז עשוי להאיר ומברכין עליו. </w:t>
      </w:r>
    </w:p>
    <w:p w14:paraId="5E49422A" w14:textId="77777777" w:rsidR="004B2E7C" w:rsidRDefault="004B2E7C" w:rsidP="00434A6A">
      <w:pPr>
        <w:pStyle w:val="2"/>
        <w:rPr>
          <w:rtl/>
        </w:rPr>
      </w:pPr>
      <w:r>
        <w:rPr>
          <w:rtl/>
        </w:rPr>
        <w:t>סעיף יא</w:t>
      </w:r>
    </w:p>
    <w:p w14:paraId="3B7C1FFF" w14:textId="77777777" w:rsidR="004B2E7C" w:rsidRDefault="004B2E7C" w:rsidP="00434A6A">
      <w:pPr>
        <w:rPr>
          <w:rtl/>
        </w:rPr>
      </w:pPr>
      <w:r>
        <w:rPr>
          <w:rFonts w:cs="Arial"/>
          <w:rtl/>
        </w:rPr>
        <w:t>יא נר של בית הכנסת. שם תני חדא נר של בית הכנסת מברכין עליו ותני אידך אין מברכין עליו לא קשיא הא דאיכא אדם חשוב הא דליכא אדם חשוב והרמב"ם בפרק כ"ט (הכ"ו) מפרש כדברי יש מפרשים:</w:t>
      </w:r>
    </w:p>
    <w:p w14:paraId="23E45234" w14:textId="77777777" w:rsidR="004B2E7C" w:rsidRDefault="004B2E7C" w:rsidP="00434A6A">
      <w:pPr>
        <w:rPr>
          <w:rtl/>
        </w:rPr>
      </w:pPr>
      <w:r>
        <w:rPr>
          <w:rFonts w:cs="Arial"/>
          <w:rtl/>
        </w:rPr>
        <w:t>ומה שכתב ואם יש שמש שאוכל שם וכו' והוא שלא תהיה לבנה זורחת וכו'. גם זה שם וכתב הרב המגיד בפרק כ"ט (שם) ובארצותינו שאין החזן דר שם נהגו להדליק נר מיוחד כדי להבדיל עליו:</w:t>
      </w:r>
    </w:p>
    <w:p w14:paraId="09326332"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D142185" w14:textId="77777777" w:rsidR="004B2E7C" w:rsidRDefault="004B2E7C" w:rsidP="00434A6A">
      <w:pPr>
        <w:rPr>
          <w:rFonts w:asciiTheme="minorBidi" w:hAnsiTheme="minorBidi"/>
          <w:rtl/>
        </w:rPr>
      </w:pPr>
      <w:r>
        <w:rPr>
          <w:rFonts w:asciiTheme="minorBidi" w:hAnsiTheme="minorBidi" w:cs="Arial"/>
          <w:rtl/>
        </w:rPr>
        <w:t xml:space="preserve">נר בהכ"נ, אם יש שם אדם חשוב מברכין עליו. ואם לאו, אין מברכין עליו. וי"א בהיפך. ואם יש שמש שאוכל שם מברכין עליו, והוא שלא תהא לבנה זורחת שם. </w:t>
      </w:r>
    </w:p>
    <w:p w14:paraId="3856D989" w14:textId="77777777" w:rsidR="004B2E7C" w:rsidRDefault="004B2E7C" w:rsidP="00434A6A">
      <w:pPr>
        <w:pStyle w:val="2"/>
        <w:rPr>
          <w:rtl/>
        </w:rPr>
      </w:pPr>
      <w:r>
        <w:rPr>
          <w:rtl/>
        </w:rPr>
        <w:t>סעיף יב</w:t>
      </w:r>
    </w:p>
    <w:p w14:paraId="76E43E19" w14:textId="77777777" w:rsidR="004B2E7C" w:rsidRDefault="004B2E7C" w:rsidP="00434A6A">
      <w:pPr>
        <w:rPr>
          <w:rtl/>
        </w:rPr>
      </w:pPr>
      <w:r>
        <w:rPr>
          <w:rFonts w:cs="Arial"/>
          <w:rtl/>
        </w:rPr>
        <w:t>יב אין מברכין על האור של מתים. משנה שם (נא:):</w:t>
      </w:r>
    </w:p>
    <w:p w14:paraId="2D2F436A" w14:textId="77777777" w:rsidR="004B2E7C" w:rsidRDefault="004B2E7C" w:rsidP="00434A6A">
      <w:pPr>
        <w:rPr>
          <w:rtl/>
        </w:rPr>
      </w:pPr>
      <w:r>
        <w:rPr>
          <w:rFonts w:cs="Arial"/>
          <w:rtl/>
        </w:rPr>
        <w:t>הלכך מת שהיו מוליכין לפניו נר אפילו הוציאוהו ביום וכו'. גם זה שם (נג.) מימרא דרבי יהודה:</w:t>
      </w:r>
    </w:p>
    <w:p w14:paraId="0939F694"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FB540AB" w14:textId="77777777" w:rsidR="004B2E7C" w:rsidRDefault="004B2E7C" w:rsidP="00434A6A">
      <w:pPr>
        <w:rPr>
          <w:rFonts w:asciiTheme="minorBidi" w:hAnsiTheme="minorBidi"/>
          <w:rtl/>
        </w:rPr>
      </w:pPr>
      <w:r>
        <w:rPr>
          <w:rFonts w:asciiTheme="minorBidi" w:hAnsiTheme="minorBidi" w:cs="Arial"/>
          <w:rtl/>
        </w:rPr>
        <w:t xml:space="preserve">אין מברכין על נר של מתים, שאינו עשוי להאיר, הילכך מת שהיו מוליכין לפניו נר אילו הוציאוהו ביום והוציאוהו בלילה בנר, אין מברכין עליו. </w:t>
      </w:r>
    </w:p>
    <w:p w14:paraId="377E9CBD" w14:textId="77777777" w:rsidR="004B2E7C" w:rsidRDefault="004B2E7C" w:rsidP="00434A6A">
      <w:pPr>
        <w:pStyle w:val="2"/>
        <w:rPr>
          <w:rtl/>
        </w:rPr>
      </w:pPr>
      <w:r>
        <w:rPr>
          <w:rtl/>
        </w:rPr>
        <w:t>סעיף יג</w:t>
      </w:r>
    </w:p>
    <w:p w14:paraId="0F4FD67B" w14:textId="77777777" w:rsidR="004B2E7C" w:rsidRDefault="004B2E7C" w:rsidP="00434A6A">
      <w:pPr>
        <w:rPr>
          <w:rtl/>
        </w:rPr>
      </w:pPr>
      <w:r>
        <w:rPr>
          <w:rFonts w:cs="Arial"/>
          <w:rtl/>
        </w:rPr>
        <w:t>יג וסומא כתב אבי העזרי (מס' פסחים סי' תקכג ומס' מגילה סו"ס תקפ"ז) שאין לו לברך וכו'. כן כתוב בהגהות פרק כ"ט (הכ"ה אות י) ובמרדכי פרק ב' דמגילה (סי' תשצט) רבינו יהודה ב"ר קלונימוס היה מסופק אם סומא מברך בורא מאורי האש כיון דקיימא לן כרבנן דאמרי (מגילה כד:) סומא פורס על שמע כיון דאית ליה הנאה מיניה ולרבי אבי העזרי נראה דלא מברך דהתם לאו בהנאה גרידא תליא מילתא כדתנן פרק אלו דברים (נא:) אין מברכין על הנר עד שיאותו לאורו וכן תניא (שם נג:) אין מברכין עד שיראה שלהבת וישתמש לאורה אבל בפורס על שמע בהנאה תליא מילתא ואפילו מאחריני כדמייתי (שם) מוהיית ממשש באפלה (דברים כח כט) וכו': וכתב הרשב"א בתשובה (ח"א סי' תשלט וח"ה סי' ריג) בשם הגאונים (רי"ץ גיאות ח"א עמ' טז) סומא אינו צריך שיבדיל ובתפלה לבד די לו עכ"ל. ונראה הטעם דכיון דאינו יכול לברך בורא מאורי האש אינו צריך להבדיל וכיון שהבדיל בתפלה דיו. וכתוב בארחות חיים (הל' הבדלה סעי"ב) שאפילו מי שסובר שמברך סומא על הנר הני מילי במוצאי שבת אבל במוצאי יום הכפורים לא:</w:t>
      </w:r>
    </w:p>
    <w:p w14:paraId="04E3DBAB"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46EDE54" w14:textId="77777777" w:rsidR="004B2E7C" w:rsidRDefault="004B2E7C" w:rsidP="00434A6A">
      <w:pPr>
        <w:rPr>
          <w:rFonts w:asciiTheme="minorBidi" w:hAnsiTheme="minorBidi"/>
          <w:rtl/>
        </w:rPr>
      </w:pPr>
      <w:r>
        <w:rPr>
          <w:rFonts w:asciiTheme="minorBidi" w:hAnsiTheme="minorBidi" w:cs="Arial"/>
          <w:rtl/>
        </w:rPr>
        <w:t xml:space="preserve">סומא אינו מברך. </w:t>
      </w:r>
    </w:p>
    <w:p w14:paraId="1C5400A1" w14:textId="77777777" w:rsidR="004B2E7C" w:rsidRDefault="004B2E7C" w:rsidP="00434A6A">
      <w:pPr>
        <w:pStyle w:val="2"/>
        <w:rPr>
          <w:rtl/>
        </w:rPr>
      </w:pPr>
      <w:r>
        <w:rPr>
          <w:rtl/>
        </w:rPr>
        <w:t>סעיף יד</w:t>
      </w:r>
    </w:p>
    <w:p w14:paraId="5DA8D83C" w14:textId="77777777" w:rsidR="004B2E7C" w:rsidRDefault="004B2E7C" w:rsidP="00434A6A">
      <w:pPr>
        <w:rPr>
          <w:rtl/>
        </w:rPr>
      </w:pPr>
      <w:r>
        <w:rPr>
          <w:rFonts w:cs="Arial"/>
          <w:rtl/>
        </w:rPr>
        <w:t>יד היו יושבין בבית המדרש והביאו לפניהם אור וכו'. בפרק אלו דברים (נג.) איפליגו בית שמאי ובית הלל במילתא והלכה כבית הלל (עי' עירובין ו:) דאמרי אחד מברך לכולם משום דכתיב (משלי יד כח) ברב עם הדרת מלך: כתוב בכל בו (סי' מא ב:) פורים שחל להיות במוצאי שבת שקורין מגלה לאור הנר מברך בורא מאורי האש קודם עכ"ל ונ"ל דסבירא ליה דאף על גב דאסיקנא בפרק מקום שנהגו (פסחים נד.) דהלכה כרבי יהודה דאמר סודרן על הכוס הני מילי כשאינו משתמש לאור הנר אבל כשמשתמש לאורו מברך מיד: ורבינו ירוחם כתב (בח"ב) [בחלק כ'] (ני"ב קב ע"ד) בשם המפרשים שקודם שיאמר בורא מאורי האש אסור לעשות מלאכה ויחזירנה אחר כך לומר על הכוס. ומיהו כתב אחר זה דהני מילי במלאכה כגון אורג או כותב וכיוצא בו אבל להדליק נר או להוציא מרשות לרשות אינו צריך כל זה עכ"ל ואף על גב דלא ידענא מנא ליה הא וכמו שאכתוב בסימן שאחר זה בס"ד (מה: ד"ה כתב רבינו ירוחם). מכל מקום לקרות מגלה לאור הנר דלאו מלאכה היא כלל נראה דבהבדלה בתפלה סגי:</w:t>
      </w:r>
    </w:p>
    <w:p w14:paraId="317C5508"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9D6E894" w14:textId="77777777" w:rsidR="004B2E7C" w:rsidRDefault="004B2E7C" w:rsidP="00434A6A">
      <w:pPr>
        <w:rPr>
          <w:rFonts w:asciiTheme="minorBidi" w:hAnsiTheme="minorBidi"/>
          <w:rtl/>
        </w:rPr>
      </w:pPr>
      <w:r>
        <w:rPr>
          <w:rFonts w:asciiTheme="minorBidi" w:hAnsiTheme="minorBidi" w:cs="Arial"/>
          <w:rtl/>
        </w:rPr>
        <w:t xml:space="preserve">היו יושבים בבה"מ והביאו להם אור, אחד מברך לכולם. </w:t>
      </w:r>
    </w:p>
    <w:p w14:paraId="14A532FC" w14:textId="77777777" w:rsidR="004B2E7C" w:rsidRDefault="004B2E7C" w:rsidP="00434A6A">
      <w:pPr>
        <w:pStyle w:val="2"/>
        <w:rPr>
          <w:rtl/>
        </w:rPr>
      </w:pPr>
      <w:r>
        <w:rPr>
          <w:rtl/>
        </w:rPr>
        <w:t>סעיף טו</w:t>
      </w:r>
    </w:p>
    <w:p w14:paraId="20A1B063" w14:textId="77777777" w:rsidR="004B2E7C" w:rsidRDefault="004B2E7C" w:rsidP="00434A6A">
      <w:pPr>
        <w:rPr>
          <w:rtl/>
        </w:rPr>
      </w:pPr>
      <w:r>
        <w:rPr>
          <w:rFonts w:cs="Arial"/>
          <w:rtl/>
        </w:rPr>
        <w:t>טו גרסינן בירושלמי דברכות פרק אלו דברים (ה"ו) נר בתוך חיקו או בתוך פנס או בתוך ספקלריא רואה את השלהבת ואינו משתמש לאורה משתמש לאורה ואינו רואה את השלהבת לעולם אין מברכין עליה עד שיהא רואה את השלהבת ומשתמש לאורה: וז"ל ארחות חיים (הל' הבדלה סי' י) המברך על העששית ועל הפנס צריך להוציא האור משם עד שיראה השלהבת. וכתב הרשב"א (ברכות נג: ד"ה היתה) דעששית הוא כרואה השלהבת אבל פנס אינו רואה את השלהבת עכ"ל ארחות חיים. ותמהני דאם כן פליג הרשב"א על הירושלמי דהא ספקלריא משמע דהיינו עששית:</w:t>
      </w:r>
    </w:p>
    <w:p w14:paraId="75F87A56"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87A342B" w14:textId="77777777" w:rsidR="004B2E7C" w:rsidRDefault="004B2E7C" w:rsidP="00434A6A">
      <w:pPr>
        <w:rPr>
          <w:rFonts w:asciiTheme="minorBidi" w:hAnsiTheme="minorBidi"/>
          <w:rtl/>
        </w:rPr>
      </w:pPr>
      <w:r>
        <w:rPr>
          <w:rFonts w:asciiTheme="minorBidi" w:hAnsiTheme="minorBidi" w:cs="Arial"/>
          <w:rtl/>
        </w:rPr>
        <w:t>נר בתוך חיקו או בתוך פנס (פי' כלי שנותן בו הנר שלא תכבה) או בתוך אספקלריא, רואה את השלהבת ואינו משתמש לאורה, משתמש לאורה ואינו רואה את השלהבת, אין מברכין עליה עד שיהא רואה את השלהבת ומשתמש לאורה.</w:t>
      </w:r>
    </w:p>
    <w:p w14:paraId="63304A6F" w14:textId="77777777" w:rsidR="004B2E7C" w:rsidRDefault="004B2E7C" w:rsidP="00434A6A">
      <w:pPr>
        <w:rPr>
          <w:rFonts w:asciiTheme="minorBidi" w:hAnsiTheme="minorBidi"/>
          <w:rtl/>
        </w:rPr>
      </w:pPr>
    </w:p>
    <w:p w14:paraId="4EA464FB" w14:textId="77777777" w:rsidR="004B2E7C" w:rsidRDefault="004B2E7C" w:rsidP="00434A6A">
      <w:pPr>
        <w:rPr>
          <w:rFonts w:asciiTheme="minorBidi" w:hAnsiTheme="minorBidi"/>
          <w:rtl/>
        </w:rPr>
      </w:pPr>
    </w:p>
    <w:p w14:paraId="13C2D72A"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68"/>
          <w:footnotePr>
            <w:numRestart w:val="eachSect"/>
          </w:footnotePr>
          <w:pgSz w:w="11906" w:h="16838"/>
          <w:pgMar w:top="720" w:right="1134" w:bottom="720" w:left="1134" w:header="0" w:footer="0" w:gutter="0"/>
          <w:cols w:space="720"/>
          <w:bidi/>
          <w:rtlGutter/>
        </w:sectPr>
      </w:pPr>
    </w:p>
    <w:p w14:paraId="34C521E7" w14:textId="77777777" w:rsidR="004B2E7C" w:rsidRDefault="004B2E7C" w:rsidP="00434A6A">
      <w:pPr>
        <w:pStyle w:val="1"/>
        <w:rPr>
          <w:rtl/>
        </w:rPr>
      </w:pPr>
      <w:r>
        <w:rPr>
          <w:rtl/>
        </w:rPr>
        <w:t xml:space="preserve">סימן רצט: שלא לאכול ולא לעשות שום מלאכה קודם שיבדיל, ובו י' סעיפים. </w:t>
      </w:r>
    </w:p>
    <w:p w14:paraId="09B264E0" w14:textId="77777777" w:rsidR="004B2E7C" w:rsidRDefault="004B2E7C" w:rsidP="00434A6A">
      <w:pPr>
        <w:pStyle w:val="2"/>
        <w:rPr>
          <w:rtl/>
        </w:rPr>
      </w:pPr>
      <w:r>
        <w:rPr>
          <w:rtl/>
        </w:rPr>
        <w:t>סעיף א</w:t>
      </w:r>
    </w:p>
    <w:p w14:paraId="1BD4A391" w14:textId="77777777" w:rsidR="004B2E7C" w:rsidRDefault="004B2E7C" w:rsidP="00FF2D21">
      <w:pPr>
        <w:pStyle w:val="aa"/>
        <w:numPr>
          <w:ilvl w:val="0"/>
          <w:numId w:val="126"/>
        </w:numPr>
        <w:rPr>
          <w:rtl/>
        </w:rPr>
      </w:pPr>
      <w:r>
        <w:rPr>
          <w:rFonts w:cs="Arial"/>
          <w:rtl/>
        </w:rPr>
        <w:t>טור- נוסח הבדלה בא"י אמ"ה המבדיל בין קודש לחול ובין אור לחושך ובין ישראל לעמים בין יום השביעי לששת ימי המעשה</w:t>
      </w:r>
      <w:r>
        <w:rPr>
          <w:rStyle w:val="a9"/>
          <w:rFonts w:cs="Arial"/>
          <w:rtl/>
        </w:rPr>
        <w:footnoteReference w:id="1071"/>
      </w:r>
      <w:r>
        <w:rPr>
          <w:rFonts w:cs="Arial"/>
          <w:rtl/>
        </w:rPr>
        <w:t xml:space="preserve"> בא"י המבדיל בין קודש לחול ירוש' צ"ל אחר ההבדלה החל עלינו את הימים הבאי' לקראתנו לשלום ותשמיענו בהם ששון ושמחה והביננו ולמדנו והעונין אמן צריך שיתנו עיניהם בכוס ובנר. סדר ר"ע מביאין לו כוס ואבוקה של אור ומברך בפה"ג ובורא מאורי האש ומבדיל בין קודש לחול ואומר השבעות ונח מצא חן בעיני ה' ויהי דויד בכל דרכיו משכיל וה' עמו ואומר שיר למעלות אשא עיני אל ההרים עד מעתה ועד עולם בראשית ברא אלהים וגו' ה' צבאות עמנו וגו' אלהינו ואלהי אבותינו החל עלינו את ששת ימי המעשה הבאים לקראתינו לשלום חשוכים מכל חטא ופשע ומנוקים מכל אשמה ועון ורשע ומדובקים בתלמוד תורתך וחננו דעה ובינה והשכל מאתך ותשמיענו בהם ששון ושמחה ולא תעלה קנאתינו על לב אדם ולא קנאת אדם תעלה על לבנו וכל היועץ עלינו ועל עמך ישראל עצה רעה בטלו ובטל עצתו כדכתיב ה' הפיר עצת גוים עוצו עצה ותופר וגו' רבות מחשבות בלב איש ועצת ה' היא תקום כי ה' צבאות יעץ ומי יפר וכל היועץ עלינו עצה טובה קיימו וקיים עצתו כאמור וחנותי את אשר אחון ורחמתי את אשר ארחם ברוך המפר עצות רעות מעלינו ומעל כל עמו ישראל ומקיים עלינו עצתו ועצתם של צדיקים לטובה ברוך שלא עזבנו כן ה' אלהינו אל יעזבנו ואל יטשנו ואל יכלימנו ואל יחפירנו לא בעה"ז ולא בעה"ב ועם הצדיקים נפטר בשלום הנה אל ישועתי אבטח ולא אפחד כי עזי וזמרת יה ה' ויהי לי לישועה ושותה מלא לוגמיו ומטעים בני ביתו ורב סעדיה כתב אין צריכין בני ביתו לטעום מכוס של ברכה וכתב עוד רב עמרם אנו נוהגין להטיל מים בכוס של ברכה לאחר ששותין אותו ושוטפין אותו ושותהו ושמענו מרבותינו שמצוה לעשות כן לפי ששירי מצות מעכבין הפורענות ומה שישתייר מן המים מטילין על ידינו ומעבירים אותו על עינינו לחבב המצות אסור לאכול שום דבר או אפי' לשתות יין או שאר משקין משתחשך עד שיבדיל בין בלילה בין למחרתו ומים מותר לשתות אבל אם היה יושב ואוכל מבעוד יום וחשכה לו אין צריך להפסיק ואם היה יושב ושותה וחשכה לו צריך להפסיק טעה ואכל קודם שהבדיל יכול להבדיל אחר כך שכח ולא הבדיל במוצ"ש כתבו הגאונים שאינו יכול להבדיל אלא כל יום ראשון ולא יותר וכן כתב הר"י גיאות והתוס' כתבו שמבדיל עד סוף יום הג' וכ"כ רב עמרם ודוקא בפה"ג ומבדיל בין קודש לחול אבל על הבשמים והאש אינו מברך אלא במוצ"ש כתב בה"ג ה"מ דמבדיל ביום ראשון דלא טעם מידי אבל טעם מידי לא ואף על גב דקי"ל טעם מבדיל ה"מ היכא דאבדיל לאורתא אבל אי מבדיל למחר אי טעים מידי אינו מבדיל ואיני יודע מה יש בין לילה ליום לענין אי טעם מבדיל:</w:t>
      </w:r>
    </w:p>
    <w:p w14:paraId="4793C260" w14:textId="77777777" w:rsidR="004B2E7C" w:rsidRDefault="004B2E7C" w:rsidP="00FF2D21">
      <w:pPr>
        <w:pStyle w:val="aa"/>
        <w:numPr>
          <w:ilvl w:val="0"/>
          <w:numId w:val="126"/>
        </w:numPr>
        <w:rPr>
          <w:rtl/>
        </w:rPr>
      </w:pPr>
      <w:r>
        <w:rPr>
          <w:rFonts w:cs="Arial"/>
          <w:rtl/>
        </w:rPr>
        <w:t>המבדיל על היין על שלחנו פוטר היין שבתוך המזון שאין צריך לברך עליו וגם אין צריך לברך ברכה אחרונה על כוס של הבדלה ואם אין לו אלא כוס אחד וסבור שיביאו לו יין יותר והבדיל על אותו כוס ואח"כ לא הביאו לו יותר ובירך ברהמ"ז בלא כוס צריך לברך ברכה אחרונה על הכוס של הבדלה ואפילו לסברת א"א ז"ל שכתבתי למעלה (סי' רע"א) גבי קידוש שא"צ לברך אחר כוס של קידוש הבדלה שאני שאינה צורך סעודה וכתב הר"מ מרוטנבורק שצריך ליזהר שלא יביא הלחם לשלחן עד אחר הבדלה ואם הביא פורס עליו מפה ומכסנו לפי שהוא מוקדם בפסוק וצריך להקדימו אם לא יכסנו:</w:t>
      </w:r>
    </w:p>
    <w:p w14:paraId="0A94A868" w14:textId="77777777" w:rsidR="004B2E7C" w:rsidRDefault="004B2E7C" w:rsidP="00FF2D21">
      <w:pPr>
        <w:pStyle w:val="aa"/>
        <w:numPr>
          <w:ilvl w:val="0"/>
          <w:numId w:val="126"/>
        </w:numPr>
        <w:rPr>
          <w:rtl/>
        </w:rPr>
      </w:pPr>
      <w:r>
        <w:rPr>
          <w:rFonts w:cs="Arial"/>
          <w:rtl/>
        </w:rPr>
        <w:t>אסור לעשות שום מלאכה קודם שיבדיל ומיהו אפילו לא אמר אלא בא"י אמ"ה המבדיל בין קודש לחול שרי וכתב רב עמרם דוקא אם רוצה לעשות מלאכה קודם תפלה אבל אחר תפלה א"צ לברך אף על פי שלא הבדיל על כוס וכן פירש"י ופירש עוד אפי' אמר המבדיל בין קודש לחול בלא ברכה שרי אבל מלשון א"א ז"ל משמע אף על פי שמבדיל בתפלה אסור במלאכה עד שיבדיל אפילו בלא כוס ויאמר בא"י אמ"ה המבדיל בין קודש לחול שצריך לומר הזכרת השם ומלכות וכן כתב בה"ג שצריך בה הזכרת שם ומלכות גרסינן בפרק מקום שנהגו העושה מלאכה במוצאי שבתות וימים טובים אינו רואה סי' ברכה ודוקא קודם הבדלה קאמר כדאיתא בירושלמי הני נשי דנהיגי דלא למעבד עבידתא בריש ירחא מנהגא באפוקי שבתא לא מנהגא עד דתתפני סדרא פי' עד שישלימו סדר התפלה מנהגא יש נוהגין לומר בכל מוצאי שבת כל הפסוקים שמוזכר בהם אליהו ואומרים שהוא טוב לשכחה ויהיו דרכיו מצליחין בכל השבוע:</w:t>
      </w:r>
    </w:p>
    <w:p w14:paraId="040D54DC" w14:textId="77777777" w:rsidR="004B2E7C" w:rsidRDefault="004B2E7C" w:rsidP="00434A6A">
      <w:pPr>
        <w:rPr>
          <w:rtl/>
        </w:rPr>
      </w:pPr>
      <w:r>
        <w:rPr>
          <w:rFonts w:cs="Arial"/>
          <w:rtl/>
        </w:rPr>
        <w:t>נוסח ההבדלה. בפרק ערבי פסחים (קג:):</w:t>
      </w:r>
    </w:p>
    <w:p w14:paraId="0E7D1C72" w14:textId="77777777" w:rsidR="004B2E7C" w:rsidRDefault="004B2E7C" w:rsidP="00434A6A">
      <w:pPr>
        <w:rPr>
          <w:rtl/>
        </w:rPr>
      </w:pPr>
      <w:r>
        <w:rPr>
          <w:rFonts w:cs="Arial"/>
          <w:rtl/>
        </w:rPr>
        <w:t>ירושלמי (ברכות פ"ה ה"ב) צריך לומר אחר הבדלה וכו' ורב סעדיה (סדור עמ' קכה, רי"ץ גיאות ח"א עמ' 10) כתב אין צריכין בני ביתו לטעום וכו'. כן כתוב בשבלי הלקט שהמבדיל רגיל לשתותו כולו:</w:t>
      </w:r>
    </w:p>
    <w:p w14:paraId="70B8EE71" w14:textId="77777777" w:rsidR="004B2E7C" w:rsidRDefault="004B2E7C" w:rsidP="00434A6A">
      <w:pPr>
        <w:rPr>
          <w:rtl/>
        </w:rPr>
      </w:pPr>
      <w:r>
        <w:rPr>
          <w:rFonts w:cs="Arial"/>
          <w:rtl/>
        </w:rPr>
        <w:t>וכתב עוד רב עמרם (סדור ח"ב סי' לט רי"ץ גיאות ח"א סוף עמ' 16) אנו נוהגין להטיל מים בכוס של ברכה וכו'. כן כתב המרדכי במסכת יומא (סי' תשכג) בשם תשובות הגאונים (חמדה גנוזה סו"ס צג):</w:t>
      </w:r>
    </w:p>
    <w:p w14:paraId="01A06BA0" w14:textId="77777777" w:rsidR="004B2E7C" w:rsidRDefault="004B2E7C" w:rsidP="00434A6A">
      <w:pPr>
        <w:rPr>
          <w:rtl/>
        </w:rPr>
      </w:pPr>
    </w:p>
    <w:p w14:paraId="024D954C" w14:textId="77777777" w:rsidR="004B2E7C" w:rsidRDefault="004B2E7C" w:rsidP="00434A6A">
      <w:pPr>
        <w:rPr>
          <w:rtl/>
        </w:rPr>
      </w:pPr>
      <w:r>
        <w:rPr>
          <w:rFonts w:cs="Arial"/>
          <w:rtl/>
        </w:rPr>
        <w:t>א אסור לאכול שום דבר וכו'. [בפרק] ערבי פסחים (קה.) כל הטועם כלום קודם שיבדיל מיתתו באסכרה:</w:t>
      </w:r>
    </w:p>
    <w:p w14:paraId="7565329D" w14:textId="77777777" w:rsidR="004B2E7C" w:rsidRDefault="004B2E7C" w:rsidP="00434A6A">
      <w:pPr>
        <w:rPr>
          <w:rtl/>
        </w:rPr>
      </w:pPr>
      <w:r>
        <w:rPr>
          <w:rFonts w:cs="Arial"/>
          <w:rtl/>
        </w:rPr>
        <w:t>ומה שכתב או אפילו לשתות יין וכו'. פשוט שם:</w:t>
      </w:r>
    </w:p>
    <w:p w14:paraId="4653AA9B" w14:textId="77777777" w:rsidR="004B2E7C" w:rsidRDefault="004B2E7C" w:rsidP="00434A6A">
      <w:pPr>
        <w:rPr>
          <w:rtl/>
        </w:rPr>
      </w:pPr>
      <w:r>
        <w:rPr>
          <w:rFonts w:cs="Arial"/>
          <w:rtl/>
        </w:rPr>
        <w:t>ומה שכתב ומים מותר לשתות. פשוט שם ודלא כרב הונא דאסר לשתות מים והכי אמרינן תו התם רבנן דבי רב אשי לא קפדי אמיא וכן פסקו הפוסקים (רי"ף כא:, רמב"ם פכ"ט ה"ה, רא"ש סי' יב): ואם אין לו כוס של יין להבדיל עליו אם מותר לטעום בלא הבדלה נתבאר בסימן רצ"ו:</w:t>
      </w:r>
    </w:p>
    <w:p w14:paraId="12C4C751" w14:textId="77777777" w:rsidR="004B2E7C" w:rsidRDefault="004B2E7C" w:rsidP="00434A6A">
      <w:pPr>
        <w:rPr>
          <w:rtl/>
        </w:rPr>
      </w:pPr>
      <w:r>
        <w:rPr>
          <w:rFonts w:cs="Arial"/>
          <w:rtl/>
        </w:rPr>
        <w:t>אבל אם היה יושב ואוכל מבעוד יום וחשכה לו וכו'. שם שבת אינה קובעת להבדלה והני מילי לענין מפסק דלא מפסקינן אבל אתחולי לא מתחילינן ומיפסק נמי לא אמרן אלא באכילה אבל בשתייה לא ושתייה נמי לא אמרן אלא בחמרא ושכרא אבל במיא לית לן בה ופירש רש"י והני מילי. דלהבדלה אינה קובעת לאפסוקי סעודתא אבל אתחולי לא מתחילין משחשכה עד שיבדיל. אבל לשתיה. לאו דבר חשוב הוא ומפסקי: ונראה מדבריו דהא דמפסיק לשתיה היינו בשלא היה קבוע אלא לשתיה אבל אם היה קבוע לאכילה שאינו צריך להפסיק שותה בתוך סעודתו ואינו צריך להפסיק משתיה וכתב סמ"ג במצות עשה סימן (נ"ט) [כ"ט] (קטו ע"ד) שהרי"ף (פסחים כא:) מפרש שמועה זו בספק חשכה אבל ודאי חשכה פורס מפה ומבדיל וגומר סעודתו והרא"ש בפרק ערבי פסחים (סי' יב) כתב כן בשם בעל העיטור (ח"ב הל' מצה ומרור קלב.) ודחה דבריו והעלה דאפילו חשכה ודאי אינו מפסיק אבל מהר"י קולון בשורש צ"ו (ענף ב) פסק כדברי הרי"ף וסמ"ג:</w:t>
      </w:r>
    </w:p>
    <w:p w14:paraId="221F1B16"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E5ED85C" w14:textId="77777777" w:rsidR="004B2E7C" w:rsidRDefault="004B2E7C" w:rsidP="00434A6A">
      <w:pPr>
        <w:rPr>
          <w:rFonts w:asciiTheme="minorBidi" w:hAnsiTheme="minorBidi"/>
          <w:rtl/>
        </w:rPr>
      </w:pPr>
      <w:r>
        <w:rPr>
          <w:rFonts w:asciiTheme="minorBidi" w:hAnsiTheme="minorBidi" w:cs="Arial"/>
          <w:rtl/>
        </w:rPr>
        <w:t xml:space="preserve">אסור לאכול שום דבר, או אפילו לשתות יין או שאר משקין חוץ ממים, משתחשך עד שיבדיל. אבל אם היה יושב ואוכל מבעוד יום וחשכה לו, א"צ להפסיק (אפילו משתייה) (ב"י). ואם היה יושב ושותה וחשכה לו, צריך להפסיק. וי"א דה"מ בספק חשיכה, אבל בודאי חשיכה אפילו היה יושב ואוכל פורס מפה ומבדיל וגומר סעודתו. הגה: והמנהג פשוט כסברא הראשונה. </w:t>
      </w:r>
    </w:p>
    <w:p w14:paraId="379F1232" w14:textId="77777777" w:rsidR="004B2E7C" w:rsidRDefault="004B2E7C" w:rsidP="00434A6A">
      <w:pPr>
        <w:pStyle w:val="2"/>
        <w:rPr>
          <w:rtl/>
        </w:rPr>
      </w:pPr>
      <w:r>
        <w:rPr>
          <w:rtl/>
        </w:rPr>
        <w:t>סעיף ב</w:t>
      </w:r>
    </w:p>
    <w:p w14:paraId="6C89DAA8" w14:textId="77777777" w:rsidR="004B2E7C" w:rsidRDefault="004B2E7C" w:rsidP="00434A6A">
      <w:pPr>
        <w:rPr>
          <w:rtl/>
        </w:rPr>
      </w:pPr>
      <w:r>
        <w:rPr>
          <w:rFonts w:cs="Arial"/>
          <w:rtl/>
        </w:rPr>
        <w:t>ב כתב הרמב"ם בפרק ד' הלכות ברכות (ה"ח) ששנים שהיו שותים ואמרו בואו ונקדש קידוש היום אם רצו לחזור ולשתות קודם שיקדשו אף על פי שאינם רשאין צריכין לחזור ולברך תחלה בורא פרי הגפן ואחר כך ישתו אבל אם אמרו בואו ונבדיל אם רצו לחזור ולשתות קודם הבדלה אינם צריכין לחזור ולברך ונראה הטעם דבהבדלה כיון דאם היו אוכלים לא היו צריכין להפסיק אף על פי שצריכין להפסיק בששותים מכל מקום לא חמיר כל כך כמו קידוש שאפילו אם היו אוכלים הם צריכין להפסיק והלכך כי אמרו הב לן ונבדיל לא הוי הפסק כל כך שיצריכנו ברכה ומהר"י קולון כתב בשורש צ"ו (ענף ב) שטעמו של הרמב"ם משום דלא מפרש כהרי"ף ההיא דהבדלה אינה קובעת בספק חשכה דוקא אלא מוקי לה אפילו בודאי חשכה אבל להרי"ף פשיטא שאפילו בהבדלה צריך לחזור ולברך בורא פרי הגפן:</w:t>
      </w:r>
    </w:p>
    <w:p w14:paraId="7F965EB5"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6BC3360" w14:textId="77777777" w:rsidR="004B2E7C" w:rsidRDefault="004B2E7C" w:rsidP="00434A6A">
      <w:pPr>
        <w:rPr>
          <w:rFonts w:asciiTheme="minorBidi" w:hAnsiTheme="minorBidi"/>
          <w:rtl/>
        </w:rPr>
      </w:pPr>
      <w:r>
        <w:rPr>
          <w:rFonts w:asciiTheme="minorBidi" w:hAnsiTheme="minorBidi" w:cs="Arial"/>
          <w:rtl/>
        </w:rPr>
        <w:t xml:space="preserve">היו שותים ואמרו: בואו ונבדיל, אם רצו לחזור ולשתות קודם הבדלה א"צ לחזור ולברך. ויש מי שחולק בדבר. </w:t>
      </w:r>
    </w:p>
    <w:p w14:paraId="3D0BB9D3" w14:textId="77777777" w:rsidR="004B2E7C" w:rsidRDefault="004B2E7C" w:rsidP="00434A6A">
      <w:pPr>
        <w:rPr>
          <w:rFonts w:asciiTheme="minorBidi" w:hAnsiTheme="minorBidi"/>
          <w:rtl/>
        </w:rPr>
      </w:pPr>
      <w:r>
        <w:rPr>
          <w:rFonts w:asciiTheme="minorBidi" w:hAnsiTheme="minorBidi"/>
          <w:rtl/>
        </w:rPr>
        <w:t>אחרי סעיפים א-ב לחזור לסימן רעא סעיפים ד-ה לראות אם יש מה להוסיף לשם.</w:t>
      </w:r>
    </w:p>
    <w:p w14:paraId="05E4A63A" w14:textId="77777777" w:rsidR="004B2E7C" w:rsidRDefault="004B2E7C" w:rsidP="00434A6A">
      <w:pPr>
        <w:rPr>
          <w:rFonts w:asciiTheme="minorBidi" w:hAnsiTheme="minorBidi"/>
          <w:rtl/>
        </w:rPr>
      </w:pPr>
    </w:p>
    <w:p w14:paraId="2FC9B8FE" w14:textId="77777777" w:rsidR="004B2E7C" w:rsidRDefault="004B2E7C" w:rsidP="00434A6A">
      <w:pPr>
        <w:pStyle w:val="2"/>
        <w:rPr>
          <w:rtl/>
        </w:rPr>
      </w:pPr>
      <w:r>
        <w:rPr>
          <w:rtl/>
        </w:rPr>
        <w:t>סעיף ג</w:t>
      </w:r>
    </w:p>
    <w:p w14:paraId="68CAAB68" w14:textId="77777777" w:rsidR="004B2E7C" w:rsidRDefault="004B2E7C" w:rsidP="00434A6A">
      <w:pPr>
        <w:rPr>
          <w:rtl/>
        </w:rPr>
      </w:pPr>
      <w:r>
        <w:rPr>
          <w:rFonts w:cs="Arial"/>
          <w:rtl/>
        </w:rPr>
        <w:t>ג ואם צריך לברך בורא פרי הגפן על כוס של הבדלה כשהוא מפסיק נלמד ממה שכתב רבינו בסימן רע"א (כח.) שאינו מברך אבל מהר"י קולון כתב בשורש צ"ו (שם) דלהרי"ף וסמ"ג דמפסיקין אף להבדלה בודאי חשכה פשיטא שצריך לחזור ולברך ואפילו לדברי התוספות (פסחים קב. ד"ה ועקרו, חולין פז. ד"ה משתא) שסוברים דתפלה לא הוי סילוק הכא כיון (שעסק) [שנאסר] באכילה אין לך סילוק גדול מזה וכתוב באותה תשובה שכן עשה הוא מעשה ובירך בורא פרי הגפן באמצע סעודה לפני הבדלה לאחר שנזכר ממנה דכיון דחשכה ודאי היה צריך להפסיק והוי סילוק ותמהני עליו שלא הביא דברי רבינו שבסימן רע"א שאפילו במפסיק לקידוש אינו צריך לברך בורא פרי הגפן וגם כי הרא"ש (פסחים פ"י סוס"י ב) כתב דלדעת הרי"ף (שם יט:) נמי אין צריך לברך על היין וכדעת הירושלמי (ברכות פ"א ה"ה) וכמו שכתבתי שם (כח. ד"ה ויש) וגם שם (כח: סוף דבור ראשון) כתבתי דהכי נקטינן. ואין להקשות עליו למה לא כתב שבירך המוציא [דשמא] לא היו מסובין אלא לשתיה:</w:t>
      </w:r>
    </w:p>
    <w:p w14:paraId="421EAB65"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DA209C6" w14:textId="77777777" w:rsidR="004B2E7C" w:rsidRDefault="004B2E7C" w:rsidP="00434A6A">
      <w:pPr>
        <w:rPr>
          <w:rFonts w:asciiTheme="minorBidi" w:hAnsiTheme="minorBidi"/>
          <w:rtl/>
        </w:rPr>
      </w:pPr>
      <w:r>
        <w:rPr>
          <w:rFonts w:asciiTheme="minorBidi" w:hAnsiTheme="minorBidi" w:cs="Arial"/>
          <w:rtl/>
        </w:rPr>
        <w:t xml:space="preserve">כשמפסיק להבדיל א"צ לברך בפה"ג על כוס של הבדלה, וי"א שצריך. </w:t>
      </w:r>
    </w:p>
    <w:p w14:paraId="3C5DC0BB" w14:textId="77777777" w:rsidR="004B2E7C" w:rsidRDefault="004B2E7C" w:rsidP="00434A6A">
      <w:pPr>
        <w:pStyle w:val="2"/>
        <w:rPr>
          <w:rtl/>
        </w:rPr>
      </w:pPr>
      <w:r>
        <w:rPr>
          <w:rtl/>
        </w:rPr>
        <w:t>סעיף ד</w:t>
      </w:r>
    </w:p>
    <w:p w14:paraId="73B78A91" w14:textId="77777777" w:rsidR="004B2E7C" w:rsidRDefault="004B2E7C" w:rsidP="00434A6A">
      <w:pPr>
        <w:rPr>
          <w:rtl/>
        </w:rPr>
      </w:pPr>
      <w:r>
        <w:rPr>
          <w:rFonts w:cs="Arial"/>
          <w:rtl/>
        </w:rPr>
        <w:t>ד כתב הרמב"ם בפרק כ"ט (הי"ב) גומר סעודתו ומברך ברכת המזון על הכוס ואחר כך מבדיל עליו וכתב הרב המגיד שיש חולקין עליו (השגת הראב"ד שם) לומר דתרי כוסות בעינן וטען הוא ז"ל בעד הרמב"ם ומכל מקום כתב שאם יש לו שתי כוסות מברך על אחד ומבדיל על האחר כדברי הגאונים (עי' רי"ץ גיאות ח"א עמ' יד) ועיקר(ם):</w:t>
      </w:r>
      <w:r>
        <w:rPr>
          <w:rStyle w:val="a9"/>
          <w:rtl/>
        </w:rPr>
        <w:footnoteReference w:id="1072"/>
      </w:r>
    </w:p>
    <w:p w14:paraId="634BC533"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CD91E5A" w14:textId="77777777" w:rsidR="004B2E7C" w:rsidRDefault="004B2E7C" w:rsidP="00434A6A">
      <w:pPr>
        <w:rPr>
          <w:rFonts w:asciiTheme="minorBidi" w:hAnsiTheme="minorBidi"/>
          <w:rtl/>
        </w:rPr>
      </w:pPr>
      <w:r>
        <w:rPr>
          <w:rFonts w:asciiTheme="minorBidi" w:hAnsiTheme="minorBidi" w:cs="Arial"/>
          <w:rtl/>
        </w:rPr>
        <w:t xml:space="preserve">כשהיה אוכל וחשכה, שאמרנו שא"צ להפסיק, גומר סעודתו ומברך בהמ"ז על הכוס ואח"כ מבדיל עליו, ואם יש לו שני כוסות, מברך בהמ"ז על אחד ומבדיל על אחר. </w:t>
      </w:r>
    </w:p>
    <w:p w14:paraId="606E40F4" w14:textId="77777777" w:rsidR="004B2E7C" w:rsidRDefault="004B2E7C" w:rsidP="00434A6A">
      <w:pPr>
        <w:pStyle w:val="2"/>
        <w:rPr>
          <w:rtl/>
        </w:rPr>
      </w:pPr>
      <w:r>
        <w:rPr>
          <w:rtl/>
        </w:rPr>
        <w:t>סעיף ה</w:t>
      </w:r>
    </w:p>
    <w:p w14:paraId="00BEBDF7" w14:textId="77777777" w:rsidR="004B2E7C" w:rsidRDefault="004B2E7C" w:rsidP="00434A6A">
      <w:pPr>
        <w:rPr>
          <w:rtl/>
        </w:rPr>
      </w:pPr>
      <w:r>
        <w:rPr>
          <w:rFonts w:cs="Arial"/>
          <w:rtl/>
        </w:rPr>
        <w:t>ה טעה ואכל קודם שהבדיל וכו'. בפרק ערבי פסחים (קז.) אמר רבא הלכתא טעם מקדש טעם מבדיל:</w:t>
      </w:r>
    </w:p>
    <w:p w14:paraId="308A60BB"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7ADC206" w14:textId="77777777" w:rsidR="004B2E7C" w:rsidRDefault="004B2E7C" w:rsidP="00434A6A">
      <w:pPr>
        <w:rPr>
          <w:rFonts w:asciiTheme="minorBidi" w:hAnsiTheme="minorBidi"/>
          <w:rtl/>
        </w:rPr>
      </w:pPr>
      <w:r>
        <w:rPr>
          <w:rFonts w:asciiTheme="minorBidi" w:hAnsiTheme="minorBidi" w:cs="Arial"/>
          <w:rtl/>
        </w:rPr>
        <w:t xml:space="preserve">טעה ואכל קודם שהבדיל יכול להבדיל אח"כ. </w:t>
      </w:r>
    </w:p>
    <w:p w14:paraId="6FF92838" w14:textId="77777777" w:rsidR="004B2E7C" w:rsidRDefault="004B2E7C" w:rsidP="00434A6A">
      <w:pPr>
        <w:pStyle w:val="2"/>
        <w:rPr>
          <w:rtl/>
        </w:rPr>
      </w:pPr>
      <w:r>
        <w:rPr>
          <w:rtl/>
        </w:rPr>
        <w:t>סעיף ו</w:t>
      </w:r>
    </w:p>
    <w:p w14:paraId="4488F22A" w14:textId="77777777" w:rsidR="004B2E7C" w:rsidRDefault="004B2E7C" w:rsidP="00434A6A">
      <w:pPr>
        <w:rPr>
          <w:rtl/>
        </w:rPr>
      </w:pPr>
      <w:r>
        <w:rPr>
          <w:rFonts w:cs="Arial"/>
          <w:rtl/>
        </w:rPr>
        <w:t>ו שכח ולא הבדיל במוצאי שבת. שם (קו.) אמרי בני רבי חייא מי שלא הבדיל במוצאי שבת מבדיל והולך כל השבת כולה ועד כמה אמר רבי זירא עד רביעי בשבת ובתר הכי (קז.) אמר רבא הלכתא טעם מקדש וכו' ומי שלא הבדיל במוצאי שבת מבדיל והולך כל היום כולו הכי גריס הרי"ף (כא:) והיא גירסת הגאונים (בה"ג הל' קידוש יג ע"ג, סדור רס"ג עמ' קכו). וכתב הרב המגיד (שם ה"ד) שכן דעת האחרונים אבל התוספות (שם ד"ה אמימר) והרא"ש (סי' יג) גורסים גם בדברי רבא כל השבת כולה ופירשו דהיינו עד יום רביעי כדאמר רבי זירא וכן דעת הרמב"ם בפרק כ"ט (ה"ד) אלא שקשיא לי שכתב שמבדיל והולך עד סוף יום רביעי ובגמרא (קו.) משמע בהדיא דעד יום רביעי ולא יום רביעי בכלל דיום רביעי מכלל שבוע הבא הוא נחשב לענין גיטין (פסחים קו.) וכן כתב רשב"ם (שם ד"ה עד רביעי בשבת) ואפשר שגירסא אחרת היתה לו: כתוב בתרומת הדשן (ח"א) סימן קנ"ד בני אדם שמתענים שלשה ימים רצופים לילה ויום מתחילין במוצאי שבת איך יעשו בהבדלה על הכוס הואיל ואין יכולין לשתות במוצאי שבת יראה דיש דרכים בדבר בשלשה פנים האחד שיבדיל מבעוד יום וליכא למימר כיון דאבדיל שוייה חול ואתסר ליה למשתי דכיון דמנפשיה קביל עליה הנך תעניות לא שייך למימר דעל כרחך חל עליו כדאמרינן (עי' פסחים נד.) גבי תשעה באב ואי משום חובת הנדר הא קיימא לן (נדרים ל: וש"נ) בנדרים הלך אחר לשון בני אדם ובלשון בני אדם לאו לילה מיקרי לענין ההבדלה. השני שיבדיל בסוף יום שלישי בתחלת ליל רביעי כד שרי ליה למיכל ולמישתי דאף על גב דעד רביעי מצי לאבדולי ולא עד בכלל שאני הכא דלא הוה מצי למיכל ולמישתי מקמי הכי ומיהו אין דרך זה מחוור כל כך והמחוור שבכל הדרכים שאם יש אצלו במוצאי שבת מי שמבדיל יכוין לצאת עמו בברכה ויענה אמן ויוצא שפיר אפילו שאינו טועם:</w:t>
      </w:r>
    </w:p>
    <w:p w14:paraId="54BF1EFB" w14:textId="77777777" w:rsidR="004B2E7C" w:rsidRDefault="004B2E7C" w:rsidP="00434A6A">
      <w:pPr>
        <w:rPr>
          <w:rtl/>
        </w:rPr>
      </w:pPr>
      <w:r>
        <w:rPr>
          <w:rFonts w:cs="Arial"/>
          <w:rtl/>
        </w:rPr>
        <w:t>ומה שכתב ודוקא בורא פרי הגפן וכו' אבל על הבשמים ועל האש אינו מברך אלא במוצאי שבת. בפרק ערבי פסחים (קו.) מבדיל והולך כל השבת כולה אמר רבי יעקב בר אידי אבל לא על האור ולמד רבינו לבשמים מכל שכן שהרי אינם אלא להשיב הנפש שדואגת על יציאת שבת ולא שייך אלא סמוך ליציאתו:</w:t>
      </w:r>
    </w:p>
    <w:p w14:paraId="43146856" w14:textId="77777777" w:rsidR="004B2E7C" w:rsidRDefault="004B2E7C" w:rsidP="00434A6A">
      <w:pPr>
        <w:rPr>
          <w:rtl/>
        </w:rPr>
      </w:pPr>
      <w:r>
        <w:rPr>
          <w:rFonts w:cs="Arial"/>
          <w:rtl/>
        </w:rPr>
        <w:t>כתב בה"ג (הל' קידוש יג ע"ג) הני מילי דמבדיל ביום ראשון דלא טעים מידי וכו'. כן כתבו הגהות בשמו בפרק כ"ט (ה"ה אות ו) וכתבו עוד אבל האלפס כתב דאפילו למחר מבדיל אפילו טעים ביום ע"כ ודברי הרי"ף הם בפרק ערבי פסחים (כב.) גבי עובדא דאמימר דבת טות (שם קז.):</w:t>
      </w:r>
    </w:p>
    <w:p w14:paraId="00F38D54"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A817A14" w14:textId="77777777" w:rsidR="004B2E7C" w:rsidRDefault="004B2E7C" w:rsidP="00434A6A">
      <w:pPr>
        <w:rPr>
          <w:rFonts w:asciiTheme="minorBidi" w:hAnsiTheme="minorBidi"/>
          <w:rtl/>
        </w:rPr>
      </w:pPr>
      <w:r>
        <w:rPr>
          <w:rFonts w:asciiTheme="minorBidi" w:hAnsiTheme="minorBidi" w:cs="Arial"/>
          <w:rtl/>
        </w:rPr>
        <w:t xml:space="preserve">שכח ולא הבדיל במו"ש, מבדיל עד סוף יום ג'. וי"א שאינו מבדיל אלא כל יום ראשון ולא יותר, ודוקא בפה"ג והמבדיל בין קודש לחול, אבל על הנר ובשמים אינו מברך אלא במו"ש. ויש מי שאומר דהא דקי"ל טעם מבדיל ה"מ היכא דהבדיל בליל מו"ש, אבל אם לא הבדיל בלילה כיון שטעם שוב אינו מבדיל. הגה: והעיקר כסברא הראשונה. ומי שמתענה ג' ימים וג' לילות ישמע הבדלה מאחרים, ואם אין אחרים אצלו יכול להבדיל בשבת מבע"י ולשתות ולקבל אח"כ התענית עליו (ת"ה סי' קנ"ט /קנ"ד/). </w:t>
      </w:r>
    </w:p>
    <w:p w14:paraId="74350B55" w14:textId="77777777" w:rsidR="004B2E7C" w:rsidRDefault="004B2E7C" w:rsidP="00434A6A">
      <w:pPr>
        <w:pStyle w:val="2"/>
        <w:rPr>
          <w:rtl/>
        </w:rPr>
      </w:pPr>
      <w:r>
        <w:rPr>
          <w:rtl/>
        </w:rPr>
        <w:t>סעיף ז</w:t>
      </w:r>
    </w:p>
    <w:p w14:paraId="3200BED1" w14:textId="77777777" w:rsidR="004B2E7C" w:rsidRDefault="004B2E7C" w:rsidP="00434A6A">
      <w:pPr>
        <w:rPr>
          <w:rtl/>
        </w:rPr>
      </w:pPr>
      <w:r>
        <w:rPr>
          <w:rFonts w:cs="Arial"/>
          <w:rtl/>
        </w:rPr>
        <w:t>ז המבדיל על היין על שולחנו פוטר היין שבתוך המזון שאין צריך לברך עליו (וגם אין צריך לברך ברכה אחרונה וכו'). כן כתב ה"ר יונה בפרק כיצד מברכין (ל: ד"ה ואומר ר') והרא"ש כתב שם (סי' לב) ובריש פרק ערבי פסחים (סי' ד) שאם הבדיל במקום סעודה אפילו הבדיל קודם שנטל ידיו פוטר יין שבתוך המזון אבל התוספות כתבו בפרק כיצד מברכין (מב: סוד"ה ורב) דבנטל ידיו ואחר כך הבדיל פטר אבל כשהבדיל ואחר כך נטל ידיו לא פטר יין שבתוך המזון וצריך לברך אחר כוס הבדלה ברכה אחת מעין שלש:</w:t>
      </w:r>
    </w:p>
    <w:p w14:paraId="61A52E9E" w14:textId="77777777" w:rsidR="004B2E7C" w:rsidRDefault="004B2E7C" w:rsidP="00434A6A">
      <w:pPr>
        <w:rPr>
          <w:rtl/>
        </w:rPr>
      </w:pPr>
      <w:r>
        <w:rPr>
          <w:rFonts w:cs="Arial"/>
          <w:rtl/>
        </w:rPr>
        <w:t>(דרכמ ג) וכן משמע שם במרדכי (ברכות סי' קמד):</w:t>
      </w:r>
    </w:p>
    <w:p w14:paraId="18FA434F"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3F4F45B" w14:textId="77777777" w:rsidR="004B2E7C" w:rsidRDefault="004B2E7C" w:rsidP="00434A6A">
      <w:pPr>
        <w:rPr>
          <w:rFonts w:asciiTheme="minorBidi" w:hAnsiTheme="minorBidi"/>
          <w:rtl/>
        </w:rPr>
      </w:pPr>
      <w:r>
        <w:rPr>
          <w:rFonts w:asciiTheme="minorBidi" w:hAnsiTheme="minorBidi" w:cs="Arial"/>
          <w:rtl/>
        </w:rPr>
        <w:t xml:space="preserve">המבדיל על היין על שלחנו, אפילו הבדיל קודם שנטל ידיו, פוטר היין שבתוך המזון שא"צ לברך עליו. וי"א דלא פטר אא"כ נטל ידיו קודם שהבדיל. הגה: ואם הבדיל תחלה צריך לברך אחריו ברכה מעין ג' (תוס' ומרדכי פרק כיצד מברכין). </w:t>
      </w:r>
    </w:p>
    <w:p w14:paraId="774F2BE9" w14:textId="77777777" w:rsidR="004B2E7C" w:rsidRDefault="004B2E7C" w:rsidP="00434A6A">
      <w:pPr>
        <w:pStyle w:val="2"/>
        <w:rPr>
          <w:rtl/>
        </w:rPr>
      </w:pPr>
      <w:r>
        <w:rPr>
          <w:rtl/>
        </w:rPr>
        <w:t>סעיף ח</w:t>
      </w:r>
    </w:p>
    <w:p w14:paraId="33547637" w14:textId="77777777" w:rsidR="004B2E7C" w:rsidRDefault="004B2E7C" w:rsidP="00434A6A">
      <w:pPr>
        <w:rPr>
          <w:rtl/>
        </w:rPr>
      </w:pPr>
      <w:r>
        <w:rPr>
          <w:rFonts w:cs="Arial"/>
          <w:rtl/>
        </w:rPr>
        <w:t>ח ומה שכתב וגם אין צריך לברך ברכה אחרונה. כן כתב הרא"ש בריש פרק ערבי פסחים (סוס"י ד) וכתבתיו בסוף סימן רע"ב (לב: ד"ה וא"א):</w:t>
      </w:r>
    </w:p>
    <w:p w14:paraId="4A47FD76"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6D37DC5" w14:textId="77777777" w:rsidR="004B2E7C" w:rsidRDefault="004B2E7C" w:rsidP="00434A6A">
      <w:pPr>
        <w:rPr>
          <w:rFonts w:asciiTheme="minorBidi" w:hAnsiTheme="minorBidi"/>
          <w:rtl/>
        </w:rPr>
      </w:pPr>
      <w:r>
        <w:rPr>
          <w:rFonts w:asciiTheme="minorBidi" w:hAnsiTheme="minorBidi" w:cs="Arial"/>
          <w:rtl/>
        </w:rPr>
        <w:t xml:space="preserve">כשפוטר היין שבתוך המזון שא"צ לברך עליו גם א"צ לברך ברכה אחרונה על כוס של הבדלה. ואם אין לו אלא כוס אחד וסבור שיביאו לו יין יותר והבדיל על אותו כוס ואח"כ לא הביאו לו יותר ובירך בהמ"ז בלא כוס, יש מי שאומר שצריך לברך ברכה אחרונה על כוס של הבדלה. </w:t>
      </w:r>
    </w:p>
    <w:p w14:paraId="3A8CC99B" w14:textId="77777777" w:rsidR="004B2E7C" w:rsidRDefault="004B2E7C" w:rsidP="00434A6A">
      <w:pPr>
        <w:rPr>
          <w:rFonts w:asciiTheme="minorBidi" w:hAnsiTheme="minorBidi"/>
          <w:rtl/>
        </w:rPr>
      </w:pPr>
    </w:p>
    <w:p w14:paraId="461F0D62" w14:textId="77777777" w:rsidR="004B2E7C" w:rsidRDefault="004B2E7C" w:rsidP="00434A6A">
      <w:pPr>
        <w:pStyle w:val="2"/>
        <w:rPr>
          <w:rtl/>
        </w:rPr>
      </w:pPr>
      <w:r>
        <w:rPr>
          <w:rtl/>
        </w:rPr>
        <w:t>סעיף ט</w:t>
      </w:r>
    </w:p>
    <w:p w14:paraId="30514CC8" w14:textId="77777777" w:rsidR="004B2E7C" w:rsidRDefault="004B2E7C" w:rsidP="00434A6A">
      <w:pPr>
        <w:rPr>
          <w:rtl/>
        </w:rPr>
      </w:pPr>
      <w:r>
        <w:rPr>
          <w:rFonts w:cs="Arial"/>
          <w:rtl/>
        </w:rPr>
        <w:t>ט וכתב ה"ר מאיר מרוטנבורג (תשב"ץ קטן סי' פב ושכב, שו"ת דפ' ברלין עמ' 305 סי' יט) שצריך ליזהר שלא יביא הלחם לשלחן עד אחר הבדלה וכו'. כן כתבו הגהות בפרק כ"ט (ה"ז אות כ) בשמו ומשמע דהיינו דוקא כשרוצה לסעוד מיד אבל אם אינו רוצה לסעוד מיד כיון דאין מבדילין על הפת לא שייך ביה דין קדימה לענין הבדלה ואין צריך לכסותו:</w:t>
      </w:r>
    </w:p>
    <w:p w14:paraId="39FB68E0"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CF33981" w14:textId="77777777" w:rsidR="004B2E7C" w:rsidRDefault="004B2E7C" w:rsidP="00434A6A">
      <w:pPr>
        <w:rPr>
          <w:rFonts w:asciiTheme="minorBidi" w:hAnsiTheme="minorBidi"/>
          <w:rtl/>
        </w:rPr>
      </w:pPr>
      <w:r>
        <w:rPr>
          <w:rFonts w:asciiTheme="minorBidi" w:hAnsiTheme="minorBidi" w:cs="Arial"/>
          <w:rtl/>
        </w:rPr>
        <w:t xml:space="preserve">אם רוצה לסעוד תיכף להבדלה צריך ליזהר שלא יביא לחם לשלחן קודם הבדלה ואם הביא פורס עליו מפה ומכסהו לפי שהוא מוקדם בפסוק וצריך להקדימו אם לא יכסנו. </w:t>
      </w:r>
    </w:p>
    <w:p w14:paraId="19F20BCB" w14:textId="77777777" w:rsidR="004B2E7C" w:rsidRDefault="004B2E7C" w:rsidP="00434A6A">
      <w:pPr>
        <w:pStyle w:val="2"/>
        <w:rPr>
          <w:rtl/>
        </w:rPr>
      </w:pPr>
      <w:r>
        <w:rPr>
          <w:rtl/>
        </w:rPr>
        <w:t>סעיף י</w:t>
      </w:r>
    </w:p>
    <w:p w14:paraId="75BB1D05" w14:textId="77777777" w:rsidR="004B2E7C" w:rsidRDefault="004B2E7C" w:rsidP="00434A6A">
      <w:pPr>
        <w:rPr>
          <w:rtl/>
        </w:rPr>
      </w:pPr>
      <w:r>
        <w:rPr>
          <w:rFonts w:cs="Arial"/>
          <w:rtl/>
        </w:rPr>
        <w:t>י אסור לעשות שום מלאכה קודם שיבדיל וכו'. בפרק שואל (שבת קנ.) תנן אבל מחשיך לשמור פירותיו (וכו') ומביא פירות בידו כלומר שתולשם מן המחובר ובגמרא (שם:) (ו)אף על גב דלא אבדיל והאמר רבי אליעזר בן אנטיגנוס [משום רבי אליעזר בן יעקב] אסור לאדם שיעשה חפציו קודם שיבדיל וכי תימא דאבדיל בתפילה והאמר רב יהודה [אמר שמואל] המבדיל בתפילה צריך שיבדיל על הכוס אמר ליה רב אבא לרב אשי במערבא אמרינן הכי המבדיל בין קודש לחול ועבדינן צורכין ופירש רש"י המבדיל בין קודש לחול. להיכרא בעלמא ללוות את המלך (עי' פסחים קג.). ועבדינן צורכין. ואחר כך אנו מברכין על הכוס ברכה גמורה דהבדלה וכל שכן דאי אבדיל בתפלה מותר לעשות צרכיו וחוזר ומבדיל על הכוס: וכתב שם הר"ן (סד: דיבור ראשון) שנראה מדברי רש"י שהוא מפרשה בלא שם שאינו אומר אלא המבדיל בין קודש לחול אבל מדברי הרי"ף (שם סד סוע"א) נראה שהוא מפרשה בשם והרא"ש בפרק ערבי פסחים (סי' יא) אמאי דאמרי (שם קג:) המבדיל לא יפחות משלש ולא יוסיף על שבע כתב דאף על גב דאמרי בפרק שואל (קנ:) שאמר רב (אסי) [אשי] כי הוינן בי רב כהנא אמרי המבדיל בין קודש לחול וסלתין סילתין אפילו הכי נהגו העם לומר שלשה והא דרב (אסי) [אשי] לאו בהבדלה על הכוס איירי אלא ברוצה לעשות חפציו קודם שיבדיל על הכוס דבעי למימר ברוך אתה ה' אלהינו מלך העולם המבדיל בין קודש לחול עכ"ל: ודייק רבינו מדכתב ברוצה לעשות חפציו קודם שיבדיל על הכוס ולא כתב קודם שיבדיל בתפלה ועל הכוס אלמא כל שלא הבדיל על הכוס אסור במלאכה ואפילו אם הבדיל בתפלה עד שיאמר ברוך אתה ה' אלהינו מלך העולם המבדיל בין קודש לחול וכן דעת הרמב"ם (פכ"ט ה"ו) שאע"פ שהבדיל בתפלה אסור לעשות מלאכה עד שיבדיל ויאמר המבדיל בין קודש לחול אך לא נתבאר בדבריו אם צריך לומר שם ומלכות אם לאו והרב המגיד כתב שהגאונים כתבו שאם התפלל והבדיל בתפלה יכול לעשות מלאכה ואין צריך לברכה אחרת ולזה הסכימו מן האחרונים ועיקר עכ"ל וכן כתבו ההגהות שם (אות ד) וכן דעת רבינו ירוחם בחלק (ב') [כ'] (ני"ב קב ע"ד): ולענין הלכה כיון דהרמב"ם והרא"ש מסכימים שאף על פי שהבדיל בתפלה אסור לעשות מלאכה הכי הוה חזי למינקט אלא דסוגיין דעלמא דלא כוותייהו וכיון שהבדילו בתפלה עושין מלאכה וכדברי הגאונים והאחרונים וכיון דמידי דרבנן הוא שפיר דמי למינקט כוותייהו לקולא. והיכא שלא הבדיל בתפילה נראה לסמוך על דברי רש"י שאומר המבדיל בין קודש לחול בלא הזכרת השם כיון דמידי דרבנן הוא וגם ספק הזכרת שם שמים לבטלה הוא</w:t>
      </w:r>
      <w:r>
        <w:rPr>
          <w:rStyle w:val="a9"/>
          <w:rFonts w:cs="Arial"/>
          <w:rtl/>
        </w:rPr>
        <w:footnoteReference w:id="1073"/>
      </w:r>
      <w:r>
        <w:rPr>
          <w:rFonts w:cs="Arial"/>
          <w:rtl/>
        </w:rPr>
        <w:t>: כתב רבינו ירוחם בחלק (ב') [כ'] (שם) וכל זה מיירי במלאכה כגון אורג או כותב וכיוצא בו אבל להדליק נר או להוציא מרשות לרשות אינו צריך כל זה עכ"ל ואיני יודע מנין לו דהא בגמרא אמר רב (אסי) [אשי] הוה אמרי בין קודש לחול וסלתין סילתין ופירש רש"י חוטבים עצים ומה מלאכה יש יותר בחטיבת עצים מבהדלקת הנר</w:t>
      </w:r>
      <w:r>
        <w:rPr>
          <w:rStyle w:val="a9"/>
          <w:rFonts w:cs="Arial"/>
          <w:rtl/>
        </w:rPr>
        <w:footnoteReference w:id="1074"/>
      </w:r>
      <w:r>
        <w:rPr>
          <w:rFonts w:cs="Arial"/>
          <w:rtl/>
        </w:rPr>
        <w:t>: כתב הכל בו (סי' מא ב סוע"ב) נהגו הנשים לדלות מים במוצאי שבת תכף ששמעו ברכו שמצינו באגדה (עיין ויקרא רבה פר' כב סי' ד במדבר רבה פר' יח סי' כב) שבארה של מרים בימה של טבריא וכל מוצאי שבת מחזירין על כל בארות ועל כל מעינות וכל מי שהוא חולה ויזדמן לו המים וישתה אפילו כל גופו מוכה שחין מיד נרפא ומעשה באדם אחד שהיה מוכה שחין והלכה אשתו במוצאי שבת לשאוב מים ונתעכבה יותר מדאי ונזדמנה לה בארה של מרים ומלאה כדה מאותן המים כיון שבאה אצל בעלה כעס עליה ומרוב כעסו נפלה כדה משכמה ונשבר הכד ונפלו מטיפי המים על בשרו ובכל מקום שנתזו המים נרפא השחין ועל זה אמרו חכמים (קידושין מ סוע"א) רגזן לא עלתה בידו אלא רגזנותו ולכך נהגו לשאוב מים בכל מוצאי שבת עכ"ל:</w:t>
      </w:r>
    </w:p>
    <w:p w14:paraId="26554473"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02FBE87" w14:textId="77777777" w:rsidR="004B2E7C" w:rsidRDefault="004B2E7C" w:rsidP="00434A6A">
      <w:pPr>
        <w:rPr>
          <w:rFonts w:asciiTheme="minorBidi" w:hAnsiTheme="minorBidi"/>
          <w:rtl/>
        </w:rPr>
      </w:pPr>
      <w:r>
        <w:rPr>
          <w:rFonts w:asciiTheme="minorBidi" w:hAnsiTheme="minorBidi" w:cs="Arial"/>
          <w:rtl/>
        </w:rPr>
        <w:t>אסור לעשות שום מלאכה קודם שיבדיל, ואם הבדיל בתפלה מותר אף על פי שעדיין לא הבדיל על הכוס. ואם צריך לעשות מלאכה קודם שהבדיל בתפלה אומר: המבדיל (בין הקודש ובין החול) בלא ברכה, ועושה מלאכה. הגה: וכן נשים שאינן מבדילין בתפלה יש ללמדן שיאמרו המבדיל בין קודש לחול קודם שיעשו מלאכה (כל בו). וי"א דכל זה במלאכה גמורה כגון כותב ואורג, אבל הדלקת הנר בעלמא או הוצאה מרשות לרשות א"צ לזה (ר"י ני"ב חי"ט), ומזה נתפשט המנהג להקל שמדליקים נרות מיד שאמרו הקהל ברכו, אבל העיקר כסברא ראשונה. וי"א לדלות מים בכל מו"ש, כי בארה של מרים סובב כל מו"ש כל הבארות ומי שפוגע בו וישתה ממנו יתרפא מכל תחלואיו (כל בו). ולא ראיתי למנהג זה. וע"ל סימן רס"ג מי שמוסיף מחול על הקודש אם מותר לומר לאחר שהבדיל לעשות לו מלאכה.</w:t>
      </w:r>
    </w:p>
    <w:p w14:paraId="32AD1736" w14:textId="77777777" w:rsidR="004B2E7C" w:rsidRDefault="004B2E7C" w:rsidP="00434A6A">
      <w:pPr>
        <w:rPr>
          <w:rFonts w:asciiTheme="minorBidi" w:hAnsiTheme="minorBidi"/>
          <w:rtl/>
        </w:rPr>
      </w:pPr>
    </w:p>
    <w:p w14:paraId="3560481D" w14:textId="77777777" w:rsidR="004B2E7C" w:rsidRDefault="004B2E7C" w:rsidP="00434A6A">
      <w:pPr>
        <w:rPr>
          <w:rFonts w:asciiTheme="minorBidi" w:hAnsiTheme="minorBidi"/>
          <w:rtl/>
        </w:rPr>
      </w:pPr>
    </w:p>
    <w:p w14:paraId="49BB3DAD"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69"/>
          <w:footnotePr>
            <w:numRestart w:val="eachSect"/>
          </w:footnotePr>
          <w:pgSz w:w="11906" w:h="16838"/>
          <w:pgMar w:top="720" w:right="1134" w:bottom="720" w:left="1134" w:header="0" w:footer="0" w:gutter="0"/>
          <w:cols w:space="720"/>
          <w:bidi/>
          <w:rtlGutter/>
        </w:sectPr>
      </w:pPr>
    </w:p>
    <w:p w14:paraId="2F39F814" w14:textId="77777777" w:rsidR="004B2E7C" w:rsidRDefault="004B2E7C" w:rsidP="00434A6A">
      <w:pPr>
        <w:pStyle w:val="1"/>
        <w:rPr>
          <w:rtl/>
        </w:rPr>
      </w:pPr>
      <w:r>
        <w:rPr>
          <w:rtl/>
        </w:rPr>
        <w:t xml:space="preserve">סימן ש: שיסדר שלחנו במוצאי שבת, ובו סעיף אחד. </w:t>
      </w:r>
    </w:p>
    <w:p w14:paraId="5DEEF620" w14:textId="77777777" w:rsidR="004B2E7C" w:rsidRDefault="004B2E7C" w:rsidP="00434A6A">
      <w:pPr>
        <w:pStyle w:val="2"/>
        <w:rPr>
          <w:rtl/>
        </w:rPr>
      </w:pPr>
      <w:r>
        <w:rPr>
          <w:rtl/>
        </w:rPr>
        <w:t>סעיף א</w:t>
      </w:r>
    </w:p>
    <w:p w14:paraId="336501D1" w14:textId="77777777" w:rsidR="004B2E7C" w:rsidRDefault="004B2E7C" w:rsidP="00FF2D21">
      <w:pPr>
        <w:pStyle w:val="aa"/>
        <w:numPr>
          <w:ilvl w:val="0"/>
          <w:numId w:val="127"/>
        </w:numPr>
        <w:rPr>
          <w:rtl/>
        </w:rPr>
      </w:pPr>
      <w:r>
        <w:rPr>
          <w:rFonts w:cs="Arial"/>
          <w:rtl/>
        </w:rPr>
        <w:t>טור- לעולם יסדר אדם שלחנו במוצאי שבת אפי' אינו צריך אלא לכזית כדי ללוות השבת:</w:t>
      </w:r>
    </w:p>
    <w:p w14:paraId="450380BF" w14:textId="77777777" w:rsidR="004B2E7C" w:rsidRDefault="004B2E7C" w:rsidP="00434A6A">
      <w:pPr>
        <w:rPr>
          <w:rtl/>
        </w:rPr>
      </w:pPr>
      <w:r>
        <w:rPr>
          <w:rFonts w:cs="Arial"/>
          <w:rtl/>
        </w:rPr>
        <w:t>א לעולם יסדר אדם שלחנו במוצאי שבת וכו'. בפרק כל כתבי (קיט:). כתוב בשבלי הלקט (סי' קל) משל שמלוין את המלך ביציאתו כשם שמלוין אותו בכניסתו (ע' פסחים קג.) ובסדורים מפרש אבר יש באדם ונסכוי שמו ואינו נהנה באכילה אלא במוצאי שבת עכ"ל. וכתוב עוד שם (סוס"י קכט) נהגו לומר פיוטים וזמירות ללות השבת כדרך שמלוין את המלך בכניסתו וביציאתו:</w:t>
      </w:r>
    </w:p>
    <w:p w14:paraId="326F06B7"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8616076" w14:textId="77777777" w:rsidR="004B2E7C" w:rsidRDefault="004B2E7C" w:rsidP="00434A6A">
      <w:pPr>
        <w:rPr>
          <w:rFonts w:asciiTheme="minorBidi" w:hAnsiTheme="minorBidi"/>
          <w:rtl/>
        </w:rPr>
      </w:pPr>
      <w:r>
        <w:rPr>
          <w:rFonts w:asciiTheme="minorBidi" w:hAnsiTheme="minorBidi" w:cs="Arial"/>
          <w:rtl/>
        </w:rPr>
        <w:t>לעולם יסדר אדם שלחנו במו"ש כדי ללוות את השבת, אפילו אינו צריך אלא לכזית.</w:t>
      </w:r>
    </w:p>
    <w:p w14:paraId="7ABE81BB" w14:textId="77777777" w:rsidR="004B2E7C" w:rsidRDefault="004B2E7C" w:rsidP="00434A6A">
      <w:pPr>
        <w:rPr>
          <w:rFonts w:asciiTheme="minorBidi" w:hAnsiTheme="minorBidi"/>
          <w:rtl/>
        </w:rPr>
      </w:pPr>
    </w:p>
    <w:p w14:paraId="7983CE3A" w14:textId="77777777" w:rsidR="004B2E7C" w:rsidRDefault="004B2E7C" w:rsidP="00434A6A">
      <w:pPr>
        <w:rPr>
          <w:rFonts w:asciiTheme="minorBidi" w:hAnsiTheme="minorBidi"/>
          <w:rtl/>
        </w:rPr>
      </w:pPr>
    </w:p>
    <w:p w14:paraId="508B8B78"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70"/>
          <w:footnotePr>
            <w:numRestart w:val="eachSect"/>
          </w:footnotePr>
          <w:pgSz w:w="11906" w:h="16838"/>
          <w:pgMar w:top="720" w:right="1134" w:bottom="720" w:left="1134" w:header="0" w:footer="0" w:gutter="0"/>
          <w:cols w:space="720"/>
          <w:bidi/>
          <w:rtlGutter/>
        </w:sectPr>
      </w:pPr>
    </w:p>
    <w:p w14:paraId="147252F0" w14:textId="77777777" w:rsidR="004B2E7C" w:rsidRDefault="004B2E7C" w:rsidP="00434A6A">
      <w:pPr>
        <w:pStyle w:val="1"/>
        <w:rPr>
          <w:rtl/>
        </w:rPr>
      </w:pPr>
      <w:r>
        <w:rPr>
          <w:rtl/>
        </w:rPr>
        <w:t xml:space="preserve">סימן שא: באיזה כלים מותר לצאת בשבת ואיזה מהם אסורים, ובו נ"א סעיפים. </w:t>
      </w:r>
    </w:p>
    <w:p w14:paraId="00E47A96" w14:textId="77777777" w:rsidR="004B2E7C" w:rsidRDefault="004B2E7C" w:rsidP="00434A6A">
      <w:pPr>
        <w:pStyle w:val="2"/>
        <w:rPr>
          <w:rtl/>
        </w:rPr>
      </w:pPr>
      <w:r>
        <w:rPr>
          <w:rtl/>
        </w:rPr>
        <w:t>סעיף א</w:t>
      </w:r>
    </w:p>
    <w:p w14:paraId="583F8536" w14:textId="77777777" w:rsidR="004B2E7C" w:rsidRDefault="004B2E7C" w:rsidP="00FF2D21">
      <w:pPr>
        <w:pStyle w:val="aa"/>
        <w:numPr>
          <w:ilvl w:val="0"/>
          <w:numId w:val="128"/>
        </w:numPr>
        <w:rPr>
          <w:rtl/>
        </w:rPr>
      </w:pPr>
      <w:r>
        <w:rPr>
          <w:rtl/>
        </w:rPr>
        <w:t xml:space="preserve">טור- </w:t>
      </w:r>
      <w:r>
        <w:rPr>
          <w:rFonts w:cs="Arial"/>
          <w:rtl/>
        </w:rPr>
        <w:t>אם באתי לכתוב כל הלכות שבת תרבה עלי המלאכה כי הלכתא רבתי לשבתא (כדאיתא שבת יב א) וגם כי כל ארבעים אבות מלאכות חסר אחת ותולדותיהם ידועות ואיני צריך להאריך בהם ולא בשיעוריהן שלא נאמרו שיעורים אלא לחיוב אבל איסורא איכא בכל שהוא ע"כ לא אכתוב אלא דברים הצריכין ואסדר יחד דברים הדומים ואתחיל בהילוך על סדר הפסוק אם תשיב משבת רגליך היאך יהא הלוכו בשבת ובמה האיש יוצא ותקון בגדיו ובמה האשה יוצאה והעבד והבהמה ואיסור חפציו והדיבור בהם והיתר חפצי שמים וטלטול כי מזה למדו חכמים איסור טלטול כיון שהזכיר הנביא שלא יהא הילוך ושיחה של שבת כהילוך ושיחה של חול כ"ש שלא יהא טילטול של שבת כטילטול של חול כדי שלא יהא כיום חול ויבא לפנות כל חפציו מפינה לפינה שהרי הוא בטל ויבקש דבר להתעסק בו ונמצא בטל משביתת שבת ואח"כ בנין אהל וצידה וקשירה ובישול וברירה וסחיטה ותקון מאכל אדם ומאכל בהמה ודבר הניצוד בשבת לצורך עכו"ם או לצורך ישראל או הביאו מחוץ לתחום ושאר דברים שעשאוהו לצרכו ורחיצה וסיכה וכל רפואה ופיקוח נפש ויולדת וצרכי מילה והולדת בהמה ורפואתה ופינוי מקום לאורחים והצלה מפני הדליקה ומעט מהלכות שבת בלא סדר וחילוק ד' רשויות ומעט מדיני הוצאה ודין קרפף סאתים או יותר וענין מחיצות וכל דיניהן והכשר מבוי וכל דיניו ועירובי חצרות וכל דיניו ושיתופי מבואות וכל דיניו ועירובי תחומין וכל דיניו:</w:t>
      </w:r>
    </w:p>
    <w:p w14:paraId="17E655B7" w14:textId="77777777" w:rsidR="004B2E7C" w:rsidRDefault="004B2E7C" w:rsidP="00FF2D21">
      <w:pPr>
        <w:pStyle w:val="aa"/>
        <w:numPr>
          <w:ilvl w:val="0"/>
          <w:numId w:val="128"/>
        </w:numPr>
        <w:rPr>
          <w:rtl/>
        </w:rPr>
      </w:pPr>
      <w:r>
        <w:rPr>
          <w:rFonts w:cs="Arial"/>
          <w:rtl/>
        </w:rPr>
        <w:t>כתיב אם תשיב משבת רגליך ודרשו חז"ל שלא יהא הילוכך של שבת כהילוכך של חול ע"כ אין לו לאדם לרוץ בשבת כדרך שעושה בחול</w:t>
      </w:r>
      <w:r>
        <w:rPr>
          <w:rStyle w:val="a9"/>
          <w:rFonts w:cs="Arial"/>
          <w:rtl/>
        </w:rPr>
        <w:footnoteReference w:id="1075"/>
      </w:r>
      <w:r>
        <w:rPr>
          <w:rFonts w:cs="Arial"/>
          <w:rtl/>
        </w:rPr>
        <w:t xml:space="preserve"> אבל אם רץ לדבר מצוה כגון לבהכ"נ או כיוצא בו מותר כתוב בס"ה בחורים המתענגים בקפיצתם ובמרוצתם מותר וכן לראות כל דבר שמתענגים בו מותר לראותו היה הולך והגיע לאמת המים יכול לדלג ולקפוץ עליה אפילו אם היא רחבה שאינו יכול להניח רגלו ראשונה קודם שיעקור שנייה ומוטב שידלג ממה שיקיפנה מפני שמרבה בהילוך ואסור לעבור בה שלא יבא לידי סחיטה היה הולך לדבר מצוה כגון להקביל פני רבו או פני מי שגדול ממנו בחכמה יכול לעבור בה</w:t>
      </w:r>
      <w:r>
        <w:rPr>
          <w:rStyle w:val="a9"/>
          <w:rFonts w:cs="Arial"/>
          <w:rtl/>
        </w:rPr>
        <w:footnoteReference w:id="1076"/>
      </w:r>
      <w:r>
        <w:rPr>
          <w:rFonts w:cs="Arial"/>
          <w:rtl/>
        </w:rPr>
        <w:t xml:space="preserve"> ובלבד שיעשה שינוי כגון שלא יוציא ידו מתחת שפת חלוקו כדי שיזכור ולא יבא לידי סחיטה ואסור לעבור בה בסנדלו דחיישינן דלמא נפיל ואתי לאתויי אבל במנעלו מותר דלא נפיל ויש כלים שמנעו חכמים לצאת בהם בר"ה זה הכלל כל היוצא בדבר שאינו מתכשיטים ואינו דרך מלבוש והוציאו כדרך שרגילין להוציא אותו דבר חייב וכל תכשיט שהוא רפוי שאפשר לו בקל ליפול אסור לצאת בו ואם יצא פטור ואשה לא תצא בתכשיטים שדרכה לשולפם ולהראותם הלכך לא יצא האיש בסייף ובקשת ובתריס ואלה ורומח ובכלים שאינן תכשיט ואם יצא חייב חטאת שאינו דרך מלבוש ולא בשריון ולא בקסדא ולא במגפיים ואם יצא פטור שהן דרך מלבוש ולא יצא בתפילין מפני שצריך להסירם כשיכנס לבית הכסא ולא יצא קטן במנעל גדול דלמא נפיל ואתי לאתויי אבל יוצא הוא בחלוק גדול שאינו נופל ממנו ולא יצא במנעל אחד אם אין לו מכה ברגלו דלמא מחייכי עליה ואתי לאתויי אבל אם יש לו מכה ברגלו יוצא באותו שאין בו המכה דהשתא ליכא למיחש דלמא מחייכי עליה שרואין בו שאינו יכול לנעול המנעל השני מפני מכתו:</w:t>
      </w:r>
    </w:p>
    <w:p w14:paraId="7A731E66" w14:textId="77777777" w:rsidR="004B2E7C" w:rsidRDefault="004B2E7C" w:rsidP="00FF2D21">
      <w:pPr>
        <w:pStyle w:val="aa"/>
        <w:numPr>
          <w:ilvl w:val="0"/>
          <w:numId w:val="128"/>
        </w:numPr>
        <w:rPr>
          <w:rtl/>
        </w:rPr>
      </w:pPr>
      <w:r>
        <w:rPr>
          <w:rFonts w:cs="Arial"/>
          <w:rtl/>
        </w:rPr>
        <w:t>ולא יצא במחט התחובה לו בבגדו בין נקובה בין שאינה נקובה ואם יצא פטור ולא יצא בטבעת שאין עליה חותם ואם יצא חייב ואם יש לו עליה חותם לרש"י פטור אבל אסור ולר"ת מותר דכל דבר שהוא תכשיט לאיש לא שייך ביה דילמא שליף ומחוי ליה אבל דבר שהוא תכשיט לאיש ולאשה אסור גם לאיש וכן דבר העשוי לתכשיט ולהשתמש בו כגון אותן מפתחות נאות של כסף כמין תכשיט אסור שהרואה אומר לצורך תשמיש הוא מוציאו וה"ר מאיר התירו אם הוא עשוי מכסף אבל לא בשל ברזל ונחושת אפילו עשוי לנוי. ובספר המצות כתב מפתח אסור אם אינו עשוי ברצועה מובלעת בתוך יד של מפתח אבל בשלשלת שיש בה קרס והקרס אחוז במפתח חלוקה יש אוסרין ויש מתירין ע"כ ודעת א"א ז"ל להתיר</w:t>
      </w:r>
      <w:r>
        <w:rPr>
          <w:rStyle w:val="a9"/>
          <w:rFonts w:cs="Arial"/>
          <w:rtl/>
        </w:rPr>
        <w:footnoteReference w:id="1077"/>
      </w:r>
      <w:r>
        <w:rPr>
          <w:rFonts w:cs="Arial"/>
          <w:rtl/>
        </w:rPr>
        <w:t>. לא יצא החייט במחט התחובה לו בבגדו ולא נגר בקיסם שבאזנו ולא סורק במשיחה שבצוארו ואם יצא פטור ולא יצא הזב בכיס שעושה להצילו מזיבתו שלא יטנף בה וכן אשה נדה שקושרת בגד לפניה שלא תתלכלך בדם נדותה אסור לצאת בו אם לא יהא סינר עשוי כעין מלבוש אבל אם קושרתו כדי שלא יכאב לה הדם ולא תצטער מותר לצאת בו:</w:t>
      </w:r>
    </w:p>
    <w:p w14:paraId="2D6235DA" w14:textId="77777777" w:rsidR="004B2E7C" w:rsidRDefault="004B2E7C" w:rsidP="00FF2D21">
      <w:pPr>
        <w:pStyle w:val="aa"/>
        <w:numPr>
          <w:ilvl w:val="0"/>
          <w:numId w:val="128"/>
        </w:numPr>
        <w:rPr>
          <w:rtl/>
        </w:rPr>
      </w:pPr>
      <w:r>
        <w:rPr>
          <w:rFonts w:cs="Arial"/>
          <w:rtl/>
        </w:rPr>
        <w:t>אין הקטע יוצא בקב שלו פירוש מי שנקטעה רגלו ועושה לו כמין דפוס רגל וחוקק בו מעט לתת בו ראש שוקו וכן קטע שאינו יכול לילך כלל על שוקיו אלא יושב על כסא וכשנעקר ממקומו נסמך על ידיו ועל שוקיו ונדחה לפניו ועושה סמוכות לראשי שוקיו אסור לילך בהן. וכל קטע שגורר שוקיו ועושה סמוכות לאורך שוקיו מותר לילך בהן וחגר שאינו יכול לילך בלא מקל מותר לילך בו אפילו אינו קשור בו אבל אם אפשר לו לילך זולתו ואינו נוטלו אלא להחזיק עצמו כמו הזקן אסור מי שהוא אסור וכבלים ברגליו מותר לצאת בהם דלאו משוי הוא ולמישלף נמי לא חיישינן לפי שהם תקועים יפה:</w:t>
      </w:r>
    </w:p>
    <w:p w14:paraId="2BB8BD58" w14:textId="77777777" w:rsidR="004B2E7C" w:rsidRDefault="004B2E7C" w:rsidP="00FF2D21">
      <w:pPr>
        <w:pStyle w:val="aa"/>
        <w:numPr>
          <w:ilvl w:val="0"/>
          <w:numId w:val="128"/>
        </w:numPr>
        <w:rPr>
          <w:rtl/>
        </w:rPr>
      </w:pPr>
      <w:r>
        <w:rPr>
          <w:rFonts w:cs="Arial"/>
          <w:rtl/>
        </w:rPr>
        <w:t>אין יוצאים בכסא פי' שיושב בכסא ובני אדם נושאים אותו אחד האיש ואחד האשה ואם רבים צריכין לו מותר ובלבד שלא יכתף שלא ישים כל אחד ידו על כתף חבירו והכסא על זרועותיהם ואין יוצאין באנקטמין והוא כמין חמור שעושין הליצנים ונראה כרוכב עליו והוא נושא והולך ברגליו ולא בקשורים והם עצים גבוהין ויש בהן מושב לכף רגל והולכין בהן בטיט ולא בפראמי והן כמין צורות פרצוף שנותנים על הפנים להפחיד התינוקות. אין יוצאין בתיבה וקופה ומחצלת אבל יוצאין בשק ויריעה וחמילה פירוש בגדים גסים:</w:t>
      </w:r>
    </w:p>
    <w:p w14:paraId="6944A7F1" w14:textId="77777777" w:rsidR="004B2E7C" w:rsidRDefault="004B2E7C" w:rsidP="00FF2D21">
      <w:pPr>
        <w:pStyle w:val="aa"/>
        <w:numPr>
          <w:ilvl w:val="0"/>
          <w:numId w:val="128"/>
        </w:numPr>
        <w:rPr>
          <w:rtl/>
        </w:rPr>
      </w:pPr>
      <w:r>
        <w:rPr>
          <w:rFonts w:cs="Arial"/>
          <w:rtl/>
        </w:rPr>
        <w:t>יוצאים במוך וספוג שעל המכה לפי שהן מרפאין הלכך הוי כמו תכשיט וכן בקליפת שום ובצל או באיספלנית ומלוגמא ורטיה שעליה ואם נפלו מעליה לא יחזירם וכל שכן שלא יתנם בתחלה אבל אסור לכרוך חוט או משיחה על המכה לצאת בו דכיון שאינן מרפאין הוי משוי אבל באגוד שכורך על הרטיה שלא תפול מעליו יכול לילך בו וקושרו ומתירו. בני מלכים וכן כל אדם יוצאין בזגין הארוגין להם בכסותן אבל אינם ארוגים לא</w:t>
      </w:r>
      <w:r>
        <w:rPr>
          <w:rStyle w:val="a9"/>
          <w:rFonts w:cs="Arial"/>
          <w:rtl/>
        </w:rPr>
        <w:footnoteReference w:id="1078"/>
      </w:r>
      <w:r>
        <w:rPr>
          <w:rFonts w:cs="Arial"/>
          <w:rtl/>
        </w:rPr>
        <w:t>:</w:t>
      </w:r>
    </w:p>
    <w:p w14:paraId="09EBB3A0" w14:textId="77777777" w:rsidR="004B2E7C" w:rsidRDefault="004B2E7C" w:rsidP="00FF2D21">
      <w:pPr>
        <w:pStyle w:val="aa"/>
        <w:numPr>
          <w:ilvl w:val="0"/>
          <w:numId w:val="128"/>
        </w:numPr>
        <w:rPr>
          <w:rtl/>
        </w:rPr>
      </w:pPr>
      <w:r>
        <w:rPr>
          <w:rFonts w:cs="Arial"/>
          <w:rtl/>
        </w:rPr>
        <w:t>יוצאים במיני עשבים שקושרים אותם בקשרים ותולין אותם לרפואה אין יוצאין בקמיע שאינו מומחה ואם הוא מומחה יוצאין בו ל"ש איתמחי גברא ולא קמיע כגון שכתב לחש א' בג' איגרות ורפאו שלשתן דאיתמחי גברא לאותו לחש בכל פעם שיכתבנו אבל לא לשאר לחשים וגם אין הקמיע מומחה אם יכתבנו אחר לא שנא איתמחי קמיע ולא גברא כגון שכתב לחש אחד באגרת אחת וריפא בו ג' פעמים שאותה אגרת מומחה לכל אדם וכ"ש איתמחי גברא וקמיע כגון שכתב לחש אחד בג' איגרות וכל אחת הועילה לג' אנשים או לאדם אחד ג' פעמים איתמחי גברא ללחש זה בכל איגרת שיכתבנו ואיתמחי איגרות הללו לכל אדם אבל אם כתב ג' קמיעות לאדם אחד ורפאו ג"פ לא איתמחי לא גברא ולא קמיע מותר לצאת בקמיע מומחה לא שנא הוא של כתב או של עיקרין בין בחולה שיש בו סכנה בין שאין בו סכנה ולא שנכפה כבר ותולהו לרפואה אלא אפילו לא אחזו החולי אלא שהוא ממשפחת נכפין ותולה שלא יאחזנו שרי וקושרו ומתירו בר"ה ובלבד שלא יקשרנו בשיר או בטבעת ויצא בו לרה"ר שאז יאמרו שיוצא בו לשם תכשיט וזהו אסור דלאו תכשיט הוא נאמן לומר הרופא על עצמו שהוא מומחה יוצאין בביצת החרגול ובמסמר הצלוב ובשן של שועל בין בחול בין בשבת ואין משום דרכי האמורי וכן בכל דבר שהוא משום רפואה אבל אם עושה מעשה ואין ניכר בו שהוא משום רפואה אסור משום דרכי האמורי אבל כל לחש מותר מי שיש לו מכה בפיסת רגלו וקשר עליה מטבע להגין שלא ינגף ברגליו וגם יש בו משום רפואה מותר לצאת בו אין יוצאין בסנדל המסומר ל"ש שבת ול"ש י"ט ובגמרא מפרש צורתו וכמה מסמרים יש לו ואין מצוי לנו ולכן לא הארכתי בו ואלו סנדלים שלנו המסומרים אינן בכלל זה ומותר לצאת בהם ומ"מ נהגו בהן איסור ואין לפרוץ גדר היוצא בטלית מקופלת פי' לאחר שנתנה על ראשו מגביה שוליה ומקפלה על כתפו או במעות הצרורים לו בסדינו חייב וכל שאינו להתנאות כגון שמקבץ ב' קצותיה על כתפו כדי שלא יעכבוהו מלילך או שלא יעכבוהו מלעשות מלאכתו אסור שאינו דרך מלבוש וכל שהוא להתנאות דרך מלבוש הוא ומותר. יוצא אדם בסודר המקופל על כתפו אף על פי שאין נימא כרוכה לו על אצבעו. הבלנים יכולים להביא סדינים שמסתפגין בהן דרך רשות הרבים דרך מלבוש שיכסו בו ראשו ורובו סכניתא והוא סודר גדול שתלוי לו בין כתפיו וראשו עטוף בו אם מביאו דרך רשות הרבים צריך לקשור ב' ראשיו למטה בכתפיו זה עם זה שלא יפול מראשו. לבדין הקשין אסור להביאם בר"ה או בכרמלית דרך מלבוש ואם הן רכין ובינונים שרי. שתי חגורות זו על גב זו אסור דהוי משוי אבל ב' לבושים שרי ובספר המצות התיר ב' סרבלים ואסר ב' חלוקים:</w:t>
      </w:r>
    </w:p>
    <w:p w14:paraId="3256CA42" w14:textId="77777777" w:rsidR="004B2E7C" w:rsidRDefault="004B2E7C" w:rsidP="00FF2D21">
      <w:pPr>
        <w:pStyle w:val="aa"/>
        <w:numPr>
          <w:ilvl w:val="0"/>
          <w:numId w:val="128"/>
        </w:numPr>
        <w:rPr>
          <w:rtl/>
        </w:rPr>
      </w:pPr>
      <w:r>
        <w:rPr>
          <w:rFonts w:cs="Arial"/>
          <w:rtl/>
        </w:rPr>
        <w:t>כילה שיש בה רצועות שמותחין אותה בהם יכול אדם להתעטף בה ולצאת לר"ה ואין הרצועות חשובות כמשוי שמבוטלת אגבה הילכך מותר לצאת ברצועות התלוים באבנט אף על פי שאין המנעלים קשורים בהן דלא חשיבי ובטלי אגב האבנט אבל אם הם של משי חשיבי ולא בטלי ואסור אם אין המנעלין קשורין בהם מידי דהוה אטלית שאינה מצוייצת כהלכתה דאסור לצאת בה לר"ה דכיון שאינה מצוייצת כהלכתה הוי הציצית משוי דחשיבי ולא בטלי אבל כשמצוייצת כהלכתה לא הוי משוי הילכך מותר לצאת בטלית שלנו לרשות הרבים דחשיבא מצוייצת כהלכתה אף על פי שאין בה תכלת דקיימא לן אין תכלת מעכבת הלבן תדע לך שהרי אנו מברכין עליהם והר"מ מרוטנבורק היה מחמיר שלא לצאת בה וא"א ז"ל היה יוצא בה. כתוב בספר המצות כל דבר שנפסק מן הבגד וראשו אחד מחובר כגון לולאות ואינו חשוב מותר לצאת בו ואם חשוב אסור לצאת בו. כובע אי לא מיהדק בראשו אסור לצאת בו לרה"ר שמא יעבירנו הרוח ואתי לאתויי ואי מיהדק שרי אפי' אם הוא בולט טפח לרש"י ולר"ת אם הוא בולט טפח אסור משום אהל אפילו בבית ואם אינו בולט טפח מותר אפילו ברה"ר. המוצא תפילין בשבת בבזיון במקום שאין משתמרין אם יש בהן רצועות שאז ניכר שהן תפילין והן קשורות שיכול ללובשן מכניסן זוג זוג דרך לבישה עד שיכניסם כולן היה בהם הרבה שלא יספיק היום ללובשן ולהכניסן זוג זוג יחשיך עליהם עד הלילה ויביאם ואם יש שמד שגזרו שלא להניח תפילין מכסן והולך לו אפילו אם הם מועטים ואם אין שמד אלא שירא להחשיך מפני לסטים ואינו חושש אם ימצאו בידו אם הם רבים מוליכן פחות פחות מד' אמות או נותנם לחבירו וחבירו לחבירו עד שמגיע לחצר החיצונה:</w:t>
      </w:r>
    </w:p>
    <w:p w14:paraId="469A043E" w14:textId="77777777" w:rsidR="004B2E7C" w:rsidRDefault="004B2E7C" w:rsidP="00FF2D21">
      <w:pPr>
        <w:pStyle w:val="aa"/>
        <w:numPr>
          <w:ilvl w:val="0"/>
          <w:numId w:val="128"/>
        </w:numPr>
        <w:rPr>
          <w:rtl/>
        </w:rPr>
      </w:pPr>
      <w:r>
        <w:rPr>
          <w:rFonts w:cs="Arial"/>
          <w:rtl/>
        </w:rPr>
        <w:t>הבא להציל כליו מפני הדליקה לובש כל מה שיכול ללבוש ועוטף כל מה שיכול לעטוף ופושט וחוזר ולובש מי שנשרו כליו במים הולך בהן ואינו חושש שמא יבא לידי סחיטה וכששוטחן פסק רבינו ניסים ששוטחן בחמה שלא כנגד העם ור"י פסק כיון שאסור כנגד העם אפילו בחדרי חדרים נמי אסור. מסתפג אדם באלונתית ומביא בידו ולא חיישינן שמא יבא לסחוט ולא ימסור לבלנים שהן חשודים על הסחיטה:</w:t>
      </w:r>
    </w:p>
    <w:p w14:paraId="1DA19631" w14:textId="77777777" w:rsidR="004B2E7C" w:rsidRDefault="004B2E7C" w:rsidP="00434A6A">
      <w:r>
        <w:rPr>
          <w:rFonts w:cs="Arial"/>
          <w:rtl/>
        </w:rPr>
        <w:t>אם באתי לכתוב הלכות שבת וכו':</w:t>
      </w:r>
    </w:p>
    <w:p w14:paraId="5B0B9D35" w14:textId="77777777" w:rsidR="004B2E7C" w:rsidRDefault="004B2E7C" w:rsidP="00434A6A">
      <w:pPr>
        <w:rPr>
          <w:rtl/>
        </w:rPr>
      </w:pPr>
    </w:p>
    <w:p w14:paraId="679AD810" w14:textId="77777777" w:rsidR="004B2E7C" w:rsidRDefault="004B2E7C" w:rsidP="00434A6A">
      <w:pPr>
        <w:rPr>
          <w:rtl/>
        </w:rPr>
      </w:pPr>
      <w:r>
        <w:rPr>
          <w:rFonts w:cs="Arial"/>
          <w:rtl/>
        </w:rPr>
        <w:t>א כתיב אם תשיב משבת רגלך ודרשו חז"ל שלא יהא הילוכך של שבת כהילוכך של חול. פרק אלו קשרים (שבת קיג.):</w:t>
      </w:r>
    </w:p>
    <w:p w14:paraId="3A5FC789" w14:textId="77777777" w:rsidR="004B2E7C" w:rsidRDefault="004B2E7C" w:rsidP="00434A6A">
      <w:pPr>
        <w:rPr>
          <w:rtl/>
        </w:rPr>
      </w:pPr>
      <w:r>
        <w:rPr>
          <w:rFonts w:cs="Arial"/>
          <w:rtl/>
        </w:rPr>
        <w:t>אבל לדבר מצוה כגון לבית הכנסת או כיוצא בו מותר. בפרק קמא דברכות (ו:) וכתבוהו הרי"ף והרא"ש בסוף פרק אלו קשרים (רי"ף מב:, רא"ש סי' ב):</w:t>
      </w:r>
    </w:p>
    <w:p w14:paraId="0776B7ED"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07ABAD0" w14:textId="77777777" w:rsidR="004B2E7C" w:rsidRDefault="004B2E7C" w:rsidP="00434A6A">
      <w:pPr>
        <w:rPr>
          <w:rFonts w:asciiTheme="minorBidi" w:hAnsiTheme="minorBidi" w:cs="Arial"/>
          <w:rtl/>
        </w:rPr>
      </w:pPr>
      <w:r>
        <w:rPr>
          <w:rFonts w:asciiTheme="minorBidi" w:hAnsiTheme="minorBidi" w:cs="Arial"/>
          <w:rtl/>
        </w:rPr>
        <w:t xml:space="preserve">אין לרוץ בשבת אא"כ הוא לדבר מצוה כגון לבהכ"נ או כיוצא בו. הגה: ואסור לפסוע יותר מאמה בפסיעה אחת, אם אפשר לו בפחות (א"ז והג"א פרק מי שהוציאוהו). </w:t>
      </w:r>
    </w:p>
    <w:p w14:paraId="2F5DB4DA" w14:textId="77777777" w:rsidR="004B2E7C" w:rsidRDefault="004B2E7C" w:rsidP="00434A6A">
      <w:pPr>
        <w:pStyle w:val="2"/>
        <w:rPr>
          <w:rtl/>
        </w:rPr>
      </w:pPr>
      <w:r>
        <w:rPr>
          <w:rtl/>
        </w:rPr>
        <w:t>סעיף ב</w:t>
      </w:r>
    </w:p>
    <w:p w14:paraId="38EFC944" w14:textId="77777777" w:rsidR="004B2E7C" w:rsidRDefault="004B2E7C" w:rsidP="00434A6A">
      <w:pPr>
        <w:rPr>
          <w:rtl/>
        </w:rPr>
      </w:pPr>
      <w:r>
        <w:rPr>
          <w:rFonts w:cs="Arial"/>
          <w:rtl/>
        </w:rPr>
        <w:t>ב כתוב בספר המצות בחורים המתענגים בקפיצתן וכו'. כדברים האלה כתוב בסמ"ק (סו"ס רפא עמ' רפ) ובהגהות פרק כ"ד (דפוס קושטא ה"ד) אלא שבדברי רבינו מיותר מותר האחרון דלישנא הכי איתיה בסמ"ק בחורים המתענגים בריצתן וקפיצתן מותר וכן כל דבר שמתענגים בו לראותו: ובתוספתא פרק י"ז (שבת הט"ז) תניא אין רצין בשבת כדי להתעמל אבל מטייל כדרכו אפילו כל היום כולו: כתוב בתשובות שבסוף חזה התנופה לטייל בשבת במבוי שיש בו עירוב בלי כיסוי הראש ובלי סרבל תלוי במנהג ואם נהגו שלא לטייל מנהג יפה הוא ואין להקל בו וראיה פרק מקום שנהגו (פסחים נא.) עכ"ל:</w:t>
      </w:r>
    </w:p>
    <w:p w14:paraId="620906C6"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F55C84D" w14:textId="77777777" w:rsidR="004B2E7C" w:rsidRDefault="004B2E7C" w:rsidP="00434A6A">
      <w:pPr>
        <w:rPr>
          <w:rFonts w:asciiTheme="minorBidi" w:hAnsiTheme="minorBidi" w:cs="Arial"/>
          <w:rtl/>
        </w:rPr>
      </w:pPr>
      <w:r>
        <w:rPr>
          <w:rFonts w:asciiTheme="minorBidi" w:hAnsiTheme="minorBidi" w:cs="Arial"/>
          <w:rtl/>
        </w:rPr>
        <w:t xml:space="preserve">בחורים המתענגים בקפיצתם ומרוצתם, מותר. וכן לראות כל דבר שמתענגים בו (וכן מותר לטייל ב"י). </w:t>
      </w:r>
    </w:p>
    <w:p w14:paraId="68F1FACD" w14:textId="77777777" w:rsidR="004B2E7C" w:rsidRDefault="004B2E7C" w:rsidP="00434A6A">
      <w:pPr>
        <w:pStyle w:val="2"/>
        <w:rPr>
          <w:rtl/>
        </w:rPr>
      </w:pPr>
      <w:r>
        <w:rPr>
          <w:rtl/>
        </w:rPr>
        <w:t>סעיף ג</w:t>
      </w:r>
    </w:p>
    <w:p w14:paraId="262F7998" w14:textId="77777777" w:rsidR="004B2E7C" w:rsidRDefault="004B2E7C" w:rsidP="00434A6A">
      <w:pPr>
        <w:rPr>
          <w:rtl/>
        </w:rPr>
      </w:pPr>
      <w:r>
        <w:rPr>
          <w:rFonts w:cs="Arial"/>
          <w:rtl/>
        </w:rPr>
        <w:t>ג היה הולך והגיע לאמת המים וכו' עד כדי שלא יבא לידי סחיטה. בסוף פרק אלו קשרים (קיג:):</w:t>
      </w:r>
    </w:p>
    <w:p w14:paraId="06587E02"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BE6D8A3" w14:textId="77777777" w:rsidR="004B2E7C" w:rsidRDefault="004B2E7C" w:rsidP="00434A6A">
      <w:pPr>
        <w:rPr>
          <w:rFonts w:asciiTheme="minorBidi" w:hAnsiTheme="minorBidi" w:cs="Arial"/>
          <w:rtl/>
        </w:rPr>
      </w:pPr>
      <w:r>
        <w:rPr>
          <w:rFonts w:asciiTheme="minorBidi" w:hAnsiTheme="minorBidi" w:cs="Arial"/>
          <w:rtl/>
        </w:rPr>
        <w:t xml:space="preserve">היה הולך והגיע לאמת המים יכול לדלגו ולקפוץ עליה אפילו אם היא רחבה שאינו יכול להניח רגלו ראשונה קודם שיעקור שנייה, ומוטב שידלג ממה שיקיפנה מפני שמרבה בהלוך; ואסור לעבור בה, שלא יבא לידי סחיטה. </w:t>
      </w:r>
    </w:p>
    <w:p w14:paraId="3211AAC0" w14:textId="77777777" w:rsidR="004B2E7C" w:rsidRDefault="004B2E7C" w:rsidP="00434A6A">
      <w:pPr>
        <w:pStyle w:val="2"/>
        <w:rPr>
          <w:rtl/>
        </w:rPr>
      </w:pPr>
      <w:r>
        <w:rPr>
          <w:rtl/>
        </w:rPr>
        <w:t>סעיף ד</w:t>
      </w:r>
    </w:p>
    <w:p w14:paraId="6AD050CE" w14:textId="77777777" w:rsidR="004B2E7C" w:rsidRDefault="004B2E7C" w:rsidP="00434A6A">
      <w:pPr>
        <w:rPr>
          <w:rtl/>
        </w:rPr>
      </w:pPr>
      <w:r>
        <w:rPr>
          <w:rFonts w:cs="Arial"/>
          <w:rtl/>
        </w:rPr>
        <w:t>ד היה הולך לדבר מצוה וכו' עד אבל במנעלו מותר דלא נפיל. פרק בתרא דיומא (עז: עח.) ואיבעיא לן רב אצל תלמיד מהו ולא איפשיטא וכתבו הרי"ף (א:) והרא"ש (סי' ה) דנקטינן לחומרא ולכן לא הזכירו רבינו דממילא משמע דאסור שהרי לא התיר אלא להקביל פני גדול ממנו:</w:t>
      </w:r>
    </w:p>
    <w:p w14:paraId="54B8CC7F" w14:textId="77777777" w:rsidR="004B2E7C" w:rsidRDefault="004B2E7C" w:rsidP="00434A6A">
      <w:pPr>
        <w:rPr>
          <w:rtl/>
        </w:rPr>
      </w:pPr>
      <w:r>
        <w:rPr>
          <w:rFonts w:cs="Arial"/>
          <w:rtl/>
        </w:rPr>
        <w:t>ומה שכתב שהטעם שלא יוציא ידו מתחת שפת חלוקו הוא כדי שיזכור ולא יבא לידי סחיטה. כן כתבו שם הרא"ש (סי' ד) והר"ן (א: ד"ה עובר) אבל רש"י פירש שלא יוציא ידו מתחת שפת חלוקו להגביה שפת חלוקו על זרועו דאינו נראה כמלבוש אלא כנושאה על כתפו ואמר מר (שבת קמז.) היוצא בטלית מקופלת על כתפו בשבת חייב. ובחילוק בין מנעל לסנדל פירש רש"י (ד"ה סנדל מאי) דסנדל אינו יכול להדקו ולקשרו יפה ברגלו כמות מנעל:</w:t>
      </w:r>
    </w:p>
    <w:p w14:paraId="508A0013"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931ADDF" w14:textId="77777777" w:rsidR="004B2E7C" w:rsidRDefault="004B2E7C" w:rsidP="00434A6A">
      <w:pPr>
        <w:rPr>
          <w:rFonts w:asciiTheme="minorBidi" w:hAnsiTheme="minorBidi" w:cs="Arial"/>
          <w:rtl/>
        </w:rPr>
      </w:pPr>
      <w:r>
        <w:rPr>
          <w:rFonts w:asciiTheme="minorBidi" w:hAnsiTheme="minorBidi" w:cs="Arial"/>
          <w:rtl/>
        </w:rPr>
        <w:t xml:space="preserve">היה הולך לדבר מצוה כגון: להקביל פני רבו או פני מי שגדול ממנו בחכמה, יכול לעבור בה ובלבד שיעשה שינוי כגון שלא יוציא ידו מתחת שפת חלוקו, כדי שיזכור ולא יבא לידי סחיטה (וע"ל סי' תרי"ג סעיף ה' ובס"ח בהג"ה). ואסור לעבור בסנדלו, דכיון דאינו יכול להדקו ולקשרו יפה חיישינן דלמא נפל ואתי לאתויי. אבל במנעלו, מותר. </w:t>
      </w:r>
    </w:p>
    <w:p w14:paraId="61E81D1A" w14:textId="77777777" w:rsidR="004B2E7C" w:rsidRDefault="004B2E7C" w:rsidP="00434A6A">
      <w:pPr>
        <w:pStyle w:val="2"/>
        <w:rPr>
          <w:rtl/>
        </w:rPr>
      </w:pPr>
      <w:r>
        <w:rPr>
          <w:rtl/>
        </w:rPr>
        <w:t>סעיף ה</w:t>
      </w:r>
    </w:p>
    <w:p w14:paraId="20B1472A" w14:textId="77777777" w:rsidR="004B2E7C" w:rsidRDefault="004B2E7C" w:rsidP="00434A6A">
      <w:pPr>
        <w:rPr>
          <w:rtl/>
        </w:rPr>
      </w:pPr>
      <w:r>
        <w:rPr>
          <w:rFonts w:cs="Arial"/>
          <w:rtl/>
        </w:rPr>
        <w:t>ה ודע דבגמרא (יומא שם) שרי להולכים לדבר מצוה לחזור ולעבור במים כדי שלא תהא מכשילן לעתיד לבא:</w:t>
      </w:r>
    </w:p>
    <w:p w14:paraId="4C03CC21"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8BAFED5" w14:textId="77777777" w:rsidR="004B2E7C" w:rsidRDefault="004B2E7C" w:rsidP="00434A6A">
      <w:pPr>
        <w:rPr>
          <w:rFonts w:asciiTheme="minorBidi" w:hAnsiTheme="minorBidi" w:cs="Arial"/>
          <w:rtl/>
        </w:rPr>
      </w:pPr>
      <w:r>
        <w:rPr>
          <w:rFonts w:asciiTheme="minorBidi" w:hAnsiTheme="minorBidi" w:cs="Arial"/>
          <w:rtl/>
        </w:rPr>
        <w:t xml:space="preserve">ההולך לדבר מצוה מותר לעבור במים אף בחזרה, כדי שלא תהא מכשילו לעתיד לבא. </w:t>
      </w:r>
    </w:p>
    <w:p w14:paraId="48CEF9FC" w14:textId="77777777" w:rsidR="004B2E7C" w:rsidRDefault="004B2E7C" w:rsidP="00434A6A">
      <w:pPr>
        <w:pStyle w:val="2"/>
        <w:rPr>
          <w:rtl/>
        </w:rPr>
      </w:pPr>
      <w:r>
        <w:rPr>
          <w:rtl/>
        </w:rPr>
        <w:t>סעיף ו</w:t>
      </w:r>
    </w:p>
    <w:p w14:paraId="475912C3" w14:textId="77777777" w:rsidR="004B2E7C" w:rsidRDefault="004B2E7C" w:rsidP="00434A6A">
      <w:pPr>
        <w:rPr>
          <w:rtl/>
        </w:rPr>
      </w:pPr>
      <w:r>
        <w:rPr>
          <w:rFonts w:cs="Arial"/>
          <w:rtl/>
        </w:rPr>
        <w:t>ו ותו שרי להולך לשמור פירותיו לעבור במים ורבינו השמיטם כאן וסמך על מה שכתבם בסימן תרי"ג (שיט.) לגבי יום הכפורים ששם הוא עיקרם בגמרא: וכתב עוד שם שההולך לשמור פירותיו לא התירו לו לעבור במים בחזרתו ודבר של טעם הוא דהא לא שייך למימר ביה כדי שלא תהא מכשילן לעתיד לבא ומכל מקום התירו לו לעבור כדי לילך לשמור פירותיו דשמירת ממונו לא הוי דבר הרשות לגמרי:</w:t>
      </w:r>
    </w:p>
    <w:p w14:paraId="3F3190FE"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B94250E" w14:textId="77777777" w:rsidR="004B2E7C" w:rsidRDefault="004B2E7C" w:rsidP="00434A6A">
      <w:pPr>
        <w:rPr>
          <w:rFonts w:asciiTheme="minorBidi" w:hAnsiTheme="minorBidi" w:cs="Arial"/>
          <w:rtl/>
        </w:rPr>
      </w:pPr>
      <w:r>
        <w:rPr>
          <w:rFonts w:asciiTheme="minorBidi" w:hAnsiTheme="minorBidi" w:cs="Arial"/>
          <w:rtl/>
        </w:rPr>
        <w:t xml:space="preserve">ההולך לשמור פירותיו מותר לו לעבור במים בהליכה, אבל לא בחזרה. </w:t>
      </w:r>
    </w:p>
    <w:p w14:paraId="2D5E808D" w14:textId="77777777" w:rsidR="004B2E7C" w:rsidRDefault="004B2E7C" w:rsidP="00434A6A">
      <w:pPr>
        <w:pStyle w:val="2"/>
        <w:rPr>
          <w:rtl/>
        </w:rPr>
      </w:pPr>
      <w:r>
        <w:rPr>
          <w:rtl/>
        </w:rPr>
        <w:t>סעיף ז</w:t>
      </w:r>
    </w:p>
    <w:p w14:paraId="1D765B72" w14:textId="77777777" w:rsidR="004B2E7C" w:rsidRDefault="004B2E7C" w:rsidP="00434A6A">
      <w:pPr>
        <w:rPr>
          <w:rtl/>
        </w:rPr>
      </w:pPr>
      <w:r>
        <w:rPr>
          <w:rFonts w:cs="Arial"/>
          <w:rtl/>
        </w:rPr>
        <w:t>ז ויש כלים שמנעו חכמים לצאת בהם וכו' זה הכלל כל היוצא בדבר שאינו מתכשיטין וכו'. מדברי הרמב"ם בפרק י"ט (ה"ה) ונלמד מתוך דברי הגמרא פרק במה אשה יוצאה מתוך הדינים שיבואו בסמוך:</w:t>
      </w:r>
    </w:p>
    <w:p w14:paraId="609EDD0F" w14:textId="77777777" w:rsidR="004B2E7C" w:rsidRDefault="004B2E7C" w:rsidP="00434A6A">
      <w:pPr>
        <w:rPr>
          <w:rtl/>
        </w:rPr>
      </w:pPr>
      <w:r>
        <w:rPr>
          <w:rFonts w:cs="Arial"/>
          <w:rtl/>
        </w:rPr>
        <w:t>הילכך לא יצא האיש בסייף ובקשת וכו'. משנה שם (שבת סג.) ומשמע דאפילו בחגור בסייף נמי חייב וכן כתוב בהגהות אשיר"י שם (סי' יג). ותריס היינו מגן. ואלה מצוקא בלע"ז:</w:t>
      </w:r>
    </w:p>
    <w:p w14:paraId="49936E94" w14:textId="77777777" w:rsidR="004B2E7C" w:rsidRDefault="004B2E7C" w:rsidP="00434A6A">
      <w:pPr>
        <w:rPr>
          <w:rtl/>
        </w:rPr>
      </w:pPr>
      <w:r>
        <w:rPr>
          <w:rFonts w:cs="Arial"/>
          <w:rtl/>
        </w:rPr>
        <w:t>ולא בשרין ולא בקסדא. גם זה משנה שם (ס.). וקסדא הוא כובע ברזל. ומגיפים הם אנפלאות של ברזל למלחמה:</w:t>
      </w:r>
    </w:p>
    <w:p w14:paraId="3805ED59" w14:textId="77777777" w:rsidR="004B2E7C" w:rsidRDefault="004B2E7C" w:rsidP="00434A6A">
      <w:pPr>
        <w:rPr>
          <w:rtl/>
        </w:rPr>
      </w:pPr>
      <w:r>
        <w:rPr>
          <w:rFonts w:cs="Arial"/>
          <w:rtl/>
        </w:rPr>
        <w:t>ולא יצא בתפלין. גם זה משנה שם ומפרש בגמרא (סא.) דאפילו למאן דאמר שבת זמן תפלין הוא אסור דילמא אתי לאיתויי ברשות הרבים ופירש רש"י אם בא ליפנות:</w:t>
      </w:r>
    </w:p>
    <w:p w14:paraId="566F310B" w14:textId="77777777" w:rsidR="004B2E7C" w:rsidRDefault="004B2E7C" w:rsidP="00434A6A">
      <w:pPr>
        <w:rPr>
          <w:rtl/>
        </w:rPr>
      </w:pPr>
      <w:r>
        <w:rPr>
          <w:rFonts w:cs="Arial"/>
          <w:rtl/>
        </w:rPr>
        <w:t>ולא יצא קטן במנעל גדול וכו'. בסוף פרק תולין (שבת קמא:) ת"ר ולא יצא קטן במנעל גדול אבל יוצא הוא בחלוק גדול ולא תצא אשה במנעל מרופט ואין יוצאין במנעל חדש באי זה מנעל אמרו במנעל של אשה ונראה מדברי רבינו דהא דאמרינן באי זה מנעל אמרו לא קאי אלא אמנעל חדש לחודיה וכן נראה מדברי סמ"ג (לאוין סה, יט ע"א) וסמ"ק (סי' רפב עמ' ש) אבל מדברי רבינו ירוחם בח"ב (נתיב י"ב, חלק ה', עד ע"ב) נראה דקאי גם אלא יצא קטן במנעל גדול דבאשה דוקא אמרו ולא באיש:</w:t>
      </w:r>
    </w:p>
    <w:p w14:paraId="02B9584E" w14:textId="77777777" w:rsidR="004B2E7C" w:rsidRDefault="004B2E7C" w:rsidP="00434A6A">
      <w:pPr>
        <w:rPr>
          <w:rtl/>
        </w:rPr>
      </w:pPr>
      <w:r>
        <w:rPr>
          <w:rFonts w:cs="Arial"/>
          <w:rtl/>
        </w:rPr>
        <w:t>ולא יצא במנעל אחד אם אין לו מכה ברגלו וכו'. משנה בפרק במה אשה (ס.) לא יצא האיש בסנדל המסומר ולא ביחיד בזמן שאין ברגלו מכה ופירש רש"י בירושלמי (שבת פ"ו ה"ב) מפרש דלא לחשדיה דטעין לחבריה תותי כנפיה ולשון רבותי דילמא מחייכי עליה ושקיל שליף ליה וממטי ליה בידים בשכחה. ובגמרא (סא.) דייק הא יש ברגלו מכה נפיק בהי מינייהו נפיק אמר רב הונא באותה שיש בה מכה וחייא בר רב אמר באותה שאין בה מכה ופסקו הרי"ף (כז:) והרא"ש (סי' ח) כחייא בר רב וכן פסק הרמב"ם בפרק (כ"ט) [י"ט] (הט"ו):</w:t>
      </w:r>
    </w:p>
    <w:p w14:paraId="1B7D4BA1"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0CB282C" w14:textId="77777777" w:rsidR="004B2E7C" w:rsidRDefault="004B2E7C" w:rsidP="00434A6A">
      <w:pPr>
        <w:rPr>
          <w:rFonts w:asciiTheme="minorBidi" w:hAnsiTheme="minorBidi" w:cs="Arial"/>
          <w:rtl/>
        </w:rPr>
      </w:pPr>
      <w:r>
        <w:rPr>
          <w:rFonts w:asciiTheme="minorBidi" w:hAnsiTheme="minorBidi" w:cs="Arial"/>
          <w:rtl/>
        </w:rPr>
        <w:t xml:space="preserve">כל היוצא בדבר שאינו תכשיט ואינו דרך מלבוש והוציאו כדרך שרגילין להוציא אותו דבר, חייב. וכל תכשיט שהוא רפוי שאפשר לו בקל ליפול, אסור לצאת בו ואם יצא, פטור. ואשה לא תצא בתכשיטים שדרכה לשלפם (פי' להסירם מעליה) ולהראותם. הגה: ועיין לקמן סימן ש"ג סעיף י"ח אם אסור אפילו בחצר או בבית, הלכך לא יצא איש לא בסייף ולא בקשת ולא בתריס (פי' מגן) ולא באלה ולא ברומח ולא בכלים שאינם תכשיט, ואם יצא חייב חטאת, ולא בשריון ולא בקסדא (פי' כובע של ברזל) ולא במגפים (פי' אנפלאות של ברזל), ואם יצא פטור שהם דרך מלבוש. ולא יצא בתפילין, מפני שצריך להסירם כשיכנס לבית הכסא. ולא יצא קטן במנעל גדול דלמא נפל ואתי לאתויי, אבל יוצא הוא בחלוק גדול. ולא יצא במנעל אחד אם אין לו מכה ברגלו, דלמא מחייכי עליה ואתי לאתויי, אבל אם יש לו מכה ברגלו יצא באותו שאין בו מכה. </w:t>
      </w:r>
    </w:p>
    <w:p w14:paraId="7CD0F1CD" w14:textId="77777777" w:rsidR="004B2E7C" w:rsidRDefault="004B2E7C" w:rsidP="00434A6A">
      <w:pPr>
        <w:pStyle w:val="2"/>
        <w:rPr>
          <w:rtl/>
        </w:rPr>
      </w:pPr>
      <w:r>
        <w:rPr>
          <w:rtl/>
        </w:rPr>
        <w:t>סעיף ח</w:t>
      </w:r>
    </w:p>
    <w:p w14:paraId="76D95329" w14:textId="77777777" w:rsidR="004B2E7C" w:rsidRDefault="004B2E7C" w:rsidP="00434A6A">
      <w:pPr>
        <w:rPr>
          <w:rtl/>
        </w:rPr>
      </w:pPr>
      <w:r>
        <w:rPr>
          <w:rFonts w:cs="Arial"/>
          <w:rtl/>
        </w:rPr>
        <w:t>ח ולא יצא במחט התחובה לו בבגדו וכו'. בפרק קמא דשבת (יא:) מבואר בברייתא דלכולי עלמא כל היכא שאינו אומן פטור ודין האומן יבא בדברי רבינו בסמוך. ובפרק במה אשה (נז., סב.) תנן ואם יצתה אשה במחט (שאינה) נקובה או בטבעת שיש עליה חותם חייבת חטאת ואם יצתה במחט [שאינה] נקובה ובטבעת שאין עליה חותם פטורה. אמר עולא (סב.) וחילופיהן באיש ופירש הרי"ף (כח.) דעולא קאי בין אמחט בין אטבעת דאיש היוצא במחט [שאינה] נקובה או בטבעת שאין עליה חותם חייב חטאת ואם יצא במחט (שאינה) נקובה או בטבעת שיש עליה חותם פטור אבל אסור וכן דעת הרמב"ם בפרק י"ט (הל' ג, ה): והרא"ש (סי' י) תמה על הרי"ף היאך יתחייב האיש במחט שאינה נקובה הוצאה כלאחר יד היא ועוד בשלמא בטבעת שייך למימר וחלופיהן באיש דבאשה באין עליה חותם הוי תכשיט ויש עליה הוי משוי ובאיש להפך יש עליה חותם הוי תכשיט אין עליה חותם הוי משוי אבל במחט בין נקובה בין אינה נקובה הוי משוי לאיש לכך נראה פירוש רש"י שפירש וחילופיהן באיש דמחייב חטאת קאי אטבעת שאין עליה חותם ולא קאי אמחט עכ"ל: ונראה שדעתו לומר שאין דרך האיש לצאת בשום מחט לא נקובה ולא בלתי נקובה ולכן תמה היאך יתחייב האיש במחט שאינה נקובה הוצאה כלאחר יד היא כלומר שמאחר שאין דרכו להוציא מחט שאינה נקובה הוי מוציא שלא כדרך המוציאין ופטור. ומה שכתב ועוד דבמחט בין נקובה בין שאינה נקובה הוי משוי לאיש הכי קאמר לפי דברי הרי"ף דמחייב לאיש במחט שאינה נקובה משום דכיון דאינה תכשיט לו הוי משוי היה לו לחייב גם בנקובה דגם היא אינה תכשיט לו והוי משוי אלא ודאי בין נקובה בין שאינה נקובה אינה תכשיט לאיש ופטור עליהם. ורבינו סתם דבריו כהרא"ש וזהו שכתב דבאיש בין נקובה בין שאינה נקובה פטור אבל אסור: והרב המגיד בפרק י"ט (ה"ג) כתב שדעת הגאונים והרמב"ן (סב. ד"ה אמר) והרשב"א (סב. ד"ה אמר עולא) כדעת רש"י אבל כתב שדעת רש"י שהאיש והאשה שוין בדין המחטים נראה מדבריו שהוא סובר דלרש"י איש היוצא במחט (שאינה) נקובה חייב בחטאת כמו האשה. והר"ן (כח: דיבור ראשון) כתב דלא נראו לו דברי הרי"ף ולא פירש דעתו: נמצאו ג' מחלוקות בדבר לדברי הרי"ף והרמב"ם איש היוצא במחט [שאינה] נקובה חייב (ובשאינה נקובה) [ובנקובה] פטור ולדברי הרא"ש בין בנקובה בין בשאינה נקובה פטור ולדברי הרב המגיד (באינה נקובה) [בנקובה] חייב (ובנקובה) [ובאינה נקובה] פטור:</w:t>
      </w:r>
    </w:p>
    <w:p w14:paraId="0A583852"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5754EF8" w14:textId="77777777" w:rsidR="004B2E7C" w:rsidRDefault="004B2E7C" w:rsidP="00434A6A">
      <w:pPr>
        <w:rPr>
          <w:rFonts w:asciiTheme="minorBidi" w:hAnsiTheme="minorBidi" w:cs="Arial"/>
          <w:rtl/>
        </w:rPr>
      </w:pPr>
      <w:r>
        <w:rPr>
          <w:rFonts w:asciiTheme="minorBidi" w:hAnsiTheme="minorBidi" w:cs="Arial"/>
          <w:rtl/>
        </w:rPr>
        <w:t xml:space="preserve">לא יצא במחט התחובה לו בבגדו בין נקובה בין שאינה נקובה. ואם יצא בנקובה חייב, ובשאינה נקובה, פטור. וי"א בהפך. </w:t>
      </w:r>
    </w:p>
    <w:p w14:paraId="30636E3D" w14:textId="77777777" w:rsidR="004B2E7C" w:rsidRDefault="004B2E7C" w:rsidP="00434A6A">
      <w:pPr>
        <w:pStyle w:val="2"/>
        <w:rPr>
          <w:rtl/>
        </w:rPr>
      </w:pPr>
      <w:r>
        <w:rPr>
          <w:rtl/>
        </w:rPr>
        <w:t>סעיף ט</w:t>
      </w:r>
    </w:p>
    <w:p w14:paraId="7188F499" w14:textId="77777777" w:rsidR="004B2E7C" w:rsidRDefault="004B2E7C" w:rsidP="00434A6A">
      <w:pPr>
        <w:rPr>
          <w:rtl/>
        </w:rPr>
      </w:pPr>
      <w:r>
        <w:rPr>
          <w:rFonts w:cs="Arial"/>
          <w:rtl/>
        </w:rPr>
        <w:t>ט ולא יצא בטבעת שאין עליה חותם וכו'. משנה כתבתיה בסמוך דאשה שיצאה בטבעת שיש עליה חותם חייבת וכשאין עליה חותם פטורה ואמר עולא וחילופיהן באיש ופירש רש"י דבאיש בשאין עליה חותם חייב יש עליה חותם פטור. אבל רבינו תם כתב דלא גזרו חכמים באיש דילמא שליף ומחוי לפי שאין דרכו בכך וכן משמע בגמרא (סא סוע"א) דשרי גברא לצאת בטבעת לרשות הרבים והא דאמר עולא וחילופיהן באיש אחיוב חטאת קאי דבאיש יש עליה חותם מותר אין עליה חותם חייב חטאת וגרסינן בירושלמי (פ"ו ה"א) נמי תכשיטין למה הם אסורים אמר רב על ידי שהנשים שחצניות היא מתירתו להראות לחבירתה והיא שוכחת ומהלכת בו ארבע אמות ברשות הרבים כך כתב הרא"ש (שם). ומשמע מדבריו דסבירא ליה כרבינו תם וכן כתב שם המרדכי (סי' שמט) וכן כתבו סמ"ג (לאוין סה, יח ע"ג) והתרומה (סי' רלט פט ע"ד, רמ צ ע"ב) והגהות פרק י"ט (דפוס קושטא ה"ח) שהאיש מותר לצאת בטבעת שיש עליה חותם דלא חיישינן דילמא שליף ומחוי. וגם הר"ן (שם ד"ה ואיכא) הזכיר שם דעת רבינו תם אלא שנחלק עליו:</w:t>
      </w:r>
    </w:p>
    <w:p w14:paraId="2E1C74A3" w14:textId="77777777" w:rsidR="004B2E7C" w:rsidRDefault="004B2E7C" w:rsidP="00434A6A">
      <w:pPr>
        <w:rPr>
          <w:rtl/>
        </w:rPr>
      </w:pPr>
      <w:r>
        <w:rPr>
          <w:rFonts w:cs="Arial"/>
          <w:rtl/>
        </w:rPr>
        <w:t>ומה שכתב רבינו אבל דבר שהוא תכשיט לאיש ולאשה אסור גם לאיש. הוא ממה שכתב שם הרא"ש ויש מביאין ראיה מן הירושלמי (שם) לפירוש רש"י דגרסינן התם והאיש על ידי שאינו שחץ מותר נשמיענה מן הדא מעשה ברבן גמליאל שירד לטייל בתוך חצירו בשבת ומפתח של זהב בידו וגערו בו חביריו משום תכשיט הדא אמרה העשוי לתכשיט אסור הדא אמרה העשוי לכך ולכך הדא אמרה אחד האיש ואחד האשה. והרז"ה (כז. ד"ה אמר) דחה ראיה זו שאני מפתח שהוא תכשיט לאיש ולאשה הילכך לא פליג בין איש לאשה אבל דבר שהוא תכשיט לאיש ולא לאשה מותר והסכים הרא"ש לדבריו. ולפי זה טבעת שיש עליה חותם דהוי תכשיט דאיש ולא דאשה מותר האיש לצאת [בו] אבל דבר שהוא תכשיט דאיש ודאשה אסור אף האיש לצאת בו: וכתב שם הר"ן (כו. ד"ה ועל פי) שעל פי סברת רבינו תם יש מי שאומר שעכשיו יוצא האיש אפילו בטבעת שאין עליה חותם דאף על גב דאמרינן בגמרא וחילופיהן באיש הני מילי לפי דורם שלא היו האנשים רגילים בטבעת שאין עליה חותם אבל עכשיו שנהגו בו הרי הוא להם כתכשיט ושרי עכ"ל: אבל הרמב"ם בפרק י"ט (הל' ג - ד) אף על פי שהתיר לאיש לצאת בטבעת שיש עליה חותם כדברי רבינו תם כתב דבאין עליה חותם חייב חטאת ולא חילק בין זמן לזמן להקל בזמן הזה ואדרבה כתב שנהגו העם שלא יצאו בטבעת כלל. וגם בכל הספרים שראיתי שהזכירו דעת רבינו תם חייבו חטאת לאיש באין עליה חותם ולא חילקו בין זמן לזמן. ורבינו ירוחם בחלק ה' (נתיב י"ב, עד סוע"א) כתב שאף על פי שבזמן הזה הוי טבעת שאין עליה חותם תכשיט לאיש יש לאסור מטעם שהוא תכשיט גם לאשה וכל שהוא תכשיט לאיש ולאשה אסור עכ"ל. הרי שאוסר גם בזמן הזה לאיש טבעת שאין עליה חותם אלא שאינו מחייב עליה חטאת שהרי לא אסרו אלא מפני שהוא תכשיט לאיש ולאשה וכל כה"ג לא מיתסר אלא משום דילמא שליף ואתי לאתויי ודבר של טעם הוא דכיון דחזינן שהוא תכשיט לו אי אפשר לחייבו עליו חטאת:</w:t>
      </w:r>
      <w:r>
        <w:rPr>
          <w:rStyle w:val="a9"/>
          <w:rtl/>
        </w:rPr>
        <w:footnoteReference w:id="1079"/>
      </w:r>
    </w:p>
    <w:p w14:paraId="14B37027"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2E240F7" w14:textId="77777777" w:rsidR="004B2E7C" w:rsidRDefault="004B2E7C" w:rsidP="00434A6A">
      <w:pPr>
        <w:rPr>
          <w:rFonts w:asciiTheme="minorBidi" w:hAnsiTheme="minorBidi" w:cs="Arial"/>
          <w:rtl/>
        </w:rPr>
      </w:pPr>
      <w:r>
        <w:rPr>
          <w:rFonts w:asciiTheme="minorBidi" w:hAnsiTheme="minorBidi" w:cs="Arial"/>
          <w:rtl/>
        </w:rPr>
        <w:t xml:space="preserve">לא יצא בטבעת שאין עליה חותם, ואם יצא חייב. ואם יש עליה חותם לרש"י פטור, ולר"ת ולהרמב"ם מותר דאינו תכשיט אלא לאיש. אבל דבר שהוא תכשיט לאיש ולאשה אסור גם לאיש (וע"ל סימן ש"ג). </w:t>
      </w:r>
    </w:p>
    <w:p w14:paraId="7CE3116D" w14:textId="77777777" w:rsidR="004B2E7C" w:rsidRDefault="004B2E7C" w:rsidP="00434A6A">
      <w:pPr>
        <w:pStyle w:val="2"/>
        <w:rPr>
          <w:rtl/>
        </w:rPr>
      </w:pPr>
      <w:r>
        <w:rPr>
          <w:rtl/>
        </w:rPr>
        <w:t>סעיף י</w:t>
      </w:r>
    </w:p>
    <w:p w14:paraId="2E2090AA" w14:textId="77777777" w:rsidR="004B2E7C" w:rsidRDefault="004B2E7C" w:rsidP="00434A6A">
      <w:pPr>
        <w:rPr>
          <w:rtl/>
        </w:rPr>
      </w:pPr>
      <w:r>
        <w:rPr>
          <w:rFonts w:cs="Arial"/>
          <w:rtl/>
        </w:rPr>
        <w:t>י כתב הכלבו (סי' לא, כט ע"א) דטבעת שקבוע בה אבן וכן אם כתובים בה אותיות אין עליה חותם מיקריא שלא נקרא חותם אלא אם כן חקוקים בה אותיות או צורות כדי שיהא במה שחותמין בה חותמה בולט עכ"ל. ונראה לי דחותמה בולט לאו דוקא דהוא הדין אם מה שחותמין בה חותמה שוקע אלא דנקט אורחא דמילתא: וז"ל שבלי הלקט (ריש סי' קז) טבעות שכותבים בהם אותיות לרפואה ואין בהם חותם נראה דאסור להוליכן בשבת אם לא נתמחו היטב כקמיע מומחה:</w:t>
      </w:r>
    </w:p>
    <w:p w14:paraId="325A8C38"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6C21E9A" w14:textId="77777777" w:rsidR="004B2E7C" w:rsidRDefault="004B2E7C" w:rsidP="00434A6A">
      <w:pPr>
        <w:rPr>
          <w:rFonts w:asciiTheme="minorBidi" w:hAnsiTheme="minorBidi" w:cs="Arial"/>
          <w:rtl/>
        </w:rPr>
      </w:pPr>
      <w:r>
        <w:rPr>
          <w:rFonts w:asciiTheme="minorBidi" w:hAnsiTheme="minorBidi" w:cs="Arial"/>
          <w:rtl/>
        </w:rPr>
        <w:t xml:space="preserve">טבעת שקבוע בה אבן וכן אם כתובים בה אותיות אין עליה חותם מיקרי, שלא נקרא חותם אא"כ חקוקים בה אותיות או צורות. </w:t>
      </w:r>
    </w:p>
    <w:p w14:paraId="701CE71D" w14:textId="77777777" w:rsidR="004B2E7C" w:rsidRDefault="004B2E7C" w:rsidP="00434A6A">
      <w:pPr>
        <w:pStyle w:val="2"/>
        <w:rPr>
          <w:rtl/>
        </w:rPr>
      </w:pPr>
      <w:r>
        <w:rPr>
          <w:rtl/>
        </w:rPr>
        <w:t>סעיף יא</w:t>
      </w:r>
    </w:p>
    <w:p w14:paraId="1FDB3654" w14:textId="77777777" w:rsidR="004B2E7C" w:rsidRDefault="004B2E7C" w:rsidP="00434A6A">
      <w:pPr>
        <w:rPr>
          <w:rtl/>
        </w:rPr>
      </w:pPr>
      <w:r>
        <w:rPr>
          <w:rFonts w:cs="Arial"/>
          <w:rtl/>
        </w:rPr>
        <w:t>יא ומה שכתב רבינו וכן דבר העשוי לתכשיט ולהשתמש בו כגון אותן מפתחות נאות וכו'. הירושלמי שכתבתי בסמוך פירשו הרא"ש בפרק במה אשה (שם) דה"ק הדא אמרה העשוי לכך ולכך פירוש לאיש ולאשה הדא אמרה בזה אני אומר אחד האיש ואחד האשה ויש מפרשים העשוי לכך ולכך כלומר שעשוי לתכשיט ולתשמיש כגון מפתח שפותח בו המנעול בזה אסור בין באיש בין באשה דהרואה אומר לצורך תשמיש הוא מוציאו ובאשכנז נוהגים שעושים מפתחות ותולות אותו הנשים בצואריהם בשלשלאות או בחוטי צבעונין ויוצאין בהם עכ"ל: ולפי דברי המפרשים דהעשוי לכך ולכך היינו שעשוי לתכשיט ולתשמיש הדבר ברור דהני מפתחות אסירי וכמו שכתב רבינו אבל הרא"ש משמע דאינו מפרש העשוי לכך ולכך אלא העשוי לאיש ולאשה אבל העשוי לתכשיט ולתשמיש לא הוזכר לאיסור דמישרא שרי ולכן כתב שבאשכנז נוהגים היתר ולא נחלק עליהם אלמא דהכי סבירא ליה וכן כתוב בסמ"ג (שם) וסמ"ק (סי' רפב עמ' רצט) והתרומה (סי' רמ) והגהות פרק י"ט (אות י קמא) דרגילות נשים עשירות להוציא בשבת מפתח של כסף או של זהב ויש בו מחט וסוגרת בה מפתחי חלוקה שבצוארה כלומר שראשה האחד חד כמין מחט וראשה השני עב ועשוי בו מפתח. ולפי דבריהם נ"ל דמה שגערו חביריו ברבן גמליאל שיצא במפתח זהב בידו שאני התם דבידו הואי ואיכא למיחש למשלף ואחויי באשה וכיון שהוא תכשיט דאיש ואשה אסור אף לאיש אבל מנהג אשכנז שהמפתח קשור בצואר ליכא למיחש להכי דהא יכלה לאחויי בעוד המפתח עליה וגם אינו נקל כל כך למשלפיה הילכך שרי אף לאשה:</w:t>
      </w:r>
    </w:p>
    <w:p w14:paraId="37BFF27B" w14:textId="77777777" w:rsidR="004B2E7C" w:rsidRDefault="004B2E7C" w:rsidP="00434A6A">
      <w:pPr>
        <w:rPr>
          <w:rtl/>
        </w:rPr>
      </w:pPr>
      <w:r>
        <w:rPr>
          <w:rFonts w:cs="Arial"/>
          <w:rtl/>
        </w:rPr>
        <w:t>ומה שכתב שהר"מ אסר בשל ברזל ונחשת אפילו עשאו לנוי. כן כתוב בהגהות פרק י"ט (אות ד בתרא) ובמרדכי פרק במה אשה (סי' שנ) שנשאל הר"ם (שו"ת ד"פ סי' תקלב) אם מותר לקבוע ברזל ושאר מיני מתכות בראש חגורתו לנוי כדרך שעושים לחגורים וכשיקבענו יחוק בו צורת מפתח ולהוליכו בשבת ולפתוח ולנעול בו והשיב דודאי אסור והביא ראיות לדבר. ובהגהות (הגמ"י שם) מבואר דלא אסר אלא בשל ברזל ונחשת וכיוצא בו אבל בשל כסף וזהב שרי וגם הרא"ש כתב בתשובה (כלל כב סי' יא) שראה רבותיו שאסרו בשל נחשת ואפילו עשאו כעין תכשיט: והרשב"א כתב בתשובה (ח"ג סי' רסב) מעשים באו לידי בישראלים הדרים בכפרים שהיו עושין מפתח בסוף האזור ומוציאין אותן וחושבין שהוא בטל לגבי האזור ואני אסרתי להם דכל דבר שאינו צורך הכלי ואינו תשמיש הכלי אינו בטל לגבי כלי והרי הוא כאילו מוציאו לבדו בלא הכלי וראיה מדגרסינן בפרק תולין (קלט:) היוצא בטלית שאינה מצוייצת כהלכתה חייב חטאת משום דציציות לגבי טלית חשיב ולא בטלי והוא הדין והוא הטעם למפתח זה שבאזור שלא הוקבע שם לתשמיש האזור אלא להשתמש בו בפני עצמו הוקבע שם ואינו בטל לגבי האזור ומי שמוציאו כן בשבת חייב חטאת עכ"ל ולפי זה בשל כסף נמי אסור וחייב חטאת מהאי טעמא ומכל מקום יש למצוא היתר לצאת בשל כסף מפני שהיא עצמה תכשיט: ובתשובה אשכנזית (שו"ת מהרי"ל סי' פד וסי' קנז סעי' יג) מצאתי כתוב מפתח כסף המתוקן בחגור אי הוי תכשיט לאשה אפילו של ברזל נהוג עלמא להתיר כדברי רבינו פרץ (הגהות לתשב"ץ סי' מט) ואגודה (שבת סי' פה) אף כי מהר"ם קורא תגר והמהדרים מחברים אותו על ידי יתד כסף וטעם המתירים דחשיב כמו תכשיט דחגור שקורין זינקי"ל וכדאמרינן (שבת נח.) בארוג בכסותו דממחה מימחא וכל שהוא ארוג לא גזרו אלא שמהר"ם חילק וכבר פשט המנהג להיתר דאי אפשר לכל אדם לעשות של כסף. אבל בשל כסף נראה דמהר"ם מודה דתכשיט גמור הוא אף על גב דלמקצת פי' הרא"ש ההוא דרבן גמליאל במפתח של זהב בירושלמי מחלק בין איש לאשה לא היה מחובר בחגורה כעין זינקי"ל עכ"ל. ואנו לא ראינו מי שנהג היתר בדבר זה והכי נקיטינן</w:t>
      </w:r>
      <w:r>
        <w:rPr>
          <w:rStyle w:val="a9"/>
          <w:rFonts w:cs="Arial"/>
          <w:rtl/>
        </w:rPr>
        <w:footnoteReference w:id="1080"/>
      </w:r>
      <w:r>
        <w:rPr>
          <w:rFonts w:cs="Arial"/>
          <w:rtl/>
        </w:rPr>
        <w:t>:</w:t>
      </w:r>
    </w:p>
    <w:p w14:paraId="59C63AD7" w14:textId="77777777" w:rsidR="004B2E7C" w:rsidRDefault="004B2E7C" w:rsidP="00434A6A">
      <w:pPr>
        <w:rPr>
          <w:rtl/>
        </w:rPr>
      </w:pPr>
      <w:r>
        <w:rPr>
          <w:rFonts w:cs="Arial"/>
          <w:rtl/>
        </w:rPr>
        <w:t>ומה שכתב רבינו בשם ספר המצות לחלק בין רצועה מובלעת בתוך יד של מפתח לשלשלת שיש בה קרס וכו'. כך הוא בסמ"ק וביאור דבריו דכשרצועה מובלעת בתוך יד המפתח כלומר שהכניס ראש הרצועה במפתח והכה עליו בקורנס עד שנעשית הרצועה מחוברת למפתח כאלו הם גוף אחד שרי כיון שהרצועה כולה גוף אחד אבל אם עשה כן בשלשלת אסור לפי שהשלשלת עשוי מקרסים רבים אחוזים זה בזה ומשום הכי אף על פי שראש השלשלת תהיה מובלעת בתוך המפתח אסור לפי שסוף סוף המפתח והשלשלת אינם גוף אחד שהרי השלשלת מחוברת מחלקים. ודעת אדוני אבי ז"ל להתיר אפילו בשלשלת ואפילו אין ראש השלשלת או הרצועה מובלעת בתוך יד המפתח שהרי כתב שבאשכנז נוהגים לתלות המפתחות בצואריהם בשלשלאות או בחוטי צבעונים הרי שהתיר בשלשלת וגם לא הצריך להיות ראש השלשלת או החוטים מובלעים בתוך יד המפתח. כן נראה לי מדנקט גבי היתרא רצועה וגבי איסורא שלשלת דאם לא כן לא הוה ליה לפלוגי אלא בין מובלע בתוך יד המפתח לאינו מובלע ולא בין רצועה לשלשלת אלא ודאי בכל שלשלת אסר. ומה שכתב אבל בשלשלת שיש בה קרס. ה"ק אבל בשלשלת שכל שלשלת היא מקרסים יש אוסרים לפי שאף על פי שראש השלשלת יהא מובלע במפתח כיון שאותו ראש שמובלע במפתח ראשו השני עשוי כקרס ואחוז על ידו בשלשלת הוה ליה תרי גופי אחוזים זה בזה ואסור: ויותר נראה לומר דלא אסרו בשלשלת אלא בשאינה מובלעת בתוך יד המפתח לרבותא נקט שלשלת דאף על פי שהיא מכסף כמו המפתח לא חשיב גוף אחד כיון שאינה מובלעת אלא אחוזה בקרס אבל אם היא מובלעת אפילו רצועה שאינה ממין המפתח שרי. ודעת אדוני אבי ז"ל להתיר. שכתב שבאשכנז תולות המפתחות בצואריהם בשלשלאות או בחוטי צבעונין ולא חילק בין מובלעים בתוך יד המפתח לאינם מובלעים: ושמעתי שיש מתירין לעשות תיק בתי עינים מכסף ולקבעו בשלשלת כסף ויוצאין בו בשבת ואפשר שרצו ללמוד כן מדין מפתח כסף וכדברי המתירים. ואין הנדון דומה לראיה דשאני התם שהבתי עינים שבתוך התיק הם גוף בפני עצמו והוי משוי ואין לומר שהם בטלים לגבי התיק שהוא של כסף דאדרבה בתי עינים הם עיקר דאין אומרים נעשה בתי עינים לתיק אלא נעשה תיק לבתי עינים:</w:t>
      </w:r>
    </w:p>
    <w:p w14:paraId="24CC2200"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6410FF3" w14:textId="77777777" w:rsidR="004B2E7C" w:rsidRDefault="004B2E7C" w:rsidP="00434A6A">
      <w:pPr>
        <w:rPr>
          <w:rFonts w:asciiTheme="minorBidi" w:hAnsiTheme="minorBidi" w:cs="Arial"/>
          <w:rtl/>
        </w:rPr>
      </w:pPr>
      <w:r>
        <w:rPr>
          <w:rFonts w:asciiTheme="minorBidi" w:hAnsiTheme="minorBidi" w:cs="Arial"/>
          <w:rtl/>
        </w:rPr>
        <w:t xml:space="preserve">דבר העשוי לתכשיט ולהשתמש בו כגון מפתחות נאות של כסף כמין תכשיט, אסור, שהרואה אומר שלצורך תשמיש מוציא; ויש מתירים אם הוא של כסף. הגה: ומ"מ אסור לצאת בתיק של בתי עינים שקורין ברילי"ן אף על פי שהתיק הוא של כסף, דהבתי עינים בעצמם הם משוי (ב"י). ואם המפתח של נחושת וברזל, אפילו מחובר וקבוע בחגורה, אסור (מרדכי פרק במה אשה וב"י בשם תשובת הרשב"א). ויש שכתבו שנוהגין בזה להתיר (ב"י בשם תשובה אשכנזית הרי"ף והאגודה וכן משמע בא"ז). </w:t>
      </w:r>
    </w:p>
    <w:p w14:paraId="490DAEB9" w14:textId="77777777" w:rsidR="004B2E7C" w:rsidRDefault="004B2E7C" w:rsidP="00434A6A">
      <w:pPr>
        <w:pStyle w:val="2"/>
        <w:rPr>
          <w:rtl/>
        </w:rPr>
      </w:pPr>
      <w:r>
        <w:rPr>
          <w:rtl/>
        </w:rPr>
        <w:t>סעיף יב</w:t>
      </w:r>
    </w:p>
    <w:p w14:paraId="2CF4DA0E" w14:textId="77777777" w:rsidR="004B2E7C" w:rsidRDefault="004B2E7C" w:rsidP="00434A6A">
      <w:pPr>
        <w:rPr>
          <w:rtl/>
        </w:rPr>
      </w:pPr>
      <w:r>
        <w:rPr>
          <w:rFonts w:cs="Arial"/>
          <w:rtl/>
        </w:rPr>
        <w:t>יב לא יצא החייט במחט התחובה לו בבגדו ולא נגר בקיסם שבאזנו ולא סורק במשיחה שבצוארו וכו'. פלוגתא דרבי מאיר ורבי יהודה בפרק קמא (שבת יא:) ופסק כרבי מאיר דפטר כמו שפסק הרמב"ם בפרק תשעה עשר (הכ"א) וכבר נתן שם הרב המגיד טעם לדבריו:</w:t>
      </w:r>
    </w:p>
    <w:p w14:paraId="485E25AD"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ED8287A" w14:textId="77777777" w:rsidR="004B2E7C" w:rsidRDefault="004B2E7C" w:rsidP="00434A6A">
      <w:pPr>
        <w:rPr>
          <w:rFonts w:asciiTheme="minorBidi" w:hAnsiTheme="minorBidi" w:cs="Arial"/>
          <w:rtl/>
        </w:rPr>
      </w:pPr>
      <w:r>
        <w:rPr>
          <w:rFonts w:asciiTheme="minorBidi" w:hAnsiTheme="minorBidi" w:cs="Arial"/>
          <w:rtl/>
        </w:rPr>
        <w:t xml:space="preserve">לא יצא החייט במחט התחובה לו בבגדו; ולא נגר בקיסם שבאזנו; ולא סורק במשיחה שבצוארו; ואם יצא, פטור. </w:t>
      </w:r>
    </w:p>
    <w:p w14:paraId="2595A6DD" w14:textId="77777777" w:rsidR="004B2E7C" w:rsidRDefault="004B2E7C" w:rsidP="00434A6A">
      <w:pPr>
        <w:pStyle w:val="2"/>
        <w:rPr>
          <w:rtl/>
        </w:rPr>
      </w:pPr>
      <w:r>
        <w:rPr>
          <w:rtl/>
        </w:rPr>
        <w:t>סעיף יג</w:t>
      </w:r>
    </w:p>
    <w:p w14:paraId="792F3E41" w14:textId="77777777" w:rsidR="004B2E7C" w:rsidRDefault="004B2E7C" w:rsidP="00434A6A">
      <w:pPr>
        <w:rPr>
          <w:rtl/>
        </w:rPr>
      </w:pPr>
      <w:r>
        <w:rPr>
          <w:rFonts w:cs="Arial"/>
          <w:rtl/>
        </w:rPr>
        <w:t>יג ולא יצא הזב בכיס וכו'. גם זה שם בברייתות ואמרינן בגמרא (יב.) דמלאכה שאינה צריכה לגופה היא ולרבי יהודה חייב ולרבי מאיר פטור וכבר כתבתי בסימן רע"ח מחלוקת הפוסקים בזה:</w:t>
      </w:r>
    </w:p>
    <w:p w14:paraId="247438E1" w14:textId="77777777" w:rsidR="004B2E7C" w:rsidRDefault="004B2E7C" w:rsidP="00434A6A">
      <w:pPr>
        <w:rPr>
          <w:rtl/>
        </w:rPr>
      </w:pPr>
      <w:r>
        <w:rPr>
          <w:rFonts w:cs="Arial"/>
          <w:rtl/>
        </w:rPr>
        <w:t>וכן אשה נדה שקושרת בגד לפניה וכו'. בפרק במה אשה (סד:) תנן דיוצאה אשה במוך שהתקינה לנדתה ופירש רש"י לנדתה באותו מקום שיבלע בו הדם ולא יטנף בגדיה וכתבו התוספות (ד"ה ובמוך) ולא נהירא דאם כן אצולי טינוף הוא ומשוי הוא כדאמרינן בפרק קמא (יא: יב.) לכן נראה לי שלא יפול על בשרה ויתיבש עליה ונמצא מצערא וכן כתבו הר"ן (כט. ד"ה ובמוך) והמרדכי שם (סי' שנד) וכן כתבו סמ"ג (לאוין סה, יח סוע"ג) והגהות פרק י"ט (אות ל קמא):</w:t>
      </w:r>
    </w:p>
    <w:p w14:paraId="19B6CD8F"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4F894CF" w14:textId="77777777" w:rsidR="004B2E7C" w:rsidRDefault="004B2E7C" w:rsidP="00434A6A">
      <w:pPr>
        <w:rPr>
          <w:rFonts w:asciiTheme="minorBidi" w:hAnsiTheme="minorBidi" w:cs="Arial"/>
          <w:rtl/>
        </w:rPr>
      </w:pPr>
      <w:r>
        <w:rPr>
          <w:rFonts w:asciiTheme="minorBidi" w:hAnsiTheme="minorBidi" w:cs="Arial"/>
          <w:rtl/>
        </w:rPr>
        <w:t xml:space="preserve">לא יצא הזב בכיס שעושה להצילו מזיבתו שלא יטנף בה, וכן אשה נדה שקושרת בגד לפניה שלא תתלכלך בדם נדותה אסורה לצאת בו אם לא יהא סינר עשוי כעין מלבוש. אבל אם קושרתו כדי שלא יכאב לה הדם ולא תצטער, מותר לצאת בו. </w:t>
      </w:r>
    </w:p>
    <w:p w14:paraId="1F7182F9" w14:textId="77777777" w:rsidR="004B2E7C" w:rsidRDefault="004B2E7C" w:rsidP="00434A6A">
      <w:pPr>
        <w:pStyle w:val="2"/>
        <w:rPr>
          <w:rtl/>
        </w:rPr>
      </w:pPr>
      <w:r>
        <w:rPr>
          <w:rtl/>
        </w:rPr>
        <w:t>סעיף יד</w:t>
      </w:r>
    </w:p>
    <w:p w14:paraId="60BA3FA8" w14:textId="77777777" w:rsidR="004B2E7C" w:rsidRDefault="004B2E7C" w:rsidP="00434A6A">
      <w:pPr>
        <w:rPr>
          <w:rtl/>
        </w:rPr>
      </w:pPr>
      <w:r>
        <w:rPr>
          <w:rFonts w:cs="Arial"/>
          <w:rtl/>
        </w:rPr>
        <w:t>יד כתוב בהגהות אחרונות דמרדכי (שבת דף פב סוע"ג) שאסור לנשים לישא מכסה על ראשם כדי שלא ירדו גשמים על צעיפיהם משום דאצולי טינוף הוא עכ"ל ולפי זה הא דתניא יוצאין בשקים מפני הגשמים שכתבתי בסימן זה (נא. ד"ה ומ"ש ואין יוצאין בקופה) צ"ל שאינו לובש השקים כדי להציל בגדיו אלא להציל גופו שלא יוזק מחמת לחות המים: וכתב האגור (סי' תלג) בשם אביו שהסרבלים שיש להם מאחריהם קפוצ"י בלע"ז אף על פי שמתכסים בהם להציל מטינוף שרי לצאת בהם בשבת כי לפעמים מתלבשים מפני הרוח והקור והגשמים והכי משמע בירושלמי (שבת פ"ו סוף ה"ב) מיהו הני מילי בתפורים אבל אותם שתלויים ברצועות לא עכ"ל. ואיני יודע מה חילוק יש בין תפורים לתלויים ברצועות דכיון דתלוי ברצועות תו ליכא למיחש דילמא נפיל ואתי לאיתויי ושמא כשתפור בבגד הוא מגין על מול העורף מהקור ומשום הכי שרי אבל כשתלוי ברצועות שוב אינו מגין מהקור וה"ל אצולי טינוף ואסור: ולי נראה דע"כ לא אסרינן בפרק קמא (יא:) מידי דליתיה אלא משום אצולי טינוף אלא דוקא בדבר שאינו דרך מלבוש כגון כיס דזב אבל דבר שהוא דרך מלבוש אפילו אינו אלא משום אצולי טינוף שרי דלא גרע מסדינים שמביאים הבלנים ומלבדים הקשים שמותר להביאם דרך מלבוש כדלעיל. וההיא דיוצאים בשקים מפני הגשמים אפילו אינו מכוין אלא להציל את בגדיו שרי כיון דדרך מלבוש הוא מתעטף בהם והא דאסר בהגהות ממרדכי לנשים לישא מכסה על ראשם היינו שלא כדרך מלבוש דוקא אבל אם הוא דרך מלבוש שרי אף על פי שאינם מכוונות אלא לאצולי טינוף. ועל פי זה אפשר שפשט המנהג באלו הארצות לשים האנשים כובע גדול של לבד על גבי המצנפת מפני הגשמים ואין לאסור אותו משום דילמא נפיל ואתי לאיתויי כדפירש רש"י גבי סיאנא דמאחר שהוא עמוק ונכנס במצנפת ליכא למיחש להכי וכמו שכתבתי בסימן זה (נד. ד"ה ודע):</w:t>
      </w:r>
    </w:p>
    <w:p w14:paraId="6428E885" w14:textId="77777777" w:rsidR="004B2E7C" w:rsidRDefault="004B2E7C" w:rsidP="00434A6A">
      <w:pPr>
        <w:rPr>
          <w:rtl/>
        </w:rPr>
      </w:pPr>
      <w:r>
        <w:rPr>
          <w:rFonts w:cs="Arial"/>
          <w:rtl/>
        </w:rPr>
        <w:t>(דרכמ יז) ועיין בהגהות אלפסי סוף פרק במה אשה (שלטי הגבורים ל: אות א) שהאריך בדינים אלו:</w:t>
      </w:r>
    </w:p>
    <w:p w14:paraId="106D2404"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60B5DEF" w14:textId="77777777" w:rsidR="004B2E7C" w:rsidRDefault="004B2E7C" w:rsidP="00434A6A">
      <w:pPr>
        <w:rPr>
          <w:rFonts w:asciiTheme="minorBidi" w:hAnsiTheme="minorBidi" w:cs="Arial"/>
          <w:rtl/>
        </w:rPr>
      </w:pPr>
      <w:r>
        <w:rPr>
          <w:rFonts w:asciiTheme="minorBidi" w:hAnsiTheme="minorBidi" w:cs="Arial"/>
          <w:rtl/>
        </w:rPr>
        <w:t xml:space="preserve">דבר שהוא דרך מלבוש, אפי' אם אינו לובשו אלא משום אצולי טינוף, מותר לצאת בו בשבת. הגה: ולכן מותר ללבוש בגד מפני הגשמים או כובע על ראשו, אבל אסור לאשה ליתן בגד על צעיפה מפני הגשמים דאין זה דרך מלבוש (הגהות מיימוני). </w:t>
      </w:r>
    </w:p>
    <w:p w14:paraId="3D1F614E" w14:textId="77777777" w:rsidR="004B2E7C" w:rsidRDefault="004B2E7C" w:rsidP="00434A6A">
      <w:pPr>
        <w:pStyle w:val="2"/>
        <w:rPr>
          <w:rtl/>
        </w:rPr>
      </w:pPr>
      <w:r>
        <w:rPr>
          <w:rtl/>
        </w:rPr>
        <w:t>סעיף טו</w:t>
      </w:r>
    </w:p>
    <w:p w14:paraId="77E4D21D" w14:textId="77777777" w:rsidR="004B2E7C" w:rsidRDefault="004B2E7C" w:rsidP="00434A6A">
      <w:pPr>
        <w:rPr>
          <w:rtl/>
        </w:rPr>
      </w:pPr>
      <w:r>
        <w:rPr>
          <w:rFonts w:cs="Arial"/>
          <w:rtl/>
        </w:rPr>
        <w:t>טו אין הקטע יוצא בקב שלו וכו'. משנה בסוף פרק במה אשה (סה:) הקטע יוצא בקב שלו דברי רבי מאיר רבי יוסי אוסר ופירש רש"י קטע שנקטעה רגלו עושה כמין דפוס רגל וחוקק בו מעט לשום ראש שוקו בתוכו ורבי יוסי אוסר דלאו תכשיט הוא ואינו מנעל והוי משוי. ורבינו ירוחם בחלק ה' (נתיב י"ב, עד ע"ב) ביאר הדבר יפה שודאי דבר פשוט הוא שאינו עושה אותו להלך בו שעל כל פנים הוא צריך למקלות ומותר לצאת בהם כמו שיתבאר כיון שצורך הלוכו הם אבל כוונת עשיית קב זה כדי שלא יראה חסר רגל אלא נכה רגל הילכך כיון דאינו צורך הלוכו אסור וכן כתבו הגהות בפרק י"ט (אות ב בתרא וד"ק הט"ו) בשם סמ"ג (שם ע"ד) וכן כתוב בספר התרומה (סו"ס רמ): וכתב הריב"ש בתשובה (סי' ח) מיהו אם הקב הזה מחופה עור כעין שעושים לאותם שקורים בטינ"ש אפילו רבי יוסי מודה דמותר לצאת בו וגם אשה חולצת בו כדאיתא בהדיא בפרק מצות חליצה (יבמות קג.) עכ"ל:</w:t>
      </w:r>
    </w:p>
    <w:p w14:paraId="205D8824"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F3C8C3E" w14:textId="77777777" w:rsidR="004B2E7C" w:rsidRDefault="004B2E7C" w:rsidP="00434A6A">
      <w:pPr>
        <w:rPr>
          <w:rFonts w:asciiTheme="minorBidi" w:hAnsiTheme="minorBidi" w:cs="Arial"/>
          <w:rtl/>
        </w:rPr>
      </w:pPr>
      <w:r>
        <w:rPr>
          <w:rFonts w:asciiTheme="minorBidi" w:hAnsiTheme="minorBidi" w:cs="Arial"/>
          <w:rtl/>
        </w:rPr>
        <w:t xml:space="preserve">אין הקיטע יוצא בקב שלו דהיינו שעושה כמין דפוס של רגל וחוקק בו מעט לשום ראש שוקו בתוכו ואינו עושה זה להלך בו שעל כל פנים צריך הוא למקלו אלא כוונתו כדי שלא יראה חסר רגל אלא נכה רגל, כיון דאינו צורך הילוכו, אסור. </w:t>
      </w:r>
    </w:p>
    <w:p w14:paraId="10DD0516" w14:textId="77777777" w:rsidR="004B2E7C" w:rsidRDefault="004B2E7C" w:rsidP="00434A6A">
      <w:pPr>
        <w:pStyle w:val="2"/>
        <w:rPr>
          <w:rtl/>
        </w:rPr>
      </w:pPr>
      <w:r>
        <w:rPr>
          <w:rtl/>
        </w:rPr>
        <w:t>סעיף טז</w:t>
      </w:r>
    </w:p>
    <w:p w14:paraId="0A18D950" w14:textId="77777777" w:rsidR="004B2E7C" w:rsidRDefault="004B2E7C" w:rsidP="00434A6A">
      <w:pPr>
        <w:rPr>
          <w:rtl/>
        </w:rPr>
      </w:pPr>
      <w:r>
        <w:rPr>
          <w:rFonts w:cs="Arial"/>
          <w:rtl/>
        </w:rPr>
        <w:t>טז (א) וכן קטע שאינו יכול לילך כלל על רגליו וכו'. גם זה שם במשנה (סו.) כסא וסמוכות שלו טמאין מדרס ואין יוצאין בהם בשבת ופירש רש"י יש קטע שיבשו וכווצו גידי שוקיו ואפילו על ארכובותיו אינו יכול לילך ועושין כמין כסא נמוך ויושב עליו וכשהוא מהלך נסמך על ידיו בספסלים קטנים ועוקר גופו מן הארץ ונדחף לפניו וחוזר ונח על אחוריו והכסא קשור לו מאחריו: סמוכות. של אותו קטע עושה לו סמוכות של עור או של עץ לראשי שוקיו או רגליו התלויים וכשהוא נשען על ידיו ועוקר עצמו נשען גם על רגליו קצת: ואין יוצאין בהם בשבת. (דאיירי) [דאיידי] דתלו ולא מנחי אארעא זמנין דמשתלפי: גם בזה כתב שם רבינו ירוחם דלא מיתסר לצאת אלא בסמוכות אבל בכסא ובספסלים הקטנים שבידיו יכול לצאת דה"ל כמו מקל דשרי בסמוך כיון דצורך הלוכו הם וכן משמע מדברי רש"י וכן כתבו התוספות (סה: ד"ה הקיטע) והרא"ש (סי' יז). ואף על גב דתנן כסא וסמוכות שלו וכו' י"ל דאשמועינן כסא לאשמועינן טמאין מדרס אבל מאי דקתני ואין יוצאין בהם בשבת לא קאי אלא אסמוכות שלו:</w:t>
      </w:r>
    </w:p>
    <w:p w14:paraId="76558E01" w14:textId="77777777" w:rsidR="004B2E7C" w:rsidRDefault="004B2E7C" w:rsidP="00434A6A">
      <w:pPr>
        <w:rPr>
          <w:rtl/>
        </w:rPr>
      </w:pPr>
      <w:r>
        <w:rPr>
          <w:rFonts w:cs="Arial"/>
          <w:rtl/>
        </w:rPr>
        <w:t>אבל קטע שגורר שוקיו וכו'. גם זה שם במשנה הסמוכות שלו טמאין מדרס ויוצאין בהם בשבת ופירש רש"י סמוכות שלו של קטע יש קטע בשתי רגליו ומהלך על שוקיו ועל ארכובותיו ועושה סמוכות של עור לשוקיו יוצאין בהם בשבת דתכשיט דידיה הוא:</w:t>
      </w:r>
    </w:p>
    <w:p w14:paraId="4B35A231" w14:textId="77777777" w:rsidR="004B2E7C" w:rsidRDefault="004B2E7C" w:rsidP="00434A6A">
      <w:pPr>
        <w:rPr>
          <w:rtl/>
        </w:rPr>
      </w:pPr>
      <w:r>
        <w:rPr>
          <w:rFonts w:cs="Arial"/>
          <w:rtl/>
        </w:rPr>
        <w:t>טז (ב) כתב רבינו ירוחם בחלק ה' (נתיב י"ב, עד ע"ב) יש מהגדולים שפסקו כרבי יוחנן בן נורי (שבת סו.) דאין מנעל אלא של עור ואם כן מנעל של עץ אסור לצאת בו וראיתי בכל המקומות שעברתי נוהגים בו היתר בין של איש בין של אשה אבל סנדל של שעם הכל מודים דמותר מאחר שהרועים יוצאים בו מותר לכל העולם כדאמרינן בשקים (שבת סב.) עכ"ל. ואין דבריו אמורים אלא בסנדל שכולו של עץ כעין אנקטמין שנתבאר בסימן זה (נא. ובב"י שם) וכן משמע מדבריו אבל סנדל שתחתיתו עץ ועליונו עור פשיטא דמנעל גמור הוא:</w:t>
      </w:r>
    </w:p>
    <w:p w14:paraId="639C05F2" w14:textId="77777777" w:rsidR="004B2E7C" w:rsidRDefault="004B2E7C" w:rsidP="00434A6A">
      <w:pPr>
        <w:rPr>
          <w:rtl/>
        </w:rPr>
      </w:pPr>
      <w:r>
        <w:rPr>
          <w:rFonts w:cs="Arial"/>
          <w:rtl/>
        </w:rPr>
        <w:t>(דרכמ יח) וכתב הרשב"א בתשובה (ח"א) סימן תר"ז דמותר לצאת בפנטינ"ש לרשות הרבים בשבת אף על גב דמשתלפי מהרה וממילא וכן נהגו כל חכמי הארצות עכ"ל. וכתב האגור (סי' תכט) כי מנהג אשכנז שלא לצאת בהן ובאיטליה נוהגין היתר ומהרי"ק היה אוסר עכ"ל: כתב הכל בו (סי' לא, ל ע"א) דנהגו בכל ישראל שלא לצאת בשבת בלתי מנעלים או דבר שעל ידו יזכור שהוא שבת ולא יבא לחללו. ובאור זרוע (ח"ב סי' פד אות יב) כתב דמותר לילך יחף בשבת וכן נוהגים גדולי צרפת שהולכים כן בשבת לבית הכנסת וקורין בתורה יחף ומיהו אין לילך יחף אפילו בחול עכ"ל. ואפשר דהכל בו לא קאמר אלא במקום שאין המנהג לילך יחף. ועיין לעיל סימן ב' (בד"מ אות ב):</w:t>
      </w:r>
    </w:p>
    <w:p w14:paraId="739CEE13"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66654F2" w14:textId="77777777" w:rsidR="004B2E7C" w:rsidRDefault="004B2E7C" w:rsidP="00434A6A">
      <w:pPr>
        <w:rPr>
          <w:rFonts w:asciiTheme="minorBidi" w:hAnsiTheme="minorBidi" w:cs="Arial"/>
          <w:rtl/>
        </w:rPr>
      </w:pPr>
      <w:r>
        <w:rPr>
          <w:rFonts w:asciiTheme="minorBidi" w:hAnsiTheme="minorBidi" w:cs="Arial"/>
          <w:rtl/>
        </w:rPr>
        <w:t xml:space="preserve">קיטע שאינו יכול לילך כלל על שוקיו אלא יושב על כסא וכשנעקר ממקומו נסמך על ידיו ועל שוקיו ונדחף לפניו ועושה סמוכות של עור או עץ לראשי שוקיו או רגליו התלוים וכשהוא נשען על ידיו ועוקר עצמו נשען גם על רגליו קצת, אין יוצאים בהם בשבת דאיידי דתלוים ולא מנחי אארעא זמנין דמשתלפי; אבל בכסא וספסלים הקטנים שבידיו מותר לצאת. קטע בשתי רגליו ומהלך על שוקיו ועל ארכבותיו ועושה סמוכות של עור לשוקיו, יוצא בהם בשבת. הגה: וכן מותר לצאת במנעל של עץ שהרגל נכנס בו וליכא למיחש שיפול (ר' ירוחם ח"ה). וכן בפנטני"ש דמשתלפי במהרה וממילא (רשב"א סימן תר"ז). ויש מחמירים ואוסרים (אגור). ולא ילך אדם יחף בשבת במקום שאין דרך לילך יחף, ולא יצא אדם בשבת כמו שהוא יוצא בחול בלתי דבר אחר שיזכור על ידו שהוא שבת ולא יבא לחללו (כל בו). </w:t>
      </w:r>
    </w:p>
    <w:p w14:paraId="7ED5C677" w14:textId="77777777" w:rsidR="004B2E7C" w:rsidRDefault="004B2E7C" w:rsidP="00434A6A">
      <w:pPr>
        <w:pStyle w:val="2"/>
        <w:rPr>
          <w:rtl/>
        </w:rPr>
      </w:pPr>
      <w:r>
        <w:rPr>
          <w:rtl/>
        </w:rPr>
        <w:t>סעיף יז</w:t>
      </w:r>
    </w:p>
    <w:p w14:paraId="6A2BBB6A" w14:textId="77777777" w:rsidR="004B2E7C" w:rsidRDefault="004B2E7C" w:rsidP="00434A6A">
      <w:pPr>
        <w:rPr>
          <w:rtl/>
        </w:rPr>
      </w:pPr>
      <w:r>
        <w:rPr>
          <w:rFonts w:cs="Arial"/>
          <w:rtl/>
        </w:rPr>
        <w:t>יז ומה שכתב וחגר שאינו יכול לילך בלא מקל וכו'. כן דקדקו התוספות ממשנה זו שם (ד"ה הקיטע) ובפרק בתרא דיומא (עט. דיבור ראשון) וכן כתבו הרא"ש והמרדכי והר"ן שם בפרק במה אשה (רא"ש שם, מרדכי סי' שנט, ר"ן ל. ד"ה מתני' הקיטע) וכן כתב הר"ן עוד בפרק אין צדין (ביצה יד. ד"ה גמ' ת"ר) וכן כתב הרב המגיד בפרק י"ט (הט"ו) בשם הרשב"א (שבת סו. ד"ה סמוכות) וכן כתבו שם ההגהות (אות ב) וכן כתבו סמ"ג (לאוין סה, יח ע"ד) וסמ"ק (סי' רפב עמ' ש) והתרומה (סוס"י רמ - רמא) ורבינו ירוחם בחלק ה' (נתיב י"ב, עד ע"ב):</w:t>
      </w:r>
    </w:p>
    <w:p w14:paraId="2AC1B8D6"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4DCAFB9" w14:textId="77777777" w:rsidR="004B2E7C" w:rsidRDefault="004B2E7C" w:rsidP="00434A6A">
      <w:pPr>
        <w:rPr>
          <w:rFonts w:asciiTheme="minorBidi" w:hAnsiTheme="minorBidi" w:cs="Arial"/>
          <w:rtl/>
        </w:rPr>
      </w:pPr>
      <w:r>
        <w:rPr>
          <w:rFonts w:asciiTheme="minorBidi" w:hAnsiTheme="minorBidi" w:cs="Arial"/>
          <w:rtl/>
        </w:rPr>
        <w:t xml:space="preserve">חיגר, שאינו יכול לילך בלא מקל, מותר לילך בו אפי' אינו קשור בו; אבל אם אפשר לו לילך זולתו, ואינו נוטלו אלא להחזיק עצמו, אסור. (וחולה שעמד מחליו דינו כחיגר). </w:t>
      </w:r>
    </w:p>
    <w:p w14:paraId="014E3F14" w14:textId="77777777" w:rsidR="004B2E7C" w:rsidRDefault="004B2E7C" w:rsidP="00434A6A">
      <w:pPr>
        <w:pStyle w:val="2"/>
        <w:rPr>
          <w:rtl/>
        </w:rPr>
      </w:pPr>
      <w:r>
        <w:rPr>
          <w:rtl/>
        </w:rPr>
        <w:t>סעיף יח</w:t>
      </w:r>
    </w:p>
    <w:p w14:paraId="31D680D6" w14:textId="77777777" w:rsidR="004B2E7C" w:rsidRDefault="004B2E7C" w:rsidP="00434A6A">
      <w:pPr>
        <w:rPr>
          <w:rtl/>
        </w:rPr>
      </w:pPr>
      <w:r>
        <w:rPr>
          <w:rFonts w:cs="Arial"/>
          <w:rtl/>
        </w:rPr>
        <w:t>יח וסומא אסור לצאת במקל וכו'. כדתניא בפרק אין צדין (ביצה כה:) וטעמא משום דאפשר לו בלא מקל וכמו שכתבו שם הרא"ש (סי' ה) והר"ן ז"ל (יד. ד"ה גמ' ת"ר):</w:t>
      </w:r>
    </w:p>
    <w:p w14:paraId="0D196FC8"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3E20910" w14:textId="77777777" w:rsidR="004B2E7C" w:rsidRDefault="004B2E7C" w:rsidP="00434A6A">
      <w:pPr>
        <w:rPr>
          <w:rFonts w:asciiTheme="minorBidi" w:hAnsiTheme="minorBidi" w:cs="Arial"/>
          <w:rtl/>
        </w:rPr>
      </w:pPr>
      <w:r>
        <w:rPr>
          <w:rFonts w:asciiTheme="minorBidi" w:hAnsiTheme="minorBidi" w:cs="Arial"/>
          <w:rtl/>
        </w:rPr>
        <w:t xml:space="preserve">סומא, אסור לו לצאת במקל. </w:t>
      </w:r>
    </w:p>
    <w:p w14:paraId="31826BE4" w14:textId="77777777" w:rsidR="004B2E7C" w:rsidRDefault="004B2E7C" w:rsidP="00434A6A">
      <w:pPr>
        <w:pStyle w:val="2"/>
        <w:rPr>
          <w:rtl/>
        </w:rPr>
      </w:pPr>
      <w:r>
        <w:rPr>
          <w:rtl/>
        </w:rPr>
        <w:t>סעיף יט</w:t>
      </w:r>
    </w:p>
    <w:p w14:paraId="7371C714" w14:textId="77777777" w:rsidR="004B2E7C" w:rsidRDefault="004B2E7C" w:rsidP="00434A6A">
      <w:pPr>
        <w:rPr>
          <w:rtl/>
        </w:rPr>
      </w:pPr>
      <w:r>
        <w:rPr>
          <w:rFonts w:cs="Arial"/>
          <w:rtl/>
        </w:rPr>
        <w:t>יט מי שהוא אסור וכבלים ברגליו וכו'. כן כתב המרדכי בפרק במה אשה (סי' שנג) ובסמ"ג (שם יח ע"ג) וסמ"ק (שם עמ' רצט) והתרומה (סימן רמד ע"ג) והגהות פרק י"ט (אות ט קמא):</w:t>
      </w:r>
    </w:p>
    <w:p w14:paraId="6EEF4A21" w14:textId="77777777" w:rsidR="004B2E7C" w:rsidRDefault="004B2E7C" w:rsidP="00434A6A">
      <w:pPr>
        <w:rPr>
          <w:rtl/>
        </w:rPr>
      </w:pPr>
      <w:r>
        <w:rPr>
          <w:rFonts w:cs="Arial"/>
          <w:rtl/>
        </w:rPr>
        <w:t>אין יוצאין בכסא וכו'. ברייתא בפרק אין צדין (שם) אין יוצאין בכסא אחד האיש ואחד האשה:</w:t>
      </w:r>
    </w:p>
    <w:p w14:paraId="6CFBBFF5" w14:textId="77777777" w:rsidR="004B2E7C" w:rsidRDefault="004B2E7C" w:rsidP="00434A6A">
      <w:pPr>
        <w:rPr>
          <w:rtl/>
        </w:rPr>
      </w:pPr>
      <w:r>
        <w:rPr>
          <w:rFonts w:cs="Arial"/>
          <w:rtl/>
        </w:rPr>
        <w:t>ומה שכתב ואם היו רבים צריכין לו מותר ובלבד שלא יכתף. גם זה שם. ומכל מקום יש לתמוה על דברי רבינו שכתבה לענין שבת ומשמע מדבריו שאפילו להוציאו לרשות הרבים שרי כשרבים צריכין לו כשאר הוצאות הנזכרות בסימן זה והרי"ף והרא"ש והרמב"ם לא הזכירו דין זה גבי שבת משום דסבירא להו דדוקא ביום טוב דלא מיתסר הוצאה בכה"ג אלא מדרבנן משום זילותא דיום טוב והיכא דרבים צריכין לו לא גזרו רבנן אבל בשבת לרשות הרבים ודאי אסור ואפילו לכרמלית אסור אטו רשות הרבים דקיימא לן כרבא דפרק המוצא תפילין דגזר כרמלית אטו רשות הרבים. ואין לומר דטעמא דרבינו משום דאמרינן התם פרק אין צדין דאמימר ומר זוטרא מכתפי להו בשבתא דרגלא אלמא דבשבת נמי שרי שהרי פירש רש"י דבבית המדרש היו מכתפים אותם עד מקומם וכן משמע בגמרא. ועל דרך זו יש לפרש גם כן הא דמשמע בירושלמי פרק קמא דביצה (ה"ז) דאדם שרבים צריכים לו מותר להוציאו בשבת. ואפשר דמשמע ליה דכיון דקיימא לן (שבת צד.) החי נושא את עצמו לא מיתסר להוציא את האדם אלא מדרבנן ובמקום שרבים צריכין לו לא גזרו:</w:t>
      </w:r>
    </w:p>
    <w:p w14:paraId="11001078"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A8485D0" w14:textId="77777777" w:rsidR="004B2E7C" w:rsidRDefault="004B2E7C" w:rsidP="00434A6A">
      <w:pPr>
        <w:rPr>
          <w:rFonts w:asciiTheme="minorBidi" w:hAnsiTheme="minorBidi" w:cs="Arial"/>
          <w:rtl/>
        </w:rPr>
      </w:pPr>
      <w:r>
        <w:rPr>
          <w:rFonts w:asciiTheme="minorBidi" w:hAnsiTheme="minorBidi" w:cs="Arial"/>
          <w:rtl/>
        </w:rPr>
        <w:t xml:space="preserve">מי שהוא אסור וכבלים (פי' כעין טבעות גדולים שסוגרים בהם הרגלים) ברגליו, מותר לצאת בהם. </w:t>
      </w:r>
    </w:p>
    <w:p w14:paraId="590E5B92" w14:textId="77777777" w:rsidR="004B2E7C" w:rsidRDefault="004B2E7C" w:rsidP="00434A6A">
      <w:pPr>
        <w:pStyle w:val="2"/>
        <w:rPr>
          <w:rtl/>
        </w:rPr>
      </w:pPr>
      <w:r>
        <w:rPr>
          <w:rtl/>
        </w:rPr>
        <w:t>סעיף כ</w:t>
      </w:r>
    </w:p>
    <w:p w14:paraId="16DBD62B" w14:textId="77777777" w:rsidR="004B2E7C" w:rsidRDefault="004B2E7C" w:rsidP="00434A6A">
      <w:pPr>
        <w:rPr>
          <w:rtl/>
        </w:rPr>
      </w:pPr>
      <w:r>
        <w:rPr>
          <w:rFonts w:cs="Arial"/>
          <w:rtl/>
        </w:rPr>
        <w:t>כ ואין יוצאין באנקטמין. משנה בסוף פרק במה אשה (סו.) ובגמרא (סו:) מאי אנקטמין אמר רבי אבהו חמרא דאכפא רבא בר פפא אמר קשרי רבא בר רב הונא אמר פרמי. ופירש רש"י חמרא דאכפא. חמור שהליצנים עושים ונראה כמי שרוכב עליו: קישרי. אשקצא שמהלכים בהם במקום הטיט: פרמי. טלמוס"א הנקשרת על הפרצוף להבעית הקטנים: ומהא דאמר רב פפא קישרי כתב רבינו ירוחם בחלק ה' (שם) סנדל של עץ נראה בפרק במה אשה שאסור לצאת וראיתי כל העולם נוהגים בו היתר ויש גדולים שכתבו שלא אסרו אלא סנדל של עץ הקשור בשוקו שאינו מתהדק יפה אבל שלנו שאינו קשור ברגל אלא שהרגל נכנס בו מותר עכ"ל:</w:t>
      </w:r>
    </w:p>
    <w:p w14:paraId="0AB3F934" w14:textId="77777777" w:rsidR="004B2E7C" w:rsidRDefault="004B2E7C" w:rsidP="00434A6A">
      <w:pPr>
        <w:rPr>
          <w:rtl/>
        </w:rPr>
      </w:pPr>
      <w:r>
        <w:rPr>
          <w:rFonts w:cs="Arial"/>
          <w:rtl/>
        </w:rPr>
        <w:t>(דרכמ ה) ועיין לקמן בסימן זה (עמ' קנח ב"י ד"ה כתב רבינו ירוחם, וד"מ אות יח) מדינים אלו:</w:t>
      </w:r>
    </w:p>
    <w:p w14:paraId="356C019B"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B865640" w14:textId="77777777" w:rsidR="004B2E7C" w:rsidRDefault="004B2E7C" w:rsidP="00434A6A">
      <w:pPr>
        <w:rPr>
          <w:rFonts w:asciiTheme="minorBidi" w:hAnsiTheme="minorBidi" w:cs="Arial"/>
          <w:rtl/>
        </w:rPr>
      </w:pPr>
      <w:r>
        <w:rPr>
          <w:rFonts w:asciiTheme="minorBidi" w:hAnsiTheme="minorBidi" w:cs="Arial"/>
          <w:rtl/>
        </w:rPr>
        <w:t xml:space="preserve">אין יוצאים באנקטמין, והוא כמין חמור שעושים הליצנים ונראה כרוכב עליו והוא נושאו והולך ברגליו; ולא בקשרים, והם עצים גבוהים שיש בהם מושב לכף הרגל והולכים בהם בטיט; ולא בפרמי, והם כמין צורת פרצוף שנותנים על הפנים להפחיד התינוקות. </w:t>
      </w:r>
    </w:p>
    <w:p w14:paraId="3BA79EE8" w14:textId="77777777" w:rsidR="004B2E7C" w:rsidRDefault="004B2E7C" w:rsidP="00434A6A">
      <w:pPr>
        <w:pStyle w:val="2"/>
        <w:rPr>
          <w:rtl/>
        </w:rPr>
      </w:pPr>
      <w:r>
        <w:rPr>
          <w:rtl/>
        </w:rPr>
        <w:t>סעיף כא</w:t>
      </w:r>
    </w:p>
    <w:p w14:paraId="2887F2F7" w14:textId="77777777" w:rsidR="004B2E7C" w:rsidRDefault="004B2E7C" w:rsidP="00434A6A">
      <w:pPr>
        <w:rPr>
          <w:rtl/>
        </w:rPr>
      </w:pPr>
      <w:r>
        <w:rPr>
          <w:rFonts w:cs="Arial"/>
          <w:rtl/>
        </w:rPr>
        <w:t>כא אין יוצאין בקופה ותיבה. תוספתא פרק ו' (שבת ה"ז) כתבוה הרי"ף והרא"ש בפרק במה אשה (רי"ף ל:, רא"ש סי' יח) והרמב"ם בפרק י"ט (הי"ז). ואיתא בגמרא בפרק הנודר מן הירק (נדרים נה:) יוצאין בשק עבה וכו' מפני הגשמים אבל לא בתיבה וכו' וכתב הרא"ש (בפירושו שם) יוצאין בשקים ואין בהם משום משוי כי דרך לצאת בהם מפני הגשמים והוא הדין בלא גשמים נמי שרו אבל לא בקופה דלאו דרך מלבוש הוא אלא משוי וזה שלא כדמשמע מדברי הרוקח (סי' ק) דלא שרי לצאת בשק אלא מפני הגשמים:</w:t>
      </w:r>
    </w:p>
    <w:p w14:paraId="0280A88E"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CCEF341" w14:textId="77777777" w:rsidR="004B2E7C" w:rsidRDefault="004B2E7C" w:rsidP="00434A6A">
      <w:pPr>
        <w:rPr>
          <w:rFonts w:asciiTheme="minorBidi" w:hAnsiTheme="minorBidi" w:cs="Arial"/>
          <w:rtl/>
        </w:rPr>
      </w:pPr>
      <w:r>
        <w:rPr>
          <w:rFonts w:asciiTheme="minorBidi" w:hAnsiTheme="minorBidi" w:cs="Arial"/>
          <w:rtl/>
        </w:rPr>
        <w:t xml:space="preserve">אין יוצאים בתיבה וקופה ומחצלת, אבל יוצאים בשק ויריעה וחמילה (פי' בגדים גסים). </w:t>
      </w:r>
    </w:p>
    <w:p w14:paraId="4A56C9C6" w14:textId="77777777" w:rsidR="004B2E7C" w:rsidRDefault="004B2E7C" w:rsidP="00434A6A">
      <w:pPr>
        <w:pStyle w:val="2"/>
        <w:rPr>
          <w:rtl/>
        </w:rPr>
      </w:pPr>
      <w:r>
        <w:rPr>
          <w:rtl/>
        </w:rPr>
        <w:t>סעיף כב</w:t>
      </w:r>
    </w:p>
    <w:p w14:paraId="7E879482" w14:textId="77777777" w:rsidR="004B2E7C" w:rsidRDefault="004B2E7C" w:rsidP="00434A6A">
      <w:pPr>
        <w:rPr>
          <w:rtl/>
        </w:rPr>
      </w:pPr>
      <w:r>
        <w:rPr>
          <w:rFonts w:cs="Arial"/>
          <w:rtl/>
        </w:rPr>
        <w:t>כב יוצאין במוך וספוג וכו' עד וקושרו ומתירו. הכל בתוספתא (שם ה"ג) שכתבו הרי"ף והרא"ש בפרק במה אשה (שם):</w:t>
      </w:r>
    </w:p>
    <w:p w14:paraId="3259286D"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170B857" w14:textId="77777777" w:rsidR="004B2E7C" w:rsidRDefault="004B2E7C" w:rsidP="00434A6A">
      <w:pPr>
        <w:rPr>
          <w:rFonts w:asciiTheme="minorBidi" w:hAnsiTheme="minorBidi" w:cs="Arial"/>
          <w:rtl/>
        </w:rPr>
      </w:pPr>
      <w:r>
        <w:rPr>
          <w:rFonts w:asciiTheme="minorBidi" w:hAnsiTheme="minorBidi" w:cs="Arial"/>
          <w:rtl/>
        </w:rPr>
        <w:t xml:space="preserve">יוצאים במוך וספוג שעל המכה לפי שהם מרפאים הילכך הוי כמו תכשיט, וכן בקליפת שום ובצל או באספלנית ומלוגמא ורטייה שעליה, ואם נפלו מעליה לא יחזירנה וכ"ש שלא יתנם בתחלה; אבל אסור לכרוך חוט או משיחה על המכה לצאת בו, דכיון שאינם מרפאים הוו משוי; אבל באגוד שכורך על הרטייה שלא תפול מעליו, יכול לילך בו וקושרו ומתירו. </w:t>
      </w:r>
    </w:p>
    <w:p w14:paraId="7C5C93CE" w14:textId="77777777" w:rsidR="004B2E7C" w:rsidRDefault="004B2E7C" w:rsidP="00434A6A">
      <w:pPr>
        <w:pStyle w:val="2"/>
        <w:rPr>
          <w:rtl/>
        </w:rPr>
      </w:pPr>
      <w:r>
        <w:rPr>
          <w:rtl/>
        </w:rPr>
        <w:t>סעיף כג</w:t>
      </w:r>
    </w:p>
    <w:p w14:paraId="069F3A81" w14:textId="77777777" w:rsidR="004B2E7C" w:rsidRDefault="004B2E7C" w:rsidP="00434A6A">
      <w:pPr>
        <w:rPr>
          <w:rtl/>
        </w:rPr>
      </w:pPr>
      <w:r>
        <w:rPr>
          <w:rFonts w:cs="Arial"/>
          <w:rtl/>
        </w:rPr>
        <w:t>כג בני מלכים וכן כל אדם יוצאין בזגים וכו'. משנה שם (סו:) בני מלכים יוצאין בזגים וכל אדם אלא שדברו חכמים בהווה ובגמרא (סז.) מאן תנא רבי שמעון היא דאמר כל ישראל בני מלכים הם רבא אמר באריג בכסותו ודברי הכל. וכיון דאוקימנא לרבי שמעון בשטה בפרק מפנין (שבת קכח.) לא קיימא לן כוותיה וממילא קמה לה מתניתין אליבא דהלכתא כרבא דאוקמה באריג ובלאו הכי איכא למימר דאפילו מאן דמוקי מתניתין כרבי שמעון סבירא ליה דבאריג בכסותו לכולי עלמא שרי אלא דמשום דבעא לאוקומי מתניתין דשרי אסתמא בין באריג בין בשאינו אריג אוקמה כרבי שמעון וכן פסק הרמב"ם בפרק י"ט (הי"ח):</w:t>
      </w:r>
    </w:p>
    <w:p w14:paraId="2594134C"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CB5196F" w14:textId="77777777" w:rsidR="004B2E7C" w:rsidRDefault="004B2E7C" w:rsidP="00434A6A">
      <w:pPr>
        <w:rPr>
          <w:rFonts w:asciiTheme="minorBidi" w:hAnsiTheme="minorBidi" w:cs="Arial"/>
          <w:rtl/>
        </w:rPr>
      </w:pPr>
      <w:r>
        <w:rPr>
          <w:rFonts w:asciiTheme="minorBidi" w:hAnsiTheme="minorBidi" w:cs="Arial"/>
          <w:rtl/>
        </w:rPr>
        <w:t xml:space="preserve">הבנים יוצאים בזגין (פי' כמין פעמונים קטנים) הארוגים להם בכסותם, אבל אם אינם ארוגים, לא. הגה: ולא מהני הא דמחובר לכסות רק בדבר שדרכו להיות מחובר שם. אבל אם חיבר שם דבר שאין דרכו בכך, אסור (הגהות מיימוני פי"ט וב"י בשם תשובת רשב"א ומרדכי פרק במה אשה). ואותן עגולים ירוקים שגזרה המלכות שכל יהודי ישא א' מהן בכסותו, מותר לצאת בהן אפילו אינו תפור בכסותו רק מחובר שם קצת (א"ז). וכן מותר לצאת במטפחת שמקנחין בו האף, שקורין פצולי"ט, אם מחובר לכסות. והא דמותר לצאת בזגין הארוגין דוקא שאין בהם ענבל ואין משמיעין קול (הגהות אלפסי סוף פרק במה אשה). </w:t>
      </w:r>
    </w:p>
    <w:p w14:paraId="0A9D9477" w14:textId="77777777" w:rsidR="004B2E7C" w:rsidRDefault="004B2E7C" w:rsidP="00434A6A">
      <w:pPr>
        <w:pStyle w:val="2"/>
        <w:rPr>
          <w:rtl/>
        </w:rPr>
      </w:pPr>
      <w:r>
        <w:rPr>
          <w:rtl/>
        </w:rPr>
        <w:t>סעיף כד</w:t>
      </w:r>
    </w:p>
    <w:p w14:paraId="5A55443D" w14:textId="77777777" w:rsidR="004B2E7C" w:rsidRDefault="004B2E7C" w:rsidP="00434A6A">
      <w:pPr>
        <w:rPr>
          <w:rtl/>
        </w:rPr>
      </w:pPr>
      <w:r>
        <w:rPr>
          <w:rFonts w:cs="Arial"/>
          <w:rtl/>
        </w:rPr>
        <w:t>כד יוצאים במיני עשבים וכו'. משנה שם (סו:) הבנים יוצאים בקשרים ופירשו בגמרא (שם) קשרים קישורי פאה ופריך אי הכי מאי איריא בנים אפילו בנות נמי מאי איריא קטנים אפילו גדולים נמי וזהו שכתב רבינו סתם יוצאים ולא חילק:</w:t>
      </w:r>
    </w:p>
    <w:p w14:paraId="1427BC0B"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365AA57" w14:textId="77777777" w:rsidR="004B2E7C" w:rsidRDefault="004B2E7C" w:rsidP="00434A6A">
      <w:pPr>
        <w:rPr>
          <w:rFonts w:asciiTheme="minorBidi" w:hAnsiTheme="minorBidi" w:cs="Arial"/>
          <w:rtl/>
        </w:rPr>
      </w:pPr>
      <w:r>
        <w:rPr>
          <w:rFonts w:asciiTheme="minorBidi" w:hAnsiTheme="minorBidi" w:cs="Arial"/>
          <w:rtl/>
        </w:rPr>
        <w:t xml:space="preserve">יוצאים במיני עשבים שקושרים אותם בקשרים ותולין אותם לרפואה. </w:t>
      </w:r>
    </w:p>
    <w:p w14:paraId="7E44BC38" w14:textId="77777777" w:rsidR="004B2E7C" w:rsidRDefault="004B2E7C" w:rsidP="00434A6A">
      <w:pPr>
        <w:pStyle w:val="2"/>
        <w:rPr>
          <w:rtl/>
        </w:rPr>
      </w:pPr>
      <w:r>
        <w:rPr>
          <w:rtl/>
        </w:rPr>
        <w:t>סעיף כה</w:t>
      </w:r>
    </w:p>
    <w:p w14:paraId="2DF5B0C6" w14:textId="77777777" w:rsidR="004B2E7C" w:rsidRDefault="004B2E7C" w:rsidP="00434A6A">
      <w:pPr>
        <w:rPr>
          <w:rtl/>
        </w:rPr>
      </w:pPr>
      <w:r>
        <w:rPr>
          <w:rFonts w:cs="Arial"/>
          <w:rtl/>
        </w:rPr>
        <w:t>כה אין יוצאין בקמיע שאינו מומחה וכו'. משנה שם (ס.) לא יצא האיש בסנדל המסומר וכו' ולא בקמיע בזמן שאינו מן המומחה ופירש רש"י אבל בקמיע מומחה שרי דתכשיט הוא לחולה כאחד ממלבושיו ובגמרא (סא.) אמר רב פפא לא תימא עד דמימחא גברא ומימחא קמיעא אלא כיון דמימחא גברא אף על גב דלא מימחא קמיעא וכתבו התוספות (ד"ה אף על גב) והרא"ש (סי' ח) והר"ן (כז: ד"ה אמר) דכל שכן אי אתמחי קמיעא ולא אתמחי גברא דהא משמע בגמרא (סא:) שהמחאת קמיע עדיף מהמחאת רופא: ואיתא תו בגמרא (סא.) ת"ר אי זהו קמיע מומחה כל שריפא ושנה ושלש והתניא איזהו קמיע מומחה כל שריפא ג' בני אדם כאחד ופירש רש"י ובברייתא קמייתא תני כל שריפא ושנה ושלש אפילו אדם אחד. לא קשיא הא למחויי גברא הא למחויי קמיעא ופירש רש"י הא דקתני ג' בני אדם משום דסתם ג' בני אדם שלשה מיני חולאים ואיירי בג' מיני קמיעים שאינם דומים זה לזה ולאמחויי גברא שנעשה מומחה בכל קמיעין שיעשה לעולם כדאמרינן בבבא קמא (לז.) נגח שור וחמור וגמל נעשה מועד לכל אבל הקמיע אינו מומחה אם יכתוב רופא אחר אחד מהם והא דקתני כל שריפא ושנה ושלש מיירי בחולי אחד וכתב זה הלחש וריפא ג' פעמים או לאדם אחד או לשלשה ולאיתמחויי קמיעא מיירי דנעשה הקמיע לבדו מומחה על יד אדם זה או אם כתבום שלשה רופאים נעשה קמיע של לחש זה מומחה מיד כל אדם: ואיתא תו בגמרא (סא:) אמר רב פפא פשיטא לי תלתא קמיעי לתלתא גברי תלתא תלתא זמנא אתמחי גברא ואתמחי קמיעא ג' קמיעי לתלת גברי חד חד זמנא גברא אתמחי קמיעא לא אתמחי חד קמיעא לתלת גברי קמיעא אתמחי גברא לא אתמחי בעי רב פפא ג' קמיעי לחד גברא מאי קמיעא ודאי לא אתמחי גברא אתמחי או לא אתמחי מי אמרינן הא אסי ליה או דילמא מזלא דגברא הוא דקא מקבל כתבא תיקו. ופירש רש"י תלתא קמיעין. ג' מיני לחש: תלתא תלתא זמני. כל לחש ריפא ג' פעמים ואפילו אדם אחד: אתמחי גברא. בכל קמיעות לעולם שהרי הומחה בשלשה מיני קמיעין ואתמחי קמיעא שלשה קמיעות הללו נעשו מומחין מיד כל אדם שהרי ריפא כל אחד ג' פעמים ואין לומר מזל הרופא [גורם] דאין הדבר תלוי במזל הרופא אלא בחכמתו: קמיעא לא אתמחי. לבא מיד רופא אחר: חד קמיע לתלת גברי. לחולי אחד: קמיעא אתמחי. מיד כל אדם: גברא לא אתמחי לקמיע אחר שאינו של לחש ושל חולי זה: תלתא קמיעי. של ג' מיני חולי: קמיעא ודאי לא אתמחי. מיד (כל) אדם אחר שהרי לא ריפא אלא פעם אחת: מזליה דהאי גברא. וא"ת ממתניתין דלעיל שמעינן לה דקתני כל שריפא ושנה ושלש דמשמע לאדם אחד ואוקימנא דאתמחי קמיעא ולא אמרינן מזליה הוא לא דמי התם חד קמיעא הוא וליכא למתלייה במזלא דגברא אלא בקמיעא הני ודאי בגברא תלו או ברופא או במתרפא הילכך מיבעיא לן במאי ניתלייה עכ"ל: והרא"ש כתב שם (סי' ח) פירש רש"י אם ריפא שלשה מיני חולאים בג' מיני קמיעות דאתמחי גברא לכל הקמיעים גם לחולאים אחרים ולא נהירא דאטו אם הוא בקי בג' מיני קמיעים וכי בשביל זה יחשב מומחה גם לקמיעים אחרים שאינו בקי בהם הילכך נראה לפרש אתמחי גברא היינו שאם כתב לחש אחד בג' אגרות ורפאו שלשתן אתמחי גברא לאותו לחש בכל פעם שיכתוב אותו אבל לשאר לחשים לא וגם אין הקמיע מומחה אם יכתבנו אחר ואגרת שריפתה ג' פעמים מומחה לכל אדם ותלת קמיעי לתלת גברי תלת זמני הכי פירושו אם כתב לחש אחד בג' אגרות וכל אחת הועילה לג' אנשים או לאדם אחד ג' פעמים אתמחי גברא ללחש זה בכל אגרת שיכתוב ואתמחו אגרות הללו לכל אדם וכן כתבו התוספות (סא. ד"ה עד, סא: ד"ה תלתא): נמצא שהם חולקים על רש"י בפירוש אתמחי גברא ובפירוש אתמחי קמיעא. בפירוש אתמחי גברא דלרש"י אתמחי לכל מיני קמיעים שיכתוב ולדבריהם לא אתמחי אלא לקמיעים שממין אותו לחש אבל לא לקמיעי לחש אחר. בפירוש אתמחי קמיעא דלרש"י הוחזק לחש זה אפילו כתבו באגרת אחרת ואפילו כתבו אדם אחר ולדידהו לא הוחזק אלא אותה אגרת עצמה לבד אבל לא אגרת אחרת שכתוב בה לחש זה אפילו כתבה אדם זה אלא אם כן אתמחי גברא</w:t>
      </w:r>
      <w:r>
        <w:rPr>
          <w:rStyle w:val="a9"/>
          <w:rFonts w:cs="Arial"/>
          <w:rtl/>
        </w:rPr>
        <w:footnoteReference w:id="1081"/>
      </w:r>
      <w:r>
        <w:rPr>
          <w:rFonts w:cs="Arial"/>
          <w:rtl/>
        </w:rPr>
        <w:t>: ולפי דברי התוספות והרא"ש ה"פ דשמעתא. תלתא קמיעי לתלתא גברי תלתא תלתא זימני כלומר שלש אגרות רפאו שלשה בני אדם וכל אגרת הועילה ג' פעמים אתמחי גברא שכתב ג' אגרות והועילו לג' בני אדם וכל אגרת מאלו אתמחי אפילו אי לא הוה אתמחי גברא שהרי כל אחת הועילה ג' פעמים. תלתא קמיעי לתלת גברי חד חד זמנא גברא אתמחי שכתב שלש אגרות שהועילו אבל אי לאו דגברא אתמחי לא אתמחי שום אגרת מאלו שהרי לא הועילה כל אחת אלא פעם אחת. חד קמיעא לתלת גברי קמיעא אתמחי כלומר אגרת זו היא מומחה שהועילה ג' פעמים גברא לא אתמחי שלא כתב אלא אגרת אחת שהועילה. וכתבו התוספות (סא: ד"ה חד) דהוא הדין חד קמיע לחד גברא תלת זמני דאתמחי קמיעא והאי דנקט לתלת גברי לאשמועינן דאפילו הכי גברא לא אתמחי וכן משמע מדברי הרא"ש (שם). בעי רב פפא תלת קמיעי לחד גברא כלומר כל אגרת לא הועיל אלא חד זמנא קמיעא ודאי לא אתמחי גברא מי אמרינן דכיון שכתב שלש אגרות שהועילו אתמחי או דילמא כיון שכל אגרותיו לא הועילו אלא לאדם אחד איכא למימר מזלא דגברא דמקבל כתבא גרים ולא אתמחי וסלקא בתיקו: וכתבו התוספות (שם) והרא"ש (שם) דלגבי המחאת קמיע לא מיבעיא ליה באגרת שרפאה ג' פעמים לאדם אחד אי אמרינן דאתמחי קמיעא דפשיטא ליה דאתמחי ולא תלינן במזלא דגברא משום דהמחאת קמיע עדיף מהמחאת גברא ומשום הכי אף על גב דפשיטא ליה גבי המחאת קמיעא מיבעיא ליה גבי המחאת גברא: ופסקו סמ"ג (לאוין סה, יח ע"ד) וסמ"ק (סי' רפב עמ' ש) התרומה (סי' רמ, צא ע"א) ורבינו ירוחם בחלק ה' (נתיב י"ב, עד ע"א) בעיא דרב פפא לחומרא וכן משמע מדברי הרמב"ם פרק י"ט (הי"ד) וכן משמע ברמזים (קיצור פסקי הרא"ש פ"ו סי' ח) וכן כתוב בקצת ספרי רבינו אבל אם כתב ג' קמיעים לאדם אחד ורפאו ג' פעמים לא אתמחי גברא ולא קמיעא וכן מצאתי בספר מוגה מיד אדם גדול. ואף על פי שבקצת ספרים כתוב אתמחי גברא ולא קמיעא ליתא לההיא נסחא דאם כן נמצא חולק על כל הפוסקים. ועוד דאם כן ה"ל למתנייה ולערובי בהדיה מה שכתב לעיל אתמחי גברא ולא אתמחי קמיעא והכי הל"ל כגון שכתב לחש אחד בשלש אגרות ורפאו שלשתן לשלשה אנשים או לאיש אחד ומדלא ערבינהו משמע ודאי דלא הוה מצי לערובינהו דכל שלא הועילו אלא לאדם אחד לא אתמחי גברא ולא קמיעא. והכי דייק לישנא דאבל דקתני דמשמע דלא דמי לדלעיל כלל דבאינך אתמחי גברא או קמיעא ומשום הכי שרו אבל בכה"ג לא אתמחי חד מינייהו. ולפי זה מה שכתב כגון שכתב לחש אחד בג' אגרות ורפאו שלשתן היינו דוקא ברפאו שלשה בני אדם שאם לא רפאו אלא אדם אחד היינו בעיא דרב פפא דסלקא בתיקו ולחומרא דגברא נמי לא אתמחי:</w:t>
      </w:r>
    </w:p>
    <w:p w14:paraId="458B5C4B" w14:textId="77777777" w:rsidR="004B2E7C" w:rsidRDefault="004B2E7C" w:rsidP="00434A6A">
      <w:pPr>
        <w:rPr>
          <w:rtl/>
        </w:rPr>
      </w:pPr>
      <w:r>
        <w:rPr>
          <w:rFonts w:cs="Arial"/>
          <w:rtl/>
        </w:rPr>
        <w:t>ומה שכתב כגון שכתב לחש אחד באגרת אחת וריפא בו ג' פעמים. אפילו לא רפאה כל ג' פעמים אלא לאדם אחד אתמחי קמיעא:</w:t>
      </w:r>
    </w:p>
    <w:p w14:paraId="0E608436" w14:textId="77777777" w:rsidR="004B2E7C" w:rsidRDefault="004B2E7C" w:rsidP="00434A6A">
      <w:pPr>
        <w:rPr>
          <w:rtl/>
        </w:rPr>
      </w:pPr>
      <w:r>
        <w:rPr>
          <w:rFonts w:cs="Arial"/>
          <w:rtl/>
        </w:rPr>
        <w:t>ומה שכתב כגון שכתב לחש אחד בשלש אגרות וכל אחת הועילה לג' אנשים או לאדם אחד ג' פעמים. כלומר דנהי דלאמחויי גברא בעינן שכל אגרת תועיל לאיש אחד לאמחויי האגרת לא מיבעיא אם כל אגרת הועילה לג' אנשים פעם אחת בכל איש דהא ודאי אתמחי כיון שכל אגרת הועילה ג' פעמים באנשים מחולפים אלא אפילו אם כל אגרת הועילה ג' פעמים לאדם אחד אתמחו כל הג' אגרות דאף על גב דלהמחאת גברא בעינן ג' אנשים להמחאת האגרת באדם אחד ג' פעמים סגי וכמו שכתבתי בשם התוספות והרא"ש: אחר שכתבתי כל זה מצאתי כתוב ביאור לשון זה בסידור נכון ואף על פי שהכל עולה לסגנון אחד ראיתי להעתיקו שאין בית המדרש בלא חידוש וז"ל אתמחי גברא ולא קמיעא הוא בשכתב פרשת והיה אם שמוע בדרך משל בשלש אגרות ורפא בכל אחת מהן אדם אחד אחר כך כתב פעם אחרת והיה אם שמוע ולא רפא בה ג' פעמים האיש נעשה מומחה אחר שריפא ג' בני אדם בשלש אגרות הקמיע לא נעשה מומחה אחר שלא ריפא ג' פעמים והדין בזה שמותר לצאת בכל אגרת זה האיש מזה הלחש. ואם תאמר היאך אפשר שנמחה האיש ולא הקמיע והלא כיון שהאיש מומחה לכתוב לחש זה אם כן אגרת זו ודאי תועיל תירצו התוספות (סא. ד"ה אף על גב, השני) דנפקא מינה שאם אבד המחאתו כגון שכתב ג' קמיעים ולא הועילו אם הומחה הקמיע מועיל אפילו אבד המחאתו. חלוקת אתמחי קמיעא ולא גברא מבוארת במה שכתבתי והוא שכתב והיה אם שמוע באגרת אחת וריפאה האגרת ג' פעמים אפילו לאדם אחד כל שכן לשלשה אנשים והדין בזה כל אדם יכול לצאת באותה האגרת. אתמחי גברא וקמיעא הוא כשכתב והיה אם שמוע בג' אגרות וריפאו השתים מהן כל אחת איש אחר והשלישית ריפאה ג' אנשים או ג' פעמים איש אחד בזה נמחה האיש והקמיע הג'. ואם כל אחת מאותן האגרות ריפאו ג' פעמים נעשו כולן מומחות. ואל יקשה עליך קמיע שלישי היאך נמחה הלא מיד כשיתרפא האדם ג' בקמיע ג' נמחה האיש וכיון שנמחה האיש ודאי שאותה האגרת תועיל מכאן ואילך שאפשר לומר כגון שב' קמיעים מאלו ריפאו ג' פעמים לשני אנשים והקמיע השלישי לאחד מאלו האנשים (ג') [ב] פעמים ועכשיו כבר נמחו שני קמיעים והאיש והקמיע השלישי עדיין לא נמחו וחזר וריפא קמיע שלישי אדם שלישי שעכשיו בא בבת אחת המחאת האיש והמחאת הקמיע: והשתא מה שכתב כגון שכתב לחש אחד בג' אגרות וריפאו שלשתן היינו לומר שריפאו לשלשה אנשים כי אם ריפאו הג' אגרות לאיש אחד לא אתמחי גברא כמו שכתב בסוף אבל אם כתב וכו' ובזה לא ביאר בעל הספר כל צרכו או סמך על המבין: גם מה שכתב בזאת החלוקה וגם אין הקמיע מומחה אם יכתבנו אחר אינו פירוש למ"ש לא אתמחי קמיעא דאם כן יקשה למה שאמר למטה באתמחי קמיעא וז"ל שאותה האגרת מומחה לכל אדם אבל הכל הוא פירוש אתמחי גברא כי פירוש לא אתמחי קמיעא יובן במה שיפרש למטה באתמחי קמיעא כי מכלל הן אתה שומע לאו אבל לפי שפירש דאתמחי גברא ר"ל לאותו לחש לבד לא לשאר לחשים הוצרך לומר כי זה הלחש מיד אחר אינו מומחה שאם היה מומחה מיד אחר מה יתרון לאדם שנמחה גם הזכירו למה שאתמחי קמיעא ר"ל לאותה האגרת לבד אבל הלחש לא מיד הכותב ולא מיד איש אחר אינו מומחה גם הזכירו כנגד פירוש רש"י באתמחי גברא: ומה שכתב בחלוקה השנית מבואר במה שכתבנו ותדקדק שכתב בה שריפא ג' פעמים סתם ולא חילק כלל למה שהאמ' כמו שכתבתי שאפילו ג' פעמים לאדם אחד די ואין צריך שירפא לשלשה אנשים גם בעל הספר כתב זה בפירוש בחלוקה שלישית במה שכתב וכל אחת הועילה לשלשה אנשים או לאדם אחד ג' פעמים הנה לך בפירוש שאין חילוק כלל: ומה שכתב בחלוקה הג' הכל מבואר כשתעיין מה שכתבנו שלא הוכרח הרב לומר באתמחי גברא וקמיעא שכל אחד מהקמיעים ירפא שלשה אנשים כי האחד לבדו שירפא שלשה אנשים ושתים האחרות כל אחד איש אחד אתמחי גברא וקמיעא אחד אבל הסבה שכתב כן לכשיהיו כל הג' קמיעים מומחים כאשר כתבנו: ופירוש מה שכתב אתמחי גברא ללחש זה וכו' ואתמחו אגרות הללו וכו' תבין במ"ש בתשובת הקושיא שהקשינו למעלה בחלוקה הראשונה ור"ל אתמחו אגרות הללו לכל אדם אף אם זה האיש יאבד המחאתו נשארו אלו האגרות מומחות לעולם לכל אדם והוכרח לומר זה שאם לא כן יקשה אחר שזה האיש הוא מומחה לכל אגרות שיכתוב מזה הלחש מה יתרון לאלו האגרות שאמר עליהן ואתמחו אגרות הללו וכו'. ובזה יתיישב גם כן קושיא שיש בלשון ה"ר יעקב מה לו להזכיר הדבר הפשוט אפילו בדרך כל שכן אבל במה שאמרתי מודיע לנו חידוש גדול: ומ"ש אבל אם כתב ג' קמיעים וכו' אינה חלוקה רביעית אבל היא מעין חלוקה הראשונה ודומה לה ואין הפרש ביניהם אלא שהראשונה היא שריפאו הג' אגרות לשלשה בני אדם וזו שריפאו לאדם אחד ג' פעמים והיא בעיא בגמרא ועלתה בתיקו ולחומרא. והאמת כי הלשון אינו מדוייק ממש שהל"ל אבל אם כתב לחש אחד בג' אגרות לאדם אחד וריפאו וכו' כמו שכתב למעלה בחלוקה הראשונה אחר שאין חילוק ביניהם כי אם בענין לרפאות שלשה בני אדם או אדם אחד ג' פעמים כמו שכתבתי. ואל יקשה עליך למה לא נאמר גם כן למעלה בחלוקת אתמחי קמיעא בזה ר"ל מזליה דהאי גברא דמקבל קמיע הוא אחר שהאמת הוא כאשר כתבתי שלהמחאת הקמיע אין צריך שירפא לשלשה בני אדם אלא לאדם אחד ג' פעמים והטעם כי אחר שהמחאת הקמיע תלויה בעשייתו כתקנו יותר יש לתלות ענין הרפואה בתיקון הקמיע מבמזלו של זה האיש אבל באתמחי גברא אחר שהוא תלוי במזל הרופא יש לספק שמא מזל הרופא גורם או מזל החולה עכ"ל: ודברי סמ"ג (שם) וסמ"ק (שם עמ' ש) והתרומה (שם) כדברי רש"י דאם ריפא שלשה מיני חלאים וג' מיני קמיעות אתמחי גברא לכל הקמיעים גם לחלאים אחרים: וכתבו עוד שלא יקרא אדם מומחה על ידי שריפא שלשה בני אדם על ידי תחבושת או משקה אלא דוקא אם הוא מומחה הקמיעים ואף על פי שהנותנו אינו יודע כלום ברפואה. וזה פשוט: וכתוב בהגהת אשיר"י (סי' ח) וז"ל רופא מומחה שעשה קמיע חדש לשום חולי אותו קמיע לבד מותר ואם יעשנו אדם אחר אינו מומחה אף על פי שריפא ג' פעמים מיד המומחה איכא למימר מזל הרופא גרם אבל קמיע שבא מיד אדם שאינו מומחה וריפא שלש פעמים נעשה מומחה מיד כל אדם דאין כאן לתלות במזל הרופא כיון שלא היה מומחה בשעה שעשהו עכ"ל</w:t>
      </w:r>
      <w:r>
        <w:rPr>
          <w:rStyle w:val="a9"/>
          <w:rFonts w:cs="Arial"/>
          <w:rtl/>
        </w:rPr>
        <w:footnoteReference w:id="1082"/>
      </w:r>
      <w:r>
        <w:rPr>
          <w:rFonts w:cs="Arial"/>
          <w:rtl/>
        </w:rPr>
        <w:t>: והרמב"ם בפרק י"ט (שם) כתב וז"ל ואי זהו קמיע מומחה זה שריפא לשלשה בני אדם או שעשהו אדם שריפא שלשה בני אדם בקמיעים אחרים עכ"ל נראה שמפרש דכי אמר רב פפא חד קמיע לתלת גברי קמיע אתמחי דוקא קאמר אבל לגברא חד תלת זמני לא אתמחי קמיעא ושלא כדברי המפרשים שכתבו דלאו דוקא אבל אין בדבריו הכרע אם תופס כפירוש רש"י או כפירוש התוספות:</w:t>
      </w:r>
    </w:p>
    <w:p w14:paraId="27BCD2BA" w14:textId="77777777" w:rsidR="004B2E7C" w:rsidRDefault="004B2E7C" w:rsidP="00434A6A">
      <w:pPr>
        <w:rPr>
          <w:rtl/>
        </w:rPr>
      </w:pPr>
      <w:r>
        <w:rPr>
          <w:rFonts w:cs="Arial"/>
          <w:rtl/>
        </w:rPr>
        <w:t>ומה שכתב רבינו ומותר לצאת בקמיע מומחה לא שנא הוא של כתב או של עיקרין וכו' עד ויצא בו לרשות הרבים. הכל שם בגמרא (סא.) ופירש רש"י (ד"ה ולא קתני) של עיקרין של שרשי סמנין קרוי נמי קמיע:</w:t>
      </w:r>
    </w:p>
    <w:p w14:paraId="11ECEB83"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913AE12" w14:textId="77777777" w:rsidR="004B2E7C" w:rsidRDefault="004B2E7C" w:rsidP="00434A6A">
      <w:pPr>
        <w:rPr>
          <w:rFonts w:asciiTheme="minorBidi" w:hAnsiTheme="minorBidi" w:cs="Arial"/>
          <w:rtl/>
        </w:rPr>
      </w:pPr>
      <w:r>
        <w:rPr>
          <w:rFonts w:asciiTheme="minorBidi" w:hAnsiTheme="minorBidi" w:cs="Arial"/>
          <w:rtl/>
        </w:rPr>
        <w:t xml:space="preserve">אין יוצאין בקמיע שאינו מומחה, ואם הוא מומחה יוצאין בו. לא שנא אתמחי גברא ולא קמיע כגון שכתב לחש אחד בשלש אגרות ורפאו שלשתם שלשה בני אדם שאיתמחי גברא לאותו לחש בכל פעם שיכתבנו אבל לא לשאר לחשים, וגם אין הקמיע מומחה אם יכתבנו אחר, לא שנא אתמחי קמיע ולא גברא כגון שכתב לחש אחד באגרת אחת וריפא בו ג' פעמים שאותה אגרת מומחה לכל אדם; וכ"ש אי איתמחי גברא וקמיע כגון שכתב לחש אחד בג' אגרות וכל אחת הועילה לג' אנשים או לאדם אחד שלשה פעמים, איתמחי גברא ללחש זה בכל אגרת שיכתבנו ואתמחו אגרות הללו לכל אדם. הגה: ודוקא שבאו ב' המחאות ביחד, אבל אם איתמחי גברא תחלה ואח"כ עשה קמיע וריפא ג"פ לא תלינן בהמחאת הקמיע רק בהמחאת הגברא שכבר אתחזק (הג"א וכן משמע מתוס' מהביאור שכתב ב"י). אבל אם כתב ג' קמיעים לאדם אחד ורפאו ג' פעמים, לא איתמחי לא גברא ולא קמיע. ומותר לצאת בקמיע מומחה ל"ש הוא של כתב או של עיקרים, בין בחולה שיש בו סכנה בין בחולה שאין בו סכנה. ולא שנכפה כבר ותולהו לרפואה, אלא אפילו לא אחזו החולי אלא שהוא ממשפחת נכפין ותולהו שלא יאחזנו, שרי וקושרו ומתירו ברשות הרבים ובלבד שלא יקשרנו בשיר או בטבעת ויצא בו לרשות הרבים, שאז יאמרו שיוצא בו לשם תכשיט וזה אסור, דלאו תכשיט הוא. </w:t>
      </w:r>
    </w:p>
    <w:p w14:paraId="1309CC32" w14:textId="77777777" w:rsidR="004B2E7C" w:rsidRDefault="004B2E7C" w:rsidP="00434A6A">
      <w:pPr>
        <w:pStyle w:val="2"/>
        <w:rPr>
          <w:rtl/>
        </w:rPr>
      </w:pPr>
      <w:r>
        <w:rPr>
          <w:rtl/>
        </w:rPr>
        <w:t>סעיף כו</w:t>
      </w:r>
    </w:p>
    <w:p w14:paraId="79EB63F7" w14:textId="77777777" w:rsidR="004B2E7C" w:rsidRDefault="004B2E7C" w:rsidP="00434A6A">
      <w:pPr>
        <w:rPr>
          <w:rtl/>
        </w:rPr>
      </w:pPr>
      <w:r>
        <w:rPr>
          <w:rFonts w:cs="Arial"/>
          <w:rtl/>
        </w:rPr>
        <w:t>כו נאמן הרופא וכו'. ירושלמי בפרק במה אשה (ה"ב) נאמן הרופא לומר קמיע זה מומחה ריפיתי בו ושניתי ושלשתי וכתבוהו הרא"ש והר"ן והמרדכי בפרק הנזכר (רא"ש סי' ח, ר"ן כח. ד"ה אבל, מרדכי סי' שמח):</w:t>
      </w:r>
    </w:p>
    <w:p w14:paraId="5666F7B6"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739DA0F" w14:textId="77777777" w:rsidR="004B2E7C" w:rsidRDefault="004B2E7C" w:rsidP="00434A6A">
      <w:pPr>
        <w:rPr>
          <w:rFonts w:asciiTheme="minorBidi" w:hAnsiTheme="minorBidi" w:cs="Arial"/>
          <w:rtl/>
        </w:rPr>
      </w:pPr>
      <w:r>
        <w:rPr>
          <w:rFonts w:asciiTheme="minorBidi" w:hAnsiTheme="minorBidi" w:cs="Arial"/>
          <w:rtl/>
        </w:rPr>
        <w:t xml:space="preserve">נאמן לומר הרופא על עצמו שהוא מומחה. </w:t>
      </w:r>
    </w:p>
    <w:p w14:paraId="116F3C3B" w14:textId="77777777" w:rsidR="004B2E7C" w:rsidRDefault="004B2E7C" w:rsidP="00434A6A">
      <w:pPr>
        <w:pStyle w:val="2"/>
        <w:rPr>
          <w:rtl/>
        </w:rPr>
      </w:pPr>
      <w:r>
        <w:rPr>
          <w:rtl/>
        </w:rPr>
        <w:t>סעיף כז</w:t>
      </w:r>
    </w:p>
    <w:p w14:paraId="7366618C" w14:textId="77777777" w:rsidR="004B2E7C" w:rsidRDefault="004B2E7C" w:rsidP="00434A6A">
      <w:pPr>
        <w:rPr>
          <w:rtl/>
        </w:rPr>
      </w:pPr>
      <w:r>
        <w:rPr>
          <w:rFonts w:cs="Arial"/>
          <w:rtl/>
        </w:rPr>
        <w:t>כז יוצאין בביצת החרגול וכו'. משנה שם (סז.) פלוגתא דרבי יוסי ורבי מאיר והלכה כרבי יוסי דשרי ואפילו לספרים דגרסי דרבי מאיר מתיר וחכמים אוסרים אף בחול משום דרכי האמורי לא קיימא לן כחכמים דאסרי מדאמרינן בגמרא (שם) אביי ורבא דאמרי תרוייהו כל דבר שיש בו משום רפואה אין בו משום דרכי האמורי. ובגמרא (שם) מפרש למאי מהני ביצת החרגול ושן של שועל ומסמר הצלוב:</w:t>
      </w:r>
    </w:p>
    <w:p w14:paraId="39B927F4" w14:textId="77777777" w:rsidR="004B2E7C" w:rsidRDefault="004B2E7C" w:rsidP="00434A6A">
      <w:pPr>
        <w:rPr>
          <w:rtl/>
        </w:rPr>
      </w:pPr>
      <w:r>
        <w:rPr>
          <w:rFonts w:cs="Arial"/>
          <w:rtl/>
        </w:rPr>
        <w:t>ומה שכתב אבל אם עושה מעשה ואין ניכר בו שהוא משום רפואה אסור משום דרכי האמורי. שם אהא דאמרי אביי ורבא כל דבר שיש בו משום רפואה אין בו משום דרכי האמורי דייקינן הא אין בו משום רפואה יש בו משום דרכי האמורי ופירש רש"י יש בו משום רפואה שנראית רפואתו כגון שתיית כוס ותחבושת מכה אין בו משום רפואה כגון לחש שאין ניכר שיהא מרפא. וכתב עליו הרא"ש (סו"ס יט) ולא נהירא דלעיל בשמעתין איכא כמה לחשים שהיו עושין אלא מיירי בשעשה מעשה ואינו ניכר שיהא בו רפואה כלל כגון אילן שמשיר פירותיו שסוקרו בסיקרא. וכן כתב שם הר"ן (ל: ד"ה כל) וז"ל כל דבר שיש בו משום רפואה בין לחש בין כל דבר כיון שאנו יודעין שהוא מרפא והכי מוכח בתוספתא (שבת פ"ח הי"א). וכך הם דברי רבינו. וכתב עוד הר"ן שם וז"ל ואפשר דאף לחשים שאין אנו יודעים אם יש בהם משום רפואה מותר בהם מספק ולא אסרו אלא אותם שבדקו ואין מועילים וכתב הרשב"א (סז. ד"ה כל) שכן נראה שפירשו בתוספות אלא שראיתי לה"ר יונה (שערי תשובה ש"ג אות קד) שחשש בכל קמיע שאינו מומחה משום דרכי האמורי עכ"ל:</w:t>
      </w:r>
    </w:p>
    <w:p w14:paraId="0F3E8B4B" w14:textId="77777777" w:rsidR="004B2E7C" w:rsidRDefault="004B2E7C" w:rsidP="00434A6A">
      <w:pPr>
        <w:rPr>
          <w:rtl/>
        </w:rPr>
      </w:pPr>
      <w:r>
        <w:rPr>
          <w:rFonts w:cs="Arial"/>
          <w:rtl/>
        </w:rPr>
        <w:t>(דרכמ ט) כתב בהגהות אשיר"י (פ"ו סי' ט) דכל קמיע שאסור ליכנס בה לבית הכסא אסור לצאת בו בשבת דכי עייל לבית הכסא שרי ליה ואתי לאתויי ארבע אמות ברשות הרבים. ואם היא מכוסה בעור מותר ליכנס בה לבית הכסא אף על גב דכתובין בה שמות עכ"ל. וכתב עוד אם יש בו חולי שיש בו סכנה אין צריך להסיר אף על פי שאינו מחופה עור. וכן הוא בגמרא (סא: - סב א):</w:t>
      </w:r>
    </w:p>
    <w:p w14:paraId="6D7272F1"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AB07851" w14:textId="77777777" w:rsidR="004B2E7C" w:rsidRDefault="004B2E7C" w:rsidP="00434A6A">
      <w:pPr>
        <w:rPr>
          <w:rFonts w:asciiTheme="minorBidi" w:hAnsiTheme="minorBidi" w:cs="Arial"/>
          <w:rtl/>
        </w:rPr>
      </w:pPr>
      <w:r>
        <w:rPr>
          <w:rFonts w:asciiTheme="minorBidi" w:hAnsiTheme="minorBidi" w:cs="Arial"/>
          <w:rtl/>
        </w:rPr>
        <w:t xml:space="preserve">יוצאין בביצת החרגול ובשן של שועל ובמסמר הצלוב בין בחול בין בשבת, ואין בו משום דרכי האמורי. וכן בכל דבר שהוא משום רפואה. אבל אם עושה מעשה ואין ניכר בו שהוא משום רפואה, אסור משום דרכי האמורי. אבל כל לחש, מותר. ולא אסרו אלא באותם שבדקן ואינם מועילים. ויש מי שחשש בכל קמיע שאינו מומחה משום דרכי האמורי. </w:t>
      </w:r>
    </w:p>
    <w:p w14:paraId="3F04A380" w14:textId="77777777" w:rsidR="004B2E7C" w:rsidRDefault="004B2E7C" w:rsidP="00434A6A">
      <w:pPr>
        <w:pStyle w:val="2"/>
        <w:rPr>
          <w:rtl/>
        </w:rPr>
      </w:pPr>
      <w:r>
        <w:rPr>
          <w:rtl/>
        </w:rPr>
        <w:t>סעיף כח</w:t>
      </w:r>
    </w:p>
    <w:p w14:paraId="30014ACE" w14:textId="77777777" w:rsidR="004B2E7C" w:rsidRDefault="004B2E7C" w:rsidP="00434A6A">
      <w:pPr>
        <w:rPr>
          <w:rtl/>
        </w:rPr>
      </w:pPr>
      <w:r>
        <w:rPr>
          <w:rFonts w:cs="Arial"/>
          <w:rtl/>
        </w:rPr>
        <w:t>כח מי שיש לו מכה בפיסת רגלו וכו'. משנה שם (סה.) יוצאין בסלע שעל הצינית ומפרש בגמרא כמו שכתב רבינו:</w:t>
      </w:r>
    </w:p>
    <w:p w14:paraId="3C9F8A7E" w14:textId="77777777" w:rsidR="004B2E7C" w:rsidRDefault="004B2E7C" w:rsidP="00434A6A">
      <w:pPr>
        <w:rPr>
          <w:rtl/>
        </w:rPr>
      </w:pPr>
      <w:r>
        <w:rPr>
          <w:rFonts w:cs="Arial"/>
          <w:rtl/>
        </w:rPr>
        <w:t>אין יוצאין בסנדל המסומר. משנה שם (ס.) ומפרש בגמרא טעמא דגזרו עליו משום מעשה שהיה ובפרק קמא דיום טוב (ביצה יד:) תנן דביום טוב נמי אסור ובגמרא (שבת ס:) מפרש צורת סנדל המסומר שגזרו עליו וקאמר דכל שאינו מסומר בההוא גוונא ממש מותר. וכתב הרא"ש (סי' ח) וטעמא לפי שלא אסרו אלא כיוצא באותו סנדל המסומר שאירע בו מעשה וצורתו נעלמה ממנו: וכתבו הגהות בפרק י"ט (אות ב קמא) בשם התוספות סנדלים הנזכרים כאן לא נראו בינינו מעולם הילכך סנדלים שנועלים במדינת רומי מותר לצאת בהם אלא שהחמירו על עצמם: ורבינו ירוחם בחלק ה' (נתיב י"ב, עג ע"ד) כתב דכיון דמשמע בגמרא שאם שנה צורתו בשום ענין שלא יהיה ממש כמוהו מותר אם כן למה נאסור הגאליגא"ש אשר עם מסמרים למטה ונראה לי שהיה מנהג בטעות שהיו סבורים שהיה זה סנדל המסומר ועם כל זה לא הייתי מתירו במקום שנהגו בו איסור ואף על פי שיש לי להשיב אפילו לפי מנהגם להתירו זולתי אם עשו מנהג להחמיר על עצמם ואין להם טעם משום שחופר בקרקע דקיימא לן כרבי שמעון בדבר שאין מתכוין (שבת כב., צה.) אבל נראה לי שאין להם על מה שיסמוכו לאסרם עכ"ל: והר"ן כתב שם (כז: ד"ה נקטינן) דכל שהוא משונה מסנדל שגזרו עליו מותר לצאת בו ולפי זה הסנדל המסומר שלנו שיוצאין בו בימות הגשמים אינו בכלל גזרה זו ואף על פי כן נהגו איסור בדבר לפי שדרכו לצאת מן הרגל ואיכא למיחש דילמא אתי לאיתויי כך ראיתי בשם הרשב"א עד כאן לשונו: וכתוב בתשובות הרשב"א (ח"ג סי' רס"ו) להשים בסנדל חתיכה של ברזל במקום המסמרים שורת הדין מותר הוא אלא שאסור עכשיו לעשות כן שלא יבא לטעות [ולהתיר] סנדל המסומר האסור לפי שלא נהג שום אדם לעשות כן עכ"ל. ואם כן לדידן שנהגנו לעשות כן שרי: ובכלבו (סי' לא, כט ע"ב) כתוב ובאלה הסנדלים המסומרים שלנו הדבר פשוט שאסור לצאת בהם אף על פי שאינם עשויים כאותם שלהם שגזרו עליהם ומכל מקום מסומרים הם לחזק ואמרינן שהם אסורים ועוד שקרובים הם להשמט מן הרגל אך באותם שאינם מסומרים יש קצת ראיה להתיר אף על פי שאינם נקשרים עד כאן לשונו. ותמהני עליו דמאחר שצורת סנדל שלנו משונה מצורת סנדל שגזרו עליו כי מסומר לחזק מאי הוי וכן נראה מדברי הפוסקים דכל שמשונה מצורת סנדל שגזרו עליו אפילו אם הוא מסומר לחזק שרי וזה ברור. ואף על פי שהרמב"ם בפרק י"ט (ה"ב) סתם דבריו וכתב אין יוצאין בסנדל מסומר שסמרו לחזקו ולא חילק בין סנדל לסנדל יש לומר דנקט מימרא דשמואל (ס:) סתמא וקצר בדבר כמנהגו בכמה מקומות וזהו שלא כתב אימתי אינו עשוי לחזק כדמפרש בגמרא וכן לא כתב שאם חפהו כולו מסמרים כדי שלא תהא קרקע אוכלתו מותר וכן אם עשאו כמין כלבוס או כמין טס או כמין יתד או שחפהו כולו במסמרות כדשרי בגמרא:</w:t>
      </w:r>
    </w:p>
    <w:p w14:paraId="4F90CC74"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1005F54" w14:textId="77777777" w:rsidR="004B2E7C" w:rsidRDefault="004B2E7C" w:rsidP="00434A6A">
      <w:pPr>
        <w:rPr>
          <w:rFonts w:asciiTheme="minorBidi" w:hAnsiTheme="minorBidi" w:cs="Arial"/>
          <w:rtl/>
        </w:rPr>
      </w:pPr>
      <w:r>
        <w:rPr>
          <w:rFonts w:asciiTheme="minorBidi" w:hAnsiTheme="minorBidi" w:cs="Arial"/>
          <w:rtl/>
        </w:rPr>
        <w:t xml:space="preserve">מי שיש לו מכה בפיסת רגלו וקושר עליה מטבע להגין שלא ינגף ברגלו, וגם הוא מרפא, מותר לצאת בו. </w:t>
      </w:r>
    </w:p>
    <w:p w14:paraId="0655BD2F" w14:textId="77777777" w:rsidR="004B2E7C" w:rsidRDefault="004B2E7C" w:rsidP="00434A6A">
      <w:pPr>
        <w:pStyle w:val="2"/>
        <w:rPr>
          <w:rtl/>
        </w:rPr>
      </w:pPr>
      <w:r>
        <w:rPr>
          <w:rtl/>
        </w:rPr>
        <w:t>סעיף כט</w:t>
      </w:r>
    </w:p>
    <w:p w14:paraId="2247793D" w14:textId="77777777" w:rsidR="004B2E7C" w:rsidRDefault="004B2E7C" w:rsidP="00434A6A">
      <w:pPr>
        <w:rPr>
          <w:rtl/>
        </w:rPr>
      </w:pPr>
      <w:r>
        <w:rPr>
          <w:rFonts w:cs="Arial"/>
          <w:rtl/>
        </w:rPr>
        <w:t>כט (א) היוצא בטלית מקופלת. בסוף פרק חבית (שבת קמז.) אמר רבי יוחנן היוצא בטלית מקופלת מונחת לו על כתפו בשבת חייב חטאת ובתר הכי אמר עולא אסור לעשות מרזב בשבת אמר רב פפא נקוט האי כללא בידך כל אדעתא דלכנופי אסור כל להתנאות שרי ופירש רש"י בטלית מקופלת לאחר שנתנה על ראשו הגביה שיפוליה על כתפיו חייב חטאת שאין זה דרך מלבוש: וכתב הר"ן (סב. ד"ה היוצא) ולא דמי לההוא עובדא דרבי דלקמן (שם) דטלית מקופלת היינו כששני צידי טלית שלפניה ושלאחריה מונחים על כתפו אבל בההיא דרבי לא היו מקופלים אלא הצדדים שלפניו בלבד ולפיכך היה סבור שיהא מותר עד דאהדרוה[ו] ומכאן יש להזהיר לחתנים שלנו שלא יצאו בטליתותיהן לרשות הרבים כל שצידי הטלית מקופלים על כתפם וכן אסר הרב רבי יונה עכ"ל: מיהו כל שאינם מקופלים על כתפם אלא משולשלים ברחבם למטה מכתפיהם שרי דהיינו ההיא דבלנים שכתב רבינו בסמוך וכדאמרינן בגמרא (קמז:) כי מעבריתו מאני דבני חילא שרביבו בהו למטה מכתפיים ופירש רש"י שלא יהו שוליהם מונחים בכתפיהם אלא משוכים שיהא נראה לבוש: וז"ל שבלי הלקט (סי' קז) בשם רבינו תם מצאתי היוצא בטלית מקופלת ומונחת לו על כתפו פירוש שלאחר שנתנה על ראשו הגביה שוליה על כתפו אבל להתעטף בטליתו אף על פי שמתקצר קצת מלמטה ומתכסה בו כתפו וגופו מותר וגאון אחר כתב אסור לקפל אדם טליתו על ראשו ועל כתפיו בשבת בין מפני החמה בין מפני הגשמים אבל לפירוש רבינו חננאל (בגליון נח.) משמע שאינו אסור אלא כשמסירה כולה מעליו ומקפלה ונושאה על כתפו עד כאן לשונו: ועל אסור לעשות מרזב פירש רש"י שמסלקים בגדיהם מן הארץ כשהם ארוכים וכופלים אותם כלפי מעלה ומחזיקין אותם על ידי חוטין והיינו כמין כיס וכמו מרזב אסור משום תקוני מנא: לכנופי. שיהא מתוקן תמיד להעמיד קיפולו לעולם: להתנאות. לפי שעה. אבל התוספות (שם ד"ה מהו) והרא"ש (סי' יא) פירשוה לענין איסור הוצאה לפי שאינו דרך מלבוש וכן כתב רבינו ירוחם בחלק ה' (נתיב י"ב, עד ע"ד) וכן נראה מדברי הרמב"ם בפרק י"ט. וכתבו התוספות (שם) דמרזב היינו טלית של ארבע כנפות ולוקח שני צידי רוחב טליתו של צד ימינו ונותן על כתף השמאלית ואינו פושטו על כתף אלא מקופל ומונח על כתפו והיינו דקאמר מאי מרזב כיסי בבלייתא שקורין פרונצדרא דכשהוא מונח כמו שפירשתי יש בו כיסים מרובים וכל כיס נראה כמין מרזב והיינו דקאמר כל אדעתא דלכנופי אסיר כמו שפירשתי ששני צידי הימין מקובצים ומונחים על כתף השמאלית שיוכל ללכת במהרה ולא יכביד עליו טליתו אדעתא דלהתנאות שפיר דמי והיינו כשאין צידי טליתו מקובצים אלא צד אחד מונחת על כתפו אצל צוארו וצד האחר נופל על שכמו עד הזרוע ואין בו שום כיס וכן פירש בערוך (ערך מרזב אות א). וכיוצא בזה פירש הרא"ש וכן כתב רבינו ירוחם בחלק ה': והכלבו (סי' לא, כט ע"ג) כתב בשם הראב"ד שלא נאסר טלית מקופלת רק בקפלו צד ימין על צד ימין ושמאל על צד שמאל אבל של שמאל על ימין ושל ימין על שמאל כעין עיטוף שלנו מותר ולא איקרי אלא להתנאות וכל שכן של חתנים שמשלשלים אותו מצדו האחר עד כאן לשונו:</w:t>
      </w:r>
    </w:p>
    <w:p w14:paraId="2B02CADF" w14:textId="77777777" w:rsidR="004B2E7C" w:rsidRDefault="004B2E7C" w:rsidP="00434A6A">
      <w:pPr>
        <w:rPr>
          <w:rtl/>
        </w:rPr>
      </w:pPr>
      <w:r>
        <w:rPr>
          <w:rFonts w:cs="Arial"/>
          <w:rtl/>
        </w:rPr>
        <w:t>כט (ב) וכתוב ברוקח (סי' ק) שמותר להתעטף בטליתו תחת המקטורן ולהביאו לבית הכנסת. ופשוט הוא מדין הבלנים ומדין הלבדים דבסמוך:</w:t>
      </w:r>
    </w:p>
    <w:p w14:paraId="252D9FEC" w14:textId="77777777" w:rsidR="004B2E7C" w:rsidRDefault="004B2E7C" w:rsidP="00434A6A">
      <w:pPr>
        <w:rPr>
          <w:rtl/>
        </w:rPr>
      </w:pPr>
      <w:r>
        <w:rPr>
          <w:rFonts w:cs="Arial"/>
          <w:rtl/>
        </w:rPr>
        <w:t>(דרכמ יא) ומשמע דווקא דומיא דלבדים שרי אבל לקפלו ולהניח צד הימין על צד השמאל כדרך שמתעטפים בטליתות אסור משום טלית המקופלת על כתפו. מיהו נראה דהואיל ודרך לבישתו בכך בכל ענין שרי והוי כמו סודר שנתבאר לעיל דמותר לצאת בו מקופל הואיל ודרך לבישתו בכך וכל שכן לדברי הכל בו דמתיר בכה"ג אפילו בטלית כמו שנתבאר לעיל. ואם כן אין צריך להביא ראיה מההיא דלבדין דאין הנדון דומה לראיה:</w:t>
      </w:r>
    </w:p>
    <w:p w14:paraId="625CE6D4"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1103D27" w14:textId="77777777" w:rsidR="004B2E7C" w:rsidRDefault="004B2E7C" w:rsidP="00434A6A">
      <w:pPr>
        <w:rPr>
          <w:rFonts w:asciiTheme="minorBidi" w:hAnsiTheme="minorBidi" w:cs="Arial"/>
          <w:rtl/>
        </w:rPr>
      </w:pPr>
      <w:r>
        <w:rPr>
          <w:rFonts w:asciiTheme="minorBidi" w:hAnsiTheme="minorBidi" w:cs="Arial"/>
          <w:rtl/>
        </w:rPr>
        <w:t xml:space="preserve">היוצא בטלית מקופלת על כתפיו, דהיינו שלאחר שנתנה על ראשו מגביה שוליה על כתפיו, חייב חטאת. אבל אם אינה מקופלת על כתפיו, אלא משולשלת ברחבה למטה מכתפיו, שרי שמאחר שהוא מתעטף בטליתו ומתכסה בה כתפו וגופו אף על פי שמתקצר קצת מלמטה, מותר. ועפ"ז מותר להתעטף בטליתו תחת הגלימא להביאו לבהכ"נ. </w:t>
      </w:r>
    </w:p>
    <w:p w14:paraId="0706D325" w14:textId="77777777" w:rsidR="004B2E7C" w:rsidRDefault="004B2E7C" w:rsidP="00434A6A">
      <w:pPr>
        <w:pStyle w:val="2"/>
        <w:rPr>
          <w:rtl/>
        </w:rPr>
      </w:pPr>
      <w:r>
        <w:rPr>
          <w:rtl/>
        </w:rPr>
        <w:t>סעיף ל</w:t>
      </w:r>
    </w:p>
    <w:p w14:paraId="2BDEDAFB" w14:textId="77777777" w:rsidR="004B2E7C" w:rsidRDefault="004B2E7C" w:rsidP="00434A6A">
      <w:pPr>
        <w:rPr>
          <w:rtl/>
        </w:rPr>
      </w:pPr>
      <w:r>
        <w:rPr>
          <w:rtl/>
        </w:rPr>
        <w:t>נמצא ב-לד</w:t>
      </w:r>
    </w:p>
    <w:p w14:paraId="1F838CED"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4C22D5A" w14:textId="77777777" w:rsidR="004B2E7C" w:rsidRDefault="004B2E7C" w:rsidP="00434A6A">
      <w:pPr>
        <w:rPr>
          <w:rFonts w:asciiTheme="minorBidi" w:hAnsiTheme="minorBidi" w:cs="Arial"/>
          <w:rtl/>
        </w:rPr>
      </w:pPr>
      <w:r>
        <w:rPr>
          <w:rFonts w:asciiTheme="minorBidi" w:hAnsiTheme="minorBidi" w:cs="Arial"/>
          <w:rtl/>
        </w:rPr>
        <w:t xml:space="preserve">מותר לצאת ברשות הרבים בטלית סביב הצואר. הגה: אף על פי שמניח צד ימין על כתפו של שמאל, דדרך ללבשו כך ולא הוי אלא להתנאות ושרי (ב"י). </w:t>
      </w:r>
    </w:p>
    <w:p w14:paraId="78529395" w14:textId="77777777" w:rsidR="004B2E7C" w:rsidRDefault="004B2E7C" w:rsidP="00434A6A">
      <w:pPr>
        <w:pStyle w:val="2"/>
        <w:rPr>
          <w:rtl/>
        </w:rPr>
      </w:pPr>
      <w:r>
        <w:rPr>
          <w:rtl/>
        </w:rPr>
        <w:t>סעיף לא</w:t>
      </w:r>
    </w:p>
    <w:p w14:paraId="12F4BCAF" w14:textId="77777777" w:rsidR="004B2E7C" w:rsidRDefault="004B2E7C" w:rsidP="00434A6A">
      <w:pPr>
        <w:rPr>
          <w:rtl/>
        </w:rPr>
      </w:pPr>
      <w:r>
        <w:rPr>
          <w:rFonts w:cs="Arial"/>
          <w:rtl/>
        </w:rPr>
        <w:t>לא והרמב"ם כתב בפרק י"ט (הל' יח - יט) וז"ל המתעטף בטליתו וקיפלה מכאן ומכאן בידו או על כתפו אם נתכוון לקבץ כנפיו כדי שלא יקרעו או כדי שלא יתלכלכו אסור ואם קבצן להתנאות בהם כמנהג אנשי המקום במלבושן מותר היוצא בטלית מקופלת ומונחת על כתפו חייב ע"כ. ונראה שהוא מפרש לישנא דגמרא דקאמר גבי מרזב אסור כפשטיה דאיסורא איכא אבל לא חיוב חטאת ומפני כך הקדים דין המתעטף בטליתו וכו' לדין היוצא בטלית מקופלת ורבינו לא נחית לחלק בכך ולפיכך סתם דבריו וכתב דכל לכנופי אסור וכל להתנאות שרי: ומכל הדברים אתה למד דהני מלבושין דידן מותר לתפוס קצתן בידו ולהגביהן כדי שלא יתלכלכו שוליו בטיט ואפילו מכוין כדי שלא יעכבוהו מללכת שרי דהא דאסר תלמודא טלית מקופלת דוקא בטליתות שלהם שהיו יריעה אחת מרובעת כעין טליתות של מצוה אי נמי במלבושים דידן אם אינו לובשן כדרכן להוציא ידיו מתוכן אלא מתעטף בהם ומקפלן ומניחן על כתפו דכהאי גוונא כי מקפל להו על כתפו או עביד להו כעין מרזב הוי משוי שאין זה דרך מלבוש אבל מלבושין דידן כשהוא לבוש בהם ומוציא ידיו מתוכם אפילו מגביה שוליו לעולם דרך מלבוש הוו. ועוד דכל כהאי גוונא אפילו בטליתות דידהו שרי דלא אסרו אלא להניח על כתפו דוקא לפי שנראה כמשוי וזה דבר פשוט ולא כתבתיו אלא לפי שראיתי מפקפקים בדבר וכבר נתבאר שאין להם על מה שיסמוכו:</w:t>
      </w:r>
    </w:p>
    <w:p w14:paraId="51F73B4C"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4AAB585" w14:textId="77777777" w:rsidR="004B2E7C" w:rsidRDefault="004B2E7C" w:rsidP="00434A6A">
      <w:pPr>
        <w:rPr>
          <w:rFonts w:asciiTheme="minorBidi" w:hAnsiTheme="minorBidi" w:cs="Arial"/>
          <w:rtl/>
        </w:rPr>
      </w:pPr>
      <w:r>
        <w:rPr>
          <w:rFonts w:asciiTheme="minorBidi" w:hAnsiTheme="minorBidi" w:cs="Arial"/>
          <w:rtl/>
        </w:rPr>
        <w:t xml:space="preserve">היוצא מעוטף בטליתו וקיפלה מכאן ומכאן בידו או על כתפו, אם נתכוין לקבץ כנפיו כדי שלא יקרעו או כדי שלא יתלכלכו, אסור. ואם קבצם להתנאות בה כמנהג אנשי המקום במלבושן, מותר. וה"מ בטליתות שלהם שהיו יריעה אחת מרובעת, אבל מלבושים דידן כשהוא לבוש בהם ומוציא ידיו מתוכה מותר לתפוס קצתם בידו ולהגביה כדי שלא יתלכלכו שוליו בטיט או כדי שלא יעכבוהו ללכת. </w:t>
      </w:r>
    </w:p>
    <w:p w14:paraId="740259CC" w14:textId="77777777" w:rsidR="004B2E7C" w:rsidRDefault="004B2E7C" w:rsidP="00434A6A">
      <w:pPr>
        <w:pStyle w:val="2"/>
        <w:rPr>
          <w:rtl/>
        </w:rPr>
      </w:pPr>
      <w:r>
        <w:rPr>
          <w:rtl/>
        </w:rPr>
        <w:t>סעיף לב</w:t>
      </w:r>
    </w:p>
    <w:p w14:paraId="193BE6F1" w14:textId="77777777" w:rsidR="004B2E7C" w:rsidRDefault="004B2E7C" w:rsidP="00434A6A">
      <w:pPr>
        <w:rPr>
          <w:rtl/>
        </w:rPr>
      </w:pPr>
      <w:r>
        <w:rPr>
          <w:rFonts w:cs="Arial"/>
          <w:rtl/>
        </w:rPr>
        <w:t>לב ומה שכתב רבינו או במעות הצרורים לו בסדינו. גם זה בסוף פרק חבית (קמז.):</w:t>
      </w:r>
    </w:p>
    <w:p w14:paraId="2A175A88"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CF8E8F9" w14:textId="77777777" w:rsidR="004B2E7C" w:rsidRDefault="004B2E7C" w:rsidP="00434A6A">
      <w:pPr>
        <w:rPr>
          <w:rFonts w:asciiTheme="minorBidi" w:hAnsiTheme="minorBidi" w:cs="Arial"/>
          <w:rtl/>
        </w:rPr>
      </w:pPr>
      <w:r>
        <w:rPr>
          <w:rFonts w:asciiTheme="minorBidi" w:hAnsiTheme="minorBidi" w:cs="Arial"/>
          <w:rtl/>
        </w:rPr>
        <w:t xml:space="preserve">היוצא במעות הצרורים לו בסדינו, חייב. הגה: אבל בבית מותר אם צריך לו, ואפילו אינן צרורים רק שהם מנוקבים. </w:t>
      </w:r>
    </w:p>
    <w:p w14:paraId="540E82EE" w14:textId="77777777" w:rsidR="004B2E7C" w:rsidRDefault="004B2E7C" w:rsidP="00434A6A">
      <w:pPr>
        <w:pStyle w:val="2"/>
        <w:rPr>
          <w:rtl/>
        </w:rPr>
      </w:pPr>
      <w:r>
        <w:rPr>
          <w:rtl/>
        </w:rPr>
        <w:t>סעיף לג</w:t>
      </w:r>
    </w:p>
    <w:p w14:paraId="4BC1C292" w14:textId="77777777" w:rsidR="004B2E7C" w:rsidRDefault="004B2E7C" w:rsidP="00434A6A">
      <w:pPr>
        <w:rPr>
          <w:rtl/>
        </w:rPr>
      </w:pPr>
      <w:r>
        <w:rPr>
          <w:rFonts w:cs="Arial"/>
          <w:rtl/>
        </w:rPr>
        <w:t>לג וכתב הרב הגדול מההר"י אבוהב ז"ל בשם אור זרוע שיש מתירים אם הם תפורים וכן שמעתי בשם חכמי צרפת שמתירים בתפורים ע"כ. והאגור (סי' תקכב) כתב שהשיב מההר"י מולן (שו"ת מהרי"ל החדשות סי' מ אות א) שיותר נראה להתיר מלאסור אם הוא נושאם כדי שלא יגזלוהו או אי זו פסידא כי הוי כלאחר יד כי ההיא דמי שהחשיך (שבת קנג:) והרבה דברים התירו משום פסידא וגם בזמן הזה דלית לן רשות הרבים דאורייתא ואחר כך נזכרתי ההיא דפורפת על אבן אבל לא על המטבע (שם סה:) דמוכח משם דאסור להוציא ועיין שם עכ"ל. וכמדומה לי שלא היתה הגמרא לפניו כשהשיב ולפיכך כתב דמוכח משם שאסור להוציא שנזכר דמפלגינן בין מטבע לאבן ואגוז ונדמה לו דלענין איסור הוצאה מפלגינן בינייהו ואין הדבר כן דמתניתין הכי איתא בסוף פרק במה אשה יוצאה (סה.) פורפת על האבן ועל האגוז ועל המטבע ובלבד שלא תפרוף לכתחלה בשבת ובגמרא (סה:) והא אמרת רישא פורפת אמר אביי סיפא אתאן למטבע ופירש רש"י אתאן למטבע דלא[ו] בר טלטול הוא אבל אבן שהוקצה לכך ראוי לטלטול הרי בהדיא דלא אסרו במטבע אלא משום טלטול ולא משום הוצאה ואדרבה יש להביא ראיה משם להתיר לצאת במעות תפורים בכסותו דהא כל שפרוף מבעוד יום אפילו על המטבע שרי לצאת בו כמו בפרוף על האבן או על האגוז אלא שיש לדחות דשאני התם שאינו מכוין להוציא המטבע אלא לפרוף כסותו הילכך בטיל המטבע לגבי הכסות אבל מעות התפורים בכסותו שמכוין להוציאם אפשר דאסור דחשיבי ולא בטלי. וכן נראה מתשובת הר"מ שכתב רבינו בסימן שי"ב (עב.) על ברזא שבפי הטבעת שהיה נראה לו להתיר לצאת בו דלא דמי למוציא בפיו [ו]במרפקו דפטור אבל אסור דהתם כשפותח פיו ופושט מרפקו המשוי נראה אבל הכא שבלוע כולו בגוף היה נראה דשרי אמנם איני מתירו כיון שמכניסו תדיר כדי לחזור ולהוציא אף על גב דלא דמיא ממש להאי איכא למימר דפטור אבל אסור כי הני עכ"ל: ומעות התפורים כיון שעשויים לחזור ולהוציאם ודאי דאסור ואם מוציאם ברשות הרבים אפשר לחוש לו מחטאת דאיכא למימר שדרך הוצאתם בכך להולכי דרכים. אחר כך באו לידי תשובות מהר"ם (דפוס פראג סי' צד) וכתוב בהם בלשון הזה ששאלת על היהודים ההולכים בדרכים ומוליכים כסף או זהב ותופרים אותו באבנט אם מותר להוליכו בשבת. דע לך שהוא אסור דתנן בפרק המצניע (שבת צב.) בפונדתו ובחיפת חלוקו פטור וכל פטורי דשבת פטור אבל אסור ושלום מאיר ברבי ברוך עכ"ל:</w:t>
      </w:r>
    </w:p>
    <w:p w14:paraId="63523A45" w14:textId="77777777" w:rsidR="004B2E7C" w:rsidRDefault="004B2E7C" w:rsidP="00434A6A">
      <w:pPr>
        <w:rPr>
          <w:rtl/>
        </w:rPr>
      </w:pPr>
      <w:r>
        <w:rPr>
          <w:rFonts w:cs="Arial"/>
          <w:rtl/>
        </w:rPr>
        <w:t>(דרכמ י) והמנהג בזה להקל והראיה שהביא מוהר"ם מיירי ברשות הרבים גמור אבל לדידן דלית לן רשות הרבים גמור המקיל במקום פסידא וסומך עצמו על דברי המתירין לא הפסיד. וכן כתב האיסור והיתר הארוך (שער נט אות מז) דבמקום דלא יוכל להפקיד מעותיו כגון שהוא בין הגוים מותר לתפרם בבגדיו ולצאת בהן שמא ירגישו הגוים במעותיו ויסתכן ואם הוא בין הישראלים במקום דלא יוכל להפקידן יתפרם בבגד וישב בבית אבל לא יצא בהן עכ"ל. ובמהרי"ל (מנהגים, הל' שבת סעי' כח) התיר לישא אצלו זהובים מנוקבים בשעת הסכנה אבל לא יצא בהן חוץ לעירוב:</w:t>
      </w:r>
    </w:p>
    <w:p w14:paraId="64926419"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F16F6A9" w14:textId="77777777" w:rsidR="004B2E7C" w:rsidRDefault="004B2E7C" w:rsidP="00434A6A">
      <w:pPr>
        <w:rPr>
          <w:rFonts w:asciiTheme="minorBidi" w:hAnsiTheme="minorBidi" w:cs="Arial"/>
          <w:rtl/>
        </w:rPr>
      </w:pPr>
      <w:r>
        <w:rPr>
          <w:rFonts w:asciiTheme="minorBidi" w:hAnsiTheme="minorBidi" w:cs="Arial"/>
          <w:rtl/>
        </w:rPr>
        <w:t xml:space="preserve">אסור לצאת בשבת במעות או בכסף וזהב התפורים בבגדו. הגה: ויש מתירים במקום פסידא שירא שיגזלנו ממנו אם יניחם בבית וילך מהם (אגור ואיסור והיתר הארוך). וכן נוהגין להקל אם צריך לצאת, אבל אם יוכל להיות יושב בבית ולא לצאת, לא יצא. במקום שא"צ לו ויוכל להניחם בבית, יש להחמיר. </w:t>
      </w:r>
    </w:p>
    <w:p w14:paraId="0F019A99" w14:textId="77777777" w:rsidR="004B2E7C" w:rsidRDefault="004B2E7C" w:rsidP="00434A6A">
      <w:pPr>
        <w:pStyle w:val="2"/>
        <w:rPr>
          <w:rtl/>
        </w:rPr>
      </w:pPr>
      <w:r>
        <w:rPr>
          <w:rtl/>
        </w:rPr>
        <w:t>סעיף לד</w:t>
      </w:r>
    </w:p>
    <w:p w14:paraId="4B9493F5" w14:textId="77777777" w:rsidR="004B2E7C" w:rsidRDefault="004B2E7C" w:rsidP="00434A6A">
      <w:pPr>
        <w:rPr>
          <w:rtl/>
        </w:rPr>
      </w:pPr>
      <w:r>
        <w:rPr>
          <w:rFonts w:cs="Arial"/>
          <w:rtl/>
        </w:rPr>
        <w:t>ל, לד יוצא אדם בסודר המקופל על כתפו וכו'. גם זה בסוף פרק חבית (קמז.) ובהדיא איפסיקא שם הלכתא דאף על פי שאין נימא כרוכה לו על אצבעו שרי וכן כתב הרמב"ם בפרק י"ט (הי"ט) ולא ראיתי חולק בזה אלא רבינו ירוחם שכתב בחלק החמישי (נתיב י"ב, עד ע"ד) בשם רבינו חננאל (בגליון קמז.) שצריך להיות נימא כרוכה על אצבעו ושכן נהגו. ואיני יודע טעם לדברי רבינו חננאל אלא אם כן היתה לו גירסא אחרת: וכתב רבינו ירוחם (שם) ומותר לצאת בסודר מעוטף כעין מעיל ומשמע מדבריו שאם אינו מעוטף אסור. וקשה לי דיוצא אדם בסודר המקופל על כתפו משמע דאף על פי שאינו מעוטף שרי ולא דמי לטלית דשאני סודר שדרך לבישתו בכך וכן משמע מלשון הרמב"ם בפרק י"ט שכתב היוצא בטלית מקופלת ומונחת על כתפו חייב אבל יוצא הוא בסודר שעל כתפו דמשמע דבגוונא דאסור בטלית שרי בסודר. ומצאתי בתשובות הרשב"א (ח"ה סי' רכד) וז"ל כתב מר היהודים שבעיר הזאת שנושאים הטלית תחת הגלימא סביב צוארם ברשות הרבים והא אמר רבי יוחנן היוצא בטלית מקופלת וכו' חייב. תשובה כל ארץ ספרד נהגו לצאת כן דרך צניעות ואפילו בחצרותם ובתיהם ודרך מלבוש הוא להם והרי זה כאותה שאמרו שם (קמז.) הרטנין יוצאין בסודר שעל כתפיהם ולא רטנין בלבד אמרו אלא כל אדם אלא שדרכן של רטנין לצאת בכך וטלית מקופלת שאמר רבי יוחנן פירש רש"י שלאחר שנתנה על ראשו הגביה שיפוליה על כתפיו שאין זה דרך מלבוש עכ"ל. הרי בהדיא התיר הרשב"א סודר מקופל ומונח על כתפו וחילק בינו לטלית מקופלת כמו שחלקתי שזה דרך לבישתו בכך וזו אין דרך לבישתו בכך: וכתב הרמב"ם בפרק י"ט (שם) וכל סודר שאינו חופה ראשו ורובו אסור ונראה שלמד כן מדין הבלנים דבסמוך כמו שאבאר:</w:t>
      </w:r>
    </w:p>
    <w:p w14:paraId="1DFCF692" w14:textId="77777777" w:rsidR="004B2E7C" w:rsidRDefault="004B2E7C" w:rsidP="00434A6A">
      <w:pPr>
        <w:rPr>
          <w:rtl/>
        </w:rPr>
      </w:pPr>
      <w:r>
        <w:rPr>
          <w:rFonts w:cs="Arial"/>
          <w:rtl/>
        </w:rPr>
        <w:t>הבלנים יכולים להביא סדינים שמסתפגין דרך רשות הרבים. גם זה שם (קמז:) אמר רבי יוחנן האוליירין מביאין בלרי נשים לבי בני ובלבד שיתכסה בה ראשו ורובו סבניתא צריך לקשור שני ראשיה למטה מן הכתפים. ונראה שהרמב"ם מפרש ובלבד שיתכסה בה ראשו ורובו כלומר שתהיה רחבה כדי לכסות בה ראשו ורובו ומפני כך כתב בפרק י"ט (הי"ט) וכל סודר שאינו חופה ראשו ורובו אסור וסובר שכל שהיא רחבה אף על פי שלא כסה ראשו ורובו שרי ומשום הכי שרי לצאת בסודר שעל כתפו. וסבניתא פירש הרמב"ם בפרק י"ט (שם) שהיא קצרה שאינה רחבה ומשום הכי אסור לצאת בה אלא אם כן קשר שני ראשיה למטה מכתפים שנמצאת כמו אבנט ומותר לצאת בה. אבל רש"י פירש סבניתא סודר גדול שתלוי לו בין כתפיו וראשו עטוף בו וכו'. ולפי זה מאי דאמרינן ובלבד שיתכסה בה ראשו ורובו לומר שצריך לכסות בה ראשו ורובו ואם לאו אסור משום דאינו דרך מלבוש אלא אם כן קשר שני ראשיו למטה מכתפיו כדאמרינן בסבניתא ומיהו בסודר המקופל על כתפו שרי שדרך לבישתו בכך:</w:t>
      </w:r>
    </w:p>
    <w:p w14:paraId="0C8C0D58"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3E89553" w14:textId="77777777" w:rsidR="004B2E7C" w:rsidRDefault="004B2E7C" w:rsidP="00434A6A">
      <w:pPr>
        <w:rPr>
          <w:rFonts w:asciiTheme="minorBidi" w:hAnsiTheme="minorBidi" w:cs="Arial"/>
          <w:rtl/>
        </w:rPr>
      </w:pPr>
      <w:r>
        <w:rPr>
          <w:rFonts w:asciiTheme="minorBidi" w:hAnsiTheme="minorBidi" w:cs="Arial"/>
          <w:rtl/>
        </w:rPr>
        <w:t xml:space="preserve">יוצא אדם בסודר המקופל על כתפיו אעפ"י שאין נימא כרוכה לו על אצבעו. ואם אין הסודר חופה ראשו ורובו אסור לצאת בו אא"כ קשר שני ראשיו למטה מכתפיו זה עם זה. </w:t>
      </w:r>
    </w:p>
    <w:p w14:paraId="3CB57F5F" w14:textId="77777777" w:rsidR="004B2E7C" w:rsidRDefault="004B2E7C" w:rsidP="00434A6A">
      <w:pPr>
        <w:pStyle w:val="2"/>
        <w:rPr>
          <w:rtl/>
        </w:rPr>
      </w:pPr>
      <w:r>
        <w:rPr>
          <w:rtl/>
        </w:rPr>
        <w:t>סעיף לה</w:t>
      </w:r>
    </w:p>
    <w:p w14:paraId="19E440D9" w14:textId="77777777" w:rsidR="004B2E7C" w:rsidRDefault="004B2E7C" w:rsidP="00434A6A">
      <w:pPr>
        <w:rPr>
          <w:rtl/>
        </w:rPr>
      </w:pPr>
      <w:r>
        <w:rPr>
          <w:rFonts w:cs="Arial"/>
          <w:rtl/>
        </w:rPr>
        <w:t>לה לבדים הקשים וכו'. גם זה שם (קמו:) בי סדיא רב אסר ושמואל שרי ברכים כולי עלמא לא פליגי דשרי בקשים כולי עלמא לא פליגי דאסיר כי פליגי במיצעאי ובתר הכי מסיק תלמודא דרב ושמואל לא פליגי כלל דבמיצעאי נמי שרי רב ופירש רש"י בי סדיא לבדין ועשויין לקפלן תחתיו במקום הכר או הכסת. ומשמע בגמרא דלענין להביאו דרך רשות הרבים כשהוא מעוטף בו איתמר וכן פירש רש"י וכך הם דברי הרמב"ם בפרק י"ט (הי"ז):</w:t>
      </w:r>
    </w:p>
    <w:p w14:paraId="6498766F"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804639B" w14:textId="77777777" w:rsidR="004B2E7C" w:rsidRDefault="004B2E7C" w:rsidP="00434A6A">
      <w:pPr>
        <w:rPr>
          <w:rFonts w:asciiTheme="minorBidi" w:hAnsiTheme="minorBidi" w:cs="Arial"/>
          <w:rtl/>
        </w:rPr>
      </w:pPr>
      <w:r>
        <w:rPr>
          <w:rFonts w:asciiTheme="minorBidi" w:hAnsiTheme="minorBidi" w:cs="Arial"/>
          <w:rtl/>
        </w:rPr>
        <w:t xml:space="preserve">לבדים הקשים אסור להביאם ברשות הרבים או בכרמלית כשהוא מעוטף בהם. ואם אינם קשים הרבה, מותר. </w:t>
      </w:r>
    </w:p>
    <w:p w14:paraId="6B6DFEA2" w14:textId="77777777" w:rsidR="004B2E7C" w:rsidRDefault="004B2E7C" w:rsidP="00434A6A">
      <w:pPr>
        <w:pStyle w:val="2"/>
        <w:rPr>
          <w:rtl/>
        </w:rPr>
      </w:pPr>
      <w:r>
        <w:rPr>
          <w:rtl/>
        </w:rPr>
        <w:t>סעיף לו</w:t>
      </w:r>
    </w:p>
    <w:p w14:paraId="75CE7812" w14:textId="77777777" w:rsidR="004B2E7C" w:rsidRDefault="004B2E7C" w:rsidP="00434A6A">
      <w:pPr>
        <w:rPr>
          <w:rtl/>
        </w:rPr>
      </w:pPr>
      <w:r>
        <w:rPr>
          <w:rFonts w:cs="Arial"/>
          <w:rtl/>
        </w:rPr>
        <w:t>לו וכתב עוד (רוקח סי' מז) דמהכא משמע שמותר להוציא מלבוש לצורך חבירו אם ילבשנו על כל מלבושיו אבל בשני חגורים אסור. וגם הכלבו (סי' לא, כט ע"ג) כתב מותר ללבוש או להתעטף מלבוש שאינו צריך לו כדי להביאו לחבירו במקום אחר אפילו דרך רשות הרבים עד כאן לשונו. ופשוט הוא מדינים הנזכרים:</w:t>
      </w:r>
    </w:p>
    <w:p w14:paraId="0CE1480C" w14:textId="77777777" w:rsidR="004B2E7C" w:rsidRDefault="004B2E7C" w:rsidP="00434A6A">
      <w:pPr>
        <w:rPr>
          <w:rtl/>
        </w:rPr>
      </w:pPr>
      <w:r>
        <w:rPr>
          <w:rFonts w:cs="Arial"/>
          <w:rtl/>
        </w:rPr>
        <w:t>שתי חגורות זו על גב זו אסור. בריש פרק במה אשה (נט:) אמר ליה רבינא לרב אשי קמרא עילוי המיינא מאי אמר ליה תרי המייני קאמרת ופירש רש"י תרי המייני קאמרת הא ודאי משוי הוא ואסור ורבינו הלוי מצאתי בתלמידיו מותר והראשון נראה עכ"ל וכן נראה שהוא דעת התוספות (ד"ה תרי) והרא"ש (סי' ה) לאסור. וכתבו ואף על גב דחשיב בפרק כל כתבי בי"ח כלים (קכ.) פונדא וחגור ופירש רש"י דפונדא הוא אזור היינו כגון שיש בגד מפסיק בנתיים אבל תרי המייני זה על גבי זה אסור ולא דאמי לכמה מלבושים שאדם לובש בשביל הקור אבל תרי המייני מה הנאה יש ואין דרך לחגור ומשוי הוא. וכן כתב התשב"ץ (סי' מז) בשם הר"מ: ובכלבו (שם, לג ע"ד) כתוב שבעל היריאים (סי' רעד, קמט.) אוסר אפילו מלבוש מפסיק ביניהם אם אינו צריך אלא אחד מהם שלא התירו אלא גבי דליקה דוקא: והרי"ף השמיט הא דתרי המייני וגם הרמב"ם לא הזכירו פרק י"ט לאיסור משמע שהם מפרשים תרי המייני קאמרת הא ודאי שרי וכיון ששניהם מסכימים להתיר הכי נקיטינן</w:t>
      </w:r>
      <w:r>
        <w:rPr>
          <w:rStyle w:val="a9"/>
          <w:rFonts w:cs="Arial"/>
          <w:rtl/>
        </w:rPr>
        <w:footnoteReference w:id="1083"/>
      </w:r>
      <w:r>
        <w:rPr>
          <w:rFonts w:cs="Arial"/>
          <w:rtl/>
        </w:rPr>
        <w:t>. ובשני סרבלין שהתירו התוספות והרא"ש כן כתבו המרדכי (סי' שמז) וסמ"ג (לאוין סה, יח ע"ד) וסמ"ק (סי' רפב עמ' ש) והתרומה (סי' רמ, צ ע"ד). אלא שכתב המרדכי שרבינו יואל אוסר להוציא שני מקטורין זה על גב זה לצורך חבירו. ולא נתברר לי שם מקטורן ומכל מקום כיון דרבים מתירים הכי נקיטינן</w:t>
      </w:r>
      <w:r>
        <w:rPr>
          <w:rStyle w:val="a9"/>
          <w:rFonts w:cs="Arial"/>
          <w:rtl/>
        </w:rPr>
        <w:footnoteReference w:id="1084"/>
      </w:r>
      <w:r>
        <w:rPr>
          <w:rFonts w:cs="Arial"/>
          <w:rtl/>
        </w:rPr>
        <w:t>:</w:t>
      </w:r>
    </w:p>
    <w:p w14:paraId="3995B16D" w14:textId="77777777" w:rsidR="004B2E7C" w:rsidRDefault="004B2E7C" w:rsidP="00434A6A">
      <w:pPr>
        <w:rPr>
          <w:rtl/>
        </w:rPr>
      </w:pPr>
      <w:r>
        <w:rPr>
          <w:rFonts w:cs="Arial"/>
          <w:rtl/>
        </w:rPr>
        <w:t>ומה שכתב בשם ספר המצות לאסור שני חלוקים. לא מצאתיו בשום ספר וטעם סברא זו משום דשני חלוקים אין הנאה בהם ואין דרך ללבשן ומשוי הוא וכמו שכתבו התוספות והרא"ש גבי שני חגורות. אבל התוספות כתבו סוף פרק חבית (קמז: ד"ה צריך) גבי סבניתא צריך לקשר שני ראשיה למטה שסבניתא הוא בגד דק ומשום הכי צריך לקשר שני ראשיה למטה שלא יפריחנו הרוח או משום דנראה כעין משוי לפי שהוא דק מאד ואינו נראה מלבוש אלא אם כן קשור עכ"ל הרי שהתירו אף על פי שהוא דק ואין בו הנאת מלבוש כיון שנושא אותו דרך מלבוש</w:t>
      </w:r>
      <w:r>
        <w:rPr>
          <w:rStyle w:val="a9"/>
          <w:rFonts w:cs="Arial"/>
          <w:rtl/>
        </w:rPr>
        <w:footnoteReference w:id="1085"/>
      </w:r>
      <w:r>
        <w:rPr>
          <w:rFonts w:cs="Arial"/>
          <w:rtl/>
        </w:rPr>
        <w:t>: כתוב בשבלי הלקט (סי' קז) בספר היריאים (שם) שני סרבלים ושני תכשיטין אחרים זה על זה ואינו צריך אלא לאחד מהם אסור מדתנן בפרק כל כתבי (קכ.) לענין דליקה עוטף כל מה שיכול לעטוף למדנו שלא במקום דליקה אסור ובעל התרומה (שם) כתב מותר לצאת בשני סרבלין מפני הצנה. וכתב עוד (שבלי הלקט שם) אפילו למאן דאסר תרי המייני נראה שאם בגדיו ארוכים וצריך לחגור חגורה בין כל בגד ובגד שלובש הרשות בידו ואין אנו אוסרין תרי המייני אלא זה על גב זה אם כן הני נשי דידן שיש להם כתנות שלובשות אותם ובהם המיינים תפורים לחגור מתניהם ואחר כך חוגרות עוד חגורה של משי או של כסף טוב להם שלא תחגורנה המייני הכתנות ודי להם בחגורה של משי או של כסף והמייני הכתנות אינם חשובים כמשוי כיון שהם מחוברין בכתנות בטלי לגבייהו דאמר מר (שבת קלט:) מתעטף אדם בכילה ובכסכסיה ויוצא בה לרשות הרבים וכו'. וכתב עוד אלו שיש להם שני אבנטים במכנסיהם האבנט האחד שבו שנצים והאחר שמחברין אותן למעלה במתניהם נראה שמותר אם תפירת המכנסיים חלוקה לשני אבנטים אבל אם אין תפירתן חלוקה נראה שאסור מידי דהוה אתרי המייני זה על גב זה שאסורים: כתב האגור (סי' תמ) שיש מתירין לצאת בשני אנפליאות ולהתעטף בשני סודרין מפני הצינה וכן כתוב בשבלי הלקט (שם) להתיר:</w:t>
      </w:r>
    </w:p>
    <w:p w14:paraId="3EC47DDC"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31D43E8" w14:textId="77777777" w:rsidR="004B2E7C" w:rsidRDefault="004B2E7C" w:rsidP="00434A6A">
      <w:pPr>
        <w:rPr>
          <w:rFonts w:asciiTheme="minorBidi" w:hAnsiTheme="minorBidi" w:cs="Arial"/>
          <w:rtl/>
        </w:rPr>
      </w:pPr>
      <w:r>
        <w:rPr>
          <w:rFonts w:asciiTheme="minorBidi" w:hAnsiTheme="minorBidi" w:cs="Arial"/>
          <w:rtl/>
        </w:rPr>
        <w:t xml:space="preserve">מותר לצאת בשבת בשני מלבושים זה ע"ג זה בין לצרכו בין לצורך חבירו בין שהם שני חלוקים בין שהם שני סרבלים (פי' סרבל כסות העליון) בין שהם שתי חגורות זו ע"ג זו, ואפי' אין מלבוש מפסיק ביניהם. הגה: ויש אוסרים שתי חגורות זה על זה אא"כ מלבוש מפסיק ביניהם (א"ז ותוספות ומרדכי פרק במה אשה), וכן ראוי לנהוג. ומותר ללבוש שני כובעים זה על זה (א"ז), וכן שני אנפילאות (אגור). </w:t>
      </w:r>
    </w:p>
    <w:p w14:paraId="64C2CCBB" w14:textId="77777777" w:rsidR="004B2E7C" w:rsidRDefault="004B2E7C" w:rsidP="00434A6A">
      <w:pPr>
        <w:pStyle w:val="2"/>
        <w:rPr>
          <w:rtl/>
        </w:rPr>
      </w:pPr>
      <w:r>
        <w:rPr>
          <w:rtl/>
        </w:rPr>
        <w:t>סעיף לז</w:t>
      </w:r>
    </w:p>
    <w:p w14:paraId="20351DA4" w14:textId="77777777" w:rsidR="004B2E7C" w:rsidRDefault="004B2E7C" w:rsidP="00434A6A">
      <w:pPr>
        <w:rPr>
          <w:rtl/>
        </w:rPr>
      </w:pPr>
      <w:r>
        <w:rPr>
          <w:rFonts w:cs="Arial"/>
          <w:rtl/>
        </w:rPr>
        <w:t>לז וכתב עוד האגור (סי' תמא) שיש אוסרין בבתי ידים שקורין גואנט"ש מפני הצינה שמא יפלו מידיו אך אם קשורים קשר של קיימא דליכא למיחש מותר. וז"ל שבלי הלקט (שם) לצאת בשבת בבתי ידים הנקראים גואנטיש מפני הצינה אף על פי שיש למצוא צד היתר שהם כעין מלבוש לידים הולך אני בהם להחמיר לפי שאין יכול למשמש בבגדיו יפה ולעשות מה שצריך לו ולפעמים צריך למשמש בבשרו מפני כנה או פרעוש וצריך להוציאם מידו ושמא ישכח ויביאם ארבע אמות ברשות הרבים אך אם תפרן מערב שבת בבתי ידים של מלבושיו או קשרן קשר של קיימא יפה דליכא למיחש דילמא שלפי שרי עכ"ל:</w:t>
      </w:r>
    </w:p>
    <w:p w14:paraId="30BEF226" w14:textId="77777777" w:rsidR="004B2E7C" w:rsidRDefault="004B2E7C" w:rsidP="00434A6A">
      <w:pPr>
        <w:rPr>
          <w:rtl/>
        </w:rPr>
      </w:pPr>
      <w:r>
        <w:rPr>
          <w:rFonts w:cs="Arial"/>
          <w:rtl/>
        </w:rPr>
        <w:t>(דרכמ טו) כתוב בתולדות אדם וחוה נתיב י"ב חלק ה' (עג ע"ד) דמותר להתיר אזורו ברשות הרבים בשבת ולא חיישינן שמא יוליכנו ארבע אמות ברשות הרבים ופשוט הוא וכן הוא לקמן סימן ש"ג (עמ' קסו):</w:t>
      </w:r>
    </w:p>
    <w:p w14:paraId="285C5FEB"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AD8721D" w14:textId="77777777" w:rsidR="004B2E7C" w:rsidRDefault="004B2E7C" w:rsidP="00434A6A">
      <w:pPr>
        <w:rPr>
          <w:rFonts w:asciiTheme="minorBidi" w:hAnsiTheme="minorBidi" w:cs="Arial"/>
          <w:rtl/>
        </w:rPr>
      </w:pPr>
      <w:r>
        <w:rPr>
          <w:rFonts w:asciiTheme="minorBidi" w:hAnsiTheme="minorBidi" w:cs="Arial"/>
          <w:rtl/>
        </w:rPr>
        <w:t xml:space="preserve">מותר לצאת בשבת בבתי ידים הנקראים גואנטי"ש. ויש מי שמחמיר להצריך שיתפרם מע"ש בבתי ידים של מלבושיו או שיקשרם בהם בקשר של קיימא יפה, וראוי לחוש לדבריו. </w:t>
      </w:r>
    </w:p>
    <w:p w14:paraId="5C9EC822" w14:textId="77777777" w:rsidR="004B2E7C" w:rsidRDefault="004B2E7C" w:rsidP="00434A6A">
      <w:pPr>
        <w:pStyle w:val="2"/>
        <w:rPr>
          <w:rtl/>
        </w:rPr>
      </w:pPr>
      <w:r>
        <w:rPr>
          <w:rtl/>
        </w:rPr>
        <w:t>סעיף לח</w:t>
      </w:r>
    </w:p>
    <w:p w14:paraId="52709518" w14:textId="77777777" w:rsidR="004B2E7C" w:rsidRDefault="004B2E7C" w:rsidP="00434A6A">
      <w:pPr>
        <w:rPr>
          <w:rtl/>
        </w:rPr>
      </w:pPr>
      <w:r>
        <w:rPr>
          <w:rFonts w:cs="Arial"/>
          <w:rtl/>
        </w:rPr>
        <w:t>לח ומה שכתב מידי דהוה אטלית שאינה מצוייצת וכו'. גם זה שם אמר רב הונא אמר רב היוצא בטלית שאינה מצוייצת כהלכתה בשבת חייב חטאת ומפרש טעמא משום דציצית לגבי טלית חשיבי ולא בטלי ופירש רש"י חייב חטאת. ואילו לא היתה מצוייצת כלל לא מחייב דהא לבושיה הוא אלא הציציות הויין לו משוי הואיל ואינם כמצוה אינם צריכין לו ומן הבגד ממש לא הוו דלחשביה כותיה: חשיבי. משום דשל תכלת הן ולא בטלי והוו בה משוי. ולפי זה לדידן דלית לן תכלת לא חשיבי ובטלי אבל התוספות (שם) כתבו בשם רבינו חננאל (בגליון שם) חשיבי ולא בטלי לפי שדעתו ליתן בטלית ציצית רביעית וכן כתב הרמב"ם בפרק י"ט (ה"כ) היוצא בטלית שאינה מצוייצת כהלכתה חייב מפני שאותן החוטין חשובין הן אצלו ודעתו עליהם עד שישלים ויעשו ציצית ולפי זה אפילו לדידן דלית לן תכלת חשיבי ולא בטלי והילכך היוצא בטלית שאינה מצוייצת אפילו בזמן הזה חייב חטאת:</w:t>
      </w:r>
    </w:p>
    <w:p w14:paraId="4414A444" w14:textId="77777777" w:rsidR="004B2E7C" w:rsidRDefault="004B2E7C" w:rsidP="00434A6A">
      <w:pPr>
        <w:rPr>
          <w:rtl/>
        </w:rPr>
      </w:pPr>
      <w:r>
        <w:rPr>
          <w:rFonts w:cs="Arial"/>
          <w:rtl/>
        </w:rPr>
        <w:t>ומה שכתב הילכך מותר לצאת בטלית שלנו וכו'. נתבאר יפה בהלכות ציצית סימן י"ג (ד"ה ארבע) ושם (ד"ה גרסינן) נתבאר כשנפסל הציצית בכרמלית אם צריך לפשטו מיד אם לאו:</w:t>
      </w:r>
    </w:p>
    <w:p w14:paraId="66EEA9C8"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CF438C4" w14:textId="77777777" w:rsidR="004B2E7C" w:rsidRDefault="004B2E7C" w:rsidP="00434A6A">
      <w:pPr>
        <w:rPr>
          <w:rFonts w:asciiTheme="minorBidi" w:hAnsiTheme="minorBidi" w:cs="Arial"/>
          <w:rtl/>
        </w:rPr>
      </w:pPr>
      <w:r>
        <w:rPr>
          <w:rFonts w:asciiTheme="minorBidi" w:hAnsiTheme="minorBidi" w:cs="Arial"/>
          <w:rtl/>
        </w:rPr>
        <w:t xml:space="preserve">היוצא בשבת בטלית שאינה מצוייצת כהלכתה, חייב מפני שאותם החוטים חשובים הם אצלו ודעתו עליהם עד שישלים ויעשהו ציצית. ואם היא מצוייצת כהלכתה, אף על פי שאין בה תכלת, מותר לצאת בשבת (וע"ל סי' י"ג). </w:t>
      </w:r>
    </w:p>
    <w:p w14:paraId="7032B29B" w14:textId="77777777" w:rsidR="004B2E7C" w:rsidRDefault="004B2E7C" w:rsidP="00434A6A">
      <w:pPr>
        <w:pStyle w:val="2"/>
        <w:rPr>
          <w:rtl/>
        </w:rPr>
      </w:pPr>
      <w:r>
        <w:rPr>
          <w:rtl/>
        </w:rPr>
        <w:t>סעיף לט</w:t>
      </w:r>
    </w:p>
    <w:p w14:paraId="63FAEACE" w14:textId="77777777" w:rsidR="004B2E7C" w:rsidRDefault="004B2E7C" w:rsidP="00434A6A">
      <w:pPr>
        <w:rPr>
          <w:rtl/>
        </w:rPr>
      </w:pPr>
      <w:r>
        <w:rPr>
          <w:rFonts w:cs="Arial"/>
          <w:rtl/>
        </w:rPr>
        <w:t>לט (א) כילה שיש בה רצועות וכו'. בריש פרק תולין (קלט:) מימרא דרבי אבין בר רב הונא:</w:t>
      </w:r>
    </w:p>
    <w:p w14:paraId="2C0EBC7A" w14:textId="77777777" w:rsidR="004B2E7C" w:rsidRDefault="004B2E7C" w:rsidP="00434A6A">
      <w:pPr>
        <w:rPr>
          <w:rtl/>
        </w:rPr>
      </w:pPr>
      <w:r>
        <w:rPr>
          <w:rFonts w:cs="Arial"/>
          <w:rtl/>
        </w:rPr>
        <w:t>ומה שכתב הילכך מותר לצאת ברצועות התלויות באבנט. כן כתבו שם התוספות (ד"ה ציצית) והרא"ש (סי' ד):</w:t>
      </w:r>
    </w:p>
    <w:p w14:paraId="4C614D6A" w14:textId="77777777" w:rsidR="004B2E7C" w:rsidRDefault="004B2E7C" w:rsidP="00434A6A">
      <w:pPr>
        <w:rPr>
          <w:rtl/>
        </w:rPr>
      </w:pPr>
      <w:r>
        <w:rPr>
          <w:rFonts w:cs="Arial"/>
          <w:rtl/>
        </w:rPr>
        <w:t>ומה שכתב אבל אם הם של משי חשיבי וכו'. כן כתב שם הרא"ש וכן כתב רבינו ירוחם בחלק ה' (נתיב י"ב עד ע"ד) אבל בספר התרומה (סו"ס רנד) ובמרדכי פרק חבית (סי' תמג) נסתפקו בהם משום דאי בעי ילבש אנפלאות ברגליו ויהיה צריך לרצועות וגם הם ראויות לקשור בהם אחד מראשי המכנסים התלויים למטה להגביהם מן הארץ כמו שהוא מנהג. וסמ"ג (שם, כא ע"א) התיר להדיא וכתבוהו הגהות פרק י"ט (דפוס קושטא ה"כ):</w:t>
      </w:r>
    </w:p>
    <w:p w14:paraId="4BE3C515" w14:textId="77777777" w:rsidR="004B2E7C" w:rsidRDefault="004B2E7C" w:rsidP="00434A6A">
      <w:pPr>
        <w:rPr>
          <w:rtl/>
        </w:rPr>
      </w:pPr>
      <w:r>
        <w:rPr>
          <w:rFonts w:cs="Arial"/>
          <w:rtl/>
        </w:rPr>
        <w:t>לט (ב) כתוב בספר המצות כל דבר שנפסק מן הבגד וכו'. בסמ"ג (שם, כא ע"א) וסמ"ק (סי' רפב עמ' דש) והתרומה (סי' רנד, צח ע"ב) ובמרדכי פרק חבית (סי' תמג) ובהגהות פרק י"ט (אות ז בתרא) למדו כן מהא דאמרינן שמותר לצאת בכילה או טלית שיש בה חוטין ורצועות משום דבטלי אגב הטלית ואם היא מצוייצת שלא כהלכתה אסור משום דחשיבי ולא בטלי:</w:t>
      </w:r>
    </w:p>
    <w:p w14:paraId="7C0C8DD8"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8AA81CC" w14:textId="77777777" w:rsidR="004B2E7C" w:rsidRDefault="004B2E7C" w:rsidP="00434A6A">
      <w:pPr>
        <w:rPr>
          <w:rFonts w:asciiTheme="minorBidi" w:hAnsiTheme="minorBidi" w:cs="Arial"/>
          <w:rtl/>
        </w:rPr>
      </w:pPr>
      <w:r>
        <w:rPr>
          <w:rFonts w:asciiTheme="minorBidi" w:hAnsiTheme="minorBidi" w:cs="Arial"/>
          <w:rtl/>
        </w:rPr>
        <w:t xml:space="preserve">כילה (פי' יריעה כעין אהל) שיש בה רצועות שמותחין אותה בהם, מותר להתעטף בה ולצאת לרשות הרבים ואין הרצועות חשובות כמשאוי שמבוטלות אגבה; הילכך מותר לצאת ברצועות התלויות באבנט אף על פי שאין המנעלים קשורים בהם, דלא חשיבי ובטלי אגב האבנט. אבל אם הם של משי, חשיבי ולא בטלי ואסור אם אין המנעלים קשורים בהם. וה"ה לכל דבר שנפסק מן הבגד וראשו אחד מחובר, כגון לולאות, ואינו חשוב, מותר לצאת בו. ואם חשוב הוא, אסור לצאת בו. </w:t>
      </w:r>
    </w:p>
    <w:p w14:paraId="104218FF" w14:textId="77777777" w:rsidR="004B2E7C" w:rsidRDefault="004B2E7C" w:rsidP="00434A6A">
      <w:pPr>
        <w:pStyle w:val="2"/>
        <w:rPr>
          <w:rtl/>
        </w:rPr>
      </w:pPr>
      <w:r>
        <w:rPr>
          <w:rtl/>
        </w:rPr>
        <w:t>סעיף מ</w:t>
      </w:r>
    </w:p>
    <w:p w14:paraId="52C5B6B8" w14:textId="77777777" w:rsidR="004B2E7C" w:rsidRDefault="004B2E7C" w:rsidP="00434A6A">
      <w:pPr>
        <w:rPr>
          <w:rtl/>
        </w:rPr>
      </w:pPr>
      <w:r>
        <w:rPr>
          <w:rFonts w:cs="Arial"/>
          <w:rtl/>
        </w:rPr>
        <w:t>מ - מא כובע אי לא מהדק וכו'. בריש פרק תולין (קלח:) ובסוף עירובין (קב:) אמר רב ששת בריה דרב אידי האי סיאנא שרי ופירש רש"י סיאנא כובע של לבד והא איתמר סיאנא אסיר לא קשיא הא דאית בה טפח הא דלית בה טפח אלא מעתה שרביב בגלימא טפח הכי נמי דמחייב אלא לא קשיא הא דמהדק הא דלא מהדק. ופירש רש"י הא דאית בה טפח. שהוא מתפשט להלן מראשו טפח אסור משום אהל: אלא. טעמא לאו משום אהל הוא אלא משום שלא יגביהנו הרוח מראשו ואתי לאיתויי ארבע אמות ברשות הרבים הילכך מהדק בראשו שפיר דמי לא מהדק אסור: וכתב הרא"ש בפרק תולין (סי' ג) דרבינו תם לא גריס אלא והכי גריס לא קשיא הא דמהדק הא דלא מהדק כלומר הא דפרכת מאפיק מגלימיה טפח לא קשיא דגלימא לא מהדק אלא נכפף למטה ולא הוי אהל אבל סיאנא מהדק שהוא קשה ובולט חוץ לראשו טפח והוי אהל ואסור וכן פירש רבינו חננאל (בגליון שבת קלח:). וכן התוספות בפרק המוצא תפילין (עירובין שם ד"ה הא) וכיוצא בזה הם דברי הרמב"ם בפרק כ"ב (הל' ל"א) וכתב הרב המגיד שכן עיקר אבל הר"ן כתב בפרק תולין (נו: ד"ה סיאנא) שלא נראו דבריו: ודע דלדעת רש"י אפילו בדלא מהדק אם קשור תחת גרונו שרי דתו ליכא למיחש דילמא נפיל וכן כתבו התוספות בפרק המוצא תפילין (שם) והגהות פרק כ"ב (אות ת) בשם אור זרוע (ח"ב סי' עח אות י). וכתבו עוד (הגהות שם) וכן אם הוא עמוק שראשו נכנס לתוכו ואין הרוח יכול להפרידו מראשו מותר בלא רצועה וכן כתוב בספר התרומה (סי' רנד, צז ע"ב): ונראה לי דלרש"י נמי לא אסיר כי לא מהדק אלא בסיאנא שאינו עשוי אלא להגין מפני השמש אבל כובע שאדם מכסה בו ראשו אפילו כי לא מהדק שרי דאף על גב דנפיל לא אתי לאיתויי שאין דרך בני אדם לילך בגילוי הראש:</w:t>
      </w:r>
    </w:p>
    <w:p w14:paraId="05FF80A5"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5F6FE94" w14:textId="77777777" w:rsidR="004B2E7C" w:rsidRDefault="004B2E7C" w:rsidP="00434A6A">
      <w:pPr>
        <w:rPr>
          <w:rFonts w:asciiTheme="minorBidi" w:hAnsiTheme="minorBidi" w:cs="Arial"/>
          <w:rtl/>
        </w:rPr>
      </w:pPr>
      <w:r>
        <w:rPr>
          <w:rFonts w:asciiTheme="minorBidi" w:hAnsiTheme="minorBidi" w:cs="Arial"/>
          <w:rtl/>
        </w:rPr>
        <w:t xml:space="preserve">כובע שהוא מתפשט להלן מראשו טפח, אסור להניחו בראשו אפילו בבית, משום אהל. </w:t>
      </w:r>
    </w:p>
    <w:p w14:paraId="5F9135ED" w14:textId="77777777" w:rsidR="004B2E7C" w:rsidRDefault="004B2E7C" w:rsidP="00434A6A">
      <w:pPr>
        <w:pStyle w:val="2"/>
        <w:rPr>
          <w:rtl/>
        </w:rPr>
      </w:pPr>
      <w:r>
        <w:rPr>
          <w:rtl/>
        </w:rPr>
        <w:t>סעיף מא</w:t>
      </w:r>
    </w:p>
    <w:p w14:paraId="60CEADD9"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3F0351F" w14:textId="77777777" w:rsidR="004B2E7C" w:rsidRDefault="004B2E7C" w:rsidP="00434A6A">
      <w:pPr>
        <w:rPr>
          <w:rFonts w:asciiTheme="minorBidi" w:hAnsiTheme="minorBidi" w:cs="Arial"/>
          <w:rtl/>
        </w:rPr>
      </w:pPr>
      <w:r>
        <w:rPr>
          <w:rFonts w:asciiTheme="minorBidi" w:hAnsiTheme="minorBidi" w:cs="Arial"/>
          <w:rtl/>
        </w:rPr>
        <w:t xml:space="preserve">לצאת בשבת בכובע שבראשו העשוי להגין מפני החמה, יש מי שאוסר משום דחיישינן שיגביהנו הרוח מראשו ואתי לאתויי ד"א ברשות הרבים אא"כ הוא מהודק בראשו או שהוא עמוק שראשו נכנס לתוכו ואין הרוח יכול להפרידו מראשו או שהוא קשור ברצועה תחת גרונו, דבהכי ליכא למיחש למידי. </w:t>
      </w:r>
    </w:p>
    <w:p w14:paraId="6132D78D" w14:textId="77777777" w:rsidR="004B2E7C" w:rsidRDefault="004B2E7C" w:rsidP="00434A6A">
      <w:pPr>
        <w:pStyle w:val="2"/>
        <w:rPr>
          <w:rtl/>
        </w:rPr>
      </w:pPr>
      <w:r>
        <w:rPr>
          <w:rtl/>
        </w:rPr>
        <w:t>סעיף מב</w:t>
      </w:r>
    </w:p>
    <w:p w14:paraId="76842EA3" w14:textId="77777777" w:rsidR="004B2E7C" w:rsidRDefault="004B2E7C" w:rsidP="00434A6A">
      <w:pPr>
        <w:rPr>
          <w:rtl/>
        </w:rPr>
      </w:pPr>
      <w:r>
        <w:rPr>
          <w:rFonts w:cs="Arial"/>
          <w:rtl/>
        </w:rPr>
        <w:t>מב המוצא תפילין בשבת וכו' עד שמגיע לחצר החיצונה וכו'. הכל משנה וגמרא בריש פרק בתרא דערובין (משנה צה., גמ' צו: צז ע"א וע"ב):</w:t>
      </w:r>
    </w:p>
    <w:p w14:paraId="47FE0B11" w14:textId="77777777" w:rsidR="004B2E7C" w:rsidRDefault="004B2E7C" w:rsidP="00434A6A">
      <w:pPr>
        <w:rPr>
          <w:rtl/>
        </w:rPr>
      </w:pPr>
      <w:r>
        <w:rPr>
          <w:rFonts w:cs="Arial"/>
          <w:rtl/>
        </w:rPr>
        <w:t>ומה שכתב אם יש בהם רצועות וכו'. כלומר דאם לא כן איכא למיחש שמא אינן תפילין אלא קמיעין בעלמא כדאמר רבא בגמרא (צו:) וכן פסקו הרי"ף (לא:) והרא"ש שם (סי' א) וכן דעת הרמב"ם בפרק י"ט (הכ"ד). והרב המגיד חלק עליהם וכתב שאין מסקנת השמועה (צז.) כדבריהם אלא דכולי עלמא כלומר בין רבי מאיר בין רבי יהודה (צו: צז.) לא טרח איניש לעשות קמיע כעין תפילין וטעמא שאינו נזקק להם הוא מפני שאי אפשר לו לקשרן ולהכניסן ולפיכך אינו מכניסן אבל להחשיך עליהם מחשיך שלא בשעת הסכנה. ולי נראה דאינהו ז"ל סברי דכיון דרבא דבתרא הוא סבר דלרבי יהודה טרח איניש לעשות קמיע כעין תפילין כוותיה נקטינן:</w:t>
      </w:r>
    </w:p>
    <w:p w14:paraId="77FB5BB8" w14:textId="77777777" w:rsidR="004B2E7C" w:rsidRDefault="004B2E7C" w:rsidP="00434A6A">
      <w:pPr>
        <w:rPr>
          <w:rtl/>
        </w:rPr>
      </w:pPr>
      <w:r>
        <w:rPr>
          <w:rFonts w:cs="Arial"/>
          <w:rtl/>
        </w:rPr>
        <w:t>ומה שכתב אם הם רבים מוליכן פחות פחות מארבע אמות או נותנם לחבירו וחבירו לחבירו עד שמגיע לחצר החיצונה וכו'. שם (צז:) פלוגתא דתנא קמא ורבי שמעון דלתנא קמא שרי להוליכם פחות פחות מארבע אמות ורבי שמעון אסר ולא שרי אלא בנותנם לחבירו וחבירו לחבירו ופסק הרמב"ם בפרק י"ט (שם) דמוליכין פחות פחות מארבע אמות או נותנם לחבירו וכו' וכדברי רבינו. ונ"ל דטעמיה משום דנקטינן כתנא קמא דשרי בתפילין פחות פחות מארבע אמות ובנותנם לחבירו אף על גב דלתנא קמא אסור בתפילין לא קיימא לן כוותיה אלא אפילו לדבר הרשות שרי כמו שפסק בפרק י"ב (הי"ז) ויתבאר בסימן שמ"ט (ד"ה לפיכך) בס"ד:</w:t>
      </w:r>
    </w:p>
    <w:p w14:paraId="00FAAC2A"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BAB86B9" w14:textId="77777777" w:rsidR="004B2E7C" w:rsidRDefault="004B2E7C" w:rsidP="00434A6A">
      <w:pPr>
        <w:rPr>
          <w:rFonts w:asciiTheme="minorBidi" w:hAnsiTheme="minorBidi" w:cs="Arial"/>
          <w:rtl/>
        </w:rPr>
      </w:pPr>
      <w:r>
        <w:rPr>
          <w:rFonts w:asciiTheme="minorBidi" w:hAnsiTheme="minorBidi" w:cs="Arial"/>
          <w:rtl/>
        </w:rPr>
        <w:t xml:space="preserve">המוצא תפילין בשבת בבזיון, במקום שאין משתמרין, אם יש סכנה שגזרו שלא להניח תפילין, מכסן והולך לו. ואם אין סכנה, אם יש בהם רצועות שבכך ניכר שהם תפילין ולא קמיעות והן קשורות שיכול ללבשן, מכניסן זוג זוג דרך לבישה עד שיכניסן כולם. ואם היו רבים, שלא יספיק ללבשן ולהכניסן זוג זוג, יחשיך עליהם עד הלילה ויביאם. ואם ירא להחשיך מפני לסטים, מוליכם פחות פחות מד"א, או נותנם לחבירו וחבירו לחבירו עד שמגיע לחצר החיצונה. </w:t>
      </w:r>
    </w:p>
    <w:p w14:paraId="6E5C3B46" w14:textId="77777777" w:rsidR="004B2E7C" w:rsidRDefault="004B2E7C" w:rsidP="00434A6A">
      <w:pPr>
        <w:pStyle w:val="2"/>
        <w:rPr>
          <w:rtl/>
        </w:rPr>
      </w:pPr>
      <w:r>
        <w:rPr>
          <w:rtl/>
        </w:rPr>
        <w:t>סעיף מג</w:t>
      </w:r>
    </w:p>
    <w:p w14:paraId="635AF07D" w14:textId="77777777" w:rsidR="004B2E7C" w:rsidRDefault="004B2E7C" w:rsidP="00434A6A">
      <w:pPr>
        <w:rPr>
          <w:rtl/>
        </w:rPr>
      </w:pPr>
      <w:r>
        <w:rPr>
          <w:rFonts w:cs="Arial"/>
          <w:rtl/>
        </w:rPr>
        <w:t>מג כתב הרמב"ם בסוף פרק י"ט (הכ"ה) המוצא ספר תורה יושב ומשמרו ומחשיך עליו ובסכנה מניחו והולך לו ואם היו הגשמים יורדין מתעטף בעור וחוזר ומכסה אותו ונכנס בו וכתב הרב המגיד שהיא תוספתא בפרק שמיני (עירובין ה"י):</w:t>
      </w:r>
    </w:p>
    <w:p w14:paraId="32C8DDFA"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EF88F3E" w14:textId="77777777" w:rsidR="004B2E7C" w:rsidRDefault="004B2E7C" w:rsidP="00434A6A">
      <w:pPr>
        <w:rPr>
          <w:rFonts w:asciiTheme="minorBidi" w:hAnsiTheme="minorBidi" w:cs="Arial"/>
          <w:rtl/>
        </w:rPr>
      </w:pPr>
      <w:r>
        <w:rPr>
          <w:rFonts w:asciiTheme="minorBidi" w:hAnsiTheme="minorBidi" w:cs="Arial"/>
          <w:rtl/>
        </w:rPr>
        <w:t xml:space="preserve">המוצא ס"ת בשדה, אם אינו שעת סכנה יושב ומשמרו ומחשיך עליו (לשון הרמב"ם: ובסכנה מניחו והולך לו). ואם היו גשמים יורדים, מתעטף בעור וחוזר ומכסה אותו, ונכנס בו. </w:t>
      </w:r>
    </w:p>
    <w:p w14:paraId="009C2C0C" w14:textId="77777777" w:rsidR="004B2E7C" w:rsidRDefault="004B2E7C" w:rsidP="00434A6A">
      <w:pPr>
        <w:pStyle w:val="2"/>
        <w:rPr>
          <w:rtl/>
        </w:rPr>
      </w:pPr>
      <w:r>
        <w:rPr>
          <w:rtl/>
        </w:rPr>
        <w:t>סעיף מד</w:t>
      </w:r>
    </w:p>
    <w:p w14:paraId="025278C4" w14:textId="77777777" w:rsidR="004B2E7C" w:rsidRDefault="004B2E7C" w:rsidP="00434A6A">
      <w:pPr>
        <w:rPr>
          <w:rtl/>
        </w:rPr>
      </w:pPr>
      <w:r>
        <w:rPr>
          <w:rFonts w:cs="Arial"/>
          <w:rtl/>
        </w:rPr>
        <w:t>מד הבא להציל כליו מפני הדליקה לובש כל מה שיכול וכו'. משנה בפרק כל כתבי (קכ.) לובש כל מה שיכול ללבוש ועוטף כל מה שיכול לעטוף רבי יוסי אומר שמונה עשר כלים וחוזר ולובש ומוציא ופסקו הרי"ף (מה.) והרא"ש (סי' ו) כתנא קמא וכן פסק הרמב"ם בפרק כ"ג (הל' כ', כ"ב). ומשמע דאפילו לרשות הרבים שרי אלא שהר"ן (מה. ד"ה וטעמיה) כתב דאפשר דלא שרי תנא קמא אלא במציל לרשות היחיד אבל היכא דנפיק לרשות הרבים מודו דאסור משום משוי:</w:t>
      </w:r>
    </w:p>
    <w:p w14:paraId="30EFB7B8"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767DBE0" w14:textId="77777777" w:rsidR="004B2E7C" w:rsidRDefault="004B2E7C" w:rsidP="00434A6A">
      <w:pPr>
        <w:rPr>
          <w:rFonts w:asciiTheme="minorBidi" w:hAnsiTheme="minorBidi" w:cs="Arial"/>
          <w:rtl/>
        </w:rPr>
      </w:pPr>
      <w:r>
        <w:rPr>
          <w:rFonts w:asciiTheme="minorBidi" w:hAnsiTheme="minorBidi" w:cs="Arial"/>
          <w:rtl/>
        </w:rPr>
        <w:t xml:space="preserve">הבא להציל כליו מפני הדליקה לובש כל מה שיכול ללבוש, ועוטף כל מה שיכול לעטוף, ופושט, וחוזר ולובש ומוציא. </w:t>
      </w:r>
    </w:p>
    <w:p w14:paraId="666B239C" w14:textId="77777777" w:rsidR="004B2E7C" w:rsidRDefault="004B2E7C" w:rsidP="00434A6A">
      <w:pPr>
        <w:pStyle w:val="2"/>
        <w:rPr>
          <w:rtl/>
        </w:rPr>
      </w:pPr>
      <w:r>
        <w:rPr>
          <w:rtl/>
        </w:rPr>
        <w:t>סעיף מה</w:t>
      </w:r>
    </w:p>
    <w:p w14:paraId="37420A3D" w14:textId="77777777" w:rsidR="004B2E7C" w:rsidRDefault="004B2E7C" w:rsidP="00434A6A">
      <w:pPr>
        <w:rPr>
          <w:rtl/>
        </w:rPr>
      </w:pPr>
      <w:r>
        <w:rPr>
          <w:rFonts w:cs="Arial"/>
          <w:rtl/>
        </w:rPr>
        <w:t>מה (א) מי שנשרו כליו במים וכו'. משנה סוף פרק חבית (קמו:) מי שנשרו כליו במים מהלך עמהם ואינו חושש הגיע לחצר החיצונה שוטחן בחמה אבל לא כנגד העם כלומר לפי שיחשדוהו שכבסן בשבת ובגמרא (שם) אמר רב יהודה אמר רב כל מקום שאסרו חכמים מפני מראית העין אפילו בחדרי חדרים אסור תנן שוטחן בחמה אבל לא כנגד העם תנאי היא דתניא שוטחן בחמה אבל לא כנגד העם רבי אלעזר ורבי שמעון אוסרים. וכתב הרא"ש (סי' ט) שרבינו ניסים גאון פסק כסתם מתניתין והוא ז"ל דחה דבריו ופסק כמחלוקת דברייתא כיון דקאי רב כוותה וכן פסק הרי"ף (סב.) וכן דעת הרמב"ם בפרק כ"ב (ה"כ) וכן דעת סמ"ג (שם, יד ע"ג). והר"ן בפרק קמא דיום טוב אמתניתין דאין מוליכין את הסולם משובך לשובך (ביצה ד: ד"ה ומיהו) דחה גם כן דברי רבינו ניסים גאון ויישב כל המקומות שקשה להם לפסק הרי"ף:</w:t>
      </w:r>
    </w:p>
    <w:p w14:paraId="7B8F9595" w14:textId="77777777" w:rsidR="004B2E7C" w:rsidRDefault="004B2E7C" w:rsidP="00434A6A">
      <w:pPr>
        <w:rPr>
          <w:rtl/>
        </w:rPr>
      </w:pPr>
      <w:r>
        <w:rPr>
          <w:rFonts w:cs="Arial"/>
          <w:rtl/>
        </w:rPr>
        <w:t>(דרכמ טז) והאריך שם בזה אימת אמרינן כל מקום שאסרו מפני מראית העין אסור אפילו בחדרי חדרים: כתוב בתולדות אדם וחוה נתיב י"ב חלק י"ד (פז ע"ד) דאסור לילך בשבת במקום שיוכל להחליק במים שמא יפול וישרו בגדיו במים. וכתב המרדכי פרק חבית (סי' תמא - תמב) בשם רא"ם (יראים סי' רעד, קלו א) דכל דבר השרוי במים אסור לטלטלו שמא יבא לידי סחיטה והוא שמקפיד על מימיו:</w:t>
      </w:r>
    </w:p>
    <w:p w14:paraId="4E6A63A6" w14:textId="77777777" w:rsidR="004B2E7C" w:rsidRDefault="004B2E7C" w:rsidP="00434A6A">
      <w:pPr>
        <w:rPr>
          <w:rtl/>
        </w:rPr>
      </w:pPr>
      <w:r>
        <w:rPr>
          <w:rFonts w:cs="Arial"/>
          <w:rtl/>
        </w:rPr>
        <w:t>מה (ב) כתב הרשב"א שאלת בגדי פשתן שבאו מן הכביסה ערב שבת ושטחן בגג ויבשו מבעוד יום אם יכול להשאירם שם למחר אם לא היו נגובין. תשובה לא אסרו אלא כששטחן בשבת אבל שטחן מערב שבת אפילו מאן דפסק כרב יהודה מודה דאין צריך לסלקן ותדע דהא פלוגתא דבית שמאי ובית הלל בהולכת סולם משובך לשובך ביום טוב דאוקימנא בפרק קמא דיום טוב (ט.) כתנאי דתניא שוטחן בחמה אבל לא כנגד העם וכו' והגע עצמך מי איכא מאן דאמר שאם הוליך הסולם מערב יום טוב שצריך לסלקו כדי שלא יאמרו עכשיו הניחו להטיח גגו ה"נ לא אמרו אלא כששטחן בשבת עכ"ל: וכתוב בכלבו (שם, כו ע"ג) מי שנשרו כליו בדרך מהלך בהם ואינו חושש שמא יבא לידי סחיטה אבל אינו מנערן מן המים שאם ינערם יהיה חייב משום סוחט שכן דרך כל בגד בלוע במים כשמנערין אותו המים נסחטין ממנו ודוקא בכלים חדשים לפי שמקפיד עליהם יותר לפי שמתקצרים במים עכ"ל:</w:t>
      </w:r>
    </w:p>
    <w:p w14:paraId="627DAE25"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A8EAF4A" w14:textId="77777777" w:rsidR="004B2E7C" w:rsidRDefault="004B2E7C" w:rsidP="00434A6A">
      <w:pPr>
        <w:rPr>
          <w:rFonts w:asciiTheme="minorBidi" w:hAnsiTheme="minorBidi" w:cs="Arial"/>
          <w:rtl/>
        </w:rPr>
      </w:pPr>
      <w:r>
        <w:rPr>
          <w:rFonts w:asciiTheme="minorBidi" w:hAnsiTheme="minorBidi" w:cs="Arial"/>
          <w:rtl/>
        </w:rPr>
        <w:t xml:space="preserve">מי שנשרו כליו במים, הולך בהם ואינו חושש שמא יבא לידי סחיטה. ולא ישטחם לנגבם, מפני מראית העין, שלא יחשדוהו שכבסן בשבת. ואפילו בחדרי חדרים, שאין שם רואים, אסור. ולא אסרו אלא לשטחן בשבת, אבל אם שטח מע"ש כלים המכובסים, אינו חייב לסלקן בשבת. </w:t>
      </w:r>
    </w:p>
    <w:p w14:paraId="1EE7684D" w14:textId="77777777" w:rsidR="004B2E7C" w:rsidRDefault="004B2E7C" w:rsidP="00434A6A">
      <w:pPr>
        <w:pStyle w:val="2"/>
        <w:rPr>
          <w:rtl/>
        </w:rPr>
      </w:pPr>
      <w:r>
        <w:rPr>
          <w:rtl/>
        </w:rPr>
        <w:t>סעיף מו</w:t>
      </w:r>
    </w:p>
    <w:p w14:paraId="2E991137" w14:textId="77777777" w:rsidR="004B2E7C" w:rsidRDefault="004B2E7C" w:rsidP="00434A6A">
      <w:pPr>
        <w:rPr>
          <w:rtl/>
        </w:rPr>
      </w:pPr>
      <w:r>
        <w:rPr>
          <w:rFonts w:cs="Arial"/>
          <w:rtl/>
        </w:rPr>
        <w:t>מו כתב המרדכי בסוף פרק תולין (סי' תלד) שאסור לנגב הבגדים ששרויין במים סמוך לאש משום מלבן ועוד יש לאסור משום מבשל כמו מאן דשדא סיכתא לאתונא דחייב משום מבשל (שבת עד:): אם מותר לצאת בברזא התחובה בפי הטבעת ותחובה כולה בגוף כתב רבינו בסימן שי"ב (עב.): כיצד מדדין את התינוק ברשות הרבים כתב רבינו בסימן ש"ח (סז:): אין מדדין עגלים וסייחים בכרמלית גם זה שם: בסימן שאחר זה הוזכרו קצת דיני כיבוס ובסימן זה הוזכרו קצת דיני סחיטה ועוד יבא תשלום דיני סחיטה בסימן ש"כ: כתב רבינו בסימן שכ"ו (צט.) הרוחץ בנהר צריך שינגב גופו יפה כשעולה מן הנהר מפני המים שלא ישארו עליו ויטלטלם ארבע אמות בכרמלית. וכתב עוד (צט:) אבל ההולך במטר ומטר יורד עליו ועל לבושו שרי:</w:t>
      </w:r>
    </w:p>
    <w:p w14:paraId="41362A25"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5FBAC00" w14:textId="77777777" w:rsidR="004B2E7C" w:rsidRDefault="004B2E7C" w:rsidP="00434A6A">
      <w:pPr>
        <w:rPr>
          <w:rFonts w:asciiTheme="minorBidi" w:hAnsiTheme="minorBidi" w:cs="Arial"/>
          <w:rtl/>
        </w:rPr>
      </w:pPr>
      <w:r>
        <w:rPr>
          <w:rFonts w:asciiTheme="minorBidi" w:hAnsiTheme="minorBidi" w:cs="Arial"/>
          <w:rtl/>
        </w:rPr>
        <w:t xml:space="preserve">בגדים השרוים במים, אסור לנגבם סמוך לאש. הגה: ואסור לטלטלם שמא יבא לידי סחיטה, והוא שמקפיד על מימיו (מרדכי פרק חבית). ואסור לילך בשבת במקום שיוכל להחליק וליפול במים, שמא ישרו כליו ויבא לידי סחיטה. </w:t>
      </w:r>
    </w:p>
    <w:p w14:paraId="33025EAF" w14:textId="77777777" w:rsidR="004B2E7C" w:rsidRDefault="004B2E7C" w:rsidP="00434A6A">
      <w:pPr>
        <w:pStyle w:val="2"/>
        <w:rPr>
          <w:rtl/>
        </w:rPr>
      </w:pPr>
      <w:r>
        <w:rPr>
          <w:rtl/>
        </w:rPr>
        <w:t>סעיף מז</w:t>
      </w:r>
    </w:p>
    <w:p w14:paraId="7CF71B83" w14:textId="77777777" w:rsidR="004B2E7C" w:rsidRDefault="004B2E7C" w:rsidP="00434A6A">
      <w:pPr>
        <w:rPr>
          <w:rtl/>
        </w:rPr>
      </w:pPr>
      <w:r>
        <w:rPr>
          <w:rFonts w:cs="Arial"/>
          <w:rtl/>
        </w:rPr>
        <w:t>מז תניא בתוספתא פרק י"ז (שבת הט"ז) לא ישטח אדם כליו אפילו מן הזיעה:</w:t>
      </w:r>
    </w:p>
    <w:p w14:paraId="2EE77CC8"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1AAD8CE" w14:textId="77777777" w:rsidR="004B2E7C" w:rsidRDefault="004B2E7C" w:rsidP="00434A6A">
      <w:pPr>
        <w:rPr>
          <w:rFonts w:asciiTheme="minorBidi" w:hAnsiTheme="minorBidi" w:cs="Arial"/>
          <w:rtl/>
        </w:rPr>
      </w:pPr>
      <w:r>
        <w:rPr>
          <w:rFonts w:asciiTheme="minorBidi" w:hAnsiTheme="minorBidi" w:cs="Arial"/>
          <w:rtl/>
        </w:rPr>
        <w:t xml:space="preserve">לא ישטח אדם את כליו בשבת, אפילו מן הזיעה. </w:t>
      </w:r>
    </w:p>
    <w:p w14:paraId="124C09A4" w14:textId="77777777" w:rsidR="004B2E7C" w:rsidRDefault="004B2E7C" w:rsidP="00434A6A">
      <w:pPr>
        <w:pStyle w:val="2"/>
        <w:rPr>
          <w:rtl/>
        </w:rPr>
      </w:pPr>
      <w:r>
        <w:rPr>
          <w:rtl/>
        </w:rPr>
        <w:t>סעיף מח</w:t>
      </w:r>
    </w:p>
    <w:p w14:paraId="0A1A91E7" w14:textId="77777777" w:rsidR="004B2E7C" w:rsidRDefault="004B2E7C" w:rsidP="00434A6A">
      <w:pPr>
        <w:rPr>
          <w:rtl/>
        </w:rPr>
      </w:pPr>
      <w:r>
        <w:rPr>
          <w:rFonts w:cs="Arial"/>
          <w:rtl/>
        </w:rPr>
        <w:t>מח מסתפג אדם באלונתית וכו'. גם זה משנה שם (קמז.) הרוחץ במי מערה או במי טבריה מסתפג אפילו בעשר אלונתיות ולא יביאם בידו אבל עשרה בני אדם מסתפגים באלונתית אחת פניהם ידיהם ורגליהם ומביאים אותה בידם ובגמרא (שם:) אמר רבי חייא בר אבא אמר רבי יוחנן הלכה מסתפג אדם באלונתית ומביאה בידו לתוך ביתו והאמר רבי יוחנן הלכה כסתם משנה ותנן מסתפג אפילו בעשר אלונתיות ולא יביאם בידו ההיא כבן חכינאי מתני לה. וכיון דיחידאה היא לית הלכתא כוותיה ופסקו הרי"ף (סב:) והרא"ש (סי' יב) כרבי יוחנן וכן דעת הרמב"ם בפרק כ"ב (הל' כ): וכתב הר"ן (סב: ד"ה והא) היכי שרי להסתפג אמאי לא חיישינן דילמא אתי לידי סחיטה כדאמרינן בריש פרק במה טומנין (מח.) גבי ההוא דפריס דסתודר אפומא דכובא ובפרק אלו קשרים (קיג:) נמי אמרינן זימנין דמתווסן מאניה ואתי לידי סחיטה יש לומר שכיון שכל הרוחצין מסתפגין אם אתה אוסר עליו להסתפג אף אתה אוסרו ברחיצה ואי אפשר שאין הדבר עומד וכדאיתא בפרק כירה (מ.) עכ"ל:</w:t>
      </w:r>
    </w:p>
    <w:p w14:paraId="385C13AD" w14:textId="77777777" w:rsidR="004B2E7C" w:rsidRDefault="004B2E7C" w:rsidP="00434A6A">
      <w:pPr>
        <w:rPr>
          <w:rtl/>
        </w:rPr>
      </w:pPr>
      <w:r>
        <w:rPr>
          <w:rFonts w:cs="Arial"/>
          <w:rtl/>
        </w:rPr>
        <w:t>ומה שכתב רבינו ולא ימסור לבלנים וכו'. ברייתא שם (קמז:):</w:t>
      </w:r>
    </w:p>
    <w:p w14:paraId="3F6B95A3"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D585420" w14:textId="77777777" w:rsidR="004B2E7C" w:rsidRDefault="004B2E7C" w:rsidP="00434A6A">
      <w:pPr>
        <w:rPr>
          <w:rFonts w:asciiTheme="minorBidi" w:hAnsiTheme="minorBidi" w:cs="Arial"/>
          <w:rtl/>
        </w:rPr>
      </w:pPr>
      <w:r>
        <w:rPr>
          <w:rFonts w:asciiTheme="minorBidi" w:hAnsiTheme="minorBidi" w:cs="Arial"/>
          <w:rtl/>
        </w:rPr>
        <w:t xml:space="preserve">מסתפג אדם באלונטית (פי' בגד שמסתפגין בו לאחר שרוחצין) ומביאה בידו, ולא חיישינן שמא יבא לסחוט. ולא ימסור לבלנים שהם חשודים על הסחיטה. </w:t>
      </w:r>
    </w:p>
    <w:p w14:paraId="60A01528" w14:textId="77777777" w:rsidR="004B2E7C" w:rsidRDefault="004B2E7C" w:rsidP="00434A6A">
      <w:pPr>
        <w:pStyle w:val="2"/>
        <w:rPr>
          <w:rtl/>
        </w:rPr>
      </w:pPr>
      <w:r>
        <w:rPr>
          <w:rtl/>
        </w:rPr>
        <w:t>סעיף מט</w:t>
      </w:r>
    </w:p>
    <w:p w14:paraId="78588EF2" w14:textId="77777777" w:rsidR="004B2E7C" w:rsidRDefault="004B2E7C" w:rsidP="00434A6A">
      <w:pPr>
        <w:rPr>
          <w:rtl/>
        </w:rPr>
      </w:pPr>
      <w:r>
        <w:rPr>
          <w:rFonts w:cs="Arial"/>
          <w:rtl/>
        </w:rPr>
        <w:t>מט כתב רבינו ירוחם בחלק י"ז (נתיב י"ב, צו ע"ג) מותר לרחוץ ידיו בנהר בשבת ובלבד שלא יוציאם עם המים עליהם חוץ לנהר ארבע אמות כך כתב רבינו מאיר:</w:t>
      </w:r>
    </w:p>
    <w:p w14:paraId="7870DDEF"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CFF1C21" w14:textId="77777777" w:rsidR="004B2E7C" w:rsidRDefault="004B2E7C" w:rsidP="00434A6A">
      <w:pPr>
        <w:rPr>
          <w:rFonts w:asciiTheme="minorBidi" w:hAnsiTheme="minorBidi" w:cs="Arial"/>
          <w:rtl/>
        </w:rPr>
      </w:pPr>
      <w:r>
        <w:rPr>
          <w:rFonts w:asciiTheme="minorBidi" w:hAnsiTheme="minorBidi" w:cs="Arial"/>
          <w:rtl/>
        </w:rPr>
        <w:t xml:space="preserve">מותר לרחוץ ידיו בנהר בשבת, ובלבד שלא יוציאם עם המים שעליהם חוץ לנהר ד"א. </w:t>
      </w:r>
    </w:p>
    <w:p w14:paraId="01E6CCAC" w14:textId="77777777" w:rsidR="004B2E7C" w:rsidRDefault="004B2E7C" w:rsidP="00434A6A">
      <w:pPr>
        <w:pStyle w:val="2"/>
        <w:rPr>
          <w:rtl/>
        </w:rPr>
      </w:pPr>
      <w:r>
        <w:rPr>
          <w:rtl/>
        </w:rPr>
        <w:t>סעיף נ</w:t>
      </w:r>
    </w:p>
    <w:p w14:paraId="0E469C2F" w14:textId="77777777" w:rsidR="004B2E7C" w:rsidRDefault="004B2E7C" w:rsidP="00434A6A">
      <w:pPr>
        <w:rPr>
          <w:rtl/>
        </w:rPr>
      </w:pPr>
      <w:r>
        <w:rPr>
          <w:rFonts w:cs="Arial"/>
          <w:rtl/>
        </w:rPr>
        <w:t>נ תניא בפרק במה טומנין (נ.) יוצאין בפקורין ובצפה בזמן שצבען בשמן וכרכן במשיחה לא צבען בשמן ולא כרכן במשיחה אין יוצאין בהם ואם יצא בהם שעה אחת מבעוד יום אף על פי שלא צבען בשמן ולא כרכן במשיחה מותר לצאת בהם ופירש רש"י פקורין וצפה פשתן סרוק וצמר מנופץ הניתן על המכה. ופירשו התוספות (ד"ה אבל) דלאו דוקא אין יוצאין דאפילו לטלטלן אסור וכן מאי דקאמר אבל יצא בהם שעה אחד מבעוד יום לאו דוקא יצא דהוא הדין ישב בהם בביתו וכן כתבה רבינו בסימן ש"ח (סה:) בדיני מוקצה. אבל הרמב"ם כתבה פרק י"ט (הט"ז) בדיני ההוצאה וגם נראה מדבריו שהוא מפרש פקורין וצפה שלא כדברי רש"י. וגם נראה מדבריו שלא היה גורס בשמן אלא שצבען וכרכן במשיחה שכתב וז"ל יוצאין בפקורין ובצפה שבראשי בעלי חטטין אימתי בזמן שצבען וכרכן או שיצא בהם שעה אחת מבעוד יום וכתב הרב המגיד שמדבריו נראה שהוא מפרש כדברי רבינו האיי דהיינו פאה נכרית שעושה איש קרח לכסות את ראשו כמי שיש לו שער עד כאן. וגם בהגהות (שם אות ג בתרא) כתבו וכן פירש רבינו חננאל (בגליון נ.) שהוא כיפה שבראש הקרח שאותו שער שבכיפה הוא נראה שער הראש וכן נראה לר"י דתכשיט הוא ודוקא כשצבעו הוי תכשיט ולא כפירוש רש"י שפירש שהוא פשתן סרוק וכו' ולא מסתבר לר"י דאם יש לאדם חבלה בידו בשבת שלא יטול חתיכת בגד ויתן על גבי מכתו משום דהוי משוי:</w:t>
      </w:r>
    </w:p>
    <w:p w14:paraId="45E2654F"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95554F4" w14:textId="77777777" w:rsidR="004B2E7C" w:rsidRDefault="004B2E7C" w:rsidP="00434A6A">
      <w:pPr>
        <w:rPr>
          <w:rFonts w:asciiTheme="minorBidi" w:hAnsiTheme="minorBidi" w:cs="Arial"/>
          <w:rtl/>
        </w:rPr>
      </w:pPr>
      <w:r>
        <w:rPr>
          <w:rFonts w:asciiTheme="minorBidi" w:hAnsiTheme="minorBidi" w:cs="Arial"/>
          <w:rtl/>
        </w:rPr>
        <w:t xml:space="preserve">יוצאים בפשתן סרוק וצמר מנופץ שבראשי בעלי חטטין (פי' בעלי נגעים). אימתי, בזמן שצבען וכרכן או שיצא בהם שעה אחת מבע"י. </w:t>
      </w:r>
    </w:p>
    <w:p w14:paraId="79A8D287" w14:textId="77777777" w:rsidR="004B2E7C" w:rsidRDefault="004B2E7C" w:rsidP="00434A6A">
      <w:pPr>
        <w:pStyle w:val="2"/>
        <w:rPr>
          <w:rtl/>
        </w:rPr>
      </w:pPr>
      <w:r>
        <w:rPr>
          <w:rtl/>
        </w:rPr>
        <w:t>סעיף נא</w:t>
      </w:r>
    </w:p>
    <w:p w14:paraId="5CA18698" w14:textId="77777777" w:rsidR="004B2E7C" w:rsidRDefault="004B2E7C" w:rsidP="00434A6A">
      <w:pPr>
        <w:rPr>
          <w:rtl/>
        </w:rPr>
      </w:pPr>
      <w:r>
        <w:rPr>
          <w:rFonts w:cs="Arial"/>
          <w:rtl/>
        </w:rPr>
        <w:t>נא וכתב הכלבו (שם, כט ע"ג) בשם הראב"ד שמותר לצאת במצנפת שתולין בצואר למי שיש לו מכה בידו או בזרועו ובלבד שיצא בה שעה אחת מבעוד יום וכן בסמרטוטין הכרוכין על היד או על האצבע כשיש בו מכה עד כאן לשונו:</w:t>
      </w:r>
    </w:p>
    <w:p w14:paraId="3BB5514E"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5FD003E" w14:textId="77777777" w:rsidR="004B2E7C" w:rsidRDefault="004B2E7C" w:rsidP="00434A6A">
      <w:pPr>
        <w:rPr>
          <w:rFonts w:asciiTheme="minorBidi" w:hAnsiTheme="minorBidi"/>
          <w:rtl/>
        </w:rPr>
      </w:pPr>
      <w:r>
        <w:rPr>
          <w:rFonts w:asciiTheme="minorBidi" w:hAnsiTheme="minorBidi" w:cs="Arial"/>
          <w:rtl/>
        </w:rPr>
        <w:t>מותר לצאת במצנפת שתולים בצואר למי שיש לו מכה בידו או בזרועו, וכן בסמרטוטין (פי' חתיכות בגד בלוי) הכרוכים על היד או על האצבע שיש בו מכה.</w:t>
      </w:r>
    </w:p>
    <w:p w14:paraId="45FF1B5F" w14:textId="77777777" w:rsidR="004B2E7C" w:rsidRDefault="004B2E7C" w:rsidP="00434A6A">
      <w:pPr>
        <w:rPr>
          <w:rFonts w:asciiTheme="minorBidi" w:hAnsiTheme="minorBidi"/>
          <w:rtl/>
        </w:rPr>
      </w:pPr>
    </w:p>
    <w:p w14:paraId="66C9E4F9"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71"/>
          <w:footnotePr>
            <w:numRestart w:val="eachSect"/>
          </w:footnotePr>
          <w:pgSz w:w="11906" w:h="16838"/>
          <w:pgMar w:top="720" w:right="1134" w:bottom="720" w:left="1134" w:header="0" w:footer="0" w:gutter="0"/>
          <w:cols w:space="720"/>
          <w:bidi/>
          <w:rtlGutter/>
        </w:sectPr>
      </w:pPr>
    </w:p>
    <w:p w14:paraId="6A622003" w14:textId="77777777" w:rsidR="004B2E7C" w:rsidRDefault="004B2E7C" w:rsidP="00434A6A">
      <w:pPr>
        <w:pStyle w:val="1"/>
        <w:rPr>
          <w:rtl/>
        </w:rPr>
      </w:pPr>
      <w:r>
        <w:rPr>
          <w:rtl/>
        </w:rPr>
        <w:t xml:space="preserve">סימן שב: דיני נקוי וקפול הבגדים בשבת, ובו י"ג סעיפים. </w:t>
      </w:r>
    </w:p>
    <w:p w14:paraId="51730115" w14:textId="77777777" w:rsidR="004B2E7C" w:rsidRDefault="004B2E7C" w:rsidP="00434A6A">
      <w:pPr>
        <w:pStyle w:val="2"/>
        <w:rPr>
          <w:rFonts w:asciiTheme="minorBidi" w:hAnsiTheme="minorBidi" w:cstheme="minorBidi"/>
          <w:rtl/>
        </w:rPr>
      </w:pPr>
      <w:r>
        <w:rPr>
          <w:rFonts w:asciiTheme="minorBidi" w:hAnsiTheme="minorBidi" w:cstheme="minorBidi"/>
          <w:rtl/>
        </w:rPr>
        <w:t>סעיף א: ניעור בגד מהטל שעליו.</w:t>
      </w:r>
    </w:p>
    <w:p w14:paraId="43FD7558" w14:textId="77777777" w:rsidR="004B2E7C" w:rsidRDefault="004B2E7C" w:rsidP="00434A6A">
      <w:pPr>
        <w:rPr>
          <w:rFonts w:asciiTheme="minorBidi" w:hAnsiTheme="minorBidi"/>
          <w:rtl/>
        </w:rPr>
      </w:pPr>
      <w:r>
        <w:rPr>
          <w:rFonts w:asciiTheme="minorBidi" w:hAnsiTheme="minorBidi"/>
          <w:b/>
          <w:bCs/>
          <w:rtl/>
        </w:rPr>
        <w:t xml:space="preserve">שבת קמו סוע"ב: </w:t>
      </w:r>
      <w:r>
        <w:rPr>
          <w:rFonts w:asciiTheme="minorBidi" w:hAnsiTheme="minorBidi"/>
          <w:u w:val="single"/>
          <w:rtl/>
        </w:rPr>
        <w:t>אמר רב הונא</w:t>
      </w:r>
      <w:r>
        <w:rPr>
          <w:rFonts w:asciiTheme="minorBidi" w:hAnsiTheme="minorBidi"/>
          <w:rtl/>
        </w:rPr>
        <w:t xml:space="preserve"> המנער טליתו בשבת - חייב חטאת. ולא אמרן אלא בחדתי</w:t>
      </w:r>
      <w:r>
        <w:rPr>
          <w:rStyle w:val="a9"/>
          <w:rFonts w:asciiTheme="minorBidi" w:hAnsiTheme="minorBidi"/>
          <w:rtl/>
        </w:rPr>
        <w:footnoteReference w:id="1086"/>
      </w:r>
      <w:r>
        <w:rPr>
          <w:rFonts w:asciiTheme="minorBidi" w:hAnsiTheme="minorBidi"/>
          <w:rtl/>
        </w:rPr>
        <w:t>, אבל בעתיקי - לית לן בה. ולא אמרן אלא באוכמי</w:t>
      </w:r>
      <w:r>
        <w:rPr>
          <w:rStyle w:val="a9"/>
          <w:rFonts w:asciiTheme="minorBidi" w:hAnsiTheme="minorBidi"/>
          <w:rtl/>
        </w:rPr>
        <w:footnoteReference w:id="1087"/>
      </w:r>
      <w:r>
        <w:rPr>
          <w:rFonts w:asciiTheme="minorBidi" w:hAnsiTheme="minorBidi"/>
          <w:rtl/>
        </w:rPr>
        <w:t>, אבל בחיורי וסומקי - לית לן בה. והוא דקפיד עלייהו</w:t>
      </w:r>
      <w:r>
        <w:rPr>
          <w:rStyle w:val="a9"/>
          <w:rFonts w:asciiTheme="minorBidi" w:hAnsiTheme="minorBidi"/>
          <w:rtl/>
        </w:rPr>
        <w:footnoteReference w:id="1088"/>
      </w:r>
      <w:r>
        <w:rPr>
          <w:rFonts w:asciiTheme="minorBidi" w:hAnsiTheme="minorBidi"/>
          <w:rtl/>
        </w:rPr>
        <w:t>. עולא איקלע לפומבדיתא, חזא רבנן דקא מנפצי גלימייהו, אמר: קמחללין רבנן שבתא</w:t>
      </w:r>
      <w:r>
        <w:rPr>
          <w:rStyle w:val="a9"/>
          <w:rFonts w:asciiTheme="minorBidi" w:hAnsiTheme="minorBidi"/>
          <w:rtl/>
        </w:rPr>
        <w:footnoteReference w:id="1089"/>
      </w:r>
      <w:r>
        <w:rPr>
          <w:rFonts w:asciiTheme="minorBidi" w:hAnsiTheme="minorBidi"/>
          <w:rtl/>
        </w:rPr>
        <w:t>! אמר להו רב יהודה: נפוצי ליה באפיה, אנן לא קפדינן מידי. אביי הוה קאי קמיה דרב יוסף, אמר ליה: הב לי כומתאי</w:t>
      </w:r>
      <w:r>
        <w:rPr>
          <w:rStyle w:val="a9"/>
          <w:rFonts w:asciiTheme="minorBidi" w:hAnsiTheme="minorBidi"/>
          <w:rtl/>
        </w:rPr>
        <w:footnoteReference w:id="1090"/>
      </w:r>
      <w:r>
        <w:rPr>
          <w:rFonts w:asciiTheme="minorBidi" w:hAnsiTheme="minorBidi"/>
          <w:rtl/>
        </w:rPr>
        <w:t>, חזא דאיכא טלא עליה, הוה קמחסם למיתבה ליה</w:t>
      </w:r>
      <w:r>
        <w:rPr>
          <w:rStyle w:val="a9"/>
          <w:rFonts w:asciiTheme="minorBidi" w:hAnsiTheme="minorBidi"/>
          <w:rtl/>
        </w:rPr>
        <w:footnoteReference w:id="1091"/>
      </w:r>
      <w:r>
        <w:rPr>
          <w:rFonts w:asciiTheme="minorBidi" w:hAnsiTheme="minorBidi"/>
          <w:rtl/>
        </w:rPr>
        <w:t>, אמר ליה: נפוץ שדי</w:t>
      </w:r>
      <w:r>
        <w:rPr>
          <w:rStyle w:val="a9"/>
          <w:rFonts w:asciiTheme="minorBidi" w:hAnsiTheme="minorBidi"/>
          <w:rtl/>
        </w:rPr>
        <w:footnoteReference w:id="1092"/>
      </w:r>
      <w:r>
        <w:rPr>
          <w:rFonts w:asciiTheme="minorBidi" w:hAnsiTheme="minorBidi"/>
          <w:rtl/>
        </w:rPr>
        <w:t>, אנן לא קפדינן מידי.</w:t>
      </w:r>
    </w:p>
    <w:p w14:paraId="0347DEEE"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7401372" w14:textId="77777777" w:rsidR="004B2E7C" w:rsidRDefault="004B2E7C" w:rsidP="00434A6A">
      <w:pPr>
        <w:rPr>
          <w:rFonts w:asciiTheme="minorBidi" w:hAnsiTheme="minorBidi"/>
          <w:rtl/>
        </w:rPr>
      </w:pPr>
      <w:r>
        <w:rPr>
          <w:rFonts w:asciiTheme="minorBidi" w:hAnsiTheme="minorBidi"/>
          <w:rtl/>
        </w:rPr>
        <w:t>המנער טלית חדשה</w:t>
      </w:r>
      <w:r>
        <w:rPr>
          <w:rStyle w:val="a9"/>
          <w:rFonts w:asciiTheme="minorBidi" w:hAnsiTheme="minorBidi"/>
          <w:rtl/>
        </w:rPr>
        <w:footnoteReference w:id="1093"/>
      </w:r>
      <w:r>
        <w:rPr>
          <w:rFonts w:asciiTheme="minorBidi" w:hAnsiTheme="minorBidi"/>
          <w:rtl/>
        </w:rPr>
        <w:t xml:space="preserve"> שחורה מן הטל שעליה חייב שהניעור יפה לה כמו כיבוס. והוא שמקפיד עליה שלא ללבשו בלא ניעור. </w:t>
      </w:r>
      <w:r>
        <w:rPr>
          <w:rFonts w:asciiTheme="minorBidi" w:hAnsiTheme="minorBidi"/>
          <w:sz w:val="18"/>
          <w:szCs w:val="18"/>
          <w:rtl/>
        </w:rPr>
        <w:t>הגה: וכ"ש שאסור לנער בגד שנשר במים או שירדו עליו גשמים</w:t>
      </w:r>
      <w:r>
        <w:rPr>
          <w:rStyle w:val="a9"/>
          <w:rFonts w:asciiTheme="minorBidi" w:hAnsiTheme="minorBidi"/>
          <w:sz w:val="18"/>
          <w:szCs w:val="18"/>
          <w:rtl/>
        </w:rPr>
        <w:footnoteReference w:id="1094"/>
      </w:r>
      <w:r>
        <w:rPr>
          <w:rFonts w:asciiTheme="minorBidi" w:hAnsiTheme="minorBidi"/>
          <w:sz w:val="18"/>
          <w:szCs w:val="18"/>
          <w:rtl/>
        </w:rPr>
        <w:t>. ודוקא בבגד חדש שמקפיד עליו</w:t>
      </w:r>
      <w:r>
        <w:rPr>
          <w:rStyle w:val="a9"/>
          <w:rFonts w:asciiTheme="minorBidi" w:hAnsiTheme="minorBidi"/>
          <w:sz w:val="18"/>
          <w:szCs w:val="18"/>
          <w:rtl/>
        </w:rPr>
        <w:footnoteReference w:id="1095"/>
      </w:r>
      <w:r>
        <w:rPr>
          <w:rFonts w:asciiTheme="minorBidi" w:hAnsiTheme="minorBidi"/>
          <w:sz w:val="18"/>
          <w:szCs w:val="18"/>
          <w:rtl/>
        </w:rPr>
        <w:t>, (כל בו). י"א דאסור לנער בגד מן האבק שעליו, אם מקפיד עליו, וטוב לחוש לדבריו</w:t>
      </w:r>
      <w:r>
        <w:rPr>
          <w:rStyle w:val="a9"/>
          <w:rFonts w:asciiTheme="minorBidi" w:hAnsiTheme="minorBidi"/>
          <w:sz w:val="18"/>
          <w:szCs w:val="18"/>
          <w:rtl/>
        </w:rPr>
        <w:footnoteReference w:id="1096"/>
      </w:r>
      <w:r>
        <w:rPr>
          <w:rFonts w:asciiTheme="minorBidi" w:hAnsiTheme="minorBidi"/>
          <w:sz w:val="18"/>
          <w:szCs w:val="18"/>
          <w:rtl/>
        </w:rPr>
        <w:t xml:space="preserve"> (רש"י ואו"ז). אבל מותר להסיר הנוצות מן הבגד בשבת (או"ז). וע"ל סימן של"ז. </w:t>
      </w:r>
    </w:p>
    <w:p w14:paraId="04FF8AAF" w14:textId="77777777" w:rsidR="004B2E7C" w:rsidRDefault="004B2E7C" w:rsidP="00434A6A">
      <w:pPr>
        <w:rPr>
          <w:rFonts w:asciiTheme="minorBidi" w:hAnsiTheme="minorBidi"/>
          <w:rtl/>
        </w:rPr>
      </w:pPr>
    </w:p>
    <w:p w14:paraId="5A7821A2" w14:textId="77777777" w:rsidR="004B2E7C" w:rsidRDefault="004B2E7C" w:rsidP="00434A6A">
      <w:pPr>
        <w:pStyle w:val="2"/>
        <w:rPr>
          <w:rFonts w:asciiTheme="minorBidi" w:hAnsiTheme="minorBidi" w:cstheme="minorBidi"/>
          <w:rtl/>
        </w:rPr>
      </w:pPr>
      <w:r>
        <w:rPr>
          <w:rFonts w:asciiTheme="minorBidi" w:hAnsiTheme="minorBidi" w:cstheme="minorBidi"/>
          <w:rtl/>
        </w:rPr>
        <w:t>סעיף ב: ליקוט יבולות וקסמין שע"ג הבגדים.</w:t>
      </w:r>
    </w:p>
    <w:p w14:paraId="4DAF1752" w14:textId="77777777" w:rsidR="004B2E7C" w:rsidRDefault="004B2E7C" w:rsidP="00434A6A">
      <w:pPr>
        <w:rPr>
          <w:rFonts w:asciiTheme="minorBidi" w:hAnsiTheme="minorBidi"/>
          <w:rtl/>
        </w:rPr>
      </w:pPr>
      <w:r>
        <w:rPr>
          <w:rFonts w:asciiTheme="minorBidi" w:hAnsiTheme="minorBidi"/>
          <w:b/>
          <w:bCs/>
          <w:rtl/>
        </w:rPr>
        <w:t xml:space="preserve">שבת עה ע"ב: </w:t>
      </w:r>
      <w:r>
        <w:rPr>
          <w:rFonts w:asciiTheme="minorBidi" w:hAnsiTheme="minorBidi"/>
          <w:u w:val="single"/>
          <w:rtl/>
        </w:rPr>
        <w:t>אמר רבי יהודה</w:t>
      </w:r>
      <w:r>
        <w:rPr>
          <w:rFonts w:asciiTheme="minorBidi" w:hAnsiTheme="minorBidi"/>
          <w:rtl/>
        </w:rPr>
        <w:t>: האי מאן דשקיל אקופי</w:t>
      </w:r>
      <w:r>
        <w:rPr>
          <w:rStyle w:val="a9"/>
          <w:rFonts w:asciiTheme="minorBidi" w:hAnsiTheme="minorBidi"/>
          <w:rtl/>
        </w:rPr>
        <w:footnoteReference w:id="1097"/>
      </w:r>
      <w:r>
        <w:rPr>
          <w:rFonts w:asciiTheme="minorBidi" w:hAnsiTheme="minorBidi"/>
          <w:rtl/>
        </w:rPr>
        <w:t xml:space="preserve"> מגלימי חייב משום מכה בפטיש, והני מילי דקפיד עלייהו.</w:t>
      </w:r>
    </w:p>
    <w:p w14:paraId="511E8BF7"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BEC6125" w14:textId="77777777" w:rsidR="004B2E7C" w:rsidRDefault="004B2E7C" w:rsidP="00434A6A">
      <w:pPr>
        <w:rPr>
          <w:rFonts w:asciiTheme="minorBidi" w:hAnsiTheme="minorBidi"/>
          <w:rtl/>
        </w:rPr>
      </w:pPr>
      <w:r>
        <w:rPr>
          <w:rFonts w:asciiTheme="minorBidi" w:hAnsiTheme="minorBidi"/>
          <w:rtl/>
        </w:rPr>
        <w:t>הלוקט יבולות שעל גבי בגדים כגון אלו היבולות שבכלי הצמר הנשארים בהם מן האריגה</w:t>
      </w:r>
      <w:r>
        <w:rPr>
          <w:rStyle w:val="a9"/>
          <w:rFonts w:asciiTheme="minorBidi" w:hAnsiTheme="minorBidi"/>
          <w:rtl/>
        </w:rPr>
        <w:footnoteReference w:id="1098"/>
      </w:r>
      <w:r>
        <w:rPr>
          <w:rFonts w:asciiTheme="minorBidi" w:hAnsiTheme="minorBidi"/>
          <w:rtl/>
        </w:rPr>
        <w:t xml:space="preserve"> חייב משום מכה בפטיש. והוא שיקפיד עליהם</w:t>
      </w:r>
      <w:r>
        <w:rPr>
          <w:rStyle w:val="a9"/>
          <w:rFonts w:asciiTheme="minorBidi" w:hAnsiTheme="minorBidi"/>
          <w:rtl/>
        </w:rPr>
        <w:footnoteReference w:id="1099"/>
      </w:r>
      <w:r>
        <w:rPr>
          <w:rFonts w:asciiTheme="minorBidi" w:hAnsiTheme="minorBidi"/>
          <w:rtl/>
        </w:rPr>
        <w:t xml:space="preserve">, אבל אם הסירם דרך עסק פטור. </w:t>
      </w:r>
    </w:p>
    <w:p w14:paraId="565776D2" w14:textId="77777777" w:rsidR="004B2E7C" w:rsidRDefault="004B2E7C" w:rsidP="00434A6A">
      <w:pPr>
        <w:rPr>
          <w:rFonts w:asciiTheme="minorBidi" w:hAnsiTheme="minorBidi"/>
          <w:rtl/>
        </w:rPr>
      </w:pPr>
      <w:r>
        <w:rPr>
          <w:rFonts w:asciiTheme="minorBidi" w:hAnsiTheme="minorBidi"/>
          <w:rtl/>
        </w:rPr>
        <w:t xml:space="preserve">- בה"ג </w:t>
      </w:r>
      <w:r>
        <w:rPr>
          <w:rFonts w:asciiTheme="minorBidi" w:hAnsiTheme="minorBidi"/>
          <w:sz w:val="16"/>
          <w:szCs w:val="16"/>
          <w:rtl/>
        </w:rPr>
        <w:t>(הובא במג"א סק"ה)</w:t>
      </w:r>
      <w:r>
        <w:rPr>
          <w:rFonts w:asciiTheme="minorBidi" w:hAnsiTheme="minorBidi"/>
          <w:rtl/>
        </w:rPr>
        <w:t xml:space="preserve">, ישב לו זרע פשתן או תבשיל על כסותו מותר לקלפו. </w:t>
      </w:r>
    </w:p>
    <w:p w14:paraId="747640D6" w14:textId="77777777" w:rsidR="004B2E7C" w:rsidRDefault="004B2E7C" w:rsidP="00434A6A">
      <w:pPr>
        <w:rPr>
          <w:rFonts w:asciiTheme="minorBidi" w:hAnsiTheme="minorBidi"/>
          <w:rtl/>
        </w:rPr>
      </w:pPr>
    </w:p>
    <w:p w14:paraId="77A236D1" w14:textId="77777777" w:rsidR="004B2E7C" w:rsidRDefault="004B2E7C" w:rsidP="00434A6A">
      <w:pPr>
        <w:pStyle w:val="2"/>
        <w:rPr>
          <w:rFonts w:asciiTheme="minorBidi" w:hAnsiTheme="minorBidi" w:cstheme="minorBidi"/>
          <w:rtl/>
        </w:rPr>
      </w:pPr>
      <w:r>
        <w:rPr>
          <w:rFonts w:asciiTheme="minorBidi" w:hAnsiTheme="minorBidi" w:cstheme="minorBidi"/>
          <w:rtl/>
        </w:rPr>
        <w:t>סעיף ג: קיפול בגדים.</w:t>
      </w:r>
    </w:p>
    <w:p w14:paraId="251DF17B" w14:textId="77777777" w:rsidR="004B2E7C" w:rsidRDefault="004B2E7C" w:rsidP="00434A6A">
      <w:pPr>
        <w:rPr>
          <w:rFonts w:asciiTheme="minorBidi" w:hAnsiTheme="minorBidi"/>
          <w:rtl/>
        </w:rPr>
      </w:pPr>
      <w:r>
        <w:rPr>
          <w:rFonts w:asciiTheme="minorBidi" w:hAnsiTheme="minorBidi"/>
          <w:b/>
          <w:bCs/>
          <w:rtl/>
        </w:rPr>
        <w:t xml:space="preserve">שבת קיג ע"ב: </w:t>
      </w:r>
      <w:r>
        <w:rPr>
          <w:rFonts w:asciiTheme="minorBidi" w:hAnsiTheme="minorBidi"/>
          <w:u w:val="double"/>
          <w:rtl/>
        </w:rPr>
        <w:t>משנה</w:t>
      </w:r>
      <w:r>
        <w:rPr>
          <w:rFonts w:asciiTheme="minorBidi" w:hAnsiTheme="minorBidi"/>
          <w:rtl/>
        </w:rPr>
        <w:t>: מקפלין את הכלים</w:t>
      </w:r>
      <w:r>
        <w:rPr>
          <w:rStyle w:val="a9"/>
          <w:rFonts w:asciiTheme="minorBidi" w:hAnsiTheme="minorBidi"/>
          <w:rtl/>
        </w:rPr>
        <w:footnoteReference w:id="1100"/>
      </w:r>
      <w:r>
        <w:rPr>
          <w:rFonts w:asciiTheme="minorBidi" w:hAnsiTheme="minorBidi"/>
          <w:rtl/>
        </w:rPr>
        <w:t xml:space="preserve"> אפילו ארבעה וחמשה פעמים</w:t>
      </w:r>
      <w:r>
        <w:rPr>
          <w:rStyle w:val="a9"/>
          <w:rFonts w:asciiTheme="minorBidi" w:hAnsiTheme="minorBidi"/>
          <w:rtl/>
        </w:rPr>
        <w:footnoteReference w:id="1101"/>
      </w:r>
      <w:r>
        <w:rPr>
          <w:rFonts w:asciiTheme="minorBidi" w:hAnsiTheme="minorBidi"/>
          <w:rtl/>
        </w:rPr>
        <w:t xml:space="preserve">....  </w:t>
      </w:r>
      <w:r>
        <w:rPr>
          <w:rFonts w:asciiTheme="minorBidi" w:hAnsiTheme="minorBidi"/>
          <w:u w:val="single"/>
          <w:rtl/>
        </w:rPr>
        <w:t>רבי ישמעאל אומר</w:t>
      </w:r>
      <w:r>
        <w:rPr>
          <w:rFonts w:asciiTheme="minorBidi" w:hAnsiTheme="minorBidi"/>
          <w:rtl/>
        </w:rPr>
        <w:t xml:space="preserve">: מקפלין את הכלים....         </w:t>
      </w:r>
      <w:r>
        <w:rPr>
          <w:rFonts w:asciiTheme="minorBidi" w:hAnsiTheme="minorBidi"/>
          <w:u w:val="double"/>
          <w:rtl/>
        </w:rPr>
        <w:t>גמ':</w:t>
      </w:r>
      <w:r>
        <w:rPr>
          <w:rFonts w:asciiTheme="minorBidi" w:hAnsiTheme="minorBidi"/>
          <w:rtl/>
        </w:rPr>
        <w:t xml:space="preserve"> אמרי דבי רבי ינאי: לא שנו אלא באדם אחד, אבל בשני בני אדם</w:t>
      </w:r>
      <w:r>
        <w:rPr>
          <w:rStyle w:val="a9"/>
          <w:rFonts w:asciiTheme="minorBidi" w:hAnsiTheme="minorBidi"/>
          <w:rtl/>
        </w:rPr>
        <w:footnoteReference w:id="1102"/>
      </w:r>
      <w:r>
        <w:rPr>
          <w:rFonts w:asciiTheme="minorBidi" w:hAnsiTheme="minorBidi"/>
          <w:rtl/>
        </w:rPr>
        <w:t xml:space="preserve"> - לא, ובאדם אחד נמי - לא אמרן אלא בחדשים, אבל בישנים</w:t>
      </w:r>
      <w:r>
        <w:rPr>
          <w:rStyle w:val="a9"/>
          <w:rFonts w:asciiTheme="minorBidi" w:hAnsiTheme="minorBidi"/>
          <w:rtl/>
        </w:rPr>
        <w:footnoteReference w:id="1103"/>
      </w:r>
      <w:r>
        <w:rPr>
          <w:rFonts w:asciiTheme="minorBidi" w:hAnsiTheme="minorBidi"/>
          <w:rtl/>
        </w:rPr>
        <w:t xml:space="preserve"> - לא. וחדשים נמי לא אמרן אלא בלבנים, אבל בצבועים</w:t>
      </w:r>
      <w:r>
        <w:rPr>
          <w:rStyle w:val="a9"/>
          <w:rFonts w:asciiTheme="minorBidi" w:hAnsiTheme="minorBidi"/>
          <w:rtl/>
        </w:rPr>
        <w:footnoteReference w:id="1104"/>
      </w:r>
      <w:r>
        <w:rPr>
          <w:rFonts w:asciiTheme="minorBidi" w:hAnsiTheme="minorBidi"/>
          <w:rtl/>
        </w:rPr>
        <w:t xml:space="preserve"> - לא. ולא אמרן אלא שאין לו להחליף, אבל יש לו להחליף - לא. </w:t>
      </w:r>
    </w:p>
    <w:p w14:paraId="6BAB0B3D"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BDB1128" w14:textId="77777777" w:rsidR="004B2E7C" w:rsidRDefault="004B2E7C" w:rsidP="00434A6A">
      <w:pPr>
        <w:rPr>
          <w:rFonts w:asciiTheme="minorBidi" w:hAnsiTheme="minorBidi"/>
          <w:rtl/>
        </w:rPr>
      </w:pPr>
      <w:r>
        <w:rPr>
          <w:rFonts w:asciiTheme="minorBidi" w:hAnsiTheme="minorBidi"/>
          <w:rtl/>
        </w:rPr>
        <w:t>מקפלים כלים בשבת לצורך שבת ללבשם בו ביום. ודוקא באדם [אחד</w:t>
      </w:r>
      <w:r>
        <w:rPr>
          <w:rStyle w:val="a9"/>
          <w:rFonts w:asciiTheme="minorBidi" w:hAnsiTheme="minorBidi"/>
          <w:rtl/>
        </w:rPr>
        <w:footnoteReference w:id="1105"/>
      </w:r>
      <w:r>
        <w:rPr>
          <w:rFonts w:asciiTheme="minorBidi" w:hAnsiTheme="minorBidi"/>
          <w:rtl/>
        </w:rPr>
        <w:t xml:space="preserve">], ובחדשים שעדיין לא נתכבסו, ולבנים, ואין לו להחליף; ואם חסר אחד מאלו התנאים אסור. ויש מי שאומר דלקפלו שלא כסדר קיפולו הראשון מותר בכל ענין, ונראין דבריו. </w:t>
      </w:r>
    </w:p>
    <w:p w14:paraId="02587BD7" w14:textId="77777777" w:rsidR="004B2E7C" w:rsidRDefault="004B2E7C" w:rsidP="00434A6A">
      <w:pPr>
        <w:rPr>
          <w:rFonts w:asciiTheme="minorBidi" w:hAnsiTheme="minorBidi"/>
          <w:rtl/>
        </w:rPr>
      </w:pPr>
    </w:p>
    <w:p w14:paraId="1793A6CC" w14:textId="77777777" w:rsidR="004B2E7C" w:rsidRDefault="004B2E7C" w:rsidP="00434A6A">
      <w:pPr>
        <w:pStyle w:val="2"/>
        <w:rPr>
          <w:rFonts w:asciiTheme="minorBidi" w:hAnsiTheme="minorBidi" w:cstheme="minorBidi"/>
          <w:rtl/>
        </w:rPr>
      </w:pPr>
      <w:r>
        <w:rPr>
          <w:rFonts w:asciiTheme="minorBidi" w:hAnsiTheme="minorBidi" w:cstheme="minorBidi"/>
          <w:rtl/>
        </w:rPr>
        <w:t>סעיף ד: נטילת הבגדים מן המכבש.</w:t>
      </w:r>
    </w:p>
    <w:p w14:paraId="1672A2BA" w14:textId="77777777" w:rsidR="004B2E7C" w:rsidRDefault="004B2E7C" w:rsidP="00434A6A">
      <w:pPr>
        <w:rPr>
          <w:rFonts w:asciiTheme="minorBidi" w:hAnsiTheme="minorBidi"/>
          <w:rtl/>
        </w:rPr>
      </w:pPr>
      <w:r>
        <w:rPr>
          <w:rFonts w:asciiTheme="minorBidi" w:hAnsiTheme="minorBidi"/>
          <w:b/>
          <w:bCs/>
          <w:rtl/>
        </w:rPr>
        <w:t xml:space="preserve">שבת קמא ע"א: </w:t>
      </w:r>
      <w:r>
        <w:rPr>
          <w:rFonts w:asciiTheme="minorBidi" w:hAnsiTheme="minorBidi"/>
          <w:u w:val="double"/>
          <w:rtl/>
        </w:rPr>
        <w:t>משנה:</w:t>
      </w:r>
      <w:r>
        <w:rPr>
          <w:rFonts w:asciiTheme="minorBidi" w:hAnsiTheme="minorBidi"/>
          <w:rtl/>
        </w:rPr>
        <w:t xml:space="preserve"> הקש.... מכבש</w:t>
      </w:r>
      <w:r>
        <w:rPr>
          <w:rStyle w:val="a9"/>
          <w:rFonts w:asciiTheme="minorBidi" w:hAnsiTheme="minorBidi"/>
          <w:rtl/>
        </w:rPr>
        <w:footnoteReference w:id="1106"/>
      </w:r>
      <w:r>
        <w:rPr>
          <w:rFonts w:asciiTheme="minorBidi" w:hAnsiTheme="minorBidi"/>
          <w:rtl/>
        </w:rPr>
        <w:t xml:space="preserve"> של בעלי בתים - מתירין</w:t>
      </w:r>
      <w:r>
        <w:rPr>
          <w:rStyle w:val="a9"/>
          <w:rFonts w:asciiTheme="minorBidi" w:hAnsiTheme="minorBidi"/>
          <w:rtl/>
        </w:rPr>
        <w:footnoteReference w:id="1107"/>
      </w:r>
      <w:r>
        <w:rPr>
          <w:rFonts w:asciiTheme="minorBidi" w:hAnsiTheme="minorBidi"/>
          <w:rtl/>
        </w:rPr>
        <w:t>, אבל לא כובשין</w:t>
      </w:r>
      <w:r>
        <w:rPr>
          <w:rStyle w:val="a9"/>
          <w:rFonts w:asciiTheme="minorBidi" w:hAnsiTheme="minorBidi"/>
          <w:rtl/>
        </w:rPr>
        <w:footnoteReference w:id="1108"/>
      </w:r>
      <w:r>
        <w:rPr>
          <w:rFonts w:asciiTheme="minorBidi" w:hAnsiTheme="minorBidi"/>
          <w:rtl/>
        </w:rPr>
        <w:t>. ושל כובסין - לא יגע בו</w:t>
      </w:r>
      <w:r>
        <w:rPr>
          <w:rStyle w:val="a9"/>
          <w:rFonts w:asciiTheme="minorBidi" w:hAnsiTheme="minorBidi"/>
          <w:rtl/>
        </w:rPr>
        <w:footnoteReference w:id="1109"/>
      </w:r>
      <w:r>
        <w:rPr>
          <w:rFonts w:asciiTheme="minorBidi" w:hAnsiTheme="minorBidi"/>
          <w:rtl/>
        </w:rPr>
        <w:t xml:space="preserve">. </w:t>
      </w:r>
      <w:r>
        <w:rPr>
          <w:rFonts w:asciiTheme="minorBidi" w:hAnsiTheme="minorBidi"/>
          <w:u w:val="single"/>
          <w:rtl/>
        </w:rPr>
        <w:t>רבי יהודה אומר</w:t>
      </w:r>
      <w:r>
        <w:rPr>
          <w:rFonts w:asciiTheme="minorBidi" w:hAnsiTheme="minorBidi"/>
          <w:rtl/>
        </w:rPr>
        <w:t>: אם היה מותר מערב שבת - מתיר את כולו ושומטו</w:t>
      </w:r>
      <w:r>
        <w:rPr>
          <w:rStyle w:val="a9"/>
          <w:rFonts w:asciiTheme="minorBidi" w:hAnsiTheme="minorBidi"/>
          <w:rtl/>
        </w:rPr>
        <w:footnoteReference w:id="1110"/>
      </w:r>
      <w:r>
        <w:rPr>
          <w:rFonts w:asciiTheme="minorBidi" w:hAnsiTheme="minorBidi"/>
          <w:rtl/>
        </w:rPr>
        <w:t>.</w:t>
      </w:r>
    </w:p>
    <w:p w14:paraId="0A6E44F3" w14:textId="77777777" w:rsidR="004B2E7C" w:rsidRDefault="004B2E7C" w:rsidP="00434A6A">
      <w:pPr>
        <w:rPr>
          <w:rFonts w:asciiTheme="minorBidi" w:hAnsiTheme="minorBidi"/>
        </w:rPr>
      </w:pPr>
      <w:r>
        <w:rPr>
          <w:rFonts w:asciiTheme="minorBidi" w:hAnsiTheme="minorBidi"/>
          <w:b/>
          <w:bCs/>
          <w:sz w:val="32"/>
          <w:szCs w:val="28"/>
          <w:u w:val="single"/>
          <w:rtl/>
        </w:rPr>
        <w:t xml:space="preserve">שו"ע: </w:t>
      </w:r>
    </w:p>
    <w:p w14:paraId="4357D041" w14:textId="77777777" w:rsidR="004B2E7C" w:rsidRDefault="004B2E7C" w:rsidP="00434A6A">
      <w:pPr>
        <w:rPr>
          <w:rFonts w:asciiTheme="minorBidi" w:hAnsiTheme="minorBidi"/>
          <w:rtl/>
        </w:rPr>
      </w:pPr>
      <w:r>
        <w:rPr>
          <w:rFonts w:asciiTheme="minorBidi" w:hAnsiTheme="minorBidi"/>
          <w:rtl/>
        </w:rPr>
        <w:t xml:space="preserve">מכבש </w:t>
      </w:r>
      <w:r>
        <w:rPr>
          <w:rFonts w:asciiTheme="minorBidi" w:hAnsiTheme="minorBidi"/>
          <w:sz w:val="16"/>
          <w:szCs w:val="16"/>
          <w:rtl/>
        </w:rPr>
        <w:t>(הוא כלי שכובשין בו בגדים אחר הכביסה, והם שתי לוחות זה על זה והבגדים ביניהם)</w:t>
      </w:r>
      <w:r>
        <w:rPr>
          <w:rFonts w:asciiTheme="minorBidi" w:hAnsiTheme="minorBidi"/>
          <w:rtl/>
        </w:rPr>
        <w:t>, של בעל הבית מתירין אותו ליטול ממנו בגדים לצורך השבת; ושל אומן אסור מפני שהוא תחוב בחזקה והתרתו דומה לסתירה</w:t>
      </w:r>
      <w:r>
        <w:rPr>
          <w:rStyle w:val="a9"/>
          <w:rFonts w:asciiTheme="minorBidi" w:hAnsiTheme="minorBidi"/>
          <w:rtl/>
        </w:rPr>
        <w:footnoteReference w:id="1111"/>
      </w:r>
      <w:r>
        <w:rPr>
          <w:rFonts w:asciiTheme="minorBidi" w:hAnsiTheme="minorBidi"/>
          <w:rtl/>
        </w:rPr>
        <w:t xml:space="preserve">. </w:t>
      </w:r>
    </w:p>
    <w:p w14:paraId="32227499" w14:textId="77777777" w:rsidR="004B2E7C" w:rsidRDefault="004B2E7C" w:rsidP="00434A6A">
      <w:pPr>
        <w:rPr>
          <w:rFonts w:asciiTheme="minorBidi" w:hAnsiTheme="minorBidi"/>
          <w:rtl/>
        </w:rPr>
      </w:pPr>
    </w:p>
    <w:p w14:paraId="6EDFD850" w14:textId="77777777" w:rsidR="004B2E7C" w:rsidRDefault="004B2E7C" w:rsidP="00434A6A">
      <w:pPr>
        <w:pStyle w:val="2"/>
        <w:rPr>
          <w:rFonts w:asciiTheme="minorBidi" w:hAnsiTheme="minorBidi" w:cstheme="minorBidi"/>
          <w:rtl/>
        </w:rPr>
      </w:pPr>
      <w:r>
        <w:rPr>
          <w:rFonts w:asciiTheme="minorBidi" w:hAnsiTheme="minorBidi" w:cstheme="minorBidi"/>
          <w:rtl/>
        </w:rPr>
        <w:t>סעיף ה: שפשוף בגדים על מנת לרככם.</w:t>
      </w:r>
    </w:p>
    <w:p w14:paraId="1C7A60E3" w14:textId="77777777" w:rsidR="004B2E7C" w:rsidRDefault="004B2E7C" w:rsidP="00434A6A">
      <w:pPr>
        <w:rPr>
          <w:rFonts w:asciiTheme="minorBidi" w:hAnsiTheme="minorBidi"/>
          <w:rtl/>
        </w:rPr>
      </w:pPr>
      <w:r>
        <w:rPr>
          <w:rFonts w:asciiTheme="minorBidi" w:hAnsiTheme="minorBidi"/>
          <w:b/>
          <w:bCs/>
          <w:rtl/>
        </w:rPr>
        <w:t xml:space="preserve">שבת קמ ע"א: </w:t>
      </w:r>
      <w:r>
        <w:rPr>
          <w:rFonts w:asciiTheme="minorBidi" w:hAnsiTheme="minorBidi"/>
          <w:rtl/>
        </w:rPr>
        <w:t>מהו לכסכוסי כיתניתא</w:t>
      </w:r>
      <w:r>
        <w:rPr>
          <w:rStyle w:val="a9"/>
          <w:rFonts w:asciiTheme="minorBidi" w:hAnsiTheme="minorBidi"/>
          <w:rtl/>
        </w:rPr>
        <w:footnoteReference w:id="1112"/>
      </w:r>
      <w:r>
        <w:rPr>
          <w:rFonts w:asciiTheme="minorBidi" w:hAnsiTheme="minorBidi"/>
          <w:rtl/>
        </w:rPr>
        <w:t xml:space="preserve"> בשבתא? לרכוכי כיתניתא קא מיכוין ושפיר דמי, או דילמא לאולודי חיורא</w:t>
      </w:r>
      <w:r>
        <w:rPr>
          <w:rStyle w:val="a9"/>
          <w:rFonts w:asciiTheme="minorBidi" w:hAnsiTheme="minorBidi"/>
          <w:rtl/>
        </w:rPr>
        <w:footnoteReference w:id="1113"/>
      </w:r>
      <w:r>
        <w:rPr>
          <w:rFonts w:asciiTheme="minorBidi" w:hAnsiTheme="minorBidi"/>
          <w:rtl/>
        </w:rPr>
        <w:t xml:space="preserve"> קמיכוין ואסיר? אמר ליה: לרכוכי קא מיכוין ושפיר דמי, כי נפק אתא, אמר ליה: מאי בעא מר מיניה? אמר ליה: בעי מיניה מהו לכסכוסי כיתניתא בשבתא, ואמר לי שפיר דמי. ותבעי ליה למר סודרא? סודרא לא קא מיבעיא לי, דבעי מרב הונא ופשיט לי. ותיפשיט ליה למר מסודרא! אמר ליה התם מיחזי כי אולודי חיורא</w:t>
      </w:r>
      <w:r>
        <w:rPr>
          <w:rStyle w:val="a9"/>
          <w:rFonts w:asciiTheme="minorBidi" w:hAnsiTheme="minorBidi"/>
          <w:rtl/>
        </w:rPr>
        <w:footnoteReference w:id="1114"/>
      </w:r>
      <w:r>
        <w:rPr>
          <w:rFonts w:asciiTheme="minorBidi" w:hAnsiTheme="minorBidi"/>
          <w:rtl/>
        </w:rPr>
        <w:t xml:space="preserve"> הכא לא מיחזי כאולודי חיורא. </w:t>
      </w:r>
    </w:p>
    <w:p w14:paraId="4863E30D"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B0A35C7" w14:textId="77777777" w:rsidR="004B2E7C" w:rsidRDefault="004B2E7C" w:rsidP="00434A6A">
      <w:pPr>
        <w:rPr>
          <w:rFonts w:asciiTheme="minorBidi" w:hAnsiTheme="minorBidi"/>
          <w:rtl/>
        </w:rPr>
      </w:pPr>
      <w:r>
        <w:rPr>
          <w:rFonts w:asciiTheme="minorBidi" w:hAnsiTheme="minorBidi"/>
          <w:rtl/>
        </w:rPr>
        <w:t xml:space="preserve">חלוק לאחר כביסה הוא מתקשה ומשפשפים אותו בידים </w:t>
      </w:r>
      <w:r>
        <w:rPr>
          <w:rFonts w:asciiTheme="minorBidi" w:hAnsiTheme="minorBidi"/>
          <w:sz w:val="18"/>
          <w:szCs w:val="18"/>
          <w:rtl/>
        </w:rPr>
        <w:t>(לרככו)</w:t>
      </w:r>
      <w:r>
        <w:rPr>
          <w:rFonts w:asciiTheme="minorBidi" w:hAnsiTheme="minorBidi"/>
          <w:rtl/>
        </w:rPr>
        <w:t xml:space="preserve">, מותר לעשותו בשבת שאינו מתכוין אלא לרככו. אבל סודר אסור, מפני שמתכוין לצחצחו והוי כמלבן. </w:t>
      </w:r>
      <w:r>
        <w:rPr>
          <w:rFonts w:asciiTheme="minorBidi" w:hAnsiTheme="minorBidi"/>
          <w:sz w:val="18"/>
          <w:szCs w:val="18"/>
          <w:rtl/>
        </w:rPr>
        <w:t>הגה: וכובעים ושאר כלי פשתן דינן כסודר (ב"י</w:t>
      </w:r>
      <w:r>
        <w:rPr>
          <w:rStyle w:val="a9"/>
          <w:rFonts w:asciiTheme="minorBidi" w:hAnsiTheme="minorBidi"/>
          <w:sz w:val="18"/>
          <w:szCs w:val="18"/>
          <w:rtl/>
        </w:rPr>
        <w:footnoteReference w:id="1115"/>
      </w:r>
      <w:r>
        <w:rPr>
          <w:rFonts w:asciiTheme="minorBidi" w:hAnsiTheme="minorBidi"/>
          <w:sz w:val="18"/>
          <w:szCs w:val="18"/>
          <w:rtl/>
        </w:rPr>
        <w:t xml:space="preserve"> בשם שבה"ל סי' קט). </w:t>
      </w:r>
    </w:p>
    <w:p w14:paraId="11BDD4C9" w14:textId="77777777" w:rsidR="004B2E7C" w:rsidRDefault="004B2E7C" w:rsidP="00434A6A">
      <w:pPr>
        <w:rPr>
          <w:rFonts w:asciiTheme="minorBidi" w:hAnsiTheme="minorBidi"/>
          <w:rtl/>
        </w:rPr>
      </w:pPr>
    </w:p>
    <w:p w14:paraId="3A98CD0E" w14:textId="77777777" w:rsidR="004B2E7C" w:rsidRDefault="004B2E7C" w:rsidP="00434A6A">
      <w:pPr>
        <w:pStyle w:val="2"/>
        <w:rPr>
          <w:rFonts w:asciiTheme="minorBidi" w:hAnsiTheme="minorBidi" w:cstheme="minorBidi"/>
          <w:rtl/>
        </w:rPr>
      </w:pPr>
      <w:r>
        <w:rPr>
          <w:rFonts w:asciiTheme="minorBidi" w:hAnsiTheme="minorBidi" w:cstheme="minorBidi"/>
          <w:rtl/>
        </w:rPr>
        <w:t>סעיף ו: הסרת טיט שעל רגלו.</w:t>
      </w:r>
    </w:p>
    <w:p w14:paraId="12FF681B" w14:textId="77777777" w:rsidR="004B2E7C" w:rsidRDefault="004B2E7C" w:rsidP="00434A6A">
      <w:pPr>
        <w:rPr>
          <w:rFonts w:asciiTheme="minorBidi" w:hAnsiTheme="minorBidi"/>
          <w:rtl/>
        </w:rPr>
      </w:pPr>
      <w:r>
        <w:rPr>
          <w:rFonts w:asciiTheme="minorBidi" w:hAnsiTheme="minorBidi"/>
          <w:b/>
          <w:bCs/>
          <w:rtl/>
        </w:rPr>
        <w:t xml:space="preserve">שבת קמא ע"א: </w:t>
      </w:r>
      <w:r>
        <w:rPr>
          <w:rFonts w:asciiTheme="minorBidi" w:hAnsiTheme="minorBidi"/>
          <w:u w:val="single"/>
          <w:rtl/>
        </w:rPr>
        <w:t>אמר אביי ואיתימא רב יהודה:</w:t>
      </w:r>
      <w:r>
        <w:rPr>
          <w:rFonts w:asciiTheme="minorBidi" w:hAnsiTheme="minorBidi"/>
          <w:rtl/>
        </w:rPr>
        <w:t xml:space="preserve"> טיט שעל גבי רגלו - מקנחו בקרקע, ואין מקנחו בכותל. </w:t>
      </w:r>
      <w:r>
        <w:rPr>
          <w:rFonts w:asciiTheme="minorBidi" w:hAnsiTheme="minorBidi"/>
          <w:u w:val="single"/>
          <w:rtl/>
        </w:rPr>
        <w:t>אמר רבא:</w:t>
      </w:r>
      <w:r>
        <w:rPr>
          <w:rFonts w:asciiTheme="minorBidi" w:hAnsiTheme="minorBidi"/>
          <w:rtl/>
        </w:rPr>
        <w:t xml:space="preserve"> מאי טעמא בכותל לא - משום דמיחזי כבונה, הא בנין חקלאה הוא</w:t>
      </w:r>
      <w:r>
        <w:rPr>
          <w:rStyle w:val="a9"/>
          <w:rFonts w:asciiTheme="minorBidi" w:hAnsiTheme="minorBidi"/>
          <w:rtl/>
        </w:rPr>
        <w:footnoteReference w:id="1116"/>
      </w:r>
      <w:r>
        <w:rPr>
          <w:rFonts w:asciiTheme="minorBidi" w:hAnsiTheme="minorBidi"/>
          <w:rtl/>
        </w:rPr>
        <w:t xml:space="preserve">! </w:t>
      </w:r>
      <w:r>
        <w:rPr>
          <w:rFonts w:asciiTheme="minorBidi" w:hAnsiTheme="minorBidi"/>
          <w:u w:val="single"/>
          <w:rtl/>
        </w:rPr>
        <w:t>אלא אמר רבא</w:t>
      </w:r>
      <w:r>
        <w:rPr>
          <w:rFonts w:asciiTheme="minorBidi" w:hAnsiTheme="minorBidi"/>
          <w:rtl/>
        </w:rPr>
        <w:t xml:space="preserve">: מקנחו בכותל, ואין מקנחו בקרקע, דילמא אתי לאשוויי גומות. איתמר, </w:t>
      </w:r>
      <w:r>
        <w:rPr>
          <w:rFonts w:asciiTheme="minorBidi" w:hAnsiTheme="minorBidi"/>
          <w:u w:val="single"/>
          <w:rtl/>
        </w:rPr>
        <w:t>מר בריה דרבינא אמר</w:t>
      </w:r>
      <w:r>
        <w:rPr>
          <w:rFonts w:asciiTheme="minorBidi" w:hAnsiTheme="minorBidi"/>
          <w:rtl/>
        </w:rPr>
        <w:t>: אחד זה ואחד זה - אסור</w:t>
      </w:r>
      <w:r>
        <w:rPr>
          <w:rStyle w:val="a9"/>
          <w:rFonts w:asciiTheme="minorBidi" w:hAnsiTheme="minorBidi"/>
          <w:rtl/>
        </w:rPr>
        <w:footnoteReference w:id="1117"/>
      </w:r>
      <w:r>
        <w:rPr>
          <w:rFonts w:asciiTheme="minorBidi" w:hAnsiTheme="minorBidi"/>
          <w:rtl/>
        </w:rPr>
        <w:t xml:space="preserve">, </w:t>
      </w:r>
      <w:r>
        <w:rPr>
          <w:rFonts w:asciiTheme="minorBidi" w:hAnsiTheme="minorBidi"/>
          <w:u w:val="single"/>
          <w:rtl/>
        </w:rPr>
        <w:t>רב פפא אמר</w:t>
      </w:r>
      <w:r>
        <w:rPr>
          <w:rFonts w:asciiTheme="minorBidi" w:hAnsiTheme="minorBidi"/>
          <w:rtl/>
        </w:rPr>
        <w:t>: אחד זה ואחד זה - מותר</w:t>
      </w:r>
      <w:r>
        <w:rPr>
          <w:rStyle w:val="a9"/>
          <w:rFonts w:asciiTheme="minorBidi" w:hAnsiTheme="minorBidi"/>
          <w:rtl/>
        </w:rPr>
        <w:footnoteReference w:id="1118"/>
      </w:r>
      <w:r>
        <w:rPr>
          <w:rFonts w:asciiTheme="minorBidi" w:hAnsiTheme="minorBidi"/>
          <w:rtl/>
        </w:rPr>
        <w:t>. למר בריה דרבינא במאי מקנחי ליה? מקנחי ליה בקורה</w:t>
      </w:r>
      <w:r>
        <w:rPr>
          <w:rStyle w:val="a9"/>
          <w:rFonts w:asciiTheme="minorBidi" w:hAnsiTheme="minorBidi"/>
          <w:rtl/>
        </w:rPr>
        <w:footnoteReference w:id="1119"/>
      </w:r>
      <w:r>
        <w:rPr>
          <w:rFonts w:asciiTheme="minorBidi" w:hAnsiTheme="minorBidi"/>
          <w:rtl/>
        </w:rPr>
        <w:t>.</w:t>
      </w:r>
    </w:p>
    <w:p w14:paraId="29623F2D"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91E5D24" w14:textId="77777777" w:rsidR="004B2E7C" w:rsidRDefault="004B2E7C" w:rsidP="00434A6A">
      <w:pPr>
        <w:rPr>
          <w:rFonts w:asciiTheme="minorBidi" w:hAnsiTheme="minorBidi"/>
          <w:rtl/>
        </w:rPr>
      </w:pPr>
      <w:r>
        <w:rPr>
          <w:rFonts w:asciiTheme="minorBidi" w:hAnsiTheme="minorBidi"/>
          <w:rtl/>
        </w:rPr>
        <w:t>טיט שעל רגלו</w:t>
      </w:r>
      <w:r>
        <w:rPr>
          <w:rFonts w:asciiTheme="minorBidi" w:hAnsiTheme="minorBidi"/>
          <w:sz w:val="18"/>
          <w:szCs w:val="18"/>
          <w:rtl/>
        </w:rPr>
        <w:t xml:space="preserve"> הגה: או על מנעליו </w:t>
      </w:r>
      <w:r>
        <w:rPr>
          <w:rFonts w:asciiTheme="minorBidi" w:hAnsiTheme="minorBidi"/>
          <w:rtl/>
        </w:rPr>
        <w:t xml:space="preserve">מקנחו בכותל אבל לא בקרקע, דלמא אתי לאשוויי גומות. ויש מי שאוסר אף בכותל. </w:t>
      </w:r>
      <w:r>
        <w:rPr>
          <w:rFonts w:asciiTheme="minorBidi" w:hAnsiTheme="minorBidi"/>
          <w:sz w:val="18"/>
          <w:szCs w:val="18"/>
          <w:rtl/>
        </w:rPr>
        <w:t>הגה: ויש מי שמתיר בשניהם (הרא"ש).</w:t>
      </w:r>
      <w:r>
        <w:rPr>
          <w:rFonts w:asciiTheme="minorBidi" w:hAnsiTheme="minorBidi"/>
          <w:rtl/>
        </w:rPr>
        <w:t xml:space="preserve"> </w:t>
      </w:r>
      <w:r>
        <w:rPr>
          <w:rFonts w:asciiTheme="minorBidi" w:hAnsiTheme="minorBidi"/>
          <w:sz w:val="18"/>
          <w:szCs w:val="18"/>
          <w:rtl/>
        </w:rPr>
        <w:t>וה"ה דמותר להסירו במעט חרס הראוי לטלטל</w:t>
      </w:r>
      <w:r>
        <w:rPr>
          <w:rStyle w:val="a9"/>
          <w:rFonts w:asciiTheme="minorBidi" w:hAnsiTheme="minorBidi"/>
          <w:sz w:val="18"/>
          <w:szCs w:val="18"/>
          <w:rtl/>
        </w:rPr>
        <w:footnoteReference w:id="1120"/>
      </w:r>
      <w:r>
        <w:rPr>
          <w:rFonts w:asciiTheme="minorBidi" w:hAnsiTheme="minorBidi"/>
          <w:sz w:val="18"/>
          <w:szCs w:val="18"/>
          <w:rtl/>
        </w:rPr>
        <w:t xml:space="preserve"> (רי"ו). </w:t>
      </w:r>
    </w:p>
    <w:p w14:paraId="5CE805F8" w14:textId="77777777" w:rsidR="004B2E7C" w:rsidRDefault="004B2E7C" w:rsidP="00434A6A">
      <w:pPr>
        <w:rPr>
          <w:rFonts w:asciiTheme="minorBidi" w:hAnsiTheme="minorBidi"/>
          <w:rtl/>
        </w:rPr>
      </w:pPr>
    </w:p>
    <w:p w14:paraId="4C39D768" w14:textId="77777777" w:rsidR="004B2E7C" w:rsidRDefault="004B2E7C" w:rsidP="00434A6A">
      <w:pPr>
        <w:pStyle w:val="2"/>
        <w:rPr>
          <w:rFonts w:asciiTheme="minorBidi" w:hAnsiTheme="minorBidi" w:cstheme="minorBidi"/>
          <w:rtl/>
        </w:rPr>
      </w:pPr>
      <w:r>
        <w:rPr>
          <w:rFonts w:asciiTheme="minorBidi" w:hAnsiTheme="minorBidi" w:cstheme="minorBidi"/>
          <w:rtl/>
        </w:rPr>
        <w:t>סעיף ז: גירוד הטיט מן הבגד.</w:t>
      </w:r>
    </w:p>
    <w:p w14:paraId="6209823A" w14:textId="77777777" w:rsidR="004B2E7C" w:rsidRDefault="004B2E7C" w:rsidP="00434A6A">
      <w:pPr>
        <w:rPr>
          <w:rFonts w:asciiTheme="minorBidi" w:hAnsiTheme="minorBidi"/>
          <w:rtl/>
        </w:rPr>
      </w:pPr>
      <w:r>
        <w:rPr>
          <w:rFonts w:asciiTheme="minorBidi" w:hAnsiTheme="minorBidi"/>
          <w:b/>
          <w:bCs/>
          <w:rtl/>
        </w:rPr>
        <w:t xml:space="preserve">שבת קמא ע"א: </w:t>
      </w:r>
      <w:r>
        <w:rPr>
          <w:rFonts w:asciiTheme="minorBidi" w:hAnsiTheme="minorBidi"/>
          <w:u w:val="single"/>
          <w:rtl/>
        </w:rPr>
        <w:t>אמר רב כהנא</w:t>
      </w:r>
      <w:r>
        <w:rPr>
          <w:rFonts w:asciiTheme="minorBidi" w:hAnsiTheme="minorBidi"/>
          <w:rtl/>
        </w:rPr>
        <w:t>: טיט שעל גבי בגדו - מכסכסו</w:t>
      </w:r>
      <w:r>
        <w:rPr>
          <w:rStyle w:val="a9"/>
          <w:rFonts w:asciiTheme="minorBidi" w:hAnsiTheme="minorBidi"/>
          <w:rtl/>
        </w:rPr>
        <w:footnoteReference w:id="1121"/>
      </w:r>
      <w:r>
        <w:rPr>
          <w:rFonts w:asciiTheme="minorBidi" w:hAnsiTheme="minorBidi"/>
          <w:rtl/>
        </w:rPr>
        <w:t xml:space="preserve"> מבפנים</w:t>
      </w:r>
      <w:r>
        <w:rPr>
          <w:rStyle w:val="a9"/>
          <w:rFonts w:asciiTheme="minorBidi" w:hAnsiTheme="minorBidi"/>
          <w:rtl/>
        </w:rPr>
        <w:footnoteReference w:id="1122"/>
      </w:r>
      <w:r>
        <w:rPr>
          <w:rFonts w:asciiTheme="minorBidi" w:hAnsiTheme="minorBidi"/>
          <w:rtl/>
        </w:rPr>
        <w:t xml:space="preserve"> ואין מכסכסו מבחוץ</w:t>
      </w:r>
      <w:r>
        <w:rPr>
          <w:rStyle w:val="a9"/>
          <w:rFonts w:asciiTheme="minorBidi" w:hAnsiTheme="minorBidi"/>
          <w:rtl/>
        </w:rPr>
        <w:footnoteReference w:id="1123"/>
      </w:r>
      <w:r>
        <w:rPr>
          <w:rFonts w:asciiTheme="minorBidi" w:hAnsiTheme="minorBidi"/>
          <w:rtl/>
        </w:rPr>
        <w:t>.... טיט שעל גבי מנעלו - מגררו בגב סכין, ושעל בגדו - מגררו בצפורן</w:t>
      </w:r>
      <w:r>
        <w:rPr>
          <w:rStyle w:val="a9"/>
          <w:rFonts w:asciiTheme="minorBidi" w:hAnsiTheme="minorBidi"/>
          <w:rtl/>
        </w:rPr>
        <w:footnoteReference w:id="1124"/>
      </w:r>
      <w:r>
        <w:rPr>
          <w:rFonts w:asciiTheme="minorBidi" w:hAnsiTheme="minorBidi"/>
          <w:rtl/>
        </w:rPr>
        <w:t>.</w:t>
      </w:r>
    </w:p>
    <w:p w14:paraId="21D5D5EC" w14:textId="77777777" w:rsidR="004B2E7C" w:rsidRDefault="004B2E7C" w:rsidP="00434A6A">
      <w:pPr>
        <w:rPr>
          <w:rFonts w:asciiTheme="minorBidi" w:hAnsiTheme="minorBidi"/>
          <w:rtl/>
        </w:rPr>
      </w:pPr>
      <w:r>
        <w:rPr>
          <w:rFonts w:asciiTheme="minorBidi" w:hAnsiTheme="minorBidi"/>
          <w:rtl/>
        </w:rPr>
        <w:t>- שבלי הלקט</w:t>
      </w:r>
      <w:r>
        <w:rPr>
          <w:rFonts w:asciiTheme="minorBidi" w:hAnsiTheme="minorBidi"/>
          <w:sz w:val="16"/>
          <w:szCs w:val="16"/>
          <w:rtl/>
        </w:rPr>
        <w:t xml:space="preserve"> (סי' קט)</w:t>
      </w:r>
      <w:r>
        <w:rPr>
          <w:rFonts w:asciiTheme="minorBidi" w:hAnsiTheme="minorBidi"/>
          <w:rtl/>
        </w:rPr>
        <w:t>, פירש ר"ת דהא דחזי כמלבן הוא בשל פשתן, אבל של צמר או של משי מותר.</w:t>
      </w:r>
    </w:p>
    <w:p w14:paraId="0C52C8C3" w14:textId="77777777" w:rsidR="004B2E7C" w:rsidRPr="00B70D2D" w:rsidRDefault="004B2E7C" w:rsidP="00B70D2D">
      <w:pPr>
        <w:rPr>
          <w:rFonts w:asciiTheme="minorBidi" w:hAnsiTheme="minorBidi"/>
          <w:color w:val="000000" w:themeColor="text1"/>
        </w:rPr>
      </w:pPr>
      <w:r w:rsidRPr="00B70D2D">
        <w:rPr>
          <w:rFonts w:asciiTheme="minorBidi" w:hAnsiTheme="minorBidi"/>
          <w:color w:val="000000" w:themeColor="text1"/>
          <w:rtl/>
        </w:rPr>
        <w:t>רע"א- לכאורה יש לדון כיון דמתחילה היה מפורר וע"י יבשות נדבק ונעשה מחובר יחד דאין טחינה אחר טחינה כדלקמן סי' שכא סע' ח בהגה.</w:t>
      </w:r>
    </w:p>
    <w:p w14:paraId="5EEC9058"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46A5FF4" w14:textId="77777777" w:rsidR="004B2E7C" w:rsidRDefault="004B2E7C" w:rsidP="00434A6A">
      <w:pPr>
        <w:rPr>
          <w:rFonts w:asciiTheme="minorBidi" w:hAnsiTheme="minorBidi"/>
          <w:rtl/>
        </w:rPr>
      </w:pPr>
      <w:r>
        <w:rPr>
          <w:rFonts w:asciiTheme="minorBidi" w:hAnsiTheme="minorBidi"/>
          <w:rtl/>
        </w:rPr>
        <w:t>טיט שעל בגדו משפשפו מבפנים דלא מוכחא מלתא לאתחזויי כמלבן, אבל לא בחוץ דדמי למלבן, ומגררו בצפורן</w:t>
      </w:r>
      <w:r>
        <w:rPr>
          <w:rStyle w:val="a9"/>
          <w:rFonts w:asciiTheme="minorBidi" w:hAnsiTheme="minorBidi"/>
          <w:rtl/>
        </w:rPr>
        <w:footnoteReference w:id="1125"/>
      </w:r>
      <w:r>
        <w:rPr>
          <w:rFonts w:asciiTheme="minorBidi" w:hAnsiTheme="minorBidi"/>
          <w:rtl/>
        </w:rPr>
        <w:t>. ויש מפרשים</w:t>
      </w:r>
      <w:r>
        <w:rPr>
          <w:rStyle w:val="a9"/>
          <w:rFonts w:asciiTheme="minorBidi" w:hAnsiTheme="minorBidi"/>
          <w:rtl/>
        </w:rPr>
        <w:footnoteReference w:id="1126"/>
      </w:r>
      <w:r>
        <w:rPr>
          <w:rFonts w:asciiTheme="minorBidi" w:hAnsiTheme="minorBidi"/>
          <w:rtl/>
        </w:rPr>
        <w:t xml:space="preserve"> דהני מילי לח, אבל יבש אסור</w:t>
      </w:r>
      <w:r>
        <w:rPr>
          <w:rStyle w:val="a9"/>
          <w:rFonts w:asciiTheme="minorBidi" w:hAnsiTheme="minorBidi"/>
          <w:rtl/>
        </w:rPr>
        <w:footnoteReference w:id="1127"/>
      </w:r>
      <w:r>
        <w:rPr>
          <w:rFonts w:asciiTheme="minorBidi" w:hAnsiTheme="minorBidi"/>
          <w:rtl/>
        </w:rPr>
        <w:t xml:space="preserve"> דהוי טוחן</w:t>
      </w:r>
      <w:r>
        <w:rPr>
          <w:rStyle w:val="a9"/>
          <w:rFonts w:asciiTheme="minorBidi" w:hAnsiTheme="minorBidi"/>
          <w:rtl/>
        </w:rPr>
        <w:footnoteReference w:id="1128"/>
      </w:r>
      <w:r>
        <w:rPr>
          <w:rFonts w:asciiTheme="minorBidi" w:hAnsiTheme="minorBidi"/>
          <w:rtl/>
        </w:rPr>
        <w:t xml:space="preserve">. </w:t>
      </w:r>
    </w:p>
    <w:p w14:paraId="6FEFE144" w14:textId="77777777" w:rsidR="004B2E7C" w:rsidRDefault="004B2E7C" w:rsidP="00434A6A">
      <w:pPr>
        <w:rPr>
          <w:rFonts w:asciiTheme="minorBidi" w:hAnsiTheme="minorBidi"/>
          <w:rtl/>
        </w:rPr>
      </w:pPr>
    </w:p>
    <w:p w14:paraId="60A1CE6F" w14:textId="77777777" w:rsidR="004B2E7C" w:rsidRDefault="004B2E7C" w:rsidP="00434A6A">
      <w:pPr>
        <w:pStyle w:val="2"/>
        <w:rPr>
          <w:rFonts w:asciiTheme="minorBidi" w:hAnsiTheme="minorBidi" w:cstheme="minorBidi"/>
          <w:rtl/>
        </w:rPr>
      </w:pPr>
      <w:r>
        <w:rPr>
          <w:rFonts w:asciiTheme="minorBidi" w:hAnsiTheme="minorBidi" w:cstheme="minorBidi"/>
          <w:rtl/>
        </w:rPr>
        <w:t>סעיף ח: גירוד הטיט מן המנעל.</w:t>
      </w:r>
    </w:p>
    <w:p w14:paraId="3A796558" w14:textId="77777777" w:rsidR="004B2E7C" w:rsidRDefault="004B2E7C" w:rsidP="00434A6A">
      <w:pPr>
        <w:rPr>
          <w:rFonts w:asciiTheme="minorBidi" w:hAnsiTheme="minorBidi"/>
          <w:rtl/>
        </w:rPr>
      </w:pPr>
      <w:r>
        <w:rPr>
          <w:rFonts w:asciiTheme="minorBidi" w:hAnsiTheme="minorBidi"/>
          <w:b/>
          <w:bCs/>
          <w:rtl/>
        </w:rPr>
        <w:t>שבת קמא ע"א:</w:t>
      </w:r>
      <w:r>
        <w:rPr>
          <w:rFonts w:asciiTheme="minorBidi" w:hAnsiTheme="minorBidi"/>
          <w:rtl/>
        </w:rPr>
        <w:t xml:space="preserve"> </w:t>
      </w:r>
      <w:r>
        <w:rPr>
          <w:rFonts w:asciiTheme="minorBidi" w:hAnsiTheme="minorBidi"/>
          <w:u w:val="single"/>
          <w:rtl/>
        </w:rPr>
        <w:t>אמר רבי אבהו אמר רבי אלעזר אמר רבי ינאי</w:t>
      </w:r>
      <w:r>
        <w:rPr>
          <w:rFonts w:asciiTheme="minorBidi" w:hAnsiTheme="minorBidi"/>
          <w:rtl/>
        </w:rPr>
        <w:t>: מגררין מנעל חדש, אבל לא ישן</w:t>
      </w:r>
      <w:r>
        <w:rPr>
          <w:rStyle w:val="a9"/>
          <w:rFonts w:asciiTheme="minorBidi" w:hAnsiTheme="minorBidi"/>
          <w:rtl/>
        </w:rPr>
        <w:footnoteReference w:id="1129"/>
      </w:r>
      <w:r>
        <w:rPr>
          <w:rFonts w:asciiTheme="minorBidi" w:hAnsiTheme="minorBidi"/>
          <w:rtl/>
        </w:rPr>
        <w:t>. במה מגררו</w:t>
      </w:r>
      <w:r>
        <w:rPr>
          <w:rStyle w:val="a9"/>
          <w:rFonts w:asciiTheme="minorBidi" w:hAnsiTheme="minorBidi"/>
          <w:rtl/>
        </w:rPr>
        <w:footnoteReference w:id="1130"/>
      </w:r>
      <w:r>
        <w:rPr>
          <w:rFonts w:asciiTheme="minorBidi" w:hAnsiTheme="minorBidi"/>
          <w:rtl/>
        </w:rPr>
        <w:t xml:space="preserve">? </w:t>
      </w:r>
      <w:r>
        <w:rPr>
          <w:rFonts w:asciiTheme="minorBidi" w:hAnsiTheme="minorBidi"/>
          <w:u w:val="single"/>
          <w:rtl/>
        </w:rPr>
        <w:t>אמר רבי אבהו</w:t>
      </w:r>
      <w:r>
        <w:rPr>
          <w:rFonts w:asciiTheme="minorBidi" w:hAnsiTheme="minorBidi"/>
          <w:rtl/>
        </w:rPr>
        <w:t xml:space="preserve"> בגב סכין. </w:t>
      </w:r>
      <w:r>
        <w:rPr>
          <w:rFonts w:asciiTheme="minorBidi" w:hAnsiTheme="minorBidi"/>
          <w:u w:val="single"/>
          <w:rtl/>
        </w:rPr>
        <w:t>אמר ליה ההוא סבא</w:t>
      </w:r>
      <w:r>
        <w:rPr>
          <w:rFonts w:asciiTheme="minorBidi" w:hAnsiTheme="minorBidi"/>
          <w:rtl/>
        </w:rPr>
        <w:t xml:space="preserve">: סמי דידך מקמי הא דתני רבי חייא אין מגררין לא מנעל חדש ולא מנעל ישן. </w:t>
      </w:r>
    </w:p>
    <w:p w14:paraId="00D2C5F1"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10055E4" w14:textId="77777777" w:rsidR="004B2E7C" w:rsidRDefault="004B2E7C" w:rsidP="00434A6A">
      <w:pPr>
        <w:rPr>
          <w:rFonts w:asciiTheme="minorBidi" w:hAnsiTheme="minorBidi"/>
          <w:rtl/>
        </w:rPr>
      </w:pPr>
      <w:r>
        <w:rPr>
          <w:rFonts w:asciiTheme="minorBidi" w:hAnsiTheme="minorBidi"/>
          <w:rtl/>
        </w:rPr>
        <w:t xml:space="preserve">אין מגרדין </w:t>
      </w:r>
      <w:r>
        <w:rPr>
          <w:rFonts w:asciiTheme="minorBidi" w:hAnsiTheme="minorBidi"/>
          <w:sz w:val="18"/>
          <w:szCs w:val="18"/>
          <w:rtl/>
        </w:rPr>
        <w:t xml:space="preserve">הגה: בסכין או בצפורן </w:t>
      </w:r>
      <w:r>
        <w:rPr>
          <w:rFonts w:asciiTheme="minorBidi" w:hAnsiTheme="minorBidi"/>
          <w:rtl/>
        </w:rPr>
        <w:t xml:space="preserve">מנעל בין חדש בין ישן מפני שקולף העור והוי ממחק. </w:t>
      </w:r>
    </w:p>
    <w:p w14:paraId="74EBCD2A" w14:textId="77777777" w:rsidR="004B2E7C" w:rsidRDefault="004B2E7C" w:rsidP="00434A6A">
      <w:pPr>
        <w:rPr>
          <w:rFonts w:asciiTheme="minorBidi" w:hAnsiTheme="minorBidi"/>
          <w:rtl/>
        </w:rPr>
      </w:pPr>
    </w:p>
    <w:p w14:paraId="152AB896" w14:textId="660BF193" w:rsidR="004B2E7C" w:rsidRDefault="004B2E7C" w:rsidP="00434A6A">
      <w:pPr>
        <w:pStyle w:val="2"/>
        <w:rPr>
          <w:rFonts w:asciiTheme="minorBidi" w:hAnsiTheme="minorBidi" w:cstheme="minorBidi"/>
          <w:rtl/>
        </w:rPr>
      </w:pPr>
      <w:r>
        <w:rPr>
          <w:rFonts w:asciiTheme="minorBidi" w:hAnsiTheme="minorBidi" w:cstheme="minorBidi"/>
          <w:rtl/>
        </w:rPr>
        <w:t>סעיף ט: נתינת מים ע"ג מנעל או ע"ג בגד.</w:t>
      </w:r>
    </w:p>
    <w:p w14:paraId="22F81927" w14:textId="77777777" w:rsidR="004B2E7C" w:rsidRDefault="004B2E7C" w:rsidP="00434A6A">
      <w:pPr>
        <w:rPr>
          <w:rFonts w:asciiTheme="minorBidi" w:hAnsiTheme="minorBidi"/>
          <w:rtl/>
        </w:rPr>
      </w:pPr>
      <w:r>
        <w:rPr>
          <w:rFonts w:asciiTheme="minorBidi" w:hAnsiTheme="minorBidi"/>
          <w:b/>
          <w:bCs/>
          <w:rtl/>
        </w:rPr>
        <w:t>זבחים צד ע"ב:</w:t>
      </w:r>
      <w:r>
        <w:rPr>
          <w:rFonts w:asciiTheme="minorBidi" w:hAnsiTheme="minorBidi"/>
          <w:rtl/>
        </w:rPr>
        <w:t xml:space="preserve"> הדר אוקי רבא אמורא עליה ודרש: דברים שאמרתי לפניכם טעות הם בידי, ברם כך אמרו: שכשוך</w:t>
      </w:r>
      <w:r>
        <w:rPr>
          <w:rStyle w:val="a9"/>
          <w:rFonts w:asciiTheme="minorBidi" w:hAnsiTheme="minorBidi"/>
          <w:rtl/>
        </w:rPr>
        <w:footnoteReference w:id="1131"/>
      </w:r>
      <w:r>
        <w:rPr>
          <w:rFonts w:asciiTheme="minorBidi" w:hAnsiTheme="minorBidi"/>
          <w:rtl/>
        </w:rPr>
        <w:t xml:space="preserve"> מותר, כיבוס</w:t>
      </w:r>
      <w:r>
        <w:rPr>
          <w:rStyle w:val="a9"/>
          <w:rFonts w:asciiTheme="minorBidi" w:hAnsiTheme="minorBidi"/>
          <w:rtl/>
        </w:rPr>
        <w:footnoteReference w:id="1132"/>
      </w:r>
      <w:r>
        <w:rPr>
          <w:rFonts w:asciiTheme="minorBidi" w:hAnsiTheme="minorBidi"/>
          <w:rtl/>
        </w:rPr>
        <w:t xml:space="preserve"> אסור.</w:t>
      </w:r>
    </w:p>
    <w:p w14:paraId="22E9ABA9" w14:textId="77777777" w:rsidR="004B2E7C" w:rsidRDefault="004B2E7C" w:rsidP="00434A6A">
      <w:pPr>
        <w:rPr>
          <w:rFonts w:asciiTheme="minorBidi" w:hAnsiTheme="minorBidi"/>
          <w:rtl/>
        </w:rPr>
      </w:pPr>
      <w:r>
        <w:rPr>
          <w:rFonts w:asciiTheme="minorBidi" w:hAnsiTheme="minorBidi"/>
          <w:b/>
          <w:bCs/>
          <w:rtl/>
        </w:rPr>
        <w:t xml:space="preserve">שבת קמב ע"ב: </w:t>
      </w:r>
      <w:r>
        <w:rPr>
          <w:rFonts w:asciiTheme="minorBidi" w:hAnsiTheme="minorBidi"/>
          <w:u w:val="double"/>
          <w:rtl/>
        </w:rPr>
        <w:t>משנה:</w:t>
      </w:r>
      <w:r>
        <w:rPr>
          <w:rFonts w:asciiTheme="minorBidi" w:hAnsiTheme="minorBidi"/>
          <w:rtl/>
        </w:rPr>
        <w:t xml:space="preserve"> מעות שעל הכר - מנער את הכר והן נופלות. היתה עליו לשלשת</w:t>
      </w:r>
      <w:r>
        <w:rPr>
          <w:rStyle w:val="a9"/>
          <w:rFonts w:asciiTheme="minorBidi" w:hAnsiTheme="minorBidi"/>
          <w:rtl/>
        </w:rPr>
        <w:footnoteReference w:id="1133"/>
      </w:r>
      <w:r>
        <w:rPr>
          <w:rFonts w:asciiTheme="minorBidi" w:hAnsiTheme="minorBidi"/>
          <w:rtl/>
        </w:rPr>
        <w:t xml:space="preserve"> - מקנחה בסמרטוט</w:t>
      </w:r>
      <w:r>
        <w:rPr>
          <w:rStyle w:val="a9"/>
          <w:rFonts w:asciiTheme="minorBidi" w:hAnsiTheme="minorBidi"/>
          <w:rtl/>
        </w:rPr>
        <w:footnoteReference w:id="1134"/>
      </w:r>
      <w:r>
        <w:rPr>
          <w:rFonts w:asciiTheme="minorBidi" w:hAnsiTheme="minorBidi"/>
          <w:rtl/>
        </w:rPr>
        <w:t>, היתה</w:t>
      </w:r>
      <w:r>
        <w:rPr>
          <w:rStyle w:val="a9"/>
          <w:rFonts w:asciiTheme="minorBidi" w:hAnsiTheme="minorBidi"/>
          <w:rtl/>
        </w:rPr>
        <w:footnoteReference w:id="1135"/>
      </w:r>
      <w:r>
        <w:rPr>
          <w:rFonts w:asciiTheme="minorBidi" w:hAnsiTheme="minorBidi"/>
          <w:rtl/>
        </w:rPr>
        <w:t xml:space="preserve"> של עור - נותנין עליה מים עד שתכלה</w:t>
      </w:r>
      <w:r>
        <w:rPr>
          <w:rStyle w:val="a9"/>
          <w:rFonts w:asciiTheme="minorBidi" w:hAnsiTheme="minorBidi"/>
          <w:rtl/>
        </w:rPr>
        <w:footnoteReference w:id="1136"/>
      </w:r>
      <w:r>
        <w:rPr>
          <w:rFonts w:asciiTheme="minorBidi" w:hAnsiTheme="minorBidi"/>
          <w:rtl/>
        </w:rPr>
        <w:t>.</w:t>
      </w:r>
    </w:p>
    <w:p w14:paraId="0C156BD7" w14:textId="6D3FA813" w:rsidR="004B2E7C" w:rsidRDefault="004B2E7C" w:rsidP="00434A6A">
      <w:pPr>
        <w:rPr>
          <w:rFonts w:asciiTheme="minorBidi" w:hAnsiTheme="minorBidi"/>
        </w:rPr>
      </w:pPr>
      <w:r>
        <w:rPr>
          <w:rFonts w:asciiTheme="minorBidi" w:hAnsiTheme="minorBidi"/>
          <w:b/>
          <w:bCs/>
          <w:sz w:val="32"/>
          <w:szCs w:val="28"/>
          <w:u w:val="single"/>
          <w:rtl/>
        </w:rPr>
        <w:t xml:space="preserve">שו"ע: </w:t>
      </w:r>
    </w:p>
    <w:p w14:paraId="2CD6D2E6" w14:textId="77777777" w:rsidR="004B2E7C" w:rsidRDefault="004B2E7C" w:rsidP="00434A6A">
      <w:pPr>
        <w:rPr>
          <w:rFonts w:asciiTheme="minorBidi" w:hAnsiTheme="minorBidi"/>
          <w:rtl/>
        </w:rPr>
      </w:pPr>
      <w:r>
        <w:rPr>
          <w:rFonts w:asciiTheme="minorBidi" w:hAnsiTheme="minorBidi"/>
          <w:rtl/>
        </w:rPr>
        <w:t>מותר ליתן מים על גבי מנעל לשכשכו אבל לכבסו דהיינו שמשפשף צדו זה על זה אסור. אבל בגד שיש עליו לכלוך אסור אפילו לשכשכו</w:t>
      </w:r>
      <w:r>
        <w:rPr>
          <w:rStyle w:val="a9"/>
          <w:rFonts w:asciiTheme="minorBidi" w:hAnsiTheme="minorBidi"/>
          <w:rtl/>
        </w:rPr>
        <w:footnoteReference w:id="1137"/>
      </w:r>
      <w:r>
        <w:rPr>
          <w:rFonts w:asciiTheme="minorBidi" w:hAnsiTheme="minorBidi"/>
          <w:rtl/>
        </w:rPr>
        <w:t xml:space="preserve"> דזהו כבוסו, אלא מקנחו בסמרטוט בקל ולא בדוחק פן יסחוט.</w:t>
      </w:r>
      <w:r>
        <w:rPr>
          <w:rFonts w:asciiTheme="minorBidi" w:hAnsiTheme="minorBidi"/>
          <w:sz w:val="18"/>
          <w:szCs w:val="18"/>
          <w:rtl/>
        </w:rPr>
        <w:t xml:space="preserve"> הגה: ובגד שאין עליו לכלוך מותר לתת עליו מים מועטים ולא מרובים שמא יסחוט</w:t>
      </w:r>
      <w:r>
        <w:rPr>
          <w:rStyle w:val="a9"/>
          <w:rFonts w:asciiTheme="minorBidi" w:hAnsiTheme="minorBidi"/>
          <w:sz w:val="18"/>
          <w:szCs w:val="18"/>
          <w:rtl/>
        </w:rPr>
        <w:footnoteReference w:id="1138"/>
      </w:r>
      <w:r>
        <w:rPr>
          <w:rFonts w:asciiTheme="minorBidi" w:hAnsiTheme="minorBidi"/>
          <w:sz w:val="18"/>
          <w:szCs w:val="18"/>
          <w:rtl/>
        </w:rPr>
        <w:t xml:space="preserve"> (ב"י בשם סמ"ג וסמ"ק וסה"ת והרא"ש). ויש אוסרים בכל ענין</w:t>
      </w:r>
      <w:r>
        <w:rPr>
          <w:rStyle w:val="a9"/>
          <w:rFonts w:asciiTheme="minorBidi" w:hAnsiTheme="minorBidi"/>
          <w:sz w:val="18"/>
          <w:szCs w:val="18"/>
          <w:rtl/>
        </w:rPr>
        <w:footnoteReference w:id="1139"/>
      </w:r>
      <w:r>
        <w:rPr>
          <w:rFonts w:asciiTheme="minorBidi" w:hAnsiTheme="minorBidi"/>
          <w:sz w:val="18"/>
          <w:szCs w:val="18"/>
          <w:rtl/>
        </w:rPr>
        <w:t xml:space="preserve">. </w:t>
      </w:r>
    </w:p>
    <w:p w14:paraId="733F7967" w14:textId="0ADADD9B" w:rsidR="00B70D2D" w:rsidRDefault="00B70D2D" w:rsidP="00B70D2D">
      <w:pPr>
        <w:pStyle w:val="2"/>
        <w:rPr>
          <w:rFonts w:asciiTheme="minorBidi" w:hAnsiTheme="minorBidi" w:cstheme="minorBidi"/>
          <w:rtl/>
        </w:rPr>
      </w:pPr>
      <w:r>
        <w:rPr>
          <w:rFonts w:asciiTheme="minorBidi" w:hAnsiTheme="minorBidi" w:cstheme="minorBidi"/>
          <w:rtl/>
        </w:rPr>
        <w:t xml:space="preserve">סעיף י: </w:t>
      </w:r>
      <w:r>
        <w:rPr>
          <w:rFonts w:asciiTheme="minorBidi" w:hAnsiTheme="minorBidi" w:cstheme="minorBidi" w:hint="cs"/>
          <w:rtl/>
        </w:rPr>
        <w:t>הסרת מים מהידיים קודם הניגוב</w:t>
      </w:r>
      <w:r>
        <w:rPr>
          <w:rFonts w:asciiTheme="minorBidi" w:hAnsiTheme="minorBidi" w:cstheme="minorBidi"/>
          <w:rtl/>
        </w:rPr>
        <w:t>.</w:t>
      </w:r>
    </w:p>
    <w:p w14:paraId="48659972" w14:textId="77777777" w:rsidR="004B2E7C" w:rsidRDefault="004B2E7C" w:rsidP="00434A6A">
      <w:pPr>
        <w:rPr>
          <w:rFonts w:asciiTheme="minorBidi" w:hAnsiTheme="minorBidi"/>
          <w:rtl/>
        </w:rPr>
      </w:pPr>
    </w:p>
    <w:p w14:paraId="7CBC86B9" w14:textId="3C2B5A6E"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7895F04" w14:textId="77777777" w:rsidR="004B2E7C" w:rsidRDefault="004B2E7C" w:rsidP="00434A6A">
      <w:pPr>
        <w:rPr>
          <w:rFonts w:asciiTheme="minorBidi" w:hAnsiTheme="minorBidi"/>
          <w:rtl/>
        </w:rPr>
      </w:pPr>
      <w:r>
        <w:rPr>
          <w:rFonts w:asciiTheme="minorBidi" w:hAnsiTheme="minorBidi"/>
          <w:rtl/>
        </w:rPr>
        <w:t>הרוחץ ידיו טוב לנגבם</w:t>
      </w:r>
      <w:r>
        <w:rPr>
          <w:rStyle w:val="a9"/>
          <w:rFonts w:asciiTheme="minorBidi" w:hAnsiTheme="minorBidi"/>
          <w:rtl/>
        </w:rPr>
        <w:footnoteReference w:id="1140"/>
      </w:r>
      <w:r>
        <w:rPr>
          <w:rFonts w:asciiTheme="minorBidi" w:hAnsiTheme="minorBidi"/>
          <w:rtl/>
        </w:rPr>
        <w:t xml:space="preserve"> בכח זו בזו ולהסיר מהם המים כפי יכלתו קודם שיקנחם במפה</w:t>
      </w:r>
      <w:r>
        <w:rPr>
          <w:rStyle w:val="a9"/>
          <w:rFonts w:asciiTheme="minorBidi" w:hAnsiTheme="minorBidi"/>
          <w:rtl/>
        </w:rPr>
        <w:footnoteReference w:id="1141"/>
      </w:r>
      <w:r>
        <w:rPr>
          <w:rFonts w:asciiTheme="minorBidi" w:hAnsiTheme="minorBidi"/>
          <w:rtl/>
        </w:rPr>
        <w:t xml:space="preserve">. </w:t>
      </w:r>
      <w:r>
        <w:rPr>
          <w:rFonts w:asciiTheme="minorBidi" w:hAnsiTheme="minorBidi"/>
          <w:sz w:val="18"/>
          <w:szCs w:val="18"/>
          <w:rtl/>
        </w:rPr>
        <w:t>הגה: ויש שכתבו דאין לחוש לזה דלא אמרינן שריית בגד זהו כבוסו בכי האי גוונא דאין זה רק דרך לכלוך, וכן נוהגין</w:t>
      </w:r>
      <w:r>
        <w:rPr>
          <w:rStyle w:val="a9"/>
          <w:rFonts w:asciiTheme="minorBidi" w:hAnsiTheme="minorBidi"/>
          <w:sz w:val="18"/>
          <w:szCs w:val="18"/>
          <w:rtl/>
        </w:rPr>
        <w:footnoteReference w:id="1142"/>
      </w:r>
      <w:r>
        <w:rPr>
          <w:rFonts w:asciiTheme="minorBidi" w:hAnsiTheme="minorBidi"/>
          <w:sz w:val="18"/>
          <w:szCs w:val="18"/>
          <w:rtl/>
        </w:rPr>
        <w:t xml:space="preserve"> (טור ב"י ואגור). ולכן מותר לנגב ידיו בבגד שהטיל בו תינוק מי רגלים כדי לבטלם שאין זה רק דרך לכלוך בעלמא</w:t>
      </w:r>
      <w:r>
        <w:rPr>
          <w:rStyle w:val="a9"/>
          <w:rFonts w:asciiTheme="minorBidi" w:hAnsiTheme="minorBidi"/>
          <w:sz w:val="18"/>
          <w:szCs w:val="18"/>
          <w:rtl/>
        </w:rPr>
        <w:footnoteReference w:id="1143"/>
      </w:r>
      <w:r>
        <w:rPr>
          <w:rFonts w:asciiTheme="minorBidi" w:hAnsiTheme="minorBidi"/>
          <w:sz w:val="18"/>
          <w:szCs w:val="18"/>
          <w:rtl/>
        </w:rPr>
        <w:t>, (טור). אבל אסור ליתן מים ממש על המי רגלים כדי לבטלם</w:t>
      </w:r>
      <w:r>
        <w:rPr>
          <w:rStyle w:val="a9"/>
          <w:rFonts w:asciiTheme="minorBidi" w:hAnsiTheme="minorBidi"/>
          <w:sz w:val="18"/>
          <w:szCs w:val="18"/>
          <w:rtl/>
        </w:rPr>
        <w:footnoteReference w:id="1144"/>
      </w:r>
      <w:r>
        <w:rPr>
          <w:rFonts w:asciiTheme="minorBidi" w:hAnsiTheme="minorBidi"/>
          <w:sz w:val="18"/>
          <w:szCs w:val="18"/>
          <w:rtl/>
        </w:rPr>
        <w:t xml:space="preserve"> (הגה"מ ותוס'). </w:t>
      </w:r>
    </w:p>
    <w:p w14:paraId="1C0F0761" w14:textId="77777777" w:rsidR="004B2E7C" w:rsidRDefault="004B2E7C" w:rsidP="00434A6A">
      <w:pPr>
        <w:rPr>
          <w:rFonts w:asciiTheme="minorBidi" w:hAnsiTheme="minorBidi"/>
          <w:rtl/>
        </w:rPr>
      </w:pPr>
    </w:p>
    <w:p w14:paraId="079ACF6F" w14:textId="77777777" w:rsidR="004B2E7C" w:rsidRDefault="004B2E7C" w:rsidP="00434A6A">
      <w:pPr>
        <w:pStyle w:val="2"/>
        <w:rPr>
          <w:rFonts w:asciiTheme="minorBidi" w:hAnsiTheme="minorBidi" w:cstheme="minorBidi"/>
          <w:rtl/>
        </w:rPr>
      </w:pPr>
      <w:r>
        <w:rPr>
          <w:rFonts w:asciiTheme="minorBidi" w:hAnsiTheme="minorBidi" w:cstheme="minorBidi"/>
          <w:rtl/>
        </w:rPr>
        <w:t>סעיף יא: קינוח ידו שנתלכלכה בטיט.</w:t>
      </w:r>
    </w:p>
    <w:p w14:paraId="59149BD5"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6AB114D" w14:textId="77777777" w:rsidR="004B2E7C" w:rsidRDefault="004B2E7C" w:rsidP="00434A6A">
      <w:pPr>
        <w:rPr>
          <w:rFonts w:asciiTheme="minorBidi" w:hAnsiTheme="minorBidi"/>
          <w:sz w:val="16"/>
          <w:szCs w:val="16"/>
          <w:rtl/>
        </w:rPr>
      </w:pPr>
      <w:r>
        <w:rPr>
          <w:rFonts w:asciiTheme="minorBidi" w:hAnsiTheme="minorBidi"/>
          <w:rtl/>
        </w:rPr>
        <w:t xml:space="preserve">מי שנתלכלכה ידו בטיט מקנחה בזנב הסוס ובזנב הפרה ובמפה הקשה העשויה לאחוז בה קוצים, אבל לא במפה שמקנחים בה ידים, שלא יעשה כדרך שהוא עושה בחול ויבא לכבס המפה. </w:t>
      </w:r>
      <w:r>
        <w:rPr>
          <w:rFonts w:asciiTheme="minorBidi" w:hAnsiTheme="minorBidi"/>
          <w:sz w:val="16"/>
          <w:szCs w:val="16"/>
          <w:rtl/>
        </w:rPr>
        <w:t>{רמב"ם</w:t>
      </w:r>
      <w:r>
        <w:rPr>
          <w:rStyle w:val="a9"/>
          <w:rFonts w:asciiTheme="minorBidi" w:hAnsiTheme="minorBidi"/>
          <w:rtl/>
        </w:rPr>
        <w:footnoteReference w:id="1145"/>
      </w:r>
      <w:r>
        <w:rPr>
          <w:rFonts w:asciiTheme="minorBidi" w:hAnsiTheme="minorBidi"/>
          <w:sz w:val="16"/>
          <w:szCs w:val="16"/>
          <w:rtl/>
        </w:rPr>
        <w:t>}</w:t>
      </w:r>
    </w:p>
    <w:p w14:paraId="6BC35F0F" w14:textId="77777777" w:rsidR="004B2E7C" w:rsidRDefault="004B2E7C" w:rsidP="00434A6A">
      <w:pPr>
        <w:rPr>
          <w:rFonts w:asciiTheme="minorBidi" w:hAnsiTheme="minorBidi"/>
          <w:rtl/>
        </w:rPr>
      </w:pPr>
    </w:p>
    <w:p w14:paraId="4122A31B" w14:textId="77777777" w:rsidR="004B2E7C" w:rsidRDefault="004B2E7C" w:rsidP="00434A6A">
      <w:pPr>
        <w:pStyle w:val="2"/>
        <w:rPr>
          <w:rFonts w:asciiTheme="minorBidi" w:hAnsiTheme="minorBidi" w:cstheme="minorBidi"/>
          <w:rtl/>
        </w:rPr>
      </w:pPr>
      <w:r>
        <w:rPr>
          <w:rFonts w:asciiTheme="minorBidi" w:hAnsiTheme="minorBidi" w:cstheme="minorBidi"/>
          <w:rtl/>
        </w:rPr>
        <w:t>סעיף יב: ניגוב כוס במפה.</w:t>
      </w:r>
    </w:p>
    <w:p w14:paraId="68D828EF"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7A748C4" w14:textId="77777777" w:rsidR="004B2E7C" w:rsidRDefault="004B2E7C" w:rsidP="00434A6A">
      <w:pPr>
        <w:rPr>
          <w:rFonts w:asciiTheme="minorBidi" w:hAnsiTheme="minorBidi"/>
          <w:sz w:val="16"/>
          <w:szCs w:val="16"/>
          <w:rtl/>
        </w:rPr>
      </w:pPr>
      <w:r>
        <w:rPr>
          <w:rFonts w:asciiTheme="minorBidi" w:hAnsiTheme="minorBidi"/>
          <w:rtl/>
        </w:rPr>
        <w:t>אסור לנגב כוס שהיה בו מים או יין במפה משום דאתי לידי סחיטה</w:t>
      </w:r>
      <w:r>
        <w:rPr>
          <w:rStyle w:val="a9"/>
          <w:rFonts w:asciiTheme="minorBidi" w:hAnsiTheme="minorBidi"/>
          <w:rtl/>
        </w:rPr>
        <w:footnoteReference w:id="1146"/>
      </w:r>
      <w:r>
        <w:rPr>
          <w:rFonts w:asciiTheme="minorBidi" w:hAnsiTheme="minorBidi"/>
          <w:rtl/>
        </w:rPr>
        <w:t xml:space="preserve">. </w:t>
      </w:r>
      <w:r>
        <w:rPr>
          <w:rFonts w:asciiTheme="minorBidi" w:hAnsiTheme="minorBidi"/>
          <w:sz w:val="16"/>
          <w:szCs w:val="16"/>
          <w:rtl/>
        </w:rPr>
        <w:t>{מהר"ם תשב"ץ ורי"ו}</w:t>
      </w:r>
    </w:p>
    <w:p w14:paraId="3A7CDC19" w14:textId="77777777" w:rsidR="004B2E7C" w:rsidRDefault="004B2E7C" w:rsidP="00434A6A">
      <w:pPr>
        <w:rPr>
          <w:rFonts w:asciiTheme="minorBidi" w:hAnsiTheme="minorBidi"/>
          <w:rtl/>
        </w:rPr>
      </w:pPr>
    </w:p>
    <w:p w14:paraId="631474BC" w14:textId="77777777" w:rsidR="004B2E7C" w:rsidRDefault="004B2E7C" w:rsidP="00434A6A">
      <w:pPr>
        <w:pStyle w:val="2"/>
        <w:rPr>
          <w:rFonts w:asciiTheme="minorBidi" w:hAnsiTheme="minorBidi" w:cstheme="minorBidi"/>
          <w:rtl/>
        </w:rPr>
      </w:pPr>
      <w:r>
        <w:rPr>
          <w:rFonts w:asciiTheme="minorBidi" w:hAnsiTheme="minorBidi" w:cstheme="minorBidi"/>
          <w:rtl/>
        </w:rPr>
        <w:t>סעיף יג: הסתכלות במראה של מתכת.</w:t>
      </w:r>
    </w:p>
    <w:p w14:paraId="22CF3F58" w14:textId="77777777" w:rsidR="004B2E7C" w:rsidRDefault="004B2E7C" w:rsidP="00434A6A">
      <w:pPr>
        <w:rPr>
          <w:rFonts w:asciiTheme="minorBidi" w:hAnsiTheme="minorBidi"/>
          <w:rtl/>
        </w:rPr>
      </w:pPr>
      <w:r>
        <w:rPr>
          <w:rFonts w:asciiTheme="minorBidi" w:hAnsiTheme="minorBidi"/>
          <w:b/>
          <w:bCs/>
          <w:rtl/>
        </w:rPr>
        <w:t xml:space="preserve">שבת קמט ע"א: </w:t>
      </w:r>
      <w:r>
        <w:rPr>
          <w:rFonts w:asciiTheme="minorBidi" w:hAnsiTheme="minorBidi"/>
          <w:rtl/>
        </w:rPr>
        <w:t>דתניא: אין רואין במראה בשבת</w:t>
      </w:r>
      <w:r>
        <w:rPr>
          <w:rStyle w:val="a9"/>
          <w:rFonts w:asciiTheme="minorBidi" w:hAnsiTheme="minorBidi"/>
          <w:rtl/>
        </w:rPr>
        <w:footnoteReference w:id="1147"/>
      </w:r>
      <w:r>
        <w:rPr>
          <w:rFonts w:asciiTheme="minorBidi" w:hAnsiTheme="minorBidi"/>
          <w:rtl/>
        </w:rPr>
        <w:t xml:space="preserve">, </w:t>
      </w:r>
      <w:r>
        <w:rPr>
          <w:rFonts w:asciiTheme="minorBidi" w:hAnsiTheme="minorBidi"/>
          <w:u w:val="single"/>
          <w:rtl/>
        </w:rPr>
        <w:t>רבי מאיר</w:t>
      </w:r>
      <w:r>
        <w:rPr>
          <w:rFonts w:asciiTheme="minorBidi" w:hAnsiTheme="minorBidi"/>
          <w:rtl/>
        </w:rPr>
        <w:t xml:space="preserve"> מתיר במראה הקבוע בכותל. מאי שנא הקבוע בכותל - דאדהכי והכי מדכר</w:t>
      </w:r>
      <w:r>
        <w:rPr>
          <w:rStyle w:val="a9"/>
          <w:rFonts w:asciiTheme="minorBidi" w:hAnsiTheme="minorBidi"/>
          <w:rtl/>
        </w:rPr>
        <w:footnoteReference w:id="1148"/>
      </w:r>
      <w:r>
        <w:rPr>
          <w:rFonts w:asciiTheme="minorBidi" w:hAnsiTheme="minorBidi"/>
          <w:rtl/>
        </w:rPr>
        <w:t>, שאינו קבוע נמי - אדהכי והכי מדכר! הכא במראה של מתכת עסקינן</w:t>
      </w:r>
      <w:r>
        <w:rPr>
          <w:rStyle w:val="a9"/>
          <w:rFonts w:asciiTheme="minorBidi" w:hAnsiTheme="minorBidi"/>
          <w:rtl/>
        </w:rPr>
        <w:footnoteReference w:id="1149"/>
      </w:r>
      <w:r>
        <w:rPr>
          <w:rFonts w:asciiTheme="minorBidi" w:hAnsiTheme="minorBidi"/>
          <w:rtl/>
        </w:rPr>
        <w:t xml:space="preserve">, וכדרב נחמן אמר רבה בר אבוה. </w:t>
      </w:r>
      <w:r>
        <w:rPr>
          <w:rFonts w:asciiTheme="minorBidi" w:hAnsiTheme="minorBidi"/>
          <w:u w:val="single"/>
          <w:rtl/>
        </w:rPr>
        <w:t>דאמר רב נחמן אמר רבה בר אבוה</w:t>
      </w:r>
      <w:r>
        <w:rPr>
          <w:rFonts w:asciiTheme="minorBidi" w:hAnsiTheme="minorBidi"/>
          <w:rtl/>
        </w:rPr>
        <w:t xml:space="preserve">: מפני מה אמרו מראה של מתכת אסורה - מפני שאדם עשוי להשיר בה נימין המדולדלין. </w:t>
      </w:r>
      <w:r>
        <w:rPr>
          <w:rFonts w:asciiTheme="minorBidi" w:hAnsiTheme="minorBidi"/>
          <w:sz w:val="18"/>
          <w:szCs w:val="18"/>
          <w:rtl/>
        </w:rPr>
        <w:t>(ופסקו הרי"ף רמב"ם רא"ש הה"מ והר"ן כת"ק, ופירשו דלתנא קמא של מתכת אפילו קבועה בכותל אסורה ושאינה של מתכת שריא אפילו אינה קבועה, ושלא כדברי האומרים דלת"ק כי היכי דאסר במראה קבועה של מתכת הכי נמי אסר בכל המראות)</w:t>
      </w:r>
    </w:p>
    <w:p w14:paraId="03BDCDCB"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38C886A" w14:textId="77777777" w:rsidR="004B2E7C" w:rsidRDefault="004B2E7C" w:rsidP="00434A6A">
      <w:pPr>
        <w:rPr>
          <w:rFonts w:asciiTheme="minorBidi" w:hAnsiTheme="minorBidi"/>
          <w:rtl/>
        </w:rPr>
      </w:pPr>
      <w:r>
        <w:rPr>
          <w:rFonts w:asciiTheme="minorBidi" w:hAnsiTheme="minorBidi"/>
          <w:rtl/>
        </w:rPr>
        <w:t xml:space="preserve">אין מסתכלין בשבת במראה של מתכת שהיא חריפה כאיזמל </w:t>
      </w:r>
      <w:r>
        <w:rPr>
          <w:rFonts w:asciiTheme="minorBidi" w:hAnsiTheme="minorBidi"/>
          <w:sz w:val="16"/>
          <w:szCs w:val="16"/>
          <w:rtl/>
        </w:rPr>
        <w:t>(פי' כעין סכין קטן חד וחריף)</w:t>
      </w:r>
      <w:r>
        <w:rPr>
          <w:rFonts w:asciiTheme="minorBidi" w:hAnsiTheme="minorBidi"/>
          <w:rtl/>
        </w:rPr>
        <w:t>, דחיישינן שמא ישיר בה נימין המדולדלין ואפילו אם היא קבועה בכותל, אבל מותר להסתכל במראה שאין בה חשש זה אפילו אינה קבועה.</w:t>
      </w:r>
    </w:p>
    <w:p w14:paraId="615A0FAA" w14:textId="77777777" w:rsidR="004B2E7C" w:rsidRDefault="004B2E7C" w:rsidP="00434A6A">
      <w:pPr>
        <w:rPr>
          <w:rFonts w:asciiTheme="minorBidi" w:hAnsiTheme="minorBidi"/>
          <w:rtl/>
        </w:rPr>
      </w:pPr>
    </w:p>
    <w:p w14:paraId="5717DFB2"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72"/>
          <w:footnotePr>
            <w:numRestart w:val="eachSect"/>
          </w:footnotePr>
          <w:pgSz w:w="11906" w:h="16838"/>
          <w:pgMar w:top="720" w:right="1134" w:bottom="720" w:left="1134" w:header="0" w:footer="0" w:gutter="0"/>
          <w:cols w:space="720"/>
          <w:bidi/>
          <w:rtlGutter/>
        </w:sectPr>
      </w:pPr>
    </w:p>
    <w:p w14:paraId="49EDA1EE" w14:textId="77777777" w:rsidR="004B2E7C" w:rsidRDefault="004B2E7C" w:rsidP="00434A6A">
      <w:pPr>
        <w:pStyle w:val="1"/>
        <w:rPr>
          <w:rtl/>
        </w:rPr>
      </w:pPr>
      <w:r>
        <w:rPr>
          <w:rtl/>
        </w:rPr>
        <w:t xml:space="preserve">סימן שג: דיני תכשיטי אשה, ובו כ"ז סעיפים. </w:t>
      </w:r>
    </w:p>
    <w:p w14:paraId="3C6A0160" w14:textId="77777777" w:rsidR="004B2E7C" w:rsidRDefault="004B2E7C" w:rsidP="00434A6A">
      <w:pPr>
        <w:pStyle w:val="2"/>
        <w:rPr>
          <w:rtl/>
        </w:rPr>
      </w:pPr>
      <w:r>
        <w:rPr>
          <w:rtl/>
        </w:rPr>
        <w:t>סעיף א</w:t>
      </w:r>
    </w:p>
    <w:p w14:paraId="49C39884" w14:textId="77777777" w:rsidR="004B2E7C" w:rsidRDefault="004B2E7C" w:rsidP="00FF2D21">
      <w:pPr>
        <w:pStyle w:val="aa"/>
        <w:numPr>
          <w:ilvl w:val="0"/>
          <w:numId w:val="129"/>
        </w:numPr>
        <w:rPr>
          <w:rtl/>
        </w:rPr>
      </w:pPr>
      <w:r>
        <w:rPr>
          <w:rtl/>
        </w:rPr>
        <w:t xml:space="preserve">טור- </w:t>
      </w:r>
      <w:r>
        <w:rPr>
          <w:rFonts w:cs="Arial"/>
          <w:rtl/>
        </w:rPr>
        <w:t>אין האשה יוצאה בחוטי צמר ולא בחוטי פשתן ולא ברצועות שבראשה מפני שצריכה להסירם בשעת טבילה חיישינן דילמא אתי לאתויינהו ארבע אמות בר"ה ופירש"י אפילו הם קלועות לה בשערה ור"ת פי' שאם הם קלועות בשערה מותר דלא חיישינן דילמא אתי לאתויינהו שאסור לסתור קליעת שערה אלא מיירי באותן שהן על ראשה ואם הם ארוגים מותר שהן רכים והמים נכנסין ואינה צריכה להסירם בשעת טבילה</w:t>
      </w:r>
      <w:r>
        <w:rPr>
          <w:rStyle w:val="a9"/>
          <w:rFonts w:cs="Arial"/>
          <w:rtl/>
        </w:rPr>
        <w:footnoteReference w:id="1150"/>
      </w:r>
      <w:r>
        <w:rPr>
          <w:rFonts w:cs="Arial"/>
          <w:rtl/>
        </w:rPr>
        <w:t xml:space="preserve"> ובלבד שלא יהו מטונפים שאז צריכה להסירה מפני הטיט שחוצץ ולא יהו מוזהבים שאז חוששת עליהם שלא יתקלקלו במים ותסירם ודוקא בחוטין שבראשה אבל בחוטין שבצוארה מותר שהם רפויים ואינה צריכה להסירם אבל בקטלא שבצוארה אסור שהיא מהדקת אותה כדי שתראה בעלת בשר וחוצצת ואינה יוצאה בטוטפת והוא כמין ציץ ומגיע מאוזן לאוזן ולא בסרביטין והוא גם כן כמין ציץ ואינה מגיע אלא עד הלחיים וה"מ כשאינן קשורין בשבכה אבל אם קשורין בשבכה שרי</w:t>
      </w:r>
      <w:r>
        <w:rPr>
          <w:rStyle w:val="a9"/>
          <w:rFonts w:cs="Arial"/>
          <w:rtl/>
        </w:rPr>
        <w:footnoteReference w:id="1151"/>
      </w:r>
      <w:r>
        <w:rPr>
          <w:rFonts w:cs="Arial"/>
          <w:rtl/>
        </w:rPr>
        <w:t xml:space="preserve"> ולא תצא בכיפה של צמר פירוש חוטי דעמרא דגדילין ועבידי כי הוצא ורחבין כשתי אצבעות כשעור ציץ ולא באיצטימא והוא מטלית שתולין בו חוטין של צבעונין ותולין אותו לכלה להבריח ממנה זבובים שאם יעמוד לה זבוב על פניה היא מתביישת לטורדו ולא תצא בעיר של זהב ופירש"י ברזנג"א ור"ת פירש כעין עטרת לראש כלילא אם הוא עשוי מחתיכות דקות של זהב חרוזות בחוט אסור ואם החתיכות תפורות על המטלית שרי דסוקיא פירוש חתיכת מעיל רחבה אם יש בה רצועות קצרות תלויות בה לקושרה בהם ולהדקה סביבותיה דמיהדק שרי ולא חיישינן דילמא מישרא קיטרי ואתו לאתויינהו אין לו רצועות אסור ולא תצא בקטלא והוא בגד חשוב לתלות בצוארה נגד לבה שלא יפול מה שהיא אוכלת על בגדיה ויש לו שנצים כעין מכנסים ומכניסין בה רצועה רחבה וקושרת סביב צוארה והבגד תלוי על לבה ולא בנזמי האף אבל יוצאה בנזמי האוזן</w:t>
      </w:r>
      <w:r>
        <w:rPr>
          <w:rStyle w:val="a9"/>
          <w:rFonts w:cs="Arial"/>
          <w:rtl/>
        </w:rPr>
        <w:footnoteReference w:id="1152"/>
      </w:r>
      <w:r>
        <w:rPr>
          <w:rFonts w:cs="Arial"/>
          <w:rtl/>
        </w:rPr>
        <w:t xml:space="preserve"> ולא תצא במחט שמחלקת בה שערה אפילו אם הוא עשוי להתקשט בו אבל מחט שמעמדת בו קשוריה יכולה לצאת בה ולא תצא במחט נקובה ואם יצאה חייבת וכשאינה נקובה לא תצא ואם יצאה פטורה ולא בטבעת שיש עליה חותם ואם יצתה חייבת וכשאין עליה חותם לא תצא ואם יצתה פטורה ולא תצא בכולייר ופירש"י נושקא</w:t>
      </w:r>
      <w:r>
        <w:rPr>
          <w:rStyle w:val="a9"/>
          <w:rFonts w:cs="Arial"/>
          <w:rtl/>
        </w:rPr>
        <w:footnoteReference w:id="1153"/>
      </w:r>
      <w:r>
        <w:rPr>
          <w:rFonts w:cs="Arial"/>
          <w:rtl/>
        </w:rPr>
        <w:t xml:space="preserve"> ור"ת פירש כעין רדיד ובערוך פירש כעין עטרה ולא בכובלת והוא קשר של בושם שמתקשטת בו שן תותבת פירוש אם נפל אחת משיניה ומשימה אחרת במקומו אם הוא של זהב לא תצא בו ואם הוא של כסף או של אדם מותר לא תצא במנעל הקרוע למעלה שגנאי הוא לה ומחכו עלה ואתיא לאתוייה ולא במנעל חדש</w:t>
      </w:r>
      <w:r>
        <w:rPr>
          <w:rStyle w:val="a9"/>
          <w:rFonts w:cs="Arial"/>
          <w:rtl/>
        </w:rPr>
        <w:footnoteReference w:id="1154"/>
      </w:r>
      <w:r>
        <w:rPr>
          <w:rFonts w:cs="Arial"/>
          <w:rtl/>
        </w:rPr>
        <w:t xml:space="preserve"> שמא לא יבא למדתה אא"כ נסתה ללכת בו מאתמול שהוא למדתה אבל איש מותר שאינו מקפיד כל כך יוצאה בחוטי שיער בין אם החוטים עשויין משערה או משער חבירתה ואפילו משער בהמה</w:t>
      </w:r>
      <w:r>
        <w:rPr>
          <w:rStyle w:val="a9"/>
          <w:rFonts w:cs="Arial"/>
          <w:rtl/>
        </w:rPr>
        <w:footnoteReference w:id="1155"/>
      </w:r>
      <w:r>
        <w:rPr>
          <w:rFonts w:cs="Arial"/>
          <w:rtl/>
        </w:rPr>
        <w:t xml:space="preserve"> ובלבד שלא תצא זקנה בשל ילדה ולא ילדה בשל זקנה והרמב"ם ז"ל התיר לילדה בשל זקנה ויוצאה בחומרתא דקטיפתא ובמוך הקשור ומהודק באזנה ובמוך שבסנדלה הקשור לה בעקבה וכתב בספר המצות דסנדל ומנעל שלנו מותר לתת לתוכו מוך אפילו בלא קשור דלא נפיל מיניה ומותר ליתנו לכתחלה בשבת ובמוך שתקנה לנדתה אפילו אינו קשור דכיון שהוא מאוס לא חיישינן דלמא שקלא ואתייה אפילו אם יש לו בית יד ובפלפל ובגרגיר מלח ובזנגביל ובקנמון שתתן לתוך פיה ובלבד שלא תתנם לכתחלה בשבת ואם נפל לא תחזיר וכתב בספר המצות מי שיש לו ריח הפה יכול לצאת בפלפל שבפיו ומסופקני אם יכול ליתנו לכתחלה או לא וכתב ר"י שיכולה לצאת בבתי שוקיים שקושרים במשיחה סביב שוקיה אף על פי שאין המשיחה קשור בהם ולא חיישינן שמא ישתלשלו למטה ובכל מה שיכולה לצאת יכולה להתירו בר"ה ולא חיישינן דילמא מתיא ליה ויוצאה בחצר בכבול ובפיאה נכרית פירוש קליעת שער שקולעת בתוך שערה אבל כל שאר הדברים שאסורה לצאת בר"ה אסורה לצאת בהן גם בחצר אבל ר"ת פי' דגם בשאר הדברים מותרת לצאת בחצר אפילו אינה מעורבת אבל לא בכרמלית אלא הנח להן לבנות ישראל מוטב שיהו שוגגות ואל יהו מזידות ובעל התרומות חילק כל דבר שאסור משום דילמא שלפא ומחויא ליה ואסרוה אפי' בחצר אטו רשות הרבים לדידן דלית לן רשות הרבים שרי אבל דבר שהוא משוי ובר"ה אסור מן התורה אסור נמי לדידן:</w:t>
      </w:r>
    </w:p>
    <w:p w14:paraId="6FBED538" w14:textId="77777777" w:rsidR="004B2E7C" w:rsidRDefault="004B2E7C" w:rsidP="00FF2D21">
      <w:pPr>
        <w:pStyle w:val="aa"/>
        <w:numPr>
          <w:ilvl w:val="0"/>
          <w:numId w:val="129"/>
        </w:numPr>
        <w:rPr>
          <w:rtl/>
        </w:rPr>
      </w:pPr>
      <w:r>
        <w:rPr>
          <w:rFonts w:cs="Arial"/>
          <w:rtl/>
        </w:rPr>
        <w:t>בכל מקום הבנות קטנות שנוקבים אזניהן ואין נותנין בהן נזמים עד שיגדלו ונותנין חוטין בנקבים כדי שלא יסתמו אם הם צבועים אסורים לילך בהם ואם אינן צבועין מותרין ויש שנותנין בהן קסמין והם ג"כ מותרין ואשה יוצאה רעולה והוא שמעטפת כל ראשה חוץ מהפנים ויוצאה פרופה והוא שמתעטפת בטלית שיש בראשו האחת רצועה וקושרת אגוז או אבן שיחדה אותה לכך בראשה השני וכורכת הרצועה באגוז או באבן כדי שלא יפול הטלית אבל על המטבע אסור לפרוף דלאו בר טילטול הוא ולא מהני ביה יחוד וכתב הרמב"ם ז"ל אם פרפה המטבע מאתמול מותר לצאת בו ואינה יכולה לכרוך על האגוז אם מכוונת להוציא האגוז אבל יכולה לכרוך עליו כדי להוציאו לכרמלית ויוצאה באבן תקומה ובמשקל ששקלו כנגדו כדי שלא תפיל ואפילו לא נתעברה עדיין אסור לאשה שתעביר סרק על פניה בשבת משום צובע ולא לכחול עיניה ואסור לה להיות קולעת שערה ולא להתיר קליעתה אבל יכולה לחלוק שערה:</w:t>
      </w:r>
    </w:p>
    <w:p w14:paraId="0706BA50" w14:textId="77777777" w:rsidR="004B2E7C" w:rsidRDefault="004B2E7C" w:rsidP="00434A6A">
      <w:r>
        <w:rPr>
          <w:rFonts w:cs="Arial"/>
          <w:rtl/>
        </w:rPr>
        <w:t>א אין האשה יוצאה בחוטי צמר וכו'. משנה וגמרא ריש פרק במה אשה (נז.):</w:t>
      </w:r>
    </w:p>
    <w:p w14:paraId="28263102" w14:textId="77777777" w:rsidR="004B2E7C" w:rsidRDefault="004B2E7C" w:rsidP="00434A6A">
      <w:pPr>
        <w:rPr>
          <w:rtl/>
        </w:rPr>
      </w:pPr>
      <w:r>
        <w:rPr>
          <w:rFonts w:cs="Arial"/>
          <w:rtl/>
        </w:rPr>
        <w:t>ומה שכתב בשם רבינו תם. כך פירשו שם התוספות (ד"ה במה) והרא"ש (סי' א) והר"ן (כה: ד"ה וכתבו):</w:t>
      </w:r>
    </w:p>
    <w:p w14:paraId="5C32D811" w14:textId="77777777" w:rsidR="004B2E7C" w:rsidRDefault="004B2E7C" w:rsidP="00434A6A">
      <w:pPr>
        <w:rPr>
          <w:rtl/>
        </w:rPr>
      </w:pPr>
      <w:r>
        <w:rPr>
          <w:rFonts w:cs="Arial"/>
          <w:rtl/>
        </w:rPr>
        <w:t>ומה שאמר ואם הם ארוגים מותר. שם בעיא דאיפשיטא:</w:t>
      </w:r>
    </w:p>
    <w:p w14:paraId="2597E2D0" w14:textId="77777777" w:rsidR="004B2E7C" w:rsidRDefault="004B2E7C" w:rsidP="00434A6A">
      <w:pPr>
        <w:rPr>
          <w:rtl/>
        </w:rPr>
      </w:pPr>
      <w:r>
        <w:rPr>
          <w:rFonts w:cs="Arial"/>
          <w:rtl/>
        </w:rPr>
        <w:t>ומ"ש ובלבד שלא יהיו מטונפים וכו'. בפשיטות הבעיא הנזכרת איכא תרי לישני ואמרינן איכא בינייהו דטניפן ופירש רש"י שנטנפו בטיט ומקפדת להסירן בשעת טבילה לפי שהמים ממחין הטיט ובעלותה מהטבילה ירד הטיט על בשרה ותתלכלך וכתב הרא"ש (שם) שיש מפרשים דטניפן כגון שהחוטים מוזהבים ויפים ומיטנפים מחמת המים ולכך מקפידות להסירן בשעת טבילה שלא יתלכלכו. ורבינו פסק כלישנא בתרא דמחמיר וכדברי השני פירושים וכן כתבו הגהות בפרק י"ט (אות ח קמא) בשם סמ"ג (לאוין סה, יח ע"ב) אבל הרמב"ם בפרק הנזכר (ה"ט) נראה שפסק כלישנא קמא דכל שהוא ארוג לא גזרו ולא מפליג בין טניפן ללא טניפן וטעמו משום דכיון דפלוגתא במידי דרבנן הוא נקטינן לקולא ולא חיישינן ללישנא בתרא דמחמיר ועוד דהני תרי לישני בדברי רב הונא בריה דרב יהושע נינהו אבל רב דאיבעי מיניה האי בעיא פשיט דכל שהוא משום אריג לא גזרו וכלישנא קמא דאיתמר אליבא דרב הונא בריה דרב יהושע וכיון דרב פשיטא ליה הכי ולחד לישנא רב הונא בריה דרב יהושע סבר הכי הכי נקטינן: וכתב הר"ן (כו. ד"ה גמ' בעי) איכא מאן דאמר דוקא ארוג שהוא חלול כי הנך תיכי חלילתא דאיבעיא התם אבל ארוג שאינו חלול חוצץ כלומר וכיון שכן אסור לצאת בו בשבת ורבינו כתב בהלכות טבילה (יו"ד סי' קצח פד.) סברא זו בשם הראב"ד (בעה"נ שער הטבילה ריש דיני חפיפה):</w:t>
      </w:r>
    </w:p>
    <w:p w14:paraId="4EE508D9"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3914B04" w14:textId="77777777" w:rsidR="004B2E7C" w:rsidRDefault="004B2E7C" w:rsidP="00434A6A">
      <w:pPr>
        <w:rPr>
          <w:rFonts w:asciiTheme="minorBidi" w:hAnsiTheme="minorBidi"/>
          <w:rtl/>
        </w:rPr>
      </w:pPr>
      <w:r>
        <w:rPr>
          <w:rFonts w:asciiTheme="minorBidi" w:hAnsiTheme="minorBidi" w:cs="Arial"/>
          <w:rtl/>
        </w:rPr>
        <w:t xml:space="preserve">לא תצא אשה בחוטי צמר ולא בחוטי פשתן ולא ברצועות שבראשה, מפני שצריכה להסירם בשעת טבילה חיישינן שמא תוליכם ד' אמות ברשות הרבים. ואם הם קלועות בשערה, מותר. ויש מי שאוסר. ואם הם מעשה אריגה, מותר שא"צ להסירם בשעת טבילה. הגה: ובלבד שלא יהיו מטונפות או מוזהבים דאז מסירן כדי שלא יתטנפו במים (טור והרא"ש וסמ"ג). </w:t>
      </w:r>
    </w:p>
    <w:p w14:paraId="37F7BEA8" w14:textId="77777777" w:rsidR="004B2E7C" w:rsidRDefault="004B2E7C" w:rsidP="00434A6A">
      <w:pPr>
        <w:pStyle w:val="2"/>
        <w:rPr>
          <w:rtl/>
        </w:rPr>
      </w:pPr>
      <w:r>
        <w:rPr>
          <w:rtl/>
        </w:rPr>
        <w:t>סעיף ב</w:t>
      </w:r>
    </w:p>
    <w:p w14:paraId="365A0395" w14:textId="77777777" w:rsidR="004B2E7C" w:rsidRDefault="004B2E7C" w:rsidP="00434A6A">
      <w:pPr>
        <w:rPr>
          <w:rtl/>
        </w:rPr>
      </w:pPr>
      <w:r>
        <w:rPr>
          <w:rFonts w:cs="Arial"/>
          <w:rtl/>
        </w:rPr>
        <w:t>ב ומה שכתב ודוקא בחוטין שבראשה וכו' אבל בקטלא שבצוארה. גם זה שם בגמרא:</w:t>
      </w:r>
    </w:p>
    <w:p w14:paraId="364828B9" w14:textId="77777777" w:rsidR="004B2E7C" w:rsidRDefault="004B2E7C" w:rsidP="00434A6A">
      <w:pPr>
        <w:rPr>
          <w:rtl/>
        </w:rPr>
      </w:pPr>
      <w:r>
        <w:rPr>
          <w:rFonts w:cs="Arial"/>
          <w:rtl/>
        </w:rPr>
        <w:t>ואינה יוצאת בטוטפת וכו' ולא בשרביטין וכו'. משנה שם לא בטוטפת ולא בסרביטין בזמן שאינן תפורין לה ובגמרא (נז:) אמר רבי אבהו טוטפת המוקפת לה מאזן לאזן סרביטין המגיעים לה עד לחיים. ופירש רש"י המקפת. את הפדחת מאזן לאזן: המגיעים עד לחיים. על ראשה כורכתו ותולה לה על לחיים מכאן ומכאן. וכך הם דברי הרמב"ם בפרק י"ט:</w:t>
      </w:r>
    </w:p>
    <w:p w14:paraId="094F0086"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6D3DAD0" w14:textId="77777777" w:rsidR="004B2E7C" w:rsidRDefault="004B2E7C" w:rsidP="00434A6A">
      <w:pPr>
        <w:rPr>
          <w:rFonts w:asciiTheme="minorBidi" w:hAnsiTheme="minorBidi"/>
          <w:rtl/>
        </w:rPr>
      </w:pPr>
      <w:r>
        <w:rPr>
          <w:rFonts w:asciiTheme="minorBidi" w:hAnsiTheme="minorBidi" w:cs="Arial"/>
          <w:rtl/>
        </w:rPr>
        <w:t xml:space="preserve">מותר לצאת בחוטין שבצוארה, שהם רפוים וא"צ להסירם בשעת טבילה, אבל בקטלא שבצוארה, אסור, מפני שצריכה להסירם בשעת הטבילה לפי שהיא מהדקת אותה כדי שתראה בעלת בשר, וחיישינן דלמא אתי לאתויי ד"א ברשות הרבים. ולא תצא בטוטפת, והוא כמין ציץ ומגיע מאוזן לאוזן, ולא בשרביטין, והוא ג"כ ציץ ואינו מגיע אלא עד לחיים שכורכתו על ראשה ותולה לה על לחייה מכאן ומכאן, והוא שאינם תפורים בשבכה, דחיישינן דלמא שלפא לאחוויי ואתי לאתויי ד"א ברשות הרבים; אבל אם תפורים ליכא למיחש להכי, ומותר. הגה: וי"א דבתולה שאינה חוששת לגילוי ראשה, אפילו תפורה בשבכה אסור, דחיישינן שמא תסירה עם השבכה, ואתי לאתויי (א"ז). </w:t>
      </w:r>
    </w:p>
    <w:p w14:paraId="787E37FF" w14:textId="77777777" w:rsidR="004B2E7C" w:rsidRDefault="004B2E7C" w:rsidP="00434A6A">
      <w:pPr>
        <w:pStyle w:val="2"/>
        <w:rPr>
          <w:rtl/>
        </w:rPr>
      </w:pPr>
      <w:r>
        <w:rPr>
          <w:rtl/>
        </w:rPr>
        <w:t>סעיף ג</w:t>
      </w:r>
    </w:p>
    <w:p w14:paraId="1D373B0F" w14:textId="77777777" w:rsidR="004B2E7C" w:rsidRDefault="004B2E7C" w:rsidP="00434A6A">
      <w:pPr>
        <w:rPr>
          <w:rtl/>
        </w:rPr>
      </w:pPr>
      <w:r>
        <w:rPr>
          <w:rFonts w:cs="Arial"/>
          <w:rtl/>
        </w:rPr>
        <w:t>ג ולא תצא בכיפה של צמר. גם זה משנה שם (נז.) ולא בכבול ומפרש בגמרא (נז:) דהיינו כפה של צמר ופירש הרי"ף (כו:) דהיינו חוטי דעמרא דגדילן ועבידן כי הוצא ורחב שתי אצבעות שיעור ציץ ורש"י פירש כפה ככובע שתחת השבכה:</w:t>
      </w:r>
    </w:p>
    <w:p w14:paraId="6AE16705" w14:textId="77777777" w:rsidR="004B2E7C" w:rsidRDefault="004B2E7C" w:rsidP="00434A6A">
      <w:pPr>
        <w:rPr>
          <w:rtl/>
        </w:rPr>
      </w:pPr>
      <w:r>
        <w:rPr>
          <w:rFonts w:cs="Arial"/>
          <w:rtl/>
        </w:rPr>
        <w:t>ולא באיצטימא. שם בברייתא ופירש רבינו בה כדברי הרי"ף (שם) ורש"י פירש בענין אחר:</w:t>
      </w:r>
    </w:p>
    <w:p w14:paraId="643A09F9"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19D89AC" w14:textId="77777777" w:rsidR="004B2E7C" w:rsidRDefault="004B2E7C" w:rsidP="00434A6A">
      <w:pPr>
        <w:rPr>
          <w:rFonts w:asciiTheme="minorBidi" w:hAnsiTheme="minorBidi"/>
          <w:rtl/>
        </w:rPr>
      </w:pPr>
      <w:r>
        <w:rPr>
          <w:rFonts w:asciiTheme="minorBidi" w:hAnsiTheme="minorBidi" w:cs="Arial"/>
          <w:rtl/>
        </w:rPr>
        <w:t xml:space="preserve">לא תצא בכיפה של צמר, דהיינו חוטי דעמרא דגדילין ועבידי כי הוצא (פי' ככלים העשוים מעלי לולבי הדקלים שהם באריגה, משא"כ איצטמא העשויה כמין לבד כדאיתא בגמרא שם), ורחבים כשתי אצבעות כשיעור ציץ, ולא באיצטמא דהיינו מטלית שתולין בו חוטין של צבעונין ותולין אותו לכלה להפריח ממנה הזבובים. </w:t>
      </w:r>
    </w:p>
    <w:p w14:paraId="33B75AC2" w14:textId="77777777" w:rsidR="004B2E7C" w:rsidRDefault="004B2E7C" w:rsidP="00434A6A">
      <w:pPr>
        <w:pStyle w:val="2"/>
        <w:rPr>
          <w:rtl/>
        </w:rPr>
      </w:pPr>
      <w:r>
        <w:rPr>
          <w:rtl/>
        </w:rPr>
        <w:t>סעיף ד</w:t>
      </w:r>
    </w:p>
    <w:p w14:paraId="1C21A510" w14:textId="77777777" w:rsidR="004B2E7C" w:rsidRDefault="004B2E7C" w:rsidP="00434A6A">
      <w:pPr>
        <w:rPr>
          <w:rtl/>
        </w:rPr>
      </w:pPr>
      <w:r>
        <w:rPr>
          <w:rFonts w:cs="Arial"/>
          <w:rtl/>
        </w:rPr>
        <w:t>ד ולא תצא בעיר של זהב וכו'. גם זה שם במשנה (נז.) ופירש רש"י כמין נושקא ומציירין בה כמין עיר וביאר הרא"ש (סי' ד) דבריו שהוא כמין כבנתא והוא תכשיט עגול ויש באמצע לשון שבו מחברין אותו למלבוש:</w:t>
      </w:r>
    </w:p>
    <w:p w14:paraId="51C60F75"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64BE1A2" w14:textId="77777777" w:rsidR="004B2E7C" w:rsidRDefault="004B2E7C" w:rsidP="00434A6A">
      <w:pPr>
        <w:rPr>
          <w:rFonts w:asciiTheme="minorBidi" w:hAnsiTheme="minorBidi"/>
          <w:rtl/>
        </w:rPr>
      </w:pPr>
      <w:r>
        <w:rPr>
          <w:rFonts w:asciiTheme="minorBidi" w:hAnsiTheme="minorBidi" w:cs="Arial"/>
          <w:rtl/>
        </w:rPr>
        <w:t xml:space="preserve">לא תצא בעיר של זהב, ופירש"י שהוא תכשיט עגול ומציירין בו כמין עיר, ויש באמצע לשון שמחברים אותו למלבוש, ור"ת פי' שהוא כעין עטרה לראש. </w:t>
      </w:r>
    </w:p>
    <w:p w14:paraId="181BCD6F" w14:textId="77777777" w:rsidR="004B2E7C" w:rsidRDefault="004B2E7C" w:rsidP="00434A6A">
      <w:pPr>
        <w:pStyle w:val="2"/>
        <w:rPr>
          <w:rtl/>
        </w:rPr>
      </w:pPr>
      <w:r>
        <w:rPr>
          <w:rtl/>
        </w:rPr>
        <w:t>סעיף ה</w:t>
      </w:r>
    </w:p>
    <w:p w14:paraId="7DA4DD08" w14:textId="77777777" w:rsidR="004B2E7C" w:rsidRDefault="004B2E7C" w:rsidP="00434A6A">
      <w:pPr>
        <w:rPr>
          <w:rtl/>
        </w:rPr>
      </w:pPr>
      <w:r>
        <w:rPr>
          <w:rFonts w:cs="Arial"/>
          <w:rtl/>
        </w:rPr>
        <w:t>ה כלילא אם הוא עשוי מחתיכות דקות של זהב וכו'. שם (נט:) כלילא רב אסר ושמואל שרי ופירש רש"י כלילא על פדחתה היא קושרתו מאזן לאזן עכ"ל ולא דמי לטוטפת דטוטפת אינו קשור אלא מונח על פדחתה ואם באה לקושרו קושרתו בשבכה אבל כלילא אינה מניחתו על פדחתה בלי קשירה ואינה קושרתו בשבכה אלא רצועות תלויות בו וקושרתן בהם ואיתא בגמרא דאניסכא כולי עלמא לא פליגי דאסיר כי פליגי בארוקתא רב אשי מתני לקולא דארוקתא כולי עלמא לא פליגי דשרי כי פליגי דאניסכא ופירש הרי"ף (כז.) אניסכא חוט של כסף או של זהב כלומר שהם חתיכות חתיכות נקובות ומכניסין לתוכן חוט להעמידן פירוש רוקתא כגון מטלית שאותן חתיכות קבועות על המטלית. ופסק הרא"ש (שם) כלישנא דרב אשי וכרב דאסר בדניסכא אבל מדברי הרי"ף נראה דאפילו בדניסכא שרי מדדרש לוי כלילא שרי ולא חילק בין דניסכא לדרוקתא וכן דעת הרמב"ם בפרק י"ט (ה"י):</w:t>
      </w:r>
    </w:p>
    <w:p w14:paraId="38C08793"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D1DDC0E" w14:textId="77777777" w:rsidR="004B2E7C" w:rsidRDefault="004B2E7C" w:rsidP="00434A6A">
      <w:pPr>
        <w:rPr>
          <w:rFonts w:asciiTheme="minorBidi" w:hAnsiTheme="minorBidi"/>
          <w:rtl/>
        </w:rPr>
      </w:pPr>
      <w:r>
        <w:rPr>
          <w:rFonts w:asciiTheme="minorBidi" w:hAnsiTheme="minorBidi" w:cs="Arial"/>
          <w:rtl/>
        </w:rPr>
        <w:t xml:space="preserve">כלילא, והוא תכשיט שמניחתו על פדחתה מאוזן לאוזן וקושרתו ברצועות התלויות, מותרת לצאת בו בין שהיא עשויה מחתיכות של זהב חרוזות בחוט בין שאותן חתיכות קבועות במטלית. </w:t>
      </w:r>
    </w:p>
    <w:p w14:paraId="0D8FF422" w14:textId="77777777" w:rsidR="004B2E7C" w:rsidRDefault="004B2E7C" w:rsidP="00434A6A">
      <w:pPr>
        <w:pStyle w:val="2"/>
        <w:rPr>
          <w:rtl/>
        </w:rPr>
      </w:pPr>
      <w:r>
        <w:rPr>
          <w:rtl/>
        </w:rPr>
        <w:t>סעיף ו</w:t>
      </w:r>
    </w:p>
    <w:p w14:paraId="6695772B" w14:textId="77777777" w:rsidR="004B2E7C" w:rsidRDefault="004B2E7C" w:rsidP="00434A6A">
      <w:pPr>
        <w:rPr>
          <w:rtl/>
        </w:rPr>
      </w:pPr>
      <w:r>
        <w:rPr>
          <w:rFonts w:cs="Arial"/>
          <w:rtl/>
        </w:rPr>
        <w:t>ו דסוקיא פירוש חתיכת מעיל וכו'. שם אמר רב אשי האי דסוקיא אי אית מפרחייתא שרי ודברי רבינו כפירוש רש"י והרי"ף (כז.) פירש בענין אחר:</w:t>
      </w:r>
    </w:p>
    <w:p w14:paraId="0F099D04"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ED9679C" w14:textId="77777777" w:rsidR="004B2E7C" w:rsidRDefault="004B2E7C" w:rsidP="00434A6A">
      <w:pPr>
        <w:rPr>
          <w:rFonts w:asciiTheme="minorBidi" w:hAnsiTheme="minorBidi"/>
          <w:rtl/>
        </w:rPr>
      </w:pPr>
      <w:r>
        <w:rPr>
          <w:rFonts w:asciiTheme="minorBidi" w:hAnsiTheme="minorBidi" w:cs="Arial"/>
          <w:rtl/>
        </w:rPr>
        <w:t xml:space="preserve">רסוקיא, דהיינו חתיכת מעיל רחבה, אם יש בה רצועות קצרות תלויות בה לקושרן בהם ולהדקן סביבותיה דמהדק, שרי, ואם אין לו רצועות, אסור. </w:t>
      </w:r>
    </w:p>
    <w:p w14:paraId="7568BE9C" w14:textId="77777777" w:rsidR="004B2E7C" w:rsidRDefault="004B2E7C" w:rsidP="00434A6A">
      <w:pPr>
        <w:pStyle w:val="2"/>
        <w:rPr>
          <w:rtl/>
        </w:rPr>
      </w:pPr>
      <w:r>
        <w:rPr>
          <w:rtl/>
        </w:rPr>
        <w:t>סעיף ז</w:t>
      </w:r>
    </w:p>
    <w:p w14:paraId="4E655916" w14:textId="77777777" w:rsidR="004B2E7C" w:rsidRDefault="004B2E7C" w:rsidP="00434A6A">
      <w:pPr>
        <w:rPr>
          <w:rtl/>
        </w:rPr>
      </w:pPr>
      <w:r>
        <w:rPr>
          <w:rFonts w:cs="Arial"/>
          <w:rtl/>
        </w:rPr>
        <w:t>ז ולא תצא בקטלא. שם במשנה (נז.) ובגמרא (נט:) מאי קטלא מנקטא פארי ופירש רש"י בגד שיש לו שנצים כעין מכנסיים וכו' והבגד תלוי על לבה והוא חשוב ומצוייר בזהב:</w:t>
      </w:r>
    </w:p>
    <w:p w14:paraId="211788EC"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EEC76BD" w14:textId="77777777" w:rsidR="004B2E7C" w:rsidRDefault="004B2E7C" w:rsidP="00434A6A">
      <w:pPr>
        <w:rPr>
          <w:rFonts w:asciiTheme="minorBidi" w:hAnsiTheme="minorBidi"/>
          <w:rtl/>
        </w:rPr>
      </w:pPr>
      <w:r>
        <w:rPr>
          <w:rFonts w:asciiTheme="minorBidi" w:hAnsiTheme="minorBidi" w:cs="Arial"/>
          <w:rtl/>
        </w:rPr>
        <w:t xml:space="preserve">לא תצא בקטלא, דהיינו בגד שיש לו שנצים כעין מכנסים ומכניסים בו רצועה רחבה וקושרה סביב צוארה והבגד תלוי על לבה, והוא חשוב ומצוייר בזהב. </w:t>
      </w:r>
    </w:p>
    <w:p w14:paraId="7094028E" w14:textId="77777777" w:rsidR="004B2E7C" w:rsidRDefault="004B2E7C" w:rsidP="00434A6A">
      <w:pPr>
        <w:pStyle w:val="2"/>
        <w:rPr>
          <w:rtl/>
        </w:rPr>
      </w:pPr>
      <w:r>
        <w:rPr>
          <w:rtl/>
        </w:rPr>
        <w:t>סעיף ח</w:t>
      </w:r>
    </w:p>
    <w:p w14:paraId="7932EFE1" w14:textId="77777777" w:rsidR="004B2E7C" w:rsidRDefault="004B2E7C" w:rsidP="00434A6A">
      <w:pPr>
        <w:rPr>
          <w:rtl/>
        </w:rPr>
      </w:pPr>
      <w:r>
        <w:rPr>
          <w:rFonts w:cs="Arial"/>
          <w:rtl/>
        </w:rPr>
        <w:t>ח ולא בנזמי האף. גם זה שם במשנה (נז.) ולא בנזמים ובגמרא (נט:) נזמים נזמי האף ופירש רש"י אבל נזמי האזן מותרין לכתחלה דטריחא לה מילתא למשלף ואחוויי מפני שאזניה מכוסות בקשוריה וכן כתבו התוספות (ד"ה נזמי) והרא"ש (סי' ו) והר"ן (כז. ד"ה מנקטא) והמרדכי (סי' שנב):</w:t>
      </w:r>
    </w:p>
    <w:p w14:paraId="322972F7"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B2C3AAE" w14:textId="77777777" w:rsidR="004B2E7C" w:rsidRDefault="004B2E7C" w:rsidP="00434A6A">
      <w:pPr>
        <w:rPr>
          <w:rFonts w:asciiTheme="minorBidi" w:hAnsiTheme="minorBidi"/>
          <w:rtl/>
        </w:rPr>
      </w:pPr>
      <w:r>
        <w:rPr>
          <w:rFonts w:asciiTheme="minorBidi" w:hAnsiTheme="minorBidi" w:cs="Arial"/>
          <w:rtl/>
        </w:rPr>
        <w:t xml:space="preserve">לא תצא בנזמי האף אבל יוצאה בנזמי האוזן. הגה: מפני שאזניה מכוסות. ובמקום שנוהגין לגלות האזנים, אסור לצאת בנזמים שבאוזן היכא דדרך להוציאם משם (א"ז). </w:t>
      </w:r>
    </w:p>
    <w:p w14:paraId="6AD413F4" w14:textId="77777777" w:rsidR="004B2E7C" w:rsidRDefault="004B2E7C" w:rsidP="00434A6A">
      <w:pPr>
        <w:pStyle w:val="2"/>
        <w:rPr>
          <w:rtl/>
        </w:rPr>
      </w:pPr>
      <w:r>
        <w:rPr>
          <w:rtl/>
        </w:rPr>
        <w:t>סעיף ט</w:t>
      </w:r>
    </w:p>
    <w:p w14:paraId="650E6376" w14:textId="77777777" w:rsidR="004B2E7C" w:rsidRDefault="004B2E7C" w:rsidP="00434A6A">
      <w:pPr>
        <w:rPr>
          <w:rtl/>
        </w:rPr>
      </w:pPr>
      <w:r>
        <w:rPr>
          <w:rFonts w:cs="Arial"/>
          <w:rtl/>
        </w:rPr>
        <w:t>ט, יח (א) ולא תצא במחט שמחלקת בה שערה וכו'. שם במשנה (נז.) ולא במחט שאינה נקובה ואם יצתה אינה חייבת חטאת ובגמרא (ס.) למאי חזיא אמר רב יוסף הואיל ואשה אוגרת בה שערה. ופירש רש"י למאי חזיא. לתכשיט דקתני אינה חייבת חטאת: אוגרת בה שערה. היוצא חוץ לקשוריה כורכתו סביב המחט ותוחבת המחט בשבכה מתחתיה שלא יראה שערה. וכתב הרא"ש (סי' ז) ויותר נראה לפרש שתוחבת המחט לתוך השבכה ואוגרת בה השבכה שלא יצאו שעריה חוץ לקישוריה וכן פירשו התוספות (ד"ה הואיל). אמר ליה אביי ותהוי כבירית טהורה ותשתרי ופירש רש"י ותהוי כבירית דתנן (סג.) דטהורה מלטמא ויוצאין בה משום דכיון דלצניעותא היא לא שלפא ומחויא והאי מחט נמי לצניעותא היא דשער באשה ערוה (ברכות כד.) ולא מחויא ואמאי לא תצא לכתחלה אלא תרגמה רב אדא הואיל ואשה חולקת בה שערה וכו': וכתב הרא"ש (שם) אבל מחט שהאשה מעמדת בה קישוריה שרי לצאת בה בשבת דהוי כמחט שאוגרת בה שערה עכ"ל ומשמע דהיינו דוקא באינה נקובה אבל בנקובה אסור וכן כתב רבינו ירוחם בחלק י"א (נתיב י"ב, פא ע"ג) וכן כתב סמ"ג (לאוין סה, כ ע"ג) דמחט נקובה אסור לצאת בה לרשות הרבים לסגור חלוקו סביב צוארו או אשה לקשור צעיפה אבל במחט שאינה נקובה מותר לצאת בענין הזה כשיש לה ראש מצד אחד הוא נקרא תכשיט וכן כתוב בספר התרומה (סי' רנד) ובהגהות מרדכי פט"ו (פי"ז סי' תסב, פא ע"ד): ומה שכתב סמ"ג (שם, יח ע"ב) וז"ל מחט שאינה נקובה וראשה אחד עב וסוגרת בה מפתחי חלוקה או הצעיף לא תצא ואם יצתה אינה חייבת חטאת ואסורים משום דילמא שלפא ומחויא וכתבוהו הגהות בפרק י"ט (דפוס קושטא ה"ח) וגם בספר התרומה (סי' רמ, צ ע"א) כתוב דמחט שאינה נקובה וראשה אחד עב וסוגרת מפתחי צוארה או בצעיף לא תצא. צריך לומר דהכי פירושו מחט שאינה נקובה שדרכה להיות סוגרת בה מפתחי חלוקה או בצעיף לא תצא בה כשהיא תחובה לה בבגדיה במקום שאינו סוגר ולא מעמיד הצעיף שאם הוא במקום שסוגר או מעמיד לכתחלה נמי שרי כדלעיל והאי דנקט וסוגרת בה וכו' כדי ליתן טעם למה כשיצאה תחובה לה בבגדיה אינה חייבת חטאת דכיון שדרכה להיות סוגרת בה מפתחי חלוקה וכו' הוי תכשיט ואפילו הכי לכתחלה לא תצא כל שאינה סוגרת ולא מעמדת משום דילמא שלפא ומחויא. וכן כתב רבינו ירוחם (שם) וז"ל ומכל מקום אותם הנשים שנוהגות לתכשיט לצאת עם מחטים ביותר ממה שצריכות להעמיד קשוריהן אסור כי בודאי יש לחוש אותן שמא ישלפם ושמא יעבירם ארבע אמות. וגם הגאון מההר"י אבוהב כתב וז"ל אבל מחט שמעמדת בה קשוריה יכולה לצאת בו אבל יש להזהר שלא תוציא אלא המחט הצריכה לזה שאם תוציא יותר מזה אסור והני נשי דידן אינם נזהרות בזה וראוי לגעור בהם שאפילו לא יגעור בהן על התכשיטין האחרים לפי שלא ישמעו לנו ומוטב שתהיינה שוגגות וכו' בזה ישמעו דברינו שאין להם תועלת כל כך בזה עכ"ל:</w:t>
      </w:r>
    </w:p>
    <w:p w14:paraId="740A8E64" w14:textId="77777777" w:rsidR="004B2E7C" w:rsidRDefault="004B2E7C" w:rsidP="00434A6A">
      <w:pPr>
        <w:rPr>
          <w:rtl/>
        </w:rPr>
      </w:pPr>
      <w:r>
        <w:rPr>
          <w:rFonts w:cs="Arial"/>
          <w:rtl/>
        </w:rPr>
        <w:t>ולא תצא במחט נקובה וכו'. שם במשנה (סב.) ומשמע דבכל גווני שיצתה בה חייבת אפילו אם מעמדת בה קישוריה דכיון דאין דרך להעמידם במחט נקובה לא הוי תכשיט והויא לה משוי:</w:t>
      </w:r>
    </w:p>
    <w:p w14:paraId="54057B14" w14:textId="77777777" w:rsidR="004B2E7C" w:rsidRDefault="004B2E7C" w:rsidP="00434A6A">
      <w:pPr>
        <w:rPr>
          <w:rtl/>
        </w:rPr>
      </w:pPr>
      <w:r>
        <w:rPr>
          <w:rFonts w:cs="Arial"/>
          <w:rtl/>
        </w:rPr>
        <w:t>ומ"ש ובשאינה נקובה לא תצא וכו'. כבר נתבאר בסמוך:</w:t>
      </w:r>
    </w:p>
    <w:p w14:paraId="714F85B4"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2C9499F" w14:textId="77777777" w:rsidR="004B2E7C" w:rsidRDefault="004B2E7C" w:rsidP="00434A6A">
      <w:pPr>
        <w:rPr>
          <w:rFonts w:asciiTheme="minorBidi" w:hAnsiTheme="minorBidi"/>
          <w:rtl/>
        </w:rPr>
      </w:pPr>
      <w:r>
        <w:rPr>
          <w:rFonts w:asciiTheme="minorBidi" w:hAnsiTheme="minorBidi" w:cs="Arial"/>
          <w:rtl/>
        </w:rPr>
        <w:t xml:space="preserve">לא תצא במחט נקובה, ואם יצאה, חייבת. ושאינה נקובה, אם מעמדת בה קישוריה מותר לצאת בו, ואם אינה מעמדת בה קישוריה, אסור. </w:t>
      </w:r>
    </w:p>
    <w:p w14:paraId="4F1A1CB9" w14:textId="77777777" w:rsidR="004B2E7C" w:rsidRDefault="004B2E7C" w:rsidP="00434A6A">
      <w:pPr>
        <w:pStyle w:val="2"/>
        <w:rPr>
          <w:rtl/>
        </w:rPr>
      </w:pPr>
      <w:r>
        <w:rPr>
          <w:rtl/>
        </w:rPr>
        <w:t>סעיף י</w:t>
      </w:r>
    </w:p>
    <w:p w14:paraId="37CCB562" w14:textId="77777777" w:rsidR="004B2E7C" w:rsidRDefault="004B2E7C" w:rsidP="00434A6A">
      <w:pPr>
        <w:rPr>
          <w:rtl/>
        </w:rPr>
      </w:pPr>
      <w:r>
        <w:rPr>
          <w:rFonts w:cs="Arial"/>
          <w:rtl/>
        </w:rPr>
        <w:t>י ולא בטבעת שיש עליה חותם וכו' עד ואם יצתה פטורה. שם במשנה (נז., סב.):</w:t>
      </w:r>
    </w:p>
    <w:p w14:paraId="435731B7"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31B0D67" w14:textId="77777777" w:rsidR="004B2E7C" w:rsidRDefault="004B2E7C" w:rsidP="00434A6A">
      <w:pPr>
        <w:rPr>
          <w:rFonts w:asciiTheme="minorBidi" w:hAnsiTheme="minorBidi"/>
          <w:rtl/>
        </w:rPr>
      </w:pPr>
      <w:r>
        <w:rPr>
          <w:rFonts w:asciiTheme="minorBidi" w:hAnsiTheme="minorBidi" w:cs="Arial"/>
          <w:rtl/>
        </w:rPr>
        <w:t xml:space="preserve">לא תצא בטבעת שיש עליה חותם, ואם יצאה, חייבת. וכשאין עליה חותם לא תצא, ואם יצאה, פטורה. </w:t>
      </w:r>
    </w:p>
    <w:p w14:paraId="3FDDECAE" w14:textId="77777777" w:rsidR="004B2E7C" w:rsidRDefault="004B2E7C" w:rsidP="00434A6A">
      <w:pPr>
        <w:pStyle w:val="2"/>
        <w:rPr>
          <w:rtl/>
        </w:rPr>
      </w:pPr>
      <w:r>
        <w:rPr>
          <w:rtl/>
        </w:rPr>
        <w:t>סעיף יא</w:t>
      </w:r>
    </w:p>
    <w:p w14:paraId="3FCD94E6" w14:textId="77777777" w:rsidR="004B2E7C" w:rsidRDefault="004B2E7C" w:rsidP="00434A6A">
      <w:pPr>
        <w:rPr>
          <w:rtl/>
        </w:rPr>
      </w:pPr>
      <w:r>
        <w:rPr>
          <w:rFonts w:cs="Arial"/>
          <w:rtl/>
        </w:rPr>
        <w:t>יא ולא תצא בכולייר. גם זה משנה שם (סב.) ומפרש בגמרא (שם) מאי כולייר מכבנתא ופירש רש"י נושק"א על שם שמכבנת וקושרת מפתחי החלוק:</w:t>
      </w:r>
    </w:p>
    <w:p w14:paraId="4CD60330" w14:textId="77777777" w:rsidR="004B2E7C" w:rsidRDefault="004B2E7C" w:rsidP="00434A6A">
      <w:pPr>
        <w:rPr>
          <w:rtl/>
        </w:rPr>
      </w:pPr>
      <w:r>
        <w:rPr>
          <w:rFonts w:cs="Arial"/>
          <w:rtl/>
        </w:rPr>
        <w:t>ולא בכובלת. גם זה משנה שם ובגמרא (שם) מאי כובלת חומרתא דפילון ופירש רש"י קשר שקשור בו סם וריחו ערב ואשה שריחה רע טוענתו עליה ורבנן סברי תכשיט הוא הילכך אם יצתה פטורה ומיהו לכתחלה לא תצא דילמא שלפא ומחויא:</w:t>
      </w:r>
    </w:p>
    <w:p w14:paraId="494514CA"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A3B66BE" w14:textId="77777777" w:rsidR="004B2E7C" w:rsidRDefault="004B2E7C" w:rsidP="00434A6A">
      <w:pPr>
        <w:rPr>
          <w:rFonts w:asciiTheme="minorBidi" w:hAnsiTheme="minorBidi"/>
          <w:rtl/>
        </w:rPr>
      </w:pPr>
      <w:r>
        <w:rPr>
          <w:rFonts w:asciiTheme="minorBidi" w:hAnsiTheme="minorBidi" w:cs="Arial"/>
          <w:rtl/>
        </w:rPr>
        <w:t xml:space="preserve">לא תצא בכולייאר, והוא תכשיט שקושרת בו מפתחי חלוקה, ולא בכובלת. והוא קשר שקשור בה בושם שריחו טוב. </w:t>
      </w:r>
    </w:p>
    <w:p w14:paraId="53E16D4D" w14:textId="77777777" w:rsidR="004B2E7C" w:rsidRDefault="004B2E7C" w:rsidP="00434A6A">
      <w:pPr>
        <w:pStyle w:val="2"/>
        <w:rPr>
          <w:rtl/>
        </w:rPr>
      </w:pPr>
      <w:r>
        <w:rPr>
          <w:rtl/>
        </w:rPr>
        <w:t>סעיף יב</w:t>
      </w:r>
    </w:p>
    <w:p w14:paraId="0A2AFA91" w14:textId="77777777" w:rsidR="004B2E7C" w:rsidRDefault="004B2E7C" w:rsidP="00434A6A">
      <w:pPr>
        <w:rPr>
          <w:rtl/>
        </w:rPr>
      </w:pPr>
      <w:r>
        <w:rPr>
          <w:rFonts w:cs="Arial"/>
          <w:rtl/>
        </w:rPr>
        <w:t>יב שן תותבת וכו'. גם זה שם במשנה (סד:) יוצאה אשה בחוטי שער וכו' שן תותבת שן של זהב רבי מתיר וחכמים אוסרים ובגמרא (סה.) אמר רבי זירא לא שנו אלא של זהב אבל בשל כסף דברי הכל מותר ופירש רש"י דשל זהב שמשונה במראה משאר שינים ודילמא מבזו לה ושקלא ליה בידה וממטיא אבל של כסף שדומה לשאר השיניים דברי הכל מותר. וכתב הרא"ש (סי' טו) וכל שכן שן דאדם דמותר:</w:t>
      </w:r>
    </w:p>
    <w:p w14:paraId="2DDB4D1E"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12A3377" w14:textId="77777777" w:rsidR="004B2E7C" w:rsidRDefault="004B2E7C" w:rsidP="00434A6A">
      <w:pPr>
        <w:rPr>
          <w:rFonts w:asciiTheme="minorBidi" w:hAnsiTheme="minorBidi"/>
          <w:rtl/>
        </w:rPr>
      </w:pPr>
      <w:r>
        <w:rPr>
          <w:rFonts w:asciiTheme="minorBidi" w:hAnsiTheme="minorBidi" w:cs="Arial"/>
          <w:rtl/>
        </w:rPr>
        <w:t xml:space="preserve">אם חסר אחת משיניה ומשימה אחר במקומו, אם הוא של זהב, לא תצא בו דכיון שמשונה במראה משאר שינים דלמא מבזו לה ושקלה ליה וממטיא. אבל של כסף שדומה לשאר שינים, מותר, וכ"ש שן דאדם. </w:t>
      </w:r>
    </w:p>
    <w:p w14:paraId="5B054594" w14:textId="77777777" w:rsidR="004B2E7C" w:rsidRDefault="004B2E7C" w:rsidP="00434A6A">
      <w:pPr>
        <w:pStyle w:val="2"/>
        <w:rPr>
          <w:rtl/>
        </w:rPr>
      </w:pPr>
      <w:r>
        <w:rPr>
          <w:rtl/>
        </w:rPr>
        <w:t>סעיף יג</w:t>
      </w:r>
    </w:p>
    <w:p w14:paraId="744B2770" w14:textId="77777777" w:rsidR="004B2E7C" w:rsidRDefault="004B2E7C" w:rsidP="00434A6A">
      <w:pPr>
        <w:rPr>
          <w:rtl/>
        </w:rPr>
      </w:pPr>
      <w:r>
        <w:rPr>
          <w:rFonts w:cs="Arial"/>
          <w:rtl/>
        </w:rPr>
        <w:t>יג לא תצא במנעל הקרוע וכו'. ברייתא בסוף פרק תולין (קמא:):</w:t>
      </w:r>
    </w:p>
    <w:p w14:paraId="0234EA61"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31033ED" w14:textId="77777777" w:rsidR="004B2E7C" w:rsidRDefault="004B2E7C" w:rsidP="00434A6A">
      <w:pPr>
        <w:rPr>
          <w:rFonts w:asciiTheme="minorBidi" w:hAnsiTheme="minorBidi"/>
          <w:rtl/>
        </w:rPr>
      </w:pPr>
      <w:r>
        <w:rPr>
          <w:rFonts w:asciiTheme="minorBidi" w:hAnsiTheme="minorBidi" w:cs="Arial"/>
          <w:rtl/>
        </w:rPr>
        <w:t xml:space="preserve">לא תצא במנעל הקרוע למעלה, דמחכו עלה ואתיא לאתויי. ולא במנעל חדש, שמא לא יבא למדתה אא"כ נסתה ללכת בו מאתמול שהוא למדתה. אבל איש מותר, שאין מקפיד כ"כ. הגה: ובשאר מלבושים אין לחוש, אפילו באשה (כל בו). </w:t>
      </w:r>
    </w:p>
    <w:p w14:paraId="5FA4D6C7" w14:textId="77777777" w:rsidR="004B2E7C" w:rsidRDefault="004B2E7C" w:rsidP="00434A6A">
      <w:pPr>
        <w:pStyle w:val="2"/>
        <w:rPr>
          <w:rtl/>
        </w:rPr>
      </w:pPr>
      <w:r>
        <w:rPr>
          <w:rtl/>
        </w:rPr>
        <w:t>סעיף יד</w:t>
      </w:r>
    </w:p>
    <w:p w14:paraId="51D06C4E" w14:textId="77777777" w:rsidR="004B2E7C" w:rsidRDefault="004B2E7C" w:rsidP="00434A6A">
      <w:pPr>
        <w:rPr>
          <w:rtl/>
        </w:rPr>
      </w:pPr>
      <w:r>
        <w:rPr>
          <w:rFonts w:cs="Arial"/>
          <w:rtl/>
        </w:rPr>
        <w:t>יד יוצאה אשה בחוטי שער וכו'. משנה בפרק במה אשה (סד:):</w:t>
      </w:r>
    </w:p>
    <w:p w14:paraId="43D7C846" w14:textId="77777777" w:rsidR="004B2E7C" w:rsidRDefault="004B2E7C" w:rsidP="00434A6A">
      <w:pPr>
        <w:rPr>
          <w:rtl/>
        </w:rPr>
      </w:pPr>
      <w:r>
        <w:rPr>
          <w:rFonts w:cs="Arial"/>
          <w:rtl/>
        </w:rPr>
        <w:t>ומ"ש ובלבד שלא תצא [זקנה] בשל ילדה. שם תנא ובלבד שלא תצא ילדה בשל זקנה וזקנה בשל ילדה בשלמא זקנה בשל ילדה שבח הוא לה ואתיא לאחוויי אלא ילדה בשל זקנה אמאי גנאי הוא לה איידי דתנא זקנה בשל ילדה תני נמי ילדה בשל זקנה. ומשמע דהכי פירושו בשלמא זקנה בשל ילדה איצטריך לאשמועינן שאף על פי ששבח הוא לה לא תצא משום דמחכו עלה ואתיא לאשלופי אלא ילדה בשל זקנה אמאי איצטריך לאשמועינן דלא תצא פשיטא דכיון דגנאי הוא לה מחכו עלה ושלפא להו וכן פירשו התוספות (ד"ה ובלבד שלא תצא) ומשני איידי דתנא וכו' אף על גב דהרי"ף (כט.) גורס כדי נסבא פירשו הר"ן (ד"ה גמ') בענין זה והכי קאמר בחנם ואגב גררא נקטיה: אבל הרמב"ם בפרק י"ט (ה"ט) התיר ילדה בשל זקנה ונראה שמפרש בשלמא זקנה בשל ילדה שפיר דמי דלא תצא משום דאתיא לאחוויי דשבח הוא לה אלא ילדה בשל זקנה אמאי לא תצא דכיון דגנאי הוא לה ודאי לא אתיא לאחוויי ומשני כדי נסבא כלומר בחנם נקטה דודאי ילדה בשל זקנה יוצאה דהא ליכא למיחש למידי אלא דאיידי דתנא שלא תצא זקנה בשל ילדה תנא נמי דלא תצא ילדה בשל זקנה כן פירש הרב המגיד ותמהני דלפי זה תני תנא שקרא משום איידי:</w:t>
      </w:r>
    </w:p>
    <w:p w14:paraId="482AFA66"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3D4F425" w14:textId="77777777" w:rsidR="004B2E7C" w:rsidRDefault="004B2E7C" w:rsidP="00434A6A">
      <w:pPr>
        <w:rPr>
          <w:rFonts w:asciiTheme="minorBidi" w:hAnsiTheme="minorBidi"/>
          <w:rtl/>
        </w:rPr>
      </w:pPr>
      <w:r>
        <w:rPr>
          <w:rFonts w:asciiTheme="minorBidi" w:hAnsiTheme="minorBidi" w:cs="Arial"/>
          <w:rtl/>
        </w:rPr>
        <w:t xml:space="preserve">יוצאת בחוטי שער בין שהם עשויים משערה או משער חברתה ואפילו משער בהמה, ובלבד שלא תצא זקנה בשל ילדה ולא ילדה בשל זקנה. </w:t>
      </w:r>
    </w:p>
    <w:p w14:paraId="0BA70829" w14:textId="77777777" w:rsidR="004B2E7C" w:rsidRDefault="004B2E7C" w:rsidP="00434A6A">
      <w:pPr>
        <w:pStyle w:val="2"/>
        <w:rPr>
          <w:rtl/>
        </w:rPr>
      </w:pPr>
      <w:r>
        <w:rPr>
          <w:rtl/>
        </w:rPr>
        <w:t>סעיף טו</w:t>
      </w:r>
    </w:p>
    <w:p w14:paraId="21F0C2C5" w14:textId="77777777" w:rsidR="004B2E7C" w:rsidRDefault="004B2E7C" w:rsidP="00434A6A">
      <w:pPr>
        <w:rPr>
          <w:rtl/>
        </w:rPr>
      </w:pPr>
      <w:r>
        <w:rPr>
          <w:rFonts w:cs="Arial"/>
          <w:rtl/>
        </w:rPr>
        <w:t>טו (א) ויוצאה בחומרתא דקטיפתא. בריש פרק במה אשה (נז.) תנן ולא בטוטפת ובגמרא (שם:) מאי טוטפת אמר רב יוסף חומרתא דקטיפתא אמר ליה אביי ותהוי כי קמיע מומחה ותשתרי אלא אמר אביי אפיזיוני ופירש רש"י חומרתא דקטיפתא קשר שעושין לרפואת קיטוף עין הרע שלא תשלוט:</w:t>
      </w:r>
    </w:p>
    <w:p w14:paraId="2C6CCA0C" w14:textId="77777777" w:rsidR="004B2E7C" w:rsidRDefault="004B2E7C" w:rsidP="00434A6A">
      <w:pPr>
        <w:rPr>
          <w:rtl/>
        </w:rPr>
      </w:pPr>
      <w:r>
        <w:rPr>
          <w:rFonts w:cs="Arial"/>
          <w:rtl/>
        </w:rPr>
        <w:t>במוך הקשור ומהודק באזנה במוך שבסנדלה. משנה שם (סד:) יוצאה אשה בחוטי שער וכו' במוך שבאזנה ובמוך שבסנדלה ובגמרא (סה.) במוך שבאזנה תני רמי בר יחזקאל והוא שקשור באזנה ובמוך שבסנדלה והוא שקשור לה בסנדלה. וכתב הרא"ש (סי' יד) על מוך שבאזנה ודוקא קשר מהודק:</w:t>
      </w:r>
    </w:p>
    <w:p w14:paraId="648FF6F7" w14:textId="77777777" w:rsidR="004B2E7C" w:rsidRDefault="004B2E7C" w:rsidP="00434A6A">
      <w:pPr>
        <w:rPr>
          <w:rtl/>
        </w:rPr>
      </w:pPr>
      <w:r>
        <w:rPr>
          <w:rFonts w:cs="Arial"/>
          <w:rtl/>
        </w:rPr>
        <w:t>וכתב בספר המצות דסנדל ומנעל שלנו מותר וכו' מותר ליתנו לכתחלה בשבת. כן כתוב בסמ"ג (לאוין סה, יח ע"ג) וסמ"ק (סי' רפב, עמ' רצט) והתרומה (סי' רמ, צ ע"ג) ובמרדכי פרק במה אשה (סי' שנד). ודבר פשוט הוא שאין דבריהם אמורים אלא במנעלים וסנדלים דידן הנעולים מכל עבר אבל הפתוחים אפילו מצד אחד איכא למיחש דילמא נפיל ואתי לאיתויי:</w:t>
      </w:r>
    </w:p>
    <w:p w14:paraId="02023BF3" w14:textId="77777777" w:rsidR="004B2E7C" w:rsidRDefault="004B2E7C" w:rsidP="00434A6A">
      <w:pPr>
        <w:rPr>
          <w:rtl/>
        </w:rPr>
      </w:pPr>
      <w:r>
        <w:rPr>
          <w:rFonts w:cs="Arial"/>
          <w:rtl/>
        </w:rPr>
        <w:t>ובמוך שתקנה לנדתה אפילו אינו קשור וכו' אפילו אם יש לו בית יד. משנה (סד:) וגמרא (סה.) בפרק במה אשה. ובסימן ש"א (נ: ד"ה וכן) נתבאר שדעת המפרשים דהא דשרי לצאת במוך שהתקינה לנדתה היינו כשמביאתו כדי שלא יפול הדם על בשרה ויתיבש ותצטער אבל אם מכוונת כדי שיבלע בו הדם ולא (יטנף) [ינטף] הדם על בגדיה ויטנפו הוי אצולי טינוף ואסור ושלא כדברי רש"י דשרי:</w:t>
      </w:r>
    </w:p>
    <w:p w14:paraId="2AC28111" w14:textId="77777777" w:rsidR="004B2E7C" w:rsidRDefault="004B2E7C" w:rsidP="00434A6A">
      <w:pPr>
        <w:rPr>
          <w:rtl/>
        </w:rPr>
      </w:pPr>
      <w:r>
        <w:rPr>
          <w:rFonts w:cs="Arial"/>
          <w:rtl/>
        </w:rPr>
        <w:t>ובפלפל ובגרגיר מלח וכו' ואם נפל לא תחזיר. משנה שם (סד:) ולפי מה שכתבו התוספות (ד"ה ובלבד שלא תתן) בשם ה"ר פורת ובלבד שלא תתן לכתחלה בשבת ואם נפל לא תחזיר קאי גם אמוך שבאזנה ושבסנדלה ושהתקינה לנדתה אבל אין נראה כן מדברי הרמב"ם בפרק י"ט (הל' יא - יב) ומדברי רבינו ירוחם בחלק י"א (נתיב י"ב, פא ע"ד)</w:t>
      </w:r>
      <w:r>
        <w:rPr>
          <w:rStyle w:val="a9"/>
          <w:rFonts w:cs="Arial"/>
          <w:rtl/>
        </w:rPr>
        <w:footnoteReference w:id="1156"/>
      </w:r>
      <w:r>
        <w:rPr>
          <w:rFonts w:cs="Arial"/>
          <w:rtl/>
        </w:rPr>
        <w:t>:</w:t>
      </w:r>
    </w:p>
    <w:p w14:paraId="02DE2DF7" w14:textId="77777777" w:rsidR="004B2E7C" w:rsidRDefault="004B2E7C" w:rsidP="00434A6A">
      <w:pPr>
        <w:rPr>
          <w:rtl/>
        </w:rPr>
      </w:pPr>
      <w:r>
        <w:rPr>
          <w:rFonts w:cs="Arial"/>
          <w:rtl/>
        </w:rPr>
        <w:t>וכתב בספר המצות מי שיש לו ריח הפה וכו' ומסופקני אם יכול ליתנו לכתחלה. כן כתוב בסמ"ג (שם ע"ד) וסמ"ק (שם) והתרומה (שם) וז"ל ואדם שיש לו ריח הפה מותר לתת פלפל בפיו ולצאת לרשות הרבים אבל ספק אם צריך ליתנו מערב שבת כמו גרגיר מלח עכ"ל וטעמא משום דמתניתין הכי איתא יוצאה אשה בחוטי שער וכו' בפלפל ובגרגיר מלח ובכל דבר שתתן לתוך פיה ובלבד שלא תתן לכתחלה בשבת ומספקא להו אי האי דקתני ובלבד שלא תתן לכתחלה קאי נמי אפלפל או דילמא לא קאי אלא אגרגיר מלח וכל דבר שתתן אבל לא אפלפל:</w:t>
      </w:r>
    </w:p>
    <w:p w14:paraId="20961D79" w14:textId="77777777" w:rsidR="004B2E7C" w:rsidRDefault="004B2E7C" w:rsidP="00434A6A">
      <w:pPr>
        <w:rPr>
          <w:rtl/>
        </w:rPr>
      </w:pPr>
      <w:r>
        <w:rPr>
          <w:rFonts w:cs="Arial"/>
          <w:rtl/>
        </w:rPr>
        <w:t>וכתב ר"י שיכולה לצאת בבתי שוקיים וכו'. כן כתוב במרדכי פרק במה אשה (סי' שנג) ובסמ"ג (שם ע"ג) וסמ"ק (שם) והתרומה (שם) ובהגהות פרק י"ט (אות ז קמא) ורבינו ירוחם בחלק י"א (שם ע"ג):</w:t>
      </w:r>
    </w:p>
    <w:p w14:paraId="39F55C0A" w14:textId="77777777" w:rsidR="004B2E7C" w:rsidRDefault="004B2E7C" w:rsidP="00434A6A">
      <w:pPr>
        <w:rPr>
          <w:rtl/>
        </w:rPr>
      </w:pPr>
      <w:r>
        <w:rPr>
          <w:rFonts w:cs="Arial"/>
          <w:rtl/>
        </w:rPr>
        <w:t>טו (ב) כתב הרמב"ם בפרק י"ט (ה"ה) אצעדה שמניחין אותה בזרוע או בשוק יוצאין בה בשבת והוא שתהיה דבוקה לבשר ולא תשמט וכתב הרב המגיד דמשמע מדברי רש"י (שבת סג: ד"ה תחת אצעדה) דלא שרי אלא אצעדה שבשוק אבל אצעדה שבזרוע אסור משום דחיישינן דילמא שלפא ומחויא:</w:t>
      </w:r>
    </w:p>
    <w:p w14:paraId="14D8B524"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8A9E0D2" w14:textId="77777777" w:rsidR="004B2E7C" w:rsidRDefault="004B2E7C" w:rsidP="00434A6A">
      <w:pPr>
        <w:rPr>
          <w:rFonts w:asciiTheme="minorBidi" w:hAnsiTheme="minorBidi"/>
          <w:rtl/>
        </w:rPr>
      </w:pPr>
      <w:r>
        <w:rPr>
          <w:rFonts w:asciiTheme="minorBidi" w:hAnsiTheme="minorBidi" w:cs="Arial"/>
          <w:rtl/>
        </w:rPr>
        <w:t xml:space="preserve">יוצאת בקשר שעושין לרפואת קיטוף עין הרע שלא ישלוט, ובמוך הקשור ומהודק באזנה, ובמוך שבסנדלה הקשור בסנדלה, ובסנדל ומנעל הסתומים מכל צד, אפילו אינו קשור, מותר. ובמוך שהתקינה לנדתה. הגה: שלא יפול דם עליה ויצערנה (ב"י בשם הפוסקים), אפילו אינו קשור, דכיון שהוא מאוס לא חיישינן דלמא שקלה ליה אפילו יש לו בית יד, ובפלפל ובגרגיר מלח ובכל בושם שתתן לתוך פיה, ובלבד שלא תתנם לכתחלה בשבת. ואם נפל, לא תחזיר. ובבתי שוקיים שקושרים במשיחה סביב שוקיה, אף על פי שאין המשיחה קשורה בהם ולא חיישינן שמא ישתלשלו למטה. ויוצאה באצעדה שמניחין בזרוע או בשוק, והוא שתהא דבוקה לבשר ולא תשמט. ויש מי שאוסר בשל זרוע. </w:t>
      </w:r>
    </w:p>
    <w:p w14:paraId="0822C1B8" w14:textId="77777777" w:rsidR="004B2E7C" w:rsidRDefault="004B2E7C" w:rsidP="00434A6A">
      <w:pPr>
        <w:pStyle w:val="2"/>
        <w:rPr>
          <w:rtl/>
        </w:rPr>
      </w:pPr>
      <w:r>
        <w:rPr>
          <w:rtl/>
        </w:rPr>
        <w:t>סעיף טז</w:t>
      </w:r>
    </w:p>
    <w:p w14:paraId="386E52C3" w14:textId="77777777" w:rsidR="004B2E7C" w:rsidRDefault="004B2E7C" w:rsidP="00434A6A">
      <w:pPr>
        <w:rPr>
          <w:rtl/>
        </w:rPr>
      </w:pPr>
      <w:r>
        <w:rPr>
          <w:rFonts w:cs="Arial"/>
          <w:rtl/>
        </w:rPr>
        <w:t>טז ובכל מה שיכולה לצאת יכולה להתירו ברשות הרבים וכו'. כן כתבו התוספות והרא"ש והר"ן בריש פרק במה אשה (תוספות נז. ד"ה במה, רא"ש סי' א, ר"ן כה: ד"ה וכתבו):</w:t>
      </w:r>
    </w:p>
    <w:p w14:paraId="7B69CF0A"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538A86C" w14:textId="77777777" w:rsidR="004B2E7C" w:rsidRDefault="004B2E7C" w:rsidP="00434A6A">
      <w:pPr>
        <w:rPr>
          <w:rFonts w:asciiTheme="minorBidi" w:hAnsiTheme="minorBidi"/>
          <w:rtl/>
        </w:rPr>
      </w:pPr>
      <w:r>
        <w:rPr>
          <w:rFonts w:asciiTheme="minorBidi" w:hAnsiTheme="minorBidi" w:cs="Arial"/>
          <w:rtl/>
        </w:rPr>
        <w:t xml:space="preserve">בכל מה שיכולה לצאת יכולה להתירו ברשות הרבים, ולא חיישינן דלמא מתיא ליה. </w:t>
      </w:r>
    </w:p>
    <w:p w14:paraId="09A1FF65" w14:textId="77777777" w:rsidR="004B2E7C" w:rsidRDefault="004B2E7C" w:rsidP="00434A6A">
      <w:pPr>
        <w:pStyle w:val="2"/>
        <w:rPr>
          <w:rtl/>
        </w:rPr>
      </w:pPr>
      <w:r>
        <w:rPr>
          <w:rtl/>
        </w:rPr>
        <w:t>סעיף יז</w:t>
      </w:r>
    </w:p>
    <w:p w14:paraId="26CF7619" w14:textId="77777777" w:rsidR="004B2E7C" w:rsidRDefault="004B2E7C" w:rsidP="00434A6A">
      <w:pPr>
        <w:rPr>
          <w:rtl/>
        </w:rPr>
      </w:pPr>
      <w:r>
        <w:rPr>
          <w:rFonts w:cs="Arial"/>
          <w:rtl/>
        </w:rPr>
        <w:t>יז כתב רבינו ירוחם בחלק י"ו (נתיב י"ב, צב ע"ג) מפתח אפילו בחצר הבית אסור להביאה רק בידו אבל לא בחגורתו שמא ישכח ויוציאנה לרשות הרבים כך דקדקו הרמב"ן (סד: ד"ה אמר רב) והרשב"א (עבוה"ק בית נתיבות ש"ג סי' ב) עכ"ל. וכן כתב הרב המגיד בפרק י"ט (ה"ח) בשם הרשב"א. ומשמע דלטעמייהו אזלי שאוסרים לצאת בתכשיטין שאסרו חכמים אפילו לחצר המעורבת ואפילו בבית דרך מלבוש שמא ישכח ויצא בהם וכמו שכתבתי לעיל (ד"ה ויוצאה בחצר):</w:t>
      </w:r>
    </w:p>
    <w:p w14:paraId="7FF25D97"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FFD791F" w14:textId="77777777" w:rsidR="004B2E7C" w:rsidRDefault="004B2E7C" w:rsidP="00434A6A">
      <w:pPr>
        <w:rPr>
          <w:rFonts w:asciiTheme="minorBidi" w:hAnsiTheme="minorBidi"/>
          <w:rtl/>
        </w:rPr>
      </w:pPr>
      <w:r>
        <w:rPr>
          <w:rFonts w:asciiTheme="minorBidi" w:hAnsiTheme="minorBidi" w:cs="Arial"/>
          <w:rtl/>
        </w:rPr>
        <w:t xml:space="preserve">יש אוסרים להביא מפתח אפילו בחצר הבית כי אם בידו, אבל לא בחגורתו, שמא ישכח ויוציאנה לרשות הרבים. </w:t>
      </w:r>
    </w:p>
    <w:p w14:paraId="0A1C5921" w14:textId="77777777" w:rsidR="004B2E7C" w:rsidRDefault="004B2E7C" w:rsidP="00434A6A">
      <w:pPr>
        <w:pStyle w:val="2"/>
        <w:rPr>
          <w:rtl/>
        </w:rPr>
      </w:pPr>
      <w:r>
        <w:rPr>
          <w:rtl/>
        </w:rPr>
        <w:t>סעיף יח</w:t>
      </w:r>
    </w:p>
    <w:p w14:paraId="7C9409AC" w14:textId="77777777" w:rsidR="004B2E7C" w:rsidRDefault="004B2E7C" w:rsidP="00434A6A">
      <w:pPr>
        <w:rPr>
          <w:rtl/>
        </w:rPr>
      </w:pPr>
      <w:r>
        <w:rPr>
          <w:rFonts w:cs="Arial"/>
          <w:rtl/>
        </w:rPr>
        <w:t>יח (ב) ויוצאה בחצר בכבול ובפאה נכרית. שם במשנה (סד:). ובגמרא אמר רב כל שאסרו חכמים לצאת בו לרשות הרבים אסור לצאת בו לחצר חוץ מכבול ופאה נכרית רבי ענני בר ששון משמיה דרבי ישמעאל אמר הכל ככבול ופסק הרי"ף (כט.) כרב וכן דעת הרמב"ם בפרק י"ט (ה"ח) וכתב שם הרמב"ם דהא דאסרינן בחצר דווקא כשאינה מעורבת</w:t>
      </w:r>
      <w:r>
        <w:rPr>
          <w:rStyle w:val="a9"/>
          <w:rFonts w:cs="Arial"/>
          <w:rtl/>
        </w:rPr>
        <w:footnoteReference w:id="1157"/>
      </w:r>
      <w:r>
        <w:rPr>
          <w:rFonts w:cs="Arial"/>
          <w:rtl/>
        </w:rPr>
        <w:t xml:space="preserve"> וכתבו הרב המגיד והר"ן (כט. ד"ה אמר רב) שהרשב"א (עבוה"ק בית נתיבות ש"ג סי' ב) והרמב"ן (סד: ד"ה אמר רב) חלוקים בדבר דבחצר שאמרו לאו דוקא דהוא הדין בבית דכל שהוא דרך מלבוש או תכשיט אסור לפי שאין דרך לפשוט תכשיטין כשיצא חוץ לבית ובבית נמי איכא למיחש וכל שכן בחצר מעורבת. אבל התוספות (ד"ה רבי) כתבו דנראה דהלכה כרבי ענני בר ששון דמתיר בחצר אפילו אינה מעורבת וכתבו שעל פי זה מותרות נשים שלנו להתקשט בטבעות ותכשיטין שכל רשות הרבים שלנו כרמלית היא שהרי אין המבואות רחבים י"ו אמה ולא ס' ריבוא בוקעים בו והקשה ר"י דבפרק כל כתבי (קכ.) משמע דטפי חמיר כרמלית מחצר שאינה מעורבת ואומר רבינו ברוך כיון דלדידהו הוו להו רשות הרבים גמורה לא מדמו כרמלית לחצר שאינה מעורבת ואסרינן כרמלית משום רשות הרבים אבל אנו שאין לנו רשות הרבים כלל אין להחמיר בכרמלית כל כך וה"ר שמשון מצא כתוב בשם רבינו שר שלום דדבר שהוא רגילות להראות זו לזו אסור ובשאינן רגילות מותר ונשי דידן אינן מראות תכשיטיהן וטבעותיהם ומשום הכי מותרות לצאת בהם וסוף דבר אמרו הקדמונים דמותרות לצאת בהם דמוטב יהו שוגגות ואל יהו מזידות עכ"ל גם הרא"ש (סי' יג) והר"ן (כו. ד"ה אבל) העלו כן דמדינא אסורות אלא שכיון שלא ישמעו מוטב יהו שוגגות ואל יהו מזידות:</w:t>
      </w:r>
    </w:p>
    <w:p w14:paraId="5643FEA6" w14:textId="77777777" w:rsidR="004B2E7C" w:rsidRDefault="004B2E7C" w:rsidP="00434A6A">
      <w:pPr>
        <w:rPr>
          <w:rtl/>
        </w:rPr>
      </w:pPr>
      <w:r>
        <w:rPr>
          <w:rFonts w:cs="Arial"/>
          <w:rtl/>
        </w:rPr>
        <w:t>ובעל התרומות חילק וכו'. כן כתב גם כן סמ"ג (שם, יח ע"ב) וסמ"ק (שם) והגהות פרק י"ט (אות י קמא). וז"ל התרומה עתה התרנו תכשיטי אשה לדידן דלית לן רק כרמלית דלדידהו אפילו ברשות הרבים אינם אסורים אלא דילמא שלפא ומחויא אבל טבעת שיש עליה חותם לאשה ושאין עליה חותם לאיש שניהם אסורים אפילו לדידן דהא תנן בהו חייב חטאת ואם כן בכרמלית אסור אפילו לדידן עכ"ל: מיהו לפי הדעת שכתבתי בסימן ש"א (נ. ד"ה ומ"ש רבינו אבל) שבזמן הזה שנהגו האנשים לצאת בטבעת שאין עליה חותם הרי הוא להם כתכשיט ושרי אף אנו נאמר דכיון שנהגו עכשיו הנשים להביא טבעת שיש עליה חותם הרי הוא להם כתכשיט ושרי:</w:t>
      </w:r>
    </w:p>
    <w:p w14:paraId="098D0731"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25990F6" w14:textId="77777777" w:rsidR="004B2E7C" w:rsidRDefault="004B2E7C" w:rsidP="00434A6A">
      <w:pPr>
        <w:rPr>
          <w:rFonts w:asciiTheme="minorBidi" w:hAnsiTheme="minorBidi"/>
          <w:rtl/>
        </w:rPr>
      </w:pPr>
      <w:r>
        <w:rPr>
          <w:rFonts w:asciiTheme="minorBidi" w:hAnsiTheme="minorBidi" w:cs="Arial"/>
          <w:rtl/>
        </w:rPr>
        <w:t xml:space="preserve">כל שאסרו חכמים לצאת בו לרשות הרבים, אסור לצאת בו לחצר שאינה מעורבת, חוץ מכבול ופאה נכרית דהיינו קליעת שער שקלעה בתוך שערה. וי"א דכל שאסרו לצאת בו, אפילו להתקשט בו בבית אסור, וכ"ש לצאת בו לחצר המעורבת, חוץ מכבול ופאה נכרית. וי"א שהכל מותר לצאת בו בחצר, אפילו אינה מעורבת. והאידנא, נשי דידן נהגו לצאת בכל תכשיטין. ויש שאמרו דמדינא אסורות, אלא שכיון שלא ישמעו, מוטב שיהיו שוגגות ואל יהיו מזידות. ויש שלימדו עליהם זכות לומר שהן נוהגות כן ע"פ סברא אחרונה שכתבתי שלא אסרו לצאת בתכשיטין לחצר שאינה מעורבת, והשתא דלית לן רשות הרבים גמור הוה ליה כל רשות הרבים שלנו כרמלית ודינו כחצר שאינה מעורבת, ומותר. הגה: וי"א עוד טעם להתיר דעכשיו שכיחי תכשיטין ויוצאין בהם אף בחול וליכא למיחש דילמא שלפא ומחויא כמו בימיהם שלא היו רגילים לצאת בהן רק בשבת ולא הוי שכיחי (תוס' פרק כ"כ /במה אשה/ והגהות אלפסי פרק במה אשה). ומיהו טבעת שיש עליה חותם לאשה ושאין עליה חותם לאיש, דתנן בה חייב חטאת, אף בכרמלית אסור אפילו לדידן. והוא הדין לכל מאי דאתמר ביה חיוב חטאת. ויש מי שאומר שבזמן הזה שנהגו האנשים לצאת בטבעת שאין עליה חותם, ה"ז להם כתכשיט, ושרי. ולפי זה אפשר דכיון שנהגו עכשיו הנשים לצאת בטבעת שיש עליה חותם הרי הוא להן כתכשיט, ושרי. ומ"מ צריך להזהיר לנשים שלא תצאנה אלא במחטים שהן צריכות להעמיד קישוריהן ולא יותר, כי בזה שאין להן תועלת בו ישמעו לנו. </w:t>
      </w:r>
    </w:p>
    <w:p w14:paraId="411ADCA6" w14:textId="77777777" w:rsidR="004B2E7C" w:rsidRDefault="004B2E7C" w:rsidP="00434A6A">
      <w:pPr>
        <w:pStyle w:val="2"/>
        <w:rPr>
          <w:rtl/>
        </w:rPr>
      </w:pPr>
      <w:r>
        <w:rPr>
          <w:rtl/>
        </w:rPr>
        <w:t>סעיף יט</w:t>
      </w:r>
    </w:p>
    <w:p w14:paraId="3E8F9763" w14:textId="77777777" w:rsidR="004B2E7C" w:rsidRDefault="004B2E7C" w:rsidP="00434A6A">
      <w:pPr>
        <w:rPr>
          <w:rtl/>
        </w:rPr>
      </w:pPr>
      <w:r>
        <w:rPr>
          <w:rFonts w:cs="Arial"/>
          <w:rtl/>
        </w:rPr>
        <w:t>יט כתב המרדכי בפרק במה טומנין (סי' שכו) וז"ל פירש ר"י דצריך להזהיר לנשים כשיוצאות בצעיפיהם שלא יצאו במחט שניטל חודה ועוקצה דלא מהני בה ייחוד לענין טומאה אמנם אם ניטל חודה ועוקצה [ויחדה] מערב שבת לשם כך ודאי כה"ג מהני ייחוד עכ"ל. ובריש פרק כל הכלים (קכג.) אמרינן דאם ניטל חודה או עוקצה אסור לטלטל ואם כן שלא יצאו דקאמר ר"י לאו דוקא דבטלטול נמי אסורה:</w:t>
      </w:r>
    </w:p>
    <w:p w14:paraId="25AF7B98"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8254CC3" w14:textId="77777777" w:rsidR="004B2E7C" w:rsidRDefault="004B2E7C" w:rsidP="00434A6A">
      <w:pPr>
        <w:rPr>
          <w:rFonts w:asciiTheme="minorBidi" w:hAnsiTheme="minorBidi"/>
          <w:rtl/>
        </w:rPr>
      </w:pPr>
      <w:r>
        <w:rPr>
          <w:rFonts w:asciiTheme="minorBidi" w:hAnsiTheme="minorBidi" w:cs="Arial"/>
          <w:rtl/>
        </w:rPr>
        <w:t xml:space="preserve">צריך להזהיר לנשים שלא יטלטלו מחט שניטל חודה או עוקצה לשום בצעיפים, אא"כ ניטל מע"ש חודה ועוקצה (ויחדה) לשום כך (וע"ל סי' ש"ח סי"א). </w:t>
      </w:r>
    </w:p>
    <w:p w14:paraId="29FEA6D0" w14:textId="77777777" w:rsidR="004B2E7C" w:rsidRDefault="004B2E7C" w:rsidP="00434A6A">
      <w:pPr>
        <w:pStyle w:val="2"/>
        <w:rPr>
          <w:rtl/>
        </w:rPr>
      </w:pPr>
      <w:r>
        <w:rPr>
          <w:rtl/>
        </w:rPr>
        <w:t>סעיף כ</w:t>
      </w:r>
    </w:p>
    <w:p w14:paraId="29524877" w14:textId="77777777" w:rsidR="004B2E7C" w:rsidRDefault="004B2E7C" w:rsidP="00434A6A">
      <w:pPr>
        <w:rPr>
          <w:rtl/>
        </w:rPr>
      </w:pPr>
      <w:r>
        <w:rPr>
          <w:rFonts w:cs="Arial"/>
          <w:rtl/>
        </w:rPr>
        <w:t>כ הבנות קטנות שנוקבות אזניהם וכו'. משנה בפרק במה אשה (סה.) הבנות יוצאין בחוטין ובקסמין שבאזניהם:</w:t>
      </w:r>
    </w:p>
    <w:p w14:paraId="54B2BAF8" w14:textId="77777777" w:rsidR="004B2E7C" w:rsidRDefault="004B2E7C" w:rsidP="00434A6A">
      <w:pPr>
        <w:rPr>
          <w:rtl/>
        </w:rPr>
      </w:pPr>
      <w:r>
        <w:rPr>
          <w:rFonts w:cs="Arial"/>
          <w:rtl/>
        </w:rPr>
        <w:t>ומה שחילק בין צבועים לשאינן צבועים. מפרש שם בגמרא גבי בנתיה דאבוה דשמואל:</w:t>
      </w:r>
    </w:p>
    <w:p w14:paraId="67BBAFB5"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6509703" w14:textId="77777777" w:rsidR="004B2E7C" w:rsidRDefault="004B2E7C" w:rsidP="00434A6A">
      <w:pPr>
        <w:rPr>
          <w:rFonts w:asciiTheme="minorBidi" w:hAnsiTheme="minorBidi"/>
          <w:rtl/>
        </w:rPr>
      </w:pPr>
      <w:r>
        <w:rPr>
          <w:rFonts w:asciiTheme="minorBidi" w:hAnsiTheme="minorBidi" w:cs="Arial"/>
          <w:rtl/>
        </w:rPr>
        <w:t xml:space="preserve">הבנות קטנות שנוקבים אזניהם כדי לתת בהם נזמים כשיגדלו, וכדי שלא יסתמו הנקבים נותנים בהם קסמים, מותר לצאת בהם. וה"ה אם נותנין חוטים באותם נקבים, שמותר לצאת בהם אם אינם צבועים, אבל אם צבועים, אסור. </w:t>
      </w:r>
    </w:p>
    <w:p w14:paraId="7CBE02E9" w14:textId="77777777" w:rsidR="004B2E7C" w:rsidRDefault="004B2E7C" w:rsidP="00434A6A">
      <w:pPr>
        <w:pStyle w:val="2"/>
        <w:rPr>
          <w:rtl/>
        </w:rPr>
      </w:pPr>
      <w:r>
        <w:rPr>
          <w:rtl/>
        </w:rPr>
        <w:t>סעיף כא</w:t>
      </w:r>
    </w:p>
    <w:p w14:paraId="2082A706" w14:textId="77777777" w:rsidR="004B2E7C" w:rsidRDefault="004B2E7C" w:rsidP="00434A6A">
      <w:pPr>
        <w:rPr>
          <w:rtl/>
        </w:rPr>
      </w:pPr>
      <w:r>
        <w:rPr>
          <w:rFonts w:cs="Arial"/>
          <w:rtl/>
        </w:rPr>
        <w:t>כא - כב ואשה יוצאה רעולה ויוצאה פרופה. משנה שם:</w:t>
      </w:r>
    </w:p>
    <w:p w14:paraId="4F4E46C1" w14:textId="77777777" w:rsidR="004B2E7C" w:rsidRDefault="004B2E7C" w:rsidP="00434A6A">
      <w:pPr>
        <w:rPr>
          <w:rtl/>
        </w:rPr>
      </w:pPr>
      <w:r>
        <w:rPr>
          <w:rFonts w:cs="Arial"/>
          <w:rtl/>
        </w:rPr>
        <w:t>וקושרת אגוז או אבן וכו'. שם במשנה פורפת על האבן ועל האגוז ועל המטבע ובלבד שלא תפרוף לכתחלה בשבת ובגמרא (סה:) והאמרת רישא פורפת אמר אביי סיפא אתאן למטבע ופירש רש"י והאמרת רישא פורפת. וההיא ודאי לכתחלה קאמר בשבת דאי מבעוד יום ולאשמועינן דיוצאה בו בשבת הא תני רישא מדיות פרופות: סיפא. דקתני לא תפרוף: אתאן למטבע. דלאו בר טלטול הוא אבל אבן שהוקצה לכך ראוי לטלטול. ומשמע ודאי דכל שפרפה מבעוד יום על המטבע יוצאה בו ולא היה צריך רבינו ללמדו מדברי הרמב"ם. ובנוסחי דידן אין כתוב בספר הרמב"ם מאתמול וזה לשונו (פי"ט הי"ב) וכן לא תפרוף על המטבע לכתחלה מפני שאסור לטלטלו ואם פרפה יוצאה בו. ומשמע דהכי קאמר אם פרפה בשבת על המטבע יוצאה בו וזה ודאי חידוש הוא שחדשו הרמב"ם ונראה שטעמו משום דמאחר שנפרף המטבע בטלית אינה מטלטלתו עוד למטבע אלא אגב הטלית ומה לי נפרף מבעוד יום מה לי נפרף עכשיו אלא שבספרי הרמב"ם החדשים כתוב מבחוץ (בהגהמ"י אות ק) על ואם פרפה פירוש מערב שבת:</w:t>
      </w:r>
    </w:p>
    <w:p w14:paraId="08FD2F16"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40411B7" w14:textId="77777777" w:rsidR="004B2E7C" w:rsidRDefault="004B2E7C" w:rsidP="00434A6A">
      <w:pPr>
        <w:rPr>
          <w:rFonts w:asciiTheme="minorBidi" w:hAnsiTheme="minorBidi"/>
          <w:rtl/>
        </w:rPr>
      </w:pPr>
      <w:r>
        <w:rPr>
          <w:rFonts w:asciiTheme="minorBidi" w:hAnsiTheme="minorBidi" w:cs="Arial"/>
          <w:rtl/>
        </w:rPr>
        <w:t xml:space="preserve">יוצאת אשה רעולה, והוא שמעטפת כל ראשה חוץ מהפנים. </w:t>
      </w:r>
    </w:p>
    <w:p w14:paraId="5B28988F" w14:textId="77777777" w:rsidR="004B2E7C" w:rsidRDefault="004B2E7C" w:rsidP="00434A6A">
      <w:pPr>
        <w:pStyle w:val="2"/>
        <w:rPr>
          <w:rtl/>
        </w:rPr>
      </w:pPr>
      <w:r>
        <w:rPr>
          <w:rtl/>
        </w:rPr>
        <w:t>סעיף כב</w:t>
      </w:r>
    </w:p>
    <w:p w14:paraId="3F718230" w14:textId="77777777" w:rsidR="004B2E7C" w:rsidRDefault="004B2E7C" w:rsidP="00434A6A">
      <w:pPr>
        <w:rPr>
          <w:rtl/>
        </w:rPr>
      </w:pPr>
    </w:p>
    <w:p w14:paraId="009C35EC"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3CD40FB" w14:textId="77777777" w:rsidR="004B2E7C" w:rsidRDefault="004B2E7C" w:rsidP="00434A6A">
      <w:pPr>
        <w:rPr>
          <w:rFonts w:asciiTheme="minorBidi" w:hAnsiTheme="minorBidi"/>
          <w:rtl/>
        </w:rPr>
      </w:pPr>
      <w:r>
        <w:rPr>
          <w:rFonts w:asciiTheme="minorBidi" w:hAnsiTheme="minorBidi" w:cs="Arial"/>
          <w:rtl/>
        </w:rPr>
        <w:t xml:space="preserve">פורפת (פי' קושרת) בשבת על האגוז ועל האבן שיחדתו לכך, ויוצאת בו, אבל על המטבע אסור לפרוף בשבת, דלאו בר טלטול הוא ולא מהני בה יחוד. ואם פרפה עליו מע"ש, מותר לצאת בו בשבת. </w:t>
      </w:r>
    </w:p>
    <w:p w14:paraId="74429108" w14:textId="77777777" w:rsidR="004B2E7C" w:rsidRDefault="004B2E7C" w:rsidP="00434A6A">
      <w:pPr>
        <w:pStyle w:val="2"/>
        <w:rPr>
          <w:rtl/>
        </w:rPr>
      </w:pPr>
      <w:r>
        <w:rPr>
          <w:rtl/>
        </w:rPr>
        <w:t>סעיף כג</w:t>
      </w:r>
    </w:p>
    <w:p w14:paraId="38C2DFEB" w14:textId="77777777" w:rsidR="004B2E7C" w:rsidRDefault="004B2E7C" w:rsidP="00434A6A">
      <w:pPr>
        <w:rPr>
          <w:rtl/>
        </w:rPr>
      </w:pPr>
      <w:r>
        <w:rPr>
          <w:rFonts w:cs="Arial"/>
          <w:rtl/>
        </w:rPr>
        <w:t>כג ואינה יכולה לכרוך על האגוז אם מכוונת להוציא האגוז וכו'. שם בעיא דלא איפשיטא וכתבו הרי"ף (ל.) והרא"ש (סי' טז) וקיימא לן כל תיקו דאורייתא לחומרא ודרבנן לקולא ולפיכך כתב רבינו דלרשות הרבים דהוי דאורייתא אסור ולכרמלית דהוי דרבנן שרי. והרמב"ם שכתב בפרק י"ט (הי"ב) סתם לאסור וכן כתב רבינו ירוחם בחלק י"א (נתיב י"ב, פא ע"ד) יש לפרש דבריהם ברשות הרבים דוקא:</w:t>
      </w:r>
    </w:p>
    <w:p w14:paraId="27150646"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C9E8557" w14:textId="77777777" w:rsidR="004B2E7C" w:rsidRDefault="004B2E7C" w:rsidP="00434A6A">
      <w:pPr>
        <w:rPr>
          <w:rFonts w:asciiTheme="minorBidi" w:hAnsiTheme="minorBidi"/>
          <w:rtl/>
        </w:rPr>
      </w:pPr>
      <w:r>
        <w:rPr>
          <w:rFonts w:asciiTheme="minorBidi" w:hAnsiTheme="minorBidi" w:cs="Arial"/>
          <w:rtl/>
        </w:rPr>
        <w:t xml:space="preserve">אם היתה צריכה להוציא אגוז לבנה ופרפה עליו כדי להוציאה, אם לרשות הרבים, אסור. ואם לכרמלית, מותר. </w:t>
      </w:r>
    </w:p>
    <w:p w14:paraId="186E599D" w14:textId="77777777" w:rsidR="004B2E7C" w:rsidRDefault="004B2E7C" w:rsidP="00434A6A">
      <w:pPr>
        <w:pStyle w:val="2"/>
        <w:rPr>
          <w:rtl/>
        </w:rPr>
      </w:pPr>
      <w:r>
        <w:rPr>
          <w:rtl/>
        </w:rPr>
        <w:t>סעיף כד</w:t>
      </w:r>
    </w:p>
    <w:p w14:paraId="5C708B04" w14:textId="77777777" w:rsidR="004B2E7C" w:rsidRDefault="004B2E7C" w:rsidP="00434A6A">
      <w:pPr>
        <w:rPr>
          <w:rtl/>
        </w:rPr>
      </w:pPr>
      <w:r>
        <w:rPr>
          <w:rFonts w:cs="Arial"/>
          <w:rtl/>
        </w:rPr>
        <w:t>כד ויוצאה באבן תקומה וכו' ואפילו לא נתעברה עדיין. ברייתא בסוף פרק במה אשה (סו:):</w:t>
      </w:r>
    </w:p>
    <w:p w14:paraId="6491EE05"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D65204A" w14:textId="77777777" w:rsidR="004B2E7C" w:rsidRDefault="004B2E7C" w:rsidP="00434A6A">
      <w:pPr>
        <w:rPr>
          <w:rFonts w:asciiTheme="minorBidi" w:hAnsiTheme="minorBidi"/>
          <w:rtl/>
        </w:rPr>
      </w:pPr>
      <w:r>
        <w:rPr>
          <w:rFonts w:asciiTheme="minorBidi" w:hAnsiTheme="minorBidi" w:cs="Arial"/>
          <w:rtl/>
        </w:rPr>
        <w:t xml:space="preserve">יוצאה באבן תקומה (פי' הערוך אבן ידועה שכשהיא על אשה לא תפיל), ובמשקל ששקלו כנגדו שלא תפיל, ואפילו לא נתעברה עדיין. </w:t>
      </w:r>
    </w:p>
    <w:p w14:paraId="3B9494FE" w14:textId="77777777" w:rsidR="004B2E7C" w:rsidRDefault="004B2E7C" w:rsidP="00434A6A">
      <w:pPr>
        <w:pStyle w:val="2"/>
        <w:rPr>
          <w:rtl/>
        </w:rPr>
      </w:pPr>
      <w:r>
        <w:rPr>
          <w:rtl/>
        </w:rPr>
        <w:t>סעיף כה</w:t>
      </w:r>
    </w:p>
    <w:p w14:paraId="4E24B382" w14:textId="77777777" w:rsidR="004B2E7C" w:rsidRDefault="004B2E7C" w:rsidP="00434A6A">
      <w:pPr>
        <w:rPr>
          <w:rtl/>
        </w:rPr>
      </w:pPr>
      <w:r>
        <w:rPr>
          <w:rFonts w:cs="Arial"/>
          <w:rtl/>
        </w:rPr>
        <w:t>כה (א) אסור לאשה שתעביר סרק על פניה משום צובע. ברייתא בסוף פרק המצניע (צה.) ופירש רש"י סרק צבע אדום:</w:t>
      </w:r>
    </w:p>
    <w:p w14:paraId="710756E5" w14:textId="77777777" w:rsidR="004B2E7C" w:rsidRDefault="004B2E7C" w:rsidP="00434A6A">
      <w:pPr>
        <w:rPr>
          <w:rtl/>
        </w:rPr>
      </w:pPr>
      <w:r>
        <w:rPr>
          <w:rFonts w:cs="Arial"/>
          <w:rtl/>
        </w:rPr>
        <w:t>ומ"ש ולא לכחול. שם במשנה (צד:) וגם זה מפרש בגמרא (צה.) שהוא משום צובע. ופליגי רבי אליעזר וחכמים אי מחייבא חטאת והלכה כחכמים דפטרי וכן פסק הרמב"ם בפרק כ"ב (הכ"ג). אבל מדברי סמ"ג (לאוין סה, יד ע"ג) נראה שחייבת חטאת שכתב בכל אלה לא מצינו חיוב אלא כשאדם חפץ באותה צביעה:</w:t>
      </w:r>
    </w:p>
    <w:p w14:paraId="419D72C5" w14:textId="77777777" w:rsidR="004B2E7C" w:rsidRDefault="004B2E7C" w:rsidP="00434A6A">
      <w:pPr>
        <w:rPr>
          <w:rtl/>
        </w:rPr>
      </w:pPr>
      <w:r>
        <w:rPr>
          <w:rFonts w:cs="Arial"/>
          <w:rtl/>
        </w:rPr>
        <w:t>כה (ב) שנינו עוד בסוף פרק המצניע (צד:) דפוקסת אסור כמו גודלת וכוחלת ופירש רש"י פוקסת יש מרבותי אומרים מתקנת שערה במסרק ובידיה ויש מפרשים טחה כמין בצק על פניה וכשנוטלו מאדים הבשר. והרמב"ם כתב בפרק כ"ב (הכ"ו) אין גודלין שער הראש ואין פוקסין אותו מפני שנראה כבונה וכתב הרב המגיד שדעתו כפירוש קמא דרש"י. וסמ"ג (לאוין סה, יד ע"ג) כתב דגרסינן בירושלמי (שבת פ"י ה"ו) הפוקסת חייבת משום צובע פירוש כמין בצק מדבקת בפניה וכשנוטלתו מאדים:</w:t>
      </w:r>
    </w:p>
    <w:p w14:paraId="5048D8D7"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5B391D1" w14:textId="77777777" w:rsidR="004B2E7C" w:rsidRDefault="004B2E7C" w:rsidP="00434A6A">
      <w:pPr>
        <w:rPr>
          <w:rFonts w:asciiTheme="minorBidi" w:hAnsiTheme="minorBidi"/>
          <w:rtl/>
        </w:rPr>
      </w:pPr>
      <w:r>
        <w:rPr>
          <w:rFonts w:asciiTheme="minorBidi" w:hAnsiTheme="minorBidi" w:cs="Arial"/>
          <w:rtl/>
        </w:rPr>
        <w:t xml:space="preserve">אסור לאשה שתעביר בשבת סרק על פניה, משום צובע. ומטעם זה אסורה לכחול בשבת, ומטעם זה אסורה לטוח על פניה בצק, דכשנוטלתו מאדים הבשר. </w:t>
      </w:r>
    </w:p>
    <w:p w14:paraId="24EDAD02" w14:textId="77777777" w:rsidR="004B2E7C" w:rsidRDefault="004B2E7C" w:rsidP="00434A6A">
      <w:pPr>
        <w:rPr>
          <w:rFonts w:asciiTheme="minorBidi" w:hAnsiTheme="minorBidi"/>
          <w:rtl/>
        </w:rPr>
      </w:pPr>
    </w:p>
    <w:p w14:paraId="4D12F467" w14:textId="77777777" w:rsidR="004B2E7C" w:rsidRDefault="004B2E7C" w:rsidP="00434A6A">
      <w:pPr>
        <w:pStyle w:val="2"/>
        <w:rPr>
          <w:rtl/>
        </w:rPr>
      </w:pPr>
      <w:r>
        <w:rPr>
          <w:rtl/>
        </w:rPr>
        <w:t>סעיף כו</w:t>
      </w:r>
    </w:p>
    <w:p w14:paraId="6B36E29D" w14:textId="77777777" w:rsidR="004B2E7C" w:rsidRDefault="004B2E7C" w:rsidP="00434A6A">
      <w:pPr>
        <w:rPr>
          <w:rtl/>
        </w:rPr>
      </w:pPr>
      <w:r>
        <w:rPr>
          <w:rFonts w:cs="Arial"/>
          <w:rtl/>
        </w:rPr>
        <w:t>כו ואסור לה להיות קולעת שערה. גם זה שם במשנה וכן הגודלת וגודלת היינו קולעת שערה:</w:t>
      </w:r>
    </w:p>
    <w:p w14:paraId="33A0A104" w14:textId="77777777" w:rsidR="004B2E7C" w:rsidRDefault="004B2E7C" w:rsidP="00434A6A">
      <w:pPr>
        <w:rPr>
          <w:rtl/>
        </w:rPr>
      </w:pPr>
      <w:r>
        <w:rPr>
          <w:rFonts w:cs="Arial"/>
          <w:rtl/>
        </w:rPr>
        <w:t>ומה שכתב ולא להתיר קליעתו. כן כתבו התוספות והרא"ש בריש פרק במה אשה (תוס' נז. ד"ה במה, רא"ש סי' א) דסברא הוא דכי היכי דיש איסור בעשיית קליעה ה"נ יש איסור בסתירתה. וכתב הכל בו (סי' לא, כז ע"א) דהאידנא נהגו לקלוע שערן ואין מי שימחה בידן לפי שמוטב שיהו שוגגות וכו' שאי אפשר למנען שלא יתגנו על בעליהן</w:t>
      </w:r>
      <w:r>
        <w:rPr>
          <w:rStyle w:val="a9"/>
          <w:rFonts w:cs="Arial"/>
          <w:rtl/>
        </w:rPr>
        <w:footnoteReference w:id="1158"/>
      </w:r>
      <w:r>
        <w:rPr>
          <w:rFonts w:cs="Arial"/>
          <w:rtl/>
        </w:rPr>
        <w:t xml:space="preserve"> (עכ"ל). [בדק הבית] ואין טעם בדבר שהרי השער מכוסה הוא ומאי שלא יתגנו איכא ואנו לא שמענו מי שנהג כן ואם ימצא מקום שנוהגות כן ראוי לגעור בהן [עד כאן]:</w:t>
      </w:r>
    </w:p>
    <w:p w14:paraId="344DD339" w14:textId="77777777" w:rsidR="004B2E7C" w:rsidRDefault="004B2E7C" w:rsidP="00434A6A">
      <w:pPr>
        <w:rPr>
          <w:rtl/>
        </w:rPr>
      </w:pPr>
      <w:r>
        <w:rPr>
          <w:rFonts w:cs="Arial"/>
          <w:rtl/>
        </w:rPr>
        <w:t>ומה שכתב אבל יכולה לחלוק שערה. כן כתבו התוספות והרא"ש והר"ן בריש פרק במה אשה (תוס' ס. ד"ה למאי, רא"ש סי' ז, ר"ן כז. ד"ה למאי) גבי הא דתנן ולא במחט שאינה נקובה ובעי בגמרא למאי חזיא תרגמא רב אדא הואיל ואשה חולקת בה שערה ודלא כרש"י (ס. ד"ה ובשבת למאי) שכתב שבשבת אינה חולקת שערה:</w:t>
      </w:r>
    </w:p>
    <w:p w14:paraId="28ACF119" w14:textId="77777777" w:rsidR="004B2E7C" w:rsidRDefault="004B2E7C" w:rsidP="00434A6A">
      <w:pPr>
        <w:rPr>
          <w:rtl/>
        </w:rPr>
      </w:pPr>
      <w:r>
        <w:rPr>
          <w:rFonts w:cs="Arial"/>
          <w:rtl/>
        </w:rPr>
        <w:t>(דרכמ ח) וכן כתב באור זרוע (ח"ב סי' עח אות ג וסי' פד אות י) דאסור לחלוק שערותיהן שקורין בוטי"ץ בלשון כנען ובלשון אשכנז שייטי"ל:</w:t>
      </w:r>
    </w:p>
    <w:p w14:paraId="0DAA1930"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194F664" w14:textId="77777777" w:rsidR="004B2E7C" w:rsidRDefault="004B2E7C" w:rsidP="00434A6A">
      <w:pPr>
        <w:rPr>
          <w:rFonts w:asciiTheme="minorBidi" w:hAnsiTheme="minorBidi"/>
          <w:rtl/>
        </w:rPr>
      </w:pPr>
      <w:r>
        <w:rPr>
          <w:rFonts w:asciiTheme="minorBidi" w:hAnsiTheme="minorBidi" w:cs="Arial"/>
          <w:rtl/>
        </w:rPr>
        <w:t xml:space="preserve">אסור לקלוע האשה שערה בשבת, ולא להתיר קליעתה, אבל יכולה לחלוק שערה. הגה: ויש אוסרים לחלוק שערה, דהיינו לעשות השייטי"ל (רש"י וא"ז). וכן נהגו לאסור לעשות ע"י כלי, אבל באצבע בעלמא נהגו להקל. </w:t>
      </w:r>
    </w:p>
    <w:p w14:paraId="5ABD3DC2" w14:textId="77777777" w:rsidR="004B2E7C" w:rsidRDefault="004B2E7C" w:rsidP="00434A6A">
      <w:pPr>
        <w:pStyle w:val="2"/>
        <w:rPr>
          <w:rtl/>
        </w:rPr>
      </w:pPr>
      <w:r>
        <w:rPr>
          <w:rtl/>
        </w:rPr>
        <w:t>סעיף כז</w:t>
      </w:r>
    </w:p>
    <w:p w14:paraId="28F716BE" w14:textId="77777777" w:rsidR="004B2E7C" w:rsidRDefault="004B2E7C" w:rsidP="00434A6A">
      <w:pPr>
        <w:rPr>
          <w:rtl/>
        </w:rPr>
      </w:pPr>
      <w:r>
        <w:rPr>
          <w:rFonts w:cs="Arial"/>
          <w:rtl/>
        </w:rPr>
        <w:t>כז ומשמע מדבריהם שם דלא שרי אלא לחלוק שערה דכיון דאינה תולשת שער אפילו לחוף ולפספס מותר דקיימא לן (שבת כב., צה.) כרבי שמעון דדבר שאין מתכוין מותר אבל לסרוק במסרק לכולי עלמא אסור וכדתנן בפרק שלשה מינים (נזיר מב.) נזיר חופף ומפספס אבל לא סורק ואוקימנא אפילו כרבי שמעון משום דכל הסורק להשיר נימין מתכוין כלומר נימין המדולדלות ב' וסוף פרק המוציא יין (שבת פא:) מייתי הא מתניתין לגבי שבת ופירש רש"י אבל לא סורק במסרק דודאי משיר שער ומודה רבי שמעון בפסיק רישיה ולא ימות ובשלהי פרק במה טומנין (נ:) נמי מייתי לה וכתב רש"י נזיר בחול ככל אדם בשבת. וכ"כ הרא"ש בסוף פרק ב' דביצה (סי' כד) גבי הא דשרי התם (כג.) לקרד הבהמה ביום טוב וזה לשונו תימא דלא מדכר הכא אלא איסור חבורה ואנו רואים כשמגררים הסוסים במגררת של ברזל שתולשין מן השער והוי פסיק רישיה כההיא דתנן נזיר חופף ומפספס אבל לא סורק וצריך לומר שלא היה עשוי כעין שלנו ולא היה תולש את השער עכ"ל. וכן כתוב בכל בו (שם כו ע"ג) וזה לשונו אין מעבירין על הראש המסרק ואפילו של פיל ואפילו אותו שעושין משער החזיר שאי אפשר שלא יעקרו שערות עכ"ל: ושמעתי שיש מהנדזין בדבר לומר דלדברי הסוברים דלא מודה רבי שמעון בפסיק רישיה אלא בדניחא ליה אבל היכא דלא ניחא ליה לא וכמו שיתבאר בסימן ש"כ (פט.) בס"ד מותר לסרוק דהא לא ניחא ליה בתלישת שערות. ויש לדחות דבריהם דכיון שהוא רוצה להשוות שערו שיהא חלק ויפה ואי אפשר להשוותו אלא אם כן ישיר קצת שערות הוי פסיק רישיה דניחא ליה וכן נראה מדברי רבינו ירוחם שכתב בנתיב ד' (חלק א', כט ע"ג) גבי גרירת הסוס ביום טוב יש מי שכתב שאפילו בשלנו מותר אף על פי שמשיר שער מאחר שאינו נהנה לא הוי פסיק רישיה כדאמרינן בכתובות להדק נזייתא ביום טוב דמותר ולא דמי לסורק שערו שהוא נהנה ע"כ. ויש ראיה לדבר מדאמרינן בפרק תינוקת (נדה סז:) דאשה חופפת בערב שבת וטובלת במוצאי שבת והטעם מפני שאינה יכולה לחוף בשבת לפיכך התירו לה להקדים מערב שבת וכן פירשו המפרשים. וחפיפה היינו סריקת הראש כדפירש רש"י בפרק מרובה (ב"ק פב:). וכ"כ סמ"ג וסמ"ק בהלכות נדה (סמ"ג לאוין קיא דף לח ע"ב, סמ"ק סי' רצג עמ' שכב) וז"ל אם הוא יום טוב במוצאי שבת או חל טבילתה ליל שני בשבת והיה שני ימים טובים אירעו באחד בשבת שאינה יכולה לרחוץ בחמין כלל ולא לסרוק ראשה כלל אז תרחוץ בחמין מערב שבת ותחוף ותסרוק ע"כ. הרי בהדיא דאסור לסרוק הראש בשבת או ביום טוב וזו היא ראיה שאין עליה תשובה. אחר כך ראיתי בתשובות הריב"ש (סימן שצ"ד) שכתב והאריך להוכיח דאסור לסרוק [מהראיה] שהבאתי ומראיות אחרות:</w:t>
      </w:r>
    </w:p>
    <w:p w14:paraId="2A3033A4"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639F266" w14:textId="77777777" w:rsidR="004B2E7C" w:rsidRDefault="004B2E7C" w:rsidP="00434A6A">
      <w:pPr>
        <w:rPr>
          <w:rFonts w:asciiTheme="minorBidi" w:hAnsiTheme="minorBidi"/>
          <w:rtl/>
        </w:rPr>
      </w:pPr>
      <w:r>
        <w:rPr>
          <w:rFonts w:asciiTheme="minorBidi" w:hAnsiTheme="minorBidi" w:cs="Arial"/>
          <w:rtl/>
        </w:rPr>
        <w:t>אסור לסרוק במסרק בשבת, ואפילו אותו שעושים משער חזיר, שא"א שלא יעקרו שערות. אבל מותר לחוף ולפספס ביד (ב"י).</w:t>
      </w:r>
    </w:p>
    <w:p w14:paraId="4814E209" w14:textId="77777777" w:rsidR="004B2E7C" w:rsidRDefault="004B2E7C" w:rsidP="00434A6A">
      <w:pPr>
        <w:rPr>
          <w:rFonts w:asciiTheme="minorBidi" w:hAnsiTheme="minorBidi"/>
          <w:rtl/>
        </w:rPr>
      </w:pPr>
    </w:p>
    <w:p w14:paraId="643048D6" w14:textId="77777777" w:rsidR="004B2E7C" w:rsidRDefault="004B2E7C" w:rsidP="00434A6A">
      <w:pPr>
        <w:rPr>
          <w:rFonts w:asciiTheme="minorBidi" w:hAnsiTheme="minorBidi"/>
          <w:rtl/>
        </w:rPr>
      </w:pPr>
    </w:p>
    <w:p w14:paraId="2B672438" w14:textId="77777777" w:rsidR="004B2E7C" w:rsidRDefault="004B2E7C" w:rsidP="00434A6A">
      <w:pPr>
        <w:rPr>
          <w:rFonts w:asciiTheme="minorBidi" w:hAnsiTheme="minorBidi"/>
          <w:rtl/>
        </w:rPr>
      </w:pPr>
    </w:p>
    <w:p w14:paraId="2EE53017"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73"/>
          <w:footnotePr>
            <w:numRestart w:val="eachSect"/>
          </w:footnotePr>
          <w:pgSz w:w="11906" w:h="16838"/>
          <w:pgMar w:top="720" w:right="1134" w:bottom="720" w:left="1134" w:header="0" w:footer="0" w:gutter="0"/>
          <w:cols w:space="720"/>
          <w:bidi/>
          <w:rtlGutter/>
        </w:sectPr>
      </w:pPr>
    </w:p>
    <w:p w14:paraId="2972C197" w14:textId="77777777" w:rsidR="004B2E7C" w:rsidRDefault="004B2E7C" w:rsidP="00434A6A">
      <w:pPr>
        <w:pStyle w:val="1"/>
        <w:rPr>
          <w:rtl/>
        </w:rPr>
      </w:pPr>
      <w:r>
        <w:rPr>
          <w:rtl/>
        </w:rPr>
        <w:t xml:space="preserve">סימן שד: על איזה עבד מצווה על שביתתו, ובו ג' סעיפים. </w:t>
      </w:r>
    </w:p>
    <w:p w14:paraId="32799287" w14:textId="77777777" w:rsidR="004B2E7C" w:rsidRDefault="004B2E7C" w:rsidP="00434A6A">
      <w:pPr>
        <w:pStyle w:val="2"/>
        <w:rPr>
          <w:rtl/>
        </w:rPr>
      </w:pPr>
      <w:r>
        <w:rPr>
          <w:rtl/>
        </w:rPr>
        <w:t>סעיף א</w:t>
      </w:r>
    </w:p>
    <w:p w14:paraId="7CF70242" w14:textId="77777777" w:rsidR="004B2E7C" w:rsidRDefault="004B2E7C" w:rsidP="00FF2D21">
      <w:pPr>
        <w:pStyle w:val="aa"/>
        <w:numPr>
          <w:ilvl w:val="0"/>
          <w:numId w:val="130"/>
        </w:numPr>
        <w:rPr>
          <w:rtl/>
        </w:rPr>
      </w:pPr>
      <w:r>
        <w:rPr>
          <w:rtl/>
        </w:rPr>
        <w:t xml:space="preserve">טור- </w:t>
      </w:r>
      <w:r>
        <w:rPr>
          <w:rFonts w:cs="Arial"/>
          <w:rtl/>
        </w:rPr>
        <w:t>אין העבד יוצא בחותם של מתכות לא שנא אם הוא בכסותו או בצוארו דכיון שהוא חשוב ורבו מקפיד עליו חיישינן דילמא מפסיק ואתי לאתויי ואם הוא של טיט שאין רבו מקפיד עליו בצוארו מותר</w:t>
      </w:r>
      <w:r>
        <w:rPr>
          <w:rStyle w:val="a9"/>
          <w:rFonts w:cs="Arial"/>
          <w:rtl/>
        </w:rPr>
        <w:footnoteReference w:id="1159"/>
      </w:r>
      <w:r>
        <w:rPr>
          <w:rFonts w:cs="Arial"/>
          <w:rtl/>
        </w:rPr>
        <w:t xml:space="preserve"> דאי מפסיק שביק ליה וליכא למיחש נמי דאתי לאתויי משום דמירתת מרביה שיאמר עליו שהוא רוצה להראות שהוא בן חורין ולכך הסירו דמשום הכי לא מייתי ליה בידיה שאינו סימן עבדות אלא כשהוא בכסותו או בצוארו ואם הוא בכסותו אסור דילמא מפסיק ומירתת מרבו שיאמר שהסירו כדי להראות שהוא בן חורין ומקפל טליתו כדי שלא יראה מקום החותם שהוסר ודומה לטלית מקופלת שחייב חטאת:</w:t>
      </w:r>
    </w:p>
    <w:p w14:paraId="2B1E872D" w14:textId="77777777" w:rsidR="004B2E7C" w:rsidRDefault="004B2E7C" w:rsidP="00FF2D21">
      <w:pPr>
        <w:pStyle w:val="aa"/>
        <w:numPr>
          <w:ilvl w:val="0"/>
          <w:numId w:val="130"/>
        </w:numPr>
        <w:rPr>
          <w:rtl/>
        </w:rPr>
      </w:pPr>
      <w:r>
        <w:rPr>
          <w:rFonts w:cs="Arial"/>
          <w:rtl/>
        </w:rPr>
        <w:t>אדם מצווה על שביתת עבדו והני מילי שמל וטבל לשם עבדות וקיבל עליו מצות הנהוגות בעבד אבל לא מל וטבל אפילו קיבל עליו שבע מצות הנהוגות בבני נח הרי הוא כגר תושב ומותר במלאכה בשבת ודוקא לעצמו אבל אסור במלאכת רבו:</w:t>
      </w:r>
    </w:p>
    <w:p w14:paraId="4D34A416" w14:textId="77777777" w:rsidR="004B2E7C" w:rsidRDefault="004B2E7C" w:rsidP="00434A6A">
      <w:r>
        <w:rPr>
          <w:rFonts w:cs="Arial"/>
          <w:rtl/>
        </w:rPr>
        <w:t>א (א) אין העבד יוצא בחותם של מתכת וכו'. כל דינים אלו בריש פרק במה אשה (נח.) ולפי שאינם מצויים איני מאריך בהם:</w:t>
      </w:r>
    </w:p>
    <w:p w14:paraId="7787B88E" w14:textId="77777777" w:rsidR="004B2E7C" w:rsidRDefault="004B2E7C" w:rsidP="00434A6A">
      <w:pPr>
        <w:rPr>
          <w:rtl/>
        </w:rPr>
      </w:pPr>
      <w:r>
        <w:rPr>
          <w:rFonts w:cs="Arial"/>
          <w:rtl/>
        </w:rPr>
        <w:t>אדם מצווה על שביתת עבדו והני מילי שמל וטבל לשם עבדות וכו'. בפרק החולץ (יבמות מח:) אמרינן דכולי עלמא מיהת וינפש בן אמתך (שמות כג יב) בעבד ערל הכתוב מדבר מאי משמע דתניא וינפש בן אמתך בעבד ערל הכתוב מדבר אתה אומר בעבד ערל או אינו אלא בעבד מהול כשהוא אומר (דברים ה יד) למען ינוח עבדך ואמתך כמוך הרי עבד מהול אמור הא מה אני מקיים וינפש בן אמתך בעבד ערל הכתוב מדבר והגר (שמות שם) זה גר תושב או אינו אלא גר צדק כשהוא אומר (שמות כ י, דברים שם) וגרך אשר בשערך הרי גר צדק אמור הא מה אני מקיים והגר זה גר תושב: וכתב הרא"ש (סי' לח) גר תושב פירש רש"י שקבל עליו שלא לעבוד עבודה זרה ומחלל שבת כעובד עבודה זרה וקשה דאם כן נפישי להו משבע מצות ונראה דמיירי בגר תושב שנתגדל בביתו כמו שכירו ולקיטו ועושה מלאכה לצורך ישראל דומיא דבן אמתך ועל זה הזהירה תורה שלא יעשה מלאכה של ישראל בשבת לבשל או להדליק לו את הנר עכ"ל. ובכריתות פרק ארבעה מחוסרי כפרה (ט.) תניא רבי שמעון אומר אחד גר תושב ואחד עבד ואמה התושבים עושים מלאכה בשבת לעצמם כישראל בחול: וכתב הרמב"ם בסוף פרק כ' (הי"ד) עבד ואמה שאנו מצווין על שביתתן הם עבדים שמלו וטבלו לשם עבדות וקבלו מצות שהעבדים חייבין בהם אבל עבדים שלא מלו ולא טבלו אלא קבלו עליהם שבע מצות שנצטוו בני נח בלבד הרי הן כגר תושב ומותרין לעשות מלאכה בשבת לעצמן כישראל בחול. וכתב הרב המגיד דעבד תושב וגר תושב אסור מן התורה לכל ישראל לומר להם לעשות מלאכה בשבת לצורך ישראל אפילו מי שאינו רבו: ולענין עבדים שלא קבלו עליהם שום מצוה אלא עדיין הם גוים גמורים כתב הרב המגיד שם שדעת הרשב"א (עבוה"ק בית מועד ש"ה סי' ה, חי' יבמות מח: ד"ה הגר, שבת קכט. ד"ה אמר, שו"ת ח"א סי' נט) דכי אמרינן בהחולץ הא מה אני מקיים וינפש בן אמתך בעבד ערל הכתוב מדבר כל עבד ערל במשמע ואפילו לא קבל [עליו] שום מצוה ולפי זה צרכי חולה שאין בו סכנה דקיימא לן (שבת קכט.) אומר לגוי ועושה וכן מת ביום טוב ראשון דקיימא לן (שם קלט:, ביצה ו.) יתעסקו בו עממין אסור לומר לעבד ישראל אפילו הוא עובד עבודה זרה דלא דאמי לשאר גוים דלא מיתסרא אמירה דידהו אלא משום שבות דרבנן והם התירוהו בדברים אלו אבל מלאכת עבד ישראל שהוא מוזהר עליה מן התורה ודאי לא הותרה בדבר שאין בו פיקוח נפש. וכן כתב הר"ן סוף פרק מפנין (נא: ד"ה דבר) ונמוקי יוסף בפרק החולץ (יבמות טז: ד"ה תנו רבנן) וכן נראה מדברי רבינו ירוחם (בחי"ג) [בחי"ב] (פג ע"ג): וכתב הגאון מההר"י אבוהב ז"ל בשם הרשב"א (חי' יבמות שם) דנראה דאפילו לישראל אחר שאינו רבו אסור דעבד ערל כגר תושב ומה גר תושב אסור אף על פי שאין רשותך עליו אף עבד ערל כן אבל מדברי הרמב"ם (שם) נראה דכל שלא קבל עליו שבע מצות כיון דגוי גמור הוא אינו מוזהר עליו מן התורה וכתב הרב המגיד שכן דעת הרמב"ן (תורת האדם ענין ההוצאה עמ' קיג) ולפי זה צרכי חולה שאין בו סכנה וכן מת ביום טוב ראשון הכל מותר לומר לעשות לעבדי ישראל שהם גוים גמורים שלא קבלו עליהם שבע מצות כשם שמותר לאמרו לשאר גוים דעלמא ולזה נראה שהסכים הרב המגיד: ומדברי סמ"ג (לאוין סה, יט ע"ג) והתרומה (סי' רנב) והגהות מרדכי פ"ק דשבת (סי' תנד) נראה דסבירא להו כדעת הרשב"א שכתבו וז"ל והישראל מותר להניח עבדו לעשות מלאכתו לעצמו של גוי ואין כאן איסור למען ינוח עבדך כדאמרינן פרק ארבעה מחוסרי כפרה עבד ואמה עושין מלאכה לעצמן כישראל בחול. וסיים בה ספר התרומה וגם מהתם משמע דוקא לעצמן אבל לישראל אסור ואיסור למען ינוח עבדך היינו למען ישראל עכ"ל. ודעת רבינו נראה שהוא גם כן כדעת הרשב"א שכתב אבל לא מל וטבל אפילו קבל שבע מצות וכו' אבל אסור במלאכת רבו משמע דבין קבל ז' מצות בין לא קבל דינם שוה: וכתב הרשב"א בתשובה (שם) ומכל מקום נראה לי שאם היה העבד או השפחה עושין מלאכת רבן שלא מדעתו וניכר שאינן עושין לדעתו מותר ואינו צריך להפרישן דומיא דקטן (יבמות קיד., שבת קכא.) שלא אסרה תורה גר תושב ועבד ואמה במלאכת ישראל אלא כשיש אמירה דישראל או שעושין על דעת ישראל ואפשר עוד שאין גר תושב אסור במלאכת ישראל אלא כשיש שם אמירה דישראל אבל בלא אמירה דישראל מותר ואפילו עושה על דעת ישראל דאף הוא אינו עושה אלא אדעתא דנפשיה כיון שאינו כבוש תחת ידינו והוא הדין לעבד ואמה במלאכת ישראל שאינו אדוניו לפי שאף הם במלאכת ישראל דעלמא מדעת עצמן הן עושין אבל בשל אדון כיון שהם כבושים תחת ידו על דעתו הם עושים וזה נראה לי נכון ומכל מקום לא נאמרו דברים אלו אלא לדברים שאין הישראל משתמש בהם בשבת ולא נהנה מהם אבל להשתמש במלאכתו בשבת וליהנות ממנה בשבת אסור ואפילו בגוי דעלמא כל שהוא עושה לצורך ישראל או אפילו לצורך עצמו אלא שיש בו להוסיף לצורך ישראל כדאיתא בפרק כל כתבי (קכב.) עד כאן לשונו:</w:t>
      </w:r>
    </w:p>
    <w:p w14:paraId="2CC01440" w14:textId="77777777" w:rsidR="004B2E7C" w:rsidRDefault="004B2E7C" w:rsidP="00434A6A">
      <w:pPr>
        <w:rPr>
          <w:rtl/>
        </w:rPr>
      </w:pPr>
      <w:r>
        <w:rPr>
          <w:rFonts w:cs="Arial"/>
          <w:rtl/>
        </w:rPr>
        <w:t>א (ב), ג והגאון מהר"י אבוהב ז"ל לא הזכיר אלא דעת הרשב"א. וכתב שצריך לעיין על העבדים הישמעאלים אם יש מקום שנאמר שאינם כעבד ערל אלא כגוי אחר בעלמא שהוא שכיר לשנה שבזה אין איסור מן התורה שלא נקרא עבד בשביל זה ואלו הישמעאלים הואיל ויש להם רשות להמיר דתם ובזה הם מפקיעין עצמם מתחת יד אדוניהם אינם כעבד ערל עכ"ל ולמדנו מדבריו דגוי גמור שהוא שכיר אין רבו מצווה על שביתתו מן התורה לכולי עלמא. וכן נראה מדברי הגהות מרדכי פי"ד (שבת פט"ז סי' תסב)</w:t>
      </w:r>
      <w:r>
        <w:rPr>
          <w:rtl/>
        </w:rPr>
        <w:t xml:space="preserve"> </w:t>
      </w:r>
      <w:r>
        <w:rPr>
          <w:rFonts w:cs="Arial"/>
          <w:rtl/>
        </w:rPr>
        <w:t>((דרכמ ב) והאריך שם בזה מתשובת רא"ם:): אם עבדו של ישראל אסור במלאכה ביום טוב כמו שאסור בשבת לדעת האוסרים כתב הרמב"ן בתורת האדם (ענין ההוצאה עמ' קיב - קיג) ואכתבנו בסימן תקכ"ו (רנו: ד"ה כתב הרמב"ן) בס"ד:</w:t>
      </w:r>
    </w:p>
    <w:p w14:paraId="5FD5AE0B"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382D130" w14:textId="77777777" w:rsidR="004B2E7C" w:rsidRDefault="004B2E7C" w:rsidP="00434A6A">
      <w:pPr>
        <w:rPr>
          <w:rFonts w:asciiTheme="minorBidi" w:hAnsiTheme="minorBidi"/>
          <w:rtl/>
        </w:rPr>
      </w:pPr>
      <w:r>
        <w:rPr>
          <w:rFonts w:asciiTheme="minorBidi" w:hAnsiTheme="minorBidi" w:cs="Arial"/>
          <w:rtl/>
        </w:rPr>
        <w:t xml:space="preserve">אדם מצווה על שביתת עבדו שמל וטבל לשם עבדות וקבל עליו מצות הנוהגות בעבד, אבל אם לא מל וטבל אלא קבל עליו שבע מצות בני נח, הרי הוא כגר תושב ומותר לעשות מלאכה בשבת לעצמו, אבל לא לרבו; ואסור לכל ישראל לומר לו לעשות מלאכה בשבת לצורך ישראל, ואפילו מי שאינו רבו. ואם לא קבל עליו שום מצוה אלא עדיין הוא כותי גמור דינו שוה לקבל עליו שבע מצות. ולפ"ז צרכי חולה שאין בו סכנה, דקי"ל אומר לכותי ועושה, וכן מת ביום טוב ראשון דקי"ל יתעסקו בו עממין, אסור לומר לעבד ישראל אפילו הוא עובד עבודת אלילים, דכיון דמלאכת העבד אסורה מן התורה, לא הותרה בדבר שאין בו פקוח נפש. ויש חולקים ומתירים בזה. ומ"מ אם היה עושה מלאכת רבו שלא מדעתו, וניכר שאינו עושה לדעתו, מותר וא"צ להפרישו. (אפילו קבל עליו שבע מצות). ולישראל אחר שאינו רבו אפי' עושה לדעת ישראל, מותר כל שאין שם אמירת ישראל. ובלבד שלא יהנה ישראל בשבת מאותה מלאכה. וי"א שכל שלא קבל עליו ז' מצות ב"נ, כיון דכותי גמור הוא, אין רבו מוזהר עליו. ולפי זה צרכי חולה שאין בו סכנה וכן צרכי מת ביום טוב ראשון מותר לומר להם לעשותו. הגה: וכל עבד שמצווה על שביתתו אסור לצאת בחותם שעשה לו רבו להראות בו שהוא עבדו, ואם הוא של טיט מותר לצאת בו שתלוי בצוארו, אבל לא בכסותו. ובשל מתכת בכל ענין אסור. (טור) ואם העבד עושה החותם לעצמו, אפילו בשל טיט, בכל ענין, אסור (המגיד פי"ט). </w:t>
      </w:r>
    </w:p>
    <w:p w14:paraId="6C9FD535" w14:textId="77777777" w:rsidR="004B2E7C" w:rsidRDefault="004B2E7C" w:rsidP="00434A6A">
      <w:pPr>
        <w:pStyle w:val="2"/>
        <w:rPr>
          <w:rtl/>
        </w:rPr>
      </w:pPr>
      <w:r>
        <w:rPr>
          <w:rtl/>
        </w:rPr>
        <w:t>סעיף ב</w:t>
      </w:r>
    </w:p>
    <w:p w14:paraId="4AC349FD" w14:textId="77777777" w:rsidR="004B2E7C" w:rsidRDefault="004B2E7C" w:rsidP="00434A6A">
      <w:pPr>
        <w:rPr>
          <w:rtl/>
        </w:rPr>
      </w:pPr>
      <w:r>
        <w:rPr>
          <w:rFonts w:cs="Arial"/>
          <w:rtl/>
        </w:rPr>
        <w:t>ב ולענין מאי דשרו למיעבד מלאכת עצמן כתב הכלבו (סי' לא, ל ע"ב) כגון תפירת בגדיהם ותיקון מנעליהם ושוכרין עצמן לגוים כדי להרויח מזונותיהם על פסקת אדוניהם ובעל נמוקי יוסף כתב בהחולץ (שם) בשם הריטב"א (יבמות מח: ד"ה והגר) והרא"ה דאם אמר ליה האדון שיעשה לעצמו ויזון עצמו ביום השבת כיון שהתנה עמו מבעוד יום עושה הוא לצרכי מזונותיו ובלבד בצנעא בענין שלא יהא חשש הרואים עכ"ל:</w:t>
      </w:r>
    </w:p>
    <w:p w14:paraId="40FA52F1"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E4CADD5" w14:textId="77777777" w:rsidR="004B2E7C" w:rsidRDefault="004B2E7C" w:rsidP="00434A6A">
      <w:pPr>
        <w:rPr>
          <w:rFonts w:asciiTheme="minorBidi" w:hAnsiTheme="minorBidi"/>
          <w:rtl/>
        </w:rPr>
      </w:pPr>
      <w:r>
        <w:rPr>
          <w:rFonts w:asciiTheme="minorBidi" w:hAnsiTheme="minorBidi" w:cs="Arial"/>
          <w:rtl/>
        </w:rPr>
        <w:t xml:space="preserve">והיכא דמותר העבד לעשות מלאכה לעצמו, אם אמר לו האדון שיעשה לעצמו ויזון עצמו ביום השבת כיון שהתנה עמו מבעוד יום עושה הוא לצרכי מזונותיו ובלבד בצנעה, שלא יהא בדבר חשש רואים. </w:t>
      </w:r>
    </w:p>
    <w:p w14:paraId="3EB5ACC1" w14:textId="77777777" w:rsidR="004B2E7C" w:rsidRDefault="004B2E7C" w:rsidP="00434A6A">
      <w:pPr>
        <w:pStyle w:val="2"/>
        <w:rPr>
          <w:rtl/>
        </w:rPr>
      </w:pPr>
      <w:r>
        <w:rPr>
          <w:rtl/>
        </w:rPr>
        <w:t>סעיף ג</w:t>
      </w:r>
    </w:p>
    <w:p w14:paraId="5AB142ED"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D615DA1" w14:textId="77777777" w:rsidR="004B2E7C" w:rsidRDefault="004B2E7C" w:rsidP="00434A6A">
      <w:pPr>
        <w:rPr>
          <w:rFonts w:asciiTheme="minorBidi" w:hAnsiTheme="minorBidi"/>
          <w:rtl/>
        </w:rPr>
      </w:pPr>
      <w:r>
        <w:rPr>
          <w:rFonts w:asciiTheme="minorBidi" w:hAnsiTheme="minorBidi" w:cs="Arial"/>
          <w:rtl/>
        </w:rPr>
        <w:t>כותי גמור שהוא שכיר אין רבו מצווה על שביתתו.</w:t>
      </w:r>
    </w:p>
    <w:p w14:paraId="7B51DA07" w14:textId="77777777" w:rsidR="004B2E7C" w:rsidRDefault="004B2E7C" w:rsidP="00434A6A">
      <w:pPr>
        <w:rPr>
          <w:rFonts w:asciiTheme="minorBidi" w:hAnsiTheme="minorBidi"/>
          <w:rtl/>
        </w:rPr>
      </w:pPr>
    </w:p>
    <w:p w14:paraId="0E263801" w14:textId="77777777" w:rsidR="004B2E7C" w:rsidRDefault="004B2E7C" w:rsidP="00434A6A">
      <w:pPr>
        <w:rPr>
          <w:rFonts w:asciiTheme="minorBidi" w:hAnsiTheme="minorBidi"/>
          <w:rtl/>
        </w:rPr>
      </w:pPr>
    </w:p>
    <w:p w14:paraId="6B3F42C5" w14:textId="77777777" w:rsidR="004B2E7C" w:rsidRDefault="004B2E7C" w:rsidP="00434A6A">
      <w:pPr>
        <w:rPr>
          <w:rFonts w:asciiTheme="minorBidi" w:hAnsiTheme="minorBidi"/>
          <w:rtl/>
        </w:rPr>
      </w:pPr>
    </w:p>
    <w:p w14:paraId="74F1798C"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74"/>
          <w:footnotePr>
            <w:numRestart w:val="eachSect"/>
          </w:footnotePr>
          <w:pgSz w:w="11906" w:h="16838"/>
          <w:pgMar w:top="720" w:right="1134" w:bottom="720" w:left="1134" w:header="0" w:footer="0" w:gutter="0"/>
          <w:cols w:space="720"/>
          <w:bidi/>
          <w:rtlGutter/>
        </w:sectPr>
      </w:pPr>
    </w:p>
    <w:p w14:paraId="6ED0E4F8" w14:textId="77777777" w:rsidR="004B2E7C" w:rsidRDefault="004B2E7C" w:rsidP="00434A6A">
      <w:pPr>
        <w:pStyle w:val="1"/>
        <w:rPr>
          <w:rtl/>
        </w:rPr>
      </w:pPr>
      <w:r>
        <w:rPr>
          <w:rtl/>
        </w:rPr>
        <w:t xml:space="preserve">סימן שה: במה בהמה יוצאת בשבת, ובו כ"ג סעיפים. </w:t>
      </w:r>
    </w:p>
    <w:p w14:paraId="5EECFAB3" w14:textId="77777777" w:rsidR="004B2E7C" w:rsidRDefault="004B2E7C" w:rsidP="00434A6A">
      <w:pPr>
        <w:pStyle w:val="2"/>
        <w:rPr>
          <w:rtl/>
        </w:rPr>
      </w:pPr>
      <w:r>
        <w:rPr>
          <w:rtl/>
        </w:rPr>
        <w:t>סעיף א</w:t>
      </w:r>
    </w:p>
    <w:p w14:paraId="445A8190" w14:textId="77777777" w:rsidR="004B2E7C" w:rsidRDefault="004B2E7C" w:rsidP="00FF2D21">
      <w:pPr>
        <w:pStyle w:val="aa"/>
        <w:numPr>
          <w:ilvl w:val="0"/>
          <w:numId w:val="131"/>
        </w:numPr>
        <w:rPr>
          <w:rtl/>
        </w:rPr>
      </w:pPr>
      <w:r>
        <w:rPr>
          <w:rFonts w:cs="Arial"/>
          <w:rtl/>
        </w:rPr>
        <w:t>טור- כל בהמה יוצאת במה שמשתמרת בו אבל אם אינה משתמרת בו או הוי נטירותא יתירתא הוי משאוי וכן כל דבר שעושין לה לנוי לא תצא בו הלכך נאקה יוצאת בזממא דפרזלא וחמור לובא בפגא דפרזלא וגמלא באפסר וכן פרה וחמור וסוס יוצא ברסן או באפסר אבל לא בשתיהן ומותר לכרוך חבל האפסר סביב צוארה ותצא בו ומותר לטלטל האפסר וליתנו עליה ואין בו משום איסור טילטול שמוכן הוא לבהמה ובלבד שלא ישען עליה ובעלי השיר כגון כלבים של ציידים וחיות קטנות שיש להן כמין אצעדה וצמיד סביב צואריהם וטבעת קבועה בה ומכניסין בה רצועה ומושכין אות' בה יכולין לצאת בשיר הכרוך על צוארה ויכולים למושכם בהם אילים יוצאים לבובים והוא עור שקושרין תחת זכרותן שלא יעלו על הנקבות והרחלות שחוזות והוא שקושרין אלייתן כלפי מעלה כדי שיעלו עליהם הזכרים ויוצאות כבונות והוא שקושרין בגד סביבן לשמור צמרן שיהא נקי והעזים צרורות והוא שקושרים ראשי דדיהם ודוקא כשקושרין כדי שיצטמקו דדיהן ולא יהלכו עד שתתעבר דאז מהדק שפיר ולא חיישינן דילמא נפיל ואתי לאיתויי אבל אם קשר כדי לשמור חלבן שלא יפול לארץ אסור דלא מהדק שפיר וחיישינן דילמא נפיל ואתי לאתויי חמור יוצא במרדעת והוא שתהא קשורה לו מע"ש ושאר הבהמות אסורות אפילו אם קשורה להם מע"ש ולא יצא באוכף ואף על פי שקשור לו מע"ש ומותר ליתן עליו המרדעת בחצר ובלבד שלא יקשרנו בו בספר המצות אסר ליתן האוכף על הסוס שכתב אסור להסיר האוכף מעל הסוס ומרדעת מעל החמור וכן ליתן עליו אבל ליתן מרדעת על החמור שרי ע"כ ונראה דשרי ליתן אוכף על הסוס בלא קשירה</w:t>
      </w:r>
      <w:r>
        <w:rPr>
          <w:rStyle w:val="a9"/>
          <w:rFonts w:cs="Arial"/>
          <w:rtl/>
        </w:rPr>
        <w:footnoteReference w:id="1160"/>
      </w:r>
      <w:r>
        <w:rPr>
          <w:rFonts w:cs="Arial"/>
          <w:rtl/>
        </w:rPr>
        <w:t xml:space="preserve"> דטעמא דאסור לקשרו מפרש בירושלמי שלא ישתמש בבעלי חיים כי כשקושר צריך ליקרב אליה אבל בלא קשירה אין צריך ליקרב אליה ולפי זה אין חילוק בין סוס לחמור. אוכף שעל גבי החמור שבא מן הדרך ונתיגע וצריך להסירו לצננו לא יטלנו בידו אבל מוליכו ומביאו בחצר והוא נופל מאליו אין תולין לחמור סל בצוארו ליתן מאכלו בתוכו כדי שיאכל מתוכו אבל עגלים וסייחין שצוארן קצר ומצטערין לאכול מעל גבי קרקע שרי. חבל הקשור באבוס בראשו האחד מותר לקושרו בבהמה בראשו השני וכן הקשור בבהמה מותר לקושרו באבוס. לא יצא הסוס בזנב שועל שתולין בין עיניו שלא תשלוט בו עין הרע ולא בזהורית שעושין לו לנוי ולא עזים בכיס שבדדיהם שקושרין אותן שלא יסרטו דדיהם בקוצים ולא פרה בחסום שבפיה שחוסמין פיה שלא תרעה בשדות אחרות ולא כל בהמה בסנדל שנועלין ברגליה כדי שלא תנגף אבל יוצאה באגד שעל גבי המכה ובקשקשין שעל גבי השבר והן לוחות שקושרין להם סביב העצם הנשבר בה ובשליא שיצאה מקצתה ותלויה בה ופוקק זוג שבצוארה ומטיילת בה בחצר אבל אם אינו פקוק אפי' בחצר או פקוק בר"ה אסור בין אם הוא בצוארה או בכסותה:</w:t>
      </w:r>
    </w:p>
    <w:p w14:paraId="5F2957AA" w14:textId="77777777" w:rsidR="004B2E7C" w:rsidRDefault="004B2E7C" w:rsidP="00FF2D21">
      <w:pPr>
        <w:pStyle w:val="aa"/>
        <w:numPr>
          <w:ilvl w:val="0"/>
          <w:numId w:val="131"/>
        </w:numPr>
        <w:rPr>
          <w:rtl/>
        </w:rPr>
      </w:pPr>
      <w:r>
        <w:rPr>
          <w:rFonts w:cs="Arial"/>
          <w:rtl/>
        </w:rPr>
        <w:t>לא תצא בחותם בין אם הוא בצוארה או בכסותה. אין הגמל יוצא במטוטלת והוא כמין כר קטן שנותנין תחת זנבו שלא תשחית הרצועה את בשרו אפילו היא קשורה לו בזנבו אא"כ תהיה קשורה בזנבו ובחוטרתו או בשלייתה ולא תצא שום בהמה לא עקוד ולא רגול פירוש עקוד שקושר ידה אחת עם רגלה רגול שקושר אחת מרגליה כלפי מעלה שלא תלך אלא על ג' רגלים ולא יקשור הרבה בהמות יחד ויוציאם שנראה כאילו מוציאן כדי למכור אבל אחת לבדה יכול להוציאה בחבל ובלבד שלא יצא החבל מתחת ידו ולמטה טפח וגם לא יניח הרבה מן החבל בין ידו לבהמה כדי שלא יכביד עד שיגיע בטפח הסמוך לארץ ואם הוא ארוך יכרוך אותו סביב צוארה. אין חמור יוצא במרדעת בזמן שאינה קשורה לו מע"ש ולא בזוג אף על פי שהוא פקוק ולא בסולם שבצוארו והן לוחות שקושרין סביב צוארו שלא יחכך מכתו ולא ברצועה שברגליה והוא כמין טבעת עבה שעושין מקש וקושרין ברגלי בהמה שפסיעותיה קצרות ומכה ברגליה זו בזו ועושים לזה להגין שלא תכה זו בזו ואין התרנגולים יוצאין</w:t>
      </w:r>
      <w:r>
        <w:rPr>
          <w:rStyle w:val="a9"/>
          <w:rFonts w:cs="Arial"/>
          <w:rtl/>
        </w:rPr>
        <w:footnoteReference w:id="1161"/>
      </w:r>
      <w:r>
        <w:rPr>
          <w:rFonts w:cs="Arial"/>
          <w:rtl/>
        </w:rPr>
        <w:t xml:space="preserve"> בחוטין שקושרין ברגליהן לסימן ולא ברצועות שקושרין ברגליהם כדי שלא ישברו הכלים ואין האילים יוצאין בעגלה שתחת אליותיהן שעושים להם כדי שלא תהא האליה נגררת בארץ ואין העזים יוצאין בעץ שנותנין בחוטמיהן כדי שיתעטשו ולא העגל בעור קטן שנותנין על צוארו ולא פרה בעור הקופר שקושרין בדדיה כדי שלא יינקוה השרצים ולא ברצועה שבין קרניה בין אם היא לשמור או לנוי. אין רוכבין ע"ג בהמה ולא ניתלין עליה ואפילו בצדה אסור להשתמש אבל צדי צדדין כגון שדבר אחר מונח על צדה והוא משתמש בו מותר ואם עלה עליה אפי' במזיד ירד משום צער בעלי חיים וכן פורקין משוי שעליה משום צער בעלי חיים כיצד מכניס ראשו תחת המשוי ומסלקו לצד אחד והוא נופל מאליו. בהמה שנפלה לאמת המים אם אינו יכול לעשות לה תקנה במקומה מותר להביא כרים וכסתות וליתן תחתיה משום צער בעלי חיים אף על פי שמבטל כלי מהיכנו וכן מותר לומר לעכו"ם לחלוב בהמתו כיון שהחלב מצערה והחלב אסור בו ביום משום משקין שזבו ולמוצאי שבת מותר וכתבו ה"ר יונה וה"ר מאיר מרוטנבורק שצריך לקנותו מן העכו"ם בדבר מועט שלא יהא נראה כחולב לצורך ישראל מי שיש לו נער עכו"ם ורוכב על בהמה בשבת כשמוליכים להשקותה א"צ למונעו שהרי החי נושא את עצמו אבל צריך למונעו שלא יתן עליה בגדיו ולא שום דבר:</w:t>
      </w:r>
    </w:p>
    <w:p w14:paraId="5014F33E" w14:textId="77777777" w:rsidR="004B2E7C" w:rsidRDefault="004B2E7C" w:rsidP="00434A6A">
      <w:r>
        <w:rPr>
          <w:rFonts w:cs="Arial"/>
          <w:rtl/>
        </w:rPr>
        <w:t>א (א) כל בהמה יוצאה במה שמשתמרת בו. ריש פרק במה בהמה יוצאה (שבת נא:) יוצא הגמל באפסר והאנקה בחטם והלובדקים בפרומביא שבפיה וכל בעלי השיר יוצאין בשיר ונמשכין בשיר ופירש רש"י במה בהמה יוצאה וכו' לפי שאדם מצווה על שביתת בהמתו בשבת ומידי דמינטרא ביה בהמה הוי תכשיט ואורחא ולא הוי משוי ומידי דלא מינטרא הוי משוי. ובגמרא (נב.) תנן התם ולא פרה ברצועה שבין קרניה פליגי בה רב ושמואל חד אמר בין לנוי בין לשמר אסור וחד אמר לנוי אסור לשמר מותר. ופירש רש"י לנוי. שצבועה וקולעה לנוי בין קרניה ואינו אוחז בה: לשמר. שאוחזה בה: אסור. דפרה מינטרא בלא אחיזה אלא מוליכה לפניו וקסבר נטירותא יתירתא משוי הוא. ואסיקנא דרב הוא דאמר בין לנוי בין לשמר אסור ופסקו כמותו הרי"ף (כד., כה:) והרא"ש (סי' א) והתוספות (שם ד"ה אמר) וכן פסק הרמב"ם בפרק כ' (ה"ח): וכתב רבינו ירוחם בחלק י' (נתיב י"ב, פ ע"ב) דהא דאמרינן דנטירותא יתירתא משוי הוא ואסור דוקא שתהא שמירה גדולה שאם היה דבר שיש בו שמירה בינונית אפילו שהיתה נשמרת בדבר מועט מזה מותר. וכן כתבו סמ"ג (לאוין סה, יח ע"א) והתרומה (סי' רלו) דאין יכול לכוין השמירה ולצמצם שלא להוסיף מעט שהרי שנינו (נא:) הסוס בשיר ואפילו הכי תניא (שם) שיוצא באפסר:</w:t>
      </w:r>
    </w:p>
    <w:p w14:paraId="4EC46D3C" w14:textId="77777777" w:rsidR="004B2E7C" w:rsidRDefault="004B2E7C" w:rsidP="00434A6A">
      <w:pPr>
        <w:rPr>
          <w:rtl/>
        </w:rPr>
      </w:pPr>
      <w:r>
        <w:rPr>
          <w:rFonts w:cs="Arial"/>
          <w:rtl/>
        </w:rPr>
        <w:t>ומה שכתב הילכך נאקה יוצאה בזממא דפרזלא. שם בגמרא (נא:) פירשו דחטם הוא זממא דפרזלא ופירש רש"י נוקב חוטמו ומכניסו בתוכו והוא כמין טבעת. וליבדקים בפרומביא שבפיה מפרש בגמרא שם חמרא לובא בפגי דפרזלא ופירש רש"י פגי דפרזלא. ברינ"ה כעין שלנו פגי כגון זה קנה חמור ובית פגי (ב"מ ט.) קיבציי"ל בין ראשה ולחייה:</w:t>
      </w:r>
    </w:p>
    <w:p w14:paraId="609F7D39" w14:textId="77777777" w:rsidR="004B2E7C" w:rsidRDefault="004B2E7C" w:rsidP="00434A6A">
      <w:pPr>
        <w:rPr>
          <w:rtl/>
        </w:rPr>
      </w:pPr>
      <w:r>
        <w:rPr>
          <w:rFonts w:cs="Arial"/>
          <w:rtl/>
        </w:rPr>
        <w:t>וכן פרה וחמור. שם (שבת נא:) ארבע בהמות יוצאות באפסר הסוס והפרד והגמל והחמור. ואפסר פירש רש"י (במתניתין שם) קבישטור"ו:</w:t>
      </w:r>
    </w:p>
    <w:p w14:paraId="6193D929" w14:textId="77777777" w:rsidR="004B2E7C" w:rsidRDefault="004B2E7C" w:rsidP="00434A6A">
      <w:pPr>
        <w:rPr>
          <w:rtl/>
        </w:rPr>
      </w:pPr>
      <w:r>
        <w:rPr>
          <w:rFonts w:cs="Arial"/>
          <w:rtl/>
        </w:rPr>
        <w:t>א (ב) ונראה לי שיש להגיה בדברי רבינו פרד במקום פרה דבפרד הוא דתניא דיוצא באפסר אבל פרה אפילו ברצועה שבין קרניה אינה יוצאה וכתבו רבינו לקמן (נט:):</w:t>
      </w:r>
    </w:p>
    <w:p w14:paraId="7FFED17B" w14:textId="77777777" w:rsidR="004B2E7C" w:rsidRDefault="004B2E7C" w:rsidP="00434A6A">
      <w:pPr>
        <w:rPr>
          <w:rtl/>
        </w:rPr>
      </w:pPr>
      <w:r>
        <w:rPr>
          <w:rFonts w:cs="Arial"/>
          <w:rtl/>
        </w:rPr>
        <w:t>וסוס יוצא ברסן או באפסר. כן כתבו שם התוספות (נב. ד"ה אמר) וז"ל ויוצא סוס ברסן דאורחיה בהכי או באפסר אבל בשניהם ברסן ובאפסר אסור. וכן כתבו הרא"ש (סי' א) והמרדכי (סי' שלג) וכן כתבו סמ"ג (שם) והתרומה (שם) אלא שכתבו שיש מחמירין שלא להוציא הסוס בפרומביא. וכבר כתבתי דפרומביא הוא פרינ"ו הנקרא רסן:</w:t>
      </w:r>
    </w:p>
    <w:p w14:paraId="6DB768D9" w14:textId="77777777" w:rsidR="004B2E7C" w:rsidRDefault="004B2E7C" w:rsidP="00434A6A">
      <w:pPr>
        <w:rPr>
          <w:rtl/>
        </w:rPr>
      </w:pPr>
      <w:r>
        <w:rPr>
          <w:rFonts w:cs="Arial"/>
          <w:rtl/>
        </w:rPr>
        <w:t>א (ג) ומותר לכרוך חבל האפסר סביב צוארה ותצא בו. בגמרא שם רב הונא אמר מתניתין דקתני יוצאין בשיר ונמשכין בשיר הכי קאמר או יוצאין כרוכין או נמשכין ושמואל אמר נמשכין ואין יוצאין כרוכין ואמר רב יוסף חזינא לעגלי דרב הונא יוצאים באפסריהם כרוכים בשבת ואסיקנא דאמר רבי חנינא מולאות של בית רבי יוצאות באפסריהם כרוכין בשבת. וכתבו התוספות (ד"ה במתניתא) דעל כרחך לא שרי בכרוכין אלא כשהם רפויים שאדם יכול להכניס ידו בין אפסר לצואר שהוא נוח למשוך כשירצה. וכן כתב רבינו ירוחם בחלק י' (שם). אבל רש"י (ד"ה יוצאין כרוכין) פירש דאף על פי שהם כרוכים בצמצום שרי דלנוי נמי אורחייהו הוא. וכתב הר"ן (כד: דבור ראשון) דאף על גב דמידי שאינו אלא לנוי אסור לכולי עלמא היינו בדלאו אורחייהו דוקא:</w:t>
      </w:r>
    </w:p>
    <w:p w14:paraId="303E2EC4" w14:textId="77777777" w:rsidR="004B2E7C" w:rsidRDefault="004B2E7C" w:rsidP="00434A6A">
      <w:pPr>
        <w:rPr>
          <w:rtl/>
        </w:rPr>
      </w:pPr>
      <w:r>
        <w:rPr>
          <w:rFonts w:cs="Arial"/>
          <w:rtl/>
        </w:rPr>
        <w:t>ומותר לטלטל האפסר וכו'. כן כתבו שם התוספות (ד"ה אמר) והרא"ש (שם):</w:t>
      </w:r>
    </w:p>
    <w:p w14:paraId="5C94D843" w14:textId="77777777" w:rsidR="004B2E7C" w:rsidRDefault="004B2E7C" w:rsidP="00434A6A">
      <w:pPr>
        <w:rPr>
          <w:rtl/>
        </w:rPr>
      </w:pPr>
      <w:r>
        <w:rPr>
          <w:rFonts w:cs="Arial"/>
          <w:rtl/>
        </w:rPr>
        <w:t>ומ"ש ובלבד שלא ישען עליה. כן כתב שם הרא"ש (סי' ב). והטעם הוא כדי שלא ישתמש בבעלי חיים כדלקמן:</w:t>
      </w:r>
    </w:p>
    <w:p w14:paraId="553971FB"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7D69CC0" w14:textId="77777777" w:rsidR="004B2E7C" w:rsidRDefault="004B2E7C" w:rsidP="00434A6A">
      <w:pPr>
        <w:rPr>
          <w:rFonts w:asciiTheme="minorBidi" w:hAnsiTheme="minorBidi"/>
          <w:rtl/>
        </w:rPr>
      </w:pPr>
      <w:r>
        <w:rPr>
          <w:rFonts w:asciiTheme="minorBidi" w:hAnsiTheme="minorBidi" w:cs="Arial"/>
          <w:rtl/>
        </w:rPr>
        <w:t xml:space="preserve">בהמה יוצאת במה שמשתמרת בו, אבל אם אינה משתמרת בו או הוי נטירותא יתירתא ביותר והוי משאוי. וכן כל דבר שהוא לנוי ולא לשימור, לא תצא בו. הילכך נאקה יוצאת בזממא דפרזלא, שהוא טבעת של ברזל ונוקב חוטמו ומכניסו בו, וחמרא לובא בפגא דפרזלא דהיינו בריג"א, והגמל באפסר שהוא קבישטר"ו, ופרד וחמור וסוס יוצאים באפסר או ברסן שהוא פרינ"ו, אבל לא בשניהם. ומותר לכרוך חבל האפסר סביב צוארה ותצא בו. ומותר לטלטל האפסר וליתנו עליה, ובלבד שלא ישען עליה. </w:t>
      </w:r>
    </w:p>
    <w:p w14:paraId="1F48412D" w14:textId="77777777" w:rsidR="004B2E7C" w:rsidRDefault="004B2E7C" w:rsidP="00434A6A">
      <w:pPr>
        <w:pStyle w:val="2"/>
        <w:rPr>
          <w:rtl/>
        </w:rPr>
      </w:pPr>
      <w:r>
        <w:rPr>
          <w:rtl/>
        </w:rPr>
        <w:t>סעיף ב</w:t>
      </w:r>
    </w:p>
    <w:p w14:paraId="31F92381" w14:textId="77777777" w:rsidR="004B2E7C" w:rsidRDefault="004B2E7C" w:rsidP="00434A6A">
      <w:pPr>
        <w:rPr>
          <w:rtl/>
        </w:rPr>
      </w:pPr>
      <w:r>
        <w:rPr>
          <w:rFonts w:cs="Arial"/>
          <w:rtl/>
        </w:rPr>
        <w:t>ב וכתב הרמב"ם בפרק כ' (ה"ח) שאם קשר חבל בפי הסוס הרי זה משוי לפי שאינו משתמר בו. כלומר ולא דאמי לאפסר שקשור בראשו ואינו נשמט אבל כשאינו קשור אלא בפיו אינו שימור כלל דנשמט הוא מפיו:</w:t>
      </w:r>
    </w:p>
    <w:p w14:paraId="3DD3E2A1"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4AA215E" w14:textId="77777777" w:rsidR="004B2E7C" w:rsidRDefault="004B2E7C" w:rsidP="00434A6A">
      <w:pPr>
        <w:rPr>
          <w:rFonts w:asciiTheme="minorBidi" w:hAnsiTheme="minorBidi"/>
          <w:rtl/>
        </w:rPr>
      </w:pPr>
      <w:r>
        <w:rPr>
          <w:rFonts w:asciiTheme="minorBidi" w:hAnsiTheme="minorBidi" w:cs="Arial"/>
          <w:rtl/>
        </w:rPr>
        <w:t xml:space="preserve">אם קשר חבל בפי הסוס, הרי זה משאוי לפי שאינו משתמר בו. </w:t>
      </w:r>
    </w:p>
    <w:p w14:paraId="0DCED5B0" w14:textId="77777777" w:rsidR="004B2E7C" w:rsidRDefault="004B2E7C" w:rsidP="00434A6A">
      <w:pPr>
        <w:pStyle w:val="2"/>
        <w:rPr>
          <w:rtl/>
        </w:rPr>
      </w:pPr>
      <w:r>
        <w:rPr>
          <w:rtl/>
        </w:rPr>
        <w:t>סעיף ג</w:t>
      </w:r>
    </w:p>
    <w:p w14:paraId="52E87FCD" w14:textId="77777777" w:rsidR="004B2E7C" w:rsidRDefault="004B2E7C" w:rsidP="00434A6A">
      <w:pPr>
        <w:rPr>
          <w:rtl/>
        </w:rPr>
      </w:pPr>
      <w:r>
        <w:rPr>
          <w:rFonts w:cs="Arial"/>
          <w:rtl/>
        </w:rPr>
        <w:t>ג ומיהו חמור בפרומביא שאסרו סמ"ג (שם) והתרומה (שם) כולי עלמא מודו ביה דהא לא שרי במתניתין אלא לחמרא לובא דוקא אבל לא לשאר חמורים:</w:t>
      </w:r>
    </w:p>
    <w:p w14:paraId="3C7BC486"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32F157A" w14:textId="77777777" w:rsidR="004B2E7C" w:rsidRDefault="004B2E7C" w:rsidP="00434A6A">
      <w:pPr>
        <w:rPr>
          <w:rFonts w:asciiTheme="minorBidi" w:hAnsiTheme="minorBidi"/>
          <w:rtl/>
        </w:rPr>
      </w:pPr>
      <w:r>
        <w:rPr>
          <w:rFonts w:asciiTheme="minorBidi" w:hAnsiTheme="minorBidi" w:cs="Arial"/>
          <w:rtl/>
        </w:rPr>
        <w:t xml:space="preserve">לצאת חמור בפרומביא (פי' רסן של ברזל), אסור. </w:t>
      </w:r>
    </w:p>
    <w:p w14:paraId="7057F07D" w14:textId="77777777" w:rsidR="004B2E7C" w:rsidRDefault="004B2E7C" w:rsidP="00434A6A">
      <w:pPr>
        <w:pStyle w:val="2"/>
        <w:rPr>
          <w:rtl/>
        </w:rPr>
      </w:pPr>
      <w:r>
        <w:rPr>
          <w:rtl/>
        </w:rPr>
        <w:t>סעיף ד</w:t>
      </w:r>
    </w:p>
    <w:p w14:paraId="78B1DF52" w14:textId="77777777" w:rsidR="004B2E7C" w:rsidRDefault="004B2E7C" w:rsidP="00434A6A">
      <w:pPr>
        <w:rPr>
          <w:rtl/>
        </w:rPr>
      </w:pPr>
      <w:r>
        <w:rPr>
          <w:rFonts w:cs="Arial"/>
          <w:rtl/>
        </w:rPr>
        <w:t>ד וכתב המרדכי שם שאם הסוס עסקיו רעים מותר לצאת ברסן ואפסר יחד והכל לפי הענין. והכי משמע בגמרא (נב.) דאותיביה לרב דאמר דלשמר נמי אסור מדתניא קשרה בעלה במוסירה כשרה ואי סלקא דעתך משוי הוא אשר לא עלה עליה עול אמר רחמנא (במדבר יט ב) ואוקמה רבינא במורדת. וכן כתב הרב המגיד בפרק כ' (הי"א) בשם המפרשים שכל בהמה שעסקיה רעים אף על פי שאין בנות מינה צריכות לאותה שמירה והיא צריכה מותרת לצאת בה:</w:t>
      </w:r>
    </w:p>
    <w:p w14:paraId="5AD14CFD"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A837E06" w14:textId="77777777" w:rsidR="004B2E7C" w:rsidRDefault="004B2E7C" w:rsidP="00434A6A">
      <w:pPr>
        <w:rPr>
          <w:rFonts w:asciiTheme="minorBidi" w:hAnsiTheme="minorBidi"/>
          <w:rtl/>
        </w:rPr>
      </w:pPr>
      <w:r>
        <w:rPr>
          <w:rFonts w:asciiTheme="minorBidi" w:hAnsiTheme="minorBidi" w:cs="Arial"/>
          <w:rtl/>
        </w:rPr>
        <w:t xml:space="preserve">כל בהמה שעסקיה רעים, אף על פי שאין בנות מינה צריכות לאותה שמירה והיא צריכה, מותר לצאת בה. </w:t>
      </w:r>
    </w:p>
    <w:p w14:paraId="1186662D" w14:textId="77777777" w:rsidR="004B2E7C" w:rsidRDefault="004B2E7C" w:rsidP="00434A6A">
      <w:pPr>
        <w:pStyle w:val="2"/>
        <w:rPr>
          <w:rtl/>
        </w:rPr>
      </w:pPr>
      <w:r>
        <w:rPr>
          <w:rtl/>
        </w:rPr>
        <w:t>סעיף ה</w:t>
      </w:r>
    </w:p>
    <w:p w14:paraId="6C0A9673" w14:textId="77777777" w:rsidR="004B2E7C" w:rsidRDefault="004B2E7C" w:rsidP="00434A6A">
      <w:pPr>
        <w:rPr>
          <w:rtl/>
        </w:rPr>
      </w:pPr>
      <w:r>
        <w:rPr>
          <w:rFonts w:cs="Arial"/>
          <w:rtl/>
        </w:rPr>
        <w:t>ה ובעלי השיר וכו'. משנה שם (נא:) כתבתיה בסמוך ופירש רש"י כגון כלבים [של] ציידים:</w:t>
      </w:r>
    </w:p>
    <w:p w14:paraId="6D3AAC44"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EEF9B85" w14:textId="77777777" w:rsidR="004B2E7C" w:rsidRDefault="004B2E7C" w:rsidP="00434A6A">
      <w:pPr>
        <w:rPr>
          <w:rFonts w:asciiTheme="minorBidi" w:hAnsiTheme="minorBidi"/>
          <w:rtl/>
        </w:rPr>
      </w:pPr>
      <w:r>
        <w:rPr>
          <w:rFonts w:asciiTheme="minorBidi" w:hAnsiTheme="minorBidi" w:cs="Arial"/>
          <w:rtl/>
        </w:rPr>
        <w:t xml:space="preserve">בעלי השיר כגון כלבים של ציידים וחיות קטנות שיש להם כמין אצעדה סביב צוארן וטבעת קבועה בה ומכניסין בה רצועה ומושכין אותם בה, מותר שיצאו בשיר הכרוך על צוארן ויכולים למשכם בהם. </w:t>
      </w:r>
    </w:p>
    <w:p w14:paraId="492E3008" w14:textId="77777777" w:rsidR="004B2E7C" w:rsidRDefault="004B2E7C" w:rsidP="00434A6A">
      <w:pPr>
        <w:pStyle w:val="2"/>
        <w:rPr>
          <w:rtl/>
        </w:rPr>
      </w:pPr>
      <w:r>
        <w:rPr>
          <w:rtl/>
        </w:rPr>
        <w:t>סעיף ו</w:t>
      </w:r>
    </w:p>
    <w:p w14:paraId="0BF58058" w14:textId="77777777" w:rsidR="004B2E7C" w:rsidRDefault="004B2E7C" w:rsidP="00434A6A">
      <w:pPr>
        <w:rPr>
          <w:rtl/>
        </w:rPr>
      </w:pPr>
      <w:r>
        <w:rPr>
          <w:rFonts w:cs="Arial"/>
          <w:rtl/>
        </w:rPr>
        <w:t>ו אילים יוצאים לבובים וכו'. משנה שם (נב:) זכרים יוצאים לבובים רחלות יוצאות שחוזות כבולות וכבונות העזים יוצאים צרורות רבי יהודה אומר העזים יוצאות צרורות ליבש אבל לא לחלב ובגמרא (נד.) רב אמר ליבש מותר לחלב אסור ושמואל אמר אחד זה ואחד זה אסור. וכתבו הרי"ף (כה.) והרא"ש (סי' ה) והלכתא כרב דאמר הלכה כרבי יהודה וכן פסק הרמב"ם בפרק כ' (הי"ב). אבל רש"י גורס ורבי יוחנן אמר הלכה כתנא קמא וכתב הרא"ש וכן כתוב בהרבה ספרים ולגירסא זו הלכה כרבי יוחנן לגבי רב ושמואל וכתב רבינו ירוחם בחלק י' (שם ע"ג) שכן דעת כמה פסקנים. וכיון שהרי"ף והרמב"ם מסכימים לדעת אחת הכי נקיטינן:</w:t>
      </w:r>
    </w:p>
    <w:p w14:paraId="644976D9"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1615C96" w14:textId="77777777" w:rsidR="004B2E7C" w:rsidRDefault="004B2E7C" w:rsidP="00434A6A">
      <w:pPr>
        <w:rPr>
          <w:rFonts w:asciiTheme="minorBidi" w:hAnsiTheme="minorBidi"/>
          <w:rtl/>
        </w:rPr>
      </w:pPr>
      <w:r>
        <w:rPr>
          <w:rFonts w:asciiTheme="minorBidi" w:hAnsiTheme="minorBidi" w:cs="Arial"/>
          <w:rtl/>
        </w:rPr>
        <w:t xml:space="preserve">אילים יוצאים לבובים והוא עור שקושרים להם תחת זכרותם שלא יעלו על הנקבות, והרחלות יוצאות שחוזות והוא שקושרין אליתן כלפי מעלה כדי שיעלו עליהן הזכרים, ויוצאות כבונות והוא שקושרים בגד סביבן לשמור הצמר שיהיה נקי, והעזים צרורות והוא שקושרים ראשי דדיהן ודוקא כשקושרים אותם כדי שיצטמקו דדיהן ולא יחלבו דאז מהדק שפיר, אבל אם קשר כדי לשמור חלבן שלא יפול לארץ, אסור דלא מהדק שפיר וחיישינן דלמא נפל ואתי לאתויי. </w:t>
      </w:r>
    </w:p>
    <w:p w14:paraId="3F29ED10" w14:textId="77777777" w:rsidR="004B2E7C" w:rsidRDefault="004B2E7C" w:rsidP="00434A6A">
      <w:pPr>
        <w:pStyle w:val="2"/>
        <w:rPr>
          <w:rtl/>
        </w:rPr>
      </w:pPr>
      <w:r>
        <w:rPr>
          <w:rtl/>
        </w:rPr>
        <w:t>סעיף ז</w:t>
      </w:r>
    </w:p>
    <w:p w14:paraId="46786158" w14:textId="77777777" w:rsidR="004B2E7C" w:rsidRDefault="004B2E7C" w:rsidP="00434A6A">
      <w:pPr>
        <w:rPr>
          <w:rtl/>
        </w:rPr>
      </w:pPr>
      <w:r>
        <w:rPr>
          <w:rFonts w:cs="Arial"/>
          <w:rtl/>
        </w:rPr>
        <w:t>ז חמור יוצא במרדעת. משנה שם (נב:) ובגמרא אמר שמואל והוא שקשורה לו מערב שבת. וכתב הרא"ש (סי' ב) דבירושלמי (שבת פ"ה ה"ב) משמע דהא דאסור לקשור מרדעת בשבת משום דמשתמש בבעלי חיים וכן כתב הרב המגיד בפרק כ' (ה"י) בשם הרשב"א (נב: ד"ה אלא) וכן כתב רבינו בסמוך:</w:t>
      </w:r>
    </w:p>
    <w:p w14:paraId="133B4157" w14:textId="77777777" w:rsidR="004B2E7C" w:rsidRDefault="004B2E7C" w:rsidP="00434A6A">
      <w:pPr>
        <w:rPr>
          <w:rtl/>
        </w:rPr>
      </w:pPr>
      <w:r>
        <w:rPr>
          <w:rFonts w:cs="Arial"/>
          <w:rtl/>
        </w:rPr>
        <w:t>ומה שכתב ושאר הבהמות אסורות. כן כתוב בסמ"ג (שם) דדוקא בחמור שרי בקשירה מפני שמצטער בצנה כדאמרינן בגמרא (שבת נג.) דאמרי אינשי חמרא אפילו בתקופת תמוז קריר ליה:</w:t>
      </w:r>
    </w:p>
    <w:p w14:paraId="63466E4F" w14:textId="77777777" w:rsidR="004B2E7C" w:rsidRDefault="004B2E7C" w:rsidP="00434A6A">
      <w:pPr>
        <w:rPr>
          <w:rtl/>
        </w:rPr>
      </w:pPr>
      <w:r>
        <w:rPr>
          <w:rFonts w:cs="Arial"/>
          <w:rtl/>
        </w:rPr>
        <w:t>ולא יצא באוכף וכו'. פלוגתא דתנא קמא ורבן שמעון בן גמליאל שם בברייתא (נג.) ופסקו (רי"ף כד:, רמב"ם פ"כ ה"ג, רא"ש סי' ב) כתנא קמא דאסר:</w:t>
      </w:r>
    </w:p>
    <w:p w14:paraId="2002C663"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58176D8" w14:textId="77777777" w:rsidR="004B2E7C" w:rsidRDefault="004B2E7C" w:rsidP="00434A6A">
      <w:pPr>
        <w:rPr>
          <w:rFonts w:asciiTheme="minorBidi" w:hAnsiTheme="minorBidi"/>
          <w:rtl/>
        </w:rPr>
      </w:pPr>
      <w:r>
        <w:rPr>
          <w:rFonts w:asciiTheme="minorBidi" w:hAnsiTheme="minorBidi" w:cs="Arial"/>
          <w:rtl/>
        </w:rPr>
        <w:t xml:space="preserve">חמור יוצא במרדעת (פי' כמין אוכף קטן שמניחין על החמור כל היום כולו כדי שיתחמם) והוא שתהא קשורה לו מע"ש, ושאר כל הבהמות אסורות, ולא יצא באוכף אעפ"י שקשור לו מע"ש. </w:t>
      </w:r>
    </w:p>
    <w:p w14:paraId="72B8FCC1" w14:textId="77777777" w:rsidR="004B2E7C" w:rsidRDefault="004B2E7C" w:rsidP="00434A6A">
      <w:pPr>
        <w:pStyle w:val="2"/>
        <w:rPr>
          <w:rtl/>
        </w:rPr>
      </w:pPr>
      <w:r>
        <w:rPr>
          <w:rtl/>
        </w:rPr>
        <w:t>סעיף ח</w:t>
      </w:r>
    </w:p>
    <w:p w14:paraId="3DC57279" w14:textId="77777777" w:rsidR="004B2E7C" w:rsidRDefault="004B2E7C" w:rsidP="00434A6A">
      <w:pPr>
        <w:rPr>
          <w:rtl/>
        </w:rPr>
      </w:pPr>
      <w:r>
        <w:rPr>
          <w:rFonts w:cs="Arial"/>
          <w:rtl/>
        </w:rPr>
        <w:t>ח ומותר ליתן עליו המרדעת בחצר. פשוט שם נותנין מרדעת על גבי חמור בשבת. ופירש רבינו בחצר כלומר דוקא להלך בה בחצר אבל לא לצאת בה לרשות הרבים דאין חמור יוצא במרדעת אלא אם כן קשורה לו מערב שבת:</w:t>
      </w:r>
    </w:p>
    <w:p w14:paraId="5AC55742" w14:textId="77777777" w:rsidR="004B2E7C" w:rsidRDefault="004B2E7C" w:rsidP="00434A6A">
      <w:pPr>
        <w:rPr>
          <w:rtl/>
        </w:rPr>
      </w:pPr>
      <w:r>
        <w:rPr>
          <w:rFonts w:cs="Arial"/>
          <w:rtl/>
        </w:rPr>
        <w:t>ומ"ש ובלבד שלא יקשרנו בו. נתבאר טעמו בסמוך. [ולא] ידעתי היאך כתב רבינו ירוחם בחלק י' (שם ע"ב) דמותר לקשרו ולא חשש למה שכתב הרא"ש בשם הירושלמי:</w:t>
      </w:r>
    </w:p>
    <w:p w14:paraId="5FB16DDE" w14:textId="77777777" w:rsidR="004B2E7C" w:rsidRDefault="004B2E7C" w:rsidP="00434A6A">
      <w:pPr>
        <w:rPr>
          <w:rtl/>
        </w:rPr>
      </w:pPr>
      <w:r>
        <w:rPr>
          <w:rFonts w:cs="Arial"/>
          <w:rtl/>
        </w:rPr>
        <w:t>בסמ"ג (שם) אסר ליתן האוכף על הסוס שכתב אסור להסיר האוכף מעל הסוס וכו' ונראה דשרי וכו' ולפי זה אין חילוק בין סוס לחמור. כלומר דבלא קשירה אפילו אוכף על הסוס שרי ואם קושר אפילו מרדעת לחמור אסור. ותמהני על רבינו שהרי דברי סמ"ג ברורים הם בגמרא דהא תניא (נג.) אוכף שעל גבי חמור לא יטלטלנה בידו אלא מוליכה ומביאה בחצר והוא נופל מאליו וכתבו רבינו בסמוך הרי בהדיא אוסר להסיר האוכף מעל גבי החמור ובודאי דהוא הדין מעל הסוס. ומשמע נמי דכשם שאסור ליטול האוכף כך אסור ליתנו דגרסינן בגמרא (שם) בעא מיניה רב אסי בר נתן מרבי חייא בר רב אשי מהו ליתן מרדעת על גבי חמור בשבת אמר ליה מותר אמר ליה וכי מה בין זה לאוכף אישתיק איתיביה אוכף שעל גבי חמור לא יטלטלנה בידו השתא ליטול אמרת לא להניח מיבעיא אמר ליה רבי זירא שבקיה כרביה סבירא ליה דאמר תולין טרסקל לבהמה בשבת וקל וחומר למרדעת ומה התם דמשום תענוג שרי הכא דמשום צער לא כל שכן ופירש רש"י איתיביה כסבור הא דאישתיק משום דלא אשגח ביה דסובר אוכף נמי שרי ואותביה מברייתא דאסרה ליטלה והשתא ליטול אמרת לא להניח מיבעיא דדמי כאילו צריך להטעינה משוי: צער. של צנה עכ"ל. ובתר הכי אמרינן רבי זירא אשכחיה לרבי בנימן וכו' נותנין מרדעת על גבי חמור בשבת אמר ליה יישר וכו' דכולי עלמא מיהת מרדעת מותר מאי שנא מאוכף ופירש רש"י מאי שנא מאוכף. שאסור ליטול וכל שכן להניחו: שאני התם דאפשר דנפיל ממילא רב פפא אמר כאן לחממה כאן לצננה לחממה אית לה צערא לצננה לית לה צערא ופירש רש"י מרדעת צריך לחממה ומותר משום צער דצנה אבל נטילת אוכף אינו אלא שתצטנן שנתחממה ע"י משוי שנשאה מבעוד יום ואי לא שקיל לה לא איכפת לן שהרי היא תצטנן מאליה עכ"ל. הרי הדבר פשוט דאוכף אסור בין ליטול בין להניח בין לחמור בין לסוס ומרדעת מותר ליתנו על גבי חמור משום צער צנה אבל על הסוס כיון דלית ליה צער צנה ודאי אסור וכן להסיר המרדעת בין מן החמור בין מן הסוס אסור כיון דלית ליה צער אם לא יסירנה וכדברי סמ"ג. ולא מטעם קשירה מיתסרי דבלא קושר נמי אסור ליתן אוכף על גבי סוס או חמור ומרדעת על גבי סוס כמו שנתבאר וטעמא משום דדמי כאילו צריך להטעינה משוי ולהסיר אוכף או מרדעת מסוס וחמור אסור משום טירחא שלא לצורך. והירושלמי בא ללמד דנותן מרדעת על החמור נמי לא שרי אלא בלא קשירה ואין זה ענין לדברי סמ"ג:</w:t>
      </w:r>
    </w:p>
    <w:p w14:paraId="34D0D742"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ADED13F" w14:textId="77777777" w:rsidR="004B2E7C" w:rsidRDefault="004B2E7C" w:rsidP="00434A6A">
      <w:pPr>
        <w:rPr>
          <w:rFonts w:asciiTheme="minorBidi" w:hAnsiTheme="minorBidi"/>
          <w:rtl/>
        </w:rPr>
      </w:pPr>
      <w:r>
        <w:rPr>
          <w:rFonts w:asciiTheme="minorBidi" w:hAnsiTheme="minorBidi" w:cs="Arial"/>
          <w:rtl/>
        </w:rPr>
        <w:t xml:space="preserve">מותר ליתן מרדעת על החמור מפני הצנה ובלבד שלא יקשרנו בו, מפני שכשקושר צריך ליקרב אליו ונמצא משתמש בב"ח; אבל על הסוס, כיון דלית ליה צער צנה אסור ליתן עליו מרדעת כלל; ולהסיר מרדעת בשבת בין מן החמור ובין מן הסוס, אסור כיון דלית ליה צער אם לא יסירנה; ואוכף אסור בין ליטול בין להניח בין לחמור בין לסוס. </w:t>
      </w:r>
    </w:p>
    <w:p w14:paraId="610E48A8" w14:textId="77777777" w:rsidR="004B2E7C" w:rsidRDefault="004B2E7C" w:rsidP="00434A6A">
      <w:pPr>
        <w:pStyle w:val="2"/>
        <w:rPr>
          <w:rtl/>
        </w:rPr>
      </w:pPr>
      <w:r>
        <w:rPr>
          <w:rtl/>
        </w:rPr>
        <w:t>סעיף ט</w:t>
      </w:r>
    </w:p>
    <w:p w14:paraId="7C064F03" w14:textId="77777777" w:rsidR="004B2E7C" w:rsidRDefault="004B2E7C" w:rsidP="00434A6A">
      <w:pPr>
        <w:rPr>
          <w:rtl/>
        </w:rPr>
      </w:pPr>
      <w:r>
        <w:rPr>
          <w:rFonts w:cs="Arial"/>
          <w:rtl/>
        </w:rPr>
        <w:t>ט אוכף שעל גבי החמור שבא מן הדרך וכו'. ברייתא שם וכבר הזכרתיה בסמוך וכתבו הגהות בפרק כ' (אות פ) בשם סה"ק מתיר החבק מתחתיו ומוליכה ומביאה בחצר ואם יפול מאיליו יפול ופשוט הוא:</w:t>
      </w:r>
    </w:p>
    <w:p w14:paraId="19121B35"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6AA7022" w14:textId="77777777" w:rsidR="004B2E7C" w:rsidRDefault="004B2E7C" w:rsidP="00434A6A">
      <w:pPr>
        <w:rPr>
          <w:rFonts w:asciiTheme="minorBidi" w:hAnsiTheme="minorBidi"/>
          <w:rtl/>
        </w:rPr>
      </w:pPr>
      <w:r>
        <w:rPr>
          <w:rFonts w:asciiTheme="minorBidi" w:hAnsiTheme="minorBidi" w:cs="Arial"/>
          <w:rtl/>
        </w:rPr>
        <w:t xml:space="preserve">אוכף שע"ג החמור שבא מן הדרך ונתיגע וצריך להסירו לצננו, לא יטלנו בידו אלא מתיר החבל מתחתיו ומוליכו ומביאו בחצר והוא נופל מאליו. </w:t>
      </w:r>
    </w:p>
    <w:p w14:paraId="339CA4D0" w14:textId="77777777" w:rsidR="004B2E7C" w:rsidRDefault="004B2E7C" w:rsidP="00434A6A">
      <w:pPr>
        <w:pStyle w:val="2"/>
        <w:rPr>
          <w:rtl/>
        </w:rPr>
      </w:pPr>
      <w:r>
        <w:rPr>
          <w:rtl/>
        </w:rPr>
        <w:t>סעיף י</w:t>
      </w:r>
    </w:p>
    <w:p w14:paraId="1B6B9EF3" w14:textId="77777777" w:rsidR="004B2E7C" w:rsidRDefault="004B2E7C" w:rsidP="00434A6A">
      <w:pPr>
        <w:rPr>
          <w:rtl/>
        </w:rPr>
      </w:pPr>
      <w:r>
        <w:rPr>
          <w:rFonts w:cs="Arial"/>
          <w:rtl/>
        </w:rPr>
        <w:t>י אין תולין לחמור סל בצוארו וכו'. שם פלוגתא דאמוראי אם תולין טרסקל לבהמה בשבת ופסקו התוספות (ד"ה דשמעיה) והרי"ף (כד:) והרא"ש (סי' ב) כמאן דאמר אין תולין וכן פסק הרמב"ם בפרק כ' (הי"ג):</w:t>
      </w:r>
    </w:p>
    <w:p w14:paraId="0ABD8C86" w14:textId="77777777" w:rsidR="004B2E7C" w:rsidRDefault="004B2E7C" w:rsidP="00434A6A">
      <w:pPr>
        <w:rPr>
          <w:rtl/>
        </w:rPr>
      </w:pPr>
      <w:r>
        <w:rPr>
          <w:rFonts w:cs="Arial"/>
          <w:rtl/>
        </w:rPr>
        <w:t>ומ"ש אבל עגלים וסייחים שצוארן קצר וכו'. פשוט שם בגמרא ומפורש שם דהיינו דוקא בחצר אבל אין יוצאין בטרסקל לרשות הרבים:</w:t>
      </w:r>
    </w:p>
    <w:p w14:paraId="24C4A5A8" w14:textId="77777777" w:rsidR="004B2E7C" w:rsidRDefault="004B2E7C" w:rsidP="00434A6A">
      <w:pPr>
        <w:rPr>
          <w:rtl/>
        </w:rPr>
      </w:pPr>
      <w:r>
        <w:rPr>
          <w:rFonts w:cs="Arial"/>
          <w:rtl/>
        </w:rPr>
        <w:t>חבל הקשור באבוס בראשו האחד וכו'. בפרק אלו קשרים (קיג.) ויתבאר בסימן שי"ז (פ. ד"ה קושרין, פ: ד"ה מטלטלין) בס"ד ואף על פי שאין דין זה מענין הוצאה אגב שיטפא דדיני בהמה כתבו רבינו כאן:</w:t>
      </w:r>
    </w:p>
    <w:p w14:paraId="2713E19E"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0C33E18" w14:textId="77777777" w:rsidR="004B2E7C" w:rsidRDefault="004B2E7C" w:rsidP="00434A6A">
      <w:pPr>
        <w:rPr>
          <w:rFonts w:asciiTheme="minorBidi" w:hAnsiTheme="minorBidi"/>
          <w:rtl/>
        </w:rPr>
      </w:pPr>
      <w:r>
        <w:rPr>
          <w:rFonts w:asciiTheme="minorBidi" w:hAnsiTheme="minorBidi" w:cs="Arial"/>
          <w:rtl/>
        </w:rPr>
        <w:t xml:space="preserve">אין תולין לחמור טרסקל (פי' כלי של ערבה קלופה ומכוסה בעור) בצוארו ליתן מאכל בתוכו שיאכל משם; אבל עגלים וסייחים שצוארן קטן ומצטערים לאכול ע"ג קרקע, שרי בחצר אבל אין יוצאים בו. </w:t>
      </w:r>
    </w:p>
    <w:p w14:paraId="1D31F470" w14:textId="77777777" w:rsidR="004B2E7C" w:rsidRDefault="004B2E7C" w:rsidP="00434A6A">
      <w:pPr>
        <w:pStyle w:val="2"/>
        <w:rPr>
          <w:rtl/>
        </w:rPr>
      </w:pPr>
      <w:r>
        <w:rPr>
          <w:rtl/>
        </w:rPr>
        <w:t>סעיף יא</w:t>
      </w:r>
    </w:p>
    <w:p w14:paraId="207B3EBC" w14:textId="77777777" w:rsidR="004B2E7C" w:rsidRDefault="004B2E7C" w:rsidP="00434A6A">
      <w:pPr>
        <w:rPr>
          <w:rtl/>
        </w:rPr>
      </w:pPr>
      <w:r>
        <w:rPr>
          <w:rFonts w:cs="Arial"/>
          <w:rtl/>
        </w:rPr>
        <w:t>יא לא יצא הסוס בזנב שועל וכו'. ברייתא בפרק במה בהמה (נג.) ופירש רש"י ופוקק לה זוג אבל בשאינו פקוק אפילו בחצר לא תצא מפני שהענבל שבתוכה מקשקש ומוליד קול ואפילו כשהוא פקוק לא תצא בו לרשות הרבים כדמפרש לקמן בפירקין (נד:) דמיחזי כמאן דאזיל לחינגא:</w:t>
      </w:r>
    </w:p>
    <w:p w14:paraId="3322882A"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ECE933E" w14:textId="77777777" w:rsidR="004B2E7C" w:rsidRDefault="004B2E7C" w:rsidP="00434A6A">
      <w:pPr>
        <w:rPr>
          <w:rFonts w:asciiTheme="minorBidi" w:hAnsiTheme="minorBidi"/>
          <w:rtl/>
        </w:rPr>
      </w:pPr>
      <w:r>
        <w:rPr>
          <w:rFonts w:asciiTheme="minorBidi" w:hAnsiTheme="minorBidi" w:cs="Arial"/>
          <w:rtl/>
        </w:rPr>
        <w:t xml:space="preserve">לא יצא הסוס בזנב שועל שתולין בין עיניו שלא תשלוט בו עין הרע, ולא בזהורית שעושים לו לנוי, ולא עזים בכיס שבדדיהם שקושרים אותם שלא יסרטו דדיהם בקוצים, ולא פרה בחסום שבפיה שחוסמים פיה שלא תרעה בשדות אחרים, ולא כל בהמה בסנדל שנועלים ברגליה שלא תנגף; אבל יוצאה באגד שע"ג מכה, ובקשקשים שע"ג השבר והם לוחות שקושרים להם סביב העצם הנשבר בהן, ובשליא שיצאה מקצתה ותלויה בה; ופוקק זוג שבצוארה ומטייל בה בחצר, אבל לא תצא בו לרשות הרבים אף על פי שהוא פקוק בין אם הוא בצוארה בין אם הוא בכסותה. </w:t>
      </w:r>
    </w:p>
    <w:p w14:paraId="65F37F26" w14:textId="77777777" w:rsidR="004B2E7C" w:rsidRDefault="004B2E7C" w:rsidP="00434A6A">
      <w:pPr>
        <w:pStyle w:val="2"/>
        <w:rPr>
          <w:rtl/>
        </w:rPr>
      </w:pPr>
      <w:r>
        <w:rPr>
          <w:rtl/>
        </w:rPr>
        <w:t>סעיף יב</w:t>
      </w:r>
    </w:p>
    <w:p w14:paraId="4961B589" w14:textId="77777777" w:rsidR="004B2E7C" w:rsidRDefault="004B2E7C" w:rsidP="00434A6A">
      <w:pPr>
        <w:rPr>
          <w:rtl/>
        </w:rPr>
      </w:pPr>
      <w:r>
        <w:rPr>
          <w:rFonts w:cs="Arial"/>
          <w:rtl/>
        </w:rPr>
        <w:t>יב לא תצא בחותם בין אם הוא בצוארה או בכסותה. ברייתא בריש פרק במה אשה (נח.):</w:t>
      </w:r>
    </w:p>
    <w:p w14:paraId="447E35B7"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8DF8B5E" w14:textId="77777777" w:rsidR="004B2E7C" w:rsidRDefault="004B2E7C" w:rsidP="00434A6A">
      <w:pPr>
        <w:rPr>
          <w:rFonts w:asciiTheme="minorBidi" w:hAnsiTheme="minorBidi"/>
          <w:rtl/>
        </w:rPr>
      </w:pPr>
      <w:r>
        <w:rPr>
          <w:rFonts w:asciiTheme="minorBidi" w:hAnsiTheme="minorBidi" w:cs="Arial"/>
          <w:rtl/>
        </w:rPr>
        <w:t xml:space="preserve">לא תצא בחותם, בין שהוא בצוארה בין שהוא בכסותה. </w:t>
      </w:r>
    </w:p>
    <w:p w14:paraId="72F25F79" w14:textId="77777777" w:rsidR="004B2E7C" w:rsidRDefault="004B2E7C" w:rsidP="00434A6A">
      <w:pPr>
        <w:pStyle w:val="2"/>
        <w:rPr>
          <w:rtl/>
        </w:rPr>
      </w:pPr>
      <w:r>
        <w:rPr>
          <w:rtl/>
        </w:rPr>
        <w:t>סעיף יג</w:t>
      </w:r>
    </w:p>
    <w:p w14:paraId="5745AC5A" w14:textId="77777777" w:rsidR="004B2E7C" w:rsidRDefault="004B2E7C" w:rsidP="00434A6A">
      <w:pPr>
        <w:rPr>
          <w:rtl/>
        </w:rPr>
      </w:pPr>
      <w:r>
        <w:rPr>
          <w:rFonts w:cs="Arial"/>
          <w:rtl/>
        </w:rPr>
        <w:t>יג אין הגמל יוצא במטוטלת. משנה בפרק במה בהמה (נד.) ובגמרא תנא לא יצא הגמל במטוטלת הקשורה לו בזנבו אבל יוצא הוא במטוטלת הקשורה בזנבו ובחוטרתו ופירש רש"י דכיון שקשורה בשניהם לא נפלה חוטרתו חלדרוב"א שיש לגמלים על גביהם. אמר רבה בר רב הונא יוצא הגמל במטוטלת הקשורה לו בשלייתה ופירש רש"י דכיון דכאיב לה לא מנתחא ליה:</w:t>
      </w:r>
    </w:p>
    <w:p w14:paraId="26F1DB3A"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7741471" w14:textId="77777777" w:rsidR="004B2E7C" w:rsidRDefault="004B2E7C" w:rsidP="00434A6A">
      <w:pPr>
        <w:rPr>
          <w:rFonts w:asciiTheme="minorBidi" w:hAnsiTheme="minorBidi"/>
          <w:rtl/>
        </w:rPr>
      </w:pPr>
      <w:r>
        <w:rPr>
          <w:rFonts w:asciiTheme="minorBidi" w:hAnsiTheme="minorBidi" w:cs="Arial"/>
          <w:rtl/>
        </w:rPr>
        <w:t xml:space="preserve">אין הגמל יוצא במטוטלת, והוא כמין כר קטן שנותנים תחת זנבו, אפילו היא קשורה לו בזנבו, אא"כ היתה קשורה בזנבו ובחטוטרתו או בשליתה. </w:t>
      </w:r>
    </w:p>
    <w:p w14:paraId="2B40FAC2" w14:textId="77777777" w:rsidR="004B2E7C" w:rsidRDefault="004B2E7C" w:rsidP="00434A6A">
      <w:pPr>
        <w:pStyle w:val="2"/>
        <w:rPr>
          <w:rtl/>
        </w:rPr>
      </w:pPr>
      <w:r>
        <w:rPr>
          <w:rtl/>
        </w:rPr>
        <w:t>סעיף יד</w:t>
      </w:r>
    </w:p>
    <w:p w14:paraId="76E0B7CB" w14:textId="77777777" w:rsidR="004B2E7C" w:rsidRDefault="004B2E7C" w:rsidP="00434A6A">
      <w:pPr>
        <w:rPr>
          <w:rtl/>
        </w:rPr>
      </w:pPr>
      <w:r>
        <w:rPr>
          <w:rFonts w:cs="Arial"/>
          <w:rtl/>
        </w:rPr>
        <w:t>יד ולא תצא שום בהמה לא עקוד וכו'. משנה שם:</w:t>
      </w:r>
    </w:p>
    <w:p w14:paraId="25F7E65A"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24CCB0F" w14:textId="77777777" w:rsidR="004B2E7C" w:rsidRDefault="004B2E7C" w:rsidP="00434A6A">
      <w:pPr>
        <w:rPr>
          <w:rFonts w:asciiTheme="minorBidi" w:hAnsiTheme="minorBidi"/>
          <w:rtl/>
        </w:rPr>
      </w:pPr>
      <w:r>
        <w:rPr>
          <w:rFonts w:asciiTheme="minorBidi" w:hAnsiTheme="minorBidi" w:cs="Arial"/>
          <w:rtl/>
        </w:rPr>
        <w:t xml:space="preserve">לא תצא שום בהמה לא עקוד ולא רגול; פי' עקוד שקושר ידה אחת עם רגלה, ורגול היינו שקושר אחת מרגליה כלפי מעלה שלא תלך אלא על ג' רגלים. </w:t>
      </w:r>
    </w:p>
    <w:p w14:paraId="4716D969" w14:textId="77777777" w:rsidR="004B2E7C" w:rsidRDefault="004B2E7C" w:rsidP="00434A6A">
      <w:pPr>
        <w:pStyle w:val="2"/>
        <w:rPr>
          <w:rtl/>
        </w:rPr>
      </w:pPr>
      <w:r>
        <w:rPr>
          <w:rtl/>
        </w:rPr>
        <w:t>סעיף טו</w:t>
      </w:r>
    </w:p>
    <w:p w14:paraId="529F7E9D" w14:textId="77777777" w:rsidR="004B2E7C" w:rsidRDefault="004B2E7C" w:rsidP="00434A6A">
      <w:pPr>
        <w:rPr>
          <w:rtl/>
        </w:rPr>
      </w:pPr>
      <w:r>
        <w:rPr>
          <w:rFonts w:cs="Arial"/>
          <w:rtl/>
        </w:rPr>
        <w:t>טו ולא יקשור הרבה בהמות יחד ויוציאם. גם זה משנה שם ולא יקשור גמלים זה בזה וימשוך אבל מכניס הוא לתוך ידו חבלים [וימשוך] ובלבד שלא יכרוך ולכאורה משמע דלא מיתסר אלא בשקושר גמלים זה אחר זה והוא תופס באפסר הראשון וכולם נמשכים על ידו אבל בתופס כמה אפסרי גמלים בידו מותר וכן נראה מדברי הר"ן (כה. ד"ה מתני' לא יצא) וכן כתב רבינו ירוחם בחלק י' (נתיב י"ב, פ ע"ד) והרמב"ם בפרק כ' (ה"ט). אבל מדברי רבינו נראה דגם זה אסור דהא איכא למימר בהא נמי דמיחזי כמאן דאזיל לחינגא ולא שרי אלא להוציא בהמה אחת לבדה דמשמע ליה דכי היכי דובלבד שלא יכרוך מיירי לענין כלאים כדמפרש בגמרא שם אבל מכניס לתוך ידו חבלים [נמי] מיירי בהכי ולא לענין שבת:</w:t>
      </w:r>
    </w:p>
    <w:p w14:paraId="4BC93556"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10FF817" w14:textId="77777777" w:rsidR="004B2E7C" w:rsidRDefault="004B2E7C" w:rsidP="00434A6A">
      <w:pPr>
        <w:rPr>
          <w:rFonts w:asciiTheme="minorBidi" w:hAnsiTheme="minorBidi"/>
          <w:rtl/>
        </w:rPr>
      </w:pPr>
      <w:r>
        <w:rPr>
          <w:rFonts w:asciiTheme="minorBidi" w:hAnsiTheme="minorBidi" w:cs="Arial"/>
          <w:rtl/>
        </w:rPr>
        <w:t xml:space="preserve">לא יקשור גמלים זה אחר זה והוא תופס באפסר הראשון וכולם נמשכים על ידו; אבל אם תופס כמה אפסרי גמלים בידו, מותר. ויש מי שאוסר גם בזה, ולא התיר אלא להוציא בהמה אחת לבדו והוא מושכה בחבל. </w:t>
      </w:r>
    </w:p>
    <w:p w14:paraId="5CAD47A5" w14:textId="77777777" w:rsidR="004B2E7C" w:rsidRDefault="004B2E7C" w:rsidP="00434A6A">
      <w:pPr>
        <w:pStyle w:val="2"/>
        <w:rPr>
          <w:rtl/>
        </w:rPr>
      </w:pPr>
      <w:r>
        <w:rPr>
          <w:rtl/>
        </w:rPr>
        <w:t>סעיף טז</w:t>
      </w:r>
    </w:p>
    <w:p w14:paraId="7EA2751B" w14:textId="77777777" w:rsidR="004B2E7C" w:rsidRDefault="004B2E7C" w:rsidP="00434A6A">
      <w:pPr>
        <w:rPr>
          <w:rtl/>
        </w:rPr>
      </w:pPr>
      <w:r>
        <w:rPr>
          <w:rFonts w:cs="Arial"/>
          <w:rtl/>
        </w:rPr>
        <w:t>טז ובלבד שלא יצא החבל וכו'. שם מימרא דשמואל ופירש רש"י שלא יצא ראש החבל מתחת ידו טפח למטה דדמי כמי שנושאה בידו ולא מתחזיא שהיא מאפסר הגמלים ואמרינן בגמרא (שם) דלענין מעשה צריך ליזהר שלא תצא מתחת ידו טפח אבל איסורא ליכא עד שתצא טפחיים:</w:t>
      </w:r>
    </w:p>
    <w:p w14:paraId="39739541" w14:textId="77777777" w:rsidR="004B2E7C" w:rsidRDefault="004B2E7C" w:rsidP="00434A6A">
      <w:pPr>
        <w:rPr>
          <w:rtl/>
        </w:rPr>
      </w:pPr>
      <w:r>
        <w:rPr>
          <w:rFonts w:cs="Arial"/>
          <w:rtl/>
        </w:rPr>
        <w:t>וגם לא יניח הרבה מן החבל וכו'. ברייתא שם (נד:) ופירש רש"י שיגביהנו מן הקרקע טפח כדי שתהא נראית הבהמה נמשכת בו דאי לא לא מתחזיא נטירותא דבהמה אלא כמשוי בעלמא שאין נראה שאוחז ראשה בידו:</w:t>
      </w:r>
    </w:p>
    <w:p w14:paraId="2231AF9D" w14:textId="77777777" w:rsidR="004B2E7C" w:rsidRDefault="004B2E7C" w:rsidP="00434A6A">
      <w:pPr>
        <w:rPr>
          <w:rtl/>
        </w:rPr>
      </w:pPr>
      <w:r>
        <w:rPr>
          <w:rFonts w:cs="Arial"/>
          <w:rtl/>
        </w:rPr>
        <w:t>ומה שכתב ואם הוא ארוך יכרוך אותו וכו'. הוא ממה שכתב לעיל ומותר לכרוך חבל האפסר סביב צוארה ותצא בו:</w:t>
      </w:r>
    </w:p>
    <w:p w14:paraId="672ADB12"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22334DA" w14:textId="77777777" w:rsidR="004B2E7C" w:rsidRDefault="004B2E7C" w:rsidP="00434A6A">
      <w:pPr>
        <w:rPr>
          <w:rFonts w:asciiTheme="minorBidi" w:hAnsiTheme="minorBidi"/>
          <w:rtl/>
        </w:rPr>
      </w:pPr>
      <w:r>
        <w:rPr>
          <w:rFonts w:asciiTheme="minorBidi" w:hAnsiTheme="minorBidi" w:cs="Arial"/>
          <w:rtl/>
        </w:rPr>
        <w:t xml:space="preserve">המוציא בהמה והוא מושכה באפסר, צריך ליזהר שלא יצא ראש החבל מתחת ידו טפח למטה, דדמי כמו שנושאה בידו ולא מתחזיא מאפסר הבהמה, וגם לא יניח הרבה מן החבל בין ידו לבהמה כדי שלא יכביד עד שלא יגיע בטפח הסמוך לארץ; ואם הוא ארוך יכרוך אותו סביב צוארה. </w:t>
      </w:r>
    </w:p>
    <w:p w14:paraId="4BAF7DF0" w14:textId="77777777" w:rsidR="004B2E7C" w:rsidRDefault="004B2E7C" w:rsidP="00434A6A">
      <w:pPr>
        <w:pStyle w:val="2"/>
        <w:rPr>
          <w:rtl/>
        </w:rPr>
      </w:pPr>
      <w:r>
        <w:rPr>
          <w:rtl/>
        </w:rPr>
        <w:t>סעיף יז</w:t>
      </w:r>
    </w:p>
    <w:p w14:paraId="267F4C03" w14:textId="77777777" w:rsidR="004B2E7C" w:rsidRDefault="004B2E7C" w:rsidP="00434A6A">
      <w:pPr>
        <w:rPr>
          <w:rtl/>
        </w:rPr>
      </w:pPr>
      <w:r>
        <w:rPr>
          <w:rFonts w:cs="Arial"/>
          <w:rtl/>
        </w:rPr>
        <w:t>יז (א) אין חמור יוצא במרדעת וכו' עד ולא ברצועה שבין קרניה. הכל משנה שם:</w:t>
      </w:r>
    </w:p>
    <w:p w14:paraId="7C93D12C" w14:textId="77777777" w:rsidR="004B2E7C" w:rsidRDefault="004B2E7C" w:rsidP="00434A6A">
      <w:pPr>
        <w:rPr>
          <w:rtl/>
        </w:rPr>
      </w:pPr>
      <w:r>
        <w:rPr>
          <w:rFonts w:cs="Arial"/>
          <w:rtl/>
        </w:rPr>
        <w:t>ומה שכתב בין אם היא לשמור או לנוי. כבר נתבאר לעיל (ריש הסימן) וכתוב בהגהות פרק כ' (אות מ)</w:t>
      </w:r>
      <w:r>
        <w:rPr>
          <w:rStyle w:val="a9"/>
          <w:rFonts w:cs="Arial"/>
          <w:rtl/>
        </w:rPr>
        <w:footnoteReference w:id="1162"/>
      </w:r>
      <w:r>
        <w:rPr>
          <w:rFonts w:cs="Arial"/>
          <w:rtl/>
        </w:rPr>
        <w:t xml:space="preserve"> דפרה אסור לצאת בחבל שבצוארה בשבת לפי שאינה צריכה שמירה אבל עגלים מותרים לפי שהם קטנים ומורדים בקל כדאמרינן (נב.) חזינא לעגלי דבי רב [הונא] שהיו יוצאים כרוכים בשבת בחבל שסביב צואריהם:</w:t>
      </w:r>
    </w:p>
    <w:p w14:paraId="4DCC8D21" w14:textId="77777777" w:rsidR="004B2E7C" w:rsidRDefault="004B2E7C" w:rsidP="00434A6A">
      <w:pPr>
        <w:rPr>
          <w:rtl/>
        </w:rPr>
      </w:pPr>
      <w:r>
        <w:rPr>
          <w:rFonts w:cs="Arial"/>
          <w:rtl/>
        </w:rPr>
        <w:t>יז (ב) כתוב בסמ"ג (שם, יח ע"א) וסמ"ק (סי' רפב עמ' רחצ) והתרומה (סי' רלו) והגהות פרק כ' (אות ל) דזמם שמניחין בחוטמו של עגל כדי שלא יינק אסור לצאת בו בשבת:</w:t>
      </w:r>
    </w:p>
    <w:p w14:paraId="3B4F067A" w14:textId="77777777" w:rsidR="004B2E7C" w:rsidRDefault="004B2E7C" w:rsidP="00434A6A">
      <w:pPr>
        <w:rPr>
          <w:rtl/>
        </w:rPr>
      </w:pPr>
      <w:r>
        <w:rPr>
          <w:rFonts w:cs="Arial"/>
          <w:rtl/>
        </w:rPr>
        <w:t>יז (ג) בפרק במה בהמה (נג:) אמרינן דיוצאה בהמה בקמיע שהוא מומחה לבהמה אבל קמיע שהוא מומחה לאדם אין בהמה יוצאה בו כיון שלא הומחה לבהמה והזכירו רבינו ירוחם בחלק י' (נתיב י"ב, פ ע"ב) והרמב"ם בפרק כ' (הי"ג). ולא ידעתי למה השמיטו רבינו: מי שחשכה לו חוץ לתחום אם טוב יותר לרכוב מלילך על רגליו כתבתי בסימן רס"ו (כה. ד"ה היתה): תשלום דיני בהמה בסימן של"ב. דיני מאכל בהמה בסימן שכ"ד:</w:t>
      </w:r>
      <w:r>
        <w:rPr>
          <w:rStyle w:val="a9"/>
          <w:rtl/>
        </w:rPr>
        <w:footnoteReference w:id="1163"/>
      </w:r>
    </w:p>
    <w:p w14:paraId="61B847D7"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5A8F4EB" w14:textId="77777777" w:rsidR="004B2E7C" w:rsidRDefault="004B2E7C" w:rsidP="00434A6A">
      <w:pPr>
        <w:rPr>
          <w:rFonts w:asciiTheme="minorBidi" w:hAnsiTheme="minorBidi"/>
          <w:rtl/>
        </w:rPr>
      </w:pPr>
      <w:r>
        <w:rPr>
          <w:rFonts w:asciiTheme="minorBidi" w:hAnsiTheme="minorBidi" w:cs="Arial"/>
          <w:rtl/>
        </w:rPr>
        <w:t xml:space="preserve">אין חמור יוצא במרדעת בזמן שאינה קשורה לו מע"ש; ולא בזוג אעפ"י שהוא פקוק; ולא בסולם שבצוארו, והן לוחות שקושרים סביב צוארו שלא יחכך מכתו; ולא ברצועה שברגלו, והוא כמין טבעת עבה שעושים מקש וקושרים ברגלי הבהמה שפסיעותיה קצרות ומכה רגליה זו בזו ועושים לה זה להגין שלא תכה זו בזו; ואין התרנגולים יוצאים בחוטים שקושרים ברגליהם לסימן; ולא ברצועה שקושרים ברגליהם כדי שלא ישברו הכלים; ואין האילים יוצאים בעגלה שתחת אליותיהם שעושים להם כן כדי שלא תהא האליה נגררת בארץ; ואין העזים יוצאות בעץ ידוע שנותנים בחוטמיהם כדי שיתעטשו ויפלו תולעים שבראשיהם; ולא העגל בעול קטן שנותנים על צוארה; ולא בזמם שמניחים בחוטמו של עגל כדי שלא יינק; ולא פרה בעור שנותנים על דדיה שלא יינקו השרצים; ולא ברצועה שבין קרניה, בין אם היא לשימור בין אם היא לנוי; ולא תצא פרה או שור בחבל שבצוארה לפי שא"צ שמירה; אבל עגלים מותרים לפי שהם מורדים בקל. הגה: הבהמה יוצאה בקמיע מומחה לבהמה, אבל לא בשאינה מומחה אף על פי שהיא מומחה לאדם. (ב"י ור' ירוחם ח"י ורמב"ם פ"ב). </w:t>
      </w:r>
    </w:p>
    <w:p w14:paraId="6DC8D833" w14:textId="77777777" w:rsidR="004B2E7C" w:rsidRDefault="004B2E7C" w:rsidP="00434A6A">
      <w:pPr>
        <w:pStyle w:val="2"/>
        <w:rPr>
          <w:rtl/>
        </w:rPr>
      </w:pPr>
      <w:r>
        <w:rPr>
          <w:rtl/>
        </w:rPr>
        <w:t>סעיף יח</w:t>
      </w:r>
    </w:p>
    <w:p w14:paraId="4D1B0E0B" w14:textId="77777777" w:rsidR="004B2E7C" w:rsidRDefault="004B2E7C" w:rsidP="00434A6A">
      <w:pPr>
        <w:rPr>
          <w:rtl/>
        </w:rPr>
      </w:pPr>
      <w:r>
        <w:rPr>
          <w:rFonts w:cs="Arial"/>
          <w:rtl/>
        </w:rPr>
        <w:t>יח אין רוכבין על גבי בהמה. משנה בפרק בתרא דיום טוב (ביצה לו:) ויהיב טעמא בגמרא גזרה שמא יחתוך זמורה וכתב הרא"ש (סי' ב) דבירושלמי (ביצה פ"ה ה"ב) קאמר מפני שהוא מצווה על שביתת בהמתו. ויש לתמוה דכיון דקיימא לן (שבת צד.) דהחי נושא את עצמו אם כן אינו מצווה שלא לרכוב על גבי בהמתו. ושמא יש לומר שאף על פי שאינו מצווה על רכיבתו ע"ג בהמה מכל מקום כיון שהבהמה מצטערת ברכיבתו עליה הרי הוא עובר על שביתת בהמתו:</w:t>
      </w:r>
    </w:p>
    <w:p w14:paraId="21F69D08" w14:textId="77777777" w:rsidR="004B2E7C" w:rsidRDefault="004B2E7C" w:rsidP="00434A6A">
      <w:pPr>
        <w:rPr>
          <w:rtl/>
        </w:rPr>
      </w:pPr>
      <w:r>
        <w:rPr>
          <w:rFonts w:cs="Arial"/>
          <w:rtl/>
        </w:rPr>
        <w:t>ומה שכתב ולא נתלין עליה. בפרק המוצא תפלין (עירובין ק.) תניא אין נתלין באילן ומשמע דהוא הדין לבהמה דהא אסור להשתמש בבעלי חיים כמו שאסור להשתמש במחובר ובהדיא אסיקנא בפרק מי שהחשיך (שבת קנה.) גבי בהמה והלכתא צדדין אסורין צידי צדדין מותרין ונתלה בבהמה היינו שמשתמש בצדדיה:</w:t>
      </w:r>
    </w:p>
    <w:p w14:paraId="0CF2F801" w14:textId="77777777" w:rsidR="004B2E7C" w:rsidRDefault="004B2E7C" w:rsidP="00434A6A">
      <w:pPr>
        <w:rPr>
          <w:rtl/>
        </w:rPr>
      </w:pPr>
      <w:r>
        <w:rPr>
          <w:rFonts w:cs="Arial"/>
          <w:rtl/>
        </w:rPr>
        <w:t>ומה שכתב ואם עלה עליה אפילו במזיד ירד וכו'. מדברי הרמב"ם פרק כ"א (ה"ט): וכתבו התוספות והרא"ש בריש פרק מי שהוציאוהו (עירובין, תוס' מג. ד"ה הלכה, רא"ש סי' ג) שאם היה יושב בקרון מערב שבת והגוי מנהיג בהמות המושכות הקרון בשבת אסור גזרה שמא יחתוך זמורה וכן כתב הרב המגיד בפרק ל' (הי"ג) בשם הרשב"א (חי' שבת יט. ד"ה אין, עבוה"ק בית נתיבות ש"ד סי' ח). ואף על פי שכתב מהרי"ק בשורש מ"ה (ענף ב) דנראה לו דאין איסור בקרון כשהגוי מוליך הבהמה אלא משום שירד מן הקרון אבל משום שמא יחתוך זמורה אין איסור אלא כשישראל מוליכה שהרי כתב בספר התרומה (סי' רכה) אסור ללכת בקרון בשבת וכו' ואפילו ינהיגו גוים עצמם הקרון אם הוליכו חוץ לתחום אסור מדקאמר הוליכו חוץ לתחום אסור כשמנהיגים הגוים הקרון משמע דבתוך התחום מיהא שרי עכ"ל. אין משם ראיה שזה כדעת רשב"ם שכתבו התוספות והרא"ש בריש פרק מי שהוציאוהו (שם) דטעמא דאסור משום שמא יפגעו בו לסטים או שמא ישכח וירד ואין לו אלא ארבע אמות והם ז"ל כתבו דבלאו חששא דשמא ירד איכא איסורא כיון דבהמה מנהגת הקרון דאסור להשתמש בבעלי חיים וכן כתוב גם בספר מצות גדול (לאוין סה, יז ע"ד)</w:t>
      </w:r>
      <w:r>
        <w:rPr>
          <w:rStyle w:val="a9"/>
          <w:rFonts w:cs="Arial"/>
          <w:rtl/>
        </w:rPr>
        <w:footnoteReference w:id="1164"/>
      </w:r>
      <w:r>
        <w:rPr>
          <w:rFonts w:cs="Arial"/>
          <w:rtl/>
        </w:rPr>
        <w:t>:</w:t>
      </w:r>
    </w:p>
    <w:p w14:paraId="6020E566" w14:textId="77777777" w:rsidR="004B2E7C" w:rsidRDefault="004B2E7C" w:rsidP="00434A6A">
      <w:pPr>
        <w:rPr>
          <w:rtl/>
        </w:rPr>
      </w:pPr>
      <w:r>
        <w:rPr>
          <w:rFonts w:cs="Arial"/>
          <w:rtl/>
        </w:rPr>
        <w:t>וכן פורקין משוי שעליה וכו' כיצד מכניס ראשו תחת המשוי וכו'. פשוט פרק מי שהחשיך (קנד:) ומשמע בגמרא דאפילו מה שבתוך המשוי דבר המוקצה מותר:</w:t>
      </w:r>
    </w:p>
    <w:p w14:paraId="690D6C3E"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2FE7FD5" w14:textId="77777777" w:rsidR="004B2E7C" w:rsidRDefault="004B2E7C" w:rsidP="00434A6A">
      <w:pPr>
        <w:rPr>
          <w:rFonts w:asciiTheme="minorBidi" w:hAnsiTheme="minorBidi"/>
          <w:rtl/>
        </w:rPr>
      </w:pPr>
      <w:r>
        <w:rPr>
          <w:rFonts w:asciiTheme="minorBidi" w:hAnsiTheme="minorBidi" w:cs="Arial"/>
          <w:rtl/>
        </w:rPr>
        <w:t xml:space="preserve">אין רוכבין ע"ג בהמה ולא נתלים עליה, ואפי' בצדה אסור להשתמש; אבל צדי צדדין, כגון שדבר אחד מונח על צדה והוא משתמש בו, מותר; ואם עלה עליה, אפי' במזיד, ירד משום צער ב"ח; ומטעם זה פורקין משאוי שעליה; כיצד עושה, מכניס ראשו תחת המשאוי ומסלקו לצד אחר והוא נופל מאליו. הגה: ואסור לישב על קרון שהגוי מנהיגו בשבת, משום שמשתמש בבהמה; גם שלא יחתוך זמורה. (תוס' והרא"ש ר"פ מי שהוציאוהו ומרדכי פ"ק דשבת והגהות עירובין וב"י בשם סמ"ג). </w:t>
      </w:r>
    </w:p>
    <w:p w14:paraId="387AEB24" w14:textId="77777777" w:rsidR="004B2E7C" w:rsidRDefault="004B2E7C" w:rsidP="00434A6A">
      <w:pPr>
        <w:pStyle w:val="2"/>
        <w:rPr>
          <w:rtl/>
        </w:rPr>
      </w:pPr>
      <w:r>
        <w:rPr>
          <w:rtl/>
        </w:rPr>
        <w:t>סעיף יט</w:t>
      </w:r>
    </w:p>
    <w:p w14:paraId="5E9B98F8" w14:textId="77777777" w:rsidR="004B2E7C" w:rsidRDefault="004B2E7C" w:rsidP="00434A6A">
      <w:pPr>
        <w:rPr>
          <w:rtl/>
        </w:rPr>
      </w:pPr>
      <w:r>
        <w:rPr>
          <w:rFonts w:cs="Arial"/>
          <w:rtl/>
        </w:rPr>
        <w:t>יט בהמה שנפלה לאמת המים וכו'. בסוף פרק מפנין (קכח:) מימרא דרב יהודה:</w:t>
      </w:r>
    </w:p>
    <w:p w14:paraId="12485A95" w14:textId="77777777" w:rsidR="004B2E7C" w:rsidRDefault="004B2E7C" w:rsidP="00434A6A">
      <w:pPr>
        <w:rPr>
          <w:rtl/>
        </w:rPr>
      </w:pPr>
      <w:r>
        <w:rPr>
          <w:rFonts w:cs="Arial"/>
          <w:rtl/>
        </w:rPr>
        <w:t>ומה שכתב אם אינו יכול לעשות לה תקנה וכו'. כלומר שאם אין המים עמוקים והוא יכול לפרנסה שם מפרנסה ואם המים עמוקים ומפני כך אינו יכול לפרנסה שם מביא כרים וכסתות וכו' וכן פשוט שם בגמרא:</w:t>
      </w:r>
    </w:p>
    <w:p w14:paraId="7CC7BC99"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59B3BCF" w14:textId="77777777" w:rsidR="004B2E7C" w:rsidRDefault="004B2E7C" w:rsidP="00434A6A">
      <w:pPr>
        <w:rPr>
          <w:rFonts w:asciiTheme="minorBidi" w:hAnsiTheme="minorBidi"/>
          <w:rtl/>
        </w:rPr>
      </w:pPr>
      <w:r>
        <w:rPr>
          <w:rFonts w:asciiTheme="minorBidi" w:hAnsiTheme="minorBidi" w:cs="Arial"/>
          <w:rtl/>
        </w:rPr>
        <w:t xml:space="preserve">בהמה שנפלה לאמת המים, אם המים עמוקים ומפני כך אינו יכול לפרנסם במקומם, מביא כרים וכסתות ונותן תחתיה משום צער ב"ח אף על פי שמבטל כלי מהיכנו. דין קירוד בהמה בשבת, כמו ביום טוב. (מרדכי פ"ב דביצה) (וע"ל סי' תקכ"ג ס"ב). </w:t>
      </w:r>
    </w:p>
    <w:p w14:paraId="7F524259" w14:textId="77777777" w:rsidR="004B2E7C" w:rsidRDefault="004B2E7C" w:rsidP="00434A6A">
      <w:pPr>
        <w:pStyle w:val="2"/>
        <w:rPr>
          <w:rtl/>
        </w:rPr>
      </w:pPr>
      <w:r>
        <w:rPr>
          <w:rtl/>
        </w:rPr>
        <w:t>סעיף כ</w:t>
      </w:r>
    </w:p>
    <w:p w14:paraId="11C83B7C" w14:textId="77777777" w:rsidR="004B2E7C" w:rsidRDefault="004B2E7C" w:rsidP="00434A6A">
      <w:pPr>
        <w:rPr>
          <w:rtl/>
        </w:rPr>
      </w:pPr>
      <w:r>
        <w:rPr>
          <w:rFonts w:cs="Arial"/>
          <w:rtl/>
        </w:rPr>
        <w:t>כ וכן מותר לומר לגוי לחלוב בהמתו. כן כתב הרא"ש שם (סי' ג) והמרדכי בפרק מי שהחשיך (סי' תמח) והגהות מימון פרק ח' (אות ז) בשם הר"מ (שו"ת ד"פ סי' מט):</w:t>
      </w:r>
    </w:p>
    <w:p w14:paraId="499EADEE" w14:textId="77777777" w:rsidR="004B2E7C" w:rsidRDefault="004B2E7C" w:rsidP="00434A6A">
      <w:pPr>
        <w:rPr>
          <w:rtl/>
        </w:rPr>
      </w:pPr>
      <w:r>
        <w:rPr>
          <w:rFonts w:cs="Arial"/>
          <w:rtl/>
        </w:rPr>
        <w:t>ומה שכתב והחלב אסור בו ביום וכו'. כן כתוב בכלבו (סי' לא, כו ע"א) בשם הגהת הר"פ (בתשב"ץ קטן סי' מא):</w:t>
      </w:r>
    </w:p>
    <w:p w14:paraId="678371E7" w14:textId="77777777" w:rsidR="004B2E7C" w:rsidRDefault="004B2E7C" w:rsidP="00434A6A">
      <w:pPr>
        <w:rPr>
          <w:rtl/>
        </w:rPr>
      </w:pPr>
      <w:r>
        <w:rPr>
          <w:rFonts w:cs="Arial"/>
          <w:rtl/>
        </w:rPr>
        <w:t>וכתב ה"ר יונה והר"מ שצריך לקנותו מן הגוי. כן כתב המרדכי בסוף פרק מי שהחשיך (שם)</w:t>
      </w:r>
      <w:r>
        <w:rPr>
          <w:rStyle w:val="a9"/>
          <w:rtl/>
        </w:rPr>
        <w:t xml:space="preserve"> </w:t>
      </w:r>
      <w:r>
        <w:rPr>
          <w:rStyle w:val="a9"/>
          <w:rtl/>
        </w:rPr>
        <w:footnoteReference w:id="1165"/>
      </w:r>
      <w:r>
        <w:rPr>
          <w:rFonts w:cs="Arial"/>
          <w:rtl/>
        </w:rPr>
        <w:t xml:space="preserve"> בשם הר"מ והגהות מרדכי דקדושין (סי' תקסו) בשם התוספות. אבל הגהות מימון כתבו בפרק (ה') [ח'] (שם) דרב כהן צדק כתב מותר לומר לגוי לחלוב וטול החלב לעצמך דבדידיה קא טרח והר"מ אמר דהחלב מותר אפילו לישראל:</w:t>
      </w:r>
    </w:p>
    <w:p w14:paraId="38B5A115"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AF16744" w14:textId="77777777" w:rsidR="004B2E7C" w:rsidRDefault="004B2E7C" w:rsidP="00434A6A">
      <w:pPr>
        <w:rPr>
          <w:rFonts w:asciiTheme="minorBidi" w:hAnsiTheme="minorBidi"/>
          <w:rtl/>
        </w:rPr>
      </w:pPr>
      <w:r>
        <w:rPr>
          <w:rFonts w:asciiTheme="minorBidi" w:hAnsiTheme="minorBidi" w:cs="Arial"/>
          <w:rtl/>
        </w:rPr>
        <w:t xml:space="preserve">מותר לומר לגוי לחלוב בהמתו בשבת משום צער בעלי חיים שהחלב מצערה, והחלב אסור בו ביום. וי"א שצריך לקנותו מן הגוי בדבר מועט, שלא יהא נראה כחולב לצורך ישראל. </w:t>
      </w:r>
    </w:p>
    <w:p w14:paraId="0A135DDE" w14:textId="77777777" w:rsidR="004B2E7C" w:rsidRDefault="004B2E7C" w:rsidP="00434A6A">
      <w:pPr>
        <w:pStyle w:val="2"/>
        <w:rPr>
          <w:rtl/>
        </w:rPr>
      </w:pPr>
      <w:r>
        <w:rPr>
          <w:rtl/>
        </w:rPr>
        <w:t>סעיף כא</w:t>
      </w:r>
    </w:p>
    <w:p w14:paraId="2404D009" w14:textId="77777777" w:rsidR="004B2E7C" w:rsidRDefault="004B2E7C" w:rsidP="00434A6A">
      <w:pPr>
        <w:rPr>
          <w:rtl/>
        </w:rPr>
      </w:pPr>
      <w:r>
        <w:rPr>
          <w:rFonts w:cs="Arial"/>
          <w:rtl/>
        </w:rPr>
        <w:t>כא וכתבו עוד (הגהמ"י שם) בשמו שהגבינות שהגויות עושות בשבת אין לאסור מהא דאמרינן (שבת יז:) אין נותנין עורות לעבדן דהתם אמרינן לגוי אבל הכא שהשפחות עושות מעצמן שרי עכ"ל</w:t>
      </w:r>
      <w:r>
        <w:rPr>
          <w:rStyle w:val="a9"/>
          <w:rFonts w:cs="Arial"/>
          <w:rtl/>
        </w:rPr>
        <w:footnoteReference w:id="1166"/>
      </w:r>
      <w:r>
        <w:rPr>
          <w:rFonts w:cs="Arial"/>
          <w:rtl/>
        </w:rPr>
        <w:t>:</w:t>
      </w:r>
    </w:p>
    <w:p w14:paraId="67ADC08F"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FC11F3E" w14:textId="77777777" w:rsidR="004B2E7C" w:rsidRDefault="004B2E7C" w:rsidP="00434A6A">
      <w:pPr>
        <w:rPr>
          <w:rFonts w:asciiTheme="minorBidi" w:hAnsiTheme="minorBidi"/>
          <w:rtl/>
        </w:rPr>
      </w:pPr>
      <w:r>
        <w:rPr>
          <w:rFonts w:asciiTheme="minorBidi" w:hAnsiTheme="minorBidi" w:cs="Arial"/>
          <w:rtl/>
        </w:rPr>
        <w:t xml:space="preserve">גבינות שעושות השפחות מעצמן מחלב של ישראל, מותר כיון שאינו אומר להן שיעשו. </w:t>
      </w:r>
    </w:p>
    <w:p w14:paraId="7ED85992" w14:textId="77777777" w:rsidR="004B2E7C" w:rsidRDefault="004B2E7C" w:rsidP="00434A6A">
      <w:pPr>
        <w:pStyle w:val="2"/>
        <w:rPr>
          <w:rtl/>
        </w:rPr>
      </w:pPr>
      <w:r>
        <w:rPr>
          <w:rtl/>
        </w:rPr>
        <w:t>סעיף כב</w:t>
      </w:r>
    </w:p>
    <w:p w14:paraId="4CF14441" w14:textId="77777777" w:rsidR="004B2E7C" w:rsidRDefault="004B2E7C" w:rsidP="00434A6A">
      <w:pPr>
        <w:rPr>
          <w:rtl/>
        </w:rPr>
      </w:pPr>
      <w:r>
        <w:rPr>
          <w:rFonts w:cs="Arial"/>
          <w:rtl/>
        </w:rPr>
        <w:t>כב מי שיש לו נער גוי ורוכב על הבהמה בשבת וכו'. במרדכי פרק קמא דשבת (סי' רמא) כתוב וזה לשונו ולהניח גוי לרכוב על הסוס בשבת לא ידעתי איסור דבשום מקום לא מצינו שגזרו על שביתה דרבנן ורכיבת סוס דרבנן הוא כדמשמע הכא שהחי נושא את עצמו עכ"ל. ולפי מה שכתבתי בסמוך לדעת הירושלמי אפשר דאסור:</w:t>
      </w:r>
    </w:p>
    <w:p w14:paraId="5ED44229"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FFB02DA" w14:textId="77777777" w:rsidR="004B2E7C" w:rsidRDefault="004B2E7C" w:rsidP="00434A6A">
      <w:pPr>
        <w:rPr>
          <w:rFonts w:asciiTheme="minorBidi" w:hAnsiTheme="minorBidi"/>
          <w:rtl/>
        </w:rPr>
      </w:pPr>
      <w:r>
        <w:rPr>
          <w:rFonts w:asciiTheme="minorBidi" w:hAnsiTheme="minorBidi" w:cs="Arial"/>
          <w:rtl/>
        </w:rPr>
        <w:t xml:space="preserve">מי שיש לו נער גוי ורוכב על הבהמה בשבת כשמוליכה להשקותה, א"צ למונעו, שהחי נושא את עצמו; אבל צריך למונעו שלא יתן עליה בגדיו ולא שום דבר. </w:t>
      </w:r>
    </w:p>
    <w:p w14:paraId="2BA92483" w14:textId="77777777" w:rsidR="004B2E7C" w:rsidRDefault="004B2E7C" w:rsidP="00434A6A">
      <w:pPr>
        <w:pStyle w:val="2"/>
        <w:rPr>
          <w:rtl/>
        </w:rPr>
      </w:pPr>
      <w:r>
        <w:rPr>
          <w:rtl/>
        </w:rPr>
        <w:t>סעיף כג</w:t>
      </w:r>
    </w:p>
    <w:p w14:paraId="12EA7BBA" w14:textId="77777777" w:rsidR="004B2E7C" w:rsidRDefault="004B2E7C" w:rsidP="00434A6A">
      <w:pPr>
        <w:rPr>
          <w:rtl/>
        </w:rPr>
      </w:pPr>
      <w:r>
        <w:rPr>
          <w:rFonts w:cs="Arial"/>
          <w:rtl/>
        </w:rPr>
        <w:t>כג כתוב בהגהות מרדכי דמסכת קדושין (סי' תקסה - תקסו) שמותר למסור בהמה דקה לרועה אפילו בשבת עצמו</w:t>
      </w:r>
      <w:r>
        <w:rPr>
          <w:rStyle w:val="a9"/>
          <w:rFonts w:cs="Arial"/>
          <w:rtl/>
        </w:rPr>
        <w:footnoteReference w:id="1167"/>
      </w:r>
      <w:r>
        <w:rPr>
          <w:rFonts w:cs="Arial"/>
          <w:rtl/>
        </w:rPr>
        <w:t xml:space="preserve"> ומשמע מדבריו דבהמה גסה אסור משום דחיישינן דילמא עביד בה מלאכה וכדאסרינן להשאיל ולהשכיר וכמו שנתבאר בסימן רמ"ו (ה:). ובסוף ספר הכלבו (חלק השו"ת קח ע"א) בשם רבינו האיי גאון (הלכות פסוקות סי' קכה) ואסור ליה לבר ישראל למימסר חיותא לרועה גוי בשבת שמא יוציאנה חוץ לתחום דאמרינן (שבת יט.) אמרו עליו על רבי יוסף הכהן שלא נמצא כתב ידו ביד גוי מעולם עד כאן: ובשבלי הלקט (סי' קיג) כתוב רב האיי גאון נשאל מהו ליתן סוס או פרד או חמור לגוי שירעה אותם ויניחם אצלו והגוי רוכב עליהם ועושה בהם צרכיו והשיב דכיון שלא בשכירות נתנן לו מותר ואם עושה בהם הגוי צרכיו אין עליו כלום דשלא מדעתו הוא עושה ואם רואה אותו מוחה בידו ואם נתנה לו קודם לחג אינו צריך אפילו למחות בידו ובלבד שלא ימתין שכירות מן הגוי עכ"ל. ומה שכתב אם נתנה לו קודם לחג אינו צריך אפילו למחות בידו נראה שטעמו משום דסבירא ליה דאין אדם מצווה על שביתת בהמתו אלא בשבת אבל לא ביום טוב:</w:t>
      </w:r>
    </w:p>
    <w:p w14:paraId="489942A5"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A9E96FF" w14:textId="77777777" w:rsidR="004B2E7C" w:rsidRDefault="004B2E7C" w:rsidP="00434A6A">
      <w:pPr>
        <w:rPr>
          <w:rFonts w:asciiTheme="minorBidi" w:hAnsiTheme="minorBidi"/>
          <w:rtl/>
        </w:rPr>
      </w:pPr>
      <w:r>
        <w:rPr>
          <w:rFonts w:asciiTheme="minorBidi" w:hAnsiTheme="minorBidi" w:cs="Arial"/>
          <w:rtl/>
        </w:rPr>
        <w:t xml:space="preserve">מותר למסור סוס או פרד או חמור לרועה גוי; ואף על פי שהגוי משתמש בהם בשבת, אין בכך כלום כיון דשלא מדעת ישראל הוא עושה ואינו ממתין שכירות ממנו; ואם רואהו משתמש בה בשבת, מוחה בידו. </w:t>
      </w:r>
      <w:r>
        <w:rPr>
          <w:rFonts w:asciiTheme="minorBidi" w:hAnsiTheme="minorBidi" w:cs="Arial"/>
          <w:sz w:val="18"/>
          <w:szCs w:val="18"/>
          <w:rtl/>
        </w:rPr>
        <w:t>הגה: וכ"ש דאין לחוש שהרועה יוציא אותם חוץ לתחום, דהא תחומין דרבנן (הגמ"ר דקדושין).</w:t>
      </w:r>
    </w:p>
    <w:p w14:paraId="7113936B" w14:textId="77777777" w:rsidR="004B2E7C" w:rsidRDefault="004B2E7C" w:rsidP="00434A6A">
      <w:pPr>
        <w:rPr>
          <w:rFonts w:asciiTheme="minorBidi" w:hAnsiTheme="minorBidi"/>
          <w:rtl/>
        </w:rPr>
      </w:pPr>
    </w:p>
    <w:p w14:paraId="170B6776" w14:textId="77777777" w:rsidR="004B2E7C" w:rsidRDefault="004B2E7C" w:rsidP="00434A6A">
      <w:pPr>
        <w:rPr>
          <w:rFonts w:asciiTheme="minorBidi" w:hAnsiTheme="minorBidi"/>
          <w:rtl/>
        </w:rPr>
      </w:pPr>
    </w:p>
    <w:p w14:paraId="2B8CC973" w14:textId="77777777" w:rsidR="004B2E7C" w:rsidRDefault="004B2E7C" w:rsidP="00434A6A">
      <w:pPr>
        <w:rPr>
          <w:rFonts w:asciiTheme="minorBidi" w:hAnsiTheme="minorBidi"/>
          <w:rtl/>
        </w:rPr>
      </w:pPr>
    </w:p>
    <w:p w14:paraId="5319015D" w14:textId="77777777" w:rsidR="004B2E7C" w:rsidRDefault="004B2E7C" w:rsidP="00434A6A">
      <w:pPr>
        <w:rPr>
          <w:rFonts w:asciiTheme="minorBidi" w:hAnsiTheme="minorBidi"/>
          <w:rtl/>
        </w:rPr>
      </w:pPr>
    </w:p>
    <w:p w14:paraId="01563CA8" w14:textId="77777777" w:rsidR="004B2E7C" w:rsidRDefault="004B2E7C" w:rsidP="00434A6A">
      <w:pPr>
        <w:bidi w:val="0"/>
        <w:spacing w:after="0"/>
        <w:rPr>
          <w:rFonts w:asciiTheme="majorHAnsi" w:eastAsiaTheme="majorEastAsia" w:hAnsiTheme="majorHAnsi"/>
          <w:b/>
          <w:bCs/>
          <w:color w:val="365F91" w:themeColor="accent1" w:themeShade="BF"/>
          <w:sz w:val="28"/>
          <w:szCs w:val="28"/>
          <w:rtl/>
        </w:rPr>
        <w:sectPr w:rsidR="004B2E7C">
          <w:headerReference w:type="default" r:id="rId75"/>
          <w:footnotePr>
            <w:numRestart w:val="eachSect"/>
          </w:footnotePr>
          <w:pgSz w:w="11906" w:h="16838"/>
          <w:pgMar w:top="720" w:right="1134" w:bottom="720" w:left="1134" w:header="0" w:footer="0" w:gutter="0"/>
          <w:cols w:space="720"/>
          <w:bidi/>
          <w:rtlGutter/>
        </w:sectPr>
      </w:pPr>
    </w:p>
    <w:p w14:paraId="6461B3C6" w14:textId="77777777" w:rsidR="004B2E7C" w:rsidRDefault="004B2E7C" w:rsidP="00434A6A">
      <w:pPr>
        <w:pStyle w:val="1"/>
        <w:rPr>
          <w:rtl/>
        </w:rPr>
      </w:pPr>
      <w:r>
        <w:rPr>
          <w:rtl/>
        </w:rPr>
        <w:t xml:space="preserve">סימן שו: באיזה חפצים מותר לדבר בשבת, ובו י"ד סעיפים. </w:t>
      </w:r>
    </w:p>
    <w:p w14:paraId="133A9C5C" w14:textId="77777777" w:rsidR="004B2E7C" w:rsidRDefault="004B2E7C" w:rsidP="00434A6A">
      <w:pPr>
        <w:pStyle w:val="2"/>
        <w:rPr>
          <w:rtl/>
        </w:rPr>
      </w:pPr>
      <w:r>
        <w:rPr>
          <w:rtl/>
        </w:rPr>
        <w:t>סעיף א</w:t>
      </w:r>
    </w:p>
    <w:p w14:paraId="4A8D23CD" w14:textId="77777777" w:rsidR="004B2E7C" w:rsidRDefault="004B2E7C" w:rsidP="00FF2D21">
      <w:pPr>
        <w:pStyle w:val="aa"/>
        <w:numPr>
          <w:ilvl w:val="0"/>
          <w:numId w:val="132"/>
        </w:numPr>
        <w:rPr>
          <w:rtl/>
        </w:rPr>
      </w:pPr>
      <w:r>
        <w:rPr>
          <w:rtl/>
        </w:rPr>
        <w:t xml:space="preserve">טור- </w:t>
      </w:r>
      <w:r>
        <w:rPr>
          <w:rFonts w:cs="Arial"/>
          <w:rtl/>
        </w:rPr>
        <w:t>ממצוא חפצך דרשו חז"ל חפציך אסורין אפילו בדבר שאינו עושה שום מלאכה כגון שמעיין נכסיו לראות מה צריך למחר או לילך על פתח מדינה כדי שימהר מיד לצאת בלילה למרחץ וכן אין מחשיכין על התחום לשכור פועלים אבל מחשיכים על התחום להביא בהמתו היתה עומדת חוץ לתחום יכול לקרות לה כדי שתבא וכן מחשיכים על התחום לעשות צרכי כלה ועל מת להביא לו ארון ותכריכין ויכול לומר לחבירו שיחשיך כדי שיביא לו ויאמר לו לך למקום פלוני לא מצאת במקום פלוני לך במקום פלוני לא מצאת במנה קח במאתים ובלבד שלא יזכיר לו סכום דמים ולומר לו קח בכך וכך דמים</w:t>
      </w:r>
      <w:r>
        <w:rPr>
          <w:rStyle w:val="a9"/>
          <w:rFonts w:cs="Arial"/>
          <w:rtl/>
        </w:rPr>
        <w:footnoteReference w:id="1168"/>
      </w:r>
      <w:r>
        <w:rPr>
          <w:rFonts w:cs="Arial"/>
          <w:rtl/>
        </w:rPr>
        <w:t>. השוכר פועלים לשמור לו פרה אסור לו ליקח שכר שבת לפיכך אין אחריות שבת עליו שכרו לחדש או לשנה מותר לו ליקח שכר שבת לפיכך אחריות שבת עליו ולא יאמר תן לי שכרי של שבת אלא יאמר תן לי שכר החדש וחפצי שמים שרי כגון חשבונות של מצוה לפסוק צדקה ולפקח על עסקי רבים ולשדך התינוק ליארס וללמדו ספר או אומנות והר"ם מרוטנבורק כתב דוקא לדבר אליו אם רוצה להשתכר אבל לשוכרו ולהזכיר לו סכום מעות אסור. מותר למדוד מדידה של מצוה בשבת כגון למדוד אם יש במקוה מ' סאה וכיוצא בו ולחש שמלחשים על כאב הראש שלוקחין אזורו ומודדין בו ג' אמות ג"פ ואומר הלחש על המדידה אבי העזרי התירו דמשום לחש ליכא שמותר ללחוש בשבת ומשום מדידה נמי ליכא דמתעסק הוא אצל מדידה וה"ר משה הכהן אסרו והר"ם מרוטנבורק היה מדמה אותו למדידה של מצוה והרהור בעסקיו מותר ומ"מ משום עונג שבת מצוה שלא יחשוב בהם כלל וזהו שכתב ששת ימים תעבוד ועשית כל מלאכתך ואין אדם יכול לעשות כל מלאכתו בשבוע אחד אלא יראה אדם בכל שבת כאילו מלאכתו עשויה ואין לך עונג גדול מזה:</w:t>
      </w:r>
    </w:p>
    <w:p w14:paraId="23A35A06" w14:textId="77777777" w:rsidR="004B2E7C" w:rsidRDefault="004B2E7C" w:rsidP="00434A6A">
      <w:r>
        <w:rPr>
          <w:rFonts w:cs="Arial"/>
          <w:rtl/>
        </w:rPr>
        <w:t>א - ב ממצוא חפצך (ישעיה נח יג) דרשו חז"ל חפציך אסורים. בריש פרק שואל (קנ.):</w:t>
      </w:r>
    </w:p>
    <w:p w14:paraId="4CC156E5" w14:textId="77777777" w:rsidR="004B2E7C" w:rsidRDefault="004B2E7C" w:rsidP="00434A6A">
      <w:pPr>
        <w:rPr>
          <w:rtl/>
        </w:rPr>
      </w:pPr>
      <w:r>
        <w:rPr>
          <w:rFonts w:cs="Arial"/>
          <w:rtl/>
        </w:rPr>
        <w:t>ומה שכתב אפילו בדבר שאינו עושה שום מלאכה כגון שמעיין נכסיו וכו'. בפרק בכל מערבין (עירובין לח:) לא יהלך אדם לסוף שדהו לידע מה היא צריכה כיוצא בו לא יטייל על פתח מדינה כדי שיכנס למרחץ מיד וכתב המרדכי בסוף פרק מי שהחשיך (שבת סי' תמט) ומינה שמעינן שלא יטייל אדם בשבת למצוא סוס או ספינה או קרון לצאת בהם:</w:t>
      </w:r>
    </w:p>
    <w:p w14:paraId="302F6A4E" w14:textId="77777777" w:rsidR="004B2E7C" w:rsidRDefault="004B2E7C" w:rsidP="00434A6A">
      <w:pPr>
        <w:rPr>
          <w:rtl/>
        </w:rPr>
      </w:pPr>
      <w:r>
        <w:rPr>
          <w:rFonts w:cs="Arial"/>
          <w:rtl/>
        </w:rPr>
        <w:t>וכן אין מחשיכין על התחום לשכור פועלים. משנה בפרק שואל (קנ.):</w:t>
      </w:r>
    </w:p>
    <w:p w14:paraId="260E0762" w14:textId="77777777" w:rsidR="004B2E7C" w:rsidRDefault="004B2E7C" w:rsidP="00434A6A">
      <w:pPr>
        <w:rPr>
          <w:rtl/>
        </w:rPr>
      </w:pPr>
      <w:r>
        <w:rPr>
          <w:rFonts w:cs="Arial"/>
          <w:rtl/>
        </w:rPr>
        <w:t>אבל מחשיכין על התחום להביא בהמתו היתה עומדת חוץ לתחום יכול לקרות לה כדי שתבא. ברייתא שם (קנא.) והתוספות (ד"ה אין) גורסים אין מחשיכין וכתבו וז"ל יש ספרים דגרסי מחשיכין לפי שאם יש שם בורגנין הולך ומביאה ובתוספתא (שבת פי"ח ה"ו) גרסינן אין מחשיכין ויש לומר דאיירי בבהמה שאינה יכולה לבא ברגליה כגון טלה קטן אלא אם כן ישאוהו בכתף שאפילו יש מחיצות אינו רשאי להביא דאסור לטלטל בעלי חיים שהם מוקצים עכ"ל:</w:t>
      </w:r>
    </w:p>
    <w:p w14:paraId="033DF44D"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AD1DC33" w14:textId="77777777" w:rsidR="004B2E7C" w:rsidRDefault="004B2E7C" w:rsidP="00434A6A">
      <w:pPr>
        <w:rPr>
          <w:rFonts w:asciiTheme="minorBidi" w:hAnsiTheme="minorBidi"/>
          <w:rtl/>
        </w:rPr>
      </w:pPr>
      <w:r>
        <w:rPr>
          <w:rFonts w:asciiTheme="minorBidi" w:hAnsiTheme="minorBidi" w:cs="Arial"/>
          <w:rtl/>
        </w:rPr>
        <w:t xml:space="preserve">ממצוא חפצך (ישעיה נח, יג): חפציך אסורים; אפי' בדבר שאינו עושה שום מלאכה, כגון: שמעיין נכסיו לראות מה צריך למחר, או לילך לפתח המדינה כדי שימהר לצאת בלילה למרחץ; וכן אין מחשיכים על התחום לשכור פועלים. הגה: וה"ה דאסור לטייל למצוא סוס או ספינה או קרון לצאת בו. (מרדכי ס"פ מי שהחשיך). אבל מחשיך על התחום להביא בהמתו. וי"א שאם אין הבהמה יכולה לילך ברגלים, כגון שהוא טלה קטן, אינו רשאי להחשיך דאינו רשאי להביא דאסור לטלטל בע"ח שהם מוקצים. </w:t>
      </w:r>
    </w:p>
    <w:p w14:paraId="5FF99381" w14:textId="77777777" w:rsidR="004B2E7C" w:rsidRDefault="004B2E7C" w:rsidP="00434A6A">
      <w:pPr>
        <w:pStyle w:val="2"/>
        <w:rPr>
          <w:rtl/>
        </w:rPr>
      </w:pPr>
      <w:r>
        <w:rPr>
          <w:rtl/>
        </w:rPr>
        <w:t>סעיף ב</w:t>
      </w:r>
    </w:p>
    <w:p w14:paraId="049C99E7" w14:textId="77777777" w:rsidR="004B2E7C" w:rsidRDefault="004B2E7C" w:rsidP="00434A6A">
      <w:pPr>
        <w:rPr>
          <w:rtl/>
        </w:rPr>
      </w:pPr>
      <w:r>
        <w:rPr>
          <w:rFonts w:cs="Arial"/>
          <w:rtl/>
        </w:rPr>
        <w:t>ג וכן מחשיכין על התחום לעשות צרכי כלה וכו'. משנה בפרק שואל (קנא.):</w:t>
      </w:r>
    </w:p>
    <w:p w14:paraId="06C8E4D3" w14:textId="77777777" w:rsidR="004B2E7C" w:rsidRDefault="004B2E7C" w:rsidP="00434A6A">
      <w:pPr>
        <w:rPr>
          <w:rtl/>
        </w:rPr>
      </w:pPr>
      <w:r>
        <w:rPr>
          <w:rFonts w:cs="Arial"/>
          <w:rtl/>
        </w:rPr>
        <w:t>ומ"ש ויכול לומר לחבירו שיחשיך וכו'. ברייתא שם ומסיים בה רבי יוסי ברבי יהודה אומר ובלבד שלא יזכיר לו סכום מקח ופירש רש"י סכום מקח מנה ומאתים ולפי זה רבי יוסי ב"ר יהודה פליג אתנא קמא והלכה כתנא קמא דאפילו מזכיר לו סכום מקח שרי וכן דעת הרמב"ן בספר תורת האדם (סוף ענין ההספד). אבל הרמב"ם בפרק כ"ד (ה"ה) כתב ובלבד שלא יזכיר לו סכום מקח ופירש הרב המגיד שדעתו לומר שתנא קמא ורבי יוסי ברבי יהודה לא פליגי דתנא קמא לא איירי אלא שמותר לומר לו לתת בו כמה שירצה ורבי יוסי ב"ר יהודה אוסר לומר לו סכום מקח כלומר סך ידוע שלא להוסיף עליו וגם תנא קמא יאסור בזה לפי שאין באמירה ההיא אלא הצלת ממונו. אבל הר"ן בפרק הנזכר (סד: ד"ה סכום) פירש דברי הרמב"ם דסכום מקח היינו כמו שכתב בה"ג (הלכות יום טוב, לו ריש ע"ב) דאי נקיט מיניה בה' דינקי והשתא נקט חד דינקא דלא לימא מלא לי דינר: וכתב בהגהות מרדכי פרק (ה') [ד'] (סי' תנט) דהא דאמרינן ובלבד שלא יזכיר לו סכום מקח הני מילי היכא דאפשר בלא הזכרת סכום מקח אבל היכא דלא אפשר מותר אפילו לקצוץ דמים בשבת לדבר מצוה: והר"ן (שם ד"ה תנו) כתב וז"ל ואומר לו לך למקום פלוני פירוש לך למקום פלוני למחר אבל לומר לו לגוי לך בשבת והבא אפילו לצורך המת ולצורך כלה אסור דהא אפילו בהביא מעצמו לצורך ישראל תנן גבי חלילין (שם) לא יספיד בהם ישראל ואף על גב דאמירה לגוי שבות לא שנא אמר לו עשה מלאכה פלונית למחר לא שנא אמר לו עשה אותה מלאכה היום אפילו הכי הקילו במלאכה הנעשית בחול ולא רצו להקל במלאכה הנעשית בשבת וכן נמי אסור לומר לגוי מערב שבת עשה מלאכה פלונית לצורך המת ולצורך כלה למחר בשבת דהא כל מאי דשרינן לצורך מת ולצורך כלה אף על גב דליכא תקנתא בבורגנין ובמחיצות שרי בעלמא כל היכא דאיכא תקנתא בבורגנין ובמחיצות ואפילו הכי אין משלחין אגרות ביד גוי (שבת יט.) והא התם אם יש שם מחיצות מביא דמשום שטרי הדיוטות ליכא באגרות שלום ושל עסקי רבים ואפילו הכי כולם אסורין כך כתב הרמב"ן (קנא. ד"ה הא) עכ"ל. ומדבריו אתה למד דבשום פנים אסור לקצוץ דמים ושלא כדברי המרדכי. ודברי הרב המגיד שאכתוב בסמוך גבי חפצי שמים כדברי הר"ן</w:t>
      </w:r>
      <w:r>
        <w:rPr>
          <w:rStyle w:val="a9"/>
          <w:rFonts w:cs="Arial"/>
          <w:rtl/>
        </w:rPr>
        <w:footnoteReference w:id="1169"/>
      </w:r>
      <w:r>
        <w:rPr>
          <w:rFonts w:cs="Arial"/>
          <w:rtl/>
        </w:rPr>
        <w:t>: ובסימן שי"א (ע: ד"ה כתב המרדכי בפרק כירה שמעשה) אכתוב בס"ד אם יש אמירה לגוי שמותרת מפני כבוד המת:</w:t>
      </w:r>
    </w:p>
    <w:p w14:paraId="63FF2514"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E3E5378" w14:textId="77777777" w:rsidR="004B2E7C" w:rsidRDefault="004B2E7C" w:rsidP="00434A6A">
      <w:pPr>
        <w:rPr>
          <w:rFonts w:asciiTheme="minorBidi" w:hAnsiTheme="minorBidi"/>
          <w:rtl/>
        </w:rPr>
      </w:pPr>
      <w:r>
        <w:rPr>
          <w:rFonts w:asciiTheme="minorBidi" w:hAnsiTheme="minorBidi" w:cs="Arial"/>
          <w:rtl/>
        </w:rPr>
        <w:t xml:space="preserve">היתה בהמתו עומדת חוץ לתחום, יכול לקרות לה כדי שתבא. </w:t>
      </w:r>
    </w:p>
    <w:p w14:paraId="48150F51" w14:textId="77777777" w:rsidR="004B2E7C" w:rsidRDefault="004B2E7C" w:rsidP="00434A6A">
      <w:pPr>
        <w:pStyle w:val="2"/>
        <w:rPr>
          <w:rtl/>
        </w:rPr>
      </w:pPr>
      <w:r>
        <w:rPr>
          <w:rtl/>
        </w:rPr>
        <w:t>סעיף ג</w:t>
      </w:r>
    </w:p>
    <w:p w14:paraId="6AF95F67"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BCDEF78" w14:textId="77777777" w:rsidR="004B2E7C" w:rsidRDefault="004B2E7C" w:rsidP="00434A6A">
      <w:pPr>
        <w:rPr>
          <w:rFonts w:asciiTheme="minorBidi" w:hAnsiTheme="minorBidi"/>
          <w:rtl/>
        </w:rPr>
      </w:pPr>
      <w:r>
        <w:rPr>
          <w:rFonts w:asciiTheme="minorBidi" w:hAnsiTheme="minorBidi" w:cs="Arial"/>
          <w:rtl/>
        </w:rPr>
        <w:t xml:space="preserve">מחשיכין על התחום לעשות צרכי כלה; או צרכי מת להביא לו ארון ותכריכין; ויכול לומר לחבירו שיחשיך כדי שיביא לו, ויכול לומר לו: לך למקום פלוני למחר ואם לא מצאת במקום פלוני לך למקום פלוני, לא מצאת במנה קח במאתים; ובלבד שלא יזכיר לו סכום מקח, כלומר: שלא יאמר לו סך ידוע שלא להוסיף עליו; וכן אם לקח ממנו בשמונה, לא יאמר תן לי עוד בשנים ואהיה חייב לך עשרה. הגה: ואם א"א לו אא"כ יזכור לו סכום מקח, מותר בכל ענין דהא צרכי מצוה הוא (הגמ"ר פ"ה). ויש אוסרים בכל ענין, וכן עיקר (ב"י בשם הר"ן ומרדכי פ' כירה והג"מ פ"א ופכ"ו). </w:t>
      </w:r>
    </w:p>
    <w:p w14:paraId="2668D4F1" w14:textId="77777777" w:rsidR="004B2E7C" w:rsidRDefault="004B2E7C" w:rsidP="00434A6A">
      <w:pPr>
        <w:pStyle w:val="2"/>
        <w:rPr>
          <w:rtl/>
        </w:rPr>
      </w:pPr>
      <w:r>
        <w:rPr>
          <w:rtl/>
        </w:rPr>
        <w:t>סעיף ד</w:t>
      </w:r>
    </w:p>
    <w:p w14:paraId="1EBDEF41" w14:textId="77777777" w:rsidR="004B2E7C" w:rsidRDefault="004B2E7C" w:rsidP="00434A6A">
      <w:pPr>
        <w:rPr>
          <w:rtl/>
        </w:rPr>
      </w:pPr>
      <w:r>
        <w:rPr>
          <w:rFonts w:cs="Arial"/>
          <w:rtl/>
        </w:rPr>
        <w:t>ד השוכר פועלים לשמור לו פרה וכו'. ברייתא בסוף פרק הזהב (ב"מ נח.) השוכר את הפועל לשמור לו פרה לשמור את התינוק לשמור את הזרעים אין נותנין לו שכר שבת לפיכך אין אחריות שבת עליו היה שכיר שבת שכיר חדש שכיר שנה שכיר שבוע נותנין לו שכר שבת לפיכך אחריות שבת עליו וכתבוה הרי"ף והרא"ש בפרק שואל (רי"ף סד:, רא"ש סי' ח) וסיימו בה ולא יאמר לו תן לי שכרי של שבת אלא אומר לו תן לי שכרי של עשרה ימים וכן כתב הרמב"ם בסוף פרק ו' (הכ"ה) וכן כתב ספר מצות גדול (לאוין סה, כא ע"ד). [בדק הבית] כתוב בשבלי הלקט (סי' קיג) שאם אומר לו כך וכך תתן לי בחדש שיבא כך ליום הוי נמי כשכר שבת. ואין נראה כן מדברי הפוסקים שכתבתי בסמוך [עד כאן]:</w:t>
      </w:r>
    </w:p>
    <w:p w14:paraId="779051F3"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6A4C019" w14:textId="77777777" w:rsidR="004B2E7C" w:rsidRDefault="004B2E7C" w:rsidP="00434A6A">
      <w:pPr>
        <w:rPr>
          <w:rFonts w:asciiTheme="minorBidi" w:hAnsiTheme="minorBidi"/>
          <w:rtl/>
        </w:rPr>
      </w:pPr>
      <w:r>
        <w:rPr>
          <w:rFonts w:asciiTheme="minorBidi" w:hAnsiTheme="minorBidi" w:cs="Arial"/>
          <w:rtl/>
        </w:rPr>
        <w:t xml:space="preserve">השוכר את הפועל לשמור זרעים או ד"א אינו נותן לו שכר שבת, לפיכך אין אחריות שבת עליו; היה שכיר שבת, שכיר חודש, שכיר שנה, שכיר שבוע, נותן לו שכר שבת, לפיכך אחריות שבת עליו. ולא יאמר: תן לי של שבת, אלא אומר: תן לי שכר השבוע או החודש. (ואם שכרו לחודש והתנה לשלם לו כל יום כך וכך, מקרי שכיר יום) (ר"ן ס"פ אף על פי) או יאמר לו: תן לי שכר עשרה ימים. </w:t>
      </w:r>
    </w:p>
    <w:p w14:paraId="296A83C8" w14:textId="77777777" w:rsidR="004B2E7C" w:rsidRDefault="004B2E7C" w:rsidP="00434A6A">
      <w:pPr>
        <w:pStyle w:val="2"/>
        <w:rPr>
          <w:rtl/>
        </w:rPr>
      </w:pPr>
      <w:r>
        <w:rPr>
          <w:rtl/>
        </w:rPr>
        <w:t>סעיף ה</w:t>
      </w:r>
    </w:p>
    <w:p w14:paraId="764E5D81" w14:textId="77777777" w:rsidR="004B2E7C" w:rsidRDefault="004B2E7C" w:rsidP="00434A6A">
      <w:pPr>
        <w:rPr>
          <w:rtl/>
        </w:rPr>
      </w:pPr>
      <w:r>
        <w:rPr>
          <w:rFonts w:cs="Arial"/>
          <w:rtl/>
        </w:rPr>
        <w:t>ה וכתב המרדכי בסוף פרק אף על פי (כתובות סי' קפט) שפסק (הרבה) [ה"ר ברוך] יש לי חשש על החזנים שמשכירים אותם להתפלל בשבת וה"ר שמואל אומר דאין איסור דהא נותנים שכר לקיים המצות להתפלל עכ"ל ואיני מבין דברי ה"ר שמואל דסוף סוף שכר שבת הם נוטלים ואפשר דהכי קאמר שדבר זה אינו אסור אלא מדרבנן ובמקום מצוה לא העמידו דבריהם ודעת רבינו בסימן תקפ"ה (שא.) כרבינו ברוך:</w:t>
      </w:r>
      <w:r>
        <w:rPr>
          <w:rStyle w:val="a9"/>
          <w:rtl/>
        </w:rPr>
        <w:footnoteReference w:id="1170"/>
      </w:r>
    </w:p>
    <w:p w14:paraId="37661380"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206F63B" w14:textId="77777777" w:rsidR="004B2E7C" w:rsidRDefault="004B2E7C" w:rsidP="00434A6A">
      <w:pPr>
        <w:rPr>
          <w:rFonts w:asciiTheme="minorBidi" w:hAnsiTheme="minorBidi"/>
          <w:rtl/>
        </w:rPr>
      </w:pPr>
      <w:r>
        <w:rPr>
          <w:rFonts w:asciiTheme="minorBidi" w:hAnsiTheme="minorBidi" w:cs="Arial"/>
          <w:rtl/>
        </w:rPr>
        <w:t xml:space="preserve">אסור לשכור חזנים להתפלל בשבת; ויש מי שמתיר. הגה: ואם שכרו לשנה או לחודש, לכ"ע שרי (ד"ע). </w:t>
      </w:r>
    </w:p>
    <w:p w14:paraId="40212261" w14:textId="77777777" w:rsidR="004B2E7C" w:rsidRDefault="004B2E7C" w:rsidP="00434A6A">
      <w:pPr>
        <w:pStyle w:val="2"/>
        <w:rPr>
          <w:rtl/>
        </w:rPr>
      </w:pPr>
      <w:r>
        <w:rPr>
          <w:rtl/>
        </w:rPr>
        <w:t>סעיף ו</w:t>
      </w:r>
    </w:p>
    <w:p w14:paraId="5230C11F" w14:textId="77777777" w:rsidR="004B2E7C" w:rsidRDefault="004B2E7C" w:rsidP="00434A6A">
      <w:pPr>
        <w:rPr>
          <w:rtl/>
        </w:rPr>
      </w:pPr>
      <w:r>
        <w:rPr>
          <w:rFonts w:cs="Arial"/>
          <w:rtl/>
        </w:rPr>
        <w:t>ו וחפצי שמים שרי כגון חשבונות של מצוה וכו'. בפרק שואל (קנ.) ובפרק קמא דכתובות (ה.). וכתב הרב המגיד בפרק כ"ד (ה"ה) שלא הותר שבות בשביל עסקי רבים לא אמירה לגוי ולא שבות אחר לבד הפקוח והתעסקות בדברים בלא מלאכה שאסור בצרכי יחיד משום ודבר דבר (ישעיה נח יג) זה לבדו הותר לדבר מצוה או לצורך רבים עכ"ל: ועל פסיקת צדקה לעניים בשבת תמה הר"ן בפרק שואל (סד. ד"ה פוסקין) דהא תנן (ביצה לו:) אין מקדישין ומצאתי בשם רבינו חננאל שלא אסרו אלא להקדיש כלי ידוע משום דמחזי כמקח וממכר אבל לא אסרו לחייב עצמו בדיבורו לגבוה ועדיין אין נוח לי דהא אין מעריכין (ביצה שם) לאו כלי ידוע הוא ואפילו הכי אסור עכ"ל. ונראה לי דמעריך דמי שפיר למקח וממכר דהוי כקונה איש זה מאחר שנודר ליתן ערכו להקדש. והכלבו כתב בסימן נ"ח (יח ע"ד) בשם גאון אחד דדוקא הקדש מזבח או דבדק הבית אסור שיוצא מרשותו לרשות גבוה ודומה למקח וממכר אבל עכשיו שנודרין להקדשות ספר תורה או עטרה או שמן למאור וכיוצא בהם מותר לפי שעדיין אין מיחדין שם דבר שיוצא מרשותן ואינו דומה למקח וממכר עד כאן וזה כדברי רבינו חננאל שכתבתי בסמוך</w:t>
      </w:r>
      <w:r>
        <w:rPr>
          <w:rStyle w:val="a9"/>
          <w:rFonts w:cs="Arial"/>
          <w:rtl/>
        </w:rPr>
        <w:footnoteReference w:id="1171"/>
      </w:r>
      <w:r>
        <w:rPr>
          <w:rFonts w:cs="Arial"/>
          <w:rtl/>
        </w:rPr>
        <w:t>:</w:t>
      </w:r>
    </w:p>
    <w:p w14:paraId="336DB2F4" w14:textId="77777777" w:rsidR="004B2E7C" w:rsidRDefault="004B2E7C" w:rsidP="00434A6A">
      <w:pPr>
        <w:rPr>
          <w:rtl/>
        </w:rPr>
      </w:pPr>
      <w:r>
        <w:rPr>
          <w:rFonts w:cs="Arial"/>
          <w:rtl/>
        </w:rPr>
        <w:t>והרב רבי מאיר מרוטנבורק כתב דוקא לדבר אליו וכו'. גם בספר כלבו (סי' לא, לג ע"ב) כתוב כן ובהגהות חדשות פרק כ"ד (אות ה) כתוב גם כן שאסר מהר"ם לעשות סכום עם מלמד תינוקות אבל בהגהות מרדכי כתוב פרק (ה') [ד'] (סי' תנט) דאפילו לקצוץ דמים לדבר מצוה מותר ומכל מקום משמע מדבריו דכל היכא דאפשר בלא קציצה אינו רשאי לקצוץ וכבר כתבתי (ד"ה וכתב בהגהות) דהרמב"ן והר"ן והרב המגיד סוברים כדברי הר"מ ז"ל:</w:t>
      </w:r>
    </w:p>
    <w:p w14:paraId="12771BAD"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E6D77F0" w14:textId="77777777" w:rsidR="004B2E7C" w:rsidRDefault="004B2E7C" w:rsidP="00434A6A">
      <w:pPr>
        <w:rPr>
          <w:rFonts w:asciiTheme="minorBidi" w:hAnsiTheme="minorBidi"/>
          <w:rtl/>
        </w:rPr>
      </w:pPr>
      <w:r>
        <w:rPr>
          <w:rFonts w:asciiTheme="minorBidi" w:hAnsiTheme="minorBidi" w:cs="Arial"/>
          <w:rtl/>
        </w:rPr>
        <w:t xml:space="preserve">חפצי שמים מותר לדבר בהם, כגון: חשבונות של מצוה, ולפסוק צדקה, ולפקח על עסקי רבים, ולשדך התינוק ליארס וללמדו ספר או אומנות; ודוקא לדבר אם רוצה להשתכר, אבל לשכרו ולהזכיר לו סכום מעות אסור. הגה: י"א דבמקום שנוהגין ליתן לקורא בתורה מי שבירך, ונודר לצדקה או לחזן, דאסור בשבת לפסוק כמה יתן (א"ז); והמנהג להקל, דהא מותר לפסוק צדקה. </w:t>
      </w:r>
    </w:p>
    <w:p w14:paraId="489F25F4" w14:textId="77777777" w:rsidR="004B2E7C" w:rsidRDefault="004B2E7C" w:rsidP="00434A6A">
      <w:pPr>
        <w:pStyle w:val="2"/>
        <w:rPr>
          <w:rtl/>
        </w:rPr>
      </w:pPr>
      <w:r>
        <w:rPr>
          <w:rtl/>
        </w:rPr>
        <w:t>סעיף ז</w:t>
      </w:r>
    </w:p>
    <w:p w14:paraId="1C7FCD8C" w14:textId="77777777" w:rsidR="004B2E7C" w:rsidRDefault="004B2E7C" w:rsidP="00434A6A">
      <w:pPr>
        <w:rPr>
          <w:rtl/>
        </w:rPr>
      </w:pPr>
      <w:r>
        <w:rPr>
          <w:rFonts w:cs="Arial"/>
          <w:rtl/>
        </w:rPr>
        <w:t>ז מותר למדוד מדידה של מצוה בשבת וכו'. פשוט בסוף מסכת שבת (קנז.,:):</w:t>
      </w:r>
    </w:p>
    <w:p w14:paraId="6DFD2768" w14:textId="77777777" w:rsidR="004B2E7C" w:rsidRDefault="004B2E7C" w:rsidP="00434A6A">
      <w:pPr>
        <w:rPr>
          <w:rtl/>
        </w:rPr>
      </w:pPr>
      <w:r>
        <w:rPr>
          <w:rFonts w:cs="Arial"/>
          <w:rtl/>
        </w:rPr>
        <w:t>ולחש שמלחשין על כאב הראש וכו'. גם בהגהות פרק כ"א (אות ד בתרא) ובמרדכי בסוף פרק שמנה שרצים (סי' שפה) כתבו להתיר:</w:t>
      </w:r>
    </w:p>
    <w:p w14:paraId="23DDBFC9"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D13575E" w14:textId="77777777" w:rsidR="004B2E7C" w:rsidRDefault="004B2E7C" w:rsidP="00434A6A">
      <w:pPr>
        <w:rPr>
          <w:rFonts w:asciiTheme="minorBidi" w:hAnsiTheme="minorBidi"/>
          <w:rtl/>
        </w:rPr>
      </w:pPr>
      <w:r>
        <w:rPr>
          <w:rFonts w:asciiTheme="minorBidi" w:hAnsiTheme="minorBidi" w:cs="Arial"/>
          <w:rtl/>
        </w:rPr>
        <w:t xml:space="preserve">מותר למדוד בשבת מדידה של מצוה, כגון: למדוד אם יש במקוה מ' סאה, ולמדוד אזור מי שהוא חולה וללחוש עליו כמו שנוהגים הנשים, מותר דהוי מדידה של מצוה. </w:t>
      </w:r>
    </w:p>
    <w:p w14:paraId="3A0B605B" w14:textId="77777777" w:rsidR="004B2E7C" w:rsidRDefault="004B2E7C" w:rsidP="00434A6A">
      <w:pPr>
        <w:pStyle w:val="2"/>
        <w:rPr>
          <w:rtl/>
        </w:rPr>
      </w:pPr>
      <w:r>
        <w:rPr>
          <w:rtl/>
        </w:rPr>
        <w:t>סעיף ח</w:t>
      </w:r>
    </w:p>
    <w:p w14:paraId="617C472B" w14:textId="77777777" w:rsidR="004B2E7C" w:rsidRDefault="004B2E7C" w:rsidP="00434A6A">
      <w:pPr>
        <w:rPr>
          <w:rtl/>
        </w:rPr>
      </w:pPr>
      <w:r>
        <w:rPr>
          <w:rFonts w:cs="Arial"/>
          <w:rtl/>
        </w:rPr>
        <w:t>ח והרהור בעסקיו מותר. בפרק שואל (קנ.) ודבר דבר דבור אסור הרהור מותר:</w:t>
      </w:r>
    </w:p>
    <w:p w14:paraId="77C31ABA" w14:textId="77777777" w:rsidR="004B2E7C" w:rsidRDefault="004B2E7C" w:rsidP="00434A6A">
      <w:pPr>
        <w:rPr>
          <w:rtl/>
        </w:rPr>
      </w:pPr>
      <w:r>
        <w:rPr>
          <w:rFonts w:cs="Arial"/>
          <w:rtl/>
        </w:rPr>
        <w:t>ומה שכתב ומכל מקום משום עונג שבת מצוה שלא יחשב בהם. כן כתב ה"ר יונה באגרת התשובה (דרש ב אות לה [יום ה]) אסור לאדם שיהא לבו טרוד בעסקיו בשבת אף על פי שאמרו חכמים הרהור מותר אם יש לו מתוך ההרהור טרדת לב או נדנוד דאגה אסור שנאמר ועשית כל מלאכתך ואמרו במכילתא (יתרו, בחדש פ"ז אות ט) שתהא כל מלאכתך בעיניך כאלו היא עשויה שלא תהרהר עליה וכן אנו אומרים בתפילה מנוחת שלום השקט ובטח מנוחה שלימה שאתה רוצה בה ובברכת מזון אנו אומרים שלא תהא צרה ויגון ביום מנוחתנו עכ"ל:</w:t>
      </w:r>
    </w:p>
    <w:p w14:paraId="12E5572C"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34DE15E" w14:textId="77777777" w:rsidR="004B2E7C" w:rsidRDefault="004B2E7C" w:rsidP="00434A6A">
      <w:pPr>
        <w:rPr>
          <w:rFonts w:asciiTheme="minorBidi" w:hAnsiTheme="minorBidi"/>
          <w:rtl/>
        </w:rPr>
      </w:pPr>
      <w:r>
        <w:rPr>
          <w:rFonts w:asciiTheme="minorBidi" w:hAnsiTheme="minorBidi" w:cs="Arial"/>
          <w:rtl/>
        </w:rPr>
        <w:t xml:space="preserve">הרהור בעסקיו, מותר; ומ"מ משום עונג שבת, מצוה שלא יחשוב בהם כלל ויהא בעיניו כאילו כל מלאכתו עשויה. </w:t>
      </w:r>
    </w:p>
    <w:p w14:paraId="5DCB9755" w14:textId="77777777" w:rsidR="004B2E7C" w:rsidRDefault="004B2E7C" w:rsidP="00434A6A">
      <w:pPr>
        <w:pStyle w:val="2"/>
        <w:rPr>
          <w:rtl/>
        </w:rPr>
      </w:pPr>
      <w:r>
        <w:rPr>
          <w:rtl/>
        </w:rPr>
        <w:t>סעיף ט</w:t>
      </w:r>
    </w:p>
    <w:p w14:paraId="66797CF5" w14:textId="77777777" w:rsidR="004B2E7C" w:rsidRDefault="004B2E7C" w:rsidP="00434A6A">
      <w:pPr>
        <w:rPr>
          <w:rtl/>
        </w:rPr>
      </w:pPr>
      <w:r>
        <w:rPr>
          <w:rFonts w:cs="Arial"/>
          <w:rtl/>
        </w:rPr>
        <w:t>ט כתב המרדכי בפרק כירה (סי' שיד) דאסור לומר לגוי שילך חוץ לתחום בשבת אחר קרובי המת שיבואו (לקרותו) [לקבורתו] להספידו לכבודו אבל חולה דתקיף ליה עלמא ואומר שישלחו אחר קרוביו הא ודאי שרי עכ"ל וכן כתוב בהגהות מיימון פרק ב' (אות ה) ופרק כ"ו (דפוס קושטא הכ"א):</w:t>
      </w:r>
    </w:p>
    <w:p w14:paraId="5DBBB51E"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520323E" w14:textId="77777777" w:rsidR="004B2E7C" w:rsidRDefault="004B2E7C" w:rsidP="00434A6A">
      <w:pPr>
        <w:rPr>
          <w:rFonts w:asciiTheme="minorBidi" w:hAnsiTheme="minorBidi"/>
          <w:rtl/>
        </w:rPr>
      </w:pPr>
      <w:r>
        <w:rPr>
          <w:rFonts w:asciiTheme="minorBidi" w:hAnsiTheme="minorBidi" w:cs="Arial"/>
          <w:rtl/>
        </w:rPr>
        <w:t xml:space="preserve">אסור לומר לגוי שילך חוץ לתחום בשבת אחר קרובי המת שיבואו להספידו, אבל חולה דתקיף ליה עלמא ואמר שישלחו בעד קרוביו, ודאי שרי. </w:t>
      </w:r>
    </w:p>
    <w:p w14:paraId="3F342F0B" w14:textId="77777777" w:rsidR="004B2E7C" w:rsidRDefault="004B2E7C" w:rsidP="00434A6A">
      <w:pPr>
        <w:pStyle w:val="2"/>
        <w:rPr>
          <w:rtl/>
        </w:rPr>
      </w:pPr>
      <w:r>
        <w:rPr>
          <w:rtl/>
        </w:rPr>
        <w:t>סעיף י</w:t>
      </w:r>
    </w:p>
    <w:p w14:paraId="4FFD8D84" w14:textId="77777777" w:rsidR="004B2E7C" w:rsidRDefault="004B2E7C" w:rsidP="00434A6A">
      <w:pPr>
        <w:rPr>
          <w:rtl/>
        </w:rPr>
      </w:pPr>
      <w:r>
        <w:rPr>
          <w:rFonts w:cs="Arial"/>
          <w:rtl/>
        </w:rPr>
        <w:t>י כתב רבינו ירוחם בחלק י"ב (נתיב י"ב, פב ע"ג) להחליף משכון לגוי בשבת נהגו בו התר מטעם שיהיה מלבוש או דבר שאינו מוקצה ויוציאנו הגוי דרך מלבוש כי אין משא ומתן וגם בישראל מותר בענין זה אם הישראל צריך ללבשו כך כתבו המפרשים עכ"ל:</w:t>
      </w:r>
      <w:r>
        <w:rPr>
          <w:rStyle w:val="a9"/>
          <w:rtl/>
        </w:rPr>
        <w:footnoteReference w:id="1172"/>
      </w:r>
    </w:p>
    <w:p w14:paraId="4D2AD698"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F7776A8" w14:textId="77777777" w:rsidR="004B2E7C" w:rsidRDefault="004B2E7C" w:rsidP="00434A6A">
      <w:pPr>
        <w:rPr>
          <w:rFonts w:asciiTheme="minorBidi" w:hAnsiTheme="minorBidi"/>
          <w:rtl/>
        </w:rPr>
      </w:pPr>
      <w:r>
        <w:rPr>
          <w:rFonts w:asciiTheme="minorBidi" w:hAnsiTheme="minorBidi" w:cs="Arial"/>
          <w:rtl/>
        </w:rPr>
        <w:t xml:space="preserve">להחליף משכון לגוי בשבת, מותר אם הוא מלבוש; ויוציאנו הגוי דרך מלבושו (וע"ל סי' שכ"ה). </w:t>
      </w:r>
    </w:p>
    <w:p w14:paraId="25100B63" w14:textId="77777777" w:rsidR="004B2E7C" w:rsidRDefault="004B2E7C" w:rsidP="00434A6A">
      <w:pPr>
        <w:pStyle w:val="2"/>
        <w:rPr>
          <w:rtl/>
        </w:rPr>
      </w:pPr>
      <w:r>
        <w:rPr>
          <w:rtl/>
        </w:rPr>
        <w:t>סעיף יא</w:t>
      </w:r>
    </w:p>
    <w:p w14:paraId="73918E48" w14:textId="77777777" w:rsidR="004B2E7C" w:rsidRDefault="004B2E7C" w:rsidP="00434A6A">
      <w:pPr>
        <w:rPr>
          <w:rtl/>
        </w:rPr>
      </w:pPr>
      <w:r>
        <w:rPr>
          <w:rFonts w:cs="Arial"/>
          <w:rtl/>
        </w:rPr>
        <w:t>יא כתוב בהגהות אשירי פרק ב' דמועד קטן (סי' יח) בשם אור זרוע מותר לקנות בתים מן הגוי בשבת כיצד הוא עושה מראה הוא לו כיסים של דינרין והגוי חותם ומעלה לערכאות עכ"ל ונראה דבקונה בית בארץ ישראל מיירי וכדאמרינן בפרק קמא דגיטין (ח:) ובסוף פרק מרובה (ב"ק פ:):</w:t>
      </w:r>
      <w:r>
        <w:rPr>
          <w:rStyle w:val="a9"/>
          <w:rtl/>
        </w:rPr>
        <w:footnoteReference w:id="1173"/>
      </w:r>
    </w:p>
    <w:p w14:paraId="320C5EA3"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F975E12" w14:textId="77777777" w:rsidR="004B2E7C" w:rsidRDefault="004B2E7C" w:rsidP="00434A6A">
      <w:pPr>
        <w:rPr>
          <w:rFonts w:asciiTheme="minorBidi" w:hAnsiTheme="minorBidi"/>
          <w:rtl/>
        </w:rPr>
      </w:pPr>
      <w:r>
        <w:rPr>
          <w:rFonts w:asciiTheme="minorBidi" w:hAnsiTheme="minorBidi" w:cs="Arial"/>
          <w:rtl/>
        </w:rPr>
        <w:t xml:space="preserve">מותר לקנות בית בארץ ישראל מן הגוי, בשבת, וחותם ומעלה בערכאות. הגה: שלהם, בכתב שלהם; דאינו אסור רק מדרבנן, ומשום ישוב גוי לא גזרו (א"ז). </w:t>
      </w:r>
    </w:p>
    <w:p w14:paraId="0D009DA0" w14:textId="77777777" w:rsidR="004B2E7C" w:rsidRDefault="004B2E7C" w:rsidP="00434A6A">
      <w:pPr>
        <w:pStyle w:val="2"/>
        <w:rPr>
          <w:rtl/>
        </w:rPr>
      </w:pPr>
      <w:r>
        <w:rPr>
          <w:rtl/>
        </w:rPr>
        <w:t>סעיף יב</w:t>
      </w:r>
    </w:p>
    <w:p w14:paraId="6BABC8BB" w14:textId="77777777" w:rsidR="004B2E7C" w:rsidRDefault="004B2E7C" w:rsidP="00434A6A">
      <w:pPr>
        <w:rPr>
          <w:rtl/>
        </w:rPr>
      </w:pPr>
      <w:r>
        <w:rPr>
          <w:rFonts w:cs="Arial"/>
          <w:rtl/>
        </w:rPr>
        <w:t>יב כתב הרשב"א בתשובה (ח"ד סי' קד) שמי שאבדה לו אבידה מותר שיכריזו בשבת שמי שיודע בה יבא ויגיד ואפילו אם האבידה היא דבר שאסור לטלטלו בשבת משום דהשבת אבידה מצוה ולומר למי שיודע ממנה שישיבנה חפצי שמים הוא ושרי:</w:t>
      </w:r>
      <w:r>
        <w:rPr>
          <w:rStyle w:val="a9"/>
          <w:rtl/>
        </w:rPr>
        <w:footnoteReference w:id="1174"/>
      </w:r>
    </w:p>
    <w:p w14:paraId="3840A452"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2ECB755" w14:textId="77777777" w:rsidR="004B2E7C" w:rsidRDefault="004B2E7C" w:rsidP="00434A6A">
      <w:pPr>
        <w:rPr>
          <w:rFonts w:asciiTheme="minorBidi" w:hAnsiTheme="minorBidi"/>
          <w:rtl/>
        </w:rPr>
      </w:pPr>
      <w:r>
        <w:rPr>
          <w:rFonts w:asciiTheme="minorBidi" w:hAnsiTheme="minorBidi" w:cs="Arial"/>
          <w:rtl/>
        </w:rPr>
        <w:t xml:space="preserve">מותר להכריז בשבת על אבידה אפילו היא דבר שאסור לטלטלו. הגה: ומותר להתיר חרמי צבור בשבת, אף על פי שאינו לצורך שבת, הואיל והוא יום כנופיא לרבים הוי כעסקי רבים דשרי לדבר בם (אגור); אבל אין מחרימין בשבת כי אם מדבר שהוא לצורך שבת (אגודה פכ"ג). </w:t>
      </w:r>
    </w:p>
    <w:p w14:paraId="6E41EDAD" w14:textId="77777777" w:rsidR="004B2E7C" w:rsidRDefault="004B2E7C" w:rsidP="00434A6A">
      <w:pPr>
        <w:pStyle w:val="2"/>
        <w:rPr>
          <w:rtl/>
        </w:rPr>
      </w:pPr>
      <w:r>
        <w:rPr>
          <w:rtl/>
        </w:rPr>
        <w:t>סעיף יג</w:t>
      </w:r>
    </w:p>
    <w:p w14:paraId="7247EFB8" w14:textId="77777777" w:rsidR="004B2E7C" w:rsidRDefault="004B2E7C" w:rsidP="00434A6A">
      <w:pPr>
        <w:rPr>
          <w:rtl/>
        </w:rPr>
      </w:pPr>
      <w:r>
        <w:rPr>
          <w:rFonts w:cs="Arial"/>
          <w:rtl/>
        </w:rPr>
        <w:t>יג כתב הריב"ש (סימן שפ"ח) שהיו נוהגים בסרקסטה שכל מי שמוכר קרקע היו מכריזין בשבת שכל מי שיש לו זכות או תביעה שיבוא ויגיד לברורים תוך שלשים יום ואם לאו שיאבד זכותו ואסר להם וכתב להר"ן על זה והסכים על ידו והאריך בדבר קצת ודבריו הנם כתובים על ספר תשובות הריב"ש ז"ל (סימן שצ)</w:t>
      </w:r>
      <w:r>
        <w:rPr>
          <w:rStyle w:val="a9"/>
          <w:rFonts w:cs="Arial"/>
          <w:rtl/>
        </w:rPr>
        <w:footnoteReference w:id="1175"/>
      </w:r>
      <w:r>
        <w:rPr>
          <w:rFonts w:cs="Arial"/>
          <w:rtl/>
        </w:rPr>
        <w:t>: כתב המרדכי בפרק קמא דשבת (סי' רמח) שפסק רבינו גרשום באחד שקנה סוס בשבת דצריך ללקות מכת מרדות ואם יעלו דמי מכירת הסוס על דמי לקיחתו שקלינן ויהבינן לעניים שלא יהא חוטא נשכר (חלה פ"ב מ"ז) ואם אותו מקום פרוץ לעניין שבת לפי מה שיראו יחמירו בו יותר: כתב רבינו ירוחם בחלק י"ב (נתיב י"ב, פג ע"ג) ראובן ששכר גוי חמר מערב שבת להוליך לו סחורה במקום פלוני והסחורה היתה בבית יהודי ובא הגוי בשבת ולקח הסחורה מבית היהודי והוליכה ודאי אסור דעד כאן לא שרו בית הילל (שבת יז:) אלא עם השמש אבל בשבת לא והעובר ראוי להענישו בממון לפי עשרו או במלקות אם אין לו ממון כך כתבו קצת מפרשים וכן הרא"ש בתשובה עכ"ל</w:t>
      </w:r>
      <w:r>
        <w:rPr>
          <w:rStyle w:val="a9"/>
          <w:rFonts w:cs="Arial"/>
          <w:rtl/>
        </w:rPr>
        <w:footnoteReference w:id="1176"/>
      </w:r>
      <w:r>
        <w:rPr>
          <w:rFonts w:cs="Arial"/>
          <w:rtl/>
        </w:rPr>
        <w:t>:</w:t>
      </w:r>
    </w:p>
    <w:p w14:paraId="4CC45902"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397829C" w14:textId="77777777" w:rsidR="004B2E7C" w:rsidRDefault="004B2E7C" w:rsidP="00434A6A">
      <w:pPr>
        <w:rPr>
          <w:rFonts w:asciiTheme="minorBidi" w:hAnsiTheme="minorBidi"/>
          <w:rtl/>
        </w:rPr>
      </w:pPr>
      <w:r>
        <w:rPr>
          <w:rFonts w:asciiTheme="minorBidi" w:hAnsiTheme="minorBidi" w:cs="Arial"/>
          <w:rtl/>
        </w:rPr>
        <w:t xml:space="preserve">להכריז בשבת על קרקע הנמכר, שכל מי שיש לו זכות עליו יבוא ויגיד וא"ל יאבד זכותו, אסור. הגה: וכן אסור להכריז יין בשבת, דהוי כמקח וממכר (מהרי"ל). </w:t>
      </w:r>
    </w:p>
    <w:p w14:paraId="067A6F32" w14:textId="77777777" w:rsidR="004B2E7C" w:rsidRDefault="004B2E7C" w:rsidP="00434A6A">
      <w:pPr>
        <w:pStyle w:val="2"/>
        <w:rPr>
          <w:rtl/>
        </w:rPr>
      </w:pPr>
      <w:r>
        <w:rPr>
          <w:rtl/>
        </w:rPr>
        <w:t>סעיף יד</w:t>
      </w:r>
    </w:p>
    <w:p w14:paraId="22088072" w14:textId="77777777" w:rsidR="004B2E7C" w:rsidRDefault="004B2E7C" w:rsidP="00434A6A">
      <w:pPr>
        <w:rPr>
          <w:rtl/>
        </w:rPr>
      </w:pPr>
      <w:r>
        <w:rPr>
          <w:rFonts w:cs="Arial"/>
          <w:rtl/>
        </w:rPr>
        <w:t>יד נשאל הרשב"א על אחד ששלחו לו בשבת שהוציאו בתו בחזקה מביתו על ידי ישראל משומד להוציאה מכלל ישראל אם ישים לדרך פעמיו בשבת פן יפחידוה ותשתמד אם מותר לילך אפילו חוץ לשלשה פרסאות למאן דאמר (ירושלמי עירובין פ"ג סוף ה"ד) דתחום שלשה פרסאות דאורייתא ואפילו להביא חותם מצד המלכות מי דחינן מספק זו את השבת כדדחינן בספק נפשות והשיב הדבר צריך תלמוד ומכל מקום כך דעתי נוטה שאין דוחין שבת על הצלה מהעבירות לפי שאמרו (שבת ד.) אין אומרין לאדם עמוד וחטוא בשביל שיזכה חבירך ואפילו איסור זוטא לא שרינן ליה כדי להציל חבירו מאיסורא רבה דעד כאן לא אמרינן בפרק בכל מערבין (עירובין לב:) ניחא ליה לחבר דליעביד איסורא זוטא כי היכי דלא ליעביד עם הארץ איסורא רבה אלא כשאותו איסור בא לעם הארץ על ידי חבר אבל בענין אחר לא כדמוכח פ"ק דשבת (ו)בבעיא דהדביק פת בתנור (ד.) ועוד צריך תלמוד עד שיעמוד הדבר על בוריו עכ"ל: והתוספות כתבו בפ"ק דשבת (שם ד"ה וכי) בתחלה כדברי הרשב"א ואחר כך הקשו מדתנן (גיטין מא:) מי שחציו עבד וחציו בן חורין כופין את רבו ועושה אותו בן חורין וקיי"ל (שם לח:) כל המשחרר את עבדו עובר בעשה ותירצו דשאני פריה ורביה דמצוה רבה היא ועוד יש לומר דדוקא היכא שפשע שהדביק פת בתנור סמוך לחשיכה אבל היכא דלא פשע מידי שרי למיעבד איסורא זוטא כי היכי דלא ליעביד חבריה איסורא רבה והוכיחו כן מפרק תמיד נשחט (פסחים נט.) ומפרק בתרא דערובין (קג:). וכן כתבו בפרק בכל מערבין (לב: ד"ה ולא) ובפרק השולח (גיטין מא: ד"ה כופין) ובפרק קמא דבתרא (יג. ד"ה כופין) ובפרק קמא דחגיגה (ב: ד"ה כופין) ובפסחים פרק האשה (פח: ד"ה כופין). והשתא אם לתירוצא דמצוה רבה הדבר ברור שאין לך מצוה רבה מלהצילה שלא יפחידוה עד שתשתמד ואם לתירוצא דמחלק בין פשע ללא פשע הכא נמי לא פשעה והילכך לחלל עליה את השבת לפקח עליה שרי ומצוה נמי איכא ואי לא בעי למיעבד כייפינן ליה כדאשכחן במי שחציו עבד שכופין את רבו כדי שלא יתבטל ממצות פריה ורביה כי רבה היא ואפילו לחלל שבת בדברים האסורים מן התורה נראה דשפיר דמי דלגבי שלא תשתמד ותעבור כל ימיה חילול שבת אמרינן איסורא זוטא הוי. תשלום דינין דשייכי לענין זה יבואו בסימן שאחר זה</w:t>
      </w:r>
      <w:r>
        <w:rPr>
          <w:rStyle w:val="a9"/>
          <w:rFonts w:cs="Arial"/>
          <w:rtl/>
        </w:rPr>
        <w:footnoteReference w:id="1177"/>
      </w:r>
      <w:r>
        <w:rPr>
          <w:rFonts w:cs="Arial"/>
          <w:rtl/>
        </w:rPr>
        <w:t>:</w:t>
      </w:r>
    </w:p>
    <w:p w14:paraId="3B34607E"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3669BC3" w14:textId="77777777" w:rsidR="004B2E7C" w:rsidRDefault="004B2E7C" w:rsidP="00434A6A">
      <w:pPr>
        <w:rPr>
          <w:rFonts w:asciiTheme="minorBidi" w:hAnsiTheme="minorBidi"/>
          <w:rtl/>
        </w:rPr>
      </w:pPr>
      <w:r>
        <w:rPr>
          <w:rFonts w:asciiTheme="minorBidi" w:hAnsiTheme="minorBidi" w:cs="Arial"/>
          <w:rtl/>
        </w:rPr>
        <w:t>מי ששלחו לו שהוציאו בתו מביתו בשבת להוציאה מכלל ישראל, מצוה לשום לדרך פעמיו להשתדל בהצלתה; ויוצא אפילו חוץ לשלש פרסאות ואי לא בעי, כייפינן ליה (וע"ל סי' שכ"ח סעיף י').</w:t>
      </w:r>
    </w:p>
    <w:p w14:paraId="72726772" w14:textId="77777777" w:rsidR="004B2E7C" w:rsidRDefault="004B2E7C" w:rsidP="00434A6A">
      <w:pPr>
        <w:rPr>
          <w:rFonts w:asciiTheme="minorBidi" w:hAnsiTheme="minorBidi"/>
          <w:rtl/>
        </w:rPr>
      </w:pPr>
    </w:p>
    <w:p w14:paraId="29F777ED" w14:textId="77777777" w:rsidR="004B2E7C" w:rsidRDefault="004B2E7C" w:rsidP="00434A6A">
      <w:pPr>
        <w:rPr>
          <w:rFonts w:asciiTheme="minorBidi" w:hAnsiTheme="minorBidi"/>
          <w:rtl/>
        </w:rPr>
      </w:pPr>
    </w:p>
    <w:p w14:paraId="15C08E26" w14:textId="77777777" w:rsidR="004B2E7C" w:rsidRDefault="004B2E7C" w:rsidP="00434A6A">
      <w:pPr>
        <w:rPr>
          <w:rFonts w:asciiTheme="minorBidi" w:hAnsiTheme="minorBidi"/>
          <w:rtl/>
        </w:rPr>
      </w:pPr>
    </w:p>
    <w:p w14:paraId="171A137C" w14:textId="77777777" w:rsidR="004B2E7C" w:rsidRDefault="004B2E7C" w:rsidP="00434A6A">
      <w:pPr>
        <w:rPr>
          <w:rFonts w:asciiTheme="minorBidi" w:hAnsiTheme="minorBidi"/>
          <w:rtl/>
        </w:rPr>
      </w:pPr>
    </w:p>
    <w:p w14:paraId="5E6A410E" w14:textId="77777777" w:rsidR="004B2E7C" w:rsidRDefault="004B2E7C" w:rsidP="00434A6A">
      <w:pPr>
        <w:rPr>
          <w:rFonts w:asciiTheme="minorBidi" w:hAnsiTheme="minorBidi"/>
          <w:rtl/>
        </w:rPr>
      </w:pPr>
    </w:p>
    <w:p w14:paraId="2D4E9B17" w14:textId="77777777" w:rsidR="004B2E7C" w:rsidRDefault="004B2E7C" w:rsidP="00434A6A">
      <w:pPr>
        <w:rPr>
          <w:rFonts w:asciiTheme="minorBidi" w:hAnsiTheme="minorBidi"/>
          <w:rtl/>
        </w:rPr>
      </w:pPr>
    </w:p>
    <w:p w14:paraId="3BA09580" w14:textId="77777777" w:rsidR="004B2E7C" w:rsidRDefault="004B2E7C" w:rsidP="00434A6A">
      <w:pPr>
        <w:rPr>
          <w:rFonts w:asciiTheme="minorBidi" w:hAnsiTheme="minorBidi"/>
          <w:rtl/>
        </w:rPr>
      </w:pPr>
    </w:p>
    <w:p w14:paraId="1A9428AB" w14:textId="77777777" w:rsidR="004B2E7C" w:rsidRDefault="004B2E7C" w:rsidP="00434A6A">
      <w:pPr>
        <w:rPr>
          <w:rFonts w:asciiTheme="minorBidi" w:hAnsiTheme="minorBidi"/>
          <w:rtl/>
        </w:rPr>
      </w:pPr>
    </w:p>
    <w:p w14:paraId="40E8E171" w14:textId="77777777" w:rsidR="004B2E7C" w:rsidRDefault="004B2E7C" w:rsidP="00434A6A">
      <w:pPr>
        <w:rPr>
          <w:rFonts w:asciiTheme="minorBidi" w:hAnsiTheme="minorBidi"/>
          <w:rtl/>
        </w:rPr>
      </w:pPr>
    </w:p>
    <w:p w14:paraId="411D842B" w14:textId="77777777" w:rsidR="004B2E7C" w:rsidRDefault="004B2E7C" w:rsidP="00434A6A">
      <w:pPr>
        <w:bidi w:val="0"/>
        <w:spacing w:after="0"/>
        <w:rPr>
          <w:rFonts w:asciiTheme="minorBidi" w:eastAsiaTheme="majorEastAsia" w:hAnsiTheme="minorBidi"/>
          <w:b/>
          <w:bCs/>
          <w:color w:val="365F91" w:themeColor="accent1" w:themeShade="BF"/>
          <w:sz w:val="28"/>
          <w:szCs w:val="28"/>
          <w:rtl/>
        </w:rPr>
        <w:sectPr w:rsidR="004B2E7C">
          <w:headerReference w:type="default" r:id="rId76"/>
          <w:footnotePr>
            <w:numRestart w:val="eachSect"/>
          </w:footnotePr>
          <w:pgSz w:w="11906" w:h="16838"/>
          <w:pgMar w:top="720" w:right="1134" w:bottom="720" w:left="1134" w:header="0" w:footer="0" w:gutter="0"/>
          <w:cols w:space="720"/>
          <w:bidi/>
          <w:rtlGutter/>
        </w:sectPr>
      </w:pPr>
    </w:p>
    <w:p w14:paraId="2464307A" w14:textId="77777777" w:rsidR="004B2E7C" w:rsidRDefault="004B2E7C" w:rsidP="00434A6A">
      <w:pPr>
        <w:pStyle w:val="1"/>
        <w:rPr>
          <w:rFonts w:asciiTheme="minorBidi" w:hAnsiTheme="minorBidi"/>
          <w:rtl/>
        </w:rPr>
      </w:pPr>
      <w:r>
        <w:rPr>
          <w:rFonts w:asciiTheme="minorBidi" w:hAnsiTheme="minorBidi"/>
          <w:rtl/>
        </w:rPr>
        <w:t xml:space="preserve">סימן שז: דיני שבת התלוים בדבור, ובו כ"ב סעיפים. </w:t>
      </w:r>
    </w:p>
    <w:p w14:paraId="32A47D68" w14:textId="77777777" w:rsidR="004B2E7C" w:rsidRDefault="004B2E7C" w:rsidP="00434A6A">
      <w:pPr>
        <w:pStyle w:val="2"/>
        <w:rPr>
          <w:rFonts w:asciiTheme="minorBidi" w:hAnsiTheme="minorBidi" w:cstheme="minorBidi"/>
          <w:rtl/>
        </w:rPr>
      </w:pPr>
      <w:r>
        <w:rPr>
          <w:rFonts w:asciiTheme="minorBidi" w:hAnsiTheme="minorBidi" w:cstheme="minorBidi"/>
          <w:rtl/>
        </w:rPr>
        <w:t>סעיף א: דיבורי חול.</w:t>
      </w:r>
    </w:p>
    <w:p w14:paraId="6B6BC463" w14:textId="77777777" w:rsidR="004B2E7C" w:rsidRDefault="004B2E7C" w:rsidP="00434A6A">
      <w:pPr>
        <w:rPr>
          <w:rFonts w:asciiTheme="minorBidi" w:hAnsiTheme="minorBidi"/>
          <w:rtl/>
        </w:rPr>
      </w:pPr>
      <w:r>
        <w:rPr>
          <w:rFonts w:asciiTheme="minorBidi" w:hAnsiTheme="minorBidi"/>
          <w:b/>
          <w:bCs/>
          <w:rtl/>
        </w:rPr>
        <w:t xml:space="preserve">ירושלמי </w:t>
      </w:r>
      <w:r>
        <w:rPr>
          <w:rFonts w:asciiTheme="minorBidi" w:hAnsiTheme="minorBidi"/>
          <w:b/>
          <w:bCs/>
          <w:sz w:val="16"/>
          <w:szCs w:val="16"/>
          <w:rtl/>
        </w:rPr>
        <w:t xml:space="preserve">(וילנא) </w:t>
      </w:r>
      <w:r>
        <w:rPr>
          <w:rFonts w:asciiTheme="minorBidi" w:hAnsiTheme="minorBidi"/>
          <w:b/>
          <w:bCs/>
          <w:rtl/>
        </w:rPr>
        <w:t xml:space="preserve">שבת פט"ו ה"ג: </w:t>
      </w:r>
      <w:r>
        <w:rPr>
          <w:rFonts w:asciiTheme="minorBidi" w:hAnsiTheme="minorBidi"/>
          <w:u w:val="single"/>
          <w:rtl/>
        </w:rPr>
        <w:t>אמר רבי חנינא</w:t>
      </w:r>
      <w:r>
        <w:rPr>
          <w:rFonts w:asciiTheme="minorBidi" w:hAnsiTheme="minorBidi"/>
          <w:rtl/>
        </w:rPr>
        <w:t xml:space="preserve">: מדוחק התירו לשאול שלום בשבת. </w:t>
      </w:r>
      <w:r>
        <w:rPr>
          <w:rFonts w:asciiTheme="minorBidi" w:hAnsiTheme="minorBidi"/>
          <w:u w:val="single"/>
          <w:rtl/>
        </w:rPr>
        <w:t>א"ר חייא בר בא</w:t>
      </w:r>
      <w:r>
        <w:rPr>
          <w:rFonts w:asciiTheme="minorBidi" w:hAnsiTheme="minorBidi"/>
          <w:rtl/>
        </w:rPr>
        <w:t>: רשב"י כד הוה חמי לאימיה משתעיא סגין הוה אמר לה אימא שובתא היא.</w:t>
      </w:r>
    </w:p>
    <w:p w14:paraId="205A005B" w14:textId="77777777" w:rsidR="004B2E7C" w:rsidRDefault="004B2E7C" w:rsidP="00434A6A">
      <w:pPr>
        <w:rPr>
          <w:rFonts w:asciiTheme="minorBidi" w:hAnsiTheme="minorBidi"/>
          <w:rtl/>
        </w:rPr>
      </w:pPr>
      <w:r>
        <w:rPr>
          <w:rFonts w:asciiTheme="minorBidi" w:hAnsiTheme="minorBidi"/>
          <w:b/>
          <w:bCs/>
          <w:rtl/>
        </w:rPr>
        <w:t xml:space="preserve">שבת קיג סוע"א: </w:t>
      </w:r>
      <w:r>
        <w:rPr>
          <w:rFonts w:asciiTheme="minorBidi" w:hAnsiTheme="minorBidi"/>
          <w:rtl/>
        </w:rPr>
        <w:t xml:space="preserve">ממצוא חפצך - חפציך אסורין, חפצי שמים מותרין. ודבר דבר - </w:t>
      </w:r>
      <w:r>
        <w:rPr>
          <w:rFonts w:asciiTheme="minorBidi" w:hAnsiTheme="minorBidi"/>
          <w:sz w:val="14"/>
          <w:szCs w:val="14"/>
          <w:rtl/>
        </w:rPr>
        <w:t xml:space="preserve">(קיג:) </w:t>
      </w:r>
      <w:r>
        <w:rPr>
          <w:rFonts w:asciiTheme="minorBidi" w:hAnsiTheme="minorBidi"/>
          <w:rtl/>
        </w:rPr>
        <w:t xml:space="preserve">שלא יהא דבורך של שבת כדבורך של חול. דבור אסור, הרהור מותר. </w:t>
      </w:r>
      <w:r>
        <w:rPr>
          <w:rFonts w:asciiTheme="minorBidi" w:hAnsiTheme="minorBidi"/>
          <w:sz w:val="16"/>
          <w:szCs w:val="16"/>
          <w:rtl/>
        </w:rPr>
        <w:t>(ופירש רש"י, שלא יהא דבורך של שבת כדבורך של חול - כגון מקח וממכר וחשבונות. עכ"ל. והקשו עליו התוס' (קיג: ד"ה שלא יהא) וז"ל- ואין נראה לר"ת דהא כבר נפקא ממצוא חפצך, אלא אומר ר"ת כדאמר בויקרא רבה (פ' לד) ר"ש בן יוחי הוה ליה אימא סבתא דהות מישתעיא סגיא אמר לה אימא שבתא הוא שתקה משמע שאין כל כך לדבר בשבת כמו בחול ובירושל' אמרי' בטורח התירו בשאלת שלום בשבת. עכ"ל. וכ"כ הרא"ש (פט"ו סי' ב) הר"ן (מב: [מדפה"ר] ד"ה ודבר) הרמב"ם (פכ"ד ה"ד) והסמ"ג (לאוין סה, כב ע"ג). ונראה מדברי הטור שפירש את הבבלי כרש"י ופסק גם את הירושלמי. והעתיק השו"ע את לשון הטור)</w:t>
      </w:r>
    </w:p>
    <w:p w14:paraId="37CC563C" w14:textId="77777777" w:rsidR="004B2E7C" w:rsidRDefault="004B2E7C" w:rsidP="00434A6A">
      <w:pPr>
        <w:rPr>
          <w:rFonts w:asciiTheme="minorBidi" w:hAnsiTheme="minorBidi"/>
          <w:u w:val="single"/>
          <w:rtl/>
        </w:rPr>
      </w:pPr>
      <w:r>
        <w:rPr>
          <w:rFonts w:asciiTheme="minorBidi" w:hAnsiTheme="minorBidi"/>
          <w:u w:val="single"/>
          <w:rtl/>
        </w:rPr>
        <w:t>סיפור דברי מלחמות וכדו' כשמתענג מהם:</w:t>
      </w:r>
    </w:p>
    <w:p w14:paraId="351517F6" w14:textId="77777777" w:rsidR="004B2E7C" w:rsidRDefault="004B2E7C" w:rsidP="00FF2D21">
      <w:pPr>
        <w:pStyle w:val="aa"/>
        <w:numPr>
          <w:ilvl w:val="0"/>
          <w:numId w:val="133"/>
        </w:numPr>
        <w:rPr>
          <w:rFonts w:asciiTheme="minorBidi" w:hAnsiTheme="minorBidi"/>
          <w:rtl/>
        </w:rPr>
      </w:pPr>
      <w:r>
        <w:rPr>
          <w:rFonts w:asciiTheme="minorBidi" w:hAnsiTheme="minorBidi"/>
          <w:rtl/>
        </w:rPr>
        <w:t xml:space="preserve">תרוה"ד </w:t>
      </w:r>
      <w:r>
        <w:rPr>
          <w:rFonts w:asciiTheme="minorBidi" w:hAnsiTheme="minorBidi"/>
          <w:sz w:val="16"/>
          <w:szCs w:val="16"/>
          <w:rtl/>
        </w:rPr>
        <w:t>(סי' סא)</w:t>
      </w:r>
      <w:r>
        <w:rPr>
          <w:rFonts w:asciiTheme="minorBidi" w:hAnsiTheme="minorBidi"/>
          <w:rtl/>
        </w:rPr>
        <w:t xml:space="preserve">- דלספר שמועות מענייני מלכים ושרים וערך מלחמות וכיוצא בזה אם הוא מתענג בסיפורים שרי כדשרי לרוץ לבחורים המתענגים בריצתם וקפיצתם אבל אם המספר אינו מתענג בכך אלא שעושה כן לרצון חבירו יש חשש איסור לאותם שאינם מתענגים. </w:t>
      </w:r>
      <w:r>
        <w:rPr>
          <w:rFonts w:asciiTheme="minorBidi" w:hAnsiTheme="minorBidi"/>
          <w:color w:val="00B0F0"/>
          <w:rtl/>
        </w:rPr>
        <w:t>(וכ"פ הרמ"א)</w:t>
      </w:r>
    </w:p>
    <w:p w14:paraId="0544FBE2"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27FB377" w14:textId="77777777" w:rsidR="004B2E7C" w:rsidRDefault="004B2E7C" w:rsidP="00434A6A">
      <w:pPr>
        <w:rPr>
          <w:rFonts w:asciiTheme="minorBidi" w:hAnsiTheme="minorBidi"/>
          <w:rtl/>
        </w:rPr>
      </w:pPr>
      <w:r>
        <w:rPr>
          <w:rFonts w:asciiTheme="minorBidi" w:hAnsiTheme="minorBidi"/>
          <w:rtl/>
        </w:rPr>
        <w:t xml:space="preserve">ודבר דבר </w:t>
      </w:r>
      <w:r>
        <w:rPr>
          <w:rFonts w:asciiTheme="minorBidi" w:hAnsiTheme="minorBidi"/>
          <w:sz w:val="16"/>
          <w:szCs w:val="16"/>
          <w:rtl/>
        </w:rPr>
        <w:t>(ישעיה נח, יג)</w:t>
      </w:r>
      <w:r>
        <w:rPr>
          <w:rFonts w:asciiTheme="minorBidi" w:hAnsiTheme="minorBidi"/>
          <w:rtl/>
        </w:rPr>
        <w:t>: שלא יהא דבורך של שבת כדבורך של חול. הלכך אסור לומר דבר פלוני אעשה למחר</w:t>
      </w:r>
      <w:r>
        <w:rPr>
          <w:rStyle w:val="a9"/>
          <w:rFonts w:asciiTheme="minorBidi" w:hAnsiTheme="minorBidi"/>
          <w:rtl/>
        </w:rPr>
        <w:footnoteReference w:id="1178"/>
      </w:r>
      <w:r>
        <w:rPr>
          <w:rFonts w:asciiTheme="minorBidi" w:hAnsiTheme="minorBidi"/>
          <w:rtl/>
        </w:rPr>
        <w:t xml:space="preserve"> או סחורה פלונית אקנה למחר, ואפילו בשיחת דברים בטלים</w:t>
      </w:r>
      <w:r>
        <w:rPr>
          <w:rStyle w:val="a9"/>
          <w:rFonts w:asciiTheme="minorBidi" w:hAnsiTheme="minorBidi"/>
          <w:rtl/>
        </w:rPr>
        <w:footnoteReference w:id="1179"/>
      </w:r>
      <w:r>
        <w:rPr>
          <w:rFonts w:asciiTheme="minorBidi" w:hAnsiTheme="minorBidi"/>
          <w:rtl/>
        </w:rPr>
        <w:t xml:space="preserve"> אסור להרבות. </w:t>
      </w:r>
      <w:r>
        <w:rPr>
          <w:rFonts w:asciiTheme="minorBidi" w:hAnsiTheme="minorBidi"/>
          <w:sz w:val="18"/>
          <w:szCs w:val="18"/>
          <w:rtl/>
        </w:rPr>
        <w:t>הגה: ובני אדם שסיפור שמועות ודברי חדושים הוא עונג להם</w:t>
      </w:r>
      <w:r>
        <w:rPr>
          <w:rStyle w:val="a9"/>
          <w:rFonts w:asciiTheme="minorBidi" w:hAnsiTheme="minorBidi"/>
          <w:sz w:val="18"/>
          <w:szCs w:val="18"/>
          <w:rtl/>
        </w:rPr>
        <w:footnoteReference w:id="1180"/>
      </w:r>
      <w:r>
        <w:rPr>
          <w:rFonts w:asciiTheme="minorBidi" w:hAnsiTheme="minorBidi"/>
          <w:sz w:val="18"/>
          <w:szCs w:val="18"/>
          <w:rtl/>
        </w:rPr>
        <w:t>, מותר</w:t>
      </w:r>
      <w:r>
        <w:rPr>
          <w:rStyle w:val="a9"/>
          <w:rFonts w:asciiTheme="minorBidi" w:hAnsiTheme="minorBidi"/>
          <w:sz w:val="18"/>
          <w:szCs w:val="18"/>
          <w:rtl/>
        </w:rPr>
        <w:footnoteReference w:id="1181"/>
      </w:r>
      <w:r>
        <w:rPr>
          <w:rFonts w:asciiTheme="minorBidi" w:hAnsiTheme="minorBidi"/>
          <w:sz w:val="18"/>
          <w:szCs w:val="18"/>
          <w:rtl/>
        </w:rPr>
        <w:t xml:space="preserve"> לספרם בשבת כמו בחול, אבל מי שאינו מתענג אסור לאומרם כדי שיתענג בהם חבירו (תרוה"ד סי' סא).</w:t>
      </w:r>
      <w:r>
        <w:rPr>
          <w:rFonts w:asciiTheme="minorBidi" w:hAnsiTheme="minorBidi"/>
          <w:rtl/>
        </w:rPr>
        <w:t xml:space="preserve"> </w:t>
      </w:r>
    </w:p>
    <w:p w14:paraId="3814B612" w14:textId="77777777" w:rsidR="004B2E7C" w:rsidRDefault="004B2E7C" w:rsidP="00434A6A">
      <w:pPr>
        <w:rPr>
          <w:rFonts w:asciiTheme="minorBidi" w:hAnsiTheme="minorBidi"/>
          <w:sz w:val="16"/>
          <w:szCs w:val="16"/>
          <w:rtl/>
        </w:rPr>
      </w:pPr>
      <w:r>
        <w:rPr>
          <w:rFonts w:asciiTheme="minorBidi" w:hAnsiTheme="minorBidi"/>
          <w:u w:val="single"/>
          <w:rtl/>
        </w:rPr>
        <w:t xml:space="preserve">מהו לומר "דבר פלוני אעשה למחר" במקום מצוה </w:t>
      </w:r>
      <w:r>
        <w:rPr>
          <w:rFonts w:asciiTheme="minorBidi" w:hAnsiTheme="minorBidi"/>
          <w:sz w:val="16"/>
          <w:szCs w:val="16"/>
          <w:u w:val="single"/>
          <w:rtl/>
        </w:rPr>
        <w:t>(בדבר שאסור לעשותו בשבת)</w:t>
      </w:r>
      <w:r>
        <w:rPr>
          <w:rFonts w:asciiTheme="minorBidi" w:hAnsiTheme="minorBidi"/>
          <w:u w:val="single"/>
          <w:rtl/>
        </w:rPr>
        <w:t>:</w:t>
      </w:r>
      <w:r>
        <w:rPr>
          <w:rFonts w:asciiTheme="minorBidi" w:hAnsiTheme="minorBidi"/>
          <w:sz w:val="16"/>
          <w:szCs w:val="16"/>
          <w:rtl/>
        </w:rPr>
        <w:t xml:space="preserve">   (משנ"ב סק"א)</w:t>
      </w:r>
    </w:p>
    <w:p w14:paraId="0D99A237" w14:textId="77777777" w:rsidR="004B2E7C" w:rsidRDefault="004B2E7C" w:rsidP="00FF2D21">
      <w:pPr>
        <w:pStyle w:val="aa"/>
        <w:numPr>
          <w:ilvl w:val="0"/>
          <w:numId w:val="133"/>
        </w:numPr>
        <w:rPr>
          <w:rFonts w:asciiTheme="minorBidi" w:hAnsiTheme="minorBidi"/>
          <w:rtl/>
        </w:rPr>
      </w:pPr>
      <w:r>
        <w:rPr>
          <w:rFonts w:asciiTheme="minorBidi" w:hAnsiTheme="minorBidi"/>
          <w:rtl/>
        </w:rPr>
        <w:t>מג"א</w:t>
      </w:r>
      <w:r>
        <w:rPr>
          <w:rFonts w:asciiTheme="minorBidi" w:hAnsiTheme="minorBidi"/>
          <w:sz w:val="16"/>
          <w:szCs w:val="16"/>
          <w:rtl/>
        </w:rPr>
        <w:t xml:space="preserve"> (סק"א)</w:t>
      </w:r>
      <w:r>
        <w:rPr>
          <w:rFonts w:asciiTheme="minorBidi" w:hAnsiTheme="minorBidi"/>
          <w:rtl/>
        </w:rPr>
        <w:t xml:space="preserve"> וכנה"ג- אפילו דבר מצוה כגון כתיבת ס"ת וכה"ג אסור לומר אעשה למחר. </w:t>
      </w:r>
    </w:p>
    <w:p w14:paraId="59F0CB01" w14:textId="77777777" w:rsidR="004B2E7C" w:rsidRDefault="004B2E7C" w:rsidP="00FF2D21">
      <w:pPr>
        <w:pStyle w:val="aa"/>
        <w:numPr>
          <w:ilvl w:val="0"/>
          <w:numId w:val="133"/>
        </w:numPr>
        <w:rPr>
          <w:rFonts w:asciiTheme="minorBidi" w:hAnsiTheme="minorBidi"/>
          <w:rtl/>
        </w:rPr>
      </w:pPr>
      <w:r>
        <w:rPr>
          <w:rFonts w:asciiTheme="minorBidi" w:hAnsiTheme="minorBidi"/>
          <w:rtl/>
        </w:rPr>
        <w:t>א"ר מאמ"ר וברכ"י- כל לדבר מצוה שרי</w:t>
      </w:r>
      <w:r>
        <w:rPr>
          <w:rStyle w:val="a9"/>
          <w:rFonts w:asciiTheme="minorBidi" w:hAnsiTheme="minorBidi"/>
          <w:rtl/>
        </w:rPr>
        <w:footnoteReference w:id="1182"/>
      </w:r>
      <w:r>
        <w:rPr>
          <w:rFonts w:asciiTheme="minorBidi" w:hAnsiTheme="minorBidi"/>
          <w:rtl/>
        </w:rPr>
        <w:t xml:space="preserve">. </w:t>
      </w:r>
    </w:p>
    <w:p w14:paraId="05A8D9F5" w14:textId="77777777" w:rsidR="004B2E7C" w:rsidRDefault="004B2E7C" w:rsidP="00434A6A">
      <w:pPr>
        <w:rPr>
          <w:rFonts w:asciiTheme="minorBidi" w:hAnsiTheme="minorBidi"/>
          <w:rtl/>
        </w:rPr>
      </w:pPr>
      <w:r>
        <w:rPr>
          <w:rFonts w:asciiTheme="minorBidi" w:hAnsiTheme="minorBidi"/>
          <w:u w:val="single"/>
          <w:rtl/>
        </w:rPr>
        <w:t>עיכוב גוי בשבת מחמת חוב:</w:t>
      </w:r>
      <w:r>
        <w:rPr>
          <w:rFonts w:asciiTheme="minorBidi" w:hAnsiTheme="minorBidi"/>
          <w:rtl/>
        </w:rPr>
        <w:t xml:space="preserve"> </w:t>
      </w:r>
    </w:p>
    <w:p w14:paraId="39BE3165" w14:textId="77777777" w:rsidR="004B2E7C" w:rsidRDefault="004B2E7C" w:rsidP="00FF2D21">
      <w:pPr>
        <w:pStyle w:val="aa"/>
        <w:numPr>
          <w:ilvl w:val="0"/>
          <w:numId w:val="134"/>
        </w:numPr>
        <w:rPr>
          <w:rFonts w:asciiTheme="minorBidi" w:hAnsiTheme="minorBidi"/>
          <w:rtl/>
        </w:rPr>
      </w:pPr>
      <w:r>
        <w:rPr>
          <w:rFonts w:asciiTheme="minorBidi" w:hAnsiTheme="minorBidi"/>
          <w:rtl/>
        </w:rPr>
        <w:t>משנ"ב</w:t>
      </w:r>
      <w:r>
        <w:rPr>
          <w:rFonts w:asciiTheme="minorBidi" w:hAnsiTheme="minorBidi"/>
          <w:sz w:val="16"/>
          <w:szCs w:val="16"/>
          <w:rtl/>
        </w:rPr>
        <w:t xml:space="preserve"> (סק"א)</w:t>
      </w:r>
      <w:r>
        <w:rPr>
          <w:rFonts w:asciiTheme="minorBidi" w:hAnsiTheme="minorBidi"/>
          <w:rtl/>
        </w:rPr>
        <w:t>- אסור לעכב הגוי בשבת בשביל החוב דזהו הכל בכלל ממצוא חפצך, אבל יכול לומר אח"כ בחול לשופט מדוע לא עכבת הגוי בשבת כדי שיבין ויעכבנו לשבת הבאה כשיזדמן לו. ובתשובת הב"ח (סי' קמו) מתיר מי שיש לו חוב אצל האנס ובשבת נודע לו שהוא ילך מן העיר ואפשר שלא ישוב עוד מותר לילך בשבת לקבול עליו אצל השר שיפרענו דבמקום פסידא לא גזרו</w:t>
      </w:r>
      <w:r>
        <w:rPr>
          <w:rStyle w:val="a9"/>
          <w:rFonts w:asciiTheme="minorBidi" w:hAnsiTheme="minorBidi"/>
          <w:rtl/>
        </w:rPr>
        <w:footnoteReference w:id="1183"/>
      </w:r>
      <w:r>
        <w:rPr>
          <w:rFonts w:asciiTheme="minorBidi" w:hAnsiTheme="minorBidi"/>
          <w:rtl/>
        </w:rPr>
        <w:t xml:space="preserve">. </w:t>
      </w:r>
    </w:p>
    <w:p w14:paraId="5079BBAB" w14:textId="77777777" w:rsidR="004B2E7C" w:rsidRDefault="004B2E7C" w:rsidP="00434A6A">
      <w:pPr>
        <w:rPr>
          <w:rFonts w:asciiTheme="minorBidi" w:hAnsiTheme="minorBidi"/>
          <w:rtl/>
        </w:rPr>
      </w:pPr>
    </w:p>
    <w:p w14:paraId="69217000" w14:textId="77777777" w:rsidR="004B2E7C" w:rsidRDefault="004B2E7C" w:rsidP="00434A6A">
      <w:pPr>
        <w:pStyle w:val="2"/>
        <w:rPr>
          <w:rFonts w:asciiTheme="minorBidi" w:hAnsiTheme="minorBidi" w:cstheme="minorBidi"/>
          <w:rtl/>
        </w:rPr>
      </w:pPr>
      <w:r>
        <w:rPr>
          <w:rFonts w:asciiTheme="minorBidi" w:hAnsiTheme="minorBidi" w:cstheme="minorBidi"/>
          <w:rtl/>
        </w:rPr>
        <w:t>סעיף ב: אמירה לגוי קודם השבת.</w:t>
      </w:r>
    </w:p>
    <w:p w14:paraId="42D2AAE2" w14:textId="77777777" w:rsidR="004B2E7C" w:rsidRDefault="004B2E7C" w:rsidP="00434A6A">
      <w:pPr>
        <w:rPr>
          <w:rFonts w:asciiTheme="minorBidi" w:hAnsiTheme="minorBidi" w:cs="Arial"/>
        </w:rPr>
      </w:pPr>
      <w:r>
        <w:rPr>
          <w:rFonts w:asciiTheme="minorBidi" w:hAnsiTheme="minorBidi" w:cs="Arial"/>
          <w:b/>
          <w:bCs/>
          <w:rtl/>
        </w:rPr>
        <w:t xml:space="preserve">שבת קנ ע"א: </w:t>
      </w:r>
      <w:r>
        <w:rPr>
          <w:rFonts w:asciiTheme="minorBidi" w:hAnsiTheme="minorBidi" w:cs="Arial"/>
          <w:u w:val="double"/>
          <w:rtl/>
        </w:rPr>
        <w:t>משנה</w:t>
      </w:r>
      <w:r>
        <w:rPr>
          <w:rFonts w:asciiTheme="minorBidi" w:hAnsiTheme="minorBidi" w:cs="Arial"/>
          <w:rtl/>
        </w:rPr>
        <w:t xml:space="preserve">: לא ישכור אדם פועלים בשבת, ולא יאמר אדם לחבירו לשכור לו פועלים...       </w:t>
      </w:r>
      <w:r>
        <w:rPr>
          <w:rFonts w:asciiTheme="minorBidi" w:hAnsiTheme="minorBidi" w:cs="Arial"/>
          <w:u w:val="double"/>
          <w:rtl/>
        </w:rPr>
        <w:t>גמרא</w:t>
      </w:r>
      <w:r>
        <w:rPr>
          <w:rFonts w:asciiTheme="minorBidi" w:hAnsiTheme="minorBidi" w:cs="Arial"/>
          <w:rtl/>
        </w:rPr>
        <w:t xml:space="preserve">: (פשיטא) מאי שנא הוא ומאי שנא חבירו? </w:t>
      </w:r>
      <w:r>
        <w:rPr>
          <w:rFonts w:asciiTheme="minorBidi" w:hAnsiTheme="minorBidi" w:cs="Arial"/>
          <w:u w:val="single"/>
          <w:rtl/>
        </w:rPr>
        <w:t>אמר רב פפא</w:t>
      </w:r>
      <w:r>
        <w:rPr>
          <w:rFonts w:asciiTheme="minorBidi" w:hAnsiTheme="minorBidi" w:cs="Arial"/>
          <w:rtl/>
        </w:rPr>
        <w:t>: חבר נכרי</w:t>
      </w:r>
      <w:r>
        <w:rPr>
          <w:rStyle w:val="a9"/>
          <w:rFonts w:asciiTheme="minorBidi" w:hAnsiTheme="minorBidi" w:cs="Arial"/>
          <w:rtl/>
        </w:rPr>
        <w:footnoteReference w:id="1184"/>
      </w:r>
      <w:r>
        <w:rPr>
          <w:rFonts w:asciiTheme="minorBidi" w:hAnsiTheme="minorBidi" w:cs="Arial"/>
          <w:rtl/>
        </w:rPr>
        <w:t xml:space="preserve">. </w:t>
      </w:r>
      <w:r>
        <w:rPr>
          <w:rFonts w:asciiTheme="minorBidi" w:hAnsiTheme="minorBidi" w:cs="Arial"/>
          <w:sz w:val="16"/>
          <w:szCs w:val="16"/>
          <w:rtl/>
        </w:rPr>
        <w:t>(</w:t>
      </w:r>
      <w:r>
        <w:rPr>
          <w:rFonts w:asciiTheme="minorBidi" w:hAnsiTheme="minorBidi"/>
          <w:sz w:val="16"/>
          <w:szCs w:val="16"/>
          <w:rtl/>
        </w:rPr>
        <w:t xml:space="preserve">וכתב הטור- ואסור לומר לו אפילו קודם השבת לעשותו בשבת. </w:t>
      </w:r>
      <w:r>
        <w:rPr>
          <w:rFonts w:asciiTheme="minorBidi" w:hAnsiTheme="minorBidi" w:cs="Arial"/>
          <w:sz w:val="16"/>
          <w:szCs w:val="16"/>
          <w:rtl/>
        </w:rPr>
        <w:t>וכ"כ רב סעדיה</w:t>
      </w:r>
      <w:r>
        <w:rPr>
          <w:rStyle w:val="a9"/>
          <w:rFonts w:asciiTheme="minorBidi" w:hAnsiTheme="minorBidi" w:cs="Arial"/>
          <w:sz w:val="16"/>
          <w:szCs w:val="16"/>
          <w:rtl/>
        </w:rPr>
        <w:footnoteReference w:id="1185"/>
      </w:r>
      <w:r>
        <w:rPr>
          <w:rFonts w:asciiTheme="minorBidi" w:hAnsiTheme="minorBidi" w:cs="Arial"/>
          <w:sz w:val="16"/>
          <w:szCs w:val="16"/>
          <w:rtl/>
        </w:rPr>
        <w:t xml:space="preserve"> </w:t>
      </w:r>
      <w:r>
        <w:rPr>
          <w:rFonts w:asciiTheme="minorBidi" w:hAnsiTheme="minorBidi" w:cs="Arial"/>
          <w:sz w:val="14"/>
          <w:szCs w:val="14"/>
          <w:rtl/>
        </w:rPr>
        <w:t xml:space="preserve">(כ"כ בשמו הרא"ש [ב"מ פ"ז סי' ו] והרשב"א [כ"כ בנמוק"י (ב"מ נג. דבור ראשון) בשמו]) </w:t>
      </w:r>
      <w:r>
        <w:rPr>
          <w:rFonts w:asciiTheme="minorBidi" w:hAnsiTheme="minorBidi" w:cs="Arial"/>
          <w:sz w:val="16"/>
          <w:szCs w:val="16"/>
          <w:rtl/>
        </w:rPr>
        <w:t xml:space="preserve">רמב"ם </w:t>
      </w:r>
      <w:r>
        <w:rPr>
          <w:rFonts w:asciiTheme="minorBidi" w:hAnsiTheme="minorBidi" w:cs="Arial"/>
          <w:sz w:val="14"/>
          <w:szCs w:val="14"/>
          <w:rtl/>
        </w:rPr>
        <w:t xml:space="preserve">(פ"ו ה"א) </w:t>
      </w:r>
      <w:r>
        <w:rPr>
          <w:rFonts w:asciiTheme="minorBidi" w:hAnsiTheme="minorBidi" w:cs="Arial"/>
          <w:sz w:val="16"/>
          <w:szCs w:val="16"/>
          <w:rtl/>
        </w:rPr>
        <w:t xml:space="preserve">סה"ת </w:t>
      </w:r>
      <w:r>
        <w:rPr>
          <w:rFonts w:asciiTheme="minorBidi" w:hAnsiTheme="minorBidi" w:cs="Arial"/>
          <w:sz w:val="14"/>
          <w:szCs w:val="14"/>
          <w:rtl/>
        </w:rPr>
        <w:t xml:space="preserve">(סי' רכב) </w:t>
      </w:r>
      <w:r>
        <w:rPr>
          <w:rFonts w:asciiTheme="minorBidi" w:hAnsiTheme="minorBidi" w:cs="Arial"/>
          <w:sz w:val="16"/>
          <w:szCs w:val="16"/>
          <w:rtl/>
        </w:rPr>
        <w:t xml:space="preserve">סמ"ג </w:t>
      </w:r>
      <w:r>
        <w:rPr>
          <w:rFonts w:asciiTheme="minorBidi" w:hAnsiTheme="minorBidi" w:cs="Arial"/>
          <w:sz w:val="14"/>
          <w:szCs w:val="14"/>
          <w:rtl/>
        </w:rPr>
        <w:t xml:space="preserve">(לאוין סה, יט ע"ג) </w:t>
      </w:r>
      <w:r>
        <w:rPr>
          <w:rFonts w:asciiTheme="minorBidi" w:hAnsiTheme="minorBidi" w:cs="Arial"/>
          <w:sz w:val="16"/>
          <w:szCs w:val="16"/>
          <w:rtl/>
        </w:rPr>
        <w:t>רשב"א</w:t>
      </w:r>
      <w:r>
        <w:rPr>
          <w:rFonts w:asciiTheme="minorBidi" w:hAnsiTheme="minorBidi" w:cs="Arial"/>
          <w:sz w:val="14"/>
          <w:szCs w:val="14"/>
          <w:rtl/>
        </w:rPr>
        <w:t xml:space="preserve"> (ח"א סי' תתעה)</w:t>
      </w:r>
      <w:r>
        <w:rPr>
          <w:rFonts w:asciiTheme="minorBidi" w:hAnsiTheme="minorBidi" w:cs="Arial"/>
          <w:sz w:val="16"/>
          <w:szCs w:val="16"/>
          <w:rtl/>
        </w:rPr>
        <w:t xml:space="preserve"> מרדכי </w:t>
      </w:r>
      <w:r>
        <w:rPr>
          <w:rFonts w:asciiTheme="minorBidi" w:hAnsiTheme="minorBidi" w:cs="Arial"/>
          <w:sz w:val="14"/>
          <w:szCs w:val="14"/>
          <w:rtl/>
        </w:rPr>
        <w:t xml:space="preserve">(שבת סי' רמט) </w:t>
      </w:r>
      <w:r>
        <w:rPr>
          <w:rFonts w:asciiTheme="minorBidi" w:hAnsiTheme="minorBidi" w:cs="Arial"/>
          <w:sz w:val="16"/>
          <w:szCs w:val="16"/>
          <w:rtl/>
        </w:rPr>
        <w:t xml:space="preserve">רא"ש </w:t>
      </w:r>
      <w:r>
        <w:rPr>
          <w:rFonts w:asciiTheme="minorBidi" w:hAnsiTheme="minorBidi" w:cs="Arial"/>
          <w:sz w:val="14"/>
          <w:szCs w:val="14"/>
          <w:rtl/>
        </w:rPr>
        <w:t xml:space="preserve">(פ"ק דשבת סי' לו, וברמזים [ב"מ שם]) </w:t>
      </w:r>
      <w:r>
        <w:rPr>
          <w:rFonts w:asciiTheme="minorBidi" w:hAnsiTheme="minorBidi" w:cs="Arial"/>
          <w:sz w:val="16"/>
          <w:szCs w:val="16"/>
          <w:rtl/>
        </w:rPr>
        <w:t xml:space="preserve">ור"ן </w:t>
      </w:r>
      <w:r>
        <w:rPr>
          <w:rFonts w:asciiTheme="minorBidi" w:hAnsiTheme="minorBidi" w:cs="Arial"/>
          <w:sz w:val="14"/>
          <w:szCs w:val="14"/>
          <w:rtl/>
        </w:rPr>
        <w:t>(שבת סד: ד"ה תנו)</w:t>
      </w:r>
      <w:r>
        <w:rPr>
          <w:rFonts w:asciiTheme="minorBidi" w:hAnsiTheme="minorBidi" w:cs="Arial"/>
          <w:sz w:val="16"/>
          <w:szCs w:val="16"/>
          <w:rtl/>
        </w:rPr>
        <w:t>. וכ' הה"מ שכן דעת המפרשים ז"ל. וכ' הרמב"ם שם שאין לומר לגוי קודם השבת לעשות מלאכה בשבת אע"פ שאין הישראל צריך לאותה מלאכה אלא לאחר השבת.</w:t>
      </w:r>
      <w:r>
        <w:rPr>
          <w:rFonts w:asciiTheme="minorBidi" w:hAnsiTheme="minorBidi" w:cs="Arial"/>
          <w:color w:val="E36C0A" w:themeColor="accent6" w:themeShade="BF"/>
          <w:sz w:val="16"/>
          <w:szCs w:val="16"/>
          <w:rtl/>
        </w:rPr>
        <w:t xml:space="preserve"> וכ"פ בשו"ע</w:t>
      </w:r>
      <w:r>
        <w:rPr>
          <w:rFonts w:asciiTheme="minorBidi" w:hAnsiTheme="minorBidi" w:cs="Arial"/>
          <w:sz w:val="16"/>
          <w:szCs w:val="16"/>
          <w:rtl/>
        </w:rPr>
        <w:t>)</w:t>
      </w:r>
    </w:p>
    <w:p w14:paraId="26F275BF" w14:textId="77777777" w:rsidR="004B2E7C" w:rsidRDefault="004B2E7C" w:rsidP="00434A6A">
      <w:pPr>
        <w:rPr>
          <w:rFonts w:asciiTheme="minorBidi" w:hAnsiTheme="minorBidi" w:cs="Arial"/>
          <w:u w:val="single"/>
          <w:rtl/>
        </w:rPr>
      </w:pPr>
      <w:r>
        <w:rPr>
          <w:rFonts w:asciiTheme="minorBidi" w:hAnsiTheme="minorBidi" w:cs="Arial"/>
          <w:u w:val="single"/>
          <w:rtl/>
        </w:rPr>
        <w:t xml:space="preserve">מהו לומר לגוי לאחר השבת "מדוע לא עשית דבר פלוני" </w:t>
      </w:r>
      <w:r>
        <w:rPr>
          <w:rFonts w:asciiTheme="minorBidi" w:hAnsiTheme="minorBidi" w:cs="Arial"/>
          <w:sz w:val="16"/>
          <w:szCs w:val="16"/>
          <w:u w:val="single"/>
          <w:rtl/>
        </w:rPr>
        <w:t>(כדי שיבין מעצמו שלשבת הבאה יעשה כן)</w:t>
      </w:r>
      <w:r>
        <w:rPr>
          <w:rFonts w:asciiTheme="minorBidi" w:hAnsiTheme="minorBidi" w:cs="Arial"/>
          <w:u w:val="single"/>
          <w:rtl/>
        </w:rPr>
        <w:t>:</w:t>
      </w:r>
    </w:p>
    <w:p w14:paraId="3E9BEB77" w14:textId="77777777" w:rsidR="004B2E7C" w:rsidRDefault="004B2E7C" w:rsidP="00FF2D21">
      <w:pPr>
        <w:pStyle w:val="aa"/>
        <w:numPr>
          <w:ilvl w:val="0"/>
          <w:numId w:val="134"/>
        </w:numPr>
        <w:rPr>
          <w:rFonts w:asciiTheme="minorBidi" w:hAnsiTheme="minorBidi"/>
          <w:rtl/>
        </w:rPr>
      </w:pPr>
      <w:r>
        <w:rPr>
          <w:rFonts w:asciiTheme="minorBidi" w:hAnsiTheme="minorBidi" w:cs="Arial"/>
          <w:rtl/>
        </w:rPr>
        <w:t xml:space="preserve">סה"ת </w:t>
      </w:r>
      <w:r>
        <w:rPr>
          <w:rFonts w:asciiTheme="minorBidi" w:hAnsiTheme="minorBidi" w:cs="Arial"/>
          <w:sz w:val="16"/>
          <w:szCs w:val="16"/>
          <w:rtl/>
        </w:rPr>
        <w:t xml:space="preserve">(כ"כ הטור בשמו) </w:t>
      </w:r>
      <w:r>
        <w:rPr>
          <w:rFonts w:asciiTheme="minorBidi" w:hAnsiTheme="minorBidi" w:cs="Arial"/>
          <w:rtl/>
        </w:rPr>
        <w:t xml:space="preserve">סמ"ג </w:t>
      </w:r>
      <w:r>
        <w:rPr>
          <w:rFonts w:asciiTheme="minorBidi" w:hAnsiTheme="minorBidi" w:cs="Arial"/>
          <w:sz w:val="16"/>
          <w:szCs w:val="16"/>
          <w:rtl/>
        </w:rPr>
        <w:t>(לאוין סה, יט ע"ג)</w:t>
      </w:r>
      <w:r>
        <w:rPr>
          <w:rFonts w:asciiTheme="minorBidi" w:hAnsiTheme="minorBidi" w:cs="Arial"/>
          <w:sz w:val="14"/>
          <w:szCs w:val="14"/>
          <w:rtl/>
        </w:rPr>
        <w:t xml:space="preserve"> </w:t>
      </w:r>
      <w:r>
        <w:rPr>
          <w:rFonts w:asciiTheme="minorBidi" w:hAnsiTheme="minorBidi" w:cs="Arial"/>
          <w:rtl/>
        </w:rPr>
        <w:t xml:space="preserve">וסמ"ק </w:t>
      </w:r>
      <w:r>
        <w:rPr>
          <w:rFonts w:asciiTheme="minorBidi" w:hAnsiTheme="minorBidi" w:cs="Arial"/>
          <w:sz w:val="16"/>
          <w:szCs w:val="16"/>
          <w:rtl/>
        </w:rPr>
        <w:t xml:space="preserve">(סי' רפב) </w:t>
      </w:r>
      <w:r>
        <w:rPr>
          <w:rFonts w:asciiTheme="minorBidi" w:hAnsiTheme="minorBidi" w:cs="Arial"/>
          <w:rtl/>
        </w:rPr>
        <w:t xml:space="preserve">והגה"מ </w:t>
      </w:r>
      <w:r>
        <w:rPr>
          <w:rFonts w:asciiTheme="minorBidi" w:hAnsiTheme="minorBidi" w:cs="Arial"/>
          <w:sz w:val="16"/>
          <w:szCs w:val="16"/>
          <w:rtl/>
        </w:rPr>
        <w:t>(פ"ו אות א)</w:t>
      </w:r>
      <w:r>
        <w:rPr>
          <w:rFonts w:asciiTheme="minorBidi" w:hAnsiTheme="minorBidi" w:cs="Arial"/>
          <w:rtl/>
        </w:rPr>
        <w:t xml:space="preserve">- </w:t>
      </w:r>
      <w:r>
        <w:rPr>
          <w:rFonts w:asciiTheme="minorBidi" w:hAnsiTheme="minorBidi"/>
          <w:rtl/>
        </w:rPr>
        <w:t>מותר לומר לו אחר השבת למה לא עשית דבר פלוני בשבת שעברה ואע"פ שמבין מתוך דבריו שרצונו שיעשנו בשבת הבאה</w:t>
      </w:r>
      <w:r>
        <w:rPr>
          <w:rFonts w:asciiTheme="minorBidi" w:hAnsiTheme="minorBidi" w:cs="Arial"/>
          <w:rtl/>
        </w:rPr>
        <w:t>.</w:t>
      </w:r>
      <w:r>
        <w:rPr>
          <w:rFonts w:asciiTheme="minorBidi" w:hAnsiTheme="minorBidi"/>
          <w:color w:val="E36C0A" w:themeColor="accent6" w:themeShade="BF"/>
          <w:rtl/>
        </w:rPr>
        <w:t xml:space="preserve"> (וכ"פ בשו"ע)</w:t>
      </w:r>
    </w:p>
    <w:p w14:paraId="7EA50E37" w14:textId="77777777" w:rsidR="004B2E7C" w:rsidRDefault="004B2E7C" w:rsidP="00FF2D21">
      <w:pPr>
        <w:pStyle w:val="aa"/>
        <w:numPr>
          <w:ilvl w:val="0"/>
          <w:numId w:val="134"/>
        </w:numPr>
        <w:rPr>
          <w:rFonts w:asciiTheme="minorBidi" w:hAnsiTheme="minorBidi"/>
          <w:rtl/>
        </w:rPr>
      </w:pPr>
      <w:r>
        <w:rPr>
          <w:rFonts w:asciiTheme="minorBidi" w:hAnsiTheme="minorBidi"/>
          <w:rtl/>
        </w:rPr>
        <w:t>טור- מסתברא קצת לאיסור.</w:t>
      </w:r>
    </w:p>
    <w:p w14:paraId="1D1F59F4"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56CAB6C9" w14:textId="77777777" w:rsidR="004B2E7C" w:rsidRDefault="004B2E7C" w:rsidP="00434A6A">
      <w:pPr>
        <w:rPr>
          <w:rFonts w:asciiTheme="minorBidi" w:hAnsiTheme="minorBidi"/>
          <w:rtl/>
        </w:rPr>
      </w:pPr>
      <w:r>
        <w:rPr>
          <w:rFonts w:asciiTheme="minorBidi" w:hAnsiTheme="minorBidi"/>
          <w:rtl/>
        </w:rPr>
        <w:t>אסור לשכור פועלים ולא לומר לגוי לשכור לו פועלים בשבת</w:t>
      </w:r>
      <w:r>
        <w:rPr>
          <w:rStyle w:val="a9"/>
          <w:rFonts w:asciiTheme="minorBidi" w:hAnsiTheme="minorBidi"/>
          <w:rtl/>
        </w:rPr>
        <w:footnoteReference w:id="1186"/>
      </w:r>
      <w:r>
        <w:rPr>
          <w:rFonts w:asciiTheme="minorBidi" w:hAnsiTheme="minorBidi"/>
          <w:rtl/>
        </w:rPr>
        <w:t>, אף על פי שאין הישראל צריך לאותה מלאכה אלא לאחר השבת, שכל מה שהוא אסור לעשותו אסור לומר לגוי לעשותו, ואפילו לומר לו קודם השבת לעשותו בשבת אסור, אבל מותר לומר לו אחר השבת למה לא עשית דבר פלוני בשבת שעבר, אף על פי שמבין מתוך דבריו שרצונו שיעשנה בשבת הבאה</w:t>
      </w:r>
      <w:r>
        <w:rPr>
          <w:rStyle w:val="a9"/>
          <w:rFonts w:asciiTheme="minorBidi" w:hAnsiTheme="minorBidi"/>
          <w:rtl/>
        </w:rPr>
        <w:footnoteReference w:id="1187"/>
      </w:r>
      <w:r>
        <w:rPr>
          <w:rFonts w:asciiTheme="minorBidi" w:hAnsiTheme="minorBidi"/>
          <w:rtl/>
        </w:rPr>
        <w:t xml:space="preserve">. </w:t>
      </w:r>
    </w:p>
    <w:p w14:paraId="39D3325C" w14:textId="77777777" w:rsidR="004B2E7C" w:rsidRDefault="004B2E7C" w:rsidP="00434A6A">
      <w:pPr>
        <w:rPr>
          <w:rFonts w:asciiTheme="minorBidi" w:hAnsiTheme="minorBidi"/>
          <w:rtl/>
        </w:rPr>
      </w:pPr>
    </w:p>
    <w:p w14:paraId="763FB821" w14:textId="77777777" w:rsidR="004B2E7C" w:rsidRDefault="004B2E7C" w:rsidP="00434A6A">
      <w:pPr>
        <w:pStyle w:val="2"/>
        <w:rPr>
          <w:rFonts w:asciiTheme="minorBidi" w:hAnsiTheme="minorBidi" w:cstheme="minorBidi"/>
          <w:rtl/>
        </w:rPr>
      </w:pPr>
      <w:r>
        <w:rPr>
          <w:rFonts w:asciiTheme="minorBidi" w:hAnsiTheme="minorBidi" w:cstheme="minorBidi"/>
          <w:rtl/>
        </w:rPr>
        <w:t>סעיף ג: נתינת מעות לגוי על מנת שיקנה לו בשבת.</w:t>
      </w:r>
    </w:p>
    <w:p w14:paraId="0587B97C" w14:textId="77777777" w:rsidR="004B2E7C" w:rsidRDefault="004B2E7C" w:rsidP="00434A6A">
      <w:pPr>
        <w:rPr>
          <w:rFonts w:cs="Arial"/>
          <w:u w:val="single"/>
          <w:rtl/>
        </w:rPr>
      </w:pPr>
      <w:r>
        <w:rPr>
          <w:rFonts w:cs="Arial"/>
          <w:u w:val="single"/>
          <w:rtl/>
        </w:rPr>
        <w:t>נתינת מעות לגוי ע"מ שיקנה לו בשבת:</w:t>
      </w:r>
    </w:p>
    <w:p w14:paraId="42E38850" w14:textId="77777777" w:rsidR="004B2E7C" w:rsidRDefault="004B2E7C" w:rsidP="00FF2D21">
      <w:pPr>
        <w:pStyle w:val="aa"/>
        <w:numPr>
          <w:ilvl w:val="0"/>
          <w:numId w:val="135"/>
        </w:numPr>
        <w:rPr>
          <w:rFonts w:cs="Arial"/>
          <w:rtl/>
        </w:rPr>
      </w:pPr>
      <w:r>
        <w:rPr>
          <w:rFonts w:cs="Arial"/>
          <w:rtl/>
        </w:rPr>
        <w:t xml:space="preserve">רא"ש </w:t>
      </w:r>
      <w:r>
        <w:rPr>
          <w:rFonts w:cs="Arial"/>
          <w:sz w:val="16"/>
          <w:szCs w:val="16"/>
          <w:rtl/>
        </w:rPr>
        <w:t xml:space="preserve">(ב"מ פ"ז סי' ו) </w:t>
      </w:r>
      <w:r>
        <w:rPr>
          <w:rFonts w:cs="Arial"/>
          <w:rtl/>
        </w:rPr>
        <w:t xml:space="preserve">בשם רב סעדיה ורי"ו </w:t>
      </w:r>
      <w:r>
        <w:rPr>
          <w:rFonts w:cs="Arial"/>
          <w:sz w:val="16"/>
          <w:szCs w:val="16"/>
          <w:rtl/>
        </w:rPr>
        <w:t>(חי"ב ני"ב פג ע"ב)</w:t>
      </w:r>
      <w:r>
        <w:rPr>
          <w:rFonts w:cs="Arial"/>
          <w:rtl/>
        </w:rPr>
        <w:t xml:space="preserve">- אסור לומר לגוי מערב שבת הילך מעות וקנה לי כך וכך בשבת. </w:t>
      </w:r>
      <w:r>
        <w:rPr>
          <w:rFonts w:asciiTheme="minorBidi" w:hAnsiTheme="minorBidi"/>
          <w:color w:val="E36C0A" w:themeColor="accent6" w:themeShade="BF"/>
          <w:rtl/>
        </w:rPr>
        <w:t>(וכ"פ בשו"ע)</w:t>
      </w:r>
    </w:p>
    <w:p w14:paraId="2DF13CBB" w14:textId="77777777" w:rsidR="004B2E7C" w:rsidRDefault="004B2E7C" w:rsidP="00434A6A">
      <w:pPr>
        <w:ind w:left="360"/>
        <w:rPr>
          <w:rFonts w:cs="Arial"/>
          <w:u w:val="dotted"/>
        </w:rPr>
      </w:pPr>
      <w:r>
        <w:rPr>
          <w:rFonts w:cs="Arial"/>
          <w:u w:val="dotted"/>
          <w:rtl/>
        </w:rPr>
        <w:t>האם יכול ליתן מעות לגוי ולומר לו "קנה לעצמך ואם אצטרך אקנה ממך לאחר שבת":</w:t>
      </w:r>
    </w:p>
    <w:p w14:paraId="1AB39958" w14:textId="77777777" w:rsidR="004B2E7C" w:rsidRDefault="004B2E7C" w:rsidP="00FF2D21">
      <w:pPr>
        <w:pStyle w:val="aa"/>
        <w:numPr>
          <w:ilvl w:val="0"/>
          <w:numId w:val="135"/>
        </w:numPr>
        <w:rPr>
          <w:rtl/>
        </w:rPr>
      </w:pPr>
      <w:r>
        <w:rPr>
          <w:rFonts w:cs="Arial"/>
          <w:rtl/>
        </w:rPr>
        <w:t xml:space="preserve">הגמ"ר </w:t>
      </w:r>
      <w:r>
        <w:rPr>
          <w:rFonts w:cs="Arial"/>
          <w:sz w:val="16"/>
          <w:szCs w:val="16"/>
          <w:rtl/>
        </w:rPr>
        <w:t>(שבת פ"ק סי' תנב)</w:t>
      </w:r>
      <w:r>
        <w:rPr>
          <w:rFonts w:cs="Arial"/>
          <w:rtl/>
        </w:rPr>
        <w:t>- מכאן אסר ר"ש ב"ר ברוך ליתן לגוי מעות מערב שבת לקנות לו בשבת אבל יכול לומר לו קנה לעצמך ואם אצטרך אקנה ממך לאחר שבת</w:t>
      </w:r>
      <w:r>
        <w:rPr>
          <w:rStyle w:val="a9"/>
          <w:rFonts w:cs="Arial"/>
          <w:rtl/>
        </w:rPr>
        <w:footnoteReference w:id="1188"/>
      </w:r>
      <w:r>
        <w:rPr>
          <w:rFonts w:cs="Arial"/>
          <w:sz w:val="16"/>
          <w:szCs w:val="16"/>
          <w:rtl/>
        </w:rPr>
        <w:t xml:space="preserve"> (ל' הגמ"ר)</w:t>
      </w:r>
      <w:r>
        <w:rPr>
          <w:rFonts w:cs="Arial"/>
          <w:rtl/>
        </w:rPr>
        <w:t xml:space="preserve">. </w:t>
      </w:r>
      <w:r>
        <w:rPr>
          <w:rFonts w:asciiTheme="minorBidi" w:hAnsiTheme="minorBidi"/>
          <w:color w:val="E36C0A" w:themeColor="accent6" w:themeShade="BF"/>
          <w:rtl/>
        </w:rPr>
        <w:t>(וכ"פ בשו"ע)</w:t>
      </w:r>
    </w:p>
    <w:p w14:paraId="770E7C6A"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01C7D83C" w14:textId="77777777" w:rsidR="004B2E7C" w:rsidRDefault="004B2E7C" w:rsidP="00434A6A">
      <w:pPr>
        <w:rPr>
          <w:rFonts w:asciiTheme="minorBidi" w:hAnsiTheme="minorBidi"/>
          <w:rtl/>
        </w:rPr>
      </w:pPr>
      <w:r>
        <w:rPr>
          <w:rFonts w:asciiTheme="minorBidi" w:hAnsiTheme="minorBidi"/>
          <w:rtl/>
        </w:rPr>
        <w:t>אסור ליתן לגוי מעות מערב שבת לקנות</w:t>
      </w:r>
      <w:r>
        <w:rPr>
          <w:rStyle w:val="a9"/>
          <w:rFonts w:asciiTheme="minorBidi" w:hAnsiTheme="minorBidi"/>
          <w:rtl/>
        </w:rPr>
        <w:footnoteReference w:id="1189"/>
      </w:r>
      <w:r>
        <w:rPr>
          <w:rFonts w:asciiTheme="minorBidi" w:hAnsiTheme="minorBidi"/>
          <w:rtl/>
        </w:rPr>
        <w:t xml:space="preserve"> לו בשבת</w:t>
      </w:r>
      <w:r>
        <w:rPr>
          <w:rStyle w:val="a9"/>
          <w:rFonts w:asciiTheme="minorBidi" w:hAnsiTheme="minorBidi"/>
          <w:rtl/>
        </w:rPr>
        <w:footnoteReference w:id="1190"/>
      </w:r>
      <w:r>
        <w:rPr>
          <w:rFonts w:asciiTheme="minorBidi" w:hAnsiTheme="minorBidi"/>
          <w:rtl/>
        </w:rPr>
        <w:t>, אבל יכול לומר לו קנה לעצמך ואם אצטרך</w:t>
      </w:r>
      <w:r>
        <w:rPr>
          <w:rStyle w:val="a9"/>
          <w:rFonts w:asciiTheme="minorBidi" w:hAnsiTheme="minorBidi"/>
          <w:rtl/>
        </w:rPr>
        <w:footnoteReference w:id="1191"/>
      </w:r>
      <w:r>
        <w:rPr>
          <w:rFonts w:asciiTheme="minorBidi" w:hAnsiTheme="minorBidi"/>
          <w:rtl/>
        </w:rPr>
        <w:t xml:space="preserve"> אקנה ממך לאחר השבת. </w:t>
      </w:r>
    </w:p>
    <w:p w14:paraId="6ABF34A9" w14:textId="77777777" w:rsidR="004B2E7C" w:rsidRDefault="004B2E7C" w:rsidP="00434A6A">
      <w:pPr>
        <w:rPr>
          <w:rFonts w:asciiTheme="minorBidi" w:hAnsiTheme="minorBidi"/>
          <w:rtl/>
        </w:rPr>
      </w:pPr>
    </w:p>
    <w:p w14:paraId="44542072" w14:textId="77777777" w:rsidR="004B2E7C" w:rsidRDefault="004B2E7C" w:rsidP="00434A6A">
      <w:pPr>
        <w:pStyle w:val="2"/>
        <w:rPr>
          <w:rFonts w:asciiTheme="minorBidi" w:hAnsiTheme="minorBidi" w:cstheme="minorBidi"/>
          <w:rtl/>
        </w:rPr>
      </w:pPr>
      <w:r>
        <w:rPr>
          <w:rFonts w:asciiTheme="minorBidi" w:hAnsiTheme="minorBidi" w:cstheme="minorBidi"/>
          <w:rtl/>
        </w:rPr>
        <w:t>סעיף ד: נתינת מעות לגוי בער"ש על מנת שיקנה לו דבר מה.</w:t>
      </w:r>
    </w:p>
    <w:p w14:paraId="6A6D9937" w14:textId="77777777" w:rsidR="004B2E7C" w:rsidRDefault="004B2E7C" w:rsidP="00434A6A">
      <w:pPr>
        <w:rPr>
          <w:rFonts w:cs="Arial"/>
          <w:u w:val="single"/>
          <w:rtl/>
        </w:rPr>
      </w:pPr>
      <w:r>
        <w:rPr>
          <w:rFonts w:asciiTheme="minorBidi" w:hAnsiTheme="minorBidi"/>
          <w:u w:val="single"/>
          <w:rtl/>
        </w:rPr>
        <w:t>נתינת מעות לגוי בער"ש על מנת שיקנה לו דבר מה</w:t>
      </w:r>
      <w:r>
        <w:rPr>
          <w:rFonts w:cs="Arial"/>
          <w:u w:val="single"/>
          <w:rtl/>
        </w:rPr>
        <w:t>:</w:t>
      </w:r>
    </w:p>
    <w:p w14:paraId="099BD117" w14:textId="77777777" w:rsidR="004B2E7C" w:rsidRDefault="004B2E7C" w:rsidP="00FF2D21">
      <w:pPr>
        <w:pStyle w:val="aa"/>
        <w:numPr>
          <w:ilvl w:val="0"/>
          <w:numId w:val="135"/>
        </w:numPr>
        <w:rPr>
          <w:rFonts w:cs="Arial"/>
          <w:rtl/>
        </w:rPr>
      </w:pPr>
      <w:r>
        <w:rPr>
          <w:rFonts w:cs="Arial"/>
          <w:rtl/>
        </w:rPr>
        <w:t>סמ"ג</w:t>
      </w:r>
      <w:r>
        <w:rPr>
          <w:rFonts w:cs="Arial"/>
          <w:sz w:val="16"/>
          <w:szCs w:val="16"/>
          <w:rtl/>
        </w:rPr>
        <w:t xml:space="preserve"> (כ"כ המרדכי בשמו </w:t>
      </w:r>
      <w:r>
        <w:rPr>
          <w:rFonts w:cs="Arial"/>
          <w:sz w:val="14"/>
          <w:szCs w:val="14"/>
          <w:rtl/>
        </w:rPr>
        <w:t>[פ"ק דשבת סי' רמט]</w:t>
      </w:r>
      <w:r>
        <w:rPr>
          <w:rFonts w:cs="Arial"/>
          <w:sz w:val="16"/>
          <w:szCs w:val="16"/>
          <w:rtl/>
        </w:rPr>
        <w:t>)</w:t>
      </w:r>
      <w:r>
        <w:rPr>
          <w:rFonts w:cs="Arial"/>
          <w:rtl/>
        </w:rPr>
        <w:t xml:space="preserve">- מותר לתת לגוי מעות מערב שבת לקנות מה שירצה ובלבד שלא יאמר לו קנה בשבת או למסור לו בגדים למכור ובלבד שלא יאמר לו מכור בשבת אלא מכור וקנה לי לכשתחפוץ. </w:t>
      </w:r>
      <w:r>
        <w:rPr>
          <w:rFonts w:asciiTheme="minorBidi" w:hAnsiTheme="minorBidi"/>
          <w:color w:val="E36C0A" w:themeColor="accent6" w:themeShade="BF"/>
          <w:rtl/>
        </w:rPr>
        <w:t>(וכ"פ בשו"ע)</w:t>
      </w:r>
      <w:r>
        <w:rPr>
          <w:rFonts w:cs="Arial"/>
          <w:color w:val="00B0F0"/>
          <w:rtl/>
        </w:rPr>
        <w:t xml:space="preserve"> </w:t>
      </w:r>
      <w:r>
        <w:rPr>
          <w:rFonts w:asciiTheme="minorBidi" w:hAnsiTheme="minorBidi"/>
          <w:color w:val="00B0F0"/>
          <w:rtl/>
        </w:rPr>
        <w:t>(וכ"פ הרמ"א)</w:t>
      </w:r>
    </w:p>
    <w:p w14:paraId="39B1075E" w14:textId="77777777" w:rsidR="004B2E7C" w:rsidRDefault="004B2E7C" w:rsidP="00FF2D21">
      <w:pPr>
        <w:pStyle w:val="aa"/>
        <w:numPr>
          <w:ilvl w:val="0"/>
          <w:numId w:val="135"/>
        </w:numPr>
      </w:pPr>
      <w:r>
        <w:rPr>
          <w:rFonts w:cs="Arial"/>
          <w:rtl/>
        </w:rPr>
        <w:t xml:space="preserve">סמ"ק </w:t>
      </w:r>
      <w:r>
        <w:rPr>
          <w:rFonts w:cs="Arial"/>
          <w:sz w:val="16"/>
          <w:szCs w:val="16"/>
          <w:rtl/>
        </w:rPr>
        <w:t>(סי' רפב עמ' שב)</w:t>
      </w:r>
      <w:r>
        <w:rPr>
          <w:rFonts w:cs="Arial"/>
          <w:rtl/>
        </w:rPr>
        <w:t>- אין משלחין איגרות ביד גוי בערב שבת אם יודע שנושאו בשבת אבל אם קצץ לו דמים מותר</w:t>
      </w:r>
      <w:r>
        <w:rPr>
          <w:rStyle w:val="a9"/>
          <w:rFonts w:cs="Arial"/>
          <w:rtl/>
        </w:rPr>
        <w:footnoteReference w:id="1192"/>
      </w:r>
      <w:r>
        <w:rPr>
          <w:rFonts w:cs="Arial"/>
          <w:sz w:val="16"/>
          <w:szCs w:val="16"/>
          <w:rtl/>
        </w:rPr>
        <w:t>(שבת יט.)</w:t>
      </w:r>
      <w:r>
        <w:rPr>
          <w:rFonts w:cs="Arial"/>
          <w:rtl/>
        </w:rPr>
        <w:t>, וכן הדין בנותנים לגוי מלבושים למכור</w:t>
      </w:r>
      <w:r>
        <w:rPr>
          <w:rFonts w:cs="Arial"/>
          <w:sz w:val="16"/>
          <w:szCs w:val="16"/>
          <w:rtl/>
        </w:rPr>
        <w:t xml:space="preserve"> (ל' הסמ"ק)</w:t>
      </w:r>
      <w:r>
        <w:rPr>
          <w:rStyle w:val="a9"/>
          <w:rFonts w:cs="Arial"/>
          <w:rtl/>
        </w:rPr>
        <w:footnoteReference w:id="1193"/>
      </w:r>
      <w:r>
        <w:rPr>
          <w:rFonts w:cs="Arial"/>
          <w:rtl/>
        </w:rPr>
        <w:t>.</w:t>
      </w:r>
      <w:r>
        <w:rPr>
          <w:rtl/>
        </w:rPr>
        <w:t xml:space="preserve"> </w:t>
      </w:r>
      <w:r>
        <w:rPr>
          <w:rFonts w:asciiTheme="minorBidi" w:hAnsiTheme="minorBidi"/>
          <w:color w:val="E36C0A" w:themeColor="accent6" w:themeShade="BF"/>
          <w:rtl/>
        </w:rPr>
        <w:t>(וכ"פ בשו"ע</w:t>
      </w:r>
      <w:r>
        <w:rPr>
          <w:rFonts w:asciiTheme="minorBidi" w:hAnsiTheme="minorBidi"/>
          <w:color w:val="E36C0A" w:themeColor="accent6" w:themeShade="BF"/>
          <w:sz w:val="16"/>
          <w:szCs w:val="16"/>
          <w:rtl/>
        </w:rPr>
        <w:t xml:space="preserve"> </w:t>
      </w:r>
      <w:r>
        <w:rPr>
          <w:rFonts w:asciiTheme="minorBidi" w:hAnsiTheme="minorBidi"/>
          <w:sz w:val="16"/>
          <w:szCs w:val="16"/>
          <w:rtl/>
        </w:rPr>
        <w:t>[סי' רמה ס"ה]</w:t>
      </w:r>
      <w:r>
        <w:rPr>
          <w:rFonts w:asciiTheme="minorBidi" w:hAnsiTheme="minorBidi"/>
          <w:color w:val="E36C0A" w:themeColor="accent6" w:themeShade="BF"/>
          <w:rtl/>
        </w:rPr>
        <w:t>)</w:t>
      </w:r>
    </w:p>
    <w:p w14:paraId="57747AD6"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A994DD8" w14:textId="77777777" w:rsidR="004B2E7C" w:rsidRDefault="004B2E7C" w:rsidP="00434A6A">
      <w:pPr>
        <w:rPr>
          <w:rFonts w:asciiTheme="minorBidi" w:hAnsiTheme="minorBidi"/>
          <w:rtl/>
        </w:rPr>
      </w:pPr>
      <w:r>
        <w:rPr>
          <w:rFonts w:asciiTheme="minorBidi" w:hAnsiTheme="minorBidi"/>
          <w:rtl/>
        </w:rPr>
        <w:t>מותר לתת לגוי מעות מערב שבת לקנות לו, ובלבד שלא יאמר לו קנה בשבת</w:t>
      </w:r>
      <w:r>
        <w:rPr>
          <w:rStyle w:val="a9"/>
          <w:rFonts w:asciiTheme="minorBidi" w:hAnsiTheme="minorBidi"/>
          <w:rtl/>
        </w:rPr>
        <w:footnoteReference w:id="1194"/>
      </w:r>
      <w:r>
        <w:rPr>
          <w:rFonts w:asciiTheme="minorBidi" w:hAnsiTheme="minorBidi"/>
          <w:rtl/>
        </w:rPr>
        <w:t xml:space="preserve">. </w:t>
      </w:r>
      <w:r>
        <w:rPr>
          <w:rFonts w:asciiTheme="minorBidi" w:hAnsiTheme="minorBidi"/>
          <w:sz w:val="18"/>
          <w:szCs w:val="18"/>
          <w:rtl/>
        </w:rPr>
        <w:t xml:space="preserve">הגה: וכן מותר ליתן לו בגדים למכור, ובלבד שלא יאמר לו למכרן בשבת </w:t>
      </w:r>
      <w:r>
        <w:rPr>
          <w:rFonts w:asciiTheme="minorBidi" w:hAnsiTheme="minorBidi"/>
          <w:sz w:val="16"/>
          <w:szCs w:val="16"/>
          <w:rtl/>
        </w:rPr>
        <w:t>(סמ"ג)</w:t>
      </w:r>
      <w:r>
        <w:rPr>
          <w:rFonts w:asciiTheme="minorBidi" w:hAnsiTheme="minorBidi"/>
          <w:sz w:val="18"/>
          <w:szCs w:val="18"/>
          <w:rtl/>
        </w:rPr>
        <w:t>. מי ששכר גוי להוליך סחורתו, ובא הגוי ולקחה מבית ישראל בשבת, אסור</w:t>
      </w:r>
      <w:r>
        <w:rPr>
          <w:rStyle w:val="a9"/>
          <w:rFonts w:asciiTheme="minorBidi" w:hAnsiTheme="minorBidi"/>
          <w:sz w:val="18"/>
          <w:szCs w:val="18"/>
          <w:rtl/>
        </w:rPr>
        <w:footnoteReference w:id="1195"/>
      </w:r>
      <w:r>
        <w:rPr>
          <w:rFonts w:asciiTheme="minorBidi" w:hAnsiTheme="minorBidi"/>
          <w:sz w:val="18"/>
          <w:szCs w:val="18"/>
          <w:rtl/>
        </w:rPr>
        <w:t>, והיו עונשין העושה</w:t>
      </w:r>
      <w:r>
        <w:rPr>
          <w:rStyle w:val="a9"/>
          <w:rFonts w:asciiTheme="minorBidi" w:hAnsiTheme="minorBidi"/>
          <w:sz w:val="18"/>
          <w:szCs w:val="18"/>
          <w:rtl/>
        </w:rPr>
        <w:footnoteReference w:id="1196"/>
      </w:r>
      <w:r>
        <w:rPr>
          <w:rFonts w:asciiTheme="minorBidi" w:hAnsiTheme="minorBidi"/>
          <w:sz w:val="18"/>
          <w:szCs w:val="18"/>
          <w:rtl/>
        </w:rPr>
        <w:t xml:space="preserve"> </w:t>
      </w:r>
      <w:r>
        <w:rPr>
          <w:rFonts w:asciiTheme="minorBidi" w:hAnsiTheme="minorBidi"/>
          <w:sz w:val="16"/>
          <w:szCs w:val="16"/>
          <w:rtl/>
        </w:rPr>
        <w:t>(רי"ו חי"ב)</w:t>
      </w:r>
      <w:r>
        <w:rPr>
          <w:rFonts w:asciiTheme="minorBidi" w:hAnsiTheme="minorBidi"/>
          <w:sz w:val="18"/>
          <w:szCs w:val="18"/>
          <w:rtl/>
        </w:rPr>
        <w:t>.</w:t>
      </w:r>
      <w:r>
        <w:rPr>
          <w:rFonts w:asciiTheme="minorBidi" w:hAnsiTheme="minorBidi"/>
          <w:rtl/>
        </w:rPr>
        <w:t xml:space="preserve"> </w:t>
      </w:r>
    </w:p>
    <w:p w14:paraId="564C12BC" w14:textId="77777777" w:rsidR="004B2E7C" w:rsidRDefault="004B2E7C" w:rsidP="00434A6A">
      <w:pPr>
        <w:rPr>
          <w:rFonts w:asciiTheme="minorBidi" w:hAnsiTheme="minorBidi" w:cs="Arial"/>
          <w:u w:val="single"/>
          <w:rtl/>
        </w:rPr>
      </w:pPr>
      <w:r>
        <w:rPr>
          <w:rFonts w:asciiTheme="minorBidi" w:hAnsiTheme="minorBidi" w:cs="Arial"/>
          <w:u w:val="single"/>
          <w:rtl/>
        </w:rPr>
        <w:t>הא דהתירו כשלא אמר לגוי לקנות בשבת – האם מותר לישראל להשתמש בשבת במה שבגוי קנה לו בשבת:</w:t>
      </w:r>
    </w:p>
    <w:p w14:paraId="3F77AA23" w14:textId="77777777" w:rsidR="004B2E7C" w:rsidRDefault="004B2E7C" w:rsidP="00FF2D21">
      <w:pPr>
        <w:pStyle w:val="aa"/>
        <w:numPr>
          <w:ilvl w:val="0"/>
          <w:numId w:val="136"/>
        </w:numPr>
        <w:rPr>
          <w:rFonts w:asciiTheme="minorBidi" w:hAnsiTheme="minorBidi"/>
          <w:rtl/>
        </w:rPr>
      </w:pPr>
      <w:r>
        <w:rPr>
          <w:rFonts w:asciiTheme="minorBidi" w:hAnsiTheme="minorBidi" w:cs="Arial"/>
          <w:rtl/>
        </w:rPr>
        <w:t xml:space="preserve">ט"ז </w:t>
      </w:r>
      <w:r>
        <w:rPr>
          <w:rFonts w:asciiTheme="minorBidi" w:hAnsiTheme="minorBidi" w:cs="Arial"/>
          <w:sz w:val="16"/>
          <w:szCs w:val="16"/>
          <w:rtl/>
        </w:rPr>
        <w:t>(סק"ג)</w:t>
      </w:r>
      <w:r>
        <w:rPr>
          <w:rFonts w:asciiTheme="minorBidi" w:hAnsiTheme="minorBidi" w:cs="Arial"/>
          <w:rtl/>
        </w:rPr>
        <w:t>- מה שהתירו אם לא זכר לו שיקנה בשבת מ"מ לא יהנה ישראל ממנו באותו שבת דעכ"פ עשה בשביל ישראל</w:t>
      </w:r>
      <w:r>
        <w:rPr>
          <w:rFonts w:asciiTheme="minorBidi" w:hAnsiTheme="minorBidi"/>
          <w:rtl/>
        </w:rPr>
        <w:t>.</w:t>
      </w:r>
    </w:p>
    <w:p w14:paraId="6CC6D382" w14:textId="77777777" w:rsidR="004B2E7C" w:rsidRDefault="004B2E7C" w:rsidP="00FF2D21">
      <w:pPr>
        <w:pStyle w:val="aa"/>
        <w:numPr>
          <w:ilvl w:val="0"/>
          <w:numId w:val="136"/>
        </w:numPr>
        <w:rPr>
          <w:rFonts w:asciiTheme="minorBidi" w:hAnsiTheme="minorBidi"/>
          <w:rtl/>
        </w:rPr>
      </w:pPr>
      <w:r>
        <w:rPr>
          <w:rFonts w:asciiTheme="minorBidi" w:hAnsiTheme="minorBidi" w:cs="Arial"/>
          <w:rtl/>
        </w:rPr>
        <w:t xml:space="preserve">א"ר ותו"ש </w:t>
      </w:r>
      <w:r>
        <w:rPr>
          <w:rFonts w:asciiTheme="minorBidi" w:hAnsiTheme="minorBidi" w:cs="Arial"/>
          <w:sz w:val="16"/>
          <w:szCs w:val="16"/>
          <w:rtl/>
        </w:rPr>
        <w:t>(כ"כ המשנ"ב בשמם [סקט"ו])</w:t>
      </w:r>
      <w:r>
        <w:rPr>
          <w:rFonts w:asciiTheme="minorBidi" w:hAnsiTheme="minorBidi"/>
          <w:rtl/>
        </w:rPr>
        <w:t>- מותר להשתמש בו בשבת.</w:t>
      </w:r>
    </w:p>
    <w:p w14:paraId="22AD176B" w14:textId="77777777" w:rsidR="004B2E7C" w:rsidRDefault="004B2E7C" w:rsidP="00434A6A">
      <w:pPr>
        <w:rPr>
          <w:rFonts w:asciiTheme="minorBidi" w:hAnsiTheme="minorBidi"/>
          <w:rtl/>
        </w:rPr>
      </w:pPr>
    </w:p>
    <w:p w14:paraId="65681AA4" w14:textId="77777777" w:rsidR="004B2E7C" w:rsidRDefault="004B2E7C" w:rsidP="00434A6A">
      <w:pPr>
        <w:pStyle w:val="2"/>
        <w:rPr>
          <w:rFonts w:asciiTheme="minorBidi" w:hAnsiTheme="minorBidi" w:cstheme="minorBidi"/>
          <w:rtl/>
        </w:rPr>
      </w:pPr>
      <w:r>
        <w:rPr>
          <w:rFonts w:asciiTheme="minorBidi" w:hAnsiTheme="minorBidi" w:cstheme="minorBidi"/>
          <w:rtl/>
        </w:rPr>
        <w:t>סעיף ה: אמירה לגוי לעשות איסור דרבנן.</w:t>
      </w:r>
    </w:p>
    <w:p w14:paraId="65D2FD50" w14:textId="77777777" w:rsidR="004B2E7C" w:rsidRDefault="004B2E7C" w:rsidP="00434A6A">
      <w:pPr>
        <w:rPr>
          <w:rFonts w:asciiTheme="minorBidi" w:hAnsiTheme="minorBidi"/>
          <w:u w:val="single"/>
          <w:rtl/>
        </w:rPr>
      </w:pPr>
      <w:r>
        <w:rPr>
          <w:rFonts w:asciiTheme="minorBidi" w:hAnsiTheme="minorBidi"/>
          <w:u w:val="single"/>
          <w:rtl/>
        </w:rPr>
        <w:t>אמירה לגוי לעשות איסור דרבנן:</w:t>
      </w:r>
    </w:p>
    <w:p w14:paraId="6A4CC9F1" w14:textId="77777777" w:rsidR="004B2E7C" w:rsidRDefault="004B2E7C" w:rsidP="00FF2D21">
      <w:pPr>
        <w:pStyle w:val="aa"/>
        <w:numPr>
          <w:ilvl w:val="0"/>
          <w:numId w:val="137"/>
        </w:numPr>
        <w:rPr>
          <w:rFonts w:asciiTheme="minorBidi" w:hAnsiTheme="minorBidi" w:cs="Arial"/>
          <w:rtl/>
        </w:rPr>
      </w:pPr>
      <w:r>
        <w:rPr>
          <w:rFonts w:asciiTheme="minorBidi" w:hAnsiTheme="minorBidi" w:cs="Arial"/>
          <w:rtl/>
        </w:rPr>
        <w:t xml:space="preserve">רמב"ם </w:t>
      </w:r>
      <w:r>
        <w:rPr>
          <w:rFonts w:asciiTheme="minorBidi" w:hAnsiTheme="minorBidi" w:cs="Arial"/>
          <w:sz w:val="16"/>
          <w:szCs w:val="16"/>
          <w:rtl/>
        </w:rPr>
        <w:t>(פ"ו הל' ט-י)</w:t>
      </w:r>
      <w:r>
        <w:rPr>
          <w:rFonts w:asciiTheme="minorBidi" w:hAnsiTheme="minorBidi" w:cs="Arial"/>
          <w:rtl/>
        </w:rPr>
        <w:t>- דבר שאינו מלאכה ואין אסור לעשותו בשבת אלא משום שבות מותר לישראל לומר לגוי לעשותו בשבת, והוא שיהיה שם מקצת חולי או יהיה צריך לדבר צורך הרבה או מפני מצוה. כיצד אומר ישראל לגוי בשבת לעלות באילן או לשוט על פני המים כדי להביא לו שופר, או סכין למילה, או מביא לו מחצר לחצר שאין עירוב ביניהן מים חמין להרחיץ בהם קטן ומצטער וכן כל כיוצא בזה</w:t>
      </w:r>
      <w:r>
        <w:rPr>
          <w:rStyle w:val="a9"/>
          <w:rFonts w:asciiTheme="minorBidi" w:hAnsiTheme="minorBidi" w:cs="Arial"/>
          <w:rtl/>
        </w:rPr>
        <w:footnoteReference w:id="1197"/>
      </w:r>
      <w:r>
        <w:rPr>
          <w:rFonts w:asciiTheme="minorBidi" w:hAnsiTheme="minorBidi" w:cs="Arial"/>
          <w:rtl/>
        </w:rPr>
        <w:t xml:space="preserve">. </w:t>
      </w:r>
      <w:r>
        <w:rPr>
          <w:rFonts w:asciiTheme="minorBidi" w:hAnsiTheme="minorBidi"/>
          <w:color w:val="E36C0A" w:themeColor="accent6" w:themeShade="BF"/>
          <w:rtl/>
        </w:rPr>
        <w:t>(וכ"ס בשו"ע</w:t>
      </w:r>
      <w:r>
        <w:rPr>
          <w:rFonts w:asciiTheme="minorBidi" w:hAnsiTheme="minorBidi"/>
          <w:color w:val="E36C0A" w:themeColor="accent6" w:themeShade="BF"/>
          <w:sz w:val="16"/>
          <w:szCs w:val="16"/>
          <w:rtl/>
        </w:rPr>
        <w:t xml:space="preserve"> </w:t>
      </w:r>
      <w:r>
        <w:rPr>
          <w:rFonts w:asciiTheme="minorBidi" w:hAnsiTheme="minorBidi"/>
          <w:sz w:val="16"/>
          <w:szCs w:val="16"/>
          <w:rtl/>
        </w:rPr>
        <w:t>[כאן, ובס' תקפו סכ"א פסק כן בהדיא]</w:t>
      </w:r>
      <w:r>
        <w:rPr>
          <w:rFonts w:asciiTheme="minorBidi" w:hAnsiTheme="minorBidi"/>
          <w:color w:val="E36C0A" w:themeColor="accent6" w:themeShade="BF"/>
          <w:rtl/>
        </w:rPr>
        <w:t>)</w:t>
      </w:r>
    </w:p>
    <w:p w14:paraId="1EEC0143" w14:textId="77777777" w:rsidR="004B2E7C" w:rsidRDefault="004B2E7C" w:rsidP="00FF2D21">
      <w:pPr>
        <w:pStyle w:val="aa"/>
        <w:numPr>
          <w:ilvl w:val="0"/>
          <w:numId w:val="137"/>
        </w:numPr>
        <w:rPr>
          <w:rFonts w:asciiTheme="minorBidi" w:hAnsiTheme="minorBidi"/>
          <w:rtl/>
        </w:rPr>
      </w:pPr>
      <w:r>
        <w:rPr>
          <w:rFonts w:asciiTheme="minorBidi" w:hAnsiTheme="minorBidi" w:cs="Arial"/>
          <w:rtl/>
        </w:rPr>
        <w:t>תוס' סמ"ג רשב"א</w:t>
      </w:r>
      <w:r>
        <w:rPr>
          <w:rStyle w:val="a9"/>
          <w:rFonts w:asciiTheme="minorBidi" w:hAnsiTheme="minorBidi" w:cs="Arial"/>
          <w:rtl/>
        </w:rPr>
        <w:footnoteReference w:id="1198"/>
      </w:r>
      <w:r>
        <w:rPr>
          <w:rFonts w:asciiTheme="minorBidi" w:hAnsiTheme="minorBidi" w:cs="Arial"/>
          <w:rtl/>
        </w:rPr>
        <w:t xml:space="preserve"> וטור</w:t>
      </w:r>
      <w:r>
        <w:rPr>
          <w:rFonts w:asciiTheme="minorBidi" w:hAnsiTheme="minorBidi" w:cs="Arial"/>
          <w:sz w:val="16"/>
          <w:szCs w:val="16"/>
          <w:rtl/>
        </w:rPr>
        <w:t xml:space="preserve"> (כ"כ הב"י בשמו</w:t>
      </w:r>
      <w:r>
        <w:rPr>
          <w:rStyle w:val="a9"/>
          <w:rFonts w:asciiTheme="minorBidi" w:hAnsiTheme="minorBidi" w:cs="Arial"/>
          <w:sz w:val="16"/>
          <w:szCs w:val="16"/>
          <w:rtl/>
        </w:rPr>
        <w:footnoteReference w:id="1199"/>
      </w:r>
      <w:r>
        <w:rPr>
          <w:rFonts w:asciiTheme="minorBidi" w:hAnsiTheme="minorBidi" w:cs="Arial"/>
          <w:sz w:val="16"/>
          <w:szCs w:val="16"/>
          <w:rtl/>
        </w:rPr>
        <w:t>)</w:t>
      </w:r>
      <w:r>
        <w:rPr>
          <w:rStyle w:val="a9"/>
          <w:rFonts w:asciiTheme="minorBidi" w:hAnsiTheme="minorBidi" w:cs="Arial"/>
          <w:rtl/>
        </w:rPr>
        <w:footnoteReference w:id="1200"/>
      </w:r>
      <w:r>
        <w:rPr>
          <w:rFonts w:asciiTheme="minorBidi" w:hAnsiTheme="minorBidi" w:cs="Arial"/>
          <w:rtl/>
        </w:rPr>
        <w:t xml:space="preserve">- פוסק רבינו יצחק דדוקא משום מילה דהיא גופא דחיא שבת התירו אמירה לגוי בדבר שאין בו איסור כי אם משום שבות </w:t>
      </w:r>
      <w:r>
        <w:rPr>
          <w:rFonts w:asciiTheme="minorBidi" w:hAnsiTheme="minorBidi" w:cs="Arial"/>
          <w:sz w:val="16"/>
          <w:szCs w:val="16"/>
          <w:rtl/>
        </w:rPr>
        <w:t>{או משום ישוב ארץ ישראל, ב"י ע"פ התוס' [בב"ק פ:]}</w:t>
      </w:r>
      <w:r>
        <w:rPr>
          <w:rFonts w:asciiTheme="minorBidi" w:hAnsiTheme="minorBidi" w:cs="Arial"/>
          <w:rtl/>
        </w:rPr>
        <w:t>, אבל משום מצוה אחרת כגון להביא ספר</w:t>
      </w:r>
      <w:r>
        <w:rPr>
          <w:rFonts w:asciiTheme="minorBidi" w:hAnsiTheme="minorBidi" w:cs="Arial"/>
          <w:sz w:val="16"/>
          <w:szCs w:val="16"/>
          <w:rtl/>
        </w:rPr>
        <w:t xml:space="preserve"> {תורה}</w:t>
      </w:r>
      <w:r>
        <w:rPr>
          <w:rFonts w:asciiTheme="minorBidi" w:hAnsiTheme="minorBidi" w:cs="Arial"/>
          <w:rtl/>
        </w:rPr>
        <w:t xml:space="preserve"> דרך מבוי או כרמלית אסור לומר לגוי להביאם </w:t>
      </w:r>
      <w:r>
        <w:rPr>
          <w:rFonts w:asciiTheme="minorBidi" w:hAnsiTheme="minorBidi" w:cs="Arial"/>
          <w:sz w:val="16"/>
          <w:szCs w:val="16"/>
          <w:rtl/>
        </w:rPr>
        <w:t>(ל' סמ"ג)</w:t>
      </w:r>
      <w:r>
        <w:rPr>
          <w:rStyle w:val="a9"/>
          <w:rFonts w:asciiTheme="minorBidi" w:hAnsiTheme="minorBidi" w:cs="Arial"/>
          <w:rtl/>
        </w:rPr>
        <w:footnoteReference w:id="1201"/>
      </w:r>
      <w:r>
        <w:rPr>
          <w:rFonts w:asciiTheme="minorBidi" w:hAnsiTheme="minorBidi" w:cs="Arial"/>
          <w:rtl/>
        </w:rPr>
        <w:t>.</w:t>
      </w:r>
      <w:r>
        <w:rPr>
          <w:rFonts w:asciiTheme="minorBidi" w:hAnsiTheme="minorBidi"/>
          <w:rtl/>
        </w:rPr>
        <w:t xml:space="preserve"> </w:t>
      </w:r>
    </w:p>
    <w:p w14:paraId="5EF93198" w14:textId="77777777" w:rsidR="004B2E7C" w:rsidRDefault="004B2E7C" w:rsidP="00FF2D21">
      <w:pPr>
        <w:pStyle w:val="aa"/>
        <w:numPr>
          <w:ilvl w:val="0"/>
          <w:numId w:val="137"/>
        </w:numPr>
        <w:rPr>
          <w:rFonts w:asciiTheme="minorBidi" w:hAnsiTheme="minorBidi" w:cs="Arial"/>
          <w:rtl/>
        </w:rPr>
      </w:pPr>
      <w:r>
        <w:rPr>
          <w:rFonts w:asciiTheme="minorBidi" w:hAnsiTheme="minorBidi" w:cs="Arial"/>
          <w:rtl/>
        </w:rPr>
        <w:t xml:space="preserve">ראבי"ה </w:t>
      </w:r>
      <w:r>
        <w:rPr>
          <w:rFonts w:asciiTheme="minorBidi" w:hAnsiTheme="minorBidi" w:cs="Arial"/>
          <w:sz w:val="16"/>
          <w:szCs w:val="16"/>
          <w:rtl/>
        </w:rPr>
        <w:t>(כ"כ בשמו בסוף הגהות אחרונות דמרדכי [סי' תעד ד"ה ואומר אני])</w:t>
      </w:r>
      <w:r>
        <w:rPr>
          <w:rFonts w:asciiTheme="minorBidi" w:hAnsiTheme="minorBidi" w:cs="Arial"/>
          <w:rtl/>
        </w:rPr>
        <w:t>- אמירה לגוי בדאורייתא נמי לא אסירא אלא בדבר שא"א למצוא תקנה ע"י ישראל לעשותו, כגון להחם חמין, אבל אם אפשר לעשותו, כגון ברשות הרבים דיכול להביא ע"י מחיצות בני אדם, שרי אמירה לגוי</w:t>
      </w:r>
      <w:r>
        <w:rPr>
          <w:rStyle w:val="a9"/>
          <w:rFonts w:asciiTheme="minorBidi" w:hAnsiTheme="minorBidi" w:cs="Arial"/>
          <w:rtl/>
        </w:rPr>
        <w:footnoteReference w:id="1202"/>
      </w:r>
      <w:r>
        <w:rPr>
          <w:rFonts w:asciiTheme="minorBidi" w:hAnsiTheme="minorBidi" w:cs="Arial"/>
          <w:rtl/>
        </w:rPr>
        <w:t>, והיכא דאיכא למימר דילמא אתי לאיחלופי ברשות הרבים אסור אמירה לגוי אפילו באיסור דרבנן ואפילו לדבר מצוה כדאמרינן גבי ינוקא דאשתפוך חמימי</w:t>
      </w:r>
      <w:r>
        <w:rPr>
          <w:rFonts w:asciiTheme="minorBidi" w:hAnsiTheme="minorBidi" w:cs="Arial"/>
          <w:sz w:val="16"/>
          <w:szCs w:val="16"/>
          <w:rtl/>
        </w:rPr>
        <w:t xml:space="preserve"> (עירובין סז:)</w:t>
      </w:r>
      <w:r>
        <w:rPr>
          <w:rStyle w:val="a9"/>
          <w:rFonts w:asciiTheme="minorBidi" w:hAnsiTheme="minorBidi" w:cs="Arial"/>
          <w:rtl/>
        </w:rPr>
        <w:footnoteReference w:id="1203"/>
      </w:r>
      <w:r>
        <w:rPr>
          <w:rFonts w:asciiTheme="minorBidi" w:hAnsiTheme="minorBidi" w:cs="Arial"/>
          <w:rtl/>
        </w:rPr>
        <w:t xml:space="preserve">. </w:t>
      </w:r>
    </w:p>
    <w:p w14:paraId="18F06E49" w14:textId="77777777" w:rsidR="004B2E7C" w:rsidRDefault="004B2E7C" w:rsidP="00FF2D21">
      <w:pPr>
        <w:pStyle w:val="aa"/>
        <w:numPr>
          <w:ilvl w:val="0"/>
          <w:numId w:val="137"/>
        </w:numPr>
        <w:rPr>
          <w:rFonts w:asciiTheme="minorBidi" w:hAnsiTheme="minorBidi"/>
          <w:rtl/>
        </w:rPr>
      </w:pPr>
      <w:r>
        <w:rPr>
          <w:rFonts w:asciiTheme="minorBidi" w:hAnsiTheme="minorBidi" w:cs="Arial"/>
          <w:rtl/>
        </w:rPr>
        <w:t xml:space="preserve">בעהי"ט </w:t>
      </w:r>
      <w:r>
        <w:rPr>
          <w:rFonts w:asciiTheme="minorBidi" w:hAnsiTheme="minorBidi" w:cs="Arial"/>
          <w:sz w:val="16"/>
          <w:szCs w:val="16"/>
          <w:rtl/>
        </w:rPr>
        <w:t>(הל' מילה מט., כ"כ בשמו הר"ן [שבת נו. ד"ה ונמצא וד"ה אבל])</w:t>
      </w:r>
      <w:r>
        <w:rPr>
          <w:rFonts w:asciiTheme="minorBidi" w:hAnsiTheme="minorBidi" w:cs="Arial"/>
          <w:rtl/>
        </w:rPr>
        <w:t>- מותר לומר לגוי להדליק לו הנר לסעודת שבת</w:t>
      </w:r>
      <w:r>
        <w:rPr>
          <w:rStyle w:val="a9"/>
          <w:rFonts w:asciiTheme="minorBidi" w:hAnsiTheme="minorBidi" w:cs="Arial"/>
          <w:rtl/>
        </w:rPr>
        <w:footnoteReference w:id="1204"/>
      </w:r>
      <w:r>
        <w:rPr>
          <w:rFonts w:asciiTheme="minorBidi" w:hAnsiTheme="minorBidi" w:cs="Arial"/>
          <w:rtl/>
        </w:rPr>
        <w:t>.</w:t>
      </w:r>
      <w:r>
        <w:rPr>
          <w:rFonts w:asciiTheme="minorBidi" w:hAnsiTheme="minorBidi"/>
          <w:rtl/>
        </w:rPr>
        <w:t xml:space="preserve"> </w:t>
      </w:r>
    </w:p>
    <w:p w14:paraId="5AC3A6BB"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EE04753" w14:textId="77777777" w:rsidR="004B2E7C" w:rsidRDefault="004B2E7C" w:rsidP="00434A6A">
      <w:pPr>
        <w:rPr>
          <w:rFonts w:asciiTheme="minorBidi" w:hAnsiTheme="minorBidi"/>
          <w:rtl/>
        </w:rPr>
      </w:pPr>
      <w:r>
        <w:rPr>
          <w:rFonts w:asciiTheme="minorBidi" w:hAnsiTheme="minorBidi"/>
          <w:rtl/>
        </w:rPr>
        <w:t>דבר שאינו מלאכה ואינו אסור לעשות בשבת אלא משום שבות מותר לישראל לומר לגוי לעשותו בשבת, והוא שיהיה שם מקצת</w:t>
      </w:r>
      <w:r>
        <w:rPr>
          <w:rStyle w:val="a9"/>
          <w:rFonts w:asciiTheme="minorBidi" w:hAnsiTheme="minorBidi"/>
          <w:rtl/>
        </w:rPr>
        <w:footnoteReference w:id="1205"/>
      </w:r>
      <w:r>
        <w:rPr>
          <w:rFonts w:asciiTheme="minorBidi" w:hAnsiTheme="minorBidi"/>
          <w:rtl/>
        </w:rPr>
        <w:t xml:space="preserve"> חולי או יהיה צריך לדבר צורך הרבה</w:t>
      </w:r>
      <w:r>
        <w:rPr>
          <w:rStyle w:val="a9"/>
          <w:rFonts w:asciiTheme="minorBidi" w:hAnsiTheme="minorBidi"/>
          <w:rtl/>
        </w:rPr>
        <w:footnoteReference w:id="1206"/>
      </w:r>
      <w:r>
        <w:rPr>
          <w:rFonts w:asciiTheme="minorBidi" w:hAnsiTheme="minorBidi"/>
          <w:rtl/>
        </w:rPr>
        <w:t xml:space="preserve"> או מפני מצוה. כיצד, אומר ישראל לגוי בשבת לעלות באילן להביא שופר לתקוע תקיעת מצוה או להביא מים דרך חצר שלא עירבו לרחוץ בו המצטער. ויש אוסרין. </w:t>
      </w:r>
      <w:r>
        <w:rPr>
          <w:rFonts w:asciiTheme="minorBidi" w:hAnsiTheme="minorBidi"/>
          <w:sz w:val="18"/>
          <w:szCs w:val="18"/>
          <w:rtl/>
        </w:rPr>
        <w:t xml:space="preserve">הגה: ולקמן סי' תקפו פסק להתיר, וע"ל סי' רעו דיש מקילין אפילו במלאכה דאורייתא, וע"ש ס"ג. </w:t>
      </w:r>
    </w:p>
    <w:p w14:paraId="1D1D0A81" w14:textId="77777777" w:rsidR="004B2E7C" w:rsidRDefault="004B2E7C" w:rsidP="00434A6A">
      <w:pPr>
        <w:rPr>
          <w:rFonts w:asciiTheme="minorBidi" w:hAnsiTheme="minorBidi"/>
          <w:rtl/>
        </w:rPr>
      </w:pPr>
    </w:p>
    <w:p w14:paraId="7E28B80C" w14:textId="77777777" w:rsidR="004B2E7C" w:rsidRDefault="004B2E7C" w:rsidP="00434A6A">
      <w:pPr>
        <w:pStyle w:val="2"/>
        <w:rPr>
          <w:rFonts w:asciiTheme="minorBidi" w:hAnsiTheme="minorBidi" w:cstheme="minorBidi"/>
          <w:rtl/>
        </w:rPr>
      </w:pPr>
      <w:r>
        <w:rPr>
          <w:rFonts w:asciiTheme="minorBidi" w:hAnsiTheme="minorBidi" w:cstheme="minorBidi"/>
          <w:rtl/>
        </w:rPr>
        <w:t>סעיף ו: חישוב חשבונות ואמירתן לאחר.</w:t>
      </w:r>
    </w:p>
    <w:p w14:paraId="7B29A59B" w14:textId="77777777" w:rsidR="004B2E7C" w:rsidRDefault="004B2E7C" w:rsidP="00434A6A">
      <w:pPr>
        <w:rPr>
          <w:rFonts w:asciiTheme="minorBidi" w:hAnsiTheme="minorBidi" w:cs="Arial"/>
          <w:sz w:val="14"/>
          <w:szCs w:val="14"/>
          <w:rtl/>
        </w:rPr>
      </w:pPr>
      <w:r>
        <w:rPr>
          <w:rFonts w:asciiTheme="minorBidi" w:hAnsiTheme="minorBidi" w:cs="Arial"/>
          <w:b/>
          <w:bCs/>
          <w:rtl/>
        </w:rPr>
        <w:t xml:space="preserve">שבת קנ ע"א: </w:t>
      </w:r>
      <w:r>
        <w:rPr>
          <w:rFonts w:asciiTheme="minorBidi" w:hAnsiTheme="minorBidi" w:cs="Arial"/>
          <w:u w:val="single"/>
          <w:rtl/>
        </w:rPr>
        <w:t>אמר רב יהודה אמר שמואל</w:t>
      </w:r>
      <w:r>
        <w:rPr>
          <w:rFonts w:asciiTheme="minorBidi" w:hAnsiTheme="minorBidi" w:cs="Arial"/>
          <w:rtl/>
        </w:rPr>
        <w:t xml:space="preserve">: חשבונות של מלך ושל מה בכך - מותר לחשבן בשבת. תניא נמי הכי: חשבונות שעברו ושעתידין להיות - אסור לחשבן, של מלך </w:t>
      </w:r>
      <w:r>
        <w:rPr>
          <w:rFonts w:asciiTheme="minorBidi" w:hAnsiTheme="minorBidi" w:cs="Arial"/>
          <w:sz w:val="14"/>
          <w:szCs w:val="14"/>
          <w:rtl/>
        </w:rPr>
        <w:t>(קנ:)</w:t>
      </w:r>
      <w:r>
        <w:rPr>
          <w:rtl/>
        </w:rPr>
        <w:t xml:space="preserve"> </w:t>
      </w:r>
      <w:r>
        <w:rPr>
          <w:rFonts w:asciiTheme="minorBidi" w:hAnsiTheme="minorBidi" w:cs="Arial"/>
          <w:rtl/>
        </w:rPr>
        <w:t xml:space="preserve">ושל מה בכך - מותר לחושבן. ורמינהו: חושבין חשבונות שאינן צריכין, ואין מחשבין חשבונות שצריכין בשבת. כיצד, אומר אדם לחבירו: כך וכך פועלים הוצאתי על שדה זו, כך וכך דינרין הוצאתי על דירה זו. אבל לא יאמר לו: כך וכך הוצאתי, וכך וכך אני עתיד להוציא! ולטעמיך, קשיא לך היא גופא! אלא, הא - דאיכא אגרא דאגירא גביה, הא - דליכא אגרא דאגירא גביה. </w:t>
      </w:r>
      <w:r>
        <w:rPr>
          <w:rFonts w:asciiTheme="minorBidi" w:hAnsiTheme="minorBidi"/>
          <w:sz w:val="16"/>
          <w:szCs w:val="16"/>
          <w:rtl/>
        </w:rPr>
        <w:t xml:space="preserve">(וכ"פ הטור, וז"ל- ואסור לחשב חשבונותיו אפי' אם עברו כגון כך וכך הוצאתי על דבר פלוני, ודוקא שעדיין שכר הפועלים אצלו שנמצא שצריך הוא לאותו חשבון לידע כמה הוא צריך ליתן להם אבל אם כבר פרעם מותר. </w:t>
      </w:r>
      <w:r>
        <w:rPr>
          <w:rFonts w:asciiTheme="minorBidi" w:hAnsiTheme="minorBidi"/>
          <w:color w:val="E36C0A" w:themeColor="accent6" w:themeShade="BF"/>
          <w:sz w:val="16"/>
          <w:szCs w:val="16"/>
          <w:rtl/>
        </w:rPr>
        <w:t>וכ"פ בשו"ע</w:t>
      </w:r>
      <w:r>
        <w:rPr>
          <w:rFonts w:asciiTheme="minorBidi" w:hAnsiTheme="minorBidi"/>
          <w:sz w:val="16"/>
          <w:szCs w:val="16"/>
          <w:rtl/>
        </w:rPr>
        <w:t>)</w:t>
      </w:r>
    </w:p>
    <w:p w14:paraId="07C33841"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751BC59" w14:textId="77777777" w:rsidR="004B2E7C" w:rsidRDefault="004B2E7C" w:rsidP="00434A6A">
      <w:pPr>
        <w:rPr>
          <w:rFonts w:asciiTheme="minorBidi" w:hAnsiTheme="minorBidi"/>
          <w:rtl/>
        </w:rPr>
      </w:pPr>
      <w:r>
        <w:rPr>
          <w:rFonts w:asciiTheme="minorBidi" w:hAnsiTheme="minorBidi"/>
          <w:rtl/>
        </w:rPr>
        <w:t>אסור לחשוב חשבונות אפילו אם עברו, כגון כך וכך הוצאתי על דבר פלוני</w:t>
      </w:r>
      <w:r>
        <w:rPr>
          <w:rStyle w:val="a9"/>
          <w:rFonts w:asciiTheme="minorBidi" w:hAnsiTheme="minorBidi"/>
          <w:rtl/>
        </w:rPr>
        <w:footnoteReference w:id="1207"/>
      </w:r>
      <w:r>
        <w:rPr>
          <w:rFonts w:asciiTheme="minorBidi" w:hAnsiTheme="minorBidi"/>
          <w:rtl/>
        </w:rPr>
        <w:t>. ודוקא שעדיין שכר הפועלים אצלו</w:t>
      </w:r>
      <w:r>
        <w:rPr>
          <w:rStyle w:val="a9"/>
          <w:rFonts w:asciiTheme="minorBidi" w:hAnsiTheme="minorBidi"/>
          <w:rtl/>
        </w:rPr>
        <w:footnoteReference w:id="1208"/>
      </w:r>
      <w:r>
        <w:rPr>
          <w:rFonts w:asciiTheme="minorBidi" w:hAnsiTheme="minorBidi"/>
          <w:rtl/>
        </w:rPr>
        <w:t>, אבל אם פרעם כבר מותר</w:t>
      </w:r>
      <w:r>
        <w:rPr>
          <w:rStyle w:val="a9"/>
          <w:rFonts w:asciiTheme="minorBidi" w:hAnsiTheme="minorBidi"/>
          <w:rtl/>
        </w:rPr>
        <w:footnoteReference w:id="1209"/>
      </w:r>
      <w:r>
        <w:rPr>
          <w:rFonts w:asciiTheme="minorBidi" w:hAnsiTheme="minorBidi"/>
          <w:rtl/>
        </w:rPr>
        <w:t xml:space="preserve">. </w:t>
      </w:r>
    </w:p>
    <w:p w14:paraId="45B39F03" w14:textId="77777777" w:rsidR="004B2E7C" w:rsidRDefault="004B2E7C" w:rsidP="00434A6A">
      <w:pPr>
        <w:rPr>
          <w:rFonts w:asciiTheme="minorBidi" w:hAnsiTheme="minorBidi"/>
          <w:rtl/>
        </w:rPr>
      </w:pPr>
    </w:p>
    <w:p w14:paraId="16E81986" w14:textId="77777777" w:rsidR="004B2E7C" w:rsidRDefault="004B2E7C" w:rsidP="00434A6A">
      <w:pPr>
        <w:pStyle w:val="2"/>
        <w:rPr>
          <w:rFonts w:asciiTheme="minorBidi" w:hAnsiTheme="minorBidi" w:cstheme="minorBidi"/>
          <w:rtl/>
        </w:rPr>
      </w:pPr>
      <w:r>
        <w:rPr>
          <w:rFonts w:asciiTheme="minorBidi" w:hAnsiTheme="minorBidi" w:cstheme="minorBidi"/>
          <w:rtl/>
        </w:rPr>
        <w:t>סעיף ז: הרומז לחברו שרוצה לשוכרו למוצ"ש.</w:t>
      </w:r>
    </w:p>
    <w:p w14:paraId="6127DE94" w14:textId="77777777" w:rsidR="004B2E7C" w:rsidRDefault="004B2E7C" w:rsidP="00434A6A">
      <w:pPr>
        <w:rPr>
          <w:rFonts w:cs="Arial"/>
          <w:rtl/>
        </w:rPr>
      </w:pPr>
      <w:r>
        <w:rPr>
          <w:rFonts w:asciiTheme="minorBidi" w:hAnsiTheme="minorBidi" w:cs="Arial"/>
          <w:b/>
          <w:bCs/>
          <w:rtl/>
        </w:rPr>
        <w:t xml:space="preserve">שבת קנ ע"א: </w:t>
      </w:r>
      <w:r>
        <w:rPr>
          <w:rFonts w:asciiTheme="minorBidi" w:hAnsiTheme="minorBidi" w:cs="Arial"/>
          <w:u w:val="double"/>
          <w:rtl/>
        </w:rPr>
        <w:t>משנה</w:t>
      </w:r>
      <w:r>
        <w:rPr>
          <w:rFonts w:asciiTheme="minorBidi" w:hAnsiTheme="minorBidi" w:cs="Arial"/>
          <w:rtl/>
        </w:rPr>
        <w:t xml:space="preserve">: לא ישכור אדם פועלים בשבת, ולא יאמר אדם לחבירו לשכור לו פועלים...       </w:t>
      </w:r>
      <w:r>
        <w:rPr>
          <w:rFonts w:asciiTheme="minorBidi" w:hAnsiTheme="minorBidi" w:cs="Arial"/>
          <w:u w:val="double"/>
          <w:rtl/>
        </w:rPr>
        <w:t>גמרא</w:t>
      </w:r>
      <w:r>
        <w:rPr>
          <w:rFonts w:asciiTheme="minorBidi" w:hAnsiTheme="minorBidi" w:cs="Arial"/>
          <w:rtl/>
        </w:rPr>
        <w:t xml:space="preserve">: (פשיטא) מאי שנא הוא ומאי שנא חבירו? </w:t>
      </w:r>
      <w:r>
        <w:rPr>
          <w:rFonts w:asciiTheme="minorBidi" w:hAnsiTheme="minorBidi" w:cs="Arial"/>
          <w:u w:val="single"/>
          <w:rtl/>
        </w:rPr>
        <w:t>אמר רב פפא</w:t>
      </w:r>
      <w:r>
        <w:rPr>
          <w:rFonts w:asciiTheme="minorBidi" w:hAnsiTheme="minorBidi" w:cs="Arial"/>
          <w:rtl/>
        </w:rPr>
        <w:t>: חבר נכרי</w:t>
      </w:r>
      <w:r>
        <w:rPr>
          <w:rFonts w:cs="Arial"/>
          <w:rtl/>
        </w:rPr>
        <w:t xml:space="preserve">. </w:t>
      </w:r>
      <w:r>
        <w:rPr>
          <w:rFonts w:cs="Arial"/>
          <w:u w:val="single"/>
          <w:rtl/>
        </w:rPr>
        <w:t>מתקיף לה רב אשי</w:t>
      </w:r>
      <w:r>
        <w:rPr>
          <w:rFonts w:cs="Arial"/>
          <w:rtl/>
        </w:rPr>
        <w:t xml:space="preserve">: אמירה לנכרי שבות! </w:t>
      </w:r>
      <w:r>
        <w:rPr>
          <w:rFonts w:cs="Arial"/>
          <w:u w:val="single"/>
          <w:rtl/>
        </w:rPr>
        <w:t>אלא אמר רב אשי</w:t>
      </w:r>
      <w:r>
        <w:rPr>
          <w:rFonts w:cs="Arial"/>
          <w:rtl/>
        </w:rPr>
        <w:t>: אפילו תימא חבירו ישראל, הא קא משמע לן: לא יאמר אדם לחבירו שכור לי פועלים, אבל אומר אדם לחבירו הנראה</w:t>
      </w:r>
      <w:r>
        <w:rPr>
          <w:rStyle w:val="a9"/>
          <w:rFonts w:cs="Arial"/>
          <w:rtl/>
        </w:rPr>
        <w:footnoteReference w:id="1210"/>
      </w:r>
      <w:r>
        <w:rPr>
          <w:rFonts w:cs="Arial"/>
          <w:rtl/>
        </w:rPr>
        <w:t xml:space="preserve"> שתעמוד עמי לערב? ומתניתין מני - כרבי יהושע בן קרחה. דתניא: לא יאמר אדם לחבירו הנראה שתעמוד עמי לערב? רבי יהושע בן קרחה אומר: אומר אדם לחבירו הנראה שתעמוד עמי לערב? </w:t>
      </w:r>
      <w:r>
        <w:rPr>
          <w:rFonts w:cs="Arial"/>
          <w:u w:val="single"/>
          <w:rtl/>
        </w:rPr>
        <w:t>אמר רבה בר בר חנה אמר</w:t>
      </w:r>
      <w:r>
        <w:rPr>
          <w:rFonts w:cs="Arial"/>
          <w:rtl/>
        </w:rPr>
        <w:t xml:space="preserve"> </w:t>
      </w:r>
      <w:r>
        <w:rPr>
          <w:rFonts w:cs="Arial"/>
          <w:u w:val="single"/>
          <w:rtl/>
        </w:rPr>
        <w:t>רבי יוחנן</w:t>
      </w:r>
      <w:r>
        <w:rPr>
          <w:rFonts w:cs="Arial"/>
          <w:rtl/>
        </w:rPr>
        <w:t xml:space="preserve">: הלכה כרבי יהושע בן קרחה. </w:t>
      </w:r>
      <w:r>
        <w:rPr>
          <w:rFonts w:cs="Arial"/>
          <w:u w:val="single"/>
          <w:rtl/>
        </w:rPr>
        <w:t>ואמר רבה בר בר חנה אמר רבי יוחנן</w:t>
      </w:r>
      <w:r>
        <w:rPr>
          <w:rFonts w:cs="Arial"/>
          <w:rtl/>
        </w:rPr>
        <w:t>: מאי טעמא דרבי יהושע בן קרחה - דכתיב ממצוא חפצך ודבר דבר; דיבור - אסור, הרהור - מותר.</w:t>
      </w:r>
      <w:r>
        <w:rPr>
          <w:rFonts w:cs="Arial"/>
          <w:sz w:val="16"/>
          <w:szCs w:val="16"/>
          <w:rtl/>
        </w:rPr>
        <w:t xml:space="preserve"> (אבל לא יאמר לו היה נכון עמי לערב, טור. וכ"כ הרמב"ם (פכ"ד ה"ד), ופשוט הוא, דהיינו דיבור ממש, ב"י. </w:t>
      </w:r>
      <w:r>
        <w:rPr>
          <w:rFonts w:cs="Arial"/>
          <w:color w:val="E36C0A" w:themeColor="accent6" w:themeShade="BF"/>
          <w:sz w:val="16"/>
          <w:szCs w:val="16"/>
          <w:rtl/>
        </w:rPr>
        <w:t>וכ"פ בשו"ע</w:t>
      </w:r>
      <w:r>
        <w:rPr>
          <w:rFonts w:cs="Arial"/>
          <w:sz w:val="16"/>
          <w:szCs w:val="16"/>
          <w:rtl/>
        </w:rPr>
        <w:t>)</w:t>
      </w:r>
    </w:p>
    <w:p w14:paraId="5192B6BF" w14:textId="77777777" w:rsidR="004B2E7C" w:rsidRDefault="004B2E7C" w:rsidP="00434A6A">
      <w:pPr>
        <w:rPr>
          <w:rFonts w:cs="Arial"/>
          <w:rtl/>
        </w:rPr>
      </w:pPr>
      <w:r>
        <w:rPr>
          <w:rFonts w:cs="Arial"/>
          <w:u w:val="single"/>
          <w:rtl/>
        </w:rPr>
        <w:t>הזמנת בהמה בשבת כדי לרכב עליה לאחר השבת:</w:t>
      </w:r>
    </w:p>
    <w:p w14:paraId="04799535" w14:textId="77777777" w:rsidR="004B2E7C" w:rsidRDefault="004B2E7C" w:rsidP="00FF2D21">
      <w:pPr>
        <w:pStyle w:val="aa"/>
        <w:numPr>
          <w:ilvl w:val="0"/>
          <w:numId w:val="138"/>
        </w:numPr>
        <w:rPr>
          <w:rFonts w:cs="Arial"/>
          <w:rtl/>
        </w:rPr>
      </w:pPr>
      <w:r>
        <w:rPr>
          <w:rFonts w:cs="Arial"/>
          <w:rtl/>
        </w:rPr>
        <w:t xml:space="preserve">רוקח </w:t>
      </w:r>
      <w:r>
        <w:rPr>
          <w:rFonts w:cs="Arial"/>
          <w:sz w:val="16"/>
          <w:szCs w:val="16"/>
          <w:rtl/>
        </w:rPr>
        <w:t>(סי' קלג)</w:t>
      </w:r>
      <w:r>
        <w:rPr>
          <w:rFonts w:cs="Arial"/>
          <w:rtl/>
        </w:rPr>
        <w:t>- אינו יכול לומר אני חפץ לרכוב למחר כי איני יכול להשכיר בשבת</w:t>
      </w:r>
      <w:r>
        <w:rPr>
          <w:rStyle w:val="a9"/>
          <w:rFonts w:cs="Arial"/>
          <w:rtl/>
        </w:rPr>
        <w:footnoteReference w:id="1211"/>
      </w:r>
      <w:r>
        <w:rPr>
          <w:rFonts w:cs="Arial"/>
          <w:rtl/>
        </w:rPr>
        <w:t>.</w:t>
      </w:r>
    </w:p>
    <w:p w14:paraId="475DC13C" w14:textId="77777777" w:rsidR="004B2E7C" w:rsidRDefault="004B2E7C" w:rsidP="00434A6A">
      <w:pPr>
        <w:rPr>
          <w:rFonts w:cs="Arial"/>
          <w:u w:val="single"/>
        </w:rPr>
      </w:pPr>
      <w:r>
        <w:rPr>
          <w:rFonts w:cs="Arial"/>
          <w:u w:val="single"/>
          <w:rtl/>
        </w:rPr>
        <w:t>הא דמותר לומר לחברו כנ"ל - הוא דוקא לומר לישראל או שגם לגוי שרי לומר כן:</w:t>
      </w:r>
    </w:p>
    <w:p w14:paraId="72CAF05D" w14:textId="77777777" w:rsidR="004B2E7C" w:rsidRDefault="004B2E7C" w:rsidP="00FF2D21">
      <w:pPr>
        <w:pStyle w:val="aa"/>
        <w:numPr>
          <w:ilvl w:val="0"/>
          <w:numId w:val="138"/>
        </w:numPr>
        <w:rPr>
          <w:rFonts w:cs="Arial"/>
        </w:rPr>
      </w:pPr>
      <w:r>
        <w:rPr>
          <w:rFonts w:cs="Arial"/>
          <w:rtl/>
        </w:rPr>
        <w:t xml:space="preserve">תוס' </w:t>
      </w:r>
      <w:r>
        <w:rPr>
          <w:rFonts w:cs="Arial"/>
          <w:sz w:val="16"/>
          <w:szCs w:val="16"/>
          <w:rtl/>
        </w:rPr>
        <w:t>(ד"ה אומר אדם)</w:t>
      </w:r>
      <w:r>
        <w:rPr>
          <w:rFonts w:cs="Arial"/>
          <w:rtl/>
        </w:rPr>
        <w:t>- י"א דדווקא לחבירו אבל לנכרי אסור לפי שהוא עושה לדעת אותה אמירה, ואינו נראה דהא שרינן ליה הכא משו' דדבור אסור והרהור מותר א"כ ל"ש נכרי ל"ש ישראל, מ"ר. (וכ"פ המשנ"ב</w:t>
      </w:r>
      <w:r>
        <w:rPr>
          <w:rFonts w:cs="Arial"/>
          <w:sz w:val="16"/>
          <w:szCs w:val="16"/>
          <w:rtl/>
        </w:rPr>
        <w:t xml:space="preserve"> [סקכ"ח]</w:t>
      </w:r>
      <w:r>
        <w:rPr>
          <w:rFonts w:cs="Arial"/>
          <w:rtl/>
        </w:rPr>
        <w:t>)</w:t>
      </w:r>
    </w:p>
    <w:p w14:paraId="6E740A41" w14:textId="77777777" w:rsidR="004B2E7C" w:rsidRDefault="004B2E7C" w:rsidP="00FF2D21">
      <w:pPr>
        <w:pStyle w:val="aa"/>
        <w:numPr>
          <w:ilvl w:val="0"/>
          <w:numId w:val="138"/>
        </w:numPr>
        <w:rPr>
          <w:rFonts w:cs="Arial"/>
        </w:rPr>
      </w:pPr>
      <w:r>
        <w:rPr>
          <w:rFonts w:cs="Arial"/>
          <w:rtl/>
        </w:rPr>
        <w:t xml:space="preserve">הג"א </w:t>
      </w:r>
      <w:r>
        <w:rPr>
          <w:rFonts w:cs="Arial"/>
          <w:sz w:val="16"/>
          <w:szCs w:val="16"/>
          <w:rtl/>
        </w:rPr>
        <w:t>(פ"ק דע"ז סי' ב, הביאו הדרכ"מ סק"ד)</w:t>
      </w:r>
      <w:r>
        <w:rPr>
          <w:rFonts w:cs="Arial"/>
          <w:rtl/>
        </w:rPr>
        <w:t>- מותר לומר לחבירו הנראה שתעמוד עמי לערב אבל לא לגוי.</w:t>
      </w:r>
    </w:p>
    <w:p w14:paraId="74BA6429"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DA15F2C" w14:textId="77777777" w:rsidR="004B2E7C" w:rsidRDefault="004B2E7C" w:rsidP="00434A6A">
      <w:pPr>
        <w:rPr>
          <w:rFonts w:asciiTheme="minorBidi" w:hAnsiTheme="minorBidi"/>
          <w:rtl/>
        </w:rPr>
      </w:pPr>
      <w:r>
        <w:rPr>
          <w:rFonts w:asciiTheme="minorBidi" w:hAnsiTheme="minorBidi"/>
          <w:rtl/>
        </w:rPr>
        <w:t>מותר לומר לחבירו</w:t>
      </w:r>
      <w:r>
        <w:rPr>
          <w:rStyle w:val="a9"/>
          <w:rFonts w:asciiTheme="minorBidi" w:hAnsiTheme="minorBidi"/>
          <w:rtl/>
        </w:rPr>
        <w:footnoteReference w:id="1212"/>
      </w:r>
      <w:r>
        <w:rPr>
          <w:rFonts w:asciiTheme="minorBidi" w:hAnsiTheme="minorBidi"/>
          <w:rtl/>
        </w:rPr>
        <w:t xml:space="preserve"> הנראה בעיניך שתוכל לעמוד עמי לערב, אף על פי שמתוך כך מבין שצריך לו לערב לשוכרו, אבל לא יאמר לו היה נכון עמי לערב. </w:t>
      </w:r>
    </w:p>
    <w:p w14:paraId="22CCF294" w14:textId="77777777" w:rsidR="004B2E7C" w:rsidRDefault="004B2E7C" w:rsidP="00434A6A">
      <w:pPr>
        <w:rPr>
          <w:rFonts w:asciiTheme="minorBidi" w:hAnsiTheme="minorBidi"/>
          <w:rtl/>
        </w:rPr>
      </w:pPr>
    </w:p>
    <w:p w14:paraId="2B82D835" w14:textId="77777777" w:rsidR="004B2E7C" w:rsidRDefault="004B2E7C" w:rsidP="00434A6A">
      <w:pPr>
        <w:pStyle w:val="2"/>
        <w:rPr>
          <w:rFonts w:asciiTheme="minorBidi" w:hAnsiTheme="minorBidi" w:cstheme="minorBidi"/>
          <w:rtl/>
        </w:rPr>
      </w:pPr>
      <w:r>
        <w:rPr>
          <w:rFonts w:asciiTheme="minorBidi" w:hAnsiTheme="minorBidi" w:cstheme="minorBidi"/>
          <w:rtl/>
        </w:rPr>
        <w:t>סעיף ח: כל שיכול לעשותו בשבת יכול לאומרו, והרוצה להחשיך בסוף התחום.</w:t>
      </w:r>
    </w:p>
    <w:p w14:paraId="55AD24D2" w14:textId="77777777" w:rsidR="004B2E7C" w:rsidRDefault="004B2E7C" w:rsidP="00434A6A">
      <w:pPr>
        <w:rPr>
          <w:rFonts w:asciiTheme="minorBidi" w:hAnsiTheme="minorBidi" w:cs="Arial"/>
          <w:rtl/>
        </w:rPr>
      </w:pPr>
      <w:r>
        <w:rPr>
          <w:rFonts w:asciiTheme="minorBidi" w:hAnsiTheme="minorBidi" w:cs="Arial"/>
          <w:b/>
          <w:bCs/>
          <w:rtl/>
        </w:rPr>
        <w:t xml:space="preserve">שבת קנ ע"ב: </w:t>
      </w:r>
      <w:r>
        <w:rPr>
          <w:rFonts w:asciiTheme="minorBidi" w:hAnsiTheme="minorBidi" w:cs="Arial"/>
          <w:u w:val="single"/>
          <w:rtl/>
        </w:rPr>
        <w:t>אמר רב יהודה אמר שמואל</w:t>
      </w:r>
      <w:r>
        <w:rPr>
          <w:rFonts w:asciiTheme="minorBidi" w:hAnsiTheme="minorBidi" w:cs="Arial"/>
          <w:rtl/>
        </w:rPr>
        <w:t>: מותר לאדם לומר לחבירו לכרך פלוני אני הולך למחר, שאם יש בורגנין</w:t>
      </w:r>
      <w:r>
        <w:rPr>
          <w:rStyle w:val="a9"/>
          <w:rFonts w:asciiTheme="minorBidi" w:hAnsiTheme="minorBidi" w:cs="Arial"/>
          <w:rtl/>
        </w:rPr>
        <w:footnoteReference w:id="1213"/>
      </w:r>
      <w:r>
        <w:rPr>
          <w:rFonts w:asciiTheme="minorBidi" w:hAnsiTheme="minorBidi" w:cs="Arial"/>
          <w:rtl/>
        </w:rPr>
        <w:t xml:space="preserve"> - הולך</w:t>
      </w:r>
      <w:r>
        <w:rPr>
          <w:rStyle w:val="a9"/>
          <w:rFonts w:asciiTheme="minorBidi" w:hAnsiTheme="minorBidi" w:cs="Arial"/>
          <w:rtl/>
        </w:rPr>
        <w:footnoteReference w:id="1214"/>
      </w:r>
      <w:r>
        <w:rPr>
          <w:rFonts w:asciiTheme="minorBidi" w:hAnsiTheme="minorBidi" w:cs="Arial"/>
          <w:rtl/>
        </w:rPr>
        <w:t>. תנן: אין מחשיכין על התחום לשכור פועלים ולהביא פירות. בשלמא לשכור פועלים - דבשבת לא מצי אגר, אלא להביא פירות - לימא: שאם יש שם מחיצות - מביא</w:t>
      </w:r>
      <w:r>
        <w:rPr>
          <w:rStyle w:val="a9"/>
          <w:rFonts w:asciiTheme="minorBidi" w:hAnsiTheme="minorBidi" w:cs="Arial"/>
          <w:rtl/>
        </w:rPr>
        <w:footnoteReference w:id="1215"/>
      </w:r>
      <w:r>
        <w:rPr>
          <w:rFonts w:asciiTheme="minorBidi" w:hAnsiTheme="minorBidi" w:cs="Arial"/>
          <w:rtl/>
        </w:rPr>
        <w:t>! משכחת לה בפירות המחוברים</w:t>
      </w:r>
      <w:r>
        <w:rPr>
          <w:rStyle w:val="a9"/>
          <w:rFonts w:asciiTheme="minorBidi" w:hAnsiTheme="minorBidi" w:cs="Arial"/>
          <w:rtl/>
        </w:rPr>
        <w:footnoteReference w:id="1216"/>
      </w:r>
      <w:r>
        <w:rPr>
          <w:rFonts w:asciiTheme="minorBidi" w:hAnsiTheme="minorBidi" w:cs="Arial"/>
          <w:rtl/>
        </w:rPr>
        <w:t>. והתני רבי אושעיא: אין מחשיכין על התחום להביא תבן וקש; בשלמא קש - משכחת לה במחובר. אלא תבן, היכי משכחת לה</w:t>
      </w:r>
      <w:r>
        <w:rPr>
          <w:rStyle w:val="a9"/>
          <w:rFonts w:asciiTheme="minorBidi" w:hAnsiTheme="minorBidi" w:cs="Arial"/>
          <w:rtl/>
        </w:rPr>
        <w:footnoteReference w:id="1217"/>
      </w:r>
      <w:r>
        <w:rPr>
          <w:rFonts w:asciiTheme="minorBidi" w:hAnsiTheme="minorBidi" w:cs="Arial"/>
          <w:rtl/>
        </w:rPr>
        <w:t>? בתיבנא סריא</w:t>
      </w:r>
      <w:r>
        <w:rPr>
          <w:rStyle w:val="a9"/>
          <w:rFonts w:asciiTheme="minorBidi" w:hAnsiTheme="minorBidi" w:cs="Arial"/>
          <w:rtl/>
        </w:rPr>
        <w:footnoteReference w:id="1218"/>
      </w:r>
      <w:r>
        <w:rPr>
          <w:rFonts w:asciiTheme="minorBidi" w:hAnsiTheme="minorBidi" w:cs="Arial"/>
          <w:rtl/>
        </w:rPr>
        <w:t xml:space="preserve">. </w:t>
      </w:r>
      <w:r>
        <w:rPr>
          <w:rFonts w:asciiTheme="minorBidi" w:hAnsiTheme="minorBidi" w:cs="Arial"/>
          <w:sz w:val="16"/>
          <w:szCs w:val="16"/>
          <w:rtl/>
        </w:rPr>
        <w:t>(וכ' הרא"ש (שם) כל דבר שיש בו צד היתר שיכול לעשותו בשבת יכול לומר אעשה זה למחר וכן יכול לומר לחבירו עשה לי דבר זה למחר ובלבד שלא יזכיר לו שכירות, ודבר שאין לו היתר לעשות היום אפילו אין בו אלא איסורא דרבנן אסור לומר אעשה דבר זה למחר או לומר לחבירו עשה לי)</w:t>
      </w:r>
    </w:p>
    <w:p w14:paraId="6E6A75A3" w14:textId="77777777" w:rsidR="004B2E7C" w:rsidRDefault="004B2E7C" w:rsidP="00434A6A">
      <w:pPr>
        <w:rPr>
          <w:rFonts w:asciiTheme="minorBidi" w:hAnsiTheme="minorBidi" w:cs="Arial"/>
          <w:rtl/>
        </w:rPr>
      </w:pPr>
      <w:r>
        <w:rPr>
          <w:rFonts w:asciiTheme="minorBidi" w:hAnsiTheme="minorBidi" w:cs="Arial"/>
          <w:u w:val="single"/>
          <w:rtl/>
        </w:rPr>
        <w:t>הא דהתירו לומר 'למחר אני הולך' – הוא דוקא כשהוא הולך לבד או דשרי גם כשרוצה לרמז לחברו שיבוא עמו לשם:</w:t>
      </w:r>
      <w:r>
        <w:rPr>
          <w:rFonts w:asciiTheme="minorBidi" w:hAnsiTheme="minorBidi" w:cs="Arial"/>
          <w:rtl/>
        </w:rPr>
        <w:t xml:space="preserve"> </w:t>
      </w:r>
    </w:p>
    <w:p w14:paraId="052FD6E5" w14:textId="77777777" w:rsidR="004B2E7C" w:rsidRDefault="004B2E7C" w:rsidP="00FF2D21">
      <w:pPr>
        <w:pStyle w:val="aa"/>
        <w:numPr>
          <w:ilvl w:val="0"/>
          <w:numId w:val="138"/>
        </w:numPr>
        <w:rPr>
          <w:rFonts w:asciiTheme="minorBidi" w:hAnsiTheme="minorBidi" w:cs="Arial"/>
        </w:rPr>
      </w:pPr>
      <w:r>
        <w:rPr>
          <w:rFonts w:asciiTheme="minorBidi" w:hAnsiTheme="minorBidi" w:cs="Arial"/>
          <w:rtl/>
        </w:rPr>
        <w:t>תוס' רמב"ן רשב"א רא"ש ור"ן</w:t>
      </w:r>
      <w:r>
        <w:rPr>
          <w:rStyle w:val="a9"/>
          <w:rFonts w:asciiTheme="minorBidi" w:hAnsiTheme="minorBidi" w:cs="Arial"/>
          <w:rtl/>
        </w:rPr>
        <w:footnoteReference w:id="1219"/>
      </w:r>
      <w:r>
        <w:rPr>
          <w:rFonts w:asciiTheme="minorBidi" w:hAnsiTheme="minorBidi" w:cs="Arial"/>
          <w:rtl/>
        </w:rPr>
        <w:t xml:space="preserve">- </w:t>
      </w:r>
      <w:r>
        <w:rPr>
          <w:rStyle w:val="a9"/>
          <w:rFonts w:asciiTheme="minorBidi" w:hAnsiTheme="minorBidi" w:cs="Arial"/>
          <w:rtl/>
        </w:rPr>
        <w:footnoteReference w:id="1220"/>
      </w:r>
      <w:r>
        <w:rPr>
          <w:rFonts w:asciiTheme="minorBidi" w:hAnsiTheme="minorBidi" w:cs="Arial"/>
          <w:rtl/>
        </w:rPr>
        <w:t xml:space="preserve">לא נקט שמואל דוקא לכרך פלוני </w:t>
      </w:r>
      <w:r>
        <w:rPr>
          <w:rFonts w:asciiTheme="minorBidi" w:hAnsiTheme="minorBidi" w:cs="Arial"/>
          <w:b/>
          <w:bCs/>
          <w:rtl/>
        </w:rPr>
        <w:t>אני</w:t>
      </w:r>
      <w:r>
        <w:rPr>
          <w:rFonts w:asciiTheme="minorBidi" w:hAnsiTheme="minorBidi" w:cs="Arial"/>
          <w:rtl/>
        </w:rPr>
        <w:t xml:space="preserve"> הולך דהוא הדין אפילו לחבירו יכול לומר לך לי לכרך פלוני למחר</w:t>
      </w:r>
      <w:r>
        <w:rPr>
          <w:rFonts w:asciiTheme="minorBidi" w:hAnsiTheme="minorBidi" w:cs="Arial"/>
          <w:sz w:val="16"/>
          <w:szCs w:val="16"/>
          <w:rtl/>
        </w:rPr>
        <w:t xml:space="preserve"> (ל' התוס')</w:t>
      </w:r>
      <w:r>
        <w:rPr>
          <w:rFonts w:asciiTheme="minorBidi" w:hAnsiTheme="minorBidi" w:cs="Arial"/>
          <w:rtl/>
        </w:rPr>
        <w:t xml:space="preserve">. </w:t>
      </w:r>
      <w:r>
        <w:rPr>
          <w:rFonts w:asciiTheme="minorBidi" w:hAnsiTheme="minorBidi"/>
          <w:color w:val="E36C0A" w:themeColor="accent6" w:themeShade="BF"/>
          <w:rtl/>
        </w:rPr>
        <w:t>(וכ"פ בשו"ע)</w:t>
      </w:r>
    </w:p>
    <w:p w14:paraId="1753B93B" w14:textId="77777777" w:rsidR="004B2E7C" w:rsidRDefault="004B2E7C" w:rsidP="00434A6A">
      <w:pPr>
        <w:rPr>
          <w:rFonts w:asciiTheme="minorBidi" w:hAnsiTheme="minorBidi" w:cs="Arial"/>
          <w:u w:val="single"/>
          <w:rtl/>
        </w:rPr>
      </w:pPr>
      <w:r>
        <w:rPr>
          <w:rFonts w:asciiTheme="minorBidi" w:hAnsiTheme="minorBidi" w:cs="Arial"/>
          <w:u w:val="single"/>
          <w:rtl/>
        </w:rPr>
        <w:t>הא דהתירו לומר 'למחר אני הולך' – הוא דוקא דאיכא סוכות בורגנין או דשרי אף דאין שם בורגנין ממש:</w:t>
      </w:r>
    </w:p>
    <w:p w14:paraId="01F5BC18" w14:textId="77777777" w:rsidR="004B2E7C" w:rsidRDefault="004B2E7C" w:rsidP="00FF2D21">
      <w:pPr>
        <w:pStyle w:val="aa"/>
        <w:numPr>
          <w:ilvl w:val="0"/>
          <w:numId w:val="138"/>
        </w:numPr>
        <w:rPr>
          <w:rFonts w:asciiTheme="minorBidi" w:hAnsiTheme="minorBidi" w:cs="Arial"/>
          <w:rtl/>
        </w:rPr>
      </w:pPr>
      <w:r>
        <w:rPr>
          <w:rFonts w:asciiTheme="minorBidi" w:hAnsiTheme="minorBidi" w:cs="Arial"/>
          <w:rtl/>
        </w:rPr>
        <w:t>רש"י</w:t>
      </w:r>
      <w:r>
        <w:rPr>
          <w:rFonts w:asciiTheme="minorBidi" w:hAnsiTheme="minorBidi" w:cs="Arial"/>
          <w:sz w:val="16"/>
          <w:szCs w:val="16"/>
          <w:rtl/>
        </w:rPr>
        <w:t xml:space="preserve"> (ד"ה שאם) </w:t>
      </w:r>
      <w:r>
        <w:rPr>
          <w:rFonts w:asciiTheme="minorBidi" w:hAnsiTheme="minorBidi" w:cs="Arial"/>
          <w:rtl/>
        </w:rPr>
        <w:t xml:space="preserve">- </w:t>
      </w:r>
      <w:r>
        <w:rPr>
          <w:rFonts w:cs="Arial"/>
          <w:rtl/>
        </w:rPr>
        <w:t xml:space="preserve">כיון דהוא דבר שיש לו היתר ע"י תקנה בשבת מותר לאומרו </w:t>
      </w:r>
      <w:r>
        <w:rPr>
          <w:rFonts w:cs="Arial"/>
          <w:b/>
          <w:bCs/>
          <w:rtl/>
        </w:rPr>
        <w:t>אפילו במקום שאין שם ההיתר</w:t>
      </w:r>
      <w:r>
        <w:rPr>
          <w:rStyle w:val="a9"/>
          <w:rFonts w:cs="Arial"/>
          <w:rtl/>
        </w:rPr>
        <w:footnoteReference w:id="1221"/>
      </w:r>
      <w:r>
        <w:rPr>
          <w:rFonts w:cs="Arial"/>
          <w:rtl/>
        </w:rPr>
        <w:t>.</w:t>
      </w:r>
      <w:r>
        <w:rPr>
          <w:rFonts w:asciiTheme="minorBidi" w:hAnsiTheme="minorBidi" w:cs="Arial"/>
          <w:rtl/>
        </w:rPr>
        <w:t xml:space="preserve"> </w:t>
      </w:r>
      <w:r>
        <w:rPr>
          <w:rFonts w:asciiTheme="minorBidi" w:hAnsiTheme="minorBidi"/>
          <w:color w:val="E36C0A" w:themeColor="accent6" w:themeShade="BF"/>
          <w:rtl/>
        </w:rPr>
        <w:t>(וכ"פ בשו"ע)</w:t>
      </w:r>
    </w:p>
    <w:p w14:paraId="4B3D85E9" w14:textId="77777777" w:rsidR="004B2E7C" w:rsidRDefault="004B2E7C" w:rsidP="00FF2D21">
      <w:pPr>
        <w:pStyle w:val="aa"/>
        <w:numPr>
          <w:ilvl w:val="0"/>
          <w:numId w:val="138"/>
        </w:numPr>
        <w:rPr>
          <w:rFonts w:asciiTheme="minorBidi" w:hAnsiTheme="minorBidi" w:cs="Arial"/>
        </w:rPr>
      </w:pPr>
      <w:r>
        <w:rPr>
          <w:rFonts w:asciiTheme="minorBidi" w:hAnsiTheme="minorBidi" w:cs="Arial"/>
          <w:rtl/>
        </w:rPr>
        <w:t xml:space="preserve">רי"ו </w:t>
      </w:r>
      <w:r>
        <w:rPr>
          <w:rFonts w:asciiTheme="minorBidi" w:hAnsiTheme="minorBidi" w:cs="Arial"/>
          <w:sz w:val="16"/>
          <w:szCs w:val="16"/>
          <w:rtl/>
        </w:rPr>
        <w:t>(ח"ז ני"ב, עו ע"ג)</w:t>
      </w:r>
      <w:r>
        <w:rPr>
          <w:rFonts w:asciiTheme="minorBidi" w:hAnsiTheme="minorBidi" w:cs="Arial"/>
          <w:rtl/>
        </w:rPr>
        <w:t>- דבר המותר לעשותו בשבת בעצמו כגון שהם תוך התחום או שיש בורגנין שיוכל לילך שם בשבת מותר</w:t>
      </w:r>
      <w:r>
        <w:rPr>
          <w:rStyle w:val="a9"/>
          <w:rFonts w:asciiTheme="minorBidi" w:hAnsiTheme="minorBidi" w:cs="Arial"/>
          <w:rtl/>
        </w:rPr>
        <w:footnoteReference w:id="1222"/>
      </w:r>
      <w:r>
        <w:rPr>
          <w:rFonts w:asciiTheme="minorBidi" w:hAnsiTheme="minorBidi" w:cs="Arial"/>
          <w:rtl/>
        </w:rPr>
        <w:t>.</w:t>
      </w:r>
    </w:p>
    <w:p w14:paraId="12472766" w14:textId="77777777" w:rsidR="004B2E7C" w:rsidRDefault="004B2E7C" w:rsidP="00434A6A">
      <w:pPr>
        <w:rPr>
          <w:rFonts w:asciiTheme="minorBidi" w:hAnsiTheme="minorBidi" w:cs="Arial"/>
          <w:rtl/>
        </w:rPr>
      </w:pPr>
      <w:r>
        <w:rPr>
          <w:rFonts w:asciiTheme="minorBidi" w:hAnsiTheme="minorBidi" w:cs="Arial"/>
          <w:b/>
          <w:bCs/>
          <w:rtl/>
        </w:rPr>
        <w:t xml:space="preserve">שבת קנ ע"א: </w:t>
      </w:r>
      <w:r>
        <w:rPr>
          <w:rFonts w:asciiTheme="minorBidi" w:hAnsiTheme="minorBidi" w:cs="Arial"/>
          <w:u w:val="double"/>
          <w:rtl/>
        </w:rPr>
        <w:t>משנה</w:t>
      </w:r>
      <w:r>
        <w:rPr>
          <w:rFonts w:asciiTheme="minorBidi" w:hAnsiTheme="minorBidi" w:cs="Arial"/>
          <w:rtl/>
        </w:rPr>
        <w:t>:... אין מחשיכין על התחום לשכור לו פועלים ולהביא פירות, אבל מחשיך הוא</w:t>
      </w:r>
      <w:r>
        <w:rPr>
          <w:rStyle w:val="a9"/>
          <w:rFonts w:asciiTheme="minorBidi" w:hAnsiTheme="minorBidi" w:cs="Arial"/>
          <w:rtl/>
        </w:rPr>
        <w:footnoteReference w:id="1223"/>
      </w:r>
      <w:r>
        <w:rPr>
          <w:rFonts w:asciiTheme="minorBidi" w:hAnsiTheme="minorBidi" w:cs="Arial"/>
          <w:rtl/>
        </w:rPr>
        <w:t xml:space="preserve"> לשמור, ומביא פירות בידו</w:t>
      </w:r>
      <w:r>
        <w:rPr>
          <w:rStyle w:val="a9"/>
          <w:rFonts w:asciiTheme="minorBidi" w:hAnsiTheme="minorBidi" w:cs="Arial"/>
          <w:rtl/>
        </w:rPr>
        <w:footnoteReference w:id="1224"/>
      </w:r>
      <w:r>
        <w:rPr>
          <w:rFonts w:asciiTheme="minorBidi" w:hAnsiTheme="minorBidi" w:cs="Arial"/>
          <w:rtl/>
        </w:rPr>
        <w:t xml:space="preserve">... </w:t>
      </w:r>
      <w:r>
        <w:rPr>
          <w:rFonts w:asciiTheme="minorBidi" w:hAnsiTheme="minorBidi" w:cs="Arial"/>
          <w:sz w:val="16"/>
          <w:szCs w:val="16"/>
          <w:rtl/>
        </w:rPr>
        <w:t xml:space="preserve">(וכ"פ הטור וז"ל- </w:t>
      </w:r>
      <w:r>
        <w:rPr>
          <w:rFonts w:asciiTheme="minorBidi" w:hAnsiTheme="minorBidi"/>
          <w:sz w:val="16"/>
          <w:szCs w:val="16"/>
          <w:rtl/>
        </w:rPr>
        <w:t>אסור לו להחשיך בסוף התחום כדי שימהר בלילה לילך שם להביאם</w:t>
      </w:r>
      <w:r>
        <w:rPr>
          <w:rFonts w:asciiTheme="minorBidi" w:hAnsiTheme="minorBidi"/>
          <w:sz w:val="14"/>
          <w:szCs w:val="14"/>
          <w:rtl/>
        </w:rPr>
        <w:t xml:space="preserve"> {את הפירות המוקצים}</w:t>
      </w:r>
      <w:r>
        <w:rPr>
          <w:rFonts w:asciiTheme="minorBidi" w:hAnsiTheme="minorBidi"/>
          <w:sz w:val="16"/>
          <w:szCs w:val="16"/>
          <w:rtl/>
        </w:rPr>
        <w:t xml:space="preserve">, אבל יכול להחשיך בסוף התחום כדי למהר לילך שם לשומרם שאפי' היום היה יכול לשומרם אם היה בתוך התחום, וכיון שלא כיון להחשיך אלא כדי לשומרם יכול אף להביאם. </w:t>
      </w:r>
      <w:r>
        <w:rPr>
          <w:rFonts w:asciiTheme="minorBidi" w:hAnsiTheme="minorBidi"/>
          <w:color w:val="E36C0A" w:themeColor="accent6" w:themeShade="BF"/>
          <w:sz w:val="16"/>
          <w:szCs w:val="16"/>
          <w:rtl/>
        </w:rPr>
        <w:t>וכ"פ בשו"ע</w:t>
      </w:r>
      <w:r>
        <w:rPr>
          <w:rFonts w:asciiTheme="minorBidi" w:hAnsiTheme="minorBidi" w:cs="Arial"/>
          <w:sz w:val="16"/>
          <w:szCs w:val="16"/>
          <w:rtl/>
        </w:rPr>
        <w:t>)</w:t>
      </w:r>
    </w:p>
    <w:p w14:paraId="4EBF1FD0"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5344B67" w14:textId="77777777" w:rsidR="004B2E7C" w:rsidRDefault="004B2E7C" w:rsidP="00434A6A">
      <w:pPr>
        <w:rPr>
          <w:rFonts w:asciiTheme="minorBidi" w:hAnsiTheme="minorBidi"/>
          <w:rtl/>
        </w:rPr>
      </w:pPr>
      <w:r>
        <w:rPr>
          <w:rFonts w:asciiTheme="minorBidi" w:hAnsiTheme="minorBidi"/>
          <w:rtl/>
        </w:rPr>
        <w:t>יכול לומר לחבירו לכרך פלוני אני הולך</w:t>
      </w:r>
      <w:r>
        <w:rPr>
          <w:rStyle w:val="a9"/>
          <w:rFonts w:asciiTheme="minorBidi" w:hAnsiTheme="minorBidi"/>
          <w:rtl/>
        </w:rPr>
        <w:footnoteReference w:id="1225"/>
      </w:r>
      <w:r>
        <w:rPr>
          <w:rFonts w:asciiTheme="minorBidi" w:hAnsiTheme="minorBidi"/>
          <w:rtl/>
        </w:rPr>
        <w:t xml:space="preserve"> למחר, וכן מותר לומר לו לך עמי לכרך פלוני למחר, כיון שהיום יכול לילך על ידי בורגנין, וכן כל כיוצא בזה שיש בו צד היתר לעשותו היום יכול לומר לחבירו שיעשנו למחר, ובלבד שלא יזכיר לו שכירות. אבל בדבר שאין בו צד היתר לעשותו היום, אפילו אם אין בו אלא איסור דרבנן, כגון שיש לו חוץ לתחום פירות מוקצים, כיון שאי אפשר לו להביאם היום אסור לומר לחבירו שיביאם לו למחר, וכן אסור לו להחשיך בסוף התחום כדי שימהר הלילה לילך שם להביאם. </w:t>
      </w:r>
      <w:r>
        <w:rPr>
          <w:rFonts w:asciiTheme="minorBidi" w:hAnsiTheme="minorBidi"/>
          <w:sz w:val="18"/>
          <w:szCs w:val="18"/>
          <w:rtl/>
        </w:rPr>
        <w:t>הגה: וכן לא יאמר: אעשה דבר פלוני למחר (הרא"ש פ' השואל וע"ל ריש הסי')</w:t>
      </w:r>
      <w:r>
        <w:rPr>
          <w:rFonts w:asciiTheme="minorBidi" w:hAnsiTheme="minorBidi"/>
          <w:rtl/>
        </w:rPr>
        <w:t xml:space="preserve">; אבל יכול להחשיך בסוף התחום כדי למהר לילך שם לשמרם, שאפילו היום היה יכול לשמרם אם הם היו בתוך התחום, ואם לא כוון להחשיך אלא לשמרם, יכול אף להביאם. </w:t>
      </w:r>
    </w:p>
    <w:p w14:paraId="123D63EB" w14:textId="77777777" w:rsidR="004B2E7C" w:rsidRDefault="004B2E7C" w:rsidP="00434A6A">
      <w:pPr>
        <w:rPr>
          <w:rFonts w:asciiTheme="minorBidi" w:hAnsiTheme="minorBidi"/>
          <w:rtl/>
        </w:rPr>
      </w:pPr>
    </w:p>
    <w:p w14:paraId="582EFC5F" w14:textId="77777777" w:rsidR="004B2E7C" w:rsidRDefault="004B2E7C" w:rsidP="00434A6A">
      <w:pPr>
        <w:pStyle w:val="2"/>
        <w:rPr>
          <w:rFonts w:asciiTheme="minorBidi" w:hAnsiTheme="minorBidi" w:cstheme="minorBidi"/>
          <w:rtl/>
        </w:rPr>
      </w:pPr>
      <w:r>
        <w:rPr>
          <w:rFonts w:asciiTheme="minorBidi" w:hAnsiTheme="minorBidi" w:cstheme="minorBidi"/>
          <w:rtl/>
        </w:rPr>
        <w:t>סעיף ט: הרוצה להחשיך בתוך התחום.</w:t>
      </w:r>
    </w:p>
    <w:p w14:paraId="1D94A5BA" w14:textId="77777777" w:rsidR="004B2E7C" w:rsidRDefault="004B2E7C" w:rsidP="00434A6A">
      <w:pPr>
        <w:rPr>
          <w:rFonts w:cs="Arial"/>
          <w:u w:val="single"/>
          <w:rtl/>
        </w:rPr>
      </w:pPr>
      <w:r>
        <w:rPr>
          <w:rFonts w:cs="Arial"/>
          <w:u w:val="single"/>
          <w:rtl/>
        </w:rPr>
        <w:t>אדם שרוצה להחשיך בתוך התחום כדי להביא פירותיו:</w:t>
      </w:r>
    </w:p>
    <w:p w14:paraId="6AA6828C" w14:textId="77777777" w:rsidR="004B2E7C" w:rsidRDefault="004B2E7C" w:rsidP="00FF2D21">
      <w:pPr>
        <w:pStyle w:val="aa"/>
        <w:numPr>
          <w:ilvl w:val="0"/>
          <w:numId w:val="139"/>
        </w:numPr>
        <w:rPr>
          <w:rFonts w:cs="Arial"/>
          <w:rtl/>
        </w:rPr>
      </w:pPr>
      <w:r>
        <w:rPr>
          <w:rFonts w:cs="Arial"/>
          <w:rtl/>
        </w:rPr>
        <w:t>תוס' רמב"ן רשב"א והה"מ</w:t>
      </w:r>
      <w:r>
        <w:rPr>
          <w:rStyle w:val="a9"/>
          <w:rFonts w:cs="Arial"/>
          <w:rtl/>
        </w:rPr>
        <w:footnoteReference w:id="1226"/>
      </w:r>
      <w:r>
        <w:rPr>
          <w:rFonts w:cs="Arial"/>
          <w:rtl/>
        </w:rPr>
        <w:t xml:space="preserve">- להביא פירות מחוברים וכיוצא בו לא אסרו אלא במחשיך על התחום משום דמוכחא מילתא אבל בתוך התחום דלא מינכרא מלתא כגון לגנתו ולחורבתו שבתוך התחום להחשיך ולתלוש פירות ועשבים מותר ואי קשיא ההיא </w:t>
      </w:r>
      <w:r>
        <w:rPr>
          <w:rFonts w:cs="Arial"/>
          <w:sz w:val="16"/>
          <w:szCs w:val="16"/>
          <w:rtl/>
        </w:rPr>
        <w:t xml:space="preserve">(עירובין לח:) </w:t>
      </w:r>
      <w:r>
        <w:rPr>
          <w:rFonts w:cs="Arial"/>
          <w:rtl/>
        </w:rPr>
        <w:t>דלא יהלך אדם בסוף שדהו וכו' וכן לא יהלך לטייל על פתח מדינה כדי שתחשך ויכנס למרחץ מיד יש לומר דהתם הוא שדה שהיא צריכה לניר ולעבוד מינכרא מילתא וכן מטייל לפתח המדינה שהמרחץ שם מינכרא מילתא ואתי לידי חשדא</w:t>
      </w:r>
      <w:r>
        <w:rPr>
          <w:rStyle w:val="a9"/>
          <w:rFonts w:cs="Arial"/>
          <w:rtl/>
        </w:rPr>
        <w:footnoteReference w:id="1227"/>
      </w:r>
      <w:r>
        <w:rPr>
          <w:rFonts w:cs="Arial"/>
          <w:sz w:val="16"/>
          <w:szCs w:val="16"/>
          <w:rtl/>
        </w:rPr>
        <w:t xml:space="preserve"> (ל' הה"מ בשם התוס')</w:t>
      </w:r>
      <w:r>
        <w:rPr>
          <w:rFonts w:cs="Arial"/>
          <w:rtl/>
        </w:rPr>
        <w:t xml:space="preserve">. </w:t>
      </w:r>
      <w:r>
        <w:rPr>
          <w:rFonts w:asciiTheme="minorBidi" w:hAnsiTheme="minorBidi"/>
          <w:color w:val="E36C0A" w:themeColor="accent6" w:themeShade="BF"/>
          <w:rtl/>
        </w:rPr>
        <w:t>(וכ"פ בשו"ע)</w:t>
      </w:r>
    </w:p>
    <w:p w14:paraId="10EB149F"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582D07C" w14:textId="77777777" w:rsidR="004B2E7C" w:rsidRDefault="004B2E7C" w:rsidP="00434A6A">
      <w:pPr>
        <w:rPr>
          <w:rFonts w:asciiTheme="minorBidi" w:hAnsiTheme="minorBidi"/>
          <w:rtl/>
        </w:rPr>
      </w:pPr>
      <w:r>
        <w:rPr>
          <w:rFonts w:asciiTheme="minorBidi" w:hAnsiTheme="minorBidi"/>
          <w:rtl/>
        </w:rPr>
        <w:t>מותר להחשיך לתלוש פירות ועשבים מגנתו וחורבתו שבתוך התחום</w:t>
      </w:r>
      <w:r>
        <w:rPr>
          <w:rStyle w:val="a9"/>
          <w:rFonts w:asciiTheme="minorBidi" w:hAnsiTheme="minorBidi"/>
          <w:rtl/>
        </w:rPr>
        <w:footnoteReference w:id="1228"/>
      </w:r>
      <w:r>
        <w:rPr>
          <w:rFonts w:asciiTheme="minorBidi" w:hAnsiTheme="minorBidi"/>
          <w:rtl/>
        </w:rPr>
        <w:t xml:space="preserve">, ולא אסרו להחשיך אלא בסוף התחום משום דמינכרא מלתא. </w:t>
      </w:r>
    </w:p>
    <w:p w14:paraId="2684EBC8" w14:textId="77777777" w:rsidR="004B2E7C" w:rsidRDefault="004B2E7C" w:rsidP="00434A6A">
      <w:pPr>
        <w:rPr>
          <w:rFonts w:asciiTheme="minorBidi" w:hAnsiTheme="minorBidi"/>
          <w:rtl/>
        </w:rPr>
      </w:pPr>
    </w:p>
    <w:p w14:paraId="54561D1D" w14:textId="77777777" w:rsidR="004B2E7C" w:rsidRDefault="004B2E7C" w:rsidP="00434A6A">
      <w:pPr>
        <w:pStyle w:val="2"/>
        <w:rPr>
          <w:rFonts w:asciiTheme="minorBidi" w:hAnsiTheme="minorBidi" w:cstheme="minorBidi"/>
          <w:rtl/>
        </w:rPr>
      </w:pPr>
      <w:r>
        <w:rPr>
          <w:rFonts w:asciiTheme="minorBidi" w:hAnsiTheme="minorBidi" w:cstheme="minorBidi"/>
          <w:rtl/>
        </w:rPr>
        <w:t>סעיף י: תנאי עם חברו – שמור לי פירות שבתחומך ואני אשמור לך פירותיך שבתחומי.</w:t>
      </w:r>
    </w:p>
    <w:p w14:paraId="06A7C9FD" w14:textId="77777777" w:rsidR="004B2E7C" w:rsidRDefault="004B2E7C" w:rsidP="00434A6A">
      <w:pPr>
        <w:rPr>
          <w:rFonts w:asciiTheme="minorBidi" w:hAnsiTheme="minorBidi"/>
          <w:rtl/>
        </w:rPr>
      </w:pPr>
      <w:r>
        <w:rPr>
          <w:rFonts w:asciiTheme="minorBidi" w:hAnsiTheme="minorBidi" w:cs="Arial"/>
          <w:b/>
          <w:bCs/>
          <w:rtl/>
        </w:rPr>
        <w:t xml:space="preserve">שבת קנא ע"א: </w:t>
      </w:r>
      <w:r>
        <w:rPr>
          <w:rFonts w:asciiTheme="minorBidi" w:hAnsiTheme="minorBidi" w:cs="Arial"/>
          <w:u w:val="single"/>
          <w:rtl/>
        </w:rPr>
        <w:t>דאמר רב יהודה אמר שמואל</w:t>
      </w:r>
      <w:r>
        <w:rPr>
          <w:rFonts w:asciiTheme="minorBidi" w:hAnsiTheme="minorBidi" w:cs="Arial"/>
          <w:rtl/>
        </w:rPr>
        <w:t>: מותר לאדם לומר לחבירו: שמור לי פירות שבתחומך, ואני אשמור לך פירות שבתחומי.</w:t>
      </w:r>
    </w:p>
    <w:p w14:paraId="6DFCAA53"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11F33EE" w14:textId="77777777" w:rsidR="004B2E7C" w:rsidRDefault="004B2E7C" w:rsidP="00434A6A">
      <w:pPr>
        <w:rPr>
          <w:rFonts w:asciiTheme="minorBidi" w:hAnsiTheme="minorBidi"/>
          <w:rtl/>
        </w:rPr>
      </w:pPr>
      <w:r>
        <w:rPr>
          <w:rFonts w:asciiTheme="minorBidi" w:hAnsiTheme="minorBidi"/>
          <w:rtl/>
        </w:rPr>
        <w:t>מותר לומר לחבירו שמור לי</w:t>
      </w:r>
      <w:r>
        <w:rPr>
          <w:rStyle w:val="a9"/>
          <w:rFonts w:asciiTheme="minorBidi" w:hAnsiTheme="minorBidi"/>
          <w:rtl/>
        </w:rPr>
        <w:footnoteReference w:id="1229"/>
      </w:r>
      <w:r>
        <w:rPr>
          <w:rFonts w:asciiTheme="minorBidi" w:hAnsiTheme="minorBidi"/>
          <w:rtl/>
        </w:rPr>
        <w:t xml:space="preserve"> פירות שבתחומך ואני אשמור פירותיך שבתחומי. </w:t>
      </w:r>
    </w:p>
    <w:p w14:paraId="7517FC03" w14:textId="77777777" w:rsidR="004B2E7C" w:rsidRDefault="004B2E7C" w:rsidP="00434A6A">
      <w:pPr>
        <w:rPr>
          <w:rFonts w:asciiTheme="minorBidi" w:hAnsiTheme="minorBidi"/>
          <w:rtl/>
        </w:rPr>
      </w:pPr>
    </w:p>
    <w:p w14:paraId="342BF507" w14:textId="77777777" w:rsidR="004B2E7C" w:rsidRDefault="004B2E7C" w:rsidP="00434A6A">
      <w:pPr>
        <w:pStyle w:val="2"/>
        <w:rPr>
          <w:rFonts w:asciiTheme="minorBidi" w:hAnsiTheme="minorBidi" w:cstheme="minorBidi"/>
          <w:rtl/>
        </w:rPr>
      </w:pPr>
      <w:r>
        <w:rPr>
          <w:rFonts w:asciiTheme="minorBidi" w:hAnsiTheme="minorBidi" w:cstheme="minorBidi"/>
          <w:rtl/>
        </w:rPr>
        <w:t>סעיף יא: השואל דבר מחבירו – לא יאמר הלויני.</w:t>
      </w:r>
    </w:p>
    <w:p w14:paraId="1563E3CA" w14:textId="77777777" w:rsidR="004B2E7C" w:rsidRDefault="004B2E7C" w:rsidP="00434A6A">
      <w:pPr>
        <w:rPr>
          <w:rFonts w:cs="Arial"/>
          <w:rtl/>
        </w:rPr>
      </w:pPr>
      <w:r>
        <w:rPr>
          <w:rFonts w:cs="Arial"/>
          <w:b/>
          <w:bCs/>
          <w:rtl/>
        </w:rPr>
        <w:t xml:space="preserve">שבת קמח ע"א: </w:t>
      </w:r>
      <w:r>
        <w:rPr>
          <w:rFonts w:cs="Arial"/>
          <w:u w:val="double"/>
          <w:rtl/>
        </w:rPr>
        <w:t>משנה</w:t>
      </w:r>
      <w:r>
        <w:rPr>
          <w:rFonts w:cs="Arial"/>
          <w:rtl/>
        </w:rPr>
        <w:t>: שואל אדם מחבירו כדי יין וכדי שמן, ובלבד שלא יאמר לו הלויני. וכן האשה מחבירתה ככרות. ואם אינו מאמינו - מניח טליתו אצלו, ועושה עמו חשבון לאחר שבת.</w:t>
      </w:r>
      <w:r>
        <w:rPr>
          <w:rtl/>
        </w:rPr>
        <w:t xml:space="preserve">    </w:t>
      </w:r>
      <w:r>
        <w:rPr>
          <w:rFonts w:cs="Arial"/>
          <w:u w:val="double"/>
          <w:rtl/>
        </w:rPr>
        <w:t>גמרא</w:t>
      </w:r>
      <w:r>
        <w:rPr>
          <w:rFonts w:cs="Arial"/>
          <w:rtl/>
        </w:rPr>
        <w:t xml:space="preserve">: </w:t>
      </w:r>
      <w:r>
        <w:rPr>
          <w:rFonts w:cs="Arial"/>
          <w:u w:val="single"/>
          <w:rtl/>
        </w:rPr>
        <w:t>אמר ליה רבא בר רב חנן לאביי</w:t>
      </w:r>
      <w:r>
        <w:rPr>
          <w:rFonts w:cs="Arial"/>
          <w:rtl/>
        </w:rPr>
        <w:t xml:space="preserve">: מאי שנא השאילני ומאי שנא הלויני? </w:t>
      </w:r>
      <w:r>
        <w:rPr>
          <w:rFonts w:cs="Arial"/>
          <w:u w:val="single"/>
          <w:rtl/>
        </w:rPr>
        <w:t>אמר ליה</w:t>
      </w:r>
      <w:r>
        <w:rPr>
          <w:rFonts w:cs="Arial"/>
          <w:rtl/>
        </w:rPr>
        <w:t xml:space="preserve">: השאילני - לא אתי למיכתב, הלויני - אתי למיכתב. והא כיון דבחול, זימנין דבעי למימר ליה הלויני ואמר ליה השאילני ולא קפיד עילויה, ואתי למיכתב, בשבת נמי אתי למיכתב! </w:t>
      </w:r>
      <w:r>
        <w:rPr>
          <w:rFonts w:cs="Arial"/>
          <w:u w:val="single"/>
          <w:rtl/>
        </w:rPr>
        <w:t>אמר ליה</w:t>
      </w:r>
      <w:r>
        <w:rPr>
          <w:rFonts w:cs="Arial"/>
          <w:rtl/>
        </w:rPr>
        <w:t xml:space="preserve">: (בחול דלא שנא כי אמר ליה הלויני לא שנא כי אמר ליה השאילני, לא קפדינן עילויה - אתי למיכתב), בשבת כיון דהשאילני הוא דשרו ליה רבנן הלויני לא שרו ליה - מינכרא מילתא, ולא אתי למיכתב.  </w:t>
      </w:r>
    </w:p>
    <w:p w14:paraId="3426727B" w14:textId="77777777" w:rsidR="004B2E7C" w:rsidRDefault="004B2E7C" w:rsidP="00434A6A">
      <w:pPr>
        <w:rPr>
          <w:rFonts w:asciiTheme="minorBidi" w:hAnsiTheme="minorBidi"/>
          <w:rtl/>
        </w:rPr>
      </w:pPr>
      <w:r>
        <w:rPr>
          <w:rFonts w:asciiTheme="minorBidi" w:hAnsiTheme="minorBidi"/>
          <w:u w:val="single"/>
          <w:rtl/>
        </w:rPr>
        <w:t>כיצד יאמר אם הוא מדבר בלשון לעז:</w:t>
      </w:r>
      <w:r>
        <w:rPr>
          <w:rFonts w:asciiTheme="minorBidi" w:hAnsiTheme="minorBidi"/>
          <w:rtl/>
        </w:rPr>
        <w:t xml:space="preserve"> </w:t>
      </w:r>
    </w:p>
    <w:p w14:paraId="4202B811" w14:textId="77777777" w:rsidR="004B2E7C" w:rsidRDefault="004B2E7C" w:rsidP="00FF2D21">
      <w:pPr>
        <w:pStyle w:val="aa"/>
        <w:numPr>
          <w:ilvl w:val="0"/>
          <w:numId w:val="139"/>
        </w:numPr>
        <w:rPr>
          <w:rFonts w:asciiTheme="minorBidi" w:hAnsiTheme="minorBidi"/>
          <w:b/>
          <w:bCs/>
          <w:u w:val="single"/>
          <w:rtl/>
        </w:rPr>
      </w:pPr>
      <w:r>
        <w:rPr>
          <w:rFonts w:asciiTheme="minorBidi" w:hAnsiTheme="minorBidi"/>
          <w:rtl/>
        </w:rPr>
        <w:t xml:space="preserve">ר"פ </w:t>
      </w:r>
      <w:r>
        <w:rPr>
          <w:rFonts w:asciiTheme="minorBidi" w:hAnsiTheme="minorBidi"/>
          <w:sz w:val="16"/>
          <w:szCs w:val="16"/>
          <w:rtl/>
        </w:rPr>
        <w:t>(כ"כ הטור בשמו)</w:t>
      </w:r>
      <w:r>
        <w:rPr>
          <w:rFonts w:asciiTheme="minorBidi" w:hAnsiTheme="minorBidi"/>
          <w:rtl/>
        </w:rPr>
        <w:t>- בלשון לעז הכל לשון אחד הוא</w:t>
      </w:r>
      <w:r>
        <w:rPr>
          <w:rStyle w:val="a9"/>
          <w:rFonts w:asciiTheme="minorBidi" w:hAnsiTheme="minorBidi"/>
          <w:rtl/>
        </w:rPr>
        <w:footnoteReference w:id="1230"/>
      </w:r>
      <w:r>
        <w:rPr>
          <w:rFonts w:asciiTheme="minorBidi" w:hAnsiTheme="minorBidi"/>
          <w:rtl/>
        </w:rPr>
        <w:t>.</w:t>
      </w:r>
    </w:p>
    <w:p w14:paraId="7D5C46C7" w14:textId="77777777" w:rsidR="004B2E7C" w:rsidRDefault="004B2E7C" w:rsidP="00FF2D21">
      <w:pPr>
        <w:pStyle w:val="aa"/>
        <w:numPr>
          <w:ilvl w:val="0"/>
          <w:numId w:val="139"/>
        </w:numPr>
        <w:rPr>
          <w:rFonts w:asciiTheme="minorBidi" w:hAnsiTheme="minorBidi"/>
          <w:b/>
          <w:bCs/>
          <w:u w:val="single"/>
        </w:rPr>
      </w:pPr>
      <w:r>
        <w:rPr>
          <w:rFonts w:cs="Arial"/>
          <w:rtl/>
        </w:rPr>
        <w:t xml:space="preserve">ר"ן </w:t>
      </w:r>
      <w:r>
        <w:rPr>
          <w:rFonts w:cs="Arial"/>
          <w:sz w:val="16"/>
          <w:szCs w:val="16"/>
          <w:rtl/>
        </w:rPr>
        <w:t xml:space="preserve">(סג. ד"ה אבל) </w:t>
      </w:r>
      <w:r>
        <w:rPr>
          <w:rFonts w:cs="Arial"/>
          <w:rtl/>
        </w:rPr>
        <w:t xml:space="preserve">בשם התוס' וסמ"ג </w:t>
      </w:r>
      <w:r>
        <w:rPr>
          <w:rFonts w:cs="Arial"/>
          <w:sz w:val="16"/>
          <w:szCs w:val="16"/>
          <w:rtl/>
        </w:rPr>
        <w:t>(לאוין סה, כב ע"ג)</w:t>
      </w:r>
      <w:r>
        <w:rPr>
          <w:rFonts w:cs="Arial"/>
          <w:rtl/>
        </w:rPr>
        <w:t>- בלשון לעז שאין חילוק בין הלויני להשאילני צריך שיאמר תן לי וכיוצא בו.</w:t>
      </w:r>
    </w:p>
    <w:p w14:paraId="581441FE" w14:textId="77777777" w:rsidR="004B2E7C" w:rsidRDefault="004B2E7C" w:rsidP="00434A6A">
      <w:pPr>
        <w:rPr>
          <w:rFonts w:asciiTheme="minorBidi" w:hAnsiTheme="minorBidi"/>
          <w:u w:val="single"/>
        </w:rPr>
      </w:pPr>
      <w:r>
        <w:rPr>
          <w:rFonts w:asciiTheme="minorBidi" w:hAnsiTheme="minorBidi"/>
          <w:u w:val="single"/>
          <w:rtl/>
        </w:rPr>
        <w:t>אדם שרוצה ללות אך אין חברו מאמינו:</w:t>
      </w:r>
    </w:p>
    <w:p w14:paraId="1C34974D" w14:textId="77777777" w:rsidR="004B2E7C" w:rsidRDefault="004B2E7C" w:rsidP="00FF2D21">
      <w:pPr>
        <w:pStyle w:val="aa"/>
        <w:numPr>
          <w:ilvl w:val="0"/>
          <w:numId w:val="139"/>
        </w:numPr>
        <w:rPr>
          <w:rFonts w:asciiTheme="minorBidi" w:hAnsiTheme="minorBidi"/>
          <w:b/>
          <w:bCs/>
          <w:u w:val="single"/>
        </w:rPr>
      </w:pPr>
      <w:r>
        <w:rPr>
          <w:rFonts w:cs="Arial"/>
          <w:rtl/>
        </w:rPr>
        <w:t xml:space="preserve">א"ח </w:t>
      </w:r>
      <w:r>
        <w:rPr>
          <w:rFonts w:cs="Arial"/>
          <w:sz w:val="16"/>
          <w:szCs w:val="16"/>
          <w:rtl/>
        </w:rPr>
        <w:t>(הל' שבת אות קפא)</w:t>
      </w:r>
      <w:r>
        <w:rPr>
          <w:rFonts w:cs="Arial"/>
          <w:rtl/>
        </w:rPr>
        <w:t xml:space="preserve">- הא דתנן </w:t>
      </w:r>
      <w:r>
        <w:rPr>
          <w:rFonts w:cs="Arial"/>
          <w:sz w:val="16"/>
          <w:szCs w:val="16"/>
          <w:rtl/>
        </w:rPr>
        <w:t xml:space="preserve">(קמח.) </w:t>
      </w:r>
      <w:r>
        <w:rPr>
          <w:rFonts w:cs="Arial"/>
          <w:rtl/>
        </w:rPr>
        <w:t xml:space="preserve">אם אינו מאמינו מניח טליתו אצלו ועושה עמו חשבון לאחר השבת כתב הרשב"א </w:t>
      </w:r>
      <w:r>
        <w:rPr>
          <w:rFonts w:cs="Arial"/>
          <w:sz w:val="16"/>
          <w:szCs w:val="16"/>
          <w:rtl/>
        </w:rPr>
        <w:t xml:space="preserve">(עבוה"ק בימ"ו ש"ב סי' ה) </w:t>
      </w:r>
      <w:r>
        <w:rPr>
          <w:rFonts w:cs="Arial"/>
          <w:rtl/>
        </w:rPr>
        <w:t>שמניחו אצלו סתם אבל לא יאמר לו הילך טליתי אצלך שזהו כמעשה חול.</w:t>
      </w:r>
    </w:p>
    <w:p w14:paraId="289D1946"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DDF6407" w14:textId="77777777" w:rsidR="004B2E7C" w:rsidRDefault="004B2E7C" w:rsidP="00434A6A">
      <w:pPr>
        <w:rPr>
          <w:rFonts w:asciiTheme="minorBidi" w:hAnsiTheme="minorBidi"/>
          <w:rtl/>
        </w:rPr>
      </w:pPr>
      <w:r>
        <w:rPr>
          <w:rFonts w:asciiTheme="minorBidi" w:hAnsiTheme="minorBidi"/>
          <w:rtl/>
        </w:rPr>
        <w:t>השואל דבר מחבירו לא יאמר לו: הלויני, דמשמע לזמן מרובה</w:t>
      </w:r>
      <w:r>
        <w:rPr>
          <w:rStyle w:val="a9"/>
          <w:rFonts w:asciiTheme="minorBidi" w:hAnsiTheme="minorBidi"/>
          <w:rtl/>
        </w:rPr>
        <w:footnoteReference w:id="1231"/>
      </w:r>
      <w:r>
        <w:rPr>
          <w:rFonts w:asciiTheme="minorBidi" w:hAnsiTheme="minorBidi"/>
          <w:rtl/>
        </w:rPr>
        <w:t xml:space="preserve"> ואיכא למיחש שמא יכתוב</w:t>
      </w:r>
      <w:r>
        <w:rPr>
          <w:rStyle w:val="a9"/>
          <w:rFonts w:asciiTheme="minorBidi" w:hAnsiTheme="minorBidi"/>
          <w:rtl/>
        </w:rPr>
        <w:footnoteReference w:id="1232"/>
      </w:r>
      <w:r>
        <w:rPr>
          <w:rFonts w:asciiTheme="minorBidi" w:hAnsiTheme="minorBidi"/>
          <w:rtl/>
        </w:rPr>
        <w:t>; אלא יאמר לו: השאילני. ובלשון לעז שאין חילוק בין הלויני להשאילני, צריך שיאמר: תן לי</w:t>
      </w:r>
      <w:r>
        <w:rPr>
          <w:rStyle w:val="a9"/>
          <w:rFonts w:asciiTheme="minorBidi" w:hAnsiTheme="minorBidi"/>
          <w:rtl/>
        </w:rPr>
        <w:footnoteReference w:id="1233"/>
      </w:r>
      <w:r>
        <w:rPr>
          <w:rFonts w:asciiTheme="minorBidi" w:hAnsiTheme="minorBidi"/>
          <w:rtl/>
        </w:rPr>
        <w:t xml:space="preserve">. </w:t>
      </w:r>
      <w:r>
        <w:rPr>
          <w:rFonts w:asciiTheme="minorBidi" w:hAnsiTheme="minorBidi"/>
          <w:sz w:val="18"/>
          <w:szCs w:val="18"/>
          <w:rtl/>
        </w:rPr>
        <w:t>הגה: וכשלוה בשבת ואינו רוצה להאמינו יניח משכון אצלו</w:t>
      </w:r>
      <w:r>
        <w:rPr>
          <w:rStyle w:val="a9"/>
          <w:rFonts w:asciiTheme="minorBidi" w:hAnsiTheme="minorBidi"/>
          <w:sz w:val="18"/>
          <w:szCs w:val="18"/>
          <w:rtl/>
        </w:rPr>
        <w:footnoteReference w:id="1234"/>
      </w:r>
      <w:r>
        <w:rPr>
          <w:rFonts w:asciiTheme="minorBidi" w:hAnsiTheme="minorBidi"/>
          <w:sz w:val="18"/>
          <w:szCs w:val="18"/>
          <w:rtl/>
        </w:rPr>
        <w:t>, אבל לא יאמר לו הילך משכון, דהוי כעובדא דחול (ב"י בשם א"ח). כשם שאין לוין בשבת, כך אין פורעין בשבת</w:t>
      </w:r>
      <w:r>
        <w:rPr>
          <w:rStyle w:val="a9"/>
          <w:rFonts w:asciiTheme="minorBidi" w:hAnsiTheme="minorBidi"/>
          <w:sz w:val="18"/>
          <w:szCs w:val="18"/>
          <w:rtl/>
        </w:rPr>
        <w:footnoteReference w:id="1235"/>
      </w:r>
      <w:r>
        <w:rPr>
          <w:rFonts w:asciiTheme="minorBidi" w:hAnsiTheme="minorBidi"/>
          <w:sz w:val="18"/>
          <w:szCs w:val="18"/>
          <w:rtl/>
        </w:rPr>
        <w:t xml:space="preserve"> (ריב"ש סי' קנו).</w:t>
      </w:r>
      <w:r>
        <w:rPr>
          <w:rFonts w:asciiTheme="minorBidi" w:hAnsiTheme="minorBidi"/>
          <w:rtl/>
        </w:rPr>
        <w:t xml:space="preserve"> </w:t>
      </w:r>
    </w:p>
    <w:p w14:paraId="6E0D32F6" w14:textId="77777777" w:rsidR="004B2E7C" w:rsidRDefault="004B2E7C" w:rsidP="00434A6A">
      <w:pPr>
        <w:rPr>
          <w:rFonts w:asciiTheme="minorBidi" w:hAnsiTheme="minorBidi"/>
          <w:rtl/>
        </w:rPr>
      </w:pPr>
    </w:p>
    <w:p w14:paraId="0B690015" w14:textId="77777777" w:rsidR="004B2E7C" w:rsidRDefault="004B2E7C" w:rsidP="00434A6A">
      <w:pPr>
        <w:pStyle w:val="2"/>
        <w:rPr>
          <w:rFonts w:asciiTheme="minorBidi" w:hAnsiTheme="minorBidi" w:cstheme="minorBidi"/>
          <w:rtl/>
        </w:rPr>
      </w:pPr>
      <w:r>
        <w:rPr>
          <w:rFonts w:asciiTheme="minorBidi" w:hAnsiTheme="minorBidi" w:cstheme="minorBidi"/>
          <w:rtl/>
        </w:rPr>
        <w:t xml:space="preserve">סעיף יב: קריאה מכתב שע"ג הכותל/טבלא/פנקס. </w:t>
      </w:r>
    </w:p>
    <w:p w14:paraId="5634CAB8" w14:textId="77777777" w:rsidR="004B2E7C" w:rsidRDefault="004B2E7C" w:rsidP="00434A6A">
      <w:pPr>
        <w:rPr>
          <w:rFonts w:cs="Arial"/>
          <w:rtl/>
        </w:rPr>
      </w:pPr>
      <w:r>
        <w:rPr>
          <w:rFonts w:cs="Arial"/>
          <w:b/>
          <w:bCs/>
          <w:rtl/>
        </w:rPr>
        <w:t xml:space="preserve">שבת קמח ע"ב: </w:t>
      </w:r>
      <w:r>
        <w:rPr>
          <w:rFonts w:cs="Arial"/>
          <w:u w:val="double"/>
          <w:rtl/>
        </w:rPr>
        <w:t>משנה</w:t>
      </w:r>
      <w:r>
        <w:rPr>
          <w:rFonts w:cs="Arial"/>
          <w:rtl/>
        </w:rPr>
        <w:t xml:space="preserve">: מונה אדם את אורחיו ואת פרפרותיו מפיו, אבל לא מן הכתב...  </w:t>
      </w:r>
      <w:r>
        <w:rPr>
          <w:rFonts w:cs="Arial"/>
          <w:u w:val="double"/>
          <w:rtl/>
        </w:rPr>
        <w:t>גמרא</w:t>
      </w:r>
      <w:r>
        <w:rPr>
          <w:rFonts w:cs="Arial"/>
          <w:rtl/>
        </w:rPr>
        <w:t xml:space="preserve">: מאי טעמא? </w:t>
      </w:r>
      <w:r>
        <w:rPr>
          <w:rFonts w:cs="Arial"/>
          <w:u w:val="single"/>
          <w:rtl/>
        </w:rPr>
        <w:t>רב ביבי אמר</w:t>
      </w:r>
      <w:r>
        <w:rPr>
          <w:rFonts w:cs="Arial"/>
          <w:rtl/>
        </w:rPr>
        <w:t xml:space="preserve">: גזירה שמא ימחוק. </w:t>
      </w:r>
      <w:r>
        <w:rPr>
          <w:rFonts w:cs="Arial"/>
          <w:u w:val="single"/>
          <w:rtl/>
        </w:rPr>
        <w:t>אביי אמר</w:t>
      </w:r>
      <w:r>
        <w:rPr>
          <w:rFonts w:cs="Arial"/>
          <w:rtl/>
        </w:rPr>
        <w:t>: גזירה שמא יקרא בשטרי הדיוטות. מאי בינייהו? איכא בינייהו: דכתב אכותל, ומידלי</w:t>
      </w:r>
      <w:r>
        <w:rPr>
          <w:rStyle w:val="a9"/>
          <w:rFonts w:cs="Arial"/>
          <w:rtl/>
        </w:rPr>
        <w:footnoteReference w:id="1236"/>
      </w:r>
      <w:r>
        <w:rPr>
          <w:rFonts w:cs="Arial"/>
          <w:rtl/>
        </w:rPr>
        <w:t>. למאן דאמר שמא ימחוק - לא חיישינן, ולמאן דאמר שמא יקרא - חיישינן. ולמאן דאמר שמא ימחוק ניחוש שמא יקרא! ותו: לשמא ימחוק לא חיישינן? והתניא: לא יקרא לאור הנר, ואמר רבה: אפילו גבוה שתי קומות, אפילו גבוה שתי מרדעות, אפילו עשרה בתים זה על גבי זה - לא יקרא</w:t>
      </w:r>
      <w:r>
        <w:rPr>
          <w:rStyle w:val="a9"/>
          <w:rFonts w:cs="Arial"/>
          <w:rtl/>
        </w:rPr>
        <w:footnoteReference w:id="1237"/>
      </w:r>
      <w:r>
        <w:rPr>
          <w:rFonts w:cs="Arial"/>
          <w:rtl/>
        </w:rPr>
        <w:t>! אלא, איכא בינייהו: דכתב אכותל ומיתתי</w:t>
      </w:r>
      <w:r>
        <w:rPr>
          <w:rStyle w:val="a9"/>
          <w:rFonts w:cs="Arial"/>
          <w:rtl/>
        </w:rPr>
        <w:footnoteReference w:id="1238"/>
      </w:r>
      <w:r>
        <w:rPr>
          <w:rFonts w:cs="Arial"/>
          <w:rtl/>
        </w:rPr>
        <w:t>, למאן דאמר שמא ימחוק - חיישינן, למאן דאמר שמא יקרא - לא חיישינן, גודא בשטרא לא מיחלף. ולמאן דאמר שמא יקרא ליחוש שמא ימחוק! אלא, איכא בינייהו: דחייק אטבלא ואפינקס. למאן דאמר שמא ימחוק - לא חיישינן. למאן דאמר שמא יקרא - חיישינן. ולמאן דאמר שמא ימחוק ליחוש שמא יקרא! וכי תימא: טבלא ופינקס בשטרא לא מיחלף - והתניא: מונה אדם כמה מבפנים וכמה מבחוץ, וכמה מנות עתיד להניח לפניהם מכתב שעל גבי הכותל, אבל לא מכתב שעל גבי טבלא ופינקס! היכי דמי? אילימא דכתיב מיכתב - מאי שנא הכא ומאי שנא הכא? אלא לאו - דחייק, וקתני: מכתב שעל גבי הכותל, אבל לא מכתב שעל גבי טבלא ופינקס</w:t>
      </w:r>
      <w:r>
        <w:rPr>
          <w:rStyle w:val="a9"/>
          <w:rFonts w:cs="Arial"/>
          <w:rtl/>
        </w:rPr>
        <w:footnoteReference w:id="1239"/>
      </w:r>
      <w:r>
        <w:rPr>
          <w:rFonts w:cs="Arial"/>
          <w:rtl/>
        </w:rPr>
        <w:t>! אלא לעולם דכתב אכותל ומידלי, ודקא קשיא לך דרבה - דרבה תנאי היא, דתניא: מונה אדם את אורחיו ואת פרפרותיו מפיו, אבל לא מן הכתב. רבי אחא מתיר מכתב שעל גבי הכותל. היכי דמי? אילימא דכתיב מתתא - ליחוש שמא ימחוק. אלא לאו - דכתב ומידלי. ושמע מינה: דרבה תנאי היא, שמע מינה.</w:t>
      </w:r>
    </w:p>
    <w:p w14:paraId="4251CB50" w14:textId="77777777" w:rsidR="004B2E7C" w:rsidRDefault="004B2E7C" w:rsidP="00434A6A">
      <w:pPr>
        <w:rPr>
          <w:rFonts w:cs="Arial"/>
          <w:u w:val="single"/>
          <w:rtl/>
        </w:rPr>
      </w:pPr>
      <w:r>
        <w:rPr>
          <w:rFonts w:cs="Arial"/>
          <w:u w:val="single"/>
          <w:rtl/>
        </w:rPr>
        <w:t>קריאה מכתב שעל גבי הכותל</w:t>
      </w:r>
      <w:r>
        <w:rPr>
          <w:rStyle w:val="a9"/>
          <w:rFonts w:cs="Arial"/>
          <w:u w:val="single"/>
          <w:rtl/>
        </w:rPr>
        <w:footnoteReference w:id="1240"/>
      </w:r>
      <w:r>
        <w:rPr>
          <w:rFonts w:cs="Arial"/>
          <w:u w:val="single"/>
          <w:rtl/>
        </w:rPr>
        <w:t>:</w:t>
      </w:r>
    </w:p>
    <w:p w14:paraId="56F18711" w14:textId="77777777" w:rsidR="004B2E7C" w:rsidRDefault="004B2E7C" w:rsidP="00FF2D21">
      <w:pPr>
        <w:pStyle w:val="aa"/>
        <w:numPr>
          <w:ilvl w:val="0"/>
          <w:numId w:val="139"/>
        </w:numPr>
        <w:rPr>
          <w:rFonts w:cs="Arial"/>
          <w:rtl/>
        </w:rPr>
      </w:pPr>
      <w:r>
        <w:rPr>
          <w:rFonts w:cs="Arial"/>
          <w:rtl/>
        </w:rPr>
        <w:t xml:space="preserve">רי"ף רא"ש </w:t>
      </w:r>
      <w:r>
        <w:rPr>
          <w:rFonts w:cs="Arial"/>
          <w:sz w:val="16"/>
          <w:szCs w:val="16"/>
          <w:rtl/>
        </w:rPr>
        <w:t xml:space="preserve">(שם) </w:t>
      </w:r>
      <w:r>
        <w:rPr>
          <w:rFonts w:cs="Arial"/>
          <w:rtl/>
        </w:rPr>
        <w:t xml:space="preserve">טור ור"ן </w:t>
      </w:r>
      <w:r>
        <w:rPr>
          <w:rFonts w:cs="Arial"/>
          <w:sz w:val="16"/>
          <w:szCs w:val="16"/>
          <w:rtl/>
        </w:rPr>
        <w:t>(סג: דבור ראשון)</w:t>
      </w:r>
      <w:r>
        <w:rPr>
          <w:rFonts w:cs="Arial"/>
          <w:rtl/>
        </w:rPr>
        <w:t>- הא דתניא מונה אדם... מכתב שע"ג כותל אבל לא מכתב שע"ג טבלא ופנקס אוקימנא בדחקיק מיחק דגודא בשטרא לא מיחלף אבל כתוב מכתב אסור</w:t>
      </w:r>
      <w:r>
        <w:rPr>
          <w:rStyle w:val="a9"/>
          <w:rFonts w:asciiTheme="minorBidi" w:hAnsiTheme="minorBidi"/>
          <w:rtl/>
        </w:rPr>
        <w:footnoteReference w:id="1241"/>
      </w:r>
      <w:r>
        <w:rPr>
          <w:rFonts w:cs="Arial"/>
          <w:rtl/>
        </w:rPr>
        <w:t xml:space="preserve"> בין מדלאי בין מתתאי</w:t>
      </w:r>
      <w:r>
        <w:rPr>
          <w:rFonts w:cs="Arial"/>
          <w:sz w:val="16"/>
          <w:szCs w:val="16"/>
          <w:rtl/>
        </w:rPr>
        <w:t xml:space="preserve"> (ל' הרא"ש)</w:t>
      </w:r>
      <w:r>
        <w:rPr>
          <w:rFonts w:cs="Arial"/>
          <w:rtl/>
        </w:rPr>
        <w:t>.</w:t>
      </w:r>
      <w:r>
        <w:rPr>
          <w:color w:val="E36C0A" w:themeColor="accent6" w:themeShade="BF"/>
          <w:rtl/>
        </w:rPr>
        <w:t xml:space="preserve"> (וכ"פ בשו"ע)</w:t>
      </w:r>
    </w:p>
    <w:p w14:paraId="0AD76A33" w14:textId="77777777" w:rsidR="004B2E7C" w:rsidRDefault="004B2E7C" w:rsidP="00434A6A">
      <w:pPr>
        <w:ind w:left="360"/>
        <w:rPr>
          <w:rFonts w:cs="Arial"/>
          <w:u w:val="dotted"/>
        </w:rPr>
      </w:pPr>
      <w:r>
        <w:rPr>
          <w:rFonts w:cs="Arial"/>
          <w:u w:val="dotted"/>
          <w:rtl/>
        </w:rPr>
        <w:t>ומה הדין אם חקק בטבלא ובפנקס:</w:t>
      </w:r>
    </w:p>
    <w:p w14:paraId="0511E3E6" w14:textId="77777777" w:rsidR="004B2E7C" w:rsidRDefault="004B2E7C" w:rsidP="00FF2D21">
      <w:pPr>
        <w:pStyle w:val="aa"/>
        <w:numPr>
          <w:ilvl w:val="0"/>
          <w:numId w:val="139"/>
        </w:numPr>
        <w:rPr>
          <w:rFonts w:cs="Arial"/>
        </w:rPr>
      </w:pPr>
      <w:r>
        <w:rPr>
          <w:rFonts w:cs="Arial"/>
          <w:rtl/>
        </w:rPr>
        <w:t xml:space="preserve">טור ור"ן </w:t>
      </w:r>
      <w:r>
        <w:rPr>
          <w:rFonts w:cs="Arial"/>
          <w:sz w:val="16"/>
          <w:szCs w:val="16"/>
          <w:rtl/>
        </w:rPr>
        <w:t>(סג: דבור ראשון)</w:t>
      </w:r>
      <w:r>
        <w:rPr>
          <w:rFonts w:cs="Arial"/>
          <w:rtl/>
        </w:rPr>
        <w:t>- כתב שעל גבי טבלא ופנקס אפילו חייק מיחק אסור אע"ג דלמחיקה ליכא למיחש כיון דחייק מיחק איכא למיחש שמא יקרא בשטרי הדיוטות דטבלא ופנקס בשטרא מחלפי</w:t>
      </w:r>
      <w:r>
        <w:rPr>
          <w:rFonts w:cs="Arial"/>
          <w:sz w:val="16"/>
          <w:szCs w:val="16"/>
          <w:rtl/>
        </w:rPr>
        <w:t xml:space="preserve"> (ל' הר"ן)</w:t>
      </w:r>
      <w:r>
        <w:rPr>
          <w:rFonts w:cs="Arial"/>
          <w:rtl/>
        </w:rPr>
        <w:t>.</w:t>
      </w:r>
      <w:r>
        <w:rPr>
          <w:color w:val="E36C0A" w:themeColor="accent6" w:themeShade="BF"/>
          <w:rtl/>
        </w:rPr>
        <w:t xml:space="preserve"> (וכ"פ בשו"ע)</w:t>
      </w:r>
    </w:p>
    <w:p w14:paraId="1A6098F7" w14:textId="77777777" w:rsidR="004B2E7C" w:rsidRDefault="004B2E7C" w:rsidP="00FF2D21">
      <w:pPr>
        <w:pStyle w:val="aa"/>
        <w:numPr>
          <w:ilvl w:val="0"/>
          <w:numId w:val="139"/>
        </w:numPr>
        <w:rPr>
          <w:rFonts w:cs="Arial"/>
        </w:rPr>
      </w:pPr>
      <w:r>
        <w:rPr>
          <w:rFonts w:cs="Arial"/>
          <w:rtl/>
        </w:rPr>
        <w:t xml:space="preserve">רמב"ם </w:t>
      </w:r>
      <w:r>
        <w:rPr>
          <w:rFonts w:cs="Arial"/>
          <w:sz w:val="16"/>
          <w:szCs w:val="16"/>
          <w:rtl/>
        </w:rPr>
        <w:t>(פכ"ג שם)</w:t>
      </w:r>
      <w:r>
        <w:rPr>
          <w:rFonts w:cs="Arial"/>
          <w:rtl/>
        </w:rPr>
        <w:t xml:space="preserve">- כל דחייק מיחק כיון דליכא למיחש למחיקה שרי אפילו בטבלא ופנקס. </w:t>
      </w:r>
    </w:p>
    <w:p w14:paraId="06D90E3B" w14:textId="77777777" w:rsidR="004B2E7C" w:rsidRDefault="004B2E7C" w:rsidP="00434A6A">
      <w:pPr>
        <w:rPr>
          <w:rFonts w:cs="Arial"/>
          <w:u w:val="single"/>
        </w:rPr>
      </w:pPr>
      <w:r>
        <w:rPr>
          <w:rFonts w:cs="Arial"/>
          <w:u w:val="single"/>
          <w:rtl/>
        </w:rPr>
        <w:t xml:space="preserve">קריאה מכתב </w:t>
      </w:r>
      <w:r>
        <w:rPr>
          <w:rFonts w:cs="Arial"/>
          <w:b/>
          <w:bCs/>
          <w:u w:val="single"/>
          <w:rtl/>
        </w:rPr>
        <w:t>שבולט</w:t>
      </w:r>
      <w:r>
        <w:rPr>
          <w:rFonts w:cs="Arial"/>
          <w:u w:val="single"/>
          <w:rtl/>
        </w:rPr>
        <w:t xml:space="preserve"> ע"ג הכותל:</w:t>
      </w:r>
    </w:p>
    <w:p w14:paraId="5003A062" w14:textId="77777777" w:rsidR="004B2E7C" w:rsidRDefault="004B2E7C" w:rsidP="00FF2D21">
      <w:pPr>
        <w:pStyle w:val="aa"/>
        <w:numPr>
          <w:ilvl w:val="0"/>
          <w:numId w:val="139"/>
        </w:numPr>
        <w:rPr>
          <w:rFonts w:cs="Arial"/>
        </w:rPr>
      </w:pPr>
      <w:r>
        <w:rPr>
          <w:rFonts w:cs="Arial"/>
          <w:rtl/>
        </w:rPr>
        <w:t xml:space="preserve">רי"ו </w:t>
      </w:r>
      <w:r>
        <w:rPr>
          <w:rFonts w:cs="Arial"/>
          <w:sz w:val="16"/>
          <w:szCs w:val="16"/>
          <w:rtl/>
        </w:rPr>
        <w:t>(חי"ז ני"ב, עו ע"א)</w:t>
      </w:r>
      <w:r>
        <w:rPr>
          <w:rFonts w:cs="Arial"/>
          <w:rtl/>
        </w:rPr>
        <w:t>- הא דשרינן בחקוק על הכותל דוקא כשהוא שוקע דליכא למיחש שמא ימחוק אבל אם הוא בולט אסור דחיישינן שמא ימחוק.</w:t>
      </w:r>
      <w:r>
        <w:rPr>
          <w:color w:val="E36C0A" w:themeColor="accent6" w:themeShade="BF"/>
          <w:rtl/>
        </w:rPr>
        <w:t xml:space="preserve"> (וכ"פ בשו"ע)</w:t>
      </w:r>
    </w:p>
    <w:p w14:paraId="362CBD39"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D640394" w14:textId="77777777" w:rsidR="004B2E7C" w:rsidRDefault="004B2E7C" w:rsidP="00434A6A">
      <w:pPr>
        <w:rPr>
          <w:rFonts w:asciiTheme="minorBidi" w:hAnsiTheme="minorBidi"/>
          <w:rtl/>
        </w:rPr>
      </w:pPr>
      <w:r>
        <w:rPr>
          <w:rFonts w:asciiTheme="minorBidi" w:hAnsiTheme="minorBidi"/>
          <w:rtl/>
        </w:rPr>
        <w:t>זימן אורחים והכין להם מיני מגדים וכתב בכתב כמה זימן וכמה מגדים הכין להם, אסור לקרותו בשבת אפילו אם הוא כתוב על גבי כותל גבוה הרבה</w:t>
      </w:r>
      <w:r>
        <w:rPr>
          <w:rStyle w:val="a9"/>
          <w:rFonts w:asciiTheme="minorBidi" w:hAnsiTheme="minorBidi"/>
          <w:rtl/>
        </w:rPr>
        <w:footnoteReference w:id="1242"/>
      </w:r>
      <w:r>
        <w:rPr>
          <w:rFonts w:asciiTheme="minorBidi" w:hAnsiTheme="minorBidi"/>
          <w:rtl/>
        </w:rPr>
        <w:t>, משום גזירה שמא יקרא בשטרי הדיוטות</w:t>
      </w:r>
      <w:r>
        <w:rPr>
          <w:rStyle w:val="a9"/>
          <w:rFonts w:asciiTheme="minorBidi" w:hAnsiTheme="minorBidi"/>
          <w:rtl/>
        </w:rPr>
        <w:footnoteReference w:id="1243"/>
      </w:r>
      <w:r>
        <w:rPr>
          <w:rFonts w:asciiTheme="minorBidi" w:hAnsiTheme="minorBidi"/>
          <w:rtl/>
        </w:rPr>
        <w:t xml:space="preserve">, דהיינו שטרי חובות וחשבונות </w:t>
      </w:r>
      <w:r>
        <w:rPr>
          <w:rFonts w:asciiTheme="minorBidi" w:hAnsiTheme="minorBidi"/>
          <w:sz w:val="18"/>
          <w:szCs w:val="18"/>
          <w:rtl/>
        </w:rPr>
        <w:t>הגה: אפילו לעיין בהם</w:t>
      </w:r>
      <w:r>
        <w:rPr>
          <w:rStyle w:val="a9"/>
          <w:rFonts w:asciiTheme="minorBidi" w:hAnsiTheme="minorBidi"/>
          <w:sz w:val="18"/>
          <w:szCs w:val="18"/>
          <w:rtl/>
        </w:rPr>
        <w:footnoteReference w:id="1244"/>
      </w:r>
      <w:r>
        <w:rPr>
          <w:rFonts w:asciiTheme="minorBidi" w:hAnsiTheme="minorBidi"/>
          <w:sz w:val="18"/>
          <w:szCs w:val="18"/>
          <w:rtl/>
        </w:rPr>
        <w:t xml:space="preserve"> בלא קריאה אסור (רא"ש טור ור"ן)</w:t>
      </w:r>
      <w:r>
        <w:rPr>
          <w:rFonts w:asciiTheme="minorBidi" w:hAnsiTheme="minorBidi"/>
          <w:rtl/>
        </w:rPr>
        <w:t xml:space="preserve">, אבל אם חקק בכותל חקיקה שוקעת, מותר, אבל בטבלא ופנקס אפילו אם הוא חקוק אסור לקרותו. </w:t>
      </w:r>
    </w:p>
    <w:p w14:paraId="30EA36BC" w14:textId="77777777" w:rsidR="004B2E7C" w:rsidRDefault="004B2E7C" w:rsidP="00434A6A">
      <w:pPr>
        <w:rPr>
          <w:rFonts w:asciiTheme="minorBidi" w:hAnsiTheme="minorBidi" w:cs="Arial"/>
          <w:rtl/>
        </w:rPr>
      </w:pPr>
      <w:r>
        <w:rPr>
          <w:rFonts w:asciiTheme="minorBidi" w:hAnsiTheme="minorBidi" w:cs="Arial"/>
          <w:u w:val="single"/>
          <w:rtl/>
        </w:rPr>
        <w:t>קריאת האורחים לסעודה ע"י השמש:</w:t>
      </w:r>
      <w:r>
        <w:rPr>
          <w:rFonts w:asciiTheme="minorBidi" w:hAnsiTheme="minorBidi" w:cs="Arial"/>
          <w:rtl/>
        </w:rPr>
        <w:t xml:space="preserve"> </w:t>
      </w:r>
    </w:p>
    <w:p w14:paraId="2442886A" w14:textId="77777777" w:rsidR="004B2E7C" w:rsidRDefault="004B2E7C" w:rsidP="00FF2D21">
      <w:pPr>
        <w:pStyle w:val="aa"/>
        <w:numPr>
          <w:ilvl w:val="0"/>
          <w:numId w:val="139"/>
        </w:numPr>
        <w:rPr>
          <w:rFonts w:asciiTheme="minorBidi" w:hAnsiTheme="minorBidi"/>
          <w:rtl/>
        </w:rPr>
      </w:pPr>
      <w:r>
        <w:rPr>
          <w:rFonts w:cs="Arial"/>
          <w:rtl/>
        </w:rPr>
        <w:t>ב"ח</w:t>
      </w:r>
      <w:r>
        <w:rPr>
          <w:rFonts w:asciiTheme="minorBidi" w:hAnsiTheme="minorBidi" w:cs="Arial"/>
          <w:rtl/>
        </w:rPr>
        <w:t xml:space="preserve"> כנה"ג </w:t>
      </w:r>
      <w:r>
        <w:rPr>
          <w:rFonts w:asciiTheme="minorBidi" w:hAnsiTheme="minorBidi" w:cs="Arial"/>
          <w:sz w:val="16"/>
          <w:szCs w:val="16"/>
          <w:rtl/>
        </w:rPr>
        <w:t xml:space="preserve">(מהדו"ב הגב"י אות ח) </w:t>
      </w:r>
      <w:r>
        <w:rPr>
          <w:rFonts w:asciiTheme="minorBidi" w:hAnsiTheme="minorBidi" w:cs="Arial"/>
          <w:rtl/>
        </w:rPr>
        <w:t xml:space="preserve">ועולת שבת </w:t>
      </w:r>
      <w:r>
        <w:rPr>
          <w:rFonts w:asciiTheme="minorBidi" w:hAnsiTheme="minorBidi" w:cs="Arial"/>
          <w:sz w:val="16"/>
          <w:szCs w:val="16"/>
          <w:rtl/>
        </w:rPr>
        <w:t>(סקי"ד)</w:t>
      </w:r>
      <w:r>
        <w:rPr>
          <w:rFonts w:asciiTheme="minorBidi" w:hAnsiTheme="minorBidi" w:cs="Arial"/>
          <w:rtl/>
        </w:rPr>
        <w:t>- אלו שכותבין הקרואים לסעודה ונותנין לשמש... הכל אסור מצד הדין</w:t>
      </w:r>
      <w:r>
        <w:rPr>
          <w:rStyle w:val="a9"/>
          <w:rFonts w:asciiTheme="minorBidi" w:hAnsiTheme="minorBidi" w:cs="Arial"/>
          <w:rtl/>
        </w:rPr>
        <w:footnoteReference w:id="1245"/>
      </w:r>
      <w:r>
        <w:rPr>
          <w:rFonts w:asciiTheme="minorBidi" w:hAnsiTheme="minorBidi" w:cs="Arial"/>
          <w:sz w:val="16"/>
          <w:szCs w:val="16"/>
          <w:rtl/>
        </w:rPr>
        <w:t xml:space="preserve"> (ל' העול"ש)</w:t>
      </w:r>
      <w:r>
        <w:rPr>
          <w:rFonts w:asciiTheme="minorBidi" w:hAnsiTheme="minorBidi" w:cs="Arial"/>
          <w:rtl/>
        </w:rPr>
        <w:t xml:space="preserve">. </w:t>
      </w:r>
      <w:r>
        <w:rPr>
          <w:rFonts w:cs="Arial"/>
          <w:rtl/>
        </w:rPr>
        <w:t>נהי דלשמא ימחוק ליכא למיחש אלא כשבעל הסעודה בעצמו קורא מ"מ איכא למיגזר משום שמא יקרא כו'</w:t>
      </w:r>
      <w:r>
        <w:rPr>
          <w:rFonts w:cs="Arial"/>
          <w:sz w:val="16"/>
          <w:szCs w:val="16"/>
          <w:rtl/>
        </w:rPr>
        <w:t xml:space="preserve"> (ל' הב"ח)</w:t>
      </w:r>
      <w:r>
        <w:rPr>
          <w:rFonts w:cs="Arial"/>
          <w:rtl/>
        </w:rPr>
        <w:t xml:space="preserve">. </w:t>
      </w:r>
      <w:r>
        <w:rPr>
          <w:rFonts w:asciiTheme="minorBidi" w:hAnsiTheme="minorBidi"/>
          <w:rtl/>
        </w:rPr>
        <w:t xml:space="preserve"> </w:t>
      </w:r>
    </w:p>
    <w:p w14:paraId="2778143D" w14:textId="77777777" w:rsidR="004B2E7C" w:rsidRDefault="004B2E7C" w:rsidP="00FF2D21">
      <w:pPr>
        <w:pStyle w:val="aa"/>
        <w:numPr>
          <w:ilvl w:val="0"/>
          <w:numId w:val="139"/>
        </w:numPr>
        <w:rPr>
          <w:rFonts w:asciiTheme="minorBidi" w:hAnsiTheme="minorBidi"/>
        </w:rPr>
      </w:pPr>
      <w:r>
        <w:rPr>
          <w:rFonts w:cs="Arial"/>
          <w:rtl/>
        </w:rPr>
        <w:t xml:space="preserve">מג"א </w:t>
      </w:r>
      <w:r>
        <w:rPr>
          <w:rFonts w:cs="Arial"/>
          <w:sz w:val="16"/>
          <w:szCs w:val="16"/>
          <w:rtl/>
        </w:rPr>
        <w:t>(סקט"ז)</w:t>
      </w:r>
      <w:r>
        <w:rPr>
          <w:rFonts w:cs="Arial"/>
          <w:rtl/>
        </w:rPr>
        <w:t xml:space="preserve"> ומשנ"ב </w:t>
      </w:r>
      <w:r>
        <w:rPr>
          <w:rFonts w:cs="Arial"/>
          <w:sz w:val="16"/>
          <w:szCs w:val="16"/>
          <w:rtl/>
        </w:rPr>
        <w:t>(סקמ"ז)</w:t>
      </w:r>
      <w:r>
        <w:rPr>
          <w:rFonts w:cs="Arial"/>
          <w:rtl/>
        </w:rPr>
        <w:t>- אני אומר מנהג ישראל תורה הוא דהא חשבונות של מצוה שרי כמ"ש סי' שו ס"ו ולא גזרינן אטו חשבונות שאינן של מצוה כ"ש הכא דהוא גופה גזירה אטו שטרי חשבונות דשרי בשל מצוה, וע"ש סי"ב דצרכי רבים שרי</w:t>
      </w:r>
      <w:r>
        <w:rPr>
          <w:rFonts w:cs="Arial"/>
          <w:sz w:val="16"/>
          <w:szCs w:val="16"/>
          <w:rtl/>
        </w:rPr>
        <w:t xml:space="preserve"> (ל' המג"א)</w:t>
      </w:r>
      <w:r>
        <w:rPr>
          <w:rFonts w:cs="Arial"/>
          <w:rtl/>
        </w:rPr>
        <w:t>. וכ"ש דמותר לשמש להכריז כרוז בבהמ"ד מתוך הכתב</w:t>
      </w:r>
      <w:r>
        <w:rPr>
          <w:rFonts w:cs="Arial"/>
          <w:sz w:val="16"/>
          <w:szCs w:val="16"/>
          <w:rtl/>
        </w:rPr>
        <w:t xml:space="preserve"> (ל' המשנ"ב)</w:t>
      </w:r>
      <w:r>
        <w:rPr>
          <w:rFonts w:cs="Arial"/>
          <w:rtl/>
        </w:rPr>
        <w:t>.</w:t>
      </w:r>
    </w:p>
    <w:p w14:paraId="44AD37CF" w14:textId="77777777" w:rsidR="004B2E7C" w:rsidRDefault="004B2E7C" w:rsidP="00FF2D21">
      <w:pPr>
        <w:pStyle w:val="aa"/>
        <w:numPr>
          <w:ilvl w:val="0"/>
          <w:numId w:val="139"/>
        </w:numPr>
        <w:rPr>
          <w:rFonts w:asciiTheme="minorBidi" w:hAnsiTheme="minorBidi"/>
        </w:rPr>
      </w:pPr>
      <w:r>
        <w:rPr>
          <w:rFonts w:cs="Arial"/>
          <w:rtl/>
        </w:rPr>
        <w:t xml:space="preserve">שע"ת </w:t>
      </w:r>
      <w:r>
        <w:rPr>
          <w:sz w:val="16"/>
          <w:szCs w:val="16"/>
          <w:rtl/>
        </w:rPr>
        <w:t>(הביאו המשנ"ב סקמ"ז, ואולי אף ס"ל כוותיה)</w:t>
      </w:r>
      <w:r>
        <w:rPr>
          <w:rFonts w:cs="Arial"/>
          <w:rtl/>
        </w:rPr>
        <w:t>- יש ליישב המנהג להקל להשמש לקרוא מתוך הכתב אפילו לסעודת הרשות דעל השמש מעיקרא לא גזרו כדי שלא יטעה ויביא לידי חורבן ותקלה כעובדא דקמצא ובר קמצא</w:t>
      </w:r>
      <w:r>
        <w:rPr>
          <w:rtl/>
        </w:rPr>
        <w:t>.</w:t>
      </w:r>
    </w:p>
    <w:p w14:paraId="4442DD43" w14:textId="77777777" w:rsidR="004B2E7C" w:rsidRDefault="004B2E7C" w:rsidP="00434A6A">
      <w:pPr>
        <w:rPr>
          <w:rFonts w:asciiTheme="minorBidi" w:hAnsiTheme="minorBidi"/>
          <w:rtl/>
        </w:rPr>
      </w:pPr>
    </w:p>
    <w:p w14:paraId="542F1DBE" w14:textId="77777777" w:rsidR="004B2E7C" w:rsidRDefault="004B2E7C" w:rsidP="00434A6A">
      <w:pPr>
        <w:pStyle w:val="2"/>
        <w:rPr>
          <w:rFonts w:asciiTheme="minorBidi" w:hAnsiTheme="minorBidi" w:cstheme="minorBidi"/>
          <w:rtl/>
        </w:rPr>
      </w:pPr>
      <w:r>
        <w:rPr>
          <w:rFonts w:asciiTheme="minorBidi" w:hAnsiTheme="minorBidi" w:cstheme="minorBidi"/>
          <w:rtl/>
        </w:rPr>
        <w:t>סעיף יג: שטרי הדיוטות.</w:t>
      </w:r>
    </w:p>
    <w:p w14:paraId="2E94EA06" w14:textId="77777777" w:rsidR="004B2E7C" w:rsidRDefault="004B2E7C" w:rsidP="00434A6A">
      <w:pPr>
        <w:rPr>
          <w:rFonts w:asciiTheme="minorBidi" w:hAnsiTheme="minorBidi"/>
          <w:rtl/>
        </w:rPr>
      </w:pPr>
      <w:r>
        <w:rPr>
          <w:rFonts w:asciiTheme="minorBidi" w:hAnsiTheme="minorBidi" w:cs="Arial"/>
          <w:b/>
          <w:bCs/>
          <w:rtl/>
        </w:rPr>
        <w:t xml:space="preserve">שבת קטז ע"ב: </w:t>
      </w:r>
      <w:r>
        <w:rPr>
          <w:rFonts w:asciiTheme="minorBidi" w:hAnsiTheme="minorBidi" w:cs="Arial"/>
          <w:u w:val="single"/>
          <w:rtl/>
        </w:rPr>
        <w:t>אמר רבי נחמיה</w:t>
      </w:r>
      <w:r>
        <w:rPr>
          <w:rFonts w:asciiTheme="minorBidi" w:hAnsiTheme="minorBidi" w:cs="Arial"/>
          <w:rtl/>
        </w:rPr>
        <w:t xml:space="preserve">: מפני מה אמרו, כתבי הקדש אין קורין בהן - כדי שיאמרו: בכתבי הקדש אין קורין, וכל שכן בשטרי הדיוטות. </w:t>
      </w:r>
    </w:p>
    <w:p w14:paraId="21E2C684" w14:textId="77777777" w:rsidR="004B2E7C" w:rsidRDefault="004B2E7C" w:rsidP="00434A6A">
      <w:pPr>
        <w:rPr>
          <w:rFonts w:asciiTheme="minorBidi" w:hAnsiTheme="minorBidi"/>
          <w:rtl/>
        </w:rPr>
      </w:pPr>
      <w:r>
        <w:rPr>
          <w:rFonts w:asciiTheme="minorBidi" w:hAnsiTheme="minorBidi" w:cs="Arial"/>
          <w:b/>
          <w:bCs/>
          <w:rtl/>
        </w:rPr>
        <w:t>ירושלמי</w:t>
      </w:r>
      <w:r>
        <w:rPr>
          <w:rFonts w:asciiTheme="minorBidi" w:hAnsiTheme="minorBidi" w:cs="Arial"/>
          <w:b/>
          <w:bCs/>
          <w:sz w:val="16"/>
          <w:szCs w:val="16"/>
          <w:rtl/>
        </w:rPr>
        <w:t xml:space="preserve"> (וילנא)</w:t>
      </w:r>
      <w:r>
        <w:rPr>
          <w:rFonts w:asciiTheme="minorBidi" w:hAnsiTheme="minorBidi" w:cs="Arial"/>
          <w:b/>
          <w:bCs/>
          <w:rtl/>
        </w:rPr>
        <w:t xml:space="preserve"> שבת פט"ז ה"א: </w:t>
      </w:r>
      <w:r>
        <w:rPr>
          <w:rFonts w:asciiTheme="minorBidi" w:hAnsiTheme="minorBidi" w:cs="Arial"/>
          <w:rtl/>
        </w:rPr>
        <w:t>דתני ר' נחמיה מפני מה אין קורין בכתבי הקודש אלא מן המנחה ולמעלה מפני שטרי הדיוטות שאם אומר את לו שהוא מותר אף הוא אומר מה בכך שנתעסק בשטרותיו. מתוך שאת אומר לו שהוא אסור. אף הוא אומר כתבי הקודש אסור שטרי הדיוטות לא כל שכן.</w:t>
      </w:r>
    </w:p>
    <w:p w14:paraId="13E683BB" w14:textId="77777777" w:rsidR="004B2E7C" w:rsidRDefault="004B2E7C" w:rsidP="00434A6A">
      <w:pPr>
        <w:rPr>
          <w:rFonts w:cs="Arial"/>
          <w:u w:val="single"/>
          <w:rtl/>
        </w:rPr>
      </w:pPr>
      <w:r>
        <w:rPr>
          <w:rFonts w:cs="Arial"/>
          <w:u w:val="single"/>
          <w:rtl/>
        </w:rPr>
        <w:t>מהם שטרי הדיוטות:</w:t>
      </w:r>
    </w:p>
    <w:p w14:paraId="0D58653E" w14:textId="77777777" w:rsidR="004B2E7C" w:rsidRDefault="004B2E7C" w:rsidP="00FF2D21">
      <w:pPr>
        <w:pStyle w:val="aa"/>
        <w:numPr>
          <w:ilvl w:val="0"/>
          <w:numId w:val="140"/>
        </w:numPr>
        <w:rPr>
          <w:rFonts w:cs="Arial"/>
          <w:rtl/>
        </w:rPr>
      </w:pPr>
      <w:r>
        <w:rPr>
          <w:rFonts w:cs="Arial"/>
          <w:rtl/>
        </w:rPr>
        <w:t xml:space="preserve">ר"י </w:t>
      </w:r>
      <w:r>
        <w:rPr>
          <w:rFonts w:cs="Arial"/>
          <w:sz w:val="16"/>
          <w:szCs w:val="16"/>
          <w:rtl/>
        </w:rPr>
        <w:t>(כ"כ התוס' [קטז: ד"ה וכ"ש] בשמו)</w:t>
      </w:r>
      <w:r>
        <w:rPr>
          <w:rFonts w:cs="Arial"/>
          <w:rtl/>
        </w:rPr>
        <w:t xml:space="preserve">- </w:t>
      </w:r>
      <w:r>
        <w:rPr>
          <w:rStyle w:val="a9"/>
          <w:rFonts w:cs="Arial"/>
          <w:rtl/>
        </w:rPr>
        <w:footnoteReference w:id="1246"/>
      </w:r>
      <w:r>
        <w:rPr>
          <w:rFonts w:cs="Arial"/>
          <w:rtl/>
        </w:rPr>
        <w:t>לא קרי שטרי הדיוטות אלא שטרי חובות וכיוצא בהם אבל אגרות שרי דפעמים שיש בהם פיקוח נפש.</w:t>
      </w:r>
    </w:p>
    <w:p w14:paraId="1330B9DE" w14:textId="77777777" w:rsidR="004B2E7C" w:rsidRDefault="004B2E7C" w:rsidP="00FF2D21">
      <w:pPr>
        <w:pStyle w:val="aa"/>
        <w:numPr>
          <w:ilvl w:val="0"/>
          <w:numId w:val="140"/>
        </w:numPr>
        <w:rPr>
          <w:rFonts w:cs="Arial"/>
          <w:rtl/>
        </w:rPr>
      </w:pPr>
      <w:r>
        <w:rPr>
          <w:rFonts w:cs="Arial"/>
          <w:rtl/>
        </w:rPr>
        <w:t>ר"ת ראבי"ה מהר"ם והג"א</w:t>
      </w:r>
      <w:r>
        <w:rPr>
          <w:rStyle w:val="a9"/>
          <w:rFonts w:cs="Arial"/>
          <w:rtl/>
        </w:rPr>
        <w:footnoteReference w:id="1247"/>
      </w:r>
      <w:r>
        <w:rPr>
          <w:rFonts w:cs="Arial"/>
          <w:rtl/>
        </w:rPr>
        <w:t>- למדנו שאם הביא גוי חוץ לתחום כתב לישראל בשבת או בי"ט שמותר לקבלו ואינו מוקצה... ואין לאסור לקרות בו משום שמא יקרא בשטרי הדיוטות כדאיתא בשבת פרק שואל, דהנ"מ שט"ח ומונה אדם אורחיו דדומה לשט"ח שבדעתו לכתוב ולמנות אורחיו הלכך גזרינן אבל שאר כתבים</w:t>
      </w:r>
      <w:r>
        <w:rPr>
          <w:rFonts w:cs="Arial"/>
          <w:sz w:val="16"/>
          <w:szCs w:val="16"/>
          <w:rtl/>
        </w:rPr>
        <w:t xml:space="preserve"> (ל' ראבי"ה, כ"כ המרדכי בשמו)</w:t>
      </w:r>
      <w:r>
        <w:rPr>
          <w:rStyle w:val="a9"/>
          <w:rFonts w:cs="Arial"/>
          <w:rtl/>
        </w:rPr>
        <w:footnoteReference w:id="1248"/>
      </w:r>
      <w:r>
        <w:rPr>
          <w:rFonts w:cs="Arial"/>
          <w:rtl/>
        </w:rPr>
        <w:t>.</w:t>
      </w:r>
    </w:p>
    <w:p w14:paraId="4F5731EB" w14:textId="77777777" w:rsidR="004B2E7C" w:rsidRDefault="004B2E7C" w:rsidP="00FF2D21">
      <w:pPr>
        <w:pStyle w:val="aa"/>
        <w:numPr>
          <w:ilvl w:val="0"/>
          <w:numId w:val="140"/>
        </w:numPr>
        <w:rPr>
          <w:rFonts w:cs="Arial"/>
          <w:rtl/>
        </w:rPr>
      </w:pPr>
      <w:r>
        <w:rPr>
          <w:rFonts w:cs="Arial"/>
          <w:rtl/>
        </w:rPr>
        <w:t xml:space="preserve">רש"י </w:t>
      </w:r>
      <w:r>
        <w:rPr>
          <w:rFonts w:cs="Arial"/>
          <w:sz w:val="16"/>
          <w:szCs w:val="16"/>
          <w:rtl/>
        </w:rPr>
        <w:t xml:space="preserve">(קטז: ד"ה שטר הדיוטות, ובדף </w:t>
      </w:r>
      <w:r>
        <w:rPr>
          <w:sz w:val="16"/>
          <w:szCs w:val="16"/>
          <w:rtl/>
        </w:rPr>
        <w:t>קמט. ד"ה כל הני)</w:t>
      </w:r>
      <w:r>
        <w:rPr>
          <w:rFonts w:cs="Arial"/>
          <w:rtl/>
        </w:rPr>
        <w:t xml:space="preserve"> טור ור"ן</w:t>
      </w:r>
      <w:r>
        <w:rPr>
          <w:rStyle w:val="a9"/>
          <w:rFonts w:cs="Arial"/>
          <w:rtl/>
        </w:rPr>
        <w:footnoteReference w:id="1249"/>
      </w:r>
      <w:r>
        <w:rPr>
          <w:rFonts w:cs="Arial"/>
          <w:rtl/>
        </w:rPr>
        <w:t xml:space="preserve">- כגון של חשבונות או איגרות השלוחות למצא חפץ </w:t>
      </w:r>
      <w:r>
        <w:rPr>
          <w:rFonts w:cs="Arial"/>
          <w:sz w:val="16"/>
          <w:szCs w:val="16"/>
          <w:rtl/>
        </w:rPr>
        <w:t>(ל' רש"י [קטז:])</w:t>
      </w:r>
      <w:r>
        <w:rPr>
          <w:rFonts w:cs="Arial"/>
          <w:rtl/>
        </w:rPr>
        <w:t xml:space="preserve"> ושל מקח וממכר</w:t>
      </w:r>
      <w:r>
        <w:rPr>
          <w:sz w:val="16"/>
          <w:szCs w:val="16"/>
          <w:rtl/>
        </w:rPr>
        <w:t xml:space="preserve"> (לשון רש"י [קמט.])</w:t>
      </w:r>
      <w:r>
        <w:rPr>
          <w:rFonts w:cs="Arial"/>
          <w:rtl/>
        </w:rPr>
        <w:t>.</w:t>
      </w:r>
      <w:r>
        <w:rPr>
          <w:rFonts w:cs="Arial"/>
          <w:color w:val="E36C0A" w:themeColor="accent6" w:themeShade="BF"/>
          <w:rtl/>
        </w:rPr>
        <w:t xml:space="preserve"> (וכ"פ בשו"ע)</w:t>
      </w:r>
      <w:r>
        <w:rPr>
          <w:rFonts w:cs="Arial"/>
          <w:rtl/>
        </w:rPr>
        <w:t xml:space="preserve"> </w:t>
      </w:r>
    </w:p>
    <w:p w14:paraId="5F22EE05" w14:textId="77777777" w:rsidR="004B2E7C" w:rsidRDefault="004B2E7C" w:rsidP="00434A6A">
      <w:pPr>
        <w:ind w:left="360"/>
        <w:rPr>
          <w:rFonts w:cs="Arial"/>
          <w:u w:val="dotted"/>
          <w:rtl/>
        </w:rPr>
      </w:pPr>
      <w:r>
        <w:rPr>
          <w:rFonts w:cs="Arial"/>
          <w:u w:val="dotted"/>
          <w:rtl/>
        </w:rPr>
        <w:t>האם מותר לקרוא אגרות שלום/רשות:</w:t>
      </w:r>
    </w:p>
    <w:p w14:paraId="5A121400" w14:textId="77777777" w:rsidR="004B2E7C" w:rsidRDefault="004B2E7C" w:rsidP="00FF2D21">
      <w:pPr>
        <w:pStyle w:val="aa"/>
        <w:numPr>
          <w:ilvl w:val="0"/>
          <w:numId w:val="140"/>
        </w:numPr>
        <w:rPr>
          <w:rFonts w:cs="Arial"/>
        </w:rPr>
      </w:pPr>
      <w:r>
        <w:rPr>
          <w:rFonts w:cs="Arial"/>
          <w:rtl/>
        </w:rPr>
        <w:t>רש"י רמב"ם רשב"א ה"ר יונה רא"ש טור ור"ן</w:t>
      </w:r>
      <w:r>
        <w:rPr>
          <w:rStyle w:val="a9"/>
          <w:rFonts w:cs="Arial"/>
          <w:rtl/>
        </w:rPr>
        <w:footnoteReference w:id="1250"/>
      </w:r>
      <w:r>
        <w:rPr>
          <w:rFonts w:cs="Arial"/>
          <w:rtl/>
        </w:rPr>
        <w:t>- אסור משום שטרי הדיוטת</w:t>
      </w:r>
      <w:r>
        <w:rPr>
          <w:rStyle w:val="a9"/>
          <w:rFonts w:cs="Arial"/>
          <w:rtl/>
        </w:rPr>
        <w:footnoteReference w:id="1251"/>
      </w:r>
      <w:r>
        <w:rPr>
          <w:rFonts w:cs="Arial"/>
          <w:rtl/>
        </w:rPr>
        <w:t xml:space="preserve">. </w:t>
      </w:r>
      <w:r>
        <w:rPr>
          <w:rFonts w:cs="Arial"/>
          <w:color w:val="E36C0A" w:themeColor="accent6" w:themeShade="BF"/>
          <w:rtl/>
        </w:rPr>
        <w:t>(וכ"פ בשו"ע)</w:t>
      </w:r>
    </w:p>
    <w:p w14:paraId="02962A35" w14:textId="77777777" w:rsidR="004B2E7C" w:rsidRDefault="004B2E7C" w:rsidP="00FF2D21">
      <w:pPr>
        <w:pStyle w:val="aa"/>
        <w:numPr>
          <w:ilvl w:val="0"/>
          <w:numId w:val="140"/>
        </w:numPr>
        <w:rPr>
          <w:rFonts w:cs="Arial"/>
        </w:rPr>
      </w:pPr>
      <w:r>
        <w:rPr>
          <w:rFonts w:cs="Arial"/>
          <w:rtl/>
        </w:rPr>
        <w:t xml:space="preserve">ר"ת ראבי"ה רמב"ן </w:t>
      </w:r>
      <w:r>
        <w:rPr>
          <w:rFonts w:cs="Arial"/>
          <w:sz w:val="16"/>
          <w:szCs w:val="16"/>
          <w:rtl/>
        </w:rPr>
        <w:t xml:space="preserve">(קנא. ד"ה הא, כ"כ הר"ן [סד: ד"ה תנו] בשמו) </w:t>
      </w:r>
      <w:r>
        <w:rPr>
          <w:rFonts w:cs="Arial"/>
          <w:rtl/>
        </w:rPr>
        <w:t>מהר"ם והג"א- מותר, דלא מיקרי שטרי הדיוטות</w:t>
      </w:r>
      <w:r>
        <w:rPr>
          <w:rStyle w:val="a9"/>
          <w:rFonts w:cs="Arial"/>
          <w:rtl/>
        </w:rPr>
        <w:footnoteReference w:id="1252"/>
      </w:r>
      <w:r>
        <w:rPr>
          <w:rFonts w:cs="Arial"/>
          <w:rtl/>
        </w:rPr>
        <w:t xml:space="preserve">.  </w:t>
      </w:r>
    </w:p>
    <w:p w14:paraId="55DDDD70" w14:textId="77777777" w:rsidR="004B2E7C" w:rsidRDefault="004B2E7C" w:rsidP="00FF2D21">
      <w:pPr>
        <w:pStyle w:val="aa"/>
        <w:numPr>
          <w:ilvl w:val="0"/>
          <w:numId w:val="140"/>
        </w:numPr>
        <w:rPr>
          <w:rFonts w:cs="Arial"/>
          <w:rtl/>
        </w:rPr>
      </w:pPr>
      <w:r>
        <w:rPr>
          <w:rFonts w:cs="Arial"/>
          <w:rtl/>
        </w:rPr>
        <w:t xml:space="preserve">רי"ו </w:t>
      </w:r>
      <w:r>
        <w:rPr>
          <w:rFonts w:cs="Arial"/>
          <w:sz w:val="16"/>
          <w:szCs w:val="16"/>
          <w:rtl/>
        </w:rPr>
        <w:t>(ח"ז ני"ב, עו ע"ג)</w:t>
      </w:r>
      <w:r>
        <w:rPr>
          <w:rFonts w:cs="Arial"/>
          <w:rtl/>
        </w:rPr>
        <w:t>- יש מתירין לקרות באגרת שלומים ויש אוסרין וכן כתב ה"ר יונה ונראה דדוקא אגרת שלומים שיש ימים רבים שנשתלחו לו אבל מי ששולח אגרת בשבת מותר לקרותה דשמא יש בה דבר שצריך ולא מיקרי שטרי הדיוטות ויותר הן מרשות וכן ראיתי לרבותי נוהגים</w:t>
      </w:r>
      <w:r>
        <w:rPr>
          <w:rStyle w:val="a9"/>
          <w:rFonts w:cs="Arial"/>
          <w:rtl/>
        </w:rPr>
        <w:footnoteReference w:id="1253"/>
      </w:r>
      <w:r>
        <w:rPr>
          <w:rFonts w:cs="Arial"/>
          <w:rtl/>
        </w:rPr>
        <w:t xml:space="preserve">. </w:t>
      </w:r>
    </w:p>
    <w:p w14:paraId="3B84F5A5" w14:textId="77777777" w:rsidR="004B2E7C" w:rsidRDefault="004B2E7C" w:rsidP="00434A6A">
      <w:pPr>
        <w:ind w:left="360"/>
        <w:rPr>
          <w:rFonts w:cs="Arial"/>
          <w:u w:val="dotted"/>
          <w:rtl/>
        </w:rPr>
      </w:pPr>
      <w:r>
        <w:rPr>
          <w:rFonts w:cs="Arial"/>
          <w:u w:val="dotted"/>
          <w:rtl/>
        </w:rPr>
        <w:t>האם יש חילוק בין קריאה בפה לעיון בלא קריאה בפה:</w:t>
      </w:r>
    </w:p>
    <w:p w14:paraId="76D09141" w14:textId="77777777" w:rsidR="004B2E7C" w:rsidRDefault="004B2E7C" w:rsidP="00FF2D21">
      <w:pPr>
        <w:pStyle w:val="aa"/>
        <w:numPr>
          <w:ilvl w:val="0"/>
          <w:numId w:val="141"/>
        </w:numPr>
        <w:rPr>
          <w:rFonts w:cs="Arial"/>
          <w:rtl/>
        </w:rPr>
      </w:pPr>
      <w:r>
        <w:rPr>
          <w:rFonts w:cs="Arial"/>
          <w:rtl/>
        </w:rPr>
        <w:t xml:space="preserve">או"ז </w:t>
      </w:r>
      <w:r>
        <w:rPr>
          <w:rFonts w:cs="Arial"/>
          <w:sz w:val="16"/>
          <w:szCs w:val="16"/>
          <w:rtl/>
        </w:rPr>
        <w:t>(ח"ב הל' יו"ט סי' שנח, כ"כ בשמו ההגה"מ [ד"ק פ"ו ה"כ])</w:t>
      </w:r>
      <w:r>
        <w:rPr>
          <w:rFonts w:cs="Arial"/>
          <w:rtl/>
        </w:rPr>
        <w:t>- אסור לקרות בכתבים המשלחים זה לזה אבל יכול להניחם ביד הגוי וישראל יעיין בהם בלא קריאה דדיבור אסור הרהור מותר.</w:t>
      </w:r>
    </w:p>
    <w:p w14:paraId="3A617468" w14:textId="77777777" w:rsidR="004B2E7C" w:rsidRDefault="004B2E7C" w:rsidP="00FF2D21">
      <w:pPr>
        <w:pStyle w:val="aa"/>
        <w:numPr>
          <w:ilvl w:val="0"/>
          <w:numId w:val="141"/>
        </w:numPr>
        <w:rPr>
          <w:rFonts w:cs="Arial"/>
          <w:rtl/>
        </w:rPr>
      </w:pPr>
      <w:r>
        <w:rPr>
          <w:rFonts w:cs="Arial"/>
          <w:rtl/>
        </w:rPr>
        <w:t xml:space="preserve">מרדכי </w:t>
      </w:r>
      <w:r>
        <w:rPr>
          <w:rFonts w:cs="Arial"/>
          <w:sz w:val="16"/>
          <w:szCs w:val="16"/>
          <w:rtl/>
        </w:rPr>
        <w:t>(שבת סי' רנד)</w:t>
      </w:r>
      <w:r>
        <w:rPr>
          <w:rFonts w:cs="Arial"/>
          <w:rtl/>
        </w:rPr>
        <w:t xml:space="preserve">- עיון כתב בדרך העברה מותר. </w:t>
      </w:r>
    </w:p>
    <w:p w14:paraId="47BB951E" w14:textId="77777777" w:rsidR="004B2E7C" w:rsidRDefault="004B2E7C" w:rsidP="00FF2D21">
      <w:pPr>
        <w:pStyle w:val="aa"/>
        <w:numPr>
          <w:ilvl w:val="0"/>
          <w:numId w:val="141"/>
        </w:numPr>
        <w:rPr>
          <w:rFonts w:cs="Arial"/>
          <w:rtl/>
        </w:rPr>
      </w:pPr>
      <w:r>
        <w:rPr>
          <w:rFonts w:cs="Arial"/>
          <w:rtl/>
        </w:rPr>
        <w:t>שבה"ל בשם ה"ר בנימין ה"ר יונה רא"ש טור ור"ן</w:t>
      </w:r>
      <w:r>
        <w:rPr>
          <w:rStyle w:val="a9"/>
          <w:rFonts w:cs="Arial"/>
          <w:rtl/>
        </w:rPr>
        <w:footnoteReference w:id="1254"/>
      </w:r>
      <w:r>
        <w:rPr>
          <w:rFonts w:cs="Arial"/>
          <w:rtl/>
        </w:rPr>
        <w:t>- עיוני נמי אסור</w:t>
      </w:r>
      <w:r>
        <w:rPr>
          <w:rStyle w:val="a9"/>
          <w:rFonts w:cs="Arial"/>
          <w:rtl/>
        </w:rPr>
        <w:footnoteReference w:id="1255"/>
      </w:r>
      <w:r>
        <w:rPr>
          <w:rFonts w:cs="Arial"/>
          <w:rtl/>
        </w:rPr>
        <w:t xml:space="preserve">, דתניא בתוספתא </w:t>
      </w:r>
      <w:r>
        <w:rPr>
          <w:rFonts w:cs="Arial"/>
          <w:sz w:val="16"/>
          <w:szCs w:val="16"/>
          <w:rtl/>
        </w:rPr>
        <w:t xml:space="preserve">(שבת פי"ח ה"א) </w:t>
      </w:r>
      <w:r>
        <w:rPr>
          <w:rFonts w:cs="Arial"/>
          <w:rtl/>
        </w:rPr>
        <w:t xml:space="preserve">כתב שתחת הצורה ודיוקנאות אסור להסתכל בה בשבת </w:t>
      </w:r>
      <w:r>
        <w:rPr>
          <w:rFonts w:cs="Arial"/>
          <w:sz w:val="16"/>
          <w:szCs w:val="16"/>
          <w:rtl/>
        </w:rPr>
        <w:t>(ל' הרא"ש)</w:t>
      </w:r>
      <w:r>
        <w:rPr>
          <w:rFonts w:cs="Arial"/>
          <w:rtl/>
        </w:rPr>
        <w:t xml:space="preserve">. </w:t>
      </w:r>
      <w:r>
        <w:rPr>
          <w:rFonts w:cs="Arial"/>
          <w:color w:val="E36C0A" w:themeColor="accent6" w:themeShade="BF"/>
          <w:rtl/>
        </w:rPr>
        <w:t>(וכ"פ בשו"ע)</w:t>
      </w:r>
      <w:r>
        <w:rPr>
          <w:rFonts w:cs="Arial"/>
          <w:rtl/>
        </w:rPr>
        <w:t xml:space="preserve"> </w:t>
      </w:r>
      <w:r>
        <w:rPr>
          <w:rFonts w:cs="Arial"/>
          <w:color w:val="00B0F0"/>
          <w:rtl/>
        </w:rPr>
        <w:t>(וכ"פ הרמ"א</w:t>
      </w:r>
      <w:r>
        <w:rPr>
          <w:rFonts w:cs="Arial"/>
          <w:color w:val="00B0F0"/>
          <w:sz w:val="16"/>
          <w:szCs w:val="16"/>
          <w:rtl/>
        </w:rPr>
        <w:t xml:space="preserve"> </w:t>
      </w:r>
      <w:r>
        <w:rPr>
          <w:rFonts w:cs="Arial"/>
          <w:sz w:val="16"/>
          <w:szCs w:val="16"/>
          <w:rtl/>
        </w:rPr>
        <w:t>[בסע' יב]</w:t>
      </w:r>
      <w:r>
        <w:rPr>
          <w:rFonts w:cs="Arial"/>
          <w:color w:val="00B0F0"/>
          <w:rtl/>
        </w:rPr>
        <w:t>)</w:t>
      </w:r>
    </w:p>
    <w:p w14:paraId="025489DA" w14:textId="77777777" w:rsidR="004B2E7C" w:rsidRDefault="004B2E7C" w:rsidP="00434A6A">
      <w:pPr>
        <w:rPr>
          <w:rFonts w:asciiTheme="minorBidi" w:hAnsiTheme="minorBidi"/>
        </w:rPr>
      </w:pPr>
      <w:r>
        <w:rPr>
          <w:rFonts w:asciiTheme="minorBidi" w:hAnsiTheme="minorBidi"/>
          <w:b/>
          <w:bCs/>
          <w:sz w:val="32"/>
          <w:szCs w:val="28"/>
          <w:u w:val="single"/>
          <w:rtl/>
        </w:rPr>
        <w:t xml:space="preserve">שו"ע: </w:t>
      </w:r>
    </w:p>
    <w:p w14:paraId="00391D88" w14:textId="77777777" w:rsidR="004B2E7C" w:rsidRDefault="004B2E7C" w:rsidP="00434A6A">
      <w:pPr>
        <w:rPr>
          <w:rFonts w:asciiTheme="minorBidi" w:hAnsiTheme="minorBidi"/>
          <w:rtl/>
        </w:rPr>
      </w:pPr>
      <w:r>
        <w:rPr>
          <w:rFonts w:asciiTheme="minorBidi" w:hAnsiTheme="minorBidi"/>
          <w:rtl/>
        </w:rPr>
        <w:t>שטרי הדיוטות, דהיינו שטרי חובות וחשבונות</w:t>
      </w:r>
      <w:r>
        <w:rPr>
          <w:rStyle w:val="a9"/>
          <w:rFonts w:asciiTheme="minorBidi" w:hAnsiTheme="minorBidi"/>
          <w:rtl/>
        </w:rPr>
        <w:footnoteReference w:id="1256"/>
      </w:r>
      <w:r>
        <w:rPr>
          <w:rFonts w:asciiTheme="minorBidi" w:hAnsiTheme="minorBidi"/>
          <w:rtl/>
        </w:rPr>
        <w:t xml:space="preserve"> ואגרות של שאלת שלום, אסור לקרותם, ואפילו לעיין בהם בלא קריאה אסור. </w:t>
      </w:r>
    </w:p>
    <w:p w14:paraId="2A2E99C4" w14:textId="77777777" w:rsidR="004B2E7C" w:rsidRDefault="004B2E7C" w:rsidP="00434A6A">
      <w:pPr>
        <w:rPr>
          <w:rFonts w:asciiTheme="minorBidi" w:hAnsiTheme="minorBidi"/>
          <w:rtl/>
        </w:rPr>
      </w:pPr>
    </w:p>
    <w:p w14:paraId="58CDB6E2" w14:textId="77777777" w:rsidR="004B2E7C" w:rsidRDefault="004B2E7C" w:rsidP="00434A6A">
      <w:pPr>
        <w:pStyle w:val="2"/>
        <w:rPr>
          <w:rFonts w:asciiTheme="minorBidi" w:hAnsiTheme="minorBidi" w:cstheme="minorBidi"/>
          <w:rtl/>
        </w:rPr>
      </w:pPr>
      <w:r>
        <w:rPr>
          <w:rFonts w:asciiTheme="minorBidi" w:hAnsiTheme="minorBidi" w:cstheme="minorBidi"/>
          <w:rtl/>
        </w:rPr>
        <w:t>סעיף יד: קריאת אגרת שאינו יודע מה כתוב בה.</w:t>
      </w:r>
    </w:p>
    <w:p w14:paraId="66EDDF01" w14:textId="77777777" w:rsidR="004B2E7C" w:rsidRDefault="004B2E7C" w:rsidP="00434A6A">
      <w:pPr>
        <w:rPr>
          <w:rFonts w:asciiTheme="minorBidi" w:hAnsiTheme="minorBidi"/>
          <w:u w:val="single"/>
          <w:rtl/>
        </w:rPr>
      </w:pPr>
      <w:r>
        <w:rPr>
          <w:rFonts w:asciiTheme="minorBidi" w:hAnsiTheme="minorBidi"/>
          <w:u w:val="single"/>
          <w:rtl/>
        </w:rPr>
        <w:t>קריאת איגרת שאינו יודע מה כתוב בה:</w:t>
      </w:r>
    </w:p>
    <w:p w14:paraId="4E912093" w14:textId="77777777" w:rsidR="004B2E7C" w:rsidRDefault="004B2E7C" w:rsidP="00FF2D21">
      <w:pPr>
        <w:pStyle w:val="aa"/>
        <w:numPr>
          <w:ilvl w:val="0"/>
          <w:numId w:val="142"/>
        </w:numPr>
        <w:rPr>
          <w:rtl/>
        </w:rPr>
      </w:pPr>
      <w:r>
        <w:rPr>
          <w:rFonts w:asciiTheme="minorBidi" w:hAnsiTheme="minorBidi"/>
          <w:rtl/>
        </w:rPr>
        <w:t xml:space="preserve">טור- ראיתי כתוב על שם הר"מ מרוטנבורג </w:t>
      </w:r>
      <w:r>
        <w:rPr>
          <w:rFonts w:cs="Arial"/>
          <w:sz w:val="16"/>
          <w:szCs w:val="16"/>
          <w:rtl/>
        </w:rPr>
        <w:t>(כ"כ בשמו בתשב"ץ קטן סי' נז)</w:t>
      </w:r>
      <w:r>
        <w:rPr>
          <w:rFonts w:asciiTheme="minorBidi" w:hAnsiTheme="minorBidi"/>
          <w:rtl/>
        </w:rPr>
        <w:t xml:space="preserve"> שמותר לקרות בכתב שהובא לו בשבת רק שלא יגע בו</w:t>
      </w:r>
      <w:r>
        <w:rPr>
          <w:rStyle w:val="a9"/>
          <w:rFonts w:asciiTheme="minorBidi" w:hAnsiTheme="minorBidi"/>
          <w:rtl/>
        </w:rPr>
        <w:footnoteReference w:id="1257"/>
      </w:r>
      <w:r>
        <w:rPr>
          <w:rFonts w:asciiTheme="minorBidi" w:hAnsiTheme="minorBidi"/>
          <w:rtl/>
        </w:rPr>
        <w:t>, ואני תמה כיון שאסור ליגע בו משום שהובא בשבילו</w:t>
      </w:r>
      <w:r>
        <w:rPr>
          <w:rStyle w:val="a9"/>
          <w:rFonts w:asciiTheme="minorBidi" w:hAnsiTheme="minorBidi"/>
          <w:rtl/>
        </w:rPr>
        <w:footnoteReference w:id="1258"/>
      </w:r>
      <w:r>
        <w:rPr>
          <w:rFonts w:asciiTheme="minorBidi" w:hAnsiTheme="minorBidi"/>
          <w:rtl/>
        </w:rPr>
        <w:t xml:space="preserve"> למה מתיר לקרותו והלא קריאתו היא הנאתו, ור"ת היה אומר אחר שלא הובא בשבילו יכול לקרותו הואיל ולא הובא בשבילו, אי נמי אפילו מי שנשלח לו יכול לקרותו שהרי השולח שלחו בשביל עצמו ולא בשביל אותו שהוא שלוח אליו ע"כ, ומ"מ אני תמה היאך התיר הקריאה בשטרי הדיוטות, ומצאתי כתוב מה שרגילין עתה שקורין בכתבים שהביאום בשבת לפי שאין יודעין למה הביאום ושמא יש בהן צורך הגוף ולא דמי לשטרי הדיוטות שאין בהן צורך הגוף כלל, ואין נ"ל הטעם מספיק</w:t>
      </w:r>
      <w:r>
        <w:rPr>
          <w:rFonts w:asciiTheme="minorBidi" w:hAnsiTheme="minorBidi"/>
          <w:sz w:val="16"/>
          <w:szCs w:val="16"/>
          <w:rtl/>
        </w:rPr>
        <w:t xml:space="preserve"> (ל' הטור)</w:t>
      </w:r>
      <w:r>
        <w:rPr>
          <w:rFonts w:asciiTheme="minorBidi" w:hAnsiTheme="minorBidi"/>
          <w:rtl/>
        </w:rPr>
        <w:t>.</w:t>
      </w:r>
    </w:p>
    <w:p w14:paraId="309B80DE" w14:textId="77777777" w:rsidR="004B2E7C" w:rsidRDefault="004B2E7C" w:rsidP="00FF2D21">
      <w:pPr>
        <w:pStyle w:val="aa"/>
        <w:numPr>
          <w:ilvl w:val="1"/>
          <w:numId w:val="142"/>
        </w:numPr>
        <w:rPr>
          <w:rtl/>
        </w:rPr>
      </w:pPr>
      <w:r>
        <w:rPr>
          <w:rFonts w:cs="Arial"/>
          <w:rtl/>
        </w:rPr>
        <w:t>ב"י- ולענין הלכה נראה שמאחר שאינו אלא איסורא דרבנן כדאי הם המתירין לסמוך עליהם לקרותם אם אינו יודע מה כתוב בהם, ולא יקרא בפיו אלא יעיין בהם לחוש לדברי האומרים כן, וגם יזהר מליגע בהם לחוש לדברי האוסרים ליגע בהם</w:t>
      </w:r>
      <w:r>
        <w:rPr>
          <w:rStyle w:val="a9"/>
          <w:rFonts w:cs="Arial"/>
          <w:rtl/>
        </w:rPr>
        <w:footnoteReference w:id="1259"/>
      </w:r>
      <w:r>
        <w:rPr>
          <w:rFonts w:cs="Arial"/>
          <w:rtl/>
        </w:rPr>
        <w:t>.</w:t>
      </w:r>
    </w:p>
    <w:p w14:paraId="58AB99D7"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A39BB1A" w14:textId="77777777" w:rsidR="004B2E7C" w:rsidRDefault="004B2E7C" w:rsidP="00434A6A">
      <w:pPr>
        <w:rPr>
          <w:rFonts w:asciiTheme="minorBidi" w:hAnsiTheme="minorBidi"/>
          <w:rtl/>
        </w:rPr>
      </w:pPr>
      <w:r>
        <w:rPr>
          <w:rFonts w:asciiTheme="minorBidi" w:hAnsiTheme="minorBidi"/>
          <w:rtl/>
        </w:rPr>
        <w:t xml:space="preserve">לקרות באיגרת השלוחה לו אם אינו יודע מה כתוב בה, מותר, ולא יקרא בפיו אלא יעיין בה. ואם הובאה בשבילו מחוץ לתחום טוב ליזהר שלא יגע בה. </w:t>
      </w:r>
    </w:p>
    <w:p w14:paraId="23CBA0CD" w14:textId="77777777" w:rsidR="004B2E7C" w:rsidRDefault="004B2E7C" w:rsidP="00434A6A">
      <w:pPr>
        <w:rPr>
          <w:rFonts w:asciiTheme="minorBidi" w:hAnsiTheme="minorBidi"/>
          <w:rtl/>
        </w:rPr>
      </w:pPr>
    </w:p>
    <w:p w14:paraId="55E48F78" w14:textId="77777777" w:rsidR="004B2E7C" w:rsidRDefault="004B2E7C" w:rsidP="00434A6A">
      <w:pPr>
        <w:pStyle w:val="2"/>
        <w:rPr>
          <w:rFonts w:asciiTheme="minorBidi" w:hAnsiTheme="minorBidi" w:cstheme="minorBidi"/>
          <w:rtl/>
        </w:rPr>
      </w:pPr>
      <w:r>
        <w:rPr>
          <w:rFonts w:asciiTheme="minorBidi" w:hAnsiTheme="minorBidi" w:cstheme="minorBidi"/>
          <w:rtl/>
        </w:rPr>
        <w:t>סעיף טו: קריאת כתב הנמצא מתחת לדברי אומנות.</w:t>
      </w:r>
    </w:p>
    <w:p w14:paraId="3C60D4DF" w14:textId="77777777" w:rsidR="004B2E7C" w:rsidRDefault="004B2E7C" w:rsidP="00434A6A">
      <w:pPr>
        <w:rPr>
          <w:rFonts w:asciiTheme="minorBidi" w:hAnsiTheme="minorBidi"/>
          <w:rtl/>
        </w:rPr>
      </w:pPr>
      <w:r>
        <w:rPr>
          <w:rFonts w:asciiTheme="minorBidi" w:hAnsiTheme="minorBidi" w:cs="Arial"/>
          <w:b/>
          <w:bCs/>
          <w:rtl/>
        </w:rPr>
        <w:t xml:space="preserve">שבת קמט ע"א: </w:t>
      </w:r>
      <w:r>
        <w:rPr>
          <w:rFonts w:asciiTheme="minorBidi" w:hAnsiTheme="minorBidi" w:cs="Arial"/>
          <w:rtl/>
        </w:rPr>
        <w:t xml:space="preserve">תנו רבנן: כתב המהלך תחת הצורה ותחת הדיוקנאות - אסור לקרותו בשבת. </w:t>
      </w:r>
      <w:r>
        <w:rPr>
          <w:rFonts w:asciiTheme="minorBidi" w:hAnsiTheme="minorBidi"/>
          <w:sz w:val="16"/>
          <w:szCs w:val="16"/>
          <w:rtl/>
        </w:rPr>
        <w:t>(</w:t>
      </w:r>
      <w:r>
        <w:rPr>
          <w:rFonts w:cs="Arial"/>
          <w:sz w:val="16"/>
          <w:szCs w:val="16"/>
          <w:rtl/>
        </w:rPr>
        <w:t>ופירש רש"י כגון בני אדם הצרים בכותל חיות משונות או דיוקנאות של בני אדם של מעשים כגון מלחמת דוד וגלית וכותבין זו צורת פלוני וזו דיוקן פלוני ונראה דטעמא משום דהוי שטרי הדיוטות)</w:t>
      </w:r>
    </w:p>
    <w:p w14:paraId="69D34687"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694588E0" w14:textId="77777777" w:rsidR="004B2E7C" w:rsidRDefault="004B2E7C" w:rsidP="00434A6A">
      <w:pPr>
        <w:rPr>
          <w:rFonts w:asciiTheme="minorBidi" w:hAnsiTheme="minorBidi"/>
          <w:rtl/>
        </w:rPr>
      </w:pPr>
      <w:r>
        <w:rPr>
          <w:rFonts w:asciiTheme="minorBidi" w:hAnsiTheme="minorBidi"/>
          <w:rtl/>
        </w:rPr>
        <w:t>כותל או וילון שיש בו צורות חיות משונות או דיוקנאות של בני אדם של מעשים כגון מלחמות דוד וגלית וכותבים זו צורת פלוני וזה דיוקן פלוני, אסור לקרות</w:t>
      </w:r>
      <w:r>
        <w:rPr>
          <w:rStyle w:val="a9"/>
          <w:rFonts w:asciiTheme="minorBidi" w:hAnsiTheme="minorBidi"/>
          <w:rtl/>
        </w:rPr>
        <w:footnoteReference w:id="1260"/>
      </w:r>
      <w:r>
        <w:rPr>
          <w:rFonts w:asciiTheme="minorBidi" w:hAnsiTheme="minorBidi"/>
          <w:rtl/>
        </w:rPr>
        <w:t xml:space="preserve"> בו בשבת</w:t>
      </w:r>
      <w:r>
        <w:rPr>
          <w:rStyle w:val="a9"/>
          <w:rFonts w:asciiTheme="minorBidi" w:hAnsiTheme="minorBidi"/>
          <w:rtl/>
        </w:rPr>
        <w:footnoteReference w:id="1261"/>
      </w:r>
      <w:r>
        <w:rPr>
          <w:rFonts w:asciiTheme="minorBidi" w:hAnsiTheme="minorBidi"/>
          <w:rtl/>
        </w:rPr>
        <w:t xml:space="preserve">. </w:t>
      </w:r>
    </w:p>
    <w:p w14:paraId="2BA0DF6E" w14:textId="77777777" w:rsidR="004B2E7C" w:rsidRDefault="004B2E7C" w:rsidP="00434A6A">
      <w:pPr>
        <w:rPr>
          <w:rFonts w:asciiTheme="minorBidi" w:hAnsiTheme="minorBidi"/>
          <w:rtl/>
        </w:rPr>
      </w:pPr>
    </w:p>
    <w:p w14:paraId="55A84192" w14:textId="77777777" w:rsidR="004B2E7C" w:rsidRDefault="004B2E7C" w:rsidP="00434A6A">
      <w:pPr>
        <w:pStyle w:val="2"/>
        <w:rPr>
          <w:rFonts w:asciiTheme="minorBidi" w:hAnsiTheme="minorBidi" w:cstheme="minorBidi"/>
          <w:rtl/>
        </w:rPr>
      </w:pPr>
      <w:r>
        <w:rPr>
          <w:rFonts w:asciiTheme="minorBidi" w:hAnsiTheme="minorBidi" w:cstheme="minorBidi"/>
          <w:rtl/>
        </w:rPr>
        <w:t>סעיף טז: קריאת מליצות ומשלים של דברי חולין ודברי חשק.</w:t>
      </w:r>
    </w:p>
    <w:p w14:paraId="32E86A3D" w14:textId="77777777" w:rsidR="004B2E7C" w:rsidRDefault="004B2E7C" w:rsidP="00434A6A">
      <w:pPr>
        <w:rPr>
          <w:rtl/>
        </w:rPr>
      </w:pPr>
      <w:r>
        <w:rPr>
          <w:rFonts w:asciiTheme="minorBidi" w:hAnsiTheme="minorBidi" w:cs="Arial"/>
          <w:b/>
          <w:bCs/>
          <w:rtl/>
        </w:rPr>
        <w:t xml:space="preserve">שבת קמט ע"א: </w:t>
      </w:r>
      <w:r>
        <w:rPr>
          <w:rFonts w:cs="Arial"/>
          <w:rtl/>
        </w:rPr>
        <w:t>תנו רבנן: כתב המהלך תחת הצורה ותחת הדיוקנאות - אסור לקרותו בשבת. ודיוקנא עצמה - אף בחול אסור להסתכל בה, משום שנאמר אל תפנו אל האלילים</w:t>
      </w:r>
      <w:r>
        <w:rPr>
          <w:rStyle w:val="a9"/>
          <w:rFonts w:cs="Arial"/>
          <w:rtl/>
        </w:rPr>
        <w:footnoteReference w:id="1262"/>
      </w:r>
      <w:r>
        <w:rPr>
          <w:rFonts w:cs="Arial"/>
          <w:rtl/>
        </w:rPr>
        <w:t xml:space="preserve">. מאי תלמודא? </w:t>
      </w:r>
      <w:r>
        <w:rPr>
          <w:rFonts w:cs="Arial"/>
          <w:u w:val="single"/>
          <w:rtl/>
        </w:rPr>
        <w:t>אמר רבי חנין</w:t>
      </w:r>
      <w:r>
        <w:rPr>
          <w:rFonts w:cs="Arial"/>
          <w:rtl/>
        </w:rPr>
        <w:t>: אל תפנו אל מדעתכם</w:t>
      </w:r>
      <w:r>
        <w:rPr>
          <w:rStyle w:val="a9"/>
          <w:rFonts w:cs="Arial"/>
          <w:rtl/>
        </w:rPr>
        <w:footnoteReference w:id="1263"/>
      </w:r>
      <w:r>
        <w:rPr>
          <w:rFonts w:cs="Arial"/>
          <w:rtl/>
        </w:rPr>
        <w:t>.</w:t>
      </w:r>
    </w:p>
    <w:p w14:paraId="194064BA" w14:textId="77777777" w:rsidR="004B2E7C" w:rsidRDefault="004B2E7C" w:rsidP="00434A6A">
      <w:pPr>
        <w:rPr>
          <w:rFonts w:cs="Arial"/>
          <w:u w:val="single"/>
          <w:rtl/>
        </w:rPr>
      </w:pPr>
      <w:r>
        <w:rPr>
          <w:rFonts w:asciiTheme="minorBidi" w:hAnsiTheme="minorBidi"/>
          <w:u w:val="single"/>
          <w:rtl/>
        </w:rPr>
        <w:t>קריאת מליצות ומשלים של דברי חולין ודברי חשק</w:t>
      </w:r>
      <w:r>
        <w:rPr>
          <w:rFonts w:cs="Arial"/>
          <w:u w:val="single"/>
          <w:rtl/>
        </w:rPr>
        <w:t>:</w:t>
      </w:r>
    </w:p>
    <w:p w14:paraId="566500BF" w14:textId="77777777" w:rsidR="004B2E7C" w:rsidRDefault="004B2E7C" w:rsidP="00FF2D21">
      <w:pPr>
        <w:pStyle w:val="aa"/>
        <w:numPr>
          <w:ilvl w:val="0"/>
          <w:numId w:val="143"/>
        </w:numPr>
        <w:rPr>
          <w:rtl/>
        </w:rPr>
      </w:pPr>
      <w:r>
        <w:rPr>
          <w:rFonts w:cs="Arial"/>
          <w:rtl/>
        </w:rPr>
        <w:t xml:space="preserve">תוס' </w:t>
      </w:r>
      <w:r>
        <w:rPr>
          <w:rFonts w:cs="Arial"/>
          <w:sz w:val="16"/>
          <w:szCs w:val="16"/>
          <w:rtl/>
        </w:rPr>
        <w:t>(פרק כל כתבי קטז: ד"ה וכ"ש)</w:t>
      </w:r>
      <w:r>
        <w:rPr>
          <w:rFonts w:cs="Arial"/>
          <w:rtl/>
        </w:rPr>
        <w:t>- אותן מלחמות הכתובות בלשון לעז נראה לרבינו יהודה דאסור לעיין בהם דלא גרע מכתב שתחת הצורה, ואפילו בחול לא ידע ר"י מי התיר דהו"ל מושב לצים</w:t>
      </w:r>
      <w:r>
        <w:rPr>
          <w:rStyle w:val="a9"/>
          <w:rFonts w:cs="Arial"/>
          <w:rtl/>
        </w:rPr>
        <w:footnoteReference w:id="1264"/>
      </w:r>
      <w:r>
        <w:rPr>
          <w:rFonts w:cs="Arial"/>
          <w:rtl/>
        </w:rPr>
        <w:t>.</w:t>
      </w:r>
      <w:r>
        <w:rPr>
          <w:rFonts w:cs="Arial"/>
          <w:color w:val="00B0F0"/>
          <w:rtl/>
        </w:rPr>
        <w:t xml:space="preserve"> (וכ"פ הרמ"א)</w:t>
      </w:r>
    </w:p>
    <w:p w14:paraId="7BDA7CAB" w14:textId="77777777" w:rsidR="004B2E7C" w:rsidRDefault="004B2E7C" w:rsidP="00FF2D21">
      <w:pPr>
        <w:pStyle w:val="aa"/>
        <w:numPr>
          <w:ilvl w:val="0"/>
          <w:numId w:val="143"/>
        </w:numPr>
      </w:pPr>
      <w:r>
        <w:rPr>
          <w:rFonts w:cs="Arial"/>
          <w:rtl/>
        </w:rPr>
        <w:t xml:space="preserve">רא"ש </w:t>
      </w:r>
      <w:r>
        <w:rPr>
          <w:rFonts w:cs="Arial"/>
          <w:sz w:val="16"/>
          <w:szCs w:val="16"/>
          <w:rtl/>
        </w:rPr>
        <w:t xml:space="preserve">(פרק שואל שם) </w:t>
      </w:r>
      <w:r>
        <w:rPr>
          <w:rFonts w:cs="Arial"/>
          <w:rtl/>
        </w:rPr>
        <w:t xml:space="preserve">בשם ה"ר יונה- הלין דכתבי מליצות ומשלים של שיחת חולין ודברי חשק אסור לקרותן בשבת ואף בחול לא ידענא מי התירו שהרי נאמר </w:t>
      </w:r>
      <w:r>
        <w:rPr>
          <w:rFonts w:cs="Arial"/>
          <w:sz w:val="16"/>
          <w:szCs w:val="16"/>
          <w:rtl/>
        </w:rPr>
        <w:t xml:space="preserve">(תהלים א א) </w:t>
      </w:r>
      <w:r>
        <w:rPr>
          <w:rFonts w:cs="Arial"/>
          <w:rtl/>
        </w:rPr>
        <w:t>ובמושב לצים לא ישב.</w:t>
      </w:r>
      <w:r>
        <w:rPr>
          <w:rFonts w:cs="Arial"/>
          <w:color w:val="E36C0A" w:themeColor="accent6" w:themeShade="BF"/>
          <w:rtl/>
        </w:rPr>
        <w:t xml:space="preserve"> (וכ"פ בשו"ע)</w:t>
      </w:r>
      <w:r>
        <w:rPr>
          <w:rtl/>
        </w:rPr>
        <w:t xml:space="preserve"> </w:t>
      </w:r>
    </w:p>
    <w:p w14:paraId="07EDB1CC"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44CA9462" w14:textId="77777777" w:rsidR="004B2E7C" w:rsidRDefault="004B2E7C" w:rsidP="00434A6A">
      <w:pPr>
        <w:rPr>
          <w:rFonts w:asciiTheme="minorBidi" w:hAnsiTheme="minorBidi"/>
          <w:rtl/>
        </w:rPr>
      </w:pPr>
      <w:r>
        <w:rPr>
          <w:rFonts w:asciiTheme="minorBidi" w:hAnsiTheme="minorBidi"/>
          <w:rtl/>
        </w:rPr>
        <w:t>מליצות ומשלים של שיחת חולין</w:t>
      </w:r>
      <w:r>
        <w:rPr>
          <w:rStyle w:val="a9"/>
          <w:rFonts w:asciiTheme="minorBidi" w:hAnsiTheme="minorBidi"/>
          <w:rtl/>
        </w:rPr>
        <w:footnoteReference w:id="1265"/>
      </w:r>
      <w:r>
        <w:rPr>
          <w:rFonts w:asciiTheme="minorBidi" w:hAnsiTheme="minorBidi"/>
          <w:rtl/>
        </w:rPr>
        <w:t xml:space="preserve"> ודברי חשק, כגון ספר עמנואל, וכן ספרי מלחמות, אסור לקרות בהם בשבת, ואף בחול אסור משום מושב לצים</w:t>
      </w:r>
      <w:r>
        <w:rPr>
          <w:rStyle w:val="a9"/>
          <w:rFonts w:asciiTheme="minorBidi" w:hAnsiTheme="minorBidi"/>
          <w:rtl/>
        </w:rPr>
        <w:footnoteReference w:id="1266"/>
      </w:r>
      <w:r>
        <w:rPr>
          <w:rFonts w:asciiTheme="minorBidi" w:hAnsiTheme="minorBidi"/>
          <w:rtl/>
        </w:rPr>
        <w:t>, ועובר משום אל תפנו אל האלילים</w:t>
      </w:r>
      <w:r>
        <w:rPr>
          <w:rStyle w:val="a9"/>
          <w:rFonts w:asciiTheme="minorBidi" w:hAnsiTheme="minorBidi"/>
          <w:rtl/>
        </w:rPr>
        <w:footnoteReference w:id="1267"/>
      </w:r>
      <w:r>
        <w:rPr>
          <w:rFonts w:asciiTheme="minorBidi" w:hAnsiTheme="minorBidi"/>
          <w:rtl/>
        </w:rPr>
        <w:t xml:space="preserve"> </w:t>
      </w:r>
      <w:r>
        <w:rPr>
          <w:rFonts w:asciiTheme="minorBidi" w:hAnsiTheme="minorBidi"/>
          <w:sz w:val="16"/>
          <w:szCs w:val="16"/>
          <w:rtl/>
        </w:rPr>
        <w:t>(ויקרא יט, ד)</w:t>
      </w:r>
      <w:r>
        <w:rPr>
          <w:rFonts w:asciiTheme="minorBidi" w:hAnsiTheme="minorBidi"/>
          <w:rtl/>
        </w:rPr>
        <w:t xml:space="preserve"> לא תפנו אל מדעתכם. ובדברי חשק איכא תו משום מגרה יצר הרע. ומי שחיברן ומי שהעתיקן, ואין צריך לומר המדפיסן</w:t>
      </w:r>
      <w:r>
        <w:rPr>
          <w:rStyle w:val="a9"/>
          <w:rFonts w:asciiTheme="minorBidi" w:hAnsiTheme="minorBidi"/>
          <w:rtl/>
        </w:rPr>
        <w:footnoteReference w:id="1268"/>
      </w:r>
      <w:r>
        <w:rPr>
          <w:rFonts w:asciiTheme="minorBidi" w:hAnsiTheme="minorBidi"/>
          <w:rtl/>
        </w:rPr>
        <w:t xml:space="preserve">, מחטיאים את הרבים. </w:t>
      </w:r>
      <w:r>
        <w:rPr>
          <w:rFonts w:asciiTheme="minorBidi" w:hAnsiTheme="minorBidi"/>
          <w:sz w:val="18"/>
          <w:szCs w:val="18"/>
          <w:rtl/>
        </w:rPr>
        <w:t>הגה: ונראה לדקדק הא דאסור לקרות בשיחת חולין וספורי מלחמות, היינו דוקא אם כתובים בלשון לע"ז, אבל בלשון הקודש שרי</w:t>
      </w:r>
      <w:r>
        <w:rPr>
          <w:rStyle w:val="a9"/>
          <w:rFonts w:asciiTheme="minorBidi" w:hAnsiTheme="minorBidi"/>
          <w:sz w:val="18"/>
          <w:szCs w:val="18"/>
          <w:rtl/>
        </w:rPr>
        <w:footnoteReference w:id="1269"/>
      </w:r>
      <w:r>
        <w:rPr>
          <w:rFonts w:asciiTheme="minorBidi" w:hAnsiTheme="minorBidi"/>
          <w:sz w:val="18"/>
          <w:szCs w:val="18"/>
          <w:rtl/>
        </w:rPr>
        <w:t>, כן נראה לי מלשון שכתבו התוס'</w:t>
      </w:r>
      <w:r>
        <w:rPr>
          <w:rStyle w:val="a9"/>
          <w:rFonts w:asciiTheme="minorBidi" w:hAnsiTheme="minorBidi"/>
          <w:sz w:val="18"/>
          <w:szCs w:val="18"/>
          <w:rtl/>
        </w:rPr>
        <w:footnoteReference w:id="1270"/>
      </w:r>
      <w:r>
        <w:rPr>
          <w:rFonts w:asciiTheme="minorBidi" w:hAnsiTheme="minorBidi"/>
          <w:sz w:val="18"/>
          <w:szCs w:val="18"/>
          <w:rtl/>
        </w:rPr>
        <w:t>, וכן נהגו להקל בזה</w:t>
      </w:r>
      <w:r>
        <w:rPr>
          <w:rStyle w:val="a9"/>
          <w:rFonts w:asciiTheme="minorBidi" w:hAnsiTheme="minorBidi"/>
          <w:sz w:val="18"/>
          <w:szCs w:val="18"/>
          <w:rtl/>
        </w:rPr>
        <w:footnoteReference w:id="1271"/>
      </w:r>
      <w:r>
        <w:rPr>
          <w:rFonts w:asciiTheme="minorBidi" w:hAnsiTheme="minorBidi"/>
          <w:sz w:val="18"/>
          <w:szCs w:val="18"/>
          <w:rtl/>
        </w:rPr>
        <w:t>.</w:t>
      </w:r>
      <w:r>
        <w:rPr>
          <w:rFonts w:asciiTheme="minorBidi" w:hAnsiTheme="minorBidi"/>
          <w:rtl/>
        </w:rPr>
        <w:t xml:space="preserve"> </w:t>
      </w:r>
    </w:p>
    <w:p w14:paraId="2AAB5310" w14:textId="77777777" w:rsidR="004B2E7C" w:rsidRDefault="004B2E7C" w:rsidP="00434A6A">
      <w:pPr>
        <w:rPr>
          <w:rFonts w:asciiTheme="minorBidi" w:hAnsiTheme="minorBidi"/>
          <w:rtl/>
        </w:rPr>
      </w:pPr>
    </w:p>
    <w:p w14:paraId="099E5007" w14:textId="77777777" w:rsidR="004B2E7C" w:rsidRDefault="004B2E7C" w:rsidP="00434A6A">
      <w:pPr>
        <w:pStyle w:val="2"/>
        <w:rPr>
          <w:rFonts w:asciiTheme="minorBidi" w:hAnsiTheme="minorBidi" w:cstheme="minorBidi"/>
          <w:rtl/>
        </w:rPr>
      </w:pPr>
      <w:r>
        <w:rPr>
          <w:rFonts w:asciiTheme="minorBidi" w:hAnsiTheme="minorBidi" w:cstheme="minorBidi"/>
          <w:rtl/>
        </w:rPr>
        <w:t>סעיף יז: לימוד שאר חכמות בשבת.</w:t>
      </w:r>
    </w:p>
    <w:p w14:paraId="1970CD66" w14:textId="77777777" w:rsidR="004B2E7C" w:rsidRDefault="004B2E7C" w:rsidP="00434A6A">
      <w:pPr>
        <w:rPr>
          <w:rFonts w:cs="Arial"/>
          <w:rtl/>
        </w:rPr>
      </w:pPr>
      <w:r>
        <w:rPr>
          <w:rFonts w:cs="Arial"/>
          <w:b/>
          <w:bCs/>
          <w:rtl/>
        </w:rPr>
        <w:t xml:space="preserve">שבת קטו ע"א: </w:t>
      </w:r>
      <w:r>
        <w:rPr>
          <w:rFonts w:cs="Arial"/>
          <w:u w:val="double"/>
          <w:rtl/>
        </w:rPr>
        <w:t>משנה</w:t>
      </w:r>
      <w:r>
        <w:rPr>
          <w:rFonts w:cs="Arial"/>
          <w:rtl/>
        </w:rPr>
        <w:t>: כל כתבי הקדש מצילין אותן מפני הדליקה, בין שקורין בהן</w:t>
      </w:r>
      <w:r>
        <w:rPr>
          <w:rStyle w:val="a9"/>
          <w:rFonts w:cs="Arial"/>
          <w:rtl/>
        </w:rPr>
        <w:footnoteReference w:id="1272"/>
      </w:r>
      <w:r>
        <w:rPr>
          <w:rFonts w:cs="Arial"/>
          <w:rtl/>
        </w:rPr>
        <w:t xml:space="preserve"> ובין שאין קורין בהן</w:t>
      </w:r>
      <w:r>
        <w:rPr>
          <w:rStyle w:val="a9"/>
          <w:rFonts w:cs="Arial"/>
          <w:rtl/>
        </w:rPr>
        <w:footnoteReference w:id="1273"/>
      </w:r>
      <w:r>
        <w:rPr>
          <w:rFonts w:cs="Arial"/>
          <w:rtl/>
        </w:rPr>
        <w:t xml:space="preserve">. אף על פי שכתובים בכל לשון טעונים גניזה. ומפני מה אין קורין בהם - מפני ביטול בית המדרש.   </w:t>
      </w:r>
      <w:r>
        <w:rPr>
          <w:rFonts w:cs="Arial"/>
          <w:u w:val="double"/>
          <w:rtl/>
        </w:rPr>
        <w:t>גמרא</w:t>
      </w:r>
      <w:r>
        <w:rPr>
          <w:rFonts w:cs="Arial"/>
          <w:rtl/>
        </w:rPr>
        <w:t>:</w:t>
      </w:r>
      <w:r>
        <w:rPr>
          <w:rtl/>
        </w:rPr>
        <w:t xml:space="preserve"> </w:t>
      </w:r>
      <w:r>
        <w:rPr>
          <w:rFonts w:cs="Arial"/>
          <w:rtl/>
        </w:rPr>
        <w:t xml:space="preserve">בין שקורין בהן - נביאים, ובין שאין קורין בהן – כתובים... </w:t>
      </w:r>
      <w:r>
        <w:rPr>
          <w:rFonts w:cs="Arial"/>
          <w:sz w:val="14"/>
          <w:szCs w:val="14"/>
          <w:rtl/>
        </w:rPr>
        <w:t xml:space="preserve">(קטז:) </w:t>
      </w:r>
      <w:r>
        <w:rPr>
          <w:rFonts w:cs="Arial"/>
          <w:rtl/>
        </w:rPr>
        <w:t xml:space="preserve">ומפני מה אין קורין כו'. </w:t>
      </w:r>
      <w:r>
        <w:rPr>
          <w:rFonts w:cs="Arial"/>
          <w:u w:val="single"/>
          <w:rtl/>
        </w:rPr>
        <w:t>אמר רב</w:t>
      </w:r>
      <w:r>
        <w:rPr>
          <w:rFonts w:cs="Arial"/>
          <w:rtl/>
        </w:rPr>
        <w:t>: לא שנו אלא בזמן בית המדרש</w:t>
      </w:r>
      <w:r>
        <w:rPr>
          <w:rStyle w:val="a9"/>
          <w:rFonts w:cs="Arial"/>
          <w:rtl/>
        </w:rPr>
        <w:footnoteReference w:id="1274"/>
      </w:r>
      <w:r>
        <w:rPr>
          <w:rFonts w:cs="Arial"/>
          <w:rtl/>
        </w:rPr>
        <w:t>, אבל שלא בזמן בית המדרש</w:t>
      </w:r>
      <w:r>
        <w:rPr>
          <w:rStyle w:val="a9"/>
          <w:rFonts w:cs="Arial"/>
          <w:rtl/>
        </w:rPr>
        <w:footnoteReference w:id="1275"/>
      </w:r>
      <w:r>
        <w:rPr>
          <w:rFonts w:cs="Arial"/>
          <w:rtl/>
        </w:rPr>
        <w:t xml:space="preserve"> - קורין. </w:t>
      </w:r>
      <w:r>
        <w:rPr>
          <w:rFonts w:cs="Arial"/>
          <w:u w:val="single"/>
          <w:rtl/>
        </w:rPr>
        <w:t>ושמואל אמר</w:t>
      </w:r>
      <w:r>
        <w:rPr>
          <w:rFonts w:cs="Arial"/>
          <w:rtl/>
        </w:rPr>
        <w:t xml:space="preserve">: אפילו שלא בזמן בית המדרש אין קורין. </w:t>
      </w:r>
      <w:r>
        <w:rPr>
          <w:rFonts w:cs="Arial"/>
          <w:sz w:val="16"/>
          <w:szCs w:val="16"/>
          <w:rtl/>
        </w:rPr>
        <w:t>(וכתבו הרי"ף (מג:) והרא"ש (סי' ב) והלכתא כרב, ב"י. וכ' הב"י עוד דהר"ן כתב (פרק כל כתבי מג: דיבור ראשון) בשם הרז"ה (המאור מג. ד"ה והא)- מאחר שפסק מנהג הראשונים שהיו נוהגים לדרוש בכל שבת ושבת עד זמן סעודה אין לנו למנוע עצמנו מלקרוא בכל כתבי הקדש ובכל ספר שיש בו סרך קדושה כל היום כולו. עכ"ל.)</w:t>
      </w:r>
    </w:p>
    <w:p w14:paraId="17848604" w14:textId="77777777" w:rsidR="004B2E7C" w:rsidRDefault="004B2E7C" w:rsidP="00434A6A">
      <w:pPr>
        <w:rPr>
          <w:rStyle w:val="a9"/>
          <w:rtl/>
        </w:rPr>
      </w:pPr>
      <w:r>
        <w:rPr>
          <w:rFonts w:cs="Arial"/>
          <w:b/>
          <w:bCs/>
          <w:rtl/>
        </w:rPr>
        <w:t xml:space="preserve">משנה שבת פכ"ג מ"ב: </w:t>
      </w:r>
      <w:r>
        <w:rPr>
          <w:rStyle w:val="a9"/>
          <w:rFonts w:cs="Arial"/>
          <w:rtl/>
        </w:rPr>
        <w:t>מונה אדם את אורחיו ואת פרפרותיו מפיו אבל לא מן הכתב</w:t>
      </w:r>
      <w:r>
        <w:rPr>
          <w:rFonts w:cs="Arial"/>
          <w:rtl/>
        </w:rPr>
        <w:t>..</w:t>
      </w:r>
      <w:r>
        <w:rPr>
          <w:rStyle w:val="a9"/>
          <w:rFonts w:cs="Arial"/>
          <w:rtl/>
        </w:rPr>
        <w:t>.</w:t>
      </w:r>
    </w:p>
    <w:p w14:paraId="521617A0" w14:textId="77777777" w:rsidR="004B2E7C" w:rsidRDefault="004B2E7C" w:rsidP="00434A6A">
      <w:pPr>
        <w:rPr>
          <w:u w:val="single"/>
          <w:rtl/>
        </w:rPr>
      </w:pPr>
      <w:r>
        <w:rPr>
          <w:rFonts w:cs="Arial"/>
          <w:u w:val="single"/>
          <w:rtl/>
        </w:rPr>
        <w:t xml:space="preserve">לימוד שאר חכמות בשבת: </w:t>
      </w:r>
    </w:p>
    <w:p w14:paraId="34953C9A" w14:textId="77777777" w:rsidR="004B2E7C" w:rsidRDefault="004B2E7C" w:rsidP="00FF2D21">
      <w:pPr>
        <w:pStyle w:val="aa"/>
        <w:numPr>
          <w:ilvl w:val="0"/>
          <w:numId w:val="144"/>
        </w:numPr>
        <w:rPr>
          <w:rFonts w:cs="Arial"/>
          <w:rtl/>
        </w:rPr>
      </w:pPr>
      <w:r>
        <w:rPr>
          <w:rFonts w:cs="Arial"/>
          <w:rtl/>
        </w:rPr>
        <w:t xml:space="preserve">רמב"ם </w:t>
      </w:r>
      <w:r>
        <w:rPr>
          <w:rFonts w:cs="Arial"/>
          <w:sz w:val="16"/>
          <w:szCs w:val="16"/>
          <w:rtl/>
        </w:rPr>
        <w:t>(פהמ"ש פרק שואל מ"ב)</w:t>
      </w:r>
      <w:r>
        <w:rPr>
          <w:rFonts w:cs="Arial"/>
          <w:rtl/>
        </w:rPr>
        <w:t>- הטעם שאסרו למנותם מן הכתב - שמא יקרא אגרות בשבת, וזה אסור, שכל זולת ספרי הנבואה ופירושיהם אסור לקרותו לא בשבת ולא ביום טוב, ואפילו היה בו דברי חכמה ומדע</w:t>
      </w:r>
      <w:r>
        <w:rPr>
          <w:rStyle w:val="a9"/>
          <w:rFonts w:cs="Arial"/>
          <w:rtl/>
        </w:rPr>
        <w:footnoteReference w:id="1276"/>
      </w:r>
      <w:r>
        <w:rPr>
          <w:rFonts w:cs="Arial"/>
          <w:rtl/>
        </w:rPr>
        <w:t>.</w:t>
      </w:r>
      <w:r>
        <w:rPr>
          <w:rFonts w:cs="Arial"/>
          <w:color w:val="E36C0A" w:themeColor="accent6" w:themeShade="BF"/>
          <w:rtl/>
        </w:rPr>
        <w:t xml:space="preserve"> (וכ"ס בשו"ע)</w:t>
      </w:r>
      <w:r>
        <w:rPr>
          <w:rFonts w:cs="Arial"/>
          <w:rtl/>
        </w:rPr>
        <w:t xml:space="preserve"> </w:t>
      </w:r>
    </w:p>
    <w:p w14:paraId="5C42B3DD" w14:textId="77777777" w:rsidR="004B2E7C" w:rsidRDefault="004B2E7C" w:rsidP="00FF2D21">
      <w:pPr>
        <w:pStyle w:val="aa"/>
        <w:numPr>
          <w:ilvl w:val="0"/>
          <w:numId w:val="144"/>
        </w:numPr>
        <w:rPr>
          <w:rFonts w:cs="Arial"/>
          <w:rtl/>
        </w:rPr>
      </w:pPr>
      <w:r>
        <w:rPr>
          <w:rFonts w:cs="Arial"/>
          <w:rtl/>
        </w:rPr>
        <w:t xml:space="preserve">ר"ן </w:t>
      </w:r>
      <w:r>
        <w:rPr>
          <w:rFonts w:cs="Arial"/>
          <w:sz w:val="16"/>
          <w:szCs w:val="16"/>
          <w:rtl/>
        </w:rPr>
        <w:t xml:space="preserve">(פרק כל כתבי מג: דיבור ראשון) </w:t>
      </w:r>
      <w:r>
        <w:rPr>
          <w:rFonts w:cs="Arial"/>
          <w:rtl/>
        </w:rPr>
        <w:t xml:space="preserve">בשם הרז"ה </w:t>
      </w:r>
      <w:r>
        <w:rPr>
          <w:rFonts w:cs="Arial"/>
          <w:sz w:val="16"/>
          <w:szCs w:val="16"/>
          <w:rtl/>
        </w:rPr>
        <w:t>(המאור מג. ד"ה והא)</w:t>
      </w:r>
      <w:r>
        <w:rPr>
          <w:rFonts w:cs="Arial"/>
          <w:rtl/>
        </w:rPr>
        <w:t>- מאחר שפסק מנהג הראשונים שהיו נוהגים לדרוש בכל שבת ושבת עד זמן סעודה אין לנו למנוע עצמנו מלקרוא בכל כתבי הקדש ובכל ספר שיש בו סרך קדושה כל היום כולו</w:t>
      </w:r>
      <w:r>
        <w:rPr>
          <w:rStyle w:val="a9"/>
          <w:rFonts w:cs="Arial"/>
          <w:rtl/>
        </w:rPr>
        <w:footnoteReference w:id="1277"/>
      </w:r>
      <w:r>
        <w:rPr>
          <w:rFonts w:cs="Arial"/>
          <w:rtl/>
        </w:rPr>
        <w:t xml:space="preserve">. </w:t>
      </w:r>
      <w:r>
        <w:rPr>
          <w:rFonts w:cs="Arial"/>
          <w:color w:val="E36C0A" w:themeColor="accent6" w:themeShade="BF"/>
          <w:rtl/>
        </w:rPr>
        <w:t>(וכ"ס בשו"ע)</w:t>
      </w:r>
    </w:p>
    <w:p w14:paraId="05FB0FE9" w14:textId="77777777" w:rsidR="004B2E7C" w:rsidRDefault="004B2E7C" w:rsidP="00FF2D21">
      <w:pPr>
        <w:pStyle w:val="aa"/>
        <w:numPr>
          <w:ilvl w:val="0"/>
          <w:numId w:val="144"/>
        </w:numPr>
        <w:rPr>
          <w:rFonts w:cs="Arial"/>
        </w:rPr>
      </w:pPr>
      <w:r>
        <w:rPr>
          <w:rFonts w:cs="Arial"/>
          <w:rtl/>
        </w:rPr>
        <w:t xml:space="preserve">רשב"א </w:t>
      </w:r>
      <w:r>
        <w:rPr>
          <w:rFonts w:cs="Arial"/>
          <w:sz w:val="16"/>
          <w:szCs w:val="16"/>
          <w:rtl/>
        </w:rPr>
        <w:t>(ח"א סי' תשעב, וח"ד סי' קב)</w:t>
      </w:r>
      <w:r>
        <w:rPr>
          <w:rFonts w:cs="Arial"/>
          <w:rtl/>
        </w:rPr>
        <w:t>- מותר להביט באצטרול"ב בשבת שאינו אלא כאחד מספרי החכמה דמה הפרש בין כתוב ורשום בלוחות נחשת בעט ברזל לכתוב בספר</w:t>
      </w:r>
      <w:r>
        <w:rPr>
          <w:rStyle w:val="a9"/>
          <w:rFonts w:cs="Arial"/>
          <w:rtl/>
        </w:rPr>
        <w:footnoteReference w:id="1278"/>
      </w:r>
      <w:r>
        <w:rPr>
          <w:rFonts w:cs="Arial"/>
          <w:rtl/>
        </w:rPr>
        <w:t xml:space="preserve">. </w:t>
      </w:r>
    </w:p>
    <w:p w14:paraId="0B9E2355" w14:textId="77777777" w:rsidR="004B2E7C" w:rsidRDefault="004B2E7C" w:rsidP="00434A6A">
      <w:pPr>
        <w:ind w:left="360"/>
        <w:rPr>
          <w:rFonts w:cs="Arial"/>
          <w:u w:val="dotted"/>
        </w:rPr>
      </w:pPr>
      <w:r>
        <w:rPr>
          <w:rFonts w:cs="Arial"/>
          <w:u w:val="dotted"/>
          <w:rtl/>
        </w:rPr>
        <w:t>האם מותר לטלטלן בשבת:</w:t>
      </w:r>
      <w:r>
        <w:rPr>
          <w:rFonts w:cs="Arial"/>
          <w:rtl/>
        </w:rPr>
        <w:t xml:space="preserve"> </w:t>
      </w:r>
      <w:r>
        <w:rPr>
          <w:rFonts w:cs="Arial"/>
          <w:sz w:val="16"/>
          <w:szCs w:val="16"/>
          <w:rtl/>
        </w:rPr>
        <w:t>(ב"י סי' שח סע' נ, דרכ"מ אות ח*)</w:t>
      </w:r>
    </w:p>
    <w:p w14:paraId="4CBE2482" w14:textId="77777777" w:rsidR="004B2E7C" w:rsidRDefault="004B2E7C" w:rsidP="00FF2D21">
      <w:pPr>
        <w:pStyle w:val="aa"/>
        <w:numPr>
          <w:ilvl w:val="0"/>
          <w:numId w:val="144"/>
        </w:numPr>
        <w:rPr>
          <w:rFonts w:cs="Arial"/>
        </w:rPr>
      </w:pPr>
      <w:r>
        <w:rPr>
          <w:rFonts w:cs="Arial"/>
          <w:rtl/>
        </w:rPr>
        <w:t xml:space="preserve">רשב"א </w:t>
      </w:r>
      <w:r>
        <w:rPr>
          <w:rFonts w:cs="Arial"/>
          <w:sz w:val="16"/>
          <w:szCs w:val="16"/>
          <w:rtl/>
        </w:rPr>
        <w:t>(סי' תשעב, וכ"כ האגור [סי' תקז] בשמו)</w:t>
      </w:r>
      <w:r>
        <w:rPr>
          <w:rFonts w:cs="Arial"/>
          <w:rtl/>
        </w:rPr>
        <w:t xml:space="preserve">- מותר לטלטל האצטרולב בשבת ולהופכו ולהביט בו. </w:t>
      </w:r>
    </w:p>
    <w:p w14:paraId="358B64A5" w14:textId="77777777" w:rsidR="004B2E7C" w:rsidRDefault="004B2E7C" w:rsidP="00FF2D21">
      <w:pPr>
        <w:pStyle w:val="aa"/>
        <w:numPr>
          <w:ilvl w:val="0"/>
          <w:numId w:val="144"/>
        </w:numPr>
        <w:rPr>
          <w:rFonts w:cs="Arial"/>
        </w:rPr>
      </w:pPr>
      <w:r>
        <w:rPr>
          <w:rFonts w:cs="Arial"/>
          <w:rtl/>
        </w:rPr>
        <w:t xml:space="preserve">(רמב"ם </w:t>
      </w:r>
      <w:r>
        <w:rPr>
          <w:rFonts w:cs="Arial"/>
          <w:sz w:val="16"/>
          <w:szCs w:val="16"/>
          <w:rtl/>
        </w:rPr>
        <w:t>להב' הב"י [ס"ס שח סע' נ]</w:t>
      </w:r>
      <w:r>
        <w:rPr>
          <w:rFonts w:cs="Arial"/>
          <w:rtl/>
        </w:rPr>
        <w:t>)- כיון שאסור לקרות בשבת בשום ספר זולת ספרי הנבואות ופירושיהן - אפשר דלטלטלן נמי אסור</w:t>
      </w:r>
      <w:r>
        <w:rPr>
          <w:rFonts w:cs="Arial"/>
          <w:sz w:val="16"/>
          <w:szCs w:val="16"/>
          <w:rtl/>
        </w:rPr>
        <w:t xml:space="preserve"> (ל' הב"י בסי' שח)</w:t>
      </w:r>
      <w:r>
        <w:rPr>
          <w:rFonts w:cs="Arial"/>
          <w:rtl/>
        </w:rPr>
        <w:t>.</w:t>
      </w:r>
    </w:p>
    <w:p w14:paraId="3FA0EA7A" w14:textId="77777777" w:rsidR="004B2E7C" w:rsidRDefault="004B2E7C" w:rsidP="00434A6A">
      <w:pPr>
        <w:rPr>
          <w:rFonts w:cs="Arial"/>
          <w:sz w:val="16"/>
          <w:szCs w:val="16"/>
        </w:rPr>
      </w:pPr>
      <w:r>
        <w:rPr>
          <w:rFonts w:cs="Arial"/>
          <w:u w:val="single"/>
          <w:rtl/>
        </w:rPr>
        <w:t>לימוד בשבת בדברים שמצערים אותו:</w:t>
      </w:r>
      <w:r>
        <w:rPr>
          <w:rFonts w:cs="Arial"/>
          <w:sz w:val="16"/>
          <w:szCs w:val="16"/>
          <w:rtl/>
        </w:rPr>
        <w:t xml:space="preserve"> (דרכ"מ אות ט)</w:t>
      </w:r>
    </w:p>
    <w:p w14:paraId="1B5030AD" w14:textId="77777777" w:rsidR="004B2E7C" w:rsidRDefault="004B2E7C" w:rsidP="00FF2D21">
      <w:pPr>
        <w:pStyle w:val="aa"/>
        <w:numPr>
          <w:ilvl w:val="0"/>
          <w:numId w:val="145"/>
        </w:numPr>
        <w:rPr>
          <w:rFonts w:cs="Arial"/>
          <w:rtl/>
        </w:rPr>
      </w:pPr>
      <w:r>
        <w:rPr>
          <w:rFonts w:cs="Arial"/>
          <w:rtl/>
        </w:rPr>
        <w:t>או"ז</w:t>
      </w:r>
      <w:r>
        <w:rPr>
          <w:rFonts w:cs="Arial"/>
          <w:sz w:val="16"/>
          <w:szCs w:val="16"/>
          <w:rtl/>
        </w:rPr>
        <w:t xml:space="preserve"> (ח"ב סי' פט)</w:t>
      </w:r>
      <w:r>
        <w:rPr>
          <w:rFonts w:cs="Arial"/>
          <w:rtl/>
        </w:rPr>
        <w:t>- מותר ללמוד בשבת אף בדברים שאינו רגיל בהם ואין אומרים שצער הוא לו.</w:t>
      </w:r>
    </w:p>
    <w:p w14:paraId="6E6814F7" w14:textId="77777777" w:rsidR="004B2E7C" w:rsidRDefault="004B2E7C" w:rsidP="00434A6A">
      <w:pPr>
        <w:rPr>
          <w:rFonts w:asciiTheme="minorBidi" w:hAnsiTheme="minorBidi"/>
        </w:rPr>
      </w:pPr>
      <w:r>
        <w:rPr>
          <w:rFonts w:asciiTheme="minorBidi" w:hAnsiTheme="minorBidi"/>
          <w:b/>
          <w:bCs/>
          <w:sz w:val="32"/>
          <w:szCs w:val="28"/>
          <w:u w:val="single"/>
          <w:rtl/>
        </w:rPr>
        <w:t xml:space="preserve">שו"ע: </w:t>
      </w:r>
    </w:p>
    <w:p w14:paraId="29F949CF" w14:textId="77777777" w:rsidR="004B2E7C" w:rsidRDefault="004B2E7C" w:rsidP="00434A6A">
      <w:pPr>
        <w:rPr>
          <w:rFonts w:asciiTheme="minorBidi" w:hAnsiTheme="minorBidi"/>
          <w:rtl/>
        </w:rPr>
      </w:pPr>
      <w:r>
        <w:rPr>
          <w:rFonts w:asciiTheme="minorBidi" w:hAnsiTheme="minorBidi"/>
          <w:rtl/>
        </w:rPr>
        <w:t>אסור ללמוד בשבת ויום טוב זולת בדברי תורה, ואפילו בספרי חכמות אסור, ויש מי שמתיר</w:t>
      </w:r>
      <w:r>
        <w:rPr>
          <w:rStyle w:val="a9"/>
          <w:rFonts w:asciiTheme="minorBidi" w:hAnsiTheme="minorBidi"/>
          <w:rtl/>
        </w:rPr>
        <w:footnoteReference w:id="1279"/>
      </w:r>
      <w:r>
        <w:rPr>
          <w:rFonts w:asciiTheme="minorBidi" w:hAnsiTheme="minorBidi"/>
          <w:rtl/>
        </w:rPr>
        <w:t>, ועל פי סברתו מותר להביט באצטרלו"ב</w:t>
      </w:r>
      <w:r>
        <w:rPr>
          <w:rStyle w:val="a9"/>
          <w:rFonts w:asciiTheme="minorBidi" w:hAnsiTheme="minorBidi"/>
          <w:rtl/>
        </w:rPr>
        <w:footnoteReference w:id="1280"/>
      </w:r>
      <w:r>
        <w:rPr>
          <w:rFonts w:asciiTheme="minorBidi" w:hAnsiTheme="minorBidi"/>
          <w:rtl/>
        </w:rPr>
        <w:t xml:space="preserve"> בשבת. </w:t>
      </w:r>
      <w:r>
        <w:rPr>
          <w:rFonts w:asciiTheme="minorBidi" w:hAnsiTheme="minorBidi"/>
          <w:sz w:val="18"/>
          <w:szCs w:val="18"/>
          <w:rtl/>
        </w:rPr>
        <w:t>הגה: ולהפכה ולטלטלה כדלקמן סי' שח.</w:t>
      </w:r>
      <w:r>
        <w:rPr>
          <w:rFonts w:asciiTheme="minorBidi" w:hAnsiTheme="minorBidi"/>
          <w:rtl/>
        </w:rPr>
        <w:t xml:space="preserve"> </w:t>
      </w:r>
    </w:p>
    <w:p w14:paraId="5B914A43" w14:textId="77777777" w:rsidR="004B2E7C" w:rsidRDefault="004B2E7C" w:rsidP="00434A6A">
      <w:pPr>
        <w:rPr>
          <w:rFonts w:asciiTheme="minorBidi" w:hAnsiTheme="minorBidi"/>
          <w:rtl/>
        </w:rPr>
      </w:pPr>
    </w:p>
    <w:p w14:paraId="6FDAD1CA" w14:textId="77777777" w:rsidR="004B2E7C" w:rsidRDefault="004B2E7C" w:rsidP="00434A6A">
      <w:pPr>
        <w:pStyle w:val="2"/>
        <w:rPr>
          <w:rFonts w:asciiTheme="minorBidi" w:hAnsiTheme="minorBidi" w:cstheme="minorBidi"/>
          <w:rtl/>
        </w:rPr>
      </w:pPr>
      <w:r>
        <w:rPr>
          <w:rFonts w:asciiTheme="minorBidi" w:hAnsiTheme="minorBidi" w:cstheme="minorBidi"/>
          <w:rtl/>
        </w:rPr>
        <w:t>סעיף יח: שאילה מן השד.</w:t>
      </w:r>
    </w:p>
    <w:p w14:paraId="38AF3057" w14:textId="77777777" w:rsidR="004B2E7C" w:rsidRDefault="004B2E7C" w:rsidP="00434A6A">
      <w:pPr>
        <w:rPr>
          <w:rtl/>
        </w:rPr>
      </w:pPr>
      <w:r>
        <w:rPr>
          <w:rFonts w:cs="Arial"/>
          <w:b/>
          <w:bCs/>
          <w:rtl/>
        </w:rPr>
        <w:t xml:space="preserve">סנהדרין קא ע"א: </w:t>
      </w:r>
      <w:r>
        <w:rPr>
          <w:rFonts w:cs="Arial"/>
          <w:rtl/>
        </w:rPr>
        <w:t xml:space="preserve">ואין שואלין בדבר שדים בשבת. </w:t>
      </w:r>
      <w:r>
        <w:rPr>
          <w:rFonts w:cs="Arial"/>
          <w:u w:val="single"/>
          <w:rtl/>
        </w:rPr>
        <w:t>רבי יוסי אומר</w:t>
      </w:r>
      <w:r>
        <w:rPr>
          <w:rFonts w:cs="Arial"/>
          <w:rtl/>
        </w:rPr>
        <w:t xml:space="preserve">: אף בחול אסור. </w:t>
      </w:r>
      <w:r>
        <w:rPr>
          <w:rFonts w:cs="Arial"/>
          <w:u w:val="single"/>
          <w:rtl/>
        </w:rPr>
        <w:t>אמר רב הונא</w:t>
      </w:r>
      <w:r>
        <w:rPr>
          <w:rFonts w:cs="Arial"/>
          <w:rtl/>
        </w:rPr>
        <w:t>: (אין) הלכה כרבי יוסי. ואף רבי יוסי לא אמרה אלא משום סכנה, כי הא דרב יצחק בר יוסף דאיבלע בארזא, ואתעביד ליה ניסא פקע ארזא ופלטיה.</w:t>
      </w:r>
    </w:p>
    <w:p w14:paraId="33DE3A1F" w14:textId="77777777" w:rsidR="004B2E7C" w:rsidRDefault="004B2E7C" w:rsidP="00434A6A">
      <w:pPr>
        <w:rPr>
          <w:rFonts w:cs="Arial"/>
          <w:u w:val="single"/>
          <w:rtl/>
        </w:rPr>
      </w:pPr>
      <w:r>
        <w:rPr>
          <w:rFonts w:cs="Arial"/>
          <w:u w:val="single"/>
          <w:rtl/>
        </w:rPr>
        <w:t>לשאול מן השד בשבת:</w:t>
      </w:r>
    </w:p>
    <w:p w14:paraId="6F6879CC" w14:textId="77777777" w:rsidR="004B2E7C" w:rsidRDefault="004B2E7C" w:rsidP="00FF2D21">
      <w:pPr>
        <w:pStyle w:val="aa"/>
        <w:numPr>
          <w:ilvl w:val="0"/>
          <w:numId w:val="145"/>
        </w:numPr>
        <w:rPr>
          <w:rFonts w:cs="Arial"/>
          <w:rtl/>
        </w:rPr>
      </w:pPr>
      <w:r>
        <w:rPr>
          <w:rFonts w:cs="Arial"/>
          <w:rtl/>
        </w:rPr>
        <w:t xml:space="preserve">רי"ו </w:t>
      </w:r>
      <w:r>
        <w:rPr>
          <w:rFonts w:cs="Arial"/>
          <w:sz w:val="16"/>
          <w:szCs w:val="16"/>
          <w:rtl/>
        </w:rPr>
        <w:t>(ח"ט ני"ב, עט ע"ג)</w:t>
      </w:r>
      <w:r>
        <w:rPr>
          <w:rFonts w:cs="Arial"/>
          <w:rtl/>
        </w:rPr>
        <w:t>- לשאול מן השד משום רפואה כל דבר שמותר בחול מותר בשבת</w:t>
      </w:r>
      <w:r>
        <w:rPr>
          <w:rStyle w:val="a9"/>
          <w:rFonts w:cs="Arial"/>
          <w:rtl/>
        </w:rPr>
        <w:footnoteReference w:id="1281"/>
      </w:r>
      <w:r>
        <w:rPr>
          <w:rFonts w:cs="Arial"/>
          <w:rtl/>
        </w:rPr>
        <w:t xml:space="preserve">, כך פשוט בפרק חלק </w:t>
      </w:r>
      <w:r>
        <w:rPr>
          <w:rFonts w:cs="Arial"/>
          <w:sz w:val="16"/>
          <w:szCs w:val="16"/>
          <w:rtl/>
        </w:rPr>
        <w:t>(סנהדרין קא.)</w:t>
      </w:r>
      <w:r>
        <w:rPr>
          <w:rFonts w:cs="Arial"/>
          <w:rtl/>
        </w:rPr>
        <w:t xml:space="preserve">. </w:t>
      </w:r>
      <w:r>
        <w:rPr>
          <w:rFonts w:cs="Arial"/>
          <w:color w:val="E36C0A" w:themeColor="accent6" w:themeShade="BF"/>
          <w:rtl/>
        </w:rPr>
        <w:t>(וכ"פ בשו"ע)</w:t>
      </w:r>
    </w:p>
    <w:p w14:paraId="16156C57" w14:textId="77777777" w:rsidR="004B2E7C" w:rsidRDefault="004B2E7C" w:rsidP="00434A6A">
      <w:pPr>
        <w:rPr>
          <w:rFonts w:cs="Arial"/>
          <w:u w:val="single"/>
        </w:rPr>
      </w:pPr>
      <w:r>
        <w:rPr>
          <w:rFonts w:cs="Arial"/>
          <w:u w:val="single"/>
          <w:rtl/>
        </w:rPr>
        <w:t xml:space="preserve">האם מותר לגוי להוציא את החמין מן התנור בשבת </w:t>
      </w:r>
      <w:r>
        <w:rPr>
          <w:rFonts w:cs="Arial"/>
          <w:sz w:val="16"/>
          <w:szCs w:val="16"/>
          <w:u w:val="single"/>
          <w:rtl/>
        </w:rPr>
        <w:t>(אע"פ שכשיוציא תיהיה הבערה של הגחלים)</w:t>
      </w:r>
      <w:r>
        <w:rPr>
          <w:rFonts w:cs="Arial"/>
          <w:u w:val="single"/>
          <w:rtl/>
        </w:rPr>
        <w:t>:</w:t>
      </w:r>
    </w:p>
    <w:p w14:paraId="4EEA085E" w14:textId="77777777" w:rsidR="004B2E7C" w:rsidRDefault="004B2E7C" w:rsidP="00FF2D21">
      <w:pPr>
        <w:pStyle w:val="aa"/>
        <w:numPr>
          <w:ilvl w:val="0"/>
          <w:numId w:val="145"/>
        </w:numPr>
        <w:rPr>
          <w:rtl/>
        </w:rPr>
      </w:pPr>
      <w:r>
        <w:rPr>
          <w:rFonts w:cs="Arial"/>
          <w:rtl/>
        </w:rPr>
        <w:t xml:space="preserve">הגה"מ </w:t>
      </w:r>
      <w:r>
        <w:rPr>
          <w:rFonts w:cs="Arial"/>
          <w:sz w:val="16"/>
          <w:szCs w:val="16"/>
          <w:rtl/>
        </w:rPr>
        <w:t>(פ"ו אות כ)</w:t>
      </w:r>
      <w:r>
        <w:rPr>
          <w:rFonts w:cs="Arial"/>
          <w:rtl/>
        </w:rPr>
        <w:t>- מה שאנו אומרין לגוי להוציא החמין מן התנור אין אנו אומרים לו להבעיר וגוי מנפשיה קא עביד</w:t>
      </w:r>
      <w:r>
        <w:rPr>
          <w:rStyle w:val="a9"/>
          <w:rFonts w:cs="Arial"/>
          <w:rtl/>
        </w:rPr>
        <w:footnoteReference w:id="1282"/>
      </w:r>
      <w:r>
        <w:rPr>
          <w:rFonts w:cs="Arial"/>
          <w:rtl/>
        </w:rPr>
        <w:t xml:space="preserve">. </w:t>
      </w:r>
    </w:p>
    <w:p w14:paraId="034FD1EC" w14:textId="77777777" w:rsidR="004B2E7C" w:rsidRDefault="004B2E7C" w:rsidP="00FF2D21">
      <w:pPr>
        <w:pStyle w:val="aa"/>
        <w:numPr>
          <w:ilvl w:val="0"/>
          <w:numId w:val="145"/>
        </w:numPr>
      </w:pPr>
      <w:r>
        <w:rPr>
          <w:rFonts w:cs="Arial"/>
          <w:rtl/>
        </w:rPr>
        <w:t xml:space="preserve">רא"ם </w:t>
      </w:r>
      <w:r>
        <w:rPr>
          <w:rFonts w:cs="Arial"/>
          <w:sz w:val="16"/>
          <w:szCs w:val="16"/>
          <w:rtl/>
        </w:rPr>
        <w:t xml:space="preserve">(כ"כ האגור בשמו [סי' שנה]) </w:t>
      </w:r>
      <w:r>
        <w:rPr>
          <w:rFonts w:cs="Arial"/>
          <w:rtl/>
        </w:rPr>
        <w:t xml:space="preserve">ושבה"ל </w:t>
      </w:r>
      <w:r>
        <w:rPr>
          <w:rFonts w:cs="Arial"/>
          <w:sz w:val="16"/>
          <w:szCs w:val="16"/>
          <w:rtl/>
        </w:rPr>
        <w:t>(סי' נז, כ"כ האגור בשמו [שם])</w:t>
      </w:r>
      <w:r>
        <w:rPr>
          <w:rFonts w:cs="Arial"/>
          <w:rtl/>
        </w:rPr>
        <w:t>- אסור לומר לגוי להוציא הקדרה בשבת כשנוגעת בגחלים.</w:t>
      </w:r>
    </w:p>
    <w:p w14:paraId="2835010F"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14766A61" w14:textId="77777777" w:rsidR="004B2E7C" w:rsidRDefault="004B2E7C" w:rsidP="00434A6A">
      <w:pPr>
        <w:rPr>
          <w:rFonts w:asciiTheme="minorBidi" w:hAnsiTheme="minorBidi"/>
          <w:rtl/>
        </w:rPr>
      </w:pPr>
      <w:r>
        <w:rPr>
          <w:rFonts w:asciiTheme="minorBidi" w:hAnsiTheme="minorBidi"/>
          <w:rtl/>
        </w:rPr>
        <w:t>לשאול מן השד, מה שמותר בחול מותר בשבת</w:t>
      </w:r>
      <w:r>
        <w:rPr>
          <w:rStyle w:val="a9"/>
          <w:rFonts w:asciiTheme="minorBidi" w:hAnsiTheme="minorBidi"/>
          <w:rtl/>
        </w:rPr>
        <w:footnoteReference w:id="1283"/>
      </w:r>
      <w:r>
        <w:rPr>
          <w:rFonts w:asciiTheme="minorBidi" w:hAnsiTheme="minorBidi"/>
          <w:rtl/>
        </w:rPr>
        <w:t xml:space="preserve">. </w:t>
      </w:r>
    </w:p>
    <w:p w14:paraId="1DDBD21F" w14:textId="77777777" w:rsidR="004B2E7C" w:rsidRDefault="004B2E7C" w:rsidP="00434A6A">
      <w:pPr>
        <w:rPr>
          <w:rFonts w:asciiTheme="minorBidi" w:hAnsiTheme="minorBidi"/>
          <w:rtl/>
        </w:rPr>
      </w:pPr>
    </w:p>
    <w:p w14:paraId="1518C2A9" w14:textId="77777777" w:rsidR="004B2E7C" w:rsidRDefault="004B2E7C" w:rsidP="00434A6A">
      <w:pPr>
        <w:pStyle w:val="2"/>
        <w:rPr>
          <w:rFonts w:asciiTheme="minorBidi" w:hAnsiTheme="minorBidi" w:cstheme="minorBidi"/>
          <w:rtl/>
        </w:rPr>
      </w:pPr>
      <w:r>
        <w:rPr>
          <w:rFonts w:asciiTheme="minorBidi" w:hAnsiTheme="minorBidi" w:cstheme="minorBidi"/>
          <w:rtl/>
        </w:rPr>
        <w:t>סעיף יט: הצלת ממון ע"י אמירה לגוי.</w:t>
      </w:r>
    </w:p>
    <w:p w14:paraId="71F0873D" w14:textId="77777777" w:rsidR="004B2E7C" w:rsidRDefault="004B2E7C" w:rsidP="00434A6A">
      <w:pPr>
        <w:rPr>
          <w:rFonts w:cs="Arial"/>
          <w:u w:val="single"/>
          <w:rtl/>
        </w:rPr>
      </w:pPr>
      <w:r>
        <w:rPr>
          <w:rFonts w:cs="Arial"/>
          <w:u w:val="single"/>
          <w:rtl/>
        </w:rPr>
        <w:t>מהו להציל את ממונו ע"י אמירה לגוי:</w:t>
      </w:r>
    </w:p>
    <w:p w14:paraId="338111B1" w14:textId="77777777" w:rsidR="004B2E7C" w:rsidRDefault="004B2E7C" w:rsidP="00FF2D21">
      <w:pPr>
        <w:pStyle w:val="aa"/>
        <w:numPr>
          <w:ilvl w:val="0"/>
          <w:numId w:val="146"/>
        </w:numPr>
        <w:rPr>
          <w:rFonts w:cs="Arial"/>
          <w:rtl/>
        </w:rPr>
      </w:pPr>
      <w:r>
        <w:rPr>
          <w:rFonts w:cs="Arial"/>
          <w:rtl/>
        </w:rPr>
        <w:t xml:space="preserve">סה"ת </w:t>
      </w:r>
      <w:r>
        <w:rPr>
          <w:rFonts w:cs="Arial"/>
          <w:sz w:val="16"/>
          <w:szCs w:val="16"/>
          <w:rtl/>
        </w:rPr>
        <w:t xml:space="preserve">(סי' רמו) </w:t>
      </w:r>
      <w:r>
        <w:rPr>
          <w:rFonts w:cs="Arial"/>
          <w:rtl/>
        </w:rPr>
        <w:t xml:space="preserve">סמ"ג </w:t>
      </w:r>
      <w:r>
        <w:rPr>
          <w:rFonts w:cs="Arial"/>
          <w:sz w:val="16"/>
          <w:szCs w:val="16"/>
          <w:rtl/>
        </w:rPr>
        <w:t xml:space="preserve">(לאוין סה, טז ע"ג) </w:t>
      </w:r>
      <w:r>
        <w:rPr>
          <w:rFonts w:cs="Arial"/>
          <w:rtl/>
        </w:rPr>
        <w:t xml:space="preserve">רשב"א </w:t>
      </w:r>
      <w:r>
        <w:rPr>
          <w:rFonts w:cs="Arial"/>
          <w:sz w:val="16"/>
          <w:szCs w:val="16"/>
          <w:rtl/>
        </w:rPr>
        <w:t>(ח"א סי' תשפד, ח"ד סי' רעז, וכ"כ האגור (סי' תנ) בשמו)</w:t>
      </w:r>
      <w:r>
        <w:rPr>
          <w:rFonts w:cs="Arial"/>
          <w:rtl/>
        </w:rPr>
        <w:t xml:space="preserve">- סחורה הנפסדת בספינה על ידי גשמים אסור לומר לגוי להוציאה שלא התירו לומר כל המכבה אינו מפסיד </w:t>
      </w:r>
      <w:r>
        <w:rPr>
          <w:rFonts w:cs="Arial"/>
          <w:sz w:val="16"/>
          <w:szCs w:val="16"/>
          <w:rtl/>
        </w:rPr>
        <w:t xml:space="preserve">(שבת קכא., כתובות ע:) </w:t>
      </w:r>
      <w:r>
        <w:rPr>
          <w:rFonts w:cs="Arial"/>
          <w:rtl/>
        </w:rPr>
        <w:t>אלא בדליקה</w:t>
      </w:r>
      <w:r>
        <w:rPr>
          <w:rFonts w:cs="Arial"/>
          <w:sz w:val="16"/>
          <w:szCs w:val="16"/>
          <w:rtl/>
        </w:rPr>
        <w:t xml:space="preserve"> (ל' הרשב"א)</w:t>
      </w:r>
      <w:r>
        <w:rPr>
          <w:rFonts w:cs="Arial"/>
          <w:rtl/>
        </w:rPr>
        <w:t xml:space="preserve">. ובפרק המדיר </w:t>
      </w:r>
      <w:r>
        <w:rPr>
          <w:rFonts w:cs="Arial"/>
          <w:sz w:val="16"/>
          <w:szCs w:val="16"/>
          <w:rtl/>
        </w:rPr>
        <w:t xml:space="preserve">(כתובות ע:) </w:t>
      </w:r>
      <w:r>
        <w:rPr>
          <w:rFonts w:cs="Arial"/>
          <w:rtl/>
        </w:rPr>
        <w:t>קאמר למעוטי שאר איסורי שבת</w:t>
      </w:r>
      <w:r>
        <w:rPr>
          <w:rFonts w:cs="Arial"/>
          <w:sz w:val="16"/>
          <w:szCs w:val="16"/>
          <w:rtl/>
        </w:rPr>
        <w:t xml:space="preserve"> (מדברי סמ"ג וסה"ת)</w:t>
      </w:r>
      <w:r>
        <w:rPr>
          <w:rFonts w:cs="Arial"/>
          <w:rtl/>
        </w:rPr>
        <w:t>.</w:t>
      </w:r>
    </w:p>
    <w:p w14:paraId="799087BE" w14:textId="77777777" w:rsidR="004B2E7C" w:rsidRDefault="004B2E7C" w:rsidP="00FF2D21">
      <w:pPr>
        <w:pStyle w:val="aa"/>
        <w:numPr>
          <w:ilvl w:val="0"/>
          <w:numId w:val="146"/>
        </w:numPr>
        <w:rPr>
          <w:rFonts w:cs="Arial"/>
          <w:rtl/>
        </w:rPr>
      </w:pPr>
      <w:r>
        <w:rPr>
          <w:rFonts w:cs="Arial"/>
          <w:rtl/>
        </w:rPr>
        <w:t xml:space="preserve">בה"ג </w:t>
      </w:r>
      <w:r>
        <w:rPr>
          <w:rFonts w:cs="Arial"/>
          <w:sz w:val="16"/>
          <w:szCs w:val="16"/>
          <w:rtl/>
        </w:rPr>
        <w:t xml:space="preserve">(הל' שבת פט"ז, יט ע"א) </w:t>
      </w:r>
      <w:r>
        <w:rPr>
          <w:rFonts w:cs="Arial"/>
          <w:rtl/>
        </w:rPr>
        <w:t xml:space="preserve">רא"ש </w:t>
      </w:r>
      <w:r>
        <w:rPr>
          <w:rFonts w:cs="Arial"/>
          <w:sz w:val="16"/>
          <w:szCs w:val="16"/>
          <w:rtl/>
        </w:rPr>
        <w:t xml:space="preserve">(פרק כל כתבי סי' י) </w:t>
      </w:r>
      <w:r>
        <w:rPr>
          <w:rFonts w:cs="Arial"/>
          <w:rtl/>
        </w:rPr>
        <w:t xml:space="preserve">וטור </w:t>
      </w:r>
      <w:r>
        <w:rPr>
          <w:rFonts w:cs="Arial"/>
          <w:sz w:val="16"/>
          <w:szCs w:val="16"/>
          <w:rtl/>
        </w:rPr>
        <w:t>(סי' שלד קט:)</w:t>
      </w:r>
      <w:r>
        <w:rPr>
          <w:rFonts w:cs="Arial"/>
          <w:rtl/>
        </w:rPr>
        <w:t>- בדליקה התירו לומר כל המכבה אינו מפסיד, כתב בה"ג דה"ה לבידקא דמיא, וכן נראה דכל כיוצא בזה היזק הבא לאדם פתאום כגון אם נתרועעה חבית של יין והולך לאיבוד ויראה שיכול לקרות הגוי וכשיבא הגוי ממילא יכבה</w:t>
      </w:r>
      <w:r>
        <w:rPr>
          <w:rStyle w:val="a9"/>
          <w:rFonts w:cs="Arial"/>
          <w:rtl/>
        </w:rPr>
        <w:footnoteReference w:id="1284"/>
      </w:r>
      <w:r>
        <w:rPr>
          <w:rFonts w:cs="Arial"/>
          <w:sz w:val="16"/>
          <w:szCs w:val="16"/>
          <w:rtl/>
        </w:rPr>
        <w:t xml:space="preserve"> (ל' הרא"ש)</w:t>
      </w:r>
      <w:r>
        <w:rPr>
          <w:rFonts w:cs="Arial"/>
          <w:rtl/>
        </w:rPr>
        <w:t>.</w:t>
      </w:r>
      <w:r>
        <w:rPr>
          <w:rFonts w:cs="Arial"/>
          <w:color w:val="E36C0A" w:themeColor="accent6" w:themeShade="BF"/>
          <w:rtl/>
        </w:rPr>
        <w:t xml:space="preserve"> (וכ"ס בשו"ע)</w:t>
      </w:r>
    </w:p>
    <w:p w14:paraId="38B47910" w14:textId="77777777" w:rsidR="004B2E7C" w:rsidRDefault="004B2E7C" w:rsidP="00FF2D21">
      <w:pPr>
        <w:pStyle w:val="aa"/>
        <w:numPr>
          <w:ilvl w:val="1"/>
          <w:numId w:val="146"/>
        </w:numPr>
        <w:rPr>
          <w:rtl/>
        </w:rPr>
      </w:pPr>
      <w:r>
        <w:rPr>
          <w:rFonts w:cs="Arial"/>
          <w:rtl/>
        </w:rPr>
        <w:t>ב"י- כיון דאיסורא דרבנן הוא כדאי הם הלכות גדולות והרא"ש לסמוך עליהם.</w:t>
      </w:r>
    </w:p>
    <w:p w14:paraId="7E952A28"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3B7F4E72" w14:textId="77777777" w:rsidR="004B2E7C" w:rsidRDefault="004B2E7C" w:rsidP="00434A6A">
      <w:pPr>
        <w:rPr>
          <w:rFonts w:asciiTheme="minorBidi" w:hAnsiTheme="minorBidi"/>
          <w:rtl/>
        </w:rPr>
      </w:pPr>
      <w:r>
        <w:rPr>
          <w:rFonts w:asciiTheme="minorBidi" w:hAnsiTheme="minorBidi"/>
          <w:rtl/>
        </w:rPr>
        <w:t xml:space="preserve">סחורה הנפסדת בשבת על ידי גשמים או דבר אחר או אתי בידקא </w:t>
      </w:r>
      <w:r>
        <w:rPr>
          <w:rFonts w:asciiTheme="minorBidi" w:hAnsiTheme="minorBidi"/>
          <w:sz w:val="16"/>
          <w:szCs w:val="16"/>
          <w:rtl/>
        </w:rPr>
        <w:t xml:space="preserve">(פי' נחל או אגם מים) </w:t>
      </w:r>
      <w:r>
        <w:rPr>
          <w:rFonts w:asciiTheme="minorBidi" w:hAnsiTheme="minorBidi"/>
          <w:rtl/>
        </w:rPr>
        <w:t>דמיא ומפסיד ממונו או שנתרועעה חבית של יין והולך לאיבוד, מותר</w:t>
      </w:r>
      <w:r>
        <w:rPr>
          <w:rStyle w:val="a9"/>
          <w:rFonts w:asciiTheme="minorBidi" w:hAnsiTheme="minorBidi"/>
          <w:rtl/>
        </w:rPr>
        <w:footnoteReference w:id="1285"/>
      </w:r>
      <w:r>
        <w:rPr>
          <w:rFonts w:asciiTheme="minorBidi" w:hAnsiTheme="minorBidi"/>
          <w:rtl/>
        </w:rPr>
        <w:t xml:space="preserve"> לקרות גוי אף על פי שודאי יודע שהגוי יציל הממון</w:t>
      </w:r>
      <w:r>
        <w:rPr>
          <w:rStyle w:val="a9"/>
          <w:rFonts w:asciiTheme="minorBidi" w:hAnsiTheme="minorBidi"/>
          <w:rtl/>
        </w:rPr>
        <w:footnoteReference w:id="1286"/>
      </w:r>
      <w:r>
        <w:rPr>
          <w:rFonts w:asciiTheme="minorBidi" w:hAnsiTheme="minorBidi"/>
          <w:rtl/>
        </w:rPr>
        <w:t xml:space="preserve">. </w:t>
      </w:r>
      <w:r>
        <w:rPr>
          <w:rFonts w:asciiTheme="minorBidi" w:hAnsiTheme="minorBidi"/>
          <w:sz w:val="18"/>
          <w:szCs w:val="18"/>
          <w:rtl/>
        </w:rPr>
        <w:t xml:space="preserve">הגה: ולכסות סחורה או פירות או ד"א מפני הגשמים ע"ל סי' שלה סע' ז. </w:t>
      </w:r>
      <w:r>
        <w:rPr>
          <w:rFonts w:asciiTheme="minorBidi" w:hAnsiTheme="minorBidi"/>
          <w:rtl/>
        </w:rPr>
        <w:t>וכן מותר לומר לגוי: כל המציל אינו מפסיד</w:t>
      </w:r>
      <w:r>
        <w:rPr>
          <w:rStyle w:val="a9"/>
          <w:rFonts w:asciiTheme="minorBidi" w:hAnsiTheme="minorBidi"/>
          <w:rtl/>
        </w:rPr>
        <w:footnoteReference w:id="1287"/>
      </w:r>
      <w:r>
        <w:rPr>
          <w:rFonts w:asciiTheme="minorBidi" w:hAnsiTheme="minorBidi"/>
          <w:rtl/>
        </w:rPr>
        <w:t>, כמו בדליקה שהתירו לומר: כל המכבה אינו מפסיד. ויש מי שאומר שלא התירו אלא בדליקה דוקא</w:t>
      </w:r>
      <w:r>
        <w:rPr>
          <w:rStyle w:val="a9"/>
          <w:rFonts w:asciiTheme="minorBidi" w:hAnsiTheme="minorBidi"/>
          <w:rtl/>
        </w:rPr>
        <w:footnoteReference w:id="1288"/>
      </w:r>
      <w:r>
        <w:rPr>
          <w:rFonts w:asciiTheme="minorBidi" w:hAnsiTheme="minorBidi"/>
          <w:rtl/>
        </w:rPr>
        <w:t>.</w:t>
      </w:r>
      <w:r>
        <w:rPr>
          <w:rFonts w:asciiTheme="minorBidi" w:hAnsiTheme="minorBidi"/>
          <w:sz w:val="18"/>
          <w:szCs w:val="18"/>
          <w:rtl/>
        </w:rPr>
        <w:t xml:space="preserve"> הגה: וע"ל סי' שלד.</w:t>
      </w:r>
      <w:r>
        <w:rPr>
          <w:rFonts w:asciiTheme="minorBidi" w:hAnsiTheme="minorBidi"/>
          <w:rtl/>
        </w:rPr>
        <w:t xml:space="preserve"> </w:t>
      </w:r>
    </w:p>
    <w:p w14:paraId="1DF14674" w14:textId="77777777" w:rsidR="004B2E7C" w:rsidRDefault="004B2E7C" w:rsidP="00434A6A">
      <w:pPr>
        <w:rPr>
          <w:rFonts w:asciiTheme="minorBidi" w:hAnsiTheme="minorBidi"/>
          <w:rtl/>
        </w:rPr>
      </w:pPr>
    </w:p>
    <w:p w14:paraId="4C289E37" w14:textId="77777777" w:rsidR="004B2E7C" w:rsidRDefault="004B2E7C" w:rsidP="00434A6A">
      <w:pPr>
        <w:pStyle w:val="2"/>
        <w:rPr>
          <w:rFonts w:asciiTheme="minorBidi" w:hAnsiTheme="minorBidi" w:cstheme="minorBidi"/>
          <w:rtl/>
        </w:rPr>
      </w:pPr>
      <w:r>
        <w:rPr>
          <w:rFonts w:asciiTheme="minorBidi" w:hAnsiTheme="minorBidi" w:cstheme="minorBidi"/>
          <w:rtl/>
        </w:rPr>
        <w:t xml:space="preserve">סעיף כ: הנאה ממעשה שעשה גוי בשבת בעקבות בקשת הישראל. </w:t>
      </w:r>
    </w:p>
    <w:p w14:paraId="4D4A8829" w14:textId="77777777" w:rsidR="004B2E7C" w:rsidRDefault="004B2E7C" w:rsidP="00434A6A">
      <w:pPr>
        <w:rPr>
          <w:rFonts w:cs="Arial"/>
          <w:u w:val="single"/>
          <w:rtl/>
        </w:rPr>
      </w:pPr>
      <w:r>
        <w:rPr>
          <w:rFonts w:cs="Arial"/>
          <w:u w:val="single"/>
          <w:rtl/>
        </w:rPr>
        <w:t>ישראל שאמר לגוי לעשות מלאכה בשבת</w:t>
      </w:r>
      <w:r>
        <w:rPr>
          <w:rFonts w:cs="Arial"/>
          <w:sz w:val="16"/>
          <w:szCs w:val="16"/>
          <w:u w:val="single"/>
          <w:rtl/>
        </w:rPr>
        <w:t xml:space="preserve"> (ובכך עבר הישראל משום שבות)</w:t>
      </w:r>
      <w:r>
        <w:rPr>
          <w:rFonts w:cs="Arial"/>
          <w:u w:val="single"/>
          <w:rtl/>
        </w:rPr>
        <w:t>:</w:t>
      </w:r>
    </w:p>
    <w:p w14:paraId="3F56611D" w14:textId="77777777" w:rsidR="004B2E7C" w:rsidRDefault="004B2E7C" w:rsidP="00FF2D21">
      <w:pPr>
        <w:pStyle w:val="aa"/>
        <w:numPr>
          <w:ilvl w:val="0"/>
          <w:numId w:val="147"/>
        </w:numPr>
        <w:rPr>
          <w:rFonts w:cs="Arial"/>
          <w:rtl/>
        </w:rPr>
      </w:pPr>
      <w:r>
        <w:rPr>
          <w:rFonts w:cs="Arial"/>
          <w:rtl/>
        </w:rPr>
        <w:t>רי"ו</w:t>
      </w:r>
      <w:r>
        <w:rPr>
          <w:rFonts w:cs="Arial"/>
          <w:sz w:val="16"/>
          <w:szCs w:val="16"/>
          <w:rtl/>
        </w:rPr>
        <w:t xml:space="preserve"> (חי"ב ני"ב, פג:)</w:t>
      </w:r>
      <w:r>
        <w:rPr>
          <w:rFonts w:cs="Arial"/>
          <w:rtl/>
        </w:rPr>
        <w:t>- אסורה לו אותה מלאכה לעולם משום קנסא, כך דקדקו הפסקנים בפרק השוכר את הפועלים</w:t>
      </w:r>
      <w:r>
        <w:rPr>
          <w:rtl/>
        </w:rPr>
        <w:t xml:space="preserve"> </w:t>
      </w:r>
      <w:r>
        <w:rPr>
          <w:rFonts w:cs="Arial"/>
          <w:rtl/>
        </w:rPr>
        <w:t xml:space="preserve">מההיא דאבוה דשמואל דהני תורי דגנבו להו ארמאי וכו'. </w:t>
      </w:r>
    </w:p>
    <w:p w14:paraId="6FD875AA" w14:textId="77777777" w:rsidR="004B2E7C" w:rsidRDefault="004B2E7C" w:rsidP="00FF2D21">
      <w:pPr>
        <w:pStyle w:val="aa"/>
        <w:numPr>
          <w:ilvl w:val="0"/>
          <w:numId w:val="147"/>
        </w:numPr>
        <w:rPr>
          <w:rFonts w:cs="Arial"/>
          <w:rtl/>
        </w:rPr>
      </w:pPr>
      <w:r>
        <w:rPr>
          <w:rFonts w:cs="Arial"/>
          <w:rtl/>
        </w:rPr>
        <w:t xml:space="preserve">רמב"ם </w:t>
      </w:r>
      <w:r>
        <w:rPr>
          <w:rFonts w:cs="Arial"/>
          <w:sz w:val="16"/>
          <w:szCs w:val="16"/>
          <w:rtl/>
        </w:rPr>
        <w:t>(פ"ו ה"ח)</w:t>
      </w:r>
      <w:r>
        <w:rPr>
          <w:rFonts w:cs="Arial"/>
          <w:rtl/>
        </w:rPr>
        <w:t>- מותר לו ליהנות באותה מלאכה לערב אחר שימתין בכדי שיעשה</w:t>
      </w:r>
      <w:r>
        <w:rPr>
          <w:rStyle w:val="a9"/>
          <w:rFonts w:cs="Arial"/>
          <w:rtl/>
        </w:rPr>
        <w:footnoteReference w:id="1289"/>
      </w:r>
      <w:r>
        <w:rPr>
          <w:rFonts w:cs="Arial"/>
          <w:rtl/>
        </w:rPr>
        <w:t xml:space="preserve">. </w:t>
      </w:r>
    </w:p>
    <w:p w14:paraId="5E26FCAF" w14:textId="77777777" w:rsidR="004B2E7C" w:rsidRDefault="004B2E7C" w:rsidP="00434A6A">
      <w:pPr>
        <w:rPr>
          <w:rFonts w:cs="Arial"/>
          <w:u w:val="single"/>
          <w:rtl/>
        </w:rPr>
      </w:pPr>
      <w:r>
        <w:rPr>
          <w:rFonts w:cs="Arial"/>
          <w:u w:val="single"/>
          <w:rtl/>
        </w:rPr>
        <w:t>אמריה לגוי בשביל תינוק או חולה שאב"ס:</w:t>
      </w:r>
    </w:p>
    <w:p w14:paraId="18B89E38" w14:textId="77777777" w:rsidR="004B2E7C" w:rsidRDefault="004B2E7C" w:rsidP="00FF2D21">
      <w:pPr>
        <w:pStyle w:val="aa"/>
        <w:numPr>
          <w:ilvl w:val="0"/>
          <w:numId w:val="148"/>
        </w:numPr>
        <w:rPr>
          <w:rtl/>
        </w:rPr>
      </w:pPr>
      <w:r>
        <w:rPr>
          <w:rFonts w:cs="Arial"/>
          <w:rtl/>
        </w:rPr>
        <w:t xml:space="preserve">אגור </w:t>
      </w:r>
      <w:r>
        <w:rPr>
          <w:rFonts w:cs="Arial"/>
          <w:sz w:val="16"/>
          <w:szCs w:val="16"/>
          <w:rtl/>
        </w:rPr>
        <w:t>(סי' תקד)</w:t>
      </w:r>
      <w:r>
        <w:rPr>
          <w:rFonts w:cs="Arial"/>
          <w:sz w:val="18"/>
          <w:szCs w:val="18"/>
          <w:rtl/>
        </w:rPr>
        <w:t xml:space="preserve"> </w:t>
      </w:r>
      <w:r>
        <w:rPr>
          <w:rFonts w:cs="Arial"/>
          <w:rtl/>
        </w:rPr>
        <w:t xml:space="preserve">בשם מהר"י מולין </w:t>
      </w:r>
      <w:r>
        <w:rPr>
          <w:rFonts w:cs="Arial"/>
          <w:sz w:val="16"/>
          <w:szCs w:val="16"/>
          <w:rtl/>
        </w:rPr>
        <w:t>(שו"ת מהרי"ל סי' קטו)</w:t>
      </w:r>
      <w:r>
        <w:rPr>
          <w:rFonts w:cs="Arial"/>
          <w:rtl/>
        </w:rPr>
        <w:t>- מותר לומר לגוי לעשות מאכל מקמח ומים לתינוק בשבת דהוי קצת דומה לחולה שאין בו סכנה, והטלטול נמי מותר לדעת הרא"ש</w:t>
      </w:r>
      <w:r>
        <w:rPr>
          <w:rStyle w:val="a9"/>
          <w:rFonts w:cs="Arial"/>
          <w:rtl/>
        </w:rPr>
        <w:footnoteReference w:id="1290"/>
      </w:r>
      <w:r>
        <w:rPr>
          <w:rFonts w:cs="Arial"/>
          <w:rtl/>
        </w:rPr>
        <w:t xml:space="preserve"> ז"ל </w:t>
      </w:r>
      <w:r>
        <w:rPr>
          <w:rFonts w:cs="Arial"/>
          <w:sz w:val="16"/>
          <w:szCs w:val="16"/>
          <w:rtl/>
        </w:rPr>
        <w:t>(ביצה פ"ג סי' יז)</w:t>
      </w:r>
      <w:r>
        <w:rPr>
          <w:rStyle w:val="a9"/>
          <w:rFonts w:cs="Arial"/>
          <w:rtl/>
        </w:rPr>
        <w:footnoteReference w:id="1291"/>
      </w:r>
      <w:r>
        <w:rPr>
          <w:rFonts w:cs="Arial"/>
          <w:rtl/>
        </w:rPr>
        <w:t>.</w:t>
      </w:r>
    </w:p>
    <w:p w14:paraId="7D9A793F"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A2A5ADA" w14:textId="77777777" w:rsidR="004B2E7C" w:rsidRDefault="004B2E7C" w:rsidP="00434A6A">
      <w:pPr>
        <w:rPr>
          <w:rFonts w:asciiTheme="minorBidi" w:hAnsiTheme="minorBidi"/>
          <w:rtl/>
        </w:rPr>
      </w:pPr>
      <w:r>
        <w:rPr>
          <w:rFonts w:asciiTheme="minorBidi" w:hAnsiTheme="minorBidi"/>
          <w:rtl/>
        </w:rPr>
        <w:t>ישראל שאמר לגוי לעשות לו מלאכה בשבת, מותר לו ליהנות בה לערב בכדי שיעשו</w:t>
      </w:r>
      <w:r>
        <w:rPr>
          <w:rStyle w:val="a9"/>
          <w:rFonts w:asciiTheme="minorBidi" w:hAnsiTheme="minorBidi"/>
          <w:rtl/>
        </w:rPr>
        <w:footnoteReference w:id="1292"/>
      </w:r>
      <w:r>
        <w:rPr>
          <w:rFonts w:asciiTheme="minorBidi" w:hAnsiTheme="minorBidi"/>
          <w:rtl/>
        </w:rPr>
        <w:t xml:space="preserve">. </w:t>
      </w:r>
    </w:p>
    <w:p w14:paraId="35EC2581" w14:textId="77777777" w:rsidR="004B2E7C" w:rsidRDefault="004B2E7C" w:rsidP="00434A6A">
      <w:pPr>
        <w:rPr>
          <w:rFonts w:asciiTheme="minorBidi" w:hAnsiTheme="minorBidi"/>
          <w:rtl/>
        </w:rPr>
      </w:pPr>
    </w:p>
    <w:p w14:paraId="3F678434" w14:textId="77777777" w:rsidR="004B2E7C" w:rsidRDefault="004B2E7C" w:rsidP="00434A6A">
      <w:pPr>
        <w:pStyle w:val="2"/>
        <w:rPr>
          <w:rFonts w:asciiTheme="minorBidi" w:hAnsiTheme="minorBidi" w:cstheme="minorBidi"/>
          <w:rtl/>
        </w:rPr>
      </w:pPr>
      <w:r>
        <w:rPr>
          <w:rFonts w:asciiTheme="minorBidi" w:hAnsiTheme="minorBidi" w:cstheme="minorBidi"/>
          <w:rtl/>
        </w:rPr>
        <w:t xml:space="preserve">סעיף כא: אמירה לגוי שיעשה מלאכה לצורכו </w:t>
      </w:r>
      <w:r>
        <w:rPr>
          <w:rFonts w:asciiTheme="minorBidi" w:hAnsiTheme="minorBidi" w:cstheme="minorBidi"/>
          <w:sz w:val="18"/>
          <w:szCs w:val="18"/>
          <w:rtl/>
        </w:rPr>
        <w:t>(של הגוי)</w:t>
      </w:r>
      <w:r>
        <w:rPr>
          <w:rFonts w:asciiTheme="minorBidi" w:hAnsiTheme="minorBidi" w:cstheme="minorBidi"/>
          <w:rtl/>
        </w:rPr>
        <w:t>.</w:t>
      </w:r>
    </w:p>
    <w:p w14:paraId="01479D87" w14:textId="77777777" w:rsidR="004B2E7C" w:rsidRDefault="004B2E7C" w:rsidP="00434A6A">
      <w:pPr>
        <w:rPr>
          <w:rFonts w:cs="Arial"/>
          <w:u w:val="single"/>
          <w:rtl/>
        </w:rPr>
      </w:pPr>
      <w:r>
        <w:rPr>
          <w:rFonts w:cs="Arial"/>
          <w:u w:val="single"/>
          <w:rtl/>
        </w:rPr>
        <w:t>האם מותר לומר לגוי לעשות מלאכה לצורכו</w:t>
      </w:r>
      <w:r>
        <w:rPr>
          <w:rFonts w:cs="Arial"/>
          <w:sz w:val="16"/>
          <w:szCs w:val="16"/>
          <w:u w:val="single"/>
          <w:rtl/>
        </w:rPr>
        <w:t xml:space="preserve"> (היינו לצורך הגוי)</w:t>
      </w:r>
      <w:r>
        <w:rPr>
          <w:rFonts w:cs="Arial"/>
          <w:u w:val="single"/>
          <w:rtl/>
        </w:rPr>
        <w:t>:</w:t>
      </w:r>
    </w:p>
    <w:p w14:paraId="33730754" w14:textId="77777777" w:rsidR="004B2E7C" w:rsidRDefault="004B2E7C" w:rsidP="00FF2D21">
      <w:pPr>
        <w:pStyle w:val="aa"/>
        <w:numPr>
          <w:ilvl w:val="0"/>
          <w:numId w:val="148"/>
        </w:numPr>
        <w:rPr>
          <w:rFonts w:cs="Arial"/>
          <w:rtl/>
        </w:rPr>
      </w:pPr>
      <w:r>
        <w:rPr>
          <w:rFonts w:cs="Arial"/>
          <w:rtl/>
        </w:rPr>
        <w:t>רמב"ן</w:t>
      </w:r>
      <w:r>
        <w:rPr>
          <w:rFonts w:cs="Arial"/>
          <w:sz w:val="16"/>
          <w:szCs w:val="16"/>
          <w:rtl/>
        </w:rPr>
        <w:t xml:space="preserve"> (שמות יב טז, הביאו הדרכ"מ סקי"א) </w:t>
      </w:r>
      <w:r>
        <w:rPr>
          <w:rFonts w:cs="Arial"/>
          <w:rtl/>
        </w:rPr>
        <w:t xml:space="preserve">והגמ"ר </w:t>
      </w:r>
      <w:r>
        <w:rPr>
          <w:rFonts w:cs="Arial"/>
          <w:sz w:val="16"/>
          <w:szCs w:val="16"/>
          <w:rtl/>
        </w:rPr>
        <w:t>(שבת פ"ה סי' תנט)</w:t>
      </w:r>
      <w:r>
        <w:rPr>
          <w:rFonts w:cs="Arial"/>
          <w:rtl/>
        </w:rPr>
        <w:t>- מותר לומר לגוי בשבת עשה מלאכתך.</w:t>
      </w:r>
      <w:r>
        <w:rPr>
          <w:rFonts w:cs="Arial"/>
          <w:color w:val="00B0F0"/>
          <w:rtl/>
        </w:rPr>
        <w:t xml:space="preserve"> (וכ"פ הרמ"א)</w:t>
      </w:r>
    </w:p>
    <w:p w14:paraId="5EECFFB3" w14:textId="77777777" w:rsidR="004B2E7C" w:rsidRDefault="004B2E7C" w:rsidP="00434A6A">
      <w:pPr>
        <w:ind w:left="360"/>
        <w:rPr>
          <w:rFonts w:cs="Arial"/>
          <w:u w:val="dotted"/>
        </w:rPr>
      </w:pPr>
      <w:r>
        <w:rPr>
          <w:rFonts w:cs="Arial"/>
          <w:u w:val="dotted"/>
          <w:rtl/>
        </w:rPr>
        <w:t>ומה הדין אם נותן לו הישראל דבר משלו ואומר לו 'עשה בזה מלאכה לצורכך':</w:t>
      </w:r>
    </w:p>
    <w:p w14:paraId="451A67BB" w14:textId="77777777" w:rsidR="004B2E7C" w:rsidRDefault="004B2E7C" w:rsidP="00FF2D21">
      <w:pPr>
        <w:pStyle w:val="aa"/>
        <w:numPr>
          <w:ilvl w:val="0"/>
          <w:numId w:val="148"/>
        </w:numPr>
        <w:rPr>
          <w:rtl/>
        </w:rPr>
      </w:pPr>
      <w:r>
        <w:rPr>
          <w:rFonts w:cs="Arial"/>
          <w:rtl/>
        </w:rPr>
        <w:t xml:space="preserve">רא"ש </w:t>
      </w:r>
      <w:r>
        <w:rPr>
          <w:rFonts w:cs="Arial"/>
          <w:sz w:val="16"/>
          <w:szCs w:val="16"/>
          <w:rtl/>
        </w:rPr>
        <w:t>(פרק השוכר את הפועלים סי' ו)</w:t>
      </w:r>
      <w:r>
        <w:rPr>
          <w:rFonts w:cs="Arial"/>
          <w:rtl/>
        </w:rPr>
        <w:t>- אסור בשבת לומר לגוי שאין מזונותיו עליך הילך בשר זה ובשל אותו לצרכך בשבת.</w:t>
      </w:r>
      <w:r>
        <w:rPr>
          <w:rtl/>
        </w:rPr>
        <w:t xml:space="preserve"> </w:t>
      </w:r>
      <w:r>
        <w:rPr>
          <w:color w:val="E36C0A" w:themeColor="accent6" w:themeShade="BF"/>
          <w:rtl/>
        </w:rPr>
        <w:t>(וכ"פ בשו"ע)</w:t>
      </w:r>
    </w:p>
    <w:p w14:paraId="210A5018"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23AF766C" w14:textId="77777777" w:rsidR="004B2E7C" w:rsidRDefault="004B2E7C" w:rsidP="00434A6A">
      <w:pPr>
        <w:rPr>
          <w:rFonts w:asciiTheme="minorBidi" w:hAnsiTheme="minorBidi"/>
          <w:rtl/>
        </w:rPr>
      </w:pPr>
      <w:r>
        <w:rPr>
          <w:rFonts w:asciiTheme="minorBidi" w:hAnsiTheme="minorBidi"/>
          <w:rtl/>
        </w:rPr>
        <w:t>אסור לומר לגוי בשבת, הילך</w:t>
      </w:r>
      <w:r>
        <w:rPr>
          <w:rStyle w:val="a9"/>
          <w:rFonts w:asciiTheme="minorBidi" w:hAnsiTheme="minorBidi"/>
          <w:rtl/>
        </w:rPr>
        <w:footnoteReference w:id="1293"/>
      </w:r>
      <w:r>
        <w:rPr>
          <w:rFonts w:asciiTheme="minorBidi" w:hAnsiTheme="minorBidi"/>
          <w:rtl/>
        </w:rPr>
        <w:t xml:space="preserve"> בשר זה ובשל אותו לצרכך, ואפילו אין מזונותיו עליו. </w:t>
      </w:r>
      <w:r>
        <w:rPr>
          <w:rFonts w:asciiTheme="minorBidi" w:hAnsiTheme="minorBidi"/>
          <w:sz w:val="18"/>
          <w:szCs w:val="18"/>
          <w:rtl/>
        </w:rPr>
        <w:t>הגה: אבל מותר לומר לו לעשות מלאכה לעצמו (הגמ"ר פ"ה ורמב"ן פרשת בא אל פרעה).</w:t>
      </w:r>
      <w:r>
        <w:rPr>
          <w:rFonts w:asciiTheme="minorBidi" w:hAnsiTheme="minorBidi"/>
          <w:rtl/>
        </w:rPr>
        <w:t xml:space="preserve"> </w:t>
      </w:r>
    </w:p>
    <w:p w14:paraId="1D5ECE93" w14:textId="77777777" w:rsidR="004B2E7C" w:rsidRDefault="004B2E7C" w:rsidP="00434A6A">
      <w:pPr>
        <w:rPr>
          <w:rFonts w:asciiTheme="minorBidi" w:hAnsiTheme="minorBidi"/>
          <w:rtl/>
        </w:rPr>
      </w:pPr>
    </w:p>
    <w:p w14:paraId="59279FDD" w14:textId="77777777" w:rsidR="004B2E7C" w:rsidRDefault="004B2E7C" w:rsidP="00434A6A">
      <w:pPr>
        <w:pStyle w:val="2"/>
        <w:rPr>
          <w:rFonts w:asciiTheme="minorBidi" w:hAnsiTheme="minorBidi" w:cstheme="minorBidi"/>
          <w:rtl/>
        </w:rPr>
      </w:pPr>
      <w:r>
        <w:rPr>
          <w:rFonts w:asciiTheme="minorBidi" w:hAnsiTheme="minorBidi" w:cstheme="minorBidi"/>
          <w:rtl/>
        </w:rPr>
        <w:t>סעיף כב: שבות בבין השמשות.</w:t>
      </w:r>
    </w:p>
    <w:p w14:paraId="602CBF8B" w14:textId="77777777" w:rsidR="004B2E7C" w:rsidRDefault="004B2E7C" w:rsidP="00434A6A">
      <w:pPr>
        <w:rPr>
          <w:rFonts w:cs="Arial"/>
          <w:rtl/>
        </w:rPr>
      </w:pPr>
      <w:r>
        <w:rPr>
          <w:rFonts w:cs="Arial"/>
          <w:u w:val="single"/>
          <w:rtl/>
        </w:rPr>
        <w:t>שבות בבין השמשות:</w:t>
      </w:r>
    </w:p>
    <w:p w14:paraId="2FBD24AB" w14:textId="77777777" w:rsidR="004B2E7C" w:rsidRDefault="004B2E7C" w:rsidP="00FF2D21">
      <w:pPr>
        <w:pStyle w:val="aa"/>
        <w:numPr>
          <w:ilvl w:val="0"/>
          <w:numId w:val="148"/>
        </w:numPr>
        <w:rPr>
          <w:rFonts w:cs="Arial"/>
          <w:rtl/>
        </w:rPr>
      </w:pPr>
      <w:r>
        <w:rPr>
          <w:rFonts w:cs="Arial"/>
          <w:rtl/>
        </w:rPr>
        <w:t>טור</w:t>
      </w:r>
      <w:r>
        <w:rPr>
          <w:rFonts w:cs="Arial"/>
          <w:sz w:val="16"/>
          <w:szCs w:val="16"/>
          <w:rtl/>
        </w:rPr>
        <w:t xml:space="preserve"> (סי' שמב)</w:t>
      </w:r>
      <w:r>
        <w:rPr>
          <w:rFonts w:cs="Arial"/>
          <w:rtl/>
        </w:rPr>
        <w:t>- כל שבות דרבנן מותר בין השמשות לצורך מצוה או אם היה טרוד והוצרך לעשר פירות בין השמשות וכן כתב הר"י שמותר לומר לגוי בין השמשות להדליק הנר.</w:t>
      </w:r>
      <w:r>
        <w:rPr>
          <w:rtl/>
        </w:rPr>
        <w:t xml:space="preserve"> </w:t>
      </w:r>
      <w:r>
        <w:rPr>
          <w:color w:val="E36C0A" w:themeColor="accent6" w:themeShade="BF"/>
          <w:rtl/>
        </w:rPr>
        <w:t>(וכ"פ בשו"ע)</w:t>
      </w:r>
    </w:p>
    <w:p w14:paraId="0634808D" w14:textId="77777777" w:rsidR="004B2E7C" w:rsidRDefault="004B2E7C" w:rsidP="00434A6A">
      <w:pPr>
        <w:rPr>
          <w:rFonts w:cs="Arial"/>
          <w:rtl/>
        </w:rPr>
      </w:pPr>
      <w:r>
        <w:rPr>
          <w:rFonts w:cs="Arial"/>
          <w:u w:val="single"/>
          <w:rtl/>
        </w:rPr>
        <w:t>החרמה בשבת:</w:t>
      </w:r>
    </w:p>
    <w:p w14:paraId="27345F31" w14:textId="77777777" w:rsidR="004B2E7C" w:rsidRDefault="004B2E7C" w:rsidP="00FF2D21">
      <w:pPr>
        <w:pStyle w:val="aa"/>
        <w:numPr>
          <w:ilvl w:val="0"/>
          <w:numId w:val="148"/>
        </w:numPr>
        <w:rPr>
          <w:rFonts w:cs="Arial"/>
          <w:rtl/>
        </w:rPr>
      </w:pPr>
      <w:r>
        <w:rPr>
          <w:rFonts w:cs="Arial"/>
          <w:rtl/>
        </w:rPr>
        <w:t xml:space="preserve">הה"מ </w:t>
      </w:r>
      <w:r>
        <w:rPr>
          <w:rFonts w:cs="Arial"/>
          <w:sz w:val="16"/>
          <w:szCs w:val="16"/>
          <w:rtl/>
        </w:rPr>
        <w:t xml:space="preserve">(פכ"ג הי"ד) </w:t>
      </w:r>
      <w:r>
        <w:rPr>
          <w:rFonts w:cs="Arial"/>
          <w:rtl/>
        </w:rPr>
        <w:t xml:space="preserve">בשם ספר העתים- אסורים הצבור להחרים שום דבר בשבת אא"כ הוא לצורך השבת דומיא דהיתר נדרים </w:t>
      </w:r>
      <w:r>
        <w:rPr>
          <w:rFonts w:cs="Arial"/>
          <w:sz w:val="16"/>
          <w:szCs w:val="16"/>
          <w:rtl/>
        </w:rPr>
        <w:t>(שמבואר בסי' שמא)</w:t>
      </w:r>
      <w:r>
        <w:rPr>
          <w:rFonts w:cs="Arial"/>
          <w:rtl/>
        </w:rPr>
        <w:t xml:space="preserve">. </w:t>
      </w:r>
    </w:p>
    <w:p w14:paraId="1F349699" w14:textId="77777777" w:rsidR="004B2E7C" w:rsidRDefault="004B2E7C" w:rsidP="00434A6A">
      <w:pPr>
        <w:rPr>
          <w:rFonts w:cs="Arial"/>
          <w:u w:val="single"/>
        </w:rPr>
      </w:pPr>
      <w:r>
        <w:rPr>
          <w:rFonts w:cs="Arial"/>
          <w:u w:val="single"/>
          <w:rtl/>
        </w:rPr>
        <w:t>גוי שמחזיר את חובו לישראל ביום שבת:</w:t>
      </w:r>
    </w:p>
    <w:p w14:paraId="3F821D1C" w14:textId="77777777" w:rsidR="004B2E7C" w:rsidRDefault="004B2E7C" w:rsidP="00FF2D21">
      <w:pPr>
        <w:pStyle w:val="aa"/>
        <w:numPr>
          <w:ilvl w:val="0"/>
          <w:numId w:val="148"/>
        </w:numPr>
        <w:rPr>
          <w:rFonts w:cs="Arial"/>
        </w:rPr>
      </w:pPr>
      <w:r>
        <w:rPr>
          <w:rFonts w:cs="Arial"/>
          <w:rtl/>
        </w:rPr>
        <w:t xml:space="preserve">מצאתי כתוב בשם ספר אגודה </w:t>
      </w:r>
      <w:r>
        <w:rPr>
          <w:rFonts w:cs="Arial"/>
          <w:sz w:val="16"/>
          <w:szCs w:val="16"/>
          <w:rtl/>
        </w:rPr>
        <w:t>(שבת סי' א)</w:t>
      </w:r>
      <w:r>
        <w:rPr>
          <w:rFonts w:cs="Arial"/>
          <w:rtl/>
        </w:rPr>
        <w:t xml:space="preserve">- ראיתי גוים בעלי חובים מביאים עגלות מליאות תבואה ביום השבת וישראל נותן לו מפתח אוצרו והגוים נושאים ומודדין ומונין ולא ראיתי אחד מרבותי מוחה בדבר כי התבואה של הגוי עד אחר שיחשוב עמו. </w:t>
      </w:r>
      <w:r>
        <w:rPr>
          <w:rFonts w:cs="Arial"/>
          <w:color w:val="00B0F0"/>
          <w:rtl/>
        </w:rPr>
        <w:t>(וכ"פ הרמ"א)</w:t>
      </w:r>
    </w:p>
    <w:p w14:paraId="7DA3977B" w14:textId="77777777" w:rsidR="004B2E7C" w:rsidRDefault="004B2E7C" w:rsidP="00434A6A">
      <w:pPr>
        <w:rPr>
          <w:rFonts w:cs="Arial"/>
          <w:u w:val="single"/>
        </w:rPr>
      </w:pPr>
      <w:r>
        <w:rPr>
          <w:rFonts w:cs="Arial"/>
          <w:u w:val="single"/>
          <w:rtl/>
        </w:rPr>
        <w:t>ישראל שרוצה לראות את חליבת הגוי בשבת ע"מ שיוכל לקנות ממנו גבינות:</w:t>
      </w:r>
    </w:p>
    <w:p w14:paraId="07F7417F" w14:textId="77777777" w:rsidR="004B2E7C" w:rsidRDefault="004B2E7C" w:rsidP="00FF2D21">
      <w:pPr>
        <w:pStyle w:val="aa"/>
        <w:numPr>
          <w:ilvl w:val="0"/>
          <w:numId w:val="148"/>
        </w:numPr>
        <w:rPr>
          <w:rFonts w:cs="Arial"/>
        </w:rPr>
      </w:pPr>
      <w:r>
        <w:rPr>
          <w:rFonts w:cs="Arial"/>
          <w:rtl/>
        </w:rPr>
        <w:t xml:space="preserve">מהר"ם </w:t>
      </w:r>
      <w:r>
        <w:rPr>
          <w:rFonts w:cs="Arial"/>
          <w:sz w:val="16"/>
          <w:szCs w:val="16"/>
          <w:rtl/>
        </w:rPr>
        <w:t>(ד"פ סי' קנה)</w:t>
      </w:r>
      <w:r>
        <w:rPr>
          <w:rFonts w:cs="Arial"/>
          <w:rtl/>
        </w:rPr>
        <w:t xml:space="preserve"> וא"ח </w:t>
      </w:r>
      <w:r>
        <w:rPr>
          <w:rFonts w:cs="Arial"/>
          <w:sz w:val="16"/>
          <w:szCs w:val="16"/>
          <w:rtl/>
        </w:rPr>
        <w:t>(כ"כ הב"י בשמו)</w:t>
      </w:r>
      <w:r>
        <w:rPr>
          <w:rFonts w:cs="Arial"/>
          <w:rtl/>
        </w:rPr>
        <w:t xml:space="preserve">- שמעתי ממורי הגבור שמותר לישראל לילך בעדר הגוי ולהיות שם חדש או חדשים ולראות אף בשבת כשהגוי חולב דכיון שאין הגוי מוכר לו את החלב כי אם אחר עשותו את הגבינות גוי כי עביד מלאכה בשבת מלאכה דידיה עביד. </w:t>
      </w:r>
      <w:r>
        <w:rPr>
          <w:rFonts w:cs="Arial"/>
          <w:color w:val="00B0F0"/>
          <w:rtl/>
        </w:rPr>
        <w:t>(וכ"פ הרמ"א)</w:t>
      </w:r>
    </w:p>
    <w:p w14:paraId="339869B2" w14:textId="77777777" w:rsidR="004B2E7C" w:rsidRDefault="004B2E7C" w:rsidP="00434A6A">
      <w:pPr>
        <w:rPr>
          <w:rFonts w:asciiTheme="minorBidi" w:hAnsiTheme="minorBidi"/>
          <w:rtl/>
        </w:rPr>
      </w:pPr>
      <w:r>
        <w:rPr>
          <w:rFonts w:asciiTheme="minorBidi" w:hAnsiTheme="minorBidi"/>
          <w:b/>
          <w:bCs/>
          <w:sz w:val="32"/>
          <w:szCs w:val="28"/>
          <w:u w:val="single"/>
          <w:rtl/>
        </w:rPr>
        <w:t xml:space="preserve">שו"ע: </w:t>
      </w:r>
    </w:p>
    <w:p w14:paraId="791BB338" w14:textId="77777777" w:rsidR="004B2E7C" w:rsidRDefault="004B2E7C" w:rsidP="00434A6A">
      <w:pPr>
        <w:rPr>
          <w:rFonts w:asciiTheme="minorBidi" w:hAnsiTheme="minorBidi"/>
          <w:rtl/>
        </w:rPr>
      </w:pPr>
      <w:r>
        <w:rPr>
          <w:rFonts w:asciiTheme="minorBidi" w:hAnsiTheme="minorBidi"/>
          <w:rtl/>
        </w:rPr>
        <w:t>כל שבות דרבנן מותר בין השמשות לצורך מצוה, כגון לומר לגוי להדליק לו נר בין השמשות, או אם היה טרוד והוצרך לעשר בין השמשות</w:t>
      </w:r>
      <w:r>
        <w:rPr>
          <w:rStyle w:val="a9"/>
          <w:rFonts w:asciiTheme="minorBidi" w:hAnsiTheme="minorBidi"/>
          <w:rtl/>
        </w:rPr>
        <w:footnoteReference w:id="1294"/>
      </w:r>
      <w:r>
        <w:rPr>
          <w:rFonts w:asciiTheme="minorBidi" w:hAnsiTheme="minorBidi"/>
          <w:rtl/>
        </w:rPr>
        <w:t xml:space="preserve">. </w:t>
      </w:r>
      <w:r>
        <w:rPr>
          <w:rFonts w:asciiTheme="minorBidi" w:hAnsiTheme="minorBidi"/>
          <w:sz w:val="18"/>
          <w:szCs w:val="18"/>
          <w:rtl/>
        </w:rPr>
        <w:t>הגה: כל דבר שאסור לומר לגוי לעשותו בשבת אסור לרמוז לו לעשותו</w:t>
      </w:r>
      <w:r>
        <w:rPr>
          <w:rStyle w:val="a9"/>
          <w:rFonts w:asciiTheme="minorBidi" w:hAnsiTheme="minorBidi"/>
          <w:sz w:val="18"/>
          <w:szCs w:val="18"/>
          <w:rtl/>
        </w:rPr>
        <w:footnoteReference w:id="1295"/>
      </w:r>
      <w:r>
        <w:rPr>
          <w:rFonts w:asciiTheme="minorBidi" w:hAnsiTheme="minorBidi"/>
          <w:sz w:val="18"/>
          <w:szCs w:val="18"/>
          <w:rtl/>
        </w:rPr>
        <w:t>, אבל מותר לרמוז לו לעשות מלאכה אחר שבת (או"ז). גוים המביאים תבואה בשבת לישראל שחייבים להם, והישראל נותן לו מפתחו לאוצרו והגוי נותנו לשם ומודדים ומונים, יש מי שמתיר משום דגוי במלאכת עצמו עוסק ואינו של ישראל</w:t>
      </w:r>
      <w:r>
        <w:rPr>
          <w:rStyle w:val="a9"/>
          <w:rFonts w:asciiTheme="minorBidi" w:hAnsiTheme="minorBidi"/>
          <w:sz w:val="18"/>
          <w:szCs w:val="18"/>
          <w:rtl/>
        </w:rPr>
        <w:footnoteReference w:id="1296"/>
      </w:r>
      <w:r>
        <w:rPr>
          <w:rFonts w:asciiTheme="minorBidi" w:hAnsiTheme="minorBidi"/>
          <w:sz w:val="18"/>
          <w:szCs w:val="18"/>
          <w:rtl/>
        </w:rPr>
        <w:t xml:space="preserve"> עד אחר המדידה ושיחשוב עמו אח"כ</w:t>
      </w:r>
      <w:r>
        <w:rPr>
          <w:rStyle w:val="a9"/>
          <w:rFonts w:asciiTheme="minorBidi" w:hAnsiTheme="minorBidi"/>
          <w:sz w:val="18"/>
          <w:szCs w:val="18"/>
          <w:rtl/>
        </w:rPr>
        <w:footnoteReference w:id="1297"/>
      </w:r>
      <w:r>
        <w:rPr>
          <w:rFonts w:asciiTheme="minorBidi" w:hAnsiTheme="minorBidi"/>
          <w:sz w:val="18"/>
          <w:szCs w:val="18"/>
          <w:rtl/>
        </w:rPr>
        <w:t>. וכן גוים העושים גבינות בשבת והישראל רואה, יקנה אותם ממנו דמ"מ הגוי אדעתא דנפשיה קעביד אע"פ שהישראל עומד בעדר חודש או חדשים ואדעתא למכרם לישראל קא עביד שרי</w:t>
      </w:r>
      <w:r>
        <w:rPr>
          <w:rStyle w:val="a9"/>
          <w:rFonts w:asciiTheme="minorBidi" w:hAnsiTheme="minorBidi"/>
          <w:sz w:val="18"/>
          <w:szCs w:val="18"/>
          <w:rtl/>
        </w:rPr>
        <w:footnoteReference w:id="1298"/>
      </w:r>
      <w:r>
        <w:rPr>
          <w:rFonts w:asciiTheme="minorBidi" w:hAnsiTheme="minorBidi"/>
          <w:sz w:val="18"/>
          <w:szCs w:val="18"/>
          <w:rtl/>
        </w:rPr>
        <w:t>.</w:t>
      </w:r>
    </w:p>
    <w:p w14:paraId="36B75837" w14:textId="77777777" w:rsidR="004B2E7C" w:rsidRDefault="004B2E7C" w:rsidP="00434A6A">
      <w:pPr>
        <w:rPr>
          <w:rFonts w:asciiTheme="minorBidi" w:hAnsiTheme="minorBidi"/>
          <w:rtl/>
        </w:rPr>
      </w:pPr>
    </w:p>
    <w:p w14:paraId="4020EA14" w14:textId="77777777" w:rsidR="004B2E7C" w:rsidRDefault="004B2E7C" w:rsidP="00434A6A">
      <w:pPr>
        <w:pStyle w:val="1"/>
        <w:rPr>
          <w:rFonts w:asciiTheme="minorBidi" w:hAnsiTheme="minorBidi"/>
          <w:rtl/>
        </w:rPr>
        <w:sectPr w:rsidR="004B2E7C" w:rsidSect="00BD29B1">
          <w:headerReference w:type="default" r:id="rId77"/>
          <w:footerReference w:type="default" r:id="rId78"/>
          <w:footnotePr>
            <w:numRestart w:val="eachSect"/>
          </w:footnotePr>
          <w:pgSz w:w="11906" w:h="16838"/>
          <w:pgMar w:top="720" w:right="1134" w:bottom="720" w:left="1134" w:header="0" w:footer="0" w:gutter="0"/>
          <w:cols w:space="720"/>
          <w:bidi/>
          <w:rtlGutter/>
          <w:docGrid w:linePitch="360"/>
        </w:sectPr>
      </w:pPr>
    </w:p>
    <w:p w14:paraId="6EB5FE99" w14:textId="7A8FF76C" w:rsidR="000C6229" w:rsidRPr="00F63421" w:rsidRDefault="000C6229" w:rsidP="00434A6A">
      <w:pPr>
        <w:pStyle w:val="1"/>
        <w:rPr>
          <w:rFonts w:asciiTheme="minorBidi" w:hAnsiTheme="minorBidi"/>
          <w:rtl/>
        </w:rPr>
      </w:pPr>
      <w:r w:rsidRPr="005275DF">
        <w:rPr>
          <w:rFonts w:asciiTheme="minorBidi" w:hAnsiTheme="minorBidi"/>
          <w:rtl/>
        </w:rPr>
        <w:t xml:space="preserve">סימן שח: דברים המותרים והאסורים לטלטל בשבת, ובו נ"ב סעיפים. </w:t>
      </w:r>
    </w:p>
    <w:p w14:paraId="56F51596" w14:textId="17EBD7DC" w:rsidR="009A1772" w:rsidRDefault="009A1772" w:rsidP="00434A6A">
      <w:pPr>
        <w:pStyle w:val="2"/>
        <w:rPr>
          <w:rFonts w:asciiTheme="minorBidi" w:hAnsiTheme="minorBidi" w:cstheme="minorBidi"/>
          <w:rtl/>
        </w:rPr>
      </w:pPr>
      <w:r w:rsidRPr="005275DF">
        <w:rPr>
          <w:rFonts w:asciiTheme="minorBidi" w:hAnsiTheme="minorBidi" w:cstheme="minorBidi"/>
          <w:rtl/>
        </w:rPr>
        <w:t>סעיף א</w:t>
      </w:r>
      <w:r w:rsidR="00F63421">
        <w:rPr>
          <w:rFonts w:asciiTheme="minorBidi" w:hAnsiTheme="minorBidi" w:cstheme="minorBidi" w:hint="cs"/>
          <w:rtl/>
        </w:rPr>
        <w:t>:</w:t>
      </w:r>
      <w:r w:rsidR="00752724">
        <w:rPr>
          <w:rFonts w:asciiTheme="minorBidi" w:hAnsiTheme="minorBidi" w:cstheme="minorBidi" w:hint="cs"/>
          <w:rtl/>
        </w:rPr>
        <w:t xml:space="preserve"> הקדמה. ומוקצה מחמת חסרון כיס.</w:t>
      </w:r>
    </w:p>
    <w:p w14:paraId="0E877DC9" w14:textId="77777777" w:rsidR="0048520C" w:rsidRDefault="00F63421" w:rsidP="00434A6A">
      <w:pPr>
        <w:rPr>
          <w:rFonts w:cs="Arial"/>
          <w:rtl/>
        </w:rPr>
      </w:pPr>
      <w:bookmarkStart w:id="8" w:name="_Hlk79921634"/>
      <w:r w:rsidRPr="0048520C">
        <w:rPr>
          <w:rFonts w:cs="Arial"/>
          <w:u w:val="single"/>
          <w:rtl/>
        </w:rPr>
        <w:t>טעם איסור טלטול דברים המוקצים</w:t>
      </w:r>
      <w:r w:rsidR="0048520C" w:rsidRPr="0048520C">
        <w:rPr>
          <w:rFonts w:cs="Arial" w:hint="cs"/>
          <w:u w:val="single"/>
          <w:rtl/>
        </w:rPr>
        <w:t>:</w:t>
      </w:r>
    </w:p>
    <w:p w14:paraId="43BE581C" w14:textId="602489FE" w:rsidR="0048520C" w:rsidRDefault="00F63421" w:rsidP="00434A6A">
      <w:pPr>
        <w:pStyle w:val="aa"/>
        <w:numPr>
          <w:ilvl w:val="0"/>
          <w:numId w:val="4"/>
        </w:numPr>
        <w:rPr>
          <w:rFonts w:cs="Arial"/>
        </w:rPr>
      </w:pPr>
      <w:r w:rsidRPr="0048520C">
        <w:rPr>
          <w:rFonts w:cs="Arial"/>
          <w:rtl/>
        </w:rPr>
        <w:t xml:space="preserve">רמב"ם </w:t>
      </w:r>
      <w:r w:rsidR="0048520C" w:rsidRPr="0048520C">
        <w:rPr>
          <w:rFonts w:cs="Arial" w:hint="cs"/>
          <w:sz w:val="16"/>
          <w:szCs w:val="16"/>
          <w:rtl/>
        </w:rPr>
        <w:t>(ספ</w:t>
      </w:r>
      <w:r w:rsidRPr="0048520C">
        <w:rPr>
          <w:rFonts w:cs="Arial"/>
          <w:sz w:val="16"/>
          <w:szCs w:val="16"/>
          <w:rtl/>
        </w:rPr>
        <w:t>כ"ד הי"ב-יג)</w:t>
      </w:r>
      <w:r w:rsidR="0048520C">
        <w:rPr>
          <w:rFonts w:cs="Arial" w:hint="cs"/>
          <w:rtl/>
        </w:rPr>
        <w:t>-</w:t>
      </w:r>
      <w:r w:rsidRPr="0048520C">
        <w:rPr>
          <w:rFonts w:cs="Arial"/>
          <w:rtl/>
        </w:rPr>
        <w:t xml:space="preserve"> אסרו חכמים לטלטל מקצת דברים בשבת כדרך שהוא עושה בחול</w:t>
      </w:r>
      <w:r w:rsidR="0048520C">
        <w:rPr>
          <w:rFonts w:cs="Arial" w:hint="cs"/>
          <w:rtl/>
        </w:rPr>
        <w:t>.</w:t>
      </w:r>
      <w:r w:rsidRPr="0048520C">
        <w:rPr>
          <w:rFonts w:cs="Arial"/>
          <w:rtl/>
        </w:rPr>
        <w:t xml:space="preserve"> ומפני מה נגעו באיסור זה</w:t>
      </w:r>
      <w:r w:rsidR="0048520C">
        <w:rPr>
          <w:rFonts w:cs="Arial" w:hint="cs"/>
          <w:rtl/>
        </w:rPr>
        <w:t>?</w:t>
      </w:r>
      <w:r w:rsidRPr="0048520C">
        <w:rPr>
          <w:rFonts w:cs="Arial"/>
          <w:rtl/>
        </w:rPr>
        <w:t xml:space="preserve"> אמרו</w:t>
      </w:r>
      <w:r w:rsidR="0048520C">
        <w:rPr>
          <w:rFonts w:cs="Arial" w:hint="cs"/>
          <w:rtl/>
        </w:rPr>
        <w:t>,</w:t>
      </w:r>
      <w:r w:rsidRPr="0048520C">
        <w:rPr>
          <w:rFonts w:cs="Arial"/>
          <w:rtl/>
        </w:rPr>
        <w:t xml:space="preserve"> </w:t>
      </w:r>
      <w:r w:rsidRPr="00A7715C">
        <w:rPr>
          <w:rFonts w:cs="Arial"/>
          <w:u w:val="single"/>
          <w:rtl/>
        </w:rPr>
        <w:t>ומה</w:t>
      </w:r>
      <w:r w:rsidRPr="0048520C">
        <w:rPr>
          <w:rFonts w:cs="Arial"/>
          <w:rtl/>
        </w:rPr>
        <w:t xml:space="preserve"> אם הזהירו נביאים וצוו שלא יהא הילוכך בשבת כהילוכך בחול ולא שיחת השבת כשיחת החול</w:t>
      </w:r>
      <w:r w:rsidR="0048520C">
        <w:rPr>
          <w:rFonts w:cs="Arial" w:hint="cs"/>
          <w:rtl/>
        </w:rPr>
        <w:t>,</w:t>
      </w:r>
      <w:r w:rsidRPr="0048520C">
        <w:rPr>
          <w:rFonts w:cs="Arial"/>
          <w:rtl/>
        </w:rPr>
        <w:t xml:space="preserve"> שנאמר (ישעיה נח יג) ודבר דבר</w:t>
      </w:r>
      <w:r w:rsidR="0048520C">
        <w:rPr>
          <w:rFonts w:cs="Arial" w:hint="cs"/>
          <w:rtl/>
        </w:rPr>
        <w:t xml:space="preserve"> -</w:t>
      </w:r>
      <w:r w:rsidRPr="0048520C">
        <w:rPr>
          <w:rFonts w:cs="Arial"/>
          <w:rtl/>
        </w:rPr>
        <w:t xml:space="preserve"> קל וחומר שלא יהא טלטול בשבת כטלטול בחול</w:t>
      </w:r>
      <w:r w:rsidR="0048520C">
        <w:rPr>
          <w:rFonts w:cs="Arial" w:hint="cs"/>
          <w:rtl/>
        </w:rPr>
        <w:t>,</w:t>
      </w:r>
      <w:r w:rsidRPr="0048520C">
        <w:rPr>
          <w:rFonts w:cs="Arial"/>
          <w:rtl/>
        </w:rPr>
        <w:t xml:space="preserve"> כדי שלא יהא כיום חול בעיניו ויבא להגביה ולתקן כלים מפנה לפנה או מבית לבית או להצניע אבנים וכיוצא בהם</w:t>
      </w:r>
      <w:r w:rsidR="0048520C">
        <w:rPr>
          <w:rFonts w:cs="Arial" w:hint="cs"/>
          <w:rtl/>
        </w:rPr>
        <w:t>,</w:t>
      </w:r>
      <w:r w:rsidRPr="0048520C">
        <w:rPr>
          <w:rFonts w:cs="Arial"/>
          <w:rtl/>
        </w:rPr>
        <w:t xml:space="preserve"> שהרי הוא בטל ויושב בביתו ויבקש דבר שיתעסק בו ונמצא שלא שבת ובטל הטעם שנאמר בתורה (דברים ה יד) למען ינוח. </w:t>
      </w:r>
      <w:r w:rsidRPr="00A7715C">
        <w:rPr>
          <w:rFonts w:cs="Arial"/>
          <w:u w:val="single"/>
          <w:rtl/>
        </w:rPr>
        <w:t>ועוד</w:t>
      </w:r>
      <w:r w:rsidRPr="0048520C">
        <w:rPr>
          <w:rFonts w:cs="Arial"/>
          <w:rtl/>
        </w:rPr>
        <w:t xml:space="preserve"> כשיבקר ויטלטל כלים שמלאכתן לאיסור</w:t>
      </w:r>
      <w:r w:rsidR="0048520C">
        <w:rPr>
          <w:rFonts w:cs="Arial" w:hint="cs"/>
          <w:rtl/>
        </w:rPr>
        <w:t>,</w:t>
      </w:r>
      <w:r w:rsidRPr="0048520C">
        <w:rPr>
          <w:rFonts w:cs="Arial"/>
          <w:rtl/>
        </w:rPr>
        <w:t xml:space="preserve"> אפשר שיתעסק בהם מעט ויבא לידי מלאכה. </w:t>
      </w:r>
      <w:r w:rsidRPr="00A7715C">
        <w:rPr>
          <w:rFonts w:cs="Arial"/>
          <w:u w:val="single"/>
          <w:rtl/>
        </w:rPr>
        <w:t>ועוד</w:t>
      </w:r>
      <w:r w:rsidRPr="0048520C">
        <w:rPr>
          <w:rFonts w:cs="Arial"/>
          <w:rtl/>
        </w:rPr>
        <w:t xml:space="preserve"> מפני שמקצת העם אינם בעלי אומניות אלא בטלים כל ימיהם</w:t>
      </w:r>
      <w:r w:rsidR="0048520C">
        <w:rPr>
          <w:rFonts w:cs="Arial" w:hint="cs"/>
          <w:rtl/>
        </w:rPr>
        <w:t>,</w:t>
      </w:r>
      <w:r w:rsidRPr="0048520C">
        <w:rPr>
          <w:rFonts w:cs="Arial"/>
          <w:rtl/>
        </w:rPr>
        <w:t xml:space="preserve"> כגון הטיילין ויושבי קרנות שכל ימיהם הם שובתין ממלאכה</w:t>
      </w:r>
      <w:r w:rsidR="0048520C">
        <w:rPr>
          <w:rFonts w:cs="Arial" w:hint="cs"/>
          <w:rtl/>
        </w:rPr>
        <w:t>,</w:t>
      </w:r>
      <w:r w:rsidRPr="0048520C">
        <w:rPr>
          <w:rFonts w:cs="Arial"/>
          <w:rtl/>
        </w:rPr>
        <w:t xml:space="preserve"> ואם יהיה מותר להלך ולדבר ולטלטל כשאר הימים נמצא שלא שבת שביתה הניכרת. לפיכך שביתה בדברים אלו היא שביתה השוה בכל אדם</w:t>
      </w:r>
      <w:r w:rsidR="0048520C">
        <w:rPr>
          <w:rFonts w:cs="Arial" w:hint="cs"/>
          <w:rtl/>
        </w:rPr>
        <w:t>.</w:t>
      </w:r>
      <w:r w:rsidRPr="0048520C">
        <w:rPr>
          <w:rFonts w:cs="Arial"/>
          <w:rtl/>
        </w:rPr>
        <w:t xml:space="preserve"> ומפני דברים אלו נגעו באיסור הטלטול ואסרו שלא יטלטל אדם בשבת אלא כלים הצריך להם כמו שיתבאר</w:t>
      </w:r>
      <w:r w:rsidR="00752724">
        <w:rPr>
          <w:rStyle w:val="a9"/>
          <w:rFonts w:cs="Arial"/>
          <w:rtl/>
        </w:rPr>
        <w:footnoteReference w:id="1299"/>
      </w:r>
      <w:r w:rsidR="0048520C">
        <w:rPr>
          <w:rFonts w:cs="Arial" w:hint="cs"/>
          <w:rtl/>
        </w:rPr>
        <w:t>.</w:t>
      </w:r>
    </w:p>
    <w:p w14:paraId="6474C35A" w14:textId="492B4AD1" w:rsidR="0048520C" w:rsidRDefault="00F63421" w:rsidP="00434A6A">
      <w:pPr>
        <w:pStyle w:val="aa"/>
        <w:numPr>
          <w:ilvl w:val="0"/>
          <w:numId w:val="4"/>
        </w:numPr>
        <w:rPr>
          <w:rFonts w:cs="Arial"/>
        </w:rPr>
      </w:pPr>
      <w:r w:rsidRPr="0048520C">
        <w:rPr>
          <w:rFonts w:cs="Arial"/>
          <w:rtl/>
        </w:rPr>
        <w:t>ראב"ד</w:t>
      </w:r>
      <w:r w:rsidRPr="0048520C">
        <w:rPr>
          <w:rFonts w:cs="Arial"/>
          <w:sz w:val="16"/>
          <w:szCs w:val="16"/>
          <w:rtl/>
        </w:rPr>
        <w:t xml:space="preserve"> </w:t>
      </w:r>
      <w:r w:rsidR="0048520C" w:rsidRPr="0048520C">
        <w:rPr>
          <w:rFonts w:cs="Arial" w:hint="cs"/>
          <w:sz w:val="16"/>
          <w:szCs w:val="16"/>
          <w:rtl/>
        </w:rPr>
        <w:t>(</w:t>
      </w:r>
      <w:r w:rsidRPr="0048520C">
        <w:rPr>
          <w:rFonts w:cs="Arial"/>
          <w:sz w:val="16"/>
          <w:szCs w:val="16"/>
          <w:rtl/>
        </w:rPr>
        <w:t xml:space="preserve">שם </w:t>
      </w:r>
      <w:r w:rsidR="0048520C" w:rsidRPr="0048520C">
        <w:rPr>
          <w:rFonts w:cs="Arial" w:hint="cs"/>
          <w:sz w:val="16"/>
          <w:szCs w:val="16"/>
          <w:rtl/>
        </w:rPr>
        <w:t xml:space="preserve">בהשגות </w:t>
      </w:r>
      <w:r w:rsidRPr="0048520C">
        <w:rPr>
          <w:rFonts w:cs="Arial"/>
          <w:sz w:val="16"/>
          <w:szCs w:val="16"/>
          <w:rtl/>
        </w:rPr>
        <w:t>הי"ג)</w:t>
      </w:r>
      <w:r w:rsidR="0048520C">
        <w:rPr>
          <w:rFonts w:cs="Arial" w:hint="cs"/>
          <w:rtl/>
        </w:rPr>
        <w:t>-</w:t>
      </w:r>
      <w:r w:rsidRPr="0048520C">
        <w:rPr>
          <w:rFonts w:cs="Arial"/>
          <w:rtl/>
        </w:rPr>
        <w:t xml:space="preserve"> </w:t>
      </w:r>
      <w:r w:rsidR="00A7715C" w:rsidRPr="00A7715C">
        <w:rPr>
          <w:rFonts w:cs="Arial"/>
          <w:rtl/>
        </w:rPr>
        <w:t>עוד אמרו (שבת קכד</w:t>
      </w:r>
      <w:r w:rsidR="00A7715C">
        <w:rPr>
          <w:rFonts w:cs="Arial" w:hint="cs"/>
          <w:rtl/>
        </w:rPr>
        <w:t>.</w:t>
      </w:r>
      <w:r w:rsidR="00A7715C" w:rsidRPr="00A7715C">
        <w:rPr>
          <w:rFonts w:cs="Arial"/>
          <w:rtl/>
        </w:rPr>
        <w:t xml:space="preserve">) אטו טלטול לאו צורך הוצאה הוא, ועוד אמרו </w:t>
      </w:r>
      <w:r w:rsidR="00A7715C">
        <w:rPr>
          <w:rFonts w:cs="Arial" w:hint="cs"/>
          <w:rtl/>
        </w:rPr>
        <w:t>(</w:t>
      </w:r>
      <w:r w:rsidR="00A7715C" w:rsidRPr="00A7715C">
        <w:rPr>
          <w:rFonts w:cs="Arial"/>
          <w:rtl/>
        </w:rPr>
        <w:t>שבת קכג</w:t>
      </w:r>
      <w:r w:rsidR="00A7715C">
        <w:rPr>
          <w:rFonts w:cs="Arial" w:hint="cs"/>
          <w:rtl/>
        </w:rPr>
        <w:t>.</w:t>
      </w:r>
      <w:r w:rsidR="00A7715C" w:rsidRPr="00A7715C">
        <w:rPr>
          <w:rFonts w:cs="Arial"/>
          <w:rtl/>
        </w:rPr>
        <w:t>) בימי נחמיה בן חכליה נשנית משנה זו שאמרו שלשה כלים קטנים נטלים על השלחן, נמצא כי מפני חיוב הוצאה אסרו בטלטול מה שאסרו שהוא גדר להוצאה</w:t>
      </w:r>
      <w:r w:rsidR="0048520C">
        <w:rPr>
          <w:rFonts w:cs="Arial" w:hint="cs"/>
          <w:rtl/>
        </w:rPr>
        <w:t>.</w:t>
      </w:r>
      <w:r w:rsidRPr="0048520C">
        <w:rPr>
          <w:rFonts w:cs="Arial"/>
          <w:rtl/>
        </w:rPr>
        <w:t xml:space="preserve"> </w:t>
      </w:r>
    </w:p>
    <w:bookmarkEnd w:id="8"/>
    <w:p w14:paraId="720DFD65" w14:textId="0E2BBBD6" w:rsidR="0048520C" w:rsidRPr="0048520C" w:rsidRDefault="00F63421" w:rsidP="00434A6A">
      <w:pPr>
        <w:rPr>
          <w:rFonts w:cs="Arial"/>
          <w:u w:val="single"/>
        </w:rPr>
      </w:pPr>
      <w:r w:rsidRPr="0048520C">
        <w:rPr>
          <w:rFonts w:cs="Arial"/>
          <w:u w:val="single"/>
          <w:rtl/>
        </w:rPr>
        <w:t>כלל הדברים המוקצים שאסורין לטלטל</w:t>
      </w:r>
      <w:r w:rsidR="00752724">
        <w:rPr>
          <w:rFonts w:cs="Arial" w:hint="cs"/>
          <w:sz w:val="16"/>
          <w:szCs w:val="16"/>
          <w:u w:val="single"/>
          <w:rtl/>
        </w:rPr>
        <w:t xml:space="preserve"> (הקדמת הב"י</w:t>
      </w:r>
      <w:r w:rsidR="00A22A2C">
        <w:rPr>
          <w:rFonts w:cs="Arial" w:hint="cs"/>
          <w:sz w:val="16"/>
          <w:szCs w:val="16"/>
          <w:u w:val="single"/>
          <w:rtl/>
        </w:rPr>
        <w:t xml:space="preserve"> לסימן זה</w:t>
      </w:r>
      <w:r w:rsidR="00752724">
        <w:rPr>
          <w:rFonts w:cs="Arial" w:hint="cs"/>
          <w:sz w:val="16"/>
          <w:szCs w:val="16"/>
          <w:u w:val="single"/>
          <w:rtl/>
        </w:rPr>
        <w:t>)</w:t>
      </w:r>
      <w:r w:rsidR="00A7715C">
        <w:rPr>
          <w:rFonts w:cs="Arial" w:hint="cs"/>
          <w:u w:val="single"/>
          <w:rtl/>
        </w:rPr>
        <w:t>:</w:t>
      </w:r>
      <w:r w:rsidRPr="0048520C">
        <w:rPr>
          <w:rFonts w:cs="Arial"/>
          <w:u w:val="single"/>
          <w:rtl/>
        </w:rPr>
        <w:t xml:space="preserve"> </w:t>
      </w:r>
    </w:p>
    <w:p w14:paraId="0A5AF3F0" w14:textId="10F7B0BE" w:rsidR="00A7715C" w:rsidRDefault="00A7715C" w:rsidP="00434A6A">
      <w:pPr>
        <w:pStyle w:val="aa"/>
        <w:numPr>
          <w:ilvl w:val="0"/>
          <w:numId w:val="4"/>
        </w:numPr>
        <w:rPr>
          <w:rFonts w:cs="Arial"/>
        </w:rPr>
      </w:pPr>
      <w:r>
        <w:rPr>
          <w:rFonts w:cs="Arial" w:hint="cs"/>
          <w:rtl/>
        </w:rPr>
        <w:t>א-</w:t>
      </w:r>
      <w:r w:rsidR="00F63421" w:rsidRPr="0048520C">
        <w:rPr>
          <w:rFonts w:cs="Arial"/>
          <w:rtl/>
        </w:rPr>
        <w:t xml:space="preserve"> כלי שהוא מוקצה מחמת חסרון כיס</w:t>
      </w:r>
      <w:r w:rsidR="00511A5A">
        <w:rPr>
          <w:rFonts w:cs="Arial" w:hint="cs"/>
          <w:rtl/>
        </w:rPr>
        <w:t>.</w:t>
      </w:r>
      <w:r w:rsidR="00F63421" w:rsidRPr="0048520C">
        <w:rPr>
          <w:rFonts w:cs="Arial"/>
          <w:rtl/>
        </w:rPr>
        <w:t xml:space="preserve"> דהיינו כלי שאדם מקפיד עליו שלא יפגם</w:t>
      </w:r>
      <w:r w:rsidR="00511A5A">
        <w:rPr>
          <w:rFonts w:cs="Arial" w:hint="cs"/>
          <w:rtl/>
        </w:rPr>
        <w:t>,</w:t>
      </w:r>
      <w:r w:rsidR="00F63421" w:rsidRPr="0048520C">
        <w:rPr>
          <w:rFonts w:cs="Arial"/>
          <w:rtl/>
        </w:rPr>
        <w:t xml:space="preserve"> כגון סכין של שחיטה ומילה ושל ספרים</w:t>
      </w:r>
      <w:r w:rsidR="00EE588E">
        <w:rPr>
          <w:rStyle w:val="a9"/>
          <w:rFonts w:cs="Arial"/>
          <w:rtl/>
        </w:rPr>
        <w:footnoteReference w:id="1300"/>
      </w:r>
      <w:r w:rsidR="0048520C">
        <w:rPr>
          <w:rFonts w:cs="Arial" w:hint="cs"/>
          <w:rtl/>
        </w:rPr>
        <w:t>.</w:t>
      </w:r>
      <w:r w:rsidR="00F63421" w:rsidRPr="0048520C">
        <w:rPr>
          <w:rFonts w:cs="Arial"/>
          <w:rtl/>
        </w:rPr>
        <w:t xml:space="preserve"> </w:t>
      </w:r>
    </w:p>
    <w:p w14:paraId="3FC05CD2" w14:textId="0E9904FB" w:rsidR="00A7715C" w:rsidRDefault="00F63421" w:rsidP="00434A6A">
      <w:pPr>
        <w:pStyle w:val="aa"/>
        <w:numPr>
          <w:ilvl w:val="0"/>
          <w:numId w:val="4"/>
        </w:numPr>
        <w:rPr>
          <w:rFonts w:cs="Arial"/>
        </w:rPr>
      </w:pPr>
      <w:r w:rsidRPr="0048520C">
        <w:rPr>
          <w:rFonts w:cs="Arial"/>
          <w:rtl/>
        </w:rPr>
        <w:t>ב</w:t>
      </w:r>
      <w:r w:rsidR="00A7715C">
        <w:rPr>
          <w:rFonts w:cs="Arial" w:hint="cs"/>
          <w:rtl/>
        </w:rPr>
        <w:t>-</w:t>
      </w:r>
      <w:r w:rsidRPr="0048520C">
        <w:rPr>
          <w:rFonts w:cs="Arial"/>
          <w:rtl/>
        </w:rPr>
        <w:t xml:space="preserve"> כלי שמלאכתו לאיסור</w:t>
      </w:r>
      <w:r w:rsidR="00EE588E">
        <w:rPr>
          <w:rStyle w:val="a9"/>
          <w:rFonts w:cs="Arial"/>
          <w:rtl/>
        </w:rPr>
        <w:footnoteReference w:id="1301"/>
      </w:r>
      <w:r w:rsidR="0048520C">
        <w:rPr>
          <w:rFonts w:cs="Arial" w:hint="cs"/>
          <w:rtl/>
        </w:rPr>
        <w:t>.</w:t>
      </w:r>
      <w:r w:rsidRPr="0048520C">
        <w:rPr>
          <w:rFonts w:cs="Arial"/>
          <w:rtl/>
        </w:rPr>
        <w:t xml:space="preserve"> </w:t>
      </w:r>
    </w:p>
    <w:p w14:paraId="0B02D428" w14:textId="744428BE" w:rsidR="00A7715C" w:rsidRDefault="00F63421" w:rsidP="00434A6A">
      <w:pPr>
        <w:pStyle w:val="aa"/>
        <w:numPr>
          <w:ilvl w:val="0"/>
          <w:numId w:val="4"/>
        </w:numPr>
        <w:rPr>
          <w:rFonts w:cs="Arial"/>
        </w:rPr>
      </w:pPr>
      <w:r w:rsidRPr="0048520C">
        <w:rPr>
          <w:rFonts w:cs="Arial"/>
          <w:rtl/>
        </w:rPr>
        <w:t>ג</w:t>
      </w:r>
      <w:r w:rsidR="00A7715C">
        <w:rPr>
          <w:rFonts w:cs="Arial" w:hint="cs"/>
          <w:rtl/>
        </w:rPr>
        <w:t>-</w:t>
      </w:r>
      <w:r w:rsidRPr="0048520C">
        <w:rPr>
          <w:rFonts w:cs="Arial"/>
          <w:rtl/>
        </w:rPr>
        <w:t xml:space="preserve"> כל דבר שאינו כלי ולא מאכל אדם ולא מאכל בהמה</w:t>
      </w:r>
      <w:r w:rsidR="00511A5A">
        <w:rPr>
          <w:rFonts w:cs="Arial" w:hint="cs"/>
          <w:rtl/>
        </w:rPr>
        <w:t>.</w:t>
      </w:r>
      <w:r w:rsidRPr="0048520C">
        <w:rPr>
          <w:rFonts w:cs="Arial"/>
          <w:rtl/>
        </w:rPr>
        <w:t xml:space="preserve"> כגון אבנים ומעות וקנים ועצים וקורות ועפר וחול ומת ובעלי חיים וגרוגרות וצמוקים שהם מונחים במקום שמייבשים אותם</w:t>
      </w:r>
      <w:r w:rsidR="00EE588E">
        <w:rPr>
          <w:rFonts w:cs="Arial" w:hint="cs"/>
          <w:rtl/>
        </w:rPr>
        <w:t>,</w:t>
      </w:r>
      <w:r w:rsidRPr="0048520C">
        <w:rPr>
          <w:rFonts w:cs="Arial"/>
          <w:rtl/>
        </w:rPr>
        <w:t xml:space="preserve"> וכל כיוצא בדברים אלו דלא חזו</w:t>
      </w:r>
      <w:r w:rsidR="00EE588E">
        <w:rPr>
          <w:rFonts w:cs="Arial" w:hint="cs"/>
          <w:rtl/>
        </w:rPr>
        <w:t>.</w:t>
      </w:r>
      <w:r w:rsidRPr="0048520C">
        <w:rPr>
          <w:rFonts w:cs="Arial"/>
          <w:rtl/>
        </w:rPr>
        <w:t xml:space="preserve"> וזהו מוקצה מחמת גופו</w:t>
      </w:r>
      <w:r w:rsidR="00EE588E">
        <w:rPr>
          <w:rStyle w:val="a9"/>
          <w:rFonts w:cs="Arial"/>
          <w:rtl/>
        </w:rPr>
        <w:footnoteReference w:id="1302"/>
      </w:r>
      <w:r w:rsidR="0048520C">
        <w:rPr>
          <w:rFonts w:cs="Arial" w:hint="cs"/>
          <w:rtl/>
        </w:rPr>
        <w:t>.</w:t>
      </w:r>
      <w:r w:rsidRPr="0048520C">
        <w:rPr>
          <w:rFonts w:cs="Arial"/>
          <w:rtl/>
        </w:rPr>
        <w:t xml:space="preserve"> </w:t>
      </w:r>
    </w:p>
    <w:p w14:paraId="574386C8" w14:textId="45EC371D" w:rsidR="00511A5A" w:rsidRDefault="00F63421" w:rsidP="00434A6A">
      <w:pPr>
        <w:pStyle w:val="aa"/>
        <w:numPr>
          <w:ilvl w:val="0"/>
          <w:numId w:val="4"/>
        </w:numPr>
        <w:rPr>
          <w:rFonts w:cs="Arial"/>
        </w:rPr>
      </w:pPr>
      <w:r w:rsidRPr="0048520C">
        <w:rPr>
          <w:rFonts w:cs="Arial"/>
          <w:rtl/>
        </w:rPr>
        <w:t>ד</w:t>
      </w:r>
      <w:r w:rsidR="00A7715C">
        <w:rPr>
          <w:rFonts w:cs="Arial" w:hint="cs"/>
          <w:rtl/>
        </w:rPr>
        <w:t>-</w:t>
      </w:r>
      <w:r w:rsidRPr="0048520C">
        <w:rPr>
          <w:rFonts w:cs="Arial"/>
          <w:rtl/>
        </w:rPr>
        <w:t xml:space="preserve"> כלי שמלאכתו להיתר ומונח עליו אחד מהדברים המוקצים מחמת גופם</w:t>
      </w:r>
      <w:r w:rsidR="00511A5A">
        <w:rPr>
          <w:rFonts w:cs="Arial" w:hint="cs"/>
          <w:rtl/>
        </w:rPr>
        <w:t>.</w:t>
      </w:r>
      <w:r w:rsidRPr="0048520C">
        <w:rPr>
          <w:rFonts w:cs="Arial"/>
          <w:rtl/>
        </w:rPr>
        <w:t xml:space="preserve"> כגון חבית שיש עליה אבן</w:t>
      </w:r>
      <w:r w:rsidR="00511A5A">
        <w:rPr>
          <w:rFonts w:cs="Arial" w:hint="cs"/>
          <w:rtl/>
        </w:rPr>
        <w:t>,</w:t>
      </w:r>
      <w:r w:rsidRPr="0048520C">
        <w:rPr>
          <w:rFonts w:cs="Arial"/>
          <w:rtl/>
        </w:rPr>
        <w:t xml:space="preserve"> וכר שיש עליו מעות</w:t>
      </w:r>
      <w:r w:rsidR="00EE588E">
        <w:rPr>
          <w:rStyle w:val="a9"/>
          <w:rFonts w:cs="Arial"/>
          <w:rtl/>
        </w:rPr>
        <w:footnoteReference w:id="1303"/>
      </w:r>
      <w:r w:rsidR="00511A5A">
        <w:rPr>
          <w:rFonts w:cs="Arial" w:hint="cs"/>
          <w:rtl/>
        </w:rPr>
        <w:t>.</w:t>
      </w:r>
      <w:r w:rsidRPr="0048520C">
        <w:rPr>
          <w:rFonts w:cs="Arial"/>
          <w:rtl/>
        </w:rPr>
        <w:t xml:space="preserve"> ואפילו הוסרו אחר כך כיון שהיו עליהם בין השמשות מגו דאתקצו לבין השמשות אתקצו לכולי יומא</w:t>
      </w:r>
      <w:r w:rsidR="0048520C">
        <w:rPr>
          <w:rFonts w:cs="Arial" w:hint="cs"/>
          <w:rtl/>
        </w:rPr>
        <w:t>.</w:t>
      </w:r>
    </w:p>
    <w:p w14:paraId="5572E2DD" w14:textId="77777777" w:rsidR="00511A5A" w:rsidRDefault="00F63421" w:rsidP="00434A6A">
      <w:pPr>
        <w:pStyle w:val="aa"/>
        <w:numPr>
          <w:ilvl w:val="0"/>
          <w:numId w:val="4"/>
        </w:numPr>
        <w:rPr>
          <w:rFonts w:cs="Arial"/>
        </w:rPr>
      </w:pPr>
      <w:r w:rsidRPr="0048520C">
        <w:rPr>
          <w:rFonts w:cs="Arial"/>
          <w:rtl/>
        </w:rPr>
        <w:t>ה</w:t>
      </w:r>
      <w:r w:rsidR="00511A5A">
        <w:rPr>
          <w:rFonts w:cs="Arial" w:hint="cs"/>
          <w:rtl/>
        </w:rPr>
        <w:t>-</w:t>
      </w:r>
      <w:r w:rsidRPr="0048520C">
        <w:rPr>
          <w:rFonts w:cs="Arial"/>
          <w:rtl/>
        </w:rPr>
        <w:t xml:space="preserve"> דבר שהיה בין השמשות מחובר או מחוסר צידה</w:t>
      </w:r>
      <w:r w:rsidR="0048520C">
        <w:rPr>
          <w:rFonts w:cs="Arial" w:hint="cs"/>
          <w:rtl/>
        </w:rPr>
        <w:t>.</w:t>
      </w:r>
      <w:r w:rsidR="00511A5A">
        <w:rPr>
          <w:rFonts w:cs="Arial" w:hint="cs"/>
          <w:rtl/>
        </w:rPr>
        <w:t xml:space="preserve"> </w:t>
      </w:r>
    </w:p>
    <w:p w14:paraId="6A1D2E6A" w14:textId="674AC575" w:rsidR="00AD724C" w:rsidRPr="00EE588E" w:rsidRDefault="00511A5A" w:rsidP="00434A6A">
      <w:pPr>
        <w:pStyle w:val="aa"/>
        <w:numPr>
          <w:ilvl w:val="0"/>
          <w:numId w:val="4"/>
        </w:numPr>
        <w:rPr>
          <w:rFonts w:cs="Arial"/>
        </w:rPr>
      </w:pPr>
      <w:r>
        <w:rPr>
          <w:rFonts w:cs="Arial" w:hint="cs"/>
          <w:rtl/>
        </w:rPr>
        <w:t>ו-</w:t>
      </w:r>
      <w:r w:rsidR="00F63421" w:rsidRPr="0048520C">
        <w:rPr>
          <w:rFonts w:cs="Arial"/>
          <w:rtl/>
        </w:rPr>
        <w:t xml:space="preserve"> מוקצה מחמת מצותו</w:t>
      </w:r>
      <w:r>
        <w:rPr>
          <w:rFonts w:cs="Arial" w:hint="cs"/>
          <w:rtl/>
        </w:rPr>
        <w:t>,</w:t>
      </w:r>
      <w:r w:rsidR="00F63421" w:rsidRPr="0048520C">
        <w:rPr>
          <w:rFonts w:cs="Arial"/>
          <w:rtl/>
        </w:rPr>
        <w:t xml:space="preserve"> כגון עצי סוכה ונוייה</w:t>
      </w:r>
      <w:r w:rsidR="0048520C">
        <w:rPr>
          <w:rFonts w:cs="Arial" w:hint="cs"/>
          <w:rtl/>
        </w:rPr>
        <w:t>.</w:t>
      </w:r>
    </w:p>
    <w:p w14:paraId="37B3A669" w14:textId="549329CA" w:rsidR="00AD724C" w:rsidRPr="00EE588E" w:rsidRDefault="00EE588E" w:rsidP="00434A6A">
      <w:pPr>
        <w:pStyle w:val="aa"/>
        <w:numPr>
          <w:ilvl w:val="1"/>
          <w:numId w:val="4"/>
        </w:numPr>
        <w:rPr>
          <w:rFonts w:cs="Arial"/>
        </w:rPr>
      </w:pPr>
      <w:r w:rsidRPr="00AD724C">
        <w:rPr>
          <w:rFonts w:cs="Arial"/>
          <w:rtl/>
        </w:rPr>
        <w:t>ודברי רבינו פה אינו אלא בארבעה חלקים הראשונים, אבל בחלק הה' דיבר בהלכות יום טוב (סי' תקטו), ובחלק הו' בהלכות סוכה (סי' תרלח)</w:t>
      </w:r>
      <w:r>
        <w:rPr>
          <w:rFonts w:cs="Arial" w:hint="cs"/>
          <w:rtl/>
        </w:rPr>
        <w:t xml:space="preserve">... </w:t>
      </w:r>
      <w:r w:rsidRPr="001E3C1B">
        <w:rPr>
          <w:rFonts w:cs="Arial"/>
          <w:rtl/>
        </w:rPr>
        <w:t>ואחר שהצעתי לפניך כל זה אבוא לבאר דברי רבינו ואז תבין יראת יי' ודעת קדושים תמצא</w:t>
      </w:r>
      <w:r>
        <w:rPr>
          <w:rFonts w:cs="Arial" w:hint="cs"/>
          <w:rtl/>
        </w:rPr>
        <w:t>.</w:t>
      </w:r>
    </w:p>
    <w:p w14:paraId="13C4E8A8" w14:textId="20FC6933" w:rsidR="00752724" w:rsidRDefault="00752724" w:rsidP="00434A6A">
      <w:pPr>
        <w:rPr>
          <w:rFonts w:cs="Arial"/>
          <w:rtl/>
        </w:rPr>
      </w:pPr>
      <w:r w:rsidRPr="00752724">
        <w:rPr>
          <w:rFonts w:cs="Arial" w:hint="cs"/>
          <w:b/>
          <w:bCs/>
          <w:rtl/>
        </w:rPr>
        <w:t xml:space="preserve">שבת </w:t>
      </w:r>
      <w:r w:rsidRPr="00752724">
        <w:rPr>
          <w:rFonts w:cs="Arial" w:hint="cs"/>
          <w:b/>
          <w:bCs/>
          <w:sz w:val="16"/>
          <w:szCs w:val="16"/>
          <w:rtl/>
        </w:rPr>
        <w:t>(פ' כל הכלים)</w:t>
      </w:r>
      <w:r w:rsidRPr="00752724">
        <w:rPr>
          <w:rFonts w:cs="Arial" w:hint="cs"/>
          <w:b/>
          <w:bCs/>
          <w:rtl/>
        </w:rPr>
        <w:t xml:space="preserve"> קכג ע"ב:</w:t>
      </w:r>
      <w:r>
        <w:rPr>
          <w:rFonts w:cs="Arial" w:hint="cs"/>
          <w:rtl/>
        </w:rPr>
        <w:t xml:space="preserve"> </w:t>
      </w:r>
      <w:r w:rsidRPr="00752724">
        <w:rPr>
          <w:rFonts w:cs="Arial"/>
          <w:u w:val="double"/>
          <w:rtl/>
        </w:rPr>
        <w:t>משנה</w:t>
      </w:r>
      <w:r>
        <w:rPr>
          <w:rFonts w:cs="Arial" w:hint="cs"/>
          <w:rtl/>
        </w:rPr>
        <w:t>:</w:t>
      </w:r>
      <w:r w:rsidRPr="00752724">
        <w:rPr>
          <w:rFonts w:cs="Arial"/>
          <w:rtl/>
        </w:rPr>
        <w:t xml:space="preserve"> </w:t>
      </w:r>
      <w:r w:rsidRPr="00752724">
        <w:rPr>
          <w:rFonts w:cs="Arial"/>
          <w:u w:val="single"/>
          <w:rtl/>
        </w:rPr>
        <w:t>רבי יוסי אומר</w:t>
      </w:r>
      <w:r w:rsidRPr="00752724">
        <w:rPr>
          <w:rFonts w:cs="Arial"/>
          <w:rtl/>
        </w:rPr>
        <w:t>: כל הכלים ניטלין, חוץ מן המסר הגדול</w:t>
      </w:r>
      <w:r w:rsidR="00502813">
        <w:rPr>
          <w:rStyle w:val="a9"/>
          <w:rFonts w:cs="Arial"/>
          <w:rtl/>
        </w:rPr>
        <w:footnoteReference w:id="1304"/>
      </w:r>
      <w:r w:rsidRPr="00752724">
        <w:rPr>
          <w:rFonts w:cs="Arial"/>
          <w:rtl/>
        </w:rPr>
        <w:t xml:space="preserve"> ויתד של מחרישה</w:t>
      </w:r>
      <w:r w:rsidR="00502813">
        <w:rPr>
          <w:rStyle w:val="a9"/>
          <w:rFonts w:cs="Arial"/>
          <w:rtl/>
        </w:rPr>
        <w:footnoteReference w:id="1305"/>
      </w:r>
      <w:r w:rsidRPr="00752724">
        <w:rPr>
          <w:rFonts w:cs="Arial"/>
          <w:rtl/>
        </w:rPr>
        <w:t xml:space="preserve">. </w:t>
      </w:r>
      <w:r>
        <w:rPr>
          <w:rFonts w:cs="Arial" w:hint="cs"/>
          <w:rtl/>
        </w:rPr>
        <w:t xml:space="preserve">     </w:t>
      </w:r>
      <w:r w:rsidRPr="00752724">
        <w:rPr>
          <w:rFonts w:cs="Arial"/>
          <w:u w:val="double"/>
          <w:rtl/>
        </w:rPr>
        <w:t>גמרא</w:t>
      </w:r>
      <w:r>
        <w:rPr>
          <w:rFonts w:cs="Arial" w:hint="cs"/>
          <w:rtl/>
        </w:rPr>
        <w:t>:</w:t>
      </w:r>
      <w:r w:rsidRPr="00752724">
        <w:rPr>
          <w:rFonts w:cs="Arial"/>
          <w:rtl/>
        </w:rPr>
        <w:t xml:space="preserve"> </w:t>
      </w:r>
      <w:r w:rsidRPr="00752724">
        <w:rPr>
          <w:rFonts w:cs="Arial"/>
          <w:u w:val="single"/>
          <w:rtl/>
        </w:rPr>
        <w:t>אמר רב נחמן</w:t>
      </w:r>
      <w:r w:rsidRPr="00752724">
        <w:rPr>
          <w:rFonts w:cs="Arial"/>
          <w:rtl/>
        </w:rPr>
        <w:t>: האי אוכלא דקצרי</w:t>
      </w:r>
      <w:r w:rsidR="00502813">
        <w:rPr>
          <w:rStyle w:val="a9"/>
          <w:rFonts w:cs="Arial"/>
          <w:rtl/>
        </w:rPr>
        <w:footnoteReference w:id="1306"/>
      </w:r>
      <w:r w:rsidRPr="00752724">
        <w:rPr>
          <w:rFonts w:cs="Arial"/>
          <w:rtl/>
        </w:rPr>
        <w:t xml:space="preserve"> כיתד של מחרישה דמיא. </w:t>
      </w:r>
      <w:r w:rsidRPr="00752724">
        <w:rPr>
          <w:rFonts w:cs="Arial"/>
          <w:u w:val="single"/>
          <w:rtl/>
        </w:rPr>
        <w:t>אמר אביי</w:t>
      </w:r>
      <w:r w:rsidRPr="00752724">
        <w:rPr>
          <w:rFonts w:cs="Arial"/>
          <w:rtl/>
        </w:rPr>
        <w:t>: חרבא דאושכפי</w:t>
      </w:r>
      <w:r w:rsidR="00502813">
        <w:rPr>
          <w:rStyle w:val="a9"/>
          <w:rFonts w:cs="Arial"/>
          <w:rtl/>
        </w:rPr>
        <w:footnoteReference w:id="1307"/>
      </w:r>
      <w:r w:rsidRPr="00752724">
        <w:rPr>
          <w:rFonts w:cs="Arial"/>
          <w:rtl/>
        </w:rPr>
        <w:t>, וסכינא דאשכבתא</w:t>
      </w:r>
      <w:r w:rsidR="00502813">
        <w:rPr>
          <w:rStyle w:val="a9"/>
          <w:rFonts w:cs="Arial"/>
          <w:rtl/>
        </w:rPr>
        <w:footnoteReference w:id="1308"/>
      </w:r>
      <w:r w:rsidRPr="00752724">
        <w:rPr>
          <w:rFonts w:cs="Arial"/>
          <w:rtl/>
        </w:rPr>
        <w:t>, וחצינא</w:t>
      </w:r>
      <w:r w:rsidR="00502813">
        <w:rPr>
          <w:rStyle w:val="a9"/>
          <w:rFonts w:cs="Arial"/>
          <w:rtl/>
        </w:rPr>
        <w:footnoteReference w:id="1309"/>
      </w:r>
      <w:r w:rsidRPr="00752724">
        <w:rPr>
          <w:rFonts w:cs="Arial"/>
          <w:rtl/>
        </w:rPr>
        <w:t xml:space="preserve"> דנגרי - כיתד של מחרישה דמי.</w:t>
      </w:r>
    </w:p>
    <w:p w14:paraId="7A8F7ABF" w14:textId="77777777" w:rsidR="00427E73" w:rsidRPr="006C528B" w:rsidRDefault="00427E73" w:rsidP="00434A6A">
      <w:pPr>
        <w:rPr>
          <w:rFonts w:cs="Arial"/>
          <w:rtl/>
        </w:rPr>
      </w:pPr>
      <w:r w:rsidRPr="00752724">
        <w:rPr>
          <w:rFonts w:cs="Arial" w:hint="cs"/>
          <w:b/>
          <w:bCs/>
          <w:rtl/>
        </w:rPr>
        <w:t xml:space="preserve">שבת </w:t>
      </w:r>
      <w:r w:rsidRPr="00752724">
        <w:rPr>
          <w:rFonts w:cs="Arial" w:hint="cs"/>
          <w:b/>
          <w:bCs/>
          <w:sz w:val="16"/>
          <w:szCs w:val="16"/>
          <w:rtl/>
        </w:rPr>
        <w:t>(פ' כל הכלים)</w:t>
      </w:r>
      <w:r w:rsidRPr="00752724">
        <w:rPr>
          <w:rFonts w:cs="Arial" w:hint="cs"/>
          <w:b/>
          <w:bCs/>
          <w:rtl/>
        </w:rPr>
        <w:t xml:space="preserve"> קכ</w:t>
      </w:r>
      <w:r>
        <w:rPr>
          <w:rFonts w:cs="Arial" w:hint="cs"/>
          <w:b/>
          <w:bCs/>
          <w:rtl/>
        </w:rPr>
        <w:t>ב</w:t>
      </w:r>
      <w:r w:rsidRPr="00752724">
        <w:rPr>
          <w:rFonts w:cs="Arial" w:hint="cs"/>
          <w:b/>
          <w:bCs/>
          <w:rtl/>
        </w:rPr>
        <w:t xml:space="preserve"> ע"ב:</w:t>
      </w:r>
      <w:r>
        <w:rPr>
          <w:rFonts w:cs="Arial" w:hint="cs"/>
          <w:rtl/>
        </w:rPr>
        <w:t xml:space="preserve"> </w:t>
      </w:r>
      <w:r w:rsidRPr="00752724">
        <w:rPr>
          <w:rFonts w:cs="Arial"/>
          <w:u w:val="double"/>
          <w:rtl/>
        </w:rPr>
        <w:t>משנה</w:t>
      </w:r>
      <w:r>
        <w:rPr>
          <w:rFonts w:cs="Arial" w:hint="cs"/>
          <w:rtl/>
        </w:rPr>
        <w:t>:...</w:t>
      </w:r>
      <w:r w:rsidRPr="001B6E04">
        <w:rPr>
          <w:rFonts w:cs="Arial"/>
          <w:rtl/>
        </w:rPr>
        <w:t xml:space="preserve"> נוטל אדם קורנס לפצע בו את האגוזין</w:t>
      </w:r>
      <w:r>
        <w:rPr>
          <w:rFonts w:cs="Arial" w:hint="cs"/>
          <w:rtl/>
        </w:rPr>
        <w:t>..</w:t>
      </w:r>
      <w:r w:rsidRPr="00752724">
        <w:rPr>
          <w:rFonts w:cs="Arial"/>
          <w:rtl/>
        </w:rPr>
        <w:t xml:space="preserve">. </w:t>
      </w:r>
      <w:r>
        <w:rPr>
          <w:rFonts w:cs="Arial" w:hint="cs"/>
          <w:rtl/>
        </w:rPr>
        <w:t xml:space="preserve">     </w:t>
      </w:r>
      <w:r w:rsidRPr="00752724">
        <w:rPr>
          <w:rFonts w:cs="Arial"/>
          <w:u w:val="double"/>
          <w:rtl/>
        </w:rPr>
        <w:t>גמרא</w:t>
      </w:r>
      <w:r>
        <w:rPr>
          <w:rFonts w:cs="Arial" w:hint="cs"/>
          <w:u w:val="double"/>
          <w:rtl/>
        </w:rPr>
        <w:t>:</w:t>
      </w:r>
      <w:r w:rsidRPr="00752724">
        <w:rPr>
          <w:rFonts w:cs="Arial"/>
          <w:rtl/>
        </w:rPr>
        <w:t xml:space="preserve"> </w:t>
      </w:r>
      <w:r w:rsidRPr="00712413">
        <w:rPr>
          <w:rFonts w:cs="Arial"/>
          <w:rtl/>
        </w:rPr>
        <w:t xml:space="preserve">נוטל אדם קורנס כו'. </w:t>
      </w:r>
      <w:r w:rsidRPr="006C528B">
        <w:rPr>
          <w:rFonts w:cs="Arial"/>
          <w:u w:val="single"/>
          <w:rtl/>
        </w:rPr>
        <w:t>אמר רב יהודה</w:t>
      </w:r>
      <w:r w:rsidRPr="00712413">
        <w:rPr>
          <w:rFonts w:cs="Arial"/>
          <w:rtl/>
        </w:rPr>
        <w:t xml:space="preserve">: קורנס של אגוזין לפצע בו את האגוזין, אבל של נפחין - לא. קסבר: דבר שמלאכתו לאיסור - אפילו לצורך גופו אסור. </w:t>
      </w:r>
      <w:r w:rsidRPr="006C528B">
        <w:rPr>
          <w:rFonts w:cs="Arial"/>
          <w:u w:val="single"/>
          <w:rtl/>
        </w:rPr>
        <w:t>אמר ליה רבה</w:t>
      </w:r>
      <w:r w:rsidRPr="00712413">
        <w:rPr>
          <w:rFonts w:cs="Arial"/>
          <w:rtl/>
        </w:rPr>
        <w:t xml:space="preserve">: אלא מעתה, סיפא דקתני ואת הרחת ואת המלגז לתת עליו לקטן, רחת ומלגז מי מייחדי ליה לקטן? </w:t>
      </w:r>
      <w:r w:rsidRPr="006C528B">
        <w:rPr>
          <w:rFonts w:cs="Arial"/>
          <w:u w:val="single"/>
          <w:rtl/>
        </w:rPr>
        <w:t>אלא אמר רבה</w:t>
      </w:r>
      <w:r w:rsidRPr="00712413">
        <w:rPr>
          <w:rFonts w:cs="Arial"/>
          <w:rtl/>
        </w:rPr>
        <w:t>: קורנס של נפחין לפצע בו האגוזין. קסבר:</w:t>
      </w:r>
      <w:r>
        <w:rPr>
          <w:rFonts w:cs="Arial" w:hint="cs"/>
          <w:sz w:val="14"/>
          <w:szCs w:val="14"/>
          <w:rtl/>
        </w:rPr>
        <w:t xml:space="preserve"> (קכג.) </w:t>
      </w:r>
      <w:r w:rsidRPr="00712413">
        <w:rPr>
          <w:rFonts w:cs="Arial"/>
          <w:rtl/>
        </w:rPr>
        <w:t>דבר שמלאכתו לאיסור לצורך גופו - מותר.</w:t>
      </w:r>
      <w:r>
        <w:rPr>
          <w:rFonts w:cs="Arial" w:hint="cs"/>
          <w:rtl/>
        </w:rPr>
        <w:t>..</w:t>
      </w:r>
      <w:r w:rsidRPr="00712413">
        <w:rPr>
          <w:rFonts w:cs="Arial"/>
          <w:rtl/>
        </w:rPr>
        <w:t xml:space="preserve"> </w:t>
      </w:r>
      <w:r w:rsidRPr="001B6E04">
        <w:rPr>
          <w:rFonts w:cs="Arial"/>
          <w:rtl/>
        </w:rPr>
        <w:t xml:space="preserve">איתמר, </w:t>
      </w:r>
      <w:r w:rsidRPr="001B6E04">
        <w:rPr>
          <w:rFonts w:cs="Arial"/>
          <w:u w:val="single"/>
          <w:rtl/>
        </w:rPr>
        <w:t>רבי חייא בר אבא אמר רבי יוחנן</w:t>
      </w:r>
      <w:r w:rsidRPr="001B6E04">
        <w:rPr>
          <w:rFonts w:cs="Arial"/>
          <w:rtl/>
        </w:rPr>
        <w:t>: קורנס של זהבים שנינו</w:t>
      </w:r>
      <w:r>
        <w:rPr>
          <w:rFonts w:cs="Arial" w:hint="cs"/>
          <w:rtl/>
        </w:rPr>
        <w:t>.</w:t>
      </w:r>
      <w:r w:rsidRPr="001B6E04">
        <w:rPr>
          <w:rFonts w:cs="Arial"/>
          <w:rtl/>
        </w:rPr>
        <w:t xml:space="preserve"> </w:t>
      </w:r>
      <w:r w:rsidRPr="001B6E04">
        <w:rPr>
          <w:rFonts w:cs="Arial"/>
          <w:u w:val="single"/>
          <w:rtl/>
        </w:rPr>
        <w:t>רב שמן בר אבא אמר</w:t>
      </w:r>
      <w:r w:rsidRPr="001B6E04">
        <w:rPr>
          <w:rFonts w:cs="Arial"/>
          <w:rtl/>
        </w:rPr>
        <w:t>: קורנס של בשמים שנינו. מאן דאמר דבשמים - כל שכן דזהבים. מאן דאמר של זהבים - אבל דבשמים קפיד עלייהו.</w:t>
      </w:r>
      <w:r>
        <w:rPr>
          <w:rFonts w:cs="Arial" w:hint="cs"/>
          <w:rtl/>
        </w:rPr>
        <w:t xml:space="preserve"> </w:t>
      </w:r>
      <w:r w:rsidRPr="006C528B">
        <w:rPr>
          <w:rFonts w:cs="Arial" w:hint="cs"/>
          <w:sz w:val="16"/>
          <w:szCs w:val="16"/>
          <w:rtl/>
        </w:rPr>
        <w:t>(</w:t>
      </w:r>
      <w:r w:rsidRPr="006C528B">
        <w:rPr>
          <w:rFonts w:cs="Arial"/>
          <w:sz w:val="16"/>
          <w:szCs w:val="16"/>
          <w:rtl/>
        </w:rPr>
        <w:t xml:space="preserve">ופירש רש"י </w:t>
      </w:r>
      <w:r>
        <w:rPr>
          <w:rFonts w:cs="Arial" w:hint="cs"/>
          <w:sz w:val="16"/>
          <w:szCs w:val="16"/>
          <w:rtl/>
        </w:rPr>
        <w:t>'</w:t>
      </w:r>
      <w:r w:rsidRPr="006C528B">
        <w:rPr>
          <w:rFonts w:cs="Arial"/>
          <w:sz w:val="16"/>
          <w:szCs w:val="16"/>
          <w:rtl/>
        </w:rPr>
        <w:t>קפיד עליה</w:t>
      </w:r>
      <w:r>
        <w:rPr>
          <w:rFonts w:cs="Arial" w:hint="cs"/>
          <w:sz w:val="16"/>
          <w:szCs w:val="16"/>
          <w:rtl/>
        </w:rPr>
        <w:t>'</w:t>
      </w:r>
      <w:r w:rsidRPr="006C528B">
        <w:rPr>
          <w:rFonts w:cs="Arial"/>
          <w:sz w:val="16"/>
          <w:szCs w:val="16"/>
          <w:rtl/>
        </w:rPr>
        <w:t xml:space="preserve"> שלא ימאס</w:t>
      </w:r>
      <w:r>
        <w:rPr>
          <w:rFonts w:cs="Arial" w:hint="cs"/>
          <w:sz w:val="16"/>
          <w:szCs w:val="16"/>
          <w:rtl/>
        </w:rPr>
        <w:t>.</w:t>
      </w:r>
      <w:r w:rsidRPr="006C528B">
        <w:rPr>
          <w:rFonts w:cs="Arial"/>
          <w:sz w:val="16"/>
          <w:szCs w:val="16"/>
          <w:rtl/>
        </w:rPr>
        <w:t xml:space="preserve"> ופסקו הרי"ף (מז:) והרא"ש (סי' א) כרבי חייא בר אבא אמר ר' יוחנן</w:t>
      </w:r>
      <w:r w:rsidRPr="006C528B">
        <w:rPr>
          <w:rFonts w:cs="Arial" w:hint="cs"/>
          <w:sz w:val="16"/>
          <w:szCs w:val="16"/>
          <w:rtl/>
        </w:rPr>
        <w:t>.</w:t>
      </w:r>
      <w:r w:rsidRPr="006C528B">
        <w:rPr>
          <w:rFonts w:cs="Arial"/>
          <w:sz w:val="16"/>
          <w:szCs w:val="16"/>
          <w:rtl/>
        </w:rPr>
        <w:t xml:space="preserve"> ונראה דהא דאסרינן בשל בשמים משום חסרון כיס הוא</w:t>
      </w:r>
      <w:r>
        <w:rPr>
          <w:rFonts w:cs="Arial" w:hint="cs"/>
          <w:sz w:val="16"/>
          <w:szCs w:val="16"/>
          <w:rtl/>
        </w:rPr>
        <w:t xml:space="preserve">, ב"י. וכ"כ </w:t>
      </w:r>
      <w:r w:rsidRPr="006C528B">
        <w:rPr>
          <w:rFonts w:cs="Arial"/>
          <w:sz w:val="16"/>
          <w:szCs w:val="16"/>
          <w:rtl/>
        </w:rPr>
        <w:t xml:space="preserve">הרמב"ם </w:t>
      </w:r>
      <w:r w:rsidRPr="006C528B">
        <w:rPr>
          <w:rFonts w:cs="Arial" w:hint="cs"/>
          <w:sz w:val="16"/>
          <w:szCs w:val="16"/>
          <w:rtl/>
        </w:rPr>
        <w:t>(</w:t>
      </w:r>
      <w:r w:rsidRPr="006C528B">
        <w:rPr>
          <w:rFonts w:cs="Arial"/>
          <w:sz w:val="16"/>
          <w:szCs w:val="16"/>
          <w:rtl/>
        </w:rPr>
        <w:t>פכ"ה ה"ט)</w:t>
      </w:r>
      <w:r>
        <w:rPr>
          <w:rFonts w:cs="Arial" w:hint="cs"/>
          <w:sz w:val="16"/>
          <w:szCs w:val="16"/>
          <w:rtl/>
        </w:rPr>
        <w:t>)</w:t>
      </w:r>
      <w:r>
        <w:rPr>
          <w:rFonts w:hint="cs"/>
          <w:rtl/>
        </w:rPr>
        <w:t xml:space="preserve"> </w:t>
      </w:r>
    </w:p>
    <w:p w14:paraId="6F2A6B69" w14:textId="60B59F7B" w:rsidR="00DE7348" w:rsidRDefault="00F52A11" w:rsidP="00434A6A">
      <w:pPr>
        <w:rPr>
          <w:rFonts w:cs="Arial"/>
          <w:rtl/>
        </w:rPr>
      </w:pPr>
      <w:r w:rsidRPr="00752724">
        <w:rPr>
          <w:rFonts w:cs="Arial" w:hint="cs"/>
          <w:b/>
          <w:bCs/>
          <w:rtl/>
        </w:rPr>
        <w:t xml:space="preserve">שבת </w:t>
      </w:r>
      <w:r w:rsidRPr="00752724">
        <w:rPr>
          <w:rFonts w:cs="Arial" w:hint="cs"/>
          <w:b/>
          <w:bCs/>
          <w:sz w:val="16"/>
          <w:szCs w:val="16"/>
          <w:rtl/>
        </w:rPr>
        <w:t xml:space="preserve">(פ' </w:t>
      </w:r>
      <w:r>
        <w:rPr>
          <w:rFonts w:cs="Arial" w:hint="cs"/>
          <w:b/>
          <w:bCs/>
          <w:sz w:val="16"/>
          <w:szCs w:val="16"/>
          <w:rtl/>
        </w:rPr>
        <w:t>מי שהחשיך</w:t>
      </w:r>
      <w:r w:rsidRPr="00752724">
        <w:rPr>
          <w:rFonts w:cs="Arial" w:hint="cs"/>
          <w:b/>
          <w:bCs/>
          <w:sz w:val="16"/>
          <w:szCs w:val="16"/>
          <w:rtl/>
        </w:rPr>
        <w:t>)</w:t>
      </w:r>
      <w:r w:rsidRPr="00752724">
        <w:rPr>
          <w:rFonts w:cs="Arial" w:hint="cs"/>
          <w:b/>
          <w:bCs/>
          <w:rtl/>
        </w:rPr>
        <w:t xml:space="preserve"> ק</w:t>
      </w:r>
      <w:r>
        <w:rPr>
          <w:rFonts w:cs="Arial" w:hint="cs"/>
          <w:b/>
          <w:bCs/>
          <w:rtl/>
        </w:rPr>
        <w:t>נז</w:t>
      </w:r>
      <w:r w:rsidRPr="00752724">
        <w:rPr>
          <w:rFonts w:cs="Arial" w:hint="cs"/>
          <w:b/>
          <w:bCs/>
          <w:rtl/>
        </w:rPr>
        <w:t xml:space="preserve"> ע"</w:t>
      </w:r>
      <w:r>
        <w:rPr>
          <w:rFonts w:cs="Arial" w:hint="cs"/>
          <w:b/>
          <w:bCs/>
          <w:rtl/>
        </w:rPr>
        <w:t>א</w:t>
      </w:r>
      <w:r w:rsidRPr="00752724">
        <w:rPr>
          <w:rFonts w:cs="Arial" w:hint="cs"/>
          <w:b/>
          <w:bCs/>
          <w:rtl/>
        </w:rPr>
        <w:t>:</w:t>
      </w:r>
      <w:r>
        <w:rPr>
          <w:rFonts w:cs="Arial" w:hint="cs"/>
          <w:rtl/>
        </w:rPr>
        <w:t xml:space="preserve"> </w:t>
      </w:r>
      <w:r w:rsidRPr="00F52A11">
        <w:rPr>
          <w:rFonts w:cs="Arial"/>
          <w:rtl/>
        </w:rPr>
        <w:t xml:space="preserve">אבל מוקצה מחמת חסרון כיס - אפילו רבי שמעון מודה, דתנן: כל הכלים ניטלין בשבת, חוץ ממסר הגדול ויתד של מחרישה. </w:t>
      </w:r>
    </w:p>
    <w:p w14:paraId="047688BA" w14:textId="77777777" w:rsidR="00611858" w:rsidRPr="00752724" w:rsidRDefault="00611858" w:rsidP="00434A6A">
      <w:pPr>
        <w:rPr>
          <w:rFonts w:cs="Arial"/>
          <w:u w:val="single"/>
          <w:rtl/>
        </w:rPr>
      </w:pPr>
      <w:r w:rsidRPr="00752724">
        <w:rPr>
          <w:rFonts w:cs="Arial" w:hint="cs"/>
          <w:u w:val="single"/>
          <w:rtl/>
        </w:rPr>
        <w:t>מוקצה מחמת חסרון כיס:</w:t>
      </w:r>
    </w:p>
    <w:p w14:paraId="098C17C4" w14:textId="33B978CF" w:rsidR="00611858" w:rsidRDefault="00611858" w:rsidP="00434A6A">
      <w:pPr>
        <w:pStyle w:val="aa"/>
        <w:numPr>
          <w:ilvl w:val="0"/>
          <w:numId w:val="3"/>
        </w:numPr>
        <w:rPr>
          <w:rFonts w:cs="Arial"/>
        </w:rPr>
      </w:pPr>
      <w:r w:rsidRPr="00EF7C96">
        <w:rPr>
          <w:rFonts w:cs="Arial" w:hint="cs"/>
          <w:rtl/>
        </w:rPr>
        <w:t xml:space="preserve">טור- </w:t>
      </w:r>
      <w:r w:rsidRPr="00EF7C96">
        <w:rPr>
          <w:rFonts w:cs="Arial"/>
          <w:rtl/>
        </w:rPr>
        <w:t>כל הכלים ניטלין בשבת חוץ מכלים שאדם חס עליהם</w:t>
      </w:r>
      <w:r w:rsidR="009B73DE">
        <w:rPr>
          <w:rFonts w:cs="Arial" w:hint="cs"/>
          <w:rtl/>
        </w:rPr>
        <w:t>,</w:t>
      </w:r>
      <w:r w:rsidRPr="00EF7C96">
        <w:rPr>
          <w:rFonts w:cs="Arial"/>
          <w:rtl/>
        </w:rPr>
        <w:t xml:space="preserve"> כגון סכין של שחיטה ומילה ושל ספרים</w:t>
      </w:r>
      <w:r>
        <w:rPr>
          <w:rStyle w:val="a9"/>
          <w:rFonts w:cs="Arial"/>
          <w:rtl/>
        </w:rPr>
        <w:footnoteReference w:id="1310"/>
      </w:r>
      <w:r w:rsidR="009B73DE">
        <w:rPr>
          <w:rFonts w:cs="Arial" w:hint="cs"/>
          <w:rtl/>
        </w:rPr>
        <w:t>,</w:t>
      </w:r>
      <w:r w:rsidRPr="00EF7C96">
        <w:rPr>
          <w:rFonts w:cs="Arial"/>
          <w:rtl/>
        </w:rPr>
        <w:t xml:space="preserve"> דהו"ל כאילו הקצם</w:t>
      </w:r>
      <w:r w:rsidR="009B73DE">
        <w:rPr>
          <w:rFonts w:cs="Arial" w:hint="cs"/>
          <w:rtl/>
        </w:rPr>
        <w:t>,</w:t>
      </w:r>
      <w:r w:rsidRPr="00EF7C96">
        <w:rPr>
          <w:rFonts w:cs="Arial"/>
          <w:rtl/>
        </w:rPr>
        <w:t xml:space="preserve"> שמקפיד עליהם שלא יטלטלם כדי שלא יפגמו</w:t>
      </w:r>
      <w:r w:rsidR="009B73DE">
        <w:rPr>
          <w:rFonts w:cs="Arial" w:hint="cs"/>
          <w:rtl/>
        </w:rPr>
        <w:t>.</w:t>
      </w:r>
      <w:r w:rsidRPr="00EF7C96">
        <w:rPr>
          <w:rFonts w:cs="Arial"/>
          <w:rtl/>
        </w:rPr>
        <w:t xml:space="preserve"> וכן כל כיוצא בזה</w:t>
      </w:r>
      <w:r w:rsidRPr="00EF7C96">
        <w:rPr>
          <w:rFonts w:cs="Arial" w:hint="cs"/>
          <w:rtl/>
        </w:rPr>
        <w:t>.</w:t>
      </w:r>
    </w:p>
    <w:p w14:paraId="63DA13D8" w14:textId="420A1FBC" w:rsidR="00BF512D" w:rsidRDefault="00F63421" w:rsidP="00434A6A">
      <w:pPr>
        <w:pStyle w:val="aa"/>
        <w:numPr>
          <w:ilvl w:val="0"/>
          <w:numId w:val="3"/>
        </w:numPr>
        <w:rPr>
          <w:rFonts w:cs="Arial"/>
        </w:rPr>
      </w:pPr>
      <w:r w:rsidRPr="00611858">
        <w:rPr>
          <w:rFonts w:cs="Arial"/>
          <w:rtl/>
        </w:rPr>
        <w:t xml:space="preserve">רמב"ם </w:t>
      </w:r>
      <w:r w:rsidR="00327D5B" w:rsidRPr="00611858">
        <w:rPr>
          <w:rFonts w:cs="Arial" w:hint="cs"/>
          <w:sz w:val="16"/>
          <w:szCs w:val="16"/>
          <w:rtl/>
        </w:rPr>
        <w:t>(פ</w:t>
      </w:r>
      <w:r w:rsidRPr="00611858">
        <w:rPr>
          <w:rFonts w:cs="Arial"/>
          <w:sz w:val="16"/>
          <w:szCs w:val="16"/>
          <w:rtl/>
        </w:rPr>
        <w:t>כ"ה ה"ט)</w:t>
      </w:r>
      <w:r w:rsidR="00327D5B" w:rsidRPr="00611858">
        <w:rPr>
          <w:rFonts w:cs="Arial" w:hint="cs"/>
          <w:rtl/>
        </w:rPr>
        <w:t>-</w:t>
      </w:r>
      <w:r w:rsidR="00327D5B" w:rsidRPr="00327D5B">
        <w:rPr>
          <w:rtl/>
        </w:rPr>
        <w:t xml:space="preserve"> </w:t>
      </w:r>
      <w:r w:rsidR="00327D5B" w:rsidRPr="00611858">
        <w:rPr>
          <w:rFonts w:cs="Arial"/>
          <w:rtl/>
        </w:rPr>
        <w:t>כל כלי שמקפיד עליו שמא יפחתו דמיו</w:t>
      </w:r>
      <w:r w:rsidR="00611858" w:rsidRPr="00611858">
        <w:rPr>
          <w:rFonts w:cs="Arial" w:hint="cs"/>
          <w:rtl/>
        </w:rPr>
        <w:t>,</w:t>
      </w:r>
      <w:r w:rsidR="00327D5B" w:rsidRPr="00611858">
        <w:rPr>
          <w:rFonts w:cs="Arial"/>
          <w:rtl/>
        </w:rPr>
        <w:t xml:space="preserve"> כגון כלים המוקצים לסחורה</w:t>
      </w:r>
      <w:r w:rsidR="004C461A">
        <w:rPr>
          <w:rStyle w:val="a9"/>
          <w:rFonts w:cs="Arial"/>
          <w:rtl/>
        </w:rPr>
        <w:footnoteReference w:id="1311"/>
      </w:r>
      <w:r w:rsidR="00611858" w:rsidRPr="00611858">
        <w:rPr>
          <w:rFonts w:cs="Arial" w:hint="cs"/>
          <w:rtl/>
        </w:rPr>
        <w:t>,</w:t>
      </w:r>
      <w:r w:rsidR="00327D5B" w:rsidRPr="00611858">
        <w:rPr>
          <w:rFonts w:cs="Arial"/>
          <w:rtl/>
        </w:rPr>
        <w:t xml:space="preserve"> וכלים היקרים ביותר שמקפיד עליהן שמא יפסדו </w:t>
      </w:r>
      <w:r w:rsidR="00611858" w:rsidRPr="00611858">
        <w:rPr>
          <w:rFonts w:cs="Arial" w:hint="cs"/>
          <w:rtl/>
        </w:rPr>
        <w:t xml:space="preserve">- </w:t>
      </w:r>
      <w:r w:rsidR="00327D5B" w:rsidRPr="00611858">
        <w:rPr>
          <w:rFonts w:cs="Arial"/>
          <w:rtl/>
        </w:rPr>
        <w:t>אסור לטלטלן בשבת</w:t>
      </w:r>
      <w:r w:rsidR="00611858" w:rsidRPr="00611858">
        <w:rPr>
          <w:rFonts w:cs="Arial" w:hint="cs"/>
          <w:rtl/>
        </w:rPr>
        <w:t>.</w:t>
      </w:r>
      <w:r w:rsidR="00327D5B" w:rsidRPr="00611858">
        <w:rPr>
          <w:rFonts w:cs="Arial"/>
          <w:rtl/>
        </w:rPr>
        <w:t xml:space="preserve"> וזה הוא הנקרא מוקצה מחמת חסרון כיס</w:t>
      </w:r>
      <w:r w:rsidR="00611858" w:rsidRPr="00611858">
        <w:rPr>
          <w:rFonts w:cs="Arial" w:hint="cs"/>
          <w:rtl/>
        </w:rPr>
        <w:t>.</w:t>
      </w:r>
      <w:r w:rsidR="00327D5B" w:rsidRPr="00611858">
        <w:rPr>
          <w:rFonts w:cs="Arial"/>
          <w:rtl/>
        </w:rPr>
        <w:t xml:space="preserve"> כגון המסר הגדול</w:t>
      </w:r>
      <w:r w:rsidR="00611858" w:rsidRPr="00611858">
        <w:rPr>
          <w:rFonts w:cs="Arial" w:hint="cs"/>
          <w:rtl/>
        </w:rPr>
        <w:t>,</w:t>
      </w:r>
      <w:r w:rsidR="00327D5B" w:rsidRPr="00611858">
        <w:rPr>
          <w:rFonts w:cs="Arial"/>
          <w:rtl/>
        </w:rPr>
        <w:t xml:space="preserve"> ויתד של מחרישה</w:t>
      </w:r>
      <w:r w:rsidR="00611858" w:rsidRPr="00611858">
        <w:rPr>
          <w:rFonts w:cs="Arial" w:hint="cs"/>
          <w:rtl/>
        </w:rPr>
        <w:t>,</w:t>
      </w:r>
      <w:r w:rsidR="00327D5B" w:rsidRPr="00611858">
        <w:rPr>
          <w:rFonts w:cs="Arial"/>
          <w:rtl/>
        </w:rPr>
        <w:t xml:space="preserve"> וסכין של טבחים</w:t>
      </w:r>
      <w:r w:rsidR="00611858" w:rsidRPr="00611858">
        <w:rPr>
          <w:rFonts w:cs="Arial" w:hint="cs"/>
          <w:rtl/>
        </w:rPr>
        <w:t>,</w:t>
      </w:r>
      <w:r w:rsidR="00327D5B" w:rsidRPr="00611858">
        <w:rPr>
          <w:rFonts w:cs="Arial"/>
          <w:rtl/>
        </w:rPr>
        <w:t xml:space="preserve"> וחרב של אושכפים</w:t>
      </w:r>
      <w:r w:rsidR="00611858" w:rsidRPr="00611858">
        <w:rPr>
          <w:rFonts w:cs="Arial" w:hint="cs"/>
          <w:rtl/>
        </w:rPr>
        <w:t>,</w:t>
      </w:r>
      <w:r w:rsidR="00327D5B" w:rsidRPr="00611858">
        <w:rPr>
          <w:rFonts w:cs="Arial"/>
          <w:rtl/>
        </w:rPr>
        <w:t xml:space="preserve"> וחצין החרשים</w:t>
      </w:r>
      <w:r w:rsidR="00611858" w:rsidRPr="00611858">
        <w:rPr>
          <w:rFonts w:cs="Arial" w:hint="cs"/>
          <w:rtl/>
        </w:rPr>
        <w:t>,</w:t>
      </w:r>
      <w:r w:rsidR="00327D5B" w:rsidRPr="00611858">
        <w:rPr>
          <w:rFonts w:cs="Arial"/>
          <w:rtl/>
        </w:rPr>
        <w:t xml:space="preserve"> וקורנס של בשמים</w:t>
      </w:r>
      <w:r w:rsidR="00611858" w:rsidRPr="00611858">
        <w:rPr>
          <w:rFonts w:cs="Arial" w:hint="cs"/>
          <w:rtl/>
        </w:rPr>
        <w:t>,</w:t>
      </w:r>
      <w:r w:rsidR="00327D5B" w:rsidRPr="00611858">
        <w:rPr>
          <w:rFonts w:cs="Arial"/>
          <w:rtl/>
        </w:rPr>
        <w:t xml:space="preserve"> וכיוצא בהן</w:t>
      </w:r>
      <w:r w:rsidR="005401B8" w:rsidRPr="004C461A">
        <w:rPr>
          <w:rFonts w:cs="Arial" w:hint="cs"/>
          <w:rtl/>
        </w:rPr>
        <w:t xml:space="preserve">. </w:t>
      </w:r>
      <w:r w:rsidR="003D1A42" w:rsidRPr="003D1A42">
        <w:rPr>
          <w:rFonts w:cs="Arial" w:hint="cs"/>
          <w:color w:val="E36C0A" w:themeColor="accent6" w:themeShade="BF"/>
          <w:rtl/>
        </w:rPr>
        <w:t>(וכ"פ בשו"ע)</w:t>
      </w:r>
    </w:p>
    <w:p w14:paraId="470FA919" w14:textId="69D93833" w:rsidR="00BF512D" w:rsidRPr="00BF512D" w:rsidRDefault="00BF512D" w:rsidP="00434A6A">
      <w:pPr>
        <w:ind w:left="360"/>
        <w:rPr>
          <w:rFonts w:cs="Arial"/>
          <w:u w:val="dotted"/>
        </w:rPr>
      </w:pPr>
      <w:r w:rsidRPr="00BF512D">
        <w:rPr>
          <w:rFonts w:cs="Arial" w:hint="cs"/>
          <w:u w:val="dotted"/>
          <w:rtl/>
        </w:rPr>
        <w:t>האם מותר לטלטל</w:t>
      </w:r>
      <w:r>
        <w:rPr>
          <w:rFonts w:cs="Arial" w:hint="cs"/>
          <w:u w:val="dotted"/>
          <w:rtl/>
        </w:rPr>
        <w:t>ו</w:t>
      </w:r>
      <w:r w:rsidRPr="00BF512D">
        <w:rPr>
          <w:rFonts w:cs="Arial" w:hint="cs"/>
          <w:u w:val="dotted"/>
          <w:rtl/>
        </w:rPr>
        <w:t xml:space="preserve"> לצורך גופו או מקומו: </w:t>
      </w:r>
    </w:p>
    <w:p w14:paraId="33072ECB" w14:textId="04EFDC4A" w:rsidR="004664A5" w:rsidRPr="00F719E6" w:rsidRDefault="00F63421" w:rsidP="00434A6A">
      <w:pPr>
        <w:pStyle w:val="aa"/>
        <w:numPr>
          <w:ilvl w:val="0"/>
          <w:numId w:val="3"/>
        </w:numPr>
        <w:rPr>
          <w:rFonts w:cs="Arial"/>
        </w:rPr>
      </w:pPr>
      <w:r w:rsidRPr="00BF512D">
        <w:rPr>
          <w:rFonts w:cs="Arial"/>
          <w:rtl/>
        </w:rPr>
        <w:t>תוס</w:t>
      </w:r>
      <w:r w:rsidR="009B73DE">
        <w:rPr>
          <w:rFonts w:cs="Arial" w:hint="cs"/>
          <w:rtl/>
        </w:rPr>
        <w:t>'</w:t>
      </w:r>
      <w:r w:rsidRPr="00BF512D">
        <w:rPr>
          <w:rFonts w:cs="Arial"/>
          <w:rtl/>
        </w:rPr>
        <w:t xml:space="preserve"> </w:t>
      </w:r>
      <w:r w:rsidRPr="009B73DE">
        <w:rPr>
          <w:rFonts w:cs="Arial"/>
          <w:sz w:val="16"/>
          <w:szCs w:val="16"/>
          <w:rtl/>
        </w:rPr>
        <w:t>(קכג: ד"ה וסכינא)</w:t>
      </w:r>
      <w:r w:rsidR="009B73DE" w:rsidRPr="009B73DE">
        <w:rPr>
          <w:rFonts w:cs="Arial"/>
          <w:rtl/>
        </w:rPr>
        <w:t xml:space="preserve"> </w:t>
      </w:r>
      <w:r w:rsidR="00F719E6" w:rsidRPr="00BF512D">
        <w:rPr>
          <w:rFonts w:cs="Arial"/>
          <w:rtl/>
        </w:rPr>
        <w:t>רמב"ם</w:t>
      </w:r>
      <w:r w:rsidR="001D543F">
        <w:rPr>
          <w:rStyle w:val="a9"/>
          <w:rFonts w:cs="Arial"/>
          <w:rtl/>
        </w:rPr>
        <w:footnoteReference w:id="1312"/>
      </w:r>
      <w:r w:rsidR="00F719E6" w:rsidRPr="00BF512D">
        <w:rPr>
          <w:rFonts w:cs="Arial"/>
          <w:rtl/>
        </w:rPr>
        <w:t xml:space="preserve"> </w:t>
      </w:r>
      <w:r w:rsidR="00F719E6" w:rsidRPr="00F719E6">
        <w:rPr>
          <w:rFonts w:cs="Arial" w:hint="cs"/>
          <w:sz w:val="16"/>
          <w:szCs w:val="16"/>
          <w:rtl/>
        </w:rPr>
        <w:t>(</w:t>
      </w:r>
      <w:r w:rsidR="00F719E6" w:rsidRPr="00F719E6">
        <w:rPr>
          <w:rFonts w:cs="Arial"/>
          <w:sz w:val="16"/>
          <w:szCs w:val="16"/>
          <w:rtl/>
        </w:rPr>
        <w:t>פכ"ה ה"ט)</w:t>
      </w:r>
      <w:r w:rsidR="00F719E6">
        <w:rPr>
          <w:rFonts w:cs="Arial" w:hint="cs"/>
          <w:rtl/>
        </w:rPr>
        <w:t xml:space="preserve"> </w:t>
      </w:r>
      <w:r w:rsidR="009B73DE" w:rsidRPr="00BF512D">
        <w:rPr>
          <w:rFonts w:cs="Arial"/>
          <w:rtl/>
        </w:rPr>
        <w:t xml:space="preserve">רא"ש </w:t>
      </w:r>
      <w:r w:rsidR="009B73DE" w:rsidRPr="009B73DE">
        <w:rPr>
          <w:rFonts w:cs="Arial"/>
          <w:sz w:val="16"/>
          <w:szCs w:val="16"/>
          <w:rtl/>
        </w:rPr>
        <w:t>(כלל כב סי' ח)</w:t>
      </w:r>
      <w:r w:rsidR="009B73DE" w:rsidRPr="009B73DE">
        <w:rPr>
          <w:rFonts w:cs="Arial" w:hint="cs"/>
          <w:rtl/>
        </w:rPr>
        <w:t xml:space="preserve"> </w:t>
      </w:r>
      <w:r w:rsidR="009B73DE" w:rsidRPr="00752724">
        <w:rPr>
          <w:rFonts w:cs="Arial" w:hint="cs"/>
          <w:rtl/>
        </w:rPr>
        <w:t>טור</w:t>
      </w:r>
      <w:r w:rsidR="009B73DE">
        <w:rPr>
          <w:rStyle w:val="a9"/>
          <w:rFonts w:cs="Arial"/>
          <w:rtl/>
        </w:rPr>
        <w:footnoteReference w:id="1313"/>
      </w:r>
      <w:r w:rsidR="00F719E6" w:rsidRPr="00F719E6">
        <w:rPr>
          <w:rFonts w:cs="Arial" w:hint="cs"/>
          <w:rtl/>
        </w:rPr>
        <w:t xml:space="preserve"> </w:t>
      </w:r>
      <w:r w:rsidR="00F719E6">
        <w:rPr>
          <w:rFonts w:cs="Arial" w:hint="cs"/>
          <w:rtl/>
        </w:rPr>
        <w:t>ורי"ו</w:t>
      </w:r>
      <w:r w:rsidR="00F719E6" w:rsidRPr="00B14BC7">
        <w:rPr>
          <w:rFonts w:cs="Arial"/>
          <w:rtl/>
        </w:rPr>
        <w:t xml:space="preserve"> </w:t>
      </w:r>
      <w:r w:rsidR="00F719E6" w:rsidRPr="00F719E6">
        <w:rPr>
          <w:rFonts w:cs="Arial" w:hint="cs"/>
          <w:sz w:val="16"/>
          <w:szCs w:val="16"/>
          <w:rtl/>
        </w:rPr>
        <w:t>(</w:t>
      </w:r>
      <w:r w:rsidR="00F719E6" w:rsidRPr="00F719E6">
        <w:rPr>
          <w:rFonts w:cs="Arial"/>
          <w:sz w:val="16"/>
          <w:szCs w:val="16"/>
          <w:rtl/>
        </w:rPr>
        <w:t>ת</w:t>
      </w:r>
      <w:r w:rsidR="00F719E6" w:rsidRPr="00F719E6">
        <w:rPr>
          <w:rFonts w:cs="Arial" w:hint="cs"/>
          <w:sz w:val="16"/>
          <w:szCs w:val="16"/>
          <w:rtl/>
        </w:rPr>
        <w:t>א"ו</w:t>
      </w:r>
      <w:r w:rsidR="00F719E6" w:rsidRPr="00F719E6">
        <w:rPr>
          <w:rFonts w:cs="Arial"/>
          <w:sz w:val="16"/>
          <w:szCs w:val="16"/>
          <w:rtl/>
        </w:rPr>
        <w:t xml:space="preserve"> ני"ב חי"ג פד ע"ג)</w:t>
      </w:r>
      <w:r w:rsidR="009B73DE">
        <w:rPr>
          <w:rFonts w:cs="Arial" w:hint="cs"/>
          <w:rtl/>
        </w:rPr>
        <w:t>-</w:t>
      </w:r>
      <w:r w:rsidRPr="00BF512D">
        <w:rPr>
          <w:rFonts w:cs="Arial"/>
          <w:rtl/>
        </w:rPr>
        <w:t xml:space="preserve"> </w:t>
      </w:r>
      <w:r w:rsidR="009B73DE" w:rsidRPr="009B73DE">
        <w:rPr>
          <w:rFonts w:cs="Arial"/>
          <w:rtl/>
        </w:rPr>
        <w:t>יש ליזהר שלא לטלטלו אפי' לצורך גופו</w:t>
      </w:r>
      <w:r w:rsidR="00F719E6">
        <w:rPr>
          <w:rStyle w:val="a9"/>
          <w:rFonts w:cs="Arial"/>
          <w:rtl/>
        </w:rPr>
        <w:footnoteReference w:id="1314"/>
      </w:r>
      <w:r w:rsidR="009B73DE">
        <w:rPr>
          <w:rFonts w:cs="Arial" w:hint="cs"/>
          <w:rtl/>
        </w:rPr>
        <w:t>,</w:t>
      </w:r>
      <w:r w:rsidR="009B73DE" w:rsidRPr="009B73DE">
        <w:rPr>
          <w:rFonts w:cs="Arial"/>
          <w:rtl/>
        </w:rPr>
        <w:t xml:space="preserve"> דהוי כיתד של מחרישה דאפי' ר"ש מודה כדאמרינן בסוף מכילתין (קנז.)</w:t>
      </w:r>
      <w:r w:rsidR="009B73DE">
        <w:rPr>
          <w:rFonts w:cs="Arial" w:hint="cs"/>
          <w:sz w:val="16"/>
          <w:szCs w:val="16"/>
          <w:rtl/>
        </w:rPr>
        <w:t xml:space="preserve"> (ל' התוס')</w:t>
      </w:r>
      <w:r w:rsidR="009B73DE" w:rsidRPr="009B73DE">
        <w:rPr>
          <w:rFonts w:cs="Arial"/>
          <w:rtl/>
        </w:rPr>
        <w:t>.</w:t>
      </w:r>
      <w:r w:rsidR="003D1A42" w:rsidRPr="003D1A42">
        <w:rPr>
          <w:rFonts w:cs="Arial" w:hint="cs"/>
          <w:color w:val="E36C0A" w:themeColor="accent6" w:themeShade="BF"/>
          <w:rtl/>
        </w:rPr>
        <w:t xml:space="preserve"> (וכ"פ בשו"ע)</w:t>
      </w:r>
    </w:p>
    <w:p w14:paraId="60B04DBB" w14:textId="43A274FF" w:rsidR="00F719E6" w:rsidRDefault="00F719E6" w:rsidP="00434A6A">
      <w:pPr>
        <w:pStyle w:val="aa"/>
        <w:numPr>
          <w:ilvl w:val="0"/>
          <w:numId w:val="3"/>
        </w:numPr>
        <w:rPr>
          <w:rFonts w:cs="Arial"/>
        </w:rPr>
      </w:pPr>
      <w:r w:rsidRPr="00B14BC7">
        <w:rPr>
          <w:rFonts w:cs="Arial"/>
          <w:rtl/>
        </w:rPr>
        <w:t xml:space="preserve">מרדכי </w:t>
      </w:r>
      <w:r w:rsidRPr="00F719E6">
        <w:rPr>
          <w:rFonts w:cs="Arial" w:hint="cs"/>
          <w:sz w:val="16"/>
          <w:szCs w:val="16"/>
          <w:rtl/>
        </w:rPr>
        <w:t>(</w:t>
      </w:r>
      <w:r w:rsidRPr="00F719E6">
        <w:rPr>
          <w:rFonts w:cs="Arial"/>
          <w:sz w:val="16"/>
          <w:szCs w:val="16"/>
          <w:rtl/>
        </w:rPr>
        <w:t>ס</w:t>
      </w:r>
      <w:r w:rsidRPr="00F719E6">
        <w:rPr>
          <w:rFonts w:cs="Arial" w:hint="cs"/>
          <w:sz w:val="16"/>
          <w:szCs w:val="16"/>
          <w:rtl/>
        </w:rPr>
        <w:t>"</w:t>
      </w:r>
      <w:r w:rsidRPr="00F719E6">
        <w:rPr>
          <w:rFonts w:cs="Arial"/>
          <w:sz w:val="16"/>
          <w:szCs w:val="16"/>
          <w:rtl/>
        </w:rPr>
        <w:t>פ כירה סי' שטו</w:t>
      </w:r>
      <w:r w:rsidRPr="00F719E6">
        <w:rPr>
          <w:rFonts w:cs="Arial" w:hint="cs"/>
          <w:sz w:val="16"/>
          <w:szCs w:val="16"/>
          <w:rtl/>
        </w:rPr>
        <w:t>, הביאו הדרכ"מ [אות ב]</w:t>
      </w:r>
      <w:r w:rsidRPr="00F719E6">
        <w:rPr>
          <w:rFonts w:cs="Arial"/>
          <w:sz w:val="16"/>
          <w:szCs w:val="16"/>
          <w:rtl/>
        </w:rPr>
        <w:t>)</w:t>
      </w:r>
      <w:r>
        <w:rPr>
          <w:rFonts w:cs="Arial" w:hint="cs"/>
          <w:rtl/>
        </w:rPr>
        <w:t xml:space="preserve">- </w:t>
      </w:r>
      <w:r w:rsidRPr="00F719E6">
        <w:rPr>
          <w:rFonts w:cs="Arial"/>
          <w:rtl/>
        </w:rPr>
        <w:t xml:space="preserve">חוץ מן המסר הגדול מיהו לצורך גופו או לצורך מקומו </w:t>
      </w:r>
      <w:r>
        <w:rPr>
          <w:rFonts w:cs="Arial" w:hint="cs"/>
          <w:rtl/>
        </w:rPr>
        <w:t xml:space="preserve">- </w:t>
      </w:r>
      <w:r w:rsidRPr="00F719E6">
        <w:rPr>
          <w:rFonts w:cs="Arial"/>
          <w:rtl/>
        </w:rPr>
        <w:t>מותר</w:t>
      </w:r>
      <w:r>
        <w:rPr>
          <w:rFonts w:cs="Arial" w:hint="cs"/>
          <w:rtl/>
        </w:rPr>
        <w:t>,</w:t>
      </w:r>
      <w:r w:rsidRPr="00F719E6">
        <w:rPr>
          <w:rFonts w:cs="Arial"/>
          <w:rtl/>
        </w:rPr>
        <w:t xml:space="preserve"> כדמשמע פ' כל הכלים </w:t>
      </w:r>
      <w:r>
        <w:rPr>
          <w:rFonts w:cs="Arial" w:hint="cs"/>
          <w:rtl/>
        </w:rPr>
        <w:t>(</w:t>
      </w:r>
      <w:r w:rsidRPr="00F719E6">
        <w:rPr>
          <w:rFonts w:cs="Arial"/>
          <w:rtl/>
        </w:rPr>
        <w:t>קכד</w:t>
      </w:r>
      <w:r>
        <w:rPr>
          <w:rFonts w:cs="Arial" w:hint="cs"/>
          <w:rtl/>
        </w:rPr>
        <w:t>:)...</w:t>
      </w:r>
      <w:r w:rsidRPr="00F719E6">
        <w:rPr>
          <w:rFonts w:cs="Arial"/>
          <w:rtl/>
        </w:rPr>
        <w:t xml:space="preserve"> אבל צרורות ומעות וכל דכוותייהו שאין עליו תורת כלי ולא תורת אוכלים חמור מכולהו ואפילו לצורך גופו או מקומו לא</w:t>
      </w:r>
      <w:r>
        <w:rPr>
          <w:rFonts w:cs="Arial" w:hint="cs"/>
          <w:rtl/>
        </w:rPr>
        <w:t>,</w:t>
      </w:r>
      <w:r w:rsidRPr="00F719E6">
        <w:rPr>
          <w:rFonts w:cs="Arial"/>
          <w:rtl/>
        </w:rPr>
        <w:t xml:space="preserve"> וכ"פ ראבי"ה</w:t>
      </w:r>
      <w:r>
        <w:rPr>
          <w:rFonts w:cs="Arial" w:hint="cs"/>
          <w:rtl/>
        </w:rPr>
        <w:t>.</w:t>
      </w:r>
    </w:p>
    <w:p w14:paraId="164D5835" w14:textId="77777777" w:rsidR="009A1772" w:rsidRPr="005275DF" w:rsidRDefault="009A1772" w:rsidP="00434A6A">
      <w:pPr>
        <w:rPr>
          <w:rFonts w:asciiTheme="minorBidi" w:hAnsiTheme="minorBidi"/>
          <w:rtl/>
        </w:rPr>
      </w:pPr>
      <w:r w:rsidRPr="005275DF">
        <w:rPr>
          <w:rFonts w:asciiTheme="minorBidi" w:hAnsiTheme="minorBidi"/>
          <w:b/>
          <w:bCs/>
          <w:sz w:val="32"/>
          <w:szCs w:val="28"/>
          <w:u w:val="single"/>
          <w:rtl/>
        </w:rPr>
        <w:t xml:space="preserve">שו"ע: </w:t>
      </w:r>
    </w:p>
    <w:p w14:paraId="303DB888" w14:textId="1FDC7385" w:rsidR="000C6229" w:rsidRPr="005275DF" w:rsidRDefault="000C6229" w:rsidP="00434A6A">
      <w:pPr>
        <w:rPr>
          <w:rFonts w:asciiTheme="minorBidi" w:hAnsiTheme="minorBidi"/>
          <w:rtl/>
        </w:rPr>
      </w:pPr>
      <w:r w:rsidRPr="005275DF">
        <w:rPr>
          <w:rFonts w:asciiTheme="minorBidi" w:hAnsiTheme="minorBidi"/>
          <w:rtl/>
        </w:rPr>
        <w:t>כל הכלים נטלים בשבת חוץ ממוקצה מחמת חסרון כיס, כגון סכין של שחיטה או של מילה, ואיזמל של ספרים, וסכין של סופרים שמתקנים בהם הקולמוסים כיון שמקפידים שלא לעשות בהם תשמיש אחר, אסור לטלטלו בשבת</w:t>
      </w:r>
      <w:r w:rsidR="003D1A42">
        <w:rPr>
          <w:rFonts w:asciiTheme="minorBidi" w:hAnsiTheme="minorBidi" w:hint="cs"/>
          <w:rtl/>
        </w:rPr>
        <w:t>,</w:t>
      </w:r>
      <w:r w:rsidRPr="005275DF">
        <w:rPr>
          <w:rFonts w:asciiTheme="minorBidi" w:hAnsiTheme="minorBidi"/>
          <w:rtl/>
        </w:rPr>
        <w:t xml:space="preserve"> ואפילו לצורך מקומו או לצורך גופו. </w:t>
      </w:r>
      <w:r w:rsidRPr="00511A5A">
        <w:rPr>
          <w:rFonts w:asciiTheme="minorBidi" w:hAnsiTheme="minorBidi"/>
          <w:sz w:val="18"/>
          <w:szCs w:val="18"/>
          <w:rtl/>
        </w:rPr>
        <w:t>הגה: ואפי' תחובים בנדן עם שאר סכינים, אסור לטלטלו</w:t>
      </w:r>
      <w:r w:rsidR="003D1A42">
        <w:rPr>
          <w:rStyle w:val="a9"/>
          <w:rFonts w:asciiTheme="minorBidi" w:hAnsiTheme="minorBidi"/>
          <w:sz w:val="18"/>
          <w:szCs w:val="18"/>
          <w:rtl/>
        </w:rPr>
        <w:footnoteReference w:id="1315"/>
      </w:r>
      <w:r w:rsidRPr="00511A5A">
        <w:rPr>
          <w:rFonts w:asciiTheme="minorBidi" w:hAnsiTheme="minorBidi"/>
          <w:sz w:val="18"/>
          <w:szCs w:val="18"/>
          <w:rtl/>
        </w:rPr>
        <w:t xml:space="preserve"> (מהרי"ל). </w:t>
      </w:r>
      <w:r w:rsidRPr="005275DF">
        <w:rPr>
          <w:rFonts w:asciiTheme="minorBidi" w:hAnsiTheme="minorBidi"/>
          <w:rtl/>
        </w:rPr>
        <w:t>וה</w:t>
      </w:r>
      <w:r w:rsidR="00752724">
        <w:rPr>
          <w:rFonts w:asciiTheme="minorBidi" w:hAnsiTheme="minorBidi" w:hint="cs"/>
          <w:rtl/>
        </w:rPr>
        <w:t xml:space="preserve">וא </w:t>
      </w:r>
      <w:r w:rsidRPr="005275DF">
        <w:rPr>
          <w:rFonts w:asciiTheme="minorBidi" w:hAnsiTheme="minorBidi"/>
          <w:rtl/>
        </w:rPr>
        <w:t>ה</w:t>
      </w:r>
      <w:r w:rsidR="00752724">
        <w:rPr>
          <w:rFonts w:asciiTheme="minorBidi" w:hAnsiTheme="minorBidi" w:hint="cs"/>
          <w:rtl/>
        </w:rPr>
        <w:t>דין</w:t>
      </w:r>
      <w:r w:rsidRPr="005275DF">
        <w:rPr>
          <w:rFonts w:asciiTheme="minorBidi" w:hAnsiTheme="minorBidi"/>
          <w:rtl/>
        </w:rPr>
        <w:t xml:space="preserve"> לקורנס של בשמים שמקפידים עליו</w:t>
      </w:r>
      <w:r w:rsidR="003D1A42">
        <w:rPr>
          <w:rStyle w:val="a9"/>
          <w:rFonts w:asciiTheme="minorBidi" w:hAnsiTheme="minorBidi"/>
          <w:rtl/>
        </w:rPr>
        <w:footnoteReference w:id="1316"/>
      </w:r>
      <w:r w:rsidRPr="005275DF">
        <w:rPr>
          <w:rFonts w:asciiTheme="minorBidi" w:hAnsiTheme="minorBidi"/>
          <w:rtl/>
        </w:rPr>
        <w:t xml:space="preserve"> שלא יתלכלך. </w:t>
      </w:r>
      <w:r w:rsidRPr="00511A5A">
        <w:rPr>
          <w:rFonts w:asciiTheme="minorBidi" w:hAnsiTheme="minorBidi"/>
          <w:sz w:val="18"/>
          <w:szCs w:val="18"/>
          <w:rtl/>
        </w:rPr>
        <w:t>הגה: וה"ה כלים המיוחדים לסחורה ומקפיד עליהם</w:t>
      </w:r>
      <w:r w:rsidR="003D1A42">
        <w:rPr>
          <w:rStyle w:val="a9"/>
          <w:rFonts w:asciiTheme="minorBidi" w:hAnsiTheme="minorBidi"/>
          <w:sz w:val="18"/>
          <w:szCs w:val="18"/>
          <w:rtl/>
        </w:rPr>
        <w:footnoteReference w:id="1317"/>
      </w:r>
      <w:r w:rsidRPr="00511A5A">
        <w:rPr>
          <w:rFonts w:asciiTheme="minorBidi" w:hAnsiTheme="minorBidi"/>
          <w:sz w:val="18"/>
          <w:szCs w:val="18"/>
          <w:rtl/>
        </w:rPr>
        <w:t xml:space="preserve"> (ב"י בשם מיימוני פ"ה וה</w:t>
      </w:r>
      <w:r w:rsidR="00DB52EB">
        <w:rPr>
          <w:rFonts w:asciiTheme="minorBidi" w:hAnsiTheme="minorBidi" w:hint="cs"/>
          <w:sz w:val="18"/>
          <w:szCs w:val="18"/>
          <w:rtl/>
        </w:rPr>
        <w:t>ה"</w:t>
      </w:r>
      <w:r w:rsidRPr="00511A5A">
        <w:rPr>
          <w:rFonts w:asciiTheme="minorBidi" w:hAnsiTheme="minorBidi"/>
          <w:sz w:val="18"/>
          <w:szCs w:val="18"/>
          <w:rtl/>
        </w:rPr>
        <w:t xml:space="preserve">מ פכ"ז). </w:t>
      </w:r>
    </w:p>
    <w:p w14:paraId="4ADCF3A0" w14:textId="77777777" w:rsidR="000C6229" w:rsidRPr="005275DF" w:rsidRDefault="000C6229" w:rsidP="00434A6A">
      <w:pPr>
        <w:rPr>
          <w:rFonts w:asciiTheme="minorBidi" w:hAnsiTheme="minorBidi"/>
          <w:rtl/>
        </w:rPr>
      </w:pPr>
    </w:p>
    <w:p w14:paraId="197B2023" w14:textId="658912C7" w:rsidR="000C6229" w:rsidRDefault="000C6229" w:rsidP="00434A6A">
      <w:pPr>
        <w:pStyle w:val="2"/>
        <w:rPr>
          <w:rtl/>
        </w:rPr>
      </w:pPr>
      <w:bookmarkStart w:id="9" w:name="_Hlk81129663"/>
      <w:r w:rsidRPr="005275DF">
        <w:rPr>
          <w:rtl/>
        </w:rPr>
        <w:t>סעיף ב</w:t>
      </w:r>
      <w:r w:rsidR="00F63421">
        <w:rPr>
          <w:rFonts w:hint="cs"/>
          <w:rtl/>
        </w:rPr>
        <w:t>:</w:t>
      </w:r>
      <w:r w:rsidR="007321BF">
        <w:rPr>
          <w:rFonts w:hint="cs"/>
          <w:rtl/>
        </w:rPr>
        <w:t xml:space="preserve"> כלי גדול או כבד.</w:t>
      </w:r>
    </w:p>
    <w:p w14:paraId="673DD5C3" w14:textId="1488FF60" w:rsidR="002C190A" w:rsidRPr="009F7511" w:rsidRDefault="002C190A" w:rsidP="00434A6A">
      <w:pPr>
        <w:rPr>
          <w:rtl/>
        </w:rPr>
      </w:pPr>
      <w:r w:rsidRPr="00A84C10">
        <w:rPr>
          <w:rFonts w:cs="Arial" w:hint="cs"/>
          <w:b/>
          <w:bCs/>
          <w:rtl/>
        </w:rPr>
        <w:t xml:space="preserve">שבת </w:t>
      </w:r>
      <w:r>
        <w:rPr>
          <w:rFonts w:cs="Arial" w:hint="cs"/>
          <w:b/>
          <w:bCs/>
          <w:sz w:val="16"/>
          <w:szCs w:val="16"/>
          <w:rtl/>
        </w:rPr>
        <w:t xml:space="preserve">(ס"פ במה מדליקין) </w:t>
      </w:r>
      <w:r w:rsidRPr="00A84C10">
        <w:rPr>
          <w:rFonts w:cs="Arial" w:hint="cs"/>
          <w:b/>
          <w:bCs/>
          <w:rtl/>
        </w:rPr>
        <w:t>לה ע"א:</w:t>
      </w:r>
      <w:r>
        <w:rPr>
          <w:rFonts w:cs="Arial" w:hint="cs"/>
          <w:rtl/>
        </w:rPr>
        <w:t xml:space="preserve"> </w:t>
      </w:r>
      <w:r w:rsidRPr="00A84C10">
        <w:rPr>
          <w:rFonts w:cs="Arial"/>
          <w:u w:val="single"/>
          <w:rtl/>
        </w:rPr>
        <w:t>דאמר רבה</w:t>
      </w:r>
      <w:r w:rsidRPr="00A84C10">
        <w:rPr>
          <w:rFonts w:cs="Arial"/>
          <w:rtl/>
        </w:rPr>
        <w:t>: חלתא</w:t>
      </w:r>
      <w:r>
        <w:rPr>
          <w:rStyle w:val="a9"/>
          <w:rFonts w:cs="Arial"/>
          <w:rtl/>
        </w:rPr>
        <w:footnoteReference w:id="1318"/>
      </w:r>
      <w:r w:rsidRPr="00A84C10">
        <w:rPr>
          <w:rFonts w:cs="Arial"/>
          <w:rtl/>
        </w:rPr>
        <w:t xml:space="preserve"> בת תרי כורי </w:t>
      </w:r>
      <w:r>
        <w:rPr>
          <w:rFonts w:cs="Arial" w:hint="cs"/>
          <w:rtl/>
        </w:rPr>
        <w:t xml:space="preserve">- </w:t>
      </w:r>
      <w:r w:rsidRPr="00A84C10">
        <w:rPr>
          <w:rFonts w:cs="Arial"/>
          <w:rtl/>
        </w:rPr>
        <w:t>שרי לטלטולה</w:t>
      </w:r>
      <w:r>
        <w:rPr>
          <w:rStyle w:val="a9"/>
          <w:rFonts w:cs="Arial"/>
          <w:rtl/>
        </w:rPr>
        <w:footnoteReference w:id="1319"/>
      </w:r>
      <w:r w:rsidRPr="00A84C10">
        <w:rPr>
          <w:rFonts w:cs="Arial"/>
          <w:rtl/>
        </w:rPr>
        <w:t>, ובת תלתא</w:t>
      </w:r>
      <w:r>
        <w:rPr>
          <w:rStyle w:val="a9"/>
          <w:rFonts w:cs="Arial"/>
          <w:rtl/>
        </w:rPr>
        <w:footnoteReference w:id="1320"/>
      </w:r>
      <w:r w:rsidRPr="00A84C10">
        <w:rPr>
          <w:rFonts w:cs="Arial"/>
          <w:rtl/>
        </w:rPr>
        <w:t xml:space="preserve"> כורי </w:t>
      </w:r>
      <w:r>
        <w:rPr>
          <w:rFonts w:cs="Arial" w:hint="cs"/>
          <w:rtl/>
        </w:rPr>
        <w:t xml:space="preserve">- </w:t>
      </w:r>
      <w:r w:rsidRPr="00A84C10">
        <w:rPr>
          <w:rFonts w:cs="Arial"/>
          <w:rtl/>
        </w:rPr>
        <w:t xml:space="preserve">אסור לטלטולה. </w:t>
      </w:r>
      <w:r w:rsidRPr="00A84C10">
        <w:rPr>
          <w:rFonts w:cs="Arial"/>
          <w:u w:val="single"/>
          <w:rtl/>
        </w:rPr>
        <w:t>ורב יוסף אמר</w:t>
      </w:r>
      <w:r w:rsidRPr="00A84C10">
        <w:rPr>
          <w:rFonts w:cs="Arial"/>
          <w:rtl/>
        </w:rPr>
        <w:t xml:space="preserve">: בת תלתא כורי נמי שרי, בת ארבעה כורי </w:t>
      </w:r>
      <w:r>
        <w:rPr>
          <w:rFonts w:cs="Arial" w:hint="cs"/>
          <w:rtl/>
        </w:rPr>
        <w:t xml:space="preserve">- </w:t>
      </w:r>
      <w:r w:rsidRPr="00A84C10">
        <w:rPr>
          <w:rFonts w:cs="Arial"/>
          <w:rtl/>
        </w:rPr>
        <w:t xml:space="preserve">אסור. </w:t>
      </w:r>
      <w:r w:rsidRPr="00A84C10">
        <w:rPr>
          <w:rFonts w:cs="Arial"/>
          <w:u w:val="single"/>
          <w:rtl/>
        </w:rPr>
        <w:t>אמר אביי</w:t>
      </w:r>
      <w:r w:rsidRPr="00A84C10">
        <w:rPr>
          <w:rFonts w:cs="Arial"/>
          <w:rtl/>
        </w:rPr>
        <w:t>: בעי מיניה דמר בשעת מעשה, ואפילו בת תרי כורי לא שרא לי, כמאן - כהאי תנא, דתנן: כוורת הקש וכוורת הקנים ובור ספינה אלכסנדרית</w:t>
      </w:r>
      <w:r>
        <w:rPr>
          <w:rStyle w:val="a9"/>
          <w:rFonts w:cs="Arial"/>
          <w:rtl/>
        </w:rPr>
        <w:footnoteReference w:id="1321"/>
      </w:r>
      <w:r w:rsidRPr="00A84C10">
        <w:rPr>
          <w:rFonts w:cs="Arial"/>
          <w:rtl/>
        </w:rPr>
        <w:t>, אף על פי שיש להם שולים והן מחזיקות ארבעים סאה בלח שהן כוריים</w:t>
      </w:r>
      <w:r>
        <w:rPr>
          <w:rStyle w:val="a9"/>
          <w:rFonts w:cs="Arial"/>
          <w:rtl/>
        </w:rPr>
        <w:footnoteReference w:id="1322"/>
      </w:r>
      <w:r w:rsidRPr="00A84C10">
        <w:rPr>
          <w:rFonts w:cs="Arial"/>
          <w:rtl/>
        </w:rPr>
        <w:t xml:space="preserve"> ביבש - טהורים.</w:t>
      </w:r>
      <w:r w:rsidRPr="002C190A">
        <w:rPr>
          <w:rtl/>
        </w:rPr>
        <w:t xml:space="preserve"> </w:t>
      </w:r>
      <w:r w:rsidRPr="002C190A">
        <w:rPr>
          <w:rFonts w:cs="Arial" w:hint="cs"/>
          <w:sz w:val="16"/>
          <w:szCs w:val="16"/>
          <w:rtl/>
        </w:rPr>
        <w:t>(</w:t>
      </w:r>
      <w:r w:rsidRPr="002C190A">
        <w:rPr>
          <w:rFonts w:cs="Arial"/>
          <w:sz w:val="16"/>
          <w:szCs w:val="16"/>
          <w:rtl/>
        </w:rPr>
        <w:t>לית הילכתא הכי שיתבטל ממנו תורת כלי משום כובדו</w:t>
      </w:r>
      <w:r>
        <w:rPr>
          <w:rFonts w:cs="Arial" w:hint="cs"/>
          <w:sz w:val="16"/>
          <w:szCs w:val="16"/>
          <w:rtl/>
        </w:rPr>
        <w:t>,</w:t>
      </w:r>
      <w:r w:rsidRPr="002C190A">
        <w:rPr>
          <w:rFonts w:cs="Arial"/>
          <w:sz w:val="16"/>
          <w:szCs w:val="16"/>
          <w:rtl/>
        </w:rPr>
        <w:t xml:space="preserve"> דאמר בפ"ב דעירובין (קב. ושם) ההיא שריתא דהוה בי רבי פדת דהוי שקלי לה עשרה ושדי לה אדשא אמר תורת כלי עליה</w:t>
      </w:r>
      <w:r>
        <w:rPr>
          <w:rFonts w:cs="Arial" w:hint="cs"/>
          <w:sz w:val="16"/>
          <w:szCs w:val="16"/>
          <w:rtl/>
        </w:rPr>
        <w:t>.</w:t>
      </w:r>
      <w:r w:rsidRPr="002C190A">
        <w:rPr>
          <w:rFonts w:cs="Arial"/>
          <w:sz w:val="16"/>
          <w:szCs w:val="16"/>
          <w:rtl/>
        </w:rPr>
        <w:t xml:space="preserve"> אפילו אביי גופיה לא קיבלה כדאמרינן בפרק כירה (לקמן מה:) מנרתא שאני שאדם קובע לה מקום</w:t>
      </w:r>
      <w:r>
        <w:rPr>
          <w:rFonts w:cs="Arial" w:hint="cs"/>
          <w:sz w:val="16"/>
          <w:szCs w:val="16"/>
          <w:rtl/>
        </w:rPr>
        <w:t>, תוס' (שבת לה. ד"ה ואפילו))</w:t>
      </w:r>
    </w:p>
    <w:p w14:paraId="56A23E00" w14:textId="43A6B97E" w:rsidR="009F7511" w:rsidRPr="00EE1749" w:rsidRDefault="009F7511" w:rsidP="00434A6A">
      <w:pPr>
        <w:rPr>
          <w:rFonts w:cs="Arial"/>
          <w:sz w:val="16"/>
          <w:szCs w:val="16"/>
          <w:rtl/>
        </w:rPr>
      </w:pPr>
      <w:r w:rsidRPr="009F7511">
        <w:rPr>
          <w:rFonts w:cs="Arial" w:hint="cs"/>
          <w:b/>
          <w:bCs/>
          <w:rtl/>
        </w:rPr>
        <w:t xml:space="preserve">ערובין </w:t>
      </w:r>
      <w:r>
        <w:rPr>
          <w:rFonts w:cs="Arial" w:hint="cs"/>
          <w:b/>
          <w:bCs/>
          <w:sz w:val="16"/>
          <w:szCs w:val="16"/>
          <w:rtl/>
        </w:rPr>
        <w:t xml:space="preserve">(פ' בתרא) </w:t>
      </w:r>
      <w:r w:rsidRPr="009F7511">
        <w:rPr>
          <w:rFonts w:cs="Arial" w:hint="cs"/>
          <w:b/>
          <w:bCs/>
          <w:rtl/>
        </w:rPr>
        <w:t xml:space="preserve">קב ע"א: </w:t>
      </w:r>
      <w:r w:rsidRPr="009F7511">
        <w:rPr>
          <w:rFonts w:cs="Arial"/>
          <w:rtl/>
        </w:rPr>
        <w:t>ההוא שריתא</w:t>
      </w:r>
      <w:r>
        <w:rPr>
          <w:rStyle w:val="a9"/>
          <w:rFonts w:cs="Arial"/>
          <w:rtl/>
        </w:rPr>
        <w:footnoteReference w:id="1323"/>
      </w:r>
      <w:r w:rsidRPr="009F7511">
        <w:rPr>
          <w:rFonts w:cs="Arial"/>
          <w:rtl/>
        </w:rPr>
        <w:t xml:space="preserve"> דהוה בי רבי פדת, דהוה מדלו לה בי עשרה</w:t>
      </w:r>
      <w:r>
        <w:rPr>
          <w:rStyle w:val="a9"/>
          <w:rFonts w:cs="Arial"/>
          <w:rtl/>
        </w:rPr>
        <w:footnoteReference w:id="1324"/>
      </w:r>
      <w:r w:rsidRPr="009F7511">
        <w:rPr>
          <w:rFonts w:cs="Arial"/>
          <w:rtl/>
        </w:rPr>
        <w:t xml:space="preserve"> ושדו לה אדשא</w:t>
      </w:r>
      <w:r>
        <w:rPr>
          <w:rStyle w:val="a9"/>
          <w:rFonts w:cs="Arial"/>
          <w:rtl/>
        </w:rPr>
        <w:footnoteReference w:id="1325"/>
      </w:r>
      <w:r w:rsidRPr="009F7511">
        <w:rPr>
          <w:rFonts w:cs="Arial"/>
          <w:rtl/>
        </w:rPr>
        <w:t>, ולא אמר להו ולא מידי. אמר: תורת כלי</w:t>
      </w:r>
      <w:r>
        <w:rPr>
          <w:rStyle w:val="a9"/>
          <w:rFonts w:cs="Arial"/>
          <w:rtl/>
        </w:rPr>
        <w:footnoteReference w:id="1326"/>
      </w:r>
      <w:r w:rsidRPr="009F7511">
        <w:rPr>
          <w:rFonts w:cs="Arial"/>
          <w:rtl/>
        </w:rPr>
        <w:t xml:space="preserve"> עליה. ההיא אסיתא</w:t>
      </w:r>
      <w:r w:rsidR="0079459D">
        <w:rPr>
          <w:rStyle w:val="a9"/>
          <w:rFonts w:cs="Arial"/>
          <w:rtl/>
        </w:rPr>
        <w:footnoteReference w:id="1327"/>
      </w:r>
      <w:r w:rsidRPr="009F7511">
        <w:rPr>
          <w:rFonts w:cs="Arial"/>
          <w:rtl/>
        </w:rPr>
        <w:t xml:space="preserve"> דהות בי מר שמואל, דהוה מחזקת אדריבא</w:t>
      </w:r>
      <w:r w:rsidR="0079459D">
        <w:rPr>
          <w:rStyle w:val="a9"/>
          <w:rFonts w:cs="Arial"/>
          <w:rtl/>
        </w:rPr>
        <w:footnoteReference w:id="1328"/>
      </w:r>
      <w:r w:rsidRPr="009F7511">
        <w:rPr>
          <w:rFonts w:cs="Arial"/>
          <w:rtl/>
        </w:rPr>
        <w:t>, שרא מר שמואל למישדייה אדשא, אמר: תורת כלי עליה.</w:t>
      </w:r>
      <w:r w:rsidR="0079459D" w:rsidRPr="0079459D">
        <w:rPr>
          <w:rFonts w:cs="Arial"/>
          <w:sz w:val="16"/>
          <w:szCs w:val="16"/>
          <w:rtl/>
        </w:rPr>
        <w:t xml:space="preserve"> </w:t>
      </w:r>
      <w:r w:rsidR="0079459D">
        <w:rPr>
          <w:rFonts w:cs="Arial" w:hint="cs"/>
          <w:sz w:val="16"/>
          <w:szCs w:val="16"/>
          <w:rtl/>
        </w:rPr>
        <w:t>(</w:t>
      </w:r>
      <w:r w:rsidR="0079459D" w:rsidRPr="0079459D">
        <w:rPr>
          <w:rFonts w:cs="Arial"/>
          <w:sz w:val="16"/>
          <w:szCs w:val="16"/>
          <w:rtl/>
        </w:rPr>
        <w:t>וכתבום הרי"ף (מט:) והרא"ש (סי' י) בפרק כל הכלים</w:t>
      </w:r>
      <w:r w:rsidR="00F424BB">
        <w:rPr>
          <w:rFonts w:cs="Arial" w:hint="cs"/>
          <w:sz w:val="16"/>
          <w:szCs w:val="16"/>
          <w:rtl/>
        </w:rPr>
        <w:t>.</w:t>
      </w:r>
      <w:r w:rsidR="0079459D" w:rsidRPr="0079459D">
        <w:rPr>
          <w:rFonts w:cs="Arial"/>
          <w:sz w:val="16"/>
          <w:szCs w:val="16"/>
          <w:rtl/>
        </w:rPr>
        <w:t xml:space="preserve"> וכתב ה</w:t>
      </w:r>
      <w:r w:rsidR="00EE1749">
        <w:rPr>
          <w:rFonts w:cs="Arial" w:hint="cs"/>
          <w:sz w:val="16"/>
          <w:szCs w:val="16"/>
          <w:rtl/>
        </w:rPr>
        <w:t>ה"מ</w:t>
      </w:r>
      <w:r w:rsidR="0079459D" w:rsidRPr="0079459D">
        <w:rPr>
          <w:rFonts w:cs="Arial"/>
          <w:sz w:val="16"/>
          <w:szCs w:val="16"/>
          <w:rtl/>
        </w:rPr>
        <w:t xml:space="preserve"> בפכ"ה (ה"ו) שהקשו המפרשים מדאמרינן בס</w:t>
      </w:r>
      <w:r w:rsidR="00EE1749">
        <w:rPr>
          <w:rFonts w:cs="Arial" w:hint="cs"/>
          <w:sz w:val="16"/>
          <w:szCs w:val="16"/>
          <w:rtl/>
        </w:rPr>
        <w:t>"</w:t>
      </w:r>
      <w:r w:rsidR="0079459D" w:rsidRPr="0079459D">
        <w:rPr>
          <w:rFonts w:cs="Arial"/>
          <w:sz w:val="16"/>
          <w:szCs w:val="16"/>
          <w:rtl/>
        </w:rPr>
        <w:t>פ במה מדליקין (לה.) שנחלקו רבה ורב יוסף אם מותר לטלטל כוורת בת שלשה כורין ובבת ארבעה שוין לאיסור</w:t>
      </w:r>
      <w:r w:rsidR="00EE1749">
        <w:rPr>
          <w:rFonts w:cs="Arial" w:hint="cs"/>
          <w:sz w:val="16"/>
          <w:szCs w:val="16"/>
          <w:rtl/>
        </w:rPr>
        <w:t>.</w:t>
      </w:r>
      <w:r w:rsidR="0079459D" w:rsidRPr="0079459D">
        <w:rPr>
          <w:rFonts w:cs="Arial"/>
          <w:sz w:val="16"/>
          <w:szCs w:val="16"/>
          <w:rtl/>
        </w:rPr>
        <w:t xml:space="preserve"> ותירצו בתוספות (עירובין קב. ד"ה ההוא שריתא) דכוורת אין דרכה לטלטלה וכל שגדולה כל כך אסור לטלטלה בשבת</w:t>
      </w:r>
      <w:r w:rsidR="00EE1749">
        <w:rPr>
          <w:rFonts w:cs="Arial" w:hint="cs"/>
          <w:sz w:val="16"/>
          <w:szCs w:val="16"/>
          <w:rtl/>
        </w:rPr>
        <w:t>,</w:t>
      </w:r>
      <w:r w:rsidR="0079459D" w:rsidRPr="0079459D">
        <w:rPr>
          <w:rFonts w:cs="Arial"/>
          <w:sz w:val="16"/>
          <w:szCs w:val="16"/>
          <w:rtl/>
        </w:rPr>
        <w:t xml:space="preserve"> אבל קורה זו דרכן היתה לטלטלה בכל שעה לסגור הדלת אף בשבת מטלטלין אותה הואיל ויש תורת כלי עליה</w:t>
      </w:r>
      <w:r w:rsidR="002C190A">
        <w:rPr>
          <w:rFonts w:cs="Arial" w:hint="cs"/>
          <w:sz w:val="16"/>
          <w:szCs w:val="16"/>
          <w:rtl/>
        </w:rPr>
        <w:t>.</w:t>
      </w:r>
      <w:r w:rsidR="0079459D" w:rsidRPr="0079459D">
        <w:rPr>
          <w:rFonts w:cs="Arial"/>
          <w:sz w:val="16"/>
          <w:szCs w:val="16"/>
          <w:rtl/>
        </w:rPr>
        <w:t xml:space="preserve"> ומדברי ההלכות ורבינו שלא הזכירו כלל הא דפרק במה מדליקין (לה.) נראה לי שהם סוברים שמימרות אלו אין להם עיקר</w:t>
      </w:r>
      <w:r w:rsidR="00EE1749">
        <w:rPr>
          <w:rFonts w:cs="Arial" w:hint="cs"/>
          <w:sz w:val="16"/>
          <w:szCs w:val="16"/>
          <w:rtl/>
        </w:rPr>
        <w:t>,</w:t>
      </w:r>
      <w:r w:rsidR="0079459D" w:rsidRPr="0079459D">
        <w:rPr>
          <w:rFonts w:cs="Arial"/>
          <w:sz w:val="16"/>
          <w:szCs w:val="16"/>
          <w:rtl/>
        </w:rPr>
        <w:t xml:space="preserve"> ורבה ורב יוסף הוא שמחמירין בטלטול ואין הלכה כמותן</w:t>
      </w:r>
      <w:r w:rsidR="00EE1749">
        <w:rPr>
          <w:rFonts w:cs="Arial" w:hint="cs"/>
          <w:sz w:val="16"/>
          <w:szCs w:val="16"/>
          <w:rtl/>
        </w:rPr>
        <w:t>,</w:t>
      </w:r>
      <w:r w:rsidR="0079459D" w:rsidRPr="0079459D">
        <w:rPr>
          <w:rFonts w:cs="Arial"/>
          <w:sz w:val="16"/>
          <w:szCs w:val="16"/>
          <w:rtl/>
        </w:rPr>
        <w:t xml:space="preserve"> וכן עיקר עכ"ל</w:t>
      </w:r>
      <w:r w:rsidR="002C190A">
        <w:rPr>
          <w:rFonts w:cs="Arial" w:hint="cs"/>
          <w:sz w:val="14"/>
          <w:szCs w:val="14"/>
          <w:rtl/>
        </w:rPr>
        <w:t xml:space="preserve"> [הה"מ]</w:t>
      </w:r>
      <w:r w:rsidR="0079459D">
        <w:rPr>
          <w:rFonts w:cs="Arial" w:hint="cs"/>
          <w:sz w:val="16"/>
          <w:szCs w:val="16"/>
          <w:rtl/>
        </w:rPr>
        <w:t>, ב"י)</w:t>
      </w:r>
    </w:p>
    <w:p w14:paraId="105827D2" w14:textId="5DD48EF1" w:rsidR="00F52A11" w:rsidRPr="007321BF" w:rsidRDefault="007321BF" w:rsidP="00434A6A">
      <w:pPr>
        <w:rPr>
          <w:u w:val="single"/>
          <w:rtl/>
        </w:rPr>
      </w:pPr>
      <w:r>
        <w:rPr>
          <w:rFonts w:hint="cs"/>
          <w:u w:val="single"/>
          <w:rtl/>
        </w:rPr>
        <w:t xml:space="preserve">האם מותר לטלטל </w:t>
      </w:r>
      <w:r w:rsidRPr="007321BF">
        <w:rPr>
          <w:rFonts w:hint="cs"/>
          <w:u w:val="single"/>
          <w:rtl/>
        </w:rPr>
        <w:t>כלי גדול או כבד:</w:t>
      </w:r>
    </w:p>
    <w:p w14:paraId="64A89E43" w14:textId="3820B629" w:rsidR="00F63421" w:rsidRPr="0079459D" w:rsidRDefault="00511A5A" w:rsidP="00434A6A">
      <w:pPr>
        <w:pStyle w:val="aa"/>
        <w:numPr>
          <w:ilvl w:val="0"/>
          <w:numId w:val="3"/>
        </w:numPr>
        <w:rPr>
          <w:rtl/>
        </w:rPr>
      </w:pPr>
      <w:r w:rsidRPr="00511A5A">
        <w:rPr>
          <w:rFonts w:cs="Arial" w:hint="cs"/>
          <w:rtl/>
        </w:rPr>
        <w:t xml:space="preserve">טור- </w:t>
      </w:r>
      <w:r w:rsidR="00F63421" w:rsidRPr="00511A5A">
        <w:rPr>
          <w:rFonts w:cs="Arial"/>
          <w:rtl/>
        </w:rPr>
        <w:t>וכל דבר שהוא כלי אפילו הוא גדול וכבד הרבה לא נתבטל שם כלי ממנו לא מפני גדלו ולא מפני כובדו</w:t>
      </w:r>
      <w:r w:rsidR="00F63421" w:rsidRPr="00511A5A">
        <w:rPr>
          <w:rFonts w:cs="Arial" w:hint="cs"/>
          <w:rtl/>
        </w:rPr>
        <w:t>.</w:t>
      </w:r>
      <w:r w:rsidR="00F63421" w:rsidRPr="0079459D">
        <w:rPr>
          <w:rFonts w:cs="Arial"/>
          <w:rtl/>
        </w:rPr>
        <w:t xml:space="preserve"> </w:t>
      </w:r>
      <w:r w:rsidR="002C190A" w:rsidRPr="002C190A">
        <w:rPr>
          <w:rFonts w:hint="cs"/>
          <w:color w:val="E36C0A" w:themeColor="accent6" w:themeShade="BF"/>
          <w:rtl/>
        </w:rPr>
        <w:t>(וכ"פ בשו"ע)</w:t>
      </w:r>
    </w:p>
    <w:p w14:paraId="33CC586B"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4168BFD0" w14:textId="2A287B24" w:rsidR="000C6229" w:rsidRPr="005275DF" w:rsidRDefault="000C6229" w:rsidP="00434A6A">
      <w:pPr>
        <w:rPr>
          <w:rFonts w:asciiTheme="minorBidi" w:hAnsiTheme="minorBidi"/>
          <w:rtl/>
        </w:rPr>
      </w:pPr>
      <w:r w:rsidRPr="005275DF">
        <w:rPr>
          <w:rFonts w:asciiTheme="minorBidi" w:hAnsiTheme="minorBidi"/>
          <w:rtl/>
        </w:rPr>
        <w:t>כל כלי, אפי</w:t>
      </w:r>
      <w:r w:rsidR="00511A5A">
        <w:rPr>
          <w:rFonts w:asciiTheme="minorBidi" w:hAnsiTheme="minorBidi" w:hint="cs"/>
          <w:rtl/>
        </w:rPr>
        <w:t>לו</w:t>
      </w:r>
      <w:r w:rsidRPr="005275DF">
        <w:rPr>
          <w:rFonts w:asciiTheme="minorBidi" w:hAnsiTheme="minorBidi"/>
          <w:rtl/>
        </w:rPr>
        <w:t xml:space="preserve"> הוא גדול וכבד הרבה</w:t>
      </w:r>
      <w:r w:rsidR="00357CCA">
        <w:rPr>
          <w:rStyle w:val="a9"/>
          <w:rFonts w:asciiTheme="minorBidi" w:hAnsiTheme="minorBidi"/>
          <w:rtl/>
        </w:rPr>
        <w:footnoteReference w:id="1329"/>
      </w:r>
      <w:r w:rsidRPr="005275DF">
        <w:rPr>
          <w:rFonts w:asciiTheme="minorBidi" w:hAnsiTheme="minorBidi"/>
          <w:rtl/>
        </w:rPr>
        <w:t xml:space="preserve">, לא נתבטל שם כלי ממנו לא מפני גדלו ולא מפני כבדו. </w:t>
      </w:r>
    </w:p>
    <w:p w14:paraId="6A935837" w14:textId="77777777" w:rsidR="000C6229" w:rsidRPr="005275DF" w:rsidRDefault="000C6229" w:rsidP="00434A6A">
      <w:pPr>
        <w:rPr>
          <w:rFonts w:asciiTheme="minorBidi" w:hAnsiTheme="minorBidi"/>
          <w:rtl/>
        </w:rPr>
      </w:pPr>
    </w:p>
    <w:p w14:paraId="31AC2507" w14:textId="6DA7C876" w:rsidR="000C6229" w:rsidRDefault="000C6229" w:rsidP="00434A6A">
      <w:pPr>
        <w:pStyle w:val="2"/>
        <w:rPr>
          <w:rtl/>
        </w:rPr>
      </w:pPr>
      <w:r w:rsidRPr="005275DF">
        <w:rPr>
          <w:rtl/>
        </w:rPr>
        <w:t>סעיף ג</w:t>
      </w:r>
      <w:r w:rsidR="00F63421">
        <w:rPr>
          <w:rFonts w:hint="cs"/>
          <w:rtl/>
        </w:rPr>
        <w:t>:</w:t>
      </w:r>
      <w:r w:rsidR="00357CCA">
        <w:rPr>
          <w:rFonts w:hint="cs"/>
          <w:rtl/>
        </w:rPr>
        <w:t xml:space="preserve"> כלי שמלאכתו לאיסור.</w:t>
      </w:r>
    </w:p>
    <w:p w14:paraId="7F46D1E0" w14:textId="77777777" w:rsidR="0057553A" w:rsidRDefault="0057553A" w:rsidP="00434A6A">
      <w:pPr>
        <w:rPr>
          <w:rFonts w:cs="Arial"/>
          <w:rtl/>
        </w:rPr>
      </w:pPr>
      <w:r w:rsidRPr="00752724">
        <w:rPr>
          <w:rFonts w:cs="Arial" w:hint="cs"/>
          <w:b/>
          <w:bCs/>
          <w:rtl/>
        </w:rPr>
        <w:t xml:space="preserve">שבת </w:t>
      </w:r>
      <w:r w:rsidRPr="00752724">
        <w:rPr>
          <w:rFonts w:cs="Arial" w:hint="cs"/>
          <w:b/>
          <w:bCs/>
          <w:sz w:val="16"/>
          <w:szCs w:val="16"/>
          <w:rtl/>
        </w:rPr>
        <w:t>(פ' כל הכלים)</w:t>
      </w:r>
      <w:r w:rsidRPr="00752724">
        <w:rPr>
          <w:rFonts w:cs="Arial" w:hint="cs"/>
          <w:b/>
          <w:bCs/>
          <w:rtl/>
        </w:rPr>
        <w:t xml:space="preserve"> קכ</w:t>
      </w:r>
      <w:r>
        <w:rPr>
          <w:rFonts w:cs="Arial" w:hint="cs"/>
          <w:b/>
          <w:bCs/>
          <w:rtl/>
        </w:rPr>
        <w:t>ב</w:t>
      </w:r>
      <w:r w:rsidRPr="00752724">
        <w:rPr>
          <w:rFonts w:cs="Arial" w:hint="cs"/>
          <w:b/>
          <w:bCs/>
          <w:rtl/>
        </w:rPr>
        <w:t xml:space="preserve"> ע"ב:</w:t>
      </w:r>
      <w:r>
        <w:rPr>
          <w:rFonts w:cs="Arial" w:hint="cs"/>
          <w:rtl/>
        </w:rPr>
        <w:t xml:space="preserve"> </w:t>
      </w:r>
      <w:r w:rsidRPr="00752724">
        <w:rPr>
          <w:rFonts w:cs="Arial"/>
          <w:u w:val="double"/>
          <w:rtl/>
        </w:rPr>
        <w:t>משנה</w:t>
      </w:r>
      <w:r>
        <w:rPr>
          <w:rFonts w:cs="Arial" w:hint="cs"/>
          <w:rtl/>
        </w:rPr>
        <w:t xml:space="preserve">: </w:t>
      </w:r>
      <w:r w:rsidRPr="005D6B1D">
        <w:rPr>
          <w:rFonts w:cs="Arial"/>
          <w:rtl/>
        </w:rPr>
        <w:t>כל הכלים ניטלין לצורך ושלא לצורך</w:t>
      </w:r>
      <w:r>
        <w:rPr>
          <w:rFonts w:cs="Arial" w:hint="cs"/>
          <w:rtl/>
        </w:rPr>
        <w:t>.</w:t>
      </w:r>
      <w:r w:rsidRPr="005D6B1D">
        <w:rPr>
          <w:rFonts w:cs="Arial"/>
          <w:rtl/>
        </w:rPr>
        <w:t xml:space="preserve"> </w:t>
      </w:r>
      <w:r w:rsidRPr="005D6B1D">
        <w:rPr>
          <w:rFonts w:cs="Arial"/>
          <w:u w:val="single"/>
          <w:rtl/>
        </w:rPr>
        <w:t>רבי נחמיה אומר</w:t>
      </w:r>
      <w:r w:rsidRPr="005D6B1D">
        <w:rPr>
          <w:rFonts w:cs="Arial"/>
          <w:rtl/>
        </w:rPr>
        <w:t>: אין ניטלין אלא לצורך.</w:t>
      </w:r>
      <w:r>
        <w:rPr>
          <w:rFonts w:cs="Arial" w:hint="cs"/>
          <w:rtl/>
        </w:rPr>
        <w:t xml:space="preserve">        </w:t>
      </w:r>
      <w:r w:rsidRPr="005D6B1D">
        <w:rPr>
          <w:rFonts w:cs="Arial"/>
          <w:u w:val="double"/>
          <w:rtl/>
        </w:rPr>
        <w:t>גמרא</w:t>
      </w:r>
      <w:r>
        <w:rPr>
          <w:rFonts w:cs="Arial" w:hint="cs"/>
          <w:rtl/>
        </w:rPr>
        <w:t>:</w:t>
      </w:r>
      <w:r w:rsidRPr="005D6B1D">
        <w:rPr>
          <w:rFonts w:cs="Arial"/>
          <w:rtl/>
        </w:rPr>
        <w:t xml:space="preserve"> מאי לצורך ומאי שלא לצורך? </w:t>
      </w:r>
      <w:r w:rsidRPr="005D6B1D">
        <w:rPr>
          <w:rFonts w:cs="Arial"/>
          <w:u w:val="single"/>
          <w:rtl/>
        </w:rPr>
        <w:t xml:space="preserve">אמר </w:t>
      </w:r>
      <w:r>
        <w:rPr>
          <w:rStyle w:val="a9"/>
          <w:rFonts w:cs="Arial"/>
          <w:u w:val="single"/>
          <w:rtl/>
        </w:rPr>
        <w:footnoteReference w:id="1330"/>
      </w:r>
      <w:r>
        <w:rPr>
          <w:rFonts w:cs="Arial" w:hint="cs"/>
          <w:u w:val="single"/>
          <w:rtl/>
        </w:rPr>
        <w:t>[</w:t>
      </w:r>
      <w:r w:rsidRPr="005D6B1D">
        <w:rPr>
          <w:rFonts w:cs="Arial"/>
          <w:u w:val="single"/>
          <w:rtl/>
        </w:rPr>
        <w:t>רבה</w:t>
      </w:r>
      <w:r>
        <w:rPr>
          <w:rFonts w:cs="Arial" w:hint="cs"/>
          <w:u w:val="single"/>
          <w:rtl/>
        </w:rPr>
        <w:t>]</w:t>
      </w:r>
      <w:r w:rsidRPr="005D6B1D">
        <w:rPr>
          <w:rFonts w:cs="Arial"/>
          <w:rtl/>
        </w:rPr>
        <w:t xml:space="preserve">: לצורך - דבר שמלאכתו להיתר לצורך גופו. שלא לצורך - דבר שמלאכתו להיתר לצורך מקומו. ודבר שמלאכתו לאיסור, לצורך גופו - אין, לצורך מקומו - לא. ואתא רבי נחמיה למימר: ואפילו דבר שמלאכתו להיתר, לצורך גופו - אין, לצורך מקומו - לא. </w:t>
      </w:r>
      <w:r w:rsidRPr="005D6B1D">
        <w:rPr>
          <w:rFonts w:cs="Arial"/>
          <w:u w:val="single"/>
          <w:rtl/>
        </w:rPr>
        <w:t>אמר ליה רבא</w:t>
      </w:r>
      <w:r w:rsidRPr="005D6B1D">
        <w:rPr>
          <w:rFonts w:cs="Arial"/>
          <w:rtl/>
        </w:rPr>
        <w:t xml:space="preserve">: לצורך מקומו שלא לצורך קרית ליה? </w:t>
      </w:r>
      <w:r w:rsidRPr="005D6B1D">
        <w:rPr>
          <w:rFonts w:cs="Arial"/>
          <w:u w:val="single"/>
          <w:rtl/>
        </w:rPr>
        <w:t>אלא אמר רבא</w:t>
      </w:r>
      <w:r w:rsidRPr="005D6B1D">
        <w:rPr>
          <w:rFonts w:cs="Arial"/>
          <w:rtl/>
        </w:rPr>
        <w:t>: לצורך - דבר שמלאכתו להיתר, בין לצורך גופו בין לצורך מקומו. שלא לצורך - ואפילו מחמה לצל. ודבר שמלאכתו לאיסור לצורך גופו ולצורך מקומו - אין, מחמה לצל - לא. ואתא רבי נחמיה למימר: ואפילו דבר שמלאכתו להיתר, לצורך גופו ולצורך מקומו - אין, מחמה לצל - לא.</w:t>
      </w:r>
    </w:p>
    <w:p w14:paraId="3028D963" w14:textId="756F2EB5" w:rsidR="00357CCA" w:rsidRPr="00357CCA" w:rsidRDefault="00357CCA" w:rsidP="00434A6A">
      <w:pPr>
        <w:rPr>
          <w:u w:val="single"/>
          <w:rtl/>
        </w:rPr>
      </w:pPr>
      <w:r w:rsidRPr="00357CCA">
        <w:rPr>
          <w:rFonts w:hint="cs"/>
          <w:u w:val="single"/>
          <w:rtl/>
        </w:rPr>
        <w:t>כלי שמלאכתו לאיסור:</w:t>
      </w:r>
    </w:p>
    <w:p w14:paraId="454D16FC" w14:textId="63282D60" w:rsidR="0057553A" w:rsidRDefault="00511A5A" w:rsidP="00434A6A">
      <w:pPr>
        <w:pStyle w:val="aa"/>
        <w:numPr>
          <w:ilvl w:val="0"/>
          <w:numId w:val="3"/>
        </w:numPr>
        <w:rPr>
          <w:rFonts w:cs="Arial"/>
        </w:rPr>
      </w:pPr>
      <w:r w:rsidRPr="00511A5A">
        <w:rPr>
          <w:rFonts w:cs="Arial" w:hint="cs"/>
          <w:rtl/>
        </w:rPr>
        <w:t xml:space="preserve">טור- </w:t>
      </w:r>
      <w:r w:rsidR="004664A5" w:rsidRPr="00511A5A">
        <w:rPr>
          <w:rFonts w:cs="Arial"/>
          <w:rtl/>
        </w:rPr>
        <w:t>כלי שמלאכתו לאיסור יכול לטלטלו בין לצורך גופו בין לצורך מקומו</w:t>
      </w:r>
      <w:r w:rsidR="00795D82">
        <w:rPr>
          <w:rFonts w:cs="Arial" w:hint="cs"/>
          <w:rtl/>
        </w:rPr>
        <w:t>.</w:t>
      </w:r>
      <w:r w:rsidR="004664A5" w:rsidRPr="00511A5A">
        <w:rPr>
          <w:rFonts w:cs="Arial"/>
          <w:rtl/>
        </w:rPr>
        <w:t xml:space="preserve"> לצורך גופו</w:t>
      </w:r>
      <w:r w:rsidR="00795D82">
        <w:rPr>
          <w:rFonts w:cs="Arial" w:hint="cs"/>
          <w:rtl/>
        </w:rPr>
        <w:t>,</w:t>
      </w:r>
      <w:r w:rsidR="004664A5" w:rsidRPr="00511A5A">
        <w:rPr>
          <w:rFonts w:cs="Arial"/>
          <w:rtl/>
        </w:rPr>
        <w:t xml:space="preserve"> כגון קורנס של נפחים או של זהבים לפצוע בו אגוזים</w:t>
      </w:r>
      <w:r w:rsidR="00795D82">
        <w:rPr>
          <w:rFonts w:cs="Arial" w:hint="cs"/>
          <w:rtl/>
        </w:rPr>
        <w:t>,</w:t>
      </w:r>
      <w:r w:rsidR="004664A5" w:rsidRPr="00511A5A">
        <w:rPr>
          <w:rFonts w:cs="Arial"/>
          <w:rtl/>
        </w:rPr>
        <w:t xml:space="preserve"> או קורדם לחתוך בו דבלה וכיוצא בזה</w:t>
      </w:r>
      <w:r w:rsidR="00795D82">
        <w:rPr>
          <w:rFonts w:cs="Arial" w:hint="cs"/>
          <w:rtl/>
        </w:rPr>
        <w:t>.</w:t>
      </w:r>
      <w:r w:rsidR="004664A5" w:rsidRPr="00511A5A">
        <w:rPr>
          <w:rFonts w:cs="Arial"/>
          <w:rtl/>
        </w:rPr>
        <w:t xml:space="preserve"> בין לצורך מקומו</w:t>
      </w:r>
      <w:r w:rsidR="00795D82">
        <w:rPr>
          <w:rFonts w:cs="Arial" w:hint="cs"/>
          <w:rtl/>
        </w:rPr>
        <w:t>,</w:t>
      </w:r>
      <w:r w:rsidR="004664A5" w:rsidRPr="00511A5A">
        <w:rPr>
          <w:rFonts w:cs="Arial"/>
          <w:rtl/>
        </w:rPr>
        <w:t xml:space="preserve"> כגון שצריך להשתמש במקום שהכלי מונח שם</w:t>
      </w:r>
      <w:r w:rsidR="00795D82">
        <w:rPr>
          <w:rFonts w:cs="Arial" w:hint="cs"/>
          <w:rtl/>
        </w:rPr>
        <w:t>.</w:t>
      </w:r>
      <w:r w:rsidR="004664A5" w:rsidRPr="00511A5A">
        <w:rPr>
          <w:rFonts w:cs="Arial"/>
          <w:rtl/>
        </w:rPr>
        <w:t xml:space="preserve"> אבל אם אינו צריך לגופו ולא למקומו אלא שרוצה להוציאו משם מפני שירא שישבר שם או שיגנב משם</w:t>
      </w:r>
      <w:r w:rsidR="00795D82">
        <w:rPr>
          <w:rFonts w:cs="Arial" w:hint="cs"/>
          <w:rtl/>
        </w:rPr>
        <w:t>,</w:t>
      </w:r>
      <w:r w:rsidR="004664A5" w:rsidRPr="00511A5A">
        <w:rPr>
          <w:rFonts w:cs="Arial"/>
          <w:rtl/>
        </w:rPr>
        <w:t xml:space="preserve"> או אפי' אם צריך לו והוא דבר שמקפיד עליו שלא לעשות בו אלא מלאכתו כגון קורנס של בשמים שחושש עליו שלא יתלכלך </w:t>
      </w:r>
      <w:r w:rsidR="00795D82">
        <w:rPr>
          <w:rFonts w:cs="Arial" w:hint="cs"/>
          <w:rtl/>
        </w:rPr>
        <w:t xml:space="preserve">- </w:t>
      </w:r>
      <w:r w:rsidR="004664A5" w:rsidRPr="00511A5A">
        <w:rPr>
          <w:rFonts w:cs="Arial"/>
          <w:rtl/>
        </w:rPr>
        <w:t>אסור</w:t>
      </w:r>
      <w:r w:rsidR="00467B6B">
        <w:rPr>
          <w:rFonts w:cs="Arial" w:hint="cs"/>
          <w:rtl/>
        </w:rPr>
        <w:t>.</w:t>
      </w:r>
      <w:r w:rsidR="0060692B" w:rsidRPr="0060692B">
        <w:rPr>
          <w:rFonts w:hint="cs"/>
          <w:color w:val="E36C0A" w:themeColor="accent6" w:themeShade="BF"/>
          <w:rtl/>
        </w:rPr>
        <w:t xml:space="preserve"> </w:t>
      </w:r>
      <w:r w:rsidR="0060692B" w:rsidRPr="002C190A">
        <w:rPr>
          <w:rFonts w:hint="cs"/>
          <w:color w:val="E36C0A" w:themeColor="accent6" w:themeShade="BF"/>
          <w:rtl/>
        </w:rPr>
        <w:t>(וכ"פ בשו"ע)</w:t>
      </w:r>
    </w:p>
    <w:p w14:paraId="1761A168" w14:textId="2E620A4D" w:rsidR="00D00EA7" w:rsidRPr="00E166F9" w:rsidRDefault="00D00EA7" w:rsidP="00434A6A">
      <w:pPr>
        <w:rPr>
          <w:rFonts w:cs="Arial"/>
          <w:sz w:val="16"/>
          <w:szCs w:val="16"/>
        </w:rPr>
      </w:pPr>
      <w:r w:rsidRPr="00D00EA7">
        <w:rPr>
          <w:rFonts w:cs="Arial" w:hint="cs"/>
          <w:b/>
          <w:bCs/>
          <w:rtl/>
        </w:rPr>
        <w:t xml:space="preserve">ביצה </w:t>
      </w:r>
      <w:r w:rsidRPr="00D00EA7">
        <w:rPr>
          <w:rFonts w:cs="Arial" w:hint="cs"/>
          <w:b/>
          <w:bCs/>
          <w:sz w:val="16"/>
          <w:szCs w:val="16"/>
          <w:rtl/>
        </w:rPr>
        <w:t>(פ"ק)</w:t>
      </w:r>
      <w:r w:rsidRPr="00D00EA7">
        <w:rPr>
          <w:rFonts w:cs="Arial" w:hint="cs"/>
          <w:b/>
          <w:bCs/>
          <w:rtl/>
        </w:rPr>
        <w:t xml:space="preserve"> ג ע"ב:</w:t>
      </w:r>
      <w:r>
        <w:rPr>
          <w:rFonts w:cs="Arial" w:hint="cs"/>
          <w:rtl/>
        </w:rPr>
        <w:t xml:space="preserve"> </w:t>
      </w:r>
      <w:r w:rsidRPr="00D00EA7">
        <w:rPr>
          <w:rFonts w:cs="Arial"/>
          <w:rtl/>
        </w:rPr>
        <w:t>מיתיבי: אחד ביצה שנולדה בשבת ואחד ביצה שנולדה ביום טוב אין מטלטלין אותה לא לכסות בה את הכלי, ולא לסמוך בה כרעי המטה. אבל כופה עליה את הכלי בשביל שלא תשבר</w:t>
      </w:r>
      <w:r w:rsidR="00E166F9">
        <w:rPr>
          <w:rStyle w:val="a9"/>
          <w:rFonts w:cs="Arial"/>
          <w:rtl/>
        </w:rPr>
        <w:footnoteReference w:id="1331"/>
      </w:r>
      <w:r w:rsidRPr="00D00EA7">
        <w:rPr>
          <w:rFonts w:cs="Arial"/>
          <w:rtl/>
        </w:rPr>
        <w:t>.</w:t>
      </w:r>
      <w:r w:rsidR="00E166F9">
        <w:rPr>
          <w:rFonts w:cs="Arial" w:hint="cs"/>
          <w:sz w:val="16"/>
          <w:szCs w:val="16"/>
          <w:rtl/>
        </w:rPr>
        <w:t xml:space="preserve"> (</w:t>
      </w:r>
      <w:r w:rsidR="00E36F80" w:rsidRPr="00E36F80">
        <w:rPr>
          <w:rFonts w:cs="Arial"/>
          <w:sz w:val="16"/>
          <w:szCs w:val="16"/>
          <w:rtl/>
        </w:rPr>
        <w:t>פירש רש"י דמהך ברייתא פריך התם לר' יצחק דאמר דאין כלי ניטל אלא לדבר הניטל</w:t>
      </w:r>
      <w:r w:rsidR="00E36F80">
        <w:rPr>
          <w:rFonts w:cs="Arial" w:hint="cs"/>
          <w:sz w:val="16"/>
          <w:szCs w:val="16"/>
          <w:rtl/>
        </w:rPr>
        <w:t>.</w:t>
      </w:r>
      <w:r w:rsidR="00E36F80" w:rsidRPr="00E36F80">
        <w:rPr>
          <w:rFonts w:cs="Arial"/>
          <w:sz w:val="16"/>
          <w:szCs w:val="16"/>
          <w:rtl/>
        </w:rPr>
        <w:t xml:space="preserve"> והוא תירץ בצריך למקומו</w:t>
      </w:r>
      <w:r w:rsidR="00E36F80">
        <w:rPr>
          <w:rFonts w:cs="Arial" w:hint="cs"/>
          <w:sz w:val="16"/>
          <w:szCs w:val="16"/>
          <w:rtl/>
        </w:rPr>
        <w:t>.</w:t>
      </w:r>
      <w:r w:rsidR="00E36F80" w:rsidRPr="00E36F80">
        <w:rPr>
          <w:rFonts w:cs="Arial"/>
          <w:sz w:val="16"/>
          <w:szCs w:val="16"/>
          <w:rtl/>
        </w:rPr>
        <w:t xml:space="preserve"> </w:t>
      </w:r>
      <w:r w:rsidR="00E166F9" w:rsidRPr="00E166F9">
        <w:rPr>
          <w:rFonts w:cs="Arial"/>
          <w:sz w:val="16"/>
          <w:szCs w:val="16"/>
          <w:rtl/>
        </w:rPr>
        <w:t>ומכאן פוסקין דהא דקי"ל דדבר שמלאכתו לאיסור אסור אינו אלא דוקא שאינו לצורך גופו או לצורך מקומו</w:t>
      </w:r>
      <w:r w:rsidR="00700F9E">
        <w:rPr>
          <w:rFonts w:cs="Arial" w:hint="cs"/>
          <w:sz w:val="16"/>
          <w:szCs w:val="16"/>
          <w:rtl/>
        </w:rPr>
        <w:t>,</w:t>
      </w:r>
      <w:r w:rsidR="00E166F9" w:rsidRPr="00E166F9">
        <w:rPr>
          <w:rFonts w:cs="Arial"/>
          <w:sz w:val="16"/>
          <w:szCs w:val="16"/>
          <w:rtl/>
        </w:rPr>
        <w:t xml:space="preserve"> אבל לצורך גופו או לצורך מקומו שרי</w:t>
      </w:r>
      <w:r w:rsidR="00587F9E">
        <w:rPr>
          <w:rFonts w:cs="Arial" w:hint="cs"/>
          <w:sz w:val="16"/>
          <w:szCs w:val="16"/>
          <w:rtl/>
        </w:rPr>
        <w:t>.</w:t>
      </w:r>
      <w:r w:rsidR="00E166F9" w:rsidRPr="00E166F9">
        <w:rPr>
          <w:rFonts w:cs="Arial"/>
          <w:sz w:val="16"/>
          <w:szCs w:val="16"/>
          <w:rtl/>
        </w:rPr>
        <w:t xml:space="preserve"> ואם התחיל לטלטלו בשביל שצריך לגופו או למקומו </w:t>
      </w:r>
      <w:r w:rsidR="00587F9E">
        <w:rPr>
          <w:rFonts w:cs="Arial" w:hint="cs"/>
          <w:sz w:val="16"/>
          <w:szCs w:val="16"/>
          <w:rtl/>
        </w:rPr>
        <w:t xml:space="preserve">- </w:t>
      </w:r>
      <w:r w:rsidR="00E166F9" w:rsidRPr="00E166F9">
        <w:rPr>
          <w:rFonts w:cs="Arial"/>
          <w:sz w:val="16"/>
          <w:szCs w:val="16"/>
          <w:rtl/>
        </w:rPr>
        <w:t>מותר להוליכו אפילו בחדרו אם ירצה</w:t>
      </w:r>
      <w:r w:rsidR="00587F9E">
        <w:rPr>
          <w:rFonts w:cs="Arial" w:hint="cs"/>
          <w:sz w:val="16"/>
          <w:szCs w:val="16"/>
          <w:rtl/>
        </w:rPr>
        <w:t>,</w:t>
      </w:r>
      <w:r w:rsidR="00E166F9" w:rsidRPr="00E166F9">
        <w:rPr>
          <w:rFonts w:cs="Arial"/>
          <w:sz w:val="16"/>
          <w:szCs w:val="16"/>
          <w:rtl/>
        </w:rPr>
        <w:t xml:space="preserve"> דהא חזינא הכא דהואיל וצריך למקומו או לגוף הכלי כופהו על הביצה</w:t>
      </w:r>
      <w:r w:rsidR="00E166F9">
        <w:rPr>
          <w:rFonts w:cs="Arial" w:hint="cs"/>
          <w:sz w:val="16"/>
          <w:szCs w:val="16"/>
          <w:rtl/>
        </w:rPr>
        <w:t>, תוס' (שם ד"ה אבל))</w:t>
      </w:r>
    </w:p>
    <w:p w14:paraId="3E40233D" w14:textId="03FD2D4B" w:rsidR="0057553A" w:rsidRPr="00D00EA7" w:rsidRDefault="0057553A" w:rsidP="00434A6A">
      <w:pPr>
        <w:rPr>
          <w:rFonts w:cs="Arial"/>
          <w:u w:val="single"/>
        </w:rPr>
      </w:pPr>
      <w:r w:rsidRPr="00D00EA7">
        <w:rPr>
          <w:rFonts w:cs="Arial" w:hint="cs"/>
          <w:u w:val="single"/>
          <w:rtl/>
        </w:rPr>
        <w:t>כשמטלטל</w:t>
      </w:r>
      <w:r w:rsidR="00B90253" w:rsidRPr="00D00EA7">
        <w:rPr>
          <w:rFonts w:cs="Arial" w:hint="cs"/>
          <w:u w:val="single"/>
          <w:rtl/>
        </w:rPr>
        <w:t xml:space="preserve"> כלי שמלאכתו לאיסור לצורך מקומו </w:t>
      </w:r>
      <w:r w:rsidR="00B90253" w:rsidRPr="00D00EA7">
        <w:rPr>
          <w:rFonts w:cs="Arial"/>
          <w:u w:val="single"/>
          <w:rtl/>
        </w:rPr>
        <w:t>–</w:t>
      </w:r>
      <w:r w:rsidR="00B90253" w:rsidRPr="00D00EA7">
        <w:rPr>
          <w:rFonts w:cs="Arial" w:hint="cs"/>
          <w:u w:val="single"/>
          <w:rtl/>
        </w:rPr>
        <w:t xml:space="preserve"> האם יכול לקחתו ל</w:t>
      </w:r>
      <w:r w:rsidR="00523A01" w:rsidRPr="00D00EA7">
        <w:rPr>
          <w:rFonts w:cs="Arial" w:hint="cs"/>
          <w:u w:val="single"/>
          <w:rtl/>
        </w:rPr>
        <w:t>היכן שירצה:</w:t>
      </w:r>
    </w:p>
    <w:p w14:paraId="2192716D" w14:textId="3157941B" w:rsidR="00E47778" w:rsidRDefault="000A238C" w:rsidP="00434A6A">
      <w:pPr>
        <w:pStyle w:val="aa"/>
        <w:numPr>
          <w:ilvl w:val="0"/>
          <w:numId w:val="3"/>
        </w:numPr>
        <w:rPr>
          <w:rFonts w:cs="Arial"/>
        </w:rPr>
      </w:pPr>
      <w:r w:rsidRPr="0057553A">
        <w:rPr>
          <w:rFonts w:cs="Arial"/>
          <w:rtl/>
        </w:rPr>
        <w:t>תוס</w:t>
      </w:r>
      <w:r>
        <w:rPr>
          <w:rFonts w:cs="Arial" w:hint="cs"/>
          <w:rtl/>
        </w:rPr>
        <w:t>'</w:t>
      </w:r>
      <w:r w:rsidRPr="0057553A">
        <w:rPr>
          <w:rFonts w:cs="Arial"/>
          <w:rtl/>
        </w:rPr>
        <w:t xml:space="preserve"> </w:t>
      </w:r>
      <w:r w:rsidRPr="00B90253">
        <w:rPr>
          <w:rFonts w:cs="Arial"/>
          <w:sz w:val="16"/>
          <w:szCs w:val="16"/>
          <w:rtl/>
        </w:rPr>
        <w:t>(</w:t>
      </w:r>
      <w:r w:rsidRPr="00B90253">
        <w:rPr>
          <w:rFonts w:cs="Arial" w:hint="cs"/>
          <w:sz w:val="16"/>
          <w:szCs w:val="16"/>
          <w:rtl/>
        </w:rPr>
        <w:t xml:space="preserve">ביצה </w:t>
      </w:r>
      <w:r w:rsidRPr="00B90253">
        <w:rPr>
          <w:rFonts w:cs="Arial"/>
          <w:sz w:val="16"/>
          <w:szCs w:val="16"/>
          <w:rtl/>
        </w:rPr>
        <w:t xml:space="preserve">ג: ד"ה אבל) </w:t>
      </w:r>
      <w:r w:rsidR="00F63421" w:rsidRPr="0057553A">
        <w:rPr>
          <w:rFonts w:cs="Arial"/>
          <w:rtl/>
        </w:rPr>
        <w:t>הה</w:t>
      </w:r>
      <w:r>
        <w:rPr>
          <w:rFonts w:cs="Arial" w:hint="cs"/>
          <w:rtl/>
        </w:rPr>
        <w:t>"</w:t>
      </w:r>
      <w:r w:rsidR="00F63421" w:rsidRPr="0057553A">
        <w:rPr>
          <w:rFonts w:cs="Arial"/>
          <w:rtl/>
        </w:rPr>
        <w:t xml:space="preserve">מ </w:t>
      </w:r>
      <w:r w:rsidRPr="00B90253">
        <w:rPr>
          <w:rFonts w:cs="Arial" w:hint="cs"/>
          <w:sz w:val="16"/>
          <w:szCs w:val="16"/>
          <w:rtl/>
        </w:rPr>
        <w:t>(</w:t>
      </w:r>
      <w:r w:rsidR="00F63421" w:rsidRPr="00B90253">
        <w:rPr>
          <w:rFonts w:cs="Arial"/>
          <w:sz w:val="16"/>
          <w:szCs w:val="16"/>
          <w:rtl/>
        </w:rPr>
        <w:t>פכ"ה ה"ה)</w:t>
      </w:r>
      <w:r w:rsidRPr="00B90253">
        <w:rPr>
          <w:rFonts w:cs="Arial" w:hint="cs"/>
          <w:sz w:val="16"/>
          <w:szCs w:val="16"/>
          <w:rtl/>
        </w:rPr>
        <w:t xml:space="preserve"> </w:t>
      </w:r>
      <w:r w:rsidRPr="0057553A">
        <w:rPr>
          <w:rFonts w:cs="Arial"/>
          <w:rtl/>
        </w:rPr>
        <w:t xml:space="preserve">ור"ן </w:t>
      </w:r>
      <w:r w:rsidRPr="00B90253">
        <w:rPr>
          <w:rFonts w:cs="Arial"/>
          <w:sz w:val="16"/>
          <w:szCs w:val="16"/>
          <w:rtl/>
        </w:rPr>
        <w:t>(</w:t>
      </w:r>
      <w:r w:rsidRPr="00B90253">
        <w:rPr>
          <w:rFonts w:cs="Arial" w:hint="cs"/>
          <w:sz w:val="16"/>
          <w:szCs w:val="16"/>
          <w:rtl/>
        </w:rPr>
        <w:t xml:space="preserve">ביצה </w:t>
      </w:r>
      <w:r w:rsidRPr="00B90253">
        <w:rPr>
          <w:rFonts w:cs="Arial"/>
          <w:sz w:val="16"/>
          <w:szCs w:val="16"/>
          <w:rtl/>
        </w:rPr>
        <w:t>ב. ד"ה ומינה)</w:t>
      </w:r>
      <w:r w:rsidR="00B90253">
        <w:rPr>
          <w:rStyle w:val="a9"/>
          <w:rFonts w:cs="Arial"/>
          <w:rtl/>
        </w:rPr>
        <w:footnoteReference w:id="1332"/>
      </w:r>
      <w:r>
        <w:rPr>
          <w:rFonts w:cs="Arial" w:hint="cs"/>
          <w:rtl/>
        </w:rPr>
        <w:t xml:space="preserve">- </w:t>
      </w:r>
      <w:r w:rsidR="00F63421" w:rsidRPr="0057553A">
        <w:rPr>
          <w:rFonts w:cs="Arial"/>
          <w:rtl/>
        </w:rPr>
        <w:t>כשהוא מטלטל כלי שמלאכתו לאיסור לצורך מקומו אין אומרים כיון שסלקו מאותו מקום שצריך לו שומטו מיד ומניחו במקומו</w:t>
      </w:r>
      <w:r w:rsidR="00D00EA7">
        <w:rPr>
          <w:rFonts w:cs="Arial" w:hint="cs"/>
          <w:rtl/>
        </w:rPr>
        <w:t>,</w:t>
      </w:r>
      <w:r w:rsidR="00F63421" w:rsidRPr="0057553A">
        <w:rPr>
          <w:rFonts w:cs="Arial"/>
          <w:rtl/>
        </w:rPr>
        <w:t xml:space="preserve"> אלא כיון שמטלטלו לצורך מקומו </w:t>
      </w:r>
      <w:r w:rsidR="00D00EA7">
        <w:rPr>
          <w:rFonts w:cs="Arial" w:hint="cs"/>
          <w:rtl/>
        </w:rPr>
        <w:t xml:space="preserve">- </w:t>
      </w:r>
      <w:r w:rsidR="00F63421" w:rsidRPr="0057553A">
        <w:rPr>
          <w:rFonts w:cs="Arial"/>
          <w:rtl/>
        </w:rPr>
        <w:t xml:space="preserve">מניחו באיזה מקום שירצה </w:t>
      </w:r>
      <w:r w:rsidR="00B90253">
        <w:rPr>
          <w:rFonts w:cs="Arial" w:hint="cs"/>
          <w:sz w:val="16"/>
          <w:szCs w:val="16"/>
          <w:rtl/>
        </w:rPr>
        <w:t>(ל' הה"מ)</w:t>
      </w:r>
      <w:r w:rsidR="0057553A" w:rsidRPr="0057553A">
        <w:rPr>
          <w:rFonts w:cs="Arial" w:hint="cs"/>
          <w:rtl/>
        </w:rPr>
        <w:t>.</w:t>
      </w:r>
    </w:p>
    <w:p w14:paraId="0F3C6757" w14:textId="273A801D" w:rsidR="00E47778" w:rsidRPr="00E47778" w:rsidRDefault="0060692B" w:rsidP="00434A6A">
      <w:pPr>
        <w:rPr>
          <w:rFonts w:cs="Arial"/>
          <w:u w:val="single"/>
        </w:rPr>
      </w:pPr>
      <w:r>
        <w:rPr>
          <w:rFonts w:cs="Arial" w:hint="cs"/>
          <w:u w:val="single"/>
          <w:rtl/>
        </w:rPr>
        <w:t xml:space="preserve">כלי שהוקצה מחמת </w:t>
      </w:r>
      <w:r w:rsidR="009316CE">
        <w:rPr>
          <w:rFonts w:cs="Arial" w:hint="cs"/>
          <w:u w:val="single"/>
          <w:rtl/>
        </w:rPr>
        <w:t>ה</w:t>
      </w:r>
      <w:r>
        <w:rPr>
          <w:rFonts w:cs="Arial" w:hint="cs"/>
          <w:u w:val="single"/>
          <w:rtl/>
        </w:rPr>
        <w:t>איסור</w:t>
      </w:r>
      <w:r w:rsidR="009316CE">
        <w:rPr>
          <w:rFonts w:cs="Arial" w:hint="cs"/>
          <w:u w:val="single"/>
          <w:rtl/>
        </w:rPr>
        <w:t xml:space="preserve"> שבו</w:t>
      </w:r>
      <w:r>
        <w:rPr>
          <w:rFonts w:cs="Arial" w:hint="cs"/>
          <w:u w:val="single"/>
          <w:rtl/>
        </w:rPr>
        <w:t xml:space="preserve"> </w:t>
      </w:r>
      <w:r w:rsidRPr="0060692B">
        <w:rPr>
          <w:rFonts w:cs="Arial" w:hint="cs"/>
          <w:sz w:val="16"/>
          <w:szCs w:val="16"/>
          <w:u w:val="single"/>
          <w:rtl/>
        </w:rPr>
        <w:t xml:space="preserve">(כגון </w:t>
      </w:r>
      <w:r w:rsidR="00E47778" w:rsidRPr="0060692B">
        <w:rPr>
          <w:rFonts w:cs="Arial" w:hint="cs"/>
          <w:sz w:val="16"/>
          <w:szCs w:val="16"/>
          <w:u w:val="single"/>
          <w:rtl/>
        </w:rPr>
        <w:t>נר שדלק מכניסת שבת וכבה</w:t>
      </w:r>
      <w:r>
        <w:rPr>
          <w:rFonts w:cs="Arial" w:hint="cs"/>
          <w:sz w:val="16"/>
          <w:szCs w:val="16"/>
          <w:u w:val="single"/>
          <w:rtl/>
        </w:rPr>
        <w:t>)</w:t>
      </w:r>
      <w:r w:rsidR="00E47778" w:rsidRPr="00E47778">
        <w:rPr>
          <w:rFonts w:cs="Arial" w:hint="cs"/>
          <w:u w:val="single"/>
          <w:rtl/>
        </w:rPr>
        <w:t xml:space="preserve"> </w:t>
      </w:r>
      <w:r w:rsidR="00E47778" w:rsidRPr="00E47778">
        <w:rPr>
          <w:rFonts w:cs="Arial"/>
          <w:u w:val="single"/>
          <w:rtl/>
        </w:rPr>
        <w:t>–</w:t>
      </w:r>
      <w:r w:rsidR="00E47778" w:rsidRPr="00E47778">
        <w:rPr>
          <w:rFonts w:cs="Arial" w:hint="cs"/>
          <w:u w:val="single"/>
          <w:rtl/>
        </w:rPr>
        <w:t xml:space="preserve"> האם מותר לטלטלו לצורך גופו או מקומו:</w:t>
      </w:r>
    </w:p>
    <w:p w14:paraId="78AFB3EF" w14:textId="053D15DE" w:rsidR="00E47778" w:rsidRDefault="006201D3" w:rsidP="00434A6A">
      <w:pPr>
        <w:pStyle w:val="aa"/>
        <w:numPr>
          <w:ilvl w:val="0"/>
          <w:numId w:val="3"/>
        </w:numPr>
        <w:rPr>
          <w:rFonts w:cs="Arial"/>
        </w:rPr>
      </w:pPr>
      <w:r w:rsidRPr="00E47778">
        <w:rPr>
          <w:rFonts w:cs="Arial"/>
          <w:rtl/>
        </w:rPr>
        <w:t xml:space="preserve">ה"ר ישעיה </w:t>
      </w:r>
      <w:r w:rsidRPr="00E47778">
        <w:rPr>
          <w:rFonts w:cs="Arial"/>
          <w:sz w:val="16"/>
          <w:szCs w:val="16"/>
          <w:rtl/>
        </w:rPr>
        <w:t>(פסקי רי"ד שבת מד</w:t>
      </w:r>
      <w:r w:rsidRPr="00E47778">
        <w:rPr>
          <w:rFonts w:cs="Arial" w:hint="cs"/>
          <w:sz w:val="16"/>
          <w:szCs w:val="16"/>
          <w:rtl/>
        </w:rPr>
        <w:t>.</w:t>
      </w:r>
      <w:r w:rsidRPr="00E47778">
        <w:rPr>
          <w:rFonts w:cs="Arial"/>
          <w:sz w:val="16"/>
          <w:szCs w:val="16"/>
          <w:rtl/>
        </w:rPr>
        <w:t xml:space="preserve"> </w:t>
      </w:r>
      <w:r w:rsidRPr="00E47778">
        <w:rPr>
          <w:rFonts w:cs="Arial" w:hint="cs"/>
          <w:sz w:val="16"/>
          <w:szCs w:val="16"/>
          <w:rtl/>
        </w:rPr>
        <w:t>ו</w:t>
      </w:r>
      <w:r w:rsidRPr="00E47778">
        <w:rPr>
          <w:rFonts w:cs="Arial"/>
          <w:sz w:val="16"/>
          <w:szCs w:val="16"/>
          <w:rtl/>
        </w:rPr>
        <w:t>קנז.</w:t>
      </w:r>
      <w:r w:rsidRPr="00E47778">
        <w:rPr>
          <w:rFonts w:cs="Arial" w:hint="cs"/>
          <w:sz w:val="16"/>
          <w:szCs w:val="16"/>
          <w:rtl/>
        </w:rPr>
        <w:t>, וכ"כ בשמו האגור [ססי' תנד]</w:t>
      </w:r>
      <w:r w:rsidRPr="00E47778">
        <w:rPr>
          <w:rFonts w:cs="Arial"/>
          <w:sz w:val="16"/>
          <w:szCs w:val="16"/>
          <w:rtl/>
        </w:rPr>
        <w:t>)</w:t>
      </w:r>
      <w:r w:rsidRPr="00E47778">
        <w:rPr>
          <w:rFonts w:cs="Arial" w:hint="cs"/>
          <w:sz w:val="16"/>
          <w:szCs w:val="16"/>
          <w:rtl/>
        </w:rPr>
        <w:t xml:space="preserve"> </w:t>
      </w:r>
      <w:r w:rsidRPr="00E47778">
        <w:rPr>
          <w:rFonts w:cs="Arial" w:hint="cs"/>
          <w:rtl/>
        </w:rPr>
        <w:t>ו</w:t>
      </w:r>
      <w:r w:rsidR="00523A01" w:rsidRPr="00E47778">
        <w:rPr>
          <w:rFonts w:cs="Arial"/>
          <w:rtl/>
        </w:rPr>
        <w:t xml:space="preserve">מרדכי </w:t>
      </w:r>
      <w:r w:rsidR="00523A01" w:rsidRPr="00E47778">
        <w:rPr>
          <w:rFonts w:cs="Arial"/>
          <w:sz w:val="16"/>
          <w:szCs w:val="16"/>
          <w:rtl/>
        </w:rPr>
        <w:t>(</w:t>
      </w:r>
      <w:r w:rsidR="00523A01" w:rsidRPr="00E47778">
        <w:rPr>
          <w:rFonts w:cs="Arial" w:hint="cs"/>
          <w:sz w:val="16"/>
          <w:szCs w:val="16"/>
          <w:rtl/>
        </w:rPr>
        <w:t xml:space="preserve">שבת </w:t>
      </w:r>
      <w:r w:rsidR="00523A01" w:rsidRPr="00E47778">
        <w:rPr>
          <w:rFonts w:cs="Arial"/>
          <w:sz w:val="16"/>
          <w:szCs w:val="16"/>
          <w:rtl/>
        </w:rPr>
        <w:t>סי' שטו)</w:t>
      </w:r>
      <w:r w:rsidR="00523A01" w:rsidRPr="00E47778">
        <w:rPr>
          <w:rFonts w:cs="Arial" w:hint="cs"/>
          <w:rtl/>
        </w:rPr>
        <w:t>-</w:t>
      </w:r>
      <w:r w:rsidR="00523A01" w:rsidRPr="00E47778">
        <w:rPr>
          <w:rFonts w:cs="Arial"/>
          <w:rtl/>
        </w:rPr>
        <w:t xml:space="preserve"> </w:t>
      </w:r>
      <w:r w:rsidRPr="00E47778">
        <w:rPr>
          <w:rFonts w:cs="Arial"/>
          <w:rtl/>
        </w:rPr>
        <w:t xml:space="preserve">אפי' נר שהדליקו בו באותה שבת דאסרו רב אחא ורבינא, אילו היה צריך למקומו כגון שתלה הנר על שלחנו או בשום מקום שצריך להשתמש בו והנר מעכבו </w:t>
      </w:r>
      <w:r w:rsidRPr="00E47778">
        <w:rPr>
          <w:rFonts w:cs="Arial" w:hint="cs"/>
          <w:rtl/>
        </w:rPr>
        <w:t xml:space="preserve">- </w:t>
      </w:r>
      <w:r w:rsidRPr="00E47778">
        <w:rPr>
          <w:rFonts w:cs="Arial"/>
          <w:rtl/>
        </w:rPr>
        <w:t>מותר לטלטלו</w:t>
      </w:r>
      <w:r w:rsidRPr="00E47778">
        <w:rPr>
          <w:rFonts w:cs="Arial" w:hint="cs"/>
          <w:sz w:val="16"/>
          <w:szCs w:val="16"/>
          <w:rtl/>
        </w:rPr>
        <w:t xml:space="preserve"> (ל' האגור בשם ה"ר ישעיה)</w:t>
      </w:r>
      <w:r w:rsidR="00523A01" w:rsidRPr="00E47778">
        <w:rPr>
          <w:rFonts w:cs="Arial" w:hint="cs"/>
          <w:rtl/>
        </w:rPr>
        <w:t>.</w:t>
      </w:r>
      <w:r w:rsidR="00523A01" w:rsidRPr="00E47778">
        <w:rPr>
          <w:rFonts w:cs="Arial"/>
          <w:rtl/>
        </w:rPr>
        <w:t xml:space="preserve"> </w:t>
      </w:r>
    </w:p>
    <w:p w14:paraId="1C4BFB61" w14:textId="10CE43E7" w:rsidR="0057553A" w:rsidRPr="00E47778" w:rsidRDefault="00523A01" w:rsidP="00434A6A">
      <w:pPr>
        <w:pStyle w:val="aa"/>
        <w:numPr>
          <w:ilvl w:val="0"/>
          <w:numId w:val="3"/>
        </w:numPr>
        <w:rPr>
          <w:rFonts w:cs="Arial"/>
          <w:rtl/>
        </w:rPr>
      </w:pPr>
      <w:r w:rsidRPr="00E47778">
        <w:rPr>
          <w:rFonts w:cs="Arial"/>
          <w:rtl/>
        </w:rPr>
        <w:t xml:space="preserve">רמב"ם </w:t>
      </w:r>
      <w:r w:rsidRPr="00E47778">
        <w:rPr>
          <w:rFonts w:cs="Arial" w:hint="cs"/>
          <w:sz w:val="16"/>
          <w:szCs w:val="16"/>
          <w:rtl/>
        </w:rPr>
        <w:t>(</w:t>
      </w:r>
      <w:r w:rsidRPr="00E47778">
        <w:rPr>
          <w:rFonts w:cs="Arial"/>
          <w:sz w:val="16"/>
          <w:szCs w:val="16"/>
          <w:rtl/>
        </w:rPr>
        <w:t>פכ"ה ה</w:t>
      </w:r>
      <w:r w:rsidRPr="00E47778">
        <w:rPr>
          <w:rFonts w:cs="Arial" w:hint="cs"/>
          <w:sz w:val="16"/>
          <w:szCs w:val="16"/>
          <w:rtl/>
        </w:rPr>
        <w:t>"</w:t>
      </w:r>
      <w:r w:rsidRPr="00E47778">
        <w:rPr>
          <w:rFonts w:cs="Arial"/>
          <w:sz w:val="16"/>
          <w:szCs w:val="16"/>
          <w:rtl/>
        </w:rPr>
        <w:t>י</w:t>
      </w:r>
      <w:r w:rsidRPr="00E47778">
        <w:rPr>
          <w:rFonts w:cs="Arial" w:hint="cs"/>
          <w:sz w:val="16"/>
          <w:szCs w:val="16"/>
          <w:rtl/>
        </w:rPr>
        <w:t>-</w:t>
      </w:r>
      <w:r w:rsidRPr="00E47778">
        <w:rPr>
          <w:rFonts w:cs="Arial"/>
          <w:sz w:val="16"/>
          <w:szCs w:val="16"/>
          <w:rtl/>
        </w:rPr>
        <w:t>יא)</w:t>
      </w:r>
      <w:r w:rsidR="00E47778">
        <w:rPr>
          <w:rFonts w:cs="Arial" w:hint="cs"/>
          <w:rtl/>
        </w:rPr>
        <w:t>-</w:t>
      </w:r>
      <w:r w:rsidRPr="00E47778">
        <w:rPr>
          <w:rFonts w:cs="Arial"/>
          <w:rtl/>
        </w:rPr>
        <w:t xml:space="preserve"> כלי שהוקצה מחמת איסור </w:t>
      </w:r>
      <w:r w:rsidR="0060692B">
        <w:rPr>
          <w:rFonts w:cs="Arial" w:hint="cs"/>
          <w:rtl/>
        </w:rPr>
        <w:t xml:space="preserve">- </w:t>
      </w:r>
      <w:r w:rsidRPr="00E47778">
        <w:rPr>
          <w:rFonts w:cs="Arial"/>
          <w:rtl/>
        </w:rPr>
        <w:t>אסור לטלטלו</w:t>
      </w:r>
      <w:r w:rsidR="0060692B">
        <w:rPr>
          <w:rFonts w:cs="Arial" w:hint="cs"/>
          <w:rtl/>
        </w:rPr>
        <w:t>.</w:t>
      </w:r>
      <w:r w:rsidRPr="00E47778">
        <w:rPr>
          <w:rFonts w:cs="Arial"/>
          <w:rtl/>
        </w:rPr>
        <w:t xml:space="preserve"> כגון נר שהדליקו בו בשבת והמנורה שהיה הנר עליה ושלחן שהיו עליו מעות</w:t>
      </w:r>
      <w:r w:rsidR="0060692B">
        <w:rPr>
          <w:rFonts w:cs="Arial" w:hint="cs"/>
          <w:rtl/>
        </w:rPr>
        <w:t>,</w:t>
      </w:r>
      <w:r w:rsidRPr="00E47778">
        <w:rPr>
          <w:rFonts w:cs="Arial"/>
          <w:rtl/>
        </w:rPr>
        <w:t xml:space="preserve"> אע</w:t>
      </w:r>
      <w:r w:rsidR="0060692B">
        <w:rPr>
          <w:rFonts w:cs="Arial" w:hint="cs"/>
          <w:rtl/>
        </w:rPr>
        <w:t>"</w:t>
      </w:r>
      <w:r w:rsidRPr="00E47778">
        <w:rPr>
          <w:rFonts w:cs="Arial"/>
          <w:rtl/>
        </w:rPr>
        <w:t xml:space="preserve">פ שכבה הנר או שנפלו המעות </w:t>
      </w:r>
      <w:r w:rsidR="00E47778">
        <w:rPr>
          <w:rFonts w:cs="Arial" w:hint="cs"/>
          <w:rtl/>
        </w:rPr>
        <w:t xml:space="preserve">- </w:t>
      </w:r>
      <w:r w:rsidRPr="00E47778">
        <w:rPr>
          <w:rFonts w:cs="Arial"/>
          <w:rtl/>
        </w:rPr>
        <w:t>אסור לטלטל</w:t>
      </w:r>
      <w:r w:rsidR="00E47778">
        <w:rPr>
          <w:rFonts w:cs="Arial" w:hint="cs"/>
          <w:rtl/>
        </w:rPr>
        <w:t>,</w:t>
      </w:r>
      <w:r w:rsidRPr="00E47778">
        <w:rPr>
          <w:rFonts w:cs="Arial"/>
          <w:rtl/>
        </w:rPr>
        <w:t xml:space="preserve"> שכל כלי שהיה אסור לטלטלו בין השמשות נאסר לטלטלו כל השבת כולה אע</w:t>
      </w:r>
      <w:r w:rsidR="0060692B">
        <w:rPr>
          <w:rFonts w:cs="Arial" w:hint="cs"/>
          <w:rtl/>
        </w:rPr>
        <w:t>"</w:t>
      </w:r>
      <w:r w:rsidRPr="00E47778">
        <w:rPr>
          <w:rFonts w:cs="Arial"/>
          <w:rtl/>
        </w:rPr>
        <w:t>פ שהלך הדבר שגרם לו האיסור</w:t>
      </w:r>
      <w:r w:rsidR="00E47778">
        <w:rPr>
          <w:rFonts w:cs="Arial" w:hint="cs"/>
          <w:rtl/>
        </w:rPr>
        <w:t>.</w:t>
      </w:r>
      <w:r w:rsidRPr="00E47778">
        <w:rPr>
          <w:rFonts w:cs="Arial"/>
          <w:rtl/>
        </w:rPr>
        <w:t xml:space="preserve"> אבל כלי שהוקצה מחמת מיאוסו</w:t>
      </w:r>
      <w:r w:rsidR="00E47778">
        <w:rPr>
          <w:rFonts w:cs="Arial" w:hint="cs"/>
          <w:rtl/>
        </w:rPr>
        <w:t>... -</w:t>
      </w:r>
      <w:r w:rsidRPr="00E47778">
        <w:rPr>
          <w:rFonts w:cs="Arial"/>
          <w:rtl/>
        </w:rPr>
        <w:t xml:space="preserve"> מותר לטלטלן בשבת אם הוצרך להם</w:t>
      </w:r>
      <w:r w:rsidR="00E47778">
        <w:rPr>
          <w:rStyle w:val="a9"/>
          <w:rFonts w:cs="Arial"/>
          <w:rtl/>
        </w:rPr>
        <w:footnoteReference w:id="1333"/>
      </w:r>
      <w:r w:rsidR="00E47778">
        <w:rPr>
          <w:rFonts w:cs="Arial" w:hint="cs"/>
          <w:rtl/>
        </w:rPr>
        <w:t>.</w:t>
      </w:r>
      <w:r w:rsidRPr="00E47778">
        <w:rPr>
          <w:rFonts w:cs="Arial"/>
          <w:rtl/>
        </w:rPr>
        <w:t xml:space="preserve"> </w:t>
      </w:r>
      <w:r w:rsidR="00E47778" w:rsidRPr="00E47778">
        <w:rPr>
          <w:rFonts w:cs="Arial" w:hint="cs"/>
          <w:color w:val="E36C0A" w:themeColor="accent6" w:themeShade="BF"/>
          <w:rtl/>
        </w:rPr>
        <w:t>(וכ"פ בשו"ע</w:t>
      </w:r>
      <w:r w:rsidR="00E47778" w:rsidRPr="00E47778">
        <w:rPr>
          <w:rFonts w:cs="Arial" w:hint="cs"/>
          <w:color w:val="E36C0A" w:themeColor="accent6" w:themeShade="BF"/>
          <w:sz w:val="16"/>
          <w:szCs w:val="16"/>
          <w:rtl/>
        </w:rPr>
        <w:t xml:space="preserve"> </w:t>
      </w:r>
      <w:r w:rsidR="00E47778">
        <w:rPr>
          <w:rFonts w:cs="Arial" w:hint="cs"/>
          <w:sz w:val="16"/>
          <w:szCs w:val="16"/>
          <w:rtl/>
        </w:rPr>
        <w:t>[בסי' רעט ס"ב]</w:t>
      </w:r>
      <w:r w:rsidR="00E47778" w:rsidRPr="00E47778">
        <w:rPr>
          <w:rFonts w:cs="Arial" w:hint="cs"/>
          <w:color w:val="E36C0A" w:themeColor="accent6" w:themeShade="BF"/>
          <w:rtl/>
        </w:rPr>
        <w:t>)</w:t>
      </w:r>
      <w:r w:rsidRPr="00E47778">
        <w:rPr>
          <w:rFonts w:cs="Arial"/>
          <w:rtl/>
        </w:rPr>
        <w:t xml:space="preserve"> </w:t>
      </w:r>
    </w:p>
    <w:p w14:paraId="4F38CC91"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510CC8F1" w14:textId="319A9F1C" w:rsidR="000C6229" w:rsidRPr="005275DF" w:rsidRDefault="000C6229" w:rsidP="00434A6A">
      <w:pPr>
        <w:rPr>
          <w:rFonts w:asciiTheme="minorBidi" w:hAnsiTheme="minorBidi"/>
          <w:rtl/>
        </w:rPr>
      </w:pPr>
      <w:r w:rsidRPr="005275DF">
        <w:rPr>
          <w:rFonts w:asciiTheme="minorBidi" w:hAnsiTheme="minorBidi"/>
          <w:rtl/>
        </w:rPr>
        <w:t>כלי שמלאכתו לאיסור</w:t>
      </w:r>
      <w:r w:rsidR="006F590D">
        <w:rPr>
          <w:rStyle w:val="a9"/>
          <w:rFonts w:asciiTheme="minorBidi" w:hAnsiTheme="minorBidi"/>
          <w:rtl/>
        </w:rPr>
        <w:footnoteReference w:id="1334"/>
      </w:r>
      <w:r w:rsidRPr="005275DF">
        <w:rPr>
          <w:rFonts w:asciiTheme="minorBidi" w:hAnsiTheme="minorBidi"/>
          <w:rtl/>
        </w:rPr>
        <w:t xml:space="preserve">, מותר לטלטלו, </w:t>
      </w:r>
      <w:r w:rsidR="00E47778">
        <w:rPr>
          <w:rFonts w:asciiTheme="minorBidi" w:hAnsiTheme="minorBidi" w:hint="cs"/>
          <w:sz w:val="18"/>
          <w:szCs w:val="18"/>
          <w:rtl/>
        </w:rPr>
        <w:t xml:space="preserve">[הגה] </w:t>
      </w:r>
      <w:r w:rsidRPr="004664A5">
        <w:rPr>
          <w:rFonts w:asciiTheme="minorBidi" w:hAnsiTheme="minorBidi"/>
          <w:sz w:val="18"/>
          <w:szCs w:val="18"/>
          <w:rtl/>
        </w:rPr>
        <w:t>ואם נשתמש לאיסור בבין השמשות כגון נר שהודלק ע"ל סי' רע"ט</w:t>
      </w:r>
      <w:r w:rsidRPr="005275DF">
        <w:rPr>
          <w:rFonts w:asciiTheme="minorBidi" w:hAnsiTheme="minorBidi"/>
          <w:rtl/>
        </w:rPr>
        <w:t>, בין לצורך גופו</w:t>
      </w:r>
      <w:r w:rsidR="00334495">
        <w:rPr>
          <w:rStyle w:val="a9"/>
          <w:rFonts w:asciiTheme="minorBidi" w:hAnsiTheme="minorBidi"/>
          <w:rtl/>
        </w:rPr>
        <w:footnoteReference w:id="1335"/>
      </w:r>
      <w:r w:rsidR="0057553A">
        <w:rPr>
          <w:rFonts w:asciiTheme="minorBidi" w:hAnsiTheme="minorBidi" w:hint="cs"/>
          <w:rtl/>
        </w:rPr>
        <w:t>,</w:t>
      </w:r>
      <w:r w:rsidRPr="005275DF">
        <w:rPr>
          <w:rFonts w:asciiTheme="minorBidi" w:hAnsiTheme="minorBidi"/>
          <w:rtl/>
        </w:rPr>
        <w:t xml:space="preserve"> כגון קורנס של זהבים או נפחים לפצוע בו אגוזים, קורדם לחתוך בו דבילה</w:t>
      </w:r>
      <w:r w:rsidR="0057553A">
        <w:rPr>
          <w:rFonts w:asciiTheme="minorBidi" w:hAnsiTheme="minorBidi" w:hint="cs"/>
          <w:rtl/>
        </w:rPr>
        <w:t>,</w:t>
      </w:r>
      <w:r w:rsidRPr="005275DF">
        <w:rPr>
          <w:rFonts w:asciiTheme="minorBidi" w:hAnsiTheme="minorBidi"/>
          <w:rtl/>
        </w:rPr>
        <w:t xml:space="preserve"> בין לצורך מקומו</w:t>
      </w:r>
      <w:r w:rsidR="0057553A">
        <w:rPr>
          <w:rFonts w:asciiTheme="minorBidi" w:hAnsiTheme="minorBidi" w:hint="cs"/>
          <w:rtl/>
        </w:rPr>
        <w:t>,</w:t>
      </w:r>
      <w:r w:rsidRPr="005275DF">
        <w:rPr>
          <w:rFonts w:asciiTheme="minorBidi" w:hAnsiTheme="minorBidi"/>
          <w:rtl/>
        </w:rPr>
        <w:t xml:space="preserve"> דהיינו שצריך להשתמש במקום שהכלי מונח שם</w:t>
      </w:r>
      <w:r w:rsidR="0057553A">
        <w:rPr>
          <w:rFonts w:asciiTheme="minorBidi" w:hAnsiTheme="minorBidi" w:hint="cs"/>
          <w:rtl/>
        </w:rPr>
        <w:t>.</w:t>
      </w:r>
      <w:r w:rsidRPr="005275DF">
        <w:rPr>
          <w:rFonts w:asciiTheme="minorBidi" w:hAnsiTheme="minorBidi"/>
          <w:rtl/>
        </w:rPr>
        <w:t xml:space="preserve"> ומותר לו ליטול משם ולהניחו באיזה מקום</w:t>
      </w:r>
      <w:r w:rsidR="00E21295">
        <w:rPr>
          <w:rStyle w:val="a9"/>
          <w:rFonts w:asciiTheme="minorBidi" w:hAnsiTheme="minorBidi"/>
          <w:rtl/>
        </w:rPr>
        <w:footnoteReference w:id="1336"/>
      </w:r>
      <w:r w:rsidRPr="005275DF">
        <w:rPr>
          <w:rFonts w:asciiTheme="minorBidi" w:hAnsiTheme="minorBidi"/>
          <w:rtl/>
        </w:rPr>
        <w:t xml:space="preserve"> שירצה</w:t>
      </w:r>
      <w:r w:rsidR="0057553A">
        <w:rPr>
          <w:rFonts w:asciiTheme="minorBidi" w:hAnsiTheme="minorBidi" w:hint="cs"/>
          <w:rtl/>
        </w:rPr>
        <w:t>.</w:t>
      </w:r>
      <w:r w:rsidRPr="005275DF">
        <w:rPr>
          <w:rFonts w:asciiTheme="minorBidi" w:hAnsiTheme="minorBidi"/>
          <w:rtl/>
        </w:rPr>
        <w:t xml:space="preserve"> אבל מחמה לצל דהיינו שאינו צריך לטלטלו אלא מפני שירא שישבר או יגנב שם</w:t>
      </w:r>
      <w:r w:rsidR="00E21295">
        <w:rPr>
          <w:rStyle w:val="a9"/>
          <w:rFonts w:asciiTheme="minorBidi" w:hAnsiTheme="minorBidi"/>
          <w:rtl/>
        </w:rPr>
        <w:footnoteReference w:id="1337"/>
      </w:r>
      <w:r w:rsidRPr="005275DF">
        <w:rPr>
          <w:rFonts w:asciiTheme="minorBidi" w:hAnsiTheme="minorBidi"/>
          <w:rtl/>
        </w:rPr>
        <w:t>, אסור</w:t>
      </w:r>
      <w:r w:rsidR="00E21295">
        <w:rPr>
          <w:rStyle w:val="a9"/>
          <w:rFonts w:asciiTheme="minorBidi" w:hAnsiTheme="minorBidi"/>
          <w:rtl/>
        </w:rPr>
        <w:footnoteReference w:id="1338"/>
      </w:r>
      <w:r w:rsidRPr="005275DF">
        <w:rPr>
          <w:rFonts w:asciiTheme="minorBidi" w:hAnsiTheme="minorBidi"/>
          <w:rtl/>
        </w:rPr>
        <w:t xml:space="preserve">. </w:t>
      </w:r>
      <w:r w:rsidRPr="004664A5">
        <w:rPr>
          <w:rFonts w:asciiTheme="minorBidi" w:hAnsiTheme="minorBidi"/>
          <w:sz w:val="18"/>
          <w:szCs w:val="18"/>
          <w:rtl/>
        </w:rPr>
        <w:t>הגה: כל מוקצה אינו אסור אלא בטלטולו, אבל בנגיעה בעלמא שאינו מנדנדו, שרי</w:t>
      </w:r>
      <w:r w:rsidR="00E21295">
        <w:rPr>
          <w:rStyle w:val="a9"/>
          <w:rFonts w:asciiTheme="minorBidi" w:hAnsiTheme="minorBidi"/>
          <w:sz w:val="18"/>
          <w:szCs w:val="18"/>
          <w:rtl/>
        </w:rPr>
        <w:footnoteReference w:id="1339"/>
      </w:r>
      <w:r w:rsidRPr="004664A5">
        <w:rPr>
          <w:rFonts w:asciiTheme="minorBidi" w:hAnsiTheme="minorBidi"/>
          <w:sz w:val="18"/>
          <w:szCs w:val="18"/>
          <w:rtl/>
        </w:rPr>
        <w:t>. ולכן מותר ליגע במנורה שבבית הכנסת שנרות דולקות עליו, או בתנור שדולק בו אש</w:t>
      </w:r>
      <w:r w:rsidR="00BC4280">
        <w:rPr>
          <w:rFonts w:asciiTheme="minorBidi" w:hAnsiTheme="minorBidi" w:hint="cs"/>
          <w:sz w:val="18"/>
          <w:szCs w:val="18"/>
          <w:rtl/>
        </w:rPr>
        <w:t xml:space="preserve"> (מרדכי, מבואר בסע' מב)</w:t>
      </w:r>
      <w:r w:rsidRPr="004664A5">
        <w:rPr>
          <w:rFonts w:asciiTheme="minorBidi" w:hAnsiTheme="minorBidi"/>
          <w:sz w:val="18"/>
          <w:szCs w:val="18"/>
          <w:rtl/>
        </w:rPr>
        <w:t>. וכן מותר ליקח דבר היתר</w:t>
      </w:r>
      <w:r w:rsidR="00E21295">
        <w:rPr>
          <w:rStyle w:val="a9"/>
          <w:rFonts w:asciiTheme="minorBidi" w:hAnsiTheme="minorBidi"/>
          <w:sz w:val="18"/>
          <w:szCs w:val="18"/>
          <w:rtl/>
        </w:rPr>
        <w:footnoteReference w:id="1340"/>
      </w:r>
      <w:r w:rsidRPr="004664A5">
        <w:rPr>
          <w:rFonts w:asciiTheme="minorBidi" w:hAnsiTheme="minorBidi"/>
          <w:sz w:val="18"/>
          <w:szCs w:val="18"/>
          <w:rtl/>
        </w:rPr>
        <w:t xml:space="preserve"> המונח על דבר מוקצה</w:t>
      </w:r>
      <w:r w:rsidR="00BC4280">
        <w:rPr>
          <w:rFonts w:asciiTheme="minorBidi" w:hAnsiTheme="minorBidi" w:hint="cs"/>
          <w:sz w:val="18"/>
          <w:szCs w:val="18"/>
          <w:rtl/>
        </w:rPr>
        <w:t xml:space="preserve"> (תרוה"ד, מבואר בסע' מב). </w:t>
      </w:r>
      <w:r w:rsidRPr="004664A5">
        <w:rPr>
          <w:rFonts w:asciiTheme="minorBidi" w:hAnsiTheme="minorBidi"/>
          <w:sz w:val="18"/>
          <w:szCs w:val="18"/>
          <w:rtl/>
        </w:rPr>
        <w:t xml:space="preserve">וכן מותר לטלטל דבר מוקצה ע"י נפוח, דלא הוי טלטול אלא כלאחר יד, ולא מיקרי טלטול </w:t>
      </w:r>
      <w:r w:rsidRPr="00BC4280">
        <w:rPr>
          <w:rFonts w:asciiTheme="minorBidi" w:hAnsiTheme="minorBidi"/>
          <w:sz w:val="18"/>
          <w:szCs w:val="18"/>
          <w:rtl/>
        </w:rPr>
        <w:t>(מהרי"ל)</w:t>
      </w:r>
      <w:r w:rsidRPr="004664A5">
        <w:rPr>
          <w:rFonts w:asciiTheme="minorBidi" w:hAnsiTheme="minorBidi"/>
          <w:sz w:val="18"/>
          <w:szCs w:val="18"/>
          <w:rtl/>
        </w:rPr>
        <w:t>.</w:t>
      </w:r>
      <w:r w:rsidRPr="005275DF">
        <w:rPr>
          <w:rFonts w:asciiTheme="minorBidi" w:hAnsiTheme="minorBidi"/>
          <w:rtl/>
        </w:rPr>
        <w:t xml:space="preserve"> </w:t>
      </w:r>
    </w:p>
    <w:p w14:paraId="72859F76" w14:textId="3376A544" w:rsidR="000C6229" w:rsidRDefault="00334495" w:rsidP="00434A6A">
      <w:pPr>
        <w:rPr>
          <w:rFonts w:asciiTheme="minorBidi" w:hAnsiTheme="minorBidi"/>
          <w:u w:val="single"/>
          <w:rtl/>
        </w:rPr>
      </w:pPr>
      <w:r w:rsidRPr="00334495">
        <w:rPr>
          <w:rFonts w:asciiTheme="minorBidi" w:hAnsiTheme="minorBidi" w:hint="cs"/>
          <w:u w:val="single"/>
          <w:rtl/>
        </w:rPr>
        <w:t xml:space="preserve">כלי </w:t>
      </w:r>
      <w:r>
        <w:rPr>
          <w:rFonts w:asciiTheme="minorBidi" w:hAnsiTheme="minorBidi" w:hint="cs"/>
          <w:u w:val="single"/>
          <w:rtl/>
        </w:rPr>
        <w:t>ש</w:t>
      </w:r>
      <w:r w:rsidRPr="00334495">
        <w:rPr>
          <w:rFonts w:asciiTheme="minorBidi" w:hAnsiTheme="minorBidi" w:hint="cs"/>
          <w:u w:val="single"/>
          <w:rtl/>
        </w:rPr>
        <w:t>רוב מלאכתו לאיסור:</w:t>
      </w:r>
    </w:p>
    <w:p w14:paraId="69AEEEF4" w14:textId="77F99F11" w:rsidR="00334495" w:rsidRDefault="00334495" w:rsidP="00434A6A">
      <w:pPr>
        <w:pStyle w:val="aa"/>
        <w:numPr>
          <w:ilvl w:val="0"/>
          <w:numId w:val="5"/>
        </w:numPr>
        <w:rPr>
          <w:rFonts w:asciiTheme="minorBidi" w:hAnsiTheme="minorBidi"/>
        </w:rPr>
      </w:pPr>
      <w:r w:rsidRPr="00334495">
        <w:rPr>
          <w:rFonts w:asciiTheme="minorBidi" w:hAnsiTheme="minorBidi" w:hint="cs"/>
          <w:rtl/>
        </w:rPr>
        <w:t xml:space="preserve">ביאור הלכה </w:t>
      </w:r>
      <w:r w:rsidRPr="00334495">
        <w:rPr>
          <w:rFonts w:asciiTheme="minorBidi" w:hAnsiTheme="minorBidi" w:hint="cs"/>
          <w:sz w:val="16"/>
          <w:szCs w:val="16"/>
          <w:rtl/>
        </w:rPr>
        <w:t>(ד"ה קורדום לחתוך)</w:t>
      </w:r>
      <w:r w:rsidRPr="00334495">
        <w:rPr>
          <w:rFonts w:asciiTheme="minorBidi" w:hAnsiTheme="minorBidi" w:hint="cs"/>
          <w:rtl/>
        </w:rPr>
        <w:t>-</w:t>
      </w:r>
      <w:r w:rsidRPr="00334495">
        <w:rPr>
          <w:rtl/>
        </w:rPr>
        <w:t xml:space="preserve"> </w:t>
      </w:r>
      <w:r w:rsidRPr="00334495">
        <w:rPr>
          <w:rFonts w:asciiTheme="minorBidi" w:hAnsiTheme="minorBidi" w:cs="Arial"/>
          <w:rtl/>
        </w:rPr>
        <w:t>דע דכתב הפמ"ג</w:t>
      </w:r>
      <w:r w:rsidR="004750BC">
        <w:rPr>
          <w:rFonts w:asciiTheme="minorBidi" w:hAnsiTheme="minorBidi" w:cs="Arial" w:hint="cs"/>
          <w:rtl/>
        </w:rPr>
        <w:t>,</w:t>
      </w:r>
      <w:r w:rsidRPr="00334495">
        <w:rPr>
          <w:rFonts w:asciiTheme="minorBidi" w:hAnsiTheme="minorBidi" w:cs="Arial"/>
          <w:rtl/>
        </w:rPr>
        <w:t xml:space="preserve"> והעתקתיו במ"ב </w:t>
      </w:r>
      <w:r w:rsidRPr="00334495">
        <w:rPr>
          <w:rFonts w:asciiTheme="minorBidi" w:hAnsiTheme="minorBidi" w:cs="Arial" w:hint="cs"/>
          <w:rtl/>
        </w:rPr>
        <w:t>(סק"י)</w:t>
      </w:r>
      <w:r w:rsidR="004750BC">
        <w:rPr>
          <w:rFonts w:asciiTheme="minorBidi" w:hAnsiTheme="minorBidi" w:cs="Arial" w:hint="cs"/>
          <w:rtl/>
        </w:rPr>
        <w:t>,</w:t>
      </w:r>
      <w:r w:rsidRPr="00334495">
        <w:rPr>
          <w:rFonts w:asciiTheme="minorBidi" w:hAnsiTheme="minorBidi" w:cs="Arial" w:hint="cs"/>
          <w:rtl/>
        </w:rPr>
        <w:t xml:space="preserve"> </w:t>
      </w:r>
      <w:r w:rsidRPr="00334495">
        <w:rPr>
          <w:rFonts w:asciiTheme="minorBidi" w:hAnsiTheme="minorBidi" w:cs="Arial"/>
          <w:rtl/>
        </w:rPr>
        <w:t>דכלי שרוב מלאכתו לאיסור הוא ג"כ בכלל כלי שמלאכתו לאיסור</w:t>
      </w:r>
      <w:r w:rsidR="004750BC">
        <w:rPr>
          <w:rFonts w:asciiTheme="minorBidi" w:hAnsiTheme="minorBidi" w:cs="Arial" w:hint="cs"/>
          <w:rtl/>
        </w:rPr>
        <w:t>.</w:t>
      </w:r>
      <w:r w:rsidRPr="00334495">
        <w:rPr>
          <w:rFonts w:asciiTheme="minorBidi" w:hAnsiTheme="minorBidi" w:cs="Arial"/>
          <w:rtl/>
        </w:rPr>
        <w:t xml:space="preserve"> והביא ראיה מרשב"א לענין קדירה עי"ש</w:t>
      </w:r>
      <w:r w:rsidR="004750BC">
        <w:rPr>
          <w:rFonts w:asciiTheme="minorBidi" w:hAnsiTheme="minorBidi" w:cs="Arial" w:hint="cs"/>
          <w:rtl/>
        </w:rPr>
        <w:t>.</w:t>
      </w:r>
      <w:r w:rsidRPr="00334495">
        <w:rPr>
          <w:rFonts w:asciiTheme="minorBidi" w:hAnsiTheme="minorBidi" w:cs="Arial"/>
          <w:rtl/>
        </w:rPr>
        <w:t xml:space="preserve"> ולענ"ד היה נראה דזה דוקא אם עיקרה הוא רק למלאכת איסור ורק לפעמים משתמש בה להיתר</w:t>
      </w:r>
      <w:r w:rsidR="004750BC">
        <w:rPr>
          <w:rFonts w:asciiTheme="minorBidi" w:hAnsiTheme="minorBidi" w:cs="Arial" w:hint="cs"/>
          <w:rtl/>
        </w:rPr>
        <w:t>,</w:t>
      </w:r>
      <w:r w:rsidRPr="00334495">
        <w:rPr>
          <w:rFonts w:asciiTheme="minorBidi" w:hAnsiTheme="minorBidi" w:cs="Arial"/>
          <w:rtl/>
        </w:rPr>
        <w:t xml:space="preserve"> ולענין זה יש ראיה מקדירה דמשמע מרשב"א דהיא כלי שמלאכתו לאיסור דעיקרה נעשה לתבשיל</w:t>
      </w:r>
      <w:r w:rsidR="004750BC">
        <w:rPr>
          <w:rFonts w:asciiTheme="minorBidi" w:hAnsiTheme="minorBidi" w:cs="Arial" w:hint="cs"/>
          <w:rtl/>
        </w:rPr>
        <w:t>.</w:t>
      </w:r>
      <w:r w:rsidRPr="00334495">
        <w:rPr>
          <w:rFonts w:asciiTheme="minorBidi" w:hAnsiTheme="minorBidi" w:cs="Arial"/>
          <w:rtl/>
        </w:rPr>
        <w:t xml:space="preserve"> אבל אם דרך הכלי להשתמש בה לשניהם ורק שלאיסור משתמשין בה יותר מנלן דמקצה דעתיה מניה</w:t>
      </w:r>
      <w:r w:rsidR="004750BC">
        <w:rPr>
          <w:rFonts w:asciiTheme="minorBidi" w:hAnsiTheme="minorBidi" w:cs="Arial" w:hint="cs"/>
          <w:rtl/>
        </w:rPr>
        <w:t>,</w:t>
      </w:r>
      <w:r w:rsidRPr="00334495">
        <w:rPr>
          <w:rFonts w:asciiTheme="minorBidi" w:hAnsiTheme="minorBidi" w:cs="Arial"/>
          <w:rtl/>
        </w:rPr>
        <w:t xml:space="preserve"> דהלא עשויה למלאכת היתר ג"כ</w:t>
      </w:r>
      <w:r w:rsidR="004750BC">
        <w:rPr>
          <w:rFonts w:asciiTheme="minorBidi" w:hAnsiTheme="minorBidi" w:cs="Arial" w:hint="cs"/>
          <w:rtl/>
        </w:rPr>
        <w:t>,</w:t>
      </w:r>
      <w:r w:rsidRPr="00334495">
        <w:rPr>
          <w:rFonts w:asciiTheme="minorBidi" w:hAnsiTheme="minorBidi" w:cs="Arial"/>
          <w:rtl/>
        </w:rPr>
        <w:t xml:space="preserve"> וצ"ע</w:t>
      </w:r>
      <w:r w:rsidRPr="00334495">
        <w:rPr>
          <w:rFonts w:asciiTheme="minorBidi" w:hAnsiTheme="minorBidi" w:cs="Arial" w:hint="cs"/>
          <w:rtl/>
        </w:rPr>
        <w:t>.</w:t>
      </w:r>
    </w:p>
    <w:p w14:paraId="2DF8C524" w14:textId="1BF1842E" w:rsidR="00F76752" w:rsidRPr="00F76752" w:rsidRDefault="00F76752" w:rsidP="00434A6A">
      <w:pPr>
        <w:rPr>
          <w:rFonts w:asciiTheme="minorBidi" w:hAnsiTheme="minorBidi"/>
          <w:u w:val="single"/>
        </w:rPr>
      </w:pPr>
      <w:r w:rsidRPr="00F76752">
        <w:rPr>
          <w:rFonts w:asciiTheme="minorBidi" w:hAnsiTheme="minorBidi" w:hint="cs"/>
          <w:u w:val="single"/>
          <w:rtl/>
        </w:rPr>
        <w:t xml:space="preserve">טלטול קדירות </w:t>
      </w:r>
      <w:r w:rsidRPr="00F76752">
        <w:rPr>
          <w:rFonts w:asciiTheme="minorBidi" w:hAnsiTheme="minorBidi" w:hint="cs"/>
          <w:sz w:val="16"/>
          <w:szCs w:val="16"/>
          <w:u w:val="single"/>
          <w:rtl/>
        </w:rPr>
        <w:t xml:space="preserve">(סירים) </w:t>
      </w:r>
      <w:r w:rsidRPr="00F76752">
        <w:rPr>
          <w:rFonts w:asciiTheme="minorBidi" w:hAnsiTheme="minorBidi" w:hint="cs"/>
          <w:u w:val="single"/>
          <w:rtl/>
        </w:rPr>
        <w:t>בשבת</w:t>
      </w:r>
      <w:r w:rsidR="00401BE5">
        <w:rPr>
          <w:rStyle w:val="a9"/>
          <w:rFonts w:asciiTheme="minorBidi" w:hAnsiTheme="minorBidi"/>
          <w:u w:val="single"/>
          <w:rtl/>
        </w:rPr>
        <w:footnoteReference w:id="1341"/>
      </w:r>
      <w:r w:rsidRPr="00F76752">
        <w:rPr>
          <w:rFonts w:asciiTheme="minorBidi" w:hAnsiTheme="minorBidi" w:hint="cs"/>
          <w:u w:val="single"/>
          <w:rtl/>
        </w:rPr>
        <w:t>:</w:t>
      </w:r>
    </w:p>
    <w:p w14:paraId="1B9F8466" w14:textId="1D0C76FD" w:rsidR="00F76752" w:rsidRDefault="00F76752" w:rsidP="00434A6A">
      <w:pPr>
        <w:pStyle w:val="aa"/>
        <w:numPr>
          <w:ilvl w:val="0"/>
          <w:numId w:val="5"/>
        </w:numPr>
        <w:rPr>
          <w:rFonts w:asciiTheme="minorBidi" w:hAnsiTheme="minorBidi"/>
        </w:rPr>
      </w:pPr>
      <w:r>
        <w:rPr>
          <w:rFonts w:hint="cs"/>
          <w:rtl/>
        </w:rPr>
        <w:t xml:space="preserve">משנ"ב </w:t>
      </w:r>
      <w:r w:rsidRPr="00F76752">
        <w:rPr>
          <w:rFonts w:hint="cs"/>
          <w:sz w:val="16"/>
          <w:szCs w:val="16"/>
          <w:rtl/>
        </w:rPr>
        <w:t>(סק"כ)</w:t>
      </w:r>
      <w:r>
        <w:rPr>
          <w:rFonts w:hint="cs"/>
          <w:rtl/>
        </w:rPr>
        <w:t xml:space="preserve">- </w:t>
      </w:r>
      <w:r w:rsidRPr="00E21295">
        <w:rPr>
          <w:rFonts w:cs="Arial"/>
          <w:rtl/>
        </w:rPr>
        <w:t>וה"ה אם היה מלאכתו לאיסור ולהיתר ג"כ לא מקצה דעתו מניה</w:t>
      </w:r>
      <w:r w:rsidR="00CE2C31">
        <w:rPr>
          <w:rFonts w:cs="Arial" w:hint="cs"/>
          <w:rtl/>
        </w:rPr>
        <w:t>.</w:t>
      </w:r>
      <w:r w:rsidRPr="00E21295">
        <w:rPr>
          <w:rFonts w:cs="Arial"/>
          <w:rtl/>
        </w:rPr>
        <w:t xml:space="preserve"> וקדרה שמלאכתה הוא לבישול ורק לפעמים משתמשין בה למים ולפירות היא בכלל כלי שמלאכתה לאיסור אם לא שיש בה מהתבשיל</w:t>
      </w:r>
      <w:r>
        <w:rPr>
          <w:rFonts w:asciiTheme="minorBidi" w:hAnsiTheme="minorBidi" w:hint="cs"/>
          <w:rtl/>
        </w:rPr>
        <w:t>. (</w:t>
      </w:r>
      <w:r w:rsidR="00401BE5">
        <w:rPr>
          <w:rFonts w:asciiTheme="minorBidi" w:hAnsiTheme="minorBidi" w:hint="cs"/>
          <w:rtl/>
        </w:rPr>
        <w:t xml:space="preserve">וכ"פ ילקו"י </w:t>
      </w:r>
      <w:r w:rsidR="00401BE5">
        <w:rPr>
          <w:rFonts w:asciiTheme="minorBidi" w:hAnsiTheme="minorBidi" w:hint="cs"/>
          <w:sz w:val="16"/>
          <w:szCs w:val="16"/>
          <w:rtl/>
        </w:rPr>
        <w:t xml:space="preserve">[שבת ב סי' שח ס"ג אות ד] </w:t>
      </w:r>
      <w:r w:rsidR="00401BE5">
        <w:rPr>
          <w:rFonts w:asciiTheme="minorBidi" w:hAnsiTheme="minorBidi" w:hint="cs"/>
          <w:rtl/>
        </w:rPr>
        <w:t>ו</w:t>
      </w:r>
      <w:r>
        <w:rPr>
          <w:rFonts w:asciiTheme="minorBidi" w:hAnsiTheme="minorBidi" w:hint="cs"/>
          <w:rtl/>
        </w:rPr>
        <w:t>חוט שני</w:t>
      </w:r>
      <w:r>
        <w:rPr>
          <w:rFonts w:asciiTheme="minorBidi" w:hAnsiTheme="minorBidi" w:hint="cs"/>
          <w:sz w:val="16"/>
          <w:szCs w:val="16"/>
          <w:rtl/>
        </w:rPr>
        <w:t xml:space="preserve"> [ח"ג פמ"ג]</w:t>
      </w:r>
      <w:r>
        <w:rPr>
          <w:rFonts w:asciiTheme="minorBidi" w:hAnsiTheme="minorBidi" w:hint="cs"/>
          <w:rtl/>
        </w:rPr>
        <w:t>)</w:t>
      </w:r>
    </w:p>
    <w:p w14:paraId="79BE7DEA" w14:textId="7AD740B9" w:rsidR="00401BE5" w:rsidRDefault="001E341C" w:rsidP="00434A6A">
      <w:pPr>
        <w:pStyle w:val="aa"/>
        <w:numPr>
          <w:ilvl w:val="0"/>
          <w:numId w:val="5"/>
        </w:numPr>
        <w:rPr>
          <w:rFonts w:asciiTheme="minorBidi" w:hAnsiTheme="minorBidi"/>
        </w:rPr>
      </w:pPr>
      <w:r>
        <w:rPr>
          <w:rFonts w:asciiTheme="minorBidi" w:hAnsiTheme="minorBidi" w:cs="Arial" w:hint="cs"/>
          <w:rtl/>
        </w:rPr>
        <w:t xml:space="preserve">שלט"ג </w:t>
      </w:r>
      <w:r>
        <w:rPr>
          <w:rFonts w:asciiTheme="minorBidi" w:hAnsiTheme="minorBidi" w:cs="Arial" w:hint="cs"/>
          <w:sz w:val="16"/>
          <w:szCs w:val="16"/>
          <w:rtl/>
        </w:rPr>
        <w:t xml:space="preserve">(שבת מח. אות ב) </w:t>
      </w:r>
      <w:r w:rsidR="00F76752" w:rsidRPr="00F76752">
        <w:rPr>
          <w:rFonts w:asciiTheme="minorBidi" w:hAnsiTheme="minorBidi" w:cs="Arial"/>
          <w:rtl/>
        </w:rPr>
        <w:t>חיי אדם</w:t>
      </w:r>
      <w:r w:rsidR="00F76752">
        <w:rPr>
          <w:rFonts w:asciiTheme="minorBidi" w:hAnsiTheme="minorBidi" w:cs="Arial" w:hint="cs"/>
          <w:rtl/>
        </w:rPr>
        <w:t xml:space="preserve"> </w:t>
      </w:r>
      <w:r w:rsidR="00F76752">
        <w:rPr>
          <w:rFonts w:asciiTheme="minorBidi" w:hAnsiTheme="minorBidi" w:cs="Arial" w:hint="cs"/>
          <w:sz w:val="16"/>
          <w:szCs w:val="16"/>
          <w:rtl/>
        </w:rPr>
        <w:t>(כלל סו ס"ג)</w:t>
      </w:r>
      <w:r w:rsidR="00F76752">
        <w:rPr>
          <w:rFonts w:asciiTheme="minorBidi" w:hAnsiTheme="minorBidi" w:cs="Arial" w:hint="cs"/>
          <w:rtl/>
        </w:rPr>
        <w:t xml:space="preserve"> וקצוש"ע</w:t>
      </w:r>
      <w:r w:rsidR="00F76752">
        <w:rPr>
          <w:rFonts w:asciiTheme="minorBidi" w:hAnsiTheme="minorBidi" w:cs="Arial" w:hint="cs"/>
          <w:sz w:val="16"/>
          <w:szCs w:val="16"/>
          <w:rtl/>
        </w:rPr>
        <w:t xml:space="preserve"> (סי' פח ס"ח)</w:t>
      </w:r>
      <w:r w:rsidR="00F76752">
        <w:rPr>
          <w:rFonts w:asciiTheme="minorBidi" w:hAnsiTheme="minorBidi" w:cs="Arial" w:hint="cs"/>
          <w:rtl/>
        </w:rPr>
        <w:t xml:space="preserve">- </w:t>
      </w:r>
      <w:r w:rsidR="00F76752" w:rsidRPr="00F76752">
        <w:rPr>
          <w:rFonts w:asciiTheme="minorBidi" w:hAnsiTheme="minorBidi" w:cs="Arial"/>
          <w:rtl/>
        </w:rPr>
        <w:t>כלים שמלאכתן להיתר או אפילו לאיסור ולהיתר, כגון קערות וסכינים וכוסות וקדרות, אע</w:t>
      </w:r>
      <w:r w:rsidR="00CE2C31">
        <w:rPr>
          <w:rFonts w:asciiTheme="minorBidi" w:hAnsiTheme="minorBidi" w:cs="Arial" w:hint="cs"/>
          <w:rtl/>
        </w:rPr>
        <w:t>"</w:t>
      </w:r>
      <w:r w:rsidR="00F76752" w:rsidRPr="00F76752">
        <w:rPr>
          <w:rFonts w:asciiTheme="minorBidi" w:hAnsiTheme="minorBidi" w:cs="Arial"/>
          <w:rtl/>
        </w:rPr>
        <w:t>פ שמבשלין בו, מכל מקום דרך להשתמש בו בלא בישול, וכל כיוצא בזה, שאין אדם מקצה דעתו מלהשתמש בהם, ולכן כולם הם מוכנים, רק שרצו חכמים לגזור שלא לפנותן ממקום למקום משום טרחא יתירה כמו שבארנו. ולכן אם עושה לצורך הכלי שלא יגנב או שלא יפסד מקור וחום וכיוצא בו, מותר לטלטלו ולהעמידו במקום המשתמר</w:t>
      </w:r>
      <w:r w:rsidR="00F76752">
        <w:rPr>
          <w:rFonts w:asciiTheme="minorBidi" w:hAnsiTheme="minorBidi" w:cs="Arial" w:hint="cs"/>
          <w:sz w:val="16"/>
          <w:szCs w:val="16"/>
          <w:rtl/>
        </w:rPr>
        <w:t xml:space="preserve"> (ל' החיי אדם)</w:t>
      </w:r>
      <w:r w:rsidR="00F76752" w:rsidRPr="00F76752">
        <w:rPr>
          <w:rFonts w:asciiTheme="minorBidi" w:hAnsiTheme="minorBidi" w:cs="Arial"/>
          <w:rtl/>
        </w:rPr>
        <w:t xml:space="preserve">. </w:t>
      </w:r>
      <w:r w:rsidR="00F76752">
        <w:rPr>
          <w:rFonts w:asciiTheme="minorBidi" w:hAnsiTheme="minorBidi" w:hint="cs"/>
          <w:rtl/>
        </w:rPr>
        <w:t>(וכ"</w:t>
      </w:r>
      <w:r w:rsidR="00401BE5">
        <w:rPr>
          <w:rFonts w:asciiTheme="minorBidi" w:hAnsiTheme="minorBidi" w:hint="cs"/>
          <w:rtl/>
        </w:rPr>
        <w:t>פ</w:t>
      </w:r>
      <w:r w:rsidR="00F76752">
        <w:rPr>
          <w:rFonts w:asciiTheme="minorBidi" w:hAnsiTheme="minorBidi" w:hint="cs"/>
          <w:rtl/>
        </w:rPr>
        <w:t xml:space="preserve"> שש"כ</w:t>
      </w:r>
      <w:r w:rsidR="00F76752">
        <w:rPr>
          <w:rFonts w:asciiTheme="minorBidi" w:hAnsiTheme="minorBidi" w:hint="cs"/>
          <w:sz w:val="16"/>
          <w:szCs w:val="16"/>
          <w:rtl/>
        </w:rPr>
        <w:t xml:space="preserve"> [פ"כ סט"ו]</w:t>
      </w:r>
      <w:r w:rsidR="00F76752">
        <w:rPr>
          <w:rFonts w:asciiTheme="minorBidi" w:hAnsiTheme="minorBidi" w:hint="cs"/>
          <w:rtl/>
        </w:rPr>
        <w:t>)</w:t>
      </w:r>
    </w:p>
    <w:p w14:paraId="23CAFACF" w14:textId="1E743F02" w:rsidR="0029724D" w:rsidRPr="0029724D" w:rsidRDefault="0029724D" w:rsidP="00434A6A">
      <w:pPr>
        <w:rPr>
          <w:rFonts w:asciiTheme="minorBidi" w:hAnsiTheme="minorBidi"/>
          <w:u w:val="single"/>
        </w:rPr>
      </w:pPr>
      <w:r w:rsidRPr="0029724D">
        <w:rPr>
          <w:rFonts w:asciiTheme="minorBidi" w:hAnsiTheme="minorBidi" w:hint="cs"/>
          <w:u w:val="single"/>
          <w:rtl/>
        </w:rPr>
        <w:t>כלים חשמליים:</w:t>
      </w:r>
    </w:p>
    <w:p w14:paraId="62EF3696" w14:textId="18F273FA" w:rsidR="00B229C1" w:rsidRPr="00B229C1" w:rsidRDefault="00B229C1" w:rsidP="00434A6A">
      <w:pPr>
        <w:pStyle w:val="aa"/>
        <w:numPr>
          <w:ilvl w:val="0"/>
          <w:numId w:val="5"/>
        </w:numPr>
        <w:rPr>
          <w:rFonts w:asciiTheme="minorBidi" w:hAnsiTheme="minorBidi"/>
        </w:rPr>
      </w:pPr>
      <w:r w:rsidRPr="00B229C1">
        <w:rPr>
          <w:rFonts w:asciiTheme="minorBidi" w:hAnsiTheme="minorBidi" w:cs="Arial"/>
          <w:rtl/>
        </w:rPr>
        <w:t>אג"מ</w:t>
      </w:r>
      <w:r>
        <w:rPr>
          <w:rStyle w:val="a9"/>
          <w:rFonts w:asciiTheme="minorBidi" w:hAnsiTheme="minorBidi" w:cs="Arial"/>
          <w:rtl/>
        </w:rPr>
        <w:footnoteReference w:id="1342"/>
      </w:r>
      <w:r w:rsidRPr="00B229C1">
        <w:rPr>
          <w:rFonts w:asciiTheme="minorBidi" w:hAnsiTheme="minorBidi" w:cs="Arial"/>
          <w:rtl/>
        </w:rPr>
        <w:t xml:space="preserve"> </w:t>
      </w:r>
      <w:r w:rsidRPr="00B229C1">
        <w:rPr>
          <w:rFonts w:asciiTheme="minorBidi" w:hAnsiTheme="minorBidi" w:cs="Arial"/>
          <w:sz w:val="16"/>
          <w:szCs w:val="16"/>
          <w:rtl/>
        </w:rPr>
        <w:t xml:space="preserve">(או"ח ח"ה סימן כג) </w:t>
      </w:r>
      <w:r w:rsidRPr="00B229C1">
        <w:rPr>
          <w:rFonts w:asciiTheme="minorBidi" w:hAnsiTheme="minorBidi" w:cs="Arial"/>
          <w:rtl/>
        </w:rPr>
        <w:t xml:space="preserve">מנחת שלמה </w:t>
      </w:r>
      <w:r w:rsidRPr="00B229C1">
        <w:rPr>
          <w:rFonts w:asciiTheme="minorBidi" w:hAnsiTheme="minorBidi" w:cs="Arial"/>
          <w:sz w:val="16"/>
          <w:szCs w:val="16"/>
          <w:rtl/>
        </w:rPr>
        <w:t>(ח"א סי</w:t>
      </w:r>
      <w:r w:rsidR="001054AB">
        <w:rPr>
          <w:rFonts w:asciiTheme="minorBidi" w:hAnsiTheme="minorBidi" w:cs="Arial" w:hint="cs"/>
          <w:sz w:val="16"/>
          <w:szCs w:val="16"/>
          <w:rtl/>
        </w:rPr>
        <w:t>'</w:t>
      </w:r>
      <w:r w:rsidRPr="00B229C1">
        <w:rPr>
          <w:rFonts w:asciiTheme="minorBidi" w:hAnsiTheme="minorBidi" w:cs="Arial"/>
          <w:sz w:val="16"/>
          <w:szCs w:val="16"/>
          <w:rtl/>
        </w:rPr>
        <w:t xml:space="preserve"> ט</w:t>
      </w:r>
      <w:r w:rsidR="001054AB">
        <w:rPr>
          <w:rFonts w:asciiTheme="minorBidi" w:hAnsiTheme="minorBidi" w:cs="Arial" w:hint="cs"/>
          <w:sz w:val="16"/>
          <w:szCs w:val="16"/>
          <w:rtl/>
        </w:rPr>
        <w:t xml:space="preserve"> וסי' יד</w:t>
      </w:r>
      <w:r w:rsidR="001054AB">
        <w:rPr>
          <w:rStyle w:val="a9"/>
          <w:rFonts w:asciiTheme="minorBidi" w:hAnsiTheme="minorBidi" w:cs="Arial"/>
          <w:sz w:val="16"/>
          <w:szCs w:val="16"/>
          <w:rtl/>
        </w:rPr>
        <w:footnoteReference w:id="1343"/>
      </w:r>
      <w:r w:rsidRPr="00B229C1">
        <w:rPr>
          <w:rFonts w:asciiTheme="minorBidi" w:hAnsiTheme="minorBidi" w:cs="Arial"/>
          <w:sz w:val="16"/>
          <w:szCs w:val="16"/>
          <w:rtl/>
        </w:rPr>
        <w:t xml:space="preserve">) </w:t>
      </w:r>
      <w:r w:rsidR="00A96979">
        <w:rPr>
          <w:rFonts w:asciiTheme="minorBidi" w:hAnsiTheme="minorBidi" w:cs="Arial" w:hint="cs"/>
          <w:rtl/>
        </w:rPr>
        <w:t>ו</w:t>
      </w:r>
      <w:r w:rsidRPr="00B229C1">
        <w:rPr>
          <w:rFonts w:asciiTheme="minorBidi" w:hAnsiTheme="minorBidi" w:cs="Arial"/>
          <w:rtl/>
        </w:rPr>
        <w:t xml:space="preserve">שולחן שלמה </w:t>
      </w:r>
      <w:r w:rsidRPr="00B229C1">
        <w:rPr>
          <w:rFonts w:asciiTheme="minorBidi" w:hAnsiTheme="minorBidi" w:cs="Arial"/>
          <w:sz w:val="16"/>
          <w:szCs w:val="16"/>
          <w:rtl/>
        </w:rPr>
        <w:t>(סקי"ט)</w:t>
      </w:r>
      <w:r>
        <w:rPr>
          <w:rFonts w:asciiTheme="minorBidi" w:hAnsiTheme="minorBidi" w:cs="Arial" w:hint="cs"/>
          <w:rtl/>
        </w:rPr>
        <w:t>-</w:t>
      </w:r>
      <w:r w:rsidRPr="00B229C1">
        <w:rPr>
          <w:rFonts w:asciiTheme="minorBidi" w:hAnsiTheme="minorBidi" w:cs="Arial"/>
          <w:rtl/>
        </w:rPr>
        <w:t xml:space="preserve"> </w:t>
      </w:r>
      <w:r w:rsidR="0029724D" w:rsidRPr="0029724D">
        <w:rPr>
          <w:rFonts w:asciiTheme="minorBidi" w:hAnsiTheme="minorBidi" w:cs="Arial"/>
          <w:rtl/>
        </w:rPr>
        <w:t>כלי חשמלי שהפעלתו אסורה בשבת אבל השימוש בו מותר, כגון מאוורר</w:t>
      </w:r>
      <w:r>
        <w:rPr>
          <w:rFonts w:asciiTheme="minorBidi" w:hAnsiTheme="minorBidi" w:cs="Arial" w:hint="cs"/>
          <w:rtl/>
        </w:rPr>
        <w:t xml:space="preserve"> - </w:t>
      </w:r>
      <w:r w:rsidR="0029724D" w:rsidRPr="0029724D">
        <w:rPr>
          <w:rFonts w:asciiTheme="minorBidi" w:hAnsiTheme="minorBidi" w:cs="Arial"/>
          <w:rtl/>
        </w:rPr>
        <w:t>חשיב כלי שמלאכתו להיתר, אף שמקבל כוחו ע"י דבר האסור כמו חשמל, כיון שאין שום איסור בשימושו, דכלי שמלאכתו לאיסור פירושו כלי שעושין בו איסור, ולא כלי שנעשה ע"י איסור</w:t>
      </w:r>
      <w:r>
        <w:rPr>
          <w:rStyle w:val="a9"/>
          <w:rFonts w:asciiTheme="minorBidi" w:hAnsiTheme="minorBidi" w:cs="Arial"/>
          <w:rtl/>
        </w:rPr>
        <w:footnoteReference w:id="1344"/>
      </w:r>
      <w:r w:rsidR="0029724D" w:rsidRPr="0029724D">
        <w:rPr>
          <w:rFonts w:asciiTheme="minorBidi" w:hAnsiTheme="minorBidi" w:cs="Arial"/>
          <w:rtl/>
        </w:rPr>
        <w:t>.</w:t>
      </w:r>
    </w:p>
    <w:p w14:paraId="42135525" w14:textId="5A92A603" w:rsidR="0029724D" w:rsidRPr="00401BE5" w:rsidRDefault="00C105BD" w:rsidP="00434A6A">
      <w:pPr>
        <w:pStyle w:val="aa"/>
        <w:numPr>
          <w:ilvl w:val="0"/>
          <w:numId w:val="5"/>
        </w:numPr>
        <w:rPr>
          <w:rFonts w:asciiTheme="minorBidi" w:hAnsiTheme="minorBidi"/>
        </w:rPr>
      </w:pPr>
      <w:r>
        <w:rPr>
          <w:rFonts w:asciiTheme="minorBidi" w:hAnsiTheme="minorBidi" w:cs="Arial" w:hint="cs"/>
          <w:rtl/>
        </w:rPr>
        <w:t xml:space="preserve">י"א- </w:t>
      </w:r>
      <w:r w:rsidR="0029724D" w:rsidRPr="0029724D">
        <w:rPr>
          <w:rFonts w:asciiTheme="minorBidi" w:hAnsiTheme="minorBidi" w:cs="Arial"/>
          <w:rtl/>
        </w:rPr>
        <w:t>חשיב כלי שמלאכתו לאיסור, ומותר לטלטלו רק לצורך גופו ומקומו, אך לא מחמה לצל.</w:t>
      </w:r>
    </w:p>
    <w:bookmarkEnd w:id="9"/>
    <w:p w14:paraId="3D6B0CC2" w14:textId="77777777" w:rsidR="00334495" w:rsidRPr="00334495" w:rsidRDefault="00334495" w:rsidP="00434A6A">
      <w:pPr>
        <w:rPr>
          <w:rFonts w:asciiTheme="minorBidi" w:hAnsiTheme="minorBidi"/>
          <w:rtl/>
        </w:rPr>
      </w:pPr>
    </w:p>
    <w:p w14:paraId="0B4370E0" w14:textId="5B02E668" w:rsidR="000C6229" w:rsidRDefault="000C6229" w:rsidP="00434A6A">
      <w:pPr>
        <w:pStyle w:val="2"/>
        <w:rPr>
          <w:rtl/>
        </w:rPr>
      </w:pPr>
      <w:r w:rsidRPr="005275DF">
        <w:rPr>
          <w:rtl/>
        </w:rPr>
        <w:t>סעיף ד</w:t>
      </w:r>
      <w:r w:rsidR="00F63421">
        <w:rPr>
          <w:rFonts w:hint="cs"/>
          <w:rtl/>
        </w:rPr>
        <w:t>:</w:t>
      </w:r>
      <w:r w:rsidR="00ED1022">
        <w:rPr>
          <w:rFonts w:hint="cs"/>
          <w:rtl/>
        </w:rPr>
        <w:t xml:space="preserve"> כלי שמלאכתו להיתר.</w:t>
      </w:r>
    </w:p>
    <w:p w14:paraId="194E0651" w14:textId="54B4481E" w:rsidR="00924D28" w:rsidRDefault="00924D28" w:rsidP="00434A6A">
      <w:pPr>
        <w:rPr>
          <w:rFonts w:cs="Arial"/>
          <w:rtl/>
        </w:rPr>
      </w:pPr>
      <w:r w:rsidRPr="00752724">
        <w:rPr>
          <w:rFonts w:cs="Arial" w:hint="cs"/>
          <w:b/>
          <w:bCs/>
          <w:rtl/>
        </w:rPr>
        <w:t xml:space="preserve">שבת </w:t>
      </w:r>
      <w:r w:rsidRPr="00752724">
        <w:rPr>
          <w:rFonts w:cs="Arial" w:hint="cs"/>
          <w:b/>
          <w:bCs/>
          <w:sz w:val="16"/>
          <w:szCs w:val="16"/>
          <w:rtl/>
        </w:rPr>
        <w:t>(פ' כל הכלים)</w:t>
      </w:r>
      <w:r w:rsidRPr="00752724">
        <w:rPr>
          <w:rFonts w:cs="Arial" w:hint="cs"/>
          <w:b/>
          <w:bCs/>
          <w:rtl/>
        </w:rPr>
        <w:t xml:space="preserve"> קכ</w:t>
      </w:r>
      <w:r>
        <w:rPr>
          <w:rFonts w:cs="Arial" w:hint="cs"/>
          <w:b/>
          <w:bCs/>
          <w:rtl/>
        </w:rPr>
        <w:t>ב</w:t>
      </w:r>
      <w:r w:rsidRPr="00752724">
        <w:rPr>
          <w:rFonts w:cs="Arial" w:hint="cs"/>
          <w:b/>
          <w:bCs/>
          <w:rtl/>
        </w:rPr>
        <w:t xml:space="preserve"> ע"ב:</w:t>
      </w:r>
      <w:r>
        <w:rPr>
          <w:rFonts w:cs="Arial" w:hint="cs"/>
          <w:rtl/>
        </w:rPr>
        <w:t xml:space="preserve"> </w:t>
      </w:r>
      <w:r w:rsidRPr="00752724">
        <w:rPr>
          <w:rFonts w:cs="Arial"/>
          <w:u w:val="double"/>
          <w:rtl/>
        </w:rPr>
        <w:t>משנה</w:t>
      </w:r>
      <w:r>
        <w:rPr>
          <w:rFonts w:cs="Arial" w:hint="cs"/>
          <w:rtl/>
        </w:rPr>
        <w:t xml:space="preserve">: </w:t>
      </w:r>
      <w:r w:rsidRPr="005D6B1D">
        <w:rPr>
          <w:rFonts w:cs="Arial"/>
          <w:rtl/>
        </w:rPr>
        <w:t>כל הכלים ניטלין לצורך ושלא לצורך</w:t>
      </w:r>
      <w:r>
        <w:rPr>
          <w:rFonts w:cs="Arial" w:hint="cs"/>
          <w:rtl/>
        </w:rPr>
        <w:t>.</w:t>
      </w:r>
      <w:r w:rsidRPr="005D6B1D">
        <w:rPr>
          <w:rFonts w:cs="Arial"/>
          <w:rtl/>
        </w:rPr>
        <w:t xml:space="preserve"> </w:t>
      </w:r>
      <w:r w:rsidRPr="005D6B1D">
        <w:rPr>
          <w:rFonts w:cs="Arial"/>
          <w:u w:val="single"/>
          <w:rtl/>
        </w:rPr>
        <w:t>רבי נחמיה אומר</w:t>
      </w:r>
      <w:r w:rsidRPr="005D6B1D">
        <w:rPr>
          <w:rFonts w:cs="Arial"/>
          <w:rtl/>
        </w:rPr>
        <w:t>: אין ניטלין אלא לצורך.</w:t>
      </w:r>
      <w:r>
        <w:rPr>
          <w:rFonts w:cs="Arial" w:hint="cs"/>
          <w:rtl/>
        </w:rPr>
        <w:t xml:space="preserve">        </w:t>
      </w:r>
      <w:r w:rsidRPr="005D6B1D">
        <w:rPr>
          <w:rFonts w:cs="Arial"/>
          <w:u w:val="double"/>
          <w:rtl/>
        </w:rPr>
        <w:t>גמרא</w:t>
      </w:r>
      <w:r>
        <w:rPr>
          <w:rFonts w:cs="Arial" w:hint="cs"/>
          <w:rtl/>
        </w:rPr>
        <w:t>:</w:t>
      </w:r>
      <w:r w:rsidRPr="005D6B1D">
        <w:rPr>
          <w:rFonts w:cs="Arial"/>
          <w:rtl/>
        </w:rPr>
        <w:t xml:space="preserve"> מאי לצורך ומאי שלא לצורך? </w:t>
      </w:r>
      <w:r w:rsidRPr="005D6B1D">
        <w:rPr>
          <w:rFonts w:cs="Arial"/>
          <w:u w:val="single"/>
          <w:rtl/>
        </w:rPr>
        <w:t xml:space="preserve">אמר </w:t>
      </w:r>
      <w:r>
        <w:rPr>
          <w:rStyle w:val="a9"/>
          <w:rFonts w:cs="Arial"/>
          <w:u w:val="single"/>
          <w:rtl/>
        </w:rPr>
        <w:footnoteReference w:id="1345"/>
      </w:r>
      <w:r>
        <w:rPr>
          <w:rFonts w:cs="Arial" w:hint="cs"/>
          <w:u w:val="single"/>
          <w:rtl/>
        </w:rPr>
        <w:t>[</w:t>
      </w:r>
      <w:r w:rsidRPr="005D6B1D">
        <w:rPr>
          <w:rFonts w:cs="Arial"/>
          <w:u w:val="single"/>
          <w:rtl/>
        </w:rPr>
        <w:t>רבה</w:t>
      </w:r>
      <w:r>
        <w:rPr>
          <w:rFonts w:cs="Arial" w:hint="cs"/>
          <w:u w:val="single"/>
          <w:rtl/>
        </w:rPr>
        <w:t>]</w:t>
      </w:r>
      <w:r w:rsidRPr="005D6B1D">
        <w:rPr>
          <w:rFonts w:cs="Arial"/>
          <w:rtl/>
        </w:rPr>
        <w:t xml:space="preserve">: לצורך - דבר שמלאכתו להיתר לצורך גופו. שלא לצורך - דבר שמלאכתו להיתר לצורך מקומו. ודבר שמלאכתו לאיסור, לצורך גופו - אין, לצורך מקומו - לא. ואתא רבי נחמיה למימר: ואפילו דבר שמלאכתו להיתר, לצורך גופו - אין, לצורך מקומו - לא. </w:t>
      </w:r>
      <w:r w:rsidRPr="005D6B1D">
        <w:rPr>
          <w:rFonts w:cs="Arial"/>
          <w:u w:val="single"/>
          <w:rtl/>
        </w:rPr>
        <w:t>אמר ליה רבא</w:t>
      </w:r>
      <w:r w:rsidRPr="005D6B1D">
        <w:rPr>
          <w:rFonts w:cs="Arial"/>
          <w:rtl/>
        </w:rPr>
        <w:t xml:space="preserve">: לצורך מקומו שלא לצורך קרית ליה? </w:t>
      </w:r>
      <w:r w:rsidRPr="005D6B1D">
        <w:rPr>
          <w:rFonts w:cs="Arial"/>
          <w:u w:val="single"/>
          <w:rtl/>
        </w:rPr>
        <w:t>אלא אמר רבא</w:t>
      </w:r>
      <w:r w:rsidRPr="005D6B1D">
        <w:rPr>
          <w:rFonts w:cs="Arial"/>
          <w:rtl/>
        </w:rPr>
        <w:t>: לצורך - דבר שמלאכתו להיתר, בין לצורך גופו בין לצורך מקומו. שלא לצורך - ואפילו מחמה לצל. ודבר שמלאכתו לאיסור לצורך גופו ולצורך מקומו - אין, מחמה לצל - לא. ואתא רבי נחמיה למימר: ואפילו דבר שמלאכתו להיתר, לצורך גופו ולצורך מקומו - אין, מחמה לצל - לא.</w:t>
      </w:r>
    </w:p>
    <w:p w14:paraId="233F7BCB" w14:textId="241F840D" w:rsidR="0092478B" w:rsidRPr="0092478B" w:rsidRDefault="0092478B" w:rsidP="00434A6A">
      <w:pPr>
        <w:rPr>
          <w:rFonts w:cs="Arial"/>
          <w:sz w:val="16"/>
          <w:szCs w:val="16"/>
          <w:rtl/>
        </w:rPr>
      </w:pPr>
      <w:r w:rsidRPr="0092478B">
        <w:rPr>
          <w:rFonts w:cs="Arial" w:hint="cs"/>
          <w:b/>
          <w:bCs/>
          <w:rtl/>
        </w:rPr>
        <w:t>שבת</w:t>
      </w:r>
      <w:r>
        <w:rPr>
          <w:rFonts w:cs="Arial" w:hint="cs"/>
          <w:b/>
          <w:bCs/>
          <w:rtl/>
        </w:rPr>
        <w:t xml:space="preserve"> </w:t>
      </w:r>
      <w:r>
        <w:rPr>
          <w:rFonts w:cs="Arial" w:hint="cs"/>
          <w:b/>
          <w:bCs/>
          <w:sz w:val="16"/>
          <w:szCs w:val="16"/>
          <w:rtl/>
        </w:rPr>
        <w:t>(ס"פ בתרא)</w:t>
      </w:r>
      <w:r w:rsidRPr="0092478B">
        <w:rPr>
          <w:rFonts w:cs="Arial" w:hint="cs"/>
          <w:b/>
          <w:bCs/>
          <w:rtl/>
        </w:rPr>
        <w:t xml:space="preserve"> קנז ע"ב:</w:t>
      </w:r>
      <w:r>
        <w:rPr>
          <w:rFonts w:cs="Arial" w:hint="cs"/>
          <w:b/>
          <w:bCs/>
          <w:rtl/>
        </w:rPr>
        <w:t xml:space="preserve"> </w:t>
      </w:r>
      <w:r w:rsidRPr="0092478B">
        <w:rPr>
          <w:rFonts w:cs="Arial"/>
          <w:rtl/>
        </w:rPr>
        <w:t>ומדבריהם למדנו שפוקקין ומודדין וקושרין בשבת. עולא איקלע לבי ריש גלותא. חזייה לרבה בר רב הונא דיתיב באוונא</w:t>
      </w:r>
      <w:r>
        <w:rPr>
          <w:rStyle w:val="a9"/>
          <w:rFonts w:cs="Arial"/>
          <w:rtl/>
        </w:rPr>
        <w:footnoteReference w:id="1346"/>
      </w:r>
      <w:r w:rsidRPr="0092478B">
        <w:rPr>
          <w:rFonts w:cs="Arial"/>
          <w:rtl/>
        </w:rPr>
        <w:t xml:space="preserve"> דמיא, וקא משח ליה. אמר ליה: אימר דאמרי רבנן מדידה דמצוה, דלאו מצוה מי אמור? אמר ליה: מתעסק בעלמא אנא</w:t>
      </w:r>
      <w:r>
        <w:rPr>
          <w:rStyle w:val="a9"/>
          <w:rFonts w:cs="Arial"/>
          <w:rtl/>
        </w:rPr>
        <w:footnoteReference w:id="1347"/>
      </w:r>
      <w:r w:rsidRPr="0092478B">
        <w:rPr>
          <w:rFonts w:cs="Arial"/>
          <w:rtl/>
        </w:rPr>
        <w:t>.</w:t>
      </w:r>
      <w:r>
        <w:rPr>
          <w:rFonts w:cs="Arial" w:hint="cs"/>
          <w:sz w:val="16"/>
          <w:szCs w:val="16"/>
          <w:rtl/>
        </w:rPr>
        <w:t xml:space="preserve"> </w:t>
      </w:r>
      <w:r w:rsidRPr="0092478B">
        <w:rPr>
          <w:rFonts w:cs="Arial" w:hint="cs"/>
          <w:color w:val="FF0000"/>
          <w:sz w:val="16"/>
          <w:szCs w:val="16"/>
          <w:rtl/>
        </w:rPr>
        <w:t>(צל"ע מדוע לא ראיתי מי שהזכיר גמרא זו</w:t>
      </w:r>
      <w:r>
        <w:rPr>
          <w:rFonts w:cs="Arial" w:hint="cs"/>
          <w:color w:val="FF0000"/>
          <w:sz w:val="16"/>
          <w:szCs w:val="16"/>
          <w:rtl/>
        </w:rPr>
        <w:t xml:space="preserve"> גבי עניין זה</w:t>
      </w:r>
      <w:r w:rsidRPr="0092478B">
        <w:rPr>
          <w:rFonts w:cs="Arial" w:hint="cs"/>
          <w:color w:val="FF0000"/>
          <w:sz w:val="16"/>
          <w:szCs w:val="16"/>
          <w:rtl/>
        </w:rPr>
        <w:t>)</w:t>
      </w:r>
    </w:p>
    <w:p w14:paraId="610B7F8B" w14:textId="5D591D3A" w:rsidR="00ED1022" w:rsidRPr="00ED1022" w:rsidRDefault="004228D5" w:rsidP="00434A6A">
      <w:pPr>
        <w:rPr>
          <w:u w:val="single"/>
          <w:rtl/>
        </w:rPr>
      </w:pPr>
      <w:r>
        <w:rPr>
          <w:rFonts w:hint="cs"/>
          <w:u w:val="single"/>
          <w:rtl/>
        </w:rPr>
        <w:t xml:space="preserve">טלטול </w:t>
      </w:r>
      <w:r w:rsidR="00ED1022" w:rsidRPr="00ED1022">
        <w:rPr>
          <w:rFonts w:hint="cs"/>
          <w:u w:val="single"/>
          <w:rtl/>
        </w:rPr>
        <w:t>כלי שמלאכתו להיתר:</w:t>
      </w:r>
    </w:p>
    <w:p w14:paraId="4EDC4A74" w14:textId="77777777" w:rsidR="004228D5" w:rsidRPr="004228D5" w:rsidRDefault="00A7715C" w:rsidP="00434A6A">
      <w:pPr>
        <w:pStyle w:val="aa"/>
        <w:numPr>
          <w:ilvl w:val="0"/>
          <w:numId w:val="3"/>
        </w:numPr>
      </w:pPr>
      <w:r w:rsidRPr="00A7715C">
        <w:rPr>
          <w:rFonts w:cs="Arial" w:hint="cs"/>
          <w:rtl/>
        </w:rPr>
        <w:t xml:space="preserve">טור- </w:t>
      </w:r>
      <w:r w:rsidR="004664A5" w:rsidRPr="00A7715C">
        <w:rPr>
          <w:rFonts w:cs="Arial"/>
          <w:rtl/>
        </w:rPr>
        <w:t>כלי שמלאכתו להיתר</w:t>
      </w:r>
      <w:r w:rsidR="00ED1022">
        <w:rPr>
          <w:rFonts w:cs="Arial" w:hint="cs"/>
          <w:rtl/>
        </w:rPr>
        <w:t>,</w:t>
      </w:r>
      <w:r w:rsidR="004664A5" w:rsidRPr="00A7715C">
        <w:rPr>
          <w:rFonts w:cs="Arial"/>
          <w:rtl/>
        </w:rPr>
        <w:t xml:space="preserve"> אפי' לצורך הכלי מותר לטלטלו</w:t>
      </w:r>
      <w:r w:rsidR="00ED1022">
        <w:rPr>
          <w:rFonts w:cs="Arial" w:hint="cs"/>
          <w:rtl/>
        </w:rPr>
        <w:t>,</w:t>
      </w:r>
      <w:r w:rsidR="004664A5" w:rsidRPr="00A7715C">
        <w:rPr>
          <w:rFonts w:cs="Arial"/>
          <w:rtl/>
        </w:rPr>
        <w:t xml:space="preserve"> שלא יגנב או שלא ישבר</w:t>
      </w:r>
      <w:r w:rsidRPr="00A7715C">
        <w:rPr>
          <w:rFonts w:cs="Arial" w:hint="cs"/>
          <w:rtl/>
        </w:rPr>
        <w:t>.</w:t>
      </w:r>
    </w:p>
    <w:p w14:paraId="34180869" w14:textId="3FD5C676" w:rsidR="004228D5" w:rsidRPr="004228D5" w:rsidRDefault="004228D5" w:rsidP="00434A6A">
      <w:pPr>
        <w:ind w:left="360"/>
        <w:rPr>
          <w:u w:val="dotted"/>
        </w:rPr>
      </w:pPr>
      <w:r w:rsidRPr="004228D5">
        <w:rPr>
          <w:rFonts w:hint="cs"/>
          <w:u w:val="dotted"/>
          <w:rtl/>
        </w:rPr>
        <w:t>האם אפשר לטלטלו שלא לצורך</w:t>
      </w:r>
      <w:r>
        <w:rPr>
          <w:rFonts w:hint="cs"/>
          <w:u w:val="dotted"/>
          <w:rtl/>
        </w:rPr>
        <w:t xml:space="preserve"> כלל</w:t>
      </w:r>
      <w:r w:rsidRPr="004228D5">
        <w:rPr>
          <w:rFonts w:hint="cs"/>
          <w:u w:val="dotted"/>
          <w:rtl/>
        </w:rPr>
        <w:t>:</w:t>
      </w:r>
    </w:p>
    <w:p w14:paraId="61D6FD40" w14:textId="49817C96" w:rsidR="004228D5" w:rsidRPr="004228D5" w:rsidRDefault="00B04086" w:rsidP="00434A6A">
      <w:pPr>
        <w:pStyle w:val="aa"/>
        <w:numPr>
          <w:ilvl w:val="0"/>
          <w:numId w:val="3"/>
        </w:numPr>
      </w:pPr>
      <w:r>
        <w:rPr>
          <w:rFonts w:cs="Arial" w:hint="cs"/>
          <w:rtl/>
        </w:rPr>
        <w:t>רמב"ם</w:t>
      </w:r>
      <w:r w:rsidR="00C05379">
        <w:rPr>
          <w:rStyle w:val="a9"/>
          <w:rFonts w:cs="Arial"/>
          <w:rtl/>
        </w:rPr>
        <w:footnoteReference w:id="1348"/>
      </w:r>
      <w:r>
        <w:rPr>
          <w:rFonts w:cs="Arial" w:hint="cs"/>
          <w:rtl/>
        </w:rPr>
        <w:t xml:space="preserve"> </w:t>
      </w:r>
      <w:r>
        <w:rPr>
          <w:rFonts w:cs="Arial" w:hint="cs"/>
          <w:sz w:val="16"/>
          <w:szCs w:val="16"/>
          <w:rtl/>
        </w:rPr>
        <w:t>(פכ"ה ה"ג-ד)</w:t>
      </w:r>
      <w:r>
        <w:rPr>
          <w:rFonts w:hint="cs"/>
          <w:rtl/>
        </w:rPr>
        <w:t xml:space="preserve"> </w:t>
      </w:r>
      <w:r w:rsidR="00C05379" w:rsidRPr="00C05379">
        <w:rPr>
          <w:rFonts w:cs="Arial" w:hint="cs"/>
          <w:rtl/>
        </w:rPr>
        <w:t xml:space="preserve">רשב"א </w:t>
      </w:r>
      <w:r w:rsidR="00C05379" w:rsidRPr="00C05379">
        <w:rPr>
          <w:rFonts w:cs="Arial" w:hint="cs"/>
          <w:sz w:val="16"/>
          <w:szCs w:val="16"/>
          <w:rtl/>
        </w:rPr>
        <w:t>(שבת מג:)</w:t>
      </w:r>
      <w:r w:rsidR="00C05379" w:rsidRPr="00C05379">
        <w:rPr>
          <w:rFonts w:cs="Arial" w:hint="cs"/>
          <w:rtl/>
        </w:rPr>
        <w:t xml:space="preserve"> </w:t>
      </w:r>
      <w:r w:rsidR="00A7419D" w:rsidRPr="00C05379">
        <w:rPr>
          <w:rFonts w:cs="Arial" w:hint="cs"/>
          <w:rtl/>
        </w:rPr>
        <w:t xml:space="preserve">הה"מ </w:t>
      </w:r>
      <w:r w:rsidR="00A7419D" w:rsidRPr="00C05379">
        <w:rPr>
          <w:rFonts w:cs="Arial" w:hint="cs"/>
          <w:sz w:val="16"/>
          <w:szCs w:val="16"/>
          <w:rtl/>
        </w:rPr>
        <w:t>(פכ"ה ה"ג)</w:t>
      </w:r>
      <w:r w:rsidR="00A7419D" w:rsidRPr="00C05379">
        <w:rPr>
          <w:rFonts w:cs="Arial" w:hint="cs"/>
          <w:rtl/>
        </w:rPr>
        <w:t xml:space="preserve"> ו</w:t>
      </w:r>
      <w:r w:rsidR="004228D5" w:rsidRPr="00C05379">
        <w:rPr>
          <w:rFonts w:cs="Arial" w:hint="cs"/>
          <w:rtl/>
        </w:rPr>
        <w:t>ר"ן</w:t>
      </w:r>
      <w:r w:rsidR="00A7419D">
        <w:rPr>
          <w:rStyle w:val="a9"/>
          <w:rFonts w:cs="Arial"/>
          <w:rtl/>
        </w:rPr>
        <w:footnoteReference w:id="1349"/>
      </w:r>
      <w:r w:rsidR="004228D5" w:rsidRPr="00C05379">
        <w:rPr>
          <w:rFonts w:cs="Arial" w:hint="cs"/>
          <w:rtl/>
        </w:rPr>
        <w:t xml:space="preserve"> </w:t>
      </w:r>
      <w:r w:rsidR="004228D5" w:rsidRPr="00C05379">
        <w:rPr>
          <w:rFonts w:cs="Arial" w:hint="cs"/>
          <w:sz w:val="16"/>
          <w:szCs w:val="16"/>
          <w:rtl/>
        </w:rPr>
        <w:t>(</w:t>
      </w:r>
      <w:r w:rsidR="004228D5" w:rsidRPr="00C05379">
        <w:rPr>
          <w:rFonts w:cs="Arial"/>
          <w:sz w:val="16"/>
          <w:szCs w:val="16"/>
          <w:rtl/>
        </w:rPr>
        <w:t>פ</w:t>
      </w:r>
      <w:r w:rsidR="004228D5" w:rsidRPr="00C05379">
        <w:rPr>
          <w:rFonts w:cs="Arial" w:hint="cs"/>
          <w:sz w:val="16"/>
          <w:szCs w:val="16"/>
          <w:rtl/>
        </w:rPr>
        <w:t>'</w:t>
      </w:r>
      <w:r w:rsidR="004228D5" w:rsidRPr="00C05379">
        <w:rPr>
          <w:rFonts w:cs="Arial"/>
          <w:sz w:val="16"/>
          <w:szCs w:val="16"/>
          <w:rtl/>
        </w:rPr>
        <w:t xml:space="preserve"> כל הכלים מח. ד"ה ואיכא)</w:t>
      </w:r>
      <w:r w:rsidR="00A7419D" w:rsidRPr="00C05379">
        <w:rPr>
          <w:rFonts w:cs="Arial" w:hint="cs"/>
          <w:rtl/>
        </w:rPr>
        <w:t>-</w:t>
      </w:r>
      <w:r w:rsidR="00A7419D" w:rsidRPr="00C05379">
        <w:rPr>
          <w:rFonts w:cs="Arial"/>
          <w:rtl/>
        </w:rPr>
        <w:t xml:space="preserve"> אין לטלטל שום כלי שלא לצורך כלל</w:t>
      </w:r>
      <w:r w:rsidR="00A7419D" w:rsidRPr="00C05379">
        <w:rPr>
          <w:rFonts w:cs="Arial" w:hint="cs"/>
          <w:rtl/>
        </w:rPr>
        <w:t>..</w:t>
      </w:r>
      <w:r w:rsidR="00A7419D" w:rsidRPr="00C05379">
        <w:rPr>
          <w:rFonts w:cs="Arial"/>
          <w:rtl/>
        </w:rPr>
        <w:t>. ויש מפרשים מתירין כלי שמלאכתו להיתר אפי' שלא לצורך כלל</w:t>
      </w:r>
      <w:r w:rsidR="00A7419D" w:rsidRPr="00C05379">
        <w:rPr>
          <w:rFonts w:cs="Arial" w:hint="cs"/>
          <w:rtl/>
        </w:rPr>
        <w:t>,</w:t>
      </w:r>
      <w:r w:rsidR="00A7419D" w:rsidRPr="00C05379">
        <w:rPr>
          <w:rFonts w:cs="Arial"/>
          <w:rtl/>
        </w:rPr>
        <w:t xml:space="preserve"> ואין להם על מה שיסמוכו</w:t>
      </w:r>
      <w:r w:rsidR="00A7419D" w:rsidRPr="00C05379">
        <w:rPr>
          <w:rFonts w:cs="Arial" w:hint="cs"/>
          <w:sz w:val="16"/>
          <w:szCs w:val="16"/>
          <w:rtl/>
        </w:rPr>
        <w:t xml:space="preserve"> (ל' הה"מ)</w:t>
      </w:r>
      <w:r w:rsidR="00A7419D" w:rsidRPr="00C05379">
        <w:rPr>
          <w:rFonts w:cs="Arial" w:hint="cs"/>
          <w:rtl/>
        </w:rPr>
        <w:t>.</w:t>
      </w:r>
    </w:p>
    <w:p w14:paraId="193060E1" w14:textId="0689A67B" w:rsidR="004228D5" w:rsidRPr="004228D5" w:rsidRDefault="00C05379" w:rsidP="00434A6A">
      <w:pPr>
        <w:ind w:left="720"/>
        <w:rPr>
          <w:u w:val="wave"/>
        </w:rPr>
      </w:pPr>
      <w:r>
        <w:rPr>
          <w:rFonts w:hint="cs"/>
          <w:u w:val="wave"/>
          <w:rtl/>
        </w:rPr>
        <w:t>ו</w:t>
      </w:r>
      <w:r w:rsidR="004228D5" w:rsidRPr="004228D5">
        <w:rPr>
          <w:rFonts w:hint="cs"/>
          <w:u w:val="wave"/>
          <w:rtl/>
        </w:rPr>
        <w:t>מה הדין בכתבי הקודש ואוכלין:</w:t>
      </w:r>
    </w:p>
    <w:p w14:paraId="0A0AA8A1" w14:textId="4A637023" w:rsidR="00F63421" w:rsidRDefault="00F63421" w:rsidP="00434A6A">
      <w:pPr>
        <w:pStyle w:val="aa"/>
        <w:numPr>
          <w:ilvl w:val="0"/>
          <w:numId w:val="3"/>
        </w:numPr>
        <w:rPr>
          <w:rtl/>
        </w:rPr>
      </w:pPr>
      <w:r w:rsidRPr="004228D5">
        <w:rPr>
          <w:rFonts w:cs="Arial"/>
          <w:rtl/>
        </w:rPr>
        <w:t>ר"ן</w:t>
      </w:r>
      <w:r w:rsidRPr="004228D5">
        <w:rPr>
          <w:rFonts w:cs="Arial"/>
          <w:sz w:val="16"/>
          <w:szCs w:val="16"/>
          <w:rtl/>
        </w:rPr>
        <w:t xml:space="preserve"> </w:t>
      </w:r>
      <w:r w:rsidR="004228D5" w:rsidRPr="004228D5">
        <w:rPr>
          <w:rFonts w:cs="Arial" w:hint="cs"/>
          <w:sz w:val="16"/>
          <w:szCs w:val="16"/>
          <w:rtl/>
        </w:rPr>
        <w:t>(</w:t>
      </w:r>
      <w:r w:rsidR="00A7419D">
        <w:rPr>
          <w:rFonts w:cs="Arial" w:hint="cs"/>
          <w:sz w:val="16"/>
          <w:szCs w:val="16"/>
          <w:rtl/>
        </w:rPr>
        <w:t xml:space="preserve">שם </w:t>
      </w:r>
      <w:r w:rsidRPr="004228D5">
        <w:rPr>
          <w:rFonts w:cs="Arial"/>
          <w:sz w:val="16"/>
          <w:szCs w:val="16"/>
          <w:rtl/>
        </w:rPr>
        <w:t xml:space="preserve">ד"ה </w:t>
      </w:r>
      <w:r w:rsidR="00A7419D">
        <w:rPr>
          <w:rFonts w:cs="Arial" w:hint="cs"/>
          <w:sz w:val="16"/>
          <w:szCs w:val="16"/>
          <w:rtl/>
        </w:rPr>
        <w:t>ומיהו</w:t>
      </w:r>
      <w:r w:rsidRPr="004228D5">
        <w:rPr>
          <w:rFonts w:cs="Arial"/>
          <w:sz w:val="16"/>
          <w:szCs w:val="16"/>
          <w:rtl/>
        </w:rPr>
        <w:t>)</w:t>
      </w:r>
      <w:r w:rsidR="004228D5">
        <w:rPr>
          <w:rFonts w:cs="Arial" w:hint="cs"/>
          <w:rtl/>
        </w:rPr>
        <w:t>-</w:t>
      </w:r>
      <w:r w:rsidRPr="004228D5">
        <w:rPr>
          <w:rFonts w:cs="Arial"/>
          <w:rtl/>
        </w:rPr>
        <w:t xml:space="preserve"> </w:t>
      </w:r>
      <w:r w:rsidR="00A7419D" w:rsidRPr="00A7419D">
        <w:rPr>
          <w:rFonts w:cs="Arial"/>
          <w:rtl/>
        </w:rPr>
        <w:t>ומיהו אפילו אם נאמר כן דכלי שמלאכתו להיתר שלא לצורך כלל אסור לטלטלו</w:t>
      </w:r>
      <w:r w:rsidR="00A7419D">
        <w:rPr>
          <w:rFonts w:cs="Arial" w:hint="cs"/>
          <w:rtl/>
        </w:rPr>
        <w:t xml:space="preserve"> </w:t>
      </w:r>
      <w:r w:rsidR="007F5D07">
        <w:rPr>
          <w:rFonts w:cs="Arial" w:hint="cs"/>
          <w:rtl/>
        </w:rPr>
        <w:t>-</w:t>
      </w:r>
      <w:r w:rsidR="00A7419D" w:rsidRPr="00A7419D">
        <w:rPr>
          <w:rFonts w:cs="Arial"/>
          <w:rtl/>
        </w:rPr>
        <w:t xml:space="preserve"> ה</w:t>
      </w:r>
      <w:r w:rsidR="007F5D07">
        <w:rPr>
          <w:rFonts w:cs="Arial" w:hint="cs"/>
          <w:rtl/>
        </w:rPr>
        <w:t xml:space="preserve">ני </w:t>
      </w:r>
      <w:r w:rsidR="00A7419D" w:rsidRPr="00A7419D">
        <w:rPr>
          <w:rFonts w:cs="Arial"/>
          <w:rtl/>
        </w:rPr>
        <w:t>מ</w:t>
      </w:r>
      <w:r w:rsidR="007F5D07">
        <w:rPr>
          <w:rFonts w:cs="Arial" w:hint="cs"/>
          <w:rtl/>
        </w:rPr>
        <w:t>ילי</w:t>
      </w:r>
      <w:r w:rsidR="00A7419D" w:rsidRPr="00A7419D">
        <w:rPr>
          <w:rFonts w:cs="Arial"/>
          <w:rtl/>
        </w:rPr>
        <w:t xml:space="preserve"> בכלים</w:t>
      </w:r>
      <w:r w:rsidR="00A7419D">
        <w:rPr>
          <w:rFonts w:cs="Arial" w:hint="cs"/>
          <w:rtl/>
        </w:rPr>
        <w:t>,</w:t>
      </w:r>
      <w:r w:rsidR="00A7419D" w:rsidRPr="00A7419D">
        <w:rPr>
          <w:rFonts w:cs="Arial"/>
          <w:rtl/>
        </w:rPr>
        <w:t xml:space="preserve"> אבל בספרי הקדש ואוכלין </w:t>
      </w:r>
      <w:r w:rsidR="00A7419D">
        <w:rPr>
          <w:rFonts w:cs="Arial" w:hint="cs"/>
          <w:rtl/>
        </w:rPr>
        <w:t xml:space="preserve">- </w:t>
      </w:r>
      <w:r w:rsidR="00A7419D" w:rsidRPr="00A7419D">
        <w:rPr>
          <w:rFonts w:cs="Arial"/>
          <w:rtl/>
        </w:rPr>
        <w:t>אין לנו</w:t>
      </w:r>
      <w:r w:rsidR="00A7419D">
        <w:rPr>
          <w:rFonts w:cs="Arial" w:hint="cs"/>
          <w:rtl/>
        </w:rPr>
        <w:t>.</w:t>
      </w:r>
      <w:r w:rsidR="00A7419D" w:rsidRPr="00A7419D">
        <w:rPr>
          <w:rFonts w:cs="Arial"/>
          <w:rtl/>
        </w:rPr>
        <w:t xml:space="preserve"> לפי שכלים שנאסרו מתחלה אין לנו להתירן אלא מה שפירשו חכמים</w:t>
      </w:r>
      <w:r w:rsidR="00A7419D">
        <w:rPr>
          <w:rFonts w:cs="Arial" w:hint="cs"/>
          <w:rtl/>
        </w:rPr>
        <w:t>,</w:t>
      </w:r>
      <w:r w:rsidR="00A7419D" w:rsidRPr="00A7419D">
        <w:rPr>
          <w:rFonts w:cs="Arial"/>
          <w:rtl/>
        </w:rPr>
        <w:t xml:space="preserve"> אבל כתבי הקדש ואוכלין שלא נאסרו מעולם </w:t>
      </w:r>
      <w:r w:rsidR="007F5D07">
        <w:rPr>
          <w:rFonts w:cs="Arial" w:hint="cs"/>
          <w:rtl/>
        </w:rPr>
        <w:t xml:space="preserve">- </w:t>
      </w:r>
      <w:r w:rsidR="00A7419D" w:rsidRPr="00A7419D">
        <w:rPr>
          <w:rFonts w:cs="Arial"/>
          <w:rtl/>
        </w:rPr>
        <w:t>כל המחמיר עליו להביא ראיה</w:t>
      </w:r>
      <w:r w:rsidR="004228D5">
        <w:rPr>
          <w:rFonts w:cs="Arial" w:hint="cs"/>
          <w:rtl/>
        </w:rPr>
        <w:t>.</w:t>
      </w:r>
    </w:p>
    <w:p w14:paraId="6554BCF7" w14:textId="5BA7B8AD" w:rsidR="00866D5B" w:rsidRDefault="00FB3622" w:rsidP="00434A6A">
      <w:pPr>
        <w:rPr>
          <w:rFonts w:cs="Arial"/>
          <w:rtl/>
        </w:rPr>
      </w:pPr>
      <w:r w:rsidRPr="00866D5B">
        <w:rPr>
          <w:rFonts w:cs="Arial"/>
          <w:b/>
          <w:bCs/>
          <w:rtl/>
        </w:rPr>
        <w:t xml:space="preserve">ירושלמי </w:t>
      </w:r>
      <w:r w:rsidR="00866D5B" w:rsidRPr="00866D5B">
        <w:rPr>
          <w:rFonts w:cs="Arial" w:hint="cs"/>
          <w:b/>
          <w:bCs/>
          <w:rtl/>
        </w:rPr>
        <w:t xml:space="preserve">ביצה פ"א </w:t>
      </w:r>
      <w:r w:rsidRPr="00866D5B">
        <w:rPr>
          <w:rFonts w:cs="Arial"/>
          <w:b/>
          <w:bCs/>
          <w:rtl/>
        </w:rPr>
        <w:t>הי"ב</w:t>
      </w:r>
      <w:r w:rsidR="00866D5B" w:rsidRPr="00866D5B">
        <w:rPr>
          <w:rFonts w:cs="Arial" w:hint="cs"/>
          <w:b/>
          <w:bCs/>
          <w:rtl/>
        </w:rPr>
        <w:t>:</w:t>
      </w:r>
      <w:r w:rsidRPr="00FB3622">
        <w:rPr>
          <w:rFonts w:cs="Arial"/>
          <w:rtl/>
        </w:rPr>
        <w:t xml:space="preserve"> </w:t>
      </w:r>
      <w:r w:rsidR="00B4152E" w:rsidRPr="00B4152E">
        <w:rPr>
          <w:rFonts w:cs="Arial"/>
          <w:u w:val="single"/>
          <w:rtl/>
        </w:rPr>
        <w:t>תנה ר' חלפתא בן שאול</w:t>
      </w:r>
      <w:r w:rsidR="00B4152E">
        <w:rPr>
          <w:rFonts w:cs="Arial" w:hint="cs"/>
          <w:rtl/>
        </w:rPr>
        <w:t>:</w:t>
      </w:r>
      <w:r w:rsidR="00B4152E" w:rsidRPr="00B4152E">
        <w:rPr>
          <w:rFonts w:cs="Arial"/>
          <w:rtl/>
        </w:rPr>
        <w:t xml:space="preserve"> תכשיטין אסור לשלחן</w:t>
      </w:r>
      <w:r w:rsidR="00B4152E">
        <w:rPr>
          <w:rFonts w:cs="Arial" w:hint="cs"/>
          <w:rtl/>
        </w:rPr>
        <w:t>.</w:t>
      </w:r>
      <w:r w:rsidR="00B4152E" w:rsidRPr="00B4152E">
        <w:rPr>
          <w:rFonts w:cs="Arial"/>
          <w:rtl/>
        </w:rPr>
        <w:t xml:space="preserve"> </w:t>
      </w:r>
      <w:r w:rsidR="00B4152E" w:rsidRPr="00B4152E">
        <w:rPr>
          <w:rFonts w:cs="Arial"/>
          <w:u w:val="single"/>
          <w:rtl/>
        </w:rPr>
        <w:t>א"ר מנא</w:t>
      </w:r>
      <w:r w:rsidR="00B4152E">
        <w:rPr>
          <w:rFonts w:cs="Arial" w:hint="cs"/>
          <w:rtl/>
        </w:rPr>
        <w:t xml:space="preserve">: </w:t>
      </w:r>
      <w:r w:rsidR="00B4152E" w:rsidRPr="00B4152E">
        <w:rPr>
          <w:rFonts w:cs="Arial"/>
          <w:rtl/>
        </w:rPr>
        <w:t>לא אמרו אלא לשלחן הא ללובשן מותר</w:t>
      </w:r>
      <w:r w:rsidR="00B4152E">
        <w:rPr>
          <w:rFonts w:cs="Arial" w:hint="cs"/>
          <w:rtl/>
        </w:rPr>
        <w:t>.</w:t>
      </w:r>
      <w:r w:rsidR="00B4152E" w:rsidRPr="00B4152E">
        <w:rPr>
          <w:rFonts w:cs="Arial"/>
          <w:rtl/>
        </w:rPr>
        <w:t xml:space="preserve"> </w:t>
      </w:r>
      <w:r w:rsidR="00866D5B" w:rsidRPr="00866D5B">
        <w:rPr>
          <w:rFonts w:cs="Arial"/>
          <w:rtl/>
        </w:rPr>
        <w:t>תני</w:t>
      </w:r>
      <w:r w:rsidR="007F5D07">
        <w:rPr>
          <w:rFonts w:cs="Arial" w:hint="cs"/>
          <w:rtl/>
        </w:rPr>
        <w:t>:</w:t>
      </w:r>
      <w:r w:rsidR="00866D5B" w:rsidRPr="00866D5B">
        <w:rPr>
          <w:rFonts w:cs="Arial"/>
          <w:rtl/>
        </w:rPr>
        <w:t xml:space="preserve"> מטלטלין את השופר להשקות בו את התינוק</w:t>
      </w:r>
      <w:r w:rsidR="00B4152E">
        <w:rPr>
          <w:rFonts w:cs="Arial" w:hint="cs"/>
          <w:rtl/>
        </w:rPr>
        <w:t>,</w:t>
      </w:r>
      <w:r w:rsidR="00866D5B" w:rsidRPr="00866D5B">
        <w:rPr>
          <w:rFonts w:cs="Arial"/>
          <w:rtl/>
        </w:rPr>
        <w:t xml:space="preserve"> את הפינקס את הקרקש את המראה לכסות בהן את הכלים</w:t>
      </w:r>
      <w:r w:rsidR="007F5D07">
        <w:rPr>
          <w:rFonts w:cs="Arial" w:hint="cs"/>
          <w:rtl/>
        </w:rPr>
        <w:t>.</w:t>
      </w:r>
      <w:r w:rsidR="00866D5B" w:rsidRPr="00866D5B">
        <w:rPr>
          <w:rFonts w:cs="Arial"/>
          <w:rtl/>
        </w:rPr>
        <w:t xml:space="preserve"> </w:t>
      </w:r>
      <w:r w:rsidR="00866D5B" w:rsidRPr="007F5D07">
        <w:rPr>
          <w:rFonts w:cs="Arial"/>
          <w:u w:val="single"/>
          <w:rtl/>
        </w:rPr>
        <w:t>א"ר אבון</w:t>
      </w:r>
      <w:r w:rsidR="007F5D07">
        <w:rPr>
          <w:rFonts w:cs="Arial" w:hint="cs"/>
          <w:rtl/>
        </w:rPr>
        <w:t>:</w:t>
      </w:r>
      <w:r w:rsidR="00866D5B" w:rsidRPr="00866D5B">
        <w:rPr>
          <w:rFonts w:cs="Arial"/>
          <w:rtl/>
        </w:rPr>
        <w:t xml:space="preserve"> מתניתא אמרה שאסור ללובשן</w:t>
      </w:r>
      <w:r w:rsidR="007F5D07">
        <w:rPr>
          <w:rFonts w:cs="Arial" w:hint="cs"/>
          <w:rtl/>
        </w:rPr>
        <w:t>,</w:t>
      </w:r>
      <w:r w:rsidR="00866D5B" w:rsidRPr="00866D5B">
        <w:rPr>
          <w:rFonts w:cs="Arial"/>
          <w:rtl/>
        </w:rPr>
        <w:t xml:space="preserve"> דתנינן כל שניאותין בו בי</w:t>
      </w:r>
      <w:r w:rsidR="007F5D07">
        <w:rPr>
          <w:rFonts w:cs="Arial" w:hint="cs"/>
          <w:rtl/>
        </w:rPr>
        <w:t>ו</w:t>
      </w:r>
      <w:r w:rsidR="00866D5B" w:rsidRPr="00866D5B">
        <w:rPr>
          <w:rFonts w:cs="Arial"/>
          <w:rtl/>
        </w:rPr>
        <w:t>"ט משלחין אותו</w:t>
      </w:r>
      <w:r w:rsidR="007F5D07">
        <w:rPr>
          <w:rFonts w:cs="Arial" w:hint="cs"/>
          <w:rtl/>
        </w:rPr>
        <w:t>.</w:t>
      </w:r>
      <w:r w:rsidR="00866D5B" w:rsidRPr="00866D5B">
        <w:rPr>
          <w:rFonts w:cs="Arial"/>
          <w:rtl/>
        </w:rPr>
        <w:t xml:space="preserve"> אם אומר את שמותר ללובשן</w:t>
      </w:r>
      <w:r w:rsidR="00C80D8E">
        <w:rPr>
          <w:rFonts w:cs="Arial" w:hint="cs"/>
          <w:rtl/>
        </w:rPr>
        <w:t>,</w:t>
      </w:r>
      <w:r w:rsidR="00866D5B" w:rsidRPr="00866D5B">
        <w:rPr>
          <w:rFonts w:cs="Arial"/>
          <w:rtl/>
        </w:rPr>
        <w:t xml:space="preserve"> יהא מותר לשלחן</w:t>
      </w:r>
      <w:r w:rsidR="00C80D8E">
        <w:rPr>
          <w:rFonts w:cs="Arial" w:hint="cs"/>
          <w:rtl/>
        </w:rPr>
        <w:t>!</w:t>
      </w:r>
      <w:r w:rsidR="00866D5B" w:rsidRPr="00866D5B">
        <w:rPr>
          <w:rFonts w:cs="Arial"/>
          <w:rtl/>
        </w:rPr>
        <w:t xml:space="preserve"> מהו הדא דתני מטלטלין את השופר להשקות בו את התינוק את הפינקס את הקרקש את המראה לכסות את הכלים</w:t>
      </w:r>
      <w:r w:rsidR="00C80D8E">
        <w:rPr>
          <w:rFonts w:cs="Arial" w:hint="cs"/>
          <w:rtl/>
        </w:rPr>
        <w:t>?</w:t>
      </w:r>
      <w:r w:rsidR="007F5D07">
        <w:rPr>
          <w:rFonts w:cs="Arial" w:hint="cs"/>
          <w:rtl/>
        </w:rPr>
        <w:t xml:space="preserve"> </w:t>
      </w:r>
      <w:r w:rsidR="00866D5B" w:rsidRPr="00866D5B">
        <w:rPr>
          <w:rFonts w:cs="Arial"/>
          <w:rtl/>
        </w:rPr>
        <w:t>כשיש עליהם תואר כלי</w:t>
      </w:r>
      <w:r w:rsidR="00866D5B">
        <w:rPr>
          <w:rFonts w:cs="Arial" w:hint="cs"/>
          <w:rtl/>
        </w:rPr>
        <w:t>.</w:t>
      </w:r>
    </w:p>
    <w:p w14:paraId="00C78566" w14:textId="75AB0486" w:rsidR="00866D5B" w:rsidRDefault="00866D5B" w:rsidP="00434A6A">
      <w:pPr>
        <w:rPr>
          <w:rFonts w:cs="Arial"/>
          <w:rtl/>
        </w:rPr>
      </w:pPr>
      <w:r w:rsidRPr="00866D5B">
        <w:rPr>
          <w:rFonts w:cs="Arial" w:hint="cs"/>
          <w:b/>
          <w:bCs/>
          <w:rtl/>
        </w:rPr>
        <w:t xml:space="preserve">שבת </w:t>
      </w:r>
      <w:r>
        <w:rPr>
          <w:rFonts w:cs="Arial" w:hint="cs"/>
          <w:b/>
          <w:bCs/>
          <w:sz w:val="16"/>
          <w:szCs w:val="16"/>
          <w:rtl/>
        </w:rPr>
        <w:t xml:space="preserve">(ס"פ במה מדליקין) </w:t>
      </w:r>
      <w:r w:rsidRPr="00866D5B">
        <w:rPr>
          <w:rFonts w:cs="Arial" w:hint="cs"/>
          <w:b/>
          <w:bCs/>
          <w:rtl/>
        </w:rPr>
        <w:t xml:space="preserve">לו ע"א: </w:t>
      </w:r>
      <w:r w:rsidR="00B07549" w:rsidRPr="00B07549">
        <w:rPr>
          <w:rFonts w:cs="Arial"/>
          <w:u w:val="single"/>
          <w:rtl/>
        </w:rPr>
        <w:t>אמר רבי יוסי ברב</w:t>
      </w:r>
      <w:r w:rsidR="00B07549" w:rsidRPr="00B07549">
        <w:rPr>
          <w:rFonts w:cs="Arial" w:hint="cs"/>
          <w:u w:val="single"/>
          <w:rtl/>
        </w:rPr>
        <w:t>י</w:t>
      </w:r>
      <w:r w:rsidR="00B07549" w:rsidRPr="00B07549">
        <w:rPr>
          <w:rFonts w:cs="Arial"/>
          <w:u w:val="single"/>
          <w:rtl/>
        </w:rPr>
        <w:t xml:space="preserve"> חנינא</w:t>
      </w:r>
      <w:r w:rsidR="00B07549" w:rsidRPr="00B07549">
        <w:rPr>
          <w:rFonts w:cs="Arial"/>
          <w:rtl/>
        </w:rPr>
        <w:t xml:space="preserve">: שמעתי שאם בא להדליק אחר שש תקיעות - מדליק, שהרי נתנו חכמים שיעור לחזן הכנסת להוליך שופרו לביתו. </w:t>
      </w:r>
      <w:r w:rsidR="00B07549" w:rsidRPr="00B07549">
        <w:rPr>
          <w:rFonts w:cs="Arial"/>
          <w:u w:val="single"/>
          <w:rtl/>
        </w:rPr>
        <w:t>אמר לו</w:t>
      </w:r>
      <w:r w:rsidR="00B07549" w:rsidRPr="00B07549">
        <w:rPr>
          <w:rFonts w:cs="Arial"/>
          <w:rtl/>
        </w:rPr>
        <w:t xml:space="preserve">: אם כן, נתת דבריך לשיעורין! אלא: מקום צנוע יש לו לחזן הכנסת בראש גגו, ששם מניח שופרו, לפי שאין מטלטלין לא את השופר ולא את החצוצרות. </w:t>
      </w:r>
      <w:r w:rsidRPr="00866D5B">
        <w:rPr>
          <w:rFonts w:cs="Arial"/>
          <w:rtl/>
        </w:rPr>
        <w:t xml:space="preserve">והתניא: שופר מיטלטל וחצוצרות אינם מיטלטלין! </w:t>
      </w:r>
      <w:r w:rsidRPr="00B07549">
        <w:rPr>
          <w:rFonts w:cs="Arial"/>
          <w:u w:val="single"/>
          <w:rtl/>
        </w:rPr>
        <w:t>אמר רב יוסף</w:t>
      </w:r>
      <w:r w:rsidR="00B07549">
        <w:rPr>
          <w:rFonts w:cs="Arial" w:hint="cs"/>
          <w:rtl/>
        </w:rPr>
        <w:t>:</w:t>
      </w:r>
      <w:r w:rsidRPr="00866D5B">
        <w:rPr>
          <w:rFonts w:cs="Arial"/>
          <w:rtl/>
        </w:rPr>
        <w:t xml:space="preserve"> לא קשיא, כאן - ביחיד, כאן - בציבור. </w:t>
      </w:r>
      <w:r w:rsidRPr="00B07549">
        <w:rPr>
          <w:rFonts w:cs="Arial"/>
          <w:u w:val="single"/>
          <w:rtl/>
        </w:rPr>
        <w:t>אמר ליה אביי</w:t>
      </w:r>
      <w:r w:rsidRPr="00866D5B">
        <w:rPr>
          <w:rFonts w:cs="Arial"/>
          <w:rtl/>
        </w:rPr>
        <w:t>: וביחיד למאי חזי - הואיל וראוי לגמע בו מים</w:t>
      </w:r>
      <w:r w:rsidR="00B07549">
        <w:rPr>
          <w:rFonts w:cs="Arial" w:hint="cs"/>
          <w:sz w:val="14"/>
          <w:szCs w:val="14"/>
          <w:rtl/>
        </w:rPr>
        <w:t xml:space="preserve"> (לו:)</w:t>
      </w:r>
      <w:r w:rsidRPr="00866D5B">
        <w:rPr>
          <w:rFonts w:cs="Arial"/>
          <w:rtl/>
        </w:rPr>
        <w:t xml:space="preserve"> לתינוק, בציבור נמי חזי - לגמע לתינוק עני! ותו, הא דתניא: כשם שמטלטלין את השופר - כך מטלטלין את חצוצרות, מני? אלא, לא קשיא, הא - רבי יהודה</w:t>
      </w:r>
      <w:r w:rsidR="0064625C">
        <w:rPr>
          <w:rStyle w:val="a9"/>
          <w:rFonts w:cs="Arial"/>
          <w:rtl/>
        </w:rPr>
        <w:footnoteReference w:id="1350"/>
      </w:r>
      <w:r w:rsidRPr="00866D5B">
        <w:rPr>
          <w:rFonts w:cs="Arial"/>
          <w:rtl/>
        </w:rPr>
        <w:t>, הא</w:t>
      </w:r>
      <w:r w:rsidR="0064625C">
        <w:rPr>
          <w:rStyle w:val="a9"/>
          <w:rFonts w:cs="Arial"/>
          <w:rtl/>
        </w:rPr>
        <w:footnoteReference w:id="1351"/>
      </w:r>
      <w:r w:rsidRPr="00866D5B">
        <w:rPr>
          <w:rFonts w:cs="Arial"/>
          <w:rtl/>
        </w:rPr>
        <w:t xml:space="preserve"> - רבי שמעון, הא</w:t>
      </w:r>
      <w:r w:rsidR="0064625C">
        <w:rPr>
          <w:rStyle w:val="a9"/>
          <w:rFonts w:cs="Arial"/>
          <w:rtl/>
        </w:rPr>
        <w:footnoteReference w:id="1352"/>
      </w:r>
      <w:r w:rsidRPr="00866D5B">
        <w:rPr>
          <w:rFonts w:cs="Arial"/>
          <w:rtl/>
        </w:rPr>
        <w:t xml:space="preserve"> - רבי נחמיה.</w:t>
      </w:r>
    </w:p>
    <w:p w14:paraId="4FEED07D" w14:textId="77777777" w:rsidR="004F7166" w:rsidRDefault="004F7166" w:rsidP="00434A6A">
      <w:pPr>
        <w:rPr>
          <w:rFonts w:cs="Arial"/>
          <w:rtl/>
        </w:rPr>
      </w:pPr>
      <w:r w:rsidRPr="001B3E5D">
        <w:rPr>
          <w:rFonts w:cs="Arial" w:hint="cs"/>
          <w:u w:val="single"/>
          <w:rtl/>
        </w:rPr>
        <w:t>טלטול שופר:</w:t>
      </w:r>
    </w:p>
    <w:p w14:paraId="55F3EC99" w14:textId="2E9D93D3" w:rsidR="00FB3622" w:rsidRPr="00BF33A2" w:rsidRDefault="004F7166" w:rsidP="00434A6A">
      <w:pPr>
        <w:pStyle w:val="aa"/>
        <w:numPr>
          <w:ilvl w:val="0"/>
          <w:numId w:val="3"/>
        </w:numPr>
        <w:rPr>
          <w:rFonts w:cs="Arial"/>
          <w:rtl/>
        </w:rPr>
      </w:pPr>
      <w:r w:rsidRPr="004F7166">
        <w:rPr>
          <w:rFonts w:cs="Arial" w:hint="cs"/>
          <w:rtl/>
        </w:rPr>
        <w:t xml:space="preserve">ב"י- </w:t>
      </w:r>
      <w:r w:rsidR="00FB3622" w:rsidRPr="004F7166">
        <w:rPr>
          <w:rFonts w:cs="Arial"/>
          <w:rtl/>
        </w:rPr>
        <w:t>לרבי יהודה דאית ליה מוקצה מטלטלין את השופר אבל לא את החצוצרות</w:t>
      </w:r>
      <w:r w:rsidR="0029631F" w:rsidRPr="004F7166">
        <w:rPr>
          <w:rFonts w:cs="Arial" w:hint="cs"/>
          <w:rtl/>
        </w:rPr>
        <w:t>.</w:t>
      </w:r>
      <w:r w:rsidRPr="004F7166">
        <w:rPr>
          <w:rFonts w:cs="Arial" w:hint="cs"/>
          <w:rtl/>
        </w:rPr>
        <w:t xml:space="preserve"> </w:t>
      </w:r>
      <w:r w:rsidR="00FB3622" w:rsidRPr="004F7166">
        <w:rPr>
          <w:rFonts w:cs="Arial"/>
          <w:rtl/>
        </w:rPr>
        <w:t>ומשמע התם דטעמא משום דשופר חזי לגמע בו מים לתינוק מה שאין כן בחצוצרות</w:t>
      </w:r>
      <w:r w:rsidR="0029631F" w:rsidRPr="004F7166">
        <w:rPr>
          <w:rFonts w:cs="Arial" w:hint="cs"/>
          <w:rtl/>
        </w:rPr>
        <w:t>.</w:t>
      </w:r>
      <w:r w:rsidR="00866D5B" w:rsidRPr="004F7166">
        <w:rPr>
          <w:rFonts w:cs="Arial" w:hint="cs"/>
          <w:rtl/>
        </w:rPr>
        <w:t xml:space="preserve"> </w:t>
      </w:r>
      <w:r w:rsidR="00FB3622" w:rsidRPr="004F7166">
        <w:rPr>
          <w:rFonts w:cs="Arial"/>
          <w:rtl/>
        </w:rPr>
        <w:t>וכל זה על פי מה שקדם דכלי שמלאכתו לאיסור לצורך גופו שרי</w:t>
      </w:r>
      <w:r w:rsidR="00BF33A2">
        <w:rPr>
          <w:rStyle w:val="a9"/>
          <w:rFonts w:cs="Arial"/>
          <w:rtl/>
        </w:rPr>
        <w:footnoteReference w:id="1353"/>
      </w:r>
      <w:r w:rsidR="0029631F" w:rsidRPr="004F7166">
        <w:rPr>
          <w:rFonts w:cs="Arial" w:hint="cs"/>
          <w:rtl/>
        </w:rPr>
        <w:t>.</w:t>
      </w:r>
      <w:r w:rsidR="00BF33A2">
        <w:rPr>
          <w:rFonts w:cs="Arial" w:hint="cs"/>
          <w:rtl/>
        </w:rPr>
        <w:t xml:space="preserve"> </w:t>
      </w:r>
      <w:r w:rsidR="00BF33A2" w:rsidRPr="00BF33A2">
        <w:rPr>
          <w:rFonts w:cs="Arial" w:hint="cs"/>
          <w:color w:val="00B0F0"/>
          <w:rtl/>
        </w:rPr>
        <w:t>(וכ"פ הרמ"א)</w:t>
      </w:r>
    </w:p>
    <w:p w14:paraId="303E3AAE" w14:textId="77777777" w:rsidR="001B7B8C" w:rsidRDefault="001B7B8C" w:rsidP="00434A6A">
      <w:pPr>
        <w:rPr>
          <w:rtl/>
        </w:rPr>
      </w:pPr>
      <w:r w:rsidRPr="00EA4D33">
        <w:rPr>
          <w:rFonts w:hint="cs"/>
          <w:b/>
          <w:bCs/>
          <w:rtl/>
        </w:rPr>
        <w:t xml:space="preserve">מנחות </w:t>
      </w:r>
      <w:r>
        <w:rPr>
          <w:rFonts w:hint="cs"/>
          <w:b/>
          <w:bCs/>
          <w:sz w:val="16"/>
          <w:szCs w:val="16"/>
          <w:rtl/>
        </w:rPr>
        <w:t>(פ' הקומץ רבה)</w:t>
      </w:r>
      <w:r>
        <w:rPr>
          <w:rFonts w:hint="cs"/>
          <w:b/>
          <w:bCs/>
          <w:rtl/>
        </w:rPr>
        <w:t xml:space="preserve"> </w:t>
      </w:r>
      <w:r w:rsidRPr="00EA4D33">
        <w:rPr>
          <w:rFonts w:hint="cs"/>
          <w:b/>
          <w:bCs/>
          <w:rtl/>
        </w:rPr>
        <w:t>לו ע"א:</w:t>
      </w:r>
      <w:r>
        <w:rPr>
          <w:rFonts w:hint="cs"/>
          <w:rtl/>
        </w:rPr>
        <w:t xml:space="preserve"> </w:t>
      </w:r>
      <w:r w:rsidRPr="00EA4D33">
        <w:rPr>
          <w:rFonts w:cs="Arial"/>
          <w:rtl/>
        </w:rPr>
        <w:t>ת"ר: תפילין מאימתי מברך עליהן? משעת הנחתן. כיצד? היה משכים לצאת לדרך ומתיירא שמא יאבדו - מניחן, וכשיגיע זמנן, ממשמש בהן ומברך עליהן. ועד מתי מניחן? עד שתשקע החמה</w:t>
      </w:r>
      <w:r>
        <w:rPr>
          <w:rFonts w:cs="Arial" w:hint="cs"/>
          <w:rtl/>
        </w:rPr>
        <w:t>.</w:t>
      </w:r>
      <w:r w:rsidRPr="00EA4D33">
        <w:rPr>
          <w:rFonts w:cs="Arial"/>
          <w:rtl/>
        </w:rPr>
        <w:t xml:space="preserve"> </w:t>
      </w:r>
      <w:r w:rsidRPr="00EA4D33">
        <w:rPr>
          <w:rFonts w:cs="Arial"/>
          <w:u w:val="single"/>
          <w:rtl/>
        </w:rPr>
        <w:t>רבי יעקב אומר</w:t>
      </w:r>
      <w:r w:rsidRPr="00EA4D33">
        <w:rPr>
          <w:rFonts w:cs="Arial"/>
          <w:rtl/>
        </w:rPr>
        <w:t>: עד שתכלה רגל מן השוק</w:t>
      </w:r>
      <w:r>
        <w:rPr>
          <w:rFonts w:cs="Arial" w:hint="cs"/>
          <w:rtl/>
        </w:rPr>
        <w:t>.</w:t>
      </w:r>
      <w:r w:rsidRPr="00EA4D33">
        <w:rPr>
          <w:rFonts w:cs="Arial"/>
          <w:rtl/>
        </w:rPr>
        <w:t xml:space="preserve"> </w:t>
      </w:r>
      <w:r w:rsidRPr="00EA4D33">
        <w:rPr>
          <w:rFonts w:cs="Arial"/>
          <w:u w:val="single"/>
          <w:rtl/>
        </w:rPr>
        <w:t>וחכמים אומרים</w:t>
      </w:r>
      <w:r w:rsidRPr="00EA4D33">
        <w:rPr>
          <w:rFonts w:cs="Arial"/>
          <w:rtl/>
        </w:rPr>
        <w:t>: עד זמן שינה</w:t>
      </w:r>
      <w:r>
        <w:rPr>
          <w:rFonts w:cs="Arial" w:hint="cs"/>
          <w:rtl/>
        </w:rPr>
        <w:t>.</w:t>
      </w:r>
      <w:r w:rsidRPr="00EA4D33">
        <w:rPr>
          <w:rFonts w:cs="Arial"/>
          <w:rtl/>
        </w:rPr>
        <w:t xml:space="preserve"> ומודים חכמים לר' יעקב, שאם חלצן לצאת לבית הכסא או ליכנס לבית המרחץ ושקעה חמה, שוב אינו חוזר ומניחן. </w:t>
      </w:r>
      <w:r w:rsidRPr="00EA4D33">
        <w:rPr>
          <w:rFonts w:cs="Arial"/>
          <w:u w:val="single"/>
          <w:rtl/>
        </w:rPr>
        <w:t>אמר רב נחמן</w:t>
      </w:r>
      <w:r w:rsidRPr="00EA4D33">
        <w:rPr>
          <w:rFonts w:cs="Arial"/>
          <w:rtl/>
        </w:rPr>
        <w:t xml:space="preserve">: הלכה כרבי יעקב. רב חסדא ורבה בר רב הונא מצלו בהו באורתא. </w:t>
      </w:r>
      <w:r w:rsidRPr="00EA4D33">
        <w:rPr>
          <w:rFonts w:cs="Arial"/>
          <w:u w:val="single"/>
          <w:rtl/>
        </w:rPr>
        <w:t>איכא דאמרי</w:t>
      </w:r>
      <w:r w:rsidRPr="00EA4D33">
        <w:rPr>
          <w:rFonts w:cs="Arial"/>
          <w:rtl/>
        </w:rPr>
        <w:t>: אין הלכה כר' יעקב.</w:t>
      </w:r>
      <w:r>
        <w:rPr>
          <w:rFonts w:hint="cs"/>
          <w:sz w:val="14"/>
          <w:szCs w:val="14"/>
          <w:rtl/>
        </w:rPr>
        <w:t xml:space="preserve"> (לו</w:t>
      </w:r>
      <w:r>
        <w:rPr>
          <w:rFonts w:ascii="Segoe UI Emoji" w:eastAsia="Segoe UI Emoji" w:hAnsi="Segoe UI Emoji" w:cs="Segoe UI Emoji" w:hint="cs"/>
          <w:sz w:val="14"/>
          <w:szCs w:val="14"/>
          <w:rtl/>
        </w:rPr>
        <w:t>:)</w:t>
      </w:r>
      <w:r w:rsidRPr="00EA4D33">
        <w:rPr>
          <w:rtl/>
        </w:rPr>
        <w:t xml:space="preserve"> </w:t>
      </w:r>
      <w:r w:rsidRPr="00EA4D33">
        <w:rPr>
          <w:rFonts w:cs="Arial"/>
          <w:rtl/>
        </w:rPr>
        <w:t xml:space="preserve">והא רב חסדא ורבה בר רב הונא מצלו בהו באורתא! ההוא פליגא. ומי אמר רבה בר רב הונא הכי? והא אמר רבה בר רב הונא: ספק חשיכה ספק לא חשיכה - לא חולץ ולא מניח, הא ודאי חשיכה - חולץ! התם בערב שבת איתמר. מאי קסבר? אי קסבר: לילה זמן תפילין, שבת נמי זמן תפילין! אי קסבר: שבת לאו זמן תפילין, לילה נמי לאו זמן תפילין, דמהיכא דממעטא שבת מהתם ממעטי לילות! דתניא: ושמרת את החוקה הזאת למועדה מימים ימימה, ימים - ולא לילות, מימים - ולא כל ימים, פרט לשבתות וימים טובים, </w:t>
      </w:r>
      <w:r w:rsidRPr="00EA4D33">
        <w:rPr>
          <w:rFonts w:cs="Arial"/>
          <w:u w:val="single"/>
          <w:rtl/>
        </w:rPr>
        <w:t>דברי רבי יוסי הגלילי</w:t>
      </w:r>
      <w:r>
        <w:rPr>
          <w:rFonts w:cs="Arial" w:hint="cs"/>
          <w:rtl/>
        </w:rPr>
        <w:t>.</w:t>
      </w:r>
      <w:r w:rsidRPr="00EA4D33">
        <w:rPr>
          <w:rFonts w:cs="Arial"/>
          <w:rtl/>
        </w:rPr>
        <w:t xml:space="preserve"> </w:t>
      </w:r>
      <w:r w:rsidRPr="00EA4D33">
        <w:rPr>
          <w:rFonts w:cs="Arial"/>
          <w:u w:val="single"/>
          <w:rtl/>
        </w:rPr>
        <w:t>ר"ע אומר</w:t>
      </w:r>
      <w:r w:rsidRPr="00EA4D33">
        <w:rPr>
          <w:rFonts w:cs="Arial"/>
          <w:rtl/>
        </w:rPr>
        <w:t xml:space="preserve">: לא נאמר חוקה זו אלא לפסח בלבד! נפקא ליה מהיכא דנפקא ליה לר' עקיבא; דתניא, </w:t>
      </w:r>
      <w:r w:rsidRPr="00EA4D33">
        <w:rPr>
          <w:rFonts w:cs="Arial"/>
          <w:u w:val="single"/>
          <w:rtl/>
        </w:rPr>
        <w:t>ר' עקיבא אומר</w:t>
      </w:r>
      <w:r w:rsidRPr="00EA4D33">
        <w:rPr>
          <w:rFonts w:cs="Arial"/>
          <w:rtl/>
        </w:rPr>
        <w:t xml:space="preserve">: יכול יניח אדם תפילין בשבתות ובימים טובים? ת"ל: והיה לאות על ידך ולטוטפת בין עיניך, מי שצריכין אות, יצאו שבתות וימים טובים שהן גופן אות. </w:t>
      </w:r>
      <w:r w:rsidRPr="00EA4D33">
        <w:rPr>
          <w:rFonts w:cs="Arial"/>
          <w:u w:val="single"/>
          <w:rtl/>
        </w:rPr>
        <w:t>אמר ר' אלעזר</w:t>
      </w:r>
      <w:r w:rsidRPr="00EA4D33">
        <w:rPr>
          <w:rFonts w:cs="Arial"/>
          <w:rtl/>
        </w:rPr>
        <w:t>: כל המניח תפילין אחר שקיעת החמה - עובר בעשה</w:t>
      </w:r>
      <w:r>
        <w:rPr>
          <w:rFonts w:cs="Arial" w:hint="cs"/>
          <w:rtl/>
        </w:rPr>
        <w:t>.</w:t>
      </w:r>
      <w:r w:rsidRPr="00EA4D33">
        <w:rPr>
          <w:rFonts w:cs="Arial"/>
          <w:rtl/>
        </w:rPr>
        <w:t xml:space="preserve"> </w:t>
      </w:r>
      <w:r w:rsidRPr="00EA4D33">
        <w:rPr>
          <w:rFonts w:cs="Arial"/>
          <w:u w:val="single"/>
          <w:rtl/>
        </w:rPr>
        <w:t>ור' יוחנן אמר</w:t>
      </w:r>
      <w:r w:rsidRPr="00EA4D33">
        <w:rPr>
          <w:rFonts w:cs="Arial"/>
          <w:rtl/>
        </w:rPr>
        <w:t>: עובר בלאו</w:t>
      </w:r>
      <w:r>
        <w:rPr>
          <w:rFonts w:cs="Arial" w:hint="cs"/>
          <w:rtl/>
        </w:rPr>
        <w:t>..</w:t>
      </w:r>
      <w:r w:rsidRPr="00EA4D33">
        <w:rPr>
          <w:rFonts w:cs="Arial"/>
          <w:rtl/>
        </w:rPr>
        <w:t xml:space="preserve">. </w:t>
      </w:r>
      <w:r w:rsidRPr="00EA4D33">
        <w:rPr>
          <w:rFonts w:cs="Arial"/>
          <w:u w:val="single"/>
          <w:rtl/>
        </w:rPr>
        <w:t>ואמר רבי אלעזר</w:t>
      </w:r>
      <w:r w:rsidRPr="00EA4D33">
        <w:rPr>
          <w:rFonts w:cs="Arial"/>
          <w:rtl/>
        </w:rPr>
        <w:t xml:space="preserve">: ואם לשמרן - מותר. </w:t>
      </w:r>
      <w:r w:rsidRPr="00EA4D33">
        <w:rPr>
          <w:rFonts w:cs="Arial"/>
          <w:u w:val="single"/>
          <w:rtl/>
        </w:rPr>
        <w:t>ואמר רבינא</w:t>
      </w:r>
      <w:r w:rsidRPr="00EA4D33">
        <w:rPr>
          <w:rFonts w:cs="Arial"/>
          <w:rtl/>
        </w:rPr>
        <w:t>: הוה יתיבנא קמיה דרב אשי וחשך והניח תפילין, ואמרי ליה: לשמרן קא בעי להו מר? ואמר לי: אין, וחזיתיה לדעתיה דלאו לשמרן הוא בעי, קסבר: הלכה ואין מורין כן.</w:t>
      </w:r>
    </w:p>
    <w:p w14:paraId="5E5E008C" w14:textId="18C187B6" w:rsidR="001B7B8C" w:rsidRDefault="001B7B8C" w:rsidP="00434A6A">
      <w:pPr>
        <w:rPr>
          <w:rtl/>
        </w:rPr>
      </w:pPr>
      <w:r w:rsidRPr="00726F74">
        <w:rPr>
          <w:rFonts w:cs="Arial" w:hint="cs"/>
          <w:b/>
          <w:bCs/>
          <w:rtl/>
        </w:rPr>
        <w:t xml:space="preserve">שבת </w:t>
      </w:r>
      <w:r>
        <w:rPr>
          <w:rFonts w:cs="Arial" w:hint="cs"/>
          <w:b/>
          <w:bCs/>
          <w:sz w:val="16"/>
          <w:szCs w:val="16"/>
          <w:rtl/>
        </w:rPr>
        <w:t xml:space="preserve">(פ' במה אשה) </w:t>
      </w:r>
      <w:r w:rsidRPr="00726F74">
        <w:rPr>
          <w:rFonts w:cs="Arial" w:hint="cs"/>
          <w:b/>
          <w:bCs/>
          <w:rtl/>
        </w:rPr>
        <w:t xml:space="preserve">ס ע"א: </w:t>
      </w:r>
      <w:r w:rsidRPr="00726F74">
        <w:rPr>
          <w:rFonts w:cs="Arial"/>
          <w:u w:val="double"/>
          <w:rtl/>
        </w:rPr>
        <w:t>משנה</w:t>
      </w:r>
      <w:r>
        <w:rPr>
          <w:rFonts w:cs="Arial" w:hint="cs"/>
          <w:rtl/>
        </w:rPr>
        <w:t>:</w:t>
      </w:r>
      <w:r w:rsidRPr="00726F74">
        <w:rPr>
          <w:rFonts w:cs="Arial"/>
          <w:rtl/>
        </w:rPr>
        <w:t xml:space="preserve"> לא יצא האיש בסנדל המסומר</w:t>
      </w:r>
      <w:r>
        <w:rPr>
          <w:rFonts w:cs="Arial" w:hint="cs"/>
          <w:rtl/>
        </w:rPr>
        <w:t>...</w:t>
      </w:r>
      <w:r w:rsidRPr="00726F74">
        <w:rPr>
          <w:rFonts w:cs="Arial"/>
          <w:rtl/>
        </w:rPr>
        <w:t xml:space="preserve"> ולא בתפילין</w:t>
      </w:r>
      <w:r>
        <w:rPr>
          <w:rFonts w:cs="Arial" w:hint="cs"/>
          <w:rtl/>
        </w:rPr>
        <w:t>...</w:t>
      </w:r>
      <w:r w:rsidR="00051C09" w:rsidRPr="00051C09">
        <w:rPr>
          <w:rtl/>
        </w:rPr>
        <w:t xml:space="preserve"> </w:t>
      </w:r>
      <w:r w:rsidR="00051C09" w:rsidRPr="00051C09">
        <w:rPr>
          <w:rFonts w:cs="Arial"/>
          <w:rtl/>
        </w:rPr>
        <w:t>ואם יצא - אינו חייב חטאת</w:t>
      </w:r>
      <w:r w:rsidR="00051C09">
        <w:rPr>
          <w:rFonts w:cs="Arial" w:hint="cs"/>
          <w:rtl/>
        </w:rPr>
        <w:t>.</w:t>
      </w:r>
      <w:r>
        <w:rPr>
          <w:rFonts w:cs="Arial" w:hint="cs"/>
          <w:rtl/>
        </w:rPr>
        <w:t xml:space="preserve">          </w:t>
      </w:r>
      <w:r w:rsidRPr="00726F74">
        <w:rPr>
          <w:rFonts w:cs="Arial" w:hint="cs"/>
          <w:u w:val="double"/>
          <w:rtl/>
        </w:rPr>
        <w:t>גמ'</w:t>
      </w:r>
      <w:r w:rsidRPr="00726F74">
        <w:rPr>
          <w:rFonts w:cs="Arial" w:hint="cs"/>
          <w:sz w:val="14"/>
          <w:szCs w:val="14"/>
          <w:u w:val="double"/>
          <w:rtl/>
        </w:rPr>
        <w:t>(סא.)</w:t>
      </w:r>
      <w:r w:rsidRPr="00726F74">
        <w:rPr>
          <w:rFonts w:cs="Arial" w:hint="cs"/>
          <w:u w:val="double"/>
          <w:rtl/>
        </w:rPr>
        <w:t>:</w:t>
      </w:r>
      <w:r w:rsidRPr="00726F74">
        <w:rPr>
          <w:rFonts w:cs="Arial"/>
          <w:rtl/>
        </w:rPr>
        <w:t xml:space="preserve"> ולא בתפילין. </w:t>
      </w:r>
      <w:r w:rsidRPr="00726F74">
        <w:rPr>
          <w:rFonts w:cs="Arial"/>
          <w:u w:val="single"/>
          <w:rtl/>
        </w:rPr>
        <w:t>אמר רב ספרא</w:t>
      </w:r>
      <w:r w:rsidRPr="00726F74">
        <w:rPr>
          <w:rFonts w:cs="Arial"/>
          <w:rtl/>
        </w:rPr>
        <w:t xml:space="preserve">: לא תימא אליבא דמאן דאמר שבת לאו זמן תפילין הוא, אלא אפילו למאן דאמר שבת זמן תפילין הוא - לא יצא, דילמא אתי לאיתויי ברשות הרבים. </w:t>
      </w:r>
      <w:r w:rsidRPr="00726F74">
        <w:rPr>
          <w:rFonts w:cs="Arial"/>
          <w:u w:val="dotted"/>
          <w:rtl/>
        </w:rPr>
        <w:t>ואיכא דמתני לה אסיפא</w:t>
      </w:r>
      <w:r w:rsidRPr="00726F74">
        <w:rPr>
          <w:rFonts w:cs="Arial"/>
          <w:rtl/>
        </w:rPr>
        <w:t xml:space="preserve">: ואם יצא אינו חייב חטאת, </w:t>
      </w:r>
      <w:r w:rsidRPr="00726F74">
        <w:rPr>
          <w:rFonts w:cs="Arial"/>
          <w:u w:val="single"/>
          <w:rtl/>
        </w:rPr>
        <w:t>אמר רב ספרא</w:t>
      </w:r>
      <w:r w:rsidRPr="00726F74">
        <w:rPr>
          <w:rFonts w:cs="Arial"/>
          <w:rtl/>
        </w:rPr>
        <w:t>: לא תימא אליבא דמאן דאמר שבת זמן תפילין הוא - אלא אפילו למאן דאמר שבת לאו זמן תפילין הוא - אינו חייב חטאת, מאי טעמא - דרך מלבוש עבידא.</w:t>
      </w:r>
    </w:p>
    <w:p w14:paraId="5747E4CF" w14:textId="666CBA71" w:rsidR="001B7B8C" w:rsidRPr="00B4651D" w:rsidRDefault="001B7B8C" w:rsidP="00434A6A">
      <w:pPr>
        <w:rPr>
          <w:sz w:val="16"/>
          <w:szCs w:val="16"/>
          <w:rtl/>
        </w:rPr>
      </w:pPr>
      <w:r w:rsidRPr="00B4651D">
        <w:rPr>
          <w:rFonts w:cs="Arial" w:hint="cs"/>
          <w:b/>
          <w:bCs/>
          <w:rtl/>
        </w:rPr>
        <w:t xml:space="preserve">ביצה </w:t>
      </w:r>
      <w:r w:rsidRPr="00B4651D">
        <w:rPr>
          <w:rFonts w:cs="Arial" w:hint="cs"/>
          <w:b/>
          <w:bCs/>
          <w:sz w:val="16"/>
          <w:szCs w:val="16"/>
          <w:rtl/>
        </w:rPr>
        <w:t xml:space="preserve">(פ"ק) </w:t>
      </w:r>
      <w:r>
        <w:rPr>
          <w:rFonts w:cs="Arial" w:hint="cs"/>
          <w:b/>
          <w:bCs/>
          <w:rtl/>
        </w:rPr>
        <w:t>יד</w:t>
      </w:r>
      <w:r w:rsidRPr="00B4651D">
        <w:rPr>
          <w:rFonts w:cs="Arial" w:hint="cs"/>
          <w:b/>
          <w:bCs/>
          <w:rtl/>
        </w:rPr>
        <w:t xml:space="preserve"> ע"</w:t>
      </w:r>
      <w:r>
        <w:rPr>
          <w:rFonts w:cs="Arial" w:hint="cs"/>
          <w:b/>
          <w:bCs/>
          <w:rtl/>
        </w:rPr>
        <w:t>ב</w:t>
      </w:r>
      <w:r w:rsidRPr="00B4651D">
        <w:rPr>
          <w:rFonts w:cs="Arial" w:hint="cs"/>
          <w:b/>
          <w:bCs/>
          <w:rtl/>
        </w:rPr>
        <w:t xml:space="preserve">: </w:t>
      </w:r>
      <w:r w:rsidRPr="00FA0BA5">
        <w:rPr>
          <w:rFonts w:cs="Arial"/>
          <w:u w:val="double"/>
          <w:rtl/>
        </w:rPr>
        <w:t>משנה</w:t>
      </w:r>
      <w:r>
        <w:rPr>
          <w:rFonts w:cs="Arial" w:hint="cs"/>
          <w:rtl/>
        </w:rPr>
        <w:t>:</w:t>
      </w:r>
      <w:r w:rsidRPr="00FA0BA5">
        <w:rPr>
          <w:rFonts w:cs="Arial"/>
          <w:rtl/>
        </w:rPr>
        <w:t xml:space="preserve"> משלחין כלים</w:t>
      </w:r>
      <w:r>
        <w:rPr>
          <w:rFonts w:cs="Arial" w:hint="cs"/>
          <w:rtl/>
        </w:rPr>
        <w:t>..</w:t>
      </w:r>
      <w:r w:rsidRPr="00FA0BA5">
        <w:rPr>
          <w:rFonts w:cs="Arial"/>
          <w:rtl/>
        </w:rPr>
        <w:t>. זה הכלל: כל שנאותין בו - ביום טוב משלחין אותו.</w:t>
      </w:r>
      <w:r>
        <w:rPr>
          <w:rFonts w:cs="Arial" w:hint="cs"/>
          <w:rtl/>
        </w:rPr>
        <w:t xml:space="preserve">..     </w:t>
      </w:r>
      <w:r w:rsidRPr="00FA0BA5">
        <w:rPr>
          <w:rFonts w:cs="Arial"/>
          <w:rtl/>
        </w:rPr>
        <w:t xml:space="preserve"> </w:t>
      </w:r>
      <w:r w:rsidRPr="00726F74">
        <w:rPr>
          <w:rFonts w:cs="Arial" w:hint="cs"/>
          <w:u w:val="double"/>
          <w:rtl/>
        </w:rPr>
        <w:t>גמ'</w:t>
      </w:r>
      <w:r w:rsidRPr="00726F74">
        <w:rPr>
          <w:rFonts w:cs="Arial" w:hint="cs"/>
          <w:sz w:val="14"/>
          <w:szCs w:val="14"/>
          <w:u w:val="double"/>
          <w:rtl/>
        </w:rPr>
        <w:t>(</w:t>
      </w:r>
      <w:r>
        <w:rPr>
          <w:rFonts w:cs="Arial" w:hint="cs"/>
          <w:sz w:val="14"/>
          <w:szCs w:val="14"/>
          <w:u w:val="double"/>
          <w:rtl/>
        </w:rPr>
        <w:t>טו</w:t>
      </w:r>
      <w:r w:rsidRPr="00726F74">
        <w:rPr>
          <w:rFonts w:cs="Arial" w:hint="cs"/>
          <w:sz w:val="14"/>
          <w:szCs w:val="14"/>
          <w:u w:val="double"/>
          <w:rtl/>
        </w:rPr>
        <w:t>.)</w:t>
      </w:r>
      <w:r w:rsidRPr="00726F74">
        <w:rPr>
          <w:rFonts w:cs="Arial" w:hint="cs"/>
          <w:u w:val="double"/>
          <w:rtl/>
        </w:rPr>
        <w:t>:</w:t>
      </w:r>
      <w:r w:rsidRPr="00726F74">
        <w:rPr>
          <w:rFonts w:cs="Arial"/>
          <w:rtl/>
        </w:rPr>
        <w:t xml:space="preserve"> </w:t>
      </w:r>
      <w:r>
        <w:rPr>
          <w:rFonts w:cs="Arial"/>
          <w:rtl/>
        </w:rPr>
        <w:t xml:space="preserve">זה הכלל כל שנאותין בו ביום טוב. </w:t>
      </w:r>
      <w:r w:rsidRPr="00B4651D">
        <w:rPr>
          <w:rFonts w:cs="Arial"/>
          <w:u w:val="single"/>
          <w:rtl/>
        </w:rPr>
        <w:t>רב ששת</w:t>
      </w:r>
      <w:r>
        <w:rPr>
          <w:rFonts w:cs="Arial"/>
          <w:rtl/>
        </w:rPr>
        <w:t xml:space="preserve"> שרא להו לרבנן לשדורי תפלין ביומא טבא. </w:t>
      </w:r>
      <w:r w:rsidRPr="00B4651D">
        <w:rPr>
          <w:rFonts w:cs="Arial"/>
          <w:u w:val="single"/>
          <w:rtl/>
        </w:rPr>
        <w:t>אמר ליה אביי</w:t>
      </w:r>
      <w:r>
        <w:rPr>
          <w:rFonts w:cs="Arial"/>
          <w:rtl/>
        </w:rPr>
        <w:t>: והא אנן תנן: כל שנאותין בו ביום טוב משלחין אותו! הכי קאמר: כל שנאותין בו בחול משלחין אותו ביום טוב.</w:t>
      </w:r>
      <w:r>
        <w:rPr>
          <w:rFonts w:hint="cs"/>
          <w:rtl/>
        </w:rPr>
        <w:t xml:space="preserve"> </w:t>
      </w:r>
      <w:r>
        <w:rPr>
          <w:rFonts w:hint="cs"/>
          <w:sz w:val="16"/>
          <w:szCs w:val="16"/>
          <w:rtl/>
        </w:rPr>
        <w:t>(</w:t>
      </w:r>
      <w:r w:rsidRPr="00B4651D">
        <w:rPr>
          <w:rFonts w:cs="Arial"/>
          <w:sz w:val="16"/>
          <w:szCs w:val="16"/>
          <w:rtl/>
        </w:rPr>
        <w:t>ואתי לאתויי תפלין דמשלחין אותן דהא אפילו אם מניח אותן ליכא אסורא</w:t>
      </w:r>
      <w:r w:rsidR="008D1F2C">
        <w:rPr>
          <w:rFonts w:cs="Arial" w:hint="cs"/>
          <w:sz w:val="16"/>
          <w:szCs w:val="16"/>
          <w:rtl/>
        </w:rPr>
        <w:t>,</w:t>
      </w:r>
      <w:r w:rsidRPr="00B4651D">
        <w:rPr>
          <w:rFonts w:cs="Arial"/>
          <w:sz w:val="16"/>
          <w:szCs w:val="16"/>
          <w:rtl/>
        </w:rPr>
        <w:t xml:space="preserve"> אבל לא תני לאתויי סנדל המסומר דודאי יהא אסור לשלחו</w:t>
      </w:r>
      <w:r w:rsidR="00051C09">
        <w:rPr>
          <w:rFonts w:cs="Arial" w:hint="cs"/>
          <w:sz w:val="16"/>
          <w:szCs w:val="16"/>
          <w:rtl/>
        </w:rPr>
        <w:t>,</w:t>
      </w:r>
      <w:r w:rsidRPr="00B4651D">
        <w:rPr>
          <w:rFonts w:cs="Arial"/>
          <w:sz w:val="16"/>
          <w:szCs w:val="16"/>
          <w:rtl/>
        </w:rPr>
        <w:t xml:space="preserve"> דאי שרית לשלחו אתי לנעלו דאיכא איסורא בדבר זה</w:t>
      </w:r>
      <w:r w:rsidR="00051C09">
        <w:rPr>
          <w:rFonts w:cs="Arial" w:hint="cs"/>
          <w:sz w:val="16"/>
          <w:szCs w:val="16"/>
          <w:rtl/>
        </w:rPr>
        <w:t>,</w:t>
      </w:r>
      <w:r w:rsidRPr="00B4651D">
        <w:rPr>
          <w:rFonts w:cs="Arial"/>
          <w:sz w:val="16"/>
          <w:szCs w:val="16"/>
          <w:rtl/>
        </w:rPr>
        <w:t xml:space="preserve"> אבל תפלין (נהי דשבת ויום טוב לאו זמן תפילין הן) מכל מקום ליכא איסורא להניחן</w:t>
      </w:r>
      <w:r>
        <w:rPr>
          <w:rFonts w:cs="Arial" w:hint="cs"/>
          <w:sz w:val="16"/>
          <w:szCs w:val="16"/>
          <w:rtl/>
        </w:rPr>
        <w:t>, תוס' (ד"ה הכי קאמר כל שנאותין))</w:t>
      </w:r>
    </w:p>
    <w:p w14:paraId="7C21ACE4" w14:textId="430E616F" w:rsidR="001B7B8C" w:rsidRDefault="001B7B8C" w:rsidP="00434A6A">
      <w:pPr>
        <w:rPr>
          <w:rFonts w:cs="Arial"/>
          <w:rtl/>
        </w:rPr>
      </w:pPr>
      <w:r w:rsidRPr="00171855">
        <w:rPr>
          <w:rFonts w:cs="Arial" w:hint="cs"/>
          <w:u w:val="single"/>
          <w:rtl/>
        </w:rPr>
        <w:t>טלטול תפילין:</w:t>
      </w:r>
    </w:p>
    <w:p w14:paraId="32F2A2E9" w14:textId="6DD956DB" w:rsidR="001B7B8C" w:rsidRPr="00B4651D" w:rsidRDefault="001B7B8C" w:rsidP="00434A6A">
      <w:pPr>
        <w:pStyle w:val="aa"/>
        <w:numPr>
          <w:ilvl w:val="0"/>
          <w:numId w:val="3"/>
        </w:numPr>
        <w:rPr>
          <w:rFonts w:cs="Arial"/>
        </w:rPr>
      </w:pPr>
      <w:r w:rsidRPr="00171855">
        <w:rPr>
          <w:rFonts w:cs="Arial"/>
          <w:rtl/>
        </w:rPr>
        <w:t>ספר מקדש</w:t>
      </w:r>
      <w:r>
        <w:rPr>
          <w:rFonts w:cs="Arial" w:hint="cs"/>
          <w:sz w:val="16"/>
          <w:szCs w:val="16"/>
          <w:rtl/>
        </w:rPr>
        <w:t xml:space="preserve"> (הביאו הב"י)</w:t>
      </w:r>
      <w:r>
        <w:rPr>
          <w:rFonts w:cs="Arial" w:hint="cs"/>
          <w:rtl/>
        </w:rPr>
        <w:t xml:space="preserve">- </w:t>
      </w:r>
      <w:r w:rsidRPr="00171855">
        <w:rPr>
          <w:rFonts w:cs="Arial"/>
          <w:rtl/>
        </w:rPr>
        <w:t>אסור לטלטל תפ</w:t>
      </w:r>
      <w:r>
        <w:rPr>
          <w:rFonts w:cs="Arial" w:hint="cs"/>
          <w:rtl/>
        </w:rPr>
        <w:t>י</w:t>
      </w:r>
      <w:r w:rsidRPr="00171855">
        <w:rPr>
          <w:rFonts w:cs="Arial"/>
          <w:rtl/>
        </w:rPr>
        <w:t>לין בשבת</w:t>
      </w:r>
      <w:r>
        <w:rPr>
          <w:rFonts w:cs="Arial" w:hint="cs"/>
          <w:rtl/>
        </w:rPr>
        <w:t>,</w:t>
      </w:r>
      <w:r w:rsidRPr="00171855">
        <w:rPr>
          <w:rFonts w:cs="Arial"/>
          <w:rtl/>
        </w:rPr>
        <w:t xml:space="preserve"> וראיה מדאמרינן בפרק הניזקין (גיטין ס.) דסיפרא דאפטרתא אי לאו דשרי למיקרי ביה הוה אסור לטלטולי</w:t>
      </w:r>
      <w:r>
        <w:rPr>
          <w:rFonts w:cs="Arial" w:hint="cs"/>
          <w:rtl/>
        </w:rPr>
        <w:t>...</w:t>
      </w:r>
      <w:r w:rsidRPr="00171855">
        <w:rPr>
          <w:rFonts w:cs="Arial"/>
          <w:rtl/>
        </w:rPr>
        <w:t xml:space="preserve"> ומיהו קשה לי מדאמרינן בס</w:t>
      </w:r>
      <w:r>
        <w:rPr>
          <w:rFonts w:cs="Arial" w:hint="cs"/>
          <w:rtl/>
        </w:rPr>
        <w:t xml:space="preserve">פ"ק </w:t>
      </w:r>
      <w:r w:rsidRPr="00171855">
        <w:rPr>
          <w:rFonts w:cs="Arial"/>
          <w:rtl/>
        </w:rPr>
        <w:t>דיום טוב (טו.) דשרי לשדורי תפילין ביום טוב</w:t>
      </w:r>
      <w:r>
        <w:rPr>
          <w:rFonts w:cs="Arial" w:hint="cs"/>
          <w:rtl/>
        </w:rPr>
        <w:t>.</w:t>
      </w:r>
      <w:r w:rsidRPr="00171855">
        <w:rPr>
          <w:rFonts w:cs="Arial"/>
          <w:rtl/>
        </w:rPr>
        <w:t xml:space="preserve"> וי"ל שלא התירו אלא מטעם שהוא נהנה בשילוחן</w:t>
      </w:r>
      <w:r>
        <w:rPr>
          <w:rFonts w:cs="Arial" w:hint="cs"/>
          <w:rtl/>
        </w:rPr>
        <w:t>.</w:t>
      </w:r>
      <w:r w:rsidRPr="00171855">
        <w:rPr>
          <w:rFonts w:cs="Arial"/>
          <w:rtl/>
        </w:rPr>
        <w:t xml:space="preserve"> ומעתה בשבת דלית ביה דין משלחין </w:t>
      </w:r>
      <w:r>
        <w:rPr>
          <w:rFonts w:cs="Arial" w:hint="cs"/>
          <w:rtl/>
        </w:rPr>
        <w:t xml:space="preserve">- </w:t>
      </w:r>
      <w:r w:rsidRPr="00171855">
        <w:rPr>
          <w:rFonts w:cs="Arial"/>
          <w:rtl/>
        </w:rPr>
        <w:t>אסור לטלטלן</w:t>
      </w:r>
      <w:r>
        <w:rPr>
          <w:rFonts w:cs="Arial" w:hint="cs"/>
          <w:rtl/>
        </w:rPr>
        <w:t>...</w:t>
      </w:r>
      <w:r w:rsidRPr="00171855">
        <w:rPr>
          <w:rFonts w:cs="Arial"/>
          <w:rtl/>
        </w:rPr>
        <w:t xml:space="preserve"> ומיהו יראה לי דלצורך גופו ולצורך מקומו מותר</w:t>
      </w:r>
      <w:r>
        <w:rPr>
          <w:rFonts w:cs="Arial" w:hint="cs"/>
          <w:rtl/>
        </w:rPr>
        <w:t>,</w:t>
      </w:r>
      <w:r w:rsidRPr="00171855">
        <w:rPr>
          <w:rFonts w:cs="Arial"/>
          <w:rtl/>
        </w:rPr>
        <w:t xml:space="preserve"> דבודאי לא דיינינן להו טפי מכלי שמלאכתו לאיסור</w:t>
      </w:r>
      <w:r>
        <w:rPr>
          <w:rStyle w:val="a9"/>
          <w:rFonts w:cs="Arial"/>
          <w:rtl/>
        </w:rPr>
        <w:footnoteReference w:id="1354"/>
      </w:r>
      <w:r w:rsidR="00BF33A2">
        <w:rPr>
          <w:rFonts w:cs="Arial" w:hint="cs"/>
          <w:sz w:val="16"/>
          <w:szCs w:val="16"/>
          <w:rtl/>
        </w:rPr>
        <w:t xml:space="preserve"> (ל' הב"י בשמו)</w:t>
      </w:r>
      <w:r>
        <w:rPr>
          <w:rFonts w:cs="Arial" w:hint="cs"/>
          <w:rtl/>
        </w:rPr>
        <w:t>.</w:t>
      </w:r>
      <w:r w:rsidR="00CF62AC">
        <w:rPr>
          <w:rFonts w:cs="Arial" w:hint="cs"/>
          <w:rtl/>
        </w:rPr>
        <w:t xml:space="preserve"> (וכ"פ ט"ז </w:t>
      </w:r>
      <w:r w:rsidR="00CF62AC">
        <w:rPr>
          <w:rFonts w:cs="Arial" w:hint="cs"/>
          <w:sz w:val="16"/>
          <w:szCs w:val="16"/>
          <w:rtl/>
        </w:rPr>
        <w:t xml:space="preserve">[סק"ג] </w:t>
      </w:r>
      <w:r w:rsidR="00CF62AC">
        <w:rPr>
          <w:rFonts w:cs="Arial" w:hint="cs"/>
          <w:rtl/>
        </w:rPr>
        <w:t xml:space="preserve">מג"א </w:t>
      </w:r>
      <w:r w:rsidR="00CF62AC">
        <w:rPr>
          <w:rFonts w:cs="Arial" w:hint="cs"/>
          <w:sz w:val="16"/>
          <w:szCs w:val="16"/>
          <w:rtl/>
        </w:rPr>
        <w:t xml:space="preserve">[סקי"א] </w:t>
      </w:r>
      <w:r w:rsidR="00CF62AC">
        <w:rPr>
          <w:rFonts w:cs="Arial" w:hint="cs"/>
          <w:rtl/>
        </w:rPr>
        <w:t>ובא"ח</w:t>
      </w:r>
      <w:r w:rsidR="00CF62AC" w:rsidRPr="00CF62AC">
        <w:rPr>
          <w:rFonts w:asciiTheme="minorBidi" w:hAnsiTheme="minorBidi" w:cs="Arial"/>
          <w:rtl/>
        </w:rPr>
        <w:t xml:space="preserve"> </w:t>
      </w:r>
      <w:r w:rsidR="00CF62AC" w:rsidRPr="00CF62AC">
        <w:rPr>
          <w:rFonts w:asciiTheme="minorBidi" w:hAnsiTheme="minorBidi" w:cs="Arial" w:hint="cs"/>
          <w:sz w:val="16"/>
          <w:szCs w:val="16"/>
          <w:rtl/>
        </w:rPr>
        <w:t>[</w:t>
      </w:r>
      <w:r w:rsidR="00CF62AC" w:rsidRPr="00CF62AC">
        <w:rPr>
          <w:rFonts w:asciiTheme="minorBidi" w:hAnsiTheme="minorBidi" w:cs="Arial"/>
          <w:sz w:val="16"/>
          <w:szCs w:val="16"/>
          <w:rtl/>
        </w:rPr>
        <w:t>פרשת מקץ סע</w:t>
      </w:r>
      <w:r w:rsidR="00CF62AC" w:rsidRPr="00CF62AC">
        <w:rPr>
          <w:rFonts w:asciiTheme="minorBidi" w:hAnsiTheme="minorBidi" w:cs="Arial" w:hint="cs"/>
          <w:sz w:val="16"/>
          <w:szCs w:val="16"/>
          <w:rtl/>
        </w:rPr>
        <w:t xml:space="preserve">' </w:t>
      </w:r>
      <w:r w:rsidR="00CF62AC" w:rsidRPr="00CF62AC">
        <w:rPr>
          <w:rFonts w:asciiTheme="minorBidi" w:hAnsiTheme="minorBidi" w:cs="Arial"/>
          <w:sz w:val="16"/>
          <w:szCs w:val="16"/>
          <w:rtl/>
        </w:rPr>
        <w:t>ב</w:t>
      </w:r>
      <w:r w:rsidR="00CF62AC" w:rsidRPr="00CF62AC">
        <w:rPr>
          <w:rFonts w:asciiTheme="minorBidi" w:hAnsiTheme="minorBidi" w:cs="Arial" w:hint="cs"/>
          <w:sz w:val="16"/>
          <w:szCs w:val="16"/>
          <w:rtl/>
        </w:rPr>
        <w:t>]</w:t>
      </w:r>
      <w:r w:rsidR="00CF62AC">
        <w:rPr>
          <w:rFonts w:cs="Arial" w:hint="cs"/>
          <w:rtl/>
        </w:rPr>
        <w:t>)</w:t>
      </w:r>
    </w:p>
    <w:p w14:paraId="72F4B12F" w14:textId="40326D49" w:rsidR="001B7B8C" w:rsidRPr="001B7B8C" w:rsidRDefault="001B7B8C" w:rsidP="00434A6A">
      <w:pPr>
        <w:pStyle w:val="aa"/>
        <w:numPr>
          <w:ilvl w:val="0"/>
          <w:numId w:val="3"/>
        </w:numPr>
        <w:rPr>
          <w:rFonts w:cs="Arial"/>
          <w:rtl/>
        </w:rPr>
      </w:pPr>
      <w:r>
        <w:rPr>
          <w:rFonts w:cs="Arial" w:hint="cs"/>
          <w:rtl/>
        </w:rPr>
        <w:t>רש"י</w:t>
      </w:r>
      <w:r w:rsidRPr="00B4651D">
        <w:rPr>
          <w:rFonts w:cs="Arial" w:hint="cs"/>
          <w:sz w:val="16"/>
          <w:szCs w:val="16"/>
          <w:rtl/>
        </w:rPr>
        <w:t xml:space="preserve"> (ביצה טו. ד"ה משלחין)</w:t>
      </w:r>
      <w:r>
        <w:rPr>
          <w:rFonts w:cs="Arial" w:hint="cs"/>
          <w:rtl/>
        </w:rPr>
        <w:t xml:space="preserve"> תוס' </w:t>
      </w:r>
      <w:r>
        <w:rPr>
          <w:rFonts w:cs="Arial" w:hint="cs"/>
          <w:sz w:val="16"/>
          <w:szCs w:val="16"/>
          <w:rtl/>
        </w:rPr>
        <w:t>(ביצה טו.</w:t>
      </w:r>
      <w:r w:rsidRPr="00B4651D">
        <w:rPr>
          <w:rFonts w:cs="Arial" w:hint="cs"/>
          <w:sz w:val="16"/>
          <w:szCs w:val="16"/>
          <w:rtl/>
        </w:rPr>
        <w:t xml:space="preserve"> </w:t>
      </w:r>
      <w:r>
        <w:rPr>
          <w:rFonts w:cs="Arial" w:hint="cs"/>
          <w:sz w:val="16"/>
          <w:szCs w:val="16"/>
          <w:rtl/>
        </w:rPr>
        <w:t>ד"ה הכי קאמר כל שנאותין)</w:t>
      </w:r>
      <w:r>
        <w:rPr>
          <w:rFonts w:cs="Arial" w:hint="cs"/>
          <w:rtl/>
        </w:rPr>
        <w:t xml:space="preserve"> ר"ן</w:t>
      </w:r>
      <w:r w:rsidRPr="00FA0BA5">
        <w:rPr>
          <w:rFonts w:cs="Arial" w:hint="cs"/>
          <w:sz w:val="16"/>
          <w:szCs w:val="16"/>
          <w:rtl/>
        </w:rPr>
        <w:t xml:space="preserve"> (ביצה ח.)</w:t>
      </w:r>
      <w:r w:rsidRPr="001B7B8C">
        <w:rPr>
          <w:rFonts w:cs="Arial" w:hint="cs"/>
          <w:rtl/>
        </w:rPr>
        <w:t xml:space="preserve"> </w:t>
      </w:r>
      <w:r>
        <w:rPr>
          <w:rFonts w:cs="Arial" w:hint="cs"/>
          <w:rtl/>
        </w:rPr>
        <w:t>ותרוה"ד</w:t>
      </w:r>
      <w:r w:rsidRPr="004F1EC2">
        <w:rPr>
          <w:rFonts w:cs="Arial"/>
          <w:rtl/>
        </w:rPr>
        <w:t xml:space="preserve"> </w:t>
      </w:r>
      <w:r w:rsidRPr="001B7B8C">
        <w:rPr>
          <w:rFonts w:cs="Arial"/>
          <w:sz w:val="16"/>
          <w:szCs w:val="16"/>
          <w:rtl/>
        </w:rPr>
        <w:t>(סי' ע)</w:t>
      </w:r>
      <w:r>
        <w:rPr>
          <w:rFonts w:cs="Arial" w:hint="cs"/>
          <w:rtl/>
        </w:rPr>
        <w:t>-</w:t>
      </w:r>
      <w:r w:rsidRPr="00B4651D">
        <w:rPr>
          <w:rtl/>
        </w:rPr>
        <w:t xml:space="preserve"> </w:t>
      </w:r>
      <w:r w:rsidRPr="001B7B8C">
        <w:rPr>
          <w:rFonts w:cs="Arial"/>
          <w:rtl/>
        </w:rPr>
        <w:t>יראה דהיתר גמור הוא לטלטל תפילין בשבת וביו"ט אם יש שום צורך בדבר</w:t>
      </w:r>
      <w:r>
        <w:rPr>
          <w:rFonts w:cs="Arial" w:hint="cs"/>
          <w:rtl/>
        </w:rPr>
        <w:t xml:space="preserve"> </w:t>
      </w:r>
      <w:r>
        <w:rPr>
          <w:rFonts w:cs="Arial" w:hint="cs"/>
          <w:sz w:val="16"/>
          <w:szCs w:val="16"/>
          <w:rtl/>
        </w:rPr>
        <w:t>(ל' תרוה"ד)</w:t>
      </w:r>
      <w:r w:rsidRPr="00B4651D">
        <w:rPr>
          <w:rFonts w:cs="Arial" w:hint="cs"/>
          <w:rtl/>
        </w:rPr>
        <w:t>.</w:t>
      </w:r>
      <w:r w:rsidRPr="00B4651D">
        <w:rPr>
          <w:rFonts w:cs="Arial"/>
          <w:rtl/>
        </w:rPr>
        <w:t xml:space="preserve"> </w:t>
      </w:r>
      <w:r w:rsidRPr="001B7B8C">
        <w:rPr>
          <w:rFonts w:cs="Arial" w:hint="cs"/>
          <w:color w:val="00B0F0"/>
          <w:rtl/>
        </w:rPr>
        <w:t>(וכ"פ הרמ"א)</w:t>
      </w:r>
    </w:p>
    <w:p w14:paraId="09C887B2"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6D0A7088" w14:textId="4C3258B6" w:rsidR="000C6229" w:rsidRDefault="000C6229" w:rsidP="00434A6A">
      <w:pPr>
        <w:rPr>
          <w:rFonts w:asciiTheme="minorBidi" w:hAnsiTheme="minorBidi"/>
          <w:rtl/>
        </w:rPr>
      </w:pPr>
      <w:r w:rsidRPr="005275DF">
        <w:rPr>
          <w:rFonts w:asciiTheme="minorBidi" w:hAnsiTheme="minorBidi"/>
          <w:rtl/>
        </w:rPr>
        <w:t>כלי שמלאכתו להיתר, מותר לטלטלו אפי</w:t>
      </w:r>
      <w:r w:rsidR="00A7715C">
        <w:rPr>
          <w:rFonts w:asciiTheme="minorBidi" w:hAnsiTheme="minorBidi" w:hint="cs"/>
          <w:rtl/>
        </w:rPr>
        <w:t>לו</w:t>
      </w:r>
      <w:r w:rsidRPr="005275DF">
        <w:rPr>
          <w:rFonts w:asciiTheme="minorBidi" w:hAnsiTheme="minorBidi"/>
          <w:rtl/>
        </w:rPr>
        <w:t xml:space="preserve"> אינו אלא לצורך הכלי שמא ישבר או יגנב</w:t>
      </w:r>
      <w:r w:rsidR="00A7715C">
        <w:rPr>
          <w:rFonts w:asciiTheme="minorBidi" w:hAnsiTheme="minorBidi" w:hint="cs"/>
          <w:rtl/>
        </w:rPr>
        <w:t>.</w:t>
      </w:r>
      <w:r w:rsidRPr="005275DF">
        <w:rPr>
          <w:rFonts w:asciiTheme="minorBidi" w:hAnsiTheme="minorBidi"/>
          <w:rtl/>
        </w:rPr>
        <w:t xml:space="preserve"> אבל שלא לצורך כלל</w:t>
      </w:r>
      <w:r w:rsidR="00785699">
        <w:rPr>
          <w:rStyle w:val="a9"/>
          <w:rFonts w:asciiTheme="minorBidi" w:hAnsiTheme="minorBidi"/>
          <w:rtl/>
        </w:rPr>
        <w:footnoteReference w:id="1355"/>
      </w:r>
      <w:r w:rsidRPr="005275DF">
        <w:rPr>
          <w:rFonts w:asciiTheme="minorBidi" w:hAnsiTheme="minorBidi"/>
          <w:rtl/>
        </w:rPr>
        <w:t>, אסור</w:t>
      </w:r>
      <w:r w:rsidR="00247F03">
        <w:rPr>
          <w:rStyle w:val="a9"/>
          <w:rFonts w:asciiTheme="minorBidi" w:hAnsiTheme="minorBidi"/>
          <w:rtl/>
        </w:rPr>
        <w:footnoteReference w:id="1356"/>
      </w:r>
      <w:r w:rsidRPr="005275DF">
        <w:rPr>
          <w:rFonts w:asciiTheme="minorBidi" w:hAnsiTheme="minorBidi"/>
          <w:rtl/>
        </w:rPr>
        <w:t xml:space="preserve"> לטלטל</w:t>
      </w:r>
      <w:r w:rsidR="00B05CDB">
        <w:rPr>
          <w:rFonts w:asciiTheme="minorBidi" w:hAnsiTheme="minorBidi" w:hint="cs"/>
          <w:rtl/>
        </w:rPr>
        <w:t>ו</w:t>
      </w:r>
      <w:r w:rsidRPr="005275DF">
        <w:rPr>
          <w:rFonts w:asciiTheme="minorBidi" w:hAnsiTheme="minorBidi"/>
          <w:rtl/>
        </w:rPr>
        <w:t>. כתבי הקודש</w:t>
      </w:r>
      <w:r w:rsidR="00785699">
        <w:rPr>
          <w:rStyle w:val="a9"/>
          <w:rFonts w:asciiTheme="minorBidi" w:hAnsiTheme="minorBidi"/>
          <w:rtl/>
        </w:rPr>
        <w:footnoteReference w:id="1357"/>
      </w:r>
      <w:r w:rsidRPr="005275DF">
        <w:rPr>
          <w:rFonts w:asciiTheme="minorBidi" w:hAnsiTheme="minorBidi"/>
          <w:rtl/>
        </w:rPr>
        <w:t xml:space="preserve"> ואוכלין</w:t>
      </w:r>
      <w:r w:rsidR="00785699">
        <w:rPr>
          <w:rStyle w:val="a9"/>
          <w:rFonts w:asciiTheme="minorBidi" w:hAnsiTheme="minorBidi"/>
          <w:rtl/>
        </w:rPr>
        <w:footnoteReference w:id="1358"/>
      </w:r>
      <w:r w:rsidRPr="005275DF">
        <w:rPr>
          <w:rFonts w:asciiTheme="minorBidi" w:hAnsiTheme="minorBidi"/>
          <w:rtl/>
        </w:rPr>
        <w:t>, מותר לטלטלם אפי</w:t>
      </w:r>
      <w:r w:rsidR="00A7715C">
        <w:rPr>
          <w:rFonts w:asciiTheme="minorBidi" w:hAnsiTheme="minorBidi" w:hint="cs"/>
          <w:rtl/>
        </w:rPr>
        <w:t>לו</w:t>
      </w:r>
      <w:r w:rsidRPr="005275DF">
        <w:rPr>
          <w:rFonts w:asciiTheme="minorBidi" w:hAnsiTheme="minorBidi"/>
          <w:rtl/>
        </w:rPr>
        <w:t xml:space="preserve"> שלא לצורך כלל. </w:t>
      </w:r>
      <w:r w:rsidRPr="00A7715C">
        <w:rPr>
          <w:rFonts w:asciiTheme="minorBidi" w:hAnsiTheme="minorBidi"/>
          <w:sz w:val="18"/>
          <w:szCs w:val="18"/>
          <w:rtl/>
        </w:rPr>
        <w:t>הגה: ותפילין אין לטלטלם כי אם לצורך</w:t>
      </w:r>
      <w:r w:rsidR="00657250">
        <w:rPr>
          <w:rStyle w:val="a9"/>
          <w:rFonts w:asciiTheme="minorBidi" w:hAnsiTheme="minorBidi"/>
          <w:sz w:val="18"/>
          <w:szCs w:val="18"/>
          <w:rtl/>
        </w:rPr>
        <w:footnoteReference w:id="1359"/>
      </w:r>
      <w:r w:rsidRPr="00A7715C">
        <w:rPr>
          <w:rFonts w:asciiTheme="minorBidi" w:hAnsiTheme="minorBidi"/>
          <w:sz w:val="18"/>
          <w:szCs w:val="18"/>
          <w:rtl/>
        </w:rPr>
        <w:t xml:space="preserve"> (תר</w:t>
      </w:r>
      <w:r w:rsidR="0060692B">
        <w:rPr>
          <w:rFonts w:asciiTheme="minorBidi" w:hAnsiTheme="minorBidi" w:hint="cs"/>
          <w:sz w:val="18"/>
          <w:szCs w:val="18"/>
          <w:rtl/>
        </w:rPr>
        <w:t>ו</w:t>
      </w:r>
      <w:r w:rsidRPr="00A7715C">
        <w:rPr>
          <w:rFonts w:asciiTheme="minorBidi" w:hAnsiTheme="minorBidi"/>
          <w:sz w:val="18"/>
          <w:szCs w:val="18"/>
          <w:rtl/>
        </w:rPr>
        <w:t>ה"ד ועיין בב"י). ושופר אסור לטלטלו כי אם לצורך גופו או מקומו</w:t>
      </w:r>
      <w:r w:rsidR="00657250">
        <w:rPr>
          <w:rStyle w:val="a9"/>
          <w:rFonts w:asciiTheme="minorBidi" w:hAnsiTheme="minorBidi"/>
          <w:sz w:val="18"/>
          <w:szCs w:val="18"/>
          <w:rtl/>
        </w:rPr>
        <w:footnoteReference w:id="1360"/>
      </w:r>
      <w:r w:rsidRPr="00A7715C">
        <w:rPr>
          <w:rFonts w:asciiTheme="minorBidi" w:hAnsiTheme="minorBidi"/>
          <w:sz w:val="18"/>
          <w:szCs w:val="18"/>
          <w:rtl/>
        </w:rPr>
        <w:t xml:space="preserve"> (הג"א).</w:t>
      </w:r>
      <w:r w:rsidRPr="005275DF">
        <w:rPr>
          <w:rFonts w:asciiTheme="minorBidi" w:hAnsiTheme="minorBidi"/>
          <w:rtl/>
        </w:rPr>
        <w:t xml:space="preserve"> </w:t>
      </w:r>
    </w:p>
    <w:p w14:paraId="2106B67E" w14:textId="77777777" w:rsidR="00CF62AC" w:rsidRPr="005275DF" w:rsidRDefault="00CF62AC" w:rsidP="00434A6A">
      <w:pPr>
        <w:rPr>
          <w:rFonts w:asciiTheme="minorBidi" w:hAnsiTheme="minorBidi"/>
          <w:rtl/>
        </w:rPr>
      </w:pPr>
    </w:p>
    <w:p w14:paraId="4BC6086B" w14:textId="77324CCF" w:rsidR="000C6229" w:rsidRDefault="000C6229" w:rsidP="00434A6A">
      <w:pPr>
        <w:pStyle w:val="2"/>
        <w:rPr>
          <w:rtl/>
        </w:rPr>
      </w:pPr>
      <w:r w:rsidRPr="005275DF">
        <w:rPr>
          <w:rtl/>
        </w:rPr>
        <w:t>סעיף ה</w:t>
      </w:r>
      <w:r w:rsidR="00F63421">
        <w:rPr>
          <w:rFonts w:hint="cs"/>
          <w:rtl/>
        </w:rPr>
        <w:t>:</w:t>
      </w:r>
      <w:r w:rsidR="00CF62AC">
        <w:rPr>
          <w:rFonts w:hint="cs"/>
          <w:rtl/>
        </w:rPr>
        <w:t xml:space="preserve"> טלטול מוקצה מחמת איסור ע"י ככר או תינוק.</w:t>
      </w:r>
    </w:p>
    <w:p w14:paraId="7DDF206F" w14:textId="6A6070AA" w:rsidR="002A45F7" w:rsidRDefault="002A45F7" w:rsidP="00434A6A">
      <w:pPr>
        <w:rPr>
          <w:rtl/>
        </w:rPr>
      </w:pPr>
      <w:r w:rsidRPr="002A45F7">
        <w:rPr>
          <w:rFonts w:hint="cs"/>
          <w:b/>
          <w:bCs/>
          <w:rtl/>
        </w:rPr>
        <w:t xml:space="preserve">שבת </w:t>
      </w:r>
      <w:r>
        <w:rPr>
          <w:rFonts w:hint="cs"/>
          <w:b/>
          <w:bCs/>
          <w:sz w:val="16"/>
          <w:szCs w:val="16"/>
          <w:rtl/>
        </w:rPr>
        <w:t>(פ' נוטל)</w:t>
      </w:r>
      <w:r>
        <w:rPr>
          <w:rFonts w:hint="cs"/>
          <w:b/>
          <w:bCs/>
          <w:rtl/>
        </w:rPr>
        <w:t xml:space="preserve"> </w:t>
      </w:r>
      <w:r w:rsidRPr="002A45F7">
        <w:rPr>
          <w:rFonts w:hint="cs"/>
          <w:b/>
          <w:bCs/>
          <w:rtl/>
        </w:rPr>
        <w:t xml:space="preserve">קמב ע"ב: </w:t>
      </w:r>
      <w:r>
        <w:rPr>
          <w:rFonts w:cs="Arial"/>
          <w:rtl/>
        </w:rPr>
        <w:t xml:space="preserve">מעות שעל הכר מנער וכו'. </w:t>
      </w:r>
      <w:r w:rsidRPr="002A45F7">
        <w:rPr>
          <w:rFonts w:cs="Arial"/>
          <w:u w:val="single"/>
          <w:rtl/>
        </w:rPr>
        <w:t>אמר רבי אושעיא</w:t>
      </w:r>
      <w:r>
        <w:rPr>
          <w:rFonts w:cs="Arial"/>
          <w:rtl/>
        </w:rPr>
        <w:t xml:space="preserve">: שכח ארנקי בחצר - מניח עליה ככר או תינוק, ומטלטלה. </w:t>
      </w:r>
      <w:r w:rsidRPr="002A45F7">
        <w:rPr>
          <w:rFonts w:cs="Arial"/>
          <w:u w:val="single"/>
          <w:rtl/>
        </w:rPr>
        <w:t>אמר רב יצחק</w:t>
      </w:r>
      <w:r>
        <w:rPr>
          <w:rFonts w:cs="Arial"/>
          <w:rtl/>
        </w:rPr>
        <w:t xml:space="preserve">: שכח לבינה בחצר - מניח עליה ככר או תינוק, ומטלטלה. </w:t>
      </w:r>
      <w:r w:rsidRPr="002A45F7">
        <w:rPr>
          <w:rFonts w:cs="Arial"/>
          <w:u w:val="single"/>
          <w:rtl/>
        </w:rPr>
        <w:t>אמר רבי יהודה בר שילא אמר רבי אסי</w:t>
      </w:r>
      <w:r>
        <w:rPr>
          <w:rFonts w:cs="Arial"/>
          <w:rtl/>
        </w:rPr>
        <w:t>: פעם אחת שכחו דסקיא מלאה מעות בסרטיא</w:t>
      </w:r>
      <w:r w:rsidR="00FB1400">
        <w:rPr>
          <w:rStyle w:val="a9"/>
          <w:rFonts w:cs="Arial"/>
          <w:rtl/>
        </w:rPr>
        <w:footnoteReference w:id="1361"/>
      </w:r>
      <w:r>
        <w:rPr>
          <w:rFonts w:cs="Arial"/>
          <w:rtl/>
        </w:rPr>
        <w:t xml:space="preserve">, ובאו ושאלו את רבי יוחנן, ואמר להן: הניחו עליה ככר או תינוק וטלטלוה. </w:t>
      </w:r>
      <w:r w:rsidRPr="002A45F7">
        <w:rPr>
          <w:rFonts w:cs="Arial"/>
          <w:u w:val="single"/>
          <w:rtl/>
        </w:rPr>
        <w:t>אמר מר זוטרא</w:t>
      </w:r>
      <w:r>
        <w:rPr>
          <w:rFonts w:cs="Arial"/>
          <w:rtl/>
        </w:rPr>
        <w:t xml:space="preserve">: הלכתא ככל הני שמעתתא בשוכח. </w:t>
      </w:r>
      <w:r w:rsidRPr="002A45F7">
        <w:rPr>
          <w:rFonts w:cs="Arial"/>
          <w:u w:val="single"/>
          <w:rtl/>
        </w:rPr>
        <w:t>רב אשי אמר</w:t>
      </w:r>
      <w:r>
        <w:rPr>
          <w:rFonts w:cs="Arial"/>
          <w:rtl/>
        </w:rPr>
        <w:t>: אפילו שכח נמי לא, ולא אמרו ככר או תינוק אלא למת בלבד. אביי מנח כפא אכיפי</w:t>
      </w:r>
      <w:r w:rsidR="004469F4">
        <w:rPr>
          <w:rStyle w:val="a9"/>
          <w:rFonts w:cs="Arial"/>
          <w:rtl/>
        </w:rPr>
        <w:footnoteReference w:id="1362"/>
      </w:r>
      <w:r>
        <w:rPr>
          <w:rFonts w:cs="Arial"/>
          <w:rtl/>
        </w:rPr>
        <w:t>. רבא מנח סכינא אבר יונה</w:t>
      </w:r>
      <w:r w:rsidR="004469F4">
        <w:rPr>
          <w:rStyle w:val="a9"/>
          <w:rFonts w:cs="Arial"/>
          <w:rtl/>
        </w:rPr>
        <w:footnoteReference w:id="1363"/>
      </w:r>
      <w:r>
        <w:rPr>
          <w:rFonts w:cs="Arial"/>
          <w:rtl/>
        </w:rPr>
        <w:t xml:space="preserve"> ומטלטלה. </w:t>
      </w:r>
      <w:r w:rsidRPr="004469F4">
        <w:rPr>
          <w:rFonts w:cs="Arial"/>
          <w:u w:val="single"/>
          <w:rtl/>
        </w:rPr>
        <w:t>אמר רב יוסף</w:t>
      </w:r>
      <w:r>
        <w:rPr>
          <w:rFonts w:cs="Arial"/>
          <w:rtl/>
        </w:rPr>
        <w:t>: כמה חריפא שמעתתא דדרדקי</w:t>
      </w:r>
      <w:r w:rsidR="004469F4">
        <w:rPr>
          <w:rStyle w:val="a9"/>
          <w:rFonts w:cs="Arial"/>
          <w:rtl/>
        </w:rPr>
        <w:footnoteReference w:id="1364"/>
      </w:r>
      <w:r w:rsidR="004469F4">
        <w:rPr>
          <w:rFonts w:cs="Arial" w:hint="cs"/>
          <w:rtl/>
        </w:rPr>
        <w:t>,</w:t>
      </w:r>
      <w:r>
        <w:rPr>
          <w:rFonts w:cs="Arial"/>
          <w:rtl/>
        </w:rPr>
        <w:t xml:space="preserve"> אימר דאמור רבנן</w:t>
      </w:r>
      <w:r w:rsidR="004469F4">
        <w:rPr>
          <w:rStyle w:val="a9"/>
          <w:rFonts w:cs="Arial"/>
          <w:rtl/>
        </w:rPr>
        <w:footnoteReference w:id="1365"/>
      </w:r>
      <w:r>
        <w:rPr>
          <w:rFonts w:cs="Arial"/>
          <w:rtl/>
        </w:rPr>
        <w:t xml:space="preserve"> בשוכח, לכתחילה מי אמור? </w:t>
      </w:r>
      <w:r w:rsidRPr="004469F4">
        <w:rPr>
          <w:rFonts w:cs="Arial"/>
          <w:u w:val="single"/>
          <w:rtl/>
        </w:rPr>
        <w:t>אמר אביי</w:t>
      </w:r>
      <w:r>
        <w:rPr>
          <w:rFonts w:cs="Arial"/>
          <w:rtl/>
        </w:rPr>
        <w:t xml:space="preserve">: אי לאו דאדם חשוב אנא, כפא אכיפי למה לי? הא חזו למיזגא עלייהו! </w:t>
      </w:r>
      <w:r w:rsidRPr="004469F4">
        <w:rPr>
          <w:rFonts w:cs="Arial"/>
          <w:u w:val="single"/>
          <w:rtl/>
        </w:rPr>
        <w:t>אמר רבא</w:t>
      </w:r>
      <w:r>
        <w:rPr>
          <w:rFonts w:cs="Arial"/>
          <w:rtl/>
        </w:rPr>
        <w:t>: אנא, אי לאו דאדם חשוב אנא - סכינא אבר יונה למה לי? הא חזי לי לאומצא! טעמא - דחזי לאומצא, הא לא חזי לאומצא - לא.</w:t>
      </w:r>
    </w:p>
    <w:p w14:paraId="2E24F622" w14:textId="13E3AD37" w:rsidR="00215402" w:rsidRPr="002A45F7" w:rsidRDefault="00215402" w:rsidP="00434A6A">
      <w:pPr>
        <w:rPr>
          <w:rtl/>
        </w:rPr>
      </w:pPr>
      <w:r w:rsidRPr="002A45F7">
        <w:rPr>
          <w:rFonts w:hint="cs"/>
          <w:b/>
          <w:bCs/>
          <w:rtl/>
        </w:rPr>
        <w:t xml:space="preserve">שבת </w:t>
      </w:r>
      <w:r>
        <w:rPr>
          <w:rFonts w:hint="cs"/>
          <w:b/>
          <w:bCs/>
          <w:sz w:val="16"/>
          <w:szCs w:val="16"/>
          <w:rtl/>
        </w:rPr>
        <w:t>(פ' כל הכלים)</w:t>
      </w:r>
      <w:r>
        <w:rPr>
          <w:rFonts w:hint="cs"/>
          <w:b/>
          <w:bCs/>
          <w:rtl/>
        </w:rPr>
        <w:t xml:space="preserve"> </w:t>
      </w:r>
      <w:r w:rsidRPr="002A45F7">
        <w:rPr>
          <w:rFonts w:hint="cs"/>
          <w:b/>
          <w:bCs/>
          <w:rtl/>
        </w:rPr>
        <w:t>ק</w:t>
      </w:r>
      <w:r>
        <w:rPr>
          <w:rFonts w:hint="cs"/>
          <w:b/>
          <w:bCs/>
          <w:rtl/>
        </w:rPr>
        <w:t>כג</w:t>
      </w:r>
      <w:r w:rsidRPr="002A45F7">
        <w:rPr>
          <w:rFonts w:hint="cs"/>
          <w:b/>
          <w:bCs/>
          <w:rtl/>
        </w:rPr>
        <w:t xml:space="preserve"> ע"</w:t>
      </w:r>
      <w:r>
        <w:rPr>
          <w:rFonts w:hint="cs"/>
          <w:b/>
          <w:bCs/>
          <w:rtl/>
        </w:rPr>
        <w:t>א</w:t>
      </w:r>
      <w:r w:rsidRPr="002A45F7">
        <w:rPr>
          <w:rFonts w:hint="cs"/>
          <w:b/>
          <w:bCs/>
          <w:rtl/>
        </w:rPr>
        <w:t>:</w:t>
      </w:r>
      <w:r>
        <w:rPr>
          <w:rFonts w:cs="Arial" w:hint="cs"/>
          <w:rtl/>
        </w:rPr>
        <w:t xml:space="preserve"> </w:t>
      </w:r>
      <w:r w:rsidRPr="00215402">
        <w:rPr>
          <w:rFonts w:cs="Arial"/>
          <w:u w:val="single"/>
          <w:rtl/>
        </w:rPr>
        <w:t>איתיביה אביי לרבה</w:t>
      </w:r>
      <w:r w:rsidRPr="00215402">
        <w:rPr>
          <w:rFonts w:cs="Arial"/>
          <w:rtl/>
        </w:rPr>
        <w:t xml:space="preserve">: מדוכה, אם יש בה שום - מטלטלין אותה, ואם לאו - אין מטלטלין אותה! </w:t>
      </w:r>
      <w:r w:rsidRPr="00215402">
        <w:rPr>
          <w:rFonts w:cs="Arial"/>
          <w:u w:val="single"/>
          <w:rtl/>
        </w:rPr>
        <w:t>אמר ליה</w:t>
      </w:r>
      <w:r w:rsidRPr="00215402">
        <w:rPr>
          <w:rFonts w:cs="Arial"/>
          <w:rtl/>
        </w:rPr>
        <w:t>:</w:t>
      </w:r>
      <w:r>
        <w:rPr>
          <w:rFonts w:cs="Arial" w:hint="cs"/>
          <w:rtl/>
        </w:rPr>
        <w:t>...</w:t>
      </w:r>
      <w:r w:rsidRPr="00215402">
        <w:rPr>
          <w:rFonts w:cs="Arial"/>
          <w:rtl/>
        </w:rPr>
        <w:t xml:space="preserve"> דאמר רב חיננא בר שלמיא משמיה דרב: הכל מודים בסיכי זיירי ומזורי דכיון דקפיד עלייהו - מייחד להו מקום, הני נמי</w:t>
      </w:r>
      <w:r>
        <w:rPr>
          <w:rStyle w:val="a9"/>
          <w:rFonts w:cs="Arial"/>
          <w:rtl/>
        </w:rPr>
        <w:footnoteReference w:id="1366"/>
      </w:r>
      <w:r w:rsidRPr="00215402">
        <w:rPr>
          <w:rFonts w:cs="Arial"/>
          <w:rtl/>
        </w:rPr>
        <w:t>: מייחד להו מקום</w:t>
      </w:r>
      <w:r w:rsidR="005A4AAA">
        <w:rPr>
          <w:rStyle w:val="a9"/>
          <w:rFonts w:cs="Arial"/>
          <w:rtl/>
        </w:rPr>
        <w:footnoteReference w:id="1367"/>
      </w:r>
      <w:r w:rsidRPr="00215402">
        <w:rPr>
          <w:rFonts w:cs="Arial"/>
          <w:rtl/>
        </w:rPr>
        <w:t>.</w:t>
      </w:r>
    </w:p>
    <w:p w14:paraId="0CAAEB25" w14:textId="06E0D742" w:rsidR="00CF62AC" w:rsidRPr="00CF62AC" w:rsidRDefault="00CF62AC" w:rsidP="00434A6A">
      <w:pPr>
        <w:rPr>
          <w:u w:val="single"/>
          <w:rtl/>
        </w:rPr>
      </w:pPr>
      <w:r w:rsidRPr="00CF62AC">
        <w:rPr>
          <w:rFonts w:hint="cs"/>
          <w:u w:val="single"/>
          <w:rtl/>
        </w:rPr>
        <w:t>טלטול מוקצה מחמת איסור ע"י ככר או תינוק:</w:t>
      </w:r>
    </w:p>
    <w:p w14:paraId="601343E3" w14:textId="2741B7F5" w:rsidR="00105AF1" w:rsidRPr="00CF62AC" w:rsidRDefault="00105AF1" w:rsidP="00434A6A">
      <w:pPr>
        <w:pStyle w:val="aa"/>
        <w:numPr>
          <w:ilvl w:val="0"/>
          <w:numId w:val="8"/>
        </w:numPr>
        <w:rPr>
          <w:rFonts w:cs="Arial"/>
          <w:rtl/>
        </w:rPr>
      </w:pPr>
      <w:r w:rsidRPr="00CF62AC">
        <w:rPr>
          <w:rFonts w:cs="Arial"/>
          <w:rtl/>
        </w:rPr>
        <w:t xml:space="preserve">רא"ש </w:t>
      </w:r>
      <w:r w:rsidRPr="00CF62AC">
        <w:rPr>
          <w:rFonts w:cs="Arial"/>
          <w:sz w:val="16"/>
          <w:szCs w:val="16"/>
          <w:rtl/>
        </w:rPr>
        <w:t>(כלל כב סי' ח)</w:t>
      </w:r>
      <w:r w:rsidR="0023461B">
        <w:rPr>
          <w:rFonts w:cs="Arial" w:hint="cs"/>
          <w:rtl/>
        </w:rPr>
        <w:t xml:space="preserve"> ורי"ו</w:t>
      </w:r>
      <w:r w:rsidR="0023461B" w:rsidRPr="0023461B">
        <w:rPr>
          <w:rtl/>
        </w:rPr>
        <w:t xml:space="preserve"> </w:t>
      </w:r>
      <w:r w:rsidR="0023461B" w:rsidRPr="0023461B">
        <w:rPr>
          <w:rFonts w:cs="Arial" w:hint="cs"/>
          <w:sz w:val="16"/>
          <w:szCs w:val="16"/>
          <w:rtl/>
        </w:rPr>
        <w:t>(</w:t>
      </w:r>
      <w:r w:rsidR="0023461B" w:rsidRPr="0023461B">
        <w:rPr>
          <w:rFonts w:cs="Arial"/>
          <w:sz w:val="16"/>
          <w:szCs w:val="16"/>
          <w:rtl/>
        </w:rPr>
        <w:t>תא</w:t>
      </w:r>
      <w:r w:rsidR="0023461B" w:rsidRPr="0023461B">
        <w:rPr>
          <w:rFonts w:cs="Arial" w:hint="cs"/>
          <w:sz w:val="16"/>
          <w:szCs w:val="16"/>
          <w:rtl/>
        </w:rPr>
        <w:t>"</w:t>
      </w:r>
      <w:r w:rsidR="0023461B" w:rsidRPr="0023461B">
        <w:rPr>
          <w:rFonts w:cs="Arial"/>
          <w:sz w:val="16"/>
          <w:szCs w:val="16"/>
          <w:rtl/>
        </w:rPr>
        <w:t>ו ני</w:t>
      </w:r>
      <w:r w:rsidR="0023461B" w:rsidRPr="0023461B">
        <w:rPr>
          <w:rFonts w:cs="Arial" w:hint="cs"/>
          <w:sz w:val="16"/>
          <w:szCs w:val="16"/>
          <w:rtl/>
        </w:rPr>
        <w:t>"</w:t>
      </w:r>
      <w:r w:rsidR="0023461B" w:rsidRPr="0023461B">
        <w:rPr>
          <w:rFonts w:cs="Arial"/>
          <w:sz w:val="16"/>
          <w:szCs w:val="16"/>
          <w:rtl/>
        </w:rPr>
        <w:t>ב חי</w:t>
      </w:r>
      <w:r w:rsidR="0023461B" w:rsidRPr="0023461B">
        <w:rPr>
          <w:rFonts w:cs="Arial" w:hint="cs"/>
          <w:sz w:val="16"/>
          <w:szCs w:val="16"/>
          <w:rtl/>
        </w:rPr>
        <w:t>"</w:t>
      </w:r>
      <w:r w:rsidR="0023461B" w:rsidRPr="0023461B">
        <w:rPr>
          <w:rFonts w:cs="Arial"/>
          <w:sz w:val="16"/>
          <w:szCs w:val="16"/>
          <w:rtl/>
        </w:rPr>
        <w:t>ג פה ב</w:t>
      </w:r>
      <w:r w:rsidR="0023461B" w:rsidRPr="0023461B">
        <w:rPr>
          <w:rFonts w:cs="Arial" w:hint="cs"/>
          <w:sz w:val="16"/>
          <w:szCs w:val="16"/>
          <w:rtl/>
        </w:rPr>
        <w:t>)</w:t>
      </w:r>
      <w:r>
        <w:rPr>
          <w:rFonts w:cs="Arial" w:hint="cs"/>
          <w:rtl/>
        </w:rPr>
        <w:t xml:space="preserve">- </w:t>
      </w:r>
      <w:r w:rsidRPr="005B618A">
        <w:rPr>
          <w:rFonts w:cs="Arial"/>
          <w:rtl/>
        </w:rPr>
        <w:t>דבר המוקצה מחמת מלאכתו שהיא מלאכת איסור</w:t>
      </w:r>
      <w:r w:rsidR="00C06D53">
        <w:rPr>
          <w:rFonts w:cs="Arial" w:hint="cs"/>
          <w:rtl/>
        </w:rPr>
        <w:t>,</w:t>
      </w:r>
      <w:r w:rsidRPr="005B618A">
        <w:rPr>
          <w:rFonts w:cs="Arial"/>
          <w:rtl/>
        </w:rPr>
        <w:t xml:space="preserve"> כקורנס הנפחים וכיוצא בהן</w:t>
      </w:r>
      <w:r w:rsidR="00C06D53">
        <w:rPr>
          <w:rFonts w:cs="Arial" w:hint="cs"/>
          <w:rtl/>
        </w:rPr>
        <w:t>,</w:t>
      </w:r>
      <w:r w:rsidRPr="005B618A">
        <w:rPr>
          <w:rFonts w:cs="Arial"/>
          <w:rtl/>
        </w:rPr>
        <w:t xml:space="preserve"> מותר לטלטל לצורך גופו ולצורך מקומו אבל מחמה לצל על ידו לא</w:t>
      </w:r>
      <w:r w:rsidR="00C06D53">
        <w:rPr>
          <w:rFonts w:cs="Arial" w:hint="cs"/>
          <w:rtl/>
        </w:rPr>
        <w:t>.</w:t>
      </w:r>
      <w:r w:rsidRPr="005B618A">
        <w:rPr>
          <w:rFonts w:cs="Arial"/>
          <w:rtl/>
        </w:rPr>
        <w:t xml:space="preserve"> אבל יש לו היתר אפילו מחמה לצל על ידי ככר או תינוק</w:t>
      </w:r>
      <w:r w:rsidR="00431AF6">
        <w:rPr>
          <w:rStyle w:val="a9"/>
          <w:rFonts w:cs="Arial"/>
          <w:rtl/>
        </w:rPr>
        <w:footnoteReference w:id="1368"/>
      </w:r>
      <w:r w:rsidR="00125184" w:rsidRPr="00125184">
        <w:rPr>
          <w:rFonts w:cs="Arial" w:hint="cs"/>
          <w:rtl/>
        </w:rPr>
        <w:t>...</w:t>
      </w:r>
      <w:r w:rsidR="00125184" w:rsidRPr="00125184">
        <w:rPr>
          <w:rFonts w:cs="Arial"/>
          <w:rtl/>
        </w:rPr>
        <w:t xml:space="preserve"> </w:t>
      </w:r>
      <w:r w:rsidR="00125184" w:rsidRPr="005B618A">
        <w:rPr>
          <w:rFonts w:cs="Arial"/>
          <w:rtl/>
        </w:rPr>
        <w:t>כיון שיש עליה תורת כלי</w:t>
      </w:r>
      <w:r w:rsidR="00125184">
        <w:rPr>
          <w:rStyle w:val="a9"/>
          <w:rFonts w:cs="Arial"/>
          <w:rtl/>
        </w:rPr>
        <w:footnoteReference w:id="1369"/>
      </w:r>
      <w:r w:rsidR="0023461B">
        <w:rPr>
          <w:rFonts w:cs="Arial" w:hint="cs"/>
          <w:sz w:val="16"/>
          <w:szCs w:val="16"/>
          <w:rtl/>
        </w:rPr>
        <w:t xml:space="preserve"> (ל' הרא"ש)</w:t>
      </w:r>
      <w:r w:rsidRPr="005B618A">
        <w:rPr>
          <w:rFonts w:cs="Arial"/>
          <w:rtl/>
        </w:rPr>
        <w:t>.</w:t>
      </w:r>
      <w:r w:rsidR="00431AF6">
        <w:rPr>
          <w:rFonts w:cs="Arial" w:hint="cs"/>
          <w:rtl/>
        </w:rPr>
        <w:t xml:space="preserve"> </w:t>
      </w:r>
      <w:r w:rsidR="00431AF6" w:rsidRPr="00431AF6">
        <w:rPr>
          <w:rFonts w:cs="Arial" w:hint="cs"/>
          <w:color w:val="E36C0A" w:themeColor="accent6" w:themeShade="BF"/>
          <w:rtl/>
        </w:rPr>
        <w:t>(וכ"</w:t>
      </w:r>
      <w:r w:rsidR="00431AF6">
        <w:rPr>
          <w:rFonts w:cs="Arial" w:hint="cs"/>
          <w:color w:val="E36C0A" w:themeColor="accent6" w:themeShade="BF"/>
          <w:rtl/>
        </w:rPr>
        <w:t>כ</w:t>
      </w:r>
      <w:r w:rsidR="00431AF6" w:rsidRPr="00431AF6">
        <w:rPr>
          <w:rFonts w:cs="Arial" w:hint="cs"/>
          <w:color w:val="E36C0A" w:themeColor="accent6" w:themeShade="BF"/>
          <w:rtl/>
        </w:rPr>
        <w:t xml:space="preserve"> בשו"ע)</w:t>
      </w:r>
      <w:r w:rsidR="006F3544" w:rsidRPr="006F3544">
        <w:rPr>
          <w:rFonts w:cs="Arial" w:hint="cs"/>
          <w:rtl/>
        </w:rPr>
        <w:t xml:space="preserve"> </w:t>
      </w:r>
    </w:p>
    <w:p w14:paraId="073DC1A6" w14:textId="5569AAC5" w:rsidR="00F63421" w:rsidRDefault="00F63421" w:rsidP="00434A6A">
      <w:pPr>
        <w:pStyle w:val="aa"/>
        <w:numPr>
          <w:ilvl w:val="0"/>
          <w:numId w:val="8"/>
        </w:numPr>
        <w:rPr>
          <w:rFonts w:cs="Arial"/>
        </w:rPr>
      </w:pPr>
      <w:r w:rsidRPr="00CF62AC">
        <w:rPr>
          <w:rFonts w:cs="Arial"/>
          <w:rtl/>
        </w:rPr>
        <w:t xml:space="preserve">בעל ההשלמה </w:t>
      </w:r>
      <w:r w:rsidRPr="005A4AAA">
        <w:rPr>
          <w:rFonts w:cs="Arial"/>
          <w:sz w:val="16"/>
          <w:szCs w:val="16"/>
          <w:rtl/>
        </w:rPr>
        <w:t>(שבת קכג.</w:t>
      </w:r>
      <w:r w:rsidR="005A4AAA" w:rsidRPr="005A4AAA">
        <w:rPr>
          <w:rFonts w:cs="Arial" w:hint="cs"/>
          <w:sz w:val="16"/>
          <w:szCs w:val="16"/>
          <w:rtl/>
        </w:rPr>
        <w:t>, כ"כ בשמו הכלבו [</w:t>
      </w:r>
      <w:r w:rsidR="005A4AAA" w:rsidRPr="005A4AAA">
        <w:rPr>
          <w:rFonts w:cs="Arial"/>
          <w:sz w:val="16"/>
          <w:szCs w:val="16"/>
          <w:rtl/>
        </w:rPr>
        <w:t>סי' לא, לב ע"ג</w:t>
      </w:r>
      <w:r w:rsidR="005A4AAA" w:rsidRPr="005A4AAA">
        <w:rPr>
          <w:rFonts w:cs="Arial" w:hint="cs"/>
          <w:sz w:val="16"/>
          <w:szCs w:val="16"/>
          <w:rtl/>
        </w:rPr>
        <w:t>]</w:t>
      </w:r>
      <w:r w:rsidRPr="005A4AAA">
        <w:rPr>
          <w:rFonts w:cs="Arial"/>
          <w:sz w:val="16"/>
          <w:szCs w:val="16"/>
          <w:rtl/>
        </w:rPr>
        <w:t>)</w:t>
      </w:r>
      <w:r w:rsidR="005A4AAA">
        <w:rPr>
          <w:rFonts w:cs="Arial" w:hint="cs"/>
          <w:rtl/>
        </w:rPr>
        <w:t xml:space="preserve">- </w:t>
      </w:r>
      <w:r w:rsidRPr="00CF62AC">
        <w:rPr>
          <w:rFonts w:cs="Arial"/>
          <w:rtl/>
        </w:rPr>
        <w:t>אסור</w:t>
      </w:r>
      <w:r w:rsidR="005B618A">
        <w:rPr>
          <w:rFonts w:cs="Arial" w:hint="cs"/>
          <w:rtl/>
        </w:rPr>
        <w:t>.</w:t>
      </w:r>
      <w:r w:rsidR="006F3544" w:rsidRPr="006F3544">
        <w:rPr>
          <w:rFonts w:cs="Arial" w:hint="cs"/>
          <w:rtl/>
        </w:rPr>
        <w:t xml:space="preserve"> </w:t>
      </w:r>
    </w:p>
    <w:p w14:paraId="3CE4BAFE" w14:textId="21649BF6" w:rsidR="00105AF1" w:rsidRDefault="00105AF1" w:rsidP="00434A6A">
      <w:pPr>
        <w:pStyle w:val="aa"/>
        <w:numPr>
          <w:ilvl w:val="0"/>
          <w:numId w:val="8"/>
        </w:numPr>
        <w:rPr>
          <w:rFonts w:cs="Arial"/>
        </w:rPr>
      </w:pPr>
      <w:r>
        <w:rPr>
          <w:rFonts w:cs="Arial" w:hint="cs"/>
          <w:rtl/>
        </w:rPr>
        <w:t>טור</w:t>
      </w:r>
      <w:r>
        <w:rPr>
          <w:rFonts w:cs="Arial" w:hint="cs"/>
          <w:sz w:val="16"/>
          <w:szCs w:val="16"/>
          <w:rtl/>
        </w:rPr>
        <w:t xml:space="preserve"> (סי' שיא)</w:t>
      </w:r>
      <w:r>
        <w:rPr>
          <w:rFonts w:cs="Arial" w:hint="cs"/>
          <w:rtl/>
        </w:rPr>
        <w:t xml:space="preserve">- </w:t>
      </w:r>
      <w:r w:rsidRPr="00105AF1">
        <w:rPr>
          <w:rFonts w:cs="Arial"/>
          <w:rtl/>
        </w:rPr>
        <w:t>מת שמוטל</w:t>
      </w:r>
      <w:r>
        <w:rPr>
          <w:rFonts w:cs="Arial" w:hint="cs"/>
          <w:rtl/>
        </w:rPr>
        <w:t>...</w:t>
      </w:r>
      <w:r w:rsidRPr="00105AF1">
        <w:rPr>
          <w:rFonts w:cs="Arial"/>
          <w:rtl/>
        </w:rPr>
        <w:t xml:space="preserve"> בחמה או בבזיון כגון שהוא מסריח אם יש לו ככר או תינוק מניחו עליו ומטלטלו על ידו</w:t>
      </w:r>
      <w:r>
        <w:rPr>
          <w:rFonts w:cs="Arial" w:hint="cs"/>
          <w:rtl/>
        </w:rPr>
        <w:t>...</w:t>
      </w:r>
      <w:r w:rsidRPr="00105AF1">
        <w:rPr>
          <w:rFonts w:cs="Arial"/>
          <w:rtl/>
        </w:rPr>
        <w:t xml:space="preserve"> אבל כל שאר דברים האסורין לטלטל לא התירו ע"י ככר או תינוק</w:t>
      </w:r>
      <w:r w:rsidR="005A4AAA">
        <w:rPr>
          <w:rStyle w:val="a9"/>
          <w:rFonts w:cs="Arial"/>
          <w:rtl/>
        </w:rPr>
        <w:footnoteReference w:id="1370"/>
      </w:r>
      <w:r w:rsidR="005A4AAA">
        <w:rPr>
          <w:rFonts w:cs="Arial" w:hint="cs"/>
          <w:rtl/>
        </w:rPr>
        <w:t>.</w:t>
      </w:r>
      <w:r w:rsidRPr="00105AF1">
        <w:rPr>
          <w:rFonts w:cs="Arial"/>
          <w:rtl/>
        </w:rPr>
        <w:t xml:space="preserve"> הלכך אותם שמטלטלים מנורה שהדליקו עליה בשבת ע"י ככר או תינוק לא יפה הם עושים</w:t>
      </w:r>
      <w:r w:rsidR="005A4AAA">
        <w:rPr>
          <w:rStyle w:val="a9"/>
          <w:rFonts w:cs="Arial"/>
          <w:rtl/>
        </w:rPr>
        <w:footnoteReference w:id="1371"/>
      </w:r>
      <w:r>
        <w:rPr>
          <w:rFonts w:cs="Arial" w:hint="cs"/>
          <w:rtl/>
        </w:rPr>
        <w:t>.</w:t>
      </w:r>
      <w:r w:rsidR="00A449B0">
        <w:rPr>
          <w:rFonts w:cs="Arial" w:hint="cs"/>
          <w:rtl/>
        </w:rPr>
        <w:t xml:space="preserve"> </w:t>
      </w:r>
      <w:r w:rsidR="00A449B0" w:rsidRPr="00431AF6">
        <w:rPr>
          <w:rFonts w:cs="Arial" w:hint="cs"/>
          <w:color w:val="E36C0A" w:themeColor="accent6" w:themeShade="BF"/>
          <w:rtl/>
        </w:rPr>
        <w:t>(וכ"</w:t>
      </w:r>
      <w:r w:rsidR="00A449B0">
        <w:rPr>
          <w:rFonts w:cs="Arial" w:hint="cs"/>
          <w:color w:val="E36C0A" w:themeColor="accent6" w:themeShade="BF"/>
          <w:rtl/>
        </w:rPr>
        <w:t>פ</w:t>
      </w:r>
      <w:r w:rsidR="00A449B0" w:rsidRPr="00431AF6">
        <w:rPr>
          <w:rFonts w:cs="Arial" w:hint="cs"/>
          <w:color w:val="E36C0A" w:themeColor="accent6" w:themeShade="BF"/>
          <w:rtl/>
        </w:rPr>
        <w:t xml:space="preserve"> בשו"ע</w:t>
      </w:r>
      <w:r w:rsidR="00A449B0">
        <w:rPr>
          <w:rFonts w:cs="Arial" w:hint="cs"/>
          <w:color w:val="E36C0A" w:themeColor="accent6" w:themeShade="BF"/>
          <w:sz w:val="16"/>
          <w:szCs w:val="16"/>
          <w:rtl/>
        </w:rPr>
        <w:t xml:space="preserve"> </w:t>
      </w:r>
      <w:r w:rsidR="00A449B0" w:rsidRPr="00A449B0">
        <w:rPr>
          <w:rFonts w:cs="Arial" w:hint="cs"/>
          <w:color w:val="000000" w:themeColor="text1"/>
          <w:sz w:val="16"/>
          <w:szCs w:val="16"/>
          <w:rtl/>
        </w:rPr>
        <w:t>[</w:t>
      </w:r>
      <w:r w:rsidR="00FE343C">
        <w:rPr>
          <w:rFonts w:cs="Arial" w:hint="cs"/>
          <w:color w:val="000000" w:themeColor="text1"/>
          <w:sz w:val="16"/>
          <w:szCs w:val="16"/>
          <w:rtl/>
        </w:rPr>
        <w:t>בסי' שיא ס"ה, ו</w:t>
      </w:r>
      <w:r w:rsidR="00A449B0">
        <w:rPr>
          <w:rFonts w:cs="Arial" w:hint="cs"/>
          <w:color w:val="000000" w:themeColor="text1"/>
          <w:sz w:val="16"/>
          <w:szCs w:val="16"/>
          <w:rtl/>
        </w:rPr>
        <w:t>בסי' רעט ס"ג]</w:t>
      </w:r>
      <w:r w:rsidR="00A449B0" w:rsidRPr="00431AF6">
        <w:rPr>
          <w:rFonts w:cs="Arial" w:hint="cs"/>
          <w:color w:val="E36C0A" w:themeColor="accent6" w:themeShade="BF"/>
          <w:rtl/>
        </w:rPr>
        <w:t>)</w:t>
      </w:r>
      <w:r w:rsidR="00A449B0">
        <w:rPr>
          <w:rFonts w:cs="Arial" w:hint="cs"/>
          <w:rtl/>
        </w:rPr>
        <w:t xml:space="preserve"> </w:t>
      </w:r>
      <w:r w:rsidR="006F3544">
        <w:rPr>
          <w:rFonts w:cs="Arial" w:hint="cs"/>
          <w:rtl/>
        </w:rPr>
        <w:t>(וכ"פ הט"ז</w:t>
      </w:r>
      <w:r w:rsidR="006F3544">
        <w:rPr>
          <w:rFonts w:cs="Arial" w:hint="cs"/>
          <w:sz w:val="16"/>
          <w:szCs w:val="16"/>
          <w:rtl/>
        </w:rPr>
        <w:t xml:space="preserve"> [סק"ד]</w:t>
      </w:r>
      <w:r w:rsidR="006F3544">
        <w:rPr>
          <w:rFonts w:cs="Arial" w:hint="cs"/>
          <w:rtl/>
        </w:rPr>
        <w:t>)</w:t>
      </w:r>
    </w:p>
    <w:p w14:paraId="673AA96F"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50830700" w14:textId="01F2D19B" w:rsidR="000C6229" w:rsidRPr="005275DF" w:rsidRDefault="000C6229" w:rsidP="00434A6A">
      <w:pPr>
        <w:rPr>
          <w:rFonts w:asciiTheme="minorBidi" w:hAnsiTheme="minorBidi"/>
          <w:rtl/>
        </w:rPr>
      </w:pPr>
      <w:r w:rsidRPr="005275DF">
        <w:rPr>
          <w:rFonts w:asciiTheme="minorBidi" w:hAnsiTheme="minorBidi"/>
          <w:rtl/>
        </w:rPr>
        <w:t>יש מתירים לטלטל כלי שמלאכתו לאיסור</w:t>
      </w:r>
      <w:r w:rsidR="00A449B0">
        <w:rPr>
          <w:rStyle w:val="a9"/>
          <w:rFonts w:asciiTheme="minorBidi" w:hAnsiTheme="minorBidi"/>
          <w:rtl/>
        </w:rPr>
        <w:footnoteReference w:id="1372"/>
      </w:r>
      <w:r w:rsidRPr="005275DF">
        <w:rPr>
          <w:rFonts w:asciiTheme="minorBidi" w:hAnsiTheme="minorBidi"/>
          <w:rtl/>
        </w:rPr>
        <w:t xml:space="preserve"> אפי</w:t>
      </w:r>
      <w:r w:rsidR="00511A5A">
        <w:rPr>
          <w:rFonts w:asciiTheme="minorBidi" w:hAnsiTheme="minorBidi" w:hint="cs"/>
          <w:rtl/>
        </w:rPr>
        <w:t>לו</w:t>
      </w:r>
      <w:r w:rsidRPr="005275DF">
        <w:rPr>
          <w:rFonts w:asciiTheme="minorBidi" w:hAnsiTheme="minorBidi"/>
          <w:rtl/>
        </w:rPr>
        <w:t xml:space="preserve"> מחמה לצל ע</w:t>
      </w:r>
      <w:r w:rsidR="00511A5A">
        <w:rPr>
          <w:rFonts w:asciiTheme="minorBidi" w:hAnsiTheme="minorBidi" w:hint="cs"/>
          <w:rtl/>
        </w:rPr>
        <w:t>ל ידי</w:t>
      </w:r>
      <w:r w:rsidRPr="005275DF">
        <w:rPr>
          <w:rFonts w:asciiTheme="minorBidi" w:hAnsiTheme="minorBidi"/>
          <w:rtl/>
        </w:rPr>
        <w:t xml:space="preserve"> ככר או תינוק</w:t>
      </w:r>
      <w:r w:rsidR="001419F4">
        <w:rPr>
          <w:rStyle w:val="a9"/>
          <w:rFonts w:asciiTheme="minorBidi" w:hAnsiTheme="minorBidi"/>
          <w:rtl/>
        </w:rPr>
        <w:footnoteReference w:id="1373"/>
      </w:r>
      <w:r w:rsidRPr="005275DF">
        <w:rPr>
          <w:rFonts w:asciiTheme="minorBidi" w:hAnsiTheme="minorBidi"/>
          <w:rtl/>
        </w:rPr>
        <w:t xml:space="preserve">. </w:t>
      </w:r>
    </w:p>
    <w:p w14:paraId="4DB0789F" w14:textId="77777777" w:rsidR="000C6229" w:rsidRPr="005275DF" w:rsidRDefault="000C6229" w:rsidP="00434A6A">
      <w:pPr>
        <w:rPr>
          <w:rFonts w:asciiTheme="minorBidi" w:hAnsiTheme="minorBidi"/>
          <w:rtl/>
        </w:rPr>
      </w:pPr>
    </w:p>
    <w:p w14:paraId="06103BA4" w14:textId="480207D0" w:rsidR="000C6229" w:rsidRDefault="000C6229" w:rsidP="00434A6A">
      <w:pPr>
        <w:pStyle w:val="2"/>
        <w:rPr>
          <w:rtl/>
        </w:rPr>
      </w:pPr>
      <w:r w:rsidRPr="005275DF">
        <w:rPr>
          <w:rtl/>
        </w:rPr>
        <w:t>סעיף ו</w:t>
      </w:r>
      <w:r w:rsidR="00F63421">
        <w:rPr>
          <w:rFonts w:hint="cs"/>
          <w:rtl/>
        </w:rPr>
        <w:t>:</w:t>
      </w:r>
      <w:r w:rsidR="001419F4">
        <w:rPr>
          <w:rFonts w:hint="cs"/>
          <w:rtl/>
        </w:rPr>
        <w:t xml:space="preserve"> שברי כלים.</w:t>
      </w:r>
    </w:p>
    <w:p w14:paraId="10F2A0D0" w14:textId="699856E7" w:rsidR="001419F4" w:rsidRPr="001419F4" w:rsidRDefault="001419F4" w:rsidP="00434A6A">
      <w:pPr>
        <w:rPr>
          <w:rtl/>
        </w:rPr>
      </w:pPr>
      <w:r w:rsidRPr="002A45F7">
        <w:rPr>
          <w:rFonts w:hint="cs"/>
          <w:b/>
          <w:bCs/>
          <w:rtl/>
        </w:rPr>
        <w:t xml:space="preserve">שבת </w:t>
      </w:r>
      <w:r>
        <w:rPr>
          <w:rFonts w:hint="cs"/>
          <w:b/>
          <w:bCs/>
          <w:sz w:val="16"/>
          <w:szCs w:val="16"/>
          <w:rtl/>
        </w:rPr>
        <w:t>(פ' כל הכלים)</w:t>
      </w:r>
      <w:r>
        <w:rPr>
          <w:rFonts w:hint="cs"/>
          <w:b/>
          <w:bCs/>
          <w:rtl/>
        </w:rPr>
        <w:t xml:space="preserve"> </w:t>
      </w:r>
      <w:r w:rsidRPr="002A45F7">
        <w:rPr>
          <w:rFonts w:hint="cs"/>
          <w:b/>
          <w:bCs/>
          <w:rtl/>
        </w:rPr>
        <w:t>ק</w:t>
      </w:r>
      <w:r>
        <w:rPr>
          <w:rFonts w:hint="cs"/>
          <w:b/>
          <w:bCs/>
          <w:rtl/>
        </w:rPr>
        <w:t>כד</w:t>
      </w:r>
      <w:r w:rsidRPr="002A45F7">
        <w:rPr>
          <w:rFonts w:hint="cs"/>
          <w:b/>
          <w:bCs/>
          <w:rtl/>
        </w:rPr>
        <w:t xml:space="preserve"> ע"</w:t>
      </w:r>
      <w:r>
        <w:rPr>
          <w:rFonts w:hint="cs"/>
          <w:b/>
          <w:bCs/>
          <w:rtl/>
        </w:rPr>
        <w:t>ב</w:t>
      </w:r>
      <w:r w:rsidRPr="002A45F7">
        <w:rPr>
          <w:rFonts w:hint="cs"/>
          <w:b/>
          <w:bCs/>
          <w:rtl/>
        </w:rPr>
        <w:t>:</w:t>
      </w:r>
      <w:r>
        <w:rPr>
          <w:rFonts w:cs="Arial" w:hint="cs"/>
          <w:rtl/>
        </w:rPr>
        <w:t xml:space="preserve"> </w:t>
      </w:r>
      <w:r w:rsidRPr="001419F4">
        <w:rPr>
          <w:rFonts w:cs="Arial"/>
          <w:u w:val="double"/>
          <w:rtl/>
        </w:rPr>
        <w:t>משנה</w:t>
      </w:r>
      <w:r>
        <w:rPr>
          <w:rFonts w:cs="Arial" w:hint="cs"/>
          <w:rtl/>
        </w:rPr>
        <w:t>:</w:t>
      </w:r>
      <w:r>
        <w:rPr>
          <w:rFonts w:cs="Arial"/>
          <w:rtl/>
        </w:rPr>
        <w:t xml:space="preserve"> כל הכלים הניטלין בשבת - שבריהן ניטלין עמהן, ובלבד שיהו עושין מעין מלאכה. שברי עריבה - לכסות בהן את פי החבית, שברי זכוכית - לכסות בהן את פי הפך. </w:t>
      </w:r>
      <w:r w:rsidRPr="001419F4">
        <w:rPr>
          <w:rFonts w:cs="Arial"/>
          <w:u w:val="single"/>
          <w:rtl/>
        </w:rPr>
        <w:t>רבי יהודה אומר</w:t>
      </w:r>
      <w:r>
        <w:rPr>
          <w:rFonts w:cs="Arial"/>
          <w:rtl/>
        </w:rPr>
        <w:t>: בלבד שיהו עושין מעין מלאכתן</w:t>
      </w:r>
      <w:r w:rsidR="002C59E5">
        <w:rPr>
          <w:rFonts w:cs="Arial" w:hint="cs"/>
          <w:rtl/>
        </w:rPr>
        <w:t>.</w:t>
      </w:r>
      <w:r>
        <w:rPr>
          <w:rFonts w:cs="Arial"/>
          <w:rtl/>
        </w:rPr>
        <w:t xml:space="preserve"> שברי עריבה - לצוק לתוכן מקפה, ושל זכוכית - לצוק לתוכן שמן.</w:t>
      </w:r>
      <w:r>
        <w:rPr>
          <w:rFonts w:cs="Arial" w:hint="cs"/>
          <w:rtl/>
        </w:rPr>
        <w:t xml:space="preserve">          </w:t>
      </w:r>
      <w:r>
        <w:rPr>
          <w:rFonts w:cs="Arial"/>
          <w:rtl/>
        </w:rPr>
        <w:t xml:space="preserve"> </w:t>
      </w:r>
      <w:r w:rsidRPr="001419F4">
        <w:rPr>
          <w:rFonts w:cs="Arial"/>
          <w:u w:val="double"/>
          <w:rtl/>
        </w:rPr>
        <w:t>גמרא</w:t>
      </w:r>
      <w:r>
        <w:rPr>
          <w:rFonts w:cs="Arial" w:hint="cs"/>
          <w:rtl/>
        </w:rPr>
        <w:t>:</w:t>
      </w:r>
      <w:r>
        <w:rPr>
          <w:rFonts w:cs="Arial"/>
          <w:rtl/>
        </w:rPr>
        <w:t xml:space="preserve"> </w:t>
      </w:r>
      <w:r w:rsidRPr="001419F4">
        <w:rPr>
          <w:rFonts w:cs="Arial"/>
          <w:u w:val="single"/>
          <w:rtl/>
        </w:rPr>
        <w:t>אמר רב יהודה אמר שמואל</w:t>
      </w:r>
      <w:r>
        <w:rPr>
          <w:rFonts w:cs="Arial"/>
          <w:rtl/>
        </w:rPr>
        <w:t>: מחלוקת שנשברו בשבת, דמר סבר: מוכן הוא, ומר סבר: נולד הוא. אבל מערב שבת - דברי הכל מותרין הואיל והוכנו למלאכה מבעוד יום.</w:t>
      </w:r>
      <w:r w:rsidR="00434553" w:rsidRPr="00434553">
        <w:rPr>
          <w:rFonts w:cs="Arial"/>
          <w:sz w:val="16"/>
          <w:szCs w:val="16"/>
          <w:rtl/>
        </w:rPr>
        <w:t xml:space="preserve"> </w:t>
      </w:r>
      <w:r w:rsidR="00434553">
        <w:rPr>
          <w:rFonts w:cs="Arial" w:hint="cs"/>
          <w:sz w:val="16"/>
          <w:szCs w:val="16"/>
          <w:rtl/>
        </w:rPr>
        <w:t>(</w:t>
      </w:r>
      <w:r w:rsidR="00434553" w:rsidRPr="00434553">
        <w:rPr>
          <w:rFonts w:cs="Arial"/>
          <w:sz w:val="16"/>
          <w:szCs w:val="16"/>
          <w:rtl/>
        </w:rPr>
        <w:t>ופסקו הרי"ף (מח.) והרא"ש (סי' ה) כתנא קמא</w:t>
      </w:r>
      <w:r w:rsidR="00434553" w:rsidRPr="00434553">
        <w:rPr>
          <w:rFonts w:cs="Arial" w:hint="cs"/>
          <w:sz w:val="16"/>
          <w:szCs w:val="16"/>
          <w:rtl/>
        </w:rPr>
        <w:t>,</w:t>
      </w:r>
      <w:r w:rsidR="00434553" w:rsidRPr="00434553">
        <w:rPr>
          <w:rFonts w:cs="Arial"/>
          <w:sz w:val="16"/>
          <w:szCs w:val="16"/>
          <w:rtl/>
        </w:rPr>
        <w:t xml:space="preserve"> וכן פסק הרמב"ם בפכ"ה (הי"ב)</w:t>
      </w:r>
      <w:r w:rsidR="00434553">
        <w:rPr>
          <w:rFonts w:cs="Arial" w:hint="cs"/>
          <w:sz w:val="16"/>
          <w:szCs w:val="16"/>
          <w:rtl/>
        </w:rPr>
        <w:t>, ב"י)</w:t>
      </w:r>
    </w:p>
    <w:p w14:paraId="034B20B7" w14:textId="3952F215" w:rsidR="00C06D53" w:rsidRPr="001419F4" w:rsidRDefault="001419F4" w:rsidP="00434A6A">
      <w:pPr>
        <w:rPr>
          <w:u w:val="single"/>
          <w:rtl/>
        </w:rPr>
      </w:pPr>
      <w:r w:rsidRPr="001419F4">
        <w:rPr>
          <w:rFonts w:hint="cs"/>
          <w:u w:val="single"/>
          <w:rtl/>
        </w:rPr>
        <w:t>טלטול שברי כלים:</w:t>
      </w:r>
    </w:p>
    <w:p w14:paraId="3EC4235B" w14:textId="0CB4EC33" w:rsidR="000254C9" w:rsidRPr="00B8033A" w:rsidRDefault="00511A5A" w:rsidP="00434A6A">
      <w:pPr>
        <w:pStyle w:val="aa"/>
        <w:numPr>
          <w:ilvl w:val="0"/>
          <w:numId w:val="3"/>
        </w:numPr>
        <w:rPr>
          <w:rFonts w:cs="Arial"/>
          <w:rtl/>
        </w:rPr>
      </w:pPr>
      <w:r w:rsidRPr="00511A5A">
        <w:rPr>
          <w:rFonts w:cs="Arial" w:hint="cs"/>
          <w:rtl/>
        </w:rPr>
        <w:t xml:space="preserve">טור- </w:t>
      </w:r>
      <w:r w:rsidR="004664A5" w:rsidRPr="00511A5A">
        <w:rPr>
          <w:rFonts w:cs="Arial"/>
          <w:rtl/>
        </w:rPr>
        <w:t xml:space="preserve">כל הכלים שנשברו אפי' בשבת </w:t>
      </w:r>
      <w:r w:rsidR="001419F4">
        <w:rPr>
          <w:rFonts w:cs="Arial" w:hint="cs"/>
          <w:rtl/>
        </w:rPr>
        <w:t xml:space="preserve">- </w:t>
      </w:r>
      <w:r w:rsidR="004664A5" w:rsidRPr="00511A5A">
        <w:rPr>
          <w:rFonts w:cs="Arial"/>
          <w:rtl/>
        </w:rPr>
        <w:t>שבריהם מותר לטלטלם ובלבד שיהו ראוים לשום מלאכה</w:t>
      </w:r>
      <w:r w:rsidR="00B8033A">
        <w:rPr>
          <w:rStyle w:val="a9"/>
          <w:rFonts w:cs="Arial"/>
          <w:rtl/>
        </w:rPr>
        <w:footnoteReference w:id="1374"/>
      </w:r>
      <w:r w:rsidR="001419F4">
        <w:rPr>
          <w:rFonts w:cs="Arial" w:hint="cs"/>
          <w:rtl/>
        </w:rPr>
        <w:t>,</w:t>
      </w:r>
      <w:r w:rsidR="004664A5" w:rsidRPr="00511A5A">
        <w:rPr>
          <w:rFonts w:cs="Arial"/>
          <w:rtl/>
        </w:rPr>
        <w:t xml:space="preserve"> כגון שברי עריבה לכסות בה החבית ושברי זכוכית לכסות בה פי הפך</w:t>
      </w:r>
      <w:r w:rsidR="001419F4">
        <w:rPr>
          <w:rFonts w:cs="Arial" w:hint="cs"/>
          <w:rtl/>
        </w:rPr>
        <w:t>.</w:t>
      </w:r>
      <w:r w:rsidR="004664A5" w:rsidRPr="00511A5A">
        <w:rPr>
          <w:rFonts w:cs="Arial"/>
          <w:rtl/>
        </w:rPr>
        <w:t xml:space="preserve"> אבל אם אינן ראויים לשום מלאכה</w:t>
      </w:r>
      <w:r w:rsidR="001419F4">
        <w:rPr>
          <w:rFonts w:cs="Arial" w:hint="cs"/>
          <w:rtl/>
        </w:rPr>
        <w:t xml:space="preserve"> -</w:t>
      </w:r>
      <w:r w:rsidR="004664A5" w:rsidRPr="00511A5A">
        <w:rPr>
          <w:rFonts w:cs="Arial"/>
          <w:rtl/>
        </w:rPr>
        <w:t xml:space="preserve"> לא</w:t>
      </w:r>
      <w:r w:rsidR="001419F4">
        <w:rPr>
          <w:rFonts w:hint="cs"/>
          <w:rtl/>
        </w:rPr>
        <w:t>.</w:t>
      </w:r>
      <w:r w:rsidR="00434553">
        <w:rPr>
          <w:rFonts w:cs="Arial" w:hint="cs"/>
          <w:rtl/>
        </w:rPr>
        <w:t xml:space="preserve"> </w:t>
      </w:r>
      <w:r w:rsidR="00434553" w:rsidRPr="00434553">
        <w:rPr>
          <w:rFonts w:cs="Arial" w:hint="cs"/>
          <w:color w:val="E36C0A" w:themeColor="accent6" w:themeShade="BF"/>
          <w:rtl/>
        </w:rPr>
        <w:t>(וכ"פ בשו"ע)</w:t>
      </w:r>
    </w:p>
    <w:p w14:paraId="4F57DABD" w14:textId="77777777" w:rsidR="00434553" w:rsidRDefault="00434553" w:rsidP="00434A6A">
      <w:pPr>
        <w:rPr>
          <w:rFonts w:cs="Arial"/>
          <w:rtl/>
        </w:rPr>
      </w:pPr>
      <w:r w:rsidRPr="00434553">
        <w:rPr>
          <w:rFonts w:cs="Arial" w:hint="cs"/>
          <w:u w:val="single"/>
          <w:rtl/>
        </w:rPr>
        <w:t xml:space="preserve">שברי כלים שלא ראויים לשום מלאכה </w:t>
      </w:r>
      <w:r w:rsidRPr="00434553">
        <w:rPr>
          <w:rFonts w:cs="Arial"/>
          <w:u w:val="single"/>
          <w:rtl/>
        </w:rPr>
        <w:t>–</w:t>
      </w:r>
      <w:r w:rsidRPr="00434553">
        <w:rPr>
          <w:rFonts w:cs="Arial" w:hint="cs"/>
          <w:u w:val="single"/>
          <w:rtl/>
        </w:rPr>
        <w:t xml:space="preserve"> במקום היזק:</w:t>
      </w:r>
    </w:p>
    <w:p w14:paraId="0A273CA5" w14:textId="1880A375" w:rsidR="00F63421" w:rsidRPr="00F63421" w:rsidRDefault="00F63421" w:rsidP="00434A6A">
      <w:pPr>
        <w:pStyle w:val="aa"/>
        <w:numPr>
          <w:ilvl w:val="0"/>
          <w:numId w:val="3"/>
        </w:numPr>
        <w:rPr>
          <w:rtl/>
        </w:rPr>
      </w:pPr>
      <w:r w:rsidRPr="00434553">
        <w:rPr>
          <w:rFonts w:cs="Arial"/>
          <w:rtl/>
        </w:rPr>
        <w:t xml:space="preserve">ארחות חיים </w:t>
      </w:r>
      <w:r w:rsidRPr="00434553">
        <w:rPr>
          <w:rFonts w:cs="Arial"/>
          <w:sz w:val="16"/>
          <w:szCs w:val="16"/>
          <w:rtl/>
        </w:rPr>
        <w:t>(הל' שבת אות שסא</w:t>
      </w:r>
      <w:r w:rsidR="00434553">
        <w:rPr>
          <w:rFonts w:cs="Arial" w:hint="cs"/>
          <w:sz w:val="16"/>
          <w:szCs w:val="16"/>
          <w:rtl/>
        </w:rPr>
        <w:t>, ו</w:t>
      </w:r>
      <w:r w:rsidR="00270C93">
        <w:rPr>
          <w:rFonts w:cs="Arial" w:hint="cs"/>
          <w:sz w:val="16"/>
          <w:szCs w:val="16"/>
          <w:rtl/>
        </w:rPr>
        <w:t xml:space="preserve">כ"כ </w:t>
      </w:r>
      <w:r w:rsidR="00434553">
        <w:rPr>
          <w:rFonts w:cs="Arial" w:hint="cs"/>
          <w:sz w:val="16"/>
          <w:szCs w:val="16"/>
          <w:rtl/>
        </w:rPr>
        <w:t>בכל בו [סי' לא לב ב]</w:t>
      </w:r>
      <w:r w:rsidRPr="00434553">
        <w:rPr>
          <w:rFonts w:cs="Arial"/>
          <w:sz w:val="16"/>
          <w:szCs w:val="16"/>
          <w:rtl/>
        </w:rPr>
        <w:t>)</w:t>
      </w:r>
      <w:r w:rsidR="00434553">
        <w:rPr>
          <w:rFonts w:cs="Arial" w:hint="cs"/>
          <w:rtl/>
        </w:rPr>
        <w:t>-</w:t>
      </w:r>
      <w:r w:rsidRPr="00434553">
        <w:rPr>
          <w:rFonts w:cs="Arial"/>
          <w:rtl/>
        </w:rPr>
        <w:t xml:space="preserve"> שברי כלים יש אומרים אע</w:t>
      </w:r>
      <w:r w:rsidR="00434553">
        <w:rPr>
          <w:rFonts w:cs="Arial" w:hint="cs"/>
          <w:rtl/>
        </w:rPr>
        <w:t>"</w:t>
      </w:r>
      <w:r w:rsidRPr="00434553">
        <w:rPr>
          <w:rFonts w:cs="Arial"/>
          <w:rtl/>
        </w:rPr>
        <w:t>פ שאינם ראויים למלאכה כלל ניטלין אם הם במקום הנזק</w:t>
      </w:r>
      <w:r w:rsidR="00CF0430">
        <w:rPr>
          <w:rFonts w:cs="Arial" w:hint="cs"/>
          <w:rtl/>
        </w:rPr>
        <w:t>,</w:t>
      </w:r>
      <w:r w:rsidRPr="00434553">
        <w:rPr>
          <w:rFonts w:cs="Arial"/>
          <w:rtl/>
        </w:rPr>
        <w:t xml:space="preserve"> כגון על השולחן או באמצע הבית מותר לפנותן</w:t>
      </w:r>
      <w:r w:rsidR="00CF0430">
        <w:rPr>
          <w:rFonts w:cs="Arial" w:hint="cs"/>
          <w:rtl/>
        </w:rPr>
        <w:t>,</w:t>
      </w:r>
      <w:r w:rsidRPr="00434553">
        <w:rPr>
          <w:rFonts w:cs="Arial"/>
          <w:rtl/>
        </w:rPr>
        <w:t xml:space="preserve"> מידי דהוה אקוץ בכרמלית (שבת מב.)</w:t>
      </w:r>
      <w:r>
        <w:rPr>
          <w:rStyle w:val="a9"/>
          <w:rtl/>
        </w:rPr>
        <w:footnoteReference w:id="1375"/>
      </w:r>
      <w:r w:rsidR="00434553">
        <w:rPr>
          <w:rFonts w:cs="Arial" w:hint="cs"/>
          <w:rtl/>
        </w:rPr>
        <w:t xml:space="preserve">. </w:t>
      </w:r>
      <w:r w:rsidR="00434553" w:rsidRPr="00434553">
        <w:rPr>
          <w:rFonts w:cs="Arial" w:hint="cs"/>
          <w:color w:val="00B0F0"/>
          <w:rtl/>
        </w:rPr>
        <w:t>(וכ"פ הרמ"א)</w:t>
      </w:r>
    </w:p>
    <w:p w14:paraId="1E4E335A"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3914BA05" w14:textId="47CD703F" w:rsidR="000C6229" w:rsidRPr="005275DF" w:rsidRDefault="00E47CB7" w:rsidP="00434A6A">
      <w:pPr>
        <w:rPr>
          <w:rFonts w:asciiTheme="minorBidi" w:hAnsiTheme="minorBidi"/>
          <w:rtl/>
        </w:rPr>
      </w:pPr>
      <w:r>
        <w:rPr>
          <w:rFonts w:asciiTheme="minorBidi" w:hAnsiTheme="minorBidi" w:hint="cs"/>
          <w:rtl/>
        </w:rPr>
        <w:t>כ</w:t>
      </w:r>
      <w:r w:rsidR="000C6229" w:rsidRPr="005275DF">
        <w:rPr>
          <w:rFonts w:asciiTheme="minorBidi" w:hAnsiTheme="minorBidi"/>
          <w:rtl/>
        </w:rPr>
        <w:t>ל הכלים שנשברו, אפי</w:t>
      </w:r>
      <w:r w:rsidR="00357CCA">
        <w:rPr>
          <w:rFonts w:asciiTheme="minorBidi" w:hAnsiTheme="minorBidi" w:hint="cs"/>
          <w:rtl/>
        </w:rPr>
        <w:t>לו</w:t>
      </w:r>
      <w:r w:rsidR="000C6229" w:rsidRPr="005275DF">
        <w:rPr>
          <w:rFonts w:asciiTheme="minorBidi" w:hAnsiTheme="minorBidi"/>
          <w:rtl/>
        </w:rPr>
        <w:t xml:space="preserve"> בשבת, מותר לטלטל שבריהם ובלבד שיהיו ראוים לשום מלאכה</w:t>
      </w:r>
      <w:r w:rsidR="00434553">
        <w:rPr>
          <w:rFonts w:asciiTheme="minorBidi" w:hAnsiTheme="minorBidi" w:hint="cs"/>
          <w:rtl/>
        </w:rPr>
        <w:t>,</w:t>
      </w:r>
      <w:r w:rsidR="000C6229" w:rsidRPr="005275DF">
        <w:rPr>
          <w:rFonts w:asciiTheme="minorBidi" w:hAnsiTheme="minorBidi"/>
          <w:rtl/>
        </w:rPr>
        <w:t xml:space="preserve"> כגון שברי עריבה לכסות בה החבית ושברי זכוכית לכסות בה פי הפך</w:t>
      </w:r>
      <w:r w:rsidR="00357CCA">
        <w:rPr>
          <w:rFonts w:asciiTheme="minorBidi" w:hAnsiTheme="minorBidi" w:hint="cs"/>
          <w:rtl/>
        </w:rPr>
        <w:t>.</w:t>
      </w:r>
      <w:r w:rsidR="000C6229" w:rsidRPr="005275DF">
        <w:rPr>
          <w:rFonts w:asciiTheme="minorBidi" w:hAnsiTheme="minorBidi"/>
          <w:rtl/>
        </w:rPr>
        <w:t xml:space="preserve"> אבל אם אינם ראוים לשום מלאכה, לא. </w:t>
      </w:r>
      <w:r w:rsidR="000C6229" w:rsidRPr="00511A5A">
        <w:rPr>
          <w:rFonts w:asciiTheme="minorBidi" w:hAnsiTheme="minorBidi"/>
          <w:sz w:val="18"/>
          <w:szCs w:val="18"/>
          <w:rtl/>
        </w:rPr>
        <w:t>הגה: ואם נשברו במקום שיכולים להזיק, כגון זכוכית שנשברה על השלחן או במקום שהולכין, מותר לטלטל השברים כדי לפנותן שלא יוזקו בהם</w:t>
      </w:r>
      <w:r w:rsidR="00E97D23">
        <w:rPr>
          <w:rStyle w:val="a9"/>
          <w:rFonts w:asciiTheme="minorBidi" w:hAnsiTheme="minorBidi"/>
          <w:sz w:val="18"/>
          <w:szCs w:val="18"/>
          <w:rtl/>
        </w:rPr>
        <w:footnoteReference w:id="1376"/>
      </w:r>
      <w:r w:rsidR="000C6229" w:rsidRPr="00511A5A">
        <w:rPr>
          <w:rFonts w:asciiTheme="minorBidi" w:hAnsiTheme="minorBidi"/>
          <w:sz w:val="18"/>
          <w:szCs w:val="18"/>
          <w:rtl/>
        </w:rPr>
        <w:t xml:space="preserve"> (</w:t>
      </w:r>
      <w:r w:rsidR="00E97D23">
        <w:rPr>
          <w:rFonts w:asciiTheme="minorBidi" w:hAnsiTheme="minorBidi" w:hint="cs"/>
          <w:sz w:val="18"/>
          <w:szCs w:val="18"/>
          <w:rtl/>
        </w:rPr>
        <w:t>או</w:t>
      </w:r>
      <w:r w:rsidR="00CF0430">
        <w:rPr>
          <w:rFonts w:asciiTheme="minorBidi" w:hAnsiTheme="minorBidi" w:hint="cs"/>
          <w:sz w:val="18"/>
          <w:szCs w:val="18"/>
          <w:rtl/>
        </w:rPr>
        <w:t>ר</w:t>
      </w:r>
      <w:r w:rsidR="00E97D23">
        <w:rPr>
          <w:rFonts w:asciiTheme="minorBidi" w:hAnsiTheme="minorBidi" w:hint="cs"/>
          <w:sz w:val="18"/>
          <w:szCs w:val="18"/>
          <w:rtl/>
        </w:rPr>
        <w:t xml:space="preserve">"ח </w:t>
      </w:r>
      <w:r w:rsidR="000C6229" w:rsidRPr="00511A5A">
        <w:rPr>
          <w:rFonts w:asciiTheme="minorBidi" w:hAnsiTheme="minorBidi"/>
          <w:sz w:val="18"/>
          <w:szCs w:val="18"/>
          <w:rtl/>
        </w:rPr>
        <w:t>והג</w:t>
      </w:r>
      <w:r w:rsidR="00E97D23">
        <w:rPr>
          <w:rFonts w:asciiTheme="minorBidi" w:hAnsiTheme="minorBidi" w:hint="cs"/>
          <w:sz w:val="18"/>
          <w:szCs w:val="18"/>
          <w:rtl/>
        </w:rPr>
        <w:t>מ"ר</w:t>
      </w:r>
      <w:r w:rsidR="000C6229" w:rsidRPr="00511A5A">
        <w:rPr>
          <w:rFonts w:asciiTheme="minorBidi" w:hAnsiTheme="minorBidi"/>
          <w:sz w:val="18"/>
          <w:szCs w:val="18"/>
          <w:rtl/>
        </w:rPr>
        <w:t>).</w:t>
      </w:r>
      <w:r w:rsidR="000C6229" w:rsidRPr="005275DF">
        <w:rPr>
          <w:rFonts w:asciiTheme="minorBidi" w:hAnsiTheme="minorBidi"/>
          <w:rtl/>
        </w:rPr>
        <w:t xml:space="preserve"> </w:t>
      </w:r>
    </w:p>
    <w:p w14:paraId="6B311FBD" w14:textId="77777777" w:rsidR="000C6229" w:rsidRPr="005275DF" w:rsidRDefault="000C6229" w:rsidP="00434A6A">
      <w:pPr>
        <w:rPr>
          <w:rFonts w:asciiTheme="minorBidi" w:hAnsiTheme="minorBidi"/>
          <w:rtl/>
        </w:rPr>
      </w:pPr>
    </w:p>
    <w:p w14:paraId="569B9244" w14:textId="055A0F1F" w:rsidR="000C6229" w:rsidRDefault="000C6229" w:rsidP="00434A6A">
      <w:pPr>
        <w:pStyle w:val="2"/>
        <w:rPr>
          <w:rtl/>
        </w:rPr>
      </w:pPr>
      <w:r w:rsidRPr="005275DF">
        <w:rPr>
          <w:rtl/>
        </w:rPr>
        <w:t>סעיף ז</w:t>
      </w:r>
      <w:r w:rsidR="00F63421">
        <w:rPr>
          <w:rFonts w:hint="cs"/>
          <w:rtl/>
        </w:rPr>
        <w:t>:</w:t>
      </w:r>
      <w:r w:rsidR="009B51AF">
        <w:rPr>
          <w:rFonts w:hint="cs"/>
          <w:rtl/>
        </w:rPr>
        <w:t xml:space="preserve"> </w:t>
      </w:r>
      <w:r w:rsidR="00E97D23">
        <w:rPr>
          <w:rFonts w:hint="cs"/>
          <w:rtl/>
        </w:rPr>
        <w:t>המשך הנ"ל</w:t>
      </w:r>
      <w:r w:rsidR="009B51AF">
        <w:rPr>
          <w:rFonts w:hint="cs"/>
          <w:rtl/>
        </w:rPr>
        <w:t>.</w:t>
      </w:r>
    </w:p>
    <w:p w14:paraId="3261ABE6" w14:textId="77777777" w:rsidR="000254C9" w:rsidRPr="004F58E1" w:rsidRDefault="000254C9" w:rsidP="00434A6A">
      <w:pPr>
        <w:rPr>
          <w:rFonts w:cs="Arial"/>
          <w:rtl/>
        </w:rPr>
      </w:pPr>
      <w:r w:rsidRPr="002A45F7">
        <w:rPr>
          <w:rFonts w:hint="cs"/>
          <w:b/>
          <w:bCs/>
          <w:rtl/>
        </w:rPr>
        <w:t xml:space="preserve">שבת </w:t>
      </w:r>
      <w:r>
        <w:rPr>
          <w:rFonts w:hint="cs"/>
          <w:b/>
          <w:bCs/>
          <w:sz w:val="16"/>
          <w:szCs w:val="16"/>
          <w:rtl/>
        </w:rPr>
        <w:t>(פ' כל הכלים)</w:t>
      </w:r>
      <w:r>
        <w:rPr>
          <w:rFonts w:hint="cs"/>
          <w:b/>
          <w:bCs/>
          <w:rtl/>
        </w:rPr>
        <w:t xml:space="preserve"> </w:t>
      </w:r>
      <w:r w:rsidRPr="002A45F7">
        <w:rPr>
          <w:rFonts w:hint="cs"/>
          <w:b/>
          <w:bCs/>
          <w:rtl/>
        </w:rPr>
        <w:t>ק</w:t>
      </w:r>
      <w:r>
        <w:rPr>
          <w:rFonts w:hint="cs"/>
          <w:b/>
          <w:bCs/>
          <w:rtl/>
        </w:rPr>
        <w:t>כד</w:t>
      </w:r>
      <w:r w:rsidRPr="002A45F7">
        <w:rPr>
          <w:rFonts w:hint="cs"/>
          <w:b/>
          <w:bCs/>
          <w:rtl/>
        </w:rPr>
        <w:t xml:space="preserve"> ע"</w:t>
      </w:r>
      <w:r>
        <w:rPr>
          <w:rFonts w:hint="cs"/>
          <w:b/>
          <w:bCs/>
          <w:rtl/>
        </w:rPr>
        <w:t>ב</w:t>
      </w:r>
      <w:r w:rsidRPr="002A45F7">
        <w:rPr>
          <w:rFonts w:hint="cs"/>
          <w:b/>
          <w:bCs/>
          <w:rtl/>
        </w:rPr>
        <w:t>:</w:t>
      </w:r>
      <w:r>
        <w:rPr>
          <w:rFonts w:cs="Arial" w:hint="cs"/>
          <w:rtl/>
        </w:rPr>
        <w:t xml:space="preserve"> </w:t>
      </w:r>
      <w:r w:rsidRPr="00492254">
        <w:rPr>
          <w:rFonts w:cs="Arial"/>
          <w:u w:val="single"/>
          <w:rtl/>
        </w:rPr>
        <w:t>אמר רב נחמן אמר שמואל</w:t>
      </w:r>
      <w:r w:rsidRPr="00492254">
        <w:rPr>
          <w:rFonts w:cs="Arial"/>
          <w:rtl/>
        </w:rPr>
        <w:t>: חרס קטנה מותר לטלטל בחצר</w:t>
      </w:r>
      <w:r>
        <w:rPr>
          <w:rStyle w:val="a9"/>
          <w:rFonts w:cs="Arial"/>
          <w:rtl/>
        </w:rPr>
        <w:footnoteReference w:id="1377"/>
      </w:r>
      <w:r w:rsidRPr="00492254">
        <w:rPr>
          <w:rFonts w:cs="Arial"/>
          <w:rtl/>
        </w:rPr>
        <w:t>, אבל בכרמלית - לא</w:t>
      </w:r>
      <w:r>
        <w:rPr>
          <w:rStyle w:val="a9"/>
          <w:rFonts w:cs="Arial"/>
          <w:rtl/>
        </w:rPr>
        <w:footnoteReference w:id="1378"/>
      </w:r>
      <w:r w:rsidRPr="00492254">
        <w:rPr>
          <w:rFonts w:cs="Arial"/>
          <w:rtl/>
        </w:rPr>
        <w:t xml:space="preserve">. </w:t>
      </w:r>
      <w:r w:rsidRPr="00492254">
        <w:rPr>
          <w:rFonts w:cs="Arial"/>
          <w:u w:val="single"/>
          <w:rtl/>
        </w:rPr>
        <w:t>ורב נחמן דידיה אמר</w:t>
      </w:r>
      <w:r w:rsidRPr="00492254">
        <w:rPr>
          <w:rFonts w:cs="Arial"/>
          <w:rtl/>
        </w:rPr>
        <w:t>: אפילו בכרמלית</w:t>
      </w:r>
      <w:r>
        <w:rPr>
          <w:rStyle w:val="a9"/>
          <w:rFonts w:cs="Arial"/>
          <w:rtl/>
        </w:rPr>
        <w:footnoteReference w:id="1379"/>
      </w:r>
      <w:r w:rsidRPr="00492254">
        <w:rPr>
          <w:rFonts w:cs="Arial"/>
          <w:rtl/>
        </w:rPr>
        <w:t xml:space="preserve">, אבל ברשות הרבים - לא. </w:t>
      </w:r>
      <w:r w:rsidRPr="00492254">
        <w:rPr>
          <w:rFonts w:cs="Arial"/>
          <w:u w:val="single"/>
          <w:rtl/>
        </w:rPr>
        <w:t>ורבא אמר</w:t>
      </w:r>
      <w:r w:rsidRPr="00492254">
        <w:rPr>
          <w:rFonts w:cs="Arial"/>
          <w:rtl/>
        </w:rPr>
        <w:t>: אפילו ברשות הרבים</w:t>
      </w:r>
      <w:r>
        <w:rPr>
          <w:rStyle w:val="a9"/>
          <w:rFonts w:cs="Arial"/>
          <w:rtl/>
        </w:rPr>
        <w:footnoteReference w:id="1380"/>
      </w:r>
      <w:r w:rsidRPr="00492254">
        <w:rPr>
          <w:rFonts w:cs="Arial"/>
          <w:rtl/>
        </w:rPr>
        <w:t>. ואזדא רבא לטעמיה</w:t>
      </w:r>
      <w:r>
        <w:rPr>
          <w:rFonts w:cs="Arial" w:hint="cs"/>
          <w:rtl/>
        </w:rPr>
        <w:t>,</w:t>
      </w:r>
      <w:r w:rsidRPr="00492254">
        <w:rPr>
          <w:rFonts w:cs="Arial"/>
          <w:rtl/>
        </w:rPr>
        <w:t xml:space="preserve"> דרבא הוה קאזיל בריתקא</w:t>
      </w:r>
      <w:r>
        <w:rPr>
          <w:rStyle w:val="a9"/>
          <w:rFonts w:cs="Arial"/>
          <w:rtl/>
        </w:rPr>
        <w:footnoteReference w:id="1381"/>
      </w:r>
      <w:r w:rsidRPr="00492254">
        <w:rPr>
          <w:rFonts w:cs="Arial"/>
          <w:rtl/>
        </w:rPr>
        <w:t xml:space="preserve"> דמחוזא, אתווסאי מסאניה טינא</w:t>
      </w:r>
      <w:r>
        <w:rPr>
          <w:rStyle w:val="a9"/>
          <w:rFonts w:cs="Arial"/>
          <w:rtl/>
        </w:rPr>
        <w:footnoteReference w:id="1382"/>
      </w:r>
      <w:r w:rsidRPr="00492254">
        <w:rPr>
          <w:rFonts w:cs="Arial"/>
          <w:rtl/>
        </w:rPr>
        <w:t>, אתא שמעיה שקל חספא וקא מכפר ליה</w:t>
      </w:r>
      <w:r>
        <w:rPr>
          <w:rStyle w:val="a9"/>
          <w:rFonts w:cs="Arial"/>
          <w:rtl/>
        </w:rPr>
        <w:footnoteReference w:id="1383"/>
      </w:r>
      <w:r w:rsidRPr="00492254">
        <w:rPr>
          <w:rFonts w:cs="Arial"/>
          <w:rtl/>
        </w:rPr>
        <w:t>, רמו ביה רבנן קלא. אמר: לא מיסתייא דלא גמירי, מיגמר נמי מגמרי? אילו בחצר הואי - מי לא הוה חזיא לכסויי ביה מנא? הכא נמי - חזיא לדידי</w:t>
      </w:r>
      <w:r>
        <w:rPr>
          <w:rStyle w:val="a9"/>
          <w:rFonts w:cs="Arial"/>
          <w:rtl/>
        </w:rPr>
        <w:footnoteReference w:id="1384"/>
      </w:r>
      <w:r w:rsidRPr="00492254">
        <w:rPr>
          <w:rFonts w:cs="Arial"/>
          <w:rtl/>
        </w:rPr>
        <w:t xml:space="preserve">. </w:t>
      </w:r>
      <w:r w:rsidRPr="00492254">
        <w:rPr>
          <w:rFonts w:cs="Arial" w:hint="cs"/>
          <w:sz w:val="16"/>
          <w:szCs w:val="16"/>
          <w:rtl/>
        </w:rPr>
        <w:t>(</w:t>
      </w:r>
      <w:r w:rsidRPr="00492254">
        <w:rPr>
          <w:rFonts w:cs="Arial"/>
          <w:sz w:val="16"/>
          <w:szCs w:val="16"/>
          <w:rtl/>
        </w:rPr>
        <w:t>ופסקו הפוסקים (רי"ף מח:, רא"ש שם) כרבא</w:t>
      </w:r>
      <w:r w:rsidRPr="00492254">
        <w:rPr>
          <w:rFonts w:cs="Arial" w:hint="cs"/>
          <w:sz w:val="16"/>
          <w:szCs w:val="16"/>
          <w:rtl/>
        </w:rPr>
        <w:t>, ב"י)</w:t>
      </w:r>
    </w:p>
    <w:p w14:paraId="680C7111" w14:textId="489A6734" w:rsidR="000254C9" w:rsidRDefault="000254C9" w:rsidP="00434A6A">
      <w:pPr>
        <w:rPr>
          <w:rFonts w:cs="Arial"/>
          <w:rtl/>
        </w:rPr>
      </w:pPr>
      <w:r w:rsidRPr="002A45F7">
        <w:rPr>
          <w:rFonts w:hint="cs"/>
          <w:b/>
          <w:bCs/>
          <w:rtl/>
        </w:rPr>
        <w:t xml:space="preserve">שבת </w:t>
      </w:r>
      <w:r>
        <w:rPr>
          <w:rFonts w:hint="cs"/>
          <w:b/>
          <w:bCs/>
          <w:sz w:val="16"/>
          <w:szCs w:val="16"/>
          <w:rtl/>
        </w:rPr>
        <w:t>(פ' כל הכלים)</w:t>
      </w:r>
      <w:r>
        <w:rPr>
          <w:rFonts w:hint="cs"/>
          <w:b/>
          <w:bCs/>
          <w:rtl/>
        </w:rPr>
        <w:t xml:space="preserve"> </w:t>
      </w:r>
      <w:r w:rsidRPr="002A45F7">
        <w:rPr>
          <w:rFonts w:hint="cs"/>
          <w:b/>
          <w:bCs/>
          <w:rtl/>
        </w:rPr>
        <w:t>ק</w:t>
      </w:r>
      <w:r>
        <w:rPr>
          <w:rFonts w:hint="cs"/>
          <w:b/>
          <w:bCs/>
          <w:rtl/>
        </w:rPr>
        <w:t>כד</w:t>
      </w:r>
      <w:r w:rsidRPr="002A45F7">
        <w:rPr>
          <w:rFonts w:hint="cs"/>
          <w:b/>
          <w:bCs/>
          <w:rtl/>
        </w:rPr>
        <w:t xml:space="preserve"> ע"</w:t>
      </w:r>
      <w:r>
        <w:rPr>
          <w:rFonts w:hint="cs"/>
          <w:b/>
          <w:bCs/>
          <w:rtl/>
        </w:rPr>
        <w:t>ב</w:t>
      </w:r>
      <w:r w:rsidRPr="002A45F7">
        <w:rPr>
          <w:rFonts w:hint="cs"/>
          <w:b/>
          <w:bCs/>
          <w:rtl/>
        </w:rPr>
        <w:t>:</w:t>
      </w:r>
      <w:r>
        <w:rPr>
          <w:rFonts w:cs="Arial" w:hint="cs"/>
          <w:rtl/>
        </w:rPr>
        <w:t xml:space="preserve"> </w:t>
      </w:r>
      <w:r w:rsidRPr="004F58E1">
        <w:rPr>
          <w:rFonts w:cs="Arial"/>
          <w:u w:val="single"/>
          <w:rtl/>
        </w:rPr>
        <w:t>אמר רב יהודה אמר שמואל</w:t>
      </w:r>
      <w:r w:rsidRPr="004F58E1">
        <w:rPr>
          <w:rFonts w:cs="Arial"/>
          <w:rtl/>
        </w:rPr>
        <w:t>: מגופת חבית שנכתתה - מותר לטלטל בשבת. תניא נמי הכי: מגופה שנכתתה - היא ושבריה מותר לטלטלה בשבת, ולא יספות</w:t>
      </w:r>
      <w:r>
        <w:rPr>
          <w:rStyle w:val="a9"/>
          <w:rFonts w:cs="Arial"/>
          <w:rtl/>
        </w:rPr>
        <w:footnoteReference w:id="1385"/>
      </w:r>
      <w:r w:rsidRPr="004F58E1">
        <w:rPr>
          <w:rFonts w:cs="Arial"/>
          <w:rtl/>
        </w:rPr>
        <w:t xml:space="preserve"> ממנה שבר לכסות בה את הכלי ולסמוך בה כרעי המטה</w:t>
      </w:r>
      <w:r w:rsidR="00F46F93">
        <w:rPr>
          <w:rFonts w:cs="Arial" w:hint="cs"/>
          <w:rtl/>
        </w:rPr>
        <w:t>.</w:t>
      </w:r>
      <w:r w:rsidRPr="004F58E1">
        <w:rPr>
          <w:rFonts w:cs="Arial"/>
          <w:rtl/>
        </w:rPr>
        <w:t xml:space="preserve"> ואם זרקה באשפה - אסור. </w:t>
      </w:r>
      <w:r w:rsidRPr="004F58E1">
        <w:rPr>
          <w:rFonts w:cs="Arial"/>
          <w:u w:val="single"/>
          <w:rtl/>
        </w:rPr>
        <w:t>מתקיף לה רב פפא</w:t>
      </w:r>
      <w:r w:rsidRPr="004F58E1">
        <w:rPr>
          <w:rFonts w:cs="Arial"/>
          <w:rtl/>
        </w:rPr>
        <w:t xml:space="preserve">: אלא מעתה, זריק ליה לגלימיה - הכי נמי דאסור? </w:t>
      </w:r>
      <w:r w:rsidRPr="004F58E1">
        <w:rPr>
          <w:rFonts w:cs="Arial"/>
          <w:u w:val="single"/>
          <w:rtl/>
        </w:rPr>
        <w:t>אלא אמר רב פפא</w:t>
      </w:r>
      <w:r w:rsidRPr="004F58E1">
        <w:rPr>
          <w:rFonts w:cs="Arial"/>
          <w:rtl/>
        </w:rPr>
        <w:t xml:space="preserve">: </w:t>
      </w:r>
      <w:r>
        <w:rPr>
          <w:rFonts w:cs="Arial" w:hint="cs"/>
          <w:sz w:val="14"/>
          <w:szCs w:val="14"/>
          <w:rtl/>
        </w:rPr>
        <w:t xml:space="preserve">(קכה.) </w:t>
      </w:r>
      <w:r w:rsidRPr="004F58E1">
        <w:rPr>
          <w:rFonts w:cs="Arial"/>
          <w:rtl/>
        </w:rPr>
        <w:t>אם זרקה</w:t>
      </w:r>
      <w:r w:rsidR="00FB321C">
        <w:rPr>
          <w:rStyle w:val="a9"/>
          <w:rFonts w:cs="Arial"/>
          <w:rtl/>
        </w:rPr>
        <w:footnoteReference w:id="1386"/>
      </w:r>
      <w:r w:rsidRPr="004F58E1">
        <w:rPr>
          <w:rFonts w:cs="Arial"/>
          <w:rtl/>
        </w:rPr>
        <w:t xml:space="preserve"> מבעוד יום</w:t>
      </w:r>
      <w:r>
        <w:rPr>
          <w:rStyle w:val="a9"/>
          <w:rFonts w:cs="Arial"/>
          <w:rtl/>
        </w:rPr>
        <w:footnoteReference w:id="1387"/>
      </w:r>
      <w:r w:rsidRPr="004F58E1">
        <w:rPr>
          <w:rFonts w:cs="Arial"/>
          <w:rtl/>
        </w:rPr>
        <w:t xml:space="preserve"> לאשפה - אסורה.</w:t>
      </w:r>
    </w:p>
    <w:p w14:paraId="405A8333" w14:textId="5827D3B0" w:rsidR="000254C9" w:rsidRPr="000254C9" w:rsidRDefault="000254C9" w:rsidP="00434A6A">
      <w:pPr>
        <w:rPr>
          <w:u w:val="single"/>
          <w:rtl/>
        </w:rPr>
      </w:pPr>
      <w:r w:rsidRPr="000254C9">
        <w:rPr>
          <w:rFonts w:hint="cs"/>
          <w:u w:val="single"/>
          <w:rtl/>
        </w:rPr>
        <w:t xml:space="preserve">טלטול שבר כלי - במקום שאין </w:t>
      </w:r>
      <w:r>
        <w:rPr>
          <w:rFonts w:hint="cs"/>
          <w:u w:val="single"/>
          <w:rtl/>
        </w:rPr>
        <w:t xml:space="preserve">בו </w:t>
      </w:r>
      <w:r w:rsidRPr="000254C9">
        <w:rPr>
          <w:rFonts w:hint="cs"/>
          <w:u w:val="single"/>
          <w:rtl/>
        </w:rPr>
        <w:t xml:space="preserve">כלי </w:t>
      </w:r>
      <w:r>
        <w:rPr>
          <w:rFonts w:hint="cs"/>
          <w:u w:val="single"/>
          <w:rtl/>
        </w:rPr>
        <w:t xml:space="preserve">שאפשר </w:t>
      </w:r>
      <w:r w:rsidRPr="000254C9">
        <w:rPr>
          <w:rFonts w:hint="cs"/>
          <w:u w:val="single"/>
          <w:rtl/>
        </w:rPr>
        <w:t>לכסותו עם השבר:</w:t>
      </w:r>
    </w:p>
    <w:p w14:paraId="6B681630" w14:textId="67950292" w:rsidR="000254C9" w:rsidRPr="003F7F74" w:rsidRDefault="000254C9" w:rsidP="00434A6A">
      <w:pPr>
        <w:pStyle w:val="aa"/>
        <w:numPr>
          <w:ilvl w:val="0"/>
          <w:numId w:val="3"/>
        </w:numPr>
        <w:rPr>
          <w:rFonts w:cs="Arial"/>
          <w:rtl/>
        </w:rPr>
      </w:pPr>
      <w:r w:rsidRPr="00511A5A">
        <w:rPr>
          <w:rFonts w:cs="Arial" w:hint="cs"/>
          <w:rtl/>
        </w:rPr>
        <w:t xml:space="preserve">טור- </w:t>
      </w:r>
      <w:r w:rsidRPr="00511A5A">
        <w:rPr>
          <w:rFonts w:cs="Arial"/>
          <w:rtl/>
        </w:rPr>
        <w:t>חתיכת חרס שנשברה בחול</w:t>
      </w:r>
      <w:r>
        <w:rPr>
          <w:rStyle w:val="a9"/>
          <w:rFonts w:cs="Arial"/>
          <w:rtl/>
        </w:rPr>
        <w:footnoteReference w:id="1388"/>
      </w:r>
      <w:r w:rsidRPr="00511A5A">
        <w:rPr>
          <w:rFonts w:cs="Arial"/>
          <w:rtl/>
        </w:rPr>
        <w:t xml:space="preserve"> מכלי וראויה לכסות בה כלי </w:t>
      </w:r>
      <w:r>
        <w:rPr>
          <w:rFonts w:cs="Arial" w:hint="cs"/>
          <w:rtl/>
        </w:rPr>
        <w:t xml:space="preserve">- </w:t>
      </w:r>
      <w:r w:rsidRPr="00511A5A">
        <w:rPr>
          <w:rFonts w:cs="Arial"/>
          <w:rtl/>
        </w:rPr>
        <w:t>מותר לטלטלה אפילו במקום שאין כלים מצויין שם לכסות בה</w:t>
      </w:r>
      <w:r>
        <w:rPr>
          <w:rFonts w:hint="cs"/>
          <w:rtl/>
        </w:rPr>
        <w:t>.</w:t>
      </w:r>
      <w:r w:rsidRPr="004664A5">
        <w:rPr>
          <w:rtl/>
        </w:rPr>
        <w:t xml:space="preserve"> </w:t>
      </w:r>
      <w:r w:rsidRPr="00511A5A">
        <w:rPr>
          <w:rFonts w:cs="Arial"/>
          <w:rtl/>
        </w:rPr>
        <w:t xml:space="preserve">זרקה לאשפה </w:t>
      </w:r>
      <w:r>
        <w:rPr>
          <w:rFonts w:cs="Arial"/>
          <w:rtl/>
        </w:rPr>
        <w:t>מבעוד יום</w:t>
      </w:r>
      <w:r w:rsidRPr="00511A5A">
        <w:rPr>
          <w:rFonts w:cs="Arial"/>
          <w:rtl/>
        </w:rPr>
        <w:t xml:space="preserve"> </w:t>
      </w:r>
      <w:r>
        <w:rPr>
          <w:rFonts w:cs="Arial" w:hint="cs"/>
          <w:rtl/>
        </w:rPr>
        <w:t xml:space="preserve">- </w:t>
      </w:r>
      <w:r w:rsidRPr="00511A5A">
        <w:rPr>
          <w:rFonts w:cs="Arial"/>
          <w:rtl/>
        </w:rPr>
        <w:t>אסור לטלטלה</w:t>
      </w:r>
      <w:r>
        <w:rPr>
          <w:rFonts w:cs="Arial" w:hint="cs"/>
          <w:rtl/>
        </w:rPr>
        <w:t>,</w:t>
      </w:r>
      <w:r w:rsidRPr="00511A5A">
        <w:rPr>
          <w:rFonts w:cs="Arial"/>
          <w:rtl/>
        </w:rPr>
        <w:t xml:space="preserve"> כיון שבטלה מהיות עוד כלי.</w:t>
      </w:r>
      <w:r>
        <w:rPr>
          <w:rFonts w:cs="Arial" w:hint="cs"/>
          <w:rtl/>
        </w:rPr>
        <w:t xml:space="preserve"> </w:t>
      </w:r>
      <w:r w:rsidR="00E97D23" w:rsidRPr="00E97D23">
        <w:rPr>
          <w:rFonts w:hint="cs"/>
          <w:color w:val="E36C0A" w:themeColor="accent6" w:themeShade="BF"/>
          <w:rtl/>
        </w:rPr>
        <w:t>(וכ"פ בשו"ע)</w:t>
      </w:r>
    </w:p>
    <w:p w14:paraId="71C98292" w14:textId="0DC6A89A" w:rsidR="006D5969" w:rsidRPr="00B62973" w:rsidRDefault="00B62973" w:rsidP="00434A6A">
      <w:pPr>
        <w:rPr>
          <w:rFonts w:cs="Arial"/>
          <w:rtl/>
        </w:rPr>
      </w:pPr>
      <w:r w:rsidRPr="002A45F7">
        <w:rPr>
          <w:rFonts w:hint="cs"/>
          <w:b/>
          <w:bCs/>
          <w:rtl/>
        </w:rPr>
        <w:t xml:space="preserve">שבת </w:t>
      </w:r>
      <w:r>
        <w:rPr>
          <w:rFonts w:hint="cs"/>
          <w:b/>
          <w:bCs/>
          <w:sz w:val="16"/>
          <w:szCs w:val="16"/>
          <w:rtl/>
        </w:rPr>
        <w:t>(פ' כירה)</w:t>
      </w:r>
      <w:r>
        <w:rPr>
          <w:rFonts w:hint="cs"/>
          <w:b/>
          <w:bCs/>
          <w:rtl/>
        </w:rPr>
        <w:t xml:space="preserve"> מו</w:t>
      </w:r>
      <w:r w:rsidRPr="002A45F7">
        <w:rPr>
          <w:rFonts w:hint="cs"/>
          <w:b/>
          <w:bCs/>
          <w:rtl/>
        </w:rPr>
        <w:t xml:space="preserve"> ע"</w:t>
      </w:r>
      <w:r>
        <w:rPr>
          <w:rFonts w:hint="cs"/>
          <w:b/>
          <w:bCs/>
          <w:rtl/>
        </w:rPr>
        <w:t>א</w:t>
      </w:r>
      <w:r w:rsidRPr="002A45F7">
        <w:rPr>
          <w:rFonts w:hint="cs"/>
          <w:b/>
          <w:bCs/>
          <w:rtl/>
        </w:rPr>
        <w:t>:</w:t>
      </w:r>
      <w:r w:rsidRPr="00B62973">
        <w:rPr>
          <w:rFonts w:cs="Arial"/>
          <w:rtl/>
        </w:rPr>
        <w:t xml:space="preserve"> </w:t>
      </w:r>
      <w:r w:rsidRPr="00B62973">
        <w:rPr>
          <w:rFonts w:cs="Arial"/>
          <w:u w:val="single"/>
          <w:rtl/>
        </w:rPr>
        <w:t>אמר רב יהודה</w:t>
      </w:r>
      <w:r w:rsidRPr="00B62973">
        <w:rPr>
          <w:rFonts w:cs="Arial"/>
          <w:rtl/>
        </w:rPr>
        <w:t xml:space="preserve">: שרגא דמשחא - שרי לטלטולה, דנפטא - אסור לטלטולה. </w:t>
      </w:r>
      <w:r w:rsidRPr="00B62973">
        <w:rPr>
          <w:rFonts w:cs="Arial"/>
          <w:u w:val="single"/>
          <w:rtl/>
        </w:rPr>
        <w:t>רבה ורב יוסף דאמרי תרוייהו</w:t>
      </w:r>
      <w:r w:rsidRPr="00B62973">
        <w:rPr>
          <w:rFonts w:cs="Arial"/>
          <w:rtl/>
        </w:rPr>
        <w:t xml:space="preserve">: דנפטא נמי שרי לטלטולה. </w:t>
      </w:r>
      <w:r w:rsidRPr="00B62973">
        <w:rPr>
          <w:rFonts w:cs="Arial"/>
          <w:u w:val="single"/>
          <w:rtl/>
        </w:rPr>
        <w:t>רב אויא</w:t>
      </w:r>
      <w:r w:rsidRPr="00B62973">
        <w:rPr>
          <w:rFonts w:cs="Arial"/>
          <w:rtl/>
        </w:rPr>
        <w:t xml:space="preserve"> איקלע לבי רבא, הוה מאיסן בי כרעיה בטינא, אתיבי אפוריא קמיה דרבא. איקפד רבא, בעא לצעוריה. </w:t>
      </w:r>
      <w:r w:rsidRPr="00B62973">
        <w:rPr>
          <w:rFonts w:cs="Arial"/>
          <w:u w:val="single"/>
          <w:rtl/>
        </w:rPr>
        <w:t>אמר ליה</w:t>
      </w:r>
      <w:r w:rsidRPr="00B62973">
        <w:rPr>
          <w:rFonts w:cs="Arial"/>
          <w:rtl/>
        </w:rPr>
        <w:t xml:space="preserve">: מאי טעמא רבה ורב יוסף דאמרי תרוייהו שרגא דנפטא נמי שרי לטלטוליה? </w:t>
      </w:r>
      <w:r w:rsidRPr="00B62973">
        <w:rPr>
          <w:rFonts w:cs="Arial"/>
          <w:u w:val="single"/>
          <w:rtl/>
        </w:rPr>
        <w:t>אמר ליה</w:t>
      </w:r>
      <w:r w:rsidRPr="00B62973">
        <w:rPr>
          <w:rFonts w:cs="Arial"/>
          <w:rtl/>
        </w:rPr>
        <w:t xml:space="preserve">: הואיל וחזיא לכסויי בה מנא. אלא מעתה כל צרורות שבחצר מטלטלין, הואיל וחזיא לכסויי בהו מנא! </w:t>
      </w:r>
      <w:r w:rsidRPr="00B62973">
        <w:rPr>
          <w:rFonts w:cs="Arial"/>
          <w:u w:val="single"/>
          <w:rtl/>
        </w:rPr>
        <w:t>אמר ליה</w:t>
      </w:r>
      <w:r w:rsidRPr="00B62973">
        <w:rPr>
          <w:rFonts w:cs="Arial"/>
          <w:rtl/>
        </w:rPr>
        <w:t xml:space="preserve">: הא - איכא תורת כלי עליה, הני - ליכא תורת כלי עליה. מי לא תניא </w:t>
      </w:r>
      <w:r>
        <w:rPr>
          <w:rFonts w:cs="Arial" w:hint="cs"/>
          <w:sz w:val="14"/>
          <w:szCs w:val="14"/>
          <w:rtl/>
        </w:rPr>
        <w:t xml:space="preserve">(מו:) </w:t>
      </w:r>
      <w:r w:rsidRPr="00B62973">
        <w:rPr>
          <w:rFonts w:cs="Arial"/>
          <w:rtl/>
        </w:rPr>
        <w:t xml:space="preserve">השירים והנזמים והטבעות הרי הן ככל הכלים הנטלים בחצר, ואמר עולא: מה טעם - הואיל ואיכא תורת כלי עליה. הכא נמי - הואיל ואיכא תורת כלי עליה. </w:t>
      </w:r>
      <w:r w:rsidRPr="00B62973">
        <w:rPr>
          <w:rFonts w:cs="Arial"/>
          <w:u w:val="single"/>
          <w:rtl/>
        </w:rPr>
        <w:t>אמר רב נחמן בר יצחק</w:t>
      </w:r>
      <w:r w:rsidRPr="00B62973">
        <w:rPr>
          <w:rFonts w:cs="Arial"/>
          <w:rtl/>
        </w:rPr>
        <w:t>: בריך רחמנא דלא כסיפיה רבא לרב אויא.</w:t>
      </w:r>
    </w:p>
    <w:p w14:paraId="5C217570" w14:textId="77777777" w:rsidR="00B62973" w:rsidRPr="006D5969" w:rsidRDefault="00B62973" w:rsidP="00434A6A">
      <w:pPr>
        <w:rPr>
          <w:rtl/>
        </w:rPr>
      </w:pPr>
      <w:r w:rsidRPr="002A45F7">
        <w:rPr>
          <w:rFonts w:hint="cs"/>
          <w:b/>
          <w:bCs/>
          <w:rtl/>
        </w:rPr>
        <w:t xml:space="preserve">שבת </w:t>
      </w:r>
      <w:r>
        <w:rPr>
          <w:rFonts w:hint="cs"/>
          <w:b/>
          <w:bCs/>
          <w:sz w:val="16"/>
          <w:szCs w:val="16"/>
          <w:rtl/>
        </w:rPr>
        <w:t>(פ' כל הכלים)</w:t>
      </w:r>
      <w:r>
        <w:rPr>
          <w:rFonts w:hint="cs"/>
          <w:b/>
          <w:bCs/>
          <w:rtl/>
        </w:rPr>
        <w:t xml:space="preserve"> </w:t>
      </w:r>
      <w:r w:rsidRPr="002A45F7">
        <w:rPr>
          <w:rFonts w:hint="cs"/>
          <w:b/>
          <w:bCs/>
          <w:rtl/>
        </w:rPr>
        <w:t>ק</w:t>
      </w:r>
      <w:r>
        <w:rPr>
          <w:rFonts w:hint="cs"/>
          <w:b/>
          <w:bCs/>
          <w:rtl/>
        </w:rPr>
        <w:t>כד</w:t>
      </w:r>
      <w:r w:rsidRPr="002A45F7">
        <w:rPr>
          <w:rFonts w:hint="cs"/>
          <w:b/>
          <w:bCs/>
          <w:rtl/>
        </w:rPr>
        <w:t xml:space="preserve"> ע"</w:t>
      </w:r>
      <w:r>
        <w:rPr>
          <w:rFonts w:hint="cs"/>
          <w:b/>
          <w:bCs/>
          <w:rtl/>
        </w:rPr>
        <w:t>א</w:t>
      </w:r>
      <w:r w:rsidRPr="002A45F7">
        <w:rPr>
          <w:rFonts w:hint="cs"/>
          <w:b/>
          <w:bCs/>
          <w:rtl/>
        </w:rPr>
        <w:t>:</w:t>
      </w:r>
      <w:r>
        <w:rPr>
          <w:rFonts w:cs="Arial" w:hint="cs"/>
          <w:rtl/>
        </w:rPr>
        <w:t xml:space="preserve"> </w:t>
      </w:r>
      <w:r w:rsidRPr="006D5969">
        <w:rPr>
          <w:rFonts w:cs="Arial"/>
          <w:rtl/>
        </w:rPr>
        <w:t>והא דתנן: אין סומכין את הקדירה בבקעת, וכן בדלת.</w:t>
      </w:r>
      <w:r>
        <w:rPr>
          <w:rFonts w:cs="Arial" w:hint="cs"/>
          <w:rtl/>
        </w:rPr>
        <w:t>.</w:t>
      </w:r>
      <w:r w:rsidRPr="006D5969">
        <w:rPr>
          <w:rFonts w:cs="Arial"/>
          <w:rtl/>
        </w:rPr>
        <w:t>. וכי תימא שבת גופיה תישתרי, דהא דבר שמלאכתו לאיסור לצורך גופו ולצורך מקומו שרי! הני מילי - היכא דאיכא תורת כלי עליו, היכא דליכא תורת כלי עליו - לא.</w:t>
      </w:r>
      <w:r w:rsidRPr="006D5969">
        <w:rPr>
          <w:rFonts w:cs="Arial" w:hint="cs"/>
          <w:rtl/>
        </w:rPr>
        <w:t xml:space="preserve"> </w:t>
      </w:r>
    </w:p>
    <w:p w14:paraId="706681ED" w14:textId="77777777" w:rsidR="00A52AC6" w:rsidRDefault="00A52AC6" w:rsidP="00434A6A">
      <w:pPr>
        <w:rPr>
          <w:rFonts w:cs="Arial"/>
          <w:rtl/>
        </w:rPr>
      </w:pPr>
      <w:r w:rsidRPr="00A52AC6">
        <w:rPr>
          <w:rFonts w:cs="Arial" w:hint="cs"/>
          <w:u w:val="single"/>
          <w:rtl/>
        </w:rPr>
        <w:t xml:space="preserve">דבר שאינו כלי </w:t>
      </w:r>
      <w:r w:rsidRPr="00A52AC6">
        <w:rPr>
          <w:rFonts w:cs="Arial"/>
          <w:u w:val="single"/>
          <w:rtl/>
        </w:rPr>
        <w:t>–</w:t>
      </w:r>
      <w:r w:rsidRPr="00A52AC6">
        <w:rPr>
          <w:rFonts w:cs="Arial" w:hint="cs"/>
          <w:u w:val="single"/>
          <w:rtl/>
        </w:rPr>
        <w:t xml:space="preserve"> מהו לטלטלו לצורך גופו או מקומו:</w:t>
      </w:r>
    </w:p>
    <w:p w14:paraId="5BAC3D4D" w14:textId="590652F4" w:rsidR="00A52AC6" w:rsidRPr="00A52AC6" w:rsidRDefault="00F63421" w:rsidP="00434A6A">
      <w:pPr>
        <w:pStyle w:val="aa"/>
        <w:numPr>
          <w:ilvl w:val="0"/>
          <w:numId w:val="3"/>
        </w:numPr>
      </w:pPr>
      <w:r w:rsidRPr="00A52AC6">
        <w:rPr>
          <w:rFonts w:cs="Arial"/>
          <w:rtl/>
        </w:rPr>
        <w:t>רמב"ם</w:t>
      </w:r>
      <w:r w:rsidRPr="00A52AC6">
        <w:rPr>
          <w:rFonts w:cs="Arial"/>
          <w:sz w:val="16"/>
          <w:szCs w:val="16"/>
          <w:rtl/>
        </w:rPr>
        <w:t xml:space="preserve"> </w:t>
      </w:r>
      <w:r w:rsidR="00A52AC6" w:rsidRPr="00A52AC6">
        <w:rPr>
          <w:rFonts w:cs="Arial" w:hint="cs"/>
          <w:sz w:val="16"/>
          <w:szCs w:val="16"/>
          <w:rtl/>
        </w:rPr>
        <w:t>(</w:t>
      </w:r>
      <w:r w:rsidRPr="00A52AC6">
        <w:rPr>
          <w:rFonts w:cs="Arial"/>
          <w:sz w:val="16"/>
          <w:szCs w:val="16"/>
          <w:rtl/>
        </w:rPr>
        <w:t>פכ"ה ה"ו)</w:t>
      </w:r>
      <w:r w:rsidR="006D5969" w:rsidRPr="006D5969">
        <w:rPr>
          <w:rFonts w:cs="Arial" w:hint="cs"/>
          <w:rtl/>
        </w:rPr>
        <w:t xml:space="preserve"> </w:t>
      </w:r>
      <w:r w:rsidR="006D5969">
        <w:rPr>
          <w:rFonts w:cs="Arial" w:hint="cs"/>
          <w:rtl/>
        </w:rPr>
        <w:t>מהר"ם</w:t>
      </w:r>
      <w:r w:rsidR="006D5969" w:rsidRPr="00A52AC6">
        <w:rPr>
          <w:rFonts w:cs="Arial"/>
          <w:rtl/>
        </w:rPr>
        <w:t xml:space="preserve"> </w:t>
      </w:r>
      <w:r w:rsidR="006D5969" w:rsidRPr="006D5969">
        <w:rPr>
          <w:rFonts w:cs="Arial"/>
          <w:sz w:val="16"/>
          <w:szCs w:val="16"/>
          <w:rtl/>
        </w:rPr>
        <w:t>(ד"פ סי' תקיח</w:t>
      </w:r>
      <w:r w:rsidR="006D5969" w:rsidRPr="006D5969">
        <w:rPr>
          <w:rFonts w:cs="Arial" w:hint="cs"/>
          <w:sz w:val="16"/>
          <w:szCs w:val="16"/>
          <w:rtl/>
        </w:rPr>
        <w:t>, הביאו המרדכי [ביצה סי' תרמה]</w:t>
      </w:r>
      <w:r w:rsidR="006D5969" w:rsidRPr="006D5969">
        <w:rPr>
          <w:rFonts w:cs="Arial"/>
          <w:sz w:val="16"/>
          <w:szCs w:val="16"/>
          <w:rtl/>
        </w:rPr>
        <w:t>)</w:t>
      </w:r>
      <w:r w:rsidR="006D5969" w:rsidRPr="006D5969">
        <w:rPr>
          <w:rFonts w:cs="Arial" w:hint="cs"/>
          <w:rtl/>
        </w:rPr>
        <w:t xml:space="preserve"> </w:t>
      </w:r>
      <w:r w:rsidR="003F7F74">
        <w:rPr>
          <w:rFonts w:cs="Arial" w:hint="cs"/>
          <w:rtl/>
        </w:rPr>
        <w:t>ו</w:t>
      </w:r>
      <w:r w:rsidR="006D5969" w:rsidRPr="00A52AC6">
        <w:rPr>
          <w:rFonts w:cs="Arial" w:hint="cs"/>
          <w:rtl/>
        </w:rPr>
        <w:t>טור</w:t>
      </w:r>
      <w:r w:rsidR="006D5969">
        <w:rPr>
          <w:rStyle w:val="a9"/>
          <w:rFonts w:cs="Arial"/>
          <w:rtl/>
        </w:rPr>
        <w:footnoteReference w:id="1389"/>
      </w:r>
      <w:r w:rsidR="00A52AC6">
        <w:rPr>
          <w:rFonts w:cs="Arial" w:hint="cs"/>
          <w:rtl/>
        </w:rPr>
        <w:t>-</w:t>
      </w:r>
      <w:r w:rsidRPr="00A52AC6">
        <w:rPr>
          <w:rFonts w:cs="Arial"/>
          <w:rtl/>
        </w:rPr>
        <w:t xml:space="preserve"> </w:t>
      </w:r>
      <w:r w:rsidR="00A52AC6" w:rsidRPr="00A52AC6">
        <w:rPr>
          <w:rFonts w:cs="Arial"/>
          <w:rtl/>
        </w:rPr>
        <w:t>וכל שאינו כלי כגון אבנים ומעות וקנים וקורות וכיוצא בהן</w:t>
      </w:r>
      <w:r w:rsidR="006D5969">
        <w:rPr>
          <w:rFonts w:cs="Arial" w:hint="cs"/>
          <w:rtl/>
        </w:rPr>
        <w:t xml:space="preserve"> -</w:t>
      </w:r>
      <w:r w:rsidR="00A52AC6" w:rsidRPr="00A52AC6">
        <w:rPr>
          <w:rFonts w:cs="Arial"/>
          <w:rtl/>
        </w:rPr>
        <w:t xml:space="preserve"> אסור לטלטלן</w:t>
      </w:r>
      <w:r w:rsidR="00B62973">
        <w:rPr>
          <w:rStyle w:val="a9"/>
          <w:rFonts w:cs="Arial"/>
          <w:rtl/>
        </w:rPr>
        <w:footnoteReference w:id="1390"/>
      </w:r>
      <w:r w:rsidR="006D5969">
        <w:rPr>
          <w:rFonts w:cs="Arial" w:hint="cs"/>
          <w:rtl/>
        </w:rPr>
        <w:t>...</w:t>
      </w:r>
      <w:r w:rsidR="006D5969" w:rsidRPr="006D5969">
        <w:rPr>
          <w:rtl/>
        </w:rPr>
        <w:t xml:space="preserve"> </w:t>
      </w:r>
      <w:r w:rsidR="006D5969" w:rsidRPr="006D5969">
        <w:rPr>
          <w:rFonts w:cs="Arial"/>
          <w:rtl/>
        </w:rPr>
        <w:t>וכן העפר והחול והמת אין מזיזין אותן ממקומו</w:t>
      </w:r>
      <w:r w:rsidR="006D5969">
        <w:rPr>
          <w:rFonts w:hint="cs"/>
          <w:sz w:val="16"/>
          <w:szCs w:val="16"/>
          <w:rtl/>
        </w:rPr>
        <w:t xml:space="preserve"> </w:t>
      </w:r>
      <w:r w:rsidR="006D5969" w:rsidRPr="006D5969">
        <w:rPr>
          <w:rFonts w:hint="cs"/>
          <w:sz w:val="16"/>
          <w:szCs w:val="16"/>
          <w:rtl/>
        </w:rPr>
        <w:t>(ל' הרמב"ם)</w:t>
      </w:r>
      <w:r w:rsidR="006D5969">
        <w:rPr>
          <w:rFonts w:cs="Arial" w:hint="cs"/>
          <w:rtl/>
        </w:rPr>
        <w:t>.</w:t>
      </w:r>
      <w:r w:rsidR="00E97D23">
        <w:rPr>
          <w:rFonts w:hint="cs"/>
          <w:rtl/>
        </w:rPr>
        <w:t xml:space="preserve"> </w:t>
      </w:r>
      <w:r w:rsidR="00E97D23" w:rsidRPr="00E97D23">
        <w:rPr>
          <w:rFonts w:hint="cs"/>
          <w:color w:val="E36C0A" w:themeColor="accent6" w:themeShade="BF"/>
          <w:rtl/>
        </w:rPr>
        <w:t>(וכ"פ בשו"ע)</w:t>
      </w:r>
    </w:p>
    <w:p w14:paraId="42D0130A"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43774890" w14:textId="1ADC57E9" w:rsidR="000C6229" w:rsidRPr="005275DF" w:rsidRDefault="000C6229" w:rsidP="00434A6A">
      <w:pPr>
        <w:rPr>
          <w:rFonts w:asciiTheme="minorBidi" w:hAnsiTheme="minorBidi"/>
          <w:rtl/>
        </w:rPr>
      </w:pPr>
      <w:r w:rsidRPr="005275DF">
        <w:rPr>
          <w:rFonts w:asciiTheme="minorBidi" w:hAnsiTheme="minorBidi"/>
          <w:rtl/>
        </w:rPr>
        <w:t>חתיכת חרס שנשברה בחול מכלי וראויה לכסות בה כלי, מותר לטלטלה אפי</w:t>
      </w:r>
      <w:r w:rsidR="00A52AC6">
        <w:rPr>
          <w:rFonts w:asciiTheme="minorBidi" w:hAnsiTheme="minorBidi" w:hint="cs"/>
          <w:rtl/>
        </w:rPr>
        <w:t>לו</w:t>
      </w:r>
      <w:r w:rsidRPr="005275DF">
        <w:rPr>
          <w:rFonts w:asciiTheme="minorBidi" w:hAnsiTheme="minorBidi"/>
          <w:rtl/>
        </w:rPr>
        <w:t xml:space="preserve"> במקום שאין כלים מצויים שם לכסותם בה</w:t>
      </w:r>
      <w:r w:rsidR="00A52AC6">
        <w:rPr>
          <w:rFonts w:asciiTheme="minorBidi" w:hAnsiTheme="minorBidi" w:hint="cs"/>
          <w:rtl/>
        </w:rPr>
        <w:t>.</w:t>
      </w:r>
      <w:r w:rsidRPr="005275DF">
        <w:rPr>
          <w:rFonts w:asciiTheme="minorBidi" w:hAnsiTheme="minorBidi"/>
          <w:rtl/>
        </w:rPr>
        <w:t xml:space="preserve"> ואם זרקה לאשפה </w:t>
      </w:r>
      <w:r w:rsidR="00357CCA">
        <w:rPr>
          <w:rFonts w:asciiTheme="minorBidi" w:hAnsiTheme="minorBidi"/>
          <w:rtl/>
        </w:rPr>
        <w:t>מבעוד יום</w:t>
      </w:r>
      <w:r w:rsidRPr="005275DF">
        <w:rPr>
          <w:rFonts w:asciiTheme="minorBidi" w:hAnsiTheme="minorBidi"/>
          <w:rtl/>
        </w:rPr>
        <w:t xml:space="preserve">, אסור לטלטלה כיון שבטלה מהיות עוד כלי. </w:t>
      </w:r>
      <w:r w:rsidRPr="00511A5A">
        <w:rPr>
          <w:rFonts w:asciiTheme="minorBidi" w:hAnsiTheme="minorBidi"/>
          <w:sz w:val="18"/>
          <w:szCs w:val="18"/>
          <w:rtl/>
        </w:rPr>
        <w:t>הגה: ואפילו חזי לעני</w:t>
      </w:r>
      <w:r w:rsidR="00A52AC6">
        <w:rPr>
          <w:rFonts w:asciiTheme="minorBidi" w:hAnsiTheme="minorBidi" w:hint="cs"/>
          <w:sz w:val="18"/>
          <w:szCs w:val="18"/>
          <w:rtl/>
        </w:rPr>
        <w:t>,</w:t>
      </w:r>
      <w:r w:rsidRPr="00511A5A">
        <w:rPr>
          <w:rFonts w:asciiTheme="minorBidi" w:hAnsiTheme="minorBidi"/>
          <w:sz w:val="18"/>
          <w:szCs w:val="18"/>
          <w:rtl/>
        </w:rPr>
        <w:t xml:space="preserve"> הואיל והקצוהו הבעלים שלו אע</w:t>
      </w:r>
      <w:r w:rsidR="00A52AC6">
        <w:rPr>
          <w:rFonts w:asciiTheme="minorBidi" w:hAnsiTheme="minorBidi" w:hint="cs"/>
          <w:sz w:val="18"/>
          <w:szCs w:val="18"/>
          <w:rtl/>
        </w:rPr>
        <w:t>"</w:t>
      </w:r>
      <w:r w:rsidRPr="00511A5A">
        <w:rPr>
          <w:rFonts w:asciiTheme="minorBidi" w:hAnsiTheme="minorBidi"/>
          <w:sz w:val="18"/>
          <w:szCs w:val="18"/>
          <w:rtl/>
        </w:rPr>
        <w:t>פ שהם עשירים, דמוקצה לעשיר הוי מוקצה לעני כמו שיתבאר סוף הסימן (ר"ן פרק במה אשה)</w:t>
      </w:r>
      <w:r w:rsidR="00511A5A">
        <w:rPr>
          <w:rFonts w:asciiTheme="minorBidi" w:hAnsiTheme="minorBidi" w:hint="cs"/>
          <w:sz w:val="18"/>
          <w:szCs w:val="18"/>
          <w:rtl/>
        </w:rPr>
        <w:t>.</w:t>
      </w:r>
      <w:r w:rsidRPr="00511A5A">
        <w:rPr>
          <w:rFonts w:asciiTheme="minorBidi" w:hAnsiTheme="minorBidi"/>
          <w:sz w:val="18"/>
          <w:szCs w:val="18"/>
          <w:rtl/>
        </w:rPr>
        <w:t xml:space="preserve"> </w:t>
      </w:r>
      <w:r w:rsidRPr="005275DF">
        <w:rPr>
          <w:rFonts w:asciiTheme="minorBidi" w:hAnsiTheme="minorBidi"/>
          <w:rtl/>
        </w:rPr>
        <w:t>ודוקא חתיכת חרס משום דאתיא משברי כלי, אבל דבר שאין בו שייכות כלי</w:t>
      </w:r>
      <w:r w:rsidR="00701B04">
        <w:rPr>
          <w:rStyle w:val="a9"/>
          <w:rFonts w:asciiTheme="minorBidi" w:hAnsiTheme="minorBidi"/>
          <w:rtl/>
        </w:rPr>
        <w:footnoteReference w:id="1391"/>
      </w:r>
      <w:r w:rsidRPr="005275DF">
        <w:rPr>
          <w:rFonts w:asciiTheme="minorBidi" w:hAnsiTheme="minorBidi"/>
          <w:rtl/>
        </w:rPr>
        <w:t xml:space="preserve"> כגון צרורות או אבנים אף על פי שראויים לכסות בהם כלי, אסור לטלטלם. </w:t>
      </w:r>
      <w:r w:rsidRPr="00511A5A">
        <w:rPr>
          <w:rFonts w:asciiTheme="minorBidi" w:hAnsiTheme="minorBidi"/>
          <w:sz w:val="18"/>
          <w:szCs w:val="18"/>
          <w:rtl/>
        </w:rPr>
        <w:t>הגה: וכל דבר שאינו כלי כלל, אסור לטלטלו אפילו לצורך גופו, כ"ש לצורך מקומו (מרדכי פ"ק דיו"ט).</w:t>
      </w:r>
      <w:r w:rsidRPr="005275DF">
        <w:rPr>
          <w:rFonts w:asciiTheme="minorBidi" w:hAnsiTheme="minorBidi"/>
          <w:rtl/>
        </w:rPr>
        <w:t xml:space="preserve"> </w:t>
      </w:r>
    </w:p>
    <w:p w14:paraId="5227A5A9" w14:textId="77777777" w:rsidR="000C6229" w:rsidRPr="005275DF" w:rsidRDefault="000C6229" w:rsidP="00434A6A">
      <w:pPr>
        <w:rPr>
          <w:rFonts w:asciiTheme="minorBidi" w:hAnsiTheme="minorBidi"/>
          <w:rtl/>
        </w:rPr>
      </w:pPr>
    </w:p>
    <w:p w14:paraId="560B2D11" w14:textId="1D53335F" w:rsidR="000C6229" w:rsidRDefault="000C6229" w:rsidP="00434A6A">
      <w:pPr>
        <w:pStyle w:val="2"/>
        <w:rPr>
          <w:rtl/>
        </w:rPr>
      </w:pPr>
      <w:r w:rsidRPr="005275DF">
        <w:rPr>
          <w:rtl/>
        </w:rPr>
        <w:t>סעיף ח</w:t>
      </w:r>
      <w:r w:rsidR="00F63421">
        <w:rPr>
          <w:rFonts w:hint="cs"/>
          <w:rtl/>
        </w:rPr>
        <w:t>:</w:t>
      </w:r>
      <w:r w:rsidR="00701B04">
        <w:rPr>
          <w:rFonts w:hint="cs"/>
          <w:rtl/>
        </w:rPr>
        <w:t xml:space="preserve"> דלתות שנפרקו מכליהם.</w:t>
      </w:r>
    </w:p>
    <w:p w14:paraId="1BE68C45" w14:textId="09AC670F" w:rsidR="00701B04" w:rsidRPr="00701B04" w:rsidRDefault="00701B04" w:rsidP="00434A6A">
      <w:pPr>
        <w:rPr>
          <w:rtl/>
        </w:rPr>
      </w:pPr>
      <w:r w:rsidRPr="002A45F7">
        <w:rPr>
          <w:rFonts w:hint="cs"/>
          <w:b/>
          <w:bCs/>
          <w:rtl/>
        </w:rPr>
        <w:t xml:space="preserve">שבת </w:t>
      </w:r>
      <w:r>
        <w:rPr>
          <w:rFonts w:hint="cs"/>
          <w:b/>
          <w:bCs/>
          <w:sz w:val="16"/>
          <w:szCs w:val="16"/>
          <w:rtl/>
        </w:rPr>
        <w:t>(פ' כל הכלים)</w:t>
      </w:r>
      <w:r>
        <w:rPr>
          <w:rFonts w:hint="cs"/>
          <w:b/>
          <w:bCs/>
          <w:rtl/>
        </w:rPr>
        <w:t xml:space="preserve"> </w:t>
      </w:r>
      <w:r w:rsidRPr="002A45F7">
        <w:rPr>
          <w:rFonts w:hint="cs"/>
          <w:b/>
          <w:bCs/>
          <w:rtl/>
        </w:rPr>
        <w:t>ק</w:t>
      </w:r>
      <w:r>
        <w:rPr>
          <w:rFonts w:hint="cs"/>
          <w:b/>
          <w:bCs/>
          <w:rtl/>
        </w:rPr>
        <w:t>כב</w:t>
      </w:r>
      <w:r w:rsidRPr="002A45F7">
        <w:rPr>
          <w:rFonts w:hint="cs"/>
          <w:b/>
          <w:bCs/>
          <w:rtl/>
        </w:rPr>
        <w:t xml:space="preserve"> ע"</w:t>
      </w:r>
      <w:r>
        <w:rPr>
          <w:rFonts w:hint="cs"/>
          <w:b/>
          <w:bCs/>
          <w:rtl/>
        </w:rPr>
        <w:t>ב</w:t>
      </w:r>
      <w:r w:rsidRPr="002A45F7">
        <w:rPr>
          <w:rFonts w:hint="cs"/>
          <w:b/>
          <w:bCs/>
          <w:rtl/>
        </w:rPr>
        <w:t>:</w:t>
      </w:r>
      <w:r>
        <w:rPr>
          <w:rFonts w:cs="Arial" w:hint="cs"/>
          <w:rtl/>
        </w:rPr>
        <w:t xml:space="preserve"> </w:t>
      </w:r>
      <w:r w:rsidRPr="00701B04">
        <w:rPr>
          <w:rFonts w:cs="Arial"/>
          <w:u w:val="double"/>
          <w:rtl/>
        </w:rPr>
        <w:t>משנה</w:t>
      </w:r>
      <w:r>
        <w:rPr>
          <w:rFonts w:cs="Arial" w:hint="cs"/>
          <w:rtl/>
        </w:rPr>
        <w:t>:</w:t>
      </w:r>
      <w:r>
        <w:rPr>
          <w:rFonts w:cs="Arial"/>
          <w:rtl/>
        </w:rPr>
        <w:t xml:space="preserve"> כל הכלים ניטלין בשבת ודלתותיהן עמהן</w:t>
      </w:r>
      <w:r w:rsidR="008760DA">
        <w:rPr>
          <w:rStyle w:val="a9"/>
          <w:rFonts w:cs="Arial"/>
          <w:rtl/>
        </w:rPr>
        <w:footnoteReference w:id="1392"/>
      </w:r>
      <w:r>
        <w:rPr>
          <w:rFonts w:cs="Arial"/>
          <w:rtl/>
        </w:rPr>
        <w:t>, אף על פי שנתפרקו</w:t>
      </w:r>
      <w:r w:rsidR="008760DA">
        <w:rPr>
          <w:rStyle w:val="a9"/>
          <w:rFonts w:cs="Arial"/>
          <w:rtl/>
        </w:rPr>
        <w:footnoteReference w:id="1393"/>
      </w:r>
      <w:r>
        <w:rPr>
          <w:rFonts w:cs="Arial"/>
          <w:rtl/>
        </w:rPr>
        <w:t xml:space="preserve"> </w:t>
      </w:r>
      <w:r w:rsidR="00AC47E8">
        <w:rPr>
          <w:rStyle w:val="a9"/>
          <w:rFonts w:cs="Arial"/>
          <w:rtl/>
        </w:rPr>
        <w:footnoteReference w:id="1394"/>
      </w:r>
      <w:r w:rsidR="00B73703">
        <w:rPr>
          <w:rFonts w:cs="Arial" w:hint="cs"/>
          <w:rtl/>
        </w:rPr>
        <w:t>[</w:t>
      </w:r>
      <w:r>
        <w:rPr>
          <w:rFonts w:cs="Arial"/>
          <w:rtl/>
        </w:rPr>
        <w:t>בשבת</w:t>
      </w:r>
      <w:r w:rsidR="00B73703">
        <w:rPr>
          <w:rFonts w:cs="Arial" w:hint="cs"/>
          <w:rtl/>
        </w:rPr>
        <w:t>]</w:t>
      </w:r>
      <w:r w:rsidR="00AC47E8">
        <w:rPr>
          <w:rFonts w:cs="Arial" w:hint="cs"/>
          <w:rtl/>
        </w:rPr>
        <w:t>,</w:t>
      </w:r>
      <w:r>
        <w:rPr>
          <w:rFonts w:cs="Arial"/>
          <w:rtl/>
        </w:rPr>
        <w:t xml:space="preserve"> שאינן דומין לדלתות הבית, לפי שאינן מן המוכן.</w:t>
      </w:r>
      <w:r>
        <w:rPr>
          <w:rFonts w:cs="Arial" w:hint="cs"/>
          <w:rtl/>
        </w:rPr>
        <w:t>.</w:t>
      </w:r>
      <w:r>
        <w:rPr>
          <w:rFonts w:cs="Arial"/>
          <w:rtl/>
        </w:rPr>
        <w:t>.</w:t>
      </w:r>
      <w:r>
        <w:rPr>
          <w:rFonts w:cs="Arial" w:hint="cs"/>
          <w:rtl/>
        </w:rPr>
        <w:t xml:space="preserve">       </w:t>
      </w:r>
      <w:r w:rsidRPr="00701B04">
        <w:rPr>
          <w:rFonts w:cs="Arial"/>
          <w:u w:val="double"/>
          <w:rtl/>
        </w:rPr>
        <w:t>גמרא</w:t>
      </w:r>
      <w:r>
        <w:rPr>
          <w:rFonts w:cs="Arial" w:hint="cs"/>
          <w:rtl/>
        </w:rPr>
        <w:t>:</w:t>
      </w:r>
      <w:r>
        <w:rPr>
          <w:rFonts w:cs="Arial"/>
          <w:rtl/>
        </w:rPr>
        <w:t xml:space="preserve"> כל הכלים ניטלין ואף על פי שנתפרקו בשבת, ולא מיבעיא בחול? אדרבה, בשבת - מוכנין על גבי אביהן, בחול - אין מוכנין על גבי אביהן! </w:t>
      </w:r>
      <w:r w:rsidRPr="00701B04">
        <w:rPr>
          <w:rFonts w:cs="Arial"/>
          <w:u w:val="single"/>
          <w:rtl/>
        </w:rPr>
        <w:t>אמר אביי</w:t>
      </w:r>
      <w:r>
        <w:rPr>
          <w:rFonts w:cs="Arial" w:hint="cs"/>
          <w:rtl/>
        </w:rPr>
        <w:t>:</w:t>
      </w:r>
      <w:r>
        <w:rPr>
          <w:rFonts w:cs="Arial"/>
          <w:rtl/>
        </w:rPr>
        <w:t xml:space="preserve"> הכי קאמר: כל הכלים ניטלין בשבת ודלתותיהן עמהן, אף על פי שנתפרקו בחול - ניטלין בשבת.</w:t>
      </w:r>
    </w:p>
    <w:p w14:paraId="5E9E0C14" w14:textId="5D1500CF" w:rsidR="00701B04" w:rsidRPr="00701B04" w:rsidRDefault="00701B04" w:rsidP="00434A6A">
      <w:pPr>
        <w:rPr>
          <w:u w:val="single"/>
          <w:rtl/>
        </w:rPr>
      </w:pPr>
      <w:r w:rsidRPr="00701B04">
        <w:rPr>
          <w:rFonts w:hint="cs"/>
          <w:u w:val="single"/>
          <w:rtl/>
        </w:rPr>
        <w:t>דלתות שנפרקו מכליהם:</w:t>
      </w:r>
    </w:p>
    <w:p w14:paraId="05CCDBDE" w14:textId="13A9BE85" w:rsidR="004664A5" w:rsidRPr="00511A5A" w:rsidRDefault="00511A5A" w:rsidP="00434A6A">
      <w:pPr>
        <w:pStyle w:val="aa"/>
        <w:numPr>
          <w:ilvl w:val="0"/>
          <w:numId w:val="3"/>
        </w:numPr>
        <w:rPr>
          <w:rFonts w:cs="Arial"/>
          <w:rtl/>
        </w:rPr>
      </w:pPr>
      <w:r w:rsidRPr="00511A5A">
        <w:rPr>
          <w:rFonts w:cs="Arial" w:hint="cs"/>
          <w:rtl/>
        </w:rPr>
        <w:t xml:space="preserve">טור- </w:t>
      </w:r>
      <w:r w:rsidR="004664A5" w:rsidRPr="00511A5A">
        <w:rPr>
          <w:rFonts w:cs="Arial"/>
          <w:rtl/>
        </w:rPr>
        <w:t>כל הכלים הניטלין בשבת</w:t>
      </w:r>
      <w:r w:rsidR="00701B04">
        <w:rPr>
          <w:rFonts w:cs="Arial" w:hint="cs"/>
          <w:rtl/>
        </w:rPr>
        <w:t>,</w:t>
      </w:r>
      <w:r w:rsidR="004664A5" w:rsidRPr="00511A5A">
        <w:rPr>
          <w:rFonts w:cs="Arial"/>
          <w:rtl/>
        </w:rPr>
        <w:t xml:space="preserve"> דלתותיהן שנתפרקו מהן ניטלין</w:t>
      </w:r>
      <w:r w:rsidR="00701B04">
        <w:rPr>
          <w:rFonts w:cs="Arial" w:hint="cs"/>
          <w:rtl/>
        </w:rPr>
        <w:t>.</w:t>
      </w:r>
      <w:r w:rsidR="004664A5" w:rsidRPr="00511A5A">
        <w:rPr>
          <w:rFonts w:cs="Arial"/>
          <w:rtl/>
        </w:rPr>
        <w:t xml:space="preserve"> ל"ש נתפרקו בחול</w:t>
      </w:r>
      <w:r w:rsidR="00701B04">
        <w:rPr>
          <w:rFonts w:cs="Arial" w:hint="cs"/>
          <w:rtl/>
        </w:rPr>
        <w:t>,</w:t>
      </w:r>
      <w:r w:rsidR="004664A5" w:rsidRPr="00511A5A">
        <w:rPr>
          <w:rFonts w:cs="Arial"/>
          <w:rtl/>
        </w:rPr>
        <w:t xml:space="preserve"> ל"ש נתפרקו בשבת</w:t>
      </w:r>
      <w:r>
        <w:rPr>
          <w:rFonts w:cs="Arial" w:hint="cs"/>
          <w:rtl/>
        </w:rPr>
        <w:t>.</w:t>
      </w:r>
      <w:r w:rsidR="00B73703" w:rsidRPr="00B73703">
        <w:rPr>
          <w:rFonts w:hint="cs"/>
          <w:color w:val="E36C0A" w:themeColor="accent6" w:themeShade="BF"/>
          <w:rtl/>
        </w:rPr>
        <w:t xml:space="preserve"> </w:t>
      </w:r>
      <w:r w:rsidR="00B73703" w:rsidRPr="00E97D23">
        <w:rPr>
          <w:rFonts w:hint="cs"/>
          <w:color w:val="E36C0A" w:themeColor="accent6" w:themeShade="BF"/>
          <w:rtl/>
        </w:rPr>
        <w:t>(וכ"פ בשו"ע)</w:t>
      </w:r>
      <w:r w:rsidR="004664A5" w:rsidRPr="00511A5A">
        <w:rPr>
          <w:rFonts w:cs="Arial"/>
          <w:rtl/>
        </w:rPr>
        <w:t xml:space="preserve"> </w:t>
      </w:r>
    </w:p>
    <w:p w14:paraId="7C7DBAEB"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03D21FBE" w14:textId="4A1AA10D" w:rsidR="00C80D8E" w:rsidRDefault="000C6229" w:rsidP="00434A6A">
      <w:pPr>
        <w:rPr>
          <w:rFonts w:asciiTheme="minorBidi" w:hAnsiTheme="minorBidi"/>
          <w:rtl/>
        </w:rPr>
      </w:pPr>
      <w:r w:rsidRPr="005275DF">
        <w:rPr>
          <w:rFonts w:asciiTheme="minorBidi" w:hAnsiTheme="minorBidi"/>
          <w:rtl/>
        </w:rPr>
        <w:t>כל הכלים הנטלים בשבת, דלתותיהן שנתפרקו מהם נטלים</w:t>
      </w:r>
      <w:r w:rsidR="00C64DFF">
        <w:rPr>
          <w:rFonts w:asciiTheme="minorBidi" w:hAnsiTheme="minorBidi" w:hint="cs"/>
          <w:rtl/>
        </w:rPr>
        <w:t>,</w:t>
      </w:r>
      <w:r w:rsidRPr="005275DF">
        <w:rPr>
          <w:rFonts w:asciiTheme="minorBidi" w:hAnsiTheme="minorBidi"/>
          <w:rtl/>
        </w:rPr>
        <w:t xml:space="preserve"> בין נתפרקו בחול</w:t>
      </w:r>
      <w:r w:rsidR="00C17F08">
        <w:rPr>
          <w:rStyle w:val="a9"/>
          <w:rFonts w:asciiTheme="minorBidi" w:hAnsiTheme="minorBidi"/>
          <w:rtl/>
        </w:rPr>
        <w:footnoteReference w:id="1395"/>
      </w:r>
      <w:r w:rsidRPr="005275DF">
        <w:rPr>
          <w:rFonts w:asciiTheme="minorBidi" w:hAnsiTheme="minorBidi"/>
          <w:rtl/>
        </w:rPr>
        <w:t xml:space="preserve"> בין נתפרקו בשבת. </w:t>
      </w:r>
    </w:p>
    <w:p w14:paraId="0BFA0061" w14:textId="77777777" w:rsidR="00BE4791" w:rsidRPr="005275DF" w:rsidRDefault="00BE4791" w:rsidP="00434A6A">
      <w:pPr>
        <w:rPr>
          <w:rFonts w:asciiTheme="minorBidi" w:hAnsiTheme="minorBidi"/>
          <w:rtl/>
        </w:rPr>
      </w:pPr>
    </w:p>
    <w:p w14:paraId="52B53AA2" w14:textId="6E36CEF1" w:rsidR="000C6229" w:rsidRDefault="000C6229" w:rsidP="00434A6A">
      <w:pPr>
        <w:pStyle w:val="2"/>
        <w:rPr>
          <w:rtl/>
        </w:rPr>
      </w:pPr>
      <w:r w:rsidRPr="005275DF">
        <w:rPr>
          <w:rtl/>
        </w:rPr>
        <w:t>סעיף ט</w:t>
      </w:r>
      <w:r w:rsidR="00F63421">
        <w:rPr>
          <w:rFonts w:hint="cs"/>
          <w:rtl/>
        </w:rPr>
        <w:t>:</w:t>
      </w:r>
      <w:r w:rsidR="00C17F08">
        <w:rPr>
          <w:rFonts w:hint="cs"/>
          <w:rtl/>
        </w:rPr>
        <w:t xml:space="preserve"> פירוק דלת מכלי/לול/בית.</w:t>
      </w:r>
    </w:p>
    <w:p w14:paraId="5D4E2920" w14:textId="73085E5C" w:rsidR="008754D0" w:rsidRDefault="008754D0" w:rsidP="00434A6A">
      <w:pPr>
        <w:rPr>
          <w:rtl/>
        </w:rPr>
      </w:pPr>
      <w:r w:rsidRPr="002A45F7">
        <w:rPr>
          <w:rFonts w:hint="cs"/>
          <w:b/>
          <w:bCs/>
          <w:rtl/>
        </w:rPr>
        <w:t xml:space="preserve">שבת </w:t>
      </w:r>
      <w:r>
        <w:rPr>
          <w:rFonts w:hint="cs"/>
          <w:b/>
          <w:bCs/>
          <w:sz w:val="16"/>
          <w:szCs w:val="16"/>
          <w:rtl/>
        </w:rPr>
        <w:t>(פ' כל הכלים)</w:t>
      </w:r>
      <w:r>
        <w:rPr>
          <w:rFonts w:hint="cs"/>
          <w:b/>
          <w:bCs/>
          <w:rtl/>
        </w:rPr>
        <w:t xml:space="preserve"> </w:t>
      </w:r>
      <w:r w:rsidRPr="002A45F7">
        <w:rPr>
          <w:rFonts w:hint="cs"/>
          <w:b/>
          <w:bCs/>
          <w:rtl/>
        </w:rPr>
        <w:t>ק</w:t>
      </w:r>
      <w:r>
        <w:rPr>
          <w:rFonts w:hint="cs"/>
          <w:b/>
          <w:bCs/>
          <w:rtl/>
        </w:rPr>
        <w:t>כב</w:t>
      </w:r>
      <w:r w:rsidRPr="002A45F7">
        <w:rPr>
          <w:rFonts w:hint="cs"/>
          <w:b/>
          <w:bCs/>
          <w:rtl/>
        </w:rPr>
        <w:t xml:space="preserve"> ע"</w:t>
      </w:r>
      <w:r>
        <w:rPr>
          <w:rFonts w:hint="cs"/>
          <w:b/>
          <w:bCs/>
          <w:rtl/>
        </w:rPr>
        <w:t>ב</w:t>
      </w:r>
      <w:r w:rsidRPr="002A45F7">
        <w:rPr>
          <w:rFonts w:hint="cs"/>
          <w:b/>
          <w:bCs/>
          <w:rtl/>
        </w:rPr>
        <w:t>:</w:t>
      </w:r>
      <w:r>
        <w:rPr>
          <w:rFonts w:cs="Arial" w:hint="cs"/>
          <w:rtl/>
        </w:rPr>
        <w:t xml:space="preserve"> </w:t>
      </w:r>
      <w:r w:rsidRPr="008754D0">
        <w:rPr>
          <w:rFonts w:cs="Arial"/>
          <w:rtl/>
        </w:rPr>
        <w:t>תנו רבנן: דלת של שידה ושל תיבה ושל מגדל - נוטלין</w:t>
      </w:r>
      <w:r w:rsidR="008760DA">
        <w:rPr>
          <w:rStyle w:val="a9"/>
          <w:rFonts w:cs="Arial"/>
          <w:rtl/>
        </w:rPr>
        <w:footnoteReference w:id="1396"/>
      </w:r>
      <w:r w:rsidRPr="008754D0">
        <w:rPr>
          <w:rFonts w:cs="Arial"/>
          <w:rtl/>
        </w:rPr>
        <w:t>, אבל לא מחזירין. ושל לול של תרנגולים - לא נוטלין ולא מחזירין. בשלמא של לול של תרנגולים - קסבר: כיון דמחברי בארעא - יש בנין בקרקע, יש סתירה בקרקע. אלא של שידה ושל תיבה ושל מגדל מאי קסבר</w:t>
      </w:r>
      <w:r w:rsidR="008760DA">
        <w:rPr>
          <w:rStyle w:val="a9"/>
          <w:rFonts w:cs="Arial"/>
          <w:rtl/>
        </w:rPr>
        <w:footnoteReference w:id="1397"/>
      </w:r>
      <w:r w:rsidRPr="008754D0">
        <w:rPr>
          <w:rFonts w:cs="Arial"/>
          <w:rtl/>
        </w:rPr>
        <w:t xml:space="preserve">? אי קסבר יש בנין בכלים - יש סתירה בכלים, ואי אין סתירה בכלים אין בנין בכלים! </w:t>
      </w:r>
      <w:r w:rsidRPr="003065FB">
        <w:rPr>
          <w:rFonts w:cs="Arial"/>
          <w:u w:val="single"/>
          <w:rtl/>
        </w:rPr>
        <w:t>אמר אביי</w:t>
      </w:r>
      <w:r w:rsidRPr="008754D0">
        <w:rPr>
          <w:rFonts w:cs="Arial"/>
          <w:rtl/>
        </w:rPr>
        <w:t xml:space="preserve">: לעולם קסבר יש בנין בכלים ויש סתירה בכלים - ושניטלו קאמר. </w:t>
      </w:r>
      <w:r w:rsidRPr="003065FB">
        <w:rPr>
          <w:rFonts w:cs="Arial"/>
          <w:u w:val="single"/>
          <w:rtl/>
        </w:rPr>
        <w:t>אמר לו רבא</w:t>
      </w:r>
      <w:r w:rsidRPr="008754D0">
        <w:rPr>
          <w:rFonts w:cs="Arial"/>
          <w:rtl/>
        </w:rPr>
        <w:t xml:space="preserve">: [שתי תשובות בדבר], חדא: דניטלין קתני, ועוד: מאי אבל לא מחזירין? </w:t>
      </w:r>
      <w:r w:rsidRPr="003065FB">
        <w:rPr>
          <w:rFonts w:cs="Arial"/>
          <w:u w:val="single"/>
          <w:rtl/>
        </w:rPr>
        <w:t>אלא אמר רבא</w:t>
      </w:r>
      <w:r w:rsidRPr="008754D0">
        <w:rPr>
          <w:rFonts w:cs="Arial"/>
          <w:rtl/>
        </w:rPr>
        <w:t>: קסבר אין בנין בכלים ואין סתירה בכלים</w:t>
      </w:r>
      <w:r w:rsidR="003065FB">
        <w:rPr>
          <w:rStyle w:val="a9"/>
          <w:rFonts w:cs="Arial"/>
          <w:rtl/>
        </w:rPr>
        <w:footnoteReference w:id="1398"/>
      </w:r>
      <w:r w:rsidRPr="008754D0">
        <w:rPr>
          <w:rFonts w:cs="Arial"/>
          <w:rtl/>
        </w:rPr>
        <w:t>, וגזירה שמא יתקע</w:t>
      </w:r>
      <w:r w:rsidR="00E25F07">
        <w:rPr>
          <w:rStyle w:val="a9"/>
          <w:rFonts w:cs="Arial"/>
          <w:rtl/>
        </w:rPr>
        <w:footnoteReference w:id="1399"/>
      </w:r>
      <w:r w:rsidRPr="008754D0">
        <w:rPr>
          <w:rFonts w:cs="Arial"/>
          <w:rtl/>
        </w:rPr>
        <w:t>.</w:t>
      </w:r>
    </w:p>
    <w:p w14:paraId="2318D7E0" w14:textId="08AB877D" w:rsidR="00CE58BE" w:rsidRDefault="00CE58BE" w:rsidP="00434A6A">
      <w:pPr>
        <w:rPr>
          <w:rtl/>
        </w:rPr>
      </w:pPr>
      <w:r>
        <w:rPr>
          <w:rFonts w:cs="Arial" w:hint="cs"/>
          <w:b/>
          <w:bCs/>
          <w:rtl/>
        </w:rPr>
        <w:t xml:space="preserve">ערובין </w:t>
      </w:r>
      <w:r>
        <w:rPr>
          <w:rFonts w:cs="Arial" w:hint="cs"/>
          <w:b/>
          <w:bCs/>
          <w:sz w:val="16"/>
          <w:szCs w:val="16"/>
          <w:rtl/>
        </w:rPr>
        <w:t xml:space="preserve">(פ' המוצא תפילין) </w:t>
      </w:r>
      <w:r>
        <w:rPr>
          <w:rFonts w:cs="Arial" w:hint="cs"/>
          <w:b/>
          <w:bCs/>
          <w:rtl/>
        </w:rPr>
        <w:t xml:space="preserve">קב ע"ב: </w:t>
      </w:r>
      <w:r w:rsidRPr="00CE58BE">
        <w:rPr>
          <w:rFonts w:cs="Arial"/>
          <w:rtl/>
        </w:rPr>
        <w:t>תנו רבנן: ציר דלת שידה תיבה ומגדל, במקדש - מחזירין, במדינה - דוחקין. והעליון - כאן וכאן לא יחזיר, גזירה שמא יתקע. ואם תקע - חייב חטאת. של בור ושל דות ושל יציע - לא יחזיר, ואם החזיר - חייב חטאת.</w:t>
      </w:r>
      <w:r w:rsidRPr="00CE58BE">
        <w:rPr>
          <w:rFonts w:hint="cs"/>
          <w:sz w:val="16"/>
          <w:szCs w:val="16"/>
          <w:rtl/>
        </w:rPr>
        <w:t xml:space="preserve"> (וכ"פ הרמב"ם (פ"י הי"ד) </w:t>
      </w:r>
      <w:r w:rsidRPr="00CE58BE">
        <w:rPr>
          <w:rFonts w:cs="Arial"/>
          <w:sz w:val="16"/>
          <w:szCs w:val="16"/>
          <w:rtl/>
        </w:rPr>
        <w:t>המחזיר דלת של בור ושל דות ושל יציע חייב משום בונה</w:t>
      </w:r>
      <w:r w:rsidRPr="00CE58BE">
        <w:rPr>
          <w:rFonts w:cs="Arial" w:hint="cs"/>
          <w:sz w:val="16"/>
          <w:szCs w:val="16"/>
          <w:rtl/>
        </w:rPr>
        <w:t>)</w:t>
      </w:r>
    </w:p>
    <w:p w14:paraId="3167828C" w14:textId="2C4A5DF8" w:rsidR="00A64D75" w:rsidRPr="00A64D75" w:rsidRDefault="00A64D75" w:rsidP="00434A6A">
      <w:pPr>
        <w:rPr>
          <w:u w:val="single"/>
          <w:rtl/>
        </w:rPr>
      </w:pPr>
      <w:r w:rsidRPr="00A64D75">
        <w:rPr>
          <w:rFonts w:hint="cs"/>
          <w:u w:val="single"/>
          <w:rtl/>
        </w:rPr>
        <w:t>משום מה נאסר ליטול/להחזיר דלת</w:t>
      </w:r>
      <w:r w:rsidR="00E82DF9">
        <w:rPr>
          <w:rFonts w:hint="cs"/>
          <w:u w:val="single"/>
          <w:rtl/>
        </w:rPr>
        <w:t>ות</w:t>
      </w:r>
      <w:r>
        <w:rPr>
          <w:rFonts w:hint="cs"/>
          <w:u w:val="single"/>
          <w:rtl/>
        </w:rPr>
        <w:t>:</w:t>
      </w:r>
    </w:p>
    <w:p w14:paraId="42689A36" w14:textId="3A0CC6AB" w:rsidR="00F17443" w:rsidRPr="00F17443" w:rsidRDefault="00F17443" w:rsidP="00434A6A">
      <w:pPr>
        <w:pStyle w:val="aa"/>
        <w:numPr>
          <w:ilvl w:val="0"/>
          <w:numId w:val="3"/>
        </w:numPr>
      </w:pPr>
      <w:r>
        <w:rPr>
          <w:rFonts w:cs="Arial" w:hint="cs"/>
          <w:rtl/>
        </w:rPr>
        <w:t xml:space="preserve">רמב"ם </w:t>
      </w:r>
      <w:r>
        <w:rPr>
          <w:rFonts w:cs="Arial" w:hint="cs"/>
          <w:sz w:val="16"/>
          <w:szCs w:val="16"/>
          <w:rtl/>
        </w:rPr>
        <w:t>(פכ"ב הכ"ה)</w:t>
      </w:r>
      <w:r>
        <w:rPr>
          <w:rFonts w:cs="Arial" w:hint="cs"/>
          <w:rtl/>
        </w:rPr>
        <w:t xml:space="preserve">- </w:t>
      </w:r>
      <w:r w:rsidRPr="00F17443">
        <w:rPr>
          <w:rFonts w:cs="Arial"/>
          <w:rtl/>
        </w:rPr>
        <w:t>התוקע חייב משום בונה</w:t>
      </w:r>
      <w:r>
        <w:rPr>
          <w:rFonts w:cs="Arial" w:hint="cs"/>
          <w:rtl/>
        </w:rPr>
        <w:t>.</w:t>
      </w:r>
      <w:r w:rsidRPr="00F17443">
        <w:rPr>
          <w:rFonts w:cs="Arial"/>
          <w:rtl/>
        </w:rPr>
        <w:t xml:space="preserve"> לפיכך</w:t>
      </w:r>
      <w:r>
        <w:rPr>
          <w:rFonts w:cs="Arial" w:hint="cs"/>
          <w:rtl/>
        </w:rPr>
        <w:t>,</w:t>
      </w:r>
      <w:r w:rsidRPr="00F17443">
        <w:rPr>
          <w:rFonts w:cs="Arial"/>
          <w:rtl/>
        </w:rPr>
        <w:t xml:space="preserve"> כל הדלתות המחוברות לקרקע </w:t>
      </w:r>
      <w:r>
        <w:rPr>
          <w:rFonts w:cs="Arial" w:hint="cs"/>
          <w:rtl/>
        </w:rPr>
        <w:t xml:space="preserve">- </w:t>
      </w:r>
      <w:r w:rsidRPr="00F17443">
        <w:rPr>
          <w:rFonts w:cs="Arial"/>
          <w:rtl/>
        </w:rPr>
        <w:t>לא נוטלין אותן ולא מחזירין</w:t>
      </w:r>
      <w:r>
        <w:rPr>
          <w:rFonts w:cs="Arial" w:hint="cs"/>
          <w:rtl/>
        </w:rPr>
        <w:t>,</w:t>
      </w:r>
      <w:r w:rsidRPr="00F17443">
        <w:rPr>
          <w:rFonts w:cs="Arial"/>
          <w:rtl/>
        </w:rPr>
        <w:t xml:space="preserve"> גזירה שמא יתקע</w:t>
      </w:r>
      <w:r w:rsidR="00354EDA">
        <w:rPr>
          <w:rStyle w:val="a9"/>
          <w:rFonts w:cs="Arial"/>
          <w:rtl/>
        </w:rPr>
        <w:footnoteReference w:id="1400"/>
      </w:r>
      <w:r>
        <w:rPr>
          <w:rFonts w:cs="Arial" w:hint="cs"/>
          <w:rtl/>
        </w:rPr>
        <w:t>.</w:t>
      </w:r>
      <w:r w:rsidRPr="00F17443">
        <w:rPr>
          <w:rFonts w:cs="Arial"/>
          <w:rtl/>
        </w:rPr>
        <w:t xml:space="preserve"> אבל דלת שידה תיבה ומגדל ושאר דלתות הכלים </w:t>
      </w:r>
      <w:r>
        <w:rPr>
          <w:rFonts w:cs="Arial" w:hint="cs"/>
          <w:rtl/>
        </w:rPr>
        <w:t xml:space="preserve">- </w:t>
      </w:r>
      <w:r w:rsidRPr="00F17443">
        <w:rPr>
          <w:rFonts w:cs="Arial"/>
          <w:rtl/>
        </w:rPr>
        <w:t>נוטלין ולא מחזירין, ואם נשמט ציר התחתון שלהן דוחקין אותו למקומו, ובמקדש מחזירין אותו</w:t>
      </w:r>
      <w:r w:rsidR="00E97D06">
        <w:rPr>
          <w:rFonts w:cs="Arial" w:hint="cs"/>
          <w:rtl/>
        </w:rPr>
        <w:t>.</w:t>
      </w:r>
      <w:r w:rsidRPr="00F17443">
        <w:rPr>
          <w:rFonts w:cs="Arial"/>
          <w:rtl/>
        </w:rPr>
        <w:t xml:space="preserve"> אבל ציר העליון שנשמט אסור להחזירו בכל מקום גזירה שמא יתקע. </w:t>
      </w:r>
    </w:p>
    <w:p w14:paraId="424B40AC" w14:textId="344C9850" w:rsidR="00A64D75" w:rsidRPr="008754D0" w:rsidRDefault="00A64D75" w:rsidP="00434A6A">
      <w:pPr>
        <w:pStyle w:val="aa"/>
        <w:numPr>
          <w:ilvl w:val="0"/>
          <w:numId w:val="3"/>
        </w:numPr>
        <w:rPr>
          <w:rtl/>
        </w:rPr>
      </w:pPr>
      <w:r>
        <w:rPr>
          <w:rFonts w:cs="Arial" w:hint="cs"/>
          <w:rtl/>
        </w:rPr>
        <w:t xml:space="preserve">רי"ף </w:t>
      </w:r>
      <w:r>
        <w:rPr>
          <w:rFonts w:cs="Arial" w:hint="cs"/>
          <w:sz w:val="16"/>
          <w:szCs w:val="16"/>
          <w:rtl/>
        </w:rPr>
        <w:t>(מז.)</w:t>
      </w:r>
      <w:r>
        <w:rPr>
          <w:rFonts w:cs="Arial" w:hint="cs"/>
          <w:rtl/>
        </w:rPr>
        <w:t xml:space="preserve">- </w:t>
      </w:r>
      <w:r w:rsidRPr="00A64D75">
        <w:rPr>
          <w:rFonts w:cs="Arial"/>
          <w:rtl/>
        </w:rPr>
        <w:t>תנו רבנן דלת של שידה ושל תיבה ושל מגדל</w:t>
      </w:r>
      <w:r>
        <w:rPr>
          <w:rFonts w:cs="Arial" w:hint="cs"/>
          <w:rtl/>
        </w:rPr>
        <w:t xml:space="preserve"> -</w:t>
      </w:r>
      <w:r w:rsidRPr="00A64D75">
        <w:rPr>
          <w:rFonts w:cs="Arial"/>
          <w:rtl/>
        </w:rPr>
        <w:t xml:space="preserve"> ניטלין ולא מחזירין</w:t>
      </w:r>
      <w:r w:rsidR="007D2EE8">
        <w:rPr>
          <w:rStyle w:val="a9"/>
          <w:rFonts w:cs="Arial"/>
          <w:rtl/>
        </w:rPr>
        <w:footnoteReference w:id="1401"/>
      </w:r>
      <w:r>
        <w:rPr>
          <w:rFonts w:cs="Arial" w:hint="cs"/>
          <w:rtl/>
        </w:rPr>
        <w:t>.</w:t>
      </w:r>
      <w:r w:rsidRPr="00A64D75">
        <w:rPr>
          <w:rFonts w:cs="Arial"/>
          <w:rtl/>
        </w:rPr>
        <w:t xml:space="preserve"> של לול של תרנגולין </w:t>
      </w:r>
      <w:r w:rsidR="002D18DB">
        <w:rPr>
          <w:rFonts w:cs="Arial" w:hint="cs"/>
          <w:rtl/>
        </w:rPr>
        <w:t xml:space="preserve">- </w:t>
      </w:r>
      <w:r w:rsidRPr="00A64D75">
        <w:rPr>
          <w:rFonts w:cs="Arial"/>
          <w:rtl/>
        </w:rPr>
        <w:t>לא ניטלין ולא מחזירין</w:t>
      </w:r>
      <w:r w:rsidR="002D18DB">
        <w:rPr>
          <w:rFonts w:cs="Arial" w:hint="cs"/>
          <w:rtl/>
        </w:rPr>
        <w:t>,</w:t>
      </w:r>
      <w:r w:rsidRPr="00A64D75">
        <w:rPr>
          <w:rFonts w:cs="Arial"/>
          <w:rtl/>
        </w:rPr>
        <w:t xml:space="preserve"> גזירה שמא יתקע</w:t>
      </w:r>
      <w:r w:rsidR="00354EDA">
        <w:rPr>
          <w:rStyle w:val="a9"/>
          <w:rFonts w:cs="Arial"/>
          <w:rtl/>
        </w:rPr>
        <w:footnoteReference w:id="1402"/>
      </w:r>
      <w:r w:rsidRPr="00A64D75">
        <w:rPr>
          <w:rFonts w:cs="Arial" w:hint="cs"/>
          <w:rtl/>
        </w:rPr>
        <w:t>.</w:t>
      </w:r>
    </w:p>
    <w:p w14:paraId="1D58526F" w14:textId="4D91D21F" w:rsidR="00C17F08" w:rsidRPr="00C17F08" w:rsidRDefault="00C17F08" w:rsidP="00434A6A">
      <w:pPr>
        <w:rPr>
          <w:u w:val="single"/>
          <w:rtl/>
        </w:rPr>
      </w:pPr>
      <w:r w:rsidRPr="00C17F08">
        <w:rPr>
          <w:rFonts w:hint="cs"/>
          <w:u w:val="single"/>
          <w:rtl/>
        </w:rPr>
        <w:t xml:space="preserve">פירוק דלת </w:t>
      </w:r>
      <w:r>
        <w:rPr>
          <w:rFonts w:hint="cs"/>
          <w:u w:val="single"/>
          <w:rtl/>
        </w:rPr>
        <w:t>מ</w:t>
      </w:r>
      <w:r w:rsidRPr="00C17F08">
        <w:rPr>
          <w:rFonts w:hint="cs"/>
          <w:u w:val="single"/>
          <w:rtl/>
        </w:rPr>
        <w:t>כלי/לול/בית:</w:t>
      </w:r>
    </w:p>
    <w:p w14:paraId="7CD6BE17" w14:textId="2D0DD613" w:rsidR="00F63421" w:rsidRPr="00354EDA" w:rsidRDefault="00511A5A" w:rsidP="00434A6A">
      <w:pPr>
        <w:pStyle w:val="aa"/>
        <w:numPr>
          <w:ilvl w:val="0"/>
          <w:numId w:val="3"/>
        </w:numPr>
        <w:rPr>
          <w:rFonts w:cs="Arial"/>
          <w:rtl/>
        </w:rPr>
      </w:pPr>
      <w:r w:rsidRPr="00511A5A">
        <w:rPr>
          <w:rFonts w:cs="Arial" w:hint="cs"/>
          <w:rtl/>
        </w:rPr>
        <w:t xml:space="preserve">טור- </w:t>
      </w:r>
      <w:r w:rsidR="004664A5" w:rsidRPr="00511A5A">
        <w:rPr>
          <w:rFonts w:cs="Arial"/>
          <w:rtl/>
        </w:rPr>
        <w:t>דלת של שידה תיבה ומגדל</w:t>
      </w:r>
      <w:r w:rsidR="00C9613C">
        <w:rPr>
          <w:rFonts w:cs="Arial" w:hint="cs"/>
          <w:rtl/>
        </w:rPr>
        <w:t xml:space="preserve"> -</w:t>
      </w:r>
      <w:r w:rsidR="004664A5" w:rsidRPr="00511A5A">
        <w:rPr>
          <w:rFonts w:cs="Arial"/>
          <w:rtl/>
        </w:rPr>
        <w:t xml:space="preserve"> יכולים ליטלה מהם</w:t>
      </w:r>
      <w:r w:rsidR="00C9613C">
        <w:rPr>
          <w:rFonts w:cs="Arial" w:hint="cs"/>
          <w:rtl/>
        </w:rPr>
        <w:t>,</w:t>
      </w:r>
      <w:r w:rsidR="004664A5" w:rsidRPr="00511A5A">
        <w:rPr>
          <w:rFonts w:cs="Arial"/>
          <w:rtl/>
        </w:rPr>
        <w:t xml:space="preserve"> ואסור להחזירה</w:t>
      </w:r>
      <w:r w:rsidR="00C17F08">
        <w:rPr>
          <w:rFonts w:cs="Arial" w:hint="cs"/>
          <w:rtl/>
        </w:rPr>
        <w:t>.</w:t>
      </w:r>
      <w:r w:rsidR="004664A5" w:rsidRPr="00511A5A">
        <w:rPr>
          <w:rFonts w:cs="Arial"/>
          <w:rtl/>
        </w:rPr>
        <w:t xml:space="preserve"> ושל לול של תרנגולים</w:t>
      </w:r>
      <w:r w:rsidR="00C9613C">
        <w:rPr>
          <w:rFonts w:cs="Arial" w:hint="cs"/>
          <w:rtl/>
        </w:rPr>
        <w:t xml:space="preserve"> -</w:t>
      </w:r>
      <w:r w:rsidR="004664A5" w:rsidRPr="00511A5A">
        <w:rPr>
          <w:rFonts w:cs="Arial"/>
          <w:rtl/>
        </w:rPr>
        <w:t xml:space="preserve"> אסורים בין ליטול בין להחזיר</w:t>
      </w:r>
      <w:r w:rsidRPr="00511A5A">
        <w:rPr>
          <w:rFonts w:cs="Arial" w:hint="cs"/>
          <w:rtl/>
        </w:rPr>
        <w:t>.</w:t>
      </w:r>
      <w:r w:rsidR="004664A5" w:rsidRPr="00511A5A">
        <w:rPr>
          <w:rFonts w:cs="Arial"/>
          <w:rtl/>
        </w:rPr>
        <w:t xml:space="preserve"> </w:t>
      </w:r>
      <w:r w:rsidR="00E82DF9" w:rsidRPr="00E97D23">
        <w:rPr>
          <w:rFonts w:hint="cs"/>
          <w:color w:val="E36C0A" w:themeColor="accent6" w:themeShade="BF"/>
          <w:rtl/>
        </w:rPr>
        <w:t>(וכ"פ בשו"ע)</w:t>
      </w:r>
    </w:p>
    <w:p w14:paraId="55476F91"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308FE737" w14:textId="0AC790A8" w:rsidR="000C6229" w:rsidRPr="005275DF" w:rsidRDefault="000C6229" w:rsidP="00434A6A">
      <w:pPr>
        <w:rPr>
          <w:rFonts w:asciiTheme="minorBidi" w:hAnsiTheme="minorBidi"/>
          <w:rtl/>
        </w:rPr>
      </w:pPr>
      <w:r w:rsidRPr="005275DF">
        <w:rPr>
          <w:rFonts w:asciiTheme="minorBidi" w:hAnsiTheme="minorBidi"/>
          <w:rtl/>
        </w:rPr>
        <w:t>דלת של שידה תיבה ומגדל יכולים ליטלה מהם</w:t>
      </w:r>
      <w:r w:rsidR="00C17F08">
        <w:rPr>
          <w:rFonts w:asciiTheme="minorBidi" w:hAnsiTheme="minorBidi" w:hint="cs"/>
          <w:rtl/>
        </w:rPr>
        <w:t>,</w:t>
      </w:r>
      <w:r w:rsidRPr="005275DF">
        <w:rPr>
          <w:rFonts w:asciiTheme="minorBidi" w:hAnsiTheme="minorBidi"/>
          <w:rtl/>
        </w:rPr>
        <w:t xml:space="preserve"> ואסור להחזירה גזירה שמא יתקע</w:t>
      </w:r>
      <w:r w:rsidR="00511A5A">
        <w:rPr>
          <w:rFonts w:asciiTheme="minorBidi" w:hAnsiTheme="minorBidi" w:hint="cs"/>
          <w:rtl/>
        </w:rPr>
        <w:t>.</w:t>
      </w:r>
      <w:r w:rsidRPr="005275DF">
        <w:rPr>
          <w:rFonts w:asciiTheme="minorBidi" w:hAnsiTheme="minorBidi"/>
          <w:rtl/>
        </w:rPr>
        <w:t xml:space="preserve"> ושל לול</w:t>
      </w:r>
      <w:r w:rsidR="007D2EE8">
        <w:rPr>
          <w:rStyle w:val="a9"/>
          <w:rFonts w:asciiTheme="minorBidi" w:hAnsiTheme="minorBidi"/>
          <w:rtl/>
        </w:rPr>
        <w:footnoteReference w:id="1403"/>
      </w:r>
      <w:r w:rsidRPr="005275DF">
        <w:rPr>
          <w:rFonts w:asciiTheme="minorBidi" w:hAnsiTheme="minorBidi"/>
          <w:rtl/>
        </w:rPr>
        <w:t xml:space="preserve"> של תרנגולים אסור בין ליטול בין להחזיר</w:t>
      </w:r>
      <w:r w:rsidR="00C17F08">
        <w:rPr>
          <w:rFonts w:asciiTheme="minorBidi" w:hAnsiTheme="minorBidi" w:hint="cs"/>
          <w:rtl/>
        </w:rPr>
        <w:t>,</w:t>
      </w:r>
      <w:r w:rsidRPr="005275DF">
        <w:rPr>
          <w:rFonts w:asciiTheme="minorBidi" w:hAnsiTheme="minorBidi"/>
          <w:rtl/>
        </w:rPr>
        <w:t xml:space="preserve"> דכיון דמחובר לקרקע אית ביה בנין וסתירה</w:t>
      </w:r>
      <w:r w:rsidR="007D2EE8">
        <w:rPr>
          <w:rStyle w:val="a9"/>
          <w:rFonts w:asciiTheme="minorBidi" w:hAnsiTheme="minorBidi"/>
          <w:rtl/>
        </w:rPr>
        <w:footnoteReference w:id="1404"/>
      </w:r>
      <w:r w:rsidRPr="005275DF">
        <w:rPr>
          <w:rFonts w:asciiTheme="minorBidi" w:hAnsiTheme="minorBidi"/>
          <w:rtl/>
        </w:rPr>
        <w:t xml:space="preserve">. </w:t>
      </w:r>
    </w:p>
    <w:p w14:paraId="1BA60525" w14:textId="77777777" w:rsidR="000C6229" w:rsidRPr="005275DF" w:rsidRDefault="000C6229" w:rsidP="00434A6A">
      <w:pPr>
        <w:rPr>
          <w:rFonts w:asciiTheme="minorBidi" w:hAnsiTheme="minorBidi"/>
          <w:rtl/>
        </w:rPr>
      </w:pPr>
    </w:p>
    <w:p w14:paraId="4B201FF4" w14:textId="495CEA74" w:rsidR="000C6229" w:rsidRDefault="000C6229" w:rsidP="00434A6A">
      <w:pPr>
        <w:pStyle w:val="2"/>
        <w:rPr>
          <w:rtl/>
        </w:rPr>
      </w:pPr>
      <w:r w:rsidRPr="005275DF">
        <w:rPr>
          <w:rtl/>
        </w:rPr>
        <w:t>סעיף י</w:t>
      </w:r>
      <w:r w:rsidR="00F63421">
        <w:rPr>
          <w:rFonts w:hint="cs"/>
          <w:rtl/>
        </w:rPr>
        <w:t>:</w:t>
      </w:r>
      <w:r w:rsidR="0061770E">
        <w:rPr>
          <w:rFonts w:hint="cs"/>
          <w:rtl/>
        </w:rPr>
        <w:t xml:space="preserve"> כיסוי</w:t>
      </w:r>
      <w:r w:rsidR="008868B6">
        <w:rPr>
          <w:rFonts w:hint="cs"/>
          <w:rtl/>
        </w:rPr>
        <w:t xml:space="preserve"> בור/תנור/כלי</w:t>
      </w:r>
      <w:r w:rsidR="0061770E">
        <w:rPr>
          <w:rFonts w:hint="cs"/>
          <w:rtl/>
        </w:rPr>
        <w:t>.</w:t>
      </w:r>
    </w:p>
    <w:p w14:paraId="0C9B313F" w14:textId="34207FAA" w:rsidR="00B46D59" w:rsidRPr="00B46D59" w:rsidRDefault="00B46D59" w:rsidP="00434A6A">
      <w:pPr>
        <w:rPr>
          <w:rtl/>
        </w:rPr>
      </w:pPr>
      <w:r w:rsidRPr="002A45F7">
        <w:rPr>
          <w:rFonts w:hint="cs"/>
          <w:b/>
          <w:bCs/>
          <w:rtl/>
        </w:rPr>
        <w:t xml:space="preserve">שבת </w:t>
      </w:r>
      <w:r>
        <w:rPr>
          <w:rFonts w:hint="cs"/>
          <w:b/>
          <w:bCs/>
          <w:sz w:val="16"/>
          <w:szCs w:val="16"/>
          <w:rtl/>
        </w:rPr>
        <w:t>(פ' כל הכלים)</w:t>
      </w:r>
      <w:r>
        <w:rPr>
          <w:rFonts w:hint="cs"/>
          <w:b/>
          <w:bCs/>
          <w:rtl/>
        </w:rPr>
        <w:t xml:space="preserve"> </w:t>
      </w:r>
      <w:r w:rsidRPr="002A45F7">
        <w:rPr>
          <w:rFonts w:hint="cs"/>
          <w:b/>
          <w:bCs/>
          <w:rtl/>
        </w:rPr>
        <w:t>ק</w:t>
      </w:r>
      <w:r>
        <w:rPr>
          <w:rFonts w:hint="cs"/>
          <w:b/>
          <w:bCs/>
          <w:rtl/>
        </w:rPr>
        <w:t>כה</w:t>
      </w:r>
      <w:r w:rsidRPr="002A45F7">
        <w:rPr>
          <w:rFonts w:hint="cs"/>
          <w:b/>
          <w:bCs/>
          <w:rtl/>
        </w:rPr>
        <w:t xml:space="preserve"> ע"</w:t>
      </w:r>
      <w:r>
        <w:rPr>
          <w:rFonts w:hint="cs"/>
          <w:b/>
          <w:bCs/>
          <w:rtl/>
        </w:rPr>
        <w:t>א</w:t>
      </w:r>
      <w:r w:rsidRPr="002A45F7">
        <w:rPr>
          <w:rFonts w:hint="cs"/>
          <w:b/>
          <w:bCs/>
          <w:rtl/>
        </w:rPr>
        <w:t>:</w:t>
      </w:r>
      <w:r>
        <w:rPr>
          <w:rFonts w:cs="Arial" w:hint="cs"/>
          <w:rtl/>
        </w:rPr>
        <w:t xml:space="preserve"> </w:t>
      </w:r>
      <w:r w:rsidRPr="00B46D59">
        <w:rPr>
          <w:rFonts w:cs="Arial"/>
          <w:u w:val="single"/>
          <w:rtl/>
        </w:rPr>
        <w:t>העיד רבי יוסי משום רבי אליעזר בן יעקב</w:t>
      </w:r>
      <w:r w:rsidRPr="00B46D59">
        <w:rPr>
          <w:rFonts w:cs="Arial"/>
          <w:rtl/>
        </w:rPr>
        <w:t xml:space="preserve"> על שברי תנור ישן שניטלין בשבת ועל כיסויו שאינו צריך בית יד. </w:t>
      </w:r>
      <w:r w:rsidRPr="00B46D59">
        <w:rPr>
          <w:rFonts w:cs="Arial"/>
          <w:u w:val="single"/>
          <w:rtl/>
        </w:rPr>
        <w:t>אמר רבינא</w:t>
      </w:r>
      <w:r w:rsidRPr="00B46D59">
        <w:rPr>
          <w:rFonts w:cs="Arial"/>
          <w:rtl/>
        </w:rPr>
        <w:t>: כמאן מטלטלינן האידנא כיסוי דתנורי דמתא מחסיא דאין להם בית אחיזה, כמאן - כרבי אליעזר בן יעקב.</w:t>
      </w:r>
    </w:p>
    <w:p w14:paraId="179CCD3A" w14:textId="0D7986CE" w:rsidR="0061770E" w:rsidRPr="004339F0" w:rsidRDefault="0061770E" w:rsidP="00434A6A">
      <w:pPr>
        <w:rPr>
          <w:sz w:val="16"/>
          <w:szCs w:val="16"/>
          <w:rtl/>
        </w:rPr>
      </w:pPr>
      <w:r w:rsidRPr="002A45F7">
        <w:rPr>
          <w:rFonts w:hint="cs"/>
          <w:b/>
          <w:bCs/>
          <w:rtl/>
        </w:rPr>
        <w:t xml:space="preserve">שבת </w:t>
      </w:r>
      <w:r>
        <w:rPr>
          <w:rFonts w:hint="cs"/>
          <w:b/>
          <w:bCs/>
          <w:sz w:val="16"/>
          <w:szCs w:val="16"/>
          <w:rtl/>
        </w:rPr>
        <w:t>(ס"פ כל הכלים)</w:t>
      </w:r>
      <w:r>
        <w:rPr>
          <w:rFonts w:hint="cs"/>
          <w:b/>
          <w:bCs/>
          <w:rtl/>
        </w:rPr>
        <w:t xml:space="preserve"> </w:t>
      </w:r>
      <w:r w:rsidRPr="002A45F7">
        <w:rPr>
          <w:rFonts w:hint="cs"/>
          <w:b/>
          <w:bCs/>
          <w:rtl/>
        </w:rPr>
        <w:t>ק</w:t>
      </w:r>
      <w:r>
        <w:rPr>
          <w:rFonts w:hint="cs"/>
          <w:b/>
          <w:bCs/>
          <w:rtl/>
        </w:rPr>
        <w:t>כו</w:t>
      </w:r>
      <w:r w:rsidRPr="002A45F7">
        <w:rPr>
          <w:rFonts w:hint="cs"/>
          <w:b/>
          <w:bCs/>
          <w:rtl/>
        </w:rPr>
        <w:t xml:space="preserve"> ע"</w:t>
      </w:r>
      <w:r>
        <w:rPr>
          <w:rFonts w:hint="cs"/>
          <w:b/>
          <w:bCs/>
          <w:rtl/>
        </w:rPr>
        <w:t>ב</w:t>
      </w:r>
      <w:r w:rsidRPr="002A45F7">
        <w:rPr>
          <w:rFonts w:hint="cs"/>
          <w:b/>
          <w:bCs/>
          <w:rtl/>
        </w:rPr>
        <w:t>:</w:t>
      </w:r>
      <w:r>
        <w:rPr>
          <w:rFonts w:cs="Arial" w:hint="cs"/>
          <w:rtl/>
        </w:rPr>
        <w:t xml:space="preserve"> </w:t>
      </w:r>
      <w:r w:rsidRPr="0061770E">
        <w:rPr>
          <w:rFonts w:cs="Arial"/>
          <w:u w:val="double"/>
          <w:rtl/>
        </w:rPr>
        <w:t>משנה</w:t>
      </w:r>
      <w:r>
        <w:rPr>
          <w:rFonts w:cs="Arial" w:hint="cs"/>
          <w:rtl/>
        </w:rPr>
        <w:t>:</w:t>
      </w:r>
      <w:r>
        <w:rPr>
          <w:rFonts w:cs="Arial"/>
          <w:rtl/>
        </w:rPr>
        <w:t xml:space="preserve"> כל כיסוי הכלים שיש להם בית אחיזה - ניטלין בשבת. </w:t>
      </w:r>
      <w:r w:rsidRPr="0061770E">
        <w:rPr>
          <w:rFonts w:cs="Arial"/>
          <w:u w:val="single"/>
          <w:rtl/>
        </w:rPr>
        <w:t>אמר רבי יוסי</w:t>
      </w:r>
      <w:r>
        <w:rPr>
          <w:rFonts w:cs="Arial"/>
          <w:rtl/>
        </w:rPr>
        <w:t xml:space="preserve">: במה דברים אמורים - בכיסוי קרקעות, אבל בכיסוי הכלים - בין כך ובין כך ניטלין בשבת. </w:t>
      </w:r>
      <w:r>
        <w:rPr>
          <w:rFonts w:hint="cs"/>
          <w:rtl/>
        </w:rPr>
        <w:t xml:space="preserve">        </w:t>
      </w:r>
      <w:r w:rsidRPr="0061770E">
        <w:rPr>
          <w:rFonts w:hint="cs"/>
          <w:u w:val="double"/>
          <w:rtl/>
        </w:rPr>
        <w:t>ג</w:t>
      </w:r>
      <w:r w:rsidRPr="0061770E">
        <w:rPr>
          <w:rFonts w:cs="Arial"/>
          <w:u w:val="double"/>
          <w:rtl/>
        </w:rPr>
        <w:t>מרא</w:t>
      </w:r>
      <w:r>
        <w:rPr>
          <w:rFonts w:cs="Arial" w:hint="cs"/>
          <w:rtl/>
        </w:rPr>
        <w:t>:</w:t>
      </w:r>
      <w:r>
        <w:rPr>
          <w:rFonts w:cs="Arial"/>
          <w:rtl/>
        </w:rPr>
        <w:t xml:space="preserve"> </w:t>
      </w:r>
      <w:r w:rsidRPr="0061770E">
        <w:rPr>
          <w:rFonts w:cs="Arial"/>
          <w:u w:val="single"/>
          <w:rtl/>
        </w:rPr>
        <w:t>אמר רב יהודה בר שילא אמר רבי אסי אמר רבי יוחנן</w:t>
      </w:r>
      <w:r>
        <w:rPr>
          <w:rFonts w:cs="Arial"/>
          <w:rtl/>
        </w:rPr>
        <w:t>: והוא שיש תורת כלי עליהן</w:t>
      </w:r>
      <w:r w:rsidR="00CF0ECB">
        <w:rPr>
          <w:rStyle w:val="a9"/>
          <w:rFonts w:cs="Arial"/>
          <w:rtl/>
        </w:rPr>
        <w:footnoteReference w:id="1405"/>
      </w:r>
      <w:r>
        <w:rPr>
          <w:rFonts w:cs="Arial"/>
          <w:rtl/>
        </w:rPr>
        <w:t>. דכולי עלמא, כסוי קרקעות אם יש להן בית אחיזה - אין, אי לא - לא. כסוי הכלים, אף על גב דאין להם בית אחיזה. כי פליגי - בכלים דחברינהו בארעא, מר סבר: גזרינן, ומר סבר: לא גזרינן.</w:t>
      </w:r>
      <w:r w:rsidR="004339F0">
        <w:rPr>
          <w:rFonts w:hint="cs"/>
          <w:rtl/>
        </w:rPr>
        <w:t xml:space="preserve"> </w:t>
      </w:r>
      <w:r w:rsidR="004339F0">
        <w:rPr>
          <w:rFonts w:hint="cs"/>
          <w:sz w:val="16"/>
          <w:szCs w:val="16"/>
          <w:rtl/>
        </w:rPr>
        <w:t>(</w:t>
      </w:r>
      <w:r w:rsidR="004339F0" w:rsidRPr="004339F0">
        <w:rPr>
          <w:rFonts w:cs="Arial"/>
          <w:sz w:val="16"/>
          <w:szCs w:val="16"/>
          <w:rtl/>
        </w:rPr>
        <w:t>ת"ק סבר גזרינן</w:t>
      </w:r>
      <w:r w:rsidR="004339F0">
        <w:rPr>
          <w:rFonts w:cs="Arial" w:hint="cs"/>
          <w:sz w:val="16"/>
          <w:szCs w:val="16"/>
          <w:rtl/>
        </w:rPr>
        <w:t>,</w:t>
      </w:r>
      <w:r w:rsidR="004339F0" w:rsidRPr="004339F0">
        <w:rPr>
          <w:rFonts w:cs="Arial"/>
          <w:sz w:val="16"/>
          <w:szCs w:val="16"/>
          <w:rtl/>
        </w:rPr>
        <w:t xml:space="preserve"> ור' יוסי סבר לא גזרינן</w:t>
      </w:r>
      <w:r w:rsidR="004339F0">
        <w:rPr>
          <w:rFonts w:cs="Arial" w:hint="cs"/>
          <w:sz w:val="16"/>
          <w:szCs w:val="16"/>
          <w:rtl/>
        </w:rPr>
        <w:t>,</w:t>
      </w:r>
      <w:r w:rsidR="004339F0" w:rsidRPr="004339F0">
        <w:rPr>
          <w:rFonts w:cs="Arial"/>
          <w:sz w:val="16"/>
          <w:szCs w:val="16"/>
          <w:rtl/>
        </w:rPr>
        <w:t xml:space="preserve"> והלכה כתנא קמא</w:t>
      </w:r>
      <w:r w:rsidR="004339F0">
        <w:rPr>
          <w:rFonts w:hint="cs"/>
          <w:sz w:val="16"/>
          <w:szCs w:val="16"/>
          <w:rtl/>
        </w:rPr>
        <w:t xml:space="preserve">, </w:t>
      </w:r>
      <w:r w:rsidR="004339F0" w:rsidRPr="00F1065A">
        <w:rPr>
          <w:rFonts w:hint="cs"/>
          <w:b/>
          <w:bCs/>
          <w:sz w:val="16"/>
          <w:szCs w:val="16"/>
          <w:rtl/>
        </w:rPr>
        <w:t>רי"ף</w:t>
      </w:r>
      <w:r w:rsidR="004339F0">
        <w:rPr>
          <w:rFonts w:hint="cs"/>
          <w:sz w:val="16"/>
          <w:szCs w:val="16"/>
          <w:rtl/>
        </w:rPr>
        <w:t xml:space="preserve"> (מט:)</w:t>
      </w:r>
      <w:r w:rsidR="00F1065A">
        <w:rPr>
          <w:rFonts w:hint="cs"/>
          <w:sz w:val="16"/>
          <w:szCs w:val="16"/>
          <w:rtl/>
        </w:rPr>
        <w:t>.</w:t>
      </w:r>
      <w:r w:rsidR="00F1065A">
        <w:rPr>
          <w:rFonts w:cs="Arial" w:hint="cs"/>
          <w:sz w:val="16"/>
          <w:szCs w:val="16"/>
          <w:rtl/>
        </w:rPr>
        <w:t xml:space="preserve"> </w:t>
      </w:r>
      <w:r w:rsidR="00F1065A" w:rsidRPr="00F1065A">
        <w:rPr>
          <w:rFonts w:cs="Arial"/>
          <w:sz w:val="16"/>
          <w:szCs w:val="16"/>
          <w:rtl/>
        </w:rPr>
        <w:t xml:space="preserve">וכתב </w:t>
      </w:r>
      <w:r w:rsidR="00F1065A" w:rsidRPr="00F1065A">
        <w:rPr>
          <w:rFonts w:cs="Arial"/>
          <w:b/>
          <w:bCs/>
          <w:sz w:val="16"/>
          <w:szCs w:val="16"/>
          <w:rtl/>
        </w:rPr>
        <w:t>הרא"ש</w:t>
      </w:r>
      <w:r w:rsidR="00F1065A" w:rsidRPr="00F1065A">
        <w:rPr>
          <w:rFonts w:cs="Arial"/>
          <w:sz w:val="16"/>
          <w:szCs w:val="16"/>
          <w:rtl/>
        </w:rPr>
        <w:t xml:space="preserve"> (סי' יא) על זה</w:t>
      </w:r>
      <w:r w:rsidR="00F1065A" w:rsidRPr="00F1065A">
        <w:rPr>
          <w:rFonts w:cs="Arial" w:hint="cs"/>
          <w:sz w:val="16"/>
          <w:szCs w:val="16"/>
          <w:rtl/>
        </w:rPr>
        <w:t>-</w:t>
      </w:r>
      <w:r w:rsidR="00F1065A" w:rsidRPr="00F1065A">
        <w:rPr>
          <w:rFonts w:cs="Arial"/>
          <w:sz w:val="16"/>
          <w:szCs w:val="16"/>
          <w:rtl/>
        </w:rPr>
        <w:t xml:space="preserve"> ונראה לי שגגת סופר</w:t>
      </w:r>
      <w:r w:rsidR="00F1065A" w:rsidRPr="00F1065A">
        <w:rPr>
          <w:rFonts w:cs="Arial" w:hint="cs"/>
          <w:sz w:val="16"/>
          <w:szCs w:val="16"/>
          <w:rtl/>
        </w:rPr>
        <w:t>,</w:t>
      </w:r>
      <w:r w:rsidR="00F1065A" w:rsidRPr="00F1065A">
        <w:rPr>
          <w:rFonts w:cs="Arial"/>
          <w:sz w:val="16"/>
          <w:szCs w:val="16"/>
          <w:rtl/>
        </w:rPr>
        <w:t xml:space="preserve"> דאיהו גופיה הביא ראיה לעיל (מח:) הא דאמר רבינא כמאן מטלטלין האידנא כיסוי תנורא דמתא מחסיא דלית ליה בית אחיזה כרבי אליעזר בן יעקב</w:t>
      </w:r>
      <w:r w:rsidR="00F1065A" w:rsidRPr="00F1065A">
        <w:rPr>
          <w:rFonts w:cs="Arial" w:hint="cs"/>
          <w:sz w:val="16"/>
          <w:szCs w:val="16"/>
          <w:rtl/>
        </w:rPr>
        <w:t>,</w:t>
      </w:r>
      <w:r w:rsidR="00F1065A" w:rsidRPr="00F1065A">
        <w:rPr>
          <w:rFonts w:cs="Arial"/>
          <w:sz w:val="16"/>
          <w:szCs w:val="16"/>
          <w:rtl/>
        </w:rPr>
        <w:t xml:space="preserve"> ורבי יוסי אמרה משום רבי אליעזר בן יעקב</w:t>
      </w:r>
      <w:r w:rsidR="00F1065A" w:rsidRPr="00F1065A">
        <w:rPr>
          <w:rFonts w:cs="Arial" w:hint="cs"/>
          <w:sz w:val="16"/>
          <w:szCs w:val="16"/>
          <w:rtl/>
        </w:rPr>
        <w:t>,</w:t>
      </w:r>
      <w:r w:rsidR="00F1065A" w:rsidRPr="00F1065A">
        <w:rPr>
          <w:rFonts w:cs="Arial"/>
          <w:sz w:val="16"/>
          <w:szCs w:val="16"/>
          <w:rtl/>
        </w:rPr>
        <w:t xml:space="preserve"> ואזיל לטעמא דהכא</w:t>
      </w:r>
      <w:r w:rsidR="00F1065A" w:rsidRPr="00F1065A">
        <w:rPr>
          <w:rFonts w:cs="Arial" w:hint="cs"/>
          <w:sz w:val="16"/>
          <w:szCs w:val="16"/>
          <w:rtl/>
        </w:rPr>
        <w:t>.</w:t>
      </w:r>
      <w:r w:rsidR="00F1065A" w:rsidRPr="00F1065A">
        <w:rPr>
          <w:rFonts w:cs="Arial"/>
          <w:sz w:val="16"/>
          <w:szCs w:val="16"/>
          <w:rtl/>
        </w:rPr>
        <w:t xml:space="preserve"> ורי"ף כתב </w:t>
      </w:r>
      <w:r w:rsidR="00F1065A" w:rsidRPr="00F1065A">
        <w:rPr>
          <w:rFonts w:cs="Arial" w:hint="cs"/>
          <w:sz w:val="16"/>
          <w:szCs w:val="16"/>
          <w:rtl/>
        </w:rPr>
        <w:t>'</w:t>
      </w:r>
      <w:r w:rsidR="00F1065A" w:rsidRPr="00F1065A">
        <w:rPr>
          <w:rFonts w:cs="Arial"/>
          <w:sz w:val="16"/>
          <w:szCs w:val="16"/>
          <w:rtl/>
        </w:rPr>
        <w:t>ולית הלכתא כתנא קמא</w:t>
      </w:r>
      <w:r w:rsidR="00F1065A" w:rsidRPr="00F1065A">
        <w:rPr>
          <w:rFonts w:cs="Arial" w:hint="cs"/>
          <w:sz w:val="16"/>
          <w:szCs w:val="16"/>
          <w:rtl/>
        </w:rPr>
        <w:t>'</w:t>
      </w:r>
      <w:r w:rsidR="00F1065A" w:rsidRPr="00F1065A">
        <w:rPr>
          <w:rFonts w:cs="Arial"/>
          <w:sz w:val="16"/>
          <w:szCs w:val="16"/>
          <w:rtl/>
        </w:rPr>
        <w:t xml:space="preserve"> וטעה הסופר</w:t>
      </w:r>
      <w:r w:rsidR="00F1065A">
        <w:rPr>
          <w:rFonts w:cs="Arial" w:hint="cs"/>
          <w:sz w:val="16"/>
          <w:szCs w:val="16"/>
          <w:rtl/>
        </w:rPr>
        <w:t>.</w:t>
      </w:r>
      <w:r w:rsidR="00F1065A" w:rsidRPr="00F1065A">
        <w:rPr>
          <w:rFonts w:cs="Arial"/>
          <w:sz w:val="16"/>
          <w:szCs w:val="16"/>
          <w:rtl/>
        </w:rPr>
        <w:t xml:space="preserve"> עכ"ל הרא"ש. וזהו שכתב רבינו </w:t>
      </w:r>
      <w:r w:rsidR="00F1065A" w:rsidRPr="00F1065A">
        <w:rPr>
          <w:rFonts w:cs="Arial" w:hint="cs"/>
          <w:sz w:val="16"/>
          <w:szCs w:val="16"/>
          <w:rtl/>
        </w:rPr>
        <w:t>'</w:t>
      </w:r>
      <w:r w:rsidR="00F1065A" w:rsidRPr="00F1065A">
        <w:rPr>
          <w:rFonts w:cs="Arial"/>
          <w:sz w:val="16"/>
          <w:szCs w:val="16"/>
          <w:rtl/>
        </w:rPr>
        <w:t>ושל כלים אפילו הן מחוברין כגון תנור שחיברו בטיט יכולין ליטלו אפילו אין לו בית אחיזה</w:t>
      </w:r>
      <w:r w:rsidR="00F1065A" w:rsidRPr="00F1065A">
        <w:rPr>
          <w:rFonts w:cs="Arial" w:hint="cs"/>
          <w:sz w:val="16"/>
          <w:szCs w:val="16"/>
          <w:rtl/>
        </w:rPr>
        <w:t>'.</w:t>
      </w:r>
      <w:r w:rsidR="00F1065A" w:rsidRPr="00F1065A">
        <w:rPr>
          <w:rFonts w:cs="Arial"/>
          <w:sz w:val="16"/>
          <w:szCs w:val="16"/>
          <w:rtl/>
        </w:rPr>
        <w:t xml:space="preserve"> אבל</w:t>
      </w:r>
      <w:r w:rsidR="00F1065A" w:rsidRPr="00F1065A">
        <w:rPr>
          <w:rFonts w:cs="Arial"/>
          <w:b/>
          <w:bCs/>
          <w:sz w:val="16"/>
          <w:szCs w:val="16"/>
          <w:rtl/>
        </w:rPr>
        <w:t xml:space="preserve"> הר"ן</w:t>
      </w:r>
      <w:r w:rsidR="00F1065A" w:rsidRPr="00F1065A">
        <w:rPr>
          <w:rFonts w:cs="Arial"/>
          <w:sz w:val="16"/>
          <w:szCs w:val="16"/>
          <w:rtl/>
        </w:rPr>
        <w:t xml:space="preserve"> (מח: ד"ה והקשה) כתב שאפשר לתרץ דשפיר פסק הלכה כתנא קמא</w:t>
      </w:r>
      <w:r w:rsidR="00F1065A" w:rsidRPr="00F1065A">
        <w:rPr>
          <w:rFonts w:cs="Arial" w:hint="cs"/>
          <w:sz w:val="16"/>
          <w:szCs w:val="16"/>
          <w:rtl/>
        </w:rPr>
        <w:t>,</w:t>
      </w:r>
      <w:r w:rsidR="00F1065A" w:rsidRPr="00F1065A">
        <w:rPr>
          <w:rFonts w:cs="Arial"/>
          <w:sz w:val="16"/>
          <w:szCs w:val="16"/>
          <w:rtl/>
        </w:rPr>
        <w:t xml:space="preserve"> שהיה הוא ז"ל מפרש כי פליגי בכלים דחברינהו בארעא</w:t>
      </w:r>
      <w:r w:rsidR="00F1065A" w:rsidRPr="00F1065A">
        <w:rPr>
          <w:rFonts w:cs="Arial" w:hint="cs"/>
          <w:sz w:val="16"/>
          <w:szCs w:val="16"/>
          <w:rtl/>
        </w:rPr>
        <w:t>,</w:t>
      </w:r>
      <w:r w:rsidR="00F1065A" w:rsidRPr="00F1065A">
        <w:rPr>
          <w:rFonts w:cs="Arial"/>
          <w:sz w:val="16"/>
          <w:szCs w:val="16"/>
          <w:rtl/>
        </w:rPr>
        <w:t xml:space="preserve"> כגון חביות הקבורים בקרקע לגמרי</w:t>
      </w:r>
      <w:r w:rsidR="00F1065A" w:rsidRPr="00F1065A">
        <w:rPr>
          <w:rFonts w:cs="Arial" w:hint="cs"/>
          <w:sz w:val="16"/>
          <w:szCs w:val="16"/>
          <w:rtl/>
        </w:rPr>
        <w:t>,</w:t>
      </w:r>
      <w:r w:rsidR="00F1065A" w:rsidRPr="00F1065A">
        <w:rPr>
          <w:rFonts w:cs="Arial"/>
          <w:sz w:val="16"/>
          <w:szCs w:val="16"/>
          <w:rtl/>
        </w:rPr>
        <w:t xml:space="preserve"> דתנא קמא אסר מפני שאינם נראים והרי הם ככיסוי קרקעות</w:t>
      </w:r>
      <w:r w:rsidR="00F1065A" w:rsidRPr="00F1065A">
        <w:rPr>
          <w:rFonts w:cs="Arial" w:hint="cs"/>
          <w:sz w:val="16"/>
          <w:szCs w:val="16"/>
          <w:rtl/>
        </w:rPr>
        <w:t>.</w:t>
      </w:r>
      <w:r w:rsidR="00F1065A" w:rsidRPr="00F1065A">
        <w:rPr>
          <w:rFonts w:cs="Arial"/>
          <w:sz w:val="16"/>
          <w:szCs w:val="16"/>
          <w:rtl/>
        </w:rPr>
        <w:t xml:space="preserve"> אבל בכיסוי הכלים המגולים אע</w:t>
      </w:r>
      <w:r w:rsidR="00CF0ECB">
        <w:rPr>
          <w:rFonts w:cs="Arial" w:hint="cs"/>
          <w:sz w:val="16"/>
          <w:szCs w:val="16"/>
          <w:rtl/>
        </w:rPr>
        <w:t>"</w:t>
      </w:r>
      <w:r w:rsidR="00F1065A" w:rsidRPr="00F1065A">
        <w:rPr>
          <w:rFonts w:cs="Arial"/>
          <w:sz w:val="16"/>
          <w:szCs w:val="16"/>
          <w:rtl/>
        </w:rPr>
        <w:t>פ שמחוברין לקרקע לא פליג תנא קמא</w:t>
      </w:r>
      <w:r w:rsidR="00F1065A" w:rsidRPr="00F1065A">
        <w:rPr>
          <w:rFonts w:cs="Arial" w:hint="cs"/>
          <w:sz w:val="16"/>
          <w:szCs w:val="16"/>
          <w:rtl/>
        </w:rPr>
        <w:t>,</w:t>
      </w:r>
      <w:r w:rsidR="00F1065A" w:rsidRPr="00F1065A">
        <w:rPr>
          <w:rFonts w:cs="Arial"/>
          <w:sz w:val="16"/>
          <w:szCs w:val="16"/>
          <w:rtl/>
        </w:rPr>
        <w:t xml:space="preserve"> ומשום הכי פסק דשרי לטלטולי כיסוי דתנורי</w:t>
      </w:r>
      <w:r w:rsidR="00F1065A" w:rsidRPr="00F1065A">
        <w:rPr>
          <w:rFonts w:cs="Arial" w:hint="cs"/>
          <w:sz w:val="16"/>
          <w:szCs w:val="16"/>
          <w:rtl/>
        </w:rPr>
        <w:t>.</w:t>
      </w:r>
      <w:r w:rsidR="00F1065A" w:rsidRPr="00F1065A">
        <w:rPr>
          <w:rFonts w:cs="Arial"/>
          <w:sz w:val="16"/>
          <w:szCs w:val="16"/>
          <w:rtl/>
        </w:rPr>
        <w:t xml:space="preserve"> וזהו דעת </w:t>
      </w:r>
      <w:r w:rsidR="00F1065A" w:rsidRPr="00F1065A">
        <w:rPr>
          <w:rFonts w:cs="Arial"/>
          <w:b/>
          <w:bCs/>
          <w:sz w:val="16"/>
          <w:szCs w:val="16"/>
          <w:rtl/>
        </w:rPr>
        <w:t>הרמב"ם</w:t>
      </w:r>
      <w:r w:rsidR="00F1065A" w:rsidRPr="00F1065A">
        <w:rPr>
          <w:rFonts w:cs="Arial"/>
          <w:sz w:val="16"/>
          <w:szCs w:val="16"/>
          <w:rtl/>
        </w:rPr>
        <w:t xml:space="preserve"> בפכ"ה (הי"ג) שלכיסוי חבית הטמונה בארץ הצריך בית אחיזה ולכיסוי התנור לא הצריך</w:t>
      </w:r>
      <w:r w:rsidR="00F1065A" w:rsidRPr="00F1065A">
        <w:rPr>
          <w:rFonts w:cs="Arial" w:hint="cs"/>
          <w:sz w:val="16"/>
          <w:szCs w:val="16"/>
          <w:rtl/>
        </w:rPr>
        <w:t>.</w:t>
      </w:r>
      <w:r w:rsidR="00F1065A" w:rsidRPr="00F1065A">
        <w:rPr>
          <w:rFonts w:cs="Arial"/>
          <w:sz w:val="16"/>
          <w:szCs w:val="16"/>
          <w:rtl/>
        </w:rPr>
        <w:t xml:space="preserve"> וכתב שם הה</w:t>
      </w:r>
      <w:r w:rsidR="00CF0ECB">
        <w:rPr>
          <w:rFonts w:cs="Arial" w:hint="cs"/>
          <w:sz w:val="16"/>
          <w:szCs w:val="16"/>
          <w:rtl/>
        </w:rPr>
        <w:t>"</w:t>
      </w:r>
      <w:r w:rsidR="00F1065A" w:rsidRPr="00F1065A">
        <w:rPr>
          <w:rFonts w:cs="Arial"/>
          <w:sz w:val="16"/>
          <w:szCs w:val="16"/>
          <w:rtl/>
        </w:rPr>
        <w:t>מ שכן העלה הרשב"א (קכה. ד"ה אמר) מדברי הרמב"ם</w:t>
      </w:r>
      <w:r w:rsidR="00F1065A">
        <w:rPr>
          <w:rFonts w:cs="Arial" w:hint="cs"/>
          <w:sz w:val="16"/>
          <w:szCs w:val="16"/>
          <w:rtl/>
        </w:rPr>
        <w:t>, ב"י</w:t>
      </w:r>
      <w:r w:rsidR="004339F0">
        <w:rPr>
          <w:rFonts w:hint="cs"/>
          <w:sz w:val="16"/>
          <w:szCs w:val="16"/>
          <w:rtl/>
        </w:rPr>
        <w:t>)</w:t>
      </w:r>
    </w:p>
    <w:p w14:paraId="5B4AF5AB" w14:textId="122C2819" w:rsidR="0061770E" w:rsidRPr="0061770E" w:rsidRDefault="0061770E" w:rsidP="00434A6A">
      <w:pPr>
        <w:rPr>
          <w:u w:val="single"/>
          <w:rtl/>
        </w:rPr>
      </w:pPr>
      <w:r w:rsidRPr="0061770E">
        <w:rPr>
          <w:rFonts w:hint="cs"/>
          <w:u w:val="single"/>
          <w:rtl/>
        </w:rPr>
        <w:t>טלטול כיסוי:</w:t>
      </w:r>
    </w:p>
    <w:p w14:paraId="2A76A05E" w14:textId="546DB0A2" w:rsidR="004664A5" w:rsidRDefault="00511A5A" w:rsidP="00434A6A">
      <w:pPr>
        <w:pStyle w:val="aa"/>
        <w:numPr>
          <w:ilvl w:val="0"/>
          <w:numId w:val="3"/>
        </w:numPr>
        <w:rPr>
          <w:rFonts w:cs="Arial"/>
        </w:rPr>
      </w:pPr>
      <w:r w:rsidRPr="00511A5A">
        <w:rPr>
          <w:rFonts w:cs="Arial" w:hint="cs"/>
          <w:rtl/>
        </w:rPr>
        <w:t xml:space="preserve">טור- </w:t>
      </w:r>
      <w:r w:rsidR="00A67912" w:rsidRPr="00511A5A">
        <w:rPr>
          <w:rFonts w:cs="Arial"/>
          <w:rtl/>
        </w:rPr>
        <w:t>כיסוי בור ודות אין נוטלים אותם אא"כ יש להם בית אחיזה</w:t>
      </w:r>
      <w:r w:rsidR="0061770E">
        <w:rPr>
          <w:rFonts w:cs="Arial" w:hint="cs"/>
          <w:rtl/>
        </w:rPr>
        <w:t>,</w:t>
      </w:r>
      <w:r w:rsidR="00A67912" w:rsidRPr="00511A5A">
        <w:rPr>
          <w:rFonts w:cs="Arial"/>
          <w:rtl/>
        </w:rPr>
        <w:t xml:space="preserve"> דאז מוכח שהוא כלי</w:t>
      </w:r>
      <w:r w:rsidR="0061770E">
        <w:rPr>
          <w:rFonts w:cs="Arial" w:hint="cs"/>
          <w:rtl/>
        </w:rPr>
        <w:t>.</w:t>
      </w:r>
      <w:r w:rsidR="00A67912" w:rsidRPr="00511A5A">
        <w:rPr>
          <w:rFonts w:cs="Arial"/>
          <w:rtl/>
        </w:rPr>
        <w:t xml:space="preserve"> ושל כלים</w:t>
      </w:r>
      <w:r w:rsidR="0061770E">
        <w:rPr>
          <w:rFonts w:cs="Arial" w:hint="cs"/>
          <w:rtl/>
        </w:rPr>
        <w:t>,</w:t>
      </w:r>
      <w:r w:rsidR="00A67912" w:rsidRPr="00511A5A">
        <w:rPr>
          <w:rFonts w:cs="Arial"/>
          <w:rtl/>
        </w:rPr>
        <w:t xml:space="preserve"> אפי' הן מחוברין</w:t>
      </w:r>
      <w:r w:rsidR="0061770E">
        <w:rPr>
          <w:rFonts w:cs="Arial" w:hint="cs"/>
          <w:rtl/>
        </w:rPr>
        <w:t>,</w:t>
      </w:r>
      <w:r w:rsidR="00A67912" w:rsidRPr="00511A5A">
        <w:rPr>
          <w:rFonts w:cs="Arial"/>
          <w:rtl/>
        </w:rPr>
        <w:t xml:space="preserve"> כגון תנור שחברו בטיט </w:t>
      </w:r>
      <w:r w:rsidR="0061770E">
        <w:rPr>
          <w:rFonts w:cs="Arial" w:hint="cs"/>
          <w:rtl/>
        </w:rPr>
        <w:t xml:space="preserve">- </w:t>
      </w:r>
      <w:r w:rsidR="00A67912" w:rsidRPr="00511A5A">
        <w:rPr>
          <w:rFonts w:cs="Arial"/>
          <w:rtl/>
        </w:rPr>
        <w:t>יכולין ליטלו אפילו אין לו בית אחיזה</w:t>
      </w:r>
      <w:r w:rsidRPr="00511A5A">
        <w:rPr>
          <w:rFonts w:cs="Arial" w:hint="cs"/>
          <w:rtl/>
        </w:rPr>
        <w:t>.</w:t>
      </w:r>
    </w:p>
    <w:p w14:paraId="23F30FFD" w14:textId="55FC0C53" w:rsidR="00F63421" w:rsidRPr="000908D5" w:rsidRDefault="004339F0" w:rsidP="00434A6A">
      <w:pPr>
        <w:pStyle w:val="aa"/>
        <w:numPr>
          <w:ilvl w:val="0"/>
          <w:numId w:val="3"/>
        </w:numPr>
        <w:rPr>
          <w:rFonts w:cs="Arial"/>
          <w:rtl/>
        </w:rPr>
      </w:pPr>
      <w:r>
        <w:rPr>
          <w:rFonts w:cs="Arial" w:hint="cs"/>
          <w:rtl/>
        </w:rPr>
        <w:t xml:space="preserve">רמב"ם </w:t>
      </w:r>
      <w:r>
        <w:rPr>
          <w:rFonts w:cs="Arial" w:hint="cs"/>
          <w:sz w:val="16"/>
          <w:szCs w:val="16"/>
          <w:rtl/>
        </w:rPr>
        <w:t>(פכ"ה הי"ג)</w:t>
      </w:r>
      <w:r>
        <w:rPr>
          <w:rFonts w:cs="Arial" w:hint="cs"/>
          <w:rtl/>
        </w:rPr>
        <w:t xml:space="preserve">- </w:t>
      </w:r>
      <w:r w:rsidRPr="004339F0">
        <w:rPr>
          <w:rFonts w:cs="Arial"/>
          <w:rtl/>
        </w:rPr>
        <w:t>כל כסויי הכלים נטלים בשבת</w:t>
      </w:r>
      <w:r w:rsidR="00CF0ECB">
        <w:rPr>
          <w:rFonts w:cs="Arial" w:hint="cs"/>
          <w:rtl/>
        </w:rPr>
        <w:t>,</w:t>
      </w:r>
      <w:r w:rsidRPr="004339F0">
        <w:rPr>
          <w:rFonts w:cs="Arial"/>
          <w:rtl/>
        </w:rPr>
        <w:t xml:space="preserve"> והוא שיש תורת כלי עליהן</w:t>
      </w:r>
      <w:r w:rsidR="000908D5">
        <w:rPr>
          <w:rStyle w:val="a9"/>
          <w:rFonts w:cs="Arial"/>
          <w:rtl/>
        </w:rPr>
        <w:footnoteReference w:id="1406"/>
      </w:r>
      <w:r w:rsidR="00CF0ECB">
        <w:rPr>
          <w:rFonts w:cs="Arial" w:hint="cs"/>
          <w:rtl/>
        </w:rPr>
        <w:t>.</w:t>
      </w:r>
      <w:r w:rsidRPr="004339F0">
        <w:rPr>
          <w:rFonts w:cs="Arial"/>
          <w:rtl/>
        </w:rPr>
        <w:t xml:space="preserve"> היה כלי מחובר בקרקע כגון חבית הטמונה בארץ, אם יש לכיסוי שלה בית אחיזה מטלטלין אותו</w:t>
      </w:r>
      <w:r w:rsidR="00CF0ECB">
        <w:rPr>
          <w:rFonts w:cs="Arial" w:hint="cs"/>
          <w:rtl/>
        </w:rPr>
        <w:t>,</w:t>
      </w:r>
      <w:r w:rsidRPr="004339F0">
        <w:rPr>
          <w:rFonts w:cs="Arial"/>
          <w:rtl/>
        </w:rPr>
        <w:t xml:space="preserve"> ואם לאו אין מטלטלין אותו, וכן כסויי הקרקעות כגון בורות וחריצין אין מטלטלין כסוי שלהן אא</w:t>
      </w:r>
      <w:r w:rsidR="00CF0ECB">
        <w:rPr>
          <w:rFonts w:cs="Arial" w:hint="cs"/>
          <w:rtl/>
        </w:rPr>
        <w:t>"</w:t>
      </w:r>
      <w:r w:rsidRPr="004339F0">
        <w:rPr>
          <w:rFonts w:cs="Arial"/>
          <w:rtl/>
        </w:rPr>
        <w:t>כ יש לו בית אחיזה</w:t>
      </w:r>
      <w:r w:rsidR="00CF0ECB">
        <w:rPr>
          <w:rFonts w:cs="Arial" w:hint="cs"/>
          <w:rtl/>
        </w:rPr>
        <w:t>.</w:t>
      </w:r>
      <w:r w:rsidRPr="004339F0">
        <w:rPr>
          <w:rFonts w:cs="Arial"/>
          <w:rtl/>
        </w:rPr>
        <w:t xml:space="preserve"> כיסוי התנור אע</w:t>
      </w:r>
      <w:r w:rsidR="00CF0ECB">
        <w:rPr>
          <w:rFonts w:cs="Arial" w:hint="cs"/>
          <w:rtl/>
        </w:rPr>
        <w:t>"</w:t>
      </w:r>
      <w:r w:rsidRPr="004339F0">
        <w:rPr>
          <w:rFonts w:cs="Arial"/>
          <w:rtl/>
        </w:rPr>
        <w:t xml:space="preserve">פ שאין לו בית אחיזה </w:t>
      </w:r>
      <w:r w:rsidR="00910457">
        <w:rPr>
          <w:rFonts w:cs="Arial" w:hint="cs"/>
          <w:rtl/>
        </w:rPr>
        <w:t xml:space="preserve">- </w:t>
      </w:r>
      <w:r w:rsidRPr="004339F0">
        <w:rPr>
          <w:rFonts w:cs="Arial"/>
          <w:rtl/>
        </w:rPr>
        <w:t>מותר לטלטלו.</w:t>
      </w:r>
      <w:r w:rsidR="000908D5" w:rsidRPr="000908D5">
        <w:rPr>
          <w:rFonts w:hint="cs"/>
          <w:color w:val="E36C0A" w:themeColor="accent6" w:themeShade="BF"/>
          <w:rtl/>
        </w:rPr>
        <w:t xml:space="preserve"> </w:t>
      </w:r>
      <w:r w:rsidR="000908D5" w:rsidRPr="00E97D23">
        <w:rPr>
          <w:rFonts w:hint="cs"/>
          <w:color w:val="E36C0A" w:themeColor="accent6" w:themeShade="BF"/>
          <w:rtl/>
        </w:rPr>
        <w:t>(וכ"פ בשו"ע)</w:t>
      </w:r>
    </w:p>
    <w:p w14:paraId="3EB92E95"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613CE384" w14:textId="24B7B83E" w:rsidR="000C6229" w:rsidRPr="005275DF" w:rsidRDefault="000C6229" w:rsidP="00434A6A">
      <w:pPr>
        <w:rPr>
          <w:rFonts w:asciiTheme="minorBidi" w:hAnsiTheme="minorBidi"/>
          <w:rtl/>
        </w:rPr>
      </w:pPr>
      <w:r w:rsidRPr="005275DF">
        <w:rPr>
          <w:rFonts w:asciiTheme="minorBidi" w:hAnsiTheme="minorBidi"/>
          <w:rtl/>
        </w:rPr>
        <w:t>כסוי בור ודות</w:t>
      </w:r>
      <w:r w:rsidR="00364D38">
        <w:rPr>
          <w:rStyle w:val="a9"/>
          <w:rFonts w:asciiTheme="minorBidi" w:hAnsiTheme="minorBidi"/>
          <w:rtl/>
        </w:rPr>
        <w:footnoteReference w:id="1407"/>
      </w:r>
      <w:r w:rsidRPr="005275DF">
        <w:rPr>
          <w:rFonts w:asciiTheme="minorBidi" w:hAnsiTheme="minorBidi"/>
          <w:rtl/>
        </w:rPr>
        <w:t xml:space="preserve"> אין ניטלים</w:t>
      </w:r>
      <w:r w:rsidR="00364D38">
        <w:rPr>
          <w:rStyle w:val="a9"/>
          <w:rFonts w:asciiTheme="minorBidi" w:hAnsiTheme="minorBidi"/>
          <w:rtl/>
        </w:rPr>
        <w:footnoteReference w:id="1408"/>
      </w:r>
      <w:r w:rsidRPr="005275DF">
        <w:rPr>
          <w:rFonts w:asciiTheme="minorBidi" w:hAnsiTheme="minorBidi"/>
          <w:rtl/>
        </w:rPr>
        <w:t xml:space="preserve"> א</w:t>
      </w:r>
      <w:r w:rsidR="00BE6400">
        <w:rPr>
          <w:rFonts w:asciiTheme="minorBidi" w:hAnsiTheme="minorBidi" w:hint="cs"/>
          <w:rtl/>
        </w:rPr>
        <w:t>לא אם כן</w:t>
      </w:r>
      <w:r w:rsidRPr="005275DF">
        <w:rPr>
          <w:rFonts w:asciiTheme="minorBidi" w:hAnsiTheme="minorBidi"/>
          <w:rtl/>
        </w:rPr>
        <w:t xml:space="preserve"> יש להם בית אחיזה דאז מוכח שהוא כלי</w:t>
      </w:r>
      <w:r w:rsidR="000908D5">
        <w:rPr>
          <w:rFonts w:asciiTheme="minorBidi" w:hAnsiTheme="minorBidi" w:hint="cs"/>
          <w:rtl/>
        </w:rPr>
        <w:t>.</w:t>
      </w:r>
      <w:r w:rsidRPr="005275DF">
        <w:rPr>
          <w:rFonts w:asciiTheme="minorBidi" w:hAnsiTheme="minorBidi"/>
          <w:rtl/>
        </w:rPr>
        <w:t xml:space="preserve"> ושל כלים, אפילו הם מחוברים בטיט</w:t>
      </w:r>
      <w:r w:rsidR="008E5D08">
        <w:rPr>
          <w:rStyle w:val="a9"/>
          <w:rFonts w:asciiTheme="minorBidi" w:hAnsiTheme="minorBidi"/>
          <w:rtl/>
        </w:rPr>
        <w:footnoteReference w:id="1409"/>
      </w:r>
      <w:r w:rsidRPr="005275DF">
        <w:rPr>
          <w:rFonts w:asciiTheme="minorBidi" w:hAnsiTheme="minorBidi"/>
          <w:rtl/>
        </w:rPr>
        <w:t>, יכולים ליטלם אפילו אין להם בית אחיזה</w:t>
      </w:r>
      <w:r w:rsidR="00103D55">
        <w:rPr>
          <w:rFonts w:asciiTheme="minorBidi" w:hAnsiTheme="minorBidi" w:hint="cs"/>
          <w:rtl/>
        </w:rPr>
        <w:t>,</w:t>
      </w:r>
      <w:r w:rsidRPr="005275DF">
        <w:rPr>
          <w:rFonts w:asciiTheme="minorBidi" w:hAnsiTheme="minorBidi"/>
          <w:rtl/>
        </w:rPr>
        <w:t xml:space="preserve"> והוא שתקנם ועשה בהם מעשה</w:t>
      </w:r>
      <w:r w:rsidR="008E5D08">
        <w:rPr>
          <w:rStyle w:val="a9"/>
          <w:rFonts w:asciiTheme="minorBidi" w:hAnsiTheme="minorBidi"/>
          <w:rtl/>
        </w:rPr>
        <w:footnoteReference w:id="1410"/>
      </w:r>
      <w:r w:rsidRPr="005275DF">
        <w:rPr>
          <w:rFonts w:asciiTheme="minorBidi" w:hAnsiTheme="minorBidi"/>
          <w:rtl/>
        </w:rPr>
        <w:t xml:space="preserve"> והכינם לכך, או שנשתמש בהם מב</w:t>
      </w:r>
      <w:r w:rsidR="00BE6400">
        <w:rPr>
          <w:rFonts w:asciiTheme="minorBidi" w:hAnsiTheme="minorBidi" w:hint="cs"/>
          <w:rtl/>
        </w:rPr>
        <w:t>עוד יום.</w:t>
      </w:r>
      <w:r w:rsidRPr="005275DF">
        <w:rPr>
          <w:rFonts w:asciiTheme="minorBidi" w:hAnsiTheme="minorBidi"/>
          <w:rtl/>
        </w:rPr>
        <w:t xml:space="preserve"> וכסוי חביות הקבורות בקרקע לגמרי, צריכות בית אחיזה. </w:t>
      </w:r>
    </w:p>
    <w:p w14:paraId="77F1338A" w14:textId="77777777" w:rsidR="000C6229" w:rsidRPr="005275DF" w:rsidRDefault="000C6229" w:rsidP="00434A6A">
      <w:pPr>
        <w:rPr>
          <w:rFonts w:asciiTheme="minorBidi" w:hAnsiTheme="minorBidi"/>
          <w:rtl/>
        </w:rPr>
      </w:pPr>
    </w:p>
    <w:p w14:paraId="7B53273F" w14:textId="442EE74F" w:rsidR="000C6229" w:rsidRDefault="000C6229" w:rsidP="00434A6A">
      <w:pPr>
        <w:pStyle w:val="2"/>
        <w:rPr>
          <w:rtl/>
        </w:rPr>
      </w:pPr>
      <w:r w:rsidRPr="005275DF">
        <w:rPr>
          <w:rtl/>
        </w:rPr>
        <w:t>סעיף יא</w:t>
      </w:r>
      <w:r w:rsidR="00F63421">
        <w:rPr>
          <w:rFonts w:hint="cs"/>
          <w:rtl/>
        </w:rPr>
        <w:t>:</w:t>
      </w:r>
      <w:r w:rsidR="008868B6">
        <w:rPr>
          <w:rFonts w:hint="cs"/>
          <w:rtl/>
        </w:rPr>
        <w:t xml:space="preserve"> מחט.</w:t>
      </w:r>
    </w:p>
    <w:p w14:paraId="566C8AC1" w14:textId="0044AC0E" w:rsidR="00BC6F83" w:rsidRPr="00FF0175" w:rsidRDefault="00FF0175" w:rsidP="00434A6A">
      <w:pPr>
        <w:rPr>
          <w:rFonts w:cs="Arial"/>
          <w:rtl/>
        </w:rPr>
      </w:pPr>
      <w:r w:rsidRPr="002A45F7">
        <w:rPr>
          <w:rFonts w:hint="cs"/>
          <w:b/>
          <w:bCs/>
          <w:rtl/>
        </w:rPr>
        <w:t xml:space="preserve">שבת </w:t>
      </w:r>
      <w:r>
        <w:rPr>
          <w:rFonts w:hint="cs"/>
          <w:b/>
          <w:bCs/>
          <w:sz w:val="16"/>
          <w:szCs w:val="16"/>
          <w:rtl/>
        </w:rPr>
        <w:t>(פ' כל הכלים)</w:t>
      </w:r>
      <w:r>
        <w:rPr>
          <w:rFonts w:hint="cs"/>
          <w:b/>
          <w:bCs/>
          <w:rtl/>
        </w:rPr>
        <w:t xml:space="preserve"> </w:t>
      </w:r>
      <w:r w:rsidRPr="002A45F7">
        <w:rPr>
          <w:rFonts w:hint="cs"/>
          <w:b/>
          <w:bCs/>
          <w:rtl/>
        </w:rPr>
        <w:t>ק</w:t>
      </w:r>
      <w:r>
        <w:rPr>
          <w:rFonts w:hint="cs"/>
          <w:b/>
          <w:bCs/>
          <w:rtl/>
        </w:rPr>
        <w:t>כב</w:t>
      </w:r>
      <w:r w:rsidRPr="002A45F7">
        <w:rPr>
          <w:rFonts w:hint="cs"/>
          <w:b/>
          <w:bCs/>
          <w:rtl/>
        </w:rPr>
        <w:t xml:space="preserve"> ע"</w:t>
      </w:r>
      <w:r>
        <w:rPr>
          <w:rFonts w:hint="cs"/>
          <w:b/>
          <w:bCs/>
          <w:rtl/>
        </w:rPr>
        <w:t>ב</w:t>
      </w:r>
      <w:r w:rsidRPr="002A45F7">
        <w:rPr>
          <w:rFonts w:hint="cs"/>
          <w:b/>
          <w:bCs/>
          <w:rtl/>
        </w:rPr>
        <w:t>:</w:t>
      </w:r>
      <w:r>
        <w:rPr>
          <w:rFonts w:cs="Arial" w:hint="cs"/>
          <w:rtl/>
        </w:rPr>
        <w:t xml:space="preserve"> </w:t>
      </w:r>
      <w:r w:rsidRPr="00327013">
        <w:rPr>
          <w:rFonts w:cs="Arial"/>
          <w:u w:val="double"/>
          <w:rtl/>
        </w:rPr>
        <w:t>משנה</w:t>
      </w:r>
      <w:r>
        <w:rPr>
          <w:rFonts w:cs="Arial" w:hint="cs"/>
          <w:rtl/>
        </w:rPr>
        <w:t>:...</w:t>
      </w:r>
      <w:r w:rsidRPr="00327013">
        <w:rPr>
          <w:rFonts w:cs="Arial"/>
          <w:rtl/>
        </w:rPr>
        <w:t xml:space="preserve"> נוטל אדם</w:t>
      </w:r>
      <w:r>
        <w:rPr>
          <w:rFonts w:cs="Arial" w:hint="cs"/>
          <w:rtl/>
        </w:rPr>
        <w:t>...</w:t>
      </w:r>
      <w:r w:rsidRPr="00327013">
        <w:rPr>
          <w:rFonts w:cs="Arial"/>
          <w:rtl/>
        </w:rPr>
        <w:t xml:space="preserve"> מחט של יד - ליטול בו את הקוץ, ושל סקאים - לפתוח בו את הדלת. </w:t>
      </w:r>
      <w:r>
        <w:rPr>
          <w:rFonts w:cs="Arial" w:hint="cs"/>
          <w:rtl/>
        </w:rPr>
        <w:t xml:space="preserve">         </w:t>
      </w:r>
      <w:r>
        <w:rPr>
          <w:rFonts w:cs="Arial" w:hint="cs"/>
          <w:u w:val="double"/>
          <w:rtl/>
        </w:rPr>
        <w:t>גמרא</w:t>
      </w:r>
      <w:r>
        <w:rPr>
          <w:rFonts w:cs="Arial" w:hint="cs"/>
          <w:rtl/>
        </w:rPr>
        <w:t>:</w:t>
      </w:r>
      <w:r w:rsidRPr="00BC6F83">
        <w:rPr>
          <w:rFonts w:cs="Arial"/>
          <w:rtl/>
        </w:rPr>
        <w:t xml:space="preserve"> מחט של יד ליטול בה כו'. </w:t>
      </w:r>
      <w:r w:rsidRPr="00BC6F83">
        <w:rPr>
          <w:rFonts w:cs="Arial"/>
          <w:u w:val="single"/>
          <w:rtl/>
        </w:rPr>
        <w:t>שלח ליה רבא בריה דרבה לרב יוסף</w:t>
      </w:r>
      <w:r w:rsidRPr="00BC6F83">
        <w:rPr>
          <w:rFonts w:cs="Arial"/>
          <w:rtl/>
        </w:rPr>
        <w:t>: ילמדנו רבינו, מחט שניטל חררה</w:t>
      </w:r>
      <w:r>
        <w:rPr>
          <w:rStyle w:val="a9"/>
          <w:rFonts w:cs="Arial"/>
          <w:rtl/>
        </w:rPr>
        <w:footnoteReference w:id="1411"/>
      </w:r>
      <w:r w:rsidRPr="00BC6F83">
        <w:rPr>
          <w:rFonts w:cs="Arial"/>
          <w:rtl/>
        </w:rPr>
        <w:t xml:space="preserve"> או עוקצה</w:t>
      </w:r>
      <w:r>
        <w:rPr>
          <w:rStyle w:val="a9"/>
          <w:rFonts w:cs="Arial"/>
          <w:rtl/>
        </w:rPr>
        <w:footnoteReference w:id="1412"/>
      </w:r>
      <w:r w:rsidRPr="00BC6F83">
        <w:rPr>
          <w:rFonts w:cs="Arial"/>
          <w:rtl/>
        </w:rPr>
        <w:t xml:space="preserve"> מהו</w:t>
      </w:r>
      <w:r>
        <w:rPr>
          <w:rStyle w:val="a9"/>
          <w:rFonts w:cs="Arial"/>
          <w:rtl/>
        </w:rPr>
        <w:footnoteReference w:id="1413"/>
      </w:r>
      <w:r w:rsidRPr="00BC6F83">
        <w:rPr>
          <w:rFonts w:cs="Arial"/>
          <w:rtl/>
        </w:rPr>
        <w:t xml:space="preserve">? </w:t>
      </w:r>
      <w:r w:rsidRPr="00BC6F83">
        <w:rPr>
          <w:rFonts w:cs="Arial"/>
          <w:u w:val="single"/>
          <w:rtl/>
        </w:rPr>
        <w:t>אמר ליה</w:t>
      </w:r>
      <w:r w:rsidRPr="00BC6F83">
        <w:rPr>
          <w:rFonts w:cs="Arial"/>
          <w:rtl/>
        </w:rPr>
        <w:t xml:space="preserve">: תניתוה, מחט של יד ליטול בה את הקוץ. וכי מה איכפת ליה לקוץ בין נקובה לבין שאינה נקובה? איתיביה מחט שניטל חררה או עוקצה - טהורה! </w:t>
      </w:r>
      <w:r w:rsidRPr="00BC6F83">
        <w:rPr>
          <w:rFonts w:cs="Arial"/>
          <w:u w:val="single"/>
          <w:rtl/>
        </w:rPr>
        <w:t>אמר אביי</w:t>
      </w:r>
      <w:r w:rsidRPr="00BC6F83">
        <w:rPr>
          <w:rFonts w:cs="Arial"/>
          <w:rtl/>
        </w:rPr>
        <w:t xml:space="preserve">: טומאה אשבת קרמית? טומאה - כלי מעשה בעינן, לענין שבת - מידי דחזי בעינן, והא נמי חזיא למשקלא בה קוץ. </w:t>
      </w:r>
      <w:r w:rsidRPr="00BC6F83">
        <w:rPr>
          <w:rFonts w:cs="Arial"/>
          <w:u w:val="single"/>
          <w:rtl/>
        </w:rPr>
        <w:t>אמר רבא</w:t>
      </w:r>
      <w:r w:rsidRPr="00BC6F83">
        <w:rPr>
          <w:rFonts w:cs="Arial"/>
          <w:rtl/>
        </w:rPr>
        <w:t xml:space="preserve">: מאן דקמותיב - שפיר קמותיב, מדלענין טומאה לאו מנא הוא - לענין שבת נמי לאו מנא הוא. מיתיבי: מחט, בין נקובה בין שאינה נקובה - מותר לטלטלה בשבת, ולא אמרו נקובה אלא לענין טומאה בלבד! </w:t>
      </w:r>
      <w:r w:rsidRPr="00BC6F83">
        <w:rPr>
          <w:rFonts w:cs="Arial"/>
          <w:u w:val="single"/>
          <w:rtl/>
        </w:rPr>
        <w:t>תרגמא אביי אליבא דרבא</w:t>
      </w:r>
      <w:r w:rsidRPr="00BC6F83">
        <w:rPr>
          <w:rFonts w:cs="Arial"/>
          <w:rtl/>
        </w:rPr>
        <w:t>: בגולמי</w:t>
      </w:r>
      <w:r>
        <w:rPr>
          <w:rStyle w:val="a9"/>
          <w:rFonts w:cs="Arial"/>
          <w:rtl/>
        </w:rPr>
        <w:footnoteReference w:id="1414"/>
      </w:r>
      <w:r w:rsidRPr="00BC6F83">
        <w:rPr>
          <w:rFonts w:cs="Arial"/>
          <w:rtl/>
        </w:rPr>
        <w:t xml:space="preserve"> עסקינן, זימנין דמימלך</w:t>
      </w:r>
      <w:r>
        <w:rPr>
          <w:rStyle w:val="a9"/>
          <w:rFonts w:cs="Arial"/>
          <w:rtl/>
        </w:rPr>
        <w:footnoteReference w:id="1415"/>
      </w:r>
      <w:r w:rsidRPr="00BC6F83">
        <w:rPr>
          <w:rFonts w:cs="Arial"/>
          <w:rtl/>
        </w:rPr>
        <w:t xml:space="preserve"> עלייהו ומשוי להו מנא</w:t>
      </w:r>
      <w:r>
        <w:rPr>
          <w:rStyle w:val="a9"/>
          <w:rFonts w:cs="Arial"/>
          <w:rtl/>
        </w:rPr>
        <w:footnoteReference w:id="1416"/>
      </w:r>
      <w:r w:rsidRPr="00BC6F83">
        <w:rPr>
          <w:rFonts w:cs="Arial"/>
          <w:rtl/>
        </w:rPr>
        <w:t>. אבל היכא דניטל חררה או עוקצה - אדם זורקה לבין גרוטאות</w:t>
      </w:r>
      <w:r>
        <w:rPr>
          <w:rStyle w:val="a9"/>
          <w:rFonts w:cs="Arial"/>
          <w:rtl/>
        </w:rPr>
        <w:footnoteReference w:id="1417"/>
      </w:r>
      <w:r w:rsidRPr="00BC6F83">
        <w:rPr>
          <w:rFonts w:cs="Arial"/>
          <w:rtl/>
        </w:rPr>
        <w:t>.</w:t>
      </w:r>
      <w:r>
        <w:rPr>
          <w:rFonts w:cs="Arial" w:hint="cs"/>
          <w:rtl/>
        </w:rPr>
        <w:t xml:space="preserve"> </w:t>
      </w:r>
      <w:r w:rsidRPr="00FF0175">
        <w:rPr>
          <w:rFonts w:cs="Arial" w:hint="cs"/>
          <w:sz w:val="16"/>
          <w:szCs w:val="16"/>
          <w:rtl/>
        </w:rPr>
        <w:t>(</w:t>
      </w:r>
      <w:r w:rsidRPr="00FF0175">
        <w:rPr>
          <w:rFonts w:cs="Arial"/>
          <w:sz w:val="16"/>
          <w:szCs w:val="16"/>
          <w:rtl/>
        </w:rPr>
        <w:t>ופסקו הרי"ף (מז:) והרא"ש (סי' ב) כרבא</w:t>
      </w:r>
      <w:r>
        <w:rPr>
          <w:rFonts w:cs="Arial" w:hint="cs"/>
          <w:sz w:val="16"/>
          <w:szCs w:val="16"/>
          <w:rtl/>
        </w:rPr>
        <w:t>, ב"י. וכ"פ הרמב"ם (פכ"ה ה"ח))</w:t>
      </w:r>
    </w:p>
    <w:p w14:paraId="6B33FF77" w14:textId="0236EB93" w:rsidR="008868B6" w:rsidRPr="008868B6" w:rsidRDefault="008868B6" w:rsidP="00434A6A">
      <w:pPr>
        <w:rPr>
          <w:u w:val="single"/>
          <w:rtl/>
        </w:rPr>
      </w:pPr>
      <w:r w:rsidRPr="008868B6">
        <w:rPr>
          <w:rFonts w:hint="cs"/>
          <w:u w:val="single"/>
          <w:rtl/>
        </w:rPr>
        <w:t>טלטול מחט:</w:t>
      </w:r>
    </w:p>
    <w:p w14:paraId="40158E4D" w14:textId="50B456DE" w:rsidR="00A67912" w:rsidRPr="00BE6400" w:rsidRDefault="00BE6400" w:rsidP="00434A6A">
      <w:pPr>
        <w:pStyle w:val="aa"/>
        <w:numPr>
          <w:ilvl w:val="0"/>
          <w:numId w:val="3"/>
        </w:numPr>
        <w:rPr>
          <w:rFonts w:cs="Arial"/>
          <w:rtl/>
        </w:rPr>
      </w:pPr>
      <w:r w:rsidRPr="00BE6400">
        <w:rPr>
          <w:rFonts w:cs="Arial" w:hint="cs"/>
          <w:rtl/>
        </w:rPr>
        <w:t xml:space="preserve">טור- </w:t>
      </w:r>
      <w:r w:rsidR="00A67912" w:rsidRPr="00BE6400">
        <w:rPr>
          <w:rFonts w:cs="Arial"/>
          <w:rtl/>
        </w:rPr>
        <w:t>מחט שלימה יכולין לטלטלה ליטול בה הקוץ</w:t>
      </w:r>
      <w:r w:rsidR="00FF0175">
        <w:rPr>
          <w:rFonts w:cs="Arial" w:hint="cs"/>
          <w:rtl/>
        </w:rPr>
        <w:t>.</w:t>
      </w:r>
      <w:r w:rsidR="00A67912" w:rsidRPr="00BE6400">
        <w:rPr>
          <w:rFonts w:cs="Arial"/>
          <w:rtl/>
        </w:rPr>
        <w:t xml:space="preserve"> ניטל חודה או חור שלה</w:t>
      </w:r>
      <w:r w:rsidR="00FF0175">
        <w:rPr>
          <w:rFonts w:cs="Arial" w:hint="cs"/>
          <w:rtl/>
        </w:rPr>
        <w:t xml:space="preserve"> -</w:t>
      </w:r>
      <w:r w:rsidR="00A67912" w:rsidRPr="00BE6400">
        <w:rPr>
          <w:rFonts w:cs="Arial"/>
          <w:rtl/>
        </w:rPr>
        <w:t xml:space="preserve"> לא</w:t>
      </w:r>
      <w:r w:rsidR="00FF0175">
        <w:rPr>
          <w:rFonts w:cs="Arial" w:hint="cs"/>
          <w:rtl/>
        </w:rPr>
        <w:t>.</w:t>
      </w:r>
      <w:r w:rsidR="00A67912" w:rsidRPr="00BE6400">
        <w:rPr>
          <w:rFonts w:cs="Arial"/>
          <w:rtl/>
        </w:rPr>
        <w:t xml:space="preserve"> וחדשה שלא ניקבה עדיין</w:t>
      </w:r>
      <w:r w:rsidR="00FF0175">
        <w:rPr>
          <w:rFonts w:cs="Arial" w:hint="cs"/>
          <w:rtl/>
        </w:rPr>
        <w:t xml:space="preserve"> -</w:t>
      </w:r>
      <w:r w:rsidR="00A67912" w:rsidRPr="00BE6400">
        <w:rPr>
          <w:rFonts w:cs="Arial"/>
          <w:rtl/>
        </w:rPr>
        <w:t xml:space="preserve"> שריא. </w:t>
      </w:r>
      <w:r w:rsidR="00FF0175" w:rsidRPr="00FF0175">
        <w:rPr>
          <w:rFonts w:cs="Arial" w:hint="cs"/>
          <w:color w:val="E36C0A" w:themeColor="accent6" w:themeShade="BF"/>
          <w:rtl/>
        </w:rPr>
        <w:t>(וכ"פ בשו"ע)</w:t>
      </w:r>
    </w:p>
    <w:p w14:paraId="4098D9EC"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42ED04A2" w14:textId="784C4C26" w:rsidR="000C6229" w:rsidRPr="005275DF" w:rsidRDefault="000C6229" w:rsidP="00434A6A">
      <w:pPr>
        <w:rPr>
          <w:rFonts w:asciiTheme="minorBidi" w:hAnsiTheme="minorBidi"/>
          <w:rtl/>
        </w:rPr>
      </w:pPr>
      <w:r w:rsidRPr="005275DF">
        <w:rPr>
          <w:rFonts w:asciiTheme="minorBidi" w:hAnsiTheme="minorBidi"/>
          <w:rtl/>
        </w:rPr>
        <w:t>מחט</w:t>
      </w:r>
      <w:r w:rsidR="00FF0175">
        <w:rPr>
          <w:rStyle w:val="a9"/>
          <w:rFonts w:asciiTheme="minorBidi" w:hAnsiTheme="minorBidi"/>
          <w:rtl/>
        </w:rPr>
        <w:footnoteReference w:id="1418"/>
      </w:r>
      <w:r w:rsidRPr="005275DF">
        <w:rPr>
          <w:rFonts w:asciiTheme="minorBidi" w:hAnsiTheme="minorBidi"/>
          <w:rtl/>
        </w:rPr>
        <w:t xml:space="preserve"> שלימה מותר לטלטלה ליטול בה את הקוץ</w:t>
      </w:r>
      <w:r w:rsidR="00FF0175">
        <w:rPr>
          <w:rStyle w:val="a9"/>
          <w:rFonts w:asciiTheme="minorBidi" w:hAnsiTheme="minorBidi"/>
          <w:rtl/>
        </w:rPr>
        <w:footnoteReference w:id="1419"/>
      </w:r>
      <w:r w:rsidR="00BE6400">
        <w:rPr>
          <w:rFonts w:asciiTheme="minorBidi" w:hAnsiTheme="minorBidi" w:hint="cs"/>
          <w:rtl/>
        </w:rPr>
        <w:t>.</w:t>
      </w:r>
      <w:r w:rsidRPr="005275DF">
        <w:rPr>
          <w:rFonts w:asciiTheme="minorBidi" w:hAnsiTheme="minorBidi"/>
          <w:rtl/>
        </w:rPr>
        <w:t xml:space="preserve"> ניטל חודה או חור שלה, אסור</w:t>
      </w:r>
      <w:r w:rsidR="00FF0175">
        <w:rPr>
          <w:rStyle w:val="a9"/>
          <w:rFonts w:asciiTheme="minorBidi" w:hAnsiTheme="minorBidi"/>
          <w:rtl/>
        </w:rPr>
        <w:footnoteReference w:id="1420"/>
      </w:r>
      <w:r w:rsidRPr="005275DF">
        <w:rPr>
          <w:rFonts w:asciiTheme="minorBidi" w:hAnsiTheme="minorBidi"/>
          <w:rtl/>
        </w:rPr>
        <w:t xml:space="preserve">. וחדשה שלא ניקבה עדיין, מותר. </w:t>
      </w:r>
    </w:p>
    <w:p w14:paraId="19D782C9" w14:textId="77777777" w:rsidR="000C6229" w:rsidRPr="005275DF" w:rsidRDefault="000C6229" w:rsidP="00434A6A">
      <w:pPr>
        <w:rPr>
          <w:rFonts w:asciiTheme="minorBidi" w:hAnsiTheme="minorBidi"/>
          <w:rtl/>
        </w:rPr>
      </w:pPr>
    </w:p>
    <w:p w14:paraId="7BC11AE1" w14:textId="418CB8D9" w:rsidR="000C6229" w:rsidRDefault="000C6229" w:rsidP="00434A6A">
      <w:pPr>
        <w:pStyle w:val="2"/>
        <w:rPr>
          <w:rtl/>
        </w:rPr>
      </w:pPr>
      <w:r w:rsidRPr="005275DF">
        <w:rPr>
          <w:rtl/>
        </w:rPr>
        <w:t>סעיף יב</w:t>
      </w:r>
      <w:r w:rsidR="00F63421">
        <w:rPr>
          <w:rFonts w:hint="cs"/>
          <w:rtl/>
        </w:rPr>
        <w:t>:</w:t>
      </w:r>
      <w:r w:rsidR="008868B6">
        <w:rPr>
          <w:rFonts w:hint="cs"/>
          <w:rtl/>
        </w:rPr>
        <w:t xml:space="preserve"> שיירי מחצלאות.</w:t>
      </w:r>
    </w:p>
    <w:p w14:paraId="2AB456CD" w14:textId="53DB7161" w:rsidR="002876E4" w:rsidRDefault="002876E4" w:rsidP="00434A6A">
      <w:pPr>
        <w:rPr>
          <w:rFonts w:cs="Arial"/>
          <w:rtl/>
        </w:rPr>
      </w:pPr>
      <w:r w:rsidRPr="002A45F7">
        <w:rPr>
          <w:rFonts w:hint="cs"/>
          <w:b/>
          <w:bCs/>
          <w:rtl/>
        </w:rPr>
        <w:t xml:space="preserve">שבת </w:t>
      </w:r>
      <w:r>
        <w:rPr>
          <w:rFonts w:hint="cs"/>
          <w:b/>
          <w:bCs/>
          <w:sz w:val="16"/>
          <w:szCs w:val="16"/>
          <w:rtl/>
        </w:rPr>
        <w:t>(פ' כל הכלים)</w:t>
      </w:r>
      <w:r>
        <w:rPr>
          <w:rFonts w:hint="cs"/>
          <w:b/>
          <w:bCs/>
          <w:rtl/>
        </w:rPr>
        <w:t xml:space="preserve"> קכה</w:t>
      </w:r>
      <w:r w:rsidR="000A358A">
        <w:rPr>
          <w:rStyle w:val="a9"/>
          <w:b/>
          <w:bCs/>
          <w:rtl/>
        </w:rPr>
        <w:footnoteReference w:id="1421"/>
      </w:r>
      <w:r w:rsidRPr="002A45F7">
        <w:rPr>
          <w:rFonts w:hint="cs"/>
          <w:b/>
          <w:bCs/>
          <w:rtl/>
        </w:rPr>
        <w:t xml:space="preserve"> ע"</w:t>
      </w:r>
      <w:r>
        <w:rPr>
          <w:rFonts w:hint="cs"/>
          <w:b/>
          <w:bCs/>
          <w:rtl/>
        </w:rPr>
        <w:t>א</w:t>
      </w:r>
      <w:r w:rsidRPr="002A45F7">
        <w:rPr>
          <w:rFonts w:hint="cs"/>
          <w:b/>
          <w:bCs/>
          <w:rtl/>
        </w:rPr>
        <w:t>:</w:t>
      </w:r>
      <w:r>
        <w:rPr>
          <w:rFonts w:cs="Arial" w:hint="cs"/>
          <w:rtl/>
        </w:rPr>
        <w:t xml:space="preserve"> </w:t>
      </w:r>
      <w:r w:rsidRPr="002876E4">
        <w:rPr>
          <w:rFonts w:cs="Arial"/>
          <w:u w:val="single"/>
          <w:rtl/>
        </w:rPr>
        <w:t>אמר בר המדורי אמר שמואל</w:t>
      </w:r>
      <w:r w:rsidRPr="002876E4">
        <w:rPr>
          <w:rFonts w:cs="Arial"/>
          <w:rtl/>
        </w:rPr>
        <w:t xml:space="preserve">: קרומיות של מחצלת מותר לטלטלם בשבת. מאי טעמא? </w:t>
      </w:r>
      <w:r w:rsidRPr="002876E4">
        <w:rPr>
          <w:rFonts w:cs="Arial"/>
          <w:u w:val="single"/>
          <w:rtl/>
        </w:rPr>
        <w:t>אמר רבא</w:t>
      </w:r>
      <w:r>
        <w:rPr>
          <w:rFonts w:cs="Arial" w:hint="cs"/>
          <w:rtl/>
        </w:rPr>
        <w:t>:</w:t>
      </w:r>
      <w:r w:rsidRPr="002876E4">
        <w:rPr>
          <w:rFonts w:cs="Arial"/>
          <w:rtl/>
        </w:rPr>
        <w:t xml:space="preserve"> בר המדורי</w:t>
      </w:r>
      <w:r>
        <w:rPr>
          <w:rStyle w:val="a9"/>
          <w:rFonts w:cs="Arial"/>
          <w:rtl/>
        </w:rPr>
        <w:footnoteReference w:id="1422"/>
      </w:r>
      <w:r w:rsidRPr="002876E4">
        <w:rPr>
          <w:rFonts w:cs="Arial"/>
          <w:rtl/>
        </w:rPr>
        <w:t xml:space="preserve"> אסברא לי: מחצלת גופא למאי חזיא - לכסויי ביה עפרא, הני נמי חזיין לכסויי בהו טינופת. </w:t>
      </w:r>
    </w:p>
    <w:p w14:paraId="4E9C2643" w14:textId="2ABDB0F3" w:rsidR="008868B6" w:rsidRPr="008868B6" w:rsidRDefault="008868B6" w:rsidP="00434A6A">
      <w:pPr>
        <w:rPr>
          <w:u w:val="single"/>
          <w:rtl/>
        </w:rPr>
      </w:pPr>
      <w:r w:rsidRPr="008868B6">
        <w:rPr>
          <w:rFonts w:hint="cs"/>
          <w:u w:val="single"/>
          <w:rtl/>
        </w:rPr>
        <w:t>טלטול שיירי מחצלאות:</w:t>
      </w:r>
    </w:p>
    <w:p w14:paraId="4E4D528A" w14:textId="7EF6D56C" w:rsidR="002876E4" w:rsidRPr="005010EA" w:rsidRDefault="005010EA" w:rsidP="00434A6A">
      <w:pPr>
        <w:pStyle w:val="aa"/>
        <w:numPr>
          <w:ilvl w:val="0"/>
          <w:numId w:val="3"/>
        </w:numPr>
        <w:rPr>
          <w:rFonts w:cs="Arial"/>
        </w:rPr>
      </w:pPr>
      <w:r>
        <w:rPr>
          <w:rFonts w:cs="Arial" w:hint="cs"/>
          <w:rtl/>
        </w:rPr>
        <w:t xml:space="preserve">רמב"ם </w:t>
      </w:r>
      <w:r>
        <w:rPr>
          <w:rFonts w:cs="Arial" w:hint="cs"/>
          <w:sz w:val="16"/>
          <w:szCs w:val="16"/>
          <w:rtl/>
        </w:rPr>
        <w:t>(פכ"ו ה"ו)</w:t>
      </w:r>
      <w:r>
        <w:rPr>
          <w:rFonts w:cs="Arial" w:hint="cs"/>
          <w:rtl/>
        </w:rPr>
        <w:t xml:space="preserve"> וטור- </w:t>
      </w:r>
      <w:r w:rsidRPr="004E057C">
        <w:rPr>
          <w:rFonts w:cs="Arial"/>
          <w:rtl/>
        </w:rPr>
        <w:t>שירי מחצלאות שבלו הרי הן ככלי שמלאכתו להיתר</w:t>
      </w:r>
      <w:r>
        <w:rPr>
          <w:rFonts w:cs="Arial" w:hint="cs"/>
          <w:rtl/>
        </w:rPr>
        <w:t>,</w:t>
      </w:r>
      <w:r w:rsidRPr="004E057C">
        <w:rPr>
          <w:rFonts w:cs="Arial"/>
          <w:rtl/>
        </w:rPr>
        <w:t xml:space="preserve"> מפני שראויין לכסות בהן הטינוף</w:t>
      </w:r>
      <w:r>
        <w:rPr>
          <w:rFonts w:cs="Arial" w:hint="cs"/>
          <w:sz w:val="16"/>
          <w:szCs w:val="16"/>
          <w:rtl/>
        </w:rPr>
        <w:t xml:space="preserve"> (ל' הרמב"ם)</w:t>
      </w:r>
      <w:r>
        <w:rPr>
          <w:rFonts w:cs="Arial" w:hint="cs"/>
          <w:rtl/>
        </w:rPr>
        <w:t>.</w:t>
      </w:r>
      <w:r w:rsidR="002876E4" w:rsidRPr="005010EA">
        <w:rPr>
          <w:rFonts w:cs="Arial" w:hint="cs"/>
          <w:color w:val="E36C0A" w:themeColor="accent6" w:themeShade="BF"/>
          <w:rtl/>
        </w:rPr>
        <w:t xml:space="preserve"> (וכ"פ בשו"ע)</w:t>
      </w:r>
    </w:p>
    <w:p w14:paraId="291CDCEE" w14:textId="04F0859A" w:rsidR="002876E4" w:rsidRPr="002876E4" w:rsidRDefault="002876E4" w:rsidP="00434A6A">
      <w:pPr>
        <w:ind w:left="360"/>
        <w:rPr>
          <w:rFonts w:cs="Arial"/>
          <w:u w:val="dotted"/>
        </w:rPr>
      </w:pPr>
      <w:r w:rsidRPr="002876E4">
        <w:rPr>
          <w:rFonts w:cs="Arial" w:hint="cs"/>
          <w:u w:val="dotted"/>
          <w:rtl/>
        </w:rPr>
        <w:t>ומה הדין א</w:t>
      </w:r>
      <w:r w:rsidRPr="002876E4">
        <w:rPr>
          <w:rFonts w:cs="Arial"/>
          <w:u w:val="dotted"/>
          <w:rtl/>
        </w:rPr>
        <w:t>ם זרקן</w:t>
      </w:r>
      <w:r>
        <w:rPr>
          <w:rFonts w:cs="Arial" w:hint="cs"/>
          <w:u w:val="dotted"/>
          <w:rtl/>
        </w:rPr>
        <w:t xml:space="preserve"> לאשפה מבעוד יום</w:t>
      </w:r>
      <w:r w:rsidRPr="002876E4">
        <w:rPr>
          <w:rFonts w:cs="Arial" w:hint="cs"/>
          <w:u w:val="dotted"/>
          <w:rtl/>
        </w:rPr>
        <w:t>:</w:t>
      </w:r>
    </w:p>
    <w:p w14:paraId="09318AC0" w14:textId="0D57F950" w:rsidR="00F63421" w:rsidRPr="002876E4" w:rsidRDefault="002876E4" w:rsidP="00434A6A">
      <w:pPr>
        <w:pStyle w:val="aa"/>
        <w:numPr>
          <w:ilvl w:val="0"/>
          <w:numId w:val="3"/>
        </w:numPr>
        <w:rPr>
          <w:rFonts w:cs="Arial"/>
          <w:rtl/>
        </w:rPr>
      </w:pPr>
      <w:r>
        <w:rPr>
          <w:rFonts w:cs="Arial" w:hint="cs"/>
          <w:rtl/>
        </w:rPr>
        <w:t xml:space="preserve">הה"מ </w:t>
      </w:r>
      <w:r w:rsidRPr="002876E4">
        <w:rPr>
          <w:rFonts w:cs="Arial" w:hint="cs"/>
          <w:sz w:val="16"/>
          <w:szCs w:val="16"/>
          <w:rtl/>
        </w:rPr>
        <w:t>(</w:t>
      </w:r>
      <w:r w:rsidR="00F63421" w:rsidRPr="002876E4">
        <w:rPr>
          <w:rFonts w:cs="Arial"/>
          <w:sz w:val="16"/>
          <w:szCs w:val="16"/>
          <w:rtl/>
        </w:rPr>
        <w:t xml:space="preserve">פכ"ו ה"ו) </w:t>
      </w:r>
      <w:r w:rsidR="00F63421" w:rsidRPr="002876E4">
        <w:rPr>
          <w:rFonts w:cs="Arial"/>
          <w:rtl/>
        </w:rPr>
        <w:t xml:space="preserve">בשם הרמב"ן </w:t>
      </w:r>
      <w:r w:rsidR="00F63421" w:rsidRPr="002876E4">
        <w:rPr>
          <w:rFonts w:cs="Arial"/>
          <w:sz w:val="16"/>
          <w:szCs w:val="16"/>
          <w:rtl/>
        </w:rPr>
        <w:t>(קכד: ד"ה הא)</w:t>
      </w:r>
      <w:r>
        <w:rPr>
          <w:rFonts w:cs="Arial" w:hint="cs"/>
          <w:rtl/>
        </w:rPr>
        <w:t>- א</w:t>
      </w:r>
      <w:r w:rsidR="00F63421" w:rsidRPr="002876E4">
        <w:rPr>
          <w:rFonts w:cs="Arial"/>
          <w:rtl/>
        </w:rPr>
        <w:t xml:space="preserve">ם היו קרומיות מבעוד יום וזרקן </w:t>
      </w:r>
      <w:r>
        <w:rPr>
          <w:rFonts w:cs="Arial" w:hint="cs"/>
          <w:rtl/>
        </w:rPr>
        <w:t xml:space="preserve">- </w:t>
      </w:r>
      <w:r w:rsidR="00F63421" w:rsidRPr="002876E4">
        <w:rPr>
          <w:rFonts w:cs="Arial"/>
          <w:rtl/>
        </w:rPr>
        <w:t>אסורין</w:t>
      </w:r>
      <w:r>
        <w:rPr>
          <w:rFonts w:cs="Arial" w:hint="cs"/>
          <w:rtl/>
        </w:rPr>
        <w:t>,</w:t>
      </w:r>
      <w:r w:rsidR="00F63421" w:rsidRPr="002876E4">
        <w:rPr>
          <w:rFonts w:cs="Arial"/>
          <w:rtl/>
        </w:rPr>
        <w:t xml:space="preserve"> דהוו להו כצרורות שבחצר</w:t>
      </w:r>
      <w:r w:rsidR="000A358A">
        <w:rPr>
          <w:rFonts w:cs="Arial" w:hint="cs"/>
          <w:rtl/>
        </w:rPr>
        <w:t>,</w:t>
      </w:r>
      <w:r w:rsidR="00F63421" w:rsidRPr="002876E4">
        <w:rPr>
          <w:rFonts w:cs="Arial"/>
          <w:rtl/>
        </w:rPr>
        <w:t xml:space="preserve"> ודמיא לשברי חביות שזרקן לאשפה מבעוד יום דאסירי</w:t>
      </w:r>
      <w:r w:rsidRPr="002876E4">
        <w:rPr>
          <w:rFonts w:cs="Arial" w:hint="cs"/>
          <w:rtl/>
        </w:rPr>
        <w:t>.</w:t>
      </w:r>
      <w:r w:rsidRPr="002876E4">
        <w:rPr>
          <w:rFonts w:cs="Arial" w:hint="cs"/>
          <w:color w:val="E36C0A" w:themeColor="accent6" w:themeShade="BF"/>
          <w:rtl/>
        </w:rPr>
        <w:t xml:space="preserve"> </w:t>
      </w:r>
      <w:r w:rsidRPr="00FF0175">
        <w:rPr>
          <w:rFonts w:cs="Arial" w:hint="cs"/>
          <w:color w:val="E36C0A" w:themeColor="accent6" w:themeShade="BF"/>
          <w:rtl/>
        </w:rPr>
        <w:t>(וכ"פ בשו"ע)</w:t>
      </w:r>
    </w:p>
    <w:p w14:paraId="4CA498C1"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6184F602" w14:textId="2067CB99" w:rsidR="000C6229" w:rsidRPr="005275DF" w:rsidRDefault="000C6229" w:rsidP="00434A6A">
      <w:pPr>
        <w:rPr>
          <w:rFonts w:asciiTheme="minorBidi" w:hAnsiTheme="minorBidi"/>
          <w:rtl/>
        </w:rPr>
      </w:pPr>
      <w:r w:rsidRPr="005275DF">
        <w:rPr>
          <w:rFonts w:asciiTheme="minorBidi" w:hAnsiTheme="minorBidi"/>
          <w:rtl/>
        </w:rPr>
        <w:t>שירי מחצלאות</w:t>
      </w:r>
      <w:r w:rsidR="002876E4">
        <w:rPr>
          <w:rStyle w:val="a9"/>
          <w:rFonts w:asciiTheme="minorBidi" w:hAnsiTheme="minorBidi"/>
          <w:rtl/>
        </w:rPr>
        <w:footnoteReference w:id="1423"/>
      </w:r>
      <w:r w:rsidRPr="005275DF">
        <w:rPr>
          <w:rFonts w:asciiTheme="minorBidi" w:hAnsiTheme="minorBidi"/>
          <w:rtl/>
        </w:rPr>
        <w:t>, מותר לטלטלם</w:t>
      </w:r>
      <w:r w:rsidR="00994C84">
        <w:rPr>
          <w:rStyle w:val="a9"/>
          <w:rFonts w:asciiTheme="minorBidi" w:hAnsiTheme="minorBidi"/>
          <w:rtl/>
        </w:rPr>
        <w:footnoteReference w:id="1424"/>
      </w:r>
      <w:r w:rsidRPr="005275DF">
        <w:rPr>
          <w:rFonts w:asciiTheme="minorBidi" w:hAnsiTheme="minorBidi"/>
          <w:rtl/>
        </w:rPr>
        <w:t xml:space="preserve"> דחזי לכסות בהו טינופא</w:t>
      </w:r>
      <w:r w:rsidR="00BE6400">
        <w:rPr>
          <w:rFonts w:asciiTheme="minorBidi" w:hAnsiTheme="minorBidi" w:hint="cs"/>
          <w:rtl/>
        </w:rPr>
        <w:t>.</w:t>
      </w:r>
      <w:r w:rsidRPr="005275DF">
        <w:rPr>
          <w:rFonts w:asciiTheme="minorBidi" w:hAnsiTheme="minorBidi"/>
          <w:rtl/>
        </w:rPr>
        <w:t xml:space="preserve"> ואם זרקן לאשפה</w:t>
      </w:r>
      <w:r w:rsidR="00994C84">
        <w:rPr>
          <w:rStyle w:val="a9"/>
          <w:rFonts w:asciiTheme="minorBidi" w:hAnsiTheme="minorBidi"/>
          <w:rtl/>
        </w:rPr>
        <w:footnoteReference w:id="1425"/>
      </w:r>
      <w:r w:rsidRPr="005275DF">
        <w:rPr>
          <w:rFonts w:asciiTheme="minorBidi" w:hAnsiTheme="minorBidi"/>
          <w:rtl/>
        </w:rPr>
        <w:t xml:space="preserve"> מב</w:t>
      </w:r>
      <w:r w:rsidR="00BE6400">
        <w:rPr>
          <w:rFonts w:asciiTheme="minorBidi" w:hAnsiTheme="minorBidi" w:hint="cs"/>
          <w:rtl/>
        </w:rPr>
        <w:t>עוד יום</w:t>
      </w:r>
      <w:r w:rsidRPr="005275DF">
        <w:rPr>
          <w:rFonts w:asciiTheme="minorBidi" w:hAnsiTheme="minorBidi"/>
          <w:rtl/>
        </w:rPr>
        <w:t xml:space="preserve">, אסור לטלטלם. </w:t>
      </w:r>
    </w:p>
    <w:p w14:paraId="44DE9905" w14:textId="77777777" w:rsidR="000C6229" w:rsidRPr="005275DF" w:rsidRDefault="000C6229" w:rsidP="00434A6A">
      <w:pPr>
        <w:rPr>
          <w:rFonts w:asciiTheme="minorBidi" w:hAnsiTheme="minorBidi"/>
          <w:rtl/>
        </w:rPr>
      </w:pPr>
    </w:p>
    <w:p w14:paraId="2AA13D0B" w14:textId="2754F161" w:rsidR="000C6229" w:rsidRDefault="000C6229" w:rsidP="00434A6A">
      <w:pPr>
        <w:pStyle w:val="2"/>
        <w:rPr>
          <w:rtl/>
        </w:rPr>
      </w:pPr>
      <w:r w:rsidRPr="005275DF">
        <w:rPr>
          <w:rtl/>
        </w:rPr>
        <w:t>סעיף יג</w:t>
      </w:r>
      <w:r w:rsidR="00F63421">
        <w:rPr>
          <w:rFonts w:hint="cs"/>
          <w:rtl/>
        </w:rPr>
        <w:t>:</w:t>
      </w:r>
      <w:r w:rsidR="008868B6">
        <w:rPr>
          <w:rFonts w:hint="cs"/>
          <w:rtl/>
        </w:rPr>
        <w:t xml:space="preserve"> שיירי מטלניות.</w:t>
      </w:r>
    </w:p>
    <w:p w14:paraId="2A2F3EF2" w14:textId="13F4491C" w:rsidR="004E057C" w:rsidRDefault="004E057C" w:rsidP="00434A6A">
      <w:pPr>
        <w:rPr>
          <w:rFonts w:cs="Arial"/>
          <w:rtl/>
        </w:rPr>
      </w:pPr>
      <w:r>
        <w:rPr>
          <w:rFonts w:hint="cs"/>
          <w:b/>
          <w:bCs/>
          <w:rtl/>
        </w:rPr>
        <w:t>ש</w:t>
      </w:r>
      <w:r w:rsidRPr="002A45F7">
        <w:rPr>
          <w:rFonts w:hint="cs"/>
          <w:b/>
          <w:bCs/>
          <w:rtl/>
        </w:rPr>
        <w:t xml:space="preserve">בת </w:t>
      </w:r>
      <w:r>
        <w:rPr>
          <w:rFonts w:hint="cs"/>
          <w:b/>
          <w:bCs/>
          <w:sz w:val="16"/>
          <w:szCs w:val="16"/>
          <w:rtl/>
        </w:rPr>
        <w:t>(פ' כל הכלים)</w:t>
      </w:r>
      <w:r>
        <w:rPr>
          <w:rFonts w:hint="cs"/>
          <w:b/>
          <w:bCs/>
          <w:rtl/>
        </w:rPr>
        <w:t xml:space="preserve"> קכה</w:t>
      </w:r>
      <w:r w:rsidRPr="002A45F7">
        <w:rPr>
          <w:rFonts w:hint="cs"/>
          <w:b/>
          <w:bCs/>
          <w:rtl/>
        </w:rPr>
        <w:t xml:space="preserve"> ע"</w:t>
      </w:r>
      <w:r>
        <w:rPr>
          <w:rFonts w:hint="cs"/>
          <w:b/>
          <w:bCs/>
          <w:rtl/>
        </w:rPr>
        <w:t>א</w:t>
      </w:r>
      <w:r w:rsidRPr="002A45F7">
        <w:rPr>
          <w:rFonts w:hint="cs"/>
          <w:b/>
          <w:bCs/>
          <w:rtl/>
        </w:rPr>
        <w:t>:</w:t>
      </w:r>
      <w:r w:rsidRPr="004E057C">
        <w:rPr>
          <w:rtl/>
        </w:rPr>
        <w:t xml:space="preserve"> </w:t>
      </w:r>
      <w:r w:rsidRPr="004E057C">
        <w:rPr>
          <w:rFonts w:cs="Arial"/>
          <w:u w:val="single"/>
          <w:rtl/>
        </w:rPr>
        <w:t>אמר רבי זירא אמר רב</w:t>
      </w:r>
      <w:r w:rsidRPr="004E057C">
        <w:rPr>
          <w:rFonts w:cs="Arial"/>
          <w:rtl/>
        </w:rPr>
        <w:t>: שירי פרוזמיות</w:t>
      </w:r>
      <w:r w:rsidR="00A47EEC">
        <w:rPr>
          <w:rStyle w:val="a9"/>
          <w:rFonts w:cs="Arial"/>
          <w:rtl/>
        </w:rPr>
        <w:footnoteReference w:id="1426"/>
      </w:r>
      <w:r w:rsidR="00A47EEC">
        <w:rPr>
          <w:rFonts w:cs="Arial" w:hint="cs"/>
          <w:rtl/>
        </w:rPr>
        <w:t xml:space="preserve"> -</w:t>
      </w:r>
      <w:r w:rsidRPr="004E057C">
        <w:rPr>
          <w:rFonts w:cs="Arial"/>
          <w:rtl/>
        </w:rPr>
        <w:t xml:space="preserve"> אסור לטלטלן בשבת. </w:t>
      </w:r>
      <w:r w:rsidRPr="004E057C">
        <w:rPr>
          <w:rFonts w:cs="Arial"/>
          <w:u w:val="single"/>
          <w:rtl/>
        </w:rPr>
        <w:t>אמר אביי</w:t>
      </w:r>
      <w:r w:rsidRPr="004E057C">
        <w:rPr>
          <w:rFonts w:cs="Arial"/>
          <w:rtl/>
        </w:rPr>
        <w:t xml:space="preserve">: במטלניות שאין בהן שלש על שלש, דלא חזיין לא לעניים ולא לעשירים. </w:t>
      </w:r>
    </w:p>
    <w:p w14:paraId="00BCEDD5" w14:textId="340B0D16" w:rsidR="008868B6" w:rsidRPr="008868B6" w:rsidRDefault="008868B6" w:rsidP="00434A6A">
      <w:pPr>
        <w:rPr>
          <w:u w:val="single"/>
          <w:rtl/>
        </w:rPr>
      </w:pPr>
      <w:r w:rsidRPr="008868B6">
        <w:rPr>
          <w:rFonts w:hint="cs"/>
          <w:u w:val="single"/>
          <w:rtl/>
        </w:rPr>
        <w:t>טלטול שיירי מטלניות:</w:t>
      </w:r>
    </w:p>
    <w:p w14:paraId="5D31E5CE" w14:textId="446B0CC3" w:rsidR="004E057C" w:rsidRPr="00CF1981" w:rsidRDefault="00CF1981" w:rsidP="00434A6A">
      <w:pPr>
        <w:pStyle w:val="aa"/>
        <w:numPr>
          <w:ilvl w:val="0"/>
          <w:numId w:val="3"/>
        </w:numPr>
        <w:rPr>
          <w:rFonts w:cs="Arial"/>
        </w:rPr>
      </w:pPr>
      <w:r>
        <w:rPr>
          <w:rFonts w:cs="Arial" w:hint="cs"/>
          <w:rtl/>
        </w:rPr>
        <w:t>רמב"ם</w:t>
      </w:r>
      <w:r>
        <w:rPr>
          <w:rStyle w:val="a9"/>
          <w:rFonts w:cs="Arial"/>
          <w:rtl/>
        </w:rPr>
        <w:footnoteReference w:id="1427"/>
      </w:r>
      <w:r>
        <w:rPr>
          <w:rFonts w:cs="Arial" w:hint="cs"/>
          <w:rtl/>
        </w:rPr>
        <w:t xml:space="preserve"> </w:t>
      </w:r>
      <w:r>
        <w:rPr>
          <w:rFonts w:cs="Arial" w:hint="cs"/>
          <w:sz w:val="16"/>
          <w:szCs w:val="16"/>
          <w:rtl/>
        </w:rPr>
        <w:t>(פכ"ו ה"ו)</w:t>
      </w:r>
      <w:r>
        <w:rPr>
          <w:rFonts w:cs="Arial" w:hint="cs"/>
          <w:rtl/>
        </w:rPr>
        <w:t xml:space="preserve"> ו</w:t>
      </w:r>
      <w:r w:rsidR="00BE6400" w:rsidRPr="00BE6400">
        <w:rPr>
          <w:rFonts w:cs="Arial" w:hint="cs"/>
          <w:rtl/>
        </w:rPr>
        <w:t xml:space="preserve">טור- </w:t>
      </w:r>
      <w:r w:rsidR="00A67912" w:rsidRPr="00BE6400">
        <w:rPr>
          <w:rFonts w:cs="Arial"/>
          <w:rtl/>
        </w:rPr>
        <w:t>שירי מטלניות שבלו</w:t>
      </w:r>
      <w:r w:rsidR="00C90576">
        <w:rPr>
          <w:rFonts w:cs="Arial" w:hint="cs"/>
          <w:rtl/>
        </w:rPr>
        <w:t>,</w:t>
      </w:r>
      <w:r w:rsidR="00A67912" w:rsidRPr="00BE6400">
        <w:rPr>
          <w:rFonts w:cs="Arial"/>
          <w:rtl/>
        </w:rPr>
        <w:t xml:space="preserve"> אם יש בהם ג' אצבעות על ג' אצבעות </w:t>
      </w:r>
      <w:r w:rsidR="00C90576">
        <w:rPr>
          <w:rFonts w:cs="Arial" w:hint="cs"/>
          <w:rtl/>
        </w:rPr>
        <w:t xml:space="preserve">- </w:t>
      </w:r>
      <w:r w:rsidR="00A67912" w:rsidRPr="00BE6400">
        <w:rPr>
          <w:rFonts w:cs="Arial"/>
          <w:rtl/>
        </w:rPr>
        <w:t>מותר לטלטלם</w:t>
      </w:r>
      <w:r w:rsidR="00C90576">
        <w:rPr>
          <w:rFonts w:cs="Arial" w:hint="cs"/>
          <w:rtl/>
        </w:rPr>
        <w:t>,</w:t>
      </w:r>
      <w:r w:rsidR="00A67912" w:rsidRPr="00BE6400">
        <w:rPr>
          <w:rFonts w:cs="Arial"/>
          <w:rtl/>
        </w:rPr>
        <w:t xml:space="preserve"> ואם לאו </w:t>
      </w:r>
      <w:r w:rsidR="00C90576">
        <w:rPr>
          <w:rFonts w:cs="Arial" w:hint="cs"/>
          <w:rtl/>
        </w:rPr>
        <w:t xml:space="preserve">- </w:t>
      </w:r>
      <w:r w:rsidR="00A67912" w:rsidRPr="00BE6400">
        <w:rPr>
          <w:rFonts w:cs="Arial"/>
          <w:rtl/>
        </w:rPr>
        <w:t>אסורין</w:t>
      </w:r>
      <w:r>
        <w:rPr>
          <w:rFonts w:cs="Arial" w:hint="cs"/>
          <w:sz w:val="16"/>
          <w:szCs w:val="16"/>
          <w:rtl/>
        </w:rPr>
        <w:t xml:space="preserve"> (ל' הטור)</w:t>
      </w:r>
      <w:r w:rsidR="00BE6400">
        <w:rPr>
          <w:rFonts w:cs="Arial" w:hint="cs"/>
          <w:rtl/>
        </w:rPr>
        <w:t>.</w:t>
      </w:r>
      <w:r w:rsidRPr="002876E4">
        <w:rPr>
          <w:rFonts w:cs="Arial" w:hint="cs"/>
          <w:color w:val="E36C0A" w:themeColor="accent6" w:themeShade="BF"/>
          <w:rtl/>
        </w:rPr>
        <w:t xml:space="preserve"> </w:t>
      </w:r>
      <w:r w:rsidRPr="00FF0175">
        <w:rPr>
          <w:rFonts w:cs="Arial" w:hint="cs"/>
          <w:color w:val="E36C0A" w:themeColor="accent6" w:themeShade="BF"/>
          <w:rtl/>
        </w:rPr>
        <w:t>(וכ"</w:t>
      </w:r>
      <w:r w:rsidR="00573FBF">
        <w:rPr>
          <w:rFonts w:cs="Arial" w:hint="cs"/>
          <w:color w:val="E36C0A" w:themeColor="accent6" w:themeShade="BF"/>
          <w:rtl/>
        </w:rPr>
        <w:t>ס</w:t>
      </w:r>
      <w:r w:rsidRPr="00FF0175">
        <w:rPr>
          <w:rFonts w:cs="Arial" w:hint="cs"/>
          <w:color w:val="E36C0A" w:themeColor="accent6" w:themeShade="BF"/>
          <w:rtl/>
        </w:rPr>
        <w:t xml:space="preserve"> בשו"ע)</w:t>
      </w:r>
    </w:p>
    <w:p w14:paraId="795145B1" w14:textId="03953124" w:rsidR="005010EA" w:rsidRPr="00BB1924" w:rsidRDefault="005010EA" w:rsidP="00434A6A">
      <w:pPr>
        <w:pStyle w:val="aa"/>
        <w:numPr>
          <w:ilvl w:val="0"/>
          <w:numId w:val="3"/>
        </w:numPr>
        <w:rPr>
          <w:rFonts w:cs="Arial"/>
        </w:rPr>
      </w:pPr>
      <w:r w:rsidRPr="005010EA">
        <w:rPr>
          <w:rFonts w:cs="Arial"/>
          <w:rtl/>
        </w:rPr>
        <w:t xml:space="preserve">ראב"ד </w:t>
      </w:r>
      <w:r>
        <w:rPr>
          <w:rFonts w:cs="Arial" w:hint="cs"/>
          <w:sz w:val="16"/>
          <w:szCs w:val="16"/>
          <w:rtl/>
        </w:rPr>
        <w:t xml:space="preserve">(כ"כ בשמו הרשב"א </w:t>
      </w:r>
      <w:r w:rsidR="00BB1924">
        <w:rPr>
          <w:rFonts w:cs="Arial" w:hint="cs"/>
          <w:sz w:val="16"/>
          <w:szCs w:val="16"/>
          <w:rtl/>
        </w:rPr>
        <w:t xml:space="preserve">[קכה. ד"ה הא דאמר, הביאו הה"מ שם] </w:t>
      </w:r>
      <w:r>
        <w:rPr>
          <w:rFonts w:cs="Arial" w:hint="cs"/>
          <w:sz w:val="16"/>
          <w:szCs w:val="16"/>
          <w:rtl/>
        </w:rPr>
        <w:t>והר"ן [מח:</w:t>
      </w:r>
      <w:r w:rsidR="00BB1924">
        <w:rPr>
          <w:rFonts w:cs="Arial" w:hint="cs"/>
          <w:sz w:val="16"/>
          <w:szCs w:val="16"/>
          <w:rtl/>
        </w:rPr>
        <w:t xml:space="preserve"> ד"ה שירוי</w:t>
      </w:r>
      <w:r>
        <w:rPr>
          <w:rFonts w:cs="Arial" w:hint="cs"/>
          <w:sz w:val="16"/>
          <w:szCs w:val="16"/>
          <w:rtl/>
        </w:rPr>
        <w:t>])</w:t>
      </w:r>
      <w:r w:rsidRPr="005010EA">
        <w:rPr>
          <w:rFonts w:cs="Arial"/>
          <w:rtl/>
        </w:rPr>
        <w:t xml:space="preserve"> </w:t>
      </w:r>
      <w:r w:rsidR="00BB1924">
        <w:rPr>
          <w:rFonts w:cs="Arial" w:hint="cs"/>
          <w:rtl/>
        </w:rPr>
        <w:t xml:space="preserve">-יפה </w:t>
      </w:r>
      <w:r w:rsidRPr="005010EA">
        <w:rPr>
          <w:rFonts w:cs="Arial"/>
          <w:rtl/>
        </w:rPr>
        <w:t>פי</w:t>
      </w:r>
      <w:r w:rsidR="00BB1924">
        <w:rPr>
          <w:rFonts w:cs="Arial" w:hint="cs"/>
          <w:rtl/>
        </w:rPr>
        <w:t>רש</w:t>
      </w:r>
      <w:r w:rsidRPr="005010EA">
        <w:rPr>
          <w:rFonts w:cs="Arial"/>
          <w:rtl/>
        </w:rPr>
        <w:t xml:space="preserve"> הגאון בבלאות של טליתות</w:t>
      </w:r>
      <w:r w:rsidR="00BB1924">
        <w:rPr>
          <w:rFonts w:cs="Arial" w:hint="cs"/>
          <w:rtl/>
        </w:rPr>
        <w:t>,</w:t>
      </w:r>
      <w:r w:rsidRPr="005010EA">
        <w:rPr>
          <w:rFonts w:cs="Arial"/>
          <w:rtl/>
        </w:rPr>
        <w:t xml:space="preserve"> והריני מוסיף על דבריו דוקא בטליתות של מצוה</w:t>
      </w:r>
      <w:r w:rsidR="00BB1924">
        <w:rPr>
          <w:rFonts w:cs="Arial" w:hint="cs"/>
          <w:rtl/>
        </w:rPr>
        <w:t>,</w:t>
      </w:r>
      <w:r w:rsidRPr="005010EA">
        <w:rPr>
          <w:rFonts w:cs="Arial"/>
          <w:rtl/>
        </w:rPr>
        <w:t xml:space="preserve"> מפני שאדם בודל מהם ואינו רוצה לקנח עצמו בהן ולא ליחד אותם לתשמיש המגונה</w:t>
      </w:r>
      <w:r w:rsidR="0009434B">
        <w:rPr>
          <w:rFonts w:cs="Arial" w:hint="cs"/>
          <w:rtl/>
        </w:rPr>
        <w:t>,</w:t>
      </w:r>
      <w:r w:rsidRPr="005010EA">
        <w:rPr>
          <w:rFonts w:cs="Arial"/>
          <w:rtl/>
        </w:rPr>
        <w:t xml:space="preserve"> אלא שהוא זורקן והן כלין</w:t>
      </w:r>
      <w:r w:rsidR="00BB1924">
        <w:rPr>
          <w:rFonts w:cs="Arial" w:hint="cs"/>
          <w:rtl/>
        </w:rPr>
        <w:t>.</w:t>
      </w:r>
      <w:r w:rsidRPr="005010EA">
        <w:rPr>
          <w:rFonts w:cs="Arial"/>
          <w:rtl/>
        </w:rPr>
        <w:t xml:space="preserve"> אבל שיורי בגדים אחרים </w:t>
      </w:r>
      <w:r w:rsidR="00BB1924">
        <w:rPr>
          <w:rFonts w:cs="Arial" w:hint="cs"/>
          <w:rtl/>
        </w:rPr>
        <w:t xml:space="preserve">- </w:t>
      </w:r>
      <w:r w:rsidRPr="005010EA">
        <w:rPr>
          <w:rFonts w:cs="Arial"/>
          <w:rtl/>
        </w:rPr>
        <w:t>מותר לטלטלן</w:t>
      </w:r>
      <w:r w:rsidR="0009434B">
        <w:rPr>
          <w:rFonts w:cs="Arial" w:hint="cs"/>
          <w:rtl/>
        </w:rPr>
        <w:t>,</w:t>
      </w:r>
      <w:r w:rsidRPr="005010EA">
        <w:rPr>
          <w:rFonts w:cs="Arial"/>
          <w:rtl/>
        </w:rPr>
        <w:t xml:space="preserve"> דלא גריעי מחרס קטנה דחזיא לקנוחי ביה טינוף והאי נמי חזי להכי</w:t>
      </w:r>
      <w:r w:rsidR="00BB1924">
        <w:rPr>
          <w:rStyle w:val="a9"/>
          <w:rFonts w:cs="Arial"/>
          <w:rtl/>
        </w:rPr>
        <w:footnoteReference w:id="1428"/>
      </w:r>
      <w:r w:rsidR="00BB1924">
        <w:rPr>
          <w:rFonts w:cs="Arial" w:hint="cs"/>
          <w:sz w:val="16"/>
          <w:szCs w:val="16"/>
          <w:rtl/>
        </w:rPr>
        <w:t xml:space="preserve"> (ל' הר"ן בשם הראב"ד)</w:t>
      </w:r>
      <w:r w:rsidR="00BB1924" w:rsidRPr="00BB1924">
        <w:rPr>
          <w:rFonts w:cs="Arial" w:hint="cs"/>
          <w:rtl/>
        </w:rPr>
        <w:t>.</w:t>
      </w:r>
    </w:p>
    <w:p w14:paraId="657A8BD0"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295284B4" w14:textId="246658C7" w:rsidR="000C6229" w:rsidRPr="005275DF" w:rsidRDefault="000C6229" w:rsidP="00434A6A">
      <w:pPr>
        <w:rPr>
          <w:rFonts w:asciiTheme="minorBidi" w:hAnsiTheme="minorBidi"/>
          <w:rtl/>
        </w:rPr>
      </w:pPr>
      <w:r w:rsidRPr="005275DF">
        <w:rPr>
          <w:rFonts w:asciiTheme="minorBidi" w:hAnsiTheme="minorBidi"/>
          <w:rtl/>
        </w:rPr>
        <w:t>שירי מטלניות שבלו, אם יש בהם ג' אצבעות על ג</w:t>
      </w:r>
      <w:r w:rsidR="004E057C">
        <w:rPr>
          <w:rFonts w:asciiTheme="minorBidi" w:hAnsiTheme="minorBidi" w:hint="cs"/>
          <w:rtl/>
        </w:rPr>
        <w:t>' אצבעות</w:t>
      </w:r>
      <w:r w:rsidR="00CF1981">
        <w:rPr>
          <w:rStyle w:val="a9"/>
          <w:rFonts w:asciiTheme="minorBidi" w:hAnsiTheme="minorBidi"/>
          <w:rtl/>
        </w:rPr>
        <w:footnoteReference w:id="1429"/>
      </w:r>
      <w:r w:rsidRPr="005275DF">
        <w:rPr>
          <w:rFonts w:asciiTheme="minorBidi" w:hAnsiTheme="minorBidi"/>
          <w:rtl/>
        </w:rPr>
        <w:t xml:space="preserve"> מותר לטלטלן</w:t>
      </w:r>
      <w:r w:rsidR="00CF1981">
        <w:rPr>
          <w:rStyle w:val="a9"/>
          <w:rFonts w:asciiTheme="minorBidi" w:hAnsiTheme="minorBidi"/>
          <w:rtl/>
        </w:rPr>
        <w:footnoteReference w:id="1430"/>
      </w:r>
      <w:r w:rsidR="00994C84">
        <w:rPr>
          <w:rFonts w:asciiTheme="minorBidi" w:hAnsiTheme="minorBidi" w:hint="cs"/>
          <w:rtl/>
        </w:rPr>
        <w:t>.</w:t>
      </w:r>
      <w:r w:rsidRPr="005275DF">
        <w:rPr>
          <w:rFonts w:asciiTheme="minorBidi" w:hAnsiTheme="minorBidi"/>
          <w:rtl/>
        </w:rPr>
        <w:t xml:space="preserve"> וא</w:t>
      </w:r>
      <w:r w:rsidR="004E057C">
        <w:rPr>
          <w:rFonts w:asciiTheme="minorBidi" w:hAnsiTheme="minorBidi" w:hint="cs"/>
          <w:rtl/>
        </w:rPr>
        <w:t xml:space="preserve">ם </w:t>
      </w:r>
      <w:r w:rsidRPr="005275DF">
        <w:rPr>
          <w:rFonts w:asciiTheme="minorBidi" w:hAnsiTheme="minorBidi"/>
          <w:rtl/>
        </w:rPr>
        <w:t>ל</w:t>
      </w:r>
      <w:r w:rsidR="004E057C">
        <w:rPr>
          <w:rFonts w:asciiTheme="minorBidi" w:hAnsiTheme="minorBidi" w:hint="cs"/>
          <w:rtl/>
        </w:rPr>
        <w:t>או</w:t>
      </w:r>
      <w:r w:rsidRPr="005275DF">
        <w:rPr>
          <w:rFonts w:asciiTheme="minorBidi" w:hAnsiTheme="minorBidi"/>
          <w:rtl/>
        </w:rPr>
        <w:t>, אסור. ויש מתירין אפי</w:t>
      </w:r>
      <w:r w:rsidR="00CF1981">
        <w:rPr>
          <w:rFonts w:asciiTheme="minorBidi" w:hAnsiTheme="minorBidi" w:hint="cs"/>
          <w:rtl/>
        </w:rPr>
        <w:t>לו</w:t>
      </w:r>
      <w:r w:rsidRPr="005275DF">
        <w:rPr>
          <w:rFonts w:asciiTheme="minorBidi" w:hAnsiTheme="minorBidi"/>
          <w:rtl/>
        </w:rPr>
        <w:t xml:space="preserve"> אין להם ג' על ג', ובלבד שלא יהיו טליתות של מצוה. </w:t>
      </w:r>
    </w:p>
    <w:p w14:paraId="5DB9B492" w14:textId="77777777" w:rsidR="000C6229" w:rsidRPr="005275DF" w:rsidRDefault="000C6229" w:rsidP="00434A6A">
      <w:pPr>
        <w:rPr>
          <w:rFonts w:asciiTheme="minorBidi" w:hAnsiTheme="minorBidi"/>
          <w:rtl/>
        </w:rPr>
      </w:pPr>
    </w:p>
    <w:p w14:paraId="3851344F" w14:textId="21AC8AED" w:rsidR="00F63421" w:rsidRDefault="000C6229" w:rsidP="00434A6A">
      <w:pPr>
        <w:pStyle w:val="2"/>
        <w:rPr>
          <w:rtl/>
        </w:rPr>
      </w:pPr>
      <w:r w:rsidRPr="005275DF">
        <w:rPr>
          <w:rtl/>
        </w:rPr>
        <w:t>סעיף יד</w:t>
      </w:r>
      <w:r w:rsidR="00F63421">
        <w:rPr>
          <w:rFonts w:hint="cs"/>
          <w:rtl/>
        </w:rPr>
        <w:t>:</w:t>
      </w:r>
      <w:r w:rsidR="00E32989">
        <w:rPr>
          <w:rFonts w:hint="cs"/>
          <w:rtl/>
        </w:rPr>
        <w:t xml:space="preserve"> הוצאת מנעל מתוך הדפוס שלו.</w:t>
      </w:r>
    </w:p>
    <w:p w14:paraId="513BA174" w14:textId="1F4268FB" w:rsidR="009F570B" w:rsidRDefault="009F570B" w:rsidP="00434A6A">
      <w:pPr>
        <w:rPr>
          <w:rFonts w:cs="Arial"/>
          <w:rtl/>
        </w:rPr>
      </w:pPr>
      <w:r w:rsidRPr="002A45F7">
        <w:rPr>
          <w:rFonts w:hint="cs"/>
          <w:b/>
          <w:bCs/>
          <w:rtl/>
        </w:rPr>
        <w:t xml:space="preserve">שבת </w:t>
      </w:r>
      <w:r>
        <w:rPr>
          <w:rFonts w:hint="cs"/>
          <w:b/>
          <w:bCs/>
          <w:sz w:val="16"/>
          <w:szCs w:val="16"/>
          <w:rtl/>
        </w:rPr>
        <w:t>(ס"פ תולין)</w:t>
      </w:r>
      <w:r>
        <w:rPr>
          <w:rFonts w:hint="cs"/>
          <w:b/>
          <w:bCs/>
          <w:rtl/>
        </w:rPr>
        <w:t xml:space="preserve"> </w:t>
      </w:r>
      <w:r w:rsidRPr="002A45F7">
        <w:rPr>
          <w:rFonts w:hint="cs"/>
          <w:b/>
          <w:bCs/>
          <w:rtl/>
        </w:rPr>
        <w:t>ק</w:t>
      </w:r>
      <w:r>
        <w:rPr>
          <w:rFonts w:hint="cs"/>
          <w:b/>
          <w:bCs/>
          <w:rtl/>
        </w:rPr>
        <w:t>מא</w:t>
      </w:r>
      <w:r w:rsidRPr="002A45F7">
        <w:rPr>
          <w:rFonts w:hint="cs"/>
          <w:b/>
          <w:bCs/>
          <w:rtl/>
        </w:rPr>
        <w:t xml:space="preserve"> ע"</w:t>
      </w:r>
      <w:r>
        <w:rPr>
          <w:rFonts w:hint="cs"/>
          <w:b/>
          <w:bCs/>
          <w:rtl/>
        </w:rPr>
        <w:t>ב</w:t>
      </w:r>
      <w:r w:rsidRPr="002A45F7">
        <w:rPr>
          <w:rFonts w:hint="cs"/>
          <w:b/>
          <w:bCs/>
          <w:rtl/>
        </w:rPr>
        <w:t>:</w:t>
      </w:r>
      <w:r>
        <w:rPr>
          <w:rFonts w:cs="Arial" w:hint="cs"/>
          <w:rtl/>
        </w:rPr>
        <w:t xml:space="preserve"> </w:t>
      </w:r>
      <w:r w:rsidR="00E32989" w:rsidRPr="00E32989">
        <w:rPr>
          <w:rFonts w:cs="Arial"/>
          <w:rtl/>
        </w:rPr>
        <w:t>תני חדא: שומטין מנעל מעל גבי אימוס</w:t>
      </w:r>
      <w:r w:rsidR="00E32989">
        <w:rPr>
          <w:rStyle w:val="a9"/>
          <w:rFonts w:cs="Arial"/>
          <w:rtl/>
        </w:rPr>
        <w:footnoteReference w:id="1431"/>
      </w:r>
      <w:r w:rsidR="00E32989" w:rsidRPr="00E32989">
        <w:rPr>
          <w:rFonts w:cs="Arial"/>
          <w:rtl/>
        </w:rPr>
        <w:t>, ותניא אידך: אין שומטין! לא קשיא; הא - רבי אליעזר, הא - רבנן. דתנן: מנעל שעל גבי אימוס, רבי אליעזר מטהר</w:t>
      </w:r>
      <w:r w:rsidR="00E32989">
        <w:rPr>
          <w:rStyle w:val="a9"/>
          <w:rFonts w:cs="Arial"/>
          <w:rtl/>
        </w:rPr>
        <w:footnoteReference w:id="1432"/>
      </w:r>
      <w:r w:rsidR="00E32989" w:rsidRPr="00E32989">
        <w:rPr>
          <w:rFonts w:cs="Arial"/>
          <w:rtl/>
        </w:rPr>
        <w:t>, וחכמים מטמאים. הניחא לרבא, דאמר</w:t>
      </w:r>
      <w:r w:rsidR="003D09F2">
        <w:rPr>
          <w:rStyle w:val="a9"/>
          <w:rFonts w:cs="Arial"/>
          <w:rtl/>
        </w:rPr>
        <w:footnoteReference w:id="1433"/>
      </w:r>
      <w:r w:rsidR="00E32989" w:rsidRPr="00E32989">
        <w:rPr>
          <w:rFonts w:cs="Arial"/>
          <w:rtl/>
        </w:rPr>
        <w:t>: דבר שמלאכתו לאיסור, בין לצורך גופו בין לצורך מקומו - מותר, שפיר. אלא לאביי</w:t>
      </w:r>
      <w:r w:rsidR="003D09F2">
        <w:rPr>
          <w:rStyle w:val="a9"/>
          <w:rFonts w:cs="Arial"/>
          <w:rtl/>
        </w:rPr>
        <w:footnoteReference w:id="1434"/>
      </w:r>
      <w:r w:rsidR="00E32989" w:rsidRPr="00E32989">
        <w:rPr>
          <w:rFonts w:cs="Arial"/>
          <w:rtl/>
        </w:rPr>
        <w:t>, דאמר: לצורך גופו - מותר, לצורך מקומו - אסור, מאי איכא למימר? הכא במאי עסקינן - ברפוי</w:t>
      </w:r>
      <w:r w:rsidR="003D09F2">
        <w:rPr>
          <w:rStyle w:val="a9"/>
          <w:rFonts w:cs="Arial"/>
          <w:rtl/>
        </w:rPr>
        <w:footnoteReference w:id="1435"/>
      </w:r>
      <w:r w:rsidR="00E32989" w:rsidRPr="00E32989">
        <w:rPr>
          <w:rFonts w:cs="Arial"/>
          <w:rtl/>
        </w:rPr>
        <w:t>. דתניא, רבי יהודה אומר: אם היה רפוי - מותר. טעמא - דרפוי, הא לא רפוי - לא</w:t>
      </w:r>
      <w:r w:rsidR="003D09F2">
        <w:rPr>
          <w:rStyle w:val="a9"/>
          <w:rFonts w:cs="Arial"/>
          <w:rtl/>
        </w:rPr>
        <w:footnoteReference w:id="1436"/>
      </w:r>
      <w:r w:rsidR="00E32989" w:rsidRPr="00E32989">
        <w:rPr>
          <w:rFonts w:cs="Arial"/>
          <w:rtl/>
        </w:rPr>
        <w:t>. הניחא לאביי, דאמר: דבר שמלאכתו לאיסור, לצורך גופו - מותר, לצורך מקומו - אסור, שפיר. אלא לרבא, דאמר: בין לצורך גופו בין לצורך מקומו - מותר, מאי איריא רפוי? אפילו לא רפוי נמי! ההיא דרבי יהודה משום דרבי אליעזר הוא</w:t>
      </w:r>
      <w:r w:rsidR="003D09F2">
        <w:rPr>
          <w:rStyle w:val="a9"/>
          <w:rFonts w:cs="Arial"/>
          <w:rtl/>
        </w:rPr>
        <w:footnoteReference w:id="1437"/>
      </w:r>
      <w:r w:rsidR="003D09F2">
        <w:rPr>
          <w:rFonts w:cs="Arial" w:hint="cs"/>
          <w:rtl/>
        </w:rPr>
        <w:t>.</w:t>
      </w:r>
      <w:r w:rsidR="00E32989" w:rsidRPr="00E32989">
        <w:rPr>
          <w:rFonts w:cs="Arial"/>
          <w:rtl/>
        </w:rPr>
        <w:t xml:space="preserve"> דתניא, רבי יהודה אומר משום רבי אליעזר: אם היה רפוי - מותר.</w:t>
      </w:r>
    </w:p>
    <w:p w14:paraId="4171F4D6" w14:textId="0D12B658" w:rsidR="009F570B" w:rsidRPr="00E32989" w:rsidRDefault="00E32989" w:rsidP="00434A6A">
      <w:pPr>
        <w:rPr>
          <w:u w:val="single"/>
          <w:rtl/>
        </w:rPr>
      </w:pPr>
      <w:r w:rsidRPr="00E32989">
        <w:rPr>
          <w:rFonts w:hint="cs"/>
          <w:u w:val="single"/>
          <w:rtl/>
        </w:rPr>
        <w:t>הוצאת מנעל מתוך הדפוס שלו:</w:t>
      </w:r>
    </w:p>
    <w:p w14:paraId="1E508A6D" w14:textId="398B9E4A" w:rsidR="00A67912" w:rsidRPr="00BE6400" w:rsidRDefault="00BE6400" w:rsidP="00434A6A">
      <w:pPr>
        <w:pStyle w:val="aa"/>
        <w:numPr>
          <w:ilvl w:val="0"/>
          <w:numId w:val="3"/>
        </w:numPr>
        <w:rPr>
          <w:rFonts w:cs="Arial"/>
          <w:rtl/>
        </w:rPr>
      </w:pPr>
      <w:r w:rsidRPr="00BE6400">
        <w:rPr>
          <w:rFonts w:cs="Arial" w:hint="cs"/>
          <w:rtl/>
        </w:rPr>
        <w:t xml:space="preserve">טור- </w:t>
      </w:r>
      <w:r w:rsidR="00A67912" w:rsidRPr="00BE6400">
        <w:rPr>
          <w:rFonts w:cs="Arial"/>
          <w:rtl/>
        </w:rPr>
        <w:t>מנעל חדש מותר לשמטן מעל הדפוס אע"פ שמלאכתו לאיסור</w:t>
      </w:r>
      <w:r w:rsidR="00E54BA7">
        <w:rPr>
          <w:rFonts w:cs="Arial" w:hint="cs"/>
          <w:rtl/>
        </w:rPr>
        <w:t>,</w:t>
      </w:r>
      <w:r w:rsidR="00A67912" w:rsidRPr="00BE6400">
        <w:rPr>
          <w:rFonts w:cs="Arial"/>
          <w:rtl/>
        </w:rPr>
        <w:t xml:space="preserve"> כיון דשם כלי עליו מותר לטלטלו לצורך מקומו</w:t>
      </w:r>
      <w:r w:rsidRPr="00BE6400">
        <w:rPr>
          <w:rFonts w:cs="Arial" w:hint="cs"/>
          <w:rtl/>
        </w:rPr>
        <w:t>.</w:t>
      </w:r>
      <w:r w:rsidR="00A67912" w:rsidRPr="00BE6400">
        <w:rPr>
          <w:rFonts w:cs="Arial"/>
          <w:rtl/>
        </w:rPr>
        <w:t xml:space="preserve"> </w:t>
      </w:r>
      <w:r w:rsidR="0019227A" w:rsidRPr="00FF0175">
        <w:rPr>
          <w:rFonts w:cs="Arial" w:hint="cs"/>
          <w:color w:val="E36C0A" w:themeColor="accent6" w:themeShade="BF"/>
          <w:rtl/>
        </w:rPr>
        <w:t>(וכ"פ בשו"ע)</w:t>
      </w:r>
    </w:p>
    <w:p w14:paraId="7E9737FB"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0A4BA6ED" w14:textId="0C898099" w:rsidR="000C6229" w:rsidRPr="005275DF" w:rsidRDefault="000C6229" w:rsidP="00434A6A">
      <w:pPr>
        <w:rPr>
          <w:rFonts w:asciiTheme="minorBidi" w:hAnsiTheme="minorBidi"/>
          <w:rtl/>
        </w:rPr>
      </w:pPr>
      <w:r w:rsidRPr="005275DF">
        <w:rPr>
          <w:rFonts w:asciiTheme="minorBidi" w:hAnsiTheme="minorBidi"/>
          <w:rtl/>
        </w:rPr>
        <w:t>מנעל חדש</w:t>
      </w:r>
      <w:r w:rsidR="00E54BA7">
        <w:rPr>
          <w:rStyle w:val="a9"/>
          <w:rFonts w:asciiTheme="minorBidi" w:hAnsiTheme="minorBidi"/>
          <w:rtl/>
        </w:rPr>
        <w:footnoteReference w:id="1438"/>
      </w:r>
      <w:r w:rsidRPr="005275DF">
        <w:rPr>
          <w:rFonts w:asciiTheme="minorBidi" w:hAnsiTheme="minorBidi"/>
          <w:rtl/>
        </w:rPr>
        <w:t xml:space="preserve"> מותר לשמטו מעל הדפוס</w:t>
      </w:r>
      <w:r w:rsidR="00E54BA7">
        <w:rPr>
          <w:rStyle w:val="a9"/>
          <w:rFonts w:asciiTheme="minorBidi" w:hAnsiTheme="minorBidi"/>
          <w:rtl/>
        </w:rPr>
        <w:footnoteReference w:id="1439"/>
      </w:r>
      <w:r w:rsidRPr="005275DF">
        <w:rPr>
          <w:rFonts w:asciiTheme="minorBidi" w:hAnsiTheme="minorBidi"/>
          <w:rtl/>
        </w:rPr>
        <w:t xml:space="preserve">, אף על פי שמלאכתו לאיסור, כיון דשם כלי עליו מותר לטלטלו לצורך מקומו. </w:t>
      </w:r>
    </w:p>
    <w:p w14:paraId="134F86A0" w14:textId="77777777" w:rsidR="000C6229" w:rsidRPr="005275DF" w:rsidRDefault="000C6229" w:rsidP="00434A6A">
      <w:pPr>
        <w:rPr>
          <w:rFonts w:asciiTheme="minorBidi" w:hAnsiTheme="minorBidi"/>
          <w:rtl/>
        </w:rPr>
      </w:pPr>
    </w:p>
    <w:p w14:paraId="6CEC6843" w14:textId="42F1ADDB" w:rsidR="000C6229" w:rsidRDefault="000C6229" w:rsidP="00434A6A">
      <w:pPr>
        <w:pStyle w:val="2"/>
        <w:rPr>
          <w:rtl/>
        </w:rPr>
      </w:pPr>
      <w:r w:rsidRPr="005275DF">
        <w:rPr>
          <w:rtl/>
        </w:rPr>
        <w:t>סעיף טו</w:t>
      </w:r>
      <w:r w:rsidR="00F63421">
        <w:rPr>
          <w:rFonts w:hint="cs"/>
          <w:rtl/>
        </w:rPr>
        <w:t>:</w:t>
      </w:r>
      <w:r w:rsidR="007270A1">
        <w:rPr>
          <w:rFonts w:hint="cs"/>
          <w:rtl/>
        </w:rPr>
        <w:t xml:space="preserve"> סנדל שנפסקה רצועתו.</w:t>
      </w:r>
    </w:p>
    <w:p w14:paraId="2302571C" w14:textId="30359A27" w:rsidR="00E54BA7" w:rsidRDefault="008868B6" w:rsidP="00434A6A">
      <w:pPr>
        <w:rPr>
          <w:rFonts w:cs="Arial"/>
          <w:rtl/>
        </w:rPr>
      </w:pPr>
      <w:r w:rsidRPr="002A45F7">
        <w:rPr>
          <w:rFonts w:hint="cs"/>
          <w:b/>
          <w:bCs/>
          <w:rtl/>
        </w:rPr>
        <w:t xml:space="preserve">שבת </w:t>
      </w:r>
      <w:r>
        <w:rPr>
          <w:rFonts w:hint="cs"/>
          <w:b/>
          <w:bCs/>
          <w:sz w:val="16"/>
          <w:szCs w:val="16"/>
          <w:rtl/>
        </w:rPr>
        <w:t>(</w:t>
      </w:r>
      <w:r w:rsidR="00E54BA7">
        <w:rPr>
          <w:rFonts w:hint="cs"/>
          <w:b/>
          <w:bCs/>
          <w:sz w:val="16"/>
          <w:szCs w:val="16"/>
          <w:rtl/>
        </w:rPr>
        <w:t>ר"</w:t>
      </w:r>
      <w:r>
        <w:rPr>
          <w:rFonts w:hint="cs"/>
          <w:b/>
          <w:bCs/>
          <w:sz w:val="16"/>
          <w:szCs w:val="16"/>
          <w:rtl/>
        </w:rPr>
        <w:t xml:space="preserve">פ </w:t>
      </w:r>
      <w:r w:rsidR="00E54BA7">
        <w:rPr>
          <w:rFonts w:hint="cs"/>
          <w:b/>
          <w:bCs/>
          <w:sz w:val="16"/>
          <w:szCs w:val="16"/>
          <w:rtl/>
        </w:rPr>
        <w:t>אלו קשרים</w:t>
      </w:r>
      <w:r>
        <w:rPr>
          <w:rFonts w:hint="cs"/>
          <w:b/>
          <w:bCs/>
          <w:sz w:val="16"/>
          <w:szCs w:val="16"/>
          <w:rtl/>
        </w:rPr>
        <w:t>)</w:t>
      </w:r>
      <w:r>
        <w:rPr>
          <w:rFonts w:hint="cs"/>
          <w:b/>
          <w:bCs/>
          <w:rtl/>
        </w:rPr>
        <w:t xml:space="preserve"> </w:t>
      </w:r>
      <w:r w:rsidRPr="002A45F7">
        <w:rPr>
          <w:rFonts w:hint="cs"/>
          <w:b/>
          <w:bCs/>
          <w:rtl/>
        </w:rPr>
        <w:t>ק</w:t>
      </w:r>
      <w:r w:rsidR="00E54BA7">
        <w:rPr>
          <w:rFonts w:hint="cs"/>
          <w:b/>
          <w:bCs/>
          <w:rtl/>
        </w:rPr>
        <w:t>י</w:t>
      </w:r>
      <w:r>
        <w:rPr>
          <w:rFonts w:hint="cs"/>
          <w:b/>
          <w:bCs/>
          <w:rtl/>
        </w:rPr>
        <w:t>ב</w:t>
      </w:r>
      <w:r w:rsidRPr="002A45F7">
        <w:rPr>
          <w:rFonts w:hint="cs"/>
          <w:b/>
          <w:bCs/>
          <w:rtl/>
        </w:rPr>
        <w:t xml:space="preserve"> ע"</w:t>
      </w:r>
      <w:r w:rsidR="00E54BA7">
        <w:rPr>
          <w:rFonts w:hint="cs"/>
          <w:b/>
          <w:bCs/>
          <w:rtl/>
        </w:rPr>
        <w:t>א</w:t>
      </w:r>
      <w:r w:rsidRPr="002A45F7">
        <w:rPr>
          <w:rFonts w:hint="cs"/>
          <w:b/>
          <w:bCs/>
          <w:rtl/>
        </w:rPr>
        <w:t>:</w:t>
      </w:r>
      <w:r w:rsidR="007270A1" w:rsidRPr="007270A1">
        <w:rPr>
          <w:rFonts w:cs="Arial"/>
          <w:rtl/>
        </w:rPr>
        <w:t xml:space="preserve"> </w:t>
      </w:r>
      <w:r w:rsidR="007270A1" w:rsidRPr="00B44F61">
        <w:rPr>
          <w:rFonts w:cs="Arial"/>
          <w:u w:val="single"/>
          <w:rtl/>
        </w:rPr>
        <w:t>רבי ירמיה</w:t>
      </w:r>
      <w:r w:rsidR="007270A1" w:rsidRPr="007270A1">
        <w:rPr>
          <w:rFonts w:cs="Arial"/>
          <w:rtl/>
        </w:rPr>
        <w:t xml:space="preserve"> הוה קאזיל בתריה </w:t>
      </w:r>
      <w:r w:rsidR="007270A1" w:rsidRPr="00B44F61">
        <w:rPr>
          <w:rFonts w:cs="Arial"/>
          <w:u w:val="single"/>
          <w:rtl/>
        </w:rPr>
        <w:t>דרבי אבהו</w:t>
      </w:r>
      <w:r w:rsidR="007270A1" w:rsidRPr="007270A1">
        <w:rPr>
          <w:rFonts w:cs="Arial"/>
          <w:rtl/>
        </w:rPr>
        <w:t xml:space="preserve"> בכרמלית, איפסיק רצועה </w:t>
      </w:r>
      <w:r w:rsidR="007270A1" w:rsidRPr="00B44F61">
        <w:rPr>
          <w:rFonts w:cs="Arial"/>
          <w:rtl/>
        </w:rPr>
        <w:t>דסנדליה</w:t>
      </w:r>
      <w:r w:rsidR="009E4AE5">
        <w:rPr>
          <w:rStyle w:val="a9"/>
          <w:rFonts w:cs="Arial"/>
          <w:rtl/>
        </w:rPr>
        <w:footnoteReference w:id="1440"/>
      </w:r>
      <w:r w:rsidR="007270A1" w:rsidRPr="00B44F61">
        <w:rPr>
          <w:rFonts w:cs="Arial"/>
          <w:rtl/>
        </w:rPr>
        <w:t>, אמר ליה: מאי ניעבד לה? אמר ליה: שקול גמי לח דחזי למאכל בהמה</w:t>
      </w:r>
      <w:r w:rsidR="009E4AE5">
        <w:rPr>
          <w:rStyle w:val="a9"/>
          <w:rFonts w:cs="Arial"/>
          <w:rtl/>
        </w:rPr>
        <w:footnoteReference w:id="1441"/>
      </w:r>
      <w:r w:rsidR="007270A1" w:rsidRPr="007270A1">
        <w:rPr>
          <w:rFonts w:cs="Arial"/>
          <w:rtl/>
        </w:rPr>
        <w:t xml:space="preserve">, וכרוך עילויה. </w:t>
      </w:r>
      <w:r w:rsidR="007270A1" w:rsidRPr="00B44F61">
        <w:rPr>
          <w:rFonts w:cs="Arial"/>
          <w:u w:val="single"/>
          <w:rtl/>
        </w:rPr>
        <w:t>אביי</w:t>
      </w:r>
      <w:r w:rsidR="007270A1" w:rsidRPr="007270A1">
        <w:rPr>
          <w:rFonts w:cs="Arial"/>
          <w:rtl/>
        </w:rPr>
        <w:t xml:space="preserve"> הוה קאי קמיה </w:t>
      </w:r>
      <w:r w:rsidR="007270A1" w:rsidRPr="00B44F61">
        <w:rPr>
          <w:rFonts w:cs="Arial"/>
          <w:u w:val="single"/>
          <w:rtl/>
        </w:rPr>
        <w:t>דרב יוסף</w:t>
      </w:r>
      <w:r w:rsidR="009E4AE5">
        <w:rPr>
          <w:rStyle w:val="a9"/>
          <w:rFonts w:cs="Arial"/>
          <w:rtl/>
        </w:rPr>
        <w:footnoteReference w:id="1442"/>
      </w:r>
      <w:r w:rsidR="007270A1" w:rsidRPr="007270A1">
        <w:rPr>
          <w:rFonts w:cs="Arial"/>
          <w:rtl/>
        </w:rPr>
        <w:t xml:space="preserve">, איפסיק ליה </w:t>
      </w:r>
      <w:r w:rsidR="007270A1" w:rsidRPr="00B44F61">
        <w:rPr>
          <w:rFonts w:cs="Arial"/>
          <w:rtl/>
        </w:rPr>
        <w:t xml:space="preserve">רצועה, אמר ליה: מאי איעביד ליה? אמר ליה: שבקיה. מאי שנא מדרבי ירמיה? התם לא מינטר, הכא </w:t>
      </w:r>
      <w:r w:rsidR="00B44F61" w:rsidRPr="00B44F61">
        <w:rPr>
          <w:rFonts w:cs="Arial" w:hint="cs"/>
          <w:rtl/>
        </w:rPr>
        <w:t>-</w:t>
      </w:r>
      <w:r w:rsidR="007270A1" w:rsidRPr="00B44F61">
        <w:rPr>
          <w:rFonts w:cs="Arial"/>
          <w:rtl/>
        </w:rPr>
        <w:t xml:space="preserve"> מינטר</w:t>
      </w:r>
      <w:r w:rsidR="00B1687F">
        <w:rPr>
          <w:rStyle w:val="a9"/>
          <w:rFonts w:cs="Arial"/>
          <w:rtl/>
        </w:rPr>
        <w:footnoteReference w:id="1443"/>
      </w:r>
      <w:r w:rsidR="007270A1" w:rsidRPr="00B44F61">
        <w:rPr>
          <w:rFonts w:cs="Arial" w:hint="cs"/>
          <w:rtl/>
        </w:rPr>
        <w:t>.</w:t>
      </w:r>
      <w:r w:rsidR="007270A1" w:rsidRPr="00B44F61">
        <w:rPr>
          <w:rFonts w:cs="Arial"/>
          <w:rtl/>
        </w:rPr>
        <w:t xml:space="preserve"> והא מנא הוא, דאי בעינא - הפיכנא ליה מימין לשמאל</w:t>
      </w:r>
      <w:r w:rsidR="004C0E81">
        <w:rPr>
          <w:rStyle w:val="a9"/>
          <w:rFonts w:cs="Arial"/>
          <w:rtl/>
        </w:rPr>
        <w:footnoteReference w:id="1444"/>
      </w:r>
      <w:r w:rsidR="007270A1" w:rsidRPr="00B44F61">
        <w:rPr>
          <w:rFonts w:cs="Arial"/>
          <w:rtl/>
        </w:rPr>
        <w:t>! אמר ליה: מדקמתרץ</w:t>
      </w:r>
      <w:r w:rsidR="007270A1" w:rsidRPr="007270A1">
        <w:rPr>
          <w:rFonts w:cs="Arial"/>
          <w:rtl/>
        </w:rPr>
        <w:t xml:space="preserve"> רבי יוחנן</w:t>
      </w:r>
      <w:r w:rsidR="004C0E81">
        <w:rPr>
          <w:rStyle w:val="a9"/>
          <w:rFonts w:cs="Arial"/>
          <w:rtl/>
        </w:rPr>
        <w:footnoteReference w:id="1445"/>
      </w:r>
      <w:r w:rsidR="007270A1" w:rsidRPr="007270A1">
        <w:rPr>
          <w:rFonts w:cs="Arial"/>
          <w:rtl/>
        </w:rPr>
        <w:t xml:space="preserve"> אליבא דרבי יהודה - שמע מינה הלכה כרבי יהודה</w:t>
      </w:r>
      <w:r w:rsidR="004C0E81">
        <w:rPr>
          <w:rStyle w:val="a9"/>
          <w:rFonts w:cs="Arial"/>
          <w:rtl/>
        </w:rPr>
        <w:footnoteReference w:id="1446"/>
      </w:r>
      <w:r w:rsidR="007270A1" w:rsidRPr="007270A1">
        <w:rPr>
          <w:rFonts w:cs="Arial"/>
          <w:rtl/>
        </w:rPr>
        <w:t>. מאי היא? דתניא: סנדל שנפסקו שתי אזניו</w:t>
      </w:r>
      <w:r w:rsidR="004C0E81">
        <w:rPr>
          <w:rStyle w:val="a9"/>
          <w:rFonts w:cs="Arial"/>
          <w:rtl/>
        </w:rPr>
        <w:footnoteReference w:id="1447"/>
      </w:r>
      <w:r w:rsidR="007270A1" w:rsidRPr="007270A1">
        <w:rPr>
          <w:rFonts w:cs="Arial"/>
          <w:rtl/>
        </w:rPr>
        <w:t xml:space="preserve"> או שתי תרסיותיו</w:t>
      </w:r>
      <w:r w:rsidR="004C0E81">
        <w:rPr>
          <w:rStyle w:val="a9"/>
          <w:rFonts w:cs="Arial"/>
          <w:rtl/>
        </w:rPr>
        <w:footnoteReference w:id="1448"/>
      </w:r>
      <w:r w:rsidR="007270A1" w:rsidRPr="007270A1">
        <w:rPr>
          <w:rFonts w:cs="Arial"/>
          <w:rtl/>
        </w:rPr>
        <w:t>, או שניטל כל הכף</w:t>
      </w:r>
      <w:r w:rsidR="004C0E81">
        <w:rPr>
          <w:rStyle w:val="a9"/>
          <w:rFonts w:cs="Arial"/>
          <w:rtl/>
        </w:rPr>
        <w:footnoteReference w:id="1449"/>
      </w:r>
      <w:r w:rsidR="007270A1" w:rsidRPr="007270A1">
        <w:rPr>
          <w:rFonts w:cs="Arial"/>
          <w:rtl/>
        </w:rPr>
        <w:t xml:space="preserve"> שלו - טהור</w:t>
      </w:r>
      <w:r w:rsidR="004C0E81">
        <w:rPr>
          <w:rStyle w:val="a9"/>
          <w:rFonts w:cs="Arial"/>
          <w:rtl/>
        </w:rPr>
        <w:footnoteReference w:id="1450"/>
      </w:r>
      <w:r w:rsidR="007270A1" w:rsidRPr="007270A1">
        <w:rPr>
          <w:rFonts w:cs="Arial"/>
          <w:rtl/>
        </w:rPr>
        <w:t>, אחת מאזניו או אחת מתרסיותיו, או שניטל רוב הכף שלו - טמא</w:t>
      </w:r>
      <w:r w:rsidR="004C0E81">
        <w:rPr>
          <w:rStyle w:val="a9"/>
          <w:rFonts w:cs="Arial"/>
          <w:rtl/>
        </w:rPr>
        <w:footnoteReference w:id="1451"/>
      </w:r>
      <w:r w:rsidR="007270A1" w:rsidRPr="007270A1">
        <w:rPr>
          <w:rFonts w:cs="Arial"/>
          <w:rtl/>
        </w:rPr>
        <w:t xml:space="preserve">. </w:t>
      </w:r>
      <w:r w:rsidR="007270A1" w:rsidRPr="00B44F61">
        <w:rPr>
          <w:rFonts w:cs="Arial"/>
          <w:u w:val="single"/>
          <w:rtl/>
        </w:rPr>
        <w:t>רבי יהודה אומר</w:t>
      </w:r>
      <w:r w:rsidR="007270A1" w:rsidRPr="007270A1">
        <w:rPr>
          <w:rFonts w:cs="Arial"/>
          <w:rtl/>
        </w:rPr>
        <w:t xml:space="preserve">: נפסקה פנימית - טמא. החיצונה - טהור. </w:t>
      </w:r>
      <w:r w:rsidR="007270A1" w:rsidRPr="00B44F61">
        <w:rPr>
          <w:rFonts w:cs="Arial"/>
          <w:u w:val="single"/>
          <w:rtl/>
        </w:rPr>
        <w:t>ואמר עולא ואיתימא רבה בר בר חנה אמר רבי יוחנן</w:t>
      </w:r>
      <w:r w:rsidR="007270A1" w:rsidRPr="007270A1">
        <w:rPr>
          <w:rFonts w:cs="Arial"/>
          <w:rtl/>
        </w:rPr>
        <w:t>: כמחלוקת לענין טומאה, כך מחלוקת לענין שבת, אבל לא לענין חליצה. והוינן בה: רבי יוחנן אליבא דמאן? אילימא אליבא דרבנן</w:t>
      </w:r>
      <w:r w:rsidR="004C0E81">
        <w:rPr>
          <w:rStyle w:val="a9"/>
          <w:rFonts w:cs="Arial"/>
          <w:rtl/>
        </w:rPr>
        <w:footnoteReference w:id="1452"/>
      </w:r>
      <w:r w:rsidR="007270A1" w:rsidRPr="007270A1">
        <w:rPr>
          <w:rFonts w:cs="Arial"/>
          <w:rtl/>
        </w:rPr>
        <w:t>, מדלענין טומאה מנא הוי - לענין שבת נמי מנא הוי, אבל לא לחליצה דלאו מנא הוא, והתנן: חלצה של שמאל בימין - חליצתה כשרה!</w:t>
      </w:r>
      <w:r w:rsidR="007D144E">
        <w:rPr>
          <w:rFonts w:cs="Arial" w:hint="cs"/>
          <w:rtl/>
        </w:rPr>
        <w:t>...</w:t>
      </w:r>
      <w:r w:rsidR="007270A1" w:rsidRPr="007270A1">
        <w:rPr>
          <w:rFonts w:cs="Arial"/>
          <w:rtl/>
        </w:rPr>
        <w:t xml:space="preserve"> לעולם אליבא דרבי יהודה, אימא: וכן לחליצה</w:t>
      </w:r>
      <w:r w:rsidR="00A36BC5">
        <w:rPr>
          <w:rStyle w:val="a9"/>
          <w:rFonts w:cs="Arial"/>
          <w:rtl/>
        </w:rPr>
        <w:footnoteReference w:id="1453"/>
      </w:r>
      <w:r w:rsidR="007270A1" w:rsidRPr="007270A1">
        <w:rPr>
          <w:rFonts w:cs="Arial"/>
          <w:rtl/>
        </w:rPr>
        <w:t xml:space="preserve">. והא קמשמע לן דכי אמרינן חלצה של שמאל בשל ימין חליצתה כשרה </w:t>
      </w:r>
      <w:r w:rsidR="00B44F61">
        <w:rPr>
          <w:rFonts w:cs="Arial" w:hint="cs"/>
          <w:rtl/>
        </w:rPr>
        <w:t>-</w:t>
      </w:r>
      <w:r w:rsidR="007270A1" w:rsidRPr="007270A1">
        <w:rPr>
          <w:rFonts w:cs="Arial"/>
          <w:rtl/>
        </w:rPr>
        <w:t xml:space="preserve"> היכא</w:t>
      </w:r>
      <w:r w:rsidR="00B44F61" w:rsidRPr="00B44F61">
        <w:rPr>
          <w:rtl/>
        </w:rPr>
        <w:t xml:space="preserve"> </w:t>
      </w:r>
      <w:r w:rsidR="00B44F61">
        <w:rPr>
          <w:rFonts w:hint="cs"/>
          <w:sz w:val="14"/>
          <w:szCs w:val="14"/>
          <w:rtl/>
        </w:rPr>
        <w:t xml:space="preserve">(קיב:) </w:t>
      </w:r>
      <w:r w:rsidR="00B44F61" w:rsidRPr="00B44F61">
        <w:rPr>
          <w:rFonts w:cs="Arial"/>
          <w:rtl/>
        </w:rPr>
        <w:t>דלמילתיה מנא הוא, אבל הכא - למילתיה לאו מנא הוא. ומי אמר רבי יוחנן הכי? והאמר רבי יוחנן: הלכה כסתם משנה, ותנן: סנדל שנפסקה אחת מאזניו ותיקנה - טמא מדרס, מאי לאו - לא שנא פנימית, ולא שנא חיצונה? לא, פנימית דוקא. אבל חיצונה מאי - טהור? אי הכי, אדתני</w:t>
      </w:r>
      <w:r w:rsidR="002E3B43">
        <w:rPr>
          <w:rFonts w:cs="Arial" w:hint="cs"/>
          <w:rtl/>
        </w:rPr>
        <w:t>:</w:t>
      </w:r>
      <w:r w:rsidR="00B44F61" w:rsidRPr="00B44F61">
        <w:rPr>
          <w:rFonts w:cs="Arial"/>
          <w:rtl/>
        </w:rPr>
        <w:t xml:space="preserve"> נפסקה שניה ותיקנה טהור מן המדרס אבל טמא מגע מדרס</w:t>
      </w:r>
      <w:r w:rsidR="007D144E">
        <w:rPr>
          <w:rFonts w:cs="Arial" w:hint="cs"/>
          <w:rtl/>
        </w:rPr>
        <w:t>,</w:t>
      </w:r>
      <w:r w:rsidR="00B44F61" w:rsidRPr="00B44F61">
        <w:rPr>
          <w:rFonts w:cs="Arial"/>
          <w:rtl/>
        </w:rPr>
        <w:t xml:space="preserve"> ניפלוג בדידה: במה דברים אמורים - שנפסקה פנימית, אבל חיצונה - טהור! </w:t>
      </w:r>
      <w:r w:rsidR="00B44F61" w:rsidRPr="00D55F81">
        <w:rPr>
          <w:rFonts w:cs="Arial"/>
          <w:u w:val="single"/>
          <w:rtl/>
        </w:rPr>
        <w:t>אמר רב יצחק בן יוסף</w:t>
      </w:r>
      <w:r w:rsidR="00B44F61" w:rsidRPr="00B44F61">
        <w:rPr>
          <w:rFonts w:cs="Arial"/>
          <w:rtl/>
        </w:rPr>
        <w:t>: תהא משנתנו</w:t>
      </w:r>
      <w:r w:rsidR="00A36BC5">
        <w:rPr>
          <w:rStyle w:val="a9"/>
          <w:rFonts w:cs="Arial"/>
          <w:rtl/>
        </w:rPr>
        <w:footnoteReference w:id="1454"/>
      </w:r>
      <w:r w:rsidR="00B44F61" w:rsidRPr="00B44F61">
        <w:rPr>
          <w:rFonts w:cs="Arial"/>
          <w:rtl/>
        </w:rPr>
        <w:t xml:space="preserve"> בסנדל שיש לו ארבע אזנים וארבע תרסיותים</w:t>
      </w:r>
      <w:r w:rsidR="002E3B43">
        <w:rPr>
          <w:rStyle w:val="a9"/>
          <w:rFonts w:cs="Arial"/>
          <w:rtl/>
        </w:rPr>
        <w:footnoteReference w:id="1455"/>
      </w:r>
      <w:r w:rsidR="00B44F61" w:rsidRPr="00B44F61">
        <w:rPr>
          <w:rFonts w:cs="Arial"/>
          <w:rtl/>
        </w:rPr>
        <w:t>, שלא לשבור דבריו של רבי יוחנן</w:t>
      </w:r>
      <w:r w:rsidR="002E3B43">
        <w:rPr>
          <w:rStyle w:val="a9"/>
          <w:rFonts w:cs="Arial"/>
          <w:rtl/>
        </w:rPr>
        <w:footnoteReference w:id="1456"/>
      </w:r>
      <w:r w:rsidR="00B44F61" w:rsidRPr="00B44F61">
        <w:rPr>
          <w:rFonts w:cs="Arial"/>
          <w:rtl/>
        </w:rPr>
        <w:t xml:space="preserve">. </w:t>
      </w:r>
      <w:r w:rsidR="00B44F61" w:rsidRPr="00D55F81">
        <w:rPr>
          <w:rFonts w:cs="Arial"/>
          <w:u w:val="single"/>
          <w:rtl/>
        </w:rPr>
        <w:t>כי אתא רבין אמר רב חנן בר אבא אמר רב</w:t>
      </w:r>
      <w:r w:rsidR="00B44F61" w:rsidRPr="00B44F61">
        <w:rPr>
          <w:rFonts w:cs="Arial"/>
          <w:rtl/>
        </w:rPr>
        <w:t>: הלכה כרבי יהודה</w:t>
      </w:r>
      <w:r w:rsidR="00D55F81">
        <w:rPr>
          <w:rFonts w:cs="Arial" w:hint="cs"/>
          <w:rtl/>
        </w:rPr>
        <w:t>.</w:t>
      </w:r>
      <w:r w:rsidR="00B44F61" w:rsidRPr="00B44F61">
        <w:rPr>
          <w:rFonts w:cs="Arial"/>
          <w:rtl/>
        </w:rPr>
        <w:t xml:space="preserve"> </w:t>
      </w:r>
      <w:r w:rsidR="00B44F61" w:rsidRPr="00D55F81">
        <w:rPr>
          <w:rFonts w:cs="Arial"/>
          <w:u w:val="single"/>
          <w:rtl/>
        </w:rPr>
        <w:t>ורבי יוחנן אמר</w:t>
      </w:r>
      <w:r w:rsidR="00B44F61" w:rsidRPr="00B44F61">
        <w:rPr>
          <w:rFonts w:cs="Arial"/>
          <w:rtl/>
        </w:rPr>
        <w:t>: אין הלכה כרבי יהודה. ומי אמר רבי יוחנן הכי? והא מדמתרץ רבי יוחנן אליבא דרבי יהודה, שמע מינה כרבי יהודה סבירא ליה! אמוראי נינהו, ואליבא דרבי יוחנן.</w:t>
      </w:r>
      <w:r w:rsidR="00607D99">
        <w:rPr>
          <w:rFonts w:cs="Arial" w:hint="cs"/>
          <w:rtl/>
        </w:rPr>
        <w:t xml:space="preserve"> </w:t>
      </w:r>
      <w:r w:rsidR="00607D99" w:rsidRPr="00607D99">
        <w:rPr>
          <w:rFonts w:cs="Arial" w:hint="cs"/>
          <w:sz w:val="16"/>
          <w:szCs w:val="16"/>
          <w:rtl/>
        </w:rPr>
        <w:t>(ו</w:t>
      </w:r>
      <w:r w:rsidR="00F63421" w:rsidRPr="00607D99">
        <w:rPr>
          <w:rFonts w:cs="Arial"/>
          <w:sz w:val="16"/>
          <w:szCs w:val="16"/>
          <w:rtl/>
        </w:rPr>
        <w:t>פסק רבינו כרבה בר בר חנה</w:t>
      </w:r>
      <w:r w:rsidR="002E3B43">
        <w:rPr>
          <w:rFonts w:cs="Arial" w:hint="cs"/>
          <w:sz w:val="16"/>
          <w:szCs w:val="16"/>
          <w:rtl/>
        </w:rPr>
        <w:t>,</w:t>
      </w:r>
      <w:r w:rsidR="00F63421" w:rsidRPr="00607D99">
        <w:rPr>
          <w:rFonts w:cs="Arial"/>
          <w:sz w:val="16"/>
          <w:szCs w:val="16"/>
          <w:rtl/>
        </w:rPr>
        <w:t xml:space="preserve"> משום דרב יוסף סבירא ליה כוותיה ואביי נמי קיבלה מיניה</w:t>
      </w:r>
      <w:r w:rsidR="00607D99">
        <w:rPr>
          <w:rFonts w:cs="Arial" w:hint="cs"/>
          <w:sz w:val="16"/>
          <w:szCs w:val="16"/>
          <w:rtl/>
        </w:rPr>
        <w:t>, ב"י)</w:t>
      </w:r>
      <w:r w:rsidR="00F63421">
        <w:rPr>
          <w:rFonts w:cs="Arial"/>
          <w:rtl/>
        </w:rPr>
        <w:t xml:space="preserve"> </w:t>
      </w:r>
    </w:p>
    <w:p w14:paraId="53842014" w14:textId="77777777" w:rsidR="007270A1" w:rsidRPr="007270A1" w:rsidRDefault="007270A1" w:rsidP="00434A6A">
      <w:pPr>
        <w:rPr>
          <w:u w:val="single"/>
          <w:rtl/>
        </w:rPr>
      </w:pPr>
      <w:r w:rsidRPr="007270A1">
        <w:rPr>
          <w:rFonts w:hint="cs"/>
          <w:u w:val="single"/>
          <w:rtl/>
        </w:rPr>
        <w:t>סנדל שנפסקה רצועתו:</w:t>
      </w:r>
    </w:p>
    <w:p w14:paraId="48E2B281" w14:textId="3C44469D" w:rsidR="00B1687F" w:rsidRDefault="007270A1" w:rsidP="00434A6A">
      <w:pPr>
        <w:pStyle w:val="aa"/>
        <w:numPr>
          <w:ilvl w:val="0"/>
          <w:numId w:val="3"/>
        </w:numPr>
        <w:rPr>
          <w:rFonts w:cs="Arial"/>
        </w:rPr>
      </w:pPr>
      <w:r w:rsidRPr="00BE6400">
        <w:rPr>
          <w:rFonts w:cs="Arial" w:hint="cs"/>
          <w:rtl/>
        </w:rPr>
        <w:t xml:space="preserve">טור- </w:t>
      </w:r>
      <w:r w:rsidRPr="00BE6400">
        <w:rPr>
          <w:rFonts w:cs="Arial"/>
          <w:rtl/>
        </w:rPr>
        <w:t>סנדל שנפסקה רצועה הפנימית</w:t>
      </w:r>
      <w:r>
        <w:rPr>
          <w:rFonts w:cs="Arial" w:hint="cs"/>
          <w:rtl/>
        </w:rPr>
        <w:t xml:space="preserve"> -</w:t>
      </w:r>
      <w:r w:rsidRPr="00BE6400">
        <w:rPr>
          <w:rFonts w:cs="Arial"/>
          <w:rtl/>
        </w:rPr>
        <w:t xml:space="preserve"> עדיין תורת כלי עליו ומותר לטלטלו</w:t>
      </w:r>
      <w:r>
        <w:rPr>
          <w:rFonts w:cs="Arial" w:hint="cs"/>
          <w:rtl/>
        </w:rPr>
        <w:t>.</w:t>
      </w:r>
      <w:r w:rsidRPr="00BE6400">
        <w:rPr>
          <w:rFonts w:cs="Arial"/>
          <w:rtl/>
        </w:rPr>
        <w:t xml:space="preserve"> נפסקה החיצונה </w:t>
      </w:r>
      <w:r>
        <w:rPr>
          <w:rFonts w:cs="Arial" w:hint="cs"/>
          <w:rtl/>
        </w:rPr>
        <w:t xml:space="preserve">- </w:t>
      </w:r>
      <w:r w:rsidRPr="00BE6400">
        <w:rPr>
          <w:rFonts w:cs="Arial"/>
          <w:rtl/>
        </w:rPr>
        <w:t>בטל מתורת כלי ואסור לטלטלו</w:t>
      </w:r>
      <w:r>
        <w:rPr>
          <w:rFonts w:cs="Arial" w:hint="cs"/>
          <w:rtl/>
        </w:rPr>
        <w:t>.</w:t>
      </w:r>
      <w:r w:rsidR="0019227A">
        <w:rPr>
          <w:rFonts w:cs="Arial" w:hint="cs"/>
          <w:rtl/>
        </w:rPr>
        <w:t xml:space="preserve"> </w:t>
      </w:r>
      <w:r w:rsidR="0019227A" w:rsidRPr="00FF0175">
        <w:rPr>
          <w:rFonts w:cs="Arial" w:hint="cs"/>
          <w:color w:val="E36C0A" w:themeColor="accent6" w:themeShade="BF"/>
          <w:rtl/>
        </w:rPr>
        <w:t>(וכ"פ בשו"ע)</w:t>
      </w:r>
    </w:p>
    <w:p w14:paraId="307DE80A" w14:textId="01B03E59" w:rsidR="00B1687F" w:rsidRPr="00B1687F" w:rsidRDefault="00B1687F" w:rsidP="00434A6A">
      <w:pPr>
        <w:ind w:left="360"/>
        <w:rPr>
          <w:rFonts w:cs="Arial"/>
          <w:u w:val="dotted"/>
        </w:rPr>
      </w:pPr>
      <w:r w:rsidRPr="00B1687F">
        <w:rPr>
          <w:rFonts w:cs="Arial" w:hint="cs"/>
          <w:u w:val="dotted"/>
          <w:rtl/>
        </w:rPr>
        <w:t xml:space="preserve">כשנפסקה החיצונה </w:t>
      </w:r>
      <w:r w:rsidRPr="00B1687F">
        <w:rPr>
          <w:rFonts w:cs="Arial"/>
          <w:u w:val="dotted"/>
          <w:rtl/>
        </w:rPr>
        <w:t>–</w:t>
      </w:r>
      <w:r w:rsidRPr="00B1687F">
        <w:rPr>
          <w:rFonts w:cs="Arial" w:hint="cs"/>
          <w:u w:val="dotted"/>
          <w:rtl/>
        </w:rPr>
        <w:t xml:space="preserve"> האם מותר לקשור עליו גמי שלא יפול מרגלו:</w:t>
      </w:r>
      <w:r w:rsidR="007270A1" w:rsidRPr="00B1687F">
        <w:rPr>
          <w:rFonts w:cs="Arial"/>
          <w:u w:val="dotted"/>
          <w:rtl/>
        </w:rPr>
        <w:t xml:space="preserve"> </w:t>
      </w:r>
    </w:p>
    <w:p w14:paraId="0ECF7D27" w14:textId="43F04BE6" w:rsidR="007270A1" w:rsidRDefault="00B1687F" w:rsidP="00434A6A">
      <w:pPr>
        <w:pStyle w:val="aa"/>
        <w:numPr>
          <w:ilvl w:val="0"/>
          <w:numId w:val="3"/>
        </w:numPr>
        <w:rPr>
          <w:rFonts w:cs="Arial"/>
        </w:rPr>
      </w:pPr>
      <w:r>
        <w:rPr>
          <w:rFonts w:cs="Arial" w:hint="cs"/>
          <w:rtl/>
        </w:rPr>
        <w:t xml:space="preserve">רי"ף </w:t>
      </w:r>
      <w:r>
        <w:rPr>
          <w:rFonts w:cs="Arial" w:hint="cs"/>
          <w:sz w:val="16"/>
          <w:szCs w:val="16"/>
          <w:rtl/>
        </w:rPr>
        <w:t xml:space="preserve">(מא:) </w:t>
      </w:r>
      <w:r>
        <w:rPr>
          <w:rFonts w:cs="Arial" w:hint="cs"/>
          <w:rtl/>
        </w:rPr>
        <w:t>רא"ש</w:t>
      </w:r>
      <w:r>
        <w:rPr>
          <w:rFonts w:cs="Arial" w:hint="cs"/>
          <w:sz w:val="16"/>
          <w:szCs w:val="16"/>
          <w:rtl/>
        </w:rPr>
        <w:t xml:space="preserve"> (סי' א)</w:t>
      </w:r>
      <w:r>
        <w:rPr>
          <w:rFonts w:cs="Arial" w:hint="cs"/>
          <w:rtl/>
        </w:rPr>
        <w:t xml:space="preserve"> וטור- </w:t>
      </w:r>
      <w:r w:rsidR="007270A1" w:rsidRPr="00BE6400">
        <w:rPr>
          <w:rFonts w:cs="Arial"/>
          <w:rtl/>
        </w:rPr>
        <w:t>ואם הוא בכרמלית מותר לכרוך עליו גמי לח שהוא מאכל בהמה לתקנו שלא יפול מרגלו</w:t>
      </w:r>
      <w:r w:rsidR="007270A1">
        <w:rPr>
          <w:rFonts w:cs="Arial" w:hint="cs"/>
          <w:rtl/>
        </w:rPr>
        <w:t>.</w:t>
      </w:r>
      <w:r w:rsidR="007270A1" w:rsidRPr="00BE6400">
        <w:rPr>
          <w:rFonts w:cs="Arial"/>
          <w:rtl/>
        </w:rPr>
        <w:t xml:space="preserve"> ובחצר שהוא נשמר שם </w:t>
      </w:r>
      <w:r w:rsidR="00573FBF">
        <w:rPr>
          <w:rFonts w:cs="Arial"/>
          <w:rtl/>
        </w:rPr>
        <w:t>–</w:t>
      </w:r>
      <w:r w:rsidR="007270A1">
        <w:rPr>
          <w:rFonts w:cs="Arial" w:hint="cs"/>
          <w:rtl/>
        </w:rPr>
        <w:t xml:space="preserve"> </w:t>
      </w:r>
      <w:r w:rsidR="007270A1" w:rsidRPr="00BE6400">
        <w:rPr>
          <w:rFonts w:cs="Arial"/>
          <w:rtl/>
        </w:rPr>
        <w:t>אסור</w:t>
      </w:r>
      <w:r w:rsidR="00573FBF">
        <w:rPr>
          <w:rFonts w:cs="Arial" w:hint="cs"/>
          <w:sz w:val="16"/>
          <w:szCs w:val="16"/>
          <w:rtl/>
        </w:rPr>
        <w:t xml:space="preserve"> (ל' הטור)</w:t>
      </w:r>
      <w:r w:rsidR="007270A1">
        <w:rPr>
          <w:rFonts w:cs="Arial" w:hint="cs"/>
          <w:rtl/>
        </w:rPr>
        <w:t>.</w:t>
      </w:r>
      <w:r w:rsidR="0019227A" w:rsidRPr="002876E4">
        <w:rPr>
          <w:rFonts w:cs="Arial" w:hint="cs"/>
          <w:color w:val="E36C0A" w:themeColor="accent6" w:themeShade="BF"/>
          <w:rtl/>
        </w:rPr>
        <w:t xml:space="preserve"> </w:t>
      </w:r>
      <w:r w:rsidR="0019227A" w:rsidRPr="00FF0175">
        <w:rPr>
          <w:rFonts w:cs="Arial" w:hint="cs"/>
          <w:color w:val="E36C0A" w:themeColor="accent6" w:themeShade="BF"/>
          <w:rtl/>
        </w:rPr>
        <w:t>(וכ"פ בשו"ע)</w:t>
      </w:r>
    </w:p>
    <w:p w14:paraId="24DAA4AE" w14:textId="7B14D206" w:rsidR="00F63421" w:rsidRPr="00B1687F" w:rsidRDefault="001E6EFC" w:rsidP="00434A6A">
      <w:pPr>
        <w:pStyle w:val="aa"/>
        <w:numPr>
          <w:ilvl w:val="0"/>
          <w:numId w:val="3"/>
        </w:numPr>
        <w:rPr>
          <w:rFonts w:cs="Arial"/>
          <w:rtl/>
        </w:rPr>
      </w:pPr>
      <w:r>
        <w:rPr>
          <w:rFonts w:cs="Arial" w:hint="cs"/>
          <w:rtl/>
        </w:rPr>
        <w:t>רמב"ם</w:t>
      </w:r>
      <w:r>
        <w:rPr>
          <w:rFonts w:cs="Arial" w:hint="cs"/>
          <w:sz w:val="16"/>
          <w:szCs w:val="16"/>
          <w:rtl/>
        </w:rPr>
        <w:t xml:space="preserve"> (פ"י ה"ד)</w:t>
      </w:r>
      <w:r>
        <w:rPr>
          <w:rFonts w:cs="Arial" w:hint="cs"/>
          <w:rtl/>
        </w:rPr>
        <w:t xml:space="preserve">- </w:t>
      </w:r>
      <w:r w:rsidRPr="001E6EFC">
        <w:rPr>
          <w:rFonts w:cs="Arial"/>
          <w:rtl/>
        </w:rPr>
        <w:t>כל שראוי למאכל בהמה מותר לקשור אותו בשבת, לפיכך אם נפסקה רצועת סנדלו בכרמלית נוטל גמי לח הראוי למאכל בהמה וכורך עליו וקושר הגמי</w:t>
      </w:r>
      <w:r>
        <w:rPr>
          <w:rFonts w:cs="Arial" w:hint="cs"/>
          <w:rtl/>
        </w:rPr>
        <w:t>.</w:t>
      </w:r>
    </w:p>
    <w:p w14:paraId="72EC6176"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7163D9E6" w14:textId="1FBA7D6B" w:rsidR="000C6229" w:rsidRPr="005275DF" w:rsidRDefault="000C6229" w:rsidP="00434A6A">
      <w:pPr>
        <w:rPr>
          <w:rFonts w:asciiTheme="minorBidi" w:hAnsiTheme="minorBidi"/>
          <w:rtl/>
        </w:rPr>
      </w:pPr>
      <w:r w:rsidRPr="005275DF">
        <w:rPr>
          <w:rFonts w:asciiTheme="minorBidi" w:hAnsiTheme="minorBidi"/>
          <w:rtl/>
        </w:rPr>
        <w:t>סנדל שנפסקה רצועה הפנימית, עדיין תורת כלי עליו ומותר לטלטלו</w:t>
      </w:r>
      <w:r w:rsidR="00BE6400">
        <w:rPr>
          <w:rFonts w:asciiTheme="minorBidi" w:hAnsiTheme="minorBidi" w:hint="cs"/>
          <w:rtl/>
        </w:rPr>
        <w:t>.</w:t>
      </w:r>
      <w:r w:rsidRPr="005275DF">
        <w:rPr>
          <w:rFonts w:asciiTheme="minorBidi" w:hAnsiTheme="minorBidi"/>
          <w:rtl/>
        </w:rPr>
        <w:t xml:space="preserve"> נפסקה החיצונה בטל מתורת כלי ואסור לטלטלו</w:t>
      </w:r>
      <w:r w:rsidR="0019227A">
        <w:rPr>
          <w:rStyle w:val="a9"/>
          <w:rFonts w:asciiTheme="minorBidi" w:hAnsiTheme="minorBidi"/>
          <w:rtl/>
        </w:rPr>
        <w:footnoteReference w:id="1457"/>
      </w:r>
      <w:r w:rsidR="00BE6400">
        <w:rPr>
          <w:rFonts w:asciiTheme="minorBidi" w:hAnsiTheme="minorBidi" w:hint="cs"/>
          <w:rtl/>
        </w:rPr>
        <w:t>.</w:t>
      </w:r>
      <w:r w:rsidRPr="005275DF">
        <w:rPr>
          <w:rFonts w:asciiTheme="minorBidi" w:hAnsiTheme="minorBidi"/>
          <w:rtl/>
        </w:rPr>
        <w:t xml:space="preserve"> ואם הוא בכרמלית</w:t>
      </w:r>
      <w:r w:rsidR="0019227A">
        <w:rPr>
          <w:rStyle w:val="a9"/>
          <w:rFonts w:asciiTheme="minorBidi" w:hAnsiTheme="minorBidi"/>
          <w:rtl/>
        </w:rPr>
        <w:footnoteReference w:id="1458"/>
      </w:r>
      <w:r w:rsidRPr="005275DF">
        <w:rPr>
          <w:rFonts w:asciiTheme="minorBidi" w:hAnsiTheme="minorBidi"/>
          <w:rtl/>
        </w:rPr>
        <w:t>, מותר לכרוך עליו גמי לח</w:t>
      </w:r>
      <w:r w:rsidR="0019227A">
        <w:rPr>
          <w:rStyle w:val="a9"/>
          <w:rFonts w:asciiTheme="minorBidi" w:hAnsiTheme="minorBidi"/>
          <w:rtl/>
        </w:rPr>
        <w:footnoteReference w:id="1459"/>
      </w:r>
      <w:r w:rsidRPr="005275DF">
        <w:rPr>
          <w:rFonts w:asciiTheme="minorBidi" w:hAnsiTheme="minorBidi"/>
          <w:rtl/>
        </w:rPr>
        <w:t xml:space="preserve"> שהוא מאכל בהמה לתקנו שלא יפול מרגלו</w:t>
      </w:r>
      <w:r w:rsidR="00BE6400">
        <w:rPr>
          <w:rFonts w:asciiTheme="minorBidi" w:hAnsiTheme="minorBidi" w:hint="cs"/>
          <w:rtl/>
        </w:rPr>
        <w:t>.</w:t>
      </w:r>
      <w:r w:rsidRPr="005275DF">
        <w:rPr>
          <w:rFonts w:asciiTheme="minorBidi" w:hAnsiTheme="minorBidi"/>
          <w:rtl/>
        </w:rPr>
        <w:t xml:space="preserve"> ובחצר שהוא נשמר שם, אסור</w:t>
      </w:r>
      <w:r w:rsidR="0019227A">
        <w:rPr>
          <w:rStyle w:val="a9"/>
          <w:rFonts w:asciiTheme="minorBidi" w:hAnsiTheme="minorBidi"/>
          <w:rtl/>
        </w:rPr>
        <w:footnoteReference w:id="1460"/>
      </w:r>
      <w:r w:rsidRPr="005275DF">
        <w:rPr>
          <w:rFonts w:asciiTheme="minorBidi" w:hAnsiTheme="minorBidi"/>
          <w:rtl/>
        </w:rPr>
        <w:t xml:space="preserve">. </w:t>
      </w:r>
    </w:p>
    <w:p w14:paraId="1EAB2FB0" w14:textId="77777777" w:rsidR="000C6229" w:rsidRPr="005275DF" w:rsidRDefault="000C6229" w:rsidP="00434A6A">
      <w:pPr>
        <w:rPr>
          <w:rFonts w:asciiTheme="minorBidi" w:hAnsiTheme="minorBidi"/>
          <w:rtl/>
        </w:rPr>
      </w:pPr>
    </w:p>
    <w:p w14:paraId="28513267" w14:textId="3B6ECCBF" w:rsidR="000C6229" w:rsidRDefault="000C6229" w:rsidP="00434A6A">
      <w:pPr>
        <w:pStyle w:val="2"/>
        <w:rPr>
          <w:rtl/>
        </w:rPr>
      </w:pPr>
      <w:r w:rsidRPr="005275DF">
        <w:rPr>
          <w:rtl/>
        </w:rPr>
        <w:t>סעיף טז</w:t>
      </w:r>
      <w:r w:rsidR="00F63421">
        <w:rPr>
          <w:rFonts w:hint="cs"/>
          <w:rtl/>
        </w:rPr>
        <w:t>:</w:t>
      </w:r>
      <w:r w:rsidR="0007663C">
        <w:rPr>
          <w:rFonts w:hint="cs"/>
          <w:rtl/>
        </w:rPr>
        <w:t xml:space="preserve"> קנה שתלוי בו בגד לייבוש.</w:t>
      </w:r>
      <w:r w:rsidR="001B1190">
        <w:rPr>
          <w:rFonts w:hint="cs"/>
          <w:rtl/>
        </w:rPr>
        <w:t xml:space="preserve"> וכירה שנשמטה אחת מירכותיה.</w:t>
      </w:r>
    </w:p>
    <w:p w14:paraId="480A6AA9" w14:textId="4CBFAC6D" w:rsidR="001B1190" w:rsidRDefault="001B1190" w:rsidP="00434A6A">
      <w:pPr>
        <w:rPr>
          <w:rtl/>
        </w:rPr>
      </w:pPr>
      <w:r w:rsidRPr="002A45F7">
        <w:rPr>
          <w:rFonts w:hint="cs"/>
          <w:b/>
          <w:bCs/>
          <w:rtl/>
        </w:rPr>
        <w:t xml:space="preserve">שבת </w:t>
      </w:r>
      <w:r>
        <w:rPr>
          <w:rFonts w:hint="cs"/>
          <w:b/>
          <w:bCs/>
          <w:sz w:val="16"/>
          <w:szCs w:val="16"/>
          <w:rtl/>
        </w:rPr>
        <w:t>(פ' תולין)</w:t>
      </w:r>
      <w:r>
        <w:rPr>
          <w:rFonts w:hint="cs"/>
          <w:b/>
          <w:bCs/>
          <w:rtl/>
        </w:rPr>
        <w:t xml:space="preserve"> </w:t>
      </w:r>
      <w:r w:rsidRPr="002A45F7">
        <w:rPr>
          <w:rFonts w:hint="cs"/>
          <w:b/>
          <w:bCs/>
          <w:rtl/>
        </w:rPr>
        <w:t>ק</w:t>
      </w:r>
      <w:r>
        <w:rPr>
          <w:rFonts w:hint="cs"/>
          <w:b/>
          <w:bCs/>
          <w:rtl/>
        </w:rPr>
        <w:t>מ</w:t>
      </w:r>
      <w:r w:rsidRPr="002A45F7">
        <w:rPr>
          <w:rFonts w:hint="cs"/>
          <w:b/>
          <w:bCs/>
          <w:rtl/>
        </w:rPr>
        <w:t xml:space="preserve"> ע"</w:t>
      </w:r>
      <w:r>
        <w:rPr>
          <w:rFonts w:hint="cs"/>
          <w:b/>
          <w:bCs/>
          <w:rtl/>
        </w:rPr>
        <w:t>א</w:t>
      </w:r>
      <w:r w:rsidRPr="002A45F7">
        <w:rPr>
          <w:rFonts w:hint="cs"/>
          <w:b/>
          <w:bCs/>
          <w:rtl/>
        </w:rPr>
        <w:t>:</w:t>
      </w:r>
      <w:r>
        <w:rPr>
          <w:rFonts w:cs="Arial" w:hint="cs"/>
          <w:rtl/>
        </w:rPr>
        <w:t xml:space="preserve"> </w:t>
      </w:r>
      <w:r w:rsidRPr="0007663C">
        <w:rPr>
          <w:rFonts w:cs="Arial"/>
          <w:u w:val="single"/>
          <w:rtl/>
        </w:rPr>
        <w:t>אמר רב חסדא</w:t>
      </w:r>
      <w:r w:rsidRPr="0007663C">
        <w:rPr>
          <w:rFonts w:cs="Arial"/>
          <w:rtl/>
        </w:rPr>
        <w:t>: האי כיתניתא,</w:t>
      </w:r>
      <w:r>
        <w:rPr>
          <w:rFonts w:cs="Arial" w:hint="cs"/>
          <w:sz w:val="14"/>
          <w:szCs w:val="14"/>
          <w:rtl/>
        </w:rPr>
        <w:t xml:space="preserve"> (קמ:) </w:t>
      </w:r>
      <w:r w:rsidRPr="0007663C">
        <w:rPr>
          <w:rFonts w:cs="Arial"/>
          <w:rtl/>
        </w:rPr>
        <w:t>משלפו לדידה מקניא</w:t>
      </w:r>
      <w:r w:rsidR="00076C7C">
        <w:rPr>
          <w:rStyle w:val="a9"/>
          <w:rFonts w:cs="Arial"/>
          <w:rtl/>
        </w:rPr>
        <w:footnoteReference w:id="1461"/>
      </w:r>
      <w:r w:rsidRPr="0007663C">
        <w:rPr>
          <w:rFonts w:cs="Arial"/>
          <w:rtl/>
        </w:rPr>
        <w:t xml:space="preserve"> - שרי, קניא ממנה - אסור. </w:t>
      </w:r>
      <w:r w:rsidRPr="0007663C">
        <w:rPr>
          <w:rFonts w:cs="Arial"/>
          <w:u w:val="single"/>
          <w:rtl/>
        </w:rPr>
        <w:t>אמר רבא</w:t>
      </w:r>
      <w:r w:rsidRPr="0007663C">
        <w:rPr>
          <w:rFonts w:cs="Arial"/>
          <w:rtl/>
        </w:rPr>
        <w:t>: ואם כלי קיואי הוא</w:t>
      </w:r>
      <w:r w:rsidR="00076C7C">
        <w:rPr>
          <w:rStyle w:val="a9"/>
          <w:rFonts w:cs="Arial"/>
          <w:rtl/>
        </w:rPr>
        <w:footnoteReference w:id="1462"/>
      </w:r>
      <w:r w:rsidRPr="0007663C">
        <w:rPr>
          <w:rFonts w:cs="Arial"/>
          <w:rtl/>
        </w:rPr>
        <w:t xml:space="preserve"> - מותר.</w:t>
      </w:r>
    </w:p>
    <w:p w14:paraId="39424794" w14:textId="778B1F62" w:rsidR="0007663C" w:rsidRPr="0007663C" w:rsidRDefault="0007663C" w:rsidP="00434A6A">
      <w:pPr>
        <w:rPr>
          <w:u w:val="single"/>
          <w:rtl/>
        </w:rPr>
      </w:pPr>
      <w:r w:rsidRPr="0007663C">
        <w:rPr>
          <w:rFonts w:hint="cs"/>
          <w:u w:val="single"/>
          <w:rtl/>
        </w:rPr>
        <w:t xml:space="preserve">קנה שתלוי </w:t>
      </w:r>
      <w:r w:rsidR="00F1575A">
        <w:rPr>
          <w:rFonts w:hint="cs"/>
          <w:u w:val="single"/>
          <w:rtl/>
        </w:rPr>
        <w:t>עליו</w:t>
      </w:r>
      <w:r w:rsidRPr="0007663C">
        <w:rPr>
          <w:rFonts w:hint="cs"/>
          <w:u w:val="single"/>
          <w:rtl/>
        </w:rPr>
        <w:t xml:space="preserve"> בגד לי</w:t>
      </w:r>
      <w:r>
        <w:rPr>
          <w:rFonts w:hint="cs"/>
          <w:u w:val="single"/>
          <w:rtl/>
        </w:rPr>
        <w:t>י</w:t>
      </w:r>
      <w:r w:rsidRPr="0007663C">
        <w:rPr>
          <w:rFonts w:hint="cs"/>
          <w:u w:val="single"/>
          <w:rtl/>
        </w:rPr>
        <w:t>בוש:</w:t>
      </w:r>
    </w:p>
    <w:p w14:paraId="4E076D7D" w14:textId="0BFB0581" w:rsidR="00A67912" w:rsidRPr="00BE6400" w:rsidRDefault="00BE6400" w:rsidP="00434A6A">
      <w:pPr>
        <w:pStyle w:val="aa"/>
        <w:numPr>
          <w:ilvl w:val="0"/>
          <w:numId w:val="3"/>
        </w:numPr>
        <w:rPr>
          <w:rFonts w:cs="Arial"/>
          <w:rtl/>
        </w:rPr>
      </w:pPr>
      <w:r w:rsidRPr="00BE6400">
        <w:rPr>
          <w:rFonts w:cs="Arial" w:hint="cs"/>
          <w:rtl/>
        </w:rPr>
        <w:t xml:space="preserve">טור- </w:t>
      </w:r>
      <w:r w:rsidR="00A67912" w:rsidRPr="00BE6400">
        <w:rPr>
          <w:rFonts w:cs="Arial"/>
          <w:rtl/>
        </w:rPr>
        <w:t>חלוק שכבסו אותו ותחבו בו קנה לתלות בו ליבשו</w:t>
      </w:r>
      <w:r w:rsidR="0007663C">
        <w:rPr>
          <w:rFonts w:cs="Arial" w:hint="cs"/>
          <w:rtl/>
        </w:rPr>
        <w:t xml:space="preserve"> -</w:t>
      </w:r>
      <w:r w:rsidR="00A67912" w:rsidRPr="00BE6400">
        <w:rPr>
          <w:rFonts w:cs="Arial"/>
          <w:rtl/>
        </w:rPr>
        <w:t xml:space="preserve"> יכול לשמטו מעל הקנה</w:t>
      </w:r>
      <w:r w:rsidR="0007663C">
        <w:rPr>
          <w:rFonts w:cs="Arial" w:hint="cs"/>
          <w:rtl/>
        </w:rPr>
        <w:t>.</w:t>
      </w:r>
      <w:r w:rsidR="00A67912" w:rsidRPr="00BE6400">
        <w:rPr>
          <w:rFonts w:cs="Arial"/>
          <w:rtl/>
        </w:rPr>
        <w:t xml:space="preserve"> ואסור ליקח הקנה מתוכו</w:t>
      </w:r>
      <w:r w:rsidR="0007663C">
        <w:rPr>
          <w:rFonts w:cs="Arial" w:hint="cs"/>
          <w:rtl/>
        </w:rPr>
        <w:t>,</w:t>
      </w:r>
      <w:r w:rsidR="00A67912" w:rsidRPr="00BE6400">
        <w:rPr>
          <w:rFonts w:cs="Arial"/>
          <w:rtl/>
        </w:rPr>
        <w:t xml:space="preserve"> שאינו כלי</w:t>
      </w:r>
      <w:r w:rsidR="0007663C">
        <w:rPr>
          <w:rFonts w:cs="Arial" w:hint="cs"/>
          <w:rtl/>
        </w:rPr>
        <w:t>.</w:t>
      </w:r>
      <w:r w:rsidR="00A67912" w:rsidRPr="00BE6400">
        <w:rPr>
          <w:rFonts w:cs="Arial"/>
          <w:rtl/>
        </w:rPr>
        <w:t xml:space="preserve"> ואם תחבו בו כלי </w:t>
      </w:r>
      <w:r w:rsidR="0007663C">
        <w:rPr>
          <w:rFonts w:cs="Arial" w:hint="cs"/>
          <w:rtl/>
        </w:rPr>
        <w:t xml:space="preserve">- </w:t>
      </w:r>
      <w:r w:rsidR="00A67912" w:rsidRPr="00BE6400">
        <w:rPr>
          <w:rFonts w:cs="Arial"/>
          <w:rtl/>
        </w:rPr>
        <w:t>יכול ליטלו מתוכו אפי' הוא מלאכתו לאיסור</w:t>
      </w:r>
      <w:r w:rsidRPr="00BE6400">
        <w:rPr>
          <w:rFonts w:cs="Arial" w:hint="cs"/>
          <w:rtl/>
        </w:rPr>
        <w:t>.</w:t>
      </w:r>
      <w:r w:rsidR="00951437" w:rsidRPr="00951437">
        <w:rPr>
          <w:rFonts w:cs="Arial" w:hint="cs"/>
          <w:color w:val="E36C0A" w:themeColor="accent6" w:themeShade="BF"/>
          <w:rtl/>
        </w:rPr>
        <w:t xml:space="preserve"> </w:t>
      </w:r>
      <w:r w:rsidR="00951437" w:rsidRPr="00FF0175">
        <w:rPr>
          <w:rFonts w:cs="Arial" w:hint="cs"/>
          <w:color w:val="E36C0A" w:themeColor="accent6" w:themeShade="BF"/>
          <w:rtl/>
        </w:rPr>
        <w:t>(וכ"פ בשו"ע)</w:t>
      </w:r>
    </w:p>
    <w:p w14:paraId="5846295B" w14:textId="45D3AB6D" w:rsidR="00E40B3E" w:rsidRPr="00F1575A" w:rsidRDefault="001B1190" w:rsidP="00434A6A">
      <w:pPr>
        <w:rPr>
          <w:rtl/>
        </w:rPr>
      </w:pPr>
      <w:r w:rsidRPr="002A45F7">
        <w:rPr>
          <w:rFonts w:hint="cs"/>
          <w:b/>
          <w:bCs/>
          <w:rtl/>
        </w:rPr>
        <w:t xml:space="preserve">שבת </w:t>
      </w:r>
      <w:r>
        <w:rPr>
          <w:rFonts w:hint="cs"/>
          <w:b/>
          <w:bCs/>
          <w:sz w:val="16"/>
          <w:szCs w:val="16"/>
          <w:rtl/>
        </w:rPr>
        <w:t>(ר"פ תולין)</w:t>
      </w:r>
      <w:r>
        <w:rPr>
          <w:rFonts w:hint="cs"/>
          <w:b/>
          <w:bCs/>
          <w:rtl/>
        </w:rPr>
        <w:t xml:space="preserve"> </w:t>
      </w:r>
      <w:r w:rsidRPr="002A45F7">
        <w:rPr>
          <w:rFonts w:hint="cs"/>
          <w:b/>
          <w:bCs/>
          <w:rtl/>
        </w:rPr>
        <w:t>ק</w:t>
      </w:r>
      <w:r>
        <w:rPr>
          <w:rFonts w:hint="cs"/>
          <w:b/>
          <w:bCs/>
          <w:rtl/>
        </w:rPr>
        <w:t>לח ע"ב:</w:t>
      </w:r>
      <w:r w:rsidRPr="002A45F7">
        <w:rPr>
          <w:rFonts w:hint="cs"/>
          <w:b/>
          <w:bCs/>
          <w:rtl/>
        </w:rPr>
        <w:t xml:space="preserve"> </w:t>
      </w:r>
      <w:r w:rsidRPr="00166DD2">
        <w:rPr>
          <w:rFonts w:cs="Arial"/>
          <w:u w:val="single"/>
          <w:rtl/>
        </w:rPr>
        <w:t>שלח ליה רמי בר יחזקאל לרב הונא</w:t>
      </w:r>
      <w:r w:rsidRPr="001B1190">
        <w:rPr>
          <w:rFonts w:cs="Arial"/>
          <w:rtl/>
        </w:rPr>
        <w:t>: אימא לן איזי הנך מילי מעלייתא דאמרת לן משמיה דרב, תרתי בשבת וחדא בתורה. שלח ליה:</w:t>
      </w:r>
      <w:r w:rsidR="00166DD2">
        <w:rPr>
          <w:rFonts w:cs="Arial" w:hint="cs"/>
          <w:rtl/>
        </w:rPr>
        <w:t>...</w:t>
      </w:r>
      <w:r w:rsidRPr="001B1190">
        <w:rPr>
          <w:rFonts w:cs="Arial"/>
          <w:rtl/>
        </w:rPr>
        <w:t xml:space="preserve"> דתניא כירה שנשמטה אחת מירכותיה</w:t>
      </w:r>
      <w:r w:rsidR="00E40B3E">
        <w:rPr>
          <w:rStyle w:val="a9"/>
          <w:rFonts w:cs="Arial"/>
          <w:rtl/>
        </w:rPr>
        <w:footnoteReference w:id="1463"/>
      </w:r>
      <w:r w:rsidRPr="001B1190">
        <w:rPr>
          <w:rFonts w:cs="Arial"/>
          <w:rtl/>
        </w:rPr>
        <w:t xml:space="preserve"> - מותר לטלטלה, שתים - אסור</w:t>
      </w:r>
      <w:r w:rsidR="00185F3C">
        <w:rPr>
          <w:rStyle w:val="a9"/>
          <w:rFonts w:cs="Arial"/>
          <w:rtl/>
        </w:rPr>
        <w:footnoteReference w:id="1464"/>
      </w:r>
      <w:r w:rsidRPr="001B1190">
        <w:rPr>
          <w:rFonts w:cs="Arial"/>
          <w:rtl/>
        </w:rPr>
        <w:t xml:space="preserve">. </w:t>
      </w:r>
      <w:r w:rsidRPr="00166DD2">
        <w:rPr>
          <w:rFonts w:cs="Arial"/>
          <w:u w:val="single"/>
          <w:rtl/>
        </w:rPr>
        <w:t>רב אמר</w:t>
      </w:r>
      <w:r w:rsidRPr="001B1190">
        <w:rPr>
          <w:rFonts w:cs="Arial"/>
          <w:rtl/>
        </w:rPr>
        <w:t>: אפילו חד נמי אסור, גזירה שמא יתקע</w:t>
      </w:r>
      <w:r w:rsidR="00076C7C">
        <w:rPr>
          <w:rStyle w:val="a9"/>
          <w:rFonts w:cs="Arial"/>
          <w:rtl/>
        </w:rPr>
        <w:footnoteReference w:id="1465"/>
      </w:r>
      <w:r w:rsidRPr="001B1190">
        <w:rPr>
          <w:rFonts w:cs="Arial"/>
          <w:rtl/>
        </w:rPr>
        <w:t>.</w:t>
      </w:r>
      <w:r w:rsidR="00F1575A">
        <w:rPr>
          <w:rFonts w:cs="Arial" w:hint="cs"/>
          <w:sz w:val="16"/>
          <w:szCs w:val="16"/>
          <w:rtl/>
        </w:rPr>
        <w:t xml:space="preserve"> (</w:t>
      </w:r>
      <w:r w:rsidR="00E40B3E" w:rsidRPr="00F1575A">
        <w:rPr>
          <w:rFonts w:cs="Arial"/>
          <w:sz w:val="16"/>
          <w:szCs w:val="16"/>
          <w:rtl/>
        </w:rPr>
        <w:t>ופסקו הפוסקים (רמב"ם פכ"ו ה"ו) כרב דאמר אפילו אחת אסור שמא יתקע</w:t>
      </w:r>
      <w:r w:rsidR="00F1575A" w:rsidRPr="00F1575A">
        <w:rPr>
          <w:rFonts w:cs="Arial" w:hint="cs"/>
          <w:sz w:val="16"/>
          <w:szCs w:val="16"/>
          <w:rtl/>
        </w:rPr>
        <w:t>, ב"י</w:t>
      </w:r>
      <w:r w:rsidR="00F1575A">
        <w:rPr>
          <w:rFonts w:cs="Arial" w:hint="cs"/>
          <w:sz w:val="16"/>
          <w:szCs w:val="16"/>
          <w:rtl/>
        </w:rPr>
        <w:t>)</w:t>
      </w:r>
    </w:p>
    <w:p w14:paraId="2C2C9C4E" w14:textId="3D6EA1E8" w:rsidR="0007663C" w:rsidRPr="0007663C" w:rsidRDefault="0007663C" w:rsidP="00434A6A">
      <w:pPr>
        <w:rPr>
          <w:u w:val="single"/>
          <w:rtl/>
        </w:rPr>
      </w:pPr>
      <w:r w:rsidRPr="0007663C">
        <w:rPr>
          <w:rFonts w:cs="Arial"/>
          <w:u w:val="single"/>
          <w:rtl/>
        </w:rPr>
        <w:t>כירה שנשמטה אחת מירכותיה</w:t>
      </w:r>
      <w:r w:rsidRPr="0007663C">
        <w:rPr>
          <w:rFonts w:hint="cs"/>
          <w:u w:val="single"/>
          <w:rtl/>
        </w:rPr>
        <w:t>:</w:t>
      </w:r>
    </w:p>
    <w:p w14:paraId="0EA82E2C" w14:textId="2C5B944A" w:rsidR="00F63421" w:rsidRDefault="0007663C" w:rsidP="00434A6A">
      <w:pPr>
        <w:pStyle w:val="aa"/>
        <w:numPr>
          <w:ilvl w:val="0"/>
          <w:numId w:val="3"/>
        </w:numPr>
        <w:rPr>
          <w:rFonts w:cs="Arial"/>
        </w:rPr>
      </w:pPr>
      <w:r w:rsidRPr="0007663C">
        <w:rPr>
          <w:rFonts w:cs="Arial" w:hint="cs"/>
          <w:rtl/>
        </w:rPr>
        <w:t xml:space="preserve">טור- </w:t>
      </w:r>
      <w:r w:rsidR="00245F0F" w:rsidRPr="0007663C">
        <w:rPr>
          <w:rFonts w:cs="Arial"/>
          <w:rtl/>
        </w:rPr>
        <w:t xml:space="preserve">כירה שנשמטה אפילו אחת מירכותיה </w:t>
      </w:r>
      <w:r>
        <w:rPr>
          <w:rFonts w:cs="Arial" w:hint="cs"/>
          <w:rtl/>
        </w:rPr>
        <w:t xml:space="preserve">- </w:t>
      </w:r>
      <w:r w:rsidR="00245F0F" w:rsidRPr="0007663C">
        <w:rPr>
          <w:rFonts w:cs="Arial"/>
          <w:rtl/>
        </w:rPr>
        <w:t>אסור לטלטה</w:t>
      </w:r>
      <w:r>
        <w:rPr>
          <w:rFonts w:cs="Arial" w:hint="cs"/>
          <w:rtl/>
        </w:rPr>
        <w:t>,</w:t>
      </w:r>
      <w:r w:rsidR="00245F0F" w:rsidRPr="0007663C">
        <w:rPr>
          <w:rFonts w:cs="Arial"/>
          <w:rtl/>
        </w:rPr>
        <w:t xml:space="preserve"> וכ"ש אם נשמטו שתים.</w:t>
      </w:r>
      <w:r w:rsidR="00951437" w:rsidRPr="00951437">
        <w:rPr>
          <w:rFonts w:cs="Arial" w:hint="cs"/>
          <w:color w:val="E36C0A" w:themeColor="accent6" w:themeShade="BF"/>
          <w:rtl/>
        </w:rPr>
        <w:t xml:space="preserve"> </w:t>
      </w:r>
      <w:r w:rsidR="00951437" w:rsidRPr="00FF0175">
        <w:rPr>
          <w:rFonts w:cs="Arial" w:hint="cs"/>
          <w:color w:val="E36C0A" w:themeColor="accent6" w:themeShade="BF"/>
          <w:rtl/>
        </w:rPr>
        <w:t>(וכ"פ בשו"ע)</w:t>
      </w:r>
    </w:p>
    <w:p w14:paraId="05654540" w14:textId="2B72AECA" w:rsidR="00E40B3E" w:rsidRPr="00E40B3E" w:rsidRDefault="00E40B3E" w:rsidP="00434A6A">
      <w:pPr>
        <w:rPr>
          <w:rFonts w:cs="Arial"/>
          <w:u w:val="single"/>
        </w:rPr>
      </w:pPr>
      <w:r w:rsidRPr="00E40B3E">
        <w:rPr>
          <w:rFonts w:cs="Arial" w:hint="cs"/>
          <w:u w:val="single"/>
          <w:rtl/>
        </w:rPr>
        <w:t>ספסל שנשמט אחד מירכותיו:</w:t>
      </w:r>
      <w:r w:rsidRPr="00E40B3E">
        <w:rPr>
          <w:rFonts w:cs="Arial" w:hint="cs"/>
          <w:rtl/>
        </w:rPr>
        <w:t xml:space="preserve"> </w:t>
      </w:r>
      <w:r w:rsidRPr="00E40B3E">
        <w:rPr>
          <w:rFonts w:cs="Arial" w:hint="cs"/>
          <w:sz w:val="16"/>
          <w:szCs w:val="16"/>
          <w:rtl/>
        </w:rPr>
        <w:t>(</w:t>
      </w:r>
      <w:r>
        <w:rPr>
          <w:rFonts w:cs="Arial" w:hint="cs"/>
          <w:sz w:val="16"/>
          <w:szCs w:val="16"/>
          <w:rtl/>
        </w:rPr>
        <w:t xml:space="preserve">דרכ"מ </w:t>
      </w:r>
      <w:r w:rsidRPr="00E40B3E">
        <w:rPr>
          <w:rFonts w:cs="Arial" w:hint="cs"/>
          <w:sz w:val="16"/>
          <w:szCs w:val="16"/>
          <w:rtl/>
        </w:rPr>
        <w:t>אות ו</w:t>
      </w:r>
      <w:r w:rsidR="00F529CD">
        <w:rPr>
          <w:rFonts w:cs="Arial" w:hint="cs"/>
          <w:sz w:val="16"/>
          <w:szCs w:val="16"/>
          <w:rtl/>
        </w:rPr>
        <w:t>, וב"י סי' שיג סע' ח</w:t>
      </w:r>
      <w:r w:rsidRPr="00E40B3E">
        <w:rPr>
          <w:rFonts w:cs="Arial" w:hint="cs"/>
          <w:sz w:val="16"/>
          <w:szCs w:val="16"/>
          <w:rtl/>
        </w:rPr>
        <w:t>)</w:t>
      </w:r>
    </w:p>
    <w:p w14:paraId="1937028F" w14:textId="37643F76" w:rsidR="00F529CD" w:rsidRPr="00F529CD" w:rsidRDefault="00E40B3E" w:rsidP="00434A6A">
      <w:pPr>
        <w:pStyle w:val="aa"/>
        <w:numPr>
          <w:ilvl w:val="0"/>
          <w:numId w:val="3"/>
        </w:numPr>
        <w:rPr>
          <w:rFonts w:cs="Arial"/>
          <w:rtl/>
        </w:rPr>
      </w:pPr>
      <w:r w:rsidRPr="00487EF5">
        <w:rPr>
          <w:rFonts w:cs="Arial"/>
          <w:rtl/>
        </w:rPr>
        <w:t>תרוה</w:t>
      </w:r>
      <w:r>
        <w:rPr>
          <w:rFonts w:cs="Arial" w:hint="cs"/>
          <w:rtl/>
        </w:rPr>
        <w:t>"</w:t>
      </w:r>
      <w:r w:rsidRPr="00487EF5">
        <w:rPr>
          <w:rFonts w:cs="Arial"/>
          <w:rtl/>
        </w:rPr>
        <w:t>ד</w:t>
      </w:r>
      <w:r w:rsidRPr="00E40B3E">
        <w:rPr>
          <w:rFonts w:cs="Arial"/>
          <w:sz w:val="16"/>
          <w:szCs w:val="16"/>
          <w:rtl/>
        </w:rPr>
        <w:t xml:space="preserve"> </w:t>
      </w:r>
      <w:r w:rsidRPr="00E40B3E">
        <w:rPr>
          <w:rFonts w:cs="Arial" w:hint="cs"/>
          <w:sz w:val="16"/>
          <w:szCs w:val="16"/>
          <w:rtl/>
        </w:rPr>
        <w:t>(</w:t>
      </w:r>
      <w:r w:rsidRPr="00E40B3E">
        <w:rPr>
          <w:rFonts w:cs="Arial"/>
          <w:sz w:val="16"/>
          <w:szCs w:val="16"/>
          <w:rtl/>
        </w:rPr>
        <w:t>סי</w:t>
      </w:r>
      <w:r w:rsidRPr="00E40B3E">
        <w:rPr>
          <w:rFonts w:cs="Arial" w:hint="cs"/>
          <w:sz w:val="16"/>
          <w:szCs w:val="16"/>
          <w:rtl/>
        </w:rPr>
        <w:t>'</w:t>
      </w:r>
      <w:r w:rsidRPr="00E40B3E">
        <w:rPr>
          <w:rFonts w:cs="Arial"/>
          <w:sz w:val="16"/>
          <w:szCs w:val="16"/>
          <w:rtl/>
        </w:rPr>
        <w:t xml:space="preserve"> עא</w:t>
      </w:r>
      <w:r w:rsidRPr="00E40B3E">
        <w:rPr>
          <w:rFonts w:cs="Arial" w:hint="cs"/>
          <w:sz w:val="16"/>
          <w:szCs w:val="16"/>
          <w:rtl/>
        </w:rPr>
        <w:t>)</w:t>
      </w:r>
      <w:r>
        <w:rPr>
          <w:rFonts w:cs="Arial" w:hint="cs"/>
          <w:rtl/>
        </w:rPr>
        <w:t>-</w:t>
      </w:r>
      <w:r w:rsidRPr="00487EF5">
        <w:rPr>
          <w:rFonts w:cs="Arial"/>
          <w:rtl/>
        </w:rPr>
        <w:t xml:space="preserve"> </w:t>
      </w:r>
      <w:r w:rsidR="00F529CD" w:rsidRPr="00F529CD">
        <w:rPr>
          <w:rFonts w:cs="Arial"/>
          <w:rtl/>
        </w:rPr>
        <w:t>שאלה: ספסל ארוך שנשמט</w:t>
      </w:r>
      <w:r w:rsidR="00F529CD" w:rsidRPr="00F529CD">
        <w:rPr>
          <w:rFonts w:cs="Arial" w:hint="cs"/>
          <w:rtl/>
        </w:rPr>
        <w:t>ה</w:t>
      </w:r>
      <w:r w:rsidR="00F529CD" w:rsidRPr="00F529CD">
        <w:rPr>
          <w:rFonts w:cs="Arial"/>
          <w:rtl/>
        </w:rPr>
        <w:t xml:space="preserve"> אחת מרגליו, שרי לטלטלו ולהניחו בראשו באותו צד שנשמט הרגל על ספסל אחר או לאו? </w:t>
      </w:r>
      <w:r w:rsidR="00F529CD" w:rsidRPr="00F529CD">
        <w:rPr>
          <w:rFonts w:cs="Arial" w:hint="cs"/>
          <w:rtl/>
        </w:rPr>
        <w:t xml:space="preserve">   </w:t>
      </w:r>
      <w:r w:rsidR="00F529CD" w:rsidRPr="00F529CD">
        <w:rPr>
          <w:rFonts w:cs="Arial"/>
          <w:rtl/>
        </w:rPr>
        <w:t xml:space="preserve">תשובה: יראה דיש להסתפק בדבר. וכן ראיתי כתוב על שם אחד מהגדולים שאסור. והביא ראיה מפ' תולין </w:t>
      </w:r>
      <w:r w:rsidR="00F529CD" w:rsidRPr="00F529CD">
        <w:rPr>
          <w:rFonts w:cs="Arial" w:hint="cs"/>
          <w:rtl/>
        </w:rPr>
        <w:t>(</w:t>
      </w:r>
      <w:r w:rsidR="00F529CD" w:rsidRPr="00F529CD">
        <w:rPr>
          <w:rFonts w:cs="Arial"/>
          <w:rtl/>
        </w:rPr>
        <w:t xml:space="preserve">שבת </w:t>
      </w:r>
      <w:r w:rsidR="00F529CD" w:rsidRPr="00F529CD">
        <w:rPr>
          <w:rFonts w:cs="Arial" w:hint="cs"/>
          <w:rtl/>
        </w:rPr>
        <w:t>קלח:)</w:t>
      </w:r>
      <w:r w:rsidR="00F1575A">
        <w:rPr>
          <w:rFonts w:cs="Arial" w:hint="cs"/>
          <w:rtl/>
        </w:rPr>
        <w:t xml:space="preserve"> </w:t>
      </w:r>
      <w:r w:rsidR="00F529CD" w:rsidRPr="00F529CD">
        <w:rPr>
          <w:rFonts w:cs="Arial"/>
          <w:rtl/>
        </w:rPr>
        <w:t xml:space="preserve">כירה שנשמטה מירכותיה אסור לטלטל, גזירה שמא יתקע, והיינו הך ממש. אמנם היה נראה לחלק, דהתם לא מצי להושיבה בלא הירך שנפלה, ולכך גזרינן. אבל כאן אפשר להניח על ספסל אחר, ולא גזרינן דלמא יתקע. אך מדמחלק </w:t>
      </w:r>
      <w:r w:rsidR="00F529CD" w:rsidRPr="00F529CD">
        <w:rPr>
          <w:rFonts w:cs="Arial" w:hint="cs"/>
          <w:sz w:val="16"/>
          <w:szCs w:val="16"/>
          <w:rtl/>
        </w:rPr>
        <w:t>{</w:t>
      </w:r>
      <w:r w:rsidR="00F1575A">
        <w:rPr>
          <w:rFonts w:cs="Arial" w:hint="cs"/>
          <w:sz w:val="16"/>
          <w:szCs w:val="16"/>
          <w:rtl/>
        </w:rPr>
        <w:t>בגמ'</w:t>
      </w:r>
      <w:r w:rsidR="00F529CD" w:rsidRPr="00F529CD">
        <w:rPr>
          <w:rFonts w:cs="Arial" w:hint="cs"/>
          <w:sz w:val="16"/>
          <w:szCs w:val="16"/>
          <w:rtl/>
        </w:rPr>
        <w:t xml:space="preserve">} </w:t>
      </w:r>
      <w:r w:rsidR="00F529CD" w:rsidRPr="00F529CD">
        <w:rPr>
          <w:rFonts w:cs="Arial"/>
          <w:rtl/>
        </w:rPr>
        <w:t>בתחלה התם בין אחת לשתים, משמע נמי דאחת אכתי חזי על ידי סמיכה, ואפ"ה מסקינן לאיסור</w:t>
      </w:r>
      <w:r w:rsidR="00F529CD" w:rsidRPr="00F529CD">
        <w:rPr>
          <w:rFonts w:cs="Arial" w:hint="cs"/>
          <w:rtl/>
        </w:rPr>
        <w:t>.</w:t>
      </w:r>
      <w:r w:rsidR="00F529CD" w:rsidRPr="00F529CD">
        <w:rPr>
          <w:rFonts w:cs="Arial"/>
          <w:rtl/>
        </w:rPr>
        <w:t xml:space="preserve"> והמחמיר תבא עליו ברכה, וכן ראוי הוא להחמיר</w:t>
      </w:r>
      <w:r w:rsidR="00F529CD">
        <w:rPr>
          <w:rStyle w:val="a9"/>
          <w:rFonts w:cs="Arial"/>
          <w:rtl/>
        </w:rPr>
        <w:footnoteReference w:id="1466"/>
      </w:r>
      <w:r w:rsidR="00F529CD" w:rsidRPr="00F529CD">
        <w:rPr>
          <w:rFonts w:cs="Arial" w:hint="cs"/>
          <w:rtl/>
        </w:rPr>
        <w:t>.</w:t>
      </w:r>
      <w:r w:rsidR="00951437">
        <w:rPr>
          <w:rFonts w:cs="Arial" w:hint="cs"/>
          <w:rtl/>
        </w:rPr>
        <w:t xml:space="preserve"> </w:t>
      </w:r>
      <w:r w:rsidR="00951437" w:rsidRPr="00951437">
        <w:rPr>
          <w:rFonts w:cs="Arial" w:hint="cs"/>
          <w:color w:val="00B0F0"/>
          <w:rtl/>
        </w:rPr>
        <w:t>(וכ"פ הרמ"א)</w:t>
      </w:r>
    </w:p>
    <w:p w14:paraId="6500014F"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4AFED3EF" w14:textId="79D83D6C" w:rsidR="00B2563A" w:rsidRDefault="000C6229" w:rsidP="00434A6A">
      <w:pPr>
        <w:rPr>
          <w:rFonts w:asciiTheme="minorBidi" w:hAnsiTheme="minorBidi"/>
          <w:rtl/>
        </w:rPr>
      </w:pPr>
      <w:r w:rsidRPr="005275DF">
        <w:rPr>
          <w:rFonts w:asciiTheme="minorBidi" w:hAnsiTheme="minorBidi"/>
          <w:rtl/>
        </w:rPr>
        <w:t>חלוק שכבסו אותו ותחבו בו קנה</w:t>
      </w:r>
      <w:r w:rsidR="00923463">
        <w:rPr>
          <w:rStyle w:val="a9"/>
          <w:rFonts w:asciiTheme="minorBidi" w:hAnsiTheme="minorBidi"/>
          <w:rtl/>
        </w:rPr>
        <w:footnoteReference w:id="1467"/>
      </w:r>
      <w:r w:rsidRPr="005275DF">
        <w:rPr>
          <w:rFonts w:asciiTheme="minorBidi" w:hAnsiTheme="minorBidi"/>
          <w:rtl/>
        </w:rPr>
        <w:t xml:space="preserve"> לייבשו</w:t>
      </w:r>
      <w:r w:rsidR="00F1575A">
        <w:rPr>
          <w:rFonts w:asciiTheme="minorBidi" w:hAnsiTheme="minorBidi" w:hint="cs"/>
          <w:rtl/>
        </w:rPr>
        <w:t>,</w:t>
      </w:r>
      <w:r w:rsidRPr="005275DF">
        <w:rPr>
          <w:rFonts w:asciiTheme="minorBidi" w:hAnsiTheme="minorBidi"/>
          <w:rtl/>
        </w:rPr>
        <w:t xml:space="preserve"> יכול לשמטו</w:t>
      </w:r>
      <w:r w:rsidR="00923463">
        <w:rPr>
          <w:rStyle w:val="a9"/>
          <w:rFonts w:asciiTheme="minorBidi" w:hAnsiTheme="minorBidi"/>
          <w:rtl/>
        </w:rPr>
        <w:footnoteReference w:id="1468"/>
      </w:r>
      <w:r w:rsidRPr="005275DF">
        <w:rPr>
          <w:rFonts w:asciiTheme="minorBidi" w:hAnsiTheme="minorBidi"/>
          <w:rtl/>
        </w:rPr>
        <w:t xml:space="preserve"> מעל הקנה</w:t>
      </w:r>
      <w:r w:rsidR="00BE6400">
        <w:rPr>
          <w:rFonts w:asciiTheme="minorBidi" w:hAnsiTheme="minorBidi" w:hint="cs"/>
          <w:rtl/>
        </w:rPr>
        <w:t>.</w:t>
      </w:r>
      <w:r w:rsidRPr="005275DF">
        <w:rPr>
          <w:rFonts w:asciiTheme="minorBidi" w:hAnsiTheme="minorBidi"/>
          <w:rtl/>
        </w:rPr>
        <w:t xml:space="preserve"> אבל ליקח הקנה מתוכו, אסור</w:t>
      </w:r>
      <w:r w:rsidR="00923463">
        <w:rPr>
          <w:rStyle w:val="a9"/>
          <w:rFonts w:asciiTheme="minorBidi" w:hAnsiTheme="minorBidi"/>
          <w:rtl/>
        </w:rPr>
        <w:footnoteReference w:id="1469"/>
      </w:r>
      <w:r w:rsidR="00F1575A">
        <w:rPr>
          <w:rFonts w:asciiTheme="minorBidi" w:hAnsiTheme="minorBidi" w:hint="cs"/>
          <w:rtl/>
        </w:rPr>
        <w:t>,</w:t>
      </w:r>
      <w:r w:rsidRPr="005275DF">
        <w:rPr>
          <w:rFonts w:asciiTheme="minorBidi" w:hAnsiTheme="minorBidi"/>
          <w:rtl/>
        </w:rPr>
        <w:t xml:space="preserve"> לפי שאינו כלי</w:t>
      </w:r>
      <w:r w:rsidR="00923463">
        <w:rPr>
          <w:rStyle w:val="a9"/>
          <w:rFonts w:asciiTheme="minorBidi" w:hAnsiTheme="minorBidi"/>
          <w:rtl/>
        </w:rPr>
        <w:footnoteReference w:id="1470"/>
      </w:r>
      <w:r w:rsidRPr="005275DF">
        <w:rPr>
          <w:rFonts w:asciiTheme="minorBidi" w:hAnsiTheme="minorBidi"/>
          <w:rtl/>
        </w:rPr>
        <w:t>. ואם תחבו בו כלי, מותר ליטלו מתוכו אפילו הוא מלאכתו לאיסור</w:t>
      </w:r>
      <w:r w:rsidR="00923463">
        <w:rPr>
          <w:rStyle w:val="a9"/>
          <w:rFonts w:asciiTheme="minorBidi" w:hAnsiTheme="minorBidi"/>
          <w:rtl/>
        </w:rPr>
        <w:footnoteReference w:id="1471"/>
      </w:r>
      <w:r w:rsidRPr="005275DF">
        <w:rPr>
          <w:rFonts w:asciiTheme="minorBidi" w:hAnsiTheme="minorBidi"/>
          <w:rtl/>
        </w:rPr>
        <w:t>. כירה שנשמטה אפילו אחת מירכותיה, אסור לטלטלה</w:t>
      </w:r>
      <w:r w:rsidR="00923463">
        <w:rPr>
          <w:rStyle w:val="a9"/>
          <w:rFonts w:asciiTheme="minorBidi" w:hAnsiTheme="minorBidi"/>
          <w:rtl/>
        </w:rPr>
        <w:footnoteReference w:id="1472"/>
      </w:r>
      <w:r w:rsidRPr="005275DF">
        <w:rPr>
          <w:rFonts w:asciiTheme="minorBidi" w:hAnsiTheme="minorBidi"/>
          <w:rtl/>
        </w:rPr>
        <w:t xml:space="preserve">. </w:t>
      </w:r>
      <w:r w:rsidRPr="00BE6400">
        <w:rPr>
          <w:rFonts w:asciiTheme="minorBidi" w:hAnsiTheme="minorBidi"/>
          <w:sz w:val="18"/>
          <w:szCs w:val="18"/>
          <w:rtl/>
        </w:rPr>
        <w:t>הגה: וכן ספסל ארוך שנשמט א</w:t>
      </w:r>
      <w:r w:rsidR="00F1575A">
        <w:rPr>
          <w:rFonts w:asciiTheme="minorBidi" w:hAnsiTheme="minorBidi" w:hint="cs"/>
          <w:sz w:val="18"/>
          <w:szCs w:val="18"/>
          <w:rtl/>
        </w:rPr>
        <w:t>חד</w:t>
      </w:r>
      <w:r w:rsidRPr="00BE6400">
        <w:rPr>
          <w:rFonts w:asciiTheme="minorBidi" w:hAnsiTheme="minorBidi"/>
          <w:sz w:val="18"/>
          <w:szCs w:val="18"/>
          <w:rtl/>
        </w:rPr>
        <w:t xml:space="preserve"> מרגלי</w:t>
      </w:r>
      <w:r w:rsidR="00B54C7C">
        <w:rPr>
          <w:rFonts w:asciiTheme="minorBidi" w:hAnsiTheme="minorBidi" w:hint="cs"/>
          <w:sz w:val="18"/>
          <w:szCs w:val="18"/>
          <w:rtl/>
        </w:rPr>
        <w:t>ו</w:t>
      </w:r>
      <w:r w:rsidR="00923463">
        <w:rPr>
          <w:rStyle w:val="a9"/>
          <w:rFonts w:asciiTheme="minorBidi" w:hAnsiTheme="minorBidi"/>
          <w:sz w:val="18"/>
          <w:szCs w:val="18"/>
          <w:rtl/>
        </w:rPr>
        <w:footnoteReference w:id="1473"/>
      </w:r>
      <w:r w:rsidRPr="00BE6400">
        <w:rPr>
          <w:rFonts w:asciiTheme="minorBidi" w:hAnsiTheme="minorBidi"/>
          <w:sz w:val="18"/>
          <w:szCs w:val="18"/>
          <w:rtl/>
        </w:rPr>
        <w:t>, כ</w:t>
      </w:r>
      <w:r w:rsidR="00C437D3">
        <w:rPr>
          <w:rFonts w:asciiTheme="minorBidi" w:hAnsiTheme="minorBidi" w:hint="cs"/>
          <w:sz w:val="18"/>
          <w:szCs w:val="18"/>
          <w:rtl/>
        </w:rPr>
        <w:t>"</w:t>
      </w:r>
      <w:r w:rsidRPr="00BE6400">
        <w:rPr>
          <w:rFonts w:asciiTheme="minorBidi" w:hAnsiTheme="minorBidi"/>
          <w:sz w:val="18"/>
          <w:szCs w:val="18"/>
          <w:rtl/>
        </w:rPr>
        <w:t>ש שתים, דאסור לטלטלה ולהניחה</w:t>
      </w:r>
      <w:r w:rsidR="00923463">
        <w:rPr>
          <w:rStyle w:val="a9"/>
          <w:rFonts w:asciiTheme="minorBidi" w:hAnsiTheme="minorBidi"/>
          <w:sz w:val="18"/>
          <w:szCs w:val="18"/>
          <w:rtl/>
        </w:rPr>
        <w:footnoteReference w:id="1474"/>
      </w:r>
      <w:r w:rsidRPr="00BE6400">
        <w:rPr>
          <w:rFonts w:asciiTheme="minorBidi" w:hAnsiTheme="minorBidi"/>
          <w:sz w:val="18"/>
          <w:szCs w:val="18"/>
          <w:rtl/>
        </w:rPr>
        <w:t xml:space="preserve"> על ספסל אחר ולישב עלי</w:t>
      </w:r>
      <w:r w:rsidR="00B54C7C">
        <w:rPr>
          <w:rFonts w:asciiTheme="minorBidi" w:hAnsiTheme="minorBidi" w:hint="cs"/>
          <w:sz w:val="18"/>
          <w:szCs w:val="18"/>
          <w:rtl/>
        </w:rPr>
        <w:t>ו</w:t>
      </w:r>
      <w:r w:rsidR="00C437D3">
        <w:rPr>
          <w:rFonts w:asciiTheme="minorBidi" w:hAnsiTheme="minorBidi" w:hint="cs"/>
          <w:sz w:val="18"/>
          <w:szCs w:val="18"/>
          <w:rtl/>
        </w:rPr>
        <w:t>,</w:t>
      </w:r>
      <w:r w:rsidRPr="00BE6400">
        <w:rPr>
          <w:rFonts w:asciiTheme="minorBidi" w:hAnsiTheme="minorBidi"/>
          <w:sz w:val="18"/>
          <w:szCs w:val="18"/>
          <w:rtl/>
        </w:rPr>
        <w:t xml:space="preserve"> אפילו נשבר </w:t>
      </w:r>
      <w:r w:rsidR="00357CCA">
        <w:rPr>
          <w:rFonts w:asciiTheme="minorBidi" w:hAnsiTheme="minorBidi"/>
          <w:sz w:val="18"/>
          <w:szCs w:val="18"/>
          <w:rtl/>
        </w:rPr>
        <w:t>מבעוד יום</w:t>
      </w:r>
      <w:r w:rsidRPr="00BE6400">
        <w:rPr>
          <w:rFonts w:asciiTheme="minorBidi" w:hAnsiTheme="minorBidi"/>
          <w:sz w:val="18"/>
          <w:szCs w:val="18"/>
          <w:rtl/>
        </w:rPr>
        <w:t xml:space="preserve"> (תרו</w:t>
      </w:r>
      <w:r w:rsidR="00C437D3">
        <w:rPr>
          <w:rFonts w:asciiTheme="minorBidi" w:hAnsiTheme="minorBidi" w:hint="cs"/>
          <w:sz w:val="18"/>
          <w:szCs w:val="18"/>
          <w:rtl/>
        </w:rPr>
        <w:t>ה"</w:t>
      </w:r>
      <w:r w:rsidRPr="00BE6400">
        <w:rPr>
          <w:rFonts w:asciiTheme="minorBidi" w:hAnsiTheme="minorBidi"/>
          <w:sz w:val="18"/>
          <w:szCs w:val="18"/>
          <w:rtl/>
        </w:rPr>
        <w:t>ד), אא"כ ישב עליה כך פעם אחת קודם השבת</w:t>
      </w:r>
      <w:r w:rsidR="00923463">
        <w:rPr>
          <w:rStyle w:val="a9"/>
          <w:rFonts w:asciiTheme="minorBidi" w:hAnsiTheme="minorBidi"/>
          <w:sz w:val="18"/>
          <w:szCs w:val="18"/>
          <w:rtl/>
        </w:rPr>
        <w:footnoteReference w:id="1475"/>
      </w:r>
      <w:r w:rsidRPr="00BE6400">
        <w:rPr>
          <w:rFonts w:asciiTheme="minorBidi" w:hAnsiTheme="minorBidi"/>
          <w:sz w:val="18"/>
          <w:szCs w:val="18"/>
          <w:rtl/>
        </w:rPr>
        <w:t xml:space="preserve"> (</w:t>
      </w:r>
      <w:r w:rsidR="00951437">
        <w:rPr>
          <w:rFonts w:asciiTheme="minorBidi" w:hAnsiTheme="minorBidi" w:hint="cs"/>
          <w:sz w:val="18"/>
          <w:szCs w:val="18"/>
          <w:rtl/>
        </w:rPr>
        <w:t>ד"ע</w:t>
      </w:r>
      <w:r w:rsidRPr="00BE6400">
        <w:rPr>
          <w:rFonts w:asciiTheme="minorBidi" w:hAnsiTheme="minorBidi"/>
          <w:sz w:val="18"/>
          <w:szCs w:val="18"/>
          <w:rtl/>
        </w:rPr>
        <w:t>). גם אסור להכניס</w:t>
      </w:r>
      <w:r w:rsidR="00855CAD">
        <w:rPr>
          <w:rStyle w:val="a9"/>
          <w:rFonts w:asciiTheme="minorBidi" w:hAnsiTheme="minorBidi"/>
          <w:sz w:val="18"/>
          <w:szCs w:val="18"/>
          <w:rtl/>
        </w:rPr>
        <w:footnoteReference w:id="1476"/>
      </w:r>
      <w:r w:rsidRPr="00BE6400">
        <w:rPr>
          <w:rFonts w:asciiTheme="minorBidi" w:hAnsiTheme="minorBidi"/>
          <w:sz w:val="18"/>
          <w:szCs w:val="18"/>
          <w:rtl/>
        </w:rPr>
        <w:t xml:space="preserve"> הרגל לשם משום בנין (ב"י </w:t>
      </w:r>
      <w:r w:rsidR="00951437">
        <w:rPr>
          <w:rFonts w:asciiTheme="minorBidi" w:hAnsiTheme="minorBidi" w:hint="cs"/>
          <w:sz w:val="18"/>
          <w:szCs w:val="18"/>
          <w:rtl/>
        </w:rPr>
        <w:t>בסי' שיג</w:t>
      </w:r>
      <w:r w:rsidRPr="00BE6400">
        <w:rPr>
          <w:rFonts w:asciiTheme="minorBidi" w:hAnsiTheme="minorBidi"/>
          <w:sz w:val="18"/>
          <w:szCs w:val="18"/>
          <w:rtl/>
        </w:rPr>
        <w:t>).</w:t>
      </w:r>
    </w:p>
    <w:p w14:paraId="21C86342" w14:textId="77777777" w:rsidR="00B2563A" w:rsidRPr="005275DF" w:rsidRDefault="00B2563A" w:rsidP="00434A6A">
      <w:pPr>
        <w:rPr>
          <w:rFonts w:asciiTheme="minorBidi" w:hAnsiTheme="minorBidi"/>
          <w:rtl/>
        </w:rPr>
      </w:pPr>
    </w:p>
    <w:p w14:paraId="05FAD281" w14:textId="4475B1DD" w:rsidR="000C6229" w:rsidRDefault="000C6229" w:rsidP="00434A6A">
      <w:pPr>
        <w:pStyle w:val="2"/>
        <w:rPr>
          <w:rtl/>
        </w:rPr>
      </w:pPr>
      <w:r w:rsidRPr="005275DF">
        <w:rPr>
          <w:rtl/>
        </w:rPr>
        <w:t>סעיף יז</w:t>
      </w:r>
      <w:r w:rsidR="00F63421">
        <w:rPr>
          <w:rFonts w:hint="cs"/>
          <w:rtl/>
        </w:rPr>
        <w:t>:</w:t>
      </w:r>
      <w:r w:rsidR="00C47FEA">
        <w:rPr>
          <w:rFonts w:hint="cs"/>
          <w:rtl/>
        </w:rPr>
        <w:t xml:space="preserve"> לבנים של בניין.</w:t>
      </w:r>
    </w:p>
    <w:p w14:paraId="1C4CE661" w14:textId="77777777" w:rsidR="00FF7CD6" w:rsidRDefault="00FF7CD6" w:rsidP="00434A6A">
      <w:pPr>
        <w:rPr>
          <w:rFonts w:cs="Arial"/>
          <w:rtl/>
        </w:rPr>
      </w:pPr>
      <w:r w:rsidRPr="002A45F7">
        <w:rPr>
          <w:rFonts w:hint="cs"/>
          <w:b/>
          <w:bCs/>
          <w:rtl/>
        </w:rPr>
        <w:t xml:space="preserve">שבת </w:t>
      </w:r>
      <w:r>
        <w:rPr>
          <w:rFonts w:hint="cs"/>
          <w:b/>
          <w:bCs/>
          <w:sz w:val="16"/>
          <w:szCs w:val="16"/>
          <w:rtl/>
        </w:rPr>
        <w:t>(פ' כל הכלים)</w:t>
      </w:r>
      <w:r>
        <w:rPr>
          <w:rFonts w:hint="cs"/>
          <w:b/>
          <w:bCs/>
          <w:rtl/>
        </w:rPr>
        <w:t xml:space="preserve"> </w:t>
      </w:r>
      <w:r w:rsidRPr="002A45F7">
        <w:rPr>
          <w:rFonts w:hint="cs"/>
          <w:b/>
          <w:bCs/>
          <w:rtl/>
        </w:rPr>
        <w:t>ק</w:t>
      </w:r>
      <w:r>
        <w:rPr>
          <w:rFonts w:hint="cs"/>
          <w:b/>
          <w:bCs/>
          <w:rtl/>
        </w:rPr>
        <w:t>כד</w:t>
      </w:r>
      <w:r>
        <w:rPr>
          <w:rStyle w:val="a9"/>
          <w:b/>
          <w:bCs/>
          <w:rtl/>
        </w:rPr>
        <w:footnoteReference w:id="1477"/>
      </w:r>
      <w:r w:rsidRPr="002A45F7">
        <w:rPr>
          <w:rFonts w:hint="cs"/>
          <w:b/>
          <w:bCs/>
          <w:rtl/>
        </w:rPr>
        <w:t xml:space="preserve"> ע"</w:t>
      </w:r>
      <w:r>
        <w:rPr>
          <w:rFonts w:hint="cs"/>
          <w:b/>
          <w:bCs/>
          <w:rtl/>
        </w:rPr>
        <w:t>ב</w:t>
      </w:r>
      <w:r w:rsidRPr="002A45F7">
        <w:rPr>
          <w:rFonts w:hint="cs"/>
          <w:b/>
          <w:bCs/>
          <w:rtl/>
        </w:rPr>
        <w:t>:</w:t>
      </w:r>
      <w:r>
        <w:rPr>
          <w:rFonts w:cs="Arial" w:hint="cs"/>
          <w:rtl/>
        </w:rPr>
        <w:t xml:space="preserve"> </w:t>
      </w:r>
      <w:r w:rsidRPr="00FF7CD6">
        <w:rPr>
          <w:rFonts w:cs="Arial"/>
          <w:u w:val="single"/>
          <w:rtl/>
        </w:rPr>
        <w:t>אמר רב נחמן</w:t>
      </w:r>
      <w:r w:rsidRPr="00C47FEA">
        <w:rPr>
          <w:rFonts w:cs="Arial"/>
          <w:rtl/>
        </w:rPr>
        <w:t>: הני ליבני דאישתיור</w:t>
      </w:r>
      <w:r>
        <w:rPr>
          <w:rStyle w:val="a9"/>
          <w:rFonts w:cs="Arial"/>
          <w:rtl/>
        </w:rPr>
        <w:footnoteReference w:id="1478"/>
      </w:r>
      <w:r w:rsidRPr="00C47FEA">
        <w:rPr>
          <w:rFonts w:cs="Arial"/>
          <w:rtl/>
        </w:rPr>
        <w:t xml:space="preserve"> מבניינא - שרי לטלטולינהו, דחזו למיזגא עלייהו. שרגינהו</w:t>
      </w:r>
      <w:r>
        <w:rPr>
          <w:rStyle w:val="a9"/>
          <w:rFonts w:cs="Arial"/>
          <w:rtl/>
        </w:rPr>
        <w:footnoteReference w:id="1479"/>
      </w:r>
      <w:r w:rsidRPr="00C47FEA">
        <w:rPr>
          <w:rFonts w:cs="Arial"/>
          <w:rtl/>
        </w:rPr>
        <w:t xml:space="preserve"> - ודאי אקצינהו. </w:t>
      </w:r>
    </w:p>
    <w:p w14:paraId="529E1BC6" w14:textId="40F21655" w:rsidR="00C47FEA" w:rsidRPr="00C47FEA" w:rsidRDefault="00C47FEA" w:rsidP="00434A6A">
      <w:pPr>
        <w:rPr>
          <w:u w:val="single"/>
          <w:rtl/>
        </w:rPr>
      </w:pPr>
      <w:r w:rsidRPr="00C47FEA">
        <w:rPr>
          <w:rFonts w:hint="cs"/>
          <w:u w:val="single"/>
          <w:rtl/>
        </w:rPr>
        <w:t>לבנים של בניין:</w:t>
      </w:r>
    </w:p>
    <w:p w14:paraId="026A4B4D" w14:textId="55B8B436" w:rsidR="00245F0F" w:rsidRPr="00BE6400" w:rsidRDefault="00BE6400" w:rsidP="00434A6A">
      <w:pPr>
        <w:pStyle w:val="aa"/>
        <w:numPr>
          <w:ilvl w:val="0"/>
          <w:numId w:val="3"/>
        </w:numPr>
        <w:rPr>
          <w:rFonts w:cs="Arial"/>
          <w:rtl/>
        </w:rPr>
      </w:pPr>
      <w:r w:rsidRPr="00BE6400">
        <w:rPr>
          <w:rFonts w:cs="Arial" w:hint="cs"/>
          <w:rtl/>
        </w:rPr>
        <w:t xml:space="preserve">טור- </w:t>
      </w:r>
      <w:r w:rsidR="00245F0F" w:rsidRPr="00BE6400">
        <w:rPr>
          <w:rFonts w:cs="Arial"/>
          <w:rtl/>
        </w:rPr>
        <w:t xml:space="preserve">לבנים שנשארו מן הבנין מותר לטלטלן סדרן זה על זה והקצם לבנין אסור לטלטלן. </w:t>
      </w:r>
      <w:r w:rsidR="00FF7CD6" w:rsidRPr="00FF0175">
        <w:rPr>
          <w:rFonts w:cs="Arial" w:hint="cs"/>
          <w:color w:val="E36C0A" w:themeColor="accent6" w:themeShade="BF"/>
          <w:rtl/>
        </w:rPr>
        <w:t>(וכ"פ בשו"ע)</w:t>
      </w:r>
    </w:p>
    <w:p w14:paraId="5E278C76"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2E44733E" w14:textId="0D1FB0C8" w:rsidR="000C6229" w:rsidRPr="005275DF" w:rsidRDefault="000C6229" w:rsidP="00434A6A">
      <w:pPr>
        <w:rPr>
          <w:rFonts w:asciiTheme="minorBidi" w:hAnsiTheme="minorBidi"/>
          <w:rtl/>
        </w:rPr>
      </w:pPr>
      <w:r w:rsidRPr="005275DF">
        <w:rPr>
          <w:rFonts w:asciiTheme="minorBidi" w:hAnsiTheme="minorBidi"/>
          <w:rtl/>
        </w:rPr>
        <w:t>לבנים שנשארו מהבנין, מותר לטלטלם דמעתה לא קיימי לבנין אלא למזגא עלייהו</w:t>
      </w:r>
      <w:r w:rsidR="00FF7CD6">
        <w:rPr>
          <w:rStyle w:val="a9"/>
          <w:rFonts w:asciiTheme="minorBidi" w:hAnsiTheme="minorBidi"/>
          <w:rtl/>
        </w:rPr>
        <w:footnoteReference w:id="1480"/>
      </w:r>
      <w:r w:rsidRPr="005275DF">
        <w:rPr>
          <w:rFonts w:asciiTheme="minorBidi" w:hAnsiTheme="minorBidi"/>
          <w:rtl/>
        </w:rPr>
        <w:t>. ואם סידרן זה על זה, גלי אדעתיה שהקצן לבנין ואסור לטלטלם</w:t>
      </w:r>
      <w:r w:rsidR="00FF7CD6">
        <w:rPr>
          <w:rStyle w:val="a9"/>
          <w:rFonts w:asciiTheme="minorBidi" w:hAnsiTheme="minorBidi"/>
          <w:rtl/>
        </w:rPr>
        <w:footnoteReference w:id="1481"/>
      </w:r>
      <w:r w:rsidRPr="005275DF">
        <w:rPr>
          <w:rFonts w:asciiTheme="minorBidi" w:hAnsiTheme="minorBidi"/>
          <w:rtl/>
        </w:rPr>
        <w:t xml:space="preserve">. </w:t>
      </w:r>
    </w:p>
    <w:p w14:paraId="1305EC57" w14:textId="77777777" w:rsidR="000C6229" w:rsidRPr="005275DF" w:rsidRDefault="000C6229" w:rsidP="00434A6A">
      <w:pPr>
        <w:rPr>
          <w:rFonts w:asciiTheme="minorBidi" w:hAnsiTheme="minorBidi"/>
          <w:rtl/>
        </w:rPr>
      </w:pPr>
    </w:p>
    <w:p w14:paraId="65487EC6" w14:textId="2899A255" w:rsidR="000C6229" w:rsidRDefault="000C6229" w:rsidP="00434A6A">
      <w:pPr>
        <w:pStyle w:val="2"/>
        <w:rPr>
          <w:rtl/>
        </w:rPr>
      </w:pPr>
      <w:r w:rsidRPr="005275DF">
        <w:rPr>
          <w:rtl/>
        </w:rPr>
        <w:t>סעיף יח</w:t>
      </w:r>
      <w:r w:rsidR="00FF7CD6">
        <w:rPr>
          <w:rFonts w:hint="cs"/>
          <w:rtl/>
        </w:rPr>
        <w:t>: קוץ במקום שרבים הולכים שם.</w:t>
      </w:r>
    </w:p>
    <w:p w14:paraId="57655162" w14:textId="0754F36E" w:rsidR="00FF7CD6" w:rsidRPr="003D4E3C" w:rsidRDefault="00FF7CD6" w:rsidP="00434A6A">
      <w:pPr>
        <w:rPr>
          <w:rFonts w:cs="Arial"/>
          <w:rtl/>
        </w:rPr>
      </w:pPr>
      <w:r w:rsidRPr="002A45F7">
        <w:rPr>
          <w:rFonts w:hint="cs"/>
          <w:b/>
          <w:bCs/>
          <w:rtl/>
        </w:rPr>
        <w:t xml:space="preserve">שבת </w:t>
      </w:r>
      <w:r>
        <w:rPr>
          <w:rFonts w:hint="cs"/>
          <w:b/>
          <w:bCs/>
          <w:sz w:val="16"/>
          <w:szCs w:val="16"/>
          <w:rtl/>
        </w:rPr>
        <w:t>(פ' כירה)</w:t>
      </w:r>
      <w:r>
        <w:rPr>
          <w:rFonts w:hint="cs"/>
          <w:b/>
          <w:bCs/>
          <w:rtl/>
        </w:rPr>
        <w:t xml:space="preserve"> מב</w:t>
      </w:r>
      <w:r w:rsidRPr="002A45F7">
        <w:rPr>
          <w:rFonts w:hint="cs"/>
          <w:b/>
          <w:bCs/>
          <w:rtl/>
        </w:rPr>
        <w:t xml:space="preserve"> ע"</w:t>
      </w:r>
      <w:r>
        <w:rPr>
          <w:rFonts w:hint="cs"/>
          <w:b/>
          <w:bCs/>
          <w:rtl/>
        </w:rPr>
        <w:t>א</w:t>
      </w:r>
      <w:r w:rsidRPr="002A45F7">
        <w:rPr>
          <w:rFonts w:hint="cs"/>
          <w:b/>
          <w:bCs/>
          <w:rtl/>
        </w:rPr>
        <w:t>:</w:t>
      </w:r>
      <w:r>
        <w:rPr>
          <w:rFonts w:cs="Arial" w:hint="cs"/>
          <w:rtl/>
        </w:rPr>
        <w:t xml:space="preserve"> </w:t>
      </w:r>
      <w:r w:rsidR="003D4E3C" w:rsidRPr="003D4E3C">
        <w:rPr>
          <w:rFonts w:cs="Arial"/>
          <w:u w:val="single"/>
          <w:rtl/>
        </w:rPr>
        <w:t>אמר רב</w:t>
      </w:r>
      <w:r w:rsidR="003D4E3C" w:rsidRPr="003D4E3C">
        <w:rPr>
          <w:rFonts w:cs="Arial"/>
          <w:rtl/>
        </w:rPr>
        <w:t>: לא שנו</w:t>
      </w:r>
      <w:r w:rsidR="003D4E3C">
        <w:rPr>
          <w:rStyle w:val="a9"/>
          <w:rFonts w:cs="Arial"/>
          <w:rtl/>
        </w:rPr>
        <w:footnoteReference w:id="1482"/>
      </w:r>
      <w:r w:rsidR="003D4E3C" w:rsidRPr="003D4E3C">
        <w:rPr>
          <w:rFonts w:cs="Arial"/>
          <w:rtl/>
        </w:rPr>
        <w:t xml:space="preserve"> אלא שיעור להפשיר</w:t>
      </w:r>
      <w:r w:rsidR="003D4E3C">
        <w:rPr>
          <w:rStyle w:val="a9"/>
          <w:rFonts w:cs="Arial"/>
          <w:rtl/>
        </w:rPr>
        <w:footnoteReference w:id="1483"/>
      </w:r>
      <w:r w:rsidR="003D4E3C" w:rsidRPr="003D4E3C">
        <w:rPr>
          <w:rFonts w:cs="Arial"/>
          <w:rtl/>
        </w:rPr>
        <w:t xml:space="preserve">, אבל שיעור לצרף - אסור. </w:t>
      </w:r>
      <w:r w:rsidR="003D4E3C" w:rsidRPr="003D4E3C">
        <w:rPr>
          <w:rFonts w:cs="Arial"/>
          <w:u w:val="single"/>
          <w:rtl/>
        </w:rPr>
        <w:t>ושמואל אמר</w:t>
      </w:r>
      <w:r w:rsidR="003D4E3C" w:rsidRPr="003D4E3C">
        <w:rPr>
          <w:rFonts w:cs="Arial"/>
          <w:rtl/>
        </w:rPr>
        <w:t>: אפילו שיעור לצרף</w:t>
      </w:r>
      <w:r w:rsidR="003D4E3C">
        <w:rPr>
          <w:rStyle w:val="a9"/>
          <w:rFonts w:cs="Arial"/>
          <w:rtl/>
        </w:rPr>
        <w:footnoteReference w:id="1484"/>
      </w:r>
      <w:r w:rsidR="003D4E3C" w:rsidRPr="003D4E3C">
        <w:rPr>
          <w:rFonts w:cs="Arial"/>
          <w:rtl/>
        </w:rPr>
        <w:t xml:space="preserve"> </w:t>
      </w:r>
      <w:r w:rsidR="003D4E3C">
        <w:rPr>
          <w:rFonts w:cs="Arial" w:hint="cs"/>
          <w:sz w:val="14"/>
          <w:szCs w:val="14"/>
          <w:rtl/>
        </w:rPr>
        <w:t xml:space="preserve">(מב.) </w:t>
      </w:r>
      <w:r w:rsidR="003D4E3C">
        <w:rPr>
          <w:rFonts w:cs="Arial" w:hint="cs"/>
          <w:rtl/>
        </w:rPr>
        <w:t xml:space="preserve">- </w:t>
      </w:r>
      <w:r w:rsidR="003D4E3C" w:rsidRPr="003D4E3C">
        <w:rPr>
          <w:rFonts w:cs="Arial"/>
          <w:rtl/>
        </w:rPr>
        <w:t xml:space="preserve">מותר. למימרא דשמואל כרבי שמעון סבירא ליה? </w:t>
      </w:r>
      <w:r w:rsidRPr="00FF7CD6">
        <w:rPr>
          <w:rFonts w:cs="Arial"/>
          <w:rtl/>
        </w:rPr>
        <w:t>והאמר שמואל: מכבין גחלת של מתכת</w:t>
      </w:r>
      <w:r w:rsidR="008A659F">
        <w:rPr>
          <w:rStyle w:val="a9"/>
          <w:rFonts w:cs="Arial"/>
          <w:rtl/>
        </w:rPr>
        <w:footnoteReference w:id="1485"/>
      </w:r>
      <w:r w:rsidRPr="00FF7CD6">
        <w:rPr>
          <w:rFonts w:cs="Arial"/>
          <w:rtl/>
        </w:rPr>
        <w:t xml:space="preserve"> ברשות הרבים בשביל שלא יזוקו בה רבים, אבל לא גחלת של עץ</w:t>
      </w:r>
      <w:r w:rsidR="008A659F">
        <w:rPr>
          <w:rStyle w:val="a9"/>
          <w:rFonts w:cs="Arial"/>
          <w:rtl/>
        </w:rPr>
        <w:footnoteReference w:id="1486"/>
      </w:r>
      <w:r w:rsidRPr="00FF7CD6">
        <w:rPr>
          <w:rFonts w:cs="Arial"/>
          <w:rtl/>
        </w:rPr>
        <w:t>. ואי סלקא דעתך סבר לה כרבי שמעון - אפילו של עץ נמי</w:t>
      </w:r>
      <w:r w:rsidR="008A659F">
        <w:rPr>
          <w:rStyle w:val="a9"/>
          <w:rFonts w:cs="Arial"/>
          <w:rtl/>
        </w:rPr>
        <w:footnoteReference w:id="1487"/>
      </w:r>
      <w:r w:rsidRPr="00FF7CD6">
        <w:rPr>
          <w:rFonts w:cs="Arial"/>
          <w:rtl/>
        </w:rPr>
        <w:t xml:space="preserve">! בדבר שאין מתכוין - סבר לה כרבי שמעון, במלאכה שאינה צריכה לגופה - סבר לה כרבי יהודה. </w:t>
      </w:r>
      <w:r w:rsidRPr="00001FAF">
        <w:rPr>
          <w:rFonts w:cs="Arial"/>
          <w:u w:val="single"/>
          <w:rtl/>
        </w:rPr>
        <w:t>אמר רבינא</w:t>
      </w:r>
      <w:r w:rsidRPr="00FF7CD6">
        <w:rPr>
          <w:rFonts w:cs="Arial"/>
          <w:rtl/>
        </w:rPr>
        <w:t>: הלכך</w:t>
      </w:r>
      <w:r w:rsidR="008A659F">
        <w:rPr>
          <w:rStyle w:val="a9"/>
          <w:rFonts w:cs="Arial"/>
          <w:rtl/>
        </w:rPr>
        <w:footnoteReference w:id="1488"/>
      </w:r>
      <w:r w:rsidRPr="00FF7CD6">
        <w:rPr>
          <w:rFonts w:cs="Arial"/>
          <w:rtl/>
        </w:rPr>
        <w:t xml:space="preserve"> קוץ ברשות הרבים - מוליכו פחות פחות מארבע אמות</w:t>
      </w:r>
      <w:r w:rsidR="008A659F">
        <w:rPr>
          <w:rStyle w:val="a9"/>
          <w:rFonts w:cs="Arial"/>
          <w:rtl/>
        </w:rPr>
        <w:footnoteReference w:id="1489"/>
      </w:r>
      <w:r w:rsidRPr="00FF7CD6">
        <w:rPr>
          <w:rFonts w:cs="Arial"/>
          <w:rtl/>
        </w:rPr>
        <w:t>, ובכרמלית</w:t>
      </w:r>
      <w:r w:rsidR="008A659F">
        <w:rPr>
          <w:rStyle w:val="a9"/>
          <w:rFonts w:cs="Arial"/>
          <w:rtl/>
        </w:rPr>
        <w:footnoteReference w:id="1490"/>
      </w:r>
      <w:r w:rsidRPr="00FF7CD6">
        <w:rPr>
          <w:rFonts w:cs="Arial"/>
          <w:rtl/>
        </w:rPr>
        <w:t xml:space="preserve"> אפילו טובא</w:t>
      </w:r>
      <w:r w:rsidR="008A659F">
        <w:rPr>
          <w:rStyle w:val="a9"/>
          <w:rFonts w:cs="Arial"/>
          <w:rtl/>
        </w:rPr>
        <w:footnoteReference w:id="1491"/>
      </w:r>
      <w:r w:rsidRPr="00FF7CD6">
        <w:rPr>
          <w:rFonts w:cs="Arial"/>
          <w:rtl/>
        </w:rPr>
        <w:t xml:space="preserve">. </w:t>
      </w:r>
      <w:r w:rsidRPr="00FF7CD6">
        <w:rPr>
          <w:rFonts w:cs="Arial" w:hint="cs"/>
          <w:sz w:val="16"/>
          <w:szCs w:val="16"/>
          <w:rtl/>
        </w:rPr>
        <w:t>(</w:t>
      </w:r>
      <w:r w:rsidRPr="00FF7CD6">
        <w:rPr>
          <w:rFonts w:cs="Arial"/>
          <w:sz w:val="16"/>
          <w:szCs w:val="16"/>
          <w:rtl/>
        </w:rPr>
        <w:t>וטעמא דשרי משום דחיישינן שמא יוזקו בו רבים</w:t>
      </w:r>
      <w:r>
        <w:rPr>
          <w:rFonts w:cs="Arial" w:hint="cs"/>
          <w:sz w:val="16"/>
          <w:szCs w:val="16"/>
          <w:rtl/>
        </w:rPr>
        <w:t>,</w:t>
      </w:r>
      <w:r w:rsidRPr="00FF7CD6">
        <w:rPr>
          <w:rFonts w:cs="Arial"/>
          <w:sz w:val="16"/>
          <w:szCs w:val="16"/>
          <w:rtl/>
        </w:rPr>
        <w:t xml:space="preserve"> ובמקום הזיקא דרבים לא גזרי רבנן שבות</w:t>
      </w:r>
      <w:r w:rsidR="00A16E04" w:rsidRPr="00A16E04">
        <w:rPr>
          <w:rStyle w:val="a9"/>
          <w:rFonts w:cs="Arial"/>
          <w:sz w:val="16"/>
          <w:szCs w:val="16"/>
          <w:rtl/>
        </w:rPr>
        <w:footnoteReference w:id="1492"/>
      </w:r>
      <w:r>
        <w:rPr>
          <w:rFonts w:cs="Arial" w:hint="cs"/>
          <w:sz w:val="16"/>
          <w:szCs w:val="16"/>
          <w:rtl/>
        </w:rPr>
        <w:t>.</w:t>
      </w:r>
      <w:r w:rsidRPr="00FF7CD6">
        <w:rPr>
          <w:rFonts w:cs="Arial"/>
          <w:sz w:val="16"/>
          <w:szCs w:val="16"/>
          <w:rtl/>
        </w:rPr>
        <w:t xml:space="preserve"> ודין גחלת שברשות הרבים אם מותר לכבותה משום הזיקא דרבים כתבו רבינו בסוף סימן של"ד (קי.)</w:t>
      </w:r>
      <w:r>
        <w:rPr>
          <w:rFonts w:cs="Arial" w:hint="cs"/>
          <w:sz w:val="16"/>
          <w:szCs w:val="16"/>
          <w:rtl/>
        </w:rPr>
        <w:t>, ב"י)</w:t>
      </w:r>
    </w:p>
    <w:p w14:paraId="073EE045" w14:textId="6EB14353" w:rsidR="00FF7CD6" w:rsidRPr="00FF7CD6" w:rsidRDefault="00FF7CD6" w:rsidP="00434A6A">
      <w:pPr>
        <w:rPr>
          <w:u w:val="single"/>
          <w:rtl/>
        </w:rPr>
      </w:pPr>
      <w:r w:rsidRPr="00FF7CD6">
        <w:rPr>
          <w:rFonts w:hint="cs"/>
          <w:u w:val="single"/>
          <w:rtl/>
        </w:rPr>
        <w:t xml:space="preserve">קוץ </w:t>
      </w:r>
      <w:r>
        <w:rPr>
          <w:rFonts w:hint="cs"/>
          <w:u w:val="single"/>
          <w:rtl/>
        </w:rPr>
        <w:t xml:space="preserve">המונח </w:t>
      </w:r>
      <w:r w:rsidRPr="00FF7CD6">
        <w:rPr>
          <w:rFonts w:hint="cs"/>
          <w:u w:val="single"/>
          <w:rtl/>
        </w:rPr>
        <w:t>ב</w:t>
      </w:r>
      <w:r>
        <w:rPr>
          <w:rFonts w:hint="cs"/>
          <w:u w:val="single"/>
          <w:rtl/>
        </w:rPr>
        <w:t>מקום ש</w:t>
      </w:r>
      <w:r w:rsidRPr="00FF7CD6">
        <w:rPr>
          <w:rFonts w:hint="cs"/>
          <w:u w:val="single"/>
          <w:rtl/>
        </w:rPr>
        <w:t>רבים</w:t>
      </w:r>
      <w:r>
        <w:rPr>
          <w:rFonts w:hint="cs"/>
          <w:u w:val="single"/>
          <w:rtl/>
        </w:rPr>
        <w:t xml:space="preserve"> הולכים שם</w:t>
      </w:r>
      <w:r w:rsidRPr="00FF7CD6">
        <w:rPr>
          <w:rFonts w:hint="cs"/>
          <w:u w:val="single"/>
          <w:rtl/>
        </w:rPr>
        <w:t>:</w:t>
      </w:r>
    </w:p>
    <w:p w14:paraId="29346279" w14:textId="470E36B1" w:rsidR="00F63421" w:rsidRDefault="00BE6400" w:rsidP="00434A6A">
      <w:pPr>
        <w:pStyle w:val="aa"/>
        <w:numPr>
          <w:ilvl w:val="0"/>
          <w:numId w:val="3"/>
        </w:numPr>
        <w:rPr>
          <w:rtl/>
        </w:rPr>
      </w:pPr>
      <w:r w:rsidRPr="00BE6400">
        <w:rPr>
          <w:rFonts w:cs="Arial" w:hint="cs"/>
          <w:rtl/>
        </w:rPr>
        <w:t xml:space="preserve">טור- </w:t>
      </w:r>
      <w:r w:rsidR="00245F0F" w:rsidRPr="00BE6400">
        <w:rPr>
          <w:rFonts w:cs="Arial"/>
          <w:rtl/>
        </w:rPr>
        <w:t>קוץ המונח בר"ה מותר לטלטלו פחות פחות מד</w:t>
      </w:r>
      <w:r w:rsidR="003D4E3C">
        <w:rPr>
          <w:rFonts w:cs="Arial" w:hint="cs"/>
          <w:rtl/>
        </w:rPr>
        <w:t xml:space="preserve">' </w:t>
      </w:r>
      <w:r w:rsidR="00245F0F" w:rsidRPr="00BE6400">
        <w:rPr>
          <w:rFonts w:cs="Arial"/>
          <w:rtl/>
        </w:rPr>
        <w:t>א</w:t>
      </w:r>
      <w:r w:rsidR="003D4E3C">
        <w:rPr>
          <w:rFonts w:cs="Arial" w:hint="cs"/>
          <w:rtl/>
        </w:rPr>
        <w:t>מות</w:t>
      </w:r>
      <w:r w:rsidR="00FF7CD6">
        <w:rPr>
          <w:rFonts w:cs="Arial" w:hint="cs"/>
          <w:rtl/>
        </w:rPr>
        <w:t>,</w:t>
      </w:r>
      <w:r w:rsidR="00245F0F" w:rsidRPr="00BE6400">
        <w:rPr>
          <w:rFonts w:cs="Arial"/>
          <w:rtl/>
        </w:rPr>
        <w:t xml:space="preserve"> ובכרמלית אפי' טובא נמי שרי</w:t>
      </w:r>
      <w:r>
        <w:rPr>
          <w:rFonts w:cs="Arial" w:hint="cs"/>
          <w:rtl/>
        </w:rPr>
        <w:t>.</w:t>
      </w:r>
      <w:r w:rsidR="00FF7CD6" w:rsidRPr="00FF7CD6">
        <w:rPr>
          <w:rFonts w:cs="Arial" w:hint="cs"/>
          <w:color w:val="E36C0A" w:themeColor="accent6" w:themeShade="BF"/>
          <w:rtl/>
        </w:rPr>
        <w:t xml:space="preserve"> </w:t>
      </w:r>
      <w:r w:rsidR="00FF7CD6" w:rsidRPr="00FF0175">
        <w:rPr>
          <w:rFonts w:cs="Arial" w:hint="cs"/>
          <w:color w:val="E36C0A" w:themeColor="accent6" w:themeShade="BF"/>
          <w:rtl/>
        </w:rPr>
        <w:t>(וכ"פ בשו"ע)</w:t>
      </w:r>
    </w:p>
    <w:p w14:paraId="3226D06C"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16168BE4" w14:textId="0719C346" w:rsidR="000C6229" w:rsidRPr="005275DF" w:rsidRDefault="000C6229" w:rsidP="00434A6A">
      <w:pPr>
        <w:rPr>
          <w:rFonts w:asciiTheme="minorBidi" w:hAnsiTheme="minorBidi"/>
          <w:rtl/>
        </w:rPr>
      </w:pPr>
      <w:r w:rsidRPr="005275DF">
        <w:rPr>
          <w:rFonts w:asciiTheme="minorBidi" w:hAnsiTheme="minorBidi"/>
          <w:rtl/>
        </w:rPr>
        <w:t>קוץ</w:t>
      </w:r>
      <w:r w:rsidR="00450E38">
        <w:rPr>
          <w:rStyle w:val="a9"/>
          <w:rFonts w:asciiTheme="minorBidi" w:hAnsiTheme="minorBidi"/>
          <w:rtl/>
        </w:rPr>
        <w:footnoteReference w:id="1493"/>
      </w:r>
      <w:r w:rsidRPr="005275DF">
        <w:rPr>
          <w:rFonts w:asciiTheme="minorBidi" w:hAnsiTheme="minorBidi"/>
          <w:rtl/>
        </w:rPr>
        <w:t xml:space="preserve"> המונח ברשות הרבים, מותר לטלטלו פחות פחות מד' אמות</w:t>
      </w:r>
      <w:r w:rsidR="00450E38">
        <w:rPr>
          <w:rStyle w:val="a9"/>
          <w:rFonts w:asciiTheme="minorBidi" w:hAnsiTheme="minorBidi"/>
          <w:rtl/>
        </w:rPr>
        <w:footnoteReference w:id="1494"/>
      </w:r>
      <w:r w:rsidR="00A16E04">
        <w:rPr>
          <w:rFonts w:asciiTheme="minorBidi" w:hAnsiTheme="minorBidi" w:hint="cs"/>
          <w:rtl/>
        </w:rPr>
        <w:t>,</w:t>
      </w:r>
      <w:r w:rsidRPr="005275DF">
        <w:rPr>
          <w:rFonts w:asciiTheme="minorBidi" w:hAnsiTheme="minorBidi"/>
          <w:rtl/>
        </w:rPr>
        <w:t xml:space="preserve"> ובכרמלית מותר לטלטלו להדיא, משום דחיישינן שמא יוזקו בו רבים, ובמקום הזיקא דרבים</w:t>
      </w:r>
      <w:r w:rsidR="00450E38">
        <w:rPr>
          <w:rStyle w:val="a9"/>
          <w:rFonts w:asciiTheme="minorBidi" w:hAnsiTheme="minorBidi"/>
          <w:rtl/>
        </w:rPr>
        <w:footnoteReference w:id="1495"/>
      </w:r>
      <w:r w:rsidRPr="005275DF">
        <w:rPr>
          <w:rFonts w:asciiTheme="minorBidi" w:hAnsiTheme="minorBidi"/>
          <w:rtl/>
        </w:rPr>
        <w:t xml:space="preserve"> לא גזור רבנן שבות. </w:t>
      </w:r>
    </w:p>
    <w:p w14:paraId="7A015655" w14:textId="77777777" w:rsidR="000C6229" w:rsidRPr="005275DF" w:rsidRDefault="000C6229" w:rsidP="00434A6A">
      <w:pPr>
        <w:rPr>
          <w:rFonts w:asciiTheme="minorBidi" w:hAnsiTheme="minorBidi"/>
          <w:rtl/>
        </w:rPr>
      </w:pPr>
    </w:p>
    <w:p w14:paraId="2059F70A" w14:textId="677EEAF3" w:rsidR="000C6229" w:rsidRDefault="000C6229" w:rsidP="00434A6A">
      <w:pPr>
        <w:pStyle w:val="2"/>
        <w:rPr>
          <w:rtl/>
        </w:rPr>
      </w:pPr>
      <w:r w:rsidRPr="005275DF">
        <w:rPr>
          <w:rtl/>
        </w:rPr>
        <w:t>סעיף יט</w:t>
      </w:r>
      <w:r w:rsidR="00450E38">
        <w:rPr>
          <w:rFonts w:hint="cs"/>
          <w:rtl/>
        </w:rPr>
        <w:t>: סולם.</w:t>
      </w:r>
    </w:p>
    <w:p w14:paraId="5F48F101" w14:textId="52976618" w:rsidR="00521E68" w:rsidRPr="00521E68" w:rsidRDefault="00521E68" w:rsidP="00434A6A">
      <w:pPr>
        <w:rPr>
          <w:rFonts w:cs="Arial"/>
          <w:sz w:val="16"/>
          <w:szCs w:val="16"/>
          <w:rtl/>
        </w:rPr>
      </w:pPr>
      <w:r w:rsidRPr="00521E68">
        <w:rPr>
          <w:rFonts w:hint="cs"/>
          <w:b/>
          <w:bCs/>
          <w:rtl/>
        </w:rPr>
        <w:t xml:space="preserve">עירובין </w:t>
      </w:r>
      <w:r w:rsidRPr="00521E68">
        <w:rPr>
          <w:rFonts w:hint="cs"/>
          <w:b/>
          <w:bCs/>
          <w:sz w:val="16"/>
          <w:szCs w:val="16"/>
          <w:rtl/>
        </w:rPr>
        <w:t>(פ' חלון)</w:t>
      </w:r>
      <w:r w:rsidRPr="00521E68">
        <w:rPr>
          <w:rFonts w:hint="cs"/>
          <w:b/>
          <w:bCs/>
          <w:rtl/>
        </w:rPr>
        <w:t xml:space="preserve"> עז ע"ב:</w:t>
      </w:r>
      <w:r w:rsidRPr="00521E68">
        <w:rPr>
          <w:rFonts w:cs="Arial" w:hint="cs"/>
          <w:rtl/>
        </w:rPr>
        <w:t xml:space="preserve"> </w:t>
      </w:r>
      <w:r w:rsidRPr="00521E68">
        <w:rPr>
          <w:rFonts w:cs="Arial"/>
          <w:rtl/>
        </w:rPr>
        <w:t>סולם המצרי</w:t>
      </w:r>
      <w:r>
        <w:rPr>
          <w:rStyle w:val="a9"/>
          <w:rFonts w:cs="Arial"/>
          <w:rtl/>
        </w:rPr>
        <w:footnoteReference w:id="1496"/>
      </w:r>
      <w:r w:rsidRPr="00521E68">
        <w:rPr>
          <w:rFonts w:cs="Arial"/>
          <w:rtl/>
        </w:rPr>
        <w:t xml:space="preserve"> אינו ממעט</w:t>
      </w:r>
      <w:r>
        <w:rPr>
          <w:rStyle w:val="a9"/>
          <w:rFonts w:cs="Arial"/>
          <w:rtl/>
        </w:rPr>
        <w:footnoteReference w:id="1497"/>
      </w:r>
      <w:r w:rsidR="002A53D9">
        <w:rPr>
          <w:rFonts w:cs="Arial" w:hint="cs"/>
          <w:rtl/>
        </w:rPr>
        <w:t>,</w:t>
      </w:r>
      <w:r w:rsidRPr="00521E68">
        <w:rPr>
          <w:rFonts w:cs="Arial"/>
          <w:rtl/>
        </w:rPr>
        <w:t xml:space="preserve"> והצורי ממעט. היכי דמי סולם המצרי? </w:t>
      </w:r>
      <w:r w:rsidRPr="00521E68">
        <w:rPr>
          <w:rFonts w:cs="Arial"/>
          <w:u w:val="single"/>
          <w:rtl/>
        </w:rPr>
        <w:t>אמרי דבי רבי ינאי</w:t>
      </w:r>
      <w:r w:rsidRPr="00521E68">
        <w:rPr>
          <w:rFonts w:cs="Arial"/>
          <w:rtl/>
        </w:rPr>
        <w:t>: כל שאין לו ארבעה חווקים</w:t>
      </w:r>
      <w:r>
        <w:rPr>
          <w:rStyle w:val="a9"/>
          <w:rFonts w:cs="Arial"/>
          <w:rtl/>
        </w:rPr>
        <w:footnoteReference w:id="1498"/>
      </w:r>
      <w:r w:rsidRPr="00521E68">
        <w:rPr>
          <w:rFonts w:cs="Arial"/>
          <w:rtl/>
        </w:rPr>
        <w:t xml:space="preserve">. </w:t>
      </w:r>
      <w:r w:rsidRPr="00521E68">
        <w:rPr>
          <w:rFonts w:cs="Arial"/>
          <w:u w:val="single"/>
          <w:rtl/>
        </w:rPr>
        <w:t>אמר ליה רב אחא בריה דרבא לרב אשי</w:t>
      </w:r>
      <w:r w:rsidRPr="00521E68">
        <w:rPr>
          <w:rFonts w:cs="Arial"/>
          <w:rtl/>
        </w:rPr>
        <w:t xml:space="preserve">: מאי טעמא דסולם המצרי דלא ממעט? </w:t>
      </w:r>
      <w:r w:rsidRPr="00521E68">
        <w:rPr>
          <w:rFonts w:cs="Arial"/>
          <w:u w:val="single"/>
          <w:rtl/>
        </w:rPr>
        <w:t>אמר ליה</w:t>
      </w:r>
      <w:r w:rsidRPr="00521E68">
        <w:rPr>
          <w:rFonts w:cs="Arial"/>
          <w:rtl/>
        </w:rPr>
        <w:t>: לא שמיע לך הא דאמר רב אחא בר אדא אמר רב המנונא אמר רב: משום דהוה ליה דבר שניטל בשבת, וכל דבר שניטל בשבת - אינו ממעט. אי הכי, אפילו צורי נמי? התם כובדו קובעו</w:t>
      </w:r>
      <w:r>
        <w:rPr>
          <w:rStyle w:val="a9"/>
          <w:rFonts w:cs="Arial"/>
          <w:rtl/>
        </w:rPr>
        <w:footnoteReference w:id="1499"/>
      </w:r>
      <w:r w:rsidRPr="00521E68">
        <w:rPr>
          <w:rFonts w:cs="Arial"/>
          <w:rtl/>
        </w:rPr>
        <w:t>.</w:t>
      </w:r>
      <w:r>
        <w:rPr>
          <w:rFonts w:cs="Arial" w:hint="cs"/>
          <w:sz w:val="16"/>
          <w:szCs w:val="16"/>
          <w:rtl/>
        </w:rPr>
        <w:t xml:space="preserve"> (מוכח מכאן שמותר לטלטל סולם בשבת)</w:t>
      </w:r>
    </w:p>
    <w:p w14:paraId="55771769" w14:textId="5169E590" w:rsidR="00AB1EBA" w:rsidRDefault="008868B6" w:rsidP="00434A6A">
      <w:pPr>
        <w:rPr>
          <w:rFonts w:cs="Arial"/>
          <w:sz w:val="16"/>
          <w:szCs w:val="16"/>
          <w:rtl/>
        </w:rPr>
      </w:pPr>
      <w:r>
        <w:rPr>
          <w:rFonts w:hint="cs"/>
          <w:b/>
          <w:bCs/>
          <w:rtl/>
        </w:rPr>
        <w:t>ביצה</w:t>
      </w:r>
      <w:r w:rsidRPr="002A45F7">
        <w:rPr>
          <w:rFonts w:hint="cs"/>
          <w:b/>
          <w:bCs/>
          <w:rtl/>
        </w:rPr>
        <w:t xml:space="preserve"> </w:t>
      </w:r>
      <w:r>
        <w:rPr>
          <w:rFonts w:hint="cs"/>
          <w:b/>
          <w:bCs/>
          <w:sz w:val="16"/>
          <w:szCs w:val="16"/>
          <w:rtl/>
        </w:rPr>
        <w:t>(פ"ק)</w:t>
      </w:r>
      <w:r>
        <w:rPr>
          <w:rFonts w:hint="cs"/>
          <w:b/>
          <w:bCs/>
          <w:rtl/>
        </w:rPr>
        <w:t xml:space="preserve"> ט</w:t>
      </w:r>
      <w:r w:rsidRPr="002A45F7">
        <w:rPr>
          <w:rFonts w:hint="cs"/>
          <w:b/>
          <w:bCs/>
          <w:rtl/>
        </w:rPr>
        <w:t xml:space="preserve"> ע"</w:t>
      </w:r>
      <w:r>
        <w:rPr>
          <w:rFonts w:hint="cs"/>
          <w:b/>
          <w:bCs/>
          <w:rtl/>
        </w:rPr>
        <w:t>א</w:t>
      </w:r>
      <w:r w:rsidRPr="002A45F7">
        <w:rPr>
          <w:rFonts w:hint="cs"/>
          <w:b/>
          <w:bCs/>
          <w:rtl/>
        </w:rPr>
        <w:t>:</w:t>
      </w:r>
      <w:r>
        <w:rPr>
          <w:rFonts w:cs="Arial" w:hint="cs"/>
          <w:rtl/>
        </w:rPr>
        <w:t xml:space="preserve"> </w:t>
      </w:r>
      <w:r w:rsidR="00450E38" w:rsidRPr="00450E38">
        <w:rPr>
          <w:rFonts w:cs="Arial"/>
          <w:u w:val="double"/>
          <w:rtl/>
        </w:rPr>
        <w:t>משנה</w:t>
      </w:r>
      <w:r w:rsidR="00450E38">
        <w:rPr>
          <w:rFonts w:cs="Arial" w:hint="cs"/>
          <w:rtl/>
        </w:rPr>
        <w:t>:</w:t>
      </w:r>
      <w:r w:rsidR="00450E38" w:rsidRPr="00450E38">
        <w:rPr>
          <w:rFonts w:cs="Arial"/>
          <w:rtl/>
        </w:rPr>
        <w:t xml:space="preserve"> </w:t>
      </w:r>
      <w:r w:rsidR="00450E38" w:rsidRPr="00B679A9">
        <w:rPr>
          <w:rFonts w:cs="Arial"/>
          <w:u w:val="single"/>
          <w:rtl/>
        </w:rPr>
        <w:t>בית שמאי אומרים</w:t>
      </w:r>
      <w:r w:rsidR="00450E38" w:rsidRPr="00450E38">
        <w:rPr>
          <w:rFonts w:cs="Arial"/>
          <w:rtl/>
        </w:rPr>
        <w:t>: אין מוליכין את הסולם משובך לשובך, אבל מטהו מחלון לחלון</w:t>
      </w:r>
      <w:r w:rsidR="00B679A9">
        <w:rPr>
          <w:rFonts w:cs="Arial" w:hint="cs"/>
          <w:rtl/>
        </w:rPr>
        <w:t>.</w:t>
      </w:r>
      <w:r w:rsidR="00450E38" w:rsidRPr="00450E38">
        <w:rPr>
          <w:rFonts w:cs="Arial"/>
          <w:rtl/>
        </w:rPr>
        <w:t xml:space="preserve"> </w:t>
      </w:r>
      <w:r w:rsidR="00450E38" w:rsidRPr="00B679A9">
        <w:rPr>
          <w:rFonts w:cs="Arial"/>
          <w:u w:val="single"/>
          <w:rtl/>
        </w:rPr>
        <w:t>ובית הלל</w:t>
      </w:r>
      <w:r w:rsidR="00450E38" w:rsidRPr="00450E38">
        <w:rPr>
          <w:rFonts w:cs="Arial"/>
          <w:rtl/>
        </w:rPr>
        <w:t xml:space="preserve"> מתירין. </w:t>
      </w:r>
      <w:r w:rsidR="00B679A9">
        <w:rPr>
          <w:rFonts w:cs="Arial" w:hint="cs"/>
          <w:rtl/>
        </w:rPr>
        <w:t xml:space="preserve">      </w:t>
      </w:r>
      <w:r w:rsidR="00B679A9" w:rsidRPr="00B679A9">
        <w:rPr>
          <w:rFonts w:cs="Arial" w:hint="cs"/>
          <w:u w:val="double"/>
          <w:rtl/>
        </w:rPr>
        <w:t>גמרא</w:t>
      </w:r>
      <w:r w:rsidR="00065A8C">
        <w:rPr>
          <w:rFonts w:cs="Arial" w:hint="cs"/>
          <w:sz w:val="14"/>
          <w:szCs w:val="14"/>
          <w:u w:val="double"/>
          <w:rtl/>
        </w:rPr>
        <w:t xml:space="preserve"> </w:t>
      </w:r>
      <w:r w:rsidR="00B679A9">
        <w:rPr>
          <w:rFonts w:cs="Arial" w:hint="cs"/>
          <w:sz w:val="14"/>
          <w:szCs w:val="14"/>
          <w:u w:val="double"/>
          <w:rtl/>
        </w:rPr>
        <w:t>(ט:)</w:t>
      </w:r>
      <w:r w:rsidR="00B679A9" w:rsidRPr="00B679A9">
        <w:rPr>
          <w:rFonts w:cs="Arial" w:hint="cs"/>
          <w:u w:val="double"/>
          <w:rtl/>
        </w:rPr>
        <w:t>:</w:t>
      </w:r>
      <w:r w:rsidR="00B679A9">
        <w:rPr>
          <w:rFonts w:cs="Arial" w:hint="cs"/>
          <w:rtl/>
        </w:rPr>
        <w:t xml:space="preserve"> </w:t>
      </w:r>
      <w:r w:rsidR="00B679A9" w:rsidRPr="00B679A9">
        <w:rPr>
          <w:rFonts w:cs="Arial"/>
          <w:u w:val="single"/>
          <w:rtl/>
        </w:rPr>
        <w:t>אמר רבי יהודה</w:t>
      </w:r>
      <w:r w:rsidR="00B679A9" w:rsidRPr="00B679A9">
        <w:rPr>
          <w:rFonts w:cs="Arial"/>
          <w:rtl/>
        </w:rPr>
        <w:t>: במה דברים אמורים - בסולם של שובך, אבל בסולם של עליה דברי הכל אסור</w:t>
      </w:r>
      <w:r w:rsidR="00AE5555">
        <w:rPr>
          <w:rFonts w:cs="Arial" w:hint="cs"/>
          <w:rtl/>
        </w:rPr>
        <w:t>.</w:t>
      </w:r>
      <w:r w:rsidR="00521E68">
        <w:rPr>
          <w:rFonts w:cs="Arial" w:hint="cs"/>
          <w:rtl/>
        </w:rPr>
        <w:t xml:space="preserve"> </w:t>
      </w:r>
      <w:r w:rsidR="00521E68" w:rsidRPr="00521E68">
        <w:rPr>
          <w:rFonts w:cs="Arial" w:hint="cs"/>
          <w:sz w:val="16"/>
          <w:szCs w:val="16"/>
          <w:rtl/>
        </w:rPr>
        <w:t>(</w:t>
      </w:r>
      <w:r w:rsidR="00AB1EBA" w:rsidRPr="00AB1EBA">
        <w:rPr>
          <w:rFonts w:cs="Arial"/>
          <w:sz w:val="16"/>
          <w:szCs w:val="16"/>
          <w:rtl/>
        </w:rPr>
        <w:t>משום דהרואה אומר להטיח גגו הוא צריך</w:t>
      </w:r>
      <w:r w:rsidR="00AB1EBA">
        <w:rPr>
          <w:rFonts w:cs="Arial" w:hint="cs"/>
          <w:sz w:val="16"/>
          <w:szCs w:val="16"/>
          <w:rtl/>
        </w:rPr>
        <w:t>.</w:t>
      </w:r>
      <w:r w:rsidR="00AB1EBA" w:rsidRPr="00AB1EBA">
        <w:rPr>
          <w:rFonts w:cs="Arial"/>
          <w:sz w:val="16"/>
          <w:szCs w:val="16"/>
          <w:rtl/>
        </w:rPr>
        <w:t xml:space="preserve"> ולפרושי דברי ת"ק אתא</w:t>
      </w:r>
      <w:r w:rsidR="00AB1EBA">
        <w:rPr>
          <w:rFonts w:cs="Arial" w:hint="cs"/>
          <w:sz w:val="16"/>
          <w:szCs w:val="16"/>
          <w:rtl/>
        </w:rPr>
        <w:t>.</w:t>
      </w:r>
      <w:r w:rsidR="00AB1EBA" w:rsidRPr="00AB1EBA">
        <w:rPr>
          <w:rFonts w:cs="Arial"/>
          <w:sz w:val="16"/>
          <w:szCs w:val="16"/>
          <w:rtl/>
        </w:rPr>
        <w:t xml:space="preserve"> והכי הלכתא. ומסקינן הכא דסולם עלייה אסור לטלטל. וקשה מהא דאמרינן בפרק חלון (עז</w:t>
      </w:r>
      <w:r w:rsidR="00AB1EBA">
        <w:rPr>
          <w:rFonts w:cs="Arial" w:hint="cs"/>
          <w:sz w:val="16"/>
          <w:szCs w:val="16"/>
          <w:rtl/>
        </w:rPr>
        <w:t>:</w:t>
      </w:r>
      <w:r w:rsidR="00AB1EBA" w:rsidRPr="00AB1EBA">
        <w:rPr>
          <w:rFonts w:cs="Arial"/>
          <w:sz w:val="16"/>
          <w:szCs w:val="16"/>
          <w:rtl/>
        </w:rPr>
        <w:t>) סולם המצרי אינו ממעט והצורי ממעט. ומפרש התם טעמא דסולם המצרי הוי דבר הניטל בשבת ואינו ממעט. ופריך אי הכי אפילו צורי נמי. ומשני כבידו קובעתו כלומר אע</w:t>
      </w:r>
      <w:r w:rsidR="00AB1EBA">
        <w:rPr>
          <w:rFonts w:cs="Arial" w:hint="cs"/>
          <w:sz w:val="16"/>
          <w:szCs w:val="16"/>
          <w:rtl/>
        </w:rPr>
        <w:t>"</w:t>
      </w:r>
      <w:r w:rsidR="00AB1EBA" w:rsidRPr="00AB1EBA">
        <w:rPr>
          <w:rFonts w:cs="Arial"/>
          <w:sz w:val="16"/>
          <w:szCs w:val="16"/>
          <w:rtl/>
        </w:rPr>
        <w:t>פ שניטל בשבת לפי שאין דרך ליטלו משם מחמת כבידו.</w:t>
      </w:r>
      <w:r w:rsidR="00AB1EBA">
        <w:rPr>
          <w:rFonts w:cs="Arial" w:hint="cs"/>
          <w:sz w:val="16"/>
          <w:szCs w:val="16"/>
          <w:rtl/>
        </w:rPr>
        <w:t>.</w:t>
      </w:r>
      <w:r w:rsidR="00AB1EBA" w:rsidRPr="00AB1EBA">
        <w:rPr>
          <w:rFonts w:cs="Arial"/>
          <w:sz w:val="16"/>
          <w:szCs w:val="16"/>
          <w:rtl/>
        </w:rPr>
        <w:t>. ותירץ ר</w:t>
      </w:r>
      <w:r w:rsidR="00AB1EBA">
        <w:rPr>
          <w:rFonts w:cs="Arial" w:hint="cs"/>
          <w:sz w:val="16"/>
          <w:szCs w:val="16"/>
          <w:rtl/>
        </w:rPr>
        <w:t>"</w:t>
      </w:r>
      <w:r w:rsidR="00AB1EBA" w:rsidRPr="00AB1EBA">
        <w:rPr>
          <w:rFonts w:cs="Arial"/>
          <w:sz w:val="16"/>
          <w:szCs w:val="16"/>
          <w:rtl/>
        </w:rPr>
        <w:t>ת דהתם איירי בסולמות של בית שדרך לטלטלם מזוית לזוית</w:t>
      </w:r>
      <w:r w:rsidR="00AB1EBA">
        <w:rPr>
          <w:rFonts w:cs="Arial" w:hint="cs"/>
          <w:sz w:val="16"/>
          <w:szCs w:val="16"/>
          <w:rtl/>
        </w:rPr>
        <w:t>,</w:t>
      </w:r>
      <w:r w:rsidR="00AB1EBA" w:rsidRPr="00AB1EBA">
        <w:rPr>
          <w:rFonts w:cs="Arial"/>
          <w:sz w:val="16"/>
          <w:szCs w:val="16"/>
          <w:rtl/>
        </w:rPr>
        <w:t xml:space="preserve"> ולא דמו לסולמות של עלייה שהיו גדולים וחזו להטיח בהן גגו. וה"ר אברהם מבורגיי"ל תירץ דהכא ביו</w:t>
      </w:r>
      <w:r w:rsidR="00D62EC8">
        <w:rPr>
          <w:rFonts w:cs="Arial" w:hint="cs"/>
          <w:sz w:val="16"/>
          <w:szCs w:val="16"/>
          <w:rtl/>
        </w:rPr>
        <w:t>"</w:t>
      </w:r>
      <w:r w:rsidR="00AB1EBA" w:rsidRPr="00AB1EBA">
        <w:rPr>
          <w:rFonts w:cs="Arial"/>
          <w:sz w:val="16"/>
          <w:szCs w:val="16"/>
          <w:rtl/>
        </w:rPr>
        <w:t>ט שמותר להוציא הסולם לרה"ר והרואה אומר להטיח גגו הוא צריך וכיון דאסור ברה"ר אפילו בחדרי חדרים אסור. אבל בשבת דאין דרך להוציא דרך רה"ר הלכך בבית מותר. ולהאי שינויא אסור לטלטל סולם שלנו ביום טוב</w:t>
      </w:r>
      <w:r w:rsidR="00AB1EBA">
        <w:rPr>
          <w:rFonts w:cs="Arial" w:hint="cs"/>
          <w:sz w:val="16"/>
          <w:szCs w:val="16"/>
          <w:rtl/>
        </w:rPr>
        <w:t>, רא"ש (פ"א סי' יד)</w:t>
      </w:r>
      <w:r w:rsidR="00F93917">
        <w:rPr>
          <w:rFonts w:cs="Arial" w:hint="cs"/>
          <w:sz w:val="16"/>
          <w:szCs w:val="16"/>
          <w:rtl/>
        </w:rPr>
        <w:t xml:space="preserve">. וכ"כ </w:t>
      </w:r>
      <w:r w:rsidR="00315A19">
        <w:rPr>
          <w:rFonts w:cs="Arial" w:hint="cs"/>
          <w:sz w:val="16"/>
          <w:szCs w:val="16"/>
          <w:rtl/>
        </w:rPr>
        <w:t>ב</w:t>
      </w:r>
      <w:r w:rsidR="00F93917">
        <w:rPr>
          <w:rFonts w:cs="Arial" w:hint="cs"/>
          <w:sz w:val="16"/>
          <w:szCs w:val="16"/>
          <w:rtl/>
        </w:rPr>
        <w:t>תוס' (ד"ה מאי)</w:t>
      </w:r>
      <w:r w:rsidR="00AB1EBA">
        <w:rPr>
          <w:rFonts w:cs="Arial" w:hint="cs"/>
          <w:sz w:val="16"/>
          <w:szCs w:val="16"/>
          <w:rtl/>
        </w:rPr>
        <w:t>)</w:t>
      </w:r>
    </w:p>
    <w:p w14:paraId="798410E6" w14:textId="7A7585AE" w:rsidR="0011705F" w:rsidRPr="00450E38" w:rsidRDefault="0011705F" w:rsidP="00434A6A">
      <w:pPr>
        <w:rPr>
          <w:u w:val="single"/>
          <w:rtl/>
        </w:rPr>
      </w:pPr>
      <w:r w:rsidRPr="00450E38">
        <w:rPr>
          <w:rFonts w:hint="cs"/>
          <w:u w:val="single"/>
          <w:rtl/>
        </w:rPr>
        <w:t>טלטול סולם</w:t>
      </w:r>
      <w:r w:rsidR="009E2C0A">
        <w:rPr>
          <w:rFonts w:hint="cs"/>
          <w:u w:val="single"/>
          <w:rtl/>
        </w:rPr>
        <w:t xml:space="preserve"> גדול</w:t>
      </w:r>
      <w:r w:rsidR="009E2C0A">
        <w:rPr>
          <w:rFonts w:hint="cs"/>
          <w:sz w:val="16"/>
          <w:szCs w:val="16"/>
          <w:u w:val="single"/>
          <w:rtl/>
        </w:rPr>
        <w:t xml:space="preserve"> (של עליה)</w:t>
      </w:r>
      <w:r w:rsidRPr="00450E38">
        <w:rPr>
          <w:rFonts w:hint="cs"/>
          <w:u w:val="single"/>
          <w:rtl/>
        </w:rPr>
        <w:t xml:space="preserve"> בשבת:</w:t>
      </w:r>
    </w:p>
    <w:p w14:paraId="5A893C5E" w14:textId="10038B38" w:rsidR="0011705F" w:rsidRDefault="0011705F" w:rsidP="00434A6A">
      <w:pPr>
        <w:pStyle w:val="aa"/>
        <w:numPr>
          <w:ilvl w:val="0"/>
          <w:numId w:val="3"/>
        </w:numPr>
        <w:rPr>
          <w:rFonts w:cs="Arial"/>
        </w:rPr>
      </w:pPr>
      <w:r w:rsidRPr="00BE6400">
        <w:rPr>
          <w:rFonts w:cs="Arial" w:hint="cs"/>
          <w:rtl/>
        </w:rPr>
        <w:t xml:space="preserve">טור- </w:t>
      </w:r>
      <w:r w:rsidRPr="00BE6400">
        <w:rPr>
          <w:rFonts w:cs="Arial"/>
          <w:rtl/>
        </w:rPr>
        <w:t>סולם אפי</w:t>
      </w:r>
      <w:r>
        <w:rPr>
          <w:rFonts w:cs="Arial" w:hint="cs"/>
          <w:rtl/>
        </w:rPr>
        <w:t>לו</w:t>
      </w:r>
      <w:r>
        <w:rPr>
          <w:rStyle w:val="a9"/>
          <w:rFonts w:cs="Arial"/>
          <w:rtl/>
        </w:rPr>
        <w:footnoteReference w:id="1500"/>
      </w:r>
      <w:r w:rsidRPr="00BE6400">
        <w:rPr>
          <w:rFonts w:cs="Arial"/>
          <w:rtl/>
        </w:rPr>
        <w:t xml:space="preserve"> של עלייה והוא גדול </w:t>
      </w:r>
      <w:r>
        <w:rPr>
          <w:rFonts w:cs="Arial" w:hint="cs"/>
          <w:rtl/>
        </w:rPr>
        <w:t xml:space="preserve">- </w:t>
      </w:r>
      <w:r w:rsidRPr="00BE6400">
        <w:rPr>
          <w:rFonts w:cs="Arial"/>
          <w:rtl/>
        </w:rPr>
        <w:t>מותר לטלטלו בשבת בחצר</w:t>
      </w:r>
      <w:r w:rsidR="007877D5">
        <w:rPr>
          <w:rStyle w:val="a9"/>
          <w:rFonts w:cs="Arial"/>
          <w:rtl/>
        </w:rPr>
        <w:footnoteReference w:id="1501"/>
      </w:r>
      <w:r>
        <w:rPr>
          <w:rFonts w:cs="Arial" w:hint="cs"/>
          <w:rtl/>
        </w:rPr>
        <w:t>.</w:t>
      </w:r>
      <w:r w:rsidRPr="00BE6400">
        <w:rPr>
          <w:rFonts w:cs="Arial"/>
          <w:rtl/>
        </w:rPr>
        <w:t xml:space="preserve"> </w:t>
      </w:r>
    </w:p>
    <w:p w14:paraId="17E438C8" w14:textId="6B681678" w:rsidR="009E2C0A" w:rsidRDefault="0011705F" w:rsidP="00434A6A">
      <w:pPr>
        <w:pStyle w:val="aa"/>
        <w:numPr>
          <w:ilvl w:val="0"/>
          <w:numId w:val="3"/>
        </w:numPr>
        <w:rPr>
          <w:rFonts w:cs="Arial"/>
        </w:rPr>
      </w:pPr>
      <w:r w:rsidRPr="00BE6400">
        <w:rPr>
          <w:rFonts w:cs="Arial"/>
          <w:rtl/>
        </w:rPr>
        <w:t>רמב"ם</w:t>
      </w:r>
      <w:r>
        <w:rPr>
          <w:rFonts w:cs="Arial" w:hint="cs"/>
          <w:sz w:val="16"/>
          <w:szCs w:val="16"/>
          <w:rtl/>
        </w:rPr>
        <w:t xml:space="preserve"> (פכ"ו</w:t>
      </w:r>
      <w:r w:rsidR="00AE5555">
        <w:rPr>
          <w:rFonts w:cs="Arial" w:hint="cs"/>
          <w:sz w:val="16"/>
          <w:szCs w:val="16"/>
          <w:rtl/>
        </w:rPr>
        <w:t xml:space="preserve"> מהל' שבת</w:t>
      </w:r>
      <w:r>
        <w:rPr>
          <w:rFonts w:cs="Arial" w:hint="cs"/>
          <w:sz w:val="16"/>
          <w:szCs w:val="16"/>
          <w:rtl/>
        </w:rPr>
        <w:t xml:space="preserve"> ה"ז)</w:t>
      </w:r>
      <w:r>
        <w:rPr>
          <w:rFonts w:cs="Arial" w:hint="cs"/>
          <w:rtl/>
        </w:rPr>
        <w:t xml:space="preserve">- </w:t>
      </w:r>
      <w:r w:rsidRPr="0011705F">
        <w:rPr>
          <w:rFonts w:cs="Arial"/>
          <w:rtl/>
        </w:rPr>
        <w:t>סולם של עליה אסור לטלטלו</w:t>
      </w:r>
      <w:r w:rsidR="00AE5555">
        <w:rPr>
          <w:rFonts w:cs="Arial" w:hint="cs"/>
          <w:rtl/>
        </w:rPr>
        <w:t>,</w:t>
      </w:r>
      <w:r w:rsidRPr="0011705F">
        <w:rPr>
          <w:rFonts w:cs="Arial"/>
          <w:rtl/>
        </w:rPr>
        <w:t xml:space="preserve"> שאין עליו תורת כלי</w:t>
      </w:r>
      <w:r w:rsidR="009E2C0A">
        <w:rPr>
          <w:rFonts w:cs="Arial" w:hint="cs"/>
          <w:rtl/>
        </w:rPr>
        <w:t>.</w:t>
      </w:r>
      <w:r w:rsidRPr="00801E18">
        <w:rPr>
          <w:rFonts w:cs="Arial"/>
          <w:color w:val="E36C0A" w:themeColor="accent6" w:themeShade="BF"/>
          <w:rtl/>
        </w:rPr>
        <w:t xml:space="preserve"> </w:t>
      </w:r>
      <w:r w:rsidR="00801E18" w:rsidRPr="00801E18">
        <w:rPr>
          <w:rFonts w:cs="Arial" w:hint="cs"/>
          <w:color w:val="E36C0A" w:themeColor="accent6" w:themeShade="BF"/>
          <w:rtl/>
        </w:rPr>
        <w:t>(וכ"פ בשו"ע)</w:t>
      </w:r>
    </w:p>
    <w:p w14:paraId="7EFEAA06" w14:textId="6B75104B" w:rsidR="00AE5555" w:rsidRPr="00AE5555" w:rsidRDefault="00AE5555" w:rsidP="00434A6A">
      <w:pPr>
        <w:rPr>
          <w:rFonts w:cs="Arial"/>
        </w:rPr>
      </w:pPr>
      <w:r>
        <w:rPr>
          <w:rFonts w:hint="cs"/>
          <w:b/>
          <w:bCs/>
          <w:rtl/>
        </w:rPr>
        <w:t>ביצה</w:t>
      </w:r>
      <w:r w:rsidRPr="002A45F7">
        <w:rPr>
          <w:rFonts w:hint="cs"/>
          <w:b/>
          <w:bCs/>
          <w:rtl/>
        </w:rPr>
        <w:t xml:space="preserve"> </w:t>
      </w:r>
      <w:r>
        <w:rPr>
          <w:rFonts w:hint="cs"/>
          <w:b/>
          <w:bCs/>
          <w:sz w:val="16"/>
          <w:szCs w:val="16"/>
          <w:rtl/>
        </w:rPr>
        <w:t>(פ"ק)</w:t>
      </w:r>
      <w:r>
        <w:rPr>
          <w:rFonts w:hint="cs"/>
          <w:b/>
          <w:bCs/>
          <w:rtl/>
        </w:rPr>
        <w:t xml:space="preserve"> ט</w:t>
      </w:r>
      <w:r w:rsidRPr="002A45F7">
        <w:rPr>
          <w:rFonts w:hint="cs"/>
          <w:b/>
          <w:bCs/>
          <w:rtl/>
        </w:rPr>
        <w:t xml:space="preserve"> ע"</w:t>
      </w:r>
      <w:r>
        <w:rPr>
          <w:rFonts w:hint="cs"/>
          <w:b/>
          <w:bCs/>
          <w:rtl/>
        </w:rPr>
        <w:t>א</w:t>
      </w:r>
      <w:r w:rsidRPr="002A45F7">
        <w:rPr>
          <w:rFonts w:hint="cs"/>
          <w:b/>
          <w:bCs/>
          <w:rtl/>
        </w:rPr>
        <w:t>:</w:t>
      </w:r>
      <w:r>
        <w:rPr>
          <w:rFonts w:cs="Arial" w:hint="cs"/>
          <w:rtl/>
        </w:rPr>
        <w:t xml:space="preserve"> </w:t>
      </w:r>
      <w:r w:rsidRPr="00450E38">
        <w:rPr>
          <w:rFonts w:cs="Arial"/>
          <w:u w:val="double"/>
          <w:rtl/>
        </w:rPr>
        <w:t>משנה</w:t>
      </w:r>
      <w:r>
        <w:rPr>
          <w:rFonts w:cs="Arial" w:hint="cs"/>
          <w:rtl/>
        </w:rPr>
        <w:t>:</w:t>
      </w:r>
      <w:r w:rsidRPr="00450E38">
        <w:rPr>
          <w:rFonts w:cs="Arial"/>
          <w:rtl/>
        </w:rPr>
        <w:t xml:space="preserve"> </w:t>
      </w:r>
      <w:r w:rsidRPr="00B679A9">
        <w:rPr>
          <w:rFonts w:cs="Arial"/>
          <w:u w:val="single"/>
          <w:rtl/>
        </w:rPr>
        <w:t>בית שמאי אומרים</w:t>
      </w:r>
      <w:r w:rsidRPr="00450E38">
        <w:rPr>
          <w:rFonts w:cs="Arial"/>
          <w:rtl/>
        </w:rPr>
        <w:t>: אין מוליכין את הסולם משובך לשובך, אבל מטהו מחלון לחלון</w:t>
      </w:r>
      <w:r>
        <w:rPr>
          <w:rFonts w:cs="Arial" w:hint="cs"/>
          <w:rtl/>
        </w:rPr>
        <w:t>.</w:t>
      </w:r>
      <w:r w:rsidRPr="00450E38">
        <w:rPr>
          <w:rFonts w:cs="Arial"/>
          <w:rtl/>
        </w:rPr>
        <w:t xml:space="preserve"> </w:t>
      </w:r>
      <w:r w:rsidRPr="00B679A9">
        <w:rPr>
          <w:rFonts w:cs="Arial"/>
          <w:u w:val="single"/>
          <w:rtl/>
        </w:rPr>
        <w:t>ובית הלל</w:t>
      </w:r>
      <w:r w:rsidRPr="00450E38">
        <w:rPr>
          <w:rFonts w:cs="Arial"/>
          <w:rtl/>
        </w:rPr>
        <w:t xml:space="preserve"> מתירין. </w:t>
      </w:r>
      <w:r>
        <w:rPr>
          <w:rFonts w:cs="Arial" w:hint="cs"/>
          <w:rtl/>
        </w:rPr>
        <w:t xml:space="preserve">      </w:t>
      </w:r>
      <w:r w:rsidRPr="00B679A9">
        <w:rPr>
          <w:rFonts w:cs="Arial" w:hint="cs"/>
          <w:u w:val="double"/>
          <w:rtl/>
        </w:rPr>
        <w:t>גמרא</w:t>
      </w:r>
      <w:r w:rsidR="00065A8C">
        <w:rPr>
          <w:rFonts w:cs="Arial" w:hint="cs"/>
          <w:sz w:val="14"/>
          <w:szCs w:val="14"/>
          <w:u w:val="double"/>
          <w:rtl/>
        </w:rPr>
        <w:t xml:space="preserve"> </w:t>
      </w:r>
      <w:r>
        <w:rPr>
          <w:rFonts w:cs="Arial" w:hint="cs"/>
          <w:sz w:val="14"/>
          <w:szCs w:val="14"/>
          <w:u w:val="double"/>
          <w:rtl/>
        </w:rPr>
        <w:t>(ט:)</w:t>
      </w:r>
      <w:r w:rsidRPr="00B679A9">
        <w:rPr>
          <w:rFonts w:cs="Arial" w:hint="cs"/>
          <w:u w:val="double"/>
          <w:rtl/>
        </w:rPr>
        <w:t>:</w:t>
      </w:r>
      <w:r>
        <w:rPr>
          <w:rFonts w:cs="Arial" w:hint="cs"/>
          <w:rtl/>
        </w:rPr>
        <w:t xml:space="preserve"> </w:t>
      </w:r>
      <w:r w:rsidRPr="00B679A9">
        <w:rPr>
          <w:rFonts w:cs="Arial"/>
          <w:u w:val="single"/>
          <w:rtl/>
        </w:rPr>
        <w:t>אמר רבי יהודה</w:t>
      </w:r>
      <w:r w:rsidRPr="00B679A9">
        <w:rPr>
          <w:rFonts w:cs="Arial"/>
          <w:rtl/>
        </w:rPr>
        <w:t>: במה דברים אמורים - בסולם של שובך, אבל בסולם של עליה דברי הכל אסור.</w:t>
      </w:r>
      <w:r w:rsidRPr="00AE5555">
        <w:rPr>
          <w:rtl/>
        </w:rPr>
        <w:t xml:space="preserve"> </w:t>
      </w:r>
      <w:r w:rsidRPr="00AE5555">
        <w:rPr>
          <w:rFonts w:cs="Arial"/>
          <w:u w:val="single"/>
          <w:rtl/>
        </w:rPr>
        <w:t>רבי דוסא אומר</w:t>
      </w:r>
      <w:r w:rsidRPr="00AE5555">
        <w:rPr>
          <w:rFonts w:cs="Arial"/>
          <w:rtl/>
        </w:rPr>
        <w:t>: מטהו מחלון לחלון.</w:t>
      </w:r>
      <w:r>
        <w:rPr>
          <w:rFonts w:cs="Arial" w:hint="cs"/>
          <w:rtl/>
        </w:rPr>
        <w:t>..</w:t>
      </w:r>
      <w:r w:rsidRPr="00AE5555">
        <w:rPr>
          <w:rtl/>
        </w:rPr>
        <w:t xml:space="preserve"> </w:t>
      </w:r>
      <w:r w:rsidRPr="00AE5555">
        <w:rPr>
          <w:rFonts w:cs="Arial"/>
          <w:rtl/>
        </w:rPr>
        <w:t>מאי דקא שרי תנא קמא</w:t>
      </w:r>
      <w:r w:rsidR="00893DA0">
        <w:rPr>
          <w:rStyle w:val="a9"/>
          <w:rFonts w:cs="Arial"/>
          <w:rtl/>
        </w:rPr>
        <w:footnoteReference w:id="1502"/>
      </w:r>
      <w:r w:rsidRPr="00AE5555">
        <w:rPr>
          <w:rFonts w:cs="Arial"/>
          <w:rtl/>
        </w:rPr>
        <w:t xml:space="preserve"> - קא אסר רבי דוסא.</w:t>
      </w:r>
      <w:r w:rsidR="00801E18" w:rsidRPr="00801E18">
        <w:rPr>
          <w:rFonts w:cs="Arial"/>
          <w:sz w:val="16"/>
          <w:szCs w:val="16"/>
          <w:rtl/>
        </w:rPr>
        <w:t xml:space="preserve"> </w:t>
      </w:r>
      <w:r w:rsidR="00801E18">
        <w:rPr>
          <w:rFonts w:cs="Arial" w:hint="cs"/>
          <w:sz w:val="16"/>
          <w:szCs w:val="16"/>
          <w:rtl/>
        </w:rPr>
        <w:t>(</w:t>
      </w:r>
      <w:r w:rsidR="00801E18" w:rsidRPr="00801E18">
        <w:rPr>
          <w:rFonts w:cs="Arial"/>
          <w:sz w:val="16"/>
          <w:szCs w:val="16"/>
          <w:rtl/>
        </w:rPr>
        <w:t>וכתבו התוספות (ד"ה מאי) דמשמע דהלכה כרבי דוסא</w:t>
      </w:r>
      <w:r w:rsidR="00801E18" w:rsidRPr="00801E18">
        <w:rPr>
          <w:rFonts w:cs="Arial" w:hint="cs"/>
          <w:sz w:val="16"/>
          <w:szCs w:val="16"/>
          <w:rtl/>
        </w:rPr>
        <w:t>,</w:t>
      </w:r>
      <w:r w:rsidR="00801E18" w:rsidRPr="00801E18">
        <w:rPr>
          <w:rFonts w:cs="Arial"/>
          <w:sz w:val="16"/>
          <w:szCs w:val="16"/>
          <w:rtl/>
        </w:rPr>
        <w:t xml:space="preserve"> וסבירא ליה </w:t>
      </w:r>
      <w:r w:rsidR="00801E18" w:rsidRPr="00801E18">
        <w:rPr>
          <w:rFonts w:cs="Arial" w:hint="cs"/>
          <w:sz w:val="14"/>
          <w:szCs w:val="14"/>
          <w:rtl/>
        </w:rPr>
        <w:t xml:space="preserve">{לרבי דוסא} </w:t>
      </w:r>
      <w:r w:rsidR="00801E18" w:rsidRPr="00801E18">
        <w:rPr>
          <w:rFonts w:cs="Arial"/>
          <w:sz w:val="16"/>
          <w:szCs w:val="16"/>
          <w:rtl/>
        </w:rPr>
        <w:t>דלא נחלקו בית שמאי ובית הלל בדבר זה</w:t>
      </w:r>
      <w:r w:rsidR="00801E18" w:rsidRPr="00801E18">
        <w:rPr>
          <w:rFonts w:cs="Arial" w:hint="cs"/>
          <w:sz w:val="16"/>
          <w:szCs w:val="16"/>
          <w:rtl/>
        </w:rPr>
        <w:t xml:space="preserve"> </w:t>
      </w:r>
      <w:r w:rsidR="00801E18" w:rsidRPr="00801E18">
        <w:rPr>
          <w:rFonts w:cs="Arial" w:hint="cs"/>
          <w:sz w:val="14"/>
          <w:szCs w:val="14"/>
          <w:rtl/>
        </w:rPr>
        <w:t>{בהולכת סולם משובך לשובך}</w:t>
      </w:r>
      <w:r w:rsidR="00801E18" w:rsidRPr="00801E18">
        <w:rPr>
          <w:rFonts w:cs="Arial" w:hint="cs"/>
          <w:sz w:val="16"/>
          <w:szCs w:val="16"/>
          <w:rtl/>
        </w:rPr>
        <w:t>.</w:t>
      </w:r>
      <w:r w:rsidR="00801E18" w:rsidRPr="00801E18">
        <w:rPr>
          <w:rFonts w:cs="Arial"/>
          <w:sz w:val="16"/>
          <w:szCs w:val="16"/>
          <w:rtl/>
        </w:rPr>
        <w:t xml:space="preserve"> כ</w:t>
      </w:r>
      <w:r w:rsidR="00801E18" w:rsidRPr="00801E18">
        <w:rPr>
          <w:rFonts w:cs="Arial" w:hint="cs"/>
          <w:sz w:val="16"/>
          <w:szCs w:val="16"/>
          <w:rtl/>
        </w:rPr>
        <w:t xml:space="preserve">ן </w:t>
      </w:r>
      <w:r w:rsidR="00801E18" w:rsidRPr="00801E18">
        <w:rPr>
          <w:rFonts w:cs="Arial"/>
          <w:sz w:val="16"/>
          <w:szCs w:val="16"/>
          <w:rtl/>
        </w:rPr>
        <w:t>נ</w:t>
      </w:r>
      <w:r w:rsidR="00801E18" w:rsidRPr="00801E18">
        <w:rPr>
          <w:rFonts w:cs="Arial" w:hint="cs"/>
          <w:sz w:val="16"/>
          <w:szCs w:val="16"/>
          <w:rtl/>
        </w:rPr>
        <w:t xml:space="preserve">ראה </w:t>
      </w:r>
      <w:r w:rsidR="00801E18" w:rsidRPr="00801E18">
        <w:rPr>
          <w:rFonts w:cs="Arial"/>
          <w:sz w:val="16"/>
          <w:szCs w:val="16"/>
          <w:rtl/>
        </w:rPr>
        <w:t>ל</w:t>
      </w:r>
      <w:r w:rsidR="00801E18" w:rsidRPr="00801E18">
        <w:rPr>
          <w:rFonts w:cs="Arial" w:hint="cs"/>
          <w:sz w:val="16"/>
          <w:szCs w:val="16"/>
          <w:rtl/>
        </w:rPr>
        <w:t>י</w:t>
      </w:r>
      <w:r w:rsidR="00801E18" w:rsidRPr="00801E18">
        <w:rPr>
          <w:rFonts w:cs="Arial"/>
          <w:sz w:val="16"/>
          <w:szCs w:val="16"/>
          <w:rtl/>
        </w:rPr>
        <w:t xml:space="preserve"> לפרש דברי רבינו שכתב כאן</w:t>
      </w:r>
      <w:r w:rsidR="00801E18" w:rsidRPr="00801E18">
        <w:rPr>
          <w:rFonts w:cs="Arial" w:hint="cs"/>
          <w:sz w:val="16"/>
          <w:szCs w:val="16"/>
          <w:rtl/>
        </w:rPr>
        <w:t>.</w:t>
      </w:r>
      <w:r w:rsidR="00801E18" w:rsidRPr="00801E18">
        <w:rPr>
          <w:rFonts w:cs="Arial"/>
          <w:sz w:val="16"/>
          <w:szCs w:val="16"/>
          <w:rtl/>
        </w:rPr>
        <w:t xml:space="preserve"> אלא שקשה לי שבסימן תקי"ח (שם) כתב דביו</w:t>
      </w:r>
      <w:r w:rsidR="009F6068">
        <w:rPr>
          <w:rFonts w:cs="Arial" w:hint="cs"/>
          <w:sz w:val="16"/>
          <w:szCs w:val="16"/>
          <w:rtl/>
        </w:rPr>
        <w:t>"</w:t>
      </w:r>
      <w:r w:rsidR="00801E18" w:rsidRPr="00801E18">
        <w:rPr>
          <w:rFonts w:cs="Arial"/>
          <w:sz w:val="16"/>
          <w:szCs w:val="16"/>
          <w:rtl/>
        </w:rPr>
        <w:t>ט מותר לטלטל סולם של שובך משובך לשובך</w:t>
      </w:r>
      <w:r w:rsidR="00801E18" w:rsidRPr="00801E18">
        <w:rPr>
          <w:rFonts w:cs="Arial" w:hint="cs"/>
          <w:sz w:val="16"/>
          <w:szCs w:val="16"/>
          <w:rtl/>
        </w:rPr>
        <w:t>,</w:t>
      </w:r>
      <w:r w:rsidR="00801E18" w:rsidRPr="00801E18">
        <w:rPr>
          <w:rFonts w:cs="Arial"/>
          <w:sz w:val="16"/>
          <w:szCs w:val="16"/>
          <w:rtl/>
        </w:rPr>
        <w:t xml:space="preserve"> ואם כן סבירא ליה דפליגי בית שמאי ובית הלל בהולכת סולם של שובך משובך לשובך</w:t>
      </w:r>
      <w:r w:rsidR="00801E18" w:rsidRPr="00801E18">
        <w:rPr>
          <w:rFonts w:cs="Arial" w:hint="cs"/>
          <w:sz w:val="16"/>
          <w:szCs w:val="16"/>
          <w:rtl/>
        </w:rPr>
        <w:t>,</w:t>
      </w:r>
      <w:r w:rsidR="00801E18" w:rsidRPr="00801E18">
        <w:rPr>
          <w:rFonts w:cs="Arial"/>
          <w:sz w:val="16"/>
          <w:szCs w:val="16"/>
          <w:rtl/>
        </w:rPr>
        <w:t xml:space="preserve"> ופסק כבית הלל דשרו</w:t>
      </w:r>
      <w:r w:rsidR="00801E18" w:rsidRPr="00801E18">
        <w:rPr>
          <w:rFonts w:cs="Arial" w:hint="cs"/>
          <w:sz w:val="16"/>
          <w:szCs w:val="16"/>
          <w:rtl/>
        </w:rPr>
        <w:t>.</w:t>
      </w:r>
      <w:r w:rsidR="00801E18" w:rsidRPr="00801E18">
        <w:rPr>
          <w:rFonts w:cs="Arial"/>
          <w:sz w:val="16"/>
          <w:szCs w:val="16"/>
          <w:rtl/>
        </w:rPr>
        <w:t xml:space="preserve"> וכן פסקו הרי"ף והרא"ש</w:t>
      </w:r>
      <w:r w:rsidR="00801E18" w:rsidRPr="00801E18">
        <w:rPr>
          <w:rFonts w:cs="Arial" w:hint="cs"/>
          <w:sz w:val="16"/>
          <w:szCs w:val="16"/>
          <w:rtl/>
        </w:rPr>
        <w:t>.</w:t>
      </w:r>
      <w:r w:rsidR="00801E18" w:rsidRPr="00801E18">
        <w:rPr>
          <w:rFonts w:cs="Arial"/>
          <w:sz w:val="16"/>
          <w:szCs w:val="16"/>
          <w:rtl/>
        </w:rPr>
        <w:t xml:space="preserve"> ואם כן מנא ליה לחלק בין שבת ליום טוב</w:t>
      </w:r>
      <w:r w:rsidR="00801E18" w:rsidRPr="00801E18">
        <w:rPr>
          <w:rFonts w:cs="Arial" w:hint="cs"/>
          <w:sz w:val="16"/>
          <w:szCs w:val="16"/>
          <w:rtl/>
        </w:rPr>
        <w:t>.</w:t>
      </w:r>
      <w:r w:rsidR="00801E18" w:rsidRPr="00801E18">
        <w:rPr>
          <w:rFonts w:cs="Arial"/>
          <w:sz w:val="16"/>
          <w:szCs w:val="16"/>
          <w:rtl/>
        </w:rPr>
        <w:t xml:space="preserve"> לכך נראה לי דאין הכי נמי דלענין יו</w:t>
      </w:r>
      <w:r w:rsidR="009F6068">
        <w:rPr>
          <w:rFonts w:cs="Arial" w:hint="cs"/>
          <w:sz w:val="16"/>
          <w:szCs w:val="16"/>
          <w:rtl/>
        </w:rPr>
        <w:t>"</w:t>
      </w:r>
      <w:r w:rsidR="00801E18" w:rsidRPr="00801E18">
        <w:rPr>
          <w:rFonts w:cs="Arial"/>
          <w:sz w:val="16"/>
          <w:szCs w:val="16"/>
          <w:rtl/>
        </w:rPr>
        <w:t>ט קיימא לן דהלכה כבית הלל דשרו להוליך סולם של שובך משובך לשובך</w:t>
      </w:r>
      <w:r w:rsidR="00801E18" w:rsidRPr="00801E18">
        <w:rPr>
          <w:rFonts w:cs="Arial" w:hint="cs"/>
          <w:sz w:val="16"/>
          <w:szCs w:val="16"/>
          <w:rtl/>
        </w:rPr>
        <w:t>,</w:t>
      </w:r>
      <w:r w:rsidR="00801E18" w:rsidRPr="00801E18">
        <w:rPr>
          <w:rFonts w:cs="Arial"/>
          <w:sz w:val="16"/>
          <w:szCs w:val="16"/>
          <w:rtl/>
        </w:rPr>
        <w:t xml:space="preserve"> והיינו משום שמחת יום טוב כדמשמע בגמרא</w:t>
      </w:r>
      <w:r w:rsidR="00801E18" w:rsidRPr="00801E18">
        <w:rPr>
          <w:rFonts w:cs="Arial" w:hint="cs"/>
          <w:sz w:val="16"/>
          <w:szCs w:val="16"/>
          <w:rtl/>
        </w:rPr>
        <w:t>.</w:t>
      </w:r>
      <w:r w:rsidR="00801E18" w:rsidRPr="00801E18">
        <w:rPr>
          <w:rFonts w:cs="Arial"/>
          <w:sz w:val="16"/>
          <w:szCs w:val="16"/>
          <w:rtl/>
        </w:rPr>
        <w:t xml:space="preserve"> אבל בשבת דליכא האי טעמא </w:t>
      </w:r>
      <w:r w:rsidR="00801E18" w:rsidRPr="00801E18">
        <w:rPr>
          <w:rFonts w:cs="Arial" w:hint="cs"/>
          <w:sz w:val="16"/>
          <w:szCs w:val="16"/>
          <w:rtl/>
        </w:rPr>
        <w:t xml:space="preserve">- </w:t>
      </w:r>
      <w:r w:rsidR="00801E18" w:rsidRPr="00801E18">
        <w:rPr>
          <w:rFonts w:cs="Arial"/>
          <w:sz w:val="16"/>
          <w:szCs w:val="16"/>
          <w:rtl/>
        </w:rPr>
        <w:t>אסור משובך לשובך</w:t>
      </w:r>
      <w:r w:rsidR="00801E18" w:rsidRPr="00801E18">
        <w:rPr>
          <w:rFonts w:cs="Arial" w:hint="cs"/>
          <w:sz w:val="16"/>
          <w:szCs w:val="16"/>
          <w:rtl/>
        </w:rPr>
        <w:t>,</w:t>
      </w:r>
      <w:r w:rsidR="00801E18" w:rsidRPr="00801E18">
        <w:rPr>
          <w:rFonts w:cs="Arial"/>
          <w:sz w:val="16"/>
          <w:szCs w:val="16"/>
          <w:rtl/>
        </w:rPr>
        <w:t xml:space="preserve"> דאילו ממקום למקום אפילו בשל עליה שרי כמו שקדם</w:t>
      </w:r>
      <w:r w:rsidR="00801E18" w:rsidRPr="00801E18">
        <w:rPr>
          <w:rFonts w:cs="Arial" w:hint="cs"/>
          <w:sz w:val="16"/>
          <w:szCs w:val="16"/>
          <w:rtl/>
        </w:rPr>
        <w:t>.</w:t>
      </w:r>
      <w:r w:rsidR="00801E18" w:rsidRPr="00801E18">
        <w:rPr>
          <w:rFonts w:cs="Arial"/>
          <w:sz w:val="16"/>
          <w:szCs w:val="16"/>
          <w:rtl/>
        </w:rPr>
        <w:t xml:space="preserve"> ועוד יש לומר שמה שאסר להוליכו משובך לשובך הוא כדי שלא יעשה כדרך שהוא עושה בחול ויבא לצוד</w:t>
      </w:r>
      <w:r w:rsidR="00801E18" w:rsidRPr="00801E18">
        <w:rPr>
          <w:rFonts w:cs="Arial" w:hint="cs"/>
          <w:sz w:val="16"/>
          <w:szCs w:val="16"/>
          <w:rtl/>
        </w:rPr>
        <w:t>,</w:t>
      </w:r>
      <w:r w:rsidR="00801E18" w:rsidRPr="00801E18">
        <w:rPr>
          <w:rFonts w:cs="Arial"/>
          <w:sz w:val="16"/>
          <w:szCs w:val="16"/>
          <w:rtl/>
        </w:rPr>
        <w:t xml:space="preserve"> וכן כתב הרמב"ם בפכ"ו (ה"ז)</w:t>
      </w:r>
      <w:r w:rsidR="00801E18" w:rsidRPr="00801E18">
        <w:rPr>
          <w:rFonts w:cs="Arial" w:hint="cs"/>
          <w:sz w:val="16"/>
          <w:szCs w:val="16"/>
          <w:rtl/>
        </w:rPr>
        <w:t>,</w:t>
      </w:r>
      <w:r w:rsidR="00801E18" w:rsidRPr="00801E18">
        <w:rPr>
          <w:rFonts w:cs="Arial"/>
          <w:sz w:val="16"/>
          <w:szCs w:val="16"/>
          <w:rtl/>
        </w:rPr>
        <w:t xml:space="preserve"> ומשם למדה רבינו</w:t>
      </w:r>
      <w:r w:rsidR="00801E18" w:rsidRPr="00801E18">
        <w:rPr>
          <w:rFonts w:cs="Arial" w:hint="cs"/>
          <w:sz w:val="16"/>
          <w:szCs w:val="16"/>
          <w:rtl/>
        </w:rPr>
        <w:t>, ב"י)</w:t>
      </w:r>
    </w:p>
    <w:p w14:paraId="5BC258E4" w14:textId="1435AECE" w:rsidR="009E2C0A" w:rsidRPr="00AE5555" w:rsidRDefault="00AE5555" w:rsidP="00434A6A">
      <w:pPr>
        <w:rPr>
          <w:rFonts w:cs="Arial"/>
          <w:u w:val="single"/>
        </w:rPr>
      </w:pPr>
      <w:r w:rsidRPr="00AE5555">
        <w:rPr>
          <w:rFonts w:cs="Arial" w:hint="cs"/>
          <w:u w:val="single"/>
          <w:rtl/>
        </w:rPr>
        <w:t>טלטול סולם של שובך:</w:t>
      </w:r>
    </w:p>
    <w:p w14:paraId="404EA01F" w14:textId="00C5CD9F" w:rsidR="00F63421" w:rsidRPr="00801E18" w:rsidRDefault="009E2C0A" w:rsidP="00434A6A">
      <w:pPr>
        <w:pStyle w:val="aa"/>
        <w:numPr>
          <w:ilvl w:val="0"/>
          <w:numId w:val="3"/>
        </w:numPr>
        <w:rPr>
          <w:rFonts w:cs="Arial"/>
          <w:rtl/>
        </w:rPr>
      </w:pPr>
      <w:r>
        <w:rPr>
          <w:rFonts w:cs="Arial" w:hint="cs"/>
          <w:rtl/>
        </w:rPr>
        <w:t xml:space="preserve">רמב"ם </w:t>
      </w:r>
      <w:r w:rsidR="00AE5555">
        <w:rPr>
          <w:rFonts w:cs="Arial" w:hint="cs"/>
          <w:sz w:val="16"/>
          <w:szCs w:val="16"/>
          <w:rtl/>
        </w:rPr>
        <w:t xml:space="preserve">(שם) </w:t>
      </w:r>
      <w:r>
        <w:rPr>
          <w:rFonts w:cs="Arial" w:hint="cs"/>
          <w:rtl/>
        </w:rPr>
        <w:t xml:space="preserve">וטור- </w:t>
      </w:r>
      <w:r w:rsidR="0011705F" w:rsidRPr="0011705F">
        <w:rPr>
          <w:rFonts w:cs="Arial"/>
          <w:rtl/>
        </w:rPr>
        <w:t>ושל שובך מותר להטותו, אבל לא יוליכו משובך לשובך שלא יעשה כדרך שהוא עושה בחול ויבא לצוד</w:t>
      </w:r>
      <w:r w:rsidR="00AE5555">
        <w:rPr>
          <w:rFonts w:cs="Arial" w:hint="cs"/>
          <w:sz w:val="16"/>
          <w:szCs w:val="16"/>
          <w:rtl/>
        </w:rPr>
        <w:t xml:space="preserve"> (ל' הרמב"ם)</w:t>
      </w:r>
      <w:r w:rsidR="0011705F">
        <w:rPr>
          <w:rFonts w:cs="Arial" w:hint="cs"/>
          <w:rtl/>
        </w:rPr>
        <w:t>.</w:t>
      </w:r>
      <w:r w:rsidR="00801E18" w:rsidRPr="00801E18">
        <w:rPr>
          <w:rFonts w:cs="Arial"/>
          <w:color w:val="E36C0A" w:themeColor="accent6" w:themeShade="BF"/>
          <w:rtl/>
        </w:rPr>
        <w:t xml:space="preserve"> </w:t>
      </w:r>
      <w:r w:rsidR="00801E18" w:rsidRPr="00801E18">
        <w:rPr>
          <w:rFonts w:cs="Arial" w:hint="cs"/>
          <w:color w:val="E36C0A" w:themeColor="accent6" w:themeShade="BF"/>
          <w:rtl/>
        </w:rPr>
        <w:t>(וכ"פ בשו"ע)</w:t>
      </w:r>
    </w:p>
    <w:p w14:paraId="23618E05"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7092179A" w14:textId="1657F838" w:rsidR="000C6229" w:rsidRPr="005275DF" w:rsidRDefault="000C6229" w:rsidP="00434A6A">
      <w:pPr>
        <w:rPr>
          <w:rFonts w:asciiTheme="minorBidi" w:hAnsiTheme="minorBidi"/>
          <w:rtl/>
        </w:rPr>
      </w:pPr>
      <w:r w:rsidRPr="005275DF">
        <w:rPr>
          <w:rFonts w:asciiTheme="minorBidi" w:hAnsiTheme="minorBidi"/>
          <w:rtl/>
        </w:rPr>
        <w:t>סולם של עלייה</w:t>
      </w:r>
      <w:r w:rsidR="00801E18">
        <w:rPr>
          <w:rFonts w:asciiTheme="minorBidi" w:hAnsiTheme="minorBidi" w:hint="cs"/>
          <w:rtl/>
        </w:rPr>
        <w:t>,</w:t>
      </w:r>
      <w:r w:rsidRPr="005275DF">
        <w:rPr>
          <w:rFonts w:asciiTheme="minorBidi" w:hAnsiTheme="minorBidi"/>
          <w:rtl/>
        </w:rPr>
        <w:t xml:space="preserve"> שהוא גדול ועשוי להטיח בו גגו</w:t>
      </w:r>
      <w:r w:rsidR="00801E18">
        <w:rPr>
          <w:rStyle w:val="a9"/>
          <w:rFonts w:asciiTheme="minorBidi" w:hAnsiTheme="minorBidi"/>
          <w:rtl/>
        </w:rPr>
        <w:footnoteReference w:id="1503"/>
      </w:r>
      <w:r w:rsidRPr="005275DF">
        <w:rPr>
          <w:rFonts w:asciiTheme="minorBidi" w:hAnsiTheme="minorBidi"/>
          <w:rtl/>
        </w:rPr>
        <w:t>, אסור לטלטלו</w:t>
      </w:r>
      <w:r w:rsidR="00801E18">
        <w:rPr>
          <w:rStyle w:val="a9"/>
          <w:rFonts w:asciiTheme="minorBidi" w:hAnsiTheme="minorBidi"/>
          <w:rtl/>
        </w:rPr>
        <w:footnoteReference w:id="1504"/>
      </w:r>
      <w:r w:rsidRPr="005275DF">
        <w:rPr>
          <w:rFonts w:asciiTheme="minorBidi" w:hAnsiTheme="minorBidi"/>
          <w:rtl/>
        </w:rPr>
        <w:t>. אבל של שובך מותר לנטותו ממקום למקום, אבל לא יוליכנו משובך לשובך</w:t>
      </w:r>
      <w:r w:rsidR="002C3287">
        <w:rPr>
          <w:rFonts w:asciiTheme="minorBidi" w:hAnsiTheme="minorBidi" w:hint="cs"/>
          <w:rtl/>
        </w:rPr>
        <w:t>,</w:t>
      </w:r>
      <w:r w:rsidRPr="005275DF">
        <w:rPr>
          <w:rFonts w:asciiTheme="minorBidi" w:hAnsiTheme="minorBidi"/>
          <w:rtl/>
        </w:rPr>
        <w:t xml:space="preserve"> כדי שלא יעשה כדרך שהוא עושה בחול ויבוא לצוד. </w:t>
      </w:r>
    </w:p>
    <w:p w14:paraId="2FA05B38" w14:textId="4AFDAE02" w:rsidR="000C6229" w:rsidRPr="008E1BA8" w:rsidRDefault="008E1BA8" w:rsidP="00434A6A">
      <w:pPr>
        <w:rPr>
          <w:rFonts w:asciiTheme="minorBidi" w:hAnsiTheme="minorBidi"/>
          <w:u w:val="single"/>
          <w:rtl/>
        </w:rPr>
      </w:pPr>
      <w:r w:rsidRPr="008E1BA8">
        <w:rPr>
          <w:rFonts w:asciiTheme="minorBidi" w:hAnsiTheme="minorBidi" w:hint="cs"/>
          <w:u w:val="single"/>
          <w:rtl/>
        </w:rPr>
        <w:t>סולמות בזמנינו:</w:t>
      </w:r>
    </w:p>
    <w:p w14:paraId="01096A5B" w14:textId="146F88E3" w:rsidR="008E1BA8" w:rsidRDefault="008E1BA8" w:rsidP="00434A6A">
      <w:pPr>
        <w:pStyle w:val="aa"/>
        <w:numPr>
          <w:ilvl w:val="0"/>
          <w:numId w:val="3"/>
        </w:numPr>
        <w:rPr>
          <w:rFonts w:asciiTheme="minorBidi" w:hAnsiTheme="minorBidi"/>
        </w:rPr>
      </w:pPr>
      <w:r w:rsidRPr="008E1BA8">
        <w:rPr>
          <w:rFonts w:asciiTheme="minorBidi" w:hAnsiTheme="minorBidi" w:cs="Arial" w:hint="cs"/>
          <w:rtl/>
        </w:rPr>
        <w:t xml:space="preserve">פסק"ת </w:t>
      </w:r>
      <w:r w:rsidRPr="008E1BA8">
        <w:rPr>
          <w:rFonts w:asciiTheme="minorBidi" w:hAnsiTheme="minorBidi" w:cs="Arial" w:hint="cs"/>
          <w:sz w:val="16"/>
          <w:szCs w:val="16"/>
          <w:rtl/>
        </w:rPr>
        <w:t>(אות לב)</w:t>
      </w:r>
      <w:r w:rsidRPr="008E1BA8">
        <w:rPr>
          <w:rFonts w:asciiTheme="minorBidi" w:hAnsiTheme="minorBidi" w:cs="Arial" w:hint="cs"/>
          <w:rtl/>
        </w:rPr>
        <w:t xml:space="preserve">- </w:t>
      </w:r>
      <w:r w:rsidRPr="008E1BA8">
        <w:rPr>
          <w:rFonts w:asciiTheme="minorBidi" w:hAnsiTheme="minorBidi" w:cs="Arial"/>
          <w:rtl/>
        </w:rPr>
        <w:t>והסולמות בזמנינו שבחדרי המדרגות שעל ידם עולים לגג, אינו בכלל האיסור, ומותר להאריכם ולנטותם להעמידם על מכונם כשצריך לעלות לגג, והוא כעין מדרגות הבית, ורק אם נשמט ונתפרק חיבורו מן הכותל, אסור לטלטלו ומוקצה הוא לחלוטין, וכדין דלתות הבית שנתפרקו.</w:t>
      </w:r>
      <w:r>
        <w:rPr>
          <w:rFonts w:asciiTheme="minorBidi" w:hAnsiTheme="minorBidi" w:cs="Arial" w:hint="cs"/>
          <w:rtl/>
        </w:rPr>
        <w:t xml:space="preserve"> </w:t>
      </w:r>
      <w:r w:rsidRPr="008E1BA8">
        <w:rPr>
          <w:rFonts w:asciiTheme="minorBidi" w:hAnsiTheme="minorBidi" w:cs="Arial"/>
          <w:rtl/>
        </w:rPr>
        <w:t>וסולם רגיל הנמצא בבית לשימוש הבית, אין בו מוקצה כלל, והרי הוא ככלי שמלאכתו להיתר</w:t>
      </w:r>
      <w:r>
        <w:rPr>
          <w:rFonts w:asciiTheme="minorBidi" w:hAnsiTheme="minorBidi" w:cs="Arial" w:hint="cs"/>
          <w:rtl/>
        </w:rPr>
        <w:t>.</w:t>
      </w:r>
      <w:r w:rsidRPr="008E1BA8">
        <w:rPr>
          <w:rFonts w:asciiTheme="minorBidi" w:hAnsiTheme="minorBidi" w:cs="Arial"/>
          <w:rtl/>
        </w:rPr>
        <w:t xml:space="preserve"> ואלא על הסולמות שניכר עליהם שעשויים לבעלי אומנויות, כגון אלו הנפתחים לגובה רב, יתכן שהינם בכלל 'סולם של עליה' דזמניהם שאסרוהו בטלטול, אך גם אם נאסור לטלטל אותם, ליכא איסור להשתמש עמהם במקומם</w:t>
      </w:r>
      <w:r>
        <w:rPr>
          <w:rStyle w:val="a9"/>
          <w:rFonts w:asciiTheme="minorBidi" w:hAnsiTheme="minorBidi" w:cs="Arial"/>
          <w:rtl/>
        </w:rPr>
        <w:footnoteReference w:id="1505"/>
      </w:r>
      <w:r w:rsidRPr="008E1BA8">
        <w:rPr>
          <w:rFonts w:asciiTheme="minorBidi" w:hAnsiTheme="minorBidi" w:cs="Arial"/>
          <w:rtl/>
        </w:rPr>
        <w:t xml:space="preserve"> (בלי לטלטלם ממקום למקום), למרות שעלולים להתנוענע מעט בעלייתו וירידתו, הרי זה כטלטול מן הצד שהותר לצורך דבר המותר (כשאינו לצורך דבר המוקצה)</w:t>
      </w:r>
      <w:r>
        <w:rPr>
          <w:rFonts w:asciiTheme="minorBidi" w:hAnsiTheme="minorBidi" w:hint="cs"/>
          <w:rtl/>
        </w:rPr>
        <w:t>.</w:t>
      </w:r>
    </w:p>
    <w:p w14:paraId="15E32929" w14:textId="77777777" w:rsidR="008E1BA8" w:rsidRPr="008E1BA8" w:rsidRDefault="008E1BA8" w:rsidP="00434A6A">
      <w:pPr>
        <w:rPr>
          <w:rFonts w:asciiTheme="minorBidi" w:hAnsiTheme="minorBidi"/>
          <w:rtl/>
        </w:rPr>
      </w:pPr>
    </w:p>
    <w:p w14:paraId="35D838F4" w14:textId="3B427354" w:rsidR="00E47CB7" w:rsidRDefault="000C6229" w:rsidP="00434A6A">
      <w:pPr>
        <w:pStyle w:val="2"/>
        <w:rPr>
          <w:rtl/>
        </w:rPr>
      </w:pPr>
      <w:r w:rsidRPr="005275DF">
        <w:rPr>
          <w:rtl/>
        </w:rPr>
        <w:t>סעיף כ</w:t>
      </w:r>
      <w:r w:rsidR="00801E18">
        <w:rPr>
          <w:rFonts w:hint="cs"/>
          <w:rtl/>
        </w:rPr>
        <w:t xml:space="preserve">: </w:t>
      </w:r>
      <w:r w:rsidR="001F51DD">
        <w:rPr>
          <w:rFonts w:hint="cs"/>
          <w:rtl/>
        </w:rPr>
        <w:t>חריות של דקל שגדרן לשריפה.</w:t>
      </w:r>
    </w:p>
    <w:p w14:paraId="24474365" w14:textId="0EFB4B59" w:rsidR="005A62D7" w:rsidRDefault="005A62D7" w:rsidP="00434A6A">
      <w:pPr>
        <w:rPr>
          <w:rFonts w:cs="Arial"/>
          <w:rtl/>
        </w:rPr>
      </w:pPr>
      <w:r w:rsidRPr="002A45F7">
        <w:rPr>
          <w:rFonts w:hint="cs"/>
          <w:b/>
          <w:bCs/>
          <w:rtl/>
        </w:rPr>
        <w:t xml:space="preserve">שבת </w:t>
      </w:r>
      <w:r>
        <w:rPr>
          <w:rFonts w:hint="cs"/>
          <w:b/>
          <w:bCs/>
          <w:sz w:val="16"/>
          <w:szCs w:val="16"/>
          <w:rtl/>
        </w:rPr>
        <w:t>(פ' במה טומנין)</w:t>
      </w:r>
      <w:r>
        <w:rPr>
          <w:rFonts w:hint="cs"/>
          <w:b/>
          <w:bCs/>
          <w:rtl/>
        </w:rPr>
        <w:t xml:space="preserve"> נ</w:t>
      </w:r>
      <w:r w:rsidRPr="002A45F7">
        <w:rPr>
          <w:rFonts w:hint="cs"/>
          <w:b/>
          <w:bCs/>
          <w:rtl/>
        </w:rPr>
        <w:t xml:space="preserve"> ע"</w:t>
      </w:r>
      <w:r>
        <w:rPr>
          <w:rFonts w:hint="cs"/>
          <w:b/>
          <w:bCs/>
          <w:rtl/>
        </w:rPr>
        <w:t>א</w:t>
      </w:r>
      <w:r w:rsidRPr="002A45F7">
        <w:rPr>
          <w:rFonts w:hint="cs"/>
          <w:b/>
          <w:bCs/>
          <w:rtl/>
        </w:rPr>
        <w:t>:</w:t>
      </w:r>
      <w:r>
        <w:rPr>
          <w:rFonts w:cs="Arial" w:hint="cs"/>
          <w:rtl/>
        </w:rPr>
        <w:t xml:space="preserve"> </w:t>
      </w:r>
      <w:r w:rsidRPr="009E75FC">
        <w:rPr>
          <w:rFonts w:cs="Arial"/>
          <w:u w:val="single"/>
          <w:rtl/>
        </w:rPr>
        <w:t>תנא רבה בר בר חנה קמיה דרב</w:t>
      </w:r>
      <w:r w:rsidRPr="009E75FC">
        <w:rPr>
          <w:rFonts w:cs="Arial"/>
          <w:rtl/>
        </w:rPr>
        <w:t>: חריות של דקל שגדרן לעצים ונמלך עליהן לישיבה - צריך לקשר</w:t>
      </w:r>
      <w:r>
        <w:rPr>
          <w:rStyle w:val="a9"/>
          <w:rFonts w:cs="Arial"/>
          <w:rtl/>
        </w:rPr>
        <w:footnoteReference w:id="1506"/>
      </w:r>
      <w:r>
        <w:rPr>
          <w:rFonts w:cs="Arial" w:hint="cs"/>
          <w:rtl/>
        </w:rPr>
        <w:t>.</w:t>
      </w:r>
      <w:r w:rsidRPr="009E75FC">
        <w:rPr>
          <w:rFonts w:cs="Arial"/>
          <w:rtl/>
        </w:rPr>
        <w:t xml:space="preserve"> </w:t>
      </w:r>
      <w:r w:rsidRPr="009E75FC">
        <w:rPr>
          <w:rFonts w:cs="Arial"/>
          <w:u w:val="single"/>
          <w:rtl/>
        </w:rPr>
        <w:t>רבן שמעון בן גמליאל אומר</w:t>
      </w:r>
      <w:r w:rsidRPr="009E75FC">
        <w:rPr>
          <w:rFonts w:cs="Arial"/>
          <w:rtl/>
        </w:rPr>
        <w:t xml:space="preserve">: אין צריך לקשר. </w:t>
      </w:r>
      <w:r w:rsidRPr="006574D9">
        <w:rPr>
          <w:rFonts w:cs="Arial"/>
          <w:u w:val="single"/>
          <w:rtl/>
        </w:rPr>
        <w:t>הוא תני לה והוא אמר לה</w:t>
      </w:r>
      <w:r w:rsidRPr="009E75FC">
        <w:rPr>
          <w:rFonts w:cs="Arial"/>
          <w:rtl/>
        </w:rPr>
        <w:t xml:space="preserve">: הלכה כרבן שמעון בן גמליאל. איתמר, </w:t>
      </w:r>
      <w:r w:rsidRPr="006574D9">
        <w:rPr>
          <w:rFonts w:cs="Arial"/>
          <w:u w:val="single"/>
          <w:rtl/>
        </w:rPr>
        <w:t>רב אמר</w:t>
      </w:r>
      <w:r w:rsidRPr="009E75FC">
        <w:rPr>
          <w:rFonts w:cs="Arial"/>
          <w:rtl/>
        </w:rPr>
        <w:t xml:space="preserve">: קושר, </w:t>
      </w:r>
      <w:r w:rsidRPr="006574D9">
        <w:rPr>
          <w:rFonts w:cs="Arial"/>
          <w:u w:val="single"/>
          <w:rtl/>
        </w:rPr>
        <w:t>ושמואל אמר</w:t>
      </w:r>
      <w:r w:rsidRPr="009E75FC">
        <w:rPr>
          <w:rFonts w:cs="Arial"/>
          <w:rtl/>
        </w:rPr>
        <w:t xml:space="preserve">: חושב, </w:t>
      </w:r>
      <w:r w:rsidRPr="006574D9">
        <w:rPr>
          <w:rFonts w:cs="Arial"/>
          <w:u w:val="single"/>
          <w:rtl/>
        </w:rPr>
        <w:t>ורב אסי אמר</w:t>
      </w:r>
      <w:r w:rsidRPr="009E75FC">
        <w:rPr>
          <w:rFonts w:cs="Arial"/>
          <w:rtl/>
        </w:rPr>
        <w:t>: יושב</w:t>
      </w:r>
      <w:r>
        <w:rPr>
          <w:rStyle w:val="a9"/>
          <w:rFonts w:cs="Arial"/>
          <w:rtl/>
        </w:rPr>
        <w:footnoteReference w:id="1507"/>
      </w:r>
      <w:r w:rsidRPr="009E75FC">
        <w:rPr>
          <w:rFonts w:cs="Arial"/>
          <w:rtl/>
        </w:rPr>
        <w:t>, אף על פי שלא קישר ואף על פי שלא חישב</w:t>
      </w:r>
      <w:r>
        <w:rPr>
          <w:rStyle w:val="a9"/>
          <w:rFonts w:cs="Arial"/>
          <w:rtl/>
        </w:rPr>
        <w:footnoteReference w:id="1508"/>
      </w:r>
      <w:r w:rsidRPr="009E75FC">
        <w:rPr>
          <w:rFonts w:cs="Arial"/>
          <w:rtl/>
        </w:rPr>
        <w:t>. בשלמא רב - הוא דאמר כתנא קמא ושמואל נמי - הוא דאמר כרבן שמעון בן גמליאל, אלא רב אסי - דאמר כמאן? הוא דאמר כי האי תנא, דתניא: יוצאין בפקורין</w:t>
      </w:r>
      <w:r w:rsidR="00A26498">
        <w:rPr>
          <w:rStyle w:val="a9"/>
          <w:rFonts w:cs="Arial"/>
          <w:rtl/>
        </w:rPr>
        <w:footnoteReference w:id="1509"/>
      </w:r>
      <w:r w:rsidRPr="009E75FC">
        <w:rPr>
          <w:rFonts w:cs="Arial"/>
          <w:rtl/>
        </w:rPr>
        <w:t xml:space="preserve"> ובציפא</w:t>
      </w:r>
      <w:r w:rsidR="00A26498">
        <w:rPr>
          <w:rStyle w:val="a9"/>
          <w:rFonts w:cs="Arial"/>
          <w:rtl/>
        </w:rPr>
        <w:footnoteReference w:id="1510"/>
      </w:r>
      <w:r w:rsidRPr="009E75FC">
        <w:rPr>
          <w:rFonts w:cs="Arial"/>
          <w:rtl/>
        </w:rPr>
        <w:t xml:space="preserve"> בזמן שצבען בשמן</w:t>
      </w:r>
      <w:r w:rsidR="00A26498">
        <w:rPr>
          <w:rStyle w:val="a9"/>
          <w:rFonts w:cs="Arial"/>
          <w:rtl/>
        </w:rPr>
        <w:footnoteReference w:id="1511"/>
      </w:r>
      <w:r w:rsidRPr="009E75FC">
        <w:rPr>
          <w:rFonts w:cs="Arial"/>
          <w:rtl/>
        </w:rPr>
        <w:t xml:space="preserve"> וכרכן במשיחה, לא צבען בשמן ולא כרכן במשיחה - אין יוצאין בהם, ואם יצא בהם שעה אחת מבעוד יום</w:t>
      </w:r>
      <w:r w:rsidR="009F64BF">
        <w:rPr>
          <w:rStyle w:val="a9"/>
          <w:rFonts w:cs="Arial"/>
          <w:rtl/>
        </w:rPr>
        <w:footnoteReference w:id="1512"/>
      </w:r>
      <w:r w:rsidRPr="009E75FC">
        <w:rPr>
          <w:rFonts w:cs="Arial"/>
          <w:rtl/>
        </w:rPr>
        <w:t xml:space="preserve">, אף על פי שלא צבע ולא כרכן במשיחה - מותר לצאת בהן. </w:t>
      </w:r>
      <w:r w:rsidRPr="008575C7">
        <w:rPr>
          <w:rFonts w:cs="Arial"/>
          <w:u w:val="single"/>
          <w:rtl/>
        </w:rPr>
        <w:t>אמר רב אשי</w:t>
      </w:r>
      <w:r w:rsidRPr="009E75FC">
        <w:rPr>
          <w:rFonts w:cs="Arial"/>
          <w:rtl/>
        </w:rPr>
        <w:t>: אף אנן נמי תנינא</w:t>
      </w:r>
      <w:r w:rsidR="009F64BF">
        <w:rPr>
          <w:rStyle w:val="a9"/>
          <w:rFonts w:cs="Arial"/>
          <w:rtl/>
        </w:rPr>
        <w:footnoteReference w:id="1513"/>
      </w:r>
      <w:r w:rsidRPr="009E75FC">
        <w:rPr>
          <w:rFonts w:cs="Arial"/>
          <w:rtl/>
        </w:rPr>
        <w:t>, הקש</w:t>
      </w:r>
      <w:r>
        <w:rPr>
          <w:rStyle w:val="a9"/>
          <w:rFonts w:cs="Arial"/>
          <w:rtl/>
        </w:rPr>
        <w:footnoteReference w:id="1514"/>
      </w:r>
      <w:r w:rsidRPr="009E75FC">
        <w:rPr>
          <w:rFonts w:cs="Arial"/>
          <w:rtl/>
        </w:rPr>
        <w:t xml:space="preserve"> שעל גבי המטה - לא ינענעו בידו, אבל מנענעו בגופו, אבל אם היה מאכל בהמה, או שהיה עליו כר או סדין</w:t>
      </w:r>
      <w:r>
        <w:rPr>
          <w:rStyle w:val="a9"/>
          <w:rFonts w:cs="Arial"/>
          <w:rtl/>
        </w:rPr>
        <w:footnoteReference w:id="1515"/>
      </w:r>
      <w:r w:rsidRPr="009E75FC">
        <w:rPr>
          <w:rFonts w:cs="Arial"/>
          <w:rtl/>
        </w:rPr>
        <w:t xml:space="preserve"> מבעוד יום - מנענעו בידו. שמע מינה. ומאן תנא דפליג עליה דרבן שמעון בן גמליאל - רבי חנינא בן עקיבא. </w:t>
      </w:r>
      <w:r w:rsidRPr="008575C7">
        <w:rPr>
          <w:rFonts w:cs="Arial"/>
          <w:u w:val="single"/>
          <w:rtl/>
        </w:rPr>
        <w:t>דכי אתא רב דימי אמר זעירי אמר רבי חנינא</w:t>
      </w:r>
      <w:r w:rsidRPr="009E75FC">
        <w:rPr>
          <w:rFonts w:cs="Arial"/>
          <w:rtl/>
        </w:rPr>
        <w:t>: פעם אחת הלך רבי חנינא בן עקיבא למקום אחד, ומצא חריות של דקל שגדרום לשום עצים, ואמר להם לתלמידיו: צאו וחשבו כדי שנשב עליהן למחר. ולא ידענא</w:t>
      </w:r>
      <w:r>
        <w:rPr>
          <w:rStyle w:val="a9"/>
          <w:rFonts w:cs="Arial"/>
          <w:rtl/>
        </w:rPr>
        <w:footnoteReference w:id="1516"/>
      </w:r>
      <w:r w:rsidRPr="009E75FC">
        <w:rPr>
          <w:rFonts w:cs="Arial"/>
          <w:rtl/>
        </w:rPr>
        <w:t xml:space="preserve"> אי בית המשתה הוה, אי בית האבל הוה. מדקאמר אי בית המשתה הוה אי בית האבל הוה - דוקא בית האבל או בית המשתה דטרידי</w:t>
      </w:r>
      <w:r>
        <w:rPr>
          <w:rStyle w:val="a9"/>
          <w:rFonts w:cs="Arial"/>
          <w:rtl/>
        </w:rPr>
        <w:footnoteReference w:id="1517"/>
      </w:r>
      <w:r w:rsidRPr="009E75FC">
        <w:rPr>
          <w:rFonts w:cs="Arial"/>
          <w:rtl/>
        </w:rPr>
        <w:t>, אבל הכא: קשר - אין, לא קשר - לא</w:t>
      </w:r>
      <w:r>
        <w:rPr>
          <w:rFonts w:cs="Arial" w:hint="cs"/>
          <w:rtl/>
        </w:rPr>
        <w:t>.</w:t>
      </w:r>
      <w:r w:rsidRPr="00F63421">
        <w:rPr>
          <w:rFonts w:cs="Arial"/>
          <w:rtl/>
        </w:rPr>
        <w:t xml:space="preserve"> </w:t>
      </w:r>
    </w:p>
    <w:p w14:paraId="5CF14EF5" w14:textId="77777777" w:rsidR="005A62D7" w:rsidRPr="00E912DB" w:rsidRDefault="005A62D7" w:rsidP="00434A6A">
      <w:pPr>
        <w:rPr>
          <w:rFonts w:cs="Arial"/>
          <w:u w:val="single"/>
          <w:rtl/>
        </w:rPr>
      </w:pPr>
      <w:r w:rsidRPr="00E912DB">
        <w:rPr>
          <w:rFonts w:cs="Arial" w:hint="cs"/>
          <w:u w:val="single"/>
          <w:rtl/>
        </w:rPr>
        <w:t>כיצד נפסק:</w:t>
      </w:r>
    </w:p>
    <w:p w14:paraId="306F01F8" w14:textId="77777777" w:rsidR="005A62D7" w:rsidRDefault="005A62D7" w:rsidP="00434A6A">
      <w:pPr>
        <w:pStyle w:val="aa"/>
        <w:numPr>
          <w:ilvl w:val="0"/>
          <w:numId w:val="3"/>
        </w:numPr>
        <w:rPr>
          <w:rFonts w:cs="Arial"/>
        </w:rPr>
      </w:pPr>
      <w:r w:rsidRPr="00696D4C">
        <w:rPr>
          <w:rFonts w:cs="Arial" w:hint="cs"/>
          <w:rtl/>
        </w:rPr>
        <w:t>ר"ת</w:t>
      </w:r>
      <w:r w:rsidRPr="00696D4C">
        <w:rPr>
          <w:rFonts w:cs="Arial"/>
          <w:rtl/>
        </w:rPr>
        <w:t xml:space="preserve"> </w:t>
      </w:r>
      <w:r w:rsidRPr="00696D4C">
        <w:rPr>
          <w:rFonts w:cs="Arial"/>
          <w:sz w:val="16"/>
          <w:szCs w:val="16"/>
          <w:rtl/>
        </w:rPr>
        <w:t>(</w:t>
      </w:r>
      <w:r w:rsidRPr="00696D4C">
        <w:rPr>
          <w:rFonts w:cs="Arial" w:hint="cs"/>
          <w:sz w:val="16"/>
          <w:szCs w:val="16"/>
          <w:rtl/>
        </w:rPr>
        <w:t xml:space="preserve">כ"כ בשמו התוס' [נ. </w:t>
      </w:r>
      <w:r w:rsidRPr="00696D4C">
        <w:rPr>
          <w:rFonts w:cs="Arial"/>
          <w:sz w:val="16"/>
          <w:szCs w:val="16"/>
          <w:rtl/>
        </w:rPr>
        <w:t>ד"ה ורב</w:t>
      </w:r>
      <w:r w:rsidRPr="00696D4C">
        <w:rPr>
          <w:rFonts w:cs="Arial" w:hint="cs"/>
          <w:sz w:val="16"/>
          <w:szCs w:val="16"/>
          <w:rtl/>
        </w:rPr>
        <w:t>]</w:t>
      </w:r>
      <w:r w:rsidRPr="00696D4C">
        <w:rPr>
          <w:rFonts w:cs="Arial"/>
          <w:sz w:val="16"/>
          <w:szCs w:val="16"/>
          <w:rtl/>
        </w:rPr>
        <w:t>)</w:t>
      </w:r>
      <w:r w:rsidRPr="00696D4C">
        <w:rPr>
          <w:rFonts w:cs="Arial" w:hint="cs"/>
          <w:rtl/>
        </w:rPr>
        <w:t>-</w:t>
      </w:r>
      <w:r w:rsidRPr="00696D4C">
        <w:rPr>
          <w:rFonts w:cs="Arial"/>
          <w:rtl/>
        </w:rPr>
        <w:t xml:space="preserve"> </w:t>
      </w:r>
      <w:r w:rsidRPr="00696D4C">
        <w:rPr>
          <w:rFonts w:cs="Arial" w:hint="cs"/>
          <w:rtl/>
        </w:rPr>
        <w:t>הלכתא</w:t>
      </w:r>
      <w:r w:rsidRPr="00696D4C">
        <w:rPr>
          <w:rFonts w:cs="Arial"/>
          <w:rtl/>
        </w:rPr>
        <w:t xml:space="preserve"> כרב</w:t>
      </w:r>
      <w:r>
        <w:rPr>
          <w:rStyle w:val="a9"/>
          <w:rFonts w:cs="Arial"/>
          <w:rtl/>
        </w:rPr>
        <w:footnoteReference w:id="1518"/>
      </w:r>
      <w:r w:rsidRPr="00696D4C">
        <w:rPr>
          <w:rFonts w:cs="Arial" w:hint="cs"/>
          <w:rtl/>
        </w:rPr>
        <w:t>.</w:t>
      </w:r>
      <w:r w:rsidRPr="00696D4C">
        <w:rPr>
          <w:rFonts w:cs="Arial"/>
          <w:rtl/>
        </w:rPr>
        <w:t xml:space="preserve"> </w:t>
      </w:r>
    </w:p>
    <w:p w14:paraId="2DAB4F53" w14:textId="715C69A4" w:rsidR="005A62D7" w:rsidRPr="00E912DB" w:rsidRDefault="005A62D7" w:rsidP="00434A6A">
      <w:pPr>
        <w:pStyle w:val="aa"/>
        <w:numPr>
          <w:ilvl w:val="0"/>
          <w:numId w:val="3"/>
        </w:numPr>
        <w:rPr>
          <w:rFonts w:cs="Arial"/>
          <w:rtl/>
        </w:rPr>
      </w:pPr>
      <w:r w:rsidRPr="00696D4C">
        <w:rPr>
          <w:rFonts w:cs="Arial"/>
          <w:rtl/>
        </w:rPr>
        <w:t xml:space="preserve">רי"ף </w:t>
      </w:r>
      <w:r w:rsidRPr="00696D4C">
        <w:rPr>
          <w:rFonts w:cs="Arial"/>
          <w:sz w:val="16"/>
          <w:szCs w:val="16"/>
          <w:rtl/>
        </w:rPr>
        <w:t xml:space="preserve">(כג.) </w:t>
      </w:r>
      <w:r w:rsidRPr="00696D4C">
        <w:rPr>
          <w:rFonts w:cs="Arial"/>
          <w:rtl/>
        </w:rPr>
        <w:t>רבינו שמשון הזקן</w:t>
      </w:r>
      <w:r>
        <w:rPr>
          <w:rFonts w:cs="Arial" w:hint="cs"/>
          <w:rtl/>
        </w:rPr>
        <w:t xml:space="preserve"> </w:t>
      </w:r>
      <w:r w:rsidRPr="00696D4C">
        <w:rPr>
          <w:rFonts w:cs="Arial"/>
          <w:sz w:val="16"/>
          <w:szCs w:val="16"/>
          <w:rtl/>
        </w:rPr>
        <w:t>(</w:t>
      </w:r>
      <w:r w:rsidRPr="00696D4C">
        <w:rPr>
          <w:rFonts w:cs="Arial" w:hint="cs"/>
          <w:sz w:val="16"/>
          <w:szCs w:val="16"/>
          <w:rtl/>
        </w:rPr>
        <w:t>כ"כ בשמו התוס' [</w:t>
      </w:r>
      <w:r w:rsidR="00C70F5C">
        <w:rPr>
          <w:rFonts w:cs="Arial" w:hint="cs"/>
          <w:sz w:val="16"/>
          <w:szCs w:val="16"/>
          <w:rtl/>
        </w:rPr>
        <w:t>שם</w:t>
      </w:r>
      <w:r w:rsidRPr="00696D4C">
        <w:rPr>
          <w:rFonts w:cs="Arial" w:hint="cs"/>
          <w:sz w:val="16"/>
          <w:szCs w:val="16"/>
          <w:rtl/>
        </w:rPr>
        <w:t>]</w:t>
      </w:r>
      <w:r w:rsidRPr="00696D4C">
        <w:rPr>
          <w:rFonts w:cs="Arial"/>
          <w:sz w:val="16"/>
          <w:szCs w:val="16"/>
          <w:rtl/>
        </w:rPr>
        <w:t>)</w:t>
      </w:r>
      <w:r w:rsidRPr="00696D4C">
        <w:rPr>
          <w:rFonts w:cs="Arial"/>
          <w:rtl/>
        </w:rPr>
        <w:t xml:space="preserve"> </w:t>
      </w:r>
      <w:r>
        <w:rPr>
          <w:rFonts w:cs="Arial" w:hint="cs"/>
          <w:rtl/>
        </w:rPr>
        <w:t xml:space="preserve">רמב"ם </w:t>
      </w:r>
      <w:r w:rsidRPr="00696D4C">
        <w:rPr>
          <w:rFonts w:cs="Arial" w:hint="cs"/>
          <w:sz w:val="16"/>
          <w:szCs w:val="16"/>
          <w:rtl/>
        </w:rPr>
        <w:t xml:space="preserve">(פכ"ה הכ"א) </w:t>
      </w:r>
      <w:r w:rsidRPr="00696D4C">
        <w:rPr>
          <w:rFonts w:cs="Arial"/>
          <w:rtl/>
        </w:rPr>
        <w:t>ורא"ש</w:t>
      </w:r>
      <w:r w:rsidRPr="00696D4C">
        <w:rPr>
          <w:rFonts w:cs="Arial"/>
          <w:sz w:val="16"/>
          <w:szCs w:val="16"/>
          <w:rtl/>
        </w:rPr>
        <w:t xml:space="preserve"> (שם)</w:t>
      </w:r>
      <w:r>
        <w:rPr>
          <w:rFonts w:cs="Arial" w:hint="cs"/>
          <w:rtl/>
        </w:rPr>
        <w:t>-</w:t>
      </w:r>
      <w:r w:rsidRPr="00696D4C">
        <w:rPr>
          <w:rFonts w:cs="Arial"/>
          <w:rtl/>
        </w:rPr>
        <w:t xml:space="preserve"> </w:t>
      </w:r>
      <w:r>
        <w:rPr>
          <w:rFonts w:cs="Arial" w:hint="cs"/>
          <w:rtl/>
        </w:rPr>
        <w:t xml:space="preserve">הלכתא </w:t>
      </w:r>
      <w:r w:rsidRPr="00696D4C">
        <w:rPr>
          <w:rFonts w:cs="Arial"/>
          <w:rtl/>
        </w:rPr>
        <w:t>כרב אסי</w:t>
      </w:r>
      <w:r>
        <w:rPr>
          <w:rStyle w:val="a9"/>
          <w:rFonts w:cs="Arial"/>
          <w:rtl/>
        </w:rPr>
        <w:footnoteReference w:id="1519"/>
      </w:r>
      <w:r w:rsidRPr="00696D4C">
        <w:rPr>
          <w:rFonts w:cs="Arial" w:hint="cs"/>
          <w:rtl/>
        </w:rPr>
        <w:t>.</w:t>
      </w:r>
      <w:r w:rsidRPr="00696D4C">
        <w:rPr>
          <w:rFonts w:cs="Arial"/>
          <w:rtl/>
        </w:rPr>
        <w:t xml:space="preserve"> </w:t>
      </w:r>
      <w:r w:rsidR="00952470" w:rsidRPr="00952470">
        <w:rPr>
          <w:rFonts w:cs="Arial" w:hint="cs"/>
          <w:color w:val="E36C0A" w:themeColor="accent6" w:themeShade="BF"/>
          <w:rtl/>
        </w:rPr>
        <w:t>(וכ"פ בשו"ע)</w:t>
      </w:r>
    </w:p>
    <w:p w14:paraId="3E4EEF07" w14:textId="69AB08EE" w:rsidR="00801E18" w:rsidRPr="00994E54" w:rsidRDefault="005A62D7" w:rsidP="00434A6A">
      <w:pPr>
        <w:ind w:left="360"/>
        <w:rPr>
          <w:u w:val="dotted"/>
          <w:rtl/>
        </w:rPr>
      </w:pPr>
      <w:r w:rsidRPr="00994E54">
        <w:rPr>
          <w:rFonts w:hint="cs"/>
          <w:u w:val="dotted"/>
          <w:rtl/>
        </w:rPr>
        <w:t>למעש</w:t>
      </w:r>
      <w:r w:rsidR="001F51DD" w:rsidRPr="00994E54">
        <w:rPr>
          <w:rFonts w:hint="cs"/>
          <w:u w:val="dotted"/>
          <w:rtl/>
        </w:rPr>
        <w:t xml:space="preserve">ה - </w:t>
      </w:r>
      <w:r w:rsidRPr="00994E54">
        <w:rPr>
          <w:rFonts w:hint="cs"/>
          <w:u w:val="dotted"/>
          <w:rtl/>
        </w:rPr>
        <w:t>חריות של דקל שקצצן לשריפה, מתי מותר לטלטלן בשבת:</w:t>
      </w:r>
    </w:p>
    <w:p w14:paraId="7A9EFC1E" w14:textId="014DA5D4" w:rsidR="003113A6" w:rsidRDefault="00952470" w:rsidP="00434A6A">
      <w:pPr>
        <w:pStyle w:val="aa"/>
        <w:numPr>
          <w:ilvl w:val="0"/>
          <w:numId w:val="3"/>
        </w:numPr>
        <w:rPr>
          <w:rFonts w:cs="Arial"/>
        </w:rPr>
      </w:pPr>
      <w:r>
        <w:rPr>
          <w:rFonts w:cs="Arial" w:hint="cs"/>
          <w:rtl/>
        </w:rPr>
        <w:t xml:space="preserve">רמב"ם </w:t>
      </w:r>
      <w:r>
        <w:rPr>
          <w:rFonts w:cs="Arial" w:hint="cs"/>
          <w:sz w:val="16"/>
          <w:szCs w:val="16"/>
          <w:rtl/>
        </w:rPr>
        <w:t>(שם)</w:t>
      </w:r>
      <w:r>
        <w:rPr>
          <w:rFonts w:cs="Arial" w:hint="cs"/>
          <w:rtl/>
        </w:rPr>
        <w:t xml:space="preserve"> רא"ש </w:t>
      </w:r>
      <w:r>
        <w:rPr>
          <w:rFonts w:cs="Arial" w:hint="cs"/>
          <w:sz w:val="16"/>
          <w:szCs w:val="16"/>
          <w:rtl/>
        </w:rPr>
        <w:t xml:space="preserve">(שם) </w:t>
      </w:r>
      <w:r>
        <w:rPr>
          <w:rFonts w:cs="Arial" w:hint="cs"/>
          <w:rtl/>
        </w:rPr>
        <w:t>ו</w:t>
      </w:r>
      <w:r w:rsidR="00BE6400" w:rsidRPr="00BE6400">
        <w:rPr>
          <w:rFonts w:cs="Arial" w:hint="cs"/>
          <w:rtl/>
        </w:rPr>
        <w:t xml:space="preserve">טור- </w:t>
      </w:r>
      <w:r w:rsidR="00245F0F" w:rsidRPr="00BE6400">
        <w:rPr>
          <w:rFonts w:cs="Arial"/>
          <w:rtl/>
        </w:rPr>
        <w:t xml:space="preserve">חריות של דקל שקצצן לשרפה </w:t>
      </w:r>
      <w:r w:rsidR="00801E18">
        <w:rPr>
          <w:rFonts w:cs="Arial" w:hint="cs"/>
          <w:rtl/>
        </w:rPr>
        <w:t xml:space="preserve">- </w:t>
      </w:r>
      <w:r w:rsidR="00245F0F" w:rsidRPr="00BE6400">
        <w:rPr>
          <w:rFonts w:cs="Arial"/>
          <w:rtl/>
        </w:rPr>
        <w:t>מוקצין הן ואסור לטלטלן</w:t>
      </w:r>
      <w:r w:rsidR="00801E18">
        <w:rPr>
          <w:rFonts w:cs="Arial" w:hint="cs"/>
          <w:rtl/>
        </w:rPr>
        <w:t>.</w:t>
      </w:r>
      <w:r w:rsidR="00245F0F" w:rsidRPr="00BE6400">
        <w:rPr>
          <w:rFonts w:cs="Arial"/>
          <w:rtl/>
        </w:rPr>
        <w:t xml:space="preserve"> ישב עליהן מעט מבעוד יום </w:t>
      </w:r>
      <w:r w:rsidR="00801E18">
        <w:rPr>
          <w:rFonts w:cs="Arial" w:hint="cs"/>
          <w:rtl/>
        </w:rPr>
        <w:t xml:space="preserve">- </w:t>
      </w:r>
      <w:r w:rsidR="00245F0F" w:rsidRPr="00BE6400">
        <w:rPr>
          <w:rFonts w:cs="Arial"/>
          <w:rtl/>
        </w:rPr>
        <w:t>מותר לישב עליהם בשבת</w:t>
      </w:r>
      <w:r w:rsidR="00801E18">
        <w:rPr>
          <w:rFonts w:cs="Arial" w:hint="cs"/>
          <w:rtl/>
        </w:rPr>
        <w:t>,</w:t>
      </w:r>
      <w:r w:rsidR="00245F0F" w:rsidRPr="00BE6400">
        <w:rPr>
          <w:rFonts w:cs="Arial"/>
          <w:rtl/>
        </w:rPr>
        <w:t xml:space="preserve"> וכ"ש אם חשב עליהם </w:t>
      </w:r>
      <w:r w:rsidR="00357CCA">
        <w:rPr>
          <w:rFonts w:cs="Arial"/>
          <w:rtl/>
        </w:rPr>
        <w:t>מבעוד יום</w:t>
      </w:r>
      <w:r w:rsidR="00245F0F" w:rsidRPr="00BE6400">
        <w:rPr>
          <w:rFonts w:cs="Arial"/>
          <w:rtl/>
        </w:rPr>
        <w:t xml:space="preserve"> לישב עליהם אפי' בחול</w:t>
      </w:r>
      <w:r>
        <w:rPr>
          <w:rStyle w:val="a9"/>
          <w:rFonts w:cs="Arial"/>
          <w:rtl/>
        </w:rPr>
        <w:footnoteReference w:id="1520"/>
      </w:r>
      <w:r w:rsidR="00C70F5C">
        <w:rPr>
          <w:rFonts w:cs="Arial" w:hint="cs"/>
          <w:rtl/>
        </w:rPr>
        <w:t>,</w:t>
      </w:r>
      <w:r w:rsidR="00245F0F" w:rsidRPr="00BE6400">
        <w:rPr>
          <w:rFonts w:cs="Arial"/>
          <w:rtl/>
        </w:rPr>
        <w:t xml:space="preserve"> או שקשרן לישב עליהם</w:t>
      </w:r>
      <w:r>
        <w:rPr>
          <w:rFonts w:cs="Arial" w:hint="cs"/>
          <w:sz w:val="16"/>
          <w:szCs w:val="16"/>
          <w:rtl/>
        </w:rPr>
        <w:t xml:space="preserve"> (ל' הטור)</w:t>
      </w:r>
      <w:r w:rsidR="00801E18">
        <w:rPr>
          <w:rFonts w:cs="Arial" w:hint="cs"/>
          <w:rtl/>
        </w:rPr>
        <w:t>.</w:t>
      </w:r>
      <w:r w:rsidR="00245F0F" w:rsidRPr="00BE6400">
        <w:rPr>
          <w:rFonts w:cs="Arial"/>
          <w:rtl/>
        </w:rPr>
        <w:t xml:space="preserve"> </w:t>
      </w:r>
      <w:r w:rsidRPr="00952470">
        <w:rPr>
          <w:rFonts w:cs="Arial" w:hint="cs"/>
          <w:color w:val="E36C0A" w:themeColor="accent6" w:themeShade="BF"/>
          <w:rtl/>
        </w:rPr>
        <w:t>(וכ"פ בשו"ע)</w:t>
      </w:r>
    </w:p>
    <w:p w14:paraId="36F3DEC6"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44B61571" w14:textId="1579D7C1" w:rsidR="000C6229" w:rsidRPr="005275DF" w:rsidRDefault="000C6229" w:rsidP="00434A6A">
      <w:pPr>
        <w:rPr>
          <w:rFonts w:asciiTheme="minorBidi" w:hAnsiTheme="minorBidi"/>
          <w:rtl/>
        </w:rPr>
      </w:pPr>
      <w:r w:rsidRPr="005275DF">
        <w:rPr>
          <w:rFonts w:asciiTheme="minorBidi" w:hAnsiTheme="minorBidi"/>
          <w:rtl/>
        </w:rPr>
        <w:t>חריות של דקל שקצצם לשריפה</w:t>
      </w:r>
      <w:r w:rsidR="00675C0F">
        <w:rPr>
          <w:rStyle w:val="a9"/>
          <w:rFonts w:asciiTheme="minorBidi" w:hAnsiTheme="minorBidi"/>
          <w:rtl/>
        </w:rPr>
        <w:footnoteReference w:id="1521"/>
      </w:r>
      <w:r w:rsidRPr="005275DF">
        <w:rPr>
          <w:rFonts w:asciiTheme="minorBidi" w:hAnsiTheme="minorBidi"/>
          <w:rtl/>
        </w:rPr>
        <w:t>, מוקצים הם ואסור לטלטלם</w:t>
      </w:r>
      <w:r w:rsidR="00675C0F">
        <w:rPr>
          <w:rStyle w:val="a9"/>
          <w:rFonts w:asciiTheme="minorBidi" w:hAnsiTheme="minorBidi"/>
          <w:rtl/>
        </w:rPr>
        <w:footnoteReference w:id="1522"/>
      </w:r>
      <w:r w:rsidR="00801E18">
        <w:rPr>
          <w:rFonts w:asciiTheme="minorBidi" w:hAnsiTheme="minorBidi" w:hint="cs"/>
          <w:rtl/>
        </w:rPr>
        <w:t>.</w:t>
      </w:r>
      <w:r w:rsidRPr="005275DF">
        <w:rPr>
          <w:rFonts w:asciiTheme="minorBidi" w:hAnsiTheme="minorBidi"/>
          <w:rtl/>
        </w:rPr>
        <w:t xml:space="preserve"> ישב עליהם מעט מב</w:t>
      </w:r>
      <w:r w:rsidR="00BE6400">
        <w:rPr>
          <w:rFonts w:asciiTheme="minorBidi" w:hAnsiTheme="minorBidi" w:hint="cs"/>
          <w:rtl/>
        </w:rPr>
        <w:t>עוד יום</w:t>
      </w:r>
      <w:r w:rsidRPr="005275DF">
        <w:rPr>
          <w:rFonts w:asciiTheme="minorBidi" w:hAnsiTheme="minorBidi"/>
          <w:rtl/>
        </w:rPr>
        <w:t>, מותר לישב</w:t>
      </w:r>
      <w:r w:rsidR="00675C0F">
        <w:rPr>
          <w:rStyle w:val="a9"/>
          <w:rFonts w:asciiTheme="minorBidi" w:hAnsiTheme="minorBidi"/>
          <w:rtl/>
        </w:rPr>
        <w:footnoteReference w:id="1523"/>
      </w:r>
      <w:r w:rsidRPr="005275DF">
        <w:rPr>
          <w:rFonts w:asciiTheme="minorBidi" w:hAnsiTheme="minorBidi"/>
          <w:rtl/>
        </w:rPr>
        <w:t xml:space="preserve"> עליהם בשבת</w:t>
      </w:r>
      <w:r w:rsidR="00675C0F">
        <w:rPr>
          <w:rStyle w:val="a9"/>
          <w:rFonts w:asciiTheme="minorBidi" w:hAnsiTheme="minorBidi"/>
          <w:rtl/>
        </w:rPr>
        <w:footnoteReference w:id="1524"/>
      </w:r>
      <w:r w:rsidRPr="005275DF">
        <w:rPr>
          <w:rFonts w:asciiTheme="minorBidi" w:hAnsiTheme="minorBidi"/>
          <w:rtl/>
        </w:rPr>
        <w:t>. וכ</w:t>
      </w:r>
      <w:r w:rsidR="00BE6400">
        <w:rPr>
          <w:rFonts w:asciiTheme="minorBidi" w:hAnsiTheme="minorBidi" w:hint="cs"/>
          <w:rtl/>
        </w:rPr>
        <w:t xml:space="preserve">ל </w:t>
      </w:r>
      <w:r w:rsidRPr="005275DF">
        <w:rPr>
          <w:rFonts w:asciiTheme="minorBidi" w:hAnsiTheme="minorBidi"/>
          <w:rtl/>
        </w:rPr>
        <w:t>ש</w:t>
      </w:r>
      <w:r w:rsidR="00BE6400">
        <w:rPr>
          <w:rFonts w:asciiTheme="minorBidi" w:hAnsiTheme="minorBidi" w:hint="cs"/>
          <w:rtl/>
        </w:rPr>
        <w:t>כן</w:t>
      </w:r>
      <w:r w:rsidRPr="005275DF">
        <w:rPr>
          <w:rFonts w:asciiTheme="minorBidi" w:hAnsiTheme="minorBidi"/>
          <w:rtl/>
        </w:rPr>
        <w:t xml:space="preserve"> אם קשרן לישב עליהם, או אם חשב עליהם מב</w:t>
      </w:r>
      <w:r w:rsidR="00BE6400">
        <w:rPr>
          <w:rFonts w:asciiTheme="minorBidi" w:hAnsiTheme="minorBidi" w:hint="cs"/>
          <w:rtl/>
        </w:rPr>
        <w:t>עוד יום</w:t>
      </w:r>
      <w:r w:rsidRPr="005275DF">
        <w:rPr>
          <w:rFonts w:asciiTheme="minorBidi" w:hAnsiTheme="minorBidi"/>
          <w:rtl/>
        </w:rPr>
        <w:t xml:space="preserve"> לישב עליהם, אפילו בחול</w:t>
      </w:r>
      <w:r w:rsidR="00675C0F">
        <w:rPr>
          <w:rStyle w:val="a9"/>
          <w:rFonts w:asciiTheme="minorBidi" w:hAnsiTheme="minorBidi"/>
          <w:rtl/>
        </w:rPr>
        <w:footnoteReference w:id="1525"/>
      </w:r>
      <w:r w:rsidRPr="005275DF">
        <w:rPr>
          <w:rFonts w:asciiTheme="minorBidi" w:hAnsiTheme="minorBidi"/>
          <w:rtl/>
        </w:rPr>
        <w:t xml:space="preserve">. </w:t>
      </w:r>
    </w:p>
    <w:p w14:paraId="1861683E" w14:textId="77777777" w:rsidR="000C6229" w:rsidRPr="005275DF" w:rsidRDefault="000C6229" w:rsidP="00434A6A">
      <w:pPr>
        <w:rPr>
          <w:rFonts w:asciiTheme="minorBidi" w:hAnsiTheme="minorBidi"/>
          <w:rtl/>
        </w:rPr>
      </w:pPr>
    </w:p>
    <w:p w14:paraId="6BE8E458" w14:textId="53C311B2" w:rsidR="000C6229" w:rsidRDefault="000C6229" w:rsidP="00434A6A">
      <w:pPr>
        <w:pStyle w:val="2"/>
        <w:rPr>
          <w:rtl/>
        </w:rPr>
      </w:pPr>
      <w:r w:rsidRPr="005275DF">
        <w:rPr>
          <w:rtl/>
        </w:rPr>
        <w:t>סעיף כא</w:t>
      </w:r>
      <w:r w:rsidR="001F51DD">
        <w:rPr>
          <w:rFonts w:hint="cs"/>
          <w:rtl/>
        </w:rPr>
        <w:t xml:space="preserve">: </w:t>
      </w:r>
      <w:r w:rsidR="00E450CF">
        <w:rPr>
          <w:rFonts w:hint="cs"/>
          <w:rtl/>
        </w:rPr>
        <w:t>נדבך של אבנים.</w:t>
      </w:r>
    </w:p>
    <w:p w14:paraId="6E2423EC" w14:textId="7C66CE0A" w:rsidR="00493E55" w:rsidRDefault="00493E55" w:rsidP="00434A6A">
      <w:pPr>
        <w:rPr>
          <w:rFonts w:cs="Arial"/>
          <w:rtl/>
        </w:rPr>
      </w:pPr>
      <w:r w:rsidRPr="002A45F7">
        <w:rPr>
          <w:rFonts w:hint="cs"/>
          <w:b/>
          <w:bCs/>
          <w:rtl/>
        </w:rPr>
        <w:t xml:space="preserve">שבת </w:t>
      </w:r>
      <w:r>
        <w:rPr>
          <w:rFonts w:hint="cs"/>
          <w:b/>
          <w:bCs/>
          <w:sz w:val="16"/>
          <w:szCs w:val="16"/>
          <w:rtl/>
        </w:rPr>
        <w:t>(פ' במה טומנין)</w:t>
      </w:r>
      <w:r>
        <w:rPr>
          <w:rFonts w:hint="cs"/>
          <w:b/>
          <w:bCs/>
          <w:rtl/>
        </w:rPr>
        <w:t xml:space="preserve"> נ</w:t>
      </w:r>
      <w:r w:rsidRPr="002A45F7">
        <w:rPr>
          <w:rFonts w:hint="cs"/>
          <w:b/>
          <w:bCs/>
          <w:rtl/>
        </w:rPr>
        <w:t xml:space="preserve"> ע"</w:t>
      </w:r>
      <w:r>
        <w:rPr>
          <w:rFonts w:hint="cs"/>
          <w:b/>
          <w:bCs/>
          <w:rtl/>
        </w:rPr>
        <w:t>א</w:t>
      </w:r>
      <w:r w:rsidRPr="002A45F7">
        <w:rPr>
          <w:rFonts w:hint="cs"/>
          <w:b/>
          <w:bCs/>
          <w:rtl/>
        </w:rPr>
        <w:t>:</w:t>
      </w:r>
      <w:r>
        <w:rPr>
          <w:rFonts w:cs="Arial" w:hint="cs"/>
          <w:rtl/>
        </w:rPr>
        <w:t xml:space="preserve"> </w:t>
      </w:r>
      <w:r w:rsidRPr="009E75FC">
        <w:rPr>
          <w:rFonts w:cs="Arial"/>
          <w:u w:val="single"/>
          <w:rtl/>
        </w:rPr>
        <w:t>תנא רבה בר בר חנה קמיה דרב</w:t>
      </w:r>
      <w:r w:rsidRPr="009E75FC">
        <w:rPr>
          <w:rFonts w:cs="Arial"/>
          <w:rtl/>
        </w:rPr>
        <w:t>: חריות של דקל שגדרן לעצים ונמלך עליהן לישיבה - צריך לקשר</w:t>
      </w:r>
      <w:r>
        <w:rPr>
          <w:rStyle w:val="a9"/>
          <w:rFonts w:cs="Arial"/>
          <w:rtl/>
        </w:rPr>
        <w:footnoteReference w:id="1526"/>
      </w:r>
      <w:r>
        <w:rPr>
          <w:rFonts w:cs="Arial" w:hint="cs"/>
          <w:rtl/>
        </w:rPr>
        <w:t>.</w:t>
      </w:r>
      <w:r w:rsidRPr="009E75FC">
        <w:rPr>
          <w:rFonts w:cs="Arial"/>
          <w:rtl/>
        </w:rPr>
        <w:t xml:space="preserve"> </w:t>
      </w:r>
      <w:r w:rsidRPr="009E75FC">
        <w:rPr>
          <w:rFonts w:cs="Arial"/>
          <w:u w:val="single"/>
          <w:rtl/>
        </w:rPr>
        <w:t>רבן שמעון בן גמליאל אומר</w:t>
      </w:r>
      <w:r w:rsidRPr="009E75FC">
        <w:rPr>
          <w:rFonts w:cs="Arial"/>
          <w:rtl/>
        </w:rPr>
        <w:t xml:space="preserve">: אין צריך לקשר. </w:t>
      </w:r>
      <w:r w:rsidRPr="006574D9">
        <w:rPr>
          <w:rFonts w:cs="Arial"/>
          <w:u w:val="single"/>
          <w:rtl/>
        </w:rPr>
        <w:t>הוא תני לה והוא אמר לה</w:t>
      </w:r>
      <w:r w:rsidRPr="009E75FC">
        <w:rPr>
          <w:rFonts w:cs="Arial"/>
          <w:rtl/>
        </w:rPr>
        <w:t xml:space="preserve">: הלכה כרבן שמעון בן גמליאל. איתמר, </w:t>
      </w:r>
      <w:r w:rsidRPr="006574D9">
        <w:rPr>
          <w:rFonts w:cs="Arial"/>
          <w:u w:val="single"/>
          <w:rtl/>
        </w:rPr>
        <w:t>רב אמר</w:t>
      </w:r>
      <w:r w:rsidRPr="009E75FC">
        <w:rPr>
          <w:rFonts w:cs="Arial"/>
          <w:rtl/>
        </w:rPr>
        <w:t xml:space="preserve">: קושר, </w:t>
      </w:r>
      <w:r w:rsidRPr="006574D9">
        <w:rPr>
          <w:rFonts w:cs="Arial"/>
          <w:u w:val="single"/>
          <w:rtl/>
        </w:rPr>
        <w:t>ושמואל אמר</w:t>
      </w:r>
      <w:r w:rsidRPr="009E75FC">
        <w:rPr>
          <w:rFonts w:cs="Arial"/>
          <w:rtl/>
        </w:rPr>
        <w:t xml:space="preserve">: חושב, </w:t>
      </w:r>
      <w:r w:rsidRPr="006574D9">
        <w:rPr>
          <w:rFonts w:cs="Arial"/>
          <w:u w:val="single"/>
          <w:rtl/>
        </w:rPr>
        <w:t>ורב אסי אמר</w:t>
      </w:r>
      <w:r w:rsidRPr="009E75FC">
        <w:rPr>
          <w:rFonts w:cs="Arial"/>
          <w:rtl/>
        </w:rPr>
        <w:t>: יושב</w:t>
      </w:r>
      <w:r>
        <w:rPr>
          <w:rStyle w:val="a9"/>
          <w:rFonts w:cs="Arial"/>
          <w:rtl/>
        </w:rPr>
        <w:footnoteReference w:id="1527"/>
      </w:r>
      <w:r w:rsidRPr="009E75FC">
        <w:rPr>
          <w:rFonts w:cs="Arial"/>
          <w:rtl/>
        </w:rPr>
        <w:t>, אף על פי שלא קישר ואף על פי שלא חישב</w:t>
      </w:r>
      <w:r>
        <w:rPr>
          <w:rStyle w:val="a9"/>
          <w:rFonts w:cs="Arial"/>
          <w:rtl/>
        </w:rPr>
        <w:footnoteReference w:id="1528"/>
      </w:r>
      <w:r w:rsidRPr="009E75FC">
        <w:rPr>
          <w:rFonts w:cs="Arial"/>
          <w:rtl/>
        </w:rPr>
        <w:t>. בשלמא רב - הוא דאמר כתנא קמא ושמואל נמי - הוא דאמר כרבן שמעון בן גמליאל, אלא רב אסי - דאמר כמאן? הוא דאמר כי האי תנא, דתניא: יוצאין בפקורין</w:t>
      </w:r>
      <w:r>
        <w:rPr>
          <w:rStyle w:val="a9"/>
          <w:rFonts w:cs="Arial"/>
          <w:rtl/>
        </w:rPr>
        <w:footnoteReference w:id="1529"/>
      </w:r>
      <w:r w:rsidRPr="009E75FC">
        <w:rPr>
          <w:rFonts w:cs="Arial"/>
          <w:rtl/>
        </w:rPr>
        <w:t xml:space="preserve"> ובציפא</w:t>
      </w:r>
      <w:r>
        <w:rPr>
          <w:rStyle w:val="a9"/>
          <w:rFonts w:cs="Arial"/>
          <w:rtl/>
        </w:rPr>
        <w:footnoteReference w:id="1530"/>
      </w:r>
      <w:r w:rsidRPr="009E75FC">
        <w:rPr>
          <w:rFonts w:cs="Arial"/>
          <w:rtl/>
        </w:rPr>
        <w:t xml:space="preserve"> בזמן שצבען בשמן</w:t>
      </w:r>
      <w:r>
        <w:rPr>
          <w:rStyle w:val="a9"/>
          <w:rFonts w:cs="Arial"/>
          <w:rtl/>
        </w:rPr>
        <w:footnoteReference w:id="1531"/>
      </w:r>
      <w:r w:rsidRPr="009E75FC">
        <w:rPr>
          <w:rFonts w:cs="Arial"/>
          <w:rtl/>
        </w:rPr>
        <w:t xml:space="preserve"> וכרכן במשיחה, לא צבען בשמן ולא כרכן במשיחה - אין יוצאין בהם, ואם יצא בהם שעה אחת מבעוד יום</w:t>
      </w:r>
      <w:r>
        <w:rPr>
          <w:rStyle w:val="a9"/>
          <w:rFonts w:cs="Arial"/>
          <w:rtl/>
        </w:rPr>
        <w:footnoteReference w:id="1532"/>
      </w:r>
      <w:r w:rsidRPr="009E75FC">
        <w:rPr>
          <w:rFonts w:cs="Arial"/>
          <w:rtl/>
        </w:rPr>
        <w:t xml:space="preserve">, אף על פי שלא צבע ולא כרכן במשיחה - מותר לצאת בהן. </w:t>
      </w:r>
      <w:r w:rsidRPr="008575C7">
        <w:rPr>
          <w:rFonts w:cs="Arial"/>
          <w:u w:val="single"/>
          <w:rtl/>
        </w:rPr>
        <w:t>אמר רב אשי</w:t>
      </w:r>
      <w:r w:rsidRPr="009E75FC">
        <w:rPr>
          <w:rFonts w:cs="Arial"/>
          <w:rtl/>
        </w:rPr>
        <w:t>: אף אנן נמי תנינא</w:t>
      </w:r>
      <w:r>
        <w:rPr>
          <w:rStyle w:val="a9"/>
          <w:rFonts w:cs="Arial"/>
          <w:rtl/>
        </w:rPr>
        <w:footnoteReference w:id="1533"/>
      </w:r>
      <w:r w:rsidRPr="009E75FC">
        <w:rPr>
          <w:rFonts w:cs="Arial"/>
          <w:rtl/>
        </w:rPr>
        <w:t>, הקש</w:t>
      </w:r>
      <w:r>
        <w:rPr>
          <w:rStyle w:val="a9"/>
          <w:rFonts w:cs="Arial"/>
          <w:rtl/>
        </w:rPr>
        <w:footnoteReference w:id="1534"/>
      </w:r>
      <w:r w:rsidRPr="009E75FC">
        <w:rPr>
          <w:rFonts w:cs="Arial"/>
          <w:rtl/>
        </w:rPr>
        <w:t xml:space="preserve"> שעל גבי המטה - לא ינענעו בידו, אבל מנענעו בגופו, אבל אם היה מאכל בהמה, או שהיה עליו כר או סדין</w:t>
      </w:r>
      <w:r>
        <w:rPr>
          <w:rStyle w:val="a9"/>
          <w:rFonts w:cs="Arial"/>
          <w:rtl/>
        </w:rPr>
        <w:footnoteReference w:id="1535"/>
      </w:r>
      <w:r w:rsidRPr="009E75FC">
        <w:rPr>
          <w:rFonts w:cs="Arial"/>
          <w:rtl/>
        </w:rPr>
        <w:t xml:space="preserve"> מבעוד יום - מנענעו בידו. שמע מינה. ומאן תנא דפליג עליה דרבן שמעון בן גמליאל - רבי חנינא בן עקיבא. </w:t>
      </w:r>
      <w:r w:rsidRPr="008575C7">
        <w:rPr>
          <w:rFonts w:cs="Arial"/>
          <w:u w:val="single"/>
          <w:rtl/>
        </w:rPr>
        <w:t>דכי אתא רב דימי אמר זעירי אמר רבי חנינא</w:t>
      </w:r>
      <w:r w:rsidRPr="009E75FC">
        <w:rPr>
          <w:rFonts w:cs="Arial"/>
          <w:rtl/>
        </w:rPr>
        <w:t>: פעם אחת הלך רבי חנינא בן עקיבא למקום אחד, ומצא חריות של דקל שגדרום לשום עצים, ואמר להם לתלמידיו: צאו וחשבו כדי שנשב עליהן למחר. ולא ידענא</w:t>
      </w:r>
      <w:r>
        <w:rPr>
          <w:rStyle w:val="a9"/>
          <w:rFonts w:cs="Arial"/>
          <w:rtl/>
        </w:rPr>
        <w:footnoteReference w:id="1536"/>
      </w:r>
      <w:r w:rsidRPr="009E75FC">
        <w:rPr>
          <w:rFonts w:cs="Arial"/>
          <w:rtl/>
        </w:rPr>
        <w:t xml:space="preserve"> אי בית המשתה הוה, אי בית האבל הוה. מדקאמר אי בית המשתה הוה אי בית האבל הוה - דוקא בית האבל או בית המשתה דטרידי</w:t>
      </w:r>
      <w:r>
        <w:rPr>
          <w:rStyle w:val="a9"/>
          <w:rFonts w:cs="Arial"/>
          <w:rtl/>
        </w:rPr>
        <w:footnoteReference w:id="1537"/>
      </w:r>
      <w:r w:rsidRPr="009E75FC">
        <w:rPr>
          <w:rFonts w:cs="Arial"/>
          <w:rtl/>
        </w:rPr>
        <w:t>, אבל הכא: קשר - אין, לא קשר - לא</w:t>
      </w:r>
      <w:r>
        <w:rPr>
          <w:rFonts w:cs="Arial" w:hint="cs"/>
          <w:rtl/>
        </w:rPr>
        <w:t>.</w:t>
      </w:r>
      <w:r w:rsidRPr="00F63421">
        <w:rPr>
          <w:rFonts w:cs="Arial"/>
          <w:rtl/>
        </w:rPr>
        <w:t xml:space="preserve"> </w:t>
      </w:r>
    </w:p>
    <w:p w14:paraId="0E4EED76" w14:textId="3AA7AD37" w:rsidR="00C6298D" w:rsidRDefault="00C6298D" w:rsidP="00434A6A">
      <w:pPr>
        <w:rPr>
          <w:rtl/>
        </w:rPr>
      </w:pPr>
      <w:r w:rsidRPr="002A45F7">
        <w:rPr>
          <w:rFonts w:hint="cs"/>
          <w:b/>
          <w:bCs/>
          <w:rtl/>
        </w:rPr>
        <w:t xml:space="preserve">שבת </w:t>
      </w:r>
      <w:r>
        <w:rPr>
          <w:rFonts w:hint="cs"/>
          <w:b/>
          <w:bCs/>
          <w:sz w:val="16"/>
          <w:szCs w:val="16"/>
          <w:rtl/>
        </w:rPr>
        <w:t>(פ' כל הכלים)</w:t>
      </w:r>
      <w:r>
        <w:rPr>
          <w:rFonts w:hint="cs"/>
          <w:b/>
          <w:bCs/>
          <w:rtl/>
        </w:rPr>
        <w:t xml:space="preserve"> קכה</w:t>
      </w:r>
      <w:r w:rsidRPr="002A45F7">
        <w:rPr>
          <w:rFonts w:hint="cs"/>
          <w:b/>
          <w:bCs/>
          <w:rtl/>
        </w:rPr>
        <w:t xml:space="preserve"> ע"</w:t>
      </w:r>
      <w:r>
        <w:rPr>
          <w:rFonts w:hint="cs"/>
          <w:b/>
          <w:bCs/>
          <w:rtl/>
        </w:rPr>
        <w:t>ב</w:t>
      </w:r>
      <w:r w:rsidRPr="002A45F7">
        <w:rPr>
          <w:rFonts w:hint="cs"/>
          <w:b/>
          <w:bCs/>
          <w:rtl/>
        </w:rPr>
        <w:t>:</w:t>
      </w:r>
      <w:r w:rsidRPr="00C6298D">
        <w:rPr>
          <w:rFonts w:cs="Arial"/>
          <w:rtl/>
        </w:rPr>
        <w:t xml:space="preserve"> תנן התם</w:t>
      </w:r>
      <w:r w:rsidR="0090750D">
        <w:rPr>
          <w:rStyle w:val="a9"/>
          <w:rFonts w:cs="Arial"/>
          <w:rtl/>
        </w:rPr>
        <w:footnoteReference w:id="1538"/>
      </w:r>
      <w:r w:rsidRPr="00C6298D">
        <w:rPr>
          <w:rFonts w:cs="Arial"/>
          <w:rtl/>
        </w:rPr>
        <w:t>: אבן שעל פי החבית</w:t>
      </w:r>
      <w:r w:rsidR="0090750D">
        <w:rPr>
          <w:rStyle w:val="a9"/>
          <w:rFonts w:cs="Arial"/>
          <w:rtl/>
        </w:rPr>
        <w:footnoteReference w:id="1539"/>
      </w:r>
      <w:r w:rsidR="002452B8">
        <w:rPr>
          <w:rFonts w:cs="Arial" w:hint="cs"/>
          <w:rtl/>
        </w:rPr>
        <w:t>,</w:t>
      </w:r>
      <w:r w:rsidRPr="00C6298D">
        <w:rPr>
          <w:rFonts w:cs="Arial"/>
          <w:rtl/>
        </w:rPr>
        <w:t xml:space="preserve"> מטה על צידה והיא נופלת. </w:t>
      </w:r>
      <w:r w:rsidRPr="00C6298D">
        <w:rPr>
          <w:rFonts w:cs="Arial"/>
          <w:u w:val="single"/>
          <w:rtl/>
        </w:rPr>
        <w:t>אמר רבה אמר רבי אמי אמר רבי יוחנן</w:t>
      </w:r>
      <w:r w:rsidRPr="00C6298D">
        <w:rPr>
          <w:rFonts w:cs="Arial"/>
          <w:rtl/>
        </w:rPr>
        <w:t xml:space="preserve">: לא שנו אלא בשוכח, אבל במניח - נעשה בסיס לדבר האסור. </w:t>
      </w:r>
      <w:r w:rsidRPr="00C6298D">
        <w:rPr>
          <w:rFonts w:cs="Arial"/>
          <w:u w:val="single"/>
          <w:rtl/>
        </w:rPr>
        <w:t>ורב יוסף אמר רבי אסי אמר רבי יוחנן</w:t>
      </w:r>
      <w:r w:rsidRPr="00C6298D">
        <w:rPr>
          <w:rFonts w:cs="Arial"/>
          <w:rtl/>
        </w:rPr>
        <w:t>: לא שנו אלא בשוכח</w:t>
      </w:r>
      <w:r w:rsidR="0090750D">
        <w:rPr>
          <w:rStyle w:val="a9"/>
          <w:rFonts w:cs="Arial"/>
          <w:rtl/>
        </w:rPr>
        <w:footnoteReference w:id="1540"/>
      </w:r>
      <w:r w:rsidRPr="00C6298D">
        <w:rPr>
          <w:rFonts w:cs="Arial"/>
          <w:rtl/>
        </w:rPr>
        <w:t>, אבל במניח - נעשה</w:t>
      </w:r>
      <w:r w:rsidR="0090750D">
        <w:rPr>
          <w:rStyle w:val="a9"/>
          <w:rFonts w:cs="Arial"/>
          <w:rtl/>
        </w:rPr>
        <w:footnoteReference w:id="1541"/>
      </w:r>
      <w:r w:rsidRPr="00C6298D">
        <w:rPr>
          <w:rFonts w:cs="Arial"/>
          <w:rtl/>
        </w:rPr>
        <w:t xml:space="preserve"> כיסוי להחבית. </w:t>
      </w:r>
      <w:r w:rsidRPr="00C6298D">
        <w:rPr>
          <w:rFonts w:cs="Arial"/>
          <w:u w:val="single"/>
          <w:rtl/>
        </w:rPr>
        <w:t>אמר רב</w:t>
      </w:r>
      <w:r w:rsidRPr="00E15F81">
        <w:rPr>
          <w:rFonts w:cs="Arial"/>
          <w:u w:val="single"/>
          <w:rtl/>
        </w:rPr>
        <w:t>ה</w:t>
      </w:r>
      <w:r w:rsidRPr="00C6298D">
        <w:rPr>
          <w:rFonts w:cs="Arial"/>
          <w:rtl/>
        </w:rPr>
        <w:t>: מותבינן אשמעתין</w:t>
      </w:r>
      <w:r w:rsidR="0090750D">
        <w:rPr>
          <w:rStyle w:val="a9"/>
          <w:rFonts w:cs="Arial"/>
          <w:rtl/>
        </w:rPr>
        <w:footnoteReference w:id="1542"/>
      </w:r>
      <w:r w:rsidR="0090750D">
        <w:rPr>
          <w:rFonts w:cs="Arial" w:hint="cs"/>
          <w:rtl/>
        </w:rPr>
        <w:t>;</w:t>
      </w:r>
      <w:r w:rsidRPr="00C6298D">
        <w:rPr>
          <w:rFonts w:cs="Arial"/>
          <w:rtl/>
        </w:rPr>
        <w:t xml:space="preserve"> האבן שבקירויה אם ממלאין בה ואינה נופלת</w:t>
      </w:r>
      <w:r w:rsidR="008F4E48">
        <w:rPr>
          <w:rFonts w:cs="Arial" w:hint="cs"/>
          <w:rtl/>
        </w:rPr>
        <w:t xml:space="preserve"> -</w:t>
      </w:r>
      <w:r w:rsidRPr="00C6298D">
        <w:rPr>
          <w:rFonts w:cs="Arial"/>
          <w:rtl/>
        </w:rPr>
        <w:t xml:space="preserve"> ממלאין בה</w:t>
      </w:r>
      <w:r w:rsidR="008F4E48">
        <w:rPr>
          <w:rStyle w:val="a9"/>
          <w:rFonts w:cs="Arial"/>
          <w:rtl/>
        </w:rPr>
        <w:footnoteReference w:id="1543"/>
      </w:r>
      <w:r w:rsidRPr="00C6298D">
        <w:rPr>
          <w:rFonts w:cs="Arial"/>
          <w:rtl/>
        </w:rPr>
        <w:t>! ולא היא, התם כיון דהדקה</w:t>
      </w:r>
      <w:r w:rsidR="008F4E48">
        <w:rPr>
          <w:rStyle w:val="a9"/>
          <w:rFonts w:cs="Arial"/>
          <w:rtl/>
        </w:rPr>
        <w:footnoteReference w:id="1544"/>
      </w:r>
      <w:r w:rsidRPr="00C6298D">
        <w:rPr>
          <w:rFonts w:cs="Arial"/>
          <w:rtl/>
        </w:rPr>
        <w:t xml:space="preserve"> - שויא דופן. </w:t>
      </w:r>
      <w:r w:rsidRPr="00C6298D">
        <w:rPr>
          <w:rFonts w:cs="Arial"/>
          <w:u w:val="single"/>
          <w:rtl/>
        </w:rPr>
        <w:t>אמר רב יוסף</w:t>
      </w:r>
      <w:r w:rsidRPr="00C6298D">
        <w:rPr>
          <w:rFonts w:cs="Arial"/>
          <w:rtl/>
        </w:rPr>
        <w:t>: ומותבינן אשמעתין</w:t>
      </w:r>
      <w:r w:rsidR="008F4E48">
        <w:rPr>
          <w:rFonts w:cs="Arial" w:hint="cs"/>
          <w:rtl/>
        </w:rPr>
        <w:t>;</w:t>
      </w:r>
      <w:r w:rsidRPr="00C6298D">
        <w:rPr>
          <w:rFonts w:cs="Arial"/>
          <w:rtl/>
        </w:rPr>
        <w:t xml:space="preserve"> אם לאו </w:t>
      </w:r>
      <w:r w:rsidR="008F4E48">
        <w:rPr>
          <w:rFonts w:cs="Arial" w:hint="cs"/>
          <w:rtl/>
        </w:rPr>
        <w:t xml:space="preserve">- </w:t>
      </w:r>
      <w:r w:rsidRPr="00C6298D">
        <w:rPr>
          <w:rFonts w:cs="Arial"/>
          <w:rtl/>
        </w:rPr>
        <w:t>אין ממלאין בה</w:t>
      </w:r>
      <w:r w:rsidR="008F4E48">
        <w:rPr>
          <w:rStyle w:val="a9"/>
          <w:rFonts w:cs="Arial"/>
          <w:rtl/>
        </w:rPr>
        <w:footnoteReference w:id="1545"/>
      </w:r>
      <w:r w:rsidRPr="00C6298D">
        <w:rPr>
          <w:rFonts w:cs="Arial"/>
          <w:rtl/>
        </w:rPr>
        <w:t>! ולא היא</w:t>
      </w:r>
      <w:r w:rsidR="008F4E48">
        <w:rPr>
          <w:rStyle w:val="a9"/>
          <w:rFonts w:cs="Arial"/>
          <w:rtl/>
        </w:rPr>
        <w:footnoteReference w:id="1546"/>
      </w:r>
      <w:r w:rsidRPr="00C6298D">
        <w:rPr>
          <w:rFonts w:cs="Arial"/>
          <w:rtl/>
        </w:rPr>
        <w:t>, התם כיון דלא הדקה - בטולי בטלה. במאי קמיפלגי? מר סבר: בעינן מעשה, ומר סבר: לא בעינן מעשה. ואזדו לטעמייהו</w:t>
      </w:r>
      <w:r w:rsidR="008F4E48">
        <w:rPr>
          <w:rStyle w:val="a9"/>
          <w:rFonts w:cs="Arial"/>
          <w:rtl/>
        </w:rPr>
        <w:footnoteReference w:id="1547"/>
      </w:r>
      <w:r w:rsidRPr="00C6298D">
        <w:rPr>
          <w:rFonts w:cs="Arial"/>
          <w:rtl/>
        </w:rPr>
        <w:t xml:space="preserve">; דכי אתא </w:t>
      </w:r>
      <w:r w:rsidRPr="00251A78">
        <w:rPr>
          <w:rFonts w:cs="Arial"/>
          <w:u w:val="single"/>
          <w:rtl/>
        </w:rPr>
        <w:t>רב דימי אמר רבי חנינא ואמרי לה אמר רבי זירא אמר רבי חנינא</w:t>
      </w:r>
      <w:r w:rsidRPr="00C6298D">
        <w:rPr>
          <w:rFonts w:cs="Arial"/>
          <w:rtl/>
        </w:rPr>
        <w:t>: פעם אחת הלך רבי למקום אחד ומצא נדבך של אבנים</w:t>
      </w:r>
      <w:r w:rsidR="007F5D92">
        <w:rPr>
          <w:rStyle w:val="a9"/>
          <w:rFonts w:cs="Arial"/>
          <w:rtl/>
        </w:rPr>
        <w:footnoteReference w:id="1548"/>
      </w:r>
      <w:r w:rsidRPr="00C6298D">
        <w:rPr>
          <w:rFonts w:cs="Arial"/>
          <w:rtl/>
        </w:rPr>
        <w:t>, ואמר לתלמידיו: צאו וחשבו כדי שנשב עליהן למחר, ולא הצריכן רבי למעשה</w:t>
      </w:r>
      <w:r w:rsidRPr="00251A78">
        <w:rPr>
          <w:rFonts w:cs="Arial"/>
          <w:rtl/>
        </w:rPr>
        <w:t xml:space="preserve">. </w:t>
      </w:r>
      <w:r w:rsidRPr="00251A78">
        <w:rPr>
          <w:rFonts w:cs="Arial"/>
          <w:u w:val="single"/>
          <w:rtl/>
        </w:rPr>
        <w:t>ורבי יוחנן אמר</w:t>
      </w:r>
      <w:r w:rsidRPr="00C6298D">
        <w:rPr>
          <w:rFonts w:cs="Arial"/>
          <w:rtl/>
        </w:rPr>
        <w:t xml:space="preserve">: הצריכן רבי למעשה. מאי אמר להו? </w:t>
      </w:r>
      <w:r w:rsidRPr="00251A78">
        <w:rPr>
          <w:rFonts w:cs="Arial"/>
          <w:u w:val="single"/>
          <w:rtl/>
        </w:rPr>
        <w:t>רבי אמי אמר</w:t>
      </w:r>
      <w:r w:rsidRPr="00C6298D">
        <w:rPr>
          <w:rFonts w:cs="Arial"/>
          <w:rtl/>
        </w:rPr>
        <w:t>: צאו ולמדום</w:t>
      </w:r>
      <w:r w:rsidR="00DC6A17">
        <w:rPr>
          <w:rStyle w:val="a9"/>
          <w:rFonts w:cs="Arial"/>
          <w:rtl/>
        </w:rPr>
        <w:footnoteReference w:id="1549"/>
      </w:r>
      <w:r w:rsidRPr="00C6298D">
        <w:rPr>
          <w:rFonts w:cs="Arial"/>
          <w:rtl/>
        </w:rPr>
        <w:t xml:space="preserve"> אמר להו. </w:t>
      </w:r>
      <w:r w:rsidRPr="00251A78">
        <w:rPr>
          <w:rFonts w:cs="Arial"/>
          <w:u w:val="single"/>
          <w:rtl/>
        </w:rPr>
        <w:t>רבי אסי אמר</w:t>
      </w:r>
      <w:r w:rsidRPr="00C6298D">
        <w:rPr>
          <w:rFonts w:cs="Arial"/>
          <w:rtl/>
        </w:rPr>
        <w:t>: צאו ושפשפום</w:t>
      </w:r>
      <w:r w:rsidR="00DC6A17">
        <w:rPr>
          <w:rStyle w:val="a9"/>
          <w:rFonts w:cs="Arial"/>
          <w:rtl/>
        </w:rPr>
        <w:footnoteReference w:id="1550"/>
      </w:r>
      <w:r w:rsidRPr="00C6298D">
        <w:rPr>
          <w:rFonts w:cs="Arial"/>
          <w:rtl/>
        </w:rPr>
        <w:t xml:space="preserve"> אמר להו. איתמר, </w:t>
      </w:r>
      <w:r w:rsidRPr="00DC6A17">
        <w:rPr>
          <w:rFonts w:cs="Arial"/>
          <w:u w:val="single"/>
          <w:rtl/>
        </w:rPr>
        <w:t>רבי יוסי בן שאול אמר</w:t>
      </w:r>
      <w:r w:rsidRPr="00C6298D">
        <w:rPr>
          <w:rFonts w:cs="Arial"/>
          <w:rtl/>
        </w:rPr>
        <w:t>: סואר</w:t>
      </w:r>
      <w:r w:rsidR="00DC6A17">
        <w:rPr>
          <w:rStyle w:val="a9"/>
          <w:rFonts w:cs="Arial"/>
          <w:rtl/>
        </w:rPr>
        <w:footnoteReference w:id="1551"/>
      </w:r>
      <w:r w:rsidRPr="00C6298D">
        <w:rPr>
          <w:rFonts w:cs="Arial"/>
          <w:rtl/>
        </w:rPr>
        <w:t xml:space="preserve"> של קורות הוה</w:t>
      </w:r>
      <w:r w:rsidR="00DC6A17">
        <w:rPr>
          <w:rStyle w:val="a9"/>
          <w:rFonts w:cs="Arial"/>
          <w:rtl/>
        </w:rPr>
        <w:footnoteReference w:id="1552"/>
      </w:r>
      <w:r w:rsidR="00DC6A17">
        <w:rPr>
          <w:rFonts w:cs="Arial" w:hint="cs"/>
          <w:rtl/>
        </w:rPr>
        <w:t>.</w:t>
      </w:r>
      <w:r w:rsidRPr="00C6298D">
        <w:rPr>
          <w:rFonts w:cs="Arial"/>
          <w:rtl/>
        </w:rPr>
        <w:t xml:space="preserve"> </w:t>
      </w:r>
      <w:r w:rsidRPr="00DC6A17">
        <w:rPr>
          <w:rFonts w:cs="Arial"/>
          <w:u w:val="single"/>
          <w:rtl/>
        </w:rPr>
        <w:t>ורבי יוחנן בן שאול אמר</w:t>
      </w:r>
      <w:r w:rsidRPr="00C6298D">
        <w:rPr>
          <w:rFonts w:cs="Arial"/>
          <w:rtl/>
        </w:rPr>
        <w:t>: גשוש</w:t>
      </w:r>
      <w:r w:rsidR="00DC6A17">
        <w:rPr>
          <w:rStyle w:val="a9"/>
          <w:rFonts w:cs="Arial"/>
          <w:rtl/>
        </w:rPr>
        <w:footnoteReference w:id="1553"/>
      </w:r>
      <w:r w:rsidRPr="00C6298D">
        <w:rPr>
          <w:rFonts w:cs="Arial"/>
          <w:rtl/>
        </w:rPr>
        <w:t xml:space="preserve"> של ספינה הוה. מאן דאמר גשוש - כל שכן סואר, ומאן דאמר סואר, אבל גשוש - קפיד עליה</w:t>
      </w:r>
      <w:r w:rsidR="00DC6A17">
        <w:rPr>
          <w:rStyle w:val="a9"/>
          <w:rFonts w:cs="Arial"/>
          <w:rtl/>
        </w:rPr>
        <w:footnoteReference w:id="1554"/>
      </w:r>
      <w:r w:rsidRPr="00C6298D">
        <w:rPr>
          <w:rFonts w:cs="Arial"/>
          <w:rtl/>
        </w:rPr>
        <w:t>.</w:t>
      </w:r>
    </w:p>
    <w:p w14:paraId="3A18ACC8" w14:textId="6810D87B" w:rsidR="00251A78" w:rsidRPr="00536E98" w:rsidRDefault="00536E98" w:rsidP="00434A6A">
      <w:pPr>
        <w:rPr>
          <w:u w:val="single"/>
          <w:rtl/>
        </w:rPr>
      </w:pPr>
      <w:r w:rsidRPr="00536E98">
        <w:rPr>
          <w:rFonts w:hint="cs"/>
          <w:u w:val="single"/>
          <w:rtl/>
        </w:rPr>
        <w:t>נדבך של אבנים:</w:t>
      </w:r>
    </w:p>
    <w:p w14:paraId="233210FA" w14:textId="7BD96800" w:rsidR="00E15F81" w:rsidRDefault="00251A78" w:rsidP="00434A6A">
      <w:pPr>
        <w:pStyle w:val="aa"/>
        <w:numPr>
          <w:ilvl w:val="0"/>
          <w:numId w:val="3"/>
        </w:numPr>
        <w:rPr>
          <w:rFonts w:cs="Arial"/>
        </w:rPr>
      </w:pPr>
      <w:r w:rsidRPr="00251A78">
        <w:rPr>
          <w:rFonts w:cs="Arial" w:hint="cs"/>
          <w:rtl/>
        </w:rPr>
        <w:t xml:space="preserve">רמב"ם </w:t>
      </w:r>
      <w:r w:rsidRPr="00251A78">
        <w:rPr>
          <w:rFonts w:cs="Arial" w:hint="cs"/>
          <w:sz w:val="16"/>
          <w:szCs w:val="16"/>
          <w:rtl/>
        </w:rPr>
        <w:t>(פכ"ה הכ"א)</w:t>
      </w:r>
      <w:r w:rsidRPr="00251A78">
        <w:rPr>
          <w:rFonts w:cs="Arial" w:hint="cs"/>
          <w:rtl/>
        </w:rPr>
        <w:t xml:space="preserve">- </w:t>
      </w:r>
      <w:r w:rsidRPr="00251A78">
        <w:rPr>
          <w:rFonts w:cs="Arial"/>
          <w:rtl/>
        </w:rPr>
        <w:t>נדבך של אבנים שחשב עליו מבעוד יום</w:t>
      </w:r>
      <w:r w:rsidRPr="00251A78">
        <w:rPr>
          <w:rFonts w:cs="Arial" w:hint="cs"/>
          <w:rtl/>
        </w:rPr>
        <w:t>,</w:t>
      </w:r>
      <w:r w:rsidRPr="00251A78">
        <w:rPr>
          <w:rFonts w:cs="Arial"/>
          <w:rtl/>
        </w:rPr>
        <w:t xml:space="preserve"> אם למדום </w:t>
      </w:r>
      <w:r w:rsidRPr="00251A78">
        <w:rPr>
          <w:rFonts w:cs="Arial" w:hint="cs"/>
          <w:rtl/>
        </w:rPr>
        <w:t xml:space="preserve">- </w:t>
      </w:r>
      <w:r w:rsidRPr="00251A78">
        <w:rPr>
          <w:rFonts w:cs="Arial"/>
          <w:rtl/>
        </w:rPr>
        <w:t>מותר לישב עליהן למחר</w:t>
      </w:r>
      <w:r w:rsidRPr="00251A78">
        <w:rPr>
          <w:rFonts w:cs="Arial" w:hint="cs"/>
          <w:rtl/>
        </w:rPr>
        <w:t>.</w:t>
      </w:r>
      <w:r w:rsidRPr="00251A78">
        <w:rPr>
          <w:rFonts w:cs="Arial"/>
          <w:rtl/>
        </w:rPr>
        <w:t xml:space="preserve"> ואם לאו </w:t>
      </w:r>
      <w:r w:rsidRPr="00251A78">
        <w:rPr>
          <w:rFonts w:cs="Arial" w:hint="cs"/>
          <w:rtl/>
        </w:rPr>
        <w:t xml:space="preserve">- </w:t>
      </w:r>
      <w:r w:rsidRPr="00251A78">
        <w:rPr>
          <w:rFonts w:cs="Arial"/>
          <w:rtl/>
        </w:rPr>
        <w:t>אסור</w:t>
      </w:r>
      <w:r w:rsidR="00361DFD">
        <w:rPr>
          <w:rStyle w:val="a9"/>
          <w:rFonts w:cs="Arial"/>
          <w:rtl/>
        </w:rPr>
        <w:footnoteReference w:id="1555"/>
      </w:r>
      <w:r w:rsidRPr="00251A78">
        <w:rPr>
          <w:rFonts w:cs="Arial"/>
          <w:rtl/>
        </w:rPr>
        <w:t>.</w:t>
      </w:r>
      <w:r w:rsidR="00C93E30">
        <w:rPr>
          <w:rFonts w:cs="Arial" w:hint="cs"/>
          <w:rtl/>
        </w:rPr>
        <w:t xml:space="preserve"> </w:t>
      </w:r>
      <w:r w:rsidR="00C93E30" w:rsidRPr="00952470">
        <w:rPr>
          <w:rFonts w:cs="Arial" w:hint="cs"/>
          <w:color w:val="E36C0A" w:themeColor="accent6" w:themeShade="BF"/>
          <w:rtl/>
        </w:rPr>
        <w:t>(וכ"פ בשו"ע)</w:t>
      </w:r>
    </w:p>
    <w:p w14:paraId="608CEB4B" w14:textId="21211425" w:rsidR="00F63421" w:rsidRPr="003C76BC" w:rsidRDefault="00E15F81" w:rsidP="00434A6A">
      <w:pPr>
        <w:pStyle w:val="aa"/>
        <w:numPr>
          <w:ilvl w:val="0"/>
          <w:numId w:val="3"/>
        </w:numPr>
        <w:rPr>
          <w:rFonts w:cs="Arial"/>
          <w:color w:val="000000" w:themeColor="text1"/>
        </w:rPr>
      </w:pPr>
      <w:r w:rsidRPr="003C76BC">
        <w:rPr>
          <w:rFonts w:cs="Arial" w:hint="cs"/>
          <w:color w:val="000000" w:themeColor="text1"/>
          <w:rtl/>
        </w:rPr>
        <w:t xml:space="preserve">מרדכי </w:t>
      </w:r>
      <w:r w:rsidRPr="003C76BC">
        <w:rPr>
          <w:rFonts w:cs="Arial" w:hint="cs"/>
          <w:color w:val="000000" w:themeColor="text1"/>
          <w:sz w:val="16"/>
          <w:szCs w:val="16"/>
          <w:rtl/>
        </w:rPr>
        <w:t>(סי' שכד</w:t>
      </w:r>
      <w:r w:rsidR="00F84FFA" w:rsidRPr="003C76BC">
        <w:rPr>
          <w:rFonts w:cs="Arial" w:hint="cs"/>
          <w:color w:val="000000" w:themeColor="text1"/>
          <w:sz w:val="16"/>
          <w:szCs w:val="16"/>
          <w:rtl/>
        </w:rPr>
        <w:t>, הביאו הדרכ"מ [אות ח]</w:t>
      </w:r>
      <w:r w:rsidRPr="003C76BC">
        <w:rPr>
          <w:rFonts w:cs="Arial" w:hint="cs"/>
          <w:color w:val="000000" w:themeColor="text1"/>
          <w:sz w:val="16"/>
          <w:szCs w:val="16"/>
          <w:rtl/>
        </w:rPr>
        <w:t>)</w:t>
      </w:r>
      <w:r w:rsidRPr="003C76BC">
        <w:rPr>
          <w:rFonts w:cs="Arial" w:hint="cs"/>
          <w:color w:val="000000" w:themeColor="text1"/>
          <w:rtl/>
        </w:rPr>
        <w:t xml:space="preserve">- </w:t>
      </w:r>
      <w:r w:rsidRPr="003C76BC">
        <w:rPr>
          <w:rFonts w:cs="Arial"/>
          <w:color w:val="000000" w:themeColor="text1"/>
          <w:rtl/>
        </w:rPr>
        <w:t>בחריות של דקל פליגי משום דמזיזן כשיושב עליהן</w:t>
      </w:r>
      <w:r w:rsidR="00536E98" w:rsidRPr="003C76BC">
        <w:rPr>
          <w:rFonts w:cs="Arial" w:hint="cs"/>
          <w:color w:val="000000" w:themeColor="text1"/>
          <w:rtl/>
        </w:rPr>
        <w:t>,</w:t>
      </w:r>
      <w:r w:rsidRPr="003C76BC">
        <w:rPr>
          <w:rFonts w:cs="Arial"/>
          <w:color w:val="000000" w:themeColor="text1"/>
          <w:rtl/>
        </w:rPr>
        <w:t xml:space="preserve"> אבל אבנים שרי דאין מזיזן</w:t>
      </w:r>
      <w:r w:rsidR="00077B97" w:rsidRPr="003C76BC">
        <w:rPr>
          <w:rStyle w:val="a9"/>
          <w:rFonts w:cs="Arial"/>
          <w:color w:val="000000" w:themeColor="text1"/>
          <w:rtl/>
        </w:rPr>
        <w:footnoteReference w:id="1556"/>
      </w:r>
      <w:r w:rsidR="00F84FFA" w:rsidRPr="003C76BC">
        <w:rPr>
          <w:rFonts w:cs="Arial" w:hint="cs"/>
          <w:color w:val="000000" w:themeColor="text1"/>
          <w:rtl/>
        </w:rPr>
        <w:t>.</w:t>
      </w:r>
      <w:r w:rsidRPr="003C76BC">
        <w:rPr>
          <w:rFonts w:cs="Arial"/>
          <w:color w:val="000000" w:themeColor="text1"/>
          <w:rtl/>
        </w:rPr>
        <w:t xml:space="preserve"> והלכתא נמי בחריות כרב אשי</w:t>
      </w:r>
      <w:r w:rsidR="00536E98" w:rsidRPr="003C76BC">
        <w:rPr>
          <w:rFonts w:cs="Arial" w:hint="cs"/>
          <w:color w:val="000000" w:themeColor="text1"/>
          <w:rtl/>
        </w:rPr>
        <w:t>.</w:t>
      </w:r>
      <w:r w:rsidRPr="003C76BC">
        <w:rPr>
          <w:rFonts w:cs="Arial"/>
          <w:color w:val="000000" w:themeColor="text1"/>
          <w:rtl/>
        </w:rPr>
        <w:t xml:space="preserve"> וכן פי' ריב"א ורבינו שמשון</w:t>
      </w:r>
      <w:r w:rsidRPr="003C76BC">
        <w:rPr>
          <w:rFonts w:cs="Arial" w:hint="cs"/>
          <w:color w:val="000000" w:themeColor="text1"/>
          <w:rtl/>
        </w:rPr>
        <w:t>.</w:t>
      </w:r>
      <w:r w:rsidRPr="003C76BC">
        <w:rPr>
          <w:rFonts w:cs="Arial"/>
          <w:color w:val="000000" w:themeColor="text1"/>
          <w:rtl/>
        </w:rPr>
        <w:t xml:space="preserve"> ור"י פי' לקמן פרק כל הכלים </w:t>
      </w:r>
      <w:r w:rsidR="00536E98" w:rsidRPr="003C76BC">
        <w:rPr>
          <w:rFonts w:cs="Arial" w:hint="cs"/>
          <w:color w:val="000000" w:themeColor="text1"/>
          <w:rtl/>
        </w:rPr>
        <w:t>(</w:t>
      </w:r>
      <w:r w:rsidRPr="003C76BC">
        <w:rPr>
          <w:rFonts w:cs="Arial"/>
          <w:color w:val="000000" w:themeColor="text1"/>
          <w:rtl/>
        </w:rPr>
        <w:t>קכו</w:t>
      </w:r>
      <w:r w:rsidRPr="003C76BC">
        <w:rPr>
          <w:rFonts w:cs="Arial" w:hint="cs"/>
          <w:color w:val="000000" w:themeColor="text1"/>
          <w:rtl/>
        </w:rPr>
        <w:t>.</w:t>
      </w:r>
      <w:r w:rsidR="00536E98" w:rsidRPr="003C76BC">
        <w:rPr>
          <w:rFonts w:cs="Arial" w:hint="cs"/>
          <w:color w:val="000000" w:themeColor="text1"/>
          <w:rtl/>
        </w:rPr>
        <w:t>)</w:t>
      </w:r>
      <w:r w:rsidRPr="003C76BC">
        <w:rPr>
          <w:rFonts w:cs="Arial"/>
          <w:color w:val="000000" w:themeColor="text1"/>
          <w:rtl/>
        </w:rPr>
        <w:t xml:space="preserve"> דבעצים בעי קישור</w:t>
      </w:r>
      <w:r w:rsidR="00F84FFA" w:rsidRPr="003C76BC">
        <w:rPr>
          <w:rFonts w:cs="Arial" w:hint="cs"/>
          <w:color w:val="000000" w:themeColor="text1"/>
          <w:rtl/>
        </w:rPr>
        <w:t>,</w:t>
      </w:r>
      <w:r w:rsidRPr="003C76BC">
        <w:rPr>
          <w:rFonts w:cs="Arial"/>
          <w:color w:val="000000" w:themeColor="text1"/>
          <w:rtl/>
        </w:rPr>
        <w:t xml:space="preserve"> ובאבנים בעי סיתות</w:t>
      </w:r>
      <w:r w:rsidR="00077B97" w:rsidRPr="003C76BC">
        <w:rPr>
          <w:rFonts w:cs="Arial" w:hint="cs"/>
          <w:color w:val="000000" w:themeColor="text1"/>
          <w:rtl/>
        </w:rPr>
        <w:t>,</w:t>
      </w:r>
      <w:r w:rsidRPr="003C76BC">
        <w:rPr>
          <w:rFonts w:cs="Arial"/>
          <w:color w:val="000000" w:themeColor="text1"/>
          <w:rtl/>
        </w:rPr>
        <w:t xml:space="preserve"> וכן פי' ראבי"ה</w:t>
      </w:r>
      <w:r w:rsidR="00F84FFA" w:rsidRPr="003C76BC">
        <w:rPr>
          <w:rFonts w:cs="Arial" w:hint="cs"/>
          <w:color w:val="000000" w:themeColor="text1"/>
          <w:rtl/>
        </w:rPr>
        <w:t>,</w:t>
      </w:r>
      <w:r w:rsidRPr="003C76BC">
        <w:rPr>
          <w:rFonts w:cs="Arial"/>
          <w:color w:val="000000" w:themeColor="text1"/>
          <w:rtl/>
        </w:rPr>
        <w:t xml:space="preserve"> משום דס"פ כל הכלים א"ר יוחנן דלא סבירא ליה כרשב"ג אלא כרבנן</w:t>
      </w:r>
      <w:r w:rsidRPr="003C76BC">
        <w:rPr>
          <w:rFonts w:cs="Arial" w:hint="cs"/>
          <w:color w:val="000000" w:themeColor="text1"/>
          <w:rtl/>
        </w:rPr>
        <w:t>.</w:t>
      </w:r>
      <w:r w:rsidR="00C93E30" w:rsidRPr="003C76BC">
        <w:rPr>
          <w:rFonts w:cs="Arial" w:hint="cs"/>
          <w:color w:val="000000" w:themeColor="text1"/>
          <w:rtl/>
        </w:rPr>
        <w:t xml:space="preserve"> </w:t>
      </w:r>
      <w:r w:rsidR="00C93E30" w:rsidRPr="003C76BC">
        <w:rPr>
          <w:rFonts w:cs="Arial" w:hint="cs"/>
          <w:color w:val="00B0F0"/>
          <w:rtl/>
        </w:rPr>
        <w:t>(וכ"פ הרמ"א)</w:t>
      </w:r>
      <w:r w:rsidR="005E7F0D" w:rsidRPr="003C76BC">
        <w:rPr>
          <w:rFonts w:cs="Arial" w:hint="cs"/>
          <w:color w:val="00B0F0"/>
          <w:rtl/>
        </w:rPr>
        <w:t xml:space="preserve"> </w:t>
      </w:r>
    </w:p>
    <w:p w14:paraId="192B88AC"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3626DB98" w14:textId="7DCAFD64" w:rsidR="000C6229" w:rsidRPr="005275DF" w:rsidRDefault="000C6229" w:rsidP="00434A6A">
      <w:pPr>
        <w:rPr>
          <w:rFonts w:asciiTheme="minorBidi" w:hAnsiTheme="minorBidi"/>
          <w:rtl/>
        </w:rPr>
      </w:pPr>
      <w:r w:rsidRPr="005275DF">
        <w:rPr>
          <w:rFonts w:asciiTheme="minorBidi" w:hAnsiTheme="minorBidi"/>
          <w:rtl/>
        </w:rPr>
        <w:t xml:space="preserve">אבל נדבך של אבנים אף על פי שחשב עליו </w:t>
      </w:r>
      <w:r w:rsidR="00357CCA">
        <w:rPr>
          <w:rFonts w:asciiTheme="minorBidi" w:hAnsiTheme="minorBidi"/>
          <w:rtl/>
        </w:rPr>
        <w:t>מבעוד יום</w:t>
      </w:r>
      <w:r w:rsidRPr="005275DF">
        <w:rPr>
          <w:rFonts w:asciiTheme="minorBidi" w:hAnsiTheme="minorBidi"/>
          <w:rtl/>
        </w:rPr>
        <w:t>, אסור לישב עליהם</w:t>
      </w:r>
      <w:r w:rsidR="0014428B">
        <w:rPr>
          <w:rStyle w:val="a9"/>
          <w:rFonts w:asciiTheme="minorBidi" w:hAnsiTheme="minorBidi"/>
          <w:rtl/>
        </w:rPr>
        <w:footnoteReference w:id="1557"/>
      </w:r>
      <w:r w:rsidRPr="005275DF">
        <w:rPr>
          <w:rFonts w:asciiTheme="minorBidi" w:hAnsiTheme="minorBidi"/>
          <w:rtl/>
        </w:rPr>
        <w:t xml:space="preserve"> א</w:t>
      </w:r>
      <w:r w:rsidR="00801E18">
        <w:rPr>
          <w:rFonts w:asciiTheme="minorBidi" w:hAnsiTheme="minorBidi" w:hint="cs"/>
          <w:rtl/>
        </w:rPr>
        <w:t>ל</w:t>
      </w:r>
      <w:r w:rsidRPr="005275DF">
        <w:rPr>
          <w:rFonts w:asciiTheme="minorBidi" w:hAnsiTheme="minorBidi"/>
          <w:rtl/>
        </w:rPr>
        <w:t>א</w:t>
      </w:r>
      <w:r w:rsidR="00801E18">
        <w:rPr>
          <w:rFonts w:asciiTheme="minorBidi" w:hAnsiTheme="minorBidi" w:hint="cs"/>
          <w:rtl/>
        </w:rPr>
        <w:t xml:space="preserve"> אם </w:t>
      </w:r>
      <w:r w:rsidRPr="005275DF">
        <w:rPr>
          <w:rFonts w:asciiTheme="minorBidi" w:hAnsiTheme="minorBidi"/>
          <w:rtl/>
        </w:rPr>
        <w:t>כ</w:t>
      </w:r>
      <w:r w:rsidR="00801E18">
        <w:rPr>
          <w:rFonts w:asciiTheme="minorBidi" w:hAnsiTheme="minorBidi" w:hint="cs"/>
          <w:rtl/>
        </w:rPr>
        <w:t>ן</w:t>
      </w:r>
      <w:r w:rsidRPr="005275DF">
        <w:rPr>
          <w:rFonts w:asciiTheme="minorBidi" w:hAnsiTheme="minorBidi"/>
          <w:rtl/>
        </w:rPr>
        <w:t xml:space="preserve"> למדום</w:t>
      </w:r>
      <w:r w:rsidR="0014428B">
        <w:rPr>
          <w:rStyle w:val="a9"/>
          <w:rFonts w:asciiTheme="minorBidi" w:hAnsiTheme="minorBidi"/>
          <w:rtl/>
        </w:rPr>
        <w:footnoteReference w:id="1558"/>
      </w:r>
      <w:r w:rsidRPr="005275DF">
        <w:rPr>
          <w:rFonts w:asciiTheme="minorBidi" w:hAnsiTheme="minorBidi"/>
          <w:rtl/>
        </w:rPr>
        <w:t xml:space="preserve">. </w:t>
      </w:r>
      <w:r w:rsidRPr="00BE6400">
        <w:rPr>
          <w:rFonts w:asciiTheme="minorBidi" w:hAnsiTheme="minorBidi"/>
          <w:sz w:val="18"/>
          <w:szCs w:val="18"/>
          <w:rtl/>
        </w:rPr>
        <w:t>הגה: וי"א דדין אבנים כדין חריות, וכן עיקר</w:t>
      </w:r>
      <w:r w:rsidR="0014428B">
        <w:rPr>
          <w:rStyle w:val="a9"/>
          <w:rFonts w:asciiTheme="minorBidi" w:hAnsiTheme="minorBidi"/>
          <w:sz w:val="18"/>
          <w:szCs w:val="18"/>
          <w:rtl/>
        </w:rPr>
        <w:footnoteReference w:id="1559"/>
      </w:r>
      <w:r w:rsidRPr="00BE6400">
        <w:rPr>
          <w:rFonts w:asciiTheme="minorBidi" w:hAnsiTheme="minorBidi"/>
          <w:sz w:val="18"/>
          <w:szCs w:val="18"/>
          <w:rtl/>
        </w:rPr>
        <w:t xml:space="preserve"> (מרדכי</w:t>
      </w:r>
      <w:r w:rsidR="00077B97">
        <w:rPr>
          <w:rFonts w:asciiTheme="minorBidi" w:hAnsiTheme="minorBidi" w:hint="cs"/>
          <w:sz w:val="18"/>
          <w:szCs w:val="18"/>
          <w:rtl/>
        </w:rPr>
        <w:t>)</w:t>
      </w:r>
      <w:r w:rsidRPr="00BE6400">
        <w:rPr>
          <w:rFonts w:asciiTheme="minorBidi" w:hAnsiTheme="minorBidi"/>
          <w:sz w:val="18"/>
          <w:szCs w:val="18"/>
          <w:rtl/>
        </w:rPr>
        <w:t>.</w:t>
      </w:r>
      <w:r w:rsidRPr="005275DF">
        <w:rPr>
          <w:rFonts w:asciiTheme="minorBidi" w:hAnsiTheme="minorBidi"/>
          <w:rtl/>
        </w:rPr>
        <w:t xml:space="preserve"> </w:t>
      </w:r>
    </w:p>
    <w:p w14:paraId="0BC31709" w14:textId="77777777" w:rsidR="000C6229" w:rsidRPr="005275DF" w:rsidRDefault="000C6229" w:rsidP="00434A6A">
      <w:pPr>
        <w:rPr>
          <w:rFonts w:asciiTheme="minorBidi" w:hAnsiTheme="minorBidi"/>
          <w:rtl/>
        </w:rPr>
      </w:pPr>
    </w:p>
    <w:p w14:paraId="3FC77F12" w14:textId="4450CD63" w:rsidR="00535E2D" w:rsidRDefault="000C6229" w:rsidP="00434A6A">
      <w:pPr>
        <w:pStyle w:val="2"/>
        <w:rPr>
          <w:rtl/>
        </w:rPr>
      </w:pPr>
      <w:r w:rsidRPr="005275DF">
        <w:rPr>
          <w:rtl/>
        </w:rPr>
        <w:t>סעיף כב</w:t>
      </w:r>
      <w:r w:rsidR="00F63421">
        <w:rPr>
          <w:rFonts w:hint="cs"/>
          <w:rtl/>
        </w:rPr>
        <w:t>:</w:t>
      </w:r>
      <w:r w:rsidR="00C215A4" w:rsidRPr="00C215A4">
        <w:rPr>
          <w:rFonts w:hint="cs"/>
          <w:rtl/>
        </w:rPr>
        <w:t xml:space="preserve"> </w:t>
      </w:r>
      <w:r w:rsidR="00C215A4">
        <w:rPr>
          <w:rFonts w:hint="cs"/>
          <w:rtl/>
        </w:rPr>
        <w:t>ייחוד אבן לעשות בה דבר מסויים בשבת.</w:t>
      </w:r>
    </w:p>
    <w:p w14:paraId="76F3CF42" w14:textId="657FFE71" w:rsidR="00C215A4" w:rsidRPr="00C215A4" w:rsidRDefault="00C215A4" w:rsidP="00434A6A">
      <w:pPr>
        <w:rPr>
          <w:u w:val="single"/>
          <w:rtl/>
        </w:rPr>
      </w:pPr>
      <w:r w:rsidRPr="00C215A4">
        <w:rPr>
          <w:rFonts w:hint="cs"/>
          <w:u w:val="single"/>
          <w:rtl/>
        </w:rPr>
        <w:t>ייחוד אבן לעשות בה דבר מסויים בשבת:</w:t>
      </w:r>
    </w:p>
    <w:p w14:paraId="50318469" w14:textId="3261864C" w:rsidR="0029669F" w:rsidRDefault="0029669F" w:rsidP="00434A6A">
      <w:pPr>
        <w:pStyle w:val="aa"/>
        <w:numPr>
          <w:ilvl w:val="0"/>
          <w:numId w:val="9"/>
        </w:numPr>
      </w:pPr>
      <w:r>
        <w:rPr>
          <w:rFonts w:cs="Arial" w:hint="cs"/>
          <w:rtl/>
        </w:rPr>
        <w:t xml:space="preserve">רשב"א </w:t>
      </w:r>
      <w:r>
        <w:rPr>
          <w:rFonts w:cs="Arial" w:hint="cs"/>
          <w:sz w:val="16"/>
          <w:szCs w:val="16"/>
          <w:rtl/>
        </w:rPr>
        <w:t>(סי' תשנו-תשנז)</w:t>
      </w:r>
      <w:r>
        <w:rPr>
          <w:rFonts w:cs="Arial" w:hint="cs"/>
          <w:rtl/>
        </w:rPr>
        <w:t xml:space="preserve">- </w:t>
      </w:r>
      <w:r w:rsidRPr="0029669F">
        <w:rPr>
          <w:rFonts w:cs="Arial"/>
          <w:rtl/>
        </w:rPr>
        <w:t xml:space="preserve">עוד נשאל מי שמייחד אבן אחד בחלון בערב שבת לפצוע בו אגוזים אם תועיל לו הכנה? שהרי עפר שאין לו תורת כלי ואם הכניס מלא קופתו עפר עושה בו כל צרכיו. </w:t>
      </w:r>
      <w:r w:rsidR="00C215A4">
        <w:rPr>
          <w:rFonts w:cs="Arial" w:hint="cs"/>
          <w:rtl/>
        </w:rPr>
        <w:t xml:space="preserve">     </w:t>
      </w:r>
      <w:r w:rsidRPr="00C215A4">
        <w:rPr>
          <w:rFonts w:cs="Arial"/>
          <w:rtl/>
        </w:rPr>
        <w:t>והשיב</w:t>
      </w:r>
      <w:r w:rsidR="00C215A4">
        <w:rPr>
          <w:rFonts w:cs="Arial" w:hint="cs"/>
          <w:rtl/>
        </w:rPr>
        <w:t>:</w:t>
      </w:r>
      <w:r w:rsidRPr="00C215A4">
        <w:rPr>
          <w:rFonts w:cs="Arial"/>
          <w:rtl/>
        </w:rPr>
        <w:t xml:space="preserve"> בפרק במה טומנין </w:t>
      </w:r>
      <w:r w:rsidR="00B75E9A" w:rsidRPr="00C215A4">
        <w:rPr>
          <w:rFonts w:cs="Arial" w:hint="cs"/>
          <w:rtl/>
        </w:rPr>
        <w:t>(</w:t>
      </w:r>
      <w:r w:rsidRPr="00C215A4">
        <w:rPr>
          <w:rFonts w:cs="Arial"/>
          <w:rtl/>
        </w:rPr>
        <w:t>נ</w:t>
      </w:r>
      <w:r w:rsidR="00B75E9A" w:rsidRPr="00C215A4">
        <w:rPr>
          <w:rFonts w:cs="Arial" w:hint="cs"/>
          <w:rtl/>
        </w:rPr>
        <w:t>.</w:t>
      </w:r>
      <w:r w:rsidRPr="00C215A4">
        <w:rPr>
          <w:rFonts w:cs="Arial"/>
          <w:rtl/>
        </w:rPr>
        <w:t>) נחלקו ת"ק ורשב"ג בחריות של דקל שגדרן לעצים ונמלך עליהם לישיבה. ת"ק סבר צריך לקשר ורשב"ג סבר אין צריך לקשר ואיפסיק התם הלכה כרשב"ג. ואתמר רב אמר קושר ושמואל אמר חושב. ורב אסי אמר יושב אע</w:t>
      </w:r>
      <w:r w:rsidR="00EE0F7D">
        <w:rPr>
          <w:rFonts w:cs="Arial" w:hint="cs"/>
          <w:rtl/>
        </w:rPr>
        <w:t>"</w:t>
      </w:r>
      <w:r w:rsidRPr="00C215A4">
        <w:rPr>
          <w:rFonts w:cs="Arial"/>
          <w:rtl/>
        </w:rPr>
        <w:t>פ שלא קושר ולא חושב</w:t>
      </w:r>
      <w:r w:rsidR="009F6AEA">
        <w:rPr>
          <w:rFonts w:cs="Arial" w:hint="cs"/>
          <w:rtl/>
        </w:rPr>
        <w:t>.</w:t>
      </w:r>
      <w:r w:rsidRPr="00C215A4">
        <w:rPr>
          <w:rFonts w:cs="Arial"/>
          <w:rtl/>
        </w:rPr>
        <w:t xml:space="preserve"> והילכך בין יושב בין חושב מהני. וקיי"ל כרב אסי. ועלה אייתי בגמרא ההוא דקופת עפר</w:t>
      </w:r>
      <w:r w:rsidR="009F6AEA">
        <w:rPr>
          <w:rFonts w:cs="Arial" w:hint="cs"/>
          <w:rtl/>
        </w:rPr>
        <w:t>,</w:t>
      </w:r>
      <w:r w:rsidRPr="00C215A4">
        <w:rPr>
          <w:rFonts w:cs="Arial"/>
          <w:rtl/>
        </w:rPr>
        <w:t xml:space="preserve"> ובעי לאוקמי כרשב"ג</w:t>
      </w:r>
      <w:r w:rsidR="009F6AEA">
        <w:rPr>
          <w:rFonts w:cs="Arial" w:hint="cs"/>
          <w:rtl/>
        </w:rPr>
        <w:t>,</w:t>
      </w:r>
      <w:r w:rsidRPr="00C215A4">
        <w:rPr>
          <w:rFonts w:cs="Arial"/>
          <w:rtl/>
        </w:rPr>
        <w:t xml:space="preserve"> דאי כרבנן הא אמרי בעיא מעשה. ודחי רב פפא אפי' תימא רבנן</w:t>
      </w:r>
      <w:r w:rsidR="009F6AEA">
        <w:rPr>
          <w:rFonts w:cs="Arial" w:hint="cs"/>
          <w:rtl/>
        </w:rPr>
        <w:t>,</w:t>
      </w:r>
      <w:r w:rsidRPr="00C215A4">
        <w:rPr>
          <w:rFonts w:cs="Arial"/>
          <w:rtl/>
        </w:rPr>
        <w:t xml:space="preserve"> ע"כ לא קאמרי רבנן דבעי' מעשה אלא בחריו' של דקל שגדרן לעצים</w:t>
      </w:r>
      <w:r w:rsidR="009F6AEA">
        <w:rPr>
          <w:rFonts w:cs="Arial" w:hint="cs"/>
          <w:rtl/>
        </w:rPr>
        <w:t>,</w:t>
      </w:r>
      <w:r w:rsidRPr="00C215A4">
        <w:rPr>
          <w:rFonts w:cs="Arial"/>
          <w:rtl/>
        </w:rPr>
        <w:t xml:space="preserve"> כיון ד</w:t>
      </w:r>
      <w:r w:rsidRPr="00C215A4">
        <w:rPr>
          <w:rFonts w:cs="Arial" w:hint="cs"/>
          <w:rtl/>
        </w:rPr>
        <w:t>ְ</w:t>
      </w:r>
      <w:r w:rsidRPr="00C215A4">
        <w:rPr>
          <w:rFonts w:cs="Arial"/>
          <w:rtl/>
        </w:rPr>
        <w:t>ב</w:t>
      </w:r>
      <w:r w:rsidRPr="00C215A4">
        <w:rPr>
          <w:rFonts w:cs="Arial" w:hint="cs"/>
          <w:rtl/>
        </w:rPr>
        <w:t>ָּ</w:t>
      </w:r>
      <w:r w:rsidRPr="00C215A4">
        <w:rPr>
          <w:rFonts w:cs="Arial"/>
          <w:rtl/>
        </w:rPr>
        <w:t>ר מיעבד מעשה הוא</w:t>
      </w:r>
      <w:r w:rsidR="00CC32BB">
        <w:rPr>
          <w:rStyle w:val="a9"/>
          <w:rFonts w:cs="Arial"/>
          <w:rtl/>
        </w:rPr>
        <w:footnoteReference w:id="1560"/>
      </w:r>
      <w:r w:rsidRPr="00C215A4">
        <w:rPr>
          <w:rFonts w:cs="Arial"/>
          <w:rtl/>
        </w:rPr>
        <w:t>. אבל עפר דלאו בר מיעבד מעשה הוא אפי' ביחוד סגי להו. ואם כן אבן שיחדה לפצוע בה ולהיותה מוכנת לכך משמע דסגי ליה בהכי</w:t>
      </w:r>
      <w:r w:rsidR="009F6AEA">
        <w:rPr>
          <w:rFonts w:cs="Arial" w:hint="cs"/>
          <w:rtl/>
        </w:rPr>
        <w:t>,</w:t>
      </w:r>
      <w:r w:rsidRPr="00C215A4">
        <w:rPr>
          <w:rFonts w:cs="Arial"/>
          <w:rtl/>
        </w:rPr>
        <w:t xml:space="preserve"> כיון דלאו בר מיעבד הוא. ואפשר דלגבי אבן נמי בעי שישתמש בו מע"ש לפצוע בה</w:t>
      </w:r>
      <w:r w:rsidR="00C215A4">
        <w:rPr>
          <w:rFonts w:cs="Arial" w:hint="cs"/>
          <w:rtl/>
        </w:rPr>
        <w:t>,</w:t>
      </w:r>
      <w:r w:rsidRPr="00C215A4">
        <w:rPr>
          <w:rFonts w:cs="Arial"/>
          <w:rtl/>
        </w:rPr>
        <w:t xml:space="preserve"> כההיא דפוקרין כי היכי דלהוי בה היכרא בפיקרין וצ</w:t>
      </w:r>
      <w:r w:rsidR="00B75E9A" w:rsidRPr="00C215A4">
        <w:rPr>
          <w:rFonts w:cs="Arial" w:hint="cs"/>
          <w:rtl/>
        </w:rPr>
        <w:t>ִ</w:t>
      </w:r>
      <w:r w:rsidRPr="00C215A4">
        <w:rPr>
          <w:rFonts w:cs="Arial"/>
          <w:rtl/>
        </w:rPr>
        <w:t>פ</w:t>
      </w:r>
      <w:r w:rsidR="00B75E9A" w:rsidRPr="00C215A4">
        <w:rPr>
          <w:rFonts w:cs="Arial" w:hint="cs"/>
          <w:rtl/>
        </w:rPr>
        <w:t>ָּ</w:t>
      </w:r>
      <w:r w:rsidRPr="00C215A4">
        <w:rPr>
          <w:rFonts w:cs="Arial"/>
          <w:rtl/>
        </w:rPr>
        <w:t>ה</w:t>
      </w:r>
      <w:r w:rsidR="00C215A4">
        <w:rPr>
          <w:rStyle w:val="a9"/>
          <w:rFonts w:cs="Arial"/>
          <w:rtl/>
        </w:rPr>
        <w:footnoteReference w:id="1561"/>
      </w:r>
      <w:r w:rsidRPr="00C215A4">
        <w:rPr>
          <w:rFonts w:cs="Arial"/>
          <w:rtl/>
        </w:rPr>
        <w:t>.</w:t>
      </w:r>
      <w:r w:rsidRPr="0029669F">
        <w:rPr>
          <w:rtl/>
        </w:rPr>
        <w:t xml:space="preserve"> </w:t>
      </w:r>
      <w:r w:rsidR="009868D9">
        <w:rPr>
          <w:rFonts w:cs="Arial" w:hint="cs"/>
          <w:rtl/>
        </w:rPr>
        <w:t>ו</w:t>
      </w:r>
      <w:r w:rsidRPr="00C215A4">
        <w:rPr>
          <w:rFonts w:cs="Arial"/>
          <w:rtl/>
        </w:rPr>
        <w:t>דוקא בשיחדה להיות עומדת בכך</w:t>
      </w:r>
      <w:r w:rsidR="00B75E9A" w:rsidRPr="00C215A4">
        <w:rPr>
          <w:rFonts w:cs="Arial" w:hint="cs"/>
          <w:rtl/>
        </w:rPr>
        <w:t>,</w:t>
      </w:r>
      <w:r w:rsidRPr="00C215A4">
        <w:rPr>
          <w:rFonts w:cs="Arial"/>
          <w:rtl/>
        </w:rPr>
        <w:t xml:space="preserve"> ולא שיחדה לאותו שבת בלבד דאין זה יחוד כלום</w:t>
      </w:r>
      <w:r w:rsidR="00EE0F7D">
        <w:rPr>
          <w:rStyle w:val="a9"/>
          <w:rFonts w:cs="Arial"/>
          <w:rtl/>
        </w:rPr>
        <w:footnoteReference w:id="1562"/>
      </w:r>
      <w:r w:rsidRPr="00C215A4">
        <w:rPr>
          <w:rFonts w:cs="Arial"/>
          <w:rtl/>
        </w:rPr>
        <w:t>.</w:t>
      </w:r>
    </w:p>
    <w:p w14:paraId="79676437" w14:textId="472A1EAE" w:rsidR="002A006D" w:rsidRDefault="00C215A4" w:rsidP="00434A6A">
      <w:pPr>
        <w:pStyle w:val="aa"/>
        <w:numPr>
          <w:ilvl w:val="0"/>
          <w:numId w:val="9"/>
        </w:numPr>
      </w:pPr>
      <w:r>
        <w:rPr>
          <w:rFonts w:hint="cs"/>
          <w:rtl/>
        </w:rPr>
        <w:t xml:space="preserve">ר"ן </w:t>
      </w:r>
      <w:r w:rsidRPr="00C215A4">
        <w:rPr>
          <w:rFonts w:cs="Arial"/>
          <w:sz w:val="16"/>
          <w:szCs w:val="16"/>
          <w:rtl/>
        </w:rPr>
        <w:t>(</w:t>
      </w:r>
      <w:r w:rsidRPr="00C215A4">
        <w:rPr>
          <w:rFonts w:cs="Arial" w:hint="cs"/>
          <w:sz w:val="16"/>
          <w:szCs w:val="16"/>
          <w:rtl/>
        </w:rPr>
        <w:t xml:space="preserve">שבת פ' במה טומנין </w:t>
      </w:r>
      <w:r w:rsidRPr="00C215A4">
        <w:rPr>
          <w:rFonts w:cs="Arial"/>
          <w:sz w:val="16"/>
          <w:szCs w:val="16"/>
          <w:rtl/>
        </w:rPr>
        <w:t>כג. ד"ה ונשאל)</w:t>
      </w:r>
      <w:r>
        <w:rPr>
          <w:rFonts w:cs="Arial" w:hint="cs"/>
          <w:rtl/>
        </w:rPr>
        <w:t xml:space="preserve">- </w:t>
      </w:r>
      <w:r>
        <w:rPr>
          <w:rStyle w:val="a9"/>
          <w:rFonts w:cs="Arial"/>
          <w:rtl/>
        </w:rPr>
        <w:footnoteReference w:id="1563"/>
      </w:r>
      <w:r w:rsidRPr="00F63421">
        <w:rPr>
          <w:rFonts w:cs="Arial"/>
          <w:rtl/>
        </w:rPr>
        <w:t>דוקא על פי חבית לא מהני יחוד שבת אחת</w:t>
      </w:r>
      <w:r>
        <w:rPr>
          <w:rFonts w:cs="Arial" w:hint="cs"/>
          <w:rtl/>
        </w:rPr>
        <w:t>,</w:t>
      </w:r>
      <w:r w:rsidRPr="00F63421">
        <w:rPr>
          <w:rFonts w:cs="Arial"/>
          <w:rtl/>
        </w:rPr>
        <w:t xml:space="preserve"> לפי שאין דרכה ליחדה לכיסוי</w:t>
      </w:r>
      <w:r>
        <w:rPr>
          <w:rFonts w:cs="Arial" w:hint="cs"/>
          <w:rtl/>
        </w:rPr>
        <w:t>.</w:t>
      </w:r>
      <w:r w:rsidRPr="00F63421">
        <w:rPr>
          <w:rFonts w:cs="Arial"/>
          <w:rtl/>
        </w:rPr>
        <w:t xml:space="preserve"> אבל בכל מידי דאורחיה בהכי</w:t>
      </w:r>
      <w:r>
        <w:rPr>
          <w:rFonts w:cs="Arial" w:hint="cs"/>
          <w:rtl/>
        </w:rPr>
        <w:t>,</w:t>
      </w:r>
      <w:r w:rsidRPr="00F63421">
        <w:rPr>
          <w:rFonts w:cs="Arial"/>
          <w:rtl/>
        </w:rPr>
        <w:t xml:space="preserve"> כגון לפצוע בה אגוזים </w:t>
      </w:r>
      <w:r>
        <w:rPr>
          <w:rFonts w:cs="Arial" w:hint="cs"/>
          <w:rtl/>
        </w:rPr>
        <w:t xml:space="preserve">- </w:t>
      </w:r>
      <w:r w:rsidRPr="00F63421">
        <w:rPr>
          <w:rFonts w:cs="Arial"/>
          <w:rtl/>
        </w:rPr>
        <w:t>ביחוד לשבת אחת מהני</w:t>
      </w:r>
      <w:r w:rsidR="007068C0">
        <w:rPr>
          <w:rStyle w:val="a9"/>
          <w:rFonts w:cs="Arial"/>
          <w:rtl/>
        </w:rPr>
        <w:footnoteReference w:id="1564"/>
      </w:r>
      <w:r>
        <w:rPr>
          <w:rFonts w:cs="Arial" w:hint="cs"/>
          <w:rtl/>
        </w:rPr>
        <w:t>.</w:t>
      </w:r>
      <w:r w:rsidRPr="00F63421">
        <w:rPr>
          <w:rFonts w:cs="Arial"/>
          <w:rtl/>
        </w:rPr>
        <w:t xml:space="preserve"> וכן פירש רש"י (נ. ד"ה צריך) גבי חריות</w:t>
      </w:r>
      <w:r>
        <w:rPr>
          <w:rFonts w:cs="Arial" w:hint="cs"/>
          <w:rtl/>
        </w:rPr>
        <w:t>,</w:t>
      </w:r>
      <w:r w:rsidRPr="00F63421">
        <w:rPr>
          <w:rFonts w:cs="Arial"/>
          <w:rtl/>
        </w:rPr>
        <w:t xml:space="preserve"> ושמעתין נמי מוכחא הכי</w:t>
      </w:r>
      <w:r w:rsidR="00F027C4" w:rsidRPr="00EB0522">
        <w:rPr>
          <w:rFonts w:cs="Arial" w:hint="cs"/>
          <w:rtl/>
        </w:rPr>
        <w:t>.</w:t>
      </w:r>
      <w:r w:rsidR="000550DD">
        <w:rPr>
          <w:rFonts w:hint="cs"/>
          <w:rtl/>
        </w:rPr>
        <w:t xml:space="preserve"> </w:t>
      </w:r>
      <w:r w:rsidR="000550DD" w:rsidRPr="000550DD">
        <w:rPr>
          <w:rFonts w:hint="cs"/>
          <w:color w:val="E36C0A" w:themeColor="accent6" w:themeShade="BF"/>
          <w:rtl/>
        </w:rPr>
        <w:t>(וכ"פ בשו"ע</w:t>
      </w:r>
      <w:r w:rsidR="000550DD">
        <w:rPr>
          <w:rFonts w:hint="cs"/>
          <w:color w:val="E36C0A" w:themeColor="accent6" w:themeShade="BF"/>
          <w:sz w:val="16"/>
          <w:szCs w:val="16"/>
          <w:rtl/>
        </w:rPr>
        <w:t xml:space="preserve"> </w:t>
      </w:r>
      <w:r w:rsidR="000550DD" w:rsidRPr="000550DD">
        <w:rPr>
          <w:rFonts w:hint="cs"/>
          <w:color w:val="000000" w:themeColor="text1"/>
          <w:sz w:val="16"/>
          <w:szCs w:val="16"/>
          <w:rtl/>
        </w:rPr>
        <w:t>[</w:t>
      </w:r>
      <w:r w:rsidR="000550DD">
        <w:rPr>
          <w:rFonts w:hint="cs"/>
          <w:color w:val="000000" w:themeColor="text1"/>
          <w:sz w:val="16"/>
          <w:szCs w:val="16"/>
          <w:rtl/>
        </w:rPr>
        <w:t>כאן ובסי' רנט ס"ב</w:t>
      </w:r>
      <w:r w:rsidR="000550DD">
        <w:rPr>
          <w:rStyle w:val="a9"/>
          <w:color w:val="000000" w:themeColor="text1"/>
          <w:sz w:val="16"/>
          <w:szCs w:val="16"/>
          <w:rtl/>
        </w:rPr>
        <w:footnoteReference w:id="1565"/>
      </w:r>
      <w:r w:rsidR="000550DD" w:rsidRPr="000550DD">
        <w:rPr>
          <w:rFonts w:hint="cs"/>
          <w:color w:val="000000" w:themeColor="text1"/>
          <w:sz w:val="16"/>
          <w:szCs w:val="16"/>
          <w:rtl/>
        </w:rPr>
        <w:t>]</w:t>
      </w:r>
      <w:r w:rsidR="000550DD" w:rsidRPr="000550DD">
        <w:rPr>
          <w:rFonts w:hint="cs"/>
          <w:color w:val="E36C0A" w:themeColor="accent6" w:themeShade="BF"/>
          <w:rtl/>
        </w:rPr>
        <w:t>)</w:t>
      </w:r>
    </w:p>
    <w:p w14:paraId="6456AEF2" w14:textId="1D3D9094" w:rsidR="009A759C" w:rsidRPr="002A006D" w:rsidRDefault="009A759C" w:rsidP="00434A6A">
      <w:pPr>
        <w:pStyle w:val="aa"/>
        <w:numPr>
          <w:ilvl w:val="0"/>
          <w:numId w:val="9"/>
        </w:numPr>
      </w:pPr>
      <w:r>
        <w:rPr>
          <w:rFonts w:cs="Arial" w:hint="cs"/>
          <w:rtl/>
        </w:rPr>
        <w:t xml:space="preserve">מרדכי </w:t>
      </w:r>
      <w:r>
        <w:rPr>
          <w:rFonts w:cs="Arial" w:hint="cs"/>
          <w:sz w:val="16"/>
          <w:szCs w:val="16"/>
          <w:rtl/>
        </w:rPr>
        <w:t>(סי' תטז)</w:t>
      </w:r>
      <w:r>
        <w:rPr>
          <w:rFonts w:cs="Arial" w:hint="cs"/>
          <w:rtl/>
        </w:rPr>
        <w:t>-</w:t>
      </w:r>
      <w:r w:rsidRPr="009A759C">
        <w:rPr>
          <w:rFonts w:cs="Arial"/>
          <w:rtl/>
        </w:rPr>
        <w:t xml:space="preserve"> ואותם אבנים שטומנין בהם אומר ה"ר יום טוב שמותר לטלטלן ביום טוב שחל להיות בע"ש בלא שום תיקון</w:t>
      </w:r>
      <w:r w:rsidR="00CC32BB">
        <w:rPr>
          <w:rFonts w:cs="Arial" w:hint="cs"/>
          <w:rtl/>
        </w:rPr>
        <w:t>,</w:t>
      </w:r>
      <w:r w:rsidRPr="009A759C">
        <w:rPr>
          <w:rFonts w:cs="Arial"/>
          <w:rtl/>
        </w:rPr>
        <w:t xml:space="preserve"> דלא שייך בהו תיקון להטמין בהם</w:t>
      </w:r>
      <w:r w:rsidR="00CC32BB">
        <w:rPr>
          <w:rFonts w:cs="Arial" w:hint="cs"/>
          <w:rtl/>
        </w:rPr>
        <w:t>,</w:t>
      </w:r>
      <w:r w:rsidRPr="009A759C">
        <w:rPr>
          <w:rFonts w:cs="Arial"/>
          <w:rtl/>
        </w:rPr>
        <w:t xml:space="preserve"> והוי כקופה עפר דשרי כיון דלאו בר מיעבד מעשה הוא ה"נ לא שנא</w:t>
      </w:r>
      <w:r w:rsidR="00CC32BB">
        <w:rPr>
          <w:rFonts w:cs="Arial" w:hint="cs"/>
          <w:rtl/>
        </w:rPr>
        <w:t>.</w:t>
      </w:r>
      <w:r w:rsidRPr="009A759C">
        <w:rPr>
          <w:rFonts w:cs="Arial"/>
          <w:rtl/>
        </w:rPr>
        <w:t xml:space="preserve"> ומיהו בשבת כשמסירין החמין אין לטלטלן</w:t>
      </w:r>
      <w:r w:rsidR="00CC32BB">
        <w:rPr>
          <w:rFonts w:cs="Arial" w:hint="cs"/>
          <w:rtl/>
        </w:rPr>
        <w:t>,</w:t>
      </w:r>
      <w:r w:rsidRPr="009A759C">
        <w:rPr>
          <w:rFonts w:cs="Arial"/>
          <w:rtl/>
        </w:rPr>
        <w:t xml:space="preserve"> כיון שבלא טלטולם סגי ליה</w:t>
      </w:r>
      <w:r w:rsidR="00CC32BB">
        <w:rPr>
          <w:rFonts w:cs="Arial" w:hint="cs"/>
          <w:rtl/>
        </w:rPr>
        <w:t>.</w:t>
      </w:r>
      <w:r w:rsidRPr="009A759C">
        <w:rPr>
          <w:rFonts w:cs="Arial"/>
          <w:rtl/>
        </w:rPr>
        <w:t xml:space="preserve"> וכ"פ ר"י לעיל דפסק רבי יוחנן להלכה כרשב"ג דלא בעי קישור כגון שעשה מעשה ושיפהו</w:t>
      </w:r>
      <w:r w:rsidR="004D368A">
        <w:rPr>
          <w:rFonts w:cs="Arial" w:hint="cs"/>
          <w:rtl/>
        </w:rPr>
        <w:t>,</w:t>
      </w:r>
      <w:r w:rsidRPr="009A759C">
        <w:rPr>
          <w:rFonts w:cs="Arial"/>
          <w:rtl/>
        </w:rPr>
        <w:t xml:space="preserve"> ואם לא שיפהו בעי קישור</w:t>
      </w:r>
      <w:r w:rsidR="00CC32BB">
        <w:rPr>
          <w:rFonts w:cs="Arial" w:hint="cs"/>
          <w:rtl/>
        </w:rPr>
        <w:t>.</w:t>
      </w:r>
      <w:r w:rsidRPr="009A759C">
        <w:rPr>
          <w:rFonts w:cs="Arial"/>
          <w:rtl/>
        </w:rPr>
        <w:t xml:space="preserve"> וכן מצאתי בשם רבינו ברוך הרוצה להשתמש באבן או בבקעת בשבת לסגור בהם הדלת או להכות בהם הברזא צריך שיעשה שום מעשה של תיקון מבעוד יום ואם לאו אסור</w:t>
      </w:r>
      <w:r w:rsidR="00CC32BB">
        <w:rPr>
          <w:rFonts w:hint="cs"/>
          <w:rtl/>
        </w:rPr>
        <w:t>.</w:t>
      </w:r>
    </w:p>
    <w:p w14:paraId="1155402C"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0E8B96DA" w14:textId="53B5E4AE" w:rsidR="000C6229" w:rsidRPr="005275DF" w:rsidRDefault="000C6229" w:rsidP="00434A6A">
      <w:pPr>
        <w:rPr>
          <w:rFonts w:asciiTheme="minorBidi" w:hAnsiTheme="minorBidi"/>
          <w:rtl/>
        </w:rPr>
      </w:pPr>
      <w:r w:rsidRPr="005275DF">
        <w:rPr>
          <w:rFonts w:asciiTheme="minorBidi" w:hAnsiTheme="minorBidi"/>
          <w:rtl/>
        </w:rPr>
        <w:t xml:space="preserve">אסור לכסות פי חבית באבן או בבקעת, או לסגור בהן את הדלת, או להכות בהן בברזא אף על פי שחשב עליה </w:t>
      </w:r>
      <w:r w:rsidR="00357CCA">
        <w:rPr>
          <w:rFonts w:asciiTheme="minorBidi" w:hAnsiTheme="minorBidi"/>
          <w:rtl/>
        </w:rPr>
        <w:t>מבעוד יום</w:t>
      </w:r>
      <w:r w:rsidR="0006778D">
        <w:rPr>
          <w:rStyle w:val="a9"/>
          <w:rFonts w:asciiTheme="minorBidi" w:hAnsiTheme="minorBidi"/>
          <w:rtl/>
        </w:rPr>
        <w:footnoteReference w:id="1566"/>
      </w:r>
      <w:r w:rsidRPr="005275DF">
        <w:rPr>
          <w:rFonts w:asciiTheme="minorBidi" w:hAnsiTheme="minorBidi"/>
          <w:rtl/>
        </w:rPr>
        <w:t>, אסור, אלא אם כן יחדה לכך לעולם</w:t>
      </w:r>
      <w:r w:rsidR="0006778D">
        <w:rPr>
          <w:rStyle w:val="a9"/>
          <w:rFonts w:asciiTheme="minorBidi" w:hAnsiTheme="minorBidi"/>
          <w:rtl/>
        </w:rPr>
        <w:footnoteReference w:id="1567"/>
      </w:r>
      <w:r w:rsidR="003113A6">
        <w:rPr>
          <w:rFonts w:asciiTheme="minorBidi" w:hAnsiTheme="minorBidi" w:hint="cs"/>
          <w:rtl/>
        </w:rPr>
        <w:t>.</w:t>
      </w:r>
      <w:r w:rsidRPr="005275DF">
        <w:rPr>
          <w:rFonts w:asciiTheme="minorBidi" w:hAnsiTheme="minorBidi"/>
          <w:rtl/>
        </w:rPr>
        <w:t xml:space="preserve"> אבל יחדה לשבת זה בלבד, לא</w:t>
      </w:r>
      <w:r w:rsidR="0006778D">
        <w:rPr>
          <w:rStyle w:val="a9"/>
          <w:rFonts w:asciiTheme="minorBidi" w:hAnsiTheme="minorBidi"/>
          <w:rtl/>
        </w:rPr>
        <w:footnoteReference w:id="1568"/>
      </w:r>
      <w:r w:rsidRPr="005275DF">
        <w:rPr>
          <w:rFonts w:asciiTheme="minorBidi" w:hAnsiTheme="minorBidi"/>
          <w:rtl/>
        </w:rPr>
        <w:t>. וה</w:t>
      </w:r>
      <w:r w:rsidR="003113A6">
        <w:rPr>
          <w:rFonts w:asciiTheme="minorBidi" w:hAnsiTheme="minorBidi" w:hint="cs"/>
          <w:rtl/>
        </w:rPr>
        <w:t>ני מילי</w:t>
      </w:r>
      <w:r w:rsidRPr="005275DF">
        <w:rPr>
          <w:rFonts w:asciiTheme="minorBidi" w:hAnsiTheme="minorBidi"/>
          <w:rtl/>
        </w:rPr>
        <w:t>, בדבר שאין דרכה לייחדה לכך, כגון: הני דאמרן</w:t>
      </w:r>
      <w:r w:rsidR="003113A6">
        <w:rPr>
          <w:rFonts w:asciiTheme="minorBidi" w:hAnsiTheme="minorBidi" w:hint="cs"/>
          <w:rtl/>
        </w:rPr>
        <w:t>.</w:t>
      </w:r>
      <w:r w:rsidRPr="005275DF">
        <w:rPr>
          <w:rFonts w:asciiTheme="minorBidi" w:hAnsiTheme="minorBidi"/>
          <w:rtl/>
        </w:rPr>
        <w:t xml:space="preserve"> אבל בכל מידי דאורחיה בהכי, כגון: לפצוע בה אגוזים, ביחוד לשבת אחת סגי</w:t>
      </w:r>
      <w:r w:rsidR="0006778D">
        <w:rPr>
          <w:rStyle w:val="a9"/>
          <w:rFonts w:asciiTheme="minorBidi" w:hAnsiTheme="minorBidi"/>
          <w:rtl/>
        </w:rPr>
        <w:footnoteReference w:id="1569"/>
      </w:r>
      <w:r w:rsidRPr="005275DF">
        <w:rPr>
          <w:rFonts w:asciiTheme="minorBidi" w:hAnsiTheme="minorBidi"/>
          <w:rtl/>
        </w:rPr>
        <w:t>. ויש מי שאומר דלא שנא</w:t>
      </w:r>
      <w:r w:rsidR="0006778D">
        <w:rPr>
          <w:rStyle w:val="a9"/>
          <w:rFonts w:asciiTheme="minorBidi" w:hAnsiTheme="minorBidi"/>
          <w:rtl/>
        </w:rPr>
        <w:footnoteReference w:id="1570"/>
      </w:r>
      <w:r w:rsidRPr="005275DF">
        <w:rPr>
          <w:rFonts w:asciiTheme="minorBidi" w:hAnsiTheme="minorBidi"/>
          <w:rtl/>
        </w:rPr>
        <w:t>. וי</w:t>
      </w:r>
      <w:r w:rsidR="003113A6">
        <w:rPr>
          <w:rFonts w:asciiTheme="minorBidi" w:hAnsiTheme="minorBidi" w:hint="cs"/>
          <w:rtl/>
        </w:rPr>
        <w:t xml:space="preserve">ש </w:t>
      </w:r>
      <w:r w:rsidRPr="005275DF">
        <w:rPr>
          <w:rFonts w:asciiTheme="minorBidi" w:hAnsiTheme="minorBidi"/>
          <w:rtl/>
        </w:rPr>
        <w:t>א</w:t>
      </w:r>
      <w:r w:rsidR="003113A6">
        <w:rPr>
          <w:rFonts w:asciiTheme="minorBidi" w:hAnsiTheme="minorBidi" w:hint="cs"/>
          <w:rtl/>
        </w:rPr>
        <w:t>ומרים</w:t>
      </w:r>
      <w:r w:rsidRPr="005275DF">
        <w:rPr>
          <w:rFonts w:asciiTheme="minorBidi" w:hAnsiTheme="minorBidi"/>
          <w:rtl/>
        </w:rPr>
        <w:t xml:space="preserve"> שצריך שיעשה בה שום מעשה של תיקון </w:t>
      </w:r>
      <w:r w:rsidR="00357CCA">
        <w:rPr>
          <w:rFonts w:asciiTheme="minorBidi" w:hAnsiTheme="minorBidi"/>
          <w:rtl/>
        </w:rPr>
        <w:t>מבעוד יום</w:t>
      </w:r>
      <w:r w:rsidR="0006778D">
        <w:rPr>
          <w:rFonts w:asciiTheme="minorBidi" w:hAnsiTheme="minorBidi" w:hint="cs"/>
          <w:rtl/>
        </w:rPr>
        <w:t>.</w:t>
      </w:r>
      <w:r w:rsidRPr="005275DF">
        <w:rPr>
          <w:rFonts w:asciiTheme="minorBidi" w:hAnsiTheme="minorBidi"/>
          <w:rtl/>
        </w:rPr>
        <w:t xml:space="preserve"> </w:t>
      </w:r>
      <w:r w:rsidR="0006778D">
        <w:rPr>
          <w:rFonts w:asciiTheme="minorBidi" w:hAnsiTheme="minorBidi" w:hint="cs"/>
          <w:sz w:val="18"/>
          <w:szCs w:val="18"/>
          <w:rtl/>
        </w:rPr>
        <w:t xml:space="preserve">[הגה] </w:t>
      </w:r>
      <w:r w:rsidRPr="003113A6">
        <w:rPr>
          <w:rFonts w:asciiTheme="minorBidi" w:hAnsiTheme="minorBidi"/>
          <w:sz w:val="18"/>
          <w:szCs w:val="18"/>
          <w:rtl/>
        </w:rPr>
        <w:t>וע"ל סימן רנ"ט דביחוד סגי</w:t>
      </w:r>
      <w:r w:rsidR="00EE0F7D">
        <w:rPr>
          <w:rStyle w:val="a9"/>
          <w:rFonts w:asciiTheme="minorBidi" w:hAnsiTheme="minorBidi"/>
          <w:sz w:val="18"/>
          <w:szCs w:val="18"/>
          <w:rtl/>
        </w:rPr>
        <w:footnoteReference w:id="1571"/>
      </w:r>
      <w:r w:rsidRPr="005275DF">
        <w:rPr>
          <w:rFonts w:asciiTheme="minorBidi" w:hAnsiTheme="minorBidi"/>
          <w:rtl/>
        </w:rPr>
        <w:t xml:space="preserve">. </w:t>
      </w:r>
    </w:p>
    <w:p w14:paraId="1C26EBE2" w14:textId="6A7B1CBE" w:rsidR="000C6229" w:rsidRPr="005275DF" w:rsidRDefault="000C6229" w:rsidP="00434A6A">
      <w:pPr>
        <w:rPr>
          <w:rFonts w:asciiTheme="minorBidi" w:hAnsiTheme="minorBidi"/>
          <w:rtl/>
        </w:rPr>
      </w:pPr>
    </w:p>
    <w:p w14:paraId="1C3409E8" w14:textId="1D5D593C" w:rsidR="000C6229" w:rsidRDefault="000C6229" w:rsidP="00434A6A">
      <w:pPr>
        <w:pStyle w:val="2"/>
        <w:rPr>
          <w:rtl/>
        </w:rPr>
      </w:pPr>
      <w:r w:rsidRPr="005275DF">
        <w:rPr>
          <w:rtl/>
        </w:rPr>
        <w:t>סעיף כג</w:t>
      </w:r>
      <w:r w:rsidR="00F63421">
        <w:rPr>
          <w:rFonts w:hint="cs"/>
          <w:rtl/>
        </w:rPr>
        <w:t>:</w:t>
      </w:r>
      <w:r w:rsidR="004C2C90">
        <w:rPr>
          <w:rFonts w:hint="cs"/>
          <w:rtl/>
        </w:rPr>
        <w:t xml:space="preserve"> חתיכת ענף מער"ש כדי להשתמש בו בשבת.</w:t>
      </w:r>
    </w:p>
    <w:p w14:paraId="1932345B" w14:textId="521C8D10" w:rsidR="004C2C90" w:rsidRPr="004C2C90" w:rsidRDefault="004C2C90" w:rsidP="00434A6A">
      <w:pPr>
        <w:rPr>
          <w:rFonts w:cs="Arial"/>
          <w:u w:val="single"/>
          <w:rtl/>
        </w:rPr>
      </w:pPr>
      <w:r w:rsidRPr="004C2C90">
        <w:rPr>
          <w:rFonts w:hint="cs"/>
          <w:u w:val="single"/>
          <w:rtl/>
        </w:rPr>
        <w:t>חתיכת ענף מער"ש כדי להשתמש בו בשבת</w:t>
      </w:r>
      <w:r w:rsidRPr="004C2C90">
        <w:rPr>
          <w:rFonts w:cs="Arial" w:hint="cs"/>
          <w:u w:val="single"/>
          <w:rtl/>
        </w:rPr>
        <w:t xml:space="preserve"> להבריח זבובים וכדו':</w:t>
      </w:r>
    </w:p>
    <w:p w14:paraId="0816884E" w14:textId="3F0F7958" w:rsidR="008868B6" w:rsidRPr="004C2C90" w:rsidRDefault="004C2C90" w:rsidP="00434A6A">
      <w:pPr>
        <w:pStyle w:val="aa"/>
        <w:numPr>
          <w:ilvl w:val="0"/>
          <w:numId w:val="10"/>
        </w:numPr>
        <w:rPr>
          <w:rFonts w:cs="Arial"/>
          <w:rtl/>
        </w:rPr>
      </w:pPr>
      <w:r w:rsidRPr="004C2C90">
        <w:rPr>
          <w:rFonts w:cs="Arial" w:hint="cs"/>
          <w:rtl/>
        </w:rPr>
        <w:t xml:space="preserve">שבה"ל </w:t>
      </w:r>
      <w:r w:rsidR="00F63421" w:rsidRPr="004C2C90">
        <w:rPr>
          <w:rFonts w:cs="Arial"/>
          <w:sz w:val="16"/>
          <w:szCs w:val="16"/>
          <w:rtl/>
        </w:rPr>
        <w:t>(סי' קכ)</w:t>
      </w:r>
      <w:r w:rsidRPr="004C2C90">
        <w:rPr>
          <w:rFonts w:cs="Arial" w:hint="cs"/>
          <w:rtl/>
        </w:rPr>
        <w:t>-</w:t>
      </w:r>
      <w:r w:rsidR="00F63421" w:rsidRPr="004C2C90">
        <w:rPr>
          <w:rFonts w:cs="Arial"/>
          <w:rtl/>
        </w:rPr>
        <w:t xml:space="preserve"> </w:t>
      </w:r>
      <w:r w:rsidRPr="004C2C90">
        <w:rPr>
          <w:rFonts w:cs="Arial"/>
          <w:rtl/>
        </w:rPr>
        <w:t>ובשם רבינו יצחק ב"ר יהודה זצ"ל מצאתי מותר לחתוך ענף מן הדקל מבעוד יום ומותר להניף בו על השלחן בשבת להבריח הזבובים מעליו דכיון דלצורך כך חתכו עשאו כלי גמור ואין בו איסור טלטול וכן התיר ר</w:t>
      </w:r>
      <w:r w:rsidRPr="004C2C90">
        <w:rPr>
          <w:rFonts w:cs="Arial" w:hint="cs"/>
          <w:rtl/>
        </w:rPr>
        <w:t>בי</w:t>
      </w:r>
      <w:r w:rsidR="00F63421">
        <w:rPr>
          <w:rStyle w:val="a9"/>
          <w:rFonts w:cs="Arial"/>
          <w:rtl/>
        </w:rPr>
        <w:footnoteReference w:id="1572"/>
      </w:r>
      <w:r w:rsidRPr="004C2C90">
        <w:rPr>
          <w:rFonts w:cs="Arial" w:hint="cs"/>
          <w:rtl/>
        </w:rPr>
        <w:t>.</w:t>
      </w:r>
      <w:r w:rsidR="00F63421" w:rsidRPr="004C2C90">
        <w:rPr>
          <w:rFonts w:cs="Arial"/>
          <w:rtl/>
        </w:rPr>
        <w:t xml:space="preserve"> </w:t>
      </w:r>
      <w:r w:rsidR="002013E0" w:rsidRPr="000550DD">
        <w:rPr>
          <w:rFonts w:hint="cs"/>
          <w:color w:val="E36C0A" w:themeColor="accent6" w:themeShade="BF"/>
          <w:rtl/>
        </w:rPr>
        <w:t>(וכ"פ בשו"ע</w:t>
      </w:r>
      <w:r w:rsidR="002013E0">
        <w:rPr>
          <w:rFonts w:hint="cs"/>
          <w:color w:val="E36C0A" w:themeColor="accent6" w:themeShade="BF"/>
          <w:rtl/>
        </w:rPr>
        <w:t>)</w:t>
      </w:r>
    </w:p>
    <w:p w14:paraId="0D35DCC5" w14:textId="4845B3B5" w:rsidR="00517777" w:rsidRPr="003A7CF0" w:rsidRDefault="00DB5155" w:rsidP="00434A6A">
      <w:pPr>
        <w:rPr>
          <w:rFonts w:cs="Arial"/>
        </w:rPr>
      </w:pPr>
      <w:r w:rsidRPr="00517777">
        <w:rPr>
          <w:rFonts w:cs="Arial" w:hint="cs"/>
          <w:u w:val="single"/>
          <w:rtl/>
        </w:rPr>
        <w:t>ייחוד כלי שמלאכתו לאיסור</w:t>
      </w:r>
      <w:r w:rsidR="00517777" w:rsidRPr="00517777">
        <w:rPr>
          <w:rFonts w:cs="Arial" w:hint="cs"/>
          <w:u w:val="single"/>
          <w:rtl/>
        </w:rPr>
        <w:t xml:space="preserve"> </w:t>
      </w:r>
      <w:r w:rsidR="00517777">
        <w:rPr>
          <w:rFonts w:cs="Arial" w:hint="cs"/>
          <w:u w:val="single"/>
          <w:rtl/>
        </w:rPr>
        <w:t xml:space="preserve">לשימוש </w:t>
      </w:r>
      <w:r w:rsidR="00517777" w:rsidRPr="00517777">
        <w:rPr>
          <w:rFonts w:cs="Arial" w:hint="cs"/>
          <w:u w:val="single"/>
          <w:rtl/>
        </w:rPr>
        <w:t>בשבת</w:t>
      </w:r>
      <w:r w:rsidR="00517777">
        <w:rPr>
          <w:rFonts w:cs="Arial" w:hint="cs"/>
          <w:u w:val="single"/>
          <w:rtl/>
        </w:rPr>
        <w:t xml:space="preserve"> אע"ג שאין ראוי להשתמש בו בשבת</w:t>
      </w:r>
      <w:r w:rsidR="00517777">
        <w:rPr>
          <w:rFonts w:cs="Arial" w:hint="cs"/>
          <w:sz w:val="16"/>
          <w:szCs w:val="16"/>
          <w:u w:val="single"/>
          <w:rtl/>
        </w:rPr>
        <w:t xml:space="preserve"> (כגון להחזיק נר שעוה אע"ג שאסור להדליקו)</w:t>
      </w:r>
      <w:r w:rsidR="00517777" w:rsidRPr="00517777">
        <w:rPr>
          <w:rFonts w:cs="Arial" w:hint="cs"/>
          <w:u w:val="single"/>
          <w:rtl/>
        </w:rPr>
        <w:t>:</w:t>
      </w:r>
      <w:r w:rsidR="00517777">
        <w:rPr>
          <w:rFonts w:cs="Arial" w:hint="cs"/>
          <w:rtl/>
        </w:rPr>
        <w:t xml:space="preserve"> </w:t>
      </w:r>
    </w:p>
    <w:p w14:paraId="136CC3BA" w14:textId="484A808C" w:rsidR="00F63421" w:rsidRPr="003A7CF0" w:rsidRDefault="003A7CF0" w:rsidP="00434A6A">
      <w:pPr>
        <w:pStyle w:val="aa"/>
        <w:numPr>
          <w:ilvl w:val="0"/>
          <w:numId w:val="10"/>
        </w:numPr>
        <w:rPr>
          <w:rFonts w:cs="Arial"/>
          <w:rtl/>
        </w:rPr>
      </w:pPr>
      <w:r>
        <w:rPr>
          <w:rFonts w:cs="Arial" w:hint="cs"/>
          <w:rtl/>
        </w:rPr>
        <w:t>שו"ת יכין ובועז</w:t>
      </w:r>
      <w:r>
        <w:rPr>
          <w:rStyle w:val="a9"/>
          <w:rFonts w:cs="Arial"/>
          <w:rtl/>
        </w:rPr>
        <w:footnoteReference w:id="1573"/>
      </w:r>
      <w:r>
        <w:rPr>
          <w:rFonts w:cs="Arial" w:hint="cs"/>
          <w:sz w:val="16"/>
          <w:szCs w:val="16"/>
          <w:rtl/>
        </w:rPr>
        <w:t>(ח"ב סי' ו)</w:t>
      </w:r>
      <w:r>
        <w:rPr>
          <w:rStyle w:val="a9"/>
          <w:rFonts w:cs="Arial"/>
          <w:rtl/>
        </w:rPr>
        <w:footnoteReference w:id="1574"/>
      </w:r>
      <w:r>
        <w:rPr>
          <w:rFonts w:cs="Arial" w:hint="cs"/>
          <w:rtl/>
        </w:rPr>
        <w:t xml:space="preserve">- </w:t>
      </w:r>
      <w:r w:rsidR="00F63421" w:rsidRPr="00517777">
        <w:rPr>
          <w:rFonts w:cs="Arial"/>
          <w:rtl/>
        </w:rPr>
        <w:t>מקום שנוהגים שפעם ראשונה שמכניס אדם בנו לבית הכנסת מביא נר שעוה בידו אחד שבת ואחד יום טוב שאין בו איסור טלטול כיון שמערב שבת חשבו להביא השעוה ההיא ומחשבה מתרת לטלטל דבר המוקצה מההיא דחריות של דקל שגדרן לעצים ונמלך עליהם לישיבה</w:t>
      </w:r>
      <w:r>
        <w:rPr>
          <w:rStyle w:val="a9"/>
          <w:rFonts w:cs="Arial"/>
          <w:rtl/>
        </w:rPr>
        <w:footnoteReference w:id="1575"/>
      </w:r>
      <w:r w:rsidR="004C2C90" w:rsidRPr="003A7CF0">
        <w:rPr>
          <w:rFonts w:cs="Arial" w:hint="cs"/>
          <w:rtl/>
        </w:rPr>
        <w:t>.</w:t>
      </w:r>
    </w:p>
    <w:p w14:paraId="4E9D841F"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0BE27308" w14:textId="5F2D6C82" w:rsidR="000C6229" w:rsidRPr="005275DF" w:rsidRDefault="000C6229" w:rsidP="00434A6A">
      <w:pPr>
        <w:rPr>
          <w:rFonts w:asciiTheme="minorBidi" w:hAnsiTheme="minorBidi"/>
          <w:rtl/>
        </w:rPr>
      </w:pPr>
      <w:r w:rsidRPr="005275DF">
        <w:rPr>
          <w:rFonts w:asciiTheme="minorBidi" w:hAnsiTheme="minorBidi"/>
          <w:rtl/>
        </w:rPr>
        <w:t xml:space="preserve">מותר לחתוך ענף מן הדקל </w:t>
      </w:r>
      <w:r w:rsidR="00357CCA">
        <w:rPr>
          <w:rFonts w:asciiTheme="minorBidi" w:hAnsiTheme="minorBidi"/>
          <w:rtl/>
        </w:rPr>
        <w:t>מבעוד יום</w:t>
      </w:r>
      <w:r w:rsidRPr="005275DF">
        <w:rPr>
          <w:rFonts w:asciiTheme="minorBidi" w:hAnsiTheme="minorBidi"/>
          <w:rtl/>
        </w:rPr>
        <w:t xml:space="preserve"> ומותר להניף בו על השלחן בשבת להבריח הזבובים</w:t>
      </w:r>
      <w:r w:rsidR="002013E0">
        <w:rPr>
          <w:rStyle w:val="a9"/>
          <w:rFonts w:asciiTheme="minorBidi" w:hAnsiTheme="minorBidi"/>
          <w:rtl/>
        </w:rPr>
        <w:footnoteReference w:id="1576"/>
      </w:r>
      <w:r w:rsidR="00D717EF">
        <w:rPr>
          <w:rFonts w:asciiTheme="minorBidi" w:hAnsiTheme="minorBidi" w:hint="cs"/>
          <w:rtl/>
        </w:rPr>
        <w:t>,</w:t>
      </w:r>
      <w:r w:rsidRPr="005275DF">
        <w:rPr>
          <w:rFonts w:asciiTheme="minorBidi" w:hAnsiTheme="minorBidi"/>
          <w:rtl/>
        </w:rPr>
        <w:t xml:space="preserve"> כיון דלצורך חתכו</w:t>
      </w:r>
      <w:r w:rsidR="002013E0">
        <w:rPr>
          <w:rStyle w:val="a9"/>
          <w:rFonts w:asciiTheme="minorBidi" w:hAnsiTheme="minorBidi"/>
          <w:rtl/>
        </w:rPr>
        <w:footnoteReference w:id="1577"/>
      </w:r>
      <w:r w:rsidRPr="005275DF">
        <w:rPr>
          <w:rFonts w:asciiTheme="minorBidi" w:hAnsiTheme="minorBidi"/>
          <w:rtl/>
        </w:rPr>
        <w:t xml:space="preserve">, עשאו כלי גמור. </w:t>
      </w:r>
    </w:p>
    <w:p w14:paraId="09639E40" w14:textId="77777777" w:rsidR="000C6229" w:rsidRPr="005275DF" w:rsidRDefault="000C6229" w:rsidP="00434A6A">
      <w:pPr>
        <w:rPr>
          <w:rFonts w:asciiTheme="minorBidi" w:hAnsiTheme="minorBidi"/>
          <w:rtl/>
        </w:rPr>
      </w:pPr>
    </w:p>
    <w:p w14:paraId="4DBAB466" w14:textId="70BD9930" w:rsidR="000C6229" w:rsidRDefault="000C6229" w:rsidP="00434A6A">
      <w:pPr>
        <w:pStyle w:val="2"/>
        <w:rPr>
          <w:rtl/>
        </w:rPr>
      </w:pPr>
      <w:r w:rsidRPr="005275DF">
        <w:rPr>
          <w:rtl/>
        </w:rPr>
        <w:t>סעיף כד</w:t>
      </w:r>
      <w:r w:rsidR="00F63421">
        <w:rPr>
          <w:rFonts w:hint="cs"/>
          <w:rtl/>
        </w:rPr>
        <w:t>:</w:t>
      </w:r>
      <w:r w:rsidR="00EA71EE" w:rsidRPr="00EA71EE">
        <w:rPr>
          <w:rtl/>
        </w:rPr>
        <w:t xml:space="preserve"> </w:t>
      </w:r>
      <w:r w:rsidR="00EA71EE">
        <w:rPr>
          <w:rFonts w:hint="cs"/>
          <w:rtl/>
        </w:rPr>
        <w:t>שימוש ב</w:t>
      </w:r>
      <w:r w:rsidR="00EA71EE" w:rsidRPr="00BE6400">
        <w:rPr>
          <w:rtl/>
        </w:rPr>
        <w:t>פשתן סרוק וצמר מנופץ</w:t>
      </w:r>
      <w:r w:rsidR="00EA71EE">
        <w:rPr>
          <w:rFonts w:hint="cs"/>
          <w:rtl/>
        </w:rPr>
        <w:t>.</w:t>
      </w:r>
    </w:p>
    <w:p w14:paraId="68048E5A" w14:textId="44A89428" w:rsidR="00EA71EE" w:rsidRDefault="00EA71EE" w:rsidP="00434A6A">
      <w:pPr>
        <w:rPr>
          <w:rtl/>
        </w:rPr>
      </w:pPr>
      <w:r w:rsidRPr="002A45F7">
        <w:rPr>
          <w:rFonts w:hint="cs"/>
          <w:b/>
          <w:bCs/>
          <w:rtl/>
        </w:rPr>
        <w:t xml:space="preserve">שבת </w:t>
      </w:r>
      <w:r>
        <w:rPr>
          <w:rFonts w:hint="cs"/>
          <w:b/>
          <w:bCs/>
          <w:sz w:val="16"/>
          <w:szCs w:val="16"/>
          <w:rtl/>
        </w:rPr>
        <w:t>(פ' במה טומנין)</w:t>
      </w:r>
      <w:r>
        <w:rPr>
          <w:rFonts w:hint="cs"/>
          <w:b/>
          <w:bCs/>
          <w:rtl/>
        </w:rPr>
        <w:t xml:space="preserve"> נ</w:t>
      </w:r>
      <w:r w:rsidRPr="002A45F7">
        <w:rPr>
          <w:rFonts w:hint="cs"/>
          <w:b/>
          <w:bCs/>
          <w:rtl/>
        </w:rPr>
        <w:t xml:space="preserve"> ע"</w:t>
      </w:r>
      <w:r>
        <w:rPr>
          <w:rFonts w:hint="cs"/>
          <w:b/>
          <w:bCs/>
          <w:rtl/>
        </w:rPr>
        <w:t>א</w:t>
      </w:r>
      <w:r w:rsidRPr="002A45F7">
        <w:rPr>
          <w:rFonts w:hint="cs"/>
          <w:b/>
          <w:bCs/>
          <w:rtl/>
        </w:rPr>
        <w:t>:</w:t>
      </w:r>
      <w:r>
        <w:rPr>
          <w:rFonts w:cs="Arial" w:hint="cs"/>
          <w:rtl/>
        </w:rPr>
        <w:t xml:space="preserve"> </w:t>
      </w:r>
      <w:r w:rsidRPr="009E75FC">
        <w:rPr>
          <w:rFonts w:cs="Arial"/>
          <w:u w:val="single"/>
          <w:rtl/>
        </w:rPr>
        <w:t>תנא רבה בר בר חנה קמיה דרב</w:t>
      </w:r>
      <w:r w:rsidRPr="009E75FC">
        <w:rPr>
          <w:rFonts w:cs="Arial"/>
          <w:rtl/>
        </w:rPr>
        <w:t>: חריות של דקל שגדרן לעצים ונמלך עליהן לישיבה - צריך לקשר</w:t>
      </w:r>
      <w:r>
        <w:rPr>
          <w:rStyle w:val="a9"/>
          <w:rFonts w:cs="Arial"/>
          <w:rtl/>
        </w:rPr>
        <w:footnoteReference w:id="1578"/>
      </w:r>
      <w:r>
        <w:rPr>
          <w:rFonts w:cs="Arial" w:hint="cs"/>
          <w:rtl/>
        </w:rPr>
        <w:t>.</w:t>
      </w:r>
      <w:r w:rsidRPr="009E75FC">
        <w:rPr>
          <w:rFonts w:cs="Arial"/>
          <w:rtl/>
        </w:rPr>
        <w:t xml:space="preserve"> </w:t>
      </w:r>
      <w:r w:rsidRPr="009E75FC">
        <w:rPr>
          <w:rFonts w:cs="Arial"/>
          <w:u w:val="single"/>
          <w:rtl/>
        </w:rPr>
        <w:t>רבן שמעון בן גמליאל אומר</w:t>
      </w:r>
      <w:r w:rsidRPr="009E75FC">
        <w:rPr>
          <w:rFonts w:cs="Arial"/>
          <w:rtl/>
        </w:rPr>
        <w:t xml:space="preserve">: אין צריך לקשר. </w:t>
      </w:r>
      <w:r w:rsidRPr="006574D9">
        <w:rPr>
          <w:rFonts w:cs="Arial"/>
          <w:u w:val="single"/>
          <w:rtl/>
        </w:rPr>
        <w:t>הוא תני לה והוא אמר לה</w:t>
      </w:r>
      <w:r w:rsidRPr="009E75FC">
        <w:rPr>
          <w:rFonts w:cs="Arial"/>
          <w:rtl/>
        </w:rPr>
        <w:t xml:space="preserve">: הלכה כרבן שמעון בן גמליאל. איתמר, </w:t>
      </w:r>
      <w:r w:rsidRPr="006574D9">
        <w:rPr>
          <w:rFonts w:cs="Arial"/>
          <w:u w:val="single"/>
          <w:rtl/>
        </w:rPr>
        <w:t>רב אמר</w:t>
      </w:r>
      <w:r w:rsidRPr="009E75FC">
        <w:rPr>
          <w:rFonts w:cs="Arial"/>
          <w:rtl/>
        </w:rPr>
        <w:t xml:space="preserve">: קושר, </w:t>
      </w:r>
      <w:r w:rsidRPr="006574D9">
        <w:rPr>
          <w:rFonts w:cs="Arial"/>
          <w:u w:val="single"/>
          <w:rtl/>
        </w:rPr>
        <w:t>ושמואל אמר</w:t>
      </w:r>
      <w:r w:rsidRPr="009E75FC">
        <w:rPr>
          <w:rFonts w:cs="Arial"/>
          <w:rtl/>
        </w:rPr>
        <w:t xml:space="preserve">: חושב, </w:t>
      </w:r>
      <w:r w:rsidRPr="006574D9">
        <w:rPr>
          <w:rFonts w:cs="Arial"/>
          <w:u w:val="single"/>
          <w:rtl/>
        </w:rPr>
        <w:t>ורב אסי אמר</w:t>
      </w:r>
      <w:r w:rsidRPr="009E75FC">
        <w:rPr>
          <w:rFonts w:cs="Arial"/>
          <w:rtl/>
        </w:rPr>
        <w:t>: יושב</w:t>
      </w:r>
      <w:r>
        <w:rPr>
          <w:rStyle w:val="a9"/>
          <w:rFonts w:cs="Arial"/>
          <w:rtl/>
        </w:rPr>
        <w:footnoteReference w:id="1579"/>
      </w:r>
      <w:r w:rsidRPr="009E75FC">
        <w:rPr>
          <w:rFonts w:cs="Arial"/>
          <w:rtl/>
        </w:rPr>
        <w:t>, אף על פי שלא קישר ואף על פי שלא חישב</w:t>
      </w:r>
      <w:r>
        <w:rPr>
          <w:rStyle w:val="a9"/>
          <w:rFonts w:cs="Arial"/>
          <w:rtl/>
        </w:rPr>
        <w:footnoteReference w:id="1580"/>
      </w:r>
      <w:r w:rsidRPr="009E75FC">
        <w:rPr>
          <w:rFonts w:cs="Arial"/>
          <w:rtl/>
        </w:rPr>
        <w:t>. בשלמא רב - הוא דאמר כתנא קמא ושמואל נמי - הוא דאמר כרבן שמעון בן גמליאל, אלא רב אסי - דאמר כמאן? הוא דאמר כי האי תנא, דתניא: יוצאין בפקורין</w:t>
      </w:r>
      <w:r>
        <w:rPr>
          <w:rStyle w:val="a9"/>
          <w:rFonts w:cs="Arial"/>
          <w:rtl/>
        </w:rPr>
        <w:footnoteReference w:id="1581"/>
      </w:r>
      <w:r w:rsidRPr="009E75FC">
        <w:rPr>
          <w:rFonts w:cs="Arial"/>
          <w:rtl/>
        </w:rPr>
        <w:t xml:space="preserve"> ובציפא</w:t>
      </w:r>
      <w:r>
        <w:rPr>
          <w:rStyle w:val="a9"/>
          <w:rFonts w:cs="Arial"/>
          <w:rtl/>
        </w:rPr>
        <w:footnoteReference w:id="1582"/>
      </w:r>
      <w:r w:rsidRPr="009E75FC">
        <w:rPr>
          <w:rFonts w:cs="Arial"/>
          <w:rtl/>
        </w:rPr>
        <w:t xml:space="preserve"> בזמן שצבען בשמן</w:t>
      </w:r>
      <w:r>
        <w:rPr>
          <w:rStyle w:val="a9"/>
          <w:rFonts w:cs="Arial"/>
          <w:rtl/>
        </w:rPr>
        <w:footnoteReference w:id="1583"/>
      </w:r>
      <w:r w:rsidRPr="009E75FC">
        <w:rPr>
          <w:rFonts w:cs="Arial"/>
          <w:rtl/>
        </w:rPr>
        <w:t xml:space="preserve"> וכרכן במשיחה, לא צבען בשמן ולא כרכן במשיחה - אין יוצאין בהם</w:t>
      </w:r>
      <w:r w:rsidR="002D0806">
        <w:rPr>
          <w:rStyle w:val="a9"/>
          <w:rFonts w:cs="Arial"/>
          <w:rtl/>
        </w:rPr>
        <w:footnoteReference w:id="1584"/>
      </w:r>
      <w:r w:rsidR="002D0806">
        <w:rPr>
          <w:rFonts w:cs="Arial" w:hint="cs"/>
          <w:rtl/>
        </w:rPr>
        <w:t>.</w:t>
      </w:r>
      <w:r w:rsidRPr="009E75FC">
        <w:rPr>
          <w:rFonts w:cs="Arial"/>
          <w:rtl/>
        </w:rPr>
        <w:t xml:space="preserve"> ואם יצא בהם שעה אחת מבעוד יום</w:t>
      </w:r>
      <w:r>
        <w:rPr>
          <w:rStyle w:val="a9"/>
          <w:rFonts w:cs="Arial"/>
          <w:rtl/>
        </w:rPr>
        <w:footnoteReference w:id="1585"/>
      </w:r>
      <w:r w:rsidRPr="009E75FC">
        <w:rPr>
          <w:rFonts w:cs="Arial"/>
          <w:rtl/>
        </w:rPr>
        <w:t>, אף על פי שלא צבע ולא כרכן במשיחה - מותר לצאת בהן.</w:t>
      </w:r>
    </w:p>
    <w:p w14:paraId="52E7C53F" w14:textId="3A182A22" w:rsidR="00CA2B84" w:rsidRPr="00CA2B84" w:rsidRDefault="00CA2B84" w:rsidP="00434A6A">
      <w:pPr>
        <w:rPr>
          <w:rFonts w:cs="Arial"/>
          <w:u w:val="single"/>
        </w:rPr>
      </w:pPr>
      <w:r w:rsidRPr="00CA2B84">
        <w:rPr>
          <w:rFonts w:cs="Arial" w:hint="cs"/>
          <w:u w:val="single"/>
          <w:rtl/>
        </w:rPr>
        <w:t xml:space="preserve">האם מועילה מחשבה </w:t>
      </w:r>
      <w:r w:rsidRPr="00EA71EE">
        <w:rPr>
          <w:rFonts w:hint="cs"/>
          <w:u w:val="single"/>
          <w:rtl/>
        </w:rPr>
        <w:t>ב</w:t>
      </w:r>
      <w:r w:rsidRPr="00EA71EE">
        <w:rPr>
          <w:rFonts w:cs="Arial"/>
          <w:u w:val="single"/>
          <w:rtl/>
        </w:rPr>
        <w:t>פשתן סרוק וצמר מנופץ</w:t>
      </w:r>
      <w:r>
        <w:rPr>
          <w:rFonts w:cs="Arial" w:hint="cs"/>
          <w:u w:val="single"/>
          <w:rtl/>
        </w:rPr>
        <w:t>:</w:t>
      </w:r>
    </w:p>
    <w:p w14:paraId="1A9AFDE5" w14:textId="00207670" w:rsidR="006B1C07" w:rsidRDefault="00F63421" w:rsidP="00434A6A">
      <w:pPr>
        <w:pStyle w:val="aa"/>
        <w:numPr>
          <w:ilvl w:val="0"/>
          <w:numId w:val="3"/>
        </w:numPr>
        <w:rPr>
          <w:rFonts w:cs="Arial"/>
        </w:rPr>
      </w:pPr>
      <w:r w:rsidRPr="00CA2B84">
        <w:rPr>
          <w:rFonts w:cs="Arial"/>
          <w:rtl/>
        </w:rPr>
        <w:t xml:space="preserve">ר"ן </w:t>
      </w:r>
      <w:r w:rsidRPr="006B1C07">
        <w:rPr>
          <w:rFonts w:cs="Arial"/>
          <w:sz w:val="16"/>
          <w:szCs w:val="16"/>
          <w:rtl/>
        </w:rPr>
        <w:t>(כג. דבור ראשון)</w:t>
      </w:r>
      <w:r w:rsidR="006B1C07">
        <w:rPr>
          <w:rFonts w:cs="Arial" w:hint="cs"/>
          <w:rtl/>
        </w:rPr>
        <w:t>- וקשה</w:t>
      </w:r>
      <w:r w:rsidRPr="00CA2B84">
        <w:rPr>
          <w:rFonts w:cs="Arial"/>
          <w:rtl/>
        </w:rPr>
        <w:t xml:space="preserve"> היכי אמרינן דבחריות מהני חשב</w:t>
      </w:r>
      <w:r w:rsidR="00CA2B84" w:rsidRPr="00CA2B84">
        <w:rPr>
          <w:rFonts w:cs="Arial" w:hint="cs"/>
          <w:rtl/>
        </w:rPr>
        <w:t>,</w:t>
      </w:r>
      <w:r w:rsidRPr="00CA2B84">
        <w:rPr>
          <w:rFonts w:cs="Arial"/>
          <w:rtl/>
        </w:rPr>
        <w:t xml:space="preserve"> הא תנן יוצאין בפקורין ובציפה בזמן שצבען בשמן וכרכן במשיחה ואילו מחשבה לא מהניא</w:t>
      </w:r>
      <w:r w:rsidR="002D0806" w:rsidRPr="00CA2B84">
        <w:rPr>
          <w:rFonts w:cs="Arial" w:hint="cs"/>
          <w:rtl/>
        </w:rPr>
        <w:t>.</w:t>
      </w:r>
      <w:r w:rsidRPr="00CA2B84">
        <w:rPr>
          <w:rFonts w:cs="Arial"/>
          <w:rtl/>
        </w:rPr>
        <w:t xml:space="preserve"> ותירץ ה"ר יונה דהתם משום דלא מוכחא מילתא דמייחדן למכתו ומיחזי כמוציא בשבת</w:t>
      </w:r>
      <w:r w:rsidR="002D0806" w:rsidRPr="00CA2B84">
        <w:rPr>
          <w:rFonts w:cs="Arial" w:hint="cs"/>
          <w:rtl/>
        </w:rPr>
        <w:t>,</w:t>
      </w:r>
      <w:r w:rsidRPr="00CA2B84">
        <w:rPr>
          <w:rFonts w:cs="Arial"/>
          <w:rtl/>
        </w:rPr>
        <w:t xml:space="preserve"> אבל יצא בהן מבעוד יום מוכחא מילתא</w:t>
      </w:r>
      <w:r w:rsidR="002D0806" w:rsidRPr="00CA2B84">
        <w:rPr>
          <w:rFonts w:cs="Arial" w:hint="cs"/>
          <w:rtl/>
        </w:rPr>
        <w:t>.</w:t>
      </w:r>
    </w:p>
    <w:p w14:paraId="4A22E58E" w14:textId="0E1E41A7" w:rsidR="00F63421" w:rsidRDefault="00CA2B84" w:rsidP="00434A6A">
      <w:pPr>
        <w:pStyle w:val="aa"/>
        <w:numPr>
          <w:ilvl w:val="0"/>
          <w:numId w:val="3"/>
        </w:numPr>
        <w:rPr>
          <w:rFonts w:cs="Arial"/>
        </w:rPr>
      </w:pPr>
      <w:r>
        <w:rPr>
          <w:rFonts w:cs="Arial" w:hint="cs"/>
          <w:rtl/>
        </w:rPr>
        <w:t xml:space="preserve">תוס' </w:t>
      </w:r>
      <w:r w:rsidRPr="00CA2B84">
        <w:rPr>
          <w:rFonts w:cs="Arial" w:hint="cs"/>
          <w:sz w:val="16"/>
          <w:szCs w:val="16"/>
          <w:rtl/>
        </w:rPr>
        <w:t xml:space="preserve">(נ. ד"ה </w:t>
      </w:r>
      <w:r w:rsidRPr="00CA2B84">
        <w:rPr>
          <w:rFonts w:cs="Arial"/>
          <w:sz w:val="16"/>
          <w:szCs w:val="16"/>
          <w:rtl/>
        </w:rPr>
        <w:t>ואם יצא בהן שעה אחת כו'</w:t>
      </w:r>
      <w:r w:rsidRPr="00CA2B84">
        <w:rPr>
          <w:rFonts w:cs="Arial" w:hint="cs"/>
          <w:sz w:val="16"/>
          <w:szCs w:val="16"/>
          <w:rtl/>
        </w:rPr>
        <w:t>)</w:t>
      </w:r>
      <w:r w:rsidRPr="00CA2B84">
        <w:rPr>
          <w:rFonts w:cs="Arial"/>
          <w:rtl/>
        </w:rPr>
        <w:t xml:space="preserve">- </w:t>
      </w:r>
      <w:r w:rsidR="002F12FF" w:rsidRPr="00CA2B84">
        <w:rPr>
          <w:rFonts w:cs="Arial"/>
          <w:rtl/>
        </w:rPr>
        <w:t>קשה לר"י רישא דקתני יוצאין בהן בזמן שצבען</w:t>
      </w:r>
      <w:r w:rsidR="002F12FF">
        <w:rPr>
          <w:rFonts w:cs="Arial" w:hint="cs"/>
          <w:rtl/>
        </w:rPr>
        <w:t>,</w:t>
      </w:r>
      <w:r w:rsidR="002F12FF" w:rsidRPr="00CA2B84">
        <w:rPr>
          <w:rFonts w:cs="Arial"/>
          <w:rtl/>
        </w:rPr>
        <w:t xml:space="preserve"> מאי אריא צבען אפילו חישב נמי</w:t>
      </w:r>
      <w:r w:rsidR="002F12FF">
        <w:rPr>
          <w:rFonts w:cs="Arial" w:hint="cs"/>
          <w:rtl/>
        </w:rPr>
        <w:t>,</w:t>
      </w:r>
      <w:r w:rsidR="002F12FF" w:rsidRPr="00CA2B84">
        <w:rPr>
          <w:rFonts w:cs="Arial"/>
          <w:rtl/>
        </w:rPr>
        <w:t xml:space="preserve"> דהא כיון דמתיר יצא אע</w:t>
      </w:r>
      <w:r w:rsidR="002F12FF">
        <w:rPr>
          <w:rFonts w:cs="Arial" w:hint="cs"/>
          <w:rtl/>
        </w:rPr>
        <w:t>"</w:t>
      </w:r>
      <w:r w:rsidR="002F12FF" w:rsidRPr="00CA2B84">
        <w:rPr>
          <w:rFonts w:cs="Arial"/>
          <w:rtl/>
        </w:rPr>
        <w:t>פ שלא צבע ולא חישב</w:t>
      </w:r>
      <w:r w:rsidR="002F12FF">
        <w:rPr>
          <w:rFonts w:cs="Arial" w:hint="cs"/>
          <w:rtl/>
        </w:rPr>
        <w:t>,</w:t>
      </w:r>
      <w:r w:rsidR="002F12FF" w:rsidRPr="00CA2B84">
        <w:rPr>
          <w:rFonts w:cs="Arial"/>
          <w:rtl/>
        </w:rPr>
        <w:t xml:space="preserve"> כל שכן חישב ולא צבע</w:t>
      </w:r>
      <w:r w:rsidR="002F12FF">
        <w:rPr>
          <w:rFonts w:cs="Arial" w:hint="cs"/>
          <w:rtl/>
        </w:rPr>
        <w:t>,</w:t>
      </w:r>
      <w:r w:rsidR="002F12FF" w:rsidRPr="00CA2B84">
        <w:rPr>
          <w:rFonts w:cs="Arial"/>
          <w:rtl/>
        </w:rPr>
        <w:t xml:space="preserve"> דלכאורה ישיבה גריעא ממחשבה</w:t>
      </w:r>
      <w:r w:rsidR="002F12FF">
        <w:rPr>
          <w:rFonts w:cs="Arial" w:hint="cs"/>
          <w:rtl/>
        </w:rPr>
        <w:t>,</w:t>
      </w:r>
      <w:r w:rsidR="002F12FF" w:rsidRPr="00CA2B84">
        <w:rPr>
          <w:rFonts w:cs="Arial"/>
          <w:rtl/>
        </w:rPr>
        <w:t xml:space="preserve"> וכן נמי יציאה</w:t>
      </w:r>
      <w:r w:rsidR="002F12FF">
        <w:rPr>
          <w:rFonts w:cs="Arial" w:hint="cs"/>
          <w:sz w:val="16"/>
          <w:szCs w:val="16"/>
          <w:rtl/>
        </w:rPr>
        <w:t xml:space="preserve"> {גריעא ממחשבה}</w:t>
      </w:r>
      <w:r w:rsidR="002F12FF">
        <w:rPr>
          <w:rFonts w:cs="Arial" w:hint="cs"/>
          <w:rtl/>
        </w:rPr>
        <w:t>.</w:t>
      </w:r>
      <w:r w:rsidR="002F12FF" w:rsidRPr="00CA2B84">
        <w:rPr>
          <w:rFonts w:cs="Arial"/>
          <w:rtl/>
        </w:rPr>
        <w:t xml:space="preserve"> ותירץ ד</w:t>
      </w:r>
      <w:r w:rsidRPr="00CA2B84">
        <w:rPr>
          <w:rFonts w:cs="Arial"/>
          <w:rtl/>
        </w:rPr>
        <w:t>האי דקאמר צבען</w:t>
      </w:r>
      <w:r w:rsidR="00AC0C68">
        <w:rPr>
          <w:rFonts w:cs="Arial" w:hint="cs"/>
          <w:rtl/>
        </w:rPr>
        <w:t>,</w:t>
      </w:r>
      <w:r w:rsidRPr="00CA2B84">
        <w:rPr>
          <w:rFonts w:cs="Arial"/>
          <w:rtl/>
        </w:rPr>
        <w:t xml:space="preserve"> לא לצאת בהן בשבת</w:t>
      </w:r>
      <w:r w:rsidR="00AC0C68">
        <w:rPr>
          <w:rFonts w:cs="Arial" w:hint="cs"/>
          <w:rtl/>
        </w:rPr>
        <w:t>,</w:t>
      </w:r>
      <w:r w:rsidRPr="00CA2B84">
        <w:rPr>
          <w:rFonts w:cs="Arial"/>
          <w:rtl/>
        </w:rPr>
        <w:t xml:space="preserve"> אלא כדי לצאת בהן מבעוד יום ואח</w:t>
      </w:r>
      <w:r w:rsidR="00AC0C68">
        <w:rPr>
          <w:rFonts w:cs="Arial" w:hint="cs"/>
          <w:rtl/>
        </w:rPr>
        <w:t>"</w:t>
      </w:r>
      <w:r w:rsidRPr="00CA2B84">
        <w:rPr>
          <w:rFonts w:cs="Arial"/>
          <w:rtl/>
        </w:rPr>
        <w:t>כ נמלך</w:t>
      </w:r>
      <w:r w:rsidR="00AC0C68">
        <w:rPr>
          <w:rFonts w:cs="Arial" w:hint="cs"/>
          <w:rtl/>
        </w:rPr>
        <w:t>,</w:t>
      </w:r>
      <w:r w:rsidRPr="00CA2B84">
        <w:rPr>
          <w:rFonts w:cs="Arial"/>
          <w:rtl/>
        </w:rPr>
        <w:t xml:space="preserve"> ואפ"ה יכול לצאת בהן בשבת</w:t>
      </w:r>
      <w:r w:rsidR="002F12FF">
        <w:rPr>
          <w:rStyle w:val="a9"/>
          <w:rFonts w:cs="Arial"/>
          <w:rtl/>
        </w:rPr>
        <w:footnoteReference w:id="1586"/>
      </w:r>
      <w:r w:rsidRPr="00CA2B84">
        <w:rPr>
          <w:rFonts w:cs="Arial"/>
          <w:rtl/>
        </w:rPr>
        <w:t>.</w:t>
      </w:r>
    </w:p>
    <w:p w14:paraId="050BE110" w14:textId="340C5402" w:rsidR="002F12FF" w:rsidRPr="006B1C07" w:rsidRDefault="002F12FF" w:rsidP="00434A6A">
      <w:pPr>
        <w:pStyle w:val="aa"/>
        <w:numPr>
          <w:ilvl w:val="0"/>
          <w:numId w:val="3"/>
        </w:numPr>
        <w:rPr>
          <w:rFonts w:cs="Arial"/>
          <w:rtl/>
        </w:rPr>
      </w:pPr>
      <w:r w:rsidRPr="00CA2B84">
        <w:rPr>
          <w:rFonts w:cs="Arial"/>
          <w:rtl/>
        </w:rPr>
        <w:t xml:space="preserve">רא"ש </w:t>
      </w:r>
      <w:r w:rsidRPr="006B1C07">
        <w:rPr>
          <w:rFonts w:cs="Arial"/>
          <w:sz w:val="16"/>
          <w:szCs w:val="16"/>
          <w:rtl/>
        </w:rPr>
        <w:t>(סי' ח)</w:t>
      </w:r>
      <w:r w:rsidRPr="00CA2B84">
        <w:rPr>
          <w:rFonts w:cs="Arial"/>
          <w:rtl/>
        </w:rPr>
        <w:t>-</w:t>
      </w:r>
      <w:r w:rsidR="00237756" w:rsidRPr="00237756">
        <w:rPr>
          <w:rFonts w:cs="Arial"/>
          <w:rtl/>
        </w:rPr>
        <w:t xml:space="preserve"> </w:t>
      </w:r>
      <w:r w:rsidR="00237756" w:rsidRPr="00CA2B84">
        <w:rPr>
          <w:rFonts w:cs="Arial"/>
          <w:rtl/>
        </w:rPr>
        <w:t>הא דתניא צבען ולא תנא חשב איכא למימר תיקון מעליא נקט</w:t>
      </w:r>
      <w:r w:rsidR="00237756">
        <w:rPr>
          <w:rFonts w:cs="Arial" w:hint="cs"/>
          <w:rtl/>
        </w:rPr>
        <w:t>,</w:t>
      </w:r>
      <w:r w:rsidR="00237756" w:rsidRPr="00CA2B84">
        <w:rPr>
          <w:rFonts w:cs="Arial"/>
          <w:rtl/>
        </w:rPr>
        <w:t xml:space="preserve"> וממילא ידענא דהוא הדין חשב</w:t>
      </w:r>
      <w:r w:rsidR="00237756">
        <w:rPr>
          <w:rFonts w:cs="Arial" w:hint="cs"/>
          <w:rtl/>
        </w:rPr>
        <w:t>,</w:t>
      </w:r>
      <w:r w:rsidR="00237756" w:rsidRPr="00CA2B84">
        <w:rPr>
          <w:rFonts w:cs="Arial"/>
          <w:rtl/>
        </w:rPr>
        <w:t xml:space="preserve"> מדנקט סיפא </w:t>
      </w:r>
      <w:r w:rsidR="00237756">
        <w:rPr>
          <w:rFonts w:cs="Arial" w:hint="cs"/>
          <w:rtl/>
        </w:rPr>
        <w:t>'</w:t>
      </w:r>
      <w:r w:rsidR="00237756" w:rsidRPr="00CA2B84">
        <w:rPr>
          <w:rFonts w:cs="Arial"/>
          <w:rtl/>
        </w:rPr>
        <w:t>ואם יצא בהן</w:t>
      </w:r>
      <w:r w:rsidR="00237756">
        <w:rPr>
          <w:rFonts w:cs="Arial" w:hint="cs"/>
          <w:rtl/>
        </w:rPr>
        <w:t>'</w:t>
      </w:r>
      <w:r w:rsidR="00237756" w:rsidRPr="00CA2B84">
        <w:rPr>
          <w:rFonts w:cs="Arial"/>
          <w:rtl/>
        </w:rPr>
        <w:t xml:space="preserve"> דשמעינן מינה דכל שכן חשב</w:t>
      </w:r>
      <w:r w:rsidR="00237756">
        <w:rPr>
          <w:rFonts w:cs="Arial" w:hint="cs"/>
          <w:rtl/>
        </w:rPr>
        <w:t>.</w:t>
      </w:r>
      <w:r w:rsidR="00237756" w:rsidRPr="00237756">
        <w:rPr>
          <w:rFonts w:cs="Arial" w:hint="cs"/>
          <w:color w:val="E36C0A" w:themeColor="accent6" w:themeShade="BF"/>
          <w:rtl/>
        </w:rPr>
        <w:t xml:space="preserve"> (וכ"ס בשו"ע)</w:t>
      </w:r>
    </w:p>
    <w:p w14:paraId="08B26071" w14:textId="77777777" w:rsidR="00237756" w:rsidRPr="00EA71EE" w:rsidRDefault="00237756" w:rsidP="00434A6A">
      <w:pPr>
        <w:rPr>
          <w:u w:val="single"/>
          <w:rtl/>
        </w:rPr>
      </w:pPr>
      <w:r w:rsidRPr="00EA71EE">
        <w:rPr>
          <w:rFonts w:hint="cs"/>
          <w:u w:val="single"/>
          <w:rtl/>
        </w:rPr>
        <w:t>שימוש ב</w:t>
      </w:r>
      <w:r w:rsidRPr="00EA71EE">
        <w:rPr>
          <w:rFonts w:cs="Arial"/>
          <w:u w:val="single"/>
          <w:rtl/>
        </w:rPr>
        <w:t>פשתן סרוק וצמר מנופץ</w:t>
      </w:r>
      <w:r w:rsidRPr="00EA71EE">
        <w:rPr>
          <w:rFonts w:hint="cs"/>
          <w:u w:val="single"/>
          <w:rtl/>
        </w:rPr>
        <w:t>:</w:t>
      </w:r>
    </w:p>
    <w:p w14:paraId="3E2A873F" w14:textId="7D3E873C" w:rsidR="00237756" w:rsidRDefault="00237756" w:rsidP="00434A6A">
      <w:pPr>
        <w:pStyle w:val="aa"/>
        <w:numPr>
          <w:ilvl w:val="0"/>
          <w:numId w:val="3"/>
        </w:numPr>
        <w:rPr>
          <w:rFonts w:cs="Arial"/>
        </w:rPr>
      </w:pPr>
      <w:r>
        <w:rPr>
          <w:rFonts w:cs="Arial" w:hint="cs"/>
          <w:rtl/>
        </w:rPr>
        <w:t xml:space="preserve">טור- </w:t>
      </w:r>
      <w:r w:rsidRPr="00BE6400">
        <w:rPr>
          <w:rFonts w:cs="Arial"/>
          <w:rtl/>
        </w:rPr>
        <w:t>וכן פשתן סרוק וצמר מנופץ שנותנין על המכה</w:t>
      </w:r>
      <w:r>
        <w:rPr>
          <w:rFonts w:cs="Arial" w:hint="cs"/>
          <w:rtl/>
        </w:rPr>
        <w:t>,</w:t>
      </w:r>
      <w:r w:rsidRPr="00BE6400">
        <w:rPr>
          <w:rFonts w:cs="Arial"/>
          <w:rtl/>
        </w:rPr>
        <w:t xml:space="preserve"> אם חישב עליהם לצאת בהן</w:t>
      </w:r>
      <w:r>
        <w:rPr>
          <w:rFonts w:cs="Arial" w:hint="cs"/>
          <w:rtl/>
        </w:rPr>
        <w:t>,</w:t>
      </w:r>
      <w:r w:rsidRPr="00BE6400">
        <w:rPr>
          <w:rFonts w:cs="Arial"/>
          <w:rtl/>
        </w:rPr>
        <w:t xml:space="preserve"> או שיצא בהן בחול</w:t>
      </w:r>
      <w:r>
        <w:rPr>
          <w:rFonts w:cs="Arial" w:hint="cs"/>
          <w:rtl/>
        </w:rPr>
        <w:t>,</w:t>
      </w:r>
      <w:r w:rsidRPr="00BE6400">
        <w:rPr>
          <w:rFonts w:cs="Arial"/>
          <w:rtl/>
        </w:rPr>
        <w:t xml:space="preserve"> או שצבען בשמן דגלי דעתיה דלמכה קיימי</w:t>
      </w:r>
      <w:r>
        <w:rPr>
          <w:rFonts w:cs="Arial" w:hint="cs"/>
          <w:rtl/>
        </w:rPr>
        <w:t>,</w:t>
      </w:r>
      <w:r w:rsidRPr="00BE6400">
        <w:rPr>
          <w:rFonts w:cs="Arial"/>
          <w:rtl/>
        </w:rPr>
        <w:t xml:space="preserve"> או שכרכן במשיחה</w:t>
      </w:r>
      <w:r>
        <w:rPr>
          <w:rFonts w:cs="Arial" w:hint="cs"/>
          <w:rtl/>
        </w:rPr>
        <w:t xml:space="preserve"> -</w:t>
      </w:r>
      <w:r w:rsidRPr="00BE6400">
        <w:rPr>
          <w:rFonts w:cs="Arial"/>
          <w:rtl/>
        </w:rPr>
        <w:t xml:space="preserve"> מותר ליתנם על המכה בשבת</w:t>
      </w:r>
      <w:r>
        <w:rPr>
          <w:rFonts w:cs="Arial" w:hint="cs"/>
          <w:rtl/>
        </w:rPr>
        <w:t>,</w:t>
      </w:r>
      <w:r w:rsidRPr="00BE6400">
        <w:rPr>
          <w:rFonts w:cs="Arial"/>
          <w:rtl/>
        </w:rPr>
        <w:t xml:space="preserve"> שאין בהם משום מוקצה</w:t>
      </w:r>
      <w:r>
        <w:rPr>
          <w:rFonts w:cs="Arial" w:hint="cs"/>
          <w:rtl/>
        </w:rPr>
        <w:t>.</w:t>
      </w:r>
      <w:r w:rsidRPr="00BE6400">
        <w:rPr>
          <w:rFonts w:cs="Arial"/>
          <w:rtl/>
        </w:rPr>
        <w:t xml:space="preserve"> ומשום רפואה נמי ליכא</w:t>
      </w:r>
      <w:r>
        <w:rPr>
          <w:rFonts w:cs="Arial" w:hint="cs"/>
          <w:rtl/>
        </w:rPr>
        <w:t>,</w:t>
      </w:r>
      <w:r w:rsidRPr="00BE6400">
        <w:rPr>
          <w:rFonts w:cs="Arial"/>
          <w:rtl/>
        </w:rPr>
        <w:t xml:space="preserve"> שאינו אלא כמו מלבוש שלא יסרטו בגדיו במכה</w:t>
      </w:r>
      <w:r>
        <w:rPr>
          <w:rFonts w:cs="Arial" w:hint="cs"/>
          <w:rtl/>
        </w:rPr>
        <w:t>.</w:t>
      </w:r>
      <w:r w:rsidRPr="00CA2B84">
        <w:rPr>
          <w:rFonts w:cs="Arial"/>
          <w:rtl/>
        </w:rPr>
        <w:t xml:space="preserve"> </w:t>
      </w:r>
      <w:r w:rsidRPr="00237756">
        <w:rPr>
          <w:rFonts w:cs="Arial" w:hint="cs"/>
          <w:color w:val="E36C0A" w:themeColor="accent6" w:themeShade="BF"/>
          <w:rtl/>
        </w:rPr>
        <w:t>(וכ"ס בשו"ע)</w:t>
      </w:r>
    </w:p>
    <w:p w14:paraId="37CD592B"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20F8F79E" w14:textId="78630FA1" w:rsidR="000C6229" w:rsidRDefault="000C6229" w:rsidP="00434A6A">
      <w:pPr>
        <w:rPr>
          <w:rFonts w:asciiTheme="minorBidi" w:hAnsiTheme="minorBidi"/>
          <w:rtl/>
        </w:rPr>
      </w:pPr>
      <w:r w:rsidRPr="005275DF">
        <w:rPr>
          <w:rFonts w:asciiTheme="minorBidi" w:hAnsiTheme="minorBidi"/>
          <w:rtl/>
        </w:rPr>
        <w:t>פשתן סרוק וצמר מנופץ שנותנים על המכה, אם חשב עליהם</w:t>
      </w:r>
      <w:r w:rsidR="00E96D56">
        <w:rPr>
          <w:rStyle w:val="a9"/>
          <w:rFonts w:asciiTheme="minorBidi" w:hAnsiTheme="minorBidi"/>
          <w:rtl/>
        </w:rPr>
        <w:footnoteReference w:id="1587"/>
      </w:r>
      <w:r w:rsidRPr="005275DF">
        <w:rPr>
          <w:rFonts w:asciiTheme="minorBidi" w:hAnsiTheme="minorBidi"/>
          <w:rtl/>
        </w:rPr>
        <w:t xml:space="preserve"> </w:t>
      </w:r>
      <w:r w:rsidR="00357CCA">
        <w:rPr>
          <w:rFonts w:asciiTheme="minorBidi" w:hAnsiTheme="minorBidi"/>
          <w:rtl/>
        </w:rPr>
        <w:t>מבעוד יום</w:t>
      </w:r>
      <w:r w:rsidRPr="005275DF">
        <w:rPr>
          <w:rFonts w:asciiTheme="minorBidi" w:hAnsiTheme="minorBidi"/>
          <w:rtl/>
        </w:rPr>
        <w:t xml:space="preserve"> לתתם על המכה, או שישב בהם שעה אחת </w:t>
      </w:r>
      <w:r w:rsidR="00357CCA">
        <w:rPr>
          <w:rFonts w:asciiTheme="minorBidi" w:hAnsiTheme="minorBidi"/>
          <w:rtl/>
        </w:rPr>
        <w:t>מבעוד יום</w:t>
      </w:r>
      <w:r w:rsidRPr="005275DF">
        <w:rPr>
          <w:rFonts w:asciiTheme="minorBidi" w:hAnsiTheme="minorBidi"/>
          <w:rtl/>
        </w:rPr>
        <w:t>, או שצבען בשמן דגלי דעתיה דלמכה קיימי, או שכרכן במשיחה ליתנם על המכה בשבת</w:t>
      </w:r>
      <w:r w:rsidR="00E96D56">
        <w:rPr>
          <w:rStyle w:val="a9"/>
          <w:rFonts w:asciiTheme="minorBidi" w:hAnsiTheme="minorBidi"/>
          <w:rtl/>
        </w:rPr>
        <w:footnoteReference w:id="1588"/>
      </w:r>
      <w:r w:rsidRPr="005275DF">
        <w:rPr>
          <w:rFonts w:asciiTheme="minorBidi" w:hAnsiTheme="minorBidi"/>
          <w:rtl/>
        </w:rPr>
        <w:t xml:space="preserve"> תו לית בהו משום מוקצה</w:t>
      </w:r>
      <w:r w:rsidR="00237756">
        <w:rPr>
          <w:rFonts w:asciiTheme="minorBidi" w:hAnsiTheme="minorBidi" w:hint="cs"/>
          <w:rtl/>
        </w:rPr>
        <w:t>.</w:t>
      </w:r>
      <w:r w:rsidR="00907924">
        <w:rPr>
          <w:rFonts w:asciiTheme="minorBidi" w:hAnsiTheme="minorBidi" w:hint="cs"/>
          <w:rtl/>
        </w:rPr>
        <w:t xml:space="preserve"> </w:t>
      </w:r>
      <w:r w:rsidRPr="005275DF">
        <w:rPr>
          <w:rFonts w:asciiTheme="minorBidi" w:hAnsiTheme="minorBidi"/>
          <w:rtl/>
        </w:rPr>
        <w:t>ומשום רפואה נמי ליכא</w:t>
      </w:r>
      <w:r w:rsidR="00237756">
        <w:rPr>
          <w:rFonts w:asciiTheme="minorBidi" w:hAnsiTheme="minorBidi" w:hint="cs"/>
          <w:rtl/>
        </w:rPr>
        <w:t>,</w:t>
      </w:r>
      <w:r w:rsidRPr="005275DF">
        <w:rPr>
          <w:rFonts w:asciiTheme="minorBidi" w:hAnsiTheme="minorBidi"/>
          <w:rtl/>
        </w:rPr>
        <w:t xml:space="preserve"> שאינו אלא כמו מלבוש שלא יסרטו בגדיו במכה. וי</w:t>
      </w:r>
      <w:r w:rsidR="003113A6">
        <w:rPr>
          <w:rFonts w:asciiTheme="minorBidi" w:hAnsiTheme="minorBidi" w:hint="cs"/>
          <w:rtl/>
        </w:rPr>
        <w:t xml:space="preserve">ש </w:t>
      </w:r>
      <w:r w:rsidRPr="005275DF">
        <w:rPr>
          <w:rFonts w:asciiTheme="minorBidi" w:hAnsiTheme="minorBidi"/>
          <w:rtl/>
        </w:rPr>
        <w:t>א</w:t>
      </w:r>
      <w:r w:rsidR="003113A6">
        <w:rPr>
          <w:rFonts w:asciiTheme="minorBidi" w:hAnsiTheme="minorBidi" w:hint="cs"/>
          <w:rtl/>
        </w:rPr>
        <w:t>ומרים</w:t>
      </w:r>
      <w:r w:rsidRPr="005275DF">
        <w:rPr>
          <w:rFonts w:asciiTheme="minorBidi" w:hAnsiTheme="minorBidi"/>
          <w:rtl/>
        </w:rPr>
        <w:t xml:space="preserve"> דלא סגי במחשבה לחוד</w:t>
      </w:r>
      <w:r w:rsidR="00E22E6C">
        <w:rPr>
          <w:rStyle w:val="a9"/>
          <w:rFonts w:asciiTheme="minorBidi" w:hAnsiTheme="minorBidi"/>
          <w:rtl/>
        </w:rPr>
        <w:footnoteReference w:id="1589"/>
      </w:r>
      <w:r w:rsidRPr="005275DF">
        <w:rPr>
          <w:rFonts w:asciiTheme="minorBidi" w:hAnsiTheme="minorBidi"/>
          <w:rtl/>
        </w:rPr>
        <w:t xml:space="preserve">. </w:t>
      </w:r>
      <w:r w:rsidR="00C500AE">
        <w:rPr>
          <w:rFonts w:asciiTheme="minorBidi" w:hAnsiTheme="minorBidi" w:hint="cs"/>
          <w:rtl/>
        </w:rPr>
        <w:t xml:space="preserve"> </w:t>
      </w:r>
    </w:p>
    <w:p w14:paraId="18AF4D4E" w14:textId="77777777" w:rsidR="00C500AE" w:rsidRDefault="00C500AE" w:rsidP="00434A6A">
      <w:pPr>
        <w:rPr>
          <w:rFonts w:asciiTheme="minorBidi" w:hAnsiTheme="minorBidi" w:cs="Arial"/>
          <w:rtl/>
        </w:rPr>
      </w:pPr>
      <w:r w:rsidRPr="00C500AE">
        <w:rPr>
          <w:rFonts w:asciiTheme="minorBidi" w:hAnsiTheme="minorBidi" w:cs="Arial" w:hint="cs"/>
          <w:u w:val="single"/>
          <w:rtl/>
        </w:rPr>
        <w:t>צמר גפן בזמננו:</w:t>
      </w:r>
    </w:p>
    <w:p w14:paraId="233ED522" w14:textId="5732D60D" w:rsidR="00494EF6" w:rsidRPr="00C500AE" w:rsidRDefault="00C500AE" w:rsidP="00434A6A">
      <w:pPr>
        <w:pStyle w:val="aa"/>
        <w:numPr>
          <w:ilvl w:val="0"/>
          <w:numId w:val="3"/>
        </w:numPr>
        <w:rPr>
          <w:rFonts w:asciiTheme="minorBidi" w:hAnsiTheme="minorBidi"/>
          <w:rtl/>
        </w:rPr>
      </w:pPr>
      <w:r>
        <w:rPr>
          <w:rFonts w:asciiTheme="minorBidi" w:hAnsiTheme="minorBidi" w:cs="Arial" w:hint="cs"/>
          <w:rtl/>
        </w:rPr>
        <w:t xml:space="preserve">צמר גפן בזמננו אינו דומה לפשתן סרוק וצמר מנופץ משום </w:t>
      </w:r>
      <w:r w:rsidR="006C4943">
        <w:rPr>
          <w:rFonts w:asciiTheme="minorBidi" w:hAnsiTheme="minorBidi" w:cs="Arial" w:hint="cs"/>
          <w:rtl/>
        </w:rPr>
        <w:t>שהצמר גפן מיוצר לשימושים מיוחדים כמו שהוא (הסרת איפור, חציצה בין פצע לחבישה, ניקוי עיניים וכדו'), לכן מכיון שיש בו שימוש הוי ככלי שמלאכתו להיתר ומותר להשתמש בו גם בלי מחשבה, דבסתמא לכך עומד</w:t>
      </w:r>
      <w:r w:rsidR="006C4943">
        <w:rPr>
          <w:rStyle w:val="a9"/>
          <w:rFonts w:asciiTheme="minorBidi" w:hAnsiTheme="minorBidi" w:cs="Arial"/>
          <w:rtl/>
        </w:rPr>
        <w:footnoteReference w:id="1590"/>
      </w:r>
      <w:r w:rsidRPr="00C500AE">
        <w:rPr>
          <w:rFonts w:asciiTheme="minorBidi" w:hAnsiTheme="minorBidi" w:cs="Arial"/>
          <w:rtl/>
        </w:rPr>
        <w:t>.</w:t>
      </w:r>
    </w:p>
    <w:p w14:paraId="0A4031FB" w14:textId="2F63845C" w:rsidR="000C6229" w:rsidRDefault="000C6229" w:rsidP="00434A6A">
      <w:pPr>
        <w:pStyle w:val="2"/>
        <w:rPr>
          <w:rtl/>
        </w:rPr>
      </w:pPr>
      <w:r w:rsidRPr="005275DF">
        <w:rPr>
          <w:rtl/>
        </w:rPr>
        <w:t>סעיף כה</w:t>
      </w:r>
      <w:r w:rsidR="00494EF6">
        <w:rPr>
          <w:rFonts w:hint="cs"/>
          <w:rtl/>
        </w:rPr>
        <w:t xml:space="preserve">: </w:t>
      </w:r>
      <w:r w:rsidR="00BD52DA">
        <w:rPr>
          <w:rFonts w:hint="cs"/>
          <w:rtl/>
        </w:rPr>
        <w:t>עורות.</w:t>
      </w:r>
    </w:p>
    <w:p w14:paraId="17D987FA" w14:textId="3CDF9F48" w:rsidR="009C01AF" w:rsidRDefault="009C01AF" w:rsidP="00434A6A">
      <w:pPr>
        <w:rPr>
          <w:rFonts w:cs="Arial"/>
          <w:rtl/>
        </w:rPr>
      </w:pPr>
      <w:r w:rsidRPr="002A0965">
        <w:rPr>
          <w:rFonts w:cs="Arial" w:hint="cs"/>
          <w:b/>
          <w:bCs/>
          <w:rtl/>
        </w:rPr>
        <w:t xml:space="preserve">ביצה </w:t>
      </w:r>
      <w:r w:rsidRPr="002A0965">
        <w:rPr>
          <w:rFonts w:cs="Arial" w:hint="cs"/>
          <w:b/>
          <w:bCs/>
          <w:sz w:val="16"/>
          <w:szCs w:val="16"/>
          <w:rtl/>
        </w:rPr>
        <w:t xml:space="preserve">(פ"ק) </w:t>
      </w:r>
      <w:r w:rsidRPr="002A0965">
        <w:rPr>
          <w:rFonts w:cs="Arial" w:hint="cs"/>
          <w:b/>
          <w:bCs/>
          <w:rtl/>
        </w:rPr>
        <w:t>יא ע"א:</w:t>
      </w:r>
      <w:r>
        <w:rPr>
          <w:rFonts w:cs="Arial" w:hint="cs"/>
          <w:rtl/>
        </w:rPr>
        <w:t xml:space="preserve"> </w:t>
      </w:r>
      <w:r w:rsidRPr="002A0965">
        <w:rPr>
          <w:rFonts w:cs="Arial"/>
          <w:u w:val="double"/>
          <w:rtl/>
        </w:rPr>
        <w:t>משנה</w:t>
      </w:r>
      <w:r>
        <w:rPr>
          <w:rFonts w:cs="Arial" w:hint="cs"/>
          <w:rtl/>
        </w:rPr>
        <w:t>:..</w:t>
      </w:r>
      <w:r w:rsidRPr="00C2799E">
        <w:rPr>
          <w:rFonts w:cs="Arial"/>
          <w:rtl/>
        </w:rPr>
        <w:t xml:space="preserve">. </w:t>
      </w:r>
      <w:r w:rsidRPr="002A0965">
        <w:rPr>
          <w:rFonts w:cs="Arial"/>
          <w:u w:val="single"/>
          <w:rtl/>
        </w:rPr>
        <w:t>בית שמאי אומרים</w:t>
      </w:r>
      <w:r w:rsidRPr="00C2799E">
        <w:rPr>
          <w:rFonts w:cs="Arial"/>
          <w:rtl/>
        </w:rPr>
        <w:t>: אין נותנין את העור לפני הדורסן</w:t>
      </w:r>
      <w:r w:rsidR="00502E0E">
        <w:rPr>
          <w:rStyle w:val="a9"/>
          <w:rFonts w:cs="Arial"/>
          <w:rtl/>
        </w:rPr>
        <w:footnoteReference w:id="1591"/>
      </w:r>
      <w:r w:rsidRPr="00C2799E">
        <w:rPr>
          <w:rFonts w:cs="Arial"/>
          <w:rtl/>
        </w:rPr>
        <w:t xml:space="preserve">, ולא יגביהנו, אלא אם כן יש עמו כזית בשר. </w:t>
      </w:r>
      <w:r w:rsidRPr="002A0965">
        <w:rPr>
          <w:rFonts w:cs="Arial"/>
          <w:u w:val="single"/>
          <w:rtl/>
        </w:rPr>
        <w:t>ובית הלל</w:t>
      </w:r>
      <w:r w:rsidRPr="00C2799E">
        <w:rPr>
          <w:rFonts w:cs="Arial"/>
          <w:rtl/>
        </w:rPr>
        <w:t xml:space="preserve"> מתירין. </w:t>
      </w:r>
      <w:r>
        <w:rPr>
          <w:rFonts w:cs="Arial" w:hint="cs"/>
          <w:rtl/>
        </w:rPr>
        <w:t xml:space="preserve">       </w:t>
      </w:r>
      <w:r w:rsidRPr="002A0965">
        <w:rPr>
          <w:rFonts w:cs="Arial"/>
          <w:u w:val="double"/>
          <w:rtl/>
        </w:rPr>
        <w:t>גמרא</w:t>
      </w:r>
      <w:r>
        <w:rPr>
          <w:rFonts w:cs="Arial" w:hint="cs"/>
          <w:rtl/>
        </w:rPr>
        <w:t xml:space="preserve">: </w:t>
      </w:r>
      <w:r w:rsidRPr="00C2799E">
        <w:rPr>
          <w:rFonts w:cs="Arial"/>
          <w:rtl/>
        </w:rPr>
        <w:t>בית שמאי אומרים אין נותנין את העור. תנא: ושוין שמולחין עליו</w:t>
      </w:r>
      <w:r>
        <w:rPr>
          <w:rStyle w:val="a9"/>
          <w:rFonts w:cs="Arial"/>
          <w:rtl/>
        </w:rPr>
        <w:footnoteReference w:id="1592"/>
      </w:r>
      <w:r w:rsidRPr="00C2799E">
        <w:rPr>
          <w:rFonts w:cs="Arial"/>
          <w:rtl/>
        </w:rPr>
        <w:t xml:space="preserve"> בשר לצלי. </w:t>
      </w:r>
      <w:r w:rsidRPr="002A0965">
        <w:rPr>
          <w:rFonts w:cs="Arial"/>
          <w:u w:val="single"/>
          <w:rtl/>
        </w:rPr>
        <w:t>אמר אביי</w:t>
      </w:r>
      <w:r w:rsidRPr="00C2799E">
        <w:rPr>
          <w:rFonts w:cs="Arial"/>
          <w:rtl/>
        </w:rPr>
        <w:t>: לא שנו אלא לצלי</w:t>
      </w:r>
      <w:r>
        <w:rPr>
          <w:rStyle w:val="a9"/>
          <w:rFonts w:cs="Arial"/>
          <w:rtl/>
        </w:rPr>
        <w:footnoteReference w:id="1593"/>
      </w:r>
      <w:r w:rsidRPr="00C2799E">
        <w:rPr>
          <w:rFonts w:cs="Arial"/>
          <w:rtl/>
        </w:rPr>
        <w:t xml:space="preserve">, אבל לקדרה - לא. פשיטא, לצלי תנן! הא קא משמע לן: דאפילו לצלי כעין קדרה אסור. </w:t>
      </w:r>
      <w:r w:rsidRPr="002A0965">
        <w:rPr>
          <w:rFonts w:cs="Arial"/>
          <w:u w:val="single"/>
          <w:rtl/>
        </w:rPr>
        <w:t>תנו רבנן</w:t>
      </w:r>
      <w:r w:rsidRPr="00C2799E">
        <w:rPr>
          <w:rFonts w:cs="Arial"/>
          <w:rtl/>
        </w:rPr>
        <w:t>: אין מולחין את החלבים</w:t>
      </w:r>
      <w:r>
        <w:rPr>
          <w:rStyle w:val="a9"/>
          <w:rFonts w:cs="Arial"/>
          <w:rtl/>
        </w:rPr>
        <w:footnoteReference w:id="1594"/>
      </w:r>
      <w:r w:rsidRPr="00C2799E">
        <w:rPr>
          <w:rFonts w:cs="Arial"/>
          <w:rtl/>
        </w:rPr>
        <w:t xml:space="preserve"> ואין מהפכין בהן. </w:t>
      </w:r>
      <w:r w:rsidRPr="002A0965">
        <w:rPr>
          <w:rFonts w:cs="Arial"/>
          <w:u w:val="single"/>
          <w:rtl/>
        </w:rPr>
        <w:t>משום רבי יהושע אמרו</w:t>
      </w:r>
      <w:r w:rsidRPr="00C2799E">
        <w:rPr>
          <w:rFonts w:cs="Arial"/>
          <w:rtl/>
        </w:rPr>
        <w:t xml:space="preserve">: שוטחן ברוח על גבי יתדות. </w:t>
      </w:r>
      <w:r w:rsidRPr="002A0965">
        <w:rPr>
          <w:rFonts w:cs="Arial"/>
          <w:u w:val="single"/>
          <w:rtl/>
        </w:rPr>
        <w:t>אמר רב מתנה:</w:t>
      </w:r>
      <w:r w:rsidRPr="00C2799E">
        <w:rPr>
          <w:rFonts w:cs="Arial"/>
          <w:rtl/>
        </w:rPr>
        <w:t xml:space="preserve"> הלכה כרבי יהושע. </w:t>
      </w:r>
      <w:r w:rsidRPr="002A0965">
        <w:rPr>
          <w:rFonts w:cs="Arial"/>
          <w:u w:val="dotted"/>
          <w:rtl/>
        </w:rPr>
        <w:t>איכא דאמרי</w:t>
      </w:r>
      <w:r w:rsidRPr="00C2799E">
        <w:rPr>
          <w:rFonts w:cs="Arial"/>
          <w:rtl/>
        </w:rPr>
        <w:t xml:space="preserve">, </w:t>
      </w:r>
      <w:r w:rsidRPr="002A0965">
        <w:rPr>
          <w:rFonts w:cs="Arial"/>
          <w:u w:val="single"/>
          <w:rtl/>
        </w:rPr>
        <w:t>אמר רב מתנה</w:t>
      </w:r>
      <w:r w:rsidRPr="00C2799E">
        <w:rPr>
          <w:rFonts w:cs="Arial"/>
          <w:rtl/>
        </w:rPr>
        <w:t>: אין הלכה כרבי יהושע. בשלמא למאן דאמר הלכה כרבי יהושע - אצטריך, סלקא דעתך אמינא: יחיד ורבים הלכה כרבים - קא משמע לן: הלכה כיחיד. אלא למאן דאמר אין הלכה, פשיטא! יחיד ורבים הלכה כרבים! מהו דתימא: מסתבר טעמיה דרבי יהושע, דאי לא שרית ליה ממנע ולא שחיט, קא משמע לן. ומאי שנא מעור לפני הדורסן</w:t>
      </w:r>
      <w:r>
        <w:rPr>
          <w:rStyle w:val="a9"/>
          <w:rFonts w:cs="Arial"/>
          <w:rtl/>
        </w:rPr>
        <w:footnoteReference w:id="1595"/>
      </w:r>
      <w:r w:rsidRPr="00C2799E">
        <w:rPr>
          <w:rFonts w:cs="Arial"/>
          <w:rtl/>
        </w:rPr>
        <w:t>?</w:t>
      </w:r>
      <w:r>
        <w:rPr>
          <w:rFonts w:cs="Arial" w:hint="cs"/>
          <w:sz w:val="12"/>
          <w:szCs w:val="12"/>
          <w:rtl/>
        </w:rPr>
        <w:t xml:space="preserve"> </w:t>
      </w:r>
      <w:r w:rsidRPr="002A0965">
        <w:rPr>
          <w:rFonts w:cs="Arial" w:hint="cs"/>
          <w:sz w:val="14"/>
          <w:szCs w:val="14"/>
          <w:rtl/>
        </w:rPr>
        <w:t>(יא:)</w:t>
      </w:r>
      <w:r w:rsidRPr="002A0965">
        <w:rPr>
          <w:rtl/>
        </w:rPr>
        <w:t xml:space="preserve"> </w:t>
      </w:r>
      <w:r w:rsidRPr="002A0965">
        <w:rPr>
          <w:rFonts w:cs="Arial"/>
          <w:rtl/>
        </w:rPr>
        <w:t>התם לא מוכחא מלתא</w:t>
      </w:r>
      <w:r>
        <w:rPr>
          <w:rStyle w:val="a9"/>
          <w:rFonts w:cs="Arial"/>
          <w:rtl/>
        </w:rPr>
        <w:footnoteReference w:id="1596"/>
      </w:r>
      <w:r w:rsidRPr="002A0965">
        <w:rPr>
          <w:rFonts w:cs="Arial"/>
          <w:rtl/>
        </w:rPr>
        <w:t>, משום דחזי למזגא עליה. הכא אתי למימר: מאי טעמא שרו לי רבנן - כי היכי דלא לסרח, מה לי למשטחינהו מה לי לממלחינהו.</w:t>
      </w:r>
    </w:p>
    <w:p w14:paraId="159889FA" w14:textId="5A578BD9" w:rsidR="00124C67" w:rsidRDefault="00124C67" w:rsidP="00434A6A">
      <w:pPr>
        <w:rPr>
          <w:rFonts w:cs="Arial"/>
          <w:rtl/>
        </w:rPr>
      </w:pPr>
      <w:r w:rsidRPr="002A45F7">
        <w:rPr>
          <w:rFonts w:hint="cs"/>
          <w:b/>
          <w:bCs/>
          <w:rtl/>
        </w:rPr>
        <w:t xml:space="preserve">שבת </w:t>
      </w:r>
      <w:r>
        <w:rPr>
          <w:rFonts w:hint="cs"/>
          <w:b/>
          <w:bCs/>
          <w:sz w:val="16"/>
          <w:szCs w:val="16"/>
          <w:rtl/>
        </w:rPr>
        <w:t>(פ' כל כתבי)</w:t>
      </w:r>
      <w:r>
        <w:rPr>
          <w:rFonts w:hint="cs"/>
          <w:b/>
          <w:bCs/>
          <w:rtl/>
        </w:rPr>
        <w:t xml:space="preserve"> קטז ע"ב</w:t>
      </w:r>
      <w:r w:rsidRPr="002A45F7">
        <w:rPr>
          <w:rFonts w:hint="cs"/>
          <w:b/>
          <w:bCs/>
          <w:rtl/>
        </w:rPr>
        <w:t>:</w:t>
      </w:r>
      <w:r>
        <w:rPr>
          <w:rFonts w:cs="Arial" w:hint="cs"/>
          <w:rtl/>
        </w:rPr>
        <w:t xml:space="preserve"> </w:t>
      </w:r>
      <w:r w:rsidRPr="00124C67">
        <w:rPr>
          <w:rFonts w:cs="Arial"/>
          <w:rtl/>
        </w:rPr>
        <w:t xml:space="preserve">תנו רבנן: ארבעה עשר שחל להיות בשבת מפשיטין את הפסח עד החזה, </w:t>
      </w:r>
      <w:r w:rsidRPr="00124C67">
        <w:rPr>
          <w:rFonts w:cs="Arial"/>
          <w:u w:val="single"/>
          <w:rtl/>
        </w:rPr>
        <w:t>דברי רבי ישמעאל בנו של רבי יוחנן בן ברוקה</w:t>
      </w:r>
      <w:r w:rsidRPr="00124C67">
        <w:rPr>
          <w:rFonts w:cs="Arial"/>
          <w:rtl/>
        </w:rPr>
        <w:t xml:space="preserve">, </w:t>
      </w:r>
      <w:r w:rsidRPr="00124C67">
        <w:rPr>
          <w:rFonts w:cs="Arial"/>
          <w:u w:val="single"/>
          <w:rtl/>
        </w:rPr>
        <w:t>וחכמים אומרים</w:t>
      </w:r>
      <w:r w:rsidRPr="00124C67">
        <w:rPr>
          <w:rFonts w:cs="Arial"/>
          <w:rtl/>
        </w:rPr>
        <w:t>: מפשיטין את כולו.</w:t>
      </w:r>
      <w:r>
        <w:rPr>
          <w:rFonts w:cs="Arial" w:hint="cs"/>
          <w:rtl/>
        </w:rPr>
        <w:t>..</w:t>
      </w:r>
      <w:r w:rsidRPr="00124C67">
        <w:rPr>
          <w:rFonts w:cs="Arial"/>
          <w:rtl/>
        </w:rPr>
        <w:t xml:space="preserve"> </w:t>
      </w:r>
      <w:r w:rsidRPr="00124C67">
        <w:rPr>
          <w:rFonts w:cs="Arial"/>
          <w:u w:val="single"/>
          <w:rtl/>
        </w:rPr>
        <w:t>אמר רב אשי</w:t>
      </w:r>
      <w:r w:rsidRPr="00124C67">
        <w:rPr>
          <w:rFonts w:cs="Arial"/>
          <w:rtl/>
        </w:rPr>
        <w:t>:</w:t>
      </w:r>
      <w:r>
        <w:rPr>
          <w:rFonts w:cs="Arial" w:hint="cs"/>
          <w:rtl/>
        </w:rPr>
        <w:t>...</w:t>
      </w:r>
      <w:r w:rsidRPr="00124C67">
        <w:rPr>
          <w:rFonts w:cs="Arial"/>
          <w:rtl/>
        </w:rPr>
        <w:t xml:space="preserve"> והכי קאמרי ליה</w:t>
      </w:r>
      <w:r w:rsidR="00DC5FAE">
        <w:rPr>
          <w:rStyle w:val="a9"/>
          <w:rFonts w:cs="Arial"/>
          <w:rtl/>
        </w:rPr>
        <w:footnoteReference w:id="1597"/>
      </w:r>
      <w:r w:rsidRPr="00124C67">
        <w:rPr>
          <w:rFonts w:cs="Arial"/>
          <w:rtl/>
        </w:rPr>
        <w:t>: אם מצילין תיק הספר עם הספר - לא נטלטל עור אגב בשר?</w:t>
      </w:r>
      <w:r w:rsidR="0082136A" w:rsidRPr="0082136A">
        <w:rPr>
          <w:rFonts w:cs="Arial"/>
          <w:sz w:val="16"/>
          <w:szCs w:val="16"/>
          <w:rtl/>
        </w:rPr>
        <w:t xml:space="preserve"> </w:t>
      </w:r>
      <w:r w:rsidR="0082136A">
        <w:rPr>
          <w:rFonts w:cs="Arial" w:hint="cs"/>
          <w:sz w:val="16"/>
          <w:szCs w:val="16"/>
          <w:rtl/>
        </w:rPr>
        <w:t>(</w:t>
      </w:r>
      <w:r w:rsidR="0082136A" w:rsidRPr="00F91B4D">
        <w:rPr>
          <w:rFonts w:cs="Arial"/>
          <w:sz w:val="16"/>
          <w:szCs w:val="16"/>
          <w:rtl/>
        </w:rPr>
        <w:t>משמע דעור בלא בשר אסור</w:t>
      </w:r>
      <w:r w:rsidR="0082136A">
        <w:rPr>
          <w:rFonts w:cs="Arial" w:hint="cs"/>
          <w:sz w:val="16"/>
          <w:szCs w:val="16"/>
          <w:rtl/>
        </w:rPr>
        <w:t>, תוס' [מט. ד"ה טומנין])</w:t>
      </w:r>
    </w:p>
    <w:p w14:paraId="668CBB25" w14:textId="509FAE68" w:rsidR="00F91B4D" w:rsidRDefault="008868B6" w:rsidP="00434A6A">
      <w:pPr>
        <w:rPr>
          <w:rFonts w:cs="Arial"/>
          <w:sz w:val="16"/>
          <w:szCs w:val="16"/>
          <w:rtl/>
        </w:rPr>
      </w:pPr>
      <w:r w:rsidRPr="002A45F7">
        <w:rPr>
          <w:rFonts w:hint="cs"/>
          <w:b/>
          <w:bCs/>
          <w:rtl/>
        </w:rPr>
        <w:t xml:space="preserve">שבת </w:t>
      </w:r>
      <w:r>
        <w:rPr>
          <w:rFonts w:hint="cs"/>
          <w:b/>
          <w:bCs/>
          <w:sz w:val="16"/>
          <w:szCs w:val="16"/>
          <w:rtl/>
        </w:rPr>
        <w:t xml:space="preserve">(פ' </w:t>
      </w:r>
      <w:r w:rsidR="00BD52DA">
        <w:rPr>
          <w:rFonts w:hint="cs"/>
          <w:b/>
          <w:bCs/>
          <w:sz w:val="16"/>
          <w:szCs w:val="16"/>
          <w:rtl/>
        </w:rPr>
        <w:t>במה טומנין</w:t>
      </w:r>
      <w:r>
        <w:rPr>
          <w:rFonts w:hint="cs"/>
          <w:b/>
          <w:bCs/>
          <w:sz w:val="16"/>
          <w:szCs w:val="16"/>
          <w:rtl/>
        </w:rPr>
        <w:t>)</w:t>
      </w:r>
      <w:r>
        <w:rPr>
          <w:rFonts w:hint="cs"/>
          <w:b/>
          <w:bCs/>
          <w:rtl/>
        </w:rPr>
        <w:t xml:space="preserve"> </w:t>
      </w:r>
      <w:r w:rsidR="00BD52DA">
        <w:rPr>
          <w:rFonts w:hint="cs"/>
          <w:b/>
          <w:bCs/>
          <w:rtl/>
        </w:rPr>
        <w:t>מט</w:t>
      </w:r>
      <w:r w:rsidRPr="002A45F7">
        <w:rPr>
          <w:rFonts w:hint="cs"/>
          <w:b/>
          <w:bCs/>
          <w:rtl/>
        </w:rPr>
        <w:t xml:space="preserve"> ע"</w:t>
      </w:r>
      <w:r w:rsidR="00BD52DA">
        <w:rPr>
          <w:rFonts w:hint="cs"/>
          <w:b/>
          <w:bCs/>
          <w:rtl/>
        </w:rPr>
        <w:t>א</w:t>
      </w:r>
      <w:r w:rsidRPr="002A45F7">
        <w:rPr>
          <w:rFonts w:hint="cs"/>
          <w:b/>
          <w:bCs/>
          <w:rtl/>
        </w:rPr>
        <w:t>:</w:t>
      </w:r>
      <w:r>
        <w:rPr>
          <w:rFonts w:cs="Arial" w:hint="cs"/>
          <w:rtl/>
        </w:rPr>
        <w:t xml:space="preserve"> </w:t>
      </w:r>
      <w:r w:rsidR="00BD52DA" w:rsidRPr="00BD52DA">
        <w:rPr>
          <w:rFonts w:cs="Arial"/>
          <w:u w:val="double"/>
          <w:rtl/>
        </w:rPr>
        <w:t>משנה</w:t>
      </w:r>
      <w:r w:rsidR="00BD52DA">
        <w:rPr>
          <w:rFonts w:cs="Arial" w:hint="cs"/>
          <w:rtl/>
        </w:rPr>
        <w:t>:</w:t>
      </w:r>
      <w:r w:rsidR="00BD52DA" w:rsidRPr="00BD52DA">
        <w:rPr>
          <w:rFonts w:cs="Arial"/>
          <w:rtl/>
        </w:rPr>
        <w:t xml:space="preserve"> טומנין בשלחין</w:t>
      </w:r>
      <w:r w:rsidR="001F5A7E">
        <w:rPr>
          <w:rStyle w:val="a9"/>
          <w:rFonts w:cs="Arial"/>
          <w:rtl/>
        </w:rPr>
        <w:footnoteReference w:id="1598"/>
      </w:r>
      <w:r w:rsidR="00BD52DA" w:rsidRPr="00BD52DA">
        <w:rPr>
          <w:rFonts w:cs="Arial"/>
          <w:rtl/>
        </w:rPr>
        <w:t xml:space="preserve"> - ומטלטלין אותן</w:t>
      </w:r>
      <w:r w:rsidR="001F5A7E">
        <w:rPr>
          <w:rStyle w:val="a9"/>
          <w:rFonts w:cs="Arial"/>
          <w:rtl/>
        </w:rPr>
        <w:footnoteReference w:id="1599"/>
      </w:r>
      <w:r w:rsidR="00303A91">
        <w:rPr>
          <w:rFonts w:cs="Arial" w:hint="cs"/>
          <w:rtl/>
        </w:rPr>
        <w:t>..</w:t>
      </w:r>
      <w:r w:rsidR="00BD52DA" w:rsidRPr="00BD52DA">
        <w:rPr>
          <w:rFonts w:cs="Arial"/>
          <w:rtl/>
        </w:rPr>
        <w:t xml:space="preserve">. </w:t>
      </w:r>
      <w:r w:rsidR="00BD52DA">
        <w:rPr>
          <w:rFonts w:cs="Arial" w:hint="cs"/>
          <w:rtl/>
        </w:rPr>
        <w:t xml:space="preserve">       </w:t>
      </w:r>
      <w:r w:rsidR="00BD52DA" w:rsidRPr="00BD52DA">
        <w:rPr>
          <w:rFonts w:cs="Arial"/>
          <w:u w:val="double"/>
          <w:rtl/>
        </w:rPr>
        <w:t>גמרא</w:t>
      </w:r>
      <w:r w:rsidR="00BD52DA">
        <w:rPr>
          <w:rFonts w:cs="Arial" w:hint="cs"/>
          <w:rtl/>
        </w:rPr>
        <w:t>:</w:t>
      </w:r>
      <w:r w:rsidR="00BD52DA" w:rsidRPr="00BD52DA">
        <w:rPr>
          <w:rFonts w:cs="Arial"/>
          <w:rtl/>
        </w:rPr>
        <w:t xml:space="preserve"> </w:t>
      </w:r>
      <w:r w:rsidR="00BD52DA" w:rsidRPr="00BD52DA">
        <w:rPr>
          <w:rFonts w:cs="Arial"/>
          <w:u w:val="single"/>
          <w:rtl/>
        </w:rPr>
        <w:t>יתיב רבי יונתן בן עכינאי ורבי יונתן בן אלעזר, ויתיב רבי חנינא בר חמא, גבייהו, וקא מיבעיא להו</w:t>
      </w:r>
      <w:r w:rsidR="00BD52DA" w:rsidRPr="00BD52DA">
        <w:rPr>
          <w:rFonts w:cs="Arial"/>
          <w:rtl/>
        </w:rPr>
        <w:t xml:space="preserve">: שלחין של בעל הבית תנן, אבל של אומן, כיון דקפיד עלייהו - לא מטלטלינן להו, או דילמא: של אומן תנן, וכל שכן של בעל הבית? </w:t>
      </w:r>
      <w:r w:rsidR="00BD52DA" w:rsidRPr="00303A91">
        <w:rPr>
          <w:rFonts w:cs="Arial"/>
          <w:u w:val="single"/>
          <w:rtl/>
        </w:rPr>
        <w:t>אמר להו רבי יונתן בן אלעזר</w:t>
      </w:r>
      <w:r w:rsidR="00BD52DA" w:rsidRPr="00BD52DA">
        <w:rPr>
          <w:rFonts w:cs="Arial"/>
          <w:rtl/>
        </w:rPr>
        <w:t xml:space="preserve">: מסתברא, של בעל הבית תנן, אבל של אומן - קפיד עלייהו. </w:t>
      </w:r>
      <w:r w:rsidR="00BD52DA" w:rsidRPr="00303A91">
        <w:rPr>
          <w:rFonts w:cs="Arial"/>
          <w:u w:val="single"/>
          <w:rtl/>
        </w:rPr>
        <w:t>אמר להו רבי חנינא בר חמא</w:t>
      </w:r>
      <w:r w:rsidR="00303A91">
        <w:rPr>
          <w:rFonts w:cs="Arial" w:hint="cs"/>
          <w:rtl/>
        </w:rPr>
        <w:t>:</w:t>
      </w:r>
      <w:r w:rsidR="00BD52DA" w:rsidRPr="00BD52DA">
        <w:rPr>
          <w:rFonts w:cs="Arial"/>
          <w:rtl/>
        </w:rPr>
        <w:t xml:space="preserve"> כך אמר רבי ישמעאל ברבי יוסי:</w:t>
      </w:r>
      <w:r w:rsidR="00BD52DA" w:rsidRPr="00BD52DA">
        <w:rPr>
          <w:rtl/>
        </w:rPr>
        <w:t xml:space="preserve"> </w:t>
      </w:r>
      <w:r w:rsidR="00BD52DA">
        <w:rPr>
          <w:rFonts w:hint="cs"/>
          <w:sz w:val="14"/>
          <w:szCs w:val="14"/>
          <w:rtl/>
        </w:rPr>
        <w:t xml:space="preserve">(מט:) </w:t>
      </w:r>
      <w:r w:rsidR="00BD52DA" w:rsidRPr="00BD52DA">
        <w:rPr>
          <w:rFonts w:cs="Arial"/>
          <w:rtl/>
        </w:rPr>
        <w:t>אבא שלחא הוה, ואמר: הביאו שלחין ונשב עליהן. מיתיבי: נסרין של בעל הבית - מטלטלין אותן ושל אומן אין מטלטלין אותן, ואם חישב לתת עליהן פת לאורחין - בין כך ובין כך מטלטלין. שאני נסרים דקפיד עלייהו. תא שמע: עורות, בין עבודין ובין שאין עבודין - מותר לטלטלן בשבת, לא אמרו עבודין - אלא לענין טומאה בלבד. מאי לאו: לא שנא של בעל הבית, ולא שנא של אומן! לא, של בעל הבית. אבל של אומן מאי</w:t>
      </w:r>
      <w:r w:rsidR="00963141">
        <w:rPr>
          <w:rFonts w:cs="Arial" w:hint="cs"/>
          <w:rtl/>
        </w:rPr>
        <w:t>?</w:t>
      </w:r>
      <w:r w:rsidR="00BD52DA" w:rsidRPr="00BD52DA">
        <w:rPr>
          <w:rFonts w:cs="Arial"/>
          <w:rtl/>
        </w:rPr>
        <w:t xml:space="preserve"> אין מטלטלין</w:t>
      </w:r>
      <w:r w:rsidR="00963141">
        <w:rPr>
          <w:rFonts w:cs="Arial" w:hint="cs"/>
          <w:rtl/>
        </w:rPr>
        <w:t>.</w:t>
      </w:r>
      <w:r w:rsidR="00BD52DA" w:rsidRPr="00BD52DA">
        <w:rPr>
          <w:rFonts w:cs="Arial"/>
          <w:rtl/>
        </w:rPr>
        <w:t xml:space="preserve"> אי הכי, הא דתני ולא אמרו עבודין אלא לענין טומאה בלבד, לפלוג וליתני בדידה: במה דברים אמורים - בשל בעל הבית, אבל בשל אומן - לא. כולה בבעל הבית קמיירי. כתנאי: עורות של בעל הבית - מטלטלין אותן, ושל אומן - אין מטלטלין אותן. </w:t>
      </w:r>
      <w:r w:rsidR="00BD52DA" w:rsidRPr="00963141">
        <w:rPr>
          <w:rFonts w:cs="Arial"/>
          <w:u w:val="single"/>
          <w:rtl/>
        </w:rPr>
        <w:t>רבי יוסי אומר</w:t>
      </w:r>
      <w:r w:rsidR="00BD52DA" w:rsidRPr="00BD52DA">
        <w:rPr>
          <w:rFonts w:cs="Arial"/>
          <w:rtl/>
        </w:rPr>
        <w:t>: אחד זה ואחד זה - מטלטלין אותן.</w:t>
      </w:r>
      <w:r w:rsidR="00BD52DA" w:rsidRPr="00BD52DA">
        <w:rPr>
          <w:rFonts w:cs="Arial"/>
          <w:sz w:val="16"/>
          <w:szCs w:val="16"/>
          <w:rtl/>
        </w:rPr>
        <w:t xml:space="preserve"> </w:t>
      </w:r>
      <w:r w:rsidR="00BD52DA">
        <w:rPr>
          <w:rFonts w:cs="Arial" w:hint="cs"/>
          <w:sz w:val="16"/>
          <w:szCs w:val="16"/>
          <w:rtl/>
        </w:rPr>
        <w:t>(</w:t>
      </w:r>
      <w:r w:rsidR="00BD52DA" w:rsidRPr="00BD52DA">
        <w:rPr>
          <w:rFonts w:cs="Arial"/>
          <w:sz w:val="16"/>
          <w:szCs w:val="16"/>
          <w:rtl/>
        </w:rPr>
        <w:t>ופסקו הפוסקים (רמב"ם פכ"ו הי"ב) כרבי יוסי דשרי אף בשל אומן</w:t>
      </w:r>
      <w:r w:rsidR="00BD52DA" w:rsidRPr="00BD52DA">
        <w:rPr>
          <w:rFonts w:cs="Arial" w:hint="cs"/>
          <w:sz w:val="16"/>
          <w:szCs w:val="16"/>
          <w:rtl/>
        </w:rPr>
        <w:t>.</w:t>
      </w:r>
      <w:r w:rsidR="003B075A">
        <w:rPr>
          <w:rFonts w:cs="Arial" w:hint="cs"/>
          <w:sz w:val="16"/>
          <w:szCs w:val="16"/>
          <w:rtl/>
        </w:rPr>
        <w:t xml:space="preserve"> וכ"פ הטור. </w:t>
      </w:r>
      <w:r w:rsidR="003B075A" w:rsidRPr="003B075A">
        <w:rPr>
          <w:rFonts w:cs="Arial" w:hint="cs"/>
          <w:color w:val="E36C0A" w:themeColor="accent6" w:themeShade="BF"/>
          <w:sz w:val="16"/>
          <w:szCs w:val="16"/>
          <w:rtl/>
        </w:rPr>
        <w:t>וכ"פ בשו"ע</w:t>
      </w:r>
      <w:r w:rsidR="00124C67">
        <w:rPr>
          <w:rFonts w:cs="Arial" w:hint="cs"/>
          <w:sz w:val="16"/>
          <w:szCs w:val="16"/>
          <w:rtl/>
        </w:rPr>
        <w:t>)</w:t>
      </w:r>
    </w:p>
    <w:p w14:paraId="62D7FE69" w14:textId="2FCF5163" w:rsidR="00124C67" w:rsidRPr="0082136A" w:rsidRDefault="00124C67" w:rsidP="00434A6A">
      <w:pPr>
        <w:rPr>
          <w:rFonts w:cs="Arial"/>
          <w:u w:val="single"/>
          <w:rtl/>
        </w:rPr>
      </w:pPr>
      <w:r w:rsidRPr="0082136A">
        <w:rPr>
          <w:rFonts w:cs="Arial" w:hint="cs"/>
          <w:u w:val="single"/>
          <w:rtl/>
        </w:rPr>
        <w:t>כיצד ניתן לסדר את הגמרות:</w:t>
      </w:r>
    </w:p>
    <w:p w14:paraId="3F720E31" w14:textId="0AB0F334" w:rsidR="00124C67" w:rsidRPr="0082136A" w:rsidRDefault="00124C67" w:rsidP="00434A6A">
      <w:pPr>
        <w:pStyle w:val="aa"/>
        <w:numPr>
          <w:ilvl w:val="0"/>
          <w:numId w:val="3"/>
        </w:numPr>
        <w:rPr>
          <w:rFonts w:cs="Arial"/>
          <w:rtl/>
        </w:rPr>
      </w:pPr>
      <w:r w:rsidRPr="0082136A">
        <w:rPr>
          <w:rFonts w:cs="Arial" w:hint="cs"/>
          <w:rtl/>
        </w:rPr>
        <w:t>רש"י</w:t>
      </w:r>
      <w:r w:rsidRPr="0082136A">
        <w:rPr>
          <w:rFonts w:cs="Arial" w:hint="cs"/>
          <w:sz w:val="16"/>
          <w:szCs w:val="16"/>
          <w:rtl/>
        </w:rPr>
        <w:t xml:space="preserve"> (קטז: ד"ה בתרתי)</w:t>
      </w:r>
      <w:r w:rsidRPr="0082136A">
        <w:rPr>
          <w:rFonts w:cs="Arial" w:hint="cs"/>
          <w:rtl/>
        </w:rPr>
        <w:t xml:space="preserve">- </w:t>
      </w:r>
      <w:r w:rsidRPr="0082136A">
        <w:rPr>
          <w:rFonts w:cs="Arial"/>
          <w:rtl/>
        </w:rPr>
        <w:t>אסר ר' ישמעאל לטלטל הפסח אחר שהוציא אימוריו אפילו מחמה לצל, משום עור, דלאו בר טלטול הוא, ולא דמי לשלחין, דאמרן בבמה טומנין (שבת מט</w:t>
      </w:r>
      <w:r w:rsidR="0082136A">
        <w:rPr>
          <w:rFonts w:cs="Arial" w:hint="cs"/>
          <w:rtl/>
        </w:rPr>
        <w:t>.</w:t>
      </w:r>
      <w:r w:rsidRPr="0082136A">
        <w:rPr>
          <w:rFonts w:cs="Arial"/>
          <w:rtl/>
        </w:rPr>
        <w:t>) שמטלטלין אותן, דהתם עור בהמה גסה, דחזי למישטחיה ולמיזגא עליה</w:t>
      </w:r>
      <w:r w:rsidR="008456A6">
        <w:rPr>
          <w:rStyle w:val="a9"/>
          <w:rFonts w:cs="Arial"/>
          <w:rtl/>
        </w:rPr>
        <w:footnoteReference w:id="1600"/>
      </w:r>
      <w:r w:rsidRPr="0082136A">
        <w:rPr>
          <w:rFonts w:cs="Arial"/>
          <w:rtl/>
        </w:rPr>
        <w:t>.</w:t>
      </w:r>
      <w:r w:rsidR="003B075A" w:rsidRPr="003B075A">
        <w:rPr>
          <w:rFonts w:cs="Arial" w:hint="cs"/>
          <w:color w:val="00B0F0"/>
          <w:rtl/>
        </w:rPr>
        <w:t xml:space="preserve"> (וכ"</w:t>
      </w:r>
      <w:r w:rsidR="003B075A">
        <w:rPr>
          <w:rFonts w:cs="Arial" w:hint="cs"/>
          <w:color w:val="00B0F0"/>
          <w:rtl/>
        </w:rPr>
        <w:t>כ</w:t>
      </w:r>
      <w:r w:rsidR="003B075A" w:rsidRPr="003B075A">
        <w:rPr>
          <w:rFonts w:cs="Arial" w:hint="cs"/>
          <w:color w:val="00B0F0"/>
          <w:rtl/>
        </w:rPr>
        <w:t xml:space="preserve"> הרמ"א)</w:t>
      </w:r>
    </w:p>
    <w:p w14:paraId="33F4A801" w14:textId="76630F6B" w:rsidR="0082136A" w:rsidRPr="0082136A" w:rsidRDefault="0082136A" w:rsidP="00434A6A">
      <w:pPr>
        <w:pStyle w:val="aa"/>
        <w:numPr>
          <w:ilvl w:val="0"/>
          <w:numId w:val="3"/>
        </w:numPr>
        <w:rPr>
          <w:rFonts w:cs="Arial"/>
          <w:rtl/>
        </w:rPr>
      </w:pPr>
      <w:r w:rsidRPr="0082136A">
        <w:rPr>
          <w:rFonts w:cs="Arial"/>
          <w:rtl/>
        </w:rPr>
        <w:t xml:space="preserve">ר"ת </w:t>
      </w:r>
      <w:r>
        <w:rPr>
          <w:rFonts w:cs="Arial" w:hint="cs"/>
          <w:sz w:val="16"/>
          <w:szCs w:val="16"/>
          <w:rtl/>
        </w:rPr>
        <w:t>(כ"כ התוס' בשמו בסוף דבריהם)</w:t>
      </w:r>
      <w:r w:rsidRPr="0082136A">
        <w:rPr>
          <w:rFonts w:cs="Arial" w:hint="cs"/>
          <w:rtl/>
        </w:rPr>
        <w:t xml:space="preserve"> </w:t>
      </w:r>
      <w:r>
        <w:rPr>
          <w:rFonts w:cs="Arial" w:hint="cs"/>
          <w:rtl/>
        </w:rPr>
        <w:t>ו</w:t>
      </w:r>
      <w:r w:rsidRPr="0082136A">
        <w:rPr>
          <w:rFonts w:cs="Arial"/>
          <w:rtl/>
        </w:rPr>
        <w:t xml:space="preserve">ר"ן </w:t>
      </w:r>
      <w:r w:rsidRPr="0082136A">
        <w:rPr>
          <w:rFonts w:cs="Arial"/>
          <w:sz w:val="16"/>
          <w:szCs w:val="16"/>
          <w:rtl/>
        </w:rPr>
        <w:t>(כב: ד"ה ומאי)</w:t>
      </w:r>
      <w:r>
        <w:rPr>
          <w:rFonts w:cs="Arial" w:hint="cs"/>
          <w:rtl/>
        </w:rPr>
        <w:t xml:space="preserve">- </w:t>
      </w:r>
      <w:r w:rsidRPr="0082136A">
        <w:rPr>
          <w:rFonts w:cs="Arial"/>
          <w:rtl/>
        </w:rPr>
        <w:t>הכא מיירי ביבשין דחזי למזגא עלייהו והתם בלחין</w:t>
      </w:r>
      <w:r>
        <w:rPr>
          <w:rFonts w:cs="Arial" w:hint="cs"/>
          <w:sz w:val="16"/>
          <w:szCs w:val="16"/>
          <w:rtl/>
        </w:rPr>
        <w:t xml:space="preserve"> (ל' התוס' בשם ר"ת)</w:t>
      </w:r>
      <w:r w:rsidRPr="0082136A">
        <w:rPr>
          <w:rFonts w:cs="Arial" w:hint="cs"/>
          <w:rtl/>
        </w:rPr>
        <w:t xml:space="preserve">. </w:t>
      </w:r>
      <w:r w:rsidR="003B075A" w:rsidRPr="003B075A">
        <w:rPr>
          <w:rFonts w:cs="Arial" w:hint="cs"/>
          <w:color w:val="E36C0A" w:themeColor="accent6" w:themeShade="BF"/>
          <w:rtl/>
        </w:rPr>
        <w:t>(וכ"פ בשו"ע)</w:t>
      </w:r>
    </w:p>
    <w:p w14:paraId="65C532CA"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593A5E80" w14:textId="5F11DDD0" w:rsidR="000C6229" w:rsidRPr="005275DF" w:rsidRDefault="000C6229" w:rsidP="00434A6A">
      <w:pPr>
        <w:rPr>
          <w:rFonts w:asciiTheme="minorBidi" w:hAnsiTheme="minorBidi"/>
          <w:rtl/>
        </w:rPr>
      </w:pPr>
      <w:r w:rsidRPr="005275DF">
        <w:rPr>
          <w:rFonts w:asciiTheme="minorBidi" w:hAnsiTheme="minorBidi"/>
          <w:rtl/>
        </w:rPr>
        <w:t>עורות יבשים</w:t>
      </w:r>
      <w:r w:rsidR="004B588F">
        <w:rPr>
          <w:rStyle w:val="a9"/>
          <w:rFonts w:asciiTheme="minorBidi" w:hAnsiTheme="minorBidi"/>
          <w:rtl/>
        </w:rPr>
        <w:footnoteReference w:id="1601"/>
      </w:r>
      <w:r w:rsidRPr="005275DF">
        <w:rPr>
          <w:rFonts w:asciiTheme="minorBidi" w:hAnsiTheme="minorBidi"/>
          <w:rtl/>
        </w:rPr>
        <w:t>, בין של אומן</w:t>
      </w:r>
      <w:r w:rsidR="004B588F">
        <w:rPr>
          <w:rStyle w:val="a9"/>
          <w:rFonts w:asciiTheme="minorBidi" w:hAnsiTheme="minorBidi"/>
          <w:rtl/>
        </w:rPr>
        <w:footnoteReference w:id="1602"/>
      </w:r>
      <w:r w:rsidRPr="005275DF">
        <w:rPr>
          <w:rFonts w:asciiTheme="minorBidi" w:hAnsiTheme="minorBidi"/>
          <w:rtl/>
        </w:rPr>
        <w:t xml:space="preserve"> בין של בע</w:t>
      </w:r>
      <w:r w:rsidR="002029F4">
        <w:rPr>
          <w:rFonts w:asciiTheme="minorBidi" w:hAnsiTheme="minorBidi" w:hint="cs"/>
          <w:rtl/>
        </w:rPr>
        <w:t>ל הבית</w:t>
      </w:r>
      <w:r w:rsidRPr="005275DF">
        <w:rPr>
          <w:rFonts w:asciiTheme="minorBidi" w:hAnsiTheme="minorBidi"/>
          <w:rtl/>
        </w:rPr>
        <w:t xml:space="preserve">, מותר לטלטלן. </w:t>
      </w:r>
      <w:r w:rsidRPr="002029F4">
        <w:rPr>
          <w:rFonts w:asciiTheme="minorBidi" w:hAnsiTheme="minorBidi"/>
          <w:sz w:val="18"/>
          <w:szCs w:val="18"/>
          <w:rtl/>
        </w:rPr>
        <w:t>הגה: וי"א דוקא עורות בהמה גסה דחזי לישב עליהם, אבל מבהמה דקה, אסור</w:t>
      </w:r>
      <w:r w:rsidR="00F412A2">
        <w:rPr>
          <w:rFonts w:asciiTheme="minorBidi" w:hAnsiTheme="minorBidi" w:hint="cs"/>
          <w:sz w:val="18"/>
          <w:szCs w:val="18"/>
          <w:rtl/>
        </w:rPr>
        <w:t xml:space="preserve"> </w:t>
      </w:r>
      <w:r w:rsidR="00F412A2" w:rsidRPr="002029F4">
        <w:rPr>
          <w:rFonts w:asciiTheme="minorBidi" w:hAnsiTheme="minorBidi"/>
          <w:sz w:val="18"/>
          <w:szCs w:val="18"/>
          <w:rtl/>
        </w:rPr>
        <w:t>(רש"</w:t>
      </w:r>
      <w:r w:rsidR="00C53543">
        <w:rPr>
          <w:rFonts w:asciiTheme="minorBidi" w:hAnsiTheme="minorBidi" w:hint="cs"/>
          <w:sz w:val="18"/>
          <w:szCs w:val="18"/>
          <w:rtl/>
        </w:rPr>
        <w:t>י</w:t>
      </w:r>
      <w:r w:rsidR="00F412A2" w:rsidRPr="002029F4">
        <w:rPr>
          <w:rFonts w:asciiTheme="minorBidi" w:hAnsiTheme="minorBidi"/>
          <w:sz w:val="18"/>
          <w:szCs w:val="18"/>
          <w:rtl/>
        </w:rPr>
        <w:t>)</w:t>
      </w:r>
      <w:r w:rsidRPr="002029F4">
        <w:rPr>
          <w:rFonts w:asciiTheme="minorBidi" w:hAnsiTheme="minorBidi"/>
          <w:sz w:val="18"/>
          <w:szCs w:val="18"/>
          <w:rtl/>
        </w:rPr>
        <w:t>, אא"כ חשב</w:t>
      </w:r>
      <w:r w:rsidR="004C36B4">
        <w:rPr>
          <w:rStyle w:val="a9"/>
          <w:rFonts w:asciiTheme="minorBidi" w:hAnsiTheme="minorBidi"/>
          <w:sz w:val="18"/>
          <w:szCs w:val="18"/>
          <w:rtl/>
        </w:rPr>
        <w:footnoteReference w:id="1603"/>
      </w:r>
      <w:r w:rsidRPr="002029F4">
        <w:rPr>
          <w:rFonts w:asciiTheme="minorBidi" w:hAnsiTheme="minorBidi"/>
          <w:sz w:val="18"/>
          <w:szCs w:val="18"/>
          <w:rtl/>
        </w:rPr>
        <w:t xml:space="preserve"> לישב עליהם </w:t>
      </w:r>
      <w:r w:rsidR="00357CCA" w:rsidRPr="002029F4">
        <w:rPr>
          <w:rFonts w:asciiTheme="minorBidi" w:hAnsiTheme="minorBidi"/>
          <w:sz w:val="18"/>
          <w:szCs w:val="18"/>
          <w:rtl/>
        </w:rPr>
        <w:t>מבעוד יום</w:t>
      </w:r>
      <w:r w:rsidR="00F412A2">
        <w:rPr>
          <w:rFonts w:asciiTheme="minorBidi" w:hAnsiTheme="minorBidi" w:hint="cs"/>
          <w:sz w:val="18"/>
          <w:szCs w:val="18"/>
          <w:rtl/>
        </w:rPr>
        <w:t xml:space="preserve"> (תוס' אליבא דרש"י)</w:t>
      </w:r>
      <w:r w:rsidRPr="002029F4">
        <w:rPr>
          <w:rFonts w:asciiTheme="minorBidi" w:hAnsiTheme="minorBidi"/>
          <w:sz w:val="18"/>
          <w:szCs w:val="18"/>
          <w:rtl/>
        </w:rPr>
        <w:t>.</w:t>
      </w:r>
      <w:r w:rsidRPr="005275DF">
        <w:rPr>
          <w:rFonts w:asciiTheme="minorBidi" w:hAnsiTheme="minorBidi"/>
          <w:rtl/>
        </w:rPr>
        <w:t xml:space="preserve"> </w:t>
      </w:r>
    </w:p>
    <w:p w14:paraId="2F483CA7" w14:textId="77777777" w:rsidR="000C6229" w:rsidRPr="005275DF" w:rsidRDefault="000C6229" w:rsidP="00434A6A">
      <w:pPr>
        <w:rPr>
          <w:rFonts w:asciiTheme="minorBidi" w:hAnsiTheme="minorBidi"/>
          <w:rtl/>
        </w:rPr>
      </w:pPr>
    </w:p>
    <w:p w14:paraId="014B9895" w14:textId="2A236C82" w:rsidR="00E47CB7" w:rsidRDefault="000C6229" w:rsidP="00434A6A">
      <w:pPr>
        <w:pStyle w:val="2"/>
        <w:rPr>
          <w:rtl/>
        </w:rPr>
      </w:pPr>
      <w:r w:rsidRPr="005275DF">
        <w:rPr>
          <w:rtl/>
        </w:rPr>
        <w:t>סעיף כו</w:t>
      </w:r>
      <w:r w:rsidR="00F63421">
        <w:rPr>
          <w:rFonts w:hint="cs"/>
          <w:rtl/>
        </w:rPr>
        <w:t>:</w:t>
      </w:r>
      <w:r w:rsidR="002029F4">
        <w:rPr>
          <w:rFonts w:hint="cs"/>
          <w:rtl/>
        </w:rPr>
        <w:t xml:space="preserve"> נסרים.</w:t>
      </w:r>
    </w:p>
    <w:p w14:paraId="7F6A9FB8" w14:textId="48F2DB01" w:rsidR="003113A6" w:rsidRDefault="002029F4" w:rsidP="00434A6A">
      <w:pPr>
        <w:rPr>
          <w:rFonts w:cs="Arial"/>
          <w:rtl/>
        </w:rPr>
      </w:pPr>
      <w:r w:rsidRPr="002A45F7">
        <w:rPr>
          <w:rFonts w:hint="cs"/>
          <w:b/>
          <w:bCs/>
          <w:rtl/>
        </w:rPr>
        <w:t xml:space="preserve">שבת </w:t>
      </w:r>
      <w:r>
        <w:rPr>
          <w:rFonts w:hint="cs"/>
          <w:b/>
          <w:bCs/>
          <w:sz w:val="16"/>
          <w:szCs w:val="16"/>
          <w:rtl/>
        </w:rPr>
        <w:t>(פ' במה טומנין)</w:t>
      </w:r>
      <w:r>
        <w:rPr>
          <w:rFonts w:hint="cs"/>
          <w:b/>
          <w:bCs/>
          <w:rtl/>
        </w:rPr>
        <w:t xml:space="preserve"> מט</w:t>
      </w:r>
      <w:r w:rsidRPr="002A45F7">
        <w:rPr>
          <w:rFonts w:hint="cs"/>
          <w:b/>
          <w:bCs/>
          <w:rtl/>
        </w:rPr>
        <w:t xml:space="preserve"> ע"</w:t>
      </w:r>
      <w:r w:rsidR="004C36B4">
        <w:rPr>
          <w:rFonts w:hint="cs"/>
          <w:b/>
          <w:bCs/>
          <w:rtl/>
        </w:rPr>
        <w:t>ב</w:t>
      </w:r>
      <w:r w:rsidRPr="002A45F7">
        <w:rPr>
          <w:rFonts w:hint="cs"/>
          <w:b/>
          <w:bCs/>
          <w:rtl/>
        </w:rPr>
        <w:t>:</w:t>
      </w:r>
      <w:r>
        <w:rPr>
          <w:rFonts w:cs="Arial" w:hint="cs"/>
          <w:rtl/>
        </w:rPr>
        <w:t xml:space="preserve"> </w:t>
      </w:r>
      <w:r w:rsidR="004C36B4" w:rsidRPr="00303A91">
        <w:rPr>
          <w:rFonts w:cs="Arial"/>
          <w:u w:val="single"/>
          <w:rtl/>
        </w:rPr>
        <w:t>אמר להו רבי חנינא בר חמא</w:t>
      </w:r>
      <w:r w:rsidR="004C36B4">
        <w:rPr>
          <w:rFonts w:cs="Arial" w:hint="cs"/>
          <w:rtl/>
        </w:rPr>
        <w:t>:</w:t>
      </w:r>
      <w:r w:rsidR="004C36B4" w:rsidRPr="00BD52DA">
        <w:rPr>
          <w:rFonts w:cs="Arial"/>
          <w:rtl/>
        </w:rPr>
        <w:t xml:space="preserve"> כך אמר רבי ישמעאל ברבי יוסי:</w:t>
      </w:r>
      <w:r w:rsidR="004C36B4" w:rsidRPr="00BD52DA">
        <w:rPr>
          <w:rtl/>
        </w:rPr>
        <w:t xml:space="preserve"> </w:t>
      </w:r>
      <w:r w:rsidR="004C36B4">
        <w:rPr>
          <w:rFonts w:hint="cs"/>
          <w:sz w:val="14"/>
          <w:szCs w:val="14"/>
          <w:rtl/>
        </w:rPr>
        <w:t xml:space="preserve">(מט:) </w:t>
      </w:r>
      <w:r w:rsidR="004C36B4" w:rsidRPr="00BD52DA">
        <w:rPr>
          <w:rFonts w:cs="Arial"/>
          <w:rtl/>
        </w:rPr>
        <w:t xml:space="preserve">אבא שלחא הוה, ואמר: הביאו שלחין ונשב עליהן. </w:t>
      </w:r>
      <w:r w:rsidR="004C36B4" w:rsidRPr="004C36B4">
        <w:rPr>
          <w:rFonts w:cs="Arial"/>
          <w:rtl/>
        </w:rPr>
        <w:t xml:space="preserve">מיתיבי: נסרין של בעל הבית - מטלטלין אותן ושל אומן אין מטלטלין אותן, ואם חישב לתת עליהן פת לאורחין - בין כך ובין כך מטלטלין. שאני נסרים דקפיד עלייהו. </w:t>
      </w:r>
    </w:p>
    <w:p w14:paraId="441BF3F4" w14:textId="1CCBF868" w:rsidR="003113A6" w:rsidRPr="002029F4" w:rsidRDefault="002029F4" w:rsidP="00434A6A">
      <w:pPr>
        <w:rPr>
          <w:u w:val="single"/>
          <w:rtl/>
        </w:rPr>
      </w:pPr>
      <w:r w:rsidRPr="002029F4">
        <w:rPr>
          <w:rFonts w:hint="cs"/>
          <w:u w:val="single"/>
          <w:rtl/>
        </w:rPr>
        <w:t>טלטול נסרים:</w:t>
      </w:r>
    </w:p>
    <w:p w14:paraId="4C292B4C" w14:textId="58B5DF9D" w:rsidR="00B14BC7" w:rsidRPr="003113A6" w:rsidRDefault="003113A6" w:rsidP="00434A6A">
      <w:pPr>
        <w:pStyle w:val="aa"/>
        <w:numPr>
          <w:ilvl w:val="0"/>
          <w:numId w:val="3"/>
        </w:numPr>
        <w:rPr>
          <w:rFonts w:cs="Arial"/>
          <w:rtl/>
        </w:rPr>
      </w:pPr>
      <w:r w:rsidRPr="003113A6">
        <w:rPr>
          <w:rFonts w:cs="Arial" w:hint="cs"/>
          <w:rtl/>
        </w:rPr>
        <w:t xml:space="preserve">טור- </w:t>
      </w:r>
      <w:r w:rsidR="00B14BC7" w:rsidRPr="003113A6">
        <w:rPr>
          <w:rFonts w:cs="Arial"/>
          <w:rtl/>
        </w:rPr>
        <w:t>נסרים של ב</w:t>
      </w:r>
      <w:r w:rsidR="004C36B4">
        <w:rPr>
          <w:rFonts w:cs="Arial" w:hint="cs"/>
          <w:rtl/>
        </w:rPr>
        <w:t>על הבית</w:t>
      </w:r>
      <w:r w:rsidR="00B14BC7" w:rsidRPr="003113A6">
        <w:rPr>
          <w:rFonts w:cs="Arial"/>
          <w:rtl/>
        </w:rPr>
        <w:t xml:space="preserve"> </w:t>
      </w:r>
      <w:r w:rsidR="004C36B4">
        <w:rPr>
          <w:rFonts w:cs="Arial" w:hint="cs"/>
          <w:rtl/>
        </w:rPr>
        <w:t xml:space="preserve">- </w:t>
      </w:r>
      <w:r w:rsidR="00B14BC7" w:rsidRPr="003113A6">
        <w:rPr>
          <w:rFonts w:cs="Arial"/>
          <w:rtl/>
        </w:rPr>
        <w:t>מותר לטלטלן</w:t>
      </w:r>
      <w:r w:rsidR="004C36B4">
        <w:rPr>
          <w:rFonts w:cs="Arial" w:hint="cs"/>
          <w:rtl/>
        </w:rPr>
        <w:t>.</w:t>
      </w:r>
      <w:r w:rsidR="00B14BC7" w:rsidRPr="003113A6">
        <w:rPr>
          <w:rFonts w:cs="Arial"/>
          <w:rtl/>
        </w:rPr>
        <w:t xml:space="preserve"> ושל אומן </w:t>
      </w:r>
      <w:r w:rsidR="004C36B4">
        <w:rPr>
          <w:rFonts w:cs="Arial" w:hint="cs"/>
          <w:rtl/>
        </w:rPr>
        <w:t xml:space="preserve">- </w:t>
      </w:r>
      <w:r w:rsidR="00B14BC7" w:rsidRPr="003113A6">
        <w:rPr>
          <w:rFonts w:cs="Arial"/>
          <w:rtl/>
        </w:rPr>
        <w:t xml:space="preserve">אסור אא"כ חישב עליהם </w:t>
      </w:r>
      <w:r w:rsidR="00357CCA" w:rsidRPr="003113A6">
        <w:rPr>
          <w:rFonts w:cs="Arial"/>
          <w:rtl/>
        </w:rPr>
        <w:t>מבעוד יום</w:t>
      </w:r>
      <w:r w:rsidR="00B14BC7" w:rsidRPr="003113A6">
        <w:rPr>
          <w:rFonts w:cs="Arial"/>
          <w:rtl/>
        </w:rPr>
        <w:t xml:space="preserve"> ליתן עליהם פת לאורחים או תשמיש אחר. </w:t>
      </w:r>
      <w:r w:rsidR="004C36B4" w:rsidRPr="003B075A">
        <w:rPr>
          <w:rFonts w:cs="Arial" w:hint="cs"/>
          <w:color w:val="E36C0A" w:themeColor="accent6" w:themeShade="BF"/>
          <w:rtl/>
        </w:rPr>
        <w:t>(וכ"פ בשו"ע)</w:t>
      </w:r>
    </w:p>
    <w:p w14:paraId="5547DFAB"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415C76E4" w14:textId="0EDB932C" w:rsidR="000C6229" w:rsidRPr="005275DF" w:rsidRDefault="000C6229" w:rsidP="00434A6A">
      <w:pPr>
        <w:rPr>
          <w:rFonts w:asciiTheme="minorBidi" w:hAnsiTheme="minorBidi"/>
          <w:rtl/>
        </w:rPr>
      </w:pPr>
      <w:r w:rsidRPr="005275DF">
        <w:rPr>
          <w:rFonts w:asciiTheme="minorBidi" w:hAnsiTheme="minorBidi"/>
          <w:rtl/>
        </w:rPr>
        <w:t>נסרים של בע</w:t>
      </w:r>
      <w:r w:rsidR="002029F4">
        <w:rPr>
          <w:rFonts w:asciiTheme="minorBidi" w:hAnsiTheme="minorBidi" w:hint="cs"/>
          <w:rtl/>
        </w:rPr>
        <w:t xml:space="preserve">ל </w:t>
      </w:r>
      <w:r w:rsidRPr="005275DF">
        <w:rPr>
          <w:rFonts w:asciiTheme="minorBidi" w:hAnsiTheme="minorBidi"/>
          <w:rtl/>
        </w:rPr>
        <w:t>הב</w:t>
      </w:r>
      <w:r w:rsidR="002029F4">
        <w:rPr>
          <w:rFonts w:asciiTheme="minorBidi" w:hAnsiTheme="minorBidi" w:hint="cs"/>
          <w:rtl/>
        </w:rPr>
        <w:t>ית</w:t>
      </w:r>
      <w:r w:rsidRPr="005275DF">
        <w:rPr>
          <w:rFonts w:asciiTheme="minorBidi" w:hAnsiTheme="minorBidi"/>
          <w:rtl/>
        </w:rPr>
        <w:t>, מותר לטלטלן</w:t>
      </w:r>
      <w:r w:rsidR="002029F4">
        <w:rPr>
          <w:rFonts w:asciiTheme="minorBidi" w:hAnsiTheme="minorBidi" w:hint="cs"/>
          <w:rtl/>
        </w:rPr>
        <w:t>.</w:t>
      </w:r>
      <w:r w:rsidRPr="005275DF">
        <w:rPr>
          <w:rFonts w:asciiTheme="minorBidi" w:hAnsiTheme="minorBidi"/>
          <w:rtl/>
        </w:rPr>
        <w:t xml:space="preserve"> ושל אומן, אסור א</w:t>
      </w:r>
      <w:r w:rsidR="002029F4">
        <w:rPr>
          <w:rFonts w:asciiTheme="minorBidi" w:hAnsiTheme="minorBidi" w:hint="cs"/>
          <w:rtl/>
        </w:rPr>
        <w:t>לא אם כן</w:t>
      </w:r>
      <w:r w:rsidRPr="005275DF">
        <w:rPr>
          <w:rFonts w:asciiTheme="minorBidi" w:hAnsiTheme="minorBidi"/>
          <w:rtl/>
        </w:rPr>
        <w:t xml:space="preserve"> חשב עליהם </w:t>
      </w:r>
      <w:r w:rsidR="00357CCA">
        <w:rPr>
          <w:rFonts w:asciiTheme="minorBidi" w:hAnsiTheme="minorBidi"/>
          <w:rtl/>
        </w:rPr>
        <w:t>מבעוד יום</w:t>
      </w:r>
      <w:r w:rsidRPr="005275DF">
        <w:rPr>
          <w:rFonts w:asciiTheme="minorBidi" w:hAnsiTheme="minorBidi"/>
          <w:rtl/>
        </w:rPr>
        <w:t xml:space="preserve"> ליתן עליהם פת לאורחים או תשמיש אחר. </w:t>
      </w:r>
    </w:p>
    <w:p w14:paraId="1349E584" w14:textId="77777777" w:rsidR="000C6229" w:rsidRPr="005275DF" w:rsidRDefault="000C6229" w:rsidP="00434A6A">
      <w:pPr>
        <w:rPr>
          <w:rFonts w:asciiTheme="minorBidi" w:hAnsiTheme="minorBidi"/>
          <w:rtl/>
        </w:rPr>
      </w:pPr>
    </w:p>
    <w:p w14:paraId="14F6C6E2" w14:textId="5FED7509" w:rsidR="000C6229" w:rsidRDefault="000C6229" w:rsidP="00434A6A">
      <w:pPr>
        <w:pStyle w:val="2"/>
        <w:rPr>
          <w:rtl/>
        </w:rPr>
      </w:pPr>
      <w:r w:rsidRPr="005275DF">
        <w:rPr>
          <w:rtl/>
        </w:rPr>
        <w:t>סעיף כז</w:t>
      </w:r>
      <w:r w:rsidR="002029F4">
        <w:rPr>
          <w:rFonts w:hint="cs"/>
          <w:rtl/>
        </w:rPr>
        <w:t>: עצמות</w:t>
      </w:r>
      <w:r w:rsidR="001162FD">
        <w:rPr>
          <w:rFonts w:hint="cs"/>
          <w:rtl/>
        </w:rPr>
        <w:t>/</w:t>
      </w:r>
      <w:r w:rsidR="002029F4">
        <w:rPr>
          <w:rFonts w:hint="cs"/>
          <w:rtl/>
        </w:rPr>
        <w:t>קליפות</w:t>
      </w:r>
      <w:r w:rsidR="001162FD">
        <w:rPr>
          <w:rFonts w:hint="cs"/>
          <w:rtl/>
        </w:rPr>
        <w:t>/</w:t>
      </w:r>
      <w:r w:rsidR="002029F4">
        <w:rPr>
          <w:rFonts w:hint="cs"/>
          <w:rtl/>
        </w:rPr>
        <w:t>פירורים שאין בהם כזית</w:t>
      </w:r>
      <w:r w:rsidR="00C828F4">
        <w:rPr>
          <w:rFonts w:hint="cs"/>
          <w:rtl/>
        </w:rPr>
        <w:t>.</w:t>
      </w:r>
    </w:p>
    <w:p w14:paraId="2CA86AD2" w14:textId="4AD50CF0" w:rsidR="003113A6" w:rsidRDefault="003113A6" w:rsidP="00434A6A">
      <w:pPr>
        <w:rPr>
          <w:rFonts w:cs="Arial"/>
          <w:rtl/>
        </w:rPr>
      </w:pPr>
      <w:r w:rsidRPr="002A45F7">
        <w:rPr>
          <w:rFonts w:hint="cs"/>
          <w:b/>
          <w:bCs/>
          <w:rtl/>
        </w:rPr>
        <w:t xml:space="preserve">שבת </w:t>
      </w:r>
      <w:r>
        <w:rPr>
          <w:rFonts w:hint="cs"/>
          <w:b/>
          <w:bCs/>
          <w:sz w:val="16"/>
          <w:szCs w:val="16"/>
          <w:rtl/>
        </w:rPr>
        <w:t>(</w:t>
      </w:r>
      <w:r w:rsidR="005B58DF">
        <w:rPr>
          <w:rFonts w:hint="cs"/>
          <w:b/>
          <w:bCs/>
          <w:sz w:val="16"/>
          <w:szCs w:val="16"/>
          <w:rtl/>
        </w:rPr>
        <w:t>ס"</w:t>
      </w:r>
      <w:r>
        <w:rPr>
          <w:rFonts w:hint="cs"/>
          <w:b/>
          <w:bCs/>
          <w:sz w:val="16"/>
          <w:szCs w:val="16"/>
          <w:rtl/>
        </w:rPr>
        <w:t xml:space="preserve">פ </w:t>
      </w:r>
      <w:r w:rsidR="002029F4">
        <w:rPr>
          <w:rFonts w:hint="cs"/>
          <w:b/>
          <w:bCs/>
          <w:sz w:val="16"/>
          <w:szCs w:val="16"/>
          <w:rtl/>
        </w:rPr>
        <w:t>נוטל</w:t>
      </w:r>
      <w:r>
        <w:rPr>
          <w:rFonts w:hint="cs"/>
          <w:b/>
          <w:bCs/>
          <w:sz w:val="16"/>
          <w:szCs w:val="16"/>
          <w:rtl/>
        </w:rPr>
        <w:t>)</w:t>
      </w:r>
      <w:r>
        <w:rPr>
          <w:rFonts w:hint="cs"/>
          <w:b/>
          <w:bCs/>
          <w:rtl/>
        </w:rPr>
        <w:t xml:space="preserve"> </w:t>
      </w:r>
      <w:r w:rsidR="002029F4">
        <w:rPr>
          <w:rFonts w:hint="cs"/>
          <w:b/>
          <w:bCs/>
          <w:rtl/>
        </w:rPr>
        <w:t>קמג</w:t>
      </w:r>
      <w:r w:rsidRPr="002A45F7">
        <w:rPr>
          <w:rFonts w:hint="cs"/>
          <w:b/>
          <w:bCs/>
          <w:rtl/>
        </w:rPr>
        <w:t xml:space="preserve"> ע"</w:t>
      </w:r>
      <w:r>
        <w:rPr>
          <w:rFonts w:hint="cs"/>
          <w:b/>
          <w:bCs/>
          <w:rtl/>
        </w:rPr>
        <w:t>א</w:t>
      </w:r>
      <w:r w:rsidRPr="002A45F7">
        <w:rPr>
          <w:rFonts w:hint="cs"/>
          <w:b/>
          <w:bCs/>
          <w:rtl/>
        </w:rPr>
        <w:t>:</w:t>
      </w:r>
      <w:r>
        <w:rPr>
          <w:rFonts w:cs="Arial" w:hint="cs"/>
          <w:rtl/>
        </w:rPr>
        <w:t xml:space="preserve"> </w:t>
      </w:r>
      <w:r w:rsidR="005B58DF" w:rsidRPr="005B58DF">
        <w:rPr>
          <w:rFonts w:cs="Arial"/>
          <w:u w:val="double"/>
          <w:rtl/>
        </w:rPr>
        <w:t>משנה</w:t>
      </w:r>
      <w:r w:rsidR="005B58DF">
        <w:rPr>
          <w:rFonts w:cs="Arial" w:hint="cs"/>
          <w:rtl/>
        </w:rPr>
        <w:t>:</w:t>
      </w:r>
      <w:r w:rsidR="005B58DF" w:rsidRPr="005B58DF">
        <w:rPr>
          <w:rFonts w:cs="Arial"/>
          <w:rtl/>
        </w:rPr>
        <w:t xml:space="preserve"> </w:t>
      </w:r>
      <w:r w:rsidR="005B58DF" w:rsidRPr="005B58DF">
        <w:rPr>
          <w:rFonts w:cs="Arial"/>
          <w:u w:val="single"/>
          <w:rtl/>
        </w:rPr>
        <w:t>בית שמאי אומרים</w:t>
      </w:r>
      <w:r w:rsidR="005B58DF" w:rsidRPr="005B58DF">
        <w:rPr>
          <w:rFonts w:cs="Arial"/>
          <w:rtl/>
        </w:rPr>
        <w:t>: מעבירין</w:t>
      </w:r>
      <w:r w:rsidR="005B58DF">
        <w:rPr>
          <w:rStyle w:val="a9"/>
          <w:rFonts w:cs="Arial"/>
          <w:rtl/>
        </w:rPr>
        <w:footnoteReference w:id="1604"/>
      </w:r>
      <w:r w:rsidR="005B58DF" w:rsidRPr="005B58DF">
        <w:rPr>
          <w:rFonts w:cs="Arial"/>
          <w:rtl/>
        </w:rPr>
        <w:t xml:space="preserve"> מעל השלחן עצמות</w:t>
      </w:r>
      <w:r w:rsidR="005B58DF">
        <w:rPr>
          <w:rStyle w:val="a9"/>
          <w:rFonts w:cs="Arial"/>
          <w:rtl/>
        </w:rPr>
        <w:footnoteReference w:id="1605"/>
      </w:r>
      <w:r w:rsidR="005B58DF" w:rsidRPr="005B58DF">
        <w:rPr>
          <w:rFonts w:cs="Arial"/>
          <w:rtl/>
        </w:rPr>
        <w:t xml:space="preserve"> וקליפין</w:t>
      </w:r>
      <w:r w:rsidR="005B58DF">
        <w:rPr>
          <w:rStyle w:val="a9"/>
          <w:rFonts w:cs="Arial"/>
          <w:rtl/>
        </w:rPr>
        <w:footnoteReference w:id="1606"/>
      </w:r>
      <w:r w:rsidR="005B58DF">
        <w:rPr>
          <w:rFonts w:cs="Arial" w:hint="cs"/>
          <w:rtl/>
        </w:rPr>
        <w:t>.</w:t>
      </w:r>
      <w:r w:rsidR="005B58DF" w:rsidRPr="005B58DF">
        <w:rPr>
          <w:rFonts w:cs="Arial"/>
          <w:rtl/>
        </w:rPr>
        <w:t xml:space="preserve"> </w:t>
      </w:r>
      <w:r w:rsidR="005B58DF" w:rsidRPr="005B58DF">
        <w:rPr>
          <w:rFonts w:cs="Arial"/>
          <w:u w:val="single"/>
          <w:rtl/>
        </w:rPr>
        <w:t>ובית הלל אומרים</w:t>
      </w:r>
      <w:r w:rsidR="005B58DF" w:rsidRPr="005B58DF">
        <w:rPr>
          <w:rFonts w:cs="Arial"/>
          <w:rtl/>
        </w:rPr>
        <w:t>: מסלק את הטבלא</w:t>
      </w:r>
      <w:r w:rsidR="005B58DF">
        <w:rPr>
          <w:rStyle w:val="a9"/>
          <w:rFonts w:cs="Arial"/>
          <w:rtl/>
        </w:rPr>
        <w:footnoteReference w:id="1607"/>
      </w:r>
      <w:r w:rsidR="005B58DF" w:rsidRPr="005B58DF">
        <w:rPr>
          <w:rFonts w:cs="Arial"/>
          <w:rtl/>
        </w:rPr>
        <w:t xml:space="preserve"> כולה ומנערה</w:t>
      </w:r>
      <w:r w:rsidR="00BE2C56">
        <w:rPr>
          <w:rStyle w:val="a9"/>
          <w:rFonts w:cs="Arial"/>
          <w:rtl/>
        </w:rPr>
        <w:footnoteReference w:id="1608"/>
      </w:r>
      <w:r w:rsidR="005B58DF" w:rsidRPr="005B58DF">
        <w:rPr>
          <w:rFonts w:cs="Arial"/>
          <w:rtl/>
        </w:rPr>
        <w:t>. מעבירין מלפני השלחן</w:t>
      </w:r>
      <w:r w:rsidR="005B58DF">
        <w:rPr>
          <w:rStyle w:val="a9"/>
          <w:rFonts w:cs="Arial"/>
          <w:rtl/>
        </w:rPr>
        <w:footnoteReference w:id="1609"/>
      </w:r>
      <w:r w:rsidR="005B58DF" w:rsidRPr="005B58DF">
        <w:rPr>
          <w:rFonts w:cs="Arial"/>
          <w:rtl/>
        </w:rPr>
        <w:t xml:space="preserve"> פירורין פחות מכזית</w:t>
      </w:r>
      <w:r w:rsidR="00DA246B">
        <w:rPr>
          <w:rStyle w:val="a9"/>
          <w:rFonts w:cs="Arial"/>
          <w:rtl/>
        </w:rPr>
        <w:footnoteReference w:id="1610"/>
      </w:r>
      <w:r w:rsidR="005B58DF" w:rsidRPr="005B58DF">
        <w:rPr>
          <w:rFonts w:cs="Arial"/>
          <w:rtl/>
        </w:rPr>
        <w:t>, ושער של אפונין</w:t>
      </w:r>
      <w:r w:rsidR="00DA246B">
        <w:rPr>
          <w:rStyle w:val="a9"/>
          <w:rFonts w:cs="Arial"/>
          <w:rtl/>
        </w:rPr>
        <w:footnoteReference w:id="1611"/>
      </w:r>
      <w:r w:rsidR="005B58DF" w:rsidRPr="005B58DF">
        <w:rPr>
          <w:rFonts w:cs="Arial"/>
          <w:rtl/>
        </w:rPr>
        <w:t>, ושער עדשים - מפני שהוא מאכל בהמה</w:t>
      </w:r>
      <w:r w:rsidR="005B58DF">
        <w:rPr>
          <w:rFonts w:cs="Arial" w:hint="cs"/>
          <w:rtl/>
        </w:rPr>
        <w:t>..</w:t>
      </w:r>
      <w:r w:rsidR="005B58DF" w:rsidRPr="005B58DF">
        <w:rPr>
          <w:rFonts w:cs="Arial"/>
          <w:rtl/>
        </w:rPr>
        <w:t>.</w:t>
      </w:r>
      <w:r w:rsidR="005B58DF">
        <w:rPr>
          <w:rFonts w:cs="Arial" w:hint="cs"/>
          <w:rtl/>
        </w:rPr>
        <w:t xml:space="preserve">    </w:t>
      </w:r>
      <w:r w:rsidR="005B58DF" w:rsidRPr="005B58DF">
        <w:rPr>
          <w:rtl/>
        </w:rPr>
        <w:t xml:space="preserve"> </w:t>
      </w:r>
      <w:r w:rsidR="005B58DF" w:rsidRPr="005B58DF">
        <w:rPr>
          <w:rFonts w:cs="Arial"/>
          <w:u w:val="double"/>
          <w:rtl/>
        </w:rPr>
        <w:t>גמרא</w:t>
      </w:r>
      <w:r w:rsidR="005B58DF">
        <w:rPr>
          <w:rFonts w:cs="Arial" w:hint="cs"/>
          <w:rtl/>
        </w:rPr>
        <w:t>:</w:t>
      </w:r>
      <w:r w:rsidR="005B58DF" w:rsidRPr="005B58DF">
        <w:rPr>
          <w:rFonts w:cs="Arial"/>
          <w:rtl/>
        </w:rPr>
        <w:t xml:space="preserve"> </w:t>
      </w:r>
      <w:r w:rsidR="005B58DF" w:rsidRPr="005B58DF">
        <w:rPr>
          <w:rFonts w:cs="Arial"/>
          <w:u w:val="single"/>
          <w:rtl/>
        </w:rPr>
        <w:t>אמר רב נחמן</w:t>
      </w:r>
      <w:r w:rsidR="005B58DF" w:rsidRPr="005B58DF">
        <w:rPr>
          <w:rFonts w:cs="Arial"/>
          <w:rtl/>
        </w:rPr>
        <w:t>: אנו אין לנו</w:t>
      </w:r>
      <w:r w:rsidR="00DA246B">
        <w:rPr>
          <w:rStyle w:val="a9"/>
          <w:rFonts w:cs="Arial"/>
          <w:rtl/>
        </w:rPr>
        <w:footnoteReference w:id="1612"/>
      </w:r>
      <w:r w:rsidR="005B58DF" w:rsidRPr="005B58DF">
        <w:rPr>
          <w:rFonts w:cs="Arial"/>
          <w:rtl/>
        </w:rPr>
        <w:t xml:space="preserve"> אלא בית שמאי כרבי יהודה, ובית הלל כרבי שמעון.</w:t>
      </w:r>
    </w:p>
    <w:p w14:paraId="6036AD6F" w14:textId="24414F09" w:rsidR="003113A6" w:rsidRPr="002029F4" w:rsidRDefault="002029F4" w:rsidP="00434A6A">
      <w:pPr>
        <w:rPr>
          <w:u w:val="single"/>
          <w:rtl/>
        </w:rPr>
      </w:pPr>
      <w:r>
        <w:rPr>
          <w:rFonts w:hint="cs"/>
          <w:u w:val="single"/>
          <w:rtl/>
        </w:rPr>
        <w:t xml:space="preserve">טלטול </w:t>
      </w:r>
      <w:r w:rsidRPr="002029F4">
        <w:rPr>
          <w:rFonts w:hint="cs"/>
          <w:u w:val="single"/>
          <w:rtl/>
        </w:rPr>
        <w:t>עצמות</w:t>
      </w:r>
      <w:r w:rsidR="001162FD">
        <w:rPr>
          <w:rFonts w:hint="cs"/>
          <w:u w:val="single"/>
          <w:rtl/>
        </w:rPr>
        <w:t>/</w:t>
      </w:r>
      <w:r w:rsidRPr="002029F4">
        <w:rPr>
          <w:rFonts w:hint="cs"/>
          <w:u w:val="single"/>
          <w:rtl/>
        </w:rPr>
        <w:t>קליפות</w:t>
      </w:r>
      <w:r w:rsidR="001162FD">
        <w:rPr>
          <w:rFonts w:hint="cs"/>
          <w:u w:val="single"/>
          <w:rtl/>
        </w:rPr>
        <w:t>/</w:t>
      </w:r>
      <w:r w:rsidRPr="002029F4">
        <w:rPr>
          <w:rFonts w:hint="cs"/>
          <w:u w:val="single"/>
          <w:rtl/>
        </w:rPr>
        <w:t>פירורים שאין בהם כזית:</w:t>
      </w:r>
    </w:p>
    <w:p w14:paraId="2AA30A2F" w14:textId="73D59671" w:rsidR="00E76020" w:rsidRDefault="00BE6400" w:rsidP="00434A6A">
      <w:pPr>
        <w:pStyle w:val="aa"/>
        <w:numPr>
          <w:ilvl w:val="0"/>
          <w:numId w:val="3"/>
        </w:numPr>
        <w:rPr>
          <w:rFonts w:cs="Arial"/>
        </w:rPr>
      </w:pPr>
      <w:r w:rsidRPr="00BE6400">
        <w:rPr>
          <w:rFonts w:cs="Arial" w:hint="cs"/>
          <w:rtl/>
        </w:rPr>
        <w:t>טור- ע</w:t>
      </w:r>
      <w:r w:rsidR="00B14BC7" w:rsidRPr="00BE6400">
        <w:rPr>
          <w:rFonts w:cs="Arial"/>
          <w:rtl/>
        </w:rPr>
        <w:t>צמות שראויין לכלבים</w:t>
      </w:r>
      <w:r w:rsidR="00936986">
        <w:rPr>
          <w:rFonts w:cs="Arial" w:hint="cs"/>
          <w:rtl/>
        </w:rPr>
        <w:t>,</w:t>
      </w:r>
      <w:r w:rsidR="00B14BC7" w:rsidRPr="00BE6400">
        <w:rPr>
          <w:rFonts w:cs="Arial"/>
          <w:rtl/>
        </w:rPr>
        <w:t xml:space="preserve"> או קליפין שראוין למאכל בהמה</w:t>
      </w:r>
      <w:r w:rsidR="00936986">
        <w:rPr>
          <w:rFonts w:cs="Arial" w:hint="cs"/>
          <w:rtl/>
        </w:rPr>
        <w:t>,</w:t>
      </w:r>
      <w:r w:rsidR="00B14BC7" w:rsidRPr="00BE6400">
        <w:rPr>
          <w:rFonts w:cs="Arial"/>
          <w:rtl/>
        </w:rPr>
        <w:t xml:space="preserve"> ופירורין שאין בהן כזית </w:t>
      </w:r>
      <w:r w:rsidR="005B58DF">
        <w:rPr>
          <w:rFonts w:cs="Arial" w:hint="cs"/>
          <w:rtl/>
        </w:rPr>
        <w:t xml:space="preserve">- </w:t>
      </w:r>
      <w:r w:rsidR="00B14BC7" w:rsidRPr="00BE6400">
        <w:rPr>
          <w:rFonts w:cs="Arial"/>
          <w:rtl/>
        </w:rPr>
        <w:t>מותר להעבירם מעל השלחן</w:t>
      </w:r>
      <w:r w:rsidR="005B58DF">
        <w:rPr>
          <w:rFonts w:cs="Arial" w:hint="cs"/>
          <w:rtl/>
        </w:rPr>
        <w:t>.</w:t>
      </w:r>
      <w:r w:rsidR="00B14BC7" w:rsidRPr="00BE6400">
        <w:rPr>
          <w:rFonts w:cs="Arial"/>
          <w:rtl/>
        </w:rPr>
        <w:t xml:space="preserve"> אבל כל דבר שאינו מאכל בהמה</w:t>
      </w:r>
      <w:r w:rsidR="005B58DF">
        <w:rPr>
          <w:rFonts w:cs="Arial" w:hint="cs"/>
          <w:rtl/>
        </w:rPr>
        <w:t xml:space="preserve"> -</w:t>
      </w:r>
      <w:r w:rsidR="00B14BC7" w:rsidRPr="00BE6400">
        <w:rPr>
          <w:rFonts w:cs="Arial"/>
          <w:rtl/>
        </w:rPr>
        <w:t xml:space="preserve"> אין מטלטלין אותו</w:t>
      </w:r>
      <w:r w:rsidR="005B58DF">
        <w:rPr>
          <w:rFonts w:cs="Arial" w:hint="cs"/>
          <w:rtl/>
        </w:rPr>
        <w:t>,</w:t>
      </w:r>
      <w:r w:rsidR="00B14BC7" w:rsidRPr="00BE6400">
        <w:rPr>
          <w:rFonts w:cs="Arial"/>
          <w:rtl/>
        </w:rPr>
        <w:t xml:space="preserve"> אלא מנער את הטבלא והן נופלין. </w:t>
      </w:r>
      <w:r w:rsidR="0018546F" w:rsidRPr="003B075A">
        <w:rPr>
          <w:rFonts w:cs="Arial" w:hint="cs"/>
          <w:color w:val="E36C0A" w:themeColor="accent6" w:themeShade="BF"/>
          <w:rtl/>
        </w:rPr>
        <w:t>(וכ"פ בשו"ע)</w:t>
      </w:r>
    </w:p>
    <w:p w14:paraId="317EA983" w14:textId="17AEE4C4" w:rsidR="00E76020" w:rsidRPr="00DC526A" w:rsidRDefault="00DC526A" w:rsidP="00434A6A">
      <w:pPr>
        <w:rPr>
          <w:rFonts w:cs="Arial"/>
          <w:u w:val="single"/>
        </w:rPr>
      </w:pPr>
      <w:r w:rsidRPr="00DC526A">
        <w:rPr>
          <w:rFonts w:cs="Arial" w:hint="cs"/>
          <w:u w:val="single"/>
          <w:rtl/>
        </w:rPr>
        <w:t xml:space="preserve">האם מותר לטלטל שלחן </w:t>
      </w:r>
      <w:r w:rsidR="00BE2C56">
        <w:rPr>
          <w:rFonts w:cs="Arial" w:hint="cs"/>
          <w:u w:val="single"/>
          <w:rtl/>
        </w:rPr>
        <w:t xml:space="preserve">שיש עליו </w:t>
      </w:r>
      <w:r w:rsidRPr="00DC526A">
        <w:rPr>
          <w:rFonts w:cs="Arial" w:hint="cs"/>
          <w:u w:val="single"/>
          <w:rtl/>
        </w:rPr>
        <w:t>עצמות וקליפות</w:t>
      </w:r>
      <w:r w:rsidR="00BE2C56">
        <w:rPr>
          <w:rFonts w:cs="Arial" w:hint="cs"/>
          <w:u w:val="single"/>
          <w:rtl/>
        </w:rPr>
        <w:t xml:space="preserve"> שאינם ראויים למאכל בהמה</w:t>
      </w:r>
      <w:r w:rsidRPr="00DC526A">
        <w:rPr>
          <w:rFonts w:cs="Arial" w:hint="cs"/>
          <w:u w:val="single"/>
          <w:rtl/>
        </w:rPr>
        <w:t>:</w:t>
      </w:r>
    </w:p>
    <w:p w14:paraId="5A932B11" w14:textId="54B928BC" w:rsidR="0018546F" w:rsidRPr="0018546F" w:rsidRDefault="0018546F" w:rsidP="00434A6A">
      <w:pPr>
        <w:pStyle w:val="aa"/>
        <w:numPr>
          <w:ilvl w:val="0"/>
          <w:numId w:val="3"/>
        </w:numPr>
        <w:rPr>
          <w:rFonts w:cs="Arial"/>
          <w:u w:val="dotted"/>
        </w:rPr>
      </w:pPr>
      <w:r>
        <w:rPr>
          <w:rFonts w:cs="Arial" w:hint="cs"/>
          <w:rtl/>
        </w:rPr>
        <w:t xml:space="preserve">ב"י- </w:t>
      </w:r>
      <w:r w:rsidRPr="0018546F">
        <w:rPr>
          <w:rFonts w:cs="Arial"/>
          <w:rtl/>
        </w:rPr>
        <w:t>כתב הרא"ש בתשובה (כלל כב סי' ח דרך ה) שהטעם שמגביהין שולחן ומפה עם עצמות וקליפין אפילו קליפי אגוזים שאינן ראויין למאכל בהמה מפני שהם בטלים אגב הפת</w:t>
      </w:r>
      <w:r>
        <w:rPr>
          <w:rFonts w:cs="Arial" w:hint="cs"/>
          <w:rtl/>
        </w:rPr>
        <w:t>.</w:t>
      </w:r>
      <w:r w:rsidRPr="0018546F">
        <w:rPr>
          <w:rFonts w:cs="Arial"/>
          <w:rtl/>
        </w:rPr>
        <w:t xml:space="preserve"> ומשמע מדבריו שמותר להגביה השולחן ולטלטלו עם קליפי אגוזים שעליו</w:t>
      </w:r>
      <w:r>
        <w:rPr>
          <w:rFonts w:cs="Arial" w:hint="cs"/>
          <w:rtl/>
        </w:rPr>
        <w:t>,</w:t>
      </w:r>
      <w:r w:rsidRPr="0018546F">
        <w:rPr>
          <w:rFonts w:cs="Arial"/>
          <w:rtl/>
        </w:rPr>
        <w:t xml:space="preserve"> אבל לא נראה כן מדברי סמ"ג (לאוין סה כ ע"ד) שכתב</w:t>
      </w:r>
      <w:r>
        <w:rPr>
          <w:rFonts w:cs="Arial" w:hint="cs"/>
          <w:rtl/>
        </w:rPr>
        <w:t>-</w:t>
      </w:r>
      <w:r w:rsidRPr="0018546F">
        <w:rPr>
          <w:rFonts w:cs="Arial"/>
          <w:rtl/>
        </w:rPr>
        <w:t xml:space="preserve"> </w:t>
      </w:r>
      <w:r>
        <w:rPr>
          <w:rFonts w:cs="Arial" w:hint="cs"/>
          <w:rtl/>
        </w:rPr>
        <w:t>'</w:t>
      </w:r>
      <w:r w:rsidRPr="0018546F">
        <w:rPr>
          <w:rFonts w:cs="Arial"/>
          <w:rtl/>
        </w:rPr>
        <w:t>אבל דברים שאינן ראויים למאכל בהמה אסורין להגביהן אלא לנער השולחן או המפה כמו מעות שעל הכר מנער את הכר והן נופלות</w:t>
      </w:r>
      <w:r>
        <w:rPr>
          <w:rFonts w:cs="Arial" w:hint="cs"/>
          <w:rtl/>
        </w:rPr>
        <w:t>'.</w:t>
      </w:r>
      <w:r w:rsidRPr="0018546F">
        <w:rPr>
          <w:rFonts w:cs="Arial"/>
          <w:rtl/>
        </w:rPr>
        <w:t xml:space="preserve"> משמע דלהגביהה ולטלטלה כמות שהיא אסור</w:t>
      </w:r>
      <w:r>
        <w:rPr>
          <w:rFonts w:cs="Arial" w:hint="cs"/>
          <w:rtl/>
        </w:rPr>
        <w:t>,</w:t>
      </w:r>
      <w:r w:rsidRPr="0018546F">
        <w:rPr>
          <w:rFonts w:cs="Arial"/>
          <w:rtl/>
        </w:rPr>
        <w:t xml:space="preserve"> ולא שרי אלא לנער לבד דומיא דמעות שעל הכר</w:t>
      </w:r>
      <w:r>
        <w:rPr>
          <w:rFonts w:cs="Arial" w:hint="cs"/>
          <w:rtl/>
        </w:rPr>
        <w:t>...</w:t>
      </w:r>
      <w:r w:rsidRPr="0018546F">
        <w:rPr>
          <w:rFonts w:cs="Arial"/>
          <w:rtl/>
        </w:rPr>
        <w:t xml:space="preserve"> ואפשר דלא פליגי</w:t>
      </w:r>
      <w:r>
        <w:rPr>
          <w:rFonts w:cs="Arial" w:hint="cs"/>
          <w:rtl/>
        </w:rPr>
        <w:t>,</w:t>
      </w:r>
      <w:r w:rsidRPr="0018546F">
        <w:rPr>
          <w:rFonts w:cs="Arial"/>
          <w:rtl/>
        </w:rPr>
        <w:t xml:space="preserve"> אלא סמ"ג מיירי כשאין בשולחן אלא קליפי אגוזים ועצמות שאינן ראויין למאכל בהמה</w:t>
      </w:r>
      <w:r>
        <w:rPr>
          <w:rFonts w:cs="Arial" w:hint="cs"/>
          <w:rtl/>
        </w:rPr>
        <w:t>,</w:t>
      </w:r>
      <w:r w:rsidRPr="0018546F">
        <w:rPr>
          <w:rFonts w:cs="Arial"/>
          <w:rtl/>
        </w:rPr>
        <w:t xml:space="preserve"> ומשום הכי אסור להגביהה ולטלטלה כמות שהיא</w:t>
      </w:r>
      <w:r>
        <w:rPr>
          <w:rFonts w:cs="Arial" w:hint="cs"/>
          <w:rtl/>
        </w:rPr>
        <w:t>.</w:t>
      </w:r>
      <w:r w:rsidRPr="0018546F">
        <w:rPr>
          <w:rFonts w:cs="Arial"/>
          <w:rtl/>
        </w:rPr>
        <w:t xml:space="preserve"> והרא"ש מיירי כשיש בשולחן פת</w:t>
      </w:r>
      <w:r>
        <w:rPr>
          <w:rFonts w:cs="Arial" w:hint="cs"/>
          <w:rtl/>
        </w:rPr>
        <w:t>,</w:t>
      </w:r>
      <w:r w:rsidRPr="0018546F">
        <w:rPr>
          <w:rFonts w:cs="Arial"/>
          <w:rtl/>
        </w:rPr>
        <w:t xml:space="preserve"> ומשום הכי שרי לטלטל קליפי אגוזים ועצמות שאינם ראויין לכלבים אגב הפת</w:t>
      </w:r>
      <w:r>
        <w:rPr>
          <w:rFonts w:cs="Arial" w:hint="cs"/>
          <w:rtl/>
        </w:rPr>
        <w:t>.</w:t>
      </w:r>
      <w:r w:rsidRPr="0018546F">
        <w:rPr>
          <w:rFonts w:cs="Arial"/>
          <w:rtl/>
        </w:rPr>
        <w:t xml:space="preserve"> </w:t>
      </w:r>
      <w:r w:rsidRPr="003B075A">
        <w:rPr>
          <w:rFonts w:cs="Arial" w:hint="cs"/>
          <w:color w:val="E36C0A" w:themeColor="accent6" w:themeShade="BF"/>
          <w:rtl/>
        </w:rPr>
        <w:t>(וכ"פ בשו"ע)</w:t>
      </w:r>
    </w:p>
    <w:p w14:paraId="48EFD4EB" w14:textId="101A4343" w:rsidR="0018546F" w:rsidRPr="0018546F" w:rsidRDefault="0018546F" w:rsidP="00434A6A">
      <w:pPr>
        <w:ind w:left="360"/>
        <w:rPr>
          <w:rFonts w:cs="Arial"/>
          <w:u w:val="dotted"/>
        </w:rPr>
      </w:pPr>
      <w:r w:rsidRPr="0018546F">
        <w:rPr>
          <w:rFonts w:cs="Arial" w:hint="cs"/>
          <w:u w:val="dotted"/>
          <w:rtl/>
        </w:rPr>
        <w:t>ומה הדין אם הוא צריך למקום השלחן:</w:t>
      </w:r>
    </w:p>
    <w:p w14:paraId="48992153" w14:textId="1FDF853A" w:rsidR="00FB3622" w:rsidRDefault="0018546F" w:rsidP="00434A6A">
      <w:pPr>
        <w:pStyle w:val="aa"/>
        <w:numPr>
          <w:ilvl w:val="0"/>
          <w:numId w:val="3"/>
        </w:numPr>
        <w:rPr>
          <w:rFonts w:cs="Arial"/>
        </w:rPr>
      </w:pPr>
      <w:r>
        <w:rPr>
          <w:rFonts w:cs="Arial" w:hint="cs"/>
          <w:rtl/>
        </w:rPr>
        <w:t xml:space="preserve">ב"י- </w:t>
      </w:r>
      <w:r w:rsidR="00FB3622" w:rsidRPr="00E76020">
        <w:rPr>
          <w:rFonts w:cs="Arial"/>
          <w:rtl/>
        </w:rPr>
        <w:t>ומיהו אם הוא צריך למקום השולחן לכולי עלמא מותר להגביהה כמות שהוא</w:t>
      </w:r>
      <w:r>
        <w:rPr>
          <w:rFonts w:cs="Arial" w:hint="cs"/>
          <w:rtl/>
        </w:rPr>
        <w:t>,</w:t>
      </w:r>
      <w:r w:rsidR="00FB3622" w:rsidRPr="00E76020">
        <w:rPr>
          <w:rFonts w:cs="Arial"/>
          <w:rtl/>
        </w:rPr>
        <w:t xml:space="preserve"> דבמעות שעל הכר נמי שרי כהאי גוונא כמו שיתבאר בסימן ש"ט (סח: ד"ה וכל זה) בסייעתא דשמיא</w:t>
      </w:r>
      <w:r w:rsidR="00E76020">
        <w:rPr>
          <w:rFonts w:cs="Arial" w:hint="cs"/>
          <w:rtl/>
        </w:rPr>
        <w:t>.</w:t>
      </w:r>
      <w:r>
        <w:rPr>
          <w:rFonts w:cs="Arial" w:hint="cs"/>
          <w:rtl/>
        </w:rPr>
        <w:t xml:space="preserve"> </w:t>
      </w:r>
      <w:r w:rsidRPr="003B075A">
        <w:rPr>
          <w:rFonts w:cs="Arial" w:hint="cs"/>
          <w:color w:val="E36C0A" w:themeColor="accent6" w:themeShade="BF"/>
          <w:rtl/>
        </w:rPr>
        <w:t>(וכ"פ בשו"ע)</w:t>
      </w:r>
    </w:p>
    <w:p w14:paraId="35A04FC2"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6220A0D0" w14:textId="2437E83A" w:rsidR="000C6229" w:rsidRPr="005275DF" w:rsidRDefault="000C6229" w:rsidP="00434A6A">
      <w:pPr>
        <w:rPr>
          <w:rFonts w:asciiTheme="minorBidi" w:hAnsiTheme="minorBidi"/>
          <w:rtl/>
        </w:rPr>
      </w:pPr>
      <w:r w:rsidRPr="005275DF">
        <w:rPr>
          <w:rFonts w:asciiTheme="minorBidi" w:hAnsiTheme="minorBidi"/>
          <w:rtl/>
        </w:rPr>
        <w:t>עצמות שראויים לכלבים</w:t>
      </w:r>
      <w:r w:rsidR="009C40FE">
        <w:rPr>
          <w:rStyle w:val="a9"/>
          <w:rFonts w:asciiTheme="minorBidi" w:hAnsiTheme="minorBidi"/>
          <w:rtl/>
        </w:rPr>
        <w:footnoteReference w:id="1613"/>
      </w:r>
      <w:r w:rsidRPr="005275DF">
        <w:rPr>
          <w:rFonts w:asciiTheme="minorBidi" w:hAnsiTheme="minorBidi"/>
          <w:rtl/>
        </w:rPr>
        <w:t>, וקליפים שראוים למאכל בהמה, ופרורים שאין בהם כזית</w:t>
      </w:r>
      <w:r w:rsidR="009C40FE">
        <w:rPr>
          <w:rStyle w:val="a9"/>
          <w:rFonts w:asciiTheme="minorBidi" w:hAnsiTheme="minorBidi"/>
          <w:rtl/>
        </w:rPr>
        <w:footnoteReference w:id="1614"/>
      </w:r>
      <w:r w:rsidRPr="005275DF">
        <w:rPr>
          <w:rFonts w:asciiTheme="minorBidi" w:hAnsiTheme="minorBidi"/>
          <w:rtl/>
        </w:rPr>
        <w:t xml:space="preserve"> מותר להעבירם מעל השלחן</w:t>
      </w:r>
      <w:r w:rsidR="0018546F">
        <w:rPr>
          <w:rFonts w:asciiTheme="minorBidi" w:hAnsiTheme="minorBidi" w:hint="cs"/>
          <w:rtl/>
        </w:rPr>
        <w:t>.</w:t>
      </w:r>
      <w:r w:rsidRPr="005275DF">
        <w:rPr>
          <w:rFonts w:asciiTheme="minorBidi" w:hAnsiTheme="minorBidi"/>
          <w:rtl/>
        </w:rPr>
        <w:t xml:space="preserve"> אבל אם אין הקליפים ראוים</w:t>
      </w:r>
      <w:r w:rsidR="00D42F64">
        <w:rPr>
          <w:rStyle w:val="a9"/>
          <w:rFonts w:asciiTheme="minorBidi" w:hAnsiTheme="minorBidi"/>
          <w:rtl/>
        </w:rPr>
        <w:footnoteReference w:id="1615"/>
      </w:r>
      <w:r w:rsidRPr="005275DF">
        <w:rPr>
          <w:rFonts w:asciiTheme="minorBidi" w:hAnsiTheme="minorBidi"/>
          <w:rtl/>
        </w:rPr>
        <w:t xml:space="preserve"> למאכל בהמה, אסור לטלטלם אלא מנער את הטבלא</w:t>
      </w:r>
      <w:r w:rsidR="00D42F64">
        <w:rPr>
          <w:rStyle w:val="a9"/>
          <w:rFonts w:asciiTheme="minorBidi" w:hAnsiTheme="minorBidi"/>
          <w:rtl/>
        </w:rPr>
        <w:footnoteReference w:id="1616"/>
      </w:r>
      <w:r w:rsidRPr="005275DF">
        <w:rPr>
          <w:rFonts w:asciiTheme="minorBidi" w:hAnsiTheme="minorBidi"/>
          <w:rtl/>
        </w:rPr>
        <w:t xml:space="preserve"> והם נופלים. ואם יש פת</w:t>
      </w:r>
      <w:r w:rsidR="00D42F64">
        <w:rPr>
          <w:rStyle w:val="a9"/>
          <w:rFonts w:asciiTheme="minorBidi" w:hAnsiTheme="minorBidi"/>
          <w:rtl/>
        </w:rPr>
        <w:footnoteReference w:id="1617"/>
      </w:r>
      <w:r w:rsidRPr="005275DF">
        <w:rPr>
          <w:rFonts w:asciiTheme="minorBidi" w:hAnsiTheme="minorBidi"/>
          <w:rtl/>
        </w:rPr>
        <w:t xml:space="preserve"> על השלחן, מותר להגביה הטבלה ולטלטלה עם הקליפים שאינם מאכל בהמה, שהם בטלים אגב הפת</w:t>
      </w:r>
      <w:r w:rsidR="0018546F">
        <w:rPr>
          <w:rFonts w:asciiTheme="minorBidi" w:hAnsiTheme="minorBidi" w:hint="cs"/>
          <w:rtl/>
        </w:rPr>
        <w:t>.</w:t>
      </w:r>
      <w:r w:rsidRPr="005275DF">
        <w:rPr>
          <w:rFonts w:asciiTheme="minorBidi" w:hAnsiTheme="minorBidi"/>
          <w:rtl/>
        </w:rPr>
        <w:t xml:space="preserve"> ואם היה צריך למקום השלחן, אפילו אין עליה אלא דברים שאינם ראוים למאכל בהמה, מותר להגביה ולטלטלם. </w:t>
      </w:r>
    </w:p>
    <w:p w14:paraId="18C63584" w14:textId="77777777" w:rsidR="000C6229" w:rsidRPr="005275DF" w:rsidRDefault="000C6229" w:rsidP="00434A6A">
      <w:pPr>
        <w:rPr>
          <w:rFonts w:asciiTheme="minorBidi" w:hAnsiTheme="minorBidi"/>
          <w:rtl/>
        </w:rPr>
      </w:pPr>
    </w:p>
    <w:p w14:paraId="06D699E6" w14:textId="5FA66DBD" w:rsidR="001162FD" w:rsidRPr="001162FD" w:rsidRDefault="000C6229" w:rsidP="00434A6A">
      <w:pPr>
        <w:pStyle w:val="2"/>
        <w:rPr>
          <w:rtl/>
        </w:rPr>
      </w:pPr>
      <w:r w:rsidRPr="005275DF">
        <w:rPr>
          <w:rtl/>
        </w:rPr>
        <w:t>סעיף כח</w:t>
      </w:r>
      <w:r w:rsidR="001162FD">
        <w:rPr>
          <w:rFonts w:hint="cs"/>
          <w:rtl/>
        </w:rPr>
        <w:t>: חבילות עצים/קש שהתקינם למאכל בהמה.</w:t>
      </w:r>
    </w:p>
    <w:p w14:paraId="1AC44006" w14:textId="6CEA21E5" w:rsidR="003113A6" w:rsidRDefault="003113A6" w:rsidP="00434A6A">
      <w:pPr>
        <w:rPr>
          <w:rFonts w:cs="Arial"/>
          <w:rtl/>
        </w:rPr>
      </w:pPr>
      <w:r w:rsidRPr="002A45F7">
        <w:rPr>
          <w:rFonts w:hint="cs"/>
          <w:b/>
          <w:bCs/>
          <w:rtl/>
        </w:rPr>
        <w:t xml:space="preserve">שבת </w:t>
      </w:r>
      <w:r>
        <w:rPr>
          <w:rFonts w:hint="cs"/>
          <w:b/>
          <w:bCs/>
          <w:sz w:val="16"/>
          <w:szCs w:val="16"/>
          <w:rtl/>
        </w:rPr>
        <w:t>(</w:t>
      </w:r>
      <w:r w:rsidR="001162FD">
        <w:rPr>
          <w:rFonts w:hint="cs"/>
          <w:b/>
          <w:bCs/>
          <w:sz w:val="16"/>
          <w:szCs w:val="16"/>
          <w:rtl/>
        </w:rPr>
        <w:t>ר"</w:t>
      </w:r>
      <w:r>
        <w:rPr>
          <w:rFonts w:hint="cs"/>
          <w:b/>
          <w:bCs/>
          <w:sz w:val="16"/>
          <w:szCs w:val="16"/>
          <w:rtl/>
        </w:rPr>
        <w:t xml:space="preserve">פ </w:t>
      </w:r>
      <w:r w:rsidR="001162FD">
        <w:rPr>
          <w:rFonts w:hint="cs"/>
          <w:b/>
          <w:bCs/>
          <w:sz w:val="16"/>
          <w:szCs w:val="16"/>
          <w:rtl/>
        </w:rPr>
        <w:t>מפנין</w:t>
      </w:r>
      <w:r>
        <w:rPr>
          <w:rFonts w:hint="cs"/>
          <w:b/>
          <w:bCs/>
          <w:sz w:val="16"/>
          <w:szCs w:val="16"/>
          <w:rtl/>
        </w:rPr>
        <w:t>)</w:t>
      </w:r>
      <w:r>
        <w:rPr>
          <w:rFonts w:hint="cs"/>
          <w:b/>
          <w:bCs/>
          <w:rtl/>
        </w:rPr>
        <w:t xml:space="preserve"> </w:t>
      </w:r>
      <w:r w:rsidR="001162FD">
        <w:rPr>
          <w:rFonts w:hint="cs"/>
          <w:b/>
          <w:bCs/>
          <w:rtl/>
        </w:rPr>
        <w:t>קכו</w:t>
      </w:r>
      <w:r w:rsidRPr="002A45F7">
        <w:rPr>
          <w:rFonts w:hint="cs"/>
          <w:b/>
          <w:bCs/>
          <w:rtl/>
        </w:rPr>
        <w:t xml:space="preserve"> ע"</w:t>
      </w:r>
      <w:r w:rsidR="001162FD">
        <w:rPr>
          <w:rFonts w:hint="cs"/>
          <w:b/>
          <w:bCs/>
          <w:rtl/>
        </w:rPr>
        <w:t>ב</w:t>
      </w:r>
      <w:r w:rsidRPr="002A45F7">
        <w:rPr>
          <w:rFonts w:hint="cs"/>
          <w:b/>
          <w:bCs/>
          <w:rtl/>
        </w:rPr>
        <w:t>:</w:t>
      </w:r>
      <w:r>
        <w:rPr>
          <w:rFonts w:cs="Arial" w:hint="cs"/>
          <w:rtl/>
        </w:rPr>
        <w:t xml:space="preserve"> </w:t>
      </w:r>
      <w:r w:rsidR="001162FD" w:rsidRPr="001162FD">
        <w:rPr>
          <w:rFonts w:cs="Arial" w:hint="cs"/>
          <w:u w:val="double"/>
          <w:rtl/>
        </w:rPr>
        <w:t>משנה</w:t>
      </w:r>
      <w:r w:rsidR="001162FD">
        <w:rPr>
          <w:rFonts w:cs="Arial" w:hint="cs"/>
          <w:rtl/>
        </w:rPr>
        <w:t>:...</w:t>
      </w:r>
      <w:r w:rsidR="001162FD" w:rsidRPr="001162FD">
        <w:rPr>
          <w:rFonts w:cs="Arial"/>
          <w:rtl/>
        </w:rPr>
        <w:t xml:space="preserve"> חבילי קש וחבילי עצים וחבילי זרדים. אם התקינן</w:t>
      </w:r>
      <w:r w:rsidR="0066293D">
        <w:rPr>
          <w:rStyle w:val="a9"/>
          <w:rFonts w:cs="Arial"/>
          <w:rtl/>
        </w:rPr>
        <w:footnoteReference w:id="1618"/>
      </w:r>
      <w:r w:rsidR="001162FD" w:rsidRPr="001162FD">
        <w:rPr>
          <w:rFonts w:cs="Arial"/>
          <w:rtl/>
        </w:rPr>
        <w:t xml:space="preserve"> למאכל בהמה - מטלטלין אותן, ואם לאו - אין מטלטלין אותן.</w:t>
      </w:r>
      <w:r w:rsidR="001162FD" w:rsidRPr="001162FD">
        <w:rPr>
          <w:rtl/>
        </w:rPr>
        <w:t xml:space="preserve"> </w:t>
      </w:r>
      <w:r w:rsidR="001162FD">
        <w:rPr>
          <w:rFonts w:cs="Arial" w:hint="cs"/>
          <w:rtl/>
        </w:rPr>
        <w:t xml:space="preserve">      </w:t>
      </w:r>
      <w:r w:rsidR="001162FD">
        <w:rPr>
          <w:rFonts w:cs="Arial" w:hint="cs"/>
          <w:u w:val="double"/>
          <w:rtl/>
        </w:rPr>
        <w:t xml:space="preserve">גמ' </w:t>
      </w:r>
      <w:r w:rsidR="001162FD">
        <w:rPr>
          <w:rFonts w:cs="Arial" w:hint="cs"/>
          <w:sz w:val="14"/>
          <w:szCs w:val="14"/>
          <w:u w:val="double"/>
          <w:rtl/>
        </w:rPr>
        <w:t>(קכח.)</w:t>
      </w:r>
      <w:r w:rsidR="001162FD">
        <w:rPr>
          <w:rFonts w:cs="Arial" w:hint="cs"/>
          <w:u w:val="double"/>
          <w:rtl/>
        </w:rPr>
        <w:t>:</w:t>
      </w:r>
      <w:r w:rsidR="001162FD">
        <w:rPr>
          <w:rFonts w:cs="Arial" w:hint="cs"/>
          <w:rtl/>
        </w:rPr>
        <w:t xml:space="preserve"> </w:t>
      </w:r>
      <w:r w:rsidR="001162FD" w:rsidRPr="001162FD">
        <w:rPr>
          <w:rFonts w:cs="Arial"/>
          <w:rtl/>
        </w:rPr>
        <w:t xml:space="preserve">חבילי קש וחבילי כו'. תנו רבנן: חבילי קש וחבילי עצים וחבילי זרדים, אם התקינן למאכל בהמה - מטלטלין אותן, ואם לאו - אין מטלטלין אותן. </w:t>
      </w:r>
      <w:r w:rsidR="001162FD" w:rsidRPr="00DB0DDE">
        <w:rPr>
          <w:rFonts w:cs="Arial"/>
          <w:u w:val="single"/>
          <w:rtl/>
        </w:rPr>
        <w:t>רבן שמעון בן גמליאל אומר</w:t>
      </w:r>
      <w:r w:rsidR="001162FD" w:rsidRPr="001162FD">
        <w:rPr>
          <w:rFonts w:cs="Arial"/>
          <w:rtl/>
        </w:rPr>
        <w:t>: חבילין הניטלין ביד אחד - מותר לטלטלן, בשתי ידים - אסור לטלטלן.</w:t>
      </w:r>
      <w:r w:rsidR="0066293D" w:rsidRPr="0066293D">
        <w:rPr>
          <w:rtl/>
        </w:rPr>
        <w:t xml:space="preserve"> </w:t>
      </w:r>
      <w:r w:rsidR="0066293D" w:rsidRPr="0066293D">
        <w:rPr>
          <w:rFonts w:cs="Arial"/>
          <w:rtl/>
        </w:rPr>
        <w:t>חבילי סיאה אזוב וקורנית, הכניסן לעצים - אין מסתפק מהן בשבת, למאכל בהמה - מסתפק מהן בשבת.</w:t>
      </w:r>
      <w:r w:rsidR="0066293D" w:rsidRPr="0066293D">
        <w:rPr>
          <w:rFonts w:cs="Arial" w:hint="cs"/>
          <w:sz w:val="16"/>
          <w:szCs w:val="16"/>
          <w:rtl/>
        </w:rPr>
        <w:t xml:space="preserve"> (</w:t>
      </w:r>
      <w:r w:rsidR="0066293D" w:rsidRPr="0066293D">
        <w:rPr>
          <w:rFonts w:cs="Arial"/>
          <w:sz w:val="16"/>
          <w:szCs w:val="16"/>
          <w:rtl/>
        </w:rPr>
        <w:t xml:space="preserve">ופסק </w:t>
      </w:r>
      <w:r w:rsidR="0066293D" w:rsidRPr="0066293D">
        <w:rPr>
          <w:rFonts w:cs="Arial" w:hint="cs"/>
          <w:sz w:val="16"/>
          <w:szCs w:val="16"/>
          <w:rtl/>
        </w:rPr>
        <w:t xml:space="preserve">הטור </w:t>
      </w:r>
      <w:r w:rsidR="0066293D" w:rsidRPr="0066293D">
        <w:rPr>
          <w:rFonts w:cs="Arial"/>
          <w:sz w:val="16"/>
          <w:szCs w:val="16"/>
          <w:rtl/>
        </w:rPr>
        <w:t>כתנא קמא</w:t>
      </w:r>
      <w:r w:rsidR="0066293D">
        <w:rPr>
          <w:rFonts w:cs="Arial" w:hint="cs"/>
          <w:sz w:val="16"/>
          <w:szCs w:val="16"/>
          <w:rtl/>
        </w:rPr>
        <w:t>, ב"י. וכן נראה דעת הרמב"ם</w:t>
      </w:r>
      <w:r w:rsidR="0066293D">
        <w:rPr>
          <w:rStyle w:val="a9"/>
          <w:rFonts w:cs="Arial"/>
          <w:sz w:val="16"/>
          <w:szCs w:val="16"/>
          <w:rtl/>
        </w:rPr>
        <w:footnoteReference w:id="1619"/>
      </w:r>
      <w:r w:rsidR="0066293D">
        <w:rPr>
          <w:rFonts w:cs="Arial" w:hint="cs"/>
          <w:sz w:val="16"/>
          <w:szCs w:val="16"/>
          <w:rtl/>
        </w:rPr>
        <w:t xml:space="preserve"> (פכ"ו הי"ח) דסתם כת"ק ולא חילק)</w:t>
      </w:r>
    </w:p>
    <w:p w14:paraId="06B2F742" w14:textId="75A52F11" w:rsidR="003113A6" w:rsidRPr="001162FD" w:rsidRDefault="001162FD" w:rsidP="00434A6A">
      <w:pPr>
        <w:rPr>
          <w:u w:val="single"/>
          <w:rtl/>
        </w:rPr>
      </w:pPr>
      <w:r>
        <w:rPr>
          <w:rFonts w:hint="cs"/>
          <w:u w:val="single"/>
          <w:rtl/>
        </w:rPr>
        <w:t xml:space="preserve">טלטול </w:t>
      </w:r>
      <w:r w:rsidRPr="001162FD">
        <w:rPr>
          <w:rFonts w:hint="cs"/>
          <w:u w:val="single"/>
          <w:rtl/>
        </w:rPr>
        <w:t>חבילות עצים/קש שהתקינם למאכל בהמה:</w:t>
      </w:r>
    </w:p>
    <w:p w14:paraId="1B00E43D" w14:textId="2F97DE62" w:rsidR="00B14BC7" w:rsidRDefault="00BE6400" w:rsidP="00434A6A">
      <w:pPr>
        <w:pStyle w:val="aa"/>
        <w:numPr>
          <w:ilvl w:val="0"/>
          <w:numId w:val="3"/>
        </w:numPr>
        <w:rPr>
          <w:rFonts w:cs="Arial"/>
        </w:rPr>
      </w:pPr>
      <w:r w:rsidRPr="00BE6400">
        <w:rPr>
          <w:rFonts w:cs="Arial" w:hint="cs"/>
          <w:rtl/>
        </w:rPr>
        <w:t xml:space="preserve">טור- </w:t>
      </w:r>
      <w:r w:rsidR="00B14BC7" w:rsidRPr="00BE6400">
        <w:rPr>
          <w:rFonts w:cs="Arial"/>
          <w:rtl/>
        </w:rPr>
        <w:t>חבילי עצים וקש שהתקינן למאכל בהמה</w:t>
      </w:r>
      <w:r w:rsidR="001162FD">
        <w:rPr>
          <w:rFonts w:cs="Arial" w:hint="cs"/>
          <w:rtl/>
        </w:rPr>
        <w:t>,</w:t>
      </w:r>
      <w:r w:rsidR="00B14BC7" w:rsidRPr="00BE6400">
        <w:rPr>
          <w:rFonts w:cs="Arial"/>
          <w:rtl/>
        </w:rPr>
        <w:t xml:space="preserve"> אפילו הן גדולים הרבה </w:t>
      </w:r>
      <w:r w:rsidR="001162FD">
        <w:rPr>
          <w:rFonts w:cs="Arial" w:hint="cs"/>
          <w:rtl/>
        </w:rPr>
        <w:t xml:space="preserve">- </w:t>
      </w:r>
      <w:r w:rsidR="00B14BC7" w:rsidRPr="00BE6400">
        <w:rPr>
          <w:rFonts w:cs="Arial"/>
          <w:rtl/>
        </w:rPr>
        <w:t>מותר לטלטלן</w:t>
      </w:r>
      <w:r w:rsidRPr="00BE6400">
        <w:rPr>
          <w:rFonts w:cs="Arial" w:hint="cs"/>
          <w:rtl/>
        </w:rPr>
        <w:t>.</w:t>
      </w:r>
    </w:p>
    <w:p w14:paraId="44664253"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220B30D0" w14:textId="27A94B83" w:rsidR="000C6229" w:rsidRPr="005275DF" w:rsidRDefault="000C6229" w:rsidP="00434A6A">
      <w:pPr>
        <w:rPr>
          <w:rFonts w:asciiTheme="minorBidi" w:hAnsiTheme="minorBidi"/>
          <w:rtl/>
        </w:rPr>
      </w:pPr>
      <w:r w:rsidRPr="005275DF">
        <w:rPr>
          <w:rFonts w:asciiTheme="minorBidi" w:hAnsiTheme="minorBidi"/>
          <w:rtl/>
        </w:rPr>
        <w:t>חבילי עצים וקש שהתקינן</w:t>
      </w:r>
      <w:r w:rsidR="00D42F64">
        <w:rPr>
          <w:rStyle w:val="a9"/>
          <w:rFonts w:asciiTheme="minorBidi" w:hAnsiTheme="minorBidi"/>
          <w:rtl/>
        </w:rPr>
        <w:footnoteReference w:id="1620"/>
      </w:r>
      <w:r w:rsidRPr="005275DF">
        <w:rPr>
          <w:rFonts w:asciiTheme="minorBidi" w:hAnsiTheme="minorBidi"/>
          <w:rtl/>
        </w:rPr>
        <w:t xml:space="preserve"> למאכל בהמה, אפילו הם גדולים הרבה, מותר לטלטלן. </w:t>
      </w:r>
    </w:p>
    <w:p w14:paraId="225C5A0E" w14:textId="77777777" w:rsidR="000C6229" w:rsidRPr="005275DF" w:rsidRDefault="000C6229" w:rsidP="00434A6A">
      <w:pPr>
        <w:rPr>
          <w:rFonts w:asciiTheme="minorBidi" w:hAnsiTheme="minorBidi"/>
          <w:rtl/>
        </w:rPr>
      </w:pPr>
    </w:p>
    <w:p w14:paraId="2D52BAA3" w14:textId="5FBEA58C" w:rsidR="00C828F4" w:rsidRPr="00C828F4" w:rsidRDefault="000C6229" w:rsidP="00434A6A">
      <w:pPr>
        <w:pStyle w:val="2"/>
        <w:rPr>
          <w:rtl/>
        </w:rPr>
      </w:pPr>
      <w:r w:rsidRPr="005275DF">
        <w:rPr>
          <w:rtl/>
        </w:rPr>
        <w:t>סעיף כט</w:t>
      </w:r>
      <w:r w:rsidR="00C828F4">
        <w:rPr>
          <w:rFonts w:hint="cs"/>
          <w:rtl/>
        </w:rPr>
        <w:t xml:space="preserve">: דברים הראויים למאכל חיה ועוף. </w:t>
      </w:r>
    </w:p>
    <w:p w14:paraId="76B4660F" w14:textId="2BF71C2E" w:rsidR="003113A6" w:rsidRDefault="00C828F4" w:rsidP="00434A6A">
      <w:pPr>
        <w:rPr>
          <w:rFonts w:cs="Arial"/>
          <w:rtl/>
        </w:rPr>
      </w:pPr>
      <w:r w:rsidRPr="002A45F7">
        <w:rPr>
          <w:rFonts w:hint="cs"/>
          <w:b/>
          <w:bCs/>
          <w:rtl/>
        </w:rPr>
        <w:t xml:space="preserve">שבת </w:t>
      </w:r>
      <w:r>
        <w:rPr>
          <w:rFonts w:hint="cs"/>
          <w:b/>
          <w:bCs/>
          <w:sz w:val="16"/>
          <w:szCs w:val="16"/>
          <w:rtl/>
        </w:rPr>
        <w:t>(ר"פ מפנין)</w:t>
      </w:r>
      <w:r>
        <w:rPr>
          <w:rFonts w:hint="cs"/>
          <w:b/>
          <w:bCs/>
          <w:rtl/>
        </w:rPr>
        <w:t xml:space="preserve"> קכו</w:t>
      </w:r>
      <w:r w:rsidRPr="002A45F7">
        <w:rPr>
          <w:rFonts w:hint="cs"/>
          <w:b/>
          <w:bCs/>
          <w:rtl/>
        </w:rPr>
        <w:t xml:space="preserve"> ע"</w:t>
      </w:r>
      <w:r>
        <w:rPr>
          <w:rFonts w:hint="cs"/>
          <w:b/>
          <w:bCs/>
          <w:rtl/>
        </w:rPr>
        <w:t>ב</w:t>
      </w:r>
      <w:r w:rsidRPr="002A45F7">
        <w:rPr>
          <w:rFonts w:hint="cs"/>
          <w:b/>
          <w:bCs/>
          <w:rtl/>
        </w:rPr>
        <w:t>:</w:t>
      </w:r>
      <w:r>
        <w:rPr>
          <w:rFonts w:cs="Arial" w:hint="cs"/>
          <w:rtl/>
        </w:rPr>
        <w:t xml:space="preserve"> </w:t>
      </w:r>
      <w:r w:rsidRPr="001162FD">
        <w:rPr>
          <w:rFonts w:cs="Arial" w:hint="cs"/>
          <w:u w:val="double"/>
          <w:rtl/>
        </w:rPr>
        <w:t>משנה</w:t>
      </w:r>
      <w:r>
        <w:rPr>
          <w:rFonts w:cs="Arial" w:hint="cs"/>
          <w:rtl/>
        </w:rPr>
        <w:t>:</w:t>
      </w:r>
      <w:r w:rsidRPr="00C828F4">
        <w:rPr>
          <w:rtl/>
        </w:rPr>
        <w:t xml:space="preserve"> </w:t>
      </w:r>
      <w:r w:rsidRPr="00C828F4">
        <w:rPr>
          <w:rFonts w:cs="Arial"/>
          <w:rtl/>
        </w:rPr>
        <w:t xml:space="preserve">מפנין אפילו ארבע וחמש קופות של תבן ושל תבואה מפני האורחים, ומפני בטול בית המדרש, אבל לא את האוצר. מפנין תרומה טהורה, ודמאי, ומעשר ראשון שניטלה תרומתו, ומעשר שני והקדש שנפדו, והתורמוס היבש - מפני שהוא מאכל לעזים. אבל לא את הטבל, ולא את מעשר ראשון שלא נטלה תרומתו, ולא את מעשר שני והקדש שלא נפדו, ולא את הלוף ולא את החרדל. </w:t>
      </w:r>
      <w:r w:rsidRPr="00F14255">
        <w:rPr>
          <w:rFonts w:cs="Arial"/>
          <w:u w:val="single"/>
          <w:rtl/>
        </w:rPr>
        <w:t>רבן שמעון בן גמליאל</w:t>
      </w:r>
      <w:r w:rsidRPr="00C828F4">
        <w:rPr>
          <w:rFonts w:cs="Arial"/>
          <w:rtl/>
        </w:rPr>
        <w:t xml:space="preserve"> מתיר בלוף מפני שהוא מאכל עורבין.</w:t>
      </w:r>
      <w:r>
        <w:rPr>
          <w:rFonts w:cs="Arial" w:hint="cs"/>
          <w:rtl/>
        </w:rPr>
        <w:t>.</w:t>
      </w:r>
      <w:r w:rsidRPr="001162FD">
        <w:rPr>
          <w:rFonts w:cs="Arial"/>
          <w:rtl/>
        </w:rPr>
        <w:t>.</w:t>
      </w:r>
      <w:r w:rsidRPr="001162FD">
        <w:rPr>
          <w:rtl/>
        </w:rPr>
        <w:t xml:space="preserve"> </w:t>
      </w:r>
      <w:r>
        <w:rPr>
          <w:rFonts w:cs="Arial" w:hint="cs"/>
          <w:rtl/>
        </w:rPr>
        <w:t xml:space="preserve">      </w:t>
      </w:r>
      <w:r>
        <w:rPr>
          <w:rFonts w:cs="Arial" w:hint="cs"/>
          <w:u w:val="double"/>
          <w:rtl/>
        </w:rPr>
        <w:t xml:space="preserve">גמ' </w:t>
      </w:r>
      <w:r>
        <w:rPr>
          <w:rFonts w:cs="Arial" w:hint="cs"/>
          <w:sz w:val="14"/>
          <w:szCs w:val="14"/>
          <w:u w:val="double"/>
          <w:rtl/>
        </w:rPr>
        <w:t>(קכח.)</w:t>
      </w:r>
      <w:r>
        <w:rPr>
          <w:rFonts w:cs="Arial" w:hint="cs"/>
          <w:u w:val="double"/>
          <w:rtl/>
        </w:rPr>
        <w:t>:</w:t>
      </w:r>
      <w:r>
        <w:rPr>
          <w:rFonts w:cs="Arial" w:hint="cs"/>
          <w:rtl/>
        </w:rPr>
        <w:t xml:space="preserve"> </w:t>
      </w:r>
      <w:r w:rsidR="00F14255" w:rsidRPr="00F14255">
        <w:rPr>
          <w:rFonts w:cs="Arial"/>
          <w:rtl/>
        </w:rPr>
        <w:t xml:space="preserve">ולא את הלוף. </w:t>
      </w:r>
      <w:r w:rsidR="00F14255" w:rsidRPr="00F14255">
        <w:rPr>
          <w:rFonts w:cs="Arial"/>
          <w:u w:val="single"/>
          <w:rtl/>
        </w:rPr>
        <w:t>תנו רבנן</w:t>
      </w:r>
      <w:r w:rsidR="00F14255" w:rsidRPr="00F14255">
        <w:rPr>
          <w:rFonts w:cs="Arial"/>
          <w:rtl/>
        </w:rPr>
        <w:t xml:space="preserve">: מטלטלין את החצב - מפני שהוא מאכל לצביים, ואת החרדל - מפני שהוא מאכל ליונים, </w:t>
      </w:r>
      <w:r w:rsidR="00F14255" w:rsidRPr="00F14255">
        <w:rPr>
          <w:rFonts w:cs="Arial"/>
          <w:u w:val="single"/>
          <w:rtl/>
        </w:rPr>
        <w:t>רבן שמעון בן גמליאל אומר</w:t>
      </w:r>
      <w:r w:rsidR="00F14255" w:rsidRPr="00F14255">
        <w:rPr>
          <w:rFonts w:cs="Arial"/>
          <w:rtl/>
        </w:rPr>
        <w:t>: אף מטלטלין שברי זכוכית, מפני שהוא מאכל לנעמיות</w:t>
      </w:r>
      <w:r w:rsidR="00564FE1">
        <w:rPr>
          <w:rFonts w:cs="Arial" w:hint="cs"/>
          <w:rtl/>
        </w:rPr>
        <w:t xml:space="preserve">. </w:t>
      </w:r>
      <w:r w:rsidR="00F14255" w:rsidRPr="00F14255">
        <w:rPr>
          <w:rFonts w:cs="Arial"/>
          <w:u w:val="single"/>
          <w:rtl/>
        </w:rPr>
        <w:t>אמר ליה רבי נתן</w:t>
      </w:r>
      <w:r w:rsidR="00F14255" w:rsidRPr="00F14255">
        <w:rPr>
          <w:rFonts w:cs="Arial"/>
          <w:rtl/>
        </w:rPr>
        <w:t>: אלא מעתה חבילי זמורות יטלטלו</w:t>
      </w:r>
      <w:r w:rsidR="003F3684">
        <w:rPr>
          <w:rStyle w:val="a9"/>
          <w:rFonts w:cs="Arial"/>
          <w:rtl/>
        </w:rPr>
        <w:footnoteReference w:id="1621"/>
      </w:r>
      <w:r w:rsidR="00F14255" w:rsidRPr="00F14255">
        <w:rPr>
          <w:rFonts w:cs="Arial"/>
          <w:rtl/>
        </w:rPr>
        <w:t xml:space="preserve"> - מפני שהוא מאכל לפילין! ורבן שמעון בן גמליאל: נעמיות - שכיחי, פילין - לא שכיחי. </w:t>
      </w:r>
      <w:r w:rsidR="00F14255" w:rsidRPr="00F14255">
        <w:rPr>
          <w:rFonts w:cs="Arial"/>
          <w:u w:val="single"/>
          <w:rtl/>
        </w:rPr>
        <w:t>אמר אמימר</w:t>
      </w:r>
      <w:r w:rsidR="00F14255" w:rsidRPr="00F14255">
        <w:rPr>
          <w:rFonts w:cs="Arial"/>
          <w:rtl/>
        </w:rPr>
        <w:t xml:space="preserve">: והוא דאית ליה נעמיות. </w:t>
      </w:r>
      <w:r w:rsidR="00F14255" w:rsidRPr="00F14255">
        <w:rPr>
          <w:rFonts w:cs="Arial"/>
          <w:u w:val="single"/>
          <w:rtl/>
        </w:rPr>
        <w:t>אמר רב אשי לאמימר</w:t>
      </w:r>
      <w:r w:rsidR="00F14255" w:rsidRPr="00F14255">
        <w:rPr>
          <w:rFonts w:cs="Arial"/>
          <w:rtl/>
        </w:rPr>
        <w:t xml:space="preserve">: אלא דקאמר ליה רבי נתן לרבן שמעון בן גמליאל: חבילי זמורות יטלטל מפני שהוא מאכל לפילין. אי אית ליה פילין - אמאי לא? אלא - ראוי, הכי נמי - ראוי. </w:t>
      </w:r>
    </w:p>
    <w:p w14:paraId="612E543D" w14:textId="34CD81E5" w:rsidR="00F14255" w:rsidRPr="00F14255" w:rsidRDefault="00C828F4" w:rsidP="00434A6A">
      <w:pPr>
        <w:rPr>
          <w:u w:val="single"/>
          <w:rtl/>
        </w:rPr>
      </w:pPr>
      <w:r w:rsidRPr="00C828F4">
        <w:rPr>
          <w:rFonts w:hint="cs"/>
          <w:u w:val="single"/>
          <w:rtl/>
        </w:rPr>
        <w:t>דברים הראוים למאכל חיה ועוף:</w:t>
      </w:r>
    </w:p>
    <w:p w14:paraId="21CAA49B" w14:textId="0B9D022D" w:rsidR="00B14BC7" w:rsidRDefault="00BE6400" w:rsidP="00434A6A">
      <w:pPr>
        <w:pStyle w:val="aa"/>
        <w:numPr>
          <w:ilvl w:val="0"/>
          <w:numId w:val="3"/>
        </w:numPr>
        <w:rPr>
          <w:rFonts w:cs="Arial"/>
        </w:rPr>
      </w:pPr>
      <w:r w:rsidRPr="00BE6400">
        <w:rPr>
          <w:rFonts w:cs="Arial" w:hint="cs"/>
          <w:rtl/>
        </w:rPr>
        <w:t xml:space="preserve">טור- </w:t>
      </w:r>
      <w:r w:rsidR="00B14BC7" w:rsidRPr="00BE6400">
        <w:rPr>
          <w:rFonts w:cs="Arial"/>
          <w:rtl/>
        </w:rPr>
        <w:t>אין מטלטלין הלוף אע</w:t>
      </w:r>
      <w:r w:rsidR="00564FE1">
        <w:rPr>
          <w:rFonts w:cs="Arial" w:hint="cs"/>
          <w:rtl/>
        </w:rPr>
        <w:t>"</w:t>
      </w:r>
      <w:r w:rsidR="00B14BC7" w:rsidRPr="00BE6400">
        <w:rPr>
          <w:rFonts w:cs="Arial"/>
          <w:rtl/>
        </w:rPr>
        <w:t>פ שהוא ראוי לעורבים</w:t>
      </w:r>
      <w:r w:rsidR="006D2BD9">
        <w:rPr>
          <w:rFonts w:cs="Arial" w:hint="cs"/>
          <w:rtl/>
        </w:rPr>
        <w:t>,</w:t>
      </w:r>
      <w:r w:rsidR="00B14BC7" w:rsidRPr="00BE6400">
        <w:rPr>
          <w:rFonts w:cs="Arial"/>
          <w:rtl/>
        </w:rPr>
        <w:t xml:space="preserve"> ולא את החצב אא"כ יש לו צביים</w:t>
      </w:r>
      <w:r w:rsidR="006D2BD9">
        <w:rPr>
          <w:rFonts w:cs="Arial" w:hint="cs"/>
          <w:rtl/>
        </w:rPr>
        <w:t>,</w:t>
      </w:r>
      <w:r w:rsidR="00B14BC7" w:rsidRPr="00BE6400">
        <w:rPr>
          <w:rFonts w:cs="Arial"/>
          <w:rtl/>
        </w:rPr>
        <w:t xml:space="preserve"> ולא שברי זכוכית אא"כ יש לו נעמיות</w:t>
      </w:r>
      <w:r w:rsidR="006D2BD9">
        <w:rPr>
          <w:rFonts w:cs="Arial" w:hint="cs"/>
          <w:rtl/>
        </w:rPr>
        <w:t>,</w:t>
      </w:r>
      <w:r w:rsidR="00B14BC7" w:rsidRPr="00BE6400">
        <w:rPr>
          <w:rFonts w:cs="Arial"/>
          <w:rtl/>
        </w:rPr>
        <w:t xml:space="preserve"> ולא חבילי זמורות אא"כ יש לו פילין</w:t>
      </w:r>
      <w:r w:rsidR="006D2BD9">
        <w:rPr>
          <w:rFonts w:cs="Arial" w:hint="cs"/>
          <w:rtl/>
        </w:rPr>
        <w:t>,</w:t>
      </w:r>
      <w:r w:rsidR="00B14BC7" w:rsidRPr="00BE6400">
        <w:rPr>
          <w:rFonts w:cs="Arial"/>
          <w:rtl/>
        </w:rPr>
        <w:t xml:space="preserve"> ולא חרדל אא"כ יש לו יונים</w:t>
      </w:r>
      <w:r w:rsidR="00BD42B8">
        <w:rPr>
          <w:rStyle w:val="a9"/>
          <w:rFonts w:cs="Arial"/>
          <w:rtl/>
        </w:rPr>
        <w:footnoteReference w:id="1622"/>
      </w:r>
      <w:r w:rsidRPr="00BE6400">
        <w:rPr>
          <w:rFonts w:cs="Arial" w:hint="cs"/>
          <w:rtl/>
        </w:rPr>
        <w:t>.</w:t>
      </w:r>
    </w:p>
    <w:p w14:paraId="5C7426C1" w14:textId="7A49688C" w:rsidR="00BD42B8" w:rsidRDefault="00384428" w:rsidP="00434A6A">
      <w:pPr>
        <w:pStyle w:val="aa"/>
        <w:numPr>
          <w:ilvl w:val="0"/>
          <w:numId w:val="3"/>
        </w:numPr>
        <w:rPr>
          <w:rFonts w:cs="Arial"/>
        </w:rPr>
      </w:pPr>
      <w:r>
        <w:rPr>
          <w:rFonts w:cs="Arial" w:hint="cs"/>
          <w:rtl/>
        </w:rPr>
        <w:t xml:space="preserve">רמב"ם </w:t>
      </w:r>
      <w:r>
        <w:rPr>
          <w:rFonts w:cs="Arial" w:hint="cs"/>
          <w:sz w:val="16"/>
          <w:szCs w:val="16"/>
          <w:rtl/>
        </w:rPr>
        <w:t>(פכ"ו הט"ז-יז)</w:t>
      </w:r>
      <w:r>
        <w:rPr>
          <w:rFonts w:cs="Arial" w:hint="cs"/>
          <w:rtl/>
        </w:rPr>
        <w:t xml:space="preserve">- </w:t>
      </w:r>
      <w:r w:rsidRPr="00384428">
        <w:rPr>
          <w:rFonts w:cs="Arial"/>
          <w:rtl/>
        </w:rPr>
        <w:t>כל שהוא ראוי למאכל בהמה וחיה ועוף המצויין מטלטלין אותו בשבת</w:t>
      </w:r>
      <w:r>
        <w:rPr>
          <w:rFonts w:cs="Arial" w:hint="cs"/>
          <w:rtl/>
        </w:rPr>
        <w:t>.</w:t>
      </w:r>
      <w:r w:rsidRPr="00384428">
        <w:rPr>
          <w:rFonts w:cs="Arial"/>
          <w:rtl/>
        </w:rPr>
        <w:t xml:space="preserve"> כיצד</w:t>
      </w:r>
      <w:r>
        <w:rPr>
          <w:rFonts w:cs="Arial" w:hint="cs"/>
          <w:rtl/>
        </w:rPr>
        <w:t>,</w:t>
      </w:r>
      <w:r w:rsidRPr="00384428">
        <w:rPr>
          <w:rFonts w:cs="Arial"/>
          <w:rtl/>
        </w:rPr>
        <w:t xml:space="preserve"> מטלטלין את התורמוס היבש מפני שהוא מאכל לעזים אבל לא את הלח</w:t>
      </w:r>
      <w:r>
        <w:rPr>
          <w:rFonts w:cs="Arial" w:hint="cs"/>
          <w:rtl/>
        </w:rPr>
        <w:t>,</w:t>
      </w:r>
      <w:r w:rsidRPr="00384428">
        <w:rPr>
          <w:rFonts w:cs="Arial"/>
          <w:rtl/>
        </w:rPr>
        <w:t xml:space="preserve"> את החצב מפני שהוא מאכל לצבאים, את החרדל מפני שהוא מאכל ליונים</w:t>
      </w:r>
      <w:r w:rsidR="00BD42B8">
        <w:rPr>
          <w:rStyle w:val="a9"/>
          <w:rFonts w:cs="Arial"/>
          <w:rtl/>
        </w:rPr>
        <w:footnoteReference w:id="1623"/>
      </w:r>
      <w:r w:rsidRPr="00384428">
        <w:rPr>
          <w:rFonts w:cs="Arial"/>
          <w:rtl/>
        </w:rPr>
        <w:t>, את העצמות מפני שהן מאכל לכלבים, וכן כל הקליפין והגרעינין הראויין למאכל בהמה מטלטלין אותן, ושאינן ראויין אוכל את האוכל וזורקן לאחוריו ואסור לטלטלן</w:t>
      </w:r>
      <w:r w:rsidR="00113628">
        <w:rPr>
          <w:rFonts w:cs="Arial" w:hint="cs"/>
          <w:rtl/>
        </w:rPr>
        <w:t>..</w:t>
      </w:r>
      <w:r w:rsidRPr="00384428">
        <w:rPr>
          <w:rFonts w:cs="Arial"/>
          <w:rtl/>
        </w:rPr>
        <w:t>. אין מטלטלין שברי זכוכית א</w:t>
      </w:r>
      <w:r w:rsidR="008F3859">
        <w:rPr>
          <w:rFonts w:cs="Arial" w:hint="cs"/>
          <w:rtl/>
        </w:rPr>
        <w:t>ע"פ</w:t>
      </w:r>
      <w:r w:rsidRPr="00384428">
        <w:rPr>
          <w:rFonts w:cs="Arial"/>
          <w:rtl/>
        </w:rPr>
        <w:t xml:space="preserve"> שהן מאכל לנעמיות, ולא חבילי זמורות אע</w:t>
      </w:r>
      <w:r w:rsidR="008F3859">
        <w:rPr>
          <w:rFonts w:cs="Arial" w:hint="cs"/>
          <w:rtl/>
        </w:rPr>
        <w:t>"</w:t>
      </w:r>
      <w:r w:rsidRPr="00384428">
        <w:rPr>
          <w:rFonts w:cs="Arial"/>
          <w:rtl/>
        </w:rPr>
        <w:t>פ שהן מאכל לפילים, ולא את הלוף אע</w:t>
      </w:r>
      <w:r w:rsidR="008F3859">
        <w:rPr>
          <w:rFonts w:cs="Arial" w:hint="cs"/>
          <w:rtl/>
        </w:rPr>
        <w:t>"</w:t>
      </w:r>
      <w:r w:rsidRPr="00384428">
        <w:rPr>
          <w:rFonts w:cs="Arial"/>
          <w:rtl/>
        </w:rPr>
        <w:t>פ שהוא מאכל לעורבים, מפני שאין אלו וכיוצא בהן מצויין אצל רוב בני אדם.</w:t>
      </w:r>
      <w:r w:rsidR="00D8110C">
        <w:rPr>
          <w:rFonts w:cs="Arial" w:hint="cs"/>
          <w:rtl/>
        </w:rPr>
        <w:t xml:space="preserve"> </w:t>
      </w:r>
      <w:r w:rsidR="00D8110C" w:rsidRPr="00D8110C">
        <w:rPr>
          <w:rFonts w:cs="Arial" w:hint="cs"/>
          <w:color w:val="E36C0A" w:themeColor="accent6" w:themeShade="BF"/>
          <w:rtl/>
        </w:rPr>
        <w:t>(וכ"פ בשו"ע)</w:t>
      </w:r>
    </w:p>
    <w:p w14:paraId="62315764" w14:textId="2188BA6E" w:rsidR="00BD42B8" w:rsidRPr="00BD42B8" w:rsidRDefault="00BD42B8" w:rsidP="00434A6A">
      <w:pPr>
        <w:ind w:left="360"/>
        <w:rPr>
          <w:rFonts w:cs="Arial"/>
          <w:u w:val="dotted"/>
        </w:rPr>
      </w:pPr>
      <w:r w:rsidRPr="00BD42B8">
        <w:rPr>
          <w:rFonts w:cs="Arial" w:hint="cs"/>
          <w:u w:val="dotted"/>
          <w:rtl/>
        </w:rPr>
        <w:t>ומה הדין אם יש אותו חיה או עוף שאינן מצויים:</w:t>
      </w:r>
    </w:p>
    <w:p w14:paraId="7619872D" w14:textId="48F5DD3F" w:rsidR="00FB3622" w:rsidRPr="00BD42B8" w:rsidRDefault="00BD42B8" w:rsidP="00434A6A">
      <w:pPr>
        <w:pStyle w:val="aa"/>
        <w:numPr>
          <w:ilvl w:val="0"/>
          <w:numId w:val="3"/>
        </w:numPr>
        <w:rPr>
          <w:rFonts w:cs="Arial"/>
          <w:rtl/>
        </w:rPr>
      </w:pPr>
      <w:r>
        <w:rPr>
          <w:rFonts w:cs="Arial" w:hint="cs"/>
          <w:rtl/>
        </w:rPr>
        <w:t xml:space="preserve">ב"י- </w:t>
      </w:r>
      <w:r w:rsidR="00FB3622" w:rsidRPr="00BD42B8">
        <w:rPr>
          <w:rFonts w:cs="Arial"/>
          <w:rtl/>
        </w:rPr>
        <w:t>פשוט בגמרא דהיכא דאית ליה אותו חיה או עוף שאינן מצויים</w:t>
      </w:r>
      <w:r w:rsidR="00914CC5" w:rsidRPr="00BD42B8">
        <w:rPr>
          <w:rFonts w:cs="Arial" w:hint="cs"/>
          <w:rtl/>
        </w:rPr>
        <w:t>,</w:t>
      </w:r>
      <w:r w:rsidR="00FB3622" w:rsidRPr="00BD42B8">
        <w:rPr>
          <w:rFonts w:cs="Arial"/>
          <w:rtl/>
        </w:rPr>
        <w:t xml:space="preserve"> שהוא מותר לטלטל דבר הראוי למאכל אותה המין</w:t>
      </w:r>
      <w:r w:rsidR="00914CC5" w:rsidRPr="00BD42B8">
        <w:rPr>
          <w:rFonts w:cs="Arial" w:hint="cs"/>
          <w:rtl/>
        </w:rPr>
        <w:t>.</w:t>
      </w:r>
      <w:r w:rsidR="00FB3622" w:rsidRPr="00BD42B8">
        <w:rPr>
          <w:rFonts w:cs="Arial"/>
          <w:rtl/>
        </w:rPr>
        <w:t xml:space="preserve"> ואע</w:t>
      </w:r>
      <w:r w:rsidR="00914CC5" w:rsidRPr="00BD42B8">
        <w:rPr>
          <w:rFonts w:cs="Arial" w:hint="cs"/>
          <w:rtl/>
        </w:rPr>
        <w:t>"</w:t>
      </w:r>
      <w:r w:rsidR="00FB3622" w:rsidRPr="00BD42B8">
        <w:rPr>
          <w:rFonts w:cs="Arial"/>
          <w:rtl/>
        </w:rPr>
        <w:t>פ שלשון רבינו אינו מבואר בעורבים כמו שהוא מבואר בשאר מינים</w:t>
      </w:r>
      <w:r w:rsidR="00914CC5" w:rsidRPr="00BD42B8">
        <w:rPr>
          <w:rFonts w:cs="Arial" w:hint="cs"/>
          <w:rtl/>
        </w:rPr>
        <w:t>,</w:t>
      </w:r>
      <w:r w:rsidR="00FB3622" w:rsidRPr="00BD42B8">
        <w:rPr>
          <w:rFonts w:cs="Arial"/>
          <w:rtl/>
        </w:rPr>
        <w:t xml:space="preserve"> כך צריך לפרשו</w:t>
      </w:r>
      <w:r w:rsidR="00914CC5" w:rsidRPr="00BD42B8">
        <w:rPr>
          <w:rFonts w:cs="Arial" w:hint="cs"/>
          <w:rtl/>
        </w:rPr>
        <w:t>,</w:t>
      </w:r>
      <w:r w:rsidR="00FB3622" w:rsidRPr="00BD42B8">
        <w:rPr>
          <w:rFonts w:cs="Arial"/>
          <w:rtl/>
        </w:rPr>
        <w:t xml:space="preserve"> דבאין לו עורבים מיירי</w:t>
      </w:r>
      <w:r w:rsidR="00914CC5" w:rsidRPr="00BD42B8">
        <w:rPr>
          <w:rFonts w:cs="Arial" w:hint="cs"/>
          <w:rtl/>
        </w:rPr>
        <w:t>,</w:t>
      </w:r>
      <w:r w:rsidR="00FB3622" w:rsidRPr="00BD42B8">
        <w:rPr>
          <w:rFonts w:cs="Arial"/>
          <w:rtl/>
        </w:rPr>
        <w:t xml:space="preserve"> אבל אם יש לו עורבים מטלטל את הלוף</w:t>
      </w:r>
      <w:r w:rsidR="00914CC5" w:rsidRPr="00BD42B8">
        <w:rPr>
          <w:rFonts w:cs="Arial" w:hint="cs"/>
          <w:rtl/>
        </w:rPr>
        <w:t>.</w:t>
      </w:r>
      <w:r w:rsidR="00D8110C" w:rsidRPr="00D8110C">
        <w:rPr>
          <w:rFonts w:cs="Arial" w:hint="cs"/>
          <w:color w:val="E36C0A" w:themeColor="accent6" w:themeShade="BF"/>
          <w:rtl/>
        </w:rPr>
        <w:t xml:space="preserve"> (וכ"פ בשו"ע)</w:t>
      </w:r>
    </w:p>
    <w:p w14:paraId="396A0EA7" w14:textId="62F4DFEC" w:rsidR="00C00DF6" w:rsidRPr="00C00DF6" w:rsidRDefault="00C00DF6" w:rsidP="00434A6A">
      <w:pPr>
        <w:rPr>
          <w:rFonts w:cs="Arial"/>
          <w:rtl/>
        </w:rPr>
      </w:pPr>
      <w:r w:rsidRPr="00C00DF6">
        <w:rPr>
          <w:rFonts w:hint="cs"/>
          <w:b/>
          <w:bCs/>
          <w:rtl/>
        </w:rPr>
        <w:t xml:space="preserve">שבת </w:t>
      </w:r>
      <w:r w:rsidRPr="00C00DF6">
        <w:rPr>
          <w:rFonts w:hint="cs"/>
          <w:b/>
          <w:bCs/>
          <w:sz w:val="16"/>
          <w:szCs w:val="16"/>
          <w:rtl/>
        </w:rPr>
        <w:t>(ס"פ נוטל)</w:t>
      </w:r>
      <w:r w:rsidRPr="00C00DF6">
        <w:rPr>
          <w:rFonts w:hint="cs"/>
          <w:b/>
          <w:bCs/>
          <w:rtl/>
        </w:rPr>
        <w:t xml:space="preserve"> קמג ע"א:</w:t>
      </w:r>
      <w:r w:rsidRPr="00C00DF6">
        <w:rPr>
          <w:rFonts w:cs="Arial" w:hint="cs"/>
          <w:rtl/>
        </w:rPr>
        <w:t xml:space="preserve"> </w:t>
      </w:r>
      <w:r w:rsidRPr="00C00DF6">
        <w:rPr>
          <w:rFonts w:cs="Arial"/>
          <w:u w:val="double"/>
          <w:rtl/>
        </w:rPr>
        <w:t>משנה</w:t>
      </w:r>
      <w:r w:rsidRPr="00C00DF6">
        <w:rPr>
          <w:rFonts w:cs="Arial" w:hint="cs"/>
          <w:rtl/>
        </w:rPr>
        <w:t>:</w:t>
      </w:r>
      <w:r w:rsidRPr="00C00DF6">
        <w:rPr>
          <w:rFonts w:cs="Arial"/>
          <w:rtl/>
        </w:rPr>
        <w:t xml:space="preserve"> </w:t>
      </w:r>
      <w:r w:rsidRPr="00C00DF6">
        <w:rPr>
          <w:rFonts w:cs="Arial"/>
          <w:u w:val="single"/>
          <w:rtl/>
        </w:rPr>
        <w:t>בית שמאי אומרים</w:t>
      </w:r>
      <w:r w:rsidRPr="00C00DF6">
        <w:rPr>
          <w:rFonts w:cs="Arial"/>
          <w:rtl/>
        </w:rPr>
        <w:t>: מעבירין מעל השלחן עצמות וקליפין</w:t>
      </w:r>
      <w:r w:rsidRPr="00C00DF6">
        <w:rPr>
          <w:rFonts w:cs="Arial" w:hint="cs"/>
          <w:rtl/>
        </w:rPr>
        <w:t>.</w:t>
      </w:r>
      <w:r w:rsidRPr="00C00DF6">
        <w:rPr>
          <w:rFonts w:cs="Arial"/>
          <w:rtl/>
        </w:rPr>
        <w:t xml:space="preserve"> </w:t>
      </w:r>
      <w:r w:rsidRPr="00C00DF6">
        <w:rPr>
          <w:rFonts w:cs="Arial"/>
          <w:u w:val="single"/>
          <w:rtl/>
        </w:rPr>
        <w:t>ובית הלל אומרים</w:t>
      </w:r>
      <w:r w:rsidRPr="00C00DF6">
        <w:rPr>
          <w:rFonts w:cs="Arial"/>
          <w:rtl/>
        </w:rPr>
        <w:t>: מסלק את הטבלא כולה ומנערה</w:t>
      </w:r>
      <w:r w:rsidRPr="00C00DF6">
        <w:rPr>
          <w:rFonts w:cs="Arial" w:hint="cs"/>
          <w:rtl/>
        </w:rPr>
        <w:t>..</w:t>
      </w:r>
      <w:r w:rsidRPr="00C00DF6">
        <w:rPr>
          <w:rFonts w:cs="Arial"/>
          <w:rtl/>
        </w:rPr>
        <w:t>.</w:t>
      </w:r>
      <w:r w:rsidRPr="00C00DF6">
        <w:rPr>
          <w:rFonts w:cs="Arial" w:hint="cs"/>
          <w:rtl/>
        </w:rPr>
        <w:t xml:space="preserve">    </w:t>
      </w:r>
      <w:r w:rsidRPr="005B58DF">
        <w:rPr>
          <w:rtl/>
        </w:rPr>
        <w:t xml:space="preserve"> </w:t>
      </w:r>
      <w:r w:rsidRPr="00C00DF6">
        <w:rPr>
          <w:rFonts w:cs="Arial"/>
          <w:u w:val="double"/>
          <w:rtl/>
        </w:rPr>
        <w:t>גמרא</w:t>
      </w:r>
      <w:r w:rsidRPr="00C00DF6">
        <w:rPr>
          <w:rFonts w:cs="Arial" w:hint="cs"/>
          <w:rtl/>
        </w:rPr>
        <w:t>:</w:t>
      </w:r>
      <w:r w:rsidRPr="00C00DF6">
        <w:rPr>
          <w:rFonts w:cs="Arial"/>
          <w:rtl/>
        </w:rPr>
        <w:t xml:space="preserve"> </w:t>
      </w:r>
      <w:r w:rsidRPr="00C00DF6">
        <w:rPr>
          <w:rFonts w:cs="Arial"/>
          <w:u w:val="single"/>
          <w:rtl/>
        </w:rPr>
        <w:t>אמר רב נחמן</w:t>
      </w:r>
      <w:r w:rsidRPr="00C00DF6">
        <w:rPr>
          <w:rFonts w:cs="Arial"/>
          <w:rtl/>
        </w:rPr>
        <w:t>: אנו אין לנו</w:t>
      </w:r>
      <w:r>
        <w:rPr>
          <w:rStyle w:val="a9"/>
          <w:rFonts w:cs="Arial"/>
          <w:rtl/>
        </w:rPr>
        <w:footnoteReference w:id="1624"/>
      </w:r>
      <w:r w:rsidRPr="00C00DF6">
        <w:rPr>
          <w:rFonts w:cs="Arial"/>
          <w:rtl/>
        </w:rPr>
        <w:t xml:space="preserve"> אלא בית שמאי כרבי יהודה, ובית הלל כרבי שמעון.</w:t>
      </w:r>
    </w:p>
    <w:p w14:paraId="19D6D62A" w14:textId="353FCB25" w:rsidR="00F14255" w:rsidRPr="00F14255" w:rsidRDefault="00F14255" w:rsidP="00434A6A">
      <w:pPr>
        <w:rPr>
          <w:u w:val="single"/>
          <w:rtl/>
        </w:rPr>
      </w:pPr>
      <w:r w:rsidRPr="00F14255">
        <w:rPr>
          <w:rFonts w:hint="cs"/>
          <w:u w:val="single"/>
          <w:rtl/>
        </w:rPr>
        <w:t>קליפות</w:t>
      </w:r>
      <w:r w:rsidR="00352B63">
        <w:rPr>
          <w:rFonts w:hint="cs"/>
          <w:u w:val="single"/>
          <w:rtl/>
        </w:rPr>
        <w:t xml:space="preserve"> </w:t>
      </w:r>
      <w:r w:rsidR="00C00DF6">
        <w:rPr>
          <w:rFonts w:hint="cs"/>
          <w:u w:val="single"/>
          <w:rtl/>
        </w:rPr>
        <w:t xml:space="preserve">הראויות למכאל בהמה, </w:t>
      </w:r>
      <w:r w:rsidR="00352B63">
        <w:rPr>
          <w:rFonts w:hint="cs"/>
          <w:u w:val="single"/>
          <w:rtl/>
        </w:rPr>
        <w:t xml:space="preserve">שהופרדו מהפירות </w:t>
      </w:r>
      <w:r w:rsidR="00352B63" w:rsidRPr="00352B63">
        <w:rPr>
          <w:rFonts w:hint="cs"/>
          <w:sz w:val="16"/>
          <w:szCs w:val="16"/>
          <w:u w:val="single"/>
          <w:rtl/>
        </w:rPr>
        <w:t xml:space="preserve">(או </w:t>
      </w:r>
      <w:r w:rsidRPr="00352B63">
        <w:rPr>
          <w:rFonts w:hint="cs"/>
          <w:sz w:val="16"/>
          <w:szCs w:val="16"/>
          <w:u w:val="single"/>
          <w:rtl/>
        </w:rPr>
        <w:t xml:space="preserve">עצמות </w:t>
      </w:r>
      <w:r w:rsidR="00352B63" w:rsidRPr="00352B63">
        <w:rPr>
          <w:rFonts w:hint="cs"/>
          <w:sz w:val="16"/>
          <w:szCs w:val="16"/>
          <w:u w:val="single"/>
          <w:rtl/>
        </w:rPr>
        <w:t>שהופרדו מהבשר)</w:t>
      </w:r>
      <w:r w:rsidRPr="00F14255">
        <w:rPr>
          <w:rFonts w:hint="cs"/>
          <w:u w:val="single"/>
          <w:rtl/>
        </w:rPr>
        <w:t xml:space="preserve"> מערב שבת:</w:t>
      </w:r>
    </w:p>
    <w:p w14:paraId="6691BEF1" w14:textId="56C978AA" w:rsidR="00F14255" w:rsidRPr="00FB3622" w:rsidRDefault="00F14255" w:rsidP="00434A6A">
      <w:pPr>
        <w:pStyle w:val="aa"/>
        <w:numPr>
          <w:ilvl w:val="0"/>
          <w:numId w:val="3"/>
        </w:numPr>
        <w:rPr>
          <w:rtl/>
        </w:rPr>
      </w:pPr>
      <w:r w:rsidRPr="00C828F4">
        <w:rPr>
          <w:rFonts w:cs="Arial"/>
          <w:rtl/>
        </w:rPr>
        <w:t xml:space="preserve">ר"ן </w:t>
      </w:r>
      <w:r w:rsidRPr="00C828F4">
        <w:rPr>
          <w:rFonts w:cs="Arial"/>
          <w:sz w:val="16"/>
          <w:szCs w:val="16"/>
          <w:rtl/>
        </w:rPr>
        <w:t>(</w:t>
      </w:r>
      <w:r w:rsidR="00352B63">
        <w:rPr>
          <w:rFonts w:cs="Arial" w:hint="cs"/>
          <w:sz w:val="16"/>
          <w:szCs w:val="16"/>
          <w:rtl/>
        </w:rPr>
        <w:t xml:space="preserve">שם </w:t>
      </w:r>
      <w:r w:rsidRPr="00C828F4">
        <w:rPr>
          <w:rFonts w:cs="Arial"/>
          <w:sz w:val="16"/>
          <w:szCs w:val="16"/>
          <w:rtl/>
        </w:rPr>
        <w:t>ד"ה גמ')</w:t>
      </w:r>
      <w:r>
        <w:rPr>
          <w:rFonts w:cs="Arial" w:hint="cs"/>
          <w:rtl/>
        </w:rPr>
        <w:t>-</w:t>
      </w:r>
      <w:r w:rsidRPr="00C828F4">
        <w:rPr>
          <w:rFonts w:cs="Arial"/>
          <w:rtl/>
        </w:rPr>
        <w:t xml:space="preserve"> </w:t>
      </w:r>
      <w:r w:rsidR="00C00DF6" w:rsidRPr="00C00DF6">
        <w:rPr>
          <w:rFonts w:cs="Arial"/>
          <w:rtl/>
        </w:rPr>
        <w:t>כי קא שרי ר' שמעון לטלטולי</w:t>
      </w:r>
      <w:r w:rsidR="00C00DF6">
        <w:rPr>
          <w:rFonts w:cs="Arial" w:hint="cs"/>
          <w:rtl/>
        </w:rPr>
        <w:t>,</w:t>
      </w:r>
      <w:r w:rsidR="00C00DF6" w:rsidRPr="00C00DF6">
        <w:rPr>
          <w:rFonts w:cs="Arial"/>
          <w:rtl/>
        </w:rPr>
        <w:t xml:space="preserve"> כגון עצמות דחזיאן לכלבים וקליפים דחזיאן למאכל בהמה ואע</w:t>
      </w:r>
      <w:r w:rsidR="00C00DF6">
        <w:rPr>
          <w:rFonts w:cs="Arial" w:hint="cs"/>
          <w:rtl/>
        </w:rPr>
        <w:t>"</w:t>
      </w:r>
      <w:r w:rsidR="00C00DF6" w:rsidRPr="00C00DF6">
        <w:rPr>
          <w:rFonts w:cs="Arial"/>
          <w:rtl/>
        </w:rPr>
        <w:t>פ שנתפרקו בשבת העצמות מן הבשר והקליפין מן הפירות</w:t>
      </w:r>
      <w:r w:rsidR="00C00DF6">
        <w:rPr>
          <w:rFonts w:cs="Arial" w:hint="cs"/>
          <w:rtl/>
        </w:rPr>
        <w:t>.</w:t>
      </w:r>
      <w:r w:rsidR="00C00DF6" w:rsidRPr="00C00DF6">
        <w:rPr>
          <w:rFonts w:cs="Arial"/>
          <w:rtl/>
        </w:rPr>
        <w:t xml:space="preserve"> אבל אם נתפרקו מע"ש אפילו רבי שמעון מודה</w:t>
      </w:r>
      <w:r w:rsidR="00D52542">
        <w:rPr>
          <w:rStyle w:val="a9"/>
          <w:rFonts w:cs="Arial"/>
          <w:rtl/>
        </w:rPr>
        <w:footnoteReference w:id="1625"/>
      </w:r>
      <w:r w:rsidRPr="00C828F4">
        <w:rPr>
          <w:rFonts w:cs="Arial"/>
          <w:rtl/>
        </w:rPr>
        <w:t xml:space="preserve">. </w:t>
      </w:r>
    </w:p>
    <w:p w14:paraId="4C63C461"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2A71A0F8" w14:textId="652860AD" w:rsidR="000C6229" w:rsidRPr="005275DF" w:rsidRDefault="000C6229" w:rsidP="00434A6A">
      <w:pPr>
        <w:rPr>
          <w:rFonts w:asciiTheme="minorBidi" w:hAnsiTheme="minorBidi"/>
          <w:rtl/>
        </w:rPr>
      </w:pPr>
      <w:r w:rsidRPr="005275DF">
        <w:rPr>
          <w:rFonts w:asciiTheme="minorBidi" w:hAnsiTheme="minorBidi"/>
          <w:rtl/>
        </w:rPr>
        <w:t>כל שהוא ראוי למאכל חיה ועוף המצויים, מטלטלים אותו</w:t>
      </w:r>
      <w:r w:rsidR="00677EB8">
        <w:rPr>
          <w:rFonts w:asciiTheme="minorBidi" w:hAnsiTheme="minorBidi" w:hint="cs"/>
          <w:rtl/>
        </w:rPr>
        <w:t>.</w:t>
      </w:r>
      <w:r w:rsidRPr="005275DF">
        <w:rPr>
          <w:rFonts w:asciiTheme="minorBidi" w:hAnsiTheme="minorBidi"/>
          <w:rtl/>
        </w:rPr>
        <w:t xml:space="preserve"> ואם אינו ראוי אלא למאכל חיה ועוף שאינן מצויים</w:t>
      </w:r>
      <w:r w:rsidR="00113628">
        <w:rPr>
          <w:rStyle w:val="a9"/>
          <w:rFonts w:asciiTheme="minorBidi" w:hAnsiTheme="minorBidi"/>
          <w:rtl/>
        </w:rPr>
        <w:footnoteReference w:id="1626"/>
      </w:r>
      <w:r w:rsidRPr="005275DF">
        <w:rPr>
          <w:rFonts w:asciiTheme="minorBidi" w:hAnsiTheme="minorBidi"/>
          <w:rtl/>
        </w:rPr>
        <w:t>, אם יש לו מאותו מין חיה או עוף, מותר לטלטל מאכל הראוי לאותו המין</w:t>
      </w:r>
      <w:r w:rsidR="00677EB8">
        <w:rPr>
          <w:rFonts w:asciiTheme="minorBidi" w:hAnsiTheme="minorBidi" w:hint="cs"/>
          <w:rtl/>
        </w:rPr>
        <w:t>.</w:t>
      </w:r>
      <w:r w:rsidRPr="005275DF">
        <w:rPr>
          <w:rFonts w:asciiTheme="minorBidi" w:hAnsiTheme="minorBidi"/>
          <w:rtl/>
        </w:rPr>
        <w:t xml:space="preserve"> וא</w:t>
      </w:r>
      <w:r w:rsidR="00677EB8">
        <w:rPr>
          <w:rFonts w:asciiTheme="minorBidi" w:hAnsiTheme="minorBidi" w:hint="cs"/>
          <w:rtl/>
        </w:rPr>
        <w:t xml:space="preserve">ם </w:t>
      </w:r>
      <w:r w:rsidRPr="005275DF">
        <w:rPr>
          <w:rFonts w:asciiTheme="minorBidi" w:hAnsiTheme="minorBidi"/>
          <w:rtl/>
        </w:rPr>
        <w:t>ל</w:t>
      </w:r>
      <w:r w:rsidR="00677EB8">
        <w:rPr>
          <w:rFonts w:asciiTheme="minorBidi" w:hAnsiTheme="minorBidi" w:hint="cs"/>
          <w:rtl/>
        </w:rPr>
        <w:t>או</w:t>
      </w:r>
      <w:r w:rsidR="006D2BD9">
        <w:rPr>
          <w:rFonts w:asciiTheme="minorBidi" w:hAnsiTheme="minorBidi" w:hint="cs"/>
          <w:rtl/>
        </w:rPr>
        <w:t>,</w:t>
      </w:r>
      <w:r w:rsidRPr="005275DF">
        <w:rPr>
          <w:rFonts w:asciiTheme="minorBidi" w:hAnsiTheme="minorBidi"/>
          <w:rtl/>
        </w:rPr>
        <w:t xml:space="preserve"> אסור. </w:t>
      </w:r>
      <w:r w:rsidRPr="0050175B">
        <w:rPr>
          <w:rFonts w:asciiTheme="minorBidi" w:hAnsiTheme="minorBidi"/>
          <w:sz w:val="18"/>
          <w:szCs w:val="18"/>
          <w:rtl/>
        </w:rPr>
        <w:t>הגה: ולפי זה מותר לטלטל עצמות שנתפרקו מן הבשר מע</w:t>
      </w:r>
      <w:r w:rsidR="0030366D">
        <w:rPr>
          <w:rFonts w:asciiTheme="minorBidi" w:hAnsiTheme="minorBidi" w:hint="cs"/>
          <w:sz w:val="18"/>
          <w:szCs w:val="18"/>
          <w:rtl/>
        </w:rPr>
        <w:t xml:space="preserve">רב </w:t>
      </w:r>
      <w:r w:rsidRPr="0050175B">
        <w:rPr>
          <w:rFonts w:asciiTheme="minorBidi" w:hAnsiTheme="minorBidi"/>
          <w:sz w:val="18"/>
          <w:szCs w:val="18"/>
          <w:rtl/>
        </w:rPr>
        <w:t>ש</w:t>
      </w:r>
      <w:r w:rsidR="0030366D">
        <w:rPr>
          <w:rFonts w:asciiTheme="minorBidi" w:hAnsiTheme="minorBidi" w:hint="cs"/>
          <w:sz w:val="18"/>
          <w:szCs w:val="18"/>
          <w:rtl/>
        </w:rPr>
        <w:t>בת</w:t>
      </w:r>
      <w:r w:rsidR="00113628">
        <w:rPr>
          <w:rStyle w:val="a9"/>
          <w:rFonts w:asciiTheme="minorBidi" w:hAnsiTheme="minorBidi"/>
          <w:sz w:val="18"/>
          <w:szCs w:val="18"/>
          <w:rtl/>
        </w:rPr>
        <w:footnoteReference w:id="1627"/>
      </w:r>
      <w:r w:rsidRPr="0050175B">
        <w:rPr>
          <w:rFonts w:asciiTheme="minorBidi" w:hAnsiTheme="minorBidi"/>
          <w:sz w:val="18"/>
          <w:szCs w:val="18"/>
          <w:rtl/>
        </w:rPr>
        <w:t xml:space="preserve"> אם ראויים לכלבים, דהא כלבים מצויים (ב"י).</w:t>
      </w:r>
      <w:r w:rsidRPr="005275DF">
        <w:rPr>
          <w:rFonts w:asciiTheme="minorBidi" w:hAnsiTheme="minorBidi"/>
          <w:rtl/>
        </w:rPr>
        <w:t xml:space="preserve"> </w:t>
      </w:r>
    </w:p>
    <w:p w14:paraId="64391ADD" w14:textId="77777777" w:rsidR="000C6229" w:rsidRPr="005275DF" w:rsidRDefault="000C6229" w:rsidP="00434A6A">
      <w:pPr>
        <w:rPr>
          <w:rFonts w:asciiTheme="minorBidi" w:hAnsiTheme="minorBidi"/>
          <w:rtl/>
        </w:rPr>
      </w:pPr>
    </w:p>
    <w:p w14:paraId="7DC88924" w14:textId="391E984F" w:rsidR="000C6229" w:rsidRDefault="000C6229" w:rsidP="00434A6A">
      <w:pPr>
        <w:pStyle w:val="2"/>
        <w:rPr>
          <w:rtl/>
        </w:rPr>
      </w:pPr>
      <w:r w:rsidRPr="005275DF">
        <w:rPr>
          <w:rtl/>
        </w:rPr>
        <w:t>סעיף ל</w:t>
      </w:r>
      <w:r w:rsidR="00FB3622">
        <w:rPr>
          <w:rFonts w:hint="cs"/>
          <w:rtl/>
        </w:rPr>
        <w:t>:</w:t>
      </w:r>
      <w:r w:rsidR="00113628">
        <w:rPr>
          <w:rFonts w:hint="cs"/>
          <w:rtl/>
        </w:rPr>
        <w:t xml:space="preserve"> גרעיני תמרה.</w:t>
      </w:r>
    </w:p>
    <w:p w14:paraId="4FA2BF86" w14:textId="7523C721" w:rsidR="003113A6" w:rsidRDefault="003113A6" w:rsidP="00434A6A">
      <w:pPr>
        <w:rPr>
          <w:rFonts w:cs="Arial"/>
          <w:rtl/>
        </w:rPr>
      </w:pPr>
      <w:r w:rsidRPr="002A45F7">
        <w:rPr>
          <w:rFonts w:hint="cs"/>
          <w:b/>
          <w:bCs/>
          <w:rtl/>
        </w:rPr>
        <w:t xml:space="preserve">שבת </w:t>
      </w:r>
      <w:r>
        <w:rPr>
          <w:rFonts w:hint="cs"/>
          <w:b/>
          <w:bCs/>
          <w:sz w:val="16"/>
          <w:szCs w:val="16"/>
          <w:rtl/>
        </w:rPr>
        <w:t>(</w:t>
      </w:r>
      <w:r w:rsidR="00113628">
        <w:rPr>
          <w:rFonts w:hint="cs"/>
          <w:b/>
          <w:bCs/>
          <w:sz w:val="16"/>
          <w:szCs w:val="16"/>
          <w:rtl/>
        </w:rPr>
        <w:t>ס"פ נוטל</w:t>
      </w:r>
      <w:r>
        <w:rPr>
          <w:rFonts w:hint="cs"/>
          <w:b/>
          <w:bCs/>
          <w:sz w:val="16"/>
          <w:szCs w:val="16"/>
          <w:rtl/>
        </w:rPr>
        <w:t>)</w:t>
      </w:r>
      <w:r>
        <w:rPr>
          <w:rFonts w:hint="cs"/>
          <w:b/>
          <w:bCs/>
          <w:rtl/>
        </w:rPr>
        <w:t xml:space="preserve"> </w:t>
      </w:r>
      <w:r w:rsidR="00113628">
        <w:rPr>
          <w:rFonts w:hint="cs"/>
          <w:b/>
          <w:bCs/>
          <w:rtl/>
        </w:rPr>
        <w:t>קמג</w:t>
      </w:r>
      <w:r w:rsidR="00D025C1">
        <w:rPr>
          <w:rStyle w:val="a9"/>
          <w:b/>
          <w:bCs/>
          <w:rtl/>
        </w:rPr>
        <w:footnoteReference w:id="1628"/>
      </w:r>
      <w:r w:rsidRPr="002A45F7">
        <w:rPr>
          <w:rFonts w:hint="cs"/>
          <w:b/>
          <w:bCs/>
          <w:rtl/>
        </w:rPr>
        <w:t xml:space="preserve"> ע"</w:t>
      </w:r>
      <w:r>
        <w:rPr>
          <w:rFonts w:hint="cs"/>
          <w:b/>
          <w:bCs/>
          <w:rtl/>
        </w:rPr>
        <w:t>א</w:t>
      </w:r>
      <w:r w:rsidRPr="002A45F7">
        <w:rPr>
          <w:rFonts w:hint="cs"/>
          <w:b/>
          <w:bCs/>
          <w:rtl/>
        </w:rPr>
        <w:t>:</w:t>
      </w:r>
      <w:r>
        <w:rPr>
          <w:rFonts w:cs="Arial" w:hint="cs"/>
          <w:rtl/>
        </w:rPr>
        <w:t xml:space="preserve"> </w:t>
      </w:r>
      <w:r w:rsidR="00113628" w:rsidRPr="00113628">
        <w:rPr>
          <w:rFonts w:cs="Arial"/>
          <w:rtl/>
        </w:rPr>
        <w:t>הני גרעינין דתמרי ארמייתא שרו לטלטולינהו, הואיל וחזיין אגב אמן</w:t>
      </w:r>
      <w:r w:rsidR="009D43A3">
        <w:rPr>
          <w:rStyle w:val="a9"/>
          <w:rFonts w:cs="Arial"/>
          <w:rtl/>
        </w:rPr>
        <w:footnoteReference w:id="1629"/>
      </w:r>
      <w:r w:rsidR="00113628" w:rsidRPr="00113628">
        <w:rPr>
          <w:rFonts w:cs="Arial"/>
          <w:rtl/>
        </w:rPr>
        <w:t>. ודפרסייתא - אסור. שמואל מטלטל להו אגב ריפתא</w:t>
      </w:r>
      <w:r w:rsidR="00556551">
        <w:rPr>
          <w:rStyle w:val="a9"/>
          <w:rFonts w:cs="Arial"/>
          <w:rtl/>
        </w:rPr>
        <w:footnoteReference w:id="1630"/>
      </w:r>
      <w:r w:rsidR="00113628" w:rsidRPr="00113628">
        <w:rPr>
          <w:rFonts w:cs="Arial"/>
          <w:rtl/>
        </w:rPr>
        <w:t>. שמואל לטעמיה, דאמר שמואל: עושה אדם כל צרכו בפת. רבה מטלטל להו אגב לקנא דמיא. רב הונא בריה דרב יהושע עביד להו כגרף של ריעי</w:t>
      </w:r>
      <w:r w:rsidR="006B067D">
        <w:rPr>
          <w:rStyle w:val="a9"/>
          <w:rFonts w:cs="Arial"/>
          <w:rtl/>
        </w:rPr>
        <w:footnoteReference w:id="1631"/>
      </w:r>
      <w:r w:rsidR="00113628" w:rsidRPr="00113628">
        <w:rPr>
          <w:rFonts w:cs="Arial"/>
          <w:rtl/>
        </w:rPr>
        <w:t>. אמר ליה רב אשי לאמימר: וכי עושין גרף של ריעי לכתחילה? רב ששת זריק להו בלישניה</w:t>
      </w:r>
      <w:r w:rsidR="006B067D">
        <w:rPr>
          <w:rStyle w:val="a9"/>
          <w:rFonts w:cs="Arial"/>
          <w:rtl/>
        </w:rPr>
        <w:footnoteReference w:id="1632"/>
      </w:r>
      <w:r w:rsidR="00113628" w:rsidRPr="00113628">
        <w:rPr>
          <w:rFonts w:cs="Arial"/>
          <w:rtl/>
        </w:rPr>
        <w:t>. רב פפא זריק להו אחורי המטה</w:t>
      </w:r>
      <w:r w:rsidR="006B067D">
        <w:rPr>
          <w:rStyle w:val="a9"/>
          <w:rFonts w:cs="Arial"/>
          <w:rtl/>
        </w:rPr>
        <w:footnoteReference w:id="1633"/>
      </w:r>
      <w:r w:rsidR="00113628" w:rsidRPr="00113628">
        <w:rPr>
          <w:rFonts w:cs="Arial"/>
          <w:rtl/>
        </w:rPr>
        <w:t>. אמרו עליו על רבי זכריה בן אבקולס שהיה מחזיר פניו אחורי המטה וזורקן.</w:t>
      </w:r>
      <w:r w:rsidR="00556551" w:rsidRPr="00556551">
        <w:rPr>
          <w:rFonts w:cs="Arial"/>
          <w:rtl/>
        </w:rPr>
        <w:t xml:space="preserve"> </w:t>
      </w:r>
    </w:p>
    <w:p w14:paraId="2D675C82" w14:textId="506D2D45" w:rsidR="001B093E" w:rsidRPr="001B093E" w:rsidRDefault="001B093E" w:rsidP="00434A6A">
      <w:pPr>
        <w:rPr>
          <w:rFonts w:cs="Arial"/>
          <w:rtl/>
        </w:rPr>
      </w:pPr>
      <w:r w:rsidRPr="001D0D08">
        <w:rPr>
          <w:rFonts w:cs="Arial" w:hint="cs"/>
          <w:b/>
          <w:bCs/>
          <w:rtl/>
        </w:rPr>
        <w:t xml:space="preserve">ביצה </w:t>
      </w:r>
      <w:r>
        <w:rPr>
          <w:rFonts w:cs="Arial" w:hint="cs"/>
          <w:b/>
          <w:bCs/>
          <w:sz w:val="16"/>
          <w:szCs w:val="16"/>
          <w:rtl/>
        </w:rPr>
        <w:t xml:space="preserve">(פ"ב) </w:t>
      </w:r>
      <w:r w:rsidRPr="001D0D08">
        <w:rPr>
          <w:rFonts w:cs="Arial" w:hint="cs"/>
          <w:b/>
          <w:bCs/>
          <w:rtl/>
        </w:rPr>
        <w:t xml:space="preserve">כא ע"ב: </w:t>
      </w:r>
      <w:r w:rsidRPr="001D0D08">
        <w:rPr>
          <w:rFonts w:cs="Arial"/>
          <w:u w:val="single"/>
          <w:rtl/>
        </w:rPr>
        <w:t>אמר ליה אביי לרב יוסף</w:t>
      </w:r>
      <w:r w:rsidRPr="001D0D08">
        <w:rPr>
          <w:rFonts w:cs="Arial"/>
          <w:rtl/>
        </w:rPr>
        <w:t>: ולרבי יוסי הגלילי דאמר לכם ולא לכלבים, הני סופלי</w:t>
      </w:r>
      <w:r>
        <w:rPr>
          <w:rStyle w:val="a9"/>
          <w:rFonts w:cs="Arial"/>
          <w:rtl/>
        </w:rPr>
        <w:footnoteReference w:id="1634"/>
      </w:r>
      <w:r w:rsidRPr="001D0D08">
        <w:rPr>
          <w:rFonts w:cs="Arial"/>
          <w:rtl/>
        </w:rPr>
        <w:t xml:space="preserve"> לחיותא היכי שדינן להו ביום טוב? </w:t>
      </w:r>
      <w:r w:rsidRPr="001D0D08">
        <w:rPr>
          <w:rFonts w:cs="Arial"/>
          <w:u w:val="single"/>
          <w:rtl/>
        </w:rPr>
        <w:t>אמר ליה</w:t>
      </w:r>
      <w:r w:rsidRPr="001D0D08">
        <w:rPr>
          <w:rFonts w:cs="Arial"/>
          <w:rtl/>
        </w:rPr>
        <w:t xml:space="preserve">: הואיל וחזו להסקה. תינח ביבישתא, ברטיבתא מאי איכא למימר? </w:t>
      </w:r>
      <w:r w:rsidRPr="001D0D08">
        <w:rPr>
          <w:rFonts w:cs="Arial"/>
          <w:u w:val="single"/>
          <w:rtl/>
        </w:rPr>
        <w:t>אמר ליה</w:t>
      </w:r>
      <w:r w:rsidRPr="001D0D08">
        <w:rPr>
          <w:rFonts w:cs="Arial"/>
          <w:rtl/>
        </w:rPr>
        <w:t>: חזו להיסק גדול. תינח ביום טוב, בשבת מאי איכא למימר? מטלטלינן להו אגב ריפתא, כדשמואל. דאמר שמואל: עושה אדם כל צרכו בפת.</w:t>
      </w:r>
    </w:p>
    <w:p w14:paraId="674BA250" w14:textId="53ACC67D" w:rsidR="006B7F63" w:rsidRPr="001B093E" w:rsidRDefault="00113628" w:rsidP="00434A6A">
      <w:pPr>
        <w:rPr>
          <w:u w:val="single"/>
        </w:rPr>
      </w:pPr>
      <w:r>
        <w:rPr>
          <w:rFonts w:hint="cs"/>
          <w:u w:val="single"/>
          <w:rtl/>
        </w:rPr>
        <w:t xml:space="preserve">טלטול </w:t>
      </w:r>
      <w:r w:rsidRPr="00113628">
        <w:rPr>
          <w:rFonts w:hint="cs"/>
          <w:u w:val="single"/>
          <w:rtl/>
        </w:rPr>
        <w:t>גרעיני תמרה:</w:t>
      </w:r>
      <w:r w:rsidR="0050175B" w:rsidRPr="001B093E">
        <w:rPr>
          <w:rFonts w:cs="Arial" w:hint="cs"/>
          <w:rtl/>
        </w:rPr>
        <w:t xml:space="preserve"> </w:t>
      </w:r>
    </w:p>
    <w:p w14:paraId="672FE17A" w14:textId="7E19BFE4" w:rsidR="006B7F63" w:rsidRDefault="00FB3622" w:rsidP="00434A6A">
      <w:pPr>
        <w:pStyle w:val="aa"/>
        <w:numPr>
          <w:ilvl w:val="0"/>
          <w:numId w:val="3"/>
        </w:numPr>
        <w:rPr>
          <w:rFonts w:cs="Arial"/>
        </w:rPr>
      </w:pPr>
      <w:r w:rsidRPr="006B7F63">
        <w:rPr>
          <w:rFonts w:cs="Arial"/>
          <w:rtl/>
        </w:rPr>
        <w:t xml:space="preserve">רא"ש </w:t>
      </w:r>
      <w:r w:rsidRPr="001B093E">
        <w:rPr>
          <w:rFonts w:cs="Arial"/>
          <w:sz w:val="16"/>
          <w:szCs w:val="16"/>
          <w:rtl/>
        </w:rPr>
        <w:t>(</w:t>
      </w:r>
      <w:r w:rsidR="001B093E">
        <w:rPr>
          <w:rFonts w:cs="Arial" w:hint="cs"/>
          <w:sz w:val="16"/>
          <w:szCs w:val="16"/>
          <w:rtl/>
        </w:rPr>
        <w:t xml:space="preserve">פכ"א </w:t>
      </w:r>
      <w:r w:rsidRPr="001B093E">
        <w:rPr>
          <w:rFonts w:cs="Arial"/>
          <w:sz w:val="16"/>
          <w:szCs w:val="16"/>
          <w:rtl/>
        </w:rPr>
        <w:t>סי' ב</w:t>
      </w:r>
      <w:r w:rsidR="00556551">
        <w:rPr>
          <w:rFonts w:cs="Arial" w:hint="cs"/>
          <w:sz w:val="16"/>
          <w:szCs w:val="16"/>
          <w:rtl/>
        </w:rPr>
        <w:t>, ובתשובה כלל כב סי ח</w:t>
      </w:r>
      <w:r w:rsidRPr="001B093E">
        <w:rPr>
          <w:rFonts w:cs="Arial"/>
          <w:sz w:val="16"/>
          <w:szCs w:val="16"/>
          <w:rtl/>
        </w:rPr>
        <w:t>)</w:t>
      </w:r>
      <w:r w:rsidR="001B093E">
        <w:rPr>
          <w:rFonts w:cs="Arial" w:hint="cs"/>
          <w:rtl/>
        </w:rPr>
        <w:t xml:space="preserve"> וטור</w:t>
      </w:r>
      <w:r w:rsidR="001B093E">
        <w:rPr>
          <w:rStyle w:val="a9"/>
          <w:rFonts w:cs="Arial"/>
          <w:rtl/>
        </w:rPr>
        <w:footnoteReference w:id="1635"/>
      </w:r>
      <w:r w:rsidR="006B7F63">
        <w:rPr>
          <w:rFonts w:cs="Arial" w:hint="cs"/>
          <w:rtl/>
        </w:rPr>
        <w:t xml:space="preserve">- </w:t>
      </w:r>
      <w:r w:rsidRPr="006B7F63">
        <w:rPr>
          <w:rFonts w:cs="Arial"/>
          <w:rtl/>
        </w:rPr>
        <w:t>הך סוגיא כרבי יהודה</w:t>
      </w:r>
      <w:r w:rsidR="003609EE" w:rsidRPr="006B7F63">
        <w:rPr>
          <w:rFonts w:cs="Arial" w:hint="cs"/>
          <w:rtl/>
        </w:rPr>
        <w:t>,</w:t>
      </w:r>
      <w:r w:rsidRPr="006B7F63">
        <w:rPr>
          <w:rFonts w:cs="Arial"/>
          <w:rtl/>
        </w:rPr>
        <w:t xml:space="preserve"> ואנן קיי</w:t>
      </w:r>
      <w:r w:rsidR="006B7F63">
        <w:rPr>
          <w:rFonts w:cs="Arial" w:hint="cs"/>
          <w:rtl/>
        </w:rPr>
        <w:t>"</w:t>
      </w:r>
      <w:r w:rsidRPr="006B7F63">
        <w:rPr>
          <w:rFonts w:cs="Arial"/>
          <w:rtl/>
        </w:rPr>
        <w:t>ל כרבי שמעון דלית ליה מוקצה ושרי לטלטולינהו</w:t>
      </w:r>
      <w:r w:rsidR="003609EE" w:rsidRPr="006B7F63">
        <w:rPr>
          <w:rFonts w:cs="Arial" w:hint="cs"/>
          <w:rtl/>
        </w:rPr>
        <w:t>.</w:t>
      </w:r>
      <w:r w:rsidRPr="006B7F63">
        <w:rPr>
          <w:rFonts w:cs="Arial"/>
          <w:rtl/>
        </w:rPr>
        <w:t xml:space="preserve"> ומה שכתבה הרי"ף אע</w:t>
      </w:r>
      <w:r w:rsidR="003609EE" w:rsidRPr="006B7F63">
        <w:rPr>
          <w:rFonts w:cs="Arial" w:hint="cs"/>
          <w:rtl/>
        </w:rPr>
        <w:t>"</w:t>
      </w:r>
      <w:r w:rsidRPr="006B7F63">
        <w:rPr>
          <w:rFonts w:cs="Arial"/>
          <w:rtl/>
        </w:rPr>
        <w:t>ג דקיי</w:t>
      </w:r>
      <w:r w:rsidR="003609EE" w:rsidRPr="006B7F63">
        <w:rPr>
          <w:rFonts w:cs="Arial" w:hint="cs"/>
          <w:rtl/>
        </w:rPr>
        <w:t>"</w:t>
      </w:r>
      <w:r w:rsidRPr="006B7F63">
        <w:rPr>
          <w:rFonts w:cs="Arial"/>
          <w:rtl/>
        </w:rPr>
        <w:t xml:space="preserve">ל כרבי שמעון </w:t>
      </w:r>
      <w:r w:rsidR="00D025C1" w:rsidRPr="006B7F63">
        <w:rPr>
          <w:rFonts w:cs="Arial" w:hint="cs"/>
          <w:rtl/>
        </w:rPr>
        <w:t xml:space="preserve">- </w:t>
      </w:r>
      <w:r w:rsidRPr="006B7F63">
        <w:rPr>
          <w:rFonts w:cs="Arial"/>
          <w:rtl/>
        </w:rPr>
        <w:t>לאשמועינן דאדם חשוב מיבעי ליה לאחמורי אנפשיה כאביי ורבא דלעיל (קמב:)</w:t>
      </w:r>
      <w:r w:rsidR="003609EE" w:rsidRPr="006B7F63">
        <w:rPr>
          <w:rFonts w:cs="Arial" w:hint="cs"/>
          <w:rtl/>
        </w:rPr>
        <w:t>,</w:t>
      </w:r>
      <w:r w:rsidRPr="006B7F63">
        <w:rPr>
          <w:rFonts w:cs="Arial"/>
          <w:rtl/>
        </w:rPr>
        <w:t xml:space="preserve"> וכן שמואל סבירא ליה כרבי שמעון בפרק בתרא (קנו:) ואפילו הכי הוה מחמיר אנפשיה</w:t>
      </w:r>
      <w:r w:rsidR="00556551">
        <w:rPr>
          <w:rStyle w:val="a9"/>
          <w:rFonts w:cs="Arial"/>
          <w:rtl/>
        </w:rPr>
        <w:footnoteReference w:id="1636"/>
      </w:r>
      <w:r w:rsidR="00556551">
        <w:rPr>
          <w:rFonts w:cs="Arial" w:hint="cs"/>
          <w:sz w:val="16"/>
          <w:szCs w:val="16"/>
          <w:rtl/>
        </w:rPr>
        <w:t xml:space="preserve"> (ל' הרא"ש בפסקיו)</w:t>
      </w:r>
      <w:r w:rsidR="00556551">
        <w:rPr>
          <w:rFonts w:cs="Arial" w:hint="cs"/>
          <w:rtl/>
        </w:rPr>
        <w:t>,</w:t>
      </w:r>
      <w:r w:rsidR="00556551" w:rsidRPr="00556551">
        <w:rPr>
          <w:rFonts w:cs="Arial"/>
          <w:rtl/>
        </w:rPr>
        <w:t xml:space="preserve"> </w:t>
      </w:r>
      <w:r w:rsidR="00556551" w:rsidRPr="006B7F63">
        <w:rPr>
          <w:rFonts w:cs="Arial"/>
          <w:rtl/>
        </w:rPr>
        <w:t>דעל כרחך הוו חזו לבהמה</w:t>
      </w:r>
      <w:r w:rsidR="00556551" w:rsidRPr="006B7F63">
        <w:rPr>
          <w:rFonts w:cs="Arial" w:hint="cs"/>
          <w:rtl/>
        </w:rPr>
        <w:t>,</w:t>
      </w:r>
      <w:r w:rsidR="00556551" w:rsidRPr="006B7F63">
        <w:rPr>
          <w:rFonts w:cs="Arial"/>
          <w:rtl/>
        </w:rPr>
        <w:t xml:space="preserve"> דאי לא חזו כאבן חשיבי וכי מטלטלין אבן אגב פת</w:t>
      </w:r>
      <w:r w:rsidR="00556551">
        <w:rPr>
          <w:rFonts w:cs="Arial" w:hint="cs"/>
          <w:rtl/>
        </w:rPr>
        <w:t>...</w:t>
      </w:r>
      <w:r w:rsidR="00556551" w:rsidRPr="00556551">
        <w:rPr>
          <w:rFonts w:cs="Arial"/>
          <w:rtl/>
        </w:rPr>
        <w:t xml:space="preserve"> </w:t>
      </w:r>
      <w:r w:rsidR="00556551" w:rsidRPr="006B7F63">
        <w:rPr>
          <w:rFonts w:cs="Arial"/>
          <w:rtl/>
        </w:rPr>
        <w:t>ואע</w:t>
      </w:r>
      <w:r w:rsidR="00556551" w:rsidRPr="006B7F63">
        <w:rPr>
          <w:rFonts w:cs="Arial" w:hint="cs"/>
          <w:rtl/>
        </w:rPr>
        <w:t>"</w:t>
      </w:r>
      <w:r w:rsidR="00556551" w:rsidRPr="006B7F63">
        <w:rPr>
          <w:rFonts w:cs="Arial"/>
          <w:rtl/>
        </w:rPr>
        <w:t>ג דחזו למאכל בהמה באתריה דשמואל</w:t>
      </w:r>
      <w:r w:rsidR="00556551" w:rsidRPr="006B7F63">
        <w:rPr>
          <w:rFonts w:cs="Arial" w:hint="cs"/>
          <w:rtl/>
        </w:rPr>
        <w:t>,</w:t>
      </w:r>
      <w:r w:rsidR="00556551" w:rsidRPr="006B7F63">
        <w:rPr>
          <w:rFonts w:cs="Arial"/>
          <w:rtl/>
        </w:rPr>
        <w:t xml:space="preserve"> לא היו הבהמות אוכלין אותם</w:t>
      </w:r>
      <w:r w:rsidR="00556551" w:rsidRPr="006B7F63">
        <w:rPr>
          <w:rFonts w:cs="Arial" w:hint="cs"/>
          <w:rtl/>
        </w:rPr>
        <w:t>,</w:t>
      </w:r>
      <w:r w:rsidR="00556551" w:rsidRPr="006B7F63">
        <w:rPr>
          <w:rFonts w:cs="Arial"/>
          <w:rtl/>
        </w:rPr>
        <w:t xml:space="preserve"> שאם היו אוכלין אותם לא היה צריך לכך</w:t>
      </w:r>
      <w:r w:rsidR="00931986">
        <w:rPr>
          <w:rStyle w:val="a9"/>
          <w:rFonts w:cs="Arial"/>
          <w:rtl/>
        </w:rPr>
        <w:footnoteReference w:id="1637"/>
      </w:r>
      <w:r w:rsidR="00556551">
        <w:rPr>
          <w:rFonts w:cs="Arial" w:hint="cs"/>
          <w:rtl/>
        </w:rPr>
        <w:t>.</w:t>
      </w:r>
      <w:r w:rsidR="00931986">
        <w:rPr>
          <w:rFonts w:cs="Arial" w:hint="cs"/>
          <w:rtl/>
        </w:rPr>
        <w:t xml:space="preserve"> </w:t>
      </w:r>
      <w:r w:rsidR="00931986" w:rsidRPr="00931986">
        <w:rPr>
          <w:rFonts w:cs="Arial" w:hint="cs"/>
          <w:color w:val="E36C0A" w:themeColor="accent6" w:themeShade="BF"/>
          <w:rtl/>
        </w:rPr>
        <w:t>(וכ"פ בשו"ע)</w:t>
      </w:r>
    </w:p>
    <w:p w14:paraId="33A622EB" w14:textId="77777777" w:rsidR="001B093E" w:rsidRDefault="00FB3622" w:rsidP="00434A6A">
      <w:pPr>
        <w:pStyle w:val="aa"/>
        <w:numPr>
          <w:ilvl w:val="0"/>
          <w:numId w:val="3"/>
        </w:numPr>
        <w:rPr>
          <w:rFonts w:cs="Arial"/>
        </w:rPr>
      </w:pPr>
      <w:r w:rsidRPr="006B7F63">
        <w:rPr>
          <w:rFonts w:cs="Arial"/>
          <w:rtl/>
        </w:rPr>
        <w:t xml:space="preserve">רמב"ן </w:t>
      </w:r>
      <w:r w:rsidRPr="001B093E">
        <w:rPr>
          <w:rFonts w:cs="Arial"/>
          <w:sz w:val="16"/>
          <w:szCs w:val="16"/>
          <w:rtl/>
        </w:rPr>
        <w:t>(קמג. ד"ה הא)</w:t>
      </w:r>
      <w:r w:rsidR="001146C8" w:rsidRPr="006B7F63">
        <w:rPr>
          <w:rFonts w:cs="Arial" w:hint="cs"/>
          <w:rtl/>
        </w:rPr>
        <w:t xml:space="preserve">- </w:t>
      </w:r>
      <w:r w:rsidRPr="006B7F63">
        <w:rPr>
          <w:rFonts w:cs="Arial"/>
          <w:rtl/>
        </w:rPr>
        <w:t>הני גרעינין להסקה הם עומדים</w:t>
      </w:r>
      <w:r w:rsidR="003609EE" w:rsidRPr="006B7F63">
        <w:rPr>
          <w:rFonts w:cs="Arial" w:hint="cs"/>
          <w:rtl/>
        </w:rPr>
        <w:t>.</w:t>
      </w:r>
      <w:r w:rsidRPr="006B7F63">
        <w:rPr>
          <w:rFonts w:cs="Arial"/>
          <w:rtl/>
        </w:rPr>
        <w:t xml:space="preserve"> וכי אמרו בפרק במה מדליקין (כט.) דאליבא דרבי שמעון דלית ליה נולד שרי לטלטלינהו</w:t>
      </w:r>
      <w:r w:rsidR="003609EE" w:rsidRPr="006B7F63">
        <w:rPr>
          <w:rFonts w:cs="Arial" w:hint="cs"/>
          <w:rtl/>
        </w:rPr>
        <w:t>,</w:t>
      </w:r>
      <w:r w:rsidRPr="006B7F63">
        <w:rPr>
          <w:rFonts w:cs="Arial"/>
          <w:rtl/>
        </w:rPr>
        <w:t xml:space="preserve"> הני מילי ביום טוב דחזי להסקה דכיון שראויים ועומדים הם לכך למישדינהו לחיותא נמי שרי</w:t>
      </w:r>
      <w:r w:rsidR="003609EE" w:rsidRPr="006B7F63">
        <w:rPr>
          <w:rFonts w:cs="Arial" w:hint="cs"/>
          <w:rtl/>
        </w:rPr>
        <w:t>,</w:t>
      </w:r>
      <w:r w:rsidRPr="006B7F63">
        <w:rPr>
          <w:rFonts w:cs="Arial"/>
          <w:rtl/>
        </w:rPr>
        <w:t xml:space="preserve"> אבל בשבת דלא חזו להסקה מוקצין הם</w:t>
      </w:r>
      <w:r w:rsidR="003609EE" w:rsidRPr="006B7F63">
        <w:rPr>
          <w:rFonts w:cs="Arial" w:hint="cs"/>
          <w:rtl/>
        </w:rPr>
        <w:t>,</w:t>
      </w:r>
      <w:r w:rsidRPr="006B7F63">
        <w:rPr>
          <w:rFonts w:cs="Arial"/>
          <w:rtl/>
        </w:rPr>
        <w:t xml:space="preserve"> דהא לא מייחדי אלא להסקה</w:t>
      </w:r>
      <w:r w:rsidR="003609EE" w:rsidRPr="006B7F63">
        <w:rPr>
          <w:rFonts w:cs="Arial" w:hint="cs"/>
          <w:rtl/>
        </w:rPr>
        <w:t>.</w:t>
      </w:r>
      <w:r w:rsidRPr="006B7F63">
        <w:rPr>
          <w:rFonts w:cs="Arial"/>
          <w:rtl/>
        </w:rPr>
        <w:t xml:space="preserve"> ואע</w:t>
      </w:r>
      <w:r w:rsidR="003609EE" w:rsidRPr="006B7F63">
        <w:rPr>
          <w:rFonts w:cs="Arial" w:hint="cs"/>
          <w:rtl/>
        </w:rPr>
        <w:t>"</w:t>
      </w:r>
      <w:r w:rsidRPr="006B7F63">
        <w:rPr>
          <w:rFonts w:cs="Arial"/>
          <w:rtl/>
        </w:rPr>
        <w:t>ג דחזו קצת למאכל בהמה</w:t>
      </w:r>
      <w:r w:rsidR="003609EE" w:rsidRPr="006B7F63">
        <w:rPr>
          <w:rFonts w:cs="Arial" w:hint="cs"/>
          <w:rtl/>
        </w:rPr>
        <w:t>,</w:t>
      </w:r>
      <w:r w:rsidRPr="006B7F63">
        <w:rPr>
          <w:rFonts w:cs="Arial"/>
          <w:rtl/>
        </w:rPr>
        <w:t xml:space="preserve"> כיון דהשתא מיהא סתמן להסקה</w:t>
      </w:r>
      <w:r w:rsidR="003609EE" w:rsidRPr="006B7F63">
        <w:rPr>
          <w:rFonts w:cs="Arial" w:hint="cs"/>
          <w:rtl/>
        </w:rPr>
        <w:t>,</w:t>
      </w:r>
      <w:r w:rsidRPr="006B7F63">
        <w:rPr>
          <w:rFonts w:cs="Arial"/>
          <w:rtl/>
        </w:rPr>
        <w:t xml:space="preserve"> ובשבת להסקה לא חזו</w:t>
      </w:r>
      <w:r w:rsidR="003609EE" w:rsidRPr="006B7F63">
        <w:rPr>
          <w:rFonts w:cs="Arial" w:hint="cs"/>
          <w:rtl/>
        </w:rPr>
        <w:t>,</w:t>
      </w:r>
      <w:r w:rsidRPr="006B7F63">
        <w:rPr>
          <w:rFonts w:cs="Arial"/>
          <w:rtl/>
        </w:rPr>
        <w:t xml:space="preserve"> אסור לטלטלן</w:t>
      </w:r>
      <w:r w:rsidR="00D31B4B" w:rsidRPr="006B7F63">
        <w:rPr>
          <w:rFonts w:cs="Arial" w:hint="cs"/>
          <w:sz w:val="16"/>
          <w:szCs w:val="16"/>
          <w:rtl/>
        </w:rPr>
        <w:t xml:space="preserve"> (ל' הר"ן בשמו)</w:t>
      </w:r>
      <w:r w:rsidR="00D31B4B">
        <w:rPr>
          <w:rStyle w:val="a9"/>
          <w:rFonts w:cs="Arial"/>
          <w:rtl/>
        </w:rPr>
        <w:footnoteReference w:id="1638"/>
      </w:r>
      <w:r w:rsidR="003609EE" w:rsidRPr="006B7F63">
        <w:rPr>
          <w:rFonts w:cs="Arial" w:hint="cs"/>
          <w:rtl/>
        </w:rPr>
        <w:t>.</w:t>
      </w:r>
    </w:p>
    <w:p w14:paraId="7D646241" w14:textId="32ECFD56" w:rsidR="006B067D" w:rsidRPr="001B093E" w:rsidRDefault="00FB3622" w:rsidP="00434A6A">
      <w:pPr>
        <w:pStyle w:val="aa"/>
        <w:numPr>
          <w:ilvl w:val="0"/>
          <w:numId w:val="3"/>
        </w:numPr>
        <w:rPr>
          <w:rFonts w:cs="Arial"/>
          <w:rtl/>
        </w:rPr>
      </w:pPr>
      <w:r w:rsidRPr="001B093E">
        <w:rPr>
          <w:rFonts w:cs="Arial"/>
          <w:rtl/>
        </w:rPr>
        <w:t xml:space="preserve">רמב"ם </w:t>
      </w:r>
      <w:r w:rsidR="001B093E" w:rsidRPr="001B093E">
        <w:rPr>
          <w:rFonts w:cs="Arial" w:hint="cs"/>
          <w:sz w:val="16"/>
          <w:szCs w:val="16"/>
          <w:rtl/>
        </w:rPr>
        <w:t xml:space="preserve">(פכ"ו </w:t>
      </w:r>
      <w:r w:rsidRPr="001B093E">
        <w:rPr>
          <w:rFonts w:cs="Arial"/>
          <w:sz w:val="16"/>
          <w:szCs w:val="16"/>
          <w:rtl/>
        </w:rPr>
        <w:t>הט"ז)</w:t>
      </w:r>
      <w:r w:rsidR="001B093E">
        <w:rPr>
          <w:rFonts w:cs="Arial" w:hint="cs"/>
          <w:rtl/>
        </w:rPr>
        <w:t>-</w:t>
      </w:r>
      <w:r w:rsidRPr="001B093E">
        <w:rPr>
          <w:rFonts w:cs="Arial"/>
          <w:rtl/>
        </w:rPr>
        <w:t xml:space="preserve"> כל הקליפין והגרעינין הראויין למאכל בהמה </w:t>
      </w:r>
      <w:r w:rsidR="001B093E">
        <w:rPr>
          <w:rFonts w:cs="Arial" w:hint="cs"/>
          <w:rtl/>
        </w:rPr>
        <w:t xml:space="preserve">- </w:t>
      </w:r>
      <w:r w:rsidRPr="001B093E">
        <w:rPr>
          <w:rFonts w:cs="Arial"/>
          <w:rtl/>
        </w:rPr>
        <w:t>מטלטלין אותן</w:t>
      </w:r>
      <w:r w:rsidR="001B093E">
        <w:rPr>
          <w:rFonts w:cs="Arial" w:hint="cs"/>
          <w:rtl/>
        </w:rPr>
        <w:t>.</w:t>
      </w:r>
      <w:r w:rsidRPr="001B093E">
        <w:rPr>
          <w:rFonts w:cs="Arial"/>
          <w:rtl/>
        </w:rPr>
        <w:t xml:space="preserve"> ושאינן ראויין</w:t>
      </w:r>
      <w:r w:rsidR="001B093E">
        <w:rPr>
          <w:rFonts w:cs="Arial" w:hint="cs"/>
          <w:rtl/>
        </w:rPr>
        <w:t>,</w:t>
      </w:r>
      <w:r w:rsidRPr="001B093E">
        <w:rPr>
          <w:rFonts w:cs="Arial"/>
          <w:rtl/>
        </w:rPr>
        <w:t xml:space="preserve"> אוכל את האוכל</w:t>
      </w:r>
      <w:r w:rsidR="001B093E">
        <w:rPr>
          <w:rFonts w:cs="Arial" w:hint="cs"/>
          <w:rtl/>
        </w:rPr>
        <w:t>,</w:t>
      </w:r>
      <w:r w:rsidRPr="001B093E">
        <w:rPr>
          <w:rFonts w:cs="Arial"/>
          <w:rtl/>
        </w:rPr>
        <w:t xml:space="preserve"> וזורקן לאחוריו</w:t>
      </w:r>
      <w:r w:rsidR="001B093E">
        <w:rPr>
          <w:rFonts w:cs="Arial" w:hint="cs"/>
          <w:rtl/>
        </w:rPr>
        <w:t>,</w:t>
      </w:r>
      <w:r w:rsidRPr="001B093E">
        <w:rPr>
          <w:rFonts w:cs="Arial"/>
          <w:rtl/>
        </w:rPr>
        <w:t xml:space="preserve"> ואסור לטלטלן</w:t>
      </w:r>
      <w:r w:rsidR="006B067D" w:rsidRPr="001B093E">
        <w:rPr>
          <w:rFonts w:cs="Arial" w:hint="cs"/>
          <w:rtl/>
        </w:rPr>
        <w:t>.</w:t>
      </w:r>
      <w:r w:rsidRPr="001B093E">
        <w:rPr>
          <w:rFonts w:cs="Arial"/>
          <w:rtl/>
        </w:rPr>
        <w:t xml:space="preserve"> </w:t>
      </w:r>
    </w:p>
    <w:p w14:paraId="2BCA022C"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7FC21D95" w14:textId="25AA180E" w:rsidR="000C6229" w:rsidRPr="005275DF" w:rsidRDefault="000C6229" w:rsidP="00434A6A">
      <w:pPr>
        <w:rPr>
          <w:rFonts w:asciiTheme="minorBidi" w:hAnsiTheme="minorBidi"/>
          <w:rtl/>
        </w:rPr>
      </w:pPr>
      <w:r w:rsidRPr="005275DF">
        <w:rPr>
          <w:rFonts w:asciiTheme="minorBidi" w:hAnsiTheme="minorBidi"/>
          <w:rtl/>
        </w:rPr>
        <w:t>גרעיני תמרים, במקום שמאכילים אותם לבהמה</w:t>
      </w:r>
      <w:r w:rsidR="00931986">
        <w:rPr>
          <w:rStyle w:val="a9"/>
          <w:rFonts w:asciiTheme="minorBidi" w:hAnsiTheme="minorBidi"/>
          <w:rtl/>
        </w:rPr>
        <w:footnoteReference w:id="1639"/>
      </w:r>
      <w:r w:rsidRPr="005275DF">
        <w:rPr>
          <w:rFonts w:asciiTheme="minorBidi" w:hAnsiTheme="minorBidi"/>
          <w:rtl/>
        </w:rPr>
        <w:t xml:space="preserve"> מותר לטלטלן</w:t>
      </w:r>
      <w:r w:rsidR="006B067D">
        <w:rPr>
          <w:rFonts w:asciiTheme="minorBidi" w:hAnsiTheme="minorBidi" w:hint="cs"/>
          <w:rtl/>
        </w:rPr>
        <w:t>.</w:t>
      </w:r>
      <w:r w:rsidRPr="005275DF">
        <w:rPr>
          <w:rFonts w:asciiTheme="minorBidi" w:hAnsiTheme="minorBidi"/>
          <w:rtl/>
        </w:rPr>
        <w:t xml:space="preserve"> ואדם חשוב צריך להחמיר על עצמו שלא לטלטלן אלא דרך שינוי</w:t>
      </w:r>
      <w:r w:rsidR="00931986">
        <w:rPr>
          <w:rStyle w:val="a9"/>
          <w:rFonts w:asciiTheme="minorBidi" w:hAnsiTheme="minorBidi"/>
          <w:rtl/>
        </w:rPr>
        <w:footnoteReference w:id="1640"/>
      </w:r>
      <w:r w:rsidRPr="005275DF">
        <w:rPr>
          <w:rFonts w:asciiTheme="minorBidi" w:hAnsiTheme="minorBidi"/>
          <w:rtl/>
        </w:rPr>
        <w:t xml:space="preserve">. </w:t>
      </w:r>
    </w:p>
    <w:p w14:paraId="54F5E7E5" w14:textId="77777777" w:rsidR="000C6229" w:rsidRPr="005275DF" w:rsidRDefault="000C6229" w:rsidP="00434A6A">
      <w:pPr>
        <w:rPr>
          <w:rFonts w:asciiTheme="minorBidi" w:hAnsiTheme="minorBidi"/>
          <w:rtl/>
        </w:rPr>
      </w:pPr>
    </w:p>
    <w:p w14:paraId="78CE2550" w14:textId="5F37AFB8" w:rsidR="000C6229" w:rsidRDefault="000C6229" w:rsidP="00434A6A">
      <w:pPr>
        <w:pStyle w:val="2"/>
        <w:rPr>
          <w:rtl/>
        </w:rPr>
      </w:pPr>
      <w:r w:rsidRPr="005275DF">
        <w:rPr>
          <w:rtl/>
        </w:rPr>
        <w:t>סעיף לא</w:t>
      </w:r>
      <w:r w:rsidR="00931986">
        <w:rPr>
          <w:rFonts w:hint="cs"/>
          <w:rtl/>
        </w:rPr>
        <w:t xml:space="preserve">: </w:t>
      </w:r>
      <w:r w:rsidR="004E0DEA">
        <w:rPr>
          <w:rFonts w:hint="cs"/>
          <w:rtl/>
        </w:rPr>
        <w:t xml:space="preserve">בשר </w:t>
      </w:r>
      <w:r w:rsidR="008800E9">
        <w:rPr>
          <w:rFonts w:hint="cs"/>
          <w:rtl/>
        </w:rPr>
        <w:t>לא מבושל</w:t>
      </w:r>
      <w:r w:rsidR="004E0DEA">
        <w:rPr>
          <w:rFonts w:hint="cs"/>
          <w:rtl/>
        </w:rPr>
        <w:t>.</w:t>
      </w:r>
    </w:p>
    <w:p w14:paraId="438F3D9A" w14:textId="2EC413B8" w:rsidR="00931986" w:rsidRPr="00931986" w:rsidRDefault="004E0DEA" w:rsidP="00434A6A">
      <w:pPr>
        <w:rPr>
          <w:rtl/>
        </w:rPr>
      </w:pPr>
      <w:r w:rsidRPr="002A45F7">
        <w:rPr>
          <w:rFonts w:hint="cs"/>
          <w:b/>
          <w:bCs/>
          <w:rtl/>
        </w:rPr>
        <w:t xml:space="preserve">שבת </w:t>
      </w:r>
      <w:r>
        <w:rPr>
          <w:rFonts w:hint="cs"/>
          <w:b/>
          <w:bCs/>
          <w:sz w:val="16"/>
          <w:szCs w:val="16"/>
          <w:rtl/>
        </w:rPr>
        <w:t>(ר"פ מפנין)</w:t>
      </w:r>
      <w:r>
        <w:rPr>
          <w:rFonts w:hint="cs"/>
          <w:b/>
          <w:bCs/>
          <w:rtl/>
        </w:rPr>
        <w:t xml:space="preserve"> קכח</w:t>
      </w:r>
      <w:r w:rsidRPr="002A45F7">
        <w:rPr>
          <w:rFonts w:hint="cs"/>
          <w:b/>
          <w:bCs/>
          <w:rtl/>
        </w:rPr>
        <w:t xml:space="preserve"> ע"</w:t>
      </w:r>
      <w:r>
        <w:rPr>
          <w:rFonts w:hint="cs"/>
          <w:b/>
          <w:bCs/>
          <w:rtl/>
        </w:rPr>
        <w:t>א</w:t>
      </w:r>
      <w:r w:rsidRPr="002A45F7">
        <w:rPr>
          <w:rFonts w:hint="cs"/>
          <w:b/>
          <w:bCs/>
          <w:rtl/>
        </w:rPr>
        <w:t>:</w:t>
      </w:r>
      <w:r>
        <w:rPr>
          <w:rFonts w:cs="Arial" w:hint="cs"/>
          <w:rtl/>
        </w:rPr>
        <w:t xml:space="preserve"> </w:t>
      </w:r>
      <w:r w:rsidRPr="004E0DEA">
        <w:rPr>
          <w:rFonts w:cs="Arial"/>
          <w:rtl/>
        </w:rPr>
        <w:t>איתמר: בשר מליח מותר לטלטלו בשבת</w:t>
      </w:r>
      <w:r>
        <w:rPr>
          <w:rFonts w:cs="Arial" w:hint="cs"/>
          <w:rtl/>
        </w:rPr>
        <w:t>.</w:t>
      </w:r>
      <w:r w:rsidRPr="004E0DEA">
        <w:rPr>
          <w:rFonts w:cs="Arial"/>
          <w:rtl/>
        </w:rPr>
        <w:t xml:space="preserve"> בשר תפל, </w:t>
      </w:r>
      <w:r w:rsidRPr="004E0DEA">
        <w:rPr>
          <w:rFonts w:cs="Arial"/>
          <w:u w:val="single"/>
          <w:rtl/>
        </w:rPr>
        <w:t>רב הונא אמר</w:t>
      </w:r>
      <w:r w:rsidRPr="004E0DEA">
        <w:rPr>
          <w:rFonts w:cs="Arial"/>
          <w:rtl/>
        </w:rPr>
        <w:t>: מותר לטלטלו</w:t>
      </w:r>
      <w:r>
        <w:rPr>
          <w:rFonts w:cs="Arial" w:hint="cs"/>
          <w:rtl/>
        </w:rPr>
        <w:t>.</w:t>
      </w:r>
      <w:r w:rsidRPr="004E0DEA">
        <w:rPr>
          <w:rFonts w:cs="Arial"/>
          <w:rtl/>
        </w:rPr>
        <w:t xml:space="preserve"> </w:t>
      </w:r>
      <w:r w:rsidRPr="004E0DEA">
        <w:rPr>
          <w:rFonts w:cs="Arial"/>
          <w:u w:val="single"/>
          <w:rtl/>
        </w:rPr>
        <w:t>רב חסדא אמר</w:t>
      </w:r>
      <w:r w:rsidRPr="004E0DEA">
        <w:rPr>
          <w:rFonts w:cs="Arial"/>
          <w:rtl/>
        </w:rPr>
        <w:t>: אסור לטלטלו. רב הונא אמר: מותר לטלטלו? והא רב הונא תלמיד דרב הוה, ורב כרבי יהודה סבירא ליה, דאית ליה מוקצה! במוקצה לאכילה - סבר לה כרבי יהודה</w:t>
      </w:r>
      <w:r>
        <w:rPr>
          <w:rStyle w:val="a9"/>
          <w:rFonts w:cs="Arial"/>
          <w:rtl/>
        </w:rPr>
        <w:footnoteReference w:id="1641"/>
      </w:r>
      <w:r w:rsidRPr="004E0DEA">
        <w:rPr>
          <w:rFonts w:cs="Arial"/>
          <w:rtl/>
        </w:rPr>
        <w:t>, במוקצה לטלטל - סבר לה כרבי שמעון. רב חסדא אמר: אסור לטלטלו. והא רב יצחק בר אמי איקלע לבי רב חסדא, וחזא ההוא בר אווזא דהוו קא מטלטלו ליה משמשא לטולא. ואמר רב חסדא: חסרון כיס קא חזינן הכא</w:t>
      </w:r>
      <w:r w:rsidR="008800E9">
        <w:rPr>
          <w:rStyle w:val="a9"/>
          <w:rFonts w:cs="Arial"/>
          <w:rtl/>
        </w:rPr>
        <w:footnoteReference w:id="1642"/>
      </w:r>
      <w:r w:rsidRPr="004E0DEA">
        <w:rPr>
          <w:rFonts w:cs="Arial"/>
          <w:rtl/>
        </w:rPr>
        <w:t>! שאני בר אווזא דחזי לאומצא. תנו רבנן: דג מליח - מותר לטלטלו, דג תפל - אסור לטלטלו</w:t>
      </w:r>
      <w:r w:rsidR="008800E9">
        <w:rPr>
          <w:rStyle w:val="a9"/>
          <w:rFonts w:cs="Arial"/>
          <w:rtl/>
        </w:rPr>
        <w:footnoteReference w:id="1643"/>
      </w:r>
      <w:r w:rsidRPr="004E0DEA">
        <w:rPr>
          <w:rFonts w:cs="Arial"/>
          <w:rtl/>
        </w:rPr>
        <w:t>. בשר, בין תפל ובין מליח - מותר לטלטלו, (וסתמא כרבי שמעון). תנו רבנן: מטלטלין את העצמות מפני שהוא מאכל לכלבים,</w:t>
      </w:r>
      <w:r w:rsidRPr="004E0DEA">
        <w:rPr>
          <w:rtl/>
        </w:rPr>
        <w:t xml:space="preserve"> </w:t>
      </w:r>
      <w:r>
        <w:rPr>
          <w:rFonts w:hint="cs"/>
          <w:sz w:val="14"/>
          <w:szCs w:val="14"/>
          <w:rtl/>
        </w:rPr>
        <w:t xml:space="preserve">(קכח:) </w:t>
      </w:r>
      <w:r w:rsidRPr="004E0DEA">
        <w:rPr>
          <w:rFonts w:cs="Arial"/>
          <w:rtl/>
        </w:rPr>
        <w:t>בשר תפוח - מפני שהוא מאכל לחיה</w:t>
      </w:r>
      <w:r w:rsidR="008800E9">
        <w:rPr>
          <w:rFonts w:cs="Arial" w:hint="cs"/>
          <w:rtl/>
        </w:rPr>
        <w:t>...</w:t>
      </w:r>
    </w:p>
    <w:p w14:paraId="089508B9" w14:textId="13CE6B97" w:rsidR="003113A6" w:rsidRPr="004E0DEA" w:rsidRDefault="004E0DEA" w:rsidP="00434A6A">
      <w:pPr>
        <w:rPr>
          <w:u w:val="single"/>
          <w:rtl/>
        </w:rPr>
      </w:pPr>
      <w:r w:rsidRPr="004E0DEA">
        <w:rPr>
          <w:rFonts w:hint="cs"/>
          <w:u w:val="single"/>
          <w:rtl/>
        </w:rPr>
        <w:t>טלטול בשר</w:t>
      </w:r>
      <w:r w:rsidR="008800E9">
        <w:rPr>
          <w:rFonts w:hint="cs"/>
          <w:u w:val="single"/>
          <w:rtl/>
        </w:rPr>
        <w:t xml:space="preserve"> ודג</w:t>
      </w:r>
      <w:r w:rsidRPr="004E0DEA">
        <w:rPr>
          <w:rFonts w:hint="cs"/>
          <w:u w:val="single"/>
          <w:rtl/>
        </w:rPr>
        <w:t xml:space="preserve"> </w:t>
      </w:r>
      <w:r w:rsidR="008800E9">
        <w:rPr>
          <w:rFonts w:hint="cs"/>
          <w:u w:val="single"/>
          <w:rtl/>
        </w:rPr>
        <w:t>כשאינם מבושלים</w:t>
      </w:r>
      <w:r w:rsidRPr="004E0DEA">
        <w:rPr>
          <w:rFonts w:hint="cs"/>
          <w:u w:val="single"/>
          <w:rtl/>
        </w:rPr>
        <w:t>:</w:t>
      </w:r>
    </w:p>
    <w:p w14:paraId="177A6833" w14:textId="63BB42E2" w:rsidR="00FB3622" w:rsidRDefault="0050175B" w:rsidP="00434A6A">
      <w:pPr>
        <w:pStyle w:val="aa"/>
        <w:numPr>
          <w:ilvl w:val="0"/>
          <w:numId w:val="3"/>
        </w:numPr>
        <w:rPr>
          <w:rtl/>
        </w:rPr>
      </w:pPr>
      <w:r w:rsidRPr="0050175B">
        <w:rPr>
          <w:rFonts w:cs="Arial" w:hint="cs"/>
          <w:rtl/>
        </w:rPr>
        <w:t xml:space="preserve">טור- </w:t>
      </w:r>
      <w:r w:rsidR="00B14BC7" w:rsidRPr="0050175B">
        <w:rPr>
          <w:rFonts w:cs="Arial"/>
          <w:rtl/>
        </w:rPr>
        <w:t>בשר חי</w:t>
      </w:r>
      <w:r w:rsidR="008800E9">
        <w:rPr>
          <w:rFonts w:cs="Arial" w:hint="cs"/>
          <w:rtl/>
        </w:rPr>
        <w:t>,</w:t>
      </w:r>
      <w:r w:rsidR="00B14BC7" w:rsidRPr="0050175B">
        <w:rPr>
          <w:rFonts w:cs="Arial"/>
          <w:rtl/>
        </w:rPr>
        <w:t xml:space="preserve"> אפילו תפל שאינו מלוח כלל</w:t>
      </w:r>
      <w:r w:rsidR="008800E9">
        <w:rPr>
          <w:rFonts w:cs="Arial" w:hint="cs"/>
          <w:rtl/>
        </w:rPr>
        <w:t>,</w:t>
      </w:r>
      <w:r w:rsidR="00B14BC7" w:rsidRPr="0050175B">
        <w:rPr>
          <w:rFonts w:cs="Arial"/>
          <w:rtl/>
        </w:rPr>
        <w:t xml:space="preserve"> ותפוח </w:t>
      </w:r>
      <w:r w:rsidR="004E0DEA">
        <w:rPr>
          <w:rFonts w:cs="Arial" w:hint="cs"/>
          <w:rtl/>
        </w:rPr>
        <w:t xml:space="preserve">- </w:t>
      </w:r>
      <w:r w:rsidR="00B14BC7" w:rsidRPr="0050175B">
        <w:rPr>
          <w:rFonts w:cs="Arial"/>
          <w:rtl/>
        </w:rPr>
        <w:t>מותר לטלטלן שראוי לכלבים</w:t>
      </w:r>
      <w:r>
        <w:rPr>
          <w:rFonts w:hint="cs"/>
          <w:rtl/>
        </w:rPr>
        <w:t>.</w:t>
      </w:r>
      <w:r w:rsidR="008800E9">
        <w:rPr>
          <w:rFonts w:hint="cs"/>
          <w:rtl/>
        </w:rPr>
        <w:t xml:space="preserve"> </w:t>
      </w:r>
      <w:r w:rsidR="008800E9" w:rsidRPr="003113A6">
        <w:rPr>
          <w:rFonts w:cs="Arial"/>
          <w:rtl/>
        </w:rPr>
        <w:t xml:space="preserve">דג מלוח </w:t>
      </w:r>
      <w:r w:rsidR="008800E9">
        <w:rPr>
          <w:rFonts w:cs="Arial" w:hint="cs"/>
          <w:rtl/>
        </w:rPr>
        <w:t xml:space="preserve">- </w:t>
      </w:r>
      <w:r w:rsidR="008800E9" w:rsidRPr="003113A6">
        <w:rPr>
          <w:rFonts w:cs="Arial"/>
          <w:rtl/>
        </w:rPr>
        <w:t>מותר לטלטלו</w:t>
      </w:r>
      <w:r w:rsidR="008800E9">
        <w:rPr>
          <w:rFonts w:cs="Arial" w:hint="cs"/>
          <w:rtl/>
        </w:rPr>
        <w:t>.</w:t>
      </w:r>
      <w:r w:rsidR="008800E9" w:rsidRPr="003113A6">
        <w:rPr>
          <w:rFonts w:cs="Arial"/>
          <w:rtl/>
        </w:rPr>
        <w:t xml:space="preserve"> ושאינו מלוח </w:t>
      </w:r>
      <w:r w:rsidR="008800E9">
        <w:rPr>
          <w:rFonts w:cs="Arial" w:hint="cs"/>
          <w:rtl/>
        </w:rPr>
        <w:t xml:space="preserve">- </w:t>
      </w:r>
      <w:r w:rsidR="008800E9" w:rsidRPr="003113A6">
        <w:rPr>
          <w:rFonts w:cs="Arial"/>
          <w:rtl/>
        </w:rPr>
        <w:t>אסור לטלטלו</w:t>
      </w:r>
      <w:r w:rsidR="008800E9">
        <w:rPr>
          <w:rFonts w:cs="Arial" w:hint="cs"/>
          <w:rtl/>
        </w:rPr>
        <w:t>,</w:t>
      </w:r>
      <w:r w:rsidR="008800E9" w:rsidRPr="003113A6">
        <w:rPr>
          <w:rFonts w:cs="Arial"/>
          <w:rtl/>
        </w:rPr>
        <w:t xml:space="preserve"> שאינו ראוי אפילו לכלבים</w:t>
      </w:r>
      <w:r w:rsidR="008800E9" w:rsidRPr="003113A6">
        <w:rPr>
          <w:rFonts w:cs="Arial" w:hint="cs"/>
          <w:rtl/>
        </w:rPr>
        <w:t>.</w:t>
      </w:r>
      <w:r w:rsidR="008800E9" w:rsidRPr="008800E9">
        <w:rPr>
          <w:rFonts w:cs="Arial" w:hint="cs"/>
          <w:color w:val="E36C0A" w:themeColor="accent6" w:themeShade="BF"/>
          <w:rtl/>
        </w:rPr>
        <w:t xml:space="preserve"> </w:t>
      </w:r>
      <w:r w:rsidR="008800E9" w:rsidRPr="00931986">
        <w:rPr>
          <w:rFonts w:cs="Arial" w:hint="cs"/>
          <w:color w:val="E36C0A" w:themeColor="accent6" w:themeShade="BF"/>
          <w:rtl/>
        </w:rPr>
        <w:t>(וכ"פ בשו"ע</w:t>
      </w:r>
      <w:r w:rsidR="008800E9">
        <w:rPr>
          <w:rFonts w:cs="Arial" w:hint="cs"/>
          <w:color w:val="E36C0A" w:themeColor="accent6" w:themeShade="BF"/>
          <w:sz w:val="16"/>
          <w:szCs w:val="16"/>
          <w:rtl/>
        </w:rPr>
        <w:t xml:space="preserve"> </w:t>
      </w:r>
      <w:r w:rsidR="008800E9" w:rsidRPr="008800E9">
        <w:rPr>
          <w:rFonts w:cs="Arial" w:hint="cs"/>
          <w:color w:val="000000" w:themeColor="text1"/>
          <w:sz w:val="16"/>
          <w:szCs w:val="16"/>
          <w:rtl/>
        </w:rPr>
        <w:t>[</w:t>
      </w:r>
      <w:r w:rsidR="008800E9">
        <w:rPr>
          <w:rFonts w:cs="Arial" w:hint="cs"/>
          <w:color w:val="000000" w:themeColor="text1"/>
          <w:sz w:val="16"/>
          <w:szCs w:val="16"/>
          <w:rtl/>
        </w:rPr>
        <w:t>כאן ובסעי' לב</w:t>
      </w:r>
      <w:r w:rsidR="008800E9" w:rsidRPr="008800E9">
        <w:rPr>
          <w:rFonts w:cs="Arial" w:hint="cs"/>
          <w:color w:val="000000" w:themeColor="text1"/>
          <w:sz w:val="16"/>
          <w:szCs w:val="16"/>
          <w:rtl/>
        </w:rPr>
        <w:t>]</w:t>
      </w:r>
      <w:r w:rsidR="008800E9" w:rsidRPr="00931986">
        <w:rPr>
          <w:rFonts w:cs="Arial" w:hint="cs"/>
          <w:color w:val="E36C0A" w:themeColor="accent6" w:themeShade="BF"/>
          <w:rtl/>
        </w:rPr>
        <w:t>)</w:t>
      </w:r>
    </w:p>
    <w:p w14:paraId="5CD792DC"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5529F649" w14:textId="3108105C" w:rsidR="000C6229" w:rsidRPr="005275DF" w:rsidRDefault="000C6229" w:rsidP="00434A6A">
      <w:pPr>
        <w:rPr>
          <w:rFonts w:asciiTheme="minorBidi" w:hAnsiTheme="minorBidi"/>
          <w:rtl/>
        </w:rPr>
      </w:pPr>
      <w:r w:rsidRPr="005275DF">
        <w:rPr>
          <w:rFonts w:asciiTheme="minorBidi" w:hAnsiTheme="minorBidi"/>
          <w:rtl/>
        </w:rPr>
        <w:t>בשר חי, אפילו תפל שאינו מלוח כלל, מותר לטלטלו משום דחזי לאומצא</w:t>
      </w:r>
      <w:r w:rsidR="00227F73">
        <w:rPr>
          <w:rStyle w:val="a9"/>
          <w:rFonts w:asciiTheme="minorBidi" w:hAnsiTheme="minorBidi"/>
          <w:rtl/>
        </w:rPr>
        <w:footnoteReference w:id="1644"/>
      </w:r>
      <w:r w:rsidR="008800E9">
        <w:rPr>
          <w:rFonts w:asciiTheme="minorBidi" w:hAnsiTheme="minorBidi" w:hint="cs"/>
          <w:rtl/>
        </w:rPr>
        <w:t>.</w:t>
      </w:r>
      <w:r w:rsidRPr="005275DF">
        <w:rPr>
          <w:rFonts w:asciiTheme="minorBidi" w:hAnsiTheme="minorBidi"/>
          <w:rtl/>
        </w:rPr>
        <w:t xml:space="preserve"> וכן אם הוא תפוח, מותר לטלטלו משום דראוי לכלבים. </w:t>
      </w:r>
    </w:p>
    <w:p w14:paraId="45DA2BBB" w14:textId="77777777" w:rsidR="000C6229" w:rsidRPr="005275DF" w:rsidRDefault="000C6229" w:rsidP="00434A6A">
      <w:pPr>
        <w:rPr>
          <w:rFonts w:asciiTheme="minorBidi" w:hAnsiTheme="minorBidi"/>
          <w:rtl/>
        </w:rPr>
      </w:pPr>
    </w:p>
    <w:p w14:paraId="08EEC631" w14:textId="1C644BB9" w:rsidR="00B14BC7" w:rsidRDefault="000C6229" w:rsidP="00434A6A">
      <w:pPr>
        <w:pStyle w:val="2"/>
        <w:rPr>
          <w:rtl/>
        </w:rPr>
      </w:pPr>
      <w:r w:rsidRPr="005275DF">
        <w:rPr>
          <w:rtl/>
        </w:rPr>
        <w:t>סעיף לב</w:t>
      </w:r>
      <w:r w:rsidR="004E0DEA">
        <w:rPr>
          <w:rFonts w:hint="cs"/>
          <w:rtl/>
        </w:rPr>
        <w:t>: דג</w:t>
      </w:r>
      <w:r w:rsidR="008800E9">
        <w:rPr>
          <w:rFonts w:hint="cs"/>
          <w:rtl/>
        </w:rPr>
        <w:t xml:space="preserve"> לא מבושל</w:t>
      </w:r>
      <w:r w:rsidR="004E0DEA">
        <w:rPr>
          <w:rFonts w:hint="cs"/>
          <w:rtl/>
        </w:rPr>
        <w:t>.</w:t>
      </w:r>
    </w:p>
    <w:p w14:paraId="49C608EA" w14:textId="6BB8948B" w:rsidR="008800E9" w:rsidRPr="008800E9" w:rsidRDefault="008800E9" w:rsidP="00434A6A">
      <w:pPr>
        <w:rPr>
          <w:rtl/>
        </w:rPr>
      </w:pPr>
      <w:r>
        <w:rPr>
          <w:rFonts w:hint="cs"/>
          <w:rtl/>
        </w:rPr>
        <w:t>עיין במקורות בסעיף הקודם.</w:t>
      </w:r>
    </w:p>
    <w:p w14:paraId="4B35FE85"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71722169" w14:textId="67D1C356" w:rsidR="000C6229" w:rsidRPr="005275DF" w:rsidRDefault="000C6229" w:rsidP="00434A6A">
      <w:pPr>
        <w:rPr>
          <w:rFonts w:asciiTheme="minorBidi" w:hAnsiTheme="minorBidi"/>
          <w:rtl/>
        </w:rPr>
      </w:pPr>
      <w:r w:rsidRPr="005275DF">
        <w:rPr>
          <w:rFonts w:asciiTheme="minorBidi" w:hAnsiTheme="minorBidi"/>
          <w:rtl/>
        </w:rPr>
        <w:t>דג מלוח</w:t>
      </w:r>
      <w:r w:rsidR="00227F73">
        <w:rPr>
          <w:rStyle w:val="a9"/>
          <w:rFonts w:asciiTheme="minorBidi" w:hAnsiTheme="minorBidi"/>
          <w:rtl/>
        </w:rPr>
        <w:footnoteReference w:id="1645"/>
      </w:r>
      <w:r w:rsidRPr="005275DF">
        <w:rPr>
          <w:rFonts w:asciiTheme="minorBidi" w:hAnsiTheme="minorBidi"/>
          <w:rtl/>
        </w:rPr>
        <w:t xml:space="preserve"> מותר לטלטלו; ושאינו מלוח, אסור מפני שאינו ראוי</w:t>
      </w:r>
      <w:r w:rsidR="00227F73">
        <w:rPr>
          <w:rStyle w:val="a9"/>
          <w:rFonts w:asciiTheme="minorBidi" w:hAnsiTheme="minorBidi"/>
          <w:rtl/>
        </w:rPr>
        <w:footnoteReference w:id="1646"/>
      </w:r>
      <w:r w:rsidRPr="005275DF">
        <w:rPr>
          <w:rFonts w:asciiTheme="minorBidi" w:hAnsiTheme="minorBidi"/>
          <w:rtl/>
        </w:rPr>
        <w:t xml:space="preserve">. </w:t>
      </w:r>
    </w:p>
    <w:p w14:paraId="4278A4F7" w14:textId="77777777" w:rsidR="000C6229" w:rsidRPr="005275DF" w:rsidRDefault="000C6229" w:rsidP="00434A6A">
      <w:pPr>
        <w:rPr>
          <w:rFonts w:asciiTheme="minorBidi" w:hAnsiTheme="minorBidi"/>
          <w:rtl/>
        </w:rPr>
      </w:pPr>
    </w:p>
    <w:p w14:paraId="295D8042" w14:textId="0E1A5A84" w:rsidR="000C6229" w:rsidRDefault="000C6229" w:rsidP="00434A6A">
      <w:pPr>
        <w:pStyle w:val="2"/>
        <w:rPr>
          <w:rtl/>
        </w:rPr>
      </w:pPr>
      <w:r w:rsidRPr="005275DF">
        <w:rPr>
          <w:rtl/>
        </w:rPr>
        <w:t>סעיף לג</w:t>
      </w:r>
      <w:r w:rsidR="003113A6">
        <w:rPr>
          <w:rFonts w:hint="cs"/>
          <w:rtl/>
        </w:rPr>
        <w:t xml:space="preserve">: </w:t>
      </w:r>
      <w:r w:rsidR="008800E9">
        <w:rPr>
          <w:rFonts w:hint="cs"/>
          <w:rtl/>
        </w:rPr>
        <w:t>קמיע שאינו מומחה.</w:t>
      </w:r>
    </w:p>
    <w:p w14:paraId="5B880F64" w14:textId="53E5F62C" w:rsidR="003113A6" w:rsidRDefault="00B47E47" w:rsidP="00434A6A">
      <w:pPr>
        <w:rPr>
          <w:rtl/>
        </w:rPr>
      </w:pPr>
      <w:r w:rsidRPr="00B47E47">
        <w:rPr>
          <w:rFonts w:cs="Arial" w:hint="cs"/>
          <w:b/>
          <w:bCs/>
          <w:rtl/>
        </w:rPr>
        <w:t>תוספתא שבת פי"ד ה"</w:t>
      </w:r>
      <w:r>
        <w:rPr>
          <w:rFonts w:cs="Arial" w:hint="cs"/>
          <w:b/>
          <w:bCs/>
          <w:rtl/>
        </w:rPr>
        <w:t>ז</w:t>
      </w:r>
      <w:r w:rsidRPr="00B47E47">
        <w:rPr>
          <w:rFonts w:cs="Arial" w:hint="cs"/>
          <w:b/>
          <w:bCs/>
          <w:rtl/>
        </w:rPr>
        <w:t xml:space="preserve">: </w:t>
      </w:r>
      <w:r w:rsidRPr="00B47E47">
        <w:rPr>
          <w:rFonts w:cs="Arial"/>
          <w:rtl/>
        </w:rPr>
        <w:t>חבית שנתגלתה ואבטיח שניקר</w:t>
      </w:r>
      <w:r w:rsidR="00E76AED">
        <w:rPr>
          <w:rStyle w:val="a9"/>
          <w:rFonts w:cs="Arial"/>
          <w:rtl/>
        </w:rPr>
        <w:footnoteReference w:id="1647"/>
      </w:r>
      <w:r w:rsidRPr="00B47E47">
        <w:rPr>
          <w:rFonts w:cs="Arial"/>
          <w:rtl/>
        </w:rPr>
        <w:t xml:space="preserve"> נוטלן ומניחן במקום המוצנע</w:t>
      </w:r>
      <w:r>
        <w:rPr>
          <w:rFonts w:hint="cs"/>
          <w:rtl/>
        </w:rPr>
        <w:t>.</w:t>
      </w:r>
    </w:p>
    <w:p w14:paraId="49A9012C" w14:textId="348A8938" w:rsidR="00B47E47" w:rsidRDefault="00B47E47" w:rsidP="00434A6A">
      <w:pPr>
        <w:rPr>
          <w:rFonts w:cs="Arial"/>
          <w:rtl/>
        </w:rPr>
      </w:pPr>
      <w:r w:rsidRPr="00B47E47">
        <w:rPr>
          <w:rFonts w:cs="Arial" w:hint="cs"/>
          <w:b/>
          <w:bCs/>
          <w:rtl/>
        </w:rPr>
        <w:t>תוספתא שבת פ"ד ה"</w:t>
      </w:r>
      <w:r>
        <w:rPr>
          <w:rFonts w:cs="Arial" w:hint="cs"/>
          <w:b/>
          <w:bCs/>
          <w:rtl/>
        </w:rPr>
        <w:t>י</w:t>
      </w:r>
      <w:r w:rsidRPr="00B47E47">
        <w:rPr>
          <w:rFonts w:cs="Arial" w:hint="cs"/>
          <w:b/>
          <w:bCs/>
          <w:rtl/>
        </w:rPr>
        <w:t>:</w:t>
      </w:r>
      <w:r>
        <w:rPr>
          <w:rFonts w:cs="Arial" w:hint="cs"/>
          <w:rtl/>
        </w:rPr>
        <w:t xml:space="preserve"> </w:t>
      </w:r>
      <w:r w:rsidRPr="00B47E47">
        <w:rPr>
          <w:rFonts w:cs="Arial"/>
          <w:rtl/>
        </w:rPr>
        <w:t>קמיע שאין מומחה אף על פי שאין יוצאין בו בשבת מטלטלין אותו בשבת</w:t>
      </w:r>
      <w:r>
        <w:rPr>
          <w:rFonts w:cs="Arial" w:hint="cs"/>
          <w:rtl/>
        </w:rPr>
        <w:t>.</w:t>
      </w:r>
      <w:r w:rsidRPr="00B47E47">
        <w:rPr>
          <w:rFonts w:cs="Arial"/>
          <w:rtl/>
        </w:rPr>
        <w:t xml:space="preserve"> </w:t>
      </w:r>
    </w:p>
    <w:p w14:paraId="41BF0A27" w14:textId="29D8DF37" w:rsidR="00D637A3" w:rsidRPr="00D637A3" w:rsidRDefault="00D637A3" w:rsidP="00434A6A">
      <w:pPr>
        <w:rPr>
          <w:rFonts w:cs="Arial"/>
          <w:u w:val="single"/>
          <w:rtl/>
        </w:rPr>
      </w:pPr>
      <w:r w:rsidRPr="00D637A3">
        <w:rPr>
          <w:rFonts w:cs="Arial" w:hint="cs"/>
          <w:u w:val="single"/>
          <w:rtl/>
        </w:rPr>
        <w:t xml:space="preserve">קמיע שאין יוצאין בו בשבת </w:t>
      </w:r>
      <w:r w:rsidRPr="00D637A3">
        <w:rPr>
          <w:rFonts w:cs="Arial"/>
          <w:u w:val="single"/>
          <w:rtl/>
        </w:rPr>
        <w:t>–</w:t>
      </w:r>
      <w:r w:rsidRPr="00D637A3">
        <w:rPr>
          <w:rFonts w:cs="Arial" w:hint="cs"/>
          <w:u w:val="single"/>
          <w:rtl/>
        </w:rPr>
        <w:t xml:space="preserve"> האם מותר לטלטלו:</w:t>
      </w:r>
    </w:p>
    <w:p w14:paraId="2C1B0566" w14:textId="3C08B167" w:rsidR="00B47E47" w:rsidRPr="00B47E47" w:rsidRDefault="00B14BC7" w:rsidP="00434A6A">
      <w:pPr>
        <w:pStyle w:val="aa"/>
        <w:numPr>
          <w:ilvl w:val="0"/>
          <w:numId w:val="3"/>
        </w:numPr>
        <w:rPr>
          <w:rFonts w:cs="Arial"/>
          <w:rtl/>
        </w:rPr>
      </w:pPr>
      <w:r w:rsidRPr="00B47E47">
        <w:rPr>
          <w:rFonts w:cs="Arial"/>
          <w:rtl/>
        </w:rPr>
        <w:t xml:space="preserve">רמב"ם </w:t>
      </w:r>
      <w:r w:rsidR="00B47E47" w:rsidRPr="00B47E47">
        <w:rPr>
          <w:rFonts w:cs="Arial" w:hint="cs"/>
          <w:sz w:val="16"/>
          <w:szCs w:val="16"/>
          <w:rtl/>
        </w:rPr>
        <w:t>(פכ"ו הי"ד)</w:t>
      </w:r>
      <w:r w:rsidR="00B47E47" w:rsidRPr="00B47E47">
        <w:rPr>
          <w:rFonts w:cs="Arial" w:hint="cs"/>
          <w:rtl/>
        </w:rPr>
        <w:t xml:space="preserve">- </w:t>
      </w:r>
      <w:r w:rsidR="00B47E47" w:rsidRPr="00B47E47">
        <w:rPr>
          <w:rFonts w:cs="Arial"/>
          <w:rtl/>
        </w:rPr>
        <w:t xml:space="preserve">חבית שנתגלתה ואבטיח שנשברה אף על פי שאינן ראויין לאכילה </w:t>
      </w:r>
      <w:r w:rsidR="00B47E47">
        <w:rPr>
          <w:rFonts w:cs="Arial" w:hint="cs"/>
          <w:rtl/>
        </w:rPr>
        <w:t xml:space="preserve">- </w:t>
      </w:r>
      <w:r w:rsidR="00B47E47" w:rsidRPr="00B47E47">
        <w:rPr>
          <w:rFonts w:cs="Arial"/>
          <w:rtl/>
        </w:rPr>
        <w:t>נוטלן ומניחן במקום המוצנע</w:t>
      </w:r>
      <w:r w:rsidR="00B47E47">
        <w:rPr>
          <w:rFonts w:cs="Arial" w:hint="cs"/>
          <w:rtl/>
        </w:rPr>
        <w:t>.</w:t>
      </w:r>
      <w:r w:rsidR="00B47E47" w:rsidRPr="00B47E47">
        <w:rPr>
          <w:rFonts w:cs="Arial"/>
          <w:rtl/>
        </w:rPr>
        <w:t xml:space="preserve"> כיוצא בו קמיע שאינו מומחה אף על פי שאין יוצאין בו</w:t>
      </w:r>
      <w:r w:rsidR="00B47E47">
        <w:rPr>
          <w:rFonts w:cs="Arial" w:hint="cs"/>
          <w:rtl/>
        </w:rPr>
        <w:t xml:space="preserve"> </w:t>
      </w:r>
      <w:r w:rsidR="00B47E47" w:rsidRPr="00B47E47">
        <w:rPr>
          <w:rFonts w:cs="Arial"/>
          <w:rtl/>
        </w:rPr>
        <w:t>מטלטלין אותו</w:t>
      </w:r>
      <w:r w:rsidR="00B47E47" w:rsidRPr="00B47E47">
        <w:rPr>
          <w:rFonts w:cs="Arial" w:hint="cs"/>
          <w:rtl/>
        </w:rPr>
        <w:t>.</w:t>
      </w:r>
    </w:p>
    <w:p w14:paraId="1F7DEB33"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3CB4C038" w14:textId="7FF8114D" w:rsidR="000C6229" w:rsidRPr="005275DF" w:rsidRDefault="000C6229" w:rsidP="00434A6A">
      <w:pPr>
        <w:rPr>
          <w:rFonts w:asciiTheme="minorBidi" w:hAnsiTheme="minorBidi"/>
          <w:rtl/>
        </w:rPr>
      </w:pPr>
      <w:r w:rsidRPr="005275DF">
        <w:rPr>
          <w:rFonts w:asciiTheme="minorBidi" w:hAnsiTheme="minorBidi"/>
          <w:rtl/>
        </w:rPr>
        <w:t>קמיע שאינו מומחה, אף על פי שאין יוצאים בו</w:t>
      </w:r>
      <w:r w:rsidR="00D637A3">
        <w:rPr>
          <w:rStyle w:val="a9"/>
          <w:rFonts w:asciiTheme="minorBidi" w:hAnsiTheme="minorBidi"/>
          <w:rtl/>
        </w:rPr>
        <w:footnoteReference w:id="1648"/>
      </w:r>
      <w:r w:rsidRPr="005275DF">
        <w:rPr>
          <w:rFonts w:asciiTheme="minorBidi" w:hAnsiTheme="minorBidi"/>
          <w:rtl/>
        </w:rPr>
        <w:t xml:space="preserve">, מטלטלין אותו. </w:t>
      </w:r>
    </w:p>
    <w:p w14:paraId="7D3F0320" w14:textId="77777777" w:rsidR="000C6229" w:rsidRPr="005275DF" w:rsidRDefault="000C6229" w:rsidP="00434A6A">
      <w:pPr>
        <w:rPr>
          <w:rFonts w:asciiTheme="minorBidi" w:hAnsiTheme="minorBidi"/>
          <w:rtl/>
        </w:rPr>
      </w:pPr>
    </w:p>
    <w:p w14:paraId="7567DA35" w14:textId="7BFDF22A" w:rsidR="000C6229" w:rsidRDefault="000C6229" w:rsidP="00434A6A">
      <w:pPr>
        <w:pStyle w:val="2"/>
        <w:rPr>
          <w:rtl/>
        </w:rPr>
      </w:pPr>
      <w:r w:rsidRPr="005275DF">
        <w:rPr>
          <w:rtl/>
        </w:rPr>
        <w:t>סעיף לד</w:t>
      </w:r>
      <w:r w:rsidR="003113A6">
        <w:rPr>
          <w:rFonts w:hint="cs"/>
          <w:rtl/>
        </w:rPr>
        <w:t>:</w:t>
      </w:r>
      <w:r w:rsidR="008800E9">
        <w:rPr>
          <w:rFonts w:hint="cs"/>
          <w:rtl/>
        </w:rPr>
        <w:t xml:space="preserve"> </w:t>
      </w:r>
      <w:r w:rsidR="00227F73">
        <w:rPr>
          <w:rFonts w:hint="cs"/>
          <w:rtl/>
        </w:rPr>
        <w:t>דבר מטונף או מאוס.</w:t>
      </w:r>
    </w:p>
    <w:p w14:paraId="5B94A9A1" w14:textId="521D02F3" w:rsidR="00F86DF7" w:rsidRPr="00DC1B28" w:rsidRDefault="003113A6" w:rsidP="00434A6A">
      <w:pPr>
        <w:rPr>
          <w:rFonts w:cs="Arial"/>
          <w:rtl/>
        </w:rPr>
      </w:pPr>
      <w:r w:rsidRPr="002A45F7">
        <w:rPr>
          <w:rFonts w:hint="cs"/>
          <w:b/>
          <w:bCs/>
          <w:rtl/>
        </w:rPr>
        <w:t xml:space="preserve">שבת </w:t>
      </w:r>
      <w:r>
        <w:rPr>
          <w:rFonts w:hint="cs"/>
          <w:b/>
          <w:bCs/>
          <w:sz w:val="16"/>
          <w:szCs w:val="16"/>
          <w:rtl/>
        </w:rPr>
        <w:t xml:space="preserve">(פ' </w:t>
      </w:r>
      <w:r w:rsidR="00D423BA">
        <w:rPr>
          <w:rFonts w:hint="cs"/>
          <w:b/>
          <w:bCs/>
          <w:sz w:val="16"/>
          <w:szCs w:val="16"/>
          <w:rtl/>
        </w:rPr>
        <w:t>כל כתבי</w:t>
      </w:r>
      <w:r>
        <w:rPr>
          <w:rFonts w:hint="cs"/>
          <w:b/>
          <w:bCs/>
          <w:sz w:val="16"/>
          <w:szCs w:val="16"/>
          <w:rtl/>
        </w:rPr>
        <w:t>)</w:t>
      </w:r>
      <w:r>
        <w:rPr>
          <w:rFonts w:hint="cs"/>
          <w:b/>
          <w:bCs/>
          <w:rtl/>
        </w:rPr>
        <w:t xml:space="preserve"> </w:t>
      </w:r>
      <w:r w:rsidR="00D423BA">
        <w:rPr>
          <w:rFonts w:hint="cs"/>
          <w:b/>
          <w:bCs/>
          <w:rtl/>
        </w:rPr>
        <w:t>קכא</w:t>
      </w:r>
      <w:r w:rsidRPr="002A45F7">
        <w:rPr>
          <w:rFonts w:hint="cs"/>
          <w:b/>
          <w:bCs/>
          <w:rtl/>
        </w:rPr>
        <w:t xml:space="preserve"> ע"</w:t>
      </w:r>
      <w:r>
        <w:rPr>
          <w:rFonts w:hint="cs"/>
          <w:b/>
          <w:bCs/>
          <w:rtl/>
        </w:rPr>
        <w:t>א</w:t>
      </w:r>
      <w:r w:rsidRPr="002A45F7">
        <w:rPr>
          <w:rFonts w:hint="cs"/>
          <w:b/>
          <w:bCs/>
          <w:rtl/>
        </w:rPr>
        <w:t>:</w:t>
      </w:r>
      <w:r>
        <w:rPr>
          <w:rFonts w:cs="Arial" w:hint="cs"/>
          <w:rtl/>
        </w:rPr>
        <w:t xml:space="preserve"> </w:t>
      </w:r>
      <w:r w:rsidR="00D423BA" w:rsidRPr="00D423BA">
        <w:rPr>
          <w:rFonts w:cs="Arial"/>
          <w:u w:val="double"/>
          <w:rtl/>
        </w:rPr>
        <w:t>משנה</w:t>
      </w:r>
      <w:r w:rsidR="00D423BA">
        <w:rPr>
          <w:rFonts w:cs="Arial" w:hint="cs"/>
          <w:rtl/>
        </w:rPr>
        <w:t>:</w:t>
      </w:r>
      <w:r w:rsidR="00D423BA" w:rsidRPr="00D423BA">
        <w:rPr>
          <w:rFonts w:cs="Arial"/>
          <w:rtl/>
        </w:rPr>
        <w:t xml:space="preserve"> כופין קערה על גבי הנר בשביל שלא תאחוז בקורה, ועל צואה של קטן</w:t>
      </w:r>
      <w:r w:rsidR="00D423BA">
        <w:rPr>
          <w:rFonts w:cs="Arial" w:hint="cs"/>
          <w:rtl/>
        </w:rPr>
        <w:t xml:space="preserve">...     </w:t>
      </w:r>
      <w:r w:rsidR="00D423BA" w:rsidRPr="00D423BA">
        <w:rPr>
          <w:rFonts w:cs="Arial"/>
          <w:u w:val="double"/>
          <w:rtl/>
        </w:rPr>
        <w:t>גמרא</w:t>
      </w:r>
      <w:r w:rsidR="00D423BA">
        <w:rPr>
          <w:rFonts w:cs="Arial" w:hint="cs"/>
          <w:rtl/>
        </w:rPr>
        <w:t>:</w:t>
      </w:r>
      <w:r w:rsidR="00D423BA" w:rsidRPr="00D423BA">
        <w:rPr>
          <w:rFonts w:cs="Arial"/>
          <w:rtl/>
        </w:rPr>
        <w:t xml:space="preserve"> רב יהודה ורב ירמיה בר אבא ורב חנן בר רבא איקלעו לבי אבין דמן נשיקיא, לרב יהודה ורב ירמיה בר אבא</w:t>
      </w:r>
      <w:r w:rsidR="00D423BA" w:rsidRPr="00D423BA">
        <w:rPr>
          <w:rtl/>
        </w:rPr>
        <w:t xml:space="preserve"> </w:t>
      </w:r>
      <w:r w:rsidR="00D423BA">
        <w:rPr>
          <w:rFonts w:hint="cs"/>
          <w:sz w:val="14"/>
          <w:szCs w:val="14"/>
          <w:rtl/>
        </w:rPr>
        <w:t xml:space="preserve">(קכא:) </w:t>
      </w:r>
      <w:r w:rsidR="00D423BA" w:rsidRPr="00D423BA">
        <w:rPr>
          <w:rFonts w:cs="Arial"/>
          <w:rtl/>
        </w:rPr>
        <w:t>אייתו להו פורייתא, לרב חנן בר רבא לא אייתו ליה. אשכחיה מתני ליה לבריה: ועל צואה של קטן מפני קטן</w:t>
      </w:r>
      <w:r w:rsidR="002419B9">
        <w:rPr>
          <w:rStyle w:val="a9"/>
          <w:rFonts w:cs="Arial"/>
          <w:rtl/>
        </w:rPr>
        <w:footnoteReference w:id="1649"/>
      </w:r>
      <w:r w:rsidR="00D423BA" w:rsidRPr="00D423BA">
        <w:rPr>
          <w:rFonts w:cs="Arial"/>
          <w:rtl/>
        </w:rPr>
        <w:t xml:space="preserve">. </w:t>
      </w:r>
      <w:r w:rsidR="00D423BA" w:rsidRPr="00D423BA">
        <w:rPr>
          <w:rFonts w:cs="Arial"/>
          <w:u w:val="single"/>
          <w:rtl/>
        </w:rPr>
        <w:t>אמר ליה</w:t>
      </w:r>
      <w:r w:rsidR="002419B9">
        <w:rPr>
          <w:rStyle w:val="a9"/>
          <w:rFonts w:cs="Arial"/>
          <w:rtl/>
        </w:rPr>
        <w:footnoteReference w:id="1650"/>
      </w:r>
      <w:r w:rsidR="00D423BA" w:rsidRPr="00D423BA">
        <w:rPr>
          <w:rFonts w:cs="Arial"/>
          <w:rtl/>
        </w:rPr>
        <w:t>: אבין שטיא מתני שטותא לבניה, והלא היא עצמה מוכנת לכלבים</w:t>
      </w:r>
      <w:r w:rsidR="002419B9">
        <w:rPr>
          <w:rStyle w:val="a9"/>
          <w:rFonts w:cs="Arial"/>
          <w:rtl/>
        </w:rPr>
        <w:footnoteReference w:id="1651"/>
      </w:r>
      <w:r w:rsidR="00D423BA" w:rsidRPr="00D423BA">
        <w:rPr>
          <w:rFonts w:cs="Arial"/>
          <w:rtl/>
        </w:rPr>
        <w:t>! וכי תימא דלא חזיא ליה מאתמול - והתניא: נהרות המושכין ומעיינות הנובעין הרי הן כרגלי כל אדם</w:t>
      </w:r>
      <w:r w:rsidR="00D423BA">
        <w:rPr>
          <w:rStyle w:val="a9"/>
          <w:rFonts w:cs="Arial"/>
          <w:rtl/>
        </w:rPr>
        <w:footnoteReference w:id="1652"/>
      </w:r>
      <w:r w:rsidR="00D423BA" w:rsidRPr="00D423BA">
        <w:rPr>
          <w:rFonts w:cs="Arial"/>
          <w:rtl/>
        </w:rPr>
        <w:t>. ואלא היכי אתנייה? אימא: על צואה של תרנגולים</w:t>
      </w:r>
      <w:r w:rsidR="002419B9">
        <w:rPr>
          <w:rStyle w:val="a9"/>
          <w:rFonts w:cs="Arial"/>
          <w:rtl/>
        </w:rPr>
        <w:footnoteReference w:id="1653"/>
      </w:r>
      <w:r w:rsidR="00D423BA" w:rsidRPr="00D423BA">
        <w:rPr>
          <w:rFonts w:cs="Arial"/>
          <w:rtl/>
        </w:rPr>
        <w:t xml:space="preserve"> מפני קטן. ותיפוק ליה דהוי גרף של רעי. וכי תימא: גרף של רעי אגב מנא - אין, איהו גופיה - לא, והא ההוא עכבר דאישתכח באיספרמקי</w:t>
      </w:r>
      <w:r w:rsidR="002419B9">
        <w:rPr>
          <w:rStyle w:val="a9"/>
          <w:rFonts w:cs="Arial"/>
          <w:rtl/>
        </w:rPr>
        <w:footnoteReference w:id="1654"/>
      </w:r>
      <w:r w:rsidR="00D423BA" w:rsidRPr="00D423BA">
        <w:rPr>
          <w:rFonts w:cs="Arial"/>
          <w:rtl/>
        </w:rPr>
        <w:t xml:space="preserve"> דרב אשי, ואמר להו: נקוטו בצוציתיה ואפקוה! באשפה</w:t>
      </w:r>
      <w:r w:rsidR="002419B9">
        <w:rPr>
          <w:rStyle w:val="a9"/>
          <w:rFonts w:cs="Arial"/>
          <w:rtl/>
        </w:rPr>
        <w:footnoteReference w:id="1655"/>
      </w:r>
      <w:r w:rsidR="00D423BA" w:rsidRPr="00D423BA">
        <w:rPr>
          <w:rFonts w:cs="Arial"/>
          <w:rtl/>
        </w:rPr>
        <w:t>. וקטן באשפה מאי בעי ליה? בחצר. חצר נמי, גרף של רעי הוא! באשפה שבחצר.</w:t>
      </w:r>
      <w:r w:rsidR="00DC1B28">
        <w:rPr>
          <w:rFonts w:cs="Arial" w:hint="cs"/>
          <w:rtl/>
        </w:rPr>
        <w:t xml:space="preserve"> </w:t>
      </w:r>
      <w:r w:rsidR="00DC1B28" w:rsidRPr="00DC1B28">
        <w:rPr>
          <w:rFonts w:cs="Arial" w:hint="cs"/>
          <w:sz w:val="16"/>
          <w:szCs w:val="16"/>
          <w:rtl/>
        </w:rPr>
        <w:t>(</w:t>
      </w:r>
      <w:r w:rsidR="00F86DF7" w:rsidRPr="00DC1B28">
        <w:rPr>
          <w:rFonts w:cs="Arial"/>
          <w:sz w:val="16"/>
          <w:szCs w:val="16"/>
          <w:rtl/>
        </w:rPr>
        <w:t>וכתבו הרי"ף (מה:) והרא"ש (סי' יא) אוקימנא בצואה של תרנגולין בשביל קטן שלא יוזק בה ובחצר אחרת</w:t>
      </w:r>
      <w:r w:rsidR="00F86DF7" w:rsidRPr="00DC1B28">
        <w:rPr>
          <w:rFonts w:cs="Arial" w:hint="cs"/>
          <w:sz w:val="16"/>
          <w:szCs w:val="16"/>
          <w:rtl/>
        </w:rPr>
        <w:t>,</w:t>
      </w:r>
      <w:r w:rsidR="00F86DF7" w:rsidRPr="00DC1B28">
        <w:rPr>
          <w:rFonts w:cs="Arial"/>
          <w:sz w:val="16"/>
          <w:szCs w:val="16"/>
          <w:rtl/>
        </w:rPr>
        <w:t xml:space="preserve"> אבל צואה של תרנגולין ושל בני אדם ובאותה חצר מותר לכבדה ולהוציאה לבית הכסא</w:t>
      </w:r>
      <w:r w:rsidR="00F86DF7" w:rsidRPr="00DC1B28">
        <w:rPr>
          <w:rFonts w:cs="Arial" w:hint="cs"/>
          <w:sz w:val="16"/>
          <w:szCs w:val="16"/>
          <w:rtl/>
        </w:rPr>
        <w:t>,</w:t>
      </w:r>
      <w:r w:rsidR="00F86DF7" w:rsidRPr="00DC1B28">
        <w:rPr>
          <w:rFonts w:cs="Arial"/>
          <w:sz w:val="16"/>
          <w:szCs w:val="16"/>
          <w:rtl/>
        </w:rPr>
        <w:t xml:space="preserve"> דגרף של רעי מטלטלין ליה ומפקינן ליה</w:t>
      </w:r>
      <w:r w:rsidR="00F86DF7" w:rsidRPr="00DC1B28">
        <w:rPr>
          <w:rFonts w:cs="Arial" w:hint="cs"/>
          <w:sz w:val="16"/>
          <w:szCs w:val="16"/>
          <w:rtl/>
        </w:rPr>
        <w:t>.</w:t>
      </w:r>
      <w:r w:rsidR="00F86DF7" w:rsidRPr="00DC1B28">
        <w:rPr>
          <w:rFonts w:cs="Arial"/>
          <w:sz w:val="16"/>
          <w:szCs w:val="16"/>
          <w:rtl/>
        </w:rPr>
        <w:t xml:space="preserve"> ופירש הר"ן (ד"ה גמ') </w:t>
      </w:r>
      <w:r w:rsidR="00DC1B28" w:rsidRPr="00DC1B28">
        <w:rPr>
          <w:rFonts w:cs="Arial" w:hint="cs"/>
          <w:sz w:val="16"/>
          <w:szCs w:val="16"/>
          <w:rtl/>
        </w:rPr>
        <w:t>'</w:t>
      </w:r>
      <w:r w:rsidR="00F86DF7" w:rsidRPr="00DC1B28">
        <w:rPr>
          <w:rFonts w:cs="Arial"/>
          <w:sz w:val="16"/>
          <w:szCs w:val="16"/>
          <w:rtl/>
        </w:rPr>
        <w:t>אוקימנא בצואה של תרנגולין</w:t>
      </w:r>
      <w:r w:rsidR="00DC1B28" w:rsidRPr="00DC1B28">
        <w:rPr>
          <w:rFonts w:cs="Arial" w:hint="cs"/>
          <w:sz w:val="16"/>
          <w:szCs w:val="16"/>
          <w:rtl/>
        </w:rPr>
        <w:t xml:space="preserve">' </w:t>
      </w:r>
      <w:r w:rsidR="00F86DF7" w:rsidRPr="00DC1B28">
        <w:rPr>
          <w:rFonts w:cs="Arial" w:hint="cs"/>
          <w:sz w:val="16"/>
          <w:szCs w:val="16"/>
          <w:rtl/>
        </w:rPr>
        <w:t>-</w:t>
      </w:r>
      <w:r w:rsidR="00F86DF7" w:rsidRPr="00DC1B28">
        <w:rPr>
          <w:rFonts w:cs="Arial"/>
          <w:sz w:val="16"/>
          <w:szCs w:val="16"/>
          <w:rtl/>
        </w:rPr>
        <w:t xml:space="preserve"> כלומר דכיון שדרכה להיות בחצר אחרת שאדם מקצה להם מקום לא שרי לטלטלה משום גרף של רעי</w:t>
      </w:r>
      <w:r w:rsidR="00F86DF7" w:rsidRPr="00DC1B28">
        <w:rPr>
          <w:rFonts w:cs="Arial" w:hint="cs"/>
          <w:sz w:val="16"/>
          <w:szCs w:val="16"/>
          <w:rtl/>
        </w:rPr>
        <w:t>,</w:t>
      </w:r>
      <w:r w:rsidR="00F86DF7" w:rsidRPr="00DC1B28">
        <w:rPr>
          <w:rFonts w:cs="Arial"/>
          <w:sz w:val="16"/>
          <w:szCs w:val="16"/>
          <w:rtl/>
        </w:rPr>
        <w:t xml:space="preserve"> אלא מיהו בשביל שלא יתלכלך בה הקטן שהולך שם לפעמים כופה עליה את הכלי</w:t>
      </w:r>
      <w:r w:rsidR="00F86DF7" w:rsidRPr="00DC1B28">
        <w:rPr>
          <w:rFonts w:cs="Arial" w:hint="cs"/>
          <w:sz w:val="16"/>
          <w:szCs w:val="16"/>
          <w:rtl/>
        </w:rPr>
        <w:t>,</w:t>
      </w:r>
      <w:r w:rsidR="00F86DF7" w:rsidRPr="00DC1B28">
        <w:rPr>
          <w:rFonts w:cs="Arial"/>
          <w:sz w:val="16"/>
          <w:szCs w:val="16"/>
          <w:rtl/>
        </w:rPr>
        <w:t xml:space="preserve"> אבל צואה של בני אדם שדרכה להיות בחצר שדרין בה כגון צואה של קטנים אין צריך לכפות עליה את הכלי אלא מותר לכבדה ולהוליכה לבית הכסא עכ"ל</w:t>
      </w:r>
      <w:r w:rsidR="00F86DF7" w:rsidRPr="00DC1B28">
        <w:rPr>
          <w:rFonts w:cs="Arial" w:hint="cs"/>
          <w:sz w:val="16"/>
          <w:szCs w:val="16"/>
          <w:rtl/>
        </w:rPr>
        <w:t>.</w:t>
      </w:r>
      <w:r w:rsidR="00F86DF7" w:rsidRPr="00DC1B28">
        <w:rPr>
          <w:rFonts w:cs="Arial"/>
          <w:sz w:val="16"/>
          <w:szCs w:val="16"/>
          <w:rtl/>
        </w:rPr>
        <w:t xml:space="preserve"> וכך הם דברי הרמב"ם בפכ"ו (הי"ג) וזה לשונו</w:t>
      </w:r>
      <w:r w:rsidR="00DC1B28">
        <w:rPr>
          <w:rFonts w:cs="Arial" w:hint="cs"/>
          <w:sz w:val="16"/>
          <w:szCs w:val="16"/>
          <w:rtl/>
        </w:rPr>
        <w:t>:</w:t>
      </w:r>
      <w:r w:rsidR="00F86DF7" w:rsidRPr="00DC1B28">
        <w:rPr>
          <w:rFonts w:cs="Arial"/>
          <w:sz w:val="16"/>
          <w:szCs w:val="16"/>
          <w:rtl/>
        </w:rPr>
        <w:t xml:space="preserve"> כל דבר מטונף כגון רעי וקיא וצואה וכיוצא בהם אם היו בחצר שיושבין בה מותר להוציאן לאשפה או לבית הכסא וזהו הנקרא גרף של רעי</w:t>
      </w:r>
      <w:r w:rsidR="00E106F9">
        <w:rPr>
          <w:rFonts w:cs="Arial" w:hint="cs"/>
          <w:sz w:val="16"/>
          <w:szCs w:val="16"/>
          <w:rtl/>
        </w:rPr>
        <w:t>,</w:t>
      </w:r>
      <w:r w:rsidR="00F86DF7" w:rsidRPr="00DC1B28">
        <w:rPr>
          <w:rFonts w:cs="Arial"/>
          <w:sz w:val="16"/>
          <w:szCs w:val="16"/>
          <w:rtl/>
        </w:rPr>
        <w:t xml:space="preserve"> ואם היו בחצר אחרת כופין עליהם כלי כדי שלא יצא הקטן ויתלכלך בהם</w:t>
      </w:r>
      <w:r w:rsidR="00E106F9">
        <w:rPr>
          <w:rFonts w:cs="Arial" w:hint="cs"/>
          <w:sz w:val="16"/>
          <w:szCs w:val="16"/>
          <w:rtl/>
        </w:rPr>
        <w:t>.</w:t>
      </w:r>
      <w:r w:rsidR="00F86DF7" w:rsidRPr="00DC1B28">
        <w:rPr>
          <w:rFonts w:cs="Arial"/>
          <w:sz w:val="16"/>
          <w:szCs w:val="16"/>
          <w:rtl/>
        </w:rPr>
        <w:t xml:space="preserve"> וכתב הה</w:t>
      </w:r>
      <w:r w:rsidR="00E106F9">
        <w:rPr>
          <w:rFonts w:cs="Arial" w:hint="cs"/>
          <w:sz w:val="16"/>
          <w:szCs w:val="16"/>
          <w:rtl/>
        </w:rPr>
        <w:t>"</w:t>
      </w:r>
      <w:r w:rsidR="00F86DF7" w:rsidRPr="00DC1B28">
        <w:rPr>
          <w:rFonts w:cs="Arial"/>
          <w:sz w:val="16"/>
          <w:szCs w:val="16"/>
          <w:rtl/>
        </w:rPr>
        <w:t>מ שכן מבואר בס</w:t>
      </w:r>
      <w:r w:rsidR="00E106F9">
        <w:rPr>
          <w:rFonts w:cs="Arial" w:hint="cs"/>
          <w:sz w:val="16"/>
          <w:szCs w:val="16"/>
          <w:rtl/>
        </w:rPr>
        <w:t>"</w:t>
      </w:r>
      <w:r w:rsidR="00F86DF7" w:rsidRPr="00DC1B28">
        <w:rPr>
          <w:rFonts w:cs="Arial"/>
          <w:sz w:val="16"/>
          <w:szCs w:val="16"/>
          <w:rtl/>
        </w:rPr>
        <w:t>פ כל כתבי (קכא:) וכפי גירסת ההלכות שם ועיקר ע</w:t>
      </w:r>
      <w:r w:rsidR="00DC1B28">
        <w:rPr>
          <w:rFonts w:cs="Arial" w:hint="cs"/>
          <w:sz w:val="16"/>
          <w:szCs w:val="16"/>
          <w:rtl/>
        </w:rPr>
        <w:t>כ"ל.</w:t>
      </w:r>
      <w:r w:rsidR="00757BCD">
        <w:rPr>
          <w:rFonts w:cs="Arial"/>
          <w:sz w:val="16"/>
          <w:szCs w:val="16"/>
          <w:rtl/>
        </w:rPr>
        <w:tab/>
      </w:r>
      <w:r w:rsidR="00F86DF7" w:rsidRPr="00DC1B28">
        <w:rPr>
          <w:rFonts w:cs="Arial"/>
          <w:sz w:val="16"/>
          <w:szCs w:val="16"/>
          <w:rtl/>
        </w:rPr>
        <w:t>ולפי דבריהם אין חילוק בין צואת קטן לצואת תרנגולים</w:t>
      </w:r>
      <w:r w:rsidR="00DC1B28" w:rsidRPr="00DC1B28">
        <w:rPr>
          <w:rFonts w:cs="Arial" w:hint="cs"/>
          <w:sz w:val="16"/>
          <w:szCs w:val="16"/>
          <w:rtl/>
        </w:rPr>
        <w:t>,</w:t>
      </w:r>
      <w:r w:rsidR="00F86DF7" w:rsidRPr="00DC1B28">
        <w:rPr>
          <w:rFonts w:cs="Arial"/>
          <w:sz w:val="16"/>
          <w:szCs w:val="16"/>
          <w:rtl/>
        </w:rPr>
        <w:t xml:space="preserve"> אבל לפי גירסא שלנו בגמרא צואה של קטן אפילו היא בחצר אחרת מותר לטלטלה ולפנותה מפני שראויה להאכילה לכלבים</w:t>
      </w:r>
      <w:r w:rsidR="00DC1B28" w:rsidRPr="00DC1B28">
        <w:rPr>
          <w:rFonts w:cs="Arial" w:hint="cs"/>
          <w:sz w:val="16"/>
          <w:szCs w:val="16"/>
          <w:rtl/>
        </w:rPr>
        <w:t>.</w:t>
      </w:r>
      <w:r w:rsidR="00F86DF7" w:rsidRPr="00DC1B28">
        <w:rPr>
          <w:rFonts w:cs="Arial"/>
          <w:sz w:val="16"/>
          <w:szCs w:val="16"/>
          <w:rtl/>
        </w:rPr>
        <w:t xml:space="preserve"> וכן כתב רבינו ירוחם בחי"ג (פד:)</w:t>
      </w:r>
      <w:r w:rsidR="00DC1B28" w:rsidRPr="00DC1B28">
        <w:rPr>
          <w:rFonts w:cs="Arial" w:hint="cs"/>
          <w:sz w:val="16"/>
          <w:szCs w:val="16"/>
          <w:rtl/>
        </w:rPr>
        <w:t>,</w:t>
      </w:r>
      <w:r w:rsidR="00F86DF7" w:rsidRPr="00DC1B28">
        <w:rPr>
          <w:rFonts w:cs="Arial"/>
          <w:sz w:val="16"/>
          <w:szCs w:val="16"/>
          <w:rtl/>
        </w:rPr>
        <w:t xml:space="preserve"> וכתב דהוא הדין לצואת גדול</w:t>
      </w:r>
      <w:r w:rsidR="00DC1B28" w:rsidRPr="00DC1B28">
        <w:rPr>
          <w:rFonts w:cs="Arial" w:hint="cs"/>
          <w:sz w:val="16"/>
          <w:szCs w:val="16"/>
          <w:rtl/>
        </w:rPr>
        <w:t>.</w:t>
      </w:r>
      <w:r w:rsidR="00F86DF7" w:rsidRPr="00DC1B28">
        <w:rPr>
          <w:rFonts w:cs="Arial"/>
          <w:sz w:val="16"/>
          <w:szCs w:val="16"/>
          <w:rtl/>
        </w:rPr>
        <w:t xml:space="preserve"> ורבינו העתיק לשון הרי"ף והרא"ש וצריך לפרשו כעין שפירש הר"ן</w:t>
      </w:r>
      <w:r w:rsidR="00B46C42">
        <w:rPr>
          <w:rFonts w:cs="Arial" w:hint="cs"/>
          <w:sz w:val="16"/>
          <w:szCs w:val="16"/>
          <w:rtl/>
        </w:rPr>
        <w:t>...</w:t>
      </w:r>
      <w:r w:rsidR="00DC1B28" w:rsidRPr="00B46C42">
        <w:rPr>
          <w:rFonts w:cs="Arial" w:hint="cs"/>
          <w:sz w:val="16"/>
          <w:szCs w:val="16"/>
          <w:rtl/>
        </w:rPr>
        <w:t>, ב"י</w:t>
      </w:r>
      <w:r w:rsidR="00DC1B28">
        <w:rPr>
          <w:rFonts w:cs="Arial" w:hint="cs"/>
          <w:sz w:val="16"/>
          <w:szCs w:val="16"/>
          <w:rtl/>
        </w:rPr>
        <w:t>)</w:t>
      </w:r>
    </w:p>
    <w:p w14:paraId="3B16597A" w14:textId="0B92F40E" w:rsidR="00F86DF7" w:rsidRDefault="00F86DF7" w:rsidP="00434A6A">
      <w:pPr>
        <w:rPr>
          <w:rFonts w:cs="Arial"/>
          <w:rtl/>
        </w:rPr>
      </w:pPr>
      <w:r w:rsidRPr="00F86DF7">
        <w:rPr>
          <w:rFonts w:cs="Arial" w:hint="cs"/>
          <w:b/>
          <w:bCs/>
          <w:rtl/>
        </w:rPr>
        <w:t xml:space="preserve">ביצה </w:t>
      </w:r>
      <w:r w:rsidRPr="00F86DF7">
        <w:rPr>
          <w:rFonts w:cs="Arial" w:hint="cs"/>
          <w:b/>
          <w:bCs/>
          <w:sz w:val="16"/>
          <w:szCs w:val="16"/>
          <w:rtl/>
        </w:rPr>
        <w:t>(פ' משילין)</w:t>
      </w:r>
      <w:r w:rsidRPr="00F86DF7">
        <w:rPr>
          <w:rFonts w:cs="Arial" w:hint="cs"/>
          <w:b/>
          <w:bCs/>
          <w:rtl/>
        </w:rPr>
        <w:t xml:space="preserve"> לו ע"ב: </w:t>
      </w:r>
      <w:r w:rsidRPr="00B46C42">
        <w:rPr>
          <w:rFonts w:cs="Arial"/>
          <w:u w:val="single"/>
          <w:rtl/>
        </w:rPr>
        <w:t>אמר שמואל</w:t>
      </w:r>
      <w:r w:rsidRPr="00F86DF7">
        <w:rPr>
          <w:rFonts w:cs="Arial"/>
          <w:rtl/>
        </w:rPr>
        <w:t>: גרף של רעי ועביט של מימי רגלים מותר להוציאן לאשפה, וכשהוא מחזירו - נותן בו מים ומחזירו</w:t>
      </w:r>
      <w:r w:rsidR="00B46C42">
        <w:rPr>
          <w:rStyle w:val="a9"/>
          <w:rFonts w:cs="Arial"/>
          <w:rtl/>
        </w:rPr>
        <w:footnoteReference w:id="1656"/>
      </w:r>
      <w:r w:rsidRPr="00F86DF7">
        <w:rPr>
          <w:rFonts w:cs="Arial"/>
          <w:rtl/>
        </w:rPr>
        <w:t>. סבור מינה: גרף של רעי, אגב מנא - אין, בפני עצמו - לא. תא שמע: דההוא עכברתא דאשתכח בי אספרמקי דרב אשי, אמר להו רב אשי: נקטה בצוציתה ואפקוה.</w:t>
      </w:r>
    </w:p>
    <w:p w14:paraId="7C01E20E" w14:textId="010C22A2" w:rsidR="002419B9" w:rsidRPr="002419B9" w:rsidRDefault="002419B9" w:rsidP="00434A6A">
      <w:pPr>
        <w:rPr>
          <w:rFonts w:cs="Arial"/>
          <w:u w:val="single"/>
          <w:rtl/>
        </w:rPr>
      </w:pPr>
      <w:r w:rsidRPr="002419B9">
        <w:rPr>
          <w:rFonts w:cs="Arial" w:hint="cs"/>
          <w:u w:val="single"/>
          <w:rtl/>
        </w:rPr>
        <w:t xml:space="preserve">טלטול דבר מאוס שאינו ראוי לטלטול בפנ"ע </w:t>
      </w:r>
      <w:r w:rsidRPr="002419B9">
        <w:rPr>
          <w:rFonts w:cs="Arial" w:hint="cs"/>
          <w:sz w:val="16"/>
          <w:szCs w:val="16"/>
          <w:u w:val="single"/>
          <w:rtl/>
        </w:rPr>
        <w:t>(כגון צואה של תרנגולים)</w:t>
      </w:r>
      <w:r w:rsidRPr="002419B9">
        <w:rPr>
          <w:rFonts w:cs="Arial" w:hint="cs"/>
          <w:u w:val="single"/>
          <w:rtl/>
        </w:rPr>
        <w:t>:</w:t>
      </w:r>
    </w:p>
    <w:p w14:paraId="2C2B1F90" w14:textId="32D48679" w:rsidR="00B14BC7" w:rsidRPr="0050175B" w:rsidRDefault="0050175B" w:rsidP="00434A6A">
      <w:pPr>
        <w:pStyle w:val="aa"/>
        <w:numPr>
          <w:ilvl w:val="0"/>
          <w:numId w:val="3"/>
        </w:numPr>
        <w:rPr>
          <w:rFonts w:cs="Arial"/>
          <w:rtl/>
        </w:rPr>
      </w:pPr>
      <w:r w:rsidRPr="0050175B">
        <w:rPr>
          <w:rFonts w:cs="Arial" w:hint="cs"/>
          <w:rtl/>
        </w:rPr>
        <w:t xml:space="preserve">טור- </w:t>
      </w:r>
      <w:r w:rsidR="00B14BC7" w:rsidRPr="0050175B">
        <w:rPr>
          <w:rFonts w:cs="Arial"/>
          <w:rtl/>
        </w:rPr>
        <w:t>צואה של תרנגולין המונחת בחצר</w:t>
      </w:r>
      <w:r w:rsidR="00B46C42">
        <w:rPr>
          <w:rStyle w:val="a9"/>
          <w:rFonts w:cs="Arial"/>
          <w:rtl/>
        </w:rPr>
        <w:footnoteReference w:id="1657"/>
      </w:r>
      <w:r w:rsidR="00B14BC7" w:rsidRPr="0050175B">
        <w:rPr>
          <w:rFonts w:cs="Arial"/>
          <w:rtl/>
        </w:rPr>
        <w:t xml:space="preserve"> </w:t>
      </w:r>
      <w:r w:rsidR="002419B9">
        <w:rPr>
          <w:rFonts w:cs="Arial" w:hint="cs"/>
          <w:rtl/>
        </w:rPr>
        <w:t xml:space="preserve">- </w:t>
      </w:r>
      <w:r w:rsidR="00B14BC7" w:rsidRPr="0050175B">
        <w:rPr>
          <w:rFonts w:cs="Arial"/>
          <w:rtl/>
        </w:rPr>
        <w:t>מותר להוציאה שהוא</w:t>
      </w:r>
      <w:r w:rsidR="00B46C42">
        <w:rPr>
          <w:rStyle w:val="a9"/>
          <w:rFonts w:cs="Arial"/>
          <w:rtl/>
        </w:rPr>
        <w:footnoteReference w:id="1658"/>
      </w:r>
      <w:r w:rsidR="00B14BC7" w:rsidRPr="0050175B">
        <w:rPr>
          <w:rFonts w:cs="Arial"/>
          <w:rtl/>
        </w:rPr>
        <w:t xml:space="preserve"> כגרף של רעי שמותר להוציאו אפילו בלא כלי</w:t>
      </w:r>
      <w:r w:rsidR="002419B9">
        <w:rPr>
          <w:rFonts w:cs="Arial" w:hint="cs"/>
          <w:rtl/>
        </w:rPr>
        <w:t>.</w:t>
      </w:r>
      <w:r w:rsidR="00B14BC7" w:rsidRPr="0050175B">
        <w:rPr>
          <w:rFonts w:cs="Arial"/>
          <w:rtl/>
        </w:rPr>
        <w:t xml:space="preserve"> ואם היא בחצר אחרת שאינו דר שם</w:t>
      </w:r>
      <w:r w:rsidR="00B46C42">
        <w:rPr>
          <w:rStyle w:val="a9"/>
          <w:rFonts w:cs="Arial"/>
          <w:rtl/>
        </w:rPr>
        <w:footnoteReference w:id="1659"/>
      </w:r>
      <w:r w:rsidR="00B14BC7" w:rsidRPr="0050175B">
        <w:rPr>
          <w:rFonts w:cs="Arial"/>
          <w:rtl/>
        </w:rPr>
        <w:t xml:space="preserve"> אסור להוציאו</w:t>
      </w:r>
      <w:r w:rsidR="002419B9">
        <w:rPr>
          <w:rFonts w:cs="Arial" w:hint="cs"/>
          <w:rtl/>
        </w:rPr>
        <w:t>,</w:t>
      </w:r>
      <w:r w:rsidR="00B14BC7" w:rsidRPr="0050175B">
        <w:rPr>
          <w:rFonts w:cs="Arial"/>
          <w:rtl/>
        </w:rPr>
        <w:t xml:space="preserve"> ואם ירא מפני התינוק שלא יתלכלך בה מותר לכפות עליה כלי</w:t>
      </w:r>
      <w:r w:rsidRPr="0050175B">
        <w:rPr>
          <w:rFonts w:cs="Arial" w:hint="cs"/>
          <w:rtl/>
        </w:rPr>
        <w:t>.</w:t>
      </w:r>
      <w:r w:rsidR="00757BCD">
        <w:rPr>
          <w:rFonts w:cs="Arial" w:hint="cs"/>
          <w:rtl/>
        </w:rPr>
        <w:t xml:space="preserve"> </w:t>
      </w:r>
      <w:r w:rsidR="00757BCD" w:rsidRPr="00757BCD">
        <w:rPr>
          <w:rFonts w:cs="Arial" w:hint="cs"/>
          <w:color w:val="E36C0A" w:themeColor="accent6" w:themeShade="BF"/>
          <w:rtl/>
        </w:rPr>
        <w:t>(וכ"פ בשו"ע)</w:t>
      </w:r>
    </w:p>
    <w:p w14:paraId="5EED743B"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5690E53B" w14:textId="55B9BFEF" w:rsidR="000C6229" w:rsidRPr="005275DF" w:rsidRDefault="000C6229" w:rsidP="00434A6A">
      <w:pPr>
        <w:rPr>
          <w:rFonts w:asciiTheme="minorBidi" w:hAnsiTheme="minorBidi"/>
          <w:rtl/>
        </w:rPr>
      </w:pPr>
      <w:r w:rsidRPr="005275DF">
        <w:rPr>
          <w:rFonts w:asciiTheme="minorBidi" w:hAnsiTheme="minorBidi"/>
          <w:rtl/>
        </w:rPr>
        <w:t>כל דבר מטונף, כגון: רעי וקיא וצואה, בין של אדם בין של תרנגולים וכיוצא בהם, אם היו בחצר שיושבים בה</w:t>
      </w:r>
      <w:r w:rsidR="00757BCD">
        <w:rPr>
          <w:rStyle w:val="a9"/>
          <w:rFonts w:asciiTheme="minorBidi" w:hAnsiTheme="minorBidi"/>
          <w:rtl/>
        </w:rPr>
        <w:footnoteReference w:id="1660"/>
      </w:r>
      <w:r w:rsidRPr="005275DF">
        <w:rPr>
          <w:rFonts w:asciiTheme="minorBidi" w:hAnsiTheme="minorBidi"/>
          <w:rtl/>
        </w:rPr>
        <w:t>, מותר להוציאם לאשפה או לבית הכסא, ואפי' בלא כלי</w:t>
      </w:r>
      <w:r w:rsidR="00757BCD">
        <w:rPr>
          <w:rFonts w:asciiTheme="minorBidi" w:hAnsiTheme="minorBidi" w:hint="cs"/>
          <w:rtl/>
        </w:rPr>
        <w:t>.</w:t>
      </w:r>
      <w:r w:rsidRPr="005275DF">
        <w:rPr>
          <w:rFonts w:asciiTheme="minorBidi" w:hAnsiTheme="minorBidi"/>
          <w:rtl/>
        </w:rPr>
        <w:t xml:space="preserve"> ואם היו בחצר שאינו דר שם</w:t>
      </w:r>
      <w:r w:rsidR="00757BCD">
        <w:rPr>
          <w:rStyle w:val="a9"/>
          <w:rFonts w:asciiTheme="minorBidi" w:hAnsiTheme="minorBidi"/>
          <w:rtl/>
        </w:rPr>
        <w:footnoteReference w:id="1661"/>
      </w:r>
      <w:r w:rsidRPr="005275DF">
        <w:rPr>
          <w:rFonts w:asciiTheme="minorBidi" w:hAnsiTheme="minorBidi"/>
          <w:rtl/>
        </w:rPr>
        <w:t>, אסור להוציאם</w:t>
      </w:r>
      <w:r w:rsidR="00757BCD">
        <w:rPr>
          <w:rStyle w:val="a9"/>
          <w:rFonts w:asciiTheme="minorBidi" w:hAnsiTheme="minorBidi"/>
          <w:rtl/>
        </w:rPr>
        <w:footnoteReference w:id="1662"/>
      </w:r>
      <w:r w:rsidRPr="005275DF">
        <w:rPr>
          <w:rFonts w:asciiTheme="minorBidi" w:hAnsiTheme="minorBidi"/>
          <w:rtl/>
        </w:rPr>
        <w:t xml:space="preserve">. ואם ירא מפני התינוק שלא יתלכלך בה, מותר לכפות עליה כלי. </w:t>
      </w:r>
    </w:p>
    <w:p w14:paraId="0FB6F48F" w14:textId="77777777" w:rsidR="000C6229" w:rsidRPr="005275DF" w:rsidRDefault="000C6229" w:rsidP="00434A6A">
      <w:pPr>
        <w:rPr>
          <w:rFonts w:asciiTheme="minorBidi" w:hAnsiTheme="minorBidi"/>
          <w:rtl/>
        </w:rPr>
      </w:pPr>
    </w:p>
    <w:p w14:paraId="78D0C98B" w14:textId="7C82A0B4" w:rsidR="000C6229" w:rsidRDefault="000C6229" w:rsidP="00434A6A">
      <w:pPr>
        <w:pStyle w:val="2"/>
        <w:rPr>
          <w:rtl/>
        </w:rPr>
      </w:pPr>
      <w:r w:rsidRPr="005275DF">
        <w:rPr>
          <w:rtl/>
        </w:rPr>
        <w:t>סעיף לה</w:t>
      </w:r>
      <w:r w:rsidR="00FB3622">
        <w:rPr>
          <w:rFonts w:hint="cs"/>
          <w:rtl/>
        </w:rPr>
        <w:t>:</w:t>
      </w:r>
      <w:r w:rsidR="00A67E98">
        <w:rPr>
          <w:rFonts w:hint="cs"/>
          <w:rtl/>
        </w:rPr>
        <w:t xml:space="preserve"> נתינת מים בגרף כדי להתיר להחזירו לבית.</w:t>
      </w:r>
    </w:p>
    <w:p w14:paraId="37D95881" w14:textId="72F58F38" w:rsidR="00757BCD" w:rsidRDefault="0060573B" w:rsidP="00434A6A">
      <w:pPr>
        <w:rPr>
          <w:rtl/>
        </w:rPr>
      </w:pPr>
      <w:r w:rsidRPr="00F86DF7">
        <w:rPr>
          <w:rFonts w:cs="Arial" w:hint="cs"/>
          <w:b/>
          <w:bCs/>
          <w:rtl/>
        </w:rPr>
        <w:t xml:space="preserve">ביצה </w:t>
      </w:r>
      <w:r w:rsidRPr="00F86DF7">
        <w:rPr>
          <w:rFonts w:cs="Arial" w:hint="cs"/>
          <w:b/>
          <w:bCs/>
          <w:sz w:val="16"/>
          <w:szCs w:val="16"/>
          <w:rtl/>
        </w:rPr>
        <w:t>(פ' משילין)</w:t>
      </w:r>
      <w:r w:rsidRPr="00F86DF7">
        <w:rPr>
          <w:rFonts w:cs="Arial" w:hint="cs"/>
          <w:b/>
          <w:bCs/>
          <w:rtl/>
        </w:rPr>
        <w:t xml:space="preserve"> לו ע"ב:</w:t>
      </w:r>
      <w:r>
        <w:rPr>
          <w:rFonts w:cs="Arial" w:hint="cs"/>
          <w:b/>
          <w:bCs/>
          <w:rtl/>
        </w:rPr>
        <w:t xml:space="preserve"> </w:t>
      </w:r>
      <w:r w:rsidRPr="00B46C42">
        <w:rPr>
          <w:rFonts w:cs="Arial"/>
          <w:u w:val="single"/>
          <w:rtl/>
        </w:rPr>
        <w:t>אמר שמואל</w:t>
      </w:r>
      <w:r w:rsidRPr="00F86DF7">
        <w:rPr>
          <w:rFonts w:cs="Arial"/>
          <w:rtl/>
        </w:rPr>
        <w:t>: גרף של רעי ועביט של מימי רגלים מותר להוציאן לאשפה, וכשהוא מחזירו - נותן בו מים ומחזירו</w:t>
      </w:r>
      <w:r>
        <w:rPr>
          <w:rStyle w:val="a9"/>
          <w:rFonts w:cs="Arial"/>
          <w:rtl/>
        </w:rPr>
        <w:footnoteReference w:id="1663"/>
      </w:r>
      <w:r w:rsidRPr="00F86DF7">
        <w:rPr>
          <w:rFonts w:cs="Arial"/>
          <w:rtl/>
        </w:rPr>
        <w:t>.</w:t>
      </w:r>
      <w:r w:rsidRPr="0060573B">
        <w:rPr>
          <w:rtl/>
        </w:rPr>
        <w:t xml:space="preserve"> </w:t>
      </w:r>
      <w:r w:rsidRPr="0060573B">
        <w:rPr>
          <w:rFonts w:cs="Arial" w:hint="cs"/>
          <w:sz w:val="16"/>
          <w:szCs w:val="16"/>
          <w:rtl/>
        </w:rPr>
        <w:t>(</w:t>
      </w:r>
      <w:r w:rsidRPr="0060573B">
        <w:rPr>
          <w:rFonts w:cs="Arial"/>
          <w:sz w:val="16"/>
          <w:szCs w:val="16"/>
          <w:rtl/>
        </w:rPr>
        <w:t>וא"ת ומה הועיל בכך</w:t>
      </w:r>
      <w:r>
        <w:rPr>
          <w:rFonts w:cs="Arial" w:hint="cs"/>
          <w:sz w:val="16"/>
          <w:szCs w:val="16"/>
          <w:rtl/>
        </w:rPr>
        <w:t>,</w:t>
      </w:r>
      <w:r w:rsidRPr="0060573B">
        <w:rPr>
          <w:rFonts w:cs="Arial"/>
          <w:sz w:val="16"/>
          <w:szCs w:val="16"/>
          <w:rtl/>
        </w:rPr>
        <w:t xml:space="preserve"> והלא אותם מים כגרף הם ואינם ראויים לכלום</w:t>
      </w:r>
      <w:r>
        <w:rPr>
          <w:rFonts w:cs="Arial" w:hint="cs"/>
          <w:sz w:val="16"/>
          <w:szCs w:val="16"/>
          <w:rtl/>
        </w:rPr>
        <w:t>,</w:t>
      </w:r>
      <w:r w:rsidRPr="0060573B">
        <w:rPr>
          <w:rFonts w:cs="Arial"/>
          <w:sz w:val="16"/>
          <w:szCs w:val="16"/>
          <w:rtl/>
        </w:rPr>
        <w:t xml:space="preserve"> והיאך יטלטל הכלי המאוס מחמתן והמים חזרו להיותן כעביט</w:t>
      </w:r>
      <w:r>
        <w:rPr>
          <w:rFonts w:cs="Arial" w:hint="cs"/>
          <w:sz w:val="16"/>
          <w:szCs w:val="16"/>
          <w:rtl/>
        </w:rPr>
        <w:t>?</w:t>
      </w:r>
      <w:r w:rsidRPr="0060573B">
        <w:rPr>
          <w:rFonts w:cs="Arial"/>
          <w:sz w:val="16"/>
          <w:szCs w:val="16"/>
          <w:rtl/>
        </w:rPr>
        <w:t xml:space="preserve"> י"ל דחזו לבהמה</w:t>
      </w:r>
      <w:r>
        <w:rPr>
          <w:rFonts w:cs="Arial" w:hint="cs"/>
          <w:sz w:val="16"/>
          <w:szCs w:val="16"/>
          <w:rtl/>
        </w:rPr>
        <w:t>...</w:t>
      </w:r>
      <w:r w:rsidRPr="0060573B">
        <w:rPr>
          <w:rFonts w:cs="Arial"/>
          <w:sz w:val="16"/>
          <w:szCs w:val="16"/>
          <w:rtl/>
        </w:rPr>
        <w:t xml:space="preserve"> ולדידי קשיא לי למה התירו להחזיר ע"י נתינת המים לתוכן</w:t>
      </w:r>
      <w:r>
        <w:rPr>
          <w:rFonts w:cs="Arial" w:hint="cs"/>
          <w:sz w:val="16"/>
          <w:szCs w:val="16"/>
          <w:rtl/>
        </w:rPr>
        <w:t>,</w:t>
      </w:r>
      <w:r w:rsidRPr="0060573B">
        <w:rPr>
          <w:rFonts w:cs="Arial"/>
          <w:sz w:val="16"/>
          <w:szCs w:val="16"/>
          <w:rtl/>
        </w:rPr>
        <w:t xml:space="preserve"> דהא משמע דכלים עצמן מאוסין ואסורין לטלטלן בפני עצמן אלא שע</w:t>
      </w:r>
      <w:r>
        <w:rPr>
          <w:rFonts w:cs="Arial" w:hint="cs"/>
          <w:sz w:val="16"/>
          <w:szCs w:val="16"/>
          <w:rtl/>
        </w:rPr>
        <w:t>"</w:t>
      </w:r>
      <w:r w:rsidRPr="0060573B">
        <w:rPr>
          <w:rFonts w:cs="Arial"/>
          <w:sz w:val="16"/>
          <w:szCs w:val="16"/>
          <w:rtl/>
        </w:rPr>
        <w:t>י המים נעשה למים בסיס וניטלין על ידיהן</w:t>
      </w:r>
      <w:r>
        <w:rPr>
          <w:rFonts w:cs="Arial" w:hint="cs"/>
          <w:sz w:val="16"/>
          <w:szCs w:val="16"/>
          <w:rtl/>
        </w:rPr>
        <w:t>,</w:t>
      </w:r>
      <w:r w:rsidRPr="0060573B">
        <w:rPr>
          <w:rFonts w:cs="Arial"/>
          <w:sz w:val="16"/>
          <w:szCs w:val="16"/>
          <w:rtl/>
        </w:rPr>
        <w:t xml:space="preserve"> והא קי"ל דלא אמרו ככר או תינוק אלא למת בלבד. ויש לי לומר דהכא בששפך וצריך עוד לכלי לשנות ולמלאות ולשפוך כאותה ששנו בברייתא</w:t>
      </w:r>
      <w:r>
        <w:rPr>
          <w:rFonts w:cs="Arial" w:hint="cs"/>
          <w:sz w:val="16"/>
          <w:szCs w:val="16"/>
          <w:rtl/>
        </w:rPr>
        <w:t>,</w:t>
      </w:r>
      <w:r w:rsidRPr="0060573B">
        <w:rPr>
          <w:rFonts w:cs="Arial"/>
          <w:sz w:val="16"/>
          <w:szCs w:val="16"/>
          <w:rtl/>
        </w:rPr>
        <w:t xml:space="preserve"> ומשום כבודו התירו לו להחזיר הכלי ועושין לו תקנה בנתינת מים לתוכו מיהא כנ"ל</w:t>
      </w:r>
      <w:r w:rsidR="00A67E98">
        <w:rPr>
          <w:rFonts w:cs="Arial" w:hint="cs"/>
          <w:sz w:val="16"/>
          <w:szCs w:val="16"/>
          <w:rtl/>
        </w:rPr>
        <w:t xml:space="preserve">, </w:t>
      </w:r>
      <w:r w:rsidR="00A67E98" w:rsidRPr="00A67E98">
        <w:rPr>
          <w:rFonts w:cs="Arial" w:hint="cs"/>
          <w:b/>
          <w:bCs/>
          <w:sz w:val="16"/>
          <w:szCs w:val="16"/>
          <w:rtl/>
        </w:rPr>
        <w:t>רשב"א</w:t>
      </w:r>
      <w:r w:rsidR="00A67E98">
        <w:rPr>
          <w:rFonts w:cs="Arial" w:hint="cs"/>
          <w:sz w:val="16"/>
          <w:szCs w:val="16"/>
          <w:rtl/>
        </w:rPr>
        <w:t xml:space="preserve"> (שם ד"ה וכשהוא). </w:t>
      </w:r>
      <w:r w:rsidR="00A67E98" w:rsidRPr="00A67E98">
        <w:rPr>
          <w:rFonts w:cs="Arial" w:hint="cs"/>
          <w:sz w:val="16"/>
          <w:szCs w:val="16"/>
          <w:rtl/>
        </w:rPr>
        <w:t xml:space="preserve">וכ"כ </w:t>
      </w:r>
      <w:r w:rsidR="00A67E98" w:rsidRPr="00A67E98">
        <w:rPr>
          <w:rFonts w:cs="Arial" w:hint="cs"/>
          <w:b/>
          <w:bCs/>
          <w:sz w:val="16"/>
          <w:szCs w:val="16"/>
          <w:rtl/>
        </w:rPr>
        <w:t>רי"ו</w:t>
      </w:r>
      <w:r w:rsidR="00A67E98" w:rsidRPr="00A67E98">
        <w:rPr>
          <w:rFonts w:cs="Arial"/>
          <w:sz w:val="16"/>
          <w:szCs w:val="16"/>
          <w:rtl/>
        </w:rPr>
        <w:t xml:space="preserve"> </w:t>
      </w:r>
      <w:r w:rsidR="00A67E98" w:rsidRPr="00A67E98">
        <w:rPr>
          <w:rFonts w:cs="Arial" w:hint="cs"/>
          <w:sz w:val="16"/>
          <w:szCs w:val="16"/>
          <w:rtl/>
        </w:rPr>
        <w:t>(</w:t>
      </w:r>
      <w:r w:rsidR="00A67E98" w:rsidRPr="00A67E98">
        <w:rPr>
          <w:rFonts w:cs="Arial"/>
          <w:sz w:val="16"/>
          <w:szCs w:val="16"/>
          <w:rtl/>
        </w:rPr>
        <w:t>נ</w:t>
      </w:r>
      <w:r w:rsidR="00A67E98" w:rsidRPr="00A67E98">
        <w:rPr>
          <w:rFonts w:cs="Arial" w:hint="cs"/>
          <w:sz w:val="16"/>
          <w:szCs w:val="16"/>
          <w:rtl/>
        </w:rPr>
        <w:t>"</w:t>
      </w:r>
      <w:r w:rsidR="00A67E98" w:rsidRPr="00A67E98">
        <w:rPr>
          <w:rFonts w:cs="Arial"/>
          <w:sz w:val="16"/>
          <w:szCs w:val="16"/>
          <w:rtl/>
        </w:rPr>
        <w:t xml:space="preserve">ד </w:t>
      </w:r>
      <w:r w:rsidR="00A67E98" w:rsidRPr="00A67E98">
        <w:rPr>
          <w:rFonts w:cs="Arial" w:hint="cs"/>
          <w:sz w:val="16"/>
          <w:szCs w:val="16"/>
          <w:rtl/>
        </w:rPr>
        <w:t>ח"</w:t>
      </w:r>
      <w:r w:rsidR="00A67E98" w:rsidRPr="00A67E98">
        <w:rPr>
          <w:rFonts w:cs="Arial"/>
          <w:sz w:val="16"/>
          <w:szCs w:val="16"/>
          <w:rtl/>
        </w:rPr>
        <w:t xml:space="preserve">א כט ע"ד) </w:t>
      </w:r>
      <w:r w:rsidR="00A67E98" w:rsidRPr="00A67E98">
        <w:rPr>
          <w:rFonts w:cs="Arial" w:hint="cs"/>
          <w:sz w:val="16"/>
          <w:szCs w:val="16"/>
          <w:rtl/>
        </w:rPr>
        <w:t>ד</w:t>
      </w:r>
      <w:r w:rsidR="00A67E98" w:rsidRPr="00A67E98">
        <w:rPr>
          <w:rFonts w:cs="Arial"/>
          <w:sz w:val="16"/>
          <w:szCs w:val="16"/>
          <w:rtl/>
        </w:rPr>
        <w:t>כשהוא מחזירו פירוש כשמחזירו לצורך להוציא בו צואה או מי רגלים</w:t>
      </w:r>
      <w:r w:rsidR="00A67E98" w:rsidRPr="00A67E98">
        <w:rPr>
          <w:rFonts w:cs="Arial" w:hint="cs"/>
          <w:sz w:val="16"/>
          <w:szCs w:val="16"/>
          <w:rtl/>
        </w:rPr>
        <w:t>,</w:t>
      </w:r>
      <w:r w:rsidR="00A67E98" w:rsidRPr="00A67E98">
        <w:rPr>
          <w:rFonts w:cs="Arial"/>
          <w:sz w:val="16"/>
          <w:szCs w:val="16"/>
          <w:rtl/>
        </w:rPr>
        <w:t xml:space="preserve"> דאל</w:t>
      </w:r>
      <w:r w:rsidR="00A67E98" w:rsidRPr="00A67E98">
        <w:rPr>
          <w:rFonts w:cs="Arial" w:hint="cs"/>
          <w:sz w:val="16"/>
          <w:szCs w:val="16"/>
          <w:rtl/>
        </w:rPr>
        <w:t>"</w:t>
      </w:r>
      <w:r w:rsidR="00A67E98" w:rsidRPr="00A67E98">
        <w:rPr>
          <w:rFonts w:cs="Arial"/>
          <w:sz w:val="16"/>
          <w:szCs w:val="16"/>
          <w:rtl/>
        </w:rPr>
        <w:t>כ אסור לטלטלו שלא לצורך אפילו יש בתוכו מים דלא אמרו ככר אלא גבי מת</w:t>
      </w:r>
      <w:r w:rsidR="00A67E98" w:rsidRPr="00A67E98">
        <w:rPr>
          <w:rFonts w:cs="Arial" w:hint="cs"/>
          <w:sz w:val="16"/>
          <w:szCs w:val="16"/>
          <w:rtl/>
        </w:rPr>
        <w:t xml:space="preserve"> [עכ"ד].</w:t>
      </w:r>
      <w:r w:rsidR="00A67E98" w:rsidRPr="00A67E98">
        <w:rPr>
          <w:rFonts w:cs="Arial"/>
          <w:sz w:val="16"/>
          <w:szCs w:val="16"/>
          <w:rtl/>
        </w:rPr>
        <w:t xml:space="preserve"> וכתב הגאון </w:t>
      </w:r>
      <w:r w:rsidR="00A67E98" w:rsidRPr="00A67E98">
        <w:rPr>
          <w:rFonts w:cs="Arial"/>
          <w:b/>
          <w:bCs/>
          <w:sz w:val="16"/>
          <w:szCs w:val="16"/>
          <w:rtl/>
        </w:rPr>
        <w:t>מהר"י אבוהב</w:t>
      </w:r>
      <w:r w:rsidR="00A67E98" w:rsidRPr="00A67E98">
        <w:rPr>
          <w:rFonts w:cs="Arial"/>
          <w:sz w:val="16"/>
          <w:szCs w:val="16"/>
          <w:rtl/>
        </w:rPr>
        <w:t xml:space="preserve"> </w:t>
      </w:r>
      <w:r w:rsidR="00A67E98" w:rsidRPr="00A67E98">
        <w:rPr>
          <w:rFonts w:cs="Arial" w:hint="cs"/>
          <w:sz w:val="16"/>
          <w:szCs w:val="16"/>
          <w:rtl/>
        </w:rPr>
        <w:t>(</w:t>
      </w:r>
      <w:r w:rsidR="00A67E98" w:rsidRPr="00A67E98">
        <w:rPr>
          <w:rFonts w:cs="Arial"/>
          <w:sz w:val="16"/>
          <w:szCs w:val="16"/>
          <w:rtl/>
        </w:rPr>
        <w:t>סי</w:t>
      </w:r>
      <w:r w:rsidR="00A67E98" w:rsidRPr="00A67E98">
        <w:rPr>
          <w:rFonts w:cs="Arial" w:hint="cs"/>
          <w:sz w:val="16"/>
          <w:szCs w:val="16"/>
          <w:rtl/>
        </w:rPr>
        <w:t>'</w:t>
      </w:r>
      <w:r w:rsidR="00A67E98" w:rsidRPr="00A67E98">
        <w:rPr>
          <w:rFonts w:cs="Arial"/>
          <w:sz w:val="16"/>
          <w:szCs w:val="16"/>
          <w:rtl/>
        </w:rPr>
        <w:t xml:space="preserve"> תקיח</w:t>
      </w:r>
      <w:r w:rsidR="00A67E98" w:rsidRPr="00A67E98">
        <w:rPr>
          <w:rFonts w:cs="Arial" w:hint="cs"/>
          <w:sz w:val="16"/>
          <w:szCs w:val="16"/>
          <w:rtl/>
        </w:rPr>
        <w:t xml:space="preserve">) </w:t>
      </w:r>
      <w:r w:rsidR="00A67E98" w:rsidRPr="00A67E98">
        <w:rPr>
          <w:rFonts w:cs="Arial" w:hint="cs"/>
          <w:b/>
          <w:bCs/>
          <w:sz w:val="16"/>
          <w:szCs w:val="16"/>
          <w:rtl/>
        </w:rPr>
        <w:t>ד</w:t>
      </w:r>
      <w:r w:rsidR="00A67E98" w:rsidRPr="00A67E98">
        <w:rPr>
          <w:rFonts w:cs="Arial"/>
          <w:b/>
          <w:bCs/>
          <w:sz w:val="16"/>
          <w:szCs w:val="16"/>
          <w:rtl/>
        </w:rPr>
        <w:t>הרא"ש</w:t>
      </w:r>
      <w:r w:rsidR="00A67E98" w:rsidRPr="00A67E98">
        <w:rPr>
          <w:rFonts w:cs="Arial"/>
          <w:sz w:val="16"/>
          <w:szCs w:val="16"/>
          <w:rtl/>
        </w:rPr>
        <w:t xml:space="preserve"> (שם סי' א) לא חילק בזה</w:t>
      </w:r>
      <w:r w:rsidR="00A67E98" w:rsidRPr="00A67E98">
        <w:rPr>
          <w:rFonts w:cs="Arial" w:hint="cs"/>
          <w:sz w:val="16"/>
          <w:szCs w:val="16"/>
          <w:rtl/>
        </w:rPr>
        <w:t>,</w:t>
      </w:r>
      <w:r w:rsidR="00A67E98" w:rsidRPr="00A67E98">
        <w:rPr>
          <w:rFonts w:cs="Arial"/>
          <w:sz w:val="16"/>
          <w:szCs w:val="16"/>
          <w:rtl/>
        </w:rPr>
        <w:t xml:space="preserve"> ונראה שיש להשיב כי כשאמרו ככר או תינוק הוא לטלטל דבר שלא התירו לו הוצאה או הכנסה כגון גבי מת</w:t>
      </w:r>
      <w:r w:rsidR="00A67E98" w:rsidRPr="00A67E98">
        <w:rPr>
          <w:rFonts w:cs="Arial" w:hint="cs"/>
          <w:sz w:val="16"/>
          <w:szCs w:val="16"/>
          <w:rtl/>
        </w:rPr>
        <w:t>,</w:t>
      </w:r>
      <w:r w:rsidR="00A67E98" w:rsidRPr="00A67E98">
        <w:rPr>
          <w:rFonts w:cs="Arial"/>
          <w:sz w:val="16"/>
          <w:szCs w:val="16"/>
          <w:rtl/>
        </w:rPr>
        <w:t xml:space="preserve"> שהרי היה אסור לטלטלו אלא ע</w:t>
      </w:r>
      <w:r w:rsidR="00A67E98" w:rsidRPr="00A67E98">
        <w:rPr>
          <w:rFonts w:cs="Arial" w:hint="cs"/>
          <w:sz w:val="16"/>
          <w:szCs w:val="16"/>
          <w:rtl/>
        </w:rPr>
        <w:t>"</w:t>
      </w:r>
      <w:r w:rsidR="00A67E98" w:rsidRPr="00A67E98">
        <w:rPr>
          <w:rFonts w:cs="Arial"/>
          <w:sz w:val="16"/>
          <w:szCs w:val="16"/>
          <w:rtl/>
        </w:rPr>
        <w:t>י ככר או תינוק</w:t>
      </w:r>
      <w:r w:rsidR="00A67E98" w:rsidRPr="00A67E98">
        <w:rPr>
          <w:rFonts w:cs="Arial" w:hint="cs"/>
          <w:sz w:val="16"/>
          <w:szCs w:val="16"/>
          <w:rtl/>
        </w:rPr>
        <w:t>,</w:t>
      </w:r>
      <w:r w:rsidR="00A67E98" w:rsidRPr="00A67E98">
        <w:rPr>
          <w:rFonts w:cs="Arial"/>
          <w:sz w:val="16"/>
          <w:szCs w:val="16"/>
          <w:rtl/>
        </w:rPr>
        <w:t xml:space="preserve"> אבל בכאן כבר התירו משום גרף של רעי שהיה מאוס בעיניו להוציאו לאשפה ואם לא יתירו לו החזרה ע</w:t>
      </w:r>
      <w:r w:rsidR="00A67E98" w:rsidRPr="00A67E98">
        <w:rPr>
          <w:rFonts w:cs="Arial" w:hint="cs"/>
          <w:sz w:val="16"/>
          <w:szCs w:val="16"/>
          <w:rtl/>
        </w:rPr>
        <w:t>"</w:t>
      </w:r>
      <w:r w:rsidR="00A67E98" w:rsidRPr="00A67E98">
        <w:rPr>
          <w:rFonts w:cs="Arial"/>
          <w:sz w:val="16"/>
          <w:szCs w:val="16"/>
          <w:rtl/>
        </w:rPr>
        <w:t>י נתינת המים לא יוציאנו כדי שלא יפסיד את כליו כשיוציאם לאשפה ויניחם שם ע"כ</w:t>
      </w:r>
      <w:r w:rsidR="00A67E98">
        <w:rPr>
          <w:rFonts w:cs="Arial" w:hint="cs"/>
          <w:sz w:val="16"/>
          <w:szCs w:val="16"/>
          <w:rtl/>
        </w:rPr>
        <w:t xml:space="preserve">, </w:t>
      </w:r>
      <w:r w:rsidR="00A67E98" w:rsidRPr="00A67E98">
        <w:rPr>
          <w:rFonts w:cs="Arial" w:hint="cs"/>
          <w:b/>
          <w:bCs/>
          <w:sz w:val="16"/>
          <w:szCs w:val="16"/>
          <w:rtl/>
        </w:rPr>
        <w:t>ב"י</w:t>
      </w:r>
      <w:r>
        <w:rPr>
          <w:rFonts w:cs="Arial" w:hint="cs"/>
          <w:sz w:val="16"/>
          <w:szCs w:val="16"/>
          <w:rtl/>
        </w:rPr>
        <w:t>)</w:t>
      </w:r>
    </w:p>
    <w:p w14:paraId="518441D1" w14:textId="25CFE70C" w:rsidR="00A67E98" w:rsidRPr="00A67E98" w:rsidRDefault="00A67E98" w:rsidP="00434A6A">
      <w:pPr>
        <w:rPr>
          <w:u w:val="single"/>
          <w:rtl/>
        </w:rPr>
      </w:pPr>
      <w:r w:rsidRPr="00A67E98">
        <w:rPr>
          <w:rFonts w:hint="cs"/>
          <w:u w:val="single"/>
          <w:rtl/>
        </w:rPr>
        <w:t>נתינת מים בגרף כדי להתיר להחזירו לבית:</w:t>
      </w:r>
    </w:p>
    <w:p w14:paraId="7CD0D127" w14:textId="4DDBC710" w:rsidR="00B14BC7" w:rsidRPr="003113A6" w:rsidRDefault="003113A6" w:rsidP="00434A6A">
      <w:pPr>
        <w:pStyle w:val="aa"/>
        <w:numPr>
          <w:ilvl w:val="0"/>
          <w:numId w:val="3"/>
        </w:numPr>
        <w:rPr>
          <w:rFonts w:cs="Arial"/>
          <w:rtl/>
        </w:rPr>
      </w:pPr>
      <w:r w:rsidRPr="003113A6">
        <w:rPr>
          <w:rFonts w:cs="Arial" w:hint="cs"/>
          <w:rtl/>
        </w:rPr>
        <w:t xml:space="preserve">טור- </w:t>
      </w:r>
      <w:r w:rsidR="00B14BC7" w:rsidRPr="003113A6">
        <w:rPr>
          <w:rFonts w:cs="Arial"/>
          <w:rtl/>
        </w:rPr>
        <w:t>אע</w:t>
      </w:r>
      <w:r w:rsidR="007021B8">
        <w:rPr>
          <w:rFonts w:cs="Arial" w:hint="cs"/>
          <w:rtl/>
        </w:rPr>
        <w:t>"</w:t>
      </w:r>
      <w:r w:rsidR="00B14BC7" w:rsidRPr="003113A6">
        <w:rPr>
          <w:rFonts w:cs="Arial"/>
          <w:rtl/>
        </w:rPr>
        <w:t>פ שמותר להוציא גרף של רעי</w:t>
      </w:r>
      <w:r w:rsidR="008E6104">
        <w:rPr>
          <w:rFonts w:cs="Arial" w:hint="cs"/>
          <w:rtl/>
        </w:rPr>
        <w:t>,</w:t>
      </w:r>
      <w:r w:rsidR="00B14BC7" w:rsidRPr="003113A6">
        <w:rPr>
          <w:rFonts w:cs="Arial"/>
          <w:rtl/>
        </w:rPr>
        <w:t xml:space="preserve"> אסור להחזירו אא"כ נתן לתוכו מים</w:t>
      </w:r>
      <w:r w:rsidRPr="003113A6">
        <w:rPr>
          <w:rFonts w:cs="Arial" w:hint="cs"/>
          <w:rtl/>
        </w:rPr>
        <w:t>.</w:t>
      </w:r>
      <w:r w:rsidR="00B14BC7" w:rsidRPr="003113A6">
        <w:rPr>
          <w:rFonts w:cs="Arial"/>
          <w:rtl/>
        </w:rPr>
        <w:t xml:space="preserve"> </w:t>
      </w:r>
      <w:r w:rsidR="00A67E98" w:rsidRPr="00757BCD">
        <w:rPr>
          <w:rFonts w:cs="Arial" w:hint="cs"/>
          <w:color w:val="E36C0A" w:themeColor="accent6" w:themeShade="BF"/>
          <w:rtl/>
        </w:rPr>
        <w:t>(וכ"פ בשו"ע)</w:t>
      </w:r>
    </w:p>
    <w:p w14:paraId="56BD59D3"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392BE6D1" w14:textId="43C4EA4F" w:rsidR="000C6229" w:rsidRPr="005275DF" w:rsidRDefault="000C6229" w:rsidP="00434A6A">
      <w:pPr>
        <w:rPr>
          <w:rFonts w:asciiTheme="minorBidi" w:hAnsiTheme="minorBidi"/>
          <w:rtl/>
        </w:rPr>
      </w:pPr>
      <w:r w:rsidRPr="005275DF">
        <w:rPr>
          <w:rFonts w:asciiTheme="minorBidi" w:hAnsiTheme="minorBidi"/>
          <w:rtl/>
        </w:rPr>
        <w:t>אף על פי שמותר להוציא גרף של רעי ועביט</w:t>
      </w:r>
      <w:r w:rsidR="00AE6881">
        <w:rPr>
          <w:rStyle w:val="a9"/>
          <w:rFonts w:asciiTheme="minorBidi" w:hAnsiTheme="minorBidi"/>
          <w:rtl/>
        </w:rPr>
        <w:footnoteReference w:id="1664"/>
      </w:r>
      <w:r w:rsidRPr="005275DF">
        <w:rPr>
          <w:rFonts w:asciiTheme="minorBidi" w:hAnsiTheme="minorBidi"/>
          <w:rtl/>
        </w:rPr>
        <w:t xml:space="preserve"> של מי רגלים, אסור להחזירם</w:t>
      </w:r>
      <w:r w:rsidR="00AE6881">
        <w:rPr>
          <w:rStyle w:val="a9"/>
          <w:rFonts w:asciiTheme="minorBidi" w:hAnsiTheme="minorBidi"/>
          <w:rtl/>
        </w:rPr>
        <w:footnoteReference w:id="1665"/>
      </w:r>
      <w:r w:rsidRPr="005275DF">
        <w:rPr>
          <w:rFonts w:asciiTheme="minorBidi" w:hAnsiTheme="minorBidi"/>
          <w:rtl/>
        </w:rPr>
        <w:t>, א</w:t>
      </w:r>
      <w:r w:rsidR="0060573B">
        <w:rPr>
          <w:rFonts w:asciiTheme="minorBidi" w:hAnsiTheme="minorBidi" w:hint="cs"/>
          <w:rtl/>
        </w:rPr>
        <w:t>לא אם כן</w:t>
      </w:r>
      <w:r w:rsidR="00AE6881">
        <w:rPr>
          <w:rStyle w:val="a9"/>
          <w:rFonts w:asciiTheme="minorBidi" w:hAnsiTheme="minorBidi"/>
          <w:rtl/>
        </w:rPr>
        <w:footnoteReference w:id="1666"/>
      </w:r>
      <w:r w:rsidRPr="005275DF">
        <w:rPr>
          <w:rFonts w:asciiTheme="minorBidi" w:hAnsiTheme="minorBidi"/>
          <w:rtl/>
        </w:rPr>
        <w:t xml:space="preserve"> נתן לתוכם מים</w:t>
      </w:r>
      <w:r w:rsidR="00AE6881">
        <w:rPr>
          <w:rStyle w:val="a9"/>
          <w:rFonts w:asciiTheme="minorBidi" w:hAnsiTheme="minorBidi"/>
          <w:rtl/>
        </w:rPr>
        <w:footnoteReference w:id="1667"/>
      </w:r>
      <w:r w:rsidRPr="005275DF">
        <w:rPr>
          <w:rFonts w:asciiTheme="minorBidi" w:hAnsiTheme="minorBidi"/>
          <w:rtl/>
        </w:rPr>
        <w:t xml:space="preserve">. </w:t>
      </w:r>
    </w:p>
    <w:p w14:paraId="60370205" w14:textId="77777777" w:rsidR="00705CBF" w:rsidRPr="005275DF" w:rsidRDefault="00705CBF" w:rsidP="00434A6A">
      <w:pPr>
        <w:rPr>
          <w:rFonts w:asciiTheme="minorBidi" w:hAnsiTheme="minorBidi"/>
          <w:rtl/>
        </w:rPr>
      </w:pPr>
    </w:p>
    <w:p w14:paraId="6FE8B9D8" w14:textId="66950FF3" w:rsidR="000C6229" w:rsidRDefault="000C6229" w:rsidP="00434A6A">
      <w:pPr>
        <w:pStyle w:val="2"/>
        <w:rPr>
          <w:rtl/>
        </w:rPr>
      </w:pPr>
      <w:r w:rsidRPr="005275DF">
        <w:rPr>
          <w:rtl/>
        </w:rPr>
        <w:t>סעיף לו</w:t>
      </w:r>
      <w:r w:rsidR="00FB3622">
        <w:rPr>
          <w:rFonts w:hint="cs"/>
          <w:rtl/>
        </w:rPr>
        <w:t>:</w:t>
      </w:r>
      <w:r w:rsidR="00A55D22">
        <w:rPr>
          <w:rFonts w:hint="cs"/>
          <w:rtl/>
        </w:rPr>
        <w:t xml:space="preserve"> עשיית גרף של רעי לכתחילה.</w:t>
      </w:r>
    </w:p>
    <w:p w14:paraId="3F044085" w14:textId="77777777" w:rsidR="005F4DD7" w:rsidRDefault="005F4DD7" w:rsidP="00434A6A">
      <w:pPr>
        <w:rPr>
          <w:rFonts w:cs="Arial"/>
          <w:rtl/>
        </w:rPr>
      </w:pPr>
      <w:r w:rsidRPr="00F86DF7">
        <w:rPr>
          <w:rFonts w:cs="Arial" w:hint="cs"/>
          <w:b/>
          <w:bCs/>
          <w:rtl/>
        </w:rPr>
        <w:t xml:space="preserve">ביצה </w:t>
      </w:r>
      <w:r w:rsidRPr="00F86DF7">
        <w:rPr>
          <w:rFonts w:cs="Arial" w:hint="cs"/>
          <w:b/>
          <w:bCs/>
          <w:sz w:val="16"/>
          <w:szCs w:val="16"/>
          <w:rtl/>
        </w:rPr>
        <w:t>(פ</w:t>
      </w:r>
      <w:r>
        <w:rPr>
          <w:rFonts w:cs="Arial" w:hint="cs"/>
          <w:b/>
          <w:bCs/>
          <w:sz w:val="16"/>
          <w:szCs w:val="16"/>
          <w:rtl/>
        </w:rPr>
        <w:t>"ב</w:t>
      </w:r>
      <w:r w:rsidRPr="00F86DF7">
        <w:rPr>
          <w:rFonts w:cs="Arial" w:hint="cs"/>
          <w:b/>
          <w:bCs/>
          <w:sz w:val="16"/>
          <w:szCs w:val="16"/>
          <w:rtl/>
        </w:rPr>
        <w:t>)</w:t>
      </w:r>
      <w:r w:rsidRPr="00F86DF7">
        <w:rPr>
          <w:rFonts w:cs="Arial" w:hint="cs"/>
          <w:b/>
          <w:bCs/>
          <w:rtl/>
        </w:rPr>
        <w:t xml:space="preserve"> </w:t>
      </w:r>
      <w:r>
        <w:rPr>
          <w:rFonts w:cs="Arial" w:hint="cs"/>
          <w:b/>
          <w:bCs/>
          <w:rtl/>
        </w:rPr>
        <w:t>כא</w:t>
      </w:r>
      <w:r w:rsidRPr="00F86DF7">
        <w:rPr>
          <w:rFonts w:cs="Arial" w:hint="cs"/>
          <w:b/>
          <w:bCs/>
          <w:rtl/>
        </w:rPr>
        <w:t xml:space="preserve"> ע"</w:t>
      </w:r>
      <w:r>
        <w:rPr>
          <w:rFonts w:cs="Arial" w:hint="cs"/>
          <w:b/>
          <w:bCs/>
          <w:rtl/>
        </w:rPr>
        <w:t>א</w:t>
      </w:r>
      <w:r w:rsidRPr="00F86DF7">
        <w:rPr>
          <w:rFonts w:cs="Arial" w:hint="cs"/>
          <w:b/>
          <w:bCs/>
          <w:rtl/>
        </w:rPr>
        <w:t>:</w:t>
      </w:r>
      <w:r>
        <w:rPr>
          <w:rFonts w:cs="Arial" w:hint="cs"/>
          <w:rtl/>
        </w:rPr>
        <w:t xml:space="preserve"> </w:t>
      </w:r>
      <w:r w:rsidRPr="007C202D">
        <w:rPr>
          <w:rFonts w:cs="Arial"/>
          <w:u w:val="single"/>
          <w:rtl/>
        </w:rPr>
        <w:t>בעו מניה מרב הונא</w:t>
      </w:r>
      <w:r w:rsidRPr="007C202D">
        <w:rPr>
          <w:rFonts w:cs="Arial"/>
          <w:rtl/>
        </w:rPr>
        <w:t xml:space="preserve">: הני בני באגא דרמו עלייהו קמחא דבני חילא, מהו לאפותה ביום טוב? </w:t>
      </w:r>
      <w:r w:rsidRPr="007C202D">
        <w:rPr>
          <w:rFonts w:cs="Arial"/>
          <w:u w:val="single"/>
          <w:rtl/>
        </w:rPr>
        <w:t xml:space="preserve">אמר </w:t>
      </w:r>
      <w:r w:rsidRPr="007C202D">
        <w:rPr>
          <w:rFonts w:cs="Arial" w:hint="cs"/>
          <w:u w:val="single"/>
          <w:rtl/>
        </w:rPr>
        <w:t>להו</w:t>
      </w:r>
      <w:r>
        <w:rPr>
          <w:rFonts w:cs="Arial" w:hint="cs"/>
          <w:rtl/>
        </w:rPr>
        <w:t>:</w:t>
      </w:r>
      <w:r w:rsidRPr="007C202D">
        <w:rPr>
          <w:rFonts w:cs="Arial"/>
          <w:rtl/>
        </w:rPr>
        <w:t xml:space="preserve"> חזינא, אי יהבי ליה רפתא לינוקא ולא קפדי - כל חדא וחדא חזיא לינוקא, ושרי. ואי לאו - אסור.</w:t>
      </w:r>
      <w:r>
        <w:rPr>
          <w:rFonts w:cs="Arial" w:hint="cs"/>
          <w:rtl/>
        </w:rPr>
        <w:t>..</w:t>
      </w:r>
      <w:r w:rsidRPr="007C202D">
        <w:rPr>
          <w:rFonts w:cs="Arial"/>
          <w:rtl/>
        </w:rPr>
        <w:t xml:space="preserve"> ופליגא דרבי יהושע בן לוי, </w:t>
      </w:r>
      <w:r w:rsidRPr="007C202D">
        <w:rPr>
          <w:rFonts w:cs="Arial"/>
          <w:u w:val="single"/>
          <w:rtl/>
        </w:rPr>
        <w:t>דאמר רבי יהושע בן לוי</w:t>
      </w:r>
      <w:r w:rsidRPr="00A55D22">
        <w:rPr>
          <w:rFonts w:cs="Arial"/>
          <w:rtl/>
        </w:rPr>
        <w:t xml:space="preserve">: מזמנין את הנכרי בשבת, ואין מזמנין את הנכרי ביום טוב, גזרה שמא ירבה בשבילו. </w:t>
      </w:r>
      <w:r w:rsidRPr="007C202D">
        <w:rPr>
          <w:rFonts w:cs="Arial"/>
          <w:u w:val="single"/>
          <w:rtl/>
        </w:rPr>
        <w:t>רב אחא בר יעקב אמר</w:t>
      </w:r>
      <w:r w:rsidRPr="00A55D22">
        <w:rPr>
          <w:rFonts w:cs="Arial"/>
          <w:rtl/>
        </w:rPr>
        <w:t>: אפילו בשבת נמי לא, משום שיורי כוסות</w:t>
      </w:r>
      <w:r>
        <w:rPr>
          <w:rStyle w:val="a9"/>
          <w:rFonts w:cs="Arial"/>
          <w:rtl/>
        </w:rPr>
        <w:footnoteReference w:id="1668"/>
      </w:r>
      <w:r w:rsidRPr="00A55D22">
        <w:rPr>
          <w:rFonts w:cs="Arial"/>
          <w:rtl/>
        </w:rPr>
        <w:t>.</w:t>
      </w:r>
      <w:r w:rsidRPr="00A55D22">
        <w:rPr>
          <w:rtl/>
        </w:rPr>
        <w:t xml:space="preserve"> </w:t>
      </w:r>
      <w:r w:rsidRPr="00A55D22">
        <w:rPr>
          <w:rFonts w:cs="Arial"/>
          <w:rtl/>
        </w:rPr>
        <w:t>אי הכי דידן נמי</w:t>
      </w:r>
      <w:r>
        <w:rPr>
          <w:rStyle w:val="a9"/>
          <w:rFonts w:cs="Arial"/>
          <w:rtl/>
        </w:rPr>
        <w:footnoteReference w:id="1669"/>
      </w:r>
      <w:r w:rsidRPr="00A55D22">
        <w:rPr>
          <w:rFonts w:cs="Arial"/>
          <w:rtl/>
        </w:rPr>
        <w:t>! דידן חזו לתרנגולין. דידהו נמי חזו לתרנגולין! דידהו איסורי הנאה נינהו. ולטלטלינהו אגב כסא, מי לא אמר רבא: מטלטלין כנונא</w:t>
      </w:r>
      <w:r>
        <w:rPr>
          <w:rStyle w:val="a9"/>
          <w:rFonts w:cs="Arial"/>
          <w:rtl/>
        </w:rPr>
        <w:footnoteReference w:id="1670"/>
      </w:r>
      <w:r w:rsidRPr="00A55D22">
        <w:rPr>
          <w:rFonts w:cs="Arial"/>
          <w:rtl/>
        </w:rPr>
        <w:t xml:space="preserve"> אגב קטמיה, אף על גב דאיכא עליה שברי עצים</w:t>
      </w:r>
      <w:r>
        <w:rPr>
          <w:rStyle w:val="a9"/>
          <w:rFonts w:cs="Arial"/>
          <w:rtl/>
        </w:rPr>
        <w:footnoteReference w:id="1671"/>
      </w:r>
      <w:r w:rsidRPr="00A55D22">
        <w:rPr>
          <w:rFonts w:cs="Arial"/>
          <w:rtl/>
        </w:rPr>
        <w:t>! התם לאו איסורי הנאה נינהו, הכא איסורי הנאה נינהו</w:t>
      </w:r>
      <w:r>
        <w:rPr>
          <w:rStyle w:val="a9"/>
          <w:rFonts w:cs="Arial"/>
          <w:rtl/>
        </w:rPr>
        <w:footnoteReference w:id="1672"/>
      </w:r>
      <w:r w:rsidRPr="00A55D22">
        <w:rPr>
          <w:rFonts w:cs="Arial"/>
          <w:rtl/>
        </w:rPr>
        <w:t xml:space="preserve">. </w:t>
      </w:r>
      <w:r w:rsidRPr="007C202D">
        <w:rPr>
          <w:rFonts w:cs="Arial"/>
          <w:u w:val="single"/>
          <w:rtl/>
        </w:rPr>
        <w:t>אמר ליה רב אחא מדפתי לרבינא</w:t>
      </w:r>
      <w:r w:rsidRPr="00A55D22">
        <w:rPr>
          <w:rFonts w:cs="Arial"/>
          <w:rtl/>
        </w:rPr>
        <w:t xml:space="preserve">: ולהוי כגרף של רעי! </w:t>
      </w:r>
      <w:r w:rsidRPr="007C202D">
        <w:rPr>
          <w:rFonts w:cs="Arial"/>
          <w:u w:val="single"/>
          <w:rtl/>
        </w:rPr>
        <w:t>אמר ליה</w:t>
      </w:r>
      <w:r w:rsidRPr="00A55D22">
        <w:rPr>
          <w:rFonts w:cs="Arial"/>
          <w:rtl/>
        </w:rPr>
        <w:t>: וכי עושין גרף של רעי לכתחלה</w:t>
      </w:r>
      <w:r>
        <w:rPr>
          <w:rStyle w:val="a9"/>
          <w:rFonts w:cs="Arial"/>
          <w:rtl/>
        </w:rPr>
        <w:footnoteReference w:id="1673"/>
      </w:r>
      <w:r w:rsidRPr="00A55D22">
        <w:rPr>
          <w:rFonts w:cs="Arial"/>
          <w:rtl/>
        </w:rPr>
        <w:t>?</w:t>
      </w:r>
    </w:p>
    <w:p w14:paraId="58BF0875" w14:textId="407FF307" w:rsidR="00A55D22" w:rsidRDefault="00A55D22" w:rsidP="00434A6A">
      <w:pPr>
        <w:rPr>
          <w:rFonts w:cs="Arial"/>
          <w:rtl/>
        </w:rPr>
      </w:pPr>
      <w:r w:rsidRPr="00F86DF7">
        <w:rPr>
          <w:rFonts w:cs="Arial" w:hint="cs"/>
          <w:b/>
          <w:bCs/>
          <w:rtl/>
        </w:rPr>
        <w:t xml:space="preserve">ביצה </w:t>
      </w:r>
      <w:r w:rsidRPr="00F86DF7">
        <w:rPr>
          <w:rFonts w:cs="Arial" w:hint="cs"/>
          <w:b/>
          <w:bCs/>
          <w:sz w:val="16"/>
          <w:szCs w:val="16"/>
          <w:rtl/>
        </w:rPr>
        <w:t>(פ' משילין)</w:t>
      </w:r>
      <w:r w:rsidRPr="00F86DF7">
        <w:rPr>
          <w:rFonts w:cs="Arial" w:hint="cs"/>
          <w:b/>
          <w:bCs/>
          <w:rtl/>
        </w:rPr>
        <w:t xml:space="preserve"> לו ע"ב: </w:t>
      </w:r>
      <w:r w:rsidRPr="00F86DF7">
        <w:rPr>
          <w:rFonts w:cs="Arial"/>
          <w:rtl/>
        </w:rPr>
        <w:t>ונותנין כלי תחת הדלף בשבת. תנא אם נתמלא הכלי - שופך</w:t>
      </w:r>
      <w:r>
        <w:rPr>
          <w:rStyle w:val="a9"/>
          <w:rFonts w:cs="Arial"/>
          <w:rtl/>
        </w:rPr>
        <w:footnoteReference w:id="1674"/>
      </w:r>
      <w:r w:rsidRPr="00F86DF7">
        <w:rPr>
          <w:rFonts w:cs="Arial"/>
          <w:rtl/>
        </w:rPr>
        <w:t xml:space="preserve"> ושונה</w:t>
      </w:r>
      <w:r>
        <w:rPr>
          <w:rStyle w:val="a9"/>
          <w:rFonts w:cs="Arial"/>
          <w:rtl/>
        </w:rPr>
        <w:footnoteReference w:id="1675"/>
      </w:r>
      <w:r w:rsidRPr="00F86DF7">
        <w:rPr>
          <w:rFonts w:cs="Arial"/>
          <w:rtl/>
        </w:rPr>
        <w:t xml:space="preserve"> ואינו נמנע. בי רחיא דאביי דלוף</w:t>
      </w:r>
      <w:r>
        <w:rPr>
          <w:rStyle w:val="a9"/>
          <w:rFonts w:cs="Arial"/>
          <w:rtl/>
        </w:rPr>
        <w:footnoteReference w:id="1676"/>
      </w:r>
      <w:r w:rsidRPr="00F86DF7">
        <w:rPr>
          <w:rFonts w:cs="Arial"/>
          <w:rtl/>
        </w:rPr>
        <w:t>, אתא לקמיה דרבה. אמר ליה: זיל עייליה לפוריך להתם</w:t>
      </w:r>
      <w:r>
        <w:rPr>
          <w:rStyle w:val="a9"/>
          <w:rFonts w:cs="Arial"/>
          <w:rtl/>
        </w:rPr>
        <w:footnoteReference w:id="1677"/>
      </w:r>
      <w:r w:rsidRPr="00F86DF7">
        <w:rPr>
          <w:rFonts w:cs="Arial"/>
          <w:rtl/>
        </w:rPr>
        <w:t>, דלהוי כגרף של רעי, ואפקיה. יתיב אביי וקא קשיא ליה: וכי עושין גרף של רעי לכתחלה</w:t>
      </w:r>
      <w:r>
        <w:rPr>
          <w:rStyle w:val="a9"/>
          <w:rFonts w:cs="Arial"/>
          <w:rtl/>
        </w:rPr>
        <w:footnoteReference w:id="1678"/>
      </w:r>
      <w:r w:rsidRPr="00F86DF7">
        <w:rPr>
          <w:rFonts w:cs="Arial"/>
          <w:rtl/>
        </w:rPr>
        <w:t>? אדהכי נפל בי רחיא דאביי. אמר: תיתי לי, דעברי אדמר</w:t>
      </w:r>
      <w:r>
        <w:rPr>
          <w:rStyle w:val="a9"/>
          <w:rFonts w:cs="Arial"/>
          <w:rtl/>
        </w:rPr>
        <w:footnoteReference w:id="1679"/>
      </w:r>
      <w:r w:rsidRPr="00F86DF7">
        <w:rPr>
          <w:rFonts w:cs="Arial"/>
          <w:rtl/>
        </w:rPr>
        <w:t xml:space="preserve">. </w:t>
      </w:r>
      <w:r w:rsidR="005F4DD7">
        <w:rPr>
          <w:rFonts w:cs="Arial" w:hint="cs"/>
          <w:sz w:val="16"/>
          <w:szCs w:val="16"/>
          <w:rtl/>
        </w:rPr>
        <w:t>(</w:t>
      </w:r>
      <w:r w:rsidR="005F4DD7" w:rsidRPr="005F4DD7">
        <w:rPr>
          <w:rFonts w:cs="Arial"/>
          <w:sz w:val="16"/>
          <w:szCs w:val="16"/>
          <w:rtl/>
        </w:rPr>
        <w:t>וכתבוהו הרי"ף (כ.) והרא"ש (סי' א).</w:t>
      </w:r>
      <w:r w:rsidR="005F4DD7">
        <w:rPr>
          <w:rFonts w:cs="Arial" w:hint="cs"/>
          <w:sz w:val="16"/>
          <w:szCs w:val="16"/>
          <w:rtl/>
        </w:rPr>
        <w:t>.</w:t>
      </w:r>
      <w:r w:rsidR="005F4DD7" w:rsidRPr="005F4DD7">
        <w:rPr>
          <w:rFonts w:cs="Arial"/>
          <w:sz w:val="16"/>
          <w:szCs w:val="16"/>
          <w:rtl/>
        </w:rPr>
        <w:t>. ומשמע דהלכתא כרבה</w:t>
      </w:r>
      <w:r w:rsidR="005F4DD7">
        <w:rPr>
          <w:rFonts w:cs="Arial" w:hint="cs"/>
          <w:sz w:val="16"/>
          <w:szCs w:val="16"/>
          <w:rtl/>
        </w:rPr>
        <w:t>,</w:t>
      </w:r>
      <w:r w:rsidR="005F4DD7" w:rsidRPr="005F4DD7">
        <w:rPr>
          <w:rFonts w:cs="Arial"/>
          <w:sz w:val="16"/>
          <w:szCs w:val="16"/>
          <w:rtl/>
        </w:rPr>
        <w:t xml:space="preserve"> מדאמר אביי תיתי לי דעברי אדמר</w:t>
      </w:r>
      <w:r w:rsidR="005F4DD7" w:rsidRPr="005F4DD7">
        <w:rPr>
          <w:rFonts w:cs="Arial" w:hint="cs"/>
          <w:sz w:val="16"/>
          <w:szCs w:val="16"/>
          <w:rtl/>
        </w:rPr>
        <w:t>,</w:t>
      </w:r>
      <w:r w:rsidR="005F4DD7" w:rsidRPr="005F4DD7">
        <w:rPr>
          <w:rFonts w:cs="Arial"/>
          <w:sz w:val="16"/>
          <w:szCs w:val="16"/>
          <w:rtl/>
        </w:rPr>
        <w:t xml:space="preserve"> אלמא חזר והודה לו</w:t>
      </w:r>
      <w:r w:rsidR="005F4DD7" w:rsidRPr="005F4DD7">
        <w:rPr>
          <w:rFonts w:cs="Arial" w:hint="cs"/>
          <w:sz w:val="16"/>
          <w:szCs w:val="16"/>
          <w:rtl/>
        </w:rPr>
        <w:t>.</w:t>
      </w:r>
      <w:r w:rsidR="005F4DD7" w:rsidRPr="005F4DD7">
        <w:rPr>
          <w:rFonts w:cs="Arial"/>
          <w:sz w:val="16"/>
          <w:szCs w:val="16"/>
          <w:rtl/>
        </w:rPr>
        <w:t xml:space="preserve"> ואע</w:t>
      </w:r>
      <w:r w:rsidR="005F4DD7" w:rsidRPr="005F4DD7">
        <w:rPr>
          <w:rFonts w:cs="Arial" w:hint="cs"/>
          <w:sz w:val="16"/>
          <w:szCs w:val="16"/>
          <w:rtl/>
        </w:rPr>
        <w:t>"</w:t>
      </w:r>
      <w:r w:rsidR="005F4DD7" w:rsidRPr="005F4DD7">
        <w:rPr>
          <w:rFonts w:cs="Arial"/>
          <w:sz w:val="16"/>
          <w:szCs w:val="16"/>
          <w:rtl/>
        </w:rPr>
        <w:t>ג דבפ</w:t>
      </w:r>
      <w:r w:rsidR="005F4DD7" w:rsidRPr="005F4DD7">
        <w:rPr>
          <w:rFonts w:cs="Arial" w:hint="cs"/>
          <w:sz w:val="16"/>
          <w:szCs w:val="16"/>
          <w:rtl/>
        </w:rPr>
        <w:t>"</w:t>
      </w:r>
      <w:r w:rsidR="005F4DD7" w:rsidRPr="005F4DD7">
        <w:rPr>
          <w:rFonts w:cs="Arial"/>
          <w:sz w:val="16"/>
          <w:szCs w:val="16"/>
          <w:rtl/>
        </w:rPr>
        <w:t>ב (כא:) אמרינן דאין עושין גרף של רעי לכתחלה כתבו התוספות</w:t>
      </w:r>
      <w:r w:rsidR="00B854E3">
        <w:rPr>
          <w:rStyle w:val="a9"/>
          <w:rFonts w:cs="Arial"/>
          <w:sz w:val="16"/>
          <w:szCs w:val="16"/>
          <w:rtl/>
        </w:rPr>
        <w:footnoteReference w:id="1680"/>
      </w:r>
      <w:r w:rsidR="005F4DD7" w:rsidRPr="005F4DD7">
        <w:rPr>
          <w:rFonts w:cs="Arial"/>
          <w:sz w:val="16"/>
          <w:szCs w:val="16"/>
          <w:rtl/>
        </w:rPr>
        <w:t xml:space="preserve"> (לו: ד"ה תיתי) דשאני הכא דאיכא פסידא ומשום הכי שרי</w:t>
      </w:r>
      <w:r w:rsidR="005F4DD7" w:rsidRPr="005F4DD7">
        <w:rPr>
          <w:rFonts w:cs="Arial" w:hint="cs"/>
          <w:sz w:val="16"/>
          <w:szCs w:val="16"/>
          <w:rtl/>
        </w:rPr>
        <w:t>.</w:t>
      </w:r>
      <w:r w:rsidR="005F4DD7" w:rsidRPr="005F4DD7">
        <w:rPr>
          <w:rFonts w:cs="Arial"/>
          <w:sz w:val="16"/>
          <w:szCs w:val="16"/>
          <w:rtl/>
        </w:rPr>
        <w:t xml:space="preserve"> וכ</w:t>
      </w:r>
      <w:r w:rsidR="005F4DD7" w:rsidRPr="005F4DD7">
        <w:rPr>
          <w:rFonts w:cs="Arial" w:hint="cs"/>
          <w:sz w:val="16"/>
          <w:szCs w:val="16"/>
          <w:rtl/>
        </w:rPr>
        <w:t>"</w:t>
      </w:r>
      <w:r w:rsidR="005F4DD7" w:rsidRPr="005F4DD7">
        <w:rPr>
          <w:rFonts w:cs="Arial"/>
          <w:sz w:val="16"/>
          <w:szCs w:val="16"/>
          <w:rtl/>
        </w:rPr>
        <w:t>כ ה</w:t>
      </w:r>
      <w:r w:rsidR="005F4DD7" w:rsidRPr="005F4DD7">
        <w:rPr>
          <w:rFonts w:cs="Arial" w:hint="cs"/>
          <w:sz w:val="16"/>
          <w:szCs w:val="16"/>
          <w:rtl/>
        </w:rPr>
        <w:t>ה"מ</w:t>
      </w:r>
      <w:r w:rsidR="005F4DD7" w:rsidRPr="005F4DD7">
        <w:rPr>
          <w:rFonts w:cs="Arial"/>
          <w:sz w:val="16"/>
          <w:szCs w:val="16"/>
          <w:rtl/>
        </w:rPr>
        <w:t xml:space="preserve"> בפכ"ה (הכ"ד) בשם המפרשים (ראב"ד שם)</w:t>
      </w:r>
      <w:r w:rsidR="005F4DD7" w:rsidRPr="005F4DD7">
        <w:rPr>
          <w:rFonts w:cs="Arial" w:hint="cs"/>
          <w:sz w:val="16"/>
          <w:szCs w:val="16"/>
          <w:rtl/>
        </w:rPr>
        <w:t>.</w:t>
      </w:r>
      <w:r w:rsidR="005F4DD7" w:rsidRPr="005F4DD7">
        <w:rPr>
          <w:rFonts w:cs="Arial"/>
          <w:sz w:val="16"/>
          <w:szCs w:val="16"/>
          <w:rtl/>
        </w:rPr>
        <w:t xml:space="preserve"> והרא"ש בתשובה (כלל כב סי' ח דרך ח) גבי חילוקי המוקצה חילק ביניהם בענין אחר</w:t>
      </w:r>
      <w:r w:rsidR="005F4DD7">
        <w:rPr>
          <w:rFonts w:cs="Arial" w:hint="cs"/>
          <w:sz w:val="16"/>
          <w:szCs w:val="16"/>
          <w:rtl/>
        </w:rPr>
        <w:t>,</w:t>
      </w:r>
      <w:r w:rsidR="005F4DD7" w:rsidRPr="005F4DD7">
        <w:rPr>
          <w:rFonts w:cs="Arial"/>
          <w:sz w:val="16"/>
          <w:szCs w:val="16"/>
          <w:rtl/>
        </w:rPr>
        <w:t xml:space="preserve"> דהא ודאי אסור לעשות גרף של רעי לכתחלה</w:t>
      </w:r>
      <w:r w:rsidR="005F4DD7" w:rsidRPr="005F4DD7">
        <w:rPr>
          <w:rFonts w:cs="Arial" w:hint="cs"/>
          <w:sz w:val="16"/>
          <w:szCs w:val="16"/>
          <w:rtl/>
        </w:rPr>
        <w:t>,</w:t>
      </w:r>
      <w:r w:rsidR="005F4DD7" w:rsidRPr="005F4DD7">
        <w:rPr>
          <w:rFonts w:cs="Arial"/>
          <w:sz w:val="16"/>
          <w:szCs w:val="16"/>
          <w:rtl/>
        </w:rPr>
        <w:t xml:space="preserve"> מיהו הני מילי כשעושה הגרף בידים כי ההיא דפ</w:t>
      </w:r>
      <w:r w:rsidR="005F4DD7" w:rsidRPr="005F4DD7">
        <w:rPr>
          <w:rFonts w:cs="Arial" w:hint="cs"/>
          <w:sz w:val="16"/>
          <w:szCs w:val="16"/>
          <w:rtl/>
        </w:rPr>
        <w:t>"</w:t>
      </w:r>
      <w:r w:rsidR="005F4DD7" w:rsidRPr="005F4DD7">
        <w:rPr>
          <w:rFonts w:cs="Arial"/>
          <w:sz w:val="16"/>
          <w:szCs w:val="16"/>
          <w:rtl/>
        </w:rPr>
        <w:t>ב</w:t>
      </w:r>
      <w:r w:rsidR="005F4DD7" w:rsidRPr="005F4DD7">
        <w:rPr>
          <w:rFonts w:cs="Arial" w:hint="cs"/>
          <w:sz w:val="16"/>
          <w:szCs w:val="16"/>
          <w:rtl/>
        </w:rPr>
        <w:t>,</w:t>
      </w:r>
      <w:r w:rsidR="005F4DD7" w:rsidRPr="005F4DD7">
        <w:rPr>
          <w:rFonts w:cs="Arial"/>
          <w:sz w:val="16"/>
          <w:szCs w:val="16"/>
          <w:rtl/>
        </w:rPr>
        <w:t xml:space="preserve"> אבל כשהגרף נעשה מאליו כי עובדא דריחייא שרי לעיוליה לפוריא להתם</w:t>
      </w:r>
      <w:r w:rsidR="005F4DD7" w:rsidRPr="005F4DD7">
        <w:rPr>
          <w:rFonts w:cs="Arial" w:hint="cs"/>
          <w:sz w:val="16"/>
          <w:szCs w:val="16"/>
          <w:rtl/>
        </w:rPr>
        <w:t>.</w:t>
      </w:r>
      <w:r w:rsidR="005F4DD7" w:rsidRPr="005F4DD7">
        <w:rPr>
          <w:rFonts w:cs="Arial"/>
          <w:sz w:val="16"/>
          <w:szCs w:val="16"/>
          <w:rtl/>
        </w:rPr>
        <w:t xml:space="preserve"> וכן כתבו התוספות (שם) בחד תירוצא</w:t>
      </w:r>
      <w:r w:rsidR="005F4DD7" w:rsidRPr="005F4DD7">
        <w:rPr>
          <w:rFonts w:cs="Arial" w:hint="cs"/>
          <w:sz w:val="16"/>
          <w:szCs w:val="16"/>
          <w:rtl/>
        </w:rPr>
        <w:t>.</w:t>
      </w:r>
      <w:r w:rsidR="005F4DD7" w:rsidRPr="005F4DD7">
        <w:rPr>
          <w:rFonts w:cs="Arial"/>
          <w:sz w:val="16"/>
          <w:szCs w:val="16"/>
          <w:rtl/>
        </w:rPr>
        <w:t xml:space="preserve"> ונתבאר יפה בדברי הג</w:t>
      </w:r>
      <w:r w:rsidR="005F4DD7" w:rsidRPr="005F4DD7">
        <w:rPr>
          <w:rFonts w:cs="Arial" w:hint="cs"/>
          <w:sz w:val="16"/>
          <w:szCs w:val="16"/>
          <w:rtl/>
        </w:rPr>
        <w:t>"</w:t>
      </w:r>
      <w:r w:rsidR="005F4DD7" w:rsidRPr="005F4DD7">
        <w:rPr>
          <w:rFonts w:cs="Arial"/>
          <w:sz w:val="16"/>
          <w:szCs w:val="16"/>
          <w:rtl/>
        </w:rPr>
        <w:t>א</w:t>
      </w:r>
      <w:r w:rsidR="00B854E3">
        <w:rPr>
          <w:rStyle w:val="a9"/>
          <w:rFonts w:cs="Arial"/>
          <w:sz w:val="16"/>
          <w:szCs w:val="16"/>
          <w:rtl/>
        </w:rPr>
        <w:footnoteReference w:id="1681"/>
      </w:r>
      <w:r w:rsidR="005F4DD7" w:rsidRPr="005F4DD7">
        <w:rPr>
          <w:rFonts w:cs="Arial"/>
          <w:sz w:val="16"/>
          <w:szCs w:val="16"/>
          <w:rtl/>
        </w:rPr>
        <w:t xml:space="preserve"> (</w:t>
      </w:r>
      <w:r w:rsidR="00B854E3">
        <w:rPr>
          <w:rFonts w:cs="Arial" w:hint="cs"/>
          <w:sz w:val="16"/>
          <w:szCs w:val="16"/>
          <w:rtl/>
        </w:rPr>
        <w:t xml:space="preserve">ביצה פ"ה </w:t>
      </w:r>
      <w:r w:rsidR="005F4DD7" w:rsidRPr="005F4DD7">
        <w:rPr>
          <w:rFonts w:cs="Arial"/>
          <w:sz w:val="16"/>
          <w:szCs w:val="16"/>
          <w:rtl/>
        </w:rPr>
        <w:t>סי' א ד"ה ואף)</w:t>
      </w:r>
      <w:r w:rsidR="005F4DD7" w:rsidRPr="005F4DD7">
        <w:rPr>
          <w:rFonts w:cs="Arial" w:hint="cs"/>
          <w:sz w:val="16"/>
          <w:szCs w:val="16"/>
          <w:rtl/>
        </w:rPr>
        <w:t>.</w:t>
      </w:r>
      <w:r w:rsidR="005F4DD7" w:rsidRPr="005F4DD7">
        <w:rPr>
          <w:rFonts w:cs="Arial"/>
          <w:sz w:val="16"/>
          <w:szCs w:val="16"/>
          <w:rtl/>
        </w:rPr>
        <w:t xml:space="preserve"> וכך הם דברי רבינו</w:t>
      </w:r>
      <w:r w:rsidR="005F4DD7" w:rsidRPr="005F4DD7">
        <w:rPr>
          <w:rFonts w:cs="Arial" w:hint="cs"/>
          <w:sz w:val="16"/>
          <w:szCs w:val="16"/>
          <w:rtl/>
        </w:rPr>
        <w:t>, ב"י)</w:t>
      </w:r>
    </w:p>
    <w:p w14:paraId="1FC8CFA4" w14:textId="44506B7D" w:rsidR="0068178D" w:rsidRPr="00D5290E" w:rsidRDefault="00A55D22" w:rsidP="00434A6A">
      <w:pPr>
        <w:rPr>
          <w:u w:val="single"/>
        </w:rPr>
      </w:pPr>
      <w:r w:rsidRPr="00A55D22">
        <w:rPr>
          <w:rFonts w:hint="cs"/>
          <w:u w:val="single"/>
          <w:rtl/>
        </w:rPr>
        <w:t>עשיית גרף של רעי לכתחילה:</w:t>
      </w:r>
    </w:p>
    <w:p w14:paraId="73A8D77F" w14:textId="360F26B4" w:rsidR="00D5290E" w:rsidRPr="003E790F" w:rsidRDefault="00D5290E" w:rsidP="00434A6A">
      <w:pPr>
        <w:pStyle w:val="aa"/>
        <w:numPr>
          <w:ilvl w:val="0"/>
          <w:numId w:val="3"/>
        </w:numPr>
        <w:rPr>
          <w:rFonts w:cs="Arial"/>
        </w:rPr>
      </w:pPr>
      <w:r>
        <w:rPr>
          <w:rFonts w:cs="Arial" w:hint="cs"/>
          <w:rtl/>
        </w:rPr>
        <w:t xml:space="preserve">רמב"ם </w:t>
      </w:r>
      <w:r>
        <w:rPr>
          <w:rFonts w:cs="Arial" w:hint="cs"/>
          <w:sz w:val="16"/>
          <w:szCs w:val="16"/>
          <w:rtl/>
        </w:rPr>
        <w:t>(פכ"ו הי"ג, וכעין זה כתב בפכ"ה הכ"ד</w:t>
      </w:r>
      <w:r>
        <w:rPr>
          <w:rStyle w:val="a9"/>
          <w:rFonts w:cs="Arial"/>
          <w:sz w:val="16"/>
          <w:szCs w:val="16"/>
          <w:rtl/>
        </w:rPr>
        <w:footnoteReference w:id="1682"/>
      </w:r>
      <w:r>
        <w:rPr>
          <w:rFonts w:cs="Arial" w:hint="cs"/>
          <w:sz w:val="16"/>
          <w:szCs w:val="16"/>
          <w:rtl/>
        </w:rPr>
        <w:t>)</w:t>
      </w:r>
      <w:r>
        <w:rPr>
          <w:rFonts w:cs="Arial" w:hint="cs"/>
          <w:rtl/>
        </w:rPr>
        <w:t xml:space="preserve">- </w:t>
      </w:r>
      <w:r w:rsidRPr="00B854E3">
        <w:rPr>
          <w:rFonts w:cs="Arial"/>
          <w:rtl/>
        </w:rPr>
        <w:t>אין עושין גרף של רעי לכתחלה בשבת</w:t>
      </w:r>
      <w:r>
        <w:rPr>
          <w:rFonts w:cs="Arial" w:hint="cs"/>
          <w:rtl/>
        </w:rPr>
        <w:t>.</w:t>
      </w:r>
      <w:r w:rsidRPr="00B854E3">
        <w:rPr>
          <w:rFonts w:cs="Arial"/>
          <w:rtl/>
        </w:rPr>
        <w:t xml:space="preserve"> אבל אם נעשה מאליו או שעבר</w:t>
      </w:r>
      <w:r w:rsidR="007F0A6D">
        <w:rPr>
          <w:rStyle w:val="a9"/>
          <w:rFonts w:cs="Arial"/>
          <w:rtl/>
        </w:rPr>
        <w:footnoteReference w:id="1683"/>
      </w:r>
      <w:r w:rsidRPr="00B854E3">
        <w:rPr>
          <w:rFonts w:cs="Arial"/>
          <w:rtl/>
        </w:rPr>
        <w:t xml:space="preserve"> ועשהו</w:t>
      </w:r>
      <w:r>
        <w:rPr>
          <w:rFonts w:cs="Arial" w:hint="cs"/>
          <w:rtl/>
        </w:rPr>
        <w:t xml:space="preserve"> -</w:t>
      </w:r>
      <w:r w:rsidRPr="00B854E3">
        <w:rPr>
          <w:rFonts w:cs="Arial"/>
          <w:rtl/>
        </w:rPr>
        <w:t xml:space="preserve"> מוציאין אותו</w:t>
      </w:r>
      <w:r>
        <w:rPr>
          <w:rFonts w:cs="Arial" w:hint="cs"/>
          <w:rtl/>
        </w:rPr>
        <w:t xml:space="preserve">. </w:t>
      </w:r>
      <w:r w:rsidRPr="0068178D">
        <w:rPr>
          <w:rFonts w:cs="Arial" w:hint="cs"/>
          <w:color w:val="E36C0A" w:themeColor="accent6" w:themeShade="BF"/>
          <w:rtl/>
        </w:rPr>
        <w:t>(וכ"פ בשו"ע</w:t>
      </w:r>
      <w:r>
        <w:rPr>
          <w:rFonts w:cs="Arial" w:hint="cs"/>
          <w:color w:val="E36C0A" w:themeColor="accent6" w:themeShade="BF"/>
          <w:rtl/>
        </w:rPr>
        <w:t>)</w:t>
      </w:r>
    </w:p>
    <w:p w14:paraId="3BDFB050" w14:textId="59DB483F" w:rsidR="0068178D" w:rsidRDefault="0050175B" w:rsidP="00434A6A">
      <w:pPr>
        <w:pStyle w:val="aa"/>
        <w:numPr>
          <w:ilvl w:val="0"/>
          <w:numId w:val="3"/>
        </w:numPr>
        <w:rPr>
          <w:rFonts w:cs="Arial"/>
        </w:rPr>
      </w:pPr>
      <w:r w:rsidRPr="0050175B">
        <w:rPr>
          <w:rFonts w:cs="Arial" w:hint="cs"/>
          <w:rtl/>
        </w:rPr>
        <w:t xml:space="preserve">טור- </w:t>
      </w:r>
      <w:r w:rsidR="00B14BC7" w:rsidRPr="0050175B">
        <w:rPr>
          <w:rFonts w:cs="Arial"/>
          <w:rtl/>
        </w:rPr>
        <w:t>אסור להביא לפניו דבר שימאס כדי להוציאו כשימאס בעיניו</w:t>
      </w:r>
      <w:r w:rsidR="00F45317">
        <w:rPr>
          <w:rStyle w:val="a9"/>
          <w:rFonts w:cs="Arial"/>
          <w:rtl/>
        </w:rPr>
        <w:footnoteReference w:id="1684"/>
      </w:r>
      <w:r w:rsidR="0068178D">
        <w:rPr>
          <w:rFonts w:cs="Arial" w:hint="cs"/>
          <w:rtl/>
        </w:rPr>
        <w:t>.</w:t>
      </w:r>
      <w:r w:rsidR="00B14BC7" w:rsidRPr="0050175B">
        <w:rPr>
          <w:rFonts w:cs="Arial"/>
          <w:rtl/>
        </w:rPr>
        <w:t xml:space="preserve"> </w:t>
      </w:r>
      <w:r w:rsidR="007F0A6D">
        <w:rPr>
          <w:rFonts w:cs="Arial" w:hint="cs"/>
          <w:rtl/>
        </w:rPr>
        <w:t xml:space="preserve"> </w:t>
      </w:r>
    </w:p>
    <w:p w14:paraId="18E99058" w14:textId="629AF5A4" w:rsidR="0068178D" w:rsidRPr="0068178D" w:rsidRDefault="0068178D" w:rsidP="00434A6A">
      <w:pPr>
        <w:ind w:left="360"/>
        <w:rPr>
          <w:rFonts w:cs="Arial"/>
          <w:u w:val="dotted"/>
        </w:rPr>
      </w:pPr>
      <w:r w:rsidRPr="0068178D">
        <w:rPr>
          <w:rFonts w:cs="Arial" w:hint="cs"/>
          <w:u w:val="dotted"/>
          <w:rtl/>
        </w:rPr>
        <w:t>האם מותר להערים ולקבוע ישיבתו ליד הגרף של רעי כדי שימאס בו ויוציאו:</w:t>
      </w:r>
    </w:p>
    <w:p w14:paraId="4B63EAB7" w14:textId="64FC4C1F" w:rsidR="005F4DD7" w:rsidRDefault="0068178D" w:rsidP="00434A6A">
      <w:pPr>
        <w:pStyle w:val="aa"/>
        <w:numPr>
          <w:ilvl w:val="0"/>
          <w:numId w:val="3"/>
        </w:numPr>
        <w:rPr>
          <w:rFonts w:cs="Arial"/>
        </w:rPr>
      </w:pPr>
      <w:r>
        <w:rPr>
          <w:rFonts w:cs="Arial" w:hint="cs"/>
          <w:rtl/>
        </w:rPr>
        <w:t xml:space="preserve">טור- </w:t>
      </w:r>
      <w:r w:rsidR="00B14BC7" w:rsidRPr="0050175B">
        <w:rPr>
          <w:rFonts w:cs="Arial"/>
          <w:rtl/>
        </w:rPr>
        <w:t>אבל מותר לקבוע</w:t>
      </w:r>
      <w:r w:rsidR="003E790F">
        <w:rPr>
          <w:rStyle w:val="a9"/>
          <w:rFonts w:cs="Arial"/>
          <w:rtl/>
        </w:rPr>
        <w:footnoteReference w:id="1685"/>
      </w:r>
      <w:r w:rsidR="00B14BC7" w:rsidRPr="0050175B">
        <w:rPr>
          <w:rFonts w:cs="Arial"/>
          <w:rtl/>
        </w:rPr>
        <w:t xml:space="preserve"> ישיבתו</w:t>
      </w:r>
      <w:r w:rsidR="003E790F">
        <w:rPr>
          <w:rStyle w:val="a9"/>
          <w:rFonts w:cs="Arial"/>
          <w:rtl/>
        </w:rPr>
        <w:footnoteReference w:id="1686"/>
      </w:r>
      <w:r w:rsidR="00B14BC7" w:rsidRPr="0050175B">
        <w:rPr>
          <w:rFonts w:cs="Arial"/>
          <w:rtl/>
        </w:rPr>
        <w:t xml:space="preserve"> אצלו כדי להוציאו לאחר שימאס</w:t>
      </w:r>
      <w:r w:rsidR="0050175B" w:rsidRPr="0050175B">
        <w:rPr>
          <w:rFonts w:cs="Arial" w:hint="cs"/>
          <w:rtl/>
        </w:rPr>
        <w:t>.</w:t>
      </w:r>
    </w:p>
    <w:p w14:paraId="3E0121D8" w14:textId="530369C8" w:rsidR="00A522D2" w:rsidRPr="00A522D2" w:rsidRDefault="00A522D2" w:rsidP="00434A6A">
      <w:pPr>
        <w:ind w:left="360"/>
        <w:rPr>
          <w:rFonts w:cs="Arial"/>
          <w:u w:val="dotted"/>
        </w:rPr>
      </w:pPr>
      <w:r w:rsidRPr="00A522D2">
        <w:rPr>
          <w:rFonts w:cs="Arial" w:hint="cs"/>
          <w:u w:val="dotted"/>
          <w:rtl/>
        </w:rPr>
        <w:t>האם מועיל לקבוע יש</w:t>
      </w:r>
      <w:r>
        <w:rPr>
          <w:rFonts w:cs="Arial" w:hint="cs"/>
          <w:u w:val="dotted"/>
          <w:rtl/>
        </w:rPr>
        <w:t>י</w:t>
      </w:r>
      <w:r w:rsidRPr="00A522D2">
        <w:rPr>
          <w:rFonts w:cs="Arial" w:hint="cs"/>
          <w:u w:val="dotted"/>
          <w:rtl/>
        </w:rPr>
        <w:t>בתו שם אע"ג שהוא לא מקום דירה</w:t>
      </w:r>
      <w:r w:rsidR="00F44659">
        <w:rPr>
          <w:rFonts w:cs="Arial" w:hint="cs"/>
          <w:u w:val="dotted"/>
          <w:rtl/>
        </w:rPr>
        <w:t xml:space="preserve"> קבוע</w:t>
      </w:r>
      <w:r>
        <w:rPr>
          <w:rFonts w:cs="Arial" w:hint="cs"/>
          <w:sz w:val="16"/>
          <w:szCs w:val="16"/>
          <w:u w:val="dotted"/>
          <w:rtl/>
        </w:rPr>
        <w:t xml:space="preserve"> (כגון בחצר</w:t>
      </w:r>
      <w:r w:rsidR="00F44659">
        <w:rPr>
          <w:rFonts w:cs="Arial" w:hint="cs"/>
          <w:sz w:val="16"/>
          <w:szCs w:val="16"/>
          <w:u w:val="dotted"/>
          <w:rtl/>
        </w:rPr>
        <w:t xml:space="preserve"> או בדירה שאינו גר בה</w:t>
      </w:r>
      <w:r>
        <w:rPr>
          <w:rFonts w:cs="Arial" w:hint="cs"/>
          <w:sz w:val="16"/>
          <w:szCs w:val="16"/>
          <w:u w:val="dotted"/>
          <w:rtl/>
        </w:rPr>
        <w:t>)</w:t>
      </w:r>
      <w:r w:rsidRPr="00A522D2">
        <w:rPr>
          <w:rFonts w:cs="Arial" w:hint="cs"/>
          <w:u w:val="dotted"/>
          <w:rtl/>
        </w:rPr>
        <w:t>:</w:t>
      </w:r>
    </w:p>
    <w:p w14:paraId="79A5C02D" w14:textId="5B8BDF87" w:rsidR="00F45317" w:rsidRPr="00ED2CE2" w:rsidRDefault="00CB16F2" w:rsidP="00434A6A">
      <w:pPr>
        <w:pStyle w:val="aa"/>
        <w:numPr>
          <w:ilvl w:val="0"/>
          <w:numId w:val="3"/>
        </w:numPr>
        <w:rPr>
          <w:rFonts w:cs="Arial"/>
          <w:rtl/>
        </w:rPr>
      </w:pPr>
      <w:r>
        <w:rPr>
          <w:rFonts w:cs="Arial" w:hint="cs"/>
          <w:rtl/>
        </w:rPr>
        <w:t xml:space="preserve">ראב"ד </w:t>
      </w:r>
      <w:r>
        <w:rPr>
          <w:rFonts w:cs="Arial" w:hint="cs"/>
          <w:sz w:val="16"/>
          <w:szCs w:val="16"/>
          <w:rtl/>
        </w:rPr>
        <w:t>(בהשגות פכ"ה הכ"ד)</w:t>
      </w:r>
      <w:r>
        <w:rPr>
          <w:rFonts w:cs="Arial" w:hint="cs"/>
          <w:rtl/>
        </w:rPr>
        <w:t xml:space="preserve">- </w:t>
      </w:r>
      <w:r w:rsidRPr="00CB16F2">
        <w:rPr>
          <w:rFonts w:cs="Arial"/>
          <w:rtl/>
        </w:rPr>
        <w:t>סוגית הגמרא (ביצה לו</w:t>
      </w:r>
      <w:r>
        <w:rPr>
          <w:rFonts w:cs="Arial" w:hint="cs"/>
          <w:rtl/>
        </w:rPr>
        <w:t>:</w:t>
      </w:r>
      <w:r w:rsidRPr="00CB16F2">
        <w:rPr>
          <w:rFonts w:cs="Arial"/>
          <w:rtl/>
        </w:rPr>
        <w:t>) כך היא נותנין כלי תחת הדלף בשבת</w:t>
      </w:r>
      <w:r>
        <w:rPr>
          <w:rFonts w:cs="Arial" w:hint="cs"/>
          <w:rtl/>
        </w:rPr>
        <w:t>,</w:t>
      </w:r>
      <w:r w:rsidRPr="00CB16F2">
        <w:rPr>
          <w:rFonts w:cs="Arial"/>
          <w:rtl/>
        </w:rPr>
        <w:t xml:space="preserve"> בדלף הראוי</w:t>
      </w:r>
      <w:r>
        <w:rPr>
          <w:rFonts w:cs="Arial" w:hint="cs"/>
          <w:rtl/>
        </w:rPr>
        <w:t>,</w:t>
      </w:r>
      <w:r w:rsidRPr="00CB16F2">
        <w:rPr>
          <w:rFonts w:cs="Arial"/>
          <w:rtl/>
        </w:rPr>
        <w:t xml:space="preserve"> ואם נתמלא הכלי שופך ושונה</w:t>
      </w:r>
      <w:r>
        <w:rPr>
          <w:rFonts w:cs="Arial" w:hint="cs"/>
          <w:rtl/>
        </w:rPr>
        <w:t>,</w:t>
      </w:r>
      <w:r w:rsidRPr="00CB16F2">
        <w:rPr>
          <w:rFonts w:cs="Arial"/>
          <w:rtl/>
        </w:rPr>
        <w:t xml:space="preserve"> כדי שלא יעשה לכלוך בבית ויהיה גרף של רעי</w:t>
      </w:r>
      <w:r>
        <w:rPr>
          <w:rFonts w:cs="Arial" w:hint="cs"/>
          <w:rtl/>
        </w:rPr>
        <w:t>.</w:t>
      </w:r>
      <w:r w:rsidRPr="00CB16F2">
        <w:rPr>
          <w:rFonts w:cs="Arial"/>
          <w:rtl/>
        </w:rPr>
        <w:t xml:space="preserve"> ואם היה בבית שאינו</w:t>
      </w:r>
      <w:r w:rsidR="00A522D2">
        <w:rPr>
          <w:rStyle w:val="a9"/>
          <w:rFonts w:cs="Arial"/>
          <w:rtl/>
        </w:rPr>
        <w:footnoteReference w:id="1687"/>
      </w:r>
      <w:r w:rsidRPr="00CB16F2">
        <w:rPr>
          <w:rFonts w:cs="Arial"/>
          <w:rtl/>
        </w:rPr>
        <w:t xml:space="preserve"> דר שם ואם יעשה בו לכלוך אין קפידא</w:t>
      </w:r>
      <w:r>
        <w:rPr>
          <w:rFonts w:cs="Arial" w:hint="cs"/>
          <w:rtl/>
        </w:rPr>
        <w:t>,</w:t>
      </w:r>
      <w:r w:rsidRPr="00CB16F2">
        <w:rPr>
          <w:rFonts w:cs="Arial"/>
          <w:rtl/>
        </w:rPr>
        <w:t xml:space="preserve"> אם יש לחוש לו להפסד הבית</w:t>
      </w:r>
      <w:r>
        <w:rPr>
          <w:rFonts w:cs="Arial" w:hint="cs"/>
          <w:rtl/>
        </w:rPr>
        <w:t xml:space="preserve"> -</w:t>
      </w:r>
      <w:r w:rsidRPr="00CB16F2">
        <w:rPr>
          <w:rFonts w:cs="Arial"/>
          <w:rtl/>
        </w:rPr>
        <w:t xml:space="preserve"> יכניס שם מטתו כדי שיהא לו הלכלוך גרף של רעי ויהא מותר לשפוך לחוץ</w:t>
      </w:r>
      <w:r>
        <w:rPr>
          <w:rFonts w:cs="Arial" w:hint="cs"/>
          <w:rtl/>
        </w:rPr>
        <w:t>,</w:t>
      </w:r>
      <w:r w:rsidRPr="00CB16F2">
        <w:rPr>
          <w:rFonts w:cs="Arial"/>
          <w:rtl/>
        </w:rPr>
        <w:t xml:space="preserve"> כמעשה דבי רחייא דאביי</w:t>
      </w:r>
      <w:r w:rsidR="00ED2CE2">
        <w:rPr>
          <w:rStyle w:val="a9"/>
          <w:rFonts w:cs="Arial"/>
          <w:rtl/>
        </w:rPr>
        <w:footnoteReference w:id="1688"/>
      </w:r>
      <w:r>
        <w:rPr>
          <w:rFonts w:cs="Arial" w:hint="cs"/>
          <w:rtl/>
        </w:rPr>
        <w:t>.</w:t>
      </w:r>
      <w:r w:rsidRPr="00CB16F2">
        <w:rPr>
          <w:rFonts w:cs="Arial"/>
          <w:rtl/>
        </w:rPr>
        <w:t xml:space="preserve"> ואם אין שם הפסד </w:t>
      </w:r>
      <w:r>
        <w:rPr>
          <w:rFonts w:cs="Arial" w:hint="cs"/>
          <w:rtl/>
        </w:rPr>
        <w:t xml:space="preserve">- </w:t>
      </w:r>
      <w:r w:rsidRPr="00CB16F2">
        <w:rPr>
          <w:rFonts w:cs="Arial"/>
          <w:rtl/>
        </w:rPr>
        <w:t>לא יכניס</w:t>
      </w:r>
      <w:r>
        <w:rPr>
          <w:rFonts w:cs="Arial" w:hint="cs"/>
          <w:rtl/>
        </w:rPr>
        <w:t>,</w:t>
      </w:r>
      <w:r w:rsidRPr="00CB16F2">
        <w:rPr>
          <w:rFonts w:cs="Arial"/>
          <w:rtl/>
        </w:rPr>
        <w:t xml:space="preserve"> שאין עושין גרף של רעי לכתחלה.</w:t>
      </w:r>
      <w:r w:rsidR="0068178D">
        <w:rPr>
          <w:rFonts w:cs="Arial" w:hint="cs"/>
          <w:rtl/>
        </w:rPr>
        <w:t xml:space="preserve"> </w:t>
      </w:r>
      <w:r w:rsidR="0068178D" w:rsidRPr="0068178D">
        <w:rPr>
          <w:rFonts w:cs="Arial" w:hint="cs"/>
          <w:color w:val="E36C0A" w:themeColor="accent6" w:themeShade="BF"/>
          <w:rtl/>
        </w:rPr>
        <w:t>(וכ"פ בשו"ע</w:t>
      </w:r>
      <w:r w:rsidR="00D5290E">
        <w:rPr>
          <w:rFonts w:cs="Arial" w:hint="cs"/>
          <w:color w:val="E36C0A" w:themeColor="accent6" w:themeShade="BF"/>
          <w:sz w:val="16"/>
          <w:szCs w:val="16"/>
          <w:rtl/>
        </w:rPr>
        <w:t xml:space="preserve"> </w:t>
      </w:r>
      <w:r w:rsidR="00D5290E" w:rsidRPr="00D5290E">
        <w:rPr>
          <w:rFonts w:cs="Arial" w:hint="cs"/>
          <w:color w:val="000000" w:themeColor="text1"/>
          <w:sz w:val="16"/>
          <w:szCs w:val="16"/>
          <w:rtl/>
        </w:rPr>
        <w:t>[</w:t>
      </w:r>
      <w:r w:rsidR="00D5290E">
        <w:rPr>
          <w:rFonts w:cs="Arial" w:hint="cs"/>
          <w:color w:val="000000" w:themeColor="text1"/>
          <w:sz w:val="16"/>
          <w:szCs w:val="16"/>
          <w:rtl/>
        </w:rPr>
        <w:t>בסע' הבא</w:t>
      </w:r>
      <w:r w:rsidR="00D5290E" w:rsidRPr="00D5290E">
        <w:rPr>
          <w:rFonts w:cs="Arial" w:hint="cs"/>
          <w:color w:val="000000" w:themeColor="text1"/>
          <w:sz w:val="16"/>
          <w:szCs w:val="16"/>
          <w:rtl/>
        </w:rPr>
        <w:t>]</w:t>
      </w:r>
      <w:r w:rsidR="0068178D" w:rsidRPr="0068178D">
        <w:rPr>
          <w:rFonts w:cs="Arial" w:hint="cs"/>
          <w:color w:val="E36C0A" w:themeColor="accent6" w:themeShade="BF"/>
          <w:rtl/>
        </w:rPr>
        <w:t>)</w:t>
      </w:r>
    </w:p>
    <w:p w14:paraId="607901B0"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1D429AE6" w14:textId="2F13252B" w:rsidR="000C6229" w:rsidRPr="005275DF" w:rsidRDefault="000C6229" w:rsidP="00434A6A">
      <w:pPr>
        <w:rPr>
          <w:rFonts w:asciiTheme="minorBidi" w:hAnsiTheme="minorBidi"/>
          <w:rtl/>
        </w:rPr>
      </w:pPr>
      <w:r w:rsidRPr="005275DF">
        <w:rPr>
          <w:rFonts w:asciiTheme="minorBidi" w:hAnsiTheme="minorBidi"/>
          <w:rtl/>
        </w:rPr>
        <w:t>אין עושים גרף של רעי לכתחלה, דהיינו להביא דבר שעתיד לימאס כדי להוציאו לכשימאס</w:t>
      </w:r>
      <w:r w:rsidR="001A37ED">
        <w:rPr>
          <w:rFonts w:asciiTheme="minorBidi" w:hAnsiTheme="minorBidi" w:hint="cs"/>
          <w:rtl/>
        </w:rPr>
        <w:t>.</w:t>
      </w:r>
      <w:r w:rsidRPr="005275DF">
        <w:rPr>
          <w:rFonts w:asciiTheme="minorBidi" w:hAnsiTheme="minorBidi"/>
          <w:rtl/>
        </w:rPr>
        <w:t xml:space="preserve"> ואם עבר ועשאו, מותר להוציאו. </w:t>
      </w:r>
    </w:p>
    <w:p w14:paraId="1F3D3ADB" w14:textId="77777777" w:rsidR="000C6229" w:rsidRPr="005275DF" w:rsidRDefault="000C6229" w:rsidP="00434A6A">
      <w:pPr>
        <w:rPr>
          <w:rFonts w:asciiTheme="minorBidi" w:hAnsiTheme="minorBidi"/>
          <w:rtl/>
        </w:rPr>
      </w:pPr>
    </w:p>
    <w:p w14:paraId="0B079A1C" w14:textId="0E3672DA" w:rsidR="000C6229" w:rsidRDefault="000C6229" w:rsidP="00434A6A">
      <w:pPr>
        <w:pStyle w:val="2"/>
        <w:rPr>
          <w:rtl/>
        </w:rPr>
      </w:pPr>
      <w:r w:rsidRPr="005275DF">
        <w:rPr>
          <w:rtl/>
        </w:rPr>
        <w:t>סעיף לז</w:t>
      </w:r>
      <w:r w:rsidR="00F45317">
        <w:rPr>
          <w:rFonts w:hint="cs"/>
          <w:rtl/>
        </w:rPr>
        <w:t xml:space="preserve">: </w:t>
      </w:r>
      <w:r w:rsidR="008A7E06">
        <w:rPr>
          <w:rFonts w:hint="cs"/>
          <w:rtl/>
        </w:rPr>
        <w:t>קביעת ישיבתו ליד הגרף של רעי על מנת שיוכל להוציאו</w:t>
      </w:r>
      <w:r w:rsidR="00F45317">
        <w:rPr>
          <w:rFonts w:hint="cs"/>
          <w:rtl/>
        </w:rPr>
        <w:t>.</w:t>
      </w:r>
    </w:p>
    <w:p w14:paraId="6AF60F16" w14:textId="13A40377" w:rsidR="00FB3622" w:rsidRPr="00FB3622" w:rsidRDefault="00F45317" w:rsidP="00434A6A">
      <w:pPr>
        <w:rPr>
          <w:rtl/>
        </w:rPr>
      </w:pPr>
      <w:r>
        <w:rPr>
          <w:rFonts w:cs="Arial" w:hint="cs"/>
          <w:rtl/>
        </w:rPr>
        <w:t>עיין במקורות בסעיף לו.</w:t>
      </w:r>
    </w:p>
    <w:p w14:paraId="7CADBA2C"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2FCC1B81" w14:textId="2812B820" w:rsidR="000C6229" w:rsidRPr="005275DF" w:rsidRDefault="000C6229" w:rsidP="00434A6A">
      <w:pPr>
        <w:rPr>
          <w:rFonts w:asciiTheme="minorBidi" w:hAnsiTheme="minorBidi"/>
          <w:rtl/>
        </w:rPr>
      </w:pPr>
      <w:r w:rsidRPr="005275DF">
        <w:rPr>
          <w:rFonts w:asciiTheme="minorBidi" w:hAnsiTheme="minorBidi"/>
          <w:rtl/>
        </w:rPr>
        <w:t>במקום דאיכא פסידא, מותר להכניס מטתו</w:t>
      </w:r>
      <w:r w:rsidR="003377CD">
        <w:rPr>
          <w:rStyle w:val="a9"/>
          <w:rFonts w:asciiTheme="minorBidi" w:hAnsiTheme="minorBidi"/>
          <w:rtl/>
        </w:rPr>
        <w:footnoteReference w:id="1689"/>
      </w:r>
      <w:r w:rsidRPr="005275DF">
        <w:rPr>
          <w:rFonts w:asciiTheme="minorBidi" w:hAnsiTheme="minorBidi"/>
          <w:rtl/>
        </w:rPr>
        <w:t xml:space="preserve"> אצל גרף של רעי ולקבוע ישיבתו שם, כדי להוציאו</w:t>
      </w:r>
      <w:r w:rsidR="003377CD">
        <w:rPr>
          <w:rStyle w:val="a9"/>
          <w:rFonts w:asciiTheme="minorBidi" w:hAnsiTheme="minorBidi"/>
          <w:rtl/>
        </w:rPr>
        <w:footnoteReference w:id="1690"/>
      </w:r>
      <w:r w:rsidRPr="005275DF">
        <w:rPr>
          <w:rFonts w:asciiTheme="minorBidi" w:hAnsiTheme="minorBidi"/>
          <w:rtl/>
        </w:rPr>
        <w:t xml:space="preserve">. </w:t>
      </w:r>
    </w:p>
    <w:p w14:paraId="4447DE88" w14:textId="77777777" w:rsidR="000C6229" w:rsidRPr="005275DF" w:rsidRDefault="000C6229" w:rsidP="00434A6A">
      <w:pPr>
        <w:rPr>
          <w:rFonts w:asciiTheme="minorBidi" w:hAnsiTheme="minorBidi"/>
          <w:rtl/>
        </w:rPr>
      </w:pPr>
    </w:p>
    <w:p w14:paraId="071312E9" w14:textId="0259F51B" w:rsidR="00F44659" w:rsidRPr="00F44659" w:rsidRDefault="000C6229" w:rsidP="00434A6A">
      <w:pPr>
        <w:pStyle w:val="2"/>
        <w:rPr>
          <w:rtl/>
        </w:rPr>
      </w:pPr>
      <w:r w:rsidRPr="005275DF">
        <w:rPr>
          <w:rtl/>
        </w:rPr>
        <w:t>סעיף לח</w:t>
      </w:r>
      <w:r w:rsidR="00FB3622">
        <w:rPr>
          <w:rFonts w:hint="cs"/>
          <w:rtl/>
        </w:rPr>
        <w:t>:</w:t>
      </w:r>
      <w:r w:rsidR="00F44659">
        <w:rPr>
          <w:rFonts w:hint="cs"/>
          <w:rtl/>
        </w:rPr>
        <w:t xml:space="preserve"> עפר.</w:t>
      </w:r>
    </w:p>
    <w:p w14:paraId="09E808B4" w14:textId="45E5615F" w:rsidR="003113A6" w:rsidRDefault="003113A6" w:rsidP="00434A6A">
      <w:pPr>
        <w:rPr>
          <w:rFonts w:cs="Arial"/>
          <w:rtl/>
        </w:rPr>
      </w:pPr>
      <w:r w:rsidRPr="002A45F7">
        <w:rPr>
          <w:rFonts w:hint="cs"/>
          <w:b/>
          <w:bCs/>
          <w:rtl/>
        </w:rPr>
        <w:t xml:space="preserve">שבת </w:t>
      </w:r>
      <w:r>
        <w:rPr>
          <w:rFonts w:hint="cs"/>
          <w:b/>
          <w:bCs/>
          <w:sz w:val="16"/>
          <w:szCs w:val="16"/>
          <w:rtl/>
        </w:rPr>
        <w:t>(פ' במה טומנין)</w:t>
      </w:r>
      <w:r>
        <w:rPr>
          <w:rFonts w:hint="cs"/>
          <w:b/>
          <w:bCs/>
          <w:rtl/>
        </w:rPr>
        <w:t xml:space="preserve"> נ</w:t>
      </w:r>
      <w:r w:rsidRPr="002A45F7">
        <w:rPr>
          <w:rFonts w:hint="cs"/>
          <w:b/>
          <w:bCs/>
          <w:rtl/>
        </w:rPr>
        <w:t xml:space="preserve"> ע"</w:t>
      </w:r>
      <w:r>
        <w:rPr>
          <w:rFonts w:hint="cs"/>
          <w:b/>
          <w:bCs/>
          <w:rtl/>
        </w:rPr>
        <w:t>א</w:t>
      </w:r>
      <w:r w:rsidRPr="002A45F7">
        <w:rPr>
          <w:rFonts w:hint="cs"/>
          <w:b/>
          <w:bCs/>
          <w:rtl/>
        </w:rPr>
        <w:t>:</w:t>
      </w:r>
      <w:r>
        <w:rPr>
          <w:rFonts w:cs="Arial" w:hint="cs"/>
          <w:rtl/>
        </w:rPr>
        <w:t xml:space="preserve"> </w:t>
      </w:r>
      <w:r w:rsidR="00F44659" w:rsidRPr="00F44659">
        <w:rPr>
          <w:rFonts w:cs="Arial"/>
          <w:u w:val="single"/>
          <w:rtl/>
        </w:rPr>
        <w:t>אמר רב יהודה</w:t>
      </w:r>
      <w:r w:rsidR="00F44659" w:rsidRPr="00F44659">
        <w:rPr>
          <w:rFonts w:cs="Arial"/>
          <w:rtl/>
        </w:rPr>
        <w:t>: מכניס אדם מלא קופתו עפר</w:t>
      </w:r>
      <w:r w:rsidR="00F44659">
        <w:rPr>
          <w:rStyle w:val="a9"/>
          <w:rFonts w:cs="Arial"/>
          <w:rtl/>
        </w:rPr>
        <w:footnoteReference w:id="1691"/>
      </w:r>
      <w:r w:rsidR="00F44659" w:rsidRPr="00F44659">
        <w:rPr>
          <w:rFonts w:cs="Arial"/>
          <w:rtl/>
        </w:rPr>
        <w:t xml:space="preserve">, ועושה בה כל צרכו. </w:t>
      </w:r>
      <w:r w:rsidR="00F44659" w:rsidRPr="00F44659">
        <w:rPr>
          <w:rFonts w:cs="Arial"/>
          <w:u w:val="single"/>
          <w:rtl/>
        </w:rPr>
        <w:t>דרש מר זוטרא משמיה דמר זוטרא רבה</w:t>
      </w:r>
      <w:r w:rsidR="00F44659" w:rsidRPr="00F44659">
        <w:rPr>
          <w:rFonts w:cs="Arial"/>
          <w:rtl/>
        </w:rPr>
        <w:t>: והוא שיחד לו קרן זוית</w:t>
      </w:r>
      <w:r w:rsidR="00F44659">
        <w:rPr>
          <w:rStyle w:val="a9"/>
          <w:rFonts w:cs="Arial"/>
          <w:rtl/>
        </w:rPr>
        <w:footnoteReference w:id="1692"/>
      </w:r>
      <w:r w:rsidR="00F44659" w:rsidRPr="00F44659">
        <w:rPr>
          <w:rFonts w:cs="Arial"/>
          <w:rtl/>
        </w:rPr>
        <w:t xml:space="preserve">. </w:t>
      </w:r>
      <w:r w:rsidR="00F44659" w:rsidRPr="00F44659">
        <w:rPr>
          <w:rFonts w:cs="Arial"/>
          <w:u w:val="single"/>
          <w:rtl/>
        </w:rPr>
        <w:t>אמרו רבנן קמיה דרב פפא</w:t>
      </w:r>
      <w:r w:rsidR="00F44659" w:rsidRPr="00F44659">
        <w:rPr>
          <w:rFonts w:cs="Arial"/>
          <w:rtl/>
        </w:rPr>
        <w:t>: כמאן - כרבן שמעון בן גמליאל</w:t>
      </w:r>
      <w:r w:rsidR="00F44659">
        <w:rPr>
          <w:rStyle w:val="a9"/>
          <w:rFonts w:cs="Arial"/>
          <w:rtl/>
        </w:rPr>
        <w:footnoteReference w:id="1693"/>
      </w:r>
      <w:r w:rsidR="00F44659" w:rsidRPr="00F44659">
        <w:rPr>
          <w:rFonts w:cs="Arial"/>
          <w:rtl/>
        </w:rPr>
        <w:t xml:space="preserve">, דאי כרבנן - האמרי: בעינן מעשה! </w:t>
      </w:r>
      <w:r w:rsidR="00F44659" w:rsidRPr="00F44659">
        <w:rPr>
          <w:rFonts w:cs="Arial"/>
          <w:u w:val="single"/>
          <w:rtl/>
        </w:rPr>
        <w:t>אמר להו רב פפא</w:t>
      </w:r>
      <w:r w:rsidR="00F44659" w:rsidRPr="00F44659">
        <w:rPr>
          <w:rFonts w:cs="Arial"/>
          <w:rtl/>
        </w:rPr>
        <w:t>: אפילו תימא רבנן, עד כאן לא קאמרי רבנן דבעינן מעשה - אלא מידי דבר עבידא ביה מעשה</w:t>
      </w:r>
      <w:r w:rsidR="00F44659">
        <w:rPr>
          <w:rStyle w:val="a9"/>
          <w:rFonts w:cs="Arial"/>
          <w:rtl/>
        </w:rPr>
        <w:footnoteReference w:id="1694"/>
      </w:r>
      <w:r w:rsidR="00F44659" w:rsidRPr="00F44659">
        <w:rPr>
          <w:rFonts w:cs="Arial"/>
          <w:rtl/>
        </w:rPr>
        <w:t>, אבל מידי דלא בר מיעבדא ביה מעשה - לא.</w:t>
      </w:r>
    </w:p>
    <w:p w14:paraId="5293C48C" w14:textId="44AA6599" w:rsidR="003113A6" w:rsidRPr="00F44659" w:rsidRDefault="00BC5DAA" w:rsidP="00434A6A">
      <w:pPr>
        <w:rPr>
          <w:u w:val="single"/>
          <w:rtl/>
        </w:rPr>
      </w:pPr>
      <w:r>
        <w:rPr>
          <w:rFonts w:hint="cs"/>
          <w:u w:val="single"/>
          <w:rtl/>
        </w:rPr>
        <w:t>טלטול</w:t>
      </w:r>
      <w:r w:rsidR="00F44659" w:rsidRPr="00F44659">
        <w:rPr>
          <w:rFonts w:hint="cs"/>
          <w:u w:val="single"/>
          <w:rtl/>
        </w:rPr>
        <w:t xml:space="preserve"> עפר </w:t>
      </w:r>
      <w:r>
        <w:rPr>
          <w:rFonts w:hint="cs"/>
          <w:u w:val="single"/>
          <w:rtl/>
        </w:rPr>
        <w:t>בשבת</w:t>
      </w:r>
      <w:r w:rsidR="00F44659" w:rsidRPr="00F44659">
        <w:rPr>
          <w:rFonts w:hint="cs"/>
          <w:u w:val="single"/>
          <w:rtl/>
        </w:rPr>
        <w:t>:</w:t>
      </w:r>
    </w:p>
    <w:p w14:paraId="19324919" w14:textId="63F83FBA" w:rsidR="00BC5DAA" w:rsidRDefault="0050175B" w:rsidP="00434A6A">
      <w:pPr>
        <w:pStyle w:val="aa"/>
        <w:numPr>
          <w:ilvl w:val="0"/>
          <w:numId w:val="3"/>
        </w:numPr>
        <w:rPr>
          <w:rFonts w:cs="Arial"/>
        </w:rPr>
      </w:pPr>
      <w:r w:rsidRPr="0050175B">
        <w:rPr>
          <w:rFonts w:cs="Arial" w:hint="cs"/>
          <w:rtl/>
        </w:rPr>
        <w:t xml:space="preserve">טור- </w:t>
      </w:r>
      <w:r w:rsidR="00B14BC7" w:rsidRPr="0050175B">
        <w:rPr>
          <w:rFonts w:cs="Arial"/>
          <w:rtl/>
        </w:rPr>
        <w:t>מכניס אדם מלא קופתו עפר ומייחד לו מקום בע"ש ועושה בו כל צרכיו כיון שהכינו לכך</w:t>
      </w:r>
      <w:r w:rsidR="00BC5DAA">
        <w:rPr>
          <w:rFonts w:cs="Arial" w:hint="cs"/>
          <w:rtl/>
        </w:rPr>
        <w:t>,</w:t>
      </w:r>
      <w:r w:rsidR="00B14BC7" w:rsidRPr="0050175B">
        <w:rPr>
          <w:rFonts w:cs="Arial"/>
          <w:rtl/>
        </w:rPr>
        <w:t xml:space="preserve"> אבל אם נתנו באמצע הבית </w:t>
      </w:r>
      <w:r w:rsidR="00DE028D">
        <w:rPr>
          <w:rFonts w:cs="Arial" w:hint="cs"/>
          <w:rtl/>
        </w:rPr>
        <w:t xml:space="preserve">- </w:t>
      </w:r>
      <w:r w:rsidR="00B14BC7" w:rsidRPr="0050175B">
        <w:rPr>
          <w:rFonts w:cs="Arial"/>
          <w:rtl/>
        </w:rPr>
        <w:t>בטל אגב עפר הבית ואסור לטלטלו</w:t>
      </w:r>
      <w:r w:rsidRPr="0050175B">
        <w:rPr>
          <w:rFonts w:cs="Arial" w:hint="cs"/>
          <w:rtl/>
        </w:rPr>
        <w:t>.</w:t>
      </w:r>
      <w:r w:rsidR="00AB79D3">
        <w:rPr>
          <w:rFonts w:cs="Arial" w:hint="cs"/>
          <w:rtl/>
        </w:rPr>
        <w:t xml:space="preserve"> </w:t>
      </w:r>
      <w:r w:rsidR="00AB79D3" w:rsidRPr="00AB79D3">
        <w:rPr>
          <w:rFonts w:cs="Arial" w:hint="cs"/>
          <w:color w:val="E36C0A" w:themeColor="accent6" w:themeShade="BF"/>
          <w:rtl/>
        </w:rPr>
        <w:t>(וכ"פ בשו"ע)</w:t>
      </w:r>
    </w:p>
    <w:p w14:paraId="707D4B90" w14:textId="4821E187" w:rsidR="00FB3622" w:rsidRPr="00AB79D3" w:rsidRDefault="00FB3622" w:rsidP="00434A6A">
      <w:pPr>
        <w:pStyle w:val="aa"/>
        <w:numPr>
          <w:ilvl w:val="0"/>
          <w:numId w:val="3"/>
        </w:numPr>
        <w:rPr>
          <w:rFonts w:cs="Arial"/>
          <w:rtl/>
        </w:rPr>
      </w:pPr>
      <w:r w:rsidRPr="00BC5DAA">
        <w:rPr>
          <w:rFonts w:cs="Arial"/>
          <w:rtl/>
        </w:rPr>
        <w:t xml:space="preserve">רשב"א </w:t>
      </w:r>
      <w:r w:rsidRPr="00BC5DAA">
        <w:rPr>
          <w:rFonts w:cs="Arial"/>
          <w:sz w:val="16"/>
          <w:szCs w:val="16"/>
          <w:rtl/>
        </w:rPr>
        <w:t>(ח"ה סי' רטז)</w:t>
      </w:r>
      <w:r w:rsidR="00BC5DAA">
        <w:rPr>
          <w:rFonts w:cs="Arial" w:hint="cs"/>
          <w:rtl/>
        </w:rPr>
        <w:t>-</w:t>
      </w:r>
      <w:r w:rsidRPr="00BC5DAA">
        <w:rPr>
          <w:rFonts w:cs="Arial"/>
          <w:rtl/>
        </w:rPr>
        <w:t xml:space="preserve"> וששאלת אם מותר לקנח בעפר בשבת למי שאין לו מים לתפלה</w:t>
      </w:r>
      <w:r w:rsidR="00DE028D">
        <w:rPr>
          <w:rFonts w:cs="Arial" w:hint="cs"/>
          <w:rtl/>
        </w:rPr>
        <w:t xml:space="preserve"> -</w:t>
      </w:r>
      <w:r w:rsidRPr="00BC5DAA">
        <w:rPr>
          <w:rFonts w:cs="Arial"/>
          <w:rtl/>
        </w:rPr>
        <w:t xml:space="preserve"> ודאי מותר לקנח בעפר תיחוח מדאמרינן (שבת צה.) דאסור לכבד הבית משום שמא ישוה גומות ולא נקט טעמא משום טלטול</w:t>
      </w:r>
      <w:r w:rsidR="00AB79D3">
        <w:rPr>
          <w:rStyle w:val="a9"/>
          <w:rFonts w:cs="Arial"/>
          <w:rtl/>
        </w:rPr>
        <w:footnoteReference w:id="1695"/>
      </w:r>
      <w:r w:rsidR="00BC5DAA" w:rsidRPr="00BC5DAA">
        <w:rPr>
          <w:rFonts w:cs="Arial" w:hint="cs"/>
          <w:rtl/>
        </w:rPr>
        <w:t>.</w:t>
      </w:r>
      <w:r w:rsidRPr="00BC5DAA">
        <w:rPr>
          <w:rFonts w:cs="Arial"/>
          <w:rtl/>
        </w:rPr>
        <w:t xml:space="preserve"> </w:t>
      </w:r>
    </w:p>
    <w:p w14:paraId="11C8CE93"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5FA994C6" w14:textId="7692B511" w:rsidR="000C6229" w:rsidRPr="005275DF" w:rsidRDefault="000C6229" w:rsidP="00434A6A">
      <w:pPr>
        <w:rPr>
          <w:rFonts w:asciiTheme="minorBidi" w:hAnsiTheme="minorBidi"/>
          <w:rtl/>
        </w:rPr>
      </w:pPr>
      <w:r w:rsidRPr="005275DF">
        <w:rPr>
          <w:rFonts w:asciiTheme="minorBidi" w:hAnsiTheme="minorBidi"/>
          <w:rtl/>
        </w:rPr>
        <w:t xml:space="preserve">מכניס אדם </w:t>
      </w:r>
      <w:r w:rsidR="00357CCA">
        <w:rPr>
          <w:rFonts w:asciiTheme="minorBidi" w:hAnsiTheme="minorBidi"/>
          <w:rtl/>
        </w:rPr>
        <w:t>מבעוד יום</w:t>
      </w:r>
      <w:r w:rsidRPr="005275DF">
        <w:rPr>
          <w:rFonts w:asciiTheme="minorBidi" w:hAnsiTheme="minorBidi"/>
          <w:rtl/>
        </w:rPr>
        <w:t xml:space="preserve"> מלא קופתו עפר ומייחד לו קרן זוית ועושה בו כל צרכיו בשבת, כגון: ליטול ממנו</w:t>
      </w:r>
      <w:r w:rsidR="00AB79D3">
        <w:rPr>
          <w:rStyle w:val="a9"/>
          <w:rFonts w:asciiTheme="minorBidi" w:hAnsiTheme="minorBidi"/>
          <w:rtl/>
        </w:rPr>
        <w:footnoteReference w:id="1696"/>
      </w:r>
      <w:r w:rsidRPr="005275DF">
        <w:rPr>
          <w:rFonts w:asciiTheme="minorBidi" w:hAnsiTheme="minorBidi"/>
          <w:rtl/>
        </w:rPr>
        <w:t xml:space="preserve"> לכסות צואה או רוק וכיוצא בזה</w:t>
      </w:r>
      <w:r w:rsidR="00BC5DAA">
        <w:rPr>
          <w:rFonts w:asciiTheme="minorBidi" w:hAnsiTheme="minorBidi" w:hint="cs"/>
          <w:rtl/>
        </w:rPr>
        <w:t>.</w:t>
      </w:r>
      <w:r w:rsidRPr="005275DF">
        <w:rPr>
          <w:rFonts w:asciiTheme="minorBidi" w:hAnsiTheme="minorBidi"/>
          <w:rtl/>
        </w:rPr>
        <w:t xml:space="preserve"> אבל אם לא ייחד לו קרן זוית, בטל</w:t>
      </w:r>
      <w:r w:rsidR="00AB79D3">
        <w:rPr>
          <w:rStyle w:val="a9"/>
          <w:rFonts w:asciiTheme="minorBidi" w:hAnsiTheme="minorBidi"/>
          <w:rtl/>
        </w:rPr>
        <w:footnoteReference w:id="1697"/>
      </w:r>
      <w:r w:rsidRPr="005275DF">
        <w:rPr>
          <w:rFonts w:asciiTheme="minorBidi" w:hAnsiTheme="minorBidi"/>
          <w:rtl/>
        </w:rPr>
        <w:t xml:space="preserve"> אגב עפר הבית ואסור לטלטלו. </w:t>
      </w:r>
      <w:r w:rsidRPr="00BC5DAA">
        <w:rPr>
          <w:rFonts w:asciiTheme="minorBidi" w:hAnsiTheme="minorBidi"/>
          <w:sz w:val="18"/>
          <w:szCs w:val="18"/>
          <w:rtl/>
        </w:rPr>
        <w:t>הגה: ולכן מותר ליקח פירות הטמונים בחול</w:t>
      </w:r>
      <w:r w:rsidR="00AB79D3">
        <w:rPr>
          <w:rStyle w:val="a9"/>
          <w:rFonts w:asciiTheme="minorBidi" w:hAnsiTheme="minorBidi"/>
          <w:sz w:val="18"/>
          <w:szCs w:val="18"/>
          <w:rtl/>
        </w:rPr>
        <w:footnoteReference w:id="1698"/>
      </w:r>
      <w:r w:rsidRPr="00BC5DAA">
        <w:rPr>
          <w:rFonts w:asciiTheme="minorBidi" w:hAnsiTheme="minorBidi"/>
          <w:sz w:val="18"/>
          <w:szCs w:val="18"/>
          <w:rtl/>
        </w:rPr>
        <w:t>, כי אין אותו עפר מוקצה (ב"י סי' שי"א בשם שב</w:t>
      </w:r>
      <w:r w:rsidR="00BC5DAA">
        <w:rPr>
          <w:rFonts w:asciiTheme="minorBidi" w:hAnsiTheme="minorBidi" w:hint="cs"/>
          <w:sz w:val="18"/>
          <w:szCs w:val="18"/>
          <w:rtl/>
        </w:rPr>
        <w:t>ה"</w:t>
      </w:r>
      <w:r w:rsidRPr="00BC5DAA">
        <w:rPr>
          <w:rFonts w:asciiTheme="minorBidi" w:hAnsiTheme="minorBidi"/>
          <w:sz w:val="18"/>
          <w:szCs w:val="18"/>
          <w:rtl/>
        </w:rPr>
        <w:t>ל).</w:t>
      </w:r>
      <w:r w:rsidRPr="005275DF">
        <w:rPr>
          <w:rFonts w:asciiTheme="minorBidi" w:hAnsiTheme="minorBidi"/>
          <w:rtl/>
        </w:rPr>
        <w:t xml:space="preserve"> </w:t>
      </w:r>
    </w:p>
    <w:p w14:paraId="07BD52B0" w14:textId="77777777" w:rsidR="000C6229" w:rsidRPr="005275DF" w:rsidRDefault="000C6229" w:rsidP="00434A6A">
      <w:pPr>
        <w:rPr>
          <w:rFonts w:asciiTheme="minorBidi" w:hAnsiTheme="minorBidi"/>
          <w:rtl/>
        </w:rPr>
      </w:pPr>
    </w:p>
    <w:p w14:paraId="0519ECDA" w14:textId="6B0A39D8" w:rsidR="000C6229" w:rsidRDefault="000C6229" w:rsidP="00434A6A">
      <w:pPr>
        <w:pStyle w:val="2"/>
        <w:rPr>
          <w:rtl/>
        </w:rPr>
      </w:pPr>
      <w:r w:rsidRPr="005275DF">
        <w:rPr>
          <w:rtl/>
        </w:rPr>
        <w:t>סעיף לט</w:t>
      </w:r>
      <w:r w:rsidR="00AB79D3">
        <w:rPr>
          <w:rFonts w:hint="cs"/>
          <w:rtl/>
        </w:rPr>
        <w:t>: בהמה חיה ועוף.</w:t>
      </w:r>
    </w:p>
    <w:p w14:paraId="1ED03B67" w14:textId="3323A135" w:rsidR="00561381" w:rsidRDefault="00561381" w:rsidP="00434A6A">
      <w:pPr>
        <w:rPr>
          <w:rFonts w:cs="Arial"/>
          <w:rtl/>
        </w:rPr>
      </w:pPr>
      <w:r w:rsidRPr="002A45F7">
        <w:rPr>
          <w:rFonts w:hint="cs"/>
          <w:b/>
          <w:bCs/>
          <w:rtl/>
        </w:rPr>
        <w:t xml:space="preserve">שבת </w:t>
      </w:r>
      <w:r>
        <w:rPr>
          <w:rFonts w:hint="cs"/>
          <w:b/>
          <w:bCs/>
          <w:sz w:val="16"/>
          <w:szCs w:val="16"/>
          <w:rtl/>
        </w:rPr>
        <w:t>(פ' כירה)</w:t>
      </w:r>
      <w:r>
        <w:rPr>
          <w:rFonts w:hint="cs"/>
          <w:b/>
          <w:bCs/>
          <w:rtl/>
        </w:rPr>
        <w:t xml:space="preserve"> מב</w:t>
      </w:r>
      <w:r w:rsidRPr="002A45F7">
        <w:rPr>
          <w:rFonts w:hint="cs"/>
          <w:b/>
          <w:bCs/>
          <w:rtl/>
        </w:rPr>
        <w:t xml:space="preserve"> ע"</w:t>
      </w:r>
      <w:r>
        <w:rPr>
          <w:rFonts w:hint="cs"/>
          <w:b/>
          <w:bCs/>
          <w:rtl/>
        </w:rPr>
        <w:t>ב</w:t>
      </w:r>
      <w:r w:rsidRPr="002A45F7">
        <w:rPr>
          <w:rFonts w:hint="cs"/>
          <w:b/>
          <w:bCs/>
          <w:rtl/>
        </w:rPr>
        <w:t>:</w:t>
      </w:r>
      <w:r>
        <w:rPr>
          <w:rFonts w:cs="Arial" w:hint="cs"/>
          <w:rtl/>
        </w:rPr>
        <w:t xml:space="preserve"> </w:t>
      </w:r>
      <w:r w:rsidRPr="003E7804">
        <w:rPr>
          <w:rFonts w:cs="Arial"/>
          <w:u w:val="single"/>
          <w:rtl/>
        </w:rPr>
        <w:t>אמר רב חסדא</w:t>
      </w:r>
      <w:r w:rsidRPr="003E7804">
        <w:rPr>
          <w:rFonts w:cs="Arial"/>
          <w:rtl/>
        </w:rPr>
        <w:t>: אף על פי שאמרו אין נותנין כלי תחת תרנגולת לקבל ביצתה - אבל כופה עליה כלי שלא תשבר.</w:t>
      </w:r>
      <w:r>
        <w:rPr>
          <w:rFonts w:cs="Arial" w:hint="cs"/>
          <w:rtl/>
        </w:rPr>
        <w:t>..</w:t>
      </w:r>
      <w:r w:rsidRPr="003E7804">
        <w:rPr>
          <w:rFonts w:cs="Arial"/>
          <w:rtl/>
        </w:rPr>
        <w:t xml:space="preserve"> </w:t>
      </w:r>
      <w:r>
        <w:rPr>
          <w:rFonts w:cs="Arial" w:hint="cs"/>
          <w:sz w:val="14"/>
          <w:szCs w:val="14"/>
          <w:rtl/>
        </w:rPr>
        <w:t xml:space="preserve">(מג.) </w:t>
      </w:r>
      <w:r w:rsidRPr="003E7804">
        <w:rPr>
          <w:rFonts w:cs="Arial"/>
          <w:u w:val="single"/>
          <w:rtl/>
        </w:rPr>
        <w:t>רב יוסף אמר</w:t>
      </w:r>
      <w:r w:rsidRPr="003E7804">
        <w:rPr>
          <w:rFonts w:cs="Arial"/>
          <w:rtl/>
        </w:rPr>
        <w:t xml:space="preserve">: היינו טעמא דרב חסדא - משום דקא מבטל כלי מהיכנו. </w:t>
      </w:r>
      <w:r w:rsidRPr="003E7804">
        <w:rPr>
          <w:rFonts w:cs="Arial"/>
          <w:u w:val="single"/>
          <w:rtl/>
        </w:rPr>
        <w:t>איתיביה אביי</w:t>
      </w:r>
      <w:r w:rsidRPr="003E7804">
        <w:rPr>
          <w:rFonts w:cs="Arial"/>
          <w:rtl/>
        </w:rPr>
        <w:t>:</w:t>
      </w:r>
      <w:r>
        <w:rPr>
          <w:rFonts w:cs="Arial" w:hint="cs"/>
          <w:rtl/>
        </w:rPr>
        <w:t>...</w:t>
      </w:r>
      <w:r w:rsidRPr="003E7804">
        <w:rPr>
          <w:rFonts w:cs="Arial"/>
          <w:rtl/>
        </w:rPr>
        <w:t xml:space="preserve"> כופין את הסל לפני האפרוחין שיעלו וירדו! קסבר: מותר לטלטלו. והתניא: אסור לטלטלו! בעודן עליו. והתניא: אף על פי שאין עודן עליו אסור! </w:t>
      </w:r>
      <w:r w:rsidRPr="003E7804">
        <w:rPr>
          <w:rFonts w:cs="Arial"/>
          <w:u w:val="single"/>
          <w:rtl/>
        </w:rPr>
        <w:t>אמר רבי אבהו</w:t>
      </w:r>
      <w:r w:rsidRPr="003E7804">
        <w:rPr>
          <w:rFonts w:cs="Arial"/>
          <w:rtl/>
        </w:rPr>
        <w:t>: בעודן עליו כל בין השמשות, מיגו דאיתקצאי לבין השמשות - איתקצאי לכולי יומא.</w:t>
      </w:r>
      <w:r w:rsidRPr="00561381">
        <w:rPr>
          <w:rFonts w:cs="Arial" w:hint="cs"/>
          <w:sz w:val="16"/>
          <w:szCs w:val="16"/>
          <w:rtl/>
        </w:rPr>
        <w:t xml:space="preserve"> (</w:t>
      </w:r>
      <w:r w:rsidRPr="00561381">
        <w:rPr>
          <w:rFonts w:cs="Arial"/>
          <w:sz w:val="16"/>
          <w:szCs w:val="16"/>
          <w:rtl/>
        </w:rPr>
        <w:t>ויתבאר זה בסימן ש"י (</w:t>
      </w:r>
      <w:r w:rsidR="00A70789">
        <w:rPr>
          <w:rFonts w:cs="Arial" w:hint="cs"/>
          <w:sz w:val="16"/>
          <w:szCs w:val="16"/>
          <w:rtl/>
        </w:rPr>
        <w:t>סע' ו</w:t>
      </w:r>
      <w:r w:rsidRPr="00561381">
        <w:rPr>
          <w:rFonts w:cs="Arial"/>
          <w:sz w:val="16"/>
          <w:szCs w:val="16"/>
          <w:rtl/>
        </w:rPr>
        <w:t>) בסייעתא דשמיא</w:t>
      </w:r>
      <w:r>
        <w:rPr>
          <w:rFonts w:cs="Arial" w:hint="cs"/>
          <w:sz w:val="16"/>
          <w:szCs w:val="16"/>
          <w:rtl/>
        </w:rPr>
        <w:t>, ב"י)</w:t>
      </w:r>
    </w:p>
    <w:p w14:paraId="0A85DC15" w14:textId="6460E4F7" w:rsidR="003113A6" w:rsidRDefault="003113A6" w:rsidP="00434A6A">
      <w:pPr>
        <w:rPr>
          <w:rFonts w:cs="Arial"/>
          <w:rtl/>
        </w:rPr>
      </w:pPr>
      <w:r w:rsidRPr="002A45F7">
        <w:rPr>
          <w:rFonts w:hint="cs"/>
          <w:b/>
          <w:bCs/>
          <w:rtl/>
        </w:rPr>
        <w:t xml:space="preserve">שבת </w:t>
      </w:r>
      <w:r>
        <w:rPr>
          <w:rFonts w:hint="cs"/>
          <w:b/>
          <w:bCs/>
          <w:sz w:val="16"/>
          <w:szCs w:val="16"/>
          <w:rtl/>
        </w:rPr>
        <w:t xml:space="preserve">(פ' </w:t>
      </w:r>
      <w:r w:rsidR="00F216AD">
        <w:rPr>
          <w:rFonts w:hint="cs"/>
          <w:b/>
          <w:bCs/>
          <w:sz w:val="16"/>
          <w:szCs w:val="16"/>
          <w:rtl/>
        </w:rPr>
        <w:t>מפנין</w:t>
      </w:r>
      <w:r>
        <w:rPr>
          <w:rFonts w:hint="cs"/>
          <w:b/>
          <w:bCs/>
          <w:sz w:val="16"/>
          <w:szCs w:val="16"/>
          <w:rtl/>
        </w:rPr>
        <w:t>)</w:t>
      </w:r>
      <w:r>
        <w:rPr>
          <w:rFonts w:hint="cs"/>
          <w:b/>
          <w:bCs/>
          <w:rtl/>
        </w:rPr>
        <w:t xml:space="preserve"> </w:t>
      </w:r>
      <w:r w:rsidR="00F216AD">
        <w:rPr>
          <w:rFonts w:hint="cs"/>
          <w:b/>
          <w:bCs/>
          <w:rtl/>
        </w:rPr>
        <w:t>קכח</w:t>
      </w:r>
      <w:r w:rsidRPr="002A45F7">
        <w:rPr>
          <w:rFonts w:hint="cs"/>
          <w:b/>
          <w:bCs/>
          <w:rtl/>
        </w:rPr>
        <w:t xml:space="preserve"> ע"</w:t>
      </w:r>
      <w:r w:rsidR="00F216AD">
        <w:rPr>
          <w:rFonts w:hint="cs"/>
          <w:b/>
          <w:bCs/>
          <w:rtl/>
        </w:rPr>
        <w:t>ב</w:t>
      </w:r>
      <w:r w:rsidRPr="002A45F7">
        <w:rPr>
          <w:rFonts w:hint="cs"/>
          <w:b/>
          <w:bCs/>
          <w:rtl/>
        </w:rPr>
        <w:t>:</w:t>
      </w:r>
      <w:r>
        <w:rPr>
          <w:rFonts w:cs="Arial" w:hint="cs"/>
          <w:rtl/>
        </w:rPr>
        <w:t xml:space="preserve"> </w:t>
      </w:r>
      <w:r w:rsidR="008D2C2C" w:rsidRPr="008D2C2C">
        <w:rPr>
          <w:rFonts w:cs="Arial"/>
          <w:u w:val="double"/>
          <w:rtl/>
        </w:rPr>
        <w:t>משנה</w:t>
      </w:r>
      <w:r w:rsidR="008D2C2C">
        <w:rPr>
          <w:rFonts w:cs="Arial" w:hint="cs"/>
          <w:rtl/>
        </w:rPr>
        <w:t>:</w:t>
      </w:r>
      <w:r w:rsidR="008D2C2C" w:rsidRPr="008D2C2C">
        <w:rPr>
          <w:rFonts w:cs="Arial"/>
          <w:rtl/>
        </w:rPr>
        <w:t xml:space="preserve"> כופין את הסל לפני האפרוחים</w:t>
      </w:r>
      <w:r w:rsidR="00561381">
        <w:rPr>
          <w:rStyle w:val="a9"/>
          <w:rFonts w:cs="Arial"/>
          <w:rtl/>
        </w:rPr>
        <w:footnoteReference w:id="1699"/>
      </w:r>
      <w:r w:rsidR="008D2C2C" w:rsidRPr="008D2C2C">
        <w:rPr>
          <w:rFonts w:cs="Arial"/>
          <w:rtl/>
        </w:rPr>
        <w:t xml:space="preserve"> כדי שיעלו וירדו.</w:t>
      </w:r>
    </w:p>
    <w:p w14:paraId="238A4500" w14:textId="435D16C8" w:rsidR="003113A6" w:rsidRPr="00AB79D3" w:rsidRDefault="00AB79D3" w:rsidP="00434A6A">
      <w:pPr>
        <w:rPr>
          <w:u w:val="single"/>
          <w:rtl/>
        </w:rPr>
      </w:pPr>
      <w:r w:rsidRPr="00AB79D3">
        <w:rPr>
          <w:rFonts w:hint="cs"/>
          <w:u w:val="single"/>
          <w:rtl/>
        </w:rPr>
        <w:t>טלטול בהמה חיה ועוף:</w:t>
      </w:r>
    </w:p>
    <w:p w14:paraId="0F62C0C1" w14:textId="743CBA2F" w:rsidR="00B87CA9" w:rsidRDefault="00B87CA9" w:rsidP="00434A6A">
      <w:pPr>
        <w:pStyle w:val="aa"/>
        <w:numPr>
          <w:ilvl w:val="0"/>
          <w:numId w:val="3"/>
        </w:numPr>
        <w:rPr>
          <w:rFonts w:cs="Arial"/>
        </w:rPr>
      </w:pPr>
      <w:r>
        <w:rPr>
          <w:rFonts w:cs="Arial" w:hint="cs"/>
          <w:rtl/>
        </w:rPr>
        <w:t xml:space="preserve">הה"מ </w:t>
      </w:r>
      <w:r>
        <w:rPr>
          <w:rFonts w:cs="Arial" w:hint="cs"/>
          <w:sz w:val="16"/>
          <w:szCs w:val="16"/>
          <w:rtl/>
        </w:rPr>
        <w:t>(פכ"ה הכ"ה)</w:t>
      </w:r>
      <w:r>
        <w:rPr>
          <w:rFonts w:cs="Arial" w:hint="cs"/>
          <w:rtl/>
        </w:rPr>
        <w:t xml:space="preserve">- </w:t>
      </w:r>
      <w:r w:rsidRPr="00B87CA9">
        <w:rPr>
          <w:rFonts w:cs="Arial"/>
          <w:rtl/>
        </w:rPr>
        <w:t>האפרוחים ושום בהמה חיה ועוף חיים אינן מותרין בטלטול לפי שאינן ראויין</w:t>
      </w:r>
      <w:r w:rsidR="007D33C2">
        <w:rPr>
          <w:rStyle w:val="a9"/>
          <w:rFonts w:cs="Arial"/>
          <w:rtl/>
        </w:rPr>
        <w:footnoteReference w:id="1700"/>
      </w:r>
      <w:r>
        <w:rPr>
          <w:rFonts w:cs="Arial" w:hint="cs"/>
          <w:rtl/>
        </w:rPr>
        <w:t>.</w:t>
      </w:r>
      <w:r w:rsidRPr="00B87CA9">
        <w:rPr>
          <w:rFonts w:cs="Arial" w:hint="cs"/>
          <w:color w:val="E36C0A" w:themeColor="accent6" w:themeShade="BF"/>
          <w:rtl/>
        </w:rPr>
        <w:t xml:space="preserve"> </w:t>
      </w:r>
      <w:r w:rsidRPr="00561381">
        <w:rPr>
          <w:rFonts w:cs="Arial" w:hint="cs"/>
          <w:color w:val="E36C0A" w:themeColor="accent6" w:themeShade="BF"/>
          <w:rtl/>
        </w:rPr>
        <w:t>(וכ"פ בשו"ע)</w:t>
      </w:r>
    </w:p>
    <w:p w14:paraId="164EB3D9" w14:textId="7F47DFC3" w:rsidR="00B87CA9" w:rsidRPr="007D33C2" w:rsidRDefault="00B87CA9" w:rsidP="00434A6A">
      <w:pPr>
        <w:ind w:left="360"/>
        <w:rPr>
          <w:rFonts w:cs="Arial"/>
          <w:u w:val="dotted"/>
        </w:rPr>
      </w:pPr>
      <w:r w:rsidRPr="007D33C2">
        <w:rPr>
          <w:rFonts w:cs="Arial" w:hint="cs"/>
          <w:u w:val="dotted"/>
          <w:rtl/>
        </w:rPr>
        <w:t>האם מותר לכפות סל כדי שהאפרוחים יעלו</w:t>
      </w:r>
      <w:r w:rsidR="007D33C2" w:rsidRPr="007D33C2">
        <w:rPr>
          <w:rFonts w:cs="Arial" w:hint="cs"/>
          <w:u w:val="dotted"/>
          <w:rtl/>
        </w:rPr>
        <w:t xml:space="preserve"> וירדו בו</w:t>
      </w:r>
      <w:r w:rsidRPr="007D33C2">
        <w:rPr>
          <w:rFonts w:cs="Arial" w:hint="cs"/>
          <w:u w:val="dotted"/>
          <w:rtl/>
        </w:rPr>
        <w:t>:</w:t>
      </w:r>
    </w:p>
    <w:p w14:paraId="0B0B3069" w14:textId="6D3279D5" w:rsidR="007D33C2" w:rsidRDefault="007D33C2" w:rsidP="00434A6A">
      <w:pPr>
        <w:pStyle w:val="aa"/>
        <w:numPr>
          <w:ilvl w:val="0"/>
          <w:numId w:val="3"/>
        </w:numPr>
        <w:rPr>
          <w:rFonts w:cs="Arial"/>
        </w:rPr>
      </w:pPr>
      <w:r>
        <w:rPr>
          <w:rFonts w:cs="Arial" w:hint="cs"/>
          <w:rtl/>
        </w:rPr>
        <w:t xml:space="preserve">רמב"ם </w:t>
      </w:r>
      <w:r>
        <w:rPr>
          <w:rFonts w:cs="Arial" w:hint="cs"/>
          <w:sz w:val="16"/>
          <w:szCs w:val="16"/>
          <w:rtl/>
        </w:rPr>
        <w:t>(פכ"ה הכ"ה)</w:t>
      </w:r>
      <w:r w:rsidR="000417EB">
        <w:rPr>
          <w:rFonts w:cs="Arial" w:hint="cs"/>
          <w:rtl/>
        </w:rPr>
        <w:t xml:space="preserve"> וטור</w:t>
      </w:r>
      <w:r>
        <w:rPr>
          <w:rFonts w:cs="Arial" w:hint="cs"/>
          <w:rtl/>
        </w:rPr>
        <w:t xml:space="preserve">- </w:t>
      </w:r>
      <w:r w:rsidRPr="007D33C2">
        <w:rPr>
          <w:rFonts w:cs="Arial"/>
          <w:rtl/>
        </w:rPr>
        <w:t>כופין את הסל בשבת לפני האפרוחים בשביל שיעלו עליו וירדו</w:t>
      </w:r>
      <w:r>
        <w:rPr>
          <w:rFonts w:cs="Arial" w:hint="cs"/>
          <w:rtl/>
        </w:rPr>
        <w:t>,</w:t>
      </w:r>
      <w:r w:rsidRPr="007D33C2">
        <w:rPr>
          <w:rFonts w:cs="Arial"/>
          <w:rtl/>
        </w:rPr>
        <w:t xml:space="preserve"> שהרי מותר לטלטלו כשירדו מעליו</w:t>
      </w:r>
      <w:r>
        <w:rPr>
          <w:rFonts w:cs="Arial" w:hint="cs"/>
          <w:rtl/>
        </w:rPr>
        <w:t>,</w:t>
      </w:r>
      <w:r w:rsidRPr="007D33C2">
        <w:rPr>
          <w:rFonts w:cs="Arial"/>
          <w:rtl/>
        </w:rPr>
        <w:t xml:space="preserve"> וכן כל כיוצא בזה</w:t>
      </w:r>
      <w:r w:rsidR="000417EB">
        <w:rPr>
          <w:rFonts w:cs="Arial" w:hint="cs"/>
          <w:sz w:val="16"/>
          <w:szCs w:val="16"/>
          <w:rtl/>
        </w:rPr>
        <w:t xml:space="preserve"> (ל' הרמב"ם)</w:t>
      </w:r>
      <w:r>
        <w:rPr>
          <w:rFonts w:cs="Arial" w:hint="cs"/>
          <w:rtl/>
        </w:rPr>
        <w:t>.</w:t>
      </w:r>
      <w:r w:rsidRPr="007D33C2">
        <w:rPr>
          <w:rFonts w:cs="Arial" w:hint="cs"/>
          <w:color w:val="E36C0A" w:themeColor="accent6" w:themeShade="BF"/>
          <w:rtl/>
        </w:rPr>
        <w:t xml:space="preserve"> </w:t>
      </w:r>
      <w:r w:rsidRPr="00561381">
        <w:rPr>
          <w:rFonts w:cs="Arial" w:hint="cs"/>
          <w:color w:val="E36C0A" w:themeColor="accent6" w:themeShade="BF"/>
          <w:rtl/>
        </w:rPr>
        <w:t>(וכ"פ בשו"ע)</w:t>
      </w:r>
    </w:p>
    <w:p w14:paraId="4478CB74" w14:textId="63748E5A" w:rsidR="00C5440C" w:rsidRPr="00C5440C" w:rsidRDefault="00C5440C" w:rsidP="00434A6A">
      <w:pPr>
        <w:rPr>
          <w:rFonts w:cs="Arial"/>
          <w:u w:val="single"/>
        </w:rPr>
      </w:pPr>
      <w:r w:rsidRPr="00C5440C">
        <w:rPr>
          <w:rFonts w:cs="Arial" w:hint="cs"/>
          <w:u w:val="single"/>
          <w:rtl/>
        </w:rPr>
        <w:t>טלטול חיה ועוף ש</w:t>
      </w:r>
      <w:r w:rsidR="00A50660">
        <w:rPr>
          <w:rFonts w:cs="Arial" w:hint="cs"/>
          <w:u w:val="single"/>
          <w:rtl/>
        </w:rPr>
        <w:t>י</w:t>
      </w:r>
      <w:r w:rsidRPr="00C5440C">
        <w:rPr>
          <w:rFonts w:cs="Arial" w:hint="cs"/>
          <w:u w:val="single"/>
          <w:rtl/>
        </w:rPr>
        <w:t xml:space="preserve">יחד </w:t>
      </w:r>
      <w:r w:rsidR="00A50660">
        <w:rPr>
          <w:rFonts w:cs="Arial" w:hint="cs"/>
          <w:u w:val="single"/>
          <w:rtl/>
        </w:rPr>
        <w:t>אותם האדם לשימושו והנאתו</w:t>
      </w:r>
      <w:r>
        <w:rPr>
          <w:rFonts w:cs="Arial" w:hint="cs"/>
          <w:u w:val="single"/>
          <w:rtl/>
        </w:rPr>
        <w:t xml:space="preserve"> </w:t>
      </w:r>
      <w:r>
        <w:rPr>
          <w:rFonts w:cs="Arial" w:hint="cs"/>
          <w:sz w:val="16"/>
          <w:szCs w:val="16"/>
          <w:u w:val="single"/>
          <w:rtl/>
        </w:rPr>
        <w:t>(כמו תוכי, כלב</w:t>
      </w:r>
      <w:r w:rsidR="00A50660">
        <w:rPr>
          <w:rFonts w:cs="Arial" w:hint="cs"/>
          <w:sz w:val="16"/>
          <w:szCs w:val="16"/>
          <w:u w:val="single"/>
          <w:rtl/>
        </w:rPr>
        <w:t>,</w:t>
      </w:r>
      <w:r>
        <w:rPr>
          <w:rFonts w:cs="Arial" w:hint="cs"/>
          <w:sz w:val="16"/>
          <w:szCs w:val="16"/>
          <w:u w:val="single"/>
          <w:rtl/>
        </w:rPr>
        <w:t xml:space="preserve"> וכדו')</w:t>
      </w:r>
      <w:r w:rsidRPr="00C5440C">
        <w:rPr>
          <w:rFonts w:cs="Arial" w:hint="cs"/>
          <w:u w:val="single"/>
          <w:rtl/>
        </w:rPr>
        <w:t>:</w:t>
      </w:r>
    </w:p>
    <w:p w14:paraId="0CA9220B" w14:textId="61718E3F" w:rsidR="00C5440C" w:rsidRDefault="00C5440C" w:rsidP="00434A6A">
      <w:pPr>
        <w:pStyle w:val="aa"/>
        <w:numPr>
          <w:ilvl w:val="0"/>
          <w:numId w:val="3"/>
        </w:numPr>
        <w:rPr>
          <w:rFonts w:cs="Arial"/>
        </w:rPr>
      </w:pPr>
      <w:r w:rsidRPr="00C5440C">
        <w:rPr>
          <w:rFonts w:cs="Arial"/>
          <w:rtl/>
        </w:rPr>
        <w:t xml:space="preserve">שו"ת מהר"ח אור זרוע </w:t>
      </w:r>
      <w:r w:rsidRPr="00C5440C">
        <w:rPr>
          <w:rFonts w:cs="Arial"/>
          <w:sz w:val="16"/>
          <w:szCs w:val="16"/>
          <w:rtl/>
        </w:rPr>
        <w:t>(ס</w:t>
      </w:r>
      <w:r>
        <w:rPr>
          <w:rFonts w:cs="Arial" w:hint="cs"/>
          <w:sz w:val="16"/>
          <w:szCs w:val="16"/>
          <w:rtl/>
        </w:rPr>
        <w:t>י'</w:t>
      </w:r>
      <w:r w:rsidRPr="00C5440C">
        <w:rPr>
          <w:rFonts w:cs="Arial"/>
          <w:sz w:val="16"/>
          <w:szCs w:val="16"/>
          <w:rtl/>
        </w:rPr>
        <w:t xml:space="preserve"> פא</w:t>
      </w:r>
      <w:r>
        <w:rPr>
          <w:rFonts w:cs="Arial" w:hint="cs"/>
          <w:sz w:val="16"/>
          <w:szCs w:val="16"/>
          <w:rtl/>
        </w:rPr>
        <w:t>-פב</w:t>
      </w:r>
      <w:r w:rsidRPr="00C5440C">
        <w:rPr>
          <w:rFonts w:cs="Arial"/>
          <w:sz w:val="16"/>
          <w:szCs w:val="16"/>
          <w:rtl/>
        </w:rPr>
        <w:t>)</w:t>
      </w:r>
      <w:r>
        <w:rPr>
          <w:rFonts w:cs="Arial" w:hint="cs"/>
          <w:rtl/>
        </w:rPr>
        <w:t xml:space="preserve">- </w:t>
      </w:r>
      <w:r w:rsidRPr="00C5440C">
        <w:rPr>
          <w:rFonts w:cs="Arial"/>
          <w:rtl/>
        </w:rPr>
        <w:t>אחננה פני רבותי להשיבני הלכה למעשה</w:t>
      </w:r>
      <w:r>
        <w:rPr>
          <w:rFonts w:cs="Arial" w:hint="cs"/>
          <w:rtl/>
        </w:rPr>
        <w:t>...</w:t>
      </w:r>
      <w:r w:rsidRPr="00C5440C">
        <w:rPr>
          <w:rFonts w:cs="Arial"/>
          <w:rtl/>
        </w:rPr>
        <w:t xml:space="preserve"> הודיעוני כי נ</w:t>
      </w:r>
      <w:r>
        <w:rPr>
          <w:rFonts w:cs="Arial" w:hint="cs"/>
          <w:rtl/>
        </w:rPr>
        <w:t xml:space="preserve">ראה </w:t>
      </w:r>
      <w:r w:rsidRPr="00C5440C">
        <w:rPr>
          <w:rFonts w:cs="Arial"/>
          <w:rtl/>
        </w:rPr>
        <w:t>ל</w:t>
      </w:r>
      <w:r>
        <w:rPr>
          <w:rFonts w:cs="Arial" w:hint="cs"/>
          <w:rtl/>
        </w:rPr>
        <w:t>י</w:t>
      </w:r>
      <w:r w:rsidRPr="00C5440C">
        <w:rPr>
          <w:rFonts w:cs="Arial"/>
          <w:rtl/>
        </w:rPr>
        <w:t xml:space="preserve"> אעפ"י שבעלי חיים מוקצים נינהו. מ"מ נ"ל להתיר לטלטל עופות המצפצפים בקול נאה בכלובו. דליכא למיחש דילמא שמיט גדפייהו כיון שבני אדם נהנים בקולם לאו מוקצים נינהו. מידי דהוי אסליקוסתא שהיא למראה. וקול ומראה כי הדדי נינהו לענין מעילה. וצא ולמד מכל כלי שיר דאי לאו גזירה שמא תפסק נימא היה מותר לטלטלן ולשורר בהן. העני בדעת חיים אליעזר בן רבינו יצחק.</w:t>
      </w:r>
      <w:r>
        <w:rPr>
          <w:rFonts w:cs="Arial" w:hint="cs"/>
          <w:rtl/>
        </w:rPr>
        <w:t>..</w:t>
      </w:r>
      <w:r w:rsidRPr="00C5440C">
        <w:rPr>
          <w:rtl/>
        </w:rPr>
        <w:t xml:space="preserve"> </w:t>
      </w:r>
      <w:r>
        <w:rPr>
          <w:rFonts w:hint="cs"/>
          <w:sz w:val="16"/>
          <w:szCs w:val="16"/>
          <w:rtl/>
        </w:rPr>
        <w:t>{וענה לו הרא"ש</w:t>
      </w:r>
      <w:r w:rsidR="00A50660">
        <w:rPr>
          <w:rFonts w:hint="cs"/>
          <w:sz w:val="16"/>
          <w:szCs w:val="16"/>
          <w:rtl/>
        </w:rPr>
        <w:t>-</w:t>
      </w:r>
      <w:r>
        <w:rPr>
          <w:rFonts w:hint="cs"/>
          <w:sz w:val="16"/>
          <w:szCs w:val="16"/>
          <w:rtl/>
        </w:rPr>
        <w:t>}</w:t>
      </w:r>
      <w:r>
        <w:rPr>
          <w:rFonts w:cs="Arial" w:hint="cs"/>
          <w:rtl/>
        </w:rPr>
        <w:t xml:space="preserve"> </w:t>
      </w:r>
      <w:r w:rsidR="00A50660" w:rsidRPr="00A50660">
        <w:rPr>
          <w:rFonts w:cs="Arial"/>
          <w:rtl/>
        </w:rPr>
        <w:t>אענה אף אני חלקי על דקשיא ליה למר</w:t>
      </w:r>
      <w:r w:rsidR="00A50660">
        <w:rPr>
          <w:rFonts w:cs="Arial" w:hint="cs"/>
          <w:rtl/>
        </w:rPr>
        <w:t>...</w:t>
      </w:r>
      <w:r w:rsidR="00A50660" w:rsidRPr="00A50660">
        <w:rPr>
          <w:rFonts w:cs="Arial"/>
          <w:rtl/>
        </w:rPr>
        <w:t xml:space="preserve"> </w:t>
      </w:r>
      <w:r w:rsidRPr="00C5440C">
        <w:rPr>
          <w:rFonts w:cs="Arial"/>
          <w:rtl/>
        </w:rPr>
        <w:t xml:space="preserve">ועל העופות לא מלאני לבי להתיר דאין ללמוד היתר שמוש בעלי חיים מהיתר כלים. דאף כלי שמלאכתו לאיסור לצורך גופו ולצורך מקומו מותר. אבל צרורות שבחצר אפילו צריך מהם צורך גדול אסור לטלטל משום דאין תורת כלי עליהם הכי נמי בבעלי חיים. ויש לאסור יותר בבעלי חיים דאין משתמשין בבעלי חיים ולא פלוג רבנן בבעלי חיים. אשר בן ה"ר יחיאל זצ"ל. </w:t>
      </w:r>
    </w:p>
    <w:p w14:paraId="426FE871"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5A350666" w14:textId="0D313D11" w:rsidR="000C6229" w:rsidRPr="005275DF" w:rsidRDefault="000C6229" w:rsidP="00434A6A">
      <w:pPr>
        <w:rPr>
          <w:rFonts w:asciiTheme="minorBidi" w:hAnsiTheme="minorBidi"/>
          <w:rtl/>
        </w:rPr>
      </w:pPr>
      <w:r w:rsidRPr="005275DF">
        <w:rPr>
          <w:rFonts w:asciiTheme="minorBidi" w:hAnsiTheme="minorBidi"/>
          <w:rtl/>
        </w:rPr>
        <w:t>אסור לטלטל בהמה חיה ועוף</w:t>
      </w:r>
      <w:r w:rsidR="00FC18A1">
        <w:rPr>
          <w:rStyle w:val="a9"/>
          <w:rFonts w:asciiTheme="minorBidi" w:hAnsiTheme="minorBidi"/>
          <w:rtl/>
        </w:rPr>
        <w:footnoteReference w:id="1701"/>
      </w:r>
      <w:r w:rsidR="00F216AD">
        <w:rPr>
          <w:rFonts w:asciiTheme="minorBidi" w:hAnsiTheme="minorBidi" w:hint="cs"/>
          <w:rtl/>
        </w:rPr>
        <w:t>,</w:t>
      </w:r>
      <w:r w:rsidRPr="005275DF">
        <w:rPr>
          <w:rFonts w:asciiTheme="minorBidi" w:hAnsiTheme="minorBidi"/>
          <w:rtl/>
        </w:rPr>
        <w:t xml:space="preserve"> וא</w:t>
      </w:r>
      <w:r w:rsidR="00F216AD">
        <w:rPr>
          <w:rFonts w:asciiTheme="minorBidi" w:hAnsiTheme="minorBidi" w:hint="cs"/>
          <w:rtl/>
        </w:rPr>
        <w:t xml:space="preserve">ף </w:t>
      </w:r>
      <w:r w:rsidRPr="005275DF">
        <w:rPr>
          <w:rFonts w:asciiTheme="minorBidi" w:hAnsiTheme="minorBidi"/>
          <w:rtl/>
        </w:rPr>
        <w:t>ע</w:t>
      </w:r>
      <w:r w:rsidR="00F216AD">
        <w:rPr>
          <w:rFonts w:asciiTheme="minorBidi" w:hAnsiTheme="minorBidi" w:hint="cs"/>
          <w:rtl/>
        </w:rPr>
        <w:t xml:space="preserve">ל </w:t>
      </w:r>
      <w:r w:rsidRPr="005275DF">
        <w:rPr>
          <w:rFonts w:asciiTheme="minorBidi" w:hAnsiTheme="minorBidi"/>
          <w:rtl/>
        </w:rPr>
        <w:t>פי כן מותר לכפות את הסל לפני האפרוחים כדי שיעלו וירדו בו</w:t>
      </w:r>
      <w:r w:rsidR="00F216AD">
        <w:rPr>
          <w:rFonts w:asciiTheme="minorBidi" w:hAnsiTheme="minorBidi" w:hint="cs"/>
          <w:rtl/>
        </w:rPr>
        <w:t>.</w:t>
      </w:r>
      <w:r w:rsidRPr="005275DF">
        <w:rPr>
          <w:rFonts w:asciiTheme="minorBidi" w:hAnsiTheme="minorBidi"/>
          <w:rtl/>
        </w:rPr>
        <w:t xml:space="preserve"> ובעודם עליו אסור לטלטלו. </w:t>
      </w:r>
    </w:p>
    <w:p w14:paraId="3F435E9B" w14:textId="77777777" w:rsidR="000C6229" w:rsidRPr="005275DF" w:rsidRDefault="000C6229" w:rsidP="00434A6A">
      <w:pPr>
        <w:rPr>
          <w:rFonts w:asciiTheme="minorBidi" w:hAnsiTheme="minorBidi"/>
          <w:rtl/>
        </w:rPr>
      </w:pPr>
    </w:p>
    <w:p w14:paraId="16913B33" w14:textId="7EE9058C" w:rsidR="000C6229" w:rsidRDefault="000C6229" w:rsidP="00434A6A">
      <w:pPr>
        <w:pStyle w:val="2"/>
        <w:rPr>
          <w:rtl/>
        </w:rPr>
      </w:pPr>
      <w:r w:rsidRPr="005275DF">
        <w:rPr>
          <w:rtl/>
        </w:rPr>
        <w:t>סעיף מ</w:t>
      </w:r>
      <w:r w:rsidR="00561381">
        <w:rPr>
          <w:rFonts w:hint="cs"/>
          <w:rtl/>
        </w:rPr>
        <w:t>: דידוי</w:t>
      </w:r>
      <w:r w:rsidR="00B87CA9">
        <w:rPr>
          <w:rFonts w:hint="cs"/>
          <w:rtl/>
        </w:rPr>
        <w:t>/</w:t>
      </w:r>
      <w:r w:rsidR="00561381">
        <w:rPr>
          <w:rFonts w:hint="cs"/>
          <w:rtl/>
        </w:rPr>
        <w:t>דחיפה של בעלי חיים.</w:t>
      </w:r>
    </w:p>
    <w:p w14:paraId="3549E3A8" w14:textId="77777777" w:rsidR="008246DF" w:rsidRDefault="00561381" w:rsidP="00434A6A">
      <w:pPr>
        <w:rPr>
          <w:rFonts w:cs="Arial"/>
          <w:b/>
          <w:bCs/>
          <w:rtl/>
        </w:rPr>
      </w:pPr>
      <w:r w:rsidRPr="002A45F7">
        <w:rPr>
          <w:rFonts w:hint="cs"/>
          <w:b/>
          <w:bCs/>
          <w:rtl/>
        </w:rPr>
        <w:t xml:space="preserve">שבת </w:t>
      </w:r>
      <w:r>
        <w:rPr>
          <w:rFonts w:hint="cs"/>
          <w:b/>
          <w:bCs/>
          <w:sz w:val="16"/>
          <w:szCs w:val="16"/>
          <w:rtl/>
        </w:rPr>
        <w:t>(פ' מפנין)</w:t>
      </w:r>
      <w:r>
        <w:rPr>
          <w:rFonts w:hint="cs"/>
          <w:b/>
          <w:bCs/>
          <w:rtl/>
        </w:rPr>
        <w:t xml:space="preserve"> קכח</w:t>
      </w:r>
      <w:r w:rsidRPr="002A45F7">
        <w:rPr>
          <w:rFonts w:hint="cs"/>
          <w:b/>
          <w:bCs/>
          <w:rtl/>
        </w:rPr>
        <w:t xml:space="preserve"> ע"</w:t>
      </w:r>
      <w:r>
        <w:rPr>
          <w:rFonts w:hint="cs"/>
          <w:b/>
          <w:bCs/>
          <w:rtl/>
        </w:rPr>
        <w:t>ב</w:t>
      </w:r>
      <w:r w:rsidRPr="002A45F7">
        <w:rPr>
          <w:rFonts w:hint="cs"/>
          <w:b/>
          <w:bCs/>
          <w:rtl/>
        </w:rPr>
        <w:t>:</w:t>
      </w:r>
      <w:r>
        <w:rPr>
          <w:rFonts w:cs="Arial" w:hint="cs"/>
          <w:rtl/>
        </w:rPr>
        <w:t xml:space="preserve"> </w:t>
      </w:r>
      <w:r w:rsidRPr="008D2C2C">
        <w:rPr>
          <w:rFonts w:cs="Arial"/>
          <w:u w:val="double"/>
          <w:rtl/>
        </w:rPr>
        <w:t>משנה</w:t>
      </w:r>
      <w:r>
        <w:rPr>
          <w:rFonts w:cs="Arial" w:hint="cs"/>
          <w:rtl/>
        </w:rPr>
        <w:t>:</w:t>
      </w:r>
      <w:r w:rsidRPr="008D2C2C">
        <w:rPr>
          <w:rFonts w:cs="Arial"/>
          <w:rtl/>
        </w:rPr>
        <w:t xml:space="preserve"> כופין את הסל לפני האפרוחים כדי שיעלו וירדו. תרנגולת שברחה דוחין</w:t>
      </w:r>
      <w:r w:rsidR="005C0034">
        <w:rPr>
          <w:rStyle w:val="a9"/>
          <w:rFonts w:cs="Arial"/>
          <w:rtl/>
        </w:rPr>
        <w:footnoteReference w:id="1702"/>
      </w:r>
      <w:r w:rsidRPr="008D2C2C">
        <w:rPr>
          <w:rFonts w:cs="Arial"/>
          <w:rtl/>
        </w:rPr>
        <w:t xml:space="preserve"> אותה עד שתכנס. מדדין עגלין</w:t>
      </w:r>
      <w:r w:rsidR="005C0034">
        <w:rPr>
          <w:rStyle w:val="a9"/>
          <w:rFonts w:cs="Arial"/>
          <w:rtl/>
        </w:rPr>
        <w:footnoteReference w:id="1703"/>
      </w:r>
      <w:r w:rsidRPr="008D2C2C">
        <w:rPr>
          <w:rFonts w:cs="Arial"/>
          <w:rtl/>
        </w:rPr>
        <w:t xml:space="preserve"> וסייחין.</w:t>
      </w:r>
      <w:r w:rsidR="00AD01A9" w:rsidRPr="00AD01A9">
        <w:rPr>
          <w:rtl/>
        </w:rPr>
        <w:t xml:space="preserve"> </w:t>
      </w:r>
      <w:r w:rsidR="00AD01A9" w:rsidRPr="00AD01A9">
        <w:rPr>
          <w:rFonts w:cs="Arial"/>
          <w:rtl/>
        </w:rPr>
        <w:t xml:space="preserve">אשה מדדה את בנה, </w:t>
      </w:r>
      <w:r w:rsidR="00AD01A9" w:rsidRPr="00D45801">
        <w:rPr>
          <w:rFonts w:cs="Arial"/>
          <w:u w:val="single"/>
          <w:rtl/>
        </w:rPr>
        <w:t>אמר רבי יהודה</w:t>
      </w:r>
      <w:r w:rsidR="00AD01A9" w:rsidRPr="00AD01A9">
        <w:rPr>
          <w:rFonts w:cs="Arial"/>
          <w:rtl/>
        </w:rPr>
        <w:t>: אימתי - בזמן שהוא נוטל אחת ומניח אחת! אבל אם היה גורר - אסור</w:t>
      </w:r>
      <w:r w:rsidRPr="008D2C2C">
        <w:rPr>
          <w:rFonts w:cs="Arial"/>
          <w:rtl/>
        </w:rPr>
        <w:t xml:space="preserve">. </w:t>
      </w:r>
      <w:r>
        <w:rPr>
          <w:rFonts w:cs="Arial" w:hint="cs"/>
          <w:rtl/>
        </w:rPr>
        <w:t xml:space="preserve">      </w:t>
      </w:r>
      <w:r w:rsidRPr="008D2C2C">
        <w:rPr>
          <w:rFonts w:cs="Arial"/>
          <w:u w:val="double"/>
          <w:rtl/>
        </w:rPr>
        <w:t>גמרא</w:t>
      </w:r>
      <w:r>
        <w:rPr>
          <w:rFonts w:cs="Arial" w:hint="cs"/>
          <w:rtl/>
        </w:rPr>
        <w:t>:</w:t>
      </w:r>
      <w:r w:rsidRPr="008D2C2C">
        <w:rPr>
          <w:rFonts w:cs="Arial"/>
          <w:rtl/>
        </w:rPr>
        <w:t xml:space="preserve"> תרנגולת שברחה וכו'. דוחין - אין, מדדין - לא</w:t>
      </w:r>
      <w:r w:rsidR="005C0034">
        <w:rPr>
          <w:rStyle w:val="a9"/>
          <w:rFonts w:cs="Arial"/>
          <w:rtl/>
        </w:rPr>
        <w:footnoteReference w:id="1704"/>
      </w:r>
      <w:r w:rsidRPr="008D2C2C">
        <w:rPr>
          <w:rFonts w:cs="Arial"/>
          <w:rtl/>
        </w:rPr>
        <w:t xml:space="preserve">. תנינא להא, דתנו רבנן: מדדין בהמה חיה ועוף בחצר, אבל לא את התרנגולת. תרנגולת מאי טעמא לא? </w:t>
      </w:r>
      <w:r w:rsidRPr="003E7804">
        <w:rPr>
          <w:rFonts w:cs="Arial"/>
          <w:u w:val="single"/>
          <w:rtl/>
        </w:rPr>
        <w:t>אמר אביי</w:t>
      </w:r>
      <w:r w:rsidRPr="008D2C2C">
        <w:rPr>
          <w:rFonts w:cs="Arial"/>
          <w:rtl/>
        </w:rPr>
        <w:t>: משום דמקפיא נפשה</w:t>
      </w:r>
      <w:r w:rsidR="005C0034">
        <w:rPr>
          <w:rStyle w:val="a9"/>
          <w:rFonts w:cs="Arial"/>
          <w:rtl/>
        </w:rPr>
        <w:footnoteReference w:id="1705"/>
      </w:r>
      <w:r w:rsidRPr="008D2C2C">
        <w:rPr>
          <w:rFonts w:cs="Arial"/>
          <w:rtl/>
        </w:rPr>
        <w:t>. תני חדא: מדדין בהמה וחיה ועוף בחצר, אבל לא ברשות הרבים. והאשה מדדה את בנה ברשות הרבים, ואין צריך לומר בחצר. ותניא אידך: אין עוקרין בהמה וחיה ועוף בחצר, אבל דוחין בהן שיכנסו. הא גופא קשיא, אמרת: אין עוקרין</w:t>
      </w:r>
      <w:r w:rsidR="00E30F7B">
        <w:rPr>
          <w:rStyle w:val="a9"/>
          <w:rFonts w:cs="Arial"/>
          <w:rtl/>
        </w:rPr>
        <w:footnoteReference w:id="1706"/>
      </w:r>
      <w:r w:rsidRPr="008D2C2C">
        <w:rPr>
          <w:rFonts w:cs="Arial"/>
          <w:rtl/>
        </w:rPr>
        <w:t xml:space="preserve"> אבל דדויי - מדדינן</w:t>
      </w:r>
      <w:r w:rsidR="00E30F7B">
        <w:rPr>
          <w:rStyle w:val="a9"/>
          <w:rFonts w:cs="Arial"/>
          <w:rtl/>
        </w:rPr>
        <w:footnoteReference w:id="1707"/>
      </w:r>
      <w:r w:rsidRPr="008D2C2C">
        <w:rPr>
          <w:rFonts w:cs="Arial"/>
          <w:rtl/>
        </w:rPr>
        <w:t xml:space="preserve">. הדר אמרת: דוחין - אין, מדדין - לא? </w:t>
      </w:r>
      <w:r w:rsidRPr="003E7804">
        <w:rPr>
          <w:rFonts w:cs="Arial"/>
          <w:u w:val="single"/>
          <w:rtl/>
        </w:rPr>
        <w:t>אמר אביי</w:t>
      </w:r>
      <w:r w:rsidRPr="008D2C2C">
        <w:rPr>
          <w:rFonts w:cs="Arial"/>
          <w:rtl/>
        </w:rPr>
        <w:t>: סיפא</w:t>
      </w:r>
      <w:r>
        <w:rPr>
          <w:rStyle w:val="a9"/>
          <w:rFonts w:cs="Arial"/>
          <w:rtl/>
        </w:rPr>
        <w:footnoteReference w:id="1708"/>
      </w:r>
      <w:r w:rsidRPr="008D2C2C">
        <w:rPr>
          <w:rFonts w:cs="Arial"/>
          <w:rtl/>
        </w:rPr>
        <w:t xml:space="preserve"> אתאן לתרנגולת</w:t>
      </w:r>
      <w:r>
        <w:rPr>
          <w:rStyle w:val="a9"/>
          <w:rFonts w:cs="Arial"/>
          <w:rtl/>
        </w:rPr>
        <w:footnoteReference w:id="1709"/>
      </w:r>
      <w:r w:rsidRPr="008D2C2C">
        <w:rPr>
          <w:rFonts w:cs="Arial"/>
          <w:rtl/>
        </w:rPr>
        <w:t>.</w:t>
      </w:r>
      <w:r w:rsidR="008246DF" w:rsidRPr="008246DF">
        <w:rPr>
          <w:rFonts w:cs="Arial" w:hint="cs"/>
          <w:b/>
          <w:bCs/>
          <w:rtl/>
        </w:rPr>
        <w:t xml:space="preserve"> </w:t>
      </w:r>
    </w:p>
    <w:p w14:paraId="046EB916" w14:textId="1DFA52F5" w:rsidR="00561381" w:rsidRPr="008246DF" w:rsidRDefault="008246DF" w:rsidP="00434A6A">
      <w:pPr>
        <w:rPr>
          <w:rtl/>
        </w:rPr>
      </w:pPr>
      <w:r w:rsidRPr="00E438C1">
        <w:rPr>
          <w:rFonts w:cs="Arial" w:hint="cs"/>
          <w:b/>
          <w:bCs/>
          <w:rtl/>
        </w:rPr>
        <w:t xml:space="preserve">שבת </w:t>
      </w:r>
      <w:r>
        <w:rPr>
          <w:rFonts w:cs="Arial" w:hint="cs"/>
          <w:b/>
          <w:bCs/>
          <w:sz w:val="16"/>
          <w:szCs w:val="16"/>
          <w:rtl/>
        </w:rPr>
        <w:t>(פ' המצניע)</w:t>
      </w:r>
      <w:r w:rsidRPr="00E438C1">
        <w:rPr>
          <w:rFonts w:cs="Arial" w:hint="cs"/>
          <w:b/>
          <w:bCs/>
          <w:rtl/>
        </w:rPr>
        <w:t xml:space="preserve"> </w:t>
      </w:r>
      <w:r w:rsidR="00FD6C16">
        <w:rPr>
          <w:rFonts w:cs="Arial" w:hint="cs"/>
          <w:b/>
          <w:bCs/>
          <w:rtl/>
        </w:rPr>
        <w:t xml:space="preserve">צד </w:t>
      </w:r>
      <w:r w:rsidRPr="00E438C1">
        <w:rPr>
          <w:rFonts w:cs="Arial" w:hint="cs"/>
          <w:b/>
          <w:bCs/>
          <w:rtl/>
        </w:rPr>
        <w:t xml:space="preserve">ע"א: </w:t>
      </w:r>
      <w:r w:rsidRPr="00E438C1">
        <w:rPr>
          <w:rFonts w:cs="Arial"/>
          <w:rtl/>
        </w:rPr>
        <w:t xml:space="preserve">את החי במטה פטור אף על המטה. לימא מתניתין רבי נתן היא ולא רבנן? דתניא: המוציא בהמה חיה ועוף לרשות הרבים, בין חיין ובין שחוטין - חייב. </w:t>
      </w:r>
      <w:r w:rsidRPr="00E438C1">
        <w:rPr>
          <w:rFonts w:cs="Arial"/>
          <w:u w:val="single"/>
          <w:rtl/>
        </w:rPr>
        <w:t>רבי נתן אומר</w:t>
      </w:r>
      <w:r w:rsidRPr="00E438C1">
        <w:rPr>
          <w:rFonts w:cs="Arial"/>
          <w:rtl/>
        </w:rPr>
        <w:t xml:space="preserve">: על שחוטין חייב, ועל חיין פטור, שהחי נושא את עצמו. </w:t>
      </w:r>
      <w:r w:rsidRPr="00E438C1">
        <w:rPr>
          <w:rFonts w:cs="Arial"/>
          <w:u w:val="single"/>
          <w:rtl/>
        </w:rPr>
        <w:t>אמר רבא</w:t>
      </w:r>
      <w:r w:rsidRPr="00E438C1">
        <w:rPr>
          <w:rFonts w:cs="Arial"/>
          <w:rtl/>
        </w:rPr>
        <w:t>: אפילו תימא רבנן; עד כאן לא פליגי רבנן עליה דרבי נתן - אלא בבהמה חיה ועוף דמשרבטי נפשייהו</w:t>
      </w:r>
      <w:r w:rsidR="002154E2">
        <w:rPr>
          <w:rStyle w:val="a9"/>
          <w:rFonts w:cs="Arial"/>
          <w:rtl/>
        </w:rPr>
        <w:footnoteReference w:id="1710"/>
      </w:r>
      <w:r w:rsidRPr="00E438C1">
        <w:rPr>
          <w:rFonts w:cs="Arial"/>
          <w:rtl/>
        </w:rPr>
        <w:t>, אבל אדם חי דנושא את עצמו - אפילו רבנן מודו.</w:t>
      </w:r>
      <w:r>
        <w:rPr>
          <w:rFonts w:cs="Arial" w:hint="cs"/>
          <w:rtl/>
        </w:rPr>
        <w:t>..</w:t>
      </w:r>
      <w:r w:rsidRPr="00E438C1">
        <w:rPr>
          <w:rFonts w:cs="Arial"/>
          <w:rtl/>
        </w:rPr>
        <w:t xml:space="preserve"> </w:t>
      </w:r>
      <w:r w:rsidRPr="00E438C1">
        <w:rPr>
          <w:rFonts w:cs="Arial"/>
          <w:u w:val="single"/>
          <w:rtl/>
        </w:rPr>
        <w:t>אמר רבי יוחנן</w:t>
      </w:r>
      <w:r w:rsidRPr="00E438C1">
        <w:rPr>
          <w:rFonts w:cs="Arial"/>
          <w:rtl/>
        </w:rPr>
        <w:t>: ומודה רבי נתן בכפות.</w:t>
      </w:r>
    </w:p>
    <w:p w14:paraId="734B9A77" w14:textId="4C86D401" w:rsidR="00B87CA9" w:rsidRPr="00B87CA9" w:rsidRDefault="00B87CA9" w:rsidP="00434A6A">
      <w:pPr>
        <w:rPr>
          <w:u w:val="single"/>
          <w:rtl/>
        </w:rPr>
      </w:pPr>
      <w:r w:rsidRPr="00B87CA9">
        <w:rPr>
          <w:rFonts w:hint="cs"/>
          <w:u w:val="single"/>
          <w:rtl/>
        </w:rPr>
        <w:t>דידוי/דחיפה של בעלי חיים:</w:t>
      </w:r>
    </w:p>
    <w:p w14:paraId="4BF939BC" w14:textId="260C9FA4" w:rsidR="00AD01A9" w:rsidRDefault="003113A6" w:rsidP="00434A6A">
      <w:pPr>
        <w:pStyle w:val="aa"/>
        <w:numPr>
          <w:ilvl w:val="0"/>
          <w:numId w:val="3"/>
        </w:numPr>
        <w:rPr>
          <w:rFonts w:cs="Arial"/>
        </w:rPr>
      </w:pPr>
      <w:r w:rsidRPr="003113A6">
        <w:rPr>
          <w:rFonts w:cs="Arial" w:hint="cs"/>
          <w:rtl/>
        </w:rPr>
        <w:t xml:space="preserve">טור- </w:t>
      </w:r>
      <w:r w:rsidR="00B14BC7" w:rsidRPr="003113A6">
        <w:rPr>
          <w:rFonts w:cs="Arial"/>
          <w:rtl/>
        </w:rPr>
        <w:t>תרנגולת שברחה דוחין אותה מאחוריה כדי שתכנס</w:t>
      </w:r>
      <w:r w:rsidR="007D33C2">
        <w:rPr>
          <w:rFonts w:cs="Arial" w:hint="cs"/>
          <w:rtl/>
        </w:rPr>
        <w:t>,</w:t>
      </w:r>
      <w:r w:rsidR="00B14BC7" w:rsidRPr="003113A6">
        <w:rPr>
          <w:rFonts w:cs="Arial"/>
          <w:rtl/>
        </w:rPr>
        <w:t xml:space="preserve"> אבל אין מדדין ליקח אותה באגפים אע</w:t>
      </w:r>
      <w:r w:rsidR="007D33C2">
        <w:rPr>
          <w:rFonts w:cs="Arial" w:hint="cs"/>
          <w:rtl/>
        </w:rPr>
        <w:t>"</w:t>
      </w:r>
      <w:r w:rsidR="00B14BC7" w:rsidRPr="003113A6">
        <w:rPr>
          <w:rFonts w:cs="Arial"/>
          <w:rtl/>
        </w:rPr>
        <w:t>פ שרגליה בארץ</w:t>
      </w:r>
      <w:r w:rsidR="007D33C2">
        <w:rPr>
          <w:rFonts w:cs="Arial" w:hint="cs"/>
          <w:rtl/>
        </w:rPr>
        <w:t xml:space="preserve">. </w:t>
      </w:r>
      <w:r w:rsidR="00B14BC7" w:rsidRPr="003113A6">
        <w:rPr>
          <w:rFonts w:cs="Arial"/>
          <w:rtl/>
        </w:rPr>
        <w:t>ומדדין עגלים וסייחים חיה ושאר עופות</w:t>
      </w:r>
      <w:r w:rsidR="007D33C2">
        <w:rPr>
          <w:rFonts w:cs="Arial" w:hint="cs"/>
          <w:rtl/>
        </w:rPr>
        <w:t>,</w:t>
      </w:r>
      <w:r w:rsidR="00B14BC7" w:rsidRPr="003113A6">
        <w:rPr>
          <w:rFonts w:cs="Arial"/>
          <w:rtl/>
        </w:rPr>
        <w:t xml:space="preserve"> ובלבד שלא יגביהם בענין שיעקרו רגליהם מן הארץ</w:t>
      </w:r>
      <w:r w:rsidR="007D33C2">
        <w:rPr>
          <w:rFonts w:cs="Arial" w:hint="cs"/>
          <w:rtl/>
        </w:rPr>
        <w:t>.</w:t>
      </w:r>
      <w:r w:rsidR="00B14BC7" w:rsidRPr="003113A6">
        <w:rPr>
          <w:rFonts w:cs="Arial"/>
          <w:rtl/>
        </w:rPr>
        <w:t xml:space="preserve"> </w:t>
      </w:r>
      <w:r w:rsidR="00B14BC7" w:rsidRPr="005F6B42">
        <w:rPr>
          <w:rFonts w:cs="Arial"/>
          <w:rtl/>
        </w:rPr>
        <w:t>ודוקא בחצר</w:t>
      </w:r>
      <w:r w:rsidR="007D33C2" w:rsidRPr="005F6B42">
        <w:rPr>
          <w:rFonts w:cs="Arial" w:hint="cs"/>
          <w:rtl/>
        </w:rPr>
        <w:t>,</w:t>
      </w:r>
      <w:r w:rsidR="00B14BC7" w:rsidRPr="005F6B42">
        <w:rPr>
          <w:rFonts w:cs="Arial"/>
          <w:rtl/>
        </w:rPr>
        <w:t xml:space="preserve"> אבל בכרמלית לא</w:t>
      </w:r>
      <w:r w:rsidR="00F35252">
        <w:rPr>
          <w:rStyle w:val="a9"/>
          <w:rFonts w:cs="Arial"/>
          <w:rtl/>
        </w:rPr>
        <w:footnoteReference w:id="1711"/>
      </w:r>
      <w:r w:rsidR="007D33C2" w:rsidRPr="005F6B42">
        <w:rPr>
          <w:rFonts w:cs="Arial" w:hint="cs"/>
          <w:rtl/>
        </w:rPr>
        <w:t>,</w:t>
      </w:r>
      <w:r w:rsidR="00B14BC7" w:rsidRPr="005F6B42">
        <w:rPr>
          <w:rFonts w:cs="Arial"/>
          <w:rtl/>
        </w:rPr>
        <w:t xml:space="preserve"> וכ"ש ברה"ר</w:t>
      </w:r>
      <w:r w:rsidR="00E30F7B" w:rsidRPr="005F6B42">
        <w:rPr>
          <w:rFonts w:cs="Arial" w:hint="cs"/>
          <w:rtl/>
        </w:rPr>
        <w:t>.</w:t>
      </w:r>
    </w:p>
    <w:p w14:paraId="4D550E06" w14:textId="1C686717" w:rsidR="007C115F" w:rsidRPr="005F6B42" w:rsidRDefault="007C115F" w:rsidP="00434A6A">
      <w:pPr>
        <w:pStyle w:val="aa"/>
        <w:numPr>
          <w:ilvl w:val="0"/>
          <w:numId w:val="3"/>
        </w:numPr>
        <w:rPr>
          <w:rFonts w:cs="Arial"/>
        </w:rPr>
      </w:pPr>
      <w:r>
        <w:rPr>
          <w:rFonts w:cs="Arial" w:hint="cs"/>
          <w:rtl/>
        </w:rPr>
        <w:t xml:space="preserve">רמב"ם </w:t>
      </w:r>
      <w:r>
        <w:rPr>
          <w:rFonts w:cs="Arial" w:hint="cs"/>
          <w:sz w:val="16"/>
          <w:szCs w:val="16"/>
          <w:rtl/>
        </w:rPr>
        <w:t>(פכ"ה הכ"ו)</w:t>
      </w:r>
      <w:r>
        <w:rPr>
          <w:rFonts w:cs="Arial" w:hint="cs"/>
          <w:rtl/>
        </w:rPr>
        <w:t xml:space="preserve">- </w:t>
      </w:r>
      <w:r w:rsidRPr="007C115F">
        <w:rPr>
          <w:rFonts w:cs="Arial"/>
          <w:rtl/>
        </w:rPr>
        <w:t>אין עוקרין בהמה וחיה ועוף בחצר</w:t>
      </w:r>
      <w:r>
        <w:rPr>
          <w:rFonts w:cs="Arial" w:hint="cs"/>
          <w:rtl/>
        </w:rPr>
        <w:t>,</w:t>
      </w:r>
      <w:r w:rsidRPr="007C115F">
        <w:rPr>
          <w:rFonts w:cs="Arial"/>
          <w:rtl/>
        </w:rPr>
        <w:t xml:space="preserve"> אבל דוחין אותן עד שיכנסו</w:t>
      </w:r>
      <w:r>
        <w:rPr>
          <w:rFonts w:cs="Arial" w:hint="cs"/>
          <w:rtl/>
        </w:rPr>
        <w:t>.</w:t>
      </w:r>
      <w:r w:rsidRPr="007C115F">
        <w:rPr>
          <w:rFonts w:cs="Arial"/>
          <w:rtl/>
        </w:rPr>
        <w:t xml:space="preserve"> ומדדין עגלים וסייחים</w:t>
      </w:r>
      <w:r>
        <w:rPr>
          <w:rFonts w:cs="Arial" w:hint="cs"/>
          <w:rtl/>
        </w:rPr>
        <w:t>.</w:t>
      </w:r>
      <w:r w:rsidRPr="007C115F">
        <w:rPr>
          <w:rFonts w:cs="Arial"/>
          <w:rtl/>
        </w:rPr>
        <w:t xml:space="preserve"> תרנגולת שברחה </w:t>
      </w:r>
      <w:r>
        <w:rPr>
          <w:rFonts w:cs="Arial" w:hint="cs"/>
          <w:rtl/>
        </w:rPr>
        <w:t xml:space="preserve">- </w:t>
      </w:r>
      <w:r w:rsidRPr="007C115F">
        <w:rPr>
          <w:rFonts w:cs="Arial"/>
          <w:rtl/>
        </w:rPr>
        <w:t>אין מדדין אותה</w:t>
      </w:r>
      <w:r>
        <w:rPr>
          <w:rFonts w:cs="Arial" w:hint="cs"/>
          <w:rtl/>
        </w:rPr>
        <w:t>,</w:t>
      </w:r>
      <w:r w:rsidRPr="007C115F">
        <w:rPr>
          <w:rFonts w:cs="Arial"/>
          <w:rtl/>
        </w:rPr>
        <w:t xml:space="preserve"> מפני שהיא נשמטת מן היד ונמצאו אגפיה נתלשין</w:t>
      </w:r>
      <w:r>
        <w:rPr>
          <w:rFonts w:cs="Arial" w:hint="cs"/>
          <w:rtl/>
        </w:rPr>
        <w:t>,</w:t>
      </w:r>
      <w:r w:rsidRPr="007C115F">
        <w:rPr>
          <w:rFonts w:cs="Arial"/>
          <w:rtl/>
        </w:rPr>
        <w:t xml:space="preserve"> אבל דוחין אותה עד שתכנס.</w:t>
      </w:r>
    </w:p>
    <w:p w14:paraId="3D8BB4C8" w14:textId="3161562A" w:rsidR="00AD01A9" w:rsidRPr="00AD01A9" w:rsidRDefault="00AD01A9" w:rsidP="00434A6A">
      <w:pPr>
        <w:ind w:left="360"/>
        <w:rPr>
          <w:rFonts w:cs="Arial"/>
          <w:u w:val="dotted"/>
        </w:rPr>
      </w:pPr>
      <w:r w:rsidRPr="00AD01A9">
        <w:rPr>
          <w:rFonts w:cs="Arial" w:hint="cs"/>
          <w:u w:val="dotted"/>
          <w:rtl/>
        </w:rPr>
        <w:t>האם מותר לדדות בעלי חיים מסויימים ברשות הרבים:</w:t>
      </w:r>
    </w:p>
    <w:p w14:paraId="3FD5D90A" w14:textId="04649974" w:rsidR="00FB3622" w:rsidRPr="00AD01A9" w:rsidRDefault="00AD01A9" w:rsidP="00434A6A">
      <w:pPr>
        <w:pStyle w:val="aa"/>
        <w:numPr>
          <w:ilvl w:val="0"/>
          <w:numId w:val="3"/>
        </w:numPr>
        <w:rPr>
          <w:rFonts w:cs="Arial"/>
          <w:rtl/>
        </w:rPr>
      </w:pPr>
      <w:r>
        <w:rPr>
          <w:rFonts w:cs="Arial" w:hint="cs"/>
          <w:rtl/>
        </w:rPr>
        <w:t>ר</w:t>
      </w:r>
      <w:r w:rsidR="00FB3622" w:rsidRPr="00AD01A9">
        <w:rPr>
          <w:rFonts w:cs="Arial"/>
          <w:rtl/>
        </w:rPr>
        <w:t xml:space="preserve">"ן </w:t>
      </w:r>
      <w:r w:rsidR="00FB3622" w:rsidRPr="00AD01A9">
        <w:rPr>
          <w:rFonts w:cs="Arial"/>
          <w:sz w:val="16"/>
          <w:szCs w:val="16"/>
          <w:rtl/>
        </w:rPr>
        <w:t>(נא. ד"ה דוחין)</w:t>
      </w:r>
      <w:r>
        <w:rPr>
          <w:rFonts w:cs="Arial" w:hint="cs"/>
          <w:rtl/>
        </w:rPr>
        <w:t>-</w:t>
      </w:r>
      <w:r w:rsidR="00FB3622" w:rsidRPr="00AD01A9">
        <w:rPr>
          <w:rFonts w:cs="Arial"/>
          <w:rtl/>
        </w:rPr>
        <w:t xml:space="preserve"> </w:t>
      </w:r>
      <w:r>
        <w:rPr>
          <w:rStyle w:val="a9"/>
          <w:rFonts w:cs="Arial"/>
          <w:rtl/>
        </w:rPr>
        <w:footnoteReference w:id="1712"/>
      </w:r>
      <w:r w:rsidR="00FB3622" w:rsidRPr="00AD01A9">
        <w:rPr>
          <w:rFonts w:cs="Arial"/>
          <w:rtl/>
        </w:rPr>
        <w:t>ואע</w:t>
      </w:r>
      <w:r>
        <w:rPr>
          <w:rFonts w:cs="Arial" w:hint="cs"/>
          <w:rtl/>
        </w:rPr>
        <w:t>"</w:t>
      </w:r>
      <w:r w:rsidR="00FB3622" w:rsidRPr="00AD01A9">
        <w:rPr>
          <w:rFonts w:cs="Arial"/>
          <w:rtl/>
        </w:rPr>
        <w:t>ג דתנן במתניתין מדדין עגלים וסייחים וקתני להו דומיא דהאשה מדדה את בנה</w:t>
      </w:r>
      <w:r>
        <w:rPr>
          <w:rFonts w:cs="Arial" w:hint="cs"/>
          <w:rtl/>
        </w:rPr>
        <w:t>,</w:t>
      </w:r>
      <w:r w:rsidR="00FB3622" w:rsidRPr="00AD01A9">
        <w:rPr>
          <w:rFonts w:cs="Arial"/>
          <w:rtl/>
        </w:rPr>
        <w:t xml:space="preserve"> ומפרש בגמרא דהאשה מדדה את בנה אפילו ברשות הרבים</w:t>
      </w:r>
      <w:r w:rsidRPr="00AD01A9">
        <w:rPr>
          <w:rFonts w:cs="Arial" w:hint="cs"/>
          <w:rtl/>
        </w:rPr>
        <w:t>,</w:t>
      </w:r>
      <w:r w:rsidR="00FB3622" w:rsidRPr="00AD01A9">
        <w:rPr>
          <w:rFonts w:cs="Arial"/>
          <w:rtl/>
        </w:rPr>
        <w:t xml:space="preserve"> ומינה שמעינן דעגלים וסייחים נמי אפילו ברשות הרבים</w:t>
      </w:r>
      <w:r w:rsidRPr="00AD01A9">
        <w:rPr>
          <w:rFonts w:cs="Arial" w:hint="cs"/>
          <w:rtl/>
        </w:rPr>
        <w:t>,</w:t>
      </w:r>
      <w:r w:rsidR="00FB3622" w:rsidRPr="00AD01A9">
        <w:rPr>
          <w:rFonts w:cs="Arial"/>
          <w:rtl/>
        </w:rPr>
        <w:t xml:space="preserve"> והכא אמרינן דדוקא בחצר </w:t>
      </w:r>
      <w:r>
        <w:rPr>
          <w:rFonts w:cs="Arial" w:hint="cs"/>
          <w:rtl/>
        </w:rPr>
        <w:t xml:space="preserve">- </w:t>
      </w:r>
      <w:r w:rsidR="00FB3622" w:rsidRPr="00AD01A9">
        <w:rPr>
          <w:rFonts w:cs="Arial"/>
          <w:rtl/>
        </w:rPr>
        <w:t>לא קשיא</w:t>
      </w:r>
      <w:r w:rsidRPr="00AD01A9">
        <w:rPr>
          <w:rFonts w:cs="Arial" w:hint="cs"/>
          <w:rtl/>
        </w:rPr>
        <w:t>,</w:t>
      </w:r>
      <w:r w:rsidR="00FB3622" w:rsidRPr="00AD01A9">
        <w:rPr>
          <w:rFonts w:cs="Arial"/>
          <w:rtl/>
        </w:rPr>
        <w:t xml:space="preserve"> דכי גזרינן ברשות הרבים דוקא בקטנים שבהם</w:t>
      </w:r>
      <w:r w:rsidRPr="00AD01A9">
        <w:rPr>
          <w:rFonts w:cs="Arial" w:hint="cs"/>
          <w:rtl/>
        </w:rPr>
        <w:t>,</w:t>
      </w:r>
      <w:r w:rsidR="00FB3622" w:rsidRPr="00AD01A9">
        <w:rPr>
          <w:rFonts w:cs="Arial"/>
          <w:rtl/>
        </w:rPr>
        <w:t xml:space="preserve"> דמתוך שהן קשין להנהיגם ברגליהם אתי לטלטלינהו</w:t>
      </w:r>
      <w:r w:rsidRPr="00AD01A9">
        <w:rPr>
          <w:rFonts w:cs="Arial" w:hint="cs"/>
          <w:rtl/>
        </w:rPr>
        <w:t>,</w:t>
      </w:r>
      <w:r w:rsidR="00FB3622" w:rsidRPr="00AD01A9">
        <w:rPr>
          <w:rFonts w:cs="Arial"/>
          <w:rtl/>
        </w:rPr>
        <w:t xml:space="preserve"> אבל בגדולים לא גזרינן</w:t>
      </w:r>
      <w:r w:rsidRPr="00AD01A9">
        <w:rPr>
          <w:rFonts w:cs="Arial" w:hint="cs"/>
          <w:rtl/>
        </w:rPr>
        <w:t>,</w:t>
      </w:r>
      <w:r w:rsidR="00FB3622" w:rsidRPr="00AD01A9">
        <w:rPr>
          <w:rFonts w:cs="Arial"/>
          <w:rtl/>
        </w:rPr>
        <w:t xml:space="preserve"> ומתניתין בגדולים</w:t>
      </w:r>
      <w:r w:rsidRPr="00AD01A9">
        <w:rPr>
          <w:rFonts w:cs="Arial" w:hint="cs"/>
          <w:rtl/>
        </w:rPr>
        <w:t>.</w:t>
      </w:r>
    </w:p>
    <w:p w14:paraId="09F41A9F"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74ADEBE6" w14:textId="12955B41" w:rsidR="000C6229" w:rsidRPr="005275DF" w:rsidRDefault="000C6229" w:rsidP="00434A6A">
      <w:pPr>
        <w:rPr>
          <w:rFonts w:asciiTheme="minorBidi" w:hAnsiTheme="minorBidi"/>
          <w:rtl/>
        </w:rPr>
      </w:pPr>
      <w:r w:rsidRPr="005275DF">
        <w:rPr>
          <w:rFonts w:asciiTheme="minorBidi" w:hAnsiTheme="minorBidi"/>
          <w:rtl/>
        </w:rPr>
        <w:t>כל</w:t>
      </w:r>
      <w:r w:rsidR="00FC18A1">
        <w:rPr>
          <w:rStyle w:val="a9"/>
          <w:rFonts w:asciiTheme="minorBidi" w:hAnsiTheme="minorBidi"/>
          <w:rtl/>
        </w:rPr>
        <w:footnoteReference w:id="1713"/>
      </w:r>
      <w:r w:rsidRPr="005275DF">
        <w:rPr>
          <w:rFonts w:asciiTheme="minorBidi" w:hAnsiTheme="minorBidi"/>
          <w:rtl/>
        </w:rPr>
        <w:t xml:space="preserve"> בהמה חיה ועוף מדדים אותם בחצר, דהיינו שאוחז בצוארן ובצדדים ומוליכן אם צריכין</w:t>
      </w:r>
      <w:r w:rsidR="007F2E47">
        <w:rPr>
          <w:rStyle w:val="a9"/>
          <w:rFonts w:asciiTheme="minorBidi" w:hAnsiTheme="minorBidi"/>
          <w:rtl/>
        </w:rPr>
        <w:footnoteReference w:id="1714"/>
      </w:r>
      <w:r w:rsidRPr="005275DF">
        <w:rPr>
          <w:rFonts w:asciiTheme="minorBidi" w:hAnsiTheme="minorBidi"/>
          <w:rtl/>
        </w:rPr>
        <w:t xml:space="preserve"> הבע</w:t>
      </w:r>
      <w:r w:rsidR="00561381">
        <w:rPr>
          <w:rFonts w:asciiTheme="minorBidi" w:hAnsiTheme="minorBidi" w:hint="cs"/>
          <w:rtl/>
        </w:rPr>
        <w:t xml:space="preserve">לי </w:t>
      </w:r>
      <w:r w:rsidRPr="005275DF">
        <w:rPr>
          <w:rFonts w:asciiTheme="minorBidi" w:hAnsiTheme="minorBidi"/>
          <w:rtl/>
        </w:rPr>
        <w:t>ח</w:t>
      </w:r>
      <w:r w:rsidR="00561381">
        <w:rPr>
          <w:rFonts w:asciiTheme="minorBidi" w:hAnsiTheme="minorBidi" w:hint="cs"/>
          <w:rtl/>
        </w:rPr>
        <w:t>יים</w:t>
      </w:r>
      <w:r w:rsidRPr="005275DF">
        <w:rPr>
          <w:rFonts w:asciiTheme="minorBidi" w:hAnsiTheme="minorBidi"/>
          <w:rtl/>
        </w:rPr>
        <w:t xml:space="preserve"> לכך, ובלבד שלא יגביהם בענין שיעקרו רגליהם מן הארץ, דמוקצין הם ואסור לטלטלו</w:t>
      </w:r>
      <w:r w:rsidR="00561381">
        <w:rPr>
          <w:rFonts w:asciiTheme="minorBidi" w:hAnsiTheme="minorBidi" w:hint="cs"/>
          <w:rtl/>
        </w:rPr>
        <w:t>.</w:t>
      </w:r>
      <w:r w:rsidRPr="005275DF">
        <w:rPr>
          <w:rFonts w:asciiTheme="minorBidi" w:hAnsiTheme="minorBidi"/>
          <w:rtl/>
        </w:rPr>
        <w:t xml:space="preserve"> חוץ מתרנגולת שאין מדדין אותה, מפני שמגבהת עצמה מן הארץ ונמצא זה מטלטל, אבל דוחים אותה</w:t>
      </w:r>
      <w:r w:rsidR="007F2E47">
        <w:rPr>
          <w:rStyle w:val="a9"/>
          <w:rFonts w:asciiTheme="minorBidi" w:hAnsiTheme="minorBidi"/>
          <w:rtl/>
        </w:rPr>
        <w:footnoteReference w:id="1715"/>
      </w:r>
      <w:r w:rsidRPr="005275DF">
        <w:rPr>
          <w:rFonts w:asciiTheme="minorBidi" w:hAnsiTheme="minorBidi"/>
          <w:rtl/>
        </w:rPr>
        <w:t xml:space="preserve"> מאחוריה בידים כדי שתכנס. </w:t>
      </w:r>
    </w:p>
    <w:p w14:paraId="4F3FC1DA" w14:textId="77777777" w:rsidR="000C6229" w:rsidRPr="005275DF" w:rsidRDefault="000C6229" w:rsidP="00434A6A">
      <w:pPr>
        <w:rPr>
          <w:rFonts w:asciiTheme="minorBidi" w:hAnsiTheme="minorBidi"/>
          <w:rtl/>
        </w:rPr>
      </w:pPr>
    </w:p>
    <w:p w14:paraId="5BFCA63B" w14:textId="211F4EED" w:rsidR="000C6229" w:rsidRDefault="000C6229" w:rsidP="00434A6A">
      <w:pPr>
        <w:pStyle w:val="2"/>
        <w:rPr>
          <w:rtl/>
        </w:rPr>
      </w:pPr>
      <w:r w:rsidRPr="005275DF">
        <w:rPr>
          <w:rtl/>
        </w:rPr>
        <w:t>סעיף מא</w:t>
      </w:r>
      <w:r w:rsidR="003113A6">
        <w:rPr>
          <w:rFonts w:hint="cs"/>
          <w:rtl/>
        </w:rPr>
        <w:t>:</w:t>
      </w:r>
      <w:r w:rsidR="00FC18A1">
        <w:rPr>
          <w:rFonts w:hint="cs"/>
          <w:rtl/>
        </w:rPr>
        <w:t xml:space="preserve"> דידוי ילד קטן.</w:t>
      </w:r>
    </w:p>
    <w:p w14:paraId="4923ACE5" w14:textId="0D792254" w:rsidR="008246DF" w:rsidRPr="008246DF" w:rsidRDefault="008246DF" w:rsidP="00434A6A">
      <w:pPr>
        <w:rPr>
          <w:rtl/>
        </w:rPr>
      </w:pPr>
      <w:r w:rsidRPr="00E438C1">
        <w:rPr>
          <w:rFonts w:cs="Arial" w:hint="cs"/>
          <w:b/>
          <w:bCs/>
          <w:rtl/>
        </w:rPr>
        <w:t>שבת צד</w:t>
      </w:r>
      <w:r w:rsidR="00BE29FE">
        <w:rPr>
          <w:rStyle w:val="a9"/>
          <w:rFonts w:cs="Arial"/>
          <w:b/>
          <w:bCs/>
          <w:rtl/>
        </w:rPr>
        <w:footnoteReference w:id="1716"/>
      </w:r>
      <w:r>
        <w:rPr>
          <w:rFonts w:cs="Arial" w:hint="cs"/>
          <w:b/>
          <w:bCs/>
          <w:sz w:val="16"/>
          <w:szCs w:val="16"/>
          <w:rtl/>
        </w:rPr>
        <w:t xml:space="preserve"> (פ' המצניע)</w:t>
      </w:r>
      <w:r w:rsidRPr="00E438C1">
        <w:rPr>
          <w:rFonts w:cs="Arial" w:hint="cs"/>
          <w:b/>
          <w:bCs/>
          <w:rtl/>
        </w:rPr>
        <w:t xml:space="preserve"> ע"א: </w:t>
      </w:r>
      <w:r w:rsidRPr="00E438C1">
        <w:rPr>
          <w:rFonts w:cs="Arial"/>
          <w:rtl/>
        </w:rPr>
        <w:t xml:space="preserve">את החי במטה פטור אף על המטה. לימא מתניתין רבי נתן היא ולא רבנן? דתניא: המוציא בהמה חיה ועוף לרשות הרבים, בין חיין ובין שחוטין - חייב. </w:t>
      </w:r>
      <w:r w:rsidRPr="00E438C1">
        <w:rPr>
          <w:rFonts w:cs="Arial"/>
          <w:u w:val="single"/>
          <w:rtl/>
        </w:rPr>
        <w:t>רבי נתן אומר</w:t>
      </w:r>
      <w:r w:rsidRPr="00E438C1">
        <w:rPr>
          <w:rFonts w:cs="Arial"/>
          <w:rtl/>
        </w:rPr>
        <w:t xml:space="preserve">: על שחוטין חייב, ועל חיין פטור, שהחי נושא את עצמו. </w:t>
      </w:r>
      <w:r w:rsidRPr="00E438C1">
        <w:rPr>
          <w:rFonts w:cs="Arial"/>
          <w:u w:val="single"/>
          <w:rtl/>
        </w:rPr>
        <w:t>אמר רבא</w:t>
      </w:r>
      <w:r w:rsidRPr="00E438C1">
        <w:rPr>
          <w:rFonts w:cs="Arial"/>
          <w:rtl/>
        </w:rPr>
        <w:t>: אפילו תימא רבנן; עד כאן לא פליגי רבנן עליה דרבי נתן - אלא בבהמה חיה ועוף דמשרבטי</w:t>
      </w:r>
      <w:r w:rsidR="007C115F">
        <w:rPr>
          <w:rStyle w:val="a9"/>
          <w:rFonts w:cs="Arial"/>
          <w:rtl/>
        </w:rPr>
        <w:footnoteReference w:id="1717"/>
      </w:r>
      <w:r w:rsidRPr="00E438C1">
        <w:rPr>
          <w:rFonts w:cs="Arial"/>
          <w:rtl/>
        </w:rPr>
        <w:t xml:space="preserve"> נפשייהו, אבל אדם חי דנושא את עצמו - אפילו רבנן מודו.</w:t>
      </w:r>
      <w:r>
        <w:rPr>
          <w:rFonts w:cs="Arial" w:hint="cs"/>
          <w:rtl/>
        </w:rPr>
        <w:t>..</w:t>
      </w:r>
      <w:r w:rsidRPr="00E438C1">
        <w:rPr>
          <w:rFonts w:cs="Arial"/>
          <w:rtl/>
        </w:rPr>
        <w:t xml:space="preserve"> </w:t>
      </w:r>
      <w:r w:rsidRPr="00E438C1">
        <w:rPr>
          <w:rFonts w:cs="Arial"/>
          <w:u w:val="single"/>
          <w:rtl/>
        </w:rPr>
        <w:t>אמר רבי יוחנן</w:t>
      </w:r>
      <w:r w:rsidRPr="00E438C1">
        <w:rPr>
          <w:rFonts w:cs="Arial"/>
          <w:rtl/>
        </w:rPr>
        <w:t>: ומודה רבי נתן בכפות.</w:t>
      </w:r>
    </w:p>
    <w:p w14:paraId="2FF4C3A9" w14:textId="1354659F" w:rsidR="003113A6" w:rsidRDefault="00561381" w:rsidP="00434A6A">
      <w:pPr>
        <w:rPr>
          <w:rtl/>
        </w:rPr>
      </w:pPr>
      <w:r w:rsidRPr="002A45F7">
        <w:rPr>
          <w:rFonts w:hint="cs"/>
          <w:b/>
          <w:bCs/>
          <w:rtl/>
        </w:rPr>
        <w:t xml:space="preserve">שבת </w:t>
      </w:r>
      <w:r>
        <w:rPr>
          <w:rFonts w:hint="cs"/>
          <w:b/>
          <w:bCs/>
          <w:sz w:val="16"/>
          <w:szCs w:val="16"/>
          <w:rtl/>
        </w:rPr>
        <w:t>(פ' מפנין)</w:t>
      </w:r>
      <w:r>
        <w:rPr>
          <w:rFonts w:hint="cs"/>
          <w:b/>
          <w:bCs/>
          <w:rtl/>
        </w:rPr>
        <w:t xml:space="preserve"> קכח</w:t>
      </w:r>
      <w:r w:rsidRPr="002A45F7">
        <w:rPr>
          <w:rFonts w:hint="cs"/>
          <w:b/>
          <w:bCs/>
          <w:rtl/>
        </w:rPr>
        <w:t xml:space="preserve"> ע"</w:t>
      </w:r>
      <w:r>
        <w:rPr>
          <w:rFonts w:hint="cs"/>
          <w:b/>
          <w:bCs/>
          <w:rtl/>
        </w:rPr>
        <w:t>ב</w:t>
      </w:r>
      <w:r w:rsidRPr="002A45F7">
        <w:rPr>
          <w:rFonts w:hint="cs"/>
          <w:b/>
          <w:bCs/>
          <w:rtl/>
        </w:rPr>
        <w:t>:</w:t>
      </w:r>
      <w:r>
        <w:rPr>
          <w:rFonts w:cs="Arial" w:hint="cs"/>
          <w:rtl/>
        </w:rPr>
        <w:t xml:space="preserve"> </w:t>
      </w:r>
      <w:r w:rsidRPr="008D2C2C">
        <w:rPr>
          <w:rFonts w:cs="Arial"/>
          <w:u w:val="double"/>
          <w:rtl/>
        </w:rPr>
        <w:t>משנה</w:t>
      </w:r>
      <w:r>
        <w:rPr>
          <w:rFonts w:cs="Arial" w:hint="cs"/>
          <w:rtl/>
        </w:rPr>
        <w:t>:</w:t>
      </w:r>
      <w:r w:rsidR="007F2E47">
        <w:rPr>
          <w:rFonts w:cs="Arial" w:hint="cs"/>
          <w:rtl/>
        </w:rPr>
        <w:t>...</w:t>
      </w:r>
      <w:r w:rsidRPr="008D2C2C">
        <w:rPr>
          <w:rFonts w:cs="Arial"/>
          <w:rtl/>
        </w:rPr>
        <w:t xml:space="preserve"> תרנגולת שברחה דוחין אותה עד שתכנס. מדדין עגלין וסייחין.</w:t>
      </w:r>
      <w:r w:rsidR="00FC18A1" w:rsidRPr="00FC18A1">
        <w:rPr>
          <w:rFonts w:cs="Arial"/>
          <w:rtl/>
        </w:rPr>
        <w:t xml:space="preserve"> </w:t>
      </w:r>
      <w:r w:rsidR="00FC18A1" w:rsidRPr="00AD01A9">
        <w:rPr>
          <w:rFonts w:cs="Arial"/>
          <w:rtl/>
        </w:rPr>
        <w:t xml:space="preserve">אשה מדדה את בנה, </w:t>
      </w:r>
      <w:r w:rsidR="00FC18A1" w:rsidRPr="007F2E47">
        <w:rPr>
          <w:rFonts w:cs="Arial"/>
          <w:u w:val="single"/>
          <w:rtl/>
        </w:rPr>
        <w:t>אמר רבי יהודה</w:t>
      </w:r>
      <w:r w:rsidR="00FC18A1" w:rsidRPr="00AD01A9">
        <w:rPr>
          <w:rFonts w:cs="Arial"/>
          <w:rtl/>
        </w:rPr>
        <w:t>: אימתי - בזמן שהוא נוטל אחת ומניח אחת! אבל אם היה גורר - אסור</w:t>
      </w:r>
      <w:r w:rsidR="005A0413">
        <w:rPr>
          <w:rStyle w:val="a9"/>
          <w:rFonts w:cs="Arial"/>
          <w:rtl/>
        </w:rPr>
        <w:footnoteReference w:id="1718"/>
      </w:r>
      <w:r w:rsidR="00FC18A1" w:rsidRPr="008D2C2C">
        <w:rPr>
          <w:rFonts w:cs="Arial"/>
          <w:rtl/>
        </w:rPr>
        <w:t>.</w:t>
      </w:r>
      <w:r w:rsidRPr="008D2C2C">
        <w:rPr>
          <w:rFonts w:cs="Arial"/>
          <w:rtl/>
        </w:rPr>
        <w:t xml:space="preserve"> </w:t>
      </w:r>
      <w:r>
        <w:rPr>
          <w:rFonts w:cs="Arial" w:hint="cs"/>
          <w:rtl/>
        </w:rPr>
        <w:t xml:space="preserve">      </w:t>
      </w:r>
      <w:r w:rsidRPr="008D2C2C">
        <w:rPr>
          <w:rFonts w:cs="Arial"/>
          <w:u w:val="double"/>
          <w:rtl/>
        </w:rPr>
        <w:t>גמרא</w:t>
      </w:r>
      <w:r>
        <w:rPr>
          <w:rFonts w:cs="Arial" w:hint="cs"/>
          <w:rtl/>
        </w:rPr>
        <w:t>:</w:t>
      </w:r>
      <w:r w:rsidRPr="008D2C2C">
        <w:rPr>
          <w:rFonts w:cs="Arial"/>
          <w:rtl/>
        </w:rPr>
        <w:t xml:space="preserve"> תני חדא: מדדין בהמה וחיה ועוף בחצר, אבל לא ברשות הרבים. והאשה מדדה את בנה ברשות הרבים</w:t>
      </w:r>
      <w:r w:rsidR="00E438C1">
        <w:rPr>
          <w:rStyle w:val="a9"/>
          <w:rFonts w:cs="Arial"/>
          <w:rtl/>
        </w:rPr>
        <w:footnoteReference w:id="1719"/>
      </w:r>
      <w:r w:rsidRPr="008D2C2C">
        <w:rPr>
          <w:rFonts w:cs="Arial"/>
          <w:rtl/>
        </w:rPr>
        <w:t>, ואין צריך לומר בחצר.</w:t>
      </w:r>
      <w:r w:rsidR="007C115F">
        <w:rPr>
          <w:rFonts w:hint="cs"/>
          <w:rtl/>
        </w:rPr>
        <w:t xml:space="preserve"> </w:t>
      </w:r>
    </w:p>
    <w:p w14:paraId="7578C095" w14:textId="77777777" w:rsidR="00FC18A1" w:rsidRDefault="00FC18A1" w:rsidP="00434A6A">
      <w:pPr>
        <w:rPr>
          <w:rFonts w:cs="Arial"/>
          <w:rtl/>
        </w:rPr>
      </w:pPr>
      <w:r w:rsidRPr="00FC18A1">
        <w:rPr>
          <w:rFonts w:hint="cs"/>
          <w:u w:val="single"/>
          <w:rtl/>
        </w:rPr>
        <w:t>דידוי ילד קטן</w:t>
      </w:r>
      <w:r w:rsidRPr="00FC18A1">
        <w:rPr>
          <w:rFonts w:cs="Arial" w:hint="cs"/>
          <w:u w:val="single"/>
          <w:rtl/>
        </w:rPr>
        <w:t>:</w:t>
      </w:r>
    </w:p>
    <w:p w14:paraId="5FE35BF1" w14:textId="1444B760" w:rsidR="005A0413" w:rsidRDefault="003113A6" w:rsidP="00434A6A">
      <w:pPr>
        <w:pStyle w:val="aa"/>
        <w:numPr>
          <w:ilvl w:val="0"/>
          <w:numId w:val="3"/>
        </w:numPr>
        <w:rPr>
          <w:rFonts w:cs="Arial"/>
        </w:rPr>
      </w:pPr>
      <w:r w:rsidRPr="00FC18A1">
        <w:rPr>
          <w:rFonts w:cs="Arial" w:hint="cs"/>
          <w:rtl/>
        </w:rPr>
        <w:t xml:space="preserve">טור- </w:t>
      </w:r>
      <w:r w:rsidR="00B14BC7" w:rsidRPr="00FC18A1">
        <w:rPr>
          <w:rFonts w:cs="Arial"/>
          <w:rtl/>
        </w:rPr>
        <w:t>והאשה מדדה את בנה אפילו בר"ה ובלבד שלא תגררהו</w:t>
      </w:r>
      <w:r w:rsidR="007F2E47">
        <w:rPr>
          <w:rFonts w:cs="Arial" w:hint="cs"/>
          <w:rtl/>
        </w:rPr>
        <w:t>,</w:t>
      </w:r>
      <w:r w:rsidR="00B14BC7" w:rsidRPr="00FC18A1">
        <w:rPr>
          <w:rFonts w:cs="Arial"/>
          <w:rtl/>
        </w:rPr>
        <w:t xml:space="preserve"> אלא יהא מגביה רגלו האחת ויניח השנייה על הארץ וישען עליה עד שיחזור ויניח רגלו שהגביה</w:t>
      </w:r>
      <w:r w:rsidR="007F2E47">
        <w:rPr>
          <w:rFonts w:cs="Arial" w:hint="cs"/>
          <w:rtl/>
        </w:rPr>
        <w:t>,</w:t>
      </w:r>
      <w:r w:rsidR="00B14BC7" w:rsidRPr="00FC18A1">
        <w:rPr>
          <w:rFonts w:cs="Arial"/>
          <w:rtl/>
        </w:rPr>
        <w:t xml:space="preserve"> שנמצא לעולם הוא נשען על רגלו האחת</w:t>
      </w:r>
      <w:r w:rsidR="005A0413" w:rsidRPr="005A0413">
        <w:rPr>
          <w:rFonts w:cs="Arial" w:hint="cs"/>
          <w:rtl/>
        </w:rPr>
        <w:t>.</w:t>
      </w:r>
      <w:r w:rsidR="00FB3622" w:rsidRPr="005A0413">
        <w:rPr>
          <w:rFonts w:cs="Arial"/>
          <w:rtl/>
        </w:rPr>
        <w:t xml:space="preserve"> </w:t>
      </w:r>
      <w:r w:rsidR="00454569" w:rsidRPr="00454569">
        <w:rPr>
          <w:rFonts w:cs="Arial" w:hint="cs"/>
          <w:color w:val="E36C0A" w:themeColor="accent6" w:themeShade="BF"/>
          <w:rtl/>
        </w:rPr>
        <w:t>(וכ"פ בשו"ע)</w:t>
      </w:r>
    </w:p>
    <w:p w14:paraId="68FAE189" w14:textId="230650B2" w:rsidR="008246DF" w:rsidRDefault="00790F53" w:rsidP="00434A6A">
      <w:pPr>
        <w:rPr>
          <w:rFonts w:cs="Arial"/>
          <w:rtl/>
        </w:rPr>
      </w:pPr>
      <w:r w:rsidRPr="00790F53">
        <w:rPr>
          <w:rFonts w:cs="Arial" w:hint="cs"/>
          <w:b/>
          <w:bCs/>
          <w:rtl/>
        </w:rPr>
        <w:t xml:space="preserve">ירושלמי שבת פ"א ה"ז: </w:t>
      </w:r>
      <w:r w:rsidRPr="00790F53">
        <w:rPr>
          <w:rFonts w:cs="Arial"/>
          <w:rtl/>
        </w:rPr>
        <w:t>רבי חייא רובה</w:t>
      </w:r>
      <w:r>
        <w:rPr>
          <w:rFonts w:cs="Arial" w:hint="cs"/>
          <w:rtl/>
        </w:rPr>
        <w:t>,</w:t>
      </w:r>
      <w:r w:rsidRPr="00790F53">
        <w:rPr>
          <w:rFonts w:cs="Arial"/>
          <w:rtl/>
        </w:rPr>
        <w:t xml:space="preserve"> ורבי שמעון ב"ר</w:t>
      </w:r>
      <w:r>
        <w:rPr>
          <w:rFonts w:cs="Arial" w:hint="cs"/>
          <w:rtl/>
        </w:rPr>
        <w:t>,</w:t>
      </w:r>
      <w:r w:rsidRPr="00790F53">
        <w:rPr>
          <w:rFonts w:cs="Arial"/>
          <w:rtl/>
        </w:rPr>
        <w:t xml:space="preserve"> </w:t>
      </w:r>
      <w:r w:rsidRPr="00790F53">
        <w:rPr>
          <w:rFonts w:cs="Arial"/>
          <w:u w:val="single"/>
          <w:rtl/>
        </w:rPr>
        <w:t>חד אמר</w:t>
      </w:r>
      <w:r>
        <w:rPr>
          <w:rFonts w:cs="Arial" w:hint="cs"/>
          <w:rtl/>
        </w:rPr>
        <w:t>:</w:t>
      </w:r>
      <w:r w:rsidRPr="00790F53">
        <w:rPr>
          <w:rFonts w:cs="Arial"/>
          <w:rtl/>
        </w:rPr>
        <w:t xml:space="preserve"> העכו"ם צריך הכן. </w:t>
      </w:r>
      <w:r w:rsidRPr="00790F53">
        <w:rPr>
          <w:rFonts w:cs="Arial"/>
          <w:u w:val="single"/>
          <w:rtl/>
        </w:rPr>
        <w:t>וחרנה אמר</w:t>
      </w:r>
      <w:r>
        <w:rPr>
          <w:rFonts w:cs="Arial" w:hint="cs"/>
          <w:rtl/>
        </w:rPr>
        <w:t>:</w:t>
      </w:r>
      <w:r w:rsidRPr="00790F53">
        <w:rPr>
          <w:rFonts w:cs="Arial"/>
          <w:rtl/>
        </w:rPr>
        <w:t xml:space="preserve"> אין העכו"ם צריך הכן. ולא ידעינן מאן אמר דא ומאן אמר דא. מִן מַה דְּרַב מְעַנּוֹ</w:t>
      </w:r>
      <w:r>
        <w:rPr>
          <w:rStyle w:val="a9"/>
          <w:rFonts w:cs="Arial"/>
          <w:rtl/>
        </w:rPr>
        <w:footnoteReference w:id="1720"/>
      </w:r>
      <w:r w:rsidRPr="00790F53">
        <w:rPr>
          <w:rFonts w:cs="Arial"/>
          <w:rtl/>
        </w:rPr>
        <w:t xml:space="preserve"> מָיְתִי קוּמֵיהּ רַבִּי חִיָּיה רוֹבָא</w:t>
      </w:r>
      <w:r>
        <w:rPr>
          <w:rFonts w:cs="Arial" w:hint="cs"/>
          <w:rtl/>
        </w:rPr>
        <w:t>,</w:t>
      </w:r>
      <w:r w:rsidRPr="00790F53">
        <w:rPr>
          <w:rFonts w:cs="Arial"/>
          <w:rtl/>
        </w:rPr>
        <w:t xml:space="preserve"> והוא א"ל</w:t>
      </w:r>
      <w:r>
        <w:rPr>
          <w:rFonts w:cs="Arial" w:hint="cs"/>
          <w:rtl/>
        </w:rPr>
        <w:t>:</w:t>
      </w:r>
      <w:r w:rsidRPr="00790F53">
        <w:rPr>
          <w:rFonts w:cs="Arial"/>
          <w:rtl/>
        </w:rPr>
        <w:t xml:space="preserve"> הן הויתא</w:t>
      </w:r>
      <w:r>
        <w:rPr>
          <w:rFonts w:cs="Arial" w:hint="cs"/>
          <w:rtl/>
        </w:rPr>
        <w:t>?</w:t>
      </w:r>
      <w:r w:rsidRPr="00790F53">
        <w:rPr>
          <w:rFonts w:cs="Arial"/>
          <w:rtl/>
        </w:rPr>
        <w:t xml:space="preserve"> והוא אמר ליה</w:t>
      </w:r>
      <w:r>
        <w:rPr>
          <w:rFonts w:cs="Arial" w:hint="cs"/>
          <w:rtl/>
        </w:rPr>
        <w:t>:</w:t>
      </w:r>
      <w:r w:rsidRPr="00790F53">
        <w:rPr>
          <w:rFonts w:cs="Arial"/>
          <w:rtl/>
        </w:rPr>
        <w:t xml:space="preserve"> שירתה הוות עברא</w:t>
      </w:r>
      <w:r>
        <w:rPr>
          <w:rFonts w:cs="Arial" w:hint="cs"/>
          <w:rtl/>
        </w:rPr>
        <w:t>,</w:t>
      </w:r>
      <w:r w:rsidRPr="00790F53">
        <w:rPr>
          <w:rFonts w:cs="Arial"/>
          <w:rtl/>
        </w:rPr>
        <w:t xml:space="preserve"> והוינא אכול מינה תאינון</w:t>
      </w:r>
      <w:r w:rsidR="00454569">
        <w:rPr>
          <w:rStyle w:val="a9"/>
          <w:rFonts w:cs="Arial"/>
          <w:rtl/>
        </w:rPr>
        <w:footnoteReference w:id="1721"/>
      </w:r>
      <w:r w:rsidRPr="00790F53">
        <w:rPr>
          <w:rFonts w:cs="Arial"/>
          <w:rtl/>
        </w:rPr>
        <w:t>. הֲוֵי הוּא דּוּ אָמַר אין העכו"ם צריך הכן.</w:t>
      </w:r>
    </w:p>
    <w:p w14:paraId="1D371A20" w14:textId="77777777" w:rsidR="00F61A49" w:rsidRPr="00F61A49" w:rsidRDefault="00F61A49" w:rsidP="00434A6A">
      <w:pPr>
        <w:rPr>
          <w:u w:val="single"/>
        </w:rPr>
      </w:pPr>
      <w:r w:rsidRPr="00F61A49">
        <w:rPr>
          <w:rFonts w:cs="Arial" w:hint="cs"/>
          <w:u w:val="single"/>
          <w:rtl/>
        </w:rPr>
        <w:t>האם הדברים של הגוי נקראים מוכנים לישראל, או דהו מוקצה:</w:t>
      </w:r>
    </w:p>
    <w:p w14:paraId="3FDB3192" w14:textId="77777777" w:rsidR="00B77B88" w:rsidRPr="00B77B88" w:rsidRDefault="00B77B88" w:rsidP="00434A6A">
      <w:pPr>
        <w:pStyle w:val="aa"/>
        <w:numPr>
          <w:ilvl w:val="0"/>
          <w:numId w:val="15"/>
        </w:numPr>
      </w:pPr>
      <w:r w:rsidRPr="001B7E3B">
        <w:rPr>
          <w:rFonts w:cs="Arial"/>
          <w:rtl/>
        </w:rPr>
        <w:t xml:space="preserve">אורחות חיים </w:t>
      </w:r>
      <w:r w:rsidRPr="001B7E3B">
        <w:rPr>
          <w:rFonts w:cs="Arial" w:hint="cs"/>
          <w:sz w:val="16"/>
          <w:szCs w:val="16"/>
          <w:rtl/>
        </w:rPr>
        <w:t>(</w:t>
      </w:r>
      <w:r w:rsidRPr="001B7E3B">
        <w:rPr>
          <w:rFonts w:cs="Arial"/>
          <w:sz w:val="16"/>
          <w:szCs w:val="16"/>
          <w:rtl/>
        </w:rPr>
        <w:t>ח</w:t>
      </w:r>
      <w:r w:rsidRPr="001B7E3B">
        <w:rPr>
          <w:rFonts w:cs="Arial" w:hint="cs"/>
          <w:sz w:val="16"/>
          <w:szCs w:val="16"/>
          <w:rtl/>
        </w:rPr>
        <w:t>"</w:t>
      </w:r>
      <w:r w:rsidRPr="001B7E3B">
        <w:rPr>
          <w:rFonts w:cs="Arial"/>
          <w:sz w:val="16"/>
          <w:szCs w:val="16"/>
          <w:rtl/>
        </w:rPr>
        <w:t>א הלכות י</w:t>
      </w:r>
      <w:r w:rsidRPr="001B7E3B">
        <w:rPr>
          <w:rFonts w:cs="Arial" w:hint="cs"/>
          <w:sz w:val="16"/>
          <w:szCs w:val="16"/>
          <w:rtl/>
        </w:rPr>
        <w:t>ו"ט</w:t>
      </w:r>
      <w:r>
        <w:rPr>
          <w:rFonts w:cs="Arial" w:hint="cs"/>
          <w:sz w:val="16"/>
          <w:szCs w:val="16"/>
          <w:rtl/>
        </w:rPr>
        <w:t>, וכ"כ בכל בו [</w:t>
      </w:r>
      <w:r w:rsidRPr="00836E4D">
        <w:rPr>
          <w:rFonts w:cs="Arial"/>
          <w:sz w:val="16"/>
          <w:szCs w:val="16"/>
          <w:rtl/>
        </w:rPr>
        <w:t>סי</w:t>
      </w:r>
      <w:r w:rsidRPr="00836E4D">
        <w:rPr>
          <w:rFonts w:cs="Arial" w:hint="cs"/>
          <w:sz w:val="16"/>
          <w:szCs w:val="16"/>
          <w:rtl/>
        </w:rPr>
        <w:t>'</w:t>
      </w:r>
      <w:r w:rsidRPr="00836E4D">
        <w:rPr>
          <w:rFonts w:cs="Arial"/>
          <w:sz w:val="16"/>
          <w:szCs w:val="16"/>
          <w:rtl/>
        </w:rPr>
        <w:t xml:space="preserve"> נח יט ע"ג</w:t>
      </w:r>
      <w:r>
        <w:rPr>
          <w:rFonts w:cs="Arial" w:hint="cs"/>
          <w:sz w:val="16"/>
          <w:szCs w:val="16"/>
          <w:rtl/>
        </w:rPr>
        <w:t>]</w:t>
      </w:r>
      <w:r w:rsidRPr="001B7E3B">
        <w:rPr>
          <w:rFonts w:cs="Arial" w:hint="cs"/>
          <w:sz w:val="16"/>
          <w:szCs w:val="16"/>
          <w:rtl/>
        </w:rPr>
        <w:t>)</w:t>
      </w:r>
      <w:r>
        <w:rPr>
          <w:rFonts w:cs="Arial" w:hint="cs"/>
          <w:rtl/>
        </w:rPr>
        <w:t xml:space="preserve">- </w:t>
      </w:r>
      <w:r w:rsidRPr="001B7E3B">
        <w:rPr>
          <w:rFonts w:cs="Arial"/>
          <w:rtl/>
        </w:rPr>
        <w:t>עכו"ם שהביא דורון לישראל בי"ט</w:t>
      </w:r>
      <w:r>
        <w:rPr>
          <w:rFonts w:cs="Arial" w:hint="cs"/>
          <w:rtl/>
        </w:rPr>
        <w:t>...</w:t>
      </w:r>
      <w:r w:rsidRPr="001B7E3B">
        <w:rPr>
          <w:rFonts w:cs="Arial"/>
          <w:rtl/>
        </w:rPr>
        <w:t xml:space="preserve"> ואם אין מאותו המין במחובר או שהיתה צורתו מוכחת עליו שמאתמול הוא נעקר או נצוד אם הביאו חוץ לתחום מותר ואין חוששין לשאר דיני מוקצה לפי שאין דין הכנה לעכו"ם כמו שאמרו ז"ל בירושלמי אין הכן לעכו"ם כלומר אין צריך לומ' לעכו"ם הכן לי שאם היו לו תמרי דעיסקא</w:t>
      </w:r>
      <w:r>
        <w:rPr>
          <w:rStyle w:val="a9"/>
          <w:rFonts w:cs="Arial"/>
          <w:rtl/>
        </w:rPr>
        <w:footnoteReference w:id="1722"/>
      </w:r>
      <w:r w:rsidRPr="001B7E3B">
        <w:rPr>
          <w:rFonts w:cs="Arial"/>
          <w:rtl/>
        </w:rPr>
        <w:t xml:space="preserve"> או גרוגרות וצמוקים ועז לחלבה הכל מותר ואין צריך לומר הכנה</w:t>
      </w:r>
      <w:r>
        <w:rPr>
          <w:rStyle w:val="a9"/>
          <w:rFonts w:cs="Arial"/>
          <w:rtl/>
        </w:rPr>
        <w:footnoteReference w:id="1723"/>
      </w:r>
      <w:r>
        <w:rPr>
          <w:rFonts w:cs="Arial" w:hint="cs"/>
          <w:rtl/>
        </w:rPr>
        <w:t>.</w:t>
      </w:r>
      <w:r w:rsidRPr="001B7E3B">
        <w:rPr>
          <w:rFonts w:cs="Arial"/>
          <w:rtl/>
        </w:rPr>
        <w:t xml:space="preserve"> </w:t>
      </w:r>
      <w:r>
        <w:rPr>
          <w:rFonts w:cs="Arial" w:hint="cs"/>
          <w:rtl/>
        </w:rPr>
        <w:t>וה</w:t>
      </w:r>
      <w:r w:rsidRPr="001B7E3B">
        <w:rPr>
          <w:rFonts w:cs="Arial"/>
          <w:rtl/>
        </w:rPr>
        <w:t>ראב"ד ז"ל פירש אין הכן לעכו"ם שאין הכנה מועלת לעכו"ם כל מה שבידו ספק מוקצה מה שאין כן בישראל שישראל שהביא דורון לישראל מותר שאין מביא אלא מן המותר</w:t>
      </w:r>
      <w:r>
        <w:rPr>
          <w:rFonts w:cs="Arial" w:hint="cs"/>
          <w:rtl/>
        </w:rPr>
        <w:t>.</w:t>
      </w:r>
    </w:p>
    <w:p w14:paraId="570980FC" w14:textId="77777777" w:rsidR="00B77B88" w:rsidRPr="00F76A96" w:rsidRDefault="00B77B88" w:rsidP="00434A6A">
      <w:pPr>
        <w:pStyle w:val="aa"/>
        <w:numPr>
          <w:ilvl w:val="0"/>
          <w:numId w:val="15"/>
        </w:numPr>
      </w:pPr>
      <w:r>
        <w:rPr>
          <w:rFonts w:cs="Arial" w:hint="cs"/>
          <w:rtl/>
        </w:rPr>
        <w:t xml:space="preserve">כל בו </w:t>
      </w:r>
      <w:r>
        <w:rPr>
          <w:rFonts w:cs="Arial" w:hint="cs"/>
          <w:sz w:val="16"/>
          <w:szCs w:val="16"/>
          <w:rtl/>
        </w:rPr>
        <w:t>(</w:t>
      </w:r>
      <w:r w:rsidRPr="002D4002">
        <w:rPr>
          <w:rFonts w:cs="Arial"/>
          <w:sz w:val="16"/>
          <w:szCs w:val="16"/>
          <w:rtl/>
        </w:rPr>
        <w:t>סי' לא לב ע"ד</w:t>
      </w:r>
      <w:r>
        <w:rPr>
          <w:rFonts w:cs="Arial" w:hint="cs"/>
          <w:sz w:val="16"/>
          <w:szCs w:val="16"/>
          <w:rtl/>
        </w:rPr>
        <w:t>)</w:t>
      </w:r>
      <w:r>
        <w:rPr>
          <w:rFonts w:cs="Arial" w:hint="cs"/>
          <w:rtl/>
        </w:rPr>
        <w:t>-</w:t>
      </w:r>
      <w:r w:rsidRPr="002D4002">
        <w:rPr>
          <w:rFonts w:cs="Arial"/>
          <w:rtl/>
        </w:rPr>
        <w:t xml:space="preserve"> יש מפרשים הירושלמי אין הכן לגוי אין צריך שיכין לישראל אע</w:t>
      </w:r>
      <w:r>
        <w:rPr>
          <w:rFonts w:cs="Arial" w:hint="cs"/>
          <w:rtl/>
        </w:rPr>
        <w:t>"</w:t>
      </w:r>
      <w:r w:rsidRPr="002D4002">
        <w:rPr>
          <w:rFonts w:cs="Arial"/>
          <w:rtl/>
        </w:rPr>
        <w:t>פ שלא העלה בדעתו שיאכל הישראל מפירותיו מוכנים הם לישראל</w:t>
      </w:r>
      <w:r>
        <w:rPr>
          <w:rFonts w:cs="Arial" w:hint="cs"/>
          <w:rtl/>
        </w:rPr>
        <w:t>.</w:t>
      </w:r>
      <w:r w:rsidRPr="002D4002">
        <w:rPr>
          <w:rFonts w:cs="Arial"/>
          <w:rtl/>
        </w:rPr>
        <w:t xml:space="preserve"> ומיהו פירות דכולי עלמא מקצי דעתייהו מינייהו כגון גרוגרות וצמוקים</w:t>
      </w:r>
      <w:r>
        <w:rPr>
          <w:rFonts w:cs="Arial" w:hint="cs"/>
          <w:rtl/>
        </w:rPr>
        <w:t xml:space="preserve"> -</w:t>
      </w:r>
      <w:r w:rsidRPr="002D4002">
        <w:rPr>
          <w:rFonts w:cs="Arial"/>
          <w:rtl/>
        </w:rPr>
        <w:t xml:space="preserve"> צריכין הכנה ואפילו הם ביד גוי</w:t>
      </w:r>
      <w:r>
        <w:rPr>
          <w:rFonts w:hint="cs"/>
          <w:rtl/>
        </w:rPr>
        <w:t>.</w:t>
      </w:r>
    </w:p>
    <w:p w14:paraId="22A6204F" w14:textId="28EF15F9" w:rsidR="00B77B88" w:rsidRPr="00FC5BE5" w:rsidRDefault="00B77B88" w:rsidP="00434A6A">
      <w:pPr>
        <w:pStyle w:val="aa"/>
        <w:numPr>
          <w:ilvl w:val="0"/>
          <w:numId w:val="15"/>
        </w:numPr>
        <w:rPr>
          <w:rtl/>
        </w:rPr>
      </w:pPr>
      <w:r>
        <w:rPr>
          <w:rFonts w:cs="Arial" w:hint="cs"/>
          <w:rtl/>
        </w:rPr>
        <w:t>ר"ן</w:t>
      </w:r>
      <w:r>
        <w:rPr>
          <w:rFonts w:cs="Arial" w:hint="cs"/>
          <w:sz w:val="16"/>
          <w:szCs w:val="16"/>
          <w:rtl/>
        </w:rPr>
        <w:t xml:space="preserve"> (מו: ד"ה עשה)</w:t>
      </w:r>
      <w:r>
        <w:rPr>
          <w:rFonts w:cs="Arial" w:hint="cs"/>
          <w:rtl/>
        </w:rPr>
        <w:t xml:space="preserve">- </w:t>
      </w:r>
      <w:r w:rsidRPr="002B27A3">
        <w:rPr>
          <w:rFonts w:cs="Arial"/>
          <w:rtl/>
        </w:rPr>
        <w:t>עשה כבש לירד בו ירד ישראל אחריו. כבש עושין בספינה גדולה לירד מן הספינה ליבשה</w:t>
      </w:r>
      <w:r>
        <w:rPr>
          <w:rFonts w:cs="Arial" w:hint="cs"/>
          <w:rtl/>
        </w:rPr>
        <w:t>,</w:t>
      </w:r>
      <w:r w:rsidRPr="002B27A3">
        <w:rPr>
          <w:rFonts w:cs="Arial"/>
          <w:rtl/>
        </w:rPr>
        <w:t xml:space="preserve"> וכתב הרמב"ן ז"ל </w:t>
      </w:r>
      <w:r w:rsidRPr="00454569">
        <w:rPr>
          <w:rFonts w:cs="Arial"/>
          <w:sz w:val="16"/>
          <w:szCs w:val="16"/>
          <w:rtl/>
        </w:rPr>
        <w:t>(קכב. ד"ה מתני')</w:t>
      </w:r>
      <w:r>
        <w:rPr>
          <w:rFonts w:cs="Arial" w:hint="cs"/>
          <w:sz w:val="16"/>
          <w:szCs w:val="16"/>
          <w:rtl/>
        </w:rPr>
        <w:t xml:space="preserve"> </w:t>
      </w:r>
      <w:r w:rsidRPr="002B27A3">
        <w:rPr>
          <w:rFonts w:cs="Arial"/>
          <w:rtl/>
        </w:rPr>
        <w:t>דדוקא ירד אחריו שאינו מטלטלו אלא שיורד בו ואינו אלא כיושב על האבן</w:t>
      </w:r>
      <w:r>
        <w:rPr>
          <w:rFonts w:cs="Arial" w:hint="cs"/>
          <w:rtl/>
        </w:rPr>
        <w:t>,</w:t>
      </w:r>
      <w:r w:rsidRPr="002B27A3">
        <w:rPr>
          <w:rFonts w:cs="Arial"/>
          <w:rtl/>
        </w:rPr>
        <w:t xml:space="preserve"> אבל לטלטלו אסור אא"כ היו העצים תלושין מע"ש דבכה"ג ליכא משום מוקצה לפי שאין הנכרי מקצה כלום ודעתו על הכל כמו שאמרו בירושלמי </w:t>
      </w:r>
      <w:r w:rsidRPr="00AC6DD2">
        <w:rPr>
          <w:rFonts w:cs="Arial" w:hint="cs"/>
          <w:sz w:val="16"/>
          <w:szCs w:val="16"/>
          <w:rtl/>
        </w:rPr>
        <w:t>(שבת פ"א ה"ז , ביצה פ"ג ה"ב)</w:t>
      </w:r>
      <w:r w:rsidRPr="00AC6DD2">
        <w:rPr>
          <w:rFonts w:cs="Arial"/>
          <w:sz w:val="16"/>
          <w:szCs w:val="16"/>
          <w:rtl/>
        </w:rPr>
        <w:t xml:space="preserve"> </w:t>
      </w:r>
      <w:r w:rsidRPr="002B27A3">
        <w:rPr>
          <w:rFonts w:cs="Arial"/>
          <w:rtl/>
        </w:rPr>
        <w:t>דאין הכן לנכרי</w:t>
      </w:r>
      <w:r>
        <w:rPr>
          <w:rFonts w:cs="Arial" w:hint="cs"/>
          <w:rtl/>
        </w:rPr>
        <w:t>.</w:t>
      </w:r>
      <w:r w:rsidRPr="002B27A3">
        <w:rPr>
          <w:rFonts w:cs="Arial"/>
          <w:rtl/>
        </w:rPr>
        <w:t xml:space="preserve"> אבל בתלש עצים מן המחובר בשבת אסור לטלטלו</w:t>
      </w:r>
      <w:r>
        <w:rPr>
          <w:rStyle w:val="a9"/>
          <w:rFonts w:cs="Arial"/>
          <w:rtl/>
        </w:rPr>
        <w:footnoteReference w:id="1724"/>
      </w:r>
      <w:r>
        <w:rPr>
          <w:rFonts w:cs="Arial" w:hint="cs"/>
          <w:sz w:val="16"/>
          <w:szCs w:val="16"/>
          <w:rtl/>
        </w:rPr>
        <w:t xml:space="preserve"> (ל' הר"ן)</w:t>
      </w:r>
      <w:r>
        <w:rPr>
          <w:rFonts w:cs="Arial" w:hint="cs"/>
          <w:rtl/>
        </w:rPr>
        <w:t>.</w:t>
      </w:r>
      <w:r w:rsidR="002B13D2" w:rsidRPr="002B13D2">
        <w:rPr>
          <w:rFonts w:hint="cs"/>
          <w:color w:val="00B0F0"/>
          <w:rtl/>
        </w:rPr>
        <w:t xml:space="preserve"> (וכ"פ הרמ"א</w:t>
      </w:r>
      <w:r w:rsidR="002B13D2">
        <w:rPr>
          <w:rFonts w:hint="cs"/>
          <w:color w:val="000000" w:themeColor="text1"/>
          <w:sz w:val="16"/>
          <w:szCs w:val="16"/>
          <w:rtl/>
        </w:rPr>
        <w:t xml:space="preserve"> </w:t>
      </w:r>
      <w:r w:rsidR="002B13D2" w:rsidRPr="002B13D2">
        <w:rPr>
          <w:rFonts w:hint="cs"/>
          <w:color w:val="000000" w:themeColor="text1"/>
          <w:sz w:val="16"/>
          <w:szCs w:val="16"/>
          <w:rtl/>
        </w:rPr>
        <w:t>[</w:t>
      </w:r>
      <w:r w:rsidR="002B13D2">
        <w:rPr>
          <w:rFonts w:hint="cs"/>
          <w:color w:val="000000" w:themeColor="text1"/>
          <w:sz w:val="16"/>
          <w:szCs w:val="16"/>
          <w:rtl/>
        </w:rPr>
        <w:t>סי' שי ס"ב</w:t>
      </w:r>
      <w:r w:rsidR="002B13D2" w:rsidRPr="002B13D2">
        <w:rPr>
          <w:rFonts w:hint="cs"/>
          <w:color w:val="000000" w:themeColor="text1"/>
          <w:sz w:val="16"/>
          <w:szCs w:val="16"/>
          <w:rtl/>
        </w:rPr>
        <w:t>]</w:t>
      </w:r>
      <w:r w:rsidR="002B13D2" w:rsidRPr="002B13D2">
        <w:rPr>
          <w:rFonts w:hint="cs"/>
          <w:color w:val="00B0F0"/>
          <w:rtl/>
        </w:rPr>
        <w:t>)</w:t>
      </w:r>
    </w:p>
    <w:p w14:paraId="5A324B97" w14:textId="77777777" w:rsidR="00B77B88" w:rsidRPr="00FB3622" w:rsidRDefault="00B77B88" w:rsidP="00434A6A">
      <w:pPr>
        <w:pStyle w:val="aa"/>
        <w:numPr>
          <w:ilvl w:val="1"/>
          <w:numId w:val="15"/>
        </w:numPr>
        <w:rPr>
          <w:rtl/>
        </w:rPr>
      </w:pPr>
      <w:r>
        <w:rPr>
          <w:rFonts w:cs="Arial" w:hint="cs"/>
          <w:rtl/>
        </w:rPr>
        <w:t>ב"י</w:t>
      </w:r>
      <w:r>
        <w:rPr>
          <w:rFonts w:cs="Arial" w:hint="cs"/>
          <w:sz w:val="16"/>
          <w:szCs w:val="16"/>
          <w:rtl/>
        </w:rPr>
        <w:t xml:space="preserve"> (סי' שח סע' מא)</w:t>
      </w:r>
      <w:r>
        <w:rPr>
          <w:rFonts w:cs="Arial" w:hint="cs"/>
          <w:rtl/>
        </w:rPr>
        <w:t xml:space="preserve">- </w:t>
      </w:r>
      <w:r w:rsidRPr="005A0413">
        <w:rPr>
          <w:rFonts w:cs="Arial"/>
          <w:rtl/>
        </w:rPr>
        <w:t>ולענין הלכה כדברי הר"ן נקטינן שהוא רב מובהק וכל שכן שהוא להקל בדרבנן</w:t>
      </w:r>
      <w:r>
        <w:rPr>
          <w:rFonts w:cs="Arial" w:hint="cs"/>
          <w:rtl/>
        </w:rPr>
        <w:t>.</w:t>
      </w:r>
    </w:p>
    <w:p w14:paraId="4EB93619"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325D33ED" w14:textId="065B6315" w:rsidR="000C6229" w:rsidRPr="005275DF" w:rsidRDefault="000C6229" w:rsidP="00434A6A">
      <w:pPr>
        <w:rPr>
          <w:rFonts w:asciiTheme="minorBidi" w:hAnsiTheme="minorBidi"/>
          <w:rtl/>
        </w:rPr>
      </w:pPr>
      <w:r w:rsidRPr="005275DF">
        <w:rPr>
          <w:rFonts w:asciiTheme="minorBidi" w:hAnsiTheme="minorBidi"/>
          <w:rtl/>
        </w:rPr>
        <w:t>האשה מדדה את בנה, אפי</w:t>
      </w:r>
      <w:r w:rsidR="00FC18A1">
        <w:rPr>
          <w:rFonts w:asciiTheme="minorBidi" w:hAnsiTheme="minorBidi" w:hint="cs"/>
          <w:rtl/>
        </w:rPr>
        <w:t>לו</w:t>
      </w:r>
      <w:r w:rsidRPr="005275DF">
        <w:rPr>
          <w:rFonts w:asciiTheme="minorBidi" w:hAnsiTheme="minorBidi"/>
          <w:rtl/>
        </w:rPr>
        <w:t xml:space="preserve"> ברשות הרבים</w:t>
      </w:r>
      <w:r w:rsidR="00B75114">
        <w:rPr>
          <w:rStyle w:val="a9"/>
          <w:rFonts w:asciiTheme="minorBidi" w:hAnsiTheme="minorBidi"/>
          <w:rtl/>
        </w:rPr>
        <w:footnoteReference w:id="1725"/>
      </w:r>
      <w:r w:rsidRPr="005275DF">
        <w:rPr>
          <w:rFonts w:asciiTheme="minorBidi" w:hAnsiTheme="minorBidi"/>
          <w:rtl/>
        </w:rPr>
        <w:t>, ובלבד שלא תגררהו</w:t>
      </w:r>
      <w:r w:rsidR="00B75114">
        <w:rPr>
          <w:rStyle w:val="a9"/>
          <w:rFonts w:asciiTheme="minorBidi" w:hAnsiTheme="minorBidi"/>
          <w:rtl/>
        </w:rPr>
        <w:footnoteReference w:id="1726"/>
      </w:r>
      <w:r w:rsidRPr="005275DF">
        <w:rPr>
          <w:rFonts w:asciiTheme="minorBidi" w:hAnsiTheme="minorBidi"/>
          <w:rtl/>
        </w:rPr>
        <w:t xml:space="preserve"> אלא יהא מגביה רגלו אחת ויניח השניה על הארץ וישען עליה עד שיחזור ויניח רגלו שהגביה, שנמצא לעולם הוא נשען על רגלו האחת. </w:t>
      </w:r>
    </w:p>
    <w:p w14:paraId="3C9DD294" w14:textId="77777777" w:rsidR="000C6229" w:rsidRPr="005275DF" w:rsidRDefault="000C6229" w:rsidP="00434A6A">
      <w:pPr>
        <w:rPr>
          <w:rFonts w:asciiTheme="minorBidi" w:hAnsiTheme="minorBidi"/>
          <w:rtl/>
        </w:rPr>
      </w:pPr>
    </w:p>
    <w:p w14:paraId="0DA45C8C" w14:textId="55E8B196" w:rsidR="000C6229" w:rsidRDefault="000C6229" w:rsidP="00434A6A">
      <w:pPr>
        <w:pStyle w:val="2"/>
        <w:rPr>
          <w:rtl/>
        </w:rPr>
      </w:pPr>
      <w:r w:rsidRPr="005275DF">
        <w:rPr>
          <w:rtl/>
        </w:rPr>
        <w:t>סעיף מב</w:t>
      </w:r>
      <w:r w:rsidR="0050175B">
        <w:rPr>
          <w:rFonts w:hint="cs"/>
          <w:rtl/>
        </w:rPr>
        <w:t>: נגיעה במוקצה.</w:t>
      </w:r>
    </w:p>
    <w:p w14:paraId="5AF19BA3" w14:textId="53640876" w:rsidR="008B5E15" w:rsidRPr="008B5E15" w:rsidRDefault="008B5E15" w:rsidP="00434A6A">
      <w:pPr>
        <w:rPr>
          <w:rtl/>
        </w:rPr>
      </w:pPr>
      <w:r w:rsidRPr="008B5E15">
        <w:rPr>
          <w:rFonts w:cs="Arial" w:hint="cs"/>
          <w:b/>
          <w:bCs/>
          <w:rtl/>
        </w:rPr>
        <w:t xml:space="preserve">שבת </w:t>
      </w:r>
      <w:r w:rsidRPr="008B5E15">
        <w:rPr>
          <w:rFonts w:cs="Arial" w:hint="cs"/>
          <w:b/>
          <w:bCs/>
          <w:sz w:val="16"/>
          <w:szCs w:val="16"/>
          <w:rtl/>
        </w:rPr>
        <w:t>(פ' שואל)</w:t>
      </w:r>
      <w:r w:rsidRPr="008B5E15">
        <w:rPr>
          <w:rFonts w:cs="Arial" w:hint="cs"/>
          <w:b/>
          <w:bCs/>
          <w:rtl/>
        </w:rPr>
        <w:t xml:space="preserve"> קנא ע"א: </w:t>
      </w:r>
      <w:r w:rsidRPr="008B5E15">
        <w:rPr>
          <w:rFonts w:cs="Arial"/>
          <w:u w:val="double"/>
          <w:rtl/>
        </w:rPr>
        <w:t>משנה</w:t>
      </w:r>
      <w:r>
        <w:rPr>
          <w:rFonts w:cs="Arial" w:hint="cs"/>
          <w:rtl/>
        </w:rPr>
        <w:t>:</w:t>
      </w:r>
      <w:r w:rsidRPr="008B5E15">
        <w:rPr>
          <w:rFonts w:cs="Arial"/>
          <w:rtl/>
        </w:rPr>
        <w:t xml:space="preserve"> עושין כל צרכי המת: סכין ומדיחין אותו, ובלבד שלא יזיז בו אבר. שומטין את הכר מתחתיו, ומטילין אותו על החול בשביל</w:t>
      </w:r>
      <w:r w:rsidRPr="008B5E15">
        <w:rPr>
          <w:rtl/>
        </w:rPr>
        <w:t xml:space="preserve"> </w:t>
      </w:r>
      <w:r>
        <w:rPr>
          <w:rFonts w:cs="Arial" w:hint="cs"/>
          <w:sz w:val="14"/>
          <w:szCs w:val="14"/>
          <w:rtl/>
        </w:rPr>
        <w:t xml:space="preserve">(קנא:) </w:t>
      </w:r>
      <w:r w:rsidRPr="008B5E15">
        <w:rPr>
          <w:rFonts w:cs="Arial"/>
          <w:rtl/>
        </w:rPr>
        <w:t>שימתין. קושרין את הלחי, לא שיעלה - אלא שלא יוסיף.</w:t>
      </w:r>
    </w:p>
    <w:p w14:paraId="25CAAE96" w14:textId="77777777" w:rsidR="008B5E15" w:rsidRPr="008B5E15" w:rsidRDefault="008B5E15" w:rsidP="00434A6A">
      <w:pPr>
        <w:rPr>
          <w:rFonts w:cs="Arial"/>
          <w:u w:val="single"/>
        </w:rPr>
      </w:pPr>
      <w:r w:rsidRPr="008B5E15">
        <w:rPr>
          <w:rFonts w:cs="Arial" w:hint="cs"/>
          <w:u w:val="single"/>
          <w:rtl/>
        </w:rPr>
        <w:t xml:space="preserve">דבר שאסור לטלטלו </w:t>
      </w:r>
      <w:r w:rsidRPr="008B5E15">
        <w:rPr>
          <w:rFonts w:cs="Arial"/>
          <w:u w:val="single"/>
          <w:rtl/>
        </w:rPr>
        <w:t>–</w:t>
      </w:r>
      <w:r w:rsidRPr="008B5E15">
        <w:rPr>
          <w:rFonts w:cs="Arial" w:hint="cs"/>
          <w:u w:val="single"/>
          <w:rtl/>
        </w:rPr>
        <w:t xml:space="preserve"> האם מותר לטלטל מקצתו:</w:t>
      </w:r>
    </w:p>
    <w:p w14:paraId="6B9889BB" w14:textId="5EBF4E52" w:rsidR="008B5E15" w:rsidRDefault="008B5E15" w:rsidP="00434A6A">
      <w:pPr>
        <w:pStyle w:val="aa"/>
        <w:numPr>
          <w:ilvl w:val="0"/>
          <w:numId w:val="3"/>
        </w:numPr>
        <w:rPr>
          <w:rFonts w:cs="Arial"/>
        </w:rPr>
      </w:pPr>
      <w:r w:rsidRPr="000C38C0">
        <w:rPr>
          <w:rFonts w:cs="Arial" w:hint="cs"/>
          <w:rtl/>
        </w:rPr>
        <w:t>ר"ן</w:t>
      </w:r>
      <w:r w:rsidRPr="000C38C0">
        <w:rPr>
          <w:rFonts w:cs="Arial"/>
          <w:rtl/>
        </w:rPr>
        <w:t xml:space="preserve"> </w:t>
      </w:r>
      <w:r w:rsidRPr="000C38C0">
        <w:rPr>
          <w:rFonts w:cs="Arial"/>
          <w:sz w:val="16"/>
          <w:szCs w:val="16"/>
          <w:rtl/>
        </w:rPr>
        <w:t>(</w:t>
      </w:r>
      <w:r w:rsidRPr="000C38C0">
        <w:rPr>
          <w:rFonts w:cs="Arial" w:hint="cs"/>
          <w:sz w:val="16"/>
          <w:szCs w:val="16"/>
          <w:rtl/>
        </w:rPr>
        <w:t xml:space="preserve">ס"פ מפנין </w:t>
      </w:r>
      <w:r w:rsidRPr="000C38C0">
        <w:rPr>
          <w:rFonts w:cs="Arial"/>
          <w:sz w:val="16"/>
          <w:szCs w:val="16"/>
          <w:rtl/>
        </w:rPr>
        <w:t>נא: ד"ה ומיהו)</w:t>
      </w:r>
      <w:r w:rsidRPr="000C38C0">
        <w:rPr>
          <w:rFonts w:cs="Arial" w:hint="cs"/>
          <w:rtl/>
        </w:rPr>
        <w:t xml:space="preserve">- </w:t>
      </w:r>
      <w:r w:rsidRPr="000C38C0">
        <w:rPr>
          <w:rFonts w:cs="Arial"/>
          <w:rtl/>
        </w:rPr>
        <w:t>כל מידי דלא חזי לטלטול כשם שאין מטלטלין כולו כך אין מטלטלין מקצתו כדמוכח בפרק שואל (קנא.) דתנן גבי מת ובלבד שלא יזיז אחד מאיבריו</w:t>
      </w:r>
      <w:r w:rsidRPr="000C38C0">
        <w:rPr>
          <w:rFonts w:cs="Arial" w:hint="cs"/>
          <w:rtl/>
        </w:rPr>
        <w:t>.</w:t>
      </w:r>
    </w:p>
    <w:p w14:paraId="6C2C76EE" w14:textId="7EC884B0" w:rsidR="00504B82" w:rsidRPr="00504B82" w:rsidRDefault="00504B82" w:rsidP="00434A6A">
      <w:pPr>
        <w:rPr>
          <w:rFonts w:cs="Arial"/>
          <w:rtl/>
        </w:rPr>
      </w:pPr>
      <w:r w:rsidRPr="00504B82">
        <w:rPr>
          <w:rFonts w:cs="Arial" w:hint="cs"/>
          <w:b/>
          <w:bCs/>
          <w:rtl/>
        </w:rPr>
        <w:t>ע</w:t>
      </w:r>
      <w:r>
        <w:rPr>
          <w:rFonts w:cs="Arial" w:hint="cs"/>
          <w:b/>
          <w:bCs/>
          <w:rtl/>
        </w:rPr>
        <w:t>י</w:t>
      </w:r>
      <w:r w:rsidRPr="00504B82">
        <w:rPr>
          <w:rFonts w:cs="Arial" w:hint="cs"/>
          <w:b/>
          <w:bCs/>
          <w:rtl/>
        </w:rPr>
        <w:t>רובין</w:t>
      </w:r>
      <w:r>
        <w:rPr>
          <w:rFonts w:cs="Arial" w:hint="cs"/>
          <w:b/>
          <w:bCs/>
          <w:sz w:val="16"/>
          <w:szCs w:val="16"/>
          <w:rtl/>
        </w:rPr>
        <w:t xml:space="preserve"> (כיצד משתתפין)</w:t>
      </w:r>
      <w:r w:rsidRPr="00504B82">
        <w:rPr>
          <w:rFonts w:cs="Arial" w:hint="cs"/>
          <w:b/>
          <w:bCs/>
          <w:rtl/>
        </w:rPr>
        <w:t xml:space="preserve"> פד ע"א:</w:t>
      </w:r>
      <w:r w:rsidR="00BE1F3E" w:rsidRPr="00BE1F3E">
        <w:rPr>
          <w:rtl/>
        </w:rPr>
        <w:t xml:space="preserve"> </w:t>
      </w:r>
      <w:r w:rsidR="00BE1F3E" w:rsidRPr="00BE1F3E">
        <w:rPr>
          <w:rFonts w:cs="Arial"/>
          <w:rtl/>
        </w:rPr>
        <w:t>תנן: חוליית הבור והסלע שהן גבוהין עשרה - למרפסת, פחות מכאן - לחצר. אמר רב הונא: לאותן הדרים במרפסת. תינח סלע, בור מאי איכא למימר?</w:t>
      </w:r>
      <w:r w:rsidR="00BE1F3E">
        <w:rPr>
          <w:rFonts w:cs="Arial" w:hint="cs"/>
          <w:rtl/>
        </w:rPr>
        <w:t>...</w:t>
      </w:r>
      <w:r w:rsidR="00BE1F3E" w:rsidRPr="00BE1F3E">
        <w:rPr>
          <w:rFonts w:cs="Arial"/>
          <w:rtl/>
        </w:rPr>
        <w:t xml:space="preserve"> </w:t>
      </w:r>
      <w:r w:rsidR="00BE1F3E" w:rsidRPr="00BE1F3E">
        <w:rPr>
          <w:rFonts w:cs="Arial"/>
          <w:u w:val="single"/>
          <w:rtl/>
        </w:rPr>
        <w:t>אלא אמר אביי</w:t>
      </w:r>
      <w:r w:rsidR="00BE1F3E" w:rsidRPr="00BE1F3E">
        <w:rPr>
          <w:rFonts w:cs="Arial"/>
          <w:rtl/>
        </w:rPr>
        <w:t>: הכא בבור מליאה פירות עסקינן. והא חסרי! בטיבלא</w:t>
      </w:r>
      <w:r w:rsidR="00BE1F3E">
        <w:rPr>
          <w:rStyle w:val="a9"/>
          <w:rFonts w:cs="Arial"/>
          <w:rtl/>
        </w:rPr>
        <w:footnoteReference w:id="1727"/>
      </w:r>
      <w:r w:rsidR="00BE1F3E" w:rsidRPr="00BE1F3E">
        <w:rPr>
          <w:rFonts w:cs="Arial"/>
          <w:rtl/>
        </w:rPr>
        <w:t>. דיקא נמי, דקתני דומיא דסלע</w:t>
      </w:r>
      <w:r w:rsidR="00BE1F3E">
        <w:rPr>
          <w:rStyle w:val="a9"/>
          <w:rFonts w:cs="Arial"/>
          <w:rtl/>
        </w:rPr>
        <w:footnoteReference w:id="1728"/>
      </w:r>
      <w:r w:rsidR="00BE1F3E" w:rsidRPr="00BE1F3E">
        <w:rPr>
          <w:rFonts w:cs="Arial"/>
          <w:rtl/>
        </w:rPr>
        <w:t>, שמע מינה.</w:t>
      </w:r>
      <w:r>
        <w:rPr>
          <w:rFonts w:cs="Arial" w:hint="cs"/>
          <w:rtl/>
        </w:rPr>
        <w:t xml:space="preserve"> </w:t>
      </w:r>
      <w:r w:rsidR="00F65519">
        <w:rPr>
          <w:rFonts w:cs="Arial" w:hint="cs"/>
          <w:sz w:val="16"/>
          <w:szCs w:val="16"/>
          <w:rtl/>
        </w:rPr>
        <w:t>(</w:t>
      </w:r>
      <w:r w:rsidR="00F65519" w:rsidRPr="00F65519">
        <w:rPr>
          <w:rFonts w:cs="Arial" w:hint="cs"/>
          <w:sz w:val="16"/>
          <w:szCs w:val="16"/>
          <w:rtl/>
        </w:rPr>
        <w:t xml:space="preserve">וכתב תרוה"ד (סי' סז) דאע"ג דמוקמינן </w:t>
      </w:r>
      <w:r w:rsidR="00F65519">
        <w:rPr>
          <w:rFonts w:cs="Arial" w:hint="cs"/>
          <w:sz w:val="16"/>
          <w:szCs w:val="16"/>
          <w:rtl/>
        </w:rPr>
        <w:t xml:space="preserve">הכא </w:t>
      </w:r>
      <w:r w:rsidR="00F65519" w:rsidRPr="00F65519">
        <w:rPr>
          <w:rFonts w:cs="Arial"/>
          <w:sz w:val="16"/>
          <w:szCs w:val="16"/>
          <w:rtl/>
        </w:rPr>
        <w:t>בבור מליאה פירות של טבל דמוקצה הן</w:t>
      </w:r>
      <w:r w:rsidR="00F65519" w:rsidRPr="00F65519">
        <w:rPr>
          <w:rFonts w:cs="Arial" w:hint="cs"/>
          <w:sz w:val="16"/>
          <w:szCs w:val="16"/>
          <w:rtl/>
        </w:rPr>
        <w:t xml:space="preserve"> -</w:t>
      </w:r>
      <w:r w:rsidR="00F65519" w:rsidRPr="00F65519">
        <w:rPr>
          <w:rFonts w:cs="Arial"/>
          <w:sz w:val="16"/>
          <w:szCs w:val="16"/>
          <w:rtl/>
        </w:rPr>
        <w:t xml:space="preserve"> אפ"ה שרי לבני מרפסת להשתמש ע"ג הפירות שבתוך הבור</w:t>
      </w:r>
      <w:r w:rsidR="00F65519" w:rsidRPr="00F65519">
        <w:rPr>
          <w:rFonts w:cs="Arial" w:hint="cs"/>
          <w:sz w:val="16"/>
          <w:szCs w:val="16"/>
          <w:rtl/>
        </w:rPr>
        <w:t xml:space="preserve">, ומזה הביא ראיה להתיר להניח חפצים על </w:t>
      </w:r>
      <w:r w:rsidR="00F65519" w:rsidRPr="00F65519">
        <w:rPr>
          <w:rFonts w:cs="Arial"/>
          <w:sz w:val="16"/>
          <w:szCs w:val="16"/>
          <w:rtl/>
        </w:rPr>
        <w:t>שקין שיש בהן מעות</w:t>
      </w:r>
      <w:r w:rsidR="00F65519" w:rsidRPr="00F65519">
        <w:rPr>
          <w:rFonts w:cs="Arial" w:hint="cs"/>
          <w:sz w:val="16"/>
          <w:szCs w:val="16"/>
          <w:rtl/>
        </w:rPr>
        <w:t>, וכן לקחת את החפצים</w:t>
      </w:r>
      <w:r w:rsidR="00F65519">
        <w:rPr>
          <w:rFonts w:cs="Arial" w:hint="cs"/>
          <w:sz w:val="16"/>
          <w:szCs w:val="16"/>
          <w:rtl/>
        </w:rPr>
        <w:t xml:space="preserve"> משם)</w:t>
      </w:r>
    </w:p>
    <w:p w14:paraId="0714A7AE" w14:textId="3837B946" w:rsidR="00D2340A" w:rsidRPr="00AD4DF7" w:rsidRDefault="000C38C0" w:rsidP="00434A6A">
      <w:pPr>
        <w:rPr>
          <w:rFonts w:cs="Arial"/>
          <w:sz w:val="16"/>
          <w:szCs w:val="16"/>
        </w:rPr>
      </w:pPr>
      <w:r w:rsidRPr="00AD4DF7">
        <w:rPr>
          <w:rFonts w:cs="Arial" w:hint="cs"/>
          <w:b/>
          <w:bCs/>
          <w:rtl/>
        </w:rPr>
        <w:t>ירושלמי ביצה פ"ה ה"א</w:t>
      </w:r>
      <w:r>
        <w:rPr>
          <w:rStyle w:val="a9"/>
          <w:rFonts w:cs="Arial"/>
          <w:b/>
          <w:bCs/>
          <w:rtl/>
        </w:rPr>
        <w:footnoteReference w:id="1729"/>
      </w:r>
      <w:r w:rsidRPr="00AD4DF7">
        <w:rPr>
          <w:rFonts w:cs="Arial" w:hint="cs"/>
          <w:b/>
          <w:bCs/>
          <w:rtl/>
        </w:rPr>
        <w:t xml:space="preserve">: </w:t>
      </w:r>
      <w:r w:rsidRPr="008B5E15">
        <w:rPr>
          <w:rFonts w:cs="Arial"/>
          <w:u w:val="single"/>
          <w:rtl/>
        </w:rPr>
        <w:t>א</w:t>
      </w:r>
      <w:r w:rsidRPr="00AD4DF7">
        <w:rPr>
          <w:rFonts w:cs="Arial"/>
          <w:u w:val="single"/>
          <w:rtl/>
        </w:rPr>
        <w:t>"ר שמעון בי ר' ינאי</w:t>
      </w:r>
      <w:r>
        <w:rPr>
          <w:rFonts w:cs="Arial" w:hint="cs"/>
          <w:rtl/>
        </w:rPr>
        <w:t>:</w:t>
      </w:r>
      <w:r w:rsidRPr="00AD4DF7">
        <w:rPr>
          <w:rFonts w:cs="Arial"/>
          <w:rtl/>
        </w:rPr>
        <w:t xml:space="preserve"> לא שמעתי מאבא</w:t>
      </w:r>
      <w:r w:rsidR="00997469">
        <w:rPr>
          <w:rFonts w:cs="Arial" w:hint="cs"/>
          <w:rtl/>
        </w:rPr>
        <w:t>,</w:t>
      </w:r>
      <w:r w:rsidRPr="00AD4DF7">
        <w:rPr>
          <w:rFonts w:cs="Arial"/>
          <w:rtl/>
        </w:rPr>
        <w:t xml:space="preserve"> אחותי אמרה לי משמו</w:t>
      </w:r>
      <w:r>
        <w:rPr>
          <w:rFonts w:cs="Arial" w:hint="cs"/>
          <w:rtl/>
        </w:rPr>
        <w:t>:</w:t>
      </w:r>
      <w:r w:rsidRPr="00AD4DF7">
        <w:rPr>
          <w:rFonts w:cs="Arial"/>
          <w:rtl/>
        </w:rPr>
        <w:t xml:space="preserve"> ביצה שנולדה בי"ט סומכין לה כלי בשביל שלא תתגלגל</w:t>
      </w:r>
      <w:r>
        <w:rPr>
          <w:rFonts w:cs="Arial" w:hint="cs"/>
          <w:rtl/>
        </w:rPr>
        <w:t>,</w:t>
      </w:r>
      <w:r w:rsidRPr="00AD4DF7">
        <w:rPr>
          <w:rFonts w:cs="Arial"/>
          <w:rtl/>
        </w:rPr>
        <w:t xml:space="preserve"> אבל אין כופין עליה כלי</w:t>
      </w:r>
      <w:r>
        <w:rPr>
          <w:rFonts w:cs="Arial" w:hint="cs"/>
          <w:rtl/>
        </w:rPr>
        <w:t>.</w:t>
      </w:r>
      <w:r w:rsidRPr="00AD4DF7">
        <w:rPr>
          <w:rFonts w:cs="Arial"/>
          <w:rtl/>
        </w:rPr>
        <w:t xml:space="preserve"> </w:t>
      </w:r>
      <w:r w:rsidRPr="00AD4DF7">
        <w:rPr>
          <w:rFonts w:cs="Arial"/>
          <w:u w:val="single"/>
          <w:rtl/>
        </w:rPr>
        <w:t>ושמואל אמר</w:t>
      </w:r>
      <w:r>
        <w:rPr>
          <w:rFonts w:cs="Arial" w:hint="cs"/>
          <w:rtl/>
        </w:rPr>
        <w:t>:</w:t>
      </w:r>
      <w:r w:rsidRPr="00AD4DF7">
        <w:rPr>
          <w:rFonts w:cs="Arial"/>
          <w:rtl/>
        </w:rPr>
        <w:t xml:space="preserve"> כופין עליה כלי</w:t>
      </w:r>
      <w:r>
        <w:rPr>
          <w:rFonts w:cs="Arial" w:hint="cs"/>
          <w:rtl/>
        </w:rPr>
        <w:t>.</w:t>
      </w:r>
      <w:r w:rsidRPr="00AD4DF7">
        <w:rPr>
          <w:rFonts w:cs="Arial"/>
          <w:rtl/>
        </w:rPr>
        <w:t xml:space="preserve"> </w:t>
      </w:r>
      <w:r w:rsidRPr="00AD4DF7">
        <w:rPr>
          <w:rFonts w:cs="Arial"/>
          <w:u w:val="single"/>
          <w:rtl/>
        </w:rPr>
        <w:t>א"ר מנא</w:t>
      </w:r>
      <w:r>
        <w:rPr>
          <w:rFonts w:cs="Arial" w:hint="cs"/>
          <w:rtl/>
        </w:rPr>
        <w:t>:</w:t>
      </w:r>
      <w:r w:rsidRPr="00AD4DF7">
        <w:rPr>
          <w:rFonts w:cs="Arial"/>
          <w:rtl/>
        </w:rPr>
        <w:t xml:space="preserve"> ובלבד שלא יהא כלי נוגע בגופה של ביצה</w:t>
      </w:r>
      <w:r>
        <w:rPr>
          <w:rFonts w:cs="Arial" w:hint="cs"/>
          <w:rtl/>
        </w:rPr>
        <w:t xml:space="preserve">. </w:t>
      </w:r>
      <w:r>
        <w:rPr>
          <w:rFonts w:cs="Arial" w:hint="cs"/>
          <w:sz w:val="16"/>
          <w:szCs w:val="16"/>
          <w:rtl/>
        </w:rPr>
        <w:t>(והביא הראב"ד (בהשגות פכ"ה הכ"ג) את דברי ר' מנא להלכה</w:t>
      </w:r>
      <w:r w:rsidR="007A62DB">
        <w:rPr>
          <w:rFonts w:cs="Arial" w:hint="cs"/>
          <w:sz w:val="16"/>
          <w:szCs w:val="16"/>
          <w:rtl/>
        </w:rPr>
        <w:t>. וגם הרא"ש (ביצה פ"א סי' א) העתיק את דברי הירושלמי בפסקיו. ונראה דלא פליג אגמרא דידן</w:t>
      </w:r>
      <w:r w:rsidR="00856AE8">
        <w:rPr>
          <w:rFonts w:cs="Arial" w:hint="cs"/>
          <w:sz w:val="16"/>
          <w:szCs w:val="16"/>
          <w:rtl/>
        </w:rPr>
        <w:t xml:space="preserve"> (שבת קנא., עירובין פד.) דמוכח מינה שרי לגעת במוקצה בלי להזיזו</w:t>
      </w:r>
      <w:r w:rsidR="007A62DB">
        <w:rPr>
          <w:rFonts w:cs="Arial" w:hint="cs"/>
          <w:sz w:val="16"/>
          <w:szCs w:val="16"/>
          <w:rtl/>
        </w:rPr>
        <w:t xml:space="preserve">, דבביצה יש לאסור </w:t>
      </w:r>
      <w:r w:rsidR="00D2340A" w:rsidRPr="00D2340A">
        <w:rPr>
          <w:rFonts w:cs="Arial"/>
          <w:sz w:val="16"/>
          <w:szCs w:val="16"/>
          <w:rtl/>
        </w:rPr>
        <w:t>שמא יחוש לשבירת הביצה ויבא ליגע בגופה של ביצה</w:t>
      </w:r>
      <w:r w:rsidR="007A62DB" w:rsidRPr="007A62DB">
        <w:rPr>
          <w:rFonts w:cs="Arial" w:hint="cs"/>
          <w:sz w:val="16"/>
          <w:szCs w:val="16"/>
          <w:rtl/>
        </w:rPr>
        <w:t xml:space="preserve"> </w:t>
      </w:r>
      <w:r w:rsidR="007A62DB">
        <w:rPr>
          <w:rFonts w:cs="Arial" w:hint="cs"/>
          <w:sz w:val="16"/>
          <w:szCs w:val="16"/>
          <w:rtl/>
        </w:rPr>
        <w:t>(מאירי [ביצה לו.]), א"נ</w:t>
      </w:r>
      <w:r w:rsidR="007A62DB" w:rsidRPr="007A62DB">
        <w:rPr>
          <w:rFonts w:cs="Arial"/>
          <w:sz w:val="16"/>
          <w:szCs w:val="16"/>
          <w:rtl/>
        </w:rPr>
        <w:t xml:space="preserve"> שמא ינענע הביצה ע</w:t>
      </w:r>
      <w:r w:rsidR="007A62DB" w:rsidRPr="007A62DB">
        <w:rPr>
          <w:rFonts w:cs="Arial" w:hint="cs"/>
          <w:sz w:val="16"/>
          <w:szCs w:val="16"/>
          <w:rtl/>
        </w:rPr>
        <w:t>"</w:t>
      </w:r>
      <w:r w:rsidR="007A62DB" w:rsidRPr="007A62DB">
        <w:rPr>
          <w:rFonts w:cs="Arial"/>
          <w:sz w:val="16"/>
          <w:szCs w:val="16"/>
          <w:rtl/>
        </w:rPr>
        <w:t>י הכלי</w:t>
      </w:r>
      <w:r w:rsidR="007A62DB">
        <w:rPr>
          <w:rStyle w:val="a9"/>
          <w:rFonts w:cs="Arial"/>
          <w:sz w:val="16"/>
          <w:szCs w:val="16"/>
          <w:rtl/>
        </w:rPr>
        <w:footnoteReference w:id="1730"/>
      </w:r>
      <w:r w:rsidR="007A62DB">
        <w:rPr>
          <w:rFonts w:cs="Arial" w:hint="cs"/>
          <w:sz w:val="16"/>
          <w:szCs w:val="16"/>
          <w:rtl/>
        </w:rPr>
        <w:t xml:space="preserve"> (הה"מ [שבת פכ"ה הכ"ג]), א"נ</w:t>
      </w:r>
      <w:r w:rsidR="007A62DB" w:rsidRPr="007A62DB">
        <w:rPr>
          <w:rFonts w:cs="Arial"/>
          <w:sz w:val="16"/>
          <w:szCs w:val="16"/>
          <w:rtl/>
        </w:rPr>
        <w:t xml:space="preserve"> כיון דהנחת הכלי על הביצה היא לצורך הביצה דהוי דבר המוקצה ולכך אסור ליגע בו</w:t>
      </w:r>
      <w:r w:rsidR="007A62DB">
        <w:rPr>
          <w:rStyle w:val="a9"/>
          <w:rFonts w:cs="Arial"/>
          <w:sz w:val="16"/>
          <w:szCs w:val="16"/>
          <w:rtl/>
        </w:rPr>
        <w:footnoteReference w:id="1731"/>
      </w:r>
      <w:r w:rsidR="007A62DB">
        <w:rPr>
          <w:rFonts w:cs="Arial" w:hint="cs"/>
          <w:sz w:val="16"/>
          <w:szCs w:val="16"/>
          <w:rtl/>
        </w:rPr>
        <w:t xml:space="preserve"> (תרוה"ד [סי' סז])</w:t>
      </w:r>
      <w:r w:rsidR="00856AE8">
        <w:rPr>
          <w:rFonts w:cs="Arial" w:hint="cs"/>
          <w:sz w:val="16"/>
          <w:szCs w:val="16"/>
          <w:rtl/>
        </w:rPr>
        <w:t>)</w:t>
      </w:r>
    </w:p>
    <w:p w14:paraId="0E62D3DF" w14:textId="170C3FC5" w:rsidR="00DF0D05" w:rsidRPr="00EB3785" w:rsidRDefault="00EB3785" w:rsidP="00434A6A">
      <w:pPr>
        <w:rPr>
          <w:u w:val="single"/>
          <w:rtl/>
        </w:rPr>
      </w:pPr>
      <w:r w:rsidRPr="00EB3785">
        <w:rPr>
          <w:rFonts w:hint="cs"/>
          <w:u w:val="single"/>
          <w:rtl/>
        </w:rPr>
        <w:t xml:space="preserve">נגיעה במוקצה בלי </w:t>
      </w:r>
      <w:r w:rsidR="000C38C0">
        <w:rPr>
          <w:rFonts w:hint="cs"/>
          <w:u w:val="single"/>
          <w:rtl/>
        </w:rPr>
        <w:t>להזיזו</w:t>
      </w:r>
      <w:r w:rsidRPr="00EB3785">
        <w:rPr>
          <w:rFonts w:hint="cs"/>
          <w:u w:val="single"/>
          <w:rtl/>
        </w:rPr>
        <w:t>:</w:t>
      </w:r>
    </w:p>
    <w:p w14:paraId="108A8DA0" w14:textId="716FB69E" w:rsidR="006F590D" w:rsidRPr="001F0587" w:rsidRDefault="003868F4" w:rsidP="00434A6A">
      <w:pPr>
        <w:pStyle w:val="aa"/>
        <w:numPr>
          <w:ilvl w:val="0"/>
          <w:numId w:val="12"/>
        </w:numPr>
        <w:rPr>
          <w:rFonts w:cs="Arial"/>
          <w:rtl/>
        </w:rPr>
      </w:pPr>
      <w:r w:rsidRPr="00DF0D05">
        <w:rPr>
          <w:rFonts w:cs="Arial" w:hint="cs"/>
          <w:rtl/>
        </w:rPr>
        <w:t xml:space="preserve">מהר"ם </w:t>
      </w:r>
      <w:r w:rsidRPr="00DF0D05">
        <w:rPr>
          <w:rFonts w:cs="Arial" w:hint="cs"/>
          <w:sz w:val="16"/>
          <w:szCs w:val="16"/>
          <w:rtl/>
        </w:rPr>
        <w:t>(סי' תקיח</w:t>
      </w:r>
      <w:r w:rsidR="00A370FC" w:rsidRPr="00DF0D05">
        <w:rPr>
          <w:rFonts w:cs="Arial" w:hint="cs"/>
          <w:sz w:val="16"/>
          <w:szCs w:val="16"/>
          <w:rtl/>
        </w:rPr>
        <w:t>, העתיקו המרדכי [ביצה סי' תרמה]</w:t>
      </w:r>
      <w:r w:rsidRPr="00DF0D05">
        <w:rPr>
          <w:rFonts w:cs="Arial" w:hint="cs"/>
          <w:sz w:val="16"/>
          <w:szCs w:val="16"/>
          <w:rtl/>
        </w:rPr>
        <w:t>)</w:t>
      </w:r>
      <w:r w:rsidRPr="00DF0D05">
        <w:rPr>
          <w:rFonts w:cs="Arial" w:hint="cs"/>
          <w:rtl/>
        </w:rPr>
        <w:t xml:space="preserve">- </w:t>
      </w:r>
      <w:r w:rsidRPr="00DF0D05">
        <w:rPr>
          <w:rFonts w:cs="Arial"/>
          <w:rtl/>
        </w:rPr>
        <w:t xml:space="preserve">אם חפץ אחד מונח על מעות או על שום דבר מוקצה בשבת והוא צריך מן החפץ </w:t>
      </w:r>
      <w:r w:rsidRPr="00DF0D05">
        <w:rPr>
          <w:rFonts w:cs="Arial" w:hint="cs"/>
          <w:rtl/>
        </w:rPr>
        <w:t xml:space="preserve">- </w:t>
      </w:r>
      <w:r w:rsidRPr="00DF0D05">
        <w:rPr>
          <w:rFonts w:cs="Arial"/>
          <w:rtl/>
        </w:rPr>
        <w:t>מותר לטלו משם</w:t>
      </w:r>
      <w:r w:rsidRPr="00DF0D05">
        <w:rPr>
          <w:rFonts w:cs="Arial" w:hint="cs"/>
          <w:rtl/>
        </w:rPr>
        <w:t>,</w:t>
      </w:r>
      <w:r w:rsidRPr="00DF0D05">
        <w:rPr>
          <w:rFonts w:cs="Arial"/>
          <w:rtl/>
        </w:rPr>
        <w:t xml:space="preserve"> כי דבר מוקצה אינו אסור אלא לטלטלו בשבת ממקום למקום אבל לגע בו מותר</w:t>
      </w:r>
      <w:r w:rsidR="001F0587">
        <w:rPr>
          <w:rStyle w:val="a9"/>
          <w:rFonts w:cs="Arial"/>
          <w:rtl/>
        </w:rPr>
        <w:footnoteReference w:id="1732"/>
      </w:r>
      <w:r w:rsidR="001F0587">
        <w:rPr>
          <w:rFonts w:cs="Arial" w:hint="cs"/>
          <w:rtl/>
        </w:rPr>
        <w:t xml:space="preserve"> </w:t>
      </w:r>
      <w:r w:rsidR="001F0587">
        <w:rPr>
          <w:rFonts w:cs="Arial" w:hint="cs"/>
          <w:sz w:val="16"/>
          <w:szCs w:val="16"/>
          <w:rtl/>
        </w:rPr>
        <w:t>(ל' מהר"ם)</w:t>
      </w:r>
      <w:r w:rsidR="00A370FC">
        <w:rPr>
          <w:rStyle w:val="a9"/>
          <w:rFonts w:cs="Arial"/>
          <w:rtl/>
        </w:rPr>
        <w:footnoteReference w:id="1733"/>
      </w:r>
      <w:r w:rsidRPr="00DF0D05">
        <w:rPr>
          <w:rFonts w:cs="Arial"/>
          <w:rtl/>
        </w:rPr>
        <w:t xml:space="preserve">. </w:t>
      </w:r>
      <w:r w:rsidR="00D2340A" w:rsidRPr="00D2340A">
        <w:rPr>
          <w:rFonts w:cs="Arial" w:hint="cs"/>
          <w:color w:val="E36C0A" w:themeColor="accent6" w:themeShade="BF"/>
          <w:rtl/>
        </w:rPr>
        <w:t>(וכ"פ בשו"ע</w:t>
      </w:r>
      <w:r w:rsidR="00D2340A">
        <w:rPr>
          <w:rFonts w:cs="Arial" w:hint="cs"/>
          <w:color w:val="E36C0A" w:themeColor="accent6" w:themeShade="BF"/>
          <w:rtl/>
        </w:rPr>
        <w:t>)</w:t>
      </w:r>
      <w:r w:rsidR="00856AE8">
        <w:rPr>
          <w:rFonts w:cs="Arial" w:hint="cs"/>
          <w:rtl/>
        </w:rPr>
        <w:t xml:space="preserve"> </w:t>
      </w:r>
      <w:r w:rsidR="00856AE8" w:rsidRPr="00856AE8">
        <w:rPr>
          <w:rFonts w:cs="Arial" w:hint="cs"/>
          <w:color w:val="00B0F0"/>
          <w:rtl/>
        </w:rPr>
        <w:t>(וכ"פ הרמ"א</w:t>
      </w:r>
      <w:r w:rsidR="00856AE8" w:rsidRPr="00856AE8">
        <w:rPr>
          <w:rFonts w:cs="Arial" w:hint="cs"/>
          <w:color w:val="00B0F0"/>
          <w:sz w:val="16"/>
          <w:szCs w:val="16"/>
          <w:rtl/>
        </w:rPr>
        <w:t xml:space="preserve"> </w:t>
      </w:r>
      <w:r w:rsidR="00856AE8">
        <w:rPr>
          <w:rFonts w:cs="Arial" w:hint="cs"/>
          <w:sz w:val="16"/>
          <w:szCs w:val="16"/>
          <w:rtl/>
        </w:rPr>
        <w:t>[סע' ג]</w:t>
      </w:r>
      <w:r w:rsidR="00856AE8" w:rsidRPr="00856AE8">
        <w:rPr>
          <w:rFonts w:cs="Arial" w:hint="cs"/>
          <w:color w:val="00B0F0"/>
          <w:rtl/>
        </w:rPr>
        <w:t>)</w:t>
      </w:r>
    </w:p>
    <w:p w14:paraId="49854A56" w14:textId="5A9A4108" w:rsidR="00DD1F86" w:rsidRPr="00DD1F86" w:rsidRDefault="006F590D" w:rsidP="00434A6A">
      <w:pPr>
        <w:pStyle w:val="aa"/>
        <w:numPr>
          <w:ilvl w:val="0"/>
          <w:numId w:val="3"/>
        </w:numPr>
        <w:rPr>
          <w:rFonts w:cs="Arial"/>
        </w:rPr>
      </w:pPr>
      <w:r w:rsidRPr="00216370">
        <w:rPr>
          <w:rFonts w:cs="Arial" w:hint="cs"/>
          <w:rtl/>
        </w:rPr>
        <w:t xml:space="preserve">ראב"ד </w:t>
      </w:r>
      <w:r w:rsidRPr="00216370">
        <w:rPr>
          <w:rFonts w:cs="Arial" w:hint="cs"/>
          <w:sz w:val="16"/>
          <w:szCs w:val="16"/>
          <w:rtl/>
        </w:rPr>
        <w:t>(שבת פכ"ה הכ"ג)</w:t>
      </w:r>
      <w:r w:rsidRPr="00216370">
        <w:rPr>
          <w:rFonts w:cs="Arial" w:hint="cs"/>
          <w:rtl/>
        </w:rPr>
        <w:t xml:space="preserve">- </w:t>
      </w:r>
      <w:r w:rsidRPr="00216370">
        <w:rPr>
          <w:rFonts w:cs="Arial"/>
          <w:rtl/>
        </w:rPr>
        <w:t>אין נותנין כלי תחת התרנגולת לקבל ביצתה, אבל כופה הוא הכלי עליה</w:t>
      </w:r>
      <w:r w:rsidRPr="00216370">
        <w:rPr>
          <w:rFonts w:cs="Arial" w:hint="cs"/>
          <w:rtl/>
        </w:rPr>
        <w:t>...</w:t>
      </w:r>
      <w:r w:rsidRPr="00216370">
        <w:rPr>
          <w:rFonts w:cs="Arial"/>
          <w:rtl/>
        </w:rPr>
        <w:t xml:space="preserve"> ובלבד שלא יגע בביצה</w:t>
      </w:r>
      <w:r>
        <w:rPr>
          <w:rStyle w:val="a9"/>
          <w:rFonts w:cs="Arial"/>
          <w:rtl/>
        </w:rPr>
        <w:footnoteReference w:id="1734"/>
      </w:r>
      <w:r w:rsidRPr="00216370">
        <w:rPr>
          <w:rFonts w:cs="Arial"/>
          <w:rtl/>
        </w:rPr>
        <w:t xml:space="preserve">. </w:t>
      </w:r>
      <w:r w:rsidR="00D2340A" w:rsidRPr="00D2340A">
        <w:rPr>
          <w:rFonts w:cs="Arial" w:hint="cs"/>
          <w:color w:val="E36C0A" w:themeColor="accent6" w:themeShade="BF"/>
          <w:rtl/>
        </w:rPr>
        <w:t>(וכ"פ בשו"ע</w:t>
      </w:r>
      <w:r w:rsidR="00D2340A" w:rsidRPr="00D2340A">
        <w:rPr>
          <w:rFonts w:cs="Arial" w:hint="cs"/>
          <w:color w:val="E36C0A" w:themeColor="accent6" w:themeShade="BF"/>
          <w:sz w:val="16"/>
          <w:szCs w:val="16"/>
          <w:rtl/>
        </w:rPr>
        <w:t xml:space="preserve"> </w:t>
      </w:r>
      <w:r w:rsidR="00D2340A">
        <w:rPr>
          <w:rFonts w:cs="Arial" w:hint="cs"/>
          <w:sz w:val="16"/>
          <w:szCs w:val="16"/>
          <w:rtl/>
        </w:rPr>
        <w:t>[</w:t>
      </w:r>
      <w:r w:rsidR="00B05450">
        <w:rPr>
          <w:rFonts w:cs="Arial" w:hint="cs"/>
          <w:sz w:val="16"/>
          <w:szCs w:val="16"/>
          <w:rtl/>
        </w:rPr>
        <w:t>סי' שי ס"ו, ו</w:t>
      </w:r>
      <w:r w:rsidR="00D2340A">
        <w:rPr>
          <w:rFonts w:cs="Arial" w:hint="cs"/>
          <w:sz w:val="16"/>
          <w:szCs w:val="16"/>
          <w:rtl/>
        </w:rPr>
        <w:t>סי' שכב ס"א]</w:t>
      </w:r>
      <w:r w:rsidR="00D2340A" w:rsidRPr="00D2340A">
        <w:rPr>
          <w:rFonts w:cs="Arial" w:hint="cs"/>
          <w:color w:val="E36C0A" w:themeColor="accent6" w:themeShade="BF"/>
          <w:rtl/>
        </w:rPr>
        <w:t>)</w:t>
      </w:r>
    </w:p>
    <w:p w14:paraId="29E5729D"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626AA94E" w14:textId="6C94C19B" w:rsidR="000C6229" w:rsidRPr="005275DF" w:rsidRDefault="000C6229" w:rsidP="00434A6A">
      <w:pPr>
        <w:rPr>
          <w:rFonts w:asciiTheme="minorBidi" w:hAnsiTheme="minorBidi"/>
          <w:rtl/>
        </w:rPr>
      </w:pPr>
      <w:r w:rsidRPr="005275DF">
        <w:rPr>
          <w:rFonts w:asciiTheme="minorBidi" w:hAnsiTheme="minorBidi"/>
          <w:rtl/>
        </w:rPr>
        <w:t>דבר שהוא מוקצה מותר ליגע בו, ובלבד שלא יהא מנענע אפי</w:t>
      </w:r>
      <w:r w:rsidR="00D2340A">
        <w:rPr>
          <w:rFonts w:asciiTheme="minorBidi" w:hAnsiTheme="minorBidi" w:hint="cs"/>
          <w:rtl/>
        </w:rPr>
        <w:t>לו</w:t>
      </w:r>
      <w:r w:rsidRPr="005275DF">
        <w:rPr>
          <w:rFonts w:asciiTheme="minorBidi" w:hAnsiTheme="minorBidi"/>
          <w:rtl/>
        </w:rPr>
        <w:t xml:space="preserve"> מקצתו</w:t>
      </w:r>
      <w:r w:rsidR="00B05450">
        <w:rPr>
          <w:rFonts w:asciiTheme="minorBidi" w:hAnsiTheme="minorBidi" w:hint="cs"/>
          <w:rtl/>
        </w:rPr>
        <w:t>.</w:t>
      </w:r>
      <w:r w:rsidRPr="005275DF">
        <w:rPr>
          <w:rFonts w:asciiTheme="minorBidi" w:hAnsiTheme="minorBidi"/>
          <w:rtl/>
        </w:rPr>
        <w:t xml:space="preserve"> </w:t>
      </w:r>
      <w:r w:rsidR="00856AE8">
        <w:rPr>
          <w:rFonts w:asciiTheme="minorBidi" w:hAnsiTheme="minorBidi" w:hint="cs"/>
          <w:sz w:val="18"/>
          <w:szCs w:val="18"/>
          <w:rtl/>
        </w:rPr>
        <w:t xml:space="preserve">[הגה] </w:t>
      </w:r>
      <w:r w:rsidRPr="00D2340A">
        <w:rPr>
          <w:rFonts w:asciiTheme="minorBidi" w:hAnsiTheme="minorBidi"/>
          <w:sz w:val="18"/>
          <w:szCs w:val="18"/>
          <w:rtl/>
        </w:rPr>
        <w:t>וכבר נתבאר ס"ג</w:t>
      </w:r>
      <w:r w:rsidRPr="005275DF">
        <w:rPr>
          <w:rFonts w:asciiTheme="minorBidi" w:hAnsiTheme="minorBidi"/>
          <w:rtl/>
        </w:rPr>
        <w:t xml:space="preserve">. </w:t>
      </w:r>
    </w:p>
    <w:p w14:paraId="30EDFEFC" w14:textId="77777777" w:rsidR="000C6229" w:rsidRPr="005275DF" w:rsidRDefault="000C6229" w:rsidP="00434A6A">
      <w:pPr>
        <w:rPr>
          <w:rFonts w:asciiTheme="minorBidi" w:hAnsiTheme="minorBidi"/>
          <w:rtl/>
        </w:rPr>
      </w:pPr>
    </w:p>
    <w:p w14:paraId="355BE7BC" w14:textId="2FAD2D22" w:rsidR="000C6229" w:rsidRDefault="000C6229" w:rsidP="00434A6A">
      <w:pPr>
        <w:pStyle w:val="2"/>
        <w:rPr>
          <w:rtl/>
        </w:rPr>
      </w:pPr>
      <w:r w:rsidRPr="005275DF">
        <w:rPr>
          <w:rtl/>
        </w:rPr>
        <w:t>סעיף מג</w:t>
      </w:r>
      <w:r w:rsidR="0050175B">
        <w:rPr>
          <w:rFonts w:hint="cs"/>
          <w:rtl/>
        </w:rPr>
        <w:t>: הזזת מוקצה ע"י נפיחה.</w:t>
      </w:r>
    </w:p>
    <w:p w14:paraId="21A93743" w14:textId="39A8BC6E" w:rsidR="0050175B" w:rsidRPr="0050175B" w:rsidRDefault="0050175B" w:rsidP="00434A6A">
      <w:pPr>
        <w:rPr>
          <w:u w:val="single"/>
          <w:rtl/>
        </w:rPr>
      </w:pPr>
      <w:r w:rsidRPr="0050175B">
        <w:rPr>
          <w:rFonts w:hint="cs"/>
          <w:u w:val="single"/>
          <w:rtl/>
        </w:rPr>
        <w:t>הזזת מוקצה ע"י נפיחה:</w:t>
      </w:r>
    </w:p>
    <w:p w14:paraId="21D5D723" w14:textId="3E69A49B" w:rsidR="00FB3622" w:rsidRPr="00FB3622" w:rsidRDefault="00FB3622" w:rsidP="00434A6A">
      <w:pPr>
        <w:pStyle w:val="aa"/>
        <w:numPr>
          <w:ilvl w:val="0"/>
          <w:numId w:val="3"/>
        </w:numPr>
        <w:rPr>
          <w:rtl/>
        </w:rPr>
      </w:pPr>
      <w:r w:rsidRPr="0050175B">
        <w:rPr>
          <w:rFonts w:cs="Arial"/>
          <w:rtl/>
        </w:rPr>
        <w:t xml:space="preserve">מהרי"ל </w:t>
      </w:r>
      <w:r w:rsidRPr="0050175B">
        <w:rPr>
          <w:rFonts w:cs="Arial"/>
          <w:sz w:val="16"/>
          <w:szCs w:val="16"/>
          <w:rtl/>
        </w:rPr>
        <w:t>(סי' ר)</w:t>
      </w:r>
      <w:r w:rsidR="0050175B">
        <w:rPr>
          <w:rFonts w:cs="Arial" w:hint="cs"/>
          <w:rtl/>
        </w:rPr>
        <w:t>-</w:t>
      </w:r>
      <w:r w:rsidRPr="0050175B">
        <w:rPr>
          <w:rFonts w:cs="Arial"/>
          <w:rtl/>
        </w:rPr>
        <w:t xml:space="preserve"> לטלטל מוקצה ע</w:t>
      </w:r>
      <w:r w:rsidR="006D5D24">
        <w:rPr>
          <w:rFonts w:cs="Arial" w:hint="cs"/>
          <w:rtl/>
        </w:rPr>
        <w:t>"</w:t>
      </w:r>
      <w:r w:rsidRPr="0050175B">
        <w:rPr>
          <w:rFonts w:cs="Arial"/>
          <w:rtl/>
        </w:rPr>
        <w:t>י נפיחה אע</w:t>
      </w:r>
      <w:r w:rsidR="006D5D24">
        <w:rPr>
          <w:rFonts w:cs="Arial" w:hint="cs"/>
          <w:rtl/>
        </w:rPr>
        <w:t>"</w:t>
      </w:r>
      <w:r w:rsidRPr="0050175B">
        <w:rPr>
          <w:rFonts w:cs="Arial"/>
          <w:rtl/>
        </w:rPr>
        <w:t>ג דכתבתי לעיל</w:t>
      </w:r>
      <w:r w:rsidRPr="006D5D24">
        <w:rPr>
          <w:rFonts w:cs="Arial"/>
          <w:sz w:val="16"/>
          <w:szCs w:val="16"/>
          <w:rtl/>
        </w:rPr>
        <w:t xml:space="preserve"> (סי' קצג)</w:t>
      </w:r>
      <w:r w:rsidRPr="0050175B">
        <w:rPr>
          <w:rFonts w:cs="Arial"/>
          <w:rtl/>
        </w:rPr>
        <w:t xml:space="preserve"> דכחו כגופו דמי</w:t>
      </w:r>
      <w:r w:rsidR="006D5D24">
        <w:rPr>
          <w:rFonts w:cs="Arial" w:hint="cs"/>
          <w:rtl/>
        </w:rPr>
        <w:t>,</w:t>
      </w:r>
      <w:r w:rsidRPr="0050175B">
        <w:rPr>
          <w:rFonts w:cs="Arial"/>
          <w:rtl/>
        </w:rPr>
        <w:t xml:space="preserve"> מ</w:t>
      </w:r>
      <w:r w:rsidR="006D5D24">
        <w:rPr>
          <w:rFonts w:cs="Arial" w:hint="cs"/>
          <w:rtl/>
        </w:rPr>
        <w:t>"מ</w:t>
      </w:r>
      <w:r w:rsidRPr="0050175B">
        <w:rPr>
          <w:rFonts w:cs="Arial"/>
          <w:rtl/>
        </w:rPr>
        <w:t xml:space="preserve"> אין נראה לאסור זה</w:t>
      </w:r>
      <w:r w:rsidR="006D5D24">
        <w:rPr>
          <w:rFonts w:cs="Arial" w:hint="cs"/>
          <w:rtl/>
        </w:rPr>
        <w:t>,</w:t>
      </w:r>
      <w:r w:rsidRPr="0050175B">
        <w:rPr>
          <w:rFonts w:cs="Arial"/>
          <w:rtl/>
        </w:rPr>
        <w:t xml:space="preserve"> דהכא תלי באורחיה לטלטל כה</w:t>
      </w:r>
      <w:r w:rsidR="006D5D24">
        <w:rPr>
          <w:rFonts w:cs="Arial" w:hint="cs"/>
          <w:rtl/>
        </w:rPr>
        <w:t>"</w:t>
      </w:r>
      <w:r w:rsidRPr="0050175B">
        <w:rPr>
          <w:rFonts w:cs="Arial"/>
          <w:rtl/>
        </w:rPr>
        <w:t>ג</w:t>
      </w:r>
      <w:r w:rsidR="006D5D24">
        <w:rPr>
          <w:rFonts w:cs="Arial" w:hint="cs"/>
          <w:rtl/>
        </w:rPr>
        <w:t>,</w:t>
      </w:r>
      <w:r w:rsidRPr="0050175B">
        <w:rPr>
          <w:rFonts w:cs="Arial"/>
          <w:rtl/>
        </w:rPr>
        <w:t xml:space="preserve"> וטלטול מן הצד ועל ידי שינוי כלאחר יד שרי</w:t>
      </w:r>
      <w:r w:rsidR="006D5D24">
        <w:rPr>
          <w:rFonts w:cs="Arial" w:hint="cs"/>
          <w:rtl/>
        </w:rPr>
        <w:t>,</w:t>
      </w:r>
      <w:r w:rsidRPr="0050175B">
        <w:rPr>
          <w:rFonts w:cs="Arial"/>
          <w:rtl/>
        </w:rPr>
        <w:t xml:space="preserve"> ואין לך כלאחר יד גדול מזה</w:t>
      </w:r>
      <w:r w:rsidR="0050175B">
        <w:rPr>
          <w:rFonts w:cs="Arial" w:hint="cs"/>
          <w:rtl/>
        </w:rPr>
        <w:t>.</w:t>
      </w:r>
      <w:r w:rsidR="00BC4280" w:rsidRPr="00BC4280">
        <w:rPr>
          <w:rFonts w:cs="Arial" w:hint="cs"/>
          <w:color w:val="E36C0A" w:themeColor="accent6" w:themeShade="BF"/>
          <w:rtl/>
        </w:rPr>
        <w:t xml:space="preserve"> </w:t>
      </w:r>
      <w:r w:rsidR="00BC4280" w:rsidRPr="00D2340A">
        <w:rPr>
          <w:rFonts w:cs="Arial" w:hint="cs"/>
          <w:color w:val="E36C0A" w:themeColor="accent6" w:themeShade="BF"/>
          <w:rtl/>
        </w:rPr>
        <w:t>(וכ"פ בשו"ע</w:t>
      </w:r>
      <w:r w:rsidR="00BC4280">
        <w:rPr>
          <w:rFonts w:cs="Arial" w:hint="cs"/>
          <w:color w:val="E36C0A" w:themeColor="accent6" w:themeShade="BF"/>
          <w:rtl/>
        </w:rPr>
        <w:t>)</w:t>
      </w:r>
      <w:r w:rsidR="00BC4280">
        <w:rPr>
          <w:rFonts w:cs="Arial" w:hint="cs"/>
          <w:rtl/>
        </w:rPr>
        <w:t xml:space="preserve"> </w:t>
      </w:r>
      <w:r w:rsidR="00BC4280" w:rsidRPr="00856AE8">
        <w:rPr>
          <w:rFonts w:cs="Arial" w:hint="cs"/>
          <w:color w:val="00B0F0"/>
          <w:rtl/>
        </w:rPr>
        <w:t>(וכ"פ הרמ"א</w:t>
      </w:r>
      <w:r w:rsidR="00BC4280" w:rsidRPr="00856AE8">
        <w:rPr>
          <w:rFonts w:cs="Arial" w:hint="cs"/>
          <w:color w:val="00B0F0"/>
          <w:sz w:val="16"/>
          <w:szCs w:val="16"/>
          <w:rtl/>
        </w:rPr>
        <w:t xml:space="preserve"> </w:t>
      </w:r>
      <w:r w:rsidR="00BC4280">
        <w:rPr>
          <w:rFonts w:cs="Arial" w:hint="cs"/>
          <w:sz w:val="16"/>
          <w:szCs w:val="16"/>
          <w:rtl/>
        </w:rPr>
        <w:t>[סע' ג]</w:t>
      </w:r>
      <w:r w:rsidR="00BC4280" w:rsidRPr="00856AE8">
        <w:rPr>
          <w:rFonts w:cs="Arial" w:hint="cs"/>
          <w:color w:val="00B0F0"/>
          <w:rtl/>
        </w:rPr>
        <w:t>)</w:t>
      </w:r>
    </w:p>
    <w:p w14:paraId="23AB2A44"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7881304B" w14:textId="44094F29" w:rsidR="000C6229" w:rsidRPr="005275DF" w:rsidRDefault="000C6229" w:rsidP="00434A6A">
      <w:pPr>
        <w:rPr>
          <w:rFonts w:asciiTheme="minorBidi" w:hAnsiTheme="minorBidi"/>
          <w:rtl/>
        </w:rPr>
      </w:pPr>
      <w:r w:rsidRPr="005275DF">
        <w:rPr>
          <w:rFonts w:asciiTheme="minorBidi" w:hAnsiTheme="minorBidi"/>
          <w:rtl/>
        </w:rPr>
        <w:t>מותר לטלטל מוקצה ע</w:t>
      </w:r>
      <w:r w:rsidR="006D5D24">
        <w:rPr>
          <w:rFonts w:asciiTheme="minorBidi" w:hAnsiTheme="minorBidi" w:hint="cs"/>
          <w:rtl/>
        </w:rPr>
        <w:t>ל יד</w:t>
      </w:r>
      <w:r w:rsidRPr="005275DF">
        <w:rPr>
          <w:rFonts w:asciiTheme="minorBidi" w:hAnsiTheme="minorBidi"/>
          <w:rtl/>
        </w:rPr>
        <w:t>י נפיחה</w:t>
      </w:r>
      <w:r w:rsidR="006D5D24">
        <w:rPr>
          <w:rFonts w:asciiTheme="minorBidi" w:hAnsiTheme="minorBidi" w:hint="cs"/>
          <w:rtl/>
        </w:rPr>
        <w:t>.</w:t>
      </w:r>
      <w:r w:rsidRPr="005275DF">
        <w:rPr>
          <w:rFonts w:asciiTheme="minorBidi" w:hAnsiTheme="minorBidi"/>
          <w:rtl/>
        </w:rPr>
        <w:t xml:space="preserve"> </w:t>
      </w:r>
      <w:r w:rsidR="006D5D24" w:rsidRPr="006D5D24">
        <w:rPr>
          <w:rFonts w:asciiTheme="minorBidi" w:hAnsiTheme="minorBidi" w:hint="cs"/>
          <w:sz w:val="18"/>
          <w:szCs w:val="18"/>
          <w:rtl/>
        </w:rPr>
        <w:t xml:space="preserve">[הגה] </w:t>
      </w:r>
      <w:r w:rsidRPr="006D5D24">
        <w:rPr>
          <w:rFonts w:asciiTheme="minorBidi" w:hAnsiTheme="minorBidi"/>
          <w:sz w:val="18"/>
          <w:szCs w:val="18"/>
          <w:rtl/>
        </w:rPr>
        <w:t>וכבר נתבאר ריש סימן זה.</w:t>
      </w:r>
      <w:r w:rsidRPr="005275DF">
        <w:rPr>
          <w:rFonts w:asciiTheme="minorBidi" w:hAnsiTheme="minorBidi"/>
          <w:rtl/>
        </w:rPr>
        <w:t xml:space="preserve"> </w:t>
      </w:r>
    </w:p>
    <w:p w14:paraId="0F2692ED" w14:textId="77777777" w:rsidR="000C6229" w:rsidRPr="005275DF" w:rsidRDefault="000C6229" w:rsidP="00434A6A">
      <w:pPr>
        <w:rPr>
          <w:rFonts w:asciiTheme="minorBidi" w:hAnsiTheme="minorBidi"/>
          <w:rtl/>
        </w:rPr>
      </w:pPr>
    </w:p>
    <w:p w14:paraId="55DF544E" w14:textId="3914195B" w:rsidR="000C6229" w:rsidRDefault="000C6229" w:rsidP="00434A6A">
      <w:pPr>
        <w:pStyle w:val="2"/>
        <w:rPr>
          <w:rtl/>
        </w:rPr>
      </w:pPr>
      <w:r w:rsidRPr="005275DF">
        <w:rPr>
          <w:rtl/>
        </w:rPr>
        <w:t>סעיף מד</w:t>
      </w:r>
      <w:r w:rsidR="00BC4280">
        <w:rPr>
          <w:rFonts w:hint="cs"/>
          <w:rtl/>
        </w:rPr>
        <w:t>: נטילת חתיכה מכלי שנתרועע.</w:t>
      </w:r>
    </w:p>
    <w:p w14:paraId="31CBE6B5" w14:textId="211E1949" w:rsidR="00BC4280" w:rsidRDefault="00BC4280" w:rsidP="00434A6A">
      <w:pPr>
        <w:rPr>
          <w:rFonts w:cs="Arial"/>
          <w:rtl/>
        </w:rPr>
      </w:pPr>
      <w:r w:rsidRPr="002A45F7">
        <w:rPr>
          <w:rFonts w:hint="cs"/>
          <w:b/>
          <w:bCs/>
          <w:rtl/>
        </w:rPr>
        <w:t xml:space="preserve">שבת </w:t>
      </w:r>
      <w:r>
        <w:rPr>
          <w:rFonts w:hint="cs"/>
          <w:b/>
          <w:bCs/>
          <w:sz w:val="16"/>
          <w:szCs w:val="16"/>
          <w:rtl/>
        </w:rPr>
        <w:t>(פ' כל הכלים)</w:t>
      </w:r>
      <w:r>
        <w:rPr>
          <w:rFonts w:hint="cs"/>
          <w:b/>
          <w:bCs/>
          <w:rtl/>
        </w:rPr>
        <w:t xml:space="preserve"> </w:t>
      </w:r>
      <w:r w:rsidRPr="002A45F7">
        <w:rPr>
          <w:rFonts w:hint="cs"/>
          <w:b/>
          <w:bCs/>
          <w:rtl/>
        </w:rPr>
        <w:t>ק</w:t>
      </w:r>
      <w:r>
        <w:rPr>
          <w:rFonts w:hint="cs"/>
          <w:b/>
          <w:bCs/>
          <w:rtl/>
        </w:rPr>
        <w:t>כד</w:t>
      </w:r>
      <w:r w:rsidRPr="002A45F7">
        <w:rPr>
          <w:rFonts w:hint="cs"/>
          <w:b/>
          <w:bCs/>
          <w:rtl/>
        </w:rPr>
        <w:t xml:space="preserve"> ע"</w:t>
      </w:r>
      <w:r>
        <w:rPr>
          <w:rFonts w:hint="cs"/>
          <w:b/>
          <w:bCs/>
          <w:rtl/>
        </w:rPr>
        <w:t>ב</w:t>
      </w:r>
      <w:r w:rsidRPr="002A45F7">
        <w:rPr>
          <w:rFonts w:hint="cs"/>
          <w:b/>
          <w:bCs/>
          <w:rtl/>
        </w:rPr>
        <w:t>:</w:t>
      </w:r>
      <w:r>
        <w:rPr>
          <w:rFonts w:cs="Arial" w:hint="cs"/>
          <w:rtl/>
        </w:rPr>
        <w:t xml:space="preserve"> </w:t>
      </w:r>
      <w:r w:rsidRPr="004F58E1">
        <w:rPr>
          <w:rFonts w:cs="Arial"/>
          <w:u w:val="single"/>
          <w:rtl/>
        </w:rPr>
        <w:t>אמר רב יהודה אמר שמואל</w:t>
      </w:r>
      <w:r w:rsidRPr="004F58E1">
        <w:rPr>
          <w:rFonts w:cs="Arial"/>
          <w:rtl/>
        </w:rPr>
        <w:t>: מגופת חבית שנכתתה - מותר לטלטל בשבת. תניא נמי הכי: מגופה שנכתתה - היא ושבריה מותר לטלטלה בשבת, ולא יספות</w:t>
      </w:r>
      <w:r>
        <w:rPr>
          <w:rStyle w:val="a9"/>
          <w:rFonts w:cs="Arial"/>
          <w:rtl/>
        </w:rPr>
        <w:footnoteReference w:id="1735"/>
      </w:r>
      <w:r w:rsidRPr="004F58E1">
        <w:rPr>
          <w:rFonts w:cs="Arial"/>
          <w:rtl/>
        </w:rPr>
        <w:t xml:space="preserve"> ממנה שבר לכסות בה את הכלי ולסמוך בה כרעי המטה</w:t>
      </w:r>
      <w:r>
        <w:rPr>
          <w:rFonts w:cs="Arial" w:hint="cs"/>
          <w:rtl/>
        </w:rPr>
        <w:t>.</w:t>
      </w:r>
      <w:r w:rsidRPr="004F58E1">
        <w:rPr>
          <w:rFonts w:cs="Arial"/>
          <w:rtl/>
        </w:rPr>
        <w:t xml:space="preserve"> ואם זרקה באשפה - אסור.</w:t>
      </w:r>
      <w:r w:rsidR="00195B93">
        <w:rPr>
          <w:rFonts w:cs="Arial" w:hint="cs"/>
          <w:rtl/>
        </w:rPr>
        <w:t>.</w:t>
      </w:r>
      <w:r w:rsidRPr="004F58E1">
        <w:rPr>
          <w:rFonts w:cs="Arial"/>
          <w:rtl/>
        </w:rPr>
        <w:t>.</w:t>
      </w:r>
    </w:p>
    <w:p w14:paraId="22E5876A" w14:textId="4A494A8A" w:rsidR="00BC4280" w:rsidRPr="00BC4280" w:rsidRDefault="00BC4280" w:rsidP="00434A6A">
      <w:pPr>
        <w:rPr>
          <w:u w:val="single"/>
          <w:rtl/>
        </w:rPr>
      </w:pPr>
      <w:r w:rsidRPr="00BC4280">
        <w:rPr>
          <w:rFonts w:hint="cs"/>
          <w:u w:val="single"/>
          <w:rtl/>
        </w:rPr>
        <w:t>נטילת חתיכה מכלי שנתרועע:</w:t>
      </w:r>
    </w:p>
    <w:p w14:paraId="73B215BD" w14:textId="1472E78F" w:rsidR="00FB3622" w:rsidRPr="00FB3622" w:rsidRDefault="00FB3622" w:rsidP="00434A6A">
      <w:pPr>
        <w:pStyle w:val="aa"/>
        <w:numPr>
          <w:ilvl w:val="0"/>
          <w:numId w:val="3"/>
        </w:numPr>
        <w:rPr>
          <w:rtl/>
        </w:rPr>
      </w:pPr>
      <w:r w:rsidRPr="00BC4280">
        <w:rPr>
          <w:rFonts w:cs="Arial"/>
          <w:rtl/>
        </w:rPr>
        <w:t xml:space="preserve">רמב"ם </w:t>
      </w:r>
      <w:r w:rsidR="00BC4280" w:rsidRPr="00BC4280">
        <w:rPr>
          <w:rFonts w:cs="Arial" w:hint="cs"/>
          <w:sz w:val="16"/>
          <w:szCs w:val="16"/>
          <w:rtl/>
        </w:rPr>
        <w:t xml:space="preserve">(פכ"ו </w:t>
      </w:r>
      <w:r w:rsidRPr="00BC4280">
        <w:rPr>
          <w:rFonts w:cs="Arial"/>
          <w:sz w:val="16"/>
          <w:szCs w:val="16"/>
          <w:rtl/>
        </w:rPr>
        <w:t>ה"ג)</w:t>
      </w:r>
      <w:r w:rsidR="00BC4280" w:rsidRPr="00BC4280">
        <w:rPr>
          <w:rFonts w:cs="Arial" w:hint="cs"/>
          <w:rtl/>
        </w:rPr>
        <w:t xml:space="preserve">- </w:t>
      </w:r>
      <w:r w:rsidRPr="00BC4280">
        <w:rPr>
          <w:rFonts w:cs="Arial"/>
          <w:rtl/>
        </w:rPr>
        <w:t>כלי שנתרועע לא יתלוש ממנו חרס לכסות בו או לסמוך בו</w:t>
      </w:r>
      <w:r w:rsidR="00DB4C1F">
        <w:rPr>
          <w:rStyle w:val="a9"/>
          <w:rFonts w:cs="Arial"/>
          <w:rtl/>
        </w:rPr>
        <w:footnoteReference w:id="1736"/>
      </w:r>
      <w:r w:rsidR="00DB4C1F" w:rsidRPr="00DB4C1F">
        <w:rPr>
          <w:rFonts w:cs="Arial" w:hint="cs"/>
          <w:rtl/>
        </w:rPr>
        <w:t>.</w:t>
      </w:r>
      <w:r w:rsidR="00195B93">
        <w:rPr>
          <w:rFonts w:cs="Arial" w:hint="cs"/>
          <w:rtl/>
        </w:rPr>
        <w:t xml:space="preserve"> </w:t>
      </w:r>
      <w:r w:rsidR="00195B93" w:rsidRPr="00D2340A">
        <w:rPr>
          <w:rFonts w:cs="Arial" w:hint="cs"/>
          <w:color w:val="E36C0A" w:themeColor="accent6" w:themeShade="BF"/>
          <w:rtl/>
        </w:rPr>
        <w:t>(וכ"פ בשו"ע</w:t>
      </w:r>
      <w:r w:rsidR="00195B93">
        <w:rPr>
          <w:rFonts w:cs="Arial" w:hint="cs"/>
          <w:color w:val="E36C0A" w:themeColor="accent6" w:themeShade="BF"/>
          <w:rtl/>
        </w:rPr>
        <w:t>)</w:t>
      </w:r>
    </w:p>
    <w:p w14:paraId="11F8F8F6"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1773AE3E" w14:textId="443F0A01" w:rsidR="000C6229" w:rsidRPr="005275DF" w:rsidRDefault="000C6229" w:rsidP="00434A6A">
      <w:pPr>
        <w:rPr>
          <w:rFonts w:asciiTheme="minorBidi" w:hAnsiTheme="minorBidi"/>
          <w:rtl/>
        </w:rPr>
      </w:pPr>
      <w:r w:rsidRPr="005275DF">
        <w:rPr>
          <w:rFonts w:asciiTheme="minorBidi" w:hAnsiTheme="minorBidi"/>
          <w:rtl/>
        </w:rPr>
        <w:t>כלי שנתרועע, לא יטלו ממנ</w:t>
      </w:r>
      <w:r w:rsidR="00DB4C1F">
        <w:rPr>
          <w:rFonts w:asciiTheme="minorBidi" w:hAnsiTheme="minorBidi" w:hint="cs"/>
          <w:rtl/>
        </w:rPr>
        <w:t>ו</w:t>
      </w:r>
      <w:r w:rsidR="00DB4C1F">
        <w:rPr>
          <w:rStyle w:val="a9"/>
          <w:rFonts w:asciiTheme="minorBidi" w:hAnsiTheme="minorBidi"/>
          <w:rtl/>
        </w:rPr>
        <w:footnoteReference w:id="1737"/>
      </w:r>
      <w:r w:rsidRPr="005275DF">
        <w:rPr>
          <w:rFonts w:asciiTheme="minorBidi" w:hAnsiTheme="minorBidi"/>
          <w:rtl/>
        </w:rPr>
        <w:t xml:space="preserve"> חרס לכסות בו או לסמוך בו. </w:t>
      </w:r>
    </w:p>
    <w:p w14:paraId="4BF02ED4" w14:textId="77777777" w:rsidR="000C6229" w:rsidRPr="005275DF" w:rsidRDefault="000C6229" w:rsidP="00434A6A">
      <w:pPr>
        <w:rPr>
          <w:rFonts w:asciiTheme="minorBidi" w:hAnsiTheme="minorBidi"/>
          <w:rtl/>
        </w:rPr>
      </w:pPr>
    </w:p>
    <w:p w14:paraId="58415E98" w14:textId="07477F6D" w:rsidR="000C6229" w:rsidRDefault="000C6229" w:rsidP="00434A6A">
      <w:pPr>
        <w:pStyle w:val="2"/>
        <w:rPr>
          <w:rtl/>
        </w:rPr>
      </w:pPr>
      <w:r w:rsidRPr="005275DF">
        <w:rPr>
          <w:rtl/>
        </w:rPr>
        <w:t>סעיף מה</w:t>
      </w:r>
      <w:r w:rsidR="00526D12">
        <w:rPr>
          <w:rFonts w:hint="cs"/>
          <w:rtl/>
        </w:rPr>
        <w:t>: כדור.</w:t>
      </w:r>
    </w:p>
    <w:p w14:paraId="2DF3CDD9" w14:textId="1D55DC60" w:rsidR="000E5FA7" w:rsidRDefault="000E5FA7" w:rsidP="00434A6A">
      <w:pPr>
        <w:rPr>
          <w:rtl/>
        </w:rPr>
      </w:pPr>
      <w:r w:rsidRPr="000E5FA7">
        <w:rPr>
          <w:rFonts w:cs="Arial" w:hint="cs"/>
          <w:b/>
          <w:bCs/>
          <w:rtl/>
        </w:rPr>
        <w:t>ירושלמי תענית פ"ד ה"ה:</w:t>
      </w:r>
      <w:r>
        <w:rPr>
          <w:rFonts w:cs="Arial" w:hint="cs"/>
          <w:rtl/>
        </w:rPr>
        <w:t xml:space="preserve"> </w:t>
      </w:r>
      <w:r w:rsidRPr="000E5FA7">
        <w:rPr>
          <w:rFonts w:cs="Arial"/>
          <w:rtl/>
        </w:rPr>
        <w:t>טור שמעון הוה מפיק תלת מאוון</w:t>
      </w:r>
      <w:r w:rsidR="00863724">
        <w:rPr>
          <w:rStyle w:val="a9"/>
          <w:rFonts w:cs="Arial"/>
          <w:rtl/>
        </w:rPr>
        <w:footnoteReference w:id="1738"/>
      </w:r>
      <w:r w:rsidRPr="000E5FA7">
        <w:rPr>
          <w:rFonts w:cs="Arial"/>
          <w:rtl/>
        </w:rPr>
        <w:t xml:space="preserve"> דגרבין דמרקיע לקייטא כל ערובות שובא. ולמה חרב</w:t>
      </w:r>
      <w:r w:rsidR="00863724">
        <w:rPr>
          <w:rFonts w:cs="Arial" w:hint="cs"/>
          <w:rtl/>
        </w:rPr>
        <w:t>?</w:t>
      </w:r>
      <w:r w:rsidRPr="000E5FA7">
        <w:rPr>
          <w:rFonts w:cs="Arial"/>
          <w:rtl/>
        </w:rPr>
        <w:t xml:space="preserve"> יש אומר</w:t>
      </w:r>
      <w:r w:rsidR="00863724">
        <w:rPr>
          <w:rFonts w:cs="Arial" w:hint="cs"/>
          <w:rtl/>
        </w:rPr>
        <w:t>:</w:t>
      </w:r>
      <w:r w:rsidRPr="000E5FA7">
        <w:rPr>
          <w:rFonts w:cs="Arial"/>
          <w:rtl/>
        </w:rPr>
        <w:t xml:space="preserve"> מפני הזנות</w:t>
      </w:r>
      <w:r w:rsidR="00863724">
        <w:rPr>
          <w:rFonts w:cs="Arial" w:hint="cs"/>
          <w:rtl/>
        </w:rPr>
        <w:t>.</w:t>
      </w:r>
      <w:r w:rsidRPr="000E5FA7">
        <w:rPr>
          <w:rFonts w:cs="Arial"/>
          <w:rtl/>
        </w:rPr>
        <w:t xml:space="preserve"> וי"א</w:t>
      </w:r>
      <w:r w:rsidR="00863724">
        <w:rPr>
          <w:rFonts w:cs="Arial" w:hint="cs"/>
          <w:rtl/>
        </w:rPr>
        <w:t>:</w:t>
      </w:r>
      <w:r w:rsidRPr="000E5FA7">
        <w:rPr>
          <w:rFonts w:cs="Arial"/>
          <w:rtl/>
        </w:rPr>
        <w:t xml:space="preserve"> שהיו משחקין בכדור</w:t>
      </w:r>
      <w:r w:rsidR="00863724">
        <w:rPr>
          <w:rStyle w:val="a9"/>
          <w:rFonts w:cs="Arial"/>
          <w:rtl/>
        </w:rPr>
        <w:footnoteReference w:id="1739"/>
      </w:r>
      <w:r w:rsidR="007F0566">
        <w:rPr>
          <w:rFonts w:cs="Arial" w:hint="cs"/>
          <w:rtl/>
        </w:rPr>
        <w:t xml:space="preserve"> </w:t>
      </w:r>
      <w:r w:rsidR="004E7EAC">
        <w:rPr>
          <w:rFonts w:cs="Arial" w:hint="cs"/>
          <w:rtl/>
        </w:rPr>
        <w:t>(</w:t>
      </w:r>
      <w:r w:rsidR="00EC55AD">
        <w:rPr>
          <w:rStyle w:val="a9"/>
          <w:rFonts w:cs="Arial"/>
          <w:rtl/>
        </w:rPr>
        <w:footnoteReference w:id="1740"/>
      </w:r>
      <w:r w:rsidR="00EC55AD">
        <w:rPr>
          <w:rFonts w:cs="Arial" w:hint="cs"/>
          <w:rtl/>
        </w:rPr>
        <w:t>ובטלין מן התורה)(</w:t>
      </w:r>
      <w:r w:rsidR="007F0566">
        <w:rPr>
          <w:rStyle w:val="a9"/>
          <w:rFonts w:cs="Arial"/>
          <w:rtl/>
        </w:rPr>
        <w:footnoteReference w:id="1741"/>
      </w:r>
      <w:r w:rsidR="007F0566">
        <w:rPr>
          <w:rFonts w:cs="Arial" w:hint="cs"/>
          <w:rtl/>
        </w:rPr>
        <w:t>בשבת</w:t>
      </w:r>
      <w:r w:rsidR="004E7EAC">
        <w:rPr>
          <w:rFonts w:cs="Arial" w:hint="cs"/>
          <w:rtl/>
        </w:rPr>
        <w:t>)</w:t>
      </w:r>
      <w:r w:rsidRPr="000E5FA7">
        <w:rPr>
          <w:rFonts w:cs="Arial"/>
          <w:rtl/>
        </w:rPr>
        <w:t>.</w:t>
      </w:r>
    </w:p>
    <w:p w14:paraId="735997DE" w14:textId="4495CAEE" w:rsidR="00A81B4E" w:rsidRDefault="00A81B4E" w:rsidP="00434A6A">
      <w:pPr>
        <w:rPr>
          <w:rtl/>
        </w:rPr>
      </w:pPr>
      <w:r w:rsidRPr="00A81B4E">
        <w:rPr>
          <w:rFonts w:cs="Arial" w:hint="cs"/>
          <w:b/>
          <w:bCs/>
          <w:rtl/>
        </w:rPr>
        <w:t>איכה רבה פרשה ב אות ד:</w:t>
      </w:r>
      <w:r>
        <w:rPr>
          <w:rFonts w:cs="Arial" w:hint="cs"/>
          <w:rtl/>
        </w:rPr>
        <w:t xml:space="preserve"> </w:t>
      </w:r>
      <w:r w:rsidRPr="00A81B4E">
        <w:rPr>
          <w:rFonts w:cs="Arial"/>
          <w:rtl/>
        </w:rPr>
        <w:t>טור שמעון הוה מפיק תלת מאה גרבין</w:t>
      </w:r>
      <w:r>
        <w:rPr>
          <w:rFonts w:cs="Arial" w:hint="cs"/>
          <w:rtl/>
        </w:rPr>
        <w:t>,</w:t>
      </w:r>
      <w:r w:rsidRPr="00A81B4E">
        <w:rPr>
          <w:rFonts w:cs="Arial"/>
          <w:rtl/>
        </w:rPr>
        <w:t xml:space="preserve"> ולמה חרבו</w:t>
      </w:r>
      <w:r>
        <w:rPr>
          <w:rFonts w:cs="Arial" w:hint="cs"/>
          <w:rtl/>
        </w:rPr>
        <w:t>:</w:t>
      </w:r>
      <w:r w:rsidRPr="00A81B4E">
        <w:rPr>
          <w:rFonts w:cs="Arial"/>
          <w:rtl/>
        </w:rPr>
        <w:t xml:space="preserve"> אי תימא מן הזונות, והלא לא היתה אלא ריבה אחת והוציאוה משם</w:t>
      </w:r>
      <w:r>
        <w:rPr>
          <w:rFonts w:cs="Arial" w:hint="cs"/>
          <w:rtl/>
        </w:rPr>
        <w:t>!</w:t>
      </w:r>
      <w:r w:rsidRPr="00A81B4E">
        <w:rPr>
          <w:rFonts w:cs="Arial"/>
          <w:rtl/>
        </w:rPr>
        <w:t xml:space="preserve"> </w:t>
      </w:r>
      <w:r w:rsidRPr="00A81B4E">
        <w:rPr>
          <w:rFonts w:cs="Arial"/>
          <w:u w:val="single"/>
          <w:rtl/>
        </w:rPr>
        <w:t>א"ר הונא</w:t>
      </w:r>
      <w:r>
        <w:rPr>
          <w:rFonts w:cs="Arial" w:hint="cs"/>
          <w:rtl/>
        </w:rPr>
        <w:t>:</w:t>
      </w:r>
      <w:r w:rsidRPr="00A81B4E">
        <w:rPr>
          <w:rFonts w:cs="Arial"/>
          <w:rtl/>
        </w:rPr>
        <w:t xml:space="preserve"> משום שהיו משחקין בכדור בשבת</w:t>
      </w:r>
      <w:r>
        <w:rPr>
          <w:rFonts w:hint="cs"/>
          <w:rtl/>
        </w:rPr>
        <w:t>.</w:t>
      </w:r>
    </w:p>
    <w:p w14:paraId="45F8F8AD" w14:textId="6FA44D63" w:rsidR="00863724" w:rsidRDefault="00863724" w:rsidP="00434A6A">
      <w:pPr>
        <w:rPr>
          <w:rtl/>
        </w:rPr>
      </w:pPr>
      <w:r w:rsidRPr="00863724">
        <w:rPr>
          <w:rFonts w:cs="Arial"/>
          <w:b/>
          <w:bCs/>
          <w:rtl/>
        </w:rPr>
        <w:t>תוספתא שבת</w:t>
      </w:r>
      <w:r>
        <w:rPr>
          <w:rFonts w:cs="Arial" w:hint="cs"/>
          <w:b/>
          <w:bCs/>
          <w:rtl/>
        </w:rPr>
        <w:t xml:space="preserve"> </w:t>
      </w:r>
      <w:r w:rsidRPr="00863724">
        <w:rPr>
          <w:rFonts w:cs="Arial"/>
          <w:b/>
          <w:bCs/>
          <w:rtl/>
        </w:rPr>
        <w:t>פ</w:t>
      </w:r>
      <w:r>
        <w:rPr>
          <w:rFonts w:cs="Arial" w:hint="cs"/>
          <w:b/>
          <w:bCs/>
          <w:rtl/>
        </w:rPr>
        <w:t>"</w:t>
      </w:r>
      <w:r w:rsidRPr="00863724">
        <w:rPr>
          <w:rFonts w:cs="Arial"/>
          <w:b/>
          <w:bCs/>
          <w:rtl/>
        </w:rPr>
        <w:t xml:space="preserve">י </w:t>
      </w:r>
      <w:r w:rsidRPr="00863724">
        <w:rPr>
          <w:rFonts w:cs="Arial" w:hint="cs"/>
          <w:b/>
          <w:bCs/>
          <w:rtl/>
        </w:rPr>
        <w:t xml:space="preserve">ה"י: </w:t>
      </w:r>
      <w:r w:rsidRPr="00863724">
        <w:rPr>
          <w:rFonts w:cs="Arial"/>
          <w:rtl/>
        </w:rPr>
        <w:t>כגון אילו שמשחקין בכדור ברשות הרבים</w:t>
      </w:r>
      <w:r>
        <w:rPr>
          <w:rFonts w:cs="Arial" w:hint="cs"/>
          <w:rtl/>
        </w:rPr>
        <w:t>,</w:t>
      </w:r>
      <w:r w:rsidRPr="00863724">
        <w:rPr>
          <w:rFonts w:cs="Arial"/>
          <w:rtl/>
        </w:rPr>
        <w:t xml:space="preserve"> ויצאה כדור מתחת ידו של אחד מהן חוץ לארבע אמות</w:t>
      </w:r>
      <w:r>
        <w:rPr>
          <w:rFonts w:cs="Arial" w:hint="cs"/>
          <w:rtl/>
        </w:rPr>
        <w:t xml:space="preserve"> -</w:t>
      </w:r>
      <w:r w:rsidRPr="00863724">
        <w:rPr>
          <w:rFonts w:cs="Arial"/>
          <w:rtl/>
        </w:rPr>
        <w:t xml:space="preserve"> חייב</w:t>
      </w:r>
      <w:r>
        <w:rPr>
          <w:rFonts w:hint="cs"/>
          <w:rtl/>
        </w:rPr>
        <w:t>.</w:t>
      </w:r>
    </w:p>
    <w:p w14:paraId="0D39B279" w14:textId="26EDAB1D" w:rsidR="00910D3F" w:rsidRDefault="00910D3F" w:rsidP="00434A6A">
      <w:pPr>
        <w:rPr>
          <w:rtl/>
        </w:rPr>
      </w:pPr>
      <w:r w:rsidRPr="00910D3F">
        <w:rPr>
          <w:rFonts w:cs="Arial" w:hint="cs"/>
          <w:b/>
          <w:bCs/>
          <w:rtl/>
        </w:rPr>
        <w:t xml:space="preserve">משנה כלים פכ"ג מ"א: </w:t>
      </w:r>
      <w:r w:rsidRPr="00910D3F">
        <w:rPr>
          <w:rFonts w:cs="Arial"/>
          <w:rtl/>
        </w:rPr>
        <w:t>הכדור והאמום והקמיע והתפילין שנקרעו</w:t>
      </w:r>
      <w:r>
        <w:rPr>
          <w:rFonts w:cs="Arial" w:hint="cs"/>
          <w:rtl/>
        </w:rPr>
        <w:t>,</w:t>
      </w:r>
      <w:r w:rsidRPr="00910D3F">
        <w:rPr>
          <w:rFonts w:cs="Arial"/>
          <w:rtl/>
        </w:rPr>
        <w:t xml:space="preserve"> הנוגע בהן </w:t>
      </w:r>
      <w:r>
        <w:rPr>
          <w:rFonts w:cs="Arial" w:hint="cs"/>
          <w:rtl/>
        </w:rPr>
        <w:t xml:space="preserve">- </w:t>
      </w:r>
      <w:r w:rsidRPr="00910D3F">
        <w:rPr>
          <w:rFonts w:cs="Arial"/>
          <w:rtl/>
        </w:rPr>
        <w:t>טמא</w:t>
      </w:r>
      <w:r>
        <w:rPr>
          <w:rFonts w:cs="Arial" w:hint="cs"/>
          <w:rtl/>
        </w:rPr>
        <w:t>.</w:t>
      </w:r>
      <w:r w:rsidRPr="00910D3F">
        <w:rPr>
          <w:rFonts w:cs="Arial"/>
          <w:rtl/>
        </w:rPr>
        <w:t xml:space="preserve"> ובמה שבתוכן </w:t>
      </w:r>
      <w:r>
        <w:rPr>
          <w:rFonts w:cs="Arial" w:hint="cs"/>
          <w:rtl/>
        </w:rPr>
        <w:t xml:space="preserve">- </w:t>
      </w:r>
      <w:r w:rsidRPr="00910D3F">
        <w:rPr>
          <w:rFonts w:cs="Arial"/>
          <w:rtl/>
        </w:rPr>
        <w:t>טהור</w:t>
      </w:r>
      <w:r>
        <w:rPr>
          <w:rFonts w:cs="Arial" w:hint="cs"/>
          <w:rtl/>
        </w:rPr>
        <w:t>...</w:t>
      </w:r>
    </w:p>
    <w:p w14:paraId="54088EA0" w14:textId="4B6169DD" w:rsidR="00910D3F" w:rsidRDefault="00910D3F" w:rsidP="00434A6A">
      <w:pPr>
        <w:rPr>
          <w:rtl/>
        </w:rPr>
      </w:pPr>
      <w:r w:rsidRPr="00910D3F">
        <w:rPr>
          <w:rFonts w:cs="Arial" w:hint="cs"/>
          <w:b/>
          <w:bCs/>
          <w:rtl/>
        </w:rPr>
        <w:t xml:space="preserve">סנהדרין </w:t>
      </w:r>
      <w:r>
        <w:rPr>
          <w:rFonts w:cs="Arial" w:hint="cs"/>
          <w:b/>
          <w:bCs/>
          <w:sz w:val="16"/>
          <w:szCs w:val="16"/>
          <w:rtl/>
        </w:rPr>
        <w:t>(פ' ארבע מיתות)</w:t>
      </w:r>
      <w:r>
        <w:rPr>
          <w:rFonts w:cs="Arial" w:hint="cs"/>
          <w:b/>
          <w:bCs/>
          <w:rtl/>
        </w:rPr>
        <w:t xml:space="preserve"> </w:t>
      </w:r>
      <w:r w:rsidRPr="00910D3F">
        <w:rPr>
          <w:rFonts w:cs="Arial" w:hint="cs"/>
          <w:b/>
          <w:bCs/>
          <w:rtl/>
        </w:rPr>
        <w:t xml:space="preserve">סח ע"א: </w:t>
      </w:r>
      <w:r w:rsidRPr="00910D3F">
        <w:rPr>
          <w:rFonts w:cs="Arial"/>
          <w:rtl/>
        </w:rPr>
        <w:t>והתניא: כשחלה רבי אליעזר נכנסו רבי עקיבא וחביריו לבקרו</w:t>
      </w:r>
      <w:r>
        <w:rPr>
          <w:rFonts w:cs="Arial" w:hint="cs"/>
          <w:rtl/>
        </w:rPr>
        <w:t>...</w:t>
      </w:r>
      <w:r w:rsidRPr="00910D3F">
        <w:rPr>
          <w:rFonts w:cs="Arial"/>
          <w:rtl/>
        </w:rPr>
        <w:t xml:space="preserve"> אמרו לו: הכדור והאמוס והקמיע וצרור המרגליות ומשקולת קטנה מהו</w:t>
      </w:r>
      <w:r>
        <w:rPr>
          <w:rStyle w:val="a9"/>
          <w:rFonts w:cs="Arial"/>
          <w:rtl/>
        </w:rPr>
        <w:footnoteReference w:id="1742"/>
      </w:r>
      <w:r w:rsidRPr="00910D3F">
        <w:rPr>
          <w:rFonts w:cs="Arial"/>
          <w:rtl/>
        </w:rPr>
        <w:t>? אמר להן: הן טמאין וטהרתן במה שהן</w:t>
      </w:r>
      <w:r>
        <w:rPr>
          <w:rStyle w:val="a9"/>
          <w:rtl/>
        </w:rPr>
        <w:footnoteReference w:id="1743"/>
      </w:r>
      <w:r>
        <w:rPr>
          <w:rFonts w:hint="cs"/>
          <w:rtl/>
        </w:rPr>
        <w:t>.</w:t>
      </w:r>
      <w:r w:rsidR="008D4525">
        <w:rPr>
          <w:rFonts w:hint="cs"/>
          <w:rtl/>
        </w:rPr>
        <w:t xml:space="preserve"> </w:t>
      </w:r>
      <w:r w:rsidR="008D4525" w:rsidRPr="008D4525">
        <w:rPr>
          <w:rFonts w:hint="cs"/>
          <w:sz w:val="16"/>
          <w:szCs w:val="16"/>
          <w:rtl/>
        </w:rPr>
        <w:t>(</w:t>
      </w:r>
      <w:r w:rsidR="008D4525" w:rsidRPr="008D4525">
        <w:rPr>
          <w:rFonts w:cs="Arial"/>
          <w:sz w:val="16"/>
          <w:szCs w:val="16"/>
          <w:rtl/>
        </w:rPr>
        <w:t>נראה להוכיח מכאן דתורת כלי עליו</w:t>
      </w:r>
      <w:r w:rsidR="006003E4">
        <w:rPr>
          <w:rFonts w:cs="Arial" w:hint="cs"/>
          <w:sz w:val="16"/>
          <w:szCs w:val="16"/>
          <w:rtl/>
        </w:rPr>
        <w:t>,</w:t>
      </w:r>
      <w:r w:rsidR="008D4525" w:rsidRPr="008D4525">
        <w:rPr>
          <w:rFonts w:cs="Arial"/>
          <w:sz w:val="16"/>
          <w:szCs w:val="16"/>
          <w:rtl/>
        </w:rPr>
        <w:t xml:space="preserve"> דעד כאן לא פליגי אלא לענין טבילה</w:t>
      </w:r>
      <w:r w:rsidR="006003E4">
        <w:rPr>
          <w:rFonts w:cs="Arial" w:hint="cs"/>
          <w:sz w:val="16"/>
          <w:szCs w:val="16"/>
          <w:rtl/>
        </w:rPr>
        <w:t>,</w:t>
      </w:r>
      <w:r w:rsidR="008D4525" w:rsidRPr="008D4525">
        <w:rPr>
          <w:rFonts w:cs="Arial"/>
          <w:sz w:val="16"/>
          <w:szCs w:val="16"/>
          <w:rtl/>
        </w:rPr>
        <w:t xml:space="preserve"> אבל כולי מודי דשם כלי עליו</w:t>
      </w:r>
      <w:r w:rsidR="008D4525">
        <w:rPr>
          <w:rFonts w:hint="cs"/>
          <w:sz w:val="16"/>
          <w:szCs w:val="16"/>
          <w:rtl/>
        </w:rPr>
        <w:t>.</w:t>
      </w:r>
      <w:r w:rsidR="008D4525" w:rsidRPr="008D4525">
        <w:rPr>
          <w:rFonts w:cs="Arial"/>
          <w:rtl/>
        </w:rPr>
        <w:t xml:space="preserve"> </w:t>
      </w:r>
      <w:r w:rsidR="008D4525" w:rsidRPr="008D4525">
        <w:rPr>
          <w:sz w:val="16"/>
          <w:szCs w:val="16"/>
          <w:rtl/>
        </w:rPr>
        <w:t xml:space="preserve">ומורי ר' יהודה אחי שני נר"ו פי' דדוקא אותו כדור שנחלקו בו ר' אליעזר וחכמים הנראה חלל שלו חשיב כלי אבל אלו הכדורים שלנו אפי' כלי לא חשיבי ומחשבת השחוק </w:t>
      </w:r>
      <w:r w:rsidR="008D4525">
        <w:rPr>
          <w:rFonts w:hint="cs"/>
          <w:sz w:val="16"/>
          <w:szCs w:val="16"/>
          <w:rtl/>
        </w:rPr>
        <w:t xml:space="preserve">[י"ג - </w:t>
      </w:r>
      <w:r w:rsidR="008D4525" w:rsidRPr="008D4525">
        <w:rPr>
          <w:sz w:val="16"/>
          <w:szCs w:val="16"/>
          <w:rtl/>
        </w:rPr>
        <w:t>התינוק</w:t>
      </w:r>
      <w:r w:rsidR="008D4525">
        <w:rPr>
          <w:rFonts w:hint="cs"/>
          <w:sz w:val="16"/>
          <w:szCs w:val="16"/>
          <w:rtl/>
        </w:rPr>
        <w:t>]</w:t>
      </w:r>
      <w:r w:rsidR="008D4525" w:rsidRPr="008D4525">
        <w:rPr>
          <w:sz w:val="16"/>
          <w:szCs w:val="16"/>
          <w:rtl/>
        </w:rPr>
        <w:t xml:space="preserve"> שחישב לשחק בו לא משוי ליה כלי</w:t>
      </w:r>
      <w:r w:rsidR="008D4525" w:rsidRPr="008D4525">
        <w:rPr>
          <w:rFonts w:hint="cs"/>
          <w:sz w:val="16"/>
          <w:szCs w:val="16"/>
          <w:rtl/>
        </w:rPr>
        <w:t>, שבה"ל (סי' קכא))</w:t>
      </w:r>
    </w:p>
    <w:p w14:paraId="6534CC28" w14:textId="5B556A05" w:rsidR="00A81B4E" w:rsidRPr="00A81B4E" w:rsidRDefault="00A81B4E" w:rsidP="00434A6A">
      <w:pPr>
        <w:rPr>
          <w:u w:val="single"/>
          <w:rtl/>
        </w:rPr>
      </w:pPr>
      <w:r w:rsidRPr="00A81B4E">
        <w:rPr>
          <w:rFonts w:hint="cs"/>
          <w:u w:val="single"/>
          <w:rtl/>
        </w:rPr>
        <w:t>טלטול כדור בשבת ויו"ט:</w:t>
      </w:r>
    </w:p>
    <w:p w14:paraId="37F38DF1" w14:textId="3F8CDE98" w:rsidR="00526D12" w:rsidRPr="00526D12" w:rsidRDefault="00A81B4E" w:rsidP="00434A6A">
      <w:pPr>
        <w:pStyle w:val="aa"/>
        <w:numPr>
          <w:ilvl w:val="0"/>
          <w:numId w:val="3"/>
        </w:numPr>
      </w:pPr>
      <w:r>
        <w:rPr>
          <w:rFonts w:hint="cs"/>
          <w:rtl/>
        </w:rPr>
        <w:t xml:space="preserve">תוס' </w:t>
      </w:r>
      <w:r w:rsidRPr="00A81B4E">
        <w:rPr>
          <w:rFonts w:hint="cs"/>
          <w:sz w:val="16"/>
          <w:szCs w:val="16"/>
          <w:rtl/>
        </w:rPr>
        <w:t>(ביצה יב. ד"ה ה"ג רש"י)</w:t>
      </w:r>
      <w:r w:rsidR="004E7EAC">
        <w:rPr>
          <w:rFonts w:hint="cs"/>
          <w:rtl/>
        </w:rPr>
        <w:t xml:space="preserve"> ומטה משה </w:t>
      </w:r>
      <w:r w:rsidR="004E7EAC">
        <w:rPr>
          <w:rFonts w:hint="cs"/>
          <w:sz w:val="16"/>
          <w:szCs w:val="16"/>
          <w:rtl/>
        </w:rPr>
        <w:t>(סי' תעז)</w:t>
      </w:r>
      <w:r>
        <w:rPr>
          <w:rFonts w:hint="cs"/>
          <w:rtl/>
        </w:rPr>
        <w:t xml:space="preserve">- </w:t>
      </w:r>
      <w:r w:rsidRPr="00A81B4E">
        <w:rPr>
          <w:rFonts w:cs="Arial"/>
          <w:rtl/>
        </w:rPr>
        <w:t>דוקא בהוצאה שיש בה צורך יום טוב קצת אמרינן מתוך שהותרה לצורך יום טוב דכל אוכל נפש מותר הותרה נמי שלא לצורך אוכל נפש הואיל ואיכא צורך מקצת שיש צורך יום טוב אבל שלא לצורך יום טוב כלל ודאי דאסור מן התורה כגון אופה מיו"ט לחול ומוציא אבנים דליכא לא צורך נפש ולא שמחת יום טוב חייב מדאורייתא וכי פליגי ב"ש וב"ה בדברים שאינן לצורך אוכל נפש ואיכא בהן צורך יום טוב קצת כגון קטן למולו דהמצוה נקראת צורך יום טוב ולולב לצאת בו וס"ת לקרות בו וכן פי' רבינו חננאל אבל ליתא פירושן דלאו דוקא קטן למולו דה"ה שלא למולו דשרי גם טיול דהא אשכחן נמי דמשחקין בכדור שקורין פלוט"א בלע"ז ביום טוב ברה"ר אף על גב דליכא אלא טיול</w:t>
      </w:r>
      <w:r w:rsidR="00526D12">
        <w:rPr>
          <w:rStyle w:val="a9"/>
          <w:rFonts w:cs="Arial"/>
          <w:rtl/>
        </w:rPr>
        <w:footnoteReference w:id="1744"/>
      </w:r>
      <w:r w:rsidR="006003E4">
        <w:rPr>
          <w:rFonts w:cs="Arial" w:hint="cs"/>
          <w:sz w:val="16"/>
          <w:szCs w:val="16"/>
          <w:rtl/>
        </w:rPr>
        <w:t xml:space="preserve"> (ל' התוס')</w:t>
      </w:r>
      <w:r w:rsidRPr="00A81B4E">
        <w:rPr>
          <w:rFonts w:cs="Arial" w:hint="cs"/>
          <w:rtl/>
        </w:rPr>
        <w:t>.</w:t>
      </w:r>
      <w:r w:rsidR="00526D12">
        <w:rPr>
          <w:rFonts w:hint="cs"/>
          <w:rtl/>
        </w:rPr>
        <w:t xml:space="preserve"> </w:t>
      </w:r>
      <w:r w:rsidR="00526D12" w:rsidRPr="00526D12">
        <w:rPr>
          <w:rFonts w:hint="cs"/>
          <w:color w:val="00B0F0"/>
          <w:rtl/>
        </w:rPr>
        <w:t>(וכ"פ הרמ"א)</w:t>
      </w:r>
    </w:p>
    <w:p w14:paraId="62CC8438" w14:textId="3DFAA850" w:rsidR="00A00FE9" w:rsidRDefault="00A00FE9" w:rsidP="00434A6A">
      <w:pPr>
        <w:pStyle w:val="aa"/>
        <w:numPr>
          <w:ilvl w:val="0"/>
          <w:numId w:val="3"/>
        </w:numPr>
      </w:pPr>
      <w:r>
        <w:rPr>
          <w:rFonts w:hint="cs"/>
          <w:rtl/>
        </w:rPr>
        <w:t xml:space="preserve">שבה"ל </w:t>
      </w:r>
      <w:r>
        <w:rPr>
          <w:rFonts w:hint="cs"/>
          <w:sz w:val="16"/>
          <w:szCs w:val="16"/>
          <w:rtl/>
        </w:rPr>
        <w:t>(סי' קכא</w:t>
      </w:r>
      <w:r w:rsidR="00910D3F">
        <w:rPr>
          <w:rFonts w:hint="cs"/>
          <w:sz w:val="16"/>
          <w:szCs w:val="16"/>
          <w:rtl/>
        </w:rPr>
        <w:t>, והעתיק דבריו האגור [סי' תקכא]</w:t>
      </w:r>
      <w:r>
        <w:rPr>
          <w:rFonts w:hint="cs"/>
          <w:sz w:val="16"/>
          <w:szCs w:val="16"/>
          <w:rtl/>
        </w:rPr>
        <w:t>)</w:t>
      </w:r>
      <w:r>
        <w:rPr>
          <w:rFonts w:hint="cs"/>
          <w:rtl/>
        </w:rPr>
        <w:t xml:space="preserve">- </w:t>
      </w:r>
      <w:r w:rsidRPr="00A00FE9">
        <w:rPr>
          <w:rFonts w:cs="Arial"/>
          <w:rtl/>
        </w:rPr>
        <w:t>מ</w:t>
      </w:r>
      <w:r w:rsidR="008D4525">
        <w:rPr>
          <w:rFonts w:cs="Arial" w:hint="cs"/>
          <w:rtl/>
        </w:rPr>
        <w:t>כל מקום</w:t>
      </w:r>
      <w:r w:rsidRPr="00A00FE9">
        <w:rPr>
          <w:rFonts w:cs="Arial"/>
          <w:rtl/>
        </w:rPr>
        <w:t xml:space="preserve"> </w:t>
      </w:r>
      <w:r w:rsidR="007F0566">
        <w:rPr>
          <w:rFonts w:cs="Arial" w:hint="cs"/>
          <w:sz w:val="16"/>
          <w:szCs w:val="16"/>
          <w:rtl/>
        </w:rPr>
        <w:t xml:space="preserve">{כדור} </w:t>
      </w:r>
      <w:r w:rsidRPr="00A00FE9">
        <w:rPr>
          <w:rFonts w:cs="Arial"/>
          <w:rtl/>
        </w:rPr>
        <w:t>בין שיש תורת כלי עליו בין שאין תורת כלי עליו נראה שאסור לשחק בו ולטלטלו בשבת ויום טוב שהרי אין צריך בטילטולן</w:t>
      </w:r>
      <w:r w:rsidR="007F0566">
        <w:rPr>
          <w:rFonts w:cs="Arial" w:hint="cs"/>
          <w:rtl/>
        </w:rPr>
        <w:t>,</w:t>
      </w:r>
      <w:r w:rsidRPr="00A00FE9">
        <w:rPr>
          <w:rFonts w:cs="Arial"/>
          <w:rtl/>
        </w:rPr>
        <w:t xml:space="preserve"> ואפי' לכסות בו פי צליחותו אינו ראוי דהא ממאיס על ידי ששוחקים בו ומטניף בטיט ועפר</w:t>
      </w:r>
      <w:r w:rsidR="007F0566">
        <w:rPr>
          <w:rFonts w:cs="Arial" w:hint="cs"/>
          <w:rtl/>
        </w:rPr>
        <w:t>.</w:t>
      </w:r>
      <w:r w:rsidRPr="00A00FE9">
        <w:rPr>
          <w:rFonts w:cs="Arial"/>
          <w:rtl/>
        </w:rPr>
        <w:t xml:space="preserve"> וכן כדור של עץ אסור לטלטלה ולשחק בה</w:t>
      </w:r>
      <w:r w:rsidR="007F0566">
        <w:rPr>
          <w:rFonts w:cs="Arial" w:hint="cs"/>
          <w:rtl/>
        </w:rPr>
        <w:t>.</w:t>
      </w:r>
      <w:r w:rsidRPr="00A00FE9">
        <w:rPr>
          <w:rFonts w:cs="Arial"/>
          <w:rtl/>
        </w:rPr>
        <w:t xml:space="preserve"> ומצינו במדרש איכה טור שמעון הוי מפיק תלת מאה גרבין דמרקוע בכל ערובת שבא לאילין קייטיא</w:t>
      </w:r>
      <w:r w:rsidR="007F0566">
        <w:rPr>
          <w:rFonts w:cs="Arial" w:hint="cs"/>
          <w:rtl/>
        </w:rPr>
        <w:t>,</w:t>
      </w:r>
      <w:r w:rsidRPr="00A00FE9">
        <w:rPr>
          <w:rFonts w:cs="Arial"/>
          <w:rtl/>
        </w:rPr>
        <w:t xml:space="preserve"> ולמה חרב אין תימר משום זנות והלא ריבה אחת היתה שם והוציאוה משם ולמה חרב אמר רב הונא על ידי שהיו משחקים בכדור בשבת</w:t>
      </w:r>
      <w:r w:rsidR="007F0566">
        <w:rPr>
          <w:rFonts w:cs="Arial" w:hint="cs"/>
          <w:rtl/>
        </w:rPr>
        <w:t>.</w:t>
      </w:r>
      <w:r w:rsidR="00937D3E">
        <w:rPr>
          <w:rFonts w:hint="cs"/>
          <w:rtl/>
        </w:rPr>
        <w:t xml:space="preserve"> </w:t>
      </w:r>
      <w:r w:rsidR="00937D3E" w:rsidRPr="00937D3E">
        <w:rPr>
          <w:rFonts w:hint="cs"/>
          <w:color w:val="E36C0A" w:themeColor="accent6" w:themeShade="BF"/>
          <w:rtl/>
        </w:rPr>
        <w:t>(וכ"פ בשו"ע)</w:t>
      </w:r>
    </w:p>
    <w:p w14:paraId="35D73129" w14:textId="77777777" w:rsidR="00937D3E" w:rsidRDefault="004E7EAC" w:rsidP="00434A6A">
      <w:pPr>
        <w:pStyle w:val="aa"/>
        <w:numPr>
          <w:ilvl w:val="0"/>
          <w:numId w:val="3"/>
        </w:numPr>
      </w:pPr>
      <w:r>
        <w:rPr>
          <w:rFonts w:cs="Arial" w:hint="cs"/>
          <w:rtl/>
        </w:rPr>
        <w:t xml:space="preserve">רוקח </w:t>
      </w:r>
      <w:r>
        <w:rPr>
          <w:rFonts w:cs="Arial" w:hint="cs"/>
          <w:sz w:val="16"/>
          <w:szCs w:val="16"/>
          <w:rtl/>
        </w:rPr>
        <w:t>(הל' שבת סי' נה)</w:t>
      </w:r>
      <w:r>
        <w:rPr>
          <w:rFonts w:cs="Arial" w:hint="cs"/>
          <w:rtl/>
        </w:rPr>
        <w:t xml:space="preserve">- </w:t>
      </w:r>
      <w:r w:rsidRPr="004E7EAC">
        <w:rPr>
          <w:rFonts w:cs="Arial"/>
          <w:rtl/>
        </w:rPr>
        <w:t>ויקהל משה אמר הקדוש ברוך הוא למשה עשו קהלה גדולה ודרוש להם ברבים הלכות שבת שילמדו ממך דורות הבאים להקיל קהלות בכל שבת ושבת לדרוש לישראל איסור והיתר וכן דוד היה מקהיל קהלות בשבתות בשרתי צדק בקהל רב והיינו דוד דגלי באסמכתא כתיב וה' עמו ואין להניח הדרשה עבור הסעודה השלישית כדאמר בפ' השולח גט. ובמדרש משלי בפסוק אשת חיל מי ימצא אמר ר' חמי בר חנינא מפני מה נתחייבו שני בניו של ר' מאיר שמתו שניהם ביחד בשבת במנחה מפני שהיו רגילים להניח בה"מ במנחה ואוכלים. בפר' בתרא דתענית בירושלמי טור דשמעון למה חרב מפני שהיו משחקים בכדור ובטלין מן התורה</w:t>
      </w:r>
      <w:r>
        <w:rPr>
          <w:rFonts w:hint="cs"/>
          <w:rtl/>
        </w:rPr>
        <w:t>.</w:t>
      </w:r>
    </w:p>
    <w:p w14:paraId="69B89E69" w14:textId="768B86AA" w:rsidR="00863724" w:rsidRDefault="00863724" w:rsidP="00434A6A">
      <w:pPr>
        <w:pStyle w:val="aa"/>
        <w:numPr>
          <w:ilvl w:val="0"/>
          <w:numId w:val="3"/>
        </w:numPr>
        <w:rPr>
          <w:rtl/>
        </w:rPr>
      </w:pPr>
      <w:r w:rsidRPr="00937D3E">
        <w:rPr>
          <w:rFonts w:cs="Arial"/>
          <w:rtl/>
        </w:rPr>
        <w:t>ספר חסידים</w:t>
      </w:r>
      <w:r w:rsidRPr="00937D3E">
        <w:rPr>
          <w:rFonts w:cs="Arial"/>
          <w:sz w:val="16"/>
          <w:szCs w:val="16"/>
          <w:rtl/>
        </w:rPr>
        <w:t xml:space="preserve"> </w:t>
      </w:r>
      <w:r w:rsidR="00937D3E" w:rsidRPr="00937D3E">
        <w:rPr>
          <w:rFonts w:cs="Arial" w:hint="cs"/>
          <w:sz w:val="16"/>
          <w:szCs w:val="16"/>
          <w:rtl/>
        </w:rPr>
        <w:t>(</w:t>
      </w:r>
      <w:r w:rsidRPr="00937D3E">
        <w:rPr>
          <w:rFonts w:cs="Arial"/>
          <w:sz w:val="16"/>
          <w:szCs w:val="16"/>
          <w:rtl/>
        </w:rPr>
        <w:t>הוצאת מק"נ סי</w:t>
      </w:r>
      <w:r w:rsidR="00937D3E" w:rsidRPr="00937D3E">
        <w:rPr>
          <w:rFonts w:cs="Arial" w:hint="cs"/>
          <w:sz w:val="16"/>
          <w:szCs w:val="16"/>
          <w:rtl/>
        </w:rPr>
        <w:t>'</w:t>
      </w:r>
      <w:r w:rsidRPr="00937D3E">
        <w:rPr>
          <w:rFonts w:cs="Arial"/>
          <w:sz w:val="16"/>
          <w:szCs w:val="16"/>
          <w:rtl/>
        </w:rPr>
        <w:t xml:space="preserve"> תתתתקעא</w:t>
      </w:r>
      <w:r w:rsidR="00937D3E" w:rsidRPr="00937D3E">
        <w:rPr>
          <w:rFonts w:cs="Arial" w:hint="cs"/>
          <w:sz w:val="16"/>
          <w:szCs w:val="16"/>
          <w:rtl/>
        </w:rPr>
        <w:t>, כ"כ עלי תמר בשמו [ירושלמי  תענית פ"ד ה"ה], לא מצאתי את המקור)</w:t>
      </w:r>
      <w:r w:rsidR="00937D3E">
        <w:rPr>
          <w:rFonts w:cs="Arial" w:hint="cs"/>
          <w:rtl/>
        </w:rPr>
        <w:t>-</w:t>
      </w:r>
      <w:r w:rsidRPr="00937D3E">
        <w:rPr>
          <w:rFonts w:cs="Arial"/>
          <w:rtl/>
        </w:rPr>
        <w:t xml:space="preserve"> כתיב, והיית אך שמח לרבות ליל יום טוב האחרון של חג, יכול בכדור או בפסיעה גסה (מיני התעמלות בקפיצה או בריצה) ת"ל אך</w:t>
      </w:r>
      <w:r w:rsidR="00937D3E">
        <w:rPr>
          <w:rStyle w:val="a9"/>
          <w:rFonts w:cs="Arial"/>
          <w:rtl/>
        </w:rPr>
        <w:footnoteReference w:id="1745"/>
      </w:r>
      <w:r w:rsidRPr="00937D3E">
        <w:rPr>
          <w:rFonts w:cs="Arial"/>
          <w:rtl/>
        </w:rPr>
        <w:t>.</w:t>
      </w:r>
    </w:p>
    <w:p w14:paraId="72ECA19B"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7B00B63C" w14:textId="76395420" w:rsidR="000C6229" w:rsidRPr="005275DF" w:rsidRDefault="000C6229" w:rsidP="00434A6A">
      <w:pPr>
        <w:rPr>
          <w:rFonts w:asciiTheme="minorBidi" w:hAnsiTheme="minorBidi"/>
          <w:rtl/>
        </w:rPr>
      </w:pPr>
      <w:r w:rsidRPr="005275DF">
        <w:rPr>
          <w:rFonts w:asciiTheme="minorBidi" w:hAnsiTheme="minorBidi"/>
          <w:rtl/>
        </w:rPr>
        <w:t>אסור לשחוק בשבת ויו</w:t>
      </w:r>
      <w:r w:rsidR="000E5FA7">
        <w:rPr>
          <w:rFonts w:asciiTheme="minorBidi" w:hAnsiTheme="minorBidi" w:hint="cs"/>
          <w:rtl/>
        </w:rPr>
        <w:t xml:space="preserve">ם </w:t>
      </w:r>
      <w:r w:rsidRPr="005275DF">
        <w:rPr>
          <w:rFonts w:asciiTheme="minorBidi" w:hAnsiTheme="minorBidi"/>
          <w:rtl/>
        </w:rPr>
        <w:t>ט</w:t>
      </w:r>
      <w:r w:rsidR="000E5FA7">
        <w:rPr>
          <w:rFonts w:asciiTheme="minorBidi" w:hAnsiTheme="minorBidi" w:hint="cs"/>
          <w:rtl/>
        </w:rPr>
        <w:t>וב</w:t>
      </w:r>
      <w:r w:rsidRPr="005275DF">
        <w:rPr>
          <w:rFonts w:asciiTheme="minorBidi" w:hAnsiTheme="minorBidi"/>
          <w:rtl/>
        </w:rPr>
        <w:t xml:space="preserve"> בכדור</w:t>
      </w:r>
      <w:r w:rsidR="00767848">
        <w:rPr>
          <w:rStyle w:val="a9"/>
          <w:rFonts w:asciiTheme="minorBidi" w:hAnsiTheme="minorBidi"/>
          <w:rtl/>
        </w:rPr>
        <w:footnoteReference w:id="1746"/>
      </w:r>
      <w:r w:rsidRPr="005275DF">
        <w:rPr>
          <w:rFonts w:asciiTheme="minorBidi" w:hAnsiTheme="minorBidi"/>
          <w:rtl/>
        </w:rPr>
        <w:t xml:space="preserve">. </w:t>
      </w:r>
      <w:r w:rsidRPr="000E5FA7">
        <w:rPr>
          <w:rFonts w:asciiTheme="minorBidi" w:hAnsiTheme="minorBidi"/>
          <w:sz w:val="18"/>
          <w:szCs w:val="18"/>
          <w:rtl/>
        </w:rPr>
        <w:t>הגה: ויש מתירין</w:t>
      </w:r>
      <w:r w:rsidR="00767848">
        <w:rPr>
          <w:rStyle w:val="a9"/>
          <w:rFonts w:asciiTheme="minorBidi" w:hAnsiTheme="minorBidi"/>
          <w:sz w:val="18"/>
          <w:szCs w:val="18"/>
          <w:rtl/>
        </w:rPr>
        <w:footnoteReference w:id="1747"/>
      </w:r>
      <w:r w:rsidR="00767848">
        <w:rPr>
          <w:rFonts w:asciiTheme="minorBidi" w:hAnsiTheme="minorBidi" w:hint="cs"/>
          <w:sz w:val="18"/>
          <w:szCs w:val="18"/>
          <w:rtl/>
        </w:rPr>
        <w:t xml:space="preserve"> (תוס')</w:t>
      </w:r>
      <w:r w:rsidRPr="000E5FA7">
        <w:rPr>
          <w:rFonts w:asciiTheme="minorBidi" w:hAnsiTheme="minorBidi"/>
          <w:sz w:val="18"/>
          <w:szCs w:val="18"/>
          <w:rtl/>
        </w:rPr>
        <w:t>, ונהגו להקל.</w:t>
      </w:r>
      <w:r w:rsidRPr="005275DF">
        <w:rPr>
          <w:rFonts w:asciiTheme="minorBidi" w:hAnsiTheme="minorBidi"/>
          <w:rtl/>
        </w:rPr>
        <w:t xml:space="preserve"> </w:t>
      </w:r>
    </w:p>
    <w:p w14:paraId="655C109C" w14:textId="77777777" w:rsidR="000C6229" w:rsidRPr="005275DF" w:rsidRDefault="000C6229" w:rsidP="00434A6A">
      <w:pPr>
        <w:rPr>
          <w:rFonts w:asciiTheme="minorBidi" w:hAnsiTheme="minorBidi"/>
          <w:rtl/>
        </w:rPr>
      </w:pPr>
    </w:p>
    <w:p w14:paraId="17F61168" w14:textId="3877C137" w:rsidR="000C6229" w:rsidRDefault="000C6229" w:rsidP="00434A6A">
      <w:pPr>
        <w:pStyle w:val="2"/>
        <w:rPr>
          <w:rtl/>
        </w:rPr>
      </w:pPr>
      <w:r w:rsidRPr="005275DF">
        <w:rPr>
          <w:rtl/>
        </w:rPr>
        <w:t>סעיף מו</w:t>
      </w:r>
      <w:r w:rsidR="00950A3D">
        <w:rPr>
          <w:rFonts w:hint="cs"/>
          <w:rtl/>
        </w:rPr>
        <w:t>: תולעת משי.</w:t>
      </w:r>
    </w:p>
    <w:p w14:paraId="79438336" w14:textId="77777777" w:rsidR="00950A3D" w:rsidRDefault="00950A3D" w:rsidP="00434A6A">
      <w:pPr>
        <w:rPr>
          <w:rFonts w:cs="Arial"/>
          <w:rtl/>
        </w:rPr>
      </w:pPr>
      <w:r>
        <w:rPr>
          <w:rFonts w:hint="cs"/>
          <w:u w:val="single"/>
          <w:rtl/>
        </w:rPr>
        <w:t xml:space="preserve">טלטול </w:t>
      </w:r>
      <w:r w:rsidRPr="00950A3D">
        <w:rPr>
          <w:rFonts w:hint="cs"/>
          <w:u w:val="single"/>
          <w:rtl/>
        </w:rPr>
        <w:t>תולעת משי</w:t>
      </w:r>
      <w:r w:rsidRPr="00950A3D">
        <w:rPr>
          <w:rFonts w:cs="Arial" w:hint="cs"/>
          <w:u w:val="single"/>
          <w:rtl/>
        </w:rPr>
        <w:t>:</w:t>
      </w:r>
      <w:r w:rsidRPr="00FB3622">
        <w:rPr>
          <w:rFonts w:cs="Arial"/>
          <w:rtl/>
        </w:rPr>
        <w:t xml:space="preserve"> </w:t>
      </w:r>
    </w:p>
    <w:p w14:paraId="5606895D" w14:textId="50410FF9" w:rsidR="00FB3622" w:rsidRPr="00FB3622" w:rsidRDefault="00FB3622" w:rsidP="00434A6A">
      <w:pPr>
        <w:pStyle w:val="aa"/>
        <w:numPr>
          <w:ilvl w:val="0"/>
          <w:numId w:val="13"/>
        </w:numPr>
        <w:rPr>
          <w:rtl/>
        </w:rPr>
      </w:pPr>
      <w:r w:rsidRPr="00950A3D">
        <w:rPr>
          <w:rFonts w:cs="Arial"/>
          <w:rtl/>
        </w:rPr>
        <w:t xml:space="preserve">רשב"א </w:t>
      </w:r>
      <w:r w:rsidRPr="00950A3D">
        <w:rPr>
          <w:rFonts w:cs="Arial"/>
          <w:sz w:val="16"/>
          <w:szCs w:val="16"/>
          <w:rtl/>
        </w:rPr>
        <w:t>(ח"ד סי' עד)</w:t>
      </w:r>
      <w:r w:rsidR="00950A3D">
        <w:rPr>
          <w:rFonts w:cs="Arial" w:hint="cs"/>
          <w:rtl/>
        </w:rPr>
        <w:t>-</w:t>
      </w:r>
      <w:r w:rsidRPr="00950A3D">
        <w:rPr>
          <w:rFonts w:cs="Arial"/>
          <w:rtl/>
        </w:rPr>
        <w:t xml:space="preserve"> אסור לשאת תחת אציליו הדבר שמתהוה ממנו המשי משום דאסור לטלטלו ועוד שבודאי מוליד הוא בחומו ומלאכת מחשבת הוא ואסור</w:t>
      </w:r>
      <w:r w:rsidR="00950A3D">
        <w:rPr>
          <w:rFonts w:cs="Arial" w:hint="cs"/>
          <w:rtl/>
        </w:rPr>
        <w:t>.</w:t>
      </w:r>
      <w:r w:rsidR="00950A3D" w:rsidRPr="00950A3D">
        <w:rPr>
          <w:rFonts w:hint="cs"/>
          <w:color w:val="E36C0A" w:themeColor="accent6" w:themeShade="BF"/>
          <w:rtl/>
        </w:rPr>
        <w:t xml:space="preserve"> </w:t>
      </w:r>
      <w:r w:rsidR="00950A3D" w:rsidRPr="00937D3E">
        <w:rPr>
          <w:rFonts w:hint="cs"/>
          <w:color w:val="E36C0A" w:themeColor="accent6" w:themeShade="BF"/>
          <w:rtl/>
        </w:rPr>
        <w:t>(וכ"פ בשו"ע)</w:t>
      </w:r>
    </w:p>
    <w:p w14:paraId="53D092AB"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03979AD1" w14:textId="756AD438" w:rsidR="000C6229" w:rsidRPr="005275DF" w:rsidRDefault="000C6229" w:rsidP="00434A6A">
      <w:pPr>
        <w:rPr>
          <w:rFonts w:asciiTheme="minorBidi" w:hAnsiTheme="minorBidi"/>
          <w:rtl/>
        </w:rPr>
      </w:pPr>
      <w:r w:rsidRPr="005275DF">
        <w:rPr>
          <w:rFonts w:asciiTheme="minorBidi" w:hAnsiTheme="minorBidi"/>
          <w:rtl/>
        </w:rPr>
        <w:t>אסור לשאת תחת אציליו זרע התולעים שעושין המשי, מפני שאסור בטלטול ועוד שהוא מוליד בחומו</w:t>
      </w:r>
      <w:r w:rsidR="00106EE1">
        <w:rPr>
          <w:rStyle w:val="a9"/>
          <w:rFonts w:asciiTheme="minorBidi" w:hAnsiTheme="minorBidi"/>
          <w:rtl/>
        </w:rPr>
        <w:footnoteReference w:id="1748"/>
      </w:r>
      <w:r w:rsidRPr="005275DF">
        <w:rPr>
          <w:rFonts w:asciiTheme="minorBidi" w:hAnsiTheme="minorBidi"/>
          <w:rtl/>
        </w:rPr>
        <w:t xml:space="preserve">. </w:t>
      </w:r>
    </w:p>
    <w:p w14:paraId="6A1AFE98" w14:textId="77777777" w:rsidR="000C6229" w:rsidRPr="005275DF" w:rsidRDefault="000C6229" w:rsidP="00434A6A">
      <w:pPr>
        <w:rPr>
          <w:rFonts w:asciiTheme="minorBidi" w:hAnsiTheme="minorBidi"/>
          <w:rtl/>
        </w:rPr>
      </w:pPr>
    </w:p>
    <w:p w14:paraId="28A5EFAD" w14:textId="21662D49" w:rsidR="00FB3622" w:rsidRDefault="000C6229" w:rsidP="00434A6A">
      <w:pPr>
        <w:pStyle w:val="2"/>
        <w:rPr>
          <w:rtl/>
        </w:rPr>
      </w:pPr>
      <w:r w:rsidRPr="005275DF">
        <w:rPr>
          <w:rtl/>
        </w:rPr>
        <w:t>סעיף מז</w:t>
      </w:r>
      <w:r w:rsidR="00950A3D">
        <w:rPr>
          <w:rFonts w:hint="cs"/>
          <w:rtl/>
        </w:rPr>
        <w:t>: בגד שעטנז.</w:t>
      </w:r>
    </w:p>
    <w:p w14:paraId="67E419D7" w14:textId="18D53790" w:rsidR="00324A63" w:rsidRPr="00324A63" w:rsidRDefault="00324A63" w:rsidP="00434A6A">
      <w:pPr>
        <w:rPr>
          <w:rtl/>
        </w:rPr>
      </w:pPr>
      <w:r w:rsidRPr="00324A63">
        <w:rPr>
          <w:rFonts w:cs="Arial" w:hint="cs"/>
          <w:b/>
          <w:bCs/>
          <w:rtl/>
        </w:rPr>
        <w:t xml:space="preserve">ביצה </w:t>
      </w:r>
      <w:r>
        <w:rPr>
          <w:rFonts w:cs="Arial" w:hint="cs"/>
          <w:b/>
          <w:bCs/>
          <w:sz w:val="16"/>
          <w:szCs w:val="16"/>
          <w:rtl/>
        </w:rPr>
        <w:t xml:space="preserve">(פ"ק) </w:t>
      </w:r>
      <w:r w:rsidRPr="00324A63">
        <w:rPr>
          <w:rFonts w:cs="Arial" w:hint="cs"/>
          <w:b/>
          <w:bCs/>
          <w:rtl/>
        </w:rPr>
        <w:t xml:space="preserve">יד ע"ב: </w:t>
      </w:r>
      <w:r w:rsidRPr="00324A63">
        <w:rPr>
          <w:rFonts w:cs="Arial"/>
          <w:u w:val="double"/>
          <w:rtl/>
        </w:rPr>
        <w:t>משנה</w:t>
      </w:r>
      <w:r>
        <w:rPr>
          <w:rFonts w:cs="Arial" w:hint="cs"/>
          <w:rtl/>
        </w:rPr>
        <w:t>:</w:t>
      </w:r>
      <w:r>
        <w:rPr>
          <w:rFonts w:cs="Arial"/>
          <w:rtl/>
        </w:rPr>
        <w:t xml:space="preserve"> משלחין כלים, בין תפורין בין שאינן תפורין, ואף על פי שיש בהן כלאים, והן לצורך המועד. אבל לא סנדל המסומר, ולא מנעל שאינו תפור. רבי יהודה אומר: אף לא מנעל לבן, מפני שצריך אומן. זה הכלל: כל שנאותין בו - ביום טוב משלחין אותו. </w:t>
      </w:r>
      <w:r>
        <w:rPr>
          <w:rFonts w:hint="cs"/>
          <w:rtl/>
        </w:rPr>
        <w:t xml:space="preserve">      </w:t>
      </w:r>
      <w:r w:rsidRPr="00324A63">
        <w:rPr>
          <w:rFonts w:cs="Arial"/>
          <w:u w:val="double"/>
          <w:rtl/>
        </w:rPr>
        <w:t>גמרא</w:t>
      </w:r>
      <w:r>
        <w:rPr>
          <w:rFonts w:cs="Arial" w:hint="cs"/>
          <w:rtl/>
        </w:rPr>
        <w:t>:</w:t>
      </w:r>
      <w:r>
        <w:rPr>
          <w:rFonts w:cs="Arial"/>
          <w:rtl/>
        </w:rPr>
        <w:t xml:space="preserve"> בשלמא תפורין - חזו למלבוש; שאין תפורין נמי - חזו לכסויי, אלא כלאים למאי חזו? וכי תימא: חזו למימך תותיה, והתניא: לא יעלה עליך - אבל אתה יכול להציעו תחתיך. אבל אמרו חכמים: אסור לעשות כן, שמא תכרך לו נימא על בשרו. וכי תימא: דמפסיק מידי ביני ביני, והאמר רבי שמעון בן פזי אמר רבי יהושע בן לוי אמר רבי יוסי בן שאול אמר רבי משום קהלא קדישא דבירושלים: אפילו עשר מצעות זו על גבי זו וכלאים תחתיהן - אסור לישן עליהם</w:t>
      </w:r>
      <w:r>
        <w:rPr>
          <w:rFonts w:cs="Arial" w:hint="cs"/>
          <w:rtl/>
        </w:rPr>
        <w:t>.</w:t>
      </w:r>
      <w:r>
        <w:rPr>
          <w:rFonts w:cs="Arial"/>
          <w:rtl/>
        </w:rPr>
        <w:t xml:space="preserve"> אלא בוילון. והאמר עולא: מפני מה אמרו וילון טמא - מפני שהשמש מתחמם כנגדו!</w:t>
      </w:r>
      <w:r w:rsidR="002C2F92" w:rsidRPr="002C2F92">
        <w:rPr>
          <w:rtl/>
        </w:rPr>
        <w:t xml:space="preserve"> </w:t>
      </w:r>
      <w:r w:rsidR="002C2F92">
        <w:rPr>
          <w:rFonts w:cs="Arial" w:hint="cs"/>
          <w:sz w:val="14"/>
          <w:szCs w:val="14"/>
          <w:rtl/>
        </w:rPr>
        <w:t xml:space="preserve">(טו.) </w:t>
      </w:r>
      <w:r w:rsidR="002C2F92" w:rsidRPr="002C2F92">
        <w:rPr>
          <w:rFonts w:cs="Arial"/>
          <w:rtl/>
        </w:rPr>
        <w:t>אלא בקשין, וכי הא דאמר רב הונא בריה דרב יהושע: האי נמטא גמדא דנרש שריא. אמר רב פפא: ערדלין אין בהן משום כלאים, אמר רבא: הני צררי דפשיטי אין בהם משום כלאים, דבזרני - יש בהם משום כלאים. רב אשי אמר: אחד זה ואחד זה אין בהן משום כלאים, לפי שאין דרך חמום בכך.</w:t>
      </w:r>
    </w:p>
    <w:p w14:paraId="5ABEA275" w14:textId="1F328B8B" w:rsidR="00950A3D" w:rsidRDefault="00950A3D" w:rsidP="00434A6A">
      <w:pPr>
        <w:rPr>
          <w:rFonts w:cs="Arial"/>
          <w:rtl/>
        </w:rPr>
      </w:pPr>
      <w:r>
        <w:rPr>
          <w:rFonts w:hint="cs"/>
          <w:u w:val="single"/>
          <w:rtl/>
        </w:rPr>
        <w:t xml:space="preserve">טלטול </w:t>
      </w:r>
      <w:r w:rsidRPr="00950A3D">
        <w:rPr>
          <w:rFonts w:hint="cs"/>
          <w:u w:val="single"/>
          <w:rtl/>
        </w:rPr>
        <w:t>בגד שעטנז</w:t>
      </w:r>
      <w:r w:rsidRPr="00950A3D">
        <w:rPr>
          <w:rFonts w:cs="Arial" w:hint="cs"/>
          <w:u w:val="single"/>
          <w:rtl/>
        </w:rPr>
        <w:t>:</w:t>
      </w:r>
    </w:p>
    <w:p w14:paraId="1755761A" w14:textId="0CBAB688" w:rsidR="00FB1852" w:rsidRDefault="002C2F92" w:rsidP="00434A6A">
      <w:pPr>
        <w:pStyle w:val="aa"/>
        <w:numPr>
          <w:ilvl w:val="0"/>
          <w:numId w:val="13"/>
        </w:numPr>
      </w:pPr>
      <w:r>
        <w:rPr>
          <w:rFonts w:cs="Arial" w:hint="cs"/>
          <w:rtl/>
        </w:rPr>
        <w:t xml:space="preserve">רשב"א </w:t>
      </w:r>
      <w:r>
        <w:rPr>
          <w:rFonts w:cs="Arial" w:hint="cs"/>
          <w:sz w:val="16"/>
          <w:szCs w:val="16"/>
          <w:rtl/>
        </w:rPr>
        <w:t xml:space="preserve">(במיוחסות סי' ריא, שם מובא העתק לשון תשב"ץ דלקמן) </w:t>
      </w:r>
      <w:r>
        <w:rPr>
          <w:rFonts w:cs="Arial" w:hint="cs"/>
          <w:rtl/>
        </w:rPr>
        <w:t>ו</w:t>
      </w:r>
      <w:r w:rsidR="00FB3622" w:rsidRPr="00950A3D">
        <w:rPr>
          <w:rFonts w:cs="Arial"/>
          <w:rtl/>
        </w:rPr>
        <w:t>תשב"ץ קטן</w:t>
      </w:r>
      <w:r w:rsidR="00FB1852">
        <w:rPr>
          <w:rStyle w:val="a9"/>
          <w:rFonts w:cs="Arial"/>
          <w:rtl/>
        </w:rPr>
        <w:footnoteReference w:id="1749"/>
      </w:r>
      <w:r w:rsidR="00FB3622" w:rsidRPr="00950A3D">
        <w:rPr>
          <w:rFonts w:cs="Arial"/>
          <w:rtl/>
        </w:rPr>
        <w:t xml:space="preserve"> </w:t>
      </w:r>
      <w:r w:rsidR="00FB1852" w:rsidRPr="00FB1852">
        <w:rPr>
          <w:rFonts w:cs="Arial" w:hint="cs"/>
          <w:sz w:val="16"/>
          <w:szCs w:val="16"/>
          <w:rtl/>
        </w:rPr>
        <w:t>(</w:t>
      </w:r>
      <w:r w:rsidR="00FB3622" w:rsidRPr="00FB1852">
        <w:rPr>
          <w:rFonts w:cs="Arial"/>
          <w:sz w:val="16"/>
          <w:szCs w:val="16"/>
          <w:rtl/>
        </w:rPr>
        <w:t>סי' מו</w:t>
      </w:r>
      <w:r w:rsidR="00FB1852" w:rsidRPr="00FB1852">
        <w:rPr>
          <w:rFonts w:cs="Arial" w:hint="cs"/>
          <w:sz w:val="16"/>
          <w:szCs w:val="16"/>
          <w:rtl/>
        </w:rPr>
        <w:t>, הביאו רי"ו [חי"ג ני"ב פד:]</w:t>
      </w:r>
      <w:r w:rsidR="00FB3622" w:rsidRPr="00FB1852">
        <w:rPr>
          <w:rFonts w:cs="Arial"/>
          <w:sz w:val="16"/>
          <w:szCs w:val="16"/>
          <w:rtl/>
        </w:rPr>
        <w:t>)</w:t>
      </w:r>
      <w:r w:rsidR="00FB1852">
        <w:rPr>
          <w:rFonts w:cs="Arial" w:hint="cs"/>
          <w:rtl/>
        </w:rPr>
        <w:t>-</w:t>
      </w:r>
      <w:r w:rsidR="00FB1852" w:rsidRPr="00FB1852">
        <w:rPr>
          <w:rtl/>
        </w:rPr>
        <w:t xml:space="preserve"> </w:t>
      </w:r>
      <w:r w:rsidR="00FB1852" w:rsidRPr="00FB1852">
        <w:rPr>
          <w:rFonts w:cs="Arial"/>
          <w:rtl/>
        </w:rPr>
        <w:t>ואומר</w:t>
      </w:r>
      <w:r w:rsidR="00FB1852">
        <w:rPr>
          <w:rFonts w:cs="Arial" w:hint="cs"/>
          <w:sz w:val="16"/>
          <w:szCs w:val="16"/>
          <w:rtl/>
        </w:rPr>
        <w:t xml:space="preserve"> {מהר"ם}</w:t>
      </w:r>
      <w:r w:rsidR="00FB1852" w:rsidRPr="00FB1852">
        <w:rPr>
          <w:rFonts w:cs="Arial"/>
          <w:rtl/>
        </w:rPr>
        <w:t xml:space="preserve"> שאסור לטלטל מלבוש של כלאים בשבת וביו"ט. ומביא ממסכת ביצה (יד</w:t>
      </w:r>
      <w:r w:rsidR="00FB1852">
        <w:rPr>
          <w:rFonts w:cs="Arial" w:hint="cs"/>
          <w:rtl/>
        </w:rPr>
        <w:t>.</w:t>
      </w:r>
      <w:r w:rsidR="00FB1852" w:rsidRPr="00FB1852">
        <w:rPr>
          <w:rFonts w:cs="Arial"/>
          <w:rtl/>
        </w:rPr>
        <w:t xml:space="preserve">) משלחין כלים בין תפורים בין אינם תפורים אף על פי שיש בהם כלאים שהם לצורך המועד. ומקשה עלה בגמרא בשלמא תפורים חזו למלבוש אלא שאינם תפורים למאי חזו. ומסיק התם בקשין דחזו להציע תחתיו. מכלל דלא חזו כלל </w:t>
      </w:r>
      <w:r w:rsidR="00324A63">
        <w:rPr>
          <w:rFonts w:cs="Arial" w:hint="cs"/>
          <w:rtl/>
        </w:rPr>
        <w:t xml:space="preserve">- </w:t>
      </w:r>
      <w:r w:rsidR="00FB1852" w:rsidRPr="00FB1852">
        <w:rPr>
          <w:rFonts w:cs="Arial"/>
          <w:rtl/>
        </w:rPr>
        <w:t>אסור לטלטלם</w:t>
      </w:r>
      <w:r w:rsidR="00FB1852">
        <w:rPr>
          <w:rFonts w:cs="Arial" w:hint="cs"/>
          <w:rtl/>
        </w:rPr>
        <w:t>.</w:t>
      </w:r>
      <w:r w:rsidR="00106EE1">
        <w:rPr>
          <w:rFonts w:hint="cs"/>
          <w:rtl/>
        </w:rPr>
        <w:t xml:space="preserve"> (וכ"פ המשנ"ב</w:t>
      </w:r>
      <w:r w:rsidR="00106EE1">
        <w:rPr>
          <w:rFonts w:hint="cs"/>
          <w:sz w:val="16"/>
          <w:szCs w:val="16"/>
          <w:rtl/>
        </w:rPr>
        <w:t xml:space="preserve"> [ס"ק קסא]</w:t>
      </w:r>
      <w:r w:rsidR="00106EE1">
        <w:rPr>
          <w:rFonts w:hint="cs"/>
          <w:rtl/>
        </w:rPr>
        <w:t>)</w:t>
      </w:r>
    </w:p>
    <w:p w14:paraId="74696623" w14:textId="7F8E7FF8" w:rsidR="00FB1852" w:rsidRPr="00FB1852" w:rsidRDefault="008A292E" w:rsidP="00434A6A">
      <w:pPr>
        <w:pStyle w:val="aa"/>
        <w:numPr>
          <w:ilvl w:val="0"/>
          <w:numId w:val="13"/>
        </w:numPr>
      </w:pPr>
      <w:r>
        <w:rPr>
          <w:rFonts w:cs="Arial" w:hint="cs"/>
          <w:rtl/>
        </w:rPr>
        <w:t>ה"ר שמחה</w:t>
      </w:r>
      <w:r w:rsidR="00FB1852" w:rsidRPr="00950A3D">
        <w:rPr>
          <w:rFonts w:cs="Arial"/>
          <w:rtl/>
        </w:rPr>
        <w:t xml:space="preserve"> </w:t>
      </w:r>
      <w:r w:rsidR="00FB1852" w:rsidRPr="00FB1852">
        <w:rPr>
          <w:rFonts w:cs="Arial"/>
          <w:sz w:val="16"/>
          <w:szCs w:val="16"/>
          <w:rtl/>
        </w:rPr>
        <w:t>(</w:t>
      </w:r>
      <w:r>
        <w:rPr>
          <w:rFonts w:cs="Arial" w:hint="cs"/>
          <w:sz w:val="16"/>
          <w:szCs w:val="16"/>
          <w:rtl/>
        </w:rPr>
        <w:t>כ"כ בשמו האו"ז [</w:t>
      </w:r>
      <w:r w:rsidR="00FB1852" w:rsidRPr="00FB1852">
        <w:rPr>
          <w:rFonts w:cs="Arial"/>
          <w:sz w:val="16"/>
          <w:szCs w:val="16"/>
          <w:rtl/>
        </w:rPr>
        <w:t>ח"א שו"ת סי' תשעו</w:t>
      </w:r>
      <w:r>
        <w:rPr>
          <w:rFonts w:cs="Arial" w:hint="cs"/>
          <w:sz w:val="16"/>
          <w:szCs w:val="16"/>
          <w:rtl/>
        </w:rPr>
        <w:t>], והעתיק דבריהם המרדכי [ביצה סי' תרסו-תרסז]</w:t>
      </w:r>
      <w:r w:rsidR="00FB1852" w:rsidRPr="00FB1852">
        <w:rPr>
          <w:rFonts w:cs="Arial"/>
          <w:sz w:val="16"/>
          <w:szCs w:val="16"/>
          <w:rtl/>
        </w:rPr>
        <w:t>)</w:t>
      </w:r>
      <w:r w:rsidR="00FB1852">
        <w:rPr>
          <w:rFonts w:cs="Arial" w:hint="cs"/>
          <w:rtl/>
        </w:rPr>
        <w:t>-</w:t>
      </w:r>
      <w:r w:rsidR="00FB1852" w:rsidRPr="00950A3D">
        <w:rPr>
          <w:rFonts w:cs="Arial"/>
          <w:rtl/>
        </w:rPr>
        <w:t xml:space="preserve"> </w:t>
      </w:r>
      <w:r w:rsidR="00FB1852">
        <w:rPr>
          <w:rStyle w:val="a9"/>
          <w:rFonts w:cs="Arial"/>
          <w:rtl/>
        </w:rPr>
        <w:footnoteReference w:id="1750"/>
      </w:r>
      <w:r w:rsidR="00FB1852" w:rsidRPr="00FB1852">
        <w:rPr>
          <w:rFonts w:cs="Arial"/>
          <w:rtl/>
        </w:rPr>
        <w:t xml:space="preserve">שעטנז אינו אסור לטלטל דתורת כלי עליו מידי דהוה אסנדל המסומר </w:t>
      </w:r>
      <w:r w:rsidRPr="008A292E">
        <w:rPr>
          <w:rFonts w:cs="Arial"/>
          <w:sz w:val="16"/>
          <w:szCs w:val="16"/>
          <w:rtl/>
        </w:rPr>
        <w:t>(שבת ס:, ביצה טו.)</w:t>
      </w:r>
      <w:r>
        <w:rPr>
          <w:rFonts w:cs="Arial" w:hint="cs"/>
          <w:rtl/>
        </w:rPr>
        <w:t xml:space="preserve"> </w:t>
      </w:r>
      <w:r w:rsidR="00FB1852" w:rsidRPr="00FB1852">
        <w:rPr>
          <w:rFonts w:cs="Arial"/>
          <w:rtl/>
        </w:rPr>
        <w:t>דאסור לנועלו ומותר לטלטלו בפ"ק דביצה</w:t>
      </w:r>
      <w:r w:rsidR="00324A63">
        <w:rPr>
          <w:rFonts w:cs="Arial" w:hint="cs"/>
          <w:rtl/>
        </w:rPr>
        <w:t>,</w:t>
      </w:r>
      <w:r w:rsidR="00FB1852" w:rsidRPr="00FB1852">
        <w:rPr>
          <w:rFonts w:cs="Arial"/>
          <w:rtl/>
        </w:rPr>
        <w:t xml:space="preserve"> ומדקא שקיל וטרי אכלאי' למאי והא לא חזו לא למילבש ולא למימך תותיה שמע מינה שמותר לטלטל</w:t>
      </w:r>
      <w:r w:rsidR="00FB1852">
        <w:rPr>
          <w:rFonts w:hint="cs"/>
          <w:rtl/>
        </w:rPr>
        <w:t>.</w:t>
      </w:r>
      <w:r>
        <w:rPr>
          <w:rFonts w:hint="cs"/>
          <w:rtl/>
        </w:rPr>
        <w:t xml:space="preserve"> </w:t>
      </w:r>
      <w:r w:rsidRPr="008A292E">
        <w:rPr>
          <w:rFonts w:hint="cs"/>
          <w:color w:val="E36C0A" w:themeColor="accent6" w:themeShade="BF"/>
          <w:rtl/>
        </w:rPr>
        <w:t>(וכ"פ בשו"ע)</w:t>
      </w:r>
    </w:p>
    <w:p w14:paraId="747F9C13"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5E937E36" w14:textId="10D07738" w:rsidR="000C6229" w:rsidRPr="005275DF" w:rsidRDefault="000C6229" w:rsidP="00434A6A">
      <w:pPr>
        <w:rPr>
          <w:rFonts w:asciiTheme="minorBidi" w:hAnsiTheme="minorBidi"/>
          <w:rtl/>
        </w:rPr>
      </w:pPr>
      <w:r w:rsidRPr="005275DF">
        <w:rPr>
          <w:rFonts w:asciiTheme="minorBidi" w:hAnsiTheme="minorBidi"/>
          <w:rtl/>
        </w:rPr>
        <w:t>יש אוסרים לטלטל בגד שעטנז</w:t>
      </w:r>
      <w:r w:rsidR="00106EE1">
        <w:rPr>
          <w:rStyle w:val="a9"/>
          <w:rFonts w:asciiTheme="minorBidi" w:hAnsiTheme="minorBidi"/>
          <w:rtl/>
        </w:rPr>
        <w:footnoteReference w:id="1751"/>
      </w:r>
      <w:r w:rsidRPr="005275DF">
        <w:rPr>
          <w:rFonts w:asciiTheme="minorBidi" w:hAnsiTheme="minorBidi"/>
          <w:rtl/>
        </w:rPr>
        <w:t xml:space="preserve">, ויש מתירים. </w:t>
      </w:r>
    </w:p>
    <w:p w14:paraId="5B5DC5FE" w14:textId="77777777" w:rsidR="000C6229" w:rsidRPr="005275DF" w:rsidRDefault="000C6229" w:rsidP="00434A6A">
      <w:pPr>
        <w:rPr>
          <w:rFonts w:asciiTheme="minorBidi" w:hAnsiTheme="minorBidi"/>
          <w:rtl/>
        </w:rPr>
      </w:pPr>
    </w:p>
    <w:p w14:paraId="37817C16" w14:textId="5B80B5AA" w:rsidR="000C6229" w:rsidRDefault="000C6229" w:rsidP="00434A6A">
      <w:pPr>
        <w:pStyle w:val="2"/>
        <w:rPr>
          <w:rtl/>
        </w:rPr>
      </w:pPr>
      <w:r w:rsidRPr="005275DF">
        <w:rPr>
          <w:rtl/>
        </w:rPr>
        <w:t>סעיף מח</w:t>
      </w:r>
      <w:r w:rsidR="00106EE1">
        <w:rPr>
          <w:rFonts w:hint="cs"/>
          <w:rtl/>
        </w:rPr>
        <w:t>: מניפה.</w:t>
      </w:r>
    </w:p>
    <w:p w14:paraId="73C62A2C" w14:textId="5573BBD7" w:rsidR="00106EE1" w:rsidRPr="00106EE1" w:rsidRDefault="00106EE1" w:rsidP="00434A6A">
      <w:pPr>
        <w:rPr>
          <w:u w:val="single"/>
          <w:rtl/>
        </w:rPr>
      </w:pPr>
      <w:r w:rsidRPr="00106EE1">
        <w:rPr>
          <w:rFonts w:hint="cs"/>
          <w:u w:val="single"/>
          <w:rtl/>
        </w:rPr>
        <w:t>טלטול מניפה:</w:t>
      </w:r>
    </w:p>
    <w:p w14:paraId="1E1D9D29" w14:textId="6D51F03E" w:rsidR="00106EE1" w:rsidRPr="00106EE1" w:rsidRDefault="008A74E8" w:rsidP="00434A6A">
      <w:pPr>
        <w:pStyle w:val="aa"/>
        <w:numPr>
          <w:ilvl w:val="0"/>
          <w:numId w:val="14"/>
        </w:numPr>
      </w:pPr>
      <w:r>
        <w:rPr>
          <w:rFonts w:cs="Arial" w:hint="cs"/>
          <w:rtl/>
        </w:rPr>
        <w:t xml:space="preserve">תשב"ץ קטן </w:t>
      </w:r>
      <w:r w:rsidR="00FB3622" w:rsidRPr="00106EE1">
        <w:rPr>
          <w:rFonts w:cs="Arial"/>
          <w:sz w:val="16"/>
          <w:szCs w:val="16"/>
          <w:rtl/>
        </w:rPr>
        <w:t>(</w:t>
      </w:r>
      <w:r>
        <w:rPr>
          <w:rFonts w:cs="Arial" w:hint="cs"/>
          <w:sz w:val="16"/>
          <w:szCs w:val="16"/>
          <w:rtl/>
        </w:rPr>
        <w:t xml:space="preserve">סי' נט, והעתיק דבריו </w:t>
      </w:r>
      <w:r w:rsidR="00F715C2">
        <w:rPr>
          <w:rFonts w:cs="Arial" w:hint="cs"/>
          <w:sz w:val="16"/>
          <w:szCs w:val="16"/>
          <w:rtl/>
        </w:rPr>
        <w:t>ה</w:t>
      </w:r>
      <w:r>
        <w:rPr>
          <w:rFonts w:cs="Arial" w:hint="cs"/>
          <w:sz w:val="16"/>
          <w:szCs w:val="16"/>
          <w:rtl/>
        </w:rPr>
        <w:t>כל בו [</w:t>
      </w:r>
      <w:r w:rsidR="00FB3622" w:rsidRPr="00106EE1">
        <w:rPr>
          <w:rFonts w:cs="Arial"/>
          <w:sz w:val="16"/>
          <w:szCs w:val="16"/>
          <w:rtl/>
        </w:rPr>
        <w:t xml:space="preserve">הל' שבת </w:t>
      </w:r>
      <w:r>
        <w:rPr>
          <w:rFonts w:cs="Arial" w:hint="cs"/>
          <w:sz w:val="16"/>
          <w:szCs w:val="16"/>
          <w:rtl/>
        </w:rPr>
        <w:t>סי' לא</w:t>
      </w:r>
      <w:r w:rsidR="00F715C2">
        <w:rPr>
          <w:rFonts w:cs="Arial" w:hint="cs"/>
          <w:sz w:val="16"/>
          <w:szCs w:val="16"/>
          <w:rtl/>
        </w:rPr>
        <w:t>,</w:t>
      </w:r>
      <w:r>
        <w:rPr>
          <w:rFonts w:cs="Arial" w:hint="cs"/>
          <w:sz w:val="16"/>
          <w:szCs w:val="16"/>
          <w:rtl/>
        </w:rPr>
        <w:t xml:space="preserve"> ובאורחות חיים הל' שבת ח"א אות שצב]</w:t>
      </w:r>
      <w:r w:rsidR="00FB3622" w:rsidRPr="00106EE1">
        <w:rPr>
          <w:rFonts w:cs="Arial"/>
          <w:sz w:val="16"/>
          <w:szCs w:val="16"/>
          <w:rtl/>
        </w:rPr>
        <w:t>)</w:t>
      </w:r>
      <w:r w:rsidR="00106EE1">
        <w:rPr>
          <w:rFonts w:cs="Arial" w:hint="cs"/>
          <w:rtl/>
        </w:rPr>
        <w:t xml:space="preserve">- </w:t>
      </w:r>
      <w:r w:rsidRPr="008A74E8">
        <w:rPr>
          <w:rFonts w:cs="Arial"/>
          <w:rtl/>
        </w:rPr>
        <w:t>ומותר לטלטל מניפה בשבת כדי להבריח זבובים. ובלבד שיזהר שלא יהרוג שום זבוב. שאפילו כלי שמלאכתו לאיסור מותר לטלטלו לצורך גופו או לצורך מקומו</w:t>
      </w:r>
      <w:r>
        <w:rPr>
          <w:rFonts w:cs="Arial" w:hint="cs"/>
          <w:rtl/>
        </w:rPr>
        <w:t xml:space="preserve">. </w:t>
      </w:r>
      <w:r w:rsidR="00106EE1" w:rsidRPr="008A292E">
        <w:rPr>
          <w:rFonts w:hint="cs"/>
          <w:color w:val="E36C0A" w:themeColor="accent6" w:themeShade="BF"/>
          <w:rtl/>
        </w:rPr>
        <w:t>(וכ"פ בשו"ע)</w:t>
      </w:r>
    </w:p>
    <w:p w14:paraId="0799003A" w14:textId="7122E51D"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13AA5DF5" w14:textId="2D9039CD" w:rsidR="000C6229" w:rsidRPr="005275DF" w:rsidRDefault="000C6229" w:rsidP="00434A6A">
      <w:pPr>
        <w:rPr>
          <w:rFonts w:asciiTheme="minorBidi" w:hAnsiTheme="minorBidi"/>
          <w:rtl/>
        </w:rPr>
      </w:pPr>
      <w:r w:rsidRPr="005275DF">
        <w:rPr>
          <w:rFonts w:asciiTheme="minorBidi" w:hAnsiTheme="minorBidi"/>
          <w:rtl/>
        </w:rPr>
        <w:t>מותר לטלטל מניפה בשבת להבריח הזבובים</w:t>
      </w:r>
      <w:r w:rsidR="00106EE1">
        <w:rPr>
          <w:rStyle w:val="a9"/>
          <w:rFonts w:asciiTheme="minorBidi" w:hAnsiTheme="minorBidi"/>
          <w:rtl/>
        </w:rPr>
        <w:footnoteReference w:id="1752"/>
      </w:r>
      <w:r w:rsidRPr="005275DF">
        <w:rPr>
          <w:rFonts w:asciiTheme="minorBidi" w:hAnsiTheme="minorBidi"/>
          <w:rtl/>
        </w:rPr>
        <w:t xml:space="preserve">. </w:t>
      </w:r>
    </w:p>
    <w:p w14:paraId="09E32BEA" w14:textId="77777777" w:rsidR="000C6229" w:rsidRPr="005275DF" w:rsidRDefault="000C6229" w:rsidP="00434A6A">
      <w:pPr>
        <w:rPr>
          <w:rFonts w:asciiTheme="minorBidi" w:hAnsiTheme="minorBidi"/>
          <w:rtl/>
        </w:rPr>
      </w:pPr>
    </w:p>
    <w:p w14:paraId="6B18746A" w14:textId="2527D1C5" w:rsidR="000C6229" w:rsidRDefault="000C6229" w:rsidP="00434A6A">
      <w:pPr>
        <w:pStyle w:val="2"/>
        <w:rPr>
          <w:rtl/>
        </w:rPr>
      </w:pPr>
      <w:r w:rsidRPr="005275DF">
        <w:rPr>
          <w:rtl/>
        </w:rPr>
        <w:t>סעיף מט</w:t>
      </w:r>
      <w:r w:rsidR="00106EE1">
        <w:rPr>
          <w:rFonts w:hint="cs"/>
          <w:rtl/>
        </w:rPr>
        <w:t xml:space="preserve">: </w:t>
      </w:r>
      <w:r w:rsidR="00734A4F">
        <w:rPr>
          <w:rFonts w:hint="cs"/>
          <w:rtl/>
        </w:rPr>
        <w:t>מטאטא</w:t>
      </w:r>
    </w:p>
    <w:p w14:paraId="03A72CA4" w14:textId="73757148" w:rsidR="00734A4F" w:rsidRPr="00734A4F" w:rsidRDefault="00734A4F" w:rsidP="00434A6A">
      <w:pPr>
        <w:rPr>
          <w:u w:val="single"/>
          <w:rtl/>
        </w:rPr>
      </w:pPr>
      <w:r w:rsidRPr="00734A4F">
        <w:rPr>
          <w:rFonts w:hint="cs"/>
          <w:u w:val="single"/>
          <w:rtl/>
        </w:rPr>
        <w:t>טלטול מכבדות של תמרה</w:t>
      </w:r>
      <w:r>
        <w:rPr>
          <w:rFonts w:hint="cs"/>
          <w:sz w:val="16"/>
          <w:szCs w:val="16"/>
          <w:u w:val="single"/>
          <w:rtl/>
        </w:rPr>
        <w:t xml:space="preserve"> (מטאטא של זמנם)</w:t>
      </w:r>
      <w:r w:rsidRPr="00734A4F">
        <w:rPr>
          <w:rFonts w:hint="cs"/>
          <w:u w:val="single"/>
          <w:rtl/>
        </w:rPr>
        <w:t>:</w:t>
      </w:r>
    </w:p>
    <w:p w14:paraId="762A2539" w14:textId="0625F86E" w:rsidR="00734A4F" w:rsidRPr="00734A4F" w:rsidRDefault="00FB3622" w:rsidP="00434A6A">
      <w:pPr>
        <w:pStyle w:val="aa"/>
        <w:numPr>
          <w:ilvl w:val="0"/>
          <w:numId w:val="14"/>
        </w:numPr>
      </w:pPr>
      <w:r w:rsidRPr="00734A4F">
        <w:rPr>
          <w:rFonts w:cs="Arial"/>
          <w:rtl/>
        </w:rPr>
        <w:t xml:space="preserve">רמב"ם </w:t>
      </w:r>
      <w:r w:rsidR="00734A4F" w:rsidRPr="00734A4F">
        <w:rPr>
          <w:rFonts w:cs="Arial" w:hint="cs"/>
          <w:sz w:val="16"/>
          <w:szCs w:val="16"/>
          <w:rtl/>
        </w:rPr>
        <w:t>(</w:t>
      </w:r>
      <w:r w:rsidRPr="00734A4F">
        <w:rPr>
          <w:rFonts w:cs="Arial"/>
          <w:sz w:val="16"/>
          <w:szCs w:val="16"/>
          <w:rtl/>
        </w:rPr>
        <w:t>פכ"ו ה"ב)</w:t>
      </w:r>
      <w:r w:rsidR="00734A4F" w:rsidRPr="00734A4F">
        <w:rPr>
          <w:rFonts w:cs="Arial" w:hint="cs"/>
          <w:rtl/>
        </w:rPr>
        <w:t>-</w:t>
      </w:r>
      <w:r w:rsidRPr="00734A4F">
        <w:rPr>
          <w:rFonts w:cs="Arial"/>
          <w:rtl/>
        </w:rPr>
        <w:t xml:space="preserve"> </w:t>
      </w:r>
      <w:r w:rsidR="00734A4F" w:rsidRPr="00734A4F">
        <w:rPr>
          <w:rFonts w:cs="Arial"/>
          <w:rtl/>
        </w:rPr>
        <w:t>מכבדות של תמרה וכיוצא בהן שמכבדין בהן את הקרקע הרי הן ככלי שמלאכתו להיתר שהרי מותר לכבד בשבת</w:t>
      </w:r>
      <w:r w:rsidR="00A860FD">
        <w:rPr>
          <w:rStyle w:val="a9"/>
          <w:rFonts w:cs="Arial"/>
          <w:rtl/>
        </w:rPr>
        <w:footnoteReference w:id="1753"/>
      </w:r>
      <w:r w:rsidR="00734A4F">
        <w:rPr>
          <w:rFonts w:cs="Arial" w:hint="cs"/>
          <w:rtl/>
        </w:rPr>
        <w:t>.</w:t>
      </w:r>
      <w:r w:rsidR="00734A4F" w:rsidRPr="00734A4F">
        <w:rPr>
          <w:rFonts w:cs="Arial"/>
          <w:rtl/>
        </w:rPr>
        <w:t xml:space="preserve"> </w:t>
      </w:r>
      <w:r w:rsidR="00A860FD" w:rsidRPr="008A292E">
        <w:rPr>
          <w:rFonts w:hint="cs"/>
          <w:color w:val="E36C0A" w:themeColor="accent6" w:themeShade="BF"/>
          <w:rtl/>
        </w:rPr>
        <w:t>(וכ"פ בשו"ע</w:t>
      </w:r>
      <w:r w:rsidR="00A860FD">
        <w:rPr>
          <w:rFonts w:hint="cs"/>
          <w:color w:val="E36C0A" w:themeColor="accent6" w:themeShade="BF"/>
          <w:sz w:val="16"/>
          <w:szCs w:val="16"/>
          <w:rtl/>
        </w:rPr>
        <w:t xml:space="preserve"> </w:t>
      </w:r>
      <w:r w:rsidR="00A860FD" w:rsidRPr="00A860FD">
        <w:rPr>
          <w:rFonts w:hint="cs"/>
          <w:color w:val="000000" w:themeColor="text1"/>
          <w:sz w:val="16"/>
          <w:szCs w:val="16"/>
          <w:rtl/>
        </w:rPr>
        <w:t>[</w:t>
      </w:r>
      <w:r w:rsidR="00A860FD">
        <w:rPr>
          <w:rFonts w:hint="cs"/>
          <w:color w:val="000000" w:themeColor="text1"/>
          <w:sz w:val="16"/>
          <w:szCs w:val="16"/>
          <w:rtl/>
        </w:rPr>
        <w:t>כאן ובסי' שלז ס"ב</w:t>
      </w:r>
      <w:r w:rsidR="00A860FD" w:rsidRPr="00A860FD">
        <w:rPr>
          <w:rFonts w:hint="cs"/>
          <w:color w:val="000000" w:themeColor="text1"/>
          <w:sz w:val="16"/>
          <w:szCs w:val="16"/>
          <w:rtl/>
        </w:rPr>
        <w:t>]</w:t>
      </w:r>
      <w:r w:rsidR="00A860FD" w:rsidRPr="008A292E">
        <w:rPr>
          <w:rFonts w:hint="cs"/>
          <w:color w:val="E36C0A" w:themeColor="accent6" w:themeShade="BF"/>
          <w:rtl/>
        </w:rPr>
        <w:t>)</w:t>
      </w:r>
    </w:p>
    <w:p w14:paraId="2437007E" w14:textId="1EC890F3" w:rsidR="00FB3622" w:rsidRPr="00FB3622" w:rsidRDefault="00FB3622" w:rsidP="00434A6A">
      <w:pPr>
        <w:pStyle w:val="aa"/>
        <w:numPr>
          <w:ilvl w:val="0"/>
          <w:numId w:val="14"/>
        </w:numPr>
        <w:rPr>
          <w:rtl/>
        </w:rPr>
      </w:pPr>
      <w:r w:rsidRPr="00734A4F">
        <w:rPr>
          <w:rFonts w:cs="Arial"/>
          <w:rtl/>
        </w:rPr>
        <w:t xml:space="preserve">תוס' </w:t>
      </w:r>
      <w:r w:rsidR="00734A4F" w:rsidRPr="00A860FD">
        <w:rPr>
          <w:rFonts w:cs="Arial" w:hint="cs"/>
          <w:sz w:val="16"/>
          <w:szCs w:val="16"/>
          <w:rtl/>
        </w:rPr>
        <w:t>(</w:t>
      </w:r>
      <w:r w:rsidRPr="00A860FD">
        <w:rPr>
          <w:rFonts w:cs="Arial"/>
          <w:sz w:val="16"/>
          <w:szCs w:val="16"/>
          <w:rtl/>
        </w:rPr>
        <w:t>שבת צה. ד"ה והאידנא</w:t>
      </w:r>
      <w:r w:rsidR="00A860FD" w:rsidRPr="00A860FD">
        <w:rPr>
          <w:rFonts w:cs="Arial" w:hint="cs"/>
          <w:sz w:val="16"/>
          <w:szCs w:val="16"/>
          <w:rtl/>
        </w:rPr>
        <w:t>)</w:t>
      </w:r>
      <w:r w:rsidR="00734A4F">
        <w:rPr>
          <w:rFonts w:cs="Arial" w:hint="cs"/>
          <w:rtl/>
        </w:rPr>
        <w:t>-</w:t>
      </w:r>
      <w:r w:rsidRPr="00734A4F">
        <w:rPr>
          <w:rFonts w:cs="Arial"/>
          <w:rtl/>
        </w:rPr>
        <w:t xml:space="preserve"> </w:t>
      </w:r>
      <w:r w:rsidR="00734A4F">
        <w:rPr>
          <w:rFonts w:cs="Arial" w:hint="cs"/>
          <w:rtl/>
        </w:rPr>
        <w:t xml:space="preserve">מכיון שאסור </w:t>
      </w:r>
      <w:r w:rsidRPr="00734A4F">
        <w:rPr>
          <w:rFonts w:cs="Arial"/>
          <w:rtl/>
        </w:rPr>
        <w:t>לכבד אפילו קרקע המרוצף פשיטא דהוי מלאכתו לאיסור</w:t>
      </w:r>
      <w:r w:rsidR="00734A4F">
        <w:rPr>
          <w:rFonts w:cs="Arial" w:hint="cs"/>
          <w:sz w:val="16"/>
          <w:szCs w:val="16"/>
          <w:rtl/>
        </w:rPr>
        <w:t xml:space="preserve"> (ע"פ ל' הב"י)</w:t>
      </w:r>
      <w:r w:rsidR="00734A4F" w:rsidRPr="00734A4F">
        <w:rPr>
          <w:rFonts w:cs="Arial" w:hint="cs"/>
          <w:rtl/>
        </w:rPr>
        <w:t>.</w:t>
      </w:r>
    </w:p>
    <w:p w14:paraId="6D1AB085"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33F2DAD9" w14:textId="77777777" w:rsidR="000C6229" w:rsidRPr="005275DF" w:rsidRDefault="000C6229" w:rsidP="00434A6A">
      <w:pPr>
        <w:rPr>
          <w:rFonts w:asciiTheme="minorBidi" w:hAnsiTheme="minorBidi"/>
          <w:rtl/>
        </w:rPr>
      </w:pPr>
      <w:r w:rsidRPr="005275DF">
        <w:rPr>
          <w:rFonts w:asciiTheme="minorBidi" w:hAnsiTheme="minorBidi"/>
          <w:rtl/>
        </w:rPr>
        <w:t xml:space="preserve">מכבדות שמכבדים בהם הקרקע, מותר לטלטלם. </w:t>
      </w:r>
    </w:p>
    <w:p w14:paraId="06C28C7B" w14:textId="77777777" w:rsidR="000C6229" w:rsidRPr="005275DF" w:rsidRDefault="000C6229" w:rsidP="00434A6A">
      <w:pPr>
        <w:rPr>
          <w:rFonts w:asciiTheme="minorBidi" w:hAnsiTheme="minorBidi"/>
          <w:rtl/>
        </w:rPr>
      </w:pPr>
    </w:p>
    <w:p w14:paraId="7093EF65" w14:textId="4B2FD002" w:rsidR="000C6229" w:rsidRDefault="000C6229" w:rsidP="00434A6A">
      <w:pPr>
        <w:pStyle w:val="2"/>
        <w:rPr>
          <w:rtl/>
        </w:rPr>
      </w:pPr>
      <w:r w:rsidRPr="005275DF">
        <w:rPr>
          <w:rtl/>
        </w:rPr>
        <w:t>סעיף נ</w:t>
      </w:r>
      <w:r w:rsidR="00A860FD">
        <w:rPr>
          <w:rFonts w:hint="cs"/>
          <w:rtl/>
        </w:rPr>
        <w:t xml:space="preserve">: </w:t>
      </w:r>
      <w:r w:rsidR="00304AC8">
        <w:rPr>
          <w:rFonts w:hint="cs"/>
          <w:rtl/>
        </w:rPr>
        <w:t xml:space="preserve">כלי של חוכמת התכונה. </w:t>
      </w:r>
    </w:p>
    <w:p w14:paraId="3F90957C" w14:textId="21DA1004" w:rsidR="008E4C94" w:rsidRDefault="00A60B1A" w:rsidP="00434A6A">
      <w:pPr>
        <w:rPr>
          <w:rtl/>
        </w:rPr>
      </w:pPr>
      <w:r w:rsidRPr="00A60B1A">
        <w:rPr>
          <w:rFonts w:cs="Arial" w:hint="cs"/>
          <w:b/>
          <w:bCs/>
          <w:rtl/>
        </w:rPr>
        <w:t>ע</w:t>
      </w:r>
      <w:r>
        <w:rPr>
          <w:rFonts w:cs="Arial" w:hint="cs"/>
          <w:b/>
          <w:bCs/>
          <w:rtl/>
        </w:rPr>
        <w:t>י</w:t>
      </w:r>
      <w:r w:rsidRPr="00A60B1A">
        <w:rPr>
          <w:rFonts w:cs="Arial" w:hint="cs"/>
          <w:b/>
          <w:bCs/>
          <w:rtl/>
        </w:rPr>
        <w:t>רובין</w:t>
      </w:r>
      <w:r>
        <w:rPr>
          <w:rFonts w:cs="Arial" w:hint="cs"/>
          <w:b/>
          <w:bCs/>
          <w:rtl/>
        </w:rPr>
        <w:t xml:space="preserve"> </w:t>
      </w:r>
      <w:r>
        <w:rPr>
          <w:rFonts w:cs="Arial" w:hint="cs"/>
          <w:b/>
          <w:bCs/>
          <w:sz w:val="16"/>
          <w:szCs w:val="16"/>
          <w:rtl/>
        </w:rPr>
        <w:t>(פ' מי שהוציאוהו)</w:t>
      </w:r>
      <w:r w:rsidRPr="00A60B1A">
        <w:rPr>
          <w:rFonts w:cs="Arial" w:hint="cs"/>
          <w:b/>
          <w:bCs/>
          <w:rtl/>
        </w:rPr>
        <w:t xml:space="preserve"> מג ע"ב:</w:t>
      </w:r>
      <w:r>
        <w:rPr>
          <w:rFonts w:cs="Arial" w:hint="cs"/>
          <w:b/>
          <w:bCs/>
          <w:rtl/>
        </w:rPr>
        <w:t xml:space="preserve"> </w:t>
      </w:r>
      <w:r w:rsidRPr="00A60B1A">
        <w:rPr>
          <w:rFonts w:cs="Arial"/>
          <w:rtl/>
        </w:rPr>
        <w:t>תנא: שפופרת</w:t>
      </w:r>
      <w:r>
        <w:rPr>
          <w:rStyle w:val="a9"/>
          <w:rFonts w:cs="Arial"/>
          <w:rtl/>
        </w:rPr>
        <w:footnoteReference w:id="1754"/>
      </w:r>
      <w:r w:rsidRPr="00A60B1A">
        <w:rPr>
          <w:rFonts w:cs="Arial"/>
          <w:rtl/>
        </w:rPr>
        <w:t xml:space="preserve"> היתה לו לרבן גמליאל שהיה מביט וצופה בה אלפים אמה ביבשה, וכנגדה אלפים בים. הרוצה לידע כמה עומקו של גיא מביא שפופרת ומביט בה, וידע כמה עומקו של גיא. והרוצה לידע כמה גובהו של דקל - מודד קומתו וצלו, וצל קומתו, וידע כמה גובה של דקל.</w:t>
      </w:r>
    </w:p>
    <w:p w14:paraId="45A53654" w14:textId="5B780A95" w:rsidR="00304AC8" w:rsidRPr="0050417A" w:rsidRDefault="00304AC8" w:rsidP="00434A6A">
      <w:pPr>
        <w:rPr>
          <w:u w:val="single"/>
          <w:rtl/>
        </w:rPr>
      </w:pPr>
      <w:r w:rsidRPr="0050417A">
        <w:rPr>
          <w:rFonts w:hint="cs"/>
          <w:u w:val="single"/>
          <w:rtl/>
        </w:rPr>
        <w:t xml:space="preserve">טלטול כלי </w:t>
      </w:r>
      <w:r w:rsidR="0050417A" w:rsidRPr="0050417A">
        <w:rPr>
          <w:rFonts w:hint="cs"/>
          <w:u w:val="single"/>
          <w:rtl/>
        </w:rPr>
        <w:t>שחוזים איתו בכוכבים</w:t>
      </w:r>
      <w:r w:rsidR="0050417A">
        <w:rPr>
          <w:rFonts w:hint="cs"/>
          <w:sz w:val="16"/>
          <w:szCs w:val="16"/>
          <w:u w:val="single"/>
          <w:rtl/>
        </w:rPr>
        <w:t xml:space="preserve"> (אצטורלב)</w:t>
      </w:r>
      <w:r w:rsidR="0050417A" w:rsidRPr="0050417A">
        <w:rPr>
          <w:rFonts w:hint="cs"/>
          <w:u w:val="single"/>
          <w:rtl/>
        </w:rPr>
        <w:t>:</w:t>
      </w:r>
    </w:p>
    <w:p w14:paraId="7653F60A" w14:textId="6059A68E" w:rsidR="00FB3622" w:rsidRPr="00304AC8" w:rsidRDefault="00FB3622" w:rsidP="00434A6A">
      <w:pPr>
        <w:pStyle w:val="aa"/>
        <w:numPr>
          <w:ilvl w:val="0"/>
          <w:numId w:val="15"/>
        </w:numPr>
        <w:rPr>
          <w:rFonts w:cs="Arial"/>
          <w:rtl/>
        </w:rPr>
      </w:pPr>
      <w:r w:rsidRPr="008E4C94">
        <w:rPr>
          <w:rFonts w:cs="Arial"/>
          <w:rtl/>
        </w:rPr>
        <w:t xml:space="preserve">רשב"א </w:t>
      </w:r>
      <w:r w:rsidRPr="008E4C94">
        <w:rPr>
          <w:rFonts w:cs="Arial"/>
          <w:sz w:val="16"/>
          <w:szCs w:val="16"/>
          <w:rtl/>
        </w:rPr>
        <w:t>(ח"א סי' תשעב, ח"ד סי' קב</w:t>
      </w:r>
      <w:r w:rsidR="00304AC8">
        <w:rPr>
          <w:rFonts w:cs="Arial" w:hint="cs"/>
          <w:sz w:val="16"/>
          <w:szCs w:val="16"/>
          <w:rtl/>
        </w:rPr>
        <w:t>, והעתיקו האגור סי' תקז</w:t>
      </w:r>
      <w:r w:rsidRPr="008E4C94">
        <w:rPr>
          <w:rFonts w:cs="Arial"/>
          <w:sz w:val="16"/>
          <w:szCs w:val="16"/>
          <w:rtl/>
        </w:rPr>
        <w:t>)</w:t>
      </w:r>
      <w:r w:rsidR="008E4C94">
        <w:rPr>
          <w:rFonts w:cs="Arial" w:hint="cs"/>
          <w:rtl/>
        </w:rPr>
        <w:t xml:space="preserve">- </w:t>
      </w:r>
      <w:r w:rsidR="008E4C94" w:rsidRPr="008E4C94">
        <w:rPr>
          <w:rFonts w:cs="Arial"/>
          <w:rtl/>
        </w:rPr>
        <w:t xml:space="preserve">ומה ששאלת אם מותר להביט באצטורלב בשבת, מדאמרינן בעירובין שפופר' היתה לר"ג והיה מביט בה מתחילת אלפי' לסוף אלפי' </w:t>
      </w:r>
      <w:r w:rsidR="008E4C94">
        <w:rPr>
          <w:rFonts w:cs="Arial" w:hint="cs"/>
          <w:rtl/>
        </w:rPr>
        <w:t xml:space="preserve">- </w:t>
      </w:r>
      <w:r w:rsidR="008E4C94" w:rsidRPr="008E4C94">
        <w:rPr>
          <w:rFonts w:cs="Arial"/>
          <w:rtl/>
        </w:rPr>
        <w:t>מסתברא שמותר. דכלי הוא. וכל כלי ניטל לצורך גופו</w:t>
      </w:r>
      <w:r w:rsidR="00304AC8">
        <w:rPr>
          <w:rFonts w:cs="Arial" w:hint="cs"/>
          <w:rtl/>
        </w:rPr>
        <w:t>,</w:t>
      </w:r>
      <w:r w:rsidR="008E4C94" w:rsidRPr="008E4C94">
        <w:rPr>
          <w:rFonts w:cs="Arial"/>
          <w:rtl/>
        </w:rPr>
        <w:t xml:space="preserve"> ואפי' כל שמלאכ</w:t>
      </w:r>
      <w:r w:rsidR="00304AC8">
        <w:rPr>
          <w:rFonts w:cs="Arial" w:hint="cs"/>
          <w:rtl/>
        </w:rPr>
        <w:t>תו</w:t>
      </w:r>
      <w:r w:rsidR="008E4C94" w:rsidRPr="008E4C94">
        <w:rPr>
          <w:rFonts w:cs="Arial"/>
          <w:rtl/>
        </w:rPr>
        <w:t xml:space="preserve"> לאיסור. וכ"ש זה שאינו אלא כאחד מספרי החכמה</w:t>
      </w:r>
      <w:r w:rsidR="00304AC8">
        <w:rPr>
          <w:rStyle w:val="a9"/>
          <w:rFonts w:cs="Arial"/>
          <w:rtl/>
        </w:rPr>
        <w:footnoteReference w:id="1755"/>
      </w:r>
      <w:r w:rsidR="008E4C94" w:rsidRPr="008E4C94">
        <w:rPr>
          <w:rFonts w:cs="Arial"/>
          <w:rtl/>
        </w:rPr>
        <w:t>. דמה הפרש בין כתוב ורשום בלוחות נחושת בעט ברזל לכתוב בספר. ואי משום גזרת סלוק הלוחות וחזרתן מאן לימא לן שיהא אסור, ומאי שנא ממטה גלגלניתא (שבת מז</w:t>
      </w:r>
      <w:r w:rsidR="008E4C94">
        <w:rPr>
          <w:rFonts w:cs="Arial" w:hint="cs"/>
          <w:rtl/>
        </w:rPr>
        <w:t>:</w:t>
      </w:r>
      <w:r w:rsidR="008E4C94" w:rsidRPr="008E4C94">
        <w:rPr>
          <w:rFonts w:cs="Arial"/>
          <w:rtl/>
        </w:rPr>
        <w:t>) דשרא רב חמא ורבא בריה ברפוי. דקי"ל כרשב"ג דאמר במלבנות המטה וסופי המטה ולוחין אם היה רפוי מותר. ואי משום בונה הא קי"ל כב"ה דאמרי אין בנין בכלים ואין סתירה בכלים כדאיתא בביצה פ' י</w:t>
      </w:r>
      <w:r w:rsidR="008E4C94">
        <w:rPr>
          <w:rFonts w:cs="Arial" w:hint="cs"/>
          <w:rtl/>
        </w:rPr>
        <w:t>ו"</w:t>
      </w:r>
      <w:r w:rsidR="008E4C94" w:rsidRPr="008E4C94">
        <w:rPr>
          <w:rFonts w:cs="Arial"/>
          <w:rtl/>
        </w:rPr>
        <w:t>ט שחל להיות בשבת. וכ"ש שאם מתוקן ועומד שאין לחוש ברפוי שמא יפרק ויחזיר. כמו שאין חוששין למטה גלגלניתא. ואפי' למאן דאסר משום חשש דשמא יפרק ויחזיר. ומנרתא דחליות דאסרו בשלהי פרק כירה (מו</w:t>
      </w:r>
      <w:r w:rsidR="008E4C94">
        <w:rPr>
          <w:rFonts w:cs="Arial" w:hint="cs"/>
          <w:rtl/>
        </w:rPr>
        <w:t>.</w:t>
      </w:r>
      <w:r w:rsidR="008E4C94" w:rsidRPr="008E4C94">
        <w:rPr>
          <w:rFonts w:cs="Arial"/>
          <w:rtl/>
        </w:rPr>
        <w:t xml:space="preserve">) אפי' לטלטלה ההיא ברפויה ואינה רפויה. וכבר נתחבטו בה כל הראשונים ומחו לה מאה עוכלי בעוכלא. והר' אלפסי ז"ל לא הביאה בהלכות לומר דאתייא כמ"ד יש בנין כלים וב"ש היא. ולית הלכתא כוותיה. </w:t>
      </w:r>
      <w:r w:rsidR="00C906EA" w:rsidRPr="00C906EA">
        <w:rPr>
          <w:rFonts w:cs="Arial" w:hint="cs"/>
          <w:color w:val="E36C0A" w:themeColor="accent6" w:themeShade="BF"/>
          <w:rtl/>
        </w:rPr>
        <w:t>(וכ"ס בשו"ע)</w:t>
      </w:r>
    </w:p>
    <w:p w14:paraId="0E12E3AF"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05B56268" w14:textId="0B55FF26" w:rsidR="000C6229" w:rsidRPr="005275DF" w:rsidRDefault="000C6229" w:rsidP="00434A6A">
      <w:pPr>
        <w:rPr>
          <w:rFonts w:asciiTheme="minorBidi" w:hAnsiTheme="minorBidi"/>
          <w:rtl/>
        </w:rPr>
      </w:pPr>
      <w:r w:rsidRPr="005275DF">
        <w:rPr>
          <w:rFonts w:asciiTheme="minorBidi" w:hAnsiTheme="minorBidi"/>
          <w:rtl/>
        </w:rPr>
        <w:t>הרשב"א מתיר לטלטל האצטרלו"ב בשבת, וכן ספרי החכמות</w:t>
      </w:r>
      <w:r w:rsidR="008E4C94">
        <w:rPr>
          <w:rFonts w:asciiTheme="minorBidi" w:hAnsiTheme="minorBidi" w:hint="cs"/>
          <w:rtl/>
        </w:rPr>
        <w:t>.</w:t>
      </w:r>
      <w:r w:rsidRPr="005275DF">
        <w:rPr>
          <w:rFonts w:asciiTheme="minorBidi" w:hAnsiTheme="minorBidi"/>
          <w:rtl/>
        </w:rPr>
        <w:t xml:space="preserve"> ולדעת הרמב"ם</w:t>
      </w:r>
      <w:r w:rsidR="00B13CD2">
        <w:rPr>
          <w:rStyle w:val="a9"/>
          <w:rFonts w:asciiTheme="minorBidi" w:hAnsiTheme="minorBidi"/>
          <w:rtl/>
        </w:rPr>
        <w:footnoteReference w:id="1756"/>
      </w:r>
      <w:r w:rsidRPr="005275DF">
        <w:rPr>
          <w:rFonts w:asciiTheme="minorBidi" w:hAnsiTheme="minorBidi"/>
          <w:rtl/>
        </w:rPr>
        <w:t xml:space="preserve"> יש להסתפק בדבר. </w:t>
      </w:r>
    </w:p>
    <w:p w14:paraId="1A8CDB3E" w14:textId="77777777" w:rsidR="000C6229" w:rsidRPr="005275DF" w:rsidRDefault="000C6229" w:rsidP="00434A6A">
      <w:pPr>
        <w:rPr>
          <w:rFonts w:asciiTheme="minorBidi" w:hAnsiTheme="minorBidi"/>
          <w:rtl/>
        </w:rPr>
      </w:pPr>
    </w:p>
    <w:p w14:paraId="28C39A7D" w14:textId="5F04368A" w:rsidR="000C6229" w:rsidRDefault="000C6229" w:rsidP="00434A6A">
      <w:pPr>
        <w:pStyle w:val="2"/>
        <w:rPr>
          <w:rtl/>
        </w:rPr>
      </w:pPr>
      <w:r w:rsidRPr="005275DF">
        <w:rPr>
          <w:rtl/>
        </w:rPr>
        <w:t>סעיף נא</w:t>
      </w:r>
      <w:r w:rsidR="00A860FD">
        <w:rPr>
          <w:rFonts w:hint="cs"/>
          <w:rtl/>
        </w:rPr>
        <w:t>: שעון.</w:t>
      </w:r>
    </w:p>
    <w:p w14:paraId="485EA334" w14:textId="75785C63" w:rsidR="008E4C94" w:rsidRPr="008E4C94" w:rsidRDefault="00767965" w:rsidP="00434A6A">
      <w:pPr>
        <w:rPr>
          <w:rtl/>
        </w:rPr>
      </w:pPr>
      <w:r>
        <w:rPr>
          <w:rFonts w:cs="Arial" w:hint="cs"/>
          <w:b/>
          <w:bCs/>
          <w:rtl/>
        </w:rPr>
        <w:t>תנחומא פרשת בא סימן</w:t>
      </w:r>
      <w:r w:rsidR="00B13CD2" w:rsidRPr="00B13CD2">
        <w:rPr>
          <w:rFonts w:cs="Arial" w:hint="cs"/>
          <w:b/>
          <w:bCs/>
          <w:rtl/>
        </w:rPr>
        <w:t xml:space="preserve"> </w:t>
      </w:r>
      <w:r w:rsidR="008E4C94" w:rsidRPr="00B13CD2">
        <w:rPr>
          <w:rFonts w:cs="Arial"/>
          <w:b/>
          <w:bCs/>
          <w:rtl/>
        </w:rPr>
        <w:t>יב</w:t>
      </w:r>
      <w:r w:rsidR="00B13CD2" w:rsidRPr="00B13CD2">
        <w:rPr>
          <w:rFonts w:cs="Arial" w:hint="cs"/>
          <w:b/>
          <w:bCs/>
          <w:rtl/>
        </w:rPr>
        <w:t>:</w:t>
      </w:r>
      <w:r w:rsidR="008E4C94" w:rsidRPr="008E4C94">
        <w:rPr>
          <w:rFonts w:cs="Arial"/>
          <w:rtl/>
        </w:rPr>
        <w:t xml:space="preserve"> ד"א החדש הזה. ר' יהושע בן לוי אמר למה הדבר דומה למלך שהיה לו, אורלוגין והיה מביט בה, והיה יודע איזו שעה של יום, לא עשה אלא כוון שעמד בנו על פרקו, אמר לו בני עד עכשיו אורלוגין זה היה בידי, מעכשיו מסור הוא לך, כך הקדוש ברוך הוא היה מקדש חדשים ומעבר שנים, כיון שעמדו ישראל, אמר להם עד עכשיו חשבונן של חדשים ושל שנים בידי מכאן ואילך הרי הן מסורין לכם, שנאמר החודש הזה לכם.</w:t>
      </w:r>
    </w:p>
    <w:p w14:paraId="4E4857D7" w14:textId="6BFAF78F" w:rsidR="008E4C94" w:rsidRPr="00B13CD2" w:rsidRDefault="00B13CD2" w:rsidP="00434A6A">
      <w:pPr>
        <w:rPr>
          <w:u w:val="single"/>
          <w:rtl/>
        </w:rPr>
      </w:pPr>
      <w:r w:rsidRPr="00B13CD2">
        <w:rPr>
          <w:rFonts w:hint="cs"/>
          <w:u w:val="single"/>
          <w:rtl/>
        </w:rPr>
        <w:t>טלטול שעו</w:t>
      </w:r>
      <w:r>
        <w:rPr>
          <w:rFonts w:hint="cs"/>
          <w:u w:val="single"/>
          <w:rtl/>
        </w:rPr>
        <w:t>ן</w:t>
      </w:r>
      <w:r w:rsidRPr="00B13CD2">
        <w:rPr>
          <w:rFonts w:hint="cs"/>
          <w:u w:val="single"/>
          <w:rtl/>
        </w:rPr>
        <w:t>:</w:t>
      </w:r>
    </w:p>
    <w:p w14:paraId="439FB839" w14:textId="42045753" w:rsidR="006E1657" w:rsidRDefault="00FB3622" w:rsidP="00434A6A">
      <w:pPr>
        <w:pStyle w:val="aa"/>
        <w:numPr>
          <w:ilvl w:val="0"/>
          <w:numId w:val="15"/>
        </w:numPr>
      </w:pPr>
      <w:r w:rsidRPr="00B13CD2">
        <w:rPr>
          <w:rFonts w:cs="Arial"/>
          <w:rtl/>
        </w:rPr>
        <w:t xml:space="preserve">מהרי"ל </w:t>
      </w:r>
      <w:r w:rsidRPr="00B13CD2">
        <w:rPr>
          <w:rFonts w:cs="Arial"/>
          <w:sz w:val="16"/>
          <w:szCs w:val="16"/>
          <w:rtl/>
        </w:rPr>
        <w:t>(סי' ר</w:t>
      </w:r>
      <w:r w:rsidR="00767965">
        <w:rPr>
          <w:rFonts w:cs="Arial" w:hint="cs"/>
          <w:sz w:val="16"/>
          <w:szCs w:val="16"/>
          <w:rtl/>
        </w:rPr>
        <w:t xml:space="preserve"> אות ב</w:t>
      </w:r>
      <w:r w:rsidRPr="00B13CD2">
        <w:rPr>
          <w:rFonts w:cs="Arial"/>
          <w:sz w:val="16"/>
          <w:szCs w:val="16"/>
          <w:rtl/>
        </w:rPr>
        <w:t>)</w:t>
      </w:r>
      <w:r w:rsidR="00B13CD2" w:rsidRPr="00B13CD2">
        <w:rPr>
          <w:rFonts w:cs="Arial" w:hint="cs"/>
          <w:rtl/>
        </w:rPr>
        <w:t>-</w:t>
      </w:r>
      <w:r w:rsidRPr="00B13CD2">
        <w:rPr>
          <w:rFonts w:cs="Arial"/>
          <w:rtl/>
        </w:rPr>
        <w:t xml:space="preserve"> </w:t>
      </w:r>
      <w:r w:rsidR="00B44685" w:rsidRPr="00B44685">
        <w:rPr>
          <w:rFonts w:cs="Arial"/>
          <w:rtl/>
        </w:rPr>
        <w:t>אי שרי לטלטל שעות של חול בשבת ללמוד על ידיה</w:t>
      </w:r>
      <w:r w:rsidR="00B44685">
        <w:rPr>
          <w:rStyle w:val="a9"/>
          <w:rFonts w:cs="Arial"/>
          <w:rtl/>
        </w:rPr>
        <w:footnoteReference w:id="1757"/>
      </w:r>
      <w:r w:rsidR="00B44685">
        <w:rPr>
          <w:rFonts w:cs="Arial" w:hint="cs"/>
          <w:rtl/>
        </w:rPr>
        <w:t>...</w:t>
      </w:r>
      <w:r w:rsidR="00B44685" w:rsidRPr="00B44685">
        <w:rPr>
          <w:rFonts w:cs="Arial"/>
          <w:rtl/>
        </w:rPr>
        <w:t xml:space="preserve"> </w:t>
      </w:r>
      <w:r w:rsidRPr="00B13CD2">
        <w:rPr>
          <w:rFonts w:cs="Arial"/>
          <w:rtl/>
        </w:rPr>
        <w:t>טלטול השעות שמעתי כבר שנשאו ונתנו בדבר לפני מה"ר וייפ"ש ז"ל ולא מצאו איסור ברור</w:t>
      </w:r>
      <w:r w:rsidR="00B13CD2">
        <w:rPr>
          <w:rFonts w:cs="Arial" w:hint="cs"/>
          <w:rtl/>
        </w:rPr>
        <w:t>,</w:t>
      </w:r>
      <w:r w:rsidRPr="00B13CD2">
        <w:rPr>
          <w:rFonts w:cs="Arial"/>
          <w:rtl/>
        </w:rPr>
        <w:t xml:space="preserve"> ואפילו הכי היתר ברור לא אמר בה לפי שנתפשט האיסור</w:t>
      </w:r>
      <w:r w:rsidR="00B13CD2">
        <w:rPr>
          <w:rFonts w:cs="Arial" w:hint="cs"/>
          <w:rtl/>
        </w:rPr>
        <w:t>.</w:t>
      </w:r>
      <w:r w:rsidRPr="00B13CD2">
        <w:rPr>
          <w:rFonts w:cs="Arial"/>
          <w:rtl/>
        </w:rPr>
        <w:t xml:space="preserve"> ויש לומר דהוי כלי שמלאכתו לאיסור דלמדידה נעשה</w:t>
      </w:r>
      <w:r w:rsidR="00B13CD2">
        <w:rPr>
          <w:rFonts w:cs="Arial" w:hint="cs"/>
          <w:rtl/>
        </w:rPr>
        <w:t>.</w:t>
      </w:r>
      <w:r w:rsidRPr="00B13CD2">
        <w:rPr>
          <w:rFonts w:cs="Arial"/>
          <w:rtl/>
        </w:rPr>
        <w:t xml:space="preserve"> ואע</w:t>
      </w:r>
      <w:r w:rsidR="00B13CD2">
        <w:rPr>
          <w:rFonts w:cs="Arial" w:hint="cs"/>
          <w:rtl/>
        </w:rPr>
        <w:t>"</w:t>
      </w:r>
      <w:r w:rsidRPr="00B13CD2">
        <w:rPr>
          <w:rFonts w:cs="Arial"/>
          <w:rtl/>
        </w:rPr>
        <w:t>ג דלמצוה שרי מדידה (שבת קנז.)</w:t>
      </w:r>
      <w:r w:rsidR="00B13CD2">
        <w:rPr>
          <w:rFonts w:cs="Arial" w:hint="cs"/>
          <w:rtl/>
        </w:rPr>
        <w:t>,</w:t>
      </w:r>
      <w:r w:rsidRPr="00B13CD2">
        <w:rPr>
          <w:rFonts w:cs="Arial"/>
          <w:rtl/>
        </w:rPr>
        <w:t xml:space="preserve"> מאן לימא לן דהא חשיב מדידה של מצוה</w:t>
      </w:r>
      <w:r w:rsidR="00B13CD2">
        <w:rPr>
          <w:rFonts w:cs="Arial" w:hint="cs"/>
          <w:rtl/>
        </w:rPr>
        <w:t>,</w:t>
      </w:r>
      <w:r w:rsidRPr="00B13CD2">
        <w:rPr>
          <w:rFonts w:cs="Arial"/>
          <w:rtl/>
        </w:rPr>
        <w:t xml:space="preserve"> דאי משום שלומד על ידו</w:t>
      </w:r>
      <w:r w:rsidR="00B13CD2">
        <w:rPr>
          <w:rFonts w:cs="Arial" w:hint="cs"/>
          <w:rtl/>
        </w:rPr>
        <w:t>,</w:t>
      </w:r>
      <w:r w:rsidRPr="00B13CD2">
        <w:rPr>
          <w:rFonts w:cs="Arial"/>
          <w:rtl/>
        </w:rPr>
        <w:t xml:space="preserve"> אם כן יתלה לימודו משום איסור ויהא שרי וחלילה</w:t>
      </w:r>
      <w:r w:rsidR="00767965">
        <w:rPr>
          <w:rFonts w:cs="Arial" w:hint="cs"/>
          <w:rtl/>
        </w:rPr>
        <w:t>.</w:t>
      </w:r>
      <w:r w:rsidRPr="00B13CD2">
        <w:rPr>
          <w:rFonts w:cs="Arial"/>
          <w:rtl/>
        </w:rPr>
        <w:t xml:space="preserve"> ואע</w:t>
      </w:r>
      <w:r w:rsidR="00767965">
        <w:rPr>
          <w:rFonts w:cs="Arial" w:hint="cs"/>
          <w:rtl/>
        </w:rPr>
        <w:t>"</w:t>
      </w:r>
      <w:r w:rsidRPr="00B13CD2">
        <w:rPr>
          <w:rFonts w:cs="Arial"/>
          <w:rtl/>
        </w:rPr>
        <w:t>ג דלאו מדידה גמורה היא מדידת הזמן מכל מקום יש לדמותה</w:t>
      </w:r>
      <w:r w:rsidR="00767965">
        <w:rPr>
          <w:rFonts w:cs="Arial" w:hint="cs"/>
          <w:rtl/>
        </w:rPr>
        <w:t>.</w:t>
      </w:r>
      <w:r w:rsidRPr="00B13CD2">
        <w:rPr>
          <w:rFonts w:cs="Arial"/>
          <w:rtl/>
        </w:rPr>
        <w:t xml:space="preserve"> ואחרי אשר גדול הדור גמגם בו</w:t>
      </w:r>
      <w:r w:rsidR="00767965">
        <w:rPr>
          <w:rFonts w:cs="Arial" w:hint="cs"/>
          <w:rtl/>
        </w:rPr>
        <w:t>,</w:t>
      </w:r>
      <w:r w:rsidRPr="00B13CD2">
        <w:rPr>
          <w:rFonts w:cs="Arial"/>
          <w:rtl/>
        </w:rPr>
        <w:t xml:space="preserve"> מי יבוא אחרי המלך אשר כבר עשהו</w:t>
      </w:r>
      <w:r w:rsidR="00767965">
        <w:rPr>
          <w:rFonts w:cs="Arial" w:hint="cs"/>
          <w:rtl/>
        </w:rPr>
        <w:t>.</w:t>
      </w:r>
      <w:r w:rsidRPr="00B13CD2">
        <w:rPr>
          <w:rFonts w:cs="Arial"/>
          <w:rtl/>
        </w:rPr>
        <w:t xml:space="preserve"> ומה ששמעתי על של חול</w:t>
      </w:r>
      <w:r w:rsidR="00767965">
        <w:rPr>
          <w:rFonts w:cs="Arial" w:hint="cs"/>
          <w:rtl/>
        </w:rPr>
        <w:t>,</w:t>
      </w:r>
      <w:r w:rsidRPr="00B13CD2">
        <w:rPr>
          <w:rFonts w:cs="Arial"/>
          <w:rtl/>
        </w:rPr>
        <w:t xml:space="preserve"> ואדוני כתב חוליות</w:t>
      </w:r>
      <w:r w:rsidR="00767965">
        <w:rPr>
          <w:rFonts w:cs="Arial" w:hint="cs"/>
          <w:rtl/>
        </w:rPr>
        <w:t>,</w:t>
      </w:r>
      <w:r w:rsidRPr="00B13CD2">
        <w:rPr>
          <w:rFonts w:cs="Arial"/>
          <w:rtl/>
        </w:rPr>
        <w:t xml:space="preserve"> ואיני יודע אם רצה לומר שמראות בצל על ידי החוליות</w:t>
      </w:r>
      <w:r w:rsidR="00767965">
        <w:rPr>
          <w:rFonts w:cs="Arial" w:hint="cs"/>
          <w:rtl/>
        </w:rPr>
        <w:t>.</w:t>
      </w:r>
      <w:r w:rsidRPr="00B13CD2">
        <w:rPr>
          <w:rFonts w:cs="Arial"/>
          <w:rtl/>
        </w:rPr>
        <w:t xml:space="preserve"> ומכל מקום מנא ליה לחלק</w:t>
      </w:r>
      <w:r w:rsidR="00767965">
        <w:rPr>
          <w:rFonts w:cs="Arial" w:hint="cs"/>
          <w:rtl/>
        </w:rPr>
        <w:t>,</w:t>
      </w:r>
      <w:r w:rsidRPr="00B13CD2">
        <w:rPr>
          <w:rFonts w:cs="Arial"/>
          <w:rtl/>
        </w:rPr>
        <w:t xml:space="preserve"> ואפשר דגרע טפי דמודד הצל ממש</w:t>
      </w:r>
      <w:r w:rsidR="00767965">
        <w:rPr>
          <w:rFonts w:cs="Arial" w:hint="cs"/>
          <w:rtl/>
        </w:rPr>
        <w:t>.</w:t>
      </w:r>
      <w:r w:rsidRPr="00B13CD2">
        <w:rPr>
          <w:rFonts w:cs="Arial"/>
          <w:rtl/>
        </w:rPr>
        <w:t xml:space="preserve"> </w:t>
      </w:r>
    </w:p>
    <w:p w14:paraId="3B96D0C3" w14:textId="0EA72CA0" w:rsidR="00B44685" w:rsidRPr="00B44685" w:rsidRDefault="00B44685" w:rsidP="00434A6A">
      <w:pPr>
        <w:ind w:left="360"/>
        <w:rPr>
          <w:u w:val="dotted"/>
        </w:rPr>
      </w:pPr>
      <w:r w:rsidRPr="00B44685">
        <w:rPr>
          <w:rFonts w:hint="cs"/>
          <w:u w:val="dotted"/>
          <w:rtl/>
        </w:rPr>
        <w:t xml:space="preserve">ומה הדין בשעון </w:t>
      </w:r>
      <w:r w:rsidR="00CB7CEA">
        <w:rPr>
          <w:rFonts w:hint="cs"/>
          <w:u w:val="dotted"/>
          <w:rtl/>
        </w:rPr>
        <w:t>שנטען ע"י משיכת קפיץ</w:t>
      </w:r>
      <w:r w:rsidRPr="00B44685">
        <w:rPr>
          <w:rFonts w:hint="cs"/>
          <w:u w:val="dotted"/>
          <w:rtl/>
        </w:rPr>
        <w:t>:</w:t>
      </w:r>
    </w:p>
    <w:p w14:paraId="49BE02B0" w14:textId="38F9FA97" w:rsidR="00B44685" w:rsidRPr="006E1657" w:rsidRDefault="00B44685" w:rsidP="00434A6A">
      <w:pPr>
        <w:pStyle w:val="aa"/>
        <w:numPr>
          <w:ilvl w:val="0"/>
          <w:numId w:val="15"/>
        </w:numPr>
      </w:pPr>
      <w:r>
        <w:rPr>
          <w:rFonts w:cs="Arial" w:hint="cs"/>
          <w:rtl/>
        </w:rPr>
        <w:t xml:space="preserve">פנמ"א </w:t>
      </w:r>
      <w:r>
        <w:rPr>
          <w:rFonts w:cs="Arial" w:hint="cs"/>
          <w:sz w:val="16"/>
          <w:szCs w:val="16"/>
          <w:rtl/>
        </w:rPr>
        <w:t>(ח"סב סי' קכג)</w:t>
      </w:r>
      <w:r>
        <w:rPr>
          <w:rFonts w:cs="Arial" w:hint="cs"/>
          <w:rtl/>
        </w:rPr>
        <w:t xml:space="preserve">- </w:t>
      </w:r>
      <w:r>
        <w:rPr>
          <w:rFonts w:cs="Arial" w:hint="cs"/>
          <w:sz w:val="16"/>
          <w:szCs w:val="16"/>
          <w:rtl/>
        </w:rPr>
        <w:t xml:space="preserve">{אחרי שהביא את תשו' מהרי"ל הנ"ל כתב-} </w:t>
      </w:r>
      <w:r w:rsidRPr="00B44685">
        <w:rPr>
          <w:rFonts w:cs="Arial"/>
          <w:rtl/>
        </w:rPr>
        <w:t>הרי להדיא שהם לא פיקפקו אלא על מדידות החול או מדידות הצל אבל האוהר"ן שלנו אין להם מדידות החול ולא מדידות הצל אלא שהוא משער הזמן</w:t>
      </w:r>
      <w:r>
        <w:rPr>
          <w:rFonts w:cs="Arial" w:hint="cs"/>
          <w:rtl/>
        </w:rPr>
        <w:t>,</w:t>
      </w:r>
      <w:r w:rsidRPr="00B44685">
        <w:rPr>
          <w:rFonts w:cs="Arial"/>
          <w:rtl/>
        </w:rPr>
        <w:t xml:space="preserve"> ולדעתי אין איסור אפילו בשבת למשוך ע"י האופן השלשלת הקטן ואח"כ הולך השלשלת לאט לאט וע"י תחבולה זו הולכים האופנים ומראים השעות לא ידעתי שום איסור מזה מידי דהוי אמטה רפוי' דמותר להדקה וכן כוס של פרקי' כיון שאין דרך להדקן מותר להחזירו ק"ו למשוך השלשלת זו שמתחילה עשוים לכך שלא תעמוד על מקומה אלא יורדת בהו בהדרגה מעט מעט וע"י תחבולה זו מגלגלים הגלגלים ומראים השעות אין איסור בזה וא"כ אין הכלי זה מלאכתו לאיסור ותכשיט גדול הוא שמשתמשים בו גדולים ושרים נכבדים ואין זה דומה למדידות החול ולמדידות הצל. ואין לומר כיון שמשער השעה זה הוי כמו מדידה</w:t>
      </w:r>
      <w:r w:rsidR="00CB7CEA">
        <w:rPr>
          <w:rFonts w:cs="Arial" w:hint="cs"/>
          <w:rtl/>
        </w:rPr>
        <w:t>...</w:t>
      </w:r>
      <w:r w:rsidRPr="00B44685">
        <w:rPr>
          <w:rFonts w:cs="Arial"/>
          <w:rtl/>
        </w:rPr>
        <w:t xml:space="preserve"> ועכ"פ הדרן למילתא קמייתא שאין כאן בית מיחוש לטלטל הני אוהר"ן ולדעתי היתר גמור למשכו ע"י הגלגלים אף בשבת דעדיף מכוס של פרקים שאינו עשוי להדק וחקרתי ושמעתי שמחותני הגאון חכם צבי נשא אצלו אוהר"ן של כסף וכן העידה אשת בני בת הגאון ובת אוריין היא וכן העידו בשם הגאון מ' נפתלי כ"ץ ז"ל וכן העידו שזקן ויושב בישיבה הי' הגאון מ' שמואל ר' חיים ישעי' אב"ד מפ"פ שהתיר דבר זה וכתב תשובה ארוכה על זה בכן יש לנו על מי לסמוך והמיקל לא הפסיד</w:t>
      </w:r>
      <w:r w:rsidR="00CB7CEA">
        <w:rPr>
          <w:rFonts w:cs="Arial" w:hint="cs"/>
          <w:rtl/>
        </w:rPr>
        <w:t>,</w:t>
      </w:r>
      <w:r w:rsidRPr="00B44685">
        <w:rPr>
          <w:rFonts w:cs="Arial"/>
          <w:rtl/>
        </w:rPr>
        <w:t xml:space="preserve"> אם לא במקום הנהוג איסור ע"פ חכמים הוי כדברים המותרים ואחרים נהגו בו איסור אי אתה רשאי להתיר בפניהם הנלפע"ד כתבתי.</w:t>
      </w:r>
    </w:p>
    <w:p w14:paraId="72F9B631"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70CF612C" w14:textId="008689EB" w:rsidR="000C6229" w:rsidRPr="005275DF" w:rsidRDefault="000C6229" w:rsidP="00434A6A">
      <w:pPr>
        <w:rPr>
          <w:rFonts w:asciiTheme="minorBidi" w:hAnsiTheme="minorBidi"/>
          <w:rtl/>
        </w:rPr>
      </w:pPr>
      <w:r w:rsidRPr="005275DF">
        <w:rPr>
          <w:rFonts w:asciiTheme="minorBidi" w:hAnsiTheme="minorBidi"/>
          <w:rtl/>
        </w:rPr>
        <w:t>מה שמורה על השעות שקורין רילוז"ו, בין שהוא של חול</w:t>
      </w:r>
      <w:r w:rsidR="006B1538">
        <w:rPr>
          <w:rStyle w:val="a9"/>
          <w:rFonts w:asciiTheme="minorBidi" w:hAnsiTheme="minorBidi"/>
          <w:rtl/>
        </w:rPr>
        <w:footnoteReference w:id="1758"/>
      </w:r>
      <w:r w:rsidRPr="005275DF">
        <w:rPr>
          <w:rFonts w:asciiTheme="minorBidi" w:hAnsiTheme="minorBidi"/>
          <w:rtl/>
        </w:rPr>
        <w:t xml:space="preserve"> בין שהוא של מין אחר</w:t>
      </w:r>
      <w:r w:rsidR="006B1538">
        <w:rPr>
          <w:rStyle w:val="a9"/>
          <w:rFonts w:asciiTheme="minorBidi" w:hAnsiTheme="minorBidi"/>
          <w:rtl/>
        </w:rPr>
        <w:footnoteReference w:id="1759"/>
      </w:r>
      <w:r w:rsidRPr="005275DF">
        <w:rPr>
          <w:rFonts w:asciiTheme="minorBidi" w:hAnsiTheme="minorBidi"/>
          <w:rtl/>
        </w:rPr>
        <w:t>, יש להסתפק</w:t>
      </w:r>
      <w:r w:rsidR="00990A86">
        <w:rPr>
          <w:rStyle w:val="a9"/>
          <w:rFonts w:asciiTheme="minorBidi" w:hAnsiTheme="minorBidi"/>
          <w:rtl/>
        </w:rPr>
        <w:footnoteReference w:id="1760"/>
      </w:r>
      <w:r w:rsidRPr="005275DF">
        <w:rPr>
          <w:rFonts w:asciiTheme="minorBidi" w:hAnsiTheme="minorBidi"/>
          <w:rtl/>
        </w:rPr>
        <w:t xml:space="preserve"> אם מותר לטלטלו</w:t>
      </w:r>
      <w:r w:rsidR="00B13CD2">
        <w:rPr>
          <w:rFonts w:asciiTheme="minorBidi" w:hAnsiTheme="minorBidi" w:hint="cs"/>
          <w:rtl/>
        </w:rPr>
        <w:t>.</w:t>
      </w:r>
      <w:r w:rsidRPr="005275DF">
        <w:rPr>
          <w:rFonts w:asciiTheme="minorBidi" w:hAnsiTheme="minorBidi"/>
          <w:rtl/>
        </w:rPr>
        <w:t xml:space="preserve"> </w:t>
      </w:r>
      <w:r w:rsidR="00B13CD2" w:rsidRPr="00B13CD2">
        <w:rPr>
          <w:rFonts w:asciiTheme="minorBidi" w:hAnsiTheme="minorBidi" w:hint="cs"/>
          <w:sz w:val="18"/>
          <w:szCs w:val="18"/>
          <w:rtl/>
        </w:rPr>
        <w:t xml:space="preserve">[הגה] </w:t>
      </w:r>
      <w:r w:rsidRPr="00B13CD2">
        <w:rPr>
          <w:rFonts w:asciiTheme="minorBidi" w:hAnsiTheme="minorBidi"/>
          <w:sz w:val="18"/>
          <w:szCs w:val="18"/>
          <w:rtl/>
        </w:rPr>
        <w:t>וכבר פשט המנהג לאסור</w:t>
      </w:r>
      <w:r w:rsidR="00990A86">
        <w:rPr>
          <w:rStyle w:val="a9"/>
          <w:rFonts w:asciiTheme="minorBidi" w:hAnsiTheme="minorBidi"/>
          <w:sz w:val="18"/>
          <w:szCs w:val="18"/>
          <w:rtl/>
        </w:rPr>
        <w:footnoteReference w:id="1761"/>
      </w:r>
      <w:r w:rsidRPr="00B13CD2">
        <w:rPr>
          <w:rFonts w:asciiTheme="minorBidi" w:hAnsiTheme="minorBidi"/>
          <w:sz w:val="18"/>
          <w:szCs w:val="18"/>
          <w:rtl/>
        </w:rPr>
        <w:t>.</w:t>
      </w:r>
      <w:r w:rsidRPr="005275DF">
        <w:rPr>
          <w:rFonts w:asciiTheme="minorBidi" w:hAnsiTheme="minorBidi"/>
          <w:rtl/>
        </w:rPr>
        <w:t xml:space="preserve"> </w:t>
      </w:r>
    </w:p>
    <w:p w14:paraId="5ECFBA10" w14:textId="77777777" w:rsidR="000C6229" w:rsidRPr="005275DF" w:rsidRDefault="000C6229" w:rsidP="00434A6A">
      <w:pPr>
        <w:rPr>
          <w:rFonts w:asciiTheme="minorBidi" w:hAnsiTheme="minorBidi"/>
          <w:rtl/>
        </w:rPr>
      </w:pPr>
    </w:p>
    <w:p w14:paraId="6221D300" w14:textId="0BD6F1A0" w:rsidR="000C6229" w:rsidRDefault="000C6229" w:rsidP="00434A6A">
      <w:pPr>
        <w:pStyle w:val="2"/>
        <w:rPr>
          <w:rtl/>
        </w:rPr>
      </w:pPr>
      <w:r w:rsidRPr="005275DF">
        <w:rPr>
          <w:rtl/>
        </w:rPr>
        <w:t>סעיף נב</w:t>
      </w:r>
      <w:r w:rsidR="00B13CD2">
        <w:rPr>
          <w:rFonts w:hint="cs"/>
          <w:rtl/>
        </w:rPr>
        <w:t>: מוקצה לעשירים</w:t>
      </w:r>
      <w:r w:rsidR="00C7115D">
        <w:rPr>
          <w:rFonts w:hint="cs"/>
          <w:rtl/>
        </w:rPr>
        <w:t xml:space="preserve"> הוי מוקצה לעניים</w:t>
      </w:r>
      <w:r w:rsidR="00B13CD2">
        <w:rPr>
          <w:rFonts w:hint="cs"/>
          <w:rtl/>
        </w:rPr>
        <w:t>.</w:t>
      </w:r>
    </w:p>
    <w:p w14:paraId="2C477D15" w14:textId="6DD967D0" w:rsidR="00DF4C09" w:rsidRPr="00DF4C09" w:rsidRDefault="00DF4C09" w:rsidP="00434A6A">
      <w:pPr>
        <w:rPr>
          <w:rtl/>
        </w:rPr>
      </w:pPr>
      <w:r w:rsidRPr="00DF4C09">
        <w:rPr>
          <w:rFonts w:cs="Arial" w:hint="cs"/>
          <w:b/>
          <w:bCs/>
          <w:rtl/>
        </w:rPr>
        <w:t xml:space="preserve">שבת </w:t>
      </w:r>
      <w:r>
        <w:rPr>
          <w:rFonts w:cs="Arial" w:hint="cs"/>
          <w:b/>
          <w:bCs/>
          <w:sz w:val="16"/>
          <w:szCs w:val="16"/>
          <w:rtl/>
        </w:rPr>
        <w:t>(פ' כירה)</w:t>
      </w:r>
      <w:r>
        <w:rPr>
          <w:rFonts w:cs="Arial" w:hint="cs"/>
          <w:b/>
          <w:bCs/>
          <w:rtl/>
        </w:rPr>
        <w:t xml:space="preserve"> </w:t>
      </w:r>
      <w:r w:rsidRPr="00DF4C09">
        <w:rPr>
          <w:rFonts w:cs="Arial" w:hint="cs"/>
          <w:b/>
          <w:bCs/>
          <w:rtl/>
        </w:rPr>
        <w:t xml:space="preserve">מז ע"א: </w:t>
      </w:r>
      <w:r w:rsidRPr="00DF4C09">
        <w:rPr>
          <w:rFonts w:cs="Arial"/>
          <w:u w:val="single"/>
          <w:rtl/>
        </w:rPr>
        <w:t>אמר רבי זירא אמר רבי אסי אמר רבי יוחנן אמר רבי חנינא אמר רבי רומנוס</w:t>
      </w:r>
      <w:r w:rsidRPr="00DF4C09">
        <w:rPr>
          <w:rFonts w:cs="Arial"/>
          <w:rtl/>
        </w:rPr>
        <w:t xml:space="preserve">: לי התיר רבי לטלטל מחתה באפרה. </w:t>
      </w:r>
      <w:r w:rsidRPr="00DF4C09">
        <w:rPr>
          <w:rFonts w:cs="Arial"/>
          <w:u w:val="single"/>
          <w:rtl/>
        </w:rPr>
        <w:t>אמר ליה רבי זירא לרבי אסי</w:t>
      </w:r>
      <w:r w:rsidRPr="00DF4C09">
        <w:rPr>
          <w:rFonts w:cs="Arial"/>
          <w:rtl/>
        </w:rPr>
        <w:t xml:space="preserve">: מי אמר רבי יוחנן הכי? והתנן: נוטל אדם בנו והאבן בידו, או כלכלה והאבן בתוכה. </w:t>
      </w:r>
      <w:r w:rsidRPr="00687D16">
        <w:rPr>
          <w:rFonts w:cs="Arial"/>
          <w:u w:val="single"/>
          <w:rtl/>
        </w:rPr>
        <w:t>ואמר רבה בר בר חנה אמר רבי יוחנן</w:t>
      </w:r>
      <w:r w:rsidRPr="00DF4C09">
        <w:rPr>
          <w:rFonts w:cs="Arial"/>
          <w:rtl/>
        </w:rPr>
        <w:t>: בכלכלה מלאה פירות עסקינן. טעמא - דאית בה פירי, הא לית בה פירי - לא! אשתומם כשעה חדא ואמר: הכא נמי - דאית בה קרטין</w:t>
      </w:r>
      <w:r w:rsidR="00687D16">
        <w:rPr>
          <w:rStyle w:val="a9"/>
          <w:rFonts w:cs="Arial"/>
          <w:rtl/>
        </w:rPr>
        <w:footnoteReference w:id="1762"/>
      </w:r>
      <w:r w:rsidRPr="00DF4C09">
        <w:rPr>
          <w:rFonts w:cs="Arial"/>
          <w:rtl/>
        </w:rPr>
        <w:t xml:space="preserve">. </w:t>
      </w:r>
      <w:r w:rsidRPr="00687D16">
        <w:rPr>
          <w:rFonts w:cs="Arial"/>
          <w:u w:val="single"/>
          <w:rtl/>
        </w:rPr>
        <w:t>אמר אביי</w:t>
      </w:r>
      <w:r w:rsidRPr="00DF4C09">
        <w:rPr>
          <w:rFonts w:cs="Arial"/>
          <w:rtl/>
        </w:rPr>
        <w:t>: קרטין בי רבי</w:t>
      </w:r>
      <w:r w:rsidR="00687D16">
        <w:rPr>
          <w:rStyle w:val="a9"/>
          <w:rFonts w:cs="Arial"/>
          <w:rtl/>
        </w:rPr>
        <w:footnoteReference w:id="1763"/>
      </w:r>
      <w:r w:rsidRPr="00DF4C09">
        <w:rPr>
          <w:rFonts w:cs="Arial"/>
          <w:rtl/>
        </w:rPr>
        <w:t xml:space="preserve"> מי חשיבי? וכי תימא - חזו לעניים, והתניא: בגדי עניים</w:t>
      </w:r>
      <w:r w:rsidR="00687D16">
        <w:rPr>
          <w:rStyle w:val="a9"/>
          <w:rFonts w:cs="Arial"/>
          <w:rtl/>
        </w:rPr>
        <w:footnoteReference w:id="1764"/>
      </w:r>
      <w:r w:rsidRPr="00DF4C09">
        <w:rPr>
          <w:rFonts w:cs="Arial"/>
          <w:rtl/>
        </w:rPr>
        <w:t xml:space="preserve"> - לעניים, בגדי עשירים</w:t>
      </w:r>
      <w:r w:rsidR="00687D16">
        <w:rPr>
          <w:rStyle w:val="a9"/>
          <w:rFonts w:cs="Arial"/>
          <w:rtl/>
        </w:rPr>
        <w:footnoteReference w:id="1765"/>
      </w:r>
      <w:r w:rsidRPr="00DF4C09">
        <w:rPr>
          <w:rFonts w:cs="Arial"/>
          <w:rtl/>
        </w:rPr>
        <w:t xml:space="preserve"> - לעשירים, אבל דעניים לעשירים - לא!</w:t>
      </w:r>
      <w:r w:rsidR="00687D16">
        <w:rPr>
          <w:rFonts w:hint="cs"/>
          <w:rtl/>
        </w:rPr>
        <w:t>...</w:t>
      </w:r>
    </w:p>
    <w:p w14:paraId="1D217926" w14:textId="0160C250" w:rsidR="00B13CD2" w:rsidRPr="00B13CD2" w:rsidRDefault="00B13CD2" w:rsidP="00434A6A">
      <w:pPr>
        <w:rPr>
          <w:u w:val="single"/>
          <w:rtl/>
        </w:rPr>
      </w:pPr>
      <w:r w:rsidRPr="00B13CD2">
        <w:rPr>
          <w:rFonts w:hint="cs"/>
          <w:u w:val="single"/>
          <w:rtl/>
        </w:rPr>
        <w:t>האם מוקצה לעשירים הוי מוקצה גם לעניים:</w:t>
      </w:r>
    </w:p>
    <w:p w14:paraId="2756FC1B" w14:textId="2B0BE64D" w:rsidR="00B13CD2" w:rsidRPr="00B13CD2" w:rsidRDefault="00FB3622" w:rsidP="00434A6A">
      <w:pPr>
        <w:pStyle w:val="aa"/>
        <w:numPr>
          <w:ilvl w:val="0"/>
          <w:numId w:val="15"/>
        </w:numPr>
        <w:rPr>
          <w:rFonts w:cs="Arial"/>
          <w:rtl/>
        </w:rPr>
      </w:pPr>
      <w:r w:rsidRPr="00B13CD2">
        <w:rPr>
          <w:rFonts w:cs="Arial"/>
          <w:rtl/>
        </w:rPr>
        <w:t xml:space="preserve">ר"ן </w:t>
      </w:r>
      <w:r w:rsidRPr="00687D16">
        <w:rPr>
          <w:rFonts w:cs="Arial"/>
          <w:sz w:val="16"/>
          <w:szCs w:val="16"/>
          <w:rtl/>
        </w:rPr>
        <w:t>(כא. ד"ה ומהא)</w:t>
      </w:r>
      <w:r w:rsidR="00687D16">
        <w:rPr>
          <w:rFonts w:cs="Arial" w:hint="cs"/>
          <w:rtl/>
        </w:rPr>
        <w:t>-</w:t>
      </w:r>
      <w:r w:rsidRPr="00B13CD2">
        <w:rPr>
          <w:rFonts w:cs="Arial"/>
          <w:rtl/>
        </w:rPr>
        <w:t xml:space="preserve"> מהא</w:t>
      </w:r>
      <w:r w:rsidR="00687D16">
        <w:rPr>
          <w:rFonts w:cs="Arial" w:hint="cs"/>
          <w:sz w:val="18"/>
          <w:szCs w:val="18"/>
          <w:rtl/>
        </w:rPr>
        <w:t xml:space="preserve"> </w:t>
      </w:r>
      <w:r w:rsidR="00687D16" w:rsidRPr="00687D16">
        <w:rPr>
          <w:rFonts w:cs="Arial" w:hint="cs"/>
          <w:sz w:val="16"/>
          <w:szCs w:val="16"/>
          <w:rtl/>
        </w:rPr>
        <w:t>{מהגמ' הנ"ל}</w:t>
      </w:r>
      <w:r w:rsidRPr="00B13CD2">
        <w:rPr>
          <w:rFonts w:cs="Arial"/>
          <w:rtl/>
        </w:rPr>
        <w:t xml:space="preserve"> שמעינן דמוקצה לעשירים מוקצה</w:t>
      </w:r>
      <w:r w:rsidR="00687D16">
        <w:rPr>
          <w:rFonts w:cs="Arial" w:hint="cs"/>
          <w:rtl/>
        </w:rPr>
        <w:t>,</w:t>
      </w:r>
      <w:r w:rsidRPr="00B13CD2">
        <w:rPr>
          <w:rFonts w:cs="Arial"/>
          <w:rtl/>
        </w:rPr>
        <w:t xml:space="preserve"> ואפילו עניים אין מטלטלין אותו</w:t>
      </w:r>
      <w:r w:rsidR="00687D16">
        <w:rPr>
          <w:rFonts w:cs="Arial" w:hint="cs"/>
          <w:rtl/>
        </w:rPr>
        <w:t>,</w:t>
      </w:r>
      <w:r w:rsidRPr="00B13CD2">
        <w:rPr>
          <w:rFonts w:cs="Arial"/>
          <w:rtl/>
        </w:rPr>
        <w:t xml:space="preserve"> שכבר הוקצה מדעתו של בעל הבית העשיר ולא בעינן שיהא מוקצה לכל</w:t>
      </w:r>
      <w:r w:rsidR="00687D16">
        <w:rPr>
          <w:rFonts w:cs="Arial" w:hint="cs"/>
          <w:rtl/>
        </w:rPr>
        <w:t>.</w:t>
      </w:r>
      <w:r w:rsidR="006B1538">
        <w:rPr>
          <w:rFonts w:cs="Arial" w:hint="cs"/>
          <w:rtl/>
        </w:rPr>
        <w:t xml:space="preserve"> </w:t>
      </w:r>
      <w:r w:rsidR="006B1538" w:rsidRPr="006B1538">
        <w:rPr>
          <w:rFonts w:cs="Arial" w:hint="cs"/>
          <w:color w:val="E36C0A" w:themeColor="accent6" w:themeShade="BF"/>
          <w:rtl/>
        </w:rPr>
        <w:t>(וכ"פ בשו"ע)</w:t>
      </w:r>
    </w:p>
    <w:p w14:paraId="49B6E607" w14:textId="77777777" w:rsidR="00E47CB7" w:rsidRPr="005275DF" w:rsidRDefault="00E47CB7" w:rsidP="00434A6A">
      <w:pPr>
        <w:rPr>
          <w:rFonts w:asciiTheme="minorBidi" w:hAnsiTheme="minorBidi"/>
          <w:rtl/>
        </w:rPr>
      </w:pPr>
      <w:r w:rsidRPr="005275DF">
        <w:rPr>
          <w:rFonts w:asciiTheme="minorBidi" w:hAnsiTheme="minorBidi"/>
          <w:b/>
          <w:bCs/>
          <w:sz w:val="32"/>
          <w:szCs w:val="28"/>
          <w:u w:val="single"/>
          <w:rtl/>
        </w:rPr>
        <w:t xml:space="preserve">שו"ע: </w:t>
      </w:r>
    </w:p>
    <w:p w14:paraId="08A36F84" w14:textId="3833EE7C" w:rsidR="000C6229" w:rsidRPr="005275DF" w:rsidRDefault="000C6229" w:rsidP="00434A6A">
      <w:pPr>
        <w:rPr>
          <w:rFonts w:asciiTheme="minorBidi" w:hAnsiTheme="minorBidi"/>
          <w:rtl/>
        </w:rPr>
      </w:pPr>
      <w:r w:rsidRPr="005275DF">
        <w:rPr>
          <w:rFonts w:asciiTheme="minorBidi" w:hAnsiTheme="minorBidi"/>
          <w:rtl/>
        </w:rPr>
        <w:t>מוקצה לעשירים</w:t>
      </w:r>
      <w:r w:rsidR="00990A86">
        <w:rPr>
          <w:rStyle w:val="a9"/>
          <w:rFonts w:asciiTheme="minorBidi" w:hAnsiTheme="minorBidi"/>
          <w:rtl/>
        </w:rPr>
        <w:footnoteReference w:id="1766"/>
      </w:r>
      <w:r w:rsidRPr="005275DF">
        <w:rPr>
          <w:rFonts w:asciiTheme="minorBidi" w:hAnsiTheme="minorBidi"/>
          <w:rtl/>
        </w:rPr>
        <w:t xml:space="preserve"> הוי מוקצה, ואפילו עניים אין מטלטלין</w:t>
      </w:r>
      <w:r w:rsidR="00990A86">
        <w:rPr>
          <w:rStyle w:val="a9"/>
          <w:rFonts w:asciiTheme="minorBidi" w:hAnsiTheme="minorBidi"/>
          <w:rtl/>
        </w:rPr>
        <w:footnoteReference w:id="1767"/>
      </w:r>
      <w:r w:rsidRPr="005275DF">
        <w:rPr>
          <w:rFonts w:asciiTheme="minorBidi" w:hAnsiTheme="minorBidi"/>
          <w:rtl/>
        </w:rPr>
        <w:t>.</w:t>
      </w:r>
    </w:p>
    <w:p w14:paraId="00F9CDAF" w14:textId="77777777" w:rsidR="000C6229" w:rsidRPr="005275DF" w:rsidRDefault="000C6229" w:rsidP="00434A6A">
      <w:pPr>
        <w:rPr>
          <w:rFonts w:asciiTheme="minorBidi" w:hAnsiTheme="minorBidi"/>
          <w:rtl/>
        </w:rPr>
      </w:pPr>
    </w:p>
    <w:p w14:paraId="0A5464EE" w14:textId="77777777" w:rsidR="000C6229" w:rsidRPr="005275DF" w:rsidRDefault="000C6229" w:rsidP="00434A6A">
      <w:pPr>
        <w:rPr>
          <w:rFonts w:asciiTheme="minorBidi" w:hAnsiTheme="minorBidi"/>
          <w:rtl/>
        </w:rPr>
      </w:pPr>
    </w:p>
    <w:p w14:paraId="62B0B455" w14:textId="77777777" w:rsidR="000C6229" w:rsidRPr="005275DF" w:rsidRDefault="000C6229" w:rsidP="00434A6A">
      <w:pPr>
        <w:rPr>
          <w:rFonts w:asciiTheme="minorBidi" w:hAnsiTheme="minorBidi"/>
          <w:rtl/>
        </w:rPr>
      </w:pPr>
    </w:p>
    <w:p w14:paraId="30031D39" w14:textId="77777777" w:rsidR="000C6229" w:rsidRPr="005275DF" w:rsidRDefault="000C6229" w:rsidP="00434A6A">
      <w:pPr>
        <w:rPr>
          <w:rFonts w:asciiTheme="minorBidi" w:hAnsiTheme="minorBidi"/>
          <w:rtl/>
        </w:rPr>
      </w:pPr>
    </w:p>
    <w:p w14:paraId="0284EAED" w14:textId="77777777" w:rsidR="00E47CB7" w:rsidRDefault="00E47CB7" w:rsidP="00434A6A">
      <w:pPr>
        <w:pStyle w:val="1"/>
        <w:rPr>
          <w:rFonts w:asciiTheme="minorBidi" w:hAnsiTheme="minorBidi"/>
          <w:rtl/>
        </w:rPr>
        <w:sectPr w:rsidR="00E47CB7" w:rsidSect="00BD29B1">
          <w:headerReference w:type="default" r:id="rId79"/>
          <w:footnotePr>
            <w:numRestart w:val="eachSect"/>
          </w:footnotePr>
          <w:pgSz w:w="11906" w:h="16838"/>
          <w:pgMar w:top="720" w:right="1134" w:bottom="720" w:left="1134" w:header="0" w:footer="0" w:gutter="0"/>
          <w:cols w:space="720"/>
          <w:bidi/>
          <w:rtlGutter/>
          <w:docGrid w:linePitch="360"/>
        </w:sectPr>
      </w:pPr>
    </w:p>
    <w:p w14:paraId="5766F1A0" w14:textId="349855C9" w:rsidR="000C6229" w:rsidRPr="005275DF" w:rsidRDefault="000C6229" w:rsidP="00434A6A">
      <w:pPr>
        <w:pStyle w:val="1"/>
        <w:rPr>
          <w:rFonts w:asciiTheme="minorBidi" w:hAnsiTheme="minorBidi"/>
          <w:rtl/>
        </w:rPr>
      </w:pPr>
      <w:r w:rsidRPr="005275DF">
        <w:rPr>
          <w:rFonts w:asciiTheme="minorBidi" w:hAnsiTheme="minorBidi"/>
          <w:rtl/>
        </w:rPr>
        <w:t xml:space="preserve">סימן שט: טלטול ע"י דבר אחר אם מותר בשבת, ובו ה' סעיפים. </w:t>
      </w:r>
    </w:p>
    <w:p w14:paraId="23505F3E" w14:textId="06C56BEA" w:rsidR="009A1772" w:rsidRDefault="009A1772" w:rsidP="00434A6A">
      <w:pPr>
        <w:pStyle w:val="2"/>
        <w:rPr>
          <w:rFonts w:asciiTheme="minorBidi" w:hAnsiTheme="minorBidi" w:cstheme="minorBidi"/>
          <w:rtl/>
        </w:rPr>
      </w:pPr>
      <w:r w:rsidRPr="005275DF">
        <w:rPr>
          <w:rFonts w:asciiTheme="minorBidi" w:hAnsiTheme="minorBidi" w:cstheme="minorBidi"/>
          <w:rtl/>
        </w:rPr>
        <w:t>סעיף א</w:t>
      </w:r>
      <w:r w:rsidR="00FC5BE5">
        <w:rPr>
          <w:rFonts w:asciiTheme="minorBidi" w:hAnsiTheme="minorBidi" w:cstheme="minorBidi" w:hint="cs"/>
          <w:rtl/>
        </w:rPr>
        <w:t>:</w:t>
      </w:r>
      <w:r w:rsidR="001F3FCF">
        <w:rPr>
          <w:rFonts w:asciiTheme="minorBidi" w:hAnsiTheme="minorBidi" w:cstheme="minorBidi" w:hint="cs"/>
          <w:rtl/>
        </w:rPr>
        <w:t xml:space="preserve"> הרמת תינוק שיש בידו מוקצה.</w:t>
      </w:r>
    </w:p>
    <w:p w14:paraId="298BEC54" w14:textId="4773D3B1" w:rsidR="00144B2C" w:rsidRDefault="00144B2C" w:rsidP="00434A6A">
      <w:pPr>
        <w:rPr>
          <w:rtl/>
        </w:rPr>
      </w:pPr>
      <w:r w:rsidRPr="00DF4C09">
        <w:rPr>
          <w:rFonts w:cs="Arial" w:hint="cs"/>
          <w:b/>
          <w:bCs/>
          <w:rtl/>
        </w:rPr>
        <w:t xml:space="preserve">שבת </w:t>
      </w:r>
      <w:r>
        <w:rPr>
          <w:rFonts w:cs="Arial" w:hint="cs"/>
          <w:b/>
          <w:bCs/>
          <w:sz w:val="16"/>
          <w:szCs w:val="16"/>
          <w:rtl/>
        </w:rPr>
        <w:t>(ר"פ נוטל)</w:t>
      </w:r>
      <w:r>
        <w:rPr>
          <w:rFonts w:cs="Arial" w:hint="cs"/>
          <w:b/>
          <w:bCs/>
          <w:rtl/>
        </w:rPr>
        <w:t xml:space="preserve"> קמא</w:t>
      </w:r>
      <w:r w:rsidRPr="00DF4C09">
        <w:rPr>
          <w:rFonts w:cs="Arial" w:hint="cs"/>
          <w:b/>
          <w:bCs/>
          <w:rtl/>
        </w:rPr>
        <w:t xml:space="preserve"> ע"</w:t>
      </w:r>
      <w:r>
        <w:rPr>
          <w:rFonts w:cs="Arial" w:hint="cs"/>
          <w:b/>
          <w:bCs/>
          <w:rtl/>
        </w:rPr>
        <w:t>ב</w:t>
      </w:r>
      <w:r w:rsidRPr="00DF4C09">
        <w:rPr>
          <w:rFonts w:cs="Arial" w:hint="cs"/>
          <w:b/>
          <w:bCs/>
          <w:rtl/>
        </w:rPr>
        <w:t>:</w:t>
      </w:r>
      <w:r>
        <w:rPr>
          <w:rFonts w:cs="Arial" w:hint="cs"/>
          <w:rtl/>
        </w:rPr>
        <w:t xml:space="preserve"> </w:t>
      </w:r>
      <w:r w:rsidRPr="00144B2C">
        <w:rPr>
          <w:rFonts w:cs="Arial"/>
          <w:u w:val="double"/>
          <w:rtl/>
        </w:rPr>
        <w:t>משנה</w:t>
      </w:r>
      <w:r>
        <w:rPr>
          <w:rFonts w:cs="Arial" w:hint="cs"/>
          <w:rtl/>
        </w:rPr>
        <w:t>:</w:t>
      </w:r>
      <w:r>
        <w:rPr>
          <w:rFonts w:cs="Arial"/>
          <w:rtl/>
        </w:rPr>
        <w:t xml:space="preserve"> נוטל אדם את בנו והאבן בידו</w:t>
      </w:r>
      <w:r w:rsidR="0061669C">
        <w:rPr>
          <w:rStyle w:val="a9"/>
          <w:rFonts w:cs="Arial"/>
          <w:rtl/>
        </w:rPr>
        <w:footnoteReference w:id="1768"/>
      </w:r>
      <w:r>
        <w:rPr>
          <w:rFonts w:cs="Arial"/>
          <w:rtl/>
        </w:rPr>
        <w:t>, וכלכלה והאבן בתוכה.</w:t>
      </w:r>
      <w:r>
        <w:rPr>
          <w:rFonts w:cs="Arial" w:hint="cs"/>
          <w:rtl/>
        </w:rPr>
        <w:t>.</w:t>
      </w:r>
      <w:r>
        <w:rPr>
          <w:rFonts w:cs="Arial"/>
          <w:rtl/>
        </w:rPr>
        <w:t xml:space="preserve">. </w:t>
      </w:r>
      <w:r>
        <w:rPr>
          <w:rFonts w:hint="cs"/>
          <w:rtl/>
        </w:rPr>
        <w:t xml:space="preserve">         </w:t>
      </w:r>
      <w:r w:rsidRPr="00144B2C">
        <w:rPr>
          <w:rFonts w:cs="Arial"/>
          <w:u w:val="double"/>
          <w:rtl/>
        </w:rPr>
        <w:t>גמרא</w:t>
      </w:r>
      <w:r>
        <w:rPr>
          <w:rFonts w:cs="Arial" w:hint="cs"/>
          <w:rtl/>
        </w:rPr>
        <w:t>:</w:t>
      </w:r>
      <w:r>
        <w:rPr>
          <w:rFonts w:cs="Arial"/>
          <w:rtl/>
        </w:rPr>
        <w:t xml:space="preserve"> תנן: נוטל אדם את בנו והאבן בידו. </w:t>
      </w:r>
      <w:r w:rsidRPr="0061669C">
        <w:rPr>
          <w:rFonts w:cs="Arial"/>
          <w:u w:val="single"/>
          <w:rtl/>
        </w:rPr>
        <w:t>אמרי דבי רבי ינאי</w:t>
      </w:r>
      <w:r>
        <w:rPr>
          <w:rFonts w:cs="Arial"/>
          <w:rtl/>
        </w:rPr>
        <w:t>: בתינוק שיש לו גיעגועין על אביו</w:t>
      </w:r>
      <w:r w:rsidR="0061669C">
        <w:rPr>
          <w:rStyle w:val="a9"/>
          <w:rFonts w:cs="Arial"/>
          <w:rtl/>
        </w:rPr>
        <w:footnoteReference w:id="1769"/>
      </w:r>
      <w:r>
        <w:rPr>
          <w:rFonts w:cs="Arial"/>
          <w:rtl/>
        </w:rPr>
        <w:t>. אי הכי,</w:t>
      </w:r>
      <w:r>
        <w:rPr>
          <w:rFonts w:hint="cs"/>
          <w:sz w:val="14"/>
          <w:szCs w:val="14"/>
          <w:rtl/>
        </w:rPr>
        <w:t xml:space="preserve"> (קמב.) </w:t>
      </w:r>
      <w:r w:rsidRPr="00144B2C">
        <w:rPr>
          <w:rFonts w:cs="Arial"/>
          <w:rtl/>
        </w:rPr>
        <w:t>מאי איריא אבן, אפילו דינר נמי! אלמה אמר רבא: לא שנו אלא אבן, אבל דינר - אסור! אבן, אי נפלה לה - לא אתי אבוה לאיתויי, דינר אי נפיל - אתי אבוה לאתויי. תניא כוותיה דרבא: המוציא כליו מקופלים ומונחים על כתפו, וסנדליו וטבעותיו בידו - חייב. ואם היה מלובש בהן - פטור. המוציא אדם וכליו עליו, וסנדליו ברגליו, וטבעותיו בידיו - פטור. ואילו הוציאן כמות שהן - חייב.</w:t>
      </w:r>
    </w:p>
    <w:p w14:paraId="4B639ED0" w14:textId="5F2FA28C" w:rsidR="001F3FCF" w:rsidRPr="001F3FCF" w:rsidRDefault="001F3FCF" w:rsidP="00434A6A">
      <w:pPr>
        <w:rPr>
          <w:u w:val="single"/>
          <w:rtl/>
        </w:rPr>
      </w:pPr>
      <w:r w:rsidRPr="001F3FCF">
        <w:rPr>
          <w:rFonts w:asciiTheme="minorBidi" w:hAnsiTheme="minorBidi" w:hint="cs"/>
          <w:u w:val="single"/>
          <w:rtl/>
        </w:rPr>
        <w:t xml:space="preserve">הרמת </w:t>
      </w:r>
      <w:r>
        <w:rPr>
          <w:rFonts w:asciiTheme="minorBidi" w:hAnsiTheme="minorBidi" w:hint="cs"/>
          <w:u w:val="single"/>
          <w:rtl/>
        </w:rPr>
        <w:t>תינוק</w:t>
      </w:r>
      <w:r w:rsidRPr="001F3FCF">
        <w:rPr>
          <w:rFonts w:asciiTheme="minorBidi" w:hAnsiTheme="minorBidi" w:hint="cs"/>
          <w:u w:val="single"/>
          <w:rtl/>
        </w:rPr>
        <w:t xml:space="preserve"> שיש בידו מוקצה</w:t>
      </w:r>
      <w:r w:rsidRPr="001F3FCF">
        <w:rPr>
          <w:rFonts w:hint="cs"/>
          <w:u w:val="single"/>
          <w:rtl/>
        </w:rPr>
        <w:t>:</w:t>
      </w:r>
    </w:p>
    <w:p w14:paraId="42AF64AC" w14:textId="31F7B307" w:rsidR="00F854C3" w:rsidRDefault="00FC5BE5" w:rsidP="00434A6A">
      <w:pPr>
        <w:pStyle w:val="aa"/>
        <w:numPr>
          <w:ilvl w:val="0"/>
          <w:numId w:val="15"/>
        </w:numPr>
      </w:pPr>
      <w:r>
        <w:rPr>
          <w:rFonts w:hint="cs"/>
          <w:rtl/>
        </w:rPr>
        <w:t xml:space="preserve">טור- </w:t>
      </w:r>
      <w:r w:rsidRPr="00FC5BE5">
        <w:rPr>
          <w:rFonts w:cs="Arial"/>
          <w:rtl/>
        </w:rPr>
        <w:t>נוטל אדם את בנו שיש לו גיעגועין עליו עם אבן שבידו</w:t>
      </w:r>
      <w:r w:rsidR="001F3FCF">
        <w:rPr>
          <w:rFonts w:cs="Arial" w:hint="cs"/>
          <w:rtl/>
        </w:rPr>
        <w:t>.</w:t>
      </w:r>
      <w:r w:rsidRPr="00FC5BE5">
        <w:rPr>
          <w:rFonts w:cs="Arial"/>
          <w:rtl/>
        </w:rPr>
        <w:t xml:space="preserve"> אבל אם אין לו גיעגועין עליו</w:t>
      </w:r>
      <w:r w:rsidR="001F3FCF">
        <w:rPr>
          <w:rFonts w:cs="Arial" w:hint="cs"/>
          <w:rtl/>
        </w:rPr>
        <w:t>,</w:t>
      </w:r>
      <w:r w:rsidRPr="00FC5BE5">
        <w:rPr>
          <w:rFonts w:cs="Arial"/>
          <w:rtl/>
        </w:rPr>
        <w:t xml:space="preserve"> או אפילו יש לו גיעגועין עליו ומטבע בידו </w:t>
      </w:r>
      <w:r w:rsidR="001F3FCF">
        <w:rPr>
          <w:rFonts w:cs="Arial" w:hint="cs"/>
          <w:rtl/>
        </w:rPr>
        <w:t xml:space="preserve">- </w:t>
      </w:r>
      <w:r w:rsidRPr="00FC5BE5">
        <w:rPr>
          <w:rFonts w:cs="Arial"/>
          <w:rtl/>
        </w:rPr>
        <w:t>לא יטלנו</w:t>
      </w:r>
      <w:r w:rsidR="00551266">
        <w:rPr>
          <w:rFonts w:cs="Arial" w:hint="cs"/>
          <w:rtl/>
        </w:rPr>
        <w:t>.</w:t>
      </w:r>
      <w:r w:rsidRPr="00FC5BE5">
        <w:rPr>
          <w:rFonts w:cs="Arial"/>
          <w:rtl/>
        </w:rPr>
        <w:t xml:space="preserve"> </w:t>
      </w:r>
      <w:r w:rsidR="00AC41F8" w:rsidRPr="006B1538">
        <w:rPr>
          <w:rFonts w:cs="Arial" w:hint="cs"/>
          <w:color w:val="E36C0A" w:themeColor="accent6" w:themeShade="BF"/>
          <w:rtl/>
        </w:rPr>
        <w:t>(וכ"פ בשו"ע)</w:t>
      </w:r>
    </w:p>
    <w:p w14:paraId="7A28DF90" w14:textId="2EDFDA82" w:rsidR="001F3FCF" w:rsidRPr="001F3FCF" w:rsidRDefault="001F3FCF" w:rsidP="00434A6A">
      <w:pPr>
        <w:ind w:left="360"/>
        <w:rPr>
          <w:u w:val="dotted"/>
        </w:rPr>
      </w:pPr>
      <w:r w:rsidRPr="001F3FCF">
        <w:rPr>
          <w:rFonts w:hint="cs"/>
          <w:u w:val="dotted"/>
          <w:rtl/>
        </w:rPr>
        <w:t xml:space="preserve">האם מותר לתת לתינוק יד </w:t>
      </w:r>
      <w:r w:rsidR="00E92624">
        <w:rPr>
          <w:rFonts w:hint="cs"/>
          <w:u w:val="dotted"/>
          <w:rtl/>
        </w:rPr>
        <w:t xml:space="preserve">להוליכו </w:t>
      </w:r>
      <w:r w:rsidRPr="001F3FCF">
        <w:rPr>
          <w:rFonts w:hint="cs"/>
          <w:u w:val="dotted"/>
          <w:rtl/>
        </w:rPr>
        <w:t>כשיש בידו מטבע:</w:t>
      </w:r>
    </w:p>
    <w:p w14:paraId="5B1EEAEA" w14:textId="66249115" w:rsidR="001F3FCF" w:rsidRPr="001F3FCF" w:rsidRDefault="001F3FCF" w:rsidP="00434A6A">
      <w:pPr>
        <w:pStyle w:val="aa"/>
        <w:numPr>
          <w:ilvl w:val="0"/>
          <w:numId w:val="15"/>
        </w:numPr>
      </w:pPr>
      <w:r>
        <w:rPr>
          <w:rFonts w:cs="Arial" w:hint="cs"/>
          <w:rtl/>
        </w:rPr>
        <w:t>רש"י</w:t>
      </w:r>
      <w:r w:rsidR="00AC41F8">
        <w:rPr>
          <w:rFonts w:cs="Arial" w:hint="cs"/>
          <w:sz w:val="16"/>
          <w:szCs w:val="16"/>
          <w:rtl/>
        </w:rPr>
        <w:t xml:space="preserve"> (קמב. ד"ה אתי לאתויי)</w:t>
      </w:r>
      <w:r>
        <w:rPr>
          <w:rFonts w:cs="Arial" w:hint="cs"/>
          <w:rtl/>
        </w:rPr>
        <w:t xml:space="preserve">- </w:t>
      </w:r>
      <w:r w:rsidRPr="00741CD5">
        <w:rPr>
          <w:rFonts w:cs="Arial"/>
          <w:rtl/>
        </w:rPr>
        <w:t>טעמא לאו משום טלטול הוא, דאפילו לאוחזו בידו והתינוק מהלך ברגליו אסר ליה רבא, דילמא נפיל ואתי לאתויי, וכיון דלאו סכנת נפש היא לא שרו ביה טלטול</w:t>
      </w:r>
      <w:r>
        <w:rPr>
          <w:rFonts w:hint="cs"/>
          <w:rtl/>
        </w:rPr>
        <w:t>.</w:t>
      </w:r>
      <w:r w:rsidRPr="00741CD5">
        <w:rPr>
          <w:rFonts w:cs="Arial"/>
          <w:rtl/>
        </w:rPr>
        <w:t xml:space="preserve"> </w:t>
      </w:r>
      <w:r w:rsidR="00AC41F8" w:rsidRPr="006B1538">
        <w:rPr>
          <w:rFonts w:cs="Arial" w:hint="cs"/>
          <w:color w:val="E36C0A" w:themeColor="accent6" w:themeShade="BF"/>
          <w:rtl/>
        </w:rPr>
        <w:t>(וכ"</w:t>
      </w:r>
      <w:r w:rsidR="00AC41F8">
        <w:rPr>
          <w:rFonts w:cs="Arial" w:hint="cs"/>
          <w:color w:val="E36C0A" w:themeColor="accent6" w:themeShade="BF"/>
          <w:rtl/>
        </w:rPr>
        <w:t>ס</w:t>
      </w:r>
      <w:r w:rsidR="00AC41F8" w:rsidRPr="006B1538">
        <w:rPr>
          <w:rFonts w:cs="Arial" w:hint="cs"/>
          <w:color w:val="E36C0A" w:themeColor="accent6" w:themeShade="BF"/>
          <w:rtl/>
        </w:rPr>
        <w:t xml:space="preserve"> בשו"ע)</w:t>
      </w:r>
    </w:p>
    <w:p w14:paraId="26220ABA" w14:textId="675CBE90" w:rsidR="001F3FCF" w:rsidRPr="00F854C3" w:rsidRDefault="001F3FCF" w:rsidP="00434A6A">
      <w:pPr>
        <w:pStyle w:val="aa"/>
        <w:numPr>
          <w:ilvl w:val="0"/>
          <w:numId w:val="15"/>
        </w:numPr>
      </w:pPr>
      <w:r w:rsidRPr="001F3FCF">
        <w:rPr>
          <w:rFonts w:cs="Arial"/>
          <w:rtl/>
        </w:rPr>
        <w:t>רמב"ן</w:t>
      </w:r>
      <w:r w:rsidRPr="00FC5BE5">
        <w:rPr>
          <w:rFonts w:cs="Arial"/>
          <w:rtl/>
        </w:rPr>
        <w:t xml:space="preserve"> </w:t>
      </w:r>
      <w:r w:rsidRPr="001F3FCF">
        <w:rPr>
          <w:rFonts w:cs="Arial"/>
          <w:sz w:val="16"/>
          <w:szCs w:val="16"/>
          <w:rtl/>
        </w:rPr>
        <w:t>(קמא: ד"ה א"ה</w:t>
      </w:r>
      <w:r w:rsidR="00AC41F8">
        <w:rPr>
          <w:rFonts w:cs="Arial" w:hint="cs"/>
          <w:sz w:val="16"/>
          <w:szCs w:val="16"/>
          <w:rtl/>
        </w:rPr>
        <w:t>,</w:t>
      </w:r>
      <w:r w:rsidR="00AC41F8" w:rsidRPr="00AC41F8">
        <w:rPr>
          <w:rFonts w:cs="Arial"/>
          <w:rtl/>
        </w:rPr>
        <w:t xml:space="preserve"> </w:t>
      </w:r>
      <w:r w:rsidR="00AC41F8">
        <w:rPr>
          <w:rFonts w:cs="Arial" w:hint="cs"/>
          <w:sz w:val="16"/>
          <w:szCs w:val="16"/>
          <w:rtl/>
        </w:rPr>
        <w:t>כ"כ ה</w:t>
      </w:r>
      <w:r w:rsidR="00AC41F8" w:rsidRPr="00AC41F8">
        <w:rPr>
          <w:rFonts w:cs="Arial"/>
          <w:sz w:val="16"/>
          <w:szCs w:val="16"/>
          <w:rtl/>
        </w:rPr>
        <w:t xml:space="preserve">ר"ן </w:t>
      </w:r>
      <w:r w:rsidR="00AC41F8">
        <w:rPr>
          <w:rFonts w:cs="Arial" w:hint="cs"/>
          <w:sz w:val="16"/>
          <w:szCs w:val="16"/>
          <w:rtl/>
        </w:rPr>
        <w:t>[</w:t>
      </w:r>
      <w:r w:rsidR="00AC41F8" w:rsidRPr="00AC41F8">
        <w:rPr>
          <w:rFonts w:cs="Arial"/>
          <w:sz w:val="16"/>
          <w:szCs w:val="16"/>
          <w:rtl/>
        </w:rPr>
        <w:t>נט. ד"ה גמ'</w:t>
      </w:r>
      <w:r w:rsidR="00AC41F8">
        <w:rPr>
          <w:rFonts w:cs="Arial" w:hint="cs"/>
          <w:sz w:val="16"/>
          <w:szCs w:val="16"/>
          <w:rtl/>
        </w:rPr>
        <w:t>] בשמו</w:t>
      </w:r>
      <w:r w:rsidRPr="001F3FCF">
        <w:rPr>
          <w:rFonts w:cs="Arial"/>
          <w:sz w:val="16"/>
          <w:szCs w:val="16"/>
          <w:rtl/>
        </w:rPr>
        <w:t>)</w:t>
      </w:r>
      <w:r>
        <w:rPr>
          <w:rFonts w:cs="Arial" w:hint="cs"/>
          <w:rtl/>
        </w:rPr>
        <w:t>-</w:t>
      </w:r>
      <w:r w:rsidRPr="00FC5BE5">
        <w:rPr>
          <w:rFonts w:cs="Arial"/>
          <w:rtl/>
        </w:rPr>
        <w:t xml:space="preserve"> מי גזרינן שלא יראה אדם תינוק מטלטל דינר ושלא יעמוד בקרוב לו ארבע אמות</w:t>
      </w:r>
      <w:r>
        <w:rPr>
          <w:rFonts w:cs="Arial" w:hint="cs"/>
          <w:rtl/>
        </w:rPr>
        <w:t>?</w:t>
      </w:r>
      <w:r w:rsidRPr="00FC5BE5">
        <w:rPr>
          <w:rFonts w:cs="Arial"/>
          <w:rtl/>
        </w:rPr>
        <w:t xml:space="preserve"> הא ודאי לא</w:t>
      </w:r>
      <w:r>
        <w:rPr>
          <w:rFonts w:cs="Arial" w:hint="cs"/>
          <w:rtl/>
        </w:rPr>
        <w:t>.</w:t>
      </w:r>
      <w:r w:rsidRPr="00FC5BE5">
        <w:rPr>
          <w:rFonts w:cs="Arial"/>
          <w:rtl/>
        </w:rPr>
        <w:t xml:space="preserve"> והאוחז בידו נמי לאו מידי עביד ביה</w:t>
      </w:r>
      <w:r>
        <w:rPr>
          <w:rFonts w:cs="Arial" w:hint="cs"/>
          <w:rtl/>
        </w:rPr>
        <w:t>.</w:t>
      </w:r>
      <w:r w:rsidRPr="00FC5BE5">
        <w:rPr>
          <w:rFonts w:cs="Arial"/>
          <w:rtl/>
        </w:rPr>
        <w:t xml:space="preserve"> אלא הכי קאמרינן דאי שרינן ליה טלטול איסור דהיינו כי נקיט ליה תינוק כמאן דנקיט ליה אבוה בידיה דמי</w:t>
      </w:r>
      <w:r>
        <w:rPr>
          <w:rFonts w:cs="Arial" w:hint="cs"/>
          <w:rtl/>
        </w:rPr>
        <w:t>,</w:t>
      </w:r>
      <w:r w:rsidRPr="00FC5BE5">
        <w:rPr>
          <w:rFonts w:cs="Arial"/>
          <w:rtl/>
        </w:rPr>
        <w:t xml:space="preserve"> אף הוא מתוך שהוא חס על אותו דינר אתי למיעבד טלטול בידים</w:t>
      </w:r>
      <w:r>
        <w:rPr>
          <w:rFonts w:cs="Arial" w:hint="cs"/>
          <w:rtl/>
        </w:rPr>
        <w:t>,</w:t>
      </w:r>
      <w:r w:rsidRPr="00FC5BE5">
        <w:rPr>
          <w:rFonts w:cs="Arial"/>
          <w:rtl/>
        </w:rPr>
        <w:t xml:space="preserve"> אבל כי לא שרינן ליה מידי ליכא למיגזר כלל</w:t>
      </w:r>
      <w:r w:rsidR="00AC41F8">
        <w:rPr>
          <w:rFonts w:cs="Arial" w:hint="cs"/>
          <w:sz w:val="16"/>
          <w:szCs w:val="16"/>
          <w:rtl/>
        </w:rPr>
        <w:t xml:space="preserve"> (ל' הר"ן בשמו)</w:t>
      </w:r>
      <w:r>
        <w:rPr>
          <w:rFonts w:cs="Arial" w:hint="cs"/>
          <w:rtl/>
        </w:rPr>
        <w:t>.</w:t>
      </w:r>
    </w:p>
    <w:p w14:paraId="5D629860" w14:textId="77777777" w:rsidR="009A1772" w:rsidRPr="005275DF" w:rsidRDefault="009A1772" w:rsidP="00434A6A">
      <w:pPr>
        <w:rPr>
          <w:rFonts w:asciiTheme="minorBidi" w:hAnsiTheme="minorBidi"/>
          <w:rtl/>
        </w:rPr>
      </w:pPr>
      <w:r w:rsidRPr="005275DF">
        <w:rPr>
          <w:rFonts w:asciiTheme="minorBidi" w:hAnsiTheme="minorBidi"/>
          <w:b/>
          <w:bCs/>
          <w:sz w:val="32"/>
          <w:szCs w:val="28"/>
          <w:u w:val="single"/>
          <w:rtl/>
        </w:rPr>
        <w:t xml:space="preserve">שו"ע: </w:t>
      </w:r>
    </w:p>
    <w:p w14:paraId="2A7C8653" w14:textId="2A1DC007" w:rsidR="000C6229" w:rsidRPr="005275DF" w:rsidRDefault="000C6229" w:rsidP="00434A6A">
      <w:pPr>
        <w:rPr>
          <w:rFonts w:asciiTheme="minorBidi" w:hAnsiTheme="minorBidi"/>
          <w:rtl/>
        </w:rPr>
      </w:pPr>
      <w:r w:rsidRPr="005275DF">
        <w:rPr>
          <w:rFonts w:asciiTheme="minorBidi" w:hAnsiTheme="minorBidi"/>
          <w:rtl/>
        </w:rPr>
        <w:t>נוטל אדם את בנו והאבן בידו</w:t>
      </w:r>
      <w:r w:rsidR="00AC41F8">
        <w:rPr>
          <w:rStyle w:val="a9"/>
          <w:rFonts w:asciiTheme="minorBidi" w:hAnsiTheme="minorBidi"/>
          <w:rtl/>
        </w:rPr>
        <w:footnoteReference w:id="1770"/>
      </w:r>
      <w:r w:rsidRPr="005275DF">
        <w:rPr>
          <w:rFonts w:asciiTheme="minorBidi" w:hAnsiTheme="minorBidi"/>
          <w:rtl/>
        </w:rPr>
        <w:t>, ולא חשיב מטלטל לאבן</w:t>
      </w:r>
      <w:r w:rsidR="00AC41F8">
        <w:rPr>
          <w:rFonts w:asciiTheme="minorBidi" w:hAnsiTheme="minorBidi" w:hint="cs"/>
          <w:rtl/>
        </w:rPr>
        <w:t>.</w:t>
      </w:r>
      <w:r w:rsidRPr="005275DF">
        <w:rPr>
          <w:rFonts w:asciiTheme="minorBidi" w:hAnsiTheme="minorBidi"/>
          <w:rtl/>
        </w:rPr>
        <w:t xml:space="preserve"> והוא שיש לו געגועין עליו, שאם לא יטלנו, יחלה</w:t>
      </w:r>
      <w:r w:rsidR="001F3FCF">
        <w:rPr>
          <w:rFonts w:asciiTheme="minorBidi" w:hAnsiTheme="minorBidi" w:hint="cs"/>
          <w:rtl/>
        </w:rPr>
        <w:t>.</w:t>
      </w:r>
      <w:r w:rsidRPr="005275DF">
        <w:rPr>
          <w:rFonts w:asciiTheme="minorBidi" w:hAnsiTheme="minorBidi"/>
          <w:rtl/>
        </w:rPr>
        <w:t xml:space="preserve"> אבל אם אין לו געגועין עליו, לא. ואפי</w:t>
      </w:r>
      <w:r w:rsidR="001F3FCF">
        <w:rPr>
          <w:rFonts w:asciiTheme="minorBidi" w:hAnsiTheme="minorBidi" w:hint="cs"/>
          <w:rtl/>
        </w:rPr>
        <w:t>לו</w:t>
      </w:r>
      <w:r w:rsidRPr="005275DF">
        <w:rPr>
          <w:rFonts w:asciiTheme="minorBidi" w:hAnsiTheme="minorBidi"/>
          <w:rtl/>
        </w:rPr>
        <w:t xml:space="preserve"> כשיש לו געגועין עליו, לא התירו אלא באבן, אבל אם דינר בידו, אפי</w:t>
      </w:r>
      <w:r w:rsidR="001F3FCF">
        <w:rPr>
          <w:rFonts w:asciiTheme="minorBidi" w:hAnsiTheme="minorBidi" w:hint="cs"/>
          <w:rtl/>
        </w:rPr>
        <w:t>לו</w:t>
      </w:r>
      <w:r w:rsidRPr="005275DF">
        <w:rPr>
          <w:rFonts w:asciiTheme="minorBidi" w:hAnsiTheme="minorBidi"/>
          <w:rtl/>
        </w:rPr>
        <w:t xml:space="preserve"> לאחוז התינוק בידו והוא מהלך ברגליו אסור</w:t>
      </w:r>
      <w:r w:rsidR="00AC41F8">
        <w:rPr>
          <w:rFonts w:asciiTheme="minorBidi" w:hAnsiTheme="minorBidi" w:hint="cs"/>
          <w:rtl/>
        </w:rPr>
        <w:t>,</w:t>
      </w:r>
      <w:r w:rsidRPr="005275DF">
        <w:rPr>
          <w:rFonts w:asciiTheme="minorBidi" w:hAnsiTheme="minorBidi"/>
          <w:rtl/>
        </w:rPr>
        <w:t xml:space="preserve"> דחיישינן דילמא נפיל ואתי אבוה לאתויי. וי</w:t>
      </w:r>
      <w:r w:rsidR="001F3FCF">
        <w:rPr>
          <w:rFonts w:asciiTheme="minorBidi" w:hAnsiTheme="minorBidi" w:hint="cs"/>
          <w:rtl/>
        </w:rPr>
        <w:t>ש אומרים</w:t>
      </w:r>
      <w:r w:rsidRPr="005275DF">
        <w:rPr>
          <w:rFonts w:asciiTheme="minorBidi" w:hAnsiTheme="minorBidi"/>
          <w:rtl/>
        </w:rPr>
        <w:t xml:space="preserve"> שלא אסרו אלא כשהוא נושא התינוק עם דינר בידו</w:t>
      </w:r>
      <w:r w:rsidR="001F3FCF">
        <w:rPr>
          <w:rFonts w:asciiTheme="minorBidi" w:hAnsiTheme="minorBidi" w:hint="cs"/>
          <w:rtl/>
        </w:rPr>
        <w:t>,</w:t>
      </w:r>
      <w:r w:rsidRPr="005275DF">
        <w:rPr>
          <w:rFonts w:asciiTheme="minorBidi" w:hAnsiTheme="minorBidi"/>
          <w:rtl/>
        </w:rPr>
        <w:t xml:space="preserve"> אבל לאחוז התינוק בידו, אף על פי שדינר ביד התינוק, אין בכך כלום. </w:t>
      </w:r>
    </w:p>
    <w:p w14:paraId="0639E3C4" w14:textId="77777777" w:rsidR="000C6229" w:rsidRPr="005275DF" w:rsidRDefault="000C6229" w:rsidP="00434A6A">
      <w:pPr>
        <w:rPr>
          <w:rFonts w:asciiTheme="minorBidi" w:hAnsiTheme="minorBidi"/>
          <w:rtl/>
        </w:rPr>
      </w:pPr>
    </w:p>
    <w:p w14:paraId="75E37FDC" w14:textId="13A0F603" w:rsidR="000C6229" w:rsidRDefault="000C6229" w:rsidP="00434A6A">
      <w:pPr>
        <w:pStyle w:val="2"/>
        <w:rPr>
          <w:rtl/>
        </w:rPr>
      </w:pPr>
      <w:r w:rsidRPr="005275DF">
        <w:rPr>
          <w:rtl/>
        </w:rPr>
        <w:t>סעיף ב</w:t>
      </w:r>
      <w:r w:rsidR="00FC5BE5">
        <w:rPr>
          <w:rFonts w:hint="cs"/>
          <w:rtl/>
        </w:rPr>
        <w:t>:</w:t>
      </w:r>
      <w:r w:rsidR="000A424C">
        <w:rPr>
          <w:rFonts w:hint="cs"/>
          <w:rtl/>
        </w:rPr>
        <w:t xml:space="preserve"> כלי שיש בו אבן לצורך הכלי.</w:t>
      </w:r>
    </w:p>
    <w:p w14:paraId="79C46CFC" w14:textId="2EE70459" w:rsidR="00E92624" w:rsidRDefault="00E92624" w:rsidP="00434A6A">
      <w:pPr>
        <w:rPr>
          <w:rtl/>
        </w:rPr>
      </w:pPr>
      <w:r w:rsidRPr="00DF4C09">
        <w:rPr>
          <w:rFonts w:cs="Arial" w:hint="cs"/>
          <w:b/>
          <w:bCs/>
          <w:rtl/>
        </w:rPr>
        <w:t xml:space="preserve">שבת </w:t>
      </w:r>
      <w:r>
        <w:rPr>
          <w:rFonts w:cs="Arial" w:hint="cs"/>
          <w:b/>
          <w:bCs/>
          <w:sz w:val="16"/>
          <w:szCs w:val="16"/>
          <w:rtl/>
        </w:rPr>
        <w:t>(ר"פ נוטל)</w:t>
      </w:r>
      <w:r>
        <w:rPr>
          <w:rFonts w:cs="Arial" w:hint="cs"/>
          <w:b/>
          <w:bCs/>
          <w:rtl/>
        </w:rPr>
        <w:t xml:space="preserve"> קמא</w:t>
      </w:r>
      <w:r w:rsidRPr="00DF4C09">
        <w:rPr>
          <w:rFonts w:cs="Arial" w:hint="cs"/>
          <w:b/>
          <w:bCs/>
          <w:rtl/>
        </w:rPr>
        <w:t xml:space="preserve"> ע"</w:t>
      </w:r>
      <w:r>
        <w:rPr>
          <w:rFonts w:cs="Arial" w:hint="cs"/>
          <w:b/>
          <w:bCs/>
          <w:rtl/>
        </w:rPr>
        <w:t>ב</w:t>
      </w:r>
      <w:r w:rsidRPr="00DF4C09">
        <w:rPr>
          <w:rFonts w:cs="Arial" w:hint="cs"/>
          <w:b/>
          <w:bCs/>
          <w:rtl/>
        </w:rPr>
        <w:t>:</w:t>
      </w:r>
      <w:r>
        <w:rPr>
          <w:rFonts w:cs="Arial" w:hint="cs"/>
          <w:rtl/>
        </w:rPr>
        <w:t xml:space="preserve"> </w:t>
      </w:r>
      <w:r w:rsidRPr="00144B2C">
        <w:rPr>
          <w:rFonts w:cs="Arial"/>
          <w:u w:val="double"/>
          <w:rtl/>
        </w:rPr>
        <w:t>משנה</w:t>
      </w:r>
      <w:r>
        <w:rPr>
          <w:rFonts w:cs="Arial" w:hint="cs"/>
          <w:rtl/>
        </w:rPr>
        <w:t>:</w:t>
      </w:r>
      <w:r>
        <w:rPr>
          <w:rFonts w:cs="Arial"/>
          <w:rtl/>
        </w:rPr>
        <w:t xml:space="preserve"> נוטל אדם את בנו והאבן בידו, וכלכלה והאבן בתוכה.</w:t>
      </w:r>
      <w:r>
        <w:rPr>
          <w:rFonts w:cs="Arial" w:hint="cs"/>
          <w:rtl/>
        </w:rPr>
        <w:t>.</w:t>
      </w:r>
      <w:r>
        <w:rPr>
          <w:rFonts w:cs="Arial"/>
          <w:rtl/>
        </w:rPr>
        <w:t xml:space="preserve">. </w:t>
      </w:r>
      <w:r>
        <w:rPr>
          <w:rFonts w:hint="cs"/>
          <w:rtl/>
        </w:rPr>
        <w:t xml:space="preserve">         </w:t>
      </w:r>
      <w:r w:rsidRPr="00144B2C">
        <w:rPr>
          <w:rFonts w:cs="Arial"/>
          <w:u w:val="double"/>
          <w:rtl/>
        </w:rPr>
        <w:t>גמרא</w:t>
      </w:r>
      <w:r>
        <w:rPr>
          <w:rFonts w:cs="Arial" w:hint="cs"/>
          <w:sz w:val="14"/>
          <w:szCs w:val="14"/>
          <w:u w:val="double"/>
          <w:rtl/>
        </w:rPr>
        <w:t xml:space="preserve"> (קמב.)</w:t>
      </w:r>
      <w:r>
        <w:rPr>
          <w:rFonts w:cs="Arial" w:hint="cs"/>
          <w:u w:val="double"/>
          <w:rtl/>
        </w:rPr>
        <w:t>:</w:t>
      </w:r>
      <w:r>
        <w:rPr>
          <w:rFonts w:cs="Arial"/>
          <w:rtl/>
        </w:rPr>
        <w:t xml:space="preserve"> </w:t>
      </w:r>
      <w:r w:rsidRPr="00E92624">
        <w:rPr>
          <w:rFonts w:cs="Arial"/>
          <w:rtl/>
        </w:rPr>
        <w:t xml:space="preserve">כלכלה והאבן בתוכה. ואמאי? תיהוי כלכלה בסיס לדבר האסור! </w:t>
      </w:r>
      <w:r w:rsidRPr="00E92624">
        <w:rPr>
          <w:rFonts w:cs="Arial"/>
          <w:u w:val="single"/>
          <w:rtl/>
        </w:rPr>
        <w:t>אמר רבה בר בר חנה אמר רבי יוחנן</w:t>
      </w:r>
      <w:r w:rsidRPr="00E92624">
        <w:rPr>
          <w:rFonts w:cs="Arial"/>
          <w:rtl/>
        </w:rPr>
        <w:t>: הכא בכלכלה מלאה פירות עסקינן. ולישדינהו לפירי, ונישדי לאבן, ונינקטינהו בידים! כדרבי אלעי אמר רב: בפירות המיטנפין, הכא נמי - בפירות המיטנפין</w:t>
      </w:r>
      <w:r>
        <w:rPr>
          <w:rFonts w:cs="Arial" w:hint="cs"/>
          <w:rtl/>
        </w:rPr>
        <w:t>.</w:t>
      </w:r>
      <w:r w:rsidRPr="00E92624">
        <w:rPr>
          <w:rFonts w:cs="Arial"/>
          <w:rtl/>
        </w:rPr>
        <w:t xml:space="preserve"> ולינערינהו נעורי</w:t>
      </w:r>
      <w:r w:rsidR="000A424C">
        <w:rPr>
          <w:rStyle w:val="a9"/>
          <w:rFonts w:cs="Arial"/>
          <w:rtl/>
        </w:rPr>
        <w:footnoteReference w:id="1771"/>
      </w:r>
      <w:r w:rsidRPr="00E92624">
        <w:rPr>
          <w:rFonts w:cs="Arial"/>
          <w:rtl/>
        </w:rPr>
        <w:t xml:space="preserve">! </w:t>
      </w:r>
      <w:r w:rsidRPr="00E92624">
        <w:rPr>
          <w:rFonts w:cs="Arial"/>
          <w:u w:val="single"/>
          <w:rtl/>
        </w:rPr>
        <w:t>אמר רב חייא בר אשי אמר רבא</w:t>
      </w:r>
      <w:r w:rsidRPr="00E92624">
        <w:rPr>
          <w:rFonts w:cs="Arial"/>
          <w:rtl/>
        </w:rPr>
        <w:t>: הכא בכלכלה פחותה</w:t>
      </w:r>
      <w:r w:rsidR="000A424C">
        <w:rPr>
          <w:rStyle w:val="a9"/>
          <w:rFonts w:cs="Arial"/>
          <w:rtl/>
        </w:rPr>
        <w:footnoteReference w:id="1772"/>
      </w:r>
      <w:r w:rsidRPr="00E92624">
        <w:rPr>
          <w:rFonts w:cs="Arial"/>
          <w:rtl/>
        </w:rPr>
        <w:t xml:space="preserve"> עסקינן, דאבן גופה נעשית דופן לכלכלה. </w:t>
      </w:r>
    </w:p>
    <w:p w14:paraId="6F9E8B84" w14:textId="69DE404B" w:rsidR="000A424C" w:rsidRPr="000A424C" w:rsidRDefault="000A424C" w:rsidP="00434A6A">
      <w:pPr>
        <w:rPr>
          <w:rFonts w:cs="Arial"/>
          <w:rtl/>
        </w:rPr>
      </w:pPr>
      <w:r w:rsidRPr="002A45F7">
        <w:rPr>
          <w:rFonts w:hint="cs"/>
          <w:b/>
          <w:bCs/>
          <w:rtl/>
        </w:rPr>
        <w:t xml:space="preserve">שבת </w:t>
      </w:r>
      <w:r>
        <w:rPr>
          <w:rFonts w:hint="cs"/>
          <w:b/>
          <w:bCs/>
          <w:sz w:val="16"/>
          <w:szCs w:val="16"/>
          <w:rtl/>
        </w:rPr>
        <w:t>(פ' כל הכלים)</w:t>
      </w:r>
      <w:r>
        <w:rPr>
          <w:rFonts w:hint="cs"/>
          <w:b/>
          <w:bCs/>
          <w:rtl/>
        </w:rPr>
        <w:t xml:space="preserve"> קכה</w:t>
      </w:r>
      <w:r w:rsidRPr="002A45F7">
        <w:rPr>
          <w:rFonts w:hint="cs"/>
          <w:b/>
          <w:bCs/>
          <w:rtl/>
        </w:rPr>
        <w:t xml:space="preserve"> ע"</w:t>
      </w:r>
      <w:r>
        <w:rPr>
          <w:rFonts w:hint="cs"/>
          <w:b/>
          <w:bCs/>
          <w:rtl/>
        </w:rPr>
        <w:t>ב</w:t>
      </w:r>
      <w:r w:rsidRPr="002A45F7">
        <w:rPr>
          <w:rFonts w:hint="cs"/>
          <w:b/>
          <w:bCs/>
          <w:rtl/>
        </w:rPr>
        <w:t>:</w:t>
      </w:r>
      <w:r w:rsidRPr="00C6298D">
        <w:rPr>
          <w:rFonts w:cs="Arial"/>
          <w:rtl/>
        </w:rPr>
        <w:t xml:space="preserve"> תנן התם</w:t>
      </w:r>
      <w:r>
        <w:rPr>
          <w:rStyle w:val="a9"/>
          <w:rFonts w:cs="Arial"/>
          <w:rtl/>
        </w:rPr>
        <w:footnoteReference w:id="1773"/>
      </w:r>
      <w:r w:rsidRPr="00C6298D">
        <w:rPr>
          <w:rFonts w:cs="Arial"/>
          <w:rtl/>
        </w:rPr>
        <w:t>: אבן שעל פי החבית</w:t>
      </w:r>
      <w:r>
        <w:rPr>
          <w:rStyle w:val="a9"/>
          <w:rFonts w:cs="Arial"/>
          <w:rtl/>
        </w:rPr>
        <w:footnoteReference w:id="1774"/>
      </w:r>
      <w:r>
        <w:rPr>
          <w:rFonts w:cs="Arial" w:hint="cs"/>
          <w:rtl/>
        </w:rPr>
        <w:t>,</w:t>
      </w:r>
      <w:r w:rsidRPr="00C6298D">
        <w:rPr>
          <w:rFonts w:cs="Arial"/>
          <w:rtl/>
        </w:rPr>
        <w:t xml:space="preserve"> מטה על צידה והיא נופלת. </w:t>
      </w:r>
      <w:r w:rsidRPr="00C6298D">
        <w:rPr>
          <w:rFonts w:cs="Arial"/>
          <w:u w:val="single"/>
          <w:rtl/>
        </w:rPr>
        <w:t>אמר רבה אמר רבי אמי אמר רבי יוחנן</w:t>
      </w:r>
      <w:r w:rsidRPr="00C6298D">
        <w:rPr>
          <w:rFonts w:cs="Arial"/>
          <w:rtl/>
        </w:rPr>
        <w:t>: לא שנו אלא בשוכח, אבל במניח - נעשה בסיס לדבר האסור.</w:t>
      </w:r>
      <w:r>
        <w:rPr>
          <w:rFonts w:cs="Arial" w:hint="cs"/>
          <w:rtl/>
        </w:rPr>
        <w:t>..</w:t>
      </w:r>
      <w:r w:rsidRPr="00C6298D">
        <w:rPr>
          <w:rFonts w:cs="Arial"/>
          <w:rtl/>
        </w:rPr>
        <w:t xml:space="preserve"> </w:t>
      </w:r>
      <w:r w:rsidRPr="00C6298D">
        <w:rPr>
          <w:rFonts w:cs="Arial"/>
          <w:u w:val="single"/>
          <w:rtl/>
        </w:rPr>
        <w:t>אמר רב</w:t>
      </w:r>
      <w:r w:rsidRPr="00E15F81">
        <w:rPr>
          <w:rFonts w:cs="Arial"/>
          <w:u w:val="single"/>
          <w:rtl/>
        </w:rPr>
        <w:t>ה</w:t>
      </w:r>
      <w:r w:rsidRPr="00C6298D">
        <w:rPr>
          <w:rFonts w:cs="Arial"/>
          <w:rtl/>
        </w:rPr>
        <w:t>: מותבינן אשמעתין</w:t>
      </w:r>
      <w:r>
        <w:rPr>
          <w:rStyle w:val="a9"/>
          <w:rFonts w:cs="Arial"/>
          <w:rtl/>
        </w:rPr>
        <w:footnoteReference w:id="1775"/>
      </w:r>
      <w:r>
        <w:rPr>
          <w:rFonts w:cs="Arial" w:hint="cs"/>
          <w:rtl/>
        </w:rPr>
        <w:t>;</w:t>
      </w:r>
      <w:r w:rsidRPr="00C6298D">
        <w:rPr>
          <w:rFonts w:cs="Arial"/>
          <w:rtl/>
        </w:rPr>
        <w:t xml:space="preserve"> האבן שבקירויה אם ממלאין בה ואינה נופלת</w:t>
      </w:r>
      <w:r>
        <w:rPr>
          <w:rFonts w:cs="Arial" w:hint="cs"/>
          <w:rtl/>
        </w:rPr>
        <w:t xml:space="preserve"> -</w:t>
      </w:r>
      <w:r w:rsidRPr="00C6298D">
        <w:rPr>
          <w:rFonts w:cs="Arial"/>
          <w:rtl/>
        </w:rPr>
        <w:t xml:space="preserve"> ממלאין בה</w:t>
      </w:r>
      <w:r>
        <w:rPr>
          <w:rStyle w:val="a9"/>
          <w:rFonts w:cs="Arial"/>
          <w:rtl/>
        </w:rPr>
        <w:footnoteReference w:id="1776"/>
      </w:r>
      <w:r w:rsidRPr="00C6298D">
        <w:rPr>
          <w:rFonts w:cs="Arial"/>
          <w:rtl/>
        </w:rPr>
        <w:t>! ולא היא, התם כיון דהדקה</w:t>
      </w:r>
      <w:r>
        <w:rPr>
          <w:rStyle w:val="a9"/>
          <w:rFonts w:cs="Arial"/>
          <w:rtl/>
        </w:rPr>
        <w:footnoteReference w:id="1777"/>
      </w:r>
      <w:r w:rsidRPr="00C6298D">
        <w:rPr>
          <w:rFonts w:cs="Arial"/>
          <w:rtl/>
        </w:rPr>
        <w:t xml:space="preserve"> - שויא דופן</w:t>
      </w:r>
      <w:r>
        <w:rPr>
          <w:rFonts w:cs="Arial" w:hint="cs"/>
          <w:rtl/>
        </w:rPr>
        <w:t>.</w:t>
      </w:r>
      <w:r w:rsidRPr="00C6298D">
        <w:rPr>
          <w:rFonts w:cs="Arial"/>
          <w:rtl/>
        </w:rPr>
        <w:t xml:space="preserve"> </w:t>
      </w:r>
    </w:p>
    <w:p w14:paraId="4EB0B202" w14:textId="6E036D37" w:rsidR="000A424C" w:rsidRPr="000A424C" w:rsidRDefault="000A424C" w:rsidP="00434A6A">
      <w:pPr>
        <w:rPr>
          <w:u w:val="single"/>
          <w:rtl/>
        </w:rPr>
      </w:pPr>
      <w:r w:rsidRPr="000A424C">
        <w:rPr>
          <w:rFonts w:hint="cs"/>
          <w:u w:val="single"/>
          <w:rtl/>
        </w:rPr>
        <w:t>כלי שיש בו אבן לצורך הכלי:</w:t>
      </w:r>
    </w:p>
    <w:p w14:paraId="60EB0E81" w14:textId="3F6BB5CB" w:rsidR="00551266" w:rsidRPr="00551266" w:rsidRDefault="00551266" w:rsidP="00434A6A">
      <w:pPr>
        <w:pStyle w:val="aa"/>
        <w:numPr>
          <w:ilvl w:val="0"/>
          <w:numId w:val="15"/>
        </w:numPr>
      </w:pPr>
      <w:r>
        <w:rPr>
          <w:rFonts w:hint="cs"/>
          <w:rtl/>
        </w:rPr>
        <w:t>טור-</w:t>
      </w:r>
      <w:r>
        <w:rPr>
          <w:rFonts w:cs="Arial" w:hint="cs"/>
          <w:rtl/>
        </w:rPr>
        <w:t xml:space="preserve"> </w:t>
      </w:r>
      <w:r w:rsidRPr="00FC5BE5">
        <w:rPr>
          <w:rFonts w:cs="Arial"/>
          <w:rtl/>
        </w:rPr>
        <w:t>כלכלה שהיתה נקובה וסתמה באבן</w:t>
      </w:r>
      <w:r w:rsidR="000A424C">
        <w:rPr>
          <w:rFonts w:cs="Arial" w:hint="cs"/>
          <w:rtl/>
        </w:rPr>
        <w:t xml:space="preserve"> -</w:t>
      </w:r>
      <w:r w:rsidRPr="00FC5BE5">
        <w:rPr>
          <w:rFonts w:cs="Arial"/>
          <w:rtl/>
        </w:rPr>
        <w:t xml:space="preserve"> מותר לטלטלה</w:t>
      </w:r>
      <w:r w:rsidR="000A424C">
        <w:rPr>
          <w:rFonts w:cs="Arial" w:hint="cs"/>
          <w:rtl/>
        </w:rPr>
        <w:t>,</w:t>
      </w:r>
      <w:r w:rsidRPr="00FC5BE5">
        <w:rPr>
          <w:rFonts w:cs="Arial"/>
          <w:rtl/>
        </w:rPr>
        <w:t xml:space="preserve"> שהרי נעשה האבן דופנה</w:t>
      </w:r>
      <w:r w:rsidR="000A424C">
        <w:rPr>
          <w:rFonts w:cs="Arial" w:hint="cs"/>
          <w:rtl/>
        </w:rPr>
        <w:t>.</w:t>
      </w:r>
      <w:r w:rsidRPr="00FC5BE5">
        <w:rPr>
          <w:rFonts w:cs="Arial"/>
          <w:rtl/>
        </w:rPr>
        <w:t xml:space="preserve"> וכן דלעת שתולין בה אבן כדי להכביד למלאות בה</w:t>
      </w:r>
      <w:r w:rsidR="000A424C">
        <w:rPr>
          <w:rFonts w:cs="Arial" w:hint="cs"/>
          <w:rtl/>
        </w:rPr>
        <w:t>,</w:t>
      </w:r>
      <w:r w:rsidRPr="00FC5BE5">
        <w:rPr>
          <w:rFonts w:cs="Arial"/>
          <w:rtl/>
        </w:rPr>
        <w:t xml:space="preserve"> אם הוא קשור יפה שאינו נופל </w:t>
      </w:r>
      <w:r w:rsidR="000A424C">
        <w:rPr>
          <w:rFonts w:cs="Arial" w:hint="cs"/>
          <w:rtl/>
        </w:rPr>
        <w:t xml:space="preserve">- </w:t>
      </w:r>
      <w:r w:rsidRPr="00FC5BE5">
        <w:rPr>
          <w:rFonts w:cs="Arial"/>
          <w:rtl/>
        </w:rPr>
        <w:t>מותר למלאות בה</w:t>
      </w:r>
      <w:r w:rsidR="000A424C">
        <w:rPr>
          <w:rFonts w:cs="Arial" w:hint="cs"/>
          <w:rtl/>
        </w:rPr>
        <w:t>,</w:t>
      </w:r>
      <w:r w:rsidRPr="00FC5BE5">
        <w:rPr>
          <w:rFonts w:cs="Arial"/>
          <w:rtl/>
        </w:rPr>
        <w:t xml:space="preserve"> שהיא כמו הדלעת עצמה שהוא בטל אגבה</w:t>
      </w:r>
      <w:r w:rsidR="000A424C">
        <w:rPr>
          <w:rFonts w:cs="Arial" w:hint="cs"/>
          <w:rtl/>
        </w:rPr>
        <w:t>.</w:t>
      </w:r>
      <w:r w:rsidRPr="00FC5BE5">
        <w:rPr>
          <w:rFonts w:cs="Arial"/>
          <w:rtl/>
        </w:rPr>
        <w:t xml:space="preserve"> ואם לאו </w:t>
      </w:r>
      <w:r w:rsidR="000A424C">
        <w:rPr>
          <w:rFonts w:cs="Arial" w:hint="cs"/>
          <w:rtl/>
        </w:rPr>
        <w:t xml:space="preserve">- </w:t>
      </w:r>
      <w:r w:rsidRPr="00FC5BE5">
        <w:rPr>
          <w:rFonts w:cs="Arial"/>
          <w:rtl/>
        </w:rPr>
        <w:t xml:space="preserve">אסור למלאות בה. </w:t>
      </w:r>
      <w:r w:rsidR="002879E9" w:rsidRPr="006B1538">
        <w:rPr>
          <w:rFonts w:cs="Arial" w:hint="cs"/>
          <w:color w:val="E36C0A" w:themeColor="accent6" w:themeShade="BF"/>
          <w:rtl/>
        </w:rPr>
        <w:t>(וכ"פ בשו"ע)</w:t>
      </w:r>
    </w:p>
    <w:p w14:paraId="30E4344F" w14:textId="77777777" w:rsidR="00FC5BE5" w:rsidRPr="005275DF" w:rsidRDefault="00FC5BE5" w:rsidP="00434A6A">
      <w:pPr>
        <w:rPr>
          <w:rFonts w:asciiTheme="minorBidi" w:hAnsiTheme="minorBidi"/>
          <w:rtl/>
        </w:rPr>
      </w:pPr>
      <w:r w:rsidRPr="005275DF">
        <w:rPr>
          <w:rFonts w:asciiTheme="minorBidi" w:hAnsiTheme="minorBidi"/>
          <w:b/>
          <w:bCs/>
          <w:sz w:val="32"/>
          <w:szCs w:val="28"/>
          <w:u w:val="single"/>
          <w:rtl/>
        </w:rPr>
        <w:t xml:space="preserve">שו"ע: </w:t>
      </w:r>
    </w:p>
    <w:p w14:paraId="33AD1AD3" w14:textId="13502AFC" w:rsidR="000C6229" w:rsidRPr="005275DF" w:rsidRDefault="000C6229" w:rsidP="00434A6A">
      <w:pPr>
        <w:rPr>
          <w:rFonts w:asciiTheme="minorBidi" w:hAnsiTheme="minorBidi"/>
          <w:rtl/>
        </w:rPr>
      </w:pPr>
      <w:r w:rsidRPr="005275DF">
        <w:rPr>
          <w:rFonts w:asciiTheme="minorBidi" w:hAnsiTheme="minorBidi"/>
          <w:rtl/>
        </w:rPr>
        <w:t>כלכלה שהיתה נקובה וסתמה באבן, מותר לטלטלה שהרי נעשה כדופנה</w:t>
      </w:r>
      <w:r w:rsidR="0040186F">
        <w:rPr>
          <w:rStyle w:val="a9"/>
          <w:rFonts w:asciiTheme="minorBidi" w:hAnsiTheme="minorBidi"/>
          <w:rtl/>
        </w:rPr>
        <w:footnoteReference w:id="1778"/>
      </w:r>
      <w:r w:rsidR="000A424C">
        <w:rPr>
          <w:rFonts w:asciiTheme="minorBidi" w:hAnsiTheme="minorBidi" w:hint="cs"/>
          <w:rtl/>
        </w:rPr>
        <w:t>.</w:t>
      </w:r>
      <w:r w:rsidRPr="005275DF">
        <w:rPr>
          <w:rFonts w:asciiTheme="minorBidi" w:hAnsiTheme="minorBidi"/>
          <w:rtl/>
        </w:rPr>
        <w:t xml:space="preserve"> וכן דלעת שתולין בה אבן כדי להכבידה למלאת בה מים, אם הוא קשור יפה שאינו נופל מותר למלאת בה</w:t>
      </w:r>
      <w:r w:rsidR="000A424C">
        <w:rPr>
          <w:rFonts w:asciiTheme="minorBidi" w:hAnsiTheme="minorBidi" w:hint="cs"/>
          <w:rtl/>
        </w:rPr>
        <w:t>,</w:t>
      </w:r>
      <w:r w:rsidRPr="005275DF">
        <w:rPr>
          <w:rFonts w:asciiTheme="minorBidi" w:hAnsiTheme="minorBidi"/>
          <w:rtl/>
        </w:rPr>
        <w:t xml:space="preserve"> שהוא כמו הדלעת עצמה שהוא בטל אגבה</w:t>
      </w:r>
      <w:r w:rsidR="000A424C">
        <w:rPr>
          <w:rFonts w:asciiTheme="minorBidi" w:hAnsiTheme="minorBidi" w:hint="cs"/>
          <w:rtl/>
        </w:rPr>
        <w:t>.</w:t>
      </w:r>
      <w:r w:rsidRPr="005275DF">
        <w:rPr>
          <w:rFonts w:asciiTheme="minorBidi" w:hAnsiTheme="minorBidi"/>
          <w:rtl/>
        </w:rPr>
        <w:t xml:space="preserve"> ואם לאו, אסור. </w:t>
      </w:r>
    </w:p>
    <w:p w14:paraId="12EAECE4" w14:textId="77777777" w:rsidR="000C6229" w:rsidRPr="005275DF" w:rsidRDefault="000C6229" w:rsidP="00434A6A">
      <w:pPr>
        <w:rPr>
          <w:rFonts w:asciiTheme="minorBidi" w:hAnsiTheme="minorBidi"/>
          <w:rtl/>
        </w:rPr>
      </w:pPr>
    </w:p>
    <w:p w14:paraId="598EB14E" w14:textId="3DB23959" w:rsidR="000C6229" w:rsidRDefault="000C6229" w:rsidP="00434A6A">
      <w:pPr>
        <w:pStyle w:val="2"/>
        <w:rPr>
          <w:rtl/>
        </w:rPr>
      </w:pPr>
      <w:r w:rsidRPr="005275DF">
        <w:rPr>
          <w:rtl/>
        </w:rPr>
        <w:t>סעיף ג</w:t>
      </w:r>
      <w:r w:rsidR="00FC5BE5">
        <w:rPr>
          <w:rFonts w:hint="cs"/>
          <w:rtl/>
        </w:rPr>
        <w:t>:</w:t>
      </w:r>
      <w:r w:rsidR="00C32958">
        <w:rPr>
          <w:rFonts w:hint="cs"/>
          <w:rtl/>
        </w:rPr>
        <w:t xml:space="preserve"> </w:t>
      </w:r>
      <w:r w:rsidR="002879E9">
        <w:rPr>
          <w:rFonts w:hint="cs"/>
          <w:rtl/>
        </w:rPr>
        <w:t>בסיס לדבר האסור והמותר</w:t>
      </w:r>
      <w:r w:rsidR="00C32958">
        <w:rPr>
          <w:rFonts w:hint="cs"/>
          <w:rtl/>
        </w:rPr>
        <w:t>.</w:t>
      </w:r>
    </w:p>
    <w:p w14:paraId="17E479AE" w14:textId="0AD9739F" w:rsidR="0040186F" w:rsidRDefault="0040186F" w:rsidP="00434A6A">
      <w:pPr>
        <w:rPr>
          <w:rtl/>
        </w:rPr>
      </w:pPr>
      <w:r w:rsidRPr="00DF4C09">
        <w:rPr>
          <w:rFonts w:cs="Arial" w:hint="cs"/>
          <w:b/>
          <w:bCs/>
          <w:rtl/>
        </w:rPr>
        <w:t xml:space="preserve">שבת </w:t>
      </w:r>
      <w:r>
        <w:rPr>
          <w:rFonts w:cs="Arial" w:hint="cs"/>
          <w:b/>
          <w:bCs/>
          <w:sz w:val="16"/>
          <w:szCs w:val="16"/>
          <w:rtl/>
        </w:rPr>
        <w:t>(ר"פ נוטל)</w:t>
      </w:r>
      <w:r>
        <w:rPr>
          <w:rFonts w:cs="Arial" w:hint="cs"/>
          <w:b/>
          <w:bCs/>
          <w:rtl/>
        </w:rPr>
        <w:t xml:space="preserve"> קמא</w:t>
      </w:r>
      <w:r w:rsidRPr="00DF4C09">
        <w:rPr>
          <w:rFonts w:cs="Arial" w:hint="cs"/>
          <w:b/>
          <w:bCs/>
          <w:rtl/>
        </w:rPr>
        <w:t xml:space="preserve"> ע"</w:t>
      </w:r>
      <w:r>
        <w:rPr>
          <w:rFonts w:cs="Arial" w:hint="cs"/>
          <w:b/>
          <w:bCs/>
          <w:rtl/>
        </w:rPr>
        <w:t>ב</w:t>
      </w:r>
      <w:r w:rsidRPr="00DF4C09">
        <w:rPr>
          <w:rFonts w:cs="Arial" w:hint="cs"/>
          <w:b/>
          <w:bCs/>
          <w:rtl/>
        </w:rPr>
        <w:t>:</w:t>
      </w:r>
      <w:r>
        <w:rPr>
          <w:rFonts w:cs="Arial" w:hint="cs"/>
          <w:rtl/>
        </w:rPr>
        <w:t xml:space="preserve"> </w:t>
      </w:r>
      <w:r w:rsidRPr="00144B2C">
        <w:rPr>
          <w:rFonts w:cs="Arial"/>
          <w:u w:val="double"/>
          <w:rtl/>
        </w:rPr>
        <w:t>משנה</w:t>
      </w:r>
      <w:r>
        <w:rPr>
          <w:rFonts w:cs="Arial" w:hint="cs"/>
          <w:rtl/>
        </w:rPr>
        <w:t>:</w:t>
      </w:r>
      <w:r>
        <w:rPr>
          <w:rFonts w:cs="Arial"/>
          <w:rtl/>
        </w:rPr>
        <w:t xml:space="preserve"> נוטל אדם את בנו והאבן בידו, וכלכלה והאבן בתוכה.</w:t>
      </w:r>
      <w:r>
        <w:rPr>
          <w:rFonts w:cs="Arial" w:hint="cs"/>
          <w:rtl/>
        </w:rPr>
        <w:t>.</w:t>
      </w:r>
      <w:r>
        <w:rPr>
          <w:rFonts w:cs="Arial"/>
          <w:rtl/>
        </w:rPr>
        <w:t xml:space="preserve">. </w:t>
      </w:r>
      <w:r>
        <w:rPr>
          <w:rFonts w:hint="cs"/>
          <w:rtl/>
        </w:rPr>
        <w:t xml:space="preserve">         </w:t>
      </w:r>
      <w:r w:rsidRPr="00144B2C">
        <w:rPr>
          <w:rFonts w:cs="Arial"/>
          <w:u w:val="double"/>
          <w:rtl/>
        </w:rPr>
        <w:t>גמרא</w:t>
      </w:r>
      <w:r>
        <w:rPr>
          <w:rFonts w:cs="Arial" w:hint="cs"/>
          <w:sz w:val="14"/>
          <w:szCs w:val="14"/>
          <w:u w:val="double"/>
          <w:rtl/>
        </w:rPr>
        <w:t xml:space="preserve"> (קמב.)</w:t>
      </w:r>
      <w:r>
        <w:rPr>
          <w:rFonts w:cs="Arial" w:hint="cs"/>
          <w:u w:val="double"/>
          <w:rtl/>
        </w:rPr>
        <w:t>:</w:t>
      </w:r>
      <w:r>
        <w:rPr>
          <w:rFonts w:cs="Arial"/>
          <w:rtl/>
        </w:rPr>
        <w:t xml:space="preserve"> </w:t>
      </w:r>
      <w:r w:rsidRPr="00E92624">
        <w:rPr>
          <w:rFonts w:cs="Arial"/>
          <w:rtl/>
        </w:rPr>
        <w:t xml:space="preserve">כלכלה והאבן בתוכה. ואמאי? תיהוי כלכלה בסיס לדבר האסור! </w:t>
      </w:r>
      <w:r w:rsidRPr="00E92624">
        <w:rPr>
          <w:rFonts w:cs="Arial"/>
          <w:u w:val="single"/>
          <w:rtl/>
        </w:rPr>
        <w:t>אמר רבה בר בר חנה אמר רבי יוחנן</w:t>
      </w:r>
      <w:r w:rsidRPr="00E92624">
        <w:rPr>
          <w:rFonts w:cs="Arial"/>
          <w:rtl/>
        </w:rPr>
        <w:t>: הכא בכלכלה מלאה פירות</w:t>
      </w:r>
      <w:r>
        <w:rPr>
          <w:rStyle w:val="a9"/>
          <w:rFonts w:cs="Arial"/>
          <w:rtl/>
        </w:rPr>
        <w:footnoteReference w:id="1779"/>
      </w:r>
      <w:r w:rsidRPr="00E92624">
        <w:rPr>
          <w:rFonts w:cs="Arial"/>
          <w:rtl/>
        </w:rPr>
        <w:t xml:space="preserve"> עסקינן. ולישדינהו לפירי, ונישדי לאבן, ונינקטינהו בידים</w:t>
      </w:r>
      <w:r>
        <w:rPr>
          <w:rStyle w:val="a9"/>
          <w:rFonts w:cs="Arial"/>
          <w:rtl/>
        </w:rPr>
        <w:footnoteReference w:id="1780"/>
      </w:r>
      <w:r w:rsidRPr="00E92624">
        <w:rPr>
          <w:rFonts w:cs="Arial"/>
          <w:rtl/>
        </w:rPr>
        <w:t>! כדרבי אלעי אמר רב: בפירות המיטנפין</w:t>
      </w:r>
      <w:r>
        <w:rPr>
          <w:rStyle w:val="a9"/>
          <w:rFonts w:cs="Arial"/>
          <w:rtl/>
        </w:rPr>
        <w:footnoteReference w:id="1781"/>
      </w:r>
      <w:r w:rsidRPr="00E92624">
        <w:rPr>
          <w:rFonts w:cs="Arial"/>
          <w:rtl/>
        </w:rPr>
        <w:t>, הכא נמי - בפירות המיטנפין</w:t>
      </w:r>
      <w:r>
        <w:rPr>
          <w:rFonts w:cs="Arial" w:hint="cs"/>
          <w:rtl/>
        </w:rPr>
        <w:t>.</w:t>
      </w:r>
      <w:r w:rsidRPr="00E92624">
        <w:rPr>
          <w:rFonts w:cs="Arial"/>
          <w:rtl/>
        </w:rPr>
        <w:t xml:space="preserve"> </w:t>
      </w:r>
      <w:r w:rsidR="0024577B">
        <w:rPr>
          <w:rFonts w:cs="Arial" w:hint="cs"/>
          <w:rtl/>
        </w:rPr>
        <w:t>[</w:t>
      </w:r>
      <w:r w:rsidRPr="00E92624">
        <w:rPr>
          <w:rFonts w:cs="Arial"/>
          <w:rtl/>
        </w:rPr>
        <w:t>ולינערינהו נעורי</w:t>
      </w:r>
      <w:r>
        <w:rPr>
          <w:rStyle w:val="a9"/>
          <w:rFonts w:cs="Arial"/>
          <w:rtl/>
        </w:rPr>
        <w:footnoteReference w:id="1782"/>
      </w:r>
      <w:r w:rsidRPr="00E92624">
        <w:rPr>
          <w:rFonts w:cs="Arial"/>
          <w:rtl/>
        </w:rPr>
        <w:t>!</w:t>
      </w:r>
      <w:r w:rsidR="0024577B">
        <w:rPr>
          <w:rFonts w:cs="Arial" w:hint="cs"/>
          <w:rtl/>
        </w:rPr>
        <w:t>]</w:t>
      </w:r>
      <w:r w:rsidRPr="00E92624">
        <w:rPr>
          <w:rFonts w:cs="Arial"/>
          <w:rtl/>
        </w:rPr>
        <w:t xml:space="preserve"> </w:t>
      </w:r>
      <w:r w:rsidRPr="00E92624">
        <w:rPr>
          <w:rFonts w:cs="Arial"/>
          <w:u w:val="single"/>
          <w:rtl/>
        </w:rPr>
        <w:t>אמר רב חייא בר אשי אמר רבא</w:t>
      </w:r>
      <w:r w:rsidRPr="00E92624">
        <w:rPr>
          <w:rFonts w:cs="Arial"/>
          <w:rtl/>
        </w:rPr>
        <w:t>: הכא בכלכלה פחותה</w:t>
      </w:r>
      <w:r>
        <w:rPr>
          <w:rStyle w:val="a9"/>
          <w:rFonts w:cs="Arial"/>
          <w:rtl/>
        </w:rPr>
        <w:footnoteReference w:id="1783"/>
      </w:r>
      <w:r w:rsidRPr="00E92624">
        <w:rPr>
          <w:rFonts w:cs="Arial"/>
          <w:rtl/>
        </w:rPr>
        <w:t xml:space="preserve"> עסקינן, דאבן גופה נעשית דופן לכלכלה. </w:t>
      </w:r>
      <w:r w:rsidR="0024577B" w:rsidRPr="0024577B">
        <w:rPr>
          <w:rFonts w:cs="Arial" w:hint="cs"/>
          <w:sz w:val="16"/>
          <w:szCs w:val="16"/>
          <w:rtl/>
        </w:rPr>
        <w:t>(</w:t>
      </w:r>
      <w:r w:rsidR="0024577B" w:rsidRPr="0024577B">
        <w:rPr>
          <w:rFonts w:cs="Arial"/>
          <w:sz w:val="16"/>
          <w:szCs w:val="16"/>
          <w:rtl/>
        </w:rPr>
        <w:t>ולפי זה לא שרינן לטלטולי כלכלה עם אבן שבתוכה אלא דוקא כשהיא פחותה וכו'</w:t>
      </w:r>
      <w:r w:rsidR="0024577B" w:rsidRPr="0024577B">
        <w:rPr>
          <w:rFonts w:cs="Arial" w:hint="cs"/>
          <w:sz w:val="16"/>
          <w:szCs w:val="16"/>
          <w:rtl/>
        </w:rPr>
        <w:t>,</w:t>
      </w:r>
      <w:r w:rsidR="0024577B" w:rsidRPr="0024577B">
        <w:rPr>
          <w:rFonts w:cs="Arial"/>
          <w:sz w:val="16"/>
          <w:szCs w:val="16"/>
          <w:rtl/>
        </w:rPr>
        <w:t xml:space="preserve"> אבל אם היא שלמה אע</w:t>
      </w:r>
      <w:r w:rsidR="00B77403">
        <w:rPr>
          <w:rFonts w:cs="Arial" w:hint="cs"/>
          <w:sz w:val="16"/>
          <w:szCs w:val="16"/>
          <w:rtl/>
        </w:rPr>
        <w:t>"</w:t>
      </w:r>
      <w:r w:rsidR="0024577B" w:rsidRPr="0024577B">
        <w:rPr>
          <w:rFonts w:cs="Arial"/>
          <w:sz w:val="16"/>
          <w:szCs w:val="16"/>
          <w:rtl/>
        </w:rPr>
        <w:t>פ שיש בתוכה פירות המיטנפים אין מטלטלין אותה עם האבן שבתוכה</w:t>
      </w:r>
      <w:r w:rsidR="0024577B" w:rsidRPr="0024577B">
        <w:rPr>
          <w:rFonts w:cs="Arial" w:hint="cs"/>
          <w:sz w:val="16"/>
          <w:szCs w:val="16"/>
          <w:rtl/>
        </w:rPr>
        <w:t>.</w:t>
      </w:r>
      <w:r w:rsidR="0024577B" w:rsidRPr="0024577B">
        <w:rPr>
          <w:rFonts w:cs="Arial"/>
          <w:sz w:val="16"/>
          <w:szCs w:val="16"/>
          <w:rtl/>
        </w:rPr>
        <w:t xml:space="preserve"> וכן נראה מדברי הר"ן (נט. ד"ה ומוקמינן)</w:t>
      </w:r>
      <w:r w:rsidR="0024577B" w:rsidRPr="0024577B">
        <w:rPr>
          <w:rFonts w:cs="Arial" w:hint="cs"/>
          <w:sz w:val="16"/>
          <w:szCs w:val="16"/>
          <w:rtl/>
        </w:rPr>
        <w:t>.</w:t>
      </w:r>
      <w:r w:rsidR="0024577B" w:rsidRPr="0024577B">
        <w:rPr>
          <w:rFonts w:cs="Arial"/>
          <w:sz w:val="16"/>
          <w:szCs w:val="16"/>
          <w:rtl/>
        </w:rPr>
        <w:t xml:space="preserve"> אבל הרמב"ם כתב בפכ"ה (הט"ז) שאם יש בה פירות המיטנפים מטלטלין אותה עם האבן שבתוכה דבמקום הפסד לא גזרו. וכתב הה</w:t>
      </w:r>
      <w:r w:rsidR="0024577B">
        <w:rPr>
          <w:rFonts w:cs="Arial" w:hint="cs"/>
          <w:sz w:val="16"/>
          <w:szCs w:val="16"/>
          <w:rtl/>
        </w:rPr>
        <w:t>"</w:t>
      </w:r>
      <w:r w:rsidR="0024577B" w:rsidRPr="0024577B">
        <w:rPr>
          <w:rFonts w:cs="Arial"/>
          <w:sz w:val="16"/>
          <w:szCs w:val="16"/>
          <w:rtl/>
        </w:rPr>
        <w:t xml:space="preserve">מ שעל כרחך לומר שאין בגירסתו </w:t>
      </w:r>
      <w:r w:rsidR="0024577B">
        <w:rPr>
          <w:rFonts w:cs="Arial" w:hint="cs"/>
          <w:sz w:val="16"/>
          <w:szCs w:val="16"/>
          <w:rtl/>
        </w:rPr>
        <w:t>'</w:t>
      </w:r>
      <w:r w:rsidR="0024577B" w:rsidRPr="0024577B">
        <w:rPr>
          <w:rFonts w:cs="Arial"/>
          <w:sz w:val="16"/>
          <w:szCs w:val="16"/>
          <w:rtl/>
        </w:rPr>
        <w:t>ולינערינהו נעורי</w:t>
      </w:r>
      <w:r w:rsidR="0024577B">
        <w:rPr>
          <w:rFonts w:cs="Arial" w:hint="cs"/>
          <w:sz w:val="16"/>
          <w:szCs w:val="16"/>
          <w:rtl/>
        </w:rPr>
        <w:t>'</w:t>
      </w:r>
      <w:r w:rsidR="0024577B" w:rsidRPr="0024577B">
        <w:rPr>
          <w:rFonts w:cs="Arial" w:hint="cs"/>
          <w:sz w:val="16"/>
          <w:szCs w:val="16"/>
          <w:rtl/>
        </w:rPr>
        <w:t>,</w:t>
      </w:r>
      <w:r w:rsidR="0024577B" w:rsidRPr="0024577B">
        <w:rPr>
          <w:rFonts w:cs="Arial"/>
          <w:sz w:val="16"/>
          <w:szCs w:val="16"/>
          <w:rtl/>
        </w:rPr>
        <w:t xml:space="preserve"> ורב חייא בר אשי בשם רב עושה אוקימתא אחריתא</w:t>
      </w:r>
      <w:r w:rsidR="0024577B" w:rsidRPr="0024577B">
        <w:rPr>
          <w:rFonts w:cs="Arial" w:hint="cs"/>
          <w:sz w:val="16"/>
          <w:szCs w:val="16"/>
          <w:rtl/>
        </w:rPr>
        <w:t>,</w:t>
      </w:r>
      <w:r w:rsidR="0024577B" w:rsidRPr="0024577B">
        <w:rPr>
          <w:rFonts w:cs="Arial"/>
          <w:sz w:val="16"/>
          <w:szCs w:val="16"/>
          <w:rtl/>
        </w:rPr>
        <w:t xml:space="preserve"> ושתיהן אמת</w:t>
      </w:r>
      <w:r w:rsidR="0024577B" w:rsidRPr="0024577B">
        <w:rPr>
          <w:rFonts w:cs="Arial" w:hint="cs"/>
          <w:sz w:val="16"/>
          <w:szCs w:val="16"/>
          <w:rtl/>
        </w:rPr>
        <w:t>,</w:t>
      </w:r>
      <w:r w:rsidR="0024577B" w:rsidRPr="0024577B">
        <w:rPr>
          <w:rFonts w:cs="Arial"/>
          <w:sz w:val="16"/>
          <w:szCs w:val="16"/>
          <w:rtl/>
        </w:rPr>
        <w:t xml:space="preserve"> וה"ג</w:t>
      </w:r>
      <w:r w:rsidR="0024577B" w:rsidRPr="0024577B">
        <w:rPr>
          <w:rFonts w:cs="Arial" w:hint="cs"/>
          <w:sz w:val="16"/>
          <w:szCs w:val="16"/>
          <w:rtl/>
        </w:rPr>
        <w:t>-</w:t>
      </w:r>
      <w:r w:rsidR="0024577B" w:rsidRPr="0024577B">
        <w:rPr>
          <w:rFonts w:cs="Arial"/>
          <w:sz w:val="16"/>
          <w:szCs w:val="16"/>
          <w:rtl/>
        </w:rPr>
        <w:t xml:space="preserve"> </w:t>
      </w:r>
      <w:r w:rsidR="0024577B" w:rsidRPr="0024577B">
        <w:rPr>
          <w:rFonts w:cs="Arial" w:hint="cs"/>
          <w:sz w:val="16"/>
          <w:szCs w:val="16"/>
          <w:rtl/>
        </w:rPr>
        <w:t>'</w:t>
      </w:r>
      <w:r w:rsidR="0024577B" w:rsidRPr="0024577B">
        <w:rPr>
          <w:rFonts w:cs="Arial"/>
          <w:sz w:val="16"/>
          <w:szCs w:val="16"/>
          <w:rtl/>
        </w:rPr>
        <w:t>רב חייא בר אשי בשם רב אמר</w:t>
      </w:r>
      <w:r w:rsidR="0024577B" w:rsidRPr="0024577B">
        <w:rPr>
          <w:rFonts w:cs="Arial" w:hint="cs"/>
          <w:sz w:val="16"/>
          <w:szCs w:val="16"/>
          <w:rtl/>
        </w:rPr>
        <w:t>'</w:t>
      </w:r>
      <w:r w:rsidR="0024577B" w:rsidRPr="0024577B">
        <w:rPr>
          <w:rFonts w:cs="Arial"/>
          <w:sz w:val="16"/>
          <w:szCs w:val="16"/>
          <w:rtl/>
        </w:rPr>
        <w:t xml:space="preserve">, וזהו שלא הזכירו בהא דרב </w:t>
      </w:r>
      <w:r w:rsidR="0024577B" w:rsidRPr="0024577B">
        <w:rPr>
          <w:rFonts w:cs="Arial" w:hint="cs"/>
          <w:sz w:val="16"/>
          <w:szCs w:val="16"/>
          <w:rtl/>
        </w:rPr>
        <w:t>'</w:t>
      </w:r>
      <w:r w:rsidR="0024577B" w:rsidRPr="0024577B">
        <w:rPr>
          <w:rFonts w:cs="Arial"/>
          <w:sz w:val="16"/>
          <w:szCs w:val="16"/>
          <w:rtl/>
        </w:rPr>
        <w:t>אלא</w:t>
      </w:r>
      <w:r w:rsidR="0024577B" w:rsidRPr="0024577B">
        <w:rPr>
          <w:rFonts w:cs="Arial" w:hint="cs"/>
          <w:sz w:val="16"/>
          <w:szCs w:val="16"/>
          <w:rtl/>
        </w:rPr>
        <w:t>'.</w:t>
      </w:r>
      <w:r w:rsidR="0024577B" w:rsidRPr="0024577B">
        <w:rPr>
          <w:rFonts w:cs="Arial"/>
          <w:sz w:val="16"/>
          <w:szCs w:val="16"/>
          <w:rtl/>
        </w:rPr>
        <w:t xml:space="preserve"> עכ"ל</w:t>
      </w:r>
      <w:r w:rsidR="0024577B" w:rsidRPr="0024577B">
        <w:rPr>
          <w:rFonts w:cs="Arial" w:hint="cs"/>
          <w:sz w:val="16"/>
          <w:szCs w:val="16"/>
          <w:rtl/>
        </w:rPr>
        <w:t>.</w:t>
      </w:r>
      <w:r w:rsidR="0024577B" w:rsidRPr="0024577B">
        <w:rPr>
          <w:rFonts w:cs="Arial"/>
          <w:sz w:val="16"/>
          <w:szCs w:val="16"/>
          <w:rtl/>
        </w:rPr>
        <w:t xml:space="preserve"> ומדבריו נראה שגם הוא לא היה גורס </w:t>
      </w:r>
      <w:r w:rsidR="0024577B" w:rsidRPr="0024577B">
        <w:rPr>
          <w:rFonts w:cs="Arial" w:hint="cs"/>
          <w:sz w:val="16"/>
          <w:szCs w:val="16"/>
          <w:rtl/>
        </w:rPr>
        <w:t>'</w:t>
      </w:r>
      <w:r w:rsidR="0024577B" w:rsidRPr="0024577B">
        <w:rPr>
          <w:rFonts w:cs="Arial"/>
          <w:sz w:val="16"/>
          <w:szCs w:val="16"/>
          <w:rtl/>
        </w:rPr>
        <w:t>אלא</w:t>
      </w:r>
      <w:r w:rsidR="0024577B" w:rsidRPr="0024577B">
        <w:rPr>
          <w:rFonts w:cs="Arial" w:hint="cs"/>
          <w:sz w:val="16"/>
          <w:szCs w:val="16"/>
          <w:rtl/>
        </w:rPr>
        <w:t>'.</w:t>
      </w:r>
      <w:r w:rsidR="0024577B" w:rsidRPr="0024577B">
        <w:rPr>
          <w:rFonts w:cs="Arial"/>
          <w:sz w:val="16"/>
          <w:szCs w:val="16"/>
          <w:rtl/>
        </w:rPr>
        <w:t xml:space="preserve"> ודברי רבינו כדברי הרמב"ם</w:t>
      </w:r>
      <w:r w:rsidR="0024577B" w:rsidRPr="0024577B">
        <w:rPr>
          <w:rFonts w:cs="Arial" w:hint="cs"/>
          <w:sz w:val="16"/>
          <w:szCs w:val="16"/>
          <w:rtl/>
        </w:rPr>
        <w:t>.</w:t>
      </w:r>
      <w:r w:rsidR="0024577B" w:rsidRPr="0024577B">
        <w:rPr>
          <w:rFonts w:cs="Arial"/>
          <w:sz w:val="16"/>
          <w:szCs w:val="16"/>
          <w:rtl/>
        </w:rPr>
        <w:t xml:space="preserve"> והרי"ף השמיט כל זה</w:t>
      </w:r>
      <w:r w:rsidR="0024577B" w:rsidRPr="0024577B">
        <w:rPr>
          <w:rFonts w:cs="Arial" w:hint="cs"/>
          <w:sz w:val="16"/>
          <w:szCs w:val="16"/>
          <w:rtl/>
        </w:rPr>
        <w:t>,</w:t>
      </w:r>
      <w:r w:rsidR="0024577B" w:rsidRPr="0024577B">
        <w:rPr>
          <w:rFonts w:cs="Arial"/>
          <w:sz w:val="16"/>
          <w:szCs w:val="16"/>
          <w:rtl/>
        </w:rPr>
        <w:t xml:space="preserve"> וכתב הר"ן (שם) שלא ידע למה</w:t>
      </w:r>
      <w:r w:rsidR="0024577B" w:rsidRPr="0024577B">
        <w:rPr>
          <w:rFonts w:cs="Arial" w:hint="cs"/>
          <w:sz w:val="16"/>
          <w:szCs w:val="16"/>
          <w:rtl/>
        </w:rPr>
        <w:t>.</w:t>
      </w:r>
      <w:r w:rsidR="0024577B" w:rsidRPr="0024577B">
        <w:rPr>
          <w:rFonts w:cs="Arial"/>
          <w:sz w:val="16"/>
          <w:szCs w:val="16"/>
          <w:rtl/>
        </w:rPr>
        <w:t xml:space="preserve"> וגם הרא"ש השמיטו</w:t>
      </w:r>
      <w:r w:rsidR="0024577B" w:rsidRPr="0024577B">
        <w:rPr>
          <w:rFonts w:cs="Arial" w:hint="cs"/>
          <w:sz w:val="16"/>
          <w:szCs w:val="16"/>
          <w:rtl/>
        </w:rPr>
        <w:t>.</w:t>
      </w:r>
      <w:r w:rsidR="0024577B" w:rsidRPr="0024577B">
        <w:rPr>
          <w:rFonts w:cs="Arial"/>
          <w:sz w:val="16"/>
          <w:szCs w:val="16"/>
          <w:rtl/>
        </w:rPr>
        <w:t xml:space="preserve"> ונראה לי דאפשר דהוו גרסי כגירסא דידן דאידחיא לה אוקימתא דרבי יוחנן וקמה לה אוקימתא דרב דאמר בכלכלה פחותה עסקינן דאבן עצמה נעשית דופן לכלכלה</w:t>
      </w:r>
      <w:r w:rsidR="0024577B" w:rsidRPr="0024577B">
        <w:rPr>
          <w:rFonts w:cs="Arial" w:hint="cs"/>
          <w:sz w:val="16"/>
          <w:szCs w:val="16"/>
          <w:rtl/>
        </w:rPr>
        <w:t>.</w:t>
      </w:r>
      <w:r w:rsidR="0024577B" w:rsidRPr="0024577B">
        <w:rPr>
          <w:rFonts w:cs="Arial"/>
          <w:sz w:val="16"/>
          <w:szCs w:val="16"/>
          <w:rtl/>
        </w:rPr>
        <w:t xml:space="preserve"> וזה לא הוצרכו לכותבו דמדין האבן שבקירויה (קכה.) שמעינן לה</w:t>
      </w:r>
      <w:r w:rsidR="0024577B">
        <w:rPr>
          <w:rFonts w:cs="Arial" w:hint="cs"/>
          <w:sz w:val="16"/>
          <w:szCs w:val="16"/>
          <w:rtl/>
        </w:rPr>
        <w:t>, ב"י)</w:t>
      </w:r>
    </w:p>
    <w:p w14:paraId="4465287E" w14:textId="1D3676A2" w:rsidR="0040186F" w:rsidRPr="00C32958" w:rsidRDefault="00C32958" w:rsidP="00434A6A">
      <w:pPr>
        <w:rPr>
          <w:u w:val="single"/>
          <w:rtl/>
        </w:rPr>
      </w:pPr>
      <w:r w:rsidRPr="00C32958">
        <w:rPr>
          <w:rFonts w:hint="cs"/>
          <w:u w:val="single"/>
          <w:rtl/>
        </w:rPr>
        <w:t>סל פירות שיש בתוכו אבן:</w:t>
      </w:r>
    </w:p>
    <w:p w14:paraId="7740FF03" w14:textId="3E2C5E1E" w:rsidR="002E20C8" w:rsidRPr="002E20C8" w:rsidRDefault="0024577B" w:rsidP="00434A6A">
      <w:pPr>
        <w:pStyle w:val="aa"/>
        <w:numPr>
          <w:ilvl w:val="0"/>
          <w:numId w:val="15"/>
        </w:numPr>
      </w:pPr>
      <w:r>
        <w:rPr>
          <w:rFonts w:cs="Arial" w:hint="cs"/>
          <w:rtl/>
        </w:rPr>
        <w:t xml:space="preserve">רמב"ם </w:t>
      </w:r>
      <w:r>
        <w:rPr>
          <w:rFonts w:cs="Arial" w:hint="cs"/>
          <w:sz w:val="16"/>
          <w:szCs w:val="16"/>
          <w:rtl/>
        </w:rPr>
        <w:t>(פכ"ה הט"ז)</w:t>
      </w:r>
      <w:r>
        <w:rPr>
          <w:rFonts w:cs="Arial" w:hint="cs"/>
          <w:rtl/>
        </w:rPr>
        <w:t xml:space="preserve"> וטור- </w:t>
      </w:r>
      <w:r w:rsidR="002E20C8" w:rsidRPr="002E20C8">
        <w:rPr>
          <w:rFonts w:cs="Arial"/>
          <w:rtl/>
        </w:rPr>
        <w:t>היתה הכלכלה מלאה פירות והאבן בתוך הפירות</w:t>
      </w:r>
      <w:r>
        <w:rPr>
          <w:rFonts w:cs="Arial" w:hint="cs"/>
          <w:rtl/>
        </w:rPr>
        <w:t>,</w:t>
      </w:r>
      <w:r w:rsidR="002E20C8" w:rsidRPr="002E20C8">
        <w:rPr>
          <w:rFonts w:cs="Arial"/>
          <w:rtl/>
        </w:rPr>
        <w:t xml:space="preserve"> אם היו הפירות רטובים כגון ענבים ותותים </w:t>
      </w:r>
      <w:r>
        <w:rPr>
          <w:rFonts w:cs="Arial" w:hint="cs"/>
          <w:rtl/>
        </w:rPr>
        <w:t xml:space="preserve">- </w:t>
      </w:r>
      <w:r w:rsidR="002E20C8" w:rsidRPr="002E20C8">
        <w:rPr>
          <w:rFonts w:cs="Arial"/>
          <w:rtl/>
        </w:rPr>
        <w:t>נוטל אותה כמות שהיא</w:t>
      </w:r>
      <w:r>
        <w:rPr>
          <w:rFonts w:cs="Arial" w:hint="cs"/>
          <w:rtl/>
        </w:rPr>
        <w:t>,</w:t>
      </w:r>
      <w:r w:rsidR="002E20C8" w:rsidRPr="002E20C8">
        <w:rPr>
          <w:rFonts w:cs="Arial"/>
          <w:rtl/>
        </w:rPr>
        <w:t xml:space="preserve"> שאם ינער הפירות יטנפו בעפר</w:t>
      </w:r>
      <w:r>
        <w:rPr>
          <w:rFonts w:cs="Arial" w:hint="cs"/>
          <w:rtl/>
        </w:rPr>
        <w:t>,</w:t>
      </w:r>
      <w:r w:rsidR="002E20C8" w:rsidRPr="002E20C8">
        <w:rPr>
          <w:rFonts w:cs="Arial"/>
          <w:rtl/>
        </w:rPr>
        <w:t xml:space="preserve"> ובמקום הפסד לא גזרו</w:t>
      </w:r>
      <w:r>
        <w:rPr>
          <w:rFonts w:cs="Arial" w:hint="cs"/>
          <w:sz w:val="16"/>
          <w:szCs w:val="16"/>
          <w:rtl/>
        </w:rPr>
        <w:t xml:space="preserve"> (ל' הרמב"ם)</w:t>
      </w:r>
      <w:r w:rsidR="002E20C8" w:rsidRPr="002E20C8">
        <w:rPr>
          <w:rFonts w:cs="Arial"/>
          <w:rtl/>
        </w:rPr>
        <w:t>.</w:t>
      </w:r>
      <w:r w:rsidR="002879E9" w:rsidRPr="002879E9">
        <w:rPr>
          <w:rFonts w:cs="Arial" w:hint="cs"/>
          <w:color w:val="E36C0A" w:themeColor="accent6" w:themeShade="BF"/>
          <w:rtl/>
        </w:rPr>
        <w:t xml:space="preserve"> </w:t>
      </w:r>
      <w:r w:rsidR="002879E9" w:rsidRPr="006B1538">
        <w:rPr>
          <w:rFonts w:cs="Arial" w:hint="cs"/>
          <w:color w:val="E36C0A" w:themeColor="accent6" w:themeShade="BF"/>
          <w:rtl/>
        </w:rPr>
        <w:t>(וכ"פ בשו"ע)</w:t>
      </w:r>
    </w:p>
    <w:p w14:paraId="3A487CEA" w14:textId="77777777" w:rsidR="00EC1E4B" w:rsidRPr="00EC1E4B" w:rsidRDefault="002E20C8" w:rsidP="00434A6A">
      <w:pPr>
        <w:pStyle w:val="aa"/>
        <w:numPr>
          <w:ilvl w:val="0"/>
          <w:numId w:val="15"/>
        </w:numPr>
      </w:pPr>
      <w:r w:rsidRPr="002E20C8">
        <w:rPr>
          <w:rFonts w:cs="Arial"/>
          <w:rtl/>
        </w:rPr>
        <w:t>ראב"ד</w:t>
      </w:r>
      <w:r>
        <w:rPr>
          <w:rFonts w:cs="Arial" w:hint="cs"/>
          <w:sz w:val="16"/>
          <w:szCs w:val="16"/>
          <w:rtl/>
        </w:rPr>
        <w:t xml:space="preserve"> (בהשגות שם)</w:t>
      </w:r>
      <w:r>
        <w:rPr>
          <w:rFonts w:cs="Arial" w:hint="cs"/>
          <w:rtl/>
        </w:rPr>
        <w:t>-</w:t>
      </w:r>
      <w:r w:rsidRPr="002E20C8">
        <w:rPr>
          <w:rFonts w:cs="Arial"/>
          <w:rtl/>
        </w:rPr>
        <w:t xml:space="preserve"> א</w:t>
      </w:r>
      <w:r>
        <w:rPr>
          <w:rFonts w:cs="Arial" w:hint="cs"/>
          <w:rtl/>
        </w:rPr>
        <w:t>מר אברהם</w:t>
      </w:r>
      <w:r w:rsidRPr="002E20C8">
        <w:rPr>
          <w:rFonts w:cs="Arial"/>
          <w:rtl/>
        </w:rPr>
        <w:t xml:space="preserve"> אני לא מצאתי כן בגמרא (שבת קמב) שאפילו בפירות המטונפין חזר והקשה ולינערינהו נעורי וחזר ותירץ בשהיתה האבן דופן לכלכלה ואפילו בפירות שאינן מטונפות אבל אם לא היתה האבן דופן לכלכלה אפילו פירות המטונפין אפשר לנער אותן בתוך הכלכלה עצמה עד שתהיה עליונה וינערנה לחוץ ולא יצטרך לטלטל את האבן עם הכלכלה.</w:t>
      </w:r>
    </w:p>
    <w:p w14:paraId="507397D8" w14:textId="77777777" w:rsidR="00086A55" w:rsidRPr="002879E9" w:rsidRDefault="00086A55" w:rsidP="00434A6A">
      <w:pPr>
        <w:ind w:left="360"/>
        <w:rPr>
          <w:u w:val="dotted"/>
        </w:rPr>
      </w:pPr>
      <w:r w:rsidRPr="002879E9">
        <w:rPr>
          <w:rFonts w:hint="cs"/>
          <w:u w:val="dotted"/>
          <w:rtl/>
        </w:rPr>
        <w:t xml:space="preserve">לרמב"ם וסיעתו </w:t>
      </w:r>
      <w:r w:rsidRPr="002879E9">
        <w:rPr>
          <w:u w:val="dotted"/>
          <w:rtl/>
        </w:rPr>
        <w:t>–</w:t>
      </w:r>
      <w:r w:rsidRPr="002879E9">
        <w:rPr>
          <w:rFonts w:hint="cs"/>
          <w:u w:val="dotted"/>
          <w:rtl/>
        </w:rPr>
        <w:t xml:space="preserve"> מה הדין אם הניח שם את האבן מדעת:</w:t>
      </w:r>
    </w:p>
    <w:p w14:paraId="7D95237D" w14:textId="726E1839" w:rsidR="00086A55" w:rsidRDefault="00086A55" w:rsidP="00434A6A">
      <w:pPr>
        <w:pStyle w:val="aa"/>
        <w:numPr>
          <w:ilvl w:val="0"/>
          <w:numId w:val="15"/>
        </w:numPr>
      </w:pPr>
      <w:r>
        <w:rPr>
          <w:rFonts w:cs="Arial" w:hint="cs"/>
          <w:rtl/>
        </w:rPr>
        <w:t xml:space="preserve">ב"י- </w:t>
      </w:r>
      <w:r w:rsidRPr="002879E9">
        <w:rPr>
          <w:rFonts w:cs="Arial"/>
          <w:rtl/>
        </w:rPr>
        <w:t>משמע לי דאפילו במניח האבן מדעת שרי לטלטלה</w:t>
      </w:r>
      <w:r w:rsidRPr="002879E9">
        <w:rPr>
          <w:rFonts w:cs="Arial" w:hint="cs"/>
          <w:rtl/>
        </w:rPr>
        <w:t>,</w:t>
      </w:r>
      <w:r w:rsidRPr="002879E9">
        <w:rPr>
          <w:rFonts w:cs="Arial"/>
          <w:rtl/>
        </w:rPr>
        <w:t xml:space="preserve"> מפני שנעשית בסיס לדבר האסור ולדבר המותר</w:t>
      </w:r>
      <w:r>
        <w:rPr>
          <w:rFonts w:cs="Arial" w:hint="cs"/>
          <w:rtl/>
        </w:rPr>
        <w:t>,</w:t>
      </w:r>
      <w:r w:rsidRPr="002879E9">
        <w:rPr>
          <w:rFonts w:cs="Arial"/>
          <w:rtl/>
        </w:rPr>
        <w:t xml:space="preserve"> וכמו שיתבאר בסימן ש"י (סט: ד"ה הלכך)</w:t>
      </w:r>
      <w:r w:rsidRPr="002879E9">
        <w:rPr>
          <w:rFonts w:cs="Arial" w:hint="cs"/>
          <w:rtl/>
        </w:rPr>
        <w:t>,</w:t>
      </w:r>
      <w:r w:rsidRPr="002879E9">
        <w:rPr>
          <w:rFonts w:cs="Arial"/>
          <w:rtl/>
        </w:rPr>
        <w:t xml:space="preserve"> וכן נראה מדברי התוספות בסוף פרק כירה (מז. ד"ה הנח) גבי מטלטלין כנונא אגב קיטמא ואע</w:t>
      </w:r>
      <w:r w:rsidR="00B77403">
        <w:rPr>
          <w:rFonts w:cs="Arial" w:hint="cs"/>
          <w:rtl/>
        </w:rPr>
        <w:t>"</w:t>
      </w:r>
      <w:r w:rsidRPr="002879E9">
        <w:rPr>
          <w:rFonts w:cs="Arial"/>
          <w:rtl/>
        </w:rPr>
        <w:t>ג דאיכא עליה שברי עצים</w:t>
      </w:r>
      <w:r w:rsidRPr="002879E9">
        <w:rPr>
          <w:rFonts w:cs="Arial" w:hint="cs"/>
          <w:rtl/>
        </w:rPr>
        <w:t>,</w:t>
      </w:r>
      <w:r w:rsidRPr="002879E9">
        <w:rPr>
          <w:rFonts w:cs="Arial"/>
          <w:rtl/>
        </w:rPr>
        <w:t xml:space="preserve"> וכן כתב שם רש"י בהדיא</w:t>
      </w:r>
      <w:r w:rsidRPr="002879E9">
        <w:rPr>
          <w:rFonts w:cs="Arial" w:hint="cs"/>
          <w:rtl/>
        </w:rPr>
        <w:t>.</w:t>
      </w:r>
    </w:p>
    <w:p w14:paraId="62546230" w14:textId="690BB817" w:rsidR="00086A55" w:rsidRPr="00086A55" w:rsidRDefault="00086A55" w:rsidP="00434A6A">
      <w:pPr>
        <w:rPr>
          <w:rFonts w:cs="Arial"/>
          <w:rtl/>
        </w:rPr>
      </w:pPr>
      <w:r w:rsidRPr="00086A55">
        <w:rPr>
          <w:rFonts w:cs="Arial" w:hint="cs"/>
          <w:b/>
          <w:bCs/>
          <w:rtl/>
        </w:rPr>
        <w:t xml:space="preserve">שבת </w:t>
      </w:r>
      <w:r w:rsidRPr="00086A55">
        <w:rPr>
          <w:rFonts w:cs="Arial" w:hint="cs"/>
          <w:b/>
          <w:bCs/>
          <w:sz w:val="16"/>
          <w:szCs w:val="16"/>
          <w:rtl/>
        </w:rPr>
        <w:t>(ר"פ נוטל)</w:t>
      </w:r>
      <w:r w:rsidRPr="00086A55">
        <w:rPr>
          <w:rFonts w:cs="Arial" w:hint="cs"/>
          <w:b/>
          <w:bCs/>
          <w:rtl/>
        </w:rPr>
        <w:t xml:space="preserve"> קמב ע"ב:</w:t>
      </w:r>
      <w:r w:rsidRPr="00086A55">
        <w:rPr>
          <w:rFonts w:cs="Arial" w:hint="cs"/>
          <w:rtl/>
        </w:rPr>
        <w:t xml:space="preserve"> </w:t>
      </w:r>
      <w:r w:rsidRPr="00086A55">
        <w:rPr>
          <w:rFonts w:cs="Arial"/>
          <w:u w:val="double"/>
          <w:rtl/>
        </w:rPr>
        <w:t>משנה</w:t>
      </w:r>
      <w:r w:rsidRPr="00086A55">
        <w:rPr>
          <w:rFonts w:cs="Arial" w:hint="cs"/>
          <w:rtl/>
        </w:rPr>
        <w:t>:</w:t>
      </w:r>
      <w:r w:rsidRPr="00086A55">
        <w:rPr>
          <w:rFonts w:cs="Arial"/>
          <w:rtl/>
        </w:rPr>
        <w:t xml:space="preserve"> האבן שעל פי החבית - מטה על צדה והיא נופלת. היתה בין החביות - מגביה, ומטה על צדה והיא נופלת. מעות שעל הכר - מנער את הכר והן נופלות.</w:t>
      </w:r>
      <w:r w:rsidRPr="00086A55">
        <w:rPr>
          <w:rFonts w:cs="Arial" w:hint="cs"/>
          <w:rtl/>
        </w:rPr>
        <w:t>.</w:t>
      </w:r>
      <w:r w:rsidRPr="00086A55">
        <w:rPr>
          <w:rFonts w:cs="Arial"/>
          <w:rtl/>
        </w:rPr>
        <w:t xml:space="preserve">. </w:t>
      </w:r>
      <w:r w:rsidRPr="00086A55">
        <w:rPr>
          <w:rFonts w:cs="Arial" w:hint="cs"/>
          <w:rtl/>
        </w:rPr>
        <w:t xml:space="preserve">       </w:t>
      </w:r>
      <w:r w:rsidRPr="00086A55">
        <w:rPr>
          <w:rFonts w:cs="Arial"/>
          <w:u w:val="double"/>
          <w:rtl/>
        </w:rPr>
        <w:t>גמרא</w:t>
      </w:r>
      <w:r w:rsidRPr="00086A55">
        <w:rPr>
          <w:rFonts w:cs="Arial" w:hint="cs"/>
          <w:rtl/>
        </w:rPr>
        <w:t xml:space="preserve">: </w:t>
      </w:r>
      <w:r w:rsidRPr="00086A55">
        <w:rPr>
          <w:rFonts w:cs="Arial"/>
          <w:rtl/>
        </w:rPr>
        <w:t xml:space="preserve">מעות שעל הכר. </w:t>
      </w:r>
      <w:r w:rsidRPr="00086A55">
        <w:rPr>
          <w:rFonts w:cs="Arial"/>
          <w:u w:val="single"/>
          <w:rtl/>
        </w:rPr>
        <w:t>אמר רב חייא בר אשי אמר רב</w:t>
      </w:r>
      <w:r w:rsidRPr="00086A55">
        <w:rPr>
          <w:rFonts w:cs="Arial"/>
          <w:rtl/>
        </w:rPr>
        <w:t xml:space="preserve">: לא שנו אלא בשוכח, אבל במניח - נעשה בסיס לדבר האסור. </w:t>
      </w:r>
      <w:r w:rsidRPr="00086A55">
        <w:rPr>
          <w:rFonts w:cs="Arial"/>
          <w:u w:val="single"/>
          <w:rtl/>
        </w:rPr>
        <w:t>אמר רבה בר בר חנה אמר רבי יוחנן</w:t>
      </w:r>
      <w:r w:rsidRPr="00086A55">
        <w:rPr>
          <w:rFonts w:cs="Arial"/>
          <w:rtl/>
        </w:rPr>
        <w:t xml:space="preserve">: לא שנו אלא לצורך גופו, אבל לצורך מקומו - מטלטלו ועודן עליו. </w:t>
      </w:r>
      <w:r w:rsidRPr="00086A55">
        <w:rPr>
          <w:rFonts w:cs="Arial"/>
          <w:u w:val="single"/>
          <w:rtl/>
        </w:rPr>
        <w:t>וכן תני חייא בר רב מדיפתי</w:t>
      </w:r>
      <w:r w:rsidRPr="00086A55">
        <w:rPr>
          <w:rFonts w:cs="Arial"/>
          <w:rtl/>
        </w:rPr>
        <w:t xml:space="preserve">: לא שנו אלא לצורך גופו, אבל לצורך מקומו - מטלטלו ועודן עליו. </w:t>
      </w:r>
    </w:p>
    <w:p w14:paraId="5F00DFF5" w14:textId="29CD1CAE" w:rsidR="00EC1E4B" w:rsidRPr="00086A55" w:rsidRDefault="00086A55" w:rsidP="00434A6A">
      <w:pPr>
        <w:rPr>
          <w:u w:val="single"/>
        </w:rPr>
      </w:pPr>
      <w:r>
        <w:rPr>
          <w:rFonts w:hint="cs"/>
          <w:u w:val="single"/>
          <w:rtl/>
        </w:rPr>
        <w:t>סל שיש בו</w:t>
      </w:r>
      <w:r w:rsidR="00EC1E4B" w:rsidRPr="00086A55">
        <w:rPr>
          <w:rFonts w:hint="cs"/>
          <w:u w:val="single"/>
          <w:rtl/>
        </w:rPr>
        <w:t xml:space="preserve"> פירות שלא מיטנפין אבל צריך למקום </w:t>
      </w:r>
      <w:r w:rsidR="00C32958" w:rsidRPr="00086A55">
        <w:rPr>
          <w:rFonts w:hint="cs"/>
          <w:u w:val="single"/>
          <w:rtl/>
        </w:rPr>
        <w:t>הסל</w:t>
      </w:r>
      <w:r w:rsidR="00EC1E4B" w:rsidRPr="00086A55">
        <w:rPr>
          <w:rFonts w:hint="cs"/>
          <w:u w:val="single"/>
          <w:rtl/>
        </w:rPr>
        <w:t>:</w:t>
      </w:r>
    </w:p>
    <w:p w14:paraId="246EEC20" w14:textId="1AD6C635" w:rsidR="002879E9" w:rsidRPr="002879E9" w:rsidRDefault="00EC1E4B" w:rsidP="00434A6A">
      <w:pPr>
        <w:pStyle w:val="aa"/>
        <w:numPr>
          <w:ilvl w:val="0"/>
          <w:numId w:val="15"/>
        </w:numPr>
      </w:pPr>
      <w:r>
        <w:rPr>
          <w:rFonts w:cs="Arial" w:hint="cs"/>
          <w:rtl/>
        </w:rPr>
        <w:t xml:space="preserve">ב"י- </w:t>
      </w:r>
      <w:r w:rsidR="00FC5BE5" w:rsidRPr="00EC1E4B">
        <w:rPr>
          <w:rFonts w:cs="Arial"/>
          <w:rtl/>
        </w:rPr>
        <w:t>משמע בגמרא דהא דבעינן שיהו פירות המיטנפים ואם הם פירות שאינם מיטנפים אסור לטלטל הכלכלה</w:t>
      </w:r>
      <w:r w:rsidRPr="00EC1E4B">
        <w:rPr>
          <w:rFonts w:cs="Arial" w:hint="cs"/>
          <w:rtl/>
        </w:rPr>
        <w:t xml:space="preserve"> -</w:t>
      </w:r>
      <w:r w:rsidR="00FC5BE5" w:rsidRPr="00EC1E4B">
        <w:rPr>
          <w:rFonts w:cs="Arial"/>
          <w:rtl/>
        </w:rPr>
        <w:t xml:space="preserve"> דוקא כשהוא צריך לפירות או לכלכלה</w:t>
      </w:r>
      <w:r w:rsidRPr="00EC1E4B">
        <w:rPr>
          <w:rFonts w:cs="Arial" w:hint="cs"/>
          <w:rtl/>
        </w:rPr>
        <w:t>,</w:t>
      </w:r>
      <w:r w:rsidR="00FC5BE5" w:rsidRPr="00EC1E4B">
        <w:rPr>
          <w:rFonts w:cs="Arial"/>
          <w:rtl/>
        </w:rPr>
        <w:t xml:space="preserve"> דאז כשינערנה במקומה יוכל ליטול הפירות או הכלכלה</w:t>
      </w:r>
      <w:r w:rsidRPr="00EC1E4B">
        <w:rPr>
          <w:rFonts w:cs="Arial" w:hint="cs"/>
          <w:rtl/>
        </w:rPr>
        <w:t>.</w:t>
      </w:r>
      <w:r w:rsidR="00FC5BE5" w:rsidRPr="00EC1E4B">
        <w:rPr>
          <w:rFonts w:cs="Arial"/>
          <w:rtl/>
        </w:rPr>
        <w:t xml:space="preserve"> אבל אם צריך למקום הכלכלה </w:t>
      </w:r>
      <w:r w:rsidRPr="00EC1E4B">
        <w:rPr>
          <w:rFonts w:cs="Arial" w:hint="cs"/>
          <w:rtl/>
        </w:rPr>
        <w:t xml:space="preserve">- </w:t>
      </w:r>
      <w:r w:rsidR="00FC5BE5" w:rsidRPr="00EC1E4B">
        <w:rPr>
          <w:rFonts w:cs="Arial"/>
          <w:rtl/>
        </w:rPr>
        <w:t>מטלטלה כמות שהיא</w:t>
      </w:r>
      <w:r w:rsidRPr="00EC1E4B">
        <w:rPr>
          <w:rFonts w:cs="Arial" w:hint="cs"/>
          <w:rtl/>
        </w:rPr>
        <w:t>,</w:t>
      </w:r>
      <w:r w:rsidR="00FC5BE5" w:rsidRPr="00EC1E4B">
        <w:rPr>
          <w:rFonts w:cs="Arial"/>
          <w:rtl/>
        </w:rPr>
        <w:t xml:space="preserve"> וכדין אבן שעל פי החבית שבסמוך</w:t>
      </w:r>
      <w:r w:rsidR="00086A55">
        <w:rPr>
          <w:rFonts w:cs="Arial" w:hint="cs"/>
          <w:sz w:val="16"/>
          <w:szCs w:val="16"/>
          <w:rtl/>
        </w:rPr>
        <w:t xml:space="preserve"> (סע' ד)</w:t>
      </w:r>
      <w:r w:rsidR="002E20C8" w:rsidRPr="00EC1E4B">
        <w:rPr>
          <w:rFonts w:cs="Arial" w:hint="cs"/>
          <w:rtl/>
        </w:rPr>
        <w:t>.</w:t>
      </w:r>
      <w:r w:rsidR="00FC5BE5" w:rsidRPr="00EC1E4B">
        <w:rPr>
          <w:rFonts w:cs="Arial"/>
          <w:rtl/>
        </w:rPr>
        <w:t xml:space="preserve"> </w:t>
      </w:r>
      <w:r w:rsidR="002879E9" w:rsidRPr="006B1538">
        <w:rPr>
          <w:rFonts w:cs="Arial" w:hint="cs"/>
          <w:color w:val="E36C0A" w:themeColor="accent6" w:themeShade="BF"/>
          <w:rtl/>
        </w:rPr>
        <w:t>(וכ"פ בשו"ע)</w:t>
      </w:r>
    </w:p>
    <w:p w14:paraId="3DB77BF6" w14:textId="77777777" w:rsidR="00FC5BE5" w:rsidRPr="005275DF" w:rsidRDefault="00FC5BE5" w:rsidP="00434A6A">
      <w:pPr>
        <w:rPr>
          <w:rFonts w:asciiTheme="minorBidi" w:hAnsiTheme="minorBidi"/>
          <w:rtl/>
        </w:rPr>
      </w:pPr>
      <w:r w:rsidRPr="005275DF">
        <w:rPr>
          <w:rFonts w:asciiTheme="minorBidi" w:hAnsiTheme="minorBidi"/>
          <w:b/>
          <w:bCs/>
          <w:sz w:val="32"/>
          <w:szCs w:val="28"/>
          <w:u w:val="single"/>
          <w:rtl/>
        </w:rPr>
        <w:t xml:space="preserve">שו"ע: </w:t>
      </w:r>
    </w:p>
    <w:p w14:paraId="5234EC4E" w14:textId="62AEA99C" w:rsidR="000C6229" w:rsidRPr="005275DF" w:rsidRDefault="000C6229" w:rsidP="00434A6A">
      <w:pPr>
        <w:rPr>
          <w:rFonts w:asciiTheme="minorBidi" w:hAnsiTheme="minorBidi"/>
          <w:rtl/>
        </w:rPr>
      </w:pPr>
      <w:r w:rsidRPr="005275DF">
        <w:rPr>
          <w:rFonts w:asciiTheme="minorBidi" w:hAnsiTheme="minorBidi"/>
          <w:rtl/>
        </w:rPr>
        <w:t>כלכלה מלאה פירות ואבן בתוכה, אם הם פירות רטובים, כגון: תאנים וענבים, יטול אותה כמו</w:t>
      </w:r>
      <w:r w:rsidR="000C01B5">
        <w:rPr>
          <w:rFonts w:asciiTheme="minorBidi" w:hAnsiTheme="minorBidi" w:hint="cs"/>
          <w:rtl/>
        </w:rPr>
        <w:t>ת</w:t>
      </w:r>
      <w:r w:rsidRPr="005275DF">
        <w:rPr>
          <w:rFonts w:asciiTheme="minorBidi" w:hAnsiTheme="minorBidi"/>
          <w:rtl/>
        </w:rPr>
        <w:t xml:space="preserve"> שהיא</w:t>
      </w:r>
      <w:r w:rsidR="000C01B5">
        <w:rPr>
          <w:rStyle w:val="a9"/>
          <w:rFonts w:asciiTheme="minorBidi" w:hAnsiTheme="minorBidi"/>
          <w:rtl/>
        </w:rPr>
        <w:footnoteReference w:id="1784"/>
      </w:r>
      <w:r w:rsidR="0040186F">
        <w:rPr>
          <w:rFonts w:asciiTheme="minorBidi" w:hAnsiTheme="minorBidi" w:hint="cs"/>
          <w:rtl/>
        </w:rPr>
        <w:t>,</w:t>
      </w:r>
      <w:r w:rsidRPr="005275DF">
        <w:rPr>
          <w:rFonts w:asciiTheme="minorBidi" w:hAnsiTheme="minorBidi"/>
          <w:rtl/>
        </w:rPr>
        <w:t xml:space="preserve"> שאם ינער הפירות מתוכה, יפסדו. אבל אם הם פירות שאינם נפסדים, ינערם</w:t>
      </w:r>
      <w:r w:rsidR="000C01B5">
        <w:rPr>
          <w:rStyle w:val="a9"/>
          <w:rFonts w:asciiTheme="minorBidi" w:hAnsiTheme="minorBidi"/>
          <w:rtl/>
        </w:rPr>
        <w:footnoteReference w:id="1785"/>
      </w:r>
      <w:r w:rsidRPr="005275DF">
        <w:rPr>
          <w:rFonts w:asciiTheme="minorBidi" w:hAnsiTheme="minorBidi"/>
          <w:rtl/>
        </w:rPr>
        <w:t xml:space="preserve"> וינער גם האבן עמהם ולא יטלנה עמהם</w:t>
      </w:r>
      <w:r w:rsidR="000C01B5">
        <w:rPr>
          <w:rStyle w:val="a9"/>
          <w:rFonts w:asciiTheme="minorBidi" w:hAnsiTheme="minorBidi"/>
          <w:rtl/>
        </w:rPr>
        <w:footnoteReference w:id="1786"/>
      </w:r>
      <w:r w:rsidRPr="005275DF">
        <w:rPr>
          <w:rFonts w:asciiTheme="minorBidi" w:hAnsiTheme="minorBidi"/>
          <w:rtl/>
        </w:rPr>
        <w:t>. וה</w:t>
      </w:r>
      <w:r w:rsidR="0040186F">
        <w:rPr>
          <w:rFonts w:asciiTheme="minorBidi" w:hAnsiTheme="minorBidi" w:hint="cs"/>
          <w:rtl/>
        </w:rPr>
        <w:t xml:space="preserve">ני </w:t>
      </w:r>
      <w:r w:rsidRPr="005275DF">
        <w:rPr>
          <w:rFonts w:asciiTheme="minorBidi" w:hAnsiTheme="minorBidi"/>
          <w:rtl/>
        </w:rPr>
        <w:t>מ</w:t>
      </w:r>
      <w:r w:rsidR="0040186F">
        <w:rPr>
          <w:rFonts w:asciiTheme="minorBidi" w:hAnsiTheme="minorBidi" w:hint="cs"/>
          <w:rtl/>
        </w:rPr>
        <w:t>ילי</w:t>
      </w:r>
      <w:r w:rsidRPr="005275DF">
        <w:rPr>
          <w:rFonts w:asciiTheme="minorBidi" w:hAnsiTheme="minorBidi"/>
          <w:rtl/>
        </w:rPr>
        <w:t xml:space="preserve"> כשא</w:t>
      </w:r>
      <w:r w:rsidR="0040186F">
        <w:rPr>
          <w:rFonts w:asciiTheme="minorBidi" w:hAnsiTheme="minorBidi" w:hint="cs"/>
          <w:rtl/>
        </w:rPr>
        <w:t xml:space="preserve">ין </w:t>
      </w:r>
      <w:r w:rsidRPr="005275DF">
        <w:rPr>
          <w:rFonts w:asciiTheme="minorBidi" w:hAnsiTheme="minorBidi"/>
          <w:rtl/>
        </w:rPr>
        <w:t>צ</w:t>
      </w:r>
      <w:r w:rsidR="0040186F">
        <w:rPr>
          <w:rFonts w:asciiTheme="minorBidi" w:hAnsiTheme="minorBidi" w:hint="cs"/>
          <w:rtl/>
        </w:rPr>
        <w:t>ריך</w:t>
      </w:r>
      <w:r w:rsidRPr="005275DF">
        <w:rPr>
          <w:rFonts w:asciiTheme="minorBidi" w:hAnsiTheme="minorBidi"/>
          <w:rtl/>
        </w:rPr>
        <w:t xml:space="preserve"> אלא לפירות או לכלכלה</w:t>
      </w:r>
      <w:r w:rsidR="000C01B5">
        <w:rPr>
          <w:rFonts w:asciiTheme="minorBidi" w:hAnsiTheme="minorBidi" w:hint="cs"/>
          <w:rtl/>
        </w:rPr>
        <w:t>,</w:t>
      </w:r>
      <w:r w:rsidRPr="005275DF">
        <w:rPr>
          <w:rFonts w:asciiTheme="minorBidi" w:hAnsiTheme="minorBidi"/>
          <w:rtl/>
        </w:rPr>
        <w:t xml:space="preserve"> אבל אם היה צריך למקום הכלכלה</w:t>
      </w:r>
      <w:r w:rsidR="000C01B5">
        <w:rPr>
          <w:rStyle w:val="a9"/>
          <w:rFonts w:asciiTheme="minorBidi" w:hAnsiTheme="minorBidi"/>
          <w:rtl/>
        </w:rPr>
        <w:footnoteReference w:id="1787"/>
      </w:r>
      <w:r w:rsidRPr="005275DF">
        <w:rPr>
          <w:rFonts w:asciiTheme="minorBidi" w:hAnsiTheme="minorBidi"/>
          <w:rtl/>
        </w:rPr>
        <w:t xml:space="preserve">, מטלטלה כמות שהיא. </w:t>
      </w:r>
    </w:p>
    <w:p w14:paraId="535A468C" w14:textId="77777777" w:rsidR="000C6229" w:rsidRPr="005275DF" w:rsidRDefault="000C6229" w:rsidP="00434A6A">
      <w:pPr>
        <w:rPr>
          <w:rFonts w:asciiTheme="minorBidi" w:hAnsiTheme="minorBidi"/>
          <w:rtl/>
        </w:rPr>
      </w:pPr>
    </w:p>
    <w:p w14:paraId="49515D5F" w14:textId="11217334" w:rsidR="000C6229" w:rsidRDefault="000C6229" w:rsidP="00434A6A">
      <w:pPr>
        <w:pStyle w:val="2"/>
        <w:rPr>
          <w:rtl/>
        </w:rPr>
      </w:pPr>
      <w:r w:rsidRPr="005275DF">
        <w:rPr>
          <w:rtl/>
        </w:rPr>
        <w:t>סעיף ד</w:t>
      </w:r>
      <w:r w:rsidR="0072740B">
        <w:rPr>
          <w:rFonts w:hint="cs"/>
          <w:rtl/>
        </w:rPr>
        <w:t>:</w:t>
      </w:r>
      <w:r w:rsidR="00216D73">
        <w:rPr>
          <w:rFonts w:hint="cs"/>
          <w:rtl/>
        </w:rPr>
        <w:t xml:space="preserve"> שכח/הניח אבן על החבית.</w:t>
      </w:r>
      <w:r w:rsidR="0063616E">
        <w:rPr>
          <w:rFonts w:hint="cs"/>
          <w:rtl/>
        </w:rPr>
        <w:t xml:space="preserve"> בסיס לדבר האסור.</w:t>
      </w:r>
    </w:p>
    <w:p w14:paraId="5A95BF2A" w14:textId="77777777" w:rsidR="00216D73" w:rsidRDefault="00216D73" w:rsidP="00434A6A">
      <w:pPr>
        <w:rPr>
          <w:rFonts w:cs="Arial"/>
          <w:rtl/>
        </w:rPr>
      </w:pPr>
      <w:r w:rsidRPr="00DF4C09">
        <w:rPr>
          <w:rFonts w:cs="Arial" w:hint="cs"/>
          <w:b/>
          <w:bCs/>
          <w:rtl/>
        </w:rPr>
        <w:t xml:space="preserve">שבת </w:t>
      </w:r>
      <w:r>
        <w:rPr>
          <w:rFonts w:cs="Arial" w:hint="cs"/>
          <w:b/>
          <w:bCs/>
          <w:sz w:val="16"/>
          <w:szCs w:val="16"/>
          <w:rtl/>
        </w:rPr>
        <w:t>(ר"פ נוטל)</w:t>
      </w:r>
      <w:r>
        <w:rPr>
          <w:rFonts w:cs="Arial" w:hint="cs"/>
          <w:b/>
          <w:bCs/>
          <w:rtl/>
        </w:rPr>
        <w:t xml:space="preserve"> קמב</w:t>
      </w:r>
      <w:r w:rsidRPr="00DF4C09">
        <w:rPr>
          <w:rFonts w:cs="Arial" w:hint="cs"/>
          <w:b/>
          <w:bCs/>
          <w:rtl/>
        </w:rPr>
        <w:t xml:space="preserve"> ע"</w:t>
      </w:r>
      <w:r>
        <w:rPr>
          <w:rFonts w:cs="Arial" w:hint="cs"/>
          <w:b/>
          <w:bCs/>
          <w:rtl/>
        </w:rPr>
        <w:t>ב</w:t>
      </w:r>
      <w:r w:rsidRPr="00DF4C09">
        <w:rPr>
          <w:rFonts w:cs="Arial" w:hint="cs"/>
          <w:b/>
          <w:bCs/>
          <w:rtl/>
        </w:rPr>
        <w:t>:</w:t>
      </w:r>
      <w:r>
        <w:rPr>
          <w:rFonts w:cs="Arial" w:hint="cs"/>
          <w:rtl/>
        </w:rPr>
        <w:t xml:space="preserve"> </w:t>
      </w:r>
      <w:r w:rsidRPr="00144B2C">
        <w:rPr>
          <w:rFonts w:cs="Arial"/>
          <w:u w:val="double"/>
          <w:rtl/>
        </w:rPr>
        <w:t>משנה</w:t>
      </w:r>
      <w:r>
        <w:rPr>
          <w:rFonts w:cs="Arial" w:hint="cs"/>
          <w:rtl/>
        </w:rPr>
        <w:t>:</w:t>
      </w:r>
      <w:r>
        <w:rPr>
          <w:rFonts w:cs="Arial"/>
          <w:rtl/>
        </w:rPr>
        <w:t xml:space="preserve"> </w:t>
      </w:r>
      <w:r w:rsidRPr="0072740B">
        <w:rPr>
          <w:rFonts w:cs="Arial"/>
          <w:rtl/>
        </w:rPr>
        <w:t>האבן שעל פי החבית - מטה על צדה והיא נופלת. היתה בין החביות - מגביה, ומטה על צדה והיא נופלת. מעות שעל הכר - מנער את הכר והן נופלות.</w:t>
      </w:r>
      <w:r>
        <w:rPr>
          <w:rFonts w:cs="Arial" w:hint="cs"/>
          <w:rtl/>
        </w:rPr>
        <w:t>.</w:t>
      </w:r>
      <w:r w:rsidRPr="0072740B">
        <w:rPr>
          <w:rFonts w:cs="Arial"/>
          <w:rtl/>
        </w:rPr>
        <w:t xml:space="preserve">. </w:t>
      </w:r>
      <w:r>
        <w:rPr>
          <w:rFonts w:cs="Arial" w:hint="cs"/>
          <w:rtl/>
        </w:rPr>
        <w:t xml:space="preserve">       </w:t>
      </w:r>
      <w:r w:rsidRPr="0072740B">
        <w:rPr>
          <w:rFonts w:cs="Arial"/>
          <w:u w:val="double"/>
          <w:rtl/>
        </w:rPr>
        <w:t>גמרא</w:t>
      </w:r>
      <w:r>
        <w:rPr>
          <w:rFonts w:cs="Arial" w:hint="cs"/>
          <w:rtl/>
        </w:rPr>
        <w:t>:</w:t>
      </w:r>
      <w:r w:rsidRPr="0072740B">
        <w:rPr>
          <w:rFonts w:cs="Arial"/>
          <w:rtl/>
        </w:rPr>
        <w:t xml:space="preserve"> </w:t>
      </w:r>
      <w:r w:rsidRPr="0072740B">
        <w:rPr>
          <w:rFonts w:cs="Arial"/>
          <w:u w:val="single"/>
          <w:rtl/>
        </w:rPr>
        <w:t>אמר רב הונא אמר רב</w:t>
      </w:r>
      <w:r w:rsidRPr="0072740B">
        <w:rPr>
          <w:rFonts w:cs="Arial"/>
          <w:rtl/>
        </w:rPr>
        <w:t>: לא שנו</w:t>
      </w:r>
      <w:r>
        <w:rPr>
          <w:rStyle w:val="a9"/>
          <w:rFonts w:cs="Arial"/>
          <w:rtl/>
        </w:rPr>
        <w:footnoteReference w:id="1788"/>
      </w:r>
      <w:r w:rsidRPr="0072740B">
        <w:rPr>
          <w:rFonts w:cs="Arial"/>
          <w:rtl/>
        </w:rPr>
        <w:t xml:space="preserve"> אלא בשוכח</w:t>
      </w:r>
      <w:r>
        <w:rPr>
          <w:rStyle w:val="a9"/>
          <w:rFonts w:cs="Arial"/>
          <w:rtl/>
        </w:rPr>
        <w:footnoteReference w:id="1789"/>
      </w:r>
      <w:r w:rsidRPr="0072740B">
        <w:rPr>
          <w:rFonts w:cs="Arial"/>
          <w:rtl/>
        </w:rPr>
        <w:t>, אבל במניח - נעשה בסיס לדבר האסור</w:t>
      </w:r>
      <w:r>
        <w:rPr>
          <w:rStyle w:val="a9"/>
          <w:rFonts w:cs="Arial"/>
          <w:rtl/>
        </w:rPr>
        <w:footnoteReference w:id="1790"/>
      </w:r>
      <w:r w:rsidRPr="0072740B">
        <w:rPr>
          <w:rFonts w:cs="Arial"/>
          <w:rtl/>
        </w:rPr>
        <w:t>. היתה בין החביות כו'</w:t>
      </w:r>
      <w:r>
        <w:rPr>
          <w:rFonts w:cs="Arial" w:hint="cs"/>
          <w:rtl/>
        </w:rPr>
        <w:t>,</w:t>
      </w:r>
      <w:r w:rsidRPr="0072740B">
        <w:rPr>
          <w:rFonts w:cs="Arial"/>
          <w:rtl/>
        </w:rPr>
        <w:t xml:space="preserve"> מאן תנא</w:t>
      </w:r>
      <w:r>
        <w:rPr>
          <w:rStyle w:val="a9"/>
          <w:rFonts w:cs="Arial"/>
          <w:rtl/>
        </w:rPr>
        <w:footnoteReference w:id="1791"/>
      </w:r>
      <w:r w:rsidRPr="0072740B">
        <w:rPr>
          <w:rFonts w:cs="Arial"/>
          <w:rtl/>
        </w:rPr>
        <w:t xml:space="preserve"> דכל היכא דאיכא איסורא והיתרא - בהיתרא טרחינן, באיסורא לא טרחינן? </w:t>
      </w:r>
      <w:r w:rsidRPr="0088445B">
        <w:rPr>
          <w:rFonts w:cs="Arial"/>
          <w:u w:val="single"/>
          <w:rtl/>
        </w:rPr>
        <w:t>אמר רבה בר בר חנה אמר רבי יוחנן</w:t>
      </w:r>
      <w:r w:rsidRPr="0072740B">
        <w:rPr>
          <w:rFonts w:cs="Arial"/>
          <w:rtl/>
        </w:rPr>
        <w:t>: רבן שמעון בן גמליאל היא</w:t>
      </w:r>
      <w:r>
        <w:rPr>
          <w:rStyle w:val="a9"/>
          <w:rFonts w:cs="Arial"/>
          <w:rtl/>
        </w:rPr>
        <w:footnoteReference w:id="1792"/>
      </w:r>
      <w:r w:rsidRPr="0072740B">
        <w:rPr>
          <w:rFonts w:cs="Arial"/>
          <w:rtl/>
        </w:rPr>
        <w:t>, דתנן: הבורר קטנית ביום טוב, בית שמאי אומרים בורר אוכל ואוכל, ובית הלל אומרים: בורר כדרכו בחיקו ובתמחוי. ותניא, אמר רבן שמעון בן גמליאל: במה דברים אמורים - שהאוכל מרובה על הפסולת, אבל פסולת מרובה על האוכל - דברי הכל בורר אוכל. והא הכא, דכי אוכל מרובה על הפסולת דמי! הכא נמי, כיון דאי בעי למישקל</w:t>
      </w:r>
      <w:r>
        <w:rPr>
          <w:rStyle w:val="a9"/>
          <w:rFonts w:cs="Arial"/>
          <w:rtl/>
        </w:rPr>
        <w:footnoteReference w:id="1793"/>
      </w:r>
      <w:r w:rsidRPr="0072740B">
        <w:rPr>
          <w:rFonts w:cs="Arial"/>
          <w:rtl/>
        </w:rPr>
        <w:t xml:space="preserve"> לא משתקיל ליה יין עד דשקיל לה לאבן - כפסולת מרובה על האוכל דמי.</w:t>
      </w:r>
      <w:r>
        <w:rPr>
          <w:rFonts w:cs="Arial" w:hint="cs"/>
          <w:rtl/>
        </w:rPr>
        <w:t xml:space="preserve"> </w:t>
      </w:r>
      <w:r w:rsidRPr="0072740B">
        <w:rPr>
          <w:rFonts w:cs="Arial"/>
          <w:rtl/>
        </w:rPr>
        <w:t xml:space="preserve">היתה בין החביות מגביה. תניא, </w:t>
      </w:r>
      <w:r w:rsidRPr="00086A55">
        <w:rPr>
          <w:rFonts w:cs="Arial"/>
          <w:u w:val="single"/>
          <w:rtl/>
        </w:rPr>
        <w:t>רבי יוסי אומר</w:t>
      </w:r>
      <w:r w:rsidRPr="0072740B">
        <w:rPr>
          <w:rFonts w:cs="Arial"/>
          <w:rtl/>
        </w:rPr>
        <w:t xml:space="preserve">: היתה החבית מונחת באוצר, או שהיו כלי זכוכית מונחין תחתיה - מגביה למקום אחר, ומטה על צדה והיא נופלת. ונוטל הימנה מה שצריך לו, ומחזירה למקומה. מעות שעל הכר. </w:t>
      </w:r>
      <w:r w:rsidRPr="00086A55">
        <w:rPr>
          <w:rFonts w:cs="Arial"/>
          <w:u w:val="single"/>
          <w:rtl/>
        </w:rPr>
        <w:t>אמר רב חייא בר אשי אמר רב</w:t>
      </w:r>
      <w:r w:rsidRPr="0072740B">
        <w:rPr>
          <w:rFonts w:cs="Arial"/>
          <w:rtl/>
        </w:rPr>
        <w:t xml:space="preserve">: לא שנו אלא בשוכח, אבל במניח - נעשה בסיס לדבר האסור. </w:t>
      </w:r>
      <w:r w:rsidRPr="00086A55">
        <w:rPr>
          <w:rFonts w:cs="Arial"/>
          <w:u w:val="single"/>
          <w:rtl/>
        </w:rPr>
        <w:t>אמר רבה בר בר חנה אמר רבי יוחנן</w:t>
      </w:r>
      <w:r w:rsidRPr="0072740B">
        <w:rPr>
          <w:rFonts w:cs="Arial"/>
          <w:rtl/>
        </w:rPr>
        <w:t xml:space="preserve">: לא שנו אלא לצורך גופו, אבל לצורך מקומו - מטלטלו ועודן עליו. </w:t>
      </w:r>
      <w:r w:rsidRPr="00086A55">
        <w:rPr>
          <w:rFonts w:cs="Arial"/>
          <w:u w:val="single"/>
          <w:rtl/>
        </w:rPr>
        <w:t>וכן תני חייא בר רב מדיפתי</w:t>
      </w:r>
      <w:r w:rsidRPr="0072740B">
        <w:rPr>
          <w:rFonts w:cs="Arial"/>
          <w:rtl/>
        </w:rPr>
        <w:t>: לא שנו אלא לצורך גופו, אבל לצורך מקומו - מטלטלו ועודן עליו.</w:t>
      </w:r>
      <w:r>
        <w:rPr>
          <w:rFonts w:cs="Arial"/>
          <w:rtl/>
        </w:rPr>
        <w:t xml:space="preserve"> </w:t>
      </w:r>
    </w:p>
    <w:p w14:paraId="7567198C" w14:textId="61BE4C09" w:rsidR="0072740B" w:rsidRPr="002E279A" w:rsidRDefault="002E279A" w:rsidP="00434A6A">
      <w:pPr>
        <w:rPr>
          <w:u w:val="single"/>
          <w:rtl/>
        </w:rPr>
      </w:pPr>
      <w:r w:rsidRPr="002E279A">
        <w:rPr>
          <w:rFonts w:hint="cs"/>
          <w:u w:val="single"/>
          <w:rtl/>
        </w:rPr>
        <w:t>שכח/הניח אבן על החבית:</w:t>
      </w:r>
    </w:p>
    <w:p w14:paraId="482C7351" w14:textId="4C8CDDDA" w:rsidR="0074395C" w:rsidRDefault="0074395C" w:rsidP="00434A6A">
      <w:pPr>
        <w:pStyle w:val="aa"/>
        <w:numPr>
          <w:ilvl w:val="0"/>
          <w:numId w:val="15"/>
        </w:numPr>
      </w:pPr>
      <w:r>
        <w:rPr>
          <w:rFonts w:hint="cs"/>
          <w:rtl/>
        </w:rPr>
        <w:t xml:space="preserve">רמב"ם </w:t>
      </w:r>
      <w:r>
        <w:rPr>
          <w:rFonts w:hint="cs"/>
          <w:sz w:val="16"/>
          <w:szCs w:val="16"/>
          <w:rtl/>
        </w:rPr>
        <w:t>(פכ"ה הי"ז)</w:t>
      </w:r>
      <w:r>
        <w:rPr>
          <w:rFonts w:hint="cs"/>
          <w:rtl/>
        </w:rPr>
        <w:t xml:space="preserve"> ו</w:t>
      </w:r>
      <w:r w:rsidR="00551266">
        <w:rPr>
          <w:rFonts w:hint="cs"/>
          <w:rtl/>
        </w:rPr>
        <w:t>טור-</w:t>
      </w:r>
      <w:r w:rsidR="00551266">
        <w:rPr>
          <w:rFonts w:cs="Arial" w:hint="cs"/>
          <w:rtl/>
        </w:rPr>
        <w:t xml:space="preserve"> </w:t>
      </w:r>
      <w:r w:rsidR="00551266" w:rsidRPr="00FC5BE5">
        <w:rPr>
          <w:rFonts w:cs="Arial"/>
          <w:rtl/>
        </w:rPr>
        <w:t xml:space="preserve">שכח אבן על פי החבית או מעות ע"פ הכר </w:t>
      </w:r>
      <w:r>
        <w:rPr>
          <w:rFonts w:cs="Arial" w:hint="cs"/>
          <w:rtl/>
        </w:rPr>
        <w:t xml:space="preserve">- </w:t>
      </w:r>
      <w:r w:rsidR="00551266" w:rsidRPr="00FC5BE5">
        <w:rPr>
          <w:rFonts w:cs="Arial"/>
          <w:rtl/>
        </w:rPr>
        <w:t>מטה החבית על צדה ומנער הכר והן נופלות</w:t>
      </w:r>
      <w:r w:rsidR="0072740B">
        <w:rPr>
          <w:rFonts w:cs="Arial" w:hint="cs"/>
          <w:rtl/>
        </w:rPr>
        <w:t>.</w:t>
      </w:r>
      <w:r w:rsidR="00551266" w:rsidRPr="00FC5BE5">
        <w:rPr>
          <w:rFonts w:cs="Arial"/>
          <w:rtl/>
        </w:rPr>
        <w:t xml:space="preserve"> ואם הניחה עליהם מדעתו </w:t>
      </w:r>
      <w:r w:rsidR="0072740B">
        <w:rPr>
          <w:rFonts w:cs="Arial" w:hint="cs"/>
          <w:rtl/>
        </w:rPr>
        <w:t xml:space="preserve">- </w:t>
      </w:r>
      <w:r w:rsidR="00551266" w:rsidRPr="00FC5BE5">
        <w:rPr>
          <w:rFonts w:cs="Arial"/>
          <w:rtl/>
        </w:rPr>
        <w:t>אסור להטות ולנער</w:t>
      </w:r>
      <w:r>
        <w:rPr>
          <w:rStyle w:val="a9"/>
          <w:rFonts w:cs="Arial"/>
          <w:rtl/>
        </w:rPr>
        <w:footnoteReference w:id="1794"/>
      </w:r>
      <w:r w:rsidR="0072740B">
        <w:rPr>
          <w:rFonts w:cs="Arial" w:hint="cs"/>
          <w:rtl/>
        </w:rPr>
        <w:t>.</w:t>
      </w:r>
      <w:r w:rsidR="002E279A">
        <w:rPr>
          <w:rFonts w:cs="Arial" w:hint="cs"/>
          <w:rtl/>
        </w:rPr>
        <w:t>..</w:t>
      </w:r>
      <w:r w:rsidR="002E279A" w:rsidRPr="002E279A">
        <w:rPr>
          <w:rFonts w:cs="Arial"/>
          <w:rtl/>
        </w:rPr>
        <w:t xml:space="preserve"> </w:t>
      </w:r>
      <w:r w:rsidR="002E279A" w:rsidRPr="00FC5BE5">
        <w:rPr>
          <w:rFonts w:cs="Arial"/>
          <w:rtl/>
        </w:rPr>
        <w:t>ואם החבית בין החביות בענין שאינו יכול להטות אותה במקומה ושכח</w:t>
      </w:r>
      <w:r w:rsidR="002E279A">
        <w:rPr>
          <w:rStyle w:val="a9"/>
          <w:rFonts w:cs="Arial"/>
          <w:rtl/>
        </w:rPr>
        <w:footnoteReference w:id="1795"/>
      </w:r>
      <w:r w:rsidR="002E279A" w:rsidRPr="00FC5BE5">
        <w:rPr>
          <w:rFonts w:cs="Arial"/>
          <w:rtl/>
        </w:rPr>
        <w:t xml:space="preserve"> עליה אבן </w:t>
      </w:r>
      <w:r w:rsidR="002E279A">
        <w:rPr>
          <w:rFonts w:cs="Arial" w:hint="cs"/>
          <w:rtl/>
        </w:rPr>
        <w:t xml:space="preserve">- </w:t>
      </w:r>
      <w:r w:rsidR="002E279A" w:rsidRPr="00FC5BE5">
        <w:rPr>
          <w:rFonts w:cs="Arial"/>
          <w:rtl/>
        </w:rPr>
        <w:t>יכול להגביה כמו שהיא עם האבן למקום אחר להטותה שם כדי שיפול מעליה</w:t>
      </w:r>
      <w:r>
        <w:rPr>
          <w:rFonts w:cs="Arial" w:hint="cs"/>
          <w:sz w:val="16"/>
          <w:szCs w:val="16"/>
          <w:rtl/>
        </w:rPr>
        <w:t xml:space="preserve"> (ל' הטור)</w:t>
      </w:r>
      <w:r w:rsidRPr="0074395C">
        <w:rPr>
          <w:rFonts w:cs="Arial"/>
          <w:rtl/>
        </w:rPr>
        <w:t>.</w:t>
      </w:r>
      <w:r w:rsidRPr="0074395C">
        <w:rPr>
          <w:rFonts w:cs="Arial" w:hint="cs"/>
          <w:color w:val="E36C0A" w:themeColor="accent6" w:themeShade="BF"/>
          <w:rtl/>
        </w:rPr>
        <w:t xml:space="preserve"> </w:t>
      </w:r>
      <w:r w:rsidRPr="006B1538">
        <w:rPr>
          <w:rFonts w:cs="Arial" w:hint="cs"/>
          <w:color w:val="E36C0A" w:themeColor="accent6" w:themeShade="BF"/>
          <w:rtl/>
        </w:rPr>
        <w:t>(וכ"פ בשו"ע)</w:t>
      </w:r>
    </w:p>
    <w:p w14:paraId="381879D0" w14:textId="3019ACAB" w:rsidR="002E279A" w:rsidRPr="002E279A" w:rsidRDefault="002E279A" w:rsidP="00434A6A">
      <w:pPr>
        <w:rPr>
          <w:rFonts w:cs="Arial"/>
        </w:rPr>
      </w:pPr>
      <w:r w:rsidRPr="002E279A">
        <w:rPr>
          <w:rFonts w:cs="Arial" w:hint="cs"/>
          <w:b/>
          <w:bCs/>
          <w:rtl/>
        </w:rPr>
        <w:t xml:space="preserve">שבת </w:t>
      </w:r>
      <w:r w:rsidRPr="002E279A">
        <w:rPr>
          <w:rFonts w:cs="Arial" w:hint="cs"/>
          <w:b/>
          <w:bCs/>
          <w:sz w:val="16"/>
          <w:szCs w:val="16"/>
          <w:rtl/>
        </w:rPr>
        <w:t>(ס"פ במה טומנין)</w:t>
      </w:r>
      <w:r w:rsidRPr="002E279A">
        <w:rPr>
          <w:rFonts w:cs="Arial" w:hint="cs"/>
          <w:b/>
          <w:bCs/>
          <w:rtl/>
        </w:rPr>
        <w:t xml:space="preserve"> נא ע"א:</w:t>
      </w:r>
      <w:r w:rsidRPr="002E279A">
        <w:rPr>
          <w:rFonts w:cs="Arial" w:hint="cs"/>
          <w:rtl/>
        </w:rPr>
        <w:t xml:space="preserve"> </w:t>
      </w:r>
      <w:r w:rsidRPr="002E279A">
        <w:rPr>
          <w:rFonts w:cs="Arial"/>
          <w:rtl/>
        </w:rPr>
        <w:t xml:space="preserve">טמן וכיסה בדבר שאינו ניטל בשבת, או שטמן בדבר הניטל בשבת וכיסה בדבר שאינו ניטל בשבת, אם היה מגולה מקצתו - נוטל ומחזיר, ואם לאו </w:t>
      </w:r>
      <w:r w:rsidRPr="002E279A">
        <w:rPr>
          <w:rFonts w:cs="Arial" w:hint="cs"/>
          <w:rtl/>
        </w:rPr>
        <w:t>-</w:t>
      </w:r>
      <w:r w:rsidRPr="002E279A">
        <w:rPr>
          <w:rFonts w:cs="Arial" w:hint="cs"/>
          <w:sz w:val="14"/>
          <w:szCs w:val="14"/>
          <w:rtl/>
        </w:rPr>
        <w:t xml:space="preserve"> (נא:) </w:t>
      </w:r>
      <w:r w:rsidRPr="002E279A">
        <w:rPr>
          <w:rFonts w:cs="Arial"/>
          <w:rtl/>
        </w:rPr>
        <w:t xml:space="preserve">אינו נוטל ומחזיר. </w:t>
      </w:r>
      <w:r w:rsidRPr="002E279A">
        <w:rPr>
          <w:rFonts w:cs="Arial" w:hint="cs"/>
          <w:sz w:val="16"/>
          <w:szCs w:val="16"/>
          <w:rtl/>
        </w:rPr>
        <w:t>(</w:t>
      </w:r>
      <w:r w:rsidRPr="002E279A">
        <w:rPr>
          <w:rFonts w:cs="Arial"/>
          <w:sz w:val="16"/>
          <w:szCs w:val="16"/>
          <w:rtl/>
        </w:rPr>
        <w:t>לא יטול, דאין לו במה יאחזנה, ואם תאמר: יפנה סביבותיה, הואיל ודבר הניטל הוא, ויאחזנה בדופניה ויטנה על צדה ויפול הכיסוי, כי ההיא דתנן לקמן (קמב</w:t>
      </w:r>
      <w:r w:rsidRPr="002E279A">
        <w:rPr>
          <w:rFonts w:cs="Arial" w:hint="cs"/>
          <w:sz w:val="16"/>
          <w:szCs w:val="16"/>
          <w:rtl/>
        </w:rPr>
        <w:t>:</w:t>
      </w:r>
      <w:r w:rsidRPr="002E279A">
        <w:rPr>
          <w:rFonts w:cs="Arial"/>
          <w:sz w:val="16"/>
          <w:szCs w:val="16"/>
          <w:rtl/>
        </w:rPr>
        <w:t>): האבן שעל פי החבית מטה על צדה והיא נופלת, ואם היתה בין החביות - מגביהה ומטה על צדה והיא נופלת, הא אוקימנא התם בשכח, אבל במניח - נעשה בסיס לדבר האסור, והיכא דמגולה מקצתו - אין זה טלטול, שמצדדו והכיסוי נופל מאליו</w:t>
      </w:r>
      <w:r w:rsidRPr="002E279A">
        <w:rPr>
          <w:rFonts w:cs="Arial" w:hint="cs"/>
          <w:sz w:val="16"/>
          <w:szCs w:val="16"/>
          <w:rtl/>
        </w:rPr>
        <w:t xml:space="preserve">, רש"י (ד"ה הרי זה נוטל). </w:t>
      </w:r>
      <w:r w:rsidRPr="002E279A">
        <w:rPr>
          <w:rFonts w:cs="Arial"/>
          <w:sz w:val="16"/>
          <w:szCs w:val="16"/>
          <w:rtl/>
        </w:rPr>
        <w:t>וקשה דאי חשיב הכא כמניח אם כן במגולה מקצתה היאך נוטל ומחזיר מה בין זה לאבן שעל פי החבית דאסרי' במניח אפי' להטותה על צדה</w:t>
      </w:r>
      <w:r w:rsidRPr="002E279A">
        <w:rPr>
          <w:rFonts w:cs="Arial" w:hint="cs"/>
          <w:sz w:val="16"/>
          <w:szCs w:val="16"/>
          <w:rtl/>
        </w:rPr>
        <w:t>.</w:t>
      </w:r>
      <w:r w:rsidRPr="002E279A">
        <w:rPr>
          <w:rFonts w:cs="Arial"/>
          <w:sz w:val="16"/>
          <w:szCs w:val="16"/>
          <w:rtl/>
        </w:rPr>
        <w:t xml:space="preserve"> ועוד קשה לר"ת דהא תנן נוער את הכיסוי והן נופלות אפי' אינן מגולות מקצתן</w:t>
      </w:r>
      <w:r w:rsidRPr="002E279A">
        <w:rPr>
          <w:rFonts w:cs="Arial" w:hint="cs"/>
          <w:sz w:val="16"/>
          <w:szCs w:val="16"/>
          <w:rtl/>
        </w:rPr>
        <w:t>.</w:t>
      </w:r>
      <w:r w:rsidRPr="002E279A">
        <w:rPr>
          <w:rFonts w:cs="Arial"/>
          <w:sz w:val="16"/>
          <w:szCs w:val="16"/>
          <w:rtl/>
        </w:rPr>
        <w:t xml:space="preserve"> ועל כן אומר ר"ת דלא חשיב כמניח כיון שדעתו ליטלו בשבת</w:t>
      </w:r>
      <w:r w:rsidRPr="002E279A">
        <w:rPr>
          <w:rFonts w:cs="Arial" w:hint="cs"/>
          <w:sz w:val="16"/>
          <w:szCs w:val="16"/>
          <w:rtl/>
        </w:rPr>
        <w:t>.</w:t>
      </w:r>
      <w:r w:rsidRPr="002E279A">
        <w:rPr>
          <w:rFonts w:cs="Arial"/>
          <w:sz w:val="16"/>
          <w:szCs w:val="16"/>
          <w:rtl/>
        </w:rPr>
        <w:t xml:space="preserve"> ובפ' נוטל (קמג.) נמי תנן בית שמאי אומרים מגביהין מעל גבי השלחן עצמות וקליפים וב"ה אומרים מסלק את הטבלא ומנערה ולא חשיב לב"ה כמניח</w:t>
      </w:r>
      <w:r w:rsidRPr="002E279A">
        <w:rPr>
          <w:rFonts w:cs="Arial" w:hint="cs"/>
          <w:sz w:val="16"/>
          <w:szCs w:val="16"/>
          <w:rtl/>
        </w:rPr>
        <w:t xml:space="preserve">..., תוס' (נא. ד"ה או שטמן). </w:t>
      </w:r>
      <w:r w:rsidRPr="002E279A">
        <w:rPr>
          <w:rFonts w:cs="Arial"/>
          <w:sz w:val="16"/>
          <w:szCs w:val="16"/>
          <w:rtl/>
        </w:rPr>
        <w:t>משמע בהדיא מדברי רש"י דכל שהניח על דעת שישארו שם בכניסת השבת</w:t>
      </w:r>
      <w:r w:rsidRPr="002E279A">
        <w:rPr>
          <w:rFonts w:cs="Arial" w:hint="cs"/>
          <w:sz w:val="16"/>
          <w:szCs w:val="16"/>
          <w:rtl/>
        </w:rPr>
        <w:t>,</w:t>
      </w:r>
      <w:r w:rsidRPr="002E279A">
        <w:rPr>
          <w:rFonts w:cs="Arial"/>
          <w:sz w:val="16"/>
          <w:szCs w:val="16"/>
          <w:rtl/>
        </w:rPr>
        <w:t xml:space="preserve"> אע</w:t>
      </w:r>
      <w:r w:rsidRPr="002E279A">
        <w:rPr>
          <w:rFonts w:cs="Arial" w:hint="cs"/>
          <w:sz w:val="16"/>
          <w:szCs w:val="16"/>
          <w:rtl/>
        </w:rPr>
        <w:t>"</w:t>
      </w:r>
      <w:r w:rsidRPr="002E279A">
        <w:rPr>
          <w:rFonts w:cs="Arial"/>
          <w:sz w:val="16"/>
          <w:szCs w:val="16"/>
          <w:rtl/>
        </w:rPr>
        <w:t xml:space="preserve">פ שדעתו ליטלו בשבת </w:t>
      </w:r>
      <w:r w:rsidRPr="002E279A">
        <w:rPr>
          <w:rFonts w:cs="Arial" w:hint="cs"/>
          <w:sz w:val="16"/>
          <w:szCs w:val="16"/>
          <w:rtl/>
        </w:rPr>
        <w:t xml:space="preserve">- </w:t>
      </w:r>
      <w:r w:rsidRPr="002E279A">
        <w:rPr>
          <w:rFonts w:cs="Arial"/>
          <w:sz w:val="16"/>
          <w:szCs w:val="16"/>
          <w:rtl/>
        </w:rPr>
        <w:t>מיקרי מניח</w:t>
      </w:r>
      <w:r w:rsidRPr="002E279A">
        <w:rPr>
          <w:rFonts w:cs="Arial" w:hint="cs"/>
          <w:sz w:val="16"/>
          <w:szCs w:val="16"/>
          <w:rtl/>
        </w:rPr>
        <w:t>,</w:t>
      </w:r>
      <w:r w:rsidRPr="002E279A">
        <w:rPr>
          <w:rFonts w:cs="Arial"/>
          <w:sz w:val="16"/>
          <w:szCs w:val="16"/>
          <w:rtl/>
        </w:rPr>
        <w:t xml:space="preserve"> דהא הטמנה על דעת ליטלה בשבת עבידא לה ואפילו הכי קרי לה מניח</w:t>
      </w:r>
      <w:r w:rsidRPr="002E279A">
        <w:rPr>
          <w:rFonts w:cs="Arial" w:hint="cs"/>
          <w:sz w:val="16"/>
          <w:szCs w:val="16"/>
          <w:rtl/>
        </w:rPr>
        <w:t>.</w:t>
      </w:r>
      <w:r w:rsidRPr="002E279A">
        <w:rPr>
          <w:rFonts w:cs="Arial"/>
          <w:sz w:val="16"/>
          <w:szCs w:val="16"/>
          <w:rtl/>
        </w:rPr>
        <w:t xml:space="preserve"> ומה שהקשו עליו מדתנן נוער את הכיסוי</w:t>
      </w:r>
      <w:r w:rsidRPr="002E279A">
        <w:rPr>
          <w:rFonts w:cs="Arial" w:hint="cs"/>
          <w:sz w:val="16"/>
          <w:szCs w:val="16"/>
          <w:rtl/>
        </w:rPr>
        <w:t>,</w:t>
      </w:r>
      <w:r w:rsidRPr="002E279A">
        <w:rPr>
          <w:rFonts w:cs="Arial"/>
          <w:sz w:val="16"/>
          <w:szCs w:val="16"/>
          <w:rtl/>
        </w:rPr>
        <w:t xml:space="preserve"> נראה לי שהוא ז"ל נזהר מזה שכתב (מט. ד"ה) נוטל כיסוי של קדרה שיש תורת כלי עליה ואע</w:t>
      </w:r>
      <w:r w:rsidRPr="002E279A">
        <w:rPr>
          <w:rFonts w:cs="Arial" w:hint="cs"/>
          <w:sz w:val="16"/>
          <w:szCs w:val="16"/>
          <w:rtl/>
        </w:rPr>
        <w:t>"</w:t>
      </w:r>
      <w:r w:rsidRPr="002E279A">
        <w:rPr>
          <w:rFonts w:cs="Arial"/>
          <w:sz w:val="16"/>
          <w:szCs w:val="16"/>
          <w:rtl/>
        </w:rPr>
        <w:t>ג שהן עליה לא איכפת לן</w:t>
      </w:r>
      <w:r w:rsidRPr="002E279A">
        <w:rPr>
          <w:rFonts w:cs="Arial" w:hint="cs"/>
          <w:sz w:val="16"/>
          <w:szCs w:val="16"/>
          <w:rtl/>
        </w:rPr>
        <w:t>,</w:t>
      </w:r>
      <w:r w:rsidRPr="002E279A">
        <w:rPr>
          <w:rFonts w:cs="Arial"/>
          <w:sz w:val="16"/>
          <w:szCs w:val="16"/>
          <w:rtl/>
        </w:rPr>
        <w:t xml:space="preserve"> דלא נעשית בסיס להם שאין עשוי אלא לכסות קדרה עכ"ל</w:t>
      </w:r>
      <w:r w:rsidRPr="002E279A">
        <w:rPr>
          <w:rFonts w:cs="Arial" w:hint="cs"/>
          <w:sz w:val="16"/>
          <w:szCs w:val="16"/>
          <w:rtl/>
        </w:rPr>
        <w:t>,</w:t>
      </w:r>
      <w:r w:rsidRPr="002E279A">
        <w:rPr>
          <w:rFonts w:cs="Arial"/>
          <w:sz w:val="16"/>
          <w:szCs w:val="16"/>
          <w:rtl/>
        </w:rPr>
        <w:t xml:space="preserve"> כלומר דגיזין הללו לא להניחם על כיסוי הקדרה נתכוין אלא להטמין הקדרה הילכך ליכא למימר בהו נעשה בסיס לדבר האסור כדשייך למימר במניח אבן על פי חבית ומעות על הכר</w:t>
      </w:r>
      <w:r w:rsidRPr="002E279A">
        <w:rPr>
          <w:rFonts w:cs="Arial" w:hint="cs"/>
          <w:sz w:val="16"/>
          <w:szCs w:val="16"/>
          <w:rtl/>
        </w:rPr>
        <w:t>, ב"י)</w:t>
      </w:r>
      <w:r w:rsidRPr="002E279A">
        <w:rPr>
          <w:rFonts w:cs="Arial"/>
          <w:sz w:val="16"/>
          <w:szCs w:val="16"/>
          <w:rtl/>
        </w:rPr>
        <w:t xml:space="preserve"> </w:t>
      </w:r>
    </w:p>
    <w:p w14:paraId="5594560B" w14:textId="3944EF0A" w:rsidR="00216D73" w:rsidRPr="002E279A" w:rsidRDefault="002E279A" w:rsidP="00434A6A">
      <w:pPr>
        <w:rPr>
          <w:u w:val="single"/>
        </w:rPr>
      </w:pPr>
      <w:r w:rsidRPr="002E279A">
        <w:rPr>
          <w:rFonts w:hint="cs"/>
          <w:u w:val="single"/>
          <w:rtl/>
        </w:rPr>
        <w:t>מ</w:t>
      </w:r>
      <w:r w:rsidR="0074395C">
        <w:rPr>
          <w:rFonts w:hint="cs"/>
          <w:u w:val="single"/>
          <w:rtl/>
        </w:rPr>
        <w:t>תי</w:t>
      </w:r>
      <w:r w:rsidRPr="002E279A">
        <w:rPr>
          <w:rFonts w:hint="cs"/>
          <w:u w:val="single"/>
          <w:rtl/>
        </w:rPr>
        <w:t xml:space="preserve"> נקרא </w:t>
      </w:r>
      <w:r>
        <w:rPr>
          <w:rFonts w:hint="cs"/>
          <w:u w:val="single"/>
          <w:rtl/>
        </w:rPr>
        <w:t>'</w:t>
      </w:r>
      <w:r w:rsidRPr="002E279A">
        <w:rPr>
          <w:rFonts w:hint="cs"/>
          <w:u w:val="single"/>
          <w:rtl/>
        </w:rPr>
        <w:t>שוכח</w:t>
      </w:r>
      <w:r>
        <w:rPr>
          <w:rFonts w:hint="cs"/>
          <w:u w:val="single"/>
          <w:rtl/>
        </w:rPr>
        <w:t>'</w:t>
      </w:r>
      <w:r w:rsidRPr="002E279A">
        <w:rPr>
          <w:rFonts w:hint="cs"/>
          <w:u w:val="single"/>
          <w:rtl/>
        </w:rPr>
        <w:t>, ומ</w:t>
      </w:r>
      <w:r w:rsidR="0074395C">
        <w:rPr>
          <w:rFonts w:hint="cs"/>
          <w:u w:val="single"/>
          <w:rtl/>
        </w:rPr>
        <w:t>תי</w:t>
      </w:r>
      <w:r w:rsidRPr="002E279A">
        <w:rPr>
          <w:rFonts w:hint="cs"/>
          <w:u w:val="single"/>
          <w:rtl/>
        </w:rPr>
        <w:t xml:space="preserve"> נקרא </w:t>
      </w:r>
      <w:r>
        <w:rPr>
          <w:rFonts w:hint="cs"/>
          <w:u w:val="single"/>
          <w:rtl/>
        </w:rPr>
        <w:t>'</w:t>
      </w:r>
      <w:r w:rsidRPr="002E279A">
        <w:rPr>
          <w:rFonts w:hint="cs"/>
          <w:u w:val="single"/>
          <w:rtl/>
        </w:rPr>
        <w:t>מניח</w:t>
      </w:r>
      <w:r>
        <w:rPr>
          <w:rFonts w:hint="cs"/>
          <w:u w:val="single"/>
          <w:rtl/>
        </w:rPr>
        <w:t>'</w:t>
      </w:r>
      <w:r w:rsidRPr="002E279A">
        <w:rPr>
          <w:rFonts w:hint="cs"/>
          <w:u w:val="single"/>
          <w:rtl/>
        </w:rPr>
        <w:t>:</w:t>
      </w:r>
    </w:p>
    <w:p w14:paraId="18EE4B30" w14:textId="2C2D8ADD" w:rsidR="0072740B" w:rsidRPr="0072740B" w:rsidRDefault="00F15D43" w:rsidP="00434A6A">
      <w:pPr>
        <w:pStyle w:val="aa"/>
        <w:numPr>
          <w:ilvl w:val="0"/>
          <w:numId w:val="15"/>
        </w:numPr>
      </w:pPr>
      <w:r>
        <w:rPr>
          <w:rFonts w:cs="Arial" w:hint="cs"/>
          <w:rtl/>
        </w:rPr>
        <w:t xml:space="preserve">רש"י </w:t>
      </w:r>
      <w:r>
        <w:rPr>
          <w:rFonts w:cs="Arial" w:hint="cs"/>
          <w:sz w:val="16"/>
          <w:szCs w:val="16"/>
          <w:rtl/>
        </w:rPr>
        <w:t xml:space="preserve">(כ"כ הב"י בשמו) </w:t>
      </w:r>
      <w:r>
        <w:rPr>
          <w:rFonts w:cs="Arial" w:hint="cs"/>
          <w:rtl/>
        </w:rPr>
        <w:t>ו</w:t>
      </w:r>
      <w:r w:rsidR="00216D73">
        <w:rPr>
          <w:rFonts w:cs="Arial" w:hint="cs"/>
          <w:rtl/>
        </w:rPr>
        <w:t xml:space="preserve">טור- </w:t>
      </w:r>
      <w:r w:rsidR="00551266" w:rsidRPr="00FC5BE5">
        <w:rPr>
          <w:rFonts w:cs="Arial"/>
          <w:rtl/>
        </w:rPr>
        <w:t>פירוש מניח</w:t>
      </w:r>
      <w:r w:rsidR="002E279A">
        <w:rPr>
          <w:rFonts w:cs="Arial" w:hint="cs"/>
          <w:rtl/>
        </w:rPr>
        <w:t xml:space="preserve">, </w:t>
      </w:r>
      <w:r w:rsidR="00551266" w:rsidRPr="00FC5BE5">
        <w:rPr>
          <w:rFonts w:cs="Arial"/>
          <w:rtl/>
        </w:rPr>
        <w:t>כשהניחם על דעת שישארו שם בכניסת השבת</w:t>
      </w:r>
      <w:r w:rsidR="0072740B">
        <w:rPr>
          <w:rFonts w:cs="Arial" w:hint="cs"/>
          <w:rtl/>
        </w:rPr>
        <w:t>.</w:t>
      </w:r>
      <w:r w:rsidR="00551266" w:rsidRPr="00FC5BE5">
        <w:rPr>
          <w:rFonts w:cs="Arial"/>
          <w:rtl/>
        </w:rPr>
        <w:t xml:space="preserve"> ופירוש אם שכח</w:t>
      </w:r>
      <w:r w:rsidR="002E279A">
        <w:rPr>
          <w:rFonts w:cs="Arial" w:hint="cs"/>
          <w:rtl/>
        </w:rPr>
        <w:t xml:space="preserve">, </w:t>
      </w:r>
      <w:r w:rsidR="00551266" w:rsidRPr="00FC5BE5">
        <w:rPr>
          <w:rFonts w:cs="Arial"/>
          <w:rtl/>
        </w:rPr>
        <w:t>שהיה דעתו ליטלה מבע"י בשעה שהניחה שם ושכח שם</w:t>
      </w:r>
      <w:r>
        <w:rPr>
          <w:rFonts w:cs="Arial" w:hint="cs"/>
          <w:sz w:val="16"/>
          <w:szCs w:val="16"/>
          <w:rtl/>
        </w:rPr>
        <w:t xml:space="preserve"> (ל' הטור)</w:t>
      </w:r>
      <w:r w:rsidR="0072740B">
        <w:rPr>
          <w:rFonts w:cs="Arial" w:hint="cs"/>
          <w:rtl/>
        </w:rPr>
        <w:t>.</w:t>
      </w:r>
      <w:r w:rsidR="00551266" w:rsidRPr="00FC5BE5">
        <w:rPr>
          <w:rFonts w:cs="Arial"/>
          <w:rtl/>
        </w:rPr>
        <w:t xml:space="preserve"> </w:t>
      </w:r>
      <w:r w:rsidR="0074395C" w:rsidRPr="006B1538">
        <w:rPr>
          <w:rFonts w:cs="Arial" w:hint="cs"/>
          <w:color w:val="E36C0A" w:themeColor="accent6" w:themeShade="BF"/>
          <w:rtl/>
        </w:rPr>
        <w:t>(וכ"</w:t>
      </w:r>
      <w:r w:rsidR="0074395C">
        <w:rPr>
          <w:rFonts w:cs="Arial" w:hint="cs"/>
          <w:color w:val="E36C0A" w:themeColor="accent6" w:themeShade="BF"/>
          <w:rtl/>
        </w:rPr>
        <w:t>ס</w:t>
      </w:r>
      <w:r w:rsidR="0074395C" w:rsidRPr="006B1538">
        <w:rPr>
          <w:rFonts w:cs="Arial" w:hint="cs"/>
          <w:color w:val="E36C0A" w:themeColor="accent6" w:themeShade="BF"/>
          <w:rtl/>
        </w:rPr>
        <w:t xml:space="preserve"> בשו"ע)</w:t>
      </w:r>
    </w:p>
    <w:p w14:paraId="20D37C89" w14:textId="78B4D0DC" w:rsidR="002E279A" w:rsidRPr="002E279A" w:rsidRDefault="002E279A" w:rsidP="00434A6A">
      <w:pPr>
        <w:pStyle w:val="aa"/>
        <w:numPr>
          <w:ilvl w:val="0"/>
          <w:numId w:val="15"/>
        </w:numPr>
      </w:pPr>
      <w:r>
        <w:rPr>
          <w:rFonts w:cs="Arial" w:hint="cs"/>
          <w:rtl/>
        </w:rPr>
        <w:t>ר"ת</w:t>
      </w:r>
      <w:r>
        <w:rPr>
          <w:rFonts w:cs="Arial" w:hint="cs"/>
          <w:sz w:val="16"/>
          <w:szCs w:val="16"/>
          <w:rtl/>
        </w:rPr>
        <w:t xml:space="preserve"> </w:t>
      </w:r>
      <w:r>
        <w:rPr>
          <w:rFonts w:cs="Arial" w:hint="cs"/>
          <w:rtl/>
        </w:rPr>
        <w:t>תרומה וסמ"ג</w:t>
      </w:r>
      <w:r w:rsidR="0074395C">
        <w:rPr>
          <w:rStyle w:val="a9"/>
          <w:rFonts w:cs="Arial"/>
          <w:rtl/>
        </w:rPr>
        <w:footnoteReference w:id="1796"/>
      </w:r>
      <w:r>
        <w:rPr>
          <w:rFonts w:cs="Arial" w:hint="cs"/>
          <w:rtl/>
        </w:rPr>
        <w:t xml:space="preserve">- </w:t>
      </w:r>
      <w:r w:rsidR="00551266" w:rsidRPr="00FC5BE5">
        <w:rPr>
          <w:rFonts w:cs="Arial"/>
          <w:rtl/>
        </w:rPr>
        <w:t>אפילו הניח אדעתא שישאר שם בכניסת שבת לא מקרי מניח אלא כשהניח על דעת שישארו שם כל אותה השבת</w:t>
      </w:r>
      <w:r w:rsidR="0072740B">
        <w:rPr>
          <w:rFonts w:cs="Arial" w:hint="cs"/>
          <w:rtl/>
        </w:rPr>
        <w:t>,</w:t>
      </w:r>
      <w:r w:rsidR="00551266" w:rsidRPr="00FC5BE5">
        <w:rPr>
          <w:rFonts w:cs="Arial"/>
          <w:rtl/>
        </w:rPr>
        <w:t xml:space="preserve"> אבל אם הניחם במזיד כדי שיטלם בשבת </w:t>
      </w:r>
      <w:r w:rsidR="0072740B">
        <w:rPr>
          <w:rFonts w:cs="Arial" w:hint="cs"/>
          <w:rtl/>
        </w:rPr>
        <w:t xml:space="preserve">- </w:t>
      </w:r>
      <w:r w:rsidR="00551266" w:rsidRPr="00FC5BE5">
        <w:rPr>
          <w:rFonts w:cs="Arial"/>
          <w:rtl/>
        </w:rPr>
        <w:t>מותר לנער למחר החבית והכר והם נופלות כדתנן טומנין בגיזי צמר ואין מטלטלין אותן כיצד עושה מנער הקדרה והן נופלות</w:t>
      </w:r>
      <w:r>
        <w:rPr>
          <w:rFonts w:cs="Arial" w:hint="cs"/>
          <w:rtl/>
        </w:rPr>
        <w:t xml:space="preserve"> </w:t>
      </w:r>
      <w:r>
        <w:rPr>
          <w:rFonts w:cs="Arial" w:hint="cs"/>
          <w:sz w:val="16"/>
          <w:szCs w:val="16"/>
          <w:rtl/>
        </w:rPr>
        <w:t>(ל' הטור בש</w:t>
      </w:r>
      <w:r w:rsidR="0074395C">
        <w:rPr>
          <w:rFonts w:cs="Arial" w:hint="cs"/>
          <w:sz w:val="16"/>
          <w:szCs w:val="16"/>
          <w:rtl/>
        </w:rPr>
        <w:t>ם התרומה</w:t>
      </w:r>
      <w:r>
        <w:rPr>
          <w:rFonts w:cs="Arial" w:hint="cs"/>
          <w:sz w:val="16"/>
          <w:szCs w:val="16"/>
          <w:rtl/>
        </w:rPr>
        <w:t>)</w:t>
      </w:r>
      <w:r w:rsidR="00551266">
        <w:rPr>
          <w:rFonts w:cs="Arial" w:hint="cs"/>
          <w:rtl/>
        </w:rPr>
        <w:t>.</w:t>
      </w:r>
      <w:r w:rsidR="00551266" w:rsidRPr="00FC5BE5">
        <w:rPr>
          <w:rFonts w:cs="Arial"/>
          <w:rtl/>
        </w:rPr>
        <w:t xml:space="preserve"> </w:t>
      </w:r>
    </w:p>
    <w:p w14:paraId="7DC26C24" w14:textId="60208AB2" w:rsidR="00BC212A" w:rsidRDefault="00BC212A" w:rsidP="00434A6A">
      <w:pPr>
        <w:pStyle w:val="aa"/>
        <w:numPr>
          <w:ilvl w:val="0"/>
          <w:numId w:val="15"/>
        </w:numPr>
      </w:pPr>
      <w:r>
        <w:rPr>
          <w:rFonts w:cs="Arial" w:hint="cs"/>
          <w:rtl/>
        </w:rPr>
        <w:t xml:space="preserve">תרוה"ד </w:t>
      </w:r>
      <w:r w:rsidRPr="00BC212A">
        <w:rPr>
          <w:rFonts w:cs="Arial" w:hint="cs"/>
          <w:sz w:val="16"/>
          <w:szCs w:val="16"/>
          <w:rtl/>
        </w:rPr>
        <w:t>(</w:t>
      </w:r>
      <w:r w:rsidR="00FC5BE5" w:rsidRPr="00BC212A">
        <w:rPr>
          <w:rFonts w:cs="Arial"/>
          <w:sz w:val="16"/>
          <w:szCs w:val="16"/>
          <w:rtl/>
        </w:rPr>
        <w:t>ח"ב סי</w:t>
      </w:r>
      <w:r w:rsidRPr="00BC212A">
        <w:rPr>
          <w:rFonts w:cs="Arial" w:hint="cs"/>
          <w:sz w:val="16"/>
          <w:szCs w:val="16"/>
          <w:rtl/>
        </w:rPr>
        <w:t>'</w:t>
      </w:r>
      <w:r w:rsidR="00FC5BE5" w:rsidRPr="00BC212A">
        <w:rPr>
          <w:rFonts w:cs="Arial"/>
          <w:sz w:val="16"/>
          <w:szCs w:val="16"/>
          <w:rtl/>
        </w:rPr>
        <w:t xml:space="preserve"> קצג</w:t>
      </w:r>
      <w:r w:rsidRPr="00BC212A">
        <w:rPr>
          <w:rFonts w:cs="Arial" w:hint="cs"/>
          <w:sz w:val="16"/>
          <w:szCs w:val="16"/>
          <w:rtl/>
        </w:rPr>
        <w:t>)</w:t>
      </w:r>
      <w:r>
        <w:rPr>
          <w:rFonts w:cs="Arial" w:hint="cs"/>
          <w:rtl/>
        </w:rPr>
        <w:t>-</w:t>
      </w:r>
      <w:r w:rsidR="00FC5BE5" w:rsidRPr="002E279A">
        <w:rPr>
          <w:rFonts w:cs="Arial"/>
          <w:rtl/>
        </w:rPr>
        <w:t xml:space="preserve"> לא מיקרי מניח אלא כשמניח בערב שבת</w:t>
      </w:r>
      <w:r>
        <w:rPr>
          <w:rFonts w:cs="Arial" w:hint="cs"/>
          <w:rtl/>
        </w:rPr>
        <w:t>,</w:t>
      </w:r>
      <w:r w:rsidR="00FC5BE5" w:rsidRPr="002E279A">
        <w:rPr>
          <w:rFonts w:cs="Arial"/>
          <w:rtl/>
        </w:rPr>
        <w:t xml:space="preserve"> אבל אם הניח קודם לכן </w:t>
      </w:r>
      <w:r>
        <w:rPr>
          <w:rFonts w:cs="Arial" w:hint="cs"/>
          <w:rtl/>
        </w:rPr>
        <w:t xml:space="preserve">- </w:t>
      </w:r>
      <w:r w:rsidR="00FC5BE5" w:rsidRPr="002E279A">
        <w:rPr>
          <w:rFonts w:cs="Arial"/>
          <w:rtl/>
        </w:rPr>
        <w:t>שרי</w:t>
      </w:r>
      <w:r>
        <w:rPr>
          <w:rFonts w:cs="Arial" w:hint="cs"/>
          <w:rtl/>
        </w:rPr>
        <w:t>,</w:t>
      </w:r>
      <w:r w:rsidR="00FC5BE5" w:rsidRPr="002E279A">
        <w:rPr>
          <w:rFonts w:cs="Arial"/>
          <w:rtl/>
        </w:rPr>
        <w:t xml:space="preserve"> משום דבערב שבת נעשה שוכח</w:t>
      </w:r>
      <w:r>
        <w:rPr>
          <w:rStyle w:val="a9"/>
          <w:rFonts w:cs="Arial"/>
          <w:rtl/>
        </w:rPr>
        <w:footnoteReference w:id="1797"/>
      </w:r>
      <w:r>
        <w:rPr>
          <w:rFonts w:cs="Arial" w:hint="cs"/>
          <w:rtl/>
        </w:rPr>
        <w:t>.</w:t>
      </w:r>
      <w:r w:rsidR="00FC5BE5" w:rsidRPr="00BC212A">
        <w:rPr>
          <w:rFonts w:cs="Arial"/>
          <w:rtl/>
        </w:rPr>
        <w:t xml:space="preserve"> </w:t>
      </w:r>
    </w:p>
    <w:p w14:paraId="658010FB" w14:textId="09A40907" w:rsidR="00BC212A" w:rsidRPr="00BC212A" w:rsidRDefault="00BC212A" w:rsidP="00434A6A">
      <w:pPr>
        <w:rPr>
          <w:u w:val="single"/>
          <w:rtl/>
        </w:rPr>
      </w:pPr>
      <w:r w:rsidRPr="00BC212A">
        <w:rPr>
          <w:rFonts w:hint="cs"/>
          <w:u w:val="single"/>
          <w:rtl/>
        </w:rPr>
        <w:t>המניח דבר אסור על דבר היתר של חברו:</w:t>
      </w:r>
      <w:r w:rsidRPr="00BC212A">
        <w:rPr>
          <w:rFonts w:cs="Arial"/>
          <w:sz w:val="16"/>
          <w:szCs w:val="16"/>
          <w:rtl/>
        </w:rPr>
        <w:t xml:space="preserve"> (</w:t>
      </w:r>
      <w:r w:rsidRPr="00BC212A">
        <w:rPr>
          <w:rFonts w:cs="Arial" w:hint="cs"/>
          <w:sz w:val="16"/>
          <w:szCs w:val="16"/>
          <w:rtl/>
        </w:rPr>
        <w:t xml:space="preserve">דרכ"מ אות </w:t>
      </w:r>
      <w:r w:rsidRPr="00BC212A">
        <w:rPr>
          <w:rFonts w:cs="Arial"/>
          <w:sz w:val="16"/>
          <w:szCs w:val="16"/>
          <w:rtl/>
        </w:rPr>
        <w:t>ב)</w:t>
      </w:r>
    </w:p>
    <w:p w14:paraId="51E04D31" w14:textId="67A2E4A6" w:rsidR="00BC212A" w:rsidRDefault="00BC212A" w:rsidP="00434A6A">
      <w:pPr>
        <w:pStyle w:val="aa"/>
        <w:numPr>
          <w:ilvl w:val="0"/>
          <w:numId w:val="15"/>
        </w:numPr>
        <w:rPr>
          <w:rtl/>
        </w:rPr>
      </w:pPr>
      <w:r w:rsidRPr="00FC5BE5">
        <w:rPr>
          <w:rFonts w:cs="Arial"/>
          <w:rtl/>
        </w:rPr>
        <w:t xml:space="preserve">אור זרוע </w:t>
      </w:r>
      <w:r w:rsidRPr="00BC212A">
        <w:rPr>
          <w:rFonts w:cs="Arial"/>
          <w:sz w:val="16"/>
          <w:szCs w:val="16"/>
          <w:rtl/>
        </w:rPr>
        <w:t>(הל' ערב שבת סוס"י כט והל' שבת סי' פו אות ג)</w:t>
      </w:r>
      <w:r>
        <w:rPr>
          <w:rFonts w:cs="Arial" w:hint="cs"/>
          <w:rtl/>
        </w:rPr>
        <w:t>-</w:t>
      </w:r>
      <w:r w:rsidRPr="00FC5BE5">
        <w:rPr>
          <w:rFonts w:cs="Arial"/>
          <w:rtl/>
        </w:rPr>
        <w:t xml:space="preserve"> אם אדם הניח דבר אסור על של חבירו </w:t>
      </w:r>
      <w:r>
        <w:rPr>
          <w:rFonts w:cs="Arial" w:hint="cs"/>
          <w:rtl/>
        </w:rPr>
        <w:t xml:space="preserve">- </w:t>
      </w:r>
      <w:r w:rsidRPr="00FC5BE5">
        <w:rPr>
          <w:rFonts w:cs="Arial"/>
          <w:rtl/>
        </w:rPr>
        <w:t>לא אמרינן ביה דנעשה בסיס לדבר האסור דאין אדם אוסר על של חבירו שלא מדעתו</w:t>
      </w:r>
      <w:r>
        <w:rPr>
          <w:rFonts w:cs="Arial" w:hint="cs"/>
          <w:rtl/>
        </w:rPr>
        <w:t>.</w:t>
      </w:r>
      <w:r w:rsidR="009F5F23" w:rsidRPr="009F5F23">
        <w:rPr>
          <w:rFonts w:hint="cs"/>
          <w:color w:val="00B0F0"/>
          <w:rtl/>
        </w:rPr>
        <w:t xml:space="preserve"> (וכ"פ הרמ"א)</w:t>
      </w:r>
    </w:p>
    <w:p w14:paraId="0E606317" w14:textId="77777777" w:rsidR="00FC5BE5" w:rsidRPr="005275DF" w:rsidRDefault="00FC5BE5" w:rsidP="00434A6A">
      <w:pPr>
        <w:rPr>
          <w:rFonts w:asciiTheme="minorBidi" w:hAnsiTheme="minorBidi"/>
          <w:rtl/>
        </w:rPr>
      </w:pPr>
      <w:r w:rsidRPr="005275DF">
        <w:rPr>
          <w:rFonts w:asciiTheme="minorBidi" w:hAnsiTheme="minorBidi"/>
          <w:b/>
          <w:bCs/>
          <w:sz w:val="32"/>
          <w:szCs w:val="28"/>
          <w:u w:val="single"/>
          <w:rtl/>
        </w:rPr>
        <w:t xml:space="preserve">שו"ע: </w:t>
      </w:r>
    </w:p>
    <w:p w14:paraId="5177F0A9" w14:textId="611901DE" w:rsidR="000C6229" w:rsidRPr="005275DF" w:rsidRDefault="000C6229" w:rsidP="00434A6A">
      <w:pPr>
        <w:rPr>
          <w:rFonts w:asciiTheme="minorBidi" w:hAnsiTheme="minorBidi"/>
          <w:rtl/>
        </w:rPr>
      </w:pPr>
      <w:r w:rsidRPr="005275DF">
        <w:rPr>
          <w:rFonts w:asciiTheme="minorBidi" w:hAnsiTheme="minorBidi"/>
          <w:rtl/>
        </w:rPr>
        <w:t>שכח אבן ע</w:t>
      </w:r>
      <w:r w:rsidR="0074395C">
        <w:rPr>
          <w:rFonts w:asciiTheme="minorBidi" w:hAnsiTheme="minorBidi" w:hint="cs"/>
          <w:rtl/>
        </w:rPr>
        <w:t xml:space="preserve">ל </w:t>
      </w:r>
      <w:r w:rsidRPr="005275DF">
        <w:rPr>
          <w:rFonts w:asciiTheme="minorBidi" w:hAnsiTheme="minorBidi"/>
          <w:rtl/>
        </w:rPr>
        <w:t>פ</w:t>
      </w:r>
      <w:r w:rsidR="0074395C">
        <w:rPr>
          <w:rFonts w:asciiTheme="minorBidi" w:hAnsiTheme="minorBidi" w:hint="cs"/>
          <w:rtl/>
        </w:rPr>
        <w:t>י</w:t>
      </w:r>
      <w:r w:rsidRPr="005275DF">
        <w:rPr>
          <w:rFonts w:asciiTheme="minorBidi" w:hAnsiTheme="minorBidi"/>
          <w:rtl/>
        </w:rPr>
        <w:t xml:space="preserve"> חבית, או מעות על הכר, מטה חבית על צדה והאבן נופלת, ומנער הכר והמעות נופלים</w:t>
      </w:r>
      <w:r w:rsidR="0074395C">
        <w:rPr>
          <w:rFonts w:asciiTheme="minorBidi" w:hAnsiTheme="minorBidi" w:hint="cs"/>
          <w:rtl/>
        </w:rPr>
        <w:t>.</w:t>
      </w:r>
      <w:r w:rsidRPr="005275DF">
        <w:rPr>
          <w:rFonts w:asciiTheme="minorBidi" w:hAnsiTheme="minorBidi"/>
          <w:rtl/>
        </w:rPr>
        <w:t xml:space="preserve"> ואם היתה החבית בין החביות בענין שאינו יכול להטות אותה במקומה, יכול להגביה</w:t>
      </w:r>
      <w:r w:rsidR="009F5F23">
        <w:rPr>
          <w:rStyle w:val="a9"/>
          <w:rFonts w:asciiTheme="minorBidi" w:hAnsiTheme="minorBidi"/>
          <w:rtl/>
        </w:rPr>
        <w:footnoteReference w:id="1798"/>
      </w:r>
      <w:r w:rsidRPr="005275DF">
        <w:rPr>
          <w:rFonts w:asciiTheme="minorBidi" w:hAnsiTheme="minorBidi"/>
          <w:rtl/>
        </w:rPr>
        <w:t xml:space="preserve"> כמו שהיא עם האבן למקום אחר להטותה שם כדי שיפול מעליה. ואם הניחם עליה מדעתו, ע</w:t>
      </w:r>
      <w:r w:rsidR="0074395C">
        <w:rPr>
          <w:rFonts w:asciiTheme="minorBidi" w:hAnsiTheme="minorBidi" w:hint="cs"/>
          <w:rtl/>
        </w:rPr>
        <w:t xml:space="preserve">ל </w:t>
      </w:r>
      <w:r w:rsidRPr="005275DF">
        <w:rPr>
          <w:rFonts w:asciiTheme="minorBidi" w:hAnsiTheme="minorBidi"/>
          <w:rtl/>
        </w:rPr>
        <w:t>ד</w:t>
      </w:r>
      <w:r w:rsidR="0074395C">
        <w:rPr>
          <w:rFonts w:asciiTheme="minorBidi" w:hAnsiTheme="minorBidi" w:hint="cs"/>
          <w:rtl/>
        </w:rPr>
        <w:t>עת</w:t>
      </w:r>
      <w:r w:rsidRPr="005275DF">
        <w:rPr>
          <w:rFonts w:asciiTheme="minorBidi" w:hAnsiTheme="minorBidi"/>
          <w:rtl/>
        </w:rPr>
        <w:t xml:space="preserve"> שישארו שם בכניסת השבת, אסור להטות ולנער</w:t>
      </w:r>
      <w:r w:rsidR="007A7A7C">
        <w:rPr>
          <w:rStyle w:val="a9"/>
          <w:rFonts w:asciiTheme="minorBidi" w:hAnsiTheme="minorBidi"/>
          <w:rtl/>
        </w:rPr>
        <w:footnoteReference w:id="1799"/>
      </w:r>
      <w:r w:rsidRPr="005275DF">
        <w:rPr>
          <w:rFonts w:asciiTheme="minorBidi" w:hAnsiTheme="minorBidi"/>
          <w:rtl/>
        </w:rPr>
        <w:t>. וי</w:t>
      </w:r>
      <w:r w:rsidR="0074395C">
        <w:rPr>
          <w:rFonts w:asciiTheme="minorBidi" w:hAnsiTheme="minorBidi" w:hint="cs"/>
          <w:rtl/>
        </w:rPr>
        <w:t xml:space="preserve">ש </w:t>
      </w:r>
      <w:r w:rsidRPr="005275DF">
        <w:rPr>
          <w:rFonts w:asciiTheme="minorBidi" w:hAnsiTheme="minorBidi"/>
          <w:rtl/>
        </w:rPr>
        <w:t>א</w:t>
      </w:r>
      <w:r w:rsidR="0074395C">
        <w:rPr>
          <w:rFonts w:asciiTheme="minorBidi" w:hAnsiTheme="minorBidi" w:hint="cs"/>
          <w:rtl/>
        </w:rPr>
        <w:t>ומרים</w:t>
      </w:r>
      <w:r w:rsidRPr="005275DF">
        <w:rPr>
          <w:rFonts w:asciiTheme="minorBidi" w:hAnsiTheme="minorBidi"/>
          <w:rtl/>
        </w:rPr>
        <w:t xml:space="preserve"> דאפילו הניחם שם ע</w:t>
      </w:r>
      <w:r w:rsidR="0074395C">
        <w:rPr>
          <w:rFonts w:asciiTheme="minorBidi" w:hAnsiTheme="minorBidi" w:hint="cs"/>
          <w:rtl/>
        </w:rPr>
        <w:t>ל דעת</w:t>
      </w:r>
      <w:r w:rsidRPr="005275DF">
        <w:rPr>
          <w:rFonts w:asciiTheme="minorBidi" w:hAnsiTheme="minorBidi"/>
          <w:rtl/>
        </w:rPr>
        <w:t xml:space="preserve"> שישארו שם בכניסת השבת כדי שיטלם בשבת</w:t>
      </w:r>
      <w:r w:rsidR="0094469B">
        <w:rPr>
          <w:rStyle w:val="a9"/>
          <w:rFonts w:asciiTheme="minorBidi" w:hAnsiTheme="minorBidi"/>
          <w:rtl/>
        </w:rPr>
        <w:footnoteReference w:id="1800"/>
      </w:r>
      <w:r w:rsidRPr="005275DF">
        <w:rPr>
          <w:rFonts w:asciiTheme="minorBidi" w:hAnsiTheme="minorBidi"/>
          <w:rtl/>
        </w:rPr>
        <w:t>, מותר להטות ולנער בשבת</w:t>
      </w:r>
      <w:r w:rsidR="0074395C">
        <w:rPr>
          <w:rFonts w:asciiTheme="minorBidi" w:hAnsiTheme="minorBidi" w:hint="cs"/>
          <w:rtl/>
        </w:rPr>
        <w:t>,</w:t>
      </w:r>
      <w:r w:rsidRPr="005275DF">
        <w:rPr>
          <w:rFonts w:asciiTheme="minorBidi" w:hAnsiTheme="minorBidi"/>
          <w:rtl/>
        </w:rPr>
        <w:t xml:space="preserve"> ולא אסרו אלא במניחם ע</w:t>
      </w:r>
      <w:r w:rsidR="0074395C">
        <w:rPr>
          <w:rFonts w:asciiTheme="minorBidi" w:hAnsiTheme="minorBidi" w:hint="cs"/>
          <w:rtl/>
        </w:rPr>
        <w:t>ל דעת</w:t>
      </w:r>
      <w:r w:rsidRPr="005275DF">
        <w:rPr>
          <w:rFonts w:asciiTheme="minorBidi" w:hAnsiTheme="minorBidi"/>
          <w:rtl/>
        </w:rPr>
        <w:t xml:space="preserve"> שישארו שם כל השבת</w:t>
      </w:r>
      <w:r w:rsidR="007A7A7C">
        <w:rPr>
          <w:rStyle w:val="a9"/>
          <w:rFonts w:asciiTheme="minorBidi" w:hAnsiTheme="minorBidi"/>
          <w:rtl/>
        </w:rPr>
        <w:footnoteReference w:id="1801"/>
      </w:r>
      <w:r w:rsidRPr="005275DF">
        <w:rPr>
          <w:rFonts w:asciiTheme="minorBidi" w:hAnsiTheme="minorBidi"/>
          <w:rtl/>
        </w:rPr>
        <w:t xml:space="preserve">. </w:t>
      </w:r>
      <w:r w:rsidRPr="0074395C">
        <w:rPr>
          <w:rFonts w:asciiTheme="minorBidi" w:hAnsiTheme="minorBidi"/>
          <w:sz w:val="18"/>
          <w:szCs w:val="18"/>
          <w:rtl/>
        </w:rPr>
        <w:t>הגה: ואז אפילו נטל האיסור משם, אסור לטלטל הכלי</w:t>
      </w:r>
      <w:r w:rsidR="0094469B">
        <w:rPr>
          <w:rStyle w:val="a9"/>
          <w:rFonts w:asciiTheme="minorBidi" w:hAnsiTheme="minorBidi"/>
          <w:sz w:val="18"/>
          <w:szCs w:val="18"/>
          <w:rtl/>
        </w:rPr>
        <w:footnoteReference w:id="1802"/>
      </w:r>
      <w:r w:rsidRPr="0074395C">
        <w:rPr>
          <w:rFonts w:asciiTheme="minorBidi" w:hAnsiTheme="minorBidi"/>
          <w:sz w:val="18"/>
          <w:szCs w:val="18"/>
          <w:rtl/>
        </w:rPr>
        <w:t xml:space="preserve"> דמאחר שנעשה בסיס לדבר האסור למקצת השבת, אסור כל השבת כולה</w:t>
      </w:r>
      <w:r w:rsidR="009F5F23">
        <w:rPr>
          <w:rFonts w:asciiTheme="minorBidi" w:hAnsiTheme="minorBidi" w:hint="cs"/>
          <w:sz w:val="18"/>
          <w:szCs w:val="18"/>
          <w:rtl/>
        </w:rPr>
        <w:t>.</w:t>
      </w:r>
      <w:r w:rsidRPr="0074395C">
        <w:rPr>
          <w:rFonts w:asciiTheme="minorBidi" w:hAnsiTheme="minorBidi"/>
          <w:sz w:val="18"/>
          <w:szCs w:val="18"/>
          <w:rtl/>
        </w:rPr>
        <w:t xml:space="preserve"> וכן בכל מוקצה. וכן לקמן סימן ש"י. אם אדם הניח דבר מוקצה</w:t>
      </w:r>
      <w:r w:rsidR="0094469B">
        <w:rPr>
          <w:rStyle w:val="a9"/>
          <w:rFonts w:asciiTheme="minorBidi" w:hAnsiTheme="minorBidi"/>
          <w:sz w:val="18"/>
          <w:szCs w:val="18"/>
          <w:rtl/>
        </w:rPr>
        <w:footnoteReference w:id="1803"/>
      </w:r>
      <w:r w:rsidRPr="0074395C">
        <w:rPr>
          <w:rFonts w:asciiTheme="minorBidi" w:hAnsiTheme="minorBidi"/>
          <w:sz w:val="18"/>
          <w:szCs w:val="18"/>
          <w:rtl/>
        </w:rPr>
        <w:t xml:space="preserve"> על של חבירו, לא אמרינן דנעשה בסיס לדבר האסור</w:t>
      </w:r>
      <w:r w:rsidR="0094469B">
        <w:rPr>
          <w:rStyle w:val="a9"/>
          <w:rFonts w:asciiTheme="minorBidi" w:hAnsiTheme="minorBidi"/>
          <w:sz w:val="18"/>
          <w:szCs w:val="18"/>
          <w:rtl/>
        </w:rPr>
        <w:footnoteReference w:id="1804"/>
      </w:r>
      <w:r w:rsidRPr="0074395C">
        <w:rPr>
          <w:rFonts w:asciiTheme="minorBidi" w:hAnsiTheme="minorBidi"/>
          <w:sz w:val="18"/>
          <w:szCs w:val="18"/>
          <w:rtl/>
        </w:rPr>
        <w:t>, דאין אדם אוסר של חבירו שלא מדעתו</w:t>
      </w:r>
      <w:r w:rsidR="0094469B">
        <w:rPr>
          <w:rStyle w:val="a9"/>
          <w:rFonts w:asciiTheme="minorBidi" w:hAnsiTheme="minorBidi"/>
          <w:sz w:val="18"/>
          <w:szCs w:val="18"/>
          <w:rtl/>
        </w:rPr>
        <w:footnoteReference w:id="1805"/>
      </w:r>
      <w:r w:rsidRPr="0074395C">
        <w:rPr>
          <w:rFonts w:asciiTheme="minorBidi" w:hAnsiTheme="minorBidi"/>
          <w:sz w:val="18"/>
          <w:szCs w:val="18"/>
          <w:rtl/>
        </w:rPr>
        <w:t xml:space="preserve"> (א</w:t>
      </w:r>
      <w:r w:rsidR="0094469B">
        <w:rPr>
          <w:rFonts w:asciiTheme="minorBidi" w:hAnsiTheme="minorBidi" w:hint="cs"/>
          <w:sz w:val="18"/>
          <w:szCs w:val="18"/>
          <w:rtl/>
        </w:rPr>
        <w:t>ו</w:t>
      </w:r>
      <w:r w:rsidRPr="0074395C">
        <w:rPr>
          <w:rFonts w:asciiTheme="minorBidi" w:hAnsiTheme="minorBidi"/>
          <w:sz w:val="18"/>
          <w:szCs w:val="18"/>
          <w:rtl/>
        </w:rPr>
        <w:t>"ז).</w:t>
      </w:r>
      <w:r w:rsidRPr="005275DF">
        <w:rPr>
          <w:rFonts w:asciiTheme="minorBidi" w:hAnsiTheme="minorBidi"/>
          <w:rtl/>
        </w:rPr>
        <w:t xml:space="preserve"> </w:t>
      </w:r>
    </w:p>
    <w:p w14:paraId="0158537F" w14:textId="77777777" w:rsidR="000C6229" w:rsidRPr="005275DF" w:rsidRDefault="000C6229" w:rsidP="00434A6A">
      <w:pPr>
        <w:rPr>
          <w:rFonts w:asciiTheme="minorBidi" w:hAnsiTheme="minorBidi"/>
          <w:rtl/>
        </w:rPr>
      </w:pPr>
    </w:p>
    <w:p w14:paraId="3487E948" w14:textId="074E95A3" w:rsidR="000C6229" w:rsidRDefault="000C6229" w:rsidP="00434A6A">
      <w:pPr>
        <w:pStyle w:val="2"/>
        <w:rPr>
          <w:rtl/>
        </w:rPr>
      </w:pPr>
      <w:r w:rsidRPr="005275DF">
        <w:rPr>
          <w:rtl/>
        </w:rPr>
        <w:t>סעיף ה</w:t>
      </w:r>
      <w:r w:rsidR="00CC54DF">
        <w:rPr>
          <w:rFonts w:hint="cs"/>
          <w:rtl/>
        </w:rPr>
        <w:t>: הזזת בסיס לדבר האסור לצורך מקומו.</w:t>
      </w:r>
    </w:p>
    <w:p w14:paraId="6CCF3374" w14:textId="256A034F" w:rsidR="00CC54DF" w:rsidRPr="00CC54DF" w:rsidRDefault="00CC54DF" w:rsidP="00434A6A">
      <w:pPr>
        <w:rPr>
          <w:rFonts w:cs="Arial"/>
          <w:rtl/>
        </w:rPr>
      </w:pPr>
      <w:r w:rsidRPr="00DF4C09">
        <w:rPr>
          <w:rFonts w:cs="Arial" w:hint="cs"/>
          <w:b/>
          <w:bCs/>
          <w:rtl/>
        </w:rPr>
        <w:t xml:space="preserve">שבת </w:t>
      </w:r>
      <w:r>
        <w:rPr>
          <w:rFonts w:cs="Arial" w:hint="cs"/>
          <w:b/>
          <w:bCs/>
          <w:sz w:val="16"/>
          <w:szCs w:val="16"/>
          <w:rtl/>
        </w:rPr>
        <w:t>(ר"פ נוטל)</w:t>
      </w:r>
      <w:r>
        <w:rPr>
          <w:rFonts w:cs="Arial" w:hint="cs"/>
          <w:b/>
          <w:bCs/>
          <w:rtl/>
        </w:rPr>
        <w:t xml:space="preserve"> קמב</w:t>
      </w:r>
      <w:r w:rsidRPr="00DF4C09">
        <w:rPr>
          <w:rFonts w:cs="Arial" w:hint="cs"/>
          <w:b/>
          <w:bCs/>
          <w:rtl/>
        </w:rPr>
        <w:t xml:space="preserve"> ע"</w:t>
      </w:r>
      <w:r>
        <w:rPr>
          <w:rFonts w:cs="Arial" w:hint="cs"/>
          <w:b/>
          <w:bCs/>
          <w:rtl/>
        </w:rPr>
        <w:t>ב</w:t>
      </w:r>
      <w:r w:rsidRPr="00DF4C09">
        <w:rPr>
          <w:rFonts w:cs="Arial" w:hint="cs"/>
          <w:b/>
          <w:bCs/>
          <w:rtl/>
        </w:rPr>
        <w:t>:</w:t>
      </w:r>
      <w:r>
        <w:rPr>
          <w:rFonts w:cs="Arial" w:hint="cs"/>
          <w:rtl/>
        </w:rPr>
        <w:t xml:space="preserve"> </w:t>
      </w:r>
      <w:r w:rsidRPr="00144B2C">
        <w:rPr>
          <w:rFonts w:cs="Arial"/>
          <w:u w:val="double"/>
          <w:rtl/>
        </w:rPr>
        <w:t>משנה</w:t>
      </w:r>
      <w:r>
        <w:rPr>
          <w:rFonts w:cs="Arial" w:hint="cs"/>
          <w:rtl/>
        </w:rPr>
        <w:t>:</w:t>
      </w:r>
      <w:r>
        <w:rPr>
          <w:rFonts w:cs="Arial"/>
          <w:rtl/>
        </w:rPr>
        <w:t xml:space="preserve"> </w:t>
      </w:r>
      <w:r w:rsidRPr="0072740B">
        <w:rPr>
          <w:rFonts w:cs="Arial"/>
          <w:rtl/>
        </w:rPr>
        <w:t>האבן שעל פי החבית - מטה על צדה והיא נופלת. היתה בין החביות - מגביה, ומטה על צדה והיא נופלת. מעות שעל הכר - מנער את הכר והן נופלות.</w:t>
      </w:r>
      <w:r>
        <w:rPr>
          <w:rFonts w:cs="Arial" w:hint="cs"/>
          <w:rtl/>
        </w:rPr>
        <w:t>.</w:t>
      </w:r>
      <w:r w:rsidRPr="0072740B">
        <w:rPr>
          <w:rFonts w:cs="Arial"/>
          <w:rtl/>
        </w:rPr>
        <w:t xml:space="preserve">. </w:t>
      </w:r>
      <w:r>
        <w:rPr>
          <w:rFonts w:cs="Arial" w:hint="cs"/>
          <w:rtl/>
        </w:rPr>
        <w:t xml:space="preserve">       </w:t>
      </w:r>
      <w:r w:rsidRPr="0072740B">
        <w:rPr>
          <w:rFonts w:cs="Arial"/>
          <w:u w:val="double"/>
          <w:rtl/>
        </w:rPr>
        <w:t>גמרא</w:t>
      </w:r>
      <w:r>
        <w:rPr>
          <w:rFonts w:cs="Arial" w:hint="cs"/>
          <w:rtl/>
        </w:rPr>
        <w:t>:</w:t>
      </w:r>
      <w:r w:rsidRPr="0072740B">
        <w:rPr>
          <w:rFonts w:cs="Arial"/>
          <w:rtl/>
        </w:rPr>
        <w:t xml:space="preserve"> מעות שעל הכר. </w:t>
      </w:r>
      <w:r w:rsidRPr="00086A55">
        <w:rPr>
          <w:rFonts w:cs="Arial"/>
          <w:u w:val="single"/>
          <w:rtl/>
        </w:rPr>
        <w:t>אמר רב חייא בר אשי אמר רב</w:t>
      </w:r>
      <w:r w:rsidRPr="0072740B">
        <w:rPr>
          <w:rFonts w:cs="Arial"/>
          <w:rtl/>
        </w:rPr>
        <w:t xml:space="preserve">: לא שנו אלא בשוכח, אבל במניח - נעשה בסיס לדבר האסור. </w:t>
      </w:r>
      <w:r w:rsidRPr="00086A55">
        <w:rPr>
          <w:rFonts w:cs="Arial"/>
          <w:u w:val="single"/>
          <w:rtl/>
        </w:rPr>
        <w:t>אמר רבה בר בר חנה אמר רבי יוחנן</w:t>
      </w:r>
      <w:r w:rsidRPr="0072740B">
        <w:rPr>
          <w:rFonts w:cs="Arial"/>
          <w:rtl/>
        </w:rPr>
        <w:t>: לא שנו</w:t>
      </w:r>
      <w:r w:rsidR="00252B2B">
        <w:rPr>
          <w:rStyle w:val="a9"/>
          <w:rFonts w:cs="Arial"/>
          <w:rtl/>
        </w:rPr>
        <w:footnoteReference w:id="1806"/>
      </w:r>
      <w:r w:rsidRPr="0072740B">
        <w:rPr>
          <w:rFonts w:cs="Arial"/>
          <w:rtl/>
        </w:rPr>
        <w:t xml:space="preserve"> אלא לצורך גופו</w:t>
      </w:r>
      <w:r w:rsidR="00252B2B">
        <w:rPr>
          <w:rStyle w:val="a9"/>
          <w:rFonts w:cs="Arial"/>
          <w:rtl/>
        </w:rPr>
        <w:footnoteReference w:id="1807"/>
      </w:r>
      <w:r w:rsidRPr="0072740B">
        <w:rPr>
          <w:rFonts w:cs="Arial"/>
          <w:rtl/>
        </w:rPr>
        <w:t>, אבל לצורך מקומו</w:t>
      </w:r>
      <w:r w:rsidR="00252B2B">
        <w:rPr>
          <w:rStyle w:val="a9"/>
          <w:rFonts w:cs="Arial"/>
          <w:rtl/>
        </w:rPr>
        <w:footnoteReference w:id="1808"/>
      </w:r>
      <w:r w:rsidRPr="0072740B">
        <w:rPr>
          <w:rFonts w:cs="Arial"/>
          <w:rtl/>
        </w:rPr>
        <w:t xml:space="preserve"> - מטלטלו ועודן עליו. </w:t>
      </w:r>
      <w:r w:rsidRPr="00086A55">
        <w:rPr>
          <w:rFonts w:cs="Arial"/>
          <w:u w:val="single"/>
          <w:rtl/>
        </w:rPr>
        <w:t>וכן תני חייא בר רב מדיפתי</w:t>
      </w:r>
      <w:r w:rsidRPr="0072740B">
        <w:rPr>
          <w:rFonts w:cs="Arial"/>
          <w:rtl/>
        </w:rPr>
        <w:t>: לא שנו אלא לצורך גופו, אבל לצורך מקומו - מטלטלו ועודן עליו.</w:t>
      </w:r>
      <w:r>
        <w:rPr>
          <w:rFonts w:cs="Arial"/>
          <w:rtl/>
        </w:rPr>
        <w:t xml:space="preserve"> </w:t>
      </w:r>
    </w:p>
    <w:p w14:paraId="7AB0E2E4" w14:textId="67B7644A" w:rsidR="00CC54DF" w:rsidRPr="00CC54DF" w:rsidRDefault="00CC54DF" w:rsidP="00434A6A">
      <w:pPr>
        <w:rPr>
          <w:u w:val="single"/>
          <w:rtl/>
        </w:rPr>
      </w:pPr>
      <w:r w:rsidRPr="00CC54DF">
        <w:rPr>
          <w:rFonts w:hint="cs"/>
          <w:u w:val="single"/>
          <w:rtl/>
        </w:rPr>
        <w:t>הזזת בסיס לדבר האסור לצורך מקומו</w:t>
      </w:r>
      <w:r w:rsidR="00FF6C5C">
        <w:rPr>
          <w:rFonts w:hint="cs"/>
          <w:u w:val="single"/>
          <w:rtl/>
        </w:rPr>
        <w:t xml:space="preserve"> - בשוכח</w:t>
      </w:r>
      <w:r w:rsidRPr="00CC54DF">
        <w:rPr>
          <w:rFonts w:hint="cs"/>
          <w:u w:val="single"/>
          <w:rtl/>
        </w:rPr>
        <w:t>:</w:t>
      </w:r>
    </w:p>
    <w:p w14:paraId="7F28E26A" w14:textId="256680EA" w:rsidR="00FF6C5C" w:rsidRPr="00FF6C5C" w:rsidRDefault="00551266" w:rsidP="00434A6A">
      <w:pPr>
        <w:pStyle w:val="aa"/>
        <w:numPr>
          <w:ilvl w:val="0"/>
          <w:numId w:val="15"/>
        </w:numPr>
      </w:pPr>
      <w:r>
        <w:rPr>
          <w:rFonts w:cs="Arial" w:hint="cs"/>
          <w:rtl/>
        </w:rPr>
        <w:t xml:space="preserve">טור- </w:t>
      </w:r>
      <w:r w:rsidRPr="00FC5BE5">
        <w:rPr>
          <w:rFonts w:cs="Arial"/>
          <w:rtl/>
        </w:rPr>
        <w:t>וכל זה מיירי בצריך לגוף החבית ויספיק לו בהטייתה שע"י זה תפול האבן</w:t>
      </w:r>
      <w:r w:rsidR="00CC54DF">
        <w:rPr>
          <w:rFonts w:cs="Arial" w:hint="cs"/>
          <w:rtl/>
        </w:rPr>
        <w:t>,</w:t>
      </w:r>
      <w:r w:rsidRPr="00FC5BE5">
        <w:rPr>
          <w:rFonts w:cs="Arial"/>
          <w:rtl/>
        </w:rPr>
        <w:t xml:space="preserve"> אבל אם צריך למקום החבית ולא תספיק לו ההטיה </w:t>
      </w:r>
      <w:r w:rsidR="00CC54DF">
        <w:rPr>
          <w:rFonts w:cs="Arial" w:hint="cs"/>
          <w:rtl/>
        </w:rPr>
        <w:t xml:space="preserve">- </w:t>
      </w:r>
      <w:r w:rsidRPr="00FC5BE5">
        <w:rPr>
          <w:rFonts w:cs="Arial"/>
          <w:rtl/>
        </w:rPr>
        <w:t>יכול לטלטלה עם האבן שעליה לפנות מקומה</w:t>
      </w:r>
      <w:r w:rsidR="00CC54DF">
        <w:rPr>
          <w:rFonts w:cs="Arial" w:hint="cs"/>
          <w:rtl/>
        </w:rPr>
        <w:t>.</w:t>
      </w:r>
      <w:r w:rsidR="006B699D" w:rsidRPr="006B699D">
        <w:rPr>
          <w:rFonts w:cs="Arial" w:hint="cs"/>
          <w:color w:val="E36C0A" w:themeColor="accent6" w:themeShade="BF"/>
          <w:rtl/>
        </w:rPr>
        <w:t xml:space="preserve"> </w:t>
      </w:r>
      <w:r w:rsidR="006B699D" w:rsidRPr="006B1538">
        <w:rPr>
          <w:rFonts w:cs="Arial" w:hint="cs"/>
          <w:color w:val="E36C0A" w:themeColor="accent6" w:themeShade="BF"/>
          <w:rtl/>
        </w:rPr>
        <w:t>(וכ"</w:t>
      </w:r>
      <w:r w:rsidR="006B699D">
        <w:rPr>
          <w:rFonts w:cs="Arial" w:hint="cs"/>
          <w:color w:val="E36C0A" w:themeColor="accent6" w:themeShade="BF"/>
          <w:rtl/>
        </w:rPr>
        <w:t>פ</w:t>
      </w:r>
      <w:r w:rsidR="006B699D" w:rsidRPr="006B1538">
        <w:rPr>
          <w:rFonts w:cs="Arial" w:hint="cs"/>
          <w:color w:val="E36C0A" w:themeColor="accent6" w:themeShade="BF"/>
          <w:rtl/>
        </w:rPr>
        <w:t xml:space="preserve"> בשו"ע)</w:t>
      </w:r>
    </w:p>
    <w:p w14:paraId="61BE2885" w14:textId="31E5DBFE" w:rsidR="00FF6C5C" w:rsidRPr="00FF6C5C" w:rsidRDefault="00FF6C5C" w:rsidP="00434A6A">
      <w:pPr>
        <w:rPr>
          <w:u w:val="single"/>
        </w:rPr>
      </w:pPr>
      <w:r w:rsidRPr="00FF6C5C">
        <w:rPr>
          <w:rFonts w:hint="cs"/>
          <w:u w:val="single"/>
          <w:rtl/>
        </w:rPr>
        <w:t xml:space="preserve">מעות שעל הכר </w:t>
      </w:r>
      <w:r w:rsidRPr="00FF6C5C">
        <w:rPr>
          <w:u w:val="single"/>
          <w:rtl/>
        </w:rPr>
        <w:t>–</w:t>
      </w:r>
      <w:r w:rsidRPr="00FF6C5C">
        <w:rPr>
          <w:rFonts w:hint="cs"/>
          <w:u w:val="single"/>
          <w:rtl/>
        </w:rPr>
        <w:t xml:space="preserve"> ויש חשש שיגנבו אם ינערם על הרצפה:</w:t>
      </w:r>
    </w:p>
    <w:p w14:paraId="29C0FAB3" w14:textId="537805CA" w:rsidR="00FF6C5C" w:rsidRPr="00AA407B" w:rsidRDefault="00FF6C5C" w:rsidP="00434A6A">
      <w:pPr>
        <w:pStyle w:val="aa"/>
        <w:numPr>
          <w:ilvl w:val="0"/>
          <w:numId w:val="15"/>
        </w:numPr>
      </w:pPr>
      <w:r w:rsidRPr="00FF6C5C">
        <w:rPr>
          <w:rFonts w:cs="Arial" w:hint="cs"/>
          <w:rtl/>
        </w:rPr>
        <w:t xml:space="preserve">רי"ו </w:t>
      </w:r>
      <w:r w:rsidRPr="00FF6C5C">
        <w:rPr>
          <w:rFonts w:cs="Arial" w:hint="cs"/>
          <w:sz w:val="16"/>
          <w:szCs w:val="16"/>
          <w:rtl/>
        </w:rPr>
        <w:t>(</w:t>
      </w:r>
      <w:r w:rsidR="00FC5BE5" w:rsidRPr="00FF6C5C">
        <w:rPr>
          <w:rFonts w:cs="Arial"/>
          <w:sz w:val="16"/>
          <w:szCs w:val="16"/>
          <w:rtl/>
        </w:rPr>
        <w:t xml:space="preserve">חי"ג </w:t>
      </w:r>
      <w:r w:rsidRPr="00FF6C5C">
        <w:rPr>
          <w:rFonts w:cs="Arial"/>
          <w:sz w:val="16"/>
          <w:szCs w:val="16"/>
          <w:rtl/>
        </w:rPr>
        <w:t>ני"ב פג ע"ד</w:t>
      </w:r>
      <w:r w:rsidR="00FC5BE5" w:rsidRPr="00FF6C5C">
        <w:rPr>
          <w:rFonts w:cs="Arial"/>
          <w:sz w:val="16"/>
          <w:szCs w:val="16"/>
          <w:rtl/>
        </w:rPr>
        <w:t>)</w:t>
      </w:r>
      <w:r w:rsidRPr="00FF6C5C">
        <w:rPr>
          <w:rFonts w:cs="Arial" w:hint="cs"/>
          <w:rtl/>
        </w:rPr>
        <w:t>-</w:t>
      </w:r>
      <w:r w:rsidR="00FC5BE5" w:rsidRPr="00FF6C5C">
        <w:rPr>
          <w:rFonts w:cs="Arial"/>
          <w:rtl/>
        </w:rPr>
        <w:t xml:space="preserve"> מעות שעל הכר אם חושש שמא יגנבו כתבו המפרשים דאסור לטלטל הכר בעודן עליו</w:t>
      </w:r>
      <w:r>
        <w:rPr>
          <w:rFonts w:cs="Arial" w:hint="cs"/>
          <w:rtl/>
        </w:rPr>
        <w:t>.</w:t>
      </w:r>
      <w:r w:rsidR="00FC5BE5" w:rsidRPr="00FF6C5C">
        <w:rPr>
          <w:rFonts w:cs="Arial"/>
          <w:rtl/>
        </w:rPr>
        <w:t xml:space="preserve"> </w:t>
      </w:r>
    </w:p>
    <w:p w14:paraId="3E83007B" w14:textId="6D6D0B3E" w:rsidR="00AA407B" w:rsidRPr="00AA407B" w:rsidRDefault="00AA407B" w:rsidP="00434A6A">
      <w:pPr>
        <w:rPr>
          <w:u w:val="single"/>
        </w:rPr>
      </w:pPr>
      <w:r w:rsidRPr="00AA407B">
        <w:rPr>
          <w:rFonts w:hint="cs"/>
          <w:u w:val="single"/>
          <w:rtl/>
        </w:rPr>
        <w:t>כיס שתלוי בבגדיו</w:t>
      </w:r>
      <w:r>
        <w:rPr>
          <w:rFonts w:hint="cs"/>
          <w:u w:val="single"/>
          <w:rtl/>
        </w:rPr>
        <w:t>/בחגורתו</w:t>
      </w:r>
      <w:r w:rsidRPr="00AA407B">
        <w:rPr>
          <w:rFonts w:hint="cs"/>
          <w:u w:val="single"/>
          <w:rtl/>
        </w:rPr>
        <w:t xml:space="preserve"> ושכח שם מעות:</w:t>
      </w:r>
    </w:p>
    <w:p w14:paraId="601BEC5E" w14:textId="333C97E3" w:rsidR="00CC54DF" w:rsidRDefault="00AA407B" w:rsidP="00434A6A">
      <w:pPr>
        <w:pStyle w:val="aa"/>
        <w:numPr>
          <w:ilvl w:val="0"/>
          <w:numId w:val="15"/>
        </w:numPr>
      </w:pPr>
      <w:r>
        <w:rPr>
          <w:rFonts w:cs="Arial" w:hint="cs"/>
          <w:rtl/>
        </w:rPr>
        <w:t xml:space="preserve">כל בו </w:t>
      </w:r>
      <w:r>
        <w:rPr>
          <w:rFonts w:cs="Arial" w:hint="cs"/>
          <w:sz w:val="16"/>
          <w:szCs w:val="16"/>
          <w:rtl/>
        </w:rPr>
        <w:t>(לד ב)</w:t>
      </w:r>
      <w:r>
        <w:rPr>
          <w:rFonts w:cs="Arial" w:hint="cs"/>
          <w:rtl/>
        </w:rPr>
        <w:t xml:space="preserve"> ו</w:t>
      </w:r>
      <w:r w:rsidRPr="00FF6C5C">
        <w:rPr>
          <w:rFonts w:cs="Arial" w:hint="cs"/>
          <w:rtl/>
        </w:rPr>
        <w:t xml:space="preserve">רי"ו </w:t>
      </w:r>
      <w:r w:rsidRPr="00FF6C5C">
        <w:rPr>
          <w:rFonts w:cs="Arial" w:hint="cs"/>
          <w:sz w:val="16"/>
          <w:szCs w:val="16"/>
          <w:rtl/>
        </w:rPr>
        <w:t>(</w:t>
      </w:r>
      <w:r w:rsidRPr="00FF6C5C">
        <w:rPr>
          <w:rFonts w:cs="Arial"/>
          <w:sz w:val="16"/>
          <w:szCs w:val="16"/>
          <w:rtl/>
        </w:rPr>
        <w:t>חי"ג ני"ב פ</w:t>
      </w:r>
      <w:r>
        <w:rPr>
          <w:rFonts w:cs="Arial" w:hint="cs"/>
          <w:sz w:val="16"/>
          <w:szCs w:val="16"/>
          <w:rtl/>
        </w:rPr>
        <w:t>ה.</w:t>
      </w:r>
      <w:r w:rsidRPr="00FF6C5C">
        <w:rPr>
          <w:rFonts w:cs="Arial"/>
          <w:sz w:val="16"/>
          <w:szCs w:val="16"/>
          <w:rtl/>
        </w:rPr>
        <w:t>)</w:t>
      </w:r>
      <w:r w:rsidRPr="00FF6C5C">
        <w:rPr>
          <w:rFonts w:cs="Arial" w:hint="cs"/>
          <w:rtl/>
        </w:rPr>
        <w:t>-</w:t>
      </w:r>
      <w:r w:rsidRPr="00FF6C5C">
        <w:rPr>
          <w:rFonts w:cs="Arial"/>
          <w:rtl/>
        </w:rPr>
        <w:t xml:space="preserve"> </w:t>
      </w:r>
      <w:r w:rsidR="00FC5BE5" w:rsidRPr="00FF6C5C">
        <w:rPr>
          <w:rFonts w:cs="Arial"/>
          <w:rtl/>
        </w:rPr>
        <w:t>מעות בתוך הכיס ושכח מערב שבת מתיר כיסו ומניחו ליפול ואפילו יש בתוכו כתבי הקודש</w:t>
      </w:r>
      <w:r w:rsidR="009A589E">
        <w:rPr>
          <w:rFonts w:cs="Arial" w:hint="cs"/>
          <w:rtl/>
        </w:rPr>
        <w:t>,</w:t>
      </w:r>
      <w:r w:rsidR="00FC5BE5" w:rsidRPr="00FF6C5C">
        <w:rPr>
          <w:rFonts w:cs="Arial"/>
          <w:rtl/>
        </w:rPr>
        <w:t xml:space="preserve"> וכן אם הם בכנף חלוקו מתיר ונופלים לארץ</w:t>
      </w:r>
      <w:r w:rsidR="009A589E">
        <w:rPr>
          <w:rFonts w:cs="Arial" w:hint="cs"/>
          <w:rtl/>
        </w:rPr>
        <w:t>,</w:t>
      </w:r>
      <w:r w:rsidR="00FC5BE5" w:rsidRPr="00FF6C5C">
        <w:rPr>
          <w:rFonts w:cs="Arial"/>
          <w:rtl/>
        </w:rPr>
        <w:t xml:space="preserve"> כן כתב רמ"ה</w:t>
      </w:r>
      <w:r>
        <w:rPr>
          <w:rFonts w:cs="Arial" w:hint="cs"/>
          <w:rtl/>
        </w:rPr>
        <w:t>.</w:t>
      </w:r>
      <w:r w:rsidR="00FC5BE5" w:rsidRPr="00FF6C5C">
        <w:rPr>
          <w:rFonts w:cs="Arial"/>
          <w:rtl/>
        </w:rPr>
        <w:t xml:space="preserve"> </w:t>
      </w:r>
      <w:r>
        <w:rPr>
          <w:rFonts w:cs="Arial" w:hint="cs"/>
          <w:rtl/>
        </w:rPr>
        <w:t>ו</w:t>
      </w:r>
      <w:r w:rsidR="00FC5BE5" w:rsidRPr="00FF6C5C">
        <w:rPr>
          <w:rFonts w:cs="Arial"/>
          <w:rtl/>
        </w:rPr>
        <w:t>לא יאמר לגוי להצניע מעותיו</w:t>
      </w:r>
      <w:r w:rsidR="009A589E">
        <w:rPr>
          <w:rFonts w:cs="Arial" w:hint="cs"/>
          <w:rtl/>
        </w:rPr>
        <w:t>,</w:t>
      </w:r>
      <w:r w:rsidR="00FC5BE5" w:rsidRPr="00FF6C5C">
        <w:rPr>
          <w:rFonts w:cs="Arial"/>
          <w:rtl/>
        </w:rPr>
        <w:t xml:space="preserve"> כי כל האסור לעשותו אסור לאומרו לגוי</w:t>
      </w:r>
      <w:r>
        <w:rPr>
          <w:rFonts w:cs="Arial" w:hint="cs"/>
          <w:sz w:val="16"/>
          <w:szCs w:val="16"/>
          <w:rtl/>
        </w:rPr>
        <w:t xml:space="preserve"> (ל' רי"ו)</w:t>
      </w:r>
      <w:r w:rsidR="00FF6C5C" w:rsidRPr="00FF6C5C">
        <w:rPr>
          <w:rFonts w:cs="Arial" w:hint="cs"/>
          <w:rtl/>
        </w:rPr>
        <w:t>.</w:t>
      </w:r>
    </w:p>
    <w:p w14:paraId="180597CB" w14:textId="0D6AB01D" w:rsidR="00AA407B" w:rsidRDefault="00AA407B" w:rsidP="00434A6A">
      <w:pPr>
        <w:pStyle w:val="aa"/>
        <w:numPr>
          <w:ilvl w:val="0"/>
          <w:numId w:val="15"/>
        </w:numPr>
      </w:pPr>
      <w:r w:rsidRPr="00AA407B">
        <w:rPr>
          <w:rFonts w:cs="Arial"/>
          <w:rtl/>
        </w:rPr>
        <w:t xml:space="preserve">אגודה </w:t>
      </w:r>
      <w:r w:rsidRPr="00AA407B">
        <w:rPr>
          <w:rFonts w:cs="Arial" w:hint="cs"/>
          <w:sz w:val="16"/>
          <w:szCs w:val="16"/>
          <w:rtl/>
        </w:rPr>
        <w:t>(</w:t>
      </w:r>
      <w:r w:rsidRPr="00AA407B">
        <w:rPr>
          <w:rFonts w:cs="Arial"/>
          <w:sz w:val="16"/>
          <w:szCs w:val="16"/>
          <w:rtl/>
        </w:rPr>
        <w:t xml:space="preserve">מסכת ביצה פ"א סוף אות ה', הובא </w:t>
      </w:r>
      <w:r w:rsidRPr="00AA407B">
        <w:rPr>
          <w:rFonts w:cs="Arial" w:hint="cs"/>
          <w:sz w:val="16"/>
          <w:szCs w:val="16"/>
          <w:rtl/>
        </w:rPr>
        <w:t>בסוף תשו' מהרי"ו</w:t>
      </w:r>
      <w:r w:rsidRPr="00AA407B">
        <w:rPr>
          <w:rFonts w:cs="Arial"/>
          <w:sz w:val="16"/>
          <w:szCs w:val="16"/>
          <w:rtl/>
        </w:rPr>
        <w:t>)</w:t>
      </w:r>
      <w:r>
        <w:rPr>
          <w:rFonts w:cs="Arial" w:hint="cs"/>
          <w:rtl/>
        </w:rPr>
        <w:t>-</w:t>
      </w:r>
      <w:r w:rsidRPr="00AA407B">
        <w:rPr>
          <w:rFonts w:cs="Arial"/>
          <w:rtl/>
        </w:rPr>
        <w:t xml:space="preserve"> בצריך למקומו אגב זה מטלטלו לכסות הביצה מכאן מתירין לאדם ששכח כיסו עליו בערב שבת והוא בביתו </w:t>
      </w:r>
      <w:r>
        <w:rPr>
          <w:rFonts w:cs="Arial" w:hint="cs"/>
          <w:rtl/>
        </w:rPr>
        <w:t xml:space="preserve">- </w:t>
      </w:r>
      <w:r w:rsidRPr="00AA407B">
        <w:rPr>
          <w:rFonts w:cs="Arial"/>
          <w:rtl/>
        </w:rPr>
        <w:t>יכול לילך בחדרו במקום המוצנע ויתירנו שם עם חגורו</w:t>
      </w:r>
      <w:r>
        <w:rPr>
          <w:rFonts w:cs="Arial" w:hint="cs"/>
          <w:rtl/>
        </w:rPr>
        <w:t>.</w:t>
      </w:r>
      <w:r w:rsidRPr="00AA407B">
        <w:rPr>
          <w:rFonts w:cs="Arial"/>
          <w:rtl/>
        </w:rPr>
        <w:t xml:space="preserve"> אבל אם הוא בשוק או ברחוב שאין שם עירוב </w:t>
      </w:r>
      <w:r>
        <w:rPr>
          <w:rFonts w:cs="Arial" w:hint="cs"/>
          <w:rtl/>
        </w:rPr>
        <w:t xml:space="preserve">- </w:t>
      </w:r>
      <w:r w:rsidRPr="00AA407B">
        <w:rPr>
          <w:rFonts w:cs="Arial"/>
          <w:rtl/>
        </w:rPr>
        <w:t>לא יביאנו בביתו אך יתיר חגורו במקום שנזכר שם</w:t>
      </w:r>
      <w:r>
        <w:rPr>
          <w:rFonts w:cs="Arial" w:hint="cs"/>
          <w:rtl/>
        </w:rPr>
        <w:t>.</w:t>
      </w:r>
      <w:r w:rsidRPr="00AA407B">
        <w:rPr>
          <w:rFonts w:cs="Arial"/>
          <w:rtl/>
        </w:rPr>
        <w:t xml:space="preserve"> ואם הם בשפת חלוקו יתיר ויניחנו ליפול</w:t>
      </w:r>
      <w:r>
        <w:rPr>
          <w:rFonts w:cs="Arial" w:hint="cs"/>
          <w:rtl/>
        </w:rPr>
        <w:t>.</w:t>
      </w:r>
      <w:r w:rsidRPr="00AA407B">
        <w:rPr>
          <w:rFonts w:cs="Arial"/>
          <w:rtl/>
        </w:rPr>
        <w:t xml:space="preserve"> ויכול לומר לנכרי לשמרם</w:t>
      </w:r>
      <w:r>
        <w:rPr>
          <w:rFonts w:cs="Arial" w:hint="cs"/>
          <w:rtl/>
        </w:rPr>
        <w:t>,</w:t>
      </w:r>
      <w:r w:rsidRPr="00AA407B">
        <w:rPr>
          <w:rFonts w:cs="Arial"/>
          <w:rtl/>
        </w:rPr>
        <w:t xml:space="preserve"> ואם יביאם לא יחוש</w:t>
      </w:r>
      <w:r>
        <w:rPr>
          <w:rFonts w:cs="Arial" w:hint="cs"/>
          <w:rtl/>
        </w:rPr>
        <w:t>.</w:t>
      </w:r>
    </w:p>
    <w:p w14:paraId="50F30779" w14:textId="75B62319" w:rsidR="00D30917" w:rsidRPr="00D30917" w:rsidRDefault="00D30917" w:rsidP="00434A6A">
      <w:pPr>
        <w:rPr>
          <w:u w:val="single"/>
          <w:rtl/>
        </w:rPr>
      </w:pPr>
      <w:r w:rsidRPr="00D30917">
        <w:rPr>
          <w:rFonts w:hint="cs"/>
          <w:u w:val="single"/>
          <w:rtl/>
        </w:rPr>
        <w:t>חילוק בין מעות שנמצאות על עיקר הכלי</w:t>
      </w:r>
      <w:r>
        <w:rPr>
          <w:rFonts w:hint="cs"/>
          <w:u w:val="single"/>
          <w:rtl/>
        </w:rPr>
        <w:t>,</w:t>
      </w:r>
      <w:r w:rsidRPr="00D30917">
        <w:rPr>
          <w:rFonts w:hint="cs"/>
          <w:u w:val="single"/>
          <w:rtl/>
        </w:rPr>
        <w:t xml:space="preserve"> לבין שנמצאות במקום שטפל לכלי:</w:t>
      </w:r>
    </w:p>
    <w:p w14:paraId="686F632A" w14:textId="39646A30" w:rsidR="002D04BB" w:rsidRPr="002D04BB" w:rsidRDefault="009A589E" w:rsidP="00434A6A">
      <w:pPr>
        <w:pStyle w:val="aa"/>
        <w:numPr>
          <w:ilvl w:val="0"/>
          <w:numId w:val="15"/>
        </w:numPr>
        <w:rPr>
          <w:rFonts w:cs="Arial"/>
        </w:rPr>
      </w:pPr>
      <w:r>
        <w:rPr>
          <w:rFonts w:cs="Arial" w:hint="cs"/>
          <w:rtl/>
        </w:rPr>
        <w:t>תרוה"ד</w:t>
      </w:r>
      <w:r w:rsidR="00FC5BE5" w:rsidRPr="00AA407B">
        <w:rPr>
          <w:rFonts w:cs="Arial"/>
          <w:rtl/>
        </w:rPr>
        <w:t xml:space="preserve"> </w:t>
      </w:r>
      <w:r w:rsidR="00FC5BE5" w:rsidRPr="009A589E">
        <w:rPr>
          <w:rFonts w:cs="Arial"/>
          <w:sz w:val="16"/>
          <w:szCs w:val="16"/>
          <w:rtl/>
        </w:rPr>
        <w:t>(סי' סט)</w:t>
      </w:r>
      <w:r>
        <w:rPr>
          <w:rFonts w:cs="Arial" w:hint="cs"/>
          <w:rtl/>
        </w:rPr>
        <w:t xml:space="preserve">- </w:t>
      </w:r>
      <w:r w:rsidR="002D04BB" w:rsidRPr="002D04BB">
        <w:rPr>
          <w:rFonts w:cs="Arial"/>
          <w:rtl/>
        </w:rPr>
        <w:t>שאלה: אחד שכח מעות במתג המטרון</w:t>
      </w:r>
      <w:r w:rsidR="002D04BB">
        <w:rPr>
          <w:rStyle w:val="a9"/>
          <w:rFonts w:cs="Arial"/>
          <w:rtl/>
        </w:rPr>
        <w:footnoteReference w:id="1809"/>
      </w:r>
      <w:r w:rsidR="002D04BB" w:rsidRPr="002D04BB">
        <w:rPr>
          <w:rFonts w:cs="Arial"/>
          <w:rtl/>
        </w:rPr>
        <w:t>, שקורין קפי"ן ציפפי"ל</w:t>
      </w:r>
      <w:r w:rsidR="002D04BB">
        <w:rPr>
          <w:rFonts w:cs="Arial" w:hint="cs"/>
          <w:sz w:val="16"/>
          <w:szCs w:val="16"/>
          <w:rtl/>
        </w:rPr>
        <w:t xml:space="preserve"> {מעיל עם כובע}</w:t>
      </w:r>
      <w:r w:rsidR="002D04BB" w:rsidRPr="002D04BB">
        <w:rPr>
          <w:rFonts w:cs="Arial"/>
          <w:rtl/>
        </w:rPr>
        <w:t>, שרי לטלטל הקפ"א</w:t>
      </w:r>
      <w:r w:rsidR="002D04BB">
        <w:rPr>
          <w:rFonts w:cs="Arial" w:hint="cs"/>
          <w:sz w:val="16"/>
          <w:szCs w:val="16"/>
          <w:rtl/>
        </w:rPr>
        <w:t xml:space="preserve"> {המעיל}</w:t>
      </w:r>
      <w:r w:rsidR="002D04BB" w:rsidRPr="002D04BB">
        <w:rPr>
          <w:rFonts w:cs="Arial"/>
          <w:rtl/>
        </w:rPr>
        <w:t xml:space="preserve"> בעוד המעות בציפפי"ל</w:t>
      </w:r>
      <w:r w:rsidR="002D04BB">
        <w:rPr>
          <w:rFonts w:cs="Arial" w:hint="cs"/>
          <w:sz w:val="16"/>
          <w:szCs w:val="16"/>
          <w:rtl/>
        </w:rPr>
        <w:t xml:space="preserve"> {בכובע}</w:t>
      </w:r>
      <w:r w:rsidR="002D04BB" w:rsidRPr="002D04BB">
        <w:rPr>
          <w:rFonts w:cs="Arial"/>
          <w:rtl/>
        </w:rPr>
        <w:t xml:space="preserve"> או לאו?</w:t>
      </w:r>
      <w:r w:rsidR="002D04BB">
        <w:rPr>
          <w:rFonts w:cs="Arial" w:hint="cs"/>
          <w:rtl/>
        </w:rPr>
        <w:t xml:space="preserve">    </w:t>
      </w:r>
      <w:r w:rsidR="002D04BB" w:rsidRPr="002D04BB">
        <w:rPr>
          <w:rFonts w:cs="Arial"/>
          <w:rtl/>
        </w:rPr>
        <w:t xml:space="preserve"> תשובה: יראה דשרי כה"ג לטלטל ולהשים על הראש. וראיה מהא דמייתי תלמודא פ' כירה </w:t>
      </w:r>
      <w:r w:rsidR="002D04BB">
        <w:rPr>
          <w:rFonts w:cs="Arial" w:hint="cs"/>
          <w:rtl/>
        </w:rPr>
        <w:t>(</w:t>
      </w:r>
      <w:r w:rsidR="002D04BB" w:rsidRPr="002D04BB">
        <w:rPr>
          <w:rFonts w:cs="Arial"/>
          <w:rtl/>
        </w:rPr>
        <w:t>שבת מד</w:t>
      </w:r>
      <w:r w:rsidR="002D04BB">
        <w:rPr>
          <w:rFonts w:cs="Arial" w:hint="cs"/>
          <w:rtl/>
        </w:rPr>
        <w:t>:)</w:t>
      </w:r>
      <w:r w:rsidR="002D04BB" w:rsidRPr="002D04BB">
        <w:rPr>
          <w:rFonts w:cs="Arial"/>
          <w:rtl/>
        </w:rPr>
        <w:t xml:space="preserve">, מתני' דמוכני שלה בזמן שהיא נשמטת כו', ואין גוררין אותה בשבת בזמן שיש עליה מעות. ומפרשינן שם בשם ר"י, דכשהיא נשמטת כלי בפני עצמה היא. אבל כשאינה נשמטת מותר לגוררה, אף על פי שיש עליה מעות, כיון שאין המעות על השידה שהיא עיקר הכלי ע"כ. אלמא דבתר עיקר אזלינן. ה"נ בקפ"ן ציפפי"ל, ודאי הקפ"א עיקר הכלי, ומותר לטלטל הציפפי"ל כיון שאין המעות על עיקר הכלי, דגרירה וטלטול חדא היא. </w:t>
      </w:r>
    </w:p>
    <w:p w14:paraId="5B25F27E" w14:textId="058ACED7" w:rsidR="00D30917" w:rsidRDefault="00D30917" w:rsidP="00434A6A">
      <w:pPr>
        <w:pStyle w:val="aa"/>
        <w:numPr>
          <w:ilvl w:val="1"/>
          <w:numId w:val="15"/>
        </w:numPr>
      </w:pPr>
      <w:r>
        <w:rPr>
          <w:rFonts w:cs="Arial" w:hint="cs"/>
          <w:rtl/>
        </w:rPr>
        <w:t xml:space="preserve">ב"י- </w:t>
      </w:r>
      <w:r w:rsidR="00FC5BE5" w:rsidRPr="00AA407B">
        <w:rPr>
          <w:rFonts w:cs="Arial"/>
          <w:rtl/>
        </w:rPr>
        <w:t>ומכאן יש ללמוד לשוכח מעות בכיס שעושין בצידי המלבוש שנקרא פאלדיקיר"א</w:t>
      </w:r>
      <w:r>
        <w:rPr>
          <w:rFonts w:cs="Arial" w:hint="cs"/>
          <w:rtl/>
        </w:rPr>
        <w:t>,</w:t>
      </w:r>
      <w:r w:rsidR="00FC5BE5" w:rsidRPr="00AA407B">
        <w:rPr>
          <w:rFonts w:cs="Arial"/>
          <w:rtl/>
        </w:rPr>
        <w:t xml:space="preserve"> אם אינה תפורה לארכה במלבוש אלא שפיה לבד תפור בחור שבמלבוש והיא כולה תלויה דשרי לטלטל המלבוש</w:t>
      </w:r>
      <w:r>
        <w:rPr>
          <w:rFonts w:cs="Arial" w:hint="cs"/>
          <w:rtl/>
        </w:rPr>
        <w:t>.</w:t>
      </w:r>
      <w:r w:rsidR="00FC5BE5" w:rsidRPr="00AA407B">
        <w:rPr>
          <w:rFonts w:cs="Arial"/>
          <w:rtl/>
        </w:rPr>
        <w:t xml:space="preserve"> אך ללבשו נראה שאסור שמא ישכח ויצא בו לרשות הרבים</w:t>
      </w:r>
      <w:r>
        <w:rPr>
          <w:rFonts w:cs="Arial" w:hint="cs"/>
          <w:rtl/>
        </w:rPr>
        <w:t>,</w:t>
      </w:r>
      <w:r w:rsidR="00FC5BE5" w:rsidRPr="00AA407B">
        <w:rPr>
          <w:rFonts w:cs="Arial"/>
          <w:rtl/>
        </w:rPr>
        <w:t xml:space="preserve"> וכעין שכתבו המפרשים במפתח התלוי לו בחגורו כמו שכתבתי בסימן ש"א (נ: ד"ה ומ"ש שהר"מ)</w:t>
      </w:r>
      <w:r>
        <w:rPr>
          <w:rFonts w:cs="Arial" w:hint="cs"/>
          <w:rtl/>
        </w:rPr>
        <w:t>.</w:t>
      </w:r>
      <w:r w:rsidR="00917643">
        <w:rPr>
          <w:rFonts w:hint="cs"/>
          <w:rtl/>
        </w:rPr>
        <w:t xml:space="preserve"> </w:t>
      </w:r>
      <w:r w:rsidR="00917643" w:rsidRPr="00917643">
        <w:rPr>
          <w:rFonts w:hint="cs"/>
          <w:color w:val="00B0F0"/>
          <w:rtl/>
        </w:rPr>
        <w:t>(וכ"פ הרמ"א</w:t>
      </w:r>
      <w:r w:rsidR="00917643" w:rsidRPr="00917643">
        <w:rPr>
          <w:rFonts w:hint="cs"/>
          <w:color w:val="00B0F0"/>
          <w:sz w:val="16"/>
          <w:szCs w:val="16"/>
          <w:rtl/>
        </w:rPr>
        <w:t xml:space="preserve"> </w:t>
      </w:r>
      <w:r w:rsidR="00917643">
        <w:rPr>
          <w:rFonts w:hint="cs"/>
          <w:sz w:val="16"/>
          <w:szCs w:val="16"/>
          <w:rtl/>
        </w:rPr>
        <w:t>[בסי' שי ס"ז]</w:t>
      </w:r>
      <w:r w:rsidR="00917643" w:rsidRPr="00917643">
        <w:rPr>
          <w:rFonts w:hint="cs"/>
          <w:color w:val="00B0F0"/>
          <w:rtl/>
        </w:rPr>
        <w:t>)</w:t>
      </w:r>
    </w:p>
    <w:p w14:paraId="6B3500CA" w14:textId="66392A66" w:rsidR="00D30917" w:rsidRPr="00917643" w:rsidRDefault="00917643" w:rsidP="00434A6A">
      <w:pPr>
        <w:rPr>
          <w:u w:val="single"/>
        </w:rPr>
      </w:pPr>
      <w:r w:rsidRPr="00917643">
        <w:rPr>
          <w:rFonts w:hint="cs"/>
          <w:u w:val="single"/>
          <w:rtl/>
        </w:rPr>
        <w:t>כיס מיוחד למעות שתפור לבגד:</w:t>
      </w:r>
    </w:p>
    <w:p w14:paraId="261D42C5" w14:textId="34A60FCD" w:rsidR="00AA407B" w:rsidRPr="00D30917" w:rsidRDefault="00FC5BE5" w:rsidP="00434A6A">
      <w:pPr>
        <w:pStyle w:val="aa"/>
        <w:numPr>
          <w:ilvl w:val="0"/>
          <w:numId w:val="15"/>
        </w:numPr>
        <w:rPr>
          <w:rtl/>
        </w:rPr>
      </w:pPr>
      <w:r w:rsidRPr="00D30917">
        <w:rPr>
          <w:rFonts w:cs="Arial"/>
          <w:rtl/>
        </w:rPr>
        <w:t xml:space="preserve">תשב"ץ קטן </w:t>
      </w:r>
      <w:r w:rsidR="00917643" w:rsidRPr="00917643">
        <w:rPr>
          <w:rFonts w:cs="Arial" w:hint="cs"/>
          <w:sz w:val="16"/>
          <w:szCs w:val="16"/>
          <w:rtl/>
        </w:rPr>
        <w:t>(</w:t>
      </w:r>
      <w:r w:rsidRPr="00917643">
        <w:rPr>
          <w:rFonts w:cs="Arial"/>
          <w:sz w:val="16"/>
          <w:szCs w:val="16"/>
          <w:rtl/>
        </w:rPr>
        <w:t>סי' נא)</w:t>
      </w:r>
      <w:r w:rsidR="00D30917">
        <w:rPr>
          <w:rFonts w:cs="Arial" w:hint="cs"/>
          <w:rtl/>
        </w:rPr>
        <w:t>-</w:t>
      </w:r>
      <w:r w:rsidRPr="00D30917">
        <w:rPr>
          <w:rFonts w:cs="Arial"/>
          <w:rtl/>
        </w:rPr>
        <w:t xml:space="preserve"> </w:t>
      </w:r>
      <w:r w:rsidR="00917643" w:rsidRPr="00917643">
        <w:rPr>
          <w:rFonts w:cs="Arial"/>
          <w:rtl/>
        </w:rPr>
        <w:t>אם יש לו לאדם כיס מתוקן בקוט"א שלו כמו שעושין בצרפת הן מעור הן מבגד או אפילו מן המלבוש עצמו</w:t>
      </w:r>
      <w:r w:rsidR="00917643">
        <w:rPr>
          <w:rFonts w:cs="Arial" w:hint="cs"/>
          <w:rtl/>
        </w:rPr>
        <w:t xml:space="preserve"> -</w:t>
      </w:r>
      <w:r w:rsidR="00917643" w:rsidRPr="00917643">
        <w:rPr>
          <w:rFonts w:cs="Arial"/>
          <w:rtl/>
        </w:rPr>
        <w:t xml:space="preserve"> אסור ללבוש בשבת</w:t>
      </w:r>
      <w:r w:rsidR="00917643">
        <w:rPr>
          <w:rStyle w:val="a9"/>
          <w:rFonts w:cs="Arial"/>
          <w:rtl/>
        </w:rPr>
        <w:footnoteReference w:id="1810"/>
      </w:r>
      <w:r w:rsidR="00917643">
        <w:rPr>
          <w:rFonts w:cs="Arial" w:hint="cs"/>
          <w:rtl/>
        </w:rPr>
        <w:t>.</w:t>
      </w:r>
    </w:p>
    <w:p w14:paraId="28242855" w14:textId="77777777" w:rsidR="00FC5BE5" w:rsidRPr="005275DF" w:rsidRDefault="00FC5BE5" w:rsidP="00434A6A">
      <w:pPr>
        <w:rPr>
          <w:rFonts w:asciiTheme="minorBidi" w:hAnsiTheme="minorBidi"/>
          <w:rtl/>
        </w:rPr>
      </w:pPr>
      <w:r w:rsidRPr="005275DF">
        <w:rPr>
          <w:rFonts w:asciiTheme="minorBidi" w:hAnsiTheme="minorBidi"/>
          <w:b/>
          <w:bCs/>
          <w:sz w:val="32"/>
          <w:szCs w:val="28"/>
          <w:u w:val="single"/>
          <w:rtl/>
        </w:rPr>
        <w:t xml:space="preserve">שו"ע: </w:t>
      </w:r>
    </w:p>
    <w:p w14:paraId="5D0D4732" w14:textId="1F8E7810" w:rsidR="000C6229" w:rsidRPr="005275DF" w:rsidRDefault="000C6229" w:rsidP="00434A6A">
      <w:pPr>
        <w:rPr>
          <w:rFonts w:asciiTheme="minorBidi" w:hAnsiTheme="minorBidi"/>
          <w:rtl/>
        </w:rPr>
      </w:pPr>
      <w:r w:rsidRPr="005275DF">
        <w:rPr>
          <w:rFonts w:asciiTheme="minorBidi" w:hAnsiTheme="minorBidi"/>
          <w:rtl/>
        </w:rPr>
        <w:t>הא דלא שרי אלא להטות ולנער</w:t>
      </w:r>
      <w:r w:rsidR="006B699D">
        <w:rPr>
          <w:rStyle w:val="a9"/>
          <w:rFonts w:asciiTheme="minorBidi" w:hAnsiTheme="minorBidi"/>
          <w:rtl/>
        </w:rPr>
        <w:footnoteReference w:id="1811"/>
      </w:r>
      <w:r w:rsidRPr="005275DF">
        <w:rPr>
          <w:rFonts w:asciiTheme="minorBidi" w:hAnsiTheme="minorBidi"/>
          <w:rtl/>
        </w:rPr>
        <w:t>, דוקא בצריך לגוף החבית והכר</w:t>
      </w:r>
      <w:r w:rsidR="006B699D">
        <w:rPr>
          <w:rFonts w:asciiTheme="minorBidi" w:hAnsiTheme="minorBidi" w:hint="cs"/>
          <w:rtl/>
        </w:rPr>
        <w:t>.</w:t>
      </w:r>
      <w:r w:rsidRPr="005275DF">
        <w:rPr>
          <w:rFonts w:asciiTheme="minorBidi" w:hAnsiTheme="minorBidi"/>
          <w:rtl/>
        </w:rPr>
        <w:t xml:space="preserve"> אבל אם צריך למקום החבית והכר ולא הספיק לו הטייה והניעור, יכול לטלטלם עם האבן ועם המעות שעליהם לפנות מקומם. </w:t>
      </w:r>
      <w:r w:rsidR="00CC54DF">
        <w:rPr>
          <w:rFonts w:asciiTheme="minorBidi" w:hAnsiTheme="minorBidi" w:hint="cs"/>
          <w:sz w:val="18"/>
          <w:szCs w:val="18"/>
          <w:rtl/>
        </w:rPr>
        <w:t xml:space="preserve">[הגה] </w:t>
      </w:r>
      <w:r w:rsidRPr="00CC54DF">
        <w:rPr>
          <w:rFonts w:asciiTheme="minorBidi" w:hAnsiTheme="minorBidi"/>
          <w:sz w:val="18"/>
          <w:szCs w:val="18"/>
          <w:rtl/>
        </w:rPr>
        <w:t>וכן הוא לקמן סי' ש"י</w:t>
      </w:r>
      <w:r w:rsidRPr="005275DF">
        <w:rPr>
          <w:rFonts w:asciiTheme="minorBidi" w:hAnsiTheme="minorBidi"/>
          <w:rtl/>
        </w:rPr>
        <w:t>.</w:t>
      </w:r>
    </w:p>
    <w:p w14:paraId="61713EEA" w14:textId="77777777" w:rsidR="000C6229" w:rsidRPr="005275DF" w:rsidRDefault="000C6229" w:rsidP="00434A6A">
      <w:pPr>
        <w:rPr>
          <w:rFonts w:asciiTheme="minorBidi" w:hAnsiTheme="minorBidi"/>
          <w:rtl/>
        </w:rPr>
      </w:pPr>
    </w:p>
    <w:p w14:paraId="50876ED3" w14:textId="77777777" w:rsidR="000C6229" w:rsidRPr="005275DF" w:rsidRDefault="000C6229" w:rsidP="00434A6A">
      <w:pPr>
        <w:rPr>
          <w:rFonts w:asciiTheme="minorBidi" w:hAnsiTheme="minorBidi"/>
          <w:rtl/>
        </w:rPr>
      </w:pPr>
    </w:p>
    <w:p w14:paraId="76B369FE" w14:textId="77777777" w:rsidR="000C6229" w:rsidRPr="005275DF" w:rsidRDefault="000C6229" w:rsidP="00434A6A">
      <w:pPr>
        <w:rPr>
          <w:rFonts w:asciiTheme="minorBidi" w:hAnsiTheme="minorBidi"/>
          <w:rtl/>
        </w:rPr>
      </w:pPr>
    </w:p>
    <w:p w14:paraId="5BF63134" w14:textId="77777777" w:rsidR="000C6229" w:rsidRPr="005275DF" w:rsidRDefault="000C6229" w:rsidP="00434A6A">
      <w:pPr>
        <w:rPr>
          <w:rFonts w:asciiTheme="minorBidi" w:hAnsiTheme="minorBidi"/>
          <w:rtl/>
        </w:rPr>
      </w:pPr>
    </w:p>
    <w:p w14:paraId="0ECA8284" w14:textId="77777777" w:rsidR="000C6229" w:rsidRPr="005275DF" w:rsidRDefault="000C6229" w:rsidP="00434A6A">
      <w:pPr>
        <w:rPr>
          <w:rFonts w:asciiTheme="minorBidi" w:hAnsiTheme="minorBidi"/>
          <w:rtl/>
        </w:rPr>
      </w:pPr>
    </w:p>
    <w:p w14:paraId="127B49C7" w14:textId="77777777" w:rsidR="001F2F31" w:rsidRDefault="001F2F31" w:rsidP="00434A6A">
      <w:pPr>
        <w:pStyle w:val="1"/>
        <w:rPr>
          <w:rFonts w:asciiTheme="minorBidi" w:hAnsiTheme="minorBidi"/>
          <w:rtl/>
        </w:rPr>
        <w:sectPr w:rsidR="001F2F31" w:rsidSect="00BD29B1">
          <w:headerReference w:type="default" r:id="rId80"/>
          <w:footnotePr>
            <w:numRestart w:val="eachSect"/>
          </w:footnotePr>
          <w:pgSz w:w="11906" w:h="16838"/>
          <w:pgMar w:top="720" w:right="1134" w:bottom="720" w:left="1134" w:header="0" w:footer="0" w:gutter="0"/>
          <w:cols w:space="720"/>
          <w:bidi/>
          <w:rtlGutter/>
          <w:docGrid w:linePitch="360"/>
        </w:sectPr>
      </w:pPr>
    </w:p>
    <w:p w14:paraId="09FDC7A4" w14:textId="3944764D" w:rsidR="000C6229" w:rsidRPr="005275DF" w:rsidRDefault="000C6229" w:rsidP="00434A6A">
      <w:pPr>
        <w:pStyle w:val="1"/>
        <w:rPr>
          <w:rFonts w:asciiTheme="minorBidi" w:hAnsiTheme="minorBidi"/>
          <w:rtl/>
        </w:rPr>
      </w:pPr>
      <w:r w:rsidRPr="005275DF">
        <w:rPr>
          <w:rFonts w:asciiTheme="minorBidi" w:hAnsiTheme="minorBidi"/>
          <w:rtl/>
        </w:rPr>
        <w:t xml:space="preserve">סימן שי: דיני מוקצה בשבת, ובו ט' סעיפים. </w:t>
      </w:r>
    </w:p>
    <w:p w14:paraId="67E08F34" w14:textId="59C736D5" w:rsidR="009A1772" w:rsidRDefault="009A1772" w:rsidP="00434A6A">
      <w:pPr>
        <w:pStyle w:val="2"/>
        <w:rPr>
          <w:rFonts w:asciiTheme="minorBidi" w:hAnsiTheme="minorBidi" w:cstheme="minorBidi"/>
          <w:rtl/>
        </w:rPr>
      </w:pPr>
      <w:r w:rsidRPr="005275DF">
        <w:rPr>
          <w:rFonts w:asciiTheme="minorBidi" w:hAnsiTheme="minorBidi" w:cstheme="minorBidi"/>
          <w:rtl/>
        </w:rPr>
        <w:t>סעיף א</w:t>
      </w:r>
      <w:r w:rsidR="008523AC">
        <w:rPr>
          <w:rFonts w:asciiTheme="minorBidi" w:hAnsiTheme="minorBidi" w:cstheme="minorBidi" w:hint="cs"/>
          <w:rtl/>
        </w:rPr>
        <w:t xml:space="preserve">: </w:t>
      </w:r>
      <w:r w:rsidR="00A91C36">
        <w:rPr>
          <w:rFonts w:asciiTheme="minorBidi" w:hAnsiTheme="minorBidi" w:cstheme="minorBidi" w:hint="cs"/>
          <w:rtl/>
        </w:rPr>
        <w:t xml:space="preserve">מוקצה מחמת מיאוס. </w:t>
      </w:r>
      <w:r w:rsidR="00F22001">
        <w:rPr>
          <w:rFonts w:asciiTheme="minorBidi" w:hAnsiTheme="minorBidi" w:cstheme="minorBidi" w:hint="cs"/>
          <w:rtl/>
        </w:rPr>
        <w:t>עץ שתלויים בו דגים.</w:t>
      </w:r>
    </w:p>
    <w:p w14:paraId="556A8A6C" w14:textId="5565E607" w:rsidR="008523AC" w:rsidRDefault="001373E4" w:rsidP="00434A6A">
      <w:pPr>
        <w:rPr>
          <w:rtl/>
        </w:rPr>
      </w:pPr>
      <w:r w:rsidRPr="00DF4C09">
        <w:rPr>
          <w:rFonts w:cs="Arial" w:hint="cs"/>
          <w:b/>
          <w:bCs/>
          <w:rtl/>
        </w:rPr>
        <w:t xml:space="preserve">שבת </w:t>
      </w:r>
      <w:r>
        <w:rPr>
          <w:rFonts w:cs="Arial" w:hint="cs"/>
          <w:b/>
          <w:bCs/>
          <w:sz w:val="16"/>
          <w:szCs w:val="16"/>
          <w:rtl/>
        </w:rPr>
        <w:t>(פ' תולין)</w:t>
      </w:r>
      <w:r>
        <w:rPr>
          <w:rFonts w:cs="Arial" w:hint="cs"/>
          <w:b/>
          <w:bCs/>
          <w:rtl/>
        </w:rPr>
        <w:t xml:space="preserve"> קמ</w:t>
      </w:r>
      <w:r w:rsidRPr="00DF4C09">
        <w:rPr>
          <w:rFonts w:cs="Arial" w:hint="cs"/>
          <w:b/>
          <w:bCs/>
          <w:rtl/>
        </w:rPr>
        <w:t xml:space="preserve"> ע"</w:t>
      </w:r>
      <w:r>
        <w:rPr>
          <w:rFonts w:cs="Arial" w:hint="cs"/>
          <w:b/>
          <w:bCs/>
          <w:rtl/>
        </w:rPr>
        <w:t>ב</w:t>
      </w:r>
      <w:r w:rsidRPr="00DF4C09">
        <w:rPr>
          <w:rFonts w:cs="Arial" w:hint="cs"/>
          <w:b/>
          <w:bCs/>
          <w:rtl/>
        </w:rPr>
        <w:t>:</w:t>
      </w:r>
      <w:r>
        <w:rPr>
          <w:rFonts w:cs="Arial" w:hint="cs"/>
          <w:rtl/>
        </w:rPr>
        <w:t xml:space="preserve"> </w:t>
      </w:r>
      <w:r w:rsidRPr="001373E4">
        <w:rPr>
          <w:rFonts w:cs="Arial"/>
          <w:u w:val="single"/>
          <w:rtl/>
        </w:rPr>
        <w:t>אמר רב חייא בר אשי אמר רב</w:t>
      </w:r>
      <w:r w:rsidRPr="001373E4">
        <w:rPr>
          <w:rFonts w:cs="Arial"/>
          <w:rtl/>
        </w:rPr>
        <w:t>: האי תליא, דבשרא - שרי לטלטולי, דכוורי - אסיר.</w:t>
      </w:r>
    </w:p>
    <w:p w14:paraId="41366BFE" w14:textId="189D3A76" w:rsidR="001373E4" w:rsidRPr="0014614F" w:rsidRDefault="0014614F" w:rsidP="00434A6A">
      <w:pPr>
        <w:rPr>
          <w:u w:val="single"/>
          <w:rtl/>
        </w:rPr>
      </w:pPr>
      <w:r w:rsidRPr="0014614F">
        <w:rPr>
          <w:rFonts w:hint="cs"/>
          <w:u w:val="single"/>
          <w:rtl/>
        </w:rPr>
        <w:t>מה פירוש תליא דבשרא/דכוורי</w:t>
      </w:r>
      <w:r w:rsidR="007D29D1">
        <w:rPr>
          <w:rFonts w:hint="cs"/>
          <w:u w:val="single"/>
          <w:rtl/>
        </w:rPr>
        <w:t>, ולמה יש הבדל בניהם</w:t>
      </w:r>
      <w:r w:rsidRPr="0014614F">
        <w:rPr>
          <w:rFonts w:hint="cs"/>
          <w:u w:val="single"/>
          <w:rtl/>
        </w:rPr>
        <w:t>:</w:t>
      </w:r>
    </w:p>
    <w:p w14:paraId="4F6C88E4" w14:textId="52B4095D" w:rsidR="007D29D1" w:rsidRPr="00FC5BE5" w:rsidRDefault="007D29D1" w:rsidP="00434A6A">
      <w:pPr>
        <w:pStyle w:val="aa"/>
        <w:numPr>
          <w:ilvl w:val="0"/>
          <w:numId w:val="15"/>
        </w:numPr>
        <w:rPr>
          <w:rtl/>
        </w:rPr>
      </w:pPr>
      <w:r w:rsidRPr="0014614F">
        <w:rPr>
          <w:rFonts w:cs="Arial"/>
          <w:rtl/>
        </w:rPr>
        <w:t>רש"י</w:t>
      </w:r>
      <w:r>
        <w:rPr>
          <w:rFonts w:cs="Arial" w:hint="cs"/>
          <w:rtl/>
        </w:rPr>
        <w:t xml:space="preserve">- </w:t>
      </w:r>
      <w:r w:rsidRPr="0014614F">
        <w:rPr>
          <w:rFonts w:cs="Arial"/>
          <w:rtl/>
        </w:rPr>
        <w:t>בשר מליח התלוי ליבשו</w:t>
      </w:r>
      <w:r>
        <w:rPr>
          <w:rFonts w:cs="Arial" w:hint="cs"/>
          <w:rtl/>
        </w:rPr>
        <w:t xml:space="preserve"> -</w:t>
      </w:r>
      <w:r w:rsidRPr="0014614F">
        <w:rPr>
          <w:rFonts w:cs="Arial"/>
          <w:rtl/>
        </w:rPr>
        <w:t xml:space="preserve"> שרי</w:t>
      </w:r>
      <w:r>
        <w:rPr>
          <w:rFonts w:cs="Arial" w:hint="cs"/>
          <w:rtl/>
        </w:rPr>
        <w:t>,</w:t>
      </w:r>
      <w:r w:rsidRPr="0014614F">
        <w:rPr>
          <w:rFonts w:cs="Arial"/>
          <w:rtl/>
        </w:rPr>
        <w:t xml:space="preserve"> דנאכל חי באומצא</w:t>
      </w:r>
      <w:r>
        <w:rPr>
          <w:rFonts w:cs="Arial" w:hint="cs"/>
          <w:rtl/>
        </w:rPr>
        <w:t>.</w:t>
      </w:r>
      <w:r w:rsidRPr="0014614F">
        <w:rPr>
          <w:rFonts w:cs="Arial"/>
          <w:rtl/>
        </w:rPr>
        <w:t xml:space="preserve"> דכוורא </w:t>
      </w:r>
      <w:r>
        <w:rPr>
          <w:rFonts w:cs="Arial" w:hint="cs"/>
          <w:rtl/>
        </w:rPr>
        <w:t xml:space="preserve">- </w:t>
      </w:r>
      <w:r w:rsidRPr="0014614F">
        <w:rPr>
          <w:rFonts w:cs="Arial"/>
          <w:rtl/>
        </w:rPr>
        <w:t>אין נאכלין חיין</w:t>
      </w:r>
      <w:r>
        <w:rPr>
          <w:rFonts w:cs="Arial" w:hint="cs"/>
          <w:rtl/>
        </w:rPr>
        <w:t>.</w:t>
      </w:r>
    </w:p>
    <w:p w14:paraId="40E13EC0" w14:textId="2F6BB618" w:rsidR="0014614F" w:rsidRDefault="007D29D1" w:rsidP="00434A6A">
      <w:pPr>
        <w:pStyle w:val="aa"/>
        <w:numPr>
          <w:ilvl w:val="0"/>
          <w:numId w:val="15"/>
        </w:numPr>
      </w:pPr>
      <w:r>
        <w:rPr>
          <w:rFonts w:cs="Arial" w:hint="cs"/>
          <w:rtl/>
        </w:rPr>
        <w:t xml:space="preserve">רי"ף </w:t>
      </w:r>
      <w:r>
        <w:rPr>
          <w:rFonts w:cs="Arial" w:hint="cs"/>
          <w:sz w:val="16"/>
          <w:szCs w:val="16"/>
          <w:rtl/>
        </w:rPr>
        <w:t>(נח.)</w:t>
      </w:r>
      <w:r>
        <w:rPr>
          <w:rFonts w:cs="Arial" w:hint="cs"/>
          <w:rtl/>
        </w:rPr>
        <w:t xml:space="preserve"> ו</w:t>
      </w:r>
      <w:r w:rsidRPr="0014614F">
        <w:rPr>
          <w:rFonts w:cs="Arial"/>
          <w:rtl/>
        </w:rPr>
        <w:t>רא"ש</w:t>
      </w:r>
      <w:r w:rsidRPr="0014614F">
        <w:rPr>
          <w:rFonts w:cs="Arial"/>
          <w:sz w:val="16"/>
          <w:szCs w:val="16"/>
          <w:rtl/>
        </w:rPr>
        <w:t xml:space="preserve"> (סי' ט)</w:t>
      </w:r>
      <w:r>
        <w:rPr>
          <w:rFonts w:cs="Arial" w:hint="cs"/>
          <w:rtl/>
        </w:rPr>
        <w:t xml:space="preserve">- </w:t>
      </w:r>
      <w:r w:rsidRPr="0014614F">
        <w:rPr>
          <w:rFonts w:cs="Arial"/>
          <w:rtl/>
        </w:rPr>
        <w:t>תלא דבשרא</w:t>
      </w:r>
      <w:r>
        <w:rPr>
          <w:rFonts w:cs="Arial" w:hint="cs"/>
          <w:rtl/>
        </w:rPr>
        <w:t xml:space="preserve"> -</w:t>
      </w:r>
      <w:r w:rsidRPr="0014614F">
        <w:rPr>
          <w:rFonts w:cs="Arial"/>
          <w:rtl/>
        </w:rPr>
        <w:t xml:space="preserve"> עץ שתולין בו בשר</w:t>
      </w:r>
      <w:r>
        <w:rPr>
          <w:rFonts w:cs="Arial" w:hint="cs"/>
          <w:rtl/>
        </w:rPr>
        <w:t>.</w:t>
      </w:r>
      <w:r w:rsidRPr="0014614F">
        <w:rPr>
          <w:rFonts w:cs="Arial"/>
          <w:rtl/>
        </w:rPr>
        <w:t xml:space="preserve"> </w:t>
      </w:r>
      <w:r w:rsidR="00F22001" w:rsidRPr="00F22001">
        <w:rPr>
          <w:rFonts w:cs="Arial"/>
          <w:rtl/>
        </w:rPr>
        <w:t>דכוורי אסור דסני ריחא אסוחי אסחיה לדעתיה מיניה והוה ליה מוקצה מחמת מיאוס</w:t>
      </w:r>
      <w:r w:rsidR="00F22001">
        <w:rPr>
          <w:rStyle w:val="a9"/>
          <w:rFonts w:cs="Arial"/>
          <w:rtl/>
        </w:rPr>
        <w:footnoteReference w:id="1812"/>
      </w:r>
      <w:r w:rsidR="00F22001">
        <w:rPr>
          <w:rFonts w:cs="Arial" w:hint="cs"/>
          <w:rtl/>
        </w:rPr>
        <w:t>.</w:t>
      </w:r>
      <w:r w:rsidR="00F22001" w:rsidRPr="00F22001">
        <w:rPr>
          <w:rFonts w:cs="Arial"/>
          <w:rtl/>
        </w:rPr>
        <w:t xml:space="preserve"> ורב לטעמיה דסבירא ליה כרבי יהודה</w:t>
      </w:r>
      <w:r w:rsidR="00F22001">
        <w:rPr>
          <w:rFonts w:cs="Arial" w:hint="cs"/>
          <w:rtl/>
        </w:rPr>
        <w:t>,</w:t>
      </w:r>
      <w:r w:rsidR="00F22001" w:rsidRPr="00F22001">
        <w:rPr>
          <w:rFonts w:cs="Arial"/>
          <w:rtl/>
        </w:rPr>
        <w:t xml:space="preserve"> אבל לרבי שמעון אפילו מוקצה מחמת מיאוס לית ליה</w:t>
      </w:r>
      <w:r w:rsidR="00F22001">
        <w:rPr>
          <w:rFonts w:cs="Arial" w:hint="cs"/>
          <w:rtl/>
        </w:rPr>
        <w:t>,</w:t>
      </w:r>
      <w:r w:rsidR="00F22001" w:rsidRPr="00F22001">
        <w:rPr>
          <w:rFonts w:cs="Arial"/>
          <w:rtl/>
        </w:rPr>
        <w:t xml:space="preserve"> והלכתא כוותיה</w:t>
      </w:r>
      <w:r w:rsidR="00F22001">
        <w:rPr>
          <w:rFonts w:cs="Arial" w:hint="cs"/>
          <w:sz w:val="16"/>
          <w:szCs w:val="16"/>
          <w:rtl/>
        </w:rPr>
        <w:t xml:space="preserve"> (ל' הרא"ש)</w:t>
      </w:r>
      <w:r w:rsidR="00F22001" w:rsidRPr="00F22001">
        <w:rPr>
          <w:rFonts w:cs="Arial"/>
          <w:rtl/>
        </w:rPr>
        <w:t xml:space="preserve">. </w:t>
      </w:r>
    </w:p>
    <w:p w14:paraId="5A9C8B80" w14:textId="69284708" w:rsidR="00F22001" w:rsidRPr="00F22001" w:rsidRDefault="00F22001" w:rsidP="00434A6A">
      <w:pPr>
        <w:rPr>
          <w:u w:val="single"/>
        </w:rPr>
      </w:pPr>
      <w:r w:rsidRPr="00F22001">
        <w:rPr>
          <w:rFonts w:hint="cs"/>
          <w:u w:val="single"/>
          <w:rtl/>
        </w:rPr>
        <w:t xml:space="preserve">למעשה </w:t>
      </w:r>
      <w:r w:rsidRPr="00F22001">
        <w:rPr>
          <w:u w:val="single"/>
          <w:rtl/>
        </w:rPr>
        <w:t>–</w:t>
      </w:r>
      <w:r w:rsidRPr="00F22001">
        <w:rPr>
          <w:rFonts w:hint="cs"/>
          <w:u w:val="single"/>
          <w:rtl/>
        </w:rPr>
        <w:t xml:space="preserve"> עץ שתולים בו בשר/דגים, האם מותר לטלטלו:</w:t>
      </w:r>
    </w:p>
    <w:p w14:paraId="572D3877" w14:textId="2EF6C468" w:rsidR="007D29D1" w:rsidRPr="0014614F" w:rsidRDefault="007D29D1" w:rsidP="00434A6A">
      <w:pPr>
        <w:pStyle w:val="aa"/>
        <w:numPr>
          <w:ilvl w:val="0"/>
          <w:numId w:val="15"/>
        </w:numPr>
      </w:pPr>
      <w:r>
        <w:rPr>
          <w:rFonts w:hint="cs"/>
          <w:rtl/>
        </w:rPr>
        <w:t xml:space="preserve">טור- </w:t>
      </w:r>
      <w:r>
        <w:rPr>
          <w:rFonts w:cs="Arial"/>
          <w:rtl/>
        </w:rPr>
        <w:t>עץ שתולין בה בשר או דגים מותר לטלטלו אע</w:t>
      </w:r>
      <w:r>
        <w:rPr>
          <w:rFonts w:cs="Arial" w:hint="cs"/>
          <w:rtl/>
        </w:rPr>
        <w:t>"</w:t>
      </w:r>
      <w:r>
        <w:rPr>
          <w:rFonts w:cs="Arial"/>
          <w:rtl/>
        </w:rPr>
        <w:t>ג דמאיס</w:t>
      </w:r>
      <w:r>
        <w:rPr>
          <w:rFonts w:cs="Arial" w:hint="cs"/>
          <w:rtl/>
        </w:rPr>
        <w:t>,</w:t>
      </w:r>
      <w:r>
        <w:rPr>
          <w:rFonts w:cs="Arial"/>
          <w:rtl/>
        </w:rPr>
        <w:t xml:space="preserve"> דקי"ל במוקצה מחמת מיאוס כר"ש דשרי</w:t>
      </w:r>
      <w:r w:rsidR="00F22001">
        <w:rPr>
          <w:rFonts w:cs="Arial" w:hint="cs"/>
          <w:rtl/>
        </w:rPr>
        <w:t xml:space="preserve">. </w:t>
      </w:r>
      <w:r w:rsidR="00F22001" w:rsidRPr="00F22001">
        <w:rPr>
          <w:rFonts w:cs="Arial" w:hint="cs"/>
          <w:color w:val="E36C0A" w:themeColor="accent6" w:themeShade="BF"/>
          <w:rtl/>
        </w:rPr>
        <w:t>(וכ"פ בשו"ע)</w:t>
      </w:r>
    </w:p>
    <w:p w14:paraId="68CE3A42" w14:textId="0CCC1462" w:rsidR="0014614F" w:rsidRPr="0014614F" w:rsidRDefault="00FC5BE5" w:rsidP="00434A6A">
      <w:pPr>
        <w:pStyle w:val="aa"/>
        <w:numPr>
          <w:ilvl w:val="0"/>
          <w:numId w:val="15"/>
        </w:numPr>
      </w:pPr>
      <w:r w:rsidRPr="0014614F">
        <w:rPr>
          <w:rFonts w:cs="Arial"/>
          <w:rtl/>
        </w:rPr>
        <w:t xml:space="preserve">רמב"ם </w:t>
      </w:r>
      <w:r w:rsidR="0014614F" w:rsidRPr="0014614F">
        <w:rPr>
          <w:rFonts w:cs="Arial" w:hint="cs"/>
          <w:sz w:val="16"/>
          <w:szCs w:val="16"/>
          <w:rtl/>
        </w:rPr>
        <w:t>(</w:t>
      </w:r>
      <w:r w:rsidRPr="0014614F">
        <w:rPr>
          <w:rFonts w:cs="Arial"/>
          <w:sz w:val="16"/>
          <w:szCs w:val="16"/>
          <w:rtl/>
        </w:rPr>
        <w:t>פכ"ו הי"ט)</w:t>
      </w:r>
      <w:r w:rsidR="0014614F">
        <w:rPr>
          <w:rFonts w:cs="Arial" w:hint="cs"/>
          <w:rtl/>
        </w:rPr>
        <w:t>-</w:t>
      </w:r>
      <w:r w:rsidRPr="0014614F">
        <w:rPr>
          <w:rFonts w:cs="Arial"/>
          <w:rtl/>
        </w:rPr>
        <w:t xml:space="preserve"> עלים שריחם רע ומאוסים ואין הבהמה אוכלתן אסור לטלטלן</w:t>
      </w:r>
      <w:r w:rsidR="0014614F">
        <w:rPr>
          <w:rFonts w:cs="Arial" w:hint="cs"/>
          <w:rtl/>
        </w:rPr>
        <w:t>.</w:t>
      </w:r>
      <w:r w:rsidRPr="0014614F">
        <w:rPr>
          <w:rFonts w:cs="Arial"/>
          <w:rtl/>
        </w:rPr>
        <w:t xml:space="preserve"> לפיכך תלי של דגים אסור לטלטלו</w:t>
      </w:r>
      <w:r w:rsidR="0014614F">
        <w:rPr>
          <w:rFonts w:cs="Arial" w:hint="cs"/>
          <w:rtl/>
        </w:rPr>
        <w:t>,</w:t>
      </w:r>
      <w:r w:rsidRPr="0014614F">
        <w:rPr>
          <w:rFonts w:cs="Arial"/>
          <w:rtl/>
        </w:rPr>
        <w:t xml:space="preserve"> ושל בשר מותר</w:t>
      </w:r>
      <w:r w:rsidR="0014614F">
        <w:rPr>
          <w:rStyle w:val="a9"/>
          <w:rFonts w:cs="Arial"/>
          <w:rtl/>
        </w:rPr>
        <w:footnoteReference w:id="1813"/>
      </w:r>
      <w:r w:rsidR="0014614F">
        <w:rPr>
          <w:rFonts w:cs="Arial" w:hint="cs"/>
          <w:rtl/>
        </w:rPr>
        <w:t>.</w:t>
      </w:r>
      <w:r w:rsidRPr="0014614F">
        <w:rPr>
          <w:rFonts w:cs="Arial"/>
          <w:rtl/>
        </w:rPr>
        <w:t xml:space="preserve"> </w:t>
      </w:r>
    </w:p>
    <w:p w14:paraId="2CE2B9AC" w14:textId="77777777" w:rsidR="009A1772" w:rsidRPr="005275DF" w:rsidRDefault="009A1772" w:rsidP="00434A6A">
      <w:pPr>
        <w:rPr>
          <w:rFonts w:asciiTheme="minorBidi" w:hAnsiTheme="minorBidi"/>
          <w:rtl/>
        </w:rPr>
      </w:pPr>
      <w:r w:rsidRPr="005275DF">
        <w:rPr>
          <w:rFonts w:asciiTheme="minorBidi" w:hAnsiTheme="minorBidi"/>
          <w:b/>
          <w:bCs/>
          <w:sz w:val="32"/>
          <w:szCs w:val="28"/>
          <w:u w:val="single"/>
          <w:rtl/>
        </w:rPr>
        <w:t xml:space="preserve">שו"ע: </w:t>
      </w:r>
    </w:p>
    <w:p w14:paraId="10F9D806" w14:textId="043C4547" w:rsidR="000C6229" w:rsidRPr="005275DF" w:rsidRDefault="000C6229" w:rsidP="00434A6A">
      <w:pPr>
        <w:rPr>
          <w:rFonts w:asciiTheme="minorBidi" w:hAnsiTheme="minorBidi"/>
          <w:rtl/>
        </w:rPr>
      </w:pPr>
      <w:r w:rsidRPr="005275DF">
        <w:rPr>
          <w:rFonts w:asciiTheme="minorBidi" w:hAnsiTheme="minorBidi"/>
          <w:rtl/>
        </w:rPr>
        <w:t xml:space="preserve"> עץ שתולין בו דגים, אף על פי שהוא מאוס, מותר לטלטלו דקי</w:t>
      </w:r>
      <w:r w:rsidR="00551266">
        <w:rPr>
          <w:rFonts w:asciiTheme="minorBidi" w:hAnsiTheme="minorBidi" w:hint="cs"/>
          <w:rtl/>
        </w:rPr>
        <w:t xml:space="preserve">ימא </w:t>
      </w:r>
      <w:r w:rsidRPr="005275DF">
        <w:rPr>
          <w:rFonts w:asciiTheme="minorBidi" w:hAnsiTheme="minorBidi"/>
          <w:rtl/>
        </w:rPr>
        <w:t>ל</w:t>
      </w:r>
      <w:r w:rsidR="00551266">
        <w:rPr>
          <w:rFonts w:asciiTheme="minorBidi" w:hAnsiTheme="minorBidi" w:hint="cs"/>
          <w:rtl/>
        </w:rPr>
        <w:t>ן</w:t>
      </w:r>
      <w:r w:rsidRPr="005275DF">
        <w:rPr>
          <w:rFonts w:asciiTheme="minorBidi" w:hAnsiTheme="minorBidi"/>
          <w:rtl/>
        </w:rPr>
        <w:t xml:space="preserve"> במוקצה מחמת מיאוס כרבי שמעון, דשרי. </w:t>
      </w:r>
    </w:p>
    <w:p w14:paraId="5BE11E2B" w14:textId="77777777" w:rsidR="000C6229" w:rsidRPr="005275DF" w:rsidRDefault="000C6229" w:rsidP="00434A6A">
      <w:pPr>
        <w:rPr>
          <w:rFonts w:asciiTheme="minorBidi" w:hAnsiTheme="minorBidi"/>
          <w:rtl/>
        </w:rPr>
      </w:pPr>
    </w:p>
    <w:p w14:paraId="664F361B" w14:textId="177E0B28" w:rsidR="000C6229" w:rsidRDefault="000C6229" w:rsidP="00434A6A">
      <w:pPr>
        <w:pStyle w:val="2"/>
        <w:rPr>
          <w:rtl/>
        </w:rPr>
      </w:pPr>
      <w:r w:rsidRPr="005275DF">
        <w:rPr>
          <w:rtl/>
        </w:rPr>
        <w:t>סעיף ב</w:t>
      </w:r>
      <w:r w:rsidR="00A91C36">
        <w:rPr>
          <w:rFonts w:hint="cs"/>
          <w:rtl/>
        </w:rPr>
        <w:t xml:space="preserve">: </w:t>
      </w:r>
      <w:r w:rsidR="00F2101F">
        <w:rPr>
          <w:rFonts w:hint="cs"/>
          <w:rtl/>
        </w:rPr>
        <w:t>מוקצה באוכל</w:t>
      </w:r>
      <w:r w:rsidR="00F61A49">
        <w:rPr>
          <w:rFonts w:hint="cs"/>
          <w:rtl/>
        </w:rPr>
        <w:t>ים</w:t>
      </w:r>
      <w:r w:rsidR="00F2101F">
        <w:rPr>
          <w:rFonts w:hint="cs"/>
          <w:rtl/>
        </w:rPr>
        <w:t>. מוקצה לרבי שמעון.</w:t>
      </w:r>
    </w:p>
    <w:p w14:paraId="4AD2ADF6" w14:textId="3EA6E460" w:rsidR="004D2918" w:rsidRPr="004D2918" w:rsidRDefault="00CC0D8C" w:rsidP="00434A6A">
      <w:pPr>
        <w:rPr>
          <w:rFonts w:cs="Arial"/>
          <w:rtl/>
        </w:rPr>
      </w:pPr>
      <w:r w:rsidRPr="00DF4C09">
        <w:rPr>
          <w:rFonts w:cs="Arial" w:hint="cs"/>
          <w:b/>
          <w:bCs/>
          <w:rtl/>
        </w:rPr>
        <w:t xml:space="preserve">שבת </w:t>
      </w:r>
      <w:r>
        <w:rPr>
          <w:rFonts w:cs="Arial" w:hint="cs"/>
          <w:b/>
          <w:bCs/>
          <w:sz w:val="16"/>
          <w:szCs w:val="16"/>
          <w:rtl/>
        </w:rPr>
        <w:t>(פ' בתרא)</w:t>
      </w:r>
      <w:r>
        <w:rPr>
          <w:rFonts w:cs="Arial" w:hint="cs"/>
          <w:b/>
          <w:bCs/>
          <w:rtl/>
        </w:rPr>
        <w:t xml:space="preserve"> קנ</w:t>
      </w:r>
      <w:r w:rsidR="00992355">
        <w:rPr>
          <w:rFonts w:cs="Arial" w:hint="cs"/>
          <w:b/>
          <w:bCs/>
          <w:rtl/>
        </w:rPr>
        <w:t>ו</w:t>
      </w:r>
      <w:r w:rsidRPr="00DF4C09">
        <w:rPr>
          <w:rFonts w:cs="Arial" w:hint="cs"/>
          <w:b/>
          <w:bCs/>
          <w:rtl/>
        </w:rPr>
        <w:t xml:space="preserve"> ע"</w:t>
      </w:r>
      <w:r w:rsidR="00992355">
        <w:rPr>
          <w:rFonts w:cs="Arial" w:hint="cs"/>
          <w:b/>
          <w:bCs/>
          <w:rtl/>
        </w:rPr>
        <w:t>ב</w:t>
      </w:r>
      <w:r w:rsidRPr="00DF4C09">
        <w:rPr>
          <w:rFonts w:cs="Arial" w:hint="cs"/>
          <w:b/>
          <w:bCs/>
          <w:rtl/>
        </w:rPr>
        <w:t>:</w:t>
      </w:r>
      <w:r>
        <w:rPr>
          <w:rFonts w:cs="Arial" w:hint="cs"/>
          <w:rtl/>
        </w:rPr>
        <w:t xml:space="preserve"> </w:t>
      </w:r>
      <w:r w:rsidR="00992355" w:rsidRPr="00992355">
        <w:rPr>
          <w:rFonts w:cs="Arial"/>
          <w:u w:val="double"/>
          <w:rtl/>
        </w:rPr>
        <w:t>משנה</w:t>
      </w:r>
      <w:r w:rsidR="00992355">
        <w:rPr>
          <w:rFonts w:cs="Arial" w:hint="cs"/>
          <w:rtl/>
        </w:rPr>
        <w:t>:</w:t>
      </w:r>
      <w:r w:rsidR="00992355" w:rsidRPr="00992355">
        <w:rPr>
          <w:rFonts w:cs="Arial"/>
          <w:rtl/>
        </w:rPr>
        <w:t xml:space="preserve"> מחתכין את הדלועין לפני הבהמה, ואת הנבלה לפני הכלבים, רבי יהודה אומר: אם לא היתה נבלה מערב שבת - אסורה, לפי שאינה מן המוכן. </w:t>
      </w:r>
      <w:r w:rsidR="00992355">
        <w:rPr>
          <w:rFonts w:cs="Arial" w:hint="cs"/>
          <w:rtl/>
        </w:rPr>
        <w:t xml:space="preserve">      </w:t>
      </w:r>
      <w:r w:rsidR="00992355" w:rsidRPr="00992355">
        <w:rPr>
          <w:rFonts w:cs="Arial"/>
          <w:u w:val="double"/>
          <w:rtl/>
        </w:rPr>
        <w:t>גמרא</w:t>
      </w:r>
      <w:r w:rsidR="00992355">
        <w:rPr>
          <w:rFonts w:cs="Arial" w:hint="cs"/>
          <w:rtl/>
        </w:rPr>
        <w:t>:</w:t>
      </w:r>
      <w:r w:rsidR="00992355" w:rsidRPr="00992355">
        <w:rPr>
          <w:rFonts w:cs="Arial"/>
          <w:rtl/>
        </w:rPr>
        <w:t xml:space="preserve"> איתמר</w:t>
      </w:r>
      <w:r w:rsidR="00992355">
        <w:rPr>
          <w:rFonts w:cs="Arial" w:hint="cs"/>
          <w:rtl/>
        </w:rPr>
        <w:t>,</w:t>
      </w:r>
      <w:r w:rsidR="00992355" w:rsidRPr="00992355">
        <w:rPr>
          <w:rFonts w:cs="Arial"/>
          <w:rtl/>
        </w:rPr>
        <w:t xml:space="preserve"> </w:t>
      </w:r>
      <w:r w:rsidR="00992355" w:rsidRPr="00992355">
        <w:rPr>
          <w:rFonts w:cs="Arial"/>
          <w:u w:val="single"/>
          <w:rtl/>
        </w:rPr>
        <w:t>אמר עולא</w:t>
      </w:r>
      <w:r w:rsidR="00992355" w:rsidRPr="00992355">
        <w:rPr>
          <w:rFonts w:cs="Arial"/>
          <w:rtl/>
        </w:rPr>
        <w:t xml:space="preserve">: הלכה כרבי יהודה. </w:t>
      </w:r>
      <w:r w:rsidR="00992355" w:rsidRPr="00992355">
        <w:rPr>
          <w:rFonts w:cs="Arial"/>
          <w:u w:val="single"/>
          <w:rtl/>
        </w:rPr>
        <w:t>ואף רב סבר</w:t>
      </w:r>
      <w:r w:rsidR="00992355" w:rsidRPr="00992355">
        <w:rPr>
          <w:rFonts w:cs="Arial"/>
          <w:rtl/>
        </w:rPr>
        <w:t xml:space="preserve"> הלכה כרבי יהודה</w:t>
      </w:r>
      <w:r w:rsidR="00992355">
        <w:rPr>
          <w:rFonts w:cs="Arial" w:hint="cs"/>
          <w:rtl/>
        </w:rPr>
        <w:t>,</w:t>
      </w:r>
      <w:r w:rsidR="00992355" w:rsidRPr="00992355">
        <w:rPr>
          <w:rFonts w:cs="Arial"/>
          <w:rtl/>
        </w:rPr>
        <w:t xml:space="preserve"> מדכרכי דזוזי דרב אסר ושמואל שרי</w:t>
      </w:r>
      <w:r w:rsidR="00992355">
        <w:rPr>
          <w:rFonts w:cs="Arial" w:hint="cs"/>
          <w:rtl/>
        </w:rPr>
        <w:t>.</w:t>
      </w:r>
      <w:r w:rsidR="00992355" w:rsidRPr="00992355">
        <w:rPr>
          <w:rFonts w:cs="Arial"/>
          <w:rtl/>
        </w:rPr>
        <w:t xml:space="preserve"> </w:t>
      </w:r>
      <w:r w:rsidR="00992355" w:rsidRPr="00992355">
        <w:rPr>
          <w:rFonts w:cs="Arial"/>
          <w:u w:val="single"/>
          <w:rtl/>
        </w:rPr>
        <w:t>ואף לוי סבר</w:t>
      </w:r>
      <w:r w:rsidR="00992355" w:rsidRPr="00992355">
        <w:rPr>
          <w:rFonts w:cs="Arial"/>
          <w:rtl/>
        </w:rPr>
        <w:t xml:space="preserve"> הלכה כרבי יהודה. כי הא דלוי כי הוו מייתי טריפתא לקמיה ביומא טבא לא הוה חזי לה אלא כי יתיב אקילקליתא. דאמר: דילמא לא מתכשרא, ואפילו לכלבים לא חזיא. </w:t>
      </w:r>
      <w:r w:rsidR="00992355" w:rsidRPr="00992355">
        <w:rPr>
          <w:rFonts w:cs="Arial"/>
          <w:u w:val="single"/>
          <w:rtl/>
        </w:rPr>
        <w:t>ושמואל אמר</w:t>
      </w:r>
      <w:r w:rsidR="00992355" w:rsidRPr="00992355">
        <w:rPr>
          <w:rFonts w:cs="Arial"/>
          <w:rtl/>
        </w:rPr>
        <w:t xml:space="preserve">: הלכה כרבי שמעון. </w:t>
      </w:r>
      <w:r w:rsidR="00992355" w:rsidRPr="00992355">
        <w:rPr>
          <w:rFonts w:cs="Arial"/>
          <w:u w:val="single"/>
          <w:rtl/>
        </w:rPr>
        <w:t>ואף זעירי סבר</w:t>
      </w:r>
      <w:r w:rsidR="00992355" w:rsidRPr="00992355">
        <w:rPr>
          <w:rFonts w:cs="Arial"/>
          <w:rtl/>
        </w:rPr>
        <w:t xml:space="preserve"> הלכה כרבי שמעון דתנן: בהמה שמתה - לא יזיזנה ממקומה, ותרגמא זעירי: בבהמת קדשים, אבל בחולין - שפיר דמי. </w:t>
      </w:r>
      <w:r w:rsidR="00992355" w:rsidRPr="00992355">
        <w:rPr>
          <w:rFonts w:cs="Arial"/>
          <w:u w:val="single"/>
          <w:rtl/>
        </w:rPr>
        <w:t>ואף רבי יוחנן אמר</w:t>
      </w:r>
      <w:r w:rsidR="00992355" w:rsidRPr="00992355">
        <w:rPr>
          <w:rFonts w:cs="Arial"/>
          <w:rtl/>
        </w:rPr>
        <w:t xml:space="preserve">: הלכה כרבי שמעון. ומי אמר רבי יוחנן הכי? והא אמר רבי יוחנן: הלכה כסתם משנה, ותנן: </w:t>
      </w:r>
      <w:r w:rsidR="00992355">
        <w:rPr>
          <w:rFonts w:cs="Arial" w:hint="cs"/>
          <w:sz w:val="14"/>
          <w:szCs w:val="14"/>
          <w:rtl/>
        </w:rPr>
        <w:t xml:space="preserve">(קנז.) </w:t>
      </w:r>
      <w:r w:rsidR="00992355" w:rsidRPr="00992355">
        <w:rPr>
          <w:rFonts w:cs="Arial"/>
          <w:rtl/>
        </w:rPr>
        <w:t xml:space="preserve">אין מבקעין עצים מן הקורות, ולא מן הקורה שנשברה ביום טוב! רבי יוחנן, ההוא - כרבי יוסי בר יהודה מתני לה. תא שמע: מתחילין בערימת התבן, אבל לא בעצים שבמוקצה! התם בארזי ואשוחי, דמוקצה מחמת חסרון כיס אפילו רבי שמעון מודה. תא שמע: אין משקין ושוחטין את המדבריות, אבל משקין ושוחטין את הבייתות! רבי יוחנן סתמא אחרינא אשכח, בית שמאי אומרים: מגביהין מעל השלחן עצמות וקליפין, ובית הלל אומרים: מסלק את הטבלה כולה ומנערה. </w:t>
      </w:r>
      <w:r w:rsidR="00992355" w:rsidRPr="00992355">
        <w:rPr>
          <w:rFonts w:cs="Arial"/>
          <w:u w:val="single"/>
          <w:rtl/>
        </w:rPr>
        <w:t>ואמר רב נחמן</w:t>
      </w:r>
      <w:r w:rsidR="00992355" w:rsidRPr="00992355">
        <w:rPr>
          <w:rFonts w:cs="Arial"/>
          <w:rtl/>
        </w:rPr>
        <w:t>: אנו אין לנו אלא בית שמאי כרבי יהודה, ובית הלל כרבי שמעון.</w:t>
      </w:r>
      <w:r w:rsidR="00992355">
        <w:rPr>
          <w:rFonts w:cs="Arial" w:hint="cs"/>
          <w:rtl/>
        </w:rPr>
        <w:t xml:space="preserve"> </w:t>
      </w:r>
      <w:r w:rsidRPr="00992355">
        <w:rPr>
          <w:rFonts w:cs="Arial"/>
          <w:u w:val="single"/>
          <w:rtl/>
        </w:rPr>
        <w:t>פליגי בה רב אחא ורבינא</w:t>
      </w:r>
      <w:r w:rsidRPr="00CC0D8C">
        <w:rPr>
          <w:rFonts w:cs="Arial"/>
          <w:rtl/>
        </w:rPr>
        <w:t>, חד אמר: בכל השבת כולה הלכה כרבי שמעון, לבר ממוקצה מחמת מיאוס, ומאי ניהו - נר ישן. וחד אמר: במוקצה מחמת מיאוס נמי הלכה כרבי שמעון, לבר ממוקצה מחמת איסור ומאי ניהו - נר שהדליקו בה באותה שבת. אבל מוקצה מחמת חסרון כיס - אפילו רבי שמעון מודה, דתנן: כל הכלים ניטלין בשבת, חוץ ממסר הגדול ויתד של מחרישה.</w:t>
      </w:r>
      <w:r w:rsidR="004D2918">
        <w:rPr>
          <w:rFonts w:cs="Arial" w:hint="cs"/>
          <w:rtl/>
        </w:rPr>
        <w:t xml:space="preserve"> </w:t>
      </w:r>
      <w:r w:rsidR="004D2918" w:rsidRPr="004D2918">
        <w:rPr>
          <w:rFonts w:cs="Arial" w:hint="cs"/>
          <w:sz w:val="16"/>
          <w:szCs w:val="16"/>
          <w:rtl/>
        </w:rPr>
        <w:t>(</w:t>
      </w:r>
      <w:r w:rsidR="004F7BCD" w:rsidRPr="004D2918">
        <w:rPr>
          <w:rFonts w:cs="Arial"/>
          <w:sz w:val="16"/>
          <w:szCs w:val="16"/>
          <w:rtl/>
        </w:rPr>
        <w:t>וקיימא לן (חולין צג:) דכל היכא דפליגי רב אחא ורבינא הלכה כדברי המיקל</w:t>
      </w:r>
      <w:r w:rsidR="004D2918" w:rsidRPr="004D2918">
        <w:rPr>
          <w:rFonts w:cs="Arial" w:hint="cs"/>
          <w:sz w:val="16"/>
          <w:szCs w:val="16"/>
          <w:rtl/>
        </w:rPr>
        <w:t xml:space="preserve">, </w:t>
      </w:r>
      <w:r w:rsidR="004D2918" w:rsidRPr="004D2918">
        <w:rPr>
          <w:rFonts w:cs="Arial"/>
          <w:sz w:val="16"/>
          <w:szCs w:val="16"/>
          <w:rtl/>
        </w:rPr>
        <w:t>רי"ף (סז:) ורא"ש (סי' ה)</w:t>
      </w:r>
      <w:r w:rsidR="00D41FA7">
        <w:rPr>
          <w:rFonts w:cs="Arial" w:hint="cs"/>
          <w:sz w:val="16"/>
          <w:szCs w:val="16"/>
          <w:rtl/>
        </w:rPr>
        <w:t xml:space="preserve">. ומשמע מגמרא זו דהלכה כרבי שמעון דלית ליה מוקצה. ועוד מוכח דאית ליה מוקצה מחמת חסרון כיס. ולקמן יתבאר </w:t>
      </w:r>
      <w:r w:rsidR="009C2252">
        <w:rPr>
          <w:rFonts w:cs="Arial" w:hint="cs"/>
          <w:sz w:val="16"/>
          <w:szCs w:val="16"/>
          <w:rtl/>
        </w:rPr>
        <w:t>במה אית ליה מוקצה ובמה לית ליה מוקצה, וכן במה קיי"ל כוותיה ובמה לא</w:t>
      </w:r>
      <w:r w:rsidR="004D2918" w:rsidRPr="004D2918">
        <w:rPr>
          <w:rFonts w:cs="Arial" w:hint="cs"/>
          <w:sz w:val="16"/>
          <w:szCs w:val="16"/>
          <w:rtl/>
        </w:rPr>
        <w:t>)</w:t>
      </w:r>
    </w:p>
    <w:p w14:paraId="64299C3F" w14:textId="25B345BB" w:rsidR="00CC6124" w:rsidRDefault="004D2918" w:rsidP="00434A6A">
      <w:pPr>
        <w:rPr>
          <w:rFonts w:cs="Arial"/>
          <w:rtl/>
        </w:rPr>
      </w:pPr>
      <w:r w:rsidRPr="00DF4C09">
        <w:rPr>
          <w:rFonts w:cs="Arial" w:hint="cs"/>
          <w:b/>
          <w:bCs/>
          <w:rtl/>
        </w:rPr>
        <w:t xml:space="preserve">שבת </w:t>
      </w:r>
      <w:r>
        <w:rPr>
          <w:rFonts w:cs="Arial" w:hint="cs"/>
          <w:b/>
          <w:bCs/>
          <w:sz w:val="16"/>
          <w:szCs w:val="16"/>
          <w:rtl/>
        </w:rPr>
        <w:t>(פ' כירה)</w:t>
      </w:r>
      <w:r>
        <w:rPr>
          <w:rFonts w:cs="Arial" w:hint="cs"/>
          <w:b/>
          <w:bCs/>
          <w:rtl/>
        </w:rPr>
        <w:t xml:space="preserve"> מד</w:t>
      </w:r>
      <w:r w:rsidRPr="00DF4C09">
        <w:rPr>
          <w:rFonts w:cs="Arial" w:hint="cs"/>
          <w:b/>
          <w:bCs/>
          <w:rtl/>
        </w:rPr>
        <w:t xml:space="preserve"> ע"</w:t>
      </w:r>
      <w:r>
        <w:rPr>
          <w:rFonts w:cs="Arial" w:hint="cs"/>
          <w:b/>
          <w:bCs/>
          <w:rtl/>
        </w:rPr>
        <w:t>א</w:t>
      </w:r>
      <w:r w:rsidRPr="00DF4C09">
        <w:rPr>
          <w:rFonts w:cs="Arial" w:hint="cs"/>
          <w:b/>
          <w:bCs/>
          <w:rtl/>
        </w:rPr>
        <w:t>:</w:t>
      </w:r>
      <w:r>
        <w:rPr>
          <w:rFonts w:cs="Arial" w:hint="cs"/>
          <w:rtl/>
        </w:rPr>
        <w:t xml:space="preserve"> </w:t>
      </w:r>
      <w:r w:rsidRPr="00992355">
        <w:rPr>
          <w:rFonts w:cs="Arial"/>
          <w:u w:val="double"/>
          <w:rtl/>
        </w:rPr>
        <w:t>משנה</w:t>
      </w:r>
      <w:r>
        <w:rPr>
          <w:rFonts w:cs="Arial" w:hint="cs"/>
          <w:rtl/>
        </w:rPr>
        <w:t>:</w:t>
      </w:r>
      <w:r w:rsidRPr="00992355">
        <w:rPr>
          <w:rFonts w:cs="Arial"/>
          <w:rtl/>
        </w:rPr>
        <w:t xml:space="preserve"> </w:t>
      </w:r>
      <w:r w:rsidRPr="004D2918">
        <w:rPr>
          <w:rFonts w:cs="Arial"/>
          <w:rtl/>
        </w:rPr>
        <w:t xml:space="preserve"> מטלטלין נר חדש אבל לא ישן. </w:t>
      </w:r>
      <w:r w:rsidRPr="004D2918">
        <w:rPr>
          <w:rFonts w:cs="Arial"/>
          <w:u w:val="single"/>
          <w:rtl/>
        </w:rPr>
        <w:t>רבי שמעון אומר</w:t>
      </w:r>
      <w:r w:rsidRPr="004D2918">
        <w:rPr>
          <w:rFonts w:cs="Arial"/>
          <w:rtl/>
        </w:rPr>
        <w:t xml:space="preserve">: כל הנרות מטלטלין, חוץ מן הנר הדולק בשבת. </w:t>
      </w:r>
      <w:r>
        <w:rPr>
          <w:rFonts w:cs="Arial" w:hint="cs"/>
          <w:rtl/>
        </w:rPr>
        <w:t xml:space="preserve">        </w:t>
      </w:r>
      <w:r w:rsidRPr="004D2918">
        <w:rPr>
          <w:rFonts w:cs="Arial"/>
          <w:u w:val="double"/>
          <w:rtl/>
        </w:rPr>
        <w:t>גמרא</w:t>
      </w:r>
      <w:r>
        <w:rPr>
          <w:rFonts w:cs="Arial" w:hint="cs"/>
          <w:rtl/>
        </w:rPr>
        <w:t>:</w:t>
      </w:r>
      <w:r w:rsidRPr="004D2918">
        <w:rPr>
          <w:rFonts w:cs="Arial"/>
          <w:rtl/>
        </w:rPr>
        <w:t xml:space="preserve"> תנו רבנן: מטלטלין נר חדש אבל לא ישן, דברי רבי יהודה. רבי מאיר אומר: כל הנרות מטלטלין, חוץ מן הנר שהדליקו בו בשבת. רבי שמעון אומר: חוץ מן הנר הדולק בשבת. כבתה - מותר לטלטלה, אבל כוס וקערה ועששית לא יזיזם ממקומם. ורבי אליעזר ברבי שמעון אומר: מסתפק מן הנר הכבה, ומן השמן המטפטף, ואפילו בשעה שהנר דולק.</w:t>
      </w:r>
      <w:r>
        <w:rPr>
          <w:rFonts w:cs="Arial" w:hint="cs"/>
          <w:rtl/>
        </w:rPr>
        <w:t>.</w:t>
      </w:r>
      <w:r w:rsidRPr="004D2918">
        <w:rPr>
          <w:rFonts w:cs="Arial"/>
          <w:rtl/>
        </w:rPr>
        <w:t>. אבל כוס וקערה ועששית לא יזיזם ממקומם מאי שנא הני?</w:t>
      </w:r>
      <w:r>
        <w:rPr>
          <w:rFonts w:cs="Arial" w:hint="cs"/>
          <w:rtl/>
        </w:rPr>
        <w:t>... אלא</w:t>
      </w:r>
      <w:r w:rsidRPr="004D2918">
        <w:rPr>
          <w:rFonts w:cs="Arial"/>
          <w:rtl/>
        </w:rPr>
        <w:t xml:space="preserve"> אמר מר זוטרא: לעולם רבי שמעון, וכי קשרי רבי שמעון - בנר זוטא דדעתיה עלויה, אבל הני דנפישי - לא</w:t>
      </w:r>
      <w:r>
        <w:rPr>
          <w:rStyle w:val="a9"/>
          <w:rFonts w:cs="Arial"/>
          <w:rtl/>
        </w:rPr>
        <w:footnoteReference w:id="1814"/>
      </w:r>
      <w:r w:rsidRPr="004D2918">
        <w:rPr>
          <w:rFonts w:cs="Arial"/>
          <w:rtl/>
        </w:rPr>
        <w:t>.</w:t>
      </w:r>
      <w:r w:rsidR="000753D8">
        <w:rPr>
          <w:rFonts w:cs="Arial" w:hint="cs"/>
          <w:rtl/>
        </w:rPr>
        <w:t xml:space="preserve">.. </w:t>
      </w:r>
      <w:r w:rsidR="000753D8">
        <w:rPr>
          <w:rFonts w:cs="Arial" w:hint="cs"/>
          <w:sz w:val="14"/>
          <w:szCs w:val="14"/>
          <w:rtl/>
        </w:rPr>
        <w:t xml:space="preserve">(מד:) </w:t>
      </w:r>
      <w:r w:rsidR="000753D8" w:rsidRPr="000753D8">
        <w:rPr>
          <w:rFonts w:cs="Arial"/>
          <w:u w:val="single"/>
          <w:rtl/>
        </w:rPr>
        <w:t>אמר רב יהודה אמר רב</w:t>
      </w:r>
      <w:r w:rsidR="000753D8" w:rsidRPr="000753D8">
        <w:rPr>
          <w:rFonts w:cs="Arial"/>
          <w:rtl/>
        </w:rPr>
        <w:t xml:space="preserve">: מטה שיחדה למעות, הניח עליה מעות - אסור לטלטלה, לא הניח עליה מעות - מותר לטלטלה. לא יחדה למעות, יש עליה מעות - אסור לטלטלה, אין עליה מעות - מותר לטלטלה, והוא שלא היו עליה בין השמשות. </w:t>
      </w:r>
      <w:r w:rsidR="000753D8" w:rsidRPr="000753D8">
        <w:rPr>
          <w:rFonts w:cs="Arial"/>
          <w:u w:val="single"/>
          <w:rtl/>
        </w:rPr>
        <w:t>אמר עולא</w:t>
      </w:r>
      <w:r w:rsidR="000753D8">
        <w:rPr>
          <w:rFonts w:cs="Arial" w:hint="cs"/>
          <w:rtl/>
        </w:rPr>
        <w:t>:</w:t>
      </w:r>
      <w:r w:rsidR="000753D8" w:rsidRPr="000753D8">
        <w:rPr>
          <w:rFonts w:cs="Arial"/>
          <w:rtl/>
        </w:rPr>
        <w:t xml:space="preserve"> מתיב רבי אליעזר: מוכני שלה, בזמן שהיא נשמטת - אין חבור לה, ואין נמדדת עמה, ואין מצלת עמה באהל המת, ואין גוררין אותה בשבת בזמן שיש עליה מעות. הא אין עליה מעות - שריא, אף על גב דהוו עליה בין השמשות! ההיא רבי שמעון היא</w:t>
      </w:r>
      <w:r w:rsidR="000753D8">
        <w:rPr>
          <w:rStyle w:val="a9"/>
          <w:rFonts w:cs="Arial"/>
          <w:rtl/>
        </w:rPr>
        <w:footnoteReference w:id="1815"/>
      </w:r>
      <w:r w:rsidR="000753D8" w:rsidRPr="000753D8">
        <w:rPr>
          <w:rFonts w:cs="Arial"/>
          <w:rtl/>
        </w:rPr>
        <w:t>, דלית ליה מוקצה, ורב כרבי יהודה סבירא ליה.</w:t>
      </w:r>
      <w:r w:rsidRPr="004D2918">
        <w:rPr>
          <w:rFonts w:cs="Arial"/>
          <w:rtl/>
        </w:rPr>
        <w:t xml:space="preserve"> </w:t>
      </w:r>
      <w:r w:rsidR="00E333FF" w:rsidRPr="00E333FF">
        <w:rPr>
          <w:rFonts w:cs="Arial"/>
          <w:u w:val="single"/>
          <w:rtl/>
        </w:rPr>
        <w:t>בעא מיניה ריש לקיש מרבי יוחנן</w:t>
      </w:r>
      <w:r w:rsidR="00E333FF" w:rsidRPr="00E333FF">
        <w:rPr>
          <w:rFonts w:cs="Arial"/>
          <w:rtl/>
        </w:rPr>
        <w:t xml:space="preserve">: חטים שזרען בקרקע, וביצים שתחת תרנגולת מהו? כי לית ליה לרבי שמעון מוקצה - היכא דלא דחייה בידים, היכא דדחייה בידים - אית ליה מוקצה, או דילמא לא שנא? </w:t>
      </w:r>
      <w:r w:rsidR="00E333FF" w:rsidRPr="00E333FF">
        <w:rPr>
          <w:rFonts w:cs="Arial"/>
          <w:u w:val="single"/>
          <w:rtl/>
        </w:rPr>
        <w:t>אמר ליה</w:t>
      </w:r>
      <w:r w:rsidR="00E333FF" w:rsidRPr="00E333FF">
        <w:rPr>
          <w:rFonts w:cs="Arial"/>
          <w:rtl/>
        </w:rPr>
        <w:t>: אין מוקצה לרבי שמעון אלא שמן שבנר בשעה שהוא דולק, הואיל והוקצה למצותו הוקצה לאיסורו. ולית ליה הוקצה למצותו? והתניא: סיככה כהלכתה, ועיטרה בקרמים ובסדינין המצויירין, ותלה בה אגוזין, אפרסקין, שקדים ורמונין, ואפרכלי של ענבים, ועטרות של שבולין, יינות, שמנים וסלתות - אסור להסתפק מהן עד מוצאי יום טוב האחרון, ואם התנה עליהן - הכל לפי תנאו.</w:t>
      </w:r>
      <w:r w:rsidR="00E333FF">
        <w:rPr>
          <w:rFonts w:cs="Arial" w:hint="cs"/>
          <w:rtl/>
        </w:rPr>
        <w:t>..</w:t>
      </w:r>
      <w:r w:rsidR="00E333FF" w:rsidRPr="00E333FF">
        <w:rPr>
          <w:rFonts w:cs="Arial"/>
          <w:rtl/>
        </w:rPr>
        <w:t xml:space="preserve"> כעין שמן שבנר קאמרינן, הואיל והוקצה למצותו הוקצה לאיסורו. איתמר נמי, </w:t>
      </w:r>
      <w:r w:rsidR="00E333FF" w:rsidRPr="00E333FF">
        <w:rPr>
          <w:rFonts w:cs="Arial"/>
          <w:u w:val="single"/>
          <w:rtl/>
        </w:rPr>
        <w:t>אמר רבי חייא בר אבא אמר רבי יוחנן</w:t>
      </w:r>
      <w:r w:rsidR="00E333FF" w:rsidRPr="00E333FF">
        <w:rPr>
          <w:rFonts w:cs="Arial"/>
          <w:rtl/>
        </w:rPr>
        <w:t xml:space="preserve">: אין מוקצה לרבי שמעון אלא כעין שמן שבנר בשעה שהוא דולק, הואיל והוקצה למצותו - הוקצה לאיסורו. </w:t>
      </w:r>
      <w:r w:rsidR="00E333FF" w:rsidRPr="00E333FF">
        <w:rPr>
          <w:rFonts w:cs="Arial"/>
          <w:u w:val="single"/>
          <w:rtl/>
        </w:rPr>
        <w:t>אמר רב יהודה אמר שמואל</w:t>
      </w:r>
      <w:r w:rsidR="00E333FF" w:rsidRPr="00E333FF">
        <w:rPr>
          <w:rFonts w:cs="Arial"/>
          <w:rtl/>
        </w:rPr>
        <w:t>: אין מוקצה לרבי שמעון אלא גרוגרות וצימוקים בלבד</w:t>
      </w:r>
      <w:r w:rsidR="00CC6124">
        <w:rPr>
          <w:rStyle w:val="a9"/>
          <w:rFonts w:cs="Arial"/>
          <w:rtl/>
        </w:rPr>
        <w:footnoteReference w:id="1816"/>
      </w:r>
      <w:r w:rsidR="00E333FF" w:rsidRPr="00E333FF">
        <w:rPr>
          <w:rFonts w:cs="Arial"/>
          <w:rtl/>
        </w:rPr>
        <w:t xml:space="preserve">. ומידי אחרינא לא? והתניא: היה אוכל בתאנים והותיר והעלן לגג לעשות מהן גרוגרות. בענבים והותיר והעלן לגג לעשות מהן צימוקין - לא יאכל עד שיזמין. וכן אתה אומר באפרסקין וחבושין, ובשאר כל מיני פירות. מני? אילימא רבי יהודה - ומה היכא דלא דחייה בידים - אית ליה מוקצה, היכא דדחייה בידים לא כל שכן? אלא לאו - רבי שמעון היא! לעולם - רבי יהודה, ואוכל אצטריכא ליה, סלקא דעתך אמינא: כיון דקאכיל ואזיל - לא ליבעי הזמנה, קמשמע לן: כיון דהעלן לגג - אסוחי אסחי לדעתיה מינייהו. </w:t>
      </w:r>
      <w:r w:rsidR="00E333FF" w:rsidRPr="00702601">
        <w:rPr>
          <w:rFonts w:cs="Arial"/>
          <w:u w:val="single"/>
          <w:rtl/>
        </w:rPr>
        <w:t>בעא מיניה רבי שמעון בר רבי מר</w:t>
      </w:r>
      <w:r w:rsidR="00E333FF" w:rsidRPr="00C03858">
        <w:rPr>
          <w:rFonts w:cs="Arial"/>
          <w:u w:val="single"/>
          <w:rtl/>
        </w:rPr>
        <w:t>בי</w:t>
      </w:r>
      <w:r w:rsidR="00E333FF" w:rsidRPr="00E333FF">
        <w:rPr>
          <w:rFonts w:cs="Arial"/>
          <w:rtl/>
        </w:rPr>
        <w:t>:</w:t>
      </w:r>
      <w:r w:rsidR="00702601" w:rsidRPr="00702601">
        <w:rPr>
          <w:rtl/>
        </w:rPr>
        <w:t xml:space="preserve"> </w:t>
      </w:r>
      <w:r w:rsidR="00702601">
        <w:rPr>
          <w:rFonts w:hint="cs"/>
          <w:sz w:val="14"/>
          <w:szCs w:val="14"/>
          <w:rtl/>
        </w:rPr>
        <w:t>(מה:)</w:t>
      </w:r>
      <w:r w:rsidR="00702601">
        <w:rPr>
          <w:rFonts w:hint="cs"/>
          <w:sz w:val="14"/>
          <w:szCs w:val="14"/>
        </w:rPr>
        <w:t xml:space="preserve"> </w:t>
      </w:r>
      <w:r w:rsidR="00702601" w:rsidRPr="00702601">
        <w:rPr>
          <w:rFonts w:cs="Arial"/>
          <w:rtl/>
        </w:rPr>
        <w:t>פצעילי תמרה</w:t>
      </w:r>
      <w:r w:rsidR="00CC6124">
        <w:rPr>
          <w:rStyle w:val="a9"/>
          <w:rFonts w:cs="Arial"/>
          <w:rtl/>
        </w:rPr>
        <w:footnoteReference w:id="1817"/>
      </w:r>
      <w:r w:rsidR="00702601" w:rsidRPr="00702601">
        <w:rPr>
          <w:rFonts w:cs="Arial"/>
          <w:rtl/>
        </w:rPr>
        <w:t xml:space="preserve"> לרבי שמעון מהו? </w:t>
      </w:r>
      <w:r w:rsidR="00702601" w:rsidRPr="00702601">
        <w:rPr>
          <w:rFonts w:cs="Arial"/>
          <w:u w:val="single"/>
          <w:rtl/>
        </w:rPr>
        <w:t>אמר לו</w:t>
      </w:r>
      <w:r w:rsidR="00702601" w:rsidRPr="00702601">
        <w:rPr>
          <w:rFonts w:cs="Arial"/>
          <w:rtl/>
        </w:rPr>
        <w:t>: אין מוקצה לרבי שמעון אלא גרוגרות וצימוקין</w:t>
      </w:r>
      <w:r w:rsidR="00C03858">
        <w:rPr>
          <w:rStyle w:val="a9"/>
          <w:rFonts w:cs="Arial"/>
          <w:rtl/>
        </w:rPr>
        <w:footnoteReference w:id="1818"/>
      </w:r>
      <w:r w:rsidR="00702601" w:rsidRPr="00702601">
        <w:rPr>
          <w:rFonts w:cs="Arial"/>
          <w:rtl/>
        </w:rPr>
        <w:t xml:space="preserve"> בלבד.</w:t>
      </w:r>
      <w:r w:rsidR="00702601">
        <w:rPr>
          <w:rFonts w:cs="Arial" w:hint="cs"/>
          <w:rtl/>
        </w:rPr>
        <w:t>..</w:t>
      </w:r>
      <w:r w:rsidR="00702601" w:rsidRPr="00702601">
        <w:rPr>
          <w:rtl/>
        </w:rPr>
        <w:t xml:space="preserve"> </w:t>
      </w:r>
      <w:r w:rsidR="00702601" w:rsidRPr="00702601">
        <w:rPr>
          <w:rFonts w:cs="Arial"/>
          <w:u w:val="single"/>
          <w:rtl/>
        </w:rPr>
        <w:t>אמר רבה בר בר חנה אמר רבי יוחנן</w:t>
      </w:r>
      <w:r w:rsidR="00702601" w:rsidRPr="00702601">
        <w:rPr>
          <w:rFonts w:cs="Arial"/>
          <w:rtl/>
        </w:rPr>
        <w:t>: אמרו הלכה כרבי שמעון.</w:t>
      </w:r>
      <w:r w:rsidR="00702601">
        <w:rPr>
          <w:rFonts w:cs="Arial" w:hint="cs"/>
          <w:rtl/>
        </w:rPr>
        <w:t>..</w:t>
      </w:r>
      <w:r w:rsidR="00702601" w:rsidRPr="00702601">
        <w:rPr>
          <w:rFonts w:cs="Arial"/>
          <w:rtl/>
        </w:rPr>
        <w:t xml:space="preserve"> </w:t>
      </w:r>
      <w:r w:rsidR="00702601" w:rsidRPr="00702601">
        <w:rPr>
          <w:rFonts w:cs="Arial"/>
          <w:u w:val="single"/>
          <w:rtl/>
        </w:rPr>
        <w:t>כי אתא רב יצחק ברבי יוסף אמר רבי יוחנן</w:t>
      </w:r>
      <w:r w:rsidR="00702601" w:rsidRPr="00702601">
        <w:rPr>
          <w:rFonts w:cs="Arial"/>
          <w:rtl/>
        </w:rPr>
        <w:t xml:space="preserve">: הלכה כרבי יהודה, </w:t>
      </w:r>
      <w:r w:rsidR="00702601" w:rsidRPr="00702601">
        <w:rPr>
          <w:rFonts w:cs="Arial"/>
          <w:u w:val="single"/>
          <w:rtl/>
        </w:rPr>
        <w:t>ורבי יהושע בן לוי אמר</w:t>
      </w:r>
      <w:r w:rsidR="00702601" w:rsidRPr="00702601">
        <w:rPr>
          <w:rFonts w:cs="Arial"/>
          <w:rtl/>
        </w:rPr>
        <w:t xml:space="preserve">: הלכה כרבי שמעון. </w:t>
      </w:r>
      <w:r w:rsidR="00702601" w:rsidRPr="00702601">
        <w:rPr>
          <w:rFonts w:cs="Arial"/>
          <w:u w:val="single"/>
          <w:rtl/>
        </w:rPr>
        <w:t>אמר רב יוסף</w:t>
      </w:r>
      <w:r w:rsidR="00702601" w:rsidRPr="00702601">
        <w:rPr>
          <w:rFonts w:cs="Arial"/>
          <w:rtl/>
        </w:rPr>
        <w:t>: היינו דאמר רבה בר בר חנה אמר רבי יוחנן: אמרו הלכה כרבי שמעון. אמרו - וליה לא סבירא ליה</w:t>
      </w:r>
      <w:r w:rsidR="00C03858">
        <w:rPr>
          <w:rStyle w:val="a9"/>
          <w:rFonts w:cs="Arial"/>
          <w:rtl/>
        </w:rPr>
        <w:footnoteReference w:id="1819"/>
      </w:r>
      <w:r w:rsidR="00702601" w:rsidRPr="00702601">
        <w:rPr>
          <w:rFonts w:cs="Arial"/>
          <w:rtl/>
        </w:rPr>
        <w:t>.</w:t>
      </w:r>
      <w:r w:rsidR="00702601">
        <w:rPr>
          <w:rFonts w:cs="Arial" w:hint="cs"/>
          <w:rtl/>
        </w:rPr>
        <w:t xml:space="preserve">.. </w:t>
      </w:r>
      <w:r w:rsidR="00702601">
        <w:rPr>
          <w:rFonts w:cs="Arial" w:hint="cs"/>
          <w:sz w:val="14"/>
          <w:szCs w:val="14"/>
          <w:rtl/>
        </w:rPr>
        <w:t>(מו.)</w:t>
      </w:r>
      <w:r w:rsidR="0035588A" w:rsidRPr="0035588A">
        <w:rPr>
          <w:rtl/>
        </w:rPr>
        <w:t xml:space="preserve"> </w:t>
      </w:r>
      <w:r w:rsidR="0035588A" w:rsidRPr="0035588A">
        <w:rPr>
          <w:rFonts w:cs="Arial"/>
          <w:u w:val="single"/>
          <w:rtl/>
        </w:rPr>
        <w:t>רב מלכיא</w:t>
      </w:r>
      <w:r w:rsidR="0035588A" w:rsidRPr="0035588A">
        <w:rPr>
          <w:rFonts w:cs="Arial"/>
          <w:rtl/>
        </w:rPr>
        <w:t xml:space="preserve"> איקלע לבי רבי שמלאי וטילטל שרגא ואיקפד רבי שמלאי. </w:t>
      </w:r>
      <w:r w:rsidR="0035588A" w:rsidRPr="0035588A">
        <w:rPr>
          <w:rFonts w:cs="Arial"/>
          <w:u w:val="single"/>
          <w:rtl/>
        </w:rPr>
        <w:t>רבי יוסי גלילאה</w:t>
      </w:r>
      <w:r w:rsidR="0035588A" w:rsidRPr="0035588A">
        <w:rPr>
          <w:rFonts w:cs="Arial"/>
          <w:rtl/>
        </w:rPr>
        <w:t xml:space="preserve"> איקלע לאתריה דרבי יוסי ברבי חנינא, טילטל שרגא ואיקפד רבי יוסי ברבי חנינא. </w:t>
      </w:r>
      <w:r w:rsidR="0035588A" w:rsidRPr="0035588A">
        <w:rPr>
          <w:rFonts w:cs="Arial"/>
          <w:u w:val="single"/>
          <w:rtl/>
        </w:rPr>
        <w:t>רבי אבהו</w:t>
      </w:r>
      <w:r w:rsidR="0035588A" w:rsidRPr="0035588A">
        <w:rPr>
          <w:rFonts w:cs="Arial"/>
          <w:rtl/>
        </w:rPr>
        <w:t xml:space="preserve">, כי איקלע לאתריה דרבי יהושע בן לוי - הוה מטלטל שרגא, כי איקלע לאתריה דרבי יוחנן - לא הוה מטלטל שרגא. מה נפשך, אי כרבי יהודה סבירא ליה - ליעבד כרבי יהודה, אי כרבי שמעון סבירא ליה - ליעבד כרבי שמעון! לעולם כרבי שמעון סבירא ליה, ומשום כבודו דרבי יוחנן הוא דלא הוה עביד. </w:t>
      </w:r>
      <w:r w:rsidR="0035588A" w:rsidRPr="0035588A">
        <w:rPr>
          <w:rFonts w:cs="Arial"/>
          <w:u w:val="single"/>
          <w:rtl/>
        </w:rPr>
        <w:t>אמר רב יהודה</w:t>
      </w:r>
      <w:r w:rsidR="0035588A" w:rsidRPr="0035588A">
        <w:rPr>
          <w:rFonts w:cs="Arial"/>
          <w:rtl/>
        </w:rPr>
        <w:t xml:space="preserve">: שרגא דמשחא - שרי לטלטולה, דנפטא - אסור לטלטולה. </w:t>
      </w:r>
      <w:r w:rsidR="0035588A" w:rsidRPr="001E3718">
        <w:rPr>
          <w:rFonts w:cs="Arial"/>
          <w:u w:val="single"/>
          <w:rtl/>
        </w:rPr>
        <w:t>רבה ורב יוסף דאמרי תרוייהו</w:t>
      </w:r>
      <w:r w:rsidR="0035588A" w:rsidRPr="0035588A">
        <w:rPr>
          <w:rFonts w:cs="Arial"/>
          <w:rtl/>
        </w:rPr>
        <w:t xml:space="preserve">: דנפטא נמי שרי לטלטולה. רב אויא איקלע לבי רבא, הוה מאיסן בי כרעיה בטינא, אתיבי אפוריא קמיה דרבא. איקפד רבא, בעא לצעוריה. </w:t>
      </w:r>
      <w:r w:rsidR="0035588A" w:rsidRPr="001E3718">
        <w:rPr>
          <w:rFonts w:cs="Arial"/>
          <w:u w:val="single"/>
          <w:rtl/>
        </w:rPr>
        <w:t>אמר ליה</w:t>
      </w:r>
      <w:r w:rsidR="0035588A" w:rsidRPr="0035588A">
        <w:rPr>
          <w:rFonts w:cs="Arial"/>
          <w:rtl/>
        </w:rPr>
        <w:t xml:space="preserve">: מאי טעמא רבה ורב יוסף דאמרי תרוייהו שרגא דנפטא נמי שרי לטלטוליה? </w:t>
      </w:r>
      <w:r w:rsidR="0035588A" w:rsidRPr="001E3718">
        <w:rPr>
          <w:rFonts w:cs="Arial"/>
          <w:u w:val="single"/>
          <w:rtl/>
        </w:rPr>
        <w:t>אמר ליה</w:t>
      </w:r>
      <w:r w:rsidR="0035588A" w:rsidRPr="0035588A">
        <w:rPr>
          <w:rFonts w:cs="Arial"/>
          <w:rtl/>
        </w:rPr>
        <w:t xml:space="preserve">: הואיל וחזיא לכסויי בה מנא. אלא מעתה כל צרורות שבחצר מטלטלין, הואיל וחזיא לכסויי בהו מנא! </w:t>
      </w:r>
      <w:r w:rsidR="0035588A" w:rsidRPr="001E3718">
        <w:rPr>
          <w:rFonts w:cs="Arial"/>
          <w:u w:val="single"/>
          <w:rtl/>
        </w:rPr>
        <w:t>אמר ליה</w:t>
      </w:r>
      <w:r w:rsidR="0035588A" w:rsidRPr="0035588A">
        <w:rPr>
          <w:rFonts w:cs="Arial"/>
          <w:rtl/>
        </w:rPr>
        <w:t>: הא - איכא תורת כלי עליה</w:t>
      </w:r>
      <w:r w:rsidR="002347E9">
        <w:rPr>
          <w:rStyle w:val="a9"/>
          <w:rFonts w:cs="Arial"/>
          <w:rtl/>
        </w:rPr>
        <w:footnoteReference w:id="1820"/>
      </w:r>
      <w:r w:rsidR="0035588A" w:rsidRPr="0035588A">
        <w:rPr>
          <w:rFonts w:cs="Arial"/>
          <w:rtl/>
        </w:rPr>
        <w:t xml:space="preserve">, הני - ליכא תורת כלי עליה. </w:t>
      </w:r>
      <w:r w:rsidR="00707A0B" w:rsidRPr="00707A0B">
        <w:rPr>
          <w:rFonts w:cs="Arial" w:hint="cs"/>
          <w:sz w:val="16"/>
          <w:szCs w:val="16"/>
          <w:rtl/>
        </w:rPr>
        <w:t xml:space="preserve">(הב"י הביא את </w:t>
      </w:r>
      <w:r w:rsidR="00707A0B">
        <w:rPr>
          <w:rFonts w:cs="Arial" w:hint="cs"/>
          <w:sz w:val="16"/>
          <w:szCs w:val="16"/>
          <w:rtl/>
        </w:rPr>
        <w:t>מסקנת הגמ' בדף קנז ע"א דהלכה כרבי שמעון,</w:t>
      </w:r>
      <w:r w:rsidR="00707A0B" w:rsidRPr="00707A0B">
        <w:rPr>
          <w:rFonts w:cs="Arial" w:hint="cs"/>
          <w:sz w:val="16"/>
          <w:szCs w:val="16"/>
          <w:rtl/>
        </w:rPr>
        <w:t xml:space="preserve"> והקשה שהרי רואים שיש </w:t>
      </w:r>
      <w:r w:rsidR="009C2252">
        <w:rPr>
          <w:rFonts w:cs="Arial" w:hint="cs"/>
          <w:sz w:val="16"/>
          <w:szCs w:val="16"/>
          <w:rtl/>
        </w:rPr>
        <w:t xml:space="preserve">כמה אופנים דאית ליה </w:t>
      </w:r>
      <w:r w:rsidR="00707A0B" w:rsidRPr="00707A0B">
        <w:rPr>
          <w:rFonts w:cs="Arial" w:hint="cs"/>
          <w:sz w:val="16"/>
          <w:szCs w:val="16"/>
          <w:rtl/>
        </w:rPr>
        <w:t>מוקצה. והביא הב"י את כל הסוגיות לעיל</w:t>
      </w:r>
      <w:r w:rsidR="00707A0B">
        <w:rPr>
          <w:rFonts w:cs="Arial" w:hint="cs"/>
          <w:sz w:val="16"/>
          <w:szCs w:val="16"/>
          <w:rtl/>
        </w:rPr>
        <w:t xml:space="preserve"> ש</w:t>
      </w:r>
      <w:r w:rsidR="00156F50">
        <w:rPr>
          <w:rFonts w:cs="Arial" w:hint="cs"/>
          <w:sz w:val="16"/>
          <w:szCs w:val="16"/>
          <w:rtl/>
        </w:rPr>
        <w:t>שם מבואר כן,</w:t>
      </w:r>
      <w:r w:rsidR="00707A0B" w:rsidRPr="00707A0B">
        <w:rPr>
          <w:rFonts w:cs="Arial" w:hint="cs"/>
          <w:sz w:val="16"/>
          <w:szCs w:val="16"/>
          <w:rtl/>
        </w:rPr>
        <w:t xml:space="preserve"> וז"ל</w:t>
      </w:r>
      <w:r w:rsidR="00156F50">
        <w:rPr>
          <w:rFonts w:cs="Arial" w:hint="cs"/>
          <w:sz w:val="16"/>
          <w:szCs w:val="16"/>
          <w:rtl/>
        </w:rPr>
        <w:t xml:space="preserve"> הב"י</w:t>
      </w:r>
      <w:r w:rsidR="00707A0B" w:rsidRPr="00707A0B">
        <w:rPr>
          <w:rFonts w:cs="Arial" w:hint="cs"/>
          <w:sz w:val="16"/>
          <w:szCs w:val="16"/>
          <w:rtl/>
        </w:rPr>
        <w:t xml:space="preserve">- </w:t>
      </w:r>
      <w:r w:rsidR="000753D8" w:rsidRPr="00707A0B">
        <w:rPr>
          <w:rFonts w:cs="Arial"/>
          <w:sz w:val="16"/>
          <w:szCs w:val="16"/>
          <w:rtl/>
        </w:rPr>
        <w:t>בנר גדול שאינו עשוי ליכבות בשבת מודה רבי שמעון דאסור לטלטלה</w:t>
      </w:r>
      <w:r w:rsidR="000753D8" w:rsidRPr="00707A0B">
        <w:rPr>
          <w:rFonts w:cs="Arial" w:hint="cs"/>
          <w:sz w:val="16"/>
          <w:szCs w:val="16"/>
          <w:rtl/>
        </w:rPr>
        <w:t>...</w:t>
      </w:r>
      <w:r w:rsidR="000753D8" w:rsidRPr="00707A0B">
        <w:rPr>
          <w:rFonts w:cs="Arial"/>
          <w:sz w:val="16"/>
          <w:szCs w:val="16"/>
          <w:rtl/>
        </w:rPr>
        <w:t xml:space="preserve"> </w:t>
      </w:r>
      <w:r w:rsidR="004F7BCD" w:rsidRPr="00707A0B">
        <w:rPr>
          <w:rFonts w:cs="Arial"/>
          <w:sz w:val="16"/>
          <w:szCs w:val="16"/>
          <w:rtl/>
        </w:rPr>
        <w:t>וגם מודה רבי שמעון בצרורות ואבנים ומעות וכל דבר שאינו כלי ולא אוכל שאסור לטלטלו</w:t>
      </w:r>
      <w:r w:rsidR="00992355" w:rsidRPr="00707A0B">
        <w:rPr>
          <w:rFonts w:cs="Arial" w:hint="cs"/>
          <w:sz w:val="16"/>
          <w:szCs w:val="16"/>
          <w:rtl/>
        </w:rPr>
        <w:t>,</w:t>
      </w:r>
      <w:r w:rsidR="004F7BCD" w:rsidRPr="00707A0B">
        <w:rPr>
          <w:rFonts w:cs="Arial"/>
          <w:sz w:val="16"/>
          <w:szCs w:val="16"/>
          <w:rtl/>
        </w:rPr>
        <w:t xml:space="preserve"> כיון דלא חזי למידי</w:t>
      </w:r>
      <w:r w:rsidR="00010FAB" w:rsidRPr="00707A0B">
        <w:rPr>
          <w:rFonts w:cs="Arial" w:hint="cs"/>
          <w:sz w:val="16"/>
          <w:szCs w:val="16"/>
          <w:rtl/>
        </w:rPr>
        <w:t>.</w:t>
      </w:r>
      <w:r w:rsidR="000753D8" w:rsidRPr="00707A0B">
        <w:rPr>
          <w:rFonts w:cs="Arial" w:hint="cs"/>
          <w:sz w:val="16"/>
          <w:szCs w:val="16"/>
          <w:rtl/>
        </w:rPr>
        <w:t>..</w:t>
      </w:r>
      <w:r w:rsidR="000753D8" w:rsidRPr="00707A0B">
        <w:rPr>
          <w:rFonts w:cs="Arial"/>
          <w:sz w:val="16"/>
          <w:szCs w:val="16"/>
          <w:rtl/>
        </w:rPr>
        <w:t xml:space="preserve"> </w:t>
      </w:r>
      <w:r w:rsidR="000753D8" w:rsidRPr="00156F50">
        <w:rPr>
          <w:rFonts w:cs="Arial" w:hint="cs"/>
          <w:sz w:val="12"/>
          <w:szCs w:val="12"/>
          <w:rtl/>
        </w:rPr>
        <w:t xml:space="preserve">{וכן} </w:t>
      </w:r>
      <w:r w:rsidR="000753D8" w:rsidRPr="00707A0B">
        <w:rPr>
          <w:rFonts w:cs="Arial"/>
          <w:sz w:val="16"/>
          <w:szCs w:val="16"/>
          <w:rtl/>
        </w:rPr>
        <w:t xml:space="preserve">מעות לא חזו מידי </w:t>
      </w:r>
      <w:r w:rsidR="000753D8" w:rsidRPr="00707A0B">
        <w:rPr>
          <w:rFonts w:cs="Arial" w:hint="cs"/>
          <w:sz w:val="16"/>
          <w:szCs w:val="16"/>
          <w:rtl/>
        </w:rPr>
        <w:t>ו</w:t>
      </w:r>
      <w:r w:rsidR="000753D8" w:rsidRPr="00707A0B">
        <w:rPr>
          <w:rFonts w:cs="Arial"/>
          <w:sz w:val="16"/>
          <w:szCs w:val="16"/>
          <w:rtl/>
        </w:rPr>
        <w:t xml:space="preserve">מודה רבי שמעון דעודן עליו </w:t>
      </w:r>
      <w:r w:rsidR="009C2252">
        <w:rPr>
          <w:rFonts w:cs="Arial" w:hint="cs"/>
          <w:sz w:val="12"/>
          <w:szCs w:val="12"/>
          <w:rtl/>
        </w:rPr>
        <w:t xml:space="preserve">{על </w:t>
      </w:r>
      <w:r w:rsidR="002B2EB0">
        <w:rPr>
          <w:rFonts w:cs="Arial" w:hint="cs"/>
          <w:sz w:val="12"/>
          <w:szCs w:val="12"/>
          <w:rtl/>
        </w:rPr>
        <w:t>'</w:t>
      </w:r>
      <w:r w:rsidR="009C2252">
        <w:rPr>
          <w:rFonts w:cs="Arial" w:hint="cs"/>
          <w:sz w:val="12"/>
          <w:szCs w:val="12"/>
          <w:rtl/>
        </w:rPr>
        <w:t>המוכני</w:t>
      </w:r>
      <w:r w:rsidR="002B2EB0">
        <w:rPr>
          <w:rFonts w:cs="Arial" w:hint="cs"/>
          <w:sz w:val="12"/>
          <w:szCs w:val="12"/>
          <w:rtl/>
        </w:rPr>
        <w:t>' - כסא גלגלים</w:t>
      </w:r>
      <w:r w:rsidR="009C2252">
        <w:rPr>
          <w:rFonts w:cs="Arial" w:hint="cs"/>
          <w:sz w:val="12"/>
          <w:szCs w:val="12"/>
          <w:rtl/>
        </w:rPr>
        <w:t xml:space="preserve">} </w:t>
      </w:r>
      <w:r w:rsidR="000753D8" w:rsidRPr="00707A0B">
        <w:rPr>
          <w:rFonts w:cs="Arial"/>
          <w:sz w:val="16"/>
          <w:szCs w:val="16"/>
          <w:rtl/>
        </w:rPr>
        <w:t>אסור</w:t>
      </w:r>
      <w:r w:rsidR="000753D8" w:rsidRPr="00707A0B">
        <w:rPr>
          <w:rFonts w:cs="Arial" w:hint="cs"/>
          <w:sz w:val="16"/>
          <w:szCs w:val="16"/>
          <w:rtl/>
        </w:rPr>
        <w:t>...</w:t>
      </w:r>
      <w:r w:rsidR="0035588A" w:rsidRPr="00707A0B">
        <w:rPr>
          <w:rFonts w:cs="Arial" w:hint="cs"/>
          <w:sz w:val="16"/>
          <w:szCs w:val="16"/>
          <w:rtl/>
        </w:rPr>
        <w:t xml:space="preserve"> </w:t>
      </w:r>
      <w:r w:rsidR="004F7BCD" w:rsidRPr="00707A0B">
        <w:rPr>
          <w:rFonts w:cs="Arial"/>
          <w:sz w:val="16"/>
          <w:szCs w:val="16"/>
          <w:rtl/>
        </w:rPr>
        <w:t>ועוד כתב שם</w:t>
      </w:r>
      <w:r w:rsidR="00156F50">
        <w:rPr>
          <w:rFonts w:cs="Arial" w:hint="cs"/>
          <w:sz w:val="16"/>
          <w:szCs w:val="16"/>
          <w:rtl/>
        </w:rPr>
        <w:t xml:space="preserve"> </w:t>
      </w:r>
      <w:r w:rsidR="00156F50" w:rsidRPr="00707A0B">
        <w:rPr>
          <w:rFonts w:cs="Arial"/>
          <w:sz w:val="16"/>
          <w:szCs w:val="16"/>
          <w:rtl/>
        </w:rPr>
        <w:t>(</w:t>
      </w:r>
      <w:r w:rsidR="00156F50">
        <w:rPr>
          <w:rFonts w:cs="Arial" w:hint="cs"/>
          <w:sz w:val="16"/>
          <w:szCs w:val="16"/>
          <w:rtl/>
        </w:rPr>
        <w:t xml:space="preserve">רש"י </w:t>
      </w:r>
      <w:r w:rsidR="00156F50" w:rsidRPr="00707A0B">
        <w:rPr>
          <w:rFonts w:cs="Arial"/>
          <w:sz w:val="16"/>
          <w:szCs w:val="16"/>
          <w:rtl/>
        </w:rPr>
        <w:t>מה.</w:t>
      </w:r>
      <w:r w:rsidR="00156F50" w:rsidRPr="00707A0B">
        <w:rPr>
          <w:rFonts w:cs="Arial" w:hint="cs"/>
          <w:sz w:val="16"/>
          <w:szCs w:val="16"/>
          <w:rtl/>
        </w:rPr>
        <w:t xml:space="preserve"> ד"ה אין מוקצה</w:t>
      </w:r>
      <w:r w:rsidR="00156F50" w:rsidRPr="00707A0B">
        <w:rPr>
          <w:rFonts w:cs="Arial"/>
          <w:sz w:val="16"/>
          <w:szCs w:val="16"/>
          <w:rtl/>
        </w:rPr>
        <w:t>)</w:t>
      </w:r>
      <w:r w:rsidR="00156F50">
        <w:rPr>
          <w:rFonts w:cs="Arial" w:hint="cs"/>
          <w:sz w:val="16"/>
          <w:szCs w:val="16"/>
          <w:rtl/>
        </w:rPr>
        <w:t xml:space="preserve"> </w:t>
      </w:r>
      <w:r w:rsidR="004F7BCD" w:rsidRPr="00707A0B">
        <w:rPr>
          <w:rFonts w:cs="Arial"/>
          <w:sz w:val="16"/>
          <w:szCs w:val="16"/>
          <w:rtl/>
        </w:rPr>
        <w:t xml:space="preserve">בסמוך אהא דאמרינן אין מוקצה לרבי שמעון </w:t>
      </w:r>
      <w:r w:rsidR="00E333FF" w:rsidRPr="00707A0B">
        <w:rPr>
          <w:rFonts w:cs="Arial" w:hint="cs"/>
          <w:sz w:val="16"/>
          <w:szCs w:val="16"/>
          <w:rtl/>
        </w:rPr>
        <w:t xml:space="preserve">- </w:t>
      </w:r>
      <w:r w:rsidR="004F7BCD" w:rsidRPr="00707A0B">
        <w:rPr>
          <w:rFonts w:cs="Arial"/>
          <w:sz w:val="16"/>
          <w:szCs w:val="16"/>
          <w:rtl/>
        </w:rPr>
        <w:t>בדבר הראוי</w:t>
      </w:r>
      <w:r w:rsidR="009C2252">
        <w:rPr>
          <w:rFonts w:cs="Arial" w:hint="cs"/>
          <w:sz w:val="16"/>
          <w:szCs w:val="16"/>
          <w:rtl/>
        </w:rPr>
        <w:t>.</w:t>
      </w:r>
      <w:r w:rsidR="004F7BCD" w:rsidRPr="00707A0B">
        <w:rPr>
          <w:rFonts w:cs="Arial"/>
          <w:sz w:val="16"/>
          <w:szCs w:val="16"/>
          <w:rtl/>
        </w:rPr>
        <w:t xml:space="preserve"> כלומר</w:t>
      </w:r>
      <w:r w:rsidR="009C2252">
        <w:rPr>
          <w:rFonts w:cs="Arial" w:hint="cs"/>
          <w:sz w:val="16"/>
          <w:szCs w:val="16"/>
          <w:rtl/>
        </w:rPr>
        <w:t>,</w:t>
      </w:r>
      <w:r w:rsidR="004F7BCD" w:rsidRPr="00707A0B">
        <w:rPr>
          <w:rFonts w:cs="Arial"/>
          <w:sz w:val="16"/>
          <w:szCs w:val="16"/>
          <w:rtl/>
        </w:rPr>
        <w:t xml:space="preserve"> אבל בדבר שאינו ראוי אית ליה מוקצה</w:t>
      </w:r>
      <w:r w:rsidR="00010FAB" w:rsidRPr="00707A0B">
        <w:rPr>
          <w:rFonts w:cs="Arial" w:hint="cs"/>
          <w:sz w:val="16"/>
          <w:szCs w:val="16"/>
          <w:rtl/>
        </w:rPr>
        <w:t>.</w:t>
      </w:r>
      <w:r w:rsidR="001E3718" w:rsidRPr="00707A0B">
        <w:rPr>
          <w:rFonts w:cs="Arial" w:hint="cs"/>
          <w:sz w:val="16"/>
          <w:szCs w:val="16"/>
          <w:rtl/>
        </w:rPr>
        <w:t>..</w:t>
      </w:r>
      <w:r w:rsidR="004F7BCD" w:rsidRPr="00707A0B">
        <w:rPr>
          <w:rFonts w:cs="Arial"/>
          <w:sz w:val="16"/>
          <w:szCs w:val="16"/>
          <w:rtl/>
        </w:rPr>
        <w:t xml:space="preserve"> וכן כתב המרדכי בריש ביצה (סי' תרמב) דמודה רבי שמעון במוקצה דאבנים</w:t>
      </w:r>
      <w:r w:rsidR="00010FAB" w:rsidRPr="00707A0B">
        <w:rPr>
          <w:rFonts w:cs="Arial" w:hint="cs"/>
          <w:sz w:val="16"/>
          <w:szCs w:val="16"/>
          <w:rtl/>
        </w:rPr>
        <w:t>.</w:t>
      </w:r>
      <w:r w:rsidR="004F7BCD" w:rsidRPr="00707A0B">
        <w:rPr>
          <w:rFonts w:cs="Arial"/>
          <w:sz w:val="16"/>
          <w:szCs w:val="16"/>
          <w:rtl/>
        </w:rPr>
        <w:t xml:space="preserve"> </w:t>
      </w:r>
      <w:r w:rsidR="004F7BCD" w:rsidRPr="009C2252">
        <w:rPr>
          <w:rFonts w:cs="Arial"/>
          <w:b/>
          <w:bCs/>
          <w:sz w:val="16"/>
          <w:szCs w:val="16"/>
          <w:rtl/>
        </w:rPr>
        <w:t>ואם כן כי אמרינן דרבי שמעון לית ליה מוקצה היינו לומר דמידי דמיתסר בין השמשות ואח</w:t>
      </w:r>
      <w:r w:rsidR="007B514A" w:rsidRPr="009C2252">
        <w:rPr>
          <w:rFonts w:cs="Arial" w:hint="cs"/>
          <w:b/>
          <w:bCs/>
          <w:sz w:val="16"/>
          <w:szCs w:val="16"/>
          <w:rtl/>
        </w:rPr>
        <w:t>"</w:t>
      </w:r>
      <w:r w:rsidR="004F7BCD" w:rsidRPr="009C2252">
        <w:rPr>
          <w:rFonts w:cs="Arial"/>
          <w:b/>
          <w:bCs/>
          <w:sz w:val="16"/>
          <w:szCs w:val="16"/>
          <w:rtl/>
        </w:rPr>
        <w:t>כ נסתלק ממנו דבר האוסרו</w:t>
      </w:r>
      <w:r w:rsidR="00010FAB" w:rsidRPr="009C2252">
        <w:rPr>
          <w:rFonts w:cs="Arial" w:hint="cs"/>
          <w:b/>
          <w:bCs/>
          <w:sz w:val="16"/>
          <w:szCs w:val="16"/>
          <w:rtl/>
        </w:rPr>
        <w:t>,</w:t>
      </w:r>
      <w:r w:rsidR="004F7BCD" w:rsidRPr="009C2252">
        <w:rPr>
          <w:rFonts w:cs="Arial"/>
          <w:b/>
          <w:bCs/>
          <w:sz w:val="16"/>
          <w:szCs w:val="16"/>
          <w:rtl/>
        </w:rPr>
        <w:t xml:space="preserve"> והוא דבר שהוא עשוי שיסתלק איסורו בשבת</w:t>
      </w:r>
      <w:r w:rsidR="00010FAB" w:rsidRPr="009C2252">
        <w:rPr>
          <w:rFonts w:cs="Arial" w:hint="cs"/>
          <w:b/>
          <w:bCs/>
          <w:sz w:val="16"/>
          <w:szCs w:val="16"/>
          <w:rtl/>
        </w:rPr>
        <w:t>,</w:t>
      </w:r>
      <w:r w:rsidR="004F7BCD" w:rsidRPr="009C2252">
        <w:rPr>
          <w:rFonts w:cs="Arial"/>
          <w:b/>
          <w:bCs/>
          <w:sz w:val="16"/>
          <w:szCs w:val="16"/>
          <w:rtl/>
        </w:rPr>
        <w:t xml:space="preserve"> דרבי שמעון שרי ליה</w:t>
      </w:r>
      <w:r w:rsidR="00D41FA7" w:rsidRPr="009C2252">
        <w:rPr>
          <w:rFonts w:cs="Arial" w:hint="cs"/>
          <w:b/>
          <w:bCs/>
          <w:sz w:val="16"/>
          <w:szCs w:val="16"/>
          <w:rtl/>
        </w:rPr>
        <w:t>,</w:t>
      </w:r>
      <w:r w:rsidR="004F7BCD" w:rsidRPr="009C2252">
        <w:rPr>
          <w:rFonts w:cs="Arial"/>
          <w:b/>
          <w:bCs/>
          <w:sz w:val="16"/>
          <w:szCs w:val="16"/>
          <w:rtl/>
        </w:rPr>
        <w:t xml:space="preserve"> דהא לא אסח דעתיה מיניה כיון שהוא עשוי להסתלק בשבת</w:t>
      </w:r>
      <w:r w:rsidR="00010FAB" w:rsidRPr="009C2252">
        <w:rPr>
          <w:rFonts w:cs="Arial" w:hint="cs"/>
          <w:b/>
          <w:bCs/>
          <w:sz w:val="16"/>
          <w:szCs w:val="16"/>
          <w:rtl/>
        </w:rPr>
        <w:t>,</w:t>
      </w:r>
      <w:r w:rsidR="004F7BCD" w:rsidRPr="009C2252">
        <w:rPr>
          <w:rFonts w:cs="Arial"/>
          <w:b/>
          <w:bCs/>
          <w:sz w:val="16"/>
          <w:szCs w:val="16"/>
          <w:rtl/>
        </w:rPr>
        <w:t xml:space="preserve"> והוא שיהיה כלי או אוכל או מידי דחזי לאשתמושי ביה</w:t>
      </w:r>
      <w:r w:rsidR="00010FAB" w:rsidRPr="00707A0B">
        <w:rPr>
          <w:rFonts w:cs="Arial" w:hint="cs"/>
          <w:sz w:val="16"/>
          <w:szCs w:val="16"/>
          <w:rtl/>
        </w:rPr>
        <w:t>.</w:t>
      </w:r>
      <w:r w:rsidR="004F7BCD" w:rsidRPr="00707A0B">
        <w:rPr>
          <w:rFonts w:cs="Arial"/>
          <w:sz w:val="16"/>
          <w:szCs w:val="16"/>
          <w:rtl/>
        </w:rPr>
        <w:t xml:space="preserve"> ולדידן כל כהאי גוונא </w:t>
      </w:r>
      <w:r w:rsidR="00010FAB" w:rsidRPr="00707A0B">
        <w:rPr>
          <w:rFonts w:cs="Arial" w:hint="cs"/>
          <w:sz w:val="16"/>
          <w:szCs w:val="16"/>
          <w:rtl/>
        </w:rPr>
        <w:t xml:space="preserve">- </w:t>
      </w:r>
      <w:r w:rsidR="004F7BCD" w:rsidRPr="00707A0B">
        <w:rPr>
          <w:rFonts w:cs="Arial"/>
          <w:sz w:val="16"/>
          <w:szCs w:val="16"/>
          <w:rtl/>
        </w:rPr>
        <w:t>אסור</w:t>
      </w:r>
      <w:r w:rsidR="00010FAB" w:rsidRPr="00707A0B">
        <w:rPr>
          <w:rFonts w:cs="Arial" w:hint="cs"/>
          <w:sz w:val="16"/>
          <w:szCs w:val="16"/>
          <w:rtl/>
        </w:rPr>
        <w:t>,</w:t>
      </w:r>
      <w:r w:rsidR="004F7BCD" w:rsidRPr="00707A0B">
        <w:rPr>
          <w:rFonts w:cs="Arial"/>
          <w:sz w:val="16"/>
          <w:szCs w:val="16"/>
          <w:rtl/>
        </w:rPr>
        <w:t xml:space="preserve"> דמגו דאתקצאי לבין השמשות אתקצאי לכולי יומא</w:t>
      </w:r>
      <w:r w:rsidR="00156F50">
        <w:rPr>
          <w:rFonts w:cs="Arial" w:hint="cs"/>
          <w:sz w:val="16"/>
          <w:szCs w:val="16"/>
          <w:rtl/>
        </w:rPr>
        <w:t>.</w:t>
      </w:r>
      <w:r w:rsidR="004F7BCD" w:rsidRPr="00707A0B">
        <w:rPr>
          <w:rFonts w:cs="Arial"/>
          <w:sz w:val="16"/>
          <w:szCs w:val="16"/>
          <w:rtl/>
        </w:rPr>
        <w:t xml:space="preserve"> </w:t>
      </w:r>
      <w:r w:rsidR="004F7BCD" w:rsidRPr="002B2EB0">
        <w:rPr>
          <w:rFonts w:cs="Arial"/>
          <w:b/>
          <w:bCs/>
          <w:sz w:val="16"/>
          <w:szCs w:val="16"/>
          <w:rtl/>
        </w:rPr>
        <w:t>אבל כל שאר מוקצה מחמת איסור</w:t>
      </w:r>
      <w:r w:rsidR="00D41FA7" w:rsidRPr="002B2EB0">
        <w:rPr>
          <w:rFonts w:cs="Arial" w:hint="cs"/>
          <w:b/>
          <w:bCs/>
          <w:sz w:val="16"/>
          <w:szCs w:val="16"/>
          <w:rtl/>
        </w:rPr>
        <w:t>,</w:t>
      </w:r>
      <w:r w:rsidR="004F7BCD" w:rsidRPr="002B2EB0">
        <w:rPr>
          <w:rFonts w:cs="Arial"/>
          <w:b/>
          <w:bCs/>
          <w:sz w:val="16"/>
          <w:szCs w:val="16"/>
          <w:rtl/>
        </w:rPr>
        <w:t xml:space="preserve"> בין אם הוא משום דלא חזי לתשמיש היתר מצד עצמו או מצד דבר שעליו</w:t>
      </w:r>
      <w:r w:rsidR="00010FAB" w:rsidRPr="002B2EB0">
        <w:rPr>
          <w:rFonts w:cs="Arial" w:hint="cs"/>
          <w:b/>
          <w:bCs/>
          <w:sz w:val="16"/>
          <w:szCs w:val="16"/>
          <w:rtl/>
        </w:rPr>
        <w:t>,</w:t>
      </w:r>
      <w:r w:rsidR="004F7BCD" w:rsidRPr="002B2EB0">
        <w:rPr>
          <w:rFonts w:cs="Arial"/>
          <w:b/>
          <w:bCs/>
          <w:sz w:val="16"/>
          <w:szCs w:val="16"/>
          <w:rtl/>
        </w:rPr>
        <w:t xml:space="preserve"> בין אם הוא מפני שאין תורת כלי עליו ואינו אוכל</w:t>
      </w:r>
      <w:r w:rsidR="00010FAB" w:rsidRPr="002B2EB0">
        <w:rPr>
          <w:rFonts w:cs="Arial" w:hint="cs"/>
          <w:b/>
          <w:bCs/>
          <w:sz w:val="16"/>
          <w:szCs w:val="16"/>
          <w:rtl/>
        </w:rPr>
        <w:t xml:space="preserve"> -</w:t>
      </w:r>
      <w:r w:rsidR="004F7BCD" w:rsidRPr="002B2EB0">
        <w:rPr>
          <w:rFonts w:cs="Arial"/>
          <w:b/>
          <w:bCs/>
          <w:sz w:val="16"/>
          <w:szCs w:val="16"/>
          <w:rtl/>
        </w:rPr>
        <w:t xml:space="preserve"> מודה רבי שמעון דהוי מוקצה</w:t>
      </w:r>
      <w:r w:rsidR="00010FAB" w:rsidRPr="002B2EB0">
        <w:rPr>
          <w:rFonts w:cs="Arial" w:hint="cs"/>
          <w:b/>
          <w:bCs/>
          <w:sz w:val="16"/>
          <w:szCs w:val="16"/>
          <w:rtl/>
        </w:rPr>
        <w:t>.</w:t>
      </w:r>
      <w:r w:rsidR="004F7BCD" w:rsidRPr="002B2EB0">
        <w:rPr>
          <w:rFonts w:cs="Arial"/>
          <w:b/>
          <w:bCs/>
          <w:sz w:val="16"/>
          <w:szCs w:val="16"/>
          <w:rtl/>
        </w:rPr>
        <w:t xml:space="preserve"> וכן לטלטל כלי שמלאכתו לאיסור מחמה לצל מודה דאסור</w:t>
      </w:r>
      <w:r w:rsidR="00010FAB" w:rsidRPr="00707A0B">
        <w:rPr>
          <w:rFonts w:cs="Arial" w:hint="cs"/>
          <w:sz w:val="16"/>
          <w:szCs w:val="16"/>
          <w:rtl/>
        </w:rPr>
        <w:t>,</w:t>
      </w:r>
      <w:r w:rsidR="004F7BCD" w:rsidRPr="00707A0B">
        <w:rPr>
          <w:rFonts w:cs="Arial"/>
          <w:sz w:val="16"/>
          <w:szCs w:val="16"/>
          <w:rtl/>
        </w:rPr>
        <w:t xml:space="preserve"> דאי לא תימא הכי קשיא הלכתא אהלכתא</w:t>
      </w:r>
      <w:r w:rsidR="00010FAB" w:rsidRPr="00707A0B">
        <w:rPr>
          <w:rFonts w:cs="Arial" w:hint="cs"/>
          <w:sz w:val="16"/>
          <w:szCs w:val="16"/>
          <w:rtl/>
        </w:rPr>
        <w:t>,</w:t>
      </w:r>
      <w:r w:rsidR="004F7BCD" w:rsidRPr="00707A0B">
        <w:rPr>
          <w:rFonts w:cs="Arial"/>
          <w:sz w:val="16"/>
          <w:szCs w:val="16"/>
          <w:rtl/>
        </w:rPr>
        <w:t xml:space="preserve"> דקיי</w:t>
      </w:r>
      <w:r w:rsidR="00156F50">
        <w:rPr>
          <w:rFonts w:cs="Arial" w:hint="cs"/>
          <w:sz w:val="16"/>
          <w:szCs w:val="16"/>
          <w:rtl/>
        </w:rPr>
        <w:t>"</w:t>
      </w:r>
      <w:r w:rsidR="004F7BCD" w:rsidRPr="00707A0B">
        <w:rPr>
          <w:rFonts w:cs="Arial"/>
          <w:sz w:val="16"/>
          <w:szCs w:val="16"/>
          <w:rtl/>
        </w:rPr>
        <w:t>ל כרבי שמעון (מה.) דלית ליה מוקצה אלא בגרוגרות וצמוקים</w:t>
      </w:r>
      <w:r w:rsidR="00010FAB" w:rsidRPr="00707A0B">
        <w:rPr>
          <w:rFonts w:cs="Arial" w:hint="cs"/>
          <w:sz w:val="16"/>
          <w:szCs w:val="16"/>
          <w:rtl/>
        </w:rPr>
        <w:t>,</w:t>
      </w:r>
      <w:r w:rsidR="004F7BCD" w:rsidRPr="00707A0B">
        <w:rPr>
          <w:rFonts w:cs="Arial"/>
          <w:sz w:val="16"/>
          <w:szCs w:val="16"/>
          <w:rtl/>
        </w:rPr>
        <w:t xml:space="preserve"> וקיי</w:t>
      </w:r>
      <w:r w:rsidR="00D41FA7">
        <w:rPr>
          <w:rFonts w:cs="Arial" w:hint="cs"/>
          <w:sz w:val="16"/>
          <w:szCs w:val="16"/>
          <w:rtl/>
        </w:rPr>
        <w:t>"</w:t>
      </w:r>
      <w:r w:rsidR="004F7BCD" w:rsidRPr="00707A0B">
        <w:rPr>
          <w:rFonts w:cs="Arial"/>
          <w:sz w:val="16"/>
          <w:szCs w:val="16"/>
          <w:rtl/>
        </w:rPr>
        <w:t>ל דכמה דברים אסורים משום מוקצה מחמת איסור וכמו שנתבאר בסימן ש"ח (סג:)</w:t>
      </w:r>
      <w:r w:rsidR="00D41FA7">
        <w:rPr>
          <w:rFonts w:cs="Arial" w:hint="cs"/>
          <w:sz w:val="16"/>
          <w:szCs w:val="16"/>
          <w:rtl/>
        </w:rPr>
        <w:t>.</w:t>
      </w:r>
      <w:r w:rsidR="004F7BCD" w:rsidRPr="00707A0B">
        <w:rPr>
          <w:rFonts w:cs="Arial"/>
          <w:sz w:val="16"/>
          <w:szCs w:val="16"/>
          <w:rtl/>
        </w:rPr>
        <w:t xml:space="preserve"> הילכך על כרחך צריך לומר דרבי שמעון אית ליה מוקצה מחמת איסור כדפרישית</w:t>
      </w:r>
      <w:r w:rsidR="00010FAB" w:rsidRPr="00707A0B">
        <w:rPr>
          <w:rFonts w:cs="Arial" w:hint="cs"/>
          <w:sz w:val="16"/>
          <w:szCs w:val="16"/>
          <w:rtl/>
        </w:rPr>
        <w:t>.</w:t>
      </w:r>
      <w:r w:rsidR="004F7BCD" w:rsidRPr="00707A0B">
        <w:rPr>
          <w:rFonts w:cs="Arial"/>
          <w:sz w:val="16"/>
          <w:szCs w:val="16"/>
          <w:rtl/>
        </w:rPr>
        <w:t xml:space="preserve"> וזהו שכתב רבינו </w:t>
      </w:r>
      <w:r w:rsidR="002B2EB0">
        <w:rPr>
          <w:rFonts w:cs="Arial" w:hint="cs"/>
          <w:sz w:val="16"/>
          <w:szCs w:val="16"/>
          <w:rtl/>
        </w:rPr>
        <w:t>'</w:t>
      </w:r>
      <w:r w:rsidR="004F7BCD" w:rsidRPr="00707A0B">
        <w:rPr>
          <w:rFonts w:cs="Arial"/>
          <w:sz w:val="16"/>
          <w:szCs w:val="16"/>
          <w:rtl/>
        </w:rPr>
        <w:t>אבל בכל שאר דבר קיי</w:t>
      </w:r>
      <w:r w:rsidR="00D41FA7">
        <w:rPr>
          <w:rFonts w:cs="Arial" w:hint="cs"/>
          <w:sz w:val="16"/>
          <w:szCs w:val="16"/>
          <w:rtl/>
        </w:rPr>
        <w:t>"</w:t>
      </w:r>
      <w:r w:rsidR="004F7BCD" w:rsidRPr="00707A0B">
        <w:rPr>
          <w:rFonts w:cs="Arial"/>
          <w:sz w:val="16"/>
          <w:szCs w:val="16"/>
          <w:rtl/>
        </w:rPr>
        <w:t>ל כרבי שמעון</w:t>
      </w:r>
      <w:r w:rsidR="002B2EB0">
        <w:rPr>
          <w:rFonts w:cs="Arial" w:hint="cs"/>
          <w:sz w:val="16"/>
          <w:szCs w:val="16"/>
          <w:rtl/>
        </w:rPr>
        <w:t>'</w:t>
      </w:r>
      <w:r w:rsidR="00EB5726" w:rsidRPr="00707A0B">
        <w:rPr>
          <w:rFonts w:cs="Arial" w:hint="cs"/>
          <w:sz w:val="16"/>
          <w:szCs w:val="16"/>
          <w:rtl/>
        </w:rPr>
        <w:t>,</w:t>
      </w:r>
      <w:r w:rsidR="004F7BCD" w:rsidRPr="00707A0B">
        <w:rPr>
          <w:rFonts w:cs="Arial"/>
          <w:sz w:val="16"/>
          <w:szCs w:val="16"/>
          <w:rtl/>
        </w:rPr>
        <w:t xml:space="preserve"> כלומר דגם במוקצה מחמת איסור קיי</w:t>
      </w:r>
      <w:r w:rsidR="00D41FA7">
        <w:rPr>
          <w:rFonts w:cs="Arial" w:hint="cs"/>
          <w:sz w:val="16"/>
          <w:szCs w:val="16"/>
          <w:rtl/>
        </w:rPr>
        <w:t>"</w:t>
      </w:r>
      <w:r w:rsidR="004F7BCD" w:rsidRPr="00707A0B">
        <w:rPr>
          <w:rFonts w:cs="Arial"/>
          <w:sz w:val="16"/>
          <w:szCs w:val="16"/>
          <w:rtl/>
        </w:rPr>
        <w:t>ל כרבי שמעון</w:t>
      </w:r>
      <w:r w:rsidR="002B2EB0">
        <w:rPr>
          <w:rFonts w:cs="Arial" w:hint="cs"/>
          <w:sz w:val="16"/>
          <w:szCs w:val="16"/>
          <w:rtl/>
        </w:rPr>
        <w:t>,</w:t>
      </w:r>
      <w:r w:rsidR="004F7BCD" w:rsidRPr="00707A0B">
        <w:rPr>
          <w:rFonts w:cs="Arial"/>
          <w:sz w:val="16"/>
          <w:szCs w:val="16"/>
          <w:rtl/>
        </w:rPr>
        <w:t xml:space="preserve"> חוץ מנר שהדליקו בו וכדפרישית</w:t>
      </w:r>
      <w:r w:rsidR="00EB5726" w:rsidRPr="00707A0B">
        <w:rPr>
          <w:rFonts w:cs="Arial" w:hint="cs"/>
          <w:sz w:val="16"/>
          <w:szCs w:val="16"/>
          <w:rtl/>
        </w:rPr>
        <w:t>.</w:t>
      </w:r>
      <w:r w:rsidR="004F7BCD" w:rsidRPr="00707A0B">
        <w:rPr>
          <w:rFonts w:cs="Arial"/>
          <w:sz w:val="16"/>
          <w:szCs w:val="16"/>
          <w:rtl/>
        </w:rPr>
        <w:t xml:space="preserve"> ומידי דחזי לאכילה אע</w:t>
      </w:r>
      <w:r w:rsidR="007B514A" w:rsidRPr="00707A0B">
        <w:rPr>
          <w:rFonts w:cs="Arial" w:hint="cs"/>
          <w:sz w:val="16"/>
          <w:szCs w:val="16"/>
          <w:rtl/>
        </w:rPr>
        <w:t>"</w:t>
      </w:r>
      <w:r w:rsidR="004F7BCD" w:rsidRPr="00707A0B">
        <w:rPr>
          <w:rFonts w:cs="Arial"/>
          <w:sz w:val="16"/>
          <w:szCs w:val="16"/>
          <w:rtl/>
        </w:rPr>
        <w:t>ג דדחייה בידים כגון (מה.) חיטים שזרען וביצים שתחת התרנגולת אע</w:t>
      </w:r>
      <w:r w:rsidR="00EB5726" w:rsidRPr="00707A0B">
        <w:rPr>
          <w:rFonts w:cs="Arial" w:hint="cs"/>
          <w:sz w:val="16"/>
          <w:szCs w:val="16"/>
          <w:rtl/>
        </w:rPr>
        <w:t>"</w:t>
      </w:r>
      <w:r w:rsidR="004F7BCD" w:rsidRPr="00707A0B">
        <w:rPr>
          <w:rFonts w:cs="Arial"/>
          <w:sz w:val="16"/>
          <w:szCs w:val="16"/>
          <w:rtl/>
        </w:rPr>
        <w:t>ג דדחינהו בידים לית ביה מוקצה</w:t>
      </w:r>
      <w:r w:rsidR="00F2101F">
        <w:rPr>
          <w:rFonts w:cs="Arial" w:hint="cs"/>
          <w:sz w:val="16"/>
          <w:szCs w:val="16"/>
          <w:rtl/>
        </w:rPr>
        <w:t>. עכ"ל הב"י.</w:t>
      </w:r>
      <w:r w:rsidR="00707A0B">
        <w:rPr>
          <w:rFonts w:cs="Arial" w:hint="cs"/>
          <w:sz w:val="16"/>
          <w:szCs w:val="16"/>
          <w:rtl/>
        </w:rPr>
        <w:t>)</w:t>
      </w:r>
      <w:r w:rsidR="004F7BCD">
        <w:rPr>
          <w:rFonts w:cs="Arial"/>
          <w:rtl/>
        </w:rPr>
        <w:t xml:space="preserve"> </w:t>
      </w:r>
    </w:p>
    <w:p w14:paraId="00A80DBA" w14:textId="2F861407" w:rsidR="00C41565" w:rsidRDefault="00C41565" w:rsidP="00434A6A">
      <w:pPr>
        <w:rPr>
          <w:rFonts w:cs="Arial"/>
          <w:rtl/>
        </w:rPr>
      </w:pPr>
      <w:r w:rsidRPr="00C41565">
        <w:rPr>
          <w:rFonts w:cs="Arial" w:hint="cs"/>
          <w:b/>
          <w:bCs/>
          <w:rtl/>
        </w:rPr>
        <w:t xml:space="preserve">שבת </w:t>
      </w:r>
      <w:r w:rsidRPr="00C41565">
        <w:rPr>
          <w:rFonts w:cs="Arial" w:hint="cs"/>
          <w:b/>
          <w:bCs/>
          <w:sz w:val="16"/>
          <w:szCs w:val="16"/>
          <w:rtl/>
        </w:rPr>
        <w:t>(ספ"ק)</w:t>
      </w:r>
      <w:r w:rsidRPr="00C41565">
        <w:rPr>
          <w:rFonts w:cs="Arial" w:hint="cs"/>
          <w:b/>
          <w:bCs/>
          <w:rtl/>
        </w:rPr>
        <w:t xml:space="preserve"> יט ע"ב: </w:t>
      </w:r>
      <w:r w:rsidRPr="00C41565">
        <w:rPr>
          <w:rFonts w:cs="Arial"/>
          <w:rtl/>
        </w:rPr>
        <w:t xml:space="preserve">כי אתא רב הושעיא מנהרדעא, אתא ואייתי מתניתא בידיה: זיתים וענבים שריסקן מערב שבת ויצאו מעצמן - אסורין, </w:t>
      </w:r>
      <w:r w:rsidRPr="00C41565">
        <w:rPr>
          <w:rFonts w:cs="Arial"/>
          <w:u w:val="single"/>
          <w:rtl/>
        </w:rPr>
        <w:t>רבי אלעזר ורבי שמעון</w:t>
      </w:r>
      <w:r w:rsidRPr="00C41565">
        <w:rPr>
          <w:rFonts w:cs="Arial"/>
          <w:rtl/>
        </w:rPr>
        <w:t xml:space="preserve"> מתירין.</w:t>
      </w:r>
      <w:r>
        <w:rPr>
          <w:rFonts w:cs="Arial" w:hint="cs"/>
          <w:rtl/>
        </w:rPr>
        <w:t>..</w:t>
      </w:r>
      <w:r w:rsidRPr="00C41565">
        <w:rPr>
          <w:rtl/>
        </w:rPr>
        <w:t xml:space="preserve"> </w:t>
      </w:r>
      <w:r w:rsidRPr="00C41565">
        <w:rPr>
          <w:rFonts w:cs="Arial"/>
          <w:rtl/>
        </w:rPr>
        <w:t>שמן של בדדין</w:t>
      </w:r>
      <w:r w:rsidR="000A6BD7">
        <w:rPr>
          <w:rStyle w:val="a9"/>
          <w:rFonts w:cs="Arial"/>
          <w:rtl/>
        </w:rPr>
        <w:footnoteReference w:id="1821"/>
      </w:r>
      <w:r w:rsidRPr="00C41565">
        <w:rPr>
          <w:rFonts w:cs="Arial"/>
          <w:rtl/>
        </w:rPr>
        <w:t xml:space="preserve"> ומחצלות של בדדין, </w:t>
      </w:r>
      <w:r w:rsidRPr="00C41565">
        <w:rPr>
          <w:rFonts w:cs="Arial"/>
          <w:u w:val="single"/>
          <w:rtl/>
        </w:rPr>
        <w:t>רב</w:t>
      </w:r>
      <w:r w:rsidRPr="00C41565">
        <w:rPr>
          <w:rFonts w:cs="Arial"/>
          <w:rtl/>
        </w:rPr>
        <w:t xml:space="preserve"> אסר</w:t>
      </w:r>
      <w:r w:rsidR="000A6BD7">
        <w:rPr>
          <w:rStyle w:val="a9"/>
          <w:rFonts w:cs="Arial"/>
          <w:rtl/>
        </w:rPr>
        <w:footnoteReference w:id="1822"/>
      </w:r>
      <w:r w:rsidR="000A6BD7">
        <w:rPr>
          <w:rFonts w:cs="Arial" w:hint="cs"/>
          <w:rtl/>
        </w:rPr>
        <w:t>,</w:t>
      </w:r>
      <w:r w:rsidRPr="00C41565">
        <w:rPr>
          <w:rFonts w:cs="Arial"/>
          <w:rtl/>
        </w:rPr>
        <w:t xml:space="preserve"> </w:t>
      </w:r>
      <w:r w:rsidRPr="00C41565">
        <w:rPr>
          <w:rFonts w:cs="Arial"/>
          <w:u w:val="single"/>
          <w:rtl/>
        </w:rPr>
        <w:t>ושמואל</w:t>
      </w:r>
      <w:r w:rsidRPr="00C41565">
        <w:rPr>
          <w:rFonts w:cs="Arial"/>
          <w:rtl/>
        </w:rPr>
        <w:t xml:space="preserve"> שרי. הני כרכי דזוזי</w:t>
      </w:r>
      <w:r w:rsidR="000A6BD7">
        <w:rPr>
          <w:rStyle w:val="a9"/>
          <w:rFonts w:cs="Arial"/>
          <w:rtl/>
        </w:rPr>
        <w:footnoteReference w:id="1823"/>
      </w:r>
      <w:r w:rsidRPr="00C41565">
        <w:rPr>
          <w:rFonts w:cs="Arial"/>
          <w:rtl/>
        </w:rPr>
        <w:t xml:space="preserve">, </w:t>
      </w:r>
      <w:r w:rsidRPr="000A6BD7">
        <w:rPr>
          <w:rFonts w:cs="Arial"/>
          <w:u w:val="single"/>
          <w:rtl/>
        </w:rPr>
        <w:t>רב</w:t>
      </w:r>
      <w:r w:rsidRPr="00C41565">
        <w:rPr>
          <w:rFonts w:cs="Arial"/>
          <w:rtl/>
        </w:rPr>
        <w:t xml:space="preserve"> אסר</w:t>
      </w:r>
      <w:r w:rsidR="000A6BD7">
        <w:rPr>
          <w:rFonts w:cs="Arial" w:hint="cs"/>
          <w:rtl/>
        </w:rPr>
        <w:t>,</w:t>
      </w:r>
      <w:r w:rsidRPr="00C41565">
        <w:rPr>
          <w:rFonts w:cs="Arial"/>
          <w:rtl/>
        </w:rPr>
        <w:t xml:space="preserve"> </w:t>
      </w:r>
      <w:r w:rsidRPr="000A6BD7">
        <w:rPr>
          <w:rFonts w:cs="Arial"/>
          <w:u w:val="single"/>
          <w:rtl/>
        </w:rPr>
        <w:t>ושמואל</w:t>
      </w:r>
      <w:r w:rsidRPr="00C41565">
        <w:rPr>
          <w:rFonts w:cs="Arial"/>
          <w:rtl/>
        </w:rPr>
        <w:t xml:space="preserve"> שרי. </w:t>
      </w:r>
      <w:r w:rsidRPr="000A6BD7">
        <w:rPr>
          <w:rFonts w:cs="Arial"/>
          <w:u w:val="single"/>
          <w:rtl/>
        </w:rPr>
        <w:t>אמר רב נחמן</w:t>
      </w:r>
      <w:r w:rsidRPr="00C41565">
        <w:rPr>
          <w:rFonts w:cs="Arial"/>
          <w:rtl/>
        </w:rPr>
        <w:t>: עז לחלבה</w:t>
      </w:r>
      <w:r w:rsidR="000A6BD7">
        <w:rPr>
          <w:rStyle w:val="a9"/>
          <w:rFonts w:cs="Arial"/>
          <w:rtl/>
        </w:rPr>
        <w:footnoteReference w:id="1824"/>
      </w:r>
      <w:r w:rsidRPr="00C41565">
        <w:rPr>
          <w:rFonts w:cs="Arial"/>
          <w:rtl/>
        </w:rPr>
        <w:t>, ורחל לגיזתה</w:t>
      </w:r>
      <w:r w:rsidR="000A6BD7">
        <w:rPr>
          <w:rStyle w:val="a9"/>
          <w:rFonts w:cs="Arial"/>
          <w:rtl/>
        </w:rPr>
        <w:footnoteReference w:id="1825"/>
      </w:r>
      <w:r w:rsidRPr="00C41565">
        <w:rPr>
          <w:rFonts w:cs="Arial"/>
          <w:rtl/>
        </w:rPr>
        <w:t xml:space="preserve"> ותרנגולת לביצתה, ותורי דרידיא</w:t>
      </w:r>
      <w:r w:rsidR="000A6BD7">
        <w:rPr>
          <w:rStyle w:val="a9"/>
          <w:rFonts w:cs="Arial"/>
          <w:rtl/>
        </w:rPr>
        <w:footnoteReference w:id="1826"/>
      </w:r>
      <w:r w:rsidRPr="00C41565">
        <w:rPr>
          <w:rFonts w:cs="Arial"/>
          <w:rtl/>
        </w:rPr>
        <w:t>, ותמרי דעיסקא</w:t>
      </w:r>
      <w:r w:rsidR="000A6BD7">
        <w:rPr>
          <w:rStyle w:val="a9"/>
          <w:rFonts w:cs="Arial"/>
          <w:rtl/>
        </w:rPr>
        <w:footnoteReference w:id="1827"/>
      </w:r>
      <w:r w:rsidRPr="00C41565">
        <w:rPr>
          <w:rFonts w:cs="Arial"/>
          <w:rtl/>
        </w:rPr>
        <w:t xml:space="preserve"> - </w:t>
      </w:r>
      <w:r w:rsidRPr="000A6BD7">
        <w:rPr>
          <w:rFonts w:cs="Arial"/>
          <w:u w:val="single"/>
          <w:rtl/>
        </w:rPr>
        <w:t>רב</w:t>
      </w:r>
      <w:r w:rsidRPr="00C41565">
        <w:rPr>
          <w:rFonts w:cs="Arial"/>
          <w:rtl/>
        </w:rPr>
        <w:t xml:space="preserve"> אסר, </w:t>
      </w:r>
      <w:r w:rsidRPr="000A6BD7">
        <w:rPr>
          <w:rFonts w:cs="Arial"/>
          <w:u w:val="single"/>
          <w:rtl/>
        </w:rPr>
        <w:t>ושמואל</w:t>
      </w:r>
      <w:r w:rsidRPr="00C41565">
        <w:rPr>
          <w:rFonts w:cs="Arial"/>
          <w:rtl/>
        </w:rPr>
        <w:t xml:space="preserve"> אמר: מותר. וקמיפלגי בפלוגתא דרבי יהודה ורבי שמעון. ההוא תלמידא דאורי בחרתא דארגיז כרבי שמעון, שמתיה רב המנונא. והא כרבי שמעון סבירא לן! באתריה דרב הוה, לא איבעי ליה למיעבד הכי.</w:t>
      </w:r>
    </w:p>
    <w:p w14:paraId="2B5BFB99" w14:textId="17059ADE" w:rsidR="00CC6124" w:rsidRDefault="000A6BD7" w:rsidP="00434A6A">
      <w:pPr>
        <w:rPr>
          <w:rFonts w:cs="Arial"/>
          <w:rtl/>
        </w:rPr>
      </w:pPr>
      <w:r w:rsidRPr="00C41565">
        <w:rPr>
          <w:rFonts w:cs="Arial" w:hint="cs"/>
          <w:b/>
          <w:bCs/>
          <w:rtl/>
        </w:rPr>
        <w:t xml:space="preserve">שבת </w:t>
      </w:r>
      <w:r w:rsidRPr="00C41565">
        <w:rPr>
          <w:rFonts w:cs="Arial" w:hint="cs"/>
          <w:b/>
          <w:bCs/>
          <w:sz w:val="16"/>
          <w:szCs w:val="16"/>
          <w:rtl/>
        </w:rPr>
        <w:t>(</w:t>
      </w:r>
      <w:r>
        <w:rPr>
          <w:rFonts w:cs="Arial" w:hint="cs"/>
          <w:b/>
          <w:bCs/>
          <w:sz w:val="16"/>
          <w:szCs w:val="16"/>
          <w:rtl/>
        </w:rPr>
        <w:t>ר"פ מפנין</w:t>
      </w:r>
      <w:r w:rsidRPr="00C41565">
        <w:rPr>
          <w:rFonts w:cs="Arial" w:hint="cs"/>
          <w:b/>
          <w:bCs/>
          <w:sz w:val="16"/>
          <w:szCs w:val="16"/>
          <w:rtl/>
        </w:rPr>
        <w:t>)</w:t>
      </w:r>
      <w:r w:rsidRPr="00C41565">
        <w:rPr>
          <w:rFonts w:cs="Arial" w:hint="cs"/>
          <w:b/>
          <w:bCs/>
          <w:rtl/>
        </w:rPr>
        <w:t xml:space="preserve"> </w:t>
      </w:r>
      <w:r>
        <w:rPr>
          <w:rFonts w:cs="Arial" w:hint="cs"/>
          <w:b/>
          <w:bCs/>
          <w:rtl/>
        </w:rPr>
        <w:t>קכז</w:t>
      </w:r>
      <w:r w:rsidRPr="00C41565">
        <w:rPr>
          <w:rFonts w:cs="Arial" w:hint="cs"/>
          <w:b/>
          <w:bCs/>
          <w:rtl/>
        </w:rPr>
        <w:t xml:space="preserve"> ע"</w:t>
      </w:r>
      <w:r>
        <w:rPr>
          <w:rFonts w:cs="Arial" w:hint="cs"/>
          <w:b/>
          <w:bCs/>
          <w:rtl/>
        </w:rPr>
        <w:t>א</w:t>
      </w:r>
      <w:r w:rsidRPr="00C41565">
        <w:rPr>
          <w:rFonts w:cs="Arial" w:hint="cs"/>
          <w:b/>
          <w:bCs/>
          <w:rtl/>
        </w:rPr>
        <w:t>:</w:t>
      </w:r>
      <w:r>
        <w:rPr>
          <w:rFonts w:cs="Arial" w:hint="cs"/>
          <w:rtl/>
        </w:rPr>
        <w:t xml:space="preserve"> </w:t>
      </w:r>
      <w:r w:rsidRPr="000A6BD7">
        <w:rPr>
          <w:rFonts w:cs="Arial"/>
          <w:rtl/>
        </w:rPr>
        <w:t xml:space="preserve">תנו רבנן: תבואה צבורה, בזמן שהתחיל בה מערב שבת - מותר להסתפק ממנה בשבת, ואם לאו - אסור להסתפק ממנה בשבת, דברי רבי שמעון. רבי אחא מתיר. כלפי לייא? אלא אימא: דברי רבי אחא, ורבי שמעון מתיר. </w:t>
      </w:r>
      <w:r w:rsidR="009E5B85" w:rsidRPr="009E5B85">
        <w:rPr>
          <w:rFonts w:cs="Arial" w:hint="cs"/>
          <w:sz w:val="16"/>
          <w:szCs w:val="16"/>
          <w:rtl/>
        </w:rPr>
        <w:t>(</w:t>
      </w:r>
      <w:r w:rsidR="00CC6124" w:rsidRPr="009E5B85">
        <w:rPr>
          <w:rFonts w:cs="Arial"/>
          <w:sz w:val="16"/>
          <w:szCs w:val="16"/>
          <w:rtl/>
        </w:rPr>
        <w:t>ומפורש שם דאין מתחילין האוצר תחלה אלא לדבר מצוה</w:t>
      </w:r>
      <w:r w:rsidR="009E5B85">
        <w:rPr>
          <w:rFonts w:cs="Arial" w:hint="cs"/>
          <w:sz w:val="16"/>
          <w:szCs w:val="16"/>
          <w:rtl/>
        </w:rPr>
        <w:t>,</w:t>
      </w:r>
      <w:r w:rsidR="00CC6124" w:rsidRPr="009E5B85">
        <w:rPr>
          <w:rFonts w:cs="Arial"/>
          <w:sz w:val="16"/>
          <w:szCs w:val="16"/>
          <w:rtl/>
        </w:rPr>
        <w:t xml:space="preserve"> ויתבאר בסימן של"ג (קו: ד"ה מי) בסייעתא דשמיא</w:t>
      </w:r>
      <w:r w:rsidR="009E5B85">
        <w:rPr>
          <w:rFonts w:cs="Arial" w:hint="cs"/>
          <w:sz w:val="16"/>
          <w:szCs w:val="16"/>
          <w:rtl/>
        </w:rPr>
        <w:t>, ב"י)</w:t>
      </w:r>
      <w:r w:rsidR="00CC6124">
        <w:rPr>
          <w:rFonts w:cs="Arial"/>
          <w:rtl/>
        </w:rPr>
        <w:t xml:space="preserve"> </w:t>
      </w:r>
    </w:p>
    <w:p w14:paraId="659CCD7A" w14:textId="2F351202" w:rsidR="009C2252" w:rsidRPr="003F3207" w:rsidRDefault="003F3207" w:rsidP="00434A6A">
      <w:pPr>
        <w:rPr>
          <w:u w:val="single"/>
          <w:rtl/>
        </w:rPr>
      </w:pPr>
      <w:r w:rsidRPr="003F3207">
        <w:rPr>
          <w:rFonts w:hint="cs"/>
          <w:u w:val="single"/>
          <w:rtl/>
        </w:rPr>
        <w:t>במה יש לרבי שמעון מוקצה, ובמה קיי"ל כוותיה:</w:t>
      </w:r>
    </w:p>
    <w:p w14:paraId="1EEBFF79" w14:textId="6E1F07AF" w:rsidR="00EB5726" w:rsidRDefault="009C2252" w:rsidP="00434A6A">
      <w:pPr>
        <w:pStyle w:val="aa"/>
        <w:numPr>
          <w:ilvl w:val="0"/>
          <w:numId w:val="15"/>
        </w:numPr>
      </w:pPr>
      <w:r>
        <w:rPr>
          <w:rFonts w:hint="cs"/>
          <w:rtl/>
        </w:rPr>
        <w:t xml:space="preserve">טור- </w:t>
      </w:r>
      <w:r>
        <w:rPr>
          <w:rFonts w:cs="Arial"/>
          <w:rtl/>
        </w:rPr>
        <w:t>קי"ל במוקצה מחמת מיאוס כר"ש דשרי</w:t>
      </w:r>
      <w:r w:rsidR="009924C8">
        <w:rPr>
          <w:rFonts w:cs="Arial" w:hint="cs"/>
          <w:rtl/>
        </w:rPr>
        <w:t>.</w:t>
      </w:r>
      <w:r>
        <w:rPr>
          <w:rFonts w:cs="Arial"/>
          <w:rtl/>
        </w:rPr>
        <w:t xml:space="preserve"> אבל במוקצה מחמת איסור</w:t>
      </w:r>
      <w:r w:rsidR="009924C8">
        <w:rPr>
          <w:rFonts w:cs="Arial" w:hint="cs"/>
          <w:rtl/>
        </w:rPr>
        <w:t>,</w:t>
      </w:r>
      <w:r>
        <w:rPr>
          <w:rFonts w:cs="Arial"/>
          <w:rtl/>
        </w:rPr>
        <w:t xml:space="preserve"> כגון נר שהדליקו בה באותה שבת </w:t>
      </w:r>
      <w:r w:rsidR="009924C8">
        <w:rPr>
          <w:rFonts w:cs="Arial" w:hint="cs"/>
          <w:rtl/>
        </w:rPr>
        <w:t xml:space="preserve">- </w:t>
      </w:r>
      <w:r>
        <w:rPr>
          <w:rFonts w:cs="Arial"/>
          <w:rtl/>
        </w:rPr>
        <w:t>לא קי"ל כוותיה</w:t>
      </w:r>
      <w:r>
        <w:rPr>
          <w:rFonts w:cs="Arial" w:hint="cs"/>
          <w:rtl/>
        </w:rPr>
        <w:t>,</w:t>
      </w:r>
      <w:r>
        <w:rPr>
          <w:rFonts w:cs="Arial"/>
          <w:rtl/>
        </w:rPr>
        <w:t xml:space="preserve"> ואסור אפי' לאחר שכבה</w:t>
      </w:r>
      <w:r>
        <w:rPr>
          <w:rFonts w:cs="Arial" w:hint="cs"/>
          <w:rtl/>
        </w:rPr>
        <w:t>.</w:t>
      </w:r>
      <w:r>
        <w:rPr>
          <w:rFonts w:cs="Arial"/>
          <w:rtl/>
        </w:rPr>
        <w:t xml:space="preserve"> אבל בכל שאר דבר קי"ל כר"ש דלית ליה מוקצה אלא בגרוגרות וצמוקים שהעלם לגג ליבשן והן מסריחות קודם שיתייבשו</w:t>
      </w:r>
      <w:r>
        <w:rPr>
          <w:rFonts w:cs="Arial" w:hint="cs"/>
          <w:rtl/>
        </w:rPr>
        <w:t>,</w:t>
      </w:r>
      <w:r>
        <w:rPr>
          <w:rFonts w:cs="Arial"/>
          <w:rtl/>
        </w:rPr>
        <w:t xml:space="preserve"> דכיון שיודע שיסריחו ודאי הסיח דעתו מהם</w:t>
      </w:r>
      <w:r>
        <w:rPr>
          <w:rFonts w:cs="Arial" w:hint="cs"/>
          <w:rtl/>
        </w:rPr>
        <w:t>,</w:t>
      </w:r>
      <w:r>
        <w:rPr>
          <w:rFonts w:cs="Arial"/>
          <w:rtl/>
        </w:rPr>
        <w:t xml:space="preserve"> ועוד שדחה אותם בידים</w:t>
      </w:r>
      <w:r>
        <w:rPr>
          <w:rFonts w:cs="Arial" w:hint="cs"/>
          <w:rtl/>
        </w:rPr>
        <w:t>,</w:t>
      </w:r>
      <w:r>
        <w:rPr>
          <w:rFonts w:cs="Arial"/>
          <w:rtl/>
        </w:rPr>
        <w:t xml:space="preserve"> בהא מודה שאסורין</w:t>
      </w:r>
      <w:r>
        <w:rPr>
          <w:rFonts w:cs="Arial" w:hint="cs"/>
          <w:rtl/>
        </w:rPr>
        <w:t>.</w:t>
      </w:r>
      <w:r>
        <w:rPr>
          <w:rFonts w:cs="Arial"/>
          <w:rtl/>
        </w:rPr>
        <w:t xml:space="preserve"> אבל שאר כל דבר</w:t>
      </w:r>
      <w:r>
        <w:rPr>
          <w:rFonts w:cs="Arial" w:hint="cs"/>
          <w:rtl/>
        </w:rPr>
        <w:t>,</w:t>
      </w:r>
      <w:r>
        <w:rPr>
          <w:rFonts w:cs="Arial"/>
          <w:rtl/>
        </w:rPr>
        <w:t xml:space="preserve"> אפי' חיטין שזרען ועדיין לא השרישו</w:t>
      </w:r>
      <w:r>
        <w:rPr>
          <w:rFonts w:cs="Arial" w:hint="cs"/>
          <w:rtl/>
        </w:rPr>
        <w:t>,</w:t>
      </w:r>
      <w:r>
        <w:rPr>
          <w:rFonts w:cs="Arial"/>
          <w:rtl/>
        </w:rPr>
        <w:t xml:space="preserve"> וביצים שנתנן תחת התרנגולת </w:t>
      </w:r>
      <w:r>
        <w:rPr>
          <w:rFonts w:cs="Arial" w:hint="cs"/>
          <w:rtl/>
        </w:rPr>
        <w:t xml:space="preserve">- </w:t>
      </w:r>
      <w:r>
        <w:rPr>
          <w:rFonts w:cs="Arial"/>
          <w:rtl/>
        </w:rPr>
        <w:t>מותר לטלטלן</w:t>
      </w:r>
      <w:r>
        <w:rPr>
          <w:rFonts w:cs="Arial" w:hint="cs"/>
          <w:rtl/>
        </w:rPr>
        <w:t>.</w:t>
      </w:r>
      <w:r>
        <w:rPr>
          <w:rFonts w:cs="Arial"/>
          <w:rtl/>
        </w:rPr>
        <w:t xml:space="preserve"> ומוקצה מחמת חסרון כיס</w:t>
      </w:r>
      <w:r>
        <w:rPr>
          <w:rFonts w:cs="Arial" w:hint="cs"/>
          <w:rtl/>
        </w:rPr>
        <w:t>,</w:t>
      </w:r>
      <w:r>
        <w:rPr>
          <w:rFonts w:cs="Arial"/>
          <w:rtl/>
        </w:rPr>
        <w:t xml:space="preserve"> כגון כלים שחשובין בעיניו ומקפיד עליהם ומייחד להם מקום</w:t>
      </w:r>
      <w:r>
        <w:rPr>
          <w:rFonts w:cs="Arial" w:hint="cs"/>
          <w:rtl/>
        </w:rPr>
        <w:t xml:space="preserve">, </w:t>
      </w:r>
      <w:r>
        <w:rPr>
          <w:rFonts w:cs="Arial"/>
          <w:rtl/>
        </w:rPr>
        <w:t>מודה ר"ש</w:t>
      </w:r>
      <w:r>
        <w:rPr>
          <w:rFonts w:cs="Arial" w:hint="cs"/>
          <w:rtl/>
        </w:rPr>
        <w:t>.</w:t>
      </w:r>
      <w:r>
        <w:rPr>
          <w:rFonts w:cs="Arial"/>
          <w:rtl/>
        </w:rPr>
        <w:t xml:space="preserve"> </w:t>
      </w:r>
      <w:r w:rsidR="004F7BCD" w:rsidRPr="009924C8">
        <w:rPr>
          <w:rFonts w:cs="Arial"/>
          <w:rtl/>
        </w:rPr>
        <w:t xml:space="preserve"> </w:t>
      </w:r>
    </w:p>
    <w:p w14:paraId="3776A622" w14:textId="1E4CEACA" w:rsidR="003F3207" w:rsidRPr="003F3207" w:rsidRDefault="003F3207" w:rsidP="00434A6A">
      <w:pPr>
        <w:rPr>
          <w:u w:val="single"/>
        </w:rPr>
      </w:pPr>
      <w:r w:rsidRPr="003F3207">
        <w:rPr>
          <w:rFonts w:hint="cs"/>
          <w:u w:val="single"/>
          <w:rtl/>
        </w:rPr>
        <w:t>מוקצה באוכל:</w:t>
      </w:r>
    </w:p>
    <w:p w14:paraId="5D1ED9B7" w14:textId="1546B136" w:rsidR="002044FB" w:rsidRPr="009924C8" w:rsidRDefault="002044FB" w:rsidP="00434A6A">
      <w:pPr>
        <w:pStyle w:val="aa"/>
        <w:numPr>
          <w:ilvl w:val="0"/>
          <w:numId w:val="15"/>
        </w:numPr>
        <w:rPr>
          <w:rtl/>
        </w:rPr>
      </w:pPr>
      <w:r>
        <w:rPr>
          <w:rFonts w:cs="Arial" w:hint="cs"/>
          <w:rtl/>
        </w:rPr>
        <w:t xml:space="preserve">רמב"ם </w:t>
      </w:r>
      <w:r>
        <w:rPr>
          <w:rFonts w:cs="Arial" w:hint="cs"/>
          <w:sz w:val="16"/>
          <w:szCs w:val="16"/>
          <w:rtl/>
        </w:rPr>
        <w:t>(פכ"ו הי"ד)</w:t>
      </w:r>
      <w:r>
        <w:rPr>
          <w:rFonts w:cs="Arial" w:hint="cs"/>
          <w:rtl/>
        </w:rPr>
        <w:t xml:space="preserve">- </w:t>
      </w:r>
      <w:r w:rsidRPr="002044FB">
        <w:rPr>
          <w:rFonts w:cs="Arial"/>
          <w:rtl/>
        </w:rPr>
        <w:t>שמן שיוצא מתחת הקורה של בית הבד בשבת וכן תמרים ושקדים המוכנים לסחורה מותר לאוכלם בשבת, ואפילו אוצר של תבואה או תבואה צבורה מתחיל להסתפק ממנה בשבת שאין שם אוכל שהוא מוקצה בשבת כלל אלא הכל מוכן הוא, חוץ מגרוגרות וצמוקין שבמוקצה בזמן שמייבשים אותם הואיל ומסריחות בינתים ואינם ראויין לאכילה הרי הן אסורין בשבת משום מוקצה</w:t>
      </w:r>
      <w:r>
        <w:rPr>
          <w:rFonts w:hint="cs"/>
          <w:rtl/>
        </w:rPr>
        <w:t>.</w:t>
      </w:r>
      <w:r w:rsidR="00874862" w:rsidRPr="00874862">
        <w:rPr>
          <w:rFonts w:hint="cs"/>
          <w:color w:val="E36C0A" w:themeColor="accent6" w:themeShade="BF"/>
          <w:rtl/>
        </w:rPr>
        <w:t xml:space="preserve"> (וכ"פ בשו"ע)</w:t>
      </w:r>
    </w:p>
    <w:p w14:paraId="6EDD6AD4" w14:textId="5D37E383" w:rsidR="00F2101F" w:rsidRDefault="00F2101F" w:rsidP="00434A6A">
      <w:pPr>
        <w:rPr>
          <w:rFonts w:cs="Arial"/>
          <w:rtl/>
        </w:rPr>
      </w:pPr>
      <w:r>
        <w:rPr>
          <w:rFonts w:cs="Arial" w:hint="cs"/>
          <w:u w:val="single"/>
          <w:rtl/>
        </w:rPr>
        <w:t xml:space="preserve">דבר </w:t>
      </w:r>
      <w:r w:rsidR="00836E4D">
        <w:rPr>
          <w:rFonts w:cs="Arial" w:hint="cs"/>
          <w:u w:val="single"/>
          <w:rtl/>
        </w:rPr>
        <w:t>מאכל ש</w:t>
      </w:r>
      <w:r>
        <w:rPr>
          <w:rFonts w:cs="Arial" w:hint="cs"/>
          <w:u w:val="single"/>
          <w:rtl/>
        </w:rPr>
        <w:t>מחוסר תלישה, ו</w:t>
      </w:r>
      <w:r w:rsidRPr="009E5B85">
        <w:rPr>
          <w:rFonts w:cs="Arial" w:hint="cs"/>
          <w:u w:val="single"/>
          <w:rtl/>
        </w:rPr>
        <w:t>נתלש</w:t>
      </w:r>
      <w:r>
        <w:rPr>
          <w:rFonts w:cs="Arial" w:hint="cs"/>
          <w:u w:val="single"/>
          <w:rtl/>
        </w:rPr>
        <w:t xml:space="preserve"> בשבת </w:t>
      </w:r>
      <w:r w:rsidR="00836E4D" w:rsidRPr="00836E4D">
        <w:rPr>
          <w:rFonts w:cs="Arial" w:hint="cs"/>
          <w:sz w:val="16"/>
          <w:szCs w:val="16"/>
          <w:u w:val="single"/>
          <w:rtl/>
        </w:rPr>
        <w:t>(</w:t>
      </w:r>
      <w:r w:rsidRPr="00836E4D">
        <w:rPr>
          <w:rFonts w:cs="Arial" w:hint="cs"/>
          <w:sz w:val="16"/>
          <w:szCs w:val="16"/>
          <w:u w:val="single"/>
          <w:rtl/>
        </w:rPr>
        <w:t xml:space="preserve">וכן </w:t>
      </w:r>
      <w:r w:rsidR="00836E4D" w:rsidRPr="00836E4D">
        <w:rPr>
          <w:rFonts w:cs="Arial" w:hint="cs"/>
          <w:sz w:val="16"/>
          <w:szCs w:val="16"/>
          <w:u w:val="single"/>
          <w:rtl/>
        </w:rPr>
        <w:t>דבר</w:t>
      </w:r>
      <w:r w:rsidRPr="00836E4D">
        <w:rPr>
          <w:rFonts w:cs="Arial" w:hint="cs"/>
          <w:sz w:val="16"/>
          <w:szCs w:val="16"/>
          <w:u w:val="single"/>
          <w:rtl/>
        </w:rPr>
        <w:t xml:space="preserve"> המחוסר צידה, וניצוד ביו"ט</w:t>
      </w:r>
      <w:r w:rsidR="00836E4D">
        <w:rPr>
          <w:rFonts w:cs="Arial" w:hint="cs"/>
          <w:sz w:val="16"/>
          <w:szCs w:val="16"/>
          <w:u w:val="single"/>
          <w:rtl/>
        </w:rPr>
        <w:t>)</w:t>
      </w:r>
      <w:r w:rsidRPr="009E5B85">
        <w:rPr>
          <w:rFonts w:cs="Arial" w:hint="cs"/>
          <w:u w:val="single"/>
          <w:rtl/>
        </w:rPr>
        <w:t>:</w:t>
      </w:r>
      <w:r>
        <w:rPr>
          <w:rFonts w:cs="Arial" w:hint="cs"/>
          <w:rtl/>
        </w:rPr>
        <w:t xml:space="preserve"> </w:t>
      </w:r>
    </w:p>
    <w:p w14:paraId="3F583DC7" w14:textId="77777777" w:rsidR="00F2101F" w:rsidRPr="00C11FA3" w:rsidRDefault="00F2101F" w:rsidP="00434A6A">
      <w:pPr>
        <w:pStyle w:val="aa"/>
        <w:numPr>
          <w:ilvl w:val="0"/>
          <w:numId w:val="16"/>
        </w:numPr>
        <w:rPr>
          <w:rFonts w:cs="Arial"/>
          <w:rtl/>
        </w:rPr>
      </w:pPr>
      <w:r w:rsidRPr="009E5B85">
        <w:rPr>
          <w:rFonts w:cs="Arial" w:hint="cs"/>
          <w:rtl/>
        </w:rPr>
        <w:t xml:space="preserve">ב"י- </w:t>
      </w:r>
      <w:r w:rsidRPr="009E5B85">
        <w:rPr>
          <w:rFonts w:cs="Arial"/>
          <w:rtl/>
        </w:rPr>
        <w:t>הא דאין מוקצה לרבי שמעון בדבר מאכל אלא בגרוגרות וצמוקים לבד</w:t>
      </w:r>
      <w:r w:rsidRPr="009E5B85">
        <w:rPr>
          <w:rFonts w:cs="Arial" w:hint="cs"/>
          <w:rtl/>
        </w:rPr>
        <w:t xml:space="preserve"> -</w:t>
      </w:r>
      <w:r w:rsidRPr="009E5B85">
        <w:rPr>
          <w:rFonts w:cs="Arial"/>
          <w:rtl/>
        </w:rPr>
        <w:t xml:space="preserve"> דוקא בתלוש</w:t>
      </w:r>
      <w:r w:rsidRPr="009E5B85">
        <w:rPr>
          <w:rFonts w:cs="Arial" w:hint="cs"/>
          <w:rtl/>
        </w:rPr>
        <w:t>,</w:t>
      </w:r>
      <w:r w:rsidRPr="009E5B85">
        <w:rPr>
          <w:rFonts w:cs="Arial"/>
          <w:rtl/>
        </w:rPr>
        <w:t xml:space="preserve"> אבל במידי דמחובר אפילו לרבי שמעון הוי מוקצה</w:t>
      </w:r>
      <w:r>
        <w:rPr>
          <w:rStyle w:val="a9"/>
          <w:rFonts w:cs="Arial"/>
          <w:rtl/>
        </w:rPr>
        <w:footnoteReference w:id="1828"/>
      </w:r>
      <w:r w:rsidRPr="00C11FA3">
        <w:rPr>
          <w:rFonts w:cs="Arial" w:hint="cs"/>
          <w:rtl/>
        </w:rPr>
        <w:t>.</w:t>
      </w:r>
      <w:r w:rsidRPr="00874862">
        <w:rPr>
          <w:rFonts w:hint="cs"/>
          <w:color w:val="E36C0A" w:themeColor="accent6" w:themeShade="BF"/>
          <w:rtl/>
        </w:rPr>
        <w:t xml:space="preserve"> (וכ"פ בשו"ע)</w:t>
      </w:r>
    </w:p>
    <w:p w14:paraId="3414F875" w14:textId="373CDD7F" w:rsidR="003E5D2E" w:rsidRDefault="003E5D2E" w:rsidP="00434A6A">
      <w:pPr>
        <w:rPr>
          <w:rFonts w:cs="Arial"/>
          <w:rtl/>
        </w:rPr>
      </w:pPr>
      <w:r w:rsidRPr="003E5D2E">
        <w:rPr>
          <w:rFonts w:cs="Arial" w:hint="cs"/>
          <w:u w:val="single"/>
          <w:rtl/>
        </w:rPr>
        <w:t>נר ש</w:t>
      </w:r>
      <w:r w:rsidR="002044FB">
        <w:rPr>
          <w:rFonts w:cs="Arial" w:hint="cs"/>
          <w:u w:val="single"/>
          <w:rtl/>
        </w:rPr>
        <w:t>הודלק בכניסת</w:t>
      </w:r>
      <w:r w:rsidRPr="003E5D2E">
        <w:rPr>
          <w:rFonts w:cs="Arial" w:hint="cs"/>
          <w:u w:val="single"/>
          <w:rtl/>
        </w:rPr>
        <w:t xml:space="preserve"> שבת</w:t>
      </w:r>
      <w:r w:rsidR="002044FB">
        <w:rPr>
          <w:rFonts w:cs="Arial" w:hint="cs"/>
          <w:u w:val="single"/>
          <w:rtl/>
        </w:rPr>
        <w:t xml:space="preserve"> </w:t>
      </w:r>
      <w:r w:rsidRPr="003E5D2E">
        <w:rPr>
          <w:rFonts w:cs="Arial"/>
          <w:u w:val="single"/>
          <w:rtl/>
        </w:rPr>
        <w:t>–</w:t>
      </w:r>
      <w:r w:rsidRPr="003E5D2E">
        <w:rPr>
          <w:rFonts w:cs="Arial" w:hint="cs"/>
          <w:u w:val="single"/>
          <w:rtl/>
        </w:rPr>
        <w:t xml:space="preserve"> האם </w:t>
      </w:r>
      <w:r w:rsidR="002044FB">
        <w:rPr>
          <w:rFonts w:cs="Arial" w:hint="cs"/>
          <w:u w:val="single"/>
          <w:rtl/>
        </w:rPr>
        <w:t xml:space="preserve">מותר לטלטלו בשבת </w:t>
      </w:r>
      <w:r w:rsidRPr="003E5D2E">
        <w:rPr>
          <w:rFonts w:cs="Arial" w:hint="cs"/>
          <w:u w:val="single"/>
          <w:rtl/>
        </w:rPr>
        <w:t>לאחר שכבה:</w:t>
      </w:r>
    </w:p>
    <w:p w14:paraId="2BC7AB15" w14:textId="2730FD71" w:rsidR="003E5D2E" w:rsidRDefault="00796BDA" w:rsidP="00434A6A">
      <w:pPr>
        <w:pStyle w:val="aa"/>
        <w:numPr>
          <w:ilvl w:val="0"/>
          <w:numId w:val="15"/>
        </w:numPr>
        <w:rPr>
          <w:rtl/>
        </w:rPr>
      </w:pPr>
      <w:r>
        <w:rPr>
          <w:rFonts w:cs="Arial" w:hint="cs"/>
          <w:rtl/>
        </w:rPr>
        <w:t xml:space="preserve">סמ"ג </w:t>
      </w:r>
      <w:r>
        <w:rPr>
          <w:rFonts w:cs="Arial" w:hint="cs"/>
          <w:sz w:val="16"/>
          <w:szCs w:val="16"/>
          <w:rtl/>
        </w:rPr>
        <w:t>(לאוין סי' עה)</w:t>
      </w:r>
      <w:r>
        <w:rPr>
          <w:rFonts w:cs="Arial" w:hint="cs"/>
          <w:rtl/>
        </w:rPr>
        <w:t xml:space="preserve">- </w:t>
      </w:r>
      <w:r w:rsidR="003E5D2E" w:rsidRPr="003E5D2E">
        <w:rPr>
          <w:rFonts w:cs="Arial"/>
          <w:rtl/>
        </w:rPr>
        <w:t>מסקנא דמילתא (שבת קנז</w:t>
      </w:r>
      <w:r w:rsidR="003E5D2E">
        <w:rPr>
          <w:rFonts w:cs="Arial" w:hint="cs"/>
          <w:rtl/>
        </w:rPr>
        <w:t>.</w:t>
      </w:r>
      <w:r w:rsidR="003E5D2E" w:rsidRPr="003E5D2E">
        <w:rPr>
          <w:rFonts w:cs="Arial"/>
          <w:rtl/>
        </w:rPr>
        <w:t>) כרבי שמעון סבירא דלית ליה מוקצה לא ביום טוב ולא בשבת</w:t>
      </w:r>
      <w:r>
        <w:rPr>
          <w:rFonts w:cs="Arial" w:hint="cs"/>
          <w:rtl/>
        </w:rPr>
        <w:t>.</w:t>
      </w:r>
      <w:r w:rsidR="003E5D2E" w:rsidRPr="003E5D2E">
        <w:rPr>
          <w:rFonts w:cs="Arial"/>
          <w:rtl/>
        </w:rPr>
        <w:t xml:space="preserve"> אבל מודה הוא במוקצה מחמת חסרון כיס ובמוקצה דגרוגרות וצמוקין (שם מה</w:t>
      </w:r>
      <w:r w:rsidR="003E5D2E">
        <w:rPr>
          <w:rFonts w:cs="Arial" w:hint="cs"/>
          <w:rtl/>
        </w:rPr>
        <w:t>:</w:t>
      </w:r>
      <w:r w:rsidR="003E5D2E" w:rsidRPr="003E5D2E">
        <w:rPr>
          <w:rFonts w:cs="Arial"/>
          <w:rtl/>
        </w:rPr>
        <w:t>), ובמוקצה דמחובר כמו שפי' רבי' שלמה (ביצה כד</w:t>
      </w:r>
      <w:r w:rsidR="003E5D2E">
        <w:rPr>
          <w:rFonts w:cs="Arial" w:hint="cs"/>
          <w:rtl/>
        </w:rPr>
        <w:t>:</w:t>
      </w:r>
      <w:r w:rsidR="003E5D2E" w:rsidRPr="003E5D2E">
        <w:rPr>
          <w:rFonts w:cs="Arial"/>
          <w:rtl/>
        </w:rPr>
        <w:t xml:space="preserve"> ד"ה אם) גבי גוי שהביא דורון</w:t>
      </w:r>
      <w:r>
        <w:rPr>
          <w:rFonts w:cs="Arial" w:hint="cs"/>
          <w:rtl/>
        </w:rPr>
        <w:t xml:space="preserve">... </w:t>
      </w:r>
      <w:r w:rsidR="003E5D2E" w:rsidRPr="003E5D2E">
        <w:rPr>
          <w:rFonts w:cs="Arial"/>
          <w:rtl/>
        </w:rPr>
        <w:t>ואין הלכה כמותו במוקצה מחמת איסור דדחייה בידים</w:t>
      </w:r>
      <w:r>
        <w:rPr>
          <w:rFonts w:cs="Arial" w:hint="cs"/>
          <w:rtl/>
        </w:rPr>
        <w:t>,</w:t>
      </w:r>
      <w:r w:rsidR="003E5D2E" w:rsidRPr="003E5D2E">
        <w:rPr>
          <w:rFonts w:cs="Arial"/>
          <w:rtl/>
        </w:rPr>
        <w:t xml:space="preserve"> כמו נר שהדליקו באותה שבת</w:t>
      </w:r>
      <w:r>
        <w:rPr>
          <w:rStyle w:val="a9"/>
          <w:rFonts w:cs="Arial"/>
          <w:rtl/>
        </w:rPr>
        <w:footnoteReference w:id="1829"/>
      </w:r>
      <w:r>
        <w:rPr>
          <w:rFonts w:cs="Arial" w:hint="cs"/>
          <w:rtl/>
        </w:rPr>
        <w:t>,</w:t>
      </w:r>
      <w:r w:rsidR="003E5D2E" w:rsidRPr="003E5D2E">
        <w:rPr>
          <w:rFonts w:cs="Arial"/>
          <w:rtl/>
        </w:rPr>
        <w:t xml:space="preserve"> כדאיתא בסוף מסכת שבת (קנז</w:t>
      </w:r>
      <w:r w:rsidR="003E5D2E">
        <w:rPr>
          <w:rFonts w:cs="Arial" w:hint="cs"/>
          <w:rtl/>
        </w:rPr>
        <w:t>.</w:t>
      </w:r>
      <w:r w:rsidR="003E5D2E" w:rsidRPr="003E5D2E">
        <w:rPr>
          <w:rFonts w:cs="Arial"/>
          <w:rtl/>
        </w:rPr>
        <w:t>)</w:t>
      </w:r>
      <w:r>
        <w:rPr>
          <w:rFonts w:cs="Arial" w:hint="cs"/>
          <w:rtl/>
        </w:rPr>
        <w:t>.</w:t>
      </w:r>
      <w:r w:rsidR="003E5D2E" w:rsidRPr="003E5D2E">
        <w:rPr>
          <w:rFonts w:cs="Arial"/>
          <w:rtl/>
        </w:rPr>
        <w:t xml:space="preserve"> ומודה הוא במוקצה דאבנים ומודה בקוץ רטוב כדפירשתי לעיל (כה</w:t>
      </w:r>
      <w:r w:rsidR="003E5D2E">
        <w:rPr>
          <w:rFonts w:cs="Arial" w:hint="cs"/>
          <w:rtl/>
        </w:rPr>
        <w:t>:</w:t>
      </w:r>
      <w:r w:rsidR="003E5D2E" w:rsidRPr="003E5D2E">
        <w:rPr>
          <w:rFonts w:cs="Arial"/>
          <w:rtl/>
        </w:rPr>
        <w:t>) דכיון דלא חזי להסקה אסרי בית הלל לכל דבר</w:t>
      </w:r>
      <w:r>
        <w:rPr>
          <w:rFonts w:cs="Arial" w:hint="cs"/>
          <w:rtl/>
        </w:rPr>
        <w:t>.</w:t>
      </w:r>
      <w:r w:rsidR="003E5D2E" w:rsidRPr="003E5D2E">
        <w:rPr>
          <w:rFonts w:cs="Arial"/>
          <w:rtl/>
        </w:rPr>
        <w:t xml:space="preserve"> אבל בנולד סבירא לן דאסיר</w:t>
      </w:r>
      <w:r>
        <w:rPr>
          <w:rFonts w:cs="Arial" w:hint="cs"/>
          <w:rtl/>
        </w:rPr>
        <w:t>.</w:t>
      </w:r>
    </w:p>
    <w:p w14:paraId="7BFA59F5" w14:textId="77777777" w:rsidR="00836E4D" w:rsidRDefault="00836E4D" w:rsidP="00434A6A">
      <w:pPr>
        <w:rPr>
          <w:rFonts w:cs="Arial"/>
          <w:rtl/>
        </w:rPr>
      </w:pPr>
      <w:r w:rsidRPr="00790F53">
        <w:rPr>
          <w:rFonts w:cs="Arial" w:hint="cs"/>
          <w:b/>
          <w:bCs/>
          <w:rtl/>
        </w:rPr>
        <w:t xml:space="preserve">ירושלמי שבת פ"א ה"ז: </w:t>
      </w:r>
      <w:r w:rsidRPr="00790F53">
        <w:rPr>
          <w:rFonts w:cs="Arial"/>
          <w:rtl/>
        </w:rPr>
        <w:t>רבי חייא רובה</w:t>
      </w:r>
      <w:r>
        <w:rPr>
          <w:rFonts w:cs="Arial" w:hint="cs"/>
          <w:rtl/>
        </w:rPr>
        <w:t>,</w:t>
      </w:r>
      <w:r w:rsidRPr="00790F53">
        <w:rPr>
          <w:rFonts w:cs="Arial"/>
          <w:rtl/>
        </w:rPr>
        <w:t xml:space="preserve"> ורבי שמעון ב"ר</w:t>
      </w:r>
      <w:r>
        <w:rPr>
          <w:rFonts w:cs="Arial" w:hint="cs"/>
          <w:rtl/>
        </w:rPr>
        <w:t>,</w:t>
      </w:r>
      <w:r w:rsidRPr="00790F53">
        <w:rPr>
          <w:rFonts w:cs="Arial"/>
          <w:rtl/>
        </w:rPr>
        <w:t xml:space="preserve"> </w:t>
      </w:r>
      <w:r w:rsidRPr="00790F53">
        <w:rPr>
          <w:rFonts w:cs="Arial"/>
          <w:u w:val="single"/>
          <w:rtl/>
        </w:rPr>
        <w:t>חד אמר</w:t>
      </w:r>
      <w:r>
        <w:rPr>
          <w:rFonts w:cs="Arial" w:hint="cs"/>
          <w:rtl/>
        </w:rPr>
        <w:t>:</w:t>
      </w:r>
      <w:r w:rsidRPr="00790F53">
        <w:rPr>
          <w:rFonts w:cs="Arial"/>
          <w:rtl/>
        </w:rPr>
        <w:t xml:space="preserve"> העכו"ם צריך הכן. </w:t>
      </w:r>
      <w:r w:rsidRPr="00790F53">
        <w:rPr>
          <w:rFonts w:cs="Arial"/>
          <w:u w:val="single"/>
          <w:rtl/>
        </w:rPr>
        <w:t>וחרנה אמר</w:t>
      </w:r>
      <w:r>
        <w:rPr>
          <w:rFonts w:cs="Arial" w:hint="cs"/>
          <w:rtl/>
        </w:rPr>
        <w:t>:</w:t>
      </w:r>
      <w:r w:rsidRPr="00790F53">
        <w:rPr>
          <w:rFonts w:cs="Arial"/>
          <w:rtl/>
        </w:rPr>
        <w:t xml:space="preserve"> אין העכו"ם צריך הכן. ולא ידעינן מאן אמר דא ומאן אמר דא. מִן מַה דְּרַב מְעַנּוֹ</w:t>
      </w:r>
      <w:r>
        <w:rPr>
          <w:rStyle w:val="a9"/>
          <w:rFonts w:cs="Arial"/>
          <w:rtl/>
        </w:rPr>
        <w:footnoteReference w:id="1830"/>
      </w:r>
      <w:r w:rsidRPr="00790F53">
        <w:rPr>
          <w:rFonts w:cs="Arial"/>
          <w:rtl/>
        </w:rPr>
        <w:t xml:space="preserve"> מָיְתִי קוּמֵיהּ רַבִּי חִיָּיה רוֹבָא</w:t>
      </w:r>
      <w:r>
        <w:rPr>
          <w:rFonts w:cs="Arial" w:hint="cs"/>
          <w:rtl/>
        </w:rPr>
        <w:t>,</w:t>
      </w:r>
      <w:r w:rsidRPr="00790F53">
        <w:rPr>
          <w:rFonts w:cs="Arial"/>
          <w:rtl/>
        </w:rPr>
        <w:t xml:space="preserve"> והוא א"ל</w:t>
      </w:r>
      <w:r>
        <w:rPr>
          <w:rFonts w:cs="Arial" w:hint="cs"/>
          <w:rtl/>
        </w:rPr>
        <w:t>:</w:t>
      </w:r>
      <w:r w:rsidRPr="00790F53">
        <w:rPr>
          <w:rFonts w:cs="Arial"/>
          <w:rtl/>
        </w:rPr>
        <w:t xml:space="preserve"> הן הויתא</w:t>
      </w:r>
      <w:r>
        <w:rPr>
          <w:rFonts w:cs="Arial" w:hint="cs"/>
          <w:rtl/>
        </w:rPr>
        <w:t>?</w:t>
      </w:r>
      <w:r w:rsidRPr="00790F53">
        <w:rPr>
          <w:rFonts w:cs="Arial"/>
          <w:rtl/>
        </w:rPr>
        <w:t xml:space="preserve"> והוא אמר ליה</w:t>
      </w:r>
      <w:r>
        <w:rPr>
          <w:rFonts w:cs="Arial" w:hint="cs"/>
          <w:rtl/>
        </w:rPr>
        <w:t>:</w:t>
      </w:r>
      <w:r w:rsidRPr="00790F53">
        <w:rPr>
          <w:rFonts w:cs="Arial"/>
          <w:rtl/>
        </w:rPr>
        <w:t xml:space="preserve"> שירתה הוות עברא</w:t>
      </w:r>
      <w:r>
        <w:rPr>
          <w:rFonts w:cs="Arial" w:hint="cs"/>
          <w:rtl/>
        </w:rPr>
        <w:t>,</w:t>
      </w:r>
      <w:r w:rsidRPr="00790F53">
        <w:rPr>
          <w:rFonts w:cs="Arial"/>
          <w:rtl/>
        </w:rPr>
        <w:t xml:space="preserve"> והוינא אכול מינה תאינון</w:t>
      </w:r>
      <w:r>
        <w:rPr>
          <w:rStyle w:val="a9"/>
          <w:rFonts w:cs="Arial"/>
          <w:rtl/>
        </w:rPr>
        <w:footnoteReference w:id="1831"/>
      </w:r>
      <w:r w:rsidRPr="00790F53">
        <w:rPr>
          <w:rFonts w:cs="Arial"/>
          <w:rtl/>
        </w:rPr>
        <w:t>. הֲוֵי הוּא דּוּ אָמַר אין העכו"ם צריך הכן.</w:t>
      </w:r>
    </w:p>
    <w:p w14:paraId="629C4F15" w14:textId="265F1656" w:rsidR="002B27A3" w:rsidRPr="00EC7C4A" w:rsidRDefault="002B13D2" w:rsidP="00434A6A">
      <w:pPr>
        <w:rPr>
          <w:u w:val="single"/>
        </w:rPr>
      </w:pPr>
      <w:r>
        <w:rPr>
          <w:rFonts w:cs="Arial" w:hint="cs"/>
          <w:u w:val="single"/>
          <w:rtl/>
        </w:rPr>
        <w:t>האם הדברים של ה</w:t>
      </w:r>
      <w:r w:rsidR="008D1F2D" w:rsidRPr="008D1F2D">
        <w:rPr>
          <w:rFonts w:cs="Arial" w:hint="cs"/>
          <w:u w:val="single"/>
          <w:rtl/>
        </w:rPr>
        <w:t>גוי</w:t>
      </w:r>
      <w:r>
        <w:rPr>
          <w:rFonts w:cs="Arial" w:hint="cs"/>
          <w:u w:val="single"/>
          <w:rtl/>
        </w:rPr>
        <w:t xml:space="preserve"> נקראים מוכנים לישראל, או דהו מוקצה</w:t>
      </w:r>
      <w:r w:rsidR="008D1F2D" w:rsidRPr="008D1F2D">
        <w:rPr>
          <w:rFonts w:cs="Arial" w:hint="cs"/>
          <w:u w:val="single"/>
          <w:rtl/>
        </w:rPr>
        <w:t>:</w:t>
      </w:r>
    </w:p>
    <w:p w14:paraId="27096E55" w14:textId="231683D3" w:rsidR="00B77B88" w:rsidRPr="00B77B88" w:rsidRDefault="002D4002" w:rsidP="00434A6A">
      <w:pPr>
        <w:pStyle w:val="aa"/>
        <w:numPr>
          <w:ilvl w:val="0"/>
          <w:numId w:val="15"/>
        </w:numPr>
      </w:pPr>
      <w:r w:rsidRPr="001B7E3B">
        <w:rPr>
          <w:rFonts w:cs="Arial"/>
          <w:rtl/>
        </w:rPr>
        <w:t xml:space="preserve">אורחות חיים </w:t>
      </w:r>
      <w:r w:rsidRPr="001B7E3B">
        <w:rPr>
          <w:rFonts w:cs="Arial" w:hint="cs"/>
          <w:sz w:val="16"/>
          <w:szCs w:val="16"/>
          <w:rtl/>
        </w:rPr>
        <w:t>(</w:t>
      </w:r>
      <w:r w:rsidRPr="001B7E3B">
        <w:rPr>
          <w:rFonts w:cs="Arial"/>
          <w:sz w:val="16"/>
          <w:szCs w:val="16"/>
          <w:rtl/>
        </w:rPr>
        <w:t>ח</w:t>
      </w:r>
      <w:r w:rsidRPr="001B7E3B">
        <w:rPr>
          <w:rFonts w:cs="Arial" w:hint="cs"/>
          <w:sz w:val="16"/>
          <w:szCs w:val="16"/>
          <w:rtl/>
        </w:rPr>
        <w:t>"</w:t>
      </w:r>
      <w:r w:rsidRPr="001B7E3B">
        <w:rPr>
          <w:rFonts w:cs="Arial"/>
          <w:sz w:val="16"/>
          <w:szCs w:val="16"/>
          <w:rtl/>
        </w:rPr>
        <w:t>א הלכות י</w:t>
      </w:r>
      <w:r w:rsidRPr="001B7E3B">
        <w:rPr>
          <w:rFonts w:cs="Arial" w:hint="cs"/>
          <w:sz w:val="16"/>
          <w:szCs w:val="16"/>
          <w:rtl/>
        </w:rPr>
        <w:t>ו"ט</w:t>
      </w:r>
      <w:r>
        <w:rPr>
          <w:rFonts w:cs="Arial" w:hint="cs"/>
          <w:sz w:val="16"/>
          <w:szCs w:val="16"/>
          <w:rtl/>
        </w:rPr>
        <w:t>, וכ"כ בכל בו [</w:t>
      </w:r>
      <w:r w:rsidRPr="00836E4D">
        <w:rPr>
          <w:rFonts w:cs="Arial"/>
          <w:sz w:val="16"/>
          <w:szCs w:val="16"/>
          <w:rtl/>
        </w:rPr>
        <w:t>סי</w:t>
      </w:r>
      <w:r w:rsidRPr="00836E4D">
        <w:rPr>
          <w:rFonts w:cs="Arial" w:hint="cs"/>
          <w:sz w:val="16"/>
          <w:szCs w:val="16"/>
          <w:rtl/>
        </w:rPr>
        <w:t>'</w:t>
      </w:r>
      <w:r w:rsidRPr="00836E4D">
        <w:rPr>
          <w:rFonts w:cs="Arial"/>
          <w:sz w:val="16"/>
          <w:szCs w:val="16"/>
          <w:rtl/>
        </w:rPr>
        <w:t xml:space="preserve"> נח יט ע"ג</w:t>
      </w:r>
      <w:r w:rsidR="00B77B88">
        <w:rPr>
          <w:rFonts w:cs="Arial" w:hint="cs"/>
          <w:sz w:val="16"/>
          <w:szCs w:val="16"/>
          <w:rtl/>
        </w:rPr>
        <w:t>]</w:t>
      </w:r>
      <w:r w:rsidRPr="001B7E3B">
        <w:rPr>
          <w:rFonts w:cs="Arial" w:hint="cs"/>
          <w:sz w:val="16"/>
          <w:szCs w:val="16"/>
          <w:rtl/>
        </w:rPr>
        <w:t>)</w:t>
      </w:r>
      <w:r w:rsidR="00F76A96">
        <w:rPr>
          <w:rFonts w:cs="Arial" w:hint="cs"/>
          <w:rtl/>
        </w:rPr>
        <w:t xml:space="preserve">- </w:t>
      </w:r>
      <w:r w:rsidR="00F76A96" w:rsidRPr="001B7E3B">
        <w:rPr>
          <w:rFonts w:cs="Arial"/>
          <w:rtl/>
        </w:rPr>
        <w:t>עכו"ם שהביא דורון לישראל בי"ט</w:t>
      </w:r>
      <w:r w:rsidR="00F76A96">
        <w:rPr>
          <w:rFonts w:cs="Arial" w:hint="cs"/>
          <w:rtl/>
        </w:rPr>
        <w:t>...</w:t>
      </w:r>
      <w:r w:rsidR="00F76A96" w:rsidRPr="001B7E3B">
        <w:rPr>
          <w:rFonts w:cs="Arial"/>
          <w:rtl/>
        </w:rPr>
        <w:t xml:space="preserve"> ואם אין מאותו המין במחובר או שהיתה צורתו מוכחת עליו שמאתמול הוא נעקר או נצוד אם הביאו חוץ לתחום מותר ואין חוששין לשאר דיני מוקצה לפי שאין דין הכנה לעכו"ם כמו שאמרו ז"ל בירושלמי אין הכן לעכו"ם כלומר אין צריך לומ' לעכו"ם הכן לי שאם היו לו תמרי דעיסקא</w:t>
      </w:r>
      <w:r w:rsidR="00F76A96">
        <w:rPr>
          <w:rStyle w:val="a9"/>
          <w:rFonts w:cs="Arial"/>
          <w:rtl/>
        </w:rPr>
        <w:footnoteReference w:id="1832"/>
      </w:r>
      <w:r w:rsidR="00F76A96" w:rsidRPr="001B7E3B">
        <w:rPr>
          <w:rFonts w:cs="Arial"/>
          <w:rtl/>
        </w:rPr>
        <w:t xml:space="preserve"> או גרוגרות וצמוקים ועז לחלבה הכל מותר ואין צריך לומר הכנה</w:t>
      </w:r>
      <w:r w:rsidR="00F76A96">
        <w:rPr>
          <w:rStyle w:val="a9"/>
          <w:rFonts w:cs="Arial"/>
          <w:rtl/>
        </w:rPr>
        <w:footnoteReference w:id="1833"/>
      </w:r>
      <w:r w:rsidR="00F76A96">
        <w:rPr>
          <w:rFonts w:cs="Arial" w:hint="cs"/>
          <w:rtl/>
        </w:rPr>
        <w:t>.</w:t>
      </w:r>
      <w:r w:rsidR="00F76A96" w:rsidRPr="001B7E3B">
        <w:rPr>
          <w:rFonts w:cs="Arial"/>
          <w:rtl/>
        </w:rPr>
        <w:t xml:space="preserve"> </w:t>
      </w:r>
      <w:r w:rsidR="00F76A96">
        <w:rPr>
          <w:rFonts w:cs="Arial" w:hint="cs"/>
          <w:rtl/>
        </w:rPr>
        <w:t>וה</w:t>
      </w:r>
      <w:r w:rsidR="00F76A96" w:rsidRPr="001B7E3B">
        <w:rPr>
          <w:rFonts w:cs="Arial"/>
          <w:rtl/>
        </w:rPr>
        <w:t>ראב"ד ז"ל פירש אין הכן לעכו"ם שאין הכנה מועלת לעכו"ם כל מה שבידו ספק מוקצה מה שאין כן בישראל שישראל שהביא דורון לישראל מותר שאין מביא אלא מן המותר</w:t>
      </w:r>
      <w:r w:rsidR="00F76A96">
        <w:rPr>
          <w:rFonts w:cs="Arial" w:hint="cs"/>
          <w:rtl/>
        </w:rPr>
        <w:t>.</w:t>
      </w:r>
    </w:p>
    <w:p w14:paraId="23B37FC8" w14:textId="7C6E0082" w:rsidR="00B77B88" w:rsidRPr="00F76A96" w:rsidRDefault="00B77B88" w:rsidP="00434A6A">
      <w:pPr>
        <w:pStyle w:val="aa"/>
        <w:numPr>
          <w:ilvl w:val="0"/>
          <w:numId w:val="15"/>
        </w:numPr>
      </w:pPr>
      <w:r>
        <w:rPr>
          <w:rFonts w:cs="Arial" w:hint="cs"/>
          <w:rtl/>
        </w:rPr>
        <w:t xml:space="preserve">כל בו </w:t>
      </w:r>
      <w:r>
        <w:rPr>
          <w:rFonts w:cs="Arial" w:hint="cs"/>
          <w:sz w:val="16"/>
          <w:szCs w:val="16"/>
          <w:rtl/>
        </w:rPr>
        <w:t>(</w:t>
      </w:r>
      <w:r w:rsidRPr="002D4002">
        <w:rPr>
          <w:rFonts w:cs="Arial"/>
          <w:sz w:val="16"/>
          <w:szCs w:val="16"/>
          <w:rtl/>
        </w:rPr>
        <w:t>סי' לא לב ע"ד</w:t>
      </w:r>
      <w:r>
        <w:rPr>
          <w:rFonts w:cs="Arial" w:hint="cs"/>
          <w:sz w:val="16"/>
          <w:szCs w:val="16"/>
          <w:rtl/>
        </w:rPr>
        <w:t>)</w:t>
      </w:r>
      <w:r>
        <w:rPr>
          <w:rFonts w:cs="Arial" w:hint="cs"/>
          <w:rtl/>
        </w:rPr>
        <w:t>-</w:t>
      </w:r>
      <w:r w:rsidRPr="002D4002">
        <w:rPr>
          <w:rFonts w:cs="Arial"/>
          <w:rtl/>
        </w:rPr>
        <w:t xml:space="preserve"> יש מפרשים הירושלמי אין הכן לגוי אין צריך שיכין לישראל אע</w:t>
      </w:r>
      <w:r>
        <w:rPr>
          <w:rFonts w:cs="Arial" w:hint="cs"/>
          <w:rtl/>
        </w:rPr>
        <w:t>"</w:t>
      </w:r>
      <w:r w:rsidRPr="002D4002">
        <w:rPr>
          <w:rFonts w:cs="Arial"/>
          <w:rtl/>
        </w:rPr>
        <w:t>פ שלא העלה בדעתו שיאכל הישראל מפירותיו מוכנים הם לישראל</w:t>
      </w:r>
      <w:r>
        <w:rPr>
          <w:rFonts w:cs="Arial" w:hint="cs"/>
          <w:rtl/>
        </w:rPr>
        <w:t>.</w:t>
      </w:r>
      <w:r w:rsidRPr="002D4002">
        <w:rPr>
          <w:rFonts w:cs="Arial"/>
          <w:rtl/>
        </w:rPr>
        <w:t xml:space="preserve"> ומיהו פירות דכולי עלמא מקצי דעתייהו מינייהו כגון גרוגרות וצמוקים</w:t>
      </w:r>
      <w:r>
        <w:rPr>
          <w:rFonts w:cs="Arial" w:hint="cs"/>
          <w:rtl/>
        </w:rPr>
        <w:t xml:space="preserve"> -</w:t>
      </w:r>
      <w:r w:rsidRPr="002D4002">
        <w:rPr>
          <w:rFonts w:cs="Arial"/>
          <w:rtl/>
        </w:rPr>
        <w:t xml:space="preserve"> צריכין הכנה ואפילו הם ביד גוי</w:t>
      </w:r>
      <w:r>
        <w:rPr>
          <w:rFonts w:hint="cs"/>
          <w:rtl/>
        </w:rPr>
        <w:t>.</w:t>
      </w:r>
    </w:p>
    <w:p w14:paraId="371DBC14" w14:textId="4ED5F25E" w:rsidR="002D4002" w:rsidRPr="00FC5BE5" w:rsidRDefault="002D4002" w:rsidP="00434A6A">
      <w:pPr>
        <w:pStyle w:val="aa"/>
        <w:numPr>
          <w:ilvl w:val="0"/>
          <w:numId w:val="15"/>
        </w:numPr>
        <w:rPr>
          <w:rtl/>
        </w:rPr>
      </w:pPr>
      <w:r>
        <w:rPr>
          <w:rFonts w:cs="Arial" w:hint="cs"/>
          <w:rtl/>
        </w:rPr>
        <w:t>ר"ן</w:t>
      </w:r>
      <w:r>
        <w:rPr>
          <w:rFonts w:cs="Arial" w:hint="cs"/>
          <w:sz w:val="16"/>
          <w:szCs w:val="16"/>
          <w:rtl/>
        </w:rPr>
        <w:t xml:space="preserve"> (מו: ד"ה עשה)</w:t>
      </w:r>
      <w:r>
        <w:rPr>
          <w:rFonts w:cs="Arial" w:hint="cs"/>
          <w:rtl/>
        </w:rPr>
        <w:t xml:space="preserve">- </w:t>
      </w:r>
      <w:r w:rsidRPr="002B27A3">
        <w:rPr>
          <w:rFonts w:cs="Arial"/>
          <w:rtl/>
        </w:rPr>
        <w:t>עשה כבש לירד בו ירד ישראל אחריו. כבש עושין בספינה גדולה לירד מן הספינה ליבשה</w:t>
      </w:r>
      <w:r>
        <w:rPr>
          <w:rFonts w:cs="Arial" w:hint="cs"/>
          <w:rtl/>
        </w:rPr>
        <w:t>,</w:t>
      </w:r>
      <w:r w:rsidRPr="002B27A3">
        <w:rPr>
          <w:rFonts w:cs="Arial"/>
          <w:rtl/>
        </w:rPr>
        <w:t xml:space="preserve"> וכתב הרמב"ן ז"ל </w:t>
      </w:r>
      <w:r w:rsidRPr="00454569">
        <w:rPr>
          <w:rFonts w:cs="Arial"/>
          <w:sz w:val="16"/>
          <w:szCs w:val="16"/>
          <w:rtl/>
        </w:rPr>
        <w:t>(קכב. ד"ה מתני')</w:t>
      </w:r>
      <w:r>
        <w:rPr>
          <w:rFonts w:cs="Arial" w:hint="cs"/>
          <w:sz w:val="16"/>
          <w:szCs w:val="16"/>
          <w:rtl/>
        </w:rPr>
        <w:t xml:space="preserve"> </w:t>
      </w:r>
      <w:r w:rsidRPr="002B27A3">
        <w:rPr>
          <w:rFonts w:cs="Arial"/>
          <w:rtl/>
        </w:rPr>
        <w:t>דדוקא ירד אחריו שאינו מטלטלו אלא שיורד בו ואינו אלא כיושב על האבן</w:t>
      </w:r>
      <w:r>
        <w:rPr>
          <w:rFonts w:cs="Arial" w:hint="cs"/>
          <w:rtl/>
        </w:rPr>
        <w:t>,</w:t>
      </w:r>
      <w:r w:rsidRPr="002B27A3">
        <w:rPr>
          <w:rFonts w:cs="Arial"/>
          <w:rtl/>
        </w:rPr>
        <w:t xml:space="preserve"> אבל לטלטלו אסור אא"כ היו העצים תלושין מע"ש דבכה"ג ליכא משום מוקצה לפי שאין הנכרי מקצה כלום ודעתו על הכל כמו שאמרו בירושלמי </w:t>
      </w:r>
      <w:r w:rsidRPr="00AC6DD2">
        <w:rPr>
          <w:rFonts w:cs="Arial" w:hint="cs"/>
          <w:sz w:val="16"/>
          <w:szCs w:val="16"/>
          <w:rtl/>
        </w:rPr>
        <w:t>(שבת פ"א ה"ז , ביצה פ"ג ה"ב)</w:t>
      </w:r>
      <w:r w:rsidRPr="00AC6DD2">
        <w:rPr>
          <w:rFonts w:cs="Arial"/>
          <w:sz w:val="16"/>
          <w:szCs w:val="16"/>
          <w:rtl/>
        </w:rPr>
        <w:t xml:space="preserve"> </w:t>
      </w:r>
      <w:r w:rsidRPr="002B27A3">
        <w:rPr>
          <w:rFonts w:cs="Arial"/>
          <w:rtl/>
        </w:rPr>
        <w:t>דאין הכן לנכרי</w:t>
      </w:r>
      <w:r>
        <w:rPr>
          <w:rFonts w:cs="Arial" w:hint="cs"/>
          <w:rtl/>
        </w:rPr>
        <w:t>.</w:t>
      </w:r>
      <w:r w:rsidRPr="002B27A3">
        <w:rPr>
          <w:rFonts w:cs="Arial"/>
          <w:rtl/>
        </w:rPr>
        <w:t xml:space="preserve"> אבל בתלש עצים מן המחובר בשבת אסור לטלטלו</w:t>
      </w:r>
      <w:r>
        <w:rPr>
          <w:rStyle w:val="a9"/>
          <w:rFonts w:cs="Arial"/>
          <w:rtl/>
        </w:rPr>
        <w:footnoteReference w:id="1834"/>
      </w:r>
      <w:r w:rsidR="00AC6DD2">
        <w:rPr>
          <w:rFonts w:cs="Arial" w:hint="cs"/>
          <w:sz w:val="16"/>
          <w:szCs w:val="16"/>
          <w:rtl/>
        </w:rPr>
        <w:t xml:space="preserve"> (ל' הר"ן)</w:t>
      </w:r>
      <w:r>
        <w:rPr>
          <w:rFonts w:cs="Arial" w:hint="cs"/>
          <w:rtl/>
        </w:rPr>
        <w:t>.</w:t>
      </w:r>
      <w:r w:rsidR="002B13D2" w:rsidRPr="002B13D2">
        <w:rPr>
          <w:rFonts w:hint="cs"/>
          <w:color w:val="00B0F0"/>
          <w:rtl/>
        </w:rPr>
        <w:t xml:space="preserve"> (וכ"פ הרמ"א)</w:t>
      </w:r>
    </w:p>
    <w:p w14:paraId="7976C2F4" w14:textId="4CF8B1CE" w:rsidR="002D4002" w:rsidRPr="00FB3622" w:rsidRDefault="002D4002" w:rsidP="00434A6A">
      <w:pPr>
        <w:pStyle w:val="aa"/>
        <w:numPr>
          <w:ilvl w:val="1"/>
          <w:numId w:val="15"/>
        </w:numPr>
        <w:rPr>
          <w:rtl/>
        </w:rPr>
      </w:pPr>
      <w:r>
        <w:rPr>
          <w:rFonts w:cs="Arial" w:hint="cs"/>
          <w:rtl/>
        </w:rPr>
        <w:t>ב"י</w:t>
      </w:r>
      <w:r w:rsidR="00AC6DD2">
        <w:rPr>
          <w:rFonts w:cs="Arial" w:hint="cs"/>
          <w:sz w:val="16"/>
          <w:szCs w:val="16"/>
          <w:rtl/>
        </w:rPr>
        <w:t xml:space="preserve"> (סי' שח סע' מא)</w:t>
      </w:r>
      <w:r>
        <w:rPr>
          <w:rFonts w:cs="Arial" w:hint="cs"/>
          <w:rtl/>
        </w:rPr>
        <w:t xml:space="preserve">- </w:t>
      </w:r>
      <w:r w:rsidRPr="005A0413">
        <w:rPr>
          <w:rFonts w:cs="Arial"/>
          <w:rtl/>
        </w:rPr>
        <w:t>ולענין הלכה כדברי הר"ן נקטינן שהוא רב מובהק וכל שכן שהוא להקל בדרבנן</w:t>
      </w:r>
      <w:r>
        <w:rPr>
          <w:rFonts w:cs="Arial" w:hint="cs"/>
          <w:rtl/>
        </w:rPr>
        <w:t>.</w:t>
      </w:r>
    </w:p>
    <w:p w14:paraId="3C2CF948" w14:textId="77777777" w:rsidR="00EF7C96" w:rsidRPr="005275DF" w:rsidRDefault="00EF7C96" w:rsidP="00434A6A">
      <w:pPr>
        <w:rPr>
          <w:rFonts w:asciiTheme="minorBidi" w:hAnsiTheme="minorBidi"/>
          <w:rtl/>
        </w:rPr>
      </w:pPr>
      <w:r w:rsidRPr="005275DF">
        <w:rPr>
          <w:rFonts w:asciiTheme="minorBidi" w:hAnsiTheme="minorBidi"/>
          <w:b/>
          <w:bCs/>
          <w:sz w:val="32"/>
          <w:szCs w:val="28"/>
          <w:u w:val="single"/>
          <w:rtl/>
        </w:rPr>
        <w:t xml:space="preserve">שו"ע: </w:t>
      </w:r>
    </w:p>
    <w:p w14:paraId="07DB8586" w14:textId="30967256" w:rsidR="000C6229" w:rsidRPr="005275DF" w:rsidRDefault="000C6229" w:rsidP="00434A6A">
      <w:pPr>
        <w:rPr>
          <w:rFonts w:asciiTheme="minorBidi" w:hAnsiTheme="minorBidi"/>
          <w:rtl/>
        </w:rPr>
      </w:pPr>
      <w:r w:rsidRPr="005275DF">
        <w:rPr>
          <w:rFonts w:asciiTheme="minorBidi" w:hAnsiTheme="minorBidi"/>
          <w:rtl/>
        </w:rPr>
        <w:t>אין שום אוכל תלוש הראוי לאכילה מוקצה לשבת</w:t>
      </w:r>
      <w:r w:rsidR="00EB5726">
        <w:rPr>
          <w:rFonts w:asciiTheme="minorBidi" w:hAnsiTheme="minorBidi" w:hint="cs"/>
          <w:rtl/>
        </w:rPr>
        <w:t>.</w:t>
      </w:r>
      <w:r w:rsidRPr="005275DF">
        <w:rPr>
          <w:rFonts w:asciiTheme="minorBidi" w:hAnsiTheme="minorBidi"/>
          <w:rtl/>
        </w:rPr>
        <w:t xml:space="preserve"> דתמרים ושקדים ושאר פירות העומדים לסחורה, מותר לאכול מהם בשבת. ואפי</w:t>
      </w:r>
      <w:r w:rsidR="00EB5726">
        <w:rPr>
          <w:rFonts w:asciiTheme="minorBidi" w:hAnsiTheme="minorBidi" w:hint="cs"/>
          <w:rtl/>
        </w:rPr>
        <w:t>לו</w:t>
      </w:r>
      <w:r w:rsidRPr="005275DF">
        <w:rPr>
          <w:rFonts w:asciiTheme="minorBidi" w:hAnsiTheme="minorBidi"/>
          <w:rtl/>
        </w:rPr>
        <w:t xml:space="preserve"> חטים שזרעם בקרקע</w:t>
      </w:r>
      <w:r w:rsidR="00F61A49">
        <w:rPr>
          <w:rStyle w:val="a9"/>
          <w:rFonts w:asciiTheme="minorBidi" w:hAnsiTheme="minorBidi"/>
          <w:rtl/>
        </w:rPr>
        <w:footnoteReference w:id="1835"/>
      </w:r>
      <w:r w:rsidRPr="005275DF">
        <w:rPr>
          <w:rFonts w:asciiTheme="minorBidi" w:hAnsiTheme="minorBidi"/>
          <w:rtl/>
        </w:rPr>
        <w:t xml:space="preserve"> ועדיין לא השרישו</w:t>
      </w:r>
      <w:r w:rsidR="000032EE">
        <w:rPr>
          <w:rStyle w:val="a9"/>
          <w:rFonts w:asciiTheme="minorBidi" w:hAnsiTheme="minorBidi"/>
          <w:rtl/>
        </w:rPr>
        <w:footnoteReference w:id="1836"/>
      </w:r>
      <w:r w:rsidRPr="005275DF">
        <w:rPr>
          <w:rFonts w:asciiTheme="minorBidi" w:hAnsiTheme="minorBidi"/>
          <w:rtl/>
        </w:rPr>
        <w:t>, וביצים שתחת התרנגולת, מותר לטלטלן. וכן תמרים הלקוטים קודם בישולן וכונסין אותם בסלים והם מתבשלים מאליהן, מותר לאכול מהם קודם בישולן. אבל גרוגרות וצמוקים שמניחים אותם במוקצה לייבשן, אסורין בשבת משום מוקצה, שהן מסריחות קודם שיתייבשו, דכיון שיודע שיסריחו הסיח דעתו מהם וכיון דאיכא תרתי</w:t>
      </w:r>
      <w:r w:rsidR="00EF1724">
        <w:rPr>
          <w:rFonts w:asciiTheme="minorBidi" w:hAnsiTheme="minorBidi" w:hint="cs"/>
          <w:rtl/>
        </w:rPr>
        <w:t>,</w:t>
      </w:r>
      <w:r w:rsidRPr="005275DF">
        <w:rPr>
          <w:rFonts w:asciiTheme="minorBidi" w:hAnsiTheme="minorBidi"/>
          <w:rtl/>
        </w:rPr>
        <w:t xml:space="preserve"> דחינהו בידים, ולא חזו, הוי מוקצה. </w:t>
      </w:r>
      <w:r w:rsidRPr="00551266">
        <w:rPr>
          <w:rFonts w:asciiTheme="minorBidi" w:hAnsiTheme="minorBidi"/>
          <w:sz w:val="18"/>
          <w:szCs w:val="18"/>
          <w:rtl/>
        </w:rPr>
        <w:t xml:space="preserve">הגה: י"א דאין הכנה שייך בשל </w:t>
      </w:r>
      <w:r w:rsidR="007A042F" w:rsidRPr="00551266">
        <w:rPr>
          <w:rFonts w:asciiTheme="minorBidi" w:hAnsiTheme="minorBidi"/>
          <w:sz w:val="18"/>
          <w:szCs w:val="18"/>
          <w:rtl/>
        </w:rPr>
        <w:t>גוי</w:t>
      </w:r>
      <w:r w:rsidRPr="00551266">
        <w:rPr>
          <w:rFonts w:asciiTheme="minorBidi" w:hAnsiTheme="minorBidi"/>
          <w:sz w:val="18"/>
          <w:szCs w:val="18"/>
          <w:rtl/>
        </w:rPr>
        <w:t>, ואפילו גרוגרות וצמוקים שבידו מותרים</w:t>
      </w:r>
      <w:r w:rsidR="00AA5272">
        <w:rPr>
          <w:rStyle w:val="a9"/>
          <w:rFonts w:asciiTheme="minorBidi" w:hAnsiTheme="minorBidi"/>
          <w:sz w:val="18"/>
          <w:szCs w:val="18"/>
          <w:rtl/>
        </w:rPr>
        <w:footnoteReference w:id="1837"/>
      </w:r>
      <w:r w:rsidRPr="00551266">
        <w:rPr>
          <w:rFonts w:asciiTheme="minorBidi" w:hAnsiTheme="minorBidi"/>
          <w:sz w:val="18"/>
          <w:szCs w:val="18"/>
          <w:rtl/>
        </w:rPr>
        <w:t xml:space="preserve"> (ר"ן). </w:t>
      </w:r>
    </w:p>
    <w:p w14:paraId="0B9E25BF" w14:textId="77777777" w:rsidR="000C6229" w:rsidRPr="005275DF" w:rsidRDefault="000C6229" w:rsidP="00434A6A">
      <w:pPr>
        <w:rPr>
          <w:rFonts w:asciiTheme="minorBidi" w:hAnsiTheme="minorBidi"/>
          <w:rtl/>
        </w:rPr>
      </w:pPr>
    </w:p>
    <w:p w14:paraId="4D1ACF7A" w14:textId="6F4C94B8" w:rsidR="000C6229" w:rsidRDefault="000C6229" w:rsidP="00434A6A">
      <w:pPr>
        <w:pStyle w:val="2"/>
        <w:rPr>
          <w:rtl/>
        </w:rPr>
      </w:pPr>
      <w:r w:rsidRPr="005275DF">
        <w:rPr>
          <w:rtl/>
        </w:rPr>
        <w:t>סעיף ג</w:t>
      </w:r>
      <w:r w:rsidR="00EF1724">
        <w:rPr>
          <w:rFonts w:hint="cs"/>
          <w:rtl/>
        </w:rPr>
        <w:t xml:space="preserve">: </w:t>
      </w:r>
      <w:r w:rsidR="005979E4">
        <w:rPr>
          <w:rFonts w:hint="cs"/>
          <w:rtl/>
        </w:rPr>
        <w:t>מוקצה לחצי שבת.</w:t>
      </w:r>
    </w:p>
    <w:p w14:paraId="7EC14CD7" w14:textId="76A5515E" w:rsidR="004F7BCD" w:rsidRPr="005F3B08" w:rsidRDefault="005979E4" w:rsidP="00434A6A">
      <w:pPr>
        <w:rPr>
          <w:rFonts w:cs="Arial"/>
          <w:rtl/>
        </w:rPr>
      </w:pPr>
      <w:r w:rsidRPr="005979E4">
        <w:rPr>
          <w:rFonts w:cs="Arial" w:hint="cs"/>
          <w:b/>
          <w:bCs/>
          <w:rtl/>
        </w:rPr>
        <w:t xml:space="preserve">ביצה </w:t>
      </w:r>
      <w:r w:rsidRPr="005979E4">
        <w:rPr>
          <w:rFonts w:cs="Arial" w:hint="cs"/>
          <w:b/>
          <w:bCs/>
          <w:sz w:val="16"/>
          <w:szCs w:val="16"/>
          <w:rtl/>
        </w:rPr>
        <w:t>(פ' אין צדין)</w:t>
      </w:r>
      <w:r w:rsidRPr="005979E4">
        <w:rPr>
          <w:rFonts w:cs="Arial" w:hint="cs"/>
          <w:b/>
          <w:bCs/>
          <w:rtl/>
        </w:rPr>
        <w:t xml:space="preserve"> כו ע"ב:</w:t>
      </w:r>
      <w:r>
        <w:rPr>
          <w:rFonts w:cs="Arial" w:hint="cs"/>
          <w:rtl/>
        </w:rPr>
        <w:t xml:space="preserve"> </w:t>
      </w:r>
      <w:r w:rsidRPr="00186E81">
        <w:rPr>
          <w:rFonts w:cs="Arial"/>
          <w:u w:val="single"/>
          <w:rtl/>
        </w:rPr>
        <w:t>בעי מיניה הלל מרבא</w:t>
      </w:r>
      <w:r w:rsidRPr="005979E4">
        <w:rPr>
          <w:rFonts w:cs="Arial"/>
          <w:rtl/>
        </w:rPr>
        <w:t>: יש מוקצה לחצי שבת</w:t>
      </w:r>
      <w:r w:rsidR="00186E81">
        <w:rPr>
          <w:rStyle w:val="a9"/>
          <w:rFonts w:cs="Arial"/>
          <w:rtl/>
        </w:rPr>
        <w:footnoteReference w:id="1838"/>
      </w:r>
      <w:r w:rsidRPr="005979E4">
        <w:rPr>
          <w:rFonts w:cs="Arial"/>
          <w:rtl/>
        </w:rPr>
        <w:t xml:space="preserve"> או אין מוקצה לחצי שבת? היכי דמי</w:t>
      </w:r>
      <w:r w:rsidR="00186E81">
        <w:rPr>
          <w:rStyle w:val="a9"/>
          <w:rFonts w:cs="Arial"/>
          <w:rtl/>
        </w:rPr>
        <w:footnoteReference w:id="1839"/>
      </w:r>
      <w:r w:rsidRPr="005979E4">
        <w:rPr>
          <w:rFonts w:cs="Arial"/>
          <w:rtl/>
        </w:rPr>
        <w:t>, אי דאחזי</w:t>
      </w:r>
      <w:r w:rsidR="00186E81">
        <w:rPr>
          <w:rStyle w:val="a9"/>
          <w:rFonts w:cs="Arial"/>
          <w:rtl/>
        </w:rPr>
        <w:footnoteReference w:id="1840"/>
      </w:r>
      <w:r w:rsidRPr="005979E4">
        <w:rPr>
          <w:rFonts w:cs="Arial"/>
          <w:rtl/>
        </w:rPr>
        <w:t xml:space="preserve"> בין השמשות - אחזי; אי דלא אחזי</w:t>
      </w:r>
      <w:r w:rsidR="00186E81">
        <w:rPr>
          <w:rStyle w:val="a9"/>
          <w:rFonts w:cs="Arial"/>
          <w:rtl/>
        </w:rPr>
        <w:footnoteReference w:id="1841"/>
      </w:r>
      <w:r w:rsidRPr="005979E4">
        <w:rPr>
          <w:rFonts w:cs="Arial"/>
          <w:rtl/>
        </w:rPr>
        <w:t xml:space="preserve"> - לא אחזי! לא צריכא דאחזי</w:t>
      </w:r>
      <w:r w:rsidR="00186E81">
        <w:rPr>
          <w:rStyle w:val="a9"/>
          <w:rFonts w:cs="Arial"/>
          <w:rtl/>
        </w:rPr>
        <w:footnoteReference w:id="1842"/>
      </w:r>
      <w:r w:rsidRPr="005979E4">
        <w:rPr>
          <w:rFonts w:cs="Arial"/>
          <w:rtl/>
        </w:rPr>
        <w:t xml:space="preserve"> והדר אדחי, והדר אחזי, מאי? </w:t>
      </w:r>
      <w:r w:rsidRPr="00186E81">
        <w:rPr>
          <w:rFonts w:cs="Arial"/>
          <w:u w:val="single"/>
          <w:rtl/>
        </w:rPr>
        <w:t>אמר ליה</w:t>
      </w:r>
      <w:r w:rsidRPr="005979E4">
        <w:rPr>
          <w:rFonts w:cs="Arial"/>
          <w:rtl/>
        </w:rPr>
        <w:t>: יש מוקצה.</w:t>
      </w:r>
      <w:r>
        <w:rPr>
          <w:rFonts w:cs="Arial" w:hint="cs"/>
          <w:rtl/>
        </w:rPr>
        <w:t>.</w:t>
      </w:r>
      <w:r w:rsidRPr="005979E4">
        <w:rPr>
          <w:rFonts w:cs="Arial"/>
          <w:rtl/>
        </w:rPr>
        <w:t xml:space="preserve">. </w:t>
      </w:r>
      <w:r w:rsidRPr="00186E81">
        <w:rPr>
          <w:rFonts w:cs="Arial"/>
          <w:u w:val="dotted"/>
          <w:rtl/>
        </w:rPr>
        <w:t>איכא דאמרי</w:t>
      </w:r>
      <w:r w:rsidRPr="005979E4">
        <w:rPr>
          <w:rFonts w:cs="Arial"/>
          <w:rtl/>
        </w:rPr>
        <w:t xml:space="preserve">, </w:t>
      </w:r>
      <w:r w:rsidRPr="00186E81">
        <w:rPr>
          <w:rFonts w:cs="Arial"/>
          <w:u w:val="single"/>
          <w:rtl/>
        </w:rPr>
        <w:t>אמר ליה</w:t>
      </w:r>
      <w:r w:rsidRPr="005979E4">
        <w:rPr>
          <w:rFonts w:cs="Arial"/>
          <w:rtl/>
        </w:rPr>
        <w:t>: אין מוקצה לחצי שבת.</w:t>
      </w:r>
      <w:r>
        <w:rPr>
          <w:rFonts w:cs="Arial" w:hint="cs"/>
          <w:rtl/>
        </w:rPr>
        <w:t>..</w:t>
      </w:r>
      <w:r w:rsidRPr="005979E4">
        <w:rPr>
          <w:rFonts w:cs="Arial"/>
          <w:rtl/>
        </w:rPr>
        <w:t xml:space="preserve"> </w:t>
      </w:r>
      <w:r w:rsidRPr="003239DC">
        <w:rPr>
          <w:rFonts w:cs="Arial"/>
          <w:u w:val="single"/>
          <w:rtl/>
        </w:rPr>
        <w:t>אמר רבי זירא</w:t>
      </w:r>
      <w:r w:rsidRPr="005979E4">
        <w:rPr>
          <w:rFonts w:cs="Arial"/>
          <w:rtl/>
        </w:rPr>
        <w:t xml:space="preserve">: תא שמע מפולין ועדשים דהא פולין ועדשים מעיקרא חזו לכוס, שדינהו בקדרה - אדחו להו, </w:t>
      </w:r>
      <w:r w:rsidR="00186E81">
        <w:rPr>
          <w:rFonts w:cs="Arial" w:hint="cs"/>
          <w:sz w:val="14"/>
          <w:szCs w:val="14"/>
          <w:rtl/>
        </w:rPr>
        <w:t xml:space="preserve">(כה.) </w:t>
      </w:r>
      <w:r w:rsidR="00186E81" w:rsidRPr="00186E81">
        <w:rPr>
          <w:rFonts w:cs="Arial"/>
          <w:rtl/>
        </w:rPr>
        <w:t xml:space="preserve">גמר בשולייהו - חזו להו. </w:t>
      </w:r>
      <w:r w:rsidR="00186E81" w:rsidRPr="003239DC">
        <w:rPr>
          <w:rFonts w:cs="Arial"/>
          <w:u w:val="single"/>
          <w:rtl/>
        </w:rPr>
        <w:t>אמר ליה אביי</w:t>
      </w:r>
      <w:r w:rsidR="00186E81" w:rsidRPr="00186E81">
        <w:rPr>
          <w:rFonts w:cs="Arial"/>
          <w:rtl/>
        </w:rPr>
        <w:t>: ולטעמיך, תקשי לך קדרות דעלמא: דהא סתם קדרות דעלמא בין השמשות רותחות הן, ולאורתא אכלינן מינייהו! אלא, גמרו בידי אדם - לא קא מבעיא לן, כי קא מבעיא לן - גמרו בידי שמים.</w:t>
      </w:r>
      <w:r w:rsidR="005F3B08">
        <w:rPr>
          <w:rFonts w:cs="Arial" w:hint="cs"/>
          <w:sz w:val="16"/>
          <w:szCs w:val="16"/>
          <w:rtl/>
        </w:rPr>
        <w:t xml:space="preserve"> </w:t>
      </w:r>
      <w:r w:rsidR="005F3B08" w:rsidRPr="005F3B08">
        <w:rPr>
          <w:rFonts w:cs="Arial" w:hint="cs"/>
          <w:sz w:val="16"/>
          <w:szCs w:val="16"/>
          <w:rtl/>
        </w:rPr>
        <w:t>(</w:t>
      </w:r>
      <w:r w:rsidR="00132526" w:rsidRPr="005F3B08">
        <w:rPr>
          <w:rFonts w:cs="Arial"/>
          <w:sz w:val="16"/>
          <w:szCs w:val="16"/>
          <w:rtl/>
        </w:rPr>
        <w:t>וכתב הרא"ש (סי' ז) ובמידי דאכילה קא מיבעיא ליה</w:t>
      </w:r>
      <w:r w:rsidR="005F3B08" w:rsidRPr="005F3B08">
        <w:rPr>
          <w:rFonts w:cs="Arial" w:hint="cs"/>
          <w:sz w:val="16"/>
          <w:szCs w:val="16"/>
          <w:rtl/>
        </w:rPr>
        <w:t>,</w:t>
      </w:r>
      <w:r w:rsidR="00132526" w:rsidRPr="005F3B08">
        <w:rPr>
          <w:rFonts w:cs="Arial"/>
          <w:sz w:val="16"/>
          <w:szCs w:val="16"/>
          <w:rtl/>
        </w:rPr>
        <w:t xml:space="preserve"> אבל במידי דטלטול פשיטא דאין מוקצה לחצי שבת מדתנן (שבת קכח:) כופין את הסל לפני האפרוחים כדי שיעלו וירדו</w:t>
      </w:r>
      <w:r w:rsidR="005F3B08" w:rsidRPr="005F3B08">
        <w:rPr>
          <w:rFonts w:cs="Arial" w:hint="cs"/>
          <w:sz w:val="16"/>
          <w:szCs w:val="16"/>
          <w:rtl/>
        </w:rPr>
        <w:t>,</w:t>
      </w:r>
      <w:r w:rsidR="00132526" w:rsidRPr="005F3B08">
        <w:rPr>
          <w:rFonts w:cs="Arial"/>
          <w:sz w:val="16"/>
          <w:szCs w:val="16"/>
          <w:rtl/>
        </w:rPr>
        <w:t xml:space="preserve"> ותניא בפרק כירה (מג.) מותר לטלטלן כשאינן עליו והוא שלא היו עליו כל בין השמשות</w:t>
      </w:r>
      <w:r w:rsidR="005F3B08" w:rsidRPr="005F3B08">
        <w:rPr>
          <w:rFonts w:cs="Arial" w:hint="cs"/>
          <w:sz w:val="16"/>
          <w:szCs w:val="16"/>
          <w:rtl/>
        </w:rPr>
        <w:t>,</w:t>
      </w:r>
      <w:r w:rsidR="00132526" w:rsidRPr="005F3B08">
        <w:rPr>
          <w:rFonts w:cs="Arial"/>
          <w:sz w:val="16"/>
          <w:szCs w:val="16"/>
          <w:rtl/>
        </w:rPr>
        <w:t xml:space="preserve"> ועוד דקאמר התם (מד:) אמר רב מטה שיש עליה מעות אסור לטלטלה אין עליה מעות מותר לטלטלה והוא שלא היו עליה כל בין השמשות</w:t>
      </w:r>
      <w:r w:rsidR="005F3B08" w:rsidRPr="005F3B08">
        <w:rPr>
          <w:rFonts w:cs="Arial" w:hint="cs"/>
          <w:sz w:val="16"/>
          <w:szCs w:val="16"/>
          <w:rtl/>
        </w:rPr>
        <w:t>.</w:t>
      </w:r>
      <w:r w:rsidR="00132526" w:rsidRPr="005F3B08">
        <w:rPr>
          <w:rFonts w:cs="Arial"/>
          <w:sz w:val="16"/>
          <w:szCs w:val="16"/>
          <w:rtl/>
        </w:rPr>
        <w:t xml:space="preserve"> ואיכא תרי לישני בגמרא</w:t>
      </w:r>
      <w:r w:rsidR="005F3B08" w:rsidRPr="005F3B08">
        <w:rPr>
          <w:rFonts w:cs="Arial" w:hint="cs"/>
          <w:sz w:val="16"/>
          <w:szCs w:val="16"/>
          <w:rtl/>
        </w:rPr>
        <w:t>,</w:t>
      </w:r>
      <w:r w:rsidR="00132526" w:rsidRPr="005F3B08">
        <w:rPr>
          <w:rFonts w:cs="Arial"/>
          <w:sz w:val="16"/>
          <w:szCs w:val="16"/>
          <w:rtl/>
        </w:rPr>
        <w:t xml:space="preserve"> </w:t>
      </w:r>
      <w:r w:rsidR="005F3B08" w:rsidRPr="005F3B08">
        <w:rPr>
          <w:rFonts w:cs="Arial"/>
          <w:sz w:val="16"/>
          <w:szCs w:val="16"/>
          <w:rtl/>
        </w:rPr>
        <w:t>בלישנא קמא א"ל יש מוקצה לחצי שבת ובלישנא בתרא א"ל אין מוקצה לחצי שבת</w:t>
      </w:r>
      <w:r w:rsidR="005F3B08" w:rsidRPr="005F3B08">
        <w:rPr>
          <w:rFonts w:cs="Arial" w:hint="cs"/>
          <w:sz w:val="16"/>
          <w:szCs w:val="16"/>
          <w:rtl/>
        </w:rPr>
        <w:t>,</w:t>
      </w:r>
      <w:r w:rsidR="005F3B08" w:rsidRPr="005F3B08">
        <w:rPr>
          <w:rFonts w:cs="Arial"/>
          <w:sz w:val="16"/>
          <w:szCs w:val="16"/>
          <w:rtl/>
        </w:rPr>
        <w:t xml:space="preserve"> ומיסתבר כלישנא בתרא</w:t>
      </w:r>
      <w:r w:rsidR="005F3B08" w:rsidRPr="005F3B08">
        <w:rPr>
          <w:rFonts w:cs="Arial" w:hint="cs"/>
          <w:sz w:val="16"/>
          <w:szCs w:val="16"/>
          <w:rtl/>
        </w:rPr>
        <w:t>,</w:t>
      </w:r>
      <w:r w:rsidR="005F3B08" w:rsidRPr="005F3B08">
        <w:rPr>
          <w:rFonts w:cs="Arial"/>
          <w:sz w:val="16"/>
          <w:szCs w:val="16"/>
          <w:rtl/>
        </w:rPr>
        <w:t xml:space="preserve"> דבשל סופרים הלך אחר המיקל</w:t>
      </w:r>
      <w:r w:rsidR="005F3B08" w:rsidRPr="005F3B08">
        <w:rPr>
          <w:rFonts w:cs="Arial" w:hint="cs"/>
          <w:sz w:val="16"/>
          <w:szCs w:val="16"/>
          <w:rtl/>
        </w:rPr>
        <w:t>,</w:t>
      </w:r>
      <w:r w:rsidR="005F3B08" w:rsidRPr="005F3B08">
        <w:rPr>
          <w:rFonts w:cs="Arial"/>
          <w:sz w:val="16"/>
          <w:szCs w:val="16"/>
          <w:rtl/>
        </w:rPr>
        <w:t xml:space="preserve"> ולכך לא הביאה ה"ר אלפס</w:t>
      </w:r>
      <w:r w:rsidR="00283BD4">
        <w:rPr>
          <w:rFonts w:cs="Arial" w:hint="cs"/>
          <w:sz w:val="16"/>
          <w:szCs w:val="16"/>
          <w:rtl/>
        </w:rPr>
        <w:t xml:space="preserve"> </w:t>
      </w:r>
      <w:r w:rsidR="005F3B08" w:rsidRPr="005F3B08">
        <w:rPr>
          <w:rFonts w:cs="Arial"/>
          <w:sz w:val="16"/>
          <w:szCs w:val="16"/>
          <w:rtl/>
        </w:rPr>
        <w:t>(ביצה יד:)</w:t>
      </w:r>
      <w:r w:rsidR="005F3B08" w:rsidRPr="005F3B08">
        <w:rPr>
          <w:rFonts w:cs="Arial" w:hint="cs"/>
          <w:sz w:val="16"/>
          <w:szCs w:val="16"/>
          <w:rtl/>
        </w:rPr>
        <w:t>. עכ"ל הרא"ש.</w:t>
      </w:r>
      <w:r w:rsidR="005F3B08" w:rsidRPr="005F3B08">
        <w:rPr>
          <w:rFonts w:cs="Arial"/>
          <w:sz w:val="16"/>
          <w:szCs w:val="16"/>
          <w:rtl/>
        </w:rPr>
        <w:t xml:space="preserve"> </w:t>
      </w:r>
      <w:r w:rsidR="00132526" w:rsidRPr="005F3B08">
        <w:rPr>
          <w:rFonts w:cs="Arial"/>
          <w:sz w:val="16"/>
          <w:szCs w:val="16"/>
          <w:rtl/>
        </w:rPr>
        <w:t>וכן פסק הר"ן ז"ל (שם ד"ה גרסי')</w:t>
      </w:r>
      <w:r w:rsidR="005F3B08" w:rsidRPr="005F3B08">
        <w:rPr>
          <w:rFonts w:cs="Arial" w:hint="cs"/>
          <w:sz w:val="16"/>
          <w:szCs w:val="16"/>
          <w:rtl/>
        </w:rPr>
        <w:t>.</w:t>
      </w:r>
      <w:r w:rsidR="00132526" w:rsidRPr="005F3B08">
        <w:rPr>
          <w:rFonts w:cs="Arial"/>
          <w:sz w:val="16"/>
          <w:szCs w:val="16"/>
          <w:rtl/>
        </w:rPr>
        <w:t xml:space="preserve"> וכן פסק הרשב"א בתשובה (ח"ג סי' רסח)</w:t>
      </w:r>
      <w:r w:rsidR="005F3B08" w:rsidRPr="005F3B08">
        <w:rPr>
          <w:rFonts w:cs="Arial" w:hint="cs"/>
          <w:sz w:val="16"/>
          <w:szCs w:val="16"/>
          <w:rtl/>
        </w:rPr>
        <w:t>,</w:t>
      </w:r>
      <w:r w:rsidR="00132526" w:rsidRPr="005F3B08">
        <w:rPr>
          <w:rFonts w:cs="Arial"/>
          <w:sz w:val="16"/>
          <w:szCs w:val="16"/>
          <w:rtl/>
        </w:rPr>
        <w:t xml:space="preserve"> וכתבתיה בסימן רע"ט (לז. ד"ה ומ"ש וכן)</w:t>
      </w:r>
      <w:r w:rsidR="005F3B08" w:rsidRPr="005F3B08">
        <w:rPr>
          <w:rFonts w:cs="Arial" w:hint="cs"/>
          <w:sz w:val="16"/>
          <w:szCs w:val="16"/>
          <w:rtl/>
        </w:rPr>
        <w:t>, ב"י</w:t>
      </w:r>
      <w:r w:rsidR="005F3B08">
        <w:rPr>
          <w:rFonts w:cs="Arial" w:hint="cs"/>
          <w:sz w:val="16"/>
          <w:szCs w:val="16"/>
          <w:rtl/>
        </w:rPr>
        <w:t>)</w:t>
      </w:r>
    </w:p>
    <w:p w14:paraId="796221FE" w14:textId="77777777" w:rsidR="00283BD4" w:rsidRPr="005979E4" w:rsidRDefault="00283BD4" w:rsidP="00434A6A">
      <w:pPr>
        <w:rPr>
          <w:u w:val="single"/>
          <w:rtl/>
        </w:rPr>
      </w:pPr>
      <w:r w:rsidRPr="005979E4">
        <w:rPr>
          <w:rFonts w:hint="cs"/>
          <w:u w:val="single"/>
          <w:rtl/>
        </w:rPr>
        <w:t>מוקצה לחצי שבת:</w:t>
      </w:r>
    </w:p>
    <w:p w14:paraId="44BEF81F" w14:textId="7495591F" w:rsidR="00283BD4" w:rsidRDefault="00283BD4" w:rsidP="00434A6A">
      <w:pPr>
        <w:pStyle w:val="aa"/>
        <w:numPr>
          <w:ilvl w:val="0"/>
          <w:numId w:val="15"/>
        </w:numPr>
        <w:rPr>
          <w:rtl/>
        </w:rPr>
      </w:pPr>
      <w:r>
        <w:rPr>
          <w:rFonts w:hint="cs"/>
          <w:rtl/>
        </w:rPr>
        <w:t>טור-</w:t>
      </w:r>
      <w:r>
        <w:rPr>
          <w:rFonts w:cs="Arial" w:hint="cs"/>
          <w:rtl/>
        </w:rPr>
        <w:t xml:space="preserve"> </w:t>
      </w:r>
      <w:r>
        <w:rPr>
          <w:rFonts w:cs="Arial"/>
          <w:rtl/>
        </w:rPr>
        <w:t>ואין מוקצה לחצי שבת בין באיסור אכילה בין באיסור טלטול</w:t>
      </w:r>
      <w:r>
        <w:rPr>
          <w:rFonts w:cs="Arial" w:hint="cs"/>
          <w:rtl/>
        </w:rPr>
        <w:t>.</w:t>
      </w:r>
      <w:r>
        <w:rPr>
          <w:rFonts w:cs="Arial"/>
          <w:rtl/>
        </w:rPr>
        <w:t xml:space="preserve"> הלכך כל דבר שהיה ראוי בה"ש</w:t>
      </w:r>
      <w:r>
        <w:rPr>
          <w:rFonts w:cs="Arial" w:hint="cs"/>
          <w:rtl/>
        </w:rPr>
        <w:t>,</w:t>
      </w:r>
      <w:r>
        <w:rPr>
          <w:rFonts w:cs="Arial"/>
          <w:rtl/>
        </w:rPr>
        <w:t xml:space="preserve"> אם אירע בו דבר שנתקלקל בו ביום</w:t>
      </w:r>
      <w:r>
        <w:rPr>
          <w:rFonts w:cs="Arial" w:hint="cs"/>
          <w:rtl/>
        </w:rPr>
        <w:t>,</w:t>
      </w:r>
      <w:r>
        <w:rPr>
          <w:rFonts w:cs="Arial"/>
          <w:rtl/>
        </w:rPr>
        <w:t xml:space="preserve"> וחזר ונתקן </w:t>
      </w:r>
      <w:r>
        <w:rPr>
          <w:rFonts w:cs="Arial" w:hint="cs"/>
          <w:rtl/>
        </w:rPr>
        <w:t xml:space="preserve">- </w:t>
      </w:r>
      <w:r>
        <w:rPr>
          <w:rFonts w:cs="Arial"/>
          <w:rtl/>
        </w:rPr>
        <w:t>שרי</w:t>
      </w:r>
      <w:r>
        <w:rPr>
          <w:rFonts w:cs="Arial" w:hint="cs"/>
          <w:rtl/>
        </w:rPr>
        <w:t>.</w:t>
      </w:r>
      <w:r>
        <w:rPr>
          <w:rFonts w:cs="Arial"/>
          <w:rtl/>
        </w:rPr>
        <w:t xml:space="preserve"> אבל כל דבר שהוקצה בין השמשות </w:t>
      </w:r>
      <w:r>
        <w:rPr>
          <w:rFonts w:cs="Arial" w:hint="cs"/>
          <w:rtl/>
        </w:rPr>
        <w:t xml:space="preserve">- </w:t>
      </w:r>
      <w:r>
        <w:rPr>
          <w:rFonts w:cs="Arial"/>
          <w:rtl/>
        </w:rPr>
        <w:t>אסור כל היום</w:t>
      </w:r>
      <w:r>
        <w:rPr>
          <w:rFonts w:cs="Arial" w:hint="cs"/>
          <w:rtl/>
        </w:rPr>
        <w:t>.</w:t>
      </w:r>
      <w:r w:rsidRPr="00874862">
        <w:rPr>
          <w:rFonts w:hint="cs"/>
          <w:color w:val="E36C0A" w:themeColor="accent6" w:themeShade="BF"/>
          <w:rtl/>
        </w:rPr>
        <w:t xml:space="preserve"> (וכ"פ בשו"ע)</w:t>
      </w:r>
    </w:p>
    <w:p w14:paraId="2C6DDF59" w14:textId="77777777" w:rsidR="00EF7C96" w:rsidRPr="005275DF" w:rsidRDefault="00EF7C96" w:rsidP="00434A6A">
      <w:pPr>
        <w:rPr>
          <w:rFonts w:asciiTheme="minorBidi" w:hAnsiTheme="minorBidi"/>
          <w:rtl/>
        </w:rPr>
      </w:pPr>
      <w:r w:rsidRPr="005275DF">
        <w:rPr>
          <w:rFonts w:asciiTheme="minorBidi" w:hAnsiTheme="minorBidi"/>
          <w:b/>
          <w:bCs/>
          <w:sz w:val="32"/>
          <w:szCs w:val="28"/>
          <w:u w:val="single"/>
          <w:rtl/>
        </w:rPr>
        <w:t xml:space="preserve">שו"ע: </w:t>
      </w:r>
    </w:p>
    <w:p w14:paraId="189652EA" w14:textId="1D72BDFF" w:rsidR="000C6229" w:rsidRPr="005275DF" w:rsidRDefault="000C6229" w:rsidP="00434A6A">
      <w:pPr>
        <w:rPr>
          <w:rFonts w:asciiTheme="minorBidi" w:hAnsiTheme="minorBidi"/>
          <w:rtl/>
        </w:rPr>
      </w:pPr>
      <w:r w:rsidRPr="005275DF">
        <w:rPr>
          <w:rFonts w:asciiTheme="minorBidi" w:hAnsiTheme="minorBidi"/>
          <w:rtl/>
        </w:rPr>
        <w:t>בין באיסור אכילה בין באיסור טלטול כל דבר שהיה ראוי בין השמשות, אם אירע בו דבר שנתקלקל בו ביום וחזר ונתקן בו ביום, חזר להיתרו</w:t>
      </w:r>
      <w:r w:rsidR="00283BD4">
        <w:rPr>
          <w:rFonts w:asciiTheme="minorBidi" w:hAnsiTheme="minorBidi" w:hint="cs"/>
          <w:rtl/>
        </w:rPr>
        <w:t>.</w:t>
      </w:r>
      <w:r w:rsidRPr="005275DF">
        <w:rPr>
          <w:rFonts w:asciiTheme="minorBidi" w:hAnsiTheme="minorBidi"/>
          <w:rtl/>
        </w:rPr>
        <w:t xml:space="preserve"> אבל דבר שהוקצה בין השמשות, אסור כל היום. </w:t>
      </w:r>
    </w:p>
    <w:p w14:paraId="59F79B72" w14:textId="77777777" w:rsidR="000C6229" w:rsidRPr="005275DF" w:rsidRDefault="000C6229" w:rsidP="00434A6A">
      <w:pPr>
        <w:rPr>
          <w:rFonts w:asciiTheme="minorBidi" w:hAnsiTheme="minorBidi"/>
          <w:rtl/>
        </w:rPr>
      </w:pPr>
    </w:p>
    <w:p w14:paraId="0B134659" w14:textId="1175BD90" w:rsidR="000C6229" w:rsidRDefault="000C6229" w:rsidP="00434A6A">
      <w:pPr>
        <w:pStyle w:val="2"/>
        <w:rPr>
          <w:rtl/>
        </w:rPr>
      </w:pPr>
      <w:r w:rsidRPr="005275DF">
        <w:rPr>
          <w:rtl/>
        </w:rPr>
        <w:t>סעיף ד</w:t>
      </w:r>
      <w:r w:rsidR="00283BD4">
        <w:rPr>
          <w:rFonts w:hint="cs"/>
          <w:rtl/>
        </w:rPr>
        <w:t>: גרוגרות וצימוקים שהיו ראויים בבה"ש והבעלים לא ידע על כך.</w:t>
      </w:r>
    </w:p>
    <w:p w14:paraId="16418344" w14:textId="3C0CDB5E" w:rsidR="00F300AD" w:rsidRDefault="003239DC" w:rsidP="00434A6A">
      <w:pPr>
        <w:rPr>
          <w:sz w:val="16"/>
          <w:szCs w:val="16"/>
          <w:rtl/>
        </w:rPr>
      </w:pPr>
      <w:r w:rsidRPr="005979E4">
        <w:rPr>
          <w:rFonts w:cs="Arial" w:hint="cs"/>
          <w:b/>
          <w:bCs/>
          <w:rtl/>
        </w:rPr>
        <w:t xml:space="preserve">ביצה </w:t>
      </w:r>
      <w:r w:rsidRPr="005979E4">
        <w:rPr>
          <w:rFonts w:cs="Arial" w:hint="cs"/>
          <w:b/>
          <w:bCs/>
          <w:sz w:val="16"/>
          <w:szCs w:val="16"/>
          <w:rtl/>
        </w:rPr>
        <w:t>(פ' אין צדין)</w:t>
      </w:r>
      <w:r w:rsidRPr="005979E4">
        <w:rPr>
          <w:rFonts w:cs="Arial" w:hint="cs"/>
          <w:b/>
          <w:bCs/>
          <w:rtl/>
        </w:rPr>
        <w:t xml:space="preserve"> כו ע"ב:</w:t>
      </w:r>
      <w:r>
        <w:rPr>
          <w:rFonts w:cs="Arial" w:hint="cs"/>
          <w:rtl/>
        </w:rPr>
        <w:t xml:space="preserve"> </w:t>
      </w:r>
      <w:r w:rsidRPr="005979E4">
        <w:rPr>
          <w:rFonts w:cs="Arial"/>
          <w:rtl/>
        </w:rPr>
        <w:t xml:space="preserve">תא שמע: היה אוכל בענבים והותיר, והעלן לגג לעשות מהן צמוקין, בתאנים והותיר והעלן לגג לעשות מהן גרוגרות - לא יאכל מהן עד שיזמין מבעוד יום. וכן אתה מוצא באפרסקין, ובחבושין, ובשאר כל מיני פירות. היכי דמי? אי דחזו - למה ליה הזמנה? אי דלא חזו - כי אזמין להו מאי הוי? וכי תימא דלא ידע אי חזו אי לא חזו, </w:t>
      </w:r>
      <w:r w:rsidRPr="00283BD4">
        <w:rPr>
          <w:rFonts w:cs="Arial"/>
          <w:u w:val="single"/>
          <w:rtl/>
        </w:rPr>
        <w:t>והאמר רב כהנא</w:t>
      </w:r>
      <w:r w:rsidRPr="005979E4">
        <w:rPr>
          <w:rFonts w:cs="Arial"/>
          <w:rtl/>
        </w:rPr>
        <w:t>: מוקצה שיבש, ואין הבעלים מכירין בו</w:t>
      </w:r>
      <w:r w:rsidR="00F300AD">
        <w:rPr>
          <w:rStyle w:val="a9"/>
          <w:rFonts w:cs="Arial"/>
          <w:rtl/>
        </w:rPr>
        <w:footnoteReference w:id="1843"/>
      </w:r>
      <w:r w:rsidRPr="005979E4">
        <w:rPr>
          <w:rFonts w:cs="Arial"/>
          <w:rtl/>
        </w:rPr>
        <w:t xml:space="preserve"> - מותר</w:t>
      </w:r>
      <w:r w:rsidR="00F300AD">
        <w:rPr>
          <w:rStyle w:val="a9"/>
          <w:rFonts w:cs="Arial"/>
          <w:rtl/>
        </w:rPr>
        <w:footnoteReference w:id="1844"/>
      </w:r>
      <w:r w:rsidRPr="005979E4">
        <w:rPr>
          <w:rFonts w:cs="Arial"/>
          <w:rtl/>
        </w:rPr>
        <w:t>.</w:t>
      </w:r>
      <w:r>
        <w:rPr>
          <w:rFonts w:cs="Arial" w:hint="cs"/>
          <w:rtl/>
        </w:rPr>
        <w:t>.</w:t>
      </w:r>
      <w:r w:rsidRPr="005979E4">
        <w:rPr>
          <w:rFonts w:cs="Arial"/>
          <w:rtl/>
        </w:rPr>
        <w:t>.</w:t>
      </w:r>
      <w:r w:rsidR="00283BD4">
        <w:rPr>
          <w:rFonts w:hint="cs"/>
          <w:rtl/>
        </w:rPr>
        <w:t xml:space="preserve"> </w:t>
      </w:r>
    </w:p>
    <w:p w14:paraId="54486E47" w14:textId="79BB7E6B" w:rsidR="00B1702D" w:rsidRDefault="00B1702D" w:rsidP="00434A6A">
      <w:pPr>
        <w:rPr>
          <w:sz w:val="16"/>
          <w:szCs w:val="16"/>
          <w:rtl/>
        </w:rPr>
      </w:pPr>
      <w:r w:rsidRPr="003A4452">
        <w:rPr>
          <w:rFonts w:cs="Arial" w:hint="cs"/>
          <w:b/>
          <w:bCs/>
          <w:rtl/>
        </w:rPr>
        <w:t>ירושלמי ביצה פ</w:t>
      </w:r>
      <w:r>
        <w:rPr>
          <w:rFonts w:cs="Arial" w:hint="cs"/>
          <w:b/>
          <w:bCs/>
          <w:rtl/>
        </w:rPr>
        <w:t>"</w:t>
      </w:r>
      <w:r w:rsidRPr="003A4452">
        <w:rPr>
          <w:rFonts w:cs="Arial" w:hint="cs"/>
          <w:b/>
          <w:bCs/>
          <w:rtl/>
        </w:rPr>
        <w:t xml:space="preserve">א ה"א: </w:t>
      </w:r>
      <w:r w:rsidRPr="003A4452">
        <w:rPr>
          <w:rFonts w:cs="Arial"/>
          <w:u w:val="double"/>
          <w:rtl/>
        </w:rPr>
        <w:t>מתני'</w:t>
      </w:r>
      <w:r>
        <w:rPr>
          <w:rFonts w:cs="Arial" w:hint="cs"/>
          <w:rtl/>
        </w:rPr>
        <w:t>:</w:t>
      </w:r>
      <w:r w:rsidRPr="003A4452">
        <w:rPr>
          <w:rFonts w:cs="Arial"/>
          <w:rtl/>
        </w:rPr>
        <w:t xml:space="preserve"> ביצה שנולדה ביום טוב</w:t>
      </w:r>
      <w:r>
        <w:rPr>
          <w:rFonts w:cs="Arial" w:hint="cs"/>
          <w:rtl/>
        </w:rPr>
        <w:t>,</w:t>
      </w:r>
      <w:r w:rsidRPr="003A4452">
        <w:rPr>
          <w:rFonts w:cs="Arial"/>
          <w:rtl/>
        </w:rPr>
        <w:t xml:space="preserve"> </w:t>
      </w:r>
      <w:r w:rsidRPr="003A4452">
        <w:rPr>
          <w:rFonts w:cs="Arial"/>
          <w:u w:val="single"/>
          <w:rtl/>
        </w:rPr>
        <w:t>בית שמאי אומרים</w:t>
      </w:r>
      <w:r>
        <w:rPr>
          <w:rFonts w:cs="Arial" w:hint="cs"/>
          <w:rtl/>
        </w:rPr>
        <w:t>:</w:t>
      </w:r>
      <w:r w:rsidRPr="003A4452">
        <w:rPr>
          <w:rFonts w:cs="Arial"/>
          <w:rtl/>
        </w:rPr>
        <w:t xml:space="preserve"> תיאכל</w:t>
      </w:r>
      <w:r>
        <w:rPr>
          <w:rFonts w:cs="Arial" w:hint="cs"/>
          <w:rtl/>
        </w:rPr>
        <w:t>.</w:t>
      </w:r>
      <w:r w:rsidRPr="003A4452">
        <w:rPr>
          <w:rFonts w:cs="Arial"/>
          <w:rtl/>
        </w:rPr>
        <w:t xml:space="preserve"> </w:t>
      </w:r>
      <w:r w:rsidRPr="003A4452">
        <w:rPr>
          <w:rFonts w:cs="Arial"/>
          <w:u w:val="single"/>
          <w:rtl/>
        </w:rPr>
        <w:t>ובית הלל אומרים</w:t>
      </w:r>
      <w:r>
        <w:rPr>
          <w:rFonts w:cs="Arial" w:hint="cs"/>
          <w:rtl/>
        </w:rPr>
        <w:t>:</w:t>
      </w:r>
      <w:r w:rsidRPr="003A4452">
        <w:rPr>
          <w:rFonts w:cs="Arial"/>
          <w:rtl/>
        </w:rPr>
        <w:t xml:space="preserve"> לא תיאכל</w:t>
      </w:r>
      <w:r>
        <w:rPr>
          <w:rFonts w:cs="Arial" w:hint="cs"/>
          <w:rtl/>
        </w:rPr>
        <w:t>.</w:t>
      </w:r>
      <w:r w:rsidRPr="003A4452">
        <w:rPr>
          <w:rFonts w:cs="Arial"/>
          <w:rtl/>
        </w:rPr>
        <w:t xml:space="preserve"> </w:t>
      </w:r>
      <w:r>
        <w:rPr>
          <w:rFonts w:cs="Arial" w:hint="cs"/>
          <w:rtl/>
        </w:rPr>
        <w:t xml:space="preserve">     </w:t>
      </w:r>
      <w:r>
        <w:rPr>
          <w:rFonts w:cs="Arial" w:hint="cs"/>
          <w:u w:val="double"/>
          <w:rtl/>
        </w:rPr>
        <w:t>גמ</w:t>
      </w:r>
      <w:r w:rsidRPr="003A4452">
        <w:rPr>
          <w:rFonts w:cs="Arial"/>
          <w:u w:val="double"/>
          <w:rtl/>
        </w:rPr>
        <w:t>'</w:t>
      </w:r>
      <w:r>
        <w:rPr>
          <w:rFonts w:cs="Arial" w:hint="cs"/>
          <w:rtl/>
        </w:rPr>
        <w:t xml:space="preserve">: </w:t>
      </w:r>
      <w:r w:rsidRPr="003A4452">
        <w:rPr>
          <w:rFonts w:cs="Arial"/>
          <w:rtl/>
        </w:rPr>
        <w:t>מה טעמון דבית שמאי</w:t>
      </w:r>
      <w:r>
        <w:rPr>
          <w:rFonts w:cs="Arial" w:hint="cs"/>
          <w:rtl/>
        </w:rPr>
        <w:t xml:space="preserve">? </w:t>
      </w:r>
      <w:r w:rsidRPr="003A4452">
        <w:rPr>
          <w:rFonts w:cs="Arial"/>
          <w:rtl/>
        </w:rPr>
        <w:t>מוכנת היא על גב אמה</w:t>
      </w:r>
      <w:r>
        <w:rPr>
          <w:rFonts w:cs="Arial" w:hint="cs"/>
          <w:rtl/>
        </w:rPr>
        <w:t>.</w:t>
      </w:r>
      <w:r w:rsidRPr="003A4452">
        <w:rPr>
          <w:rFonts w:cs="Arial"/>
          <w:rtl/>
        </w:rPr>
        <w:t xml:space="preserve"> מה טעמון דבית הלל</w:t>
      </w:r>
      <w:r>
        <w:rPr>
          <w:rFonts w:cs="Arial" w:hint="cs"/>
          <w:rtl/>
        </w:rPr>
        <w:t>?</w:t>
      </w:r>
      <w:r w:rsidRPr="003A4452">
        <w:rPr>
          <w:rFonts w:cs="Arial"/>
          <w:rtl/>
        </w:rPr>
        <w:t xml:space="preserve"> נעשית כמוקצה שיבש ולא ידע בו</w:t>
      </w:r>
      <w:r>
        <w:rPr>
          <w:rFonts w:cs="Arial" w:hint="cs"/>
          <w:rtl/>
        </w:rPr>
        <w:t xml:space="preserve">. </w:t>
      </w:r>
      <w:r w:rsidRPr="00B1702D">
        <w:rPr>
          <w:rFonts w:cs="Arial" w:hint="cs"/>
          <w:sz w:val="16"/>
          <w:szCs w:val="16"/>
          <w:rtl/>
        </w:rPr>
        <w:t>(</w:t>
      </w:r>
      <w:r w:rsidRPr="00B1702D">
        <w:rPr>
          <w:rFonts w:cs="Arial"/>
          <w:sz w:val="16"/>
          <w:szCs w:val="16"/>
          <w:rtl/>
        </w:rPr>
        <w:t>ואע</w:t>
      </w:r>
      <w:r w:rsidRPr="00B1702D">
        <w:rPr>
          <w:rFonts w:cs="Arial" w:hint="cs"/>
          <w:sz w:val="16"/>
          <w:szCs w:val="16"/>
          <w:rtl/>
        </w:rPr>
        <w:t>"</w:t>
      </w:r>
      <w:r w:rsidRPr="00B1702D">
        <w:rPr>
          <w:rFonts w:cs="Arial"/>
          <w:sz w:val="16"/>
          <w:szCs w:val="16"/>
          <w:rtl/>
        </w:rPr>
        <w:t>ג דבירושלמי ריש ביצה (ה"א) קאמר בפשיטות דמוקצה שיבש ואין בעלים מכירין בו אסור נקטינן כתלמודא דידן</w:t>
      </w:r>
      <w:r>
        <w:rPr>
          <w:rFonts w:cs="Arial" w:hint="cs"/>
          <w:sz w:val="16"/>
          <w:szCs w:val="16"/>
          <w:rtl/>
        </w:rPr>
        <w:t>, ב"י)</w:t>
      </w:r>
    </w:p>
    <w:p w14:paraId="0502BF9E" w14:textId="48C9D68A" w:rsidR="00F300AD" w:rsidRPr="00F300AD" w:rsidRDefault="00F300AD" w:rsidP="00434A6A">
      <w:pPr>
        <w:rPr>
          <w:sz w:val="16"/>
          <w:szCs w:val="16"/>
          <w:u w:val="single"/>
          <w:rtl/>
        </w:rPr>
      </w:pPr>
      <w:r w:rsidRPr="00F300AD">
        <w:rPr>
          <w:rFonts w:hint="cs"/>
          <w:u w:val="single"/>
          <w:rtl/>
        </w:rPr>
        <w:t>גרוגרות וצימוקים שהיו ראויים בבה"ש והבעלים לא ידע על כך:</w:t>
      </w:r>
    </w:p>
    <w:p w14:paraId="59D93B4E" w14:textId="32C8EFFA" w:rsidR="00283BD4" w:rsidRPr="00132526" w:rsidRDefault="00B1702D" w:rsidP="00434A6A">
      <w:pPr>
        <w:pStyle w:val="aa"/>
        <w:numPr>
          <w:ilvl w:val="0"/>
          <w:numId w:val="15"/>
        </w:numPr>
        <w:rPr>
          <w:rtl/>
        </w:rPr>
      </w:pPr>
      <w:r>
        <w:rPr>
          <w:rFonts w:cs="Arial" w:hint="cs"/>
          <w:rtl/>
        </w:rPr>
        <w:t xml:space="preserve">ר"ן </w:t>
      </w:r>
      <w:r w:rsidRPr="00B1702D">
        <w:rPr>
          <w:rFonts w:cs="Arial"/>
          <w:sz w:val="16"/>
          <w:szCs w:val="16"/>
          <w:rtl/>
        </w:rPr>
        <w:t>(שם יד: ד"ה וגרסי')</w:t>
      </w:r>
      <w:r w:rsidR="00F300AD" w:rsidRPr="00F300AD">
        <w:rPr>
          <w:rFonts w:cs="Arial" w:hint="cs"/>
          <w:rtl/>
        </w:rPr>
        <w:t xml:space="preserve">- </w:t>
      </w:r>
      <w:r w:rsidR="00132526" w:rsidRPr="00F300AD">
        <w:rPr>
          <w:rFonts w:cs="Arial"/>
          <w:rtl/>
        </w:rPr>
        <w:t>גרוגרות וצמוקים שהיו מוקצים מחמת שלא נתייבשו</w:t>
      </w:r>
      <w:r w:rsidR="00F300AD">
        <w:rPr>
          <w:rFonts w:cs="Arial" w:hint="cs"/>
          <w:rtl/>
        </w:rPr>
        <w:t>,</w:t>
      </w:r>
      <w:r w:rsidR="00132526" w:rsidRPr="00F300AD">
        <w:rPr>
          <w:rFonts w:cs="Arial"/>
          <w:rtl/>
        </w:rPr>
        <w:t xml:space="preserve"> כל שיבשו כל בין השמשות אע</w:t>
      </w:r>
      <w:r w:rsidR="00283BD4" w:rsidRPr="00F300AD">
        <w:rPr>
          <w:rFonts w:cs="Arial" w:hint="cs"/>
          <w:rtl/>
        </w:rPr>
        <w:t>"</w:t>
      </w:r>
      <w:r w:rsidR="00132526" w:rsidRPr="00F300AD">
        <w:rPr>
          <w:rFonts w:cs="Arial"/>
          <w:rtl/>
        </w:rPr>
        <w:t xml:space="preserve">פ שלא ידע באותה שעה שיבשו אלא שנודע לו לאחר מכאן </w:t>
      </w:r>
      <w:r w:rsidR="00F300AD">
        <w:rPr>
          <w:rFonts w:cs="Arial" w:hint="cs"/>
          <w:rtl/>
        </w:rPr>
        <w:t xml:space="preserve">- </w:t>
      </w:r>
      <w:r w:rsidR="00132526" w:rsidRPr="00F300AD">
        <w:rPr>
          <w:rFonts w:cs="Arial"/>
          <w:rtl/>
        </w:rPr>
        <w:t>מותר</w:t>
      </w:r>
      <w:r w:rsidR="00F300AD">
        <w:rPr>
          <w:rFonts w:cs="Arial" w:hint="cs"/>
          <w:rtl/>
        </w:rPr>
        <w:t xml:space="preserve">, </w:t>
      </w:r>
      <w:r w:rsidR="00132526" w:rsidRPr="00F300AD">
        <w:rPr>
          <w:rFonts w:cs="Arial"/>
          <w:rtl/>
        </w:rPr>
        <w:t>ולא אמרינן כיון שהיה סבור בין השמשות שלא יבשו עדיין הרי הוקצו לו באותה שעה ואתקצו לכולי יומא</w:t>
      </w:r>
      <w:r>
        <w:rPr>
          <w:rFonts w:cs="Arial" w:hint="cs"/>
          <w:rtl/>
        </w:rPr>
        <w:t>,</w:t>
      </w:r>
      <w:r w:rsidR="00132526" w:rsidRPr="00F300AD">
        <w:rPr>
          <w:rFonts w:cs="Arial"/>
          <w:rtl/>
        </w:rPr>
        <w:t xml:space="preserve"> דליתא</w:t>
      </w:r>
      <w:r w:rsidR="00F300AD" w:rsidRPr="00F300AD">
        <w:rPr>
          <w:rFonts w:cs="Arial" w:hint="cs"/>
          <w:rtl/>
        </w:rPr>
        <w:t>.</w:t>
      </w:r>
      <w:r w:rsidR="00283BD4" w:rsidRPr="00F300AD">
        <w:rPr>
          <w:rFonts w:cs="Arial" w:hint="cs"/>
          <w:rtl/>
        </w:rPr>
        <w:t xml:space="preserve"> </w:t>
      </w:r>
      <w:r w:rsidR="00F300AD" w:rsidRPr="00F300AD">
        <w:rPr>
          <w:rFonts w:cs="Arial" w:hint="cs"/>
          <w:color w:val="E36C0A" w:themeColor="accent6" w:themeShade="BF"/>
          <w:rtl/>
        </w:rPr>
        <w:t>(</w:t>
      </w:r>
      <w:r w:rsidR="00283BD4" w:rsidRPr="00F300AD">
        <w:rPr>
          <w:rFonts w:cs="Arial" w:hint="cs"/>
          <w:color w:val="E36C0A" w:themeColor="accent6" w:themeShade="BF"/>
          <w:rtl/>
        </w:rPr>
        <w:t>וכ"פ בשו"ע</w:t>
      </w:r>
      <w:r w:rsidR="00F300AD" w:rsidRPr="00F300AD">
        <w:rPr>
          <w:rFonts w:cs="Arial" w:hint="cs"/>
          <w:color w:val="E36C0A" w:themeColor="accent6" w:themeShade="BF"/>
          <w:rtl/>
        </w:rPr>
        <w:t>)</w:t>
      </w:r>
    </w:p>
    <w:p w14:paraId="0E1E2A55" w14:textId="77777777" w:rsidR="00EF7C96" w:rsidRPr="005275DF" w:rsidRDefault="00EF7C96" w:rsidP="00434A6A">
      <w:pPr>
        <w:rPr>
          <w:rFonts w:asciiTheme="minorBidi" w:hAnsiTheme="minorBidi"/>
          <w:rtl/>
        </w:rPr>
      </w:pPr>
      <w:r w:rsidRPr="005275DF">
        <w:rPr>
          <w:rFonts w:asciiTheme="minorBidi" w:hAnsiTheme="minorBidi"/>
          <w:b/>
          <w:bCs/>
          <w:sz w:val="32"/>
          <w:szCs w:val="28"/>
          <w:u w:val="single"/>
          <w:rtl/>
        </w:rPr>
        <w:t xml:space="preserve">שו"ע: </w:t>
      </w:r>
    </w:p>
    <w:p w14:paraId="7D7E8751" w14:textId="052612C8" w:rsidR="000C6229" w:rsidRPr="005275DF" w:rsidRDefault="000C6229" w:rsidP="00434A6A">
      <w:pPr>
        <w:rPr>
          <w:rFonts w:asciiTheme="minorBidi" w:hAnsiTheme="minorBidi"/>
          <w:rtl/>
        </w:rPr>
      </w:pPr>
      <w:r w:rsidRPr="005275DF">
        <w:rPr>
          <w:rFonts w:asciiTheme="minorBidi" w:hAnsiTheme="minorBidi"/>
          <w:rtl/>
        </w:rPr>
        <w:t>גרוגרות וצמוקים שהיו מוקצים וכשהגיע ב</w:t>
      </w:r>
      <w:r w:rsidR="00EF1724">
        <w:rPr>
          <w:rFonts w:asciiTheme="minorBidi" w:hAnsiTheme="minorBidi" w:hint="cs"/>
          <w:rtl/>
        </w:rPr>
        <w:t xml:space="preserve">ין </w:t>
      </w:r>
      <w:r w:rsidRPr="005275DF">
        <w:rPr>
          <w:rFonts w:asciiTheme="minorBidi" w:hAnsiTheme="minorBidi"/>
          <w:rtl/>
        </w:rPr>
        <w:t>הש</w:t>
      </w:r>
      <w:r w:rsidR="00EF1724">
        <w:rPr>
          <w:rFonts w:asciiTheme="minorBidi" w:hAnsiTheme="minorBidi" w:hint="cs"/>
          <w:rtl/>
        </w:rPr>
        <w:t>משות</w:t>
      </w:r>
      <w:r w:rsidRPr="005275DF">
        <w:rPr>
          <w:rFonts w:asciiTheme="minorBidi" w:hAnsiTheme="minorBidi"/>
          <w:rtl/>
        </w:rPr>
        <w:t xml:space="preserve"> כבר נתייבשו והם ראויים לאכילה, אף על פי שלא ידעו הבעלים באותה שעה שנתייבשו ואח</w:t>
      </w:r>
      <w:r w:rsidR="00EF1724">
        <w:rPr>
          <w:rFonts w:asciiTheme="minorBidi" w:hAnsiTheme="minorBidi" w:hint="cs"/>
          <w:rtl/>
        </w:rPr>
        <w:t>ר כך</w:t>
      </w:r>
      <w:r w:rsidRPr="005275DF">
        <w:rPr>
          <w:rFonts w:asciiTheme="minorBidi" w:hAnsiTheme="minorBidi"/>
          <w:rtl/>
        </w:rPr>
        <w:t xml:space="preserve"> נודע להם </w:t>
      </w:r>
      <w:r w:rsidR="00EF1724">
        <w:rPr>
          <w:rFonts w:asciiTheme="minorBidi" w:hAnsiTheme="minorBidi" w:hint="cs"/>
          <w:rtl/>
        </w:rPr>
        <w:t>ש</w:t>
      </w:r>
      <w:r w:rsidR="00EF1724" w:rsidRPr="005275DF">
        <w:rPr>
          <w:rFonts w:asciiTheme="minorBidi" w:hAnsiTheme="minorBidi"/>
          <w:rtl/>
        </w:rPr>
        <w:t>ב</w:t>
      </w:r>
      <w:r w:rsidR="00EF1724">
        <w:rPr>
          <w:rFonts w:asciiTheme="minorBidi" w:hAnsiTheme="minorBidi" w:hint="cs"/>
          <w:rtl/>
        </w:rPr>
        <w:t xml:space="preserve">ין </w:t>
      </w:r>
      <w:r w:rsidR="00EF1724" w:rsidRPr="005275DF">
        <w:rPr>
          <w:rFonts w:asciiTheme="minorBidi" w:hAnsiTheme="minorBidi"/>
          <w:rtl/>
        </w:rPr>
        <w:t>הש</w:t>
      </w:r>
      <w:r w:rsidR="00EF1724">
        <w:rPr>
          <w:rFonts w:asciiTheme="minorBidi" w:hAnsiTheme="minorBidi" w:hint="cs"/>
          <w:rtl/>
        </w:rPr>
        <w:t>משות</w:t>
      </w:r>
      <w:r w:rsidR="00EF1724" w:rsidRPr="005275DF">
        <w:rPr>
          <w:rFonts w:asciiTheme="minorBidi" w:hAnsiTheme="minorBidi"/>
          <w:rtl/>
        </w:rPr>
        <w:t xml:space="preserve"> </w:t>
      </w:r>
      <w:r w:rsidRPr="005275DF">
        <w:rPr>
          <w:rFonts w:asciiTheme="minorBidi" w:hAnsiTheme="minorBidi"/>
          <w:rtl/>
        </w:rPr>
        <w:t xml:space="preserve">כבר היו יבשים, מותר. </w:t>
      </w:r>
    </w:p>
    <w:p w14:paraId="7A1A1719" w14:textId="77777777" w:rsidR="000C6229" w:rsidRPr="005275DF" w:rsidRDefault="000C6229" w:rsidP="00434A6A">
      <w:pPr>
        <w:rPr>
          <w:rFonts w:asciiTheme="minorBidi" w:hAnsiTheme="minorBidi"/>
          <w:rtl/>
        </w:rPr>
      </w:pPr>
    </w:p>
    <w:p w14:paraId="55F510D8" w14:textId="1856E079" w:rsidR="000C6229" w:rsidRDefault="000C6229" w:rsidP="00434A6A">
      <w:pPr>
        <w:pStyle w:val="2"/>
        <w:rPr>
          <w:rtl/>
        </w:rPr>
      </w:pPr>
      <w:r w:rsidRPr="005275DF">
        <w:rPr>
          <w:rtl/>
        </w:rPr>
        <w:t>סעיף ה</w:t>
      </w:r>
      <w:r w:rsidR="003239DC">
        <w:rPr>
          <w:rFonts w:hint="cs"/>
          <w:rtl/>
        </w:rPr>
        <w:t xml:space="preserve">: </w:t>
      </w:r>
      <w:r w:rsidR="00B1702D">
        <w:rPr>
          <w:rFonts w:hint="cs"/>
          <w:rtl/>
        </w:rPr>
        <w:t>דבר שראוי לחלק מהאנשים, ואינו ראוי לחלק מהאנשים.</w:t>
      </w:r>
    </w:p>
    <w:p w14:paraId="18B1682A" w14:textId="32781B74" w:rsidR="003239DC" w:rsidRPr="003239DC" w:rsidRDefault="003239DC" w:rsidP="00434A6A">
      <w:pPr>
        <w:rPr>
          <w:rtl/>
        </w:rPr>
      </w:pPr>
      <w:r w:rsidRPr="005979E4">
        <w:rPr>
          <w:rFonts w:cs="Arial" w:hint="cs"/>
          <w:b/>
          <w:bCs/>
          <w:rtl/>
        </w:rPr>
        <w:t xml:space="preserve">ביצה </w:t>
      </w:r>
      <w:r w:rsidRPr="005979E4">
        <w:rPr>
          <w:rFonts w:cs="Arial" w:hint="cs"/>
          <w:b/>
          <w:bCs/>
          <w:sz w:val="16"/>
          <w:szCs w:val="16"/>
          <w:rtl/>
        </w:rPr>
        <w:t>(פ' אין צדין)</w:t>
      </w:r>
      <w:r w:rsidRPr="005979E4">
        <w:rPr>
          <w:rFonts w:cs="Arial" w:hint="cs"/>
          <w:b/>
          <w:bCs/>
          <w:rtl/>
        </w:rPr>
        <w:t xml:space="preserve"> כו ע"ב:</w:t>
      </w:r>
      <w:r>
        <w:rPr>
          <w:rFonts w:cs="Arial" w:hint="cs"/>
          <w:rtl/>
        </w:rPr>
        <w:t xml:space="preserve"> </w:t>
      </w:r>
      <w:r w:rsidRPr="005979E4">
        <w:rPr>
          <w:rFonts w:cs="Arial"/>
          <w:rtl/>
        </w:rPr>
        <w:t>תא שמע: היה אוכל בענבים והותיר, והעלן לגג לעשות מהן צמוקין, בתאנים והותיר והעלן לגג לעשות מהן גרוגרות - לא יאכל מהן עד שיזמין מבעוד יום. וכן אתה מוצא באפרסקין, ובחבושין, ובשאר כל מיני פירות. היכי דמי? אי דחזו - למה ליה הזמנה? אי דלא חזו - כי אזמין להו מאי הוי?</w:t>
      </w:r>
      <w:r w:rsidR="00B1702D">
        <w:rPr>
          <w:rFonts w:cs="Arial" w:hint="cs"/>
          <w:rtl/>
        </w:rPr>
        <w:t>..</w:t>
      </w:r>
      <w:r w:rsidRPr="005979E4">
        <w:rPr>
          <w:rFonts w:cs="Arial"/>
          <w:rtl/>
        </w:rPr>
        <w:t>. אלא לאו</w:t>
      </w:r>
      <w:r w:rsidR="00B1702D">
        <w:rPr>
          <w:rFonts w:cs="Arial" w:hint="cs"/>
          <w:rtl/>
        </w:rPr>
        <w:t>,</w:t>
      </w:r>
      <w:r w:rsidRPr="005979E4">
        <w:rPr>
          <w:rFonts w:cs="Arial"/>
          <w:rtl/>
        </w:rPr>
        <w:t xml:space="preserve"> דחזו ואדחו והדר אחזו, ואי אמרת אין מוקצה - למה להו הזמנה? אלא מאי - יש מוקצה? כי אזמין להו מאי הוי? לא צריכא דאחזו ולא אחזו, דאיכא אינשי דאכלי ואיכא אינשי דלא אכלי. אזמין - גלי דעתיה, לא אזמין - לא גלי דעתיה.</w:t>
      </w:r>
    </w:p>
    <w:p w14:paraId="36ECF2B2" w14:textId="72647E6C" w:rsidR="00B1702D" w:rsidRPr="00B1702D" w:rsidRDefault="00B1702D" w:rsidP="00434A6A">
      <w:pPr>
        <w:rPr>
          <w:rFonts w:cs="Arial"/>
          <w:u w:val="single"/>
          <w:rtl/>
        </w:rPr>
      </w:pPr>
      <w:r w:rsidRPr="00B1702D">
        <w:rPr>
          <w:rFonts w:hint="cs"/>
          <w:u w:val="single"/>
          <w:rtl/>
        </w:rPr>
        <w:t>דבר שראוי לחלק מהאנשים, ואינו ראוי לחלק מהאנשים</w:t>
      </w:r>
      <w:r w:rsidRPr="00B1702D">
        <w:rPr>
          <w:rFonts w:cs="Arial" w:hint="cs"/>
          <w:u w:val="single"/>
          <w:rtl/>
        </w:rPr>
        <w:t>:</w:t>
      </w:r>
    </w:p>
    <w:p w14:paraId="32A43EA6" w14:textId="4AFB19C0" w:rsidR="00F300AD" w:rsidRPr="00B1702D" w:rsidRDefault="00132526" w:rsidP="00434A6A">
      <w:pPr>
        <w:pStyle w:val="aa"/>
        <w:numPr>
          <w:ilvl w:val="0"/>
          <w:numId w:val="15"/>
        </w:numPr>
        <w:rPr>
          <w:rFonts w:cs="Arial"/>
          <w:rtl/>
        </w:rPr>
      </w:pPr>
      <w:r w:rsidRPr="00B1702D">
        <w:rPr>
          <w:rFonts w:cs="Arial"/>
          <w:rtl/>
        </w:rPr>
        <w:t xml:space="preserve">ר"ן </w:t>
      </w:r>
      <w:r w:rsidRPr="00B1702D">
        <w:rPr>
          <w:rFonts w:cs="Arial"/>
          <w:sz w:val="16"/>
          <w:szCs w:val="16"/>
          <w:rtl/>
        </w:rPr>
        <w:t>(שם יד: ד"ה וגרסי')</w:t>
      </w:r>
      <w:r w:rsidR="00B1702D" w:rsidRPr="00B1702D">
        <w:rPr>
          <w:rFonts w:cs="Arial" w:hint="cs"/>
          <w:rtl/>
        </w:rPr>
        <w:t xml:space="preserve">- </w:t>
      </w:r>
      <w:r w:rsidR="00B1702D" w:rsidRPr="00B1702D">
        <w:rPr>
          <w:rFonts w:cs="Arial"/>
          <w:rtl/>
        </w:rPr>
        <w:t>מוקצה דחזי ולא חזי</w:t>
      </w:r>
      <w:r w:rsidR="00B1702D" w:rsidRPr="00B1702D">
        <w:rPr>
          <w:rFonts w:cs="Arial" w:hint="cs"/>
          <w:rtl/>
        </w:rPr>
        <w:t>,</w:t>
      </w:r>
      <w:r w:rsidR="00B1702D" w:rsidRPr="00B1702D">
        <w:rPr>
          <w:rFonts w:cs="Arial"/>
          <w:rtl/>
        </w:rPr>
        <w:t xml:space="preserve"> דאיכא אינשי דאכלי ליה ואיכא אינשי דלא אכלי ליה</w:t>
      </w:r>
      <w:r w:rsidR="00B1702D" w:rsidRPr="00B1702D">
        <w:rPr>
          <w:rFonts w:cs="Arial" w:hint="cs"/>
          <w:rtl/>
        </w:rPr>
        <w:t>,</w:t>
      </w:r>
      <w:r w:rsidR="00B1702D" w:rsidRPr="00B1702D">
        <w:rPr>
          <w:rFonts w:cs="Arial"/>
          <w:rtl/>
        </w:rPr>
        <w:t xml:space="preserve"> דאי אזמניה </w:t>
      </w:r>
      <w:r w:rsidR="00B1702D" w:rsidRPr="00B1702D">
        <w:rPr>
          <w:rFonts w:cs="Arial" w:hint="cs"/>
          <w:rtl/>
        </w:rPr>
        <w:t xml:space="preserve">- </w:t>
      </w:r>
      <w:r w:rsidR="00B1702D" w:rsidRPr="00B1702D">
        <w:rPr>
          <w:rFonts w:cs="Arial"/>
          <w:rtl/>
        </w:rPr>
        <w:t>נפק ליה מתורת מוקצה</w:t>
      </w:r>
      <w:r w:rsidR="00B1702D" w:rsidRPr="00B1702D">
        <w:rPr>
          <w:rFonts w:cs="Arial" w:hint="cs"/>
          <w:rtl/>
        </w:rPr>
        <w:t>.</w:t>
      </w:r>
      <w:r w:rsidR="00B1702D" w:rsidRPr="00B1702D">
        <w:rPr>
          <w:rFonts w:cs="Arial"/>
          <w:rtl/>
        </w:rPr>
        <w:t xml:space="preserve"> ואי לא </w:t>
      </w:r>
      <w:r w:rsidR="00B1702D" w:rsidRPr="00B1702D">
        <w:rPr>
          <w:rFonts w:cs="Arial" w:hint="cs"/>
          <w:rtl/>
        </w:rPr>
        <w:t xml:space="preserve">- </w:t>
      </w:r>
      <w:r w:rsidR="00B1702D" w:rsidRPr="00B1702D">
        <w:rPr>
          <w:rFonts w:cs="Arial"/>
          <w:rtl/>
        </w:rPr>
        <w:t>לא</w:t>
      </w:r>
      <w:r w:rsidR="00B1702D" w:rsidRPr="00B1702D">
        <w:rPr>
          <w:rFonts w:cs="Arial" w:hint="cs"/>
          <w:rtl/>
        </w:rPr>
        <w:t>.</w:t>
      </w:r>
      <w:r w:rsidRPr="00B1702D">
        <w:rPr>
          <w:rFonts w:cs="Arial"/>
          <w:rtl/>
        </w:rPr>
        <w:t xml:space="preserve"> </w:t>
      </w:r>
      <w:r w:rsidR="003A4452" w:rsidRPr="00B1702D">
        <w:rPr>
          <w:rFonts w:cs="Arial" w:hint="cs"/>
          <w:color w:val="E36C0A" w:themeColor="accent6" w:themeShade="BF"/>
          <w:rtl/>
        </w:rPr>
        <w:t>(וכ"פ בשו"ע)</w:t>
      </w:r>
    </w:p>
    <w:p w14:paraId="2C736C08" w14:textId="77777777" w:rsidR="00F300AD" w:rsidRDefault="00F300AD" w:rsidP="00434A6A">
      <w:pPr>
        <w:rPr>
          <w:rFonts w:cs="Arial"/>
          <w:rtl/>
        </w:rPr>
      </w:pPr>
      <w:r w:rsidRPr="00F300AD">
        <w:rPr>
          <w:rFonts w:cs="Arial"/>
          <w:u w:val="single"/>
          <w:rtl/>
        </w:rPr>
        <w:t>דברים שאינם ראויים והזמינם</w:t>
      </w:r>
      <w:r w:rsidRPr="00F300AD">
        <w:rPr>
          <w:rFonts w:cs="Arial" w:hint="cs"/>
          <w:u w:val="single"/>
          <w:rtl/>
        </w:rPr>
        <w:t>:</w:t>
      </w:r>
    </w:p>
    <w:p w14:paraId="2F8054E1" w14:textId="4C560CAE" w:rsidR="003A4452" w:rsidRDefault="00132526" w:rsidP="00434A6A">
      <w:pPr>
        <w:pStyle w:val="aa"/>
        <w:numPr>
          <w:ilvl w:val="0"/>
          <w:numId w:val="15"/>
        </w:numPr>
        <w:rPr>
          <w:rFonts w:cs="Arial"/>
        </w:rPr>
      </w:pPr>
      <w:r w:rsidRPr="00F300AD">
        <w:rPr>
          <w:rFonts w:cs="Arial"/>
          <w:rtl/>
        </w:rPr>
        <w:t xml:space="preserve">ארחות חיים </w:t>
      </w:r>
      <w:r w:rsidRPr="00F300AD">
        <w:rPr>
          <w:rFonts w:cs="Arial"/>
          <w:sz w:val="16"/>
          <w:szCs w:val="16"/>
          <w:rtl/>
        </w:rPr>
        <w:t>(הל' יום טוב אות יט)</w:t>
      </w:r>
      <w:r w:rsidR="00F300AD" w:rsidRPr="00F300AD">
        <w:rPr>
          <w:rFonts w:cs="Arial" w:hint="cs"/>
          <w:rtl/>
        </w:rPr>
        <w:t xml:space="preserve">- </w:t>
      </w:r>
      <w:r w:rsidRPr="00F300AD">
        <w:rPr>
          <w:rFonts w:cs="Arial"/>
          <w:rtl/>
        </w:rPr>
        <w:t xml:space="preserve">דברים שאינם ראויים והזמינם </w:t>
      </w:r>
      <w:r w:rsidR="00F300AD" w:rsidRPr="00F300AD">
        <w:rPr>
          <w:rFonts w:cs="Arial" w:hint="cs"/>
          <w:rtl/>
        </w:rPr>
        <w:t xml:space="preserve">- </w:t>
      </w:r>
      <w:r w:rsidRPr="00F300AD">
        <w:rPr>
          <w:rFonts w:cs="Arial"/>
          <w:rtl/>
        </w:rPr>
        <w:t>אין מועיל בהם הזמנה</w:t>
      </w:r>
      <w:r w:rsidR="00F300AD" w:rsidRPr="00F300AD">
        <w:rPr>
          <w:rFonts w:cs="Arial" w:hint="cs"/>
          <w:rtl/>
        </w:rPr>
        <w:t>.</w:t>
      </w:r>
      <w:r w:rsidR="003A4452" w:rsidRPr="003A4452">
        <w:rPr>
          <w:rFonts w:cs="Arial" w:hint="cs"/>
          <w:color w:val="E36C0A" w:themeColor="accent6" w:themeShade="BF"/>
          <w:rtl/>
        </w:rPr>
        <w:t xml:space="preserve"> </w:t>
      </w:r>
      <w:r w:rsidR="003A4452" w:rsidRPr="00F300AD">
        <w:rPr>
          <w:rFonts w:cs="Arial" w:hint="cs"/>
          <w:color w:val="E36C0A" w:themeColor="accent6" w:themeShade="BF"/>
          <w:rtl/>
        </w:rPr>
        <w:t>(וכ"פ בשו"ע)</w:t>
      </w:r>
    </w:p>
    <w:p w14:paraId="15F2D323" w14:textId="15BFF46F" w:rsidR="003A4452" w:rsidRPr="003A4452" w:rsidRDefault="003A4452" w:rsidP="00434A6A">
      <w:pPr>
        <w:rPr>
          <w:rFonts w:cs="Arial"/>
          <w:u w:val="single"/>
        </w:rPr>
      </w:pPr>
      <w:r w:rsidRPr="003A4452">
        <w:rPr>
          <w:rFonts w:cs="Arial" w:hint="cs"/>
          <w:u w:val="single"/>
          <w:rtl/>
        </w:rPr>
        <w:t>תמרים שנ</w:t>
      </w:r>
      <w:r>
        <w:rPr>
          <w:rFonts w:cs="Arial" w:hint="cs"/>
          <w:u w:val="single"/>
          <w:rtl/>
        </w:rPr>
        <w:t>ת</w:t>
      </w:r>
      <w:r w:rsidRPr="003A4452">
        <w:rPr>
          <w:rFonts w:cs="Arial" w:hint="cs"/>
          <w:u w:val="single"/>
          <w:rtl/>
        </w:rPr>
        <w:t>נו עליהם מים, ונדחו עי"ז, וחזו בתר הכי:</w:t>
      </w:r>
    </w:p>
    <w:p w14:paraId="2C1AB532" w14:textId="7E060F42" w:rsidR="00132526" w:rsidRPr="003A4452" w:rsidRDefault="00132526" w:rsidP="00434A6A">
      <w:pPr>
        <w:pStyle w:val="aa"/>
        <w:numPr>
          <w:ilvl w:val="0"/>
          <w:numId w:val="15"/>
        </w:numPr>
        <w:rPr>
          <w:rFonts w:cs="Arial"/>
          <w:rtl/>
        </w:rPr>
      </w:pPr>
      <w:r w:rsidRPr="003A4452">
        <w:rPr>
          <w:rFonts w:cs="Arial"/>
          <w:rtl/>
        </w:rPr>
        <w:t xml:space="preserve">כל בו </w:t>
      </w:r>
      <w:r w:rsidR="003A4452" w:rsidRPr="003A4452">
        <w:rPr>
          <w:rFonts w:cs="Arial" w:hint="cs"/>
          <w:sz w:val="16"/>
          <w:szCs w:val="16"/>
          <w:rtl/>
        </w:rPr>
        <w:t>(</w:t>
      </w:r>
      <w:r w:rsidRPr="003A4452">
        <w:rPr>
          <w:rFonts w:cs="Arial"/>
          <w:sz w:val="16"/>
          <w:szCs w:val="16"/>
          <w:rtl/>
        </w:rPr>
        <w:t>סי</w:t>
      </w:r>
      <w:r w:rsidR="003A4452" w:rsidRPr="003A4452">
        <w:rPr>
          <w:rFonts w:cs="Arial" w:hint="cs"/>
          <w:sz w:val="16"/>
          <w:szCs w:val="16"/>
          <w:rtl/>
        </w:rPr>
        <w:t>'</w:t>
      </w:r>
      <w:r w:rsidRPr="003A4452">
        <w:rPr>
          <w:rFonts w:cs="Arial"/>
          <w:sz w:val="16"/>
          <w:szCs w:val="16"/>
          <w:rtl/>
        </w:rPr>
        <w:t xml:space="preserve"> נח יח ע"ד)</w:t>
      </w:r>
      <w:r w:rsidR="003A4452">
        <w:rPr>
          <w:rFonts w:cs="Arial" w:hint="cs"/>
          <w:rtl/>
        </w:rPr>
        <w:t>-</w:t>
      </w:r>
      <w:r w:rsidRPr="003A4452">
        <w:rPr>
          <w:rFonts w:cs="Arial"/>
          <w:rtl/>
        </w:rPr>
        <w:t xml:space="preserve"> כל דבר שגמרו בידי אדם אינו מוקצה </w:t>
      </w:r>
      <w:r w:rsidRPr="00516194">
        <w:rPr>
          <w:rFonts w:cs="Arial"/>
          <w:sz w:val="16"/>
          <w:szCs w:val="16"/>
          <w:rtl/>
        </w:rPr>
        <w:t>(ביצה כז.)</w:t>
      </w:r>
      <w:r w:rsidR="00516194">
        <w:rPr>
          <w:rFonts w:cs="Arial" w:hint="cs"/>
          <w:rtl/>
        </w:rPr>
        <w:t xml:space="preserve">. </w:t>
      </w:r>
      <w:r w:rsidRPr="003A4452">
        <w:rPr>
          <w:rFonts w:cs="Arial"/>
          <w:rtl/>
        </w:rPr>
        <w:t>ואית דבעי למימר שאלה התמרים שנותנין עליהם מים בגיגית בערב שבת או בערב יום טוב</w:t>
      </w:r>
      <w:r w:rsidR="00F300AD" w:rsidRPr="003A4452">
        <w:rPr>
          <w:rFonts w:cs="Arial" w:hint="cs"/>
          <w:rtl/>
        </w:rPr>
        <w:t>,</w:t>
      </w:r>
      <w:r w:rsidRPr="003A4452">
        <w:rPr>
          <w:rFonts w:cs="Arial"/>
          <w:rtl/>
        </w:rPr>
        <w:t xml:space="preserve"> ונדחו על ידי זה מיד</w:t>
      </w:r>
      <w:r w:rsidR="00F300AD" w:rsidRPr="003A4452">
        <w:rPr>
          <w:rFonts w:cs="Arial" w:hint="cs"/>
          <w:rtl/>
        </w:rPr>
        <w:t>,</w:t>
      </w:r>
      <w:r w:rsidRPr="003A4452">
        <w:rPr>
          <w:rFonts w:cs="Arial"/>
          <w:rtl/>
        </w:rPr>
        <w:t xml:space="preserve"> אי חזו להו בתר הכי בליל שבת או בליל יום טוב שלקחו טעם היין </w:t>
      </w:r>
      <w:r w:rsidR="003A4452" w:rsidRPr="003A4452">
        <w:rPr>
          <w:rFonts w:cs="Arial" w:hint="cs"/>
          <w:rtl/>
        </w:rPr>
        <w:t xml:space="preserve">- </w:t>
      </w:r>
      <w:r w:rsidRPr="003A4452">
        <w:rPr>
          <w:rFonts w:cs="Arial"/>
          <w:rtl/>
        </w:rPr>
        <w:t>מותר לשתותן בו ביום</w:t>
      </w:r>
      <w:r w:rsidR="00516194">
        <w:rPr>
          <w:rFonts w:cs="Arial" w:hint="cs"/>
          <w:rtl/>
        </w:rPr>
        <w:t>,</w:t>
      </w:r>
      <w:r w:rsidRPr="003A4452">
        <w:rPr>
          <w:rFonts w:cs="Arial"/>
          <w:rtl/>
        </w:rPr>
        <w:t xml:space="preserve"> שגמרו בידי אדם מיקרי אם שהו שם כפי הצורך</w:t>
      </w:r>
      <w:r w:rsidR="003A4452">
        <w:rPr>
          <w:rStyle w:val="a9"/>
          <w:rFonts w:cs="Arial"/>
          <w:rtl/>
        </w:rPr>
        <w:footnoteReference w:id="1845"/>
      </w:r>
      <w:r w:rsidR="00F300AD" w:rsidRPr="003A4452">
        <w:rPr>
          <w:rFonts w:cs="Arial" w:hint="cs"/>
          <w:rtl/>
        </w:rPr>
        <w:t>.</w:t>
      </w:r>
    </w:p>
    <w:p w14:paraId="364ABFEB" w14:textId="77777777" w:rsidR="00EF7C96" w:rsidRPr="005275DF" w:rsidRDefault="00EF7C96" w:rsidP="00434A6A">
      <w:pPr>
        <w:rPr>
          <w:rFonts w:asciiTheme="minorBidi" w:hAnsiTheme="minorBidi"/>
          <w:rtl/>
        </w:rPr>
      </w:pPr>
      <w:r w:rsidRPr="005275DF">
        <w:rPr>
          <w:rFonts w:asciiTheme="minorBidi" w:hAnsiTheme="minorBidi"/>
          <w:b/>
          <w:bCs/>
          <w:sz w:val="32"/>
          <w:szCs w:val="28"/>
          <w:u w:val="single"/>
          <w:rtl/>
        </w:rPr>
        <w:t xml:space="preserve">שו"ע: </w:t>
      </w:r>
    </w:p>
    <w:p w14:paraId="35940490" w14:textId="2667FC40" w:rsidR="000C6229" w:rsidRPr="005275DF" w:rsidRDefault="000C6229" w:rsidP="00434A6A">
      <w:pPr>
        <w:rPr>
          <w:rFonts w:asciiTheme="minorBidi" w:hAnsiTheme="minorBidi"/>
          <w:rtl/>
        </w:rPr>
      </w:pPr>
      <w:r w:rsidRPr="005275DF">
        <w:rPr>
          <w:rFonts w:asciiTheme="minorBidi" w:hAnsiTheme="minorBidi"/>
          <w:rtl/>
        </w:rPr>
        <w:t>גרוגרות וצמוקים דחזו ולא חזו, דאיכא אינשי דאכלי ליה ואיכא דלא אכלי ליה, אי אזמניה, נפיק ליה מתורת מוקצה</w:t>
      </w:r>
      <w:r w:rsidR="003A4452">
        <w:rPr>
          <w:rFonts w:asciiTheme="minorBidi" w:hAnsiTheme="minorBidi" w:hint="cs"/>
          <w:rtl/>
        </w:rPr>
        <w:t>.</w:t>
      </w:r>
      <w:r w:rsidRPr="005275DF">
        <w:rPr>
          <w:rFonts w:asciiTheme="minorBidi" w:hAnsiTheme="minorBidi"/>
          <w:rtl/>
        </w:rPr>
        <w:t xml:space="preserve"> ואי לא, לא. אבל אם אינם ראויים והזמינם, הזמנה לאו מלתא היא. </w:t>
      </w:r>
    </w:p>
    <w:p w14:paraId="0A7FD6D7" w14:textId="77777777" w:rsidR="000C6229" w:rsidRPr="005275DF" w:rsidRDefault="000C6229" w:rsidP="00434A6A">
      <w:pPr>
        <w:rPr>
          <w:rFonts w:asciiTheme="minorBidi" w:hAnsiTheme="minorBidi"/>
          <w:rtl/>
        </w:rPr>
      </w:pPr>
    </w:p>
    <w:p w14:paraId="6561B75E" w14:textId="5A6197CF" w:rsidR="000C6229" w:rsidRDefault="000C6229" w:rsidP="00434A6A">
      <w:pPr>
        <w:pStyle w:val="2"/>
        <w:rPr>
          <w:rtl/>
        </w:rPr>
      </w:pPr>
      <w:r w:rsidRPr="005275DF">
        <w:rPr>
          <w:rtl/>
        </w:rPr>
        <w:t>סעיף ו</w:t>
      </w:r>
      <w:r w:rsidR="00EF1724">
        <w:rPr>
          <w:rFonts w:hint="cs"/>
          <w:rtl/>
        </w:rPr>
        <w:t>: ביטול כלי מהיכנו.</w:t>
      </w:r>
    </w:p>
    <w:p w14:paraId="2345D8C2" w14:textId="77777777" w:rsidR="00663B43" w:rsidRDefault="00663B43" w:rsidP="00434A6A">
      <w:pPr>
        <w:rPr>
          <w:b/>
          <w:bCs/>
          <w:rtl/>
        </w:rPr>
      </w:pPr>
      <w:r w:rsidRPr="00D00EA7">
        <w:rPr>
          <w:rFonts w:cs="Arial" w:hint="cs"/>
          <w:b/>
          <w:bCs/>
          <w:rtl/>
        </w:rPr>
        <w:t xml:space="preserve">ביצה </w:t>
      </w:r>
      <w:r w:rsidRPr="00D00EA7">
        <w:rPr>
          <w:rFonts w:cs="Arial" w:hint="cs"/>
          <w:b/>
          <w:bCs/>
          <w:sz w:val="16"/>
          <w:szCs w:val="16"/>
          <w:rtl/>
        </w:rPr>
        <w:t>(פ"ק)</w:t>
      </w:r>
      <w:r w:rsidRPr="00D00EA7">
        <w:rPr>
          <w:rFonts w:cs="Arial" w:hint="cs"/>
          <w:b/>
          <w:bCs/>
          <w:rtl/>
        </w:rPr>
        <w:t xml:space="preserve"> ג ע"ב:</w:t>
      </w:r>
      <w:r>
        <w:rPr>
          <w:rFonts w:cs="Arial" w:hint="cs"/>
          <w:rtl/>
        </w:rPr>
        <w:t xml:space="preserve"> </w:t>
      </w:r>
      <w:r w:rsidRPr="00D00EA7">
        <w:rPr>
          <w:rFonts w:cs="Arial"/>
          <w:rtl/>
        </w:rPr>
        <w:t>מיתיבי: אחד ביצה שנולדה בשבת ואחד ביצה שנולדה ביום טוב אין מטלטלין אותה לא לכסות בה את הכלי, ולא לסמוך בה כרעי המטה. אבל כופה עליה את הכלי בשביל שלא תשבר</w:t>
      </w:r>
      <w:r>
        <w:rPr>
          <w:rStyle w:val="a9"/>
          <w:rFonts w:cs="Arial"/>
          <w:rtl/>
        </w:rPr>
        <w:footnoteReference w:id="1846"/>
      </w:r>
      <w:r w:rsidRPr="00D00EA7">
        <w:rPr>
          <w:rFonts w:cs="Arial"/>
          <w:rtl/>
        </w:rPr>
        <w:t>.</w:t>
      </w:r>
      <w:r>
        <w:rPr>
          <w:rFonts w:cs="Arial" w:hint="cs"/>
          <w:sz w:val="16"/>
          <w:szCs w:val="16"/>
          <w:rtl/>
        </w:rPr>
        <w:t xml:space="preserve"> </w:t>
      </w:r>
    </w:p>
    <w:p w14:paraId="25D17133" w14:textId="6857BBDA" w:rsidR="00132526" w:rsidRDefault="00A70789" w:rsidP="00434A6A">
      <w:pPr>
        <w:rPr>
          <w:rFonts w:cs="Arial"/>
          <w:rtl/>
        </w:rPr>
      </w:pPr>
      <w:r w:rsidRPr="00A70789">
        <w:rPr>
          <w:rFonts w:hint="cs"/>
          <w:b/>
          <w:bCs/>
          <w:rtl/>
        </w:rPr>
        <w:t xml:space="preserve">שבת </w:t>
      </w:r>
      <w:r w:rsidRPr="00A70789">
        <w:rPr>
          <w:rFonts w:hint="cs"/>
          <w:b/>
          <w:bCs/>
          <w:sz w:val="16"/>
          <w:szCs w:val="16"/>
          <w:rtl/>
        </w:rPr>
        <w:t>(פ' כירה)</w:t>
      </w:r>
      <w:r w:rsidRPr="00A70789">
        <w:rPr>
          <w:rFonts w:hint="cs"/>
          <w:b/>
          <w:bCs/>
          <w:rtl/>
        </w:rPr>
        <w:t xml:space="preserve"> מב ע"ב:</w:t>
      </w:r>
      <w:r w:rsidRPr="00A70789">
        <w:rPr>
          <w:rFonts w:cs="Arial" w:hint="cs"/>
          <w:rtl/>
        </w:rPr>
        <w:t xml:space="preserve"> </w:t>
      </w:r>
      <w:r w:rsidRPr="00A70789">
        <w:rPr>
          <w:rFonts w:cs="Arial"/>
          <w:u w:val="single"/>
          <w:rtl/>
        </w:rPr>
        <w:t>אמר רב חסדא</w:t>
      </w:r>
      <w:r w:rsidRPr="00A70789">
        <w:rPr>
          <w:rFonts w:cs="Arial"/>
          <w:rtl/>
        </w:rPr>
        <w:t>: אף על פי שאמרו אין נותנין כלי תחת תרנגולת לקבל ביצתה - אבל כופה עליה כלי שלא תשבר.</w:t>
      </w:r>
      <w:r w:rsidR="008A6EB6" w:rsidRPr="008A6EB6">
        <w:rPr>
          <w:rtl/>
        </w:rPr>
        <w:t xml:space="preserve"> </w:t>
      </w:r>
      <w:r w:rsidR="008A6EB6" w:rsidRPr="008A6EB6">
        <w:rPr>
          <w:rFonts w:cs="Arial"/>
          <w:u w:val="single"/>
          <w:rtl/>
        </w:rPr>
        <w:t>אמר רבה</w:t>
      </w:r>
      <w:r w:rsidR="008A6EB6" w:rsidRPr="008A6EB6">
        <w:rPr>
          <w:rFonts w:cs="Arial"/>
          <w:rtl/>
        </w:rPr>
        <w:t>: מאי טעמיה דרב חסדא</w:t>
      </w:r>
      <w:r w:rsidR="008A6EB6">
        <w:rPr>
          <w:rFonts w:cs="Arial" w:hint="cs"/>
          <w:rtl/>
        </w:rPr>
        <w:t>,</w:t>
      </w:r>
      <w:r w:rsidR="008A6EB6" w:rsidRPr="008A6EB6">
        <w:rPr>
          <w:rFonts w:cs="Arial"/>
          <w:rtl/>
        </w:rPr>
        <w:t xml:space="preserve"> קסבר: תרנגולת עשויה להטיל ביצתה באשפה, ואינה עשויה להטיל ביצתה במקום מדרון, והצלה מצויה - התירו, והצלה שאינה מצויה - לא התירו. </w:t>
      </w:r>
      <w:r w:rsidR="008A6EB6" w:rsidRPr="008A6EB6">
        <w:rPr>
          <w:rFonts w:cs="Arial"/>
          <w:u w:val="single"/>
          <w:rtl/>
        </w:rPr>
        <w:t>איתיביה אביי</w:t>
      </w:r>
      <w:r w:rsidR="008A6EB6" w:rsidRPr="008A6EB6">
        <w:rPr>
          <w:rFonts w:cs="Arial"/>
          <w:rtl/>
        </w:rPr>
        <w:t>: והצלה שאינה מצויה לא התירו? והתניא: נשברה לו חבית של טבל בראש גגו - מביא כלי ומניח תחתיה! בגולפי חדתי, דשכיחי דפקעי. איתיביה: נותנין כלי תחת הנר לקבל ניצוצות! ניצוצות נמי שכיחי.</w:t>
      </w:r>
      <w:r w:rsidRPr="00A70789">
        <w:rPr>
          <w:rFonts w:cs="Arial"/>
          <w:rtl/>
        </w:rPr>
        <w:t xml:space="preserve"> </w:t>
      </w:r>
      <w:r w:rsidRPr="00A70789">
        <w:rPr>
          <w:rFonts w:cs="Arial" w:hint="cs"/>
          <w:sz w:val="14"/>
          <w:szCs w:val="14"/>
          <w:rtl/>
        </w:rPr>
        <w:t xml:space="preserve">(מג.) </w:t>
      </w:r>
      <w:r w:rsidR="008A6EB6" w:rsidRPr="008A6EB6">
        <w:rPr>
          <w:rFonts w:cs="Arial"/>
          <w:rtl/>
        </w:rPr>
        <w:t xml:space="preserve">איתיביה: כופין קערה על הנר שלא יאחז בקורה! בבתי גחיני, דשכיח בהו דליקה. וכן קורה שנשברה סומכין אותה בספסל ובארוכות המטה! בכשורי חדתי, דעבידי דפקעי. נותנין כלי תחת הדלף בשבת! בבתי חדתי דשכיחי דדלפי. </w:t>
      </w:r>
      <w:r w:rsidRPr="00A70789">
        <w:rPr>
          <w:rFonts w:cs="Arial"/>
          <w:u w:val="single"/>
          <w:rtl/>
        </w:rPr>
        <w:t>רב יוסף אמר</w:t>
      </w:r>
      <w:r w:rsidRPr="00A70789">
        <w:rPr>
          <w:rFonts w:cs="Arial"/>
          <w:rtl/>
        </w:rPr>
        <w:t xml:space="preserve">: היינו טעמא דרב חסדא - משום דקא מבטל כלי מהיכנו. </w:t>
      </w:r>
      <w:r w:rsidRPr="00A70789">
        <w:rPr>
          <w:rFonts w:cs="Arial"/>
          <w:u w:val="single"/>
          <w:rtl/>
        </w:rPr>
        <w:t>איתיביה אביי</w:t>
      </w:r>
      <w:r w:rsidRPr="00A70789">
        <w:rPr>
          <w:rFonts w:cs="Arial"/>
          <w:rtl/>
        </w:rPr>
        <w:t>:</w:t>
      </w:r>
      <w:r w:rsidRPr="00A70789">
        <w:rPr>
          <w:rFonts w:cs="Arial" w:hint="cs"/>
          <w:rtl/>
        </w:rPr>
        <w:t>...</w:t>
      </w:r>
      <w:r w:rsidRPr="00A70789">
        <w:rPr>
          <w:rFonts w:cs="Arial"/>
          <w:rtl/>
        </w:rPr>
        <w:t xml:space="preserve"> כופין את הסל לפני האפרוחין שיעלו וירדו! קסבר: מותר לטלטלו. והתניא: אסור לטלטלו! בעודן עליו. והתניא: אף על פי שאין עודן עליו אסור! </w:t>
      </w:r>
      <w:r w:rsidRPr="00A70789">
        <w:rPr>
          <w:rFonts w:cs="Arial"/>
          <w:u w:val="single"/>
          <w:rtl/>
        </w:rPr>
        <w:t>אמר רבי אבהו</w:t>
      </w:r>
      <w:r w:rsidRPr="00A70789">
        <w:rPr>
          <w:rFonts w:cs="Arial"/>
          <w:rtl/>
        </w:rPr>
        <w:t>: בעודן עליו כל בין השמשות, מיגו דאיתקצאי לבין השמשות - איתקצאי לכולי יומא</w:t>
      </w:r>
      <w:r w:rsidR="00663B43">
        <w:rPr>
          <w:rFonts w:cs="Arial" w:hint="cs"/>
          <w:rtl/>
        </w:rPr>
        <w:t>..</w:t>
      </w:r>
      <w:r w:rsidRPr="00A70789">
        <w:rPr>
          <w:rFonts w:cs="Arial"/>
          <w:rtl/>
        </w:rPr>
        <w:t>.</w:t>
      </w:r>
      <w:r w:rsidRPr="00A70789">
        <w:rPr>
          <w:rFonts w:cs="Arial" w:hint="cs"/>
          <w:sz w:val="16"/>
          <w:szCs w:val="16"/>
          <w:rtl/>
        </w:rPr>
        <w:t xml:space="preserve"> </w:t>
      </w:r>
      <w:r w:rsidR="00663B43" w:rsidRPr="00663B43">
        <w:rPr>
          <w:rFonts w:cs="Arial"/>
          <w:u w:val="single"/>
          <w:rtl/>
        </w:rPr>
        <w:t>אמר רבי יצחק</w:t>
      </w:r>
      <w:r w:rsidR="00663B43" w:rsidRPr="00663B43">
        <w:rPr>
          <w:rFonts w:cs="Arial"/>
          <w:rtl/>
        </w:rPr>
        <w:t>: כשם שאין נותנין כלי תחת תרנגולת לקבל ביצתה - כך אין כופין עליה כלי בשביל שלא תשבר. קסבר: אין כלי ניטל אלא לדבר הניטל בשבת. מיתיבי כל הני תיובתא, ושני: בצריך למקומו.</w:t>
      </w:r>
      <w:r w:rsidR="008A6EB6">
        <w:rPr>
          <w:rFonts w:cs="Arial" w:hint="cs"/>
          <w:rtl/>
        </w:rPr>
        <w:t xml:space="preserve"> </w:t>
      </w:r>
      <w:r w:rsidR="008A6EB6" w:rsidRPr="008A6EB6">
        <w:rPr>
          <w:rFonts w:cs="Arial" w:hint="cs"/>
          <w:sz w:val="16"/>
          <w:szCs w:val="16"/>
          <w:rtl/>
        </w:rPr>
        <w:t>(</w:t>
      </w:r>
      <w:r w:rsidR="00132526" w:rsidRPr="008A6EB6">
        <w:rPr>
          <w:rFonts w:cs="Arial"/>
          <w:sz w:val="16"/>
          <w:szCs w:val="16"/>
          <w:rtl/>
        </w:rPr>
        <w:t>ופסקו הרי"ף (כ.) והרא"ש (סי' יח) כרב חסדא</w:t>
      </w:r>
      <w:r w:rsidR="00663B43" w:rsidRPr="008A6EB6">
        <w:rPr>
          <w:rFonts w:cs="Arial" w:hint="cs"/>
          <w:sz w:val="16"/>
          <w:szCs w:val="16"/>
          <w:rtl/>
        </w:rPr>
        <w:t>.</w:t>
      </w:r>
      <w:r w:rsidR="00132526" w:rsidRPr="008A6EB6">
        <w:rPr>
          <w:rFonts w:cs="Arial"/>
          <w:sz w:val="16"/>
          <w:szCs w:val="16"/>
          <w:rtl/>
        </w:rPr>
        <w:t xml:space="preserve"> וכן פסק הרמב"ם בפכ"ה (הכ"ג ו</w:t>
      </w:r>
      <w:r w:rsidR="00663B43" w:rsidRPr="008A6EB6">
        <w:rPr>
          <w:rFonts w:cs="Arial" w:hint="cs"/>
          <w:sz w:val="16"/>
          <w:szCs w:val="16"/>
          <w:rtl/>
        </w:rPr>
        <w:t>ה</w:t>
      </w:r>
      <w:r w:rsidR="00132526" w:rsidRPr="008A6EB6">
        <w:rPr>
          <w:rFonts w:cs="Arial"/>
          <w:sz w:val="16"/>
          <w:szCs w:val="16"/>
          <w:rtl/>
        </w:rPr>
        <w:t>כ</w:t>
      </w:r>
      <w:r w:rsidR="00663B43" w:rsidRPr="008A6EB6">
        <w:rPr>
          <w:rFonts w:cs="Arial" w:hint="cs"/>
          <w:sz w:val="16"/>
          <w:szCs w:val="16"/>
          <w:rtl/>
        </w:rPr>
        <w:t>"</w:t>
      </w:r>
      <w:r w:rsidR="00132526" w:rsidRPr="008A6EB6">
        <w:rPr>
          <w:rFonts w:cs="Arial"/>
          <w:sz w:val="16"/>
          <w:szCs w:val="16"/>
          <w:rtl/>
        </w:rPr>
        <w:t>ה)</w:t>
      </w:r>
      <w:r w:rsidR="00663B43" w:rsidRPr="008A6EB6">
        <w:rPr>
          <w:rFonts w:cs="Arial" w:hint="cs"/>
          <w:sz w:val="16"/>
          <w:szCs w:val="16"/>
          <w:rtl/>
        </w:rPr>
        <w:t>.</w:t>
      </w:r>
      <w:r w:rsidR="00132526" w:rsidRPr="008A6EB6">
        <w:rPr>
          <w:rFonts w:cs="Arial"/>
          <w:sz w:val="16"/>
          <w:szCs w:val="16"/>
          <w:rtl/>
        </w:rPr>
        <w:t xml:space="preserve"> וכן כתב הר"ן בפרק מי שהחשיך (סו: ד"ה דאי)</w:t>
      </w:r>
      <w:r w:rsidR="008A6EB6" w:rsidRPr="008A6EB6">
        <w:rPr>
          <w:rFonts w:cs="Arial" w:hint="cs"/>
          <w:sz w:val="16"/>
          <w:szCs w:val="16"/>
          <w:rtl/>
        </w:rPr>
        <w:t>,</w:t>
      </w:r>
      <w:r w:rsidR="00132526" w:rsidRPr="008A6EB6">
        <w:rPr>
          <w:rFonts w:cs="Arial"/>
          <w:sz w:val="16"/>
          <w:szCs w:val="16"/>
          <w:rtl/>
        </w:rPr>
        <w:t xml:space="preserve"> לאפוקי ממי שכתב דקיי</w:t>
      </w:r>
      <w:r w:rsidR="008A6EB6">
        <w:rPr>
          <w:rFonts w:cs="Arial" w:hint="cs"/>
          <w:sz w:val="16"/>
          <w:szCs w:val="16"/>
          <w:rtl/>
        </w:rPr>
        <w:t>"</w:t>
      </w:r>
      <w:r w:rsidR="00132526" w:rsidRPr="008A6EB6">
        <w:rPr>
          <w:rFonts w:cs="Arial"/>
          <w:sz w:val="16"/>
          <w:szCs w:val="16"/>
          <w:rtl/>
        </w:rPr>
        <w:t>ל כרבי יצחק</w:t>
      </w:r>
      <w:r w:rsidR="008A6EB6" w:rsidRPr="008A6EB6">
        <w:rPr>
          <w:rFonts w:cs="Arial" w:hint="cs"/>
          <w:sz w:val="16"/>
          <w:szCs w:val="16"/>
          <w:rtl/>
        </w:rPr>
        <w:t>.</w:t>
      </w:r>
      <w:r w:rsidR="00132526" w:rsidRPr="008A6EB6">
        <w:rPr>
          <w:rFonts w:cs="Arial"/>
          <w:sz w:val="16"/>
          <w:szCs w:val="16"/>
          <w:rtl/>
        </w:rPr>
        <w:t xml:space="preserve"> ובטעמיה דרב חסדא איפליגו רבה ורב יוסף</w:t>
      </w:r>
      <w:r w:rsidR="008A6EB6" w:rsidRPr="008A6EB6">
        <w:rPr>
          <w:rFonts w:cs="Arial" w:hint="cs"/>
          <w:sz w:val="16"/>
          <w:szCs w:val="16"/>
          <w:rtl/>
        </w:rPr>
        <w:t>,</w:t>
      </w:r>
      <w:r w:rsidR="00132526" w:rsidRPr="008A6EB6">
        <w:rPr>
          <w:rFonts w:cs="Arial"/>
          <w:sz w:val="16"/>
          <w:szCs w:val="16"/>
          <w:rtl/>
        </w:rPr>
        <w:t xml:space="preserve"> וכתבו הפוסקים הנזכרים כדברי רב יוסף דאמר דטעמיה משום דכשנותן כלי לקבל ביצתה מבטלו מהיכנו שהרי אוסר לטלטל הכלי מפני הביצה שבתוכו</w:t>
      </w:r>
      <w:r w:rsidR="008A6EB6" w:rsidRPr="008A6EB6">
        <w:rPr>
          <w:rFonts w:cs="Arial" w:hint="cs"/>
          <w:sz w:val="16"/>
          <w:szCs w:val="16"/>
          <w:rtl/>
        </w:rPr>
        <w:t>,</w:t>
      </w:r>
      <w:r w:rsidR="00132526" w:rsidRPr="008A6EB6">
        <w:rPr>
          <w:rFonts w:cs="Arial"/>
          <w:sz w:val="16"/>
          <w:szCs w:val="16"/>
          <w:rtl/>
        </w:rPr>
        <w:t xml:space="preserve"> אבל כשכופה עליה כלי אינו מבטלו</w:t>
      </w:r>
      <w:r w:rsidR="008A6EB6" w:rsidRPr="008A6EB6">
        <w:rPr>
          <w:rFonts w:cs="Arial" w:hint="cs"/>
          <w:sz w:val="16"/>
          <w:szCs w:val="16"/>
          <w:rtl/>
        </w:rPr>
        <w:t>,</w:t>
      </w:r>
      <w:r w:rsidR="00132526" w:rsidRPr="008A6EB6">
        <w:rPr>
          <w:rFonts w:cs="Arial"/>
          <w:sz w:val="16"/>
          <w:szCs w:val="16"/>
          <w:rtl/>
        </w:rPr>
        <w:t xml:space="preserve"> שאם יחפוץ יטלנו</w:t>
      </w:r>
      <w:r w:rsidR="008A6EB6" w:rsidRPr="008A6EB6">
        <w:rPr>
          <w:rFonts w:cs="Arial" w:hint="cs"/>
          <w:sz w:val="16"/>
          <w:szCs w:val="16"/>
          <w:rtl/>
        </w:rPr>
        <w:t>, ב"י</w:t>
      </w:r>
      <w:r w:rsidR="008A6EB6">
        <w:rPr>
          <w:rFonts w:cs="Arial" w:hint="cs"/>
          <w:sz w:val="16"/>
          <w:szCs w:val="16"/>
          <w:rtl/>
        </w:rPr>
        <w:t>)</w:t>
      </w:r>
    </w:p>
    <w:p w14:paraId="08CE8E0A" w14:textId="6B6EADDF" w:rsidR="00B05450" w:rsidRPr="00B05450" w:rsidRDefault="00B05450" w:rsidP="00434A6A">
      <w:pPr>
        <w:rPr>
          <w:rFonts w:cs="Arial"/>
          <w:sz w:val="16"/>
          <w:szCs w:val="16"/>
          <w:rtl/>
        </w:rPr>
      </w:pPr>
      <w:r w:rsidRPr="00AD4DF7">
        <w:rPr>
          <w:rFonts w:cs="Arial" w:hint="cs"/>
          <w:b/>
          <w:bCs/>
          <w:rtl/>
        </w:rPr>
        <w:t>ירושלמי ביצה פ"ה ה"א</w:t>
      </w:r>
      <w:r>
        <w:rPr>
          <w:rStyle w:val="a9"/>
          <w:rFonts w:cs="Arial"/>
          <w:b/>
          <w:bCs/>
          <w:rtl/>
        </w:rPr>
        <w:footnoteReference w:id="1847"/>
      </w:r>
      <w:r w:rsidRPr="00AD4DF7">
        <w:rPr>
          <w:rFonts w:cs="Arial" w:hint="cs"/>
          <w:b/>
          <w:bCs/>
          <w:rtl/>
        </w:rPr>
        <w:t xml:space="preserve">: </w:t>
      </w:r>
      <w:r w:rsidRPr="008B5E15">
        <w:rPr>
          <w:rFonts w:cs="Arial"/>
          <w:u w:val="single"/>
          <w:rtl/>
        </w:rPr>
        <w:t>א</w:t>
      </w:r>
      <w:r w:rsidRPr="00AD4DF7">
        <w:rPr>
          <w:rFonts w:cs="Arial"/>
          <w:u w:val="single"/>
          <w:rtl/>
        </w:rPr>
        <w:t>"ר שמעון בי ר' ינאי</w:t>
      </w:r>
      <w:r>
        <w:rPr>
          <w:rFonts w:cs="Arial" w:hint="cs"/>
          <w:rtl/>
        </w:rPr>
        <w:t>:</w:t>
      </w:r>
      <w:r w:rsidRPr="00AD4DF7">
        <w:rPr>
          <w:rFonts w:cs="Arial"/>
          <w:rtl/>
        </w:rPr>
        <w:t xml:space="preserve"> לא שמעתי מאבא</w:t>
      </w:r>
      <w:r>
        <w:rPr>
          <w:rFonts w:cs="Arial" w:hint="cs"/>
          <w:rtl/>
        </w:rPr>
        <w:t>,</w:t>
      </w:r>
      <w:r w:rsidRPr="00AD4DF7">
        <w:rPr>
          <w:rFonts w:cs="Arial"/>
          <w:rtl/>
        </w:rPr>
        <w:t xml:space="preserve"> אחותי אמרה לי משמו</w:t>
      </w:r>
      <w:r>
        <w:rPr>
          <w:rFonts w:cs="Arial" w:hint="cs"/>
          <w:rtl/>
        </w:rPr>
        <w:t>:</w:t>
      </w:r>
      <w:r w:rsidRPr="00AD4DF7">
        <w:rPr>
          <w:rFonts w:cs="Arial"/>
          <w:rtl/>
        </w:rPr>
        <w:t xml:space="preserve"> ביצה שנולדה בי"ט סומכין לה כלי בשביל שלא תתגלגל</w:t>
      </w:r>
      <w:r>
        <w:rPr>
          <w:rFonts w:cs="Arial" w:hint="cs"/>
          <w:rtl/>
        </w:rPr>
        <w:t>,</w:t>
      </w:r>
      <w:r w:rsidRPr="00AD4DF7">
        <w:rPr>
          <w:rFonts w:cs="Arial"/>
          <w:rtl/>
        </w:rPr>
        <w:t xml:space="preserve"> אבל אין כופין עליה כלי</w:t>
      </w:r>
      <w:r>
        <w:rPr>
          <w:rFonts w:cs="Arial" w:hint="cs"/>
          <w:rtl/>
        </w:rPr>
        <w:t>.</w:t>
      </w:r>
      <w:r w:rsidRPr="00AD4DF7">
        <w:rPr>
          <w:rFonts w:cs="Arial"/>
          <w:rtl/>
        </w:rPr>
        <w:t xml:space="preserve"> </w:t>
      </w:r>
      <w:r w:rsidRPr="00AD4DF7">
        <w:rPr>
          <w:rFonts w:cs="Arial"/>
          <w:u w:val="single"/>
          <w:rtl/>
        </w:rPr>
        <w:t>ושמואל אמר</w:t>
      </w:r>
      <w:r>
        <w:rPr>
          <w:rFonts w:cs="Arial" w:hint="cs"/>
          <w:rtl/>
        </w:rPr>
        <w:t>:</w:t>
      </w:r>
      <w:r w:rsidRPr="00AD4DF7">
        <w:rPr>
          <w:rFonts w:cs="Arial"/>
          <w:rtl/>
        </w:rPr>
        <w:t xml:space="preserve"> כופין עליה כלי</w:t>
      </w:r>
      <w:r>
        <w:rPr>
          <w:rFonts w:cs="Arial" w:hint="cs"/>
          <w:rtl/>
        </w:rPr>
        <w:t>.</w:t>
      </w:r>
      <w:r w:rsidRPr="00AD4DF7">
        <w:rPr>
          <w:rFonts w:cs="Arial"/>
          <w:rtl/>
        </w:rPr>
        <w:t xml:space="preserve"> </w:t>
      </w:r>
      <w:r w:rsidRPr="00AD4DF7">
        <w:rPr>
          <w:rFonts w:cs="Arial"/>
          <w:u w:val="single"/>
          <w:rtl/>
        </w:rPr>
        <w:t>א"ר מנא</w:t>
      </w:r>
      <w:r>
        <w:rPr>
          <w:rFonts w:cs="Arial" w:hint="cs"/>
          <w:rtl/>
        </w:rPr>
        <w:t>:</w:t>
      </w:r>
      <w:r w:rsidRPr="00AD4DF7">
        <w:rPr>
          <w:rFonts w:cs="Arial"/>
          <w:rtl/>
        </w:rPr>
        <w:t xml:space="preserve"> ובלבד שלא יהא כלי נוגע בגופה של ביצה</w:t>
      </w:r>
      <w:r>
        <w:rPr>
          <w:rFonts w:cs="Arial" w:hint="cs"/>
          <w:rtl/>
        </w:rPr>
        <w:t xml:space="preserve">. </w:t>
      </w:r>
      <w:r>
        <w:rPr>
          <w:rFonts w:cs="Arial" w:hint="cs"/>
          <w:sz w:val="16"/>
          <w:szCs w:val="16"/>
          <w:rtl/>
        </w:rPr>
        <w:t xml:space="preserve">(והביא הראב"ד (בהשגות פכ"ה הכ"ג) את דברי ר' מנא להלכה. וגם הרא"ש (ביצה פ"א סי' א) העתיק את דברי הירושלמי בפסקיו. ונראה דלא פליג אגמרא דידן (שבת קנא., עירובין פד.) דמוכח מינה שרי לגעת במוקצה בלי להזיזו, דבביצה יש לאסור </w:t>
      </w:r>
      <w:r w:rsidRPr="00D2340A">
        <w:rPr>
          <w:rFonts w:cs="Arial"/>
          <w:sz w:val="16"/>
          <w:szCs w:val="16"/>
          <w:rtl/>
        </w:rPr>
        <w:t>שמא יחוש לשבירת הביצה ויבא ליגע בגופה של ביצה</w:t>
      </w:r>
      <w:r w:rsidRPr="007A62DB">
        <w:rPr>
          <w:rFonts w:cs="Arial" w:hint="cs"/>
          <w:sz w:val="16"/>
          <w:szCs w:val="16"/>
          <w:rtl/>
        </w:rPr>
        <w:t xml:space="preserve"> </w:t>
      </w:r>
      <w:r>
        <w:rPr>
          <w:rFonts w:cs="Arial" w:hint="cs"/>
          <w:sz w:val="16"/>
          <w:szCs w:val="16"/>
          <w:rtl/>
        </w:rPr>
        <w:t>(מאירי [ביצה לו.]), א"נ</w:t>
      </w:r>
      <w:r w:rsidRPr="007A62DB">
        <w:rPr>
          <w:rFonts w:cs="Arial"/>
          <w:sz w:val="16"/>
          <w:szCs w:val="16"/>
          <w:rtl/>
        </w:rPr>
        <w:t xml:space="preserve"> שמא ינענע הביצה ע</w:t>
      </w:r>
      <w:r w:rsidRPr="007A62DB">
        <w:rPr>
          <w:rFonts w:cs="Arial" w:hint="cs"/>
          <w:sz w:val="16"/>
          <w:szCs w:val="16"/>
          <w:rtl/>
        </w:rPr>
        <w:t>"</w:t>
      </w:r>
      <w:r w:rsidRPr="007A62DB">
        <w:rPr>
          <w:rFonts w:cs="Arial"/>
          <w:sz w:val="16"/>
          <w:szCs w:val="16"/>
          <w:rtl/>
        </w:rPr>
        <w:t>י הכלי</w:t>
      </w:r>
      <w:r>
        <w:rPr>
          <w:rStyle w:val="a9"/>
          <w:rFonts w:cs="Arial"/>
          <w:sz w:val="16"/>
          <w:szCs w:val="16"/>
          <w:rtl/>
        </w:rPr>
        <w:footnoteReference w:id="1848"/>
      </w:r>
      <w:r>
        <w:rPr>
          <w:rFonts w:cs="Arial" w:hint="cs"/>
          <w:sz w:val="16"/>
          <w:szCs w:val="16"/>
          <w:rtl/>
        </w:rPr>
        <w:t xml:space="preserve"> (הה"מ [שבת פכ"ה הכ"ג]), א"נ</w:t>
      </w:r>
      <w:r w:rsidRPr="007A62DB">
        <w:rPr>
          <w:rFonts w:cs="Arial"/>
          <w:sz w:val="16"/>
          <w:szCs w:val="16"/>
          <w:rtl/>
        </w:rPr>
        <w:t xml:space="preserve"> כיון דהנחת הכלי על הביצה היא לצורך הביצה דהוי דבר המוקצה ולכך אסור ליגע בו</w:t>
      </w:r>
      <w:r>
        <w:rPr>
          <w:rStyle w:val="a9"/>
          <w:rFonts w:cs="Arial"/>
          <w:sz w:val="16"/>
          <w:szCs w:val="16"/>
          <w:rtl/>
        </w:rPr>
        <w:footnoteReference w:id="1849"/>
      </w:r>
      <w:r>
        <w:rPr>
          <w:rFonts w:cs="Arial" w:hint="cs"/>
          <w:sz w:val="16"/>
          <w:szCs w:val="16"/>
          <w:rtl/>
        </w:rPr>
        <w:t xml:space="preserve"> (תרוה"ד [סי' סז]))</w:t>
      </w:r>
    </w:p>
    <w:p w14:paraId="7397B8FD" w14:textId="77777777" w:rsidR="008A6EB6" w:rsidRPr="00516194" w:rsidRDefault="008A6EB6" w:rsidP="00434A6A">
      <w:pPr>
        <w:rPr>
          <w:u w:val="single"/>
          <w:rtl/>
        </w:rPr>
      </w:pPr>
      <w:r w:rsidRPr="00516194">
        <w:rPr>
          <w:rFonts w:hint="cs"/>
          <w:u w:val="single"/>
          <w:rtl/>
        </w:rPr>
        <w:t>ביטול כלי מהיכנו:</w:t>
      </w:r>
    </w:p>
    <w:p w14:paraId="1EA0CA22" w14:textId="53802962" w:rsidR="008A6EB6" w:rsidRDefault="008A6EB6" w:rsidP="00434A6A">
      <w:pPr>
        <w:pStyle w:val="aa"/>
        <w:numPr>
          <w:ilvl w:val="0"/>
          <w:numId w:val="15"/>
        </w:numPr>
        <w:rPr>
          <w:rtl/>
        </w:rPr>
      </w:pPr>
      <w:r>
        <w:rPr>
          <w:rFonts w:cs="Arial" w:hint="cs"/>
          <w:rtl/>
        </w:rPr>
        <w:t xml:space="preserve">טור- </w:t>
      </w:r>
      <w:r>
        <w:rPr>
          <w:rFonts w:cs="Arial"/>
          <w:rtl/>
        </w:rPr>
        <w:t xml:space="preserve">כל דבר שאסור לטלטלו </w:t>
      </w:r>
      <w:r>
        <w:rPr>
          <w:rFonts w:cs="Arial" w:hint="cs"/>
          <w:rtl/>
        </w:rPr>
        <w:t xml:space="preserve">- </w:t>
      </w:r>
      <w:r>
        <w:rPr>
          <w:rFonts w:cs="Arial"/>
          <w:rtl/>
        </w:rPr>
        <w:t>אסור ליתן תחתיו כלי כדי שיפול לתוכו מפני שמבטל כלי מהיכנו</w:t>
      </w:r>
      <w:r>
        <w:rPr>
          <w:rFonts w:cs="Arial" w:hint="cs"/>
          <w:rtl/>
        </w:rPr>
        <w:t>,</w:t>
      </w:r>
      <w:r>
        <w:rPr>
          <w:rFonts w:cs="Arial"/>
          <w:rtl/>
        </w:rPr>
        <w:t xml:space="preserve"> שאוסר הכלי מטלטולו</w:t>
      </w:r>
      <w:r>
        <w:rPr>
          <w:rFonts w:cs="Arial" w:hint="cs"/>
          <w:rtl/>
        </w:rPr>
        <w:t>,</w:t>
      </w:r>
      <w:r>
        <w:rPr>
          <w:rFonts w:cs="Arial"/>
          <w:rtl/>
        </w:rPr>
        <w:t xml:space="preserve"> ודומה לסותר</w:t>
      </w:r>
      <w:r>
        <w:rPr>
          <w:rFonts w:cs="Arial" w:hint="cs"/>
          <w:rtl/>
        </w:rPr>
        <w:t>,</w:t>
      </w:r>
      <w:r>
        <w:rPr>
          <w:rFonts w:cs="Arial"/>
          <w:rtl/>
        </w:rPr>
        <w:t xml:space="preserve"> שסתר זה הכלי ממה שהיה ראוי תחלה</w:t>
      </w:r>
      <w:r>
        <w:rPr>
          <w:rFonts w:cs="Arial" w:hint="cs"/>
          <w:rtl/>
        </w:rPr>
        <w:t>.</w:t>
      </w:r>
      <w:r>
        <w:rPr>
          <w:rFonts w:cs="Arial"/>
          <w:rtl/>
        </w:rPr>
        <w:t xml:space="preserve"> אבל מותר לכסותו עליו</w:t>
      </w:r>
      <w:r>
        <w:rPr>
          <w:rFonts w:cs="Arial" w:hint="cs"/>
          <w:rtl/>
        </w:rPr>
        <w:t>,</w:t>
      </w:r>
      <w:r>
        <w:rPr>
          <w:rFonts w:cs="Arial"/>
          <w:rtl/>
        </w:rPr>
        <w:t xml:space="preserve"> ובלבד שלא יגע בו</w:t>
      </w:r>
      <w:r>
        <w:rPr>
          <w:rFonts w:cs="Arial" w:hint="cs"/>
          <w:rtl/>
        </w:rPr>
        <w:t>.</w:t>
      </w:r>
      <w:r w:rsidR="00B05450" w:rsidRPr="00B05450">
        <w:rPr>
          <w:rFonts w:hint="cs"/>
          <w:color w:val="E36C0A" w:themeColor="accent6" w:themeShade="BF"/>
          <w:rtl/>
        </w:rPr>
        <w:t xml:space="preserve"> (וכ"פ בשו"ע)</w:t>
      </w:r>
    </w:p>
    <w:p w14:paraId="6CB16752" w14:textId="77777777" w:rsidR="00EF7C96" w:rsidRPr="005275DF" w:rsidRDefault="00EF7C96" w:rsidP="00434A6A">
      <w:pPr>
        <w:rPr>
          <w:rFonts w:asciiTheme="minorBidi" w:hAnsiTheme="minorBidi"/>
          <w:rtl/>
        </w:rPr>
      </w:pPr>
      <w:r w:rsidRPr="005275DF">
        <w:rPr>
          <w:rFonts w:asciiTheme="minorBidi" w:hAnsiTheme="minorBidi"/>
          <w:b/>
          <w:bCs/>
          <w:sz w:val="32"/>
          <w:szCs w:val="28"/>
          <w:u w:val="single"/>
          <w:rtl/>
        </w:rPr>
        <w:t xml:space="preserve">שו"ע: </w:t>
      </w:r>
    </w:p>
    <w:p w14:paraId="70C47301" w14:textId="6536F1C7" w:rsidR="000C6229" w:rsidRPr="005275DF" w:rsidRDefault="000C6229" w:rsidP="00434A6A">
      <w:pPr>
        <w:rPr>
          <w:rFonts w:asciiTheme="minorBidi" w:hAnsiTheme="minorBidi"/>
          <w:rtl/>
        </w:rPr>
      </w:pPr>
      <w:r w:rsidRPr="005275DF">
        <w:rPr>
          <w:rFonts w:asciiTheme="minorBidi" w:hAnsiTheme="minorBidi"/>
          <w:rtl/>
        </w:rPr>
        <w:t>כל דבר שאסור לטלטלו, אסור ליתן תחתיו כלי כדי שיפול לתוכו, מפני שאוסר הכלי בטלטול ונמצא מבטל כלי מהיכנו</w:t>
      </w:r>
      <w:r w:rsidR="00EF1724">
        <w:rPr>
          <w:rFonts w:asciiTheme="minorBidi" w:hAnsiTheme="minorBidi" w:hint="cs"/>
          <w:rtl/>
        </w:rPr>
        <w:t>.</w:t>
      </w:r>
      <w:r w:rsidRPr="005275DF">
        <w:rPr>
          <w:rFonts w:asciiTheme="minorBidi" w:hAnsiTheme="minorBidi"/>
          <w:rtl/>
        </w:rPr>
        <w:t xml:space="preserve"> אבל מותר לכפות עליו כלי, ובלבד שלא יגע בו. </w:t>
      </w:r>
    </w:p>
    <w:p w14:paraId="3B7CCFBF" w14:textId="77777777" w:rsidR="000C6229" w:rsidRPr="005275DF" w:rsidRDefault="000C6229" w:rsidP="00434A6A">
      <w:pPr>
        <w:rPr>
          <w:rFonts w:asciiTheme="minorBidi" w:hAnsiTheme="minorBidi"/>
          <w:rtl/>
        </w:rPr>
      </w:pPr>
    </w:p>
    <w:p w14:paraId="3E3A98E5" w14:textId="7E7C458C" w:rsidR="000C6229" w:rsidRDefault="000C6229" w:rsidP="00434A6A">
      <w:pPr>
        <w:pStyle w:val="2"/>
        <w:rPr>
          <w:rtl/>
        </w:rPr>
      </w:pPr>
      <w:r w:rsidRPr="005275DF">
        <w:rPr>
          <w:rtl/>
        </w:rPr>
        <w:t>סעיף ז</w:t>
      </w:r>
      <w:r w:rsidR="00EF1724">
        <w:rPr>
          <w:rFonts w:hint="cs"/>
          <w:rtl/>
        </w:rPr>
        <w:t xml:space="preserve">: </w:t>
      </w:r>
      <w:r w:rsidR="0063616E">
        <w:rPr>
          <w:rFonts w:hint="cs"/>
          <w:rtl/>
        </w:rPr>
        <w:t xml:space="preserve">מטה שיש עליה מעות. </w:t>
      </w:r>
      <w:r w:rsidR="00EF1724">
        <w:rPr>
          <w:rFonts w:hint="cs"/>
          <w:rtl/>
        </w:rPr>
        <w:t>בסיס לדבר האסור.</w:t>
      </w:r>
    </w:p>
    <w:p w14:paraId="782F009D" w14:textId="04D977E7" w:rsidR="009F5DB5" w:rsidRPr="009F5DB5" w:rsidRDefault="009F5DB5" w:rsidP="00434A6A">
      <w:pPr>
        <w:rPr>
          <w:rtl/>
        </w:rPr>
      </w:pPr>
      <w:r w:rsidRPr="00086A55">
        <w:rPr>
          <w:rFonts w:cs="Arial" w:hint="cs"/>
          <w:b/>
          <w:bCs/>
          <w:rtl/>
        </w:rPr>
        <w:t xml:space="preserve">שבת </w:t>
      </w:r>
      <w:r w:rsidRPr="00086A55">
        <w:rPr>
          <w:rFonts w:cs="Arial" w:hint="cs"/>
          <w:b/>
          <w:bCs/>
          <w:sz w:val="16"/>
          <w:szCs w:val="16"/>
          <w:rtl/>
        </w:rPr>
        <w:t>(ר"פ נוטל)</w:t>
      </w:r>
      <w:r w:rsidRPr="00086A55">
        <w:rPr>
          <w:rFonts w:cs="Arial" w:hint="cs"/>
          <w:b/>
          <w:bCs/>
          <w:rtl/>
        </w:rPr>
        <w:t xml:space="preserve"> קמב ע"ב:</w:t>
      </w:r>
      <w:r w:rsidRPr="00086A55">
        <w:rPr>
          <w:rFonts w:cs="Arial" w:hint="cs"/>
          <w:rtl/>
        </w:rPr>
        <w:t xml:space="preserve"> </w:t>
      </w:r>
      <w:r w:rsidRPr="00086A55">
        <w:rPr>
          <w:rFonts w:cs="Arial"/>
          <w:u w:val="double"/>
          <w:rtl/>
        </w:rPr>
        <w:t>משנה</w:t>
      </w:r>
      <w:r w:rsidRPr="00086A55">
        <w:rPr>
          <w:rFonts w:cs="Arial" w:hint="cs"/>
          <w:rtl/>
        </w:rPr>
        <w:t>:</w:t>
      </w:r>
      <w:r w:rsidRPr="00086A55">
        <w:rPr>
          <w:rFonts w:cs="Arial"/>
          <w:rtl/>
        </w:rPr>
        <w:t xml:space="preserve"> האבן שעל פי החבית - מטה על צדה והיא נופלת. היתה בין החביות - מגביה, ומטה על צדה והיא נופלת. מעות שעל הכר - מנער את הכר והן נופלות.</w:t>
      </w:r>
      <w:r w:rsidRPr="00086A55">
        <w:rPr>
          <w:rFonts w:cs="Arial" w:hint="cs"/>
          <w:rtl/>
        </w:rPr>
        <w:t>.</w:t>
      </w:r>
      <w:r w:rsidRPr="00086A55">
        <w:rPr>
          <w:rFonts w:cs="Arial"/>
          <w:rtl/>
        </w:rPr>
        <w:t>.</w:t>
      </w:r>
      <w:r>
        <w:rPr>
          <w:rFonts w:cs="Arial" w:hint="cs"/>
          <w:rtl/>
        </w:rPr>
        <w:t xml:space="preserve">     </w:t>
      </w:r>
      <w:r w:rsidRPr="00086A55">
        <w:rPr>
          <w:rFonts w:cs="Arial"/>
          <w:u w:val="double"/>
          <w:rtl/>
        </w:rPr>
        <w:t>גמרא</w:t>
      </w:r>
      <w:r w:rsidRPr="00086A55">
        <w:rPr>
          <w:rFonts w:cs="Arial" w:hint="cs"/>
          <w:rtl/>
        </w:rPr>
        <w:t xml:space="preserve">: </w:t>
      </w:r>
      <w:r w:rsidRPr="00086A55">
        <w:rPr>
          <w:rFonts w:cs="Arial"/>
          <w:rtl/>
        </w:rPr>
        <w:t xml:space="preserve">מעות שעל הכר. </w:t>
      </w:r>
      <w:r w:rsidRPr="00086A55">
        <w:rPr>
          <w:rFonts w:cs="Arial"/>
          <w:u w:val="single"/>
          <w:rtl/>
        </w:rPr>
        <w:t>אמר רב חייא בר אשי אמר רב</w:t>
      </w:r>
      <w:r w:rsidRPr="00086A55">
        <w:rPr>
          <w:rFonts w:cs="Arial"/>
          <w:rtl/>
        </w:rPr>
        <w:t>: לא שנו אלא בשוכח, אבל במניח - נעשה בסיס לדבר האסור.</w:t>
      </w:r>
    </w:p>
    <w:p w14:paraId="0B4B03E1" w14:textId="4C15AF2E" w:rsidR="00E36894" w:rsidRDefault="00E36894" w:rsidP="00434A6A">
      <w:pPr>
        <w:rPr>
          <w:rFonts w:cs="Arial"/>
          <w:rtl/>
        </w:rPr>
      </w:pPr>
      <w:r w:rsidRPr="00DF4C09">
        <w:rPr>
          <w:rFonts w:cs="Arial" w:hint="cs"/>
          <w:b/>
          <w:bCs/>
          <w:rtl/>
        </w:rPr>
        <w:t xml:space="preserve">שבת </w:t>
      </w:r>
      <w:r>
        <w:rPr>
          <w:rFonts w:cs="Arial" w:hint="cs"/>
          <w:b/>
          <w:bCs/>
          <w:sz w:val="16"/>
          <w:szCs w:val="16"/>
          <w:rtl/>
        </w:rPr>
        <w:t>(פ' כירה)</w:t>
      </w:r>
      <w:r>
        <w:rPr>
          <w:rFonts w:cs="Arial" w:hint="cs"/>
          <w:b/>
          <w:bCs/>
          <w:rtl/>
        </w:rPr>
        <w:t xml:space="preserve"> מד</w:t>
      </w:r>
      <w:r w:rsidRPr="00DF4C09">
        <w:rPr>
          <w:rFonts w:cs="Arial" w:hint="cs"/>
          <w:b/>
          <w:bCs/>
          <w:rtl/>
        </w:rPr>
        <w:t xml:space="preserve"> ע"</w:t>
      </w:r>
      <w:r>
        <w:rPr>
          <w:rFonts w:cs="Arial" w:hint="cs"/>
          <w:b/>
          <w:bCs/>
          <w:rtl/>
        </w:rPr>
        <w:t>ב</w:t>
      </w:r>
      <w:r w:rsidRPr="00DF4C09">
        <w:rPr>
          <w:rFonts w:cs="Arial" w:hint="cs"/>
          <w:b/>
          <w:bCs/>
          <w:rtl/>
        </w:rPr>
        <w:t>:</w:t>
      </w:r>
      <w:r>
        <w:rPr>
          <w:rFonts w:cs="Arial" w:hint="cs"/>
          <w:rtl/>
        </w:rPr>
        <w:t xml:space="preserve"> </w:t>
      </w:r>
      <w:r w:rsidRPr="000753D8">
        <w:rPr>
          <w:rFonts w:cs="Arial"/>
          <w:u w:val="single"/>
          <w:rtl/>
        </w:rPr>
        <w:t>אמר רב יהודה אמר רב</w:t>
      </w:r>
      <w:r w:rsidRPr="000753D8">
        <w:rPr>
          <w:rFonts w:cs="Arial"/>
          <w:rtl/>
        </w:rPr>
        <w:t>: מטה שיחדה למעות, הניח עליה מעות</w:t>
      </w:r>
      <w:r>
        <w:rPr>
          <w:rStyle w:val="a9"/>
          <w:rFonts w:cs="Arial"/>
          <w:rtl/>
        </w:rPr>
        <w:footnoteReference w:id="1850"/>
      </w:r>
      <w:r w:rsidRPr="000753D8">
        <w:rPr>
          <w:rFonts w:cs="Arial"/>
          <w:rtl/>
        </w:rPr>
        <w:t xml:space="preserve"> - אסור לטלטלה, לא הניח עליה מעות - מותר לטלטלה. לא יחדה למעות</w:t>
      </w:r>
      <w:r w:rsidR="00DF7C18">
        <w:rPr>
          <w:rStyle w:val="a9"/>
          <w:rFonts w:cs="Arial"/>
          <w:rtl/>
        </w:rPr>
        <w:footnoteReference w:id="1851"/>
      </w:r>
      <w:r w:rsidRPr="000753D8">
        <w:rPr>
          <w:rFonts w:cs="Arial"/>
          <w:rtl/>
        </w:rPr>
        <w:t>, יש עליה מעות - אסור לטלטלה</w:t>
      </w:r>
      <w:r w:rsidR="00524246">
        <w:rPr>
          <w:rStyle w:val="a9"/>
          <w:rFonts w:cs="Arial"/>
          <w:rtl/>
        </w:rPr>
        <w:footnoteReference w:id="1852"/>
      </w:r>
      <w:r w:rsidRPr="000753D8">
        <w:rPr>
          <w:rFonts w:cs="Arial"/>
          <w:rtl/>
        </w:rPr>
        <w:t>, אין עליה מעות - מותר לטלטלה</w:t>
      </w:r>
      <w:r>
        <w:rPr>
          <w:rStyle w:val="a9"/>
          <w:rFonts w:cs="Arial"/>
          <w:rtl/>
        </w:rPr>
        <w:footnoteReference w:id="1853"/>
      </w:r>
      <w:r w:rsidRPr="000753D8">
        <w:rPr>
          <w:rFonts w:cs="Arial"/>
          <w:rtl/>
        </w:rPr>
        <w:t>, והוא</w:t>
      </w:r>
      <w:r w:rsidR="00DF7C18">
        <w:rPr>
          <w:rStyle w:val="a9"/>
          <w:rFonts w:cs="Arial"/>
          <w:rtl/>
        </w:rPr>
        <w:footnoteReference w:id="1854"/>
      </w:r>
      <w:r w:rsidRPr="000753D8">
        <w:rPr>
          <w:rFonts w:cs="Arial"/>
          <w:rtl/>
        </w:rPr>
        <w:t xml:space="preserve"> שלא היו עליה בין השמשות. </w:t>
      </w:r>
      <w:r w:rsidRPr="000753D8">
        <w:rPr>
          <w:rFonts w:cs="Arial"/>
          <w:u w:val="single"/>
          <w:rtl/>
        </w:rPr>
        <w:t>אמר עולא</w:t>
      </w:r>
      <w:r>
        <w:rPr>
          <w:rFonts w:cs="Arial" w:hint="cs"/>
          <w:rtl/>
        </w:rPr>
        <w:t>:</w:t>
      </w:r>
      <w:r w:rsidRPr="000753D8">
        <w:rPr>
          <w:rFonts w:cs="Arial"/>
          <w:rtl/>
        </w:rPr>
        <w:t xml:space="preserve"> מתיב רבי אליעזר: מוכני שלה, בזמן שהיא נשמטת - אין חבור לה, ואין נמדדת עמה, ואין מצלת עמה באהל המת, ואין גוררין אותה בשבת בזמן שיש עליה מעות. הא אין עליה מעות - שריא, אף על גב דהוו עליה בין השמשות! ההיא רבי שמעון היא</w:t>
      </w:r>
      <w:r>
        <w:rPr>
          <w:rStyle w:val="a9"/>
          <w:rFonts w:cs="Arial"/>
          <w:rtl/>
        </w:rPr>
        <w:footnoteReference w:id="1855"/>
      </w:r>
      <w:r w:rsidRPr="000753D8">
        <w:rPr>
          <w:rFonts w:cs="Arial"/>
          <w:rtl/>
        </w:rPr>
        <w:t>, דלית ליה מוקצה, ורב כרבי יהודה סבירא ליה.</w:t>
      </w:r>
      <w:r w:rsidRPr="004D2918">
        <w:rPr>
          <w:rFonts w:cs="Arial"/>
          <w:rtl/>
        </w:rPr>
        <w:t xml:space="preserve"> </w:t>
      </w:r>
    </w:p>
    <w:p w14:paraId="2F8FD91F" w14:textId="781B93CD" w:rsidR="009F5DB5" w:rsidRPr="009F5DB5" w:rsidRDefault="009F5DB5" w:rsidP="00434A6A">
      <w:pPr>
        <w:rPr>
          <w:u w:val="single"/>
          <w:rtl/>
        </w:rPr>
      </w:pPr>
      <w:r w:rsidRPr="009F5DB5">
        <w:rPr>
          <w:rFonts w:hint="cs"/>
          <w:u w:val="single"/>
          <w:rtl/>
        </w:rPr>
        <w:t>בסיס לדבר האסור:</w:t>
      </w:r>
    </w:p>
    <w:p w14:paraId="7A5504CD" w14:textId="7BD2974A" w:rsidR="009F5DB5" w:rsidRPr="009F5DB5" w:rsidRDefault="00132526" w:rsidP="00434A6A">
      <w:pPr>
        <w:pStyle w:val="aa"/>
        <w:numPr>
          <w:ilvl w:val="0"/>
          <w:numId w:val="15"/>
        </w:numPr>
      </w:pPr>
      <w:r>
        <w:rPr>
          <w:rFonts w:cs="Arial" w:hint="cs"/>
          <w:rtl/>
        </w:rPr>
        <w:t xml:space="preserve">טור- </w:t>
      </w:r>
      <w:r>
        <w:rPr>
          <w:rFonts w:cs="Arial"/>
          <w:rtl/>
        </w:rPr>
        <w:t xml:space="preserve">דבר שמותר לטלטלו והניח עליו מבע"י דבר האסור </w:t>
      </w:r>
      <w:r w:rsidR="009F5DB5">
        <w:rPr>
          <w:rFonts w:cs="Arial" w:hint="cs"/>
          <w:rtl/>
        </w:rPr>
        <w:t xml:space="preserve">- </w:t>
      </w:r>
      <w:r>
        <w:rPr>
          <w:rFonts w:cs="Arial"/>
          <w:rtl/>
        </w:rPr>
        <w:t>גם התחתון אסור מפני דבר האסור המונח עליו</w:t>
      </w:r>
      <w:r>
        <w:rPr>
          <w:rStyle w:val="a9"/>
          <w:rFonts w:cs="Arial"/>
          <w:rtl/>
        </w:rPr>
        <w:footnoteReference w:id="1856"/>
      </w:r>
      <w:r w:rsidR="009F5DB5">
        <w:rPr>
          <w:rFonts w:cs="Arial" w:hint="cs"/>
          <w:rtl/>
        </w:rPr>
        <w:t>.</w:t>
      </w:r>
      <w:r>
        <w:rPr>
          <w:rFonts w:cs="Arial"/>
          <w:rtl/>
        </w:rPr>
        <w:t xml:space="preserve"> הלכך מטה שיש עליה מעות</w:t>
      </w:r>
      <w:r w:rsidR="009F5DB5">
        <w:rPr>
          <w:rFonts w:cs="Arial" w:hint="cs"/>
          <w:rtl/>
        </w:rPr>
        <w:t>,</w:t>
      </w:r>
      <w:r>
        <w:rPr>
          <w:rFonts w:cs="Arial"/>
          <w:rtl/>
        </w:rPr>
        <w:t xml:space="preserve"> או אפילו אין עליה עתה והיו עליה בה"ש </w:t>
      </w:r>
      <w:r w:rsidR="009F5DB5">
        <w:rPr>
          <w:rFonts w:cs="Arial" w:hint="cs"/>
          <w:rtl/>
        </w:rPr>
        <w:t xml:space="preserve">- </w:t>
      </w:r>
      <w:r>
        <w:rPr>
          <w:rFonts w:cs="Arial"/>
          <w:rtl/>
        </w:rPr>
        <w:t>אסור לטלטלה</w:t>
      </w:r>
      <w:r w:rsidR="009F5DB5">
        <w:rPr>
          <w:rFonts w:cs="Arial" w:hint="cs"/>
          <w:rtl/>
        </w:rPr>
        <w:t>.</w:t>
      </w:r>
      <w:r>
        <w:rPr>
          <w:rFonts w:cs="Arial"/>
          <w:rtl/>
        </w:rPr>
        <w:t xml:space="preserve"> </w:t>
      </w:r>
      <w:r w:rsidR="0063616E" w:rsidRPr="00B05450">
        <w:rPr>
          <w:rFonts w:hint="cs"/>
          <w:color w:val="E36C0A" w:themeColor="accent6" w:themeShade="BF"/>
          <w:rtl/>
        </w:rPr>
        <w:t>(וכ"פ בשו"ע)</w:t>
      </w:r>
    </w:p>
    <w:p w14:paraId="67EB8AF3" w14:textId="5B963A51" w:rsidR="009F5DB5" w:rsidRPr="009F5DB5" w:rsidRDefault="00C44056" w:rsidP="00434A6A">
      <w:pPr>
        <w:ind w:left="360"/>
      </w:pPr>
      <w:r w:rsidRPr="00C44056">
        <w:rPr>
          <w:rFonts w:cs="Arial" w:hint="cs"/>
          <w:u w:val="dotted"/>
          <w:rtl/>
        </w:rPr>
        <w:t xml:space="preserve">ומה הדין אם ייחדה למעות </w:t>
      </w:r>
      <w:r w:rsidRPr="00C44056">
        <w:rPr>
          <w:rFonts w:cs="Arial" w:hint="cs"/>
          <w:sz w:val="16"/>
          <w:szCs w:val="16"/>
          <w:u w:val="dotted"/>
          <w:rtl/>
        </w:rPr>
        <w:t>(ו</w:t>
      </w:r>
      <w:r w:rsidR="00132526" w:rsidRPr="00C44056">
        <w:rPr>
          <w:rFonts w:cs="Arial"/>
          <w:sz w:val="16"/>
          <w:szCs w:val="16"/>
          <w:u w:val="dotted"/>
          <w:rtl/>
        </w:rPr>
        <w:t>אין עליה עתה</w:t>
      </w:r>
      <w:r w:rsidR="009F5DB5" w:rsidRPr="00C44056">
        <w:rPr>
          <w:rFonts w:cs="Arial" w:hint="cs"/>
          <w:sz w:val="16"/>
          <w:szCs w:val="16"/>
          <w:u w:val="dotted"/>
          <w:rtl/>
        </w:rPr>
        <w:t>,</w:t>
      </w:r>
      <w:r w:rsidR="00132526" w:rsidRPr="00C44056">
        <w:rPr>
          <w:rFonts w:cs="Arial"/>
          <w:sz w:val="16"/>
          <w:szCs w:val="16"/>
          <w:u w:val="dotted"/>
          <w:rtl/>
        </w:rPr>
        <w:t xml:space="preserve"> ולא היה עליה בה"ש</w:t>
      </w:r>
      <w:r w:rsidRPr="00C44056">
        <w:rPr>
          <w:rFonts w:cs="Arial" w:hint="cs"/>
          <w:sz w:val="16"/>
          <w:szCs w:val="16"/>
          <w:u w:val="dotted"/>
          <w:rtl/>
        </w:rPr>
        <w:t>)</w:t>
      </w:r>
      <w:r w:rsidRPr="00C44056">
        <w:rPr>
          <w:rFonts w:cs="Arial" w:hint="cs"/>
          <w:u w:val="dotted"/>
          <w:rtl/>
        </w:rPr>
        <w:t>:</w:t>
      </w:r>
      <w:r w:rsidR="00132526" w:rsidRPr="00C44056">
        <w:rPr>
          <w:rFonts w:cs="Arial"/>
          <w:rtl/>
        </w:rPr>
        <w:t xml:space="preserve"> </w:t>
      </w:r>
    </w:p>
    <w:p w14:paraId="18E4AF98" w14:textId="7E07B929" w:rsidR="00366109" w:rsidRPr="00366109" w:rsidRDefault="00366109" w:rsidP="00434A6A">
      <w:pPr>
        <w:pStyle w:val="aa"/>
        <w:numPr>
          <w:ilvl w:val="0"/>
          <w:numId w:val="15"/>
        </w:numPr>
        <w:rPr>
          <w:rFonts w:cs="Arial"/>
          <w:rtl/>
        </w:rPr>
      </w:pPr>
      <w:r w:rsidRPr="00366109">
        <w:rPr>
          <w:rFonts w:cs="Arial"/>
          <w:rtl/>
        </w:rPr>
        <w:t xml:space="preserve">רי"ף </w:t>
      </w:r>
      <w:r w:rsidRPr="00366109">
        <w:rPr>
          <w:rFonts w:cs="Arial"/>
          <w:sz w:val="16"/>
          <w:szCs w:val="16"/>
          <w:rtl/>
        </w:rPr>
        <w:t>(כא.)</w:t>
      </w:r>
      <w:r w:rsidRPr="00366109">
        <w:rPr>
          <w:rFonts w:cs="Arial"/>
          <w:rtl/>
        </w:rPr>
        <w:t xml:space="preserve"> רמב"ם </w:t>
      </w:r>
      <w:r w:rsidRPr="00366109">
        <w:rPr>
          <w:rFonts w:cs="Arial" w:hint="cs"/>
          <w:sz w:val="16"/>
          <w:szCs w:val="16"/>
          <w:rtl/>
        </w:rPr>
        <w:t>(כ"כ הב"י בשמו</w:t>
      </w:r>
      <w:r>
        <w:rPr>
          <w:rStyle w:val="a9"/>
          <w:rFonts w:cs="Arial"/>
          <w:sz w:val="16"/>
          <w:szCs w:val="16"/>
          <w:rtl/>
        </w:rPr>
        <w:footnoteReference w:id="1857"/>
      </w:r>
      <w:r w:rsidRPr="00366109">
        <w:rPr>
          <w:rFonts w:cs="Arial" w:hint="cs"/>
          <w:sz w:val="16"/>
          <w:szCs w:val="16"/>
          <w:rtl/>
        </w:rPr>
        <w:t xml:space="preserve">) </w:t>
      </w:r>
      <w:r w:rsidRPr="00366109">
        <w:rPr>
          <w:rFonts w:cs="Arial" w:hint="cs"/>
          <w:rtl/>
        </w:rPr>
        <w:t xml:space="preserve">ורי"ו </w:t>
      </w:r>
      <w:r w:rsidRPr="00366109">
        <w:rPr>
          <w:rFonts w:cs="Arial" w:hint="cs"/>
          <w:sz w:val="16"/>
          <w:szCs w:val="16"/>
          <w:rtl/>
        </w:rPr>
        <w:t>(ח</w:t>
      </w:r>
      <w:r w:rsidRPr="00366109">
        <w:rPr>
          <w:rFonts w:cs="Arial"/>
          <w:sz w:val="16"/>
          <w:szCs w:val="16"/>
          <w:rtl/>
        </w:rPr>
        <w:t>י"ג ני"ב פג ע"ד)</w:t>
      </w:r>
      <w:r w:rsidRPr="00366109">
        <w:rPr>
          <w:rFonts w:cs="Arial" w:hint="cs"/>
          <w:rtl/>
        </w:rPr>
        <w:t>-</w:t>
      </w:r>
      <w:r w:rsidRPr="00366109">
        <w:rPr>
          <w:rFonts w:cs="Arial"/>
          <w:rtl/>
        </w:rPr>
        <w:t xml:space="preserve"> ומטה שיש עליה מעות אסור לטלטלה אין עליה מעות מותר לטלטלה בין יחדה בין לא יחדה והוא שלא היו עליה בין השמשות אבל אם היו עליה בין השמשות מגו דאיתקצאי בין השמשות איתקצאי לכולי יומא והוה ליה מוקצה מחמת איסור הילכך אסור לטלטלה</w:t>
      </w:r>
      <w:r w:rsidRPr="00366109">
        <w:rPr>
          <w:rFonts w:cs="Arial" w:hint="cs"/>
          <w:sz w:val="16"/>
          <w:szCs w:val="16"/>
          <w:rtl/>
        </w:rPr>
        <w:t xml:space="preserve"> (ל' הרי"ף)</w:t>
      </w:r>
      <w:r>
        <w:rPr>
          <w:rStyle w:val="a9"/>
          <w:rFonts w:cs="Arial"/>
          <w:rtl/>
        </w:rPr>
        <w:footnoteReference w:id="1858"/>
      </w:r>
      <w:r w:rsidRPr="00366109">
        <w:rPr>
          <w:rFonts w:cs="Arial" w:hint="cs"/>
          <w:rtl/>
        </w:rPr>
        <w:t>.</w:t>
      </w:r>
      <w:r w:rsidRPr="00366109">
        <w:rPr>
          <w:rFonts w:cs="Arial"/>
          <w:rtl/>
        </w:rPr>
        <w:t xml:space="preserve"> </w:t>
      </w:r>
      <w:r w:rsidR="00DA24F4" w:rsidRPr="00B05450">
        <w:rPr>
          <w:rFonts w:hint="cs"/>
          <w:color w:val="E36C0A" w:themeColor="accent6" w:themeShade="BF"/>
          <w:rtl/>
        </w:rPr>
        <w:t>(וכ"פ בשו"ע)</w:t>
      </w:r>
    </w:p>
    <w:p w14:paraId="5115A1F6" w14:textId="2AAE123F" w:rsidR="00C44056" w:rsidRDefault="00C44056" w:rsidP="00434A6A">
      <w:pPr>
        <w:pStyle w:val="aa"/>
        <w:numPr>
          <w:ilvl w:val="0"/>
          <w:numId w:val="15"/>
        </w:numPr>
        <w:rPr>
          <w:rFonts w:cs="Arial"/>
        </w:rPr>
      </w:pPr>
      <w:r w:rsidRPr="00C44056">
        <w:rPr>
          <w:rFonts w:cs="Arial"/>
          <w:rtl/>
        </w:rPr>
        <w:t>ר</w:t>
      </w:r>
      <w:r w:rsidRPr="00C44056">
        <w:rPr>
          <w:rFonts w:cs="Arial" w:hint="cs"/>
          <w:rtl/>
        </w:rPr>
        <w:t>"</w:t>
      </w:r>
      <w:r w:rsidRPr="00C44056">
        <w:rPr>
          <w:rFonts w:cs="Arial"/>
          <w:rtl/>
        </w:rPr>
        <w:t xml:space="preserve">ת </w:t>
      </w:r>
      <w:r w:rsidRPr="00C44056">
        <w:rPr>
          <w:rFonts w:cs="Arial"/>
          <w:sz w:val="16"/>
          <w:szCs w:val="16"/>
          <w:rtl/>
        </w:rPr>
        <w:t>(מד: סוף ד"ה הא</w:t>
      </w:r>
      <w:r w:rsidRPr="00C44056">
        <w:rPr>
          <w:rFonts w:cs="Arial" w:hint="cs"/>
          <w:sz w:val="16"/>
          <w:szCs w:val="16"/>
          <w:rtl/>
        </w:rPr>
        <w:t>, וכ"כ הרא"ש בשמו [פ"ג סי' כ]</w:t>
      </w:r>
      <w:r w:rsidRPr="00C44056">
        <w:rPr>
          <w:rFonts w:cs="Arial"/>
          <w:sz w:val="16"/>
          <w:szCs w:val="16"/>
          <w:rtl/>
        </w:rPr>
        <w:t>)</w:t>
      </w:r>
      <w:r w:rsidRPr="00C44056">
        <w:rPr>
          <w:rFonts w:cs="Arial" w:hint="cs"/>
          <w:rtl/>
        </w:rPr>
        <w:t xml:space="preserve">- </w:t>
      </w:r>
      <w:r w:rsidRPr="00C44056">
        <w:rPr>
          <w:rFonts w:cs="Arial"/>
          <w:rtl/>
        </w:rPr>
        <w:t>ר</w:t>
      </w:r>
      <w:r w:rsidRPr="00C44056">
        <w:rPr>
          <w:rFonts w:cs="Arial" w:hint="cs"/>
          <w:rtl/>
        </w:rPr>
        <w:t>בי שמעון</w:t>
      </w:r>
      <w:r w:rsidRPr="00C44056">
        <w:rPr>
          <w:rFonts w:cs="Arial"/>
          <w:rtl/>
        </w:rPr>
        <w:t xml:space="preserve"> מודה במטה שייחדה והניח עליה מעות</w:t>
      </w:r>
      <w:r w:rsidRPr="00C44056">
        <w:rPr>
          <w:rFonts w:cs="Arial" w:hint="cs"/>
          <w:rtl/>
        </w:rPr>
        <w:t>,</w:t>
      </w:r>
      <w:r w:rsidRPr="00C44056">
        <w:rPr>
          <w:rFonts w:cs="Arial"/>
          <w:rtl/>
        </w:rPr>
        <w:t xml:space="preserve"> דאדם קפיד עלה ומייחד לה מקום</w:t>
      </w:r>
      <w:r>
        <w:rPr>
          <w:rStyle w:val="a9"/>
          <w:rFonts w:cs="Arial"/>
          <w:rtl/>
        </w:rPr>
        <w:footnoteReference w:id="1859"/>
      </w:r>
      <w:r w:rsidRPr="00C44056">
        <w:rPr>
          <w:rFonts w:cs="Arial" w:hint="cs"/>
          <w:sz w:val="16"/>
          <w:szCs w:val="16"/>
          <w:rtl/>
        </w:rPr>
        <w:t xml:space="preserve"> (ל' הרא"ש בשמו)</w:t>
      </w:r>
      <w:r>
        <w:rPr>
          <w:rStyle w:val="a9"/>
          <w:rFonts w:cs="Arial"/>
          <w:rtl/>
        </w:rPr>
        <w:footnoteReference w:id="1860"/>
      </w:r>
      <w:r w:rsidRPr="00C44056">
        <w:rPr>
          <w:rFonts w:cs="Arial" w:hint="cs"/>
          <w:rtl/>
        </w:rPr>
        <w:t>.</w:t>
      </w:r>
      <w:r w:rsidR="00F42502" w:rsidRPr="00F42502">
        <w:rPr>
          <w:rFonts w:hint="cs"/>
          <w:color w:val="00B0F0"/>
          <w:rtl/>
        </w:rPr>
        <w:t xml:space="preserve"> </w:t>
      </w:r>
      <w:r w:rsidR="00F42502" w:rsidRPr="00DA24F4">
        <w:rPr>
          <w:rFonts w:hint="cs"/>
          <w:color w:val="00B0F0"/>
          <w:rtl/>
        </w:rPr>
        <w:t>(וכ"פ הרמ"א)</w:t>
      </w:r>
    </w:p>
    <w:p w14:paraId="3A7D5A95" w14:textId="0F121526" w:rsidR="00B32F95" w:rsidRPr="00B32F95" w:rsidRDefault="00B32F95" w:rsidP="00434A6A">
      <w:pPr>
        <w:rPr>
          <w:rFonts w:cs="Arial"/>
          <w:u w:val="single"/>
          <w:rtl/>
        </w:rPr>
      </w:pPr>
      <w:r>
        <w:rPr>
          <w:rFonts w:cs="Arial" w:hint="cs"/>
          <w:u w:val="single"/>
          <w:rtl/>
        </w:rPr>
        <w:t>מטה ש</w:t>
      </w:r>
      <w:r w:rsidRPr="00B32F95">
        <w:rPr>
          <w:rFonts w:cs="Arial"/>
          <w:u w:val="single"/>
          <w:rtl/>
        </w:rPr>
        <w:t>היו עליה מעות כל בין השמשות ואחר כך נטלן</w:t>
      </w:r>
      <w:r w:rsidRPr="00B32F95">
        <w:rPr>
          <w:rFonts w:cs="Arial" w:hint="cs"/>
          <w:u w:val="single"/>
          <w:rtl/>
        </w:rPr>
        <w:t>:</w:t>
      </w:r>
    </w:p>
    <w:p w14:paraId="74D27E39" w14:textId="77777777" w:rsidR="00DA24F4" w:rsidRDefault="00DA24F4" w:rsidP="00434A6A">
      <w:pPr>
        <w:pStyle w:val="aa"/>
        <w:numPr>
          <w:ilvl w:val="0"/>
          <w:numId w:val="15"/>
        </w:numPr>
      </w:pPr>
      <w:r w:rsidRPr="00C44056">
        <w:rPr>
          <w:rFonts w:cs="Arial"/>
          <w:rtl/>
        </w:rPr>
        <w:t>הג</w:t>
      </w:r>
      <w:r w:rsidRPr="00C44056">
        <w:rPr>
          <w:rFonts w:cs="Arial" w:hint="cs"/>
          <w:rtl/>
        </w:rPr>
        <w:t>"א</w:t>
      </w:r>
      <w:r>
        <w:rPr>
          <w:rFonts w:cs="Arial" w:hint="cs"/>
          <w:sz w:val="16"/>
          <w:szCs w:val="16"/>
          <w:rtl/>
        </w:rPr>
        <w:t xml:space="preserve"> (פ"כ סי' כ הגהה ד)</w:t>
      </w:r>
      <w:r>
        <w:rPr>
          <w:rFonts w:cs="Arial" w:hint="cs"/>
          <w:rtl/>
        </w:rPr>
        <w:t xml:space="preserve">- </w:t>
      </w:r>
      <w:r w:rsidRPr="00B32F95">
        <w:rPr>
          <w:rFonts w:cs="Arial"/>
          <w:rtl/>
        </w:rPr>
        <w:t>אפי' היו עליה כל בין השמשות מותר לטלטלה לאחר שיוסרו המעות ממנה כר"ש</w:t>
      </w:r>
      <w:r>
        <w:rPr>
          <w:rFonts w:hint="cs"/>
          <w:rtl/>
        </w:rPr>
        <w:t>.</w:t>
      </w:r>
    </w:p>
    <w:p w14:paraId="41D4B9B2" w14:textId="29CFA69F" w:rsidR="00366109" w:rsidRDefault="00B32F95" w:rsidP="00434A6A">
      <w:pPr>
        <w:pStyle w:val="aa"/>
        <w:numPr>
          <w:ilvl w:val="0"/>
          <w:numId w:val="15"/>
        </w:numPr>
      </w:pPr>
      <w:r>
        <w:rPr>
          <w:rFonts w:cs="Arial" w:hint="cs"/>
          <w:rtl/>
        </w:rPr>
        <w:t xml:space="preserve">ב"י- </w:t>
      </w:r>
      <w:r w:rsidR="00C44056" w:rsidRPr="00C44056">
        <w:rPr>
          <w:rFonts w:cs="Arial"/>
          <w:rtl/>
        </w:rPr>
        <w:t xml:space="preserve">ולדברי כולם היכא דהיו עליה מעות כל בין השמשות ואחר כך נטלן </w:t>
      </w:r>
      <w:r w:rsidR="00C44056" w:rsidRPr="00C44056">
        <w:rPr>
          <w:rFonts w:cs="Arial" w:hint="cs"/>
          <w:rtl/>
        </w:rPr>
        <w:t xml:space="preserve">- </w:t>
      </w:r>
      <w:r w:rsidR="00C44056" w:rsidRPr="00C44056">
        <w:rPr>
          <w:rFonts w:cs="Arial"/>
          <w:rtl/>
        </w:rPr>
        <w:t>היינו דומיא דנר שכבה</w:t>
      </w:r>
      <w:r w:rsidR="00C44056" w:rsidRPr="00C44056">
        <w:rPr>
          <w:rFonts w:cs="Arial" w:hint="cs"/>
          <w:rtl/>
        </w:rPr>
        <w:t>.</w:t>
      </w:r>
      <w:r w:rsidR="00C44056" w:rsidRPr="00C44056">
        <w:rPr>
          <w:rFonts w:cs="Arial"/>
          <w:rtl/>
        </w:rPr>
        <w:t xml:space="preserve"> וכבר כתבתי בסימן רע"ט (לז: דיבור ראשון) שדעת כל הפוסקים שאפילו לצורך גופו וצורך מקומו אסור לטלטלו</w:t>
      </w:r>
      <w:r w:rsidR="00C44056" w:rsidRPr="00C44056">
        <w:rPr>
          <w:rFonts w:cs="Arial" w:hint="cs"/>
          <w:rtl/>
        </w:rPr>
        <w:t>,</w:t>
      </w:r>
      <w:r w:rsidR="00C44056" w:rsidRPr="00C44056">
        <w:rPr>
          <w:rFonts w:cs="Arial"/>
          <w:rtl/>
        </w:rPr>
        <w:t xml:space="preserve"> ודלא כהג</w:t>
      </w:r>
      <w:r w:rsidR="00C44056" w:rsidRPr="00C44056">
        <w:rPr>
          <w:rFonts w:cs="Arial" w:hint="cs"/>
          <w:rtl/>
        </w:rPr>
        <w:t>"א</w:t>
      </w:r>
      <w:r w:rsidR="00C44056" w:rsidRPr="00C44056">
        <w:rPr>
          <w:rFonts w:cs="Arial"/>
          <w:rtl/>
        </w:rPr>
        <w:t xml:space="preserve"> שהתירו כל שלצורך גופו וצורך מקומ</w:t>
      </w:r>
      <w:r w:rsidR="00C44056" w:rsidRPr="00C44056">
        <w:rPr>
          <w:rFonts w:cs="Arial" w:hint="cs"/>
          <w:rtl/>
        </w:rPr>
        <w:t>ו.</w:t>
      </w:r>
      <w:r w:rsidR="00DA24F4">
        <w:rPr>
          <w:rFonts w:hint="cs"/>
          <w:rtl/>
        </w:rPr>
        <w:t xml:space="preserve"> </w:t>
      </w:r>
      <w:r w:rsidR="00DA24F4" w:rsidRPr="00DA24F4">
        <w:rPr>
          <w:rFonts w:hint="cs"/>
          <w:color w:val="00B0F0"/>
          <w:rtl/>
        </w:rPr>
        <w:t>(וכ"פ הרמ"א)</w:t>
      </w:r>
    </w:p>
    <w:p w14:paraId="72E58575" w14:textId="063F1C9C" w:rsidR="00B32F95" w:rsidRPr="00006D26" w:rsidRDefault="00006D26" w:rsidP="00434A6A">
      <w:pPr>
        <w:rPr>
          <w:u w:val="single"/>
        </w:rPr>
      </w:pPr>
      <w:r w:rsidRPr="00006D26">
        <w:rPr>
          <w:rFonts w:hint="cs"/>
          <w:u w:val="single"/>
          <w:rtl/>
        </w:rPr>
        <w:t>כיס המיוחד למעות, והוציא המעות ממנו לפני ביה"ש:</w:t>
      </w:r>
    </w:p>
    <w:p w14:paraId="00A17D7C" w14:textId="30D2A7AE" w:rsidR="0063616E" w:rsidRPr="0063616E" w:rsidRDefault="00BB5C2A" w:rsidP="00434A6A">
      <w:pPr>
        <w:pStyle w:val="aa"/>
        <w:numPr>
          <w:ilvl w:val="0"/>
          <w:numId w:val="15"/>
        </w:numPr>
      </w:pPr>
      <w:r>
        <w:rPr>
          <w:rFonts w:cs="Arial" w:hint="cs"/>
          <w:rtl/>
        </w:rPr>
        <w:t xml:space="preserve">ראב"ן </w:t>
      </w:r>
      <w:r>
        <w:rPr>
          <w:rFonts w:cs="Arial" w:hint="cs"/>
          <w:sz w:val="16"/>
          <w:szCs w:val="16"/>
          <w:rtl/>
        </w:rPr>
        <w:t>(סי' שעח, הביאו ההגה"מ [</w:t>
      </w:r>
      <w:r w:rsidRPr="00B32F95">
        <w:rPr>
          <w:rFonts w:cs="Arial"/>
          <w:sz w:val="16"/>
          <w:szCs w:val="16"/>
          <w:rtl/>
        </w:rPr>
        <w:t>פכ"ה אות ו</w:t>
      </w:r>
      <w:r>
        <w:rPr>
          <w:rFonts w:cs="Arial" w:hint="cs"/>
          <w:sz w:val="16"/>
          <w:szCs w:val="16"/>
          <w:rtl/>
        </w:rPr>
        <w:t>])</w:t>
      </w:r>
      <w:r>
        <w:rPr>
          <w:rFonts w:cs="Arial" w:hint="cs"/>
          <w:rtl/>
        </w:rPr>
        <w:t xml:space="preserve">- </w:t>
      </w:r>
      <w:r w:rsidRPr="00BB5C2A">
        <w:rPr>
          <w:rFonts w:cs="Arial"/>
          <w:rtl/>
        </w:rPr>
        <w:t>האזורים שעשוין כעין כיסין ולמעות מיוחדין והניח בהן מעות אע</w:t>
      </w:r>
      <w:r>
        <w:rPr>
          <w:rFonts w:cs="Arial" w:hint="cs"/>
          <w:rtl/>
        </w:rPr>
        <w:t>"</w:t>
      </w:r>
      <w:r w:rsidRPr="00BB5C2A">
        <w:rPr>
          <w:rFonts w:cs="Arial"/>
          <w:rtl/>
        </w:rPr>
        <w:t xml:space="preserve">פ שהוציאן מערב שבת נ"ל דאסור לטלטלם בשבת, דאמר רב הונא מיטה שייחדה למעות והניח עליה מעות אסור לטלטלם בשבת, ואם עשה בה מעשה שפרסו מלמטה וסילקו מייחוד מעות </w:t>
      </w:r>
      <w:r>
        <w:rPr>
          <w:rFonts w:cs="Arial" w:hint="cs"/>
          <w:rtl/>
        </w:rPr>
        <w:t xml:space="preserve">- </w:t>
      </w:r>
      <w:r w:rsidRPr="00BB5C2A">
        <w:rPr>
          <w:rFonts w:cs="Arial"/>
          <w:rtl/>
        </w:rPr>
        <w:t>מותר לטלטלן. ואפילו לר"ש דלית ליה מוקצה, כיון דיחדן למעות הוי כעין מוקצה דגרוגרות וצימוקין</w:t>
      </w:r>
      <w:r>
        <w:rPr>
          <w:rStyle w:val="a9"/>
          <w:rFonts w:cs="Arial"/>
          <w:rtl/>
        </w:rPr>
        <w:footnoteReference w:id="1861"/>
      </w:r>
      <w:r w:rsidR="00B32F95" w:rsidRPr="00BB5C2A">
        <w:rPr>
          <w:rFonts w:cs="Arial" w:hint="cs"/>
          <w:rtl/>
        </w:rPr>
        <w:t>.</w:t>
      </w:r>
      <w:r w:rsidR="00F42502">
        <w:rPr>
          <w:rFonts w:hint="cs"/>
          <w:color w:val="00B0F0"/>
          <w:rtl/>
        </w:rPr>
        <w:t xml:space="preserve"> </w:t>
      </w:r>
      <w:r w:rsidR="00F42502" w:rsidRPr="00DA24F4">
        <w:rPr>
          <w:rFonts w:hint="cs"/>
          <w:color w:val="00B0F0"/>
          <w:rtl/>
        </w:rPr>
        <w:t>(וכ"פ הרמ"א)</w:t>
      </w:r>
    </w:p>
    <w:p w14:paraId="15EEAB99" w14:textId="6734A137" w:rsidR="0063616E" w:rsidRPr="0063616E" w:rsidRDefault="0063616E" w:rsidP="00434A6A">
      <w:pPr>
        <w:rPr>
          <w:u w:val="single"/>
        </w:rPr>
      </w:pPr>
      <w:r w:rsidRPr="0063616E">
        <w:rPr>
          <w:rFonts w:hint="cs"/>
          <w:u w:val="single"/>
          <w:rtl/>
        </w:rPr>
        <w:t>גשם שיורד בשבת ולא היו עננים בבין השמשות:</w:t>
      </w:r>
    </w:p>
    <w:p w14:paraId="6302069F" w14:textId="329CF442" w:rsidR="00132526" w:rsidRPr="00132526" w:rsidRDefault="00132526" w:rsidP="00434A6A">
      <w:pPr>
        <w:pStyle w:val="aa"/>
        <w:numPr>
          <w:ilvl w:val="0"/>
          <w:numId w:val="15"/>
        </w:numPr>
        <w:rPr>
          <w:rtl/>
        </w:rPr>
      </w:pPr>
      <w:r w:rsidRPr="0063616E">
        <w:rPr>
          <w:rFonts w:cs="Arial"/>
          <w:rtl/>
        </w:rPr>
        <w:t>שבה</w:t>
      </w:r>
      <w:r w:rsidR="0063616E" w:rsidRPr="0063616E">
        <w:rPr>
          <w:rFonts w:cs="Arial" w:hint="cs"/>
          <w:rtl/>
        </w:rPr>
        <w:t>"</w:t>
      </w:r>
      <w:r w:rsidRPr="0063616E">
        <w:rPr>
          <w:rFonts w:cs="Arial"/>
          <w:rtl/>
        </w:rPr>
        <w:t xml:space="preserve">ל </w:t>
      </w:r>
      <w:r w:rsidRPr="0063616E">
        <w:rPr>
          <w:rFonts w:cs="Arial"/>
          <w:sz w:val="16"/>
          <w:szCs w:val="16"/>
          <w:rtl/>
        </w:rPr>
        <w:t>(סי' פה)</w:t>
      </w:r>
      <w:r w:rsidRPr="0063616E">
        <w:rPr>
          <w:rFonts w:cs="Arial"/>
          <w:rtl/>
        </w:rPr>
        <w:t xml:space="preserve"> בשם רב צמח גאון </w:t>
      </w:r>
      <w:r w:rsidRPr="0063616E">
        <w:rPr>
          <w:rFonts w:cs="Arial"/>
          <w:sz w:val="16"/>
          <w:szCs w:val="16"/>
          <w:rtl/>
        </w:rPr>
        <w:t>(הלכות פסוקות סי' קמו)</w:t>
      </w:r>
      <w:r w:rsidR="0063616E">
        <w:rPr>
          <w:rFonts w:cs="Arial" w:hint="cs"/>
          <w:rtl/>
        </w:rPr>
        <w:t>-</w:t>
      </w:r>
      <w:r w:rsidRPr="0063616E">
        <w:rPr>
          <w:rFonts w:cs="Arial"/>
          <w:rtl/>
        </w:rPr>
        <w:t xml:space="preserve"> מטר היורד בשבת וביום טוב אע</w:t>
      </w:r>
      <w:r w:rsidR="0063616E">
        <w:rPr>
          <w:rFonts w:cs="Arial" w:hint="cs"/>
          <w:rtl/>
        </w:rPr>
        <w:t>"</w:t>
      </w:r>
      <w:r w:rsidRPr="0063616E">
        <w:rPr>
          <w:rFonts w:cs="Arial"/>
          <w:rtl/>
        </w:rPr>
        <w:t xml:space="preserve">ג דמאתמול לא היו עבים מותר לרחוץ ולשתות מהם דאסיקנא </w:t>
      </w:r>
      <w:r w:rsidRPr="00835466">
        <w:rPr>
          <w:rFonts w:cs="Arial"/>
          <w:sz w:val="16"/>
          <w:szCs w:val="16"/>
          <w:rtl/>
        </w:rPr>
        <w:t xml:space="preserve">(עירובין מו.) </w:t>
      </w:r>
      <w:r w:rsidRPr="0063616E">
        <w:rPr>
          <w:rFonts w:cs="Arial"/>
          <w:rtl/>
        </w:rPr>
        <w:t>מיא בעבים מינד ניידי ולא הוי מוקצה</w:t>
      </w:r>
      <w:r w:rsidR="0063616E">
        <w:rPr>
          <w:rFonts w:cs="Arial" w:hint="cs"/>
          <w:rtl/>
        </w:rPr>
        <w:t>.</w:t>
      </w:r>
      <w:r w:rsidRPr="0063616E">
        <w:rPr>
          <w:rFonts w:cs="Arial"/>
          <w:rtl/>
        </w:rPr>
        <w:t xml:space="preserve"> השתא דאתית להכי מים דאוקיינוס מינד ניידי ושרו תניא נמי הכי נהרות המושכין ומעיינות הנובעים הרי הם כרגלי כל אדם</w:t>
      </w:r>
      <w:r w:rsidR="0063616E">
        <w:rPr>
          <w:rFonts w:cs="Arial" w:hint="cs"/>
          <w:rtl/>
        </w:rPr>
        <w:t>.</w:t>
      </w:r>
    </w:p>
    <w:p w14:paraId="5AEF843A" w14:textId="77777777" w:rsidR="00EF7C96" w:rsidRPr="005275DF" w:rsidRDefault="00EF7C96" w:rsidP="00434A6A">
      <w:pPr>
        <w:rPr>
          <w:rFonts w:asciiTheme="minorBidi" w:hAnsiTheme="minorBidi"/>
          <w:rtl/>
        </w:rPr>
      </w:pPr>
      <w:r w:rsidRPr="005275DF">
        <w:rPr>
          <w:rFonts w:asciiTheme="minorBidi" w:hAnsiTheme="minorBidi"/>
          <w:b/>
          <w:bCs/>
          <w:sz w:val="32"/>
          <w:szCs w:val="28"/>
          <w:u w:val="single"/>
          <w:rtl/>
        </w:rPr>
        <w:t xml:space="preserve">שו"ע: </w:t>
      </w:r>
    </w:p>
    <w:p w14:paraId="6908601B" w14:textId="4A4D9A00" w:rsidR="000C6229" w:rsidRPr="005275DF" w:rsidRDefault="000C6229" w:rsidP="00434A6A">
      <w:pPr>
        <w:rPr>
          <w:rFonts w:asciiTheme="minorBidi" w:hAnsiTheme="minorBidi"/>
          <w:rtl/>
        </w:rPr>
      </w:pPr>
      <w:r w:rsidRPr="005275DF">
        <w:rPr>
          <w:rFonts w:asciiTheme="minorBidi" w:hAnsiTheme="minorBidi"/>
          <w:rtl/>
        </w:rPr>
        <w:t>מטה שיש עליה מעות, או אפילו אין עליה עתה והיה עליה בי</w:t>
      </w:r>
      <w:r w:rsidR="00F424BB">
        <w:rPr>
          <w:rFonts w:asciiTheme="minorBidi" w:hAnsiTheme="minorBidi" w:hint="cs"/>
          <w:rtl/>
        </w:rPr>
        <w:t xml:space="preserve">ן </w:t>
      </w:r>
      <w:r w:rsidRPr="005275DF">
        <w:rPr>
          <w:rFonts w:asciiTheme="minorBidi" w:hAnsiTheme="minorBidi"/>
          <w:rtl/>
        </w:rPr>
        <w:t>הש</w:t>
      </w:r>
      <w:r w:rsidR="00F424BB">
        <w:rPr>
          <w:rFonts w:asciiTheme="minorBidi" w:hAnsiTheme="minorBidi" w:hint="cs"/>
          <w:rtl/>
        </w:rPr>
        <w:t>משות</w:t>
      </w:r>
      <w:r w:rsidRPr="005275DF">
        <w:rPr>
          <w:rFonts w:asciiTheme="minorBidi" w:hAnsiTheme="minorBidi"/>
          <w:rtl/>
        </w:rPr>
        <w:t xml:space="preserve">, אסור לטלטלה דמגו דאתקצאי לבין השמשות אתקצאי לכולי יומא. </w:t>
      </w:r>
      <w:r w:rsidRPr="007A36E9">
        <w:rPr>
          <w:rFonts w:asciiTheme="minorBidi" w:hAnsiTheme="minorBidi"/>
          <w:sz w:val="18"/>
          <w:szCs w:val="18"/>
          <w:rtl/>
        </w:rPr>
        <w:t xml:space="preserve">הגה: ואפילו לצורך גופו או לצורך מקומו (ב"י). </w:t>
      </w:r>
      <w:r w:rsidRPr="005275DF">
        <w:rPr>
          <w:rFonts w:asciiTheme="minorBidi" w:hAnsiTheme="minorBidi"/>
          <w:rtl/>
        </w:rPr>
        <w:t>וה</w:t>
      </w:r>
      <w:r w:rsidR="00F424BB">
        <w:rPr>
          <w:rFonts w:asciiTheme="minorBidi" w:hAnsiTheme="minorBidi" w:hint="cs"/>
          <w:rtl/>
        </w:rPr>
        <w:t xml:space="preserve">וא </w:t>
      </w:r>
      <w:r w:rsidRPr="005275DF">
        <w:rPr>
          <w:rFonts w:asciiTheme="minorBidi" w:hAnsiTheme="minorBidi"/>
          <w:rtl/>
        </w:rPr>
        <w:t>ה</w:t>
      </w:r>
      <w:r w:rsidR="00F424BB">
        <w:rPr>
          <w:rFonts w:asciiTheme="minorBidi" w:hAnsiTheme="minorBidi" w:hint="cs"/>
          <w:rtl/>
        </w:rPr>
        <w:t>דין</w:t>
      </w:r>
      <w:r w:rsidRPr="005275DF">
        <w:rPr>
          <w:rFonts w:asciiTheme="minorBidi" w:hAnsiTheme="minorBidi"/>
          <w:rtl/>
        </w:rPr>
        <w:t xml:space="preserve"> לכל דבר היתר שמונח עליו איסור</w:t>
      </w:r>
      <w:r w:rsidR="00F424BB">
        <w:rPr>
          <w:rFonts w:asciiTheme="minorBidi" w:hAnsiTheme="minorBidi" w:hint="cs"/>
          <w:rtl/>
        </w:rPr>
        <w:t>.</w:t>
      </w:r>
      <w:r w:rsidRPr="005275DF">
        <w:rPr>
          <w:rFonts w:asciiTheme="minorBidi" w:hAnsiTheme="minorBidi"/>
          <w:rtl/>
        </w:rPr>
        <w:t xml:space="preserve"> אבל אם אין עליה עתה מעות וגם לא היה עליה בי</w:t>
      </w:r>
      <w:r w:rsidR="00F424BB">
        <w:rPr>
          <w:rFonts w:asciiTheme="minorBidi" w:hAnsiTheme="minorBidi" w:hint="cs"/>
          <w:rtl/>
        </w:rPr>
        <w:t>ן השמשות</w:t>
      </w:r>
      <w:r w:rsidRPr="005275DF">
        <w:rPr>
          <w:rFonts w:asciiTheme="minorBidi" w:hAnsiTheme="minorBidi"/>
          <w:rtl/>
        </w:rPr>
        <w:t>, מותר לטלטלה אפילו יחדה למעות והניחם עליה מבע</w:t>
      </w:r>
      <w:r w:rsidR="00F424BB">
        <w:rPr>
          <w:rFonts w:asciiTheme="minorBidi" w:hAnsiTheme="minorBidi" w:hint="cs"/>
          <w:rtl/>
        </w:rPr>
        <w:t>וד יום</w:t>
      </w:r>
      <w:r w:rsidRPr="005275DF">
        <w:rPr>
          <w:rFonts w:asciiTheme="minorBidi" w:hAnsiTheme="minorBidi"/>
          <w:rtl/>
        </w:rPr>
        <w:t xml:space="preserve">, כיון שסילקן קודם בין השמשות. </w:t>
      </w:r>
      <w:r w:rsidRPr="007A36E9">
        <w:rPr>
          <w:rFonts w:asciiTheme="minorBidi" w:hAnsiTheme="minorBidi"/>
          <w:sz w:val="18"/>
          <w:szCs w:val="18"/>
          <w:rtl/>
        </w:rPr>
        <w:t>הגה: ויש אוסרין בייחד לכך והניח בהם אע</w:t>
      </w:r>
      <w:r w:rsidR="007A36E9">
        <w:rPr>
          <w:rFonts w:asciiTheme="minorBidi" w:hAnsiTheme="minorBidi" w:hint="cs"/>
          <w:sz w:val="18"/>
          <w:szCs w:val="18"/>
          <w:rtl/>
        </w:rPr>
        <w:t>"</w:t>
      </w:r>
      <w:r w:rsidRPr="007A36E9">
        <w:rPr>
          <w:rFonts w:asciiTheme="minorBidi" w:hAnsiTheme="minorBidi"/>
          <w:sz w:val="18"/>
          <w:szCs w:val="18"/>
          <w:rtl/>
        </w:rPr>
        <w:t>פ שסילקן מב</w:t>
      </w:r>
      <w:r w:rsidR="007A36E9">
        <w:rPr>
          <w:rFonts w:asciiTheme="minorBidi" w:hAnsiTheme="minorBidi" w:hint="cs"/>
          <w:sz w:val="18"/>
          <w:szCs w:val="18"/>
          <w:rtl/>
        </w:rPr>
        <w:t>עוד יום</w:t>
      </w:r>
      <w:r w:rsidRPr="007A36E9">
        <w:rPr>
          <w:rFonts w:asciiTheme="minorBidi" w:hAnsiTheme="minorBidi"/>
          <w:sz w:val="18"/>
          <w:szCs w:val="18"/>
          <w:rtl/>
        </w:rPr>
        <w:t xml:space="preserve"> </w:t>
      </w:r>
      <w:r w:rsidR="00F42502">
        <w:rPr>
          <w:rFonts w:asciiTheme="minorBidi" w:hAnsiTheme="minorBidi" w:hint="cs"/>
          <w:sz w:val="18"/>
          <w:szCs w:val="18"/>
          <w:rtl/>
        </w:rPr>
        <w:t>(</w:t>
      </w:r>
      <w:r w:rsidRPr="007A36E9">
        <w:rPr>
          <w:rFonts w:asciiTheme="minorBidi" w:hAnsiTheme="minorBidi"/>
          <w:sz w:val="18"/>
          <w:szCs w:val="18"/>
          <w:rtl/>
        </w:rPr>
        <w:t>ר"ת)</w:t>
      </w:r>
      <w:r w:rsidR="007A36E9">
        <w:rPr>
          <w:rFonts w:asciiTheme="minorBidi" w:hAnsiTheme="minorBidi" w:hint="cs"/>
          <w:sz w:val="18"/>
          <w:szCs w:val="18"/>
          <w:rtl/>
        </w:rPr>
        <w:t>.</w:t>
      </w:r>
      <w:r w:rsidRPr="007A36E9">
        <w:rPr>
          <w:rFonts w:asciiTheme="minorBidi" w:hAnsiTheme="minorBidi"/>
          <w:sz w:val="18"/>
          <w:szCs w:val="18"/>
          <w:rtl/>
        </w:rPr>
        <w:t xml:space="preserve"> ולכן אסור לטלטל כיס של מעות אע</w:t>
      </w:r>
      <w:r w:rsidR="00F424BB">
        <w:rPr>
          <w:rFonts w:asciiTheme="minorBidi" w:hAnsiTheme="minorBidi" w:hint="cs"/>
          <w:sz w:val="18"/>
          <w:szCs w:val="18"/>
          <w:rtl/>
        </w:rPr>
        <w:t>"</w:t>
      </w:r>
      <w:r w:rsidRPr="007A36E9">
        <w:rPr>
          <w:rFonts w:asciiTheme="minorBidi" w:hAnsiTheme="minorBidi"/>
          <w:sz w:val="18"/>
          <w:szCs w:val="18"/>
          <w:rtl/>
        </w:rPr>
        <w:t xml:space="preserve">פ שהוציא המעות ממנו </w:t>
      </w:r>
      <w:r w:rsidR="00357CCA">
        <w:rPr>
          <w:rFonts w:asciiTheme="minorBidi" w:hAnsiTheme="minorBidi"/>
          <w:sz w:val="18"/>
          <w:szCs w:val="18"/>
          <w:rtl/>
        </w:rPr>
        <w:t>מבעוד יום</w:t>
      </w:r>
      <w:r w:rsidRPr="007A36E9">
        <w:rPr>
          <w:rFonts w:asciiTheme="minorBidi" w:hAnsiTheme="minorBidi"/>
          <w:sz w:val="18"/>
          <w:szCs w:val="18"/>
          <w:rtl/>
        </w:rPr>
        <w:t>, אא"כ עשה בו מעשה שפתחו מלמטה וסלקו מן היחוד</w:t>
      </w:r>
      <w:r w:rsidR="00F42502">
        <w:rPr>
          <w:rFonts w:asciiTheme="minorBidi" w:hAnsiTheme="minorBidi" w:hint="cs"/>
          <w:sz w:val="18"/>
          <w:szCs w:val="18"/>
          <w:rtl/>
        </w:rPr>
        <w:t xml:space="preserve"> </w:t>
      </w:r>
      <w:r w:rsidR="00F42502" w:rsidRPr="007A36E9">
        <w:rPr>
          <w:rFonts w:asciiTheme="minorBidi" w:hAnsiTheme="minorBidi"/>
          <w:sz w:val="18"/>
          <w:szCs w:val="18"/>
          <w:rtl/>
        </w:rPr>
        <w:t>(</w:t>
      </w:r>
      <w:r w:rsidR="00F42502">
        <w:rPr>
          <w:rFonts w:asciiTheme="minorBidi" w:hAnsiTheme="minorBidi" w:hint="cs"/>
          <w:sz w:val="18"/>
          <w:szCs w:val="18"/>
          <w:rtl/>
        </w:rPr>
        <w:t>ראב"ן</w:t>
      </w:r>
      <w:r w:rsidR="00F42502" w:rsidRPr="007A36E9">
        <w:rPr>
          <w:rFonts w:asciiTheme="minorBidi" w:hAnsiTheme="minorBidi"/>
          <w:sz w:val="18"/>
          <w:szCs w:val="18"/>
          <w:rtl/>
        </w:rPr>
        <w:t>)</w:t>
      </w:r>
      <w:r w:rsidRPr="007A36E9">
        <w:rPr>
          <w:rFonts w:asciiTheme="minorBidi" w:hAnsiTheme="minorBidi"/>
          <w:sz w:val="18"/>
          <w:szCs w:val="18"/>
          <w:rtl/>
        </w:rPr>
        <w:t>, וכן נוהגין. מיהו לצורך גופו או לצורך מקומו מותר</w:t>
      </w:r>
      <w:r w:rsidR="00522139">
        <w:rPr>
          <w:rStyle w:val="a9"/>
          <w:rFonts w:asciiTheme="minorBidi" w:hAnsiTheme="minorBidi"/>
          <w:sz w:val="18"/>
          <w:szCs w:val="18"/>
          <w:rtl/>
        </w:rPr>
        <w:footnoteReference w:id="1862"/>
      </w:r>
      <w:r w:rsidRPr="007A36E9">
        <w:rPr>
          <w:rFonts w:asciiTheme="minorBidi" w:hAnsiTheme="minorBidi"/>
          <w:sz w:val="18"/>
          <w:szCs w:val="18"/>
          <w:rtl/>
        </w:rPr>
        <w:t>. וכן בכיס התפור בבגד, הואיל ועיקר הבגד עומד ללבוש, אם הוציא המעות משם, מותר ללבוש הבגד, דהכיס בטל אצלו</w:t>
      </w:r>
      <w:r w:rsidR="00F42502">
        <w:rPr>
          <w:rFonts w:asciiTheme="minorBidi" w:hAnsiTheme="minorBidi" w:hint="cs"/>
          <w:sz w:val="18"/>
          <w:szCs w:val="18"/>
          <w:rtl/>
        </w:rPr>
        <w:t>.</w:t>
      </w:r>
      <w:r w:rsidRPr="007A36E9">
        <w:rPr>
          <w:rFonts w:asciiTheme="minorBidi" w:hAnsiTheme="minorBidi"/>
          <w:sz w:val="18"/>
          <w:szCs w:val="18"/>
          <w:rtl/>
        </w:rPr>
        <w:t xml:space="preserve"> אבל אם שכח</w:t>
      </w:r>
      <w:r w:rsidR="00AB1790">
        <w:rPr>
          <w:rStyle w:val="a9"/>
          <w:rFonts w:asciiTheme="minorBidi" w:hAnsiTheme="minorBidi"/>
          <w:sz w:val="18"/>
          <w:szCs w:val="18"/>
          <w:rtl/>
        </w:rPr>
        <w:footnoteReference w:id="1863"/>
      </w:r>
      <w:r w:rsidRPr="007A36E9">
        <w:rPr>
          <w:rFonts w:asciiTheme="minorBidi" w:hAnsiTheme="minorBidi"/>
          <w:sz w:val="18"/>
          <w:szCs w:val="18"/>
          <w:rtl/>
        </w:rPr>
        <w:t xml:space="preserve"> בו מעות, מותר לטלטל הבגד, דלא אמרינן דכל הבגד נעשה בסיס למעות הואיל ואין המעות על עיקר הבגד</w:t>
      </w:r>
      <w:r w:rsidR="00F42502">
        <w:rPr>
          <w:rFonts w:asciiTheme="minorBidi" w:hAnsiTheme="minorBidi" w:hint="cs"/>
          <w:sz w:val="18"/>
          <w:szCs w:val="18"/>
          <w:rtl/>
        </w:rPr>
        <w:t>.</w:t>
      </w:r>
      <w:r w:rsidRPr="007A36E9">
        <w:rPr>
          <w:rFonts w:asciiTheme="minorBidi" w:hAnsiTheme="minorBidi"/>
          <w:sz w:val="18"/>
          <w:szCs w:val="18"/>
          <w:rtl/>
        </w:rPr>
        <w:t xml:space="preserve"> אבל אין ללובשו בשבת, דחיישינן שמא יצא בו, כדלעיל סימן ש"א סל"ג (ב"י סי' שט). וע"ל סי' רס"ו אם שכח כיסו אצלו בשבת מה דינו (ב"י).</w:t>
      </w:r>
      <w:r w:rsidRPr="005275DF">
        <w:rPr>
          <w:rFonts w:asciiTheme="minorBidi" w:hAnsiTheme="minorBidi"/>
          <w:rtl/>
        </w:rPr>
        <w:t xml:space="preserve"> </w:t>
      </w:r>
    </w:p>
    <w:p w14:paraId="015BE0A0" w14:textId="77777777" w:rsidR="000C6229" w:rsidRPr="005275DF" w:rsidRDefault="000C6229" w:rsidP="00434A6A">
      <w:pPr>
        <w:rPr>
          <w:rFonts w:asciiTheme="minorBidi" w:hAnsiTheme="minorBidi"/>
          <w:rtl/>
        </w:rPr>
      </w:pPr>
    </w:p>
    <w:p w14:paraId="3CC5146B" w14:textId="425C3A34" w:rsidR="000C6229" w:rsidRDefault="000C6229" w:rsidP="00434A6A">
      <w:pPr>
        <w:pStyle w:val="2"/>
        <w:rPr>
          <w:rtl/>
        </w:rPr>
      </w:pPr>
      <w:r w:rsidRPr="005275DF">
        <w:rPr>
          <w:rtl/>
        </w:rPr>
        <w:t>סעיף ח</w:t>
      </w:r>
      <w:r w:rsidR="00EF1724">
        <w:rPr>
          <w:rFonts w:hint="cs"/>
          <w:rtl/>
        </w:rPr>
        <w:t xml:space="preserve">: </w:t>
      </w:r>
      <w:r w:rsidR="00BC4D0D">
        <w:rPr>
          <w:rtl/>
        </w:rPr>
        <w:t xml:space="preserve">מחתה שיש עליה אפר </w:t>
      </w:r>
      <w:r w:rsidR="00BC4D0D">
        <w:rPr>
          <w:rFonts w:hint="cs"/>
          <w:rtl/>
        </w:rPr>
        <w:t xml:space="preserve">ושברי עצים. </w:t>
      </w:r>
      <w:r w:rsidR="00EF1724">
        <w:rPr>
          <w:rFonts w:hint="cs"/>
          <w:rtl/>
        </w:rPr>
        <w:t>בסיס לדבר האסור והמותר.</w:t>
      </w:r>
    </w:p>
    <w:p w14:paraId="0348D577" w14:textId="5302CA7C" w:rsidR="009931C8" w:rsidRDefault="009931C8" w:rsidP="00434A6A">
      <w:pPr>
        <w:rPr>
          <w:rFonts w:cs="Arial"/>
          <w:rtl/>
        </w:rPr>
      </w:pPr>
      <w:r w:rsidRPr="00DF4C09">
        <w:rPr>
          <w:rFonts w:cs="Arial" w:hint="cs"/>
          <w:b/>
          <w:bCs/>
          <w:rtl/>
        </w:rPr>
        <w:t xml:space="preserve">שבת </w:t>
      </w:r>
      <w:r>
        <w:rPr>
          <w:rFonts w:cs="Arial" w:hint="cs"/>
          <w:b/>
          <w:bCs/>
          <w:sz w:val="16"/>
          <w:szCs w:val="16"/>
          <w:rtl/>
        </w:rPr>
        <w:t>(ס"פ כירה)</w:t>
      </w:r>
      <w:r>
        <w:rPr>
          <w:rFonts w:cs="Arial" w:hint="cs"/>
          <w:b/>
          <w:bCs/>
          <w:rtl/>
        </w:rPr>
        <w:t xml:space="preserve"> מז</w:t>
      </w:r>
      <w:r w:rsidRPr="00DF4C09">
        <w:rPr>
          <w:rFonts w:cs="Arial" w:hint="cs"/>
          <w:b/>
          <w:bCs/>
          <w:rtl/>
        </w:rPr>
        <w:t xml:space="preserve"> ע"</w:t>
      </w:r>
      <w:r>
        <w:rPr>
          <w:rFonts w:cs="Arial" w:hint="cs"/>
          <w:b/>
          <w:bCs/>
          <w:rtl/>
        </w:rPr>
        <w:t>א</w:t>
      </w:r>
      <w:r w:rsidRPr="00DF4C09">
        <w:rPr>
          <w:rFonts w:cs="Arial" w:hint="cs"/>
          <w:b/>
          <w:bCs/>
          <w:rtl/>
        </w:rPr>
        <w:t>:</w:t>
      </w:r>
      <w:r>
        <w:rPr>
          <w:rFonts w:cs="Arial"/>
          <w:rtl/>
        </w:rPr>
        <w:t xml:space="preserve"> </w:t>
      </w:r>
      <w:r w:rsidRPr="006A53CA">
        <w:rPr>
          <w:rFonts w:cs="Arial"/>
          <w:u w:val="single"/>
          <w:rtl/>
        </w:rPr>
        <w:t>אמר רבי זירא אמר רבי אסי אמר רבי יוחנן אמר רבי חנינא אמר רבי רומנוס</w:t>
      </w:r>
      <w:r w:rsidRPr="006A53CA">
        <w:rPr>
          <w:rFonts w:cs="Arial"/>
          <w:rtl/>
        </w:rPr>
        <w:t xml:space="preserve">: לי התיר רבי לטלטל מחתה באפרה. </w:t>
      </w:r>
      <w:r w:rsidRPr="006A53CA">
        <w:rPr>
          <w:rFonts w:cs="Arial"/>
          <w:u w:val="single"/>
          <w:rtl/>
        </w:rPr>
        <w:t>אמר ליה רבי זירא לרבי אסי</w:t>
      </w:r>
      <w:r w:rsidRPr="006A53CA">
        <w:rPr>
          <w:rFonts w:cs="Arial"/>
          <w:rtl/>
        </w:rPr>
        <w:t>: מי אמר רבי יוחנן הכי? והתנן: נוטל אדם בנו והאבן בידו, או כלכלה והאבן בתוכה. ואמר רבה בר בר חנה אמר רבי יוחנן: בכלכלה מלאה פירות עסקינן. טעמא - דאית בה פירי, הא לית בה פירי - לא!</w:t>
      </w:r>
      <w:r w:rsidRPr="009931C8">
        <w:rPr>
          <w:rFonts w:cs="Arial"/>
          <w:rtl/>
        </w:rPr>
        <w:t>.</w:t>
      </w:r>
      <w:r>
        <w:rPr>
          <w:rFonts w:cs="Arial" w:hint="cs"/>
          <w:rtl/>
        </w:rPr>
        <w:t>..</w:t>
      </w:r>
      <w:r w:rsidRPr="006A53CA">
        <w:rPr>
          <w:rFonts w:cs="Arial"/>
          <w:rtl/>
        </w:rPr>
        <w:t xml:space="preserve"> </w:t>
      </w:r>
      <w:r>
        <w:rPr>
          <w:rFonts w:cs="Arial" w:hint="cs"/>
          <w:u w:val="single"/>
          <w:rtl/>
        </w:rPr>
        <w:t xml:space="preserve">אלא </w:t>
      </w:r>
      <w:r w:rsidRPr="006A53CA">
        <w:rPr>
          <w:rFonts w:cs="Arial"/>
          <w:u w:val="single"/>
          <w:rtl/>
        </w:rPr>
        <w:t>אמר רבא</w:t>
      </w:r>
      <w:r w:rsidRPr="006A53CA">
        <w:rPr>
          <w:rFonts w:cs="Arial"/>
          <w:rtl/>
        </w:rPr>
        <w:t>: כי הוינן בי רב נחמן הוה מטלטלינן כנונא</w:t>
      </w:r>
      <w:r>
        <w:rPr>
          <w:rStyle w:val="a9"/>
          <w:rFonts w:cs="Arial"/>
          <w:rtl/>
        </w:rPr>
        <w:footnoteReference w:id="1864"/>
      </w:r>
      <w:r w:rsidRPr="006A53CA">
        <w:rPr>
          <w:rFonts w:cs="Arial"/>
          <w:rtl/>
        </w:rPr>
        <w:t xml:space="preserve"> אגב קיטמא</w:t>
      </w:r>
      <w:r>
        <w:rPr>
          <w:rStyle w:val="a9"/>
          <w:rFonts w:cs="Arial"/>
          <w:rtl/>
        </w:rPr>
        <w:footnoteReference w:id="1865"/>
      </w:r>
      <w:r w:rsidRPr="006A53CA">
        <w:rPr>
          <w:rFonts w:cs="Arial"/>
          <w:rtl/>
        </w:rPr>
        <w:t xml:space="preserve"> ואף על גב דאיכא עליה שברי עצים</w:t>
      </w:r>
      <w:r w:rsidR="00BC4D0D">
        <w:rPr>
          <w:rStyle w:val="a9"/>
          <w:rFonts w:cs="Arial"/>
          <w:rtl/>
        </w:rPr>
        <w:footnoteReference w:id="1866"/>
      </w:r>
      <w:r w:rsidRPr="006A53CA">
        <w:rPr>
          <w:rFonts w:cs="Arial"/>
          <w:rtl/>
        </w:rPr>
        <w:t xml:space="preserve">. </w:t>
      </w:r>
      <w:r w:rsidRPr="009931C8">
        <w:rPr>
          <w:rFonts w:cs="Arial"/>
          <w:rtl/>
        </w:rPr>
        <w:t>מיתיבי: ושוין</w:t>
      </w:r>
      <w:r w:rsidR="00BC4D0D">
        <w:rPr>
          <w:rStyle w:val="a9"/>
          <w:rFonts w:cs="Arial"/>
          <w:rtl/>
        </w:rPr>
        <w:footnoteReference w:id="1867"/>
      </w:r>
      <w:r w:rsidRPr="009931C8">
        <w:rPr>
          <w:rFonts w:cs="Arial"/>
          <w:rtl/>
        </w:rPr>
        <w:t xml:space="preserve"> שאם יש בה שברי פתילה - שאסור לטלטל! </w:t>
      </w:r>
      <w:r w:rsidRPr="009931C8">
        <w:rPr>
          <w:rFonts w:cs="Arial"/>
          <w:u w:val="single"/>
          <w:rtl/>
        </w:rPr>
        <w:t>אמר אביי</w:t>
      </w:r>
      <w:r w:rsidRPr="009931C8">
        <w:rPr>
          <w:rFonts w:cs="Arial"/>
          <w:rtl/>
        </w:rPr>
        <w:t>: בגלילא שנו</w:t>
      </w:r>
      <w:r w:rsidR="00BC4D0D">
        <w:rPr>
          <w:rStyle w:val="a9"/>
          <w:rFonts w:cs="Arial"/>
          <w:rtl/>
        </w:rPr>
        <w:footnoteReference w:id="1868"/>
      </w:r>
      <w:r w:rsidRPr="009931C8">
        <w:rPr>
          <w:rFonts w:cs="Arial"/>
          <w:rtl/>
        </w:rPr>
        <w:t>.</w:t>
      </w:r>
    </w:p>
    <w:p w14:paraId="175661EC" w14:textId="71455E36" w:rsidR="009931C8" w:rsidRPr="00BC4D0D" w:rsidRDefault="00BC4D0D" w:rsidP="00434A6A">
      <w:pPr>
        <w:rPr>
          <w:u w:val="single"/>
          <w:rtl/>
        </w:rPr>
      </w:pPr>
      <w:r w:rsidRPr="00BC4D0D">
        <w:rPr>
          <w:rFonts w:cs="Arial"/>
          <w:u w:val="single"/>
          <w:rtl/>
        </w:rPr>
        <w:t>מחתה שיש עליה אפר</w:t>
      </w:r>
      <w:r>
        <w:rPr>
          <w:rFonts w:cs="Arial" w:hint="cs"/>
          <w:sz w:val="16"/>
          <w:szCs w:val="16"/>
          <w:u w:val="single"/>
          <w:rtl/>
        </w:rPr>
        <w:t xml:space="preserve"> (דבר המותר)</w:t>
      </w:r>
      <w:r w:rsidRPr="00BC4D0D">
        <w:rPr>
          <w:rFonts w:cs="Arial"/>
          <w:u w:val="single"/>
          <w:rtl/>
        </w:rPr>
        <w:t xml:space="preserve"> </w:t>
      </w:r>
      <w:r w:rsidRPr="00BC4D0D">
        <w:rPr>
          <w:rFonts w:hint="cs"/>
          <w:u w:val="single"/>
          <w:rtl/>
        </w:rPr>
        <w:t>ושברי עצים</w:t>
      </w:r>
      <w:r>
        <w:rPr>
          <w:rFonts w:hint="cs"/>
          <w:u w:val="single"/>
          <w:rtl/>
        </w:rPr>
        <w:t xml:space="preserve"> </w:t>
      </w:r>
      <w:r>
        <w:rPr>
          <w:rFonts w:hint="cs"/>
          <w:sz w:val="16"/>
          <w:szCs w:val="16"/>
          <w:u w:val="single"/>
          <w:rtl/>
        </w:rPr>
        <w:t>(דבר האסור)</w:t>
      </w:r>
      <w:r w:rsidR="009931C8" w:rsidRPr="00BC4D0D">
        <w:rPr>
          <w:rFonts w:hint="cs"/>
          <w:u w:val="single"/>
          <w:rtl/>
        </w:rPr>
        <w:t>:</w:t>
      </w:r>
    </w:p>
    <w:p w14:paraId="4C3272A6" w14:textId="25640E96" w:rsidR="00132526" w:rsidRDefault="00132526" w:rsidP="00434A6A">
      <w:pPr>
        <w:pStyle w:val="aa"/>
        <w:numPr>
          <w:ilvl w:val="0"/>
          <w:numId w:val="15"/>
        </w:numPr>
      </w:pPr>
      <w:r>
        <w:rPr>
          <w:rFonts w:cs="Arial" w:hint="cs"/>
          <w:rtl/>
        </w:rPr>
        <w:t xml:space="preserve">טור- </w:t>
      </w:r>
      <w:r>
        <w:rPr>
          <w:rFonts w:cs="Arial"/>
          <w:rtl/>
        </w:rPr>
        <w:t>ואם יש עליו דבר האסור ודבר המותר</w:t>
      </w:r>
      <w:r w:rsidR="006A53CA">
        <w:rPr>
          <w:rFonts w:cs="Arial" w:hint="cs"/>
          <w:rtl/>
        </w:rPr>
        <w:t>,</w:t>
      </w:r>
      <w:r>
        <w:rPr>
          <w:rFonts w:cs="Arial"/>
          <w:rtl/>
        </w:rPr>
        <w:t xml:space="preserve"> כגון מחתה שיש עליה אפר שמותר לטלטל לכסות בו הרוק</w:t>
      </w:r>
      <w:r w:rsidR="006A53CA">
        <w:rPr>
          <w:rFonts w:cs="Arial" w:hint="cs"/>
          <w:rtl/>
        </w:rPr>
        <w:t>,</w:t>
      </w:r>
      <w:r>
        <w:rPr>
          <w:rFonts w:cs="Arial"/>
          <w:rtl/>
        </w:rPr>
        <w:t xml:space="preserve"> ויש עליה גם שברי עצים שאסור לטלטלן </w:t>
      </w:r>
      <w:r w:rsidR="006A53CA">
        <w:rPr>
          <w:rFonts w:cs="Arial" w:hint="cs"/>
          <w:rtl/>
        </w:rPr>
        <w:t xml:space="preserve">- </w:t>
      </w:r>
      <w:r>
        <w:rPr>
          <w:rFonts w:cs="Arial"/>
          <w:rtl/>
        </w:rPr>
        <w:t>מותר</w:t>
      </w:r>
      <w:r w:rsidR="00BC4D0D">
        <w:rPr>
          <w:rFonts w:cs="Arial" w:hint="cs"/>
          <w:rtl/>
        </w:rPr>
        <w:t>.</w:t>
      </w:r>
      <w:r>
        <w:rPr>
          <w:rFonts w:cs="Arial"/>
          <w:rtl/>
        </w:rPr>
        <w:t xml:space="preserve"> וכגון שדבר המותר חשוב מדבר האסור</w:t>
      </w:r>
      <w:r w:rsidR="006A53CA">
        <w:rPr>
          <w:rFonts w:cs="Arial" w:hint="cs"/>
          <w:rtl/>
        </w:rPr>
        <w:t>.</w:t>
      </w:r>
      <w:r>
        <w:rPr>
          <w:rFonts w:cs="Arial"/>
          <w:rtl/>
        </w:rPr>
        <w:t xml:space="preserve"> אבל אם דבר האסור חשוב יותר מדבר המותר </w:t>
      </w:r>
      <w:r w:rsidR="006A53CA">
        <w:rPr>
          <w:rFonts w:cs="Arial" w:hint="cs"/>
          <w:rtl/>
        </w:rPr>
        <w:t xml:space="preserve">- </w:t>
      </w:r>
      <w:r>
        <w:rPr>
          <w:rFonts w:cs="Arial"/>
          <w:rtl/>
        </w:rPr>
        <w:t>בטל אצלו ואסור לטלטלו</w:t>
      </w:r>
      <w:r w:rsidR="006A53CA">
        <w:rPr>
          <w:rFonts w:cs="Arial" w:hint="cs"/>
          <w:rtl/>
        </w:rPr>
        <w:t>.</w:t>
      </w:r>
      <w:r w:rsidR="00247DE4" w:rsidRPr="00247DE4">
        <w:rPr>
          <w:rFonts w:hint="cs"/>
          <w:color w:val="E36C0A" w:themeColor="accent6" w:themeShade="BF"/>
          <w:rtl/>
        </w:rPr>
        <w:t xml:space="preserve"> </w:t>
      </w:r>
      <w:r w:rsidR="00247DE4" w:rsidRPr="00B05450">
        <w:rPr>
          <w:rFonts w:hint="cs"/>
          <w:color w:val="E36C0A" w:themeColor="accent6" w:themeShade="BF"/>
          <w:rtl/>
        </w:rPr>
        <w:t>(וכ"פ בשו"ע)</w:t>
      </w:r>
    </w:p>
    <w:p w14:paraId="221AA231" w14:textId="77777777" w:rsidR="00EF7C96" w:rsidRPr="005275DF" w:rsidRDefault="00EF7C96" w:rsidP="00434A6A">
      <w:pPr>
        <w:rPr>
          <w:rFonts w:asciiTheme="minorBidi" w:hAnsiTheme="minorBidi"/>
          <w:rtl/>
        </w:rPr>
      </w:pPr>
      <w:r w:rsidRPr="005275DF">
        <w:rPr>
          <w:rFonts w:asciiTheme="minorBidi" w:hAnsiTheme="minorBidi"/>
          <w:b/>
          <w:bCs/>
          <w:sz w:val="32"/>
          <w:szCs w:val="28"/>
          <w:u w:val="single"/>
          <w:rtl/>
        </w:rPr>
        <w:t xml:space="preserve">שו"ע: </w:t>
      </w:r>
    </w:p>
    <w:p w14:paraId="6FAD32D9" w14:textId="73DFD193" w:rsidR="000C6229" w:rsidRPr="005275DF" w:rsidRDefault="000C6229" w:rsidP="00434A6A">
      <w:pPr>
        <w:rPr>
          <w:rFonts w:asciiTheme="minorBidi" w:hAnsiTheme="minorBidi"/>
          <w:rtl/>
        </w:rPr>
      </w:pPr>
      <w:r w:rsidRPr="005275DF">
        <w:rPr>
          <w:rFonts w:asciiTheme="minorBidi" w:hAnsiTheme="minorBidi"/>
          <w:rtl/>
        </w:rPr>
        <w:t xml:space="preserve">כלי שיש עליו דבר האסור ודבר המותר, מותר לטלטלו, כגון: מחתה שיש עליה </w:t>
      </w:r>
      <w:r w:rsidR="00357CCA">
        <w:rPr>
          <w:rFonts w:asciiTheme="minorBidi" w:hAnsiTheme="minorBidi"/>
          <w:rtl/>
        </w:rPr>
        <w:t>מבעוד יום</w:t>
      </w:r>
      <w:r w:rsidR="001F3AFF">
        <w:rPr>
          <w:rStyle w:val="a9"/>
          <w:rFonts w:asciiTheme="minorBidi" w:hAnsiTheme="minorBidi"/>
          <w:rtl/>
        </w:rPr>
        <w:footnoteReference w:id="1869"/>
      </w:r>
      <w:r w:rsidRPr="005275DF">
        <w:rPr>
          <w:rFonts w:asciiTheme="minorBidi" w:hAnsiTheme="minorBidi"/>
          <w:rtl/>
        </w:rPr>
        <w:t xml:space="preserve"> אפר שמותר לטלטלו לכסות בו רוק, או צואה ויש עליה ג</w:t>
      </w:r>
      <w:r w:rsidR="00EF1724">
        <w:rPr>
          <w:rFonts w:asciiTheme="minorBidi" w:hAnsiTheme="minorBidi" w:hint="cs"/>
          <w:rtl/>
        </w:rPr>
        <w:t xml:space="preserve">ם </w:t>
      </w:r>
      <w:r w:rsidRPr="005275DF">
        <w:rPr>
          <w:rFonts w:asciiTheme="minorBidi" w:hAnsiTheme="minorBidi"/>
          <w:rtl/>
        </w:rPr>
        <w:t>כ</w:t>
      </w:r>
      <w:r w:rsidR="00EF1724">
        <w:rPr>
          <w:rFonts w:asciiTheme="minorBidi" w:hAnsiTheme="minorBidi" w:hint="cs"/>
          <w:rtl/>
        </w:rPr>
        <w:t>ן</w:t>
      </w:r>
      <w:r w:rsidRPr="005275DF">
        <w:rPr>
          <w:rFonts w:asciiTheme="minorBidi" w:hAnsiTheme="minorBidi"/>
          <w:rtl/>
        </w:rPr>
        <w:t xml:space="preserve"> שברי עצים שהם אסורים בטלטול, מותר לטלטל מחתה כמו שהיא</w:t>
      </w:r>
      <w:r w:rsidR="00EF1724">
        <w:rPr>
          <w:rFonts w:asciiTheme="minorBidi" w:hAnsiTheme="minorBidi" w:hint="cs"/>
          <w:rtl/>
        </w:rPr>
        <w:t>,</w:t>
      </w:r>
      <w:r w:rsidRPr="005275DF">
        <w:rPr>
          <w:rFonts w:asciiTheme="minorBidi" w:hAnsiTheme="minorBidi"/>
          <w:rtl/>
        </w:rPr>
        <w:t xml:space="preserve"> וכגון שדבר המותר חשוב מדבר האסור</w:t>
      </w:r>
      <w:r w:rsidR="00C555B3">
        <w:rPr>
          <w:rStyle w:val="a9"/>
          <w:rFonts w:asciiTheme="minorBidi" w:hAnsiTheme="minorBidi"/>
          <w:rtl/>
        </w:rPr>
        <w:footnoteReference w:id="1870"/>
      </w:r>
      <w:r w:rsidR="00EF1724">
        <w:rPr>
          <w:rFonts w:asciiTheme="minorBidi" w:hAnsiTheme="minorBidi" w:hint="cs"/>
          <w:rtl/>
        </w:rPr>
        <w:t>.</w:t>
      </w:r>
      <w:r w:rsidRPr="005275DF">
        <w:rPr>
          <w:rFonts w:asciiTheme="minorBidi" w:hAnsiTheme="minorBidi"/>
          <w:rtl/>
        </w:rPr>
        <w:t xml:space="preserve"> אבל אם דבר האסור חשוב יותר מדבר המותר, בטל אצלו ואסור לטלטלו. וטעם היתר טלטול זה משום דלא אפשר למינקט קיטמא לחודיה אפילו אי שדי ליה מהמחתה, או אם צריך למקום המחתה </w:t>
      </w:r>
      <w:r w:rsidRPr="00DD292D">
        <w:rPr>
          <w:rFonts w:asciiTheme="minorBidi" w:hAnsiTheme="minorBidi"/>
          <w:sz w:val="18"/>
          <w:szCs w:val="18"/>
          <w:rtl/>
        </w:rPr>
        <w:t>(כמו שנתבאר לעיל סי' ש"ט)</w:t>
      </w:r>
      <w:r w:rsidR="00EF1724">
        <w:rPr>
          <w:rFonts w:asciiTheme="minorBidi" w:hAnsiTheme="minorBidi" w:hint="cs"/>
          <w:rtl/>
        </w:rPr>
        <w:t>.</w:t>
      </w:r>
      <w:r w:rsidRPr="005275DF">
        <w:rPr>
          <w:rFonts w:asciiTheme="minorBidi" w:hAnsiTheme="minorBidi"/>
          <w:rtl/>
        </w:rPr>
        <w:t xml:space="preserve"> ואם אינו צריך אלא לגוף המחתה, לא יטלטלנה כמו שהיא, אלא ינער האפר ושברי העצים במקומם ויטול המחתה. </w:t>
      </w:r>
      <w:r w:rsidRPr="00EF1724">
        <w:rPr>
          <w:rFonts w:asciiTheme="minorBidi" w:hAnsiTheme="minorBidi"/>
          <w:sz w:val="18"/>
          <w:szCs w:val="18"/>
          <w:rtl/>
        </w:rPr>
        <w:t>הגה: וכן אם יוכל לנער האיסור לחוד, ינערנו ולא יטלטלנו עם ההיתר (ב"י בשם</w:t>
      </w:r>
      <w:r w:rsidR="00DD292D">
        <w:rPr>
          <w:rFonts w:asciiTheme="minorBidi" w:hAnsiTheme="minorBidi" w:hint="cs"/>
          <w:sz w:val="18"/>
          <w:szCs w:val="18"/>
          <w:rtl/>
        </w:rPr>
        <w:t xml:space="preserve"> </w:t>
      </w:r>
      <w:r w:rsidRPr="00EF1724">
        <w:rPr>
          <w:rFonts w:asciiTheme="minorBidi" w:hAnsiTheme="minorBidi"/>
          <w:sz w:val="18"/>
          <w:szCs w:val="18"/>
          <w:rtl/>
        </w:rPr>
        <w:t>הרא"ש)</w:t>
      </w:r>
      <w:r w:rsidR="00DD292D">
        <w:rPr>
          <w:rFonts w:asciiTheme="minorBidi" w:hAnsiTheme="minorBidi" w:hint="cs"/>
          <w:sz w:val="18"/>
          <w:szCs w:val="18"/>
          <w:rtl/>
        </w:rPr>
        <w:t>.</w:t>
      </w:r>
      <w:r w:rsidRPr="00EF1724">
        <w:rPr>
          <w:rFonts w:asciiTheme="minorBidi" w:hAnsiTheme="minorBidi"/>
          <w:sz w:val="18"/>
          <w:szCs w:val="18"/>
          <w:rtl/>
        </w:rPr>
        <w:t xml:space="preserve"> וכל זה לא מיירי אלא שהיה ההיתר עם האיסור מבעוד יום</w:t>
      </w:r>
      <w:r w:rsidR="00DD292D">
        <w:rPr>
          <w:rFonts w:asciiTheme="minorBidi" w:hAnsiTheme="minorBidi" w:hint="cs"/>
          <w:sz w:val="18"/>
          <w:szCs w:val="18"/>
          <w:rtl/>
        </w:rPr>
        <w:t>,</w:t>
      </w:r>
      <w:r w:rsidRPr="00EF1724">
        <w:rPr>
          <w:rFonts w:asciiTheme="minorBidi" w:hAnsiTheme="minorBidi"/>
          <w:sz w:val="18"/>
          <w:szCs w:val="18"/>
          <w:rtl/>
        </w:rPr>
        <w:t xml:space="preserve"> אבל אם היה האיסור עליו לבד, לא מהני מה שהניח אצלו ההיתר בשבת (ב"י בשם הרשב"א).</w:t>
      </w:r>
      <w:r w:rsidRPr="005275DF">
        <w:rPr>
          <w:rFonts w:asciiTheme="minorBidi" w:hAnsiTheme="minorBidi"/>
          <w:rtl/>
        </w:rPr>
        <w:t xml:space="preserve"> </w:t>
      </w:r>
    </w:p>
    <w:p w14:paraId="62849C4D" w14:textId="77777777" w:rsidR="000C6229" w:rsidRPr="005275DF" w:rsidRDefault="000C6229" w:rsidP="00434A6A">
      <w:pPr>
        <w:rPr>
          <w:rFonts w:asciiTheme="minorBidi" w:hAnsiTheme="minorBidi"/>
          <w:rtl/>
        </w:rPr>
      </w:pPr>
    </w:p>
    <w:p w14:paraId="146D1E5A" w14:textId="0B5D5BFE" w:rsidR="000C6229" w:rsidRDefault="000C6229" w:rsidP="00434A6A">
      <w:pPr>
        <w:pStyle w:val="2"/>
        <w:rPr>
          <w:rtl/>
        </w:rPr>
      </w:pPr>
      <w:r w:rsidRPr="005275DF">
        <w:rPr>
          <w:rtl/>
        </w:rPr>
        <w:t>סעיף ט</w:t>
      </w:r>
      <w:r w:rsidR="00EF1724">
        <w:rPr>
          <w:rFonts w:hint="cs"/>
          <w:rtl/>
        </w:rPr>
        <w:t xml:space="preserve">: בסיס לדבר האסור והמותר </w:t>
      </w:r>
      <w:r w:rsidR="00EF1724">
        <w:rPr>
          <w:rtl/>
        </w:rPr>
        <w:t>–</w:t>
      </w:r>
      <w:r w:rsidR="00EF1724">
        <w:rPr>
          <w:rFonts w:hint="cs"/>
          <w:rtl/>
        </w:rPr>
        <w:t xml:space="preserve"> ואחד מהם עיקר.</w:t>
      </w:r>
    </w:p>
    <w:p w14:paraId="42F3C254" w14:textId="77777777" w:rsidR="00C555B3" w:rsidRDefault="00C555B3" w:rsidP="00434A6A">
      <w:pPr>
        <w:rPr>
          <w:rtl/>
        </w:rPr>
      </w:pPr>
      <w:r w:rsidRPr="002A45F7">
        <w:rPr>
          <w:rFonts w:hint="cs"/>
          <w:b/>
          <w:bCs/>
          <w:rtl/>
        </w:rPr>
        <w:t xml:space="preserve">שבת </w:t>
      </w:r>
      <w:r>
        <w:rPr>
          <w:rFonts w:hint="cs"/>
          <w:b/>
          <w:bCs/>
          <w:sz w:val="16"/>
          <w:szCs w:val="16"/>
          <w:rtl/>
        </w:rPr>
        <w:t>(פ' נוטל)</w:t>
      </w:r>
      <w:r>
        <w:rPr>
          <w:rFonts w:hint="cs"/>
          <w:b/>
          <w:bCs/>
          <w:rtl/>
        </w:rPr>
        <w:t xml:space="preserve"> </w:t>
      </w:r>
      <w:r w:rsidRPr="002A45F7">
        <w:rPr>
          <w:rFonts w:hint="cs"/>
          <w:b/>
          <w:bCs/>
          <w:rtl/>
        </w:rPr>
        <w:t xml:space="preserve">קמב ע"ב: </w:t>
      </w:r>
      <w:r>
        <w:rPr>
          <w:rFonts w:cs="Arial"/>
          <w:rtl/>
        </w:rPr>
        <w:t xml:space="preserve">מעות שעל הכר מנער וכו'. </w:t>
      </w:r>
      <w:r w:rsidRPr="002A45F7">
        <w:rPr>
          <w:rFonts w:cs="Arial"/>
          <w:u w:val="single"/>
          <w:rtl/>
        </w:rPr>
        <w:t>אמר רבי אושעיא</w:t>
      </w:r>
      <w:r>
        <w:rPr>
          <w:rFonts w:cs="Arial"/>
          <w:rtl/>
        </w:rPr>
        <w:t xml:space="preserve">: שכח ארנקי בחצר - מניח עליה ככר או תינוק, ומטלטלה. </w:t>
      </w:r>
      <w:r w:rsidRPr="002A45F7">
        <w:rPr>
          <w:rFonts w:cs="Arial"/>
          <w:u w:val="single"/>
          <w:rtl/>
        </w:rPr>
        <w:t>אמר רב יצחק</w:t>
      </w:r>
      <w:r>
        <w:rPr>
          <w:rFonts w:cs="Arial"/>
          <w:rtl/>
        </w:rPr>
        <w:t xml:space="preserve">: שכח לבינה בחצר - מניח עליה ככר או תינוק, ומטלטלה. </w:t>
      </w:r>
      <w:r w:rsidRPr="002A45F7">
        <w:rPr>
          <w:rFonts w:cs="Arial"/>
          <w:u w:val="single"/>
          <w:rtl/>
        </w:rPr>
        <w:t>אמר רבי יהודה בר שילא אמר רבי אסי</w:t>
      </w:r>
      <w:r>
        <w:rPr>
          <w:rFonts w:cs="Arial"/>
          <w:rtl/>
        </w:rPr>
        <w:t>: פעם אחת שכחו דסקיא מלאה מעות בסרטיא</w:t>
      </w:r>
      <w:r>
        <w:rPr>
          <w:rStyle w:val="a9"/>
          <w:rFonts w:cs="Arial"/>
          <w:rtl/>
        </w:rPr>
        <w:footnoteReference w:id="1871"/>
      </w:r>
      <w:r>
        <w:rPr>
          <w:rFonts w:cs="Arial"/>
          <w:rtl/>
        </w:rPr>
        <w:t xml:space="preserve">, ובאו ושאלו את רבי יוחנן, ואמר להן: הניחו עליה ככר או תינוק וטלטלוה. </w:t>
      </w:r>
      <w:r w:rsidRPr="002A45F7">
        <w:rPr>
          <w:rFonts w:cs="Arial"/>
          <w:u w:val="single"/>
          <w:rtl/>
        </w:rPr>
        <w:t>אמר מר זוטרא</w:t>
      </w:r>
      <w:r>
        <w:rPr>
          <w:rFonts w:cs="Arial"/>
          <w:rtl/>
        </w:rPr>
        <w:t xml:space="preserve">: הלכתא ככל הני שמעתתא בשוכח. </w:t>
      </w:r>
      <w:r w:rsidRPr="002A45F7">
        <w:rPr>
          <w:rFonts w:cs="Arial"/>
          <w:u w:val="single"/>
          <w:rtl/>
        </w:rPr>
        <w:t>רב אשי אמר</w:t>
      </w:r>
      <w:r>
        <w:rPr>
          <w:rFonts w:cs="Arial"/>
          <w:rtl/>
        </w:rPr>
        <w:t xml:space="preserve">: אפילו שכח נמי לא, ולא אמרו ככר או תינוק אלא למת בלבד. </w:t>
      </w:r>
    </w:p>
    <w:p w14:paraId="4982C6AF" w14:textId="77777777" w:rsidR="00C555B3" w:rsidRPr="00833247" w:rsidRDefault="00C555B3" w:rsidP="00434A6A">
      <w:pPr>
        <w:rPr>
          <w:u w:val="single"/>
          <w:rtl/>
        </w:rPr>
      </w:pPr>
      <w:r w:rsidRPr="00833247">
        <w:rPr>
          <w:rFonts w:hint="cs"/>
          <w:u w:val="single"/>
          <w:rtl/>
        </w:rPr>
        <w:t xml:space="preserve">בסיס לדבר האסור והמותר </w:t>
      </w:r>
      <w:r w:rsidRPr="00833247">
        <w:rPr>
          <w:u w:val="single"/>
          <w:rtl/>
        </w:rPr>
        <w:t>–</w:t>
      </w:r>
      <w:r w:rsidRPr="00833247">
        <w:rPr>
          <w:rFonts w:hint="cs"/>
          <w:u w:val="single"/>
          <w:rtl/>
        </w:rPr>
        <w:t xml:space="preserve"> ואחד מהם עיקר:</w:t>
      </w:r>
    </w:p>
    <w:p w14:paraId="5A608148" w14:textId="7856D8F3" w:rsidR="00C555B3" w:rsidRPr="00C555B3" w:rsidRDefault="00C555B3" w:rsidP="00434A6A">
      <w:pPr>
        <w:pStyle w:val="aa"/>
        <w:numPr>
          <w:ilvl w:val="0"/>
          <w:numId w:val="15"/>
        </w:numPr>
        <w:rPr>
          <w:rFonts w:cs="Arial"/>
        </w:rPr>
      </w:pPr>
      <w:r w:rsidRPr="00833247">
        <w:rPr>
          <w:rFonts w:cs="Arial" w:hint="cs"/>
          <w:rtl/>
        </w:rPr>
        <w:t xml:space="preserve">הגה"מ </w:t>
      </w:r>
      <w:r w:rsidRPr="00833247">
        <w:rPr>
          <w:rFonts w:cs="Arial" w:hint="cs"/>
          <w:sz w:val="16"/>
          <w:szCs w:val="16"/>
          <w:rtl/>
        </w:rPr>
        <w:t>(</w:t>
      </w:r>
      <w:r w:rsidRPr="00833247">
        <w:rPr>
          <w:rFonts w:cs="Arial"/>
          <w:sz w:val="16"/>
          <w:szCs w:val="16"/>
          <w:rtl/>
        </w:rPr>
        <w:t>פכ</w:t>
      </w:r>
      <w:r w:rsidRPr="00833247">
        <w:rPr>
          <w:rFonts w:cs="Arial" w:hint="cs"/>
          <w:sz w:val="16"/>
          <w:szCs w:val="16"/>
          <w:rtl/>
        </w:rPr>
        <w:t>"</w:t>
      </w:r>
      <w:r w:rsidRPr="00833247">
        <w:rPr>
          <w:rFonts w:cs="Arial"/>
          <w:sz w:val="16"/>
          <w:szCs w:val="16"/>
          <w:rtl/>
        </w:rPr>
        <w:t>ו אות ז)</w:t>
      </w:r>
      <w:r w:rsidR="004832C4" w:rsidRPr="004832C4">
        <w:rPr>
          <w:rFonts w:cs="Arial" w:hint="cs"/>
          <w:rtl/>
        </w:rPr>
        <w:t xml:space="preserve"> </w:t>
      </w:r>
      <w:r w:rsidR="004832C4">
        <w:rPr>
          <w:rFonts w:cs="Arial" w:hint="cs"/>
          <w:rtl/>
        </w:rPr>
        <w:t xml:space="preserve">ורשב"א </w:t>
      </w:r>
      <w:r w:rsidR="004832C4">
        <w:rPr>
          <w:rFonts w:cs="Arial" w:hint="cs"/>
          <w:sz w:val="16"/>
          <w:szCs w:val="16"/>
          <w:rtl/>
        </w:rPr>
        <w:t>(ח"א סי' תתמו)</w:t>
      </w:r>
      <w:r w:rsidRPr="00833247">
        <w:rPr>
          <w:rFonts w:cs="Arial" w:hint="cs"/>
          <w:rtl/>
        </w:rPr>
        <w:t>-</w:t>
      </w:r>
      <w:r w:rsidRPr="00833247">
        <w:rPr>
          <w:rFonts w:cs="Arial"/>
          <w:rtl/>
        </w:rPr>
        <w:t xml:space="preserve"> מדמטלטלין כנונא אגב קיטמיה הביא הר"ם ראיה דתיבה שיש בה אוכלין</w:t>
      </w:r>
      <w:r>
        <w:rPr>
          <w:rStyle w:val="a9"/>
          <w:rFonts w:cs="Arial"/>
          <w:rtl/>
        </w:rPr>
        <w:footnoteReference w:id="1872"/>
      </w:r>
      <w:r w:rsidRPr="00833247">
        <w:rPr>
          <w:rFonts w:cs="Arial"/>
          <w:rtl/>
        </w:rPr>
        <w:t xml:space="preserve"> ומעות אם המעות אינם עיקר </w:t>
      </w:r>
      <w:r>
        <w:rPr>
          <w:rFonts w:cs="Arial" w:hint="cs"/>
          <w:rtl/>
        </w:rPr>
        <w:t xml:space="preserve">- </w:t>
      </w:r>
      <w:r w:rsidRPr="00833247">
        <w:rPr>
          <w:rFonts w:cs="Arial"/>
          <w:rtl/>
        </w:rPr>
        <w:t>מותר לטלטל התיבה</w:t>
      </w:r>
      <w:r>
        <w:rPr>
          <w:rFonts w:cs="Arial" w:hint="cs"/>
          <w:rtl/>
        </w:rPr>
        <w:t>.</w:t>
      </w:r>
      <w:r w:rsidRPr="00833247">
        <w:rPr>
          <w:rFonts w:cs="Arial"/>
          <w:rtl/>
        </w:rPr>
        <w:t xml:space="preserve"> ותיבה שיש בה מעות בצד אחד </w:t>
      </w:r>
      <w:r>
        <w:rPr>
          <w:rFonts w:cs="Arial" w:hint="cs"/>
          <w:rtl/>
        </w:rPr>
        <w:t xml:space="preserve">- </w:t>
      </w:r>
      <w:r w:rsidRPr="00833247">
        <w:rPr>
          <w:rFonts w:cs="Arial"/>
          <w:rtl/>
        </w:rPr>
        <w:t>מותר להשתמש בה</w:t>
      </w:r>
      <w:r w:rsidR="004832C4">
        <w:rPr>
          <w:rFonts w:cs="Arial" w:hint="cs"/>
          <w:sz w:val="16"/>
          <w:szCs w:val="16"/>
          <w:rtl/>
        </w:rPr>
        <w:t xml:space="preserve"> (ל' הגה"מ)</w:t>
      </w:r>
      <w:r w:rsidRPr="00833247">
        <w:rPr>
          <w:rFonts w:cs="Arial" w:hint="cs"/>
          <w:rtl/>
        </w:rPr>
        <w:t>.</w:t>
      </w:r>
      <w:r w:rsidRPr="00833247">
        <w:rPr>
          <w:rFonts w:cs="Arial"/>
          <w:rtl/>
        </w:rPr>
        <w:t xml:space="preserve"> </w:t>
      </w:r>
      <w:r w:rsidR="004832C4" w:rsidRPr="004832C4">
        <w:rPr>
          <w:rFonts w:cs="Arial" w:hint="cs"/>
          <w:color w:val="E36C0A" w:themeColor="accent6" w:themeShade="BF"/>
          <w:rtl/>
        </w:rPr>
        <w:t>(וכ"פ בשו"ע)</w:t>
      </w:r>
    </w:p>
    <w:p w14:paraId="40E67EB4" w14:textId="05D42860" w:rsidR="00C555B3" w:rsidRPr="00C555B3" w:rsidRDefault="00C555B3" w:rsidP="00434A6A">
      <w:pPr>
        <w:ind w:left="360"/>
        <w:rPr>
          <w:u w:val="dotted"/>
        </w:rPr>
      </w:pPr>
      <w:r w:rsidRPr="00C555B3">
        <w:rPr>
          <w:rFonts w:hint="cs"/>
          <w:u w:val="dotted"/>
          <w:rtl/>
        </w:rPr>
        <w:t>האם אפשר להניח בשבת דבר היתר על הבסיס שעליו מונחות המעות</w:t>
      </w:r>
      <w:r w:rsidRPr="00C555B3">
        <w:rPr>
          <w:rStyle w:val="a9"/>
          <w:u w:val="dotted"/>
          <w:rtl/>
        </w:rPr>
        <w:footnoteReference w:id="1873"/>
      </w:r>
      <w:r w:rsidRPr="00C555B3">
        <w:rPr>
          <w:rFonts w:hint="cs"/>
          <w:u w:val="dotted"/>
          <w:rtl/>
        </w:rPr>
        <w:t xml:space="preserve"> </w:t>
      </w:r>
      <w:r w:rsidRPr="00C555B3">
        <w:rPr>
          <w:rFonts w:hint="cs"/>
          <w:sz w:val="16"/>
          <w:szCs w:val="16"/>
          <w:u w:val="dotted"/>
          <w:rtl/>
        </w:rPr>
        <w:t>(ובכך להופכו ל-'בסיס לדבר האסור והמותר')</w:t>
      </w:r>
      <w:r w:rsidRPr="00C555B3">
        <w:rPr>
          <w:rFonts w:hint="cs"/>
          <w:u w:val="dotted"/>
          <w:rtl/>
        </w:rPr>
        <w:t>:</w:t>
      </w:r>
      <w:r w:rsidRPr="00C555B3">
        <w:rPr>
          <w:rFonts w:cs="Arial"/>
          <w:u w:val="dotted"/>
          <w:rtl/>
        </w:rPr>
        <w:t xml:space="preserve"> </w:t>
      </w:r>
    </w:p>
    <w:p w14:paraId="179ED23A" w14:textId="3F78D49F" w:rsidR="00C555B3" w:rsidRPr="00C555B3" w:rsidRDefault="00C555B3" w:rsidP="00434A6A">
      <w:pPr>
        <w:pStyle w:val="aa"/>
        <w:numPr>
          <w:ilvl w:val="0"/>
          <w:numId w:val="15"/>
        </w:numPr>
        <w:rPr>
          <w:rtl/>
        </w:rPr>
      </w:pPr>
      <w:r>
        <w:rPr>
          <w:rFonts w:cs="Arial" w:hint="cs"/>
          <w:rtl/>
        </w:rPr>
        <w:t>רשב"א</w:t>
      </w:r>
      <w:r>
        <w:rPr>
          <w:rFonts w:cs="Arial" w:hint="cs"/>
          <w:sz w:val="16"/>
          <w:szCs w:val="16"/>
          <w:rtl/>
        </w:rPr>
        <w:t xml:space="preserve"> (ח"א סי' תתמו)</w:t>
      </w:r>
      <w:r>
        <w:rPr>
          <w:rFonts w:cs="Arial" w:hint="cs"/>
          <w:rtl/>
        </w:rPr>
        <w:t xml:space="preserve">- </w:t>
      </w:r>
      <w:r w:rsidRPr="00247DE4">
        <w:rPr>
          <w:rFonts w:cs="Arial"/>
          <w:rtl/>
        </w:rPr>
        <w:t>שק שיש בו כיס מעות שרי לטלטל בשבת כמו קנונא אגב קיטמא אע</w:t>
      </w:r>
      <w:r>
        <w:rPr>
          <w:rFonts w:cs="Arial" w:hint="cs"/>
          <w:rtl/>
        </w:rPr>
        <w:t>"</w:t>
      </w:r>
      <w:r w:rsidRPr="00247DE4">
        <w:rPr>
          <w:rFonts w:cs="Arial"/>
          <w:rtl/>
        </w:rPr>
        <w:t>ג דאיכא עליהם שברי עצים</w:t>
      </w:r>
      <w:r>
        <w:rPr>
          <w:rFonts w:cs="Arial" w:hint="cs"/>
          <w:rtl/>
        </w:rPr>
        <w:t>.</w:t>
      </w:r>
      <w:r w:rsidRPr="00247DE4">
        <w:rPr>
          <w:rFonts w:cs="Arial"/>
          <w:rtl/>
        </w:rPr>
        <w:t xml:space="preserve"> אבל להניח ביום השבת כדי לטלטל הכיס </w:t>
      </w:r>
      <w:r>
        <w:rPr>
          <w:rFonts w:cs="Arial" w:hint="cs"/>
          <w:rtl/>
        </w:rPr>
        <w:t xml:space="preserve">- </w:t>
      </w:r>
      <w:r w:rsidRPr="00247DE4">
        <w:rPr>
          <w:rFonts w:cs="Arial"/>
          <w:rtl/>
        </w:rPr>
        <w:t>אסור אפילו להציל מן הדליקה או מן הגנבים או מן הלסטים או מן המלכות</w:t>
      </w:r>
      <w:r>
        <w:rPr>
          <w:rFonts w:cs="Arial" w:hint="cs"/>
          <w:rtl/>
        </w:rPr>
        <w:t xml:space="preserve">, </w:t>
      </w:r>
      <w:r w:rsidRPr="00247DE4">
        <w:rPr>
          <w:rFonts w:cs="Arial"/>
          <w:rtl/>
        </w:rPr>
        <w:t>כדמוכח בפרק נוטל (קמב</w:t>
      </w:r>
      <w:r>
        <w:rPr>
          <w:rFonts w:cs="Arial" w:hint="cs"/>
          <w:rtl/>
        </w:rPr>
        <w:t>:</w:t>
      </w:r>
      <w:r w:rsidRPr="00247DE4">
        <w:rPr>
          <w:rFonts w:cs="Arial"/>
          <w:rtl/>
        </w:rPr>
        <w:t>) גבי שכח ארנקי בחצר ודסקייא מלאה מעות. דאמר מר זוטרא הלכתא ככל הני שמעתת'. ורב אשי אמר אפילו שכח נמי לא אמרו אלא בככר או בתינוק או כלאחר יד בלבד. וקי"ל כרב אשי דאמר אפילו שכח נמי לא אמרו אלא בככר.</w:t>
      </w:r>
      <w:r w:rsidRPr="001F3AFF">
        <w:rPr>
          <w:rFonts w:hint="cs"/>
          <w:color w:val="00B0F0"/>
          <w:rtl/>
        </w:rPr>
        <w:t xml:space="preserve"> </w:t>
      </w:r>
      <w:r w:rsidRPr="00247DE4">
        <w:rPr>
          <w:rFonts w:hint="cs"/>
          <w:color w:val="00B0F0"/>
          <w:rtl/>
        </w:rPr>
        <w:t>(וכ"פ הרמ"א</w:t>
      </w:r>
      <w:r>
        <w:rPr>
          <w:rFonts w:hint="cs"/>
          <w:color w:val="00B0F0"/>
          <w:sz w:val="16"/>
          <w:szCs w:val="16"/>
          <w:rtl/>
        </w:rPr>
        <w:t xml:space="preserve"> </w:t>
      </w:r>
      <w:r w:rsidRPr="00C555B3">
        <w:rPr>
          <w:rFonts w:hint="cs"/>
          <w:color w:val="000000" w:themeColor="text1"/>
          <w:sz w:val="16"/>
          <w:szCs w:val="16"/>
          <w:rtl/>
        </w:rPr>
        <w:t>[</w:t>
      </w:r>
      <w:r>
        <w:rPr>
          <w:rFonts w:hint="cs"/>
          <w:color w:val="000000" w:themeColor="text1"/>
          <w:sz w:val="16"/>
          <w:szCs w:val="16"/>
          <w:rtl/>
        </w:rPr>
        <w:t>בסע' ח</w:t>
      </w:r>
      <w:r w:rsidRPr="00C555B3">
        <w:rPr>
          <w:rFonts w:hint="cs"/>
          <w:color w:val="000000" w:themeColor="text1"/>
          <w:sz w:val="16"/>
          <w:szCs w:val="16"/>
          <w:rtl/>
        </w:rPr>
        <w:t>]</w:t>
      </w:r>
      <w:r w:rsidRPr="00247DE4">
        <w:rPr>
          <w:rFonts w:hint="cs"/>
          <w:color w:val="00B0F0"/>
          <w:rtl/>
        </w:rPr>
        <w:t>)</w:t>
      </w:r>
    </w:p>
    <w:p w14:paraId="72CCF11D" w14:textId="77777777" w:rsidR="00EF7C96" w:rsidRPr="005275DF" w:rsidRDefault="00EF7C96" w:rsidP="00434A6A">
      <w:pPr>
        <w:rPr>
          <w:rFonts w:asciiTheme="minorBidi" w:hAnsiTheme="minorBidi"/>
          <w:rtl/>
        </w:rPr>
      </w:pPr>
      <w:r w:rsidRPr="005275DF">
        <w:rPr>
          <w:rFonts w:asciiTheme="minorBidi" w:hAnsiTheme="minorBidi"/>
          <w:b/>
          <w:bCs/>
          <w:sz w:val="32"/>
          <w:szCs w:val="28"/>
          <w:u w:val="single"/>
          <w:rtl/>
        </w:rPr>
        <w:t xml:space="preserve">שו"ע: </w:t>
      </w:r>
    </w:p>
    <w:p w14:paraId="39321725" w14:textId="19C433E3" w:rsidR="000C6229" w:rsidRPr="005275DF" w:rsidRDefault="000C6229" w:rsidP="00434A6A">
      <w:pPr>
        <w:rPr>
          <w:rFonts w:asciiTheme="minorBidi" w:hAnsiTheme="minorBidi"/>
          <w:rtl/>
        </w:rPr>
      </w:pPr>
      <w:r w:rsidRPr="005275DF">
        <w:rPr>
          <w:rFonts w:asciiTheme="minorBidi" w:hAnsiTheme="minorBidi"/>
          <w:rtl/>
        </w:rPr>
        <w:t>תיבה שיש בה דבר המותר לטלטל</w:t>
      </w:r>
      <w:r w:rsidR="00EF1724">
        <w:rPr>
          <w:rFonts w:asciiTheme="minorBidi" w:hAnsiTheme="minorBidi" w:hint="cs"/>
          <w:rtl/>
        </w:rPr>
        <w:t>,</w:t>
      </w:r>
      <w:r w:rsidRPr="005275DF">
        <w:rPr>
          <w:rFonts w:asciiTheme="minorBidi" w:hAnsiTheme="minorBidi"/>
          <w:rtl/>
        </w:rPr>
        <w:t xml:space="preserve"> ומעות, אם המעות אינם עיקר, מותר לטלטלה כמו שהיא על פי התנאים שנתבארו במחתה.</w:t>
      </w:r>
    </w:p>
    <w:p w14:paraId="51AEC5F9" w14:textId="77777777" w:rsidR="000C6229" w:rsidRPr="005275DF" w:rsidRDefault="000C6229" w:rsidP="00434A6A">
      <w:pPr>
        <w:rPr>
          <w:rFonts w:asciiTheme="minorBidi" w:hAnsiTheme="minorBidi"/>
          <w:rtl/>
        </w:rPr>
      </w:pPr>
    </w:p>
    <w:p w14:paraId="38EDD200" w14:textId="77777777" w:rsidR="000C6229" w:rsidRPr="005275DF" w:rsidRDefault="000C6229" w:rsidP="00434A6A">
      <w:pPr>
        <w:rPr>
          <w:rFonts w:asciiTheme="minorBidi" w:hAnsiTheme="minorBidi"/>
          <w:rtl/>
        </w:rPr>
      </w:pPr>
    </w:p>
    <w:p w14:paraId="169E1D19" w14:textId="77777777" w:rsidR="000C6229" w:rsidRPr="005275DF" w:rsidRDefault="000C6229" w:rsidP="00434A6A">
      <w:pPr>
        <w:rPr>
          <w:rFonts w:asciiTheme="minorBidi" w:hAnsiTheme="minorBidi"/>
          <w:rtl/>
        </w:rPr>
      </w:pPr>
    </w:p>
    <w:p w14:paraId="4ACF0C6B" w14:textId="77777777" w:rsidR="000C6229" w:rsidRPr="005275DF" w:rsidRDefault="000C6229" w:rsidP="00434A6A">
      <w:pPr>
        <w:rPr>
          <w:rFonts w:asciiTheme="minorBidi" w:hAnsiTheme="minorBidi"/>
          <w:rtl/>
        </w:rPr>
      </w:pPr>
    </w:p>
    <w:p w14:paraId="471A841A" w14:textId="77777777" w:rsidR="001F2F31" w:rsidRDefault="001F2F31" w:rsidP="00434A6A">
      <w:pPr>
        <w:pStyle w:val="1"/>
        <w:rPr>
          <w:rFonts w:asciiTheme="minorBidi" w:hAnsiTheme="minorBidi"/>
          <w:rtl/>
        </w:rPr>
        <w:sectPr w:rsidR="001F2F31" w:rsidSect="00BD29B1">
          <w:headerReference w:type="default" r:id="rId81"/>
          <w:footnotePr>
            <w:numRestart w:val="eachSect"/>
          </w:footnotePr>
          <w:pgSz w:w="11906" w:h="16838"/>
          <w:pgMar w:top="720" w:right="1134" w:bottom="720" w:left="1134" w:header="0" w:footer="0" w:gutter="0"/>
          <w:cols w:space="720"/>
          <w:bidi/>
          <w:rtlGutter/>
          <w:docGrid w:linePitch="360"/>
        </w:sectPr>
      </w:pPr>
    </w:p>
    <w:p w14:paraId="041C3187" w14:textId="1ECA047A" w:rsidR="000C6229" w:rsidRPr="005275DF" w:rsidRDefault="000C6229" w:rsidP="00434A6A">
      <w:pPr>
        <w:pStyle w:val="1"/>
        <w:rPr>
          <w:rFonts w:asciiTheme="minorBidi" w:hAnsiTheme="minorBidi"/>
          <w:rtl/>
        </w:rPr>
      </w:pPr>
      <w:r w:rsidRPr="005275DF">
        <w:rPr>
          <w:rFonts w:asciiTheme="minorBidi" w:hAnsiTheme="minorBidi"/>
          <w:rtl/>
        </w:rPr>
        <w:t xml:space="preserve">סימן שיא: דיני מת בשבת ושאר טלטול מן הצד, ובו ט' סעיפים. </w:t>
      </w:r>
    </w:p>
    <w:p w14:paraId="48A4B48D" w14:textId="0F0BA933" w:rsidR="009A1772" w:rsidRDefault="009A1772" w:rsidP="00434A6A">
      <w:pPr>
        <w:pStyle w:val="2"/>
        <w:rPr>
          <w:rFonts w:asciiTheme="minorBidi" w:hAnsiTheme="minorBidi" w:cstheme="minorBidi"/>
          <w:rtl/>
        </w:rPr>
      </w:pPr>
      <w:r w:rsidRPr="005275DF">
        <w:rPr>
          <w:rFonts w:asciiTheme="minorBidi" w:hAnsiTheme="minorBidi" w:cstheme="minorBidi"/>
          <w:rtl/>
        </w:rPr>
        <w:t>סעיף א</w:t>
      </w:r>
      <w:r w:rsidR="00EF1724">
        <w:rPr>
          <w:rFonts w:asciiTheme="minorBidi" w:hAnsiTheme="minorBidi" w:cstheme="minorBidi" w:hint="cs"/>
          <w:rtl/>
        </w:rPr>
        <w:t xml:space="preserve">: </w:t>
      </w:r>
      <w:r w:rsidR="00151109">
        <w:rPr>
          <w:rFonts w:asciiTheme="minorBidi" w:hAnsiTheme="minorBidi" w:cstheme="minorBidi" w:hint="cs"/>
          <w:rtl/>
        </w:rPr>
        <w:t xml:space="preserve">מת </w:t>
      </w:r>
      <w:r w:rsidR="006F673F">
        <w:rPr>
          <w:rFonts w:asciiTheme="minorBidi" w:hAnsiTheme="minorBidi" w:cstheme="minorBidi" w:hint="cs"/>
          <w:rtl/>
        </w:rPr>
        <w:t xml:space="preserve">המוטל </w:t>
      </w:r>
      <w:r w:rsidR="00151109">
        <w:rPr>
          <w:rFonts w:asciiTheme="minorBidi" w:hAnsiTheme="minorBidi" w:cstheme="minorBidi" w:hint="cs"/>
          <w:rtl/>
        </w:rPr>
        <w:t>במקום שריפה</w:t>
      </w:r>
      <w:r w:rsidR="006F673F">
        <w:rPr>
          <w:rFonts w:asciiTheme="minorBidi" w:hAnsiTheme="minorBidi" w:cstheme="minorBidi" w:hint="cs"/>
          <w:rtl/>
        </w:rPr>
        <w:t>/חמה</w:t>
      </w:r>
      <w:r w:rsidR="00151109">
        <w:rPr>
          <w:rFonts w:asciiTheme="minorBidi" w:hAnsiTheme="minorBidi" w:cstheme="minorBidi" w:hint="cs"/>
          <w:rtl/>
        </w:rPr>
        <w:t xml:space="preserve">. </w:t>
      </w:r>
    </w:p>
    <w:p w14:paraId="4B17AD47" w14:textId="14C04B9F" w:rsidR="0023056F" w:rsidRPr="00D10A83" w:rsidRDefault="00410A6E" w:rsidP="00434A6A">
      <w:pPr>
        <w:rPr>
          <w:rtl/>
        </w:rPr>
      </w:pPr>
      <w:r w:rsidRPr="002A45F7">
        <w:rPr>
          <w:rFonts w:hint="cs"/>
          <w:b/>
          <w:bCs/>
          <w:rtl/>
        </w:rPr>
        <w:t xml:space="preserve">שבת </w:t>
      </w:r>
      <w:r>
        <w:rPr>
          <w:rFonts w:hint="cs"/>
          <w:b/>
          <w:bCs/>
          <w:sz w:val="16"/>
          <w:szCs w:val="16"/>
          <w:rtl/>
        </w:rPr>
        <w:t>(פ' כירה)</w:t>
      </w:r>
      <w:r>
        <w:rPr>
          <w:rFonts w:hint="cs"/>
          <w:b/>
          <w:bCs/>
          <w:rtl/>
        </w:rPr>
        <w:t xml:space="preserve"> מג</w:t>
      </w:r>
      <w:r w:rsidRPr="002A45F7">
        <w:rPr>
          <w:rFonts w:hint="cs"/>
          <w:b/>
          <w:bCs/>
          <w:rtl/>
        </w:rPr>
        <w:t xml:space="preserve"> ע"ב:</w:t>
      </w:r>
      <w:r>
        <w:rPr>
          <w:rFonts w:cs="Arial" w:hint="cs"/>
          <w:rtl/>
        </w:rPr>
        <w:t xml:space="preserve"> </w:t>
      </w:r>
      <w:r w:rsidRPr="00410A6E">
        <w:rPr>
          <w:rFonts w:cs="Arial"/>
          <w:rtl/>
        </w:rPr>
        <w:t xml:space="preserve">איתמר, מת המוטל בחמה, </w:t>
      </w:r>
      <w:r w:rsidRPr="008F26D5">
        <w:rPr>
          <w:rFonts w:cs="Arial"/>
          <w:u w:val="single"/>
          <w:rtl/>
        </w:rPr>
        <w:t>רב יהודה אמר שמואל</w:t>
      </w:r>
      <w:r w:rsidRPr="00410A6E">
        <w:rPr>
          <w:rFonts w:cs="Arial"/>
          <w:rtl/>
        </w:rPr>
        <w:t xml:space="preserve">: הופכו ממטה למטה. </w:t>
      </w:r>
      <w:r w:rsidRPr="008F26D5">
        <w:rPr>
          <w:rFonts w:cs="Arial"/>
          <w:u w:val="single"/>
          <w:rtl/>
        </w:rPr>
        <w:t>רב חנינא בר שלמיא משמיה דרב אמר</w:t>
      </w:r>
      <w:r w:rsidRPr="00410A6E">
        <w:rPr>
          <w:rFonts w:cs="Arial"/>
          <w:rtl/>
        </w:rPr>
        <w:t xml:space="preserve">: מניח עליו ככר או תינוק ומטלטלו. היכא דאיכא ככר או תינוק - כולי עלמא לא פליגי דשרי, כי פליגי דלית ליה. מר סבר: טלטול מן הצד - שמיה טלטול, ומר סבר: לא שמיה טלטול. לימא כתנאי: אין מצילין את המת מפני הדליקה. </w:t>
      </w:r>
      <w:r w:rsidRPr="00410A6E">
        <w:rPr>
          <w:rFonts w:cs="Arial"/>
          <w:u w:val="single"/>
          <w:rtl/>
        </w:rPr>
        <w:t>אמר רבי יהודה בן לקיש</w:t>
      </w:r>
      <w:r w:rsidRPr="00410A6E">
        <w:rPr>
          <w:rFonts w:cs="Arial"/>
          <w:rtl/>
        </w:rPr>
        <w:t>: שמעתי שמצילין את המת מפני הדליקה. היכי דמי? אי דאיכא ככר או תינוק - מאי טעמא דתנא קמא? אי דליכא - מאי טעמא דרבי יהודה בן לקיש? אלא לאו בטלטול מן הצד פליגי: דמר סבר: טלטול מן הצד - שמיה טלטול. ומר סבר לא שמיה טלטול. לא, דכולי עלמא טלטול מן הצד שמיה טלטול</w:t>
      </w:r>
      <w:r w:rsidR="00285B70">
        <w:rPr>
          <w:rStyle w:val="a9"/>
          <w:rFonts w:cs="Arial"/>
          <w:rtl/>
        </w:rPr>
        <w:footnoteReference w:id="1874"/>
      </w:r>
      <w:r w:rsidRPr="00410A6E">
        <w:rPr>
          <w:rFonts w:cs="Arial"/>
          <w:rtl/>
        </w:rPr>
        <w:t>, והיינו טעמא דרבי יהודה בן לקיש דמתוך שאדם בהול על מתו,</w:t>
      </w:r>
      <w:r w:rsidRPr="00410A6E">
        <w:rPr>
          <w:rtl/>
        </w:rPr>
        <w:t xml:space="preserve"> </w:t>
      </w:r>
      <w:r>
        <w:rPr>
          <w:rFonts w:hint="cs"/>
          <w:sz w:val="14"/>
          <w:szCs w:val="14"/>
          <w:rtl/>
        </w:rPr>
        <w:t xml:space="preserve">(מד.) </w:t>
      </w:r>
      <w:r w:rsidRPr="00410A6E">
        <w:rPr>
          <w:rFonts w:cs="Arial"/>
          <w:rtl/>
        </w:rPr>
        <w:t xml:space="preserve">אי לא שרית ליה - אתי לכבויי. </w:t>
      </w:r>
      <w:r w:rsidRPr="00410A6E">
        <w:rPr>
          <w:rFonts w:cs="Arial"/>
          <w:u w:val="single"/>
          <w:rtl/>
        </w:rPr>
        <w:t>אמר רבי יהודה בן שילא אמר רב אסי אמר רבי יוחנן</w:t>
      </w:r>
      <w:r w:rsidRPr="00410A6E">
        <w:rPr>
          <w:rFonts w:cs="Arial"/>
          <w:rtl/>
        </w:rPr>
        <w:t>: הלכה כרבי יהודה בן לקיש במת.</w:t>
      </w:r>
      <w:r w:rsidR="005D2657">
        <w:rPr>
          <w:rFonts w:hint="cs"/>
          <w:rtl/>
        </w:rPr>
        <w:t xml:space="preserve"> </w:t>
      </w:r>
      <w:r w:rsidR="005D2657" w:rsidRPr="005D2657">
        <w:rPr>
          <w:rFonts w:hint="cs"/>
          <w:sz w:val="16"/>
          <w:szCs w:val="16"/>
          <w:rtl/>
        </w:rPr>
        <w:t>(</w:t>
      </w:r>
      <w:r w:rsidR="0023056F" w:rsidRPr="005D2657">
        <w:rPr>
          <w:rFonts w:cs="Arial"/>
          <w:sz w:val="16"/>
          <w:szCs w:val="16"/>
          <w:rtl/>
        </w:rPr>
        <w:t>ונראה מדברי הרי"ף (כ:) דלא שרי רבי יהודה בן לקיש אלא בטלטול מן הצד דוקא</w:t>
      </w:r>
      <w:r w:rsidR="0023056F" w:rsidRPr="005D2657">
        <w:rPr>
          <w:rFonts w:cs="Arial" w:hint="cs"/>
          <w:sz w:val="16"/>
          <w:szCs w:val="16"/>
          <w:rtl/>
        </w:rPr>
        <w:t>.</w:t>
      </w:r>
      <w:r w:rsidR="0023056F" w:rsidRPr="005D2657">
        <w:rPr>
          <w:rFonts w:cs="Arial"/>
          <w:sz w:val="16"/>
          <w:szCs w:val="16"/>
          <w:rtl/>
        </w:rPr>
        <w:t xml:space="preserve"> וכתבו הרא"ש (סי' יט) והר"ן (כ: ד"ה אמר רב יהודה) שכן דעת ה"ר יונה</w:t>
      </w:r>
      <w:r w:rsidR="0023056F" w:rsidRPr="005D2657">
        <w:rPr>
          <w:rFonts w:cs="Arial" w:hint="cs"/>
          <w:sz w:val="16"/>
          <w:szCs w:val="16"/>
          <w:rtl/>
        </w:rPr>
        <w:t>.</w:t>
      </w:r>
      <w:r w:rsidR="0023056F" w:rsidRPr="005D2657">
        <w:rPr>
          <w:rFonts w:cs="Arial"/>
          <w:sz w:val="16"/>
          <w:szCs w:val="16"/>
          <w:rtl/>
        </w:rPr>
        <w:t xml:space="preserve"> אבל מדברי רש"י </w:t>
      </w:r>
      <w:r w:rsidR="00E0450C" w:rsidRPr="005D2657">
        <w:rPr>
          <w:rFonts w:hint="cs"/>
          <w:sz w:val="16"/>
          <w:szCs w:val="16"/>
          <w:rtl/>
        </w:rPr>
        <w:t xml:space="preserve">(מג: ד"ה אי דליכא) </w:t>
      </w:r>
      <w:r w:rsidR="0023056F" w:rsidRPr="005D2657">
        <w:rPr>
          <w:rFonts w:cs="Arial"/>
          <w:sz w:val="16"/>
          <w:szCs w:val="16"/>
          <w:rtl/>
        </w:rPr>
        <w:t>נראה דאפילו להדיא נמי מטלטלין ליה</w:t>
      </w:r>
      <w:r w:rsidR="0023056F" w:rsidRPr="005D2657">
        <w:rPr>
          <w:rFonts w:cs="Arial" w:hint="cs"/>
          <w:sz w:val="16"/>
          <w:szCs w:val="16"/>
          <w:rtl/>
        </w:rPr>
        <w:t>,</w:t>
      </w:r>
      <w:r w:rsidR="0023056F" w:rsidRPr="005D2657">
        <w:rPr>
          <w:rFonts w:cs="Arial"/>
          <w:sz w:val="16"/>
          <w:szCs w:val="16"/>
          <w:rtl/>
        </w:rPr>
        <w:t xml:space="preserve"> וכן נראה מדברי הרמב"ם פכ"ו (הכ"א)</w:t>
      </w:r>
      <w:r w:rsidR="0023056F" w:rsidRPr="005D2657">
        <w:rPr>
          <w:rFonts w:cs="Arial" w:hint="cs"/>
          <w:sz w:val="16"/>
          <w:szCs w:val="16"/>
          <w:rtl/>
        </w:rPr>
        <w:t>,</w:t>
      </w:r>
      <w:r w:rsidR="0023056F" w:rsidRPr="005D2657">
        <w:rPr>
          <w:rFonts w:cs="Arial"/>
          <w:sz w:val="16"/>
          <w:szCs w:val="16"/>
          <w:rtl/>
        </w:rPr>
        <w:t xml:space="preserve"> ולזה נוטה דעת הר"ן</w:t>
      </w:r>
      <w:r w:rsidR="0023056F" w:rsidRPr="005D2657">
        <w:rPr>
          <w:rFonts w:cs="Arial" w:hint="cs"/>
          <w:sz w:val="16"/>
          <w:szCs w:val="16"/>
          <w:rtl/>
        </w:rPr>
        <w:t>.</w:t>
      </w:r>
      <w:r w:rsidR="0023056F" w:rsidRPr="005D2657">
        <w:rPr>
          <w:rFonts w:cs="Arial"/>
          <w:sz w:val="16"/>
          <w:szCs w:val="16"/>
          <w:rtl/>
        </w:rPr>
        <w:t xml:space="preserve"> וכן דעת הרא"ש</w:t>
      </w:r>
      <w:r w:rsidR="005D2657">
        <w:rPr>
          <w:rFonts w:cs="Arial" w:hint="cs"/>
          <w:sz w:val="16"/>
          <w:szCs w:val="16"/>
          <w:rtl/>
        </w:rPr>
        <w:t>, ב"י</w:t>
      </w:r>
      <w:r w:rsidR="00E15468">
        <w:rPr>
          <w:rFonts w:cs="Arial" w:hint="cs"/>
          <w:sz w:val="16"/>
          <w:szCs w:val="16"/>
          <w:rtl/>
        </w:rPr>
        <w:t xml:space="preserve">. וכן דעת המרדכי </w:t>
      </w:r>
      <w:r w:rsidR="00CD2B87">
        <w:rPr>
          <w:rFonts w:hint="cs"/>
          <w:sz w:val="16"/>
          <w:szCs w:val="16"/>
          <w:rtl/>
        </w:rPr>
        <w:t>(</w:t>
      </w:r>
      <w:r w:rsidR="00E15468">
        <w:rPr>
          <w:rFonts w:hint="cs"/>
          <w:sz w:val="16"/>
          <w:szCs w:val="16"/>
          <w:rtl/>
        </w:rPr>
        <w:t>מו"ק סי' תתקטז</w:t>
      </w:r>
      <w:r w:rsidR="00CD2B87">
        <w:rPr>
          <w:rFonts w:hint="cs"/>
          <w:sz w:val="16"/>
          <w:szCs w:val="16"/>
          <w:rtl/>
        </w:rPr>
        <w:t>)</w:t>
      </w:r>
      <w:r w:rsidR="005D2657">
        <w:rPr>
          <w:rFonts w:cs="Arial" w:hint="cs"/>
          <w:sz w:val="16"/>
          <w:szCs w:val="16"/>
          <w:rtl/>
        </w:rPr>
        <w:t>)</w:t>
      </w:r>
    </w:p>
    <w:p w14:paraId="16C92345" w14:textId="5D65E92B" w:rsidR="009679F9" w:rsidRPr="00151109" w:rsidRDefault="00151109" w:rsidP="00434A6A">
      <w:pPr>
        <w:rPr>
          <w:u w:val="single"/>
          <w:rtl/>
        </w:rPr>
      </w:pPr>
      <w:r w:rsidRPr="00151109">
        <w:rPr>
          <w:rFonts w:asciiTheme="minorBidi" w:hAnsiTheme="minorBidi" w:hint="cs"/>
          <w:u w:val="single"/>
          <w:rtl/>
        </w:rPr>
        <w:t>טלטול מת במקום שריפה</w:t>
      </w:r>
      <w:r w:rsidRPr="00151109">
        <w:rPr>
          <w:rFonts w:hint="cs"/>
          <w:u w:val="single"/>
          <w:rtl/>
        </w:rPr>
        <w:t>:</w:t>
      </w:r>
    </w:p>
    <w:p w14:paraId="08691D1E" w14:textId="0A37A84A" w:rsidR="00C8594B" w:rsidRDefault="008F26D5" w:rsidP="00434A6A">
      <w:pPr>
        <w:pStyle w:val="aa"/>
        <w:numPr>
          <w:ilvl w:val="0"/>
          <w:numId w:val="15"/>
        </w:numPr>
      </w:pPr>
      <w:r>
        <w:rPr>
          <w:rFonts w:cs="Arial" w:hint="cs"/>
          <w:rtl/>
        </w:rPr>
        <w:t>רי"ף</w:t>
      </w:r>
      <w:r w:rsidR="00CB5646">
        <w:rPr>
          <w:rFonts w:cs="Arial" w:hint="cs"/>
          <w:rtl/>
        </w:rPr>
        <w:t xml:space="preserve"> </w:t>
      </w:r>
      <w:r w:rsidR="00CB5646">
        <w:rPr>
          <w:rFonts w:cs="Arial" w:hint="cs"/>
          <w:sz w:val="16"/>
          <w:szCs w:val="16"/>
          <w:rtl/>
        </w:rPr>
        <w:t>(כ:, כ"כ בשמו הר"ן והב"י)</w:t>
      </w:r>
      <w:r w:rsidR="00CB5646">
        <w:rPr>
          <w:rFonts w:cs="Arial" w:hint="cs"/>
          <w:rtl/>
        </w:rPr>
        <w:t xml:space="preserve"> וה"ר יונה </w:t>
      </w:r>
      <w:r w:rsidR="00CB5646">
        <w:rPr>
          <w:rFonts w:cs="Arial" w:hint="cs"/>
          <w:sz w:val="16"/>
          <w:szCs w:val="16"/>
          <w:rtl/>
        </w:rPr>
        <w:t xml:space="preserve">(כ"כ בשמו </w:t>
      </w:r>
      <w:r w:rsidR="00CB5646" w:rsidRPr="00CB5646">
        <w:rPr>
          <w:rFonts w:cs="Arial"/>
          <w:sz w:val="16"/>
          <w:szCs w:val="16"/>
          <w:rtl/>
        </w:rPr>
        <w:t xml:space="preserve">הרא"ש </w:t>
      </w:r>
      <w:r w:rsidR="00CB5646">
        <w:rPr>
          <w:rFonts w:cs="Arial" w:hint="cs"/>
          <w:sz w:val="16"/>
          <w:szCs w:val="16"/>
          <w:rtl/>
        </w:rPr>
        <w:t>[</w:t>
      </w:r>
      <w:r w:rsidR="00CB5646" w:rsidRPr="00CB5646">
        <w:rPr>
          <w:rFonts w:cs="Arial"/>
          <w:sz w:val="16"/>
          <w:szCs w:val="16"/>
          <w:rtl/>
        </w:rPr>
        <w:t>סי' יט</w:t>
      </w:r>
      <w:r w:rsidR="00CB5646">
        <w:rPr>
          <w:rFonts w:cs="Arial" w:hint="cs"/>
          <w:sz w:val="16"/>
          <w:szCs w:val="16"/>
          <w:rtl/>
        </w:rPr>
        <w:t>]</w:t>
      </w:r>
      <w:r w:rsidR="00CB5646" w:rsidRPr="00CB5646">
        <w:rPr>
          <w:rFonts w:cs="Arial"/>
          <w:sz w:val="16"/>
          <w:szCs w:val="16"/>
          <w:rtl/>
        </w:rPr>
        <w:t xml:space="preserve"> והר"ן </w:t>
      </w:r>
      <w:r w:rsidR="00CB5646">
        <w:rPr>
          <w:rFonts w:cs="Arial" w:hint="cs"/>
          <w:sz w:val="16"/>
          <w:szCs w:val="16"/>
          <w:rtl/>
        </w:rPr>
        <w:t>[</w:t>
      </w:r>
      <w:r w:rsidR="00CB5646" w:rsidRPr="00CB5646">
        <w:rPr>
          <w:rFonts w:cs="Arial"/>
          <w:sz w:val="16"/>
          <w:szCs w:val="16"/>
          <w:rtl/>
        </w:rPr>
        <w:t>כ: ד"ה אמר רב יהודה</w:t>
      </w:r>
      <w:r w:rsidR="00CB5646">
        <w:rPr>
          <w:rFonts w:cs="Arial" w:hint="cs"/>
          <w:sz w:val="16"/>
          <w:szCs w:val="16"/>
          <w:rtl/>
        </w:rPr>
        <w:t>])</w:t>
      </w:r>
      <w:r>
        <w:rPr>
          <w:rFonts w:cs="Arial" w:hint="cs"/>
          <w:rtl/>
        </w:rPr>
        <w:t xml:space="preserve">- </w:t>
      </w:r>
      <w:r w:rsidR="006F673F" w:rsidRPr="006F673F">
        <w:rPr>
          <w:rFonts w:cs="Arial"/>
          <w:rtl/>
        </w:rPr>
        <w:t xml:space="preserve">לא שרי ר' יהודה בן לקיש במת אלא טלטול מן הצד </w:t>
      </w:r>
      <w:r w:rsidR="006F673F">
        <w:rPr>
          <w:rFonts w:cs="Arial" w:hint="cs"/>
          <w:sz w:val="16"/>
          <w:szCs w:val="16"/>
          <w:rtl/>
        </w:rPr>
        <w:t>(ל' הר"ן בשמם)</w:t>
      </w:r>
      <w:r>
        <w:rPr>
          <w:rFonts w:cs="Arial" w:hint="cs"/>
          <w:rtl/>
        </w:rPr>
        <w:t>.</w:t>
      </w:r>
      <w:r w:rsidR="002B45A4">
        <w:rPr>
          <w:rFonts w:cs="Arial"/>
          <w:rtl/>
        </w:rPr>
        <w:t xml:space="preserve"> </w:t>
      </w:r>
    </w:p>
    <w:p w14:paraId="2417C25C" w14:textId="57301849" w:rsidR="006E0A8A" w:rsidRDefault="006E0A8A" w:rsidP="00434A6A">
      <w:pPr>
        <w:pStyle w:val="aa"/>
        <w:numPr>
          <w:ilvl w:val="0"/>
          <w:numId w:val="15"/>
        </w:numPr>
      </w:pPr>
      <w:r>
        <w:rPr>
          <w:rFonts w:cs="Arial" w:hint="cs"/>
          <w:rtl/>
        </w:rPr>
        <w:t xml:space="preserve">רמב"ם </w:t>
      </w:r>
      <w:r>
        <w:rPr>
          <w:rFonts w:cs="Arial" w:hint="cs"/>
          <w:sz w:val="16"/>
          <w:szCs w:val="16"/>
          <w:rtl/>
        </w:rPr>
        <w:t>(פכ"ו הכ"א)</w:t>
      </w:r>
      <w:r>
        <w:rPr>
          <w:rFonts w:cs="Arial" w:hint="cs"/>
          <w:rtl/>
        </w:rPr>
        <w:t xml:space="preserve">- </w:t>
      </w:r>
      <w:r w:rsidRPr="006E0A8A">
        <w:rPr>
          <w:rFonts w:cs="Arial"/>
          <w:rtl/>
        </w:rPr>
        <w:t>מת המוטל בחמה</w:t>
      </w:r>
      <w:r>
        <w:rPr>
          <w:rFonts w:cs="Arial" w:hint="cs"/>
          <w:rtl/>
        </w:rPr>
        <w:t>,</w:t>
      </w:r>
      <w:r w:rsidRPr="006E0A8A">
        <w:rPr>
          <w:rFonts w:cs="Arial"/>
          <w:rtl/>
        </w:rPr>
        <w:t xml:space="preserve"> מניח עליו ככר או תינוק ומטלטלו</w:t>
      </w:r>
      <w:r>
        <w:rPr>
          <w:rFonts w:cs="Arial" w:hint="cs"/>
          <w:rtl/>
        </w:rPr>
        <w:t>.</w:t>
      </w:r>
      <w:r w:rsidRPr="006E0A8A">
        <w:rPr>
          <w:rFonts w:cs="Arial"/>
          <w:rtl/>
        </w:rPr>
        <w:t xml:space="preserve"> וכן אם נפלה דליקה בחצר שיש בה מת</w:t>
      </w:r>
      <w:r>
        <w:rPr>
          <w:rFonts w:cs="Arial" w:hint="cs"/>
          <w:rtl/>
        </w:rPr>
        <w:t>,</w:t>
      </w:r>
      <w:r w:rsidRPr="006E0A8A">
        <w:rPr>
          <w:rFonts w:cs="Arial"/>
          <w:rtl/>
        </w:rPr>
        <w:t xml:space="preserve"> מניח עליו ככר או תינוק ומטלטלו</w:t>
      </w:r>
      <w:r w:rsidR="00E15468">
        <w:rPr>
          <w:rFonts w:cs="Arial" w:hint="cs"/>
          <w:rtl/>
        </w:rPr>
        <w:t>.</w:t>
      </w:r>
      <w:r w:rsidRPr="006E0A8A">
        <w:rPr>
          <w:rFonts w:cs="Arial"/>
          <w:rtl/>
        </w:rPr>
        <w:t xml:space="preserve"> ואם אין שם ככר ולא תינוק </w:t>
      </w:r>
      <w:r w:rsidR="00E15468">
        <w:rPr>
          <w:rFonts w:cs="Arial" w:hint="cs"/>
          <w:rtl/>
        </w:rPr>
        <w:t xml:space="preserve">- </w:t>
      </w:r>
      <w:r w:rsidRPr="006E0A8A">
        <w:rPr>
          <w:rFonts w:cs="Arial"/>
          <w:rtl/>
        </w:rPr>
        <w:t>מצילין אותו מן הדליקה מכל מקום</w:t>
      </w:r>
      <w:r w:rsidR="00E15468">
        <w:rPr>
          <w:rFonts w:cs="Arial" w:hint="cs"/>
          <w:rtl/>
        </w:rPr>
        <w:t>,</w:t>
      </w:r>
      <w:r w:rsidRPr="006E0A8A">
        <w:rPr>
          <w:rFonts w:cs="Arial"/>
          <w:rtl/>
        </w:rPr>
        <w:t xml:space="preserve"> שמא יבא לכבות מפני שהוא בהול על מתו שלא ישרף.</w:t>
      </w:r>
    </w:p>
    <w:p w14:paraId="7F276157" w14:textId="78632521" w:rsidR="00A22E34" w:rsidRDefault="00A22E34" w:rsidP="00434A6A">
      <w:pPr>
        <w:pStyle w:val="aa"/>
        <w:numPr>
          <w:ilvl w:val="0"/>
          <w:numId w:val="15"/>
        </w:numPr>
      </w:pPr>
      <w:r>
        <w:rPr>
          <w:rFonts w:cs="Arial" w:hint="cs"/>
          <w:rtl/>
        </w:rPr>
        <w:t>רא"ש</w:t>
      </w:r>
      <w:r w:rsidR="00E0450C">
        <w:rPr>
          <w:rFonts w:cs="Arial" w:hint="cs"/>
          <w:rtl/>
        </w:rPr>
        <w:t xml:space="preserve"> </w:t>
      </w:r>
      <w:r w:rsidR="00E0450C">
        <w:rPr>
          <w:rFonts w:cs="Arial" w:hint="cs"/>
          <w:sz w:val="16"/>
          <w:szCs w:val="16"/>
          <w:rtl/>
        </w:rPr>
        <w:t>(פ"ג ס"ס יט)</w:t>
      </w:r>
      <w:r>
        <w:rPr>
          <w:rFonts w:cs="Arial" w:hint="cs"/>
          <w:rtl/>
        </w:rPr>
        <w:t xml:space="preserve">- </w:t>
      </w:r>
      <w:r w:rsidRPr="00A22E34">
        <w:rPr>
          <w:rFonts w:cs="Arial"/>
          <w:rtl/>
        </w:rPr>
        <w:t>כיון דטעמא דר' יהודה מתוך שאדם בהול על מתו אי לא שרית ליה אתי לכבויי. מהאי טעמא נמי שרינן טלטול גמור אם אין לו אלא מטה אחת</w:t>
      </w:r>
      <w:r w:rsidR="00E0450C">
        <w:rPr>
          <w:rStyle w:val="a9"/>
          <w:rFonts w:cs="Arial"/>
          <w:rtl/>
        </w:rPr>
        <w:footnoteReference w:id="1875"/>
      </w:r>
      <w:r w:rsidR="00E0450C">
        <w:rPr>
          <w:rFonts w:cs="Arial" w:hint="cs"/>
          <w:rtl/>
        </w:rPr>
        <w:t>,</w:t>
      </w:r>
      <w:r w:rsidRPr="00A22E34">
        <w:rPr>
          <w:rFonts w:cs="Arial"/>
          <w:rtl/>
        </w:rPr>
        <w:t xml:space="preserve"> דגם טלטול גמור איסור דרבנן הוא ודחינן ליה שמא יעשה איסור דאורייתא</w:t>
      </w:r>
      <w:r w:rsidR="00E0450C">
        <w:rPr>
          <w:rFonts w:hint="cs"/>
          <w:rtl/>
        </w:rPr>
        <w:t>.</w:t>
      </w:r>
    </w:p>
    <w:p w14:paraId="0E14FAAC" w14:textId="37182B53" w:rsidR="005D2657" w:rsidRDefault="005D2657" w:rsidP="00434A6A">
      <w:pPr>
        <w:pStyle w:val="aa"/>
        <w:numPr>
          <w:ilvl w:val="1"/>
          <w:numId w:val="15"/>
        </w:numPr>
      </w:pPr>
      <w:r>
        <w:rPr>
          <w:rFonts w:hint="cs"/>
          <w:rtl/>
        </w:rPr>
        <w:t xml:space="preserve">ב"י- </w:t>
      </w:r>
      <w:r w:rsidRPr="009679F9">
        <w:rPr>
          <w:rFonts w:cs="Arial"/>
          <w:rtl/>
        </w:rPr>
        <w:t xml:space="preserve">נראה מדבריהם </w:t>
      </w:r>
      <w:r>
        <w:rPr>
          <w:rFonts w:cs="Arial" w:hint="cs"/>
          <w:sz w:val="16"/>
          <w:szCs w:val="16"/>
          <w:rtl/>
        </w:rPr>
        <w:t xml:space="preserve">{של הרמב"ם והרא"ש} </w:t>
      </w:r>
      <w:r w:rsidRPr="009679F9">
        <w:rPr>
          <w:rFonts w:cs="Arial"/>
          <w:rtl/>
        </w:rPr>
        <w:t>דכל היכא דאפשר לטלטל המת שלא באיסור</w:t>
      </w:r>
      <w:r>
        <w:rPr>
          <w:rFonts w:cs="Arial" w:hint="cs"/>
          <w:rtl/>
        </w:rPr>
        <w:t>,</w:t>
      </w:r>
      <w:r w:rsidRPr="009679F9">
        <w:rPr>
          <w:rFonts w:cs="Arial"/>
          <w:rtl/>
        </w:rPr>
        <w:t xml:space="preserve"> כגון על ידי ככר או תינוק או בטלטול מן הצד </w:t>
      </w:r>
      <w:r>
        <w:rPr>
          <w:rFonts w:cs="Arial" w:hint="cs"/>
          <w:rtl/>
        </w:rPr>
        <w:t xml:space="preserve">- </w:t>
      </w:r>
      <w:r w:rsidRPr="009679F9">
        <w:rPr>
          <w:rFonts w:cs="Arial"/>
          <w:rtl/>
        </w:rPr>
        <w:t>אין מטלטלין אותו להדיא</w:t>
      </w:r>
      <w:r>
        <w:rPr>
          <w:rFonts w:cs="Arial" w:hint="cs"/>
          <w:rtl/>
        </w:rPr>
        <w:t>,</w:t>
      </w:r>
      <w:r w:rsidRPr="009679F9">
        <w:rPr>
          <w:rFonts w:cs="Arial"/>
          <w:rtl/>
        </w:rPr>
        <w:t xml:space="preserve"> דלא התירו לטלטלו להדיא מפני הדליקה אלא בדלית ליה ככר או תינוק</w:t>
      </w:r>
      <w:r>
        <w:rPr>
          <w:rFonts w:cs="Arial" w:hint="cs"/>
          <w:rtl/>
        </w:rPr>
        <w:t>,</w:t>
      </w:r>
      <w:r w:rsidRPr="009679F9">
        <w:rPr>
          <w:rFonts w:cs="Arial"/>
          <w:rtl/>
        </w:rPr>
        <w:t xml:space="preserve"> וגם אין לו מטה אחרת שאי אפשר לו לטלטלו מן הצד</w:t>
      </w:r>
      <w:r>
        <w:rPr>
          <w:rFonts w:cs="Arial" w:hint="cs"/>
          <w:rtl/>
        </w:rPr>
        <w:t>.</w:t>
      </w:r>
      <w:r w:rsidR="00E15468" w:rsidRPr="00E15468">
        <w:rPr>
          <w:rFonts w:cs="Arial" w:hint="cs"/>
          <w:color w:val="E36C0A" w:themeColor="accent6" w:themeShade="BF"/>
          <w:rtl/>
        </w:rPr>
        <w:t xml:space="preserve"> </w:t>
      </w:r>
      <w:r w:rsidR="00E15468" w:rsidRPr="004832C4">
        <w:rPr>
          <w:rFonts w:cs="Arial" w:hint="cs"/>
          <w:color w:val="E36C0A" w:themeColor="accent6" w:themeShade="BF"/>
          <w:rtl/>
        </w:rPr>
        <w:t>(וכ"פ בשו"ע)</w:t>
      </w:r>
    </w:p>
    <w:p w14:paraId="40D6BE29" w14:textId="4255F417" w:rsidR="005D2657" w:rsidRPr="005D2657" w:rsidRDefault="005D2657" w:rsidP="00434A6A">
      <w:pPr>
        <w:rPr>
          <w:u w:val="single"/>
          <w:rtl/>
        </w:rPr>
      </w:pPr>
      <w:r w:rsidRPr="005D2657">
        <w:rPr>
          <w:rFonts w:hint="cs"/>
          <w:u w:val="single"/>
          <w:rtl/>
        </w:rPr>
        <w:t>טלטול מת המוטל בחמה:</w:t>
      </w:r>
    </w:p>
    <w:p w14:paraId="7E5C1CD9" w14:textId="3F1CC3B7" w:rsidR="001E3E1F" w:rsidRPr="00A40475" w:rsidRDefault="00E15468" w:rsidP="00434A6A">
      <w:pPr>
        <w:pStyle w:val="aa"/>
        <w:numPr>
          <w:ilvl w:val="0"/>
          <w:numId w:val="15"/>
        </w:numPr>
      </w:pPr>
      <w:r>
        <w:rPr>
          <w:rFonts w:cs="Arial" w:hint="cs"/>
          <w:rtl/>
        </w:rPr>
        <w:t xml:space="preserve">רמב"ם </w:t>
      </w:r>
      <w:r>
        <w:rPr>
          <w:rFonts w:cs="Arial" w:hint="cs"/>
          <w:sz w:val="16"/>
          <w:szCs w:val="16"/>
          <w:rtl/>
        </w:rPr>
        <w:t>(פכ"ו הכ"א)</w:t>
      </w:r>
      <w:r>
        <w:rPr>
          <w:rFonts w:cs="Arial" w:hint="cs"/>
          <w:rtl/>
        </w:rPr>
        <w:t xml:space="preserve"> </w:t>
      </w:r>
      <w:r w:rsidR="005D2657">
        <w:rPr>
          <w:rFonts w:cs="Arial" w:hint="cs"/>
          <w:rtl/>
        </w:rPr>
        <w:t xml:space="preserve">רא"ש </w:t>
      </w:r>
      <w:r w:rsidR="005D2657">
        <w:rPr>
          <w:rFonts w:cs="Arial" w:hint="cs"/>
          <w:sz w:val="16"/>
          <w:szCs w:val="16"/>
          <w:rtl/>
        </w:rPr>
        <w:t>(פ"ג ס"ס יט)</w:t>
      </w:r>
      <w:r w:rsidR="00A40475" w:rsidRPr="00A40475">
        <w:rPr>
          <w:rFonts w:cs="Arial" w:hint="cs"/>
          <w:rtl/>
        </w:rPr>
        <w:t xml:space="preserve"> </w:t>
      </w:r>
      <w:r w:rsidR="00A40475">
        <w:rPr>
          <w:rFonts w:cs="Arial" w:hint="cs"/>
          <w:rtl/>
        </w:rPr>
        <w:t xml:space="preserve">וטור- </w:t>
      </w:r>
      <w:r w:rsidR="00A40475">
        <w:rPr>
          <w:rFonts w:cs="Arial"/>
          <w:rtl/>
        </w:rPr>
        <w:t>ואם אין לו ככר או תינוק</w:t>
      </w:r>
      <w:r w:rsidR="00A40475">
        <w:rPr>
          <w:rFonts w:cs="Arial" w:hint="cs"/>
          <w:rtl/>
        </w:rPr>
        <w:t xml:space="preserve"> -</w:t>
      </w:r>
      <w:r w:rsidR="00A40475">
        <w:rPr>
          <w:rFonts w:cs="Arial"/>
          <w:rtl/>
        </w:rPr>
        <w:t xml:space="preserve"> לא יטלטלנו כלל אפי' להפכו ממטה למטה</w:t>
      </w:r>
      <w:r w:rsidR="00A40475">
        <w:rPr>
          <w:rFonts w:cs="Arial" w:hint="cs"/>
          <w:rtl/>
        </w:rPr>
        <w:t>,</w:t>
      </w:r>
      <w:r w:rsidR="00A40475">
        <w:rPr>
          <w:rFonts w:cs="Arial"/>
          <w:rtl/>
        </w:rPr>
        <w:t xml:space="preserve"> שטלטול מן הצד לצורך דבר האסור –</w:t>
      </w:r>
      <w:r w:rsidR="00A40475">
        <w:rPr>
          <w:rFonts w:cs="Arial" w:hint="cs"/>
          <w:rtl/>
        </w:rPr>
        <w:t xml:space="preserve"> </w:t>
      </w:r>
      <w:r w:rsidR="00A40475">
        <w:rPr>
          <w:rFonts w:cs="Arial"/>
          <w:rtl/>
        </w:rPr>
        <w:t>אסור</w:t>
      </w:r>
      <w:r w:rsidR="00A40475">
        <w:rPr>
          <w:rFonts w:hint="cs"/>
          <w:sz w:val="16"/>
          <w:szCs w:val="16"/>
          <w:rtl/>
        </w:rPr>
        <w:t xml:space="preserve"> </w:t>
      </w:r>
      <w:r w:rsidR="00A40475" w:rsidRPr="00A40475">
        <w:rPr>
          <w:rFonts w:hint="cs"/>
          <w:sz w:val="16"/>
          <w:szCs w:val="16"/>
          <w:rtl/>
        </w:rPr>
        <w:t>(ל' הטור)</w:t>
      </w:r>
      <w:r w:rsidR="005D2657">
        <w:rPr>
          <w:rFonts w:hint="cs"/>
          <w:rtl/>
        </w:rPr>
        <w:t>.</w:t>
      </w:r>
      <w:r w:rsidRPr="00E15468">
        <w:rPr>
          <w:rFonts w:cs="Arial" w:hint="cs"/>
          <w:color w:val="E36C0A" w:themeColor="accent6" w:themeShade="BF"/>
          <w:rtl/>
        </w:rPr>
        <w:t xml:space="preserve"> </w:t>
      </w:r>
      <w:r w:rsidRPr="004832C4">
        <w:rPr>
          <w:rFonts w:cs="Arial" w:hint="cs"/>
          <w:color w:val="E36C0A" w:themeColor="accent6" w:themeShade="BF"/>
          <w:rtl/>
        </w:rPr>
        <w:t>(וכ"פ בשו"ע)</w:t>
      </w:r>
    </w:p>
    <w:p w14:paraId="71AF5B03" w14:textId="77777777" w:rsidR="009A1772" w:rsidRPr="005275DF" w:rsidRDefault="009A1772" w:rsidP="00434A6A">
      <w:pPr>
        <w:rPr>
          <w:rFonts w:asciiTheme="minorBidi" w:hAnsiTheme="minorBidi"/>
          <w:rtl/>
        </w:rPr>
      </w:pPr>
      <w:r w:rsidRPr="005275DF">
        <w:rPr>
          <w:rFonts w:asciiTheme="minorBidi" w:hAnsiTheme="minorBidi"/>
          <w:b/>
          <w:bCs/>
          <w:sz w:val="32"/>
          <w:szCs w:val="28"/>
          <w:u w:val="single"/>
          <w:rtl/>
        </w:rPr>
        <w:t xml:space="preserve">שו"ע: </w:t>
      </w:r>
    </w:p>
    <w:p w14:paraId="6F438177" w14:textId="37322AE7" w:rsidR="000C6229" w:rsidRPr="005275DF" w:rsidRDefault="000C6229" w:rsidP="00434A6A">
      <w:pPr>
        <w:rPr>
          <w:rFonts w:asciiTheme="minorBidi" w:hAnsiTheme="minorBidi"/>
          <w:rtl/>
        </w:rPr>
      </w:pPr>
      <w:r w:rsidRPr="005275DF">
        <w:rPr>
          <w:rFonts w:asciiTheme="minorBidi" w:hAnsiTheme="minorBidi"/>
          <w:rtl/>
        </w:rPr>
        <w:t>מת שמוטל במקום שירא עליו מפני הדליקה, אם יש ככר או תינוק</w:t>
      </w:r>
      <w:r w:rsidR="006F673F">
        <w:rPr>
          <w:rStyle w:val="a9"/>
          <w:rFonts w:asciiTheme="minorBidi" w:hAnsiTheme="minorBidi"/>
          <w:rtl/>
        </w:rPr>
        <w:footnoteReference w:id="1876"/>
      </w:r>
      <w:r w:rsidRPr="005275DF">
        <w:rPr>
          <w:rFonts w:asciiTheme="minorBidi" w:hAnsiTheme="minorBidi"/>
          <w:rtl/>
        </w:rPr>
        <w:t xml:space="preserve"> מטלטלו על ידיהם</w:t>
      </w:r>
      <w:r w:rsidR="006F673F">
        <w:rPr>
          <w:rStyle w:val="a9"/>
          <w:rFonts w:asciiTheme="minorBidi" w:hAnsiTheme="minorBidi"/>
          <w:rtl/>
        </w:rPr>
        <w:footnoteReference w:id="1877"/>
      </w:r>
      <w:r w:rsidR="008F26D5">
        <w:rPr>
          <w:rFonts w:asciiTheme="minorBidi" w:hAnsiTheme="minorBidi" w:hint="cs"/>
          <w:rtl/>
        </w:rPr>
        <w:t>.</w:t>
      </w:r>
      <w:r w:rsidRPr="005275DF">
        <w:rPr>
          <w:rFonts w:asciiTheme="minorBidi" w:hAnsiTheme="minorBidi"/>
          <w:rtl/>
        </w:rPr>
        <w:t xml:space="preserve"> ואם אין לו ככר או תינוק, אם יש לו שתי מטות מטלטלו ע</w:t>
      </w:r>
      <w:r w:rsidR="008F26D5">
        <w:rPr>
          <w:rFonts w:asciiTheme="minorBidi" w:hAnsiTheme="minorBidi" w:hint="cs"/>
          <w:rtl/>
        </w:rPr>
        <w:t>ל ידי</w:t>
      </w:r>
      <w:r w:rsidRPr="005275DF">
        <w:rPr>
          <w:rFonts w:asciiTheme="minorBidi" w:hAnsiTheme="minorBidi"/>
          <w:rtl/>
        </w:rPr>
        <w:t xml:space="preserve"> שיהפכנו ממטה למטה דהוי טלטול מן הצד</w:t>
      </w:r>
      <w:r w:rsidR="008F26D5">
        <w:rPr>
          <w:rFonts w:asciiTheme="minorBidi" w:hAnsiTheme="minorBidi" w:hint="cs"/>
          <w:rtl/>
        </w:rPr>
        <w:t>.</w:t>
      </w:r>
      <w:r w:rsidRPr="005275DF">
        <w:rPr>
          <w:rFonts w:asciiTheme="minorBidi" w:hAnsiTheme="minorBidi"/>
          <w:rtl/>
        </w:rPr>
        <w:t xml:space="preserve"> ואם אין לו לא זה ולא זה, מטלטלו טלטול גמור, וכל זה באותו רשות</w:t>
      </w:r>
      <w:r w:rsidR="00CB7D02">
        <w:rPr>
          <w:rStyle w:val="a9"/>
          <w:rFonts w:asciiTheme="minorBidi" w:hAnsiTheme="minorBidi"/>
          <w:rtl/>
        </w:rPr>
        <w:footnoteReference w:id="1878"/>
      </w:r>
      <w:r w:rsidRPr="005275DF">
        <w:rPr>
          <w:rFonts w:asciiTheme="minorBidi" w:hAnsiTheme="minorBidi"/>
          <w:rtl/>
        </w:rPr>
        <w:t>. מת המוטל בחמה</w:t>
      </w:r>
      <w:r w:rsidR="00CB7D02">
        <w:rPr>
          <w:rStyle w:val="a9"/>
          <w:rFonts w:asciiTheme="minorBidi" w:hAnsiTheme="minorBidi"/>
          <w:rtl/>
        </w:rPr>
        <w:footnoteReference w:id="1879"/>
      </w:r>
      <w:r w:rsidRPr="005275DF">
        <w:rPr>
          <w:rFonts w:asciiTheme="minorBidi" w:hAnsiTheme="minorBidi"/>
          <w:rtl/>
        </w:rPr>
        <w:t>, מטלטלו מחמה לצל באותו רשות ע</w:t>
      </w:r>
      <w:r w:rsidR="008F26D5">
        <w:rPr>
          <w:rFonts w:asciiTheme="minorBidi" w:hAnsiTheme="minorBidi" w:hint="cs"/>
          <w:rtl/>
        </w:rPr>
        <w:t>ל ידי</w:t>
      </w:r>
      <w:r w:rsidRPr="005275DF">
        <w:rPr>
          <w:rFonts w:asciiTheme="minorBidi" w:hAnsiTheme="minorBidi"/>
          <w:rtl/>
        </w:rPr>
        <w:t xml:space="preserve"> ככר או תינוק</w:t>
      </w:r>
      <w:r w:rsidR="008F26D5">
        <w:rPr>
          <w:rFonts w:asciiTheme="minorBidi" w:hAnsiTheme="minorBidi" w:hint="cs"/>
          <w:rtl/>
        </w:rPr>
        <w:t>.</w:t>
      </w:r>
      <w:r w:rsidRPr="005275DF">
        <w:rPr>
          <w:rFonts w:asciiTheme="minorBidi" w:hAnsiTheme="minorBidi"/>
          <w:rtl/>
        </w:rPr>
        <w:t xml:space="preserve"> ואם אין לו ככר או תינוק לא יטלטלנו כלל, אפילו להפכו ממטה למטה, דטלטול מן הצד שמיה טלטול</w:t>
      </w:r>
      <w:r w:rsidR="00CB7D02">
        <w:rPr>
          <w:rStyle w:val="a9"/>
          <w:rFonts w:asciiTheme="minorBidi" w:hAnsiTheme="minorBidi"/>
          <w:rtl/>
        </w:rPr>
        <w:footnoteReference w:id="1880"/>
      </w:r>
      <w:r w:rsidRPr="005275DF">
        <w:rPr>
          <w:rFonts w:asciiTheme="minorBidi" w:hAnsiTheme="minorBidi"/>
          <w:rtl/>
        </w:rPr>
        <w:t xml:space="preserve">. </w:t>
      </w:r>
      <w:r w:rsidR="008F26D5">
        <w:rPr>
          <w:rFonts w:asciiTheme="minorBidi" w:hAnsiTheme="minorBidi" w:hint="cs"/>
          <w:sz w:val="18"/>
          <w:szCs w:val="18"/>
          <w:rtl/>
        </w:rPr>
        <w:t xml:space="preserve">[הגה] </w:t>
      </w:r>
      <w:r w:rsidRPr="008F26D5">
        <w:rPr>
          <w:rFonts w:asciiTheme="minorBidi" w:hAnsiTheme="minorBidi"/>
          <w:sz w:val="18"/>
          <w:szCs w:val="18"/>
          <w:rtl/>
        </w:rPr>
        <w:t>וע</w:t>
      </w:r>
      <w:r w:rsidR="008F26D5">
        <w:rPr>
          <w:rFonts w:asciiTheme="minorBidi" w:hAnsiTheme="minorBidi" w:hint="cs"/>
          <w:sz w:val="18"/>
          <w:szCs w:val="18"/>
          <w:rtl/>
        </w:rPr>
        <w:t xml:space="preserve">יין </w:t>
      </w:r>
      <w:r w:rsidRPr="008F26D5">
        <w:rPr>
          <w:rFonts w:asciiTheme="minorBidi" w:hAnsiTheme="minorBidi"/>
          <w:sz w:val="18"/>
          <w:szCs w:val="18"/>
          <w:rtl/>
        </w:rPr>
        <w:t>ל</w:t>
      </w:r>
      <w:r w:rsidR="008F26D5">
        <w:rPr>
          <w:rFonts w:asciiTheme="minorBidi" w:hAnsiTheme="minorBidi" w:hint="cs"/>
          <w:sz w:val="18"/>
          <w:szCs w:val="18"/>
          <w:rtl/>
        </w:rPr>
        <w:t>קמן</w:t>
      </w:r>
      <w:r w:rsidRPr="008F26D5">
        <w:rPr>
          <w:rFonts w:asciiTheme="minorBidi" w:hAnsiTheme="minorBidi"/>
          <w:sz w:val="18"/>
          <w:szCs w:val="18"/>
          <w:rtl/>
        </w:rPr>
        <w:t xml:space="preserve"> בסי' זה ס"ו מאי תקנתיה.</w:t>
      </w:r>
      <w:r w:rsidRPr="005275DF">
        <w:rPr>
          <w:rFonts w:asciiTheme="minorBidi" w:hAnsiTheme="minorBidi"/>
          <w:rtl/>
        </w:rPr>
        <w:t xml:space="preserve"> </w:t>
      </w:r>
    </w:p>
    <w:p w14:paraId="0BCAAA58" w14:textId="77777777" w:rsidR="000C6229" w:rsidRPr="005275DF" w:rsidRDefault="000C6229" w:rsidP="00434A6A">
      <w:pPr>
        <w:rPr>
          <w:rFonts w:asciiTheme="minorBidi" w:hAnsiTheme="minorBidi"/>
          <w:rtl/>
        </w:rPr>
      </w:pPr>
    </w:p>
    <w:p w14:paraId="78F5AC09" w14:textId="1D91BB60" w:rsidR="000C6229" w:rsidRDefault="000C6229" w:rsidP="00434A6A">
      <w:pPr>
        <w:pStyle w:val="2"/>
        <w:rPr>
          <w:rtl/>
        </w:rPr>
      </w:pPr>
      <w:r w:rsidRPr="005275DF">
        <w:rPr>
          <w:rtl/>
        </w:rPr>
        <w:t>סעיף ב</w:t>
      </w:r>
      <w:r w:rsidR="006F673F">
        <w:rPr>
          <w:rFonts w:hint="cs"/>
          <w:rtl/>
        </w:rPr>
        <w:t>: מת המוטל בבזיון.</w:t>
      </w:r>
    </w:p>
    <w:p w14:paraId="4B01B192" w14:textId="2D231FD6" w:rsidR="0023056F" w:rsidRDefault="0023056F" w:rsidP="00434A6A">
      <w:pPr>
        <w:rPr>
          <w:rFonts w:cs="Arial"/>
          <w:rtl/>
        </w:rPr>
      </w:pPr>
      <w:r w:rsidRPr="002A45F7">
        <w:rPr>
          <w:rFonts w:hint="cs"/>
          <w:b/>
          <w:bCs/>
          <w:rtl/>
        </w:rPr>
        <w:t xml:space="preserve">שבת </w:t>
      </w:r>
      <w:r>
        <w:rPr>
          <w:rFonts w:hint="cs"/>
          <w:b/>
          <w:bCs/>
          <w:sz w:val="16"/>
          <w:szCs w:val="16"/>
          <w:rtl/>
        </w:rPr>
        <w:t>(פ' כירה)</w:t>
      </w:r>
      <w:r>
        <w:rPr>
          <w:rFonts w:hint="cs"/>
          <w:b/>
          <w:bCs/>
          <w:rtl/>
        </w:rPr>
        <w:t xml:space="preserve"> מג</w:t>
      </w:r>
      <w:r w:rsidRPr="002A45F7">
        <w:rPr>
          <w:rFonts w:hint="cs"/>
          <w:b/>
          <w:bCs/>
          <w:rtl/>
        </w:rPr>
        <w:t xml:space="preserve"> ע"ב:</w:t>
      </w:r>
      <w:r>
        <w:rPr>
          <w:rFonts w:cs="Arial" w:hint="cs"/>
          <w:rtl/>
        </w:rPr>
        <w:t xml:space="preserve"> </w:t>
      </w:r>
      <w:r w:rsidRPr="00410A6E">
        <w:rPr>
          <w:rFonts w:cs="Arial"/>
          <w:rtl/>
        </w:rPr>
        <w:t xml:space="preserve">איתמר, מת המוטל בחמה, </w:t>
      </w:r>
      <w:r w:rsidRPr="008F26D5">
        <w:rPr>
          <w:rFonts w:cs="Arial"/>
          <w:u w:val="single"/>
          <w:rtl/>
        </w:rPr>
        <w:t>רב יהודה אמר שמואל</w:t>
      </w:r>
      <w:r w:rsidRPr="00410A6E">
        <w:rPr>
          <w:rFonts w:cs="Arial"/>
          <w:rtl/>
        </w:rPr>
        <w:t xml:space="preserve">: הופכו ממטה למטה. </w:t>
      </w:r>
      <w:r w:rsidRPr="008F26D5">
        <w:rPr>
          <w:rFonts w:cs="Arial"/>
          <w:u w:val="single"/>
          <w:rtl/>
        </w:rPr>
        <w:t>רב חנינא בר שלמיא משמיה דרב אמר</w:t>
      </w:r>
      <w:r w:rsidRPr="00410A6E">
        <w:rPr>
          <w:rFonts w:cs="Arial"/>
          <w:rtl/>
        </w:rPr>
        <w:t xml:space="preserve">: מניח עליו ככר או תינוק ומטלטלו. היכא דאיכא ככר או תינוק - כולי עלמא לא פליגי דשרי, כי פליגי דלית ליה. מר סבר: טלטול מן הצד - שמיה טלטול, ומר סבר: לא שמיה טלטול. </w:t>
      </w:r>
      <w:r w:rsidR="00F73B25" w:rsidRPr="00F73B25">
        <w:rPr>
          <w:rFonts w:cs="Arial" w:hint="cs"/>
          <w:sz w:val="16"/>
          <w:szCs w:val="16"/>
          <w:rtl/>
        </w:rPr>
        <w:t>(</w:t>
      </w:r>
      <w:r w:rsidR="009679F9" w:rsidRPr="00F73B25">
        <w:rPr>
          <w:rFonts w:cs="Arial"/>
          <w:sz w:val="16"/>
          <w:szCs w:val="16"/>
          <w:rtl/>
        </w:rPr>
        <w:t>ופסקו התוספות (שם ד"ה דכ"ע) והרי"ף (שם) והרא"ש (שם) כמאן דאמר טלטול מן הצד שמיה טלטול</w:t>
      </w:r>
      <w:r w:rsidR="00F73B25">
        <w:rPr>
          <w:rFonts w:cs="Arial" w:hint="cs"/>
          <w:sz w:val="16"/>
          <w:szCs w:val="16"/>
          <w:rtl/>
        </w:rPr>
        <w:t>,</w:t>
      </w:r>
      <w:r w:rsidR="009679F9" w:rsidRPr="00F73B25">
        <w:rPr>
          <w:rFonts w:cs="Arial"/>
          <w:sz w:val="16"/>
          <w:szCs w:val="16"/>
          <w:rtl/>
        </w:rPr>
        <w:t xml:space="preserve"> וכן כתב הרמב"ם בפכ"ו (שם)</w:t>
      </w:r>
      <w:r w:rsidR="00F73B25">
        <w:rPr>
          <w:rFonts w:cs="Arial" w:hint="cs"/>
          <w:sz w:val="16"/>
          <w:szCs w:val="16"/>
          <w:rtl/>
        </w:rPr>
        <w:t>, ב"י)</w:t>
      </w:r>
      <w:r w:rsidR="009679F9">
        <w:rPr>
          <w:rFonts w:cs="Arial"/>
          <w:rtl/>
        </w:rPr>
        <w:t xml:space="preserve"> </w:t>
      </w:r>
    </w:p>
    <w:p w14:paraId="37891D0D" w14:textId="2670EF87" w:rsidR="00F73B25" w:rsidRDefault="00F73B25" w:rsidP="00434A6A">
      <w:pPr>
        <w:rPr>
          <w:rFonts w:cs="Arial"/>
          <w:rtl/>
        </w:rPr>
      </w:pPr>
      <w:r w:rsidRPr="002A45F7">
        <w:rPr>
          <w:rFonts w:hint="cs"/>
          <w:b/>
          <w:bCs/>
          <w:rtl/>
        </w:rPr>
        <w:t xml:space="preserve">שבת </w:t>
      </w:r>
      <w:r>
        <w:rPr>
          <w:rFonts w:hint="cs"/>
          <w:b/>
          <w:bCs/>
          <w:sz w:val="16"/>
          <w:szCs w:val="16"/>
          <w:rtl/>
        </w:rPr>
        <w:t>(פ' המצניע)</w:t>
      </w:r>
      <w:r>
        <w:rPr>
          <w:rFonts w:hint="cs"/>
          <w:b/>
          <w:bCs/>
          <w:rtl/>
        </w:rPr>
        <w:t xml:space="preserve"> צד</w:t>
      </w:r>
      <w:r w:rsidRPr="002A45F7">
        <w:rPr>
          <w:rFonts w:hint="cs"/>
          <w:b/>
          <w:bCs/>
          <w:rtl/>
        </w:rPr>
        <w:t xml:space="preserve"> ע"ב:</w:t>
      </w:r>
      <w:r>
        <w:rPr>
          <w:rFonts w:cs="Arial" w:hint="cs"/>
          <w:rtl/>
        </w:rPr>
        <w:t xml:space="preserve"> </w:t>
      </w:r>
      <w:r w:rsidRPr="00F73B25">
        <w:rPr>
          <w:rFonts w:cs="Arial"/>
          <w:rtl/>
        </w:rPr>
        <w:t>ההוא שכבא דהוה בדרוקרא, שרא רב נחמן בר יצחק לאפוקיה לכרמלית</w:t>
      </w:r>
      <w:r>
        <w:rPr>
          <w:rStyle w:val="a9"/>
          <w:rFonts w:cs="Arial"/>
          <w:rtl/>
        </w:rPr>
        <w:footnoteReference w:id="1881"/>
      </w:r>
      <w:r w:rsidRPr="00F73B25">
        <w:rPr>
          <w:rFonts w:cs="Arial"/>
          <w:rtl/>
        </w:rPr>
        <w:t xml:space="preserve">. </w:t>
      </w:r>
      <w:r w:rsidRPr="00F73B25">
        <w:rPr>
          <w:rFonts w:cs="Arial"/>
          <w:u w:val="single"/>
          <w:rtl/>
        </w:rPr>
        <w:t>אמר ליה רבי יוחנן אחוה דמר בריה דרבנא לרב נחמן בר יצחק</w:t>
      </w:r>
      <w:r w:rsidRPr="00F73B25">
        <w:rPr>
          <w:rFonts w:cs="Arial"/>
          <w:rtl/>
        </w:rPr>
        <w:t xml:space="preserve">: כמאן - כרבי שמעון, אימר דפטר רבי שמעון מחיוב חטאת - איסורא דרבנן מיהא איכא! </w:t>
      </w:r>
      <w:r w:rsidRPr="00F73B25">
        <w:rPr>
          <w:rFonts w:cs="Arial"/>
          <w:u w:val="single"/>
          <w:rtl/>
        </w:rPr>
        <w:t>אמר ליה</w:t>
      </w:r>
      <w:r w:rsidRPr="00F73B25">
        <w:rPr>
          <w:rFonts w:cs="Arial"/>
          <w:rtl/>
        </w:rPr>
        <w:t>: האלהים! דעיילת ביה את, ואפילו לרבי יהודה</w:t>
      </w:r>
      <w:r>
        <w:rPr>
          <w:rFonts w:cs="Arial" w:hint="cs"/>
          <w:rtl/>
        </w:rPr>
        <w:t>,</w:t>
      </w:r>
      <w:r w:rsidRPr="00F73B25">
        <w:rPr>
          <w:rFonts w:cs="Arial"/>
          <w:rtl/>
        </w:rPr>
        <w:t xml:space="preserve"> דמי קאמינא לרשות הרבים? לכרמלית קאמינא! גדול כבוד הבריות שדוחה את לא תעשה</w:t>
      </w:r>
      <w:r>
        <w:rPr>
          <w:rStyle w:val="a9"/>
          <w:rFonts w:cs="Arial"/>
          <w:rtl/>
        </w:rPr>
        <w:footnoteReference w:id="1882"/>
      </w:r>
      <w:r w:rsidRPr="00F73B25">
        <w:rPr>
          <w:rFonts w:cs="Arial"/>
          <w:rtl/>
        </w:rPr>
        <w:t xml:space="preserve"> שבתורה.</w:t>
      </w:r>
    </w:p>
    <w:p w14:paraId="24F3029A" w14:textId="593F692F" w:rsidR="00F04C47" w:rsidRDefault="00AF7B76" w:rsidP="00434A6A">
      <w:pPr>
        <w:rPr>
          <w:rFonts w:cs="Arial"/>
          <w:u w:val="single"/>
          <w:rtl/>
        </w:rPr>
      </w:pPr>
      <w:r w:rsidRPr="00AF7B76">
        <w:rPr>
          <w:rFonts w:cs="Arial" w:hint="cs"/>
          <w:u w:val="single"/>
          <w:rtl/>
        </w:rPr>
        <w:t>כשהתיר רב נחמן בר יצח</w:t>
      </w:r>
      <w:r>
        <w:rPr>
          <w:rFonts w:cs="Arial" w:hint="cs"/>
          <w:u w:val="single"/>
          <w:rtl/>
        </w:rPr>
        <w:t>ק</w:t>
      </w:r>
      <w:r w:rsidRPr="00AF7B76">
        <w:rPr>
          <w:rFonts w:cs="Arial" w:hint="cs"/>
          <w:u w:val="single"/>
          <w:rtl/>
        </w:rPr>
        <w:t xml:space="preserve"> להוציא </w:t>
      </w:r>
      <w:r>
        <w:rPr>
          <w:rFonts w:cs="Arial" w:hint="cs"/>
          <w:u w:val="single"/>
          <w:rtl/>
        </w:rPr>
        <w:t>את ה</w:t>
      </w:r>
      <w:r w:rsidRPr="00AF7B76">
        <w:rPr>
          <w:rFonts w:cs="Arial" w:hint="cs"/>
          <w:u w:val="single"/>
          <w:rtl/>
        </w:rPr>
        <w:t>מת</w:t>
      </w:r>
      <w:r w:rsidR="00CD2B87">
        <w:rPr>
          <w:rFonts w:cs="Arial" w:hint="cs"/>
          <w:u w:val="single"/>
          <w:rtl/>
        </w:rPr>
        <w:t xml:space="preserve"> </w:t>
      </w:r>
      <w:r w:rsidRPr="00AF7B76">
        <w:rPr>
          <w:rFonts w:cs="Arial" w:hint="cs"/>
          <w:u w:val="single"/>
          <w:rtl/>
        </w:rPr>
        <w:t>לכרמלית</w:t>
      </w:r>
      <w:r w:rsidR="008259D6">
        <w:rPr>
          <w:rFonts w:cs="Arial" w:hint="cs"/>
          <w:u w:val="single"/>
          <w:rtl/>
        </w:rPr>
        <w:t>:</w:t>
      </w:r>
      <w:r w:rsidRPr="00AF7B76">
        <w:rPr>
          <w:rFonts w:cs="Arial" w:hint="cs"/>
          <w:u w:val="single"/>
          <w:rtl/>
        </w:rPr>
        <w:t xml:space="preserve"> </w:t>
      </w:r>
    </w:p>
    <w:p w14:paraId="38280B42" w14:textId="66E2468E" w:rsidR="00CF468D" w:rsidRDefault="00CF468D" w:rsidP="00434A6A">
      <w:pPr>
        <w:ind w:left="360"/>
        <w:rPr>
          <w:rFonts w:cs="Arial"/>
          <w:u w:val="single"/>
          <w:rtl/>
        </w:rPr>
      </w:pPr>
      <w:r w:rsidRPr="00CF468D">
        <w:rPr>
          <w:rFonts w:cs="Arial" w:hint="cs"/>
          <w:u w:val="dotted"/>
          <w:rtl/>
        </w:rPr>
        <w:t>מפני מה התיר רב נחמן בר יצחק להוציאו:</w:t>
      </w:r>
    </w:p>
    <w:p w14:paraId="11B9A7EE" w14:textId="2FD7A407" w:rsidR="00F04C47" w:rsidRDefault="00F04C47" w:rsidP="00434A6A">
      <w:pPr>
        <w:pStyle w:val="aa"/>
        <w:numPr>
          <w:ilvl w:val="0"/>
          <w:numId w:val="15"/>
        </w:numPr>
        <w:rPr>
          <w:rFonts w:cs="Arial"/>
        </w:rPr>
      </w:pPr>
      <w:r w:rsidRPr="00AF7B76">
        <w:rPr>
          <w:rFonts w:cs="Arial"/>
          <w:rtl/>
        </w:rPr>
        <w:t xml:space="preserve">רש"י </w:t>
      </w:r>
      <w:r w:rsidRPr="00AF7B76">
        <w:rPr>
          <w:rFonts w:cs="Arial" w:hint="cs"/>
          <w:sz w:val="16"/>
          <w:szCs w:val="16"/>
          <w:rtl/>
        </w:rPr>
        <w:t xml:space="preserve">(צד: ד"ה </w:t>
      </w:r>
      <w:r w:rsidRPr="00AF7B76">
        <w:rPr>
          <w:rFonts w:cs="Arial"/>
          <w:sz w:val="16"/>
          <w:szCs w:val="16"/>
          <w:rtl/>
        </w:rPr>
        <w:t>לאפוקיה לכרמלית</w:t>
      </w:r>
      <w:r w:rsidRPr="00AF7B76">
        <w:rPr>
          <w:rFonts w:cs="Arial" w:hint="cs"/>
          <w:sz w:val="16"/>
          <w:szCs w:val="16"/>
          <w:rtl/>
        </w:rPr>
        <w:t>)</w:t>
      </w:r>
      <w:r>
        <w:rPr>
          <w:rFonts w:cs="Arial" w:hint="cs"/>
          <w:rtl/>
        </w:rPr>
        <w:t xml:space="preserve"> </w:t>
      </w:r>
      <w:r w:rsidR="00AB5D19">
        <w:rPr>
          <w:rFonts w:cs="Arial" w:hint="cs"/>
          <w:rtl/>
        </w:rPr>
        <w:t xml:space="preserve">שבה"ל </w:t>
      </w:r>
      <w:r w:rsidR="00AB5D19" w:rsidRPr="00AB5D19">
        <w:rPr>
          <w:rFonts w:cs="Arial"/>
          <w:sz w:val="16"/>
          <w:szCs w:val="16"/>
          <w:rtl/>
        </w:rPr>
        <w:t xml:space="preserve">(סי' קיח) </w:t>
      </w:r>
      <w:r>
        <w:rPr>
          <w:rFonts w:cs="Arial" w:hint="cs"/>
          <w:rtl/>
        </w:rPr>
        <w:t>טור</w:t>
      </w:r>
      <w:r>
        <w:rPr>
          <w:rStyle w:val="a9"/>
          <w:rFonts w:cs="Arial"/>
          <w:rtl/>
        </w:rPr>
        <w:footnoteReference w:id="1883"/>
      </w:r>
      <w:r w:rsidR="00AB5D19" w:rsidRPr="00AB5D19">
        <w:rPr>
          <w:rFonts w:cs="Arial" w:hint="cs"/>
          <w:rtl/>
        </w:rPr>
        <w:t xml:space="preserve"> </w:t>
      </w:r>
      <w:r w:rsidR="00AB5D19">
        <w:rPr>
          <w:rFonts w:cs="Arial" w:hint="cs"/>
          <w:rtl/>
        </w:rPr>
        <w:t>ו</w:t>
      </w:r>
      <w:r w:rsidR="00AB5D19" w:rsidRPr="00AF7B76">
        <w:rPr>
          <w:rFonts w:cs="Arial"/>
          <w:rtl/>
        </w:rPr>
        <w:t xml:space="preserve">ר"ן </w:t>
      </w:r>
      <w:r w:rsidR="00AB5D19" w:rsidRPr="00AF7B76">
        <w:rPr>
          <w:rFonts w:cs="Arial"/>
          <w:sz w:val="16"/>
          <w:szCs w:val="16"/>
          <w:rtl/>
        </w:rPr>
        <w:t xml:space="preserve">(לה: ד"ה </w:t>
      </w:r>
      <w:r w:rsidR="00AB5D19">
        <w:rPr>
          <w:rFonts w:cs="Arial" w:hint="cs"/>
          <w:sz w:val="16"/>
          <w:szCs w:val="16"/>
          <w:rtl/>
        </w:rPr>
        <w:t>גמ'</w:t>
      </w:r>
      <w:r w:rsidR="00AB5D19" w:rsidRPr="00AF7B76">
        <w:rPr>
          <w:rFonts w:cs="Arial"/>
          <w:sz w:val="16"/>
          <w:szCs w:val="16"/>
          <w:rtl/>
        </w:rPr>
        <w:t>)</w:t>
      </w:r>
      <w:r w:rsidRPr="00F04C47">
        <w:rPr>
          <w:rFonts w:cs="Arial" w:hint="cs"/>
          <w:rtl/>
        </w:rPr>
        <w:t xml:space="preserve">- מפני </w:t>
      </w:r>
      <w:r w:rsidRPr="00F04C47">
        <w:rPr>
          <w:rFonts w:cs="Arial"/>
          <w:rtl/>
        </w:rPr>
        <w:t>שהיה מוטל בבזיון, או בדליקה או בחמה</w:t>
      </w:r>
      <w:r w:rsidR="00AB5D19">
        <w:rPr>
          <w:rFonts w:cs="Arial" w:hint="cs"/>
          <w:sz w:val="16"/>
          <w:szCs w:val="16"/>
          <w:rtl/>
        </w:rPr>
        <w:t xml:space="preserve"> (ל' רש"י)</w:t>
      </w:r>
      <w:r w:rsidRPr="00F04C47">
        <w:rPr>
          <w:rFonts w:cs="Arial" w:hint="cs"/>
          <w:rtl/>
        </w:rPr>
        <w:t>.</w:t>
      </w:r>
    </w:p>
    <w:p w14:paraId="2D43E9BB" w14:textId="18DB4787" w:rsidR="00F04C47" w:rsidRDefault="00F04C47" w:rsidP="00434A6A">
      <w:pPr>
        <w:pStyle w:val="aa"/>
        <w:numPr>
          <w:ilvl w:val="0"/>
          <w:numId w:val="15"/>
        </w:numPr>
        <w:rPr>
          <w:rFonts w:cs="Arial"/>
        </w:rPr>
      </w:pPr>
      <w:r>
        <w:rPr>
          <w:rFonts w:cs="Arial" w:hint="cs"/>
          <w:rtl/>
        </w:rPr>
        <w:t xml:space="preserve">רמב"ם </w:t>
      </w:r>
      <w:r>
        <w:rPr>
          <w:rFonts w:cs="Arial" w:hint="cs"/>
          <w:sz w:val="16"/>
          <w:szCs w:val="16"/>
          <w:rtl/>
        </w:rPr>
        <w:t>(פכ"ו הכ"ג)</w:t>
      </w:r>
      <w:r>
        <w:rPr>
          <w:rFonts w:cs="Arial" w:hint="cs"/>
          <w:rtl/>
        </w:rPr>
        <w:t>- מפני ש</w:t>
      </w:r>
      <w:r w:rsidRPr="006E0A8A">
        <w:rPr>
          <w:rFonts w:cs="Arial"/>
          <w:rtl/>
        </w:rPr>
        <w:t>מתבזה בין החיים והם מתבזים ממנו</w:t>
      </w:r>
      <w:r>
        <w:rPr>
          <w:rFonts w:cs="Arial" w:hint="cs"/>
          <w:rtl/>
        </w:rPr>
        <w:t>.</w:t>
      </w:r>
      <w:r w:rsidR="00143C51" w:rsidRPr="00143C51">
        <w:rPr>
          <w:rFonts w:cs="Arial" w:hint="cs"/>
          <w:color w:val="E36C0A" w:themeColor="accent6" w:themeShade="BF"/>
          <w:rtl/>
        </w:rPr>
        <w:t xml:space="preserve"> (וכ"פ בשו"ע)</w:t>
      </w:r>
    </w:p>
    <w:p w14:paraId="0EB93E99" w14:textId="6BF268C8" w:rsidR="00F04C47" w:rsidRDefault="00F04C47" w:rsidP="00434A6A">
      <w:pPr>
        <w:pStyle w:val="aa"/>
        <w:numPr>
          <w:ilvl w:val="0"/>
          <w:numId w:val="15"/>
        </w:numPr>
        <w:rPr>
          <w:rFonts w:cs="Arial"/>
        </w:rPr>
      </w:pPr>
      <w:r w:rsidRPr="0023056F">
        <w:rPr>
          <w:rFonts w:cs="Arial"/>
          <w:rtl/>
        </w:rPr>
        <w:t xml:space="preserve">רבינו ברוך ממגנצא </w:t>
      </w:r>
      <w:r>
        <w:rPr>
          <w:rFonts w:cs="Arial" w:hint="cs"/>
          <w:sz w:val="16"/>
          <w:szCs w:val="16"/>
          <w:rtl/>
        </w:rPr>
        <w:t>(הביאו המרדכי סי' שיג)</w:t>
      </w:r>
      <w:r>
        <w:rPr>
          <w:rFonts w:cs="Arial" w:hint="cs"/>
          <w:rtl/>
        </w:rPr>
        <w:t xml:space="preserve">- </w:t>
      </w:r>
      <w:r w:rsidRPr="0023056F">
        <w:rPr>
          <w:rFonts w:cs="Arial"/>
          <w:rtl/>
        </w:rPr>
        <w:t>משום דליקה התירו</w:t>
      </w:r>
      <w:r>
        <w:rPr>
          <w:rFonts w:cs="Arial" w:hint="cs"/>
          <w:rtl/>
        </w:rPr>
        <w:t>,</w:t>
      </w:r>
      <w:r w:rsidRPr="0023056F">
        <w:rPr>
          <w:rFonts w:cs="Arial"/>
          <w:rtl/>
        </w:rPr>
        <w:t xml:space="preserve"> ולא כפירוש רש"י שהיה מוטל בבזיון</w:t>
      </w:r>
      <w:r>
        <w:rPr>
          <w:rFonts w:cs="Arial" w:hint="cs"/>
          <w:rtl/>
        </w:rPr>
        <w:t>.</w:t>
      </w:r>
    </w:p>
    <w:p w14:paraId="4DAAC461" w14:textId="1ECD761E" w:rsidR="00143C51" w:rsidRPr="00F04C47" w:rsidRDefault="006A0D17" w:rsidP="00434A6A">
      <w:pPr>
        <w:pStyle w:val="aa"/>
        <w:numPr>
          <w:ilvl w:val="0"/>
          <w:numId w:val="15"/>
        </w:numPr>
        <w:rPr>
          <w:rFonts w:cs="Arial"/>
          <w:rtl/>
        </w:rPr>
      </w:pPr>
      <w:r>
        <w:rPr>
          <w:rFonts w:cs="Arial" w:hint="cs"/>
          <w:rtl/>
        </w:rPr>
        <w:t xml:space="preserve">ראבי"ה </w:t>
      </w:r>
      <w:r>
        <w:rPr>
          <w:rFonts w:cs="Arial" w:hint="cs"/>
          <w:sz w:val="16"/>
          <w:szCs w:val="16"/>
          <w:rtl/>
        </w:rPr>
        <w:t xml:space="preserve">(סי' רד) </w:t>
      </w:r>
      <w:r>
        <w:rPr>
          <w:rFonts w:cs="Arial" w:hint="cs"/>
          <w:rtl/>
        </w:rPr>
        <w:t>ו</w:t>
      </w:r>
      <w:r w:rsidR="00143C51" w:rsidRPr="0023056F">
        <w:rPr>
          <w:rFonts w:cs="Arial"/>
          <w:rtl/>
        </w:rPr>
        <w:t xml:space="preserve">מרדכי </w:t>
      </w:r>
      <w:r w:rsidR="00143C51" w:rsidRPr="009D3B22">
        <w:rPr>
          <w:rFonts w:cs="Arial"/>
          <w:sz w:val="16"/>
          <w:szCs w:val="16"/>
          <w:rtl/>
        </w:rPr>
        <w:t xml:space="preserve">(סי' </w:t>
      </w:r>
      <w:r w:rsidR="008806D1">
        <w:rPr>
          <w:rFonts w:cs="Arial" w:hint="cs"/>
          <w:sz w:val="16"/>
          <w:szCs w:val="16"/>
          <w:rtl/>
        </w:rPr>
        <w:t>שיב-</w:t>
      </w:r>
      <w:r w:rsidR="00143C51" w:rsidRPr="009D3B22">
        <w:rPr>
          <w:rFonts w:cs="Arial"/>
          <w:sz w:val="16"/>
          <w:szCs w:val="16"/>
          <w:rtl/>
        </w:rPr>
        <w:t>שיג)</w:t>
      </w:r>
      <w:r w:rsidR="00143C51">
        <w:rPr>
          <w:rFonts w:cs="Arial" w:hint="cs"/>
          <w:rtl/>
        </w:rPr>
        <w:t xml:space="preserve">- </w:t>
      </w:r>
      <w:r w:rsidRPr="006A0D17">
        <w:rPr>
          <w:rFonts w:cs="Arial"/>
          <w:rtl/>
        </w:rPr>
        <w:t>נראה דהוא הדין לביזוי אחר</w:t>
      </w:r>
      <w:r>
        <w:rPr>
          <w:rFonts w:cs="Arial" w:hint="cs"/>
          <w:rtl/>
        </w:rPr>
        <w:t>, וכן קבלתי</w:t>
      </w:r>
      <w:r>
        <w:rPr>
          <w:rFonts w:cs="Arial" w:hint="cs"/>
          <w:sz w:val="16"/>
          <w:szCs w:val="16"/>
          <w:rtl/>
        </w:rPr>
        <w:t xml:space="preserve"> (ל' ראבי"ה)</w:t>
      </w:r>
      <w:r w:rsidR="00143C51">
        <w:rPr>
          <w:rFonts w:cs="Arial" w:hint="cs"/>
          <w:rtl/>
        </w:rPr>
        <w:t xml:space="preserve">. </w:t>
      </w:r>
      <w:r w:rsidR="00143C51" w:rsidRPr="00143C51">
        <w:rPr>
          <w:rFonts w:cs="Arial" w:hint="cs"/>
          <w:color w:val="E36C0A" w:themeColor="accent6" w:themeShade="BF"/>
          <w:rtl/>
        </w:rPr>
        <w:t>(וכ"פ בשו"ע)</w:t>
      </w:r>
    </w:p>
    <w:p w14:paraId="71B6DC42" w14:textId="7475FDBE" w:rsidR="00AF7B76" w:rsidRPr="008259D6" w:rsidRDefault="00AF7B76" w:rsidP="00434A6A">
      <w:pPr>
        <w:ind w:left="360"/>
        <w:rPr>
          <w:rFonts w:cs="Arial"/>
          <w:u w:val="dotted"/>
          <w:rtl/>
        </w:rPr>
      </w:pPr>
      <w:r w:rsidRPr="008259D6">
        <w:rPr>
          <w:rFonts w:cs="Arial" w:hint="cs"/>
          <w:u w:val="dotted"/>
          <w:rtl/>
        </w:rPr>
        <w:t xml:space="preserve">האם צריך </w:t>
      </w:r>
      <w:r w:rsidR="008259D6" w:rsidRPr="008259D6">
        <w:rPr>
          <w:rFonts w:cs="Arial" w:hint="cs"/>
          <w:u w:val="dotted"/>
          <w:rtl/>
        </w:rPr>
        <w:t>ל</w:t>
      </w:r>
      <w:r w:rsidRPr="008259D6">
        <w:rPr>
          <w:rFonts w:cs="Arial" w:hint="cs"/>
          <w:u w:val="dotted"/>
          <w:rtl/>
        </w:rPr>
        <w:t xml:space="preserve">טלטלו ע"י ככר או תינוק: </w:t>
      </w:r>
    </w:p>
    <w:p w14:paraId="5007CD97" w14:textId="49FF9D95" w:rsidR="00AF7B76" w:rsidRDefault="009679F9" w:rsidP="00434A6A">
      <w:pPr>
        <w:pStyle w:val="aa"/>
        <w:numPr>
          <w:ilvl w:val="0"/>
          <w:numId w:val="18"/>
        </w:numPr>
        <w:rPr>
          <w:rFonts w:cs="Arial"/>
        </w:rPr>
      </w:pPr>
      <w:r w:rsidRPr="00AF7B76">
        <w:rPr>
          <w:rFonts w:cs="Arial"/>
          <w:rtl/>
        </w:rPr>
        <w:t xml:space="preserve">רש"י </w:t>
      </w:r>
      <w:r w:rsidR="00FC3CD2" w:rsidRPr="00AF7B76">
        <w:rPr>
          <w:rFonts w:cs="Arial" w:hint="cs"/>
          <w:sz w:val="16"/>
          <w:szCs w:val="16"/>
          <w:rtl/>
        </w:rPr>
        <w:t xml:space="preserve">(צד: ד"ה </w:t>
      </w:r>
      <w:r w:rsidRPr="00AF7B76">
        <w:rPr>
          <w:rFonts w:cs="Arial"/>
          <w:sz w:val="16"/>
          <w:szCs w:val="16"/>
          <w:rtl/>
        </w:rPr>
        <w:t>לאפוקיה לכרמלית</w:t>
      </w:r>
      <w:r w:rsidR="00AF7B76" w:rsidRPr="00AF7B76">
        <w:rPr>
          <w:rFonts w:cs="Arial" w:hint="cs"/>
          <w:sz w:val="16"/>
          <w:szCs w:val="16"/>
          <w:rtl/>
        </w:rPr>
        <w:t>)</w:t>
      </w:r>
      <w:r w:rsidR="00AF7B76" w:rsidRPr="00AF7B76">
        <w:rPr>
          <w:rFonts w:cs="Arial"/>
          <w:rtl/>
        </w:rPr>
        <w:t xml:space="preserve"> </w:t>
      </w:r>
      <w:r w:rsidR="008259D6">
        <w:rPr>
          <w:rFonts w:cs="Arial"/>
          <w:rtl/>
        </w:rPr>
        <w:t xml:space="preserve">רשב"א </w:t>
      </w:r>
      <w:r w:rsidR="008259D6" w:rsidRPr="008259D6">
        <w:rPr>
          <w:rFonts w:cs="Arial"/>
          <w:sz w:val="16"/>
          <w:szCs w:val="16"/>
          <w:rtl/>
        </w:rPr>
        <w:t>(צד: ד"ה מי קאמינא)</w:t>
      </w:r>
      <w:r w:rsidR="008259D6">
        <w:rPr>
          <w:rFonts w:cs="Arial" w:hint="cs"/>
          <w:rtl/>
        </w:rPr>
        <w:t xml:space="preserve"> </w:t>
      </w:r>
      <w:r w:rsidR="009D3B22">
        <w:rPr>
          <w:rFonts w:cs="Arial" w:hint="cs"/>
          <w:rtl/>
        </w:rPr>
        <w:t xml:space="preserve">טור </w:t>
      </w:r>
      <w:r w:rsidR="008259D6">
        <w:rPr>
          <w:rFonts w:cs="Arial" w:hint="cs"/>
          <w:rtl/>
        </w:rPr>
        <w:t>ו</w:t>
      </w:r>
      <w:r w:rsidR="00AF7B76" w:rsidRPr="00AF7B76">
        <w:rPr>
          <w:rFonts w:cs="Arial"/>
          <w:rtl/>
        </w:rPr>
        <w:t xml:space="preserve">ר"ן </w:t>
      </w:r>
      <w:r w:rsidR="00AF7B76" w:rsidRPr="00AF7B76">
        <w:rPr>
          <w:rFonts w:cs="Arial"/>
          <w:sz w:val="16"/>
          <w:szCs w:val="16"/>
          <w:rtl/>
        </w:rPr>
        <w:t>(לה: ד"ה ודאמרינן שרא)</w:t>
      </w:r>
      <w:r w:rsidR="00AF7B76">
        <w:rPr>
          <w:rFonts w:cs="Arial" w:hint="cs"/>
          <w:rtl/>
        </w:rPr>
        <w:t>-</w:t>
      </w:r>
      <w:r w:rsidRPr="00AF7B76">
        <w:rPr>
          <w:rFonts w:cs="Arial"/>
          <w:rtl/>
        </w:rPr>
        <w:t xml:space="preserve"> </w:t>
      </w:r>
      <w:r w:rsidR="00AF7B76" w:rsidRPr="00AF7B76">
        <w:rPr>
          <w:rFonts w:cs="Arial"/>
          <w:rtl/>
        </w:rPr>
        <w:t>דוקא על ידי ככר או תינוק</w:t>
      </w:r>
      <w:r w:rsidR="00AF7B76">
        <w:rPr>
          <w:rFonts w:cs="Arial" w:hint="cs"/>
          <w:rtl/>
        </w:rPr>
        <w:t>,</w:t>
      </w:r>
      <w:r w:rsidR="00AF7B76" w:rsidRPr="00AF7B76">
        <w:rPr>
          <w:rFonts w:cs="Arial"/>
          <w:rtl/>
        </w:rPr>
        <w:t xml:space="preserve"> שאע"פ שאיסור הוצאה הותר מפני כבוד הבריות</w:t>
      </w:r>
      <w:r w:rsidR="00AF7B76">
        <w:rPr>
          <w:rFonts w:cs="Arial" w:hint="cs"/>
          <w:rtl/>
        </w:rPr>
        <w:t>,</w:t>
      </w:r>
      <w:r w:rsidR="00AF7B76" w:rsidRPr="00AF7B76">
        <w:rPr>
          <w:rFonts w:cs="Arial"/>
          <w:rtl/>
        </w:rPr>
        <w:t xml:space="preserve"> איסור טלטול לא הותר</w:t>
      </w:r>
      <w:r w:rsidR="00AF7B76">
        <w:rPr>
          <w:rFonts w:cs="Arial" w:hint="cs"/>
          <w:rtl/>
        </w:rPr>
        <w:t>,</w:t>
      </w:r>
      <w:r w:rsidR="00AF7B76" w:rsidRPr="00AF7B76">
        <w:rPr>
          <w:rFonts w:cs="Arial"/>
          <w:rtl/>
        </w:rPr>
        <w:t xml:space="preserve"> כדאמרינן בפרק במה מדליקין </w:t>
      </w:r>
      <w:r w:rsidR="00AF7B76">
        <w:rPr>
          <w:rFonts w:cs="Arial" w:hint="cs"/>
          <w:rtl/>
        </w:rPr>
        <w:t>(</w:t>
      </w:r>
      <w:r w:rsidR="00AF7B76" w:rsidRPr="00AF7B76">
        <w:rPr>
          <w:rFonts w:cs="Arial"/>
          <w:rtl/>
        </w:rPr>
        <w:t>ל</w:t>
      </w:r>
      <w:r w:rsidR="00AF7B76">
        <w:rPr>
          <w:rFonts w:cs="Arial" w:hint="cs"/>
          <w:rtl/>
        </w:rPr>
        <w:t>:)</w:t>
      </w:r>
      <w:r w:rsidR="00AF7B76">
        <w:rPr>
          <w:rFonts w:cs="Arial" w:hint="cs"/>
        </w:rPr>
        <w:t xml:space="preserve"> </w:t>
      </w:r>
      <w:r w:rsidR="00AF7B76" w:rsidRPr="00AF7B76">
        <w:rPr>
          <w:rFonts w:cs="Arial"/>
          <w:rtl/>
        </w:rPr>
        <w:t>אביך הנח עליו ככר או תינוק וטלטלו</w:t>
      </w:r>
      <w:r w:rsidR="00AF7B76">
        <w:rPr>
          <w:rFonts w:cs="Arial" w:hint="cs"/>
          <w:sz w:val="16"/>
          <w:szCs w:val="16"/>
          <w:rtl/>
        </w:rPr>
        <w:t xml:space="preserve"> (ל' הר"ן)</w:t>
      </w:r>
      <w:r w:rsidR="00AF7B76">
        <w:rPr>
          <w:rStyle w:val="a9"/>
          <w:rFonts w:cs="Arial"/>
          <w:rtl/>
        </w:rPr>
        <w:footnoteReference w:id="1884"/>
      </w:r>
      <w:r w:rsidR="00AF7B76">
        <w:rPr>
          <w:rFonts w:cs="Arial" w:hint="cs"/>
          <w:rtl/>
        </w:rPr>
        <w:t>.</w:t>
      </w:r>
    </w:p>
    <w:p w14:paraId="0A5DF254" w14:textId="0C2738D7" w:rsidR="008259D6" w:rsidRDefault="009679F9" w:rsidP="00434A6A">
      <w:pPr>
        <w:pStyle w:val="aa"/>
        <w:numPr>
          <w:ilvl w:val="0"/>
          <w:numId w:val="18"/>
        </w:numPr>
        <w:rPr>
          <w:rFonts w:cs="Arial"/>
        </w:rPr>
      </w:pPr>
      <w:r w:rsidRPr="00AF7B76">
        <w:rPr>
          <w:rFonts w:cs="Arial"/>
          <w:rtl/>
        </w:rPr>
        <w:t xml:space="preserve">רמב"ן </w:t>
      </w:r>
      <w:r w:rsidRPr="00AF7B76">
        <w:rPr>
          <w:rFonts w:cs="Arial"/>
          <w:sz w:val="16"/>
          <w:szCs w:val="16"/>
          <w:rtl/>
        </w:rPr>
        <w:t>(חי' שם ד"ה שרי ר"נ)</w:t>
      </w:r>
      <w:r w:rsidR="00FC3CD2" w:rsidRPr="00AF7B76">
        <w:rPr>
          <w:rFonts w:cs="Arial" w:hint="cs"/>
          <w:rtl/>
        </w:rPr>
        <w:t xml:space="preserve">- </w:t>
      </w:r>
      <w:r w:rsidR="008259D6" w:rsidRPr="008259D6">
        <w:rPr>
          <w:rFonts w:cs="Arial"/>
          <w:rtl/>
        </w:rPr>
        <w:t>לי נראה שהטלטול הזה כיון דצריך להוציאו לכרמלית</w:t>
      </w:r>
      <w:r w:rsidR="008259D6">
        <w:rPr>
          <w:rFonts w:cs="Arial" w:hint="cs"/>
          <w:rtl/>
        </w:rPr>
        <w:t xml:space="preserve"> -</w:t>
      </w:r>
      <w:r w:rsidR="008259D6" w:rsidRPr="008259D6">
        <w:rPr>
          <w:rFonts w:cs="Arial"/>
          <w:rtl/>
        </w:rPr>
        <w:t xml:space="preserve"> בלא ככר ובלא תינוק מותר</w:t>
      </w:r>
      <w:r w:rsidR="008259D6">
        <w:rPr>
          <w:rFonts w:cs="Arial" w:hint="cs"/>
          <w:rtl/>
        </w:rPr>
        <w:t>,</w:t>
      </w:r>
      <w:r w:rsidR="008259D6" w:rsidRPr="008259D6">
        <w:rPr>
          <w:rFonts w:cs="Arial"/>
          <w:rtl/>
        </w:rPr>
        <w:t xml:space="preserve"> שלא יהא מוסיף בהוצאה שלו, שאם המת הותר בהוצאה משום כבודו, הככר והתינוק היאך הותרו להוציאן</w:t>
      </w:r>
      <w:r w:rsidR="008259D6">
        <w:rPr>
          <w:rFonts w:cs="Arial" w:hint="cs"/>
          <w:rtl/>
        </w:rPr>
        <w:t>.</w:t>
      </w:r>
      <w:r w:rsidR="008259D6" w:rsidRPr="008259D6">
        <w:rPr>
          <w:rFonts w:cs="Arial"/>
          <w:rtl/>
        </w:rPr>
        <w:t xml:space="preserve"> אבל במטלטלו ברה"י מחמה לצל הוא שהצריכו ככר או תינוק</w:t>
      </w:r>
      <w:r w:rsidR="008259D6">
        <w:rPr>
          <w:rFonts w:cs="Arial" w:hint="cs"/>
          <w:rtl/>
        </w:rPr>
        <w:t>,</w:t>
      </w:r>
      <w:r w:rsidR="008259D6" w:rsidRPr="008259D6">
        <w:rPr>
          <w:rFonts w:cs="Arial"/>
          <w:rtl/>
        </w:rPr>
        <w:t xml:space="preserve"> משום דאפשר לסלק מכאן איסור הטלטול</w:t>
      </w:r>
      <w:r w:rsidR="008259D6">
        <w:rPr>
          <w:rStyle w:val="a9"/>
          <w:rFonts w:cs="Arial"/>
          <w:rtl/>
        </w:rPr>
        <w:footnoteReference w:id="1885"/>
      </w:r>
      <w:r w:rsidR="008259D6">
        <w:rPr>
          <w:rFonts w:cs="Arial" w:hint="cs"/>
          <w:rtl/>
        </w:rPr>
        <w:t>.</w:t>
      </w:r>
      <w:r w:rsidR="008259D6" w:rsidRPr="008259D6">
        <w:rPr>
          <w:rFonts w:cs="Arial"/>
          <w:rtl/>
        </w:rPr>
        <w:t xml:space="preserve"> </w:t>
      </w:r>
      <w:r w:rsidR="00143C51" w:rsidRPr="00143C51">
        <w:rPr>
          <w:rFonts w:cs="Arial" w:hint="cs"/>
          <w:color w:val="E36C0A" w:themeColor="accent6" w:themeShade="BF"/>
          <w:rtl/>
        </w:rPr>
        <w:t>(וכ"פ בשו"ע)</w:t>
      </w:r>
    </w:p>
    <w:p w14:paraId="427CFF3F" w14:textId="393BE96F" w:rsidR="008259D6" w:rsidRPr="008259D6" w:rsidRDefault="008259D6" w:rsidP="00434A6A">
      <w:pPr>
        <w:ind w:left="360"/>
        <w:rPr>
          <w:rFonts w:cs="Arial"/>
          <w:u w:val="dotted"/>
        </w:rPr>
      </w:pPr>
      <w:r w:rsidRPr="008259D6">
        <w:rPr>
          <w:rFonts w:cs="Arial" w:hint="cs"/>
          <w:u w:val="dotted"/>
          <w:rtl/>
        </w:rPr>
        <w:t>האם מדובר שהמת כבר הסריח:</w:t>
      </w:r>
    </w:p>
    <w:p w14:paraId="1374A0C8" w14:textId="4B29ED69" w:rsidR="00CD2B87" w:rsidRDefault="00CD2B87" w:rsidP="00434A6A">
      <w:pPr>
        <w:pStyle w:val="aa"/>
        <w:numPr>
          <w:ilvl w:val="0"/>
          <w:numId w:val="18"/>
        </w:numPr>
        <w:rPr>
          <w:rFonts w:cs="Arial"/>
        </w:rPr>
      </w:pPr>
      <w:r w:rsidRPr="008259D6">
        <w:rPr>
          <w:rFonts w:cs="Arial"/>
          <w:rtl/>
        </w:rPr>
        <w:t>רש"י</w:t>
      </w:r>
      <w:r w:rsidRPr="00CD2B87">
        <w:rPr>
          <w:rFonts w:cs="Arial"/>
          <w:sz w:val="16"/>
          <w:szCs w:val="16"/>
          <w:rtl/>
        </w:rPr>
        <w:t xml:space="preserve"> (מג: ד"ה מת המוטל)</w:t>
      </w:r>
      <w:r w:rsidRPr="00CD2B87">
        <w:rPr>
          <w:rFonts w:cs="Arial" w:hint="cs"/>
          <w:sz w:val="16"/>
          <w:szCs w:val="16"/>
          <w:rtl/>
        </w:rPr>
        <w:t xml:space="preserve"> </w:t>
      </w:r>
      <w:r>
        <w:rPr>
          <w:rFonts w:cs="Arial" w:hint="cs"/>
          <w:rtl/>
        </w:rPr>
        <w:t>טור</w:t>
      </w:r>
      <w:r>
        <w:rPr>
          <w:rFonts w:cs="Arial" w:hint="cs"/>
          <w:sz w:val="16"/>
          <w:szCs w:val="16"/>
          <w:rtl/>
        </w:rPr>
        <w:t xml:space="preserve"> (כ"כ הב"י בשמו)</w:t>
      </w:r>
      <w:r w:rsidRPr="00CD2B87">
        <w:rPr>
          <w:rFonts w:cs="Arial"/>
          <w:rtl/>
        </w:rPr>
        <w:t xml:space="preserve"> </w:t>
      </w:r>
      <w:r w:rsidRPr="008259D6">
        <w:rPr>
          <w:rFonts w:cs="Arial"/>
          <w:rtl/>
        </w:rPr>
        <w:t xml:space="preserve">ור"ן </w:t>
      </w:r>
      <w:r w:rsidRPr="00CD2B87">
        <w:rPr>
          <w:rFonts w:cs="Arial"/>
          <w:sz w:val="16"/>
          <w:szCs w:val="16"/>
          <w:rtl/>
        </w:rPr>
        <w:t>(כ: ד"ה איתמר)</w:t>
      </w:r>
      <w:r>
        <w:rPr>
          <w:rFonts w:cs="Arial" w:hint="cs"/>
          <w:rtl/>
        </w:rPr>
        <w:t xml:space="preserve">- </w:t>
      </w:r>
      <w:r w:rsidR="009679F9" w:rsidRPr="008259D6">
        <w:rPr>
          <w:rFonts w:cs="Arial"/>
          <w:rtl/>
        </w:rPr>
        <w:t>אע</w:t>
      </w:r>
      <w:r>
        <w:rPr>
          <w:rFonts w:cs="Arial" w:hint="cs"/>
          <w:rtl/>
        </w:rPr>
        <w:t>"</w:t>
      </w:r>
      <w:r w:rsidR="009679F9" w:rsidRPr="008259D6">
        <w:rPr>
          <w:rFonts w:cs="Arial"/>
          <w:rtl/>
        </w:rPr>
        <w:t>פ שלא הסריח עדיין</w:t>
      </w:r>
      <w:r w:rsidR="008259D6" w:rsidRPr="008259D6">
        <w:rPr>
          <w:rFonts w:cs="Arial" w:hint="cs"/>
          <w:rtl/>
        </w:rPr>
        <w:t>,</w:t>
      </w:r>
      <w:r w:rsidR="009679F9" w:rsidRPr="008259D6">
        <w:rPr>
          <w:rFonts w:cs="Arial"/>
          <w:rtl/>
        </w:rPr>
        <w:t xml:space="preserve"> מכיון שסופו להסריח על ידי שמוטל בחמה שרי לאפוקיה לכרמלית כדי שלא יסריח ויתבזה</w:t>
      </w:r>
      <w:r>
        <w:rPr>
          <w:rStyle w:val="a9"/>
          <w:rFonts w:cs="Arial"/>
          <w:rtl/>
        </w:rPr>
        <w:footnoteReference w:id="1886"/>
      </w:r>
      <w:r>
        <w:rPr>
          <w:rFonts w:cs="Arial" w:hint="cs"/>
          <w:sz w:val="16"/>
          <w:szCs w:val="16"/>
          <w:rtl/>
        </w:rPr>
        <w:t xml:space="preserve"> (ל' הב"י בשם הטור)</w:t>
      </w:r>
      <w:r w:rsidR="008259D6" w:rsidRPr="008259D6">
        <w:rPr>
          <w:rFonts w:cs="Arial" w:hint="cs"/>
          <w:rtl/>
        </w:rPr>
        <w:t>.</w:t>
      </w:r>
      <w:r w:rsidR="009679F9" w:rsidRPr="008259D6">
        <w:rPr>
          <w:rFonts w:cs="Arial"/>
          <w:rtl/>
        </w:rPr>
        <w:t xml:space="preserve"> </w:t>
      </w:r>
      <w:r w:rsidR="00EE6FF4" w:rsidRPr="00EE6FF4">
        <w:rPr>
          <w:rFonts w:hint="cs"/>
          <w:color w:val="00B0F0"/>
          <w:rtl/>
        </w:rPr>
        <w:t>(וכ"</w:t>
      </w:r>
      <w:r w:rsidR="00EE6FF4">
        <w:rPr>
          <w:rFonts w:hint="cs"/>
          <w:color w:val="00B0F0"/>
          <w:rtl/>
        </w:rPr>
        <w:t>כ</w:t>
      </w:r>
      <w:r w:rsidR="00EE6FF4" w:rsidRPr="00EE6FF4">
        <w:rPr>
          <w:rFonts w:hint="cs"/>
          <w:color w:val="00B0F0"/>
          <w:rtl/>
        </w:rPr>
        <w:t xml:space="preserve"> הרמ"א)</w:t>
      </w:r>
    </w:p>
    <w:p w14:paraId="085BC1EF" w14:textId="78443E46" w:rsidR="00143C51" w:rsidRDefault="00CD2B87" w:rsidP="00434A6A">
      <w:pPr>
        <w:pStyle w:val="aa"/>
        <w:numPr>
          <w:ilvl w:val="0"/>
          <w:numId w:val="18"/>
        </w:numPr>
      </w:pPr>
      <w:r>
        <w:rPr>
          <w:rFonts w:cs="Arial" w:hint="cs"/>
          <w:rtl/>
        </w:rPr>
        <w:t xml:space="preserve">רמב"ם </w:t>
      </w:r>
      <w:r>
        <w:rPr>
          <w:rFonts w:cs="Arial" w:hint="cs"/>
          <w:sz w:val="16"/>
          <w:szCs w:val="16"/>
          <w:rtl/>
        </w:rPr>
        <w:t>(פכ"ו הכ"ג)</w:t>
      </w:r>
      <w:r>
        <w:rPr>
          <w:rFonts w:cs="Arial" w:hint="cs"/>
          <w:rtl/>
        </w:rPr>
        <w:t xml:space="preserve">- </w:t>
      </w:r>
      <w:r w:rsidRPr="006E0A8A">
        <w:rPr>
          <w:rFonts w:cs="Arial"/>
          <w:rtl/>
        </w:rPr>
        <w:t>מת שהסריח</w:t>
      </w:r>
      <w:r w:rsidR="00143C51">
        <w:rPr>
          <w:rStyle w:val="a9"/>
          <w:rFonts w:cs="Arial"/>
          <w:rtl/>
        </w:rPr>
        <w:footnoteReference w:id="1887"/>
      </w:r>
      <w:r w:rsidRPr="006E0A8A">
        <w:rPr>
          <w:rFonts w:cs="Arial"/>
          <w:rtl/>
        </w:rPr>
        <w:t xml:space="preserve"> בבית ונמצא מתבזה בין החיים והם מתבזים ממנו מותר להוציאו לכרמלית, גדול כבוד הבריות שדוחה את לא תעשה שבתורה שהוא </w:t>
      </w:r>
      <w:r>
        <w:rPr>
          <w:rFonts w:cs="Arial" w:hint="cs"/>
          <w:rtl/>
        </w:rPr>
        <w:t>(</w:t>
      </w:r>
      <w:r w:rsidRPr="006E0A8A">
        <w:rPr>
          <w:rFonts w:cs="Arial"/>
          <w:rtl/>
        </w:rPr>
        <w:t>דברים יז</w:t>
      </w:r>
      <w:r>
        <w:rPr>
          <w:rFonts w:cs="Arial" w:hint="cs"/>
          <w:rtl/>
        </w:rPr>
        <w:t>)</w:t>
      </w:r>
      <w:r w:rsidRPr="006E0A8A">
        <w:rPr>
          <w:rFonts w:cs="Arial"/>
          <w:rtl/>
        </w:rPr>
        <w:t xml:space="preserve"> לא תסור מן הדבר אשר יגידו לך ימין ושמאל</w:t>
      </w:r>
      <w:r>
        <w:rPr>
          <w:rFonts w:cs="Arial" w:hint="cs"/>
          <w:rtl/>
        </w:rPr>
        <w:t>.</w:t>
      </w:r>
      <w:r w:rsidRPr="006E0A8A">
        <w:rPr>
          <w:rFonts w:cs="Arial"/>
          <w:rtl/>
        </w:rPr>
        <w:t xml:space="preserve"> </w:t>
      </w:r>
      <w:r w:rsidR="00143C51" w:rsidRPr="00143C51">
        <w:rPr>
          <w:rFonts w:cs="Arial" w:hint="cs"/>
          <w:color w:val="E36C0A" w:themeColor="accent6" w:themeShade="BF"/>
          <w:rtl/>
        </w:rPr>
        <w:t>(וכ"פ בשו"ע)</w:t>
      </w:r>
    </w:p>
    <w:p w14:paraId="4C29721B" w14:textId="59187833" w:rsidR="00143C51" w:rsidRPr="00143C51" w:rsidRDefault="00143C51" w:rsidP="00434A6A">
      <w:pPr>
        <w:ind w:left="360"/>
        <w:rPr>
          <w:u w:val="dotted"/>
        </w:rPr>
      </w:pPr>
      <w:r w:rsidRPr="00143C51">
        <w:rPr>
          <w:rFonts w:hint="cs"/>
          <w:u w:val="dotted"/>
          <w:rtl/>
        </w:rPr>
        <w:t xml:space="preserve">ומה הדין היה להם מקום אחר להיות בו </w:t>
      </w:r>
      <w:r w:rsidRPr="00143C51">
        <w:rPr>
          <w:u w:val="dotted"/>
          <w:rtl/>
        </w:rPr>
        <w:t>–</w:t>
      </w:r>
      <w:r w:rsidRPr="00143C51">
        <w:rPr>
          <w:rFonts w:hint="cs"/>
          <w:u w:val="dotted"/>
          <w:rtl/>
        </w:rPr>
        <w:t xml:space="preserve"> האם עדיין מותר להוציאו:</w:t>
      </w:r>
    </w:p>
    <w:p w14:paraId="3623F639" w14:textId="783083FB" w:rsidR="009D3B22" w:rsidRPr="009D3B22" w:rsidRDefault="00143C51" w:rsidP="00434A6A">
      <w:pPr>
        <w:pStyle w:val="aa"/>
        <w:numPr>
          <w:ilvl w:val="0"/>
          <w:numId w:val="18"/>
        </w:numPr>
      </w:pPr>
      <w:r>
        <w:rPr>
          <w:rFonts w:cs="Arial" w:hint="cs"/>
          <w:rtl/>
        </w:rPr>
        <w:t xml:space="preserve">רמב"ם </w:t>
      </w:r>
      <w:r>
        <w:rPr>
          <w:rFonts w:cs="Arial" w:hint="cs"/>
          <w:sz w:val="16"/>
          <w:szCs w:val="16"/>
          <w:rtl/>
        </w:rPr>
        <w:t>(פכ"ו הכ"ג)</w:t>
      </w:r>
      <w:r>
        <w:rPr>
          <w:rFonts w:cs="Arial" w:hint="cs"/>
          <w:rtl/>
        </w:rPr>
        <w:t xml:space="preserve">- </w:t>
      </w:r>
      <w:r w:rsidR="00CD2B87" w:rsidRPr="006E0A8A">
        <w:rPr>
          <w:rFonts w:cs="Arial"/>
          <w:rtl/>
        </w:rPr>
        <w:t xml:space="preserve">ואם היה להן מקום אחר לצאת בו </w:t>
      </w:r>
      <w:r w:rsidR="00CD2B87">
        <w:rPr>
          <w:rFonts w:cs="Arial" w:hint="cs"/>
          <w:rtl/>
        </w:rPr>
        <w:t xml:space="preserve">- </w:t>
      </w:r>
      <w:r w:rsidR="00CD2B87" w:rsidRPr="006E0A8A">
        <w:rPr>
          <w:rFonts w:cs="Arial"/>
          <w:rtl/>
        </w:rPr>
        <w:t>אין מוציאין אותו אלא מניחין אותו במקומו ויוצאין הם.</w:t>
      </w:r>
      <w:r>
        <w:rPr>
          <w:rFonts w:cs="Arial" w:hint="cs"/>
          <w:color w:val="E36C0A" w:themeColor="accent6" w:themeShade="BF"/>
          <w:rtl/>
        </w:rPr>
        <w:t xml:space="preserve"> </w:t>
      </w:r>
      <w:r w:rsidRPr="00143C51">
        <w:rPr>
          <w:rFonts w:cs="Arial" w:hint="cs"/>
          <w:color w:val="E36C0A" w:themeColor="accent6" w:themeShade="BF"/>
          <w:rtl/>
        </w:rPr>
        <w:t>(וכ"פ בשו"ע)</w:t>
      </w:r>
    </w:p>
    <w:p w14:paraId="43AA2684" w14:textId="77777777" w:rsidR="006A0D17" w:rsidRPr="006A0D17" w:rsidRDefault="006A0D17" w:rsidP="00434A6A">
      <w:pPr>
        <w:ind w:left="360"/>
        <w:rPr>
          <w:rFonts w:cs="Arial"/>
          <w:u w:val="dotted"/>
          <w:rtl/>
        </w:rPr>
      </w:pPr>
      <w:r w:rsidRPr="006A0D17">
        <w:rPr>
          <w:rFonts w:cs="Arial" w:hint="cs"/>
          <w:u w:val="dotted"/>
          <w:rtl/>
        </w:rPr>
        <w:t>ומה הדין אם המת על מטה ורוצים להניחו על הארץ:</w:t>
      </w:r>
    </w:p>
    <w:p w14:paraId="71947F13" w14:textId="77777777" w:rsidR="006A0D17" w:rsidRDefault="006A0D17" w:rsidP="00434A6A">
      <w:pPr>
        <w:pStyle w:val="aa"/>
        <w:numPr>
          <w:ilvl w:val="0"/>
          <w:numId w:val="15"/>
        </w:numPr>
      </w:pPr>
      <w:r>
        <w:rPr>
          <w:rFonts w:cs="Arial" w:hint="cs"/>
          <w:rtl/>
        </w:rPr>
        <w:t xml:space="preserve">הגה"מ </w:t>
      </w:r>
      <w:r w:rsidRPr="009D3B22">
        <w:rPr>
          <w:rFonts w:cs="Arial" w:hint="cs"/>
          <w:sz w:val="16"/>
          <w:szCs w:val="16"/>
          <w:rtl/>
        </w:rPr>
        <w:t>(</w:t>
      </w:r>
      <w:r>
        <w:rPr>
          <w:rFonts w:cs="Arial" w:hint="cs"/>
          <w:sz w:val="16"/>
          <w:szCs w:val="16"/>
          <w:rtl/>
        </w:rPr>
        <w:t>פכ"ו אות כ</w:t>
      </w:r>
      <w:r w:rsidRPr="009D3B22">
        <w:rPr>
          <w:rFonts w:cs="Arial"/>
          <w:sz w:val="16"/>
          <w:szCs w:val="16"/>
          <w:rtl/>
        </w:rPr>
        <w:t>)</w:t>
      </w:r>
      <w:r>
        <w:rPr>
          <w:rFonts w:cs="Arial" w:hint="cs"/>
          <w:rtl/>
        </w:rPr>
        <w:t xml:space="preserve"> בשם מהר"ם-</w:t>
      </w:r>
      <w:r w:rsidRPr="0023056F">
        <w:rPr>
          <w:rFonts w:cs="Arial"/>
          <w:rtl/>
        </w:rPr>
        <w:t xml:space="preserve"> </w:t>
      </w:r>
      <w:r w:rsidRPr="001003D2">
        <w:rPr>
          <w:rFonts w:cs="Arial"/>
          <w:rtl/>
        </w:rPr>
        <w:t>לאו דוקא בחמה אלא הוא הדין על כרים וכסתות שלא יסריח</w:t>
      </w:r>
      <w:r>
        <w:rPr>
          <w:rStyle w:val="a9"/>
          <w:rFonts w:cs="Arial"/>
          <w:rtl/>
        </w:rPr>
        <w:footnoteReference w:id="1888"/>
      </w:r>
      <w:r>
        <w:rPr>
          <w:rFonts w:cs="Arial" w:hint="cs"/>
          <w:rtl/>
        </w:rPr>
        <w:t>.</w:t>
      </w:r>
    </w:p>
    <w:p w14:paraId="68DBF609" w14:textId="77777777" w:rsidR="006A0D17" w:rsidRPr="0023056F" w:rsidRDefault="006A0D17" w:rsidP="00434A6A">
      <w:pPr>
        <w:pStyle w:val="aa"/>
        <w:numPr>
          <w:ilvl w:val="0"/>
          <w:numId w:val="15"/>
        </w:numPr>
      </w:pPr>
      <w:r>
        <w:rPr>
          <w:rFonts w:hint="cs"/>
          <w:rtl/>
        </w:rPr>
        <w:t>כל בו</w:t>
      </w:r>
      <w:r>
        <w:rPr>
          <w:rFonts w:hint="cs"/>
          <w:sz w:val="16"/>
          <w:szCs w:val="16"/>
          <w:rtl/>
        </w:rPr>
        <w:t xml:space="preserve"> (סי' נח)</w:t>
      </w:r>
      <w:r>
        <w:rPr>
          <w:rFonts w:hint="cs"/>
          <w:rtl/>
        </w:rPr>
        <w:t xml:space="preserve">- </w:t>
      </w:r>
      <w:r w:rsidRPr="001003D2">
        <w:rPr>
          <w:rFonts w:cs="Arial"/>
          <w:rtl/>
        </w:rPr>
        <w:t>אחר יציאת נשמה מטלטלין אותו מן המטה לארץ על ידי ככר או תינוק משום דהוי כמחמה לצל</w:t>
      </w:r>
      <w:r>
        <w:rPr>
          <w:rFonts w:cs="Arial" w:hint="cs"/>
          <w:rtl/>
        </w:rPr>
        <w:t>.</w:t>
      </w:r>
    </w:p>
    <w:p w14:paraId="796B8F83" w14:textId="5837972B" w:rsidR="009D3B22" w:rsidRPr="0023056F" w:rsidRDefault="00EE6FF4" w:rsidP="00434A6A">
      <w:pPr>
        <w:rPr>
          <w:u w:val="dotted"/>
        </w:rPr>
      </w:pPr>
      <w:r w:rsidRPr="00EE6FF4">
        <w:rPr>
          <w:rFonts w:hint="cs"/>
          <w:u w:val="single"/>
          <w:rtl/>
        </w:rPr>
        <w:t>אמירה לגוי לטלטל את המת:</w:t>
      </w:r>
    </w:p>
    <w:p w14:paraId="40E0A00A" w14:textId="74AA39D5" w:rsidR="006A10E3" w:rsidRPr="00275706" w:rsidRDefault="009D3B22" w:rsidP="00434A6A">
      <w:pPr>
        <w:pStyle w:val="aa"/>
        <w:numPr>
          <w:ilvl w:val="0"/>
          <w:numId w:val="15"/>
        </w:numPr>
      </w:pPr>
      <w:r w:rsidRPr="0023056F">
        <w:rPr>
          <w:rFonts w:cs="Arial"/>
          <w:rtl/>
        </w:rPr>
        <w:t xml:space="preserve">מרדכי </w:t>
      </w:r>
      <w:r w:rsidRPr="009D3B22">
        <w:rPr>
          <w:rFonts w:cs="Arial"/>
          <w:sz w:val="16"/>
          <w:szCs w:val="16"/>
          <w:rtl/>
        </w:rPr>
        <w:t>(סי' שיג)</w:t>
      </w:r>
      <w:r>
        <w:rPr>
          <w:rFonts w:cs="Arial" w:hint="cs"/>
          <w:rtl/>
        </w:rPr>
        <w:t xml:space="preserve">- </w:t>
      </w:r>
      <w:r w:rsidR="006A0D17" w:rsidRPr="008806D1">
        <w:rPr>
          <w:rFonts w:cs="Arial"/>
          <w:rtl/>
        </w:rPr>
        <w:t>מעשה היה בימי רבינו אליעזר ממיץ שהביאו מת מחוץ לתחום בשבת בספינה והיה המקום צר לבא אליו וגם הנכרים היו מתאספים שם עד שהיה המת מוטל בבזיון קצת ובא הדבר לפני הגדולים וצוה ה"ר אליעזר להוציא המת מן הספינה ולהביאו ע"י נכרי בבית קרוביו ביום השבת מפני כבודו</w:t>
      </w:r>
      <w:r w:rsidR="00D628CC">
        <w:rPr>
          <w:rFonts w:cs="Arial" w:hint="cs"/>
          <w:rtl/>
        </w:rPr>
        <w:t xml:space="preserve">, </w:t>
      </w:r>
      <w:r w:rsidRPr="00D628CC">
        <w:rPr>
          <w:rFonts w:cs="Arial"/>
          <w:rtl/>
        </w:rPr>
        <w:t>וראיה מההוא שכבא דהמצניע דשרא רב נחמן להוציאו לכרמלית על ידי ישראל</w:t>
      </w:r>
      <w:r w:rsidR="002C21C5" w:rsidRPr="00D628CC">
        <w:rPr>
          <w:rFonts w:cs="Arial" w:hint="cs"/>
          <w:rtl/>
        </w:rPr>
        <w:t>.</w:t>
      </w:r>
      <w:r w:rsidRPr="00D628CC">
        <w:rPr>
          <w:rFonts w:cs="Arial"/>
          <w:rtl/>
        </w:rPr>
        <w:t xml:space="preserve"> ואם התירו שבות דאית בו מעשה</w:t>
      </w:r>
      <w:r w:rsidR="002C21C5" w:rsidRPr="00D628CC">
        <w:rPr>
          <w:rFonts w:cs="Arial" w:hint="cs"/>
          <w:rtl/>
        </w:rPr>
        <w:t>,</w:t>
      </w:r>
      <w:r w:rsidRPr="00D628CC">
        <w:rPr>
          <w:rFonts w:cs="Arial"/>
          <w:rtl/>
        </w:rPr>
        <w:t xml:space="preserve"> כלומר שישראל עצמו עושה</w:t>
      </w:r>
      <w:r w:rsidR="002C21C5" w:rsidRPr="00D628CC">
        <w:rPr>
          <w:rFonts w:cs="Arial" w:hint="cs"/>
          <w:rtl/>
        </w:rPr>
        <w:t>,</w:t>
      </w:r>
      <w:r w:rsidRPr="00D628CC">
        <w:rPr>
          <w:rFonts w:cs="Arial"/>
          <w:rtl/>
        </w:rPr>
        <w:t xml:space="preserve"> קל וחומר באמירה לגוי שבות</w:t>
      </w:r>
      <w:r w:rsidR="002C21C5" w:rsidRPr="00D628CC">
        <w:rPr>
          <w:rFonts w:cs="Arial" w:hint="cs"/>
          <w:rtl/>
        </w:rPr>
        <w:t>.</w:t>
      </w:r>
      <w:r w:rsidRPr="00D628CC">
        <w:rPr>
          <w:rFonts w:cs="Arial"/>
          <w:rtl/>
        </w:rPr>
        <w:t xml:space="preserve"> ודן לפניו רבינו ברוך ממגנצא עד שאתה מדמהו לעובדא דהמצניע תדמהו לההוא דפרק כירה (מג:) דאיתמר מת המוטל בחמה וכו'</w:t>
      </w:r>
      <w:r w:rsidR="002C21C5" w:rsidRPr="00D628CC">
        <w:rPr>
          <w:rFonts w:cs="Arial" w:hint="cs"/>
          <w:rtl/>
        </w:rPr>
        <w:t>,</w:t>
      </w:r>
      <w:r w:rsidRPr="00D628CC">
        <w:rPr>
          <w:rFonts w:cs="Arial"/>
          <w:rtl/>
        </w:rPr>
        <w:t xml:space="preserve"> ומשמע התם דטלטול מן הצד שמיה טלטול</w:t>
      </w:r>
      <w:r w:rsidR="002C21C5" w:rsidRPr="00D628CC">
        <w:rPr>
          <w:rFonts w:cs="Arial" w:hint="cs"/>
          <w:rtl/>
        </w:rPr>
        <w:t>,</w:t>
      </w:r>
      <w:r w:rsidRPr="00D628CC">
        <w:rPr>
          <w:rFonts w:cs="Arial"/>
          <w:rtl/>
        </w:rPr>
        <w:t xml:space="preserve"> ולדברי הכל אסור לטלטלו מחמה לצל</w:t>
      </w:r>
      <w:r w:rsidR="002C21C5" w:rsidRPr="00D628CC">
        <w:rPr>
          <w:rFonts w:cs="Arial" w:hint="cs"/>
          <w:rtl/>
        </w:rPr>
        <w:t>,</w:t>
      </w:r>
      <w:r w:rsidRPr="00D628CC">
        <w:rPr>
          <w:rFonts w:cs="Arial"/>
          <w:rtl/>
        </w:rPr>
        <w:t xml:space="preserve"> הילכך נראה לפרש דההיא דהמצניע דוקא משום דליקה התירו ולא כפירוש רש"י שהיה מוטל בבזיון</w:t>
      </w:r>
      <w:r w:rsidR="002C21C5" w:rsidRPr="00D628CC">
        <w:rPr>
          <w:rFonts w:cs="Arial" w:hint="cs"/>
          <w:rtl/>
        </w:rPr>
        <w:t>.</w:t>
      </w:r>
      <w:r w:rsidRPr="00D628CC">
        <w:rPr>
          <w:rFonts w:cs="Arial"/>
          <w:rtl/>
        </w:rPr>
        <w:t xml:space="preserve"> ועוד הקשה לו מדאמרינן בפרק קמא דיום טוב (ו.) מת ביום טוב ראשון יתעסקו בו עממין מאי איריא ביום טוב אפילו בשבת נמי</w:t>
      </w:r>
      <w:r w:rsidR="00CF468D" w:rsidRPr="00D628CC">
        <w:rPr>
          <w:rFonts w:cs="Arial" w:hint="cs"/>
          <w:rtl/>
        </w:rPr>
        <w:t>.</w:t>
      </w:r>
      <w:r w:rsidRPr="00D628CC">
        <w:rPr>
          <w:rFonts w:cs="Arial"/>
          <w:rtl/>
        </w:rPr>
        <w:t xml:space="preserve"> והשיב רבי אליעזר ממיץ אין הכי נמי ומשום דבעי למימר ביום טוב שני יתעסקו בו ישראל משום הכי נקט ביום טוב ראשון</w:t>
      </w:r>
      <w:r w:rsidR="00CF468D" w:rsidRPr="00D628CC">
        <w:rPr>
          <w:rFonts w:cs="Arial" w:hint="cs"/>
          <w:rtl/>
        </w:rPr>
        <w:t>.</w:t>
      </w:r>
      <w:r w:rsidRPr="00D628CC">
        <w:rPr>
          <w:rFonts w:cs="Arial"/>
          <w:rtl/>
        </w:rPr>
        <w:t xml:space="preserve"> אכן רבינו ברוך הקשה דאם כן יום הכפורים שחל להיות סמוך לשבת אמאי מעברינן משום מתיא (ר"ה כ.) הא איכא תקנתא על ידי עממין</w:t>
      </w:r>
      <w:r w:rsidR="00275706">
        <w:rPr>
          <w:rStyle w:val="a9"/>
          <w:rFonts w:cs="Arial"/>
          <w:rtl/>
        </w:rPr>
        <w:footnoteReference w:id="1889"/>
      </w:r>
      <w:r w:rsidR="00CF468D" w:rsidRPr="00D628CC">
        <w:rPr>
          <w:rFonts w:cs="Arial" w:hint="cs"/>
          <w:rtl/>
        </w:rPr>
        <w:t>.</w:t>
      </w:r>
    </w:p>
    <w:p w14:paraId="417992A5" w14:textId="18A3FF29" w:rsidR="00275706" w:rsidRPr="006A10E3" w:rsidRDefault="00275706" w:rsidP="00434A6A">
      <w:pPr>
        <w:pStyle w:val="aa"/>
        <w:numPr>
          <w:ilvl w:val="0"/>
          <w:numId w:val="15"/>
        </w:numPr>
      </w:pPr>
      <w:r w:rsidRPr="0023056F">
        <w:rPr>
          <w:rFonts w:cs="Arial"/>
          <w:rtl/>
        </w:rPr>
        <w:t>שבה</w:t>
      </w:r>
      <w:r>
        <w:rPr>
          <w:rFonts w:cs="Arial" w:hint="cs"/>
          <w:rtl/>
        </w:rPr>
        <w:t>"</w:t>
      </w:r>
      <w:r w:rsidRPr="0023056F">
        <w:rPr>
          <w:rFonts w:cs="Arial"/>
          <w:rtl/>
        </w:rPr>
        <w:t xml:space="preserve">ל </w:t>
      </w:r>
      <w:r w:rsidRPr="00AB5D19">
        <w:rPr>
          <w:rFonts w:cs="Arial"/>
          <w:sz w:val="16"/>
          <w:szCs w:val="16"/>
          <w:rtl/>
        </w:rPr>
        <w:t>(סי' קיח)</w:t>
      </w:r>
      <w:r>
        <w:rPr>
          <w:rFonts w:cs="Arial" w:hint="cs"/>
          <w:rtl/>
        </w:rPr>
        <w:t xml:space="preserve">- </w:t>
      </w:r>
      <w:r w:rsidRPr="0023056F">
        <w:rPr>
          <w:rFonts w:cs="Arial"/>
          <w:rtl/>
        </w:rPr>
        <w:t xml:space="preserve">מסתברא דאם היה המת מוטל בבזיון ברשות הרבים או במקום מפולת </w:t>
      </w:r>
      <w:r>
        <w:rPr>
          <w:rFonts w:cs="Arial" w:hint="cs"/>
          <w:rtl/>
        </w:rPr>
        <w:t xml:space="preserve">- </w:t>
      </w:r>
      <w:r w:rsidRPr="0023056F">
        <w:rPr>
          <w:rFonts w:cs="Arial"/>
          <w:rtl/>
        </w:rPr>
        <w:t>מותר להוליכו על ידי גוים</w:t>
      </w:r>
      <w:r>
        <w:rPr>
          <w:rFonts w:cs="Arial" w:hint="cs"/>
          <w:rtl/>
        </w:rPr>
        <w:t>.</w:t>
      </w:r>
      <w:r w:rsidRPr="0023056F">
        <w:rPr>
          <w:rFonts w:cs="Arial"/>
          <w:rtl/>
        </w:rPr>
        <w:t xml:space="preserve"> ואם היה בכרמלית </w:t>
      </w:r>
      <w:r>
        <w:rPr>
          <w:rFonts w:cs="Arial" w:hint="cs"/>
          <w:rtl/>
        </w:rPr>
        <w:t xml:space="preserve">- </w:t>
      </w:r>
      <w:r w:rsidRPr="0023056F">
        <w:rPr>
          <w:rFonts w:cs="Arial"/>
          <w:rtl/>
        </w:rPr>
        <w:t>אפילו על ידי ישראל</w:t>
      </w:r>
      <w:r>
        <w:rPr>
          <w:rFonts w:cs="Arial" w:hint="cs"/>
          <w:rtl/>
        </w:rPr>
        <w:t>,</w:t>
      </w:r>
      <w:r w:rsidRPr="0023056F">
        <w:rPr>
          <w:rFonts w:cs="Arial"/>
          <w:rtl/>
        </w:rPr>
        <w:t xml:space="preserve"> מפני כבוד הבריות</w:t>
      </w:r>
      <w:r>
        <w:rPr>
          <w:rFonts w:cs="Arial" w:hint="cs"/>
          <w:rtl/>
        </w:rPr>
        <w:t>.</w:t>
      </w:r>
      <w:r w:rsidRPr="00275706">
        <w:rPr>
          <w:rFonts w:hint="cs"/>
          <w:color w:val="00B0F0"/>
          <w:rtl/>
        </w:rPr>
        <w:t xml:space="preserve"> (וכ"פ הרמ"א)</w:t>
      </w:r>
    </w:p>
    <w:p w14:paraId="4A988E4D" w14:textId="54DE9FD8" w:rsidR="00CF468D" w:rsidRDefault="006A10E3" w:rsidP="00434A6A">
      <w:pPr>
        <w:pStyle w:val="aa"/>
        <w:numPr>
          <w:ilvl w:val="0"/>
          <w:numId w:val="15"/>
        </w:numPr>
      </w:pPr>
      <w:bookmarkStart w:id="11" w:name="_Hlk96955703"/>
      <w:r>
        <w:rPr>
          <w:rFonts w:cs="Arial" w:hint="cs"/>
          <w:rtl/>
        </w:rPr>
        <w:t xml:space="preserve">רא"ש </w:t>
      </w:r>
      <w:r>
        <w:rPr>
          <w:rFonts w:cs="Arial" w:hint="cs"/>
          <w:sz w:val="16"/>
          <w:szCs w:val="16"/>
          <w:rtl/>
        </w:rPr>
        <w:t>(ביצה פ"א סי' ה)</w:t>
      </w:r>
      <w:r>
        <w:rPr>
          <w:rFonts w:cs="Arial" w:hint="cs"/>
          <w:rtl/>
        </w:rPr>
        <w:t xml:space="preserve">- </w:t>
      </w:r>
      <w:bookmarkEnd w:id="11"/>
      <w:r w:rsidRPr="006A10E3">
        <w:rPr>
          <w:rFonts w:cs="Arial"/>
          <w:rtl/>
        </w:rPr>
        <w:t>לא מיסתבר כלל שלא יהא כבוד הבריות דוחה אמירה לנכרי שבות דרבנן ואע</w:t>
      </w:r>
      <w:r>
        <w:rPr>
          <w:rFonts w:cs="Arial" w:hint="cs"/>
          <w:rtl/>
        </w:rPr>
        <w:t>"</w:t>
      </w:r>
      <w:r w:rsidRPr="006A10E3">
        <w:rPr>
          <w:rFonts w:cs="Arial"/>
          <w:rtl/>
        </w:rPr>
        <w:t>ג דלא סריח</w:t>
      </w:r>
      <w:r>
        <w:rPr>
          <w:rFonts w:cs="Arial" w:hint="cs"/>
          <w:rtl/>
        </w:rPr>
        <w:t>,</w:t>
      </w:r>
      <w:r w:rsidRPr="006A10E3">
        <w:rPr>
          <w:rFonts w:cs="Arial"/>
          <w:rtl/>
        </w:rPr>
        <w:t xml:space="preserve"> כבוד המת הוא שלא להלינו</w:t>
      </w:r>
      <w:r>
        <w:rPr>
          <w:rFonts w:cs="Arial" w:hint="cs"/>
          <w:rtl/>
        </w:rPr>
        <w:t>,</w:t>
      </w:r>
      <w:r w:rsidRPr="006A10E3">
        <w:rPr>
          <w:rFonts w:cs="Arial"/>
          <w:rtl/>
        </w:rPr>
        <w:t xml:space="preserve"> והמדחה מטתו הרי זה משובח. ועוד איכא תוספת צער לאוננים ביום טוב.</w:t>
      </w:r>
      <w:r>
        <w:rPr>
          <w:rFonts w:cs="Arial" w:hint="cs"/>
          <w:rtl/>
        </w:rPr>
        <w:t>..</w:t>
      </w:r>
      <w:r w:rsidRPr="006A10E3">
        <w:rPr>
          <w:rFonts w:cs="Arial"/>
          <w:rtl/>
        </w:rPr>
        <w:t xml:space="preserve"> ונהגו באשכנז שהנכרי חופר הקבר ועושה ארון ותכריכין ובכל דבר שהוא איסור דאורייתא. אבל טלטול והוצאת המת עושה ישראל</w:t>
      </w:r>
      <w:r>
        <w:rPr>
          <w:rFonts w:cs="Arial" w:hint="cs"/>
          <w:sz w:val="16"/>
          <w:szCs w:val="16"/>
          <w:rtl/>
        </w:rPr>
        <w:t xml:space="preserve"> {ביו"ט}</w:t>
      </w:r>
      <w:r>
        <w:rPr>
          <w:rFonts w:cs="Arial" w:hint="cs"/>
          <w:rtl/>
        </w:rPr>
        <w:t xml:space="preserve"> </w:t>
      </w:r>
      <w:r w:rsidRPr="006A10E3">
        <w:rPr>
          <w:rFonts w:cs="Arial"/>
          <w:rtl/>
        </w:rPr>
        <w:t xml:space="preserve">דמתוך שהותרה הוצאה לצורך הותרה נמי שלא לצורך והוא דאיכא מת מצוה. </w:t>
      </w:r>
    </w:p>
    <w:p w14:paraId="2E6D8D9A" w14:textId="17FD8A2A" w:rsidR="009D3B22" w:rsidRPr="009679F9" w:rsidRDefault="00275706" w:rsidP="00434A6A">
      <w:pPr>
        <w:pStyle w:val="aa"/>
        <w:numPr>
          <w:ilvl w:val="0"/>
          <w:numId w:val="15"/>
        </w:numPr>
        <w:rPr>
          <w:rtl/>
        </w:rPr>
      </w:pPr>
      <w:r>
        <w:rPr>
          <w:rFonts w:hint="cs"/>
          <w:rtl/>
        </w:rPr>
        <w:t xml:space="preserve">רמב"ם </w:t>
      </w:r>
      <w:r w:rsidRPr="00275706">
        <w:rPr>
          <w:rFonts w:hint="cs"/>
          <w:sz w:val="16"/>
          <w:szCs w:val="16"/>
          <w:rtl/>
        </w:rPr>
        <w:t>(שבת פ"ו ה"ט, צל"ע למה הב"י לא הביאו)</w:t>
      </w:r>
      <w:r>
        <w:rPr>
          <w:rFonts w:hint="cs"/>
          <w:rtl/>
        </w:rPr>
        <w:t xml:space="preserve">- </w:t>
      </w:r>
      <w:r w:rsidRPr="004706B2">
        <w:rPr>
          <w:rFonts w:cs="Arial"/>
          <w:rtl/>
        </w:rPr>
        <w:t>דבר שאינו מלאכה ואין אסור לעשותו בשבת אלא משום שבות מותר לישראל לומר לגוי לעשותו בשבת, והוא שיהיה שם מקצת חולי או יהיה צריך לדבר צורך הרבה או מפני מצוה.</w:t>
      </w:r>
    </w:p>
    <w:p w14:paraId="0F1C2C4D" w14:textId="189BD4C5" w:rsidR="009D3B22" w:rsidRPr="009D3B22" w:rsidRDefault="009D3B22" w:rsidP="00434A6A">
      <w:pPr>
        <w:rPr>
          <w:u w:val="single"/>
          <w:rtl/>
        </w:rPr>
      </w:pPr>
      <w:r w:rsidRPr="009D3B22">
        <w:rPr>
          <w:rFonts w:hint="cs"/>
          <w:u w:val="single"/>
          <w:rtl/>
        </w:rPr>
        <w:t xml:space="preserve">הוצאת מת </w:t>
      </w:r>
      <w:r w:rsidR="00CF468D">
        <w:rPr>
          <w:rFonts w:hint="cs"/>
          <w:u w:val="single"/>
          <w:rtl/>
        </w:rPr>
        <w:t xml:space="preserve">המוטל בבזיון </w:t>
      </w:r>
      <w:r w:rsidRPr="009D3B22">
        <w:rPr>
          <w:rFonts w:hint="cs"/>
          <w:u w:val="single"/>
          <w:rtl/>
        </w:rPr>
        <w:t>לרשות הרבים</w:t>
      </w:r>
      <w:r w:rsidR="00143C51">
        <w:rPr>
          <w:rFonts w:hint="cs"/>
          <w:u w:val="single"/>
          <w:rtl/>
        </w:rPr>
        <w:t xml:space="preserve"> ע"י ישראל</w:t>
      </w:r>
      <w:r w:rsidRPr="009D3B22">
        <w:rPr>
          <w:rFonts w:hint="cs"/>
          <w:u w:val="single"/>
          <w:rtl/>
        </w:rPr>
        <w:t>:</w:t>
      </w:r>
    </w:p>
    <w:p w14:paraId="78C59163" w14:textId="0122A516" w:rsidR="002C21C5" w:rsidRDefault="002C21C5" w:rsidP="00434A6A">
      <w:pPr>
        <w:pStyle w:val="aa"/>
        <w:numPr>
          <w:ilvl w:val="0"/>
          <w:numId w:val="18"/>
        </w:numPr>
        <w:rPr>
          <w:rFonts w:cs="Arial"/>
        </w:rPr>
      </w:pPr>
      <w:r>
        <w:rPr>
          <w:rFonts w:cs="Arial" w:hint="cs"/>
          <w:rtl/>
        </w:rPr>
        <w:t xml:space="preserve">רמב"ן </w:t>
      </w:r>
      <w:r w:rsidRPr="002C21C5">
        <w:rPr>
          <w:rFonts w:cs="Arial" w:hint="cs"/>
          <w:sz w:val="16"/>
          <w:szCs w:val="16"/>
          <w:rtl/>
        </w:rPr>
        <w:t>(</w:t>
      </w:r>
      <w:r w:rsidR="009679F9" w:rsidRPr="002C21C5">
        <w:rPr>
          <w:rFonts w:cs="Arial"/>
          <w:sz w:val="16"/>
          <w:szCs w:val="16"/>
          <w:rtl/>
        </w:rPr>
        <w:t xml:space="preserve">תורת האדם </w:t>
      </w:r>
      <w:r>
        <w:rPr>
          <w:rFonts w:cs="Arial" w:hint="cs"/>
          <w:sz w:val="16"/>
          <w:szCs w:val="16"/>
          <w:rtl/>
        </w:rPr>
        <w:t xml:space="preserve">ענין מי שמתו </w:t>
      </w:r>
      <w:r w:rsidR="009679F9" w:rsidRPr="002C21C5">
        <w:rPr>
          <w:rFonts w:cs="Arial"/>
          <w:sz w:val="16"/>
          <w:szCs w:val="16"/>
          <w:rtl/>
        </w:rPr>
        <w:t xml:space="preserve">ד"ה </w:t>
      </w:r>
      <w:r>
        <w:rPr>
          <w:rFonts w:cs="Arial" w:hint="cs"/>
          <w:sz w:val="16"/>
          <w:szCs w:val="16"/>
          <w:rtl/>
        </w:rPr>
        <w:t>ולענין</w:t>
      </w:r>
      <w:r w:rsidR="00AB5D19">
        <w:rPr>
          <w:rFonts w:cs="Arial" w:hint="cs"/>
          <w:sz w:val="16"/>
          <w:szCs w:val="16"/>
          <w:rtl/>
        </w:rPr>
        <w:t xml:space="preserve">, וכן בחידו' </w:t>
      </w:r>
      <w:r w:rsidR="00EE6FF4">
        <w:rPr>
          <w:rFonts w:cs="Arial" w:hint="cs"/>
          <w:sz w:val="16"/>
          <w:szCs w:val="16"/>
          <w:rtl/>
        </w:rPr>
        <w:t>שבת צד: ד"ה הא דשרא</w:t>
      </w:r>
      <w:r w:rsidR="009679F9" w:rsidRPr="002C21C5">
        <w:rPr>
          <w:rFonts w:cs="Arial"/>
          <w:sz w:val="16"/>
          <w:szCs w:val="16"/>
          <w:rtl/>
        </w:rPr>
        <w:t>)</w:t>
      </w:r>
      <w:r>
        <w:rPr>
          <w:rFonts w:cs="Arial" w:hint="cs"/>
          <w:rtl/>
        </w:rPr>
        <w:t>-</w:t>
      </w:r>
      <w:r w:rsidR="009679F9" w:rsidRPr="009D3B22">
        <w:rPr>
          <w:rFonts w:cs="Arial"/>
          <w:rtl/>
        </w:rPr>
        <w:t xml:space="preserve"> </w:t>
      </w:r>
      <w:r w:rsidRPr="002C21C5">
        <w:rPr>
          <w:rFonts w:cs="Arial"/>
          <w:rtl/>
        </w:rPr>
        <w:t>ולענין הוצאת מת המוטל בחמה לרשות הרבים שהזכרנו, י"ל שהוא מותר על ידי ככר ותינוק, ורב נחמן ב</w:t>
      </w:r>
      <w:r w:rsidR="00307346">
        <w:rPr>
          <w:rFonts w:cs="Arial" w:hint="cs"/>
          <w:rtl/>
        </w:rPr>
        <w:t xml:space="preserve">ר </w:t>
      </w:r>
      <w:r w:rsidRPr="002C21C5">
        <w:rPr>
          <w:rFonts w:cs="Arial"/>
          <w:rtl/>
        </w:rPr>
        <w:t>י</w:t>
      </w:r>
      <w:r w:rsidR="00307346">
        <w:rPr>
          <w:rFonts w:cs="Arial" w:hint="cs"/>
          <w:rtl/>
        </w:rPr>
        <w:t>צחק</w:t>
      </w:r>
      <w:r w:rsidRPr="002C21C5">
        <w:rPr>
          <w:rFonts w:cs="Arial"/>
          <w:rtl/>
        </w:rPr>
        <w:t xml:space="preserve"> דשרא לכרמלית משום דמעשה שהיה לכרמלית היה</w:t>
      </w:r>
      <w:r>
        <w:rPr>
          <w:rFonts w:cs="Arial" w:hint="cs"/>
          <w:rtl/>
        </w:rPr>
        <w:t>,</w:t>
      </w:r>
      <w:r w:rsidRPr="002C21C5">
        <w:rPr>
          <w:rFonts w:cs="Arial"/>
          <w:rtl/>
        </w:rPr>
        <w:t xml:space="preserve"> ואמר דאפילו כרבי יהודה אורי, הא א</w:t>
      </w:r>
      <w:r w:rsidR="00307346">
        <w:rPr>
          <w:rFonts w:cs="Arial" w:hint="cs"/>
          <w:rtl/>
        </w:rPr>
        <w:t>ִ</w:t>
      </w:r>
      <w:r w:rsidRPr="002C21C5">
        <w:rPr>
          <w:rFonts w:cs="Arial"/>
          <w:rtl/>
        </w:rPr>
        <w:t>לו היו צריכין להוציאו לרה"ר היו מתירין כדברי ר"ש</w:t>
      </w:r>
      <w:r w:rsidR="00307346">
        <w:rPr>
          <w:rStyle w:val="a9"/>
          <w:rFonts w:cs="Arial"/>
          <w:rtl/>
        </w:rPr>
        <w:footnoteReference w:id="1890"/>
      </w:r>
      <w:r w:rsidRPr="002C21C5">
        <w:rPr>
          <w:rFonts w:cs="Arial"/>
          <w:rtl/>
        </w:rPr>
        <w:t>, שגדול כבוד הבריות שדוחה כל לא תעשה של דבריהם. ודוקא ע"י תינוק כדברי רש"י ז"ל</w:t>
      </w:r>
      <w:r>
        <w:rPr>
          <w:rFonts w:cs="Arial" w:hint="cs"/>
          <w:rtl/>
        </w:rPr>
        <w:t>,</w:t>
      </w:r>
      <w:r w:rsidRPr="002C21C5">
        <w:rPr>
          <w:rFonts w:cs="Arial"/>
          <w:rtl/>
        </w:rPr>
        <w:t xml:space="preserve"> אבל ע"י ככר אסור דהא ככר אינו טפל למת, ולא דמי למת במטה לפי שאינו מסייע בהוצאה ואיכא איסורא דאורייתא בככר. ומדברי רבינו חננאל</w:t>
      </w:r>
      <w:r>
        <w:rPr>
          <w:rFonts w:cs="Arial" w:hint="cs"/>
          <w:rtl/>
        </w:rPr>
        <w:t xml:space="preserve"> ז"ל</w:t>
      </w:r>
      <w:r>
        <w:rPr>
          <w:rStyle w:val="a9"/>
          <w:rFonts w:cs="Arial"/>
          <w:rtl/>
        </w:rPr>
        <w:footnoteReference w:id="1891"/>
      </w:r>
      <w:r w:rsidRPr="002C21C5">
        <w:rPr>
          <w:rFonts w:cs="Arial"/>
          <w:rtl/>
        </w:rPr>
        <w:t xml:space="preserve"> </w:t>
      </w:r>
      <w:r w:rsidRPr="002C21C5">
        <w:rPr>
          <w:rFonts w:cs="Arial"/>
          <w:sz w:val="16"/>
          <w:szCs w:val="16"/>
          <w:rtl/>
        </w:rPr>
        <w:t>(בגליון צו.)</w:t>
      </w:r>
      <w:r w:rsidRPr="002C21C5">
        <w:rPr>
          <w:rFonts w:cs="Arial"/>
          <w:rtl/>
        </w:rPr>
        <w:t xml:space="preserve"> נראה שהוא אוסר, והטעם שלא התיר כבוד הבריות הזה אלא דבר שעיקרו מדברי סופרים כגון כרמלית הא רה"ר לא</w:t>
      </w:r>
      <w:r w:rsidRPr="002C21C5">
        <w:rPr>
          <w:rFonts w:cs="Arial" w:hint="cs"/>
          <w:rtl/>
        </w:rPr>
        <w:t>.</w:t>
      </w:r>
    </w:p>
    <w:p w14:paraId="7FC9C69B" w14:textId="79881E38" w:rsidR="0023056F" w:rsidRDefault="0023056F" w:rsidP="00434A6A">
      <w:pPr>
        <w:rPr>
          <w:rFonts w:cs="Arial"/>
          <w:rtl/>
        </w:rPr>
      </w:pPr>
      <w:r w:rsidRPr="0023056F">
        <w:rPr>
          <w:rFonts w:cs="Arial" w:hint="cs"/>
          <w:u w:val="single"/>
          <w:rtl/>
        </w:rPr>
        <w:t xml:space="preserve">טלטול מת </w:t>
      </w:r>
      <w:r w:rsidR="009D3B22">
        <w:rPr>
          <w:rFonts w:cs="Arial" w:hint="cs"/>
          <w:u w:val="single"/>
          <w:rtl/>
        </w:rPr>
        <w:t xml:space="preserve">ע"י ככר או תינוק - </w:t>
      </w:r>
      <w:r w:rsidRPr="0023056F">
        <w:rPr>
          <w:rFonts w:cs="Arial" w:hint="cs"/>
          <w:u w:val="single"/>
          <w:rtl/>
        </w:rPr>
        <w:t>לצורך כהנים:</w:t>
      </w:r>
    </w:p>
    <w:p w14:paraId="6496E33D" w14:textId="1A2AD869" w:rsidR="0023056F" w:rsidRPr="0023056F" w:rsidRDefault="009D3B22" w:rsidP="00434A6A">
      <w:pPr>
        <w:pStyle w:val="aa"/>
        <w:numPr>
          <w:ilvl w:val="0"/>
          <w:numId w:val="15"/>
        </w:numPr>
      </w:pPr>
      <w:r>
        <w:rPr>
          <w:rFonts w:cs="Arial" w:hint="cs"/>
          <w:rtl/>
        </w:rPr>
        <w:t xml:space="preserve">הגה"מ </w:t>
      </w:r>
      <w:r w:rsidRPr="009D3B22">
        <w:rPr>
          <w:rFonts w:cs="Arial" w:hint="cs"/>
          <w:sz w:val="16"/>
          <w:szCs w:val="16"/>
          <w:rtl/>
        </w:rPr>
        <w:t>(</w:t>
      </w:r>
      <w:r w:rsidR="001C6D25">
        <w:rPr>
          <w:rFonts w:cs="Arial" w:hint="cs"/>
          <w:sz w:val="16"/>
          <w:szCs w:val="16"/>
          <w:rtl/>
        </w:rPr>
        <w:t>פכ"ו אות כ</w:t>
      </w:r>
      <w:r w:rsidR="009679F9" w:rsidRPr="009D3B22">
        <w:rPr>
          <w:rFonts w:cs="Arial"/>
          <w:sz w:val="16"/>
          <w:szCs w:val="16"/>
          <w:rtl/>
        </w:rPr>
        <w:t>)</w:t>
      </w:r>
      <w:r w:rsidR="001003D2">
        <w:rPr>
          <w:rFonts w:cs="Arial" w:hint="cs"/>
          <w:rtl/>
        </w:rPr>
        <w:t xml:space="preserve"> בשם מהר"ם</w:t>
      </w:r>
      <w:r>
        <w:rPr>
          <w:rFonts w:cs="Arial" w:hint="cs"/>
          <w:rtl/>
        </w:rPr>
        <w:t>-</w:t>
      </w:r>
      <w:r w:rsidR="009679F9" w:rsidRPr="0023056F">
        <w:rPr>
          <w:rFonts w:cs="Arial"/>
          <w:rtl/>
        </w:rPr>
        <w:t xml:space="preserve"> דוקא לצורך המת</w:t>
      </w:r>
      <w:r>
        <w:rPr>
          <w:rFonts w:cs="Arial" w:hint="cs"/>
          <w:rtl/>
        </w:rPr>
        <w:t>,</w:t>
      </w:r>
      <w:r w:rsidR="009679F9" w:rsidRPr="0023056F">
        <w:rPr>
          <w:rFonts w:cs="Arial"/>
          <w:rtl/>
        </w:rPr>
        <w:t xml:space="preserve"> אבל לצורך כהנים או דבר אחר </w:t>
      </w:r>
      <w:r>
        <w:rPr>
          <w:rFonts w:cs="Arial" w:hint="cs"/>
          <w:rtl/>
        </w:rPr>
        <w:t xml:space="preserve">- </w:t>
      </w:r>
      <w:r w:rsidR="009679F9" w:rsidRPr="0023056F">
        <w:rPr>
          <w:rFonts w:cs="Arial"/>
          <w:rtl/>
        </w:rPr>
        <w:t>אין מטלטלין על ידי ככר או תינוק</w:t>
      </w:r>
      <w:r w:rsidR="009679F9">
        <w:rPr>
          <w:rStyle w:val="a9"/>
          <w:rtl/>
        </w:rPr>
        <w:footnoteReference w:id="1892"/>
      </w:r>
      <w:r>
        <w:rPr>
          <w:rFonts w:cs="Arial" w:hint="cs"/>
          <w:rtl/>
        </w:rPr>
        <w:t>.</w:t>
      </w:r>
    </w:p>
    <w:p w14:paraId="339CFE4E" w14:textId="77777777" w:rsidR="006A0D17" w:rsidRPr="001003D2" w:rsidRDefault="006A0D17" w:rsidP="00434A6A">
      <w:pPr>
        <w:rPr>
          <w:rFonts w:cs="Arial"/>
        </w:rPr>
      </w:pPr>
      <w:r>
        <w:rPr>
          <w:rFonts w:cs="Arial" w:hint="cs"/>
          <w:u w:val="single"/>
          <w:rtl/>
        </w:rPr>
        <w:t>הזזת איברי המת ע"י ככר או תינוק:</w:t>
      </w:r>
    </w:p>
    <w:p w14:paraId="28D4C024" w14:textId="3B7640C3" w:rsidR="006A0D17" w:rsidRPr="00B543A8" w:rsidRDefault="006A0D17" w:rsidP="00434A6A">
      <w:pPr>
        <w:pStyle w:val="aa"/>
        <w:numPr>
          <w:ilvl w:val="0"/>
          <w:numId w:val="15"/>
        </w:numPr>
        <w:rPr>
          <w:rFonts w:cs="Arial"/>
          <w:rtl/>
        </w:rPr>
      </w:pPr>
      <w:r w:rsidRPr="00B543A8">
        <w:rPr>
          <w:rFonts w:cs="Arial"/>
          <w:rtl/>
        </w:rPr>
        <w:t xml:space="preserve">ראבי"ה </w:t>
      </w:r>
      <w:r w:rsidRPr="006A0D17">
        <w:rPr>
          <w:rFonts w:cs="Arial"/>
          <w:sz w:val="16"/>
          <w:szCs w:val="16"/>
          <w:rtl/>
        </w:rPr>
        <w:t>(סי' רד)</w:t>
      </w:r>
      <w:r>
        <w:rPr>
          <w:rFonts w:cs="Arial" w:hint="cs"/>
          <w:rtl/>
        </w:rPr>
        <w:t>-</w:t>
      </w:r>
      <w:r w:rsidRPr="006A0D17">
        <w:rPr>
          <w:rtl/>
        </w:rPr>
        <w:t xml:space="preserve"> </w:t>
      </w:r>
      <w:r w:rsidRPr="006A0D17">
        <w:rPr>
          <w:rFonts w:cs="Arial"/>
          <w:rtl/>
        </w:rPr>
        <w:t>אם חוששין שלא יתקשו איבריו ולא יהיו עוד ראוים לפשוט והוא ביזויו מניח עליו ככר ודוחק על הככר עד שיתפשטו אבריו, כדחזינן נמי בפרק המצניע גבי ההוא שכבא דהוה בדרוקרת דמפני כבוד המת שרא רב נחמן לאפוקיה לכרמלית. ורש"י פירש התם משום חשש דליקה התירו, ונראה דהוא הדין לביזוי אחר. וכן קבלתי</w:t>
      </w:r>
      <w:r>
        <w:rPr>
          <w:rStyle w:val="a9"/>
          <w:rFonts w:cs="Arial"/>
          <w:rtl/>
        </w:rPr>
        <w:footnoteReference w:id="1893"/>
      </w:r>
      <w:r>
        <w:rPr>
          <w:rFonts w:cs="Arial" w:hint="cs"/>
          <w:rtl/>
        </w:rPr>
        <w:t>.</w:t>
      </w:r>
    </w:p>
    <w:p w14:paraId="3B4AD208" w14:textId="77777777" w:rsidR="00EF7C96" w:rsidRPr="005275DF" w:rsidRDefault="00EF7C96" w:rsidP="00434A6A">
      <w:pPr>
        <w:rPr>
          <w:rFonts w:asciiTheme="minorBidi" w:hAnsiTheme="minorBidi"/>
          <w:rtl/>
        </w:rPr>
      </w:pPr>
      <w:r w:rsidRPr="005275DF">
        <w:rPr>
          <w:rFonts w:asciiTheme="minorBidi" w:hAnsiTheme="minorBidi"/>
          <w:b/>
          <w:bCs/>
          <w:sz w:val="32"/>
          <w:szCs w:val="28"/>
          <w:u w:val="single"/>
          <w:rtl/>
        </w:rPr>
        <w:t xml:space="preserve">שו"ע: </w:t>
      </w:r>
    </w:p>
    <w:p w14:paraId="03D5CCB6" w14:textId="6F223590" w:rsidR="000C6229" w:rsidRPr="005275DF" w:rsidRDefault="000C6229" w:rsidP="00434A6A">
      <w:pPr>
        <w:rPr>
          <w:rFonts w:asciiTheme="minorBidi" w:hAnsiTheme="minorBidi"/>
          <w:rtl/>
        </w:rPr>
      </w:pPr>
      <w:r w:rsidRPr="005275DF">
        <w:rPr>
          <w:rFonts w:asciiTheme="minorBidi" w:hAnsiTheme="minorBidi"/>
          <w:rtl/>
        </w:rPr>
        <w:t xml:space="preserve">מת שהסריח בבית ונמצא מתבזה בין החיים והם מתבזים ממנו. </w:t>
      </w:r>
      <w:r w:rsidRPr="008F26D5">
        <w:rPr>
          <w:rFonts w:asciiTheme="minorBidi" w:hAnsiTheme="minorBidi"/>
          <w:sz w:val="18"/>
          <w:szCs w:val="18"/>
          <w:rtl/>
        </w:rPr>
        <w:t>הגה: וי"א דאפילו לא הסריח עדיין אלא שקרוב להסריח (רש"י</w:t>
      </w:r>
      <w:r w:rsidR="00EE6FF4">
        <w:rPr>
          <w:rFonts w:asciiTheme="minorBidi" w:hAnsiTheme="minorBidi" w:hint="cs"/>
          <w:sz w:val="18"/>
          <w:szCs w:val="18"/>
          <w:rtl/>
        </w:rPr>
        <w:t xml:space="preserve"> טור</w:t>
      </w:r>
      <w:r w:rsidRPr="008F26D5">
        <w:rPr>
          <w:rFonts w:asciiTheme="minorBidi" w:hAnsiTheme="minorBidi"/>
          <w:sz w:val="18"/>
          <w:szCs w:val="18"/>
          <w:rtl/>
        </w:rPr>
        <w:t xml:space="preserve"> ור"ן)</w:t>
      </w:r>
      <w:r w:rsidRPr="005275DF">
        <w:rPr>
          <w:rFonts w:asciiTheme="minorBidi" w:hAnsiTheme="minorBidi"/>
          <w:rtl/>
        </w:rPr>
        <w:t>, מותר להוציאו לכרמלית</w:t>
      </w:r>
      <w:r w:rsidR="008F26D5">
        <w:rPr>
          <w:rFonts w:asciiTheme="minorBidi" w:hAnsiTheme="minorBidi" w:hint="cs"/>
          <w:rtl/>
        </w:rPr>
        <w:t>.</w:t>
      </w:r>
      <w:r w:rsidRPr="005275DF">
        <w:rPr>
          <w:rFonts w:asciiTheme="minorBidi" w:hAnsiTheme="minorBidi"/>
          <w:rtl/>
        </w:rPr>
        <w:t xml:space="preserve"> ואם היה להם מקום לצאת בו, אין מוציאין אותו, אלא מניחים אותו במקומו ויוצאים הם</w:t>
      </w:r>
      <w:r w:rsidR="000E5744">
        <w:rPr>
          <w:rStyle w:val="a9"/>
          <w:rFonts w:asciiTheme="minorBidi" w:hAnsiTheme="minorBidi"/>
          <w:rtl/>
        </w:rPr>
        <w:footnoteReference w:id="1894"/>
      </w:r>
      <w:r w:rsidRPr="005275DF">
        <w:rPr>
          <w:rFonts w:asciiTheme="minorBidi" w:hAnsiTheme="minorBidi"/>
          <w:rtl/>
        </w:rPr>
        <w:t>. וי</w:t>
      </w:r>
      <w:r w:rsidR="008F26D5">
        <w:rPr>
          <w:rFonts w:asciiTheme="minorBidi" w:hAnsiTheme="minorBidi" w:hint="cs"/>
          <w:rtl/>
        </w:rPr>
        <w:t>ש אומרים</w:t>
      </w:r>
      <w:r w:rsidRPr="005275DF">
        <w:rPr>
          <w:rFonts w:asciiTheme="minorBidi" w:hAnsiTheme="minorBidi"/>
          <w:rtl/>
        </w:rPr>
        <w:t xml:space="preserve"> שלא התירו להוציאו לכרמלית אלא ע</w:t>
      </w:r>
      <w:r w:rsidR="008F26D5">
        <w:rPr>
          <w:rFonts w:asciiTheme="minorBidi" w:hAnsiTheme="minorBidi" w:hint="cs"/>
          <w:rtl/>
        </w:rPr>
        <w:t>ל ידי</w:t>
      </w:r>
      <w:r w:rsidRPr="005275DF">
        <w:rPr>
          <w:rFonts w:asciiTheme="minorBidi" w:hAnsiTheme="minorBidi"/>
          <w:rtl/>
        </w:rPr>
        <w:t xml:space="preserve"> ככר או תינוק. ויש מי שאומר שכל שמוציאו לכרמלית מוטב להוציא שלא בככר ותינוק, כדי למעט בהוצאה. ויש מי שמתיר להוציאו אף לרשות הרבים</w:t>
      </w:r>
      <w:r w:rsidR="00307346">
        <w:rPr>
          <w:rStyle w:val="a9"/>
          <w:rFonts w:asciiTheme="minorBidi" w:hAnsiTheme="minorBidi"/>
          <w:rtl/>
        </w:rPr>
        <w:footnoteReference w:id="1895"/>
      </w:r>
      <w:r w:rsidRPr="005275DF">
        <w:rPr>
          <w:rFonts w:asciiTheme="minorBidi" w:hAnsiTheme="minorBidi"/>
          <w:rtl/>
        </w:rPr>
        <w:t xml:space="preserve"> ע</w:t>
      </w:r>
      <w:r w:rsidR="008F26D5">
        <w:rPr>
          <w:rFonts w:asciiTheme="minorBidi" w:hAnsiTheme="minorBidi" w:hint="cs"/>
          <w:rtl/>
        </w:rPr>
        <w:t>ל ידי</w:t>
      </w:r>
      <w:r w:rsidRPr="005275DF">
        <w:rPr>
          <w:rFonts w:asciiTheme="minorBidi" w:hAnsiTheme="minorBidi"/>
          <w:rtl/>
        </w:rPr>
        <w:t xml:space="preserve"> תינוק</w:t>
      </w:r>
      <w:r w:rsidR="00307346">
        <w:rPr>
          <w:rStyle w:val="a9"/>
          <w:rFonts w:asciiTheme="minorBidi" w:hAnsiTheme="minorBidi"/>
          <w:rtl/>
        </w:rPr>
        <w:footnoteReference w:id="1896"/>
      </w:r>
      <w:r w:rsidRPr="005275DF">
        <w:rPr>
          <w:rFonts w:asciiTheme="minorBidi" w:hAnsiTheme="minorBidi"/>
          <w:rtl/>
        </w:rPr>
        <w:t>, אבל לא ע</w:t>
      </w:r>
      <w:r w:rsidR="008F26D5">
        <w:rPr>
          <w:rFonts w:asciiTheme="minorBidi" w:hAnsiTheme="minorBidi" w:hint="cs"/>
          <w:rtl/>
        </w:rPr>
        <w:t>ל ידי</w:t>
      </w:r>
      <w:r w:rsidRPr="005275DF">
        <w:rPr>
          <w:rFonts w:asciiTheme="minorBidi" w:hAnsiTheme="minorBidi"/>
          <w:rtl/>
        </w:rPr>
        <w:t xml:space="preserve"> ככר. וה</w:t>
      </w:r>
      <w:r w:rsidR="008F26D5">
        <w:rPr>
          <w:rFonts w:asciiTheme="minorBidi" w:hAnsiTheme="minorBidi" w:hint="cs"/>
          <w:rtl/>
        </w:rPr>
        <w:t xml:space="preserve">וא </w:t>
      </w:r>
      <w:r w:rsidRPr="005275DF">
        <w:rPr>
          <w:rFonts w:asciiTheme="minorBidi" w:hAnsiTheme="minorBidi"/>
          <w:rtl/>
        </w:rPr>
        <w:t>ה</w:t>
      </w:r>
      <w:r w:rsidR="008F26D5">
        <w:rPr>
          <w:rFonts w:asciiTheme="minorBidi" w:hAnsiTheme="minorBidi" w:hint="cs"/>
          <w:rtl/>
        </w:rPr>
        <w:t>דין</w:t>
      </w:r>
      <w:r w:rsidRPr="005275DF">
        <w:rPr>
          <w:rFonts w:asciiTheme="minorBidi" w:hAnsiTheme="minorBidi"/>
          <w:rtl/>
        </w:rPr>
        <w:t xml:space="preserve"> אם הוא בבזיון אחר, כגון שהיה בספינה והיו ה</w:t>
      </w:r>
      <w:r w:rsidR="00752EBB">
        <w:rPr>
          <w:rFonts w:asciiTheme="minorBidi" w:hAnsiTheme="minorBidi"/>
          <w:rtl/>
        </w:rPr>
        <w:t>גוי</w:t>
      </w:r>
      <w:r w:rsidR="0023056F">
        <w:rPr>
          <w:rFonts w:asciiTheme="minorBidi" w:hAnsiTheme="minorBidi" w:hint="cs"/>
          <w:rtl/>
        </w:rPr>
        <w:t>ם</w:t>
      </w:r>
      <w:r w:rsidR="00752EBB">
        <w:rPr>
          <w:rFonts w:asciiTheme="minorBidi" w:hAnsiTheme="minorBidi"/>
          <w:rtl/>
        </w:rPr>
        <w:t xml:space="preserve"> </w:t>
      </w:r>
      <w:r w:rsidRPr="005275DF">
        <w:rPr>
          <w:rFonts w:asciiTheme="minorBidi" w:hAnsiTheme="minorBidi"/>
          <w:rtl/>
        </w:rPr>
        <w:t>מתאספים שם</w:t>
      </w:r>
      <w:r w:rsidR="0023056F">
        <w:rPr>
          <w:rFonts w:asciiTheme="minorBidi" w:hAnsiTheme="minorBidi" w:hint="cs"/>
          <w:rtl/>
        </w:rPr>
        <w:t>.</w:t>
      </w:r>
      <w:r w:rsidRPr="005275DF">
        <w:rPr>
          <w:rFonts w:asciiTheme="minorBidi" w:hAnsiTheme="minorBidi"/>
          <w:rtl/>
        </w:rPr>
        <w:t xml:space="preserve"> וכן כל כיוצא בזה. </w:t>
      </w:r>
      <w:r w:rsidRPr="0023056F">
        <w:rPr>
          <w:rFonts w:asciiTheme="minorBidi" w:hAnsiTheme="minorBidi"/>
          <w:sz w:val="18"/>
          <w:szCs w:val="18"/>
          <w:rtl/>
        </w:rPr>
        <w:t>הגה: וה"ה דמותרים לומר ל</w:t>
      </w:r>
      <w:r w:rsidR="00752EBB" w:rsidRPr="0023056F">
        <w:rPr>
          <w:rFonts w:asciiTheme="minorBidi" w:hAnsiTheme="minorBidi"/>
          <w:sz w:val="18"/>
          <w:szCs w:val="18"/>
          <w:rtl/>
        </w:rPr>
        <w:t xml:space="preserve">גוי </w:t>
      </w:r>
      <w:r w:rsidRPr="0023056F">
        <w:rPr>
          <w:rFonts w:asciiTheme="minorBidi" w:hAnsiTheme="minorBidi"/>
          <w:sz w:val="18"/>
          <w:szCs w:val="18"/>
          <w:rtl/>
        </w:rPr>
        <w:t>לטלטלו, כמו ע"י ככר ותינוק</w:t>
      </w:r>
      <w:r w:rsidR="00307346">
        <w:rPr>
          <w:rStyle w:val="a9"/>
          <w:rFonts w:asciiTheme="minorBidi" w:hAnsiTheme="minorBidi"/>
          <w:sz w:val="18"/>
          <w:szCs w:val="18"/>
          <w:rtl/>
        </w:rPr>
        <w:footnoteReference w:id="1897"/>
      </w:r>
      <w:r w:rsidRPr="0023056F">
        <w:rPr>
          <w:rFonts w:asciiTheme="minorBidi" w:hAnsiTheme="minorBidi"/>
          <w:sz w:val="18"/>
          <w:szCs w:val="18"/>
          <w:rtl/>
        </w:rPr>
        <w:t xml:space="preserve"> (</w:t>
      </w:r>
      <w:r w:rsidR="00143C51">
        <w:rPr>
          <w:rFonts w:asciiTheme="minorBidi" w:hAnsiTheme="minorBidi" w:hint="cs"/>
          <w:sz w:val="18"/>
          <w:szCs w:val="18"/>
          <w:rtl/>
        </w:rPr>
        <w:t>רא"ם הגה"מ</w:t>
      </w:r>
      <w:r w:rsidRPr="0023056F">
        <w:rPr>
          <w:rFonts w:asciiTheme="minorBidi" w:hAnsiTheme="minorBidi"/>
          <w:sz w:val="18"/>
          <w:szCs w:val="18"/>
          <w:rtl/>
        </w:rPr>
        <w:t xml:space="preserve"> שב</w:t>
      </w:r>
      <w:r w:rsidR="0023056F">
        <w:rPr>
          <w:rFonts w:asciiTheme="minorBidi" w:hAnsiTheme="minorBidi" w:hint="cs"/>
          <w:sz w:val="18"/>
          <w:szCs w:val="18"/>
          <w:rtl/>
        </w:rPr>
        <w:t>ה"</w:t>
      </w:r>
      <w:r w:rsidRPr="0023056F">
        <w:rPr>
          <w:rFonts w:asciiTheme="minorBidi" w:hAnsiTheme="minorBidi"/>
          <w:sz w:val="18"/>
          <w:szCs w:val="18"/>
          <w:rtl/>
        </w:rPr>
        <w:t>ל</w:t>
      </w:r>
      <w:r w:rsidR="00143C51">
        <w:rPr>
          <w:rFonts w:asciiTheme="minorBidi" w:hAnsiTheme="minorBidi" w:hint="cs"/>
          <w:sz w:val="18"/>
          <w:szCs w:val="18"/>
          <w:rtl/>
        </w:rPr>
        <w:t xml:space="preserve"> וב"י</w:t>
      </w:r>
      <w:r w:rsidRPr="0023056F">
        <w:rPr>
          <w:rFonts w:asciiTheme="minorBidi" w:hAnsiTheme="minorBidi"/>
          <w:sz w:val="18"/>
          <w:szCs w:val="18"/>
          <w:rtl/>
        </w:rPr>
        <w:t>). ואסור לטלטל מת ע"י ככר ותינוק לצורך כהנים</w:t>
      </w:r>
      <w:r w:rsidR="006658E7">
        <w:rPr>
          <w:rStyle w:val="a9"/>
          <w:rFonts w:asciiTheme="minorBidi" w:hAnsiTheme="minorBidi"/>
          <w:sz w:val="18"/>
          <w:szCs w:val="18"/>
          <w:rtl/>
        </w:rPr>
        <w:footnoteReference w:id="1898"/>
      </w:r>
      <w:r w:rsidRPr="0023056F">
        <w:rPr>
          <w:rFonts w:asciiTheme="minorBidi" w:hAnsiTheme="minorBidi"/>
          <w:sz w:val="18"/>
          <w:szCs w:val="18"/>
          <w:rtl/>
        </w:rPr>
        <w:t xml:space="preserve"> או דבר אחר</w:t>
      </w:r>
      <w:r w:rsidR="00143C51">
        <w:rPr>
          <w:rFonts w:asciiTheme="minorBidi" w:hAnsiTheme="minorBidi" w:hint="cs"/>
          <w:sz w:val="18"/>
          <w:szCs w:val="18"/>
          <w:rtl/>
        </w:rPr>
        <w:t xml:space="preserve"> (הגה"מ)</w:t>
      </w:r>
      <w:r w:rsidRPr="0023056F">
        <w:rPr>
          <w:rFonts w:asciiTheme="minorBidi" w:hAnsiTheme="minorBidi"/>
          <w:sz w:val="18"/>
          <w:szCs w:val="18"/>
          <w:rtl/>
        </w:rPr>
        <w:t xml:space="preserve">, אבל ע"י </w:t>
      </w:r>
      <w:r w:rsidR="00752EBB" w:rsidRPr="0023056F">
        <w:rPr>
          <w:rFonts w:asciiTheme="minorBidi" w:hAnsiTheme="minorBidi"/>
          <w:sz w:val="18"/>
          <w:szCs w:val="18"/>
          <w:rtl/>
        </w:rPr>
        <w:t xml:space="preserve">גוי </w:t>
      </w:r>
      <w:r w:rsidRPr="0023056F">
        <w:rPr>
          <w:rFonts w:asciiTheme="minorBidi" w:hAnsiTheme="minorBidi"/>
          <w:sz w:val="18"/>
          <w:szCs w:val="18"/>
          <w:rtl/>
        </w:rPr>
        <w:t>יש מתירין (</w:t>
      </w:r>
      <w:r w:rsidR="000E5744">
        <w:rPr>
          <w:rFonts w:asciiTheme="minorBidi" w:hAnsiTheme="minorBidi" w:hint="cs"/>
          <w:sz w:val="18"/>
          <w:szCs w:val="18"/>
          <w:rtl/>
        </w:rPr>
        <w:t>הב' הדרכ"מ ב</w:t>
      </w:r>
      <w:r w:rsidRPr="0023056F">
        <w:rPr>
          <w:rFonts w:asciiTheme="minorBidi" w:hAnsiTheme="minorBidi"/>
          <w:sz w:val="18"/>
          <w:szCs w:val="18"/>
          <w:rtl/>
        </w:rPr>
        <w:t>מהרי"ל). וכן ראיתי נוהגים לצורך מצוה</w:t>
      </w:r>
      <w:r w:rsidR="006658E7">
        <w:rPr>
          <w:rStyle w:val="a9"/>
          <w:rFonts w:asciiTheme="minorBidi" w:hAnsiTheme="minorBidi"/>
          <w:sz w:val="18"/>
          <w:szCs w:val="18"/>
          <w:rtl/>
        </w:rPr>
        <w:footnoteReference w:id="1899"/>
      </w:r>
      <w:r w:rsidRPr="0023056F">
        <w:rPr>
          <w:rFonts w:asciiTheme="minorBidi" w:hAnsiTheme="minorBidi"/>
          <w:sz w:val="18"/>
          <w:szCs w:val="18"/>
          <w:rtl/>
        </w:rPr>
        <w:t xml:space="preserve"> או חתונה.</w:t>
      </w:r>
      <w:r w:rsidRPr="005275DF">
        <w:rPr>
          <w:rFonts w:asciiTheme="minorBidi" w:hAnsiTheme="minorBidi"/>
          <w:rtl/>
        </w:rPr>
        <w:t xml:space="preserve"> </w:t>
      </w:r>
    </w:p>
    <w:p w14:paraId="3C1B03E9" w14:textId="77777777" w:rsidR="000C6229" w:rsidRPr="005275DF" w:rsidRDefault="000C6229" w:rsidP="00434A6A">
      <w:pPr>
        <w:rPr>
          <w:rFonts w:asciiTheme="minorBidi" w:hAnsiTheme="minorBidi"/>
          <w:rtl/>
        </w:rPr>
      </w:pPr>
    </w:p>
    <w:p w14:paraId="7371D869" w14:textId="180D75A6" w:rsidR="000C6229" w:rsidRDefault="000C6229" w:rsidP="00434A6A">
      <w:pPr>
        <w:pStyle w:val="2"/>
        <w:rPr>
          <w:rtl/>
        </w:rPr>
      </w:pPr>
      <w:r w:rsidRPr="005275DF">
        <w:rPr>
          <w:rtl/>
        </w:rPr>
        <w:t>סעיף ג</w:t>
      </w:r>
      <w:r w:rsidR="007A08E8">
        <w:rPr>
          <w:rFonts w:hint="cs"/>
          <w:rtl/>
        </w:rPr>
        <w:t xml:space="preserve">: </w:t>
      </w:r>
      <w:r w:rsidR="00B543A8">
        <w:rPr>
          <w:rFonts w:hint="cs"/>
          <w:rtl/>
        </w:rPr>
        <w:t>נתינת בגד על המת כדי לטלטלו.</w:t>
      </w:r>
    </w:p>
    <w:p w14:paraId="09DCAC68" w14:textId="77777777" w:rsidR="00B543A8" w:rsidRDefault="00B543A8" w:rsidP="00434A6A">
      <w:pPr>
        <w:rPr>
          <w:rFonts w:cs="Arial"/>
          <w:rtl/>
        </w:rPr>
      </w:pPr>
      <w:r w:rsidRPr="00B543A8">
        <w:rPr>
          <w:rFonts w:hint="cs"/>
          <w:u w:val="single"/>
          <w:rtl/>
        </w:rPr>
        <w:t>נתינת בגד על המת כדי לטלטלו</w:t>
      </w:r>
      <w:r w:rsidRPr="00B543A8">
        <w:rPr>
          <w:rFonts w:cs="Arial" w:hint="cs"/>
          <w:u w:val="single"/>
          <w:rtl/>
        </w:rPr>
        <w:t>:</w:t>
      </w:r>
      <w:r w:rsidRPr="009679F9">
        <w:rPr>
          <w:rFonts w:cs="Arial"/>
          <w:rtl/>
        </w:rPr>
        <w:t xml:space="preserve"> </w:t>
      </w:r>
    </w:p>
    <w:p w14:paraId="2A6A1476" w14:textId="53AF8A15" w:rsidR="00C903E8" w:rsidRDefault="00C903E8" w:rsidP="00434A6A">
      <w:pPr>
        <w:pStyle w:val="aa"/>
        <w:numPr>
          <w:ilvl w:val="0"/>
          <w:numId w:val="15"/>
        </w:numPr>
        <w:rPr>
          <w:rFonts w:cs="Arial"/>
        </w:rPr>
      </w:pPr>
      <w:r>
        <w:rPr>
          <w:rFonts w:cs="Arial" w:hint="cs"/>
          <w:rtl/>
        </w:rPr>
        <w:t>רמב"ן</w:t>
      </w:r>
      <w:r>
        <w:rPr>
          <w:rFonts w:cs="Arial" w:hint="cs"/>
          <w:sz w:val="16"/>
          <w:szCs w:val="16"/>
          <w:rtl/>
        </w:rPr>
        <w:t xml:space="preserve"> (תורת האדם, ענין מי שמתו, ד"ה ואי קשיא)</w:t>
      </w:r>
      <w:r>
        <w:rPr>
          <w:rFonts w:cs="Arial" w:hint="cs"/>
          <w:rtl/>
        </w:rPr>
        <w:t>-</w:t>
      </w:r>
      <w:r w:rsidRPr="00C903E8">
        <w:rPr>
          <w:rtl/>
        </w:rPr>
        <w:t xml:space="preserve"> </w:t>
      </w:r>
      <w:r w:rsidRPr="00C903E8">
        <w:rPr>
          <w:rFonts w:cs="Arial"/>
          <w:rtl/>
        </w:rPr>
        <w:t>המציל יכול ליתן עליו ככר או תינוק או אחד מן הכלים שהוא לבוש וכיוצא בהן</w:t>
      </w:r>
      <w:r>
        <w:rPr>
          <w:rFonts w:cs="Arial" w:hint="cs"/>
          <w:rtl/>
        </w:rPr>
        <w:t>.</w:t>
      </w:r>
      <w:r w:rsidR="00D628CC" w:rsidRPr="00D628CC">
        <w:rPr>
          <w:rFonts w:cs="Arial" w:hint="cs"/>
          <w:color w:val="E36C0A" w:themeColor="accent6" w:themeShade="BF"/>
          <w:rtl/>
        </w:rPr>
        <w:t xml:space="preserve"> </w:t>
      </w:r>
      <w:r w:rsidR="00D628CC" w:rsidRPr="00143C51">
        <w:rPr>
          <w:rFonts w:cs="Arial" w:hint="cs"/>
          <w:color w:val="E36C0A" w:themeColor="accent6" w:themeShade="BF"/>
          <w:rtl/>
        </w:rPr>
        <w:t>(וכ"</w:t>
      </w:r>
      <w:r w:rsidR="00D628CC">
        <w:rPr>
          <w:rFonts w:cs="Arial" w:hint="cs"/>
          <w:color w:val="E36C0A" w:themeColor="accent6" w:themeShade="BF"/>
          <w:rtl/>
        </w:rPr>
        <w:t>כ</w:t>
      </w:r>
      <w:r w:rsidR="00D628CC" w:rsidRPr="00143C51">
        <w:rPr>
          <w:rFonts w:cs="Arial" w:hint="cs"/>
          <w:color w:val="E36C0A" w:themeColor="accent6" w:themeShade="BF"/>
          <w:rtl/>
        </w:rPr>
        <w:t xml:space="preserve"> בשו"ע)</w:t>
      </w:r>
    </w:p>
    <w:p w14:paraId="68F06B4A" w14:textId="37493192" w:rsidR="00705CE9" w:rsidRDefault="00705CE9" w:rsidP="00434A6A">
      <w:pPr>
        <w:pStyle w:val="aa"/>
        <w:numPr>
          <w:ilvl w:val="0"/>
          <w:numId w:val="15"/>
        </w:numPr>
        <w:rPr>
          <w:rFonts w:cs="Arial"/>
        </w:rPr>
      </w:pPr>
      <w:r>
        <w:rPr>
          <w:rFonts w:cs="Arial" w:hint="cs"/>
          <w:rtl/>
        </w:rPr>
        <w:t>ריבב"ן</w:t>
      </w:r>
      <w:r>
        <w:rPr>
          <w:rStyle w:val="a9"/>
          <w:rFonts w:cs="Arial"/>
          <w:rtl/>
        </w:rPr>
        <w:footnoteReference w:id="1900"/>
      </w:r>
      <w:r>
        <w:rPr>
          <w:rFonts w:cs="Arial" w:hint="cs"/>
          <w:rtl/>
        </w:rPr>
        <w:t xml:space="preserve"> </w:t>
      </w:r>
      <w:r>
        <w:rPr>
          <w:rFonts w:cs="Arial" w:hint="cs"/>
          <w:sz w:val="16"/>
          <w:szCs w:val="16"/>
          <w:rtl/>
        </w:rPr>
        <w:t>(שבת מג:)</w:t>
      </w:r>
      <w:r>
        <w:rPr>
          <w:rFonts w:cs="Arial" w:hint="cs"/>
          <w:rtl/>
        </w:rPr>
        <w:t xml:space="preserve">- </w:t>
      </w:r>
      <w:r w:rsidRPr="00705CE9">
        <w:rPr>
          <w:rFonts w:cs="Arial"/>
          <w:rtl/>
        </w:rPr>
        <w:t>מניח עליו ככר או תינוק. דוקא, ולא בגדים, דאתו לאיחלופי בתכריכי המת, ואתו למימר דמותר ליהנות מהם. ושאר כלים נמי לא, דגזרי הני אטו הני</w:t>
      </w:r>
      <w:r>
        <w:rPr>
          <w:rFonts w:cs="Arial" w:hint="cs"/>
          <w:rtl/>
        </w:rPr>
        <w:t>.</w:t>
      </w:r>
    </w:p>
    <w:p w14:paraId="0DFF75E6" w14:textId="06167BA1" w:rsidR="00BB419E" w:rsidRDefault="00BB419E" w:rsidP="00434A6A">
      <w:pPr>
        <w:pStyle w:val="aa"/>
        <w:numPr>
          <w:ilvl w:val="0"/>
          <w:numId w:val="15"/>
        </w:numPr>
        <w:rPr>
          <w:rFonts w:cs="Arial"/>
        </w:rPr>
      </w:pPr>
      <w:r>
        <w:rPr>
          <w:rFonts w:cs="Arial" w:hint="cs"/>
          <w:rtl/>
        </w:rPr>
        <w:t xml:space="preserve">הגמ"ר </w:t>
      </w:r>
      <w:r>
        <w:rPr>
          <w:rFonts w:cs="Arial" w:hint="cs"/>
          <w:sz w:val="16"/>
          <w:szCs w:val="16"/>
          <w:rtl/>
        </w:rPr>
        <w:t>(שבת סי' תנו)</w:t>
      </w:r>
      <w:r>
        <w:rPr>
          <w:rFonts w:cs="Arial" w:hint="cs"/>
          <w:rtl/>
        </w:rPr>
        <w:t xml:space="preserve">- </w:t>
      </w:r>
      <w:r w:rsidRPr="00BB419E">
        <w:rPr>
          <w:rFonts w:cs="Arial"/>
          <w:rtl/>
        </w:rPr>
        <w:t xml:space="preserve">נ"ל מדנקט גבי מת בכל דוכתא ככר או תינוק הכא </w:t>
      </w:r>
      <w:r>
        <w:rPr>
          <w:rFonts w:cs="Arial" w:hint="cs"/>
          <w:rtl/>
        </w:rPr>
        <w:t>(</w:t>
      </w:r>
      <w:r w:rsidRPr="00BB419E">
        <w:rPr>
          <w:rFonts w:cs="Arial"/>
          <w:rtl/>
        </w:rPr>
        <w:t>מג</w:t>
      </w:r>
      <w:r>
        <w:rPr>
          <w:rFonts w:cs="Arial" w:hint="cs"/>
          <w:rtl/>
        </w:rPr>
        <w:t>:)</w:t>
      </w:r>
      <w:r w:rsidRPr="00BB419E">
        <w:rPr>
          <w:rFonts w:cs="Arial"/>
          <w:rtl/>
        </w:rPr>
        <w:t xml:space="preserve"> ובפ' במה מדליקין </w:t>
      </w:r>
      <w:r>
        <w:rPr>
          <w:rFonts w:cs="Arial" w:hint="cs"/>
          <w:rtl/>
        </w:rPr>
        <w:t>(</w:t>
      </w:r>
      <w:r w:rsidRPr="00BB419E">
        <w:rPr>
          <w:rFonts w:cs="Arial"/>
          <w:rtl/>
        </w:rPr>
        <w:t>ל</w:t>
      </w:r>
      <w:r>
        <w:rPr>
          <w:rFonts w:cs="Arial" w:hint="cs"/>
          <w:rtl/>
        </w:rPr>
        <w:t>:)</w:t>
      </w:r>
      <w:r w:rsidRPr="00BB419E">
        <w:rPr>
          <w:rFonts w:cs="Arial"/>
          <w:rtl/>
        </w:rPr>
        <w:t xml:space="preserve"> ש"מ דכלי לא דלגבי כלי מיהא קי"ל כר' יצחק </w:t>
      </w:r>
      <w:r>
        <w:rPr>
          <w:rFonts w:cs="Arial" w:hint="cs"/>
          <w:rtl/>
        </w:rPr>
        <w:t>(</w:t>
      </w:r>
      <w:r w:rsidRPr="00BB419E">
        <w:rPr>
          <w:rFonts w:cs="Arial"/>
          <w:rtl/>
        </w:rPr>
        <w:t>מג</w:t>
      </w:r>
      <w:r>
        <w:rPr>
          <w:rFonts w:cs="Arial" w:hint="cs"/>
          <w:rtl/>
        </w:rPr>
        <w:t>.)</w:t>
      </w:r>
      <w:r w:rsidRPr="00BB419E">
        <w:rPr>
          <w:rFonts w:cs="Arial"/>
          <w:rtl/>
        </w:rPr>
        <w:t xml:space="preserve"> דאין כלי ניטל אלא לדבר הניטל</w:t>
      </w:r>
      <w:r w:rsidR="003E301A">
        <w:rPr>
          <w:rStyle w:val="a9"/>
          <w:rFonts w:cs="Arial"/>
          <w:rtl/>
        </w:rPr>
        <w:footnoteReference w:id="1901"/>
      </w:r>
      <w:r w:rsidRPr="00BB419E">
        <w:rPr>
          <w:rFonts w:cs="Arial"/>
          <w:rtl/>
        </w:rPr>
        <w:t>.</w:t>
      </w:r>
    </w:p>
    <w:p w14:paraId="60D8EDC4" w14:textId="3C042D3F" w:rsidR="008806D1" w:rsidRPr="008806D1" w:rsidRDefault="00BB419E" w:rsidP="00434A6A">
      <w:pPr>
        <w:ind w:left="360"/>
        <w:rPr>
          <w:rFonts w:cs="Arial"/>
          <w:u w:val="dotted"/>
        </w:rPr>
      </w:pPr>
      <w:r>
        <w:rPr>
          <w:rFonts w:cs="Arial" w:hint="cs"/>
          <w:u w:val="dotted"/>
          <w:rtl/>
        </w:rPr>
        <w:t>ו</w:t>
      </w:r>
      <w:r w:rsidR="008806D1" w:rsidRPr="008806D1">
        <w:rPr>
          <w:rFonts w:cs="Arial" w:hint="cs"/>
          <w:u w:val="dotted"/>
          <w:rtl/>
        </w:rPr>
        <w:t>מה הדין אם המת לבוש בבגדיו:</w:t>
      </w:r>
    </w:p>
    <w:p w14:paraId="14F9E3D8" w14:textId="138295FE" w:rsidR="00B543A8" w:rsidRDefault="009679F9" w:rsidP="00434A6A">
      <w:pPr>
        <w:pStyle w:val="aa"/>
        <w:numPr>
          <w:ilvl w:val="0"/>
          <w:numId w:val="15"/>
        </w:numPr>
        <w:rPr>
          <w:rFonts w:cs="Arial"/>
        </w:rPr>
      </w:pPr>
      <w:r w:rsidRPr="00B543A8">
        <w:rPr>
          <w:rFonts w:cs="Arial"/>
          <w:rtl/>
        </w:rPr>
        <w:t>מרדכי</w:t>
      </w:r>
      <w:r w:rsidRPr="008806D1">
        <w:rPr>
          <w:rFonts w:cs="Arial"/>
          <w:sz w:val="16"/>
          <w:szCs w:val="16"/>
          <w:rtl/>
        </w:rPr>
        <w:t xml:space="preserve"> (סי' שיב)</w:t>
      </w:r>
      <w:r w:rsidR="008806D1">
        <w:rPr>
          <w:rFonts w:cs="Arial" w:hint="cs"/>
          <w:rtl/>
        </w:rPr>
        <w:t>-</w:t>
      </w:r>
      <w:r w:rsidRPr="00B543A8">
        <w:rPr>
          <w:rFonts w:cs="Arial"/>
          <w:rtl/>
        </w:rPr>
        <w:t xml:space="preserve"> </w:t>
      </w:r>
      <w:r w:rsidR="008806D1" w:rsidRPr="008806D1">
        <w:rPr>
          <w:rFonts w:cs="Arial"/>
          <w:rtl/>
        </w:rPr>
        <w:t>פי' ה"ר אביגדור כהן דמה שצריך ככר או תינוק היינו דוקא למת ערום</w:t>
      </w:r>
      <w:r w:rsidR="008806D1">
        <w:rPr>
          <w:rFonts w:cs="Arial" w:hint="cs"/>
          <w:rtl/>
        </w:rPr>
        <w:t>,</w:t>
      </w:r>
      <w:r w:rsidR="008806D1" w:rsidRPr="008806D1">
        <w:rPr>
          <w:rFonts w:cs="Arial"/>
          <w:rtl/>
        </w:rPr>
        <w:t xml:space="preserve"> אבל למת בכסותו </w:t>
      </w:r>
      <w:r w:rsidR="008806D1">
        <w:rPr>
          <w:rFonts w:cs="Arial" w:hint="cs"/>
          <w:rtl/>
        </w:rPr>
        <w:t xml:space="preserve">- </w:t>
      </w:r>
      <w:r w:rsidR="008806D1" w:rsidRPr="008806D1">
        <w:rPr>
          <w:rFonts w:cs="Arial"/>
          <w:rtl/>
        </w:rPr>
        <w:t>מטלטלין אותו אגב כסותו</w:t>
      </w:r>
      <w:r w:rsidR="008806D1">
        <w:rPr>
          <w:rFonts w:cs="Arial" w:hint="cs"/>
          <w:rtl/>
        </w:rPr>
        <w:t>.</w:t>
      </w:r>
      <w:r w:rsidR="008806D1" w:rsidRPr="008806D1">
        <w:rPr>
          <w:rFonts w:cs="Arial"/>
          <w:rtl/>
        </w:rPr>
        <w:t xml:space="preserve"> וראיה מפרק ב' דביצה </w:t>
      </w:r>
      <w:r w:rsidR="008806D1">
        <w:rPr>
          <w:rFonts w:cs="Arial" w:hint="cs"/>
          <w:rtl/>
        </w:rPr>
        <w:t>(</w:t>
      </w:r>
      <w:r w:rsidR="008806D1" w:rsidRPr="008806D1">
        <w:rPr>
          <w:rFonts w:cs="Arial"/>
          <w:rtl/>
        </w:rPr>
        <w:t>כא</w:t>
      </w:r>
      <w:r w:rsidR="008806D1">
        <w:rPr>
          <w:rFonts w:cs="Arial" w:hint="cs"/>
          <w:rtl/>
        </w:rPr>
        <w:t>:)</w:t>
      </w:r>
      <w:r w:rsidR="008806D1" w:rsidRPr="008806D1">
        <w:rPr>
          <w:rFonts w:cs="Arial"/>
          <w:rtl/>
        </w:rPr>
        <w:t xml:space="preserve"> מטלטלין להו אגב כסא</w:t>
      </w:r>
      <w:r>
        <w:rPr>
          <w:rStyle w:val="a9"/>
          <w:rFonts w:cs="Arial"/>
          <w:rtl/>
        </w:rPr>
        <w:footnoteReference w:id="1902"/>
      </w:r>
      <w:r w:rsidR="00B543A8" w:rsidRPr="008806D1">
        <w:rPr>
          <w:rFonts w:cs="Arial" w:hint="cs"/>
          <w:rtl/>
        </w:rPr>
        <w:t>.</w:t>
      </w:r>
      <w:r w:rsidR="00D628CC">
        <w:rPr>
          <w:rFonts w:cs="Arial" w:hint="cs"/>
          <w:rtl/>
        </w:rPr>
        <w:t xml:space="preserve"> </w:t>
      </w:r>
      <w:r w:rsidR="00D628CC" w:rsidRPr="00143C51">
        <w:rPr>
          <w:rFonts w:cs="Arial" w:hint="cs"/>
          <w:color w:val="E36C0A" w:themeColor="accent6" w:themeShade="BF"/>
          <w:rtl/>
        </w:rPr>
        <w:t>(וכ"</w:t>
      </w:r>
      <w:r w:rsidR="00D628CC">
        <w:rPr>
          <w:rFonts w:cs="Arial" w:hint="cs"/>
          <w:color w:val="E36C0A" w:themeColor="accent6" w:themeShade="BF"/>
          <w:rtl/>
        </w:rPr>
        <w:t>כ</w:t>
      </w:r>
      <w:r w:rsidR="00D628CC" w:rsidRPr="00143C51">
        <w:rPr>
          <w:rFonts w:cs="Arial" w:hint="cs"/>
          <w:color w:val="E36C0A" w:themeColor="accent6" w:themeShade="BF"/>
          <w:rtl/>
        </w:rPr>
        <w:t xml:space="preserve"> בשו"ע</w:t>
      </w:r>
      <w:r w:rsidR="00D628CC">
        <w:rPr>
          <w:rFonts w:cs="Arial" w:hint="cs"/>
          <w:color w:val="E36C0A" w:themeColor="accent6" w:themeShade="BF"/>
          <w:sz w:val="16"/>
          <w:szCs w:val="16"/>
          <w:rtl/>
        </w:rPr>
        <w:t xml:space="preserve"> </w:t>
      </w:r>
      <w:r w:rsidR="00D628CC" w:rsidRPr="00D628CC">
        <w:rPr>
          <w:rFonts w:cs="Arial" w:hint="cs"/>
          <w:color w:val="000000" w:themeColor="text1"/>
          <w:sz w:val="16"/>
          <w:szCs w:val="16"/>
          <w:rtl/>
        </w:rPr>
        <w:t>[בסע' ד]</w:t>
      </w:r>
      <w:r w:rsidR="00D628CC" w:rsidRPr="00143C51">
        <w:rPr>
          <w:rFonts w:cs="Arial" w:hint="cs"/>
          <w:color w:val="E36C0A" w:themeColor="accent6" w:themeShade="BF"/>
          <w:rtl/>
        </w:rPr>
        <w:t>)</w:t>
      </w:r>
    </w:p>
    <w:p w14:paraId="7DEBAE05" w14:textId="77777777" w:rsidR="00EF7C96" w:rsidRPr="005275DF" w:rsidRDefault="00EF7C96" w:rsidP="00434A6A">
      <w:pPr>
        <w:rPr>
          <w:rFonts w:asciiTheme="minorBidi" w:hAnsiTheme="minorBidi"/>
          <w:rtl/>
        </w:rPr>
      </w:pPr>
      <w:r w:rsidRPr="005275DF">
        <w:rPr>
          <w:rFonts w:asciiTheme="minorBidi" w:hAnsiTheme="minorBidi"/>
          <w:b/>
          <w:bCs/>
          <w:sz w:val="32"/>
          <w:szCs w:val="28"/>
          <w:u w:val="single"/>
          <w:rtl/>
        </w:rPr>
        <w:t xml:space="preserve">שו"ע: </w:t>
      </w:r>
    </w:p>
    <w:p w14:paraId="71881B05" w14:textId="66809777" w:rsidR="000C6229" w:rsidRPr="005275DF" w:rsidRDefault="000C6229" w:rsidP="00434A6A">
      <w:pPr>
        <w:rPr>
          <w:rFonts w:asciiTheme="minorBidi" w:hAnsiTheme="minorBidi"/>
          <w:rtl/>
        </w:rPr>
      </w:pPr>
      <w:r w:rsidRPr="005275DF">
        <w:rPr>
          <w:rFonts w:asciiTheme="minorBidi" w:hAnsiTheme="minorBidi"/>
          <w:rtl/>
        </w:rPr>
        <w:t>יש מי שאומר שאם נתן על המת אחד מכלים שהוא לבוש, חשוב כנותן ככר או תינוק.</w:t>
      </w:r>
      <w:r w:rsidR="00275706">
        <w:rPr>
          <w:rFonts w:asciiTheme="minorBidi" w:hAnsiTheme="minorBidi" w:hint="cs"/>
          <w:rtl/>
        </w:rPr>
        <w:t xml:space="preserve"> </w:t>
      </w:r>
      <w:r w:rsidRPr="005275DF">
        <w:rPr>
          <w:rFonts w:asciiTheme="minorBidi" w:hAnsiTheme="minorBidi"/>
          <w:rtl/>
        </w:rPr>
        <w:t xml:space="preserve"> </w:t>
      </w:r>
    </w:p>
    <w:p w14:paraId="0D8177CB" w14:textId="77777777" w:rsidR="000C6229" w:rsidRPr="005275DF" w:rsidRDefault="000C6229" w:rsidP="00434A6A">
      <w:pPr>
        <w:rPr>
          <w:rFonts w:asciiTheme="minorBidi" w:hAnsiTheme="minorBidi"/>
          <w:rtl/>
        </w:rPr>
      </w:pPr>
    </w:p>
    <w:p w14:paraId="3ADD6CA8" w14:textId="3A6B0EDE" w:rsidR="000C6229" w:rsidRDefault="000C6229" w:rsidP="00434A6A">
      <w:pPr>
        <w:pStyle w:val="2"/>
        <w:rPr>
          <w:rtl/>
        </w:rPr>
      </w:pPr>
      <w:r w:rsidRPr="005275DF">
        <w:rPr>
          <w:rtl/>
        </w:rPr>
        <w:t>סעיף ד</w:t>
      </w:r>
      <w:r w:rsidR="00B543A8">
        <w:rPr>
          <w:rFonts w:hint="cs"/>
          <w:rtl/>
        </w:rPr>
        <w:t xml:space="preserve">: מת </w:t>
      </w:r>
      <w:r w:rsidR="00AC73A5">
        <w:rPr>
          <w:rFonts w:hint="cs"/>
          <w:rtl/>
        </w:rPr>
        <w:t>שלבוש</w:t>
      </w:r>
      <w:r w:rsidR="00B543A8">
        <w:rPr>
          <w:rFonts w:hint="cs"/>
          <w:rtl/>
        </w:rPr>
        <w:t xml:space="preserve"> </w:t>
      </w:r>
      <w:r w:rsidR="00AC73A5">
        <w:rPr>
          <w:rFonts w:hint="cs"/>
          <w:rtl/>
        </w:rPr>
        <w:t>ב</w:t>
      </w:r>
      <w:r w:rsidR="00B543A8">
        <w:rPr>
          <w:rFonts w:hint="cs"/>
          <w:rtl/>
        </w:rPr>
        <w:t>בגדים.</w:t>
      </w:r>
    </w:p>
    <w:p w14:paraId="35A87447" w14:textId="3D7F33B1" w:rsidR="00AC73A5" w:rsidRPr="00AC73A5" w:rsidRDefault="00AC73A5" w:rsidP="00434A6A">
      <w:pPr>
        <w:rPr>
          <w:rtl/>
        </w:rPr>
      </w:pPr>
      <w:r>
        <w:rPr>
          <w:rFonts w:hint="cs"/>
          <w:rtl/>
        </w:rPr>
        <w:t>עיין במקורות בסעיף הקודם.</w:t>
      </w:r>
    </w:p>
    <w:p w14:paraId="29CBA708" w14:textId="77777777" w:rsidR="00EF7C96" w:rsidRPr="005275DF" w:rsidRDefault="00EF7C96" w:rsidP="00434A6A">
      <w:pPr>
        <w:rPr>
          <w:rFonts w:asciiTheme="minorBidi" w:hAnsiTheme="minorBidi"/>
          <w:rtl/>
        </w:rPr>
      </w:pPr>
      <w:r w:rsidRPr="005275DF">
        <w:rPr>
          <w:rFonts w:asciiTheme="minorBidi" w:hAnsiTheme="minorBidi"/>
          <w:b/>
          <w:bCs/>
          <w:sz w:val="32"/>
          <w:szCs w:val="28"/>
          <w:u w:val="single"/>
          <w:rtl/>
        </w:rPr>
        <w:t xml:space="preserve">שו"ע: </w:t>
      </w:r>
    </w:p>
    <w:p w14:paraId="5B9E2E90" w14:textId="44939A0B" w:rsidR="000C6229" w:rsidRPr="005275DF" w:rsidRDefault="000C6229" w:rsidP="00434A6A">
      <w:pPr>
        <w:rPr>
          <w:rFonts w:asciiTheme="minorBidi" w:hAnsiTheme="minorBidi"/>
          <w:rtl/>
        </w:rPr>
      </w:pPr>
      <w:r w:rsidRPr="005275DF">
        <w:rPr>
          <w:rFonts w:asciiTheme="minorBidi" w:hAnsiTheme="minorBidi"/>
          <w:rtl/>
        </w:rPr>
        <w:t>יש מי שאומר שלא הצריכו ככר או תינוק אלא למת ערום, אבל אם הוא בכסותו א</w:t>
      </w:r>
      <w:r w:rsidR="00B543A8">
        <w:rPr>
          <w:rFonts w:asciiTheme="minorBidi" w:hAnsiTheme="minorBidi" w:hint="cs"/>
          <w:rtl/>
        </w:rPr>
        <w:t xml:space="preserve">ין </w:t>
      </w:r>
      <w:r w:rsidRPr="005275DF">
        <w:rPr>
          <w:rFonts w:asciiTheme="minorBidi" w:hAnsiTheme="minorBidi"/>
          <w:rtl/>
        </w:rPr>
        <w:t>צ</w:t>
      </w:r>
      <w:r w:rsidR="00B543A8">
        <w:rPr>
          <w:rFonts w:asciiTheme="minorBidi" w:hAnsiTheme="minorBidi" w:hint="cs"/>
          <w:rtl/>
        </w:rPr>
        <w:t>ריך</w:t>
      </w:r>
      <w:r w:rsidRPr="005275DF">
        <w:rPr>
          <w:rFonts w:asciiTheme="minorBidi" w:hAnsiTheme="minorBidi"/>
          <w:rtl/>
        </w:rPr>
        <w:t xml:space="preserve"> ככר או תינוק. </w:t>
      </w:r>
    </w:p>
    <w:p w14:paraId="5E6D39BB" w14:textId="77777777" w:rsidR="000C6229" w:rsidRPr="005275DF" w:rsidRDefault="000C6229" w:rsidP="00434A6A">
      <w:pPr>
        <w:rPr>
          <w:rFonts w:asciiTheme="minorBidi" w:hAnsiTheme="minorBidi"/>
          <w:rtl/>
        </w:rPr>
      </w:pPr>
    </w:p>
    <w:p w14:paraId="1F4C9899" w14:textId="07297927" w:rsidR="000C6229" w:rsidRDefault="000C6229" w:rsidP="00434A6A">
      <w:pPr>
        <w:pStyle w:val="2"/>
        <w:rPr>
          <w:rtl/>
        </w:rPr>
      </w:pPr>
      <w:r w:rsidRPr="005275DF">
        <w:rPr>
          <w:rtl/>
        </w:rPr>
        <w:t>סעיף ה</w:t>
      </w:r>
      <w:r w:rsidR="00275706">
        <w:rPr>
          <w:rFonts w:hint="cs"/>
          <w:rtl/>
        </w:rPr>
        <w:t>: טלטול המת לצור</w:t>
      </w:r>
      <w:r w:rsidR="00AC73A5">
        <w:rPr>
          <w:rFonts w:hint="cs"/>
          <w:rtl/>
        </w:rPr>
        <w:t>ך</w:t>
      </w:r>
      <w:r w:rsidR="00275706">
        <w:rPr>
          <w:rFonts w:hint="cs"/>
          <w:rtl/>
        </w:rPr>
        <w:t xml:space="preserve"> מקומו.</w:t>
      </w:r>
    </w:p>
    <w:p w14:paraId="6A55E972" w14:textId="77777777" w:rsidR="00275706" w:rsidRPr="00275706" w:rsidRDefault="00275706" w:rsidP="00434A6A">
      <w:pPr>
        <w:rPr>
          <w:u w:val="single"/>
          <w:rtl/>
        </w:rPr>
      </w:pPr>
      <w:r w:rsidRPr="00275706">
        <w:rPr>
          <w:rFonts w:hint="cs"/>
          <w:u w:val="single"/>
          <w:rtl/>
        </w:rPr>
        <w:t>טלטול המת לצורף מקומו:</w:t>
      </w:r>
    </w:p>
    <w:p w14:paraId="1DE9AB73" w14:textId="75F19B25" w:rsidR="009679F9" w:rsidRDefault="00275706" w:rsidP="00434A6A">
      <w:pPr>
        <w:pStyle w:val="aa"/>
        <w:numPr>
          <w:ilvl w:val="0"/>
          <w:numId w:val="15"/>
        </w:numPr>
      </w:pPr>
      <w:r w:rsidRPr="00275706">
        <w:rPr>
          <w:rFonts w:cs="Arial" w:hint="cs"/>
          <w:rtl/>
        </w:rPr>
        <w:t>רי"ו</w:t>
      </w:r>
      <w:r w:rsidR="009679F9" w:rsidRPr="00275706">
        <w:rPr>
          <w:rFonts w:cs="Arial"/>
          <w:rtl/>
        </w:rPr>
        <w:t xml:space="preserve"> </w:t>
      </w:r>
      <w:r w:rsidRPr="00275706">
        <w:rPr>
          <w:rFonts w:cs="Arial" w:hint="cs"/>
          <w:sz w:val="16"/>
          <w:szCs w:val="16"/>
          <w:rtl/>
        </w:rPr>
        <w:t>(נ</w:t>
      </w:r>
      <w:r w:rsidR="009679F9" w:rsidRPr="00275706">
        <w:rPr>
          <w:rFonts w:cs="Arial"/>
          <w:sz w:val="16"/>
          <w:szCs w:val="16"/>
          <w:rtl/>
        </w:rPr>
        <w:t>כ"ח ח</w:t>
      </w:r>
      <w:r w:rsidRPr="00275706">
        <w:rPr>
          <w:rFonts w:cs="Arial" w:hint="cs"/>
          <w:sz w:val="16"/>
          <w:szCs w:val="16"/>
          <w:rtl/>
        </w:rPr>
        <w:t>"</w:t>
      </w:r>
      <w:r w:rsidR="009679F9" w:rsidRPr="00275706">
        <w:rPr>
          <w:rFonts w:cs="Arial"/>
          <w:sz w:val="16"/>
          <w:szCs w:val="16"/>
          <w:rtl/>
        </w:rPr>
        <w:t>א רלא ע"ג)</w:t>
      </w:r>
      <w:r w:rsidRPr="00275706">
        <w:rPr>
          <w:rFonts w:cs="Arial" w:hint="cs"/>
          <w:rtl/>
        </w:rPr>
        <w:t>-</w:t>
      </w:r>
      <w:r w:rsidR="009679F9" w:rsidRPr="00275706">
        <w:rPr>
          <w:rFonts w:cs="Arial"/>
          <w:rtl/>
        </w:rPr>
        <w:t xml:space="preserve"> הא דאסרינן טלטול מן הצד דוקא בשצריך לטלטל המת מחמה לצל</w:t>
      </w:r>
      <w:r w:rsidR="00CE068E">
        <w:rPr>
          <w:rFonts w:cs="Arial" w:hint="cs"/>
          <w:rtl/>
        </w:rPr>
        <w:t>,</w:t>
      </w:r>
      <w:r w:rsidR="009679F9" w:rsidRPr="00275706">
        <w:rPr>
          <w:rFonts w:cs="Arial"/>
          <w:rtl/>
        </w:rPr>
        <w:t xml:space="preserve"> אבל אם אינו צריך לכך אלא למקומו או לדבר שהמת מונח עליו </w:t>
      </w:r>
      <w:r w:rsidR="00CE068E">
        <w:rPr>
          <w:rFonts w:cs="Arial" w:hint="cs"/>
          <w:rtl/>
        </w:rPr>
        <w:t xml:space="preserve">- </w:t>
      </w:r>
      <w:r w:rsidR="009679F9" w:rsidRPr="00275706">
        <w:rPr>
          <w:rFonts w:cs="Arial"/>
          <w:rtl/>
        </w:rPr>
        <w:t>מותר לטלטלו מן הצד</w:t>
      </w:r>
      <w:r w:rsidR="00CE068E">
        <w:rPr>
          <w:rFonts w:cs="Arial" w:hint="cs"/>
          <w:rtl/>
        </w:rPr>
        <w:t>,</w:t>
      </w:r>
      <w:r w:rsidR="009679F9" w:rsidRPr="00275706">
        <w:rPr>
          <w:rFonts w:cs="Arial"/>
          <w:rtl/>
        </w:rPr>
        <w:t xml:space="preserve"> דהיינו שהופכו ממטה למטה</w:t>
      </w:r>
      <w:r w:rsidR="00CE068E">
        <w:rPr>
          <w:rFonts w:cs="Arial" w:hint="cs"/>
          <w:rtl/>
        </w:rPr>
        <w:t>,</w:t>
      </w:r>
      <w:r w:rsidR="009679F9" w:rsidRPr="00275706">
        <w:rPr>
          <w:rFonts w:cs="Arial"/>
          <w:rtl/>
        </w:rPr>
        <w:t xml:space="preserve"> דלצורך דבר המותר הוא</w:t>
      </w:r>
      <w:r w:rsidR="00CE068E">
        <w:rPr>
          <w:rFonts w:cs="Arial" w:hint="cs"/>
          <w:rtl/>
        </w:rPr>
        <w:t>,</w:t>
      </w:r>
      <w:r w:rsidR="009679F9" w:rsidRPr="00275706">
        <w:rPr>
          <w:rFonts w:cs="Arial"/>
          <w:rtl/>
        </w:rPr>
        <w:t xml:space="preserve"> אע</w:t>
      </w:r>
      <w:r w:rsidR="00CE068E">
        <w:rPr>
          <w:rFonts w:cs="Arial" w:hint="cs"/>
          <w:rtl/>
        </w:rPr>
        <w:t>"</w:t>
      </w:r>
      <w:r w:rsidR="009679F9" w:rsidRPr="00275706">
        <w:rPr>
          <w:rFonts w:cs="Arial"/>
          <w:rtl/>
        </w:rPr>
        <w:t>פ שמטלטל דבר האסור עמו שרי כיון שאינו מטלטלו אלא מן הצד</w:t>
      </w:r>
      <w:r w:rsidR="009679F9">
        <w:rPr>
          <w:rStyle w:val="a9"/>
          <w:rtl/>
        </w:rPr>
        <w:footnoteReference w:id="1903"/>
      </w:r>
      <w:r w:rsidR="00CE068E">
        <w:rPr>
          <w:rFonts w:cs="Arial" w:hint="cs"/>
          <w:rtl/>
        </w:rPr>
        <w:t>.</w:t>
      </w:r>
      <w:r w:rsidR="00FE343C">
        <w:rPr>
          <w:rFonts w:cs="Arial" w:hint="cs"/>
          <w:color w:val="E36C0A" w:themeColor="accent6" w:themeShade="BF"/>
          <w:rtl/>
        </w:rPr>
        <w:t xml:space="preserve"> </w:t>
      </w:r>
      <w:r w:rsidR="00FE343C" w:rsidRPr="00431AF6">
        <w:rPr>
          <w:rFonts w:cs="Arial" w:hint="cs"/>
          <w:color w:val="E36C0A" w:themeColor="accent6" w:themeShade="BF"/>
          <w:rtl/>
        </w:rPr>
        <w:t>(וכ"</w:t>
      </w:r>
      <w:r w:rsidR="00FE343C">
        <w:rPr>
          <w:rFonts w:cs="Arial" w:hint="cs"/>
          <w:color w:val="E36C0A" w:themeColor="accent6" w:themeShade="BF"/>
          <w:rtl/>
        </w:rPr>
        <w:t>פ</w:t>
      </w:r>
      <w:r w:rsidR="00FE343C" w:rsidRPr="00431AF6">
        <w:rPr>
          <w:rFonts w:cs="Arial" w:hint="cs"/>
          <w:color w:val="E36C0A" w:themeColor="accent6" w:themeShade="BF"/>
          <w:rtl/>
        </w:rPr>
        <w:t xml:space="preserve"> בשו"ע</w:t>
      </w:r>
      <w:r w:rsidR="00FE343C">
        <w:rPr>
          <w:rFonts w:cs="Arial" w:hint="cs"/>
          <w:color w:val="E36C0A" w:themeColor="accent6" w:themeShade="BF"/>
          <w:rtl/>
        </w:rPr>
        <w:t>)</w:t>
      </w:r>
    </w:p>
    <w:p w14:paraId="7A5E3D66" w14:textId="77777777" w:rsidR="00FE343C" w:rsidRDefault="00FE343C" w:rsidP="00434A6A">
      <w:pPr>
        <w:rPr>
          <w:rtl/>
        </w:rPr>
      </w:pPr>
      <w:r w:rsidRPr="002A45F7">
        <w:rPr>
          <w:rFonts w:hint="cs"/>
          <w:b/>
          <w:bCs/>
          <w:rtl/>
        </w:rPr>
        <w:t xml:space="preserve">שבת </w:t>
      </w:r>
      <w:r>
        <w:rPr>
          <w:rFonts w:hint="cs"/>
          <w:b/>
          <w:bCs/>
          <w:sz w:val="16"/>
          <w:szCs w:val="16"/>
          <w:rtl/>
        </w:rPr>
        <w:t>(פ' נוטל)</w:t>
      </w:r>
      <w:r>
        <w:rPr>
          <w:rFonts w:hint="cs"/>
          <w:b/>
          <w:bCs/>
          <w:rtl/>
        </w:rPr>
        <w:t xml:space="preserve"> </w:t>
      </w:r>
      <w:r w:rsidRPr="002A45F7">
        <w:rPr>
          <w:rFonts w:hint="cs"/>
          <w:b/>
          <w:bCs/>
          <w:rtl/>
        </w:rPr>
        <w:t xml:space="preserve">קמב ע"ב: </w:t>
      </w:r>
      <w:r>
        <w:rPr>
          <w:rFonts w:cs="Arial"/>
          <w:rtl/>
        </w:rPr>
        <w:t xml:space="preserve">מעות שעל הכר מנער וכו'. </w:t>
      </w:r>
      <w:r w:rsidRPr="002A45F7">
        <w:rPr>
          <w:rFonts w:cs="Arial"/>
          <w:u w:val="single"/>
          <w:rtl/>
        </w:rPr>
        <w:t>אמר רבי אושעיא</w:t>
      </w:r>
      <w:r>
        <w:rPr>
          <w:rFonts w:cs="Arial"/>
          <w:rtl/>
        </w:rPr>
        <w:t xml:space="preserve">: שכח ארנקי בחצר - מניח עליה ככר או תינוק, ומטלטלה. </w:t>
      </w:r>
      <w:r w:rsidRPr="002A45F7">
        <w:rPr>
          <w:rFonts w:cs="Arial"/>
          <w:u w:val="single"/>
          <w:rtl/>
        </w:rPr>
        <w:t>אמר רב יצחק</w:t>
      </w:r>
      <w:r>
        <w:rPr>
          <w:rFonts w:cs="Arial"/>
          <w:rtl/>
        </w:rPr>
        <w:t xml:space="preserve">: שכח לבינה בחצר - מניח עליה ככר או תינוק, ומטלטלה. </w:t>
      </w:r>
      <w:r w:rsidRPr="002A45F7">
        <w:rPr>
          <w:rFonts w:cs="Arial"/>
          <w:u w:val="single"/>
          <w:rtl/>
        </w:rPr>
        <w:t>אמר רבי יהודה בר שילא אמר רבי אסי</w:t>
      </w:r>
      <w:r>
        <w:rPr>
          <w:rFonts w:cs="Arial"/>
          <w:rtl/>
        </w:rPr>
        <w:t>: פעם אחת שכחו דסקיא מלאה מעות בסרטיא</w:t>
      </w:r>
      <w:r>
        <w:rPr>
          <w:rStyle w:val="a9"/>
          <w:rFonts w:cs="Arial"/>
          <w:rtl/>
        </w:rPr>
        <w:footnoteReference w:id="1904"/>
      </w:r>
      <w:r>
        <w:rPr>
          <w:rFonts w:cs="Arial"/>
          <w:rtl/>
        </w:rPr>
        <w:t xml:space="preserve">, ובאו ושאלו את רבי יוחנן, ואמר להן: הניחו עליה ככר או תינוק וטלטלוה. </w:t>
      </w:r>
      <w:r w:rsidRPr="002A45F7">
        <w:rPr>
          <w:rFonts w:cs="Arial"/>
          <w:u w:val="single"/>
          <w:rtl/>
        </w:rPr>
        <w:t>אמר מר זוטרא</w:t>
      </w:r>
      <w:r>
        <w:rPr>
          <w:rFonts w:cs="Arial"/>
          <w:rtl/>
        </w:rPr>
        <w:t xml:space="preserve">: הלכתא ככל הני שמעתתא בשוכח. </w:t>
      </w:r>
      <w:r w:rsidRPr="002A45F7">
        <w:rPr>
          <w:rFonts w:cs="Arial"/>
          <w:u w:val="single"/>
          <w:rtl/>
        </w:rPr>
        <w:t>רב אשי אמר</w:t>
      </w:r>
      <w:r>
        <w:rPr>
          <w:rFonts w:cs="Arial"/>
          <w:rtl/>
        </w:rPr>
        <w:t>: אפילו שכח נמי לא, ולא אמרו ככר או תינוק אלא למת בלבד. אביי מנח כפא אכיפי</w:t>
      </w:r>
      <w:r>
        <w:rPr>
          <w:rStyle w:val="a9"/>
          <w:rFonts w:cs="Arial"/>
          <w:rtl/>
        </w:rPr>
        <w:footnoteReference w:id="1905"/>
      </w:r>
      <w:r>
        <w:rPr>
          <w:rFonts w:cs="Arial"/>
          <w:rtl/>
        </w:rPr>
        <w:t>. רבא מנח סכינא אבר יונה</w:t>
      </w:r>
      <w:r>
        <w:rPr>
          <w:rStyle w:val="a9"/>
          <w:rFonts w:cs="Arial"/>
          <w:rtl/>
        </w:rPr>
        <w:footnoteReference w:id="1906"/>
      </w:r>
      <w:r>
        <w:rPr>
          <w:rFonts w:cs="Arial"/>
          <w:rtl/>
        </w:rPr>
        <w:t xml:space="preserve"> ומטלטלה. </w:t>
      </w:r>
      <w:r w:rsidRPr="004469F4">
        <w:rPr>
          <w:rFonts w:cs="Arial"/>
          <w:u w:val="single"/>
          <w:rtl/>
        </w:rPr>
        <w:t>אמר רב יוסף</w:t>
      </w:r>
      <w:r>
        <w:rPr>
          <w:rFonts w:cs="Arial"/>
          <w:rtl/>
        </w:rPr>
        <w:t>: כמה חריפא שמעתתא דדרדקי</w:t>
      </w:r>
      <w:r>
        <w:rPr>
          <w:rStyle w:val="a9"/>
          <w:rFonts w:cs="Arial"/>
          <w:rtl/>
        </w:rPr>
        <w:footnoteReference w:id="1907"/>
      </w:r>
      <w:r>
        <w:rPr>
          <w:rFonts w:cs="Arial" w:hint="cs"/>
          <w:rtl/>
        </w:rPr>
        <w:t>,</w:t>
      </w:r>
      <w:r>
        <w:rPr>
          <w:rFonts w:cs="Arial"/>
          <w:rtl/>
        </w:rPr>
        <w:t xml:space="preserve"> אימר דאמור רבנן</w:t>
      </w:r>
      <w:r>
        <w:rPr>
          <w:rStyle w:val="a9"/>
          <w:rFonts w:cs="Arial"/>
          <w:rtl/>
        </w:rPr>
        <w:footnoteReference w:id="1908"/>
      </w:r>
      <w:r>
        <w:rPr>
          <w:rFonts w:cs="Arial"/>
          <w:rtl/>
        </w:rPr>
        <w:t xml:space="preserve"> בשוכח, לכתחילה מי אמור? </w:t>
      </w:r>
      <w:r w:rsidRPr="004469F4">
        <w:rPr>
          <w:rFonts w:cs="Arial"/>
          <w:u w:val="single"/>
          <w:rtl/>
        </w:rPr>
        <w:t>אמר אביי</w:t>
      </w:r>
      <w:r>
        <w:rPr>
          <w:rFonts w:cs="Arial"/>
          <w:rtl/>
        </w:rPr>
        <w:t xml:space="preserve">: אי לאו דאדם חשוב אנא, כפא אכיפי למה לי? הא חזו למיזגא עלייהו! </w:t>
      </w:r>
      <w:r w:rsidRPr="004469F4">
        <w:rPr>
          <w:rFonts w:cs="Arial"/>
          <w:u w:val="single"/>
          <w:rtl/>
        </w:rPr>
        <w:t>אמר רבא</w:t>
      </w:r>
      <w:r>
        <w:rPr>
          <w:rFonts w:cs="Arial"/>
          <w:rtl/>
        </w:rPr>
        <w:t>: אנא, אי לאו דאדם חשוב אנא - סכינא אבר יונה למה לי? הא חזי לי לאומצא! טעמא - דחזי לאומצא, הא לא חזי לאומצא - לא.</w:t>
      </w:r>
    </w:p>
    <w:p w14:paraId="0C667243" w14:textId="77777777" w:rsidR="00FE343C" w:rsidRPr="002A45F7" w:rsidRDefault="00FE343C" w:rsidP="00434A6A">
      <w:pPr>
        <w:rPr>
          <w:rtl/>
        </w:rPr>
      </w:pPr>
      <w:r w:rsidRPr="002A45F7">
        <w:rPr>
          <w:rFonts w:hint="cs"/>
          <w:b/>
          <w:bCs/>
          <w:rtl/>
        </w:rPr>
        <w:t xml:space="preserve">שבת </w:t>
      </w:r>
      <w:r>
        <w:rPr>
          <w:rFonts w:hint="cs"/>
          <w:b/>
          <w:bCs/>
          <w:sz w:val="16"/>
          <w:szCs w:val="16"/>
          <w:rtl/>
        </w:rPr>
        <w:t>(פ' כל הכלים)</w:t>
      </w:r>
      <w:r>
        <w:rPr>
          <w:rFonts w:hint="cs"/>
          <w:b/>
          <w:bCs/>
          <w:rtl/>
        </w:rPr>
        <w:t xml:space="preserve"> </w:t>
      </w:r>
      <w:r w:rsidRPr="002A45F7">
        <w:rPr>
          <w:rFonts w:hint="cs"/>
          <w:b/>
          <w:bCs/>
          <w:rtl/>
        </w:rPr>
        <w:t>ק</w:t>
      </w:r>
      <w:r>
        <w:rPr>
          <w:rFonts w:hint="cs"/>
          <w:b/>
          <w:bCs/>
          <w:rtl/>
        </w:rPr>
        <w:t>כג</w:t>
      </w:r>
      <w:r w:rsidRPr="002A45F7">
        <w:rPr>
          <w:rFonts w:hint="cs"/>
          <w:b/>
          <w:bCs/>
          <w:rtl/>
        </w:rPr>
        <w:t xml:space="preserve"> ע"</w:t>
      </w:r>
      <w:r>
        <w:rPr>
          <w:rFonts w:hint="cs"/>
          <w:b/>
          <w:bCs/>
          <w:rtl/>
        </w:rPr>
        <w:t>א</w:t>
      </w:r>
      <w:r w:rsidRPr="002A45F7">
        <w:rPr>
          <w:rFonts w:hint="cs"/>
          <w:b/>
          <w:bCs/>
          <w:rtl/>
        </w:rPr>
        <w:t>:</w:t>
      </w:r>
      <w:r>
        <w:rPr>
          <w:rFonts w:cs="Arial" w:hint="cs"/>
          <w:rtl/>
        </w:rPr>
        <w:t xml:space="preserve"> </w:t>
      </w:r>
      <w:r w:rsidRPr="00215402">
        <w:rPr>
          <w:rFonts w:cs="Arial"/>
          <w:u w:val="single"/>
          <w:rtl/>
        </w:rPr>
        <w:t>איתיביה אביי לרבה</w:t>
      </w:r>
      <w:r w:rsidRPr="00215402">
        <w:rPr>
          <w:rFonts w:cs="Arial"/>
          <w:rtl/>
        </w:rPr>
        <w:t xml:space="preserve">: מדוכה, אם יש בה שום - מטלטלין אותה, ואם לאו - אין מטלטלין אותה! </w:t>
      </w:r>
      <w:r w:rsidRPr="00215402">
        <w:rPr>
          <w:rFonts w:cs="Arial"/>
          <w:u w:val="single"/>
          <w:rtl/>
        </w:rPr>
        <w:t>אמר ליה</w:t>
      </w:r>
      <w:r w:rsidRPr="00215402">
        <w:rPr>
          <w:rFonts w:cs="Arial"/>
          <w:rtl/>
        </w:rPr>
        <w:t>:</w:t>
      </w:r>
      <w:r>
        <w:rPr>
          <w:rFonts w:cs="Arial" w:hint="cs"/>
          <w:rtl/>
        </w:rPr>
        <w:t>...</w:t>
      </w:r>
      <w:r w:rsidRPr="00215402">
        <w:rPr>
          <w:rFonts w:cs="Arial"/>
          <w:rtl/>
        </w:rPr>
        <w:t xml:space="preserve"> דאמר רב חיננא בר שלמיא משמיה דרב: הכל מודים בסיכי זיירי ומזורי דכיון דקפיד עלייהו - מייחד להו מקום, הני נמי</w:t>
      </w:r>
      <w:r>
        <w:rPr>
          <w:rStyle w:val="a9"/>
          <w:rFonts w:cs="Arial"/>
          <w:rtl/>
        </w:rPr>
        <w:footnoteReference w:id="1909"/>
      </w:r>
      <w:r w:rsidRPr="00215402">
        <w:rPr>
          <w:rFonts w:cs="Arial"/>
          <w:rtl/>
        </w:rPr>
        <w:t>: מייחד להו מקום</w:t>
      </w:r>
      <w:r>
        <w:rPr>
          <w:rStyle w:val="a9"/>
          <w:rFonts w:cs="Arial"/>
          <w:rtl/>
        </w:rPr>
        <w:footnoteReference w:id="1910"/>
      </w:r>
      <w:r w:rsidRPr="00215402">
        <w:rPr>
          <w:rFonts w:cs="Arial"/>
          <w:rtl/>
        </w:rPr>
        <w:t>.</w:t>
      </w:r>
    </w:p>
    <w:p w14:paraId="513A1FB9" w14:textId="70FC0EA1" w:rsidR="00FE343C" w:rsidRPr="00CF62AC" w:rsidRDefault="00FE343C" w:rsidP="00434A6A">
      <w:pPr>
        <w:rPr>
          <w:u w:val="single"/>
          <w:rtl/>
        </w:rPr>
      </w:pPr>
      <w:r w:rsidRPr="00CF62AC">
        <w:rPr>
          <w:rFonts w:hint="cs"/>
          <w:u w:val="single"/>
          <w:rtl/>
        </w:rPr>
        <w:t xml:space="preserve">טלטול </w:t>
      </w:r>
      <w:r w:rsidR="00571B81">
        <w:rPr>
          <w:rFonts w:hint="cs"/>
          <w:u w:val="single"/>
          <w:rtl/>
        </w:rPr>
        <w:t>שאר דברים</w:t>
      </w:r>
      <w:r w:rsidRPr="00CF62AC">
        <w:rPr>
          <w:rFonts w:hint="cs"/>
          <w:u w:val="single"/>
          <w:rtl/>
        </w:rPr>
        <w:t xml:space="preserve"> ע"י ככר או תינוק:</w:t>
      </w:r>
    </w:p>
    <w:p w14:paraId="3DDFDC91" w14:textId="43B0B657" w:rsidR="00FE343C" w:rsidRPr="00CF62AC" w:rsidRDefault="00FE343C" w:rsidP="00434A6A">
      <w:pPr>
        <w:pStyle w:val="aa"/>
        <w:numPr>
          <w:ilvl w:val="0"/>
          <w:numId w:val="8"/>
        </w:numPr>
        <w:rPr>
          <w:rFonts w:cs="Arial"/>
          <w:rtl/>
        </w:rPr>
      </w:pPr>
      <w:r w:rsidRPr="00CF62AC">
        <w:rPr>
          <w:rFonts w:cs="Arial"/>
          <w:rtl/>
        </w:rPr>
        <w:t xml:space="preserve">רא"ש </w:t>
      </w:r>
      <w:r w:rsidRPr="00CF62AC">
        <w:rPr>
          <w:rFonts w:cs="Arial"/>
          <w:sz w:val="16"/>
          <w:szCs w:val="16"/>
          <w:rtl/>
        </w:rPr>
        <w:t>(כלל כב סי' ח)</w:t>
      </w:r>
      <w:r>
        <w:rPr>
          <w:rFonts w:cs="Arial" w:hint="cs"/>
          <w:rtl/>
        </w:rPr>
        <w:t xml:space="preserve"> ורי"ו</w:t>
      </w:r>
      <w:r w:rsidRPr="0023461B">
        <w:rPr>
          <w:rtl/>
        </w:rPr>
        <w:t xml:space="preserve"> </w:t>
      </w:r>
      <w:r w:rsidRPr="0023461B">
        <w:rPr>
          <w:rFonts w:cs="Arial" w:hint="cs"/>
          <w:sz w:val="16"/>
          <w:szCs w:val="16"/>
          <w:rtl/>
        </w:rPr>
        <w:t>(</w:t>
      </w:r>
      <w:r w:rsidRPr="0023461B">
        <w:rPr>
          <w:rFonts w:cs="Arial"/>
          <w:sz w:val="16"/>
          <w:szCs w:val="16"/>
          <w:rtl/>
        </w:rPr>
        <w:t>תא</w:t>
      </w:r>
      <w:r w:rsidRPr="0023461B">
        <w:rPr>
          <w:rFonts w:cs="Arial" w:hint="cs"/>
          <w:sz w:val="16"/>
          <w:szCs w:val="16"/>
          <w:rtl/>
        </w:rPr>
        <w:t>"</w:t>
      </w:r>
      <w:r w:rsidRPr="0023461B">
        <w:rPr>
          <w:rFonts w:cs="Arial"/>
          <w:sz w:val="16"/>
          <w:szCs w:val="16"/>
          <w:rtl/>
        </w:rPr>
        <w:t>ו ני</w:t>
      </w:r>
      <w:r w:rsidRPr="0023461B">
        <w:rPr>
          <w:rFonts w:cs="Arial" w:hint="cs"/>
          <w:sz w:val="16"/>
          <w:szCs w:val="16"/>
          <w:rtl/>
        </w:rPr>
        <w:t>"</w:t>
      </w:r>
      <w:r w:rsidRPr="0023461B">
        <w:rPr>
          <w:rFonts w:cs="Arial"/>
          <w:sz w:val="16"/>
          <w:szCs w:val="16"/>
          <w:rtl/>
        </w:rPr>
        <w:t>ב חי</w:t>
      </w:r>
      <w:r w:rsidRPr="0023461B">
        <w:rPr>
          <w:rFonts w:cs="Arial" w:hint="cs"/>
          <w:sz w:val="16"/>
          <w:szCs w:val="16"/>
          <w:rtl/>
        </w:rPr>
        <w:t>"</w:t>
      </w:r>
      <w:r w:rsidRPr="0023461B">
        <w:rPr>
          <w:rFonts w:cs="Arial"/>
          <w:sz w:val="16"/>
          <w:szCs w:val="16"/>
          <w:rtl/>
        </w:rPr>
        <w:t>ג פה ב</w:t>
      </w:r>
      <w:r w:rsidRPr="0023461B">
        <w:rPr>
          <w:rFonts w:cs="Arial" w:hint="cs"/>
          <w:sz w:val="16"/>
          <w:szCs w:val="16"/>
          <w:rtl/>
        </w:rPr>
        <w:t>)</w:t>
      </w:r>
      <w:r>
        <w:rPr>
          <w:rFonts w:cs="Arial" w:hint="cs"/>
          <w:rtl/>
        </w:rPr>
        <w:t xml:space="preserve">- </w:t>
      </w:r>
      <w:r w:rsidRPr="005B618A">
        <w:rPr>
          <w:rFonts w:cs="Arial"/>
          <w:rtl/>
        </w:rPr>
        <w:t>דבר המוקצה מחמת מלאכתו שהיא מלאכת איסור</w:t>
      </w:r>
      <w:r>
        <w:rPr>
          <w:rFonts w:cs="Arial" w:hint="cs"/>
          <w:rtl/>
        </w:rPr>
        <w:t>,</w:t>
      </w:r>
      <w:r w:rsidRPr="005B618A">
        <w:rPr>
          <w:rFonts w:cs="Arial"/>
          <w:rtl/>
        </w:rPr>
        <w:t xml:space="preserve"> כקורנס הנפחים וכיוצא בהן</w:t>
      </w:r>
      <w:r>
        <w:rPr>
          <w:rFonts w:cs="Arial" w:hint="cs"/>
          <w:rtl/>
        </w:rPr>
        <w:t>,</w:t>
      </w:r>
      <w:r w:rsidRPr="005B618A">
        <w:rPr>
          <w:rFonts w:cs="Arial"/>
          <w:rtl/>
        </w:rPr>
        <w:t xml:space="preserve"> מותר לטלטל לצורך גופו ולצורך מקומו אבל מחמה לצל על ידו לא</w:t>
      </w:r>
      <w:r>
        <w:rPr>
          <w:rFonts w:cs="Arial" w:hint="cs"/>
          <w:rtl/>
        </w:rPr>
        <w:t>.</w:t>
      </w:r>
      <w:r w:rsidRPr="005B618A">
        <w:rPr>
          <w:rFonts w:cs="Arial"/>
          <w:rtl/>
        </w:rPr>
        <w:t xml:space="preserve"> אבל יש לו היתר אפילו מחמה לצל על ידי ככר או תינוק</w:t>
      </w:r>
      <w:r>
        <w:rPr>
          <w:rStyle w:val="a9"/>
          <w:rFonts w:cs="Arial"/>
          <w:rtl/>
        </w:rPr>
        <w:footnoteReference w:id="1911"/>
      </w:r>
      <w:r w:rsidRPr="00125184">
        <w:rPr>
          <w:rFonts w:cs="Arial" w:hint="cs"/>
          <w:rtl/>
        </w:rPr>
        <w:t>...</w:t>
      </w:r>
      <w:r w:rsidRPr="00125184">
        <w:rPr>
          <w:rFonts w:cs="Arial"/>
          <w:rtl/>
        </w:rPr>
        <w:t xml:space="preserve"> </w:t>
      </w:r>
      <w:r w:rsidRPr="005B618A">
        <w:rPr>
          <w:rFonts w:cs="Arial"/>
          <w:rtl/>
        </w:rPr>
        <w:t>כיון שיש עליה תורת כלי</w:t>
      </w:r>
      <w:r>
        <w:rPr>
          <w:rStyle w:val="a9"/>
          <w:rFonts w:cs="Arial"/>
          <w:rtl/>
        </w:rPr>
        <w:footnoteReference w:id="1912"/>
      </w:r>
      <w:r>
        <w:rPr>
          <w:rFonts w:cs="Arial" w:hint="cs"/>
          <w:sz w:val="16"/>
          <w:szCs w:val="16"/>
          <w:rtl/>
        </w:rPr>
        <w:t xml:space="preserve"> (ל' הרא"ש)</w:t>
      </w:r>
      <w:r w:rsidRPr="005B618A">
        <w:rPr>
          <w:rFonts w:cs="Arial"/>
          <w:rtl/>
        </w:rPr>
        <w:t>.</w:t>
      </w:r>
      <w:r>
        <w:rPr>
          <w:rFonts w:cs="Arial" w:hint="cs"/>
          <w:rtl/>
        </w:rPr>
        <w:t xml:space="preserve"> </w:t>
      </w:r>
      <w:r w:rsidRPr="00431AF6">
        <w:rPr>
          <w:rFonts w:cs="Arial" w:hint="cs"/>
          <w:color w:val="E36C0A" w:themeColor="accent6" w:themeShade="BF"/>
          <w:rtl/>
        </w:rPr>
        <w:t>(וכ"</w:t>
      </w:r>
      <w:r>
        <w:rPr>
          <w:rFonts w:cs="Arial" w:hint="cs"/>
          <w:color w:val="E36C0A" w:themeColor="accent6" w:themeShade="BF"/>
          <w:rtl/>
        </w:rPr>
        <w:t>כ</w:t>
      </w:r>
      <w:r w:rsidRPr="00431AF6">
        <w:rPr>
          <w:rFonts w:cs="Arial" w:hint="cs"/>
          <w:color w:val="E36C0A" w:themeColor="accent6" w:themeShade="BF"/>
          <w:rtl/>
        </w:rPr>
        <w:t xml:space="preserve"> בשו"ע</w:t>
      </w:r>
      <w:r>
        <w:rPr>
          <w:rFonts w:cs="Arial" w:hint="cs"/>
          <w:color w:val="000000" w:themeColor="text1"/>
          <w:sz w:val="16"/>
          <w:szCs w:val="16"/>
          <w:rtl/>
        </w:rPr>
        <w:t xml:space="preserve"> </w:t>
      </w:r>
      <w:r w:rsidRPr="00A449B0">
        <w:rPr>
          <w:rFonts w:cs="Arial" w:hint="cs"/>
          <w:color w:val="000000" w:themeColor="text1"/>
          <w:sz w:val="16"/>
          <w:szCs w:val="16"/>
          <w:rtl/>
        </w:rPr>
        <w:t>[</w:t>
      </w:r>
      <w:r>
        <w:rPr>
          <w:rFonts w:cs="Arial" w:hint="cs"/>
          <w:color w:val="000000" w:themeColor="text1"/>
          <w:sz w:val="16"/>
          <w:szCs w:val="16"/>
          <w:rtl/>
        </w:rPr>
        <w:t>בסי' שח ס"ה]</w:t>
      </w:r>
      <w:r w:rsidRPr="00431AF6">
        <w:rPr>
          <w:rFonts w:cs="Arial" w:hint="cs"/>
          <w:color w:val="E36C0A" w:themeColor="accent6" w:themeShade="BF"/>
          <w:rtl/>
        </w:rPr>
        <w:t>)</w:t>
      </w:r>
      <w:r w:rsidRPr="006F3544">
        <w:rPr>
          <w:rFonts w:cs="Arial" w:hint="cs"/>
          <w:rtl/>
        </w:rPr>
        <w:t xml:space="preserve"> </w:t>
      </w:r>
    </w:p>
    <w:p w14:paraId="501D70C7" w14:textId="119179B3" w:rsidR="00FE343C" w:rsidRDefault="00FE343C" w:rsidP="00434A6A">
      <w:pPr>
        <w:pStyle w:val="aa"/>
        <w:numPr>
          <w:ilvl w:val="0"/>
          <w:numId w:val="8"/>
        </w:numPr>
        <w:rPr>
          <w:rFonts w:cs="Arial"/>
        </w:rPr>
      </w:pPr>
      <w:r w:rsidRPr="00CF62AC">
        <w:rPr>
          <w:rFonts w:cs="Arial"/>
          <w:rtl/>
        </w:rPr>
        <w:t xml:space="preserve">בעל ההשלמה </w:t>
      </w:r>
      <w:r w:rsidRPr="005A4AAA">
        <w:rPr>
          <w:rFonts w:cs="Arial"/>
          <w:sz w:val="16"/>
          <w:szCs w:val="16"/>
          <w:rtl/>
        </w:rPr>
        <w:t>(שבת קכג.</w:t>
      </w:r>
      <w:r w:rsidRPr="005A4AAA">
        <w:rPr>
          <w:rFonts w:cs="Arial" w:hint="cs"/>
          <w:sz w:val="16"/>
          <w:szCs w:val="16"/>
          <w:rtl/>
        </w:rPr>
        <w:t>, כ"כ בשמו הכלבו [</w:t>
      </w:r>
      <w:r w:rsidRPr="005A4AAA">
        <w:rPr>
          <w:rFonts w:cs="Arial"/>
          <w:sz w:val="16"/>
          <w:szCs w:val="16"/>
          <w:rtl/>
        </w:rPr>
        <w:t>סי' לא, לב ע"ג</w:t>
      </w:r>
      <w:r w:rsidRPr="005A4AAA">
        <w:rPr>
          <w:rFonts w:cs="Arial" w:hint="cs"/>
          <w:sz w:val="16"/>
          <w:szCs w:val="16"/>
          <w:rtl/>
        </w:rPr>
        <w:t>]</w:t>
      </w:r>
      <w:r w:rsidRPr="005A4AAA">
        <w:rPr>
          <w:rFonts w:cs="Arial"/>
          <w:sz w:val="16"/>
          <w:szCs w:val="16"/>
          <w:rtl/>
        </w:rPr>
        <w:t>)</w:t>
      </w:r>
      <w:r>
        <w:rPr>
          <w:rFonts w:cs="Arial" w:hint="cs"/>
          <w:rtl/>
        </w:rPr>
        <w:t xml:space="preserve">- </w:t>
      </w:r>
      <w:r w:rsidRPr="00CF62AC">
        <w:rPr>
          <w:rFonts w:cs="Arial"/>
          <w:rtl/>
        </w:rPr>
        <w:t>אסור</w:t>
      </w:r>
      <w:r w:rsidR="009C7994">
        <w:rPr>
          <w:rFonts w:cs="Arial" w:hint="cs"/>
          <w:rtl/>
        </w:rPr>
        <w:t xml:space="preserve"> לטלטל שאר דברים ע"י ככר או תינוק</w:t>
      </w:r>
      <w:r>
        <w:rPr>
          <w:rFonts w:cs="Arial" w:hint="cs"/>
          <w:rtl/>
        </w:rPr>
        <w:t>.</w:t>
      </w:r>
      <w:r w:rsidRPr="006F3544">
        <w:rPr>
          <w:rFonts w:cs="Arial" w:hint="cs"/>
          <w:rtl/>
        </w:rPr>
        <w:t xml:space="preserve"> </w:t>
      </w:r>
    </w:p>
    <w:p w14:paraId="147C74C9" w14:textId="6F6C584C" w:rsidR="00FE343C" w:rsidRDefault="00FE343C" w:rsidP="00434A6A">
      <w:pPr>
        <w:pStyle w:val="aa"/>
        <w:numPr>
          <w:ilvl w:val="0"/>
          <w:numId w:val="8"/>
        </w:numPr>
        <w:rPr>
          <w:rFonts w:cs="Arial"/>
        </w:rPr>
      </w:pPr>
      <w:r>
        <w:rPr>
          <w:rFonts w:cs="Arial" w:hint="cs"/>
          <w:rtl/>
        </w:rPr>
        <w:t xml:space="preserve">טור- </w:t>
      </w:r>
      <w:r w:rsidRPr="00105AF1">
        <w:rPr>
          <w:rFonts w:cs="Arial"/>
          <w:rtl/>
        </w:rPr>
        <w:t>מת שמוטל</w:t>
      </w:r>
      <w:r>
        <w:rPr>
          <w:rFonts w:cs="Arial" w:hint="cs"/>
          <w:rtl/>
        </w:rPr>
        <w:t>...</w:t>
      </w:r>
      <w:r w:rsidRPr="00105AF1">
        <w:rPr>
          <w:rFonts w:cs="Arial"/>
          <w:rtl/>
        </w:rPr>
        <w:t xml:space="preserve"> בחמה או בבזיון כגון שהוא מסריח אם יש לו ככר או תינוק מניחו עליו ומטלטלו על ידו</w:t>
      </w:r>
      <w:r>
        <w:rPr>
          <w:rFonts w:cs="Arial" w:hint="cs"/>
          <w:rtl/>
        </w:rPr>
        <w:t>...</w:t>
      </w:r>
      <w:r w:rsidRPr="00105AF1">
        <w:rPr>
          <w:rFonts w:cs="Arial"/>
          <w:rtl/>
        </w:rPr>
        <w:t xml:space="preserve"> אבל כל שאר דברים האסורין לטלטל לא התירו ע"י ככר או תינוק</w:t>
      </w:r>
      <w:r>
        <w:rPr>
          <w:rStyle w:val="a9"/>
          <w:rFonts w:cs="Arial"/>
          <w:rtl/>
        </w:rPr>
        <w:footnoteReference w:id="1913"/>
      </w:r>
      <w:r>
        <w:rPr>
          <w:rFonts w:cs="Arial" w:hint="cs"/>
          <w:rtl/>
        </w:rPr>
        <w:t>.</w:t>
      </w:r>
      <w:r w:rsidRPr="00105AF1">
        <w:rPr>
          <w:rFonts w:cs="Arial"/>
          <w:rtl/>
        </w:rPr>
        <w:t xml:space="preserve"> הלכך אותם שמטלטלים מנורה שהדליקו עליה בשבת ע"י ככר או תינוק לא יפה הם עושים</w:t>
      </w:r>
      <w:r>
        <w:rPr>
          <w:rStyle w:val="a9"/>
          <w:rFonts w:cs="Arial"/>
          <w:rtl/>
        </w:rPr>
        <w:footnoteReference w:id="1914"/>
      </w:r>
      <w:r>
        <w:rPr>
          <w:rFonts w:cs="Arial" w:hint="cs"/>
          <w:rtl/>
        </w:rPr>
        <w:t xml:space="preserve">. </w:t>
      </w:r>
      <w:r w:rsidRPr="00431AF6">
        <w:rPr>
          <w:rFonts w:cs="Arial" w:hint="cs"/>
          <w:color w:val="E36C0A" w:themeColor="accent6" w:themeShade="BF"/>
          <w:rtl/>
        </w:rPr>
        <w:t>(וכ"</w:t>
      </w:r>
      <w:r>
        <w:rPr>
          <w:rFonts w:cs="Arial" w:hint="cs"/>
          <w:color w:val="E36C0A" w:themeColor="accent6" w:themeShade="BF"/>
          <w:rtl/>
        </w:rPr>
        <w:t>פ</w:t>
      </w:r>
      <w:r w:rsidRPr="00431AF6">
        <w:rPr>
          <w:rFonts w:cs="Arial" w:hint="cs"/>
          <w:color w:val="E36C0A" w:themeColor="accent6" w:themeShade="BF"/>
          <w:rtl/>
        </w:rPr>
        <w:t xml:space="preserve"> בשו"ע</w:t>
      </w:r>
      <w:r>
        <w:rPr>
          <w:rFonts w:cs="Arial" w:hint="cs"/>
          <w:color w:val="E36C0A" w:themeColor="accent6" w:themeShade="BF"/>
          <w:sz w:val="16"/>
          <w:szCs w:val="16"/>
          <w:rtl/>
        </w:rPr>
        <w:t xml:space="preserve"> </w:t>
      </w:r>
      <w:r w:rsidRPr="00A449B0">
        <w:rPr>
          <w:rFonts w:cs="Arial" w:hint="cs"/>
          <w:color w:val="000000" w:themeColor="text1"/>
          <w:sz w:val="16"/>
          <w:szCs w:val="16"/>
          <w:rtl/>
        </w:rPr>
        <w:t>[</w:t>
      </w:r>
      <w:r>
        <w:rPr>
          <w:rFonts w:cs="Arial" w:hint="cs"/>
          <w:color w:val="000000" w:themeColor="text1"/>
          <w:sz w:val="16"/>
          <w:szCs w:val="16"/>
          <w:rtl/>
        </w:rPr>
        <w:t>כאן, ובסי' רעט ס"ג]</w:t>
      </w:r>
      <w:r w:rsidRPr="00431AF6">
        <w:rPr>
          <w:rFonts w:cs="Arial" w:hint="cs"/>
          <w:color w:val="E36C0A" w:themeColor="accent6" w:themeShade="BF"/>
          <w:rtl/>
        </w:rPr>
        <w:t>)</w:t>
      </w:r>
      <w:r>
        <w:rPr>
          <w:rFonts w:cs="Arial" w:hint="cs"/>
          <w:rtl/>
        </w:rPr>
        <w:t xml:space="preserve"> (וכ"פ הט"ז</w:t>
      </w:r>
      <w:r>
        <w:rPr>
          <w:rFonts w:cs="Arial" w:hint="cs"/>
          <w:sz w:val="16"/>
          <w:szCs w:val="16"/>
          <w:rtl/>
        </w:rPr>
        <w:t xml:space="preserve"> [סי' שח סק"ד]</w:t>
      </w:r>
      <w:r>
        <w:rPr>
          <w:rFonts w:cs="Arial" w:hint="cs"/>
          <w:rtl/>
        </w:rPr>
        <w:t>)</w:t>
      </w:r>
    </w:p>
    <w:p w14:paraId="28707236" w14:textId="25163C70" w:rsidR="00A40475" w:rsidRPr="00FE343C" w:rsidRDefault="00FE343C" w:rsidP="00434A6A">
      <w:pPr>
        <w:rPr>
          <w:u w:val="single"/>
        </w:rPr>
      </w:pPr>
      <w:r w:rsidRPr="00FE343C">
        <w:rPr>
          <w:rFonts w:hint="cs"/>
          <w:u w:val="single"/>
          <w:rtl/>
        </w:rPr>
        <w:t>זילוף חומץ על המת על מנת שלא יסריח:</w:t>
      </w:r>
      <w:r>
        <w:rPr>
          <w:rFonts w:cs="Arial" w:hint="cs"/>
          <w:sz w:val="16"/>
          <w:szCs w:val="16"/>
          <w:rtl/>
        </w:rPr>
        <w:t xml:space="preserve"> </w:t>
      </w:r>
      <w:r w:rsidRPr="00FE343C">
        <w:rPr>
          <w:rFonts w:cs="Arial"/>
          <w:sz w:val="16"/>
          <w:szCs w:val="16"/>
          <w:rtl/>
        </w:rPr>
        <w:t xml:space="preserve"> (</w:t>
      </w:r>
      <w:r>
        <w:rPr>
          <w:rFonts w:cs="Arial" w:hint="cs"/>
          <w:sz w:val="16"/>
          <w:szCs w:val="16"/>
          <w:rtl/>
        </w:rPr>
        <w:t xml:space="preserve">דרכ"מ אות </w:t>
      </w:r>
      <w:r w:rsidRPr="00FE343C">
        <w:rPr>
          <w:rFonts w:cs="Arial"/>
          <w:sz w:val="16"/>
          <w:szCs w:val="16"/>
          <w:rtl/>
        </w:rPr>
        <w:t>ה)</w:t>
      </w:r>
    </w:p>
    <w:p w14:paraId="01116D0D" w14:textId="5D242935" w:rsidR="00CE068E" w:rsidRPr="00C8594B" w:rsidRDefault="00CE068E" w:rsidP="00434A6A">
      <w:pPr>
        <w:pStyle w:val="aa"/>
        <w:numPr>
          <w:ilvl w:val="0"/>
          <w:numId w:val="15"/>
        </w:numPr>
      </w:pPr>
      <w:r w:rsidRPr="009679F9">
        <w:rPr>
          <w:rFonts w:cs="Arial"/>
          <w:rtl/>
        </w:rPr>
        <w:t>שלט</w:t>
      </w:r>
      <w:r w:rsidR="00FE343C">
        <w:rPr>
          <w:rFonts w:cs="Arial" w:hint="cs"/>
          <w:rtl/>
        </w:rPr>
        <w:t>"ג</w:t>
      </w:r>
      <w:r w:rsidRPr="009679F9">
        <w:rPr>
          <w:rFonts w:cs="Arial"/>
          <w:rtl/>
        </w:rPr>
        <w:t xml:space="preserve"> </w:t>
      </w:r>
      <w:r w:rsidR="00FE343C" w:rsidRPr="00FE343C">
        <w:rPr>
          <w:rFonts w:cs="Arial" w:hint="cs"/>
          <w:sz w:val="16"/>
          <w:szCs w:val="16"/>
          <w:rtl/>
        </w:rPr>
        <w:t xml:space="preserve">(שבת </w:t>
      </w:r>
      <w:r w:rsidRPr="00FE343C">
        <w:rPr>
          <w:rFonts w:cs="Arial"/>
          <w:sz w:val="16"/>
          <w:szCs w:val="16"/>
          <w:rtl/>
        </w:rPr>
        <w:t>כ: אות ב)</w:t>
      </w:r>
      <w:r w:rsidR="00FE343C">
        <w:rPr>
          <w:rFonts w:cs="Arial" w:hint="cs"/>
          <w:rtl/>
        </w:rPr>
        <w:t xml:space="preserve">- </w:t>
      </w:r>
      <w:r w:rsidRPr="009679F9">
        <w:rPr>
          <w:rFonts w:cs="Arial"/>
          <w:rtl/>
        </w:rPr>
        <w:t>שפיר דמי לזלף חומץ על בגדים שעל המת בשבת בשביל שלא יסריח למוצאי שבת ויוכלו להתעסק בטהרתו</w:t>
      </w:r>
      <w:r w:rsidR="00FE343C">
        <w:rPr>
          <w:rFonts w:cs="Arial" w:hint="cs"/>
          <w:rtl/>
        </w:rPr>
        <w:t>,</w:t>
      </w:r>
      <w:r w:rsidRPr="009679F9">
        <w:rPr>
          <w:rFonts w:cs="Arial"/>
          <w:rtl/>
        </w:rPr>
        <w:t xml:space="preserve"> דהא אין מטלטלין אותו אלא שנוגעים בו ואין איסור בנגיעת המוקצה אלא בטלטולו</w:t>
      </w:r>
      <w:r w:rsidR="00FE343C">
        <w:rPr>
          <w:rFonts w:cs="Arial" w:hint="cs"/>
          <w:rtl/>
        </w:rPr>
        <w:t>.</w:t>
      </w:r>
      <w:r w:rsidRPr="009679F9">
        <w:rPr>
          <w:rFonts w:cs="Arial"/>
          <w:rtl/>
        </w:rPr>
        <w:t xml:space="preserve"> ובבגדים שעליו אין לגזור משום סחיטה</w:t>
      </w:r>
      <w:r w:rsidR="00FE343C">
        <w:rPr>
          <w:rFonts w:cs="Arial" w:hint="cs"/>
          <w:rtl/>
        </w:rPr>
        <w:t>.</w:t>
      </w:r>
    </w:p>
    <w:p w14:paraId="04D39475" w14:textId="77777777" w:rsidR="00EF7C96" w:rsidRPr="005275DF" w:rsidRDefault="00EF7C96" w:rsidP="00434A6A">
      <w:pPr>
        <w:rPr>
          <w:rFonts w:asciiTheme="minorBidi" w:hAnsiTheme="minorBidi"/>
          <w:rtl/>
        </w:rPr>
      </w:pPr>
      <w:r w:rsidRPr="005275DF">
        <w:rPr>
          <w:rFonts w:asciiTheme="minorBidi" w:hAnsiTheme="minorBidi"/>
          <w:b/>
          <w:bCs/>
          <w:sz w:val="32"/>
          <w:szCs w:val="28"/>
          <w:u w:val="single"/>
          <w:rtl/>
        </w:rPr>
        <w:t xml:space="preserve">שו"ע: </w:t>
      </w:r>
    </w:p>
    <w:p w14:paraId="5886DB01" w14:textId="570CC070" w:rsidR="000C6229" w:rsidRPr="005275DF" w:rsidRDefault="000C6229" w:rsidP="00434A6A">
      <w:pPr>
        <w:rPr>
          <w:rFonts w:asciiTheme="minorBidi" w:hAnsiTheme="minorBidi"/>
          <w:rtl/>
        </w:rPr>
      </w:pPr>
      <w:r w:rsidRPr="005275DF">
        <w:rPr>
          <w:rFonts w:asciiTheme="minorBidi" w:hAnsiTheme="minorBidi"/>
          <w:rtl/>
        </w:rPr>
        <w:t>אם צריך למקום המת או לדבר שהמת מונח עליו, מותר לטלטלו מן הצד דהיינו שהופכו ממטה למטה כיון דלצורך דבר המותר הוא</w:t>
      </w:r>
      <w:r w:rsidR="00A40475">
        <w:rPr>
          <w:rFonts w:asciiTheme="minorBidi" w:hAnsiTheme="minorBidi" w:hint="cs"/>
          <w:rtl/>
        </w:rPr>
        <w:t>.</w:t>
      </w:r>
      <w:r w:rsidRPr="005275DF">
        <w:rPr>
          <w:rFonts w:asciiTheme="minorBidi" w:hAnsiTheme="minorBidi"/>
          <w:rtl/>
        </w:rPr>
        <w:t xml:space="preserve"> לא התירו לטלטל ע</w:t>
      </w:r>
      <w:r w:rsidR="00275706">
        <w:rPr>
          <w:rFonts w:asciiTheme="minorBidi" w:hAnsiTheme="minorBidi" w:hint="cs"/>
          <w:rtl/>
        </w:rPr>
        <w:t>ל ידי</w:t>
      </w:r>
      <w:r w:rsidRPr="005275DF">
        <w:rPr>
          <w:rFonts w:asciiTheme="minorBidi" w:hAnsiTheme="minorBidi"/>
          <w:rtl/>
        </w:rPr>
        <w:t xml:space="preserve"> ככר או תינוק אלא במת בלבד, אבל לא בשאר דברים האסורים לטלטל. </w:t>
      </w:r>
    </w:p>
    <w:p w14:paraId="488CA2C2" w14:textId="77777777" w:rsidR="000C6229" w:rsidRPr="005275DF" w:rsidRDefault="000C6229" w:rsidP="00434A6A">
      <w:pPr>
        <w:rPr>
          <w:rFonts w:asciiTheme="minorBidi" w:hAnsiTheme="minorBidi"/>
          <w:rtl/>
        </w:rPr>
      </w:pPr>
    </w:p>
    <w:p w14:paraId="564CCDCF" w14:textId="01D3C6A1" w:rsidR="000C6229" w:rsidRDefault="000C6229" w:rsidP="00434A6A">
      <w:pPr>
        <w:pStyle w:val="2"/>
        <w:rPr>
          <w:rtl/>
        </w:rPr>
      </w:pPr>
      <w:r w:rsidRPr="005275DF">
        <w:rPr>
          <w:rtl/>
        </w:rPr>
        <w:t>סעיף ו</w:t>
      </w:r>
      <w:r w:rsidR="00571B81">
        <w:rPr>
          <w:rFonts w:hint="cs"/>
          <w:rtl/>
        </w:rPr>
        <w:t>: מת המוטל בחמה ורוצים לעשות עליו צל שלא יסריח.</w:t>
      </w:r>
    </w:p>
    <w:p w14:paraId="062073AF" w14:textId="571FE79B" w:rsidR="00947823" w:rsidRDefault="00947823" w:rsidP="00434A6A">
      <w:pPr>
        <w:rPr>
          <w:rFonts w:cs="Arial"/>
          <w:rtl/>
        </w:rPr>
      </w:pPr>
      <w:r w:rsidRPr="002A45F7">
        <w:rPr>
          <w:rFonts w:hint="cs"/>
          <w:b/>
          <w:bCs/>
          <w:rtl/>
        </w:rPr>
        <w:t xml:space="preserve">שבת </w:t>
      </w:r>
      <w:r>
        <w:rPr>
          <w:rFonts w:hint="cs"/>
          <w:b/>
          <w:bCs/>
          <w:sz w:val="16"/>
          <w:szCs w:val="16"/>
          <w:rtl/>
        </w:rPr>
        <w:t>(פ' כירה)</w:t>
      </w:r>
      <w:r>
        <w:rPr>
          <w:rFonts w:hint="cs"/>
          <w:b/>
          <w:bCs/>
          <w:rtl/>
        </w:rPr>
        <w:t xml:space="preserve"> מג</w:t>
      </w:r>
      <w:r w:rsidRPr="002A45F7">
        <w:rPr>
          <w:rFonts w:hint="cs"/>
          <w:b/>
          <w:bCs/>
          <w:rtl/>
        </w:rPr>
        <w:t xml:space="preserve"> ע"</w:t>
      </w:r>
      <w:r w:rsidR="00CD2DDD">
        <w:rPr>
          <w:rFonts w:hint="cs"/>
          <w:b/>
          <w:bCs/>
          <w:rtl/>
        </w:rPr>
        <w:t>א</w:t>
      </w:r>
      <w:r w:rsidRPr="002A45F7">
        <w:rPr>
          <w:rFonts w:hint="cs"/>
          <w:b/>
          <w:bCs/>
          <w:rtl/>
        </w:rPr>
        <w:t>:</w:t>
      </w:r>
      <w:r>
        <w:rPr>
          <w:rFonts w:cs="Arial" w:hint="cs"/>
          <w:rtl/>
        </w:rPr>
        <w:t xml:space="preserve"> </w:t>
      </w:r>
      <w:r w:rsidR="00CD2DDD" w:rsidRPr="00CD2DDD">
        <w:rPr>
          <w:rFonts w:cs="Arial"/>
          <w:u w:val="single"/>
          <w:rtl/>
        </w:rPr>
        <w:t>אמר רבי יצחק</w:t>
      </w:r>
      <w:r w:rsidR="00CD2DDD" w:rsidRPr="00CD2DDD">
        <w:rPr>
          <w:rFonts w:cs="Arial"/>
          <w:rtl/>
        </w:rPr>
        <w:t>: כשם שאין נותנין כלי תחת תרנגולת לקבל ביצתה - כך אין כופין עליה כלי בשביל שלא תשבר. קסבר: אין כלי ניטל אלא לדבר הניטל בשבת.</w:t>
      </w:r>
      <w:r w:rsidR="00CD2DDD">
        <w:rPr>
          <w:rFonts w:cs="Arial" w:hint="cs"/>
          <w:rtl/>
        </w:rPr>
        <w:t>..</w:t>
      </w:r>
      <w:r w:rsidR="00CD2DDD">
        <w:rPr>
          <w:rFonts w:cs="Arial" w:hint="cs"/>
          <w:sz w:val="14"/>
          <w:szCs w:val="14"/>
          <w:rtl/>
        </w:rPr>
        <w:t xml:space="preserve"> (מד.)</w:t>
      </w:r>
      <w:r w:rsidR="00CD2DDD" w:rsidRPr="00CD2DDD">
        <w:rPr>
          <w:rFonts w:cs="Arial"/>
          <w:rtl/>
        </w:rPr>
        <w:t xml:space="preserve"> </w:t>
      </w:r>
      <w:r w:rsidRPr="00CD2DDD">
        <w:rPr>
          <w:rFonts w:cs="Arial"/>
          <w:u w:val="single"/>
          <w:rtl/>
        </w:rPr>
        <w:t>אמר להו רב ששת</w:t>
      </w:r>
      <w:r w:rsidRPr="00947823">
        <w:rPr>
          <w:rFonts w:cs="Arial"/>
          <w:rtl/>
        </w:rPr>
        <w:t>: פוקו ואמרו ליה לרבי יצחק: כבר תרגמא רב הונא לשמעתיך</w:t>
      </w:r>
      <w:r w:rsidR="00CD2DDD">
        <w:rPr>
          <w:rStyle w:val="a9"/>
          <w:rFonts w:cs="Arial"/>
          <w:rtl/>
        </w:rPr>
        <w:footnoteReference w:id="1915"/>
      </w:r>
      <w:r w:rsidRPr="00947823">
        <w:rPr>
          <w:rFonts w:cs="Arial"/>
          <w:rtl/>
        </w:rPr>
        <w:t xml:space="preserve"> בבבל. </w:t>
      </w:r>
      <w:r w:rsidRPr="00DD624C">
        <w:rPr>
          <w:rFonts w:cs="Arial"/>
          <w:u w:val="single"/>
          <w:rtl/>
        </w:rPr>
        <w:t>דאמר רב הונא</w:t>
      </w:r>
      <w:r w:rsidRPr="00947823">
        <w:rPr>
          <w:rFonts w:cs="Arial"/>
          <w:rtl/>
        </w:rPr>
        <w:t>: עושין מחיצה למת בשביל חי, ואין עושין מחיצה למת בשביל מת. מאי היא? דאמר רב שמואל בר יהודה, וכן תנא שילא מרי: מת המוטל בחמה</w:t>
      </w:r>
      <w:r w:rsidR="00CD2DDD">
        <w:rPr>
          <w:rStyle w:val="a9"/>
          <w:rFonts w:cs="Arial"/>
          <w:rtl/>
        </w:rPr>
        <w:footnoteReference w:id="1916"/>
      </w:r>
      <w:r w:rsidRPr="00947823">
        <w:rPr>
          <w:rFonts w:cs="Arial"/>
          <w:rtl/>
        </w:rPr>
        <w:t xml:space="preserve"> באים שני בני אדם ויושבין בצדו</w:t>
      </w:r>
      <w:r w:rsidR="00CD2DDD">
        <w:rPr>
          <w:rStyle w:val="a9"/>
          <w:rFonts w:cs="Arial"/>
          <w:rtl/>
        </w:rPr>
        <w:footnoteReference w:id="1917"/>
      </w:r>
      <w:r w:rsidRPr="00947823">
        <w:rPr>
          <w:rFonts w:cs="Arial"/>
          <w:rtl/>
        </w:rPr>
        <w:t>, חם להם מלמטה - זה מביא מטה ויושב עליה. וזה מביא מטה ויושב עליה. חם להם מלמעלה - מביאים מחצלת ופורסין</w:t>
      </w:r>
      <w:r w:rsidR="00CD2DDD">
        <w:rPr>
          <w:rStyle w:val="a9"/>
          <w:rFonts w:cs="Arial"/>
          <w:rtl/>
        </w:rPr>
        <w:footnoteReference w:id="1918"/>
      </w:r>
      <w:r w:rsidRPr="00947823">
        <w:rPr>
          <w:rFonts w:cs="Arial"/>
          <w:rtl/>
        </w:rPr>
        <w:t xml:space="preserve"> עליהן. זה זוקף מטתו</w:t>
      </w:r>
      <w:r w:rsidR="00CD2DDD">
        <w:rPr>
          <w:rStyle w:val="a9"/>
          <w:rFonts w:cs="Arial"/>
          <w:rtl/>
        </w:rPr>
        <w:footnoteReference w:id="1919"/>
      </w:r>
      <w:r w:rsidRPr="00947823">
        <w:rPr>
          <w:rFonts w:cs="Arial"/>
          <w:rtl/>
        </w:rPr>
        <w:t xml:space="preserve"> ונשמט והולך לו, וזה זוקף מטתו ונשמט והולך לו, ונמצאת מחיצה עשויה מאליה.</w:t>
      </w:r>
      <w:r w:rsidRPr="00F73B25">
        <w:rPr>
          <w:rFonts w:cs="Arial"/>
          <w:sz w:val="16"/>
          <w:szCs w:val="16"/>
          <w:rtl/>
        </w:rPr>
        <w:t xml:space="preserve"> </w:t>
      </w:r>
      <w:r w:rsidR="008C669E" w:rsidRPr="008C669E">
        <w:rPr>
          <w:rFonts w:cs="Arial" w:hint="cs"/>
          <w:sz w:val="16"/>
          <w:szCs w:val="16"/>
          <w:rtl/>
        </w:rPr>
        <w:t>(</w:t>
      </w:r>
      <w:r w:rsidR="00E52EAA" w:rsidRPr="008C669E">
        <w:rPr>
          <w:rFonts w:cs="Arial"/>
          <w:sz w:val="16"/>
          <w:szCs w:val="16"/>
          <w:rtl/>
        </w:rPr>
        <w:t>וכתבו התוספות (שבת מג: ד"ה חם להם) תימה בלא שום חום מאי איסור איכא שיביאו כל אחד מטה לישב עליה</w:t>
      </w:r>
      <w:r w:rsidR="00BF0ADE" w:rsidRPr="008C669E">
        <w:rPr>
          <w:rFonts w:cs="Arial" w:hint="cs"/>
          <w:sz w:val="16"/>
          <w:szCs w:val="16"/>
          <w:rtl/>
        </w:rPr>
        <w:t>,</w:t>
      </w:r>
      <w:r w:rsidR="00E52EAA" w:rsidRPr="008C669E">
        <w:rPr>
          <w:rFonts w:cs="Arial"/>
          <w:sz w:val="16"/>
          <w:szCs w:val="16"/>
          <w:rtl/>
        </w:rPr>
        <w:t xml:space="preserve"> ותו אמאי מייתי ברישא מטה והדר מחצלת</w:t>
      </w:r>
      <w:r w:rsidR="00BF0ADE" w:rsidRPr="008C669E">
        <w:rPr>
          <w:rFonts w:cs="Arial" w:hint="cs"/>
          <w:sz w:val="16"/>
          <w:szCs w:val="16"/>
          <w:rtl/>
        </w:rPr>
        <w:t>,</w:t>
      </w:r>
      <w:r w:rsidR="00E52EAA" w:rsidRPr="008C669E">
        <w:rPr>
          <w:rFonts w:cs="Arial"/>
          <w:sz w:val="16"/>
          <w:szCs w:val="16"/>
          <w:rtl/>
        </w:rPr>
        <w:t xml:space="preserve"> ימתינו עד שיחם להם גם למעלה ויביאו מטות ומחצלאות גם יחד</w:t>
      </w:r>
      <w:r w:rsidR="00BF0ADE" w:rsidRPr="008C669E">
        <w:rPr>
          <w:rFonts w:cs="Arial" w:hint="cs"/>
          <w:sz w:val="16"/>
          <w:szCs w:val="16"/>
          <w:rtl/>
        </w:rPr>
        <w:t>.</w:t>
      </w:r>
      <w:r w:rsidR="00E52EAA" w:rsidRPr="008C669E">
        <w:rPr>
          <w:rFonts w:cs="Arial"/>
          <w:sz w:val="16"/>
          <w:szCs w:val="16"/>
          <w:rtl/>
        </w:rPr>
        <w:t xml:space="preserve"> ונראה דאחמור רבנן למיעבד היכרא שהוא לצורך חי כל מאי דאפשר למיעבד עכ"ל</w:t>
      </w:r>
      <w:r w:rsidR="008C669E">
        <w:rPr>
          <w:rFonts w:cs="Arial" w:hint="cs"/>
          <w:sz w:val="16"/>
          <w:szCs w:val="16"/>
          <w:rtl/>
        </w:rPr>
        <w:t>, ב"י</w:t>
      </w:r>
      <w:r w:rsidR="007E3A32">
        <w:rPr>
          <w:rFonts w:cs="Arial" w:hint="cs"/>
          <w:sz w:val="16"/>
          <w:szCs w:val="16"/>
          <w:rtl/>
        </w:rPr>
        <w:t>. ועיין בהערה</w:t>
      </w:r>
      <w:r w:rsidR="007E3A32">
        <w:rPr>
          <w:rStyle w:val="a9"/>
          <w:rFonts w:cs="Arial"/>
          <w:sz w:val="16"/>
          <w:szCs w:val="16"/>
          <w:rtl/>
        </w:rPr>
        <w:footnoteReference w:id="1920"/>
      </w:r>
      <w:r w:rsidR="007E3A32">
        <w:rPr>
          <w:rFonts w:cs="Arial" w:hint="cs"/>
          <w:sz w:val="16"/>
          <w:szCs w:val="16"/>
          <w:rtl/>
        </w:rPr>
        <w:t xml:space="preserve"> שהקשה הב"י דלכאורה כל הגמרא הזו היא לשיטת ר' יצחק, ואנן לא קיי"ל כוותיה, וא"כ אפשר ליטול דבר הניטל, מיטות ומחצלאות, גם לצורך דבר שאינו ניטל, היינו לצורך המת, ולא צריך לעשות כאילו עושה לצורך החי</w:t>
      </w:r>
      <w:r w:rsidR="008C669E">
        <w:rPr>
          <w:rFonts w:cs="Arial" w:hint="cs"/>
          <w:sz w:val="16"/>
          <w:szCs w:val="16"/>
          <w:rtl/>
        </w:rPr>
        <w:t>)</w:t>
      </w:r>
    </w:p>
    <w:p w14:paraId="16264F99" w14:textId="77777777" w:rsidR="002D5888" w:rsidRPr="00571B81" w:rsidRDefault="002D5888" w:rsidP="00434A6A">
      <w:pPr>
        <w:rPr>
          <w:u w:val="single"/>
          <w:rtl/>
        </w:rPr>
      </w:pPr>
      <w:r w:rsidRPr="00571B81">
        <w:rPr>
          <w:rFonts w:hint="cs"/>
          <w:u w:val="single"/>
          <w:rtl/>
        </w:rPr>
        <w:t>מת המוטל בחמה ורוצ</w:t>
      </w:r>
      <w:r>
        <w:rPr>
          <w:rFonts w:hint="cs"/>
          <w:u w:val="single"/>
          <w:rtl/>
        </w:rPr>
        <w:t>ים</w:t>
      </w:r>
      <w:r w:rsidRPr="00571B81">
        <w:rPr>
          <w:rFonts w:hint="cs"/>
          <w:u w:val="single"/>
          <w:rtl/>
        </w:rPr>
        <w:t xml:space="preserve"> ל</w:t>
      </w:r>
      <w:r>
        <w:rPr>
          <w:rFonts w:hint="cs"/>
          <w:u w:val="single"/>
          <w:rtl/>
        </w:rPr>
        <w:t xml:space="preserve">עשות עליו צל </w:t>
      </w:r>
      <w:r w:rsidRPr="00571B81">
        <w:rPr>
          <w:rFonts w:hint="cs"/>
          <w:u w:val="single"/>
          <w:rtl/>
        </w:rPr>
        <w:t>שלא יסריח:</w:t>
      </w:r>
    </w:p>
    <w:p w14:paraId="60A2ED0C" w14:textId="77777777" w:rsidR="002D5888" w:rsidRPr="002D5888" w:rsidRDefault="002D5888" w:rsidP="00434A6A">
      <w:pPr>
        <w:pStyle w:val="aa"/>
        <w:numPr>
          <w:ilvl w:val="0"/>
          <w:numId w:val="15"/>
        </w:numPr>
      </w:pPr>
      <w:r>
        <w:rPr>
          <w:rFonts w:cs="Arial" w:hint="cs"/>
          <w:rtl/>
        </w:rPr>
        <w:t xml:space="preserve">טור- </w:t>
      </w:r>
      <w:r>
        <w:rPr>
          <w:rFonts w:cs="Arial"/>
          <w:rtl/>
        </w:rPr>
        <w:t>היה מוטל בחמה ואין לו מקום לפנותו אינו רשאי לעשות לו אהל להציל אלא באים שני בני אדם ויושבין בצידו חם להם מלמטה מביא כל אחד מטה ויושב עליה חם להם מלמעלה מביא כל אחד מחצלת ופורס על גבו וזוקף כל אחד מטתו ונשמט והולך לו בענין שתיעשה המחיצה מאיליה שנראה כאילו עשו לצורך החי שאין מחללין השבת לצורך מת אפילו באיסור דרבנן</w:t>
      </w:r>
      <w:r>
        <w:rPr>
          <w:rFonts w:cs="Arial" w:hint="cs"/>
          <w:rtl/>
        </w:rPr>
        <w:t>.</w:t>
      </w:r>
      <w:r>
        <w:rPr>
          <w:rFonts w:cs="Arial"/>
          <w:rtl/>
        </w:rPr>
        <w:t xml:space="preserve"> </w:t>
      </w:r>
    </w:p>
    <w:p w14:paraId="244CBDEB" w14:textId="79D1614F" w:rsidR="00E52EAA" w:rsidRPr="00E52EAA" w:rsidRDefault="00E52EAA" w:rsidP="00434A6A">
      <w:pPr>
        <w:pStyle w:val="aa"/>
        <w:numPr>
          <w:ilvl w:val="0"/>
          <w:numId w:val="15"/>
        </w:numPr>
        <w:rPr>
          <w:rtl/>
        </w:rPr>
      </w:pPr>
      <w:r w:rsidRPr="002D5888">
        <w:rPr>
          <w:rFonts w:cs="Arial"/>
          <w:rtl/>
        </w:rPr>
        <w:t xml:space="preserve">רמב"ם </w:t>
      </w:r>
      <w:r w:rsidRPr="002D5888">
        <w:rPr>
          <w:rFonts w:cs="Arial"/>
          <w:sz w:val="16"/>
          <w:szCs w:val="16"/>
          <w:rtl/>
        </w:rPr>
        <w:t>(</w:t>
      </w:r>
      <w:r w:rsidR="00BF0ADE" w:rsidRPr="002D5888">
        <w:rPr>
          <w:rFonts w:cs="Arial" w:hint="cs"/>
          <w:sz w:val="16"/>
          <w:szCs w:val="16"/>
          <w:rtl/>
        </w:rPr>
        <w:t xml:space="preserve">פכ"ו </w:t>
      </w:r>
      <w:r w:rsidRPr="002D5888">
        <w:rPr>
          <w:rFonts w:cs="Arial"/>
          <w:sz w:val="16"/>
          <w:szCs w:val="16"/>
          <w:rtl/>
        </w:rPr>
        <w:t>הכ"ב)</w:t>
      </w:r>
      <w:r w:rsidR="00BF0ADE" w:rsidRPr="002D5888">
        <w:rPr>
          <w:rFonts w:cs="Arial" w:hint="cs"/>
          <w:rtl/>
        </w:rPr>
        <w:t>-</w:t>
      </w:r>
      <w:r w:rsidR="00BF0ADE" w:rsidRPr="00BF0ADE">
        <w:rPr>
          <w:rtl/>
        </w:rPr>
        <w:t xml:space="preserve"> </w:t>
      </w:r>
      <w:r w:rsidR="00BF0ADE" w:rsidRPr="002D5888">
        <w:rPr>
          <w:rFonts w:cs="Arial"/>
          <w:rtl/>
        </w:rPr>
        <w:t>היה מוטל בחמה ואין להם מקום לטלטלו</w:t>
      </w:r>
      <w:r w:rsidR="00BF0ADE" w:rsidRPr="002D5888">
        <w:rPr>
          <w:rFonts w:cs="Arial" w:hint="cs"/>
          <w:rtl/>
        </w:rPr>
        <w:t>,</w:t>
      </w:r>
      <w:r w:rsidR="00BF0ADE" w:rsidRPr="002D5888">
        <w:rPr>
          <w:rFonts w:cs="Arial"/>
          <w:rtl/>
        </w:rPr>
        <w:t xml:space="preserve"> או שלא רצו להזיזו ממקומו</w:t>
      </w:r>
      <w:r w:rsidR="00BF0ADE" w:rsidRPr="002D5888">
        <w:rPr>
          <w:rFonts w:cs="Arial" w:hint="cs"/>
          <w:rtl/>
        </w:rPr>
        <w:t>,</w:t>
      </w:r>
      <w:r w:rsidR="00BF0ADE" w:rsidRPr="002D5888">
        <w:rPr>
          <w:rFonts w:cs="Arial"/>
          <w:rtl/>
        </w:rPr>
        <w:t xml:space="preserve"> באין שני בני אדם ויושבים משני צדדיו, חם להם מלמטה זה מביא מטתו ויושב עליה וזה מביא מטתו ויושב עליה, חם להם מלמעלה זה מביא מחצלת ופורש על גביו, וזה מביא מחצלת ופורש על גביו, זה זוקף מטתו ונשמט והולך לו וזה זוקף מטתו ונשמט והולך לו</w:t>
      </w:r>
      <w:r w:rsidR="002D5888" w:rsidRPr="002D5888">
        <w:rPr>
          <w:rFonts w:cs="Arial" w:hint="cs"/>
          <w:rtl/>
        </w:rPr>
        <w:t>,</w:t>
      </w:r>
      <w:r w:rsidR="00BF0ADE" w:rsidRPr="002D5888">
        <w:rPr>
          <w:rFonts w:cs="Arial"/>
          <w:rtl/>
        </w:rPr>
        <w:t xml:space="preserve"> ונמצא מחיצה עשויה מאליה, שהרי מחצלת זה ומחצלת זה גגיהן סמוכות זו לזו ושני קצותיהם על הקרקע משני צדי המת</w:t>
      </w:r>
      <w:r w:rsidR="002D5888">
        <w:rPr>
          <w:rStyle w:val="a9"/>
          <w:rFonts w:cs="Arial"/>
          <w:rtl/>
        </w:rPr>
        <w:footnoteReference w:id="1921"/>
      </w:r>
      <w:r w:rsidR="00647C93" w:rsidRPr="007E3A32">
        <w:rPr>
          <w:rFonts w:cs="Arial" w:hint="cs"/>
          <w:rtl/>
        </w:rPr>
        <w:t>.</w:t>
      </w:r>
      <w:r w:rsidR="007E3A32">
        <w:rPr>
          <w:rFonts w:hint="cs"/>
          <w:rtl/>
        </w:rPr>
        <w:t xml:space="preserve"> </w:t>
      </w:r>
      <w:r w:rsidR="007E3A32" w:rsidRPr="007E3A32">
        <w:rPr>
          <w:rFonts w:hint="cs"/>
          <w:color w:val="E36C0A" w:themeColor="accent6" w:themeShade="BF"/>
          <w:rtl/>
        </w:rPr>
        <w:t>(וכ"פ בשו"ע)</w:t>
      </w:r>
    </w:p>
    <w:p w14:paraId="43F308F9" w14:textId="77777777" w:rsidR="00EF7C96" w:rsidRPr="005275DF" w:rsidRDefault="00EF7C96" w:rsidP="00434A6A">
      <w:pPr>
        <w:rPr>
          <w:rFonts w:asciiTheme="minorBidi" w:hAnsiTheme="minorBidi"/>
          <w:rtl/>
        </w:rPr>
      </w:pPr>
      <w:r w:rsidRPr="005275DF">
        <w:rPr>
          <w:rFonts w:asciiTheme="minorBidi" w:hAnsiTheme="minorBidi"/>
          <w:b/>
          <w:bCs/>
          <w:sz w:val="32"/>
          <w:szCs w:val="28"/>
          <w:u w:val="single"/>
          <w:rtl/>
        </w:rPr>
        <w:t xml:space="preserve">שו"ע: </w:t>
      </w:r>
    </w:p>
    <w:p w14:paraId="5B80562A" w14:textId="32D2CCAB" w:rsidR="000C6229" w:rsidRPr="005275DF" w:rsidRDefault="000C6229" w:rsidP="00434A6A">
      <w:pPr>
        <w:rPr>
          <w:rFonts w:asciiTheme="minorBidi" w:hAnsiTheme="minorBidi"/>
          <w:rtl/>
        </w:rPr>
      </w:pPr>
      <w:r w:rsidRPr="005275DF">
        <w:rPr>
          <w:rFonts w:asciiTheme="minorBidi" w:hAnsiTheme="minorBidi"/>
          <w:rtl/>
        </w:rPr>
        <w:t>מת המוטל בחמה ואין להם מקום לטלטלו או שלא רצו להזיזו ממקומו, באין שני בני אדם ויושבים מ</w:t>
      </w:r>
      <w:r w:rsidR="007E3A32">
        <w:rPr>
          <w:rFonts w:asciiTheme="minorBidi" w:hAnsiTheme="minorBidi" w:hint="cs"/>
          <w:rtl/>
        </w:rPr>
        <w:t>שני</w:t>
      </w:r>
      <w:r w:rsidRPr="005275DF">
        <w:rPr>
          <w:rFonts w:asciiTheme="minorBidi" w:hAnsiTheme="minorBidi"/>
          <w:rtl/>
        </w:rPr>
        <w:t xml:space="preserve"> צדדיו, חם להם מלמטה זה מביא מטתו</w:t>
      </w:r>
      <w:r w:rsidR="007A7B6F">
        <w:rPr>
          <w:rStyle w:val="a9"/>
          <w:rFonts w:asciiTheme="minorBidi" w:hAnsiTheme="minorBidi"/>
          <w:rtl/>
        </w:rPr>
        <w:footnoteReference w:id="1922"/>
      </w:r>
      <w:r w:rsidRPr="005275DF">
        <w:rPr>
          <w:rFonts w:asciiTheme="minorBidi" w:hAnsiTheme="minorBidi"/>
          <w:rtl/>
        </w:rPr>
        <w:t xml:space="preserve"> ויושב עליה וזה מביא מטתו ויושב עליה, חם להם מלמעלה זה מביא מחצלת ופורס על גביו וזה מביא מחצלת ופורס על גביו, זה זוקף מטתו</w:t>
      </w:r>
      <w:r w:rsidR="007A7B6F">
        <w:rPr>
          <w:rStyle w:val="a9"/>
          <w:rFonts w:asciiTheme="minorBidi" w:hAnsiTheme="minorBidi"/>
          <w:rtl/>
        </w:rPr>
        <w:footnoteReference w:id="1923"/>
      </w:r>
      <w:r w:rsidRPr="005275DF">
        <w:rPr>
          <w:rFonts w:asciiTheme="minorBidi" w:hAnsiTheme="minorBidi"/>
          <w:rtl/>
        </w:rPr>
        <w:t xml:space="preserve"> ונשמט והולך לו וזה זוקף מטתו ונשמט והולך לו</w:t>
      </w:r>
      <w:r w:rsidR="007E3A32">
        <w:rPr>
          <w:rFonts w:asciiTheme="minorBidi" w:hAnsiTheme="minorBidi" w:hint="cs"/>
          <w:rtl/>
        </w:rPr>
        <w:t>,</w:t>
      </w:r>
      <w:r w:rsidRPr="005275DF">
        <w:rPr>
          <w:rFonts w:asciiTheme="minorBidi" w:hAnsiTheme="minorBidi"/>
          <w:rtl/>
        </w:rPr>
        <w:t xml:space="preserve"> נמצאת מחיצה עשויה מאליה, שהרי מחצלת זה ומחצלת זה גביהן סמוכות זו לזו ושני קצותיהן על הקרקע משני צדי המת. </w:t>
      </w:r>
    </w:p>
    <w:p w14:paraId="65766C89" w14:textId="77777777" w:rsidR="000C6229" w:rsidRPr="005275DF" w:rsidRDefault="000C6229" w:rsidP="00434A6A">
      <w:pPr>
        <w:rPr>
          <w:rFonts w:asciiTheme="minorBidi" w:hAnsiTheme="minorBidi"/>
          <w:rtl/>
        </w:rPr>
      </w:pPr>
    </w:p>
    <w:p w14:paraId="0B2EB776" w14:textId="21A72FBA" w:rsidR="000C6229" w:rsidRDefault="000C6229" w:rsidP="00434A6A">
      <w:pPr>
        <w:pStyle w:val="2"/>
        <w:rPr>
          <w:rtl/>
        </w:rPr>
      </w:pPr>
      <w:r w:rsidRPr="005275DF">
        <w:rPr>
          <w:rtl/>
        </w:rPr>
        <w:t>סעיף ז</w:t>
      </w:r>
      <w:r w:rsidR="00966082">
        <w:rPr>
          <w:rFonts w:hint="cs"/>
          <w:rtl/>
        </w:rPr>
        <w:t>: דברים שמותר לעשות למת.</w:t>
      </w:r>
    </w:p>
    <w:p w14:paraId="78A2A5E0" w14:textId="4BCD82E6" w:rsidR="00966082" w:rsidRDefault="00966082" w:rsidP="00434A6A">
      <w:pPr>
        <w:rPr>
          <w:rtl/>
        </w:rPr>
      </w:pPr>
      <w:r w:rsidRPr="002A45F7">
        <w:rPr>
          <w:rFonts w:hint="cs"/>
          <w:b/>
          <w:bCs/>
          <w:rtl/>
        </w:rPr>
        <w:t xml:space="preserve">שבת </w:t>
      </w:r>
      <w:r>
        <w:rPr>
          <w:rFonts w:hint="cs"/>
          <w:b/>
          <w:bCs/>
          <w:sz w:val="16"/>
          <w:szCs w:val="16"/>
          <w:rtl/>
        </w:rPr>
        <w:t>(פ' שואל)</w:t>
      </w:r>
      <w:r>
        <w:rPr>
          <w:rFonts w:hint="cs"/>
          <w:b/>
          <w:bCs/>
          <w:rtl/>
        </w:rPr>
        <w:t xml:space="preserve"> קנא</w:t>
      </w:r>
      <w:r w:rsidRPr="002A45F7">
        <w:rPr>
          <w:rFonts w:hint="cs"/>
          <w:b/>
          <w:bCs/>
          <w:rtl/>
        </w:rPr>
        <w:t xml:space="preserve"> ע"</w:t>
      </w:r>
      <w:r>
        <w:rPr>
          <w:rFonts w:hint="cs"/>
          <w:b/>
          <w:bCs/>
          <w:rtl/>
        </w:rPr>
        <w:t>א</w:t>
      </w:r>
      <w:r w:rsidRPr="002A45F7">
        <w:rPr>
          <w:rFonts w:hint="cs"/>
          <w:b/>
          <w:bCs/>
          <w:rtl/>
        </w:rPr>
        <w:t>:</w:t>
      </w:r>
      <w:r>
        <w:rPr>
          <w:rFonts w:cs="Arial" w:hint="cs"/>
          <w:rtl/>
        </w:rPr>
        <w:t xml:space="preserve"> </w:t>
      </w:r>
      <w:r w:rsidRPr="00966082">
        <w:rPr>
          <w:rFonts w:cs="Arial"/>
          <w:u w:val="double"/>
          <w:rtl/>
        </w:rPr>
        <w:t>משנה</w:t>
      </w:r>
      <w:r>
        <w:rPr>
          <w:rFonts w:cs="Arial" w:hint="cs"/>
          <w:rtl/>
        </w:rPr>
        <w:t>:</w:t>
      </w:r>
      <w:r w:rsidRPr="00966082">
        <w:rPr>
          <w:rFonts w:cs="Arial"/>
          <w:rtl/>
        </w:rPr>
        <w:t xml:space="preserve"> עושין כל צרכי המת: סכין ומדיחין אותו</w:t>
      </w:r>
      <w:r w:rsidR="0007272E">
        <w:rPr>
          <w:rStyle w:val="a9"/>
          <w:rFonts w:cs="Arial"/>
          <w:rtl/>
        </w:rPr>
        <w:footnoteReference w:id="1924"/>
      </w:r>
      <w:r w:rsidRPr="00966082">
        <w:rPr>
          <w:rFonts w:cs="Arial"/>
          <w:rtl/>
        </w:rPr>
        <w:t>, ובלבד שלא יזיז בו אבר. שומטין את הכר מתחתיו, ומטילין אותו על החול בשביל</w:t>
      </w:r>
      <w:r w:rsidRPr="00966082">
        <w:rPr>
          <w:rtl/>
        </w:rPr>
        <w:t xml:space="preserve"> </w:t>
      </w:r>
      <w:r>
        <w:rPr>
          <w:rFonts w:cs="Arial" w:hint="cs"/>
          <w:sz w:val="14"/>
          <w:szCs w:val="14"/>
          <w:rtl/>
        </w:rPr>
        <w:t xml:space="preserve">(קנא:) </w:t>
      </w:r>
      <w:r w:rsidRPr="00966082">
        <w:rPr>
          <w:rFonts w:cs="Arial"/>
          <w:rtl/>
        </w:rPr>
        <w:t>שימתין. קושרין את הלחי, לא שיעלה - אלא שלא יוסיף. וכן קורה שנשברה - סומכין אותה בספסל או בארוכות המטה, לא שתעלה אלא שלא תוסיף.</w:t>
      </w:r>
      <w:r>
        <w:rPr>
          <w:rFonts w:hint="cs"/>
          <w:rtl/>
        </w:rPr>
        <w:t>..</w:t>
      </w:r>
      <w:r w:rsidRPr="00966082">
        <w:rPr>
          <w:rtl/>
        </w:rPr>
        <w:t xml:space="preserve"> </w:t>
      </w:r>
      <w:r w:rsidRPr="00966082">
        <w:rPr>
          <w:rFonts w:cs="Arial"/>
          <w:rtl/>
        </w:rPr>
        <w:t>אין מעצמין את המת בשבת, ולא בחול עם יציאת נפש. והמעצים עם יציאת הנפש - הרי זה שופך דמים</w:t>
      </w:r>
      <w:r>
        <w:rPr>
          <w:rFonts w:cs="Arial" w:hint="cs"/>
          <w:rtl/>
        </w:rPr>
        <w:t>.</w:t>
      </w:r>
    </w:p>
    <w:p w14:paraId="53BECEAA" w14:textId="7BD426E5" w:rsidR="00966082" w:rsidRPr="00966082" w:rsidRDefault="00966082" w:rsidP="00434A6A">
      <w:pPr>
        <w:rPr>
          <w:u w:val="single"/>
          <w:rtl/>
        </w:rPr>
      </w:pPr>
      <w:r w:rsidRPr="00966082">
        <w:rPr>
          <w:rFonts w:hint="cs"/>
          <w:u w:val="single"/>
          <w:rtl/>
        </w:rPr>
        <w:t>דברים שמותר לעשות למת:</w:t>
      </w:r>
    </w:p>
    <w:p w14:paraId="7B20EFF8" w14:textId="25CF92A0" w:rsidR="00C8594B" w:rsidRDefault="00C8594B" w:rsidP="00434A6A">
      <w:pPr>
        <w:pStyle w:val="aa"/>
        <w:numPr>
          <w:ilvl w:val="0"/>
          <w:numId w:val="15"/>
        </w:numPr>
        <w:rPr>
          <w:rtl/>
        </w:rPr>
      </w:pPr>
      <w:r>
        <w:rPr>
          <w:rFonts w:cs="Arial" w:hint="cs"/>
          <w:rtl/>
        </w:rPr>
        <w:t xml:space="preserve">טור- </w:t>
      </w:r>
      <w:r>
        <w:rPr>
          <w:rFonts w:cs="Arial"/>
          <w:rtl/>
        </w:rPr>
        <w:t>אבל התירו לסוכו ולהדיחו ולשמטו מעל הכר</w:t>
      </w:r>
      <w:r w:rsidR="00966082">
        <w:rPr>
          <w:rFonts w:cs="Arial" w:hint="cs"/>
          <w:rtl/>
        </w:rPr>
        <w:t>,</w:t>
      </w:r>
      <w:r>
        <w:rPr>
          <w:rFonts w:cs="Arial"/>
          <w:rtl/>
        </w:rPr>
        <w:t xml:space="preserve"> ובלבד שלא יזיז בו לא ידו ולא רגלו ולא שום אבר</w:t>
      </w:r>
      <w:r w:rsidR="00966082">
        <w:rPr>
          <w:rFonts w:cs="Arial" w:hint="cs"/>
          <w:rtl/>
        </w:rPr>
        <w:t>.</w:t>
      </w:r>
      <w:r>
        <w:rPr>
          <w:rFonts w:cs="Arial"/>
          <w:rtl/>
        </w:rPr>
        <w:t xml:space="preserve"> ואם היה פיו הולך ונפתח </w:t>
      </w:r>
      <w:r w:rsidR="00966082">
        <w:rPr>
          <w:rFonts w:cs="Arial" w:hint="cs"/>
          <w:rtl/>
        </w:rPr>
        <w:t xml:space="preserve">- </w:t>
      </w:r>
      <w:r>
        <w:rPr>
          <w:rFonts w:cs="Arial"/>
          <w:rtl/>
        </w:rPr>
        <w:t>קושר לחיו העליון שלא יפתח יותר</w:t>
      </w:r>
      <w:r w:rsidR="00966082">
        <w:rPr>
          <w:rFonts w:cs="Arial" w:hint="cs"/>
          <w:rtl/>
        </w:rPr>
        <w:t>,</w:t>
      </w:r>
      <w:r>
        <w:rPr>
          <w:rFonts w:cs="Arial"/>
          <w:rtl/>
        </w:rPr>
        <w:t xml:space="preserve"> אבל לא יורידנה לסוגרו</w:t>
      </w:r>
      <w:r w:rsidR="00966082">
        <w:rPr>
          <w:rFonts w:cs="Arial" w:hint="cs"/>
          <w:rtl/>
        </w:rPr>
        <w:t>,</w:t>
      </w:r>
      <w:r>
        <w:rPr>
          <w:rFonts w:cs="Arial"/>
          <w:rtl/>
        </w:rPr>
        <w:t xml:space="preserve"> שא"כ היה מזיז בו אבר</w:t>
      </w:r>
      <w:r w:rsidR="00966082">
        <w:rPr>
          <w:rFonts w:cs="Arial" w:hint="cs"/>
          <w:rtl/>
        </w:rPr>
        <w:t>.</w:t>
      </w:r>
      <w:r>
        <w:rPr>
          <w:rFonts w:cs="Arial"/>
          <w:rtl/>
        </w:rPr>
        <w:t xml:space="preserve"> ואין מעמצין עיניו כדי שיסגרו</w:t>
      </w:r>
      <w:r w:rsidR="00966082">
        <w:rPr>
          <w:rFonts w:cs="Arial" w:hint="cs"/>
          <w:rtl/>
        </w:rPr>
        <w:t>,</w:t>
      </w:r>
      <w:r>
        <w:rPr>
          <w:rFonts w:cs="Arial"/>
          <w:rtl/>
        </w:rPr>
        <w:t xml:space="preserve"> דהוה ליה מזיז אבר</w:t>
      </w:r>
      <w:r w:rsidR="00966082">
        <w:rPr>
          <w:rFonts w:cs="Arial" w:hint="cs"/>
          <w:rtl/>
        </w:rPr>
        <w:t>.</w:t>
      </w:r>
      <w:r w:rsidR="0007272E" w:rsidRPr="0007272E">
        <w:rPr>
          <w:rFonts w:hint="cs"/>
          <w:color w:val="E36C0A" w:themeColor="accent6" w:themeShade="BF"/>
          <w:rtl/>
        </w:rPr>
        <w:t xml:space="preserve"> </w:t>
      </w:r>
      <w:r w:rsidR="0007272E" w:rsidRPr="007E3A32">
        <w:rPr>
          <w:rFonts w:hint="cs"/>
          <w:color w:val="E36C0A" w:themeColor="accent6" w:themeShade="BF"/>
          <w:rtl/>
        </w:rPr>
        <w:t>(וכ"פ בשו"ע)</w:t>
      </w:r>
    </w:p>
    <w:p w14:paraId="2AE27AD4" w14:textId="77777777" w:rsidR="00EF7C96" w:rsidRPr="005275DF" w:rsidRDefault="00EF7C96" w:rsidP="00434A6A">
      <w:pPr>
        <w:rPr>
          <w:rFonts w:asciiTheme="minorBidi" w:hAnsiTheme="minorBidi"/>
          <w:rtl/>
        </w:rPr>
      </w:pPr>
      <w:r w:rsidRPr="005275DF">
        <w:rPr>
          <w:rFonts w:asciiTheme="minorBidi" w:hAnsiTheme="minorBidi"/>
          <w:b/>
          <w:bCs/>
          <w:sz w:val="32"/>
          <w:szCs w:val="28"/>
          <w:u w:val="single"/>
          <w:rtl/>
        </w:rPr>
        <w:t xml:space="preserve">שו"ע: </w:t>
      </w:r>
    </w:p>
    <w:p w14:paraId="1A40EEBB" w14:textId="06C8DB5F" w:rsidR="000C6229" w:rsidRPr="005275DF" w:rsidRDefault="000C6229" w:rsidP="00434A6A">
      <w:pPr>
        <w:rPr>
          <w:rFonts w:asciiTheme="minorBidi" w:hAnsiTheme="minorBidi"/>
          <w:rtl/>
        </w:rPr>
      </w:pPr>
      <w:r w:rsidRPr="005275DF">
        <w:rPr>
          <w:rFonts w:asciiTheme="minorBidi" w:hAnsiTheme="minorBidi"/>
          <w:rtl/>
        </w:rPr>
        <w:t>מותר לסוך המת ולהדיחו ולשמוט הכר מתחתיו</w:t>
      </w:r>
      <w:r w:rsidR="0007272E">
        <w:rPr>
          <w:rStyle w:val="a9"/>
          <w:rFonts w:asciiTheme="minorBidi" w:hAnsiTheme="minorBidi"/>
          <w:rtl/>
        </w:rPr>
        <w:footnoteReference w:id="1925"/>
      </w:r>
      <w:r w:rsidRPr="005275DF">
        <w:rPr>
          <w:rFonts w:asciiTheme="minorBidi" w:hAnsiTheme="minorBidi"/>
          <w:rtl/>
        </w:rPr>
        <w:t xml:space="preserve"> כדי שלא יסריח, ובלבד שלא יזיז בו שום אבר; ואם היה פיו נפתח והולך, קושר את הלחי בענין שלא יוסיף להפתח אבל לא כדי שיסגר מה שנפתח או קצתו, שאם כן היה מזיז אבר</w:t>
      </w:r>
      <w:r w:rsidR="00966082">
        <w:rPr>
          <w:rFonts w:asciiTheme="minorBidi" w:hAnsiTheme="minorBidi" w:hint="cs"/>
          <w:rtl/>
        </w:rPr>
        <w:t>.</w:t>
      </w:r>
      <w:r w:rsidRPr="005275DF">
        <w:rPr>
          <w:rFonts w:asciiTheme="minorBidi" w:hAnsiTheme="minorBidi"/>
          <w:rtl/>
        </w:rPr>
        <w:t xml:space="preserve"> ומטעם זה אין מעצימין עיניו של מת בשבת. </w:t>
      </w:r>
    </w:p>
    <w:p w14:paraId="48132CA3" w14:textId="77777777" w:rsidR="000C6229" w:rsidRPr="005275DF" w:rsidRDefault="000C6229" w:rsidP="00434A6A">
      <w:pPr>
        <w:rPr>
          <w:rFonts w:asciiTheme="minorBidi" w:hAnsiTheme="minorBidi"/>
          <w:rtl/>
        </w:rPr>
      </w:pPr>
    </w:p>
    <w:p w14:paraId="22A4459B" w14:textId="39440FF9" w:rsidR="000C6229" w:rsidRDefault="000C6229" w:rsidP="00434A6A">
      <w:pPr>
        <w:pStyle w:val="2"/>
        <w:rPr>
          <w:rtl/>
        </w:rPr>
      </w:pPr>
      <w:r w:rsidRPr="005275DF">
        <w:rPr>
          <w:rtl/>
        </w:rPr>
        <w:t>סעיף ח</w:t>
      </w:r>
      <w:r w:rsidR="00966082">
        <w:rPr>
          <w:rFonts w:hint="cs"/>
          <w:rtl/>
        </w:rPr>
        <w:t>: טלטול מן הצד לצורך דבר המותר.</w:t>
      </w:r>
    </w:p>
    <w:p w14:paraId="6A922605" w14:textId="01305930" w:rsidR="00755C64" w:rsidRPr="009727CB" w:rsidRDefault="00755C64" w:rsidP="00434A6A">
      <w:pPr>
        <w:rPr>
          <w:sz w:val="16"/>
          <w:szCs w:val="16"/>
        </w:rPr>
      </w:pPr>
      <w:r w:rsidRPr="002A45F7">
        <w:rPr>
          <w:rFonts w:hint="cs"/>
          <w:b/>
          <w:bCs/>
          <w:rtl/>
        </w:rPr>
        <w:t xml:space="preserve">שבת </w:t>
      </w:r>
      <w:r>
        <w:rPr>
          <w:rFonts w:hint="cs"/>
          <w:b/>
          <w:bCs/>
          <w:sz w:val="16"/>
          <w:szCs w:val="16"/>
          <w:rtl/>
        </w:rPr>
        <w:t>(פ' כל הכלים)</w:t>
      </w:r>
      <w:r>
        <w:rPr>
          <w:rFonts w:hint="cs"/>
          <w:b/>
          <w:bCs/>
          <w:rtl/>
        </w:rPr>
        <w:t xml:space="preserve"> קכג</w:t>
      </w:r>
      <w:r w:rsidRPr="002A45F7">
        <w:rPr>
          <w:rFonts w:hint="cs"/>
          <w:b/>
          <w:bCs/>
          <w:rtl/>
        </w:rPr>
        <w:t xml:space="preserve"> ע"</w:t>
      </w:r>
      <w:r>
        <w:rPr>
          <w:rFonts w:hint="cs"/>
          <w:b/>
          <w:bCs/>
          <w:rtl/>
        </w:rPr>
        <w:t>א</w:t>
      </w:r>
      <w:r w:rsidRPr="002A45F7">
        <w:rPr>
          <w:rFonts w:hint="cs"/>
          <w:b/>
          <w:bCs/>
          <w:rtl/>
        </w:rPr>
        <w:t>:</w:t>
      </w:r>
      <w:r>
        <w:rPr>
          <w:rFonts w:cs="Arial" w:hint="cs"/>
          <w:rtl/>
        </w:rPr>
        <w:t xml:space="preserve"> </w:t>
      </w:r>
      <w:r w:rsidRPr="00755C64">
        <w:rPr>
          <w:rFonts w:cs="Arial"/>
          <w:rtl/>
        </w:rPr>
        <w:t>ואת הכוש ואת הכרכר כו'. תנו רבנן: פגה</w:t>
      </w:r>
      <w:r>
        <w:rPr>
          <w:rStyle w:val="a9"/>
          <w:rFonts w:cs="Arial"/>
          <w:rtl/>
        </w:rPr>
        <w:footnoteReference w:id="1926"/>
      </w:r>
      <w:r w:rsidRPr="00755C64">
        <w:rPr>
          <w:rFonts w:cs="Arial"/>
          <w:rtl/>
        </w:rPr>
        <w:t xml:space="preserve"> שטמנה בתבן, וחררה שטמנה בגחלים, אם מגולה מקצתה</w:t>
      </w:r>
      <w:r>
        <w:rPr>
          <w:rStyle w:val="a9"/>
          <w:rFonts w:cs="Arial"/>
          <w:rtl/>
        </w:rPr>
        <w:footnoteReference w:id="1927"/>
      </w:r>
      <w:r w:rsidRPr="00755C64">
        <w:rPr>
          <w:rFonts w:cs="Arial"/>
          <w:rtl/>
        </w:rPr>
        <w:t xml:space="preserve"> - מותר לטלטלה. ואם לאו - אסור לטלטלה. </w:t>
      </w:r>
      <w:r w:rsidRPr="00755C64">
        <w:rPr>
          <w:rFonts w:cs="Arial"/>
          <w:u w:val="single"/>
          <w:rtl/>
        </w:rPr>
        <w:t>רבי אלעזר בן תדאי אומר</w:t>
      </w:r>
      <w:r w:rsidRPr="00755C64">
        <w:rPr>
          <w:rFonts w:cs="Arial"/>
          <w:rtl/>
        </w:rPr>
        <w:t xml:space="preserve">: תוחבין בכוש או בכרכר והן מנערות מאיליהם. </w:t>
      </w:r>
      <w:r w:rsidRPr="00755C64">
        <w:rPr>
          <w:rFonts w:cs="Arial"/>
          <w:u w:val="single"/>
          <w:rtl/>
        </w:rPr>
        <w:t>אמר רב נחמן</w:t>
      </w:r>
      <w:r w:rsidRPr="00755C64">
        <w:rPr>
          <w:rFonts w:cs="Arial"/>
          <w:rtl/>
        </w:rPr>
        <w:t>: הלכה כרבי אלעזר בן תדאי. למימרא דסבר רב נחמן טלטול מן הצד לא שמיה טלטול? והאמר רב נחמן: האי פוגלא</w:t>
      </w:r>
      <w:r>
        <w:rPr>
          <w:rStyle w:val="a9"/>
          <w:rFonts w:cs="Arial"/>
          <w:rtl/>
        </w:rPr>
        <w:footnoteReference w:id="1928"/>
      </w:r>
      <w:r w:rsidRPr="00755C64">
        <w:rPr>
          <w:rFonts w:cs="Arial"/>
          <w:rtl/>
        </w:rPr>
        <w:t>, מלמעלה למטה - שרי</w:t>
      </w:r>
      <w:r>
        <w:rPr>
          <w:rStyle w:val="a9"/>
          <w:rFonts w:cs="Arial"/>
          <w:rtl/>
        </w:rPr>
        <w:footnoteReference w:id="1929"/>
      </w:r>
      <w:r w:rsidRPr="00755C64">
        <w:rPr>
          <w:rFonts w:cs="Arial"/>
          <w:rtl/>
        </w:rPr>
        <w:t>, ממטה למעלה - אסיר</w:t>
      </w:r>
      <w:r>
        <w:rPr>
          <w:rStyle w:val="a9"/>
          <w:rFonts w:cs="Arial"/>
          <w:rtl/>
        </w:rPr>
        <w:footnoteReference w:id="1930"/>
      </w:r>
      <w:r w:rsidRPr="00755C64">
        <w:rPr>
          <w:rFonts w:cs="Arial"/>
          <w:rtl/>
        </w:rPr>
        <w:t>! הדר ביה רב נחמן מההיא.</w:t>
      </w:r>
      <w:r w:rsidR="009727CB">
        <w:rPr>
          <w:rFonts w:hint="cs"/>
          <w:sz w:val="16"/>
          <w:szCs w:val="16"/>
          <w:rtl/>
        </w:rPr>
        <w:t xml:space="preserve"> (משמע דטלטול מן הצד </w:t>
      </w:r>
      <w:r w:rsidR="009727CB">
        <w:rPr>
          <w:sz w:val="16"/>
          <w:szCs w:val="16"/>
          <w:rtl/>
        </w:rPr>
        <w:t>–</w:t>
      </w:r>
      <w:r w:rsidR="009727CB">
        <w:rPr>
          <w:rFonts w:hint="cs"/>
          <w:sz w:val="16"/>
          <w:szCs w:val="16"/>
          <w:rtl/>
        </w:rPr>
        <w:t xml:space="preserve"> לא הוי טלטול)</w:t>
      </w:r>
    </w:p>
    <w:p w14:paraId="72353E08" w14:textId="0D507F42" w:rsidR="009727CB" w:rsidRDefault="009221CC" w:rsidP="00434A6A">
      <w:pPr>
        <w:rPr>
          <w:rFonts w:cs="Arial"/>
          <w:rtl/>
        </w:rPr>
      </w:pPr>
      <w:r w:rsidRPr="002A45F7">
        <w:rPr>
          <w:rFonts w:hint="cs"/>
          <w:b/>
          <w:bCs/>
          <w:rtl/>
        </w:rPr>
        <w:t xml:space="preserve">שבת </w:t>
      </w:r>
      <w:r>
        <w:rPr>
          <w:rFonts w:hint="cs"/>
          <w:b/>
          <w:bCs/>
          <w:sz w:val="16"/>
          <w:szCs w:val="16"/>
          <w:rtl/>
        </w:rPr>
        <w:t>(פ' כירה)</w:t>
      </w:r>
      <w:r>
        <w:rPr>
          <w:rFonts w:hint="cs"/>
          <w:b/>
          <w:bCs/>
          <w:rtl/>
        </w:rPr>
        <w:t xml:space="preserve"> מג</w:t>
      </w:r>
      <w:r w:rsidRPr="002A45F7">
        <w:rPr>
          <w:rFonts w:hint="cs"/>
          <w:b/>
          <w:bCs/>
          <w:rtl/>
        </w:rPr>
        <w:t xml:space="preserve"> ע"ב:</w:t>
      </w:r>
      <w:r>
        <w:rPr>
          <w:rFonts w:cs="Arial" w:hint="cs"/>
          <w:rtl/>
        </w:rPr>
        <w:t xml:space="preserve"> </w:t>
      </w:r>
      <w:r w:rsidRPr="00410A6E">
        <w:rPr>
          <w:rFonts w:cs="Arial"/>
          <w:rtl/>
        </w:rPr>
        <w:t xml:space="preserve">לימא כתנאי: אין מצילין את המת מפני הדליקה. </w:t>
      </w:r>
      <w:r w:rsidRPr="00410A6E">
        <w:rPr>
          <w:rFonts w:cs="Arial"/>
          <w:u w:val="single"/>
          <w:rtl/>
        </w:rPr>
        <w:t>אמר רבי יהודה בן לקיש</w:t>
      </w:r>
      <w:r w:rsidRPr="00410A6E">
        <w:rPr>
          <w:rFonts w:cs="Arial"/>
          <w:rtl/>
        </w:rPr>
        <w:t>: שמעתי שמצילין את המת מפני הדליקה.</w:t>
      </w:r>
      <w:r>
        <w:rPr>
          <w:rFonts w:cs="Arial" w:hint="cs"/>
          <w:rtl/>
        </w:rPr>
        <w:t>..</w:t>
      </w:r>
      <w:r w:rsidRPr="00410A6E">
        <w:rPr>
          <w:rFonts w:cs="Arial"/>
          <w:rtl/>
        </w:rPr>
        <w:t xml:space="preserve"> בטלטול מן הצד פליגי</w:t>
      </w:r>
      <w:r>
        <w:rPr>
          <w:rFonts w:cs="Arial" w:hint="cs"/>
          <w:rtl/>
        </w:rPr>
        <w:t>...</w:t>
      </w:r>
      <w:r w:rsidRPr="00410A6E">
        <w:rPr>
          <w:rFonts w:cs="Arial"/>
          <w:rtl/>
        </w:rPr>
        <w:t xml:space="preserve"> לא, דכולי עלמא טלטול מן הצד שמיה טלטול.</w:t>
      </w:r>
      <w:r>
        <w:rPr>
          <w:rFonts w:hint="cs"/>
          <w:rtl/>
        </w:rPr>
        <w:t xml:space="preserve"> </w:t>
      </w:r>
      <w:r w:rsidR="009727CB">
        <w:rPr>
          <w:rFonts w:hint="cs"/>
          <w:sz w:val="16"/>
          <w:szCs w:val="16"/>
          <w:rtl/>
        </w:rPr>
        <w:t xml:space="preserve">(משמע דלכו"ע טלטול מן הצד </w:t>
      </w:r>
      <w:r w:rsidR="009727CB">
        <w:rPr>
          <w:sz w:val="16"/>
          <w:szCs w:val="16"/>
          <w:rtl/>
        </w:rPr>
        <w:t>–</w:t>
      </w:r>
      <w:r w:rsidR="009727CB">
        <w:rPr>
          <w:rFonts w:hint="cs"/>
          <w:sz w:val="16"/>
          <w:szCs w:val="16"/>
          <w:rtl/>
        </w:rPr>
        <w:t xml:space="preserve"> הוי טלטול)</w:t>
      </w:r>
    </w:p>
    <w:p w14:paraId="524A8832" w14:textId="1057CBFF" w:rsidR="009727CB" w:rsidRPr="009727CB" w:rsidRDefault="009727CB" w:rsidP="00434A6A">
      <w:pPr>
        <w:rPr>
          <w:rFonts w:cs="Arial"/>
          <w:u w:val="single"/>
          <w:rtl/>
        </w:rPr>
      </w:pPr>
      <w:r w:rsidRPr="009727CB">
        <w:rPr>
          <w:rFonts w:cs="Arial" w:hint="cs"/>
          <w:u w:val="single"/>
          <w:rtl/>
        </w:rPr>
        <w:t>כיצד אפשר לסדר את הגמרות</w:t>
      </w:r>
      <w:r>
        <w:rPr>
          <w:rFonts w:cs="Arial" w:hint="cs"/>
          <w:u w:val="single"/>
          <w:rtl/>
        </w:rPr>
        <w:t>:</w:t>
      </w:r>
      <w:r w:rsidRPr="009727CB">
        <w:rPr>
          <w:rFonts w:cs="Arial" w:hint="cs"/>
          <w:u w:val="single"/>
          <w:rtl/>
        </w:rPr>
        <w:t xml:space="preserve"> </w:t>
      </w:r>
    </w:p>
    <w:p w14:paraId="39CE3B09" w14:textId="0FAA4111" w:rsidR="00164007" w:rsidRDefault="009727CB" w:rsidP="00434A6A">
      <w:pPr>
        <w:pStyle w:val="aa"/>
        <w:numPr>
          <w:ilvl w:val="0"/>
          <w:numId w:val="15"/>
        </w:numPr>
        <w:rPr>
          <w:rFonts w:cs="Arial"/>
        </w:rPr>
      </w:pPr>
      <w:r w:rsidRPr="009727CB">
        <w:rPr>
          <w:rFonts w:cs="Arial"/>
          <w:rtl/>
        </w:rPr>
        <w:t xml:space="preserve">רי"ף </w:t>
      </w:r>
      <w:r w:rsidRPr="009727CB">
        <w:rPr>
          <w:rFonts w:cs="Arial"/>
          <w:sz w:val="16"/>
          <w:szCs w:val="16"/>
          <w:rtl/>
        </w:rPr>
        <w:t>(כ:)</w:t>
      </w:r>
      <w:r w:rsidRPr="009727CB">
        <w:rPr>
          <w:rFonts w:cs="Arial" w:hint="cs"/>
          <w:sz w:val="16"/>
          <w:szCs w:val="16"/>
          <w:rtl/>
        </w:rPr>
        <w:t xml:space="preserve"> </w:t>
      </w:r>
      <w:r w:rsidR="00032C79" w:rsidRPr="009727CB">
        <w:rPr>
          <w:rFonts w:cs="Arial"/>
          <w:rtl/>
        </w:rPr>
        <w:t>תוס</w:t>
      </w:r>
      <w:r w:rsidRPr="009727CB">
        <w:rPr>
          <w:rFonts w:cs="Arial" w:hint="cs"/>
          <w:rtl/>
        </w:rPr>
        <w:t>'</w:t>
      </w:r>
      <w:r w:rsidR="00032C79" w:rsidRPr="009727CB">
        <w:rPr>
          <w:rFonts w:cs="Arial"/>
          <w:rtl/>
        </w:rPr>
        <w:t xml:space="preserve"> </w:t>
      </w:r>
      <w:r w:rsidR="00032C79" w:rsidRPr="009727CB">
        <w:rPr>
          <w:rFonts w:cs="Arial"/>
          <w:sz w:val="16"/>
          <w:szCs w:val="16"/>
          <w:rtl/>
        </w:rPr>
        <w:t>(</w:t>
      </w:r>
      <w:r w:rsidRPr="009727CB">
        <w:rPr>
          <w:rFonts w:cs="Arial" w:hint="cs"/>
          <w:sz w:val="16"/>
          <w:szCs w:val="16"/>
          <w:rtl/>
        </w:rPr>
        <w:t xml:space="preserve">מג: </w:t>
      </w:r>
      <w:r w:rsidR="00032C79" w:rsidRPr="009727CB">
        <w:rPr>
          <w:rFonts w:cs="Arial"/>
          <w:sz w:val="16"/>
          <w:szCs w:val="16"/>
          <w:rtl/>
        </w:rPr>
        <w:t xml:space="preserve">ד"ה דכ"ע) </w:t>
      </w:r>
      <w:r w:rsidR="00032C79" w:rsidRPr="009727CB">
        <w:rPr>
          <w:rFonts w:cs="Arial"/>
          <w:rtl/>
        </w:rPr>
        <w:t>ורא"ש</w:t>
      </w:r>
      <w:r>
        <w:rPr>
          <w:rStyle w:val="a9"/>
          <w:rFonts w:cs="Arial"/>
          <w:rtl/>
        </w:rPr>
        <w:footnoteReference w:id="1931"/>
      </w:r>
      <w:r w:rsidR="00032C79" w:rsidRPr="009727CB">
        <w:rPr>
          <w:rFonts w:cs="Arial"/>
          <w:rtl/>
        </w:rPr>
        <w:t xml:space="preserve"> </w:t>
      </w:r>
      <w:r w:rsidR="00032C79" w:rsidRPr="009727CB">
        <w:rPr>
          <w:rFonts w:cs="Arial"/>
          <w:sz w:val="16"/>
          <w:szCs w:val="16"/>
          <w:rtl/>
        </w:rPr>
        <w:t>(סי' יט)</w:t>
      </w:r>
      <w:r w:rsidRPr="009727CB">
        <w:rPr>
          <w:rFonts w:cs="Arial" w:hint="cs"/>
          <w:rtl/>
        </w:rPr>
        <w:t>-</w:t>
      </w:r>
      <w:r w:rsidRPr="009727CB">
        <w:rPr>
          <w:rFonts w:cs="Arial"/>
          <w:rtl/>
        </w:rPr>
        <w:t xml:space="preserve"> </w:t>
      </w:r>
      <w:r w:rsidR="00032C79" w:rsidRPr="009727CB">
        <w:rPr>
          <w:rFonts w:cs="Arial"/>
          <w:rtl/>
        </w:rPr>
        <w:t>תרי גווני טלטול מן הצד נינהו</w:t>
      </w:r>
      <w:r w:rsidR="00B5321B" w:rsidRPr="009727CB">
        <w:rPr>
          <w:rFonts w:cs="Arial" w:hint="cs"/>
          <w:rtl/>
        </w:rPr>
        <w:t>,</w:t>
      </w:r>
      <w:r w:rsidR="00032C79" w:rsidRPr="009727CB">
        <w:rPr>
          <w:rFonts w:cs="Arial"/>
          <w:rtl/>
        </w:rPr>
        <w:t xml:space="preserve"> דכל שעיקר טלטולו משום דבר המותר ודבר המותר הוא שמטלטל</w:t>
      </w:r>
      <w:r w:rsidR="00B5321B" w:rsidRPr="009727CB">
        <w:rPr>
          <w:rFonts w:cs="Arial" w:hint="cs"/>
          <w:rtl/>
        </w:rPr>
        <w:t>,</w:t>
      </w:r>
      <w:r w:rsidR="00032C79" w:rsidRPr="009727CB">
        <w:rPr>
          <w:rFonts w:cs="Arial"/>
          <w:rtl/>
        </w:rPr>
        <w:t xml:space="preserve"> אלא שאי אפשר לו לטלטל אותו דבר המותר אא</w:t>
      </w:r>
      <w:r w:rsidR="00B5321B" w:rsidRPr="009727CB">
        <w:rPr>
          <w:rFonts w:cs="Arial" w:hint="cs"/>
          <w:rtl/>
        </w:rPr>
        <w:t>"</w:t>
      </w:r>
      <w:r w:rsidR="00032C79" w:rsidRPr="009727CB">
        <w:rPr>
          <w:rFonts w:cs="Arial"/>
          <w:rtl/>
        </w:rPr>
        <w:t xml:space="preserve">כ יטלטל עמו דבר האסור </w:t>
      </w:r>
      <w:r w:rsidR="00B5321B" w:rsidRPr="009727CB">
        <w:rPr>
          <w:rFonts w:cs="Arial"/>
          <w:rtl/>
        </w:rPr>
        <w:t>–</w:t>
      </w:r>
      <w:r w:rsidR="00B5321B" w:rsidRPr="009727CB">
        <w:rPr>
          <w:rFonts w:cs="Arial" w:hint="cs"/>
          <w:rtl/>
        </w:rPr>
        <w:t xml:space="preserve"> </w:t>
      </w:r>
      <w:r w:rsidR="00032C79" w:rsidRPr="009727CB">
        <w:rPr>
          <w:rFonts w:cs="Arial"/>
          <w:rtl/>
        </w:rPr>
        <w:t>בכה</w:t>
      </w:r>
      <w:r w:rsidR="00B5321B" w:rsidRPr="009727CB">
        <w:rPr>
          <w:rFonts w:cs="Arial" w:hint="cs"/>
          <w:rtl/>
        </w:rPr>
        <w:t>"</w:t>
      </w:r>
      <w:r w:rsidR="00032C79" w:rsidRPr="009727CB">
        <w:rPr>
          <w:rFonts w:cs="Arial"/>
          <w:rtl/>
        </w:rPr>
        <w:t>ג שרי</w:t>
      </w:r>
      <w:r w:rsidR="00B5321B" w:rsidRPr="009727CB">
        <w:rPr>
          <w:rFonts w:cs="Arial" w:hint="cs"/>
          <w:rtl/>
        </w:rPr>
        <w:t>.</w:t>
      </w:r>
      <w:r w:rsidR="00032C79" w:rsidRPr="009727CB">
        <w:rPr>
          <w:rFonts w:cs="Arial"/>
          <w:rtl/>
        </w:rPr>
        <w:t xml:space="preserve"> אבל כשעיקר טלטולו בשביל דבר האסור</w:t>
      </w:r>
      <w:r w:rsidR="00B5321B" w:rsidRPr="009727CB">
        <w:rPr>
          <w:rFonts w:cs="Arial" w:hint="cs"/>
          <w:rtl/>
        </w:rPr>
        <w:t>,</w:t>
      </w:r>
      <w:r w:rsidR="00032C79" w:rsidRPr="009727CB">
        <w:rPr>
          <w:rFonts w:cs="Arial"/>
          <w:rtl/>
        </w:rPr>
        <w:t xml:space="preserve"> אע</w:t>
      </w:r>
      <w:r w:rsidR="00B5321B" w:rsidRPr="009727CB">
        <w:rPr>
          <w:rFonts w:cs="Arial" w:hint="cs"/>
          <w:rtl/>
        </w:rPr>
        <w:t>"</w:t>
      </w:r>
      <w:r w:rsidR="00032C79" w:rsidRPr="009727CB">
        <w:rPr>
          <w:rFonts w:cs="Arial"/>
          <w:rtl/>
        </w:rPr>
        <w:t>פ שמטלטל אותו מן הצד</w:t>
      </w:r>
      <w:r w:rsidR="00B5321B" w:rsidRPr="009727CB">
        <w:rPr>
          <w:rFonts w:cs="Arial" w:hint="cs"/>
          <w:rtl/>
        </w:rPr>
        <w:t>,</w:t>
      </w:r>
      <w:r w:rsidR="00032C79" w:rsidRPr="009727CB">
        <w:rPr>
          <w:rFonts w:cs="Arial"/>
          <w:rtl/>
        </w:rPr>
        <w:t xml:space="preserve"> כי הכא שהוא צריך לטלטל המת מחמת עצמו שלא יסריח בחמה </w:t>
      </w:r>
      <w:r w:rsidR="00B5321B" w:rsidRPr="009727CB">
        <w:rPr>
          <w:rFonts w:cs="Arial"/>
          <w:rtl/>
        </w:rPr>
        <w:t>–</w:t>
      </w:r>
      <w:r w:rsidR="00B5321B" w:rsidRPr="009727CB">
        <w:rPr>
          <w:rFonts w:cs="Arial" w:hint="cs"/>
          <w:rtl/>
        </w:rPr>
        <w:t xml:space="preserve"> </w:t>
      </w:r>
      <w:r w:rsidR="00032C79" w:rsidRPr="009727CB">
        <w:rPr>
          <w:rFonts w:cs="Arial"/>
          <w:rtl/>
        </w:rPr>
        <w:t>אסור</w:t>
      </w:r>
      <w:r w:rsidR="00164007">
        <w:rPr>
          <w:rStyle w:val="a9"/>
          <w:rFonts w:cs="Arial"/>
          <w:rtl/>
        </w:rPr>
        <w:footnoteReference w:id="1932"/>
      </w:r>
      <w:r w:rsidR="00164007">
        <w:rPr>
          <w:rFonts w:cs="Arial" w:hint="cs"/>
          <w:sz w:val="16"/>
          <w:szCs w:val="16"/>
          <w:rtl/>
        </w:rPr>
        <w:t xml:space="preserve"> (ל' הב"י בשמם)</w:t>
      </w:r>
      <w:r w:rsidR="00B5321B" w:rsidRPr="009727CB">
        <w:rPr>
          <w:rFonts w:cs="Arial" w:hint="cs"/>
          <w:rtl/>
        </w:rPr>
        <w:t>.</w:t>
      </w:r>
      <w:r w:rsidR="00032C79" w:rsidRPr="009727CB">
        <w:rPr>
          <w:rFonts w:cs="Arial"/>
          <w:rtl/>
        </w:rPr>
        <w:t xml:space="preserve"> </w:t>
      </w:r>
    </w:p>
    <w:p w14:paraId="2FA3CEEE" w14:textId="326F481D" w:rsidR="00164007" w:rsidRPr="00164007" w:rsidRDefault="00164007" w:rsidP="00434A6A">
      <w:pPr>
        <w:ind w:left="360"/>
        <w:rPr>
          <w:rFonts w:cs="Arial"/>
          <w:u w:val="dotted"/>
        </w:rPr>
      </w:pPr>
      <w:r>
        <w:rPr>
          <w:rFonts w:cs="Arial" w:hint="cs"/>
          <w:u w:val="dotted"/>
          <w:rtl/>
        </w:rPr>
        <w:t>והקשה ה"ר יונה ד</w:t>
      </w:r>
      <w:r w:rsidRPr="00164007">
        <w:rPr>
          <w:rFonts w:cs="Arial" w:hint="cs"/>
          <w:u w:val="dotted"/>
          <w:rtl/>
        </w:rPr>
        <w:t>א</w:t>
      </w:r>
      <w:r>
        <w:rPr>
          <w:rFonts w:cs="Arial" w:hint="cs"/>
          <w:u w:val="dotted"/>
          <w:rtl/>
        </w:rPr>
        <w:t>"</w:t>
      </w:r>
      <w:r w:rsidRPr="00164007">
        <w:rPr>
          <w:rFonts w:cs="Arial" w:hint="cs"/>
          <w:u w:val="dotted"/>
          <w:rtl/>
        </w:rPr>
        <w:t xml:space="preserve">כ כיצד התירו </w:t>
      </w:r>
      <w:r w:rsidRPr="00164007">
        <w:rPr>
          <w:rFonts w:cs="Arial"/>
          <w:sz w:val="16"/>
          <w:szCs w:val="16"/>
          <w:u w:val="dotted"/>
          <w:rtl/>
        </w:rPr>
        <w:t>(קמא.)</w:t>
      </w:r>
      <w:r w:rsidRPr="00164007">
        <w:rPr>
          <w:rFonts w:cs="Arial" w:hint="cs"/>
          <w:u w:val="dotted"/>
          <w:rtl/>
        </w:rPr>
        <w:t xml:space="preserve"> לנענע עם הגוף את ה</w:t>
      </w:r>
      <w:r w:rsidR="00032C79" w:rsidRPr="00164007">
        <w:rPr>
          <w:rFonts w:cs="Arial"/>
          <w:u w:val="dotted"/>
          <w:rtl/>
        </w:rPr>
        <w:t>קש שעל המטה</w:t>
      </w:r>
      <w:r w:rsidR="000B7221">
        <w:rPr>
          <w:rFonts w:cs="Arial" w:hint="cs"/>
          <w:u w:val="dotted"/>
          <w:rtl/>
        </w:rPr>
        <w:t>,</w:t>
      </w:r>
      <w:r w:rsidR="00032C79" w:rsidRPr="00164007">
        <w:rPr>
          <w:rFonts w:cs="Arial"/>
          <w:u w:val="dotted"/>
          <w:rtl/>
        </w:rPr>
        <w:t xml:space="preserve"> והרי שם </w:t>
      </w:r>
      <w:r w:rsidRPr="00164007">
        <w:rPr>
          <w:rFonts w:cs="Arial" w:hint="cs"/>
          <w:u w:val="dotted"/>
          <w:rtl/>
        </w:rPr>
        <w:t xml:space="preserve">צריך </w:t>
      </w:r>
      <w:r w:rsidR="00032C79" w:rsidRPr="00164007">
        <w:rPr>
          <w:rFonts w:cs="Arial"/>
          <w:u w:val="dotted"/>
          <w:rtl/>
        </w:rPr>
        <w:t xml:space="preserve">לקש </w:t>
      </w:r>
      <w:r w:rsidRPr="00164007">
        <w:rPr>
          <w:rFonts w:cs="Arial" w:hint="cs"/>
          <w:u w:val="dotted"/>
          <w:rtl/>
        </w:rPr>
        <w:t>ו</w:t>
      </w:r>
      <w:r w:rsidR="00032C79" w:rsidRPr="00164007">
        <w:rPr>
          <w:rFonts w:cs="Arial"/>
          <w:u w:val="dotted"/>
          <w:rtl/>
        </w:rPr>
        <w:t>הוא מוקצה</w:t>
      </w:r>
      <w:r w:rsidRPr="00164007">
        <w:rPr>
          <w:rFonts w:cs="Arial" w:hint="cs"/>
          <w:u w:val="dotted"/>
          <w:rtl/>
        </w:rPr>
        <w:t>:</w:t>
      </w:r>
      <w:r w:rsidR="00032C79" w:rsidRPr="00164007">
        <w:rPr>
          <w:rFonts w:cs="Arial"/>
          <w:u w:val="dotted"/>
          <w:rtl/>
        </w:rPr>
        <w:t xml:space="preserve"> </w:t>
      </w:r>
    </w:p>
    <w:p w14:paraId="1394C92E" w14:textId="5ABA04DC" w:rsidR="00164007" w:rsidRDefault="00032C79" w:rsidP="00434A6A">
      <w:pPr>
        <w:pStyle w:val="aa"/>
        <w:numPr>
          <w:ilvl w:val="0"/>
          <w:numId w:val="15"/>
        </w:numPr>
        <w:rPr>
          <w:rFonts w:cs="Arial"/>
        </w:rPr>
      </w:pPr>
      <w:r w:rsidRPr="009727CB">
        <w:rPr>
          <w:rFonts w:cs="Arial"/>
          <w:rtl/>
        </w:rPr>
        <w:t xml:space="preserve">רא"ש </w:t>
      </w:r>
      <w:r w:rsidR="00164007">
        <w:rPr>
          <w:rFonts w:cs="Arial" w:hint="cs"/>
          <w:sz w:val="16"/>
          <w:szCs w:val="16"/>
          <w:rtl/>
        </w:rPr>
        <w:t>(שם)</w:t>
      </w:r>
      <w:r w:rsidR="00164007">
        <w:rPr>
          <w:rFonts w:cs="Arial" w:hint="cs"/>
          <w:rtl/>
        </w:rPr>
        <w:t xml:space="preserve"> וטור- </w:t>
      </w:r>
      <w:r w:rsidRPr="009727CB">
        <w:rPr>
          <w:rFonts w:cs="Arial"/>
          <w:rtl/>
        </w:rPr>
        <w:t>לא קשיא</w:t>
      </w:r>
      <w:r w:rsidR="00B5321B" w:rsidRPr="009727CB">
        <w:rPr>
          <w:rFonts w:cs="Arial" w:hint="cs"/>
          <w:rtl/>
        </w:rPr>
        <w:t>,</w:t>
      </w:r>
      <w:r w:rsidRPr="009727CB">
        <w:rPr>
          <w:rFonts w:cs="Arial"/>
          <w:rtl/>
        </w:rPr>
        <w:t xml:space="preserve"> דהתם אף טלטול אין כאן</w:t>
      </w:r>
      <w:r w:rsidR="00B5321B" w:rsidRPr="009727CB">
        <w:rPr>
          <w:rFonts w:cs="Arial" w:hint="cs"/>
          <w:rtl/>
        </w:rPr>
        <w:t>,</w:t>
      </w:r>
      <w:r w:rsidRPr="009727CB">
        <w:rPr>
          <w:rFonts w:cs="Arial"/>
          <w:rtl/>
        </w:rPr>
        <w:t xml:space="preserve"> שהרי אינו מטלטלו בידו אלא בגופו כלאחר יד</w:t>
      </w:r>
      <w:r w:rsidR="00B5321B" w:rsidRPr="009727CB">
        <w:rPr>
          <w:rFonts w:cs="Arial" w:hint="cs"/>
          <w:rtl/>
        </w:rPr>
        <w:t>.</w:t>
      </w:r>
      <w:r w:rsidRPr="009727CB">
        <w:rPr>
          <w:rFonts w:cs="Arial"/>
          <w:rtl/>
        </w:rPr>
        <w:t xml:space="preserve"> הילכך אע</w:t>
      </w:r>
      <w:r w:rsidR="00B5321B" w:rsidRPr="009727CB">
        <w:rPr>
          <w:rFonts w:cs="Arial" w:hint="cs"/>
          <w:rtl/>
        </w:rPr>
        <w:t>"</w:t>
      </w:r>
      <w:r w:rsidRPr="009727CB">
        <w:rPr>
          <w:rFonts w:cs="Arial"/>
          <w:rtl/>
        </w:rPr>
        <w:t>ג דלקש שהוא מוקצה הוא צריך</w:t>
      </w:r>
      <w:r w:rsidR="00B5321B" w:rsidRPr="009727CB">
        <w:rPr>
          <w:rFonts w:cs="Arial" w:hint="cs"/>
          <w:rtl/>
        </w:rPr>
        <w:t>,</w:t>
      </w:r>
      <w:r w:rsidRPr="009727CB">
        <w:rPr>
          <w:rFonts w:cs="Arial"/>
          <w:rtl/>
        </w:rPr>
        <w:t xml:space="preserve"> מדמה ליה לטלטול מן הצד שהוא צורך לדבר המותר</w:t>
      </w:r>
      <w:r w:rsidR="00164007">
        <w:rPr>
          <w:rFonts w:cs="Arial" w:hint="cs"/>
          <w:sz w:val="16"/>
          <w:szCs w:val="16"/>
          <w:rtl/>
        </w:rPr>
        <w:t xml:space="preserve"> (ל' הב"י בשם הרא"ש)</w:t>
      </w:r>
      <w:r w:rsidR="009221CC" w:rsidRPr="009727CB">
        <w:rPr>
          <w:rFonts w:cs="Arial" w:hint="cs"/>
          <w:rtl/>
        </w:rPr>
        <w:t>.</w:t>
      </w:r>
      <w:r w:rsidRPr="009727CB">
        <w:rPr>
          <w:rFonts w:cs="Arial"/>
          <w:rtl/>
        </w:rPr>
        <w:t xml:space="preserve"> </w:t>
      </w:r>
    </w:p>
    <w:p w14:paraId="66579B70" w14:textId="539BE326" w:rsidR="00032C79" w:rsidRPr="009727CB" w:rsidRDefault="00032C79" w:rsidP="00434A6A">
      <w:pPr>
        <w:pStyle w:val="aa"/>
        <w:numPr>
          <w:ilvl w:val="0"/>
          <w:numId w:val="15"/>
        </w:numPr>
        <w:rPr>
          <w:rFonts w:cs="Arial"/>
          <w:rtl/>
        </w:rPr>
      </w:pPr>
      <w:r w:rsidRPr="009727CB">
        <w:rPr>
          <w:rFonts w:cs="Arial"/>
          <w:rtl/>
        </w:rPr>
        <w:t xml:space="preserve">ר"ן </w:t>
      </w:r>
      <w:r w:rsidRPr="00164007">
        <w:rPr>
          <w:rFonts w:cs="Arial"/>
          <w:sz w:val="16"/>
          <w:szCs w:val="16"/>
          <w:rtl/>
        </w:rPr>
        <w:t>(כ: ד"ה וקשיא לן)</w:t>
      </w:r>
      <w:r w:rsidR="00164007">
        <w:rPr>
          <w:rFonts w:cs="Arial" w:hint="cs"/>
          <w:rtl/>
        </w:rPr>
        <w:t>-</w:t>
      </w:r>
      <w:r w:rsidRPr="009727CB">
        <w:rPr>
          <w:rFonts w:cs="Arial"/>
          <w:rtl/>
        </w:rPr>
        <w:t xml:space="preserve"> התם נמי אינו מטלטל את הקש מפני שצריך לו</w:t>
      </w:r>
      <w:r w:rsidR="00B5321B" w:rsidRPr="009727CB">
        <w:rPr>
          <w:rFonts w:cs="Arial" w:hint="cs"/>
          <w:rtl/>
        </w:rPr>
        <w:t>,</w:t>
      </w:r>
      <w:r w:rsidRPr="009727CB">
        <w:rPr>
          <w:rFonts w:cs="Arial"/>
          <w:rtl/>
        </w:rPr>
        <w:t xml:space="preserve"> אלא מפני שצריך למטה ואי אפשר לו בלא טלטול הקש</w:t>
      </w:r>
      <w:r w:rsidR="00B5321B" w:rsidRPr="009727CB">
        <w:rPr>
          <w:rFonts w:cs="Arial" w:hint="cs"/>
          <w:rtl/>
        </w:rPr>
        <w:t>,</w:t>
      </w:r>
      <w:r w:rsidRPr="009727CB">
        <w:rPr>
          <w:rFonts w:cs="Arial"/>
          <w:rtl/>
        </w:rPr>
        <w:t xml:space="preserve"> ומשום הכי כיון דלא מטלטל ליה בהדיא אלא כלאחר יד שרי</w:t>
      </w:r>
      <w:r w:rsidR="00164007">
        <w:rPr>
          <w:rFonts w:cs="Arial" w:hint="cs"/>
          <w:sz w:val="16"/>
          <w:szCs w:val="16"/>
          <w:rtl/>
        </w:rPr>
        <w:t xml:space="preserve"> (ל' הב"י בשמו)</w:t>
      </w:r>
      <w:r w:rsidR="009221CC" w:rsidRPr="009727CB">
        <w:rPr>
          <w:rFonts w:cs="Arial" w:hint="cs"/>
          <w:rtl/>
        </w:rPr>
        <w:t>.</w:t>
      </w:r>
      <w:r w:rsidRPr="009727CB">
        <w:rPr>
          <w:rFonts w:cs="Arial"/>
          <w:rtl/>
        </w:rPr>
        <w:t xml:space="preserve"> </w:t>
      </w:r>
    </w:p>
    <w:p w14:paraId="25E1C18A" w14:textId="752CF08D" w:rsidR="00D66CC5" w:rsidRPr="0007272E" w:rsidRDefault="00144BD1" w:rsidP="00434A6A">
      <w:pPr>
        <w:rPr>
          <w:u w:val="single"/>
          <w:rtl/>
        </w:rPr>
      </w:pPr>
      <w:r>
        <w:rPr>
          <w:rFonts w:hint="cs"/>
          <w:u w:val="single"/>
          <w:rtl/>
        </w:rPr>
        <w:t xml:space="preserve">למעשה - </w:t>
      </w:r>
      <w:r w:rsidR="00D66CC5" w:rsidRPr="0007272E">
        <w:rPr>
          <w:rFonts w:hint="cs"/>
          <w:u w:val="single"/>
          <w:rtl/>
        </w:rPr>
        <w:t>טלטול מן הצד לצורך דבר המותר:</w:t>
      </w:r>
    </w:p>
    <w:p w14:paraId="60CA9EAD" w14:textId="48703444" w:rsidR="00D66CC5" w:rsidRDefault="00D66CC5" w:rsidP="00434A6A">
      <w:pPr>
        <w:pStyle w:val="aa"/>
        <w:numPr>
          <w:ilvl w:val="0"/>
          <w:numId w:val="15"/>
        </w:numPr>
      </w:pPr>
      <w:r>
        <w:rPr>
          <w:rFonts w:cs="Arial" w:hint="cs"/>
          <w:rtl/>
        </w:rPr>
        <w:t xml:space="preserve">טור- </w:t>
      </w:r>
      <w:r>
        <w:rPr>
          <w:rFonts w:cs="Arial"/>
          <w:rtl/>
        </w:rPr>
        <w:t>טילטול מן הצד לצורך דבר המותר</w:t>
      </w:r>
      <w:r>
        <w:rPr>
          <w:rFonts w:cs="Arial" w:hint="cs"/>
          <w:rtl/>
        </w:rPr>
        <w:t xml:space="preserve"> -</w:t>
      </w:r>
      <w:r>
        <w:rPr>
          <w:rFonts w:cs="Arial"/>
          <w:rtl/>
        </w:rPr>
        <w:t xml:space="preserve"> מותר</w:t>
      </w:r>
      <w:r>
        <w:rPr>
          <w:rFonts w:cs="Arial" w:hint="cs"/>
          <w:rtl/>
        </w:rPr>
        <w:t>.</w:t>
      </w:r>
      <w:r>
        <w:rPr>
          <w:rFonts w:cs="Arial"/>
          <w:rtl/>
        </w:rPr>
        <w:t xml:space="preserve"> הלכך מעות ששכח על הכר</w:t>
      </w:r>
      <w:r>
        <w:rPr>
          <w:rFonts w:cs="Arial" w:hint="cs"/>
          <w:rtl/>
        </w:rPr>
        <w:t xml:space="preserve"> -</w:t>
      </w:r>
      <w:r>
        <w:rPr>
          <w:rFonts w:cs="Arial"/>
          <w:rtl/>
        </w:rPr>
        <w:t xml:space="preserve"> נוער את הכר והן נופלות</w:t>
      </w:r>
      <w:r>
        <w:rPr>
          <w:rFonts w:cs="Arial" w:hint="cs"/>
          <w:rtl/>
        </w:rPr>
        <w:t>.</w:t>
      </w:r>
      <w:r>
        <w:rPr>
          <w:rFonts w:cs="Arial"/>
          <w:rtl/>
        </w:rPr>
        <w:t xml:space="preserve"> וכן צנון שטמן בארץ ומקצת עליו מגולין</w:t>
      </w:r>
      <w:r>
        <w:rPr>
          <w:rFonts w:cs="Arial" w:hint="cs"/>
          <w:rtl/>
        </w:rPr>
        <w:t xml:space="preserve"> -</w:t>
      </w:r>
      <w:r>
        <w:rPr>
          <w:rFonts w:cs="Arial"/>
          <w:rtl/>
        </w:rPr>
        <w:t xml:space="preserve"> נוטלו אע</w:t>
      </w:r>
      <w:r>
        <w:rPr>
          <w:rFonts w:cs="Arial" w:hint="cs"/>
          <w:rtl/>
        </w:rPr>
        <w:t>"</w:t>
      </w:r>
      <w:r>
        <w:rPr>
          <w:rFonts w:cs="Arial"/>
          <w:rtl/>
        </w:rPr>
        <w:t>פ שבנטילת</w:t>
      </w:r>
      <w:r>
        <w:rPr>
          <w:rFonts w:cs="Arial" w:hint="cs"/>
          <w:rtl/>
        </w:rPr>
        <w:t>ו</w:t>
      </w:r>
      <w:r>
        <w:rPr>
          <w:rFonts w:cs="Arial"/>
          <w:rtl/>
        </w:rPr>
        <w:t xml:space="preserve"> מזיז עפר ממקומו</w:t>
      </w:r>
      <w:r>
        <w:rPr>
          <w:rFonts w:cs="Arial" w:hint="cs"/>
          <w:rtl/>
        </w:rPr>
        <w:t>.</w:t>
      </w:r>
      <w:r>
        <w:rPr>
          <w:rFonts w:cs="Arial"/>
          <w:rtl/>
        </w:rPr>
        <w:t xml:space="preserve"> </w:t>
      </w:r>
      <w:r w:rsidR="00FB5B2E" w:rsidRPr="00FB5B2E">
        <w:rPr>
          <w:rFonts w:cs="Arial" w:hint="cs"/>
          <w:color w:val="E36C0A" w:themeColor="accent6" w:themeShade="BF"/>
          <w:rtl/>
        </w:rPr>
        <w:t>(וכ"פ בשו"ע)</w:t>
      </w:r>
    </w:p>
    <w:p w14:paraId="734395F8" w14:textId="0BA62FB2" w:rsidR="00B9602D" w:rsidRDefault="004D6548" w:rsidP="00434A6A">
      <w:pPr>
        <w:pStyle w:val="aa"/>
        <w:numPr>
          <w:ilvl w:val="0"/>
          <w:numId w:val="15"/>
        </w:numPr>
      </w:pPr>
      <w:r>
        <w:rPr>
          <w:rFonts w:cs="Arial" w:hint="cs"/>
          <w:rtl/>
        </w:rPr>
        <w:t>רמב"ם</w:t>
      </w:r>
      <w:r w:rsidRPr="004D6548">
        <w:rPr>
          <w:rFonts w:cs="Arial" w:hint="cs"/>
          <w:sz w:val="16"/>
          <w:szCs w:val="16"/>
          <w:rtl/>
        </w:rPr>
        <w:t xml:space="preserve"> (פכ"ה הט"ו</w:t>
      </w:r>
      <w:r>
        <w:rPr>
          <w:rFonts w:cs="Arial" w:hint="cs"/>
          <w:sz w:val="16"/>
          <w:szCs w:val="16"/>
          <w:rtl/>
        </w:rPr>
        <w:t>-טז</w:t>
      </w:r>
      <w:r w:rsidRPr="004D6548">
        <w:rPr>
          <w:rFonts w:cs="Arial" w:hint="cs"/>
          <w:sz w:val="16"/>
          <w:szCs w:val="16"/>
          <w:rtl/>
        </w:rPr>
        <w:t>)</w:t>
      </w:r>
      <w:r>
        <w:rPr>
          <w:rFonts w:cs="Arial" w:hint="cs"/>
          <w:rtl/>
        </w:rPr>
        <w:t xml:space="preserve">- </w:t>
      </w:r>
      <w:r w:rsidR="00B9602D" w:rsidRPr="00B9602D">
        <w:rPr>
          <w:rFonts w:cs="Arial"/>
          <w:rtl/>
        </w:rPr>
        <w:t xml:space="preserve">שני דברים אחד אסור לטלטלו ואחד מותר לטלטלו והן סמוכים זה לזה או זה על זה או זה בזה ובזמן שמטלטלין אחד מהן יטלטל השני, אם היה צריך לדבר שמותר לטלטלו </w:t>
      </w:r>
      <w:r w:rsidR="008B1433">
        <w:rPr>
          <w:rFonts w:cs="Arial" w:hint="cs"/>
          <w:rtl/>
        </w:rPr>
        <w:t xml:space="preserve">- </w:t>
      </w:r>
      <w:r w:rsidR="00B9602D" w:rsidRPr="00B9602D">
        <w:rPr>
          <w:rFonts w:cs="Arial"/>
          <w:rtl/>
        </w:rPr>
        <w:t xml:space="preserve">מטלטלו ואף על פי שדבר האסור מיטלטל עמו, ואם היה צריך לטלטל דבר האסור </w:t>
      </w:r>
      <w:r w:rsidR="008B1433">
        <w:rPr>
          <w:rFonts w:cs="Arial" w:hint="cs"/>
          <w:rtl/>
        </w:rPr>
        <w:t xml:space="preserve">- </w:t>
      </w:r>
      <w:r w:rsidR="00B9602D" w:rsidRPr="00B9602D">
        <w:rPr>
          <w:rFonts w:cs="Arial"/>
          <w:rtl/>
        </w:rPr>
        <w:t>לא יטלטלנו באותו דבר המותר.</w:t>
      </w:r>
      <w:r w:rsidR="008B1433">
        <w:rPr>
          <w:rFonts w:cs="Arial" w:hint="cs"/>
          <w:rtl/>
        </w:rPr>
        <w:t xml:space="preserve"> </w:t>
      </w:r>
      <w:r w:rsidR="00B9602D" w:rsidRPr="008B1433">
        <w:rPr>
          <w:rFonts w:cs="Arial"/>
          <w:rtl/>
        </w:rPr>
        <w:t>כיצד</w:t>
      </w:r>
      <w:r w:rsidR="008B1433">
        <w:rPr>
          <w:rFonts w:cs="Arial" w:hint="cs"/>
          <w:rtl/>
        </w:rPr>
        <w:t>...</w:t>
      </w:r>
      <w:r w:rsidR="00B9602D" w:rsidRPr="008B1433">
        <w:rPr>
          <w:rFonts w:cs="Arial"/>
          <w:rtl/>
        </w:rPr>
        <w:t xml:space="preserve"> לפת או צנונות שהיו טמונים בעפר ומקצת העלים מגולים שומטן בשבת בעלה שלהן ואף על פי שהעפר ננער</w:t>
      </w:r>
      <w:r w:rsidR="008B1433">
        <w:rPr>
          <w:rFonts w:cs="Arial" w:hint="cs"/>
          <w:rtl/>
        </w:rPr>
        <w:t>.</w:t>
      </w:r>
      <w:r w:rsidR="00B9602D" w:rsidRPr="008B1433">
        <w:rPr>
          <w:rFonts w:cs="Arial"/>
          <w:rtl/>
        </w:rPr>
        <w:t xml:space="preserve"> אבל אם היה ככר או תינוק על גבי האבן או על גבי הקורה לא יטלטל האבן או הקורה בככר או בתינוק שיש עליה</w:t>
      </w:r>
      <w:r>
        <w:rPr>
          <w:rFonts w:cs="Arial" w:hint="cs"/>
          <w:rtl/>
        </w:rPr>
        <w:t>.</w:t>
      </w:r>
      <w:r w:rsidR="00B9602D" w:rsidRPr="008B1433">
        <w:rPr>
          <w:rFonts w:cs="Arial"/>
          <w:rtl/>
        </w:rPr>
        <w:t xml:space="preserve"> וכן כל כיוצא בזה.</w:t>
      </w:r>
    </w:p>
    <w:p w14:paraId="583640FE" w14:textId="0C8B26B6" w:rsidR="00D66CC5" w:rsidRPr="0007272E" w:rsidRDefault="00144BD1" w:rsidP="00434A6A">
      <w:pPr>
        <w:rPr>
          <w:u w:val="single"/>
        </w:rPr>
      </w:pPr>
      <w:r>
        <w:rPr>
          <w:rFonts w:hint="cs"/>
          <w:u w:val="single"/>
          <w:rtl/>
        </w:rPr>
        <w:t xml:space="preserve">למעשה - </w:t>
      </w:r>
      <w:r w:rsidR="00D66CC5" w:rsidRPr="0007272E">
        <w:rPr>
          <w:rFonts w:hint="cs"/>
          <w:u w:val="single"/>
          <w:rtl/>
        </w:rPr>
        <w:t>טלטול בגופו לצורך דבר האסור:</w:t>
      </w:r>
    </w:p>
    <w:p w14:paraId="34682A90" w14:textId="316BC12F" w:rsidR="00D66CC5" w:rsidRDefault="00D66CC5" w:rsidP="00434A6A">
      <w:pPr>
        <w:pStyle w:val="aa"/>
        <w:numPr>
          <w:ilvl w:val="0"/>
          <w:numId w:val="15"/>
        </w:numPr>
      </w:pPr>
      <w:r>
        <w:rPr>
          <w:rFonts w:cs="Arial" w:hint="cs"/>
          <w:rtl/>
        </w:rPr>
        <w:t xml:space="preserve">טור- </w:t>
      </w:r>
      <w:r>
        <w:rPr>
          <w:rFonts w:cs="Arial"/>
          <w:rtl/>
        </w:rPr>
        <w:t xml:space="preserve">טילטול בגופו אפי' לצורך דבר האסור </w:t>
      </w:r>
      <w:r>
        <w:rPr>
          <w:rFonts w:cs="Arial" w:hint="cs"/>
          <w:rtl/>
        </w:rPr>
        <w:t xml:space="preserve">- </w:t>
      </w:r>
      <w:r>
        <w:rPr>
          <w:rFonts w:cs="Arial"/>
          <w:rtl/>
        </w:rPr>
        <w:t>מותר</w:t>
      </w:r>
      <w:r>
        <w:rPr>
          <w:rFonts w:cs="Arial" w:hint="cs"/>
          <w:rtl/>
        </w:rPr>
        <w:t>.</w:t>
      </w:r>
      <w:r>
        <w:rPr>
          <w:rFonts w:cs="Arial"/>
          <w:rtl/>
        </w:rPr>
        <w:t xml:space="preserve"> הלכך קש שעל גבי המטה והוא מוקצה </w:t>
      </w:r>
      <w:r>
        <w:rPr>
          <w:rFonts w:cs="Arial" w:hint="cs"/>
          <w:rtl/>
        </w:rPr>
        <w:t xml:space="preserve">- </w:t>
      </w:r>
      <w:r>
        <w:rPr>
          <w:rFonts w:cs="Arial"/>
          <w:rtl/>
        </w:rPr>
        <w:t>מנענע בגופו</w:t>
      </w:r>
      <w:r>
        <w:rPr>
          <w:rFonts w:cs="Arial" w:hint="cs"/>
          <w:rtl/>
        </w:rPr>
        <w:t>.</w:t>
      </w:r>
      <w:r>
        <w:rPr>
          <w:rFonts w:cs="Arial"/>
          <w:rtl/>
        </w:rPr>
        <w:t xml:space="preserve"> ואם הניח עליו מבע</w:t>
      </w:r>
      <w:r>
        <w:rPr>
          <w:rFonts w:cs="Arial" w:hint="cs"/>
          <w:rtl/>
        </w:rPr>
        <w:t>ו</w:t>
      </w:r>
      <w:r>
        <w:rPr>
          <w:rFonts w:cs="Arial"/>
          <w:rtl/>
        </w:rPr>
        <w:t>"י כר או כסת</w:t>
      </w:r>
      <w:r>
        <w:rPr>
          <w:rStyle w:val="a9"/>
          <w:rFonts w:cs="Arial"/>
          <w:rtl/>
        </w:rPr>
        <w:footnoteReference w:id="1933"/>
      </w:r>
      <w:r>
        <w:rPr>
          <w:rFonts w:cs="Arial"/>
          <w:rtl/>
        </w:rPr>
        <w:t xml:space="preserve"> </w:t>
      </w:r>
      <w:r>
        <w:rPr>
          <w:rFonts w:cs="Arial" w:hint="cs"/>
          <w:rtl/>
        </w:rPr>
        <w:t xml:space="preserve">- </w:t>
      </w:r>
      <w:r>
        <w:rPr>
          <w:rFonts w:cs="Arial"/>
          <w:rtl/>
        </w:rPr>
        <w:t>מנענע אפי' בידו</w:t>
      </w:r>
      <w:r>
        <w:rPr>
          <w:rFonts w:cs="Arial" w:hint="cs"/>
          <w:rtl/>
        </w:rPr>
        <w:t>,</w:t>
      </w:r>
      <w:r>
        <w:rPr>
          <w:rFonts w:cs="Arial"/>
          <w:rtl/>
        </w:rPr>
        <w:t xml:space="preserve"> שהרי הכינו מבע</w:t>
      </w:r>
      <w:r>
        <w:rPr>
          <w:rFonts w:cs="Arial" w:hint="cs"/>
          <w:rtl/>
        </w:rPr>
        <w:t>ו</w:t>
      </w:r>
      <w:r>
        <w:rPr>
          <w:rFonts w:cs="Arial"/>
          <w:rtl/>
        </w:rPr>
        <w:t>"י לשכוב עליו</w:t>
      </w:r>
      <w:r>
        <w:rPr>
          <w:rFonts w:cs="Arial" w:hint="cs"/>
          <w:rtl/>
        </w:rPr>
        <w:t>.</w:t>
      </w:r>
      <w:r>
        <w:rPr>
          <w:rFonts w:cs="Arial"/>
          <w:rtl/>
        </w:rPr>
        <w:t xml:space="preserve"> </w:t>
      </w:r>
      <w:r w:rsidR="00FB5B2E" w:rsidRPr="00FB5B2E">
        <w:rPr>
          <w:rFonts w:cs="Arial" w:hint="cs"/>
          <w:color w:val="E36C0A" w:themeColor="accent6" w:themeShade="BF"/>
          <w:rtl/>
        </w:rPr>
        <w:t>(וכ"פ בשו"ע)</w:t>
      </w:r>
    </w:p>
    <w:p w14:paraId="344C01C0" w14:textId="63202947" w:rsidR="00645110" w:rsidRPr="00645110" w:rsidRDefault="000B7221" w:rsidP="00434A6A">
      <w:pPr>
        <w:rPr>
          <w:rFonts w:asciiTheme="minorBidi" w:hAnsiTheme="minorBidi"/>
          <w:rtl/>
        </w:rPr>
      </w:pPr>
      <w:r w:rsidRPr="000B7221">
        <w:rPr>
          <w:rFonts w:asciiTheme="minorBidi" w:hAnsiTheme="minorBidi"/>
          <w:b/>
          <w:bCs/>
          <w:rtl/>
        </w:rPr>
        <w:t xml:space="preserve">שבת </w:t>
      </w:r>
      <w:r>
        <w:rPr>
          <w:rFonts w:asciiTheme="minorBidi" w:hAnsiTheme="minorBidi" w:hint="cs"/>
          <w:b/>
          <w:bCs/>
          <w:sz w:val="16"/>
          <w:szCs w:val="16"/>
          <w:rtl/>
        </w:rPr>
        <w:t xml:space="preserve">(פ' במה טומנין) </w:t>
      </w:r>
      <w:r w:rsidRPr="000B7221">
        <w:rPr>
          <w:rFonts w:asciiTheme="minorBidi" w:hAnsiTheme="minorBidi"/>
          <w:b/>
          <w:bCs/>
          <w:rtl/>
        </w:rPr>
        <w:t>נ ע"ב:</w:t>
      </w:r>
      <w:r w:rsidRPr="000B7221">
        <w:rPr>
          <w:rFonts w:asciiTheme="minorBidi" w:hAnsiTheme="minorBidi"/>
          <w:rtl/>
        </w:rPr>
        <w:t xml:space="preserve"> </w:t>
      </w:r>
      <w:r w:rsidRPr="000B7221">
        <w:rPr>
          <w:rFonts w:asciiTheme="minorBidi" w:hAnsiTheme="minorBidi"/>
          <w:u w:val="single"/>
          <w:rtl/>
        </w:rPr>
        <w:t>אמר רב הונא</w:t>
      </w:r>
      <w:r w:rsidRPr="000B7221">
        <w:rPr>
          <w:rFonts w:asciiTheme="minorBidi" w:hAnsiTheme="minorBidi"/>
          <w:rtl/>
        </w:rPr>
        <w:t>: האי סליקוסתא</w:t>
      </w:r>
      <w:r w:rsidRPr="005275DF">
        <w:rPr>
          <w:rStyle w:val="a9"/>
          <w:rFonts w:asciiTheme="minorBidi" w:hAnsiTheme="minorBidi"/>
          <w:rtl/>
        </w:rPr>
        <w:footnoteReference w:id="1934"/>
      </w:r>
      <w:r w:rsidRPr="000B7221">
        <w:rPr>
          <w:rFonts w:asciiTheme="minorBidi" w:hAnsiTheme="minorBidi"/>
          <w:rtl/>
        </w:rPr>
        <w:t xml:space="preserve"> דצה שלפה והדר דצה - שריא, ואי לאו אסיר</w:t>
      </w:r>
      <w:r w:rsidR="00645110">
        <w:rPr>
          <w:rStyle w:val="a9"/>
          <w:rFonts w:asciiTheme="minorBidi" w:hAnsiTheme="minorBidi"/>
          <w:rtl/>
        </w:rPr>
        <w:footnoteReference w:id="1935"/>
      </w:r>
      <w:r w:rsidRPr="000B7221">
        <w:rPr>
          <w:rFonts w:asciiTheme="minorBidi" w:hAnsiTheme="minorBidi"/>
          <w:rtl/>
        </w:rPr>
        <w:t>.</w:t>
      </w:r>
      <w:r>
        <w:rPr>
          <w:rFonts w:asciiTheme="minorBidi" w:hAnsiTheme="minorBidi" w:hint="cs"/>
          <w:rtl/>
        </w:rPr>
        <w:t>.</w:t>
      </w:r>
      <w:r w:rsidRPr="000B7221">
        <w:rPr>
          <w:rFonts w:asciiTheme="minorBidi" w:hAnsiTheme="minorBidi"/>
          <w:rtl/>
        </w:rPr>
        <w:t xml:space="preserve">. </w:t>
      </w:r>
      <w:r w:rsidRPr="000B7221">
        <w:rPr>
          <w:rFonts w:asciiTheme="minorBidi" w:hAnsiTheme="minorBidi"/>
          <w:u w:val="single"/>
          <w:rtl/>
        </w:rPr>
        <w:t>אמר ליה רב מרדכי לרבא, מתיב רב קטינא תיובתא</w:t>
      </w:r>
      <w:r w:rsidRPr="005275DF">
        <w:rPr>
          <w:rStyle w:val="a9"/>
          <w:rFonts w:asciiTheme="minorBidi" w:hAnsiTheme="minorBidi"/>
          <w:rtl/>
        </w:rPr>
        <w:footnoteReference w:id="1936"/>
      </w:r>
      <w:r w:rsidRPr="000B7221">
        <w:rPr>
          <w:rFonts w:asciiTheme="minorBidi" w:hAnsiTheme="minorBidi"/>
          <w:rtl/>
        </w:rPr>
        <w:t>: הטומן לפת</w:t>
      </w:r>
      <w:r w:rsidRPr="005275DF">
        <w:rPr>
          <w:rStyle w:val="a9"/>
          <w:rFonts w:asciiTheme="minorBidi" w:hAnsiTheme="minorBidi"/>
          <w:rtl/>
        </w:rPr>
        <w:footnoteReference w:id="1937"/>
      </w:r>
      <w:r w:rsidRPr="000B7221">
        <w:rPr>
          <w:rFonts w:asciiTheme="minorBidi" w:hAnsiTheme="minorBidi"/>
          <w:rtl/>
        </w:rPr>
        <w:t xml:space="preserve"> וצנונות תחת הגפן, אם היה מקצת עליו מגולים - אינו חושש לא משום כלאים</w:t>
      </w:r>
      <w:r w:rsidRPr="005275DF">
        <w:rPr>
          <w:rStyle w:val="a9"/>
          <w:rFonts w:asciiTheme="minorBidi" w:hAnsiTheme="minorBidi"/>
          <w:rtl/>
        </w:rPr>
        <w:footnoteReference w:id="1938"/>
      </w:r>
      <w:r w:rsidRPr="000B7221">
        <w:rPr>
          <w:rFonts w:asciiTheme="minorBidi" w:hAnsiTheme="minorBidi"/>
          <w:rtl/>
        </w:rPr>
        <w:t>, ולא משום שביעית, ולא משום מעשר</w:t>
      </w:r>
      <w:r w:rsidRPr="005275DF">
        <w:rPr>
          <w:rStyle w:val="a9"/>
          <w:rFonts w:asciiTheme="minorBidi" w:hAnsiTheme="minorBidi"/>
          <w:rtl/>
        </w:rPr>
        <w:footnoteReference w:id="1939"/>
      </w:r>
      <w:r w:rsidRPr="000B7221">
        <w:rPr>
          <w:rFonts w:asciiTheme="minorBidi" w:hAnsiTheme="minorBidi"/>
          <w:rtl/>
        </w:rPr>
        <w:t>, וניטלין בשבת</w:t>
      </w:r>
      <w:r w:rsidRPr="005275DF">
        <w:rPr>
          <w:rStyle w:val="a9"/>
          <w:rFonts w:asciiTheme="minorBidi" w:hAnsiTheme="minorBidi"/>
          <w:rtl/>
        </w:rPr>
        <w:footnoteReference w:id="1940"/>
      </w:r>
      <w:r w:rsidRPr="000B7221">
        <w:rPr>
          <w:rFonts w:asciiTheme="minorBidi" w:hAnsiTheme="minorBidi"/>
          <w:rtl/>
        </w:rPr>
        <w:t>! תיובתא.</w:t>
      </w:r>
    </w:p>
    <w:p w14:paraId="67D53F0D" w14:textId="39A0DFD9" w:rsidR="00645110" w:rsidRDefault="00645110" w:rsidP="00434A6A">
      <w:pPr>
        <w:rPr>
          <w:rFonts w:cs="Arial"/>
          <w:rtl/>
        </w:rPr>
      </w:pPr>
      <w:r w:rsidRPr="000B7221">
        <w:rPr>
          <w:rFonts w:asciiTheme="minorBidi" w:hAnsiTheme="minorBidi"/>
          <w:b/>
          <w:bCs/>
          <w:rtl/>
        </w:rPr>
        <w:t xml:space="preserve">שבת </w:t>
      </w:r>
      <w:r>
        <w:rPr>
          <w:rFonts w:asciiTheme="minorBidi" w:hAnsiTheme="minorBidi" w:hint="cs"/>
          <w:b/>
          <w:bCs/>
          <w:sz w:val="16"/>
          <w:szCs w:val="16"/>
          <w:rtl/>
        </w:rPr>
        <w:t xml:space="preserve">(פ' תולין) </w:t>
      </w:r>
      <w:r>
        <w:rPr>
          <w:rFonts w:asciiTheme="minorBidi" w:hAnsiTheme="minorBidi" w:hint="cs"/>
          <w:b/>
          <w:bCs/>
          <w:rtl/>
        </w:rPr>
        <w:t>קמא</w:t>
      </w:r>
      <w:r w:rsidRPr="000B7221">
        <w:rPr>
          <w:rFonts w:asciiTheme="minorBidi" w:hAnsiTheme="minorBidi"/>
          <w:b/>
          <w:bCs/>
          <w:rtl/>
        </w:rPr>
        <w:t xml:space="preserve"> ע"</w:t>
      </w:r>
      <w:r>
        <w:rPr>
          <w:rFonts w:asciiTheme="minorBidi" w:hAnsiTheme="minorBidi" w:hint="cs"/>
          <w:b/>
          <w:bCs/>
          <w:rtl/>
        </w:rPr>
        <w:t>א</w:t>
      </w:r>
      <w:r w:rsidRPr="000B7221">
        <w:rPr>
          <w:rFonts w:asciiTheme="minorBidi" w:hAnsiTheme="minorBidi"/>
          <w:b/>
          <w:bCs/>
          <w:rtl/>
        </w:rPr>
        <w:t>:</w:t>
      </w:r>
      <w:r w:rsidRPr="00645110">
        <w:rPr>
          <w:rFonts w:cs="Arial"/>
          <w:rtl/>
        </w:rPr>
        <w:t xml:space="preserve"> </w:t>
      </w:r>
      <w:r w:rsidRPr="009241A7">
        <w:rPr>
          <w:rFonts w:cs="Arial"/>
          <w:u w:val="single"/>
          <w:rtl/>
        </w:rPr>
        <w:t>אמר רב נחמן</w:t>
      </w:r>
      <w:r w:rsidRPr="00645110">
        <w:rPr>
          <w:rFonts w:cs="Arial"/>
          <w:rtl/>
        </w:rPr>
        <w:t>: האי פוגלא</w:t>
      </w:r>
      <w:r>
        <w:rPr>
          <w:rStyle w:val="a9"/>
          <w:rFonts w:cs="Arial"/>
          <w:rtl/>
        </w:rPr>
        <w:footnoteReference w:id="1941"/>
      </w:r>
      <w:r w:rsidRPr="00645110">
        <w:rPr>
          <w:rFonts w:cs="Arial"/>
          <w:rtl/>
        </w:rPr>
        <w:t xml:space="preserve">, מלמעלה למטה - שרי, מלמטה למעלה - אסיר. </w:t>
      </w:r>
      <w:r w:rsidRPr="009241A7">
        <w:rPr>
          <w:rFonts w:cs="Arial"/>
          <w:u w:val="single"/>
          <w:rtl/>
        </w:rPr>
        <w:t>אמר רב אדא בר אבא, אמרי בי רב</w:t>
      </w:r>
      <w:r w:rsidRPr="00645110">
        <w:rPr>
          <w:rFonts w:cs="Arial"/>
          <w:rtl/>
        </w:rPr>
        <w:t>: תנינא דלא כרב נחמן</w:t>
      </w:r>
      <w:r>
        <w:rPr>
          <w:rStyle w:val="a9"/>
          <w:rFonts w:cs="Arial"/>
          <w:rtl/>
        </w:rPr>
        <w:footnoteReference w:id="1942"/>
      </w:r>
      <w:r w:rsidRPr="00645110">
        <w:rPr>
          <w:rFonts w:cs="Arial"/>
          <w:rtl/>
        </w:rPr>
        <w:t xml:space="preserve"> הקש שעל גבי המטה</w:t>
      </w:r>
      <w:r w:rsidR="00FB5B2E">
        <w:rPr>
          <w:rStyle w:val="a9"/>
          <w:rFonts w:cs="Arial"/>
          <w:rtl/>
        </w:rPr>
        <w:footnoteReference w:id="1943"/>
      </w:r>
      <w:r w:rsidRPr="00645110">
        <w:rPr>
          <w:rFonts w:cs="Arial"/>
          <w:rtl/>
        </w:rPr>
        <w:t xml:space="preserve"> - לא ינענעו בידו, אבל מנענעו בגופו</w:t>
      </w:r>
      <w:r w:rsidR="00FB5B2E">
        <w:rPr>
          <w:rStyle w:val="a9"/>
          <w:rFonts w:cs="Arial"/>
          <w:rtl/>
        </w:rPr>
        <w:footnoteReference w:id="1944"/>
      </w:r>
      <w:r w:rsidRPr="00645110">
        <w:rPr>
          <w:rFonts w:cs="Arial"/>
          <w:rtl/>
        </w:rPr>
        <w:t xml:space="preserve">. ואם היה מאכל בהמה, או שהיה עליו כר או סדין - מנענעו בידו. שמע מינה: טלטול מן הצד - לא שמיה טלטול, שמע מינה. </w:t>
      </w:r>
      <w:r>
        <w:rPr>
          <w:rFonts w:cs="Arial" w:hint="cs"/>
          <w:rtl/>
        </w:rPr>
        <w:t xml:space="preserve"> </w:t>
      </w:r>
      <w:r w:rsidRPr="00645110">
        <w:rPr>
          <w:rFonts w:cs="Arial" w:hint="cs"/>
          <w:sz w:val="16"/>
          <w:szCs w:val="16"/>
          <w:rtl/>
        </w:rPr>
        <w:t>(</w:t>
      </w:r>
      <w:r w:rsidR="00032C79" w:rsidRPr="00645110">
        <w:rPr>
          <w:rFonts w:cs="Arial"/>
          <w:sz w:val="16"/>
          <w:szCs w:val="16"/>
          <w:rtl/>
        </w:rPr>
        <w:t>ובריש פרק כל הכלים (קכג.) אמרינן דהדר ביה רב נחמן מההיא</w:t>
      </w:r>
      <w:r w:rsidR="009241A7">
        <w:rPr>
          <w:rFonts w:cs="Arial" w:hint="cs"/>
          <w:sz w:val="16"/>
          <w:szCs w:val="16"/>
          <w:rtl/>
        </w:rPr>
        <w:t>, ב"י</w:t>
      </w:r>
      <w:r w:rsidRPr="00645110">
        <w:rPr>
          <w:rFonts w:cs="Arial" w:hint="cs"/>
          <w:sz w:val="16"/>
          <w:szCs w:val="16"/>
          <w:rtl/>
        </w:rPr>
        <w:t>)</w:t>
      </w:r>
      <w:r w:rsidR="00032C79">
        <w:rPr>
          <w:rFonts w:cs="Arial"/>
          <w:rtl/>
        </w:rPr>
        <w:t xml:space="preserve"> </w:t>
      </w:r>
    </w:p>
    <w:p w14:paraId="55C3E697" w14:textId="0846C51B" w:rsidR="00FC3527" w:rsidRDefault="0009096B" w:rsidP="00434A6A">
      <w:pPr>
        <w:rPr>
          <w:rFonts w:cs="Arial"/>
          <w:rtl/>
        </w:rPr>
      </w:pPr>
      <w:r w:rsidRPr="0007272E">
        <w:rPr>
          <w:rFonts w:hint="cs"/>
          <w:u w:val="single"/>
          <w:rtl/>
        </w:rPr>
        <w:t>טלטול מן הצד לצורך דבר המותר</w:t>
      </w:r>
      <w:r>
        <w:rPr>
          <w:rFonts w:cs="Arial" w:hint="cs"/>
          <w:u w:val="single"/>
          <w:rtl/>
        </w:rPr>
        <w:t xml:space="preserve"> - </w:t>
      </w:r>
      <w:r w:rsidR="00144BD1">
        <w:rPr>
          <w:rFonts w:cs="Arial" w:hint="cs"/>
          <w:u w:val="single"/>
          <w:rtl/>
        </w:rPr>
        <w:t xml:space="preserve">מה הדין אם </w:t>
      </w:r>
      <w:r w:rsidR="00E2262B" w:rsidRPr="00D66CC5">
        <w:rPr>
          <w:rFonts w:cs="Arial" w:hint="cs"/>
          <w:b/>
          <w:bCs/>
          <w:u w:val="single"/>
          <w:rtl/>
        </w:rPr>
        <w:t>הניח</w:t>
      </w:r>
      <w:r w:rsidR="00E2262B" w:rsidRPr="00E2262B">
        <w:rPr>
          <w:rFonts w:cs="Arial" w:hint="cs"/>
          <w:u w:val="single"/>
          <w:rtl/>
        </w:rPr>
        <w:t xml:space="preserve"> </w:t>
      </w:r>
      <w:r>
        <w:rPr>
          <w:rFonts w:cs="Arial" w:hint="cs"/>
          <w:u w:val="single"/>
          <w:rtl/>
        </w:rPr>
        <w:t xml:space="preserve">את הצנון בתוך העפר </w:t>
      </w:r>
      <w:r w:rsidR="00144BD1">
        <w:rPr>
          <w:rFonts w:cs="Arial" w:hint="cs"/>
          <w:u w:val="single"/>
          <w:rtl/>
        </w:rPr>
        <w:t>שלא על דעת ליטלו בשבת</w:t>
      </w:r>
      <w:r>
        <w:rPr>
          <w:rFonts w:cs="Arial" w:hint="cs"/>
          <w:u w:val="single"/>
          <w:rtl/>
        </w:rPr>
        <w:t>:</w:t>
      </w:r>
      <w:r w:rsidR="00E2262B">
        <w:rPr>
          <w:rFonts w:cs="Arial" w:hint="cs"/>
          <w:rtl/>
        </w:rPr>
        <w:t xml:space="preserve"> </w:t>
      </w:r>
    </w:p>
    <w:p w14:paraId="73E1E978" w14:textId="4B135E05" w:rsidR="00E75D69" w:rsidRPr="00E75D69" w:rsidRDefault="00032C79" w:rsidP="00434A6A">
      <w:pPr>
        <w:pStyle w:val="aa"/>
        <w:numPr>
          <w:ilvl w:val="0"/>
          <w:numId w:val="19"/>
        </w:numPr>
        <w:rPr>
          <w:rFonts w:cs="Arial"/>
          <w:rtl/>
        </w:rPr>
      </w:pPr>
      <w:r w:rsidRPr="00FC3527">
        <w:rPr>
          <w:rFonts w:cs="Arial"/>
          <w:rtl/>
        </w:rPr>
        <w:t>תוס</w:t>
      </w:r>
      <w:r w:rsidR="00FC3527">
        <w:rPr>
          <w:rFonts w:cs="Arial" w:hint="cs"/>
          <w:rtl/>
        </w:rPr>
        <w:t>'</w:t>
      </w:r>
      <w:r w:rsidRPr="00FC3527">
        <w:rPr>
          <w:rFonts w:cs="Arial"/>
          <w:rtl/>
        </w:rPr>
        <w:t xml:space="preserve"> </w:t>
      </w:r>
      <w:r w:rsidRPr="00FC3527">
        <w:rPr>
          <w:rFonts w:cs="Arial"/>
          <w:sz w:val="16"/>
          <w:szCs w:val="16"/>
          <w:rtl/>
        </w:rPr>
        <w:t>(</w:t>
      </w:r>
      <w:r w:rsidR="00FC3527">
        <w:rPr>
          <w:rFonts w:cs="Arial" w:hint="cs"/>
          <w:sz w:val="16"/>
          <w:szCs w:val="16"/>
          <w:rtl/>
        </w:rPr>
        <w:t xml:space="preserve">קמא. </w:t>
      </w:r>
      <w:r w:rsidRPr="00FC3527">
        <w:rPr>
          <w:rFonts w:cs="Arial"/>
          <w:sz w:val="16"/>
          <w:szCs w:val="16"/>
          <w:rtl/>
        </w:rPr>
        <w:t>ד"ה האי פוגלא)</w:t>
      </w:r>
      <w:r w:rsidR="00FC3527">
        <w:rPr>
          <w:rFonts w:cs="Arial" w:hint="cs"/>
          <w:rtl/>
        </w:rPr>
        <w:t>-</w:t>
      </w:r>
      <w:r w:rsidRPr="00FC3527">
        <w:rPr>
          <w:rFonts w:cs="Arial"/>
          <w:rtl/>
        </w:rPr>
        <w:t xml:space="preserve"> ואם תאמר האי פוגלא היכי דמי</w:t>
      </w:r>
      <w:r w:rsidR="009241A7" w:rsidRPr="00FC3527">
        <w:rPr>
          <w:rFonts w:cs="Arial" w:hint="cs"/>
          <w:rtl/>
        </w:rPr>
        <w:t>,</w:t>
      </w:r>
      <w:r w:rsidRPr="00FC3527">
        <w:rPr>
          <w:rFonts w:cs="Arial"/>
          <w:rtl/>
        </w:rPr>
        <w:t xml:space="preserve"> אי במניח</w:t>
      </w:r>
      <w:r w:rsidR="009241A7" w:rsidRPr="00FC3527">
        <w:rPr>
          <w:rFonts w:cs="Arial" w:hint="cs"/>
          <w:rtl/>
        </w:rPr>
        <w:t>,</w:t>
      </w:r>
      <w:r w:rsidRPr="00FC3527">
        <w:rPr>
          <w:rFonts w:cs="Arial"/>
          <w:rtl/>
        </w:rPr>
        <w:t xml:space="preserve"> מאי טעמא שרי מלמטה למעלה</w:t>
      </w:r>
      <w:r w:rsidR="009241A7" w:rsidRPr="00FC3527">
        <w:rPr>
          <w:rFonts w:cs="Arial" w:hint="cs"/>
          <w:rtl/>
        </w:rPr>
        <w:t>,</w:t>
      </w:r>
      <w:r w:rsidRPr="00FC3527">
        <w:rPr>
          <w:rFonts w:cs="Arial"/>
          <w:rtl/>
        </w:rPr>
        <w:t xml:space="preserve"> הא אפילו ניעור אסור</w:t>
      </w:r>
      <w:r w:rsidR="009241A7" w:rsidRPr="00FC3527">
        <w:rPr>
          <w:rFonts w:cs="Arial" w:hint="cs"/>
          <w:rtl/>
        </w:rPr>
        <w:t>,</w:t>
      </w:r>
      <w:r w:rsidRPr="00FC3527">
        <w:rPr>
          <w:rFonts w:cs="Arial"/>
          <w:rtl/>
        </w:rPr>
        <w:t xml:space="preserve"> כל שכן טלטול מן הצד</w:t>
      </w:r>
      <w:r w:rsidR="009241A7" w:rsidRPr="00FC3527">
        <w:rPr>
          <w:rFonts w:cs="Arial" w:hint="cs"/>
          <w:rtl/>
        </w:rPr>
        <w:t>.</w:t>
      </w:r>
      <w:r w:rsidRPr="00FC3527">
        <w:rPr>
          <w:rFonts w:cs="Arial"/>
          <w:rtl/>
        </w:rPr>
        <w:t xml:space="preserve"> ואי בשכח</w:t>
      </w:r>
      <w:r w:rsidR="009241A7" w:rsidRPr="00FC3527">
        <w:rPr>
          <w:rFonts w:cs="Arial" w:hint="cs"/>
          <w:rtl/>
        </w:rPr>
        <w:t>,</w:t>
      </w:r>
      <w:r w:rsidRPr="00FC3527">
        <w:rPr>
          <w:rFonts w:cs="Arial"/>
          <w:rtl/>
        </w:rPr>
        <w:t xml:space="preserve"> מאי טעמא דמאן דאסר אפילו טלטול גמור שרי לצורך לטלטל אגב היתר במעות שעל הכר בצריך למקומו (קמב:)</w:t>
      </w:r>
      <w:r w:rsidR="009241A7" w:rsidRPr="00FC3527">
        <w:rPr>
          <w:rFonts w:cs="Arial" w:hint="cs"/>
          <w:rtl/>
        </w:rPr>
        <w:t>.</w:t>
      </w:r>
      <w:r w:rsidRPr="00FC3527">
        <w:rPr>
          <w:rFonts w:cs="Arial"/>
          <w:rtl/>
        </w:rPr>
        <w:t xml:space="preserve"> וי"ל דמניח על מנת ליטלה איירי</w:t>
      </w:r>
      <w:r w:rsidR="009241A7" w:rsidRPr="00FC3527">
        <w:rPr>
          <w:rFonts w:cs="Arial" w:hint="cs"/>
          <w:rtl/>
        </w:rPr>
        <w:t>,</w:t>
      </w:r>
      <w:r w:rsidRPr="00FC3527">
        <w:rPr>
          <w:rFonts w:cs="Arial"/>
          <w:rtl/>
        </w:rPr>
        <w:t xml:space="preserve"> אע</w:t>
      </w:r>
      <w:r w:rsidR="009241A7" w:rsidRPr="00FC3527">
        <w:rPr>
          <w:rFonts w:cs="Arial" w:hint="cs"/>
          <w:rtl/>
        </w:rPr>
        <w:t>"</w:t>
      </w:r>
      <w:r w:rsidRPr="00FC3527">
        <w:rPr>
          <w:rFonts w:cs="Arial"/>
          <w:rtl/>
        </w:rPr>
        <w:t>ג דכשכח דמי משום דאין מניח לכל השבת מכל מקום לא היה לו להניח בענין שיצטרך טלטול מן הצד</w:t>
      </w:r>
      <w:r>
        <w:rPr>
          <w:rStyle w:val="a9"/>
          <w:rFonts w:cs="Arial"/>
          <w:rtl/>
        </w:rPr>
        <w:footnoteReference w:id="1945"/>
      </w:r>
      <w:r w:rsidR="009241A7" w:rsidRPr="00FC3527">
        <w:rPr>
          <w:rFonts w:cs="Arial" w:hint="cs"/>
          <w:rtl/>
        </w:rPr>
        <w:t>.</w:t>
      </w:r>
      <w:r w:rsidRPr="00FC3527">
        <w:rPr>
          <w:rFonts w:cs="Arial"/>
          <w:rtl/>
        </w:rPr>
        <w:t xml:space="preserve"> </w:t>
      </w:r>
    </w:p>
    <w:p w14:paraId="18A9F173" w14:textId="3BA3B775" w:rsidR="006D04FF" w:rsidRDefault="006D04FF" w:rsidP="00434A6A">
      <w:pPr>
        <w:pStyle w:val="aa"/>
        <w:numPr>
          <w:ilvl w:val="0"/>
          <w:numId w:val="19"/>
        </w:numPr>
        <w:rPr>
          <w:rFonts w:cs="Arial"/>
        </w:rPr>
      </w:pPr>
      <w:r w:rsidRPr="006D04FF">
        <w:rPr>
          <w:rFonts w:cs="Arial"/>
          <w:rtl/>
        </w:rPr>
        <w:t xml:space="preserve">רא"ש </w:t>
      </w:r>
      <w:r w:rsidRPr="006D04FF">
        <w:rPr>
          <w:rFonts w:cs="Arial"/>
          <w:sz w:val="16"/>
          <w:szCs w:val="16"/>
          <w:rtl/>
        </w:rPr>
        <w:t>(כלל כב סי' ח הדרך הא')</w:t>
      </w:r>
      <w:r>
        <w:rPr>
          <w:rFonts w:cs="Arial" w:hint="cs"/>
          <w:rtl/>
        </w:rPr>
        <w:t>-</w:t>
      </w:r>
      <w:r w:rsidRPr="006D04FF">
        <w:rPr>
          <w:rFonts w:cs="Arial"/>
          <w:rtl/>
        </w:rPr>
        <w:t xml:space="preserve"> מצינו שהתירו לטלטל האיסור מצד ההתר, כחררה שהטמינה בגחלים שהתירו לתחוב בכוש או בכרכר ולנערה. ודוקא בשוכח</w:t>
      </w:r>
      <w:r>
        <w:rPr>
          <w:rFonts w:cs="Arial" w:hint="cs"/>
          <w:rtl/>
        </w:rPr>
        <w:t>,</w:t>
      </w:r>
      <w:r w:rsidRPr="006D04FF">
        <w:rPr>
          <w:rFonts w:cs="Arial"/>
          <w:rtl/>
        </w:rPr>
        <w:t xml:space="preserve"> אבל במניח </w:t>
      </w:r>
      <w:r>
        <w:rPr>
          <w:rFonts w:cs="Arial" w:hint="cs"/>
          <w:rtl/>
        </w:rPr>
        <w:t xml:space="preserve">- </w:t>
      </w:r>
      <w:r w:rsidRPr="006D04FF">
        <w:rPr>
          <w:rFonts w:cs="Arial"/>
          <w:rtl/>
        </w:rPr>
        <w:t>נעשית החררה בסיס לדבר האסור</w:t>
      </w:r>
      <w:r>
        <w:rPr>
          <w:rFonts w:cs="Arial" w:hint="cs"/>
          <w:rtl/>
        </w:rPr>
        <w:t>.</w:t>
      </w:r>
      <w:r w:rsidRPr="006D04FF">
        <w:rPr>
          <w:rFonts w:cs="Arial"/>
          <w:rtl/>
        </w:rPr>
        <w:t xml:space="preserve"> א"נ אפילו במניח</w:t>
      </w:r>
      <w:r>
        <w:rPr>
          <w:rFonts w:cs="Arial" w:hint="cs"/>
          <w:rtl/>
        </w:rPr>
        <w:t>,</w:t>
      </w:r>
      <w:r w:rsidRPr="006D04FF">
        <w:rPr>
          <w:rFonts w:cs="Arial"/>
          <w:rtl/>
        </w:rPr>
        <w:t xml:space="preserve"> ושאני הכא דלא נעשה החררה בסיס אלא לצורך האפייה לסלקה</w:t>
      </w:r>
      <w:r>
        <w:rPr>
          <w:rStyle w:val="a9"/>
          <w:rFonts w:cs="Arial"/>
          <w:rtl/>
        </w:rPr>
        <w:footnoteReference w:id="1946"/>
      </w:r>
      <w:r w:rsidRPr="006D04FF">
        <w:rPr>
          <w:rFonts w:cs="Arial"/>
          <w:rtl/>
        </w:rPr>
        <w:t>.</w:t>
      </w:r>
      <w:r w:rsidR="00DD624C">
        <w:rPr>
          <w:rFonts w:cs="Arial" w:hint="cs"/>
          <w:color w:val="E36C0A" w:themeColor="accent6" w:themeShade="BF"/>
          <w:rtl/>
        </w:rPr>
        <w:t xml:space="preserve"> </w:t>
      </w:r>
      <w:r w:rsidR="00DD624C" w:rsidRPr="00FB5B2E">
        <w:rPr>
          <w:rFonts w:cs="Arial" w:hint="cs"/>
          <w:color w:val="E36C0A" w:themeColor="accent6" w:themeShade="BF"/>
          <w:rtl/>
        </w:rPr>
        <w:t>(וכ"</w:t>
      </w:r>
      <w:r w:rsidR="00DD624C">
        <w:rPr>
          <w:rFonts w:cs="Arial" w:hint="cs"/>
          <w:color w:val="E36C0A" w:themeColor="accent6" w:themeShade="BF"/>
          <w:rtl/>
        </w:rPr>
        <w:t>ס</w:t>
      </w:r>
      <w:r w:rsidR="00DD624C" w:rsidRPr="00FB5B2E">
        <w:rPr>
          <w:rFonts w:cs="Arial" w:hint="cs"/>
          <w:color w:val="E36C0A" w:themeColor="accent6" w:themeShade="BF"/>
          <w:rtl/>
        </w:rPr>
        <w:t xml:space="preserve"> בשו"ע)</w:t>
      </w:r>
      <w:r w:rsidRPr="006D04FF">
        <w:rPr>
          <w:rFonts w:cs="Arial"/>
          <w:rtl/>
        </w:rPr>
        <w:t xml:space="preserve"> </w:t>
      </w:r>
      <w:r w:rsidR="00DD624C">
        <w:rPr>
          <w:rFonts w:cs="Arial" w:hint="cs"/>
          <w:rtl/>
        </w:rPr>
        <w:t>(וכ"פ הב"י)</w:t>
      </w:r>
    </w:p>
    <w:p w14:paraId="6AC911DE" w14:textId="38CDA768" w:rsidR="006D04FF" w:rsidRPr="006D04FF" w:rsidRDefault="00E75D69" w:rsidP="00434A6A">
      <w:pPr>
        <w:pStyle w:val="aa"/>
        <w:numPr>
          <w:ilvl w:val="0"/>
          <w:numId w:val="19"/>
        </w:numPr>
        <w:rPr>
          <w:rFonts w:cs="Arial"/>
        </w:rPr>
      </w:pPr>
      <w:r>
        <w:rPr>
          <w:rFonts w:cs="Arial" w:hint="cs"/>
          <w:rtl/>
        </w:rPr>
        <w:t xml:space="preserve">כל בו </w:t>
      </w:r>
      <w:r>
        <w:rPr>
          <w:rFonts w:cs="Arial" w:hint="cs"/>
          <w:sz w:val="16"/>
          <w:szCs w:val="16"/>
          <w:rtl/>
        </w:rPr>
        <w:t>(סי' לא ד"ה הטומן, הביאו הדרכ"מ)</w:t>
      </w:r>
      <w:r>
        <w:rPr>
          <w:rFonts w:cs="Arial" w:hint="cs"/>
          <w:rtl/>
        </w:rPr>
        <w:t xml:space="preserve">- </w:t>
      </w:r>
      <w:r w:rsidRPr="00E75D69">
        <w:rPr>
          <w:rFonts w:cs="Arial"/>
          <w:rtl/>
        </w:rPr>
        <w:t>הטומן לפת וצנון בעפר</w:t>
      </w:r>
      <w:r>
        <w:rPr>
          <w:rFonts w:cs="Arial" w:hint="cs"/>
          <w:rtl/>
        </w:rPr>
        <w:t>,</w:t>
      </w:r>
      <w:r w:rsidRPr="00E75D69">
        <w:rPr>
          <w:rFonts w:cs="Arial"/>
          <w:rtl/>
        </w:rPr>
        <w:t xml:space="preserve"> אם היו מקצת עליו מגולין </w:t>
      </w:r>
      <w:r>
        <w:rPr>
          <w:rFonts w:cs="Arial" w:hint="cs"/>
          <w:rtl/>
        </w:rPr>
        <w:t xml:space="preserve">- </w:t>
      </w:r>
      <w:r w:rsidRPr="00E75D69">
        <w:rPr>
          <w:rFonts w:cs="Arial"/>
          <w:rtl/>
        </w:rPr>
        <w:t>ניטלין בשבת</w:t>
      </w:r>
      <w:r w:rsidR="00D66CC5">
        <w:rPr>
          <w:rFonts w:cs="Arial" w:hint="cs"/>
          <w:rtl/>
        </w:rPr>
        <w:t xml:space="preserve">, </w:t>
      </w:r>
      <w:r w:rsidR="00D66CC5" w:rsidRPr="00D66CC5">
        <w:rPr>
          <w:rFonts w:cs="Arial"/>
          <w:rtl/>
        </w:rPr>
        <w:t>וכן חררה שטמנה בגחלים אע</w:t>
      </w:r>
      <w:r w:rsidR="00D66CC5">
        <w:rPr>
          <w:rFonts w:cs="Arial" w:hint="cs"/>
          <w:rtl/>
        </w:rPr>
        <w:t>"</w:t>
      </w:r>
      <w:r w:rsidR="00D66CC5" w:rsidRPr="00D66CC5">
        <w:rPr>
          <w:rFonts w:cs="Arial"/>
          <w:rtl/>
        </w:rPr>
        <w:t>פ שאינה מגולה מקצתה מבעוד יום תוחבה בכוש או בכרכר והיא ננערת מאליה</w:t>
      </w:r>
      <w:r w:rsidR="00D66CC5">
        <w:rPr>
          <w:rFonts w:cs="Arial" w:hint="cs"/>
          <w:rtl/>
        </w:rPr>
        <w:t>,</w:t>
      </w:r>
      <w:r w:rsidRPr="00E75D69">
        <w:rPr>
          <w:rFonts w:cs="Arial"/>
          <w:rtl/>
        </w:rPr>
        <w:t xml:space="preserve"> משום דגבי אוכלין טלטול מן הצד לא שמיה טלטול, ואע</w:t>
      </w:r>
      <w:r>
        <w:rPr>
          <w:rFonts w:cs="Arial" w:hint="cs"/>
          <w:rtl/>
        </w:rPr>
        <w:t>"</w:t>
      </w:r>
      <w:r w:rsidRPr="00E75D69">
        <w:rPr>
          <w:rFonts w:cs="Arial"/>
          <w:rtl/>
        </w:rPr>
        <w:t>ג דקי</w:t>
      </w:r>
      <w:r>
        <w:rPr>
          <w:rFonts w:cs="Arial" w:hint="cs"/>
          <w:rtl/>
        </w:rPr>
        <w:t>י"</w:t>
      </w:r>
      <w:r w:rsidRPr="00E75D69">
        <w:rPr>
          <w:rFonts w:cs="Arial"/>
          <w:rtl/>
        </w:rPr>
        <w:t>ל גבי אבן שעל גבי החביות ובמניח נעשה בסיס לדבר האסור וגחלים על גבי חררה מניח הוי</w:t>
      </w:r>
      <w:r w:rsidR="00D66CC5">
        <w:rPr>
          <w:rFonts w:cs="Arial" w:hint="cs"/>
          <w:rtl/>
        </w:rPr>
        <w:t>,</w:t>
      </w:r>
      <w:r w:rsidRPr="00E75D69">
        <w:rPr>
          <w:rFonts w:cs="Arial"/>
          <w:rtl/>
        </w:rPr>
        <w:t xml:space="preserve"> אעפ</w:t>
      </w:r>
      <w:r w:rsidR="00D66CC5">
        <w:rPr>
          <w:rFonts w:cs="Arial" w:hint="cs"/>
          <w:rtl/>
        </w:rPr>
        <w:t>"</w:t>
      </w:r>
      <w:r w:rsidRPr="00E75D69">
        <w:rPr>
          <w:rFonts w:cs="Arial"/>
          <w:rtl/>
        </w:rPr>
        <w:t>כ לא נאסרה משום בסיס</w:t>
      </w:r>
      <w:r w:rsidR="00D66CC5">
        <w:rPr>
          <w:rFonts w:cs="Arial" w:hint="cs"/>
          <w:rtl/>
        </w:rPr>
        <w:t>,</w:t>
      </w:r>
      <w:r w:rsidRPr="00E75D69">
        <w:rPr>
          <w:rFonts w:cs="Arial"/>
          <w:rtl/>
        </w:rPr>
        <w:t xml:space="preserve"> שלא הניחו שם על דעת בסיס</w:t>
      </w:r>
      <w:r w:rsidR="00D66CC5">
        <w:rPr>
          <w:rFonts w:cs="Arial" w:hint="cs"/>
          <w:rtl/>
        </w:rPr>
        <w:t>,</w:t>
      </w:r>
      <w:r w:rsidRPr="00E75D69">
        <w:rPr>
          <w:rFonts w:cs="Arial"/>
          <w:rtl/>
        </w:rPr>
        <w:t xml:space="preserve"> דאדרבה הגחלים הן צריכין, וכן בטומן לפת וצנון בעפר צריך להן לשמרן, וכן כתב בעל ההשלמה, כללו של דבר אין אוכל נעשה בסיס לדבר האסור, ומה שאמרו רז"ל באבן על פי החביות </w:t>
      </w:r>
      <w:r w:rsidR="00D66CC5">
        <w:rPr>
          <w:rFonts w:cs="Arial" w:hint="cs"/>
          <w:rtl/>
        </w:rPr>
        <w:t xml:space="preserve">- </w:t>
      </w:r>
      <w:r w:rsidRPr="00E75D69">
        <w:rPr>
          <w:rFonts w:cs="Arial"/>
          <w:rtl/>
        </w:rPr>
        <w:t>הכלי נעשה בסיס לא האוכל שבו</w:t>
      </w:r>
      <w:r w:rsidR="00D66CC5">
        <w:rPr>
          <w:rStyle w:val="a9"/>
          <w:rFonts w:cs="Arial"/>
          <w:rtl/>
        </w:rPr>
        <w:footnoteReference w:id="1947"/>
      </w:r>
      <w:r>
        <w:rPr>
          <w:rFonts w:cs="Arial" w:hint="cs"/>
          <w:rtl/>
        </w:rPr>
        <w:t xml:space="preserve">. </w:t>
      </w:r>
      <w:r w:rsidRPr="00E75D69">
        <w:rPr>
          <w:rFonts w:cs="Arial" w:hint="cs"/>
          <w:color w:val="00B0F0"/>
          <w:rtl/>
        </w:rPr>
        <w:t>(וכ"פ הרמ"א)</w:t>
      </w:r>
    </w:p>
    <w:p w14:paraId="7AF7D0A7" w14:textId="49F82852" w:rsidR="00AE4E12" w:rsidRPr="00AE4E12" w:rsidRDefault="00AE4E12" w:rsidP="00434A6A">
      <w:pPr>
        <w:rPr>
          <w:rFonts w:cs="Arial"/>
          <w:u w:val="single"/>
        </w:rPr>
      </w:pPr>
      <w:r w:rsidRPr="00AE4E12">
        <w:rPr>
          <w:rFonts w:cs="Arial" w:hint="cs"/>
          <w:u w:val="single"/>
          <w:rtl/>
        </w:rPr>
        <w:t>נטילת צנון שהונח בעפר לאחר שהשריש או שנכוין לזריעה:</w:t>
      </w:r>
    </w:p>
    <w:p w14:paraId="3273A41D" w14:textId="02BB4701" w:rsidR="00AE4E12" w:rsidRPr="00AE4E12" w:rsidRDefault="0009096B" w:rsidP="00434A6A">
      <w:pPr>
        <w:pStyle w:val="aa"/>
        <w:numPr>
          <w:ilvl w:val="0"/>
          <w:numId w:val="19"/>
        </w:numPr>
        <w:rPr>
          <w:rFonts w:cs="Arial"/>
          <w:rtl/>
        </w:rPr>
      </w:pPr>
      <w:r w:rsidRPr="00AE4E12">
        <w:rPr>
          <w:rFonts w:cs="Arial"/>
          <w:rtl/>
        </w:rPr>
        <w:t>תוס</w:t>
      </w:r>
      <w:r w:rsidR="00AE4E12" w:rsidRPr="00AE4E12">
        <w:rPr>
          <w:rFonts w:cs="Arial" w:hint="cs"/>
          <w:rtl/>
        </w:rPr>
        <w:t xml:space="preserve">' </w:t>
      </w:r>
      <w:r w:rsidR="00AE4E12" w:rsidRPr="00AE4E12">
        <w:rPr>
          <w:rFonts w:cs="Arial" w:hint="cs"/>
          <w:sz w:val="16"/>
          <w:szCs w:val="16"/>
          <w:rtl/>
        </w:rPr>
        <w:t>(נ: ד"ה הטומן)</w:t>
      </w:r>
      <w:r w:rsidRPr="00AE4E12">
        <w:rPr>
          <w:rFonts w:cs="Arial"/>
          <w:sz w:val="16"/>
          <w:szCs w:val="16"/>
          <w:rtl/>
        </w:rPr>
        <w:t xml:space="preserve"> </w:t>
      </w:r>
      <w:r w:rsidRPr="00AE4E12">
        <w:rPr>
          <w:rFonts w:cs="Arial"/>
          <w:rtl/>
        </w:rPr>
        <w:t xml:space="preserve">ור"ן </w:t>
      </w:r>
      <w:r w:rsidRPr="00AE4E12">
        <w:rPr>
          <w:rFonts w:cs="Arial"/>
          <w:sz w:val="16"/>
          <w:szCs w:val="16"/>
          <w:rtl/>
        </w:rPr>
        <w:t>(כג: ד"ה והוי יודע)</w:t>
      </w:r>
      <w:r w:rsidR="00AE4E12" w:rsidRPr="00AE4E12">
        <w:rPr>
          <w:rFonts w:cs="Arial" w:hint="cs"/>
          <w:rtl/>
        </w:rPr>
        <w:t xml:space="preserve">- </w:t>
      </w:r>
      <w:r w:rsidR="00AE4E12" w:rsidRPr="00AE4E12">
        <w:rPr>
          <w:rFonts w:cs="Arial"/>
          <w:rtl/>
        </w:rPr>
        <w:t xml:space="preserve">הטומן לפת וצנונות כו' </w:t>
      </w:r>
      <w:r w:rsidR="00AE4E12">
        <w:rPr>
          <w:rFonts w:cs="Arial"/>
          <w:rtl/>
        </w:rPr>
        <w:t>–</w:t>
      </w:r>
      <w:r w:rsidR="00AE4E12" w:rsidRPr="00AE4E12">
        <w:rPr>
          <w:rFonts w:cs="Arial"/>
          <w:rtl/>
        </w:rPr>
        <w:t xml:space="preserve"> ע</w:t>
      </w:r>
      <w:r w:rsidR="00AE4E12">
        <w:rPr>
          <w:rFonts w:cs="Arial" w:hint="cs"/>
          <w:rtl/>
        </w:rPr>
        <w:t xml:space="preserve">ל </w:t>
      </w:r>
      <w:r w:rsidR="00AE4E12" w:rsidRPr="00AE4E12">
        <w:rPr>
          <w:rFonts w:cs="Arial"/>
          <w:rtl/>
        </w:rPr>
        <w:t>כ</w:t>
      </w:r>
      <w:r w:rsidR="00AE4E12">
        <w:rPr>
          <w:rFonts w:cs="Arial" w:hint="cs"/>
          <w:rtl/>
        </w:rPr>
        <w:t>רחך</w:t>
      </w:r>
      <w:r w:rsidR="00AE4E12" w:rsidRPr="00AE4E12">
        <w:rPr>
          <w:rFonts w:cs="Arial"/>
          <w:rtl/>
        </w:rPr>
        <w:t xml:space="preserve"> בשלא השרישו מיירי</w:t>
      </w:r>
      <w:r w:rsidR="00AE4E12">
        <w:rPr>
          <w:rFonts w:cs="Arial" w:hint="cs"/>
          <w:rtl/>
        </w:rPr>
        <w:t>,</w:t>
      </w:r>
      <w:r w:rsidR="00AE4E12" w:rsidRPr="00AE4E12">
        <w:rPr>
          <w:rFonts w:cs="Arial"/>
          <w:rtl/>
        </w:rPr>
        <w:t xml:space="preserve"> דבהשרישו לא היו ניטלין בשבת</w:t>
      </w:r>
      <w:r w:rsidR="00AE4E12">
        <w:rPr>
          <w:rFonts w:cs="Arial" w:hint="cs"/>
          <w:rtl/>
        </w:rPr>
        <w:t>.</w:t>
      </w:r>
      <w:r w:rsidR="00AE4E12" w:rsidRPr="00AE4E12">
        <w:rPr>
          <w:rFonts w:cs="Arial"/>
          <w:rtl/>
        </w:rPr>
        <w:t xml:space="preserve"> ואם תאמר בשלמא כלאים ושביעית איצטריך לאשמעינן דלא גזרינן כשמתכוין להטמין אטו דילמא אתי לנוטעה</w:t>
      </w:r>
      <w:r w:rsidR="00AE4E12">
        <w:rPr>
          <w:rFonts w:cs="Arial" w:hint="cs"/>
          <w:rtl/>
        </w:rPr>
        <w:t>,</w:t>
      </w:r>
      <w:r w:rsidR="00AE4E12" w:rsidRPr="00AE4E12">
        <w:rPr>
          <w:rFonts w:cs="Arial"/>
          <w:rtl/>
        </w:rPr>
        <w:t xml:space="preserve"> אבל מעשר אמאי נקטיה דאפי' השרישו לא שייך מעשר כיון דליכא תוספת</w:t>
      </w:r>
      <w:r w:rsidR="00AE4E12">
        <w:rPr>
          <w:rFonts w:cs="Arial" w:hint="cs"/>
          <w:rtl/>
        </w:rPr>
        <w:t>...</w:t>
      </w:r>
      <w:r w:rsidR="00AE4E12" w:rsidRPr="00AE4E12">
        <w:rPr>
          <w:rFonts w:cs="Arial"/>
          <w:rtl/>
        </w:rPr>
        <w:t xml:space="preserve"> ואומר ר"י דרגילות הוא שמתוספין מחמת ליחלוחית הקרקע</w:t>
      </w:r>
      <w:r w:rsidR="00AE4E12">
        <w:rPr>
          <w:rFonts w:cs="Arial" w:hint="cs"/>
          <w:rtl/>
        </w:rPr>
        <w:t>,</w:t>
      </w:r>
      <w:r w:rsidR="00AE4E12" w:rsidRPr="00AE4E12">
        <w:rPr>
          <w:rFonts w:cs="Arial"/>
          <w:rtl/>
        </w:rPr>
        <w:t xml:space="preserve"> כמו שאנו רואין שומין ובצלים שמתוספין אפי' כשמונחין בחלון</w:t>
      </w:r>
      <w:r w:rsidR="00AE4E12">
        <w:rPr>
          <w:rFonts w:cs="Arial" w:hint="cs"/>
          <w:rtl/>
        </w:rPr>
        <w:t>,</w:t>
      </w:r>
      <w:r w:rsidR="00AE4E12" w:rsidRPr="00AE4E12">
        <w:rPr>
          <w:rFonts w:cs="Arial"/>
          <w:rtl/>
        </w:rPr>
        <w:t xml:space="preserve"> ועל אותו תוספת קאמר דלא בעי לעשורי</w:t>
      </w:r>
      <w:r w:rsidR="00AE4E12">
        <w:rPr>
          <w:rFonts w:cs="Arial" w:hint="cs"/>
          <w:rtl/>
        </w:rPr>
        <w:t>.</w:t>
      </w:r>
      <w:r w:rsidR="00AE4E12" w:rsidRPr="00AE4E12">
        <w:rPr>
          <w:rFonts w:cs="Arial"/>
          <w:rtl/>
        </w:rPr>
        <w:t xml:space="preserve"> ודוקא נקט הטומן</w:t>
      </w:r>
      <w:r w:rsidR="00AE4E12">
        <w:rPr>
          <w:rFonts w:cs="Arial" w:hint="cs"/>
          <w:rtl/>
        </w:rPr>
        <w:t>,</w:t>
      </w:r>
      <w:r w:rsidR="00AE4E12" w:rsidRPr="00AE4E12">
        <w:rPr>
          <w:rFonts w:cs="Arial"/>
          <w:rtl/>
        </w:rPr>
        <w:t xml:space="preserve"> אבל במתכוין לנטיעה חושש משום כולן</w:t>
      </w:r>
      <w:r w:rsidR="00AE4E12">
        <w:rPr>
          <w:rFonts w:cs="Arial" w:hint="cs"/>
          <w:sz w:val="16"/>
          <w:szCs w:val="16"/>
          <w:rtl/>
        </w:rPr>
        <w:t xml:space="preserve"> (ל' התוס')</w:t>
      </w:r>
      <w:r w:rsidR="00AE4E12" w:rsidRPr="00AE4E12">
        <w:rPr>
          <w:rFonts w:cs="Arial"/>
          <w:rtl/>
        </w:rPr>
        <w:t>.</w:t>
      </w:r>
      <w:r w:rsidR="00FB5B2E" w:rsidRPr="00FB5B2E">
        <w:rPr>
          <w:rFonts w:cs="Arial" w:hint="cs"/>
          <w:color w:val="E36C0A" w:themeColor="accent6" w:themeShade="BF"/>
          <w:rtl/>
        </w:rPr>
        <w:t xml:space="preserve"> (וכ"פ בשו"ע)</w:t>
      </w:r>
    </w:p>
    <w:p w14:paraId="3E2C8656" w14:textId="50B284AC" w:rsidR="00B5321B" w:rsidRDefault="00B5321B" w:rsidP="00434A6A">
      <w:pPr>
        <w:rPr>
          <w:rFonts w:cs="Arial"/>
          <w:rtl/>
        </w:rPr>
      </w:pPr>
      <w:r w:rsidRPr="00B5321B">
        <w:rPr>
          <w:rFonts w:cs="Arial" w:hint="cs"/>
          <w:u w:val="single"/>
          <w:rtl/>
        </w:rPr>
        <w:t>טלטול מקצת הכלי:</w:t>
      </w:r>
      <w:r>
        <w:rPr>
          <w:rFonts w:cs="Arial" w:hint="cs"/>
          <w:rtl/>
        </w:rPr>
        <w:t xml:space="preserve"> </w:t>
      </w:r>
      <w:r w:rsidRPr="00B5321B">
        <w:rPr>
          <w:rFonts w:cs="Arial"/>
          <w:sz w:val="16"/>
          <w:szCs w:val="16"/>
          <w:rtl/>
        </w:rPr>
        <w:t>(</w:t>
      </w:r>
      <w:r w:rsidRPr="00B5321B">
        <w:rPr>
          <w:rFonts w:cs="Arial" w:hint="cs"/>
          <w:sz w:val="16"/>
          <w:szCs w:val="16"/>
          <w:rtl/>
        </w:rPr>
        <w:t xml:space="preserve">דרכ"מ אות </w:t>
      </w:r>
      <w:r w:rsidRPr="00B5321B">
        <w:rPr>
          <w:rFonts w:cs="Arial"/>
          <w:sz w:val="16"/>
          <w:szCs w:val="16"/>
          <w:rtl/>
        </w:rPr>
        <w:t xml:space="preserve">ז) </w:t>
      </w:r>
    </w:p>
    <w:p w14:paraId="667974F4" w14:textId="73F97EE6" w:rsidR="00B5321B" w:rsidRPr="00032C79" w:rsidRDefault="00B5321B" w:rsidP="00434A6A">
      <w:pPr>
        <w:pStyle w:val="aa"/>
        <w:numPr>
          <w:ilvl w:val="0"/>
          <w:numId w:val="15"/>
        </w:numPr>
        <w:rPr>
          <w:rtl/>
        </w:rPr>
      </w:pPr>
      <w:r w:rsidRPr="00B5321B">
        <w:rPr>
          <w:rFonts w:cs="Arial"/>
          <w:rtl/>
        </w:rPr>
        <w:t xml:space="preserve">ר"ן </w:t>
      </w:r>
      <w:r w:rsidRPr="00B5321B">
        <w:rPr>
          <w:rFonts w:cs="Arial"/>
          <w:sz w:val="16"/>
          <w:szCs w:val="16"/>
          <w:rtl/>
        </w:rPr>
        <w:t>(</w:t>
      </w:r>
      <w:r w:rsidRPr="00B5321B">
        <w:rPr>
          <w:rFonts w:cs="Arial" w:hint="cs"/>
          <w:sz w:val="16"/>
          <w:szCs w:val="16"/>
          <w:rtl/>
        </w:rPr>
        <w:t xml:space="preserve">שבת </w:t>
      </w:r>
      <w:r w:rsidRPr="00B5321B">
        <w:rPr>
          <w:rFonts w:cs="Arial"/>
          <w:sz w:val="16"/>
          <w:szCs w:val="16"/>
          <w:rtl/>
        </w:rPr>
        <w:t>סה. ד"ה ובלבד)</w:t>
      </w:r>
      <w:r w:rsidRPr="00B5321B">
        <w:rPr>
          <w:rFonts w:cs="Arial" w:hint="cs"/>
          <w:rtl/>
        </w:rPr>
        <w:t xml:space="preserve">- </w:t>
      </w:r>
      <w:r w:rsidRPr="00B5321B">
        <w:rPr>
          <w:rFonts w:cs="Arial"/>
          <w:rtl/>
        </w:rPr>
        <w:t>טלטול במקצת שמיה טלטול</w:t>
      </w:r>
      <w:r w:rsidRPr="00B5321B">
        <w:rPr>
          <w:rFonts w:cs="Arial" w:hint="cs"/>
          <w:rtl/>
        </w:rPr>
        <w:t>,</w:t>
      </w:r>
      <w:r w:rsidRPr="00B5321B">
        <w:rPr>
          <w:rFonts w:cs="Arial"/>
          <w:rtl/>
        </w:rPr>
        <w:t xml:space="preserve"> ואפילו לא טלטל כל הכלי האסור לטלטל</w:t>
      </w:r>
      <w:r w:rsidRPr="00B5321B">
        <w:rPr>
          <w:rFonts w:cs="Arial" w:hint="cs"/>
          <w:rtl/>
        </w:rPr>
        <w:t>,</w:t>
      </w:r>
      <w:r w:rsidRPr="00B5321B">
        <w:rPr>
          <w:rFonts w:cs="Arial"/>
          <w:rtl/>
        </w:rPr>
        <w:t xml:space="preserve"> אלא הזיזו במקצת בראש אחד </w:t>
      </w:r>
      <w:r w:rsidRPr="00B5321B">
        <w:rPr>
          <w:rFonts w:cs="Arial" w:hint="cs"/>
          <w:rtl/>
        </w:rPr>
        <w:t xml:space="preserve">- </w:t>
      </w:r>
      <w:r w:rsidRPr="00B5321B">
        <w:rPr>
          <w:rFonts w:cs="Arial"/>
          <w:rtl/>
        </w:rPr>
        <w:t>אסור</w:t>
      </w:r>
      <w:r w:rsidRPr="00B5321B">
        <w:rPr>
          <w:rFonts w:cs="Arial" w:hint="cs"/>
          <w:rtl/>
        </w:rPr>
        <w:t>,</w:t>
      </w:r>
      <w:r w:rsidRPr="00B5321B">
        <w:rPr>
          <w:rFonts w:cs="Arial"/>
          <w:rtl/>
        </w:rPr>
        <w:t xml:space="preserve"> אע</w:t>
      </w:r>
      <w:r w:rsidRPr="00B5321B">
        <w:rPr>
          <w:rFonts w:cs="Arial" w:hint="cs"/>
          <w:rtl/>
        </w:rPr>
        <w:t>"</w:t>
      </w:r>
      <w:r w:rsidRPr="00B5321B">
        <w:rPr>
          <w:rFonts w:cs="Arial"/>
          <w:rtl/>
        </w:rPr>
        <w:t>פ שהראש השני עדיין מונח במקומו</w:t>
      </w:r>
      <w:r w:rsidRPr="00B5321B">
        <w:rPr>
          <w:rFonts w:cs="Arial" w:hint="cs"/>
          <w:rtl/>
        </w:rPr>
        <w:t>.</w:t>
      </w:r>
    </w:p>
    <w:p w14:paraId="4D8EEBD5" w14:textId="77777777" w:rsidR="00EF7C96" w:rsidRPr="005275DF" w:rsidRDefault="00EF7C96" w:rsidP="00434A6A">
      <w:pPr>
        <w:rPr>
          <w:rFonts w:asciiTheme="minorBidi" w:hAnsiTheme="minorBidi"/>
          <w:rtl/>
        </w:rPr>
      </w:pPr>
      <w:r w:rsidRPr="005275DF">
        <w:rPr>
          <w:rFonts w:asciiTheme="minorBidi" w:hAnsiTheme="minorBidi"/>
          <w:b/>
          <w:bCs/>
          <w:sz w:val="32"/>
          <w:szCs w:val="28"/>
          <w:u w:val="single"/>
          <w:rtl/>
        </w:rPr>
        <w:t xml:space="preserve">שו"ע: </w:t>
      </w:r>
    </w:p>
    <w:p w14:paraId="130EFD5D" w14:textId="4B9E60A4" w:rsidR="000C6229" w:rsidRPr="005275DF" w:rsidRDefault="000C6229" w:rsidP="00434A6A">
      <w:pPr>
        <w:rPr>
          <w:rFonts w:asciiTheme="minorBidi" w:hAnsiTheme="minorBidi"/>
          <w:rtl/>
        </w:rPr>
      </w:pPr>
      <w:r w:rsidRPr="005275DF">
        <w:rPr>
          <w:rFonts w:asciiTheme="minorBidi" w:hAnsiTheme="minorBidi"/>
          <w:rtl/>
        </w:rPr>
        <w:t>טלטול מן הצד לצורך דבר המותר, מותר. הלכך צנון שטמן בארץ ומקצת עליו מגולים</w:t>
      </w:r>
      <w:r w:rsidR="00251E63">
        <w:rPr>
          <w:rStyle w:val="a9"/>
          <w:rFonts w:asciiTheme="minorBidi" w:hAnsiTheme="minorBidi"/>
          <w:rtl/>
        </w:rPr>
        <w:footnoteReference w:id="1948"/>
      </w:r>
      <w:r w:rsidRPr="005275DF">
        <w:rPr>
          <w:rFonts w:asciiTheme="minorBidi" w:hAnsiTheme="minorBidi"/>
          <w:rtl/>
        </w:rPr>
        <w:t xml:space="preserve"> ולא השריש וגם לא נתכוין לזריעה</w:t>
      </w:r>
      <w:r w:rsidR="00251E63">
        <w:rPr>
          <w:rStyle w:val="a9"/>
          <w:rFonts w:asciiTheme="minorBidi" w:hAnsiTheme="minorBidi"/>
          <w:rtl/>
        </w:rPr>
        <w:footnoteReference w:id="1949"/>
      </w:r>
      <w:r w:rsidRPr="005275DF">
        <w:rPr>
          <w:rFonts w:asciiTheme="minorBidi" w:hAnsiTheme="minorBidi"/>
          <w:rtl/>
        </w:rPr>
        <w:t>, נוטלו אף על פי שבנטילתו מזיז עפר ממקומו</w:t>
      </w:r>
      <w:r w:rsidR="00251E63">
        <w:rPr>
          <w:rStyle w:val="a9"/>
          <w:rFonts w:asciiTheme="minorBidi" w:hAnsiTheme="minorBidi"/>
          <w:rtl/>
        </w:rPr>
        <w:footnoteReference w:id="1950"/>
      </w:r>
      <w:r w:rsidRPr="005275DF">
        <w:rPr>
          <w:rFonts w:asciiTheme="minorBidi" w:hAnsiTheme="minorBidi"/>
          <w:rtl/>
        </w:rPr>
        <w:t xml:space="preserve">, ואף על פי שהוסיף מחמת לחות הקרקע, מותר. </w:t>
      </w:r>
      <w:r w:rsidRPr="00966082">
        <w:rPr>
          <w:rFonts w:asciiTheme="minorBidi" w:hAnsiTheme="minorBidi"/>
          <w:sz w:val="18"/>
          <w:szCs w:val="18"/>
          <w:rtl/>
        </w:rPr>
        <w:t xml:space="preserve">הגה: ואפי' הניחו שם </w:t>
      </w:r>
      <w:r w:rsidR="00357CCA" w:rsidRPr="00966082">
        <w:rPr>
          <w:rFonts w:asciiTheme="minorBidi" w:hAnsiTheme="minorBidi"/>
          <w:sz w:val="18"/>
          <w:szCs w:val="18"/>
          <w:rtl/>
        </w:rPr>
        <w:t>מבעוד יום</w:t>
      </w:r>
      <w:r w:rsidRPr="00966082">
        <w:rPr>
          <w:rFonts w:asciiTheme="minorBidi" w:hAnsiTheme="minorBidi"/>
          <w:sz w:val="18"/>
          <w:szCs w:val="18"/>
          <w:rtl/>
        </w:rPr>
        <w:t xml:space="preserve"> להיות שם כל השבת, דאין באוכלין משום בסיס לדבר האסור</w:t>
      </w:r>
      <w:r w:rsidR="00251E63">
        <w:rPr>
          <w:rStyle w:val="a9"/>
          <w:rFonts w:asciiTheme="minorBidi" w:hAnsiTheme="minorBidi"/>
          <w:sz w:val="18"/>
          <w:szCs w:val="18"/>
          <w:rtl/>
        </w:rPr>
        <w:footnoteReference w:id="1951"/>
      </w:r>
      <w:r w:rsidRPr="00966082">
        <w:rPr>
          <w:rFonts w:asciiTheme="minorBidi" w:hAnsiTheme="minorBidi"/>
          <w:sz w:val="18"/>
          <w:szCs w:val="18"/>
          <w:rtl/>
        </w:rPr>
        <w:t xml:space="preserve"> (כל בו).</w:t>
      </w:r>
      <w:r w:rsidRPr="005275DF">
        <w:rPr>
          <w:rFonts w:asciiTheme="minorBidi" w:hAnsiTheme="minorBidi"/>
          <w:rtl/>
        </w:rPr>
        <w:t xml:space="preserve"> וטלטול בגופו אפי</w:t>
      </w:r>
      <w:r w:rsidR="00FB5B2E">
        <w:rPr>
          <w:rFonts w:asciiTheme="minorBidi" w:hAnsiTheme="minorBidi" w:hint="cs"/>
          <w:rtl/>
        </w:rPr>
        <w:t>לו</w:t>
      </w:r>
      <w:r w:rsidRPr="005275DF">
        <w:rPr>
          <w:rFonts w:asciiTheme="minorBidi" w:hAnsiTheme="minorBidi"/>
          <w:rtl/>
        </w:rPr>
        <w:t xml:space="preserve"> לצורך דבר האסור, מותר</w:t>
      </w:r>
      <w:r w:rsidR="00FB5B2E">
        <w:rPr>
          <w:rFonts w:asciiTheme="minorBidi" w:hAnsiTheme="minorBidi" w:hint="cs"/>
          <w:rtl/>
        </w:rPr>
        <w:t xml:space="preserve">. </w:t>
      </w:r>
      <w:r w:rsidRPr="005275DF">
        <w:rPr>
          <w:rFonts w:asciiTheme="minorBidi" w:hAnsiTheme="minorBidi"/>
          <w:rtl/>
        </w:rPr>
        <w:t>הילכך קש שעל המטה, דסתמו מוקצה להסקה, מנענעו בגופו</w:t>
      </w:r>
      <w:r w:rsidR="00FB5B2E">
        <w:rPr>
          <w:rFonts w:asciiTheme="minorBidi" w:hAnsiTheme="minorBidi" w:hint="cs"/>
          <w:rtl/>
        </w:rPr>
        <w:t>.</w:t>
      </w:r>
      <w:r w:rsidRPr="005275DF">
        <w:rPr>
          <w:rFonts w:asciiTheme="minorBidi" w:hAnsiTheme="minorBidi"/>
          <w:rtl/>
        </w:rPr>
        <w:t xml:space="preserve"> ואם הניח עליו </w:t>
      </w:r>
      <w:r w:rsidR="00357CCA">
        <w:rPr>
          <w:rFonts w:asciiTheme="minorBidi" w:hAnsiTheme="minorBidi"/>
          <w:rtl/>
        </w:rPr>
        <w:t>מבעוד יום</w:t>
      </w:r>
      <w:r w:rsidRPr="005275DF">
        <w:rPr>
          <w:rFonts w:asciiTheme="minorBidi" w:hAnsiTheme="minorBidi"/>
          <w:rtl/>
        </w:rPr>
        <w:t xml:space="preserve"> כר או כסת, מנענעו אפילו בידו</w:t>
      </w:r>
      <w:r w:rsidR="00FB5B2E">
        <w:rPr>
          <w:rFonts w:asciiTheme="minorBidi" w:hAnsiTheme="minorBidi" w:hint="cs"/>
          <w:rtl/>
        </w:rPr>
        <w:t>,</w:t>
      </w:r>
      <w:r w:rsidRPr="005275DF">
        <w:rPr>
          <w:rFonts w:asciiTheme="minorBidi" w:hAnsiTheme="minorBidi"/>
          <w:rtl/>
        </w:rPr>
        <w:t xml:space="preserve"> שהרי הכינו </w:t>
      </w:r>
      <w:r w:rsidR="00357CCA">
        <w:rPr>
          <w:rFonts w:asciiTheme="minorBidi" w:hAnsiTheme="minorBidi"/>
          <w:rtl/>
        </w:rPr>
        <w:t>מבעוד יום</w:t>
      </w:r>
      <w:r w:rsidRPr="005275DF">
        <w:rPr>
          <w:rFonts w:asciiTheme="minorBidi" w:hAnsiTheme="minorBidi"/>
          <w:rtl/>
        </w:rPr>
        <w:t xml:space="preserve"> לשכב עליו</w:t>
      </w:r>
      <w:r w:rsidR="00966082">
        <w:rPr>
          <w:rFonts w:asciiTheme="minorBidi" w:hAnsiTheme="minorBidi" w:hint="cs"/>
          <w:rtl/>
        </w:rPr>
        <w:t>.</w:t>
      </w:r>
      <w:r w:rsidRPr="005275DF">
        <w:rPr>
          <w:rFonts w:asciiTheme="minorBidi" w:hAnsiTheme="minorBidi"/>
          <w:rtl/>
        </w:rPr>
        <w:t xml:space="preserve"> </w:t>
      </w:r>
      <w:r w:rsidR="00966082">
        <w:rPr>
          <w:rFonts w:asciiTheme="minorBidi" w:hAnsiTheme="minorBidi" w:hint="cs"/>
          <w:sz w:val="18"/>
          <w:szCs w:val="18"/>
          <w:rtl/>
        </w:rPr>
        <w:t xml:space="preserve">[הגה] </w:t>
      </w:r>
      <w:r w:rsidRPr="00966082">
        <w:rPr>
          <w:rFonts w:asciiTheme="minorBidi" w:hAnsiTheme="minorBidi"/>
          <w:sz w:val="18"/>
          <w:szCs w:val="18"/>
          <w:rtl/>
        </w:rPr>
        <w:t>וכן אם חשב לשכב עליו (ר"ן).</w:t>
      </w:r>
      <w:r w:rsidRPr="005275DF">
        <w:rPr>
          <w:rFonts w:asciiTheme="minorBidi" w:hAnsiTheme="minorBidi"/>
          <w:rtl/>
        </w:rPr>
        <w:t xml:space="preserve"> </w:t>
      </w:r>
    </w:p>
    <w:p w14:paraId="411A9926" w14:textId="77777777" w:rsidR="000C6229" w:rsidRPr="005275DF" w:rsidRDefault="000C6229" w:rsidP="00434A6A">
      <w:pPr>
        <w:rPr>
          <w:rFonts w:asciiTheme="minorBidi" w:hAnsiTheme="minorBidi"/>
          <w:rtl/>
        </w:rPr>
      </w:pPr>
    </w:p>
    <w:p w14:paraId="347221C5" w14:textId="4FFA14D8" w:rsidR="000C6229" w:rsidRDefault="000C6229" w:rsidP="00434A6A">
      <w:pPr>
        <w:pStyle w:val="2"/>
        <w:rPr>
          <w:rtl/>
        </w:rPr>
      </w:pPr>
      <w:r w:rsidRPr="005275DF">
        <w:rPr>
          <w:rtl/>
        </w:rPr>
        <w:t>סעיף ט</w:t>
      </w:r>
      <w:r w:rsidR="00966082">
        <w:rPr>
          <w:rFonts w:hint="cs"/>
          <w:rtl/>
        </w:rPr>
        <w:t>: נטילת פירות הטמונים ב</w:t>
      </w:r>
      <w:r w:rsidR="00B9602D">
        <w:rPr>
          <w:rFonts w:hint="cs"/>
          <w:rtl/>
        </w:rPr>
        <w:t xml:space="preserve">תבן </w:t>
      </w:r>
      <w:r w:rsidR="00B9602D" w:rsidRPr="00B9602D">
        <w:rPr>
          <w:rFonts w:hint="cs"/>
          <w:sz w:val="18"/>
          <w:szCs w:val="18"/>
          <w:rtl/>
        </w:rPr>
        <w:t>(</w:t>
      </w:r>
      <w:r w:rsidR="00966082" w:rsidRPr="00B9602D">
        <w:rPr>
          <w:rFonts w:hint="cs"/>
          <w:sz w:val="18"/>
          <w:szCs w:val="18"/>
          <w:rtl/>
        </w:rPr>
        <w:t>מוקצה</w:t>
      </w:r>
      <w:r w:rsidR="00B9602D">
        <w:rPr>
          <w:rFonts w:hint="cs"/>
          <w:sz w:val="18"/>
          <w:szCs w:val="18"/>
          <w:rtl/>
        </w:rPr>
        <w:t>)</w:t>
      </w:r>
      <w:r w:rsidR="00966082">
        <w:rPr>
          <w:rFonts w:hint="cs"/>
          <w:rtl/>
        </w:rPr>
        <w:t xml:space="preserve"> ע"י תחיבת מחט.</w:t>
      </w:r>
    </w:p>
    <w:p w14:paraId="0569B4E3" w14:textId="77777777" w:rsidR="00D47EF3" w:rsidRDefault="00D47EF3" w:rsidP="00434A6A">
      <w:pPr>
        <w:rPr>
          <w:rFonts w:cs="Arial"/>
          <w:rtl/>
        </w:rPr>
      </w:pPr>
      <w:r w:rsidRPr="002A45F7">
        <w:rPr>
          <w:rFonts w:hint="cs"/>
          <w:b/>
          <w:bCs/>
          <w:rtl/>
        </w:rPr>
        <w:t xml:space="preserve">שבת </w:t>
      </w:r>
      <w:r>
        <w:rPr>
          <w:rFonts w:hint="cs"/>
          <w:b/>
          <w:bCs/>
          <w:sz w:val="16"/>
          <w:szCs w:val="16"/>
          <w:rtl/>
        </w:rPr>
        <w:t>(פ' כל הכלים)</w:t>
      </w:r>
      <w:r>
        <w:rPr>
          <w:rFonts w:hint="cs"/>
          <w:b/>
          <w:bCs/>
          <w:rtl/>
        </w:rPr>
        <w:t xml:space="preserve"> קכג</w:t>
      </w:r>
      <w:r w:rsidRPr="002A45F7">
        <w:rPr>
          <w:rFonts w:hint="cs"/>
          <w:b/>
          <w:bCs/>
          <w:rtl/>
        </w:rPr>
        <w:t xml:space="preserve"> ע"</w:t>
      </w:r>
      <w:r>
        <w:rPr>
          <w:rFonts w:hint="cs"/>
          <w:b/>
          <w:bCs/>
          <w:rtl/>
        </w:rPr>
        <w:t>א</w:t>
      </w:r>
      <w:r w:rsidRPr="002A45F7">
        <w:rPr>
          <w:rFonts w:hint="cs"/>
          <w:b/>
          <w:bCs/>
          <w:rtl/>
        </w:rPr>
        <w:t>:</w:t>
      </w:r>
      <w:r>
        <w:rPr>
          <w:rFonts w:cs="Arial" w:hint="cs"/>
          <w:rtl/>
        </w:rPr>
        <w:t xml:space="preserve"> </w:t>
      </w:r>
      <w:r w:rsidRPr="00755C64">
        <w:rPr>
          <w:rFonts w:cs="Arial"/>
          <w:rtl/>
        </w:rPr>
        <w:t>ואת הכוש ואת הכרכר כו'. תנו רבנן: פגה</w:t>
      </w:r>
      <w:r>
        <w:rPr>
          <w:rStyle w:val="a9"/>
          <w:rFonts w:cs="Arial"/>
          <w:rtl/>
        </w:rPr>
        <w:footnoteReference w:id="1952"/>
      </w:r>
      <w:r w:rsidRPr="00755C64">
        <w:rPr>
          <w:rFonts w:cs="Arial"/>
          <w:rtl/>
        </w:rPr>
        <w:t xml:space="preserve"> שטמנה בתבן, וחררה שטמנה בגחלים, אם מגולה מקצתה</w:t>
      </w:r>
      <w:r>
        <w:rPr>
          <w:rStyle w:val="a9"/>
          <w:rFonts w:cs="Arial"/>
          <w:rtl/>
        </w:rPr>
        <w:footnoteReference w:id="1953"/>
      </w:r>
      <w:r w:rsidRPr="00755C64">
        <w:rPr>
          <w:rFonts w:cs="Arial"/>
          <w:rtl/>
        </w:rPr>
        <w:t xml:space="preserve"> - מותר לטלטלה. ואם לאו - אסור לטלטלה. </w:t>
      </w:r>
      <w:r w:rsidRPr="00755C64">
        <w:rPr>
          <w:rFonts w:cs="Arial"/>
          <w:u w:val="single"/>
          <w:rtl/>
        </w:rPr>
        <w:t>רבי אלעזר בן תדאי אומר</w:t>
      </w:r>
      <w:r w:rsidRPr="00755C64">
        <w:rPr>
          <w:rFonts w:cs="Arial"/>
          <w:rtl/>
        </w:rPr>
        <w:t xml:space="preserve">: תוחבין בכוש או בכרכר והן מנערות מאיליהם. </w:t>
      </w:r>
      <w:r w:rsidRPr="00755C64">
        <w:rPr>
          <w:rFonts w:cs="Arial"/>
          <w:u w:val="single"/>
          <w:rtl/>
        </w:rPr>
        <w:t>אמר רב נחמן</w:t>
      </w:r>
      <w:r w:rsidRPr="00755C64">
        <w:rPr>
          <w:rFonts w:cs="Arial"/>
          <w:rtl/>
        </w:rPr>
        <w:t>: הלכה כרבי אלעזר בן תדאי. למימרא דסבר רב נחמן טלטול מן הצד לא שמיה טלטול? והאמר רב נחמן: האי פוגלא</w:t>
      </w:r>
      <w:r>
        <w:rPr>
          <w:rStyle w:val="a9"/>
          <w:rFonts w:cs="Arial"/>
          <w:rtl/>
        </w:rPr>
        <w:footnoteReference w:id="1954"/>
      </w:r>
      <w:r w:rsidRPr="00755C64">
        <w:rPr>
          <w:rFonts w:cs="Arial"/>
          <w:rtl/>
        </w:rPr>
        <w:t>, מלמעלה למטה - שרי</w:t>
      </w:r>
      <w:r>
        <w:rPr>
          <w:rStyle w:val="a9"/>
          <w:rFonts w:cs="Arial"/>
          <w:rtl/>
        </w:rPr>
        <w:footnoteReference w:id="1955"/>
      </w:r>
      <w:r w:rsidRPr="00755C64">
        <w:rPr>
          <w:rFonts w:cs="Arial"/>
          <w:rtl/>
        </w:rPr>
        <w:t>, ממטה למעלה - אסיר</w:t>
      </w:r>
      <w:r>
        <w:rPr>
          <w:rStyle w:val="a9"/>
          <w:rFonts w:cs="Arial"/>
          <w:rtl/>
        </w:rPr>
        <w:footnoteReference w:id="1956"/>
      </w:r>
      <w:r w:rsidRPr="00755C64">
        <w:rPr>
          <w:rFonts w:cs="Arial"/>
          <w:rtl/>
        </w:rPr>
        <w:t>! הדר ביה רב נחמן מההיא.</w:t>
      </w:r>
      <w:r>
        <w:rPr>
          <w:rFonts w:hint="cs"/>
          <w:sz w:val="16"/>
          <w:szCs w:val="16"/>
          <w:rtl/>
        </w:rPr>
        <w:t xml:space="preserve"> </w:t>
      </w:r>
    </w:p>
    <w:p w14:paraId="4D5BB577" w14:textId="32A7D80A" w:rsidR="00966082" w:rsidRPr="00966082" w:rsidRDefault="00966082" w:rsidP="00434A6A">
      <w:pPr>
        <w:rPr>
          <w:u w:val="single"/>
          <w:rtl/>
        </w:rPr>
      </w:pPr>
      <w:r w:rsidRPr="00966082">
        <w:rPr>
          <w:rFonts w:hint="cs"/>
          <w:u w:val="single"/>
          <w:rtl/>
        </w:rPr>
        <w:t>נטילת פירות הטמונים ב</w:t>
      </w:r>
      <w:r w:rsidR="00B9602D">
        <w:rPr>
          <w:rFonts w:hint="cs"/>
          <w:u w:val="single"/>
          <w:rtl/>
        </w:rPr>
        <w:t xml:space="preserve">תבן </w:t>
      </w:r>
      <w:r w:rsidR="00B9602D" w:rsidRPr="00B9602D">
        <w:rPr>
          <w:rFonts w:hint="cs"/>
          <w:sz w:val="16"/>
          <w:szCs w:val="16"/>
          <w:u w:val="single"/>
          <w:rtl/>
        </w:rPr>
        <w:t>(</w:t>
      </w:r>
      <w:r w:rsidR="004D6548">
        <w:rPr>
          <w:rFonts w:hint="cs"/>
          <w:sz w:val="16"/>
          <w:szCs w:val="16"/>
          <w:u w:val="single"/>
          <w:rtl/>
        </w:rPr>
        <w:t>או חררה ע"ג גחלים</w:t>
      </w:r>
      <w:r w:rsidR="00B9602D">
        <w:rPr>
          <w:rFonts w:hint="cs"/>
          <w:sz w:val="16"/>
          <w:szCs w:val="16"/>
          <w:u w:val="single"/>
          <w:rtl/>
        </w:rPr>
        <w:t>)</w:t>
      </w:r>
      <w:r w:rsidRPr="00966082">
        <w:rPr>
          <w:rFonts w:hint="cs"/>
          <w:u w:val="single"/>
          <w:rtl/>
        </w:rPr>
        <w:t xml:space="preserve"> ע"י תחיבת מחט:</w:t>
      </w:r>
    </w:p>
    <w:p w14:paraId="370651FF" w14:textId="629F1517" w:rsidR="004D6548" w:rsidRDefault="00C8594B" w:rsidP="00434A6A">
      <w:pPr>
        <w:pStyle w:val="aa"/>
        <w:numPr>
          <w:ilvl w:val="0"/>
          <w:numId w:val="15"/>
        </w:numPr>
      </w:pPr>
      <w:r>
        <w:rPr>
          <w:rFonts w:cs="Arial" w:hint="cs"/>
          <w:rtl/>
        </w:rPr>
        <w:t xml:space="preserve">טור- </w:t>
      </w:r>
      <w:r>
        <w:rPr>
          <w:rFonts w:cs="Arial"/>
          <w:rtl/>
        </w:rPr>
        <w:t>פירות הטמונין בתבן או בקש המוקצה</w:t>
      </w:r>
      <w:r w:rsidR="005E18D5">
        <w:rPr>
          <w:rFonts w:cs="Arial" w:hint="cs"/>
          <w:rtl/>
        </w:rPr>
        <w:t>,</w:t>
      </w:r>
      <w:r>
        <w:rPr>
          <w:rFonts w:cs="Arial"/>
          <w:rtl/>
        </w:rPr>
        <w:t xml:space="preserve"> אפילו כולן מכוסין </w:t>
      </w:r>
      <w:r w:rsidR="005E18D5">
        <w:rPr>
          <w:rFonts w:cs="Arial" w:hint="cs"/>
          <w:rtl/>
        </w:rPr>
        <w:t xml:space="preserve">- </w:t>
      </w:r>
      <w:r>
        <w:rPr>
          <w:rFonts w:cs="Arial"/>
          <w:rtl/>
        </w:rPr>
        <w:t>יכול לתחוב בהן מחט כדי שינער הקש מעליהם ויטלם</w:t>
      </w:r>
      <w:r w:rsidR="005E18D5">
        <w:rPr>
          <w:rFonts w:cs="Arial" w:hint="cs"/>
          <w:rtl/>
        </w:rPr>
        <w:t>.</w:t>
      </w:r>
      <w:r w:rsidR="000B7A46" w:rsidRPr="000B7A46">
        <w:rPr>
          <w:rFonts w:cs="Arial" w:hint="cs"/>
          <w:color w:val="E36C0A" w:themeColor="accent6" w:themeShade="BF"/>
          <w:rtl/>
        </w:rPr>
        <w:t xml:space="preserve"> </w:t>
      </w:r>
      <w:r w:rsidR="000B7A46" w:rsidRPr="00FB5B2E">
        <w:rPr>
          <w:rFonts w:cs="Arial" w:hint="cs"/>
          <w:color w:val="E36C0A" w:themeColor="accent6" w:themeShade="BF"/>
          <w:rtl/>
        </w:rPr>
        <w:t>(וכ"פ בשו"ע)</w:t>
      </w:r>
    </w:p>
    <w:p w14:paraId="2DC47A06" w14:textId="77777777" w:rsidR="006D04FF" w:rsidRPr="006D04FF" w:rsidRDefault="004D6548" w:rsidP="00434A6A">
      <w:pPr>
        <w:pStyle w:val="aa"/>
        <w:numPr>
          <w:ilvl w:val="0"/>
          <w:numId w:val="15"/>
        </w:numPr>
      </w:pPr>
      <w:r>
        <w:rPr>
          <w:rFonts w:cs="Arial" w:hint="cs"/>
          <w:rtl/>
        </w:rPr>
        <w:t>רמב"ם</w:t>
      </w:r>
      <w:r w:rsidRPr="004D6548">
        <w:rPr>
          <w:rFonts w:cs="Arial" w:hint="cs"/>
          <w:sz w:val="16"/>
          <w:szCs w:val="16"/>
          <w:rtl/>
        </w:rPr>
        <w:t xml:space="preserve"> (פכ"ה הט"</w:t>
      </w:r>
      <w:r>
        <w:rPr>
          <w:rFonts w:cs="Arial" w:hint="cs"/>
          <w:sz w:val="16"/>
          <w:szCs w:val="16"/>
          <w:rtl/>
        </w:rPr>
        <w:t>ז</w:t>
      </w:r>
      <w:r w:rsidRPr="004D6548">
        <w:rPr>
          <w:rFonts w:cs="Arial" w:hint="cs"/>
          <w:sz w:val="16"/>
          <w:szCs w:val="16"/>
          <w:rtl/>
        </w:rPr>
        <w:t>)</w:t>
      </w:r>
      <w:r>
        <w:rPr>
          <w:rFonts w:cs="Arial" w:hint="cs"/>
          <w:rtl/>
        </w:rPr>
        <w:t xml:space="preserve">- </w:t>
      </w:r>
      <w:r w:rsidRPr="008B1433">
        <w:rPr>
          <w:rFonts w:cs="Arial"/>
          <w:rtl/>
        </w:rPr>
        <w:t>פגה שהיתה טמונה בתבן וחררה שהיתה על גבי גחלים</w:t>
      </w:r>
      <w:r>
        <w:rPr>
          <w:rStyle w:val="a9"/>
          <w:rFonts w:cs="Arial"/>
          <w:rtl/>
        </w:rPr>
        <w:footnoteReference w:id="1957"/>
      </w:r>
      <w:r w:rsidRPr="008B1433">
        <w:rPr>
          <w:rFonts w:cs="Arial"/>
          <w:rtl/>
        </w:rPr>
        <w:t xml:space="preserve"> </w:t>
      </w:r>
      <w:r>
        <w:rPr>
          <w:rFonts w:cs="Arial" w:hint="cs"/>
          <w:rtl/>
        </w:rPr>
        <w:t xml:space="preserve">- </w:t>
      </w:r>
      <w:r w:rsidRPr="008B1433">
        <w:rPr>
          <w:rFonts w:cs="Arial"/>
          <w:rtl/>
        </w:rPr>
        <w:t>תוחבן בכוש או בכרכר ונוטלן</w:t>
      </w:r>
      <w:r>
        <w:rPr>
          <w:rFonts w:cs="Arial" w:hint="cs"/>
          <w:rtl/>
        </w:rPr>
        <w:t>,</w:t>
      </w:r>
      <w:r w:rsidRPr="008B1433">
        <w:rPr>
          <w:rFonts w:cs="Arial"/>
          <w:rtl/>
        </w:rPr>
        <w:t xml:space="preserve"> ואע</w:t>
      </w:r>
      <w:r>
        <w:rPr>
          <w:rFonts w:cs="Arial" w:hint="cs"/>
          <w:rtl/>
        </w:rPr>
        <w:t>"פ</w:t>
      </w:r>
      <w:r w:rsidRPr="008B1433">
        <w:rPr>
          <w:rFonts w:cs="Arial"/>
          <w:rtl/>
        </w:rPr>
        <w:t xml:space="preserve"> שהתבן והגחלים ננערים בשבת בשעת נטילה</w:t>
      </w:r>
      <w:r>
        <w:rPr>
          <w:rFonts w:cs="Arial" w:hint="cs"/>
          <w:rtl/>
        </w:rPr>
        <w:t>.</w:t>
      </w:r>
    </w:p>
    <w:p w14:paraId="791F26CF" w14:textId="56F5D633" w:rsidR="006D04FF" w:rsidRPr="000B7A46" w:rsidRDefault="000B7A46" w:rsidP="00434A6A">
      <w:pPr>
        <w:rPr>
          <w:u w:val="single"/>
        </w:rPr>
      </w:pPr>
      <w:r w:rsidRPr="000B7A46">
        <w:rPr>
          <w:rFonts w:hint="cs"/>
          <w:u w:val="single"/>
          <w:rtl/>
        </w:rPr>
        <w:t>פירות ש</w:t>
      </w:r>
      <w:r w:rsidR="00C35288">
        <w:rPr>
          <w:rFonts w:hint="cs"/>
          <w:u w:val="single"/>
          <w:rtl/>
        </w:rPr>
        <w:t>ה</w:t>
      </w:r>
      <w:r w:rsidRPr="000B7A46">
        <w:rPr>
          <w:rFonts w:hint="cs"/>
          <w:u w:val="single"/>
          <w:rtl/>
        </w:rPr>
        <w:t>צנ</w:t>
      </w:r>
      <w:r w:rsidR="00C35288">
        <w:rPr>
          <w:rFonts w:hint="cs"/>
          <w:u w:val="single"/>
          <w:rtl/>
        </w:rPr>
        <w:t>י</w:t>
      </w:r>
      <w:r w:rsidRPr="000B7A46">
        <w:rPr>
          <w:rFonts w:hint="cs"/>
          <w:u w:val="single"/>
          <w:rtl/>
        </w:rPr>
        <w:t>עם ב</w:t>
      </w:r>
      <w:r>
        <w:rPr>
          <w:rFonts w:hint="cs"/>
          <w:u w:val="single"/>
          <w:rtl/>
        </w:rPr>
        <w:t>ע</w:t>
      </w:r>
      <w:r w:rsidRPr="000B7A46">
        <w:rPr>
          <w:rFonts w:hint="cs"/>
          <w:u w:val="single"/>
          <w:rtl/>
        </w:rPr>
        <w:t>פר מוכן:</w:t>
      </w:r>
    </w:p>
    <w:p w14:paraId="72717880" w14:textId="572B5F31" w:rsidR="00032C79" w:rsidRPr="00032C79" w:rsidRDefault="006D04FF" w:rsidP="00434A6A">
      <w:pPr>
        <w:pStyle w:val="aa"/>
        <w:numPr>
          <w:ilvl w:val="0"/>
          <w:numId w:val="15"/>
        </w:numPr>
        <w:rPr>
          <w:rtl/>
        </w:rPr>
      </w:pPr>
      <w:r w:rsidRPr="006D04FF">
        <w:rPr>
          <w:rFonts w:cs="Arial" w:hint="cs"/>
          <w:rtl/>
        </w:rPr>
        <w:t>שבה"ל</w:t>
      </w:r>
      <w:r w:rsidR="00032C79" w:rsidRPr="006D04FF">
        <w:rPr>
          <w:rFonts w:cs="Arial"/>
          <w:rtl/>
        </w:rPr>
        <w:t xml:space="preserve"> </w:t>
      </w:r>
      <w:r w:rsidR="00032C79" w:rsidRPr="006D04FF">
        <w:rPr>
          <w:rFonts w:cs="Arial"/>
          <w:sz w:val="16"/>
          <w:szCs w:val="16"/>
          <w:rtl/>
        </w:rPr>
        <w:t>(סי' קכ)</w:t>
      </w:r>
      <w:r>
        <w:rPr>
          <w:rFonts w:cs="Arial" w:hint="cs"/>
          <w:rtl/>
        </w:rPr>
        <w:t>-</w:t>
      </w:r>
      <w:r w:rsidR="00032C79" w:rsidRPr="006D04FF">
        <w:rPr>
          <w:rFonts w:cs="Arial"/>
          <w:rtl/>
        </w:rPr>
        <w:t xml:space="preserve"> כתב ה"ר בנימין מה שנהגו להצניע אתרוגים או פרישים בחול או בעפר נראה לי שמותר לגלותם ולהוציאם משם ואינו דומה לפגה שטמנה בתבן וכו' דהתם תבן דומיא דגחלים שהם מוקצים כגון תבן שהכניסו לאוצר</w:t>
      </w:r>
      <w:r w:rsidRPr="006D04FF">
        <w:rPr>
          <w:rFonts w:cs="Arial" w:hint="cs"/>
          <w:rtl/>
        </w:rPr>
        <w:t>,</w:t>
      </w:r>
      <w:r w:rsidR="00032C79" w:rsidRPr="006D04FF">
        <w:rPr>
          <w:rFonts w:cs="Arial"/>
          <w:rtl/>
        </w:rPr>
        <w:t xml:space="preserve"> אבל האי חול או עפר אינו מוקצה כדאמרינן (ביצה ז.) מכניס אדם מלא קופתו עפר ועושה בו צרכיו והוא שייחד לו קרן זוית</w:t>
      </w:r>
      <w:r w:rsidR="000B7A46">
        <w:rPr>
          <w:rFonts w:hint="cs"/>
          <w:rtl/>
        </w:rPr>
        <w:t xml:space="preserve">. </w:t>
      </w:r>
      <w:r w:rsidR="000B7A46" w:rsidRPr="000B7A46">
        <w:rPr>
          <w:rFonts w:hint="cs"/>
          <w:color w:val="00B0F0"/>
          <w:rtl/>
        </w:rPr>
        <w:t>(וכ"פ הרמ"א</w:t>
      </w:r>
      <w:r w:rsidR="000B7A46" w:rsidRPr="000B7A46">
        <w:rPr>
          <w:rFonts w:hint="cs"/>
          <w:color w:val="00B0F0"/>
          <w:sz w:val="16"/>
          <w:szCs w:val="16"/>
          <w:rtl/>
        </w:rPr>
        <w:t xml:space="preserve"> </w:t>
      </w:r>
      <w:r w:rsidR="000B7A46">
        <w:rPr>
          <w:rFonts w:hint="cs"/>
          <w:sz w:val="16"/>
          <w:szCs w:val="16"/>
          <w:rtl/>
        </w:rPr>
        <w:t>[בסי' שח סל"ח]</w:t>
      </w:r>
      <w:r w:rsidR="000B7A46" w:rsidRPr="000B7A46">
        <w:rPr>
          <w:rFonts w:hint="cs"/>
          <w:color w:val="00B0F0"/>
          <w:rtl/>
        </w:rPr>
        <w:t>)</w:t>
      </w:r>
    </w:p>
    <w:p w14:paraId="60D8A126" w14:textId="77777777" w:rsidR="00EF7C96" w:rsidRPr="005275DF" w:rsidRDefault="00EF7C96" w:rsidP="00434A6A">
      <w:pPr>
        <w:rPr>
          <w:rFonts w:asciiTheme="minorBidi" w:hAnsiTheme="minorBidi"/>
          <w:rtl/>
        </w:rPr>
      </w:pPr>
      <w:r w:rsidRPr="005275DF">
        <w:rPr>
          <w:rFonts w:asciiTheme="minorBidi" w:hAnsiTheme="minorBidi"/>
          <w:b/>
          <w:bCs/>
          <w:sz w:val="32"/>
          <w:szCs w:val="28"/>
          <w:u w:val="single"/>
          <w:rtl/>
        </w:rPr>
        <w:t xml:space="preserve">שו"ע: </w:t>
      </w:r>
    </w:p>
    <w:p w14:paraId="198649AD" w14:textId="6C05F6EA" w:rsidR="000C6229" w:rsidRDefault="000C6229" w:rsidP="00434A6A">
      <w:pPr>
        <w:rPr>
          <w:rFonts w:asciiTheme="minorBidi" w:hAnsiTheme="minorBidi"/>
          <w:rtl/>
        </w:rPr>
      </w:pPr>
      <w:r w:rsidRPr="005275DF">
        <w:rPr>
          <w:rFonts w:asciiTheme="minorBidi" w:hAnsiTheme="minorBidi"/>
          <w:rtl/>
        </w:rPr>
        <w:t>הפירות הטמונין בתבן או בקש</w:t>
      </w:r>
      <w:r w:rsidR="000B7A46">
        <w:rPr>
          <w:rStyle w:val="a9"/>
          <w:rFonts w:asciiTheme="minorBidi" w:hAnsiTheme="minorBidi"/>
          <w:rtl/>
        </w:rPr>
        <w:footnoteReference w:id="1958"/>
      </w:r>
      <w:r w:rsidRPr="005275DF">
        <w:rPr>
          <w:rFonts w:asciiTheme="minorBidi" w:hAnsiTheme="minorBidi"/>
          <w:rtl/>
        </w:rPr>
        <w:t xml:space="preserve"> המוקצים, יכול לתחוב בהם מחט או כוש ונוטלם והקש ננער מאליו. </w:t>
      </w:r>
      <w:r w:rsidRPr="00E35ABD">
        <w:rPr>
          <w:rFonts w:asciiTheme="minorBidi" w:hAnsiTheme="minorBidi"/>
          <w:sz w:val="18"/>
          <w:szCs w:val="18"/>
          <w:rtl/>
        </w:rPr>
        <w:t>הגה: ואם טמונים בחול ובעפר, ע"ל סימן ש"ח סעיף ל"ח.</w:t>
      </w:r>
    </w:p>
    <w:p w14:paraId="498F5F0A" w14:textId="77777777" w:rsidR="00F936FC" w:rsidRDefault="00F936FC" w:rsidP="00434A6A">
      <w:pPr>
        <w:pStyle w:val="1"/>
        <w:rPr>
          <w:rtl/>
        </w:rPr>
        <w:sectPr w:rsidR="00F936FC" w:rsidSect="00BD29B1">
          <w:headerReference w:type="default" r:id="rId82"/>
          <w:footnotePr>
            <w:numRestart w:val="eachSect"/>
          </w:footnotePr>
          <w:pgSz w:w="11906" w:h="16838"/>
          <w:pgMar w:top="720" w:right="1134" w:bottom="720" w:left="1134" w:header="0" w:footer="0" w:gutter="0"/>
          <w:cols w:space="720"/>
          <w:bidi/>
          <w:rtlGutter/>
          <w:docGrid w:linePitch="360"/>
        </w:sectPr>
      </w:pPr>
    </w:p>
    <w:p w14:paraId="48F1FB09" w14:textId="516923CD" w:rsidR="00F936FC" w:rsidRPr="00F936FC" w:rsidRDefault="00F936FC" w:rsidP="00434A6A">
      <w:pPr>
        <w:pStyle w:val="1"/>
        <w:rPr>
          <w:rtl/>
        </w:rPr>
      </w:pPr>
      <w:r>
        <w:rPr>
          <w:rFonts w:hint="cs"/>
          <w:rtl/>
        </w:rPr>
        <w:t xml:space="preserve">סימן שיב: </w:t>
      </w:r>
      <w:r w:rsidRPr="00F936FC">
        <w:rPr>
          <w:rFonts w:hint="cs"/>
          <w:rtl/>
        </w:rPr>
        <w:t>הנצרך</w:t>
      </w:r>
      <w:r w:rsidRPr="00F936FC">
        <w:rPr>
          <w:rtl/>
        </w:rPr>
        <w:t xml:space="preserve"> </w:t>
      </w:r>
      <w:r w:rsidRPr="00F936FC">
        <w:rPr>
          <w:rFonts w:hint="cs"/>
          <w:rtl/>
        </w:rPr>
        <w:t>לנקביו</w:t>
      </w:r>
      <w:r w:rsidRPr="00F936FC">
        <w:rPr>
          <w:rtl/>
        </w:rPr>
        <w:t xml:space="preserve"> </w:t>
      </w:r>
      <w:r w:rsidRPr="00F936FC">
        <w:rPr>
          <w:rFonts w:hint="cs"/>
          <w:rtl/>
        </w:rPr>
        <w:t>במה</w:t>
      </w:r>
      <w:r w:rsidRPr="00F936FC">
        <w:rPr>
          <w:rtl/>
        </w:rPr>
        <w:t xml:space="preserve"> </w:t>
      </w:r>
      <w:r w:rsidRPr="00F936FC">
        <w:rPr>
          <w:rFonts w:hint="cs"/>
          <w:rtl/>
        </w:rPr>
        <w:t>מקנח</w:t>
      </w:r>
      <w:r w:rsidRPr="00F936FC">
        <w:rPr>
          <w:rtl/>
        </w:rPr>
        <w:t xml:space="preserve"> </w:t>
      </w:r>
      <w:r w:rsidRPr="00F936FC">
        <w:rPr>
          <w:rFonts w:hint="cs"/>
          <w:rtl/>
        </w:rPr>
        <w:t>בשבת</w:t>
      </w:r>
      <w:r w:rsidRPr="00F936FC">
        <w:rPr>
          <w:rtl/>
        </w:rPr>
        <w:t xml:space="preserve">, </w:t>
      </w:r>
      <w:r w:rsidRPr="00F936FC">
        <w:rPr>
          <w:rFonts w:hint="cs"/>
          <w:rtl/>
        </w:rPr>
        <w:t>ובו</w:t>
      </w:r>
      <w:r w:rsidRPr="00F936FC">
        <w:rPr>
          <w:rtl/>
        </w:rPr>
        <w:t xml:space="preserve"> </w:t>
      </w:r>
      <w:r w:rsidRPr="00F936FC">
        <w:rPr>
          <w:rFonts w:hint="cs"/>
          <w:rtl/>
        </w:rPr>
        <w:t>י</w:t>
      </w:r>
      <w:r w:rsidRPr="00F936FC">
        <w:rPr>
          <w:rtl/>
        </w:rPr>
        <w:t xml:space="preserve">' </w:t>
      </w:r>
      <w:r w:rsidRPr="00F936FC">
        <w:rPr>
          <w:rFonts w:hint="cs"/>
          <w:rtl/>
        </w:rPr>
        <w:t>סעיפים</w:t>
      </w:r>
      <w:r w:rsidRPr="00F936FC">
        <w:rPr>
          <w:rtl/>
        </w:rPr>
        <w:t xml:space="preserve">. </w:t>
      </w:r>
    </w:p>
    <w:p w14:paraId="063876B8" w14:textId="39BAEBA5" w:rsidR="00F936FC" w:rsidRDefault="00F936FC" w:rsidP="00434A6A">
      <w:pPr>
        <w:pStyle w:val="2"/>
        <w:rPr>
          <w:rtl/>
        </w:rPr>
      </w:pPr>
      <w:r w:rsidRPr="00F936FC">
        <w:rPr>
          <w:rFonts w:hint="cs"/>
          <w:rtl/>
        </w:rPr>
        <w:t>סעיף</w:t>
      </w:r>
      <w:r w:rsidRPr="00F936FC">
        <w:rPr>
          <w:rtl/>
        </w:rPr>
        <w:t xml:space="preserve"> </w:t>
      </w:r>
      <w:r w:rsidRPr="00F936FC">
        <w:rPr>
          <w:rFonts w:hint="cs"/>
          <w:rtl/>
        </w:rPr>
        <w:t>א</w:t>
      </w:r>
      <w:r w:rsidR="00E24BC4">
        <w:rPr>
          <w:rFonts w:hint="cs"/>
          <w:rtl/>
        </w:rPr>
        <w:t xml:space="preserve">: </w:t>
      </w:r>
      <w:r w:rsidR="00A477F2">
        <w:rPr>
          <w:rFonts w:hint="cs"/>
          <w:rtl/>
        </w:rPr>
        <w:t>טלטול אבנים על מנת לקנח בהם.</w:t>
      </w:r>
    </w:p>
    <w:p w14:paraId="39F5C046" w14:textId="77777777" w:rsidR="00155474" w:rsidRDefault="00155474" w:rsidP="00434A6A">
      <w:pPr>
        <w:rPr>
          <w:rtl/>
        </w:rPr>
      </w:pPr>
      <w:r w:rsidRPr="00FD7A76">
        <w:rPr>
          <w:rFonts w:cs="Arial" w:hint="cs"/>
          <w:b/>
          <w:bCs/>
          <w:rtl/>
        </w:rPr>
        <w:t xml:space="preserve">ירושלמי שבת פ"ח ה"ו: </w:t>
      </w:r>
      <w:r w:rsidRPr="00FD7A76">
        <w:rPr>
          <w:rFonts w:cs="Arial"/>
          <w:rtl/>
        </w:rPr>
        <w:t>תני</w:t>
      </w:r>
      <w:r>
        <w:rPr>
          <w:rFonts w:cs="Arial" w:hint="cs"/>
          <w:rtl/>
        </w:rPr>
        <w:t>,</w:t>
      </w:r>
      <w:r w:rsidRPr="00FD7A76">
        <w:rPr>
          <w:rFonts w:cs="Arial"/>
          <w:rtl/>
        </w:rPr>
        <w:t xml:space="preserve"> צרור מקורזל כזית וכאגוז וכביצה נוטלו ומקנח בו את רגליו. </w:t>
      </w:r>
      <w:r w:rsidRPr="00FD7A76">
        <w:rPr>
          <w:rFonts w:cs="Arial"/>
          <w:u w:val="single"/>
          <w:rtl/>
        </w:rPr>
        <w:t>רבי ישמעאל בר' יוסה אמר משום אביו</w:t>
      </w:r>
      <w:r>
        <w:rPr>
          <w:rFonts w:cs="Arial" w:hint="cs"/>
          <w:rtl/>
        </w:rPr>
        <w:t>:</w:t>
      </w:r>
      <w:r w:rsidRPr="00FD7A76">
        <w:rPr>
          <w:rFonts w:cs="Arial"/>
          <w:rtl/>
        </w:rPr>
        <w:t xml:space="preserve"> עד מלא היד. </w:t>
      </w:r>
      <w:r w:rsidRPr="00FD7A76">
        <w:rPr>
          <w:rFonts w:cs="Arial"/>
          <w:u w:val="single"/>
          <w:rtl/>
        </w:rPr>
        <w:t>רב יהודה אמר בייתוס בן זונין היה יושב ושונה לפני רבי אמר</w:t>
      </w:r>
      <w:r>
        <w:rPr>
          <w:rFonts w:cs="Arial" w:hint="cs"/>
          <w:rtl/>
        </w:rPr>
        <w:t>:</w:t>
      </w:r>
      <w:r w:rsidRPr="00FD7A76">
        <w:rPr>
          <w:rFonts w:cs="Arial"/>
          <w:rtl/>
        </w:rPr>
        <w:t xml:space="preserve"> כך אנו אומרים צריך שיהא יושב ומשקל ביד</w:t>
      </w:r>
      <w:r>
        <w:rPr>
          <w:rFonts w:cs="Arial" w:hint="cs"/>
          <w:rtl/>
        </w:rPr>
        <w:t>?</w:t>
      </w:r>
      <w:r w:rsidRPr="00FD7A76">
        <w:rPr>
          <w:rFonts w:cs="Arial"/>
          <w:rtl/>
        </w:rPr>
        <w:t xml:space="preserve">. </w:t>
      </w:r>
      <w:r w:rsidRPr="00FD7A76">
        <w:rPr>
          <w:rFonts w:cs="Arial"/>
          <w:u w:val="single"/>
          <w:rtl/>
        </w:rPr>
        <w:t>אמר ליה</w:t>
      </w:r>
      <w:r>
        <w:rPr>
          <w:rFonts w:cs="Arial" w:hint="cs"/>
          <w:rtl/>
        </w:rPr>
        <w:t>:</w:t>
      </w:r>
      <w:r w:rsidRPr="00FD7A76">
        <w:rPr>
          <w:rFonts w:cs="Arial"/>
          <w:rtl/>
        </w:rPr>
        <w:t xml:space="preserve"> הכל מותר חוץ מן העשוי בחפיסה</w:t>
      </w:r>
      <w:r>
        <w:rPr>
          <w:rStyle w:val="a9"/>
          <w:rFonts w:cs="Arial"/>
          <w:rtl/>
        </w:rPr>
        <w:footnoteReference w:id="1959"/>
      </w:r>
      <w:r w:rsidRPr="00FD7A76">
        <w:rPr>
          <w:rFonts w:cs="Arial"/>
          <w:rtl/>
        </w:rPr>
        <w:t xml:space="preserve">. </w:t>
      </w:r>
      <w:r w:rsidRPr="00FD7A76">
        <w:rPr>
          <w:rFonts w:cs="Arial"/>
          <w:u w:val="single"/>
          <w:rtl/>
        </w:rPr>
        <w:t>ר' אילא בשם ר' ינאי שנו</w:t>
      </w:r>
      <w:r>
        <w:rPr>
          <w:rFonts w:cs="Arial" w:hint="cs"/>
          <w:rtl/>
        </w:rPr>
        <w:t>:</w:t>
      </w:r>
      <w:r w:rsidRPr="00FD7A76">
        <w:rPr>
          <w:rFonts w:cs="Arial"/>
          <w:rtl/>
        </w:rPr>
        <w:t xml:space="preserve"> כמלוא רגל מדוכה קטנה של בשם</w:t>
      </w:r>
      <w:r>
        <w:rPr>
          <w:rStyle w:val="a9"/>
          <w:rFonts w:cs="Arial"/>
          <w:rtl/>
        </w:rPr>
        <w:footnoteReference w:id="1960"/>
      </w:r>
      <w:r w:rsidRPr="00FD7A76">
        <w:rPr>
          <w:rFonts w:cs="Arial"/>
          <w:rtl/>
        </w:rPr>
        <w:t xml:space="preserve">. </w:t>
      </w:r>
      <w:r w:rsidRPr="00FD7A76">
        <w:rPr>
          <w:rFonts w:cs="Arial"/>
          <w:u w:val="single"/>
          <w:rtl/>
        </w:rPr>
        <w:t>א"ר יוסה</w:t>
      </w:r>
      <w:r>
        <w:rPr>
          <w:rFonts w:cs="Arial" w:hint="cs"/>
          <w:rtl/>
        </w:rPr>
        <w:t>:</w:t>
      </w:r>
      <w:r w:rsidRPr="00FD7A76">
        <w:rPr>
          <w:rFonts w:cs="Arial"/>
          <w:rtl/>
        </w:rPr>
        <w:t xml:space="preserve"> לא אמרו אלא של בושם</w:t>
      </w:r>
      <w:r>
        <w:rPr>
          <w:rStyle w:val="a9"/>
          <w:rFonts w:cs="Arial"/>
          <w:rtl/>
        </w:rPr>
        <w:footnoteReference w:id="1961"/>
      </w:r>
      <w:r>
        <w:rPr>
          <w:rFonts w:cs="Arial" w:hint="cs"/>
          <w:rtl/>
        </w:rPr>
        <w:t>,</w:t>
      </w:r>
      <w:r w:rsidRPr="00FD7A76">
        <w:rPr>
          <w:rFonts w:cs="Arial"/>
          <w:rtl/>
        </w:rPr>
        <w:t xml:space="preserve"> הא של בשמים לא.</w:t>
      </w:r>
    </w:p>
    <w:p w14:paraId="076F8FF6" w14:textId="6C250FE0" w:rsidR="00E24BC4" w:rsidRPr="00A477F2" w:rsidRDefault="00E24BC4" w:rsidP="00434A6A">
      <w:pPr>
        <w:rPr>
          <w:rFonts w:cs="Arial"/>
          <w:rtl/>
        </w:rPr>
      </w:pPr>
      <w:r w:rsidRPr="00E24BC4">
        <w:rPr>
          <w:rFonts w:cs="Arial" w:hint="cs"/>
          <w:b/>
          <w:bCs/>
          <w:rtl/>
        </w:rPr>
        <w:t xml:space="preserve">שבת </w:t>
      </w:r>
      <w:r w:rsidRPr="00E24BC4">
        <w:rPr>
          <w:rFonts w:cs="Arial" w:hint="cs"/>
          <w:b/>
          <w:bCs/>
          <w:sz w:val="16"/>
          <w:szCs w:val="16"/>
          <w:rtl/>
        </w:rPr>
        <w:t>(ס"פ</w:t>
      </w:r>
      <w:r w:rsidR="00C8594B" w:rsidRPr="00E24BC4">
        <w:rPr>
          <w:rFonts w:cs="Arial"/>
          <w:b/>
          <w:bCs/>
          <w:sz w:val="16"/>
          <w:szCs w:val="16"/>
          <w:rtl/>
        </w:rPr>
        <w:t xml:space="preserve"> המוציא יין</w:t>
      </w:r>
      <w:r w:rsidRPr="00E24BC4">
        <w:rPr>
          <w:rFonts w:cs="Arial" w:hint="cs"/>
          <w:b/>
          <w:bCs/>
          <w:sz w:val="16"/>
          <w:szCs w:val="16"/>
          <w:rtl/>
        </w:rPr>
        <w:t>)</w:t>
      </w:r>
      <w:r w:rsidR="00C8594B" w:rsidRPr="00E24BC4">
        <w:rPr>
          <w:rFonts w:cs="Arial"/>
          <w:b/>
          <w:bCs/>
          <w:rtl/>
        </w:rPr>
        <w:t xml:space="preserve"> פא</w:t>
      </w:r>
      <w:r w:rsidRPr="00E24BC4">
        <w:rPr>
          <w:rFonts w:cs="Arial" w:hint="cs"/>
          <w:b/>
          <w:bCs/>
          <w:rtl/>
        </w:rPr>
        <w:t xml:space="preserve"> ע"א:</w:t>
      </w:r>
      <w:r w:rsidR="00C8594B">
        <w:rPr>
          <w:rFonts w:cs="Arial"/>
          <w:rtl/>
        </w:rPr>
        <w:t xml:space="preserve"> </w:t>
      </w:r>
      <w:r w:rsidR="00C347E4" w:rsidRPr="00C347E4">
        <w:rPr>
          <w:rFonts w:cs="Arial"/>
          <w:u w:val="single"/>
          <w:rtl/>
        </w:rPr>
        <w:t>זונין על לבי מדרשא, אמר להו</w:t>
      </w:r>
      <w:r w:rsidR="00C347E4" w:rsidRPr="00C347E4">
        <w:rPr>
          <w:rFonts w:cs="Arial"/>
          <w:rtl/>
        </w:rPr>
        <w:t>: רבותי, אבנים של בית הכסא שיעורן בכמה</w:t>
      </w:r>
      <w:r w:rsidR="00C347E4">
        <w:rPr>
          <w:rStyle w:val="a9"/>
          <w:rFonts w:cs="Arial"/>
          <w:rtl/>
        </w:rPr>
        <w:footnoteReference w:id="1962"/>
      </w:r>
      <w:r w:rsidR="00C347E4" w:rsidRPr="00C347E4">
        <w:rPr>
          <w:rFonts w:cs="Arial"/>
          <w:rtl/>
        </w:rPr>
        <w:t xml:space="preserve">? </w:t>
      </w:r>
      <w:r w:rsidR="00C347E4" w:rsidRPr="00C347E4">
        <w:rPr>
          <w:rFonts w:cs="Arial"/>
          <w:u w:val="single"/>
          <w:rtl/>
        </w:rPr>
        <w:t>אמרו לו</w:t>
      </w:r>
      <w:r w:rsidR="00C347E4" w:rsidRPr="00C347E4">
        <w:rPr>
          <w:rFonts w:cs="Arial"/>
          <w:rtl/>
        </w:rPr>
        <w:t>: כזית כאגוז וכביצה</w:t>
      </w:r>
      <w:r w:rsidR="00C347E4">
        <w:rPr>
          <w:rStyle w:val="a9"/>
          <w:rFonts w:cs="Arial"/>
          <w:rtl/>
        </w:rPr>
        <w:footnoteReference w:id="1963"/>
      </w:r>
      <w:r w:rsidR="00C347E4" w:rsidRPr="00C347E4">
        <w:rPr>
          <w:rFonts w:cs="Arial"/>
          <w:rtl/>
        </w:rPr>
        <w:t xml:space="preserve">. </w:t>
      </w:r>
      <w:r w:rsidR="00C347E4" w:rsidRPr="00C347E4">
        <w:rPr>
          <w:rFonts w:cs="Arial"/>
          <w:u w:val="single"/>
          <w:rtl/>
        </w:rPr>
        <w:t>אמר להו</w:t>
      </w:r>
      <w:r w:rsidR="00C347E4" w:rsidRPr="00C347E4">
        <w:rPr>
          <w:rFonts w:cs="Arial"/>
          <w:rtl/>
        </w:rPr>
        <w:t>: וכי טורטני</w:t>
      </w:r>
      <w:r w:rsidR="00C347E4">
        <w:rPr>
          <w:rStyle w:val="a9"/>
          <w:rFonts w:cs="Arial"/>
          <w:rtl/>
        </w:rPr>
        <w:footnoteReference w:id="1964"/>
      </w:r>
      <w:r w:rsidR="00C347E4" w:rsidRPr="00C347E4">
        <w:rPr>
          <w:rFonts w:cs="Arial"/>
          <w:rtl/>
        </w:rPr>
        <w:t xml:space="preserve"> יכניס? נמנו וגמרו: מלא היד</w:t>
      </w:r>
      <w:r w:rsidR="00C347E4">
        <w:rPr>
          <w:rStyle w:val="a9"/>
          <w:rFonts w:cs="Arial"/>
          <w:rtl/>
        </w:rPr>
        <w:footnoteReference w:id="1965"/>
      </w:r>
      <w:r w:rsidR="00C347E4" w:rsidRPr="00C347E4">
        <w:rPr>
          <w:rFonts w:cs="Arial"/>
          <w:rtl/>
        </w:rPr>
        <w:t xml:space="preserve">. תניא, </w:t>
      </w:r>
      <w:r w:rsidR="00C347E4" w:rsidRPr="004441DC">
        <w:rPr>
          <w:rFonts w:cs="Arial"/>
          <w:u w:val="single"/>
          <w:rtl/>
        </w:rPr>
        <w:t>רבי יוסי אומר</w:t>
      </w:r>
      <w:r w:rsidR="00C347E4" w:rsidRPr="00C347E4">
        <w:rPr>
          <w:rFonts w:cs="Arial"/>
          <w:rtl/>
        </w:rPr>
        <w:t xml:space="preserve">: כזית כאגוז וכביצה. </w:t>
      </w:r>
      <w:r w:rsidR="00C347E4" w:rsidRPr="004441DC">
        <w:rPr>
          <w:rFonts w:cs="Arial"/>
          <w:u w:val="single"/>
          <w:rtl/>
        </w:rPr>
        <w:t>רבי שמעון ברבי יוסי אומר משום אביו</w:t>
      </w:r>
      <w:r w:rsidR="00C347E4" w:rsidRPr="00C347E4">
        <w:rPr>
          <w:rFonts w:cs="Arial"/>
          <w:rtl/>
        </w:rPr>
        <w:t xml:space="preserve">: מלא היד. </w:t>
      </w:r>
      <w:r w:rsidRPr="00E24BC4">
        <w:rPr>
          <w:rFonts w:cs="Arial"/>
          <w:rtl/>
        </w:rPr>
        <w:t>תנו רבנן: שלוש אבנים מקורזלות</w:t>
      </w:r>
      <w:r w:rsidR="00C347E4">
        <w:rPr>
          <w:rStyle w:val="a9"/>
          <w:rFonts w:cs="Arial"/>
          <w:rtl/>
        </w:rPr>
        <w:footnoteReference w:id="1966"/>
      </w:r>
      <w:r w:rsidRPr="00E24BC4">
        <w:rPr>
          <w:rFonts w:cs="Arial"/>
          <w:rtl/>
        </w:rPr>
        <w:t xml:space="preserve"> מותר להכניס</w:t>
      </w:r>
      <w:r>
        <w:rPr>
          <w:rStyle w:val="a9"/>
          <w:rFonts w:cs="Arial"/>
          <w:rtl/>
        </w:rPr>
        <w:footnoteReference w:id="1967"/>
      </w:r>
      <w:r w:rsidRPr="00E24BC4">
        <w:rPr>
          <w:rFonts w:cs="Arial"/>
          <w:rtl/>
        </w:rPr>
        <w:t xml:space="preserve"> לבית הכסא. וכמה שיעורן? </w:t>
      </w:r>
      <w:r w:rsidRPr="00C347E4">
        <w:rPr>
          <w:rFonts w:cs="Arial"/>
          <w:u w:val="single"/>
          <w:rtl/>
        </w:rPr>
        <w:t>רבי מאיר אומ</w:t>
      </w:r>
      <w:r w:rsidRPr="00E24BC4">
        <w:rPr>
          <w:rFonts w:cs="Arial"/>
          <w:rtl/>
        </w:rPr>
        <w:t>ר: כאגוז</w:t>
      </w:r>
      <w:r w:rsidR="00C347E4">
        <w:rPr>
          <w:rFonts w:cs="Arial" w:hint="cs"/>
          <w:rtl/>
        </w:rPr>
        <w:t>.</w:t>
      </w:r>
      <w:r w:rsidRPr="00E24BC4">
        <w:rPr>
          <w:rFonts w:cs="Arial"/>
          <w:rtl/>
        </w:rPr>
        <w:t xml:space="preserve"> </w:t>
      </w:r>
      <w:r w:rsidRPr="00C347E4">
        <w:rPr>
          <w:rFonts w:cs="Arial"/>
          <w:u w:val="single"/>
          <w:rtl/>
        </w:rPr>
        <w:t>רבי יהודה אומר</w:t>
      </w:r>
      <w:r w:rsidRPr="00E24BC4">
        <w:rPr>
          <w:rFonts w:cs="Arial"/>
          <w:rtl/>
        </w:rPr>
        <w:t>: כביצה.</w:t>
      </w:r>
      <w:r w:rsidR="004441DC">
        <w:rPr>
          <w:rFonts w:cs="Arial" w:hint="cs"/>
          <w:rtl/>
        </w:rPr>
        <w:t>..</w:t>
      </w:r>
      <w:r w:rsidR="004441DC" w:rsidRPr="004441DC">
        <w:rPr>
          <w:rtl/>
        </w:rPr>
        <w:t xml:space="preserve"> </w:t>
      </w:r>
      <w:r w:rsidR="004441DC" w:rsidRPr="004441DC">
        <w:rPr>
          <w:rFonts w:cs="Arial"/>
          <w:u w:val="single"/>
          <w:rtl/>
        </w:rPr>
        <w:t>אמר רבי ינאי</w:t>
      </w:r>
      <w:r w:rsidR="004441DC" w:rsidRPr="004441DC">
        <w:rPr>
          <w:rFonts w:cs="Arial"/>
          <w:rtl/>
        </w:rPr>
        <w:t>: אם יש מקום קבוע לבית הכסא</w:t>
      </w:r>
      <w:r w:rsidR="004441DC">
        <w:rPr>
          <w:rStyle w:val="a9"/>
          <w:rFonts w:cs="Arial"/>
          <w:rtl/>
        </w:rPr>
        <w:footnoteReference w:id="1968"/>
      </w:r>
      <w:r w:rsidR="004441DC" w:rsidRPr="004441DC">
        <w:rPr>
          <w:rFonts w:cs="Arial"/>
          <w:rtl/>
        </w:rPr>
        <w:t xml:space="preserve"> - מלא היד, אם לאו - כהכרע</w:t>
      </w:r>
      <w:r w:rsidR="00A23EBC">
        <w:rPr>
          <w:rStyle w:val="a9"/>
          <w:rFonts w:cs="Arial"/>
          <w:rtl/>
        </w:rPr>
        <w:footnoteReference w:id="1969"/>
      </w:r>
      <w:r w:rsidR="00A23EBC">
        <w:rPr>
          <w:rFonts w:cs="Arial" w:hint="cs"/>
          <w:rtl/>
        </w:rPr>
        <w:t>[.]</w:t>
      </w:r>
      <w:r w:rsidR="004441DC" w:rsidRPr="004441DC">
        <w:rPr>
          <w:rFonts w:cs="Arial"/>
          <w:rtl/>
        </w:rPr>
        <w:t xml:space="preserve"> מדוכה קטנה</w:t>
      </w:r>
      <w:r w:rsidR="004441DC">
        <w:rPr>
          <w:rStyle w:val="a9"/>
          <w:rFonts w:cs="Arial"/>
          <w:rtl/>
        </w:rPr>
        <w:footnoteReference w:id="1970"/>
      </w:r>
      <w:r w:rsidR="004441DC" w:rsidRPr="004441DC">
        <w:rPr>
          <w:rFonts w:cs="Arial"/>
          <w:rtl/>
        </w:rPr>
        <w:t xml:space="preserve"> של בשמים</w:t>
      </w:r>
      <w:r w:rsidR="00A477F2">
        <w:rPr>
          <w:rFonts w:cs="Arial" w:hint="cs"/>
          <w:rtl/>
        </w:rPr>
        <w:t>,</w:t>
      </w:r>
      <w:r w:rsidR="004441DC" w:rsidRPr="004441DC">
        <w:rPr>
          <w:rFonts w:cs="Arial"/>
          <w:rtl/>
        </w:rPr>
        <w:t xml:space="preserve"> </w:t>
      </w:r>
      <w:r w:rsidR="004441DC" w:rsidRPr="004441DC">
        <w:rPr>
          <w:rFonts w:cs="Arial"/>
          <w:u w:val="single"/>
          <w:rtl/>
        </w:rPr>
        <w:t>אמר רב ששת</w:t>
      </w:r>
      <w:r w:rsidR="004441DC" w:rsidRPr="004441DC">
        <w:rPr>
          <w:rFonts w:cs="Arial"/>
          <w:rtl/>
        </w:rPr>
        <w:t>: אם יש עליה עד</w:t>
      </w:r>
      <w:r w:rsidR="004441DC">
        <w:rPr>
          <w:rStyle w:val="a9"/>
          <w:rFonts w:cs="Arial"/>
          <w:rtl/>
        </w:rPr>
        <w:footnoteReference w:id="1971"/>
      </w:r>
      <w:r w:rsidR="004441DC" w:rsidRPr="004441DC">
        <w:rPr>
          <w:rFonts w:cs="Arial"/>
          <w:rtl/>
        </w:rPr>
        <w:t xml:space="preserve"> - מותר</w:t>
      </w:r>
      <w:r w:rsidR="0031049A">
        <w:rPr>
          <w:rFonts w:cs="Arial" w:hint="cs"/>
          <w:rtl/>
        </w:rPr>
        <w:t>..</w:t>
      </w:r>
      <w:r w:rsidR="004441DC" w:rsidRPr="004441DC">
        <w:rPr>
          <w:rFonts w:cs="Arial"/>
          <w:rtl/>
        </w:rPr>
        <w:t xml:space="preserve">. </w:t>
      </w:r>
      <w:r w:rsidR="00FE4ADC" w:rsidRPr="00FE4ADC">
        <w:rPr>
          <w:rFonts w:cs="Arial"/>
          <w:u w:val="single"/>
          <w:rtl/>
        </w:rPr>
        <w:t>בעא מיניה רבה בר רב שילא מרב</w:t>
      </w:r>
      <w:r w:rsidR="00FE4ADC" w:rsidRPr="00FE4ADC">
        <w:rPr>
          <w:rFonts w:cs="Arial" w:hint="cs"/>
          <w:sz w:val="14"/>
          <w:szCs w:val="14"/>
          <w:u w:val="single"/>
          <w:rtl/>
        </w:rPr>
        <w:t xml:space="preserve"> (פא:) </w:t>
      </w:r>
      <w:r w:rsidR="00FE4ADC" w:rsidRPr="00FE4ADC">
        <w:rPr>
          <w:rFonts w:cs="Arial"/>
          <w:u w:val="single"/>
          <w:rtl/>
        </w:rPr>
        <w:t>חסדא</w:t>
      </w:r>
      <w:r w:rsidR="00FE4ADC" w:rsidRPr="00FE4ADC">
        <w:rPr>
          <w:rFonts w:cs="Arial"/>
          <w:rtl/>
        </w:rPr>
        <w:t>: מהו להעלותם אחריו לגג</w:t>
      </w:r>
      <w:r w:rsidR="00A477F2">
        <w:rPr>
          <w:rStyle w:val="a9"/>
          <w:rFonts w:cs="Arial"/>
          <w:rtl/>
        </w:rPr>
        <w:footnoteReference w:id="1972"/>
      </w:r>
      <w:r w:rsidR="00FE4ADC" w:rsidRPr="00FE4ADC">
        <w:rPr>
          <w:rFonts w:cs="Arial"/>
          <w:rtl/>
        </w:rPr>
        <w:t xml:space="preserve">? </w:t>
      </w:r>
      <w:r w:rsidR="00FE4ADC" w:rsidRPr="00FE4ADC">
        <w:rPr>
          <w:rFonts w:cs="Arial"/>
          <w:u w:val="single"/>
          <w:rtl/>
        </w:rPr>
        <w:t>אמר ליה</w:t>
      </w:r>
      <w:r w:rsidR="00FE4ADC" w:rsidRPr="00FE4ADC">
        <w:rPr>
          <w:rFonts w:cs="Arial"/>
          <w:rtl/>
        </w:rPr>
        <w:t>: גדול כבוד הבריות שדוחה את לא תעשה שבתורה.</w:t>
      </w:r>
      <w:r w:rsidRPr="00E24BC4">
        <w:rPr>
          <w:rFonts w:cs="Arial"/>
          <w:rtl/>
        </w:rPr>
        <w:t xml:space="preserve"> </w:t>
      </w:r>
      <w:r w:rsidR="00155474" w:rsidRPr="00155474">
        <w:rPr>
          <w:rFonts w:cs="Arial"/>
          <w:u w:val="single"/>
          <w:rtl/>
        </w:rPr>
        <w:t>יתיב מרימר</w:t>
      </w:r>
      <w:r w:rsidR="00155474" w:rsidRPr="00155474">
        <w:rPr>
          <w:rFonts w:cs="Arial"/>
          <w:rtl/>
        </w:rPr>
        <w:t xml:space="preserve"> וקאמר לה להא שמעתא, </w:t>
      </w:r>
      <w:r w:rsidR="00155474" w:rsidRPr="00155474">
        <w:rPr>
          <w:rFonts w:cs="Arial"/>
          <w:u w:val="single"/>
          <w:rtl/>
        </w:rPr>
        <w:t>איתיביה רבינא למרימר</w:t>
      </w:r>
      <w:r w:rsidR="00155474" w:rsidRPr="00155474">
        <w:rPr>
          <w:rFonts w:cs="Arial"/>
          <w:rtl/>
        </w:rPr>
        <w:t>: רבי אליעזר אומר: נוטל אדם קיסם משלפניו לחצות בו שיניו, וחכמים אומרים: לא יטול אלא מן האבוס של בהמה! הכי השתא! התם - אדם קובע מקום לסעודה, הכא - אדם קובע מקום לבית הכסא?</w:t>
      </w:r>
      <w:r w:rsidR="00A31990">
        <w:rPr>
          <w:rFonts w:cs="Arial" w:hint="cs"/>
          <w:rtl/>
        </w:rPr>
        <w:t>.</w:t>
      </w:r>
    </w:p>
    <w:p w14:paraId="0E568042" w14:textId="0D7EE067" w:rsidR="00A477F2" w:rsidRPr="00A477F2" w:rsidRDefault="00A477F2" w:rsidP="00434A6A">
      <w:pPr>
        <w:rPr>
          <w:u w:val="single"/>
          <w:rtl/>
        </w:rPr>
      </w:pPr>
      <w:r w:rsidRPr="00A477F2">
        <w:rPr>
          <w:rFonts w:hint="cs"/>
          <w:u w:val="single"/>
          <w:rtl/>
        </w:rPr>
        <w:t>טלטול אבנים על מנת לקנח בהם:</w:t>
      </w:r>
    </w:p>
    <w:p w14:paraId="42B5AE32" w14:textId="13512C56" w:rsidR="00C84EFB" w:rsidRDefault="00D172C6" w:rsidP="00434A6A">
      <w:pPr>
        <w:pStyle w:val="aa"/>
        <w:numPr>
          <w:ilvl w:val="0"/>
          <w:numId w:val="15"/>
        </w:numPr>
      </w:pPr>
      <w:r>
        <w:rPr>
          <w:rFonts w:cs="Arial"/>
          <w:rtl/>
        </w:rPr>
        <w:t xml:space="preserve">רי"ף </w:t>
      </w:r>
      <w:r w:rsidRPr="00D172C6">
        <w:rPr>
          <w:rFonts w:cs="Arial"/>
          <w:sz w:val="16"/>
          <w:szCs w:val="16"/>
          <w:rtl/>
        </w:rPr>
        <w:t xml:space="preserve">(לד.) </w:t>
      </w:r>
      <w:r>
        <w:rPr>
          <w:rFonts w:hint="cs"/>
          <w:rtl/>
        </w:rPr>
        <w:t xml:space="preserve">תוס' </w:t>
      </w:r>
      <w:r w:rsidRPr="00D172C6">
        <w:rPr>
          <w:rFonts w:cs="Arial"/>
          <w:sz w:val="16"/>
          <w:szCs w:val="16"/>
          <w:rtl/>
        </w:rPr>
        <w:t xml:space="preserve">(שבת פא. ד"ה ואם) </w:t>
      </w:r>
      <w:r>
        <w:rPr>
          <w:rFonts w:cs="Arial"/>
          <w:rtl/>
        </w:rPr>
        <w:t xml:space="preserve">רא"ש </w:t>
      </w:r>
      <w:r w:rsidRPr="00D172C6">
        <w:rPr>
          <w:rFonts w:cs="Arial"/>
          <w:sz w:val="16"/>
          <w:szCs w:val="16"/>
          <w:rtl/>
        </w:rPr>
        <w:t>(סי' ב)</w:t>
      </w:r>
      <w:r w:rsidRPr="00D172C6">
        <w:rPr>
          <w:rFonts w:cs="Arial" w:hint="cs"/>
          <w:sz w:val="16"/>
          <w:szCs w:val="16"/>
          <w:rtl/>
        </w:rPr>
        <w:t xml:space="preserve"> </w:t>
      </w:r>
      <w:r w:rsidR="00C84EFB">
        <w:rPr>
          <w:rFonts w:hint="cs"/>
          <w:rtl/>
        </w:rPr>
        <w:t>טור</w:t>
      </w:r>
      <w:r>
        <w:rPr>
          <w:rFonts w:hint="cs"/>
          <w:rtl/>
        </w:rPr>
        <w:t xml:space="preserve"> </w:t>
      </w:r>
      <w:r>
        <w:rPr>
          <w:rFonts w:cs="Arial" w:hint="cs"/>
          <w:rtl/>
        </w:rPr>
        <w:t>ו</w:t>
      </w:r>
      <w:r>
        <w:rPr>
          <w:rFonts w:cs="Arial"/>
          <w:rtl/>
        </w:rPr>
        <w:t xml:space="preserve">ר"ן </w:t>
      </w:r>
      <w:r w:rsidRPr="00D172C6">
        <w:rPr>
          <w:rFonts w:cs="Arial"/>
          <w:sz w:val="16"/>
          <w:szCs w:val="16"/>
          <w:rtl/>
        </w:rPr>
        <w:t>(שם ד"ה א"ר ינאי)</w:t>
      </w:r>
      <w:r w:rsidR="00C84EFB">
        <w:rPr>
          <w:rFonts w:hint="cs"/>
          <w:rtl/>
        </w:rPr>
        <w:t xml:space="preserve">- </w:t>
      </w:r>
      <w:r w:rsidR="00C84EFB" w:rsidRPr="002B45A4">
        <w:rPr>
          <w:rFonts w:cs="Arial"/>
          <w:rtl/>
        </w:rPr>
        <w:t>מי שיש לו מקום מיוחד לבית הכסא</w:t>
      </w:r>
      <w:r w:rsidR="00C84EFB">
        <w:rPr>
          <w:rFonts w:cs="Arial" w:hint="cs"/>
          <w:rtl/>
        </w:rPr>
        <w:t>,</w:t>
      </w:r>
      <w:r w:rsidR="00C84EFB" w:rsidRPr="002B45A4">
        <w:rPr>
          <w:rFonts w:cs="Arial"/>
          <w:rtl/>
        </w:rPr>
        <w:t xml:space="preserve"> יכול להכניס עמו אבנים לקנח מלא ידיו</w:t>
      </w:r>
      <w:r w:rsidR="00C84EFB">
        <w:rPr>
          <w:rFonts w:cs="Arial" w:hint="cs"/>
          <w:rtl/>
        </w:rPr>
        <w:t>.</w:t>
      </w:r>
      <w:r w:rsidR="00C84EFB" w:rsidRPr="002B45A4">
        <w:rPr>
          <w:rFonts w:cs="Arial"/>
          <w:rtl/>
        </w:rPr>
        <w:t xml:space="preserve"> אין לו מקום קבוע</w:t>
      </w:r>
      <w:r w:rsidR="00C84EFB">
        <w:rPr>
          <w:rFonts w:cs="Arial" w:hint="cs"/>
          <w:rtl/>
        </w:rPr>
        <w:t>,</w:t>
      </w:r>
      <w:r w:rsidR="00C84EFB" w:rsidRPr="002B45A4">
        <w:rPr>
          <w:rFonts w:cs="Arial"/>
          <w:rtl/>
        </w:rPr>
        <w:t xml:space="preserve"> מכניס עמו כשיעור ראש בוכנא קטנה</w:t>
      </w:r>
      <w:r w:rsidR="00C84EFB">
        <w:rPr>
          <w:rFonts w:cs="Arial" w:hint="cs"/>
          <w:rtl/>
        </w:rPr>
        <w:t>.</w:t>
      </w:r>
      <w:r w:rsidR="00C84EFB" w:rsidRPr="002B45A4">
        <w:rPr>
          <w:rFonts w:cs="Arial"/>
          <w:rtl/>
        </w:rPr>
        <w:t xml:space="preserve"> ואם ניכר באבן שקנחו בו</w:t>
      </w:r>
      <w:r w:rsidR="00C84EFB">
        <w:rPr>
          <w:rFonts w:cs="Arial" w:hint="cs"/>
          <w:rtl/>
        </w:rPr>
        <w:t>,</w:t>
      </w:r>
      <w:r w:rsidR="00C84EFB" w:rsidRPr="002B45A4">
        <w:rPr>
          <w:rFonts w:cs="Arial"/>
          <w:rtl/>
        </w:rPr>
        <w:t xml:space="preserve"> מותר להכניסו אפילו הוא גדול הרבה או אפילו אם הם הרבה</w:t>
      </w:r>
      <w:r w:rsidR="00C84EFB">
        <w:rPr>
          <w:rFonts w:cs="Arial" w:hint="cs"/>
          <w:rtl/>
        </w:rPr>
        <w:t>.</w:t>
      </w:r>
      <w:r w:rsidR="00C84EFB" w:rsidRPr="002B45A4">
        <w:rPr>
          <w:rFonts w:cs="Arial"/>
          <w:rtl/>
        </w:rPr>
        <w:t xml:space="preserve"> ומותר להעלותן לגג לקנח בו</w:t>
      </w:r>
      <w:r w:rsidR="00C84EFB">
        <w:rPr>
          <w:rFonts w:cs="Arial" w:hint="cs"/>
          <w:rtl/>
        </w:rPr>
        <w:t>,</w:t>
      </w:r>
      <w:r w:rsidR="00C84EFB" w:rsidRPr="002B45A4">
        <w:rPr>
          <w:rFonts w:cs="Arial"/>
          <w:rtl/>
        </w:rPr>
        <w:t xml:space="preserve"> ולא אמרינן כיון שיש לו מקום מיוחד לבדו</w:t>
      </w:r>
      <w:r w:rsidR="00C84EFB">
        <w:rPr>
          <w:rFonts w:cs="Arial" w:hint="cs"/>
          <w:rtl/>
        </w:rPr>
        <w:t>,</w:t>
      </w:r>
      <w:r w:rsidR="00C84EFB" w:rsidRPr="002B45A4">
        <w:rPr>
          <w:rFonts w:cs="Arial"/>
          <w:rtl/>
        </w:rPr>
        <w:t xml:space="preserve"> יעלה שם מע</w:t>
      </w:r>
      <w:r w:rsidR="00C84EFB">
        <w:rPr>
          <w:rFonts w:cs="Arial" w:hint="cs"/>
          <w:rtl/>
        </w:rPr>
        <w:t xml:space="preserve">רב </w:t>
      </w:r>
      <w:r w:rsidR="00C84EFB" w:rsidRPr="002B45A4">
        <w:rPr>
          <w:rFonts w:cs="Arial"/>
          <w:rtl/>
        </w:rPr>
        <w:t>ש</w:t>
      </w:r>
      <w:r w:rsidR="00C84EFB">
        <w:rPr>
          <w:rFonts w:cs="Arial" w:hint="cs"/>
          <w:rtl/>
        </w:rPr>
        <w:t>בת</w:t>
      </w:r>
      <w:r>
        <w:rPr>
          <w:rFonts w:cs="Arial" w:hint="cs"/>
          <w:sz w:val="16"/>
          <w:szCs w:val="16"/>
          <w:rtl/>
        </w:rPr>
        <w:t xml:space="preserve"> (ל' הטור)</w:t>
      </w:r>
      <w:r w:rsidR="00C84EFB">
        <w:rPr>
          <w:rFonts w:cs="Arial" w:hint="cs"/>
          <w:rtl/>
        </w:rPr>
        <w:t>.</w:t>
      </w:r>
      <w:r w:rsidR="00C84EFB" w:rsidRPr="002B45A4">
        <w:rPr>
          <w:rFonts w:cs="Arial"/>
          <w:rtl/>
        </w:rPr>
        <w:t xml:space="preserve"> </w:t>
      </w:r>
      <w:r w:rsidRPr="00D172C6">
        <w:rPr>
          <w:rFonts w:hint="cs"/>
          <w:color w:val="E36C0A" w:themeColor="accent6" w:themeShade="BF"/>
          <w:rtl/>
        </w:rPr>
        <w:t>(וכ"פ בשו"ע)</w:t>
      </w:r>
    </w:p>
    <w:p w14:paraId="4B058DBB" w14:textId="5BBF56C8" w:rsidR="00FE4ADC" w:rsidRPr="004C5375" w:rsidRDefault="00FE4ADC" w:rsidP="00434A6A">
      <w:pPr>
        <w:pStyle w:val="aa"/>
        <w:numPr>
          <w:ilvl w:val="0"/>
          <w:numId w:val="15"/>
        </w:numPr>
      </w:pPr>
      <w:r>
        <w:rPr>
          <w:rFonts w:cs="Arial" w:hint="cs"/>
          <w:rtl/>
        </w:rPr>
        <w:t xml:space="preserve">רמב"ם </w:t>
      </w:r>
      <w:r>
        <w:rPr>
          <w:rFonts w:cs="Arial" w:hint="cs"/>
          <w:sz w:val="16"/>
          <w:szCs w:val="16"/>
          <w:rtl/>
        </w:rPr>
        <w:t>(פכ"ו ה"ד)</w:t>
      </w:r>
      <w:r>
        <w:rPr>
          <w:rFonts w:cs="Arial" w:hint="cs"/>
          <w:rtl/>
        </w:rPr>
        <w:t xml:space="preserve">- </w:t>
      </w:r>
      <w:r w:rsidRPr="00FE4ADC">
        <w:rPr>
          <w:rFonts w:cs="Arial"/>
          <w:rtl/>
        </w:rPr>
        <w:t>מותר להכניס לבית הכסא שלש אבנים מקורזלות לקנח בהן וכמה שיעורן כמלוא היד</w:t>
      </w:r>
      <w:r w:rsidR="00A477F2">
        <w:rPr>
          <w:rFonts w:cs="Arial" w:hint="cs"/>
          <w:rtl/>
        </w:rPr>
        <w:t>...</w:t>
      </w:r>
      <w:r w:rsidRPr="00FE4ADC">
        <w:rPr>
          <w:rFonts w:cs="Arial"/>
          <w:rtl/>
        </w:rPr>
        <w:t xml:space="preserve"> ומותר להעלות אבנים לגג לקנח בהן</w:t>
      </w:r>
      <w:r w:rsidR="00A477F2">
        <w:rPr>
          <w:rFonts w:cs="Arial" w:hint="cs"/>
          <w:rtl/>
        </w:rPr>
        <w:t>...</w:t>
      </w:r>
      <w:r w:rsidRPr="00FE4ADC">
        <w:rPr>
          <w:rFonts w:cs="Arial"/>
          <w:rtl/>
        </w:rPr>
        <w:t xml:space="preserve"> אבן שיש עליה טנוף שודאי לקנח היא </w:t>
      </w:r>
      <w:r w:rsidR="0069264F">
        <w:rPr>
          <w:rFonts w:cs="Arial" w:hint="cs"/>
          <w:rtl/>
        </w:rPr>
        <w:t xml:space="preserve">- </w:t>
      </w:r>
      <w:r w:rsidRPr="00FE4ADC">
        <w:rPr>
          <w:rFonts w:cs="Arial"/>
          <w:rtl/>
        </w:rPr>
        <w:t>מותר לטלטלה ואפילו היא גדולה.</w:t>
      </w:r>
    </w:p>
    <w:p w14:paraId="748A3D41" w14:textId="77777777" w:rsidR="003D04D5" w:rsidRPr="003D04D5" w:rsidRDefault="003D04D5" w:rsidP="00434A6A">
      <w:pPr>
        <w:ind w:left="360"/>
        <w:rPr>
          <w:rFonts w:cs="Arial"/>
          <w:u w:val="dotted"/>
        </w:rPr>
      </w:pPr>
      <w:r w:rsidRPr="003D04D5">
        <w:rPr>
          <w:rFonts w:cs="Arial" w:hint="cs"/>
          <w:u w:val="dotted"/>
          <w:rtl/>
        </w:rPr>
        <w:t xml:space="preserve">ומה הדין בזמנינו שיש בית הכסא קבוע </w:t>
      </w:r>
      <w:r w:rsidRPr="003D04D5">
        <w:rPr>
          <w:rFonts w:cs="Arial"/>
          <w:u w:val="dotted"/>
          <w:rtl/>
        </w:rPr>
        <w:t>–</w:t>
      </w:r>
      <w:r w:rsidRPr="003D04D5">
        <w:rPr>
          <w:rFonts w:cs="Arial" w:hint="cs"/>
          <w:u w:val="dotted"/>
          <w:rtl/>
        </w:rPr>
        <w:t xml:space="preserve"> האם עדיין מותר לטלטל סתם אבנים שאינם מיוחדות לכך:</w:t>
      </w:r>
    </w:p>
    <w:p w14:paraId="765CD44E" w14:textId="77777777" w:rsidR="003D04D5" w:rsidRDefault="003D04D5" w:rsidP="00434A6A">
      <w:pPr>
        <w:pStyle w:val="aa"/>
        <w:numPr>
          <w:ilvl w:val="0"/>
          <w:numId w:val="20"/>
        </w:numPr>
        <w:rPr>
          <w:rFonts w:cs="Arial"/>
        </w:rPr>
      </w:pPr>
      <w:r w:rsidRPr="00035394">
        <w:rPr>
          <w:rFonts w:cs="Arial"/>
          <w:rtl/>
        </w:rPr>
        <w:t>תוס</w:t>
      </w:r>
      <w:r w:rsidRPr="00035394">
        <w:rPr>
          <w:rFonts w:cs="Arial" w:hint="cs"/>
          <w:rtl/>
        </w:rPr>
        <w:t>'</w:t>
      </w:r>
      <w:r w:rsidRPr="00035394">
        <w:rPr>
          <w:rFonts w:cs="Arial"/>
          <w:rtl/>
        </w:rPr>
        <w:t xml:space="preserve"> </w:t>
      </w:r>
      <w:r w:rsidRPr="00035394">
        <w:rPr>
          <w:rFonts w:cs="Arial"/>
          <w:sz w:val="16"/>
          <w:szCs w:val="16"/>
          <w:rtl/>
        </w:rPr>
        <w:t>(</w:t>
      </w:r>
      <w:r>
        <w:rPr>
          <w:rFonts w:cs="Arial" w:hint="cs"/>
          <w:sz w:val="16"/>
          <w:szCs w:val="16"/>
          <w:rtl/>
        </w:rPr>
        <w:t>סוכה לו</w:t>
      </w:r>
      <w:r w:rsidRPr="00035394">
        <w:rPr>
          <w:rFonts w:cs="Arial"/>
          <w:sz w:val="16"/>
          <w:szCs w:val="16"/>
          <w:rtl/>
        </w:rPr>
        <w:t>: ד"ה בשבת)</w:t>
      </w:r>
      <w:r>
        <w:rPr>
          <w:rFonts w:cs="Arial" w:hint="cs"/>
          <w:rtl/>
        </w:rPr>
        <w:t>-</w:t>
      </w:r>
      <w:r w:rsidRPr="00035394">
        <w:rPr>
          <w:rFonts w:cs="Arial"/>
          <w:rtl/>
        </w:rPr>
        <w:t xml:space="preserve"> </w:t>
      </w:r>
      <w:r w:rsidRPr="003D04D5">
        <w:rPr>
          <w:rFonts w:cs="Arial"/>
          <w:rtl/>
        </w:rPr>
        <w:t>לדידן דיש לנו בית הכסא קבוע בבתינו אסור</w:t>
      </w:r>
      <w:r w:rsidRPr="003D04D5">
        <w:rPr>
          <w:rFonts w:cs="Arial" w:hint="cs"/>
          <w:rtl/>
        </w:rPr>
        <w:t>,</w:t>
      </w:r>
      <w:r w:rsidRPr="003D04D5">
        <w:rPr>
          <w:rFonts w:cs="Arial"/>
          <w:rtl/>
        </w:rPr>
        <w:t xml:space="preserve"> כדמוכח בשילהי המוציא יין (פא:) דשרי רב חסדא להעלותן אחריו לגג ואקשי ליה רבינא וכו' ושני הכא אין אדם קובע מקום לבית הכסא</w:t>
      </w:r>
      <w:r w:rsidRPr="003D04D5">
        <w:rPr>
          <w:rFonts w:cs="Arial" w:hint="cs"/>
          <w:rtl/>
        </w:rPr>
        <w:t>,</w:t>
      </w:r>
      <w:r w:rsidRPr="003D04D5">
        <w:rPr>
          <w:rFonts w:cs="Arial"/>
          <w:rtl/>
        </w:rPr>
        <w:t xml:space="preserve"> משמע דהיכא דקבע אסור</w:t>
      </w:r>
      <w:r w:rsidRPr="003D04D5">
        <w:rPr>
          <w:rFonts w:cs="Arial" w:hint="cs"/>
          <w:rtl/>
        </w:rPr>
        <w:t>.</w:t>
      </w:r>
      <w:r w:rsidRPr="003D04D5">
        <w:rPr>
          <w:rFonts w:cs="Arial"/>
          <w:rtl/>
        </w:rPr>
        <w:t xml:space="preserve"> ואע</w:t>
      </w:r>
      <w:r w:rsidRPr="003D04D5">
        <w:rPr>
          <w:rFonts w:cs="Arial" w:hint="cs"/>
          <w:rtl/>
        </w:rPr>
        <w:t>"</w:t>
      </w:r>
      <w:r w:rsidRPr="003D04D5">
        <w:rPr>
          <w:rFonts w:cs="Arial"/>
          <w:rtl/>
        </w:rPr>
        <w:t>פ שפירש שם בקונטריס (ד"ה מהו להעלותם) דהא דבעי למיסר בגג משום טרחא יתירה בהעלאה לגג</w:t>
      </w:r>
      <w:r w:rsidRPr="003D04D5">
        <w:rPr>
          <w:rFonts w:cs="Arial" w:hint="cs"/>
          <w:rtl/>
        </w:rPr>
        <w:t xml:space="preserve"> -</w:t>
      </w:r>
      <w:r w:rsidRPr="003D04D5">
        <w:rPr>
          <w:rFonts w:cs="Arial"/>
          <w:rtl/>
        </w:rPr>
        <w:t xml:space="preserve"> לא משמע כן</w:t>
      </w:r>
      <w:r w:rsidRPr="003D04D5">
        <w:rPr>
          <w:rFonts w:cs="Arial" w:hint="cs"/>
          <w:rtl/>
        </w:rPr>
        <w:t>,</w:t>
      </w:r>
      <w:r w:rsidRPr="003D04D5">
        <w:rPr>
          <w:rFonts w:cs="Arial"/>
          <w:rtl/>
        </w:rPr>
        <w:t xml:space="preserve"> אלא לפי שהיה יכול להעלותן לגג מערב שבת הוא דבעי למיסר כיון דאפשר להזמינן</w:t>
      </w:r>
      <w:r w:rsidRPr="003D04D5">
        <w:rPr>
          <w:rFonts w:cs="Arial" w:hint="cs"/>
          <w:rtl/>
        </w:rPr>
        <w:t>,</w:t>
      </w:r>
      <w:r w:rsidRPr="003D04D5">
        <w:rPr>
          <w:rFonts w:cs="Arial"/>
          <w:rtl/>
        </w:rPr>
        <w:t xml:space="preserve"> ומסיק דשרי משום דאין אדם קובע מקום</w:t>
      </w:r>
      <w:r w:rsidRPr="003D04D5">
        <w:rPr>
          <w:rFonts w:cs="Arial" w:hint="cs"/>
          <w:rtl/>
        </w:rPr>
        <w:t>.</w:t>
      </w:r>
      <w:r w:rsidRPr="003D04D5">
        <w:rPr>
          <w:rFonts w:cs="Arial"/>
          <w:rtl/>
        </w:rPr>
        <w:t xml:space="preserve"> והא דאמר רבי ינאי (שם.) אם יש לו מקום קבוע לבית הכסא מלא היד</w:t>
      </w:r>
      <w:r w:rsidRPr="003D04D5">
        <w:rPr>
          <w:rFonts w:cs="Arial" w:hint="cs"/>
          <w:rtl/>
        </w:rPr>
        <w:t>,</w:t>
      </w:r>
      <w:r w:rsidRPr="003D04D5">
        <w:rPr>
          <w:rFonts w:cs="Arial"/>
          <w:rtl/>
        </w:rPr>
        <w:t xml:space="preserve"> התם בשדות איירי</w:t>
      </w:r>
      <w:r w:rsidRPr="003D04D5">
        <w:rPr>
          <w:rFonts w:cs="Arial" w:hint="cs"/>
          <w:rtl/>
        </w:rPr>
        <w:t>,</w:t>
      </w:r>
      <w:r w:rsidRPr="003D04D5">
        <w:rPr>
          <w:rFonts w:cs="Arial"/>
          <w:rtl/>
        </w:rPr>
        <w:t xml:space="preserve"> דמקום רחוק הוא וטורח להזמין מערב שבת</w:t>
      </w:r>
      <w:r w:rsidRPr="003D04D5">
        <w:rPr>
          <w:rFonts w:cs="Arial" w:hint="cs"/>
          <w:rtl/>
        </w:rPr>
        <w:t>.</w:t>
      </w:r>
      <w:r w:rsidRPr="003D04D5">
        <w:rPr>
          <w:rFonts w:cs="Arial"/>
          <w:rtl/>
        </w:rPr>
        <w:t xml:space="preserve"> אבל לדידן דיש לן מקום קבוע בבית אסור אא</w:t>
      </w:r>
      <w:r w:rsidRPr="003D04D5">
        <w:rPr>
          <w:rFonts w:cs="Arial" w:hint="cs"/>
          <w:rtl/>
        </w:rPr>
        <w:t>"</w:t>
      </w:r>
      <w:r w:rsidRPr="003D04D5">
        <w:rPr>
          <w:rFonts w:cs="Arial"/>
          <w:rtl/>
        </w:rPr>
        <w:t>כ הזמין</w:t>
      </w:r>
      <w:r w:rsidRPr="003D04D5">
        <w:rPr>
          <w:rFonts w:cs="Arial" w:hint="cs"/>
          <w:rtl/>
        </w:rPr>
        <w:t>.</w:t>
      </w:r>
      <w:r w:rsidRPr="003D04D5">
        <w:rPr>
          <w:rFonts w:cs="Arial"/>
          <w:rtl/>
        </w:rPr>
        <w:t xml:space="preserve"> ושמא כיון דנפישי בני הבית דהוו שקלי להו לא אפשר ושרי</w:t>
      </w:r>
      <w:r>
        <w:rPr>
          <w:rFonts w:cs="Arial" w:hint="cs"/>
          <w:rtl/>
        </w:rPr>
        <w:t>.</w:t>
      </w:r>
      <w:r w:rsidRPr="003D04D5">
        <w:rPr>
          <w:rFonts w:cs="Arial"/>
          <w:rtl/>
        </w:rPr>
        <w:t xml:space="preserve"> </w:t>
      </w:r>
    </w:p>
    <w:p w14:paraId="6249BD14" w14:textId="77777777" w:rsidR="003D04D5" w:rsidRDefault="003D04D5" w:rsidP="00434A6A">
      <w:pPr>
        <w:pStyle w:val="aa"/>
        <w:numPr>
          <w:ilvl w:val="0"/>
          <w:numId w:val="20"/>
        </w:numPr>
        <w:rPr>
          <w:rFonts w:cs="Arial"/>
        </w:rPr>
      </w:pPr>
      <w:r w:rsidRPr="003D04D5">
        <w:rPr>
          <w:rFonts w:cs="Arial"/>
          <w:rtl/>
        </w:rPr>
        <w:t>הגה</w:t>
      </w:r>
      <w:r w:rsidRPr="003D04D5">
        <w:rPr>
          <w:rFonts w:cs="Arial" w:hint="cs"/>
          <w:rtl/>
        </w:rPr>
        <w:t>"מ</w:t>
      </w:r>
      <w:r w:rsidRPr="003D04D5">
        <w:rPr>
          <w:rFonts w:cs="Arial"/>
          <w:rtl/>
        </w:rPr>
        <w:t xml:space="preserve"> </w:t>
      </w:r>
      <w:r w:rsidRPr="003D04D5">
        <w:rPr>
          <w:rFonts w:cs="Arial" w:hint="cs"/>
          <w:sz w:val="16"/>
          <w:szCs w:val="16"/>
          <w:rtl/>
        </w:rPr>
        <w:t>(</w:t>
      </w:r>
      <w:r w:rsidRPr="003D04D5">
        <w:rPr>
          <w:rFonts w:cs="Arial"/>
          <w:sz w:val="16"/>
          <w:szCs w:val="16"/>
          <w:rtl/>
        </w:rPr>
        <w:t>פכ"ו אות ב)</w:t>
      </w:r>
      <w:r>
        <w:rPr>
          <w:rFonts w:cs="Arial" w:hint="cs"/>
          <w:rtl/>
        </w:rPr>
        <w:t>-</w:t>
      </w:r>
      <w:r w:rsidRPr="003D04D5">
        <w:rPr>
          <w:rFonts w:cs="Arial"/>
          <w:rtl/>
        </w:rPr>
        <w:t xml:space="preserve"> בבתי כסאות שלנו הקבועים בבתים אסור לטלטל אבנים אא</w:t>
      </w:r>
      <w:r w:rsidRPr="003D04D5">
        <w:rPr>
          <w:rFonts w:cs="Arial" w:hint="cs"/>
          <w:rtl/>
        </w:rPr>
        <w:t>"</w:t>
      </w:r>
      <w:r w:rsidRPr="003D04D5">
        <w:rPr>
          <w:rFonts w:cs="Arial"/>
          <w:rtl/>
        </w:rPr>
        <w:t>כ הזמינם מאתמול</w:t>
      </w:r>
      <w:r>
        <w:rPr>
          <w:rFonts w:cs="Arial" w:hint="cs"/>
          <w:rtl/>
        </w:rPr>
        <w:t>.</w:t>
      </w:r>
    </w:p>
    <w:p w14:paraId="41E79523" w14:textId="77777777" w:rsidR="003D04D5" w:rsidRDefault="003D04D5" w:rsidP="00434A6A">
      <w:pPr>
        <w:pStyle w:val="aa"/>
        <w:numPr>
          <w:ilvl w:val="0"/>
          <w:numId w:val="20"/>
        </w:numPr>
        <w:rPr>
          <w:rFonts w:cs="Arial"/>
        </w:rPr>
      </w:pPr>
      <w:r w:rsidRPr="003D04D5">
        <w:rPr>
          <w:rFonts w:cs="Arial"/>
          <w:rtl/>
        </w:rPr>
        <w:t>הג</w:t>
      </w:r>
      <w:r w:rsidRPr="003D04D5">
        <w:rPr>
          <w:rFonts w:cs="Arial" w:hint="cs"/>
          <w:rtl/>
        </w:rPr>
        <w:t>"</w:t>
      </w:r>
      <w:r w:rsidRPr="003D04D5">
        <w:rPr>
          <w:rFonts w:cs="Arial"/>
          <w:rtl/>
        </w:rPr>
        <w:t xml:space="preserve">א </w:t>
      </w:r>
      <w:r w:rsidRPr="003D04D5">
        <w:rPr>
          <w:rFonts w:cs="Arial" w:hint="cs"/>
          <w:sz w:val="16"/>
          <w:szCs w:val="16"/>
          <w:rtl/>
        </w:rPr>
        <w:t>(</w:t>
      </w:r>
      <w:r w:rsidRPr="003D04D5">
        <w:rPr>
          <w:rFonts w:cs="Arial"/>
          <w:sz w:val="16"/>
          <w:szCs w:val="16"/>
          <w:rtl/>
        </w:rPr>
        <w:t>פרק המוציא יין סי' א ד"ה אם יש)</w:t>
      </w:r>
      <w:r>
        <w:rPr>
          <w:rFonts w:cs="Arial" w:hint="cs"/>
          <w:rtl/>
        </w:rPr>
        <w:t>-</w:t>
      </w:r>
      <w:r w:rsidRPr="003D04D5">
        <w:rPr>
          <w:rFonts w:cs="Arial"/>
          <w:rtl/>
        </w:rPr>
        <w:t xml:space="preserve"> אם יכול אדם אחר ליכנס באותו בית הכסא לא חשוב קבע</w:t>
      </w:r>
      <w:r w:rsidRPr="003D04D5">
        <w:rPr>
          <w:rFonts w:cs="Arial" w:hint="cs"/>
          <w:rtl/>
        </w:rPr>
        <w:t>,</w:t>
      </w:r>
      <w:r w:rsidRPr="003D04D5">
        <w:rPr>
          <w:rFonts w:cs="Arial"/>
          <w:rtl/>
        </w:rPr>
        <w:t xml:space="preserve"> דזימנין שמוצא שם אדם והולך במקום אחר ולא היה אפשר להזמין מערב שבת הילכך מותר להכניס בשבת</w:t>
      </w:r>
      <w:r w:rsidRPr="003D04D5">
        <w:rPr>
          <w:rFonts w:cs="Arial" w:hint="cs"/>
          <w:rtl/>
        </w:rPr>
        <w:t>.</w:t>
      </w:r>
      <w:r w:rsidRPr="003D04D5">
        <w:rPr>
          <w:rFonts w:cs="Arial"/>
          <w:rtl/>
        </w:rPr>
        <w:t xml:space="preserve"> </w:t>
      </w:r>
    </w:p>
    <w:p w14:paraId="6C5136A1" w14:textId="77777777" w:rsidR="003D04D5" w:rsidRPr="003D04D5" w:rsidRDefault="003D04D5" w:rsidP="00434A6A">
      <w:pPr>
        <w:pStyle w:val="aa"/>
        <w:numPr>
          <w:ilvl w:val="1"/>
          <w:numId w:val="20"/>
        </w:numPr>
        <w:rPr>
          <w:rFonts w:cs="Arial"/>
          <w:rtl/>
        </w:rPr>
      </w:pPr>
      <w:r>
        <w:rPr>
          <w:rFonts w:cs="Arial" w:hint="cs"/>
          <w:rtl/>
        </w:rPr>
        <w:t xml:space="preserve">ב"י- </w:t>
      </w:r>
      <w:r w:rsidRPr="003D04D5">
        <w:rPr>
          <w:rFonts w:cs="Arial"/>
          <w:rtl/>
        </w:rPr>
        <w:t>מדברי הפוסקים שכתבו דינים אלו סתם משמע דלא שנא לן בין זימנא לזימנא</w:t>
      </w:r>
      <w:r w:rsidRPr="003D04D5">
        <w:rPr>
          <w:rFonts w:cs="Arial" w:hint="cs"/>
          <w:rtl/>
        </w:rPr>
        <w:t>,</w:t>
      </w:r>
      <w:r w:rsidRPr="003D04D5">
        <w:rPr>
          <w:rFonts w:cs="Arial"/>
          <w:rtl/>
        </w:rPr>
        <w:t xml:space="preserve"> דכי היכי דחזינן דשרי להעלותן לגג אע</w:t>
      </w:r>
      <w:r w:rsidRPr="003D04D5">
        <w:rPr>
          <w:rFonts w:cs="Arial" w:hint="cs"/>
          <w:rtl/>
        </w:rPr>
        <w:t>"</w:t>
      </w:r>
      <w:r w:rsidRPr="003D04D5">
        <w:rPr>
          <w:rFonts w:cs="Arial"/>
          <w:rtl/>
        </w:rPr>
        <w:t>פ שהיה אפשר לו לעשותן מערב שבת</w:t>
      </w:r>
      <w:r w:rsidRPr="003D04D5">
        <w:rPr>
          <w:rFonts w:cs="Arial" w:hint="cs"/>
          <w:rtl/>
        </w:rPr>
        <w:t>,</w:t>
      </w:r>
      <w:r w:rsidRPr="003D04D5">
        <w:rPr>
          <w:rFonts w:cs="Arial"/>
          <w:rtl/>
        </w:rPr>
        <w:t xml:space="preserve"> הכי נמי לדידן דאית לן בתי כסאות שרי משום כבוד הבריות</w:t>
      </w:r>
      <w:r w:rsidRPr="003D04D5">
        <w:rPr>
          <w:rFonts w:cs="Arial" w:hint="cs"/>
          <w:rtl/>
        </w:rPr>
        <w:t>.</w:t>
      </w:r>
    </w:p>
    <w:p w14:paraId="0EECD283" w14:textId="2C6258AF" w:rsidR="00DA0F8A" w:rsidRDefault="00D172C6" w:rsidP="00434A6A">
      <w:pPr>
        <w:rPr>
          <w:rFonts w:cs="Arial"/>
          <w:u w:val="single"/>
          <w:rtl/>
        </w:rPr>
      </w:pPr>
      <w:r>
        <w:rPr>
          <w:rFonts w:cs="Arial" w:hint="cs"/>
          <w:b/>
          <w:bCs/>
          <w:rtl/>
        </w:rPr>
        <w:t>סוכה</w:t>
      </w:r>
      <w:r w:rsidRPr="00E24BC4">
        <w:rPr>
          <w:rFonts w:cs="Arial" w:hint="cs"/>
          <w:b/>
          <w:bCs/>
          <w:rtl/>
        </w:rPr>
        <w:t xml:space="preserve"> </w:t>
      </w:r>
      <w:r w:rsidRPr="00E24BC4">
        <w:rPr>
          <w:rFonts w:cs="Arial" w:hint="cs"/>
          <w:b/>
          <w:bCs/>
          <w:sz w:val="16"/>
          <w:szCs w:val="16"/>
          <w:rtl/>
        </w:rPr>
        <w:t>(פ</w:t>
      </w:r>
      <w:r>
        <w:rPr>
          <w:rFonts w:cs="Arial" w:hint="cs"/>
          <w:b/>
          <w:bCs/>
          <w:sz w:val="16"/>
          <w:szCs w:val="16"/>
          <w:rtl/>
        </w:rPr>
        <w:t>' לולב הגזול</w:t>
      </w:r>
      <w:r w:rsidRPr="00E24BC4">
        <w:rPr>
          <w:rFonts w:cs="Arial" w:hint="cs"/>
          <w:b/>
          <w:bCs/>
          <w:sz w:val="16"/>
          <w:szCs w:val="16"/>
          <w:rtl/>
        </w:rPr>
        <w:t>)</w:t>
      </w:r>
      <w:r w:rsidRPr="00E24BC4">
        <w:rPr>
          <w:rFonts w:cs="Arial"/>
          <w:b/>
          <w:bCs/>
          <w:rtl/>
        </w:rPr>
        <w:t xml:space="preserve"> </w:t>
      </w:r>
      <w:r>
        <w:rPr>
          <w:rFonts w:cs="Arial" w:hint="cs"/>
          <w:b/>
          <w:bCs/>
          <w:rtl/>
        </w:rPr>
        <w:t>לו</w:t>
      </w:r>
      <w:r w:rsidRPr="00E24BC4">
        <w:rPr>
          <w:rFonts w:cs="Arial" w:hint="cs"/>
          <w:b/>
          <w:bCs/>
          <w:rtl/>
        </w:rPr>
        <w:t xml:space="preserve"> ע"</w:t>
      </w:r>
      <w:r>
        <w:rPr>
          <w:rFonts w:cs="Arial" w:hint="cs"/>
          <w:b/>
          <w:bCs/>
          <w:rtl/>
        </w:rPr>
        <w:t>ב</w:t>
      </w:r>
      <w:r w:rsidRPr="00E24BC4">
        <w:rPr>
          <w:rFonts w:cs="Arial" w:hint="cs"/>
          <w:b/>
          <w:bCs/>
          <w:rtl/>
        </w:rPr>
        <w:t>:</w:t>
      </w:r>
      <w:r>
        <w:rPr>
          <w:rFonts w:cs="Arial"/>
          <w:rtl/>
        </w:rPr>
        <w:t xml:space="preserve"> </w:t>
      </w:r>
      <w:r w:rsidR="00DA0F8A" w:rsidRPr="00DA0F8A">
        <w:rPr>
          <w:rFonts w:cs="Arial"/>
          <w:rtl/>
        </w:rPr>
        <w:t xml:space="preserve">אתרוג קטן וכו'. </w:t>
      </w:r>
      <w:r w:rsidR="00DA0F8A" w:rsidRPr="00DA0F8A">
        <w:rPr>
          <w:rFonts w:cs="Arial"/>
          <w:u w:val="single"/>
          <w:rtl/>
        </w:rPr>
        <w:t>אמר רפרם בר פפא</w:t>
      </w:r>
      <w:r w:rsidR="00DA0F8A" w:rsidRPr="00DA0F8A">
        <w:rPr>
          <w:rFonts w:cs="Arial"/>
          <w:rtl/>
        </w:rPr>
        <w:t>: כמחלוקת כאן</w:t>
      </w:r>
      <w:r w:rsidR="00DA0F8A">
        <w:rPr>
          <w:rStyle w:val="a9"/>
          <w:rFonts w:cs="Arial"/>
          <w:rtl/>
        </w:rPr>
        <w:footnoteReference w:id="1973"/>
      </w:r>
      <w:r w:rsidR="00DA0F8A" w:rsidRPr="00DA0F8A">
        <w:rPr>
          <w:rFonts w:cs="Arial"/>
          <w:rtl/>
        </w:rPr>
        <w:t xml:space="preserve"> כך מחלוקת באבנים מקורזלות. דתניא: בשבת שלש אבנים מקורזלות מותר להכניס לבית הכסא</w:t>
      </w:r>
      <w:r w:rsidR="00DA0F8A">
        <w:rPr>
          <w:rStyle w:val="a9"/>
          <w:rFonts w:cs="Arial"/>
          <w:rtl/>
        </w:rPr>
        <w:footnoteReference w:id="1974"/>
      </w:r>
      <w:r w:rsidR="00DA0F8A" w:rsidRPr="00DA0F8A">
        <w:rPr>
          <w:rFonts w:cs="Arial"/>
          <w:rtl/>
        </w:rPr>
        <w:t>, וכמה שיעורן? רבי מאיר אומר: כאגוז</w:t>
      </w:r>
      <w:r w:rsidR="00DA0F8A">
        <w:rPr>
          <w:rStyle w:val="a9"/>
          <w:rFonts w:cs="Arial"/>
          <w:rtl/>
        </w:rPr>
        <w:footnoteReference w:id="1975"/>
      </w:r>
      <w:r w:rsidR="00DA0F8A" w:rsidRPr="00DA0F8A">
        <w:rPr>
          <w:rFonts w:cs="Arial"/>
          <w:rtl/>
        </w:rPr>
        <w:t xml:space="preserve">, רבי יהודה אומר: כביצה. </w:t>
      </w:r>
    </w:p>
    <w:p w14:paraId="59D27968" w14:textId="7DB48A64" w:rsidR="00035394" w:rsidRPr="00035394" w:rsidRDefault="00035394" w:rsidP="00434A6A">
      <w:pPr>
        <w:rPr>
          <w:rFonts w:cs="Arial"/>
          <w:u w:val="single"/>
          <w:rtl/>
        </w:rPr>
      </w:pPr>
      <w:r w:rsidRPr="00035394">
        <w:rPr>
          <w:rFonts w:cs="Arial" w:hint="cs"/>
          <w:u w:val="single"/>
          <w:rtl/>
        </w:rPr>
        <w:t>מה שהתירו ל</w:t>
      </w:r>
      <w:r>
        <w:rPr>
          <w:rFonts w:cs="Arial" w:hint="cs"/>
          <w:u w:val="single"/>
          <w:rtl/>
        </w:rPr>
        <w:t>קנח</w:t>
      </w:r>
      <w:r w:rsidRPr="00035394">
        <w:rPr>
          <w:rFonts w:cs="Arial" w:hint="cs"/>
          <w:u w:val="single"/>
          <w:rtl/>
        </w:rPr>
        <w:t xml:space="preserve"> </w:t>
      </w:r>
      <w:r>
        <w:rPr>
          <w:rFonts w:cs="Arial" w:hint="cs"/>
          <w:u w:val="single"/>
          <w:rtl/>
        </w:rPr>
        <w:t>ב</w:t>
      </w:r>
      <w:r w:rsidRPr="00035394">
        <w:rPr>
          <w:rFonts w:cs="Arial" w:hint="cs"/>
          <w:u w:val="single"/>
          <w:rtl/>
        </w:rPr>
        <w:t xml:space="preserve">אבנים, האם </w:t>
      </w:r>
      <w:r>
        <w:rPr>
          <w:rFonts w:cs="Arial" w:hint="cs"/>
          <w:u w:val="single"/>
          <w:rtl/>
        </w:rPr>
        <w:t>התירו</w:t>
      </w:r>
      <w:r w:rsidRPr="00035394">
        <w:rPr>
          <w:rFonts w:cs="Arial" w:hint="cs"/>
          <w:u w:val="single"/>
          <w:rtl/>
        </w:rPr>
        <w:t xml:space="preserve"> רק מצד טלטול או גם מצד הוצאה דרבנן </w:t>
      </w:r>
      <w:r w:rsidRPr="00035394">
        <w:rPr>
          <w:rFonts w:cs="Arial" w:hint="cs"/>
          <w:sz w:val="16"/>
          <w:szCs w:val="16"/>
          <w:u w:val="single"/>
          <w:rtl/>
        </w:rPr>
        <w:t>(היינו להכניס מכרמלית לרשות היחיד)</w:t>
      </w:r>
      <w:r w:rsidRPr="00035394">
        <w:rPr>
          <w:rFonts w:cs="Arial" w:hint="cs"/>
          <w:u w:val="single"/>
          <w:rtl/>
        </w:rPr>
        <w:t>:</w:t>
      </w:r>
    </w:p>
    <w:p w14:paraId="4A8BEF7F" w14:textId="1DE29D94" w:rsidR="003D04D5" w:rsidRDefault="004C5375" w:rsidP="00434A6A">
      <w:pPr>
        <w:pStyle w:val="aa"/>
        <w:numPr>
          <w:ilvl w:val="0"/>
          <w:numId w:val="20"/>
        </w:numPr>
        <w:rPr>
          <w:rFonts w:cs="Arial"/>
        </w:rPr>
      </w:pPr>
      <w:r w:rsidRPr="00035394">
        <w:rPr>
          <w:rFonts w:cs="Arial"/>
          <w:rtl/>
        </w:rPr>
        <w:t>תוס</w:t>
      </w:r>
      <w:r w:rsidR="00035394" w:rsidRPr="00035394">
        <w:rPr>
          <w:rFonts w:cs="Arial" w:hint="cs"/>
          <w:rtl/>
        </w:rPr>
        <w:t>'</w:t>
      </w:r>
      <w:r w:rsidRPr="00035394">
        <w:rPr>
          <w:rFonts w:cs="Arial"/>
          <w:rtl/>
        </w:rPr>
        <w:t xml:space="preserve"> </w:t>
      </w:r>
      <w:r w:rsidRPr="00035394">
        <w:rPr>
          <w:rFonts w:cs="Arial"/>
          <w:sz w:val="16"/>
          <w:szCs w:val="16"/>
          <w:rtl/>
        </w:rPr>
        <w:t>(</w:t>
      </w:r>
      <w:r w:rsidR="00035394">
        <w:rPr>
          <w:rFonts w:cs="Arial" w:hint="cs"/>
          <w:sz w:val="16"/>
          <w:szCs w:val="16"/>
          <w:rtl/>
        </w:rPr>
        <w:t>סוכה לו</w:t>
      </w:r>
      <w:r w:rsidRPr="00035394">
        <w:rPr>
          <w:rFonts w:cs="Arial"/>
          <w:sz w:val="16"/>
          <w:szCs w:val="16"/>
          <w:rtl/>
        </w:rPr>
        <w:t>: ד"ה בשבת)</w:t>
      </w:r>
      <w:r w:rsidR="00035394">
        <w:rPr>
          <w:rFonts w:cs="Arial" w:hint="cs"/>
          <w:rtl/>
        </w:rPr>
        <w:t>-</w:t>
      </w:r>
      <w:r w:rsidRPr="00035394">
        <w:rPr>
          <w:rFonts w:cs="Arial"/>
          <w:rtl/>
        </w:rPr>
        <w:t xml:space="preserve"> </w:t>
      </w:r>
      <w:r w:rsidR="00035394" w:rsidRPr="00035394">
        <w:rPr>
          <w:rFonts w:cs="Arial"/>
          <w:rtl/>
        </w:rPr>
        <w:t>בתוך ד' אמות ובית הכסא בשדה ואינו מוקף מחיצות ואין כאן אלא טלטול דרבנן ומשום כבוד הבריות לא גזור</w:t>
      </w:r>
      <w:r w:rsidR="00E800B4">
        <w:rPr>
          <w:rFonts w:cs="Arial" w:hint="cs"/>
          <w:rtl/>
        </w:rPr>
        <w:t>,</w:t>
      </w:r>
      <w:r w:rsidR="00035394" w:rsidRPr="00035394">
        <w:rPr>
          <w:rFonts w:cs="Arial"/>
          <w:rtl/>
        </w:rPr>
        <w:t xml:space="preserve"> כך פי' בקונטרס</w:t>
      </w:r>
      <w:r w:rsidR="00035394">
        <w:rPr>
          <w:rFonts w:cs="Arial" w:hint="cs"/>
          <w:rtl/>
        </w:rPr>
        <w:t xml:space="preserve"> </w:t>
      </w:r>
      <w:r w:rsidR="00035394">
        <w:rPr>
          <w:rFonts w:cs="Arial" w:hint="cs"/>
          <w:sz w:val="16"/>
          <w:szCs w:val="16"/>
          <w:rtl/>
        </w:rPr>
        <w:t xml:space="preserve">(סוכה לו: ד"ה מותר להכניס, וכעין זה כתב בשבת פא. </w:t>
      </w:r>
      <w:r w:rsidR="003D04D5">
        <w:rPr>
          <w:rFonts w:cs="Arial" w:hint="cs"/>
          <w:sz w:val="16"/>
          <w:szCs w:val="16"/>
          <w:rtl/>
        </w:rPr>
        <w:t xml:space="preserve">ד"ה </w:t>
      </w:r>
      <w:r w:rsidR="003D04D5" w:rsidRPr="003D04D5">
        <w:rPr>
          <w:rFonts w:cs="Arial"/>
          <w:sz w:val="16"/>
          <w:szCs w:val="16"/>
          <w:rtl/>
        </w:rPr>
        <w:t>מותר להכניסם</w:t>
      </w:r>
      <w:r w:rsidR="00035394">
        <w:rPr>
          <w:rFonts w:cs="Arial" w:hint="cs"/>
          <w:sz w:val="16"/>
          <w:szCs w:val="16"/>
          <w:rtl/>
        </w:rPr>
        <w:t>)</w:t>
      </w:r>
      <w:r w:rsidR="00035394">
        <w:rPr>
          <w:rFonts w:cs="Arial" w:hint="cs"/>
          <w:rtl/>
        </w:rPr>
        <w:t>.</w:t>
      </w:r>
      <w:r w:rsidR="00035394" w:rsidRPr="00035394">
        <w:rPr>
          <w:rFonts w:cs="Arial"/>
          <w:rtl/>
        </w:rPr>
        <w:t xml:space="preserve"> </w:t>
      </w:r>
      <w:r w:rsidR="00035394">
        <w:rPr>
          <w:rFonts w:cs="Arial" w:hint="cs"/>
          <w:rtl/>
        </w:rPr>
        <w:t>ו</w:t>
      </w:r>
      <w:r w:rsidRPr="00035394">
        <w:rPr>
          <w:rFonts w:cs="Arial"/>
          <w:rtl/>
        </w:rPr>
        <w:t>מדקאמר להכניס</w:t>
      </w:r>
      <w:r w:rsidR="00E800B4">
        <w:rPr>
          <w:rFonts w:cs="Arial" w:hint="cs"/>
          <w:rtl/>
        </w:rPr>
        <w:t>,</w:t>
      </w:r>
      <w:r w:rsidRPr="00035394">
        <w:rPr>
          <w:rFonts w:cs="Arial"/>
          <w:rtl/>
        </w:rPr>
        <w:t xml:space="preserve"> משמע דאיכא מחיצות</w:t>
      </w:r>
      <w:r w:rsidR="00E800B4">
        <w:rPr>
          <w:rFonts w:cs="Arial" w:hint="cs"/>
          <w:rtl/>
        </w:rPr>
        <w:t>.</w:t>
      </w:r>
      <w:r w:rsidRPr="00035394">
        <w:rPr>
          <w:rFonts w:cs="Arial"/>
          <w:rtl/>
        </w:rPr>
        <w:t xml:space="preserve"> ולשון בית הכסא משמע בית</w:t>
      </w:r>
      <w:r w:rsidR="00DA0F8A" w:rsidRPr="00035394">
        <w:rPr>
          <w:rFonts w:cs="Arial" w:hint="cs"/>
          <w:rtl/>
        </w:rPr>
        <w:t>,</w:t>
      </w:r>
      <w:r w:rsidRPr="00035394">
        <w:rPr>
          <w:rFonts w:cs="Arial"/>
          <w:rtl/>
        </w:rPr>
        <w:t xml:space="preserve"> ואפילו הכי התירו להכניס אע</w:t>
      </w:r>
      <w:r w:rsidR="00155474" w:rsidRPr="00035394">
        <w:rPr>
          <w:rFonts w:cs="Arial" w:hint="cs"/>
          <w:rtl/>
        </w:rPr>
        <w:t>"</w:t>
      </w:r>
      <w:r w:rsidRPr="00035394">
        <w:rPr>
          <w:rFonts w:cs="Arial"/>
          <w:rtl/>
        </w:rPr>
        <w:t>ג דמכניס מכרמלית לרשות היחיד</w:t>
      </w:r>
      <w:r w:rsidR="00DA0F8A" w:rsidRPr="00035394">
        <w:rPr>
          <w:rFonts w:cs="Arial" w:hint="cs"/>
          <w:rtl/>
        </w:rPr>
        <w:t>.</w:t>
      </w:r>
      <w:r w:rsidRPr="00035394">
        <w:rPr>
          <w:rFonts w:cs="Arial"/>
          <w:rtl/>
        </w:rPr>
        <w:t xml:space="preserve"> ותדע דהא איסור טלטול מוקצה חמור מאיסור כרמלית</w:t>
      </w:r>
      <w:r w:rsidR="00DA0F8A" w:rsidRPr="00035394">
        <w:rPr>
          <w:rFonts w:cs="Arial" w:hint="cs"/>
          <w:rtl/>
        </w:rPr>
        <w:t>,</w:t>
      </w:r>
      <w:r w:rsidRPr="00035394">
        <w:rPr>
          <w:rFonts w:cs="Arial"/>
          <w:rtl/>
        </w:rPr>
        <w:t xml:space="preserve"> וכיון שהתירו טלטול אבנים משום כבוד הבריות</w:t>
      </w:r>
      <w:r w:rsidR="00DA0F8A" w:rsidRPr="00035394">
        <w:rPr>
          <w:rFonts w:cs="Arial" w:hint="cs"/>
          <w:rtl/>
        </w:rPr>
        <w:t xml:space="preserve"> -</w:t>
      </w:r>
      <w:r w:rsidRPr="00035394">
        <w:rPr>
          <w:rFonts w:cs="Arial"/>
          <w:rtl/>
        </w:rPr>
        <w:t xml:space="preserve"> כל שכן שהתירו ארבע אמות בכרמלית ולהכניס מכרמלית לרשות היחיד ומרשות היחיד לכרמלית</w:t>
      </w:r>
      <w:r w:rsidR="00DA0F8A" w:rsidRPr="00035394">
        <w:rPr>
          <w:rFonts w:cs="Arial" w:hint="cs"/>
          <w:rtl/>
        </w:rPr>
        <w:t>.</w:t>
      </w:r>
      <w:r w:rsidRPr="00035394">
        <w:rPr>
          <w:rFonts w:cs="Arial"/>
          <w:rtl/>
        </w:rPr>
        <w:t xml:space="preserve"> </w:t>
      </w:r>
    </w:p>
    <w:p w14:paraId="62CCC895" w14:textId="2AD0547E" w:rsidR="00D10A83" w:rsidRPr="00D10A83" w:rsidRDefault="00D10A83" w:rsidP="00434A6A">
      <w:pPr>
        <w:rPr>
          <w:rFonts w:asciiTheme="minorBidi" w:hAnsiTheme="minorBidi"/>
          <w:rtl/>
        </w:rPr>
      </w:pPr>
      <w:r w:rsidRPr="005275DF">
        <w:rPr>
          <w:rFonts w:asciiTheme="minorBidi" w:hAnsiTheme="minorBidi"/>
          <w:b/>
          <w:bCs/>
          <w:sz w:val="32"/>
          <w:szCs w:val="28"/>
          <w:u w:val="single"/>
          <w:rtl/>
        </w:rPr>
        <w:t xml:space="preserve">שו"ע: </w:t>
      </w:r>
    </w:p>
    <w:p w14:paraId="3F2F1A48" w14:textId="73561998" w:rsidR="00F936FC" w:rsidRDefault="00F936FC" w:rsidP="00434A6A">
      <w:pPr>
        <w:rPr>
          <w:rFonts w:asciiTheme="minorBidi" w:hAnsiTheme="minorBidi" w:cs="Arial"/>
          <w:rtl/>
        </w:rPr>
      </w:pPr>
      <w:r w:rsidRPr="00F936FC">
        <w:rPr>
          <w:rFonts w:asciiTheme="minorBidi" w:hAnsiTheme="minorBidi" w:cs="Arial" w:hint="cs"/>
          <w:rtl/>
        </w:rPr>
        <w:t>משום</w:t>
      </w:r>
      <w:r w:rsidRPr="00F936FC">
        <w:rPr>
          <w:rFonts w:asciiTheme="minorBidi" w:hAnsiTheme="minorBidi" w:cs="Arial"/>
          <w:rtl/>
        </w:rPr>
        <w:t xml:space="preserve"> </w:t>
      </w:r>
      <w:r w:rsidRPr="00F936FC">
        <w:rPr>
          <w:rFonts w:asciiTheme="minorBidi" w:hAnsiTheme="minorBidi" w:cs="Arial" w:hint="cs"/>
          <w:rtl/>
        </w:rPr>
        <w:t>כבוד</w:t>
      </w:r>
      <w:r w:rsidRPr="00F936FC">
        <w:rPr>
          <w:rFonts w:asciiTheme="minorBidi" w:hAnsiTheme="minorBidi" w:cs="Arial"/>
          <w:rtl/>
        </w:rPr>
        <w:t xml:space="preserve"> </w:t>
      </w:r>
      <w:r w:rsidRPr="00F936FC">
        <w:rPr>
          <w:rFonts w:asciiTheme="minorBidi" w:hAnsiTheme="minorBidi" w:cs="Arial" w:hint="cs"/>
          <w:rtl/>
        </w:rPr>
        <w:t>הבריות</w:t>
      </w:r>
      <w:r w:rsidRPr="00F936FC">
        <w:rPr>
          <w:rFonts w:asciiTheme="minorBidi" w:hAnsiTheme="minorBidi" w:cs="Arial"/>
          <w:rtl/>
        </w:rPr>
        <w:t xml:space="preserve"> </w:t>
      </w:r>
      <w:r w:rsidRPr="00F936FC">
        <w:rPr>
          <w:rFonts w:asciiTheme="minorBidi" w:hAnsiTheme="minorBidi" w:cs="Arial" w:hint="cs"/>
          <w:rtl/>
        </w:rPr>
        <w:t>התירו</w:t>
      </w:r>
      <w:r w:rsidRPr="00F936FC">
        <w:rPr>
          <w:rFonts w:asciiTheme="minorBidi" w:hAnsiTheme="minorBidi" w:cs="Arial"/>
          <w:rtl/>
        </w:rPr>
        <w:t xml:space="preserve"> </w:t>
      </w:r>
      <w:r w:rsidRPr="00F936FC">
        <w:rPr>
          <w:rFonts w:asciiTheme="minorBidi" w:hAnsiTheme="minorBidi" w:cs="Arial" w:hint="cs"/>
          <w:rtl/>
        </w:rPr>
        <w:t>לטלטל</w:t>
      </w:r>
      <w:r w:rsidRPr="00F936FC">
        <w:rPr>
          <w:rFonts w:asciiTheme="minorBidi" w:hAnsiTheme="minorBidi" w:cs="Arial"/>
          <w:rtl/>
        </w:rPr>
        <w:t xml:space="preserve"> </w:t>
      </w:r>
      <w:r w:rsidRPr="00F936FC">
        <w:rPr>
          <w:rFonts w:asciiTheme="minorBidi" w:hAnsiTheme="minorBidi" w:cs="Arial" w:hint="cs"/>
          <w:rtl/>
        </w:rPr>
        <w:t>אבנים</w:t>
      </w:r>
      <w:r w:rsidR="00EB0A41">
        <w:rPr>
          <w:rStyle w:val="a9"/>
          <w:rFonts w:asciiTheme="minorBidi" w:hAnsiTheme="minorBidi" w:cs="Arial"/>
          <w:rtl/>
        </w:rPr>
        <w:footnoteReference w:id="1976"/>
      </w:r>
      <w:r w:rsidRPr="00F936FC">
        <w:rPr>
          <w:rFonts w:asciiTheme="minorBidi" w:hAnsiTheme="minorBidi" w:cs="Arial"/>
          <w:rtl/>
        </w:rPr>
        <w:t xml:space="preserve"> </w:t>
      </w:r>
      <w:r w:rsidRPr="00F936FC">
        <w:rPr>
          <w:rFonts w:asciiTheme="minorBidi" w:hAnsiTheme="minorBidi" w:cs="Arial" w:hint="cs"/>
          <w:rtl/>
        </w:rPr>
        <w:t>לקנח</w:t>
      </w:r>
      <w:r w:rsidR="00EB0A41">
        <w:rPr>
          <w:rFonts w:asciiTheme="minorBidi" w:hAnsiTheme="minorBidi" w:cs="Arial" w:hint="cs"/>
          <w:rtl/>
        </w:rPr>
        <w:t>.</w:t>
      </w:r>
      <w:r w:rsidRPr="00F936FC">
        <w:rPr>
          <w:rFonts w:asciiTheme="minorBidi" w:hAnsiTheme="minorBidi" w:cs="Arial"/>
          <w:rtl/>
        </w:rPr>
        <w:t xml:space="preserve"> </w:t>
      </w:r>
      <w:r w:rsidRPr="00F936FC">
        <w:rPr>
          <w:rFonts w:asciiTheme="minorBidi" w:hAnsiTheme="minorBidi" w:cs="Arial" w:hint="cs"/>
          <w:rtl/>
        </w:rPr>
        <w:t>ואפי</w:t>
      </w:r>
      <w:r w:rsidR="00FE4ADC">
        <w:rPr>
          <w:rFonts w:asciiTheme="minorBidi" w:hAnsiTheme="minorBidi" w:cs="Arial" w:hint="cs"/>
          <w:rtl/>
        </w:rPr>
        <w:t>לו</w:t>
      </w:r>
      <w:r w:rsidRPr="00F936FC">
        <w:rPr>
          <w:rFonts w:asciiTheme="minorBidi" w:hAnsiTheme="minorBidi" w:cs="Arial"/>
          <w:rtl/>
        </w:rPr>
        <w:t xml:space="preserve"> </w:t>
      </w:r>
      <w:r w:rsidRPr="00F936FC">
        <w:rPr>
          <w:rFonts w:asciiTheme="minorBidi" w:hAnsiTheme="minorBidi" w:cs="Arial" w:hint="cs"/>
          <w:rtl/>
        </w:rPr>
        <w:t>להעלותם</w:t>
      </w:r>
      <w:r w:rsidRPr="00F936FC">
        <w:rPr>
          <w:rFonts w:asciiTheme="minorBidi" w:hAnsiTheme="minorBidi" w:cs="Arial"/>
          <w:rtl/>
        </w:rPr>
        <w:t xml:space="preserve"> </w:t>
      </w:r>
      <w:r w:rsidRPr="00F936FC">
        <w:rPr>
          <w:rFonts w:asciiTheme="minorBidi" w:hAnsiTheme="minorBidi" w:cs="Arial" w:hint="cs"/>
          <w:rtl/>
        </w:rPr>
        <w:t>לגג</w:t>
      </w:r>
      <w:r w:rsidRPr="00F936FC">
        <w:rPr>
          <w:rFonts w:asciiTheme="minorBidi" w:hAnsiTheme="minorBidi" w:cs="Arial"/>
          <w:rtl/>
        </w:rPr>
        <w:t xml:space="preserve"> </w:t>
      </w:r>
      <w:r w:rsidRPr="00F936FC">
        <w:rPr>
          <w:rFonts w:asciiTheme="minorBidi" w:hAnsiTheme="minorBidi" w:cs="Arial" w:hint="cs"/>
          <w:rtl/>
        </w:rPr>
        <w:t>עמו</w:t>
      </w:r>
      <w:r w:rsidRPr="00F936FC">
        <w:rPr>
          <w:rFonts w:asciiTheme="minorBidi" w:hAnsiTheme="minorBidi" w:cs="Arial"/>
          <w:rtl/>
        </w:rPr>
        <w:t xml:space="preserve"> </w:t>
      </w:r>
      <w:r w:rsidRPr="00F936FC">
        <w:rPr>
          <w:rFonts w:asciiTheme="minorBidi" w:hAnsiTheme="minorBidi" w:cs="Arial" w:hint="cs"/>
          <w:rtl/>
        </w:rPr>
        <w:t>דהוי</w:t>
      </w:r>
      <w:r w:rsidRPr="00F936FC">
        <w:rPr>
          <w:rFonts w:asciiTheme="minorBidi" w:hAnsiTheme="minorBidi" w:cs="Arial"/>
          <w:rtl/>
        </w:rPr>
        <w:t xml:space="preserve"> </w:t>
      </w:r>
      <w:r w:rsidRPr="00F936FC">
        <w:rPr>
          <w:rFonts w:asciiTheme="minorBidi" w:hAnsiTheme="minorBidi" w:cs="Arial" w:hint="cs"/>
          <w:rtl/>
        </w:rPr>
        <w:t>טרחא</w:t>
      </w:r>
      <w:r w:rsidRPr="00F936FC">
        <w:rPr>
          <w:rFonts w:asciiTheme="minorBidi" w:hAnsiTheme="minorBidi" w:cs="Arial"/>
          <w:rtl/>
        </w:rPr>
        <w:t xml:space="preserve"> </w:t>
      </w:r>
      <w:r w:rsidRPr="00F936FC">
        <w:rPr>
          <w:rFonts w:asciiTheme="minorBidi" w:hAnsiTheme="minorBidi" w:cs="Arial" w:hint="cs"/>
          <w:rtl/>
        </w:rPr>
        <w:t>יתירה</w:t>
      </w:r>
      <w:r w:rsidRPr="00F936FC">
        <w:rPr>
          <w:rFonts w:asciiTheme="minorBidi" w:hAnsiTheme="minorBidi" w:cs="Arial"/>
          <w:rtl/>
        </w:rPr>
        <w:t xml:space="preserve">, </w:t>
      </w:r>
      <w:r w:rsidRPr="00F936FC">
        <w:rPr>
          <w:rFonts w:asciiTheme="minorBidi" w:hAnsiTheme="minorBidi" w:cs="Arial" w:hint="cs"/>
          <w:rtl/>
        </w:rPr>
        <w:t>מותר</w:t>
      </w:r>
      <w:r w:rsidRPr="00F936FC">
        <w:rPr>
          <w:rFonts w:asciiTheme="minorBidi" w:hAnsiTheme="minorBidi" w:cs="Arial"/>
          <w:rtl/>
        </w:rPr>
        <w:t xml:space="preserve">. </w:t>
      </w:r>
      <w:r w:rsidRPr="00F936FC">
        <w:rPr>
          <w:rFonts w:asciiTheme="minorBidi" w:hAnsiTheme="minorBidi" w:cs="Arial" w:hint="cs"/>
          <w:rtl/>
        </w:rPr>
        <w:t>ומי</w:t>
      </w:r>
      <w:r w:rsidRPr="00F936FC">
        <w:rPr>
          <w:rFonts w:asciiTheme="minorBidi" w:hAnsiTheme="minorBidi" w:cs="Arial"/>
          <w:rtl/>
        </w:rPr>
        <w:t xml:space="preserve"> </w:t>
      </w:r>
      <w:r w:rsidRPr="00F936FC">
        <w:rPr>
          <w:rFonts w:asciiTheme="minorBidi" w:hAnsiTheme="minorBidi" w:cs="Arial" w:hint="cs"/>
          <w:rtl/>
        </w:rPr>
        <w:t>שיש</w:t>
      </w:r>
      <w:r w:rsidRPr="00F936FC">
        <w:rPr>
          <w:rFonts w:asciiTheme="minorBidi" w:hAnsiTheme="minorBidi" w:cs="Arial"/>
          <w:rtl/>
        </w:rPr>
        <w:t xml:space="preserve"> </w:t>
      </w:r>
      <w:r w:rsidRPr="00F936FC">
        <w:rPr>
          <w:rFonts w:asciiTheme="minorBidi" w:hAnsiTheme="minorBidi" w:cs="Arial" w:hint="cs"/>
          <w:rtl/>
        </w:rPr>
        <w:t>לו</w:t>
      </w:r>
      <w:r w:rsidRPr="00F936FC">
        <w:rPr>
          <w:rFonts w:asciiTheme="minorBidi" w:hAnsiTheme="minorBidi" w:cs="Arial"/>
          <w:rtl/>
        </w:rPr>
        <w:t xml:space="preserve"> </w:t>
      </w:r>
      <w:r w:rsidRPr="00F936FC">
        <w:rPr>
          <w:rFonts w:asciiTheme="minorBidi" w:hAnsiTheme="minorBidi" w:cs="Arial" w:hint="cs"/>
          <w:rtl/>
        </w:rPr>
        <w:t>מקום</w:t>
      </w:r>
      <w:r w:rsidRPr="00F936FC">
        <w:rPr>
          <w:rFonts w:asciiTheme="minorBidi" w:hAnsiTheme="minorBidi" w:cs="Arial"/>
          <w:rtl/>
        </w:rPr>
        <w:t xml:space="preserve"> </w:t>
      </w:r>
      <w:r w:rsidRPr="00F936FC">
        <w:rPr>
          <w:rFonts w:asciiTheme="minorBidi" w:hAnsiTheme="minorBidi" w:cs="Arial" w:hint="cs"/>
          <w:rtl/>
        </w:rPr>
        <w:t>מיוחד</w:t>
      </w:r>
      <w:r w:rsidRPr="00F936FC">
        <w:rPr>
          <w:rFonts w:asciiTheme="minorBidi" w:hAnsiTheme="minorBidi" w:cs="Arial"/>
          <w:rtl/>
        </w:rPr>
        <w:t xml:space="preserve"> </w:t>
      </w:r>
      <w:r w:rsidRPr="00F936FC">
        <w:rPr>
          <w:rFonts w:asciiTheme="minorBidi" w:hAnsiTheme="minorBidi" w:cs="Arial" w:hint="cs"/>
          <w:rtl/>
        </w:rPr>
        <w:t>לבית</w:t>
      </w:r>
      <w:r w:rsidRPr="00F936FC">
        <w:rPr>
          <w:rFonts w:asciiTheme="minorBidi" w:hAnsiTheme="minorBidi" w:cs="Arial"/>
          <w:rtl/>
        </w:rPr>
        <w:t xml:space="preserve"> </w:t>
      </w:r>
      <w:r w:rsidRPr="00F936FC">
        <w:rPr>
          <w:rFonts w:asciiTheme="minorBidi" w:hAnsiTheme="minorBidi" w:cs="Arial" w:hint="cs"/>
          <w:rtl/>
        </w:rPr>
        <w:t>הכסא</w:t>
      </w:r>
      <w:r w:rsidRPr="00F936FC">
        <w:rPr>
          <w:rFonts w:asciiTheme="minorBidi" w:hAnsiTheme="minorBidi" w:cs="Arial"/>
          <w:rtl/>
        </w:rPr>
        <w:t xml:space="preserve">, </w:t>
      </w:r>
      <w:r w:rsidRPr="00F936FC">
        <w:rPr>
          <w:rFonts w:asciiTheme="minorBidi" w:hAnsiTheme="minorBidi" w:cs="Arial" w:hint="cs"/>
          <w:rtl/>
        </w:rPr>
        <w:t>יכול</w:t>
      </w:r>
      <w:r w:rsidRPr="00F936FC">
        <w:rPr>
          <w:rFonts w:asciiTheme="minorBidi" w:hAnsiTheme="minorBidi" w:cs="Arial"/>
          <w:rtl/>
        </w:rPr>
        <w:t xml:space="preserve"> </w:t>
      </w:r>
      <w:r w:rsidRPr="00F936FC">
        <w:rPr>
          <w:rFonts w:asciiTheme="minorBidi" w:hAnsiTheme="minorBidi" w:cs="Arial" w:hint="cs"/>
          <w:rtl/>
        </w:rPr>
        <w:t>להכניס</w:t>
      </w:r>
      <w:r w:rsidRPr="00F936FC">
        <w:rPr>
          <w:rFonts w:asciiTheme="minorBidi" w:hAnsiTheme="minorBidi" w:cs="Arial"/>
          <w:rtl/>
        </w:rPr>
        <w:t xml:space="preserve"> </w:t>
      </w:r>
      <w:r w:rsidRPr="00F936FC">
        <w:rPr>
          <w:rFonts w:asciiTheme="minorBidi" w:hAnsiTheme="minorBidi" w:cs="Arial" w:hint="cs"/>
          <w:rtl/>
        </w:rPr>
        <w:t>עמו</w:t>
      </w:r>
      <w:r w:rsidRPr="00F936FC">
        <w:rPr>
          <w:rFonts w:asciiTheme="minorBidi" w:hAnsiTheme="minorBidi" w:cs="Arial"/>
          <w:rtl/>
        </w:rPr>
        <w:t xml:space="preserve"> </w:t>
      </w:r>
      <w:r w:rsidRPr="00F936FC">
        <w:rPr>
          <w:rFonts w:asciiTheme="minorBidi" w:hAnsiTheme="minorBidi" w:cs="Arial" w:hint="cs"/>
          <w:rtl/>
        </w:rPr>
        <w:t>אבנים</w:t>
      </w:r>
      <w:r w:rsidRPr="00F936FC">
        <w:rPr>
          <w:rFonts w:asciiTheme="minorBidi" w:hAnsiTheme="minorBidi" w:cs="Arial"/>
          <w:rtl/>
        </w:rPr>
        <w:t xml:space="preserve"> </w:t>
      </w:r>
      <w:r w:rsidRPr="00F936FC">
        <w:rPr>
          <w:rFonts w:asciiTheme="minorBidi" w:hAnsiTheme="minorBidi" w:cs="Arial" w:hint="cs"/>
          <w:rtl/>
        </w:rPr>
        <w:t>לקנח</w:t>
      </w:r>
      <w:r w:rsidRPr="00F936FC">
        <w:rPr>
          <w:rFonts w:asciiTheme="minorBidi" w:hAnsiTheme="minorBidi" w:cs="Arial"/>
          <w:rtl/>
        </w:rPr>
        <w:t xml:space="preserve"> </w:t>
      </w:r>
      <w:r w:rsidRPr="00F936FC">
        <w:rPr>
          <w:rFonts w:asciiTheme="minorBidi" w:hAnsiTheme="minorBidi" w:cs="Arial" w:hint="cs"/>
          <w:rtl/>
        </w:rPr>
        <w:t>מלא</w:t>
      </w:r>
      <w:r w:rsidRPr="00F936FC">
        <w:rPr>
          <w:rFonts w:asciiTheme="minorBidi" w:hAnsiTheme="minorBidi" w:cs="Arial"/>
          <w:rtl/>
        </w:rPr>
        <w:t xml:space="preserve"> </w:t>
      </w:r>
      <w:r w:rsidRPr="00F936FC">
        <w:rPr>
          <w:rFonts w:asciiTheme="minorBidi" w:hAnsiTheme="minorBidi" w:cs="Arial" w:hint="cs"/>
          <w:rtl/>
        </w:rPr>
        <w:t>היד</w:t>
      </w:r>
      <w:r w:rsidR="00FE4ADC">
        <w:rPr>
          <w:rFonts w:asciiTheme="minorBidi" w:hAnsiTheme="minorBidi" w:cs="Arial" w:hint="cs"/>
          <w:rtl/>
        </w:rPr>
        <w:t>.</w:t>
      </w:r>
      <w:r w:rsidRPr="00F936FC">
        <w:rPr>
          <w:rFonts w:asciiTheme="minorBidi" w:hAnsiTheme="minorBidi" w:cs="Arial"/>
          <w:rtl/>
        </w:rPr>
        <w:t xml:space="preserve"> </w:t>
      </w:r>
      <w:r w:rsidRPr="00F936FC">
        <w:rPr>
          <w:rFonts w:asciiTheme="minorBidi" w:hAnsiTheme="minorBidi" w:cs="Arial" w:hint="cs"/>
          <w:rtl/>
        </w:rPr>
        <w:t>ואם</w:t>
      </w:r>
      <w:r w:rsidRPr="00F936FC">
        <w:rPr>
          <w:rFonts w:asciiTheme="minorBidi" w:hAnsiTheme="minorBidi" w:cs="Arial"/>
          <w:rtl/>
        </w:rPr>
        <w:t xml:space="preserve"> </w:t>
      </w:r>
      <w:r w:rsidRPr="00F936FC">
        <w:rPr>
          <w:rFonts w:asciiTheme="minorBidi" w:hAnsiTheme="minorBidi" w:cs="Arial" w:hint="cs"/>
          <w:rtl/>
        </w:rPr>
        <w:t>אין</w:t>
      </w:r>
      <w:r w:rsidRPr="00F936FC">
        <w:rPr>
          <w:rFonts w:asciiTheme="minorBidi" w:hAnsiTheme="minorBidi" w:cs="Arial"/>
          <w:rtl/>
        </w:rPr>
        <w:t xml:space="preserve"> </w:t>
      </w:r>
      <w:r w:rsidRPr="00F936FC">
        <w:rPr>
          <w:rFonts w:asciiTheme="minorBidi" w:hAnsiTheme="minorBidi" w:cs="Arial" w:hint="cs"/>
          <w:rtl/>
        </w:rPr>
        <w:t>לו</w:t>
      </w:r>
      <w:r w:rsidRPr="00F936FC">
        <w:rPr>
          <w:rFonts w:asciiTheme="minorBidi" w:hAnsiTheme="minorBidi" w:cs="Arial"/>
          <w:rtl/>
        </w:rPr>
        <w:t xml:space="preserve"> </w:t>
      </w:r>
      <w:r w:rsidRPr="00F936FC">
        <w:rPr>
          <w:rFonts w:asciiTheme="minorBidi" w:hAnsiTheme="minorBidi" w:cs="Arial" w:hint="cs"/>
          <w:rtl/>
        </w:rPr>
        <w:t>מקום</w:t>
      </w:r>
      <w:r w:rsidRPr="00F936FC">
        <w:rPr>
          <w:rFonts w:asciiTheme="minorBidi" w:hAnsiTheme="minorBidi" w:cs="Arial"/>
          <w:rtl/>
        </w:rPr>
        <w:t xml:space="preserve"> </w:t>
      </w:r>
      <w:r w:rsidRPr="00F936FC">
        <w:rPr>
          <w:rFonts w:asciiTheme="minorBidi" w:hAnsiTheme="minorBidi" w:cs="Arial" w:hint="cs"/>
          <w:rtl/>
        </w:rPr>
        <w:t>קבוע</w:t>
      </w:r>
      <w:r w:rsidRPr="00F936FC">
        <w:rPr>
          <w:rFonts w:asciiTheme="minorBidi" w:hAnsiTheme="minorBidi" w:cs="Arial"/>
          <w:rtl/>
        </w:rPr>
        <w:t xml:space="preserve">, </w:t>
      </w:r>
      <w:r w:rsidRPr="00F936FC">
        <w:rPr>
          <w:rFonts w:asciiTheme="minorBidi" w:hAnsiTheme="minorBidi" w:cs="Arial" w:hint="cs"/>
          <w:rtl/>
        </w:rPr>
        <w:t>מכניס</w:t>
      </w:r>
      <w:r w:rsidRPr="00F936FC">
        <w:rPr>
          <w:rFonts w:asciiTheme="minorBidi" w:hAnsiTheme="minorBidi" w:cs="Arial"/>
          <w:rtl/>
        </w:rPr>
        <w:t xml:space="preserve"> </w:t>
      </w:r>
      <w:r w:rsidRPr="00F936FC">
        <w:rPr>
          <w:rFonts w:asciiTheme="minorBidi" w:hAnsiTheme="minorBidi" w:cs="Arial" w:hint="cs"/>
          <w:rtl/>
        </w:rPr>
        <w:t>עמו</w:t>
      </w:r>
      <w:r w:rsidRPr="00F936FC">
        <w:rPr>
          <w:rFonts w:asciiTheme="minorBidi" w:hAnsiTheme="minorBidi" w:cs="Arial"/>
          <w:rtl/>
        </w:rPr>
        <w:t xml:space="preserve"> </w:t>
      </w:r>
      <w:r w:rsidRPr="00F936FC">
        <w:rPr>
          <w:rFonts w:asciiTheme="minorBidi" w:hAnsiTheme="minorBidi" w:cs="Arial" w:hint="cs"/>
          <w:rtl/>
        </w:rPr>
        <w:t>כשיעור</w:t>
      </w:r>
      <w:r w:rsidRPr="00F936FC">
        <w:rPr>
          <w:rFonts w:asciiTheme="minorBidi" w:hAnsiTheme="minorBidi" w:cs="Arial"/>
          <w:rtl/>
        </w:rPr>
        <w:t xml:space="preserve"> </w:t>
      </w:r>
      <w:r w:rsidRPr="00F936FC">
        <w:rPr>
          <w:rFonts w:asciiTheme="minorBidi" w:hAnsiTheme="minorBidi" w:cs="Arial" w:hint="cs"/>
          <w:rtl/>
        </w:rPr>
        <w:t>בוכנא</w:t>
      </w:r>
      <w:r w:rsidR="00EB0A41">
        <w:rPr>
          <w:rStyle w:val="a9"/>
          <w:rFonts w:asciiTheme="minorBidi" w:hAnsiTheme="minorBidi" w:cs="Arial"/>
          <w:rtl/>
        </w:rPr>
        <w:footnoteReference w:id="1977"/>
      </w:r>
      <w:r w:rsidRPr="00F936FC">
        <w:rPr>
          <w:rFonts w:asciiTheme="minorBidi" w:hAnsiTheme="minorBidi" w:cs="Arial"/>
          <w:rtl/>
        </w:rPr>
        <w:t xml:space="preserve"> </w:t>
      </w:r>
      <w:r w:rsidRPr="00F936FC">
        <w:rPr>
          <w:rFonts w:asciiTheme="minorBidi" w:hAnsiTheme="minorBidi" w:cs="Arial" w:hint="cs"/>
          <w:rtl/>
        </w:rPr>
        <w:t>קטנה</w:t>
      </w:r>
      <w:r w:rsidR="00FE4ADC">
        <w:rPr>
          <w:rFonts w:asciiTheme="minorBidi" w:hAnsiTheme="minorBidi" w:cs="Arial" w:hint="cs"/>
          <w:rtl/>
        </w:rPr>
        <w:t>.</w:t>
      </w:r>
      <w:r w:rsidRPr="00F936FC">
        <w:rPr>
          <w:rFonts w:asciiTheme="minorBidi" w:hAnsiTheme="minorBidi" w:cs="Arial"/>
          <w:rtl/>
        </w:rPr>
        <w:t xml:space="preserve"> </w:t>
      </w:r>
      <w:r w:rsidRPr="00F936FC">
        <w:rPr>
          <w:rFonts w:asciiTheme="minorBidi" w:hAnsiTheme="minorBidi" w:cs="Arial" w:hint="cs"/>
          <w:rtl/>
        </w:rPr>
        <w:t>ואם</w:t>
      </w:r>
      <w:r w:rsidRPr="00F936FC">
        <w:rPr>
          <w:rFonts w:asciiTheme="minorBidi" w:hAnsiTheme="minorBidi" w:cs="Arial"/>
          <w:rtl/>
        </w:rPr>
        <w:t xml:space="preserve"> </w:t>
      </w:r>
      <w:r w:rsidRPr="00F936FC">
        <w:rPr>
          <w:rFonts w:asciiTheme="minorBidi" w:hAnsiTheme="minorBidi" w:cs="Arial" w:hint="cs"/>
          <w:rtl/>
        </w:rPr>
        <w:t>ניכר</w:t>
      </w:r>
      <w:r w:rsidR="0031049A">
        <w:rPr>
          <w:rStyle w:val="a9"/>
          <w:rFonts w:asciiTheme="minorBidi" w:hAnsiTheme="minorBidi" w:cs="Arial"/>
          <w:rtl/>
        </w:rPr>
        <w:footnoteReference w:id="1978"/>
      </w:r>
      <w:r w:rsidRPr="00F936FC">
        <w:rPr>
          <w:rFonts w:asciiTheme="minorBidi" w:hAnsiTheme="minorBidi" w:cs="Arial"/>
          <w:rtl/>
        </w:rPr>
        <w:t xml:space="preserve"> </w:t>
      </w:r>
      <w:r w:rsidRPr="00F936FC">
        <w:rPr>
          <w:rFonts w:asciiTheme="minorBidi" w:hAnsiTheme="minorBidi" w:cs="Arial" w:hint="cs"/>
          <w:rtl/>
        </w:rPr>
        <w:t>באבן</w:t>
      </w:r>
      <w:r w:rsidRPr="00F936FC">
        <w:rPr>
          <w:rFonts w:asciiTheme="minorBidi" w:hAnsiTheme="minorBidi" w:cs="Arial"/>
          <w:rtl/>
        </w:rPr>
        <w:t xml:space="preserve"> </w:t>
      </w:r>
      <w:r w:rsidRPr="00F936FC">
        <w:rPr>
          <w:rFonts w:asciiTheme="minorBidi" w:hAnsiTheme="minorBidi" w:cs="Arial" w:hint="cs"/>
          <w:rtl/>
        </w:rPr>
        <w:t>שקנחו</w:t>
      </w:r>
      <w:r w:rsidRPr="00F936FC">
        <w:rPr>
          <w:rFonts w:asciiTheme="minorBidi" w:hAnsiTheme="minorBidi" w:cs="Arial"/>
          <w:rtl/>
        </w:rPr>
        <w:t xml:space="preserve"> </w:t>
      </w:r>
      <w:r w:rsidRPr="00F936FC">
        <w:rPr>
          <w:rFonts w:asciiTheme="minorBidi" w:hAnsiTheme="minorBidi" w:cs="Arial" w:hint="cs"/>
          <w:rtl/>
        </w:rPr>
        <w:t>בו</w:t>
      </w:r>
      <w:r w:rsidRPr="00F936FC">
        <w:rPr>
          <w:rFonts w:asciiTheme="minorBidi" w:hAnsiTheme="minorBidi" w:cs="Arial"/>
          <w:rtl/>
        </w:rPr>
        <w:t xml:space="preserve">, </w:t>
      </w:r>
      <w:r w:rsidRPr="00F936FC">
        <w:rPr>
          <w:rFonts w:asciiTheme="minorBidi" w:hAnsiTheme="minorBidi" w:cs="Arial" w:hint="cs"/>
          <w:rtl/>
        </w:rPr>
        <w:t>מותר</w:t>
      </w:r>
      <w:r w:rsidRPr="00F936FC">
        <w:rPr>
          <w:rFonts w:asciiTheme="minorBidi" w:hAnsiTheme="minorBidi" w:cs="Arial"/>
          <w:rtl/>
        </w:rPr>
        <w:t xml:space="preserve"> </w:t>
      </w:r>
      <w:r w:rsidRPr="00F936FC">
        <w:rPr>
          <w:rFonts w:asciiTheme="minorBidi" w:hAnsiTheme="minorBidi" w:cs="Arial" w:hint="cs"/>
          <w:rtl/>
        </w:rPr>
        <w:t>להכניסו</w:t>
      </w:r>
      <w:r w:rsidRPr="00F936FC">
        <w:rPr>
          <w:rFonts w:asciiTheme="minorBidi" w:hAnsiTheme="minorBidi" w:cs="Arial"/>
          <w:rtl/>
        </w:rPr>
        <w:t xml:space="preserve"> </w:t>
      </w:r>
      <w:r w:rsidRPr="00F936FC">
        <w:rPr>
          <w:rFonts w:asciiTheme="minorBidi" w:hAnsiTheme="minorBidi" w:cs="Arial" w:hint="cs"/>
          <w:rtl/>
        </w:rPr>
        <w:t>אפי</w:t>
      </w:r>
      <w:r w:rsidR="00FE4ADC">
        <w:rPr>
          <w:rFonts w:asciiTheme="minorBidi" w:hAnsiTheme="minorBidi" w:cs="Arial" w:hint="cs"/>
          <w:rtl/>
        </w:rPr>
        <w:t>לו</w:t>
      </w:r>
      <w:r w:rsidRPr="00F936FC">
        <w:rPr>
          <w:rFonts w:asciiTheme="minorBidi" w:hAnsiTheme="minorBidi" w:cs="Arial"/>
          <w:rtl/>
        </w:rPr>
        <w:t xml:space="preserve"> </w:t>
      </w:r>
      <w:r w:rsidRPr="00F936FC">
        <w:rPr>
          <w:rFonts w:asciiTheme="minorBidi" w:hAnsiTheme="minorBidi" w:cs="Arial" w:hint="cs"/>
          <w:rtl/>
        </w:rPr>
        <w:t>הוא</w:t>
      </w:r>
      <w:r w:rsidRPr="00F936FC">
        <w:rPr>
          <w:rFonts w:asciiTheme="minorBidi" w:hAnsiTheme="minorBidi" w:cs="Arial"/>
          <w:rtl/>
        </w:rPr>
        <w:t xml:space="preserve"> </w:t>
      </w:r>
      <w:r w:rsidRPr="00F936FC">
        <w:rPr>
          <w:rFonts w:asciiTheme="minorBidi" w:hAnsiTheme="minorBidi" w:cs="Arial" w:hint="cs"/>
          <w:rtl/>
        </w:rPr>
        <w:t>גדול</w:t>
      </w:r>
      <w:r w:rsidRPr="00F936FC">
        <w:rPr>
          <w:rFonts w:asciiTheme="minorBidi" w:hAnsiTheme="minorBidi" w:cs="Arial"/>
          <w:rtl/>
        </w:rPr>
        <w:t xml:space="preserve"> </w:t>
      </w:r>
      <w:r w:rsidRPr="00F936FC">
        <w:rPr>
          <w:rFonts w:asciiTheme="minorBidi" w:hAnsiTheme="minorBidi" w:cs="Arial" w:hint="cs"/>
          <w:rtl/>
        </w:rPr>
        <w:t>הרבה</w:t>
      </w:r>
      <w:r w:rsidRPr="00F936FC">
        <w:rPr>
          <w:rFonts w:asciiTheme="minorBidi" w:hAnsiTheme="minorBidi" w:cs="Arial"/>
          <w:rtl/>
        </w:rPr>
        <w:t xml:space="preserve">, </w:t>
      </w:r>
      <w:r w:rsidRPr="00F936FC">
        <w:rPr>
          <w:rFonts w:asciiTheme="minorBidi" w:hAnsiTheme="minorBidi" w:cs="Arial" w:hint="cs"/>
          <w:rtl/>
        </w:rPr>
        <w:t>או</w:t>
      </w:r>
      <w:r w:rsidRPr="00F936FC">
        <w:rPr>
          <w:rFonts w:asciiTheme="minorBidi" w:hAnsiTheme="minorBidi" w:cs="Arial"/>
          <w:rtl/>
        </w:rPr>
        <w:t xml:space="preserve"> </w:t>
      </w:r>
      <w:r w:rsidRPr="00F936FC">
        <w:rPr>
          <w:rFonts w:asciiTheme="minorBidi" w:hAnsiTheme="minorBidi" w:cs="Arial" w:hint="cs"/>
          <w:rtl/>
        </w:rPr>
        <w:t>אפי</w:t>
      </w:r>
      <w:r w:rsidR="00FE4ADC">
        <w:rPr>
          <w:rFonts w:asciiTheme="minorBidi" w:hAnsiTheme="minorBidi" w:cs="Arial" w:hint="cs"/>
          <w:rtl/>
        </w:rPr>
        <w:t>לו</w:t>
      </w:r>
      <w:r w:rsidRPr="00F936FC">
        <w:rPr>
          <w:rFonts w:asciiTheme="minorBidi" w:hAnsiTheme="minorBidi" w:cs="Arial"/>
          <w:rtl/>
        </w:rPr>
        <w:t xml:space="preserve"> </w:t>
      </w:r>
      <w:r w:rsidRPr="00F936FC">
        <w:rPr>
          <w:rFonts w:asciiTheme="minorBidi" w:hAnsiTheme="minorBidi" w:cs="Arial" w:hint="cs"/>
          <w:rtl/>
        </w:rPr>
        <w:t>הם</w:t>
      </w:r>
      <w:r w:rsidRPr="00F936FC">
        <w:rPr>
          <w:rFonts w:asciiTheme="minorBidi" w:hAnsiTheme="minorBidi" w:cs="Arial"/>
          <w:rtl/>
        </w:rPr>
        <w:t xml:space="preserve"> </w:t>
      </w:r>
      <w:r w:rsidRPr="00F936FC">
        <w:rPr>
          <w:rFonts w:asciiTheme="minorBidi" w:hAnsiTheme="minorBidi" w:cs="Arial" w:hint="cs"/>
          <w:rtl/>
        </w:rPr>
        <w:t>הרבה</w:t>
      </w:r>
      <w:r w:rsidRPr="00F936FC">
        <w:rPr>
          <w:rFonts w:asciiTheme="minorBidi" w:hAnsiTheme="minorBidi" w:cs="Arial"/>
          <w:rtl/>
        </w:rPr>
        <w:t xml:space="preserve"> </w:t>
      </w:r>
      <w:r w:rsidRPr="00F936FC">
        <w:rPr>
          <w:rFonts w:asciiTheme="minorBidi" w:hAnsiTheme="minorBidi" w:cs="Arial" w:hint="cs"/>
          <w:rtl/>
        </w:rPr>
        <w:t>ממלא</w:t>
      </w:r>
      <w:r w:rsidRPr="00F936FC">
        <w:rPr>
          <w:rFonts w:asciiTheme="minorBidi" w:hAnsiTheme="minorBidi" w:cs="Arial"/>
          <w:rtl/>
        </w:rPr>
        <w:t xml:space="preserve"> </w:t>
      </w:r>
      <w:r w:rsidRPr="00F936FC">
        <w:rPr>
          <w:rFonts w:asciiTheme="minorBidi" w:hAnsiTheme="minorBidi" w:cs="Arial" w:hint="cs"/>
          <w:rtl/>
        </w:rPr>
        <w:t>היד</w:t>
      </w:r>
      <w:r w:rsidRPr="00F936FC">
        <w:rPr>
          <w:rFonts w:asciiTheme="minorBidi" w:hAnsiTheme="minorBidi" w:cs="Arial"/>
          <w:rtl/>
        </w:rPr>
        <w:t xml:space="preserve">, </w:t>
      </w:r>
      <w:r w:rsidRPr="00F936FC">
        <w:rPr>
          <w:rFonts w:asciiTheme="minorBidi" w:hAnsiTheme="minorBidi" w:cs="Arial" w:hint="cs"/>
          <w:rtl/>
        </w:rPr>
        <w:t>מותר</w:t>
      </w:r>
      <w:r w:rsidRPr="00F936FC">
        <w:rPr>
          <w:rFonts w:asciiTheme="minorBidi" w:hAnsiTheme="minorBidi" w:cs="Arial"/>
          <w:rtl/>
        </w:rPr>
        <w:t xml:space="preserve"> </w:t>
      </w:r>
      <w:r w:rsidRPr="00F936FC">
        <w:rPr>
          <w:rFonts w:asciiTheme="minorBidi" w:hAnsiTheme="minorBidi" w:cs="Arial" w:hint="cs"/>
          <w:rtl/>
        </w:rPr>
        <w:t>ליטול</w:t>
      </w:r>
      <w:r w:rsidRPr="00F936FC">
        <w:rPr>
          <w:rFonts w:asciiTheme="minorBidi" w:hAnsiTheme="minorBidi" w:cs="Arial"/>
          <w:rtl/>
        </w:rPr>
        <w:t xml:space="preserve"> </w:t>
      </w:r>
      <w:r w:rsidRPr="00F936FC">
        <w:rPr>
          <w:rFonts w:asciiTheme="minorBidi" w:hAnsiTheme="minorBidi" w:cs="Arial" w:hint="cs"/>
          <w:rtl/>
        </w:rPr>
        <w:t>כולן</w:t>
      </w:r>
      <w:r w:rsidRPr="00F936FC">
        <w:rPr>
          <w:rFonts w:asciiTheme="minorBidi" w:hAnsiTheme="minorBidi" w:cs="Arial"/>
          <w:rtl/>
        </w:rPr>
        <w:t xml:space="preserve"> </w:t>
      </w:r>
      <w:r w:rsidRPr="00F936FC">
        <w:rPr>
          <w:rFonts w:asciiTheme="minorBidi" w:hAnsiTheme="minorBidi" w:cs="Arial" w:hint="cs"/>
          <w:rtl/>
        </w:rPr>
        <w:t>דכיון</w:t>
      </w:r>
      <w:r w:rsidRPr="00F936FC">
        <w:rPr>
          <w:rFonts w:asciiTheme="minorBidi" w:hAnsiTheme="minorBidi" w:cs="Arial"/>
          <w:rtl/>
        </w:rPr>
        <w:t xml:space="preserve"> </w:t>
      </w:r>
      <w:r w:rsidRPr="00F936FC">
        <w:rPr>
          <w:rFonts w:asciiTheme="minorBidi" w:hAnsiTheme="minorBidi" w:cs="Arial" w:hint="cs"/>
          <w:rtl/>
        </w:rPr>
        <w:t>שקנחו</w:t>
      </w:r>
      <w:r w:rsidRPr="00F936FC">
        <w:rPr>
          <w:rFonts w:asciiTheme="minorBidi" w:hAnsiTheme="minorBidi" w:cs="Arial"/>
          <w:rtl/>
        </w:rPr>
        <w:t xml:space="preserve"> </w:t>
      </w:r>
      <w:r w:rsidRPr="00F936FC">
        <w:rPr>
          <w:rFonts w:asciiTheme="minorBidi" w:hAnsiTheme="minorBidi" w:cs="Arial" w:hint="cs"/>
          <w:rtl/>
        </w:rPr>
        <w:t>בהן</w:t>
      </w:r>
      <w:r w:rsidR="0031049A">
        <w:rPr>
          <w:rStyle w:val="a9"/>
          <w:rFonts w:asciiTheme="minorBidi" w:hAnsiTheme="minorBidi" w:cs="Arial"/>
          <w:rtl/>
        </w:rPr>
        <w:footnoteReference w:id="1979"/>
      </w:r>
      <w:r w:rsidRPr="00F936FC">
        <w:rPr>
          <w:rFonts w:asciiTheme="minorBidi" w:hAnsiTheme="minorBidi" w:cs="Arial"/>
          <w:rtl/>
        </w:rPr>
        <w:t xml:space="preserve"> </w:t>
      </w:r>
      <w:r w:rsidRPr="00F936FC">
        <w:rPr>
          <w:rFonts w:asciiTheme="minorBidi" w:hAnsiTheme="minorBidi" w:cs="Arial" w:hint="cs"/>
          <w:rtl/>
        </w:rPr>
        <w:t>הוכנו</w:t>
      </w:r>
      <w:r w:rsidRPr="00F936FC">
        <w:rPr>
          <w:rFonts w:asciiTheme="minorBidi" w:hAnsiTheme="minorBidi" w:cs="Arial"/>
          <w:rtl/>
        </w:rPr>
        <w:t xml:space="preserve"> </w:t>
      </w:r>
      <w:r w:rsidRPr="00F936FC">
        <w:rPr>
          <w:rFonts w:asciiTheme="minorBidi" w:hAnsiTheme="minorBidi" w:cs="Arial" w:hint="cs"/>
          <w:rtl/>
        </w:rPr>
        <w:t>לכך</w:t>
      </w:r>
      <w:r w:rsidRPr="00F936FC">
        <w:rPr>
          <w:rFonts w:asciiTheme="minorBidi" w:hAnsiTheme="minorBidi" w:cs="Arial"/>
          <w:rtl/>
        </w:rPr>
        <w:t xml:space="preserve">. </w:t>
      </w:r>
      <w:r w:rsidRPr="00FE4ADC">
        <w:rPr>
          <w:rFonts w:asciiTheme="minorBidi" w:hAnsiTheme="minorBidi" w:cs="Arial" w:hint="cs"/>
          <w:sz w:val="18"/>
          <w:szCs w:val="18"/>
          <w:rtl/>
        </w:rPr>
        <w:t>הגה</w:t>
      </w:r>
      <w:r w:rsidRPr="00FE4ADC">
        <w:rPr>
          <w:rFonts w:asciiTheme="minorBidi" w:hAnsiTheme="minorBidi" w:cs="Arial"/>
          <w:sz w:val="18"/>
          <w:szCs w:val="18"/>
          <w:rtl/>
        </w:rPr>
        <w:t xml:space="preserve">: </w:t>
      </w:r>
      <w:r w:rsidRPr="00FE4ADC">
        <w:rPr>
          <w:rFonts w:asciiTheme="minorBidi" w:hAnsiTheme="minorBidi" w:cs="Arial" w:hint="cs"/>
          <w:sz w:val="18"/>
          <w:szCs w:val="18"/>
          <w:rtl/>
        </w:rPr>
        <w:t>י</w:t>
      </w:r>
      <w:r w:rsidRPr="00FE4ADC">
        <w:rPr>
          <w:rFonts w:asciiTheme="minorBidi" w:hAnsiTheme="minorBidi" w:cs="Arial"/>
          <w:sz w:val="18"/>
          <w:szCs w:val="18"/>
          <w:rtl/>
        </w:rPr>
        <w:t>"</w:t>
      </w:r>
      <w:r w:rsidRPr="00FE4ADC">
        <w:rPr>
          <w:rFonts w:asciiTheme="minorBidi" w:hAnsiTheme="minorBidi" w:cs="Arial" w:hint="cs"/>
          <w:sz w:val="18"/>
          <w:szCs w:val="18"/>
          <w:rtl/>
        </w:rPr>
        <w:t>א</w:t>
      </w:r>
      <w:r w:rsidRPr="00FE4ADC">
        <w:rPr>
          <w:rFonts w:asciiTheme="minorBidi" w:hAnsiTheme="minorBidi" w:cs="Arial"/>
          <w:sz w:val="18"/>
          <w:szCs w:val="18"/>
          <w:rtl/>
        </w:rPr>
        <w:t xml:space="preserve"> </w:t>
      </w:r>
      <w:r w:rsidRPr="00FE4ADC">
        <w:rPr>
          <w:rFonts w:asciiTheme="minorBidi" w:hAnsiTheme="minorBidi" w:cs="Arial" w:hint="cs"/>
          <w:sz w:val="18"/>
          <w:szCs w:val="18"/>
          <w:rtl/>
        </w:rPr>
        <w:t>דוקא</w:t>
      </w:r>
      <w:r w:rsidRPr="00FE4ADC">
        <w:rPr>
          <w:rFonts w:asciiTheme="minorBidi" w:hAnsiTheme="minorBidi" w:cs="Arial"/>
          <w:sz w:val="18"/>
          <w:szCs w:val="18"/>
          <w:rtl/>
        </w:rPr>
        <w:t xml:space="preserve"> </w:t>
      </w:r>
      <w:r w:rsidRPr="00FE4ADC">
        <w:rPr>
          <w:rFonts w:asciiTheme="minorBidi" w:hAnsiTheme="minorBidi" w:cs="Arial" w:hint="cs"/>
          <w:sz w:val="18"/>
          <w:szCs w:val="18"/>
          <w:rtl/>
        </w:rPr>
        <w:t>בחצר</w:t>
      </w:r>
      <w:r w:rsidRPr="00FE4ADC">
        <w:rPr>
          <w:rFonts w:asciiTheme="minorBidi" w:hAnsiTheme="minorBidi" w:cs="Arial"/>
          <w:sz w:val="18"/>
          <w:szCs w:val="18"/>
          <w:rtl/>
        </w:rPr>
        <w:t xml:space="preserve"> </w:t>
      </w:r>
      <w:r w:rsidRPr="00FE4ADC">
        <w:rPr>
          <w:rFonts w:asciiTheme="minorBidi" w:hAnsiTheme="minorBidi" w:cs="Arial" w:hint="cs"/>
          <w:sz w:val="18"/>
          <w:szCs w:val="18"/>
          <w:rtl/>
        </w:rPr>
        <w:t>מותר</w:t>
      </w:r>
      <w:r w:rsidRPr="00FE4ADC">
        <w:rPr>
          <w:rFonts w:asciiTheme="minorBidi" w:hAnsiTheme="minorBidi" w:cs="Arial"/>
          <w:sz w:val="18"/>
          <w:szCs w:val="18"/>
          <w:rtl/>
        </w:rPr>
        <w:t xml:space="preserve"> </w:t>
      </w:r>
      <w:r w:rsidRPr="00FE4ADC">
        <w:rPr>
          <w:rFonts w:asciiTheme="minorBidi" w:hAnsiTheme="minorBidi" w:cs="Arial" w:hint="cs"/>
          <w:sz w:val="18"/>
          <w:szCs w:val="18"/>
          <w:rtl/>
        </w:rPr>
        <w:t>לטלטל</w:t>
      </w:r>
      <w:r w:rsidRPr="00FE4ADC">
        <w:rPr>
          <w:rFonts w:asciiTheme="minorBidi" w:hAnsiTheme="minorBidi" w:cs="Arial"/>
          <w:sz w:val="18"/>
          <w:szCs w:val="18"/>
          <w:rtl/>
        </w:rPr>
        <w:t xml:space="preserve"> </w:t>
      </w:r>
      <w:r w:rsidRPr="00FE4ADC">
        <w:rPr>
          <w:rFonts w:asciiTheme="minorBidi" w:hAnsiTheme="minorBidi" w:cs="Arial" w:hint="cs"/>
          <w:sz w:val="18"/>
          <w:szCs w:val="18"/>
          <w:rtl/>
        </w:rPr>
        <w:t>אבנים</w:t>
      </w:r>
      <w:r w:rsidRPr="00FE4ADC">
        <w:rPr>
          <w:rFonts w:asciiTheme="minorBidi" w:hAnsiTheme="minorBidi" w:cs="Arial"/>
          <w:sz w:val="18"/>
          <w:szCs w:val="18"/>
          <w:rtl/>
        </w:rPr>
        <w:t xml:space="preserve"> (</w:t>
      </w:r>
      <w:r w:rsidRPr="00FE4ADC">
        <w:rPr>
          <w:rFonts w:asciiTheme="minorBidi" w:hAnsiTheme="minorBidi" w:cs="Arial" w:hint="cs"/>
          <w:sz w:val="18"/>
          <w:szCs w:val="18"/>
          <w:rtl/>
        </w:rPr>
        <w:t>רש</w:t>
      </w:r>
      <w:r w:rsidRPr="00FE4ADC">
        <w:rPr>
          <w:rFonts w:asciiTheme="minorBidi" w:hAnsiTheme="minorBidi" w:cs="Arial"/>
          <w:sz w:val="18"/>
          <w:szCs w:val="18"/>
          <w:rtl/>
        </w:rPr>
        <w:t>"</w:t>
      </w:r>
      <w:r w:rsidRPr="00FE4ADC">
        <w:rPr>
          <w:rFonts w:asciiTheme="minorBidi" w:hAnsiTheme="minorBidi" w:cs="Arial" w:hint="cs"/>
          <w:sz w:val="18"/>
          <w:szCs w:val="18"/>
          <w:rtl/>
        </w:rPr>
        <w:t>י</w:t>
      </w:r>
      <w:r w:rsidRPr="00FE4ADC">
        <w:rPr>
          <w:rFonts w:asciiTheme="minorBidi" w:hAnsiTheme="minorBidi" w:cs="Arial"/>
          <w:sz w:val="18"/>
          <w:szCs w:val="18"/>
          <w:rtl/>
        </w:rPr>
        <w:t xml:space="preserve"> </w:t>
      </w:r>
      <w:r w:rsidRPr="00FE4ADC">
        <w:rPr>
          <w:rFonts w:asciiTheme="minorBidi" w:hAnsiTheme="minorBidi" w:cs="Arial" w:hint="cs"/>
          <w:sz w:val="18"/>
          <w:szCs w:val="18"/>
          <w:rtl/>
        </w:rPr>
        <w:t>ור</w:t>
      </w:r>
      <w:r w:rsidR="002E5320">
        <w:rPr>
          <w:rFonts w:asciiTheme="minorBidi" w:hAnsiTheme="minorBidi" w:cs="Arial" w:hint="cs"/>
          <w:sz w:val="18"/>
          <w:szCs w:val="18"/>
          <w:rtl/>
        </w:rPr>
        <w:t>י"ו</w:t>
      </w:r>
      <w:r w:rsidRPr="00FE4ADC">
        <w:rPr>
          <w:rFonts w:asciiTheme="minorBidi" w:hAnsiTheme="minorBidi" w:cs="Arial"/>
          <w:sz w:val="18"/>
          <w:szCs w:val="18"/>
          <w:rtl/>
        </w:rPr>
        <w:t xml:space="preserve"> </w:t>
      </w:r>
      <w:r w:rsidR="00AC687F">
        <w:rPr>
          <w:rFonts w:asciiTheme="minorBidi" w:hAnsiTheme="minorBidi" w:cs="Arial" w:hint="cs"/>
          <w:sz w:val="18"/>
          <w:szCs w:val="18"/>
          <w:rtl/>
        </w:rPr>
        <w:t>[</w:t>
      </w:r>
      <w:r w:rsidRPr="00FE4ADC">
        <w:rPr>
          <w:rFonts w:asciiTheme="minorBidi" w:hAnsiTheme="minorBidi" w:cs="Arial" w:hint="cs"/>
          <w:sz w:val="18"/>
          <w:szCs w:val="18"/>
          <w:rtl/>
        </w:rPr>
        <w:t>ני</w:t>
      </w:r>
      <w:r w:rsidRPr="00FE4ADC">
        <w:rPr>
          <w:rFonts w:asciiTheme="minorBidi" w:hAnsiTheme="minorBidi" w:cs="Arial"/>
          <w:sz w:val="18"/>
          <w:szCs w:val="18"/>
          <w:rtl/>
        </w:rPr>
        <w:t>"</w:t>
      </w:r>
      <w:r w:rsidRPr="00FE4ADC">
        <w:rPr>
          <w:rFonts w:asciiTheme="minorBidi" w:hAnsiTheme="minorBidi" w:cs="Arial" w:hint="cs"/>
          <w:sz w:val="18"/>
          <w:szCs w:val="18"/>
          <w:rtl/>
        </w:rPr>
        <w:t>ב</w:t>
      </w:r>
      <w:r w:rsidRPr="00FE4ADC">
        <w:rPr>
          <w:rFonts w:asciiTheme="minorBidi" w:hAnsiTheme="minorBidi" w:cs="Arial"/>
          <w:sz w:val="18"/>
          <w:szCs w:val="18"/>
          <w:rtl/>
        </w:rPr>
        <w:t xml:space="preserve"> </w:t>
      </w:r>
      <w:r w:rsidRPr="00FE4ADC">
        <w:rPr>
          <w:rFonts w:asciiTheme="minorBidi" w:hAnsiTheme="minorBidi" w:cs="Arial" w:hint="cs"/>
          <w:sz w:val="18"/>
          <w:szCs w:val="18"/>
          <w:rtl/>
        </w:rPr>
        <w:t>חי</w:t>
      </w:r>
      <w:r w:rsidRPr="00FE4ADC">
        <w:rPr>
          <w:rFonts w:asciiTheme="minorBidi" w:hAnsiTheme="minorBidi" w:cs="Arial"/>
          <w:sz w:val="18"/>
          <w:szCs w:val="18"/>
          <w:rtl/>
        </w:rPr>
        <w:t>"</w:t>
      </w:r>
      <w:r w:rsidRPr="00FE4ADC">
        <w:rPr>
          <w:rFonts w:asciiTheme="minorBidi" w:hAnsiTheme="minorBidi" w:cs="Arial" w:hint="cs"/>
          <w:sz w:val="18"/>
          <w:szCs w:val="18"/>
          <w:rtl/>
        </w:rPr>
        <w:t>ו</w:t>
      </w:r>
      <w:r w:rsidR="00AC687F">
        <w:rPr>
          <w:rFonts w:asciiTheme="minorBidi" w:hAnsiTheme="minorBidi" w:cs="Arial" w:hint="cs"/>
          <w:sz w:val="18"/>
          <w:szCs w:val="18"/>
          <w:rtl/>
        </w:rPr>
        <w:t>]</w:t>
      </w:r>
      <w:r w:rsidRPr="00FE4ADC">
        <w:rPr>
          <w:rFonts w:asciiTheme="minorBidi" w:hAnsiTheme="minorBidi" w:cs="Arial"/>
          <w:sz w:val="18"/>
          <w:szCs w:val="18"/>
          <w:rtl/>
        </w:rPr>
        <w:t xml:space="preserve">). </w:t>
      </w:r>
      <w:r w:rsidRPr="00FE4ADC">
        <w:rPr>
          <w:rFonts w:asciiTheme="minorBidi" w:hAnsiTheme="minorBidi" w:cs="Arial" w:hint="cs"/>
          <w:sz w:val="18"/>
          <w:szCs w:val="18"/>
          <w:rtl/>
        </w:rPr>
        <w:t>וי</w:t>
      </w:r>
      <w:r w:rsidRPr="00FE4ADC">
        <w:rPr>
          <w:rFonts w:asciiTheme="minorBidi" w:hAnsiTheme="minorBidi" w:cs="Arial"/>
          <w:sz w:val="18"/>
          <w:szCs w:val="18"/>
          <w:rtl/>
        </w:rPr>
        <w:t>"</w:t>
      </w:r>
      <w:r w:rsidRPr="00FE4ADC">
        <w:rPr>
          <w:rFonts w:asciiTheme="minorBidi" w:hAnsiTheme="minorBidi" w:cs="Arial" w:hint="cs"/>
          <w:sz w:val="18"/>
          <w:szCs w:val="18"/>
          <w:rtl/>
        </w:rPr>
        <w:t>א</w:t>
      </w:r>
      <w:r w:rsidR="0031049A">
        <w:rPr>
          <w:rStyle w:val="a9"/>
          <w:rFonts w:asciiTheme="minorBidi" w:hAnsiTheme="minorBidi" w:cs="Arial"/>
          <w:sz w:val="18"/>
          <w:szCs w:val="18"/>
          <w:rtl/>
        </w:rPr>
        <w:footnoteReference w:id="1980"/>
      </w:r>
      <w:r w:rsidRPr="00FE4ADC">
        <w:rPr>
          <w:rFonts w:asciiTheme="minorBidi" w:hAnsiTheme="minorBidi" w:cs="Arial"/>
          <w:sz w:val="18"/>
          <w:szCs w:val="18"/>
          <w:rtl/>
        </w:rPr>
        <w:t xml:space="preserve"> </w:t>
      </w:r>
      <w:r w:rsidRPr="00FE4ADC">
        <w:rPr>
          <w:rFonts w:asciiTheme="minorBidi" w:hAnsiTheme="minorBidi" w:cs="Arial" w:hint="cs"/>
          <w:sz w:val="18"/>
          <w:szCs w:val="18"/>
          <w:rtl/>
        </w:rPr>
        <w:t>דאפילו</w:t>
      </w:r>
      <w:r w:rsidRPr="00FE4ADC">
        <w:rPr>
          <w:rFonts w:asciiTheme="minorBidi" w:hAnsiTheme="minorBidi" w:cs="Arial"/>
          <w:sz w:val="18"/>
          <w:szCs w:val="18"/>
          <w:rtl/>
        </w:rPr>
        <w:t xml:space="preserve"> </w:t>
      </w:r>
      <w:r w:rsidRPr="00FE4ADC">
        <w:rPr>
          <w:rFonts w:asciiTheme="minorBidi" w:hAnsiTheme="minorBidi" w:cs="Arial" w:hint="cs"/>
          <w:sz w:val="18"/>
          <w:szCs w:val="18"/>
          <w:rtl/>
        </w:rPr>
        <w:t>מכרמלית</w:t>
      </w:r>
      <w:r w:rsidRPr="00FE4ADC">
        <w:rPr>
          <w:rFonts w:asciiTheme="minorBidi" w:hAnsiTheme="minorBidi" w:cs="Arial"/>
          <w:sz w:val="18"/>
          <w:szCs w:val="18"/>
          <w:rtl/>
        </w:rPr>
        <w:t xml:space="preserve"> </w:t>
      </w:r>
      <w:r w:rsidRPr="00FE4ADC">
        <w:rPr>
          <w:rFonts w:asciiTheme="minorBidi" w:hAnsiTheme="minorBidi" w:cs="Arial" w:hint="cs"/>
          <w:sz w:val="18"/>
          <w:szCs w:val="18"/>
          <w:rtl/>
        </w:rPr>
        <w:t>לרה</w:t>
      </w:r>
      <w:r w:rsidRPr="00FE4ADC">
        <w:rPr>
          <w:rFonts w:asciiTheme="minorBidi" w:hAnsiTheme="minorBidi" w:cs="Arial"/>
          <w:sz w:val="18"/>
          <w:szCs w:val="18"/>
          <w:rtl/>
        </w:rPr>
        <w:t>"</w:t>
      </w:r>
      <w:r w:rsidRPr="00FE4ADC">
        <w:rPr>
          <w:rFonts w:asciiTheme="minorBidi" w:hAnsiTheme="minorBidi" w:cs="Arial" w:hint="cs"/>
          <w:sz w:val="18"/>
          <w:szCs w:val="18"/>
          <w:rtl/>
        </w:rPr>
        <w:t>י</w:t>
      </w:r>
      <w:r w:rsidRPr="00FE4ADC">
        <w:rPr>
          <w:rFonts w:asciiTheme="minorBidi" w:hAnsiTheme="minorBidi" w:cs="Arial"/>
          <w:sz w:val="18"/>
          <w:szCs w:val="18"/>
          <w:rtl/>
        </w:rPr>
        <w:t xml:space="preserve"> </w:t>
      </w:r>
      <w:r w:rsidRPr="00FE4ADC">
        <w:rPr>
          <w:rFonts w:asciiTheme="minorBidi" w:hAnsiTheme="minorBidi" w:cs="Arial" w:hint="cs"/>
          <w:sz w:val="18"/>
          <w:szCs w:val="18"/>
          <w:rtl/>
        </w:rPr>
        <w:t>נמי</w:t>
      </w:r>
      <w:r w:rsidRPr="00FE4ADC">
        <w:rPr>
          <w:rFonts w:asciiTheme="minorBidi" w:hAnsiTheme="minorBidi" w:cs="Arial"/>
          <w:sz w:val="18"/>
          <w:szCs w:val="18"/>
          <w:rtl/>
        </w:rPr>
        <w:t xml:space="preserve"> </w:t>
      </w:r>
      <w:r w:rsidRPr="00FE4ADC">
        <w:rPr>
          <w:rFonts w:asciiTheme="minorBidi" w:hAnsiTheme="minorBidi" w:cs="Arial" w:hint="cs"/>
          <w:sz w:val="18"/>
          <w:szCs w:val="18"/>
          <w:rtl/>
        </w:rPr>
        <w:t>שרי</w:t>
      </w:r>
      <w:r w:rsidRPr="00FE4ADC">
        <w:rPr>
          <w:rFonts w:asciiTheme="minorBidi" w:hAnsiTheme="minorBidi" w:cs="Arial"/>
          <w:sz w:val="18"/>
          <w:szCs w:val="18"/>
          <w:rtl/>
        </w:rPr>
        <w:t xml:space="preserve">, </w:t>
      </w:r>
      <w:r w:rsidRPr="00FE4ADC">
        <w:rPr>
          <w:rFonts w:asciiTheme="minorBidi" w:hAnsiTheme="minorBidi" w:cs="Arial" w:hint="cs"/>
          <w:sz w:val="18"/>
          <w:szCs w:val="18"/>
          <w:rtl/>
        </w:rPr>
        <w:t>דהא</w:t>
      </w:r>
      <w:r w:rsidRPr="00FE4ADC">
        <w:rPr>
          <w:rFonts w:asciiTheme="minorBidi" w:hAnsiTheme="minorBidi" w:cs="Arial"/>
          <w:sz w:val="18"/>
          <w:szCs w:val="18"/>
          <w:rtl/>
        </w:rPr>
        <w:t xml:space="preserve"> </w:t>
      </w:r>
      <w:r w:rsidRPr="00FE4ADC">
        <w:rPr>
          <w:rFonts w:asciiTheme="minorBidi" w:hAnsiTheme="minorBidi" w:cs="Arial" w:hint="cs"/>
          <w:sz w:val="18"/>
          <w:szCs w:val="18"/>
          <w:rtl/>
        </w:rPr>
        <w:t>נמי</w:t>
      </w:r>
      <w:r w:rsidRPr="00FE4ADC">
        <w:rPr>
          <w:rFonts w:asciiTheme="minorBidi" w:hAnsiTheme="minorBidi" w:cs="Arial"/>
          <w:sz w:val="18"/>
          <w:szCs w:val="18"/>
          <w:rtl/>
        </w:rPr>
        <w:t xml:space="preserve"> </w:t>
      </w:r>
      <w:r w:rsidRPr="00FE4ADC">
        <w:rPr>
          <w:rFonts w:asciiTheme="minorBidi" w:hAnsiTheme="minorBidi" w:cs="Arial" w:hint="cs"/>
          <w:sz w:val="18"/>
          <w:szCs w:val="18"/>
          <w:rtl/>
        </w:rPr>
        <w:t>אינו</w:t>
      </w:r>
      <w:r w:rsidRPr="00FE4ADC">
        <w:rPr>
          <w:rFonts w:asciiTheme="minorBidi" w:hAnsiTheme="minorBidi" w:cs="Arial"/>
          <w:sz w:val="18"/>
          <w:szCs w:val="18"/>
          <w:rtl/>
        </w:rPr>
        <w:t xml:space="preserve"> </w:t>
      </w:r>
      <w:r w:rsidRPr="00FE4ADC">
        <w:rPr>
          <w:rFonts w:asciiTheme="minorBidi" w:hAnsiTheme="minorBidi" w:cs="Arial" w:hint="cs"/>
          <w:sz w:val="18"/>
          <w:szCs w:val="18"/>
          <w:rtl/>
        </w:rPr>
        <w:t>רק</w:t>
      </w:r>
      <w:r w:rsidRPr="00FE4ADC">
        <w:rPr>
          <w:rFonts w:asciiTheme="minorBidi" w:hAnsiTheme="minorBidi" w:cs="Arial"/>
          <w:sz w:val="18"/>
          <w:szCs w:val="18"/>
          <w:rtl/>
        </w:rPr>
        <w:t xml:space="preserve"> </w:t>
      </w:r>
      <w:r w:rsidRPr="00FE4ADC">
        <w:rPr>
          <w:rFonts w:asciiTheme="minorBidi" w:hAnsiTheme="minorBidi" w:cs="Arial" w:hint="cs"/>
          <w:sz w:val="18"/>
          <w:szCs w:val="18"/>
          <w:rtl/>
        </w:rPr>
        <w:t>איסור</w:t>
      </w:r>
      <w:r w:rsidRPr="00FE4ADC">
        <w:rPr>
          <w:rFonts w:asciiTheme="minorBidi" w:hAnsiTheme="minorBidi" w:cs="Arial"/>
          <w:sz w:val="18"/>
          <w:szCs w:val="18"/>
          <w:rtl/>
        </w:rPr>
        <w:t xml:space="preserve"> </w:t>
      </w:r>
      <w:r w:rsidRPr="00FE4ADC">
        <w:rPr>
          <w:rFonts w:asciiTheme="minorBidi" w:hAnsiTheme="minorBidi" w:cs="Arial" w:hint="cs"/>
          <w:sz w:val="18"/>
          <w:szCs w:val="18"/>
          <w:rtl/>
        </w:rPr>
        <w:t>דרבנן</w:t>
      </w:r>
      <w:r w:rsidRPr="00FE4ADC">
        <w:rPr>
          <w:rFonts w:asciiTheme="minorBidi" w:hAnsiTheme="minorBidi" w:cs="Arial"/>
          <w:sz w:val="18"/>
          <w:szCs w:val="18"/>
          <w:rtl/>
        </w:rPr>
        <w:t xml:space="preserve">, </w:t>
      </w:r>
      <w:r w:rsidRPr="00FE4ADC">
        <w:rPr>
          <w:rFonts w:asciiTheme="minorBidi" w:hAnsiTheme="minorBidi" w:cs="Arial" w:hint="cs"/>
          <w:sz w:val="18"/>
          <w:szCs w:val="18"/>
          <w:rtl/>
        </w:rPr>
        <w:t>ומשום</w:t>
      </w:r>
      <w:r w:rsidRPr="00FE4ADC">
        <w:rPr>
          <w:rFonts w:asciiTheme="minorBidi" w:hAnsiTheme="minorBidi" w:cs="Arial"/>
          <w:sz w:val="18"/>
          <w:szCs w:val="18"/>
          <w:rtl/>
        </w:rPr>
        <w:t xml:space="preserve"> </w:t>
      </w:r>
      <w:r w:rsidRPr="00FE4ADC">
        <w:rPr>
          <w:rFonts w:asciiTheme="minorBidi" w:hAnsiTheme="minorBidi" w:cs="Arial" w:hint="cs"/>
          <w:sz w:val="18"/>
          <w:szCs w:val="18"/>
          <w:rtl/>
        </w:rPr>
        <w:t>כבוד</w:t>
      </w:r>
      <w:r w:rsidRPr="00FE4ADC">
        <w:rPr>
          <w:rFonts w:asciiTheme="minorBidi" w:hAnsiTheme="minorBidi" w:cs="Arial"/>
          <w:sz w:val="18"/>
          <w:szCs w:val="18"/>
          <w:rtl/>
        </w:rPr>
        <w:t xml:space="preserve"> </w:t>
      </w:r>
      <w:r w:rsidRPr="00FE4ADC">
        <w:rPr>
          <w:rFonts w:asciiTheme="minorBidi" w:hAnsiTheme="minorBidi" w:cs="Arial" w:hint="cs"/>
          <w:sz w:val="18"/>
          <w:szCs w:val="18"/>
          <w:rtl/>
        </w:rPr>
        <w:t>הבריות</w:t>
      </w:r>
      <w:r w:rsidRPr="00FE4ADC">
        <w:rPr>
          <w:rFonts w:asciiTheme="minorBidi" w:hAnsiTheme="minorBidi" w:cs="Arial"/>
          <w:sz w:val="18"/>
          <w:szCs w:val="18"/>
          <w:rtl/>
        </w:rPr>
        <w:t xml:space="preserve"> </w:t>
      </w:r>
      <w:r w:rsidRPr="00FE4ADC">
        <w:rPr>
          <w:rFonts w:asciiTheme="minorBidi" w:hAnsiTheme="minorBidi" w:cs="Arial" w:hint="cs"/>
          <w:sz w:val="18"/>
          <w:szCs w:val="18"/>
          <w:rtl/>
        </w:rPr>
        <w:t>התירוהו</w:t>
      </w:r>
      <w:r w:rsidRPr="00FE4ADC">
        <w:rPr>
          <w:rFonts w:asciiTheme="minorBidi" w:hAnsiTheme="minorBidi" w:cs="Arial"/>
          <w:sz w:val="18"/>
          <w:szCs w:val="18"/>
          <w:rtl/>
        </w:rPr>
        <w:t xml:space="preserve"> (</w:t>
      </w:r>
      <w:r w:rsidRPr="00FE4ADC">
        <w:rPr>
          <w:rFonts w:asciiTheme="minorBidi" w:hAnsiTheme="minorBidi" w:cs="Arial" w:hint="cs"/>
          <w:sz w:val="18"/>
          <w:szCs w:val="18"/>
          <w:rtl/>
        </w:rPr>
        <w:t>תוס</w:t>
      </w:r>
      <w:r w:rsidR="002E5320">
        <w:rPr>
          <w:rFonts w:asciiTheme="minorBidi" w:hAnsiTheme="minorBidi" w:cs="Arial" w:hint="cs"/>
          <w:sz w:val="18"/>
          <w:szCs w:val="18"/>
          <w:rtl/>
        </w:rPr>
        <w:t>'</w:t>
      </w:r>
      <w:r w:rsidRPr="00FE4ADC">
        <w:rPr>
          <w:rFonts w:asciiTheme="minorBidi" w:hAnsiTheme="minorBidi" w:cs="Arial"/>
          <w:sz w:val="18"/>
          <w:szCs w:val="18"/>
          <w:rtl/>
        </w:rPr>
        <w:t xml:space="preserve"> </w:t>
      </w:r>
      <w:r w:rsidRPr="00FE4ADC">
        <w:rPr>
          <w:rFonts w:asciiTheme="minorBidi" w:hAnsiTheme="minorBidi" w:cs="Arial" w:hint="cs"/>
          <w:sz w:val="18"/>
          <w:szCs w:val="18"/>
          <w:rtl/>
        </w:rPr>
        <w:t>והג</w:t>
      </w:r>
      <w:r w:rsidR="002E5320">
        <w:rPr>
          <w:rFonts w:asciiTheme="minorBidi" w:hAnsiTheme="minorBidi" w:cs="Arial" w:hint="cs"/>
          <w:sz w:val="18"/>
          <w:szCs w:val="18"/>
          <w:rtl/>
        </w:rPr>
        <w:t>מ"ר</w:t>
      </w:r>
      <w:r w:rsidRPr="00FE4ADC">
        <w:rPr>
          <w:rFonts w:asciiTheme="minorBidi" w:hAnsiTheme="minorBidi" w:cs="Arial"/>
          <w:sz w:val="18"/>
          <w:szCs w:val="18"/>
          <w:rtl/>
        </w:rPr>
        <w:t>).</w:t>
      </w:r>
      <w:r w:rsidRPr="00F936FC">
        <w:rPr>
          <w:rFonts w:asciiTheme="minorBidi" w:hAnsiTheme="minorBidi" w:cs="Arial"/>
          <w:rtl/>
        </w:rPr>
        <w:t xml:space="preserve"> </w:t>
      </w:r>
    </w:p>
    <w:p w14:paraId="068709F2" w14:textId="77777777" w:rsidR="00FE4ADC" w:rsidRPr="00F936FC" w:rsidRDefault="00FE4ADC" w:rsidP="00434A6A">
      <w:pPr>
        <w:rPr>
          <w:rFonts w:asciiTheme="minorBidi" w:hAnsiTheme="minorBidi"/>
          <w:rtl/>
        </w:rPr>
      </w:pPr>
    </w:p>
    <w:p w14:paraId="0D1000CB" w14:textId="433D06CA" w:rsidR="00F936FC" w:rsidRDefault="00F936FC" w:rsidP="00434A6A">
      <w:pPr>
        <w:pStyle w:val="2"/>
        <w:rPr>
          <w:rtl/>
        </w:rPr>
      </w:pPr>
      <w:r w:rsidRPr="00F936FC">
        <w:rPr>
          <w:rFonts w:hint="cs"/>
          <w:rtl/>
        </w:rPr>
        <w:t>סעיף</w:t>
      </w:r>
      <w:r w:rsidRPr="00F936FC">
        <w:rPr>
          <w:rtl/>
        </w:rPr>
        <w:t xml:space="preserve"> </w:t>
      </w:r>
      <w:r w:rsidRPr="00F936FC">
        <w:rPr>
          <w:rFonts w:hint="cs"/>
          <w:rtl/>
        </w:rPr>
        <w:t>ב</w:t>
      </w:r>
      <w:r w:rsidR="0031049A">
        <w:rPr>
          <w:rFonts w:hint="cs"/>
          <w:rtl/>
        </w:rPr>
        <w:t xml:space="preserve">: </w:t>
      </w:r>
      <w:r w:rsidR="00577FD6">
        <w:rPr>
          <w:rFonts w:hint="cs"/>
          <w:rtl/>
        </w:rPr>
        <w:t>אבנים שנשתקעו בקרקע מחמת הגשמים.</w:t>
      </w:r>
    </w:p>
    <w:p w14:paraId="565E654C" w14:textId="19D212EF" w:rsidR="004C5375" w:rsidRDefault="0031049A" w:rsidP="00434A6A">
      <w:pPr>
        <w:rPr>
          <w:rFonts w:cs="Arial"/>
          <w:rtl/>
        </w:rPr>
      </w:pPr>
      <w:r w:rsidRPr="00E24BC4">
        <w:rPr>
          <w:rFonts w:cs="Arial" w:hint="cs"/>
          <w:b/>
          <w:bCs/>
          <w:rtl/>
        </w:rPr>
        <w:t xml:space="preserve">שבת </w:t>
      </w:r>
      <w:r w:rsidRPr="00E24BC4">
        <w:rPr>
          <w:rFonts w:cs="Arial" w:hint="cs"/>
          <w:b/>
          <w:bCs/>
          <w:sz w:val="16"/>
          <w:szCs w:val="16"/>
          <w:rtl/>
        </w:rPr>
        <w:t>(ס"פ</w:t>
      </w:r>
      <w:r w:rsidRPr="00E24BC4">
        <w:rPr>
          <w:rFonts w:cs="Arial"/>
          <w:b/>
          <w:bCs/>
          <w:sz w:val="16"/>
          <w:szCs w:val="16"/>
          <w:rtl/>
        </w:rPr>
        <w:t xml:space="preserve"> המוציא יין</w:t>
      </w:r>
      <w:r w:rsidRPr="00E24BC4">
        <w:rPr>
          <w:rFonts w:cs="Arial" w:hint="cs"/>
          <w:b/>
          <w:bCs/>
          <w:sz w:val="16"/>
          <w:szCs w:val="16"/>
          <w:rtl/>
        </w:rPr>
        <w:t>)</w:t>
      </w:r>
      <w:r w:rsidRPr="00E24BC4">
        <w:rPr>
          <w:rFonts w:cs="Arial"/>
          <w:b/>
          <w:bCs/>
          <w:rtl/>
        </w:rPr>
        <w:t xml:space="preserve"> פא</w:t>
      </w:r>
      <w:r w:rsidRPr="00E24BC4">
        <w:rPr>
          <w:rFonts w:cs="Arial" w:hint="cs"/>
          <w:b/>
          <w:bCs/>
          <w:rtl/>
        </w:rPr>
        <w:t xml:space="preserve"> ע"א:</w:t>
      </w:r>
      <w:r>
        <w:rPr>
          <w:rFonts w:cs="Arial"/>
          <w:rtl/>
        </w:rPr>
        <w:t xml:space="preserve"> </w:t>
      </w:r>
      <w:r w:rsidRPr="004441DC">
        <w:rPr>
          <w:rFonts w:cs="Arial"/>
          <w:u w:val="single"/>
          <w:rtl/>
        </w:rPr>
        <w:t>אמר רבי ינאי</w:t>
      </w:r>
      <w:r w:rsidRPr="004441DC">
        <w:rPr>
          <w:rFonts w:cs="Arial"/>
          <w:rtl/>
        </w:rPr>
        <w:t>: אם יש מקום קבוע לבית הכסא</w:t>
      </w:r>
      <w:r>
        <w:rPr>
          <w:rStyle w:val="a9"/>
          <w:rFonts w:cs="Arial"/>
          <w:rtl/>
        </w:rPr>
        <w:footnoteReference w:id="1981"/>
      </w:r>
      <w:r w:rsidRPr="004441DC">
        <w:rPr>
          <w:rFonts w:cs="Arial"/>
          <w:rtl/>
        </w:rPr>
        <w:t xml:space="preserve"> - מלא היד, אם לאו - כהכרע</w:t>
      </w:r>
      <w:r>
        <w:rPr>
          <w:rStyle w:val="a9"/>
          <w:rFonts w:cs="Arial"/>
          <w:rtl/>
        </w:rPr>
        <w:footnoteReference w:id="1982"/>
      </w:r>
      <w:r w:rsidR="000F32AA">
        <w:rPr>
          <w:rFonts w:cs="Arial" w:hint="cs"/>
          <w:rtl/>
        </w:rPr>
        <w:t>[.]</w:t>
      </w:r>
      <w:r w:rsidRPr="004441DC">
        <w:rPr>
          <w:rFonts w:cs="Arial"/>
          <w:rtl/>
        </w:rPr>
        <w:t xml:space="preserve"> מדוכה קטנה</w:t>
      </w:r>
      <w:r>
        <w:rPr>
          <w:rStyle w:val="a9"/>
          <w:rFonts w:cs="Arial"/>
          <w:rtl/>
        </w:rPr>
        <w:footnoteReference w:id="1983"/>
      </w:r>
      <w:r w:rsidRPr="004441DC">
        <w:rPr>
          <w:rFonts w:cs="Arial"/>
          <w:rtl/>
        </w:rPr>
        <w:t xml:space="preserve"> של בשמים</w:t>
      </w:r>
      <w:r>
        <w:rPr>
          <w:rFonts w:cs="Arial" w:hint="cs"/>
          <w:rtl/>
        </w:rPr>
        <w:t>,</w:t>
      </w:r>
      <w:r w:rsidRPr="004441DC">
        <w:rPr>
          <w:rFonts w:cs="Arial"/>
          <w:rtl/>
        </w:rPr>
        <w:t xml:space="preserve"> </w:t>
      </w:r>
      <w:r w:rsidRPr="004441DC">
        <w:rPr>
          <w:rFonts w:cs="Arial"/>
          <w:u w:val="single"/>
          <w:rtl/>
        </w:rPr>
        <w:t>אמר רב ששת</w:t>
      </w:r>
      <w:r w:rsidRPr="004441DC">
        <w:rPr>
          <w:rFonts w:cs="Arial"/>
          <w:rtl/>
        </w:rPr>
        <w:t>: אם יש עליה עד</w:t>
      </w:r>
      <w:r>
        <w:rPr>
          <w:rStyle w:val="a9"/>
          <w:rFonts w:cs="Arial"/>
          <w:rtl/>
        </w:rPr>
        <w:footnoteReference w:id="1984"/>
      </w:r>
      <w:r w:rsidRPr="004441DC">
        <w:rPr>
          <w:rFonts w:cs="Arial"/>
          <w:rtl/>
        </w:rPr>
        <w:t xml:space="preserve"> - מותר</w:t>
      </w:r>
      <w:r>
        <w:rPr>
          <w:rFonts w:cs="Arial" w:hint="cs"/>
          <w:rtl/>
        </w:rPr>
        <w:t xml:space="preserve">... </w:t>
      </w:r>
      <w:r w:rsidRPr="0031049A">
        <w:rPr>
          <w:rFonts w:cs="Arial"/>
          <w:u w:val="single"/>
          <w:rtl/>
        </w:rPr>
        <w:t>אמר ליה אביי לרב יוסף</w:t>
      </w:r>
      <w:r w:rsidRPr="0031049A">
        <w:rPr>
          <w:rFonts w:cs="Arial"/>
          <w:rtl/>
        </w:rPr>
        <w:t>: ירדו עליה גשמים ונשטשטשו</w:t>
      </w:r>
      <w:r w:rsidR="0080220E">
        <w:rPr>
          <w:rStyle w:val="a9"/>
          <w:rFonts w:cs="Arial"/>
          <w:rtl/>
        </w:rPr>
        <w:footnoteReference w:id="1985"/>
      </w:r>
      <w:r w:rsidRPr="0031049A">
        <w:rPr>
          <w:rFonts w:cs="Arial"/>
          <w:rtl/>
        </w:rPr>
        <w:t>, מהו</w:t>
      </w:r>
      <w:r w:rsidR="0080220E">
        <w:rPr>
          <w:rStyle w:val="a9"/>
          <w:rFonts w:cs="Arial"/>
          <w:rtl/>
        </w:rPr>
        <w:footnoteReference w:id="1986"/>
      </w:r>
      <w:r w:rsidRPr="0031049A">
        <w:rPr>
          <w:rFonts w:cs="Arial"/>
          <w:rtl/>
        </w:rPr>
        <w:t xml:space="preserve">? </w:t>
      </w:r>
      <w:r w:rsidRPr="0080220E">
        <w:rPr>
          <w:rFonts w:cs="Arial"/>
          <w:u w:val="single"/>
          <w:rtl/>
        </w:rPr>
        <w:t>אמר ליה</w:t>
      </w:r>
      <w:r w:rsidRPr="0031049A">
        <w:rPr>
          <w:rFonts w:cs="Arial"/>
          <w:rtl/>
        </w:rPr>
        <w:t>: אם היה רישומן ניכר - מותר</w:t>
      </w:r>
      <w:r w:rsidR="0080220E">
        <w:rPr>
          <w:rStyle w:val="a9"/>
          <w:rFonts w:cs="Arial"/>
          <w:rtl/>
        </w:rPr>
        <w:footnoteReference w:id="1987"/>
      </w:r>
      <w:r w:rsidRPr="0031049A">
        <w:rPr>
          <w:rFonts w:cs="Arial"/>
          <w:rtl/>
        </w:rPr>
        <w:t xml:space="preserve">. </w:t>
      </w:r>
      <w:r w:rsidR="00577FD6" w:rsidRPr="00577FD6">
        <w:rPr>
          <w:rFonts w:cs="Arial" w:hint="cs"/>
          <w:sz w:val="16"/>
          <w:szCs w:val="16"/>
          <w:rtl/>
        </w:rPr>
        <w:t>(</w:t>
      </w:r>
      <w:r w:rsidR="00577FD6">
        <w:rPr>
          <w:rFonts w:cs="Arial" w:hint="cs"/>
          <w:sz w:val="16"/>
          <w:szCs w:val="16"/>
          <w:rtl/>
        </w:rPr>
        <w:t xml:space="preserve">מבואר מפרש"י דנטשטש קאי אעד שנמצא על המדוכה. </w:t>
      </w:r>
      <w:r w:rsidR="004C5375" w:rsidRPr="00577FD6">
        <w:rPr>
          <w:rFonts w:cs="Arial"/>
          <w:sz w:val="16"/>
          <w:szCs w:val="16"/>
          <w:rtl/>
        </w:rPr>
        <w:t>וכיוצא בזה פירש הרא"ש (סי' ב) דקאי ארב ששת</w:t>
      </w:r>
      <w:r w:rsidR="0080220E" w:rsidRPr="00577FD6">
        <w:rPr>
          <w:rFonts w:cs="Arial" w:hint="cs"/>
          <w:sz w:val="16"/>
          <w:szCs w:val="16"/>
          <w:rtl/>
        </w:rPr>
        <w:t>,</w:t>
      </w:r>
      <w:r w:rsidR="004C5375" w:rsidRPr="00577FD6">
        <w:rPr>
          <w:rFonts w:cs="Arial"/>
          <w:sz w:val="16"/>
          <w:szCs w:val="16"/>
          <w:rtl/>
        </w:rPr>
        <w:t xml:space="preserve"> אלא דלטעמיה אזיל</w:t>
      </w:r>
      <w:r w:rsidR="00577FD6">
        <w:rPr>
          <w:rFonts w:cs="Arial" w:hint="cs"/>
          <w:sz w:val="16"/>
          <w:szCs w:val="16"/>
          <w:rtl/>
        </w:rPr>
        <w:t>,</w:t>
      </w:r>
      <w:r w:rsidR="004C5375" w:rsidRPr="00577FD6">
        <w:rPr>
          <w:rFonts w:cs="Arial"/>
          <w:sz w:val="16"/>
          <w:szCs w:val="16"/>
          <w:rtl/>
        </w:rPr>
        <w:t xml:space="preserve"> שפירש דרב ששת לאו אמדוכה קאי אלא אאבן גדולה או שהם יותר ממלא היד וניכר שקנחו בה מותר לטלטל כולן שכבר הוכנו</w:t>
      </w:r>
      <w:r w:rsidR="000F32AA" w:rsidRPr="00577FD6">
        <w:rPr>
          <w:rFonts w:cs="Arial" w:hint="cs"/>
          <w:sz w:val="16"/>
          <w:szCs w:val="16"/>
          <w:rtl/>
        </w:rPr>
        <w:t>,</w:t>
      </w:r>
      <w:r w:rsidR="004C5375" w:rsidRPr="00577FD6">
        <w:rPr>
          <w:rFonts w:cs="Arial"/>
          <w:sz w:val="16"/>
          <w:szCs w:val="16"/>
          <w:rtl/>
        </w:rPr>
        <w:t xml:space="preserve"> והשתא מיבעיא ליה אם ירדו עליהם גשמים ונטשטשו כלומר והעביר את הקינוח מהו</w:t>
      </w:r>
      <w:r w:rsidR="000F32AA" w:rsidRPr="00577FD6">
        <w:rPr>
          <w:rFonts w:cs="Arial" w:hint="cs"/>
          <w:sz w:val="16"/>
          <w:szCs w:val="16"/>
          <w:rtl/>
        </w:rPr>
        <w:t>,</w:t>
      </w:r>
      <w:r w:rsidR="004C5375" w:rsidRPr="00577FD6">
        <w:rPr>
          <w:rFonts w:cs="Arial"/>
          <w:sz w:val="16"/>
          <w:szCs w:val="16"/>
          <w:rtl/>
        </w:rPr>
        <w:t xml:space="preserve"> אמר ליה אם רישומו ניכר מותר. אבל הרי"ף (לד.) פירש כלומר אם ירדו גשמים על האבנים המקורזלות האלו ונטבעו בקרקע</w:t>
      </w:r>
      <w:r w:rsidR="000F32AA" w:rsidRPr="00577FD6">
        <w:rPr>
          <w:rFonts w:cs="Arial" w:hint="cs"/>
          <w:sz w:val="16"/>
          <w:szCs w:val="16"/>
          <w:rtl/>
        </w:rPr>
        <w:t>,</w:t>
      </w:r>
      <w:r w:rsidR="004C5375" w:rsidRPr="00577FD6">
        <w:rPr>
          <w:rFonts w:cs="Arial"/>
          <w:sz w:val="16"/>
          <w:szCs w:val="16"/>
          <w:rtl/>
        </w:rPr>
        <w:t xml:space="preserve"> מהו</w:t>
      </w:r>
      <w:r w:rsidR="000F32AA" w:rsidRPr="00577FD6">
        <w:rPr>
          <w:rFonts w:cs="Arial" w:hint="cs"/>
          <w:sz w:val="16"/>
          <w:szCs w:val="16"/>
          <w:rtl/>
        </w:rPr>
        <w:t>,</w:t>
      </w:r>
      <w:r w:rsidR="004C5375" w:rsidRPr="00577FD6">
        <w:rPr>
          <w:rFonts w:cs="Arial"/>
          <w:sz w:val="16"/>
          <w:szCs w:val="16"/>
          <w:rtl/>
        </w:rPr>
        <w:t xml:space="preserve"> מי חיישינן שיהא כסותר או כטוחן או לא</w:t>
      </w:r>
      <w:r w:rsidR="000F32AA" w:rsidRPr="00577FD6">
        <w:rPr>
          <w:rFonts w:cs="Arial" w:hint="cs"/>
          <w:sz w:val="16"/>
          <w:szCs w:val="16"/>
          <w:rtl/>
        </w:rPr>
        <w:t>.</w:t>
      </w:r>
      <w:r w:rsidR="004C5375" w:rsidRPr="00577FD6">
        <w:rPr>
          <w:rFonts w:cs="Arial"/>
          <w:sz w:val="16"/>
          <w:szCs w:val="16"/>
          <w:rtl/>
        </w:rPr>
        <w:t xml:space="preserve"> אמר ליה אם היה רישומו ניכר מותר</w:t>
      </w:r>
      <w:r w:rsidR="000F32AA" w:rsidRPr="00577FD6">
        <w:rPr>
          <w:rFonts w:cs="Arial" w:hint="cs"/>
          <w:sz w:val="16"/>
          <w:szCs w:val="16"/>
          <w:rtl/>
        </w:rPr>
        <w:t>.</w:t>
      </w:r>
      <w:r w:rsidR="004C5375" w:rsidRPr="00577FD6">
        <w:rPr>
          <w:rFonts w:cs="Arial"/>
          <w:sz w:val="16"/>
          <w:szCs w:val="16"/>
          <w:rtl/>
        </w:rPr>
        <w:t xml:space="preserve"> וכדבריו כתב הרמב"ם בפרק כ"ו (ה"ד)</w:t>
      </w:r>
      <w:r w:rsidR="00577FD6">
        <w:rPr>
          <w:rFonts w:cs="Arial" w:hint="cs"/>
          <w:sz w:val="16"/>
          <w:szCs w:val="16"/>
          <w:rtl/>
        </w:rPr>
        <w:t>, ב"י)</w:t>
      </w:r>
    </w:p>
    <w:p w14:paraId="5D42E36D" w14:textId="6F7EFE1C" w:rsidR="00577FD6" w:rsidRPr="00577FD6" w:rsidRDefault="00577FD6" w:rsidP="00434A6A">
      <w:pPr>
        <w:rPr>
          <w:u w:val="single"/>
        </w:rPr>
      </w:pPr>
      <w:r w:rsidRPr="00A477F2">
        <w:rPr>
          <w:rFonts w:hint="cs"/>
          <w:u w:val="single"/>
          <w:rtl/>
        </w:rPr>
        <w:t>טלטול אבנים על מנת לקנח בהם:</w:t>
      </w:r>
    </w:p>
    <w:p w14:paraId="44490CCD" w14:textId="19FC52E4" w:rsidR="00577FD6" w:rsidRPr="00577FD6" w:rsidRDefault="00577FD6" w:rsidP="00434A6A">
      <w:pPr>
        <w:pStyle w:val="aa"/>
        <w:numPr>
          <w:ilvl w:val="0"/>
          <w:numId w:val="15"/>
        </w:numPr>
        <w:rPr>
          <w:rtl/>
        </w:rPr>
      </w:pPr>
      <w:r>
        <w:rPr>
          <w:rFonts w:cs="Arial" w:hint="cs"/>
          <w:rtl/>
        </w:rPr>
        <w:t xml:space="preserve">רמב"ם </w:t>
      </w:r>
      <w:r>
        <w:rPr>
          <w:rFonts w:cs="Arial" w:hint="cs"/>
          <w:sz w:val="16"/>
          <w:szCs w:val="16"/>
          <w:rtl/>
        </w:rPr>
        <w:t>(פכ"ו ה"ד)</w:t>
      </w:r>
      <w:r>
        <w:rPr>
          <w:rFonts w:cs="Arial" w:hint="cs"/>
          <w:rtl/>
        </w:rPr>
        <w:t xml:space="preserve">- </w:t>
      </w:r>
      <w:r w:rsidR="00C637FF" w:rsidRPr="00C637FF">
        <w:rPr>
          <w:rFonts w:cs="Arial"/>
          <w:rtl/>
        </w:rPr>
        <w:t>ירדו עליהן גשמים ונשתקעו בטיט</w:t>
      </w:r>
      <w:r>
        <w:rPr>
          <w:rFonts w:cs="Arial" w:hint="cs"/>
          <w:rtl/>
        </w:rPr>
        <w:t>,</w:t>
      </w:r>
      <w:r w:rsidRPr="00577FD6">
        <w:rPr>
          <w:rFonts w:cs="Arial"/>
          <w:rtl/>
        </w:rPr>
        <w:t xml:space="preserve"> אם רישומן ניכר </w:t>
      </w:r>
      <w:r>
        <w:rPr>
          <w:rFonts w:cs="Arial" w:hint="cs"/>
          <w:rtl/>
        </w:rPr>
        <w:t xml:space="preserve">- </w:t>
      </w:r>
      <w:r w:rsidRPr="00577FD6">
        <w:rPr>
          <w:rFonts w:cs="Arial"/>
          <w:rtl/>
        </w:rPr>
        <w:t>מותר לטלטלן</w:t>
      </w:r>
      <w:r w:rsidRPr="00FE4ADC">
        <w:rPr>
          <w:rFonts w:cs="Arial"/>
          <w:rtl/>
        </w:rPr>
        <w:t>.</w:t>
      </w:r>
      <w:r w:rsidRPr="002B45A4">
        <w:rPr>
          <w:rFonts w:cs="Arial"/>
          <w:rtl/>
        </w:rPr>
        <w:t xml:space="preserve"> </w:t>
      </w:r>
      <w:r w:rsidRPr="00D172C6">
        <w:rPr>
          <w:rFonts w:hint="cs"/>
          <w:color w:val="E36C0A" w:themeColor="accent6" w:themeShade="BF"/>
          <w:rtl/>
        </w:rPr>
        <w:t>(וכ"פ בשו"ע)</w:t>
      </w:r>
    </w:p>
    <w:p w14:paraId="3F1943DA" w14:textId="77777777" w:rsidR="002B45A4" w:rsidRPr="00D10A83" w:rsidRDefault="002B45A4" w:rsidP="00434A6A">
      <w:pPr>
        <w:rPr>
          <w:rFonts w:asciiTheme="minorBidi" w:hAnsiTheme="minorBidi"/>
          <w:rtl/>
        </w:rPr>
      </w:pPr>
      <w:r w:rsidRPr="005275DF">
        <w:rPr>
          <w:rFonts w:asciiTheme="minorBidi" w:hAnsiTheme="minorBidi"/>
          <w:b/>
          <w:bCs/>
          <w:sz w:val="32"/>
          <w:szCs w:val="28"/>
          <w:u w:val="single"/>
          <w:rtl/>
        </w:rPr>
        <w:t xml:space="preserve">שו"ע: </w:t>
      </w:r>
    </w:p>
    <w:p w14:paraId="39FB2DE9" w14:textId="65634722" w:rsidR="00F936FC" w:rsidRDefault="00F936FC" w:rsidP="00434A6A">
      <w:pPr>
        <w:rPr>
          <w:rFonts w:asciiTheme="minorBidi" w:hAnsiTheme="minorBidi"/>
          <w:rtl/>
        </w:rPr>
      </w:pPr>
      <w:r w:rsidRPr="00F936FC">
        <w:rPr>
          <w:rFonts w:asciiTheme="minorBidi" w:hAnsiTheme="minorBidi" w:cs="Arial" w:hint="cs"/>
          <w:rtl/>
        </w:rPr>
        <w:t>אם</w:t>
      </w:r>
      <w:r w:rsidRPr="00F936FC">
        <w:rPr>
          <w:rFonts w:asciiTheme="minorBidi" w:hAnsiTheme="minorBidi" w:cs="Arial"/>
          <w:rtl/>
        </w:rPr>
        <w:t xml:space="preserve"> </w:t>
      </w:r>
      <w:r w:rsidRPr="00F936FC">
        <w:rPr>
          <w:rFonts w:asciiTheme="minorBidi" w:hAnsiTheme="minorBidi" w:cs="Arial" w:hint="cs"/>
          <w:rtl/>
        </w:rPr>
        <w:t>ירדו</w:t>
      </w:r>
      <w:r w:rsidRPr="00F936FC">
        <w:rPr>
          <w:rFonts w:asciiTheme="minorBidi" w:hAnsiTheme="minorBidi" w:cs="Arial"/>
          <w:rtl/>
        </w:rPr>
        <w:t xml:space="preserve"> </w:t>
      </w:r>
      <w:r w:rsidRPr="00F936FC">
        <w:rPr>
          <w:rFonts w:asciiTheme="minorBidi" w:hAnsiTheme="minorBidi" w:cs="Arial" w:hint="cs"/>
          <w:rtl/>
        </w:rPr>
        <w:t>גשמים</w:t>
      </w:r>
      <w:r w:rsidRPr="00F936FC">
        <w:rPr>
          <w:rFonts w:asciiTheme="minorBidi" w:hAnsiTheme="minorBidi" w:cs="Arial"/>
          <w:rtl/>
        </w:rPr>
        <w:t xml:space="preserve"> </w:t>
      </w:r>
      <w:r w:rsidRPr="00F936FC">
        <w:rPr>
          <w:rFonts w:asciiTheme="minorBidi" w:hAnsiTheme="minorBidi" w:cs="Arial" w:hint="cs"/>
          <w:rtl/>
        </w:rPr>
        <w:t>על</w:t>
      </w:r>
      <w:r w:rsidRPr="00F936FC">
        <w:rPr>
          <w:rFonts w:asciiTheme="minorBidi" w:hAnsiTheme="minorBidi" w:cs="Arial"/>
          <w:rtl/>
        </w:rPr>
        <w:t xml:space="preserve"> </w:t>
      </w:r>
      <w:r w:rsidRPr="00F936FC">
        <w:rPr>
          <w:rFonts w:asciiTheme="minorBidi" w:hAnsiTheme="minorBidi" w:cs="Arial" w:hint="cs"/>
          <w:rtl/>
        </w:rPr>
        <w:t>האבנים</w:t>
      </w:r>
      <w:r w:rsidR="00C637FF">
        <w:rPr>
          <w:rStyle w:val="a9"/>
          <w:rFonts w:asciiTheme="minorBidi" w:hAnsiTheme="minorBidi" w:cs="Arial"/>
          <w:rtl/>
        </w:rPr>
        <w:footnoteReference w:id="1988"/>
      </w:r>
      <w:r w:rsidRPr="00F936FC">
        <w:rPr>
          <w:rFonts w:asciiTheme="minorBidi" w:hAnsiTheme="minorBidi" w:cs="Arial"/>
          <w:rtl/>
        </w:rPr>
        <w:t xml:space="preserve"> </w:t>
      </w:r>
      <w:r w:rsidRPr="00F936FC">
        <w:rPr>
          <w:rFonts w:asciiTheme="minorBidi" w:hAnsiTheme="minorBidi" w:cs="Arial" w:hint="cs"/>
          <w:rtl/>
        </w:rPr>
        <w:t>ונטבעו</w:t>
      </w:r>
      <w:r w:rsidR="0031049A">
        <w:rPr>
          <w:rFonts w:asciiTheme="minorBidi" w:hAnsiTheme="minorBidi" w:cs="Arial" w:hint="cs"/>
          <w:rtl/>
        </w:rPr>
        <w:t>,</w:t>
      </w:r>
      <w:r w:rsidRPr="00F936FC">
        <w:rPr>
          <w:rFonts w:asciiTheme="minorBidi" w:hAnsiTheme="minorBidi" w:cs="Arial"/>
          <w:rtl/>
        </w:rPr>
        <w:t xml:space="preserve"> </w:t>
      </w:r>
      <w:r w:rsidRPr="00F936FC">
        <w:rPr>
          <w:rFonts w:asciiTheme="minorBidi" w:hAnsiTheme="minorBidi" w:cs="Arial" w:hint="cs"/>
          <w:rtl/>
        </w:rPr>
        <w:t>אם</w:t>
      </w:r>
      <w:r w:rsidRPr="00F936FC">
        <w:rPr>
          <w:rFonts w:asciiTheme="minorBidi" w:hAnsiTheme="minorBidi" w:cs="Arial"/>
          <w:rtl/>
        </w:rPr>
        <w:t xml:space="preserve"> </w:t>
      </w:r>
      <w:r w:rsidRPr="00F936FC">
        <w:rPr>
          <w:rFonts w:asciiTheme="minorBidi" w:hAnsiTheme="minorBidi" w:cs="Arial" w:hint="cs"/>
          <w:rtl/>
        </w:rPr>
        <w:t>רישומן</w:t>
      </w:r>
      <w:r w:rsidRPr="00F936FC">
        <w:rPr>
          <w:rFonts w:asciiTheme="minorBidi" w:hAnsiTheme="minorBidi" w:cs="Arial"/>
          <w:rtl/>
        </w:rPr>
        <w:t xml:space="preserve"> </w:t>
      </w:r>
      <w:r w:rsidRPr="00F936FC">
        <w:rPr>
          <w:rFonts w:asciiTheme="minorBidi" w:hAnsiTheme="minorBidi" w:cs="Arial" w:hint="cs"/>
          <w:rtl/>
        </w:rPr>
        <w:t>ניכר</w:t>
      </w:r>
      <w:r w:rsidR="00C637FF">
        <w:rPr>
          <w:rStyle w:val="a9"/>
          <w:rFonts w:asciiTheme="minorBidi" w:hAnsiTheme="minorBidi" w:cs="Arial"/>
          <w:rtl/>
        </w:rPr>
        <w:footnoteReference w:id="1989"/>
      </w:r>
      <w:r w:rsidRPr="00F936FC">
        <w:rPr>
          <w:rFonts w:asciiTheme="minorBidi" w:hAnsiTheme="minorBidi" w:cs="Arial"/>
          <w:rtl/>
        </w:rPr>
        <w:t xml:space="preserve">, </w:t>
      </w:r>
      <w:r w:rsidRPr="00F936FC">
        <w:rPr>
          <w:rFonts w:asciiTheme="minorBidi" w:hAnsiTheme="minorBidi" w:cs="Arial" w:hint="cs"/>
          <w:rtl/>
        </w:rPr>
        <w:t>מותר</w:t>
      </w:r>
      <w:r w:rsidRPr="00F936FC">
        <w:rPr>
          <w:rFonts w:asciiTheme="minorBidi" w:hAnsiTheme="minorBidi" w:cs="Arial"/>
          <w:rtl/>
        </w:rPr>
        <w:t xml:space="preserve"> </w:t>
      </w:r>
      <w:r w:rsidRPr="00F936FC">
        <w:rPr>
          <w:rFonts w:asciiTheme="minorBidi" w:hAnsiTheme="minorBidi" w:cs="Arial" w:hint="cs"/>
          <w:rtl/>
        </w:rPr>
        <w:t>ליטלן</w:t>
      </w:r>
      <w:r w:rsidRPr="00F936FC">
        <w:rPr>
          <w:rFonts w:asciiTheme="minorBidi" w:hAnsiTheme="minorBidi" w:cs="Arial"/>
          <w:rtl/>
        </w:rPr>
        <w:t xml:space="preserve"> </w:t>
      </w:r>
      <w:r w:rsidRPr="00F936FC">
        <w:rPr>
          <w:rFonts w:asciiTheme="minorBidi" w:hAnsiTheme="minorBidi" w:cs="Arial" w:hint="cs"/>
          <w:rtl/>
        </w:rPr>
        <w:t>כדי</w:t>
      </w:r>
      <w:r w:rsidRPr="00F936FC">
        <w:rPr>
          <w:rFonts w:asciiTheme="minorBidi" w:hAnsiTheme="minorBidi" w:cs="Arial"/>
          <w:rtl/>
        </w:rPr>
        <w:t xml:space="preserve"> </w:t>
      </w:r>
      <w:r w:rsidRPr="00F936FC">
        <w:rPr>
          <w:rFonts w:asciiTheme="minorBidi" w:hAnsiTheme="minorBidi" w:cs="Arial" w:hint="cs"/>
          <w:rtl/>
        </w:rPr>
        <w:t>לקנח</w:t>
      </w:r>
      <w:r w:rsidR="00577FD6">
        <w:rPr>
          <w:rFonts w:asciiTheme="minorBidi" w:hAnsiTheme="minorBidi" w:cs="Arial" w:hint="cs"/>
          <w:rtl/>
        </w:rPr>
        <w:t>,</w:t>
      </w:r>
      <w:r w:rsidRPr="00F936FC">
        <w:rPr>
          <w:rFonts w:asciiTheme="minorBidi" w:hAnsiTheme="minorBidi" w:cs="Arial"/>
          <w:rtl/>
        </w:rPr>
        <w:t xml:space="preserve"> </w:t>
      </w:r>
      <w:r w:rsidRPr="00F936FC">
        <w:rPr>
          <w:rFonts w:asciiTheme="minorBidi" w:hAnsiTheme="minorBidi" w:cs="Arial" w:hint="cs"/>
          <w:rtl/>
        </w:rPr>
        <w:t>ואין</w:t>
      </w:r>
      <w:r w:rsidRPr="00F936FC">
        <w:rPr>
          <w:rFonts w:asciiTheme="minorBidi" w:hAnsiTheme="minorBidi" w:cs="Arial"/>
          <w:rtl/>
        </w:rPr>
        <w:t xml:space="preserve"> </w:t>
      </w:r>
      <w:r w:rsidRPr="00F936FC">
        <w:rPr>
          <w:rFonts w:asciiTheme="minorBidi" w:hAnsiTheme="minorBidi" w:cs="Arial" w:hint="cs"/>
          <w:rtl/>
        </w:rPr>
        <w:t>בזה</w:t>
      </w:r>
      <w:r w:rsidRPr="00F936FC">
        <w:rPr>
          <w:rFonts w:asciiTheme="minorBidi" w:hAnsiTheme="minorBidi" w:cs="Arial"/>
          <w:rtl/>
        </w:rPr>
        <w:t xml:space="preserve"> </w:t>
      </w:r>
      <w:r w:rsidRPr="00F936FC">
        <w:rPr>
          <w:rFonts w:asciiTheme="minorBidi" w:hAnsiTheme="minorBidi" w:cs="Arial" w:hint="cs"/>
          <w:rtl/>
        </w:rPr>
        <w:t>משום</w:t>
      </w:r>
      <w:r w:rsidRPr="00F936FC">
        <w:rPr>
          <w:rFonts w:asciiTheme="minorBidi" w:hAnsiTheme="minorBidi" w:cs="Arial"/>
          <w:rtl/>
        </w:rPr>
        <w:t xml:space="preserve"> </w:t>
      </w:r>
      <w:r w:rsidRPr="00F936FC">
        <w:rPr>
          <w:rFonts w:asciiTheme="minorBidi" w:hAnsiTheme="minorBidi" w:cs="Arial" w:hint="cs"/>
          <w:rtl/>
        </w:rPr>
        <w:t>סותר</w:t>
      </w:r>
      <w:r w:rsidRPr="00F936FC">
        <w:rPr>
          <w:rFonts w:asciiTheme="minorBidi" w:hAnsiTheme="minorBidi" w:cs="Arial"/>
          <w:rtl/>
        </w:rPr>
        <w:t xml:space="preserve"> </w:t>
      </w:r>
      <w:r w:rsidRPr="00F936FC">
        <w:rPr>
          <w:rFonts w:asciiTheme="minorBidi" w:hAnsiTheme="minorBidi" w:cs="Arial" w:hint="cs"/>
          <w:rtl/>
        </w:rPr>
        <w:t>ולא</w:t>
      </w:r>
      <w:r w:rsidRPr="00F936FC">
        <w:rPr>
          <w:rFonts w:asciiTheme="minorBidi" w:hAnsiTheme="minorBidi" w:cs="Arial"/>
          <w:rtl/>
        </w:rPr>
        <w:t xml:space="preserve"> </w:t>
      </w:r>
      <w:r w:rsidRPr="00F936FC">
        <w:rPr>
          <w:rFonts w:asciiTheme="minorBidi" w:hAnsiTheme="minorBidi" w:cs="Arial" w:hint="cs"/>
          <w:rtl/>
        </w:rPr>
        <w:t>משום</w:t>
      </w:r>
      <w:r w:rsidRPr="00F936FC">
        <w:rPr>
          <w:rFonts w:asciiTheme="minorBidi" w:hAnsiTheme="minorBidi" w:cs="Arial"/>
          <w:rtl/>
        </w:rPr>
        <w:t xml:space="preserve"> </w:t>
      </w:r>
      <w:r w:rsidRPr="00F936FC">
        <w:rPr>
          <w:rFonts w:asciiTheme="minorBidi" w:hAnsiTheme="minorBidi" w:cs="Arial" w:hint="cs"/>
          <w:rtl/>
        </w:rPr>
        <w:t>טוחן</w:t>
      </w:r>
      <w:r w:rsidR="00C637FF">
        <w:rPr>
          <w:rStyle w:val="a9"/>
          <w:rFonts w:asciiTheme="minorBidi" w:hAnsiTheme="minorBidi" w:cs="Arial"/>
          <w:rtl/>
        </w:rPr>
        <w:footnoteReference w:id="1990"/>
      </w:r>
      <w:r w:rsidRPr="00F936FC">
        <w:rPr>
          <w:rFonts w:asciiTheme="minorBidi" w:hAnsiTheme="minorBidi" w:cs="Arial"/>
          <w:rtl/>
        </w:rPr>
        <w:t xml:space="preserve">. </w:t>
      </w:r>
    </w:p>
    <w:p w14:paraId="5D22F017" w14:textId="77777777" w:rsidR="0031049A" w:rsidRPr="00F936FC" w:rsidRDefault="0031049A" w:rsidP="00434A6A">
      <w:pPr>
        <w:rPr>
          <w:rFonts w:asciiTheme="minorBidi" w:hAnsiTheme="minorBidi"/>
          <w:rtl/>
        </w:rPr>
      </w:pPr>
    </w:p>
    <w:p w14:paraId="741D0607" w14:textId="7CC11427" w:rsidR="00F936FC" w:rsidRDefault="00F936FC" w:rsidP="00434A6A">
      <w:pPr>
        <w:pStyle w:val="2"/>
        <w:rPr>
          <w:rtl/>
        </w:rPr>
      </w:pPr>
      <w:r w:rsidRPr="00F936FC">
        <w:rPr>
          <w:rFonts w:hint="cs"/>
          <w:rtl/>
        </w:rPr>
        <w:t>סעיף</w:t>
      </w:r>
      <w:r w:rsidRPr="00F936FC">
        <w:rPr>
          <w:rtl/>
        </w:rPr>
        <w:t xml:space="preserve"> </w:t>
      </w:r>
      <w:r w:rsidRPr="00F936FC">
        <w:rPr>
          <w:rFonts w:hint="cs"/>
          <w:rtl/>
        </w:rPr>
        <w:t>ג</w:t>
      </w:r>
      <w:r w:rsidR="00C637FF">
        <w:rPr>
          <w:rFonts w:hint="cs"/>
          <w:rtl/>
        </w:rPr>
        <w:t>: צרור שעלו בו עשבים.</w:t>
      </w:r>
    </w:p>
    <w:p w14:paraId="45B9156A" w14:textId="1897DA35" w:rsidR="00D42AD3" w:rsidRDefault="00C637FF" w:rsidP="00434A6A">
      <w:pPr>
        <w:rPr>
          <w:rFonts w:cs="Arial"/>
          <w:rtl/>
        </w:rPr>
      </w:pPr>
      <w:r w:rsidRPr="00E24BC4">
        <w:rPr>
          <w:rFonts w:cs="Arial" w:hint="cs"/>
          <w:b/>
          <w:bCs/>
          <w:rtl/>
        </w:rPr>
        <w:t xml:space="preserve">שבת </w:t>
      </w:r>
      <w:r w:rsidRPr="00E24BC4">
        <w:rPr>
          <w:rFonts w:cs="Arial" w:hint="cs"/>
          <w:b/>
          <w:bCs/>
          <w:sz w:val="16"/>
          <w:szCs w:val="16"/>
          <w:rtl/>
        </w:rPr>
        <w:t>(ס"פ</w:t>
      </w:r>
      <w:r w:rsidRPr="00E24BC4">
        <w:rPr>
          <w:rFonts w:cs="Arial"/>
          <w:b/>
          <w:bCs/>
          <w:sz w:val="16"/>
          <w:szCs w:val="16"/>
          <w:rtl/>
        </w:rPr>
        <w:t xml:space="preserve"> המוציא יין</w:t>
      </w:r>
      <w:r w:rsidRPr="00E24BC4">
        <w:rPr>
          <w:rFonts w:cs="Arial" w:hint="cs"/>
          <w:b/>
          <w:bCs/>
          <w:sz w:val="16"/>
          <w:szCs w:val="16"/>
          <w:rtl/>
        </w:rPr>
        <w:t>)</w:t>
      </w:r>
      <w:r w:rsidRPr="00E24BC4">
        <w:rPr>
          <w:rFonts w:cs="Arial"/>
          <w:b/>
          <w:bCs/>
          <w:rtl/>
        </w:rPr>
        <w:t xml:space="preserve"> פא</w:t>
      </w:r>
      <w:r w:rsidRPr="00E24BC4">
        <w:rPr>
          <w:rFonts w:cs="Arial" w:hint="cs"/>
          <w:b/>
          <w:bCs/>
          <w:rtl/>
        </w:rPr>
        <w:t xml:space="preserve"> ע"א:</w:t>
      </w:r>
      <w:r w:rsidRPr="00C637FF">
        <w:rPr>
          <w:rtl/>
        </w:rPr>
        <w:t xml:space="preserve"> </w:t>
      </w:r>
      <w:r w:rsidRPr="00C637FF">
        <w:rPr>
          <w:rFonts w:cs="Arial"/>
          <w:rtl/>
        </w:rPr>
        <w:t xml:space="preserve">גופא, </w:t>
      </w:r>
      <w:r w:rsidRPr="00C637FF">
        <w:rPr>
          <w:rFonts w:cs="Arial"/>
          <w:u w:val="single"/>
          <w:rtl/>
        </w:rPr>
        <w:t>אמר ריש לקיש</w:t>
      </w:r>
      <w:r w:rsidRPr="00C637FF">
        <w:rPr>
          <w:rFonts w:cs="Arial"/>
          <w:rtl/>
        </w:rPr>
        <w:t>: צרור שעלו בו עשבים - מותר לקנח</w:t>
      </w:r>
      <w:r>
        <w:rPr>
          <w:rStyle w:val="a9"/>
          <w:rFonts w:cs="Arial"/>
          <w:rtl/>
        </w:rPr>
        <w:footnoteReference w:id="1991"/>
      </w:r>
      <w:r w:rsidRPr="00C637FF">
        <w:rPr>
          <w:rFonts w:cs="Arial"/>
          <w:rtl/>
        </w:rPr>
        <w:t xml:space="preserve"> בה, והתולש ממנה</w:t>
      </w:r>
      <w:r>
        <w:rPr>
          <w:rStyle w:val="a9"/>
          <w:rFonts w:cs="Arial"/>
          <w:rtl/>
        </w:rPr>
        <w:footnoteReference w:id="1992"/>
      </w:r>
      <w:r w:rsidRPr="00C637FF">
        <w:rPr>
          <w:rFonts w:cs="Arial"/>
          <w:rtl/>
        </w:rPr>
        <w:t xml:space="preserve"> בשבת - חייב חטאת. </w:t>
      </w:r>
      <w:r w:rsidRPr="008D2987">
        <w:rPr>
          <w:rFonts w:cs="Arial"/>
          <w:u w:val="single"/>
          <w:rtl/>
        </w:rPr>
        <w:t>אמר רב פפי</w:t>
      </w:r>
      <w:r w:rsidRPr="00C637FF">
        <w:rPr>
          <w:rFonts w:cs="Arial"/>
          <w:rtl/>
        </w:rPr>
        <w:t>: שמע מינה מדריש לקיש</w:t>
      </w:r>
      <w:r w:rsidR="008D2987">
        <w:rPr>
          <w:rStyle w:val="a9"/>
          <w:rFonts w:cs="Arial"/>
          <w:rtl/>
        </w:rPr>
        <w:footnoteReference w:id="1993"/>
      </w:r>
      <w:r w:rsidRPr="00C637FF">
        <w:rPr>
          <w:rFonts w:cs="Arial"/>
          <w:rtl/>
        </w:rPr>
        <w:t>, האי פרפיסא</w:t>
      </w:r>
      <w:r w:rsidR="008D2987">
        <w:rPr>
          <w:rStyle w:val="a9"/>
          <w:rFonts w:cs="Arial"/>
          <w:rtl/>
        </w:rPr>
        <w:footnoteReference w:id="1994"/>
      </w:r>
      <w:r w:rsidRPr="00C637FF">
        <w:rPr>
          <w:rFonts w:cs="Arial"/>
          <w:rtl/>
        </w:rPr>
        <w:t xml:space="preserve"> - שרי לטלטולי</w:t>
      </w:r>
      <w:r w:rsidR="008D2987">
        <w:rPr>
          <w:rStyle w:val="a9"/>
          <w:rFonts w:cs="Arial"/>
          <w:rtl/>
        </w:rPr>
        <w:footnoteReference w:id="1995"/>
      </w:r>
      <w:r w:rsidRPr="00C637FF">
        <w:rPr>
          <w:rFonts w:cs="Arial"/>
          <w:rtl/>
        </w:rPr>
        <w:t xml:space="preserve">. </w:t>
      </w:r>
      <w:r w:rsidRPr="008D2987">
        <w:rPr>
          <w:rFonts w:cs="Arial"/>
          <w:u w:val="single"/>
          <w:rtl/>
        </w:rPr>
        <w:t>מתקיף לה רב כהנא</w:t>
      </w:r>
      <w:r w:rsidRPr="00C637FF">
        <w:rPr>
          <w:rFonts w:cs="Arial"/>
          <w:rtl/>
        </w:rPr>
        <w:t>: אם אמרו לצורך</w:t>
      </w:r>
      <w:r w:rsidR="008D2987">
        <w:rPr>
          <w:rStyle w:val="a9"/>
          <w:rFonts w:cs="Arial"/>
          <w:rtl/>
        </w:rPr>
        <w:footnoteReference w:id="1996"/>
      </w:r>
      <w:r w:rsidRPr="00C637FF">
        <w:rPr>
          <w:rFonts w:cs="Arial"/>
          <w:rtl/>
        </w:rPr>
        <w:t xml:space="preserve">, יאמרו שלא לצורך? </w:t>
      </w:r>
      <w:r w:rsidRPr="008D2987">
        <w:rPr>
          <w:rFonts w:cs="Arial"/>
          <w:u w:val="single"/>
          <w:rtl/>
        </w:rPr>
        <w:t>אמר אביי</w:t>
      </w:r>
      <w:r w:rsidRPr="00C637FF">
        <w:rPr>
          <w:rFonts w:cs="Arial"/>
          <w:rtl/>
        </w:rPr>
        <w:t>: פרפיסא, הואיל ואתא לידן לימא ביה מילתא; היה מונח על גבי קרקע והניחו על גבי יתדות - מיחייב משום תולש</w:t>
      </w:r>
      <w:r w:rsidR="00D42AD3">
        <w:rPr>
          <w:rStyle w:val="a9"/>
          <w:rFonts w:cs="Arial"/>
          <w:rtl/>
        </w:rPr>
        <w:footnoteReference w:id="1997"/>
      </w:r>
      <w:r w:rsidRPr="00C637FF">
        <w:rPr>
          <w:rFonts w:cs="Arial"/>
          <w:rtl/>
        </w:rPr>
        <w:t xml:space="preserve">, היה מונח על גבי יתידות והניחו על גבי קרקע - חייב משום נוטע. </w:t>
      </w:r>
      <w:r w:rsidR="004C5375" w:rsidRPr="004C5375">
        <w:rPr>
          <w:rFonts w:cs="Arial"/>
          <w:rtl/>
        </w:rPr>
        <w:t xml:space="preserve"> </w:t>
      </w:r>
    </w:p>
    <w:p w14:paraId="5D26A66D" w14:textId="77777777" w:rsidR="00D42AD3" w:rsidRPr="00C637FF" w:rsidRDefault="00D42AD3" w:rsidP="00434A6A">
      <w:pPr>
        <w:rPr>
          <w:u w:val="single"/>
          <w:rtl/>
        </w:rPr>
      </w:pPr>
      <w:r w:rsidRPr="00C637FF">
        <w:rPr>
          <w:rFonts w:hint="cs"/>
          <w:u w:val="single"/>
          <w:rtl/>
        </w:rPr>
        <w:t>צרור שעלו בו עשבים:</w:t>
      </w:r>
    </w:p>
    <w:p w14:paraId="2ECB7B7D" w14:textId="73B18C3C" w:rsidR="00D42AD3" w:rsidRPr="004C5375" w:rsidRDefault="00D42AD3" w:rsidP="00434A6A">
      <w:pPr>
        <w:pStyle w:val="aa"/>
        <w:numPr>
          <w:ilvl w:val="0"/>
          <w:numId w:val="15"/>
        </w:numPr>
      </w:pPr>
      <w:r>
        <w:rPr>
          <w:rFonts w:hint="cs"/>
          <w:rtl/>
        </w:rPr>
        <w:t>טור-</w:t>
      </w:r>
      <w:r>
        <w:rPr>
          <w:rFonts w:cs="Arial" w:hint="cs"/>
          <w:rtl/>
        </w:rPr>
        <w:t xml:space="preserve"> </w:t>
      </w:r>
      <w:r w:rsidRPr="002B45A4">
        <w:rPr>
          <w:rFonts w:cs="Arial"/>
          <w:rtl/>
        </w:rPr>
        <w:t>צרור שעלו בו עשבים</w:t>
      </w:r>
      <w:r>
        <w:rPr>
          <w:rFonts w:cs="Arial" w:hint="cs"/>
          <w:rtl/>
        </w:rPr>
        <w:t xml:space="preserve"> </w:t>
      </w:r>
      <w:r w:rsidRPr="002B45A4">
        <w:rPr>
          <w:rFonts w:cs="Arial"/>
          <w:rtl/>
        </w:rPr>
        <w:t>מותר לקנח בו ולא חיישינן שמא יתלוש</w:t>
      </w:r>
      <w:r>
        <w:rPr>
          <w:rFonts w:cs="Arial" w:hint="cs"/>
          <w:rtl/>
        </w:rPr>
        <w:t>.</w:t>
      </w:r>
      <w:r w:rsidRPr="002B45A4">
        <w:rPr>
          <w:rFonts w:cs="Arial"/>
          <w:rtl/>
        </w:rPr>
        <w:t xml:space="preserve"> </w:t>
      </w:r>
      <w:r w:rsidR="00BB3706" w:rsidRPr="00D172C6">
        <w:rPr>
          <w:rFonts w:hint="cs"/>
          <w:color w:val="E36C0A" w:themeColor="accent6" w:themeShade="BF"/>
          <w:rtl/>
        </w:rPr>
        <w:t>(וכ"פ בשו"ע)</w:t>
      </w:r>
    </w:p>
    <w:p w14:paraId="474CDD15" w14:textId="77777777" w:rsidR="002B45A4" w:rsidRPr="00D10A83" w:rsidRDefault="002B45A4" w:rsidP="00434A6A">
      <w:pPr>
        <w:rPr>
          <w:rFonts w:asciiTheme="minorBidi" w:hAnsiTheme="minorBidi"/>
          <w:rtl/>
        </w:rPr>
      </w:pPr>
      <w:r w:rsidRPr="005275DF">
        <w:rPr>
          <w:rFonts w:asciiTheme="minorBidi" w:hAnsiTheme="minorBidi"/>
          <w:b/>
          <w:bCs/>
          <w:sz w:val="32"/>
          <w:szCs w:val="28"/>
          <w:u w:val="single"/>
          <w:rtl/>
        </w:rPr>
        <w:t xml:space="preserve">שו"ע: </w:t>
      </w:r>
    </w:p>
    <w:p w14:paraId="7431FD11" w14:textId="07ECDD41" w:rsidR="00C637FF" w:rsidRDefault="00F936FC" w:rsidP="00434A6A">
      <w:pPr>
        <w:rPr>
          <w:rFonts w:asciiTheme="minorBidi" w:hAnsiTheme="minorBidi" w:cs="Arial"/>
          <w:rtl/>
        </w:rPr>
      </w:pPr>
      <w:r w:rsidRPr="00F936FC">
        <w:rPr>
          <w:rFonts w:asciiTheme="minorBidi" w:hAnsiTheme="minorBidi" w:cs="Arial" w:hint="cs"/>
          <w:rtl/>
        </w:rPr>
        <w:t>צרור</w:t>
      </w:r>
      <w:r w:rsidRPr="00F936FC">
        <w:rPr>
          <w:rFonts w:asciiTheme="minorBidi" w:hAnsiTheme="minorBidi" w:cs="Arial"/>
          <w:rtl/>
        </w:rPr>
        <w:t xml:space="preserve"> </w:t>
      </w:r>
      <w:r w:rsidRPr="00F936FC">
        <w:rPr>
          <w:rFonts w:asciiTheme="minorBidi" w:hAnsiTheme="minorBidi" w:cs="Arial" w:hint="cs"/>
          <w:rtl/>
        </w:rPr>
        <w:t>שעלו</w:t>
      </w:r>
      <w:r w:rsidRPr="00F936FC">
        <w:rPr>
          <w:rFonts w:asciiTheme="minorBidi" w:hAnsiTheme="minorBidi" w:cs="Arial"/>
          <w:rtl/>
        </w:rPr>
        <w:t xml:space="preserve"> </w:t>
      </w:r>
      <w:r w:rsidRPr="00F936FC">
        <w:rPr>
          <w:rFonts w:asciiTheme="minorBidi" w:hAnsiTheme="minorBidi" w:cs="Arial" w:hint="cs"/>
          <w:rtl/>
        </w:rPr>
        <w:t>בו</w:t>
      </w:r>
      <w:r w:rsidRPr="00F936FC">
        <w:rPr>
          <w:rFonts w:asciiTheme="minorBidi" w:hAnsiTheme="minorBidi" w:cs="Arial"/>
          <w:rtl/>
        </w:rPr>
        <w:t xml:space="preserve"> </w:t>
      </w:r>
      <w:r w:rsidRPr="00F936FC">
        <w:rPr>
          <w:rFonts w:asciiTheme="minorBidi" w:hAnsiTheme="minorBidi" w:cs="Arial" w:hint="cs"/>
          <w:rtl/>
        </w:rPr>
        <w:t>עשבים</w:t>
      </w:r>
      <w:r w:rsidRPr="00F936FC">
        <w:rPr>
          <w:rFonts w:asciiTheme="minorBidi" w:hAnsiTheme="minorBidi" w:cs="Arial"/>
          <w:rtl/>
        </w:rPr>
        <w:t xml:space="preserve">, </w:t>
      </w:r>
      <w:r w:rsidRPr="00F936FC">
        <w:rPr>
          <w:rFonts w:asciiTheme="minorBidi" w:hAnsiTheme="minorBidi" w:cs="Arial" w:hint="cs"/>
          <w:rtl/>
        </w:rPr>
        <w:t>מותר</w:t>
      </w:r>
      <w:r w:rsidRPr="00F936FC">
        <w:rPr>
          <w:rFonts w:asciiTheme="minorBidi" w:hAnsiTheme="minorBidi" w:cs="Arial"/>
          <w:rtl/>
        </w:rPr>
        <w:t xml:space="preserve"> </w:t>
      </w:r>
      <w:r w:rsidRPr="00F936FC">
        <w:rPr>
          <w:rFonts w:asciiTheme="minorBidi" w:hAnsiTheme="minorBidi" w:cs="Arial" w:hint="cs"/>
          <w:rtl/>
        </w:rPr>
        <w:t>לקנח</w:t>
      </w:r>
      <w:r w:rsidRPr="00F936FC">
        <w:rPr>
          <w:rFonts w:asciiTheme="minorBidi" w:hAnsiTheme="minorBidi" w:cs="Arial"/>
          <w:rtl/>
        </w:rPr>
        <w:t xml:space="preserve"> </w:t>
      </w:r>
      <w:r w:rsidRPr="00F936FC">
        <w:rPr>
          <w:rFonts w:asciiTheme="minorBidi" w:hAnsiTheme="minorBidi" w:cs="Arial" w:hint="cs"/>
          <w:rtl/>
        </w:rPr>
        <w:t>בו</w:t>
      </w:r>
      <w:r w:rsidR="00CA55B0">
        <w:rPr>
          <w:rStyle w:val="a9"/>
          <w:rFonts w:asciiTheme="minorBidi" w:hAnsiTheme="minorBidi" w:cs="Arial"/>
          <w:rtl/>
        </w:rPr>
        <w:footnoteReference w:id="1998"/>
      </w:r>
      <w:r w:rsidRPr="00F936FC">
        <w:rPr>
          <w:rFonts w:asciiTheme="minorBidi" w:hAnsiTheme="minorBidi" w:cs="Arial"/>
          <w:rtl/>
        </w:rPr>
        <w:t xml:space="preserve"> </w:t>
      </w:r>
      <w:r w:rsidRPr="00F936FC">
        <w:rPr>
          <w:rFonts w:asciiTheme="minorBidi" w:hAnsiTheme="minorBidi" w:cs="Arial" w:hint="cs"/>
          <w:rtl/>
        </w:rPr>
        <w:t>ולא</w:t>
      </w:r>
      <w:r w:rsidRPr="00F936FC">
        <w:rPr>
          <w:rFonts w:asciiTheme="minorBidi" w:hAnsiTheme="minorBidi" w:cs="Arial"/>
          <w:rtl/>
        </w:rPr>
        <w:t xml:space="preserve"> </w:t>
      </w:r>
      <w:r w:rsidRPr="00F936FC">
        <w:rPr>
          <w:rFonts w:asciiTheme="minorBidi" w:hAnsiTheme="minorBidi" w:cs="Arial" w:hint="cs"/>
          <w:rtl/>
        </w:rPr>
        <w:t>חיישינן</w:t>
      </w:r>
      <w:r w:rsidR="00CA55B0">
        <w:rPr>
          <w:rStyle w:val="a9"/>
          <w:rFonts w:asciiTheme="minorBidi" w:hAnsiTheme="minorBidi" w:cs="Arial"/>
          <w:rtl/>
        </w:rPr>
        <w:footnoteReference w:id="1999"/>
      </w:r>
      <w:r w:rsidRPr="00F936FC">
        <w:rPr>
          <w:rFonts w:asciiTheme="minorBidi" w:hAnsiTheme="minorBidi" w:cs="Arial"/>
          <w:rtl/>
        </w:rPr>
        <w:t xml:space="preserve"> </w:t>
      </w:r>
      <w:r w:rsidRPr="00F936FC">
        <w:rPr>
          <w:rFonts w:asciiTheme="minorBidi" w:hAnsiTheme="minorBidi" w:cs="Arial" w:hint="cs"/>
          <w:rtl/>
        </w:rPr>
        <w:t>שמא</w:t>
      </w:r>
      <w:r w:rsidRPr="00F936FC">
        <w:rPr>
          <w:rFonts w:asciiTheme="minorBidi" w:hAnsiTheme="minorBidi" w:cs="Arial"/>
          <w:rtl/>
        </w:rPr>
        <w:t xml:space="preserve"> </w:t>
      </w:r>
      <w:r w:rsidRPr="00F936FC">
        <w:rPr>
          <w:rFonts w:asciiTheme="minorBidi" w:hAnsiTheme="minorBidi" w:cs="Arial" w:hint="cs"/>
          <w:rtl/>
        </w:rPr>
        <w:t>יתלשו</w:t>
      </w:r>
      <w:r w:rsidRPr="00F936FC">
        <w:rPr>
          <w:rFonts w:asciiTheme="minorBidi" w:hAnsiTheme="minorBidi" w:cs="Arial"/>
          <w:rtl/>
        </w:rPr>
        <w:t xml:space="preserve">, </w:t>
      </w:r>
      <w:r w:rsidRPr="00F936FC">
        <w:rPr>
          <w:rFonts w:asciiTheme="minorBidi" w:hAnsiTheme="minorBidi" w:cs="Arial" w:hint="cs"/>
          <w:rtl/>
        </w:rPr>
        <w:t>דאף</w:t>
      </w:r>
      <w:r w:rsidRPr="00F936FC">
        <w:rPr>
          <w:rFonts w:asciiTheme="minorBidi" w:hAnsiTheme="minorBidi" w:cs="Arial"/>
          <w:rtl/>
        </w:rPr>
        <w:t xml:space="preserve"> </w:t>
      </w:r>
      <w:r w:rsidRPr="00F936FC">
        <w:rPr>
          <w:rFonts w:asciiTheme="minorBidi" w:hAnsiTheme="minorBidi" w:cs="Arial" w:hint="cs"/>
          <w:rtl/>
        </w:rPr>
        <w:t>אם</w:t>
      </w:r>
      <w:r w:rsidRPr="00F936FC">
        <w:rPr>
          <w:rFonts w:asciiTheme="minorBidi" w:hAnsiTheme="minorBidi" w:cs="Arial"/>
          <w:rtl/>
        </w:rPr>
        <w:t xml:space="preserve"> </w:t>
      </w:r>
      <w:r w:rsidRPr="00F936FC">
        <w:rPr>
          <w:rFonts w:asciiTheme="minorBidi" w:hAnsiTheme="minorBidi" w:cs="Arial" w:hint="cs"/>
          <w:rtl/>
        </w:rPr>
        <w:t>יתלשו</w:t>
      </w:r>
      <w:r w:rsidRPr="00F936FC">
        <w:rPr>
          <w:rFonts w:asciiTheme="minorBidi" w:hAnsiTheme="minorBidi" w:cs="Arial"/>
          <w:rtl/>
        </w:rPr>
        <w:t xml:space="preserve"> </w:t>
      </w:r>
      <w:r w:rsidRPr="00F936FC">
        <w:rPr>
          <w:rFonts w:asciiTheme="minorBidi" w:hAnsiTheme="minorBidi" w:cs="Arial" w:hint="cs"/>
          <w:rtl/>
        </w:rPr>
        <w:t>ליכא</w:t>
      </w:r>
      <w:r w:rsidRPr="00F936FC">
        <w:rPr>
          <w:rFonts w:asciiTheme="minorBidi" w:hAnsiTheme="minorBidi" w:cs="Arial"/>
          <w:rtl/>
        </w:rPr>
        <w:t xml:space="preserve"> </w:t>
      </w:r>
      <w:r w:rsidRPr="00F936FC">
        <w:rPr>
          <w:rFonts w:asciiTheme="minorBidi" w:hAnsiTheme="minorBidi" w:cs="Arial" w:hint="cs"/>
          <w:rtl/>
        </w:rPr>
        <w:t>איסורא</w:t>
      </w:r>
      <w:r w:rsidRPr="00F936FC">
        <w:rPr>
          <w:rFonts w:asciiTheme="minorBidi" w:hAnsiTheme="minorBidi" w:cs="Arial"/>
          <w:rtl/>
        </w:rPr>
        <w:t xml:space="preserve"> </w:t>
      </w:r>
      <w:r w:rsidRPr="00F936FC">
        <w:rPr>
          <w:rFonts w:asciiTheme="minorBidi" w:hAnsiTheme="minorBidi" w:cs="Arial" w:hint="cs"/>
          <w:rtl/>
        </w:rPr>
        <w:t>דדבר</w:t>
      </w:r>
      <w:r w:rsidRPr="00F936FC">
        <w:rPr>
          <w:rFonts w:asciiTheme="minorBidi" w:hAnsiTheme="minorBidi" w:cs="Arial"/>
          <w:rtl/>
        </w:rPr>
        <w:t xml:space="preserve"> </w:t>
      </w:r>
      <w:r w:rsidRPr="00F936FC">
        <w:rPr>
          <w:rFonts w:asciiTheme="minorBidi" w:hAnsiTheme="minorBidi" w:cs="Arial" w:hint="cs"/>
          <w:rtl/>
        </w:rPr>
        <w:t>שאין</w:t>
      </w:r>
      <w:r w:rsidRPr="00F936FC">
        <w:rPr>
          <w:rFonts w:asciiTheme="minorBidi" w:hAnsiTheme="minorBidi" w:cs="Arial"/>
          <w:rtl/>
        </w:rPr>
        <w:t xml:space="preserve"> </w:t>
      </w:r>
      <w:r w:rsidRPr="00F936FC">
        <w:rPr>
          <w:rFonts w:asciiTheme="minorBidi" w:hAnsiTheme="minorBidi" w:cs="Arial" w:hint="cs"/>
          <w:rtl/>
        </w:rPr>
        <w:t>מתכוין</w:t>
      </w:r>
      <w:r w:rsidRPr="00F936FC">
        <w:rPr>
          <w:rFonts w:asciiTheme="minorBidi" w:hAnsiTheme="minorBidi" w:cs="Arial"/>
          <w:rtl/>
        </w:rPr>
        <w:t xml:space="preserve"> </w:t>
      </w:r>
      <w:r w:rsidRPr="00F936FC">
        <w:rPr>
          <w:rFonts w:asciiTheme="minorBidi" w:hAnsiTheme="minorBidi" w:cs="Arial" w:hint="cs"/>
          <w:rtl/>
        </w:rPr>
        <w:t>הוא</w:t>
      </w:r>
      <w:r w:rsidRPr="00F936FC">
        <w:rPr>
          <w:rFonts w:asciiTheme="minorBidi" w:hAnsiTheme="minorBidi" w:cs="Arial"/>
          <w:rtl/>
        </w:rPr>
        <w:t>.</w:t>
      </w:r>
    </w:p>
    <w:p w14:paraId="187D3833" w14:textId="154787D0" w:rsidR="00F936FC" w:rsidRPr="00F936FC" w:rsidRDefault="00F936FC" w:rsidP="00434A6A">
      <w:pPr>
        <w:rPr>
          <w:rFonts w:asciiTheme="minorBidi" w:hAnsiTheme="minorBidi"/>
          <w:rtl/>
        </w:rPr>
      </w:pPr>
      <w:r w:rsidRPr="00F936FC">
        <w:rPr>
          <w:rFonts w:asciiTheme="minorBidi" w:hAnsiTheme="minorBidi" w:cs="Arial"/>
          <w:rtl/>
        </w:rPr>
        <w:t xml:space="preserve"> </w:t>
      </w:r>
    </w:p>
    <w:p w14:paraId="16E1C789" w14:textId="181D711F" w:rsidR="00F936FC" w:rsidRDefault="00F936FC" w:rsidP="00434A6A">
      <w:pPr>
        <w:pStyle w:val="2"/>
        <w:rPr>
          <w:rtl/>
        </w:rPr>
      </w:pPr>
      <w:r w:rsidRPr="00F936FC">
        <w:rPr>
          <w:rFonts w:hint="cs"/>
          <w:rtl/>
        </w:rPr>
        <w:t>סעיף</w:t>
      </w:r>
      <w:r w:rsidRPr="00F936FC">
        <w:rPr>
          <w:rtl/>
        </w:rPr>
        <w:t xml:space="preserve"> </w:t>
      </w:r>
      <w:r w:rsidRPr="00F936FC">
        <w:rPr>
          <w:rFonts w:hint="cs"/>
          <w:rtl/>
        </w:rPr>
        <w:t>ד</w:t>
      </w:r>
      <w:r w:rsidR="00BB3706">
        <w:rPr>
          <w:rFonts w:hint="cs"/>
          <w:rtl/>
        </w:rPr>
        <w:t xml:space="preserve">: </w:t>
      </w:r>
      <w:r w:rsidR="00135133">
        <w:rPr>
          <w:rFonts w:hint="cs"/>
          <w:rtl/>
        </w:rPr>
        <w:t>טלטול אדמה על מנת לקנח בה. קינוח בחרס.</w:t>
      </w:r>
    </w:p>
    <w:p w14:paraId="7EE5D148" w14:textId="2C09F675" w:rsidR="00BB3706" w:rsidRDefault="00135133" w:rsidP="00434A6A">
      <w:pPr>
        <w:rPr>
          <w:rtl/>
        </w:rPr>
      </w:pPr>
      <w:r w:rsidRPr="00E24BC4">
        <w:rPr>
          <w:rFonts w:cs="Arial" w:hint="cs"/>
          <w:b/>
          <w:bCs/>
          <w:rtl/>
        </w:rPr>
        <w:t xml:space="preserve">שבת </w:t>
      </w:r>
      <w:r w:rsidRPr="00E24BC4">
        <w:rPr>
          <w:rFonts w:cs="Arial" w:hint="cs"/>
          <w:b/>
          <w:bCs/>
          <w:sz w:val="16"/>
          <w:szCs w:val="16"/>
          <w:rtl/>
        </w:rPr>
        <w:t>(ס"פ</w:t>
      </w:r>
      <w:r w:rsidRPr="00E24BC4">
        <w:rPr>
          <w:rFonts w:cs="Arial"/>
          <w:b/>
          <w:bCs/>
          <w:sz w:val="16"/>
          <w:szCs w:val="16"/>
          <w:rtl/>
        </w:rPr>
        <w:t xml:space="preserve"> המוציא יין</w:t>
      </w:r>
      <w:r w:rsidRPr="00E24BC4">
        <w:rPr>
          <w:rFonts w:cs="Arial" w:hint="cs"/>
          <w:b/>
          <w:bCs/>
          <w:sz w:val="16"/>
          <w:szCs w:val="16"/>
          <w:rtl/>
        </w:rPr>
        <w:t>)</w:t>
      </w:r>
      <w:r w:rsidRPr="00E24BC4">
        <w:rPr>
          <w:rFonts w:cs="Arial"/>
          <w:b/>
          <w:bCs/>
          <w:rtl/>
        </w:rPr>
        <w:t xml:space="preserve"> פא</w:t>
      </w:r>
      <w:r w:rsidRPr="00E24BC4">
        <w:rPr>
          <w:rFonts w:cs="Arial" w:hint="cs"/>
          <w:b/>
          <w:bCs/>
          <w:rtl/>
        </w:rPr>
        <w:t xml:space="preserve"> ע"א:</w:t>
      </w:r>
      <w:r>
        <w:rPr>
          <w:rFonts w:cs="Arial" w:hint="cs"/>
          <w:rtl/>
        </w:rPr>
        <w:t xml:space="preserve"> </w:t>
      </w:r>
      <w:r w:rsidRPr="00135133">
        <w:rPr>
          <w:rFonts w:cs="Arial"/>
          <w:u w:val="single"/>
          <w:rtl/>
        </w:rPr>
        <w:t>אמר רב יהודה</w:t>
      </w:r>
      <w:r w:rsidRPr="00135133">
        <w:rPr>
          <w:rFonts w:cs="Arial"/>
          <w:rtl/>
        </w:rPr>
        <w:t>: אבל לא את הפאייס</w:t>
      </w:r>
      <w:r>
        <w:rPr>
          <w:rStyle w:val="a9"/>
          <w:rFonts w:cs="Arial"/>
          <w:rtl/>
        </w:rPr>
        <w:footnoteReference w:id="2000"/>
      </w:r>
      <w:r w:rsidRPr="00135133">
        <w:rPr>
          <w:rFonts w:cs="Arial"/>
          <w:rtl/>
        </w:rPr>
        <w:t xml:space="preserve">. מאי פאייס? </w:t>
      </w:r>
      <w:r w:rsidRPr="00135133">
        <w:rPr>
          <w:rFonts w:cs="Arial"/>
          <w:u w:val="single"/>
          <w:rtl/>
        </w:rPr>
        <w:t>אמר רבי זירא</w:t>
      </w:r>
      <w:r w:rsidRPr="00135133">
        <w:rPr>
          <w:rFonts w:cs="Arial"/>
          <w:rtl/>
        </w:rPr>
        <w:t>: כרשיני בבלייתא</w:t>
      </w:r>
      <w:r>
        <w:rPr>
          <w:rStyle w:val="a9"/>
          <w:rFonts w:cs="Arial"/>
          <w:rtl/>
        </w:rPr>
        <w:footnoteReference w:id="2001"/>
      </w:r>
      <w:r w:rsidRPr="00135133">
        <w:rPr>
          <w:rFonts w:cs="Arial"/>
          <w:rtl/>
        </w:rPr>
        <w:t>.</w:t>
      </w:r>
    </w:p>
    <w:p w14:paraId="1540BCAD" w14:textId="71DA4553" w:rsidR="00243CDB" w:rsidRPr="00243CDB" w:rsidRDefault="00243CDB" w:rsidP="00434A6A">
      <w:pPr>
        <w:rPr>
          <w:u w:val="single"/>
          <w:rtl/>
        </w:rPr>
      </w:pPr>
      <w:r w:rsidRPr="00243CDB">
        <w:rPr>
          <w:rFonts w:hint="cs"/>
          <w:u w:val="single"/>
          <w:rtl/>
        </w:rPr>
        <w:t>טלטול אדמה על מנת לקנח בה:</w:t>
      </w:r>
    </w:p>
    <w:p w14:paraId="3B41DE89" w14:textId="4FCEB7EE" w:rsidR="00243CDB" w:rsidRPr="00243CDB" w:rsidRDefault="004C5375" w:rsidP="00434A6A">
      <w:pPr>
        <w:pStyle w:val="aa"/>
        <w:numPr>
          <w:ilvl w:val="0"/>
          <w:numId w:val="15"/>
        </w:numPr>
      </w:pPr>
      <w:r>
        <w:rPr>
          <w:rFonts w:hint="cs"/>
          <w:rtl/>
        </w:rPr>
        <w:t>טור-</w:t>
      </w:r>
      <w:r>
        <w:rPr>
          <w:rFonts w:cs="Arial" w:hint="cs"/>
          <w:rtl/>
        </w:rPr>
        <w:t xml:space="preserve"> </w:t>
      </w:r>
      <w:r w:rsidRPr="002B45A4">
        <w:rPr>
          <w:rFonts w:cs="Arial"/>
          <w:rtl/>
        </w:rPr>
        <w:t>ולא יקנח באדמה מפני שהיא נפרכת</w:t>
      </w:r>
      <w:r w:rsidR="00135133">
        <w:rPr>
          <w:rFonts w:cs="Arial" w:hint="cs"/>
          <w:rtl/>
        </w:rPr>
        <w:t>,</w:t>
      </w:r>
      <w:r w:rsidRPr="002B45A4">
        <w:rPr>
          <w:rFonts w:cs="Arial"/>
          <w:rtl/>
        </w:rPr>
        <w:t xml:space="preserve"> וכיון שאינה ראויה לקנח </w:t>
      </w:r>
      <w:r w:rsidR="00135133">
        <w:rPr>
          <w:rFonts w:cs="Arial" w:hint="cs"/>
          <w:rtl/>
        </w:rPr>
        <w:t xml:space="preserve">- </w:t>
      </w:r>
      <w:r w:rsidRPr="002B45A4">
        <w:rPr>
          <w:rFonts w:cs="Arial"/>
          <w:rtl/>
        </w:rPr>
        <w:t>אסור לטלטלה</w:t>
      </w:r>
      <w:r w:rsidR="00135133">
        <w:rPr>
          <w:rFonts w:cs="Arial" w:hint="cs"/>
          <w:rtl/>
        </w:rPr>
        <w:t>.</w:t>
      </w:r>
      <w:r w:rsidRPr="002B45A4">
        <w:rPr>
          <w:rFonts w:cs="Arial"/>
          <w:rtl/>
        </w:rPr>
        <w:t xml:space="preserve"> </w:t>
      </w:r>
      <w:r w:rsidR="00243CDB" w:rsidRPr="00D172C6">
        <w:rPr>
          <w:rFonts w:hint="cs"/>
          <w:color w:val="E36C0A" w:themeColor="accent6" w:themeShade="BF"/>
          <w:rtl/>
        </w:rPr>
        <w:t>(וכ"פ בשו"ע)</w:t>
      </w:r>
    </w:p>
    <w:p w14:paraId="79703606" w14:textId="18AA07C0" w:rsidR="00243CDB" w:rsidRDefault="00243CDB" w:rsidP="00434A6A">
      <w:pPr>
        <w:rPr>
          <w:rFonts w:cs="Arial"/>
          <w:rtl/>
        </w:rPr>
      </w:pPr>
      <w:r w:rsidRPr="00E24BC4">
        <w:rPr>
          <w:rFonts w:cs="Arial" w:hint="cs"/>
          <w:b/>
          <w:bCs/>
          <w:rtl/>
        </w:rPr>
        <w:t xml:space="preserve">שבת </w:t>
      </w:r>
      <w:r w:rsidRPr="00E24BC4">
        <w:rPr>
          <w:rFonts w:cs="Arial" w:hint="cs"/>
          <w:b/>
          <w:bCs/>
          <w:sz w:val="16"/>
          <w:szCs w:val="16"/>
          <w:rtl/>
        </w:rPr>
        <w:t>(ס"פ</w:t>
      </w:r>
      <w:r w:rsidRPr="00E24BC4">
        <w:rPr>
          <w:rFonts w:cs="Arial"/>
          <w:b/>
          <w:bCs/>
          <w:sz w:val="16"/>
          <w:szCs w:val="16"/>
          <w:rtl/>
        </w:rPr>
        <w:t xml:space="preserve"> המוציא יין</w:t>
      </w:r>
      <w:r w:rsidRPr="00E24BC4">
        <w:rPr>
          <w:rFonts w:cs="Arial" w:hint="cs"/>
          <w:b/>
          <w:bCs/>
          <w:sz w:val="16"/>
          <w:szCs w:val="16"/>
          <w:rtl/>
        </w:rPr>
        <w:t>)</w:t>
      </w:r>
      <w:r w:rsidRPr="00E24BC4">
        <w:rPr>
          <w:rFonts w:cs="Arial"/>
          <w:b/>
          <w:bCs/>
          <w:rtl/>
        </w:rPr>
        <w:t xml:space="preserve"> פא</w:t>
      </w:r>
      <w:r w:rsidRPr="00E24BC4">
        <w:rPr>
          <w:rFonts w:cs="Arial" w:hint="cs"/>
          <w:b/>
          <w:bCs/>
          <w:rtl/>
        </w:rPr>
        <w:t xml:space="preserve"> ע"</w:t>
      </w:r>
      <w:r>
        <w:rPr>
          <w:rFonts w:cs="Arial" w:hint="cs"/>
          <w:b/>
          <w:bCs/>
          <w:rtl/>
        </w:rPr>
        <w:t>ב</w:t>
      </w:r>
      <w:r w:rsidRPr="00E24BC4">
        <w:rPr>
          <w:rFonts w:cs="Arial" w:hint="cs"/>
          <w:b/>
          <w:bCs/>
          <w:rtl/>
        </w:rPr>
        <w:t>:</w:t>
      </w:r>
      <w:r>
        <w:rPr>
          <w:rFonts w:cs="Arial" w:hint="cs"/>
          <w:b/>
          <w:bCs/>
          <w:rtl/>
        </w:rPr>
        <w:t xml:space="preserve"> </w:t>
      </w:r>
      <w:r w:rsidRPr="00243CDB">
        <w:rPr>
          <w:rFonts w:cs="Arial"/>
          <w:u w:val="single"/>
          <w:rtl/>
        </w:rPr>
        <w:t>אמר רבי יוחנן</w:t>
      </w:r>
      <w:r w:rsidRPr="00243CDB">
        <w:rPr>
          <w:rFonts w:cs="Arial"/>
          <w:rtl/>
        </w:rPr>
        <w:t>: אסור לקנח בחרס בשבת. מאי טעמא? אילימא משום סכנה</w:t>
      </w:r>
      <w:r>
        <w:rPr>
          <w:rStyle w:val="a9"/>
          <w:rFonts w:cs="Arial"/>
          <w:rtl/>
        </w:rPr>
        <w:footnoteReference w:id="2002"/>
      </w:r>
      <w:r w:rsidRPr="00243CDB">
        <w:rPr>
          <w:rFonts w:cs="Arial"/>
          <w:rtl/>
        </w:rPr>
        <w:t xml:space="preserve"> - אפילו בחול נמי! ואלא משום כשפים - אפילו בחול נמי לא! ואלא משום השרת נימין - דבר שאין מתכוין הוא! </w:t>
      </w:r>
      <w:r w:rsidRPr="00243CDB">
        <w:rPr>
          <w:rFonts w:cs="Arial"/>
          <w:u w:val="single"/>
          <w:rtl/>
        </w:rPr>
        <w:t>אמר להו רב נתן בר אושעיא</w:t>
      </w:r>
      <w:r w:rsidRPr="00243CDB">
        <w:rPr>
          <w:rFonts w:cs="Arial"/>
          <w:rtl/>
        </w:rPr>
        <w:t>: גברא רבה אמר מילתא - נימא בה טעמא; לא מיבעיא בחול</w:t>
      </w:r>
      <w:r>
        <w:rPr>
          <w:rStyle w:val="a9"/>
          <w:rFonts w:cs="Arial"/>
          <w:rtl/>
        </w:rPr>
        <w:footnoteReference w:id="2003"/>
      </w:r>
      <w:r w:rsidRPr="00243CDB">
        <w:rPr>
          <w:rFonts w:cs="Arial"/>
          <w:rtl/>
        </w:rPr>
        <w:t xml:space="preserve"> דאסור, אבל בשבת הואיל ואיכא תורת כלי עליו</w:t>
      </w:r>
      <w:r>
        <w:rPr>
          <w:rStyle w:val="a9"/>
          <w:rFonts w:cs="Arial"/>
          <w:rtl/>
        </w:rPr>
        <w:footnoteReference w:id="2004"/>
      </w:r>
      <w:r w:rsidRPr="00243CDB">
        <w:rPr>
          <w:rFonts w:cs="Arial"/>
          <w:rtl/>
        </w:rPr>
        <w:t xml:space="preserve"> - שפיר דמי, קא משמע לן</w:t>
      </w:r>
      <w:r>
        <w:rPr>
          <w:rStyle w:val="a9"/>
          <w:rFonts w:cs="Arial"/>
          <w:rtl/>
        </w:rPr>
        <w:footnoteReference w:id="2005"/>
      </w:r>
      <w:r w:rsidRPr="00243CDB">
        <w:rPr>
          <w:rFonts w:cs="Arial"/>
          <w:rtl/>
        </w:rPr>
        <w:t xml:space="preserve">. </w:t>
      </w:r>
    </w:p>
    <w:p w14:paraId="2E549AD7" w14:textId="77777777" w:rsidR="00243CDB" w:rsidRPr="00243CDB" w:rsidRDefault="00243CDB" w:rsidP="00434A6A">
      <w:pPr>
        <w:rPr>
          <w:u w:val="single"/>
        </w:rPr>
      </w:pPr>
      <w:r w:rsidRPr="00243CDB">
        <w:rPr>
          <w:rFonts w:hint="cs"/>
          <w:u w:val="single"/>
          <w:rtl/>
        </w:rPr>
        <w:t>קינוח בחרס:</w:t>
      </w:r>
    </w:p>
    <w:p w14:paraId="7EC4E572" w14:textId="4872F329" w:rsidR="00243CDB" w:rsidRPr="004C5375" w:rsidRDefault="00243CDB" w:rsidP="00434A6A">
      <w:pPr>
        <w:pStyle w:val="aa"/>
        <w:numPr>
          <w:ilvl w:val="0"/>
          <w:numId w:val="15"/>
        </w:numPr>
      </w:pPr>
      <w:r>
        <w:rPr>
          <w:rFonts w:cs="Arial" w:hint="cs"/>
          <w:rtl/>
        </w:rPr>
        <w:t xml:space="preserve">טור- </w:t>
      </w:r>
      <w:r w:rsidRPr="002B45A4">
        <w:rPr>
          <w:rFonts w:cs="Arial"/>
          <w:rtl/>
        </w:rPr>
        <w:t>אסור לקנח בחרס אפילו בחול משום סכנה</w:t>
      </w:r>
      <w:r>
        <w:rPr>
          <w:rFonts w:cs="Arial" w:hint="cs"/>
          <w:rtl/>
        </w:rPr>
        <w:t>.</w:t>
      </w:r>
      <w:r w:rsidRPr="002B45A4">
        <w:rPr>
          <w:rFonts w:cs="Arial"/>
          <w:rtl/>
        </w:rPr>
        <w:t xml:space="preserve"> </w:t>
      </w:r>
      <w:r w:rsidRPr="00D172C6">
        <w:rPr>
          <w:rFonts w:hint="cs"/>
          <w:color w:val="E36C0A" w:themeColor="accent6" w:themeShade="BF"/>
          <w:rtl/>
        </w:rPr>
        <w:t>(וכ"פ בשו"ע)</w:t>
      </w:r>
    </w:p>
    <w:p w14:paraId="6ACA5521" w14:textId="77777777" w:rsidR="002B45A4" w:rsidRPr="00D10A83" w:rsidRDefault="002B45A4" w:rsidP="00434A6A">
      <w:pPr>
        <w:rPr>
          <w:rFonts w:asciiTheme="minorBidi" w:hAnsiTheme="minorBidi"/>
          <w:rtl/>
        </w:rPr>
      </w:pPr>
      <w:r w:rsidRPr="005275DF">
        <w:rPr>
          <w:rFonts w:asciiTheme="minorBidi" w:hAnsiTheme="minorBidi"/>
          <w:b/>
          <w:bCs/>
          <w:sz w:val="32"/>
          <w:szCs w:val="28"/>
          <w:u w:val="single"/>
          <w:rtl/>
        </w:rPr>
        <w:t xml:space="preserve">שו"ע: </w:t>
      </w:r>
    </w:p>
    <w:p w14:paraId="6EB07F6D" w14:textId="28F5234E" w:rsidR="00F936FC" w:rsidRDefault="00F936FC" w:rsidP="00434A6A">
      <w:pPr>
        <w:rPr>
          <w:rFonts w:asciiTheme="minorBidi" w:hAnsiTheme="minorBidi"/>
          <w:rtl/>
        </w:rPr>
      </w:pPr>
      <w:r w:rsidRPr="00F936FC">
        <w:rPr>
          <w:rFonts w:asciiTheme="minorBidi" w:hAnsiTheme="minorBidi" w:cs="Arial" w:hint="cs"/>
          <w:rtl/>
        </w:rPr>
        <w:t>לא</w:t>
      </w:r>
      <w:r w:rsidRPr="00F936FC">
        <w:rPr>
          <w:rFonts w:asciiTheme="minorBidi" w:hAnsiTheme="minorBidi" w:cs="Arial"/>
          <w:rtl/>
        </w:rPr>
        <w:t xml:space="preserve"> </w:t>
      </w:r>
      <w:r w:rsidRPr="00F936FC">
        <w:rPr>
          <w:rFonts w:asciiTheme="minorBidi" w:hAnsiTheme="minorBidi" w:cs="Arial" w:hint="cs"/>
          <w:rtl/>
        </w:rPr>
        <w:t>יטלטל</w:t>
      </w:r>
      <w:r w:rsidRPr="00F936FC">
        <w:rPr>
          <w:rFonts w:asciiTheme="minorBidi" w:hAnsiTheme="minorBidi" w:cs="Arial"/>
          <w:rtl/>
        </w:rPr>
        <w:t xml:space="preserve"> </w:t>
      </w:r>
      <w:r w:rsidRPr="00F936FC">
        <w:rPr>
          <w:rFonts w:asciiTheme="minorBidi" w:hAnsiTheme="minorBidi" w:cs="Arial" w:hint="cs"/>
          <w:rtl/>
        </w:rPr>
        <w:t>רגב</w:t>
      </w:r>
      <w:r w:rsidRPr="00F936FC">
        <w:rPr>
          <w:rFonts w:asciiTheme="minorBidi" w:hAnsiTheme="minorBidi" w:cs="Arial"/>
          <w:rtl/>
        </w:rPr>
        <w:t xml:space="preserve"> </w:t>
      </w:r>
      <w:r w:rsidRPr="00F936FC">
        <w:rPr>
          <w:rFonts w:asciiTheme="minorBidi" w:hAnsiTheme="minorBidi" w:cs="Arial" w:hint="cs"/>
          <w:rtl/>
        </w:rPr>
        <w:t>אדמה</w:t>
      </w:r>
      <w:r w:rsidR="005B45FF">
        <w:rPr>
          <w:rStyle w:val="a9"/>
          <w:rFonts w:asciiTheme="minorBidi" w:hAnsiTheme="minorBidi" w:cs="Arial"/>
          <w:rtl/>
        </w:rPr>
        <w:footnoteReference w:id="2006"/>
      </w:r>
      <w:r w:rsidRPr="00F936FC">
        <w:rPr>
          <w:rFonts w:asciiTheme="minorBidi" w:hAnsiTheme="minorBidi" w:cs="Arial"/>
          <w:rtl/>
        </w:rPr>
        <w:t xml:space="preserve"> </w:t>
      </w:r>
      <w:r w:rsidRPr="00F936FC">
        <w:rPr>
          <w:rFonts w:asciiTheme="minorBidi" w:hAnsiTheme="minorBidi" w:cs="Arial" w:hint="cs"/>
          <w:rtl/>
        </w:rPr>
        <w:t>לקנח</w:t>
      </w:r>
      <w:r w:rsidRPr="00F936FC">
        <w:rPr>
          <w:rFonts w:asciiTheme="minorBidi" w:hAnsiTheme="minorBidi" w:cs="Arial"/>
          <w:rtl/>
        </w:rPr>
        <w:t xml:space="preserve"> </w:t>
      </w:r>
      <w:r w:rsidRPr="00F936FC">
        <w:rPr>
          <w:rFonts w:asciiTheme="minorBidi" w:hAnsiTheme="minorBidi" w:cs="Arial" w:hint="cs"/>
          <w:rtl/>
        </w:rPr>
        <w:t>בו</w:t>
      </w:r>
      <w:r w:rsidRPr="00F936FC">
        <w:rPr>
          <w:rFonts w:asciiTheme="minorBidi" w:hAnsiTheme="minorBidi" w:cs="Arial"/>
          <w:rtl/>
        </w:rPr>
        <w:t xml:space="preserve"> </w:t>
      </w:r>
      <w:r w:rsidRPr="00F936FC">
        <w:rPr>
          <w:rFonts w:asciiTheme="minorBidi" w:hAnsiTheme="minorBidi" w:cs="Arial" w:hint="cs"/>
          <w:rtl/>
        </w:rPr>
        <w:t>מפני</w:t>
      </w:r>
      <w:r w:rsidRPr="00F936FC">
        <w:rPr>
          <w:rFonts w:asciiTheme="minorBidi" w:hAnsiTheme="minorBidi" w:cs="Arial"/>
          <w:rtl/>
        </w:rPr>
        <w:t xml:space="preserve"> </w:t>
      </w:r>
      <w:r w:rsidRPr="00F936FC">
        <w:rPr>
          <w:rFonts w:asciiTheme="minorBidi" w:hAnsiTheme="minorBidi" w:cs="Arial" w:hint="cs"/>
          <w:rtl/>
        </w:rPr>
        <w:t>שאינה</w:t>
      </w:r>
      <w:r w:rsidRPr="00F936FC">
        <w:rPr>
          <w:rFonts w:asciiTheme="minorBidi" w:hAnsiTheme="minorBidi" w:cs="Arial"/>
          <w:rtl/>
        </w:rPr>
        <w:t xml:space="preserve"> </w:t>
      </w:r>
      <w:r w:rsidRPr="00F936FC">
        <w:rPr>
          <w:rFonts w:asciiTheme="minorBidi" w:hAnsiTheme="minorBidi" w:cs="Arial" w:hint="cs"/>
          <w:rtl/>
        </w:rPr>
        <w:t>ראויה</w:t>
      </w:r>
      <w:r w:rsidRPr="00F936FC">
        <w:rPr>
          <w:rFonts w:asciiTheme="minorBidi" w:hAnsiTheme="minorBidi" w:cs="Arial"/>
          <w:rtl/>
        </w:rPr>
        <w:t xml:space="preserve"> </w:t>
      </w:r>
      <w:r w:rsidRPr="00F936FC">
        <w:rPr>
          <w:rFonts w:asciiTheme="minorBidi" w:hAnsiTheme="minorBidi" w:cs="Arial" w:hint="cs"/>
          <w:rtl/>
        </w:rPr>
        <w:t>לקינוח</w:t>
      </w:r>
      <w:r w:rsidRPr="00F936FC">
        <w:rPr>
          <w:rFonts w:asciiTheme="minorBidi" w:hAnsiTheme="minorBidi" w:cs="Arial"/>
          <w:rtl/>
        </w:rPr>
        <w:t xml:space="preserve"> </w:t>
      </w:r>
      <w:r w:rsidRPr="00F936FC">
        <w:rPr>
          <w:rFonts w:asciiTheme="minorBidi" w:hAnsiTheme="minorBidi" w:cs="Arial" w:hint="cs"/>
          <w:rtl/>
        </w:rPr>
        <w:t>לפי</w:t>
      </w:r>
      <w:r w:rsidRPr="00F936FC">
        <w:rPr>
          <w:rFonts w:asciiTheme="minorBidi" w:hAnsiTheme="minorBidi" w:cs="Arial"/>
          <w:rtl/>
        </w:rPr>
        <w:t xml:space="preserve"> </w:t>
      </w:r>
      <w:r w:rsidRPr="00F936FC">
        <w:rPr>
          <w:rFonts w:asciiTheme="minorBidi" w:hAnsiTheme="minorBidi" w:cs="Arial" w:hint="cs"/>
          <w:rtl/>
        </w:rPr>
        <w:t>שהיא</w:t>
      </w:r>
      <w:r w:rsidRPr="00F936FC">
        <w:rPr>
          <w:rFonts w:asciiTheme="minorBidi" w:hAnsiTheme="minorBidi" w:cs="Arial"/>
          <w:rtl/>
        </w:rPr>
        <w:t xml:space="preserve"> </w:t>
      </w:r>
      <w:r w:rsidRPr="00F936FC">
        <w:rPr>
          <w:rFonts w:asciiTheme="minorBidi" w:hAnsiTheme="minorBidi" w:cs="Arial" w:hint="cs"/>
          <w:rtl/>
        </w:rPr>
        <w:t>נפרכת</w:t>
      </w:r>
      <w:r w:rsidRPr="00F936FC">
        <w:rPr>
          <w:rFonts w:asciiTheme="minorBidi" w:hAnsiTheme="minorBidi" w:cs="Arial"/>
          <w:rtl/>
        </w:rPr>
        <w:t xml:space="preserve">. </w:t>
      </w:r>
      <w:r w:rsidRPr="00F936FC">
        <w:rPr>
          <w:rFonts w:asciiTheme="minorBidi" w:hAnsiTheme="minorBidi" w:cs="Arial" w:hint="cs"/>
          <w:rtl/>
        </w:rPr>
        <w:t>אסור</w:t>
      </w:r>
      <w:r w:rsidRPr="00F936FC">
        <w:rPr>
          <w:rFonts w:asciiTheme="minorBidi" w:hAnsiTheme="minorBidi" w:cs="Arial"/>
          <w:rtl/>
        </w:rPr>
        <w:t xml:space="preserve"> </w:t>
      </w:r>
      <w:r w:rsidRPr="00F936FC">
        <w:rPr>
          <w:rFonts w:asciiTheme="minorBidi" w:hAnsiTheme="minorBidi" w:cs="Arial" w:hint="cs"/>
          <w:rtl/>
        </w:rPr>
        <w:t>לקנח</w:t>
      </w:r>
      <w:r w:rsidRPr="00F936FC">
        <w:rPr>
          <w:rFonts w:asciiTheme="minorBidi" w:hAnsiTheme="minorBidi" w:cs="Arial"/>
          <w:rtl/>
        </w:rPr>
        <w:t xml:space="preserve"> </w:t>
      </w:r>
      <w:r w:rsidRPr="00F936FC">
        <w:rPr>
          <w:rFonts w:asciiTheme="minorBidi" w:hAnsiTheme="minorBidi" w:cs="Arial" w:hint="cs"/>
          <w:rtl/>
        </w:rPr>
        <w:t>בחרס</w:t>
      </w:r>
      <w:r w:rsidRPr="00F936FC">
        <w:rPr>
          <w:rFonts w:asciiTheme="minorBidi" w:hAnsiTheme="minorBidi" w:cs="Arial"/>
          <w:rtl/>
        </w:rPr>
        <w:t xml:space="preserve">, </w:t>
      </w:r>
      <w:r w:rsidRPr="00F936FC">
        <w:rPr>
          <w:rFonts w:asciiTheme="minorBidi" w:hAnsiTheme="minorBidi" w:cs="Arial" w:hint="cs"/>
          <w:rtl/>
        </w:rPr>
        <w:t>אפילו</w:t>
      </w:r>
      <w:r w:rsidRPr="00F936FC">
        <w:rPr>
          <w:rFonts w:asciiTheme="minorBidi" w:hAnsiTheme="minorBidi" w:cs="Arial"/>
          <w:rtl/>
        </w:rPr>
        <w:t xml:space="preserve"> </w:t>
      </w:r>
      <w:r w:rsidRPr="00F936FC">
        <w:rPr>
          <w:rFonts w:asciiTheme="minorBidi" w:hAnsiTheme="minorBidi" w:cs="Arial" w:hint="cs"/>
          <w:rtl/>
        </w:rPr>
        <w:t>בחול</w:t>
      </w:r>
      <w:r w:rsidRPr="00F936FC">
        <w:rPr>
          <w:rFonts w:asciiTheme="minorBidi" w:hAnsiTheme="minorBidi" w:cs="Arial"/>
          <w:rtl/>
        </w:rPr>
        <w:t xml:space="preserve">, </w:t>
      </w:r>
      <w:r w:rsidRPr="00F936FC">
        <w:rPr>
          <w:rFonts w:asciiTheme="minorBidi" w:hAnsiTheme="minorBidi" w:cs="Arial" w:hint="cs"/>
          <w:rtl/>
        </w:rPr>
        <w:t>משום</w:t>
      </w:r>
      <w:r w:rsidRPr="00F936FC">
        <w:rPr>
          <w:rFonts w:asciiTheme="minorBidi" w:hAnsiTheme="minorBidi" w:cs="Arial"/>
          <w:rtl/>
        </w:rPr>
        <w:t xml:space="preserve"> </w:t>
      </w:r>
      <w:r w:rsidRPr="00F936FC">
        <w:rPr>
          <w:rFonts w:asciiTheme="minorBidi" w:hAnsiTheme="minorBidi" w:cs="Arial" w:hint="cs"/>
          <w:rtl/>
        </w:rPr>
        <w:t>סכנה</w:t>
      </w:r>
      <w:r w:rsidRPr="00F936FC">
        <w:rPr>
          <w:rFonts w:asciiTheme="minorBidi" w:hAnsiTheme="minorBidi" w:cs="Arial"/>
          <w:rtl/>
        </w:rPr>
        <w:t xml:space="preserve"> </w:t>
      </w:r>
      <w:r w:rsidRPr="00F936FC">
        <w:rPr>
          <w:rFonts w:asciiTheme="minorBidi" w:hAnsiTheme="minorBidi" w:cs="Arial" w:hint="cs"/>
          <w:rtl/>
        </w:rPr>
        <w:t>שלא</w:t>
      </w:r>
      <w:r w:rsidRPr="00F936FC">
        <w:rPr>
          <w:rFonts w:asciiTheme="minorBidi" w:hAnsiTheme="minorBidi" w:cs="Arial"/>
          <w:rtl/>
        </w:rPr>
        <w:t xml:space="preserve"> </w:t>
      </w:r>
      <w:r w:rsidRPr="00F936FC">
        <w:rPr>
          <w:rFonts w:asciiTheme="minorBidi" w:hAnsiTheme="minorBidi" w:cs="Arial" w:hint="cs"/>
          <w:rtl/>
        </w:rPr>
        <w:t>ינתק</w:t>
      </w:r>
      <w:r w:rsidRPr="00F936FC">
        <w:rPr>
          <w:rFonts w:asciiTheme="minorBidi" w:hAnsiTheme="minorBidi" w:cs="Arial"/>
          <w:rtl/>
        </w:rPr>
        <w:t xml:space="preserve"> </w:t>
      </w:r>
      <w:r w:rsidRPr="00F936FC">
        <w:rPr>
          <w:rFonts w:asciiTheme="minorBidi" w:hAnsiTheme="minorBidi" w:cs="Arial" w:hint="cs"/>
          <w:rtl/>
        </w:rPr>
        <w:t>שיני</w:t>
      </w:r>
      <w:r w:rsidRPr="00F936FC">
        <w:rPr>
          <w:rFonts w:asciiTheme="minorBidi" w:hAnsiTheme="minorBidi" w:cs="Arial"/>
          <w:rtl/>
        </w:rPr>
        <w:t xml:space="preserve"> </w:t>
      </w:r>
      <w:r w:rsidRPr="00F936FC">
        <w:rPr>
          <w:rFonts w:asciiTheme="minorBidi" w:hAnsiTheme="minorBidi" w:cs="Arial" w:hint="cs"/>
          <w:rtl/>
        </w:rPr>
        <w:t>הכרכשתא</w:t>
      </w:r>
      <w:r w:rsidRPr="00F936FC">
        <w:rPr>
          <w:rFonts w:asciiTheme="minorBidi" w:hAnsiTheme="minorBidi" w:cs="Arial"/>
          <w:rtl/>
        </w:rPr>
        <w:t xml:space="preserve">. </w:t>
      </w:r>
    </w:p>
    <w:p w14:paraId="4D370F91" w14:textId="77777777" w:rsidR="00135133" w:rsidRPr="00F936FC" w:rsidRDefault="00135133" w:rsidP="00434A6A">
      <w:pPr>
        <w:rPr>
          <w:rFonts w:asciiTheme="minorBidi" w:hAnsiTheme="minorBidi"/>
          <w:rtl/>
        </w:rPr>
      </w:pPr>
    </w:p>
    <w:p w14:paraId="04155C55" w14:textId="52CBBE69" w:rsidR="00F936FC" w:rsidRDefault="00F936FC" w:rsidP="00434A6A">
      <w:pPr>
        <w:pStyle w:val="2"/>
        <w:rPr>
          <w:rtl/>
        </w:rPr>
      </w:pPr>
      <w:r w:rsidRPr="00F936FC">
        <w:rPr>
          <w:rFonts w:hint="cs"/>
          <w:rtl/>
        </w:rPr>
        <w:t>סעיף</w:t>
      </w:r>
      <w:r w:rsidRPr="00F936FC">
        <w:rPr>
          <w:rtl/>
        </w:rPr>
        <w:t xml:space="preserve"> </w:t>
      </w:r>
      <w:r w:rsidRPr="00F936FC">
        <w:rPr>
          <w:rFonts w:hint="cs"/>
          <w:rtl/>
        </w:rPr>
        <w:t>ה</w:t>
      </w:r>
      <w:r w:rsidR="00243CDB">
        <w:rPr>
          <w:rFonts w:hint="cs"/>
          <w:rtl/>
        </w:rPr>
        <w:t xml:space="preserve">: </w:t>
      </w:r>
      <w:r w:rsidR="00140286">
        <w:rPr>
          <w:rFonts w:hint="cs"/>
          <w:rtl/>
        </w:rPr>
        <w:t xml:space="preserve">היו לפניו צרור </w:t>
      </w:r>
      <w:r w:rsidR="005B45FF">
        <w:rPr>
          <w:rFonts w:hint="cs"/>
          <w:rtl/>
        </w:rPr>
        <w:t>וחרס חלק או עשבים.</w:t>
      </w:r>
    </w:p>
    <w:p w14:paraId="7BB3FCC3" w14:textId="7E6CC024" w:rsidR="004C5375" w:rsidRPr="00E324D8" w:rsidRDefault="005B45FF" w:rsidP="00434A6A">
      <w:pPr>
        <w:rPr>
          <w:rFonts w:cs="Arial"/>
          <w:sz w:val="16"/>
          <w:szCs w:val="16"/>
          <w:rtl/>
        </w:rPr>
      </w:pPr>
      <w:r w:rsidRPr="00E24BC4">
        <w:rPr>
          <w:rFonts w:cs="Arial" w:hint="cs"/>
          <w:b/>
          <w:bCs/>
          <w:rtl/>
        </w:rPr>
        <w:t xml:space="preserve">שבת </w:t>
      </w:r>
      <w:r w:rsidRPr="00E24BC4">
        <w:rPr>
          <w:rFonts w:cs="Arial" w:hint="cs"/>
          <w:b/>
          <w:bCs/>
          <w:sz w:val="16"/>
          <w:szCs w:val="16"/>
          <w:rtl/>
        </w:rPr>
        <w:t>(ס"פ</w:t>
      </w:r>
      <w:r w:rsidRPr="00E24BC4">
        <w:rPr>
          <w:rFonts w:cs="Arial"/>
          <w:b/>
          <w:bCs/>
          <w:sz w:val="16"/>
          <w:szCs w:val="16"/>
          <w:rtl/>
        </w:rPr>
        <w:t xml:space="preserve"> המוציא יין</w:t>
      </w:r>
      <w:r w:rsidRPr="00E24BC4">
        <w:rPr>
          <w:rFonts w:cs="Arial" w:hint="cs"/>
          <w:b/>
          <w:bCs/>
          <w:sz w:val="16"/>
          <w:szCs w:val="16"/>
          <w:rtl/>
        </w:rPr>
        <w:t>)</w:t>
      </w:r>
      <w:r w:rsidRPr="00E24BC4">
        <w:rPr>
          <w:rFonts w:cs="Arial"/>
          <w:b/>
          <w:bCs/>
          <w:rtl/>
        </w:rPr>
        <w:t xml:space="preserve"> פ</w:t>
      </w:r>
      <w:r>
        <w:rPr>
          <w:rFonts w:cs="Arial" w:hint="cs"/>
          <w:b/>
          <w:bCs/>
          <w:rtl/>
        </w:rPr>
        <w:t>ב</w:t>
      </w:r>
      <w:r w:rsidRPr="00E24BC4">
        <w:rPr>
          <w:rFonts w:cs="Arial" w:hint="cs"/>
          <w:b/>
          <w:bCs/>
          <w:rtl/>
        </w:rPr>
        <w:t xml:space="preserve"> ע"</w:t>
      </w:r>
      <w:r>
        <w:rPr>
          <w:rFonts w:cs="Arial" w:hint="cs"/>
          <w:b/>
          <w:bCs/>
          <w:rtl/>
        </w:rPr>
        <w:t>א</w:t>
      </w:r>
      <w:r w:rsidRPr="00E24BC4">
        <w:rPr>
          <w:rFonts w:cs="Arial" w:hint="cs"/>
          <w:b/>
          <w:bCs/>
          <w:rtl/>
        </w:rPr>
        <w:t>:</w:t>
      </w:r>
      <w:r>
        <w:rPr>
          <w:rFonts w:cs="Arial" w:hint="cs"/>
          <w:rtl/>
        </w:rPr>
        <w:t xml:space="preserve"> </w:t>
      </w:r>
      <w:r w:rsidRPr="005B45FF">
        <w:rPr>
          <w:rFonts w:cs="Arial"/>
          <w:rtl/>
        </w:rPr>
        <w:t xml:space="preserve">היו לפניו צרור וחרס, </w:t>
      </w:r>
      <w:r w:rsidRPr="005B45FF">
        <w:rPr>
          <w:rFonts w:cs="Arial"/>
          <w:u w:val="single"/>
          <w:rtl/>
        </w:rPr>
        <w:t>רב הונא אמר</w:t>
      </w:r>
      <w:r w:rsidRPr="005B45FF">
        <w:rPr>
          <w:rFonts w:cs="Arial"/>
          <w:rtl/>
        </w:rPr>
        <w:t>: מקנח בצרור</w:t>
      </w:r>
      <w:r w:rsidR="009812AA">
        <w:rPr>
          <w:rStyle w:val="a9"/>
          <w:rFonts w:cs="Arial"/>
          <w:rtl/>
        </w:rPr>
        <w:footnoteReference w:id="2007"/>
      </w:r>
      <w:r w:rsidRPr="005B45FF">
        <w:rPr>
          <w:rFonts w:cs="Arial"/>
          <w:rtl/>
        </w:rPr>
        <w:t>, ואין מקנח בחרס</w:t>
      </w:r>
      <w:r w:rsidR="009812AA">
        <w:rPr>
          <w:rStyle w:val="a9"/>
          <w:rFonts w:cs="Arial"/>
          <w:rtl/>
        </w:rPr>
        <w:footnoteReference w:id="2008"/>
      </w:r>
      <w:r w:rsidRPr="005B45FF">
        <w:rPr>
          <w:rFonts w:cs="Arial"/>
          <w:rtl/>
        </w:rPr>
        <w:t xml:space="preserve">. </w:t>
      </w:r>
      <w:r w:rsidRPr="005B45FF">
        <w:rPr>
          <w:rFonts w:cs="Arial"/>
          <w:u w:val="single"/>
          <w:rtl/>
        </w:rPr>
        <w:t>ורב חסדא אמר</w:t>
      </w:r>
      <w:r w:rsidRPr="005B45FF">
        <w:rPr>
          <w:rFonts w:cs="Arial"/>
          <w:rtl/>
        </w:rPr>
        <w:t>: מקנח בחרס</w:t>
      </w:r>
      <w:r w:rsidR="009812AA">
        <w:rPr>
          <w:rStyle w:val="a9"/>
          <w:rFonts w:cs="Arial"/>
          <w:rtl/>
        </w:rPr>
        <w:footnoteReference w:id="2009"/>
      </w:r>
      <w:r w:rsidRPr="005B45FF">
        <w:rPr>
          <w:rFonts w:cs="Arial"/>
          <w:rtl/>
        </w:rPr>
        <w:t xml:space="preserve">, ואין מקנח בצרור. מיתיבי: היו לפניו צרור וחרס - מקנח בחרס ואין מקנח בצרור, תיובתא דרב הונא! </w:t>
      </w:r>
      <w:r w:rsidRPr="005B45FF">
        <w:rPr>
          <w:rFonts w:cs="Arial"/>
          <w:u w:val="single"/>
          <w:rtl/>
        </w:rPr>
        <w:t>תרגמא רפרם בר פפא קמיה דרב חסדא אליבא דרב הונא</w:t>
      </w:r>
      <w:r w:rsidRPr="005B45FF">
        <w:rPr>
          <w:rFonts w:cs="Arial"/>
          <w:rtl/>
        </w:rPr>
        <w:t>: באוגני כלים</w:t>
      </w:r>
      <w:r w:rsidR="009812AA">
        <w:rPr>
          <w:rStyle w:val="a9"/>
          <w:rFonts w:cs="Arial"/>
          <w:rtl/>
        </w:rPr>
        <w:footnoteReference w:id="2010"/>
      </w:r>
      <w:r w:rsidRPr="005B45FF">
        <w:rPr>
          <w:rFonts w:cs="Arial"/>
          <w:rtl/>
        </w:rPr>
        <w:t xml:space="preserve">. היו לפניו צרור ועשבים, </w:t>
      </w:r>
      <w:r w:rsidRPr="005B45FF">
        <w:rPr>
          <w:rFonts w:cs="Arial"/>
          <w:u w:val="single"/>
          <w:rtl/>
        </w:rPr>
        <w:t>רב חסדא</w:t>
      </w:r>
      <w:r w:rsidRPr="005B45FF">
        <w:rPr>
          <w:rFonts w:cs="Arial"/>
          <w:rtl/>
        </w:rPr>
        <w:t xml:space="preserve"> </w:t>
      </w:r>
      <w:r w:rsidRPr="005B45FF">
        <w:rPr>
          <w:rFonts w:cs="Arial"/>
          <w:u w:val="single"/>
          <w:rtl/>
        </w:rPr>
        <w:t>ורב המנונא</w:t>
      </w:r>
      <w:r>
        <w:rPr>
          <w:rFonts w:cs="Arial" w:hint="cs"/>
          <w:rtl/>
        </w:rPr>
        <w:t xml:space="preserve">, </w:t>
      </w:r>
      <w:r w:rsidRPr="005B45FF">
        <w:rPr>
          <w:rFonts w:cs="Arial"/>
          <w:rtl/>
        </w:rPr>
        <w:t>חד אמר: מקנח בצרור ואין מקנח בעשבים</w:t>
      </w:r>
      <w:r w:rsidR="009812AA">
        <w:rPr>
          <w:rStyle w:val="a9"/>
          <w:rFonts w:cs="Arial"/>
          <w:rtl/>
        </w:rPr>
        <w:footnoteReference w:id="2011"/>
      </w:r>
      <w:r w:rsidRPr="005B45FF">
        <w:rPr>
          <w:rFonts w:cs="Arial"/>
          <w:rtl/>
        </w:rPr>
        <w:t>, וחד אמר: מקנח בעשבים ואין מקנח בצרור</w:t>
      </w:r>
      <w:r w:rsidR="0079258D">
        <w:rPr>
          <w:rStyle w:val="a9"/>
          <w:rFonts w:cs="Arial"/>
          <w:rtl/>
        </w:rPr>
        <w:footnoteReference w:id="2012"/>
      </w:r>
      <w:r w:rsidRPr="005B45FF">
        <w:rPr>
          <w:rFonts w:cs="Arial"/>
          <w:rtl/>
        </w:rPr>
        <w:t>. מיתיבי: המקנח בדבר שהאור שולטת בו - שיניו התחתונות נושרות! לא קשיא, הא - בלחין</w:t>
      </w:r>
      <w:r w:rsidR="0079258D">
        <w:rPr>
          <w:rStyle w:val="a9"/>
          <w:rFonts w:cs="Arial"/>
          <w:rtl/>
        </w:rPr>
        <w:footnoteReference w:id="2013"/>
      </w:r>
      <w:r w:rsidRPr="005B45FF">
        <w:rPr>
          <w:rFonts w:cs="Arial"/>
          <w:rtl/>
        </w:rPr>
        <w:t xml:space="preserve">, הא ביבשין. </w:t>
      </w:r>
      <w:r w:rsidR="00E324D8" w:rsidRPr="00E324D8">
        <w:rPr>
          <w:rFonts w:cs="Arial" w:hint="cs"/>
          <w:sz w:val="16"/>
          <w:szCs w:val="16"/>
          <w:rtl/>
        </w:rPr>
        <w:t>(</w:t>
      </w:r>
      <w:r w:rsidR="00E324D8">
        <w:rPr>
          <w:rFonts w:cs="Arial" w:hint="cs"/>
          <w:sz w:val="16"/>
          <w:szCs w:val="16"/>
          <w:rtl/>
        </w:rPr>
        <w:t xml:space="preserve">לגבי צרור וחרס </w:t>
      </w:r>
      <w:r w:rsidR="00E324D8" w:rsidRPr="00E324D8">
        <w:rPr>
          <w:rFonts w:cs="Arial" w:hint="cs"/>
          <w:sz w:val="16"/>
          <w:szCs w:val="16"/>
          <w:rtl/>
        </w:rPr>
        <w:t>פ</w:t>
      </w:r>
      <w:r w:rsidR="00E324D8" w:rsidRPr="00E324D8">
        <w:rPr>
          <w:rFonts w:cs="Arial"/>
          <w:sz w:val="16"/>
          <w:szCs w:val="16"/>
          <w:rtl/>
        </w:rPr>
        <w:t>סקו הרי"ף (לד:) והרא"ש (סי' ב) כרב הונא</w:t>
      </w:r>
      <w:r w:rsidR="002336C4">
        <w:rPr>
          <w:rFonts w:cs="Arial" w:hint="cs"/>
          <w:sz w:val="16"/>
          <w:szCs w:val="16"/>
          <w:rtl/>
        </w:rPr>
        <w:t>,</w:t>
      </w:r>
      <w:r w:rsidR="00E324D8" w:rsidRPr="00E324D8">
        <w:rPr>
          <w:rFonts w:cs="Arial"/>
          <w:sz w:val="16"/>
          <w:szCs w:val="16"/>
          <w:rtl/>
        </w:rPr>
        <w:t xml:space="preserve"> וכן פסק הרמב"ם בפכ"ו (ה"ה)</w:t>
      </w:r>
      <w:r w:rsidR="00E324D8">
        <w:rPr>
          <w:rFonts w:cs="Arial" w:hint="cs"/>
          <w:sz w:val="16"/>
          <w:szCs w:val="16"/>
          <w:rtl/>
        </w:rPr>
        <w:t xml:space="preserve">. ולגבי צרור ועשבים </w:t>
      </w:r>
      <w:r w:rsidR="004C5375" w:rsidRPr="00E324D8">
        <w:rPr>
          <w:rFonts w:cs="Arial"/>
          <w:sz w:val="16"/>
          <w:szCs w:val="16"/>
          <w:rtl/>
        </w:rPr>
        <w:t>פסק הרא"ש (שם) כמאן דאמר בעשבים</w:t>
      </w:r>
      <w:r w:rsidR="0079258D" w:rsidRPr="00E324D8">
        <w:rPr>
          <w:rFonts w:cs="Arial" w:hint="cs"/>
          <w:sz w:val="16"/>
          <w:szCs w:val="16"/>
          <w:rtl/>
        </w:rPr>
        <w:t>,</w:t>
      </w:r>
      <w:r w:rsidR="004C5375" w:rsidRPr="00E324D8">
        <w:rPr>
          <w:rFonts w:cs="Arial"/>
          <w:sz w:val="16"/>
          <w:szCs w:val="16"/>
          <w:rtl/>
        </w:rPr>
        <w:t xml:space="preserve"> ודוקא לחים</w:t>
      </w:r>
      <w:r w:rsidR="0079258D" w:rsidRPr="00E324D8">
        <w:rPr>
          <w:rFonts w:cs="Arial" w:hint="cs"/>
          <w:sz w:val="16"/>
          <w:szCs w:val="16"/>
          <w:rtl/>
        </w:rPr>
        <w:t>,</w:t>
      </w:r>
      <w:r w:rsidR="004C5375" w:rsidRPr="00E324D8">
        <w:rPr>
          <w:rFonts w:cs="Arial"/>
          <w:sz w:val="16"/>
          <w:szCs w:val="16"/>
          <w:rtl/>
        </w:rPr>
        <w:t xml:space="preserve"> אבל יבשים משירין את השינים</w:t>
      </w:r>
      <w:r w:rsidR="0079258D" w:rsidRPr="00E324D8">
        <w:rPr>
          <w:rFonts w:cs="Arial" w:hint="cs"/>
          <w:sz w:val="16"/>
          <w:szCs w:val="16"/>
          <w:rtl/>
        </w:rPr>
        <w:t>.</w:t>
      </w:r>
      <w:r w:rsidR="004C5375" w:rsidRPr="00E324D8">
        <w:rPr>
          <w:rFonts w:cs="Arial"/>
          <w:sz w:val="16"/>
          <w:szCs w:val="16"/>
          <w:rtl/>
        </w:rPr>
        <w:t xml:space="preserve"> וכן כתב הרמב"ם בפרק כ"ו (שם)</w:t>
      </w:r>
      <w:r w:rsidR="0079258D" w:rsidRPr="00E324D8">
        <w:rPr>
          <w:rFonts w:cs="Arial" w:hint="cs"/>
          <w:sz w:val="16"/>
          <w:szCs w:val="16"/>
          <w:rtl/>
        </w:rPr>
        <w:t>.</w:t>
      </w:r>
      <w:r w:rsidR="004C5375" w:rsidRPr="00E324D8">
        <w:rPr>
          <w:rFonts w:cs="Arial"/>
          <w:sz w:val="16"/>
          <w:szCs w:val="16"/>
          <w:rtl/>
        </w:rPr>
        <w:t xml:space="preserve"> וכן פירש רש"י לחין אין אור שולטת בהם</w:t>
      </w:r>
      <w:r w:rsidR="0079258D" w:rsidRPr="00E324D8">
        <w:rPr>
          <w:rFonts w:cs="Arial" w:hint="cs"/>
          <w:sz w:val="16"/>
          <w:szCs w:val="16"/>
          <w:rtl/>
        </w:rPr>
        <w:t>.</w:t>
      </w:r>
      <w:r w:rsidR="004C5375" w:rsidRPr="00E324D8">
        <w:rPr>
          <w:rFonts w:cs="Arial"/>
          <w:sz w:val="16"/>
          <w:szCs w:val="16"/>
          <w:rtl/>
        </w:rPr>
        <w:t xml:space="preserve"> ואע</w:t>
      </w:r>
      <w:r w:rsidR="00E324D8" w:rsidRPr="00E324D8">
        <w:rPr>
          <w:rFonts w:cs="Arial" w:hint="cs"/>
          <w:sz w:val="16"/>
          <w:szCs w:val="16"/>
          <w:rtl/>
        </w:rPr>
        <w:t>"</w:t>
      </w:r>
      <w:r w:rsidR="004C5375" w:rsidRPr="00E324D8">
        <w:rPr>
          <w:rFonts w:cs="Arial"/>
          <w:sz w:val="16"/>
          <w:szCs w:val="16"/>
          <w:rtl/>
        </w:rPr>
        <w:t>פ שכתב הה</w:t>
      </w:r>
      <w:r w:rsidR="00E324D8" w:rsidRPr="00E324D8">
        <w:rPr>
          <w:rFonts w:cs="Arial" w:hint="cs"/>
          <w:sz w:val="16"/>
          <w:szCs w:val="16"/>
          <w:rtl/>
        </w:rPr>
        <w:t>"</w:t>
      </w:r>
      <w:r w:rsidR="004C5375" w:rsidRPr="00E324D8">
        <w:rPr>
          <w:rFonts w:cs="Arial"/>
          <w:sz w:val="16"/>
          <w:szCs w:val="16"/>
          <w:rtl/>
        </w:rPr>
        <w:t>מ שמצא בהלכות בהיפך</w:t>
      </w:r>
      <w:r w:rsidR="0079258D" w:rsidRPr="00E324D8">
        <w:rPr>
          <w:rFonts w:cs="Arial" w:hint="cs"/>
          <w:sz w:val="16"/>
          <w:szCs w:val="16"/>
          <w:rtl/>
        </w:rPr>
        <w:t>,</w:t>
      </w:r>
      <w:r w:rsidR="004C5375" w:rsidRPr="00E324D8">
        <w:rPr>
          <w:rFonts w:cs="Arial"/>
          <w:sz w:val="16"/>
          <w:szCs w:val="16"/>
          <w:rtl/>
        </w:rPr>
        <w:t xml:space="preserve"> בנוסחא דידן ליתיה</w:t>
      </w:r>
      <w:r w:rsidR="00E324D8">
        <w:rPr>
          <w:rFonts w:cs="Arial" w:hint="cs"/>
          <w:sz w:val="16"/>
          <w:szCs w:val="16"/>
          <w:rtl/>
        </w:rPr>
        <w:t>, ב"י)</w:t>
      </w:r>
      <w:r w:rsidR="004C5375">
        <w:rPr>
          <w:rFonts w:cs="Arial"/>
          <w:rtl/>
        </w:rPr>
        <w:t xml:space="preserve"> </w:t>
      </w:r>
    </w:p>
    <w:p w14:paraId="15C1E2D0" w14:textId="77777777" w:rsidR="0079258D" w:rsidRPr="005B45FF" w:rsidRDefault="0079258D" w:rsidP="00434A6A">
      <w:pPr>
        <w:rPr>
          <w:u w:val="single"/>
          <w:rtl/>
        </w:rPr>
      </w:pPr>
      <w:r w:rsidRPr="005B45FF">
        <w:rPr>
          <w:rFonts w:hint="cs"/>
          <w:u w:val="single"/>
          <w:rtl/>
        </w:rPr>
        <w:t xml:space="preserve">היו לפניו צרור וחרס חלק או עשבים </w:t>
      </w:r>
      <w:r w:rsidRPr="005B45FF">
        <w:rPr>
          <w:u w:val="single"/>
          <w:rtl/>
        </w:rPr>
        <w:t>–</w:t>
      </w:r>
      <w:r w:rsidRPr="005B45FF">
        <w:rPr>
          <w:rFonts w:hint="cs"/>
          <w:u w:val="single"/>
          <w:rtl/>
        </w:rPr>
        <w:t xml:space="preserve"> במה עדיף</w:t>
      </w:r>
      <w:r>
        <w:rPr>
          <w:rFonts w:hint="cs"/>
          <w:u w:val="single"/>
          <w:rtl/>
        </w:rPr>
        <w:t xml:space="preserve"> </w:t>
      </w:r>
      <w:r w:rsidRPr="005B45FF">
        <w:rPr>
          <w:rFonts w:hint="cs"/>
          <w:u w:val="single"/>
          <w:rtl/>
        </w:rPr>
        <w:t>ל</w:t>
      </w:r>
      <w:r>
        <w:rPr>
          <w:rFonts w:hint="cs"/>
          <w:u w:val="single"/>
          <w:rtl/>
        </w:rPr>
        <w:t>השתמש</w:t>
      </w:r>
      <w:r w:rsidRPr="005B45FF">
        <w:rPr>
          <w:rFonts w:hint="cs"/>
          <w:u w:val="single"/>
          <w:rtl/>
        </w:rPr>
        <w:t>:</w:t>
      </w:r>
    </w:p>
    <w:p w14:paraId="4A26F0B9" w14:textId="199125DE" w:rsidR="0079258D" w:rsidRPr="0079258D" w:rsidRDefault="0079258D" w:rsidP="00434A6A">
      <w:pPr>
        <w:pStyle w:val="aa"/>
        <w:numPr>
          <w:ilvl w:val="0"/>
          <w:numId w:val="15"/>
        </w:numPr>
      </w:pPr>
      <w:r>
        <w:rPr>
          <w:rFonts w:hint="cs"/>
          <w:rtl/>
        </w:rPr>
        <w:t>טור-</w:t>
      </w:r>
      <w:r>
        <w:rPr>
          <w:rFonts w:cs="Arial" w:hint="cs"/>
          <w:rtl/>
        </w:rPr>
        <w:t xml:space="preserve"> </w:t>
      </w:r>
      <w:r w:rsidRPr="002B45A4">
        <w:rPr>
          <w:rFonts w:cs="Arial"/>
          <w:rtl/>
        </w:rPr>
        <w:t xml:space="preserve">היו לפניו בשבת צרור ואזני חרס חלקים שראויין לקנח בהם </w:t>
      </w:r>
      <w:r>
        <w:rPr>
          <w:rFonts w:cs="Arial" w:hint="cs"/>
          <w:rtl/>
        </w:rPr>
        <w:t xml:space="preserve">- </w:t>
      </w:r>
      <w:r w:rsidRPr="002B45A4">
        <w:rPr>
          <w:rFonts w:cs="Arial"/>
          <w:rtl/>
        </w:rPr>
        <w:t>מקנח בחרס</w:t>
      </w:r>
      <w:r>
        <w:rPr>
          <w:rFonts w:cs="Arial" w:hint="cs"/>
          <w:rtl/>
        </w:rPr>
        <w:t>,</w:t>
      </w:r>
      <w:r w:rsidRPr="002B45A4">
        <w:rPr>
          <w:rFonts w:cs="Arial"/>
          <w:rtl/>
        </w:rPr>
        <w:t xml:space="preserve"> שהוא ראוי לטלטל לכסות בו הכלי</w:t>
      </w:r>
      <w:r>
        <w:rPr>
          <w:rFonts w:cs="Arial" w:hint="cs"/>
          <w:rtl/>
        </w:rPr>
        <w:t>,</w:t>
      </w:r>
      <w:r w:rsidRPr="002B45A4">
        <w:rPr>
          <w:rFonts w:cs="Arial"/>
          <w:rtl/>
        </w:rPr>
        <w:t xml:space="preserve"> ולא יקנח בצרור</w:t>
      </w:r>
      <w:r>
        <w:rPr>
          <w:rFonts w:cs="Arial" w:hint="cs"/>
          <w:rtl/>
        </w:rPr>
        <w:t>.</w:t>
      </w:r>
      <w:r w:rsidRPr="002B45A4">
        <w:rPr>
          <w:rFonts w:cs="Arial"/>
          <w:rtl/>
        </w:rPr>
        <w:t xml:space="preserve"> צרור ועשבים לחים </w:t>
      </w:r>
      <w:r>
        <w:rPr>
          <w:rFonts w:cs="Arial" w:hint="cs"/>
          <w:rtl/>
        </w:rPr>
        <w:t xml:space="preserve">- </w:t>
      </w:r>
      <w:r w:rsidRPr="002B45A4">
        <w:rPr>
          <w:rFonts w:cs="Arial"/>
          <w:rtl/>
        </w:rPr>
        <w:t>יקנח בעשבים</w:t>
      </w:r>
      <w:r>
        <w:rPr>
          <w:rFonts w:cs="Arial" w:hint="cs"/>
          <w:rtl/>
        </w:rPr>
        <w:t>,</w:t>
      </w:r>
      <w:r w:rsidRPr="002B45A4">
        <w:rPr>
          <w:rFonts w:cs="Arial"/>
          <w:rtl/>
        </w:rPr>
        <w:t xml:space="preserve"> אבל ביבשים לא משום סכנה שהן חדין ומחתכין הבשר</w:t>
      </w:r>
      <w:r>
        <w:rPr>
          <w:rFonts w:cs="Arial" w:hint="cs"/>
          <w:rtl/>
        </w:rPr>
        <w:t>.</w:t>
      </w:r>
      <w:r w:rsidRPr="002B45A4">
        <w:rPr>
          <w:rFonts w:cs="Arial"/>
          <w:rtl/>
        </w:rPr>
        <w:t xml:space="preserve"> </w:t>
      </w:r>
      <w:r w:rsidR="00E324D8" w:rsidRPr="00D172C6">
        <w:rPr>
          <w:rFonts w:hint="cs"/>
          <w:color w:val="E36C0A" w:themeColor="accent6" w:themeShade="BF"/>
          <w:rtl/>
        </w:rPr>
        <w:t>(וכ"פ בשו"ע)</w:t>
      </w:r>
    </w:p>
    <w:p w14:paraId="6CB98EB2" w14:textId="3BE1CE8D" w:rsidR="0079258D" w:rsidRPr="0079258D" w:rsidRDefault="0079258D" w:rsidP="00434A6A">
      <w:pPr>
        <w:ind w:left="360"/>
        <w:rPr>
          <w:u w:val="dotted"/>
        </w:rPr>
      </w:pPr>
      <w:r w:rsidRPr="0079258D">
        <w:rPr>
          <w:rFonts w:hint="cs"/>
          <w:u w:val="dotted"/>
          <w:rtl/>
        </w:rPr>
        <w:t>האם מותר לקנח בעשבים המחוברים לקרקע:</w:t>
      </w:r>
    </w:p>
    <w:p w14:paraId="3BA3CB7A" w14:textId="441CED27" w:rsidR="0079258D" w:rsidRPr="004C5375" w:rsidRDefault="0079258D" w:rsidP="00434A6A">
      <w:pPr>
        <w:pStyle w:val="aa"/>
        <w:numPr>
          <w:ilvl w:val="0"/>
          <w:numId w:val="15"/>
        </w:numPr>
        <w:rPr>
          <w:rtl/>
        </w:rPr>
      </w:pPr>
      <w:r>
        <w:rPr>
          <w:rFonts w:cs="Arial" w:hint="cs"/>
          <w:rtl/>
        </w:rPr>
        <w:t xml:space="preserve">ב"י- </w:t>
      </w:r>
      <w:r>
        <w:rPr>
          <w:rFonts w:cs="Arial"/>
          <w:rtl/>
        </w:rPr>
        <w:t>משמע מדברי רש"י שאפילו אם העשבים מחוברים יכול לקנח בהם בעודם מחוברים ולא יזיזם ומשום שימוש במחובר ליכא כדאמרינן בפרק ג' דעירובין (לד:) דלא אסרו אלא באילן אבל לא בירק</w:t>
      </w:r>
      <w:r>
        <w:rPr>
          <w:rFonts w:cs="Arial" w:hint="cs"/>
          <w:rtl/>
        </w:rPr>
        <w:t>.</w:t>
      </w:r>
      <w:r>
        <w:rPr>
          <w:rFonts w:cs="Arial"/>
          <w:rtl/>
        </w:rPr>
        <w:t xml:space="preserve"> וכן כתב רבינו ירוחם </w:t>
      </w:r>
      <w:r>
        <w:rPr>
          <w:rFonts w:cs="Arial" w:hint="cs"/>
          <w:rtl/>
        </w:rPr>
        <w:t>(</w:t>
      </w:r>
      <w:r>
        <w:rPr>
          <w:rFonts w:cs="Arial"/>
          <w:rtl/>
        </w:rPr>
        <w:t>חי"ג פד:)</w:t>
      </w:r>
      <w:r>
        <w:rPr>
          <w:rFonts w:hint="cs"/>
          <w:rtl/>
        </w:rPr>
        <w:t>.</w:t>
      </w:r>
      <w:r w:rsidR="00E324D8" w:rsidRPr="00E324D8">
        <w:rPr>
          <w:rFonts w:hint="cs"/>
          <w:color w:val="E36C0A" w:themeColor="accent6" w:themeShade="BF"/>
          <w:rtl/>
        </w:rPr>
        <w:t xml:space="preserve"> </w:t>
      </w:r>
      <w:r w:rsidR="00E324D8" w:rsidRPr="00D172C6">
        <w:rPr>
          <w:rFonts w:hint="cs"/>
          <w:color w:val="E36C0A" w:themeColor="accent6" w:themeShade="BF"/>
          <w:rtl/>
        </w:rPr>
        <w:t>(וכ"פ בשו"ע</w:t>
      </w:r>
      <w:r w:rsidR="00E324D8">
        <w:rPr>
          <w:rFonts w:cs="Arial" w:hint="cs"/>
          <w:sz w:val="16"/>
          <w:szCs w:val="16"/>
          <w:rtl/>
        </w:rPr>
        <w:t xml:space="preserve"> [בסע' הבא]</w:t>
      </w:r>
      <w:r w:rsidR="00E324D8" w:rsidRPr="00D172C6">
        <w:rPr>
          <w:rFonts w:hint="cs"/>
          <w:color w:val="E36C0A" w:themeColor="accent6" w:themeShade="BF"/>
          <w:rtl/>
        </w:rPr>
        <w:t>)</w:t>
      </w:r>
    </w:p>
    <w:p w14:paraId="6F30BF68" w14:textId="77777777" w:rsidR="002B45A4" w:rsidRPr="00D10A83" w:rsidRDefault="002B45A4" w:rsidP="00434A6A">
      <w:pPr>
        <w:rPr>
          <w:rFonts w:asciiTheme="minorBidi" w:hAnsiTheme="minorBidi"/>
          <w:rtl/>
        </w:rPr>
      </w:pPr>
      <w:r w:rsidRPr="005275DF">
        <w:rPr>
          <w:rFonts w:asciiTheme="minorBidi" w:hAnsiTheme="minorBidi"/>
          <w:b/>
          <w:bCs/>
          <w:sz w:val="32"/>
          <w:szCs w:val="28"/>
          <w:u w:val="single"/>
          <w:rtl/>
        </w:rPr>
        <w:t xml:space="preserve">שו"ע: </w:t>
      </w:r>
    </w:p>
    <w:p w14:paraId="4283D35D" w14:textId="573E92A3" w:rsidR="00F936FC" w:rsidRDefault="00F936FC" w:rsidP="00434A6A">
      <w:pPr>
        <w:rPr>
          <w:rFonts w:asciiTheme="minorBidi" w:hAnsiTheme="minorBidi"/>
          <w:rtl/>
        </w:rPr>
      </w:pPr>
      <w:r w:rsidRPr="00F936FC">
        <w:rPr>
          <w:rFonts w:asciiTheme="minorBidi" w:hAnsiTheme="minorBidi" w:cs="Arial" w:hint="cs"/>
          <w:rtl/>
        </w:rPr>
        <w:t>היו</w:t>
      </w:r>
      <w:r w:rsidRPr="00F936FC">
        <w:rPr>
          <w:rFonts w:asciiTheme="minorBidi" w:hAnsiTheme="minorBidi" w:cs="Arial"/>
          <w:rtl/>
        </w:rPr>
        <w:t xml:space="preserve"> </w:t>
      </w:r>
      <w:r w:rsidRPr="00F936FC">
        <w:rPr>
          <w:rFonts w:asciiTheme="minorBidi" w:hAnsiTheme="minorBidi" w:cs="Arial" w:hint="cs"/>
          <w:rtl/>
        </w:rPr>
        <w:t>לפניו</w:t>
      </w:r>
      <w:r w:rsidRPr="00F936FC">
        <w:rPr>
          <w:rFonts w:asciiTheme="minorBidi" w:hAnsiTheme="minorBidi" w:cs="Arial"/>
          <w:rtl/>
        </w:rPr>
        <w:t xml:space="preserve"> </w:t>
      </w:r>
      <w:r w:rsidRPr="00F936FC">
        <w:rPr>
          <w:rFonts w:asciiTheme="minorBidi" w:hAnsiTheme="minorBidi" w:cs="Arial" w:hint="cs"/>
          <w:rtl/>
        </w:rPr>
        <w:t>בשבת</w:t>
      </w:r>
      <w:r w:rsidRPr="00F936FC">
        <w:rPr>
          <w:rFonts w:asciiTheme="minorBidi" w:hAnsiTheme="minorBidi" w:cs="Arial"/>
          <w:rtl/>
        </w:rPr>
        <w:t xml:space="preserve"> </w:t>
      </w:r>
      <w:r w:rsidRPr="00F936FC">
        <w:rPr>
          <w:rFonts w:asciiTheme="minorBidi" w:hAnsiTheme="minorBidi" w:cs="Arial" w:hint="cs"/>
          <w:rtl/>
        </w:rPr>
        <w:t>צרור</w:t>
      </w:r>
      <w:r w:rsidRPr="00F936FC">
        <w:rPr>
          <w:rFonts w:asciiTheme="minorBidi" w:hAnsiTheme="minorBidi" w:cs="Arial"/>
          <w:rtl/>
        </w:rPr>
        <w:t xml:space="preserve"> </w:t>
      </w:r>
      <w:r w:rsidRPr="00F936FC">
        <w:rPr>
          <w:rFonts w:asciiTheme="minorBidi" w:hAnsiTheme="minorBidi" w:cs="Arial" w:hint="cs"/>
          <w:rtl/>
        </w:rPr>
        <w:t>ואזני</w:t>
      </w:r>
      <w:r w:rsidRPr="00F936FC">
        <w:rPr>
          <w:rFonts w:asciiTheme="minorBidi" w:hAnsiTheme="minorBidi" w:cs="Arial"/>
          <w:rtl/>
        </w:rPr>
        <w:t xml:space="preserve"> </w:t>
      </w:r>
      <w:r w:rsidRPr="00F936FC">
        <w:rPr>
          <w:rFonts w:asciiTheme="minorBidi" w:hAnsiTheme="minorBidi" w:cs="Arial" w:hint="cs"/>
          <w:rtl/>
        </w:rPr>
        <w:t>חרס</w:t>
      </w:r>
      <w:r w:rsidRPr="00F936FC">
        <w:rPr>
          <w:rFonts w:asciiTheme="minorBidi" w:hAnsiTheme="minorBidi" w:cs="Arial"/>
          <w:rtl/>
        </w:rPr>
        <w:t xml:space="preserve"> </w:t>
      </w:r>
      <w:r w:rsidRPr="00F936FC">
        <w:rPr>
          <w:rFonts w:asciiTheme="minorBidi" w:hAnsiTheme="minorBidi" w:cs="Arial" w:hint="cs"/>
          <w:rtl/>
        </w:rPr>
        <w:t>חלקים</w:t>
      </w:r>
      <w:r w:rsidRPr="00F936FC">
        <w:rPr>
          <w:rFonts w:asciiTheme="minorBidi" w:hAnsiTheme="minorBidi" w:cs="Arial"/>
          <w:rtl/>
        </w:rPr>
        <w:t xml:space="preserve">, </w:t>
      </w:r>
      <w:r w:rsidRPr="00F936FC">
        <w:rPr>
          <w:rFonts w:asciiTheme="minorBidi" w:hAnsiTheme="minorBidi" w:cs="Arial" w:hint="cs"/>
          <w:rtl/>
        </w:rPr>
        <w:t>דכיון</w:t>
      </w:r>
      <w:r w:rsidRPr="00F936FC">
        <w:rPr>
          <w:rFonts w:asciiTheme="minorBidi" w:hAnsiTheme="minorBidi" w:cs="Arial"/>
          <w:rtl/>
        </w:rPr>
        <w:t xml:space="preserve"> </w:t>
      </w:r>
      <w:r w:rsidRPr="00F936FC">
        <w:rPr>
          <w:rFonts w:asciiTheme="minorBidi" w:hAnsiTheme="minorBidi" w:cs="Arial" w:hint="cs"/>
          <w:rtl/>
        </w:rPr>
        <w:t>דחלקים</w:t>
      </w:r>
      <w:r w:rsidRPr="00F936FC">
        <w:rPr>
          <w:rFonts w:asciiTheme="minorBidi" w:hAnsiTheme="minorBidi" w:cs="Arial"/>
          <w:rtl/>
        </w:rPr>
        <w:t xml:space="preserve"> </w:t>
      </w:r>
      <w:r w:rsidRPr="00F936FC">
        <w:rPr>
          <w:rFonts w:asciiTheme="minorBidi" w:hAnsiTheme="minorBidi" w:cs="Arial" w:hint="cs"/>
          <w:rtl/>
        </w:rPr>
        <w:t>הם</w:t>
      </w:r>
      <w:r w:rsidR="00CB5ADD">
        <w:rPr>
          <w:rStyle w:val="a9"/>
          <w:rFonts w:asciiTheme="minorBidi" w:hAnsiTheme="minorBidi" w:cs="Arial"/>
          <w:rtl/>
        </w:rPr>
        <w:footnoteReference w:id="2014"/>
      </w:r>
      <w:r w:rsidRPr="00F936FC">
        <w:rPr>
          <w:rFonts w:asciiTheme="minorBidi" w:hAnsiTheme="minorBidi" w:cs="Arial"/>
          <w:rtl/>
        </w:rPr>
        <w:t xml:space="preserve"> </w:t>
      </w:r>
      <w:r w:rsidRPr="00F936FC">
        <w:rPr>
          <w:rFonts w:asciiTheme="minorBidi" w:hAnsiTheme="minorBidi" w:cs="Arial" w:hint="cs"/>
          <w:rtl/>
        </w:rPr>
        <w:t>ליכא</w:t>
      </w:r>
      <w:r w:rsidRPr="00F936FC">
        <w:rPr>
          <w:rFonts w:asciiTheme="minorBidi" w:hAnsiTheme="minorBidi" w:cs="Arial"/>
          <w:rtl/>
        </w:rPr>
        <w:t xml:space="preserve"> </w:t>
      </w:r>
      <w:r w:rsidRPr="00F936FC">
        <w:rPr>
          <w:rFonts w:asciiTheme="minorBidi" w:hAnsiTheme="minorBidi" w:cs="Arial" w:hint="cs"/>
          <w:rtl/>
        </w:rPr>
        <w:t>משום</w:t>
      </w:r>
      <w:r w:rsidRPr="00F936FC">
        <w:rPr>
          <w:rFonts w:asciiTheme="minorBidi" w:hAnsiTheme="minorBidi" w:cs="Arial"/>
          <w:rtl/>
        </w:rPr>
        <w:t xml:space="preserve"> </w:t>
      </w:r>
      <w:r w:rsidRPr="00F936FC">
        <w:rPr>
          <w:rFonts w:asciiTheme="minorBidi" w:hAnsiTheme="minorBidi" w:cs="Arial" w:hint="cs"/>
          <w:rtl/>
        </w:rPr>
        <w:t>סכנה</w:t>
      </w:r>
      <w:r w:rsidR="00CB5ADD">
        <w:rPr>
          <w:rStyle w:val="a9"/>
          <w:rFonts w:asciiTheme="minorBidi" w:hAnsiTheme="minorBidi" w:cs="Arial"/>
          <w:rtl/>
        </w:rPr>
        <w:footnoteReference w:id="2015"/>
      </w:r>
      <w:r w:rsidRPr="00F936FC">
        <w:rPr>
          <w:rFonts w:asciiTheme="minorBidi" w:hAnsiTheme="minorBidi" w:cs="Arial"/>
          <w:rtl/>
        </w:rPr>
        <w:t xml:space="preserve">, </w:t>
      </w:r>
      <w:r w:rsidRPr="00F936FC">
        <w:rPr>
          <w:rFonts w:asciiTheme="minorBidi" w:hAnsiTheme="minorBidi" w:cs="Arial" w:hint="cs"/>
          <w:rtl/>
        </w:rPr>
        <w:t>מקנח</w:t>
      </w:r>
      <w:r w:rsidRPr="00F936FC">
        <w:rPr>
          <w:rFonts w:asciiTheme="minorBidi" w:hAnsiTheme="minorBidi" w:cs="Arial"/>
          <w:rtl/>
        </w:rPr>
        <w:t xml:space="preserve"> </w:t>
      </w:r>
      <w:r w:rsidRPr="00F936FC">
        <w:rPr>
          <w:rFonts w:asciiTheme="minorBidi" w:hAnsiTheme="minorBidi" w:cs="Arial" w:hint="cs"/>
          <w:rtl/>
        </w:rPr>
        <w:t>באוזן</w:t>
      </w:r>
      <w:r w:rsidRPr="00F936FC">
        <w:rPr>
          <w:rFonts w:asciiTheme="minorBidi" w:hAnsiTheme="minorBidi" w:cs="Arial"/>
          <w:rtl/>
        </w:rPr>
        <w:t xml:space="preserve"> </w:t>
      </w:r>
      <w:r w:rsidRPr="00F936FC">
        <w:rPr>
          <w:rFonts w:asciiTheme="minorBidi" w:hAnsiTheme="minorBidi" w:cs="Arial" w:hint="cs"/>
          <w:rtl/>
        </w:rPr>
        <w:t>החרס</w:t>
      </w:r>
      <w:r w:rsidRPr="00F936FC">
        <w:rPr>
          <w:rFonts w:asciiTheme="minorBidi" w:hAnsiTheme="minorBidi" w:cs="Arial"/>
          <w:rtl/>
        </w:rPr>
        <w:t xml:space="preserve"> </w:t>
      </w:r>
      <w:r w:rsidRPr="00F936FC">
        <w:rPr>
          <w:rFonts w:asciiTheme="minorBidi" w:hAnsiTheme="minorBidi" w:cs="Arial" w:hint="cs"/>
          <w:rtl/>
        </w:rPr>
        <w:t>שהוא</w:t>
      </w:r>
      <w:r w:rsidRPr="00F936FC">
        <w:rPr>
          <w:rFonts w:asciiTheme="minorBidi" w:hAnsiTheme="minorBidi" w:cs="Arial"/>
          <w:rtl/>
        </w:rPr>
        <w:t xml:space="preserve"> </w:t>
      </w:r>
      <w:r w:rsidRPr="00F936FC">
        <w:rPr>
          <w:rFonts w:asciiTheme="minorBidi" w:hAnsiTheme="minorBidi" w:cs="Arial" w:hint="cs"/>
          <w:rtl/>
        </w:rPr>
        <w:t>ראוי</w:t>
      </w:r>
      <w:r w:rsidRPr="00F936FC">
        <w:rPr>
          <w:rFonts w:asciiTheme="minorBidi" w:hAnsiTheme="minorBidi" w:cs="Arial"/>
          <w:rtl/>
        </w:rPr>
        <w:t xml:space="preserve"> </w:t>
      </w:r>
      <w:r w:rsidRPr="00F936FC">
        <w:rPr>
          <w:rFonts w:asciiTheme="minorBidi" w:hAnsiTheme="minorBidi" w:cs="Arial" w:hint="cs"/>
          <w:rtl/>
        </w:rPr>
        <w:t>לכסות</w:t>
      </w:r>
      <w:r w:rsidRPr="00F936FC">
        <w:rPr>
          <w:rFonts w:asciiTheme="minorBidi" w:hAnsiTheme="minorBidi" w:cs="Arial"/>
          <w:rtl/>
        </w:rPr>
        <w:t xml:space="preserve"> </w:t>
      </w:r>
      <w:r w:rsidRPr="00F936FC">
        <w:rPr>
          <w:rFonts w:asciiTheme="minorBidi" w:hAnsiTheme="minorBidi" w:cs="Arial" w:hint="cs"/>
          <w:rtl/>
        </w:rPr>
        <w:t>בו</w:t>
      </w:r>
      <w:r w:rsidRPr="00F936FC">
        <w:rPr>
          <w:rFonts w:asciiTheme="minorBidi" w:hAnsiTheme="minorBidi" w:cs="Arial"/>
          <w:rtl/>
        </w:rPr>
        <w:t xml:space="preserve"> </w:t>
      </w:r>
      <w:r w:rsidRPr="00F936FC">
        <w:rPr>
          <w:rFonts w:asciiTheme="minorBidi" w:hAnsiTheme="minorBidi" w:cs="Arial" w:hint="cs"/>
          <w:rtl/>
        </w:rPr>
        <w:t>פי</w:t>
      </w:r>
      <w:r w:rsidRPr="00F936FC">
        <w:rPr>
          <w:rFonts w:asciiTheme="minorBidi" w:hAnsiTheme="minorBidi" w:cs="Arial"/>
          <w:rtl/>
        </w:rPr>
        <w:t xml:space="preserve"> </w:t>
      </w:r>
      <w:r w:rsidRPr="00F936FC">
        <w:rPr>
          <w:rFonts w:asciiTheme="minorBidi" w:hAnsiTheme="minorBidi" w:cs="Arial" w:hint="cs"/>
          <w:rtl/>
        </w:rPr>
        <w:t>הכלי</w:t>
      </w:r>
      <w:r w:rsidR="00140286">
        <w:rPr>
          <w:rFonts w:asciiTheme="minorBidi" w:hAnsiTheme="minorBidi" w:cs="Arial" w:hint="cs"/>
          <w:rtl/>
        </w:rPr>
        <w:t>.</w:t>
      </w:r>
      <w:r w:rsidRPr="00F936FC">
        <w:rPr>
          <w:rFonts w:asciiTheme="minorBidi" w:hAnsiTheme="minorBidi" w:cs="Arial"/>
          <w:rtl/>
        </w:rPr>
        <w:t xml:space="preserve"> </w:t>
      </w:r>
      <w:r w:rsidRPr="00F936FC">
        <w:rPr>
          <w:rFonts w:asciiTheme="minorBidi" w:hAnsiTheme="minorBidi" w:cs="Arial" w:hint="cs"/>
          <w:rtl/>
        </w:rPr>
        <w:t>צרור</w:t>
      </w:r>
      <w:r w:rsidRPr="00F936FC">
        <w:rPr>
          <w:rFonts w:asciiTheme="minorBidi" w:hAnsiTheme="minorBidi" w:cs="Arial"/>
          <w:rtl/>
        </w:rPr>
        <w:t xml:space="preserve"> </w:t>
      </w:r>
      <w:r w:rsidRPr="00F936FC">
        <w:rPr>
          <w:rFonts w:asciiTheme="minorBidi" w:hAnsiTheme="minorBidi" w:cs="Arial" w:hint="cs"/>
          <w:rtl/>
        </w:rPr>
        <w:t>ועשבים</w:t>
      </w:r>
      <w:r w:rsidRPr="00F936FC">
        <w:rPr>
          <w:rFonts w:asciiTheme="minorBidi" w:hAnsiTheme="minorBidi" w:cs="Arial"/>
          <w:rtl/>
        </w:rPr>
        <w:t xml:space="preserve">, </w:t>
      </w:r>
      <w:r w:rsidRPr="00F936FC">
        <w:rPr>
          <w:rFonts w:asciiTheme="minorBidi" w:hAnsiTheme="minorBidi" w:cs="Arial" w:hint="cs"/>
          <w:rtl/>
        </w:rPr>
        <w:t>יקנח</w:t>
      </w:r>
      <w:r w:rsidRPr="00F936FC">
        <w:rPr>
          <w:rFonts w:asciiTheme="minorBidi" w:hAnsiTheme="minorBidi" w:cs="Arial"/>
          <w:rtl/>
        </w:rPr>
        <w:t xml:space="preserve"> </w:t>
      </w:r>
      <w:r w:rsidRPr="00F936FC">
        <w:rPr>
          <w:rFonts w:asciiTheme="minorBidi" w:hAnsiTheme="minorBidi" w:cs="Arial" w:hint="cs"/>
          <w:rtl/>
        </w:rPr>
        <w:t>בעשבים</w:t>
      </w:r>
      <w:r w:rsidRPr="00F936FC">
        <w:rPr>
          <w:rFonts w:asciiTheme="minorBidi" w:hAnsiTheme="minorBidi" w:cs="Arial"/>
          <w:rtl/>
        </w:rPr>
        <w:t xml:space="preserve"> </w:t>
      </w:r>
      <w:r w:rsidRPr="00F936FC">
        <w:rPr>
          <w:rFonts w:asciiTheme="minorBidi" w:hAnsiTheme="minorBidi" w:cs="Arial" w:hint="cs"/>
          <w:rtl/>
        </w:rPr>
        <w:t>אם</w:t>
      </w:r>
      <w:r w:rsidRPr="00F936FC">
        <w:rPr>
          <w:rFonts w:asciiTheme="minorBidi" w:hAnsiTheme="minorBidi" w:cs="Arial"/>
          <w:rtl/>
        </w:rPr>
        <w:t xml:space="preserve"> </w:t>
      </w:r>
      <w:r w:rsidRPr="00F936FC">
        <w:rPr>
          <w:rFonts w:asciiTheme="minorBidi" w:hAnsiTheme="minorBidi" w:cs="Arial" w:hint="cs"/>
          <w:rtl/>
        </w:rPr>
        <w:t>הם</w:t>
      </w:r>
      <w:r w:rsidRPr="00F936FC">
        <w:rPr>
          <w:rFonts w:asciiTheme="minorBidi" w:hAnsiTheme="minorBidi" w:cs="Arial"/>
          <w:rtl/>
        </w:rPr>
        <w:t xml:space="preserve"> </w:t>
      </w:r>
      <w:r w:rsidRPr="00F936FC">
        <w:rPr>
          <w:rFonts w:asciiTheme="minorBidi" w:hAnsiTheme="minorBidi" w:cs="Arial" w:hint="cs"/>
          <w:rtl/>
        </w:rPr>
        <w:t>לחים</w:t>
      </w:r>
      <w:r w:rsidRPr="00F936FC">
        <w:rPr>
          <w:rFonts w:asciiTheme="minorBidi" w:hAnsiTheme="minorBidi" w:cs="Arial"/>
          <w:rtl/>
        </w:rPr>
        <w:t xml:space="preserve">, </w:t>
      </w:r>
      <w:r w:rsidRPr="00F936FC">
        <w:rPr>
          <w:rFonts w:asciiTheme="minorBidi" w:hAnsiTheme="minorBidi" w:cs="Arial" w:hint="cs"/>
          <w:rtl/>
        </w:rPr>
        <w:t>אבל</w:t>
      </w:r>
      <w:r w:rsidRPr="00F936FC">
        <w:rPr>
          <w:rFonts w:asciiTheme="minorBidi" w:hAnsiTheme="minorBidi" w:cs="Arial"/>
          <w:rtl/>
        </w:rPr>
        <w:t xml:space="preserve"> </w:t>
      </w:r>
      <w:r w:rsidRPr="00F936FC">
        <w:rPr>
          <w:rFonts w:asciiTheme="minorBidi" w:hAnsiTheme="minorBidi" w:cs="Arial" w:hint="cs"/>
          <w:rtl/>
        </w:rPr>
        <w:t>ביבשים</w:t>
      </w:r>
      <w:r w:rsidRPr="00F936FC">
        <w:rPr>
          <w:rFonts w:asciiTheme="minorBidi" w:hAnsiTheme="minorBidi" w:cs="Arial"/>
          <w:rtl/>
        </w:rPr>
        <w:t xml:space="preserve"> </w:t>
      </w:r>
      <w:r w:rsidRPr="00F936FC">
        <w:rPr>
          <w:rFonts w:asciiTheme="minorBidi" w:hAnsiTheme="minorBidi" w:cs="Arial" w:hint="cs"/>
          <w:rtl/>
        </w:rPr>
        <w:t>אין</w:t>
      </w:r>
      <w:r w:rsidRPr="00F936FC">
        <w:rPr>
          <w:rFonts w:asciiTheme="minorBidi" w:hAnsiTheme="minorBidi" w:cs="Arial"/>
          <w:rtl/>
        </w:rPr>
        <w:t xml:space="preserve"> </w:t>
      </w:r>
      <w:r w:rsidRPr="00F936FC">
        <w:rPr>
          <w:rFonts w:asciiTheme="minorBidi" w:hAnsiTheme="minorBidi" w:cs="Arial" w:hint="cs"/>
          <w:rtl/>
        </w:rPr>
        <w:t>מקנחין</w:t>
      </w:r>
      <w:r w:rsidR="00CB5ADD">
        <w:rPr>
          <w:rStyle w:val="a9"/>
          <w:rFonts w:asciiTheme="minorBidi" w:hAnsiTheme="minorBidi" w:cs="Arial"/>
          <w:rtl/>
        </w:rPr>
        <w:footnoteReference w:id="2016"/>
      </w:r>
      <w:r w:rsidRPr="00F936FC">
        <w:rPr>
          <w:rFonts w:asciiTheme="minorBidi" w:hAnsiTheme="minorBidi" w:cs="Arial"/>
          <w:rtl/>
        </w:rPr>
        <w:t xml:space="preserve"> </w:t>
      </w:r>
      <w:r w:rsidRPr="00F936FC">
        <w:rPr>
          <w:rFonts w:asciiTheme="minorBidi" w:hAnsiTheme="minorBidi" w:cs="Arial" w:hint="cs"/>
          <w:rtl/>
        </w:rPr>
        <w:t>מפני</w:t>
      </w:r>
      <w:r w:rsidRPr="00F936FC">
        <w:rPr>
          <w:rFonts w:asciiTheme="minorBidi" w:hAnsiTheme="minorBidi" w:cs="Arial"/>
          <w:rtl/>
        </w:rPr>
        <w:t xml:space="preserve"> </w:t>
      </w:r>
      <w:r w:rsidRPr="00F936FC">
        <w:rPr>
          <w:rFonts w:asciiTheme="minorBidi" w:hAnsiTheme="minorBidi" w:cs="Arial" w:hint="cs"/>
          <w:rtl/>
        </w:rPr>
        <w:t>שהם</w:t>
      </w:r>
      <w:r w:rsidRPr="00F936FC">
        <w:rPr>
          <w:rFonts w:asciiTheme="minorBidi" w:hAnsiTheme="minorBidi" w:cs="Arial"/>
          <w:rtl/>
        </w:rPr>
        <w:t xml:space="preserve"> </w:t>
      </w:r>
      <w:r w:rsidRPr="00F936FC">
        <w:rPr>
          <w:rFonts w:asciiTheme="minorBidi" w:hAnsiTheme="minorBidi" w:cs="Arial" w:hint="cs"/>
          <w:rtl/>
        </w:rPr>
        <w:t>חדים</w:t>
      </w:r>
      <w:r w:rsidRPr="00F936FC">
        <w:rPr>
          <w:rFonts w:asciiTheme="minorBidi" w:hAnsiTheme="minorBidi" w:cs="Arial"/>
          <w:rtl/>
        </w:rPr>
        <w:t xml:space="preserve"> </w:t>
      </w:r>
      <w:r w:rsidRPr="00F936FC">
        <w:rPr>
          <w:rFonts w:asciiTheme="minorBidi" w:hAnsiTheme="minorBidi" w:cs="Arial" w:hint="cs"/>
          <w:rtl/>
        </w:rPr>
        <w:t>ומחתכין</w:t>
      </w:r>
      <w:r w:rsidRPr="00F936FC">
        <w:rPr>
          <w:rFonts w:asciiTheme="minorBidi" w:hAnsiTheme="minorBidi" w:cs="Arial"/>
          <w:rtl/>
        </w:rPr>
        <w:t xml:space="preserve"> </w:t>
      </w:r>
      <w:r w:rsidRPr="00F936FC">
        <w:rPr>
          <w:rFonts w:asciiTheme="minorBidi" w:hAnsiTheme="minorBidi" w:cs="Arial" w:hint="cs"/>
          <w:rtl/>
        </w:rPr>
        <w:t>את</w:t>
      </w:r>
      <w:r w:rsidRPr="00F936FC">
        <w:rPr>
          <w:rFonts w:asciiTheme="minorBidi" w:hAnsiTheme="minorBidi" w:cs="Arial"/>
          <w:rtl/>
        </w:rPr>
        <w:t xml:space="preserve"> </w:t>
      </w:r>
      <w:r w:rsidRPr="00F936FC">
        <w:rPr>
          <w:rFonts w:asciiTheme="minorBidi" w:hAnsiTheme="minorBidi" w:cs="Arial" w:hint="cs"/>
          <w:rtl/>
        </w:rPr>
        <w:t>הבשר</w:t>
      </w:r>
      <w:r w:rsidRPr="00F936FC">
        <w:rPr>
          <w:rFonts w:asciiTheme="minorBidi" w:hAnsiTheme="minorBidi" w:cs="Arial"/>
          <w:rtl/>
        </w:rPr>
        <w:t xml:space="preserve">. </w:t>
      </w:r>
    </w:p>
    <w:p w14:paraId="6348EC50" w14:textId="77777777" w:rsidR="00140286" w:rsidRPr="00F936FC" w:rsidRDefault="00140286" w:rsidP="00434A6A">
      <w:pPr>
        <w:rPr>
          <w:rFonts w:asciiTheme="minorBidi" w:hAnsiTheme="minorBidi"/>
          <w:rtl/>
        </w:rPr>
      </w:pPr>
    </w:p>
    <w:p w14:paraId="56507040" w14:textId="73F03D43" w:rsidR="00F936FC" w:rsidRDefault="00F936FC" w:rsidP="00434A6A">
      <w:pPr>
        <w:pStyle w:val="2"/>
        <w:rPr>
          <w:rtl/>
        </w:rPr>
      </w:pPr>
      <w:r w:rsidRPr="00F936FC">
        <w:rPr>
          <w:rFonts w:hint="cs"/>
          <w:rtl/>
        </w:rPr>
        <w:t>סעיף</w:t>
      </w:r>
      <w:r w:rsidRPr="00F936FC">
        <w:rPr>
          <w:rtl/>
        </w:rPr>
        <w:t xml:space="preserve"> </w:t>
      </w:r>
      <w:r w:rsidRPr="00F936FC">
        <w:rPr>
          <w:rFonts w:hint="cs"/>
          <w:rtl/>
        </w:rPr>
        <w:t>ו</w:t>
      </w:r>
      <w:r w:rsidR="0079258D">
        <w:rPr>
          <w:rFonts w:hint="cs"/>
          <w:rtl/>
        </w:rPr>
        <w:t>: קינוח בעשבים מחוברים לקרקע.</w:t>
      </w:r>
    </w:p>
    <w:p w14:paraId="287CEA30" w14:textId="75FE41F2" w:rsidR="0079258D" w:rsidRPr="0079258D" w:rsidRDefault="0079258D" w:rsidP="00434A6A">
      <w:pPr>
        <w:rPr>
          <w:rtl/>
        </w:rPr>
      </w:pPr>
      <w:r>
        <w:rPr>
          <w:rFonts w:hint="cs"/>
          <w:rtl/>
        </w:rPr>
        <w:t>עיין במקורות בסעיף הקודם.</w:t>
      </w:r>
    </w:p>
    <w:p w14:paraId="3C2BF2B1" w14:textId="77777777" w:rsidR="002B45A4" w:rsidRPr="00D10A83" w:rsidRDefault="002B45A4" w:rsidP="00434A6A">
      <w:pPr>
        <w:rPr>
          <w:rFonts w:asciiTheme="minorBidi" w:hAnsiTheme="minorBidi"/>
          <w:rtl/>
        </w:rPr>
      </w:pPr>
      <w:r w:rsidRPr="005275DF">
        <w:rPr>
          <w:rFonts w:asciiTheme="minorBidi" w:hAnsiTheme="minorBidi"/>
          <w:b/>
          <w:bCs/>
          <w:sz w:val="32"/>
          <w:szCs w:val="28"/>
          <w:u w:val="single"/>
          <w:rtl/>
        </w:rPr>
        <w:t xml:space="preserve">שו"ע: </w:t>
      </w:r>
    </w:p>
    <w:p w14:paraId="66EF1C71" w14:textId="6F56E49D" w:rsidR="00F936FC" w:rsidRDefault="00F936FC" w:rsidP="00434A6A">
      <w:pPr>
        <w:rPr>
          <w:rFonts w:asciiTheme="minorBidi" w:hAnsiTheme="minorBidi"/>
          <w:rtl/>
        </w:rPr>
      </w:pPr>
      <w:r w:rsidRPr="00F936FC">
        <w:rPr>
          <w:rFonts w:asciiTheme="minorBidi" w:hAnsiTheme="minorBidi" w:cs="Arial" w:hint="cs"/>
          <w:rtl/>
        </w:rPr>
        <w:t>מקנחין</w:t>
      </w:r>
      <w:r w:rsidRPr="00F936FC">
        <w:rPr>
          <w:rFonts w:asciiTheme="minorBidi" w:hAnsiTheme="minorBidi" w:cs="Arial"/>
          <w:rtl/>
        </w:rPr>
        <w:t xml:space="preserve"> </w:t>
      </w:r>
      <w:r w:rsidRPr="00F936FC">
        <w:rPr>
          <w:rFonts w:asciiTheme="minorBidi" w:hAnsiTheme="minorBidi" w:cs="Arial" w:hint="cs"/>
          <w:rtl/>
        </w:rPr>
        <w:t>בשבת</w:t>
      </w:r>
      <w:r w:rsidRPr="00F936FC">
        <w:rPr>
          <w:rFonts w:asciiTheme="minorBidi" w:hAnsiTheme="minorBidi" w:cs="Arial"/>
          <w:rtl/>
        </w:rPr>
        <w:t xml:space="preserve"> </w:t>
      </w:r>
      <w:r w:rsidRPr="00F936FC">
        <w:rPr>
          <w:rFonts w:asciiTheme="minorBidi" w:hAnsiTheme="minorBidi" w:cs="Arial" w:hint="cs"/>
          <w:rtl/>
        </w:rPr>
        <w:t>בעשבים</w:t>
      </w:r>
      <w:r w:rsidRPr="00F936FC">
        <w:rPr>
          <w:rFonts w:asciiTheme="minorBidi" w:hAnsiTheme="minorBidi" w:cs="Arial"/>
          <w:rtl/>
        </w:rPr>
        <w:t xml:space="preserve"> </w:t>
      </w:r>
      <w:r w:rsidRPr="00F936FC">
        <w:rPr>
          <w:rFonts w:asciiTheme="minorBidi" w:hAnsiTheme="minorBidi" w:cs="Arial" w:hint="cs"/>
          <w:rtl/>
        </w:rPr>
        <w:t>לחים</w:t>
      </w:r>
      <w:r w:rsidRPr="00F936FC">
        <w:rPr>
          <w:rFonts w:asciiTheme="minorBidi" w:hAnsiTheme="minorBidi" w:cs="Arial"/>
          <w:rtl/>
        </w:rPr>
        <w:t xml:space="preserve"> </w:t>
      </w:r>
      <w:r w:rsidRPr="00F936FC">
        <w:rPr>
          <w:rFonts w:asciiTheme="minorBidi" w:hAnsiTheme="minorBidi" w:cs="Arial" w:hint="cs"/>
          <w:rtl/>
        </w:rPr>
        <w:t>אפי</w:t>
      </w:r>
      <w:r w:rsidR="0079258D">
        <w:rPr>
          <w:rFonts w:asciiTheme="minorBidi" w:hAnsiTheme="minorBidi" w:cs="Arial" w:hint="cs"/>
          <w:rtl/>
        </w:rPr>
        <w:t>לו</w:t>
      </w:r>
      <w:r w:rsidRPr="00F936FC">
        <w:rPr>
          <w:rFonts w:asciiTheme="minorBidi" w:hAnsiTheme="minorBidi" w:cs="Arial"/>
          <w:rtl/>
        </w:rPr>
        <w:t xml:space="preserve"> </w:t>
      </w:r>
      <w:r w:rsidRPr="00F936FC">
        <w:rPr>
          <w:rFonts w:asciiTheme="minorBidi" w:hAnsiTheme="minorBidi" w:cs="Arial" w:hint="cs"/>
          <w:rtl/>
        </w:rPr>
        <w:t>הם</w:t>
      </w:r>
      <w:r w:rsidRPr="00F936FC">
        <w:rPr>
          <w:rFonts w:asciiTheme="minorBidi" w:hAnsiTheme="minorBidi" w:cs="Arial"/>
          <w:rtl/>
        </w:rPr>
        <w:t xml:space="preserve"> </w:t>
      </w:r>
      <w:r w:rsidRPr="00F936FC">
        <w:rPr>
          <w:rFonts w:asciiTheme="minorBidi" w:hAnsiTheme="minorBidi" w:cs="Arial" w:hint="cs"/>
          <w:rtl/>
        </w:rPr>
        <w:t>מחוברים</w:t>
      </w:r>
      <w:r w:rsidRPr="00F936FC">
        <w:rPr>
          <w:rFonts w:asciiTheme="minorBidi" w:hAnsiTheme="minorBidi" w:cs="Arial"/>
          <w:rtl/>
        </w:rPr>
        <w:t xml:space="preserve">, </w:t>
      </w:r>
      <w:r w:rsidRPr="00F936FC">
        <w:rPr>
          <w:rFonts w:asciiTheme="minorBidi" w:hAnsiTheme="minorBidi" w:cs="Arial" w:hint="cs"/>
          <w:rtl/>
        </w:rPr>
        <w:t>ובלבד</w:t>
      </w:r>
      <w:r w:rsidRPr="00F936FC">
        <w:rPr>
          <w:rFonts w:asciiTheme="minorBidi" w:hAnsiTheme="minorBidi" w:cs="Arial"/>
          <w:rtl/>
        </w:rPr>
        <w:t xml:space="preserve"> </w:t>
      </w:r>
      <w:r w:rsidRPr="00F936FC">
        <w:rPr>
          <w:rFonts w:asciiTheme="minorBidi" w:hAnsiTheme="minorBidi" w:cs="Arial" w:hint="cs"/>
          <w:rtl/>
        </w:rPr>
        <w:t>שלא</w:t>
      </w:r>
      <w:r w:rsidRPr="00F936FC">
        <w:rPr>
          <w:rFonts w:asciiTheme="minorBidi" w:hAnsiTheme="minorBidi" w:cs="Arial"/>
          <w:rtl/>
        </w:rPr>
        <w:t xml:space="preserve"> </w:t>
      </w:r>
      <w:r w:rsidRPr="00F936FC">
        <w:rPr>
          <w:rFonts w:asciiTheme="minorBidi" w:hAnsiTheme="minorBidi" w:cs="Arial" w:hint="cs"/>
          <w:rtl/>
        </w:rPr>
        <w:t>יזיזם</w:t>
      </w:r>
      <w:r w:rsidR="00CB5ADD">
        <w:rPr>
          <w:rStyle w:val="a9"/>
          <w:rFonts w:asciiTheme="minorBidi" w:hAnsiTheme="minorBidi" w:cs="Arial"/>
          <w:rtl/>
        </w:rPr>
        <w:footnoteReference w:id="2017"/>
      </w:r>
      <w:r w:rsidR="00E324D8">
        <w:rPr>
          <w:rFonts w:asciiTheme="minorBidi" w:hAnsiTheme="minorBidi" w:cs="Arial" w:hint="cs"/>
          <w:rtl/>
        </w:rPr>
        <w:t>.</w:t>
      </w:r>
      <w:r w:rsidRPr="00F936FC">
        <w:rPr>
          <w:rFonts w:asciiTheme="minorBidi" w:hAnsiTheme="minorBidi" w:cs="Arial"/>
          <w:rtl/>
        </w:rPr>
        <w:t xml:space="preserve"> </w:t>
      </w:r>
      <w:r w:rsidRPr="00F936FC">
        <w:rPr>
          <w:rFonts w:asciiTheme="minorBidi" w:hAnsiTheme="minorBidi" w:cs="Arial" w:hint="cs"/>
          <w:rtl/>
        </w:rPr>
        <w:t>ומשום</w:t>
      </w:r>
      <w:r w:rsidRPr="00F936FC">
        <w:rPr>
          <w:rFonts w:asciiTheme="minorBidi" w:hAnsiTheme="minorBidi" w:cs="Arial"/>
          <w:rtl/>
        </w:rPr>
        <w:t xml:space="preserve"> </w:t>
      </w:r>
      <w:r w:rsidRPr="00F936FC">
        <w:rPr>
          <w:rFonts w:asciiTheme="minorBidi" w:hAnsiTheme="minorBidi" w:cs="Arial" w:hint="cs"/>
          <w:rtl/>
        </w:rPr>
        <w:t>משתמש</w:t>
      </w:r>
      <w:r w:rsidRPr="00F936FC">
        <w:rPr>
          <w:rFonts w:asciiTheme="minorBidi" w:hAnsiTheme="minorBidi" w:cs="Arial"/>
          <w:rtl/>
        </w:rPr>
        <w:t xml:space="preserve"> </w:t>
      </w:r>
      <w:r w:rsidRPr="00F936FC">
        <w:rPr>
          <w:rFonts w:asciiTheme="minorBidi" w:hAnsiTheme="minorBidi" w:cs="Arial" w:hint="cs"/>
          <w:rtl/>
        </w:rPr>
        <w:t>במחובר</w:t>
      </w:r>
      <w:r w:rsidRPr="00F936FC">
        <w:rPr>
          <w:rFonts w:asciiTheme="minorBidi" w:hAnsiTheme="minorBidi" w:cs="Arial"/>
          <w:rtl/>
        </w:rPr>
        <w:t xml:space="preserve"> </w:t>
      </w:r>
      <w:r w:rsidRPr="00F936FC">
        <w:rPr>
          <w:rFonts w:asciiTheme="minorBidi" w:hAnsiTheme="minorBidi" w:cs="Arial" w:hint="cs"/>
          <w:rtl/>
        </w:rPr>
        <w:t>ליכא</w:t>
      </w:r>
      <w:r w:rsidRPr="00F936FC">
        <w:rPr>
          <w:rFonts w:asciiTheme="minorBidi" w:hAnsiTheme="minorBidi" w:cs="Arial"/>
          <w:rtl/>
        </w:rPr>
        <w:t xml:space="preserve">, </w:t>
      </w:r>
      <w:r w:rsidRPr="00F936FC">
        <w:rPr>
          <w:rFonts w:asciiTheme="minorBidi" w:hAnsiTheme="minorBidi" w:cs="Arial" w:hint="cs"/>
          <w:rtl/>
        </w:rPr>
        <w:t>דלא</w:t>
      </w:r>
      <w:r w:rsidRPr="00F936FC">
        <w:rPr>
          <w:rFonts w:asciiTheme="minorBidi" w:hAnsiTheme="minorBidi" w:cs="Arial"/>
          <w:rtl/>
        </w:rPr>
        <w:t xml:space="preserve"> </w:t>
      </w:r>
      <w:r w:rsidRPr="00F936FC">
        <w:rPr>
          <w:rFonts w:asciiTheme="minorBidi" w:hAnsiTheme="minorBidi" w:cs="Arial" w:hint="cs"/>
          <w:rtl/>
        </w:rPr>
        <w:t>אמרו</w:t>
      </w:r>
      <w:r w:rsidRPr="00F936FC">
        <w:rPr>
          <w:rFonts w:asciiTheme="minorBidi" w:hAnsiTheme="minorBidi" w:cs="Arial"/>
          <w:rtl/>
        </w:rPr>
        <w:t xml:space="preserve"> </w:t>
      </w:r>
      <w:r w:rsidRPr="00F936FC">
        <w:rPr>
          <w:rFonts w:asciiTheme="minorBidi" w:hAnsiTheme="minorBidi" w:cs="Arial" w:hint="cs"/>
          <w:rtl/>
        </w:rPr>
        <w:t>אלא</w:t>
      </w:r>
      <w:r w:rsidRPr="00F936FC">
        <w:rPr>
          <w:rFonts w:asciiTheme="minorBidi" w:hAnsiTheme="minorBidi" w:cs="Arial"/>
          <w:rtl/>
        </w:rPr>
        <w:t xml:space="preserve"> </w:t>
      </w:r>
      <w:r w:rsidRPr="00F936FC">
        <w:rPr>
          <w:rFonts w:asciiTheme="minorBidi" w:hAnsiTheme="minorBidi" w:cs="Arial" w:hint="cs"/>
          <w:rtl/>
        </w:rPr>
        <w:t>באילן</w:t>
      </w:r>
      <w:r w:rsidRPr="00F936FC">
        <w:rPr>
          <w:rFonts w:asciiTheme="minorBidi" w:hAnsiTheme="minorBidi" w:cs="Arial"/>
          <w:rtl/>
        </w:rPr>
        <w:t xml:space="preserve"> </w:t>
      </w:r>
      <w:r w:rsidRPr="00F936FC">
        <w:rPr>
          <w:rFonts w:asciiTheme="minorBidi" w:hAnsiTheme="minorBidi" w:cs="Arial" w:hint="cs"/>
          <w:rtl/>
        </w:rPr>
        <w:t>אבל</w:t>
      </w:r>
      <w:r w:rsidRPr="00F936FC">
        <w:rPr>
          <w:rFonts w:asciiTheme="minorBidi" w:hAnsiTheme="minorBidi" w:cs="Arial"/>
          <w:rtl/>
        </w:rPr>
        <w:t xml:space="preserve"> </w:t>
      </w:r>
      <w:r w:rsidRPr="00F936FC">
        <w:rPr>
          <w:rFonts w:asciiTheme="minorBidi" w:hAnsiTheme="minorBidi" w:cs="Arial" w:hint="cs"/>
          <w:rtl/>
        </w:rPr>
        <w:t>לא</w:t>
      </w:r>
      <w:r w:rsidRPr="00F936FC">
        <w:rPr>
          <w:rFonts w:asciiTheme="minorBidi" w:hAnsiTheme="minorBidi" w:cs="Arial"/>
          <w:rtl/>
        </w:rPr>
        <w:t xml:space="preserve"> </w:t>
      </w:r>
      <w:r w:rsidRPr="00F936FC">
        <w:rPr>
          <w:rFonts w:asciiTheme="minorBidi" w:hAnsiTheme="minorBidi" w:cs="Arial" w:hint="cs"/>
          <w:rtl/>
        </w:rPr>
        <w:t>בירק</w:t>
      </w:r>
      <w:r w:rsidRPr="00F936FC">
        <w:rPr>
          <w:rFonts w:asciiTheme="minorBidi" w:hAnsiTheme="minorBidi" w:cs="Arial"/>
          <w:rtl/>
        </w:rPr>
        <w:t xml:space="preserve">. </w:t>
      </w:r>
    </w:p>
    <w:p w14:paraId="6765A188" w14:textId="77777777" w:rsidR="0079258D" w:rsidRPr="00F936FC" w:rsidRDefault="0079258D" w:rsidP="00434A6A">
      <w:pPr>
        <w:rPr>
          <w:rFonts w:asciiTheme="minorBidi" w:hAnsiTheme="minorBidi"/>
          <w:rtl/>
        </w:rPr>
      </w:pPr>
    </w:p>
    <w:p w14:paraId="7E23090B" w14:textId="33150311" w:rsidR="00F936FC" w:rsidRDefault="00F936FC" w:rsidP="00434A6A">
      <w:pPr>
        <w:pStyle w:val="2"/>
        <w:rPr>
          <w:rtl/>
        </w:rPr>
      </w:pPr>
      <w:r w:rsidRPr="00F936FC">
        <w:rPr>
          <w:rFonts w:hint="cs"/>
          <w:rtl/>
        </w:rPr>
        <w:t>סעיף</w:t>
      </w:r>
      <w:r w:rsidRPr="00F936FC">
        <w:rPr>
          <w:rtl/>
        </w:rPr>
        <w:t xml:space="preserve"> </w:t>
      </w:r>
      <w:r w:rsidRPr="00F936FC">
        <w:rPr>
          <w:rFonts w:hint="cs"/>
          <w:rtl/>
        </w:rPr>
        <w:t>ז</w:t>
      </w:r>
      <w:r w:rsidR="00CB5ADD">
        <w:rPr>
          <w:rFonts w:hint="cs"/>
          <w:rtl/>
        </w:rPr>
        <w:t xml:space="preserve">: </w:t>
      </w:r>
      <w:r w:rsidR="004E3FA7">
        <w:rPr>
          <w:rFonts w:hint="cs"/>
          <w:rtl/>
        </w:rPr>
        <w:t>הצריך למשמש בפי הטבעת כדי להתפנות.</w:t>
      </w:r>
    </w:p>
    <w:p w14:paraId="6BCAB30F" w14:textId="1344FC1C" w:rsidR="006D452C" w:rsidRDefault="006D452C" w:rsidP="00434A6A">
      <w:pPr>
        <w:rPr>
          <w:rFonts w:cs="Arial"/>
          <w:rtl/>
        </w:rPr>
      </w:pPr>
      <w:r w:rsidRPr="00E24BC4">
        <w:rPr>
          <w:rFonts w:cs="Arial" w:hint="cs"/>
          <w:b/>
          <w:bCs/>
          <w:rtl/>
        </w:rPr>
        <w:t xml:space="preserve">שבת </w:t>
      </w:r>
      <w:r w:rsidRPr="00E24BC4">
        <w:rPr>
          <w:rFonts w:cs="Arial" w:hint="cs"/>
          <w:b/>
          <w:bCs/>
          <w:sz w:val="16"/>
          <w:szCs w:val="16"/>
          <w:rtl/>
        </w:rPr>
        <w:t>(ס"פ</w:t>
      </w:r>
      <w:r w:rsidRPr="00E24BC4">
        <w:rPr>
          <w:rFonts w:cs="Arial"/>
          <w:b/>
          <w:bCs/>
          <w:sz w:val="16"/>
          <w:szCs w:val="16"/>
          <w:rtl/>
        </w:rPr>
        <w:t xml:space="preserve"> המוציא יין</w:t>
      </w:r>
      <w:r w:rsidRPr="00E24BC4">
        <w:rPr>
          <w:rFonts w:cs="Arial" w:hint="cs"/>
          <w:b/>
          <w:bCs/>
          <w:sz w:val="16"/>
          <w:szCs w:val="16"/>
          <w:rtl/>
        </w:rPr>
        <w:t>)</w:t>
      </w:r>
      <w:r w:rsidRPr="00E24BC4">
        <w:rPr>
          <w:rFonts w:cs="Arial"/>
          <w:b/>
          <w:bCs/>
          <w:rtl/>
        </w:rPr>
        <w:t xml:space="preserve"> פ</w:t>
      </w:r>
      <w:r>
        <w:rPr>
          <w:rFonts w:cs="Arial" w:hint="cs"/>
          <w:b/>
          <w:bCs/>
          <w:rtl/>
        </w:rPr>
        <w:t>א</w:t>
      </w:r>
      <w:r w:rsidRPr="00E24BC4">
        <w:rPr>
          <w:rFonts w:cs="Arial" w:hint="cs"/>
          <w:b/>
          <w:bCs/>
          <w:rtl/>
        </w:rPr>
        <w:t xml:space="preserve"> ע"</w:t>
      </w:r>
      <w:r>
        <w:rPr>
          <w:rFonts w:cs="Arial" w:hint="cs"/>
          <w:b/>
          <w:bCs/>
          <w:rtl/>
        </w:rPr>
        <w:t>א</w:t>
      </w:r>
      <w:r w:rsidRPr="00E24BC4">
        <w:rPr>
          <w:rFonts w:cs="Arial" w:hint="cs"/>
          <w:b/>
          <w:bCs/>
          <w:rtl/>
        </w:rPr>
        <w:t>:</w:t>
      </w:r>
      <w:r w:rsidR="00D52138" w:rsidRPr="004C5375">
        <w:rPr>
          <w:rFonts w:cs="Arial"/>
          <w:rtl/>
        </w:rPr>
        <w:t xml:space="preserve"> </w:t>
      </w:r>
      <w:r w:rsidRPr="006D452C">
        <w:rPr>
          <w:rFonts w:cs="Arial"/>
          <w:u w:val="single"/>
          <w:rtl/>
        </w:rPr>
        <w:t>אמר רבא</w:t>
      </w:r>
      <w:r w:rsidRPr="006D452C">
        <w:rPr>
          <w:rFonts w:cs="Arial"/>
          <w:rtl/>
        </w:rPr>
        <w:t>: אסור למשמש</w:t>
      </w:r>
      <w:r>
        <w:rPr>
          <w:rStyle w:val="a9"/>
          <w:rFonts w:cs="Arial"/>
          <w:rtl/>
        </w:rPr>
        <w:footnoteReference w:id="2018"/>
      </w:r>
      <w:r w:rsidRPr="006D452C">
        <w:rPr>
          <w:rFonts w:cs="Arial"/>
          <w:rtl/>
        </w:rPr>
        <w:t xml:space="preserve"> בצרור בשבת כדרך שממשמש בחול. </w:t>
      </w:r>
      <w:r w:rsidRPr="006D452C">
        <w:rPr>
          <w:rFonts w:cs="Arial"/>
          <w:u w:val="single"/>
          <w:rtl/>
        </w:rPr>
        <w:t>מתקיף לה מר זוטרא</w:t>
      </w:r>
      <w:r w:rsidRPr="006D452C">
        <w:rPr>
          <w:rFonts w:cs="Arial"/>
          <w:rtl/>
        </w:rPr>
        <w:t>: ליסתכן</w:t>
      </w:r>
      <w:r w:rsidR="00383396">
        <w:rPr>
          <w:rStyle w:val="a9"/>
          <w:rFonts w:cs="Arial"/>
          <w:rtl/>
        </w:rPr>
        <w:footnoteReference w:id="2019"/>
      </w:r>
      <w:r w:rsidRPr="006D452C">
        <w:rPr>
          <w:rFonts w:cs="Arial"/>
          <w:rtl/>
        </w:rPr>
        <w:t>? כלאחר יד</w:t>
      </w:r>
      <w:r w:rsidR="00383396">
        <w:rPr>
          <w:rStyle w:val="a9"/>
          <w:rFonts w:cs="Arial"/>
          <w:rtl/>
        </w:rPr>
        <w:footnoteReference w:id="2020"/>
      </w:r>
      <w:r w:rsidRPr="006D452C">
        <w:rPr>
          <w:rFonts w:cs="Arial"/>
          <w:rtl/>
        </w:rPr>
        <w:t xml:space="preserve">. </w:t>
      </w:r>
    </w:p>
    <w:p w14:paraId="06AD5A07" w14:textId="0A25904A" w:rsidR="00D52138" w:rsidRPr="004E3FA7" w:rsidRDefault="004E3FA7" w:rsidP="00434A6A">
      <w:pPr>
        <w:rPr>
          <w:rFonts w:cs="Arial"/>
          <w:u w:val="single"/>
          <w:rtl/>
        </w:rPr>
      </w:pPr>
      <w:r w:rsidRPr="004E3FA7">
        <w:rPr>
          <w:rFonts w:cs="Arial" w:hint="cs"/>
          <w:u w:val="single"/>
          <w:rtl/>
        </w:rPr>
        <w:t>הצריך למשמש בפי הטבעת כדי להתפנות:</w:t>
      </w:r>
    </w:p>
    <w:p w14:paraId="685A906D" w14:textId="20EBD316" w:rsidR="004E3FA7" w:rsidRPr="004E3FA7" w:rsidRDefault="004E3FA7" w:rsidP="00434A6A">
      <w:pPr>
        <w:pStyle w:val="aa"/>
        <w:numPr>
          <w:ilvl w:val="0"/>
          <w:numId w:val="15"/>
        </w:numPr>
      </w:pPr>
      <w:r>
        <w:rPr>
          <w:rFonts w:hint="cs"/>
          <w:rtl/>
        </w:rPr>
        <w:t xml:space="preserve">רש"י </w:t>
      </w:r>
      <w:r w:rsidR="002004B0">
        <w:rPr>
          <w:rFonts w:hint="cs"/>
          <w:sz w:val="16"/>
          <w:szCs w:val="16"/>
          <w:rtl/>
        </w:rPr>
        <w:t xml:space="preserve">(ד"ה כלאחר יד) </w:t>
      </w:r>
      <w:r>
        <w:rPr>
          <w:rFonts w:hint="cs"/>
          <w:rtl/>
        </w:rPr>
        <w:t xml:space="preserve">רא"ש </w:t>
      </w:r>
      <w:r>
        <w:rPr>
          <w:rFonts w:hint="cs"/>
          <w:sz w:val="16"/>
          <w:szCs w:val="16"/>
          <w:rtl/>
        </w:rPr>
        <w:t>(סי' א)</w:t>
      </w:r>
      <w:r>
        <w:rPr>
          <w:rFonts w:hint="cs"/>
          <w:rtl/>
        </w:rPr>
        <w:t xml:space="preserve"> ו</w:t>
      </w:r>
      <w:r w:rsidR="004C5375">
        <w:rPr>
          <w:rFonts w:hint="cs"/>
          <w:rtl/>
        </w:rPr>
        <w:t>טור-</w:t>
      </w:r>
      <w:r w:rsidR="004C5375">
        <w:rPr>
          <w:rFonts w:cs="Arial" w:hint="cs"/>
          <w:rtl/>
        </w:rPr>
        <w:t xml:space="preserve"> </w:t>
      </w:r>
      <w:r w:rsidR="004C5375" w:rsidRPr="002B45A4">
        <w:rPr>
          <w:rFonts w:cs="Arial"/>
          <w:rtl/>
        </w:rPr>
        <w:t>היה צריך לנקביו ואינו יכול לפנות שרפואתו למשמש בפי הטבעת</w:t>
      </w:r>
      <w:r w:rsidR="00CB5ADD">
        <w:rPr>
          <w:rFonts w:cs="Arial" w:hint="cs"/>
          <w:rtl/>
        </w:rPr>
        <w:t>,</w:t>
      </w:r>
      <w:r w:rsidR="004C5375" w:rsidRPr="002B45A4">
        <w:rPr>
          <w:rFonts w:cs="Arial"/>
          <w:rtl/>
        </w:rPr>
        <w:t xml:space="preserve"> לא ימשמש בכל ידו כדרך שעושה בחול משום השרת נימין</w:t>
      </w:r>
      <w:r w:rsidR="00CB5ADD">
        <w:rPr>
          <w:rFonts w:cs="Arial" w:hint="cs"/>
          <w:rtl/>
        </w:rPr>
        <w:t>,</w:t>
      </w:r>
      <w:r w:rsidR="004C5375" w:rsidRPr="002B45A4">
        <w:rPr>
          <w:rFonts w:cs="Arial"/>
          <w:rtl/>
        </w:rPr>
        <w:t xml:space="preserve"> אלא ימשמש כלאחר יד בשתי אצבעותיו</w:t>
      </w:r>
      <w:r>
        <w:rPr>
          <w:rFonts w:cs="Arial" w:hint="cs"/>
          <w:sz w:val="16"/>
          <w:szCs w:val="16"/>
          <w:rtl/>
        </w:rPr>
        <w:t xml:space="preserve"> (ל' הטור)</w:t>
      </w:r>
      <w:r w:rsidR="00CB5ADD">
        <w:rPr>
          <w:rFonts w:cs="Arial" w:hint="cs"/>
          <w:rtl/>
        </w:rPr>
        <w:t>.</w:t>
      </w:r>
      <w:r w:rsidR="004C5375" w:rsidRPr="002B45A4">
        <w:rPr>
          <w:rFonts w:cs="Arial"/>
          <w:rtl/>
        </w:rPr>
        <w:t xml:space="preserve"> </w:t>
      </w:r>
      <w:r w:rsidR="00621D5A" w:rsidRPr="00D172C6">
        <w:rPr>
          <w:rFonts w:hint="cs"/>
          <w:color w:val="E36C0A" w:themeColor="accent6" w:themeShade="BF"/>
          <w:rtl/>
        </w:rPr>
        <w:t>(וכ"פ בשו"ע)</w:t>
      </w:r>
    </w:p>
    <w:p w14:paraId="288528F1" w14:textId="3992F278" w:rsidR="00CB5ADD" w:rsidRDefault="004C5375" w:rsidP="00434A6A">
      <w:pPr>
        <w:pStyle w:val="aa"/>
        <w:numPr>
          <w:ilvl w:val="0"/>
          <w:numId w:val="15"/>
        </w:numPr>
      </w:pPr>
      <w:r w:rsidRPr="002B45A4">
        <w:rPr>
          <w:rFonts w:cs="Arial"/>
          <w:rtl/>
        </w:rPr>
        <w:t xml:space="preserve">ר"ח </w:t>
      </w:r>
      <w:r w:rsidR="00383396" w:rsidRPr="00383396">
        <w:rPr>
          <w:rFonts w:cs="Arial"/>
          <w:sz w:val="16"/>
          <w:szCs w:val="16"/>
          <w:rtl/>
        </w:rPr>
        <w:t>(גליון פא.</w:t>
      </w:r>
      <w:r w:rsidR="004E3FA7">
        <w:rPr>
          <w:rFonts w:cs="Arial" w:hint="cs"/>
          <w:sz w:val="16"/>
          <w:szCs w:val="16"/>
          <w:rtl/>
        </w:rPr>
        <w:t>, כ"כ בשמו הרא"ש [שם] והטור</w:t>
      </w:r>
      <w:r w:rsidR="00383396" w:rsidRPr="00383396">
        <w:rPr>
          <w:rFonts w:cs="Arial"/>
          <w:sz w:val="16"/>
          <w:szCs w:val="16"/>
          <w:rtl/>
        </w:rPr>
        <w:t>)</w:t>
      </w:r>
      <w:r w:rsidR="004E3FA7">
        <w:rPr>
          <w:rFonts w:cs="Arial" w:hint="cs"/>
          <w:rtl/>
        </w:rPr>
        <w:t>-</w:t>
      </w:r>
      <w:r w:rsidRPr="002B45A4">
        <w:rPr>
          <w:rFonts w:cs="Arial"/>
          <w:rtl/>
        </w:rPr>
        <w:t xml:space="preserve"> לא ימשמש בצרור של הקנוח </w:t>
      </w:r>
      <w:r w:rsidRPr="004E3FA7">
        <w:rPr>
          <w:rFonts w:cs="Arial"/>
          <w:rtl/>
        </w:rPr>
        <w:t>להחליק</w:t>
      </w:r>
      <w:r w:rsidR="004E3FA7">
        <w:rPr>
          <w:rFonts w:cs="Arial" w:hint="cs"/>
          <w:rtl/>
        </w:rPr>
        <w:t xml:space="preserve">ו </w:t>
      </w:r>
      <w:r w:rsidR="004E3FA7">
        <w:rPr>
          <w:rFonts w:cs="Arial" w:hint="cs"/>
          <w:sz w:val="16"/>
          <w:szCs w:val="16"/>
          <w:rtl/>
        </w:rPr>
        <w:t xml:space="preserve">{שלא יסרט בשרו} </w:t>
      </w:r>
      <w:r w:rsidRPr="004E3FA7">
        <w:rPr>
          <w:rFonts w:cs="Arial"/>
          <w:rtl/>
        </w:rPr>
        <w:t>כדרך</w:t>
      </w:r>
      <w:r w:rsidRPr="002B45A4">
        <w:rPr>
          <w:rFonts w:cs="Arial"/>
          <w:rtl/>
        </w:rPr>
        <w:t xml:space="preserve"> שעושה בחול</w:t>
      </w:r>
      <w:r w:rsidR="004E3FA7">
        <w:rPr>
          <w:rFonts w:cs="Arial" w:hint="cs"/>
          <w:rtl/>
        </w:rPr>
        <w:t>,</w:t>
      </w:r>
      <w:r w:rsidRPr="002B45A4">
        <w:rPr>
          <w:rFonts w:cs="Arial"/>
          <w:rtl/>
        </w:rPr>
        <w:t xml:space="preserve"> משום כתישה</w:t>
      </w:r>
      <w:r w:rsidR="004E3FA7">
        <w:rPr>
          <w:rFonts w:cs="Arial" w:hint="cs"/>
          <w:rtl/>
        </w:rPr>
        <w:t>,</w:t>
      </w:r>
      <w:r w:rsidRPr="002B45A4">
        <w:rPr>
          <w:rFonts w:cs="Arial"/>
          <w:rtl/>
        </w:rPr>
        <w:t xml:space="preserve"> אלא כלאחר יד</w:t>
      </w:r>
      <w:r w:rsidR="004E3FA7">
        <w:rPr>
          <w:rFonts w:cs="Arial" w:hint="cs"/>
          <w:sz w:val="16"/>
          <w:szCs w:val="16"/>
          <w:rtl/>
        </w:rPr>
        <w:t xml:space="preserve"> (ל' הטור בשמו)</w:t>
      </w:r>
      <w:r w:rsidR="00CB5ADD">
        <w:rPr>
          <w:rFonts w:cs="Arial" w:hint="cs"/>
          <w:rtl/>
        </w:rPr>
        <w:t>.</w:t>
      </w:r>
      <w:r w:rsidRPr="002B45A4">
        <w:rPr>
          <w:rFonts w:cs="Arial"/>
          <w:rtl/>
        </w:rPr>
        <w:t xml:space="preserve"> </w:t>
      </w:r>
      <w:r w:rsidR="005D2053">
        <w:rPr>
          <w:rFonts w:hint="cs"/>
          <w:rtl/>
        </w:rPr>
        <w:t xml:space="preserve">(וכ"פ במשנ"ב </w:t>
      </w:r>
      <w:r w:rsidR="005D2053">
        <w:rPr>
          <w:rFonts w:hint="cs"/>
          <w:sz w:val="16"/>
          <w:szCs w:val="16"/>
          <w:rtl/>
        </w:rPr>
        <w:t>[סק"כ]</w:t>
      </w:r>
      <w:r w:rsidR="005D2053">
        <w:rPr>
          <w:rFonts w:hint="cs"/>
          <w:rtl/>
        </w:rPr>
        <w:t>)</w:t>
      </w:r>
    </w:p>
    <w:p w14:paraId="38065A59" w14:textId="56B0D9E2" w:rsidR="004E3FA7" w:rsidRDefault="004E3FA7" w:rsidP="00434A6A">
      <w:pPr>
        <w:pStyle w:val="aa"/>
        <w:numPr>
          <w:ilvl w:val="0"/>
          <w:numId w:val="15"/>
        </w:numPr>
      </w:pPr>
      <w:r w:rsidRPr="004C5375">
        <w:rPr>
          <w:rFonts w:cs="Arial"/>
          <w:rtl/>
        </w:rPr>
        <w:t>ר</w:t>
      </w:r>
      <w:r>
        <w:rPr>
          <w:rFonts w:cs="Arial" w:hint="cs"/>
          <w:rtl/>
        </w:rPr>
        <w:t>י"ו</w:t>
      </w:r>
      <w:r w:rsidRPr="004C5375">
        <w:rPr>
          <w:rFonts w:cs="Arial"/>
          <w:rtl/>
        </w:rPr>
        <w:t xml:space="preserve"> </w:t>
      </w:r>
      <w:r w:rsidRPr="004E3FA7">
        <w:rPr>
          <w:rFonts w:cs="Arial" w:hint="cs"/>
          <w:sz w:val="16"/>
          <w:szCs w:val="16"/>
          <w:rtl/>
        </w:rPr>
        <w:t>(</w:t>
      </w:r>
      <w:r w:rsidRPr="004E3FA7">
        <w:rPr>
          <w:rFonts w:cs="Arial"/>
          <w:sz w:val="16"/>
          <w:szCs w:val="16"/>
          <w:rtl/>
        </w:rPr>
        <w:t>ח</w:t>
      </w:r>
      <w:r w:rsidRPr="004E3FA7">
        <w:rPr>
          <w:rFonts w:cs="Arial" w:hint="cs"/>
          <w:sz w:val="16"/>
          <w:szCs w:val="16"/>
          <w:rtl/>
        </w:rPr>
        <w:t>"</w:t>
      </w:r>
      <w:r w:rsidRPr="004E3FA7">
        <w:rPr>
          <w:rFonts w:cs="Arial"/>
          <w:sz w:val="16"/>
          <w:szCs w:val="16"/>
          <w:rtl/>
        </w:rPr>
        <w:t>ט ני"ב עט.)</w:t>
      </w:r>
      <w:r>
        <w:rPr>
          <w:rFonts w:cs="Arial" w:hint="cs"/>
          <w:rtl/>
        </w:rPr>
        <w:t>-</w:t>
      </w:r>
      <w:r w:rsidRPr="004C5375">
        <w:rPr>
          <w:rFonts w:cs="Arial"/>
          <w:rtl/>
        </w:rPr>
        <w:t xml:space="preserve"> כלאחר יד כלומר שנוטל הצרור בשתי אצבעותיו כלומר בנחת וממשמש בנחת.</w:t>
      </w:r>
      <w:r w:rsidR="002004B0" w:rsidRPr="002004B0">
        <w:rPr>
          <w:rFonts w:hint="cs"/>
          <w:color w:val="E36C0A" w:themeColor="accent6" w:themeShade="BF"/>
          <w:rtl/>
        </w:rPr>
        <w:t xml:space="preserve"> </w:t>
      </w:r>
      <w:r w:rsidR="002004B0" w:rsidRPr="00D172C6">
        <w:rPr>
          <w:rFonts w:hint="cs"/>
          <w:color w:val="E36C0A" w:themeColor="accent6" w:themeShade="BF"/>
          <w:rtl/>
        </w:rPr>
        <w:t>(וכ"פ בשו"ע</w:t>
      </w:r>
      <w:r w:rsidR="002004B0">
        <w:rPr>
          <w:rFonts w:cs="Arial" w:hint="cs"/>
          <w:sz w:val="16"/>
          <w:szCs w:val="16"/>
          <w:rtl/>
        </w:rPr>
        <w:t xml:space="preserve"> [בסי' שכח סמ"ט]</w:t>
      </w:r>
      <w:r w:rsidR="002004B0" w:rsidRPr="00D172C6">
        <w:rPr>
          <w:rFonts w:hint="cs"/>
          <w:color w:val="E36C0A" w:themeColor="accent6" w:themeShade="BF"/>
          <w:rtl/>
        </w:rPr>
        <w:t>)</w:t>
      </w:r>
    </w:p>
    <w:p w14:paraId="7D0A3827" w14:textId="77777777" w:rsidR="002B45A4" w:rsidRPr="00D10A83" w:rsidRDefault="002B45A4" w:rsidP="00434A6A">
      <w:pPr>
        <w:rPr>
          <w:rFonts w:asciiTheme="minorBidi" w:hAnsiTheme="minorBidi"/>
          <w:rtl/>
        </w:rPr>
      </w:pPr>
      <w:r w:rsidRPr="005275DF">
        <w:rPr>
          <w:rFonts w:asciiTheme="minorBidi" w:hAnsiTheme="minorBidi"/>
          <w:b/>
          <w:bCs/>
          <w:sz w:val="32"/>
          <w:szCs w:val="28"/>
          <w:u w:val="single"/>
          <w:rtl/>
        </w:rPr>
        <w:t xml:space="preserve">שו"ע: </w:t>
      </w:r>
    </w:p>
    <w:p w14:paraId="211EDDB7" w14:textId="74F66E03" w:rsidR="00F936FC" w:rsidRDefault="00F936FC" w:rsidP="00434A6A">
      <w:pPr>
        <w:rPr>
          <w:rFonts w:asciiTheme="minorBidi" w:hAnsiTheme="minorBidi"/>
          <w:rtl/>
        </w:rPr>
      </w:pPr>
      <w:r w:rsidRPr="00F936FC">
        <w:rPr>
          <w:rFonts w:asciiTheme="minorBidi" w:hAnsiTheme="minorBidi" w:cs="Arial" w:hint="cs"/>
          <w:rtl/>
        </w:rPr>
        <w:t>היה</w:t>
      </w:r>
      <w:r w:rsidRPr="00F936FC">
        <w:rPr>
          <w:rFonts w:asciiTheme="minorBidi" w:hAnsiTheme="minorBidi" w:cs="Arial"/>
          <w:rtl/>
        </w:rPr>
        <w:t xml:space="preserve"> </w:t>
      </w:r>
      <w:r w:rsidRPr="00F936FC">
        <w:rPr>
          <w:rFonts w:asciiTheme="minorBidi" w:hAnsiTheme="minorBidi" w:cs="Arial" w:hint="cs"/>
          <w:rtl/>
        </w:rPr>
        <w:t>צריך</w:t>
      </w:r>
      <w:r w:rsidRPr="00F936FC">
        <w:rPr>
          <w:rFonts w:asciiTheme="minorBidi" w:hAnsiTheme="minorBidi" w:cs="Arial"/>
          <w:rtl/>
        </w:rPr>
        <w:t xml:space="preserve"> </w:t>
      </w:r>
      <w:r w:rsidRPr="00F936FC">
        <w:rPr>
          <w:rFonts w:asciiTheme="minorBidi" w:hAnsiTheme="minorBidi" w:cs="Arial" w:hint="cs"/>
          <w:rtl/>
        </w:rPr>
        <w:t>לנקביו</w:t>
      </w:r>
      <w:r w:rsidRPr="00F936FC">
        <w:rPr>
          <w:rFonts w:asciiTheme="minorBidi" w:hAnsiTheme="minorBidi" w:cs="Arial"/>
          <w:rtl/>
        </w:rPr>
        <w:t xml:space="preserve"> </w:t>
      </w:r>
      <w:r w:rsidRPr="00F936FC">
        <w:rPr>
          <w:rFonts w:asciiTheme="minorBidi" w:hAnsiTheme="minorBidi" w:cs="Arial" w:hint="cs"/>
          <w:rtl/>
        </w:rPr>
        <w:t>ואינו</w:t>
      </w:r>
      <w:r w:rsidRPr="00F936FC">
        <w:rPr>
          <w:rFonts w:asciiTheme="minorBidi" w:hAnsiTheme="minorBidi" w:cs="Arial"/>
          <w:rtl/>
        </w:rPr>
        <w:t xml:space="preserve"> </w:t>
      </w:r>
      <w:r w:rsidRPr="00F936FC">
        <w:rPr>
          <w:rFonts w:asciiTheme="minorBidi" w:hAnsiTheme="minorBidi" w:cs="Arial" w:hint="cs"/>
          <w:rtl/>
        </w:rPr>
        <w:t>יכול</w:t>
      </w:r>
      <w:r w:rsidRPr="00F936FC">
        <w:rPr>
          <w:rFonts w:asciiTheme="minorBidi" w:hAnsiTheme="minorBidi" w:cs="Arial"/>
          <w:rtl/>
        </w:rPr>
        <w:t xml:space="preserve"> </w:t>
      </w:r>
      <w:r w:rsidRPr="00F936FC">
        <w:rPr>
          <w:rFonts w:asciiTheme="minorBidi" w:hAnsiTheme="minorBidi" w:cs="Arial" w:hint="cs"/>
          <w:rtl/>
        </w:rPr>
        <w:t>לפנות</w:t>
      </w:r>
      <w:r w:rsidRPr="00F936FC">
        <w:rPr>
          <w:rFonts w:asciiTheme="minorBidi" w:hAnsiTheme="minorBidi" w:cs="Arial"/>
          <w:rtl/>
        </w:rPr>
        <w:t xml:space="preserve">, </w:t>
      </w:r>
      <w:r w:rsidRPr="00F936FC">
        <w:rPr>
          <w:rFonts w:asciiTheme="minorBidi" w:hAnsiTheme="minorBidi" w:cs="Arial" w:hint="cs"/>
          <w:rtl/>
        </w:rPr>
        <w:t>שרפואתו</w:t>
      </w:r>
      <w:r w:rsidRPr="00F936FC">
        <w:rPr>
          <w:rFonts w:asciiTheme="minorBidi" w:hAnsiTheme="minorBidi" w:cs="Arial"/>
          <w:rtl/>
        </w:rPr>
        <w:t xml:space="preserve"> </w:t>
      </w:r>
      <w:r w:rsidRPr="00F936FC">
        <w:rPr>
          <w:rFonts w:asciiTheme="minorBidi" w:hAnsiTheme="minorBidi" w:cs="Arial" w:hint="cs"/>
          <w:rtl/>
        </w:rPr>
        <w:t>למשמש</w:t>
      </w:r>
      <w:r w:rsidRPr="00F936FC">
        <w:rPr>
          <w:rFonts w:asciiTheme="minorBidi" w:hAnsiTheme="minorBidi" w:cs="Arial"/>
          <w:rtl/>
        </w:rPr>
        <w:t xml:space="preserve"> </w:t>
      </w:r>
      <w:r w:rsidRPr="00F936FC">
        <w:rPr>
          <w:rFonts w:asciiTheme="minorBidi" w:hAnsiTheme="minorBidi" w:cs="Arial" w:hint="cs"/>
          <w:rtl/>
        </w:rPr>
        <w:t>בפי</w:t>
      </w:r>
      <w:r w:rsidRPr="00F936FC">
        <w:rPr>
          <w:rFonts w:asciiTheme="minorBidi" w:hAnsiTheme="minorBidi" w:cs="Arial"/>
          <w:rtl/>
        </w:rPr>
        <w:t xml:space="preserve"> </w:t>
      </w:r>
      <w:r w:rsidRPr="00F936FC">
        <w:rPr>
          <w:rFonts w:asciiTheme="minorBidi" w:hAnsiTheme="minorBidi" w:cs="Arial" w:hint="cs"/>
          <w:rtl/>
        </w:rPr>
        <w:t>הטבעת</w:t>
      </w:r>
      <w:r w:rsidR="004E3FA7">
        <w:rPr>
          <w:rFonts w:asciiTheme="minorBidi" w:hAnsiTheme="minorBidi" w:cs="Arial" w:hint="cs"/>
          <w:rtl/>
        </w:rPr>
        <w:t>,</w:t>
      </w:r>
      <w:r w:rsidRPr="00F936FC">
        <w:rPr>
          <w:rFonts w:asciiTheme="minorBidi" w:hAnsiTheme="minorBidi" w:cs="Arial"/>
          <w:rtl/>
        </w:rPr>
        <w:t xml:space="preserve"> </w:t>
      </w:r>
      <w:r w:rsidRPr="00F936FC">
        <w:rPr>
          <w:rFonts w:asciiTheme="minorBidi" w:hAnsiTheme="minorBidi" w:cs="Arial" w:hint="cs"/>
          <w:rtl/>
        </w:rPr>
        <w:t>שממשמש</w:t>
      </w:r>
      <w:r w:rsidRPr="00F936FC">
        <w:rPr>
          <w:rFonts w:asciiTheme="minorBidi" w:hAnsiTheme="minorBidi" w:cs="Arial"/>
          <w:rtl/>
        </w:rPr>
        <w:t xml:space="preserve"> </w:t>
      </w:r>
      <w:r w:rsidRPr="00F936FC">
        <w:rPr>
          <w:rFonts w:asciiTheme="minorBidi" w:hAnsiTheme="minorBidi" w:cs="Arial" w:hint="cs"/>
          <w:rtl/>
        </w:rPr>
        <w:t>שם</w:t>
      </w:r>
      <w:r w:rsidRPr="00F936FC">
        <w:rPr>
          <w:rFonts w:asciiTheme="minorBidi" w:hAnsiTheme="minorBidi" w:cs="Arial"/>
          <w:rtl/>
        </w:rPr>
        <w:t xml:space="preserve"> </w:t>
      </w:r>
      <w:r w:rsidRPr="00F936FC">
        <w:rPr>
          <w:rFonts w:asciiTheme="minorBidi" w:hAnsiTheme="minorBidi" w:cs="Arial" w:hint="cs"/>
          <w:rtl/>
        </w:rPr>
        <w:t>בצרור</w:t>
      </w:r>
      <w:r w:rsidRPr="00F936FC">
        <w:rPr>
          <w:rFonts w:asciiTheme="minorBidi" w:hAnsiTheme="minorBidi" w:cs="Arial"/>
          <w:rtl/>
        </w:rPr>
        <w:t xml:space="preserve"> </w:t>
      </w:r>
      <w:r w:rsidRPr="00F936FC">
        <w:rPr>
          <w:rFonts w:asciiTheme="minorBidi" w:hAnsiTheme="minorBidi" w:cs="Arial" w:hint="cs"/>
          <w:rtl/>
        </w:rPr>
        <w:t>והנקב</w:t>
      </w:r>
      <w:r w:rsidRPr="00F936FC">
        <w:rPr>
          <w:rFonts w:asciiTheme="minorBidi" w:hAnsiTheme="minorBidi" w:cs="Arial"/>
          <w:rtl/>
        </w:rPr>
        <w:t xml:space="preserve"> </w:t>
      </w:r>
      <w:r w:rsidRPr="00F936FC">
        <w:rPr>
          <w:rFonts w:asciiTheme="minorBidi" w:hAnsiTheme="minorBidi" w:cs="Arial" w:hint="cs"/>
          <w:rtl/>
        </w:rPr>
        <w:t>נפתח</w:t>
      </w:r>
      <w:r w:rsidRPr="00F936FC">
        <w:rPr>
          <w:rFonts w:asciiTheme="minorBidi" w:hAnsiTheme="minorBidi" w:cs="Arial"/>
          <w:rtl/>
        </w:rPr>
        <w:t xml:space="preserve">, </w:t>
      </w:r>
      <w:r w:rsidRPr="00F936FC">
        <w:rPr>
          <w:rFonts w:asciiTheme="minorBidi" w:hAnsiTheme="minorBidi" w:cs="Arial" w:hint="cs"/>
          <w:rtl/>
        </w:rPr>
        <w:t>לא</w:t>
      </w:r>
      <w:r w:rsidRPr="00F936FC">
        <w:rPr>
          <w:rFonts w:asciiTheme="minorBidi" w:hAnsiTheme="minorBidi" w:cs="Arial"/>
          <w:rtl/>
        </w:rPr>
        <w:t xml:space="preserve"> </w:t>
      </w:r>
      <w:r w:rsidRPr="00F936FC">
        <w:rPr>
          <w:rFonts w:asciiTheme="minorBidi" w:hAnsiTheme="minorBidi" w:cs="Arial" w:hint="cs"/>
          <w:rtl/>
        </w:rPr>
        <w:t>ימשמש</w:t>
      </w:r>
      <w:r w:rsidRPr="00F936FC">
        <w:rPr>
          <w:rFonts w:asciiTheme="minorBidi" w:hAnsiTheme="minorBidi" w:cs="Arial"/>
          <w:rtl/>
        </w:rPr>
        <w:t xml:space="preserve"> </w:t>
      </w:r>
      <w:r w:rsidRPr="00F936FC">
        <w:rPr>
          <w:rFonts w:asciiTheme="minorBidi" w:hAnsiTheme="minorBidi" w:cs="Arial" w:hint="cs"/>
          <w:rtl/>
        </w:rPr>
        <w:t>בשבת</w:t>
      </w:r>
      <w:r w:rsidRPr="00F936FC">
        <w:rPr>
          <w:rFonts w:asciiTheme="minorBidi" w:hAnsiTheme="minorBidi" w:cs="Arial"/>
          <w:rtl/>
        </w:rPr>
        <w:t xml:space="preserve"> </w:t>
      </w:r>
      <w:r w:rsidRPr="00F936FC">
        <w:rPr>
          <w:rFonts w:asciiTheme="minorBidi" w:hAnsiTheme="minorBidi" w:cs="Arial" w:hint="cs"/>
          <w:rtl/>
        </w:rPr>
        <w:t>כדרך</w:t>
      </w:r>
      <w:r w:rsidRPr="00F936FC">
        <w:rPr>
          <w:rFonts w:asciiTheme="minorBidi" w:hAnsiTheme="minorBidi" w:cs="Arial"/>
          <w:rtl/>
        </w:rPr>
        <w:t xml:space="preserve"> </w:t>
      </w:r>
      <w:r w:rsidRPr="00F936FC">
        <w:rPr>
          <w:rFonts w:asciiTheme="minorBidi" w:hAnsiTheme="minorBidi" w:cs="Arial" w:hint="cs"/>
          <w:rtl/>
        </w:rPr>
        <w:t>שממשמש</w:t>
      </w:r>
      <w:r w:rsidRPr="00F936FC">
        <w:rPr>
          <w:rFonts w:asciiTheme="minorBidi" w:hAnsiTheme="minorBidi" w:cs="Arial"/>
          <w:rtl/>
        </w:rPr>
        <w:t xml:space="preserve"> </w:t>
      </w:r>
      <w:r w:rsidRPr="00F936FC">
        <w:rPr>
          <w:rFonts w:asciiTheme="minorBidi" w:hAnsiTheme="minorBidi" w:cs="Arial" w:hint="cs"/>
          <w:rtl/>
        </w:rPr>
        <w:t>בחול</w:t>
      </w:r>
      <w:r w:rsidR="007431FC">
        <w:rPr>
          <w:rFonts w:asciiTheme="minorBidi" w:hAnsiTheme="minorBidi" w:cs="Arial" w:hint="cs"/>
          <w:rtl/>
        </w:rPr>
        <w:t>,</w:t>
      </w:r>
      <w:r w:rsidRPr="00F936FC">
        <w:rPr>
          <w:rFonts w:asciiTheme="minorBidi" w:hAnsiTheme="minorBidi" w:cs="Arial"/>
          <w:rtl/>
        </w:rPr>
        <w:t xml:space="preserve"> </w:t>
      </w:r>
      <w:r w:rsidRPr="00F936FC">
        <w:rPr>
          <w:rFonts w:asciiTheme="minorBidi" w:hAnsiTheme="minorBidi" w:cs="Arial" w:hint="cs"/>
          <w:rtl/>
        </w:rPr>
        <w:t>דהיינו</w:t>
      </w:r>
      <w:r w:rsidRPr="00F936FC">
        <w:rPr>
          <w:rFonts w:asciiTheme="minorBidi" w:hAnsiTheme="minorBidi" w:cs="Arial"/>
          <w:rtl/>
        </w:rPr>
        <w:t xml:space="preserve"> </w:t>
      </w:r>
      <w:r w:rsidRPr="00F936FC">
        <w:rPr>
          <w:rFonts w:asciiTheme="minorBidi" w:hAnsiTheme="minorBidi" w:cs="Arial" w:hint="cs"/>
          <w:rtl/>
        </w:rPr>
        <w:t>שאוחז</w:t>
      </w:r>
      <w:r w:rsidRPr="00F936FC">
        <w:rPr>
          <w:rFonts w:asciiTheme="minorBidi" w:hAnsiTheme="minorBidi" w:cs="Arial"/>
          <w:rtl/>
        </w:rPr>
        <w:t xml:space="preserve"> </w:t>
      </w:r>
      <w:r w:rsidRPr="00F936FC">
        <w:rPr>
          <w:rFonts w:asciiTheme="minorBidi" w:hAnsiTheme="minorBidi" w:cs="Arial" w:hint="cs"/>
          <w:rtl/>
        </w:rPr>
        <w:t>הצרור</w:t>
      </w:r>
      <w:r w:rsidRPr="00F936FC">
        <w:rPr>
          <w:rFonts w:asciiTheme="minorBidi" w:hAnsiTheme="minorBidi" w:cs="Arial"/>
          <w:rtl/>
        </w:rPr>
        <w:t xml:space="preserve"> </w:t>
      </w:r>
      <w:r w:rsidRPr="00F936FC">
        <w:rPr>
          <w:rFonts w:asciiTheme="minorBidi" w:hAnsiTheme="minorBidi" w:cs="Arial" w:hint="cs"/>
          <w:rtl/>
        </w:rPr>
        <w:t>בכל</w:t>
      </w:r>
      <w:r w:rsidRPr="00F936FC">
        <w:rPr>
          <w:rFonts w:asciiTheme="minorBidi" w:hAnsiTheme="minorBidi" w:cs="Arial"/>
          <w:rtl/>
        </w:rPr>
        <w:t xml:space="preserve"> </w:t>
      </w:r>
      <w:r w:rsidRPr="00F936FC">
        <w:rPr>
          <w:rFonts w:asciiTheme="minorBidi" w:hAnsiTheme="minorBidi" w:cs="Arial" w:hint="cs"/>
          <w:rtl/>
        </w:rPr>
        <w:t>היד</w:t>
      </w:r>
      <w:r w:rsidRPr="00F936FC">
        <w:rPr>
          <w:rFonts w:asciiTheme="minorBidi" w:hAnsiTheme="minorBidi" w:cs="Arial"/>
          <w:rtl/>
        </w:rPr>
        <w:t xml:space="preserve">, </w:t>
      </w:r>
      <w:r w:rsidRPr="00F936FC">
        <w:rPr>
          <w:rFonts w:asciiTheme="minorBidi" w:hAnsiTheme="minorBidi" w:cs="Arial" w:hint="cs"/>
          <w:rtl/>
        </w:rPr>
        <w:t>משום</w:t>
      </w:r>
      <w:r w:rsidRPr="00F936FC">
        <w:rPr>
          <w:rFonts w:asciiTheme="minorBidi" w:hAnsiTheme="minorBidi" w:cs="Arial"/>
          <w:rtl/>
        </w:rPr>
        <w:t xml:space="preserve"> </w:t>
      </w:r>
      <w:r w:rsidRPr="00F936FC">
        <w:rPr>
          <w:rFonts w:asciiTheme="minorBidi" w:hAnsiTheme="minorBidi" w:cs="Arial" w:hint="cs"/>
          <w:rtl/>
        </w:rPr>
        <w:t>השרת</w:t>
      </w:r>
      <w:r w:rsidRPr="00F936FC">
        <w:rPr>
          <w:rFonts w:asciiTheme="minorBidi" w:hAnsiTheme="minorBidi" w:cs="Arial"/>
          <w:rtl/>
        </w:rPr>
        <w:t xml:space="preserve"> </w:t>
      </w:r>
      <w:r w:rsidRPr="00F936FC">
        <w:rPr>
          <w:rFonts w:asciiTheme="minorBidi" w:hAnsiTheme="minorBidi" w:cs="Arial" w:hint="cs"/>
          <w:rtl/>
        </w:rPr>
        <w:t>נימין</w:t>
      </w:r>
      <w:r w:rsidR="00621D5A">
        <w:rPr>
          <w:rStyle w:val="a9"/>
          <w:rFonts w:asciiTheme="minorBidi" w:hAnsiTheme="minorBidi" w:cs="Arial"/>
          <w:rtl/>
        </w:rPr>
        <w:footnoteReference w:id="2021"/>
      </w:r>
      <w:r w:rsidRPr="00F936FC">
        <w:rPr>
          <w:rFonts w:asciiTheme="minorBidi" w:hAnsiTheme="minorBidi" w:cs="Arial"/>
          <w:rtl/>
        </w:rPr>
        <w:t xml:space="preserve">, </w:t>
      </w:r>
      <w:r w:rsidRPr="00F936FC">
        <w:rPr>
          <w:rFonts w:asciiTheme="minorBidi" w:hAnsiTheme="minorBidi" w:cs="Arial" w:hint="cs"/>
          <w:rtl/>
        </w:rPr>
        <w:t>אלא</w:t>
      </w:r>
      <w:r w:rsidRPr="00F936FC">
        <w:rPr>
          <w:rFonts w:asciiTheme="minorBidi" w:hAnsiTheme="minorBidi" w:cs="Arial"/>
          <w:rtl/>
        </w:rPr>
        <w:t xml:space="preserve"> </w:t>
      </w:r>
      <w:r w:rsidRPr="00F936FC">
        <w:rPr>
          <w:rFonts w:asciiTheme="minorBidi" w:hAnsiTheme="minorBidi" w:cs="Arial" w:hint="cs"/>
          <w:rtl/>
        </w:rPr>
        <w:t>ממשמש</w:t>
      </w:r>
      <w:r w:rsidR="00621D5A">
        <w:rPr>
          <w:rStyle w:val="a9"/>
          <w:rFonts w:asciiTheme="minorBidi" w:hAnsiTheme="minorBidi" w:cs="Arial"/>
          <w:rtl/>
        </w:rPr>
        <w:footnoteReference w:id="2022"/>
      </w:r>
      <w:r w:rsidRPr="00F936FC">
        <w:rPr>
          <w:rFonts w:asciiTheme="minorBidi" w:hAnsiTheme="minorBidi" w:cs="Arial"/>
          <w:rtl/>
        </w:rPr>
        <w:t xml:space="preserve"> </w:t>
      </w:r>
      <w:r w:rsidRPr="00F936FC">
        <w:rPr>
          <w:rFonts w:asciiTheme="minorBidi" w:hAnsiTheme="minorBidi" w:cs="Arial" w:hint="cs"/>
          <w:rtl/>
        </w:rPr>
        <w:t>כלאחר</w:t>
      </w:r>
      <w:r w:rsidRPr="00F936FC">
        <w:rPr>
          <w:rFonts w:asciiTheme="minorBidi" w:hAnsiTheme="minorBidi" w:cs="Arial"/>
          <w:rtl/>
        </w:rPr>
        <w:t xml:space="preserve"> </w:t>
      </w:r>
      <w:r w:rsidRPr="00F936FC">
        <w:rPr>
          <w:rFonts w:asciiTheme="minorBidi" w:hAnsiTheme="minorBidi" w:cs="Arial" w:hint="cs"/>
          <w:rtl/>
        </w:rPr>
        <w:t>יד</w:t>
      </w:r>
      <w:r w:rsidR="007431FC">
        <w:rPr>
          <w:rFonts w:asciiTheme="minorBidi" w:hAnsiTheme="minorBidi" w:cs="Arial" w:hint="cs"/>
          <w:rtl/>
        </w:rPr>
        <w:t>,</w:t>
      </w:r>
      <w:r w:rsidRPr="00F936FC">
        <w:rPr>
          <w:rFonts w:asciiTheme="minorBidi" w:hAnsiTheme="minorBidi" w:cs="Arial"/>
          <w:rtl/>
        </w:rPr>
        <w:t xml:space="preserve"> </w:t>
      </w:r>
      <w:r w:rsidRPr="00F936FC">
        <w:rPr>
          <w:rFonts w:asciiTheme="minorBidi" w:hAnsiTheme="minorBidi" w:cs="Arial" w:hint="cs"/>
          <w:rtl/>
        </w:rPr>
        <w:t>דהיינו</w:t>
      </w:r>
      <w:r w:rsidRPr="00F936FC">
        <w:rPr>
          <w:rFonts w:asciiTheme="minorBidi" w:hAnsiTheme="minorBidi" w:cs="Arial"/>
          <w:rtl/>
        </w:rPr>
        <w:t xml:space="preserve"> </w:t>
      </w:r>
      <w:r w:rsidRPr="00F936FC">
        <w:rPr>
          <w:rFonts w:asciiTheme="minorBidi" w:hAnsiTheme="minorBidi" w:cs="Arial" w:hint="cs"/>
          <w:rtl/>
        </w:rPr>
        <w:t>שיאחז</w:t>
      </w:r>
      <w:r w:rsidRPr="00F936FC">
        <w:rPr>
          <w:rFonts w:asciiTheme="minorBidi" w:hAnsiTheme="minorBidi" w:cs="Arial"/>
          <w:rtl/>
        </w:rPr>
        <w:t xml:space="preserve"> </w:t>
      </w:r>
      <w:r w:rsidRPr="00F936FC">
        <w:rPr>
          <w:rFonts w:asciiTheme="minorBidi" w:hAnsiTheme="minorBidi" w:cs="Arial" w:hint="cs"/>
          <w:rtl/>
        </w:rPr>
        <w:t>הצרור</w:t>
      </w:r>
      <w:r w:rsidRPr="00F936FC">
        <w:rPr>
          <w:rFonts w:asciiTheme="minorBidi" w:hAnsiTheme="minorBidi" w:cs="Arial"/>
          <w:rtl/>
        </w:rPr>
        <w:t xml:space="preserve"> </w:t>
      </w:r>
      <w:r w:rsidRPr="00F936FC">
        <w:rPr>
          <w:rFonts w:asciiTheme="minorBidi" w:hAnsiTheme="minorBidi" w:cs="Arial" w:hint="cs"/>
          <w:rtl/>
        </w:rPr>
        <w:t>ב</w:t>
      </w:r>
      <w:r w:rsidR="00AC0AF5">
        <w:rPr>
          <w:rFonts w:asciiTheme="minorBidi" w:hAnsiTheme="minorBidi" w:cs="Arial" w:hint="cs"/>
          <w:rtl/>
        </w:rPr>
        <w:t>שתי</w:t>
      </w:r>
      <w:r w:rsidRPr="00F936FC">
        <w:rPr>
          <w:rFonts w:asciiTheme="minorBidi" w:hAnsiTheme="minorBidi" w:cs="Arial"/>
          <w:rtl/>
        </w:rPr>
        <w:t xml:space="preserve"> </w:t>
      </w:r>
      <w:r w:rsidRPr="00F936FC">
        <w:rPr>
          <w:rFonts w:asciiTheme="minorBidi" w:hAnsiTheme="minorBidi" w:cs="Arial" w:hint="cs"/>
          <w:rtl/>
        </w:rPr>
        <w:t>אצבעותיו</w:t>
      </w:r>
      <w:r w:rsidRPr="00F936FC">
        <w:rPr>
          <w:rFonts w:asciiTheme="minorBidi" w:hAnsiTheme="minorBidi" w:cs="Arial"/>
          <w:rtl/>
        </w:rPr>
        <w:t xml:space="preserve">, </w:t>
      </w:r>
      <w:r w:rsidRPr="00F936FC">
        <w:rPr>
          <w:rFonts w:asciiTheme="minorBidi" w:hAnsiTheme="minorBidi" w:cs="Arial" w:hint="cs"/>
          <w:rtl/>
        </w:rPr>
        <w:t>וממשמש</w:t>
      </w:r>
      <w:r w:rsidRPr="00F936FC">
        <w:rPr>
          <w:rFonts w:asciiTheme="minorBidi" w:hAnsiTheme="minorBidi" w:cs="Arial"/>
          <w:rtl/>
        </w:rPr>
        <w:t xml:space="preserve">. </w:t>
      </w:r>
    </w:p>
    <w:p w14:paraId="39544082" w14:textId="77777777" w:rsidR="00E324D8" w:rsidRPr="00F936FC" w:rsidRDefault="00E324D8" w:rsidP="00434A6A">
      <w:pPr>
        <w:rPr>
          <w:rFonts w:asciiTheme="minorBidi" w:hAnsiTheme="minorBidi"/>
          <w:rtl/>
        </w:rPr>
      </w:pPr>
    </w:p>
    <w:p w14:paraId="382C6C8E" w14:textId="21F69ACA" w:rsidR="00F936FC" w:rsidRDefault="00F936FC" w:rsidP="00434A6A">
      <w:pPr>
        <w:pStyle w:val="2"/>
        <w:rPr>
          <w:rtl/>
        </w:rPr>
      </w:pPr>
      <w:r w:rsidRPr="00F936FC">
        <w:rPr>
          <w:rFonts w:hint="cs"/>
          <w:rtl/>
        </w:rPr>
        <w:t>סעיף</w:t>
      </w:r>
      <w:r w:rsidRPr="00F936FC">
        <w:rPr>
          <w:rtl/>
        </w:rPr>
        <w:t xml:space="preserve"> </w:t>
      </w:r>
      <w:r w:rsidRPr="00F936FC">
        <w:rPr>
          <w:rFonts w:hint="cs"/>
          <w:rtl/>
        </w:rPr>
        <w:t>ח</w:t>
      </w:r>
      <w:r w:rsidR="00E324D8">
        <w:rPr>
          <w:rFonts w:hint="cs"/>
          <w:rtl/>
        </w:rPr>
        <w:t>:</w:t>
      </w:r>
      <w:r w:rsidR="00D52138">
        <w:rPr>
          <w:rFonts w:hint="cs"/>
          <w:rtl/>
        </w:rPr>
        <w:t xml:space="preserve"> משמוש ע"י ברזא, ויציאה עמה מחוץ לערוב.</w:t>
      </w:r>
    </w:p>
    <w:p w14:paraId="1A28C268" w14:textId="77777777" w:rsidR="00621D5A" w:rsidRPr="00AC0AF5" w:rsidRDefault="00621D5A" w:rsidP="00434A6A">
      <w:pPr>
        <w:rPr>
          <w:u w:val="single"/>
        </w:rPr>
      </w:pPr>
      <w:r w:rsidRPr="00AC0AF5">
        <w:rPr>
          <w:rFonts w:hint="cs"/>
          <w:u w:val="single"/>
          <w:rtl/>
        </w:rPr>
        <w:t>משמוש עם ברזא על מנת שיוכל</w:t>
      </w:r>
      <w:r>
        <w:rPr>
          <w:rFonts w:hint="cs"/>
          <w:u w:val="single"/>
          <w:rtl/>
        </w:rPr>
        <w:t xml:space="preserve"> </w:t>
      </w:r>
      <w:r w:rsidRPr="00AC0AF5">
        <w:rPr>
          <w:rFonts w:hint="cs"/>
          <w:u w:val="single"/>
          <w:rtl/>
        </w:rPr>
        <w:t>להתפנות:</w:t>
      </w:r>
    </w:p>
    <w:p w14:paraId="4D769E86" w14:textId="5E6EDD65" w:rsidR="00E324D8" w:rsidRPr="00621D5A" w:rsidRDefault="00621D5A" w:rsidP="00434A6A">
      <w:pPr>
        <w:pStyle w:val="aa"/>
        <w:numPr>
          <w:ilvl w:val="0"/>
          <w:numId w:val="15"/>
        </w:numPr>
        <w:rPr>
          <w:rFonts w:cs="Arial"/>
          <w:rtl/>
        </w:rPr>
      </w:pPr>
      <w:r>
        <w:rPr>
          <w:rFonts w:cs="Arial" w:hint="cs"/>
          <w:rtl/>
        </w:rPr>
        <w:t xml:space="preserve">מהר"ם </w:t>
      </w:r>
      <w:r>
        <w:rPr>
          <w:rFonts w:cs="Arial" w:hint="cs"/>
          <w:sz w:val="16"/>
          <w:szCs w:val="16"/>
          <w:rtl/>
        </w:rPr>
        <w:t>(ד"ל סי' קמז, הובא גם בתשב"ץ קטן</w:t>
      </w:r>
      <w:r>
        <w:rPr>
          <w:rStyle w:val="a9"/>
          <w:rFonts w:cs="Arial"/>
          <w:sz w:val="16"/>
          <w:szCs w:val="16"/>
          <w:rtl/>
        </w:rPr>
        <w:footnoteReference w:id="2023"/>
      </w:r>
      <w:r>
        <w:rPr>
          <w:rFonts w:cs="Arial" w:hint="cs"/>
          <w:sz w:val="16"/>
          <w:szCs w:val="16"/>
          <w:rtl/>
        </w:rPr>
        <w:t xml:space="preserve"> [סי' סב]</w:t>
      </w:r>
      <w:r w:rsidRPr="00DE641B">
        <w:rPr>
          <w:rFonts w:cs="Arial" w:hint="cs"/>
          <w:sz w:val="16"/>
          <w:szCs w:val="16"/>
          <w:rtl/>
        </w:rPr>
        <w:t xml:space="preserve"> ובטור</w:t>
      </w:r>
      <w:r w:rsidRPr="00DE641B">
        <w:rPr>
          <w:rStyle w:val="a9"/>
          <w:rFonts w:cs="Arial"/>
          <w:sz w:val="16"/>
          <w:szCs w:val="16"/>
          <w:rtl/>
        </w:rPr>
        <w:footnoteReference w:id="2024"/>
      </w:r>
      <w:r>
        <w:rPr>
          <w:rFonts w:cs="Arial" w:hint="cs"/>
          <w:sz w:val="16"/>
          <w:szCs w:val="16"/>
          <w:rtl/>
        </w:rPr>
        <w:t xml:space="preserve"> עם מספר שינויים)</w:t>
      </w:r>
      <w:r>
        <w:rPr>
          <w:rFonts w:cs="Arial" w:hint="cs"/>
          <w:rtl/>
        </w:rPr>
        <w:t xml:space="preserve">- </w:t>
      </w:r>
      <w:r w:rsidRPr="00D52138">
        <w:rPr>
          <w:rFonts w:cs="Arial"/>
          <w:rtl/>
        </w:rPr>
        <w:t>וששאלתם על משמוש הברזא בפי טבעת אם מותר בשבת על ידי שינוי</w:t>
      </w:r>
      <w:r>
        <w:rPr>
          <w:rFonts w:cs="Arial" w:hint="cs"/>
          <w:rtl/>
        </w:rPr>
        <w:t xml:space="preserve"> -</w:t>
      </w:r>
      <w:r w:rsidRPr="00D52138">
        <w:rPr>
          <w:rFonts w:cs="Arial"/>
          <w:rtl/>
        </w:rPr>
        <w:t xml:space="preserve"> מותר, כדאמר ס"פ המוציא</w:t>
      </w:r>
      <w:r w:rsidRPr="00D52138">
        <w:rPr>
          <w:rFonts w:cs="Arial" w:hint="cs"/>
          <w:rtl/>
        </w:rPr>
        <w:t xml:space="preserve"> (</w:t>
      </w:r>
      <w:r w:rsidRPr="00D52138">
        <w:rPr>
          <w:rFonts w:cs="Arial"/>
          <w:rtl/>
        </w:rPr>
        <w:t>שבת פב</w:t>
      </w:r>
      <w:r w:rsidRPr="00D52138">
        <w:rPr>
          <w:rFonts w:cs="Arial" w:hint="cs"/>
          <w:rtl/>
        </w:rPr>
        <w:t>.)</w:t>
      </w:r>
      <w:r w:rsidRPr="00D52138">
        <w:rPr>
          <w:rFonts w:cs="Arial"/>
          <w:rtl/>
        </w:rPr>
        <w:t xml:space="preserve"> אמר רבא אסור למשמש בצרור בשבת כדרך שהוא עושה בחול. מתקיף לה מר זוטרא ליסתכן</w:t>
      </w:r>
      <w:r>
        <w:rPr>
          <w:rFonts w:cs="Arial" w:hint="cs"/>
          <w:rtl/>
        </w:rPr>
        <w:t>.</w:t>
      </w:r>
      <w:r w:rsidRPr="00D52138">
        <w:rPr>
          <w:rFonts w:cs="Arial"/>
          <w:rtl/>
        </w:rPr>
        <w:t xml:space="preserve"> ומשני כלאחר יד מותר. אלמא על ידי שינוי מותר כגון שאוחז בצרור או בברזא בשני אצבעותיו וממשמש, אבל בכל היד כדרך שהוא עושה בחול לא. ואם היה תוחב כולו בגוף מותר להתפלל בעודו בגוף הואיל ואינה ניראת מבחוץ כלל, כדאמ' בפרק אמר להם הממונה אמר להן </w:t>
      </w:r>
      <w:r>
        <w:rPr>
          <w:rFonts w:cs="Arial" w:hint="cs"/>
          <w:rtl/>
        </w:rPr>
        <w:t>(</w:t>
      </w:r>
      <w:r w:rsidRPr="00D52138">
        <w:rPr>
          <w:rFonts w:cs="Arial"/>
          <w:rtl/>
        </w:rPr>
        <w:t>יומא ל</w:t>
      </w:r>
      <w:r>
        <w:rPr>
          <w:rFonts w:cs="Arial" w:hint="cs"/>
          <w:rtl/>
        </w:rPr>
        <w:t>.)</w:t>
      </w:r>
      <w:r w:rsidRPr="00D52138">
        <w:rPr>
          <w:rFonts w:cs="Arial"/>
          <w:rtl/>
        </w:rPr>
        <w:t xml:space="preserve"> צואה במקומה אסור לקרות ק"ש, ומוקי לה ביושב ונראית בעומד ואינה נראית, אבל אי לא נראית מותר לקרות ק"ש. גם לצאת בה בשבת בעודה כולה בגוף רשאי אם נעשה בדיעבד, אבל לכתחילה אין להתיר</w:t>
      </w:r>
      <w:r>
        <w:rPr>
          <w:rFonts w:cs="Arial" w:hint="cs"/>
          <w:rtl/>
        </w:rPr>
        <w:t>,</w:t>
      </w:r>
      <w:r w:rsidRPr="00D52138">
        <w:rPr>
          <w:rFonts w:cs="Arial"/>
          <w:rtl/>
        </w:rPr>
        <w:t xml:space="preserve"> כיון דמכניס לה תדיר כדי לחזור ולהוציאו</w:t>
      </w:r>
      <w:r>
        <w:rPr>
          <w:rFonts w:cs="Arial" w:hint="cs"/>
          <w:rtl/>
        </w:rPr>
        <w:t>.</w:t>
      </w:r>
      <w:r w:rsidR="002004B0" w:rsidRPr="002004B0">
        <w:rPr>
          <w:rFonts w:hint="cs"/>
          <w:color w:val="E36C0A" w:themeColor="accent6" w:themeShade="BF"/>
          <w:rtl/>
        </w:rPr>
        <w:t xml:space="preserve"> </w:t>
      </w:r>
      <w:r w:rsidR="002004B0" w:rsidRPr="00D172C6">
        <w:rPr>
          <w:rFonts w:hint="cs"/>
          <w:color w:val="E36C0A" w:themeColor="accent6" w:themeShade="BF"/>
          <w:rtl/>
        </w:rPr>
        <w:t>(וכ"פ בשו"ע)</w:t>
      </w:r>
    </w:p>
    <w:p w14:paraId="0C1937CB" w14:textId="77777777" w:rsidR="002B45A4" w:rsidRPr="00D10A83" w:rsidRDefault="002B45A4" w:rsidP="00434A6A">
      <w:pPr>
        <w:rPr>
          <w:rFonts w:asciiTheme="minorBidi" w:hAnsiTheme="minorBidi"/>
          <w:rtl/>
        </w:rPr>
      </w:pPr>
      <w:r w:rsidRPr="005275DF">
        <w:rPr>
          <w:rFonts w:asciiTheme="minorBidi" w:hAnsiTheme="minorBidi"/>
          <w:b/>
          <w:bCs/>
          <w:sz w:val="32"/>
          <w:szCs w:val="28"/>
          <w:u w:val="single"/>
          <w:rtl/>
        </w:rPr>
        <w:t xml:space="preserve">שו"ע: </w:t>
      </w:r>
    </w:p>
    <w:p w14:paraId="1B4D4A78" w14:textId="6EC94CF8" w:rsidR="00F936FC" w:rsidRDefault="00F936FC" w:rsidP="00434A6A">
      <w:pPr>
        <w:rPr>
          <w:rFonts w:asciiTheme="minorBidi" w:hAnsiTheme="minorBidi"/>
          <w:rtl/>
        </w:rPr>
      </w:pPr>
      <w:r w:rsidRPr="00F936FC">
        <w:rPr>
          <w:rFonts w:asciiTheme="minorBidi" w:hAnsiTheme="minorBidi" w:cs="Arial" w:hint="cs"/>
          <w:rtl/>
        </w:rPr>
        <w:t>למשמש</w:t>
      </w:r>
      <w:r w:rsidRPr="00F936FC">
        <w:rPr>
          <w:rFonts w:asciiTheme="minorBidi" w:hAnsiTheme="minorBidi" w:cs="Arial"/>
          <w:rtl/>
        </w:rPr>
        <w:t xml:space="preserve"> </w:t>
      </w:r>
      <w:r w:rsidRPr="00F936FC">
        <w:rPr>
          <w:rFonts w:asciiTheme="minorBidi" w:hAnsiTheme="minorBidi" w:cs="Arial" w:hint="cs"/>
          <w:rtl/>
        </w:rPr>
        <w:t>בברזא</w:t>
      </w:r>
      <w:r w:rsidRPr="00F936FC">
        <w:rPr>
          <w:rFonts w:asciiTheme="minorBidi" w:hAnsiTheme="minorBidi" w:cs="Arial"/>
          <w:rtl/>
        </w:rPr>
        <w:t xml:space="preserve"> </w:t>
      </w:r>
      <w:r w:rsidRPr="00F936FC">
        <w:rPr>
          <w:rFonts w:asciiTheme="minorBidi" w:hAnsiTheme="minorBidi" w:cs="Arial" w:hint="cs"/>
          <w:rtl/>
        </w:rPr>
        <w:t>בפי</w:t>
      </w:r>
      <w:r w:rsidRPr="00F936FC">
        <w:rPr>
          <w:rFonts w:asciiTheme="minorBidi" w:hAnsiTheme="minorBidi" w:cs="Arial"/>
          <w:rtl/>
        </w:rPr>
        <w:t xml:space="preserve"> </w:t>
      </w:r>
      <w:r w:rsidRPr="00F936FC">
        <w:rPr>
          <w:rFonts w:asciiTheme="minorBidi" w:hAnsiTheme="minorBidi" w:cs="Arial" w:hint="cs"/>
          <w:rtl/>
        </w:rPr>
        <w:t>הטבעת</w:t>
      </w:r>
      <w:r w:rsidRPr="00F936FC">
        <w:rPr>
          <w:rFonts w:asciiTheme="minorBidi" w:hAnsiTheme="minorBidi" w:cs="Arial"/>
          <w:rtl/>
        </w:rPr>
        <w:t xml:space="preserve"> </w:t>
      </w:r>
      <w:r w:rsidRPr="00F936FC">
        <w:rPr>
          <w:rFonts w:asciiTheme="minorBidi" w:hAnsiTheme="minorBidi" w:cs="Arial" w:hint="cs"/>
          <w:rtl/>
        </w:rPr>
        <w:t>דינה</w:t>
      </w:r>
      <w:r w:rsidRPr="00F936FC">
        <w:rPr>
          <w:rFonts w:asciiTheme="minorBidi" w:hAnsiTheme="minorBidi" w:cs="Arial"/>
          <w:rtl/>
        </w:rPr>
        <w:t xml:space="preserve"> </w:t>
      </w:r>
      <w:r w:rsidRPr="00F936FC">
        <w:rPr>
          <w:rFonts w:asciiTheme="minorBidi" w:hAnsiTheme="minorBidi" w:cs="Arial" w:hint="cs"/>
          <w:rtl/>
        </w:rPr>
        <w:t>כצרור</w:t>
      </w:r>
      <w:r w:rsidRPr="00F936FC">
        <w:rPr>
          <w:rFonts w:asciiTheme="minorBidi" w:hAnsiTheme="minorBidi" w:cs="Arial"/>
          <w:rtl/>
        </w:rPr>
        <w:t xml:space="preserve">, </w:t>
      </w:r>
      <w:r w:rsidRPr="00F936FC">
        <w:rPr>
          <w:rFonts w:asciiTheme="minorBidi" w:hAnsiTheme="minorBidi" w:cs="Arial" w:hint="cs"/>
          <w:rtl/>
        </w:rPr>
        <w:t>שלא</w:t>
      </w:r>
      <w:r w:rsidRPr="00F936FC">
        <w:rPr>
          <w:rFonts w:asciiTheme="minorBidi" w:hAnsiTheme="minorBidi" w:cs="Arial"/>
          <w:rtl/>
        </w:rPr>
        <w:t xml:space="preserve"> </w:t>
      </w:r>
      <w:r w:rsidRPr="00F936FC">
        <w:rPr>
          <w:rFonts w:asciiTheme="minorBidi" w:hAnsiTheme="minorBidi" w:cs="Arial" w:hint="cs"/>
          <w:rtl/>
        </w:rPr>
        <w:t>יאחזנה</w:t>
      </w:r>
      <w:r w:rsidRPr="00F936FC">
        <w:rPr>
          <w:rFonts w:asciiTheme="minorBidi" w:hAnsiTheme="minorBidi" w:cs="Arial"/>
          <w:rtl/>
        </w:rPr>
        <w:t xml:space="preserve"> </w:t>
      </w:r>
      <w:r w:rsidRPr="00F936FC">
        <w:rPr>
          <w:rFonts w:asciiTheme="minorBidi" w:hAnsiTheme="minorBidi" w:cs="Arial" w:hint="cs"/>
          <w:rtl/>
        </w:rPr>
        <w:t>אלא</w:t>
      </w:r>
      <w:r w:rsidRPr="00F936FC">
        <w:rPr>
          <w:rFonts w:asciiTheme="minorBidi" w:hAnsiTheme="minorBidi" w:cs="Arial"/>
          <w:rtl/>
        </w:rPr>
        <w:t xml:space="preserve"> </w:t>
      </w:r>
      <w:r w:rsidRPr="00F936FC">
        <w:rPr>
          <w:rFonts w:asciiTheme="minorBidi" w:hAnsiTheme="minorBidi" w:cs="Arial" w:hint="cs"/>
          <w:rtl/>
        </w:rPr>
        <w:t>ב</w:t>
      </w:r>
      <w:r w:rsidR="00D52138">
        <w:rPr>
          <w:rFonts w:asciiTheme="minorBidi" w:hAnsiTheme="minorBidi" w:cs="Arial" w:hint="cs"/>
          <w:rtl/>
        </w:rPr>
        <w:t>שתי</w:t>
      </w:r>
      <w:r w:rsidRPr="00F936FC">
        <w:rPr>
          <w:rFonts w:asciiTheme="minorBidi" w:hAnsiTheme="minorBidi" w:cs="Arial"/>
          <w:rtl/>
        </w:rPr>
        <w:t xml:space="preserve"> </w:t>
      </w:r>
      <w:r w:rsidRPr="00F936FC">
        <w:rPr>
          <w:rFonts w:asciiTheme="minorBidi" w:hAnsiTheme="minorBidi" w:cs="Arial" w:hint="cs"/>
          <w:rtl/>
        </w:rPr>
        <w:t>אצבעותיו</w:t>
      </w:r>
      <w:r w:rsidRPr="00F936FC">
        <w:rPr>
          <w:rFonts w:asciiTheme="minorBidi" w:hAnsiTheme="minorBidi" w:cs="Arial"/>
          <w:rtl/>
        </w:rPr>
        <w:t xml:space="preserve">. </w:t>
      </w:r>
      <w:r w:rsidRPr="00F936FC">
        <w:rPr>
          <w:rFonts w:asciiTheme="minorBidi" w:hAnsiTheme="minorBidi" w:cs="Arial" w:hint="cs"/>
          <w:rtl/>
        </w:rPr>
        <w:t>ואסור</w:t>
      </w:r>
      <w:r w:rsidRPr="00F936FC">
        <w:rPr>
          <w:rFonts w:asciiTheme="minorBidi" w:hAnsiTheme="minorBidi" w:cs="Arial"/>
          <w:rtl/>
        </w:rPr>
        <w:t xml:space="preserve"> </w:t>
      </w:r>
      <w:r w:rsidRPr="00F936FC">
        <w:rPr>
          <w:rFonts w:asciiTheme="minorBidi" w:hAnsiTheme="minorBidi" w:cs="Arial" w:hint="cs"/>
          <w:rtl/>
        </w:rPr>
        <w:t>לצאת</w:t>
      </w:r>
      <w:r w:rsidRPr="00F936FC">
        <w:rPr>
          <w:rFonts w:asciiTheme="minorBidi" w:hAnsiTheme="minorBidi" w:cs="Arial"/>
          <w:rtl/>
        </w:rPr>
        <w:t xml:space="preserve"> </w:t>
      </w:r>
      <w:r w:rsidRPr="00F936FC">
        <w:rPr>
          <w:rFonts w:asciiTheme="minorBidi" w:hAnsiTheme="minorBidi" w:cs="Arial" w:hint="cs"/>
          <w:rtl/>
        </w:rPr>
        <w:t>בברזא</w:t>
      </w:r>
      <w:r w:rsidRPr="00F936FC">
        <w:rPr>
          <w:rFonts w:asciiTheme="minorBidi" w:hAnsiTheme="minorBidi" w:cs="Arial"/>
          <w:rtl/>
        </w:rPr>
        <w:t xml:space="preserve"> </w:t>
      </w:r>
      <w:r w:rsidRPr="00F936FC">
        <w:rPr>
          <w:rFonts w:asciiTheme="minorBidi" w:hAnsiTheme="minorBidi" w:cs="Arial" w:hint="cs"/>
          <w:rtl/>
        </w:rPr>
        <w:t>אפילו</w:t>
      </w:r>
      <w:r w:rsidRPr="00F936FC">
        <w:rPr>
          <w:rFonts w:asciiTheme="minorBidi" w:hAnsiTheme="minorBidi" w:cs="Arial"/>
          <w:rtl/>
        </w:rPr>
        <w:t xml:space="preserve"> </w:t>
      </w:r>
      <w:r w:rsidRPr="00F936FC">
        <w:rPr>
          <w:rFonts w:asciiTheme="minorBidi" w:hAnsiTheme="minorBidi" w:cs="Arial" w:hint="cs"/>
          <w:rtl/>
        </w:rPr>
        <w:t>תחובה</w:t>
      </w:r>
      <w:r w:rsidR="00621D5A">
        <w:rPr>
          <w:rStyle w:val="a9"/>
          <w:rFonts w:asciiTheme="minorBidi" w:hAnsiTheme="minorBidi" w:cs="Arial"/>
          <w:rtl/>
        </w:rPr>
        <w:footnoteReference w:id="2025"/>
      </w:r>
      <w:r w:rsidRPr="00F936FC">
        <w:rPr>
          <w:rFonts w:asciiTheme="minorBidi" w:hAnsiTheme="minorBidi" w:cs="Arial"/>
          <w:rtl/>
        </w:rPr>
        <w:t xml:space="preserve"> </w:t>
      </w:r>
      <w:r w:rsidRPr="00F936FC">
        <w:rPr>
          <w:rFonts w:asciiTheme="minorBidi" w:hAnsiTheme="minorBidi" w:cs="Arial" w:hint="cs"/>
          <w:rtl/>
        </w:rPr>
        <w:t>כולה</w:t>
      </w:r>
      <w:r w:rsidRPr="00F936FC">
        <w:rPr>
          <w:rFonts w:asciiTheme="minorBidi" w:hAnsiTheme="minorBidi" w:cs="Arial"/>
          <w:rtl/>
        </w:rPr>
        <w:t xml:space="preserve"> </w:t>
      </w:r>
      <w:r w:rsidRPr="00F936FC">
        <w:rPr>
          <w:rFonts w:asciiTheme="minorBidi" w:hAnsiTheme="minorBidi" w:cs="Arial" w:hint="cs"/>
          <w:rtl/>
        </w:rPr>
        <w:t>בגוף</w:t>
      </w:r>
      <w:r w:rsidRPr="00F936FC">
        <w:rPr>
          <w:rFonts w:asciiTheme="minorBidi" w:hAnsiTheme="minorBidi" w:cs="Arial"/>
          <w:rtl/>
        </w:rPr>
        <w:t xml:space="preserve">. </w:t>
      </w:r>
    </w:p>
    <w:p w14:paraId="209D9F35" w14:textId="77777777" w:rsidR="00E324D8" w:rsidRPr="00F936FC" w:rsidRDefault="00E324D8" w:rsidP="00434A6A">
      <w:pPr>
        <w:rPr>
          <w:rFonts w:asciiTheme="minorBidi" w:hAnsiTheme="minorBidi"/>
          <w:rtl/>
        </w:rPr>
      </w:pPr>
    </w:p>
    <w:p w14:paraId="7F2EB0FC" w14:textId="0673E7E6" w:rsidR="00F936FC" w:rsidRDefault="00F936FC" w:rsidP="00434A6A">
      <w:pPr>
        <w:pStyle w:val="2"/>
        <w:rPr>
          <w:rtl/>
        </w:rPr>
      </w:pPr>
      <w:r w:rsidRPr="00F936FC">
        <w:rPr>
          <w:rFonts w:hint="cs"/>
          <w:rtl/>
        </w:rPr>
        <w:t>סעיף</w:t>
      </w:r>
      <w:r w:rsidRPr="00F936FC">
        <w:rPr>
          <w:rtl/>
        </w:rPr>
        <w:t xml:space="preserve"> </w:t>
      </w:r>
      <w:r w:rsidRPr="00F936FC">
        <w:rPr>
          <w:rFonts w:hint="cs"/>
          <w:rtl/>
        </w:rPr>
        <w:t>ט</w:t>
      </w:r>
      <w:r w:rsidR="00E324D8">
        <w:rPr>
          <w:rFonts w:hint="cs"/>
          <w:rtl/>
        </w:rPr>
        <w:t xml:space="preserve">: </w:t>
      </w:r>
      <w:r w:rsidR="00D52138">
        <w:rPr>
          <w:rFonts w:hint="cs"/>
          <w:rtl/>
        </w:rPr>
        <w:t>שדות שאסור להתפנות בהם.</w:t>
      </w:r>
    </w:p>
    <w:p w14:paraId="0B258BAD" w14:textId="0A6FB07E" w:rsidR="00E324D8" w:rsidRDefault="00511C44" w:rsidP="00434A6A">
      <w:pPr>
        <w:rPr>
          <w:rFonts w:cs="Arial"/>
          <w:rtl/>
        </w:rPr>
      </w:pPr>
      <w:r w:rsidRPr="00E24BC4">
        <w:rPr>
          <w:rFonts w:cs="Arial" w:hint="cs"/>
          <w:b/>
          <w:bCs/>
          <w:rtl/>
        </w:rPr>
        <w:t xml:space="preserve">שבת </w:t>
      </w:r>
      <w:r w:rsidRPr="00E24BC4">
        <w:rPr>
          <w:rFonts w:cs="Arial" w:hint="cs"/>
          <w:b/>
          <w:bCs/>
          <w:sz w:val="16"/>
          <w:szCs w:val="16"/>
          <w:rtl/>
        </w:rPr>
        <w:t>(ס"פ</w:t>
      </w:r>
      <w:r w:rsidRPr="00E24BC4">
        <w:rPr>
          <w:rFonts w:cs="Arial"/>
          <w:b/>
          <w:bCs/>
          <w:sz w:val="16"/>
          <w:szCs w:val="16"/>
          <w:rtl/>
        </w:rPr>
        <w:t xml:space="preserve"> המוציא יין</w:t>
      </w:r>
      <w:r w:rsidRPr="00E24BC4">
        <w:rPr>
          <w:rFonts w:cs="Arial" w:hint="cs"/>
          <w:b/>
          <w:bCs/>
          <w:sz w:val="16"/>
          <w:szCs w:val="16"/>
          <w:rtl/>
        </w:rPr>
        <w:t>)</w:t>
      </w:r>
      <w:r w:rsidRPr="00E24BC4">
        <w:rPr>
          <w:rFonts w:cs="Arial"/>
          <w:b/>
          <w:bCs/>
          <w:rtl/>
        </w:rPr>
        <w:t xml:space="preserve"> פ</w:t>
      </w:r>
      <w:r>
        <w:rPr>
          <w:rFonts w:cs="Arial" w:hint="cs"/>
          <w:b/>
          <w:bCs/>
          <w:rtl/>
        </w:rPr>
        <w:t>א</w:t>
      </w:r>
      <w:r w:rsidRPr="00E24BC4">
        <w:rPr>
          <w:rFonts w:cs="Arial" w:hint="cs"/>
          <w:b/>
          <w:bCs/>
          <w:rtl/>
        </w:rPr>
        <w:t xml:space="preserve"> ע"</w:t>
      </w:r>
      <w:r>
        <w:rPr>
          <w:rFonts w:cs="Arial" w:hint="cs"/>
          <w:b/>
          <w:bCs/>
          <w:rtl/>
        </w:rPr>
        <w:t>ב</w:t>
      </w:r>
      <w:r w:rsidRPr="00E24BC4">
        <w:rPr>
          <w:rFonts w:cs="Arial" w:hint="cs"/>
          <w:b/>
          <w:bCs/>
          <w:rtl/>
        </w:rPr>
        <w:t>:</w:t>
      </w:r>
      <w:r w:rsidRPr="004C5375">
        <w:rPr>
          <w:rFonts w:cs="Arial"/>
          <w:rtl/>
        </w:rPr>
        <w:t xml:space="preserve"> </w:t>
      </w:r>
      <w:r w:rsidRPr="002004B0">
        <w:rPr>
          <w:rFonts w:cs="Arial"/>
          <w:u w:val="single"/>
          <w:rtl/>
        </w:rPr>
        <w:t>אמר רב הונא</w:t>
      </w:r>
      <w:r w:rsidRPr="002004B0">
        <w:rPr>
          <w:rFonts w:cs="Arial"/>
          <w:rtl/>
        </w:rPr>
        <w:t>: אסור לפנות בשדה ניר</w:t>
      </w:r>
      <w:r>
        <w:rPr>
          <w:rStyle w:val="a9"/>
          <w:rFonts w:cs="Arial"/>
          <w:rtl/>
        </w:rPr>
        <w:footnoteReference w:id="2026"/>
      </w:r>
      <w:r w:rsidRPr="002004B0">
        <w:rPr>
          <w:rFonts w:cs="Arial"/>
          <w:rtl/>
        </w:rPr>
        <w:t xml:space="preserve"> בשבת, מאי טעמא? אילימא משום דוושא</w:t>
      </w:r>
      <w:r>
        <w:rPr>
          <w:rStyle w:val="a9"/>
          <w:rFonts w:cs="Arial"/>
          <w:rtl/>
        </w:rPr>
        <w:footnoteReference w:id="2027"/>
      </w:r>
      <w:r w:rsidRPr="002004B0">
        <w:rPr>
          <w:rFonts w:cs="Arial"/>
          <w:rtl/>
        </w:rPr>
        <w:t xml:space="preserve"> - אפילו בחול נמי. ואלא משום עשבים</w:t>
      </w:r>
      <w:r>
        <w:rPr>
          <w:rStyle w:val="a9"/>
          <w:rFonts w:cs="Arial"/>
          <w:rtl/>
        </w:rPr>
        <w:footnoteReference w:id="2028"/>
      </w:r>
      <w:r w:rsidRPr="002004B0">
        <w:rPr>
          <w:rFonts w:cs="Arial"/>
          <w:rtl/>
        </w:rPr>
        <w:t xml:space="preserve"> - והאמר ריש לקיש: צרור שעלו בו עשבים - מותר לקנח בה, והתולש ממנה בשבת - חייב חטאת! אלא: דילמא נקיט מעילאי</w:t>
      </w:r>
      <w:r>
        <w:rPr>
          <w:rStyle w:val="a9"/>
          <w:rFonts w:cs="Arial"/>
          <w:rtl/>
        </w:rPr>
        <w:footnoteReference w:id="2029"/>
      </w:r>
      <w:r w:rsidRPr="002004B0">
        <w:rPr>
          <w:rFonts w:cs="Arial"/>
          <w:rtl/>
        </w:rPr>
        <w:t>, ושדא לתתאי</w:t>
      </w:r>
      <w:r>
        <w:rPr>
          <w:rStyle w:val="a9"/>
          <w:rFonts w:cs="Arial"/>
          <w:rtl/>
        </w:rPr>
        <w:footnoteReference w:id="2030"/>
      </w:r>
      <w:r w:rsidRPr="002004B0">
        <w:rPr>
          <w:rFonts w:cs="Arial"/>
          <w:rtl/>
        </w:rPr>
        <w:t>, ומיחייב משום דרבה. דאמר רבה: היתה לו גומא וטממה, בבית</w:t>
      </w:r>
      <w:r>
        <w:rPr>
          <w:rStyle w:val="a9"/>
          <w:rFonts w:cs="Arial"/>
          <w:rtl/>
        </w:rPr>
        <w:footnoteReference w:id="2031"/>
      </w:r>
      <w:r w:rsidRPr="002004B0">
        <w:rPr>
          <w:rFonts w:cs="Arial"/>
          <w:rtl/>
        </w:rPr>
        <w:t xml:space="preserve"> - חייב משום בונה, בשדה - חייב משום חורש. </w:t>
      </w:r>
    </w:p>
    <w:p w14:paraId="79D28FBC" w14:textId="61C154F7" w:rsidR="00511C44" w:rsidRPr="00511C44" w:rsidRDefault="00511C44" w:rsidP="00434A6A">
      <w:pPr>
        <w:rPr>
          <w:rFonts w:cs="Arial"/>
          <w:u w:val="single"/>
          <w:rtl/>
        </w:rPr>
      </w:pPr>
      <w:r w:rsidRPr="00511C44">
        <w:rPr>
          <w:rFonts w:hint="cs"/>
          <w:u w:val="single"/>
          <w:rtl/>
        </w:rPr>
        <w:t>שדות שאסור להתפנות בהם</w:t>
      </w:r>
      <w:r w:rsidRPr="00511C44">
        <w:rPr>
          <w:rFonts w:cs="Arial" w:hint="cs"/>
          <w:u w:val="single"/>
          <w:rtl/>
        </w:rPr>
        <w:t>:</w:t>
      </w:r>
    </w:p>
    <w:p w14:paraId="72B206B8" w14:textId="34909BAB" w:rsidR="004C5375" w:rsidRDefault="00511C44" w:rsidP="00434A6A">
      <w:pPr>
        <w:pStyle w:val="aa"/>
        <w:numPr>
          <w:ilvl w:val="0"/>
          <w:numId w:val="15"/>
        </w:numPr>
      </w:pPr>
      <w:r>
        <w:rPr>
          <w:rFonts w:cs="Arial" w:hint="cs"/>
          <w:rtl/>
        </w:rPr>
        <w:t xml:space="preserve">רמב"ם </w:t>
      </w:r>
      <w:r>
        <w:rPr>
          <w:rFonts w:cs="Arial" w:hint="cs"/>
          <w:sz w:val="16"/>
          <w:szCs w:val="16"/>
          <w:rtl/>
        </w:rPr>
        <w:t>(פכ"א ה"ב)</w:t>
      </w:r>
      <w:r>
        <w:rPr>
          <w:rFonts w:cs="Arial" w:hint="cs"/>
          <w:rtl/>
        </w:rPr>
        <w:t xml:space="preserve"> ו</w:t>
      </w:r>
      <w:r w:rsidR="004C5375">
        <w:rPr>
          <w:rFonts w:cs="Arial" w:hint="cs"/>
          <w:rtl/>
        </w:rPr>
        <w:t xml:space="preserve">טור- </w:t>
      </w:r>
      <w:r w:rsidR="004C5375" w:rsidRPr="002B45A4">
        <w:rPr>
          <w:rFonts w:cs="Arial"/>
          <w:rtl/>
        </w:rPr>
        <w:t>אסור לפנות בשדה ניר בשבת שמא יבא לאשויי גומות</w:t>
      </w:r>
      <w:r>
        <w:rPr>
          <w:rFonts w:cs="Arial" w:hint="cs"/>
          <w:sz w:val="16"/>
          <w:szCs w:val="16"/>
          <w:rtl/>
        </w:rPr>
        <w:t xml:space="preserve"> (ל' הטור)</w:t>
      </w:r>
      <w:r>
        <w:rPr>
          <w:rFonts w:cs="Arial" w:hint="cs"/>
          <w:rtl/>
        </w:rPr>
        <w:t>.</w:t>
      </w:r>
      <w:r w:rsidRPr="00511C44">
        <w:rPr>
          <w:rFonts w:hint="cs"/>
          <w:color w:val="E36C0A" w:themeColor="accent6" w:themeShade="BF"/>
          <w:rtl/>
        </w:rPr>
        <w:t xml:space="preserve"> </w:t>
      </w:r>
      <w:r w:rsidRPr="00D172C6">
        <w:rPr>
          <w:rFonts w:hint="cs"/>
          <w:color w:val="E36C0A" w:themeColor="accent6" w:themeShade="BF"/>
          <w:rtl/>
        </w:rPr>
        <w:t>(וכ"פ בשו"ע)</w:t>
      </w:r>
    </w:p>
    <w:p w14:paraId="3E7E1188" w14:textId="77777777" w:rsidR="002B45A4" w:rsidRPr="00D10A83" w:rsidRDefault="002B45A4" w:rsidP="00434A6A">
      <w:pPr>
        <w:rPr>
          <w:rFonts w:asciiTheme="minorBidi" w:hAnsiTheme="minorBidi"/>
          <w:rtl/>
        </w:rPr>
      </w:pPr>
      <w:r w:rsidRPr="005275DF">
        <w:rPr>
          <w:rFonts w:asciiTheme="minorBidi" w:hAnsiTheme="minorBidi"/>
          <w:b/>
          <w:bCs/>
          <w:sz w:val="32"/>
          <w:szCs w:val="28"/>
          <w:u w:val="single"/>
          <w:rtl/>
        </w:rPr>
        <w:t xml:space="preserve">שו"ע: </w:t>
      </w:r>
    </w:p>
    <w:p w14:paraId="3D48BA1E" w14:textId="17AE1F36" w:rsidR="00F936FC" w:rsidRDefault="00F936FC" w:rsidP="00434A6A">
      <w:pPr>
        <w:rPr>
          <w:rFonts w:asciiTheme="minorBidi" w:hAnsiTheme="minorBidi"/>
          <w:rtl/>
        </w:rPr>
      </w:pPr>
      <w:r w:rsidRPr="00F936FC">
        <w:rPr>
          <w:rFonts w:asciiTheme="minorBidi" w:hAnsiTheme="minorBidi" w:cs="Arial" w:hint="cs"/>
          <w:rtl/>
        </w:rPr>
        <w:t>אסור</w:t>
      </w:r>
      <w:r w:rsidRPr="00F936FC">
        <w:rPr>
          <w:rFonts w:asciiTheme="minorBidi" w:hAnsiTheme="minorBidi" w:cs="Arial"/>
          <w:rtl/>
        </w:rPr>
        <w:t xml:space="preserve"> </w:t>
      </w:r>
      <w:r w:rsidRPr="00F936FC">
        <w:rPr>
          <w:rFonts w:asciiTheme="minorBidi" w:hAnsiTheme="minorBidi" w:cs="Arial" w:hint="cs"/>
          <w:rtl/>
        </w:rPr>
        <w:t>לפנות</w:t>
      </w:r>
      <w:r w:rsidRPr="00F936FC">
        <w:rPr>
          <w:rFonts w:asciiTheme="minorBidi" w:hAnsiTheme="minorBidi" w:cs="Arial"/>
          <w:rtl/>
        </w:rPr>
        <w:t xml:space="preserve"> </w:t>
      </w:r>
      <w:r w:rsidRPr="00F936FC">
        <w:rPr>
          <w:rFonts w:asciiTheme="minorBidi" w:hAnsiTheme="minorBidi" w:cs="Arial" w:hint="cs"/>
          <w:rtl/>
        </w:rPr>
        <w:t>בשדה</w:t>
      </w:r>
      <w:r w:rsidRPr="00F936FC">
        <w:rPr>
          <w:rFonts w:asciiTheme="minorBidi" w:hAnsiTheme="minorBidi" w:cs="Arial"/>
          <w:rtl/>
        </w:rPr>
        <w:t xml:space="preserve"> </w:t>
      </w:r>
      <w:r w:rsidRPr="00F936FC">
        <w:rPr>
          <w:rFonts w:asciiTheme="minorBidi" w:hAnsiTheme="minorBidi" w:cs="Arial" w:hint="cs"/>
          <w:rtl/>
        </w:rPr>
        <w:t>ניר</w:t>
      </w:r>
      <w:r w:rsidRPr="00F936FC">
        <w:rPr>
          <w:rFonts w:asciiTheme="minorBidi" w:hAnsiTheme="minorBidi" w:cs="Arial"/>
          <w:rtl/>
        </w:rPr>
        <w:t xml:space="preserve"> </w:t>
      </w:r>
      <w:r w:rsidRPr="00F936FC">
        <w:rPr>
          <w:rFonts w:asciiTheme="minorBidi" w:hAnsiTheme="minorBidi" w:cs="Arial" w:hint="cs"/>
          <w:rtl/>
        </w:rPr>
        <w:t>בשבת</w:t>
      </w:r>
      <w:r w:rsidRPr="00F936FC">
        <w:rPr>
          <w:rFonts w:asciiTheme="minorBidi" w:hAnsiTheme="minorBidi" w:cs="Arial"/>
          <w:rtl/>
        </w:rPr>
        <w:t xml:space="preserve">, </w:t>
      </w:r>
      <w:r w:rsidRPr="00F936FC">
        <w:rPr>
          <w:rFonts w:asciiTheme="minorBidi" w:hAnsiTheme="minorBidi" w:cs="Arial" w:hint="cs"/>
          <w:rtl/>
        </w:rPr>
        <w:t>שמא</w:t>
      </w:r>
      <w:r w:rsidRPr="00F936FC">
        <w:rPr>
          <w:rFonts w:asciiTheme="minorBidi" w:hAnsiTheme="minorBidi" w:cs="Arial"/>
          <w:rtl/>
        </w:rPr>
        <w:t xml:space="preserve"> </w:t>
      </w:r>
      <w:r w:rsidRPr="00F936FC">
        <w:rPr>
          <w:rFonts w:asciiTheme="minorBidi" w:hAnsiTheme="minorBidi" w:cs="Arial" w:hint="cs"/>
          <w:rtl/>
        </w:rPr>
        <w:t>יבא</w:t>
      </w:r>
      <w:r w:rsidRPr="00F936FC">
        <w:rPr>
          <w:rFonts w:asciiTheme="minorBidi" w:hAnsiTheme="minorBidi" w:cs="Arial"/>
          <w:rtl/>
        </w:rPr>
        <w:t xml:space="preserve"> </w:t>
      </w:r>
      <w:r w:rsidRPr="00F936FC">
        <w:rPr>
          <w:rFonts w:asciiTheme="minorBidi" w:hAnsiTheme="minorBidi" w:cs="Arial" w:hint="cs"/>
          <w:rtl/>
        </w:rPr>
        <w:t>לאשוויי</w:t>
      </w:r>
      <w:r w:rsidRPr="00F936FC">
        <w:rPr>
          <w:rFonts w:asciiTheme="minorBidi" w:hAnsiTheme="minorBidi" w:cs="Arial"/>
          <w:rtl/>
        </w:rPr>
        <w:t xml:space="preserve"> </w:t>
      </w:r>
      <w:r w:rsidRPr="00F936FC">
        <w:rPr>
          <w:rFonts w:asciiTheme="minorBidi" w:hAnsiTheme="minorBidi" w:cs="Arial" w:hint="cs"/>
          <w:rtl/>
        </w:rPr>
        <w:t>גומות</w:t>
      </w:r>
      <w:r w:rsidR="00E324D8">
        <w:rPr>
          <w:rFonts w:asciiTheme="minorBidi" w:hAnsiTheme="minorBidi" w:cs="Arial" w:hint="cs"/>
          <w:rtl/>
        </w:rPr>
        <w:t>.</w:t>
      </w:r>
      <w:r w:rsidRPr="00F936FC">
        <w:rPr>
          <w:rFonts w:asciiTheme="minorBidi" w:hAnsiTheme="minorBidi" w:cs="Arial"/>
          <w:rtl/>
        </w:rPr>
        <w:t xml:space="preserve"> </w:t>
      </w:r>
      <w:r w:rsidRPr="00F936FC">
        <w:rPr>
          <w:rFonts w:asciiTheme="minorBidi" w:hAnsiTheme="minorBidi" w:cs="Arial" w:hint="cs"/>
          <w:rtl/>
        </w:rPr>
        <w:t>ואם</w:t>
      </w:r>
      <w:r w:rsidRPr="00F936FC">
        <w:rPr>
          <w:rFonts w:asciiTheme="minorBidi" w:hAnsiTheme="minorBidi" w:cs="Arial"/>
          <w:rtl/>
        </w:rPr>
        <w:t xml:space="preserve"> </w:t>
      </w:r>
      <w:r w:rsidRPr="00F936FC">
        <w:rPr>
          <w:rFonts w:asciiTheme="minorBidi" w:hAnsiTheme="minorBidi" w:cs="Arial" w:hint="cs"/>
          <w:rtl/>
        </w:rPr>
        <w:t>היה</w:t>
      </w:r>
      <w:r w:rsidRPr="00F936FC">
        <w:rPr>
          <w:rFonts w:asciiTheme="minorBidi" w:hAnsiTheme="minorBidi" w:cs="Arial"/>
          <w:rtl/>
        </w:rPr>
        <w:t xml:space="preserve"> </w:t>
      </w:r>
      <w:r w:rsidRPr="00F936FC">
        <w:rPr>
          <w:rFonts w:asciiTheme="minorBidi" w:hAnsiTheme="minorBidi" w:cs="Arial" w:hint="cs"/>
          <w:rtl/>
        </w:rPr>
        <w:t>שדה</w:t>
      </w:r>
      <w:r w:rsidRPr="00F936FC">
        <w:rPr>
          <w:rFonts w:asciiTheme="minorBidi" w:hAnsiTheme="minorBidi" w:cs="Arial"/>
          <w:rtl/>
        </w:rPr>
        <w:t xml:space="preserve"> </w:t>
      </w:r>
      <w:r w:rsidRPr="00F936FC">
        <w:rPr>
          <w:rFonts w:asciiTheme="minorBidi" w:hAnsiTheme="minorBidi" w:cs="Arial" w:hint="cs"/>
          <w:rtl/>
        </w:rPr>
        <w:t>חבירו</w:t>
      </w:r>
      <w:r w:rsidRPr="00F936FC">
        <w:rPr>
          <w:rFonts w:asciiTheme="minorBidi" w:hAnsiTheme="minorBidi" w:cs="Arial"/>
          <w:rtl/>
        </w:rPr>
        <w:t xml:space="preserve">, </w:t>
      </w:r>
      <w:r w:rsidRPr="00F936FC">
        <w:rPr>
          <w:rFonts w:asciiTheme="minorBidi" w:hAnsiTheme="minorBidi" w:cs="Arial" w:hint="cs"/>
          <w:rtl/>
        </w:rPr>
        <w:t>אפילו</w:t>
      </w:r>
      <w:r w:rsidRPr="00F936FC">
        <w:rPr>
          <w:rFonts w:asciiTheme="minorBidi" w:hAnsiTheme="minorBidi" w:cs="Arial"/>
          <w:rtl/>
        </w:rPr>
        <w:t xml:space="preserve"> </w:t>
      </w:r>
      <w:r w:rsidRPr="00F936FC">
        <w:rPr>
          <w:rFonts w:asciiTheme="minorBidi" w:hAnsiTheme="minorBidi" w:cs="Arial" w:hint="cs"/>
          <w:rtl/>
        </w:rPr>
        <w:t>בחול</w:t>
      </w:r>
      <w:r w:rsidRPr="00F936FC">
        <w:rPr>
          <w:rFonts w:asciiTheme="minorBidi" w:hAnsiTheme="minorBidi" w:cs="Arial"/>
          <w:rtl/>
        </w:rPr>
        <w:t xml:space="preserve"> </w:t>
      </w:r>
      <w:r w:rsidRPr="00F936FC">
        <w:rPr>
          <w:rFonts w:asciiTheme="minorBidi" w:hAnsiTheme="minorBidi" w:cs="Arial" w:hint="cs"/>
          <w:rtl/>
        </w:rPr>
        <w:t>אסור</w:t>
      </w:r>
      <w:r w:rsidRPr="00F936FC">
        <w:rPr>
          <w:rFonts w:asciiTheme="minorBidi" w:hAnsiTheme="minorBidi" w:cs="Arial"/>
          <w:rtl/>
        </w:rPr>
        <w:t xml:space="preserve"> </w:t>
      </w:r>
      <w:r w:rsidRPr="00F936FC">
        <w:rPr>
          <w:rFonts w:asciiTheme="minorBidi" w:hAnsiTheme="minorBidi" w:cs="Arial" w:hint="cs"/>
          <w:rtl/>
        </w:rPr>
        <w:t>מפני</w:t>
      </w:r>
      <w:r w:rsidRPr="00F936FC">
        <w:rPr>
          <w:rFonts w:asciiTheme="minorBidi" w:hAnsiTheme="minorBidi" w:cs="Arial"/>
          <w:rtl/>
        </w:rPr>
        <w:t xml:space="preserve"> </w:t>
      </w:r>
      <w:r w:rsidRPr="00F936FC">
        <w:rPr>
          <w:rFonts w:asciiTheme="minorBidi" w:hAnsiTheme="minorBidi" w:cs="Arial" w:hint="cs"/>
          <w:rtl/>
        </w:rPr>
        <w:t>שדש</w:t>
      </w:r>
      <w:r w:rsidRPr="00F936FC">
        <w:rPr>
          <w:rFonts w:asciiTheme="minorBidi" w:hAnsiTheme="minorBidi" w:cs="Arial"/>
          <w:rtl/>
        </w:rPr>
        <w:t xml:space="preserve"> </w:t>
      </w:r>
      <w:r w:rsidRPr="00F936FC">
        <w:rPr>
          <w:rFonts w:asciiTheme="minorBidi" w:hAnsiTheme="minorBidi" w:cs="Arial" w:hint="cs"/>
          <w:rtl/>
        </w:rPr>
        <w:t>נירו</w:t>
      </w:r>
      <w:r w:rsidRPr="00F936FC">
        <w:rPr>
          <w:rFonts w:asciiTheme="minorBidi" w:hAnsiTheme="minorBidi" w:cs="Arial"/>
          <w:rtl/>
        </w:rPr>
        <w:t xml:space="preserve"> </w:t>
      </w:r>
      <w:r w:rsidRPr="00F936FC">
        <w:rPr>
          <w:rFonts w:asciiTheme="minorBidi" w:hAnsiTheme="minorBidi" w:cs="Arial" w:hint="cs"/>
          <w:rtl/>
        </w:rPr>
        <w:t>ומקלקל</w:t>
      </w:r>
      <w:r w:rsidRPr="00F936FC">
        <w:rPr>
          <w:rFonts w:asciiTheme="minorBidi" w:hAnsiTheme="minorBidi" w:cs="Arial"/>
          <w:rtl/>
        </w:rPr>
        <w:t xml:space="preserve">. </w:t>
      </w:r>
    </w:p>
    <w:p w14:paraId="60EC2578" w14:textId="77777777" w:rsidR="00E324D8" w:rsidRPr="00F936FC" w:rsidRDefault="00E324D8" w:rsidP="00434A6A">
      <w:pPr>
        <w:rPr>
          <w:rFonts w:asciiTheme="minorBidi" w:hAnsiTheme="minorBidi"/>
          <w:rtl/>
        </w:rPr>
      </w:pPr>
    </w:p>
    <w:p w14:paraId="2A18F36E" w14:textId="071D13EC" w:rsidR="00F936FC" w:rsidRDefault="00F936FC" w:rsidP="00434A6A">
      <w:pPr>
        <w:pStyle w:val="2"/>
        <w:rPr>
          <w:rtl/>
        </w:rPr>
      </w:pPr>
      <w:r w:rsidRPr="00F936FC">
        <w:rPr>
          <w:rFonts w:hint="cs"/>
          <w:rtl/>
        </w:rPr>
        <w:t>סעיף</w:t>
      </w:r>
      <w:r w:rsidRPr="00F936FC">
        <w:rPr>
          <w:rtl/>
        </w:rPr>
        <w:t xml:space="preserve"> </w:t>
      </w:r>
      <w:r w:rsidRPr="00F936FC">
        <w:rPr>
          <w:rFonts w:hint="cs"/>
          <w:rtl/>
        </w:rPr>
        <w:t>י</w:t>
      </w:r>
      <w:r w:rsidR="00E324D8">
        <w:rPr>
          <w:rFonts w:hint="cs"/>
          <w:rtl/>
        </w:rPr>
        <w:t xml:space="preserve">: </w:t>
      </w:r>
      <w:r w:rsidR="00D52138">
        <w:rPr>
          <w:rFonts w:hint="cs"/>
          <w:rtl/>
        </w:rPr>
        <w:t>צידוד אבנים על מנת לשבת עליהם להתפנות.</w:t>
      </w:r>
    </w:p>
    <w:p w14:paraId="0608E9FB" w14:textId="1941BB30" w:rsidR="00E324D8" w:rsidRDefault="00E31B6E" w:rsidP="00434A6A">
      <w:pPr>
        <w:rPr>
          <w:rtl/>
        </w:rPr>
      </w:pPr>
      <w:r>
        <w:rPr>
          <w:rFonts w:cs="Arial" w:hint="cs"/>
          <w:b/>
          <w:bCs/>
          <w:rtl/>
        </w:rPr>
        <w:t xml:space="preserve">ביצה </w:t>
      </w:r>
      <w:r w:rsidRPr="00E31B6E">
        <w:rPr>
          <w:rFonts w:cs="Arial" w:hint="cs"/>
          <w:b/>
          <w:bCs/>
          <w:sz w:val="16"/>
          <w:szCs w:val="16"/>
          <w:rtl/>
        </w:rPr>
        <w:t>(</w:t>
      </w:r>
      <w:r>
        <w:rPr>
          <w:rFonts w:cs="Arial" w:hint="cs"/>
          <w:b/>
          <w:bCs/>
          <w:sz w:val="16"/>
          <w:szCs w:val="16"/>
          <w:rtl/>
        </w:rPr>
        <w:t>פ' המביא</w:t>
      </w:r>
      <w:r w:rsidRPr="00E31B6E">
        <w:rPr>
          <w:rFonts w:cs="Arial" w:hint="cs"/>
          <w:b/>
          <w:bCs/>
          <w:sz w:val="16"/>
          <w:szCs w:val="16"/>
          <w:rtl/>
        </w:rPr>
        <w:t>)</w:t>
      </w:r>
      <w:r>
        <w:rPr>
          <w:rFonts w:cs="Arial" w:hint="cs"/>
          <w:b/>
          <w:bCs/>
          <w:rtl/>
        </w:rPr>
        <w:t xml:space="preserve"> לב ע"ב: </w:t>
      </w:r>
      <w:r w:rsidRPr="00E31B6E">
        <w:rPr>
          <w:rFonts w:cs="Arial"/>
          <w:u w:val="single"/>
          <w:rtl/>
        </w:rPr>
        <w:t>אמר רב נחמן</w:t>
      </w:r>
      <w:r w:rsidRPr="00E31B6E">
        <w:rPr>
          <w:rFonts w:cs="Arial"/>
          <w:rtl/>
        </w:rPr>
        <w:t>: אבנים של בית הכסא</w:t>
      </w:r>
      <w:r>
        <w:rPr>
          <w:rStyle w:val="a9"/>
          <w:rFonts w:cs="Arial"/>
          <w:rtl/>
        </w:rPr>
        <w:footnoteReference w:id="2032"/>
      </w:r>
      <w:r w:rsidRPr="00E31B6E">
        <w:rPr>
          <w:rFonts w:cs="Arial"/>
          <w:rtl/>
        </w:rPr>
        <w:t xml:space="preserve"> מותר לצדדן ביום טוב. </w:t>
      </w:r>
      <w:r w:rsidRPr="00E31B6E">
        <w:rPr>
          <w:rFonts w:cs="Arial"/>
          <w:u w:val="single"/>
          <w:rtl/>
        </w:rPr>
        <w:t>איתיביה רבה לרב נחמן</w:t>
      </w:r>
      <w:r w:rsidRPr="00E31B6E">
        <w:rPr>
          <w:rFonts w:cs="Arial"/>
          <w:rtl/>
        </w:rPr>
        <w:t xml:space="preserve">: אין מקיפין שתי חביות לשפות עליהן את הקדרה! </w:t>
      </w:r>
      <w:r w:rsidRPr="00E31B6E">
        <w:rPr>
          <w:rFonts w:cs="Arial"/>
          <w:u w:val="single"/>
          <w:rtl/>
        </w:rPr>
        <w:t>אמר ליה</w:t>
      </w:r>
      <w:r w:rsidRPr="00E31B6E">
        <w:rPr>
          <w:rFonts w:cs="Arial"/>
          <w:rtl/>
        </w:rPr>
        <w:t>: שאני התם, משום דקא עביד אהלא</w:t>
      </w:r>
      <w:r>
        <w:rPr>
          <w:rStyle w:val="a9"/>
          <w:rFonts w:cs="Arial"/>
          <w:rtl/>
        </w:rPr>
        <w:footnoteReference w:id="2033"/>
      </w:r>
      <w:r w:rsidRPr="00E31B6E">
        <w:rPr>
          <w:rFonts w:cs="Arial"/>
          <w:rtl/>
        </w:rPr>
        <w:t xml:space="preserve">. </w:t>
      </w:r>
      <w:r w:rsidRPr="00E31B6E">
        <w:rPr>
          <w:rFonts w:cs="Arial"/>
          <w:u w:val="single"/>
          <w:rtl/>
        </w:rPr>
        <w:t>אמר ליה רבה זוטא לרב אשי</w:t>
      </w:r>
      <w:r w:rsidRPr="00E31B6E">
        <w:rPr>
          <w:rFonts w:cs="Arial"/>
          <w:rtl/>
        </w:rPr>
        <w:t>: אלא מעתה, בנה אצטבא</w:t>
      </w:r>
      <w:r>
        <w:rPr>
          <w:rStyle w:val="a9"/>
          <w:rFonts w:cs="Arial"/>
          <w:rtl/>
        </w:rPr>
        <w:footnoteReference w:id="2034"/>
      </w:r>
      <w:r w:rsidRPr="00E31B6E">
        <w:rPr>
          <w:rFonts w:cs="Arial"/>
          <w:rtl/>
        </w:rPr>
        <w:t xml:space="preserve"> ביום טוב דלא עביד אהלא, הכי נמי דשרי? </w:t>
      </w:r>
      <w:r w:rsidRPr="00E31B6E">
        <w:rPr>
          <w:rFonts w:cs="Arial"/>
          <w:u w:val="single"/>
          <w:rtl/>
        </w:rPr>
        <w:t>אמר ליה</w:t>
      </w:r>
      <w:r w:rsidRPr="00E31B6E">
        <w:rPr>
          <w:rFonts w:cs="Arial"/>
          <w:rtl/>
        </w:rPr>
        <w:t>: התם - בנין קבע אסרה תורה, בנין עראי</w:t>
      </w:r>
      <w:r>
        <w:rPr>
          <w:rStyle w:val="a9"/>
          <w:rFonts w:cs="Arial"/>
          <w:rtl/>
        </w:rPr>
        <w:footnoteReference w:id="2035"/>
      </w:r>
      <w:r w:rsidRPr="00E31B6E">
        <w:rPr>
          <w:rFonts w:cs="Arial"/>
          <w:rtl/>
        </w:rPr>
        <w:t xml:space="preserve"> לא אסרה תורה, וגזרו רבנן על בנין עראי משום בנין קבע. והכא, משום כבודו - לא גזרו ביה רבנן.</w:t>
      </w:r>
    </w:p>
    <w:p w14:paraId="2FBE7E13" w14:textId="62732A23" w:rsidR="00E31B6E" w:rsidRPr="00E31B6E" w:rsidRDefault="00E31B6E" w:rsidP="00434A6A">
      <w:pPr>
        <w:rPr>
          <w:u w:val="single"/>
          <w:rtl/>
        </w:rPr>
      </w:pPr>
      <w:r w:rsidRPr="00E31B6E">
        <w:rPr>
          <w:rFonts w:hint="cs"/>
          <w:u w:val="single"/>
          <w:rtl/>
        </w:rPr>
        <w:t>צידוד אבנים על מנת לשבת עליהם להתפנות:</w:t>
      </w:r>
    </w:p>
    <w:p w14:paraId="69BA868C" w14:textId="15F6E54A" w:rsidR="00E31B6E" w:rsidRPr="00E324D8" w:rsidRDefault="00E31B6E" w:rsidP="00434A6A">
      <w:pPr>
        <w:pStyle w:val="aa"/>
        <w:numPr>
          <w:ilvl w:val="0"/>
          <w:numId w:val="15"/>
        </w:numPr>
        <w:rPr>
          <w:rtl/>
        </w:rPr>
      </w:pPr>
      <w:r w:rsidRPr="00E31B6E">
        <w:rPr>
          <w:rFonts w:cs="Arial" w:hint="cs"/>
          <w:rtl/>
        </w:rPr>
        <w:t>רמב"ם</w:t>
      </w:r>
      <w:r w:rsidRPr="00E31B6E">
        <w:rPr>
          <w:rFonts w:cs="Arial" w:hint="cs"/>
          <w:sz w:val="16"/>
          <w:szCs w:val="16"/>
          <w:rtl/>
        </w:rPr>
        <w:t xml:space="preserve"> (הל' יו"ט פ"ד הי"ג)</w:t>
      </w:r>
      <w:r w:rsidRPr="00E31B6E">
        <w:rPr>
          <w:rFonts w:cs="Arial" w:hint="cs"/>
          <w:rtl/>
        </w:rPr>
        <w:t xml:space="preserve">- </w:t>
      </w:r>
      <w:r w:rsidRPr="00E31B6E">
        <w:rPr>
          <w:rFonts w:cs="Arial"/>
          <w:rtl/>
        </w:rPr>
        <w:t>אבנים של בית הכסא מותר לצדדן ביום טוב, בנין עראי הוא ומשום כבודו לא גזרו.</w:t>
      </w:r>
      <w:r w:rsidRPr="00E31B6E">
        <w:rPr>
          <w:rFonts w:hint="cs"/>
          <w:color w:val="E36C0A" w:themeColor="accent6" w:themeShade="BF"/>
          <w:rtl/>
        </w:rPr>
        <w:t xml:space="preserve"> </w:t>
      </w:r>
      <w:r w:rsidRPr="00D172C6">
        <w:rPr>
          <w:rFonts w:hint="cs"/>
          <w:color w:val="E36C0A" w:themeColor="accent6" w:themeShade="BF"/>
          <w:rtl/>
        </w:rPr>
        <w:t>(וכ"פ בשו"ע)</w:t>
      </w:r>
    </w:p>
    <w:p w14:paraId="05735D62" w14:textId="77777777" w:rsidR="002B45A4" w:rsidRPr="00D10A83" w:rsidRDefault="002B45A4" w:rsidP="00434A6A">
      <w:pPr>
        <w:rPr>
          <w:rFonts w:asciiTheme="minorBidi" w:hAnsiTheme="minorBidi"/>
          <w:rtl/>
        </w:rPr>
      </w:pPr>
      <w:r w:rsidRPr="005275DF">
        <w:rPr>
          <w:rFonts w:asciiTheme="minorBidi" w:hAnsiTheme="minorBidi"/>
          <w:b/>
          <w:bCs/>
          <w:sz w:val="32"/>
          <w:szCs w:val="28"/>
          <w:u w:val="single"/>
          <w:rtl/>
        </w:rPr>
        <w:t xml:space="preserve">שו"ע: </w:t>
      </w:r>
    </w:p>
    <w:p w14:paraId="01F9FFCC" w14:textId="462C0447" w:rsidR="00F936FC" w:rsidRPr="005275DF" w:rsidRDefault="00F936FC" w:rsidP="00434A6A">
      <w:pPr>
        <w:rPr>
          <w:rFonts w:asciiTheme="minorBidi" w:hAnsiTheme="minorBidi"/>
          <w:rtl/>
        </w:rPr>
      </w:pPr>
      <w:r w:rsidRPr="00F936FC">
        <w:rPr>
          <w:rFonts w:asciiTheme="minorBidi" w:hAnsiTheme="minorBidi" w:cs="Arial" w:hint="cs"/>
          <w:rtl/>
        </w:rPr>
        <w:t>אבנים</w:t>
      </w:r>
      <w:r w:rsidRPr="00F936FC">
        <w:rPr>
          <w:rFonts w:asciiTheme="minorBidi" w:hAnsiTheme="minorBidi" w:cs="Arial"/>
          <w:rtl/>
        </w:rPr>
        <w:t xml:space="preserve"> </w:t>
      </w:r>
      <w:r w:rsidRPr="00F936FC">
        <w:rPr>
          <w:rFonts w:asciiTheme="minorBidi" w:hAnsiTheme="minorBidi" w:cs="Arial" w:hint="cs"/>
          <w:rtl/>
        </w:rPr>
        <w:t>גדולות</w:t>
      </w:r>
      <w:r w:rsidRPr="00F936FC">
        <w:rPr>
          <w:rFonts w:asciiTheme="minorBidi" w:hAnsiTheme="minorBidi" w:cs="Arial"/>
          <w:rtl/>
        </w:rPr>
        <w:t xml:space="preserve"> </w:t>
      </w:r>
      <w:r w:rsidRPr="00F936FC">
        <w:rPr>
          <w:rFonts w:asciiTheme="minorBidi" w:hAnsiTheme="minorBidi" w:cs="Arial" w:hint="cs"/>
          <w:rtl/>
        </w:rPr>
        <w:t>שמצדדין</w:t>
      </w:r>
      <w:r w:rsidRPr="00F936FC">
        <w:rPr>
          <w:rFonts w:asciiTheme="minorBidi" w:hAnsiTheme="minorBidi" w:cs="Arial"/>
          <w:rtl/>
        </w:rPr>
        <w:t xml:space="preserve"> </w:t>
      </w:r>
      <w:r w:rsidRPr="00F936FC">
        <w:rPr>
          <w:rFonts w:asciiTheme="minorBidi" w:hAnsiTheme="minorBidi" w:cs="Arial" w:hint="cs"/>
          <w:rtl/>
        </w:rPr>
        <w:t>אותן</w:t>
      </w:r>
      <w:r w:rsidRPr="00F936FC">
        <w:rPr>
          <w:rFonts w:asciiTheme="minorBidi" w:hAnsiTheme="minorBidi" w:cs="Arial"/>
          <w:rtl/>
        </w:rPr>
        <w:t xml:space="preserve"> </w:t>
      </w:r>
      <w:r w:rsidRPr="00F936FC">
        <w:rPr>
          <w:rFonts w:asciiTheme="minorBidi" w:hAnsiTheme="minorBidi" w:cs="Arial" w:hint="cs"/>
          <w:rtl/>
        </w:rPr>
        <w:t>כמין</w:t>
      </w:r>
      <w:r w:rsidRPr="00F936FC">
        <w:rPr>
          <w:rFonts w:asciiTheme="minorBidi" w:hAnsiTheme="minorBidi" w:cs="Arial"/>
          <w:rtl/>
        </w:rPr>
        <w:t xml:space="preserve"> </w:t>
      </w:r>
      <w:r w:rsidRPr="00F936FC">
        <w:rPr>
          <w:rFonts w:asciiTheme="minorBidi" w:hAnsiTheme="minorBidi" w:cs="Arial" w:hint="cs"/>
          <w:rtl/>
        </w:rPr>
        <w:t>מושב</w:t>
      </w:r>
      <w:r w:rsidRPr="00F936FC">
        <w:rPr>
          <w:rFonts w:asciiTheme="minorBidi" w:hAnsiTheme="minorBidi" w:cs="Arial"/>
          <w:rtl/>
        </w:rPr>
        <w:t xml:space="preserve"> </w:t>
      </w:r>
      <w:r w:rsidRPr="00F936FC">
        <w:rPr>
          <w:rFonts w:asciiTheme="minorBidi" w:hAnsiTheme="minorBidi" w:cs="Arial" w:hint="cs"/>
          <w:rtl/>
        </w:rPr>
        <w:t>חלול</w:t>
      </w:r>
      <w:r w:rsidRPr="00F936FC">
        <w:rPr>
          <w:rFonts w:asciiTheme="minorBidi" w:hAnsiTheme="minorBidi" w:cs="Arial"/>
          <w:rtl/>
        </w:rPr>
        <w:t xml:space="preserve"> </w:t>
      </w:r>
      <w:r w:rsidRPr="00F936FC">
        <w:rPr>
          <w:rFonts w:asciiTheme="minorBidi" w:hAnsiTheme="minorBidi" w:cs="Arial" w:hint="cs"/>
          <w:rtl/>
        </w:rPr>
        <w:t>ויושבים</w:t>
      </w:r>
      <w:r w:rsidRPr="00F936FC">
        <w:rPr>
          <w:rFonts w:asciiTheme="minorBidi" w:hAnsiTheme="minorBidi" w:cs="Arial"/>
          <w:rtl/>
        </w:rPr>
        <w:t xml:space="preserve"> </w:t>
      </w:r>
      <w:r w:rsidRPr="00F936FC">
        <w:rPr>
          <w:rFonts w:asciiTheme="minorBidi" w:hAnsiTheme="minorBidi" w:cs="Arial" w:hint="cs"/>
          <w:rtl/>
        </w:rPr>
        <w:t>עליהם</w:t>
      </w:r>
      <w:r w:rsidRPr="00F936FC">
        <w:rPr>
          <w:rFonts w:asciiTheme="minorBidi" w:hAnsiTheme="minorBidi" w:cs="Arial"/>
          <w:rtl/>
        </w:rPr>
        <w:t xml:space="preserve"> </w:t>
      </w:r>
      <w:r w:rsidRPr="00F936FC">
        <w:rPr>
          <w:rFonts w:asciiTheme="minorBidi" w:hAnsiTheme="minorBidi" w:cs="Arial" w:hint="cs"/>
          <w:rtl/>
        </w:rPr>
        <w:t>בשדות</w:t>
      </w:r>
      <w:r w:rsidRPr="00F936FC">
        <w:rPr>
          <w:rFonts w:asciiTheme="minorBidi" w:hAnsiTheme="minorBidi" w:cs="Arial"/>
          <w:rtl/>
        </w:rPr>
        <w:t xml:space="preserve"> </w:t>
      </w:r>
      <w:r w:rsidRPr="00F936FC">
        <w:rPr>
          <w:rFonts w:asciiTheme="minorBidi" w:hAnsiTheme="minorBidi" w:cs="Arial" w:hint="cs"/>
          <w:rtl/>
        </w:rPr>
        <w:t>במקום</w:t>
      </w:r>
      <w:r w:rsidRPr="00F936FC">
        <w:rPr>
          <w:rFonts w:asciiTheme="minorBidi" w:hAnsiTheme="minorBidi" w:cs="Arial"/>
          <w:rtl/>
        </w:rPr>
        <w:t xml:space="preserve"> </w:t>
      </w:r>
      <w:r w:rsidRPr="00F936FC">
        <w:rPr>
          <w:rFonts w:asciiTheme="minorBidi" w:hAnsiTheme="minorBidi" w:cs="Arial" w:hint="cs"/>
          <w:rtl/>
        </w:rPr>
        <w:t>המיוחד</w:t>
      </w:r>
      <w:r w:rsidRPr="00F936FC">
        <w:rPr>
          <w:rFonts w:asciiTheme="minorBidi" w:hAnsiTheme="minorBidi" w:cs="Arial"/>
          <w:rtl/>
        </w:rPr>
        <w:t xml:space="preserve"> </w:t>
      </w:r>
      <w:r w:rsidRPr="00F936FC">
        <w:rPr>
          <w:rFonts w:asciiTheme="minorBidi" w:hAnsiTheme="minorBidi" w:cs="Arial" w:hint="cs"/>
          <w:rtl/>
        </w:rPr>
        <w:t>לבית</w:t>
      </w:r>
      <w:r w:rsidRPr="00F936FC">
        <w:rPr>
          <w:rFonts w:asciiTheme="minorBidi" w:hAnsiTheme="minorBidi" w:cs="Arial"/>
          <w:rtl/>
        </w:rPr>
        <w:t xml:space="preserve"> </w:t>
      </w:r>
      <w:r w:rsidRPr="00F936FC">
        <w:rPr>
          <w:rFonts w:asciiTheme="minorBidi" w:hAnsiTheme="minorBidi" w:cs="Arial" w:hint="cs"/>
          <w:rtl/>
        </w:rPr>
        <w:t>הכסא</w:t>
      </w:r>
      <w:r w:rsidR="001252AA">
        <w:rPr>
          <w:rStyle w:val="a9"/>
          <w:rFonts w:asciiTheme="minorBidi" w:hAnsiTheme="minorBidi" w:cs="Arial"/>
          <w:rtl/>
        </w:rPr>
        <w:footnoteReference w:id="2036"/>
      </w:r>
      <w:r w:rsidRPr="00F936FC">
        <w:rPr>
          <w:rFonts w:asciiTheme="minorBidi" w:hAnsiTheme="minorBidi" w:cs="Arial"/>
          <w:rtl/>
        </w:rPr>
        <w:t xml:space="preserve">, </w:t>
      </w:r>
      <w:r w:rsidRPr="00F936FC">
        <w:rPr>
          <w:rFonts w:asciiTheme="minorBidi" w:hAnsiTheme="minorBidi" w:cs="Arial" w:hint="cs"/>
          <w:rtl/>
        </w:rPr>
        <w:t>מותר</w:t>
      </w:r>
      <w:r w:rsidRPr="00F936FC">
        <w:rPr>
          <w:rFonts w:asciiTheme="minorBidi" w:hAnsiTheme="minorBidi" w:cs="Arial"/>
          <w:rtl/>
        </w:rPr>
        <w:t xml:space="preserve"> </w:t>
      </w:r>
      <w:r w:rsidRPr="00F936FC">
        <w:rPr>
          <w:rFonts w:asciiTheme="minorBidi" w:hAnsiTheme="minorBidi" w:cs="Arial" w:hint="cs"/>
          <w:rtl/>
        </w:rPr>
        <w:t>לצדדן</w:t>
      </w:r>
      <w:r w:rsidR="001252AA">
        <w:rPr>
          <w:rStyle w:val="a9"/>
          <w:rFonts w:asciiTheme="minorBidi" w:hAnsiTheme="minorBidi" w:cs="Arial"/>
          <w:rtl/>
        </w:rPr>
        <w:footnoteReference w:id="2037"/>
      </w:r>
      <w:r w:rsidR="00E324D8">
        <w:rPr>
          <w:rFonts w:asciiTheme="minorBidi" w:hAnsiTheme="minorBidi" w:cs="Arial" w:hint="cs"/>
          <w:rtl/>
        </w:rPr>
        <w:t>.</w:t>
      </w:r>
      <w:r w:rsidRPr="00F936FC">
        <w:rPr>
          <w:rFonts w:asciiTheme="minorBidi" w:hAnsiTheme="minorBidi" w:cs="Arial"/>
          <w:rtl/>
        </w:rPr>
        <w:t xml:space="preserve"> </w:t>
      </w:r>
      <w:r w:rsidRPr="00F936FC">
        <w:rPr>
          <w:rFonts w:asciiTheme="minorBidi" w:hAnsiTheme="minorBidi" w:cs="Arial" w:hint="cs"/>
          <w:rtl/>
        </w:rPr>
        <w:t>ואף</w:t>
      </w:r>
      <w:r w:rsidRPr="00F936FC">
        <w:rPr>
          <w:rFonts w:asciiTheme="minorBidi" w:hAnsiTheme="minorBidi" w:cs="Arial"/>
          <w:rtl/>
        </w:rPr>
        <w:t xml:space="preserve"> </w:t>
      </w:r>
      <w:r w:rsidRPr="00F936FC">
        <w:rPr>
          <w:rFonts w:asciiTheme="minorBidi" w:hAnsiTheme="minorBidi" w:cs="Arial" w:hint="cs"/>
          <w:rtl/>
        </w:rPr>
        <w:t>על</w:t>
      </w:r>
      <w:r w:rsidRPr="00F936FC">
        <w:rPr>
          <w:rFonts w:asciiTheme="minorBidi" w:hAnsiTheme="minorBidi" w:cs="Arial"/>
          <w:rtl/>
        </w:rPr>
        <w:t xml:space="preserve"> </w:t>
      </w:r>
      <w:r w:rsidRPr="00F936FC">
        <w:rPr>
          <w:rFonts w:asciiTheme="minorBidi" w:hAnsiTheme="minorBidi" w:cs="Arial" w:hint="cs"/>
          <w:rtl/>
        </w:rPr>
        <w:t>גב</w:t>
      </w:r>
      <w:r w:rsidRPr="00F936FC">
        <w:rPr>
          <w:rFonts w:asciiTheme="minorBidi" w:hAnsiTheme="minorBidi" w:cs="Arial"/>
          <w:rtl/>
        </w:rPr>
        <w:t xml:space="preserve"> </w:t>
      </w:r>
      <w:r w:rsidRPr="00F936FC">
        <w:rPr>
          <w:rFonts w:asciiTheme="minorBidi" w:hAnsiTheme="minorBidi" w:cs="Arial" w:hint="cs"/>
          <w:rtl/>
        </w:rPr>
        <w:t>דבנין</w:t>
      </w:r>
      <w:r w:rsidRPr="00F936FC">
        <w:rPr>
          <w:rFonts w:asciiTheme="minorBidi" w:hAnsiTheme="minorBidi" w:cs="Arial"/>
          <w:rtl/>
        </w:rPr>
        <w:t xml:space="preserve"> </w:t>
      </w:r>
      <w:r w:rsidRPr="00F936FC">
        <w:rPr>
          <w:rFonts w:asciiTheme="minorBidi" w:hAnsiTheme="minorBidi" w:cs="Arial" w:hint="cs"/>
          <w:rtl/>
        </w:rPr>
        <w:t>עראי</w:t>
      </w:r>
      <w:r w:rsidRPr="00F936FC">
        <w:rPr>
          <w:rFonts w:asciiTheme="minorBidi" w:hAnsiTheme="minorBidi" w:cs="Arial"/>
          <w:rtl/>
        </w:rPr>
        <w:t xml:space="preserve"> </w:t>
      </w:r>
      <w:r w:rsidRPr="00F936FC">
        <w:rPr>
          <w:rFonts w:asciiTheme="minorBidi" w:hAnsiTheme="minorBidi" w:cs="Arial" w:hint="cs"/>
          <w:rtl/>
        </w:rPr>
        <w:t>הוא</w:t>
      </w:r>
      <w:r w:rsidRPr="00F936FC">
        <w:rPr>
          <w:rFonts w:asciiTheme="minorBidi" w:hAnsiTheme="minorBidi" w:cs="Arial"/>
          <w:rtl/>
        </w:rPr>
        <w:t xml:space="preserve"> </w:t>
      </w:r>
      <w:r w:rsidRPr="00F936FC">
        <w:rPr>
          <w:rFonts w:asciiTheme="minorBidi" w:hAnsiTheme="minorBidi" w:cs="Arial" w:hint="cs"/>
          <w:rtl/>
        </w:rPr>
        <w:t>לא</w:t>
      </w:r>
      <w:r w:rsidRPr="00F936FC">
        <w:rPr>
          <w:rFonts w:asciiTheme="minorBidi" w:hAnsiTheme="minorBidi" w:cs="Arial"/>
          <w:rtl/>
        </w:rPr>
        <w:t xml:space="preserve"> </w:t>
      </w:r>
      <w:r w:rsidRPr="00F936FC">
        <w:rPr>
          <w:rFonts w:asciiTheme="minorBidi" w:hAnsiTheme="minorBidi" w:cs="Arial" w:hint="cs"/>
          <w:rtl/>
        </w:rPr>
        <w:t>גזרו</w:t>
      </w:r>
      <w:r w:rsidRPr="00F936FC">
        <w:rPr>
          <w:rFonts w:asciiTheme="minorBidi" w:hAnsiTheme="minorBidi" w:cs="Arial"/>
          <w:rtl/>
        </w:rPr>
        <w:t xml:space="preserve"> </w:t>
      </w:r>
      <w:r w:rsidRPr="00F936FC">
        <w:rPr>
          <w:rFonts w:asciiTheme="minorBidi" w:hAnsiTheme="minorBidi" w:cs="Arial" w:hint="cs"/>
          <w:rtl/>
        </w:rPr>
        <w:t>ביה</w:t>
      </w:r>
      <w:r w:rsidRPr="00F936FC">
        <w:rPr>
          <w:rFonts w:asciiTheme="minorBidi" w:hAnsiTheme="minorBidi" w:cs="Arial"/>
          <w:rtl/>
        </w:rPr>
        <w:t xml:space="preserve"> </w:t>
      </w:r>
      <w:r w:rsidRPr="00F936FC">
        <w:rPr>
          <w:rFonts w:asciiTheme="minorBidi" w:hAnsiTheme="minorBidi" w:cs="Arial" w:hint="cs"/>
          <w:rtl/>
        </w:rPr>
        <w:t>רבנן</w:t>
      </w:r>
      <w:r w:rsidRPr="00F936FC">
        <w:rPr>
          <w:rFonts w:asciiTheme="minorBidi" w:hAnsiTheme="minorBidi" w:cs="Arial"/>
          <w:rtl/>
        </w:rPr>
        <w:t xml:space="preserve">, </w:t>
      </w:r>
      <w:r w:rsidRPr="00F936FC">
        <w:rPr>
          <w:rFonts w:asciiTheme="minorBidi" w:hAnsiTheme="minorBidi" w:cs="Arial" w:hint="cs"/>
          <w:rtl/>
        </w:rPr>
        <w:t>משום</w:t>
      </w:r>
      <w:r w:rsidRPr="00F936FC">
        <w:rPr>
          <w:rFonts w:asciiTheme="minorBidi" w:hAnsiTheme="minorBidi" w:cs="Arial"/>
          <w:rtl/>
        </w:rPr>
        <w:t xml:space="preserve"> </w:t>
      </w:r>
      <w:r w:rsidRPr="00F936FC">
        <w:rPr>
          <w:rFonts w:asciiTheme="minorBidi" w:hAnsiTheme="minorBidi" w:cs="Arial" w:hint="cs"/>
          <w:rtl/>
        </w:rPr>
        <w:t>כבוד</w:t>
      </w:r>
      <w:r w:rsidRPr="00F936FC">
        <w:rPr>
          <w:rFonts w:asciiTheme="minorBidi" w:hAnsiTheme="minorBidi" w:cs="Arial"/>
          <w:rtl/>
        </w:rPr>
        <w:t xml:space="preserve"> </w:t>
      </w:r>
      <w:r w:rsidRPr="00F936FC">
        <w:rPr>
          <w:rFonts w:asciiTheme="minorBidi" w:hAnsiTheme="minorBidi" w:cs="Arial" w:hint="cs"/>
          <w:rtl/>
        </w:rPr>
        <w:t>הבריות</w:t>
      </w:r>
      <w:r w:rsidRPr="00F936FC">
        <w:rPr>
          <w:rFonts w:asciiTheme="minorBidi" w:hAnsiTheme="minorBidi" w:cs="Arial"/>
          <w:rtl/>
        </w:rPr>
        <w:t>.</w:t>
      </w:r>
    </w:p>
    <w:p w14:paraId="4FC533C9" w14:textId="77777777" w:rsidR="000C6229" w:rsidRPr="005275DF" w:rsidRDefault="000C6229" w:rsidP="00434A6A">
      <w:pPr>
        <w:rPr>
          <w:rFonts w:asciiTheme="minorBidi" w:hAnsiTheme="minorBidi"/>
          <w:rtl/>
        </w:rPr>
      </w:pPr>
    </w:p>
    <w:p w14:paraId="5B6079DD" w14:textId="77777777" w:rsidR="000C6229" w:rsidRPr="005275DF" w:rsidRDefault="000C6229" w:rsidP="00434A6A">
      <w:pPr>
        <w:rPr>
          <w:rFonts w:asciiTheme="minorBidi" w:hAnsiTheme="minorBidi"/>
          <w:rtl/>
        </w:rPr>
      </w:pPr>
    </w:p>
    <w:p w14:paraId="1F2FF6F1" w14:textId="77777777" w:rsidR="000C6229" w:rsidRPr="005275DF" w:rsidRDefault="000C6229" w:rsidP="00434A6A">
      <w:pPr>
        <w:rPr>
          <w:rFonts w:asciiTheme="minorBidi" w:hAnsiTheme="minorBidi"/>
          <w:rtl/>
        </w:rPr>
      </w:pPr>
    </w:p>
    <w:p w14:paraId="0E21455C" w14:textId="77777777" w:rsidR="000C6229" w:rsidRPr="005275DF" w:rsidRDefault="000C6229" w:rsidP="00434A6A">
      <w:pPr>
        <w:rPr>
          <w:rFonts w:asciiTheme="minorBidi" w:hAnsiTheme="minorBidi"/>
          <w:rtl/>
        </w:rPr>
      </w:pPr>
    </w:p>
    <w:p w14:paraId="4FDE086A" w14:textId="77777777" w:rsidR="001F2F31" w:rsidRDefault="001F2F31" w:rsidP="00434A6A">
      <w:pPr>
        <w:pStyle w:val="1"/>
        <w:rPr>
          <w:rFonts w:asciiTheme="minorBidi" w:hAnsiTheme="minorBidi"/>
          <w:rtl/>
        </w:rPr>
        <w:sectPr w:rsidR="001F2F31" w:rsidSect="00BD29B1">
          <w:headerReference w:type="default" r:id="rId83"/>
          <w:footnotePr>
            <w:numRestart w:val="eachSect"/>
          </w:footnotePr>
          <w:pgSz w:w="11906" w:h="16838"/>
          <w:pgMar w:top="720" w:right="1134" w:bottom="720" w:left="1134" w:header="0" w:footer="0" w:gutter="0"/>
          <w:cols w:space="720"/>
          <w:bidi/>
          <w:rtlGutter/>
          <w:docGrid w:linePitch="360"/>
        </w:sectPr>
      </w:pPr>
    </w:p>
    <w:p w14:paraId="2D6E8AAD" w14:textId="5F4AB3BB" w:rsidR="008C1C8E" w:rsidRPr="005275DF" w:rsidRDefault="008C1C8E" w:rsidP="00434A6A">
      <w:pPr>
        <w:pStyle w:val="1"/>
        <w:rPr>
          <w:rFonts w:asciiTheme="minorBidi" w:hAnsiTheme="minorBidi"/>
          <w:rtl/>
        </w:rPr>
      </w:pPr>
      <w:r w:rsidRPr="005275DF">
        <w:rPr>
          <w:rFonts w:asciiTheme="minorBidi" w:hAnsiTheme="minorBidi"/>
          <w:rtl/>
        </w:rPr>
        <w:t xml:space="preserve">סימן שיג: טלטול דלת וחלון והמנעול בשבת, ובו י' סעיפים. </w:t>
      </w:r>
    </w:p>
    <w:p w14:paraId="04CAE7CB" w14:textId="1DF6BCD9" w:rsidR="008C1C8E" w:rsidRDefault="008C1C8E" w:rsidP="00434A6A">
      <w:pPr>
        <w:pStyle w:val="2"/>
        <w:rPr>
          <w:rFonts w:asciiTheme="minorBidi" w:hAnsiTheme="minorBidi" w:cstheme="minorBidi"/>
          <w:rtl/>
        </w:rPr>
      </w:pPr>
      <w:r w:rsidRPr="005275DF">
        <w:rPr>
          <w:rFonts w:asciiTheme="minorBidi" w:hAnsiTheme="minorBidi" w:cstheme="minorBidi"/>
          <w:rtl/>
        </w:rPr>
        <w:t>סעיף א</w:t>
      </w:r>
      <w:r w:rsidR="00AA3161">
        <w:rPr>
          <w:rFonts w:asciiTheme="minorBidi" w:hAnsiTheme="minorBidi" w:cstheme="minorBidi" w:hint="cs"/>
          <w:rtl/>
        </w:rPr>
        <w:t xml:space="preserve">: </w:t>
      </w:r>
      <w:r w:rsidR="007674A4">
        <w:rPr>
          <w:rFonts w:asciiTheme="minorBidi" w:hAnsiTheme="minorBidi" w:cstheme="minorBidi" w:hint="cs"/>
          <w:rtl/>
        </w:rPr>
        <w:t>טלטול פקק החלון, וקנה/יתד של דלת.</w:t>
      </w:r>
    </w:p>
    <w:p w14:paraId="067098F8" w14:textId="554106D7" w:rsidR="0097294C" w:rsidRDefault="00AA3161" w:rsidP="00434A6A">
      <w:pPr>
        <w:rPr>
          <w:rFonts w:cs="Arial"/>
          <w:rtl/>
        </w:rPr>
      </w:pPr>
      <w:r w:rsidRPr="00E24BC4">
        <w:rPr>
          <w:rFonts w:cs="Arial" w:hint="cs"/>
          <w:b/>
          <w:bCs/>
          <w:rtl/>
        </w:rPr>
        <w:t xml:space="preserve">שבת </w:t>
      </w:r>
      <w:r w:rsidRPr="00E24BC4">
        <w:rPr>
          <w:rFonts w:cs="Arial" w:hint="cs"/>
          <w:b/>
          <w:bCs/>
          <w:sz w:val="16"/>
          <w:szCs w:val="16"/>
          <w:rtl/>
        </w:rPr>
        <w:t>(פ</w:t>
      </w:r>
      <w:r>
        <w:rPr>
          <w:rFonts w:cs="Arial" w:hint="cs"/>
          <w:b/>
          <w:bCs/>
          <w:sz w:val="16"/>
          <w:szCs w:val="16"/>
          <w:rtl/>
        </w:rPr>
        <w:t>'</w:t>
      </w:r>
      <w:r w:rsidRPr="00E24BC4">
        <w:rPr>
          <w:rFonts w:cs="Arial"/>
          <w:b/>
          <w:bCs/>
          <w:sz w:val="16"/>
          <w:szCs w:val="16"/>
          <w:rtl/>
        </w:rPr>
        <w:t xml:space="preserve"> </w:t>
      </w:r>
      <w:r>
        <w:rPr>
          <w:rFonts w:cs="Arial" w:hint="cs"/>
          <w:b/>
          <w:bCs/>
          <w:sz w:val="16"/>
          <w:szCs w:val="16"/>
          <w:rtl/>
        </w:rPr>
        <w:t>כל הכלים</w:t>
      </w:r>
      <w:r w:rsidRPr="00E24BC4">
        <w:rPr>
          <w:rFonts w:cs="Arial" w:hint="cs"/>
          <w:b/>
          <w:bCs/>
          <w:sz w:val="16"/>
          <w:szCs w:val="16"/>
          <w:rtl/>
        </w:rPr>
        <w:t>)</w:t>
      </w:r>
      <w:r w:rsidRPr="00E24BC4">
        <w:rPr>
          <w:rFonts w:cs="Arial"/>
          <w:b/>
          <w:bCs/>
          <w:rtl/>
        </w:rPr>
        <w:t xml:space="preserve"> </w:t>
      </w:r>
      <w:r>
        <w:rPr>
          <w:rFonts w:cs="Arial" w:hint="cs"/>
          <w:b/>
          <w:bCs/>
          <w:rtl/>
        </w:rPr>
        <w:t>קכה</w:t>
      </w:r>
      <w:r w:rsidRPr="00E24BC4">
        <w:rPr>
          <w:rFonts w:cs="Arial" w:hint="cs"/>
          <w:b/>
          <w:bCs/>
          <w:rtl/>
        </w:rPr>
        <w:t xml:space="preserve"> ע"</w:t>
      </w:r>
      <w:r>
        <w:rPr>
          <w:rFonts w:cs="Arial" w:hint="cs"/>
          <w:b/>
          <w:bCs/>
          <w:rtl/>
        </w:rPr>
        <w:t>ב</w:t>
      </w:r>
      <w:r w:rsidRPr="00E24BC4">
        <w:rPr>
          <w:rFonts w:cs="Arial" w:hint="cs"/>
          <w:b/>
          <w:bCs/>
          <w:rtl/>
        </w:rPr>
        <w:t>:</w:t>
      </w:r>
      <w:r w:rsidRPr="00AA3161">
        <w:rPr>
          <w:rtl/>
        </w:rPr>
        <w:t xml:space="preserve"> </w:t>
      </w:r>
      <w:r w:rsidRPr="00AA3161">
        <w:rPr>
          <w:rFonts w:cs="Arial" w:hint="cs"/>
          <w:u w:val="double"/>
          <w:rtl/>
        </w:rPr>
        <w:t>מ</w:t>
      </w:r>
      <w:r w:rsidR="001C3A69">
        <w:rPr>
          <w:rFonts w:cs="Arial" w:hint="cs"/>
          <w:u w:val="double"/>
          <w:rtl/>
        </w:rPr>
        <w:t>שנה</w:t>
      </w:r>
      <w:r>
        <w:rPr>
          <w:rFonts w:cs="Arial" w:hint="cs"/>
          <w:rtl/>
        </w:rPr>
        <w:t xml:space="preserve">:... </w:t>
      </w:r>
      <w:r w:rsidRPr="00AA3161">
        <w:rPr>
          <w:rFonts w:cs="Arial"/>
          <w:rtl/>
        </w:rPr>
        <w:t xml:space="preserve">פקק החלון, </w:t>
      </w:r>
      <w:r w:rsidRPr="00AA3161">
        <w:rPr>
          <w:rFonts w:cs="Arial"/>
          <w:u w:val="single"/>
          <w:rtl/>
        </w:rPr>
        <w:t>רבי אליעזר אומר</w:t>
      </w:r>
      <w:r w:rsidRPr="00AA3161">
        <w:rPr>
          <w:rFonts w:cs="Arial"/>
          <w:rtl/>
        </w:rPr>
        <w:t>: בזמן שהוא קשור ותלוי</w:t>
      </w:r>
      <w:r w:rsidR="00D85097">
        <w:rPr>
          <w:rStyle w:val="a9"/>
          <w:rFonts w:cs="Arial"/>
          <w:rtl/>
        </w:rPr>
        <w:footnoteReference w:id="2038"/>
      </w:r>
      <w:r w:rsidRPr="00AA3161">
        <w:rPr>
          <w:rFonts w:cs="Arial"/>
          <w:rtl/>
        </w:rPr>
        <w:t xml:space="preserve"> - פוקקין בו, ואם לאו - אין פוקקין בו</w:t>
      </w:r>
      <w:r w:rsidR="00D85097">
        <w:rPr>
          <w:rStyle w:val="a9"/>
          <w:rFonts w:cs="Arial"/>
          <w:rtl/>
        </w:rPr>
        <w:footnoteReference w:id="2039"/>
      </w:r>
      <w:r w:rsidRPr="00AA3161">
        <w:rPr>
          <w:rFonts w:cs="Arial"/>
          <w:rtl/>
        </w:rPr>
        <w:t xml:space="preserve">. </w:t>
      </w:r>
      <w:r w:rsidRPr="00AA3161">
        <w:rPr>
          <w:rFonts w:cs="Arial"/>
          <w:u w:val="single"/>
          <w:rtl/>
        </w:rPr>
        <w:t>וחכמים אומרים</w:t>
      </w:r>
      <w:r w:rsidRPr="00AA3161">
        <w:rPr>
          <w:rFonts w:cs="Arial"/>
          <w:rtl/>
        </w:rPr>
        <w:t xml:space="preserve">: בין כך ובין כך פוקקין בו. </w:t>
      </w:r>
      <w:r w:rsidR="00DE3290">
        <w:rPr>
          <w:rFonts w:cs="Arial" w:hint="cs"/>
          <w:rtl/>
        </w:rPr>
        <w:t xml:space="preserve">         </w:t>
      </w:r>
      <w:r w:rsidR="00DE3290" w:rsidRPr="00DE3290">
        <w:rPr>
          <w:rFonts w:cs="Arial" w:hint="cs"/>
          <w:u w:val="double"/>
          <w:rtl/>
        </w:rPr>
        <w:t>גמ</w:t>
      </w:r>
      <w:r w:rsidR="001C3A69">
        <w:rPr>
          <w:rFonts w:cs="Arial" w:hint="cs"/>
          <w:u w:val="double"/>
          <w:rtl/>
        </w:rPr>
        <w:t>רא</w:t>
      </w:r>
      <w:r w:rsidR="00DE3290" w:rsidRPr="00DE3290">
        <w:rPr>
          <w:rFonts w:cs="Arial" w:hint="cs"/>
          <w:u w:val="double"/>
          <w:rtl/>
        </w:rPr>
        <w:t>:</w:t>
      </w:r>
      <w:r w:rsidR="000463CF" w:rsidRPr="000463CF">
        <w:rPr>
          <w:rtl/>
        </w:rPr>
        <w:t xml:space="preserve"> </w:t>
      </w:r>
      <w:r w:rsidR="000463CF" w:rsidRPr="000463CF">
        <w:rPr>
          <w:rFonts w:cs="Arial"/>
          <w:rtl/>
        </w:rPr>
        <w:t xml:space="preserve">וחכמים אומרים בין כך ובין כך פוקקין בו. מאי בין כך ובין כך? </w:t>
      </w:r>
      <w:r w:rsidR="000463CF" w:rsidRPr="00D85097">
        <w:rPr>
          <w:rFonts w:cs="Arial"/>
          <w:u w:val="single"/>
          <w:rtl/>
        </w:rPr>
        <w:t>אמר רבי אבא אמר רב כהנא</w:t>
      </w:r>
      <w:r w:rsidR="000463CF" w:rsidRPr="000463CF">
        <w:rPr>
          <w:rFonts w:cs="Arial"/>
          <w:rtl/>
        </w:rPr>
        <w:t>:</w:t>
      </w:r>
      <w:r w:rsidR="00D85097">
        <w:rPr>
          <w:rFonts w:hint="cs"/>
          <w:sz w:val="14"/>
          <w:szCs w:val="14"/>
          <w:rtl/>
        </w:rPr>
        <w:t xml:space="preserve"> (קכו.)</w:t>
      </w:r>
      <w:r w:rsidR="000463CF" w:rsidRPr="000463CF">
        <w:rPr>
          <w:rtl/>
        </w:rPr>
        <w:t xml:space="preserve"> </w:t>
      </w:r>
      <w:r w:rsidR="000463CF" w:rsidRPr="000463CF">
        <w:rPr>
          <w:rFonts w:cs="Arial"/>
          <w:rtl/>
        </w:rPr>
        <w:t>בין קשור בין שאינו קשור</w:t>
      </w:r>
      <w:r w:rsidR="004774C3">
        <w:rPr>
          <w:rStyle w:val="a9"/>
          <w:rFonts w:cs="Arial"/>
          <w:rtl/>
        </w:rPr>
        <w:footnoteReference w:id="2040"/>
      </w:r>
      <w:r w:rsidR="000463CF" w:rsidRPr="000463CF">
        <w:rPr>
          <w:rFonts w:cs="Arial"/>
          <w:rtl/>
        </w:rPr>
        <w:t>, והוא שמתוקן</w:t>
      </w:r>
      <w:r w:rsidR="004774C3">
        <w:rPr>
          <w:rStyle w:val="a9"/>
          <w:rFonts w:cs="Arial"/>
          <w:rtl/>
        </w:rPr>
        <w:footnoteReference w:id="2041"/>
      </w:r>
      <w:r w:rsidR="000463CF" w:rsidRPr="000463CF">
        <w:rPr>
          <w:rFonts w:cs="Arial"/>
          <w:rtl/>
        </w:rPr>
        <w:t xml:space="preserve">. </w:t>
      </w:r>
      <w:r w:rsidR="000463CF" w:rsidRPr="00D85097">
        <w:rPr>
          <w:rFonts w:cs="Arial"/>
          <w:u w:val="single"/>
          <w:rtl/>
        </w:rPr>
        <w:t>אמר ליה רבי ירמיה</w:t>
      </w:r>
      <w:r w:rsidR="004774C3">
        <w:rPr>
          <w:rStyle w:val="a9"/>
          <w:rFonts w:cs="Arial"/>
          <w:rtl/>
        </w:rPr>
        <w:footnoteReference w:id="2042"/>
      </w:r>
      <w:r w:rsidR="000463CF" w:rsidRPr="000463CF">
        <w:rPr>
          <w:rFonts w:cs="Arial"/>
          <w:rtl/>
        </w:rPr>
        <w:t>: ולימא מר</w:t>
      </w:r>
      <w:r w:rsidR="004774C3">
        <w:rPr>
          <w:rStyle w:val="a9"/>
          <w:rFonts w:cs="Arial"/>
          <w:rtl/>
        </w:rPr>
        <w:footnoteReference w:id="2043"/>
      </w:r>
      <w:r w:rsidR="000463CF" w:rsidRPr="000463CF">
        <w:rPr>
          <w:rFonts w:cs="Arial"/>
          <w:rtl/>
        </w:rPr>
        <w:t xml:space="preserve"> בין תלוי ובין שאינו תלוי והוא שקשור - דאמר רבה בר בר חנה אמר רבי יוחנן</w:t>
      </w:r>
      <w:r w:rsidR="004774C3">
        <w:rPr>
          <w:rStyle w:val="a9"/>
          <w:rFonts w:cs="Arial"/>
          <w:rtl/>
        </w:rPr>
        <w:footnoteReference w:id="2044"/>
      </w:r>
      <w:r w:rsidR="000463CF" w:rsidRPr="000463CF">
        <w:rPr>
          <w:rFonts w:cs="Arial"/>
          <w:rtl/>
        </w:rPr>
        <w:t>: כמחלוקת כאן כך מחלוקת בנגר הנגרר. דתנן: נגר</w:t>
      </w:r>
      <w:r w:rsidR="004774C3">
        <w:rPr>
          <w:rStyle w:val="a9"/>
          <w:rFonts w:cs="Arial"/>
          <w:rtl/>
        </w:rPr>
        <w:footnoteReference w:id="2045"/>
      </w:r>
      <w:r w:rsidR="000463CF" w:rsidRPr="000463CF">
        <w:rPr>
          <w:rFonts w:cs="Arial"/>
          <w:rtl/>
        </w:rPr>
        <w:t xml:space="preserve"> הנגרר</w:t>
      </w:r>
      <w:r w:rsidR="004774C3">
        <w:rPr>
          <w:rStyle w:val="a9"/>
          <w:rFonts w:cs="Arial"/>
          <w:rtl/>
        </w:rPr>
        <w:footnoteReference w:id="2046"/>
      </w:r>
      <w:r w:rsidR="000463CF" w:rsidRPr="000463CF">
        <w:rPr>
          <w:rFonts w:cs="Arial"/>
          <w:rtl/>
        </w:rPr>
        <w:t xml:space="preserve"> - נועלין בו במקדש</w:t>
      </w:r>
      <w:r w:rsidR="004774C3">
        <w:rPr>
          <w:rStyle w:val="a9"/>
          <w:rFonts w:cs="Arial"/>
          <w:rtl/>
        </w:rPr>
        <w:footnoteReference w:id="2047"/>
      </w:r>
      <w:r w:rsidR="000463CF" w:rsidRPr="000463CF">
        <w:rPr>
          <w:rFonts w:cs="Arial"/>
          <w:rtl/>
        </w:rPr>
        <w:t xml:space="preserve"> אבל לא במדינה, והמונח</w:t>
      </w:r>
      <w:r w:rsidR="004774C3">
        <w:rPr>
          <w:rStyle w:val="a9"/>
          <w:rFonts w:cs="Arial"/>
          <w:rtl/>
        </w:rPr>
        <w:footnoteReference w:id="2048"/>
      </w:r>
      <w:r w:rsidR="000463CF" w:rsidRPr="000463CF">
        <w:rPr>
          <w:rFonts w:cs="Arial"/>
          <w:rtl/>
        </w:rPr>
        <w:t xml:space="preserve"> - כאן וכאן אסור. רבי יהודה אומר: המונח - במקדש</w:t>
      </w:r>
      <w:r w:rsidR="004774C3">
        <w:rPr>
          <w:rStyle w:val="a9"/>
          <w:rFonts w:cs="Arial"/>
          <w:rtl/>
        </w:rPr>
        <w:footnoteReference w:id="2049"/>
      </w:r>
      <w:r w:rsidR="004774C3">
        <w:rPr>
          <w:rFonts w:cs="Arial" w:hint="cs"/>
          <w:rtl/>
        </w:rPr>
        <w:t>,</w:t>
      </w:r>
      <w:r w:rsidR="000463CF" w:rsidRPr="000463CF">
        <w:rPr>
          <w:rFonts w:cs="Arial"/>
          <w:rtl/>
        </w:rPr>
        <w:t xml:space="preserve"> והנגרר - במדינה. ותניא: איזהו נגר הנגרר שנועלין בו במקדש אבל לא במדינה - כל שקשור ותלוי</w:t>
      </w:r>
      <w:r w:rsidR="004774C3">
        <w:rPr>
          <w:rStyle w:val="a9"/>
          <w:rFonts w:cs="Arial"/>
          <w:rtl/>
        </w:rPr>
        <w:footnoteReference w:id="2050"/>
      </w:r>
      <w:r w:rsidR="000463CF" w:rsidRPr="000463CF">
        <w:rPr>
          <w:rFonts w:cs="Arial"/>
          <w:rtl/>
        </w:rPr>
        <w:t xml:space="preserve"> וראשו מגיע לארץ. רבי יהודה אומר: זה - אף במדינה מותר, אלא איזהו שבמדינה אסור - כל שאינו לא קשור ולא תלוי, ושומטו ומניחו בקרן זוית. ואמר רבי יהושע בר אבא משמיה דעולא: מאן תנא נגר הנגרר</w:t>
      </w:r>
      <w:r w:rsidR="00F25A6B">
        <w:rPr>
          <w:rStyle w:val="a9"/>
          <w:rFonts w:cs="Arial"/>
          <w:rtl/>
        </w:rPr>
        <w:footnoteReference w:id="2051"/>
      </w:r>
      <w:r w:rsidR="000463CF" w:rsidRPr="000463CF">
        <w:rPr>
          <w:rFonts w:cs="Arial"/>
          <w:rtl/>
        </w:rPr>
        <w:t xml:space="preserve"> - רבי אליעזר היא</w:t>
      </w:r>
      <w:r w:rsidR="00F25A6B">
        <w:rPr>
          <w:rStyle w:val="a9"/>
          <w:rFonts w:cs="Arial"/>
          <w:rtl/>
        </w:rPr>
        <w:footnoteReference w:id="2052"/>
      </w:r>
      <w:r w:rsidR="000463CF" w:rsidRPr="000463CF">
        <w:rPr>
          <w:rFonts w:cs="Arial"/>
          <w:rtl/>
        </w:rPr>
        <w:t xml:space="preserve">! </w:t>
      </w:r>
      <w:r w:rsidR="000463CF" w:rsidRPr="00F25A6B">
        <w:rPr>
          <w:rFonts w:cs="Arial"/>
          <w:u w:val="single"/>
          <w:rtl/>
        </w:rPr>
        <w:t>אמר ליה</w:t>
      </w:r>
      <w:r w:rsidR="000463CF" w:rsidRPr="000463CF">
        <w:rPr>
          <w:rFonts w:cs="Arial"/>
          <w:rtl/>
        </w:rPr>
        <w:t>: אנא דאמרי - כי האי תנא</w:t>
      </w:r>
      <w:r w:rsidR="00F25A6B">
        <w:rPr>
          <w:rStyle w:val="a9"/>
          <w:rFonts w:cs="Arial"/>
          <w:rtl/>
        </w:rPr>
        <w:footnoteReference w:id="2053"/>
      </w:r>
      <w:r w:rsidR="000463CF" w:rsidRPr="000463CF">
        <w:rPr>
          <w:rFonts w:cs="Arial"/>
          <w:rtl/>
        </w:rPr>
        <w:t>, דתניא: קנה שהתקינו בעל הבית להיות פותח ונועל בו, בזמן שקשור ותלוי בפתח - פותח ונועל בו, אין קשור ותלוי - אין פותח ונועל בו. רבן שמעון בן גמליאל אומר: מתוקן</w:t>
      </w:r>
      <w:r w:rsidR="00F25A6B">
        <w:rPr>
          <w:rStyle w:val="a9"/>
          <w:rFonts w:cs="Arial"/>
          <w:rtl/>
        </w:rPr>
        <w:footnoteReference w:id="2054"/>
      </w:r>
      <w:r w:rsidR="000463CF" w:rsidRPr="000463CF">
        <w:rPr>
          <w:rFonts w:cs="Arial"/>
          <w:rtl/>
        </w:rPr>
        <w:t xml:space="preserve">, אף על פי שאינו קשור. </w:t>
      </w:r>
      <w:r w:rsidR="000463CF" w:rsidRPr="00F25A6B">
        <w:rPr>
          <w:rFonts w:cs="Arial"/>
          <w:u w:val="single"/>
          <w:rtl/>
        </w:rPr>
        <w:t>אמר רב יהודה בר שילת אמר רב אסי אמר רבי יוחנן</w:t>
      </w:r>
      <w:r w:rsidR="000463CF" w:rsidRPr="000463CF">
        <w:rPr>
          <w:rFonts w:cs="Arial"/>
          <w:rtl/>
        </w:rPr>
        <w:t>: הלכה כרבן שמעון בן גמליאל.</w:t>
      </w:r>
      <w:r w:rsidR="00D85097">
        <w:rPr>
          <w:rFonts w:cs="Arial" w:hint="cs"/>
          <w:rtl/>
        </w:rPr>
        <w:t xml:space="preserve"> </w:t>
      </w:r>
      <w:r w:rsidR="00D85097" w:rsidRPr="00D85097">
        <w:rPr>
          <w:rFonts w:cs="Arial"/>
          <w:rtl/>
        </w:rPr>
        <w:t xml:space="preserve">ומי אמר רבי יוחנן הכי? והתנן: כל כסויי הכלים </w:t>
      </w:r>
      <w:r w:rsidR="00D85097">
        <w:rPr>
          <w:rFonts w:cs="Arial" w:hint="cs"/>
          <w:sz w:val="14"/>
          <w:szCs w:val="14"/>
          <w:rtl/>
        </w:rPr>
        <w:t>(קכו:)</w:t>
      </w:r>
      <w:r w:rsidR="00D85097">
        <w:rPr>
          <w:rFonts w:cs="Arial" w:hint="cs"/>
          <w:rtl/>
        </w:rPr>
        <w:t xml:space="preserve"> </w:t>
      </w:r>
      <w:r w:rsidR="00D85097" w:rsidRPr="00D85097">
        <w:rPr>
          <w:rFonts w:cs="Arial"/>
          <w:rtl/>
        </w:rPr>
        <w:t>שיש להם בית אחיזה - ניטלין בשבת. ואמר רב יהודה בר שילא אמר רב אסי אמר רבי יוחנן: והוא שיש תורת כלי עליהן</w:t>
      </w:r>
      <w:r w:rsidR="00F25A6B">
        <w:rPr>
          <w:rStyle w:val="a9"/>
          <w:rFonts w:cs="Arial"/>
          <w:rtl/>
        </w:rPr>
        <w:footnoteReference w:id="2055"/>
      </w:r>
      <w:r w:rsidR="00D85097" w:rsidRPr="00D85097">
        <w:rPr>
          <w:rFonts w:cs="Arial"/>
          <w:rtl/>
        </w:rPr>
        <w:t>! וכי תימא: הכא נמי דאיכא תורת כלי עליו</w:t>
      </w:r>
      <w:r w:rsidR="00F25A6B">
        <w:rPr>
          <w:rStyle w:val="a9"/>
          <w:rFonts w:cs="Arial"/>
          <w:rtl/>
        </w:rPr>
        <w:footnoteReference w:id="2056"/>
      </w:r>
      <w:r w:rsidR="00D85097" w:rsidRPr="00D85097">
        <w:rPr>
          <w:rFonts w:cs="Arial"/>
          <w:rtl/>
        </w:rPr>
        <w:t>. ומי בעי רבן שמעון בן גמליאל תורת כלי עליו? והתניא: חריות של דקל שגדרן לשם עצים ונמלך עליהן לישיבה - צריך לקשר, רבן שמעון בן גמליאל אומר: אין צריך לקשר. רבי יוחנן סבירא ליה כוותיה בחדא</w:t>
      </w:r>
      <w:r w:rsidR="00F25A6B">
        <w:rPr>
          <w:rStyle w:val="a9"/>
          <w:rFonts w:cs="Arial"/>
          <w:rtl/>
        </w:rPr>
        <w:footnoteReference w:id="2057"/>
      </w:r>
      <w:r w:rsidR="00D85097" w:rsidRPr="00D85097">
        <w:rPr>
          <w:rFonts w:cs="Arial"/>
          <w:rtl/>
        </w:rPr>
        <w:t>, ופליג עליה בחדא</w:t>
      </w:r>
      <w:r w:rsidR="00F25A6B">
        <w:rPr>
          <w:rStyle w:val="a9"/>
          <w:rFonts w:cs="Arial"/>
          <w:rtl/>
        </w:rPr>
        <w:footnoteReference w:id="2058"/>
      </w:r>
      <w:r w:rsidR="00D85097" w:rsidRPr="00D85097">
        <w:rPr>
          <w:rFonts w:cs="Arial"/>
          <w:rtl/>
        </w:rPr>
        <w:t xml:space="preserve">. </w:t>
      </w:r>
      <w:r w:rsidR="00DE3290" w:rsidRPr="00DE3290">
        <w:rPr>
          <w:rFonts w:cs="Arial"/>
          <w:u w:val="single"/>
          <w:rtl/>
        </w:rPr>
        <w:t>דרש רבי יצחק נפחא אפתחא דריש גלותא</w:t>
      </w:r>
      <w:r w:rsidR="00DE3290" w:rsidRPr="00DE3290">
        <w:rPr>
          <w:rFonts w:cs="Arial"/>
          <w:rtl/>
        </w:rPr>
        <w:t xml:space="preserve">: הלכה כרבי אליעזר. </w:t>
      </w:r>
      <w:r w:rsidR="00DE3290" w:rsidRPr="00DE3290">
        <w:rPr>
          <w:rFonts w:cs="Arial"/>
          <w:u w:val="single"/>
          <w:rtl/>
        </w:rPr>
        <w:t>מתיב רב עמרם</w:t>
      </w:r>
      <w:r w:rsidR="00DE3290" w:rsidRPr="00DE3290">
        <w:rPr>
          <w:rFonts w:cs="Arial"/>
          <w:rtl/>
        </w:rPr>
        <w:t>: ומדבריהם למדנו</w:t>
      </w:r>
      <w:r w:rsidR="00533DA2">
        <w:rPr>
          <w:rStyle w:val="a9"/>
          <w:rFonts w:cs="Arial"/>
          <w:rtl/>
        </w:rPr>
        <w:footnoteReference w:id="2059"/>
      </w:r>
      <w:r w:rsidR="00DE3290" w:rsidRPr="00DE3290">
        <w:rPr>
          <w:rFonts w:cs="Arial"/>
          <w:rtl/>
        </w:rPr>
        <w:t xml:space="preserve"> שפוקקין</w:t>
      </w:r>
      <w:r w:rsidR="00533DA2">
        <w:rPr>
          <w:rStyle w:val="a9"/>
          <w:rFonts w:cs="Arial"/>
          <w:rtl/>
        </w:rPr>
        <w:footnoteReference w:id="2060"/>
      </w:r>
      <w:r w:rsidR="00DE3290" w:rsidRPr="00DE3290">
        <w:rPr>
          <w:rFonts w:cs="Arial"/>
          <w:rtl/>
        </w:rPr>
        <w:t xml:space="preserve"> ומודדין וקושרין בשבת</w:t>
      </w:r>
      <w:r w:rsidR="00DE3290">
        <w:rPr>
          <w:rFonts w:cs="Arial" w:hint="cs"/>
          <w:rtl/>
        </w:rPr>
        <w:t xml:space="preserve">. </w:t>
      </w:r>
      <w:r w:rsidR="00DE3290" w:rsidRPr="00DE3290">
        <w:rPr>
          <w:rFonts w:cs="Arial"/>
          <w:u w:val="single"/>
          <w:rtl/>
        </w:rPr>
        <w:t>אמר ליה אביי</w:t>
      </w:r>
      <w:r w:rsidR="00DE3290" w:rsidRPr="00DE3290">
        <w:rPr>
          <w:rFonts w:cs="Arial"/>
          <w:rtl/>
        </w:rPr>
        <w:t>: מאי דעתיך - משום דקתני סתמא, נגר הנגרר נמי סתמא היא! ואפילו הכי - מעשה רב</w:t>
      </w:r>
      <w:r w:rsidR="00EB410B">
        <w:rPr>
          <w:rStyle w:val="a9"/>
          <w:rFonts w:cs="Arial"/>
          <w:rtl/>
        </w:rPr>
        <w:footnoteReference w:id="2061"/>
      </w:r>
      <w:r w:rsidR="00DE3290" w:rsidRPr="00DE3290">
        <w:rPr>
          <w:rFonts w:cs="Arial"/>
          <w:rtl/>
        </w:rPr>
        <w:t>.</w:t>
      </w:r>
      <w:r w:rsidR="001C3A69" w:rsidRPr="001C3A69">
        <w:rPr>
          <w:rFonts w:cs="Arial" w:hint="cs"/>
          <w:sz w:val="16"/>
          <w:szCs w:val="16"/>
          <w:rtl/>
        </w:rPr>
        <w:t xml:space="preserve"> </w:t>
      </w:r>
      <w:r w:rsidR="002A4EE6" w:rsidRPr="002A4EE6">
        <w:rPr>
          <w:rFonts w:cs="Arial" w:hint="cs"/>
          <w:sz w:val="16"/>
          <w:szCs w:val="16"/>
          <w:rtl/>
        </w:rPr>
        <w:t>(</w:t>
      </w:r>
      <w:r w:rsidR="004C5375" w:rsidRPr="002A4EE6">
        <w:rPr>
          <w:rFonts w:cs="Arial"/>
          <w:sz w:val="16"/>
          <w:szCs w:val="16"/>
          <w:rtl/>
        </w:rPr>
        <w:t>ולפסק הלכה כתב הרי"ף (מט:) הלכה כחכמים וכדפריש רבי אבא בר כהנא דבין קשור בין שאינו קשור והוא שמתוקן</w:t>
      </w:r>
      <w:r w:rsidR="002A4EE6">
        <w:rPr>
          <w:rStyle w:val="a9"/>
          <w:rFonts w:cs="Arial"/>
          <w:sz w:val="16"/>
          <w:szCs w:val="16"/>
          <w:rtl/>
        </w:rPr>
        <w:footnoteReference w:id="2062"/>
      </w:r>
      <w:r w:rsidR="00C67E28" w:rsidRPr="002A4EE6">
        <w:rPr>
          <w:rFonts w:cs="Arial" w:hint="cs"/>
          <w:sz w:val="16"/>
          <w:szCs w:val="16"/>
          <w:rtl/>
        </w:rPr>
        <w:t>.</w:t>
      </w:r>
      <w:r w:rsidR="004C5375" w:rsidRPr="002A4EE6">
        <w:rPr>
          <w:rFonts w:cs="Arial"/>
          <w:sz w:val="16"/>
          <w:szCs w:val="16"/>
          <w:rtl/>
        </w:rPr>
        <w:t xml:space="preserve"> ובקנה שהתקינו להיות פותח ונועל בו פסק כרבי יוחנן דאמר הלכה כרבן שמעון בן גמליאל ודוקא בשיש תורת כלי עליו</w:t>
      </w:r>
      <w:r w:rsidR="00C67E28" w:rsidRPr="002A4EE6">
        <w:rPr>
          <w:rFonts w:cs="Arial" w:hint="cs"/>
          <w:sz w:val="16"/>
          <w:szCs w:val="16"/>
          <w:rtl/>
        </w:rPr>
        <w:t>.</w:t>
      </w:r>
      <w:r w:rsidR="004C5375" w:rsidRPr="002A4EE6">
        <w:rPr>
          <w:rFonts w:cs="Arial"/>
          <w:sz w:val="16"/>
          <w:szCs w:val="16"/>
          <w:rtl/>
        </w:rPr>
        <w:t xml:space="preserve"> וכן פסק הרמב"ם בפקק החלון בפכ"ב (ה"ל) דבמתוקן לכך סגי אע</w:t>
      </w:r>
      <w:r w:rsidR="002A4EE6" w:rsidRPr="002A4EE6">
        <w:rPr>
          <w:rFonts w:cs="Arial" w:hint="cs"/>
          <w:sz w:val="16"/>
          <w:szCs w:val="16"/>
          <w:rtl/>
        </w:rPr>
        <w:t>"</w:t>
      </w:r>
      <w:r w:rsidR="004C5375" w:rsidRPr="002A4EE6">
        <w:rPr>
          <w:rFonts w:cs="Arial"/>
          <w:sz w:val="16"/>
          <w:szCs w:val="16"/>
          <w:rtl/>
        </w:rPr>
        <w:t>פ שאינו קשור</w:t>
      </w:r>
      <w:r w:rsidR="002A4EE6" w:rsidRPr="002A4EE6">
        <w:rPr>
          <w:rFonts w:cs="Arial" w:hint="cs"/>
          <w:sz w:val="16"/>
          <w:szCs w:val="16"/>
          <w:rtl/>
        </w:rPr>
        <w:t>,</w:t>
      </w:r>
      <w:r w:rsidR="004C5375" w:rsidRPr="002A4EE6">
        <w:rPr>
          <w:rFonts w:cs="Arial"/>
          <w:sz w:val="16"/>
          <w:szCs w:val="16"/>
          <w:rtl/>
        </w:rPr>
        <w:t xml:space="preserve"> ובקנה שהתקינו להיות פותח ונועל בו בפרק כ"ו (ה"ז) כרבן שמעון בן גמליאל ודוקא שיש תורת כלי עליו</w:t>
      </w:r>
      <w:r w:rsidR="002A4EE6">
        <w:rPr>
          <w:rFonts w:cs="Arial" w:hint="cs"/>
          <w:sz w:val="16"/>
          <w:szCs w:val="16"/>
          <w:rtl/>
        </w:rPr>
        <w:t>, ב"י)</w:t>
      </w:r>
      <w:r w:rsidR="004C5375">
        <w:rPr>
          <w:rFonts w:cs="Arial"/>
          <w:rtl/>
        </w:rPr>
        <w:t xml:space="preserve"> </w:t>
      </w:r>
    </w:p>
    <w:p w14:paraId="650A0EAB" w14:textId="27AB88DD" w:rsidR="002A4EE6" w:rsidRPr="00AA3161" w:rsidRDefault="001E61F9" w:rsidP="00434A6A">
      <w:pPr>
        <w:rPr>
          <w:u w:val="single"/>
          <w:rtl/>
        </w:rPr>
      </w:pPr>
      <w:r>
        <w:rPr>
          <w:rFonts w:hint="cs"/>
          <w:u w:val="single"/>
          <w:rtl/>
        </w:rPr>
        <w:t>נתינת</w:t>
      </w:r>
      <w:r w:rsidR="002A4EE6">
        <w:rPr>
          <w:rFonts w:hint="cs"/>
          <w:u w:val="single"/>
          <w:rtl/>
        </w:rPr>
        <w:t xml:space="preserve"> לוח </w:t>
      </w:r>
      <w:r>
        <w:rPr>
          <w:rFonts w:hint="cs"/>
          <w:u w:val="single"/>
          <w:rtl/>
        </w:rPr>
        <w:t xml:space="preserve">על </w:t>
      </w:r>
      <w:r w:rsidR="002A4EE6">
        <w:rPr>
          <w:rFonts w:hint="cs"/>
          <w:u w:val="single"/>
          <w:rtl/>
        </w:rPr>
        <w:t>חלון</w:t>
      </w:r>
      <w:r>
        <w:rPr>
          <w:rFonts w:hint="cs"/>
          <w:u w:val="single"/>
          <w:rtl/>
        </w:rPr>
        <w:t xml:space="preserve"> הבית כדי לסותמו</w:t>
      </w:r>
      <w:r w:rsidR="002A4EE6">
        <w:rPr>
          <w:rFonts w:hint="cs"/>
          <w:u w:val="single"/>
          <w:rtl/>
        </w:rPr>
        <w:t>:</w:t>
      </w:r>
    </w:p>
    <w:p w14:paraId="4DE19042" w14:textId="63A2FC1A" w:rsidR="002A4EE6" w:rsidRDefault="002A4EE6" w:rsidP="00434A6A">
      <w:pPr>
        <w:pStyle w:val="aa"/>
        <w:numPr>
          <w:ilvl w:val="0"/>
          <w:numId w:val="15"/>
        </w:numPr>
      </w:pPr>
      <w:r>
        <w:rPr>
          <w:rFonts w:hint="cs"/>
          <w:rtl/>
        </w:rPr>
        <w:t xml:space="preserve">טור- </w:t>
      </w:r>
      <w:r>
        <w:rPr>
          <w:rFonts w:cs="Arial"/>
          <w:rtl/>
        </w:rPr>
        <w:t>פקק החלון</w:t>
      </w:r>
      <w:r>
        <w:rPr>
          <w:rFonts w:cs="Arial" w:hint="cs"/>
          <w:rtl/>
        </w:rPr>
        <w:t>,</w:t>
      </w:r>
      <w:r>
        <w:rPr>
          <w:rFonts w:cs="Arial"/>
          <w:rtl/>
        </w:rPr>
        <w:t xml:space="preserve"> כגון לוח או שאר כל דבר שסותמין בו החלון </w:t>
      </w:r>
      <w:r>
        <w:rPr>
          <w:rFonts w:cs="Arial" w:hint="cs"/>
          <w:rtl/>
        </w:rPr>
        <w:t xml:space="preserve">- </w:t>
      </w:r>
      <w:r>
        <w:rPr>
          <w:rFonts w:cs="Arial"/>
          <w:rtl/>
        </w:rPr>
        <w:t>יכולים לסותמו אפילו אם אינו קשור</w:t>
      </w:r>
      <w:r>
        <w:rPr>
          <w:rFonts w:cs="Arial" w:hint="cs"/>
          <w:rtl/>
        </w:rPr>
        <w:t>,</w:t>
      </w:r>
      <w:r>
        <w:rPr>
          <w:rFonts w:cs="Arial"/>
          <w:rtl/>
        </w:rPr>
        <w:t xml:space="preserve"> ולא אמרי</w:t>
      </w:r>
      <w:r>
        <w:rPr>
          <w:rFonts w:cs="Arial" w:hint="cs"/>
          <w:rtl/>
        </w:rPr>
        <w:t>נן</w:t>
      </w:r>
      <w:r>
        <w:rPr>
          <w:rFonts w:cs="Arial"/>
          <w:rtl/>
        </w:rPr>
        <w:t xml:space="preserve"> דהוי כמוסיף על הבנין</w:t>
      </w:r>
      <w:r>
        <w:rPr>
          <w:rFonts w:cs="Arial" w:hint="cs"/>
          <w:rtl/>
        </w:rPr>
        <w:t>,</w:t>
      </w:r>
      <w:r>
        <w:rPr>
          <w:rFonts w:cs="Arial"/>
          <w:rtl/>
        </w:rPr>
        <w:t xml:space="preserve"> ובלבד שיחשוב עליו מע"ש לסותמו בו</w:t>
      </w:r>
      <w:r>
        <w:rPr>
          <w:rFonts w:cs="Arial" w:hint="cs"/>
          <w:rtl/>
        </w:rPr>
        <w:t>,</w:t>
      </w:r>
      <w:r>
        <w:rPr>
          <w:rFonts w:cs="Arial"/>
          <w:rtl/>
        </w:rPr>
        <w:t xml:space="preserve"> ובהכי מיהא סגי</w:t>
      </w:r>
      <w:r>
        <w:rPr>
          <w:rFonts w:cs="Arial" w:hint="cs"/>
          <w:rtl/>
        </w:rPr>
        <w:t>.</w:t>
      </w:r>
      <w:r w:rsidR="001E61F9">
        <w:rPr>
          <w:rFonts w:hint="cs"/>
          <w:rtl/>
        </w:rPr>
        <w:t xml:space="preserve"> </w:t>
      </w:r>
      <w:r w:rsidR="001E61F9" w:rsidRPr="001E61F9">
        <w:rPr>
          <w:rFonts w:hint="cs"/>
          <w:color w:val="E36C0A" w:themeColor="accent6" w:themeShade="BF"/>
          <w:rtl/>
        </w:rPr>
        <w:t>(וכ"פ בשו"ע)</w:t>
      </w:r>
    </w:p>
    <w:p w14:paraId="61682185" w14:textId="6C67416C" w:rsidR="002A4EE6" w:rsidRDefault="001E61F9" w:rsidP="00434A6A">
      <w:pPr>
        <w:rPr>
          <w:rtl/>
        </w:rPr>
      </w:pPr>
      <w:r>
        <w:rPr>
          <w:rFonts w:hint="cs"/>
          <w:u w:val="single"/>
          <w:rtl/>
        </w:rPr>
        <w:t>תחיבת</w:t>
      </w:r>
      <w:r w:rsidR="002A4EE6">
        <w:rPr>
          <w:rFonts w:hint="cs"/>
          <w:u w:val="single"/>
          <w:rtl/>
        </w:rPr>
        <w:t xml:space="preserve"> קנה </w:t>
      </w:r>
      <w:r>
        <w:rPr>
          <w:rFonts w:hint="cs"/>
          <w:u w:val="single"/>
          <w:rtl/>
        </w:rPr>
        <w:t>בדלת כדי לנועלה</w:t>
      </w:r>
      <w:r w:rsidR="002A4EE6">
        <w:rPr>
          <w:rFonts w:hint="cs"/>
          <w:u w:val="single"/>
          <w:rtl/>
        </w:rPr>
        <w:t>:</w:t>
      </w:r>
    </w:p>
    <w:p w14:paraId="72DADA95" w14:textId="516A8750" w:rsidR="002A4EE6" w:rsidRDefault="002A4EE6" w:rsidP="00434A6A">
      <w:pPr>
        <w:pStyle w:val="aa"/>
        <w:numPr>
          <w:ilvl w:val="0"/>
          <w:numId w:val="15"/>
        </w:numPr>
      </w:pPr>
      <w:r>
        <w:rPr>
          <w:rFonts w:cs="Arial" w:hint="cs"/>
          <w:rtl/>
        </w:rPr>
        <w:t xml:space="preserve">טור- </w:t>
      </w:r>
      <w:r>
        <w:rPr>
          <w:rFonts w:cs="Arial"/>
          <w:rtl/>
        </w:rPr>
        <w:t>וקנה שהתקינו להיות נועל בו</w:t>
      </w:r>
      <w:r>
        <w:rPr>
          <w:rFonts w:cs="Arial" w:hint="cs"/>
          <w:rtl/>
        </w:rPr>
        <w:t>,</w:t>
      </w:r>
      <w:r>
        <w:rPr>
          <w:rFonts w:cs="Arial"/>
          <w:rtl/>
        </w:rPr>
        <w:t xml:space="preserve"> נמי אין צריך שיקשרנו בדלת</w:t>
      </w:r>
      <w:r>
        <w:rPr>
          <w:rFonts w:cs="Arial" w:hint="cs"/>
          <w:rtl/>
        </w:rPr>
        <w:t>,</w:t>
      </w:r>
      <w:r>
        <w:rPr>
          <w:rFonts w:cs="Arial"/>
          <w:rtl/>
        </w:rPr>
        <w:t xml:space="preserve"> ומ"מ דמי לבנין טפי מפקק החלון ולא סגי במחשבה שיחשוב עליו מאתמול</w:t>
      </w:r>
      <w:r>
        <w:rPr>
          <w:rFonts w:cs="Arial" w:hint="cs"/>
          <w:rtl/>
        </w:rPr>
        <w:t>,</w:t>
      </w:r>
      <w:r>
        <w:rPr>
          <w:rFonts w:cs="Arial"/>
          <w:rtl/>
        </w:rPr>
        <w:t xml:space="preserve"> וצריך שיתקננו לכך</w:t>
      </w:r>
      <w:r>
        <w:rPr>
          <w:rFonts w:cs="Arial" w:hint="cs"/>
          <w:rtl/>
        </w:rPr>
        <w:t>.</w:t>
      </w:r>
      <w:r>
        <w:rPr>
          <w:rFonts w:cs="Arial"/>
          <w:rtl/>
        </w:rPr>
        <w:t xml:space="preserve"> לרש"י צריך שיתקננו לשם כלי שיהא ראוי לשום תשמיש</w:t>
      </w:r>
      <w:r>
        <w:rPr>
          <w:rFonts w:cs="Arial" w:hint="cs"/>
          <w:rtl/>
        </w:rPr>
        <w:t>.</w:t>
      </w:r>
      <w:r>
        <w:rPr>
          <w:rFonts w:cs="Arial"/>
          <w:rtl/>
        </w:rPr>
        <w:t xml:space="preserve"> ולר</w:t>
      </w:r>
      <w:r w:rsidR="00580FA8">
        <w:rPr>
          <w:rFonts w:cs="Arial" w:hint="cs"/>
          <w:rtl/>
        </w:rPr>
        <w:t>"</w:t>
      </w:r>
      <w:r>
        <w:rPr>
          <w:rFonts w:cs="Arial"/>
          <w:rtl/>
        </w:rPr>
        <w:t>ת אין צריך שיתקננו אלא לנעול בו</w:t>
      </w:r>
      <w:r>
        <w:rPr>
          <w:rFonts w:cs="Arial" w:hint="cs"/>
          <w:rtl/>
        </w:rPr>
        <w:t>.</w:t>
      </w:r>
      <w:r w:rsidR="001E61F9" w:rsidRPr="001E61F9">
        <w:rPr>
          <w:rFonts w:hint="cs"/>
          <w:color w:val="E36C0A" w:themeColor="accent6" w:themeShade="BF"/>
          <w:rtl/>
        </w:rPr>
        <w:t xml:space="preserve"> (וכ"פ בשו"ע)</w:t>
      </w:r>
    </w:p>
    <w:p w14:paraId="0735624F" w14:textId="0E01D655" w:rsidR="007674A4" w:rsidRPr="007674A4" w:rsidRDefault="007674A4" w:rsidP="00434A6A">
      <w:pPr>
        <w:ind w:left="360"/>
        <w:rPr>
          <w:u w:val="dotted"/>
        </w:rPr>
      </w:pPr>
      <w:r w:rsidRPr="007674A4">
        <w:rPr>
          <w:rFonts w:hint="cs"/>
          <w:u w:val="dotted"/>
          <w:rtl/>
        </w:rPr>
        <w:t>האם קנה זה הוא כלי</w:t>
      </w:r>
      <w:r>
        <w:rPr>
          <w:rFonts w:hint="cs"/>
          <w:u w:val="dotted"/>
          <w:rtl/>
        </w:rPr>
        <w:t xml:space="preserve"> </w:t>
      </w:r>
      <w:r w:rsidRPr="007674A4">
        <w:rPr>
          <w:rFonts w:hint="cs"/>
          <w:u w:val="dotted"/>
          <w:rtl/>
        </w:rPr>
        <w:t>שמלאכתו להיתר</w:t>
      </w:r>
      <w:r>
        <w:rPr>
          <w:rFonts w:hint="cs"/>
          <w:u w:val="dotted"/>
          <w:rtl/>
        </w:rPr>
        <w:t xml:space="preserve"> או לאיסור</w:t>
      </w:r>
      <w:r w:rsidRPr="007674A4">
        <w:rPr>
          <w:rFonts w:hint="cs"/>
          <w:u w:val="dotted"/>
          <w:rtl/>
        </w:rPr>
        <w:t>:</w:t>
      </w:r>
    </w:p>
    <w:p w14:paraId="51BF2847" w14:textId="201D78CB" w:rsidR="007674A4" w:rsidRPr="00AF548F" w:rsidRDefault="007674A4" w:rsidP="00434A6A">
      <w:pPr>
        <w:pStyle w:val="aa"/>
        <w:numPr>
          <w:ilvl w:val="0"/>
          <w:numId w:val="15"/>
        </w:numPr>
        <w:rPr>
          <w:rtl/>
        </w:rPr>
      </w:pPr>
      <w:r>
        <w:rPr>
          <w:rFonts w:cs="Arial" w:hint="cs"/>
          <w:rtl/>
        </w:rPr>
        <w:t xml:space="preserve">רמב"ם </w:t>
      </w:r>
      <w:r>
        <w:rPr>
          <w:rFonts w:cs="Arial" w:hint="cs"/>
          <w:sz w:val="16"/>
          <w:szCs w:val="16"/>
          <w:rtl/>
        </w:rPr>
        <w:t>(פכ"ו ה"ז)</w:t>
      </w:r>
      <w:r>
        <w:rPr>
          <w:rFonts w:cs="Arial" w:hint="cs"/>
          <w:rtl/>
        </w:rPr>
        <w:t xml:space="preserve">- </w:t>
      </w:r>
      <w:r w:rsidRPr="007674A4">
        <w:rPr>
          <w:rFonts w:cs="Arial"/>
          <w:rtl/>
        </w:rPr>
        <w:t xml:space="preserve">קנה שמוסקין בו הזיתים אם יש עליו תורת כלי </w:t>
      </w:r>
      <w:r>
        <w:rPr>
          <w:rFonts w:cs="Arial" w:hint="cs"/>
          <w:rtl/>
        </w:rPr>
        <w:t xml:space="preserve">- </w:t>
      </w:r>
      <w:r w:rsidRPr="007674A4">
        <w:rPr>
          <w:rFonts w:cs="Arial"/>
          <w:rtl/>
        </w:rPr>
        <w:t>הרי הוא ככלי שמלאכתו לאיסור</w:t>
      </w:r>
      <w:r>
        <w:rPr>
          <w:rFonts w:cs="Arial" w:hint="cs"/>
          <w:rtl/>
        </w:rPr>
        <w:t>.</w:t>
      </w:r>
      <w:r w:rsidRPr="007674A4">
        <w:rPr>
          <w:rFonts w:cs="Arial"/>
          <w:rtl/>
        </w:rPr>
        <w:t xml:space="preserve"> קנה שהתקינו בעל הבית להיות פותח ונועל בו אם יש תורת כלי עליו </w:t>
      </w:r>
      <w:r>
        <w:rPr>
          <w:rFonts w:cs="Arial" w:hint="cs"/>
          <w:rtl/>
        </w:rPr>
        <w:t xml:space="preserve">- </w:t>
      </w:r>
      <w:r w:rsidRPr="007674A4">
        <w:rPr>
          <w:rFonts w:cs="Arial"/>
          <w:rtl/>
        </w:rPr>
        <w:t>הרי הוא ככלי שמלאכתו להיתר</w:t>
      </w:r>
      <w:r>
        <w:rPr>
          <w:rStyle w:val="a9"/>
          <w:rFonts w:cs="Arial"/>
          <w:rtl/>
        </w:rPr>
        <w:footnoteReference w:id="2063"/>
      </w:r>
      <w:r w:rsidRPr="007674A4">
        <w:rPr>
          <w:rFonts w:cs="Arial"/>
          <w:rtl/>
        </w:rPr>
        <w:t>.</w:t>
      </w:r>
      <w:r w:rsidRPr="007674A4">
        <w:rPr>
          <w:rFonts w:cs="Arial" w:hint="cs"/>
          <w:color w:val="00B0F0"/>
          <w:rtl/>
        </w:rPr>
        <w:t xml:space="preserve"> </w:t>
      </w:r>
      <w:r w:rsidRPr="003C6BB0">
        <w:rPr>
          <w:rFonts w:cs="Arial" w:hint="cs"/>
          <w:color w:val="00B0F0"/>
          <w:rtl/>
        </w:rPr>
        <w:t>(וכ"פ הרמ"א)</w:t>
      </w:r>
    </w:p>
    <w:p w14:paraId="28C5FA21" w14:textId="19D89C78" w:rsidR="00F44496" w:rsidRDefault="002A4EE6" w:rsidP="00434A6A">
      <w:pPr>
        <w:rPr>
          <w:rFonts w:cs="Arial"/>
          <w:rtl/>
        </w:rPr>
      </w:pPr>
      <w:r w:rsidRPr="001C3A69">
        <w:rPr>
          <w:rFonts w:cs="Arial" w:hint="cs"/>
          <w:b/>
          <w:bCs/>
          <w:rtl/>
        </w:rPr>
        <w:t>ע</w:t>
      </w:r>
      <w:r>
        <w:rPr>
          <w:rFonts w:cs="Arial" w:hint="cs"/>
          <w:b/>
          <w:bCs/>
          <w:rtl/>
        </w:rPr>
        <w:t>י</w:t>
      </w:r>
      <w:r w:rsidRPr="001C3A69">
        <w:rPr>
          <w:rFonts w:cs="Arial" w:hint="cs"/>
          <w:b/>
          <w:bCs/>
          <w:rtl/>
        </w:rPr>
        <w:t xml:space="preserve">רובין </w:t>
      </w:r>
      <w:r w:rsidRPr="001C3A69">
        <w:rPr>
          <w:rFonts w:cs="Arial" w:hint="cs"/>
          <w:b/>
          <w:bCs/>
          <w:sz w:val="16"/>
          <w:szCs w:val="16"/>
          <w:rtl/>
        </w:rPr>
        <w:t xml:space="preserve">(פ' בתרא) </w:t>
      </w:r>
      <w:r w:rsidRPr="001C3A69">
        <w:rPr>
          <w:rFonts w:cs="Arial" w:hint="cs"/>
          <w:b/>
          <w:bCs/>
          <w:rtl/>
        </w:rPr>
        <w:t>ק</w:t>
      </w:r>
      <w:r w:rsidR="00A069F9">
        <w:rPr>
          <w:rFonts w:cs="Arial" w:hint="cs"/>
          <w:b/>
          <w:bCs/>
          <w:rtl/>
        </w:rPr>
        <w:t>א</w:t>
      </w:r>
      <w:r w:rsidRPr="001C3A69">
        <w:rPr>
          <w:rFonts w:cs="Arial" w:hint="cs"/>
          <w:b/>
          <w:bCs/>
          <w:rtl/>
        </w:rPr>
        <w:t xml:space="preserve"> ע"</w:t>
      </w:r>
      <w:r w:rsidR="00A069F9">
        <w:rPr>
          <w:rFonts w:cs="Arial" w:hint="cs"/>
          <w:b/>
          <w:bCs/>
          <w:rtl/>
        </w:rPr>
        <w:t>ב</w:t>
      </w:r>
      <w:r w:rsidRPr="001C3A69">
        <w:rPr>
          <w:rFonts w:cs="Arial" w:hint="cs"/>
          <w:b/>
          <w:bCs/>
          <w:rtl/>
        </w:rPr>
        <w:t xml:space="preserve">: </w:t>
      </w:r>
      <w:r w:rsidRPr="001C3A69">
        <w:rPr>
          <w:rFonts w:cs="Arial"/>
          <w:u w:val="double"/>
          <w:rtl/>
        </w:rPr>
        <w:t>משנה</w:t>
      </w:r>
      <w:r>
        <w:rPr>
          <w:rFonts w:cs="Arial" w:hint="cs"/>
          <w:rtl/>
        </w:rPr>
        <w:t>:</w:t>
      </w:r>
      <w:r w:rsidR="00A069F9" w:rsidRPr="00A069F9">
        <w:rPr>
          <w:rFonts w:cs="Arial"/>
          <w:rtl/>
        </w:rPr>
        <w:t xml:space="preserve"> נגר שיש בראשו גלוסטרא, </w:t>
      </w:r>
      <w:r w:rsidR="00A069F9" w:rsidRPr="00A069F9">
        <w:rPr>
          <w:rFonts w:cs="Arial"/>
          <w:u w:val="single"/>
          <w:rtl/>
        </w:rPr>
        <w:t>רבי אליעזר אוסר</w:t>
      </w:r>
      <w:r w:rsidR="00A069F9">
        <w:rPr>
          <w:rFonts w:cs="Arial" w:hint="cs"/>
          <w:rtl/>
        </w:rPr>
        <w:t xml:space="preserve">, </w:t>
      </w:r>
      <w:r w:rsidR="00A069F9" w:rsidRPr="00A069F9">
        <w:rPr>
          <w:rFonts w:cs="Arial"/>
          <w:u w:val="single"/>
          <w:rtl/>
        </w:rPr>
        <w:t>ורבי יוסי</w:t>
      </w:r>
      <w:r w:rsidR="00A069F9" w:rsidRPr="00A069F9">
        <w:rPr>
          <w:rFonts w:cs="Arial"/>
          <w:rtl/>
        </w:rPr>
        <w:t xml:space="preserve"> מתיר. </w:t>
      </w:r>
      <w:r w:rsidR="00A069F9">
        <w:rPr>
          <w:rFonts w:cs="Arial" w:hint="cs"/>
          <w:rtl/>
        </w:rPr>
        <w:t xml:space="preserve">    </w:t>
      </w:r>
      <w:r w:rsidR="00A069F9" w:rsidRPr="001C3A69">
        <w:rPr>
          <w:rFonts w:cs="Arial"/>
          <w:u w:val="double"/>
          <w:rtl/>
        </w:rPr>
        <w:t>גמרא</w:t>
      </w:r>
      <w:r w:rsidR="00A069F9">
        <w:rPr>
          <w:rFonts w:cs="Arial" w:hint="cs"/>
          <w:rtl/>
        </w:rPr>
        <w:t>:</w:t>
      </w:r>
      <w:r w:rsidR="00A069F9" w:rsidRPr="00A069F9">
        <w:rPr>
          <w:rFonts w:cs="Arial"/>
          <w:rtl/>
        </w:rPr>
        <w:t xml:space="preserve"> בניטל באגדו</w:t>
      </w:r>
      <w:r w:rsidR="00A069F9">
        <w:rPr>
          <w:rStyle w:val="a9"/>
          <w:rFonts w:cs="Arial"/>
          <w:rtl/>
        </w:rPr>
        <w:footnoteReference w:id="2064"/>
      </w:r>
      <w:r w:rsidR="00A069F9" w:rsidRPr="00A069F9">
        <w:rPr>
          <w:rFonts w:cs="Arial"/>
          <w:rtl/>
        </w:rPr>
        <w:t xml:space="preserve"> - כולי עלמא לא פליגי</w:t>
      </w:r>
      <w:r w:rsidR="00A069F9">
        <w:rPr>
          <w:rStyle w:val="a9"/>
          <w:rFonts w:cs="Arial"/>
          <w:rtl/>
        </w:rPr>
        <w:footnoteReference w:id="2065"/>
      </w:r>
      <w:r w:rsidR="00A069F9" w:rsidRPr="00A069F9">
        <w:rPr>
          <w:rFonts w:cs="Arial"/>
          <w:rtl/>
        </w:rPr>
        <w:t xml:space="preserve">. כי פליגי </w:t>
      </w:r>
      <w:r w:rsidR="00F44496">
        <w:rPr>
          <w:rFonts w:cs="Arial" w:hint="cs"/>
          <w:rtl/>
        </w:rPr>
        <w:t>-</w:t>
      </w:r>
      <w:r w:rsidR="00A069F9" w:rsidRPr="00A069F9">
        <w:rPr>
          <w:rtl/>
        </w:rPr>
        <w:t xml:space="preserve"> </w:t>
      </w:r>
      <w:r w:rsidR="00F44496">
        <w:rPr>
          <w:rFonts w:cs="Arial" w:hint="cs"/>
          <w:sz w:val="14"/>
          <w:szCs w:val="14"/>
          <w:rtl/>
        </w:rPr>
        <w:t xml:space="preserve">(קב.) </w:t>
      </w:r>
      <w:r w:rsidR="00A069F9" w:rsidRPr="00A069F9">
        <w:rPr>
          <w:rFonts w:cs="Arial"/>
          <w:rtl/>
        </w:rPr>
        <w:t>בשאינו ניטל באיגדו</w:t>
      </w:r>
      <w:r w:rsidR="00F44496">
        <w:rPr>
          <w:rStyle w:val="a9"/>
          <w:rFonts w:cs="Arial"/>
          <w:rtl/>
        </w:rPr>
        <w:footnoteReference w:id="2066"/>
      </w:r>
      <w:r w:rsidR="00A069F9" w:rsidRPr="00A069F9">
        <w:rPr>
          <w:rFonts w:cs="Arial"/>
          <w:rtl/>
        </w:rPr>
        <w:t xml:space="preserve"> - דמר סבר: כיון דיש בראשו גלוסטרא - תורת כלי עליו, ומר סבר: כיון דאינו ניטל באיגדו - לא.</w:t>
      </w:r>
      <w:r w:rsidR="00F44496" w:rsidRPr="00F44496">
        <w:rPr>
          <w:rFonts w:cs="Arial"/>
          <w:sz w:val="16"/>
          <w:szCs w:val="16"/>
          <w:rtl/>
        </w:rPr>
        <w:t xml:space="preserve"> </w:t>
      </w:r>
      <w:r w:rsidR="00F44496">
        <w:rPr>
          <w:rFonts w:cs="Arial" w:hint="cs"/>
          <w:sz w:val="16"/>
          <w:szCs w:val="16"/>
          <w:rtl/>
        </w:rPr>
        <w:t>(</w:t>
      </w:r>
      <w:r w:rsidR="00F44496" w:rsidRPr="00F44496">
        <w:rPr>
          <w:rFonts w:cs="Arial"/>
          <w:sz w:val="16"/>
          <w:szCs w:val="16"/>
          <w:rtl/>
        </w:rPr>
        <w:t xml:space="preserve">ופסקו הפוסקים (רי"ף </w:t>
      </w:r>
      <w:r w:rsidR="00F44496" w:rsidRPr="00F44496">
        <w:rPr>
          <w:rFonts w:cs="Arial" w:hint="cs"/>
          <w:sz w:val="16"/>
          <w:szCs w:val="16"/>
          <w:rtl/>
        </w:rPr>
        <w:t>(</w:t>
      </w:r>
      <w:r w:rsidR="00F44496" w:rsidRPr="00F44496">
        <w:rPr>
          <w:rFonts w:cs="Arial"/>
          <w:sz w:val="16"/>
          <w:szCs w:val="16"/>
          <w:rtl/>
        </w:rPr>
        <w:t>לד:</w:t>
      </w:r>
      <w:r w:rsidR="00F44496" w:rsidRPr="00F44496">
        <w:rPr>
          <w:rFonts w:cs="Arial" w:hint="cs"/>
          <w:sz w:val="16"/>
          <w:szCs w:val="16"/>
          <w:rtl/>
        </w:rPr>
        <w:t>)</w:t>
      </w:r>
      <w:r w:rsidR="00F44496" w:rsidRPr="00F44496">
        <w:rPr>
          <w:rFonts w:cs="Arial"/>
          <w:sz w:val="16"/>
          <w:szCs w:val="16"/>
          <w:rtl/>
        </w:rPr>
        <w:t xml:space="preserve">, רמב"ם </w:t>
      </w:r>
      <w:r w:rsidR="00F44496" w:rsidRPr="00F44496">
        <w:rPr>
          <w:rFonts w:cs="Arial" w:hint="cs"/>
          <w:sz w:val="16"/>
          <w:szCs w:val="16"/>
          <w:rtl/>
        </w:rPr>
        <w:t>(</w:t>
      </w:r>
      <w:r w:rsidR="00F44496" w:rsidRPr="00F44496">
        <w:rPr>
          <w:rFonts w:cs="Arial"/>
          <w:sz w:val="16"/>
          <w:szCs w:val="16"/>
          <w:rtl/>
        </w:rPr>
        <w:t>פכ"ו ה"ט</w:t>
      </w:r>
      <w:r w:rsidR="00F44496" w:rsidRPr="00F44496">
        <w:rPr>
          <w:rFonts w:cs="Arial" w:hint="cs"/>
          <w:sz w:val="16"/>
          <w:szCs w:val="16"/>
          <w:rtl/>
        </w:rPr>
        <w:t>)</w:t>
      </w:r>
      <w:r w:rsidR="00F44496" w:rsidRPr="00F44496">
        <w:rPr>
          <w:rFonts w:cs="Arial"/>
          <w:sz w:val="16"/>
          <w:szCs w:val="16"/>
          <w:rtl/>
        </w:rPr>
        <w:t xml:space="preserve">, רא"ש </w:t>
      </w:r>
      <w:r w:rsidR="00F44496" w:rsidRPr="00F44496">
        <w:rPr>
          <w:rFonts w:cs="Arial" w:hint="cs"/>
          <w:sz w:val="16"/>
          <w:szCs w:val="16"/>
          <w:rtl/>
        </w:rPr>
        <w:t>(</w:t>
      </w:r>
      <w:r w:rsidR="00F44496" w:rsidRPr="00F44496">
        <w:rPr>
          <w:rFonts w:cs="Arial"/>
          <w:sz w:val="16"/>
          <w:szCs w:val="16"/>
          <w:rtl/>
        </w:rPr>
        <w:t>סי' טו</w:t>
      </w:r>
      <w:r w:rsidR="00F44496" w:rsidRPr="00F44496">
        <w:rPr>
          <w:rFonts w:cs="Arial" w:hint="cs"/>
          <w:sz w:val="16"/>
          <w:szCs w:val="16"/>
          <w:rtl/>
        </w:rPr>
        <w:t>)</w:t>
      </w:r>
      <w:r w:rsidR="00F44496" w:rsidRPr="00F44496">
        <w:rPr>
          <w:rFonts w:cs="Arial"/>
          <w:sz w:val="16"/>
          <w:szCs w:val="16"/>
          <w:rtl/>
        </w:rPr>
        <w:t>) כרבי יוסי</w:t>
      </w:r>
      <w:r w:rsidR="00F44496" w:rsidRPr="00F44496">
        <w:rPr>
          <w:rFonts w:cs="Arial" w:hint="cs"/>
          <w:sz w:val="16"/>
          <w:szCs w:val="16"/>
          <w:rtl/>
        </w:rPr>
        <w:t>, ב"י</w:t>
      </w:r>
      <w:r w:rsidR="00F44496">
        <w:rPr>
          <w:rFonts w:cs="Arial" w:hint="cs"/>
          <w:sz w:val="16"/>
          <w:szCs w:val="16"/>
          <w:rtl/>
        </w:rPr>
        <w:t>)</w:t>
      </w:r>
    </w:p>
    <w:p w14:paraId="2B0FA0B7" w14:textId="6D07F9C2" w:rsidR="002823D8" w:rsidRDefault="00F44496" w:rsidP="00434A6A">
      <w:pPr>
        <w:rPr>
          <w:rFonts w:cs="Arial"/>
          <w:rtl/>
        </w:rPr>
      </w:pPr>
      <w:r w:rsidRPr="001C3A69">
        <w:rPr>
          <w:rFonts w:cs="Arial" w:hint="cs"/>
          <w:b/>
          <w:bCs/>
          <w:rtl/>
        </w:rPr>
        <w:t>ע</w:t>
      </w:r>
      <w:r>
        <w:rPr>
          <w:rFonts w:cs="Arial" w:hint="cs"/>
          <w:b/>
          <w:bCs/>
          <w:rtl/>
        </w:rPr>
        <w:t>י</w:t>
      </w:r>
      <w:r w:rsidRPr="001C3A69">
        <w:rPr>
          <w:rFonts w:cs="Arial" w:hint="cs"/>
          <w:b/>
          <w:bCs/>
          <w:rtl/>
        </w:rPr>
        <w:t xml:space="preserve">רובין </w:t>
      </w:r>
      <w:r w:rsidRPr="001C3A69">
        <w:rPr>
          <w:rFonts w:cs="Arial" w:hint="cs"/>
          <w:b/>
          <w:bCs/>
          <w:sz w:val="16"/>
          <w:szCs w:val="16"/>
          <w:rtl/>
        </w:rPr>
        <w:t xml:space="preserve">(פ' בתרא) </w:t>
      </w:r>
      <w:r w:rsidRPr="001C3A69">
        <w:rPr>
          <w:rFonts w:cs="Arial" w:hint="cs"/>
          <w:b/>
          <w:bCs/>
          <w:rtl/>
        </w:rPr>
        <w:t>ק</w:t>
      </w:r>
      <w:r w:rsidR="00FE3185">
        <w:rPr>
          <w:rFonts w:cs="Arial" w:hint="cs"/>
          <w:b/>
          <w:bCs/>
          <w:rtl/>
        </w:rPr>
        <w:t>ב</w:t>
      </w:r>
      <w:r w:rsidRPr="001C3A69">
        <w:rPr>
          <w:rFonts w:cs="Arial" w:hint="cs"/>
          <w:b/>
          <w:bCs/>
          <w:rtl/>
        </w:rPr>
        <w:t xml:space="preserve"> ע"</w:t>
      </w:r>
      <w:r w:rsidR="00FE3185">
        <w:rPr>
          <w:rFonts w:cs="Arial" w:hint="cs"/>
          <w:b/>
          <w:bCs/>
          <w:rtl/>
        </w:rPr>
        <w:t>א</w:t>
      </w:r>
      <w:r w:rsidRPr="001C3A69">
        <w:rPr>
          <w:rFonts w:cs="Arial" w:hint="cs"/>
          <w:b/>
          <w:bCs/>
          <w:rtl/>
        </w:rPr>
        <w:t xml:space="preserve">: </w:t>
      </w:r>
      <w:r w:rsidRPr="001C3A69">
        <w:rPr>
          <w:rFonts w:cs="Arial"/>
          <w:u w:val="double"/>
          <w:rtl/>
        </w:rPr>
        <w:t>משנה</w:t>
      </w:r>
      <w:r>
        <w:rPr>
          <w:rFonts w:cs="Arial" w:hint="cs"/>
          <w:rtl/>
        </w:rPr>
        <w:t>:</w:t>
      </w:r>
      <w:r w:rsidRPr="00A069F9">
        <w:rPr>
          <w:rFonts w:cs="Arial"/>
          <w:rtl/>
        </w:rPr>
        <w:t xml:space="preserve"> </w:t>
      </w:r>
      <w:r w:rsidRPr="00F44496">
        <w:rPr>
          <w:rFonts w:cs="Arial"/>
          <w:rtl/>
        </w:rPr>
        <w:t xml:space="preserve"> נגר הנגרר</w:t>
      </w:r>
      <w:r w:rsidR="00FE3185">
        <w:rPr>
          <w:rStyle w:val="a9"/>
          <w:rFonts w:cs="Arial"/>
          <w:rtl/>
        </w:rPr>
        <w:footnoteReference w:id="2067"/>
      </w:r>
      <w:r w:rsidRPr="00F44496">
        <w:rPr>
          <w:rFonts w:cs="Arial"/>
          <w:rtl/>
        </w:rPr>
        <w:t xml:space="preserve"> - נועלין בו במקדש</w:t>
      </w:r>
      <w:r w:rsidR="00FE3185">
        <w:rPr>
          <w:rStyle w:val="a9"/>
          <w:rFonts w:cs="Arial"/>
          <w:rtl/>
        </w:rPr>
        <w:footnoteReference w:id="2068"/>
      </w:r>
      <w:r w:rsidRPr="00F44496">
        <w:rPr>
          <w:rFonts w:cs="Arial"/>
          <w:rtl/>
        </w:rPr>
        <w:t xml:space="preserve"> אבל לא במדינה. והמונח</w:t>
      </w:r>
      <w:r w:rsidR="00FE3185">
        <w:rPr>
          <w:rStyle w:val="a9"/>
          <w:rFonts w:cs="Arial"/>
          <w:rtl/>
        </w:rPr>
        <w:footnoteReference w:id="2069"/>
      </w:r>
      <w:r w:rsidRPr="00F44496">
        <w:rPr>
          <w:rFonts w:cs="Arial"/>
          <w:rtl/>
        </w:rPr>
        <w:t xml:space="preserve"> - כאן וכאן אסור. </w:t>
      </w:r>
      <w:r w:rsidRPr="00F44496">
        <w:rPr>
          <w:rFonts w:cs="Arial"/>
          <w:u w:val="single"/>
          <w:rtl/>
        </w:rPr>
        <w:t>רבי יהודה אומר</w:t>
      </w:r>
      <w:r w:rsidRPr="00F44496">
        <w:rPr>
          <w:rFonts w:cs="Arial"/>
          <w:rtl/>
        </w:rPr>
        <w:t xml:space="preserve">: המונח - מותר במקדש, והנגרר במדינה. </w:t>
      </w:r>
      <w:r>
        <w:rPr>
          <w:rFonts w:cs="Arial" w:hint="cs"/>
          <w:rtl/>
        </w:rPr>
        <w:t xml:space="preserve">     </w:t>
      </w:r>
      <w:r w:rsidRPr="00F44496">
        <w:rPr>
          <w:rFonts w:cs="Arial"/>
          <w:u w:val="double"/>
          <w:rtl/>
        </w:rPr>
        <w:t>גמרא</w:t>
      </w:r>
      <w:r>
        <w:rPr>
          <w:rFonts w:cs="Arial" w:hint="cs"/>
          <w:rtl/>
        </w:rPr>
        <w:t>:</w:t>
      </w:r>
      <w:r w:rsidRPr="00F44496">
        <w:rPr>
          <w:rFonts w:cs="Arial"/>
          <w:rtl/>
        </w:rPr>
        <w:t xml:space="preserve"> תנו רבנן: איזהו נגר הנגרר שנועלין במקדש אבל לא במדינה - כל שקשור ותלוי, וראשו אחד מגיע לארץ. רבי יהודה אומר: זה - אף במדינה מותר, אלא איזהו נגר שנועלין במקדש אבל לא במדינה כל שאינו לא קשור ולא תלוי, ושומטו ומניחו בקרן זוית. </w:t>
      </w:r>
      <w:r w:rsidRPr="00944B2C">
        <w:rPr>
          <w:rFonts w:cs="Arial"/>
          <w:u w:val="single"/>
          <w:rtl/>
        </w:rPr>
        <w:t>אמר רב יהודה אמר שמואל</w:t>
      </w:r>
      <w:r w:rsidRPr="00F44496">
        <w:rPr>
          <w:rFonts w:cs="Arial"/>
          <w:rtl/>
        </w:rPr>
        <w:t>: הלכה כרבי יהודה בנגרר</w:t>
      </w:r>
      <w:r w:rsidR="00F4298B">
        <w:rPr>
          <w:rStyle w:val="a9"/>
          <w:rFonts w:cs="Arial"/>
          <w:rtl/>
        </w:rPr>
        <w:footnoteReference w:id="2070"/>
      </w:r>
      <w:r w:rsidRPr="00F44496">
        <w:rPr>
          <w:rFonts w:cs="Arial"/>
          <w:rtl/>
        </w:rPr>
        <w:t xml:space="preserve">. </w:t>
      </w:r>
      <w:r w:rsidRPr="00944B2C">
        <w:rPr>
          <w:rFonts w:cs="Arial"/>
          <w:u w:val="single"/>
          <w:rtl/>
        </w:rPr>
        <w:t>אמר רבא</w:t>
      </w:r>
      <w:r w:rsidRPr="00F44496">
        <w:rPr>
          <w:rFonts w:cs="Arial"/>
          <w:rtl/>
        </w:rPr>
        <w:t>: והוא שקשור בדלת</w:t>
      </w:r>
      <w:r w:rsidR="00F4298B">
        <w:rPr>
          <w:rStyle w:val="a9"/>
          <w:rFonts w:cs="Arial"/>
          <w:rtl/>
        </w:rPr>
        <w:footnoteReference w:id="2071"/>
      </w:r>
      <w:r w:rsidRPr="00F44496">
        <w:rPr>
          <w:rFonts w:cs="Arial"/>
          <w:rtl/>
        </w:rPr>
        <w:t>. איני? והא רבי טבלא איקלע למחוזא, וחזא לההוא דהוה תלי בעיברא דדשא, ולא אמר להו ולא מידי! ההוא ניטל באיגדו</w:t>
      </w:r>
      <w:r w:rsidR="00F4298B">
        <w:rPr>
          <w:rStyle w:val="a9"/>
          <w:rFonts w:cs="Arial"/>
          <w:rtl/>
        </w:rPr>
        <w:footnoteReference w:id="2072"/>
      </w:r>
      <w:r w:rsidRPr="00F44496">
        <w:rPr>
          <w:rFonts w:cs="Arial"/>
          <w:rtl/>
        </w:rPr>
        <w:t xml:space="preserve"> הוה.</w:t>
      </w:r>
      <w:r>
        <w:rPr>
          <w:rFonts w:cs="Arial" w:hint="cs"/>
          <w:rtl/>
        </w:rPr>
        <w:t xml:space="preserve"> </w:t>
      </w:r>
      <w:r w:rsidR="002823D8">
        <w:rPr>
          <w:rFonts w:cs="Arial" w:hint="cs"/>
          <w:sz w:val="16"/>
          <w:szCs w:val="16"/>
          <w:rtl/>
        </w:rPr>
        <w:t>(</w:t>
      </w:r>
      <w:r w:rsidR="004C5375" w:rsidRPr="002823D8">
        <w:rPr>
          <w:rFonts w:cs="Arial"/>
          <w:sz w:val="16"/>
          <w:szCs w:val="16"/>
          <w:rtl/>
        </w:rPr>
        <w:t>ומשמע דכי שריא בשיש בראשו גלוסטרא אפילו אינו ניטל באגדו</w:t>
      </w:r>
      <w:r w:rsidR="00D31988" w:rsidRPr="002823D8">
        <w:rPr>
          <w:rFonts w:cs="Arial" w:hint="cs"/>
          <w:sz w:val="16"/>
          <w:szCs w:val="16"/>
          <w:rtl/>
        </w:rPr>
        <w:t>,</w:t>
      </w:r>
      <w:r w:rsidR="004C5375" w:rsidRPr="002823D8">
        <w:rPr>
          <w:rFonts w:cs="Arial"/>
          <w:sz w:val="16"/>
          <w:szCs w:val="16"/>
          <w:rtl/>
        </w:rPr>
        <w:t xml:space="preserve"> בתלי בעברא דדשא נמי שרי</w:t>
      </w:r>
      <w:r w:rsidR="00D31988" w:rsidRPr="002823D8">
        <w:rPr>
          <w:rFonts w:cs="Arial" w:hint="cs"/>
          <w:sz w:val="16"/>
          <w:szCs w:val="16"/>
          <w:rtl/>
        </w:rPr>
        <w:t>.</w:t>
      </w:r>
      <w:r w:rsidR="004C5375" w:rsidRPr="002823D8">
        <w:rPr>
          <w:rFonts w:cs="Arial"/>
          <w:sz w:val="16"/>
          <w:szCs w:val="16"/>
          <w:rtl/>
        </w:rPr>
        <w:t xml:space="preserve"> דאי בקשור בדלת אפילו באין בראשו גלוסטרא נמי שרי</w:t>
      </w:r>
      <w:r w:rsidR="00F4298B" w:rsidRPr="002823D8">
        <w:rPr>
          <w:rFonts w:cs="Arial" w:hint="cs"/>
          <w:sz w:val="16"/>
          <w:szCs w:val="16"/>
          <w:rtl/>
        </w:rPr>
        <w:t>.</w:t>
      </w:r>
      <w:r w:rsidR="004C5375" w:rsidRPr="002823D8">
        <w:rPr>
          <w:rFonts w:cs="Arial"/>
          <w:sz w:val="16"/>
          <w:szCs w:val="16"/>
          <w:rtl/>
        </w:rPr>
        <w:t xml:space="preserve"> וכן כתבו התוספות (קא: ד"ה כי פליגי)</w:t>
      </w:r>
      <w:r w:rsidR="00F4298B" w:rsidRPr="002823D8">
        <w:rPr>
          <w:rFonts w:cs="Arial" w:hint="cs"/>
          <w:sz w:val="16"/>
          <w:szCs w:val="16"/>
          <w:rtl/>
        </w:rPr>
        <w:t>.</w:t>
      </w:r>
      <w:r w:rsidR="004C5375" w:rsidRPr="002823D8">
        <w:rPr>
          <w:rFonts w:cs="Arial"/>
          <w:sz w:val="16"/>
          <w:szCs w:val="16"/>
          <w:rtl/>
        </w:rPr>
        <w:t xml:space="preserve"> ומיהו אם אינו קשור כלל נראה לכאורה דאפילו יש בראשו גלוסטרא אסור</w:t>
      </w:r>
      <w:r w:rsidR="00F4298B" w:rsidRPr="002823D8">
        <w:rPr>
          <w:rFonts w:cs="Arial" w:hint="cs"/>
          <w:sz w:val="16"/>
          <w:szCs w:val="16"/>
          <w:rtl/>
        </w:rPr>
        <w:t>.</w:t>
      </w:r>
      <w:r w:rsidR="004C5375" w:rsidRPr="002823D8">
        <w:rPr>
          <w:rFonts w:cs="Arial"/>
          <w:sz w:val="16"/>
          <w:szCs w:val="16"/>
          <w:rtl/>
        </w:rPr>
        <w:t xml:space="preserve"> דעד כאן לא שרי רבי יוסי אלא באינו ניטל באגדו</w:t>
      </w:r>
      <w:r w:rsidR="00F4298B" w:rsidRPr="002823D8">
        <w:rPr>
          <w:rFonts w:cs="Arial" w:hint="cs"/>
          <w:sz w:val="16"/>
          <w:szCs w:val="16"/>
          <w:rtl/>
        </w:rPr>
        <w:t>,</w:t>
      </w:r>
      <w:r w:rsidR="004C5375" w:rsidRPr="002823D8">
        <w:rPr>
          <w:rFonts w:cs="Arial"/>
          <w:sz w:val="16"/>
          <w:szCs w:val="16"/>
          <w:rtl/>
        </w:rPr>
        <w:t xml:space="preserve"> אבל קשור מיהא בעי</w:t>
      </w:r>
      <w:r w:rsidR="00D31988" w:rsidRPr="002823D8">
        <w:rPr>
          <w:rFonts w:cs="Arial" w:hint="cs"/>
          <w:sz w:val="16"/>
          <w:szCs w:val="16"/>
          <w:rtl/>
        </w:rPr>
        <w:t>.</w:t>
      </w:r>
      <w:r w:rsidR="004C5375" w:rsidRPr="002823D8">
        <w:rPr>
          <w:rFonts w:cs="Arial"/>
          <w:sz w:val="16"/>
          <w:szCs w:val="16"/>
          <w:rtl/>
        </w:rPr>
        <w:t xml:space="preserve"> וכך הם דברי רבינו בקצת נוסחאות</w:t>
      </w:r>
      <w:r w:rsidR="002823D8">
        <w:rPr>
          <w:rFonts w:cs="Arial" w:hint="cs"/>
          <w:sz w:val="14"/>
          <w:szCs w:val="14"/>
          <w:rtl/>
        </w:rPr>
        <w:t xml:space="preserve"> {וכן הוא לפנינו}</w:t>
      </w:r>
      <w:r w:rsidR="00D31988" w:rsidRPr="002823D8">
        <w:rPr>
          <w:rFonts w:cs="Arial" w:hint="cs"/>
          <w:sz w:val="16"/>
          <w:szCs w:val="16"/>
          <w:rtl/>
        </w:rPr>
        <w:t>.</w:t>
      </w:r>
      <w:r w:rsidR="004C5375" w:rsidRPr="002823D8">
        <w:rPr>
          <w:rFonts w:cs="Arial"/>
          <w:sz w:val="16"/>
          <w:szCs w:val="16"/>
          <w:rtl/>
        </w:rPr>
        <w:t xml:space="preserve"> אבל יש נוסחאות דגרסי בדברי רבינו גבי יש בראשו גלוסטרא דהוא הדין דשרי אפילו אם אינו קשור כלל</w:t>
      </w:r>
      <w:r w:rsidR="00D31988" w:rsidRPr="002823D8">
        <w:rPr>
          <w:rFonts w:cs="Arial" w:hint="cs"/>
          <w:sz w:val="16"/>
          <w:szCs w:val="16"/>
          <w:rtl/>
        </w:rPr>
        <w:t>.</w:t>
      </w:r>
      <w:r w:rsidR="004C5375" w:rsidRPr="002823D8">
        <w:rPr>
          <w:rFonts w:cs="Arial"/>
          <w:sz w:val="16"/>
          <w:szCs w:val="16"/>
          <w:rtl/>
        </w:rPr>
        <w:t xml:space="preserve"> וכן התיר הרמב"ם בפרק כ"ו (ה"ט) ביש בראשו קלוסטרא ולא חילק בין קשור לשאינו קשור</w:t>
      </w:r>
      <w:r w:rsidR="002823D8" w:rsidRPr="002823D8">
        <w:rPr>
          <w:rFonts w:cs="Arial" w:hint="cs"/>
          <w:sz w:val="16"/>
          <w:szCs w:val="16"/>
          <w:rtl/>
        </w:rPr>
        <w:t>, ב"י</w:t>
      </w:r>
      <w:r w:rsidR="00D31988" w:rsidRPr="002823D8">
        <w:rPr>
          <w:rFonts w:cs="Arial" w:hint="cs"/>
          <w:sz w:val="16"/>
          <w:szCs w:val="16"/>
          <w:rtl/>
        </w:rPr>
        <w:t>.</w:t>
      </w:r>
      <w:r w:rsidR="002823D8" w:rsidRPr="002823D8">
        <w:rPr>
          <w:rFonts w:cs="Arial" w:hint="cs"/>
          <w:sz w:val="16"/>
          <w:szCs w:val="16"/>
          <w:rtl/>
        </w:rPr>
        <w:t xml:space="preserve"> ועיין בב"י שהאריך לבאר מדוע שרי אפילו אינו קשור כלל ובלבד שיש לו גלוסטרא)</w:t>
      </w:r>
      <w:r w:rsidR="004C5375">
        <w:rPr>
          <w:rFonts w:cs="Arial"/>
          <w:rtl/>
        </w:rPr>
        <w:t xml:space="preserve"> </w:t>
      </w:r>
    </w:p>
    <w:p w14:paraId="23B4B67B" w14:textId="49FA4330" w:rsidR="00A069F9" w:rsidRPr="003C6BB0" w:rsidRDefault="00A069F9" w:rsidP="00434A6A">
      <w:pPr>
        <w:rPr>
          <w:rFonts w:cs="Arial"/>
          <w:rtl/>
        </w:rPr>
      </w:pPr>
      <w:r w:rsidRPr="00A26389">
        <w:rPr>
          <w:rFonts w:cs="Arial" w:hint="cs"/>
          <w:u w:val="single"/>
          <w:rtl/>
        </w:rPr>
        <w:t>תחיבת יתד ב</w:t>
      </w:r>
      <w:r w:rsidR="00A26389" w:rsidRPr="00A26389">
        <w:rPr>
          <w:rFonts w:cs="Arial" w:hint="cs"/>
          <w:u w:val="single"/>
          <w:rtl/>
        </w:rPr>
        <w:t>אסקופה שב</w:t>
      </w:r>
      <w:r w:rsidRPr="00A26389">
        <w:rPr>
          <w:rFonts w:cs="Arial" w:hint="cs"/>
          <w:u w:val="single"/>
          <w:rtl/>
        </w:rPr>
        <w:t>מפתן הדלת</w:t>
      </w:r>
      <w:r w:rsidRPr="00A069F9">
        <w:rPr>
          <w:rFonts w:cs="Arial" w:hint="cs"/>
          <w:u w:val="single"/>
          <w:rtl/>
        </w:rPr>
        <w:t>:</w:t>
      </w:r>
    </w:p>
    <w:p w14:paraId="651CFA21" w14:textId="403A30D1" w:rsidR="00A069F9" w:rsidRDefault="00A069F9" w:rsidP="00434A6A">
      <w:pPr>
        <w:pStyle w:val="aa"/>
        <w:numPr>
          <w:ilvl w:val="0"/>
          <w:numId w:val="15"/>
        </w:numPr>
      </w:pPr>
      <w:r>
        <w:rPr>
          <w:rFonts w:cs="Arial" w:hint="cs"/>
          <w:rtl/>
        </w:rPr>
        <w:t xml:space="preserve">טור- </w:t>
      </w:r>
      <w:r>
        <w:rPr>
          <w:rFonts w:cs="Arial"/>
          <w:rtl/>
        </w:rPr>
        <w:t>ונגר שהוא יתד שנועלין בו ותוחבין אותו באסקופה למטה ודומה טפי לבנין</w:t>
      </w:r>
      <w:r>
        <w:rPr>
          <w:rFonts w:cs="Arial" w:hint="cs"/>
          <w:rtl/>
        </w:rPr>
        <w:t>,</w:t>
      </w:r>
      <w:r>
        <w:rPr>
          <w:rFonts w:cs="Arial"/>
          <w:rtl/>
        </w:rPr>
        <w:t xml:space="preserve"> לא סגי בהכי ואין נועלין בו אא"כ יהא קשור</w:t>
      </w:r>
      <w:r>
        <w:rPr>
          <w:rFonts w:cs="Arial" w:hint="cs"/>
          <w:rtl/>
        </w:rPr>
        <w:t>.</w:t>
      </w:r>
      <w:r>
        <w:rPr>
          <w:rFonts w:cs="Arial"/>
          <w:rtl/>
        </w:rPr>
        <w:t xml:space="preserve"> וכיצד יהא קשור</w:t>
      </w:r>
      <w:r>
        <w:rPr>
          <w:rFonts w:cs="Arial" w:hint="cs"/>
          <w:rtl/>
        </w:rPr>
        <w:t>,</w:t>
      </w:r>
      <w:r>
        <w:rPr>
          <w:rFonts w:cs="Arial"/>
          <w:rtl/>
        </w:rPr>
        <w:t xml:space="preserve"> אם יש בראשו גלוסטרא</w:t>
      </w:r>
      <w:r>
        <w:rPr>
          <w:rFonts w:cs="Arial" w:hint="cs"/>
          <w:rtl/>
        </w:rPr>
        <w:t>,</w:t>
      </w:r>
      <w:r>
        <w:rPr>
          <w:rFonts w:cs="Arial"/>
          <w:rtl/>
        </w:rPr>
        <w:t xml:space="preserve"> פירוש שהוא עב באחד מן הראשים וראוי לכתוש בו שדומה לכלי</w:t>
      </w:r>
      <w:r>
        <w:rPr>
          <w:rFonts w:cs="Arial" w:hint="cs"/>
          <w:rtl/>
        </w:rPr>
        <w:t>,</w:t>
      </w:r>
      <w:r>
        <w:rPr>
          <w:rFonts w:cs="Arial"/>
          <w:rtl/>
        </w:rPr>
        <w:t xml:space="preserve"> סגי אפי' אם קשור בחבל דק שאינו ראוי להיות ניטל בו</w:t>
      </w:r>
      <w:r>
        <w:rPr>
          <w:rFonts w:cs="Arial" w:hint="cs"/>
          <w:rtl/>
        </w:rPr>
        <w:t>,</w:t>
      </w:r>
      <w:r>
        <w:rPr>
          <w:rFonts w:cs="Arial"/>
          <w:rtl/>
        </w:rPr>
        <w:t xml:space="preserve"> ואפי' אם אינו קשור בדלת עצמו אלא בבריח הדלת</w:t>
      </w:r>
      <w:r>
        <w:rPr>
          <w:rFonts w:cs="Arial" w:hint="cs"/>
          <w:rtl/>
        </w:rPr>
        <w:t>,</w:t>
      </w:r>
      <w:r>
        <w:rPr>
          <w:rFonts w:cs="Arial"/>
          <w:rtl/>
        </w:rPr>
        <w:t xml:space="preserve"> ואפילו אם החבל ארוך ואינו תלוי כלל באויר אלא כולו מונחת בארץ</w:t>
      </w:r>
      <w:r>
        <w:rPr>
          <w:rFonts w:cs="Arial" w:hint="cs"/>
          <w:rtl/>
        </w:rPr>
        <w:t>.</w:t>
      </w:r>
      <w:r>
        <w:rPr>
          <w:rFonts w:cs="Arial"/>
          <w:rtl/>
        </w:rPr>
        <w:t xml:space="preserve"> ואם אין בראשו גלוסטרא</w:t>
      </w:r>
      <w:r>
        <w:rPr>
          <w:rFonts w:cs="Arial" w:hint="cs"/>
          <w:rtl/>
        </w:rPr>
        <w:t>,</w:t>
      </w:r>
      <w:r>
        <w:rPr>
          <w:rFonts w:cs="Arial"/>
          <w:rtl/>
        </w:rPr>
        <w:t xml:space="preserve"> אם הוא קשור בדלת עצמו סגי</w:t>
      </w:r>
      <w:r>
        <w:rPr>
          <w:rFonts w:cs="Arial" w:hint="cs"/>
          <w:rtl/>
        </w:rPr>
        <w:t>,</w:t>
      </w:r>
      <w:r>
        <w:rPr>
          <w:rFonts w:cs="Arial"/>
          <w:rtl/>
        </w:rPr>
        <w:t xml:space="preserve"> אפילו בחבל דק שאינו ראוי לינטל בו</w:t>
      </w:r>
      <w:r>
        <w:rPr>
          <w:rFonts w:cs="Arial" w:hint="cs"/>
          <w:rtl/>
        </w:rPr>
        <w:t>,</w:t>
      </w:r>
      <w:r>
        <w:rPr>
          <w:rFonts w:cs="Arial"/>
          <w:rtl/>
        </w:rPr>
        <w:t xml:space="preserve"> ואפי' כולו מונח בארץ</w:t>
      </w:r>
      <w:r>
        <w:rPr>
          <w:rFonts w:cs="Arial" w:hint="cs"/>
          <w:rtl/>
        </w:rPr>
        <w:t>.</w:t>
      </w:r>
      <w:r>
        <w:rPr>
          <w:rFonts w:cs="Arial"/>
          <w:rtl/>
        </w:rPr>
        <w:t xml:space="preserve"> ואם אינו קשור בדלת אלא בבריח</w:t>
      </w:r>
      <w:r>
        <w:rPr>
          <w:rFonts w:cs="Arial" w:hint="cs"/>
          <w:rtl/>
        </w:rPr>
        <w:t>,</w:t>
      </w:r>
      <w:r>
        <w:rPr>
          <w:rFonts w:cs="Arial"/>
          <w:rtl/>
        </w:rPr>
        <w:t xml:space="preserve"> צריך שיהא הקשר אמיץ ושיהא ראוי לינטל בו</w:t>
      </w:r>
      <w:r>
        <w:rPr>
          <w:rFonts w:cs="Arial" w:hint="cs"/>
          <w:rtl/>
        </w:rPr>
        <w:t xml:space="preserve">. </w:t>
      </w:r>
      <w:r>
        <w:rPr>
          <w:rFonts w:cs="Arial"/>
          <w:rtl/>
        </w:rPr>
        <w:t>ואפ"ה א"צ שיהא תלוי אלא אפילו כולו מונח בארץ</w:t>
      </w:r>
      <w:r>
        <w:rPr>
          <w:rFonts w:cs="Arial" w:hint="cs"/>
          <w:rtl/>
        </w:rPr>
        <w:t>,</w:t>
      </w:r>
      <w:r>
        <w:rPr>
          <w:rFonts w:cs="Arial"/>
          <w:rtl/>
        </w:rPr>
        <w:t xml:space="preserve"> שאין אסור אלא כששומטו ומניחו בקרן זוית</w:t>
      </w:r>
      <w:r>
        <w:rPr>
          <w:rFonts w:cs="Arial" w:hint="cs"/>
          <w:rtl/>
        </w:rPr>
        <w:t>.</w:t>
      </w:r>
      <w:r>
        <w:rPr>
          <w:rFonts w:cs="Arial"/>
          <w:rtl/>
        </w:rPr>
        <w:t xml:space="preserve"> </w:t>
      </w:r>
      <w:r w:rsidR="00A26389" w:rsidRPr="00A26389">
        <w:rPr>
          <w:rFonts w:hint="cs"/>
          <w:color w:val="E36C0A" w:themeColor="accent6" w:themeShade="BF"/>
          <w:rtl/>
        </w:rPr>
        <w:t>(וכ"פ בשו"ע)</w:t>
      </w:r>
    </w:p>
    <w:p w14:paraId="7427FDAF" w14:textId="06F2E9C6" w:rsidR="00CE0BE0" w:rsidRPr="00FD7D9A" w:rsidRDefault="00CE0BE0" w:rsidP="00434A6A">
      <w:pPr>
        <w:pStyle w:val="aa"/>
        <w:numPr>
          <w:ilvl w:val="0"/>
          <w:numId w:val="15"/>
        </w:numPr>
        <w:rPr>
          <w:rtl/>
        </w:rPr>
      </w:pPr>
      <w:r>
        <w:rPr>
          <w:rFonts w:cs="Arial" w:hint="cs"/>
          <w:rtl/>
        </w:rPr>
        <w:t xml:space="preserve">רמב"ם </w:t>
      </w:r>
      <w:r>
        <w:rPr>
          <w:rFonts w:cs="Arial" w:hint="cs"/>
          <w:sz w:val="16"/>
          <w:szCs w:val="16"/>
          <w:rtl/>
        </w:rPr>
        <w:t>(פכ"ו ה"ט-י)</w:t>
      </w:r>
      <w:r>
        <w:rPr>
          <w:rFonts w:cs="Arial" w:hint="cs"/>
          <w:rtl/>
        </w:rPr>
        <w:t xml:space="preserve">- </w:t>
      </w:r>
      <w:r>
        <w:rPr>
          <w:rFonts w:cs="Arial"/>
          <w:rtl/>
        </w:rPr>
        <w:t xml:space="preserve">נגר שיש בראשו קלוסטרא שמוכחת עליו שהוא כלי מוכן לנעילה ואינו קורה כשאר הקורות </w:t>
      </w:r>
      <w:r w:rsidR="00FD3A92">
        <w:rPr>
          <w:rFonts w:cs="Arial" w:hint="cs"/>
          <w:rtl/>
        </w:rPr>
        <w:t xml:space="preserve">- </w:t>
      </w:r>
      <w:r>
        <w:rPr>
          <w:rFonts w:cs="Arial"/>
          <w:rtl/>
        </w:rPr>
        <w:t xml:space="preserve">נועלין בו בשבת. </w:t>
      </w:r>
      <w:r>
        <w:rPr>
          <w:rFonts w:cs="Arial" w:hint="cs"/>
          <w:sz w:val="14"/>
          <w:szCs w:val="14"/>
          <w:rtl/>
        </w:rPr>
        <w:t xml:space="preserve">[ה"י] </w:t>
      </w:r>
      <w:r w:rsidRPr="00CE0BE0">
        <w:rPr>
          <w:rFonts w:cs="Arial"/>
          <w:rtl/>
        </w:rPr>
        <w:t>נגר שאין בראשו קלוסטרא</w:t>
      </w:r>
      <w:r>
        <w:rPr>
          <w:rFonts w:cs="Arial" w:hint="cs"/>
          <w:rtl/>
        </w:rPr>
        <w:t>,</w:t>
      </w:r>
      <w:r w:rsidRPr="00CE0BE0">
        <w:rPr>
          <w:rFonts w:cs="Arial"/>
          <w:rtl/>
        </w:rPr>
        <w:t xml:space="preserve"> אם היה קשור ותלוי בדלת</w:t>
      </w:r>
      <w:r>
        <w:rPr>
          <w:rFonts w:cs="Arial" w:hint="cs"/>
          <w:rtl/>
        </w:rPr>
        <w:t xml:space="preserve"> -</w:t>
      </w:r>
      <w:r w:rsidRPr="00CE0BE0">
        <w:rPr>
          <w:rFonts w:cs="Arial"/>
          <w:rtl/>
        </w:rPr>
        <w:t xml:space="preserve"> נועלין בו, וכן אם היה ניטל ואגדו עמו</w:t>
      </w:r>
      <w:r>
        <w:rPr>
          <w:rFonts w:cs="Arial" w:hint="cs"/>
          <w:rtl/>
        </w:rPr>
        <w:t>.</w:t>
      </w:r>
      <w:r w:rsidRPr="00CE0BE0">
        <w:rPr>
          <w:rFonts w:cs="Arial"/>
          <w:rtl/>
        </w:rPr>
        <w:t xml:space="preserve"> אבל אם היה אגדו קבוע בדלת והיה הנגר נשמט כמו קורה ומניחין אותו בזוית וחוזרין ונועלין בו בעת שרוצין </w:t>
      </w:r>
      <w:r>
        <w:rPr>
          <w:rFonts w:cs="Arial" w:hint="cs"/>
          <w:rtl/>
        </w:rPr>
        <w:t xml:space="preserve">- </w:t>
      </w:r>
      <w:r w:rsidRPr="00CE0BE0">
        <w:rPr>
          <w:rFonts w:cs="Arial"/>
          <w:rtl/>
        </w:rPr>
        <w:t>הרי זה אסור לנעול בו</w:t>
      </w:r>
      <w:r>
        <w:rPr>
          <w:rFonts w:cs="Arial" w:hint="cs"/>
          <w:rtl/>
        </w:rPr>
        <w:t>,</w:t>
      </w:r>
      <w:r w:rsidRPr="00CE0BE0">
        <w:rPr>
          <w:rFonts w:cs="Arial"/>
          <w:rtl/>
        </w:rPr>
        <w:t xml:space="preserve"> שאין עליו תורת כלי ואינו אגוד ואין בו אגד להוכיח עליו</w:t>
      </w:r>
      <w:r>
        <w:rPr>
          <w:rStyle w:val="a9"/>
          <w:rFonts w:cs="Arial"/>
          <w:rtl/>
        </w:rPr>
        <w:footnoteReference w:id="2073"/>
      </w:r>
      <w:r w:rsidRPr="00CE0BE0">
        <w:rPr>
          <w:rFonts w:cs="Arial"/>
          <w:rtl/>
        </w:rPr>
        <w:t>.</w:t>
      </w:r>
    </w:p>
    <w:p w14:paraId="4F3B583C" w14:textId="77777777" w:rsidR="00FD7D9A" w:rsidRPr="00D10A83" w:rsidRDefault="00FD7D9A" w:rsidP="00434A6A">
      <w:pPr>
        <w:rPr>
          <w:rFonts w:asciiTheme="minorBidi" w:hAnsiTheme="minorBidi"/>
          <w:rtl/>
        </w:rPr>
      </w:pPr>
      <w:r w:rsidRPr="005275DF">
        <w:rPr>
          <w:rFonts w:asciiTheme="minorBidi" w:hAnsiTheme="minorBidi"/>
          <w:b/>
          <w:bCs/>
          <w:sz w:val="32"/>
          <w:szCs w:val="28"/>
          <w:u w:val="single"/>
          <w:rtl/>
        </w:rPr>
        <w:t xml:space="preserve">שו"ע: </w:t>
      </w:r>
    </w:p>
    <w:p w14:paraId="772AFB29" w14:textId="1F967BA6" w:rsidR="008C1C8E" w:rsidRDefault="008C1C8E" w:rsidP="00434A6A">
      <w:pPr>
        <w:rPr>
          <w:rFonts w:asciiTheme="minorBidi" w:hAnsiTheme="minorBidi"/>
          <w:rtl/>
        </w:rPr>
      </w:pPr>
      <w:r w:rsidRPr="005275DF">
        <w:rPr>
          <w:rFonts w:asciiTheme="minorBidi" w:hAnsiTheme="minorBidi"/>
          <w:rtl/>
        </w:rPr>
        <w:t>פקק החלון, כגון: לוח, או שאר כל דבר שסותמין בו החלון, יכולים לסתמו אפילו אם אינו קשור ולא אמרינן דהוי כמוסיף על הבנין</w:t>
      </w:r>
      <w:r w:rsidR="003C6BB0">
        <w:rPr>
          <w:rFonts w:asciiTheme="minorBidi" w:hAnsiTheme="minorBidi" w:hint="cs"/>
          <w:rtl/>
        </w:rPr>
        <w:t>,</w:t>
      </w:r>
      <w:r w:rsidRPr="005275DF">
        <w:rPr>
          <w:rFonts w:asciiTheme="minorBidi" w:hAnsiTheme="minorBidi"/>
          <w:rtl/>
        </w:rPr>
        <w:t xml:space="preserve"> והוא שיחשוב</w:t>
      </w:r>
      <w:r w:rsidR="001E1881">
        <w:rPr>
          <w:rStyle w:val="a9"/>
          <w:rFonts w:asciiTheme="minorBidi" w:hAnsiTheme="minorBidi"/>
          <w:rtl/>
        </w:rPr>
        <w:footnoteReference w:id="2074"/>
      </w:r>
      <w:r w:rsidRPr="005275DF">
        <w:rPr>
          <w:rFonts w:asciiTheme="minorBidi" w:hAnsiTheme="minorBidi"/>
          <w:rtl/>
        </w:rPr>
        <w:t xml:space="preserve"> עליו מע</w:t>
      </w:r>
      <w:r w:rsidR="003C6BB0">
        <w:rPr>
          <w:rFonts w:asciiTheme="minorBidi" w:hAnsiTheme="minorBidi" w:hint="cs"/>
          <w:rtl/>
        </w:rPr>
        <w:t>רב שבת</w:t>
      </w:r>
      <w:r w:rsidRPr="005275DF">
        <w:rPr>
          <w:rFonts w:asciiTheme="minorBidi" w:hAnsiTheme="minorBidi"/>
          <w:rtl/>
        </w:rPr>
        <w:t xml:space="preserve"> לסתמו בו. וקנה שהתקינו להיות נועל בו, א</w:t>
      </w:r>
      <w:r w:rsidR="003C6BB0">
        <w:rPr>
          <w:rFonts w:asciiTheme="minorBidi" w:hAnsiTheme="minorBidi" w:hint="cs"/>
          <w:rtl/>
        </w:rPr>
        <w:t xml:space="preserve">ין </w:t>
      </w:r>
      <w:r w:rsidRPr="005275DF">
        <w:rPr>
          <w:rFonts w:asciiTheme="minorBidi" w:hAnsiTheme="minorBidi"/>
          <w:rtl/>
        </w:rPr>
        <w:t>צ</w:t>
      </w:r>
      <w:r w:rsidR="003C6BB0">
        <w:rPr>
          <w:rFonts w:asciiTheme="minorBidi" w:hAnsiTheme="minorBidi" w:hint="cs"/>
          <w:rtl/>
        </w:rPr>
        <w:t>ריך</w:t>
      </w:r>
      <w:r w:rsidRPr="005275DF">
        <w:rPr>
          <w:rFonts w:asciiTheme="minorBidi" w:hAnsiTheme="minorBidi"/>
          <w:rtl/>
        </w:rPr>
        <w:t xml:space="preserve"> שיקשרנו בדלת</w:t>
      </w:r>
      <w:r w:rsidR="003C6BB0">
        <w:rPr>
          <w:rFonts w:asciiTheme="minorBidi" w:hAnsiTheme="minorBidi" w:hint="cs"/>
          <w:rtl/>
        </w:rPr>
        <w:t>,</w:t>
      </w:r>
      <w:r w:rsidRPr="005275DF">
        <w:rPr>
          <w:rFonts w:asciiTheme="minorBidi" w:hAnsiTheme="minorBidi"/>
          <w:rtl/>
        </w:rPr>
        <w:t xml:space="preserve"> ומ</w:t>
      </w:r>
      <w:r w:rsidR="003C6BB0">
        <w:rPr>
          <w:rFonts w:asciiTheme="minorBidi" w:hAnsiTheme="minorBidi" w:hint="cs"/>
          <w:rtl/>
        </w:rPr>
        <w:t>כל מקום</w:t>
      </w:r>
      <w:r w:rsidRPr="005275DF">
        <w:rPr>
          <w:rFonts w:asciiTheme="minorBidi" w:hAnsiTheme="minorBidi"/>
          <w:rtl/>
        </w:rPr>
        <w:t xml:space="preserve"> דמי לבנין יותר מפקק החלון ולא סגי במחשבה שיחשוב עליו מאתמול וצריך שיתקננו לכך</w:t>
      </w:r>
      <w:r w:rsidR="003C6BB0">
        <w:rPr>
          <w:rFonts w:asciiTheme="minorBidi" w:hAnsiTheme="minorBidi" w:hint="cs"/>
          <w:rtl/>
        </w:rPr>
        <w:t>.</w:t>
      </w:r>
      <w:r w:rsidRPr="005275DF">
        <w:rPr>
          <w:rFonts w:asciiTheme="minorBidi" w:hAnsiTheme="minorBidi"/>
          <w:rtl/>
        </w:rPr>
        <w:t xml:space="preserve"> לרש"י, היינו שיתקננו לשם כלי שיהא ראוי לשום תשמיש שיהא ראוי להפך בו זיתים או לפצוע בו אגוזים</w:t>
      </w:r>
      <w:r w:rsidR="003C6BB0">
        <w:rPr>
          <w:rFonts w:asciiTheme="minorBidi" w:hAnsiTheme="minorBidi" w:hint="cs"/>
          <w:rtl/>
        </w:rPr>
        <w:t>.</w:t>
      </w:r>
      <w:r w:rsidRPr="005275DF">
        <w:rPr>
          <w:rFonts w:asciiTheme="minorBidi" w:hAnsiTheme="minorBidi"/>
          <w:rtl/>
        </w:rPr>
        <w:t xml:space="preserve"> ולר"ת</w:t>
      </w:r>
      <w:r w:rsidR="003C6BB0">
        <w:rPr>
          <w:rFonts w:asciiTheme="minorBidi" w:hAnsiTheme="minorBidi" w:hint="cs"/>
          <w:rtl/>
        </w:rPr>
        <w:t>,</w:t>
      </w:r>
      <w:r w:rsidRPr="005275DF">
        <w:rPr>
          <w:rFonts w:asciiTheme="minorBidi" w:hAnsiTheme="minorBidi"/>
          <w:rtl/>
        </w:rPr>
        <w:t xml:space="preserve"> א</w:t>
      </w:r>
      <w:r w:rsidR="003C6BB0">
        <w:rPr>
          <w:rFonts w:asciiTheme="minorBidi" w:hAnsiTheme="minorBidi" w:hint="cs"/>
          <w:rtl/>
        </w:rPr>
        <w:t xml:space="preserve">ין </w:t>
      </w:r>
      <w:r w:rsidRPr="005275DF">
        <w:rPr>
          <w:rFonts w:asciiTheme="minorBidi" w:hAnsiTheme="minorBidi"/>
          <w:rtl/>
        </w:rPr>
        <w:t>צ</w:t>
      </w:r>
      <w:r w:rsidR="003C6BB0">
        <w:rPr>
          <w:rFonts w:asciiTheme="minorBidi" w:hAnsiTheme="minorBidi" w:hint="cs"/>
          <w:rtl/>
        </w:rPr>
        <w:t>ריך</w:t>
      </w:r>
      <w:r w:rsidRPr="005275DF">
        <w:rPr>
          <w:rFonts w:asciiTheme="minorBidi" w:hAnsiTheme="minorBidi"/>
          <w:rtl/>
        </w:rPr>
        <w:t xml:space="preserve"> שיהא ראוי לדבר אחר, אלא כיון שתקנו ועשה בו מעשה והכינו לכך סגי. </w:t>
      </w:r>
      <w:r w:rsidRPr="0097294C">
        <w:rPr>
          <w:rFonts w:asciiTheme="minorBidi" w:hAnsiTheme="minorBidi"/>
          <w:sz w:val="18"/>
          <w:szCs w:val="18"/>
          <w:rtl/>
        </w:rPr>
        <w:t xml:space="preserve">הגה: ומיקרי ע"י כך כלי שמלאכתו להיתר, ומותר לטלטלו כמו שנתבאר לעיל סי' ש"ח ס"ב (רמב"ם). </w:t>
      </w:r>
      <w:r w:rsidRPr="005275DF">
        <w:rPr>
          <w:rFonts w:asciiTheme="minorBidi" w:hAnsiTheme="minorBidi"/>
          <w:rtl/>
        </w:rPr>
        <w:t>ונגר שהוא יתד שנועלים בו ותוחבין אותו באסקופה למטה ודומה טפי לבנין, לא סגי בהכי ואין נועלים בו א</w:t>
      </w:r>
      <w:r w:rsidR="002823D8">
        <w:rPr>
          <w:rFonts w:asciiTheme="minorBidi" w:hAnsiTheme="minorBidi" w:hint="cs"/>
          <w:rtl/>
        </w:rPr>
        <w:t xml:space="preserve">לא אם </w:t>
      </w:r>
      <w:r w:rsidRPr="005275DF">
        <w:rPr>
          <w:rFonts w:asciiTheme="minorBidi" w:hAnsiTheme="minorBidi"/>
          <w:rtl/>
        </w:rPr>
        <w:t>כ</w:t>
      </w:r>
      <w:r w:rsidR="002823D8">
        <w:rPr>
          <w:rFonts w:asciiTheme="minorBidi" w:hAnsiTheme="minorBidi" w:hint="cs"/>
          <w:rtl/>
        </w:rPr>
        <w:t>ן</w:t>
      </w:r>
      <w:r w:rsidRPr="005275DF">
        <w:rPr>
          <w:rFonts w:asciiTheme="minorBidi" w:hAnsiTheme="minorBidi"/>
          <w:rtl/>
        </w:rPr>
        <w:t xml:space="preserve"> יהא קשור. וכיצד יהא קשור, אם יש בראשו גלוסטרא דהיינו שהוא עב באחד מהראשים וראוי לכתוש בו שדומה לכלי, סגי אפילו אם קשור בחבל דק שאינו ראוי להיות ניטל בו, ואפילו אם אינו קשור בדלת עצמו אלא בבריח הדלת, ואפילו אם החבל ארוך ואינו תלוי כלל באויר אלא כולו מונח בארץ</w:t>
      </w:r>
      <w:r w:rsidR="002823D8">
        <w:rPr>
          <w:rFonts w:asciiTheme="minorBidi" w:hAnsiTheme="minorBidi" w:hint="cs"/>
          <w:rtl/>
        </w:rPr>
        <w:t>.</w:t>
      </w:r>
      <w:r w:rsidRPr="005275DF">
        <w:rPr>
          <w:rFonts w:asciiTheme="minorBidi" w:hAnsiTheme="minorBidi"/>
          <w:rtl/>
        </w:rPr>
        <w:t xml:space="preserve"> ואם אין בראשו גלוסטרא, אם הוא קשור בדלת עצמה, סגי אפי</w:t>
      </w:r>
      <w:r w:rsidR="002823D8">
        <w:rPr>
          <w:rFonts w:asciiTheme="minorBidi" w:hAnsiTheme="minorBidi" w:hint="cs"/>
          <w:rtl/>
        </w:rPr>
        <w:t xml:space="preserve">לו </w:t>
      </w:r>
      <w:r w:rsidRPr="005275DF">
        <w:rPr>
          <w:rFonts w:asciiTheme="minorBidi" w:hAnsiTheme="minorBidi"/>
          <w:rtl/>
        </w:rPr>
        <w:t>בחבל דק שאינו ראוי לינטל בו ואפי</w:t>
      </w:r>
      <w:r w:rsidR="002823D8">
        <w:rPr>
          <w:rFonts w:asciiTheme="minorBidi" w:hAnsiTheme="minorBidi" w:hint="cs"/>
          <w:rtl/>
        </w:rPr>
        <w:t>לו</w:t>
      </w:r>
      <w:r w:rsidRPr="005275DF">
        <w:rPr>
          <w:rFonts w:asciiTheme="minorBidi" w:hAnsiTheme="minorBidi"/>
          <w:rtl/>
        </w:rPr>
        <w:t xml:space="preserve"> כולו מונח בארץ</w:t>
      </w:r>
      <w:r w:rsidR="002823D8">
        <w:rPr>
          <w:rFonts w:asciiTheme="minorBidi" w:hAnsiTheme="minorBidi" w:hint="cs"/>
          <w:rtl/>
        </w:rPr>
        <w:t>.</w:t>
      </w:r>
      <w:r w:rsidRPr="005275DF">
        <w:rPr>
          <w:rFonts w:asciiTheme="minorBidi" w:hAnsiTheme="minorBidi"/>
          <w:rtl/>
        </w:rPr>
        <w:t xml:space="preserve"> ואם אינו קשור בדלת אלא בבריח, צריך שיהא הקשר אמיץ שיהא ראוי לינטל בו, ואפי</w:t>
      </w:r>
      <w:r w:rsidR="00A26389">
        <w:rPr>
          <w:rFonts w:asciiTheme="minorBidi" w:hAnsiTheme="minorBidi" w:hint="cs"/>
          <w:rtl/>
        </w:rPr>
        <w:t>לו</w:t>
      </w:r>
      <w:r w:rsidRPr="005275DF">
        <w:rPr>
          <w:rFonts w:asciiTheme="minorBidi" w:hAnsiTheme="minorBidi"/>
          <w:rtl/>
        </w:rPr>
        <w:t xml:space="preserve"> הכי</w:t>
      </w:r>
      <w:r w:rsidR="00A26389">
        <w:rPr>
          <w:rFonts w:asciiTheme="minorBidi" w:hAnsiTheme="minorBidi" w:hint="cs"/>
          <w:rtl/>
        </w:rPr>
        <w:t xml:space="preserve"> </w:t>
      </w:r>
      <w:r w:rsidRPr="005275DF">
        <w:rPr>
          <w:rFonts w:asciiTheme="minorBidi" w:hAnsiTheme="minorBidi"/>
          <w:rtl/>
        </w:rPr>
        <w:t>א</w:t>
      </w:r>
      <w:r w:rsidR="00A26389">
        <w:rPr>
          <w:rFonts w:asciiTheme="minorBidi" w:hAnsiTheme="minorBidi" w:hint="cs"/>
          <w:rtl/>
        </w:rPr>
        <w:t xml:space="preserve">ין </w:t>
      </w:r>
      <w:r w:rsidRPr="005275DF">
        <w:rPr>
          <w:rFonts w:asciiTheme="minorBidi" w:hAnsiTheme="minorBidi"/>
          <w:rtl/>
        </w:rPr>
        <w:t>צ</w:t>
      </w:r>
      <w:r w:rsidR="00A26389">
        <w:rPr>
          <w:rFonts w:asciiTheme="minorBidi" w:hAnsiTheme="minorBidi" w:hint="cs"/>
          <w:rtl/>
        </w:rPr>
        <w:t>ריך</w:t>
      </w:r>
      <w:r w:rsidRPr="005275DF">
        <w:rPr>
          <w:rFonts w:asciiTheme="minorBidi" w:hAnsiTheme="minorBidi"/>
          <w:rtl/>
        </w:rPr>
        <w:t xml:space="preserve"> שיהא תלוי, אלא אפי</w:t>
      </w:r>
      <w:r w:rsidR="00A26389">
        <w:rPr>
          <w:rFonts w:asciiTheme="minorBidi" w:hAnsiTheme="minorBidi" w:hint="cs"/>
          <w:rtl/>
        </w:rPr>
        <w:t>לו</w:t>
      </w:r>
      <w:r w:rsidRPr="005275DF">
        <w:rPr>
          <w:rFonts w:asciiTheme="minorBidi" w:hAnsiTheme="minorBidi"/>
          <w:rtl/>
        </w:rPr>
        <w:t xml:space="preserve"> כולו מונח בארץ, מותר</w:t>
      </w:r>
      <w:r w:rsidR="00A26389">
        <w:rPr>
          <w:rFonts w:asciiTheme="minorBidi" w:hAnsiTheme="minorBidi" w:hint="cs"/>
          <w:rtl/>
        </w:rPr>
        <w:t>,</w:t>
      </w:r>
      <w:r w:rsidRPr="005275DF">
        <w:rPr>
          <w:rFonts w:asciiTheme="minorBidi" w:hAnsiTheme="minorBidi"/>
          <w:rtl/>
        </w:rPr>
        <w:t xml:space="preserve"> שאין אסור אלא כששומטו ומניחו בקרן זוית. </w:t>
      </w:r>
    </w:p>
    <w:p w14:paraId="2A4C4207" w14:textId="77777777" w:rsidR="00A26389" w:rsidRPr="005275DF" w:rsidRDefault="00A26389" w:rsidP="00434A6A">
      <w:pPr>
        <w:rPr>
          <w:rFonts w:asciiTheme="minorBidi" w:hAnsiTheme="minorBidi"/>
          <w:rtl/>
        </w:rPr>
      </w:pPr>
    </w:p>
    <w:p w14:paraId="46F23860" w14:textId="1D9C9AD5" w:rsidR="008C1C8E" w:rsidRDefault="008C1C8E" w:rsidP="00434A6A">
      <w:pPr>
        <w:pStyle w:val="2"/>
        <w:rPr>
          <w:rtl/>
        </w:rPr>
      </w:pPr>
      <w:r w:rsidRPr="005275DF">
        <w:rPr>
          <w:rtl/>
        </w:rPr>
        <w:t>סעיף ב</w:t>
      </w:r>
      <w:r w:rsidR="00A26389">
        <w:rPr>
          <w:rFonts w:hint="cs"/>
          <w:rtl/>
        </w:rPr>
        <w:t xml:space="preserve">: </w:t>
      </w:r>
      <w:r w:rsidR="00A26389" w:rsidRPr="00A26389">
        <w:rPr>
          <w:rFonts w:hint="cs"/>
          <w:rtl/>
        </w:rPr>
        <w:t xml:space="preserve">תחיבת יתד במפתן </w:t>
      </w:r>
      <w:r w:rsidR="00A26389">
        <w:rPr>
          <w:rFonts w:hint="cs"/>
          <w:rtl/>
        </w:rPr>
        <w:t>ה</w:t>
      </w:r>
      <w:r w:rsidR="00A26389" w:rsidRPr="00A26389">
        <w:rPr>
          <w:rFonts w:hint="cs"/>
          <w:rtl/>
        </w:rPr>
        <w:t xml:space="preserve">דלת </w:t>
      </w:r>
      <w:r w:rsidR="00A26389">
        <w:rPr>
          <w:rtl/>
        </w:rPr>
        <w:t>–</w:t>
      </w:r>
      <w:r w:rsidR="00A26389">
        <w:rPr>
          <w:rFonts w:hint="cs"/>
          <w:rtl/>
        </w:rPr>
        <w:t xml:space="preserve"> והיתד מגיע לקרקע.</w:t>
      </w:r>
    </w:p>
    <w:p w14:paraId="1BECA131" w14:textId="2E294AA4" w:rsidR="007E7BC6" w:rsidRPr="007E7BC6" w:rsidRDefault="007E7BC6" w:rsidP="00434A6A">
      <w:pPr>
        <w:rPr>
          <w:rtl/>
        </w:rPr>
      </w:pPr>
      <w:r w:rsidRPr="001C3A69">
        <w:rPr>
          <w:rFonts w:cs="Arial" w:hint="cs"/>
          <w:b/>
          <w:bCs/>
          <w:rtl/>
        </w:rPr>
        <w:t>ע</w:t>
      </w:r>
      <w:r>
        <w:rPr>
          <w:rFonts w:cs="Arial" w:hint="cs"/>
          <w:b/>
          <w:bCs/>
          <w:rtl/>
        </w:rPr>
        <w:t>י</w:t>
      </w:r>
      <w:r w:rsidRPr="001C3A69">
        <w:rPr>
          <w:rFonts w:cs="Arial" w:hint="cs"/>
          <w:b/>
          <w:bCs/>
          <w:rtl/>
        </w:rPr>
        <w:t xml:space="preserve">רובין </w:t>
      </w:r>
      <w:r w:rsidRPr="001C3A69">
        <w:rPr>
          <w:rFonts w:cs="Arial" w:hint="cs"/>
          <w:b/>
          <w:bCs/>
          <w:sz w:val="16"/>
          <w:szCs w:val="16"/>
          <w:rtl/>
        </w:rPr>
        <w:t xml:space="preserve">(פ' בתרא) </w:t>
      </w:r>
      <w:r w:rsidRPr="001C3A69">
        <w:rPr>
          <w:rFonts w:cs="Arial" w:hint="cs"/>
          <w:b/>
          <w:bCs/>
          <w:rtl/>
        </w:rPr>
        <w:t>ק</w:t>
      </w:r>
      <w:r>
        <w:rPr>
          <w:rFonts w:cs="Arial" w:hint="cs"/>
          <w:b/>
          <w:bCs/>
          <w:rtl/>
        </w:rPr>
        <w:t>ב</w:t>
      </w:r>
      <w:r w:rsidRPr="001C3A69">
        <w:rPr>
          <w:rFonts w:cs="Arial" w:hint="cs"/>
          <w:b/>
          <w:bCs/>
          <w:rtl/>
        </w:rPr>
        <w:t xml:space="preserve"> ע"</w:t>
      </w:r>
      <w:r>
        <w:rPr>
          <w:rFonts w:cs="Arial" w:hint="cs"/>
          <w:b/>
          <w:bCs/>
          <w:rtl/>
        </w:rPr>
        <w:t>א</w:t>
      </w:r>
      <w:r w:rsidRPr="001C3A69">
        <w:rPr>
          <w:rFonts w:cs="Arial" w:hint="cs"/>
          <w:b/>
          <w:bCs/>
          <w:rtl/>
        </w:rPr>
        <w:t>:</w:t>
      </w:r>
      <w:r>
        <w:rPr>
          <w:rFonts w:cs="Arial" w:hint="cs"/>
          <w:rtl/>
        </w:rPr>
        <w:t xml:space="preserve"> </w:t>
      </w:r>
      <w:r w:rsidRPr="007E7BC6">
        <w:rPr>
          <w:rFonts w:cs="Arial"/>
          <w:u w:val="single"/>
          <w:rtl/>
        </w:rPr>
        <w:t>בעי רבי זירא</w:t>
      </w:r>
      <w:r w:rsidRPr="007E7BC6">
        <w:rPr>
          <w:rFonts w:cs="Arial"/>
          <w:rtl/>
        </w:rPr>
        <w:t>: נקמז</w:t>
      </w:r>
      <w:r>
        <w:rPr>
          <w:rStyle w:val="a9"/>
          <w:rFonts w:cs="Arial"/>
          <w:rtl/>
        </w:rPr>
        <w:footnoteReference w:id="2075"/>
      </w:r>
      <w:r w:rsidRPr="007E7BC6">
        <w:rPr>
          <w:rFonts w:cs="Arial"/>
          <w:rtl/>
        </w:rPr>
        <w:t xml:space="preserve"> מהו? </w:t>
      </w:r>
      <w:r w:rsidRPr="007E7BC6">
        <w:rPr>
          <w:rFonts w:cs="Arial"/>
          <w:u w:val="single"/>
          <w:rtl/>
        </w:rPr>
        <w:t>אמר רב יוסף</w:t>
      </w:r>
      <w:r w:rsidRPr="007E7BC6">
        <w:rPr>
          <w:rFonts w:cs="Arial"/>
          <w:rtl/>
        </w:rPr>
        <w:t>: מאי תיבעי ליה? לא שמיע ליה הא דתניא: נשמט</w:t>
      </w:r>
      <w:r>
        <w:rPr>
          <w:rStyle w:val="a9"/>
          <w:rFonts w:cs="Arial"/>
          <w:rtl/>
        </w:rPr>
        <w:footnoteReference w:id="2076"/>
      </w:r>
      <w:r w:rsidRPr="007E7BC6">
        <w:rPr>
          <w:rFonts w:cs="Arial"/>
          <w:rtl/>
        </w:rPr>
        <w:t xml:space="preserve"> - אסור, נקמז - מותר. ורבי יהודה אמר: נקמז, אף על פי שאינו נשמט - אסור. </w:t>
      </w:r>
      <w:r w:rsidRPr="006917C5">
        <w:rPr>
          <w:rFonts w:cs="Arial"/>
          <w:u w:val="single"/>
          <w:rtl/>
        </w:rPr>
        <w:t>ואמר רב יהודה אמר שמואל</w:t>
      </w:r>
      <w:r w:rsidRPr="007E7BC6">
        <w:rPr>
          <w:rFonts w:cs="Arial"/>
          <w:rtl/>
        </w:rPr>
        <w:t xml:space="preserve">: הלכה כרבי יהודה בנקמז. וטעמא מאי? </w:t>
      </w:r>
      <w:r w:rsidRPr="006917C5">
        <w:rPr>
          <w:rFonts w:cs="Arial"/>
          <w:u w:val="single"/>
          <w:rtl/>
        </w:rPr>
        <w:t>אמר אביי</w:t>
      </w:r>
      <w:r w:rsidRPr="007E7BC6">
        <w:rPr>
          <w:rFonts w:cs="Arial"/>
          <w:rtl/>
        </w:rPr>
        <w:t xml:space="preserve">: משום דמיחזי כבונה. </w:t>
      </w:r>
      <w:r w:rsidRPr="007E7BC6">
        <w:rPr>
          <w:rFonts w:cs="Arial"/>
          <w:u w:val="single"/>
          <w:rtl/>
        </w:rPr>
        <w:t>בעא מיניה רב נחומי בר זכריה מאביי</w:t>
      </w:r>
      <w:r w:rsidRPr="007E7BC6">
        <w:rPr>
          <w:rFonts w:cs="Arial"/>
          <w:rtl/>
        </w:rPr>
        <w:t>: עשה לו בית יד</w:t>
      </w:r>
      <w:r>
        <w:rPr>
          <w:rStyle w:val="a9"/>
          <w:rFonts w:cs="Arial"/>
          <w:rtl/>
        </w:rPr>
        <w:footnoteReference w:id="2077"/>
      </w:r>
      <w:r w:rsidRPr="007E7BC6">
        <w:rPr>
          <w:rFonts w:cs="Arial"/>
          <w:rtl/>
        </w:rPr>
        <w:t xml:space="preserve"> מהו? </w:t>
      </w:r>
      <w:r w:rsidRPr="007E7BC6">
        <w:rPr>
          <w:rFonts w:cs="Arial"/>
          <w:u w:val="single"/>
          <w:rtl/>
        </w:rPr>
        <w:t>אמר ליה</w:t>
      </w:r>
      <w:r w:rsidRPr="007E7BC6">
        <w:rPr>
          <w:rFonts w:cs="Arial"/>
          <w:rtl/>
        </w:rPr>
        <w:t>: בוכנא קאמרת. איתמר, אמר רב נחומי בר אדא: עשה לו בית יד - מותר.</w:t>
      </w:r>
    </w:p>
    <w:p w14:paraId="74D48D5B" w14:textId="7F4EEE62" w:rsidR="00A26389" w:rsidRPr="00A26389" w:rsidRDefault="00A26389" w:rsidP="00434A6A">
      <w:pPr>
        <w:rPr>
          <w:u w:val="single"/>
          <w:rtl/>
        </w:rPr>
      </w:pPr>
      <w:r w:rsidRPr="00A26389">
        <w:rPr>
          <w:rFonts w:cs="Arial" w:hint="cs"/>
          <w:u w:val="single"/>
          <w:rtl/>
        </w:rPr>
        <w:t xml:space="preserve">תחיבת יתד במפתן </w:t>
      </w:r>
      <w:r>
        <w:rPr>
          <w:rFonts w:cs="Arial" w:hint="cs"/>
          <w:u w:val="single"/>
          <w:rtl/>
        </w:rPr>
        <w:t>ה</w:t>
      </w:r>
      <w:r w:rsidRPr="00A26389">
        <w:rPr>
          <w:rFonts w:cs="Arial" w:hint="cs"/>
          <w:u w:val="single"/>
          <w:rtl/>
        </w:rPr>
        <w:t>דלת</w:t>
      </w:r>
      <w:r>
        <w:rPr>
          <w:rFonts w:cs="Arial" w:hint="cs"/>
          <w:u w:val="single"/>
          <w:rtl/>
        </w:rPr>
        <w:t xml:space="preserve"> </w:t>
      </w:r>
      <w:r>
        <w:rPr>
          <w:rFonts w:cs="Arial"/>
          <w:u w:val="single"/>
          <w:rtl/>
        </w:rPr>
        <w:t>–</w:t>
      </w:r>
      <w:r>
        <w:rPr>
          <w:rFonts w:cs="Arial" w:hint="cs"/>
          <w:u w:val="single"/>
          <w:rtl/>
        </w:rPr>
        <w:t xml:space="preserve"> והיתד מגיע לקרקע</w:t>
      </w:r>
      <w:r w:rsidRPr="00A26389">
        <w:rPr>
          <w:rFonts w:hint="cs"/>
          <w:u w:val="single"/>
          <w:rtl/>
        </w:rPr>
        <w:t>:</w:t>
      </w:r>
    </w:p>
    <w:p w14:paraId="73867941" w14:textId="01102E92" w:rsidR="000928AB" w:rsidRDefault="000928AB" w:rsidP="00434A6A">
      <w:pPr>
        <w:pStyle w:val="aa"/>
        <w:numPr>
          <w:ilvl w:val="0"/>
          <w:numId w:val="15"/>
        </w:numPr>
        <w:rPr>
          <w:rtl/>
        </w:rPr>
      </w:pPr>
      <w:r>
        <w:rPr>
          <w:rFonts w:cs="Arial" w:hint="cs"/>
          <w:rtl/>
        </w:rPr>
        <w:t xml:space="preserve">טור- </w:t>
      </w:r>
      <w:r>
        <w:rPr>
          <w:rFonts w:cs="Arial"/>
          <w:rtl/>
        </w:rPr>
        <w:t>וכל נגר שאמרנו מיירי שהאסקופה גבוה וכשנועץ אותו במפתן אינו נוקב בארץ</w:t>
      </w:r>
      <w:r w:rsidR="00FD3A92">
        <w:rPr>
          <w:rFonts w:cs="Arial" w:hint="cs"/>
          <w:rtl/>
        </w:rPr>
        <w:t>,</w:t>
      </w:r>
      <w:r>
        <w:rPr>
          <w:rFonts w:cs="Arial"/>
          <w:rtl/>
        </w:rPr>
        <w:t xml:space="preserve"> אבל אם נפחתה האסקופה בענין שכשמכניס הנגר בחור נוקב תחתיו בארץ </w:t>
      </w:r>
      <w:r w:rsidR="00FD3A92">
        <w:rPr>
          <w:rFonts w:cs="Arial" w:hint="cs"/>
          <w:rtl/>
        </w:rPr>
        <w:t xml:space="preserve">- </w:t>
      </w:r>
      <w:r>
        <w:rPr>
          <w:rFonts w:cs="Arial"/>
          <w:rtl/>
        </w:rPr>
        <w:t>הוי בנין ואסור לנעול בו</w:t>
      </w:r>
      <w:r w:rsidR="00A26389">
        <w:rPr>
          <w:rFonts w:cs="Arial" w:hint="cs"/>
          <w:rtl/>
        </w:rPr>
        <w:t>.</w:t>
      </w:r>
      <w:r w:rsidR="006917C5">
        <w:rPr>
          <w:rFonts w:hint="cs"/>
          <w:rtl/>
        </w:rPr>
        <w:t xml:space="preserve"> </w:t>
      </w:r>
      <w:r w:rsidR="006917C5" w:rsidRPr="006917C5">
        <w:rPr>
          <w:rFonts w:hint="cs"/>
          <w:color w:val="E36C0A" w:themeColor="accent6" w:themeShade="BF"/>
          <w:rtl/>
        </w:rPr>
        <w:t>(וכ"פ בשו"ע)</w:t>
      </w:r>
    </w:p>
    <w:p w14:paraId="5F5CD281" w14:textId="0704922F" w:rsidR="006917C5" w:rsidRPr="006917C5" w:rsidRDefault="006917C5" w:rsidP="00434A6A">
      <w:pPr>
        <w:rPr>
          <w:rFonts w:cs="Arial"/>
          <w:u w:val="single"/>
          <w:rtl/>
        </w:rPr>
      </w:pPr>
      <w:r w:rsidRPr="006917C5">
        <w:rPr>
          <w:rFonts w:cs="Arial" w:hint="cs"/>
          <w:u w:val="single"/>
          <w:rtl/>
        </w:rPr>
        <w:t>עוד פירוש למילה 'נקמז':</w:t>
      </w:r>
    </w:p>
    <w:p w14:paraId="61DD1823" w14:textId="1B824D17" w:rsidR="007E7BC6" w:rsidRPr="006917C5" w:rsidRDefault="006917C5" w:rsidP="00434A6A">
      <w:pPr>
        <w:pStyle w:val="aa"/>
        <w:numPr>
          <w:ilvl w:val="0"/>
          <w:numId w:val="15"/>
        </w:numPr>
        <w:rPr>
          <w:rFonts w:cs="Arial"/>
          <w:rtl/>
        </w:rPr>
      </w:pPr>
      <w:r w:rsidRPr="006917C5">
        <w:rPr>
          <w:rFonts w:cs="Arial" w:hint="cs"/>
          <w:rtl/>
        </w:rPr>
        <w:t>ר</w:t>
      </w:r>
      <w:r w:rsidR="00D22DC5" w:rsidRPr="006917C5">
        <w:rPr>
          <w:rFonts w:cs="Arial"/>
          <w:rtl/>
        </w:rPr>
        <w:t xml:space="preserve">יטב"א </w:t>
      </w:r>
      <w:r w:rsidR="00D22DC5" w:rsidRPr="006917C5">
        <w:rPr>
          <w:rFonts w:cs="Arial"/>
          <w:sz w:val="16"/>
          <w:szCs w:val="16"/>
          <w:rtl/>
        </w:rPr>
        <w:t>(שם ד"ה בעי ר' זירא)</w:t>
      </w:r>
      <w:r w:rsidRPr="006917C5">
        <w:rPr>
          <w:rFonts w:cs="Arial" w:hint="cs"/>
          <w:rtl/>
        </w:rPr>
        <w:t>-</w:t>
      </w:r>
      <w:r w:rsidR="00D22DC5" w:rsidRPr="006917C5">
        <w:rPr>
          <w:rFonts w:cs="Arial"/>
          <w:rtl/>
        </w:rPr>
        <w:t xml:space="preserve"> יש מפרשים נקמז כמו נקמץ</w:t>
      </w:r>
      <w:r w:rsidRPr="006917C5">
        <w:rPr>
          <w:rFonts w:cs="Arial" w:hint="cs"/>
          <w:rtl/>
        </w:rPr>
        <w:t>,</w:t>
      </w:r>
      <w:r w:rsidR="00D22DC5" w:rsidRPr="006917C5">
        <w:rPr>
          <w:rFonts w:cs="Arial"/>
          <w:rtl/>
        </w:rPr>
        <w:t xml:space="preserve"> כלומר שהוא נקמץ בדלת עצמו ויש מהם אצלנו הרבה שמכניסין הנגר בין הבריח המחובר בדלת והדלת ומחברין אל הנגר עץ אחד קטן ארכו כשיעור טפח והוא הולך לכאן ולכאן ופעמים שעושין את הנגר למעלה בדלת ופעמים שעושין אותו למטה בדלת וכשעושין אותו למעלה מסבבין את העץ הקטן לצד אחר והנגר נופל והדלת נפתח וכשזוקפין אותו אל הנגר עולה ונכנס בשקוף העליון והדלת נעול וכשעושין אותו למטה מסבבין את העץ לצד אחר והנגר נופל ונכנס באסקופה התחתונה והדלת נעול וכשזוקפין אותו אז הנגר ניטל והדלת נפתח. ואמר אביי טעמא דרבי יהודה בנקמז משום דמיחזי כבונה כי הסיבוב של אותו עץ ועליית הנגר על ידי אותו סיבוב דומה לתקיעת מסמר</w:t>
      </w:r>
      <w:r w:rsidRPr="006917C5">
        <w:rPr>
          <w:rFonts w:cs="Arial" w:hint="cs"/>
          <w:rtl/>
        </w:rPr>
        <w:t>,</w:t>
      </w:r>
      <w:r w:rsidR="00D22DC5" w:rsidRPr="006917C5">
        <w:rPr>
          <w:rFonts w:cs="Arial"/>
          <w:rtl/>
        </w:rPr>
        <w:t xml:space="preserve"> עד כאן. והנה בכל הארץ נהגו היתר לפתוח ולנעול בשבת בנגר כזה ונראה דאפילו לפי זה ודאי כל שהנגר קבוע שם במסמרים כעין שלנו אין בו שום איסור ומנעול בעלמא הוא ולא אסר רבי יהודה אלא כשהוא מהודק שם בלבד בענין שיוכל לינטל והנשמט הוא כל שאינו קשור ומהודק כלל</w:t>
      </w:r>
      <w:r w:rsidRPr="006917C5">
        <w:rPr>
          <w:rFonts w:cs="Arial" w:hint="cs"/>
          <w:rtl/>
        </w:rPr>
        <w:t>.</w:t>
      </w:r>
      <w:r w:rsidR="00D22DC5" w:rsidRPr="006917C5">
        <w:rPr>
          <w:rFonts w:cs="Arial"/>
          <w:rtl/>
        </w:rPr>
        <w:t xml:space="preserve"> </w:t>
      </w:r>
    </w:p>
    <w:p w14:paraId="35D23D50" w14:textId="77777777" w:rsidR="002B45A4" w:rsidRPr="00D10A83" w:rsidRDefault="002B45A4" w:rsidP="00434A6A">
      <w:pPr>
        <w:rPr>
          <w:rFonts w:asciiTheme="minorBidi" w:hAnsiTheme="minorBidi"/>
          <w:rtl/>
        </w:rPr>
      </w:pPr>
      <w:r w:rsidRPr="005275DF">
        <w:rPr>
          <w:rFonts w:asciiTheme="minorBidi" w:hAnsiTheme="minorBidi"/>
          <w:b/>
          <w:bCs/>
          <w:sz w:val="32"/>
          <w:szCs w:val="28"/>
          <w:u w:val="single"/>
          <w:rtl/>
        </w:rPr>
        <w:t xml:space="preserve">שו"ע: </w:t>
      </w:r>
    </w:p>
    <w:p w14:paraId="556984AE" w14:textId="5A345CB6" w:rsidR="008C1C8E" w:rsidRDefault="008C1C8E" w:rsidP="00434A6A">
      <w:pPr>
        <w:rPr>
          <w:rFonts w:asciiTheme="minorBidi" w:hAnsiTheme="minorBidi"/>
          <w:rtl/>
        </w:rPr>
      </w:pPr>
      <w:r w:rsidRPr="005275DF">
        <w:rPr>
          <w:rFonts w:asciiTheme="minorBidi" w:hAnsiTheme="minorBidi"/>
          <w:rtl/>
        </w:rPr>
        <w:t>כל נגר שאמרנו, מיירי שהאסקופה גבוה וכשנועץ אותו במפתן אינו נוקב בארץ, אבל אם נפחתה</w:t>
      </w:r>
      <w:r w:rsidR="002B5B71">
        <w:rPr>
          <w:rStyle w:val="a9"/>
          <w:rFonts w:asciiTheme="minorBidi" w:hAnsiTheme="minorBidi"/>
          <w:rtl/>
        </w:rPr>
        <w:footnoteReference w:id="2078"/>
      </w:r>
      <w:r w:rsidRPr="005275DF">
        <w:rPr>
          <w:rFonts w:asciiTheme="minorBidi" w:hAnsiTheme="minorBidi"/>
          <w:rtl/>
        </w:rPr>
        <w:t xml:space="preserve"> האסקופה, בענין שכשמכניס הנגר בחור נוקב תחתיו בארץ, הוי בנין ואסור לנעול בו. </w:t>
      </w:r>
    </w:p>
    <w:p w14:paraId="5A8A5CAF" w14:textId="77777777" w:rsidR="00A26389" w:rsidRPr="005275DF" w:rsidRDefault="00A26389" w:rsidP="00434A6A">
      <w:pPr>
        <w:rPr>
          <w:rFonts w:asciiTheme="minorBidi" w:hAnsiTheme="minorBidi"/>
          <w:rtl/>
        </w:rPr>
      </w:pPr>
    </w:p>
    <w:p w14:paraId="4C13DDD4" w14:textId="7C05CE76" w:rsidR="008C1C8E" w:rsidRDefault="008C1C8E" w:rsidP="00434A6A">
      <w:pPr>
        <w:pStyle w:val="2"/>
        <w:rPr>
          <w:rtl/>
        </w:rPr>
      </w:pPr>
      <w:r w:rsidRPr="005275DF">
        <w:rPr>
          <w:rtl/>
        </w:rPr>
        <w:t>סעיף ג</w:t>
      </w:r>
      <w:r w:rsidR="002B5B71">
        <w:rPr>
          <w:rFonts w:hint="cs"/>
          <w:rtl/>
        </w:rPr>
        <w:t xml:space="preserve">: </w:t>
      </w:r>
      <w:r w:rsidR="00612C74">
        <w:rPr>
          <w:rFonts w:hint="cs"/>
          <w:rtl/>
        </w:rPr>
        <w:t xml:space="preserve">נעילת הפתח ע"י </w:t>
      </w:r>
      <w:r w:rsidR="0055299C">
        <w:rPr>
          <w:rFonts w:hint="cs"/>
          <w:rtl/>
        </w:rPr>
        <w:t xml:space="preserve">דלת </w:t>
      </w:r>
      <w:r w:rsidR="00612C74">
        <w:rPr>
          <w:rFonts w:hint="cs"/>
          <w:rtl/>
        </w:rPr>
        <w:t>זמנית</w:t>
      </w:r>
      <w:r w:rsidR="00514D87">
        <w:rPr>
          <w:rFonts w:hint="cs"/>
          <w:rtl/>
        </w:rPr>
        <w:t xml:space="preserve"> שקשורה לבית</w:t>
      </w:r>
      <w:r w:rsidR="0055299C">
        <w:rPr>
          <w:rFonts w:hint="cs"/>
          <w:rtl/>
        </w:rPr>
        <w:t>.</w:t>
      </w:r>
    </w:p>
    <w:p w14:paraId="0695280A" w14:textId="2976C43E" w:rsidR="009456C6" w:rsidRPr="009456C6" w:rsidRDefault="009456C6" w:rsidP="00434A6A">
      <w:pPr>
        <w:rPr>
          <w:rFonts w:cs="Arial"/>
          <w:rtl/>
        </w:rPr>
      </w:pPr>
      <w:r w:rsidRPr="001C3A69">
        <w:rPr>
          <w:rFonts w:cs="Arial" w:hint="cs"/>
          <w:b/>
          <w:bCs/>
          <w:rtl/>
        </w:rPr>
        <w:t>ע</w:t>
      </w:r>
      <w:r>
        <w:rPr>
          <w:rFonts w:cs="Arial" w:hint="cs"/>
          <w:b/>
          <w:bCs/>
          <w:rtl/>
        </w:rPr>
        <w:t>י</w:t>
      </w:r>
      <w:r w:rsidRPr="001C3A69">
        <w:rPr>
          <w:rFonts w:cs="Arial" w:hint="cs"/>
          <w:b/>
          <w:bCs/>
          <w:rtl/>
        </w:rPr>
        <w:t xml:space="preserve">רובין </w:t>
      </w:r>
      <w:r w:rsidRPr="001C3A69">
        <w:rPr>
          <w:rFonts w:cs="Arial" w:hint="cs"/>
          <w:b/>
          <w:bCs/>
          <w:sz w:val="16"/>
          <w:szCs w:val="16"/>
          <w:rtl/>
        </w:rPr>
        <w:t xml:space="preserve">(פ' בתרא) </w:t>
      </w:r>
      <w:r w:rsidRPr="001C3A69">
        <w:rPr>
          <w:rFonts w:cs="Arial" w:hint="cs"/>
          <w:b/>
          <w:bCs/>
          <w:rtl/>
        </w:rPr>
        <w:t>ק</w:t>
      </w:r>
      <w:r>
        <w:rPr>
          <w:rFonts w:cs="Arial" w:hint="cs"/>
          <w:b/>
          <w:bCs/>
          <w:rtl/>
        </w:rPr>
        <w:t>א</w:t>
      </w:r>
      <w:r w:rsidRPr="001C3A69">
        <w:rPr>
          <w:rFonts w:cs="Arial" w:hint="cs"/>
          <w:b/>
          <w:bCs/>
          <w:rtl/>
        </w:rPr>
        <w:t xml:space="preserve"> ע"</w:t>
      </w:r>
      <w:r>
        <w:rPr>
          <w:rFonts w:cs="Arial" w:hint="cs"/>
          <w:b/>
          <w:bCs/>
          <w:rtl/>
        </w:rPr>
        <w:t>א</w:t>
      </w:r>
      <w:r w:rsidRPr="001C3A69">
        <w:rPr>
          <w:rFonts w:cs="Arial" w:hint="cs"/>
          <w:b/>
          <w:bCs/>
          <w:rtl/>
        </w:rPr>
        <w:t>:</w:t>
      </w:r>
      <w:r>
        <w:rPr>
          <w:rFonts w:cs="Arial" w:hint="cs"/>
          <w:rtl/>
        </w:rPr>
        <w:t xml:space="preserve"> </w:t>
      </w:r>
      <w:r w:rsidRPr="002B5B71">
        <w:rPr>
          <w:rFonts w:cs="Arial"/>
          <w:u w:val="double"/>
          <w:rtl/>
        </w:rPr>
        <w:t>משנה</w:t>
      </w:r>
      <w:r>
        <w:rPr>
          <w:rFonts w:cs="Arial" w:hint="cs"/>
          <w:rtl/>
        </w:rPr>
        <w:t>:</w:t>
      </w:r>
      <w:r w:rsidRPr="002B5B71">
        <w:rPr>
          <w:rFonts w:cs="Arial"/>
          <w:rtl/>
        </w:rPr>
        <w:t xml:space="preserve"> הדלת שבמוקצה</w:t>
      </w:r>
      <w:r>
        <w:rPr>
          <w:rStyle w:val="a9"/>
          <w:rFonts w:cs="Arial"/>
          <w:rtl/>
        </w:rPr>
        <w:footnoteReference w:id="2079"/>
      </w:r>
      <w:r w:rsidRPr="002B5B71">
        <w:rPr>
          <w:rFonts w:cs="Arial"/>
          <w:rtl/>
        </w:rPr>
        <w:t>, וחדקים שבפרצה</w:t>
      </w:r>
      <w:r>
        <w:rPr>
          <w:rStyle w:val="a9"/>
          <w:rFonts w:cs="Arial"/>
          <w:rtl/>
        </w:rPr>
        <w:footnoteReference w:id="2080"/>
      </w:r>
      <w:r w:rsidRPr="002B5B71">
        <w:rPr>
          <w:rFonts w:cs="Arial"/>
          <w:rtl/>
        </w:rPr>
        <w:t>, ומחצלות - אין נועלין בהן</w:t>
      </w:r>
      <w:r>
        <w:rPr>
          <w:rStyle w:val="a9"/>
          <w:rFonts w:cs="Arial"/>
          <w:rtl/>
        </w:rPr>
        <w:footnoteReference w:id="2081"/>
      </w:r>
      <w:r w:rsidRPr="002B5B71">
        <w:rPr>
          <w:rFonts w:cs="Arial"/>
          <w:rtl/>
        </w:rPr>
        <w:t xml:space="preserve"> אלא אם כן גבוהים מן הארץ. </w:t>
      </w:r>
      <w:r>
        <w:rPr>
          <w:rFonts w:cs="Arial" w:hint="cs"/>
          <w:rtl/>
        </w:rPr>
        <w:t xml:space="preserve">     </w:t>
      </w:r>
      <w:r w:rsidRPr="002B5B71">
        <w:rPr>
          <w:rFonts w:cs="Arial"/>
          <w:u w:val="double"/>
          <w:rtl/>
        </w:rPr>
        <w:t>גמרא</w:t>
      </w:r>
      <w:r>
        <w:rPr>
          <w:rFonts w:cs="Arial" w:hint="cs"/>
          <w:rtl/>
        </w:rPr>
        <w:t>:</w:t>
      </w:r>
      <w:r w:rsidRPr="002B5B71">
        <w:rPr>
          <w:rFonts w:cs="Arial"/>
          <w:rtl/>
        </w:rPr>
        <w:t xml:space="preserve"> ורמינהו: דלת הנגררת, ומחצלת הנגררת, וקנקן</w:t>
      </w:r>
      <w:r>
        <w:rPr>
          <w:rStyle w:val="a9"/>
          <w:rFonts w:cs="Arial"/>
          <w:rtl/>
        </w:rPr>
        <w:footnoteReference w:id="2082"/>
      </w:r>
      <w:r w:rsidRPr="002B5B71">
        <w:rPr>
          <w:rFonts w:cs="Arial"/>
          <w:rtl/>
        </w:rPr>
        <w:t xml:space="preserve"> הנגרר, בזמן שקשורין ותלויין</w:t>
      </w:r>
      <w:r>
        <w:rPr>
          <w:rStyle w:val="a9"/>
          <w:rFonts w:cs="Arial"/>
          <w:rtl/>
        </w:rPr>
        <w:footnoteReference w:id="2083"/>
      </w:r>
      <w:r w:rsidRPr="002B5B71">
        <w:rPr>
          <w:rFonts w:cs="Arial"/>
          <w:rtl/>
        </w:rPr>
        <w:t xml:space="preserve"> - נועלין בהן בשבת, ואין צריך לומר ביום טוב! </w:t>
      </w:r>
      <w:r w:rsidRPr="001F0917">
        <w:rPr>
          <w:rFonts w:cs="Arial"/>
          <w:u w:val="single"/>
          <w:rtl/>
        </w:rPr>
        <w:t>אמר אביי</w:t>
      </w:r>
      <w:r w:rsidRPr="002B5B71">
        <w:rPr>
          <w:rFonts w:cs="Arial"/>
          <w:rtl/>
        </w:rPr>
        <w:t>: בשיש להם ציר</w:t>
      </w:r>
      <w:r>
        <w:rPr>
          <w:rStyle w:val="a9"/>
          <w:rFonts w:cs="Arial"/>
          <w:rtl/>
        </w:rPr>
        <w:footnoteReference w:id="2084"/>
      </w:r>
      <w:r w:rsidRPr="002B5B71">
        <w:rPr>
          <w:rFonts w:cs="Arial"/>
          <w:rtl/>
        </w:rPr>
        <w:t xml:space="preserve">. </w:t>
      </w:r>
      <w:r w:rsidRPr="001F0917">
        <w:rPr>
          <w:rFonts w:cs="Arial"/>
          <w:u w:val="single"/>
          <w:rtl/>
        </w:rPr>
        <w:t>רבא אמר</w:t>
      </w:r>
      <w:r w:rsidRPr="002B5B71">
        <w:rPr>
          <w:rFonts w:cs="Arial"/>
          <w:rtl/>
        </w:rPr>
        <w:t>: בשהיה להן ציר</w:t>
      </w:r>
      <w:r>
        <w:rPr>
          <w:rStyle w:val="a9"/>
          <w:rFonts w:cs="Arial"/>
          <w:rtl/>
        </w:rPr>
        <w:footnoteReference w:id="2085"/>
      </w:r>
      <w:r w:rsidRPr="002B5B71">
        <w:rPr>
          <w:rFonts w:cs="Arial"/>
          <w:rtl/>
        </w:rPr>
        <w:t xml:space="preserve">. </w:t>
      </w:r>
      <w:r>
        <w:rPr>
          <w:rFonts w:cs="Arial" w:hint="cs"/>
          <w:sz w:val="16"/>
          <w:szCs w:val="16"/>
          <w:rtl/>
        </w:rPr>
        <w:t>(</w:t>
      </w:r>
      <w:r w:rsidRPr="009456C6">
        <w:rPr>
          <w:rFonts w:cs="Arial"/>
          <w:sz w:val="16"/>
          <w:szCs w:val="16"/>
          <w:rtl/>
        </w:rPr>
        <w:t>וידוע (קידושין נב.) שהלכה כרבא</w:t>
      </w:r>
      <w:r w:rsidRPr="009456C6">
        <w:rPr>
          <w:rFonts w:cs="Arial" w:hint="cs"/>
          <w:sz w:val="16"/>
          <w:szCs w:val="16"/>
          <w:rtl/>
        </w:rPr>
        <w:t>.</w:t>
      </w:r>
      <w:r w:rsidRPr="009456C6">
        <w:rPr>
          <w:rFonts w:cs="Arial"/>
          <w:sz w:val="16"/>
          <w:szCs w:val="16"/>
          <w:rtl/>
        </w:rPr>
        <w:t xml:space="preserve"> וכן פסק הרמב"ם בפרק כ"ו (ה"ח)</w:t>
      </w:r>
      <w:r w:rsidRPr="009456C6">
        <w:rPr>
          <w:rFonts w:cs="Arial" w:hint="cs"/>
          <w:sz w:val="16"/>
          <w:szCs w:val="16"/>
          <w:rtl/>
        </w:rPr>
        <w:t>,</w:t>
      </w:r>
      <w:r w:rsidRPr="009456C6">
        <w:rPr>
          <w:rFonts w:cs="Arial"/>
          <w:sz w:val="16"/>
          <w:szCs w:val="16"/>
          <w:rtl/>
        </w:rPr>
        <w:t xml:space="preserve"> ודבריו ג"כ כפירוש רש"י</w:t>
      </w:r>
      <w:r w:rsidRPr="009456C6">
        <w:rPr>
          <w:rFonts w:cs="Arial" w:hint="cs"/>
          <w:sz w:val="16"/>
          <w:szCs w:val="16"/>
          <w:rtl/>
        </w:rPr>
        <w:t>.</w:t>
      </w:r>
      <w:r w:rsidRPr="009456C6">
        <w:rPr>
          <w:rFonts w:cs="Arial"/>
          <w:sz w:val="16"/>
          <w:szCs w:val="16"/>
          <w:rtl/>
        </w:rPr>
        <w:t xml:space="preserve"> אבל הריטב"א (עירובין שם ד"ה אמר אביי) פירש דהא דאמר אביי בשיש להם ציר </w:t>
      </w:r>
      <w:r w:rsidRPr="009456C6">
        <w:rPr>
          <w:rFonts w:cs="Arial" w:hint="cs"/>
          <w:sz w:val="16"/>
          <w:szCs w:val="16"/>
          <w:rtl/>
        </w:rPr>
        <w:t xml:space="preserve">- </w:t>
      </w:r>
      <w:r w:rsidRPr="009456C6">
        <w:rPr>
          <w:rFonts w:cs="Arial"/>
          <w:sz w:val="16"/>
          <w:szCs w:val="16"/>
          <w:rtl/>
        </w:rPr>
        <w:t xml:space="preserve">שיש להם ציר </w:t>
      </w:r>
      <w:r w:rsidRPr="009456C6">
        <w:rPr>
          <w:rFonts w:cs="Arial"/>
          <w:b/>
          <w:bCs/>
          <w:sz w:val="16"/>
          <w:szCs w:val="16"/>
          <w:rtl/>
        </w:rPr>
        <w:t>בפתח</w:t>
      </w:r>
      <w:r w:rsidRPr="009456C6">
        <w:rPr>
          <w:rFonts w:cs="Arial"/>
          <w:sz w:val="16"/>
          <w:szCs w:val="16"/>
          <w:rtl/>
        </w:rPr>
        <w:t xml:space="preserve"> מתוקן לדלת</w:t>
      </w:r>
      <w:r w:rsidRPr="009456C6">
        <w:rPr>
          <w:rFonts w:cs="Arial" w:hint="cs"/>
          <w:sz w:val="16"/>
          <w:szCs w:val="16"/>
          <w:rtl/>
        </w:rPr>
        <w:t>,</w:t>
      </w:r>
      <w:r w:rsidRPr="009456C6">
        <w:rPr>
          <w:rFonts w:cs="Arial"/>
          <w:sz w:val="16"/>
          <w:szCs w:val="16"/>
          <w:rtl/>
        </w:rPr>
        <w:t xml:space="preserve"> דמוכחא מילתא דפתחים קבועים הם</w:t>
      </w:r>
      <w:r w:rsidRPr="009456C6">
        <w:rPr>
          <w:rFonts w:cs="Arial" w:hint="cs"/>
          <w:sz w:val="16"/>
          <w:szCs w:val="16"/>
          <w:rtl/>
        </w:rPr>
        <w:t>,</w:t>
      </w:r>
      <w:r w:rsidRPr="009456C6">
        <w:rPr>
          <w:rFonts w:cs="Arial"/>
          <w:sz w:val="16"/>
          <w:szCs w:val="16"/>
          <w:rtl/>
        </w:rPr>
        <w:t xml:space="preserve"> וכשהוא פותח ונועל אינו נראה כבונה אלא כפותח ונועל שאר דלתות הבית</w:t>
      </w:r>
      <w:r w:rsidRPr="009456C6">
        <w:rPr>
          <w:rStyle w:val="a9"/>
          <w:rFonts w:cs="Arial"/>
          <w:sz w:val="16"/>
          <w:szCs w:val="16"/>
          <w:rtl/>
        </w:rPr>
        <w:footnoteReference w:id="2086"/>
      </w:r>
      <w:r w:rsidRPr="009456C6">
        <w:rPr>
          <w:rFonts w:cs="Arial" w:hint="cs"/>
          <w:sz w:val="16"/>
          <w:szCs w:val="16"/>
          <w:rtl/>
        </w:rPr>
        <w:t>...</w:t>
      </w:r>
      <w:r w:rsidRPr="009456C6">
        <w:rPr>
          <w:rFonts w:cs="Arial"/>
          <w:sz w:val="16"/>
          <w:szCs w:val="16"/>
          <w:rtl/>
        </w:rPr>
        <w:t xml:space="preserve"> ושרינן</w:t>
      </w:r>
      <w:r w:rsidRPr="009456C6">
        <w:rPr>
          <w:rFonts w:cs="Arial" w:hint="cs"/>
          <w:sz w:val="14"/>
          <w:szCs w:val="14"/>
          <w:rtl/>
        </w:rPr>
        <w:t xml:space="preserve"> {לאביי}</w:t>
      </w:r>
      <w:r w:rsidRPr="009456C6">
        <w:rPr>
          <w:rFonts w:cs="Arial"/>
          <w:sz w:val="16"/>
          <w:szCs w:val="16"/>
          <w:rtl/>
        </w:rPr>
        <w:t xml:space="preserve"> אפילו כשאין בגופה של דלת שום היכר ציר דהא דומיא דמחצלת וקנקן קתני שאין להם ציר</w:t>
      </w:r>
      <w:r w:rsidRPr="009456C6">
        <w:rPr>
          <w:rFonts w:cs="Arial" w:hint="cs"/>
          <w:sz w:val="16"/>
          <w:szCs w:val="16"/>
          <w:rtl/>
        </w:rPr>
        <w:t xml:space="preserve">. עכ"ל הריטב"א. </w:t>
      </w:r>
      <w:r w:rsidRPr="009456C6">
        <w:rPr>
          <w:rFonts w:cs="Arial"/>
          <w:sz w:val="16"/>
          <w:szCs w:val="16"/>
          <w:rtl/>
        </w:rPr>
        <w:t>וא"כ לרבא כשהיה ציר בפתח שרי אע</w:t>
      </w:r>
      <w:r w:rsidRPr="009456C6">
        <w:rPr>
          <w:rFonts w:cs="Arial" w:hint="cs"/>
          <w:sz w:val="16"/>
          <w:szCs w:val="16"/>
          <w:rtl/>
        </w:rPr>
        <w:t>"</w:t>
      </w:r>
      <w:r w:rsidRPr="009456C6">
        <w:rPr>
          <w:rFonts w:cs="Arial"/>
          <w:sz w:val="16"/>
          <w:szCs w:val="16"/>
          <w:rtl/>
        </w:rPr>
        <w:t>פ שאין בו עכשיו</w:t>
      </w:r>
      <w:r>
        <w:rPr>
          <w:rFonts w:cs="Arial" w:hint="cs"/>
          <w:sz w:val="16"/>
          <w:szCs w:val="16"/>
          <w:rtl/>
        </w:rPr>
        <w:t>,</w:t>
      </w:r>
      <w:r w:rsidRPr="009456C6">
        <w:rPr>
          <w:rFonts w:cs="Arial"/>
          <w:sz w:val="16"/>
          <w:szCs w:val="16"/>
          <w:rtl/>
        </w:rPr>
        <w:t xml:space="preserve"> וגם בדלת לא היה מעולם. ומשמע לי דהא דאוקמה אביי בשיש להם ציר ורבא בשהיה להם ציר היינו דכשנועל בה אינו מחזיר הציר למקומו</w:t>
      </w:r>
      <w:r>
        <w:rPr>
          <w:rFonts w:cs="Arial" w:hint="cs"/>
          <w:sz w:val="16"/>
          <w:szCs w:val="16"/>
          <w:rtl/>
        </w:rPr>
        <w:t>,</w:t>
      </w:r>
      <w:r w:rsidRPr="009456C6">
        <w:rPr>
          <w:rFonts w:cs="Arial"/>
          <w:sz w:val="16"/>
          <w:szCs w:val="16"/>
          <w:rtl/>
        </w:rPr>
        <w:t xml:space="preserve"> דאילו מחזיר הציר למקומו אמרינן בפ</w:t>
      </w:r>
      <w:r>
        <w:rPr>
          <w:rFonts w:cs="Arial" w:hint="cs"/>
          <w:sz w:val="16"/>
          <w:szCs w:val="16"/>
          <w:rtl/>
        </w:rPr>
        <w:t>"</w:t>
      </w:r>
      <w:r w:rsidRPr="009456C6">
        <w:rPr>
          <w:rFonts w:cs="Arial"/>
          <w:sz w:val="16"/>
          <w:szCs w:val="16"/>
          <w:rtl/>
        </w:rPr>
        <w:t>ק דביצה (יא:) דאפילו בתריסי חנויות שהם כלים המיטלטלים אסור</w:t>
      </w:r>
      <w:r w:rsidRPr="009456C6">
        <w:rPr>
          <w:rFonts w:cs="Arial" w:hint="cs"/>
          <w:sz w:val="16"/>
          <w:szCs w:val="16"/>
          <w:rtl/>
        </w:rPr>
        <w:t>, ב"י</w:t>
      </w:r>
      <w:r>
        <w:rPr>
          <w:rFonts w:cs="Arial" w:hint="cs"/>
          <w:sz w:val="16"/>
          <w:szCs w:val="16"/>
          <w:rtl/>
        </w:rPr>
        <w:t>)</w:t>
      </w:r>
    </w:p>
    <w:p w14:paraId="1A47D543" w14:textId="1E0EBCFF" w:rsidR="002B5B71" w:rsidRPr="0055299C" w:rsidRDefault="00612C74" w:rsidP="00434A6A">
      <w:pPr>
        <w:rPr>
          <w:u w:val="single"/>
          <w:rtl/>
        </w:rPr>
      </w:pPr>
      <w:r>
        <w:rPr>
          <w:rFonts w:hint="cs"/>
          <w:u w:val="single"/>
          <w:rtl/>
        </w:rPr>
        <w:t xml:space="preserve">נעילת הפתח ע"י </w:t>
      </w:r>
      <w:r w:rsidR="0055299C" w:rsidRPr="0055299C">
        <w:rPr>
          <w:rFonts w:hint="cs"/>
          <w:u w:val="single"/>
          <w:rtl/>
        </w:rPr>
        <w:t xml:space="preserve">דלת </w:t>
      </w:r>
      <w:r>
        <w:rPr>
          <w:rFonts w:hint="cs"/>
          <w:u w:val="single"/>
          <w:rtl/>
        </w:rPr>
        <w:t>זמנית</w:t>
      </w:r>
      <w:r w:rsidR="00514D87">
        <w:rPr>
          <w:rFonts w:hint="cs"/>
          <w:u w:val="single"/>
          <w:rtl/>
        </w:rPr>
        <w:t xml:space="preserve"> שקשורה לבית</w:t>
      </w:r>
      <w:r>
        <w:rPr>
          <w:rFonts w:hint="cs"/>
          <w:u w:val="single"/>
          <w:rtl/>
        </w:rPr>
        <w:t xml:space="preserve"> -</w:t>
      </w:r>
      <w:r w:rsidR="0055299C" w:rsidRPr="0055299C">
        <w:rPr>
          <w:rFonts w:hint="cs"/>
          <w:u w:val="single"/>
          <w:rtl/>
        </w:rPr>
        <w:t xml:space="preserve"> ב</w:t>
      </w:r>
      <w:r w:rsidR="00514D87">
        <w:rPr>
          <w:rFonts w:hint="cs"/>
          <w:u w:val="single"/>
          <w:rtl/>
        </w:rPr>
        <w:t>פתח</w:t>
      </w:r>
      <w:r w:rsidR="0055299C" w:rsidRPr="0055299C">
        <w:rPr>
          <w:rFonts w:hint="cs"/>
          <w:u w:val="single"/>
          <w:rtl/>
        </w:rPr>
        <w:t xml:space="preserve"> שאין נכנסים </w:t>
      </w:r>
      <w:r>
        <w:rPr>
          <w:rFonts w:hint="cs"/>
          <w:u w:val="single"/>
          <w:rtl/>
        </w:rPr>
        <w:t>ו</w:t>
      </w:r>
      <w:r w:rsidR="0055299C" w:rsidRPr="0055299C">
        <w:rPr>
          <w:rFonts w:hint="cs"/>
          <w:u w:val="single"/>
          <w:rtl/>
        </w:rPr>
        <w:t>יוצאים ב</w:t>
      </w:r>
      <w:r w:rsidR="00514D87">
        <w:rPr>
          <w:rFonts w:hint="cs"/>
          <w:u w:val="single"/>
          <w:rtl/>
        </w:rPr>
        <w:t>ו</w:t>
      </w:r>
      <w:r w:rsidR="0055299C" w:rsidRPr="0055299C">
        <w:rPr>
          <w:rFonts w:hint="cs"/>
          <w:u w:val="single"/>
          <w:rtl/>
        </w:rPr>
        <w:t xml:space="preserve"> תדיר:</w:t>
      </w:r>
    </w:p>
    <w:p w14:paraId="775A6CE2" w14:textId="44487119" w:rsidR="00612C74" w:rsidRDefault="00D22DC5" w:rsidP="00434A6A">
      <w:pPr>
        <w:pStyle w:val="aa"/>
        <w:numPr>
          <w:ilvl w:val="0"/>
          <w:numId w:val="15"/>
        </w:numPr>
      </w:pPr>
      <w:r>
        <w:rPr>
          <w:rFonts w:cs="Arial" w:hint="cs"/>
          <w:rtl/>
        </w:rPr>
        <w:t xml:space="preserve">טור- </w:t>
      </w:r>
      <w:r>
        <w:rPr>
          <w:rFonts w:cs="Arial"/>
          <w:rtl/>
        </w:rPr>
        <w:t>רחבה שאחורי הבתים שאין נכנסין ויוצאין בה תדיר</w:t>
      </w:r>
      <w:r w:rsidR="002B5B71">
        <w:rPr>
          <w:rFonts w:cs="Arial" w:hint="cs"/>
          <w:rtl/>
        </w:rPr>
        <w:t>,</w:t>
      </w:r>
      <w:r>
        <w:rPr>
          <w:rFonts w:cs="Arial"/>
          <w:rtl/>
        </w:rPr>
        <w:t xml:space="preserve"> אם עשה דלת לפותחה או שתולה בה מחצלת של קנים</w:t>
      </w:r>
      <w:r w:rsidR="002B5B71">
        <w:rPr>
          <w:rFonts w:cs="Arial" w:hint="cs"/>
          <w:rtl/>
        </w:rPr>
        <w:t>,</w:t>
      </w:r>
      <w:r>
        <w:rPr>
          <w:rFonts w:cs="Arial"/>
          <w:rtl/>
        </w:rPr>
        <w:t xml:space="preserve"> וכן פירצה שגדרה בקוצים כעין דלת</w:t>
      </w:r>
      <w:r w:rsidR="002B5B71">
        <w:rPr>
          <w:rFonts w:cs="Arial" w:hint="cs"/>
          <w:rtl/>
        </w:rPr>
        <w:t>,</w:t>
      </w:r>
      <w:r>
        <w:rPr>
          <w:rFonts w:cs="Arial"/>
          <w:rtl/>
        </w:rPr>
        <w:t xml:space="preserve"> אם יש להם ציר או אפילו אין להם עתה ציר אלא שהיה להן ציר </w:t>
      </w:r>
      <w:r w:rsidR="002B5B71">
        <w:rPr>
          <w:rFonts w:cs="Arial" w:hint="cs"/>
          <w:rtl/>
        </w:rPr>
        <w:t xml:space="preserve">- </w:t>
      </w:r>
      <w:r>
        <w:rPr>
          <w:rFonts w:cs="Arial"/>
          <w:rtl/>
        </w:rPr>
        <w:t>נועלין בהן אפילו הן נגררין בארץ רק שקשרן ותלאן לנעול בהם</w:t>
      </w:r>
      <w:r w:rsidR="002B5B71">
        <w:rPr>
          <w:rFonts w:cs="Arial" w:hint="cs"/>
          <w:rtl/>
        </w:rPr>
        <w:t>,</w:t>
      </w:r>
      <w:r>
        <w:rPr>
          <w:rFonts w:cs="Arial"/>
          <w:rtl/>
        </w:rPr>
        <w:t xml:space="preserve"> ולא חשיב כבונה שניכר בהן שהוא דלת כיון שהיה להם ציר. אין להם ציר ולא היה להם ציר </w:t>
      </w:r>
      <w:r w:rsidR="002B5B71">
        <w:rPr>
          <w:rFonts w:cs="Arial" w:hint="cs"/>
          <w:rtl/>
        </w:rPr>
        <w:t xml:space="preserve">- </w:t>
      </w:r>
      <w:r>
        <w:rPr>
          <w:rFonts w:cs="Arial"/>
          <w:rtl/>
        </w:rPr>
        <w:t>אין נועלין בהם אא"כ הן גבוהים מן הארץ</w:t>
      </w:r>
      <w:r w:rsidR="002B5B71">
        <w:rPr>
          <w:rFonts w:cs="Arial" w:hint="cs"/>
          <w:rtl/>
        </w:rPr>
        <w:t>.</w:t>
      </w:r>
      <w:r>
        <w:rPr>
          <w:rFonts w:cs="Arial"/>
          <w:rtl/>
        </w:rPr>
        <w:t xml:space="preserve"> </w:t>
      </w:r>
      <w:r w:rsidR="0001512A" w:rsidRPr="006917C5">
        <w:rPr>
          <w:rFonts w:hint="cs"/>
          <w:color w:val="E36C0A" w:themeColor="accent6" w:themeShade="BF"/>
          <w:rtl/>
        </w:rPr>
        <w:t>(וכ"פ בשו"ע)</w:t>
      </w:r>
    </w:p>
    <w:p w14:paraId="788F3988" w14:textId="2E115D13" w:rsidR="00612C74" w:rsidRPr="00612C74" w:rsidRDefault="00612C74" w:rsidP="00434A6A">
      <w:pPr>
        <w:ind w:left="360"/>
        <w:rPr>
          <w:u w:val="dotted"/>
        </w:rPr>
      </w:pPr>
      <w:r w:rsidRPr="00612C74">
        <w:rPr>
          <w:rFonts w:hint="cs"/>
          <w:u w:val="dotted"/>
          <w:rtl/>
        </w:rPr>
        <w:t>ומה הדין ב</w:t>
      </w:r>
      <w:r w:rsidR="00514D87">
        <w:rPr>
          <w:rFonts w:hint="cs"/>
          <w:u w:val="dotted"/>
          <w:rtl/>
        </w:rPr>
        <w:t>פתח</w:t>
      </w:r>
      <w:r w:rsidRPr="00612C74">
        <w:rPr>
          <w:rFonts w:hint="cs"/>
          <w:u w:val="dotted"/>
          <w:rtl/>
        </w:rPr>
        <w:t xml:space="preserve"> שנכנסים ויוצאים ב</w:t>
      </w:r>
      <w:r w:rsidR="00514D87">
        <w:rPr>
          <w:rFonts w:hint="cs"/>
          <w:u w:val="dotted"/>
          <w:rtl/>
        </w:rPr>
        <w:t>ו</w:t>
      </w:r>
      <w:r w:rsidRPr="00612C74">
        <w:rPr>
          <w:rFonts w:hint="cs"/>
          <w:u w:val="dotted"/>
          <w:rtl/>
        </w:rPr>
        <w:t xml:space="preserve"> תדיר:</w:t>
      </w:r>
    </w:p>
    <w:p w14:paraId="01B88E69" w14:textId="6BFFAFC4" w:rsidR="009456C6" w:rsidRPr="009456C6" w:rsidRDefault="009456C6" w:rsidP="00434A6A">
      <w:pPr>
        <w:pStyle w:val="aa"/>
        <w:numPr>
          <w:ilvl w:val="0"/>
          <w:numId w:val="15"/>
        </w:numPr>
      </w:pPr>
      <w:r>
        <w:rPr>
          <w:rFonts w:cs="Arial" w:hint="cs"/>
          <w:rtl/>
        </w:rPr>
        <w:t>רא"ש</w:t>
      </w:r>
      <w:r>
        <w:rPr>
          <w:rStyle w:val="a9"/>
          <w:rFonts w:cs="Arial"/>
          <w:rtl/>
        </w:rPr>
        <w:footnoteReference w:id="2087"/>
      </w:r>
      <w:r>
        <w:rPr>
          <w:rFonts w:cs="Arial" w:hint="cs"/>
          <w:sz w:val="16"/>
          <w:szCs w:val="16"/>
          <w:rtl/>
        </w:rPr>
        <w:t xml:space="preserve"> (פ' בתרא סי' טו)</w:t>
      </w:r>
      <w:r>
        <w:rPr>
          <w:rFonts w:cs="Arial" w:hint="cs"/>
          <w:rtl/>
        </w:rPr>
        <w:t xml:space="preserve"> ו</w:t>
      </w:r>
      <w:r w:rsidR="00612C74">
        <w:rPr>
          <w:rFonts w:cs="Arial" w:hint="cs"/>
          <w:rtl/>
        </w:rPr>
        <w:t xml:space="preserve">טור- </w:t>
      </w:r>
      <w:r w:rsidR="00D22DC5">
        <w:rPr>
          <w:rFonts w:cs="Arial"/>
          <w:rtl/>
        </w:rPr>
        <w:t xml:space="preserve">ופתח העשוי לכניסה ויציאה תדיר </w:t>
      </w:r>
      <w:r w:rsidR="002B5B71">
        <w:rPr>
          <w:rFonts w:cs="Arial" w:hint="cs"/>
          <w:rtl/>
        </w:rPr>
        <w:t xml:space="preserve">- </w:t>
      </w:r>
      <w:r w:rsidR="00D22DC5">
        <w:rPr>
          <w:rFonts w:cs="Arial"/>
          <w:rtl/>
        </w:rPr>
        <w:t>נועלין בו אפילו לא היה לה ציר לעולם והוא נגרר</w:t>
      </w:r>
      <w:r w:rsidR="0001512A">
        <w:rPr>
          <w:rStyle w:val="a9"/>
          <w:rFonts w:cs="Arial"/>
          <w:rtl/>
        </w:rPr>
        <w:footnoteReference w:id="2088"/>
      </w:r>
      <w:r>
        <w:rPr>
          <w:rFonts w:cs="Arial" w:hint="cs"/>
          <w:sz w:val="16"/>
          <w:szCs w:val="16"/>
          <w:rtl/>
        </w:rPr>
        <w:t xml:space="preserve"> (ל' הטור)</w:t>
      </w:r>
      <w:r w:rsidR="00D22DC5">
        <w:rPr>
          <w:rFonts w:cs="Arial" w:hint="cs"/>
          <w:rtl/>
        </w:rPr>
        <w:t>.</w:t>
      </w:r>
      <w:r w:rsidR="00D22DC5">
        <w:rPr>
          <w:rFonts w:cs="Arial"/>
          <w:rtl/>
        </w:rPr>
        <w:t xml:space="preserve"> </w:t>
      </w:r>
      <w:r w:rsidR="0001512A" w:rsidRPr="006917C5">
        <w:rPr>
          <w:rFonts w:hint="cs"/>
          <w:color w:val="E36C0A" w:themeColor="accent6" w:themeShade="BF"/>
          <w:rtl/>
        </w:rPr>
        <w:t>(וכ"פ בשו"ע)</w:t>
      </w:r>
      <w:r w:rsidR="00D04150">
        <w:rPr>
          <w:rFonts w:hint="cs"/>
          <w:rtl/>
        </w:rPr>
        <w:t xml:space="preserve"> </w:t>
      </w:r>
    </w:p>
    <w:p w14:paraId="5D86EF31" w14:textId="77777777" w:rsidR="002B45A4" w:rsidRPr="00D10A83" w:rsidRDefault="002B45A4" w:rsidP="00434A6A">
      <w:pPr>
        <w:rPr>
          <w:rFonts w:asciiTheme="minorBidi" w:hAnsiTheme="minorBidi"/>
          <w:rtl/>
        </w:rPr>
      </w:pPr>
      <w:r w:rsidRPr="005275DF">
        <w:rPr>
          <w:rFonts w:asciiTheme="minorBidi" w:hAnsiTheme="minorBidi"/>
          <w:b/>
          <w:bCs/>
          <w:sz w:val="32"/>
          <w:szCs w:val="28"/>
          <w:u w:val="single"/>
          <w:rtl/>
        </w:rPr>
        <w:t xml:space="preserve">שו"ע: </w:t>
      </w:r>
    </w:p>
    <w:p w14:paraId="3131E6F5" w14:textId="1BC51702" w:rsidR="008C1C8E" w:rsidRDefault="008C1C8E" w:rsidP="00434A6A">
      <w:pPr>
        <w:rPr>
          <w:rFonts w:asciiTheme="minorBidi" w:hAnsiTheme="minorBidi"/>
          <w:rtl/>
        </w:rPr>
      </w:pPr>
      <w:r w:rsidRPr="005275DF">
        <w:rPr>
          <w:rFonts w:asciiTheme="minorBidi" w:hAnsiTheme="minorBidi"/>
          <w:rtl/>
        </w:rPr>
        <w:t>רחבה שאחורי הבתים, שאין נכנסים ויוצאים בה תדיר, אם עשה דלת לפתחה או שתולה בה מחצלת של קנים, וכן פרצה שגדרה בקוצים כעין דלת, אם יש להם ציר, או אפי</w:t>
      </w:r>
      <w:r w:rsidR="0001512A">
        <w:rPr>
          <w:rFonts w:asciiTheme="minorBidi" w:hAnsiTheme="minorBidi" w:hint="cs"/>
          <w:rtl/>
        </w:rPr>
        <w:t>לו</w:t>
      </w:r>
      <w:r w:rsidRPr="005275DF">
        <w:rPr>
          <w:rFonts w:asciiTheme="minorBidi" w:hAnsiTheme="minorBidi"/>
          <w:rtl/>
        </w:rPr>
        <w:t xml:space="preserve"> אין להם עתה ציר אלא שהיה</w:t>
      </w:r>
      <w:r w:rsidR="007D0851">
        <w:rPr>
          <w:rStyle w:val="a9"/>
          <w:rFonts w:asciiTheme="minorBidi" w:hAnsiTheme="minorBidi"/>
          <w:rtl/>
        </w:rPr>
        <w:footnoteReference w:id="2089"/>
      </w:r>
      <w:r w:rsidRPr="005275DF">
        <w:rPr>
          <w:rFonts w:asciiTheme="minorBidi" w:hAnsiTheme="minorBidi"/>
          <w:rtl/>
        </w:rPr>
        <w:t xml:space="preserve"> להם ציר, נועלים בהם אפי</w:t>
      </w:r>
      <w:r w:rsidR="0001512A">
        <w:rPr>
          <w:rFonts w:asciiTheme="minorBidi" w:hAnsiTheme="minorBidi" w:hint="cs"/>
          <w:rtl/>
        </w:rPr>
        <w:t>לו</w:t>
      </w:r>
      <w:r w:rsidRPr="005275DF">
        <w:rPr>
          <w:rFonts w:asciiTheme="minorBidi" w:hAnsiTheme="minorBidi"/>
          <w:rtl/>
        </w:rPr>
        <w:t xml:space="preserve"> הם נגררים בארץ רק שקשרם ותלאם</w:t>
      </w:r>
      <w:r w:rsidR="007D0851">
        <w:rPr>
          <w:rStyle w:val="a9"/>
          <w:rFonts w:asciiTheme="minorBidi" w:hAnsiTheme="minorBidi"/>
          <w:rtl/>
        </w:rPr>
        <w:footnoteReference w:id="2090"/>
      </w:r>
      <w:r w:rsidRPr="005275DF">
        <w:rPr>
          <w:rFonts w:asciiTheme="minorBidi" w:hAnsiTheme="minorBidi"/>
          <w:rtl/>
        </w:rPr>
        <w:t xml:space="preserve"> לנעול בהם</w:t>
      </w:r>
      <w:r w:rsidR="0001512A">
        <w:rPr>
          <w:rFonts w:asciiTheme="minorBidi" w:hAnsiTheme="minorBidi" w:hint="cs"/>
          <w:rtl/>
        </w:rPr>
        <w:t>.</w:t>
      </w:r>
      <w:r w:rsidRPr="005275DF">
        <w:rPr>
          <w:rFonts w:asciiTheme="minorBidi" w:hAnsiTheme="minorBidi"/>
          <w:rtl/>
        </w:rPr>
        <w:t xml:space="preserve"> ולא חשיב כבונה, שניכר בהם שהוא דלת כיון שהיה להם ציר. </w:t>
      </w:r>
      <w:r w:rsidRPr="001F0917">
        <w:rPr>
          <w:rFonts w:asciiTheme="minorBidi" w:hAnsiTheme="minorBidi"/>
          <w:sz w:val="18"/>
          <w:szCs w:val="18"/>
          <w:rtl/>
        </w:rPr>
        <w:t>הגה: וכ"ש אם יש להם ציר עדיין</w:t>
      </w:r>
      <w:r w:rsidR="0001512A">
        <w:rPr>
          <w:rFonts w:asciiTheme="minorBidi" w:hAnsiTheme="minorBidi" w:hint="cs"/>
          <w:sz w:val="18"/>
          <w:szCs w:val="18"/>
          <w:rtl/>
        </w:rPr>
        <w:t>,</w:t>
      </w:r>
      <w:r w:rsidRPr="001F0917">
        <w:rPr>
          <w:rFonts w:asciiTheme="minorBidi" w:hAnsiTheme="minorBidi"/>
          <w:sz w:val="18"/>
          <w:szCs w:val="18"/>
          <w:rtl/>
        </w:rPr>
        <w:t xml:space="preserve"> ובלבד שלא יחזיר הציר למקומו, כדרך שיתבאר לקמן סי' תקי"ט (ב"י). </w:t>
      </w:r>
      <w:r w:rsidRPr="005275DF">
        <w:rPr>
          <w:rFonts w:asciiTheme="minorBidi" w:hAnsiTheme="minorBidi"/>
          <w:rtl/>
        </w:rPr>
        <w:t>אבל אם אין להם ציר ולא היה להם ציר, אין נועלים בהם א</w:t>
      </w:r>
      <w:r w:rsidR="0001512A">
        <w:rPr>
          <w:rFonts w:asciiTheme="minorBidi" w:hAnsiTheme="minorBidi" w:hint="cs"/>
          <w:rtl/>
        </w:rPr>
        <w:t>ל</w:t>
      </w:r>
      <w:r w:rsidRPr="005275DF">
        <w:rPr>
          <w:rFonts w:asciiTheme="minorBidi" w:hAnsiTheme="minorBidi"/>
          <w:rtl/>
        </w:rPr>
        <w:t>א</w:t>
      </w:r>
      <w:r w:rsidR="0001512A">
        <w:rPr>
          <w:rFonts w:asciiTheme="minorBidi" w:hAnsiTheme="minorBidi" w:hint="cs"/>
          <w:rtl/>
        </w:rPr>
        <w:t xml:space="preserve"> אם </w:t>
      </w:r>
      <w:r w:rsidRPr="005275DF">
        <w:rPr>
          <w:rFonts w:asciiTheme="minorBidi" w:hAnsiTheme="minorBidi"/>
          <w:rtl/>
        </w:rPr>
        <w:t>כ</w:t>
      </w:r>
      <w:r w:rsidR="0001512A">
        <w:rPr>
          <w:rFonts w:asciiTheme="minorBidi" w:hAnsiTheme="minorBidi" w:hint="cs"/>
          <w:rtl/>
        </w:rPr>
        <w:t>ן</w:t>
      </w:r>
      <w:r w:rsidRPr="005275DF">
        <w:rPr>
          <w:rFonts w:asciiTheme="minorBidi" w:hAnsiTheme="minorBidi"/>
          <w:rtl/>
        </w:rPr>
        <w:t xml:space="preserve"> היו גבוהים מן הארץ</w:t>
      </w:r>
      <w:r w:rsidR="007D0851">
        <w:rPr>
          <w:rStyle w:val="a9"/>
          <w:rFonts w:asciiTheme="minorBidi" w:hAnsiTheme="minorBidi"/>
          <w:rtl/>
        </w:rPr>
        <w:footnoteReference w:id="2091"/>
      </w:r>
      <w:r w:rsidR="0001512A">
        <w:rPr>
          <w:rFonts w:asciiTheme="minorBidi" w:hAnsiTheme="minorBidi" w:hint="cs"/>
          <w:rtl/>
        </w:rPr>
        <w:t>.</w:t>
      </w:r>
      <w:r w:rsidRPr="005275DF">
        <w:rPr>
          <w:rFonts w:asciiTheme="minorBidi" w:hAnsiTheme="minorBidi"/>
          <w:rtl/>
        </w:rPr>
        <w:t xml:space="preserve"> ופתח העשוי לכניסה ויציאה תדיר נועלים בו, אפי</w:t>
      </w:r>
      <w:r w:rsidR="0001512A">
        <w:rPr>
          <w:rFonts w:asciiTheme="minorBidi" w:hAnsiTheme="minorBidi" w:hint="cs"/>
          <w:rtl/>
        </w:rPr>
        <w:t>לו</w:t>
      </w:r>
      <w:r w:rsidRPr="005275DF">
        <w:rPr>
          <w:rFonts w:asciiTheme="minorBidi" w:hAnsiTheme="minorBidi"/>
          <w:rtl/>
        </w:rPr>
        <w:t xml:space="preserve"> לא היה לו ציר מעולם והוא נגרר</w:t>
      </w:r>
      <w:r w:rsidR="007D0851">
        <w:rPr>
          <w:rStyle w:val="a9"/>
          <w:rFonts w:asciiTheme="minorBidi" w:hAnsiTheme="minorBidi"/>
          <w:rtl/>
        </w:rPr>
        <w:footnoteReference w:id="2092"/>
      </w:r>
      <w:r w:rsidRPr="005275DF">
        <w:rPr>
          <w:rFonts w:asciiTheme="minorBidi" w:hAnsiTheme="minorBidi"/>
          <w:rtl/>
        </w:rPr>
        <w:t xml:space="preserve">. </w:t>
      </w:r>
    </w:p>
    <w:p w14:paraId="177F1452" w14:textId="77777777" w:rsidR="0001512A" w:rsidRPr="005275DF" w:rsidRDefault="0001512A" w:rsidP="00434A6A">
      <w:pPr>
        <w:rPr>
          <w:rFonts w:asciiTheme="minorBidi" w:hAnsiTheme="minorBidi"/>
          <w:rtl/>
        </w:rPr>
      </w:pPr>
    </w:p>
    <w:p w14:paraId="62760FC8" w14:textId="532E4FB6" w:rsidR="008C1C8E" w:rsidRDefault="008C1C8E" w:rsidP="00434A6A">
      <w:pPr>
        <w:pStyle w:val="2"/>
        <w:rPr>
          <w:rtl/>
        </w:rPr>
      </w:pPr>
      <w:r w:rsidRPr="005275DF">
        <w:rPr>
          <w:rtl/>
        </w:rPr>
        <w:t>סעיף ד</w:t>
      </w:r>
      <w:r w:rsidR="003242CA">
        <w:rPr>
          <w:rFonts w:hint="cs"/>
          <w:rtl/>
        </w:rPr>
        <w:t xml:space="preserve">: </w:t>
      </w:r>
      <w:r w:rsidR="00514D87">
        <w:rPr>
          <w:rFonts w:hint="cs"/>
          <w:rtl/>
        </w:rPr>
        <w:t>נעילת הפתח ע"י דלת זמנית ש</w:t>
      </w:r>
      <w:r w:rsidR="00E10D3C">
        <w:rPr>
          <w:rFonts w:hint="cs"/>
          <w:rtl/>
        </w:rPr>
        <w:t xml:space="preserve">היא לוח אחד </w:t>
      </w:r>
      <w:r w:rsidR="00E10D3C" w:rsidRPr="00E10D3C">
        <w:rPr>
          <w:rFonts w:hint="cs"/>
          <w:sz w:val="18"/>
          <w:szCs w:val="18"/>
          <w:rtl/>
        </w:rPr>
        <w:t>(ו</w:t>
      </w:r>
      <w:r w:rsidR="00514D87" w:rsidRPr="00E10D3C">
        <w:rPr>
          <w:rFonts w:hint="cs"/>
          <w:sz w:val="18"/>
          <w:szCs w:val="18"/>
          <w:rtl/>
        </w:rPr>
        <w:t>אינה קשורה לבית</w:t>
      </w:r>
      <w:r w:rsidR="00E10D3C">
        <w:rPr>
          <w:rFonts w:hint="cs"/>
          <w:sz w:val="18"/>
          <w:szCs w:val="18"/>
          <w:rtl/>
        </w:rPr>
        <w:t>)</w:t>
      </w:r>
      <w:r w:rsidR="00514D87">
        <w:rPr>
          <w:rFonts w:hint="cs"/>
          <w:rtl/>
        </w:rPr>
        <w:t>.</w:t>
      </w:r>
    </w:p>
    <w:p w14:paraId="38299489" w14:textId="606059F3" w:rsidR="003242CA" w:rsidRDefault="00467EDB" w:rsidP="00434A6A">
      <w:pPr>
        <w:rPr>
          <w:rtl/>
        </w:rPr>
      </w:pPr>
      <w:r w:rsidRPr="001C3A69">
        <w:rPr>
          <w:rFonts w:cs="Arial" w:hint="cs"/>
          <w:b/>
          <w:bCs/>
          <w:rtl/>
        </w:rPr>
        <w:t>ע</w:t>
      </w:r>
      <w:r>
        <w:rPr>
          <w:rFonts w:cs="Arial" w:hint="cs"/>
          <w:b/>
          <w:bCs/>
          <w:rtl/>
        </w:rPr>
        <w:t>י</w:t>
      </w:r>
      <w:r w:rsidRPr="001C3A69">
        <w:rPr>
          <w:rFonts w:cs="Arial" w:hint="cs"/>
          <w:b/>
          <w:bCs/>
          <w:rtl/>
        </w:rPr>
        <w:t xml:space="preserve">רובין </w:t>
      </w:r>
      <w:r w:rsidRPr="001C3A69">
        <w:rPr>
          <w:rFonts w:cs="Arial" w:hint="cs"/>
          <w:b/>
          <w:bCs/>
          <w:sz w:val="16"/>
          <w:szCs w:val="16"/>
          <w:rtl/>
        </w:rPr>
        <w:t xml:space="preserve">(פ' בתרא) </w:t>
      </w:r>
      <w:r w:rsidRPr="001C3A69">
        <w:rPr>
          <w:rFonts w:cs="Arial" w:hint="cs"/>
          <w:b/>
          <w:bCs/>
          <w:rtl/>
        </w:rPr>
        <w:t>ק</w:t>
      </w:r>
      <w:r>
        <w:rPr>
          <w:rFonts w:cs="Arial" w:hint="cs"/>
          <w:b/>
          <w:bCs/>
          <w:rtl/>
        </w:rPr>
        <w:t>א</w:t>
      </w:r>
      <w:r w:rsidRPr="001C3A69">
        <w:rPr>
          <w:rFonts w:cs="Arial" w:hint="cs"/>
          <w:b/>
          <w:bCs/>
          <w:rtl/>
        </w:rPr>
        <w:t xml:space="preserve"> ע"</w:t>
      </w:r>
      <w:r>
        <w:rPr>
          <w:rFonts w:cs="Arial" w:hint="cs"/>
          <w:b/>
          <w:bCs/>
          <w:rtl/>
        </w:rPr>
        <w:t>א</w:t>
      </w:r>
      <w:r w:rsidRPr="001C3A69">
        <w:rPr>
          <w:rFonts w:cs="Arial" w:hint="cs"/>
          <w:b/>
          <w:bCs/>
          <w:rtl/>
        </w:rPr>
        <w:t>:</w:t>
      </w:r>
      <w:r>
        <w:rPr>
          <w:rFonts w:cs="Arial" w:hint="cs"/>
          <w:rtl/>
        </w:rPr>
        <w:t xml:space="preserve"> </w:t>
      </w:r>
      <w:r w:rsidR="003D7F4E" w:rsidRPr="003D7F4E">
        <w:rPr>
          <w:rFonts w:cs="Arial"/>
          <w:u w:val="single"/>
          <w:rtl/>
        </w:rPr>
        <w:t>תני רבי חייא</w:t>
      </w:r>
      <w:r w:rsidR="003D7F4E" w:rsidRPr="003D7F4E">
        <w:rPr>
          <w:rFonts w:cs="Arial"/>
          <w:rtl/>
        </w:rPr>
        <w:t>: דלת אלמנה</w:t>
      </w:r>
      <w:r w:rsidR="003D7F4E">
        <w:rPr>
          <w:rStyle w:val="a9"/>
          <w:rFonts w:cs="Arial"/>
          <w:rtl/>
        </w:rPr>
        <w:footnoteReference w:id="2093"/>
      </w:r>
      <w:r w:rsidR="003D7F4E" w:rsidRPr="003D7F4E">
        <w:rPr>
          <w:rFonts w:cs="Arial"/>
          <w:rtl/>
        </w:rPr>
        <w:t xml:space="preserve"> הנגררת - אין נועלין בה. היכי דמי דלת אלמנה - איכא דאמרי: דחד שיפא</w:t>
      </w:r>
      <w:r w:rsidR="003D7F4E">
        <w:rPr>
          <w:rStyle w:val="a9"/>
          <w:rFonts w:cs="Arial"/>
          <w:rtl/>
        </w:rPr>
        <w:footnoteReference w:id="2094"/>
      </w:r>
      <w:r w:rsidR="003D7F4E" w:rsidRPr="003D7F4E">
        <w:rPr>
          <w:rFonts w:cs="Arial"/>
          <w:rtl/>
        </w:rPr>
        <w:t>, ואיכא דאמרי: דלית ליה גשמה</w:t>
      </w:r>
      <w:r w:rsidR="003D7F4E">
        <w:rPr>
          <w:rStyle w:val="a9"/>
          <w:rFonts w:cs="Arial"/>
          <w:rtl/>
        </w:rPr>
        <w:footnoteReference w:id="2095"/>
      </w:r>
      <w:r w:rsidR="003D7F4E" w:rsidRPr="003D7F4E">
        <w:rPr>
          <w:rFonts w:cs="Arial"/>
          <w:rtl/>
        </w:rPr>
        <w:t>.</w:t>
      </w:r>
    </w:p>
    <w:p w14:paraId="6B67966B" w14:textId="2CB938A1" w:rsidR="00514D87" w:rsidRPr="00E10D3C" w:rsidRDefault="00E10D3C" w:rsidP="00434A6A">
      <w:pPr>
        <w:rPr>
          <w:u w:val="single"/>
          <w:rtl/>
        </w:rPr>
      </w:pPr>
      <w:r w:rsidRPr="00E10D3C">
        <w:rPr>
          <w:rFonts w:hint="cs"/>
          <w:u w:val="single"/>
          <w:rtl/>
        </w:rPr>
        <w:t xml:space="preserve">נעילת הפתח ע"י דלת זמנית שהיא לוח אחד </w:t>
      </w:r>
      <w:r w:rsidRPr="00E10D3C">
        <w:rPr>
          <w:rFonts w:hint="cs"/>
          <w:sz w:val="16"/>
          <w:szCs w:val="16"/>
          <w:u w:val="single"/>
          <w:rtl/>
        </w:rPr>
        <w:t>(ואינה קשורה לבית)</w:t>
      </w:r>
      <w:r w:rsidRPr="00E10D3C">
        <w:rPr>
          <w:rFonts w:hint="cs"/>
          <w:u w:val="single"/>
          <w:rtl/>
        </w:rPr>
        <w:t>:</w:t>
      </w:r>
    </w:p>
    <w:p w14:paraId="7B0E1FEF" w14:textId="30FC43BF" w:rsidR="0045060A" w:rsidRDefault="00D22DC5" w:rsidP="00434A6A">
      <w:pPr>
        <w:pStyle w:val="aa"/>
        <w:numPr>
          <w:ilvl w:val="0"/>
          <w:numId w:val="15"/>
        </w:numPr>
      </w:pPr>
      <w:r>
        <w:rPr>
          <w:rFonts w:cs="Arial" w:hint="cs"/>
          <w:rtl/>
        </w:rPr>
        <w:t xml:space="preserve">טור- </w:t>
      </w:r>
      <w:r>
        <w:rPr>
          <w:rFonts w:cs="Arial"/>
          <w:rtl/>
        </w:rPr>
        <w:t>דלת העשוי מלוח אחת</w:t>
      </w:r>
      <w:r w:rsidR="003D7F4E">
        <w:rPr>
          <w:rFonts w:cs="Arial" w:hint="cs"/>
          <w:rtl/>
        </w:rPr>
        <w:t>,</w:t>
      </w:r>
      <w:r>
        <w:rPr>
          <w:rFonts w:cs="Arial"/>
          <w:rtl/>
        </w:rPr>
        <w:t xml:space="preserve"> או שאין לה אסקופה התחתונה</w:t>
      </w:r>
      <w:r w:rsidR="003D7F4E">
        <w:rPr>
          <w:rFonts w:cs="Arial" w:hint="cs"/>
          <w:rtl/>
        </w:rPr>
        <w:t>,</w:t>
      </w:r>
      <w:r>
        <w:rPr>
          <w:rFonts w:cs="Arial"/>
          <w:rtl/>
        </w:rPr>
        <w:t xml:space="preserve"> וכשפותחין בה שומטים אותה ועוקרים אותה </w:t>
      </w:r>
      <w:r w:rsidR="003D7F4E">
        <w:rPr>
          <w:rFonts w:cs="Arial" w:hint="cs"/>
          <w:rtl/>
        </w:rPr>
        <w:t xml:space="preserve">- </w:t>
      </w:r>
      <w:r>
        <w:rPr>
          <w:rFonts w:cs="Arial"/>
          <w:rtl/>
        </w:rPr>
        <w:t>אין נועלין בה אפילו יש לה ציר</w:t>
      </w:r>
      <w:r w:rsidR="0045060A">
        <w:rPr>
          <w:rStyle w:val="a9"/>
          <w:rFonts w:cs="Arial"/>
          <w:rtl/>
        </w:rPr>
        <w:footnoteReference w:id="2096"/>
      </w:r>
      <w:r w:rsidR="00467EDB">
        <w:rPr>
          <w:rFonts w:cs="Arial" w:hint="cs"/>
          <w:rtl/>
        </w:rPr>
        <w:t>.</w:t>
      </w:r>
      <w:r w:rsidR="005E3057">
        <w:rPr>
          <w:rFonts w:hint="cs"/>
          <w:rtl/>
        </w:rPr>
        <w:t xml:space="preserve"> </w:t>
      </w:r>
      <w:r w:rsidR="005E3057" w:rsidRPr="005E3057">
        <w:rPr>
          <w:rFonts w:hint="cs"/>
          <w:color w:val="E36C0A" w:themeColor="accent6" w:themeShade="BF"/>
          <w:rtl/>
        </w:rPr>
        <w:t>(וכ"פ בשו"ע)</w:t>
      </w:r>
    </w:p>
    <w:p w14:paraId="078A3604" w14:textId="77777777" w:rsidR="005E3057" w:rsidRPr="005E3057" w:rsidRDefault="0020269B" w:rsidP="00434A6A">
      <w:pPr>
        <w:pStyle w:val="aa"/>
        <w:numPr>
          <w:ilvl w:val="0"/>
          <w:numId w:val="15"/>
        </w:numPr>
      </w:pPr>
      <w:r>
        <w:rPr>
          <w:rFonts w:cs="Arial" w:hint="cs"/>
          <w:rtl/>
        </w:rPr>
        <w:t xml:space="preserve">רמב"ם </w:t>
      </w:r>
      <w:r>
        <w:rPr>
          <w:rFonts w:cs="Arial" w:hint="cs"/>
          <w:sz w:val="16"/>
          <w:szCs w:val="16"/>
          <w:rtl/>
        </w:rPr>
        <w:t>(פכ"ו ה"ט)</w:t>
      </w:r>
      <w:r>
        <w:rPr>
          <w:rFonts w:cs="Arial" w:hint="cs"/>
          <w:rtl/>
        </w:rPr>
        <w:t xml:space="preserve">- </w:t>
      </w:r>
      <w:r w:rsidRPr="0020269B">
        <w:rPr>
          <w:rFonts w:cs="Arial"/>
          <w:rtl/>
        </w:rPr>
        <w:t>דלת שהיא לוח אחד ששומטין אותה ונועלין בה</w:t>
      </w:r>
      <w:r>
        <w:rPr>
          <w:rFonts w:cs="Arial" w:hint="cs"/>
          <w:rtl/>
        </w:rPr>
        <w:t>,</w:t>
      </w:r>
      <w:r w:rsidRPr="0020269B">
        <w:rPr>
          <w:rFonts w:cs="Arial"/>
          <w:rtl/>
        </w:rPr>
        <w:t xml:space="preserve"> אם לא היה לה למטה כן כמו אסקופה שמוכיח עליה שהיא כלי מוכן לנעילה </w:t>
      </w:r>
      <w:r>
        <w:rPr>
          <w:rFonts w:cs="Arial" w:hint="cs"/>
          <w:rtl/>
        </w:rPr>
        <w:t xml:space="preserve">- </w:t>
      </w:r>
      <w:r w:rsidRPr="0020269B">
        <w:rPr>
          <w:rFonts w:cs="Arial"/>
          <w:rtl/>
        </w:rPr>
        <w:t>אין נועלין בה, ואם יש למטה אסקופה נועלים בה</w:t>
      </w:r>
      <w:r w:rsidR="005E3057">
        <w:rPr>
          <w:rStyle w:val="a9"/>
          <w:rtl/>
        </w:rPr>
        <w:footnoteReference w:id="2097"/>
      </w:r>
      <w:r>
        <w:rPr>
          <w:rFonts w:hint="cs"/>
          <w:rtl/>
        </w:rPr>
        <w:t>.</w:t>
      </w:r>
      <w:r w:rsidR="00D22DC5" w:rsidRPr="005E3057">
        <w:rPr>
          <w:rFonts w:cs="Arial"/>
          <w:rtl/>
        </w:rPr>
        <w:t xml:space="preserve"> </w:t>
      </w:r>
    </w:p>
    <w:p w14:paraId="26A70A08" w14:textId="3F9CB7EA" w:rsidR="005E3057" w:rsidRPr="005E3057" w:rsidRDefault="00165ED6" w:rsidP="00434A6A">
      <w:r w:rsidRPr="00165ED6">
        <w:rPr>
          <w:rFonts w:hint="cs"/>
          <w:u w:val="single"/>
          <w:rtl/>
        </w:rPr>
        <w:t xml:space="preserve">דלת שעשויה משתי מזוזות </w:t>
      </w:r>
      <w:r w:rsidR="00716FF8">
        <w:rPr>
          <w:rFonts w:hint="cs"/>
          <w:u w:val="single"/>
          <w:rtl/>
        </w:rPr>
        <w:t xml:space="preserve">עם חקיקה </w:t>
      </w:r>
      <w:r w:rsidR="00716FF8" w:rsidRPr="00716FF8">
        <w:rPr>
          <w:rFonts w:hint="cs"/>
          <w:sz w:val="16"/>
          <w:szCs w:val="16"/>
          <w:u w:val="single"/>
          <w:rtl/>
        </w:rPr>
        <w:t xml:space="preserve">(כמו ח הפוכה) </w:t>
      </w:r>
      <w:r w:rsidRPr="00165ED6">
        <w:rPr>
          <w:rFonts w:hint="cs"/>
          <w:u w:val="single"/>
          <w:rtl/>
        </w:rPr>
        <w:t xml:space="preserve">שמכניסים לתוכם קרשים מלמעלה </w:t>
      </w:r>
      <w:r w:rsidRPr="00165ED6">
        <w:rPr>
          <w:u w:val="single"/>
          <w:rtl/>
        </w:rPr>
        <w:t>–</w:t>
      </w:r>
      <w:r w:rsidRPr="00165ED6">
        <w:rPr>
          <w:rFonts w:hint="cs"/>
          <w:u w:val="single"/>
          <w:rtl/>
        </w:rPr>
        <w:t xml:space="preserve"> מהו לסגורה</w:t>
      </w:r>
      <w:r w:rsidR="00716FF8">
        <w:rPr>
          <w:rFonts w:hint="cs"/>
          <w:u w:val="single"/>
          <w:rtl/>
        </w:rPr>
        <w:t>/</w:t>
      </w:r>
      <w:r w:rsidRPr="00165ED6">
        <w:rPr>
          <w:rFonts w:hint="cs"/>
          <w:u w:val="single"/>
          <w:rtl/>
        </w:rPr>
        <w:t>לפותחה בשבת:</w:t>
      </w:r>
    </w:p>
    <w:p w14:paraId="6131900A" w14:textId="33B7622A" w:rsidR="0045060A" w:rsidRPr="005E3057" w:rsidRDefault="005E3057" w:rsidP="00434A6A">
      <w:pPr>
        <w:pStyle w:val="aa"/>
        <w:numPr>
          <w:ilvl w:val="0"/>
          <w:numId w:val="15"/>
        </w:numPr>
        <w:rPr>
          <w:rtl/>
        </w:rPr>
      </w:pPr>
      <w:r w:rsidRPr="005E3057">
        <w:rPr>
          <w:rFonts w:cs="Arial" w:hint="cs"/>
          <w:rtl/>
        </w:rPr>
        <w:t xml:space="preserve">ב"י- </w:t>
      </w:r>
      <w:r w:rsidR="00D22DC5" w:rsidRPr="005E3057">
        <w:rPr>
          <w:rFonts w:cs="Arial"/>
          <w:rtl/>
        </w:rPr>
        <w:t>הני חנויות דידן שנועלין אותם בקרשים ויש במקומם חקיקה למעלה ולמטה שהן נכנסות בה נראה שאין לו דין ציר לאסרו משום מחזיר ציר למקומו</w:t>
      </w:r>
      <w:r w:rsidR="00165ED6">
        <w:rPr>
          <w:rFonts w:cs="Arial" w:hint="cs"/>
          <w:rtl/>
        </w:rPr>
        <w:t>,</w:t>
      </w:r>
      <w:r w:rsidR="00D22DC5" w:rsidRPr="005E3057">
        <w:rPr>
          <w:rFonts w:cs="Arial"/>
          <w:rtl/>
        </w:rPr>
        <w:t xml:space="preserve"> ולדברי הרמב"ם ודאי שרי</w:t>
      </w:r>
      <w:r w:rsidR="00165ED6">
        <w:rPr>
          <w:rFonts w:cs="Arial" w:hint="cs"/>
          <w:rtl/>
        </w:rPr>
        <w:t>.</w:t>
      </w:r>
      <w:r w:rsidR="00D22DC5" w:rsidRPr="005E3057">
        <w:rPr>
          <w:rFonts w:cs="Arial"/>
          <w:rtl/>
        </w:rPr>
        <w:t xml:space="preserve"> ואפילו לדברי רבינו נראה דשרי</w:t>
      </w:r>
      <w:r w:rsidR="00165ED6">
        <w:rPr>
          <w:rFonts w:cs="Arial" w:hint="cs"/>
          <w:rtl/>
        </w:rPr>
        <w:t>,</w:t>
      </w:r>
      <w:r w:rsidR="00D22DC5" w:rsidRPr="005E3057">
        <w:rPr>
          <w:rFonts w:cs="Arial"/>
          <w:rtl/>
        </w:rPr>
        <w:t xml:space="preserve"> דעד כאן לא אסר רבינו אלא שאין הדלת אלא מלוח אחד בלבד</w:t>
      </w:r>
      <w:r w:rsidR="00165ED6">
        <w:rPr>
          <w:rFonts w:cs="Arial" w:hint="cs"/>
          <w:rtl/>
        </w:rPr>
        <w:t>,</w:t>
      </w:r>
      <w:r w:rsidR="00D22DC5" w:rsidRPr="005E3057">
        <w:rPr>
          <w:rFonts w:cs="Arial"/>
          <w:rtl/>
        </w:rPr>
        <w:t xml:space="preserve"> אבל הכא שהפתח נעול בכמה קרשים חשיבי כולהו כדלת אחד עשוי מקרשים רבים ושרי</w:t>
      </w:r>
      <w:r w:rsidR="00165ED6">
        <w:rPr>
          <w:rFonts w:cs="Arial" w:hint="cs"/>
          <w:rtl/>
        </w:rPr>
        <w:t>.</w:t>
      </w:r>
      <w:r w:rsidR="00D22DC5" w:rsidRPr="005E3057">
        <w:rPr>
          <w:rFonts w:cs="Arial"/>
          <w:rtl/>
        </w:rPr>
        <w:t xml:space="preserve"> וכך נהגו העולם להתיר לפתוח ולנעול כדרכה ולא נשמע פוצה פה לאיסור</w:t>
      </w:r>
      <w:r>
        <w:rPr>
          <w:rFonts w:cs="Arial" w:hint="cs"/>
          <w:rtl/>
        </w:rPr>
        <w:t>.</w:t>
      </w:r>
      <w:r w:rsidR="00716FF8">
        <w:rPr>
          <w:rFonts w:hint="cs"/>
          <w:rtl/>
        </w:rPr>
        <w:t xml:space="preserve"> </w:t>
      </w:r>
      <w:r w:rsidR="00716FF8" w:rsidRPr="00716FF8">
        <w:rPr>
          <w:rFonts w:hint="cs"/>
          <w:color w:val="00B0F0"/>
          <w:rtl/>
        </w:rPr>
        <w:t>(וכ"פ הרמ"א)</w:t>
      </w:r>
    </w:p>
    <w:p w14:paraId="50C3C6A0" w14:textId="77777777" w:rsidR="002B45A4" w:rsidRPr="00D10A83" w:rsidRDefault="002B45A4" w:rsidP="00434A6A">
      <w:pPr>
        <w:rPr>
          <w:rFonts w:asciiTheme="minorBidi" w:hAnsiTheme="minorBidi"/>
          <w:rtl/>
        </w:rPr>
      </w:pPr>
      <w:r w:rsidRPr="005275DF">
        <w:rPr>
          <w:rFonts w:asciiTheme="minorBidi" w:hAnsiTheme="minorBidi"/>
          <w:b/>
          <w:bCs/>
          <w:sz w:val="32"/>
          <w:szCs w:val="28"/>
          <w:u w:val="single"/>
          <w:rtl/>
        </w:rPr>
        <w:t xml:space="preserve">שו"ע: </w:t>
      </w:r>
    </w:p>
    <w:p w14:paraId="66485022" w14:textId="141947B9" w:rsidR="008C1C8E" w:rsidRDefault="008C1C8E" w:rsidP="00434A6A">
      <w:pPr>
        <w:rPr>
          <w:rFonts w:asciiTheme="minorBidi" w:hAnsiTheme="minorBidi"/>
          <w:rtl/>
        </w:rPr>
      </w:pPr>
      <w:r w:rsidRPr="005275DF">
        <w:rPr>
          <w:rFonts w:asciiTheme="minorBidi" w:hAnsiTheme="minorBidi"/>
          <w:rtl/>
        </w:rPr>
        <w:t>דלת</w:t>
      </w:r>
      <w:r w:rsidR="00716FF8">
        <w:rPr>
          <w:rStyle w:val="a9"/>
          <w:rFonts w:asciiTheme="minorBidi" w:hAnsiTheme="minorBidi"/>
          <w:rtl/>
        </w:rPr>
        <w:footnoteReference w:id="2098"/>
      </w:r>
      <w:r w:rsidRPr="005275DF">
        <w:rPr>
          <w:rFonts w:asciiTheme="minorBidi" w:hAnsiTheme="minorBidi"/>
          <w:rtl/>
        </w:rPr>
        <w:t xml:space="preserve"> העשוי מלוח אחד או</w:t>
      </w:r>
      <w:r w:rsidR="00716FF8">
        <w:rPr>
          <w:rStyle w:val="a9"/>
          <w:rFonts w:asciiTheme="minorBidi" w:hAnsiTheme="minorBidi"/>
          <w:rtl/>
        </w:rPr>
        <w:footnoteReference w:id="2099"/>
      </w:r>
      <w:r w:rsidRPr="005275DF">
        <w:rPr>
          <w:rFonts w:asciiTheme="minorBidi" w:hAnsiTheme="minorBidi"/>
          <w:rtl/>
        </w:rPr>
        <w:t xml:space="preserve"> שאין לה אסקופה התחתונה, וכשפותחים שומטין</w:t>
      </w:r>
      <w:r w:rsidR="00716FF8">
        <w:rPr>
          <w:rStyle w:val="a9"/>
          <w:rFonts w:asciiTheme="minorBidi" w:hAnsiTheme="minorBidi"/>
          <w:rtl/>
        </w:rPr>
        <w:footnoteReference w:id="2100"/>
      </w:r>
      <w:r w:rsidRPr="005275DF">
        <w:rPr>
          <w:rFonts w:asciiTheme="minorBidi" w:hAnsiTheme="minorBidi"/>
          <w:rtl/>
        </w:rPr>
        <w:t xml:space="preserve"> אותה ועוקרים אותה, אין נועלים בה אפי</w:t>
      </w:r>
      <w:r w:rsidR="005E3057">
        <w:rPr>
          <w:rFonts w:asciiTheme="minorBidi" w:hAnsiTheme="minorBidi" w:hint="cs"/>
          <w:rtl/>
        </w:rPr>
        <w:t>לו</w:t>
      </w:r>
      <w:r w:rsidRPr="005275DF">
        <w:rPr>
          <w:rFonts w:asciiTheme="minorBidi" w:hAnsiTheme="minorBidi"/>
          <w:rtl/>
        </w:rPr>
        <w:t xml:space="preserve"> יש לה ציר. </w:t>
      </w:r>
      <w:r w:rsidRPr="001F0917">
        <w:rPr>
          <w:rFonts w:asciiTheme="minorBidi" w:hAnsiTheme="minorBidi"/>
          <w:sz w:val="18"/>
          <w:szCs w:val="18"/>
          <w:rtl/>
        </w:rPr>
        <w:t>הגה: אבל דלת העשויה מקרשים הרבה שרי</w:t>
      </w:r>
      <w:r w:rsidR="00E10D3C">
        <w:rPr>
          <w:rFonts w:asciiTheme="minorBidi" w:hAnsiTheme="minorBidi" w:hint="cs"/>
          <w:sz w:val="18"/>
          <w:szCs w:val="18"/>
          <w:rtl/>
        </w:rPr>
        <w:t>,</w:t>
      </w:r>
      <w:r w:rsidRPr="001F0917">
        <w:rPr>
          <w:rFonts w:asciiTheme="minorBidi" w:hAnsiTheme="minorBidi"/>
          <w:sz w:val="18"/>
          <w:szCs w:val="18"/>
          <w:rtl/>
        </w:rPr>
        <w:t xml:space="preserve"> אע</w:t>
      </w:r>
      <w:r w:rsidR="0020269B">
        <w:rPr>
          <w:rFonts w:asciiTheme="minorBidi" w:hAnsiTheme="minorBidi" w:hint="cs"/>
          <w:sz w:val="18"/>
          <w:szCs w:val="18"/>
          <w:rtl/>
        </w:rPr>
        <w:t>"</w:t>
      </w:r>
      <w:r w:rsidRPr="001F0917">
        <w:rPr>
          <w:rFonts w:asciiTheme="minorBidi" w:hAnsiTheme="minorBidi"/>
          <w:sz w:val="18"/>
          <w:szCs w:val="18"/>
          <w:rtl/>
        </w:rPr>
        <w:t>פ ששומטים</w:t>
      </w:r>
      <w:r w:rsidR="00E10D3C">
        <w:rPr>
          <w:rStyle w:val="a9"/>
          <w:rFonts w:asciiTheme="minorBidi" w:hAnsiTheme="minorBidi"/>
          <w:sz w:val="18"/>
          <w:szCs w:val="18"/>
          <w:rtl/>
        </w:rPr>
        <w:footnoteReference w:id="2101"/>
      </w:r>
      <w:r w:rsidRPr="001F0917">
        <w:rPr>
          <w:rFonts w:asciiTheme="minorBidi" w:hAnsiTheme="minorBidi"/>
          <w:sz w:val="18"/>
          <w:szCs w:val="18"/>
          <w:rtl/>
        </w:rPr>
        <w:t xml:space="preserve"> אותה כשפותחה</w:t>
      </w:r>
      <w:r w:rsidR="00165ED6">
        <w:rPr>
          <w:rFonts w:asciiTheme="minorBidi" w:hAnsiTheme="minorBidi" w:hint="cs"/>
          <w:sz w:val="18"/>
          <w:szCs w:val="18"/>
          <w:rtl/>
        </w:rPr>
        <w:t>,</w:t>
      </w:r>
      <w:r w:rsidRPr="001F0917">
        <w:rPr>
          <w:rFonts w:asciiTheme="minorBidi" w:hAnsiTheme="minorBidi"/>
          <w:sz w:val="18"/>
          <w:szCs w:val="18"/>
          <w:rtl/>
        </w:rPr>
        <w:t xml:space="preserve"> אם יש לה אסקופה</w:t>
      </w:r>
      <w:r w:rsidR="00165ED6">
        <w:rPr>
          <w:rFonts w:asciiTheme="minorBidi" w:hAnsiTheme="minorBidi" w:hint="cs"/>
          <w:sz w:val="18"/>
          <w:szCs w:val="18"/>
          <w:rtl/>
        </w:rPr>
        <w:t>.</w:t>
      </w:r>
      <w:r w:rsidRPr="001F0917">
        <w:rPr>
          <w:rFonts w:asciiTheme="minorBidi" w:hAnsiTheme="minorBidi"/>
          <w:sz w:val="18"/>
          <w:szCs w:val="18"/>
          <w:rtl/>
        </w:rPr>
        <w:t xml:space="preserve"> וה"ה במקום שנועלים בקרשים הרבה ויש חקיקה</w:t>
      </w:r>
      <w:r w:rsidR="009C6968">
        <w:rPr>
          <w:rStyle w:val="a9"/>
          <w:rFonts w:asciiTheme="minorBidi" w:hAnsiTheme="minorBidi"/>
          <w:sz w:val="18"/>
          <w:szCs w:val="18"/>
          <w:rtl/>
        </w:rPr>
        <w:footnoteReference w:id="2102"/>
      </w:r>
      <w:r w:rsidRPr="001F0917">
        <w:rPr>
          <w:rFonts w:asciiTheme="minorBidi" w:hAnsiTheme="minorBidi"/>
          <w:sz w:val="18"/>
          <w:szCs w:val="18"/>
          <w:rtl/>
        </w:rPr>
        <w:t xml:space="preserve"> למעלה ולמטה שמכניס בהם הקרשים, שדינם כדלת הואיל ואינן לוח אחד בכל הדלת (ב"י).</w:t>
      </w:r>
      <w:r w:rsidRPr="005275DF">
        <w:rPr>
          <w:rFonts w:asciiTheme="minorBidi" w:hAnsiTheme="minorBidi"/>
          <w:rtl/>
        </w:rPr>
        <w:t xml:space="preserve"> </w:t>
      </w:r>
    </w:p>
    <w:p w14:paraId="73629F92" w14:textId="77777777" w:rsidR="0045060A" w:rsidRPr="005275DF" w:rsidRDefault="0045060A" w:rsidP="00434A6A">
      <w:pPr>
        <w:rPr>
          <w:rFonts w:asciiTheme="minorBidi" w:hAnsiTheme="minorBidi"/>
          <w:rtl/>
        </w:rPr>
      </w:pPr>
    </w:p>
    <w:p w14:paraId="7F371871" w14:textId="6C35FB1A" w:rsidR="008C1C8E" w:rsidRDefault="008C1C8E" w:rsidP="00434A6A">
      <w:pPr>
        <w:pStyle w:val="2"/>
        <w:rPr>
          <w:rtl/>
        </w:rPr>
      </w:pPr>
      <w:r w:rsidRPr="005275DF">
        <w:rPr>
          <w:rtl/>
        </w:rPr>
        <w:t>סעיף ה</w:t>
      </w:r>
      <w:r w:rsidR="0045060A">
        <w:rPr>
          <w:rFonts w:hint="cs"/>
          <w:rtl/>
        </w:rPr>
        <w:t xml:space="preserve">: </w:t>
      </w:r>
      <w:r w:rsidR="009C6968">
        <w:rPr>
          <w:rFonts w:hint="cs"/>
          <w:rtl/>
        </w:rPr>
        <w:t xml:space="preserve">החזרת דלת של ארון שיצאה מצירה. </w:t>
      </w:r>
    </w:p>
    <w:p w14:paraId="05E70DDA" w14:textId="3167C549" w:rsidR="009C6968" w:rsidRDefault="009C6968" w:rsidP="00434A6A">
      <w:pPr>
        <w:rPr>
          <w:rtl/>
        </w:rPr>
      </w:pPr>
      <w:r>
        <w:rPr>
          <w:rFonts w:cs="Arial" w:hint="cs"/>
          <w:b/>
          <w:bCs/>
          <w:rtl/>
        </w:rPr>
        <w:t xml:space="preserve">ערובין </w:t>
      </w:r>
      <w:r>
        <w:rPr>
          <w:rFonts w:cs="Arial" w:hint="cs"/>
          <w:b/>
          <w:bCs/>
          <w:sz w:val="16"/>
          <w:szCs w:val="16"/>
          <w:rtl/>
        </w:rPr>
        <w:t xml:space="preserve">(פ' המוצא תפילין) </w:t>
      </w:r>
      <w:r>
        <w:rPr>
          <w:rFonts w:cs="Arial" w:hint="cs"/>
          <w:b/>
          <w:bCs/>
          <w:rtl/>
        </w:rPr>
        <w:t xml:space="preserve">קב ע"ב: </w:t>
      </w:r>
      <w:r w:rsidRPr="00CE58BE">
        <w:rPr>
          <w:rFonts w:cs="Arial"/>
          <w:rtl/>
        </w:rPr>
        <w:t xml:space="preserve">תנו רבנן: ציר דלת שידה תיבה ומגדל, במקדש - מחזירין, במדינה - דוחקין. והעליון - כאן וכאן לא יחזיר, גזירה שמא יתקע. ואם תקע - חייב חטאת. </w:t>
      </w:r>
      <w:r w:rsidR="003B1A6E">
        <w:rPr>
          <w:rFonts w:cs="Arial" w:hint="cs"/>
          <w:sz w:val="16"/>
          <w:szCs w:val="16"/>
          <w:rtl/>
        </w:rPr>
        <w:t>(</w:t>
      </w:r>
      <w:r w:rsidR="003B1A6E" w:rsidRPr="003B1A6E">
        <w:rPr>
          <w:rFonts w:cs="Arial"/>
          <w:sz w:val="16"/>
          <w:szCs w:val="16"/>
          <w:rtl/>
        </w:rPr>
        <w:t>וכתב הרא"ש (סי' טז)</w:t>
      </w:r>
      <w:r w:rsidR="003B1A6E">
        <w:rPr>
          <w:rFonts w:cs="Arial" w:hint="cs"/>
          <w:sz w:val="16"/>
          <w:szCs w:val="16"/>
          <w:rtl/>
        </w:rPr>
        <w:t>-</w:t>
      </w:r>
      <w:r w:rsidR="003B1A6E" w:rsidRPr="003B1A6E">
        <w:rPr>
          <w:rFonts w:cs="Arial"/>
          <w:sz w:val="16"/>
          <w:szCs w:val="16"/>
          <w:rtl/>
        </w:rPr>
        <w:t xml:space="preserve"> ר</w:t>
      </w:r>
      <w:r w:rsidR="003B1A6E">
        <w:rPr>
          <w:rFonts w:cs="Arial" w:hint="cs"/>
          <w:sz w:val="16"/>
          <w:szCs w:val="16"/>
          <w:rtl/>
        </w:rPr>
        <w:t>"</w:t>
      </w:r>
      <w:r w:rsidR="003B1A6E" w:rsidRPr="003B1A6E">
        <w:rPr>
          <w:rFonts w:cs="Arial"/>
          <w:sz w:val="16"/>
          <w:szCs w:val="16"/>
          <w:rtl/>
        </w:rPr>
        <w:t>ת נסתפק אם מותר לדחוק העליון במדינה</w:t>
      </w:r>
      <w:r w:rsidR="003B1A6E">
        <w:rPr>
          <w:rFonts w:cs="Arial" w:hint="cs"/>
          <w:sz w:val="16"/>
          <w:szCs w:val="16"/>
          <w:rtl/>
        </w:rPr>
        <w:t>.</w:t>
      </w:r>
      <w:r w:rsidR="003B1A6E" w:rsidRPr="003B1A6E">
        <w:rPr>
          <w:rFonts w:cs="Arial"/>
          <w:sz w:val="16"/>
          <w:szCs w:val="16"/>
          <w:rtl/>
        </w:rPr>
        <w:t xml:space="preserve"> מדקאמר כאן וכאן לא יחזיר משמע דלדחוק מותר אף במדינה</w:t>
      </w:r>
      <w:r w:rsidR="003B1A6E">
        <w:rPr>
          <w:rFonts w:cs="Arial" w:hint="cs"/>
          <w:sz w:val="16"/>
          <w:szCs w:val="16"/>
          <w:rtl/>
        </w:rPr>
        <w:t>.</w:t>
      </w:r>
      <w:r w:rsidR="003B1A6E" w:rsidRPr="003B1A6E">
        <w:rPr>
          <w:rFonts w:cs="Arial"/>
          <w:sz w:val="16"/>
          <w:szCs w:val="16"/>
          <w:rtl/>
        </w:rPr>
        <w:t xml:space="preserve"> או דילמא האי דנקט לא יחזיר בשביל מקדש נקט אבל במדינה אפילו לדחוק אסור</w:t>
      </w:r>
      <w:r w:rsidR="003B1A6E" w:rsidRPr="003B1A6E">
        <w:rPr>
          <w:rFonts w:cs="Arial" w:hint="cs"/>
          <w:sz w:val="16"/>
          <w:szCs w:val="16"/>
          <w:rtl/>
        </w:rPr>
        <w:t>.</w:t>
      </w:r>
      <w:r w:rsidR="003B1A6E" w:rsidRPr="003B1A6E">
        <w:rPr>
          <w:rFonts w:cs="Arial"/>
          <w:sz w:val="16"/>
          <w:szCs w:val="16"/>
          <w:rtl/>
        </w:rPr>
        <w:t xml:space="preserve"> מדקתני ברישא במדינה דוחקים התחתון</w:t>
      </w:r>
      <w:r w:rsidR="003B1A6E" w:rsidRPr="003B1A6E">
        <w:rPr>
          <w:rFonts w:cs="Arial" w:hint="cs"/>
          <w:sz w:val="16"/>
          <w:szCs w:val="16"/>
          <w:rtl/>
        </w:rPr>
        <w:t>,</w:t>
      </w:r>
      <w:r w:rsidR="003B1A6E" w:rsidRPr="003B1A6E">
        <w:rPr>
          <w:rFonts w:cs="Arial"/>
          <w:sz w:val="16"/>
          <w:szCs w:val="16"/>
          <w:rtl/>
        </w:rPr>
        <w:t xml:space="preserve"> מכלל דבעליון לדחוק אסור עכ"ל</w:t>
      </w:r>
      <w:r w:rsidR="003B1A6E" w:rsidRPr="003B1A6E">
        <w:rPr>
          <w:rFonts w:cs="Arial" w:hint="cs"/>
          <w:sz w:val="16"/>
          <w:szCs w:val="16"/>
          <w:rtl/>
        </w:rPr>
        <w:t>.</w:t>
      </w:r>
      <w:r w:rsidR="003B1A6E" w:rsidRPr="003B1A6E">
        <w:rPr>
          <w:rFonts w:cs="Arial"/>
          <w:sz w:val="16"/>
          <w:szCs w:val="16"/>
          <w:rtl/>
        </w:rPr>
        <w:t xml:space="preserve"> ורבינו סתם הדבר לאיסור</w:t>
      </w:r>
      <w:r w:rsidR="003B1A6E" w:rsidRPr="003B1A6E">
        <w:rPr>
          <w:rFonts w:cs="Arial" w:hint="cs"/>
          <w:sz w:val="16"/>
          <w:szCs w:val="16"/>
          <w:rtl/>
        </w:rPr>
        <w:t>.</w:t>
      </w:r>
      <w:r w:rsidR="003B1A6E" w:rsidRPr="003B1A6E">
        <w:rPr>
          <w:rFonts w:cs="Arial"/>
          <w:sz w:val="16"/>
          <w:szCs w:val="16"/>
          <w:rtl/>
        </w:rPr>
        <w:t xml:space="preserve"> והה</w:t>
      </w:r>
      <w:r w:rsidR="003B1A6E" w:rsidRPr="003B1A6E">
        <w:rPr>
          <w:rFonts w:cs="Arial" w:hint="cs"/>
          <w:sz w:val="16"/>
          <w:szCs w:val="16"/>
          <w:rtl/>
        </w:rPr>
        <w:t>"</w:t>
      </w:r>
      <w:r w:rsidR="003B1A6E" w:rsidRPr="003B1A6E">
        <w:rPr>
          <w:rFonts w:cs="Arial"/>
          <w:sz w:val="16"/>
          <w:szCs w:val="16"/>
          <w:rtl/>
        </w:rPr>
        <w:t xml:space="preserve">מ כתב </w:t>
      </w:r>
      <w:r w:rsidR="003B1A6E" w:rsidRPr="003B1A6E">
        <w:rPr>
          <w:rFonts w:cs="Arial" w:hint="cs"/>
          <w:sz w:val="16"/>
          <w:szCs w:val="16"/>
          <w:rtl/>
        </w:rPr>
        <w:t>(</w:t>
      </w:r>
      <w:r w:rsidR="003B1A6E" w:rsidRPr="003B1A6E">
        <w:rPr>
          <w:rFonts w:cs="Arial"/>
          <w:sz w:val="16"/>
          <w:szCs w:val="16"/>
          <w:rtl/>
        </w:rPr>
        <w:t>פכ"ב הכ"ה) שנראה מדברי הרמב"ם שאסור לדחוק העליון במדינה</w:t>
      </w:r>
      <w:r w:rsidR="003B1A6E" w:rsidRPr="003B1A6E">
        <w:rPr>
          <w:rFonts w:cs="Arial" w:hint="cs"/>
          <w:sz w:val="16"/>
          <w:szCs w:val="16"/>
          <w:rtl/>
        </w:rPr>
        <w:t>,</w:t>
      </w:r>
      <w:r w:rsidR="003B1A6E" w:rsidRPr="003B1A6E">
        <w:rPr>
          <w:rFonts w:cs="Arial"/>
          <w:sz w:val="16"/>
          <w:szCs w:val="16"/>
          <w:rtl/>
        </w:rPr>
        <w:t xml:space="preserve"> ושכן העלו ז"ל</w:t>
      </w:r>
      <w:r w:rsidR="003B1A6E" w:rsidRPr="003B1A6E">
        <w:rPr>
          <w:rFonts w:cs="Arial" w:hint="cs"/>
          <w:sz w:val="14"/>
          <w:szCs w:val="14"/>
          <w:rtl/>
        </w:rPr>
        <w:t xml:space="preserve"> [עכ"ד הה"מ]</w:t>
      </w:r>
      <w:r w:rsidR="003B1A6E" w:rsidRPr="003B1A6E">
        <w:rPr>
          <w:rFonts w:cs="Arial" w:hint="cs"/>
          <w:sz w:val="16"/>
          <w:szCs w:val="16"/>
          <w:rtl/>
        </w:rPr>
        <w:t>, ב"י)</w:t>
      </w:r>
    </w:p>
    <w:p w14:paraId="13EFA2BB" w14:textId="77777777" w:rsidR="00EA1647" w:rsidRPr="009C6968" w:rsidRDefault="00EA1647" w:rsidP="00434A6A">
      <w:pPr>
        <w:rPr>
          <w:u w:val="single"/>
          <w:rtl/>
        </w:rPr>
      </w:pPr>
      <w:r w:rsidRPr="009C6968">
        <w:rPr>
          <w:rFonts w:hint="cs"/>
          <w:u w:val="single"/>
          <w:rtl/>
        </w:rPr>
        <w:t>החזרת דלת של ארון שיצאה מצירה:</w:t>
      </w:r>
    </w:p>
    <w:p w14:paraId="43237DAB" w14:textId="6EC830C0" w:rsidR="00D22DC5" w:rsidRPr="00D22DC5" w:rsidRDefault="00EA1647" w:rsidP="00434A6A">
      <w:pPr>
        <w:pStyle w:val="aa"/>
        <w:numPr>
          <w:ilvl w:val="0"/>
          <w:numId w:val="15"/>
        </w:numPr>
        <w:rPr>
          <w:rtl/>
        </w:rPr>
      </w:pPr>
      <w:r>
        <w:rPr>
          <w:rFonts w:cs="Arial" w:hint="cs"/>
          <w:rtl/>
        </w:rPr>
        <w:t xml:space="preserve">רמב"ם </w:t>
      </w:r>
      <w:r>
        <w:rPr>
          <w:rFonts w:cs="Arial" w:hint="cs"/>
          <w:sz w:val="16"/>
          <w:szCs w:val="16"/>
          <w:rtl/>
        </w:rPr>
        <w:t>(פכ"ב הכ"ה)</w:t>
      </w:r>
      <w:r>
        <w:rPr>
          <w:rFonts w:cs="Arial" w:hint="cs"/>
          <w:rtl/>
        </w:rPr>
        <w:t xml:space="preserve"> ו</w:t>
      </w:r>
      <w:r w:rsidR="00D22DC5">
        <w:rPr>
          <w:rFonts w:cs="Arial" w:hint="cs"/>
          <w:rtl/>
        </w:rPr>
        <w:t xml:space="preserve">טור- </w:t>
      </w:r>
      <w:r w:rsidR="00D22DC5">
        <w:rPr>
          <w:rFonts w:cs="Arial"/>
          <w:rtl/>
        </w:rPr>
        <w:t>שידה תיבה ומגדל שפתחיהן מן הצד</w:t>
      </w:r>
      <w:r w:rsidR="009C6968">
        <w:rPr>
          <w:rFonts w:cs="Arial" w:hint="cs"/>
          <w:rtl/>
        </w:rPr>
        <w:t>,</w:t>
      </w:r>
      <w:r w:rsidR="00D22DC5">
        <w:rPr>
          <w:rFonts w:cs="Arial"/>
          <w:rtl/>
        </w:rPr>
        <w:t xml:space="preserve"> ויש להם ב' צירים אחת למעלה ואחת למטה</w:t>
      </w:r>
      <w:r w:rsidR="009C6968">
        <w:rPr>
          <w:rFonts w:cs="Arial" w:hint="cs"/>
          <w:rtl/>
        </w:rPr>
        <w:t>,</w:t>
      </w:r>
      <w:r w:rsidR="00D22DC5">
        <w:rPr>
          <w:rFonts w:cs="Arial"/>
          <w:rtl/>
        </w:rPr>
        <w:t xml:space="preserve"> אם יצא התחתון כולו ממקומו </w:t>
      </w:r>
      <w:r w:rsidR="009C6968">
        <w:rPr>
          <w:rFonts w:cs="Arial" w:hint="cs"/>
          <w:rtl/>
        </w:rPr>
        <w:t xml:space="preserve">- </w:t>
      </w:r>
      <w:r w:rsidR="00D22DC5">
        <w:rPr>
          <w:rFonts w:cs="Arial"/>
          <w:rtl/>
        </w:rPr>
        <w:t>אסור להחזירו שמא יתקע</w:t>
      </w:r>
      <w:r w:rsidR="009C6968">
        <w:rPr>
          <w:rFonts w:cs="Arial" w:hint="cs"/>
          <w:rtl/>
        </w:rPr>
        <w:t>.</w:t>
      </w:r>
      <w:r w:rsidR="00D22DC5">
        <w:rPr>
          <w:rFonts w:cs="Arial"/>
          <w:rtl/>
        </w:rPr>
        <w:t xml:space="preserve"> אבל אם יצא מקצתו </w:t>
      </w:r>
      <w:r w:rsidR="009C6968">
        <w:rPr>
          <w:rFonts w:cs="Arial" w:hint="cs"/>
          <w:rtl/>
        </w:rPr>
        <w:t xml:space="preserve">- </w:t>
      </w:r>
      <w:r w:rsidR="00D22DC5">
        <w:rPr>
          <w:rFonts w:cs="Arial"/>
          <w:rtl/>
        </w:rPr>
        <w:t>דוחקו עד שמחזירו למקומו</w:t>
      </w:r>
      <w:r w:rsidR="009C6968">
        <w:rPr>
          <w:rFonts w:cs="Arial" w:hint="cs"/>
          <w:rtl/>
        </w:rPr>
        <w:t>,</w:t>
      </w:r>
      <w:r w:rsidR="00D22DC5">
        <w:rPr>
          <w:rFonts w:cs="Arial"/>
          <w:rtl/>
        </w:rPr>
        <w:t xml:space="preserve"> כיון שהעליון נשאר במקומו בקל יכול להחזיר התחתון</w:t>
      </w:r>
      <w:r w:rsidR="009C6968">
        <w:rPr>
          <w:rFonts w:cs="Arial" w:hint="cs"/>
          <w:rtl/>
        </w:rPr>
        <w:t>.</w:t>
      </w:r>
      <w:r w:rsidR="00D22DC5">
        <w:rPr>
          <w:rFonts w:cs="Arial"/>
          <w:rtl/>
        </w:rPr>
        <w:t xml:space="preserve"> אבל כשיצא העליון אסור אפילו לדוחקו ולהחזירו למקומו</w:t>
      </w:r>
      <w:r>
        <w:rPr>
          <w:rFonts w:cs="Arial" w:hint="cs"/>
          <w:sz w:val="16"/>
          <w:szCs w:val="16"/>
          <w:rtl/>
        </w:rPr>
        <w:t xml:space="preserve"> (ל' הטור)</w:t>
      </w:r>
      <w:r w:rsidR="00D22DC5">
        <w:rPr>
          <w:rFonts w:cs="Arial" w:hint="cs"/>
          <w:rtl/>
        </w:rPr>
        <w:t>.</w:t>
      </w:r>
      <w:r w:rsidR="00D22DC5">
        <w:rPr>
          <w:rFonts w:cs="Arial"/>
          <w:rtl/>
        </w:rPr>
        <w:t xml:space="preserve"> </w:t>
      </w:r>
      <w:r w:rsidRPr="00EA1647">
        <w:rPr>
          <w:rFonts w:hint="cs"/>
          <w:color w:val="E36C0A" w:themeColor="accent6" w:themeShade="BF"/>
          <w:rtl/>
        </w:rPr>
        <w:t>(וכ"פ בשו"ע)</w:t>
      </w:r>
    </w:p>
    <w:p w14:paraId="1EC59001" w14:textId="77777777" w:rsidR="002B45A4" w:rsidRPr="00D10A83" w:rsidRDefault="002B45A4" w:rsidP="00434A6A">
      <w:pPr>
        <w:rPr>
          <w:rFonts w:asciiTheme="minorBidi" w:hAnsiTheme="minorBidi"/>
          <w:rtl/>
        </w:rPr>
      </w:pPr>
      <w:r w:rsidRPr="005275DF">
        <w:rPr>
          <w:rFonts w:asciiTheme="minorBidi" w:hAnsiTheme="minorBidi"/>
          <w:b/>
          <w:bCs/>
          <w:sz w:val="32"/>
          <w:szCs w:val="28"/>
          <w:u w:val="single"/>
          <w:rtl/>
        </w:rPr>
        <w:t xml:space="preserve">שו"ע: </w:t>
      </w:r>
    </w:p>
    <w:p w14:paraId="7FB19D0F" w14:textId="233BEC60" w:rsidR="008C1C8E" w:rsidRDefault="008C1C8E" w:rsidP="00434A6A">
      <w:pPr>
        <w:rPr>
          <w:rFonts w:asciiTheme="minorBidi" w:hAnsiTheme="minorBidi"/>
          <w:rtl/>
        </w:rPr>
      </w:pPr>
      <w:r w:rsidRPr="005275DF">
        <w:rPr>
          <w:rFonts w:asciiTheme="minorBidi" w:hAnsiTheme="minorBidi"/>
          <w:rtl/>
        </w:rPr>
        <w:t>שידה תיבה ומגדל שפתחיהן מן הצד ויש להם שני צירים אחד למעלה ואחד למטה</w:t>
      </w:r>
      <w:r w:rsidR="00EA1647">
        <w:rPr>
          <w:rStyle w:val="a9"/>
          <w:rFonts w:asciiTheme="minorBidi" w:hAnsiTheme="minorBidi"/>
          <w:rtl/>
        </w:rPr>
        <w:footnoteReference w:id="2103"/>
      </w:r>
      <w:r w:rsidRPr="005275DF">
        <w:rPr>
          <w:rFonts w:asciiTheme="minorBidi" w:hAnsiTheme="minorBidi"/>
          <w:rtl/>
        </w:rPr>
        <w:t>, אם יצא התחתון כולו ממקומו, אסור להחזירו שמא יתקע</w:t>
      </w:r>
      <w:r w:rsidR="00EA1647">
        <w:rPr>
          <w:rStyle w:val="a9"/>
          <w:rFonts w:asciiTheme="minorBidi" w:hAnsiTheme="minorBidi"/>
          <w:rtl/>
        </w:rPr>
        <w:footnoteReference w:id="2104"/>
      </w:r>
      <w:r w:rsidR="00EA1647">
        <w:rPr>
          <w:rFonts w:asciiTheme="minorBidi" w:hAnsiTheme="minorBidi" w:hint="cs"/>
          <w:rtl/>
        </w:rPr>
        <w:t>.</w:t>
      </w:r>
      <w:r w:rsidRPr="005275DF">
        <w:rPr>
          <w:rFonts w:asciiTheme="minorBidi" w:hAnsiTheme="minorBidi"/>
          <w:rtl/>
        </w:rPr>
        <w:t xml:space="preserve"> אבל אם יצא מקצתו, דוחקו עד שמחזירו למקומו כיון שהעליון נשאר במקומו בקל יכול להחזיר התחתון</w:t>
      </w:r>
      <w:r w:rsidR="00EA1647">
        <w:rPr>
          <w:rFonts w:asciiTheme="minorBidi" w:hAnsiTheme="minorBidi" w:hint="cs"/>
          <w:rtl/>
        </w:rPr>
        <w:t>.</w:t>
      </w:r>
      <w:r w:rsidRPr="005275DF">
        <w:rPr>
          <w:rFonts w:asciiTheme="minorBidi" w:hAnsiTheme="minorBidi"/>
          <w:rtl/>
        </w:rPr>
        <w:t xml:space="preserve"> אבל כשיצא העליון, אסור אפי</w:t>
      </w:r>
      <w:r w:rsidR="00EA1647">
        <w:rPr>
          <w:rFonts w:asciiTheme="minorBidi" w:hAnsiTheme="minorBidi" w:hint="cs"/>
          <w:rtl/>
        </w:rPr>
        <w:t>לו</w:t>
      </w:r>
      <w:r w:rsidRPr="005275DF">
        <w:rPr>
          <w:rFonts w:asciiTheme="minorBidi" w:hAnsiTheme="minorBidi"/>
          <w:rtl/>
        </w:rPr>
        <w:t xml:space="preserve"> לדוחקו ולהחזירו למקומו. </w:t>
      </w:r>
    </w:p>
    <w:p w14:paraId="3D06BA34" w14:textId="77777777" w:rsidR="0045060A" w:rsidRPr="005275DF" w:rsidRDefault="0045060A" w:rsidP="00434A6A">
      <w:pPr>
        <w:rPr>
          <w:rFonts w:asciiTheme="minorBidi" w:hAnsiTheme="minorBidi"/>
          <w:rtl/>
        </w:rPr>
      </w:pPr>
    </w:p>
    <w:p w14:paraId="5BE34BF2" w14:textId="070301ED" w:rsidR="008C1C8E" w:rsidRDefault="008C1C8E" w:rsidP="00434A6A">
      <w:pPr>
        <w:pStyle w:val="2"/>
        <w:rPr>
          <w:rtl/>
        </w:rPr>
      </w:pPr>
      <w:r w:rsidRPr="005275DF">
        <w:rPr>
          <w:rtl/>
        </w:rPr>
        <w:t>סעיף ו</w:t>
      </w:r>
      <w:r w:rsidR="0045060A">
        <w:rPr>
          <w:rFonts w:hint="cs"/>
          <w:rtl/>
        </w:rPr>
        <w:t xml:space="preserve">: </w:t>
      </w:r>
      <w:r w:rsidR="00552EAC">
        <w:rPr>
          <w:rFonts w:hint="cs"/>
          <w:rtl/>
        </w:rPr>
        <w:t>כלים שעשויים</w:t>
      </w:r>
      <w:r w:rsidR="00EA1647">
        <w:rPr>
          <w:rFonts w:hint="cs"/>
          <w:rtl/>
        </w:rPr>
        <w:t xml:space="preserve"> </w:t>
      </w:r>
      <w:r w:rsidR="00552EAC">
        <w:rPr>
          <w:rFonts w:hint="cs"/>
          <w:rtl/>
        </w:rPr>
        <w:t>מ</w:t>
      </w:r>
      <w:r w:rsidR="00EA1647">
        <w:rPr>
          <w:rFonts w:hint="cs"/>
          <w:rtl/>
        </w:rPr>
        <w:t>פרקים.</w:t>
      </w:r>
    </w:p>
    <w:p w14:paraId="762BC0FA" w14:textId="1D3413EB" w:rsidR="00D200AC" w:rsidRPr="00D200AC" w:rsidRDefault="00D200AC" w:rsidP="00434A6A">
      <w:pPr>
        <w:rPr>
          <w:rFonts w:cs="Arial"/>
          <w:rtl/>
        </w:rPr>
      </w:pPr>
      <w:r w:rsidRPr="0039359C">
        <w:rPr>
          <w:rFonts w:cs="Arial" w:hint="cs"/>
          <w:b/>
          <w:bCs/>
          <w:rtl/>
        </w:rPr>
        <w:t xml:space="preserve">שבת </w:t>
      </w:r>
      <w:r w:rsidRPr="0039359C">
        <w:rPr>
          <w:rFonts w:cs="Arial" w:hint="cs"/>
          <w:b/>
          <w:bCs/>
          <w:sz w:val="16"/>
          <w:szCs w:val="16"/>
          <w:rtl/>
        </w:rPr>
        <w:t>(ס"פ כירה)</w:t>
      </w:r>
      <w:r w:rsidRPr="0039359C">
        <w:rPr>
          <w:rFonts w:cs="Arial" w:hint="cs"/>
          <w:b/>
          <w:bCs/>
          <w:sz w:val="16"/>
          <w:szCs w:val="16"/>
        </w:rPr>
        <w:t xml:space="preserve"> </w:t>
      </w:r>
      <w:r w:rsidRPr="0039359C">
        <w:rPr>
          <w:rFonts w:cs="Arial" w:hint="cs"/>
          <w:b/>
          <w:bCs/>
          <w:rtl/>
        </w:rPr>
        <w:t>מז ע"א:</w:t>
      </w:r>
      <w:r w:rsidRPr="0039359C">
        <w:rPr>
          <w:rFonts w:cs="Arial" w:hint="cs"/>
          <w:rtl/>
        </w:rPr>
        <w:t xml:space="preserve"> </w:t>
      </w:r>
      <w:r w:rsidRPr="0039359C">
        <w:rPr>
          <w:rFonts w:cs="Arial"/>
          <w:u w:val="single"/>
          <w:rtl/>
        </w:rPr>
        <w:t>לוי בר שמואל</w:t>
      </w:r>
      <w:r w:rsidRPr="0039359C">
        <w:rPr>
          <w:rFonts w:cs="Arial"/>
          <w:rtl/>
        </w:rPr>
        <w:t xml:space="preserve"> אשכחינהו </w:t>
      </w:r>
      <w:r w:rsidRPr="0039359C">
        <w:rPr>
          <w:rFonts w:cs="Arial"/>
          <w:u w:val="single"/>
          <w:rtl/>
        </w:rPr>
        <w:t>לרבי אבא ולרב הונא בר חייא</w:t>
      </w:r>
      <w:r w:rsidRPr="0039359C">
        <w:rPr>
          <w:rFonts w:cs="Arial"/>
          <w:rtl/>
        </w:rPr>
        <w:t xml:space="preserve"> דהוו קיימי אפיתחא דבי רב הונא, אמר להו: מהו להחזיר מטה של טרסיים</w:t>
      </w:r>
      <w:r>
        <w:rPr>
          <w:rStyle w:val="a9"/>
          <w:rFonts w:cs="Arial"/>
          <w:rtl/>
        </w:rPr>
        <w:footnoteReference w:id="2105"/>
      </w:r>
      <w:r w:rsidRPr="0039359C">
        <w:rPr>
          <w:rFonts w:cs="Arial"/>
          <w:rtl/>
        </w:rPr>
        <w:t xml:space="preserve"> בשבת? </w:t>
      </w:r>
      <w:r w:rsidRPr="0039359C">
        <w:rPr>
          <w:rFonts w:cs="Arial"/>
          <w:u w:val="single"/>
          <w:rtl/>
        </w:rPr>
        <w:t>אמרו ליה</w:t>
      </w:r>
      <w:r w:rsidRPr="0039359C">
        <w:rPr>
          <w:rFonts w:cs="Arial"/>
          <w:rtl/>
        </w:rPr>
        <w:t xml:space="preserve">: שפיר דמי. </w:t>
      </w:r>
      <w:r w:rsidRPr="0039359C">
        <w:rPr>
          <w:rFonts w:cs="Arial"/>
          <w:u w:val="single"/>
          <w:rtl/>
        </w:rPr>
        <w:t>אתא לקמיה דרב יהודה, אמר</w:t>
      </w:r>
      <w:r w:rsidRPr="0039359C">
        <w:rPr>
          <w:rFonts w:cs="Arial"/>
          <w:rtl/>
        </w:rPr>
        <w:t>: הא רב ושמואל דאמרי תרוייהו: המחזיר מטה של טרסיים בשבת - חייב חטאת</w:t>
      </w:r>
      <w:r>
        <w:rPr>
          <w:rStyle w:val="a9"/>
          <w:rFonts w:cs="Arial"/>
          <w:rtl/>
        </w:rPr>
        <w:footnoteReference w:id="2106"/>
      </w:r>
      <w:r w:rsidRPr="0039359C">
        <w:rPr>
          <w:rFonts w:cs="Arial"/>
          <w:rtl/>
        </w:rPr>
        <w:t>. מיתיבי: המחזיר קנה מנורה</w:t>
      </w:r>
      <w:r>
        <w:rPr>
          <w:rStyle w:val="a9"/>
          <w:rFonts w:cs="Arial"/>
          <w:rtl/>
        </w:rPr>
        <w:footnoteReference w:id="2107"/>
      </w:r>
      <w:r w:rsidRPr="0039359C">
        <w:rPr>
          <w:rFonts w:cs="Arial"/>
          <w:rtl/>
        </w:rPr>
        <w:t xml:space="preserve"> בשבת - חייב חטאת, קנה סיידין</w:t>
      </w:r>
      <w:r>
        <w:rPr>
          <w:rStyle w:val="a9"/>
          <w:rFonts w:cs="Arial"/>
          <w:rtl/>
        </w:rPr>
        <w:footnoteReference w:id="2108"/>
      </w:r>
      <w:r w:rsidRPr="0039359C">
        <w:rPr>
          <w:rFonts w:cs="Arial"/>
          <w:rtl/>
        </w:rPr>
        <w:t xml:space="preserve"> - לא יחזיר, ואם החזיר - פטור</w:t>
      </w:r>
      <w:r>
        <w:rPr>
          <w:rStyle w:val="a9"/>
          <w:rFonts w:cs="Arial"/>
          <w:rtl/>
        </w:rPr>
        <w:footnoteReference w:id="2109"/>
      </w:r>
      <w:r w:rsidRPr="0039359C">
        <w:rPr>
          <w:rFonts w:cs="Arial"/>
          <w:rtl/>
        </w:rPr>
        <w:t xml:space="preserve"> אבל אסור. רבי סימאי אומר: קרן עגולה - חייב, קרן פשוטה</w:t>
      </w:r>
      <w:r>
        <w:rPr>
          <w:rStyle w:val="a9"/>
          <w:rFonts w:cs="Arial"/>
          <w:rtl/>
        </w:rPr>
        <w:footnoteReference w:id="2110"/>
      </w:r>
      <w:r w:rsidRPr="0039359C">
        <w:rPr>
          <w:rFonts w:cs="Arial"/>
          <w:rtl/>
        </w:rPr>
        <w:t xml:space="preserve"> - פטור! אינהו</w:t>
      </w:r>
      <w:r>
        <w:rPr>
          <w:rStyle w:val="a9"/>
          <w:rFonts w:cs="Arial"/>
          <w:rtl/>
        </w:rPr>
        <w:footnoteReference w:id="2111"/>
      </w:r>
      <w:r w:rsidRPr="0039359C">
        <w:rPr>
          <w:rFonts w:cs="Arial"/>
          <w:rtl/>
        </w:rPr>
        <w:t xml:space="preserve"> דאמור כי האי תנא</w:t>
      </w:r>
      <w:r>
        <w:rPr>
          <w:rStyle w:val="a9"/>
          <w:rFonts w:cs="Arial"/>
          <w:rtl/>
        </w:rPr>
        <w:footnoteReference w:id="2112"/>
      </w:r>
      <w:r>
        <w:rPr>
          <w:rFonts w:cs="Arial" w:hint="cs"/>
          <w:rtl/>
        </w:rPr>
        <w:t>,</w:t>
      </w:r>
      <w:r w:rsidRPr="0039359C">
        <w:rPr>
          <w:rFonts w:cs="Arial"/>
          <w:rtl/>
        </w:rPr>
        <w:t xml:space="preserve"> דתניא: מלבנות המטה</w:t>
      </w:r>
      <w:r>
        <w:rPr>
          <w:rStyle w:val="a9"/>
          <w:rFonts w:cs="Arial"/>
          <w:rtl/>
        </w:rPr>
        <w:footnoteReference w:id="2113"/>
      </w:r>
      <w:r w:rsidRPr="0039359C">
        <w:rPr>
          <w:rFonts w:cs="Arial"/>
          <w:rtl/>
        </w:rPr>
        <w:t>, וכרעות המטה, ולווחים של סקיבס</w:t>
      </w:r>
      <w:r>
        <w:rPr>
          <w:rStyle w:val="a9"/>
          <w:rFonts w:cs="Arial"/>
          <w:rtl/>
        </w:rPr>
        <w:footnoteReference w:id="2114"/>
      </w:r>
      <w:r w:rsidRPr="0039359C">
        <w:rPr>
          <w:rFonts w:cs="Arial"/>
          <w:rtl/>
        </w:rPr>
        <w:t xml:space="preserve"> - לא יחזיר, ואם החזיר - פטור </w:t>
      </w:r>
      <w:r>
        <w:rPr>
          <w:rFonts w:cs="Arial" w:hint="cs"/>
          <w:sz w:val="14"/>
          <w:szCs w:val="14"/>
          <w:rtl/>
        </w:rPr>
        <w:t xml:space="preserve">(מז:) </w:t>
      </w:r>
      <w:r w:rsidRPr="0039359C">
        <w:rPr>
          <w:rFonts w:cs="Arial"/>
          <w:rtl/>
        </w:rPr>
        <w:t>אבל אסור. ולא יתקע</w:t>
      </w:r>
      <w:r>
        <w:rPr>
          <w:rStyle w:val="a9"/>
          <w:rFonts w:cs="Arial"/>
          <w:rtl/>
        </w:rPr>
        <w:footnoteReference w:id="2115"/>
      </w:r>
      <w:r w:rsidRPr="0039359C">
        <w:rPr>
          <w:rFonts w:cs="Arial"/>
          <w:rtl/>
        </w:rPr>
        <w:t xml:space="preserve">, ואם תקע - חייב חטאת. </w:t>
      </w:r>
      <w:r w:rsidRPr="0039359C">
        <w:rPr>
          <w:rFonts w:cs="Arial"/>
          <w:u w:val="single"/>
          <w:rtl/>
        </w:rPr>
        <w:t>רבן שמעון בן גמליאל אומר</w:t>
      </w:r>
      <w:r w:rsidRPr="0039359C">
        <w:rPr>
          <w:rFonts w:cs="Arial"/>
          <w:rtl/>
        </w:rPr>
        <w:t>: אם היה רפוי - מותר.</w:t>
      </w:r>
      <w:r w:rsidRPr="00D200AC">
        <w:rPr>
          <w:rtl/>
        </w:rPr>
        <w:t xml:space="preserve"> </w:t>
      </w:r>
      <w:r w:rsidRPr="00D200AC">
        <w:rPr>
          <w:rFonts w:cs="Arial"/>
          <w:rtl/>
        </w:rPr>
        <w:t>בי רב חמא הוה מטה גללניתא</w:t>
      </w:r>
      <w:r>
        <w:rPr>
          <w:rStyle w:val="a9"/>
          <w:rFonts w:cs="Arial"/>
          <w:rtl/>
        </w:rPr>
        <w:footnoteReference w:id="2116"/>
      </w:r>
      <w:r w:rsidRPr="00D200AC">
        <w:rPr>
          <w:rFonts w:cs="Arial"/>
          <w:rtl/>
        </w:rPr>
        <w:t xml:space="preserve">, הוה מהדרי לה ביומא טבא. </w:t>
      </w:r>
      <w:r w:rsidRPr="00D200AC">
        <w:rPr>
          <w:rFonts w:cs="Arial"/>
          <w:u w:val="single"/>
          <w:rtl/>
        </w:rPr>
        <w:t>אמר ליה ההוא מדרבנן לרבא</w:t>
      </w:r>
      <w:r w:rsidRPr="00D200AC">
        <w:rPr>
          <w:rFonts w:cs="Arial"/>
          <w:rtl/>
        </w:rPr>
        <w:t>: מאי דעתיך, בנין מן הצד</w:t>
      </w:r>
      <w:r>
        <w:rPr>
          <w:rStyle w:val="a9"/>
          <w:rFonts w:cs="Arial"/>
          <w:rtl/>
        </w:rPr>
        <w:footnoteReference w:id="2117"/>
      </w:r>
      <w:r w:rsidRPr="00D200AC">
        <w:rPr>
          <w:rFonts w:cs="Arial"/>
          <w:rtl/>
        </w:rPr>
        <w:t xml:space="preserve"> הוא, נהי דאיסורא דאורייתא - ליכא, איסורא דרבנן מיהא איכא! </w:t>
      </w:r>
      <w:r w:rsidRPr="00D200AC">
        <w:rPr>
          <w:rFonts w:cs="Arial"/>
          <w:u w:val="single"/>
          <w:rtl/>
        </w:rPr>
        <w:t>אמר ליה</w:t>
      </w:r>
      <w:r w:rsidRPr="00D200AC">
        <w:rPr>
          <w:rFonts w:cs="Arial"/>
          <w:rtl/>
        </w:rPr>
        <w:t>: אנא כרבן שמעון בן גמליאל סבירא לי, דאמר: אם היה רפוי - מותר.</w:t>
      </w:r>
      <w:r w:rsidR="00714B76" w:rsidRPr="00714B76">
        <w:rPr>
          <w:rFonts w:cs="Arial"/>
          <w:rtl/>
        </w:rPr>
        <w:t xml:space="preserve"> </w:t>
      </w:r>
      <w:r w:rsidR="00714B76" w:rsidRPr="00714B76">
        <w:rPr>
          <w:rFonts w:cs="Arial" w:hint="cs"/>
          <w:sz w:val="16"/>
          <w:szCs w:val="16"/>
          <w:rtl/>
        </w:rPr>
        <w:t>(</w:t>
      </w:r>
      <w:r w:rsidR="00714B76" w:rsidRPr="00714B76">
        <w:rPr>
          <w:rFonts w:cs="Arial"/>
          <w:sz w:val="16"/>
          <w:szCs w:val="16"/>
          <w:rtl/>
        </w:rPr>
        <w:t>ופסקו הרי"ף (כא:) והרא"ש (סי' כג) כרבן שמעון בן גמליאל</w:t>
      </w:r>
      <w:r w:rsidR="00714B76" w:rsidRPr="00714B76">
        <w:rPr>
          <w:rFonts w:cs="Arial" w:hint="cs"/>
          <w:sz w:val="16"/>
          <w:szCs w:val="16"/>
          <w:rtl/>
        </w:rPr>
        <w:t>.</w:t>
      </w:r>
      <w:r w:rsidR="00714B76" w:rsidRPr="00714B76">
        <w:rPr>
          <w:rFonts w:cs="Arial"/>
          <w:sz w:val="16"/>
          <w:szCs w:val="16"/>
          <w:rtl/>
        </w:rPr>
        <w:t xml:space="preserve"> וכן פסק הרמב"ם בפכ"ב (הכ"ו)</w:t>
      </w:r>
      <w:r w:rsidR="00714B76">
        <w:rPr>
          <w:rFonts w:cs="Arial" w:hint="cs"/>
          <w:sz w:val="16"/>
          <w:szCs w:val="16"/>
          <w:rtl/>
        </w:rPr>
        <w:t>, ב"י)</w:t>
      </w:r>
    </w:p>
    <w:p w14:paraId="3AE334B8" w14:textId="735DBCAA" w:rsidR="00EA1647" w:rsidRPr="00EA1647" w:rsidRDefault="00EA1647" w:rsidP="00434A6A">
      <w:pPr>
        <w:rPr>
          <w:u w:val="single"/>
          <w:rtl/>
        </w:rPr>
      </w:pPr>
      <w:r w:rsidRPr="00EA1647">
        <w:rPr>
          <w:rFonts w:hint="cs"/>
          <w:u w:val="single"/>
          <w:rtl/>
        </w:rPr>
        <w:t>מטה של פרקים</w:t>
      </w:r>
      <w:r w:rsidR="00E478F4">
        <w:rPr>
          <w:rFonts w:hint="cs"/>
          <w:u w:val="single"/>
          <w:rtl/>
        </w:rPr>
        <w:t xml:space="preserve"> אסור להדק שמא יתקע</w:t>
      </w:r>
      <w:r w:rsidRPr="00EA1647">
        <w:rPr>
          <w:rFonts w:hint="cs"/>
          <w:u w:val="single"/>
          <w:rtl/>
        </w:rPr>
        <w:t>:</w:t>
      </w:r>
    </w:p>
    <w:p w14:paraId="67549037" w14:textId="0DE1F794" w:rsidR="006B0C26" w:rsidRPr="006B0C26" w:rsidRDefault="00D22DC5" w:rsidP="00434A6A">
      <w:pPr>
        <w:pStyle w:val="aa"/>
        <w:numPr>
          <w:ilvl w:val="0"/>
          <w:numId w:val="15"/>
        </w:numPr>
      </w:pPr>
      <w:r>
        <w:rPr>
          <w:rFonts w:cs="Arial" w:hint="cs"/>
          <w:rtl/>
        </w:rPr>
        <w:t xml:space="preserve">טור- </w:t>
      </w:r>
      <w:r>
        <w:rPr>
          <w:rFonts w:cs="Arial"/>
          <w:rtl/>
        </w:rPr>
        <w:t>מטה של פרקים אסור להחזירה ולהדקה</w:t>
      </w:r>
      <w:r w:rsidR="007853DC">
        <w:rPr>
          <w:rFonts w:cs="Arial" w:hint="cs"/>
          <w:rtl/>
        </w:rPr>
        <w:t>.</w:t>
      </w:r>
      <w:r>
        <w:rPr>
          <w:rFonts w:cs="Arial"/>
          <w:rtl/>
        </w:rPr>
        <w:t xml:space="preserve"> ואם תקע </w:t>
      </w:r>
      <w:r w:rsidR="007853DC">
        <w:rPr>
          <w:rFonts w:cs="Arial" w:hint="cs"/>
          <w:rtl/>
        </w:rPr>
        <w:t xml:space="preserve">- </w:t>
      </w:r>
      <w:r>
        <w:rPr>
          <w:rFonts w:cs="Arial"/>
          <w:rtl/>
        </w:rPr>
        <w:t>חייב חטאת</w:t>
      </w:r>
      <w:r w:rsidR="007853DC">
        <w:rPr>
          <w:rFonts w:cs="Arial" w:hint="cs"/>
          <w:rtl/>
        </w:rPr>
        <w:t>.</w:t>
      </w:r>
      <w:r>
        <w:rPr>
          <w:rFonts w:cs="Arial"/>
          <w:rtl/>
        </w:rPr>
        <w:t xml:space="preserve"> ואם הי</w:t>
      </w:r>
      <w:r w:rsidR="00714B76">
        <w:rPr>
          <w:rFonts w:cs="Arial" w:hint="cs"/>
          <w:rtl/>
        </w:rPr>
        <w:t>א</w:t>
      </w:r>
      <w:r>
        <w:rPr>
          <w:rFonts w:cs="Arial"/>
          <w:rtl/>
        </w:rPr>
        <w:t xml:space="preserve"> רפויה </w:t>
      </w:r>
      <w:r w:rsidR="007853DC">
        <w:rPr>
          <w:rFonts w:cs="Arial" w:hint="cs"/>
          <w:rtl/>
        </w:rPr>
        <w:t xml:space="preserve">- </w:t>
      </w:r>
      <w:r>
        <w:rPr>
          <w:rFonts w:cs="Arial"/>
          <w:rtl/>
        </w:rPr>
        <w:t>מותר לכתחלה</w:t>
      </w:r>
      <w:r w:rsidR="00AC0345">
        <w:rPr>
          <w:rStyle w:val="a9"/>
          <w:rFonts w:cs="Arial"/>
          <w:rtl/>
        </w:rPr>
        <w:footnoteReference w:id="2118"/>
      </w:r>
      <w:r w:rsidR="00EA1647">
        <w:rPr>
          <w:rFonts w:cs="Arial" w:hint="cs"/>
          <w:rtl/>
        </w:rPr>
        <w:t>.</w:t>
      </w:r>
      <w:r w:rsidR="00E478F4" w:rsidRPr="006B0C26">
        <w:rPr>
          <w:rFonts w:cs="Arial"/>
          <w:color w:val="E36C0A" w:themeColor="accent6" w:themeShade="BF"/>
          <w:rtl/>
        </w:rPr>
        <w:t xml:space="preserve"> </w:t>
      </w:r>
      <w:r w:rsidR="00E478F4" w:rsidRPr="006B0C26">
        <w:rPr>
          <w:rFonts w:hint="cs"/>
          <w:color w:val="E36C0A" w:themeColor="accent6" w:themeShade="BF"/>
          <w:rtl/>
        </w:rPr>
        <w:t>(וכ"פ בשו"ע)</w:t>
      </w:r>
    </w:p>
    <w:p w14:paraId="7D850D98" w14:textId="2F7B0CE8" w:rsidR="00EA1647" w:rsidRPr="007853DC" w:rsidRDefault="000C7C03" w:rsidP="00434A6A">
      <w:pPr>
        <w:ind w:left="360"/>
        <w:rPr>
          <w:u w:val="dotted"/>
        </w:rPr>
      </w:pPr>
      <w:r>
        <w:rPr>
          <w:rFonts w:hint="cs"/>
          <w:u w:val="dotted"/>
          <w:rtl/>
        </w:rPr>
        <w:t xml:space="preserve">כלי </w:t>
      </w:r>
      <w:r w:rsidR="00B724CF">
        <w:rPr>
          <w:rFonts w:hint="cs"/>
          <w:u w:val="dotted"/>
          <w:rtl/>
        </w:rPr>
        <w:t>ש</w:t>
      </w:r>
      <w:r w:rsidR="00930468">
        <w:rPr>
          <w:rFonts w:hint="cs"/>
          <w:u w:val="dotted"/>
          <w:rtl/>
        </w:rPr>
        <w:t>אין רגילות להדק אותו</w:t>
      </w:r>
      <w:r w:rsidR="007853DC" w:rsidRPr="007853DC">
        <w:rPr>
          <w:rFonts w:hint="cs"/>
          <w:u w:val="dotted"/>
          <w:rtl/>
        </w:rPr>
        <w:t>:</w:t>
      </w:r>
      <w:r w:rsidR="00EA1647" w:rsidRPr="007853DC">
        <w:rPr>
          <w:rFonts w:hint="cs"/>
          <w:u w:val="dotted"/>
          <w:rtl/>
        </w:rPr>
        <w:t xml:space="preserve"> </w:t>
      </w:r>
    </w:p>
    <w:p w14:paraId="4921EBF6" w14:textId="15095644" w:rsidR="000C7C03" w:rsidRPr="000C7C03" w:rsidRDefault="000C7C03" w:rsidP="00434A6A">
      <w:pPr>
        <w:pStyle w:val="aa"/>
        <w:numPr>
          <w:ilvl w:val="0"/>
          <w:numId w:val="15"/>
        </w:numPr>
      </w:pPr>
      <w:r>
        <w:rPr>
          <w:rFonts w:cs="Arial" w:hint="cs"/>
          <w:rtl/>
        </w:rPr>
        <w:t xml:space="preserve">מהר"ם </w:t>
      </w:r>
      <w:r>
        <w:rPr>
          <w:rFonts w:cs="Arial" w:hint="cs"/>
          <w:sz w:val="16"/>
          <w:szCs w:val="16"/>
          <w:rtl/>
        </w:rPr>
        <w:t xml:space="preserve">(כ"כ בשמו הכלבו </w:t>
      </w:r>
      <w:r w:rsidRPr="000C7C03">
        <w:rPr>
          <w:rFonts w:cs="Arial" w:hint="cs"/>
          <w:sz w:val="14"/>
          <w:szCs w:val="14"/>
          <w:rtl/>
        </w:rPr>
        <w:t>[סי' לא ד"ה כתב ה"ר ובארחות חיים ח"א הל' שבת אות קכא]</w:t>
      </w:r>
      <w:r>
        <w:rPr>
          <w:rFonts w:cs="Arial" w:hint="cs"/>
          <w:sz w:val="16"/>
          <w:szCs w:val="16"/>
          <w:rtl/>
        </w:rPr>
        <w:t xml:space="preserve"> והטור)</w:t>
      </w:r>
      <w:r>
        <w:rPr>
          <w:rFonts w:cs="Arial" w:hint="cs"/>
          <w:rtl/>
        </w:rPr>
        <w:t xml:space="preserve">- </w:t>
      </w:r>
      <w:r w:rsidRPr="000C7C03">
        <w:rPr>
          <w:rFonts w:cs="Arial"/>
          <w:rtl/>
        </w:rPr>
        <w:t>אותן כוסות העשויין פרקים שנוטלין אותן מן הרגל ומחזירין אותן</w:t>
      </w:r>
      <w:r w:rsidR="009E7B18">
        <w:rPr>
          <w:rFonts w:cs="Arial" w:hint="cs"/>
          <w:rtl/>
        </w:rPr>
        <w:t>,</w:t>
      </w:r>
      <w:r w:rsidRPr="000C7C03">
        <w:rPr>
          <w:rFonts w:cs="Arial"/>
          <w:rtl/>
        </w:rPr>
        <w:t xml:space="preserve"> אם הם רפויין </w:t>
      </w:r>
      <w:r w:rsidR="009E7B18">
        <w:rPr>
          <w:rFonts w:cs="Arial" w:hint="cs"/>
          <w:rtl/>
        </w:rPr>
        <w:t xml:space="preserve">- </w:t>
      </w:r>
      <w:r w:rsidRPr="000C7C03">
        <w:rPr>
          <w:rFonts w:cs="Arial"/>
          <w:rtl/>
        </w:rPr>
        <w:t xml:space="preserve">מותר לפרקם ולהכניסן בשבת, ואם מכניסן בחוזק </w:t>
      </w:r>
      <w:r w:rsidR="009E7B18">
        <w:rPr>
          <w:rFonts w:cs="Arial" w:hint="cs"/>
          <w:rtl/>
        </w:rPr>
        <w:t xml:space="preserve">- </w:t>
      </w:r>
      <w:r w:rsidRPr="000C7C03">
        <w:rPr>
          <w:rFonts w:cs="Arial"/>
          <w:rtl/>
        </w:rPr>
        <w:t>אסור בין לפרקם בין להחזירן</w:t>
      </w:r>
      <w:r>
        <w:rPr>
          <w:rFonts w:cs="Arial" w:hint="cs"/>
          <w:sz w:val="16"/>
          <w:szCs w:val="16"/>
          <w:rtl/>
        </w:rPr>
        <w:t xml:space="preserve"> (ל' הכלבו בשמו)</w:t>
      </w:r>
      <w:r>
        <w:rPr>
          <w:rFonts w:cs="Arial" w:hint="cs"/>
          <w:rtl/>
        </w:rPr>
        <w:t>.</w:t>
      </w:r>
      <w:r w:rsidRPr="000C7C03">
        <w:rPr>
          <w:rFonts w:cs="Arial"/>
          <w:rtl/>
        </w:rPr>
        <w:t xml:space="preserve"> </w:t>
      </w:r>
    </w:p>
    <w:p w14:paraId="47D3B91F" w14:textId="3DE72C51" w:rsidR="0039359C" w:rsidRDefault="007853DC" w:rsidP="00434A6A">
      <w:pPr>
        <w:pStyle w:val="aa"/>
        <w:numPr>
          <w:ilvl w:val="0"/>
          <w:numId w:val="15"/>
        </w:numPr>
      </w:pPr>
      <w:r>
        <w:rPr>
          <w:rFonts w:cs="Arial" w:hint="cs"/>
          <w:rtl/>
        </w:rPr>
        <w:t xml:space="preserve">טור- </w:t>
      </w:r>
      <w:r w:rsidR="000C7C03">
        <w:rPr>
          <w:rFonts w:cs="Arial" w:hint="cs"/>
          <w:sz w:val="16"/>
          <w:szCs w:val="16"/>
          <w:rtl/>
        </w:rPr>
        <w:t xml:space="preserve">{לאחר שהביא את דבר המהר"ם כתב-} </w:t>
      </w:r>
      <w:r w:rsidR="00D22DC5">
        <w:rPr>
          <w:rFonts w:cs="Arial"/>
          <w:rtl/>
        </w:rPr>
        <w:t>נרא</w:t>
      </w:r>
      <w:r w:rsidR="000C7C03">
        <w:rPr>
          <w:rFonts w:cs="Arial" w:hint="cs"/>
          <w:rtl/>
        </w:rPr>
        <w:t>ה</w:t>
      </w:r>
      <w:r w:rsidR="00D22DC5">
        <w:rPr>
          <w:rFonts w:cs="Arial"/>
          <w:rtl/>
        </w:rPr>
        <w:t xml:space="preserve"> דכוס אין דרך להדקו כל כך ושרי</w:t>
      </w:r>
      <w:r w:rsidR="00E478F4">
        <w:rPr>
          <w:rStyle w:val="a9"/>
          <w:rFonts w:cs="Arial"/>
          <w:rtl/>
        </w:rPr>
        <w:footnoteReference w:id="2119"/>
      </w:r>
      <w:r w:rsidR="00D22DC5">
        <w:rPr>
          <w:rFonts w:cs="Arial"/>
          <w:rtl/>
        </w:rPr>
        <w:t xml:space="preserve"> בכל ענין</w:t>
      </w:r>
      <w:r w:rsidR="00E478F4">
        <w:rPr>
          <w:rStyle w:val="a9"/>
          <w:rFonts w:cs="Arial"/>
          <w:rtl/>
        </w:rPr>
        <w:footnoteReference w:id="2120"/>
      </w:r>
      <w:r w:rsidR="00D22DC5">
        <w:rPr>
          <w:rFonts w:cs="Arial" w:hint="cs"/>
          <w:rtl/>
        </w:rPr>
        <w:t>.</w:t>
      </w:r>
      <w:r w:rsidR="00D22DC5" w:rsidRPr="006B0C26">
        <w:rPr>
          <w:rFonts w:cs="Arial"/>
          <w:color w:val="E36C0A" w:themeColor="accent6" w:themeShade="BF"/>
          <w:rtl/>
        </w:rPr>
        <w:t xml:space="preserve"> </w:t>
      </w:r>
      <w:r w:rsidR="006B0C26" w:rsidRPr="006B0C26">
        <w:rPr>
          <w:rFonts w:hint="cs"/>
          <w:color w:val="E36C0A" w:themeColor="accent6" w:themeShade="BF"/>
          <w:rtl/>
        </w:rPr>
        <w:t>(וכ"פ בשו"ע)</w:t>
      </w:r>
    </w:p>
    <w:p w14:paraId="70B2C80F" w14:textId="20B8E781" w:rsidR="006B0C26" w:rsidRDefault="006B0C26" w:rsidP="00434A6A">
      <w:pPr>
        <w:pStyle w:val="aa"/>
        <w:numPr>
          <w:ilvl w:val="0"/>
          <w:numId w:val="15"/>
        </w:numPr>
      </w:pPr>
      <w:r w:rsidRPr="000C7C03">
        <w:rPr>
          <w:rFonts w:cs="Arial"/>
          <w:rtl/>
        </w:rPr>
        <w:t xml:space="preserve">רשב"א </w:t>
      </w:r>
      <w:r w:rsidRPr="006B0C26">
        <w:rPr>
          <w:rFonts w:cs="Arial"/>
          <w:sz w:val="16"/>
          <w:szCs w:val="16"/>
          <w:rtl/>
        </w:rPr>
        <w:t>(</w:t>
      </w:r>
      <w:r>
        <w:rPr>
          <w:rFonts w:cs="Arial" w:hint="cs"/>
          <w:sz w:val="16"/>
          <w:szCs w:val="16"/>
          <w:rtl/>
        </w:rPr>
        <w:t xml:space="preserve">לגבי מנורה של פרקים </w:t>
      </w:r>
      <w:r w:rsidR="00952775">
        <w:rPr>
          <w:rFonts w:cs="Arial" w:hint="cs"/>
          <w:sz w:val="16"/>
          <w:szCs w:val="16"/>
          <w:rtl/>
        </w:rPr>
        <w:t>[</w:t>
      </w:r>
      <w:r w:rsidRPr="006B0C26">
        <w:rPr>
          <w:rFonts w:cs="Arial"/>
          <w:sz w:val="16"/>
          <w:szCs w:val="16"/>
          <w:rtl/>
        </w:rPr>
        <w:t>עבודת הקודש בית מועד ש"ג סי' ג</w:t>
      </w:r>
      <w:r w:rsidR="00952775">
        <w:rPr>
          <w:rFonts w:cs="Arial" w:hint="cs"/>
          <w:sz w:val="16"/>
          <w:szCs w:val="16"/>
          <w:rtl/>
        </w:rPr>
        <w:t>]</w:t>
      </w:r>
      <w:r w:rsidRPr="006B0C26">
        <w:rPr>
          <w:rFonts w:cs="Arial" w:hint="cs"/>
          <w:sz w:val="16"/>
          <w:szCs w:val="16"/>
          <w:rtl/>
        </w:rPr>
        <w:t>, הביאו הה"מ [פכ"ו הי"א]</w:t>
      </w:r>
      <w:r w:rsidRPr="006B0C26">
        <w:rPr>
          <w:rFonts w:cs="Arial"/>
          <w:sz w:val="16"/>
          <w:szCs w:val="16"/>
          <w:rtl/>
        </w:rPr>
        <w:t>)</w:t>
      </w:r>
      <w:r>
        <w:rPr>
          <w:rFonts w:cs="Arial" w:hint="cs"/>
          <w:rtl/>
        </w:rPr>
        <w:t xml:space="preserve">- </w:t>
      </w:r>
      <w:r w:rsidR="00D80064">
        <w:rPr>
          <w:rFonts w:cs="Arial" w:hint="cs"/>
          <w:rtl/>
        </w:rPr>
        <w:t xml:space="preserve">המנורה... </w:t>
      </w:r>
      <w:r w:rsidR="00D80064" w:rsidRPr="00D80064">
        <w:rPr>
          <w:rFonts w:cs="Arial"/>
          <w:rtl/>
        </w:rPr>
        <w:t>אפילו אין חוליותיה רפויין</w:t>
      </w:r>
      <w:r w:rsidR="00D80064">
        <w:rPr>
          <w:rFonts w:cs="Arial" w:hint="cs"/>
          <w:rtl/>
        </w:rPr>
        <w:t>,</w:t>
      </w:r>
      <w:r w:rsidR="00D80064" w:rsidRPr="00D80064">
        <w:rPr>
          <w:rFonts w:cs="Arial"/>
          <w:rtl/>
        </w:rPr>
        <w:t xml:space="preserve"> אלא רפויין ואין רפויין מותר לזוקפה ביום טוב אע</w:t>
      </w:r>
      <w:r w:rsidR="00D80064">
        <w:rPr>
          <w:rFonts w:cs="Arial" w:hint="cs"/>
          <w:rtl/>
        </w:rPr>
        <w:t>"</w:t>
      </w:r>
      <w:r w:rsidR="00D80064" w:rsidRPr="00D80064">
        <w:rPr>
          <w:rFonts w:cs="Arial"/>
          <w:rtl/>
        </w:rPr>
        <w:t xml:space="preserve">פ שכיוצא בה אסור אפילו לטלטלה בשבת, וכל שכן ברפוייה גמורה שהיא אף בשבת זוקפין אותה. </w:t>
      </w:r>
      <w:r w:rsidR="0052765C">
        <w:rPr>
          <w:rFonts w:hint="cs"/>
          <w:rtl/>
        </w:rPr>
        <w:t xml:space="preserve">(וכ"פ המשנ"ב </w:t>
      </w:r>
      <w:r w:rsidR="0052765C">
        <w:rPr>
          <w:rFonts w:hint="cs"/>
          <w:sz w:val="16"/>
          <w:szCs w:val="16"/>
          <w:rtl/>
        </w:rPr>
        <w:t>[סקמ"ג]</w:t>
      </w:r>
      <w:r w:rsidR="0052765C">
        <w:rPr>
          <w:rFonts w:hint="cs"/>
          <w:rtl/>
        </w:rPr>
        <w:t>)</w:t>
      </w:r>
      <w:r w:rsidR="00E478F4">
        <w:rPr>
          <w:rFonts w:hint="cs"/>
          <w:rtl/>
        </w:rPr>
        <w:t xml:space="preserve"> </w:t>
      </w:r>
    </w:p>
    <w:p w14:paraId="58B50487" w14:textId="006CEB06" w:rsidR="00952775" w:rsidRPr="0052765C" w:rsidRDefault="00952775" w:rsidP="00434A6A">
      <w:pPr>
        <w:ind w:left="360"/>
        <w:rPr>
          <w:u w:val="dotted"/>
        </w:rPr>
      </w:pPr>
      <w:r w:rsidRPr="0052765C">
        <w:rPr>
          <w:rFonts w:hint="cs"/>
          <w:u w:val="dotted"/>
          <w:rtl/>
        </w:rPr>
        <w:t>כלי</w:t>
      </w:r>
      <w:r w:rsidR="0052765C" w:rsidRPr="0052765C">
        <w:rPr>
          <w:rFonts w:hint="cs"/>
          <w:u w:val="dotted"/>
          <w:rtl/>
        </w:rPr>
        <w:t xml:space="preserve"> שתמיד מהדקים אותו</w:t>
      </w:r>
      <w:r w:rsidRPr="0052765C">
        <w:rPr>
          <w:rFonts w:hint="cs"/>
          <w:u w:val="dotted"/>
          <w:rtl/>
        </w:rPr>
        <w:t xml:space="preserve"> אבל עכשיו רוצה לחבר</w:t>
      </w:r>
      <w:r w:rsidR="0052765C" w:rsidRPr="0052765C">
        <w:rPr>
          <w:rFonts w:hint="cs"/>
          <w:u w:val="dotted"/>
          <w:rtl/>
        </w:rPr>
        <w:t>ו</w:t>
      </w:r>
      <w:r w:rsidRPr="0052765C">
        <w:rPr>
          <w:rFonts w:hint="cs"/>
          <w:u w:val="dotted"/>
          <w:rtl/>
        </w:rPr>
        <w:t xml:space="preserve"> בצורה רפויה:</w:t>
      </w:r>
    </w:p>
    <w:p w14:paraId="72BE4270" w14:textId="68CCCC52" w:rsidR="009E7B18" w:rsidRPr="009E7B18" w:rsidRDefault="00DA462D" w:rsidP="00434A6A">
      <w:pPr>
        <w:pStyle w:val="aa"/>
        <w:numPr>
          <w:ilvl w:val="0"/>
          <w:numId w:val="15"/>
        </w:numPr>
      </w:pPr>
      <w:r>
        <w:rPr>
          <w:rFonts w:cs="Arial" w:hint="cs"/>
          <w:rtl/>
        </w:rPr>
        <w:t>ב"י</w:t>
      </w:r>
      <w:r w:rsidR="00C84451">
        <w:rPr>
          <w:rFonts w:cs="Arial" w:hint="cs"/>
          <w:rtl/>
        </w:rPr>
        <w:t xml:space="preserve">- </w:t>
      </w:r>
      <w:r>
        <w:rPr>
          <w:rFonts w:cs="Arial" w:hint="cs"/>
          <w:rtl/>
        </w:rPr>
        <w:t xml:space="preserve">ונראה מדבריו </w:t>
      </w:r>
      <w:r>
        <w:rPr>
          <w:rFonts w:cs="Arial" w:hint="cs"/>
          <w:sz w:val="16"/>
          <w:szCs w:val="16"/>
          <w:rtl/>
        </w:rPr>
        <w:t xml:space="preserve">{של הרמב"ם פכ"ב הכ"ו} </w:t>
      </w:r>
      <w:r>
        <w:rPr>
          <w:rFonts w:cs="Arial" w:hint="cs"/>
          <w:rtl/>
        </w:rPr>
        <w:t>ד</w:t>
      </w:r>
      <w:r w:rsidR="00952775" w:rsidRPr="00C84451">
        <w:rPr>
          <w:rFonts w:cs="Arial"/>
          <w:rtl/>
        </w:rPr>
        <w:t>הא דאמרינן אם היה רפוי מותר היינו לומר שהוא עשוי להיות רפוי</w:t>
      </w:r>
      <w:r w:rsidR="00952775" w:rsidRPr="00C84451">
        <w:rPr>
          <w:rFonts w:cs="Arial" w:hint="cs"/>
          <w:rtl/>
        </w:rPr>
        <w:t>,</w:t>
      </w:r>
      <w:r w:rsidR="00952775" w:rsidRPr="00C84451">
        <w:rPr>
          <w:rFonts w:cs="Arial"/>
          <w:rtl/>
        </w:rPr>
        <w:t xml:space="preserve"> ומשום הכי שרי</w:t>
      </w:r>
      <w:r w:rsidR="00952775" w:rsidRPr="00C84451">
        <w:rPr>
          <w:rFonts w:cs="Arial" w:hint="cs"/>
          <w:rtl/>
        </w:rPr>
        <w:t>,</w:t>
      </w:r>
      <w:r w:rsidR="00952775" w:rsidRPr="00C84451">
        <w:rPr>
          <w:rFonts w:cs="Arial"/>
          <w:rtl/>
        </w:rPr>
        <w:t xml:space="preserve"> אבל אם הוא עשוי להיות מיהדק אע</w:t>
      </w:r>
      <w:r w:rsidR="00952775" w:rsidRPr="00C84451">
        <w:rPr>
          <w:rFonts w:cs="Arial" w:hint="cs"/>
          <w:rtl/>
        </w:rPr>
        <w:t>"</w:t>
      </w:r>
      <w:r w:rsidR="00952775" w:rsidRPr="00C84451">
        <w:rPr>
          <w:rFonts w:cs="Arial"/>
          <w:rtl/>
        </w:rPr>
        <w:t xml:space="preserve">פ שעכשיו כשמחזירו מניחו רפוי </w:t>
      </w:r>
      <w:r w:rsidR="00BB795D" w:rsidRPr="00C84451">
        <w:rPr>
          <w:rFonts w:cs="Arial" w:hint="cs"/>
          <w:rtl/>
        </w:rPr>
        <w:t xml:space="preserve">- </w:t>
      </w:r>
      <w:r w:rsidR="00952775" w:rsidRPr="00C84451">
        <w:rPr>
          <w:rFonts w:cs="Arial"/>
          <w:rtl/>
        </w:rPr>
        <w:t>אסור</w:t>
      </w:r>
      <w:r>
        <w:rPr>
          <w:rStyle w:val="a9"/>
          <w:rFonts w:cs="Arial"/>
          <w:rtl/>
        </w:rPr>
        <w:footnoteReference w:id="2121"/>
      </w:r>
      <w:r>
        <w:rPr>
          <w:rFonts w:cs="Arial" w:hint="cs"/>
          <w:sz w:val="16"/>
          <w:szCs w:val="16"/>
          <w:rtl/>
        </w:rPr>
        <w:t xml:space="preserve"> </w:t>
      </w:r>
      <w:r w:rsidR="00C84451">
        <w:rPr>
          <w:rFonts w:cs="Arial" w:hint="cs"/>
          <w:sz w:val="16"/>
          <w:szCs w:val="16"/>
          <w:rtl/>
        </w:rPr>
        <w:t>(ל' הב"י)</w:t>
      </w:r>
      <w:r w:rsidR="00952775">
        <w:rPr>
          <w:rFonts w:hint="cs"/>
          <w:rtl/>
        </w:rPr>
        <w:t>.</w:t>
      </w:r>
      <w:r w:rsidR="00952775" w:rsidRPr="00C84451">
        <w:rPr>
          <w:rFonts w:hint="cs"/>
          <w:color w:val="00B0F0"/>
          <w:rtl/>
        </w:rPr>
        <w:t xml:space="preserve"> (וכ"פ הרמ"א)</w:t>
      </w:r>
    </w:p>
    <w:p w14:paraId="13C745ED" w14:textId="4CF232B8" w:rsidR="009E7B18" w:rsidRDefault="009E7B18" w:rsidP="00434A6A">
      <w:pPr>
        <w:pStyle w:val="aa"/>
        <w:numPr>
          <w:ilvl w:val="0"/>
          <w:numId w:val="15"/>
        </w:numPr>
      </w:pPr>
      <w:r>
        <w:rPr>
          <w:rFonts w:hint="cs"/>
          <w:rtl/>
        </w:rPr>
        <w:t>רשב"א</w:t>
      </w:r>
      <w:r>
        <w:rPr>
          <w:rStyle w:val="a9"/>
          <w:rtl/>
        </w:rPr>
        <w:footnoteReference w:id="2122"/>
      </w:r>
      <w:r>
        <w:rPr>
          <w:rFonts w:hint="cs"/>
          <w:sz w:val="16"/>
          <w:szCs w:val="16"/>
          <w:rtl/>
        </w:rPr>
        <w:t xml:space="preserve"> </w:t>
      </w:r>
      <w:r w:rsidRPr="00C84451">
        <w:rPr>
          <w:rFonts w:hint="cs"/>
          <w:sz w:val="16"/>
          <w:szCs w:val="16"/>
          <w:rtl/>
        </w:rPr>
        <w:t>(</w:t>
      </w:r>
      <w:r w:rsidRPr="00C84451">
        <w:rPr>
          <w:rFonts w:cs="Arial"/>
          <w:sz w:val="16"/>
          <w:szCs w:val="16"/>
          <w:rtl/>
        </w:rPr>
        <w:t>עבו</w:t>
      </w:r>
      <w:r>
        <w:rPr>
          <w:rFonts w:cs="Arial" w:hint="cs"/>
          <w:sz w:val="16"/>
          <w:szCs w:val="16"/>
          <w:rtl/>
        </w:rPr>
        <w:t>ה"ק</w:t>
      </w:r>
      <w:r w:rsidRPr="00C84451">
        <w:rPr>
          <w:rFonts w:cs="Arial"/>
          <w:sz w:val="16"/>
          <w:szCs w:val="16"/>
          <w:rtl/>
        </w:rPr>
        <w:t xml:space="preserve"> בית מועד ש</w:t>
      </w:r>
      <w:r>
        <w:rPr>
          <w:rFonts w:cs="Arial" w:hint="cs"/>
          <w:sz w:val="16"/>
          <w:szCs w:val="16"/>
          <w:rtl/>
        </w:rPr>
        <w:t>"</w:t>
      </w:r>
      <w:r w:rsidRPr="00C84451">
        <w:rPr>
          <w:rFonts w:cs="Arial"/>
          <w:sz w:val="16"/>
          <w:szCs w:val="16"/>
          <w:rtl/>
        </w:rPr>
        <w:t>ג סי</w:t>
      </w:r>
      <w:r>
        <w:rPr>
          <w:rFonts w:cs="Arial" w:hint="cs"/>
          <w:sz w:val="16"/>
          <w:szCs w:val="16"/>
          <w:rtl/>
        </w:rPr>
        <w:t>'</w:t>
      </w:r>
      <w:r w:rsidRPr="00C84451">
        <w:rPr>
          <w:rFonts w:cs="Arial"/>
          <w:sz w:val="16"/>
          <w:szCs w:val="16"/>
          <w:rtl/>
        </w:rPr>
        <w:t xml:space="preserve"> ג</w:t>
      </w:r>
      <w:r w:rsidRPr="00C84451">
        <w:rPr>
          <w:rFonts w:cs="Arial" w:hint="cs"/>
          <w:sz w:val="16"/>
          <w:szCs w:val="16"/>
          <w:rtl/>
        </w:rPr>
        <w:t xml:space="preserve"> אות יג)</w:t>
      </w:r>
      <w:r>
        <w:rPr>
          <w:rFonts w:cs="Arial" w:hint="cs"/>
          <w:rtl/>
        </w:rPr>
        <w:t xml:space="preserve"> ומאירי</w:t>
      </w:r>
      <w:r>
        <w:rPr>
          <w:rStyle w:val="a9"/>
          <w:rFonts w:cs="Arial"/>
          <w:rtl/>
        </w:rPr>
        <w:footnoteReference w:id="2123"/>
      </w:r>
      <w:r>
        <w:rPr>
          <w:rFonts w:cs="Arial" w:hint="cs"/>
          <w:sz w:val="16"/>
          <w:szCs w:val="16"/>
          <w:rtl/>
        </w:rPr>
        <w:t xml:space="preserve"> (שבת מז.)</w:t>
      </w:r>
      <w:r>
        <w:rPr>
          <w:rFonts w:hint="cs"/>
          <w:rtl/>
        </w:rPr>
        <w:t>- אסור להחזיר בצורה רפויה רק במקום שיש רגילות לתקוע.</w:t>
      </w:r>
    </w:p>
    <w:p w14:paraId="35FB47B9" w14:textId="36D0B095" w:rsidR="006E3A7A" w:rsidRDefault="006E3A7A" w:rsidP="00434A6A">
      <w:pPr>
        <w:pStyle w:val="aa"/>
        <w:numPr>
          <w:ilvl w:val="0"/>
          <w:numId w:val="15"/>
        </w:numPr>
      </w:pPr>
      <w:r>
        <w:rPr>
          <w:rFonts w:cs="Arial" w:hint="cs"/>
          <w:rtl/>
        </w:rPr>
        <w:t>ר"י</w:t>
      </w:r>
      <w:r>
        <w:rPr>
          <w:rStyle w:val="a9"/>
          <w:rFonts w:cs="Arial"/>
          <w:rtl/>
        </w:rPr>
        <w:footnoteReference w:id="2124"/>
      </w:r>
      <w:r>
        <w:rPr>
          <w:rFonts w:cs="Arial" w:hint="cs"/>
          <w:sz w:val="16"/>
          <w:szCs w:val="16"/>
          <w:rtl/>
        </w:rPr>
        <w:t xml:space="preserve"> (בתוס' מח. ד"ה הא בחדתי)</w:t>
      </w:r>
      <w:r>
        <w:rPr>
          <w:rFonts w:hint="cs"/>
          <w:rtl/>
        </w:rPr>
        <w:t xml:space="preserve">- </w:t>
      </w:r>
      <w:r w:rsidR="00DA462D">
        <w:rPr>
          <w:rFonts w:hint="cs"/>
          <w:rtl/>
        </w:rPr>
        <w:t>מותר להחזיר בצורה רפויה אף במקום שיש רגילות לתקוע, אבל להדק אסור.</w:t>
      </w:r>
    </w:p>
    <w:p w14:paraId="34969825" w14:textId="005A29B8" w:rsidR="00A3179D" w:rsidRPr="008B70A8" w:rsidRDefault="00A3179D" w:rsidP="00434A6A">
      <w:pPr>
        <w:rPr>
          <w:u w:val="single"/>
          <w:rtl/>
        </w:rPr>
      </w:pPr>
      <w:r w:rsidRPr="008B70A8">
        <w:rPr>
          <w:rFonts w:hint="cs"/>
          <w:u w:val="single"/>
          <w:rtl/>
        </w:rPr>
        <w:t>גדר תוקע</w:t>
      </w:r>
      <w:r w:rsidR="00420ECA">
        <w:rPr>
          <w:rFonts w:hint="cs"/>
          <w:u w:val="single"/>
          <w:rtl/>
        </w:rPr>
        <w:t xml:space="preserve"> </w:t>
      </w:r>
      <w:r w:rsidR="00420ECA">
        <w:rPr>
          <w:rFonts w:hint="cs"/>
          <w:sz w:val="16"/>
          <w:szCs w:val="16"/>
          <w:u w:val="single"/>
          <w:rtl/>
        </w:rPr>
        <w:t>(בניין בכלים)</w:t>
      </w:r>
      <w:r w:rsidR="008B70A8" w:rsidRPr="008B70A8">
        <w:rPr>
          <w:rFonts w:hint="cs"/>
          <w:u w:val="single"/>
          <w:rtl/>
        </w:rPr>
        <w:t>:</w:t>
      </w:r>
    </w:p>
    <w:p w14:paraId="236BC9BA" w14:textId="2D973069" w:rsidR="00D53400" w:rsidRDefault="008B70A8" w:rsidP="00434A6A">
      <w:pPr>
        <w:pStyle w:val="aa"/>
        <w:numPr>
          <w:ilvl w:val="0"/>
          <w:numId w:val="15"/>
        </w:numPr>
      </w:pPr>
      <w:r>
        <w:rPr>
          <w:rFonts w:hint="cs"/>
          <w:rtl/>
        </w:rPr>
        <w:t>רש"י</w:t>
      </w:r>
      <w:r w:rsidRPr="008B70A8">
        <w:rPr>
          <w:rFonts w:hint="cs"/>
          <w:sz w:val="16"/>
          <w:szCs w:val="16"/>
          <w:rtl/>
        </w:rPr>
        <w:t xml:space="preserve"> (שבת מז: ד"ה יתקע)</w:t>
      </w:r>
      <w:r w:rsidR="002748C4">
        <w:rPr>
          <w:rFonts w:hint="cs"/>
          <w:rtl/>
        </w:rPr>
        <w:t xml:space="preserve"> וסמ"ק </w:t>
      </w:r>
      <w:r w:rsidR="002748C4">
        <w:rPr>
          <w:rFonts w:hint="cs"/>
          <w:sz w:val="16"/>
          <w:szCs w:val="16"/>
          <w:rtl/>
        </w:rPr>
        <w:t>(</w:t>
      </w:r>
      <w:r w:rsidR="002748C4" w:rsidRPr="002748C4">
        <w:rPr>
          <w:rFonts w:hint="cs"/>
          <w:sz w:val="16"/>
          <w:szCs w:val="16"/>
          <w:rtl/>
        </w:rPr>
        <w:t>מצו</w:t>
      </w:r>
      <w:r w:rsidR="002748C4">
        <w:rPr>
          <w:rFonts w:hint="cs"/>
          <w:sz w:val="16"/>
          <w:szCs w:val="16"/>
          <w:rtl/>
        </w:rPr>
        <w:t>ה</w:t>
      </w:r>
      <w:r w:rsidR="002748C4" w:rsidRPr="002748C4">
        <w:rPr>
          <w:rFonts w:hint="cs"/>
          <w:sz w:val="16"/>
          <w:szCs w:val="16"/>
          <w:rtl/>
        </w:rPr>
        <w:t xml:space="preserve"> רפב ד"ה הבונה שיעורו)</w:t>
      </w:r>
      <w:r>
        <w:rPr>
          <w:rFonts w:hint="cs"/>
          <w:rtl/>
        </w:rPr>
        <w:t xml:space="preserve">- </w:t>
      </w:r>
      <w:r w:rsidRPr="008B70A8">
        <w:rPr>
          <w:rFonts w:cs="Arial" w:hint="cs"/>
          <w:rtl/>
        </w:rPr>
        <w:t xml:space="preserve">תוקע </w:t>
      </w:r>
      <w:r w:rsidRPr="008B70A8">
        <w:rPr>
          <w:rFonts w:cs="Arial"/>
          <w:rtl/>
        </w:rPr>
        <w:t>בחוזק על ידי יתדות</w:t>
      </w:r>
      <w:r w:rsidR="002748C4">
        <w:rPr>
          <w:rFonts w:cs="Arial" w:hint="cs"/>
          <w:sz w:val="16"/>
          <w:szCs w:val="16"/>
          <w:rtl/>
        </w:rPr>
        <w:t xml:space="preserve"> (ל' רש"י)</w:t>
      </w:r>
      <w:r w:rsidRPr="008B70A8">
        <w:rPr>
          <w:rFonts w:cs="Arial" w:hint="cs"/>
          <w:rtl/>
        </w:rPr>
        <w:t>.</w:t>
      </w:r>
    </w:p>
    <w:p w14:paraId="6B1BACA0" w14:textId="6BA769F7" w:rsidR="002748C4" w:rsidRDefault="002748C4" w:rsidP="00434A6A">
      <w:pPr>
        <w:pStyle w:val="aa"/>
        <w:numPr>
          <w:ilvl w:val="0"/>
          <w:numId w:val="15"/>
        </w:numPr>
      </w:pPr>
      <w:r>
        <w:rPr>
          <w:rFonts w:cs="Arial" w:hint="cs"/>
          <w:rtl/>
        </w:rPr>
        <w:t xml:space="preserve">רמב"ם </w:t>
      </w:r>
      <w:r>
        <w:rPr>
          <w:rFonts w:cs="Arial" w:hint="cs"/>
          <w:sz w:val="16"/>
          <w:szCs w:val="16"/>
          <w:rtl/>
        </w:rPr>
        <w:t>(פ"י מהל' שבת הי"ג)</w:t>
      </w:r>
      <w:r>
        <w:rPr>
          <w:rFonts w:cs="Arial" w:hint="cs"/>
          <w:rtl/>
        </w:rPr>
        <w:t xml:space="preserve">- </w:t>
      </w:r>
      <w:r w:rsidRPr="002748C4">
        <w:rPr>
          <w:rFonts w:cs="Arial"/>
          <w:rtl/>
        </w:rPr>
        <w:t xml:space="preserve">המכניס יד הקרדום בתוך העין שלו </w:t>
      </w:r>
      <w:r w:rsidR="00C34F47">
        <w:rPr>
          <w:rFonts w:cs="Arial" w:hint="cs"/>
          <w:rtl/>
        </w:rPr>
        <w:t xml:space="preserve">- </w:t>
      </w:r>
      <w:r w:rsidRPr="002748C4">
        <w:rPr>
          <w:rFonts w:cs="Arial"/>
          <w:rtl/>
        </w:rPr>
        <w:t>הרי זה תולדת בונה</w:t>
      </w:r>
      <w:r w:rsidR="00C34F47">
        <w:rPr>
          <w:rStyle w:val="a9"/>
          <w:rFonts w:cs="Arial"/>
          <w:rtl/>
        </w:rPr>
        <w:footnoteReference w:id="2125"/>
      </w:r>
      <w:r w:rsidRPr="002748C4">
        <w:rPr>
          <w:rFonts w:cs="Arial"/>
          <w:rtl/>
        </w:rPr>
        <w:t xml:space="preserve"> וכן כל כיוצא בו</w:t>
      </w:r>
      <w:r w:rsidR="00C34F47">
        <w:rPr>
          <w:rFonts w:cs="Arial" w:hint="cs"/>
          <w:rtl/>
        </w:rPr>
        <w:t>.</w:t>
      </w:r>
      <w:r w:rsidRPr="002748C4">
        <w:rPr>
          <w:rFonts w:cs="Arial"/>
          <w:rtl/>
        </w:rPr>
        <w:t xml:space="preserve"> וכן התוקע עץ בעץ בין שתקע במסמר בין שתקע בעץ עצמו עד שנתאחד </w:t>
      </w:r>
      <w:r w:rsidR="00C34F47">
        <w:rPr>
          <w:rFonts w:cs="Arial" w:hint="cs"/>
          <w:rtl/>
        </w:rPr>
        <w:t xml:space="preserve">- </w:t>
      </w:r>
      <w:r w:rsidRPr="002748C4">
        <w:rPr>
          <w:rFonts w:cs="Arial"/>
          <w:rtl/>
        </w:rPr>
        <w:t>הרי זה תולדת בונה וחייב</w:t>
      </w:r>
      <w:r>
        <w:rPr>
          <w:rStyle w:val="a9"/>
          <w:rFonts w:cs="Arial"/>
          <w:rtl/>
        </w:rPr>
        <w:footnoteReference w:id="2126"/>
      </w:r>
      <w:r>
        <w:rPr>
          <w:rFonts w:hint="cs"/>
          <w:rtl/>
        </w:rPr>
        <w:t>.</w:t>
      </w:r>
    </w:p>
    <w:p w14:paraId="71DAC0C4" w14:textId="6AC2BE9D" w:rsidR="00B724CF" w:rsidRDefault="00B724CF" w:rsidP="00434A6A">
      <w:pPr>
        <w:pStyle w:val="aa"/>
        <w:numPr>
          <w:ilvl w:val="0"/>
          <w:numId w:val="15"/>
        </w:numPr>
        <w:rPr>
          <w:rtl/>
        </w:rPr>
      </w:pPr>
      <w:r>
        <w:rPr>
          <w:rFonts w:cs="Arial" w:hint="cs"/>
          <w:rtl/>
        </w:rPr>
        <w:t xml:space="preserve">תוס' </w:t>
      </w:r>
      <w:r>
        <w:rPr>
          <w:rFonts w:cs="Arial" w:hint="cs"/>
          <w:sz w:val="16"/>
          <w:szCs w:val="16"/>
          <w:rtl/>
        </w:rPr>
        <w:t xml:space="preserve">(שבת קב: ד"ה </w:t>
      </w:r>
      <w:r w:rsidRPr="00B724CF">
        <w:rPr>
          <w:rFonts w:cs="Arial"/>
          <w:sz w:val="16"/>
          <w:szCs w:val="16"/>
          <w:rtl/>
        </w:rPr>
        <w:t>האי מאן דעייל שופתא בקופינא רב אמר חייב משום בונה</w:t>
      </w:r>
      <w:r>
        <w:rPr>
          <w:rFonts w:cs="Arial" w:hint="cs"/>
          <w:sz w:val="16"/>
          <w:szCs w:val="16"/>
          <w:rtl/>
        </w:rPr>
        <w:t>)</w:t>
      </w:r>
      <w:r>
        <w:rPr>
          <w:rFonts w:cs="Arial" w:hint="cs"/>
          <w:rtl/>
        </w:rPr>
        <w:t xml:space="preserve">- </w:t>
      </w:r>
      <w:r w:rsidRPr="00B724CF">
        <w:rPr>
          <w:rFonts w:cs="Arial"/>
          <w:rtl/>
        </w:rPr>
        <w:t>א</w:t>
      </w:r>
      <w:r>
        <w:rPr>
          <w:rFonts w:cs="Arial" w:hint="cs"/>
          <w:rtl/>
        </w:rPr>
        <w:t>ע"ג</w:t>
      </w:r>
      <w:r w:rsidRPr="00B724CF">
        <w:rPr>
          <w:rFonts w:cs="Arial"/>
          <w:rtl/>
        </w:rPr>
        <w:t xml:space="preserve"> דקי"ל אין בנין בכלים אור"י דהיינו דווקא בהחזרת בתי תריסין או במנורה של חוליות</w:t>
      </w:r>
      <w:r w:rsidR="00C34F47">
        <w:rPr>
          <w:rFonts w:cs="Arial" w:hint="cs"/>
          <w:rtl/>
        </w:rPr>
        <w:t>,</w:t>
      </w:r>
      <w:r w:rsidRPr="00B724CF">
        <w:rPr>
          <w:rFonts w:cs="Arial"/>
          <w:rtl/>
        </w:rPr>
        <w:t xml:space="preserve"> אבל בנין גמור </w:t>
      </w:r>
      <w:r w:rsidR="00C34F47">
        <w:rPr>
          <w:rFonts w:cs="Arial" w:hint="cs"/>
          <w:rtl/>
        </w:rPr>
        <w:t xml:space="preserve">- </w:t>
      </w:r>
      <w:r w:rsidRPr="00B724CF">
        <w:rPr>
          <w:rFonts w:cs="Arial"/>
          <w:rtl/>
        </w:rPr>
        <w:t>מיחייב בכלים כמו בקרקע</w:t>
      </w:r>
      <w:r w:rsidR="00C34F47">
        <w:rPr>
          <w:rFonts w:cs="Arial" w:hint="cs"/>
          <w:rtl/>
        </w:rPr>
        <w:t>,</w:t>
      </w:r>
      <w:r w:rsidRPr="00B724CF">
        <w:rPr>
          <w:rFonts w:cs="Arial"/>
          <w:rtl/>
        </w:rPr>
        <w:t xml:space="preserve"> כדאמרי' בס"פ כירה (לעיל מז.) גבי מטה של טרסיים אם תקע חייב חטאת</w:t>
      </w:r>
      <w:r w:rsidR="00C34F47">
        <w:rPr>
          <w:rFonts w:cs="Arial" w:hint="cs"/>
          <w:rtl/>
        </w:rPr>
        <w:t>,</w:t>
      </w:r>
      <w:r w:rsidRPr="00B724CF">
        <w:rPr>
          <w:rFonts w:cs="Arial"/>
          <w:rtl/>
        </w:rPr>
        <w:t xml:space="preserve"> ומחזיר קני מנורה חייב חטאת</w:t>
      </w:r>
      <w:r w:rsidR="00C34F47">
        <w:rPr>
          <w:rFonts w:cs="Arial" w:hint="cs"/>
          <w:rtl/>
        </w:rPr>
        <w:t>,</w:t>
      </w:r>
      <w:r w:rsidRPr="00B724CF">
        <w:rPr>
          <w:rFonts w:cs="Arial"/>
          <w:rtl/>
        </w:rPr>
        <w:t xml:space="preserve"> וקרן עגולה</w:t>
      </w:r>
      <w:r w:rsidR="00C34F47">
        <w:rPr>
          <w:rFonts w:cs="Arial" w:hint="cs"/>
          <w:rtl/>
        </w:rPr>
        <w:t>.</w:t>
      </w:r>
      <w:r w:rsidRPr="00B724CF">
        <w:rPr>
          <w:rFonts w:cs="Arial"/>
          <w:rtl/>
        </w:rPr>
        <w:t xml:space="preserve"> ואין חילוק בין כלים לקרקע אלא במקום שאין חיזוק ואומנות</w:t>
      </w:r>
      <w:r w:rsidR="00C34F47">
        <w:rPr>
          <w:rFonts w:cs="Arial" w:hint="cs"/>
          <w:rtl/>
        </w:rPr>
        <w:t>,</w:t>
      </w:r>
      <w:r w:rsidRPr="00B724CF">
        <w:rPr>
          <w:rFonts w:cs="Arial"/>
          <w:rtl/>
        </w:rPr>
        <w:t xml:space="preserve"> דבכלי לא חשיב בנין ובקרקע חשיב בנין</w:t>
      </w:r>
      <w:r w:rsidR="001A5818">
        <w:rPr>
          <w:rStyle w:val="a9"/>
          <w:rtl/>
        </w:rPr>
        <w:footnoteReference w:id="2127"/>
      </w:r>
      <w:r>
        <w:rPr>
          <w:rFonts w:hint="cs"/>
          <w:rtl/>
        </w:rPr>
        <w:t>.</w:t>
      </w:r>
      <w:r w:rsidR="00420ECA">
        <w:rPr>
          <w:rFonts w:hint="cs"/>
          <w:rtl/>
        </w:rPr>
        <w:t xml:space="preserve"> </w:t>
      </w:r>
    </w:p>
    <w:p w14:paraId="4E32C77F" w14:textId="677ADAF1" w:rsidR="00A3179D" w:rsidRPr="008B70A8" w:rsidRDefault="00A3179D" w:rsidP="00434A6A">
      <w:pPr>
        <w:rPr>
          <w:u w:val="single"/>
          <w:rtl/>
        </w:rPr>
      </w:pPr>
      <w:r w:rsidRPr="008B70A8">
        <w:rPr>
          <w:rFonts w:hint="cs"/>
          <w:u w:val="single"/>
          <w:rtl/>
        </w:rPr>
        <w:t>גדר רפוי:</w:t>
      </w:r>
    </w:p>
    <w:p w14:paraId="6F2E4E8D" w14:textId="76AB66BB" w:rsidR="00A3179D" w:rsidRDefault="00A3179D" w:rsidP="00434A6A">
      <w:pPr>
        <w:pStyle w:val="aa"/>
        <w:numPr>
          <w:ilvl w:val="0"/>
          <w:numId w:val="15"/>
        </w:numPr>
      </w:pPr>
      <w:r w:rsidRPr="00A3179D">
        <w:rPr>
          <w:rFonts w:cs="Arial" w:hint="cs"/>
          <w:rtl/>
        </w:rPr>
        <w:t xml:space="preserve">מאירי </w:t>
      </w:r>
      <w:r w:rsidRPr="00A3179D">
        <w:rPr>
          <w:rFonts w:cs="Arial" w:hint="cs"/>
          <w:sz w:val="16"/>
          <w:szCs w:val="16"/>
          <w:rtl/>
        </w:rPr>
        <w:t>(שבת מז.)</w:t>
      </w:r>
      <w:r w:rsidRPr="00A3179D">
        <w:rPr>
          <w:rFonts w:cs="Arial" w:hint="cs"/>
          <w:rtl/>
        </w:rPr>
        <w:t xml:space="preserve">- </w:t>
      </w:r>
      <w:r w:rsidRPr="00A3179D">
        <w:rPr>
          <w:rFonts w:cs="Arial"/>
          <w:rtl/>
        </w:rPr>
        <w:t>מלבנות המטה והם כעין רגלים קטנים שיש להם בית קיבול ומכניס לתוכם ראשי כרעי המטה שלא ירקבו בארץ</w:t>
      </w:r>
      <w:r w:rsidRPr="00A3179D">
        <w:rPr>
          <w:rFonts w:cs="Arial" w:hint="cs"/>
          <w:rtl/>
        </w:rPr>
        <w:t xml:space="preserve">... וכיוצא בהם </w:t>
      </w:r>
      <w:r w:rsidRPr="00A3179D">
        <w:rPr>
          <w:rFonts w:cs="Arial"/>
          <w:rtl/>
        </w:rPr>
        <w:t>ברפויים מכל וכל עד שאין צורך בהם לשום הדוק –</w:t>
      </w:r>
      <w:r w:rsidRPr="00A3179D">
        <w:rPr>
          <w:rFonts w:cs="Arial" w:hint="cs"/>
          <w:rtl/>
        </w:rPr>
        <w:t xml:space="preserve"> </w:t>
      </w:r>
      <w:r w:rsidRPr="00A3179D">
        <w:rPr>
          <w:rFonts w:cs="Arial"/>
          <w:rtl/>
        </w:rPr>
        <w:t>מותר</w:t>
      </w:r>
      <w:r w:rsidRPr="00A3179D">
        <w:rPr>
          <w:rFonts w:cs="Arial" w:hint="cs"/>
          <w:rtl/>
        </w:rPr>
        <w:t>.</w:t>
      </w:r>
    </w:p>
    <w:p w14:paraId="6F524F0E" w14:textId="77777777" w:rsidR="0052765C" w:rsidRPr="0052765C" w:rsidRDefault="00A3179D" w:rsidP="00434A6A">
      <w:pPr>
        <w:pStyle w:val="aa"/>
        <w:numPr>
          <w:ilvl w:val="0"/>
          <w:numId w:val="15"/>
        </w:numPr>
      </w:pPr>
      <w:r>
        <w:rPr>
          <w:rFonts w:cs="Arial" w:hint="cs"/>
          <w:rtl/>
        </w:rPr>
        <w:t>ראב"ד</w:t>
      </w:r>
      <w:r w:rsidRPr="00952775">
        <w:rPr>
          <w:rFonts w:cs="Arial"/>
          <w:rtl/>
        </w:rPr>
        <w:t xml:space="preserve"> </w:t>
      </w:r>
      <w:r w:rsidRPr="00A3179D">
        <w:rPr>
          <w:rFonts w:cs="Arial"/>
          <w:sz w:val="16"/>
          <w:szCs w:val="16"/>
          <w:rtl/>
        </w:rPr>
        <w:t>(</w:t>
      </w:r>
      <w:r w:rsidRPr="00A3179D">
        <w:rPr>
          <w:rFonts w:cs="Arial" w:hint="cs"/>
          <w:sz w:val="16"/>
          <w:szCs w:val="16"/>
          <w:rtl/>
        </w:rPr>
        <w:t xml:space="preserve">כ"כ בשמו הכל בו </w:t>
      </w:r>
      <w:r w:rsidRPr="00A3179D">
        <w:rPr>
          <w:rFonts w:cs="Arial"/>
          <w:sz w:val="16"/>
          <w:szCs w:val="16"/>
          <w:rtl/>
        </w:rPr>
        <w:t>סי' לא כז.)</w:t>
      </w:r>
      <w:r>
        <w:rPr>
          <w:rFonts w:cs="Arial" w:hint="cs"/>
          <w:rtl/>
        </w:rPr>
        <w:t>-</w:t>
      </w:r>
      <w:r w:rsidRPr="00952775">
        <w:rPr>
          <w:rFonts w:cs="Arial"/>
          <w:rtl/>
        </w:rPr>
        <w:t xml:space="preserve"> דברים שאין אדם מקפיד עליהם אם יתנועע בתוך החור מותר להכניסן בחורן</w:t>
      </w:r>
      <w:r>
        <w:rPr>
          <w:rFonts w:cs="Arial" w:hint="cs"/>
          <w:rtl/>
        </w:rPr>
        <w:t>.</w:t>
      </w:r>
    </w:p>
    <w:p w14:paraId="28910C1F" w14:textId="6B0EC4BB" w:rsidR="00A3179D" w:rsidRDefault="0052765C" w:rsidP="00434A6A">
      <w:pPr>
        <w:pStyle w:val="aa"/>
        <w:numPr>
          <w:ilvl w:val="0"/>
          <w:numId w:val="15"/>
        </w:numPr>
        <w:rPr>
          <w:rtl/>
        </w:rPr>
      </w:pPr>
      <w:r w:rsidRPr="000C7C03">
        <w:rPr>
          <w:rFonts w:cs="Arial"/>
          <w:rtl/>
        </w:rPr>
        <w:t xml:space="preserve">רשב"א </w:t>
      </w:r>
      <w:r w:rsidRPr="006B0C26">
        <w:rPr>
          <w:rFonts w:cs="Arial"/>
          <w:sz w:val="16"/>
          <w:szCs w:val="16"/>
          <w:rtl/>
        </w:rPr>
        <w:t>(</w:t>
      </w:r>
      <w:r>
        <w:rPr>
          <w:rFonts w:cs="Arial" w:hint="cs"/>
          <w:sz w:val="16"/>
          <w:szCs w:val="16"/>
          <w:rtl/>
        </w:rPr>
        <w:t>לגבי מנורה של פרקים [</w:t>
      </w:r>
      <w:r w:rsidRPr="006B0C26">
        <w:rPr>
          <w:rFonts w:cs="Arial"/>
          <w:sz w:val="16"/>
          <w:szCs w:val="16"/>
          <w:rtl/>
        </w:rPr>
        <w:t>עבודת הקודש בית מועד ש"ג סי' ג</w:t>
      </w:r>
      <w:r>
        <w:rPr>
          <w:rFonts w:cs="Arial" w:hint="cs"/>
          <w:sz w:val="16"/>
          <w:szCs w:val="16"/>
          <w:rtl/>
        </w:rPr>
        <w:t>])</w:t>
      </w:r>
      <w:r>
        <w:rPr>
          <w:rFonts w:cs="Arial" w:hint="cs"/>
          <w:rtl/>
        </w:rPr>
        <w:t xml:space="preserve">- </w:t>
      </w:r>
      <w:r w:rsidRPr="00D80064">
        <w:rPr>
          <w:rFonts w:cs="Arial"/>
          <w:rtl/>
        </w:rPr>
        <w:t>ברפוייה גמורה שהיא אף בשבת זוקפין אותה</w:t>
      </w:r>
      <w:r>
        <w:rPr>
          <w:rFonts w:cs="Arial" w:hint="cs"/>
          <w:rtl/>
        </w:rPr>
        <w:t>.</w:t>
      </w:r>
      <w:r w:rsidR="00A3179D" w:rsidRPr="00952775">
        <w:rPr>
          <w:rFonts w:cs="Arial"/>
          <w:rtl/>
        </w:rPr>
        <w:t xml:space="preserve"> </w:t>
      </w:r>
    </w:p>
    <w:p w14:paraId="1C3239BA" w14:textId="77777777" w:rsidR="002B45A4" w:rsidRPr="00D10A83" w:rsidRDefault="002B45A4" w:rsidP="00434A6A">
      <w:pPr>
        <w:rPr>
          <w:rFonts w:asciiTheme="minorBidi" w:hAnsiTheme="minorBidi"/>
          <w:rtl/>
        </w:rPr>
      </w:pPr>
      <w:r w:rsidRPr="005275DF">
        <w:rPr>
          <w:rFonts w:asciiTheme="minorBidi" w:hAnsiTheme="minorBidi"/>
          <w:b/>
          <w:bCs/>
          <w:sz w:val="32"/>
          <w:szCs w:val="28"/>
          <w:u w:val="single"/>
          <w:rtl/>
        </w:rPr>
        <w:t xml:space="preserve">שו"ע: </w:t>
      </w:r>
    </w:p>
    <w:p w14:paraId="39E57ABA" w14:textId="72BD4350" w:rsidR="008C1C8E" w:rsidRDefault="008C1C8E" w:rsidP="00434A6A">
      <w:pPr>
        <w:rPr>
          <w:rFonts w:asciiTheme="minorBidi" w:hAnsiTheme="minorBidi"/>
          <w:rtl/>
        </w:rPr>
      </w:pPr>
      <w:r w:rsidRPr="005275DF">
        <w:rPr>
          <w:rFonts w:asciiTheme="minorBidi" w:hAnsiTheme="minorBidi"/>
          <w:rtl/>
        </w:rPr>
        <w:t xml:space="preserve">מטה של פרקים אסור להחזירה ולהדקה, ואם תקע חייב חטאת; ואם היא </w:t>
      </w:r>
      <w:r w:rsidR="00952775">
        <w:rPr>
          <w:rFonts w:asciiTheme="minorBidi" w:hAnsiTheme="minorBidi" w:hint="cs"/>
          <w:sz w:val="18"/>
          <w:szCs w:val="18"/>
          <w:rtl/>
        </w:rPr>
        <w:t xml:space="preserve">[הגה] </w:t>
      </w:r>
      <w:r w:rsidRPr="00EA1647">
        <w:rPr>
          <w:rFonts w:asciiTheme="minorBidi" w:hAnsiTheme="minorBidi"/>
          <w:sz w:val="18"/>
          <w:szCs w:val="18"/>
          <w:rtl/>
        </w:rPr>
        <w:t>דרכה להיות</w:t>
      </w:r>
      <w:r w:rsidR="00CC5AA7">
        <w:rPr>
          <w:rFonts w:asciiTheme="minorBidi" w:hAnsiTheme="minorBidi" w:hint="cs"/>
          <w:sz w:val="18"/>
          <w:szCs w:val="18"/>
          <w:rtl/>
        </w:rPr>
        <w:t>,</w:t>
      </w:r>
      <w:r w:rsidRPr="00EA1647">
        <w:rPr>
          <w:rFonts w:asciiTheme="minorBidi" w:hAnsiTheme="minorBidi"/>
          <w:sz w:val="18"/>
          <w:szCs w:val="18"/>
          <w:rtl/>
        </w:rPr>
        <w:t xml:space="preserve"> </w:t>
      </w:r>
      <w:r w:rsidRPr="005275DF">
        <w:rPr>
          <w:rFonts w:asciiTheme="minorBidi" w:hAnsiTheme="minorBidi"/>
          <w:rtl/>
        </w:rPr>
        <w:t>רפויה, מותר לכתחלה</w:t>
      </w:r>
      <w:r w:rsidR="006B0C26">
        <w:rPr>
          <w:rFonts w:asciiTheme="minorBidi" w:hAnsiTheme="minorBidi" w:hint="cs"/>
          <w:rtl/>
        </w:rPr>
        <w:t>.</w:t>
      </w:r>
      <w:r w:rsidR="00EA1647">
        <w:rPr>
          <w:rFonts w:asciiTheme="minorBidi" w:hAnsiTheme="minorBidi" w:hint="cs"/>
          <w:sz w:val="18"/>
          <w:szCs w:val="18"/>
          <w:rtl/>
        </w:rPr>
        <w:t xml:space="preserve"> </w:t>
      </w:r>
      <w:r w:rsidR="00952775">
        <w:rPr>
          <w:rFonts w:asciiTheme="minorBidi" w:hAnsiTheme="minorBidi" w:hint="cs"/>
          <w:sz w:val="18"/>
          <w:szCs w:val="18"/>
          <w:rtl/>
        </w:rPr>
        <w:t xml:space="preserve">[הגה] </w:t>
      </w:r>
      <w:r w:rsidRPr="00EA1647">
        <w:rPr>
          <w:rFonts w:asciiTheme="minorBidi" w:hAnsiTheme="minorBidi"/>
          <w:sz w:val="18"/>
          <w:szCs w:val="18"/>
          <w:rtl/>
        </w:rPr>
        <w:t>ובלבד שלא יהדק</w:t>
      </w:r>
      <w:r w:rsidRPr="005275DF">
        <w:rPr>
          <w:rFonts w:asciiTheme="minorBidi" w:hAnsiTheme="minorBidi"/>
          <w:rtl/>
        </w:rPr>
        <w:t xml:space="preserve">. וכוס של פרקים, מותר לפרקו ולהחזירו בשבת. ויש מי שאומר שדין הכוס כדין המטה. </w:t>
      </w:r>
      <w:r w:rsidRPr="00EA1647">
        <w:rPr>
          <w:rFonts w:asciiTheme="minorBidi" w:hAnsiTheme="minorBidi"/>
          <w:sz w:val="18"/>
          <w:szCs w:val="18"/>
          <w:rtl/>
        </w:rPr>
        <w:t>הגה: ואם דרכו להיות מהודק אע</w:t>
      </w:r>
      <w:r w:rsidR="006B0C26">
        <w:rPr>
          <w:rFonts w:asciiTheme="minorBidi" w:hAnsiTheme="minorBidi" w:hint="cs"/>
          <w:sz w:val="18"/>
          <w:szCs w:val="18"/>
          <w:rtl/>
        </w:rPr>
        <w:t>"</w:t>
      </w:r>
      <w:r w:rsidRPr="00EA1647">
        <w:rPr>
          <w:rFonts w:asciiTheme="minorBidi" w:hAnsiTheme="minorBidi"/>
          <w:sz w:val="18"/>
          <w:szCs w:val="18"/>
          <w:rtl/>
        </w:rPr>
        <w:t>ג דעכשיו רפוי, אסור (</w:t>
      </w:r>
      <w:r w:rsidR="00F0319B">
        <w:rPr>
          <w:rFonts w:asciiTheme="minorBidi" w:hAnsiTheme="minorBidi" w:hint="cs"/>
          <w:sz w:val="18"/>
          <w:szCs w:val="18"/>
          <w:rtl/>
        </w:rPr>
        <w:t xml:space="preserve">ב"י בשם </w:t>
      </w:r>
      <w:r w:rsidR="00952775">
        <w:rPr>
          <w:rFonts w:asciiTheme="minorBidi" w:hAnsiTheme="minorBidi" w:hint="cs"/>
          <w:sz w:val="18"/>
          <w:szCs w:val="18"/>
          <w:rtl/>
        </w:rPr>
        <w:t xml:space="preserve">רמב"ם </w:t>
      </w:r>
      <w:r w:rsidRPr="00EA1647">
        <w:rPr>
          <w:rFonts w:asciiTheme="minorBidi" w:hAnsiTheme="minorBidi"/>
          <w:sz w:val="18"/>
          <w:szCs w:val="18"/>
          <w:rtl/>
        </w:rPr>
        <w:t>הג</w:t>
      </w:r>
      <w:r w:rsidR="00EA1647">
        <w:rPr>
          <w:rFonts w:asciiTheme="minorBidi" w:hAnsiTheme="minorBidi" w:hint="cs"/>
          <w:sz w:val="18"/>
          <w:szCs w:val="18"/>
          <w:rtl/>
        </w:rPr>
        <w:t>"</w:t>
      </w:r>
      <w:r w:rsidRPr="00EA1647">
        <w:rPr>
          <w:rFonts w:asciiTheme="minorBidi" w:hAnsiTheme="minorBidi"/>
          <w:sz w:val="18"/>
          <w:szCs w:val="18"/>
          <w:rtl/>
        </w:rPr>
        <w:t>א כל בו</w:t>
      </w:r>
      <w:r w:rsidR="00952775">
        <w:rPr>
          <w:rFonts w:asciiTheme="minorBidi" w:hAnsiTheme="minorBidi" w:hint="cs"/>
          <w:sz w:val="18"/>
          <w:szCs w:val="18"/>
          <w:rtl/>
        </w:rPr>
        <w:t xml:space="preserve"> וטור</w:t>
      </w:r>
      <w:r w:rsidRPr="00EA1647">
        <w:rPr>
          <w:rFonts w:asciiTheme="minorBidi" w:hAnsiTheme="minorBidi"/>
          <w:sz w:val="18"/>
          <w:szCs w:val="18"/>
          <w:rtl/>
        </w:rPr>
        <w:t>).</w:t>
      </w:r>
      <w:r w:rsidRPr="005275DF">
        <w:rPr>
          <w:rFonts w:asciiTheme="minorBidi" w:hAnsiTheme="minorBidi"/>
          <w:rtl/>
        </w:rPr>
        <w:t xml:space="preserve"> </w:t>
      </w:r>
    </w:p>
    <w:p w14:paraId="7D64614F" w14:textId="77777777" w:rsidR="00EA1647" w:rsidRPr="005275DF" w:rsidRDefault="00EA1647" w:rsidP="00434A6A">
      <w:pPr>
        <w:rPr>
          <w:rFonts w:asciiTheme="minorBidi" w:hAnsiTheme="minorBidi"/>
          <w:rtl/>
        </w:rPr>
      </w:pPr>
    </w:p>
    <w:p w14:paraId="33A1F60E" w14:textId="609DA5F3" w:rsidR="008C1C8E" w:rsidRDefault="008C1C8E" w:rsidP="00434A6A">
      <w:pPr>
        <w:pStyle w:val="2"/>
        <w:rPr>
          <w:rtl/>
        </w:rPr>
      </w:pPr>
      <w:r w:rsidRPr="005275DF">
        <w:rPr>
          <w:rtl/>
        </w:rPr>
        <w:t>סעיף ז</w:t>
      </w:r>
      <w:r w:rsidR="00CC5AA7">
        <w:rPr>
          <w:rFonts w:hint="cs"/>
          <w:rtl/>
        </w:rPr>
        <w:t xml:space="preserve">: </w:t>
      </w:r>
      <w:r w:rsidR="00FF198F">
        <w:rPr>
          <w:rFonts w:hint="cs"/>
          <w:rtl/>
        </w:rPr>
        <w:t>קורה שנשברה.</w:t>
      </w:r>
    </w:p>
    <w:p w14:paraId="1AF4447B" w14:textId="2018945A" w:rsidR="00FF198F" w:rsidRDefault="002601AF" w:rsidP="00434A6A">
      <w:pPr>
        <w:rPr>
          <w:rtl/>
        </w:rPr>
      </w:pPr>
      <w:r w:rsidRPr="002601AF">
        <w:rPr>
          <w:rFonts w:hint="cs"/>
          <w:b/>
          <w:bCs/>
          <w:rtl/>
        </w:rPr>
        <w:t xml:space="preserve">שבת </w:t>
      </w:r>
      <w:r w:rsidRPr="002601AF">
        <w:rPr>
          <w:rFonts w:hint="cs"/>
          <w:b/>
          <w:bCs/>
          <w:sz w:val="16"/>
          <w:szCs w:val="16"/>
          <w:rtl/>
        </w:rPr>
        <w:t xml:space="preserve">(ס"פ שואל) </w:t>
      </w:r>
      <w:r w:rsidRPr="002601AF">
        <w:rPr>
          <w:rFonts w:hint="cs"/>
          <w:b/>
          <w:bCs/>
          <w:rtl/>
        </w:rPr>
        <w:t>קנא ע"ב:</w:t>
      </w:r>
      <w:r>
        <w:rPr>
          <w:rFonts w:hint="cs"/>
          <w:rtl/>
        </w:rPr>
        <w:t xml:space="preserve"> </w:t>
      </w:r>
      <w:r w:rsidRPr="002601AF">
        <w:rPr>
          <w:rFonts w:hint="cs"/>
          <w:u w:val="double"/>
          <w:rtl/>
        </w:rPr>
        <w:t>משנה</w:t>
      </w:r>
      <w:r>
        <w:rPr>
          <w:rFonts w:hint="cs"/>
          <w:rtl/>
        </w:rPr>
        <w:t xml:space="preserve">:... </w:t>
      </w:r>
      <w:r w:rsidRPr="002601AF">
        <w:rPr>
          <w:rFonts w:cs="Arial"/>
          <w:rtl/>
        </w:rPr>
        <w:t>וכן קורה שנשברה - סומכין אותה בספסל או בארוכות המטה, לא שתעלה אלא שלא תוסיף.</w:t>
      </w:r>
    </w:p>
    <w:p w14:paraId="6A0015BD" w14:textId="789DCEAA" w:rsidR="002601AF" w:rsidRPr="00FF198F" w:rsidRDefault="002601AF" w:rsidP="00434A6A">
      <w:pPr>
        <w:rPr>
          <w:rtl/>
        </w:rPr>
      </w:pPr>
      <w:r w:rsidRPr="002601AF">
        <w:rPr>
          <w:rFonts w:hint="cs"/>
          <w:b/>
          <w:bCs/>
          <w:rtl/>
        </w:rPr>
        <w:t xml:space="preserve">שבת </w:t>
      </w:r>
      <w:r w:rsidRPr="002601AF">
        <w:rPr>
          <w:rFonts w:hint="cs"/>
          <w:b/>
          <w:bCs/>
          <w:sz w:val="16"/>
          <w:szCs w:val="16"/>
          <w:rtl/>
        </w:rPr>
        <w:t>(פ</w:t>
      </w:r>
      <w:r>
        <w:rPr>
          <w:rFonts w:hint="cs"/>
          <w:b/>
          <w:bCs/>
          <w:sz w:val="16"/>
          <w:szCs w:val="16"/>
          <w:rtl/>
        </w:rPr>
        <w:t>'</w:t>
      </w:r>
      <w:r w:rsidRPr="002601AF">
        <w:rPr>
          <w:rFonts w:hint="cs"/>
          <w:b/>
          <w:bCs/>
          <w:sz w:val="16"/>
          <w:szCs w:val="16"/>
          <w:rtl/>
        </w:rPr>
        <w:t xml:space="preserve"> </w:t>
      </w:r>
      <w:r>
        <w:rPr>
          <w:rFonts w:hint="cs"/>
          <w:b/>
          <w:bCs/>
          <w:sz w:val="16"/>
          <w:szCs w:val="16"/>
          <w:rtl/>
        </w:rPr>
        <w:t>כירה</w:t>
      </w:r>
      <w:r w:rsidRPr="002601AF">
        <w:rPr>
          <w:rFonts w:hint="cs"/>
          <w:b/>
          <w:bCs/>
          <w:sz w:val="16"/>
          <w:szCs w:val="16"/>
          <w:rtl/>
        </w:rPr>
        <w:t xml:space="preserve">) </w:t>
      </w:r>
      <w:r>
        <w:rPr>
          <w:rFonts w:hint="cs"/>
          <w:b/>
          <w:bCs/>
          <w:rtl/>
        </w:rPr>
        <w:t>מג</w:t>
      </w:r>
      <w:r w:rsidRPr="002601AF">
        <w:rPr>
          <w:rFonts w:hint="cs"/>
          <w:b/>
          <w:bCs/>
          <w:rtl/>
        </w:rPr>
        <w:t xml:space="preserve"> ע"</w:t>
      </w:r>
      <w:r>
        <w:rPr>
          <w:rFonts w:hint="cs"/>
          <w:b/>
          <w:bCs/>
          <w:rtl/>
        </w:rPr>
        <w:t>א</w:t>
      </w:r>
      <w:r w:rsidRPr="002601AF">
        <w:rPr>
          <w:rFonts w:hint="cs"/>
          <w:b/>
          <w:bCs/>
          <w:rtl/>
        </w:rPr>
        <w:t>:</w:t>
      </w:r>
      <w:r>
        <w:rPr>
          <w:rFonts w:hint="cs"/>
          <w:rtl/>
        </w:rPr>
        <w:t xml:space="preserve"> </w:t>
      </w:r>
      <w:r w:rsidRPr="002601AF">
        <w:rPr>
          <w:rFonts w:cs="Arial"/>
          <w:u w:val="single"/>
          <w:rtl/>
        </w:rPr>
        <w:t>רב יוסף אמר</w:t>
      </w:r>
      <w:r w:rsidRPr="002601AF">
        <w:rPr>
          <w:rFonts w:cs="Arial"/>
          <w:rtl/>
        </w:rPr>
        <w:t xml:space="preserve">: היינו טעמא דרב חסדא - משום דקא מבטל כלי מהיכנו. </w:t>
      </w:r>
      <w:r w:rsidRPr="002601AF">
        <w:rPr>
          <w:rFonts w:cs="Arial"/>
          <w:u w:val="single"/>
          <w:rtl/>
        </w:rPr>
        <w:t>איתיביה אביי</w:t>
      </w:r>
      <w:r w:rsidRPr="002601AF">
        <w:rPr>
          <w:rFonts w:cs="Arial"/>
          <w:rtl/>
        </w:rPr>
        <w:t>:</w:t>
      </w:r>
      <w:r>
        <w:rPr>
          <w:rFonts w:cs="Arial" w:hint="cs"/>
          <w:rtl/>
        </w:rPr>
        <w:t>...</w:t>
      </w:r>
      <w:r w:rsidRPr="002601AF">
        <w:rPr>
          <w:rFonts w:cs="Arial"/>
          <w:rtl/>
        </w:rPr>
        <w:t xml:space="preserve"> וכן קורה</w:t>
      </w:r>
      <w:r>
        <w:rPr>
          <w:rStyle w:val="a9"/>
          <w:rFonts w:cs="Arial"/>
          <w:rtl/>
        </w:rPr>
        <w:footnoteReference w:id="2128"/>
      </w:r>
      <w:r w:rsidRPr="002601AF">
        <w:rPr>
          <w:rFonts w:cs="Arial"/>
          <w:rtl/>
        </w:rPr>
        <w:t xml:space="preserve"> שנשברה סומכין אותה בספסל או בארוכות המטה! דרפי, דאי בעי - שקיל ליה.</w:t>
      </w:r>
      <w:r w:rsidRPr="002601AF">
        <w:rPr>
          <w:rFonts w:cs="Arial" w:hint="cs"/>
          <w:sz w:val="16"/>
          <w:szCs w:val="16"/>
          <w:rtl/>
        </w:rPr>
        <w:t xml:space="preserve"> (</w:t>
      </w:r>
      <w:r w:rsidRPr="002601AF">
        <w:rPr>
          <w:rFonts w:cs="Arial"/>
          <w:sz w:val="16"/>
          <w:szCs w:val="16"/>
          <w:rtl/>
        </w:rPr>
        <w:t>וכתבו הרמב"ם בפרק כ"ה (הכ"ה)</w:t>
      </w:r>
      <w:r>
        <w:rPr>
          <w:rFonts w:cs="Arial" w:hint="cs"/>
          <w:sz w:val="16"/>
          <w:szCs w:val="16"/>
          <w:rtl/>
        </w:rPr>
        <w:t>, ב"י)</w:t>
      </w:r>
    </w:p>
    <w:p w14:paraId="4552ADB6" w14:textId="75ED5B50" w:rsidR="00CC5AA7" w:rsidRPr="00FF198F" w:rsidRDefault="00FF198F" w:rsidP="00434A6A">
      <w:pPr>
        <w:rPr>
          <w:u w:val="single"/>
          <w:rtl/>
        </w:rPr>
      </w:pPr>
      <w:r w:rsidRPr="00FF198F">
        <w:rPr>
          <w:rFonts w:hint="cs"/>
          <w:u w:val="single"/>
          <w:rtl/>
        </w:rPr>
        <w:t xml:space="preserve">קורה שנשברה </w:t>
      </w:r>
      <w:r w:rsidRPr="00FF198F">
        <w:rPr>
          <w:u w:val="single"/>
          <w:rtl/>
        </w:rPr>
        <w:t>–</w:t>
      </w:r>
      <w:r w:rsidRPr="00FF198F">
        <w:rPr>
          <w:rFonts w:hint="cs"/>
          <w:u w:val="single"/>
          <w:rtl/>
        </w:rPr>
        <w:t xml:space="preserve"> האם מותר לסומכה בארוכות המטה:</w:t>
      </w:r>
    </w:p>
    <w:p w14:paraId="793AF293" w14:textId="7ECF9889" w:rsidR="00CC5AA7" w:rsidRPr="00D22DC5" w:rsidRDefault="00D22DC5" w:rsidP="00434A6A">
      <w:pPr>
        <w:pStyle w:val="aa"/>
        <w:numPr>
          <w:ilvl w:val="0"/>
          <w:numId w:val="15"/>
        </w:numPr>
        <w:rPr>
          <w:rtl/>
        </w:rPr>
      </w:pPr>
      <w:r>
        <w:rPr>
          <w:rFonts w:cs="Arial" w:hint="cs"/>
          <w:rtl/>
        </w:rPr>
        <w:t xml:space="preserve">טור- </w:t>
      </w:r>
      <w:r>
        <w:rPr>
          <w:rFonts w:cs="Arial"/>
          <w:rtl/>
        </w:rPr>
        <w:t>קורה שנשברה מותר לסומכה בארוכות המטה שהן כלי כדי שלא תרד יותר אבל לא כדי שתעלה</w:t>
      </w:r>
      <w:r w:rsidR="00FF198F">
        <w:rPr>
          <w:rFonts w:cs="Arial" w:hint="cs"/>
          <w:rtl/>
        </w:rPr>
        <w:t>,</w:t>
      </w:r>
      <w:r>
        <w:rPr>
          <w:rFonts w:cs="Arial"/>
          <w:rtl/>
        </w:rPr>
        <w:t xml:space="preserve"> דא"כ הוה ליה בונה</w:t>
      </w:r>
      <w:r w:rsidR="00FF198F">
        <w:rPr>
          <w:rFonts w:cs="Arial" w:hint="cs"/>
          <w:rtl/>
        </w:rPr>
        <w:t>.</w:t>
      </w:r>
      <w:r>
        <w:rPr>
          <w:rFonts w:cs="Arial"/>
          <w:rtl/>
        </w:rPr>
        <w:t xml:space="preserve"> והוא שיהו רפוין שיכול ליטלם כשירצה אבל אם מהדקם שם אסור</w:t>
      </w:r>
      <w:r w:rsidR="00FF198F">
        <w:rPr>
          <w:rFonts w:cs="Arial" w:hint="cs"/>
          <w:rtl/>
        </w:rPr>
        <w:t>.</w:t>
      </w:r>
      <w:r w:rsidR="002601AF">
        <w:rPr>
          <w:rFonts w:hint="cs"/>
          <w:rtl/>
        </w:rPr>
        <w:t xml:space="preserve"> </w:t>
      </w:r>
      <w:r w:rsidR="002601AF" w:rsidRPr="002601AF">
        <w:rPr>
          <w:rFonts w:hint="cs"/>
          <w:color w:val="E36C0A" w:themeColor="accent6" w:themeShade="BF"/>
          <w:rtl/>
        </w:rPr>
        <w:t>(וכ"פ בשו"ע)</w:t>
      </w:r>
    </w:p>
    <w:p w14:paraId="4DDD5EDC" w14:textId="77777777" w:rsidR="002B45A4" w:rsidRPr="00D10A83" w:rsidRDefault="002B45A4" w:rsidP="00434A6A">
      <w:pPr>
        <w:rPr>
          <w:rFonts w:asciiTheme="minorBidi" w:hAnsiTheme="minorBidi"/>
          <w:rtl/>
        </w:rPr>
      </w:pPr>
      <w:r w:rsidRPr="005275DF">
        <w:rPr>
          <w:rFonts w:asciiTheme="minorBidi" w:hAnsiTheme="minorBidi"/>
          <w:b/>
          <w:bCs/>
          <w:sz w:val="32"/>
          <w:szCs w:val="28"/>
          <w:u w:val="single"/>
          <w:rtl/>
        </w:rPr>
        <w:t xml:space="preserve">שו"ע: </w:t>
      </w:r>
    </w:p>
    <w:p w14:paraId="676951AC" w14:textId="389D9BC0" w:rsidR="008C1C8E" w:rsidRDefault="008C1C8E" w:rsidP="00434A6A">
      <w:pPr>
        <w:rPr>
          <w:rFonts w:asciiTheme="minorBidi" w:hAnsiTheme="minorBidi"/>
          <w:rtl/>
        </w:rPr>
      </w:pPr>
      <w:r w:rsidRPr="005275DF">
        <w:rPr>
          <w:rFonts w:asciiTheme="minorBidi" w:hAnsiTheme="minorBidi"/>
          <w:rtl/>
        </w:rPr>
        <w:t>קורה שנשברה, מותר לסמכה בארוכות המטה שהם כלי</w:t>
      </w:r>
      <w:r w:rsidR="002601AF">
        <w:rPr>
          <w:rStyle w:val="a9"/>
          <w:rFonts w:asciiTheme="minorBidi" w:hAnsiTheme="minorBidi"/>
          <w:rtl/>
        </w:rPr>
        <w:footnoteReference w:id="2129"/>
      </w:r>
      <w:r w:rsidRPr="005275DF">
        <w:rPr>
          <w:rFonts w:asciiTheme="minorBidi" w:hAnsiTheme="minorBidi"/>
          <w:rtl/>
        </w:rPr>
        <w:t xml:space="preserve"> לא כדי שתעלה, דא</w:t>
      </w:r>
      <w:r w:rsidR="00CC5AA7">
        <w:rPr>
          <w:rFonts w:asciiTheme="minorBidi" w:hAnsiTheme="minorBidi" w:hint="cs"/>
          <w:rtl/>
        </w:rPr>
        <w:t xml:space="preserve">ם </w:t>
      </w:r>
      <w:r w:rsidRPr="005275DF">
        <w:rPr>
          <w:rFonts w:asciiTheme="minorBidi" w:hAnsiTheme="minorBidi"/>
          <w:rtl/>
        </w:rPr>
        <w:t>כ</w:t>
      </w:r>
      <w:r w:rsidR="00CC5AA7">
        <w:rPr>
          <w:rFonts w:asciiTheme="minorBidi" w:hAnsiTheme="minorBidi" w:hint="cs"/>
          <w:rtl/>
        </w:rPr>
        <w:t>ן</w:t>
      </w:r>
      <w:r w:rsidRPr="005275DF">
        <w:rPr>
          <w:rFonts w:asciiTheme="minorBidi" w:hAnsiTheme="minorBidi"/>
          <w:rtl/>
        </w:rPr>
        <w:t xml:space="preserve"> הוי ליה בונה, אלא כדי שלא תרד יותר</w:t>
      </w:r>
      <w:r w:rsidR="00780B4D">
        <w:rPr>
          <w:rFonts w:asciiTheme="minorBidi" w:hAnsiTheme="minorBidi" w:hint="cs"/>
          <w:rtl/>
        </w:rPr>
        <w:t>.</w:t>
      </w:r>
      <w:r w:rsidRPr="005275DF">
        <w:rPr>
          <w:rFonts w:asciiTheme="minorBidi" w:hAnsiTheme="minorBidi"/>
          <w:rtl/>
        </w:rPr>
        <w:t xml:space="preserve"> והוא שיהיו רפויים, שיכול ליטלם כשירצה</w:t>
      </w:r>
      <w:r w:rsidR="00780B4D">
        <w:rPr>
          <w:rFonts w:asciiTheme="minorBidi" w:hAnsiTheme="minorBidi" w:hint="cs"/>
          <w:rtl/>
        </w:rPr>
        <w:t>.</w:t>
      </w:r>
      <w:r w:rsidRPr="005275DF">
        <w:rPr>
          <w:rFonts w:asciiTheme="minorBidi" w:hAnsiTheme="minorBidi"/>
          <w:rtl/>
        </w:rPr>
        <w:t xml:space="preserve"> אבל אם מהדקם שם, אסור. </w:t>
      </w:r>
    </w:p>
    <w:p w14:paraId="6D74A6A2" w14:textId="77777777" w:rsidR="00CC5AA7" w:rsidRPr="005275DF" w:rsidRDefault="00CC5AA7" w:rsidP="00434A6A">
      <w:pPr>
        <w:rPr>
          <w:rFonts w:asciiTheme="minorBidi" w:hAnsiTheme="minorBidi"/>
          <w:rtl/>
        </w:rPr>
      </w:pPr>
    </w:p>
    <w:p w14:paraId="4E6F247A" w14:textId="7123A592" w:rsidR="008C1C8E" w:rsidRDefault="008C1C8E" w:rsidP="00434A6A">
      <w:pPr>
        <w:pStyle w:val="2"/>
        <w:rPr>
          <w:rtl/>
        </w:rPr>
      </w:pPr>
      <w:r w:rsidRPr="005275DF">
        <w:rPr>
          <w:rtl/>
        </w:rPr>
        <w:t>סעיף ח</w:t>
      </w:r>
      <w:r w:rsidR="002601AF">
        <w:rPr>
          <w:rFonts w:hint="cs"/>
          <w:rtl/>
        </w:rPr>
        <w:t xml:space="preserve">: </w:t>
      </w:r>
      <w:r w:rsidR="00780B4D" w:rsidRPr="00780B4D">
        <w:rPr>
          <w:rFonts w:hint="cs"/>
          <w:rtl/>
        </w:rPr>
        <w:t>ספסל שנשמט אחד מירכותיו</w:t>
      </w:r>
      <w:r w:rsidR="00780B4D">
        <w:rPr>
          <w:rFonts w:hint="cs"/>
          <w:rtl/>
        </w:rPr>
        <w:t>.</w:t>
      </w:r>
    </w:p>
    <w:p w14:paraId="6F77F0AA" w14:textId="04536DD7" w:rsidR="00780B4D" w:rsidRPr="00E40B3E" w:rsidRDefault="00780B4D" w:rsidP="00434A6A">
      <w:pPr>
        <w:rPr>
          <w:rFonts w:cs="Arial"/>
          <w:u w:val="single"/>
        </w:rPr>
      </w:pPr>
      <w:r w:rsidRPr="00780B4D">
        <w:rPr>
          <w:rFonts w:cs="Arial" w:hint="cs"/>
          <w:u w:val="single"/>
          <w:rtl/>
        </w:rPr>
        <w:t>ספסל שנשמט אחד מירכותיו</w:t>
      </w:r>
      <w:r w:rsidRPr="00E40B3E">
        <w:rPr>
          <w:rFonts w:cs="Arial" w:hint="cs"/>
          <w:u w:val="single"/>
          <w:rtl/>
        </w:rPr>
        <w:t>:</w:t>
      </w:r>
    </w:p>
    <w:p w14:paraId="6758992D" w14:textId="089DCC69" w:rsidR="00780B4D" w:rsidRPr="00F529CD" w:rsidRDefault="00780B4D" w:rsidP="00434A6A">
      <w:pPr>
        <w:pStyle w:val="aa"/>
        <w:numPr>
          <w:ilvl w:val="0"/>
          <w:numId w:val="3"/>
        </w:numPr>
        <w:rPr>
          <w:rFonts w:cs="Arial"/>
          <w:rtl/>
        </w:rPr>
      </w:pPr>
      <w:r w:rsidRPr="00487EF5">
        <w:rPr>
          <w:rFonts w:cs="Arial"/>
          <w:rtl/>
        </w:rPr>
        <w:t>תרוה</w:t>
      </w:r>
      <w:r>
        <w:rPr>
          <w:rFonts w:cs="Arial" w:hint="cs"/>
          <w:rtl/>
        </w:rPr>
        <w:t>"</w:t>
      </w:r>
      <w:r w:rsidRPr="00487EF5">
        <w:rPr>
          <w:rFonts w:cs="Arial"/>
          <w:rtl/>
        </w:rPr>
        <w:t>ד</w:t>
      </w:r>
      <w:r w:rsidRPr="00E40B3E">
        <w:rPr>
          <w:rFonts w:cs="Arial"/>
          <w:sz w:val="16"/>
          <w:szCs w:val="16"/>
          <w:rtl/>
        </w:rPr>
        <w:t xml:space="preserve"> </w:t>
      </w:r>
      <w:r w:rsidRPr="00E40B3E">
        <w:rPr>
          <w:rFonts w:cs="Arial" w:hint="cs"/>
          <w:sz w:val="16"/>
          <w:szCs w:val="16"/>
          <w:rtl/>
        </w:rPr>
        <w:t>(</w:t>
      </w:r>
      <w:r w:rsidRPr="00E40B3E">
        <w:rPr>
          <w:rFonts w:cs="Arial"/>
          <w:sz w:val="16"/>
          <w:szCs w:val="16"/>
          <w:rtl/>
        </w:rPr>
        <w:t>סי</w:t>
      </w:r>
      <w:r w:rsidRPr="00E40B3E">
        <w:rPr>
          <w:rFonts w:cs="Arial" w:hint="cs"/>
          <w:sz w:val="16"/>
          <w:szCs w:val="16"/>
          <w:rtl/>
        </w:rPr>
        <w:t>'</w:t>
      </w:r>
      <w:r w:rsidRPr="00E40B3E">
        <w:rPr>
          <w:rFonts w:cs="Arial"/>
          <w:sz w:val="16"/>
          <w:szCs w:val="16"/>
          <w:rtl/>
        </w:rPr>
        <w:t xml:space="preserve"> עא</w:t>
      </w:r>
      <w:r w:rsidRPr="00E40B3E">
        <w:rPr>
          <w:rFonts w:cs="Arial" w:hint="cs"/>
          <w:sz w:val="16"/>
          <w:szCs w:val="16"/>
          <w:rtl/>
        </w:rPr>
        <w:t>)</w:t>
      </w:r>
      <w:r>
        <w:rPr>
          <w:rFonts w:cs="Arial" w:hint="cs"/>
          <w:rtl/>
        </w:rPr>
        <w:t>-</w:t>
      </w:r>
      <w:r w:rsidRPr="00487EF5">
        <w:rPr>
          <w:rFonts w:cs="Arial"/>
          <w:rtl/>
        </w:rPr>
        <w:t xml:space="preserve"> </w:t>
      </w:r>
      <w:r w:rsidRPr="00F529CD">
        <w:rPr>
          <w:rFonts w:cs="Arial"/>
          <w:rtl/>
        </w:rPr>
        <w:t>שאלה: ספסל ארוך שנשמט</w:t>
      </w:r>
      <w:r w:rsidRPr="00F529CD">
        <w:rPr>
          <w:rFonts w:cs="Arial" w:hint="cs"/>
          <w:rtl/>
        </w:rPr>
        <w:t>ה</w:t>
      </w:r>
      <w:r w:rsidRPr="00F529CD">
        <w:rPr>
          <w:rFonts w:cs="Arial"/>
          <w:rtl/>
        </w:rPr>
        <w:t xml:space="preserve"> אחת מרגליו, שרי לטלטלו ולהניחו בראשו באותו צד שנשמט הרגל על ספסל אחר או לאו? </w:t>
      </w:r>
      <w:r w:rsidRPr="00F529CD">
        <w:rPr>
          <w:rFonts w:cs="Arial" w:hint="cs"/>
          <w:rtl/>
        </w:rPr>
        <w:t xml:space="preserve">   </w:t>
      </w:r>
      <w:r w:rsidRPr="00F529CD">
        <w:rPr>
          <w:rFonts w:cs="Arial"/>
          <w:rtl/>
        </w:rPr>
        <w:t xml:space="preserve">תשובה: יראה דיש להסתפק בדבר. וכן ראיתי כתוב על שם אחד מהגדולים שאסור. והביא ראיה מפ' תולין </w:t>
      </w:r>
      <w:r w:rsidRPr="00F529CD">
        <w:rPr>
          <w:rFonts w:cs="Arial" w:hint="cs"/>
          <w:rtl/>
        </w:rPr>
        <w:t>(</w:t>
      </w:r>
      <w:r w:rsidRPr="00F529CD">
        <w:rPr>
          <w:rFonts w:cs="Arial"/>
          <w:rtl/>
        </w:rPr>
        <w:t xml:space="preserve">שבת </w:t>
      </w:r>
      <w:r w:rsidRPr="00F529CD">
        <w:rPr>
          <w:rFonts w:cs="Arial" w:hint="cs"/>
          <w:rtl/>
        </w:rPr>
        <w:t>קלח:)</w:t>
      </w:r>
      <w:r>
        <w:rPr>
          <w:rFonts w:cs="Arial" w:hint="cs"/>
          <w:rtl/>
        </w:rPr>
        <w:t xml:space="preserve"> </w:t>
      </w:r>
      <w:r w:rsidRPr="00F529CD">
        <w:rPr>
          <w:rFonts w:cs="Arial"/>
          <w:rtl/>
        </w:rPr>
        <w:t xml:space="preserve">כירה שנשמטה מירכותיה אסור לטלטל, גזירה שמא יתקע, והיינו הך ממש. אמנם היה נראה לחלק, דהתם לא מצי להושיבה בלא הירך שנפלה, ולכך גזרינן. אבל כאן אפשר להניח על ספסל אחר, ולא גזרינן דלמא יתקע. אך מדמחלק </w:t>
      </w:r>
      <w:r w:rsidRPr="00F529CD">
        <w:rPr>
          <w:rFonts w:cs="Arial" w:hint="cs"/>
          <w:sz w:val="16"/>
          <w:szCs w:val="16"/>
          <w:rtl/>
        </w:rPr>
        <w:t>{</w:t>
      </w:r>
      <w:r>
        <w:rPr>
          <w:rFonts w:cs="Arial" w:hint="cs"/>
          <w:sz w:val="16"/>
          <w:szCs w:val="16"/>
          <w:rtl/>
        </w:rPr>
        <w:t>בגמ'</w:t>
      </w:r>
      <w:r w:rsidRPr="00F529CD">
        <w:rPr>
          <w:rFonts w:cs="Arial" w:hint="cs"/>
          <w:sz w:val="16"/>
          <w:szCs w:val="16"/>
          <w:rtl/>
        </w:rPr>
        <w:t xml:space="preserve">} </w:t>
      </w:r>
      <w:r w:rsidRPr="00F529CD">
        <w:rPr>
          <w:rFonts w:cs="Arial"/>
          <w:rtl/>
        </w:rPr>
        <w:t>בתחלה התם בין אחת לשתים, משמע נמי דאחת אכתי חזי על ידי סמיכה, ואפ"ה מסקינן לאיסור</w:t>
      </w:r>
      <w:r w:rsidRPr="00F529CD">
        <w:rPr>
          <w:rFonts w:cs="Arial" w:hint="cs"/>
          <w:rtl/>
        </w:rPr>
        <w:t>.</w:t>
      </w:r>
      <w:r w:rsidRPr="00F529CD">
        <w:rPr>
          <w:rFonts w:cs="Arial"/>
          <w:rtl/>
        </w:rPr>
        <w:t xml:space="preserve"> והמחמיר תבא עליו ברכה, וכן ראוי הוא להחמיר</w:t>
      </w:r>
      <w:r>
        <w:rPr>
          <w:rStyle w:val="a9"/>
          <w:rFonts w:cs="Arial"/>
          <w:rtl/>
        </w:rPr>
        <w:footnoteReference w:id="2130"/>
      </w:r>
      <w:r w:rsidRPr="00F529CD">
        <w:rPr>
          <w:rFonts w:cs="Arial" w:hint="cs"/>
          <w:rtl/>
        </w:rPr>
        <w:t>.</w:t>
      </w:r>
      <w:r>
        <w:rPr>
          <w:rFonts w:cs="Arial" w:hint="cs"/>
          <w:rtl/>
        </w:rPr>
        <w:t xml:space="preserve"> </w:t>
      </w:r>
      <w:r w:rsidRPr="00951437">
        <w:rPr>
          <w:rFonts w:cs="Arial" w:hint="cs"/>
          <w:color w:val="00B0F0"/>
          <w:rtl/>
        </w:rPr>
        <w:t>(וכ"פ הרמ"א</w:t>
      </w:r>
      <w:r>
        <w:rPr>
          <w:rFonts w:cs="Arial" w:hint="cs"/>
          <w:color w:val="00B0F0"/>
          <w:sz w:val="16"/>
          <w:szCs w:val="16"/>
          <w:rtl/>
        </w:rPr>
        <w:t xml:space="preserve"> </w:t>
      </w:r>
      <w:r w:rsidRPr="00780B4D">
        <w:rPr>
          <w:rFonts w:cs="Arial" w:hint="cs"/>
          <w:color w:val="000000" w:themeColor="text1"/>
          <w:sz w:val="16"/>
          <w:szCs w:val="16"/>
          <w:rtl/>
        </w:rPr>
        <w:t>[</w:t>
      </w:r>
      <w:r>
        <w:rPr>
          <w:rFonts w:cs="Arial" w:hint="cs"/>
          <w:color w:val="000000" w:themeColor="text1"/>
          <w:sz w:val="16"/>
          <w:szCs w:val="16"/>
          <w:rtl/>
        </w:rPr>
        <w:t>סי' שח סט"ז</w:t>
      </w:r>
      <w:r w:rsidRPr="00780B4D">
        <w:rPr>
          <w:rFonts w:cs="Arial" w:hint="cs"/>
          <w:color w:val="000000" w:themeColor="text1"/>
          <w:sz w:val="16"/>
          <w:szCs w:val="16"/>
          <w:rtl/>
        </w:rPr>
        <w:t>]</w:t>
      </w:r>
      <w:r w:rsidRPr="00951437">
        <w:rPr>
          <w:rFonts w:cs="Arial" w:hint="cs"/>
          <w:color w:val="00B0F0"/>
          <w:rtl/>
        </w:rPr>
        <w:t>)</w:t>
      </w:r>
    </w:p>
    <w:p w14:paraId="7E77EE09" w14:textId="77777777" w:rsidR="002B45A4" w:rsidRPr="00D10A83" w:rsidRDefault="002B45A4" w:rsidP="00434A6A">
      <w:pPr>
        <w:rPr>
          <w:rFonts w:asciiTheme="minorBidi" w:hAnsiTheme="minorBidi"/>
          <w:rtl/>
        </w:rPr>
      </w:pPr>
      <w:r w:rsidRPr="005275DF">
        <w:rPr>
          <w:rFonts w:asciiTheme="minorBidi" w:hAnsiTheme="minorBidi"/>
          <w:b/>
          <w:bCs/>
          <w:sz w:val="32"/>
          <w:szCs w:val="28"/>
          <w:u w:val="single"/>
          <w:rtl/>
        </w:rPr>
        <w:t xml:space="preserve">שו"ע: </w:t>
      </w:r>
    </w:p>
    <w:p w14:paraId="18D732DD" w14:textId="1957E5F5" w:rsidR="008C1C8E" w:rsidRDefault="008C1C8E" w:rsidP="00434A6A">
      <w:pPr>
        <w:rPr>
          <w:rFonts w:asciiTheme="minorBidi" w:hAnsiTheme="minorBidi"/>
          <w:rtl/>
        </w:rPr>
      </w:pPr>
      <w:r w:rsidRPr="005275DF">
        <w:rPr>
          <w:rFonts w:asciiTheme="minorBidi" w:hAnsiTheme="minorBidi"/>
          <w:rtl/>
        </w:rPr>
        <w:t>ספסל שנשמט אחד מרגליו, אסור להחזירו למקומו</w:t>
      </w:r>
      <w:r w:rsidR="00780B4D">
        <w:rPr>
          <w:rFonts w:asciiTheme="minorBidi" w:hAnsiTheme="minorBidi" w:hint="cs"/>
          <w:rtl/>
        </w:rPr>
        <w:t>.</w:t>
      </w:r>
      <w:r w:rsidRPr="005275DF">
        <w:rPr>
          <w:rFonts w:asciiTheme="minorBidi" w:hAnsiTheme="minorBidi"/>
          <w:rtl/>
        </w:rPr>
        <w:t xml:space="preserve"> ולהניח אותו צד השמוט על ספסל אחר, יש מי שמחמיר לאסור</w:t>
      </w:r>
      <w:r w:rsidR="00780B4D">
        <w:rPr>
          <w:rFonts w:asciiTheme="minorBidi" w:hAnsiTheme="minorBidi" w:hint="cs"/>
          <w:rtl/>
        </w:rPr>
        <w:t>.</w:t>
      </w:r>
      <w:r w:rsidRPr="005275DF">
        <w:rPr>
          <w:rFonts w:asciiTheme="minorBidi" w:hAnsiTheme="minorBidi"/>
          <w:rtl/>
        </w:rPr>
        <w:t xml:space="preserve"> </w:t>
      </w:r>
      <w:r w:rsidR="00780B4D">
        <w:rPr>
          <w:rFonts w:asciiTheme="minorBidi" w:hAnsiTheme="minorBidi" w:hint="cs"/>
          <w:sz w:val="18"/>
          <w:szCs w:val="18"/>
          <w:rtl/>
        </w:rPr>
        <w:t xml:space="preserve">[הגה] </w:t>
      </w:r>
      <w:r w:rsidRPr="00780B4D">
        <w:rPr>
          <w:rFonts w:asciiTheme="minorBidi" w:hAnsiTheme="minorBidi"/>
          <w:sz w:val="18"/>
          <w:szCs w:val="18"/>
          <w:rtl/>
        </w:rPr>
        <w:t>וע"ל סי' ש"ח</w:t>
      </w:r>
      <w:r w:rsidRPr="005275DF">
        <w:rPr>
          <w:rFonts w:asciiTheme="minorBidi" w:hAnsiTheme="minorBidi"/>
          <w:rtl/>
        </w:rPr>
        <w:t xml:space="preserve">. </w:t>
      </w:r>
    </w:p>
    <w:p w14:paraId="4BDE516F" w14:textId="77777777" w:rsidR="009C6968" w:rsidRPr="005275DF" w:rsidRDefault="009C6968" w:rsidP="00434A6A">
      <w:pPr>
        <w:rPr>
          <w:rFonts w:asciiTheme="minorBidi" w:hAnsiTheme="minorBidi"/>
          <w:rtl/>
        </w:rPr>
      </w:pPr>
    </w:p>
    <w:p w14:paraId="12C71A43" w14:textId="34B05AEA" w:rsidR="008C1C8E" w:rsidRDefault="008C1C8E" w:rsidP="00434A6A">
      <w:pPr>
        <w:pStyle w:val="2"/>
        <w:rPr>
          <w:rtl/>
        </w:rPr>
      </w:pPr>
      <w:r w:rsidRPr="005275DF">
        <w:rPr>
          <w:rtl/>
        </w:rPr>
        <w:t>סעיף ט</w:t>
      </w:r>
      <w:r w:rsidR="009C6968">
        <w:rPr>
          <w:rFonts w:hint="cs"/>
          <w:rtl/>
        </w:rPr>
        <w:t xml:space="preserve">: </w:t>
      </w:r>
      <w:r w:rsidR="00AA7779">
        <w:rPr>
          <w:rFonts w:hint="cs"/>
          <w:rtl/>
        </w:rPr>
        <w:t>התוקע עץ בעץ.</w:t>
      </w:r>
    </w:p>
    <w:p w14:paraId="6C9C901B" w14:textId="44BC96D7" w:rsidR="00AA7779" w:rsidRPr="00AA7779" w:rsidRDefault="00AA7779" w:rsidP="00434A6A">
      <w:pPr>
        <w:rPr>
          <w:u w:val="single"/>
          <w:rtl/>
        </w:rPr>
      </w:pPr>
      <w:r w:rsidRPr="00AA7779">
        <w:rPr>
          <w:rFonts w:hint="cs"/>
          <w:u w:val="single"/>
          <w:rtl/>
        </w:rPr>
        <w:t>התוקע עץ בעץ:</w:t>
      </w:r>
    </w:p>
    <w:p w14:paraId="0DA59D95" w14:textId="11A8BC4C" w:rsidR="00D22DC5" w:rsidRPr="00D22DC5" w:rsidRDefault="00AA7779" w:rsidP="00434A6A">
      <w:pPr>
        <w:pStyle w:val="aa"/>
        <w:numPr>
          <w:ilvl w:val="0"/>
          <w:numId w:val="15"/>
        </w:numPr>
        <w:rPr>
          <w:rtl/>
        </w:rPr>
      </w:pPr>
      <w:r>
        <w:rPr>
          <w:rFonts w:cs="Arial" w:hint="cs"/>
          <w:rtl/>
        </w:rPr>
        <w:t xml:space="preserve">רמב"ם </w:t>
      </w:r>
      <w:r>
        <w:rPr>
          <w:rFonts w:cs="Arial" w:hint="cs"/>
          <w:sz w:val="16"/>
          <w:szCs w:val="16"/>
          <w:rtl/>
        </w:rPr>
        <w:t>(פ"י מהל' שבת הי"ג)</w:t>
      </w:r>
      <w:r>
        <w:rPr>
          <w:rFonts w:cs="Arial" w:hint="cs"/>
          <w:rtl/>
        </w:rPr>
        <w:t xml:space="preserve">- </w:t>
      </w:r>
      <w:r w:rsidRPr="002748C4">
        <w:rPr>
          <w:rFonts w:cs="Arial"/>
          <w:rtl/>
        </w:rPr>
        <w:t>המכניס יד הקרדום בתוך העין שלו הרי זה תולדת בונה וכן כל כיוצא בו, וכן התוקע עץ בעץ בין שתקע במסמר בין שתקע בעץ עצמו עד שנתאחד הרי זה תולדת בונה וחייב</w:t>
      </w:r>
      <w:r>
        <w:rPr>
          <w:rStyle w:val="a9"/>
          <w:rFonts w:cs="Arial"/>
          <w:rtl/>
        </w:rPr>
        <w:footnoteReference w:id="2131"/>
      </w:r>
      <w:r>
        <w:rPr>
          <w:rFonts w:hint="cs"/>
          <w:rtl/>
        </w:rPr>
        <w:t xml:space="preserve">. </w:t>
      </w:r>
      <w:r w:rsidRPr="002601AF">
        <w:rPr>
          <w:rFonts w:hint="cs"/>
          <w:color w:val="E36C0A" w:themeColor="accent6" w:themeShade="BF"/>
          <w:rtl/>
        </w:rPr>
        <w:t>(וכ"פ בשו"ע)</w:t>
      </w:r>
    </w:p>
    <w:p w14:paraId="7AEC555F" w14:textId="77777777" w:rsidR="002B45A4" w:rsidRPr="00D10A83" w:rsidRDefault="002B45A4" w:rsidP="00434A6A">
      <w:pPr>
        <w:rPr>
          <w:rFonts w:asciiTheme="minorBidi" w:hAnsiTheme="minorBidi"/>
          <w:rtl/>
        </w:rPr>
      </w:pPr>
      <w:r w:rsidRPr="005275DF">
        <w:rPr>
          <w:rFonts w:asciiTheme="minorBidi" w:hAnsiTheme="minorBidi"/>
          <w:b/>
          <w:bCs/>
          <w:sz w:val="32"/>
          <w:szCs w:val="28"/>
          <w:u w:val="single"/>
          <w:rtl/>
        </w:rPr>
        <w:t xml:space="preserve">שו"ע: </w:t>
      </w:r>
    </w:p>
    <w:p w14:paraId="7B4724DF" w14:textId="00852E96" w:rsidR="008C1C8E" w:rsidRDefault="008C1C8E" w:rsidP="00434A6A">
      <w:pPr>
        <w:rPr>
          <w:rFonts w:asciiTheme="minorBidi" w:hAnsiTheme="minorBidi"/>
          <w:rtl/>
        </w:rPr>
      </w:pPr>
      <w:r w:rsidRPr="005275DF">
        <w:rPr>
          <w:rFonts w:asciiTheme="minorBidi" w:hAnsiTheme="minorBidi"/>
          <w:rtl/>
        </w:rPr>
        <w:t xml:space="preserve">התוקע עץ בעץ, בין שתקע במסמר בין שתקע בעץ עצמו עד שנתאחד, הרי זה תולדת בונה. </w:t>
      </w:r>
    </w:p>
    <w:p w14:paraId="1058E2EC" w14:textId="77777777" w:rsidR="009C6968" w:rsidRPr="005275DF" w:rsidRDefault="009C6968" w:rsidP="00434A6A">
      <w:pPr>
        <w:rPr>
          <w:rFonts w:asciiTheme="minorBidi" w:hAnsiTheme="minorBidi"/>
          <w:rtl/>
        </w:rPr>
      </w:pPr>
    </w:p>
    <w:p w14:paraId="735E897A" w14:textId="3FBD4CCF" w:rsidR="008C1C8E" w:rsidRDefault="008C1C8E" w:rsidP="00434A6A">
      <w:pPr>
        <w:pStyle w:val="2"/>
        <w:rPr>
          <w:rtl/>
        </w:rPr>
      </w:pPr>
      <w:r w:rsidRPr="005275DF">
        <w:rPr>
          <w:rtl/>
        </w:rPr>
        <w:t>סעיף י</w:t>
      </w:r>
      <w:r w:rsidR="00AA7779">
        <w:rPr>
          <w:rFonts w:hint="cs"/>
          <w:rtl/>
        </w:rPr>
        <w:t>: פיזור תבן על חצר שנתקלקלה מהגשם.</w:t>
      </w:r>
    </w:p>
    <w:p w14:paraId="5C388334" w14:textId="59D3DEFD" w:rsidR="00420DE2" w:rsidRPr="00420DE2" w:rsidRDefault="00420DE2" w:rsidP="00434A6A">
      <w:pPr>
        <w:rPr>
          <w:rtl/>
        </w:rPr>
      </w:pPr>
      <w:r w:rsidRPr="00420DE2">
        <w:rPr>
          <w:rFonts w:cs="Arial" w:hint="cs"/>
          <w:b/>
          <w:bCs/>
          <w:rtl/>
        </w:rPr>
        <w:t xml:space="preserve">עירובין </w:t>
      </w:r>
      <w:r>
        <w:rPr>
          <w:rFonts w:cs="Arial" w:hint="cs"/>
          <w:b/>
          <w:bCs/>
          <w:sz w:val="16"/>
          <w:szCs w:val="16"/>
          <w:rtl/>
        </w:rPr>
        <w:t xml:space="preserve">(פ' בתרא) </w:t>
      </w:r>
      <w:r w:rsidRPr="00420DE2">
        <w:rPr>
          <w:rFonts w:cs="Arial" w:hint="cs"/>
          <w:b/>
          <w:bCs/>
          <w:rtl/>
        </w:rPr>
        <w:t xml:space="preserve">קד ע"א: </w:t>
      </w:r>
      <w:r w:rsidRPr="00420DE2">
        <w:rPr>
          <w:rFonts w:cs="Arial"/>
          <w:u w:val="single"/>
          <w:rtl/>
        </w:rPr>
        <w:t>דרש רבא</w:t>
      </w:r>
      <w:r w:rsidRPr="00420DE2">
        <w:rPr>
          <w:rFonts w:cs="Arial"/>
          <w:rtl/>
        </w:rPr>
        <w:t>: חצר שנתקלקלה במימי גשמים מביא תבן ומרדה בה</w:t>
      </w:r>
      <w:r>
        <w:rPr>
          <w:rStyle w:val="a9"/>
          <w:rFonts w:cs="Arial"/>
          <w:rtl/>
        </w:rPr>
        <w:footnoteReference w:id="2132"/>
      </w:r>
      <w:r w:rsidRPr="00420DE2">
        <w:rPr>
          <w:rFonts w:cs="Arial"/>
          <w:rtl/>
        </w:rPr>
        <w:t xml:space="preserve">. </w:t>
      </w:r>
      <w:r w:rsidRPr="00420DE2">
        <w:rPr>
          <w:rFonts w:cs="Arial"/>
          <w:u w:val="single"/>
          <w:rtl/>
        </w:rPr>
        <w:t>אמר ליה רב פפא לרבא</w:t>
      </w:r>
      <w:r>
        <w:rPr>
          <w:rFonts w:cs="Arial" w:hint="cs"/>
          <w:rtl/>
        </w:rPr>
        <w:t>:</w:t>
      </w:r>
      <w:r w:rsidRPr="00420DE2">
        <w:rPr>
          <w:rFonts w:cs="Arial"/>
          <w:rtl/>
        </w:rPr>
        <w:t xml:space="preserve"> והתניא כשהוא מרדה - אינו מרדה לא בסל ולא בקופה</w:t>
      </w:r>
      <w:r>
        <w:rPr>
          <w:rStyle w:val="a9"/>
          <w:rFonts w:cs="Arial"/>
          <w:rtl/>
        </w:rPr>
        <w:footnoteReference w:id="2133"/>
      </w:r>
      <w:r w:rsidRPr="00420DE2">
        <w:rPr>
          <w:rFonts w:cs="Arial"/>
          <w:rtl/>
        </w:rPr>
        <w:t xml:space="preserve"> אלא בשולי קופה</w:t>
      </w:r>
      <w:r>
        <w:rPr>
          <w:rStyle w:val="a9"/>
          <w:rFonts w:cs="Arial"/>
          <w:rtl/>
        </w:rPr>
        <w:footnoteReference w:id="2134"/>
      </w:r>
      <w:r w:rsidRPr="00420DE2">
        <w:rPr>
          <w:rFonts w:cs="Arial"/>
          <w:rtl/>
        </w:rPr>
        <w:t xml:space="preserve">! </w:t>
      </w:r>
      <w:r w:rsidRPr="00420DE2">
        <w:rPr>
          <w:rFonts w:cs="Arial"/>
          <w:u w:val="single"/>
          <w:rtl/>
        </w:rPr>
        <w:t>הדר אוקים רבא אמורא עליה ודרש</w:t>
      </w:r>
      <w:r w:rsidRPr="00420DE2">
        <w:rPr>
          <w:rFonts w:cs="Arial"/>
          <w:rtl/>
        </w:rPr>
        <w:t>: דברים שאמרתי לפניכם טעות הן בידי, ברם כך אמרו משום רבי אליעזר: וכשהוא מרדה אינו מרדה לא בסל ולא בקופה אלא בשולי קופה.</w:t>
      </w:r>
    </w:p>
    <w:p w14:paraId="58862396" w14:textId="270584D1" w:rsidR="00AA7779" w:rsidRPr="00AA7779" w:rsidRDefault="00AA7779" w:rsidP="00434A6A">
      <w:pPr>
        <w:rPr>
          <w:u w:val="single"/>
          <w:rtl/>
        </w:rPr>
      </w:pPr>
      <w:r w:rsidRPr="00AA7779">
        <w:rPr>
          <w:rFonts w:hint="cs"/>
          <w:u w:val="single"/>
          <w:rtl/>
        </w:rPr>
        <w:t>פיזור תבן על חצר שנתקלקלה מהגשם</w:t>
      </w:r>
      <w:r>
        <w:rPr>
          <w:rFonts w:hint="cs"/>
          <w:u w:val="single"/>
          <w:rtl/>
        </w:rPr>
        <w:t>:</w:t>
      </w:r>
    </w:p>
    <w:p w14:paraId="2FDB18E7" w14:textId="5915E4D9" w:rsidR="00D22DC5" w:rsidRDefault="00D22DC5" w:rsidP="00434A6A">
      <w:pPr>
        <w:pStyle w:val="aa"/>
        <w:numPr>
          <w:ilvl w:val="0"/>
          <w:numId w:val="15"/>
        </w:numPr>
      </w:pPr>
      <w:r>
        <w:rPr>
          <w:rFonts w:cs="Arial" w:hint="cs"/>
          <w:rtl/>
        </w:rPr>
        <w:t xml:space="preserve">טור- </w:t>
      </w:r>
      <w:r>
        <w:rPr>
          <w:rFonts w:cs="Arial"/>
          <w:rtl/>
        </w:rPr>
        <w:t>חצר שנתקלקלה במי גשמים יכול לזרות בה תבן ולא חשיב כמוסיף על הבנין</w:t>
      </w:r>
      <w:r w:rsidR="00AA7779">
        <w:rPr>
          <w:rFonts w:cs="Arial" w:hint="cs"/>
          <w:rtl/>
        </w:rPr>
        <w:t>,</w:t>
      </w:r>
      <w:r>
        <w:rPr>
          <w:rFonts w:cs="Arial"/>
          <w:rtl/>
        </w:rPr>
        <w:t xml:space="preserve"> ובלבד שישנה</w:t>
      </w:r>
      <w:r w:rsidR="00AA7779">
        <w:rPr>
          <w:rFonts w:cs="Arial" w:hint="cs"/>
          <w:rtl/>
        </w:rPr>
        <w:t>,</w:t>
      </w:r>
      <w:r>
        <w:rPr>
          <w:rFonts w:cs="Arial"/>
          <w:rtl/>
        </w:rPr>
        <w:t xml:space="preserve"> שלא יזרה לא בסל ולא בקופה אלא בשולי הקופה שיהפכנה ויביא התבן על שוליה</w:t>
      </w:r>
      <w:r w:rsidR="00AA7779">
        <w:rPr>
          <w:rFonts w:cs="Arial" w:hint="cs"/>
          <w:rtl/>
        </w:rPr>
        <w:t>.</w:t>
      </w:r>
      <w:r w:rsidR="00420DE2">
        <w:rPr>
          <w:rFonts w:hint="cs"/>
          <w:rtl/>
        </w:rPr>
        <w:t xml:space="preserve"> </w:t>
      </w:r>
      <w:r w:rsidR="00420DE2" w:rsidRPr="002601AF">
        <w:rPr>
          <w:rFonts w:hint="cs"/>
          <w:color w:val="E36C0A" w:themeColor="accent6" w:themeShade="BF"/>
          <w:rtl/>
        </w:rPr>
        <w:t>(וכ"פ בשו"ע)</w:t>
      </w:r>
    </w:p>
    <w:p w14:paraId="57941519" w14:textId="77777777" w:rsidR="002B45A4" w:rsidRPr="00D10A83" w:rsidRDefault="002B45A4" w:rsidP="00434A6A">
      <w:pPr>
        <w:rPr>
          <w:rFonts w:asciiTheme="minorBidi" w:hAnsiTheme="minorBidi"/>
          <w:rtl/>
        </w:rPr>
      </w:pPr>
      <w:r w:rsidRPr="005275DF">
        <w:rPr>
          <w:rFonts w:asciiTheme="minorBidi" w:hAnsiTheme="minorBidi"/>
          <w:b/>
          <w:bCs/>
          <w:sz w:val="32"/>
          <w:szCs w:val="28"/>
          <w:u w:val="single"/>
          <w:rtl/>
        </w:rPr>
        <w:t xml:space="preserve">שו"ע: </w:t>
      </w:r>
    </w:p>
    <w:p w14:paraId="0CCD00F0" w14:textId="54EEC700" w:rsidR="000C6229" w:rsidRDefault="008C1C8E" w:rsidP="00434A6A">
      <w:pPr>
        <w:rPr>
          <w:rFonts w:asciiTheme="minorBidi" w:hAnsiTheme="minorBidi"/>
          <w:rtl/>
        </w:rPr>
      </w:pPr>
      <w:r w:rsidRPr="005275DF">
        <w:rPr>
          <w:rFonts w:asciiTheme="minorBidi" w:hAnsiTheme="minorBidi"/>
          <w:rtl/>
        </w:rPr>
        <w:t>חצר שנתקלקלה במימי גשמים, יכול לזרות בה תבן ולא חשיב כמוסיף על הבנין</w:t>
      </w:r>
      <w:r w:rsidR="00420DE2">
        <w:rPr>
          <w:rStyle w:val="a9"/>
          <w:rFonts w:asciiTheme="minorBidi" w:hAnsiTheme="minorBidi"/>
          <w:rtl/>
        </w:rPr>
        <w:footnoteReference w:id="2135"/>
      </w:r>
      <w:r w:rsidRPr="005275DF">
        <w:rPr>
          <w:rFonts w:asciiTheme="minorBidi" w:hAnsiTheme="minorBidi"/>
          <w:rtl/>
        </w:rPr>
        <w:t>, ובלבד שישנה שלא יזרה לא בסל ולא בקופה אלא בשולי הקופה, שיהפכנה ויביא תבן על שוליה דהיינו על ידי שינוי</w:t>
      </w:r>
      <w:r w:rsidR="00AA7779">
        <w:rPr>
          <w:rFonts w:asciiTheme="minorBidi" w:hAnsiTheme="minorBidi" w:hint="cs"/>
          <w:rtl/>
        </w:rPr>
        <w:t>.</w:t>
      </w:r>
      <w:r w:rsidRPr="005275DF">
        <w:rPr>
          <w:rFonts w:asciiTheme="minorBidi" w:hAnsiTheme="minorBidi"/>
          <w:rtl/>
        </w:rPr>
        <w:t xml:space="preserve"> אבל ביד, אסור</w:t>
      </w:r>
      <w:r w:rsidR="00420DE2">
        <w:rPr>
          <w:rStyle w:val="a9"/>
          <w:rFonts w:asciiTheme="minorBidi" w:hAnsiTheme="minorBidi"/>
          <w:rtl/>
        </w:rPr>
        <w:footnoteReference w:id="2136"/>
      </w:r>
      <w:r w:rsidRPr="005275DF">
        <w:rPr>
          <w:rFonts w:asciiTheme="minorBidi" w:hAnsiTheme="minorBidi"/>
          <w:rtl/>
        </w:rPr>
        <w:t>.</w:t>
      </w:r>
    </w:p>
    <w:p w14:paraId="1EDF8886" w14:textId="77777777" w:rsidR="009C6968" w:rsidRPr="005275DF" w:rsidRDefault="009C6968" w:rsidP="00434A6A">
      <w:pPr>
        <w:rPr>
          <w:rFonts w:asciiTheme="minorBidi" w:hAnsiTheme="minorBidi"/>
          <w:rtl/>
        </w:rPr>
      </w:pPr>
    </w:p>
    <w:p w14:paraId="2FA9B528" w14:textId="77777777" w:rsidR="008C1C8E" w:rsidRPr="005275DF" w:rsidRDefault="008C1C8E" w:rsidP="00434A6A">
      <w:pPr>
        <w:rPr>
          <w:rFonts w:asciiTheme="minorBidi" w:hAnsiTheme="minorBidi"/>
          <w:rtl/>
        </w:rPr>
      </w:pPr>
    </w:p>
    <w:p w14:paraId="1C977B54" w14:textId="77777777" w:rsidR="008C1C8E" w:rsidRPr="005275DF" w:rsidRDefault="008C1C8E" w:rsidP="00434A6A">
      <w:pPr>
        <w:rPr>
          <w:rFonts w:asciiTheme="minorBidi" w:hAnsiTheme="minorBidi"/>
          <w:rtl/>
        </w:rPr>
      </w:pPr>
    </w:p>
    <w:p w14:paraId="7A62F70A" w14:textId="77777777" w:rsidR="008C1C8E" w:rsidRPr="005275DF" w:rsidRDefault="008C1C8E" w:rsidP="00434A6A">
      <w:pPr>
        <w:rPr>
          <w:rFonts w:asciiTheme="minorBidi" w:hAnsiTheme="minorBidi"/>
          <w:rtl/>
        </w:rPr>
      </w:pPr>
    </w:p>
    <w:p w14:paraId="41AC3D4F" w14:textId="77777777" w:rsidR="008C1C8E" w:rsidRPr="005275DF" w:rsidRDefault="008C1C8E" w:rsidP="00434A6A">
      <w:pPr>
        <w:rPr>
          <w:rFonts w:asciiTheme="minorBidi" w:hAnsiTheme="minorBidi"/>
          <w:rtl/>
        </w:rPr>
      </w:pPr>
    </w:p>
    <w:p w14:paraId="07B8D126" w14:textId="77777777" w:rsidR="008C1C8E" w:rsidRPr="005275DF" w:rsidRDefault="008C1C8E" w:rsidP="00434A6A">
      <w:pPr>
        <w:rPr>
          <w:rFonts w:asciiTheme="minorBidi" w:hAnsiTheme="minorBidi"/>
          <w:rtl/>
        </w:rPr>
      </w:pPr>
    </w:p>
    <w:p w14:paraId="53A8A53E" w14:textId="77777777" w:rsidR="001F2F31" w:rsidRDefault="001F2F31" w:rsidP="00434A6A">
      <w:pPr>
        <w:pStyle w:val="1"/>
        <w:rPr>
          <w:rFonts w:asciiTheme="minorBidi" w:hAnsiTheme="minorBidi"/>
          <w:rtl/>
        </w:rPr>
        <w:sectPr w:rsidR="001F2F31" w:rsidSect="00BD29B1">
          <w:headerReference w:type="default" r:id="rId84"/>
          <w:footnotePr>
            <w:numRestart w:val="eachSect"/>
          </w:footnotePr>
          <w:pgSz w:w="11906" w:h="16838"/>
          <w:pgMar w:top="720" w:right="1134" w:bottom="720" w:left="1134" w:header="0" w:footer="0" w:gutter="0"/>
          <w:cols w:space="720"/>
          <w:bidi/>
          <w:rtlGutter/>
          <w:docGrid w:linePitch="360"/>
        </w:sectPr>
      </w:pPr>
    </w:p>
    <w:p w14:paraId="583C634A" w14:textId="00F1E9D9" w:rsidR="00B3737F" w:rsidRPr="005275DF" w:rsidRDefault="00655137" w:rsidP="00434A6A">
      <w:pPr>
        <w:pStyle w:val="1"/>
        <w:rPr>
          <w:rFonts w:asciiTheme="minorBidi" w:hAnsiTheme="minorBidi"/>
          <w:rtl/>
        </w:rPr>
      </w:pPr>
      <w:r w:rsidRPr="005275DF">
        <w:rPr>
          <w:rFonts w:asciiTheme="minorBidi" w:hAnsiTheme="minorBidi"/>
          <w:rtl/>
        </w:rPr>
        <w:t xml:space="preserve">סימן שיד: </w:t>
      </w:r>
      <w:r w:rsidR="00B3737F" w:rsidRPr="005275DF">
        <w:rPr>
          <w:rFonts w:asciiTheme="minorBidi" w:hAnsiTheme="minorBidi"/>
          <w:rtl/>
        </w:rPr>
        <w:t>דברים האסורים משום בנין וסתירה בשבת</w:t>
      </w:r>
      <w:r w:rsidR="00884DED">
        <w:rPr>
          <w:rFonts w:asciiTheme="minorBidi" w:hAnsiTheme="minorBidi" w:hint="cs"/>
          <w:rtl/>
        </w:rPr>
        <w:t>, ובו יב' סעיפים</w:t>
      </w:r>
      <w:r w:rsidR="00B3737F" w:rsidRPr="005275DF">
        <w:rPr>
          <w:rFonts w:asciiTheme="minorBidi" w:hAnsiTheme="minorBidi"/>
          <w:rtl/>
        </w:rPr>
        <w:t xml:space="preserve">. </w:t>
      </w:r>
    </w:p>
    <w:p w14:paraId="1FB9E879" w14:textId="4D003161" w:rsidR="00B3737F" w:rsidRPr="005275DF" w:rsidRDefault="00B3737F" w:rsidP="00434A6A">
      <w:pPr>
        <w:pStyle w:val="2"/>
        <w:rPr>
          <w:rFonts w:asciiTheme="minorBidi" w:hAnsiTheme="minorBidi" w:cstheme="minorBidi"/>
          <w:rtl/>
        </w:rPr>
      </w:pPr>
      <w:r w:rsidRPr="005275DF">
        <w:rPr>
          <w:rFonts w:asciiTheme="minorBidi" w:hAnsiTheme="minorBidi" w:cstheme="minorBidi"/>
          <w:rtl/>
        </w:rPr>
        <w:t>סעיף א</w:t>
      </w:r>
      <w:r w:rsidR="009935D0" w:rsidRPr="005275DF">
        <w:rPr>
          <w:rFonts w:asciiTheme="minorBidi" w:hAnsiTheme="minorBidi" w:cstheme="minorBidi"/>
          <w:rtl/>
        </w:rPr>
        <w:t>: בנין וסתירה בכלים</w:t>
      </w:r>
      <w:r w:rsidR="002B24BB">
        <w:rPr>
          <w:rFonts w:asciiTheme="minorBidi" w:hAnsiTheme="minorBidi" w:cstheme="minorBidi" w:hint="cs"/>
          <w:rtl/>
        </w:rPr>
        <w:t>.</w:t>
      </w:r>
      <w:r w:rsidR="009935D0" w:rsidRPr="005275DF">
        <w:rPr>
          <w:rFonts w:asciiTheme="minorBidi" w:hAnsiTheme="minorBidi" w:cstheme="minorBidi"/>
          <w:rtl/>
        </w:rPr>
        <w:t xml:space="preserve"> עשיית נקב </w:t>
      </w:r>
      <w:r w:rsidR="002B24BB">
        <w:rPr>
          <w:rFonts w:asciiTheme="minorBidi" w:hAnsiTheme="minorBidi" w:cstheme="minorBidi" w:hint="cs"/>
          <w:rtl/>
        </w:rPr>
        <w:t>ב</w:t>
      </w:r>
      <w:r w:rsidR="00AB08D4">
        <w:rPr>
          <w:rFonts w:asciiTheme="minorBidi" w:hAnsiTheme="minorBidi" w:cstheme="minorBidi" w:hint="cs"/>
          <w:rtl/>
        </w:rPr>
        <w:t>חבית</w:t>
      </w:r>
      <w:r w:rsidR="009935D0" w:rsidRPr="005275DF">
        <w:rPr>
          <w:rFonts w:asciiTheme="minorBidi" w:hAnsiTheme="minorBidi" w:cstheme="minorBidi"/>
          <w:rtl/>
        </w:rPr>
        <w:t>.</w:t>
      </w:r>
    </w:p>
    <w:p w14:paraId="5A84854E" w14:textId="2C68FBFE" w:rsidR="004F0A0A" w:rsidRDefault="004F0A0A" w:rsidP="00434A6A">
      <w:pPr>
        <w:rPr>
          <w:rtl/>
        </w:rPr>
      </w:pPr>
      <w:r w:rsidRPr="002A45F7">
        <w:rPr>
          <w:rFonts w:hint="cs"/>
          <w:b/>
          <w:bCs/>
          <w:rtl/>
        </w:rPr>
        <w:t xml:space="preserve">שבת </w:t>
      </w:r>
      <w:r>
        <w:rPr>
          <w:rFonts w:hint="cs"/>
          <w:b/>
          <w:bCs/>
          <w:sz w:val="16"/>
          <w:szCs w:val="16"/>
          <w:rtl/>
        </w:rPr>
        <w:t>(פ' כל הכלים)</w:t>
      </w:r>
      <w:r>
        <w:rPr>
          <w:rFonts w:hint="cs"/>
          <w:b/>
          <w:bCs/>
          <w:rtl/>
        </w:rPr>
        <w:t xml:space="preserve"> </w:t>
      </w:r>
      <w:r w:rsidRPr="002A45F7">
        <w:rPr>
          <w:rFonts w:hint="cs"/>
          <w:b/>
          <w:bCs/>
          <w:rtl/>
        </w:rPr>
        <w:t>ק</w:t>
      </w:r>
      <w:r>
        <w:rPr>
          <w:rFonts w:hint="cs"/>
          <w:b/>
          <w:bCs/>
          <w:rtl/>
        </w:rPr>
        <w:t>כב</w:t>
      </w:r>
      <w:r w:rsidRPr="002A45F7">
        <w:rPr>
          <w:rFonts w:hint="cs"/>
          <w:b/>
          <w:bCs/>
          <w:rtl/>
        </w:rPr>
        <w:t xml:space="preserve"> ע"</w:t>
      </w:r>
      <w:r>
        <w:rPr>
          <w:rFonts w:hint="cs"/>
          <w:b/>
          <w:bCs/>
          <w:rtl/>
        </w:rPr>
        <w:t>ב</w:t>
      </w:r>
      <w:r w:rsidRPr="002A45F7">
        <w:rPr>
          <w:rFonts w:hint="cs"/>
          <w:b/>
          <w:bCs/>
          <w:rtl/>
        </w:rPr>
        <w:t>:</w:t>
      </w:r>
      <w:r>
        <w:rPr>
          <w:rFonts w:cs="Arial" w:hint="cs"/>
          <w:rtl/>
        </w:rPr>
        <w:t xml:space="preserve"> </w:t>
      </w:r>
      <w:r w:rsidRPr="008754D0">
        <w:rPr>
          <w:rFonts w:cs="Arial"/>
          <w:rtl/>
        </w:rPr>
        <w:t>תנו רבנן: דלת של שידה ושל תיבה ושל מגדל - נוטלין</w:t>
      </w:r>
      <w:r>
        <w:rPr>
          <w:rStyle w:val="a9"/>
          <w:rFonts w:cs="Arial"/>
          <w:rtl/>
        </w:rPr>
        <w:footnoteReference w:id="2137"/>
      </w:r>
      <w:r w:rsidRPr="008754D0">
        <w:rPr>
          <w:rFonts w:cs="Arial"/>
          <w:rtl/>
        </w:rPr>
        <w:t>, אבל לא מחזירין. ושל לול של תרנגולים - לא נוטלין ולא מחזירין. בשלמא של לול של תרנגולים - קסבר: כיון דמחברי בארעא - יש בנין בקרקע, יש סתירה בקרקע. אלא של שידה ושל תיבה ושל מגדל מאי קסבר</w:t>
      </w:r>
      <w:r>
        <w:rPr>
          <w:rStyle w:val="a9"/>
          <w:rFonts w:cs="Arial"/>
          <w:rtl/>
        </w:rPr>
        <w:footnoteReference w:id="2138"/>
      </w:r>
      <w:r w:rsidRPr="008754D0">
        <w:rPr>
          <w:rFonts w:cs="Arial"/>
          <w:rtl/>
        </w:rPr>
        <w:t>? אי קסבר יש בנין בכלים - יש סתירה בכלים, ואי אין סתירה בכלים אין בנין בכלים!</w:t>
      </w:r>
      <w:r w:rsidR="00FC461D">
        <w:rPr>
          <w:rFonts w:cs="Arial" w:hint="cs"/>
          <w:rtl/>
        </w:rPr>
        <w:t>...</w:t>
      </w:r>
      <w:r w:rsidRPr="008754D0">
        <w:rPr>
          <w:rFonts w:cs="Arial"/>
          <w:rtl/>
        </w:rPr>
        <w:t xml:space="preserve"> </w:t>
      </w:r>
      <w:r w:rsidRPr="003065FB">
        <w:rPr>
          <w:rFonts w:cs="Arial"/>
          <w:u w:val="single"/>
          <w:rtl/>
        </w:rPr>
        <w:t>אלא אמר רבא</w:t>
      </w:r>
      <w:r w:rsidRPr="008754D0">
        <w:rPr>
          <w:rFonts w:cs="Arial"/>
          <w:rtl/>
        </w:rPr>
        <w:t>: קסבר אין בנין בכלים ואין סתירה בכלים</w:t>
      </w:r>
      <w:r>
        <w:rPr>
          <w:rStyle w:val="a9"/>
          <w:rFonts w:cs="Arial"/>
          <w:rtl/>
        </w:rPr>
        <w:footnoteReference w:id="2139"/>
      </w:r>
      <w:r w:rsidRPr="008754D0">
        <w:rPr>
          <w:rFonts w:cs="Arial"/>
          <w:rtl/>
        </w:rPr>
        <w:t>, וגזירה שמא יתקע</w:t>
      </w:r>
      <w:r>
        <w:rPr>
          <w:rStyle w:val="a9"/>
          <w:rFonts w:cs="Arial"/>
          <w:rtl/>
        </w:rPr>
        <w:footnoteReference w:id="2140"/>
      </w:r>
      <w:r w:rsidRPr="008754D0">
        <w:rPr>
          <w:rFonts w:cs="Arial"/>
          <w:rtl/>
        </w:rPr>
        <w:t>.</w:t>
      </w:r>
    </w:p>
    <w:p w14:paraId="3A183496" w14:textId="31C4BDD5" w:rsidR="002070A9" w:rsidRDefault="002070A9" w:rsidP="00434A6A">
      <w:pPr>
        <w:rPr>
          <w:rFonts w:asciiTheme="minorBidi" w:hAnsiTheme="minorBidi"/>
          <w:rtl/>
        </w:rPr>
      </w:pPr>
      <w:r w:rsidRPr="005275DF">
        <w:rPr>
          <w:rFonts w:asciiTheme="minorBidi" w:hAnsiTheme="minorBidi"/>
          <w:b/>
          <w:bCs/>
          <w:rtl/>
        </w:rPr>
        <w:t xml:space="preserve">ערובין </w:t>
      </w:r>
      <w:r w:rsidR="0088039C">
        <w:rPr>
          <w:rFonts w:asciiTheme="minorBidi" w:hAnsiTheme="minorBidi" w:hint="cs"/>
          <w:b/>
          <w:bCs/>
          <w:sz w:val="16"/>
          <w:szCs w:val="16"/>
          <w:rtl/>
        </w:rPr>
        <w:t xml:space="preserve">(פ' בכל מערבין) </w:t>
      </w:r>
      <w:r w:rsidRPr="005275DF">
        <w:rPr>
          <w:rFonts w:asciiTheme="minorBidi" w:hAnsiTheme="minorBidi"/>
          <w:b/>
          <w:bCs/>
          <w:rtl/>
        </w:rPr>
        <w:t xml:space="preserve">לד ע"ב: </w:t>
      </w:r>
      <w:r w:rsidRPr="005275DF">
        <w:rPr>
          <w:rFonts w:asciiTheme="minorBidi" w:hAnsiTheme="minorBidi"/>
          <w:u w:val="double"/>
          <w:rtl/>
        </w:rPr>
        <w:t>משנה:</w:t>
      </w:r>
      <w:r w:rsidRPr="005275DF">
        <w:rPr>
          <w:rFonts w:asciiTheme="minorBidi" w:hAnsiTheme="minorBidi"/>
          <w:rtl/>
        </w:rPr>
        <w:t xml:space="preserve"> נתנו במגדל ואבד המפתח</w:t>
      </w:r>
      <w:r w:rsidR="00124F15" w:rsidRPr="005275DF">
        <w:rPr>
          <w:rStyle w:val="a9"/>
          <w:rFonts w:asciiTheme="minorBidi" w:hAnsiTheme="minorBidi"/>
          <w:rtl/>
        </w:rPr>
        <w:footnoteReference w:id="2141"/>
      </w:r>
      <w:r w:rsidRPr="005275DF">
        <w:rPr>
          <w:rFonts w:asciiTheme="minorBidi" w:hAnsiTheme="minorBidi"/>
          <w:rtl/>
        </w:rPr>
        <w:t xml:space="preserve"> - הרי זה עירוב, </w:t>
      </w:r>
      <w:r w:rsidRPr="005275DF">
        <w:rPr>
          <w:rFonts w:asciiTheme="minorBidi" w:hAnsiTheme="minorBidi"/>
          <w:u w:val="single"/>
          <w:rtl/>
        </w:rPr>
        <w:t>רבי אליעזר אומר</w:t>
      </w:r>
      <w:r w:rsidRPr="005275DF">
        <w:rPr>
          <w:rFonts w:asciiTheme="minorBidi" w:hAnsiTheme="minorBidi"/>
          <w:rtl/>
        </w:rPr>
        <w:t xml:space="preserve">: אם אינו יודע שהמפתח במקומו - אינו עירוב.       </w:t>
      </w:r>
      <w:r w:rsidR="00CA21C2">
        <w:rPr>
          <w:rFonts w:asciiTheme="minorBidi" w:hAnsiTheme="minorBidi" w:hint="cs"/>
          <w:rtl/>
        </w:rPr>
        <w:t xml:space="preserve"> </w:t>
      </w:r>
      <w:r w:rsidRPr="005275DF">
        <w:rPr>
          <w:rFonts w:asciiTheme="minorBidi" w:hAnsiTheme="minorBidi"/>
          <w:u w:val="double"/>
          <w:rtl/>
        </w:rPr>
        <w:t>גמ':</w:t>
      </w:r>
      <w:r w:rsidRPr="005275DF">
        <w:rPr>
          <w:rFonts w:asciiTheme="minorBidi" w:hAnsiTheme="minorBidi"/>
          <w:rtl/>
        </w:rPr>
        <w:t xml:space="preserve"> ואמאי</w:t>
      </w:r>
      <w:r w:rsidR="00124F15" w:rsidRPr="005275DF">
        <w:rPr>
          <w:rStyle w:val="a9"/>
          <w:rFonts w:asciiTheme="minorBidi" w:hAnsiTheme="minorBidi"/>
          <w:rtl/>
        </w:rPr>
        <w:footnoteReference w:id="2142"/>
      </w:r>
      <w:r w:rsidRPr="005275DF">
        <w:rPr>
          <w:rFonts w:asciiTheme="minorBidi" w:hAnsiTheme="minorBidi"/>
          <w:rtl/>
        </w:rPr>
        <w:t xml:space="preserve">? הוא במקום אחד ועירובו במקום אחר הוא! </w:t>
      </w:r>
      <w:r w:rsidRPr="005275DF">
        <w:rPr>
          <w:rFonts w:asciiTheme="minorBidi" w:hAnsiTheme="minorBidi"/>
          <w:u w:val="single"/>
          <w:rtl/>
        </w:rPr>
        <w:t>רב ושמואל דאמרי תרוייהו</w:t>
      </w:r>
      <w:r w:rsidRPr="005275DF">
        <w:rPr>
          <w:rFonts w:asciiTheme="minorBidi" w:hAnsiTheme="minorBidi"/>
          <w:rtl/>
        </w:rPr>
        <w:t>: הכא במגדל של לבנים עסקינן</w:t>
      </w:r>
      <w:r w:rsidR="00124F15" w:rsidRPr="005275DF">
        <w:rPr>
          <w:rStyle w:val="a9"/>
          <w:rFonts w:asciiTheme="minorBidi" w:hAnsiTheme="minorBidi"/>
          <w:rtl/>
        </w:rPr>
        <w:footnoteReference w:id="2143"/>
      </w:r>
      <w:r w:rsidRPr="005275DF">
        <w:rPr>
          <w:rFonts w:asciiTheme="minorBidi" w:hAnsiTheme="minorBidi"/>
          <w:rtl/>
        </w:rPr>
        <w:t xml:space="preserve">... </w:t>
      </w:r>
      <w:r w:rsidR="00DA56BC">
        <w:rPr>
          <w:rFonts w:asciiTheme="minorBidi" w:hAnsiTheme="minorBidi" w:hint="cs"/>
          <w:sz w:val="14"/>
          <w:szCs w:val="14"/>
          <w:rtl/>
        </w:rPr>
        <w:t>(לה.)</w:t>
      </w:r>
      <w:r w:rsidRPr="005275DF">
        <w:rPr>
          <w:rFonts w:asciiTheme="minorBidi" w:hAnsiTheme="minorBidi"/>
          <w:rtl/>
        </w:rPr>
        <w:t xml:space="preserve"> </w:t>
      </w:r>
      <w:r w:rsidRPr="005275DF">
        <w:rPr>
          <w:rFonts w:asciiTheme="minorBidi" w:hAnsiTheme="minorBidi"/>
          <w:u w:val="single"/>
          <w:rtl/>
        </w:rPr>
        <w:t>רבה ורב יוסף דאמרי תרוייהו</w:t>
      </w:r>
      <w:r w:rsidRPr="005275DF">
        <w:rPr>
          <w:rFonts w:asciiTheme="minorBidi" w:hAnsiTheme="minorBidi"/>
          <w:rtl/>
        </w:rPr>
        <w:t>: הכא במגדל של עץ עסקינן; דמר סבר: כלי הוא, ואין בנין בכלים ואין סתירה בכלים</w:t>
      </w:r>
      <w:r w:rsidR="00124F15" w:rsidRPr="005275DF">
        <w:rPr>
          <w:rStyle w:val="a9"/>
          <w:rFonts w:asciiTheme="minorBidi" w:hAnsiTheme="minorBidi"/>
          <w:rtl/>
        </w:rPr>
        <w:footnoteReference w:id="2144"/>
      </w:r>
      <w:r w:rsidRPr="005275DF">
        <w:rPr>
          <w:rFonts w:asciiTheme="minorBidi" w:hAnsiTheme="minorBidi"/>
          <w:rtl/>
        </w:rPr>
        <w:t>. ומר סבר</w:t>
      </w:r>
      <w:r w:rsidR="004F0A0A">
        <w:rPr>
          <w:rFonts w:asciiTheme="minorBidi" w:hAnsiTheme="minorBidi" w:hint="cs"/>
          <w:rtl/>
        </w:rPr>
        <w:t>: אהל הוא..</w:t>
      </w:r>
      <w:r w:rsidR="00316A33" w:rsidRPr="00316A33">
        <w:rPr>
          <w:rFonts w:asciiTheme="minorBidi" w:hAnsiTheme="minorBidi" w:cs="Arial"/>
          <w:rtl/>
        </w:rPr>
        <w:t>.</w:t>
      </w:r>
      <w:r w:rsidR="00231AC8" w:rsidRPr="00231AC8">
        <w:rPr>
          <w:rtl/>
        </w:rPr>
        <w:t xml:space="preserve"> </w:t>
      </w:r>
      <w:r w:rsidR="00231AC8" w:rsidRPr="00231AC8">
        <w:rPr>
          <w:rFonts w:asciiTheme="minorBidi" w:hAnsiTheme="minorBidi" w:cs="Arial"/>
          <w:u w:val="single"/>
          <w:rtl/>
        </w:rPr>
        <w:t>אביי ורבא דאמרי תרוייהו</w:t>
      </w:r>
      <w:r w:rsidR="00231AC8" w:rsidRPr="00231AC8">
        <w:rPr>
          <w:rFonts w:asciiTheme="minorBidi" w:hAnsiTheme="minorBidi" w:cs="Arial"/>
          <w:rtl/>
        </w:rPr>
        <w:t>: במנעול וקטיר במתנא עסקינן, ובעי סכינא למיפסקיה.</w:t>
      </w:r>
    </w:p>
    <w:p w14:paraId="69A429E3" w14:textId="77777777" w:rsidR="00371E1B" w:rsidRDefault="00371E1B" w:rsidP="00434A6A">
      <w:pPr>
        <w:rPr>
          <w:rFonts w:asciiTheme="minorBidi" w:hAnsiTheme="minorBidi"/>
          <w:rtl/>
        </w:rPr>
      </w:pPr>
      <w:r w:rsidRPr="005275DF">
        <w:rPr>
          <w:rFonts w:asciiTheme="minorBidi" w:hAnsiTheme="minorBidi"/>
          <w:b/>
          <w:bCs/>
          <w:rtl/>
        </w:rPr>
        <w:t xml:space="preserve">שבת </w:t>
      </w:r>
      <w:r>
        <w:rPr>
          <w:rFonts w:asciiTheme="minorBidi" w:hAnsiTheme="minorBidi" w:hint="cs"/>
          <w:b/>
          <w:bCs/>
          <w:sz w:val="16"/>
          <w:szCs w:val="16"/>
          <w:rtl/>
        </w:rPr>
        <w:t xml:space="preserve">(פ' חבית) </w:t>
      </w:r>
      <w:r w:rsidRPr="005275DF">
        <w:rPr>
          <w:rFonts w:asciiTheme="minorBidi" w:hAnsiTheme="minorBidi"/>
          <w:b/>
          <w:bCs/>
          <w:rtl/>
        </w:rPr>
        <w:t xml:space="preserve">קמו ע"א: </w:t>
      </w:r>
      <w:r w:rsidRPr="005275DF">
        <w:rPr>
          <w:rFonts w:asciiTheme="minorBidi" w:hAnsiTheme="minorBidi"/>
          <w:u w:val="double"/>
          <w:rtl/>
        </w:rPr>
        <w:t>משנה</w:t>
      </w:r>
      <w:r w:rsidRPr="005275DF">
        <w:rPr>
          <w:rFonts w:asciiTheme="minorBidi" w:hAnsiTheme="minorBidi"/>
          <w:rtl/>
        </w:rPr>
        <w:t>: שובר אדם את החבית לאכול הימנה גרוגרות</w:t>
      </w:r>
      <w:r w:rsidRPr="005275DF">
        <w:rPr>
          <w:rStyle w:val="a9"/>
          <w:rFonts w:asciiTheme="minorBidi" w:hAnsiTheme="minorBidi"/>
          <w:rtl/>
        </w:rPr>
        <w:footnoteReference w:id="2145"/>
      </w:r>
      <w:r w:rsidRPr="005275DF">
        <w:rPr>
          <w:rFonts w:asciiTheme="minorBidi" w:hAnsiTheme="minorBidi"/>
          <w:rtl/>
        </w:rPr>
        <w:t>, ובלבד שלא יתכוין לעשות כלי</w:t>
      </w:r>
      <w:r w:rsidRPr="005275DF">
        <w:rPr>
          <w:rStyle w:val="a9"/>
          <w:rFonts w:asciiTheme="minorBidi" w:hAnsiTheme="minorBidi"/>
          <w:rtl/>
        </w:rPr>
        <w:footnoteReference w:id="2146"/>
      </w:r>
      <w:r w:rsidRPr="005275DF">
        <w:rPr>
          <w:rFonts w:asciiTheme="minorBidi" w:hAnsiTheme="minorBidi"/>
          <w:rtl/>
        </w:rPr>
        <w:t xml:space="preserve">. </w:t>
      </w:r>
    </w:p>
    <w:p w14:paraId="4D76AD7D" w14:textId="103366EE" w:rsidR="008907F0" w:rsidRPr="00E951F0" w:rsidRDefault="008907F0" w:rsidP="00434A6A">
      <w:pPr>
        <w:rPr>
          <w:rFonts w:cs="Arial"/>
          <w:rtl/>
        </w:rPr>
      </w:pPr>
      <w:r w:rsidRPr="005275DF">
        <w:rPr>
          <w:rFonts w:asciiTheme="minorBidi" w:hAnsiTheme="minorBidi"/>
          <w:b/>
          <w:bCs/>
          <w:rtl/>
        </w:rPr>
        <w:t xml:space="preserve">ביצה </w:t>
      </w:r>
      <w:r>
        <w:rPr>
          <w:rFonts w:asciiTheme="minorBidi" w:hAnsiTheme="minorBidi" w:hint="cs"/>
          <w:b/>
          <w:bCs/>
          <w:sz w:val="16"/>
          <w:szCs w:val="16"/>
          <w:rtl/>
        </w:rPr>
        <w:t xml:space="preserve">(פ' המביא כדי יין) </w:t>
      </w:r>
      <w:r w:rsidRPr="005275DF">
        <w:rPr>
          <w:rFonts w:asciiTheme="minorBidi" w:hAnsiTheme="minorBidi"/>
          <w:b/>
          <w:bCs/>
          <w:rtl/>
        </w:rPr>
        <w:t>לג ע"</w:t>
      </w:r>
      <w:r w:rsidR="00E61847">
        <w:rPr>
          <w:rFonts w:asciiTheme="minorBidi" w:hAnsiTheme="minorBidi" w:hint="cs"/>
          <w:b/>
          <w:bCs/>
          <w:rtl/>
        </w:rPr>
        <w:t>א</w:t>
      </w:r>
      <w:r w:rsidRPr="005275DF">
        <w:rPr>
          <w:rFonts w:asciiTheme="minorBidi" w:hAnsiTheme="minorBidi"/>
          <w:b/>
          <w:bCs/>
          <w:rtl/>
        </w:rPr>
        <w:t xml:space="preserve">: </w:t>
      </w:r>
      <w:r w:rsidR="00E61847" w:rsidRPr="00E61847">
        <w:rPr>
          <w:rFonts w:asciiTheme="minorBidi" w:hAnsiTheme="minorBidi" w:cs="Arial"/>
          <w:u w:val="single"/>
          <w:rtl/>
        </w:rPr>
        <w:t>אמר רב יהודה</w:t>
      </w:r>
      <w:r w:rsidR="00E61847" w:rsidRPr="00E61847">
        <w:rPr>
          <w:rFonts w:asciiTheme="minorBidi" w:hAnsiTheme="minorBidi" w:cs="Arial"/>
          <w:rtl/>
        </w:rPr>
        <w:t>: אוכלי בהמה אין בהן משום תקון כלי.</w:t>
      </w:r>
      <w:r w:rsidR="00E61847">
        <w:rPr>
          <w:rFonts w:asciiTheme="minorBidi" w:hAnsiTheme="minorBidi" w:cs="Arial" w:hint="cs"/>
          <w:rtl/>
        </w:rPr>
        <w:t>..</w:t>
      </w:r>
      <w:r w:rsidR="00E61847" w:rsidRPr="00E61847">
        <w:rPr>
          <w:rFonts w:asciiTheme="minorBidi" w:hAnsiTheme="minorBidi" w:cs="Arial"/>
          <w:rtl/>
        </w:rPr>
        <w:t xml:space="preserve"> </w:t>
      </w:r>
      <w:r w:rsidR="00575AEE" w:rsidRPr="00E61847">
        <w:rPr>
          <w:rFonts w:asciiTheme="minorBidi" w:hAnsiTheme="minorBidi" w:cs="Arial"/>
          <w:u w:val="single"/>
          <w:rtl/>
        </w:rPr>
        <w:t>איתיביה רב כהנא לרב יהודה</w:t>
      </w:r>
      <w:r w:rsidR="00575AEE" w:rsidRPr="00575AEE">
        <w:rPr>
          <w:rFonts w:asciiTheme="minorBidi" w:hAnsiTheme="minorBidi" w:cs="Arial"/>
          <w:rtl/>
        </w:rPr>
        <w:t>: מטלטלין עצי בשמים להריח בהן, ולהניף בהן לחולה, ומוללו ומריח בו. ולא יקטמנו להריח בו, ואם קטמו - פטור אבל אסור. לחצוץ בו שניו - לא יקטמנו, ואם קטמו - חייב חטאת.</w:t>
      </w:r>
      <w:r w:rsidR="00E61847">
        <w:rPr>
          <w:rFonts w:asciiTheme="minorBidi" w:hAnsiTheme="minorBidi" w:cs="Arial" w:hint="cs"/>
          <w:rtl/>
        </w:rPr>
        <w:t>..</w:t>
      </w:r>
      <w:r w:rsidR="00575AEE" w:rsidRPr="00575AEE">
        <w:rPr>
          <w:rFonts w:asciiTheme="minorBidi" w:hAnsiTheme="minorBidi" w:cs="Arial"/>
          <w:rtl/>
        </w:rPr>
        <w:t xml:space="preserve"> תני חדא: קוטמו ומריח בו, ותניא אידך: לא יקטמנו להריח בו!</w:t>
      </w:r>
      <w:r w:rsidR="00575AEE">
        <w:rPr>
          <w:rFonts w:asciiTheme="minorBidi" w:hAnsiTheme="minorBidi" w:cs="Arial" w:hint="cs"/>
          <w:rtl/>
        </w:rPr>
        <w:t>...</w:t>
      </w:r>
      <w:r w:rsidR="00575AEE" w:rsidRPr="00575AEE">
        <w:rPr>
          <w:rFonts w:asciiTheme="minorBidi" w:hAnsiTheme="minorBidi" w:cs="Arial"/>
          <w:rtl/>
        </w:rPr>
        <w:t xml:space="preserve"> לא קשיא; הא - רבי אליעזר, הא - רבנן. </w:t>
      </w:r>
      <w:r w:rsidR="00913738" w:rsidRPr="00913738">
        <w:rPr>
          <w:rFonts w:asciiTheme="minorBidi" w:hAnsiTheme="minorBidi" w:cs="Arial"/>
          <w:rtl/>
        </w:rPr>
        <w:t xml:space="preserve">דתניא, </w:t>
      </w:r>
      <w:r w:rsidR="00913738" w:rsidRPr="00E61847">
        <w:rPr>
          <w:rFonts w:asciiTheme="minorBidi" w:hAnsiTheme="minorBidi" w:cs="Arial"/>
          <w:u w:val="single"/>
          <w:rtl/>
        </w:rPr>
        <w:t>רבי אליעזר אומר</w:t>
      </w:r>
      <w:r w:rsidR="00913738" w:rsidRPr="00913738">
        <w:rPr>
          <w:rFonts w:asciiTheme="minorBidi" w:hAnsiTheme="minorBidi" w:cs="Arial"/>
          <w:rtl/>
        </w:rPr>
        <w:t xml:space="preserve">: נוטל אדם קיסם משלפניו לחצוץ בו שיניו, </w:t>
      </w:r>
      <w:r w:rsidR="00913738" w:rsidRPr="00E61847">
        <w:rPr>
          <w:rFonts w:asciiTheme="minorBidi" w:hAnsiTheme="minorBidi" w:cs="Arial"/>
          <w:u w:val="single"/>
          <w:rtl/>
        </w:rPr>
        <w:t>וחכמים אומרים</w:t>
      </w:r>
      <w:r w:rsidR="00913738" w:rsidRPr="00913738">
        <w:rPr>
          <w:rFonts w:asciiTheme="minorBidi" w:hAnsiTheme="minorBidi" w:cs="Arial"/>
          <w:rtl/>
        </w:rPr>
        <w:t>: לא יטול אלא מאבוס של בהמה. ושוין שלא יקטמנו</w:t>
      </w:r>
      <w:r w:rsidR="009E6B76">
        <w:rPr>
          <w:rFonts w:asciiTheme="minorBidi" w:hAnsiTheme="minorBidi" w:cs="Arial" w:hint="cs"/>
          <w:rtl/>
        </w:rPr>
        <w:t>.</w:t>
      </w:r>
      <w:r w:rsidR="00913738" w:rsidRPr="00913738">
        <w:rPr>
          <w:rFonts w:asciiTheme="minorBidi" w:hAnsiTheme="minorBidi" w:cs="Arial"/>
          <w:rtl/>
        </w:rPr>
        <w:t xml:space="preserve"> ואם קטמו לחצוץ בו שיניו ולפתוח בו הדלת, בשוגג בשבת - חייב חטאת, במזיד ביום טוב - סופג את הארבעים, </w:t>
      </w:r>
      <w:r w:rsidR="00913738" w:rsidRPr="00E61847">
        <w:rPr>
          <w:rFonts w:asciiTheme="minorBidi" w:hAnsiTheme="minorBidi" w:cs="Arial"/>
          <w:u w:val="single"/>
          <w:rtl/>
        </w:rPr>
        <w:t>דברי רבי אליעזר</w:t>
      </w:r>
      <w:r w:rsidR="00913738" w:rsidRPr="00913738">
        <w:rPr>
          <w:rFonts w:asciiTheme="minorBidi" w:hAnsiTheme="minorBidi" w:cs="Arial"/>
          <w:rtl/>
        </w:rPr>
        <w:t xml:space="preserve">. </w:t>
      </w:r>
      <w:r w:rsidR="00913738" w:rsidRPr="00E61847">
        <w:rPr>
          <w:rFonts w:asciiTheme="minorBidi" w:hAnsiTheme="minorBidi" w:cs="Arial"/>
          <w:u w:val="single"/>
          <w:rtl/>
        </w:rPr>
        <w:t>וחכמים אומרים</w:t>
      </w:r>
      <w:r w:rsidR="00913738" w:rsidRPr="00913738">
        <w:rPr>
          <w:rFonts w:asciiTheme="minorBidi" w:hAnsiTheme="minorBidi" w:cs="Arial"/>
          <w:rtl/>
        </w:rPr>
        <w:t>: אחד זה ואחד זה אינו אלא משום שבות</w:t>
      </w:r>
      <w:r w:rsidR="00C31191">
        <w:rPr>
          <w:rStyle w:val="a9"/>
          <w:rFonts w:asciiTheme="minorBidi" w:hAnsiTheme="minorBidi" w:cs="Arial"/>
          <w:rtl/>
        </w:rPr>
        <w:footnoteReference w:id="2147"/>
      </w:r>
      <w:r w:rsidR="00913738" w:rsidRPr="00913738">
        <w:rPr>
          <w:rFonts w:asciiTheme="minorBidi" w:hAnsiTheme="minorBidi" w:cs="Arial"/>
          <w:rtl/>
        </w:rPr>
        <w:t>. רבי אליעזר דקאמר התם חייב חטאת - הכא פטור אבל אסור, רבנן דקא אמרי התם פטור אבל אסור - הכא מותר לכתחלה. ולית ליה לרבי אליעזר הא דתנן: שובר אדם את החבית לאכול ממנה גרוגרות, ובלבד שלא יתכוין לעשות כלי</w:t>
      </w:r>
      <w:r w:rsidR="00371E1B">
        <w:rPr>
          <w:rStyle w:val="a9"/>
          <w:rFonts w:asciiTheme="minorBidi" w:hAnsiTheme="minorBidi" w:cs="Arial"/>
          <w:rtl/>
        </w:rPr>
        <w:footnoteReference w:id="2148"/>
      </w:r>
      <w:r w:rsidR="00913738" w:rsidRPr="00913738">
        <w:rPr>
          <w:rFonts w:asciiTheme="minorBidi" w:hAnsiTheme="minorBidi" w:cs="Arial"/>
          <w:rtl/>
        </w:rPr>
        <w:t xml:space="preserve">? </w:t>
      </w:r>
      <w:r w:rsidR="00913738" w:rsidRPr="00913738">
        <w:rPr>
          <w:rFonts w:asciiTheme="minorBidi" w:hAnsiTheme="minorBidi" w:cs="Arial"/>
          <w:u w:val="single"/>
          <w:rtl/>
        </w:rPr>
        <w:t>אמר רב אשי</w:t>
      </w:r>
      <w:r w:rsidR="00913738" w:rsidRPr="00913738">
        <w:rPr>
          <w:rFonts w:asciiTheme="minorBidi" w:hAnsiTheme="minorBidi" w:cs="Arial"/>
          <w:rtl/>
        </w:rPr>
        <w:t>: כי תניא ההיא</w:t>
      </w:r>
      <w:r w:rsidR="00913738">
        <w:rPr>
          <w:rStyle w:val="a9"/>
          <w:rFonts w:asciiTheme="minorBidi" w:hAnsiTheme="minorBidi" w:cs="Arial"/>
          <w:rtl/>
        </w:rPr>
        <w:footnoteReference w:id="2149"/>
      </w:r>
      <w:r w:rsidR="00913738" w:rsidRPr="00913738">
        <w:rPr>
          <w:rFonts w:asciiTheme="minorBidi" w:hAnsiTheme="minorBidi" w:cs="Arial"/>
          <w:rtl/>
        </w:rPr>
        <w:t xml:space="preserve"> - במוסתקי</w:t>
      </w:r>
      <w:r w:rsidR="00913738">
        <w:rPr>
          <w:rStyle w:val="a9"/>
          <w:rFonts w:asciiTheme="minorBidi" w:hAnsiTheme="minorBidi" w:cs="Arial"/>
          <w:rtl/>
        </w:rPr>
        <w:footnoteReference w:id="2150"/>
      </w:r>
      <w:r w:rsidR="00913738" w:rsidRPr="00913738">
        <w:rPr>
          <w:rFonts w:asciiTheme="minorBidi" w:hAnsiTheme="minorBidi" w:cs="Arial"/>
          <w:rtl/>
        </w:rPr>
        <w:t xml:space="preserve">. </w:t>
      </w:r>
      <w:r w:rsidR="00E951F0" w:rsidRPr="008329BC">
        <w:rPr>
          <w:rFonts w:asciiTheme="minorBidi" w:hAnsiTheme="minorBidi" w:cs="Arial" w:hint="cs"/>
          <w:sz w:val="16"/>
          <w:szCs w:val="16"/>
          <w:rtl/>
        </w:rPr>
        <w:t>(</w:t>
      </w:r>
      <w:r w:rsidR="00E951F0" w:rsidRPr="008329BC">
        <w:rPr>
          <w:rFonts w:cs="Arial"/>
          <w:sz w:val="16"/>
          <w:szCs w:val="16"/>
          <w:rtl/>
        </w:rPr>
        <w:t>ואע</w:t>
      </w:r>
      <w:r w:rsidR="00E951F0" w:rsidRPr="008329BC">
        <w:rPr>
          <w:rFonts w:cs="Arial" w:hint="cs"/>
          <w:sz w:val="16"/>
          <w:szCs w:val="16"/>
          <w:rtl/>
        </w:rPr>
        <w:t>"</w:t>
      </w:r>
      <w:r w:rsidR="00E951F0" w:rsidRPr="008329BC">
        <w:rPr>
          <w:rFonts w:cs="Arial"/>
          <w:sz w:val="16"/>
          <w:szCs w:val="16"/>
          <w:rtl/>
        </w:rPr>
        <w:t>ג דהתם לא מוקי לה במוסתקי אלא לרבי אליעזר</w:t>
      </w:r>
      <w:r w:rsidR="00E951F0" w:rsidRPr="008329BC">
        <w:rPr>
          <w:rFonts w:cs="Arial" w:hint="cs"/>
          <w:sz w:val="16"/>
          <w:szCs w:val="16"/>
          <w:rtl/>
        </w:rPr>
        <w:t>,</w:t>
      </w:r>
      <w:r w:rsidR="00E951F0" w:rsidRPr="008329BC">
        <w:rPr>
          <w:rFonts w:cs="Arial"/>
          <w:sz w:val="16"/>
          <w:szCs w:val="16"/>
          <w:rtl/>
        </w:rPr>
        <w:t xml:space="preserve"> מיהו גם לרבנן איכא לאוקומי הכי</w:t>
      </w:r>
      <w:r w:rsidR="00E951F0" w:rsidRPr="008329BC">
        <w:rPr>
          <w:rFonts w:cs="Arial" w:hint="cs"/>
          <w:sz w:val="16"/>
          <w:szCs w:val="16"/>
          <w:rtl/>
        </w:rPr>
        <w:t>, רא"ש (עירובין פ"ג סי' ה)</w:t>
      </w:r>
      <w:r w:rsidR="008329BC">
        <w:rPr>
          <w:rFonts w:cs="Arial" w:hint="cs"/>
          <w:sz w:val="16"/>
          <w:szCs w:val="16"/>
          <w:rtl/>
        </w:rPr>
        <w:t>.</w:t>
      </w:r>
      <w:r w:rsidR="00E951F0" w:rsidRPr="008329BC">
        <w:rPr>
          <w:rFonts w:cs="Arial" w:hint="cs"/>
          <w:sz w:val="16"/>
          <w:szCs w:val="16"/>
          <w:rtl/>
        </w:rPr>
        <w:t xml:space="preserve"> וכ"כ התוס' </w:t>
      </w:r>
      <w:r w:rsidR="008329BC" w:rsidRPr="008329BC">
        <w:rPr>
          <w:rFonts w:cs="Arial" w:hint="cs"/>
          <w:sz w:val="16"/>
          <w:szCs w:val="16"/>
          <w:rtl/>
        </w:rPr>
        <w:t>(</w:t>
      </w:r>
      <w:r w:rsidR="008329BC" w:rsidRPr="008329BC">
        <w:rPr>
          <w:rFonts w:cs="Arial"/>
          <w:sz w:val="16"/>
          <w:szCs w:val="16"/>
          <w:rtl/>
        </w:rPr>
        <w:t>פרק בכל מערבין לד: ד"ה ואמאי</w:t>
      </w:r>
      <w:r w:rsidR="008329BC" w:rsidRPr="008329BC">
        <w:rPr>
          <w:rFonts w:cs="Arial" w:hint="cs"/>
          <w:sz w:val="16"/>
          <w:szCs w:val="16"/>
          <w:rtl/>
        </w:rPr>
        <w:t xml:space="preserve">, </w:t>
      </w:r>
      <w:r w:rsidR="008329BC" w:rsidRPr="008329BC">
        <w:rPr>
          <w:rFonts w:cs="Arial"/>
          <w:sz w:val="16"/>
          <w:szCs w:val="16"/>
          <w:rtl/>
        </w:rPr>
        <w:t>ובפרק חבית קמו. ד"ה שובר)</w:t>
      </w:r>
      <w:r w:rsidR="00E951F0" w:rsidRPr="008329BC">
        <w:rPr>
          <w:rFonts w:cs="Arial" w:hint="cs"/>
          <w:sz w:val="16"/>
          <w:szCs w:val="16"/>
          <w:rtl/>
        </w:rPr>
        <w:t xml:space="preserve">. אך הרשב"א </w:t>
      </w:r>
      <w:r w:rsidR="008329BC" w:rsidRPr="008329BC">
        <w:rPr>
          <w:rFonts w:asciiTheme="minorBidi" w:hAnsiTheme="minorBidi" w:cs="Arial" w:hint="cs"/>
          <w:sz w:val="16"/>
          <w:szCs w:val="16"/>
          <w:rtl/>
        </w:rPr>
        <w:t>(שבת קמו. ד"ה ואף פירוש) כתב ד</w:t>
      </w:r>
      <w:r w:rsidR="008329BC" w:rsidRPr="008329BC">
        <w:rPr>
          <w:rFonts w:asciiTheme="minorBidi" w:hAnsiTheme="minorBidi" w:cs="Arial"/>
          <w:sz w:val="16"/>
          <w:szCs w:val="16"/>
          <w:rtl/>
        </w:rPr>
        <w:t>לרבנן שרי</w:t>
      </w:r>
      <w:r w:rsidR="008329BC" w:rsidRPr="008329BC">
        <w:rPr>
          <w:rFonts w:asciiTheme="minorBidi" w:hAnsiTheme="minorBidi" w:cs="Arial" w:hint="cs"/>
          <w:sz w:val="16"/>
          <w:szCs w:val="16"/>
          <w:rtl/>
        </w:rPr>
        <w:t xml:space="preserve"> גם בחבית טובה</w:t>
      </w:r>
      <w:r w:rsidR="008329BC" w:rsidRPr="008329BC">
        <w:rPr>
          <w:rFonts w:asciiTheme="minorBidi" w:hAnsiTheme="minorBidi" w:cs="Arial"/>
          <w:sz w:val="16"/>
          <w:szCs w:val="16"/>
          <w:rtl/>
        </w:rPr>
        <w:t>, דלעין יפה קא מכוין, אבל בנותן עירובו במגדל היינו טעמא משום דהתם במגדל גדול מיירי דהוי כמו אהל ושייך ביה בנין וסתירה, הא במגדל קטן לא שייך ביה טעמא דבנין וסתירה והיינו טעמא דחבית, וכן פירש רש"י ז"ל שם בעירובין (לה</w:t>
      </w:r>
      <w:r w:rsidR="008329BC" w:rsidRPr="008329BC">
        <w:rPr>
          <w:rFonts w:asciiTheme="minorBidi" w:hAnsiTheme="minorBidi" w:cs="Arial" w:hint="cs"/>
          <w:sz w:val="16"/>
          <w:szCs w:val="16"/>
          <w:rtl/>
        </w:rPr>
        <w:t>.</w:t>
      </w:r>
      <w:r w:rsidR="008329BC" w:rsidRPr="008329BC">
        <w:rPr>
          <w:rFonts w:asciiTheme="minorBidi" w:hAnsiTheme="minorBidi" w:cs="Arial"/>
          <w:sz w:val="16"/>
          <w:szCs w:val="16"/>
          <w:rtl/>
        </w:rPr>
        <w:t>), וכן מוכחא כל אותה סוגיא ששם דאין בנין בכלים ואין סתירה בכלים ומותר לשוברו, אלא טעמא דמגדל משום דאין לו דין כלי</w:t>
      </w:r>
      <w:r w:rsidR="008329BC" w:rsidRPr="008329BC">
        <w:rPr>
          <w:rFonts w:asciiTheme="minorBidi" w:hAnsiTheme="minorBidi" w:cs="Arial" w:hint="cs"/>
          <w:sz w:val="16"/>
          <w:szCs w:val="16"/>
          <w:rtl/>
        </w:rPr>
        <w:t>. עכ"ל הרשב"א. וכ"כ האו"ז (ח"ב סי' עח) והר"ן (פ' חבית סא:))</w:t>
      </w:r>
      <w:r w:rsidR="008329BC">
        <w:rPr>
          <w:rFonts w:asciiTheme="minorBidi" w:hAnsiTheme="minorBidi" w:cs="Arial" w:hint="cs"/>
          <w:rtl/>
        </w:rPr>
        <w:t xml:space="preserve"> </w:t>
      </w:r>
    </w:p>
    <w:p w14:paraId="58374E68" w14:textId="44F87DC3" w:rsidR="00073504" w:rsidRPr="005275DF" w:rsidRDefault="00073504" w:rsidP="00434A6A">
      <w:pPr>
        <w:rPr>
          <w:rFonts w:asciiTheme="minorBidi" w:hAnsiTheme="minorBidi"/>
          <w:rtl/>
        </w:rPr>
      </w:pPr>
      <w:r w:rsidRPr="005275DF">
        <w:rPr>
          <w:rFonts w:asciiTheme="minorBidi" w:hAnsiTheme="minorBidi"/>
          <w:b/>
          <w:bCs/>
          <w:rtl/>
        </w:rPr>
        <w:t xml:space="preserve">ירושלמי ערובין פ"ג ה"ג: </w:t>
      </w:r>
      <w:r w:rsidRPr="005275DF">
        <w:rPr>
          <w:rFonts w:asciiTheme="minorBidi" w:hAnsiTheme="minorBidi"/>
          <w:rtl/>
        </w:rPr>
        <w:t>הדא דתימר במגדל של אבן</w:t>
      </w:r>
      <w:r>
        <w:rPr>
          <w:rFonts w:asciiTheme="minorBidi" w:hAnsiTheme="minorBidi" w:hint="cs"/>
          <w:rtl/>
        </w:rPr>
        <w:t>.</w:t>
      </w:r>
      <w:r w:rsidRPr="005275DF">
        <w:rPr>
          <w:rFonts w:asciiTheme="minorBidi" w:hAnsiTheme="minorBidi"/>
          <w:rtl/>
        </w:rPr>
        <w:t xml:space="preserve"> אבל במגדל של עץ </w:t>
      </w:r>
      <w:r>
        <w:rPr>
          <w:rFonts w:asciiTheme="minorBidi" w:hAnsiTheme="minorBidi" w:hint="cs"/>
          <w:rtl/>
        </w:rPr>
        <w:t xml:space="preserve">- </w:t>
      </w:r>
      <w:r w:rsidRPr="005275DF">
        <w:rPr>
          <w:rFonts w:asciiTheme="minorBidi" w:hAnsiTheme="minorBidi"/>
          <w:rtl/>
        </w:rPr>
        <w:t>נעשה כשובר את החבית לוכל ממנה גרוגרות.</w:t>
      </w:r>
      <w:r w:rsidRPr="00073504">
        <w:rPr>
          <w:rFonts w:cs="Arial"/>
          <w:rtl/>
        </w:rPr>
        <w:t xml:space="preserve"> </w:t>
      </w:r>
      <w:r>
        <w:rPr>
          <w:rFonts w:cs="Arial" w:hint="cs"/>
          <w:sz w:val="16"/>
          <w:szCs w:val="16"/>
          <w:rtl/>
        </w:rPr>
        <w:t>(</w:t>
      </w:r>
      <w:r w:rsidR="00703A92" w:rsidRPr="00703A92">
        <w:rPr>
          <w:rFonts w:cs="Arial"/>
          <w:sz w:val="16"/>
          <w:szCs w:val="16"/>
          <w:rtl/>
        </w:rPr>
        <w:t>משמע דבלא מוסתקי נמי שרי בכלי של עץ</w:t>
      </w:r>
      <w:r>
        <w:rPr>
          <w:rFonts w:cs="Arial" w:hint="cs"/>
          <w:sz w:val="16"/>
          <w:szCs w:val="16"/>
          <w:rtl/>
        </w:rPr>
        <w:t xml:space="preserve">, </w:t>
      </w:r>
      <w:r w:rsidR="00703A92">
        <w:rPr>
          <w:rFonts w:cs="Arial" w:hint="cs"/>
          <w:sz w:val="16"/>
          <w:szCs w:val="16"/>
          <w:rtl/>
        </w:rPr>
        <w:t>תוס' (עירובין לד: סד"ה ואמאי)</w:t>
      </w:r>
      <w:r>
        <w:rPr>
          <w:rFonts w:cs="Arial" w:hint="cs"/>
          <w:sz w:val="16"/>
          <w:szCs w:val="16"/>
          <w:rtl/>
        </w:rPr>
        <w:t>)</w:t>
      </w:r>
    </w:p>
    <w:p w14:paraId="5CEA7358" w14:textId="0F07511E" w:rsidR="008907F0" w:rsidRPr="005275DF" w:rsidRDefault="00D30B97" w:rsidP="00434A6A">
      <w:pPr>
        <w:rPr>
          <w:rFonts w:asciiTheme="minorBidi" w:hAnsiTheme="minorBidi"/>
          <w:rtl/>
        </w:rPr>
      </w:pPr>
      <w:r w:rsidRPr="005275DF">
        <w:rPr>
          <w:rFonts w:asciiTheme="minorBidi" w:hAnsiTheme="minorBidi"/>
          <w:b/>
          <w:bCs/>
          <w:rtl/>
        </w:rPr>
        <w:t xml:space="preserve">שבת </w:t>
      </w:r>
      <w:r>
        <w:rPr>
          <w:rFonts w:asciiTheme="minorBidi" w:hAnsiTheme="minorBidi" w:hint="cs"/>
          <w:b/>
          <w:bCs/>
          <w:sz w:val="16"/>
          <w:szCs w:val="16"/>
          <w:rtl/>
        </w:rPr>
        <w:t xml:space="preserve">(פ' הבונה) </w:t>
      </w:r>
      <w:r w:rsidRPr="005275DF">
        <w:rPr>
          <w:rFonts w:asciiTheme="minorBidi" w:hAnsiTheme="minorBidi"/>
          <w:b/>
          <w:bCs/>
          <w:rtl/>
        </w:rPr>
        <w:t>ק</w:t>
      </w:r>
      <w:r>
        <w:rPr>
          <w:rFonts w:asciiTheme="minorBidi" w:hAnsiTheme="minorBidi" w:hint="cs"/>
          <w:b/>
          <w:bCs/>
          <w:rtl/>
        </w:rPr>
        <w:t>ב</w:t>
      </w:r>
      <w:r w:rsidRPr="005275DF">
        <w:rPr>
          <w:rFonts w:asciiTheme="minorBidi" w:hAnsiTheme="minorBidi"/>
          <w:b/>
          <w:bCs/>
          <w:rtl/>
        </w:rPr>
        <w:t xml:space="preserve"> ע"</w:t>
      </w:r>
      <w:r>
        <w:rPr>
          <w:rFonts w:asciiTheme="minorBidi" w:hAnsiTheme="minorBidi" w:hint="cs"/>
          <w:b/>
          <w:bCs/>
          <w:rtl/>
        </w:rPr>
        <w:t>ב</w:t>
      </w:r>
      <w:r w:rsidRPr="005275DF">
        <w:rPr>
          <w:rFonts w:asciiTheme="minorBidi" w:hAnsiTheme="minorBidi"/>
          <w:b/>
          <w:bCs/>
          <w:rtl/>
        </w:rPr>
        <w:t>:</w:t>
      </w:r>
      <w:r>
        <w:rPr>
          <w:rFonts w:asciiTheme="minorBidi" w:hAnsiTheme="minorBidi" w:cs="Arial" w:hint="cs"/>
          <w:rtl/>
        </w:rPr>
        <w:t xml:space="preserve"> </w:t>
      </w:r>
      <w:r w:rsidRPr="00D30B97">
        <w:rPr>
          <w:rFonts w:asciiTheme="minorBidi" w:hAnsiTheme="minorBidi" w:cs="Arial"/>
          <w:rtl/>
        </w:rPr>
        <w:t>עייל שופתא בקופינא דמרא</w:t>
      </w:r>
      <w:r w:rsidR="00266839">
        <w:rPr>
          <w:rStyle w:val="a9"/>
          <w:rFonts w:asciiTheme="minorBidi" w:hAnsiTheme="minorBidi" w:cs="Arial"/>
          <w:rtl/>
        </w:rPr>
        <w:footnoteReference w:id="2151"/>
      </w:r>
      <w:r w:rsidRPr="00D30B97">
        <w:rPr>
          <w:rFonts w:asciiTheme="minorBidi" w:hAnsiTheme="minorBidi" w:cs="Arial"/>
          <w:rtl/>
        </w:rPr>
        <w:t xml:space="preserve">, </w:t>
      </w:r>
      <w:r w:rsidRPr="00D30B97">
        <w:rPr>
          <w:rFonts w:asciiTheme="minorBidi" w:hAnsiTheme="minorBidi" w:cs="Arial"/>
          <w:u w:val="single"/>
          <w:rtl/>
        </w:rPr>
        <w:t>רב אמר</w:t>
      </w:r>
      <w:r w:rsidRPr="00D30B97">
        <w:rPr>
          <w:rFonts w:asciiTheme="minorBidi" w:hAnsiTheme="minorBidi" w:cs="Arial"/>
          <w:rtl/>
        </w:rPr>
        <w:t xml:space="preserve">: משום בונה, </w:t>
      </w:r>
      <w:r w:rsidRPr="00D30B97">
        <w:rPr>
          <w:rFonts w:asciiTheme="minorBidi" w:hAnsiTheme="minorBidi" w:cs="Arial"/>
          <w:u w:val="single"/>
          <w:rtl/>
        </w:rPr>
        <w:t>ושמואל אמר</w:t>
      </w:r>
      <w:r w:rsidRPr="00D30B97">
        <w:rPr>
          <w:rFonts w:asciiTheme="minorBidi" w:hAnsiTheme="minorBidi" w:cs="Arial"/>
          <w:rtl/>
        </w:rPr>
        <w:t>: משום מכה בפטיש.</w:t>
      </w:r>
    </w:p>
    <w:p w14:paraId="6ECCF68D" w14:textId="77777777" w:rsidR="00FC461D" w:rsidRDefault="00FC461D" w:rsidP="00434A6A">
      <w:pPr>
        <w:rPr>
          <w:rFonts w:cs="Arial"/>
          <w:rtl/>
        </w:rPr>
      </w:pPr>
      <w:r w:rsidRPr="00FC461D">
        <w:rPr>
          <w:rFonts w:cs="Arial" w:hint="cs"/>
          <w:u w:val="single"/>
          <w:rtl/>
        </w:rPr>
        <w:t>מתי אומרים אין בנין וסתירה בכלים:</w:t>
      </w:r>
    </w:p>
    <w:p w14:paraId="59616CE2" w14:textId="2617F6CE" w:rsidR="00645028" w:rsidRPr="00613B3B" w:rsidRDefault="00182CF6" w:rsidP="00434A6A">
      <w:pPr>
        <w:pStyle w:val="aa"/>
        <w:numPr>
          <w:ilvl w:val="0"/>
          <w:numId w:val="15"/>
        </w:numPr>
        <w:rPr>
          <w:rFonts w:asciiTheme="minorBidi" w:hAnsiTheme="minorBidi"/>
          <w:rtl/>
        </w:rPr>
      </w:pPr>
      <w:r w:rsidRPr="00F731F6">
        <w:rPr>
          <w:rFonts w:cs="Arial"/>
          <w:rtl/>
        </w:rPr>
        <w:t>רא"ש</w:t>
      </w:r>
      <w:r w:rsidR="00613B3B">
        <w:rPr>
          <w:rStyle w:val="a9"/>
          <w:rFonts w:cs="Arial"/>
          <w:rtl/>
        </w:rPr>
        <w:footnoteReference w:id="2152"/>
      </w:r>
      <w:r w:rsidRPr="00F731F6">
        <w:rPr>
          <w:rFonts w:cs="Arial"/>
          <w:rtl/>
        </w:rPr>
        <w:t xml:space="preserve"> </w:t>
      </w:r>
      <w:r w:rsidRPr="00F731F6">
        <w:rPr>
          <w:rFonts w:cs="Arial"/>
          <w:sz w:val="16"/>
          <w:szCs w:val="16"/>
          <w:rtl/>
        </w:rPr>
        <w:t>(</w:t>
      </w:r>
      <w:r w:rsidR="008907F0" w:rsidRPr="00F731F6">
        <w:rPr>
          <w:rFonts w:cs="Arial" w:hint="cs"/>
          <w:sz w:val="16"/>
          <w:szCs w:val="16"/>
          <w:rtl/>
        </w:rPr>
        <w:t>עירובין</w:t>
      </w:r>
      <w:r w:rsidR="00F4404B">
        <w:rPr>
          <w:rStyle w:val="a9"/>
          <w:rFonts w:cs="Arial"/>
          <w:sz w:val="16"/>
          <w:szCs w:val="16"/>
          <w:rtl/>
        </w:rPr>
        <w:footnoteReference w:id="2153"/>
      </w:r>
      <w:r w:rsidR="008907F0" w:rsidRPr="00F731F6">
        <w:rPr>
          <w:rFonts w:cs="Arial" w:hint="cs"/>
          <w:sz w:val="16"/>
          <w:szCs w:val="16"/>
          <w:rtl/>
        </w:rPr>
        <w:t xml:space="preserve"> </w:t>
      </w:r>
      <w:r w:rsidR="00F731F6">
        <w:rPr>
          <w:rFonts w:cs="Arial" w:hint="cs"/>
          <w:sz w:val="16"/>
          <w:szCs w:val="16"/>
          <w:rtl/>
        </w:rPr>
        <w:t>פ"ג</w:t>
      </w:r>
      <w:r w:rsidR="008907F0" w:rsidRPr="00F731F6">
        <w:rPr>
          <w:rFonts w:cs="Arial" w:hint="cs"/>
          <w:sz w:val="16"/>
          <w:szCs w:val="16"/>
          <w:rtl/>
        </w:rPr>
        <w:t xml:space="preserve"> </w:t>
      </w:r>
      <w:r w:rsidRPr="00F731F6">
        <w:rPr>
          <w:rFonts w:cs="Arial"/>
          <w:sz w:val="16"/>
          <w:szCs w:val="16"/>
          <w:rtl/>
        </w:rPr>
        <w:t>סי' ה</w:t>
      </w:r>
      <w:r w:rsidR="009E6B76">
        <w:rPr>
          <w:rFonts w:cs="Arial" w:hint="cs"/>
          <w:sz w:val="16"/>
          <w:szCs w:val="16"/>
          <w:rtl/>
        </w:rPr>
        <w:t>, וכן בשבת פ' חבית סי' ו</w:t>
      </w:r>
      <w:r w:rsidRPr="00F731F6">
        <w:rPr>
          <w:rFonts w:cs="Arial"/>
          <w:sz w:val="16"/>
          <w:szCs w:val="16"/>
          <w:rtl/>
        </w:rPr>
        <w:t>)</w:t>
      </w:r>
      <w:r w:rsidRPr="00F731F6">
        <w:rPr>
          <w:rFonts w:cs="Arial"/>
          <w:rtl/>
        </w:rPr>
        <w:t xml:space="preserve"> </w:t>
      </w:r>
      <w:r w:rsidR="00613B3B">
        <w:rPr>
          <w:rFonts w:cs="Arial" w:hint="cs"/>
          <w:rtl/>
        </w:rPr>
        <w:t>ו</w:t>
      </w:r>
      <w:r w:rsidR="00613B3B">
        <w:rPr>
          <w:rFonts w:asciiTheme="minorBidi" w:hAnsiTheme="minorBidi" w:cs="Arial" w:hint="cs"/>
          <w:rtl/>
        </w:rPr>
        <w:t xml:space="preserve">טור- </w:t>
      </w:r>
      <w:r w:rsidR="00613B3B" w:rsidRPr="00182CF6">
        <w:rPr>
          <w:rFonts w:asciiTheme="minorBidi" w:hAnsiTheme="minorBidi" w:cs="Arial"/>
          <w:rtl/>
        </w:rPr>
        <w:t>אין בנין וסתירה בכלים</w:t>
      </w:r>
      <w:r w:rsidR="00981DA0">
        <w:rPr>
          <w:rFonts w:asciiTheme="minorBidi" w:hAnsiTheme="minorBidi" w:cs="Arial" w:hint="cs"/>
          <w:rtl/>
        </w:rPr>
        <w:t>.</w:t>
      </w:r>
      <w:r w:rsidR="00613B3B" w:rsidRPr="00182CF6">
        <w:rPr>
          <w:rFonts w:asciiTheme="minorBidi" w:hAnsiTheme="minorBidi" w:cs="Arial"/>
          <w:rtl/>
        </w:rPr>
        <w:t xml:space="preserve"> וה</w:t>
      </w:r>
      <w:r w:rsidR="00981DA0">
        <w:rPr>
          <w:rFonts w:asciiTheme="minorBidi" w:hAnsiTheme="minorBidi" w:cs="Arial" w:hint="cs"/>
          <w:rtl/>
        </w:rPr>
        <w:t>ני מילי</w:t>
      </w:r>
      <w:r w:rsidR="00613B3B" w:rsidRPr="00182CF6">
        <w:rPr>
          <w:rFonts w:asciiTheme="minorBidi" w:hAnsiTheme="minorBidi" w:cs="Arial"/>
          <w:rtl/>
        </w:rPr>
        <w:t xml:space="preserve"> שאינו בנין ממש</w:t>
      </w:r>
      <w:r w:rsidR="00981DA0">
        <w:rPr>
          <w:rFonts w:asciiTheme="minorBidi" w:hAnsiTheme="minorBidi" w:cs="Arial" w:hint="cs"/>
          <w:rtl/>
        </w:rPr>
        <w:t>,</w:t>
      </w:r>
      <w:r w:rsidR="00613B3B" w:rsidRPr="00182CF6">
        <w:rPr>
          <w:rFonts w:asciiTheme="minorBidi" w:hAnsiTheme="minorBidi" w:cs="Arial"/>
          <w:rtl/>
        </w:rPr>
        <w:t xml:space="preserve"> כגון חבית שנשברה ודיבק שבריה בזפת </w:t>
      </w:r>
      <w:r w:rsidR="00981DA0">
        <w:rPr>
          <w:rFonts w:asciiTheme="minorBidi" w:hAnsiTheme="minorBidi" w:cs="Arial" w:hint="cs"/>
          <w:rtl/>
        </w:rPr>
        <w:t xml:space="preserve">- </w:t>
      </w:r>
      <w:r w:rsidR="00613B3B" w:rsidRPr="00182CF6">
        <w:rPr>
          <w:rFonts w:asciiTheme="minorBidi" w:hAnsiTheme="minorBidi" w:cs="Arial"/>
          <w:rtl/>
        </w:rPr>
        <w:t>יכול לשברה ליקח מה שבתוכה</w:t>
      </w:r>
      <w:r w:rsidR="00981DA0">
        <w:rPr>
          <w:rFonts w:asciiTheme="minorBidi" w:hAnsiTheme="minorBidi" w:cs="Arial" w:hint="cs"/>
          <w:rtl/>
        </w:rPr>
        <w:t>,</w:t>
      </w:r>
      <w:r w:rsidR="00613B3B" w:rsidRPr="00182CF6">
        <w:rPr>
          <w:rFonts w:asciiTheme="minorBidi" w:hAnsiTheme="minorBidi" w:cs="Arial"/>
          <w:rtl/>
        </w:rPr>
        <w:t xml:space="preserve"> ובלבד שלא יכוין לנוקבה נקב יפה שיהא לה לפתח</w:t>
      </w:r>
      <w:r w:rsidR="00981DA0">
        <w:rPr>
          <w:rFonts w:asciiTheme="minorBidi" w:hAnsiTheme="minorBidi" w:cs="Arial" w:hint="cs"/>
          <w:rtl/>
        </w:rPr>
        <w:t>,</w:t>
      </w:r>
      <w:r w:rsidR="00613B3B" w:rsidRPr="00182CF6">
        <w:rPr>
          <w:rFonts w:asciiTheme="minorBidi" w:hAnsiTheme="minorBidi" w:cs="Arial"/>
          <w:rtl/>
        </w:rPr>
        <w:t xml:space="preserve"> דא"כ הוה ליה מתקן מנא</w:t>
      </w:r>
      <w:r w:rsidR="00981DA0">
        <w:rPr>
          <w:rFonts w:asciiTheme="minorBidi" w:hAnsiTheme="minorBidi" w:cs="Arial" w:hint="cs"/>
          <w:rtl/>
        </w:rPr>
        <w:t>.</w:t>
      </w:r>
      <w:r w:rsidR="00613B3B" w:rsidRPr="00182CF6">
        <w:rPr>
          <w:rFonts w:asciiTheme="minorBidi" w:hAnsiTheme="minorBidi" w:cs="Arial"/>
          <w:rtl/>
        </w:rPr>
        <w:t xml:space="preserve"> אבל אם היא שלימה </w:t>
      </w:r>
      <w:r w:rsidR="00981DA0">
        <w:rPr>
          <w:rFonts w:asciiTheme="minorBidi" w:hAnsiTheme="minorBidi" w:cs="Arial" w:hint="cs"/>
          <w:rtl/>
        </w:rPr>
        <w:t xml:space="preserve">- </w:t>
      </w:r>
      <w:r w:rsidR="00613B3B" w:rsidRPr="00182CF6">
        <w:rPr>
          <w:rFonts w:asciiTheme="minorBidi" w:hAnsiTheme="minorBidi" w:cs="Arial"/>
          <w:rtl/>
        </w:rPr>
        <w:t>אסור אפי</w:t>
      </w:r>
      <w:r w:rsidR="00981DA0">
        <w:rPr>
          <w:rFonts w:asciiTheme="minorBidi" w:hAnsiTheme="minorBidi" w:cs="Arial" w:hint="cs"/>
          <w:rtl/>
        </w:rPr>
        <w:t>לו</w:t>
      </w:r>
      <w:r w:rsidR="00613B3B" w:rsidRPr="00182CF6">
        <w:rPr>
          <w:rFonts w:asciiTheme="minorBidi" w:hAnsiTheme="minorBidi" w:cs="Arial"/>
          <w:rtl/>
        </w:rPr>
        <w:t xml:space="preserve"> לשוברה</w:t>
      </w:r>
      <w:r w:rsidR="00981DA0">
        <w:rPr>
          <w:rStyle w:val="a9"/>
          <w:rFonts w:asciiTheme="minorBidi" w:hAnsiTheme="minorBidi" w:cs="Arial"/>
          <w:rtl/>
        </w:rPr>
        <w:footnoteReference w:id="2154"/>
      </w:r>
      <w:r w:rsidR="00613B3B" w:rsidRPr="00182CF6">
        <w:rPr>
          <w:rFonts w:asciiTheme="minorBidi" w:hAnsiTheme="minorBidi" w:cs="Arial"/>
          <w:rtl/>
        </w:rPr>
        <w:t xml:space="preserve"> </w:t>
      </w:r>
      <w:r w:rsidR="00613B3B">
        <w:rPr>
          <w:rFonts w:asciiTheme="minorBidi" w:hAnsiTheme="minorBidi" w:cs="Arial" w:hint="cs"/>
          <w:sz w:val="16"/>
          <w:szCs w:val="16"/>
          <w:rtl/>
        </w:rPr>
        <w:t>(ל' הטור)</w:t>
      </w:r>
      <w:r w:rsidR="00613B3B">
        <w:rPr>
          <w:rFonts w:asciiTheme="minorBidi" w:hAnsiTheme="minorBidi" w:cs="Arial" w:hint="cs"/>
          <w:rtl/>
        </w:rPr>
        <w:t>.</w:t>
      </w:r>
      <w:r w:rsidR="00613B3B" w:rsidRPr="00182CF6">
        <w:rPr>
          <w:rFonts w:asciiTheme="minorBidi" w:hAnsiTheme="minorBidi" w:cs="Arial"/>
          <w:rtl/>
        </w:rPr>
        <w:t xml:space="preserve"> </w:t>
      </w:r>
      <w:r w:rsidR="004644A5" w:rsidRPr="004644A5">
        <w:rPr>
          <w:rFonts w:cs="Arial" w:hint="cs"/>
          <w:color w:val="E36C0A" w:themeColor="accent6" w:themeShade="BF"/>
          <w:rtl/>
        </w:rPr>
        <w:t>(וכ"פ בשו"ע)</w:t>
      </w:r>
    </w:p>
    <w:p w14:paraId="5020D947" w14:textId="047FA158" w:rsidR="00645028" w:rsidRDefault="00E951F0" w:rsidP="00434A6A">
      <w:pPr>
        <w:pStyle w:val="aa"/>
        <w:numPr>
          <w:ilvl w:val="0"/>
          <w:numId w:val="15"/>
        </w:numPr>
        <w:rPr>
          <w:rFonts w:cs="Arial"/>
        </w:rPr>
      </w:pPr>
      <w:r>
        <w:rPr>
          <w:rFonts w:cs="Arial" w:hint="cs"/>
          <w:rtl/>
        </w:rPr>
        <w:t xml:space="preserve">רשב"א </w:t>
      </w:r>
      <w:r>
        <w:rPr>
          <w:rFonts w:cs="Arial" w:hint="cs"/>
          <w:sz w:val="16"/>
          <w:szCs w:val="16"/>
          <w:rtl/>
        </w:rPr>
        <w:t>(</w:t>
      </w:r>
      <w:r w:rsidR="008329BC" w:rsidRPr="008329BC">
        <w:rPr>
          <w:rFonts w:asciiTheme="minorBidi" w:hAnsiTheme="minorBidi" w:cs="Arial" w:hint="cs"/>
          <w:sz w:val="16"/>
          <w:szCs w:val="16"/>
          <w:rtl/>
        </w:rPr>
        <w:t xml:space="preserve">שבת קמו. ד"ה ואף פירוש) </w:t>
      </w:r>
      <w:r w:rsidR="00601862">
        <w:rPr>
          <w:rFonts w:cs="Arial" w:hint="cs"/>
          <w:rtl/>
        </w:rPr>
        <w:t xml:space="preserve">ריטב"א </w:t>
      </w:r>
      <w:r w:rsidR="00601862">
        <w:rPr>
          <w:rFonts w:cs="Arial" w:hint="cs"/>
          <w:sz w:val="16"/>
          <w:szCs w:val="16"/>
          <w:rtl/>
        </w:rPr>
        <w:t xml:space="preserve">(שבת קמו. עירובין לה.) </w:t>
      </w:r>
      <w:r>
        <w:rPr>
          <w:rFonts w:cs="Arial" w:hint="cs"/>
          <w:rtl/>
        </w:rPr>
        <w:t>ו</w:t>
      </w:r>
      <w:r w:rsidR="00182CF6" w:rsidRPr="00F731F6">
        <w:rPr>
          <w:rFonts w:cs="Arial"/>
          <w:rtl/>
        </w:rPr>
        <w:t>ר"ן</w:t>
      </w:r>
      <w:r w:rsidR="00182CF6" w:rsidRPr="00613B3B">
        <w:rPr>
          <w:rFonts w:cs="Arial"/>
          <w:sz w:val="16"/>
          <w:szCs w:val="16"/>
          <w:rtl/>
        </w:rPr>
        <w:t xml:space="preserve"> </w:t>
      </w:r>
      <w:r w:rsidR="00613B3B" w:rsidRPr="00613B3B">
        <w:rPr>
          <w:rFonts w:cs="Arial" w:hint="cs"/>
          <w:sz w:val="16"/>
          <w:szCs w:val="16"/>
          <w:rtl/>
        </w:rPr>
        <w:t>(</w:t>
      </w:r>
      <w:r w:rsidR="00182CF6" w:rsidRPr="00613B3B">
        <w:rPr>
          <w:rFonts w:cs="Arial"/>
          <w:sz w:val="16"/>
          <w:szCs w:val="16"/>
          <w:rtl/>
        </w:rPr>
        <w:t>פרק חבית סא: ד"ה מתני' שובר)</w:t>
      </w:r>
      <w:r w:rsidR="00613B3B">
        <w:rPr>
          <w:rFonts w:cs="Arial" w:hint="cs"/>
          <w:rtl/>
        </w:rPr>
        <w:t xml:space="preserve">- </w:t>
      </w:r>
      <w:r w:rsidR="008329BC" w:rsidRPr="008329BC">
        <w:rPr>
          <w:rFonts w:cs="Arial"/>
          <w:rtl/>
        </w:rPr>
        <w:t>שובר אדם חבית לאכול ממנה גרוגרות</w:t>
      </w:r>
      <w:r w:rsidR="008329BC">
        <w:rPr>
          <w:rFonts w:cs="Arial" w:hint="cs"/>
          <w:rtl/>
        </w:rPr>
        <w:t>...</w:t>
      </w:r>
      <w:r w:rsidR="008329BC" w:rsidRPr="008329BC">
        <w:rPr>
          <w:rFonts w:cs="Arial"/>
          <w:rtl/>
        </w:rPr>
        <w:t xml:space="preserve"> דכיון דבעלמא מקלקל פטור אבל אסור הכא משום צורך שבת שרי לכתחלה</w:t>
      </w:r>
      <w:r w:rsidR="008329BC">
        <w:rPr>
          <w:rFonts w:cs="Arial" w:hint="cs"/>
          <w:rtl/>
        </w:rPr>
        <w:t>,</w:t>
      </w:r>
      <w:r w:rsidR="008329BC" w:rsidRPr="008329BC">
        <w:rPr>
          <w:rFonts w:cs="Arial"/>
          <w:rtl/>
        </w:rPr>
        <w:t xml:space="preserve"> מיהו כי שריא דוקא בכלי קטן דלא שייך ביה בנין וסתירה</w:t>
      </w:r>
      <w:r w:rsidR="008329BC">
        <w:rPr>
          <w:rFonts w:cs="Arial" w:hint="cs"/>
          <w:rtl/>
        </w:rPr>
        <w:t>,</w:t>
      </w:r>
      <w:r w:rsidR="008329BC" w:rsidRPr="008329BC">
        <w:rPr>
          <w:rFonts w:cs="Arial"/>
          <w:rtl/>
        </w:rPr>
        <w:t xml:space="preserve"> אבל בכלי גדול לא</w:t>
      </w:r>
      <w:r w:rsidR="00613B3B">
        <w:rPr>
          <w:rStyle w:val="a9"/>
          <w:rFonts w:cs="Arial"/>
          <w:rtl/>
        </w:rPr>
        <w:footnoteReference w:id="2155"/>
      </w:r>
      <w:r w:rsidR="008329BC">
        <w:rPr>
          <w:rFonts w:cs="Arial" w:hint="cs"/>
          <w:sz w:val="16"/>
          <w:szCs w:val="16"/>
          <w:rtl/>
        </w:rPr>
        <w:t xml:space="preserve"> (ל' הר"ן)</w:t>
      </w:r>
      <w:r w:rsidR="00645028" w:rsidRPr="00073504">
        <w:rPr>
          <w:rFonts w:cs="Arial" w:hint="cs"/>
          <w:rtl/>
        </w:rPr>
        <w:t>.</w:t>
      </w:r>
      <w:r w:rsidR="00182CF6" w:rsidRPr="00073504">
        <w:rPr>
          <w:rFonts w:cs="Arial"/>
          <w:rtl/>
        </w:rPr>
        <w:t xml:space="preserve"> </w:t>
      </w:r>
      <w:r>
        <w:rPr>
          <w:rFonts w:cs="Arial" w:hint="cs"/>
          <w:rtl/>
        </w:rPr>
        <w:t>(וכ"פ הגר"א</w:t>
      </w:r>
      <w:r>
        <w:rPr>
          <w:rFonts w:cs="Arial" w:hint="cs"/>
          <w:sz w:val="16"/>
          <w:szCs w:val="16"/>
          <w:rtl/>
        </w:rPr>
        <w:t xml:space="preserve"> [סד"ה כגון]</w:t>
      </w:r>
      <w:r>
        <w:rPr>
          <w:rFonts w:cs="Arial" w:hint="cs"/>
          <w:rtl/>
        </w:rPr>
        <w:t>)</w:t>
      </w:r>
    </w:p>
    <w:p w14:paraId="5FF78C75" w14:textId="093A5526" w:rsidR="00182CF6" w:rsidRDefault="00601862" w:rsidP="00434A6A">
      <w:pPr>
        <w:pStyle w:val="aa"/>
        <w:numPr>
          <w:ilvl w:val="0"/>
          <w:numId w:val="15"/>
        </w:numPr>
        <w:rPr>
          <w:rFonts w:cs="Arial"/>
        </w:rPr>
      </w:pPr>
      <w:r>
        <w:rPr>
          <w:rFonts w:cs="Arial" w:hint="cs"/>
          <w:rtl/>
        </w:rPr>
        <w:t>ראבי</w:t>
      </w:r>
      <w:r w:rsidR="0067410E">
        <w:rPr>
          <w:rFonts w:cs="Arial" w:hint="cs"/>
          <w:rtl/>
        </w:rPr>
        <w:t>"</w:t>
      </w:r>
      <w:r>
        <w:rPr>
          <w:rFonts w:cs="Arial" w:hint="cs"/>
          <w:rtl/>
        </w:rPr>
        <w:t xml:space="preserve">ה </w:t>
      </w:r>
      <w:r>
        <w:rPr>
          <w:rFonts w:cs="Arial" w:hint="cs"/>
          <w:sz w:val="16"/>
          <w:szCs w:val="16"/>
          <w:rtl/>
        </w:rPr>
        <w:t xml:space="preserve">(סי' שלה) </w:t>
      </w:r>
      <w:r>
        <w:rPr>
          <w:rFonts w:cs="Arial" w:hint="cs"/>
          <w:rtl/>
        </w:rPr>
        <w:t>ו</w:t>
      </w:r>
      <w:r w:rsidR="001454BA">
        <w:rPr>
          <w:rFonts w:cs="Arial" w:hint="cs"/>
          <w:rtl/>
        </w:rPr>
        <w:t xml:space="preserve">או"ז </w:t>
      </w:r>
      <w:r w:rsidR="001454BA">
        <w:rPr>
          <w:rFonts w:cs="Arial" w:hint="cs"/>
          <w:sz w:val="16"/>
          <w:szCs w:val="16"/>
          <w:rtl/>
        </w:rPr>
        <w:t>(ח"ב סי' עח)</w:t>
      </w:r>
      <w:r w:rsidR="001454BA">
        <w:rPr>
          <w:rFonts w:cs="Arial" w:hint="cs"/>
          <w:rtl/>
        </w:rPr>
        <w:t xml:space="preserve">- </w:t>
      </w:r>
      <w:r w:rsidR="00CD68E3">
        <w:rPr>
          <w:rFonts w:cs="Arial" w:hint="cs"/>
          <w:rtl/>
        </w:rPr>
        <w:t xml:space="preserve">אם כן </w:t>
      </w:r>
      <w:r w:rsidR="00CD68E3" w:rsidRPr="001454BA">
        <w:rPr>
          <w:rFonts w:cs="Arial"/>
          <w:rtl/>
        </w:rPr>
        <w:t xml:space="preserve">לרבנן דסבירא להו כרבי שמעון </w:t>
      </w:r>
      <w:r w:rsidR="00CD68E3">
        <w:rPr>
          <w:rFonts w:cs="Arial" w:hint="cs"/>
          <w:sz w:val="16"/>
          <w:szCs w:val="16"/>
          <w:rtl/>
        </w:rPr>
        <w:t xml:space="preserve">{דדבר שאין מתכוין מותר} </w:t>
      </w:r>
      <w:r w:rsidR="00CD68E3" w:rsidRPr="001454BA">
        <w:rPr>
          <w:rFonts w:cs="Arial"/>
          <w:rtl/>
        </w:rPr>
        <w:t xml:space="preserve">ותו דקיימא לן דאין סתירה בכלים </w:t>
      </w:r>
      <w:r w:rsidR="00CD68E3">
        <w:rPr>
          <w:rFonts w:cs="Arial" w:hint="cs"/>
          <w:rtl/>
        </w:rPr>
        <w:t xml:space="preserve">- </w:t>
      </w:r>
      <w:r w:rsidR="00CD68E3" w:rsidRPr="001454BA">
        <w:rPr>
          <w:rFonts w:cs="Arial"/>
          <w:rtl/>
        </w:rPr>
        <w:t>ודאי שרי אפי' בחבית שלימה טובה</w:t>
      </w:r>
      <w:r w:rsidR="00CD68E3">
        <w:rPr>
          <w:rFonts w:cs="Arial" w:hint="cs"/>
          <w:rtl/>
        </w:rPr>
        <w:t>.</w:t>
      </w:r>
      <w:r w:rsidR="00CD68E3" w:rsidRPr="00CD68E3">
        <w:rPr>
          <w:rtl/>
        </w:rPr>
        <w:t xml:space="preserve"> </w:t>
      </w:r>
      <w:r w:rsidR="00CD68E3" w:rsidRPr="00CD68E3">
        <w:rPr>
          <w:rFonts w:cs="Arial"/>
          <w:rtl/>
        </w:rPr>
        <w:t>וכן מוכח סוגיא דבכל מערבין דתנן נתנו במגדל ונעל לפניו ואבד המפתח ה"ז עירוב</w:t>
      </w:r>
      <w:r w:rsidR="00CD68E3">
        <w:rPr>
          <w:rFonts w:cs="Arial" w:hint="cs"/>
          <w:rtl/>
        </w:rPr>
        <w:t>...</w:t>
      </w:r>
      <w:r w:rsidR="00CD68E3" w:rsidRPr="001454BA">
        <w:rPr>
          <w:rFonts w:cs="Arial"/>
          <w:rtl/>
        </w:rPr>
        <w:t xml:space="preserve"> </w:t>
      </w:r>
      <w:r w:rsidR="001454BA" w:rsidRPr="001454BA">
        <w:rPr>
          <w:rFonts w:cs="Arial"/>
          <w:rtl/>
        </w:rPr>
        <w:t>הא למדת דרבנן סברי דהאי מגדל כלי הוא ומותר לסתור אותו לצורך העירוב. הלכך אומר אני דתיבה שיש עליה תורת כלי דהיינו שהיא קטנה ואינה מחזקת מ' סאה בלח כדפירש"י בההוא דבכל מערבין דאז נקראת כלי וסגרו בה אוכלים ונאבד המפתח מותר לשברה בסייף או בסכין ולהוציא אוכלים לחוץ וכן הא דתנן שובר אדם את החבית אם הוא של עץ צריך שלא תהא מחזקת ארבעים סאה בלח</w:t>
      </w:r>
      <w:r w:rsidR="00CD68E3">
        <w:rPr>
          <w:rStyle w:val="a9"/>
          <w:rFonts w:cs="Arial"/>
          <w:rtl/>
        </w:rPr>
        <w:footnoteReference w:id="2156"/>
      </w:r>
      <w:r w:rsidR="00CD68E3">
        <w:rPr>
          <w:rFonts w:cs="Arial" w:hint="cs"/>
          <w:rtl/>
        </w:rPr>
        <w:t>,</w:t>
      </w:r>
      <w:r w:rsidR="001454BA" w:rsidRPr="001454BA">
        <w:rPr>
          <w:rFonts w:cs="Arial"/>
          <w:rtl/>
        </w:rPr>
        <w:t xml:space="preserve"> שא"כ הוה אוהל ואסור לסתור האוהל</w:t>
      </w:r>
      <w:r w:rsidR="00CD68E3">
        <w:rPr>
          <w:rFonts w:cs="Arial" w:hint="cs"/>
          <w:rtl/>
        </w:rPr>
        <w:t xml:space="preserve"> </w:t>
      </w:r>
      <w:r w:rsidR="001454BA">
        <w:rPr>
          <w:rFonts w:cs="Arial" w:hint="cs"/>
          <w:sz w:val="16"/>
          <w:szCs w:val="16"/>
          <w:rtl/>
        </w:rPr>
        <w:t>(ל' האו"ז)</w:t>
      </w:r>
      <w:r w:rsidR="004C7C95">
        <w:rPr>
          <w:rStyle w:val="a9"/>
          <w:rFonts w:cs="Arial"/>
          <w:rtl/>
        </w:rPr>
        <w:footnoteReference w:id="2157"/>
      </w:r>
      <w:r w:rsidR="00073504" w:rsidRPr="001454BA">
        <w:rPr>
          <w:rFonts w:cs="Arial" w:hint="cs"/>
          <w:rtl/>
        </w:rPr>
        <w:t>.</w:t>
      </w:r>
    </w:p>
    <w:p w14:paraId="22171D79" w14:textId="03F75C9A" w:rsidR="00F528CE" w:rsidRDefault="00601862" w:rsidP="00434A6A">
      <w:pPr>
        <w:pStyle w:val="aa"/>
        <w:numPr>
          <w:ilvl w:val="0"/>
          <w:numId w:val="15"/>
        </w:numPr>
        <w:rPr>
          <w:rFonts w:cs="Arial"/>
        </w:rPr>
      </w:pPr>
      <w:r>
        <w:rPr>
          <w:rFonts w:cs="Arial" w:hint="cs"/>
          <w:rtl/>
        </w:rPr>
        <w:t xml:space="preserve">רי"ף </w:t>
      </w:r>
      <w:r>
        <w:rPr>
          <w:rFonts w:cs="Arial" w:hint="cs"/>
          <w:sz w:val="16"/>
          <w:szCs w:val="16"/>
          <w:rtl/>
        </w:rPr>
        <w:t xml:space="preserve">(שבת שם) </w:t>
      </w:r>
      <w:r>
        <w:rPr>
          <w:rFonts w:cs="Arial" w:hint="cs"/>
          <w:rtl/>
        </w:rPr>
        <w:t>ו</w:t>
      </w:r>
      <w:r w:rsidR="00F528CE">
        <w:rPr>
          <w:rFonts w:cs="Arial" w:hint="cs"/>
          <w:rtl/>
        </w:rPr>
        <w:t xml:space="preserve">רמב"ם </w:t>
      </w:r>
      <w:r w:rsidR="00F528CE">
        <w:rPr>
          <w:rFonts w:cs="Arial" w:hint="cs"/>
          <w:sz w:val="16"/>
          <w:szCs w:val="16"/>
          <w:rtl/>
        </w:rPr>
        <w:t>(פכ"ג ה"ב)</w:t>
      </w:r>
      <w:r w:rsidR="00F528CE">
        <w:rPr>
          <w:rFonts w:cs="Arial" w:hint="cs"/>
          <w:rtl/>
        </w:rPr>
        <w:t xml:space="preserve">- </w:t>
      </w:r>
      <w:r w:rsidR="00F528CE" w:rsidRPr="00F528CE">
        <w:rPr>
          <w:rFonts w:cs="Arial"/>
          <w:rtl/>
        </w:rPr>
        <w:t>שובר אדם את החבית לאכול ממנה גרוגרות ובלבד שלא יתכוין לעשות כלי</w:t>
      </w:r>
      <w:r w:rsidR="00911D19">
        <w:rPr>
          <w:rStyle w:val="a9"/>
          <w:rFonts w:cs="Arial"/>
          <w:rtl/>
        </w:rPr>
        <w:footnoteReference w:id="2158"/>
      </w:r>
      <w:r>
        <w:rPr>
          <w:rFonts w:cs="Arial" w:hint="cs"/>
          <w:sz w:val="16"/>
          <w:szCs w:val="16"/>
          <w:rtl/>
        </w:rPr>
        <w:t xml:space="preserve"> (ל' הרמב"ם)</w:t>
      </w:r>
      <w:r w:rsidR="00F528CE" w:rsidRPr="00F528CE">
        <w:rPr>
          <w:rFonts w:cs="Arial"/>
          <w:rtl/>
        </w:rPr>
        <w:t>.</w:t>
      </w:r>
    </w:p>
    <w:p w14:paraId="1E2E42AE" w14:textId="3D1E89B6" w:rsidR="00D30B97" w:rsidRDefault="00266839" w:rsidP="00434A6A">
      <w:pPr>
        <w:pStyle w:val="aa"/>
        <w:numPr>
          <w:ilvl w:val="0"/>
          <w:numId w:val="15"/>
        </w:numPr>
        <w:rPr>
          <w:rFonts w:cs="Arial"/>
        </w:rPr>
      </w:pPr>
      <w:r>
        <w:rPr>
          <w:rFonts w:cs="Arial" w:hint="cs"/>
          <w:rtl/>
        </w:rPr>
        <w:t xml:space="preserve">יראים </w:t>
      </w:r>
      <w:r>
        <w:rPr>
          <w:rFonts w:cs="Arial" w:hint="cs"/>
          <w:sz w:val="16"/>
          <w:szCs w:val="16"/>
          <w:rtl/>
        </w:rPr>
        <w:t>(סי' רעד)</w:t>
      </w:r>
      <w:r>
        <w:rPr>
          <w:rFonts w:cs="Arial" w:hint="cs"/>
          <w:rtl/>
        </w:rPr>
        <w:t xml:space="preserve">- </w:t>
      </w:r>
      <w:r w:rsidR="00D30B97" w:rsidRPr="00D30B97">
        <w:rPr>
          <w:rFonts w:cs="Arial"/>
          <w:rtl/>
        </w:rPr>
        <w:t xml:space="preserve">בפ' במה מדליקין </w:t>
      </w:r>
      <w:r w:rsidR="00990628">
        <w:rPr>
          <w:rFonts w:cs="Arial" w:hint="cs"/>
          <w:rtl/>
        </w:rPr>
        <w:t>(</w:t>
      </w:r>
      <w:r w:rsidR="00D30B97" w:rsidRPr="00D30B97">
        <w:rPr>
          <w:rFonts w:cs="Arial"/>
          <w:rtl/>
        </w:rPr>
        <w:t>כט</w:t>
      </w:r>
      <w:r w:rsidR="00990628">
        <w:rPr>
          <w:rFonts w:cs="Arial" w:hint="cs"/>
          <w:rtl/>
        </w:rPr>
        <w:t>.)</w:t>
      </w:r>
      <w:r w:rsidR="00D30B97" w:rsidRPr="00D30B97">
        <w:rPr>
          <w:rFonts w:cs="Arial"/>
          <w:rtl/>
        </w:rPr>
        <w:t xml:space="preserve"> אמרינן אמר רב יהודה אמר רב מסיקין בכלים ואין מסיקין בשברי כלים</w:t>
      </w:r>
      <w:r w:rsidR="001C67D6">
        <w:rPr>
          <w:rFonts w:cs="Arial" w:hint="cs"/>
          <w:rtl/>
        </w:rPr>
        <w:t>.</w:t>
      </w:r>
      <w:r w:rsidR="00D30B97" w:rsidRPr="00D30B97">
        <w:rPr>
          <w:rFonts w:cs="Arial"/>
          <w:rtl/>
        </w:rPr>
        <w:t xml:space="preserve"> מסיקין בכלים </w:t>
      </w:r>
      <w:r w:rsidR="001C67D6">
        <w:rPr>
          <w:rFonts w:cs="Arial" w:hint="cs"/>
          <w:rtl/>
        </w:rPr>
        <w:t xml:space="preserve">- </w:t>
      </w:r>
      <w:r w:rsidR="00D30B97" w:rsidRPr="00D30B97">
        <w:rPr>
          <w:rFonts w:cs="Arial"/>
          <w:rtl/>
        </w:rPr>
        <w:t>אין לך סתירה גדולה מהסקה</w:t>
      </w:r>
      <w:r w:rsidR="001C67D6">
        <w:rPr>
          <w:rFonts w:cs="Arial" w:hint="cs"/>
          <w:rtl/>
        </w:rPr>
        <w:t>.</w:t>
      </w:r>
      <w:r w:rsidR="00D30B97" w:rsidRPr="00D30B97">
        <w:rPr>
          <w:rFonts w:cs="Arial"/>
          <w:rtl/>
        </w:rPr>
        <w:t xml:space="preserve"> והא דאמרינן בהבונה </w:t>
      </w:r>
      <w:r w:rsidR="001C67D6">
        <w:rPr>
          <w:rFonts w:cs="Arial" w:hint="cs"/>
          <w:rtl/>
        </w:rPr>
        <w:t>(</w:t>
      </w:r>
      <w:r w:rsidR="00D30B97" w:rsidRPr="00D30B97">
        <w:rPr>
          <w:rFonts w:cs="Arial"/>
          <w:rtl/>
        </w:rPr>
        <w:t>קב</w:t>
      </w:r>
      <w:r w:rsidR="001C67D6">
        <w:rPr>
          <w:rFonts w:cs="Arial" w:hint="cs"/>
          <w:rtl/>
        </w:rPr>
        <w:t>)</w:t>
      </w:r>
      <w:r w:rsidR="00D30B97" w:rsidRPr="00D30B97">
        <w:rPr>
          <w:rFonts w:cs="Arial"/>
          <w:rtl/>
        </w:rPr>
        <w:t xml:space="preserve"> עייל שופתא בקופינא דמרה רב אמר משום בונה ושמואל אמר משום מכה בפטיש</w:t>
      </w:r>
      <w:r w:rsidR="001C67D6">
        <w:rPr>
          <w:rFonts w:cs="Arial" w:hint="cs"/>
          <w:rtl/>
        </w:rPr>
        <w:t>,</w:t>
      </w:r>
      <w:r w:rsidR="00D30B97" w:rsidRPr="00D30B97">
        <w:rPr>
          <w:rFonts w:cs="Arial"/>
          <w:rtl/>
        </w:rPr>
        <w:t xml:space="preserve"> אלמא סבירא ליה לרב יש בנין בכלים</w:t>
      </w:r>
      <w:r w:rsidR="001C67D6">
        <w:rPr>
          <w:rFonts w:cs="Arial" w:hint="cs"/>
          <w:rtl/>
        </w:rPr>
        <w:t>,</w:t>
      </w:r>
      <w:r w:rsidR="00D30B97" w:rsidRPr="00D30B97">
        <w:rPr>
          <w:rFonts w:cs="Arial"/>
          <w:rtl/>
        </w:rPr>
        <w:t xml:space="preserve"> ואם יש בנין יש סתירה דחדא טעמא הוא כדאמרינן בכל הכלים </w:t>
      </w:r>
      <w:r w:rsidR="001C67D6">
        <w:rPr>
          <w:rFonts w:cs="Arial" w:hint="cs"/>
          <w:rtl/>
        </w:rPr>
        <w:t>(</w:t>
      </w:r>
      <w:r w:rsidR="00D30B97" w:rsidRPr="00D30B97">
        <w:rPr>
          <w:rFonts w:cs="Arial"/>
          <w:rtl/>
        </w:rPr>
        <w:t>קכב</w:t>
      </w:r>
      <w:r w:rsidR="001C67D6">
        <w:rPr>
          <w:rFonts w:cs="Arial" w:hint="cs"/>
          <w:rtl/>
        </w:rPr>
        <w:t>:)</w:t>
      </w:r>
      <w:r w:rsidR="00D30B97" w:rsidRPr="00D30B97">
        <w:rPr>
          <w:rFonts w:cs="Arial"/>
          <w:rtl/>
        </w:rPr>
        <w:t xml:space="preserve"> וא"כ קשיא דרב אדרב</w:t>
      </w:r>
      <w:r w:rsidR="001C67D6">
        <w:rPr>
          <w:rFonts w:cs="Arial" w:hint="cs"/>
          <w:rtl/>
        </w:rPr>
        <w:t>,</w:t>
      </w:r>
      <w:r w:rsidR="00D30B97" w:rsidRPr="00D30B97">
        <w:rPr>
          <w:rFonts w:cs="Arial"/>
          <w:rtl/>
        </w:rPr>
        <w:t xml:space="preserve"> הא לא קשיא</w:t>
      </w:r>
      <w:r w:rsidR="001C67D6">
        <w:rPr>
          <w:rFonts w:cs="Arial" w:hint="cs"/>
          <w:rtl/>
        </w:rPr>
        <w:t>,</w:t>
      </w:r>
      <w:r w:rsidR="00D30B97" w:rsidRPr="00D30B97">
        <w:rPr>
          <w:rFonts w:cs="Arial"/>
          <w:rtl/>
        </w:rPr>
        <w:t xml:space="preserve"> דבהבונה הכי פירושו</w:t>
      </w:r>
      <w:r w:rsidR="001C67D6">
        <w:rPr>
          <w:rFonts w:cs="Arial" w:hint="cs"/>
          <w:rtl/>
        </w:rPr>
        <w:t>-</w:t>
      </w:r>
      <w:r w:rsidR="00D30B97" w:rsidRPr="00D30B97">
        <w:rPr>
          <w:rFonts w:cs="Arial"/>
          <w:rtl/>
        </w:rPr>
        <w:t xml:space="preserve"> רב אמר משום בונה</w:t>
      </w:r>
      <w:r w:rsidR="001C67D6">
        <w:rPr>
          <w:rFonts w:cs="Arial" w:hint="cs"/>
          <w:rtl/>
        </w:rPr>
        <w:t>,</w:t>
      </w:r>
      <w:r w:rsidR="00D30B97" w:rsidRPr="00D30B97">
        <w:rPr>
          <w:rFonts w:cs="Arial"/>
          <w:rtl/>
        </w:rPr>
        <w:t xml:space="preserve"> פי' מרה זאת מחוסרת בנין בחסרון שופתא הלכך אין בו איסור מכה בפטיש שאינו נקרא מכה בפטיש אלא בדבר שאינו מחוסר בנין שהכאת פטיש הוא לאחר גמר בנין</w:t>
      </w:r>
      <w:r w:rsidR="001C67D6">
        <w:rPr>
          <w:rFonts w:cs="Arial" w:hint="cs"/>
          <w:rtl/>
        </w:rPr>
        <w:t>,</w:t>
      </w:r>
      <w:r w:rsidR="00D30B97" w:rsidRPr="00D30B97">
        <w:rPr>
          <w:rFonts w:cs="Arial"/>
          <w:rtl/>
        </w:rPr>
        <w:t xml:space="preserve"> ולא אמר רב משום בונה לומר שיש חיוב בונה בדבר</w:t>
      </w:r>
      <w:r w:rsidR="001C67D6">
        <w:rPr>
          <w:rFonts w:cs="Arial" w:hint="cs"/>
          <w:rtl/>
        </w:rPr>
        <w:t>,</w:t>
      </w:r>
      <w:r w:rsidR="00D30B97" w:rsidRPr="00D30B97">
        <w:rPr>
          <w:rFonts w:cs="Arial"/>
          <w:rtl/>
        </w:rPr>
        <w:t xml:space="preserve"> דהא אין סתירה ובנין בכלים</w:t>
      </w:r>
      <w:r w:rsidR="001C67D6">
        <w:rPr>
          <w:rFonts w:cs="Arial" w:hint="cs"/>
          <w:rtl/>
        </w:rPr>
        <w:t>,</w:t>
      </w:r>
      <w:r w:rsidR="00D30B97" w:rsidRPr="00D30B97">
        <w:rPr>
          <w:rFonts w:cs="Arial"/>
          <w:rtl/>
        </w:rPr>
        <w:t xml:space="preserve"> ולא אמרינן משום בונה אלא להסירו מטעם מכה בפטיש שהוא לאחר בנין</w:t>
      </w:r>
      <w:r w:rsidR="001C67D6">
        <w:rPr>
          <w:rFonts w:cs="Arial" w:hint="cs"/>
          <w:rtl/>
        </w:rPr>
        <w:t>,</w:t>
      </w:r>
      <w:r w:rsidR="00D30B97" w:rsidRPr="00D30B97">
        <w:rPr>
          <w:rFonts w:cs="Arial"/>
          <w:rtl/>
        </w:rPr>
        <w:t xml:space="preserve"> שלעולם בחסרון בנין לא תהיה מלאכת מכה בפטיש</w:t>
      </w:r>
      <w:r w:rsidR="001C67D6">
        <w:rPr>
          <w:rFonts w:cs="Arial" w:hint="cs"/>
          <w:rtl/>
        </w:rPr>
        <w:t>.</w:t>
      </w:r>
      <w:r w:rsidR="00D30B97" w:rsidRPr="00D30B97">
        <w:rPr>
          <w:rFonts w:cs="Arial"/>
          <w:rtl/>
        </w:rPr>
        <w:t xml:space="preserve"> פי' בקוצר</w:t>
      </w:r>
      <w:r w:rsidR="001C67D6">
        <w:rPr>
          <w:rFonts w:cs="Arial" w:hint="cs"/>
          <w:rtl/>
        </w:rPr>
        <w:t>,</w:t>
      </w:r>
      <w:r w:rsidR="00D30B97" w:rsidRPr="00D30B97">
        <w:rPr>
          <w:rFonts w:cs="Arial"/>
          <w:rtl/>
        </w:rPr>
        <w:t xml:space="preserve"> משום בונה אין בו אלא טעם בונה</w:t>
      </w:r>
      <w:r w:rsidR="001C67D6">
        <w:rPr>
          <w:rFonts w:cs="Arial" w:hint="cs"/>
          <w:rtl/>
        </w:rPr>
        <w:t>,</w:t>
      </w:r>
      <w:r w:rsidR="00D30B97" w:rsidRPr="00D30B97">
        <w:rPr>
          <w:rFonts w:cs="Arial"/>
          <w:rtl/>
        </w:rPr>
        <w:t xml:space="preserve"> ומאותו בונה אין חיוב</w:t>
      </w:r>
      <w:r w:rsidR="001C67D6">
        <w:rPr>
          <w:rFonts w:cs="Arial" w:hint="cs"/>
          <w:rtl/>
        </w:rPr>
        <w:t>,</w:t>
      </w:r>
      <w:r w:rsidR="00D30B97" w:rsidRPr="00D30B97">
        <w:rPr>
          <w:rFonts w:cs="Arial"/>
          <w:rtl/>
        </w:rPr>
        <w:t xml:space="preserve"> דאין בנין בכלים</w:t>
      </w:r>
      <w:r w:rsidR="001C67D6">
        <w:rPr>
          <w:rFonts w:cs="Arial" w:hint="cs"/>
          <w:rtl/>
        </w:rPr>
        <w:t>.</w:t>
      </w:r>
      <w:r w:rsidR="00D30B97" w:rsidRPr="00D30B97">
        <w:rPr>
          <w:rFonts w:cs="Arial"/>
          <w:rtl/>
        </w:rPr>
        <w:t xml:space="preserve"> וכל הסוגיא נוח לפרשה אחר פירוש זו.</w:t>
      </w:r>
    </w:p>
    <w:p w14:paraId="774C8CD2" w14:textId="6B58D862" w:rsidR="003D4C3B" w:rsidRDefault="000D7A7F" w:rsidP="00434A6A">
      <w:pPr>
        <w:rPr>
          <w:rFonts w:asciiTheme="minorBidi" w:hAnsiTheme="minorBidi" w:cs="Arial"/>
          <w:rtl/>
        </w:rPr>
      </w:pPr>
      <w:r w:rsidRPr="000D7A7F">
        <w:rPr>
          <w:rFonts w:asciiTheme="minorBidi" w:hAnsiTheme="minorBidi"/>
          <w:b/>
          <w:bCs/>
          <w:rtl/>
        </w:rPr>
        <w:t xml:space="preserve">שבת </w:t>
      </w:r>
      <w:r w:rsidRPr="000D7A7F">
        <w:rPr>
          <w:rFonts w:asciiTheme="minorBidi" w:hAnsiTheme="minorBidi" w:hint="cs"/>
          <w:b/>
          <w:bCs/>
          <w:sz w:val="16"/>
          <w:szCs w:val="16"/>
          <w:rtl/>
        </w:rPr>
        <w:t xml:space="preserve">(פ' חבית) </w:t>
      </w:r>
      <w:r w:rsidRPr="000D7A7F">
        <w:rPr>
          <w:rFonts w:asciiTheme="minorBidi" w:hAnsiTheme="minorBidi"/>
          <w:b/>
          <w:bCs/>
          <w:rtl/>
        </w:rPr>
        <w:t xml:space="preserve">קמו ע"א: </w:t>
      </w:r>
      <w:r w:rsidR="003D4C3B" w:rsidRPr="003D4C3B">
        <w:rPr>
          <w:rFonts w:asciiTheme="minorBidi" w:hAnsiTheme="minorBidi" w:cs="Arial"/>
          <w:rtl/>
        </w:rPr>
        <w:t>תנו רבנן: אין נוקבין נקב חדש</w:t>
      </w:r>
      <w:r w:rsidR="00922D03">
        <w:rPr>
          <w:rStyle w:val="a9"/>
          <w:rFonts w:asciiTheme="minorBidi" w:hAnsiTheme="minorBidi" w:cs="Arial"/>
          <w:rtl/>
        </w:rPr>
        <w:footnoteReference w:id="2159"/>
      </w:r>
      <w:r w:rsidR="003D4C3B" w:rsidRPr="003D4C3B">
        <w:rPr>
          <w:rFonts w:asciiTheme="minorBidi" w:hAnsiTheme="minorBidi" w:cs="Arial"/>
          <w:rtl/>
        </w:rPr>
        <w:t xml:space="preserve"> בשבת, ואם בא להוסיף - מוסיף. ויש אומרים: אין מוסיפין. ושוין שנוקבין נקב ישן</w:t>
      </w:r>
      <w:r w:rsidR="00922D03">
        <w:rPr>
          <w:rStyle w:val="a9"/>
          <w:rFonts w:asciiTheme="minorBidi" w:hAnsiTheme="minorBidi" w:cs="Arial"/>
          <w:rtl/>
        </w:rPr>
        <w:footnoteReference w:id="2160"/>
      </w:r>
      <w:r w:rsidR="003D4C3B" w:rsidRPr="003D4C3B">
        <w:rPr>
          <w:rFonts w:asciiTheme="minorBidi" w:hAnsiTheme="minorBidi" w:cs="Arial"/>
          <w:rtl/>
        </w:rPr>
        <w:t xml:space="preserve"> לכתחילה. ותנא קמא, מאי שנא מנקב חדש דלא - דקא מתקן פיתחא, אוסופי נמי - קא מתקן פיתחא! אמר רבה: דבר תורה - כל פתח שאינו עשוי להכניס ולהוציא - אינו פתח, ורבנן הוא דגזור משום לול של תרנגולין, דעביד לעיולי אוירא ולאפוקי הבלא. ואם בא להוסיף מוסיף אוסופי ודאי בלול של תרנגולים - לא אתי לאוסופי,</w:t>
      </w:r>
      <w:r w:rsidR="003D4C3B" w:rsidRPr="003D4C3B">
        <w:rPr>
          <w:rtl/>
        </w:rPr>
        <w:t xml:space="preserve"> </w:t>
      </w:r>
      <w:r w:rsidR="003D4C3B">
        <w:rPr>
          <w:rFonts w:hint="cs"/>
          <w:sz w:val="14"/>
          <w:szCs w:val="14"/>
          <w:rtl/>
        </w:rPr>
        <w:t xml:space="preserve">(קמו:) </w:t>
      </w:r>
      <w:r w:rsidR="003D4C3B" w:rsidRPr="003D4C3B">
        <w:rPr>
          <w:rFonts w:asciiTheme="minorBidi" w:hAnsiTheme="minorBidi" w:cs="Arial"/>
          <w:rtl/>
        </w:rPr>
        <w:t xml:space="preserve">משום ריחשא. ויש אומרים: אין מוסיפים - זימנין דלא תקניה מעיקרא, ואתי לארוחי ביה. </w:t>
      </w:r>
      <w:r w:rsidR="003D4C3B" w:rsidRPr="003D4C3B">
        <w:rPr>
          <w:rFonts w:asciiTheme="minorBidi" w:hAnsiTheme="minorBidi" w:cs="Arial"/>
          <w:u w:val="single"/>
          <w:rtl/>
        </w:rPr>
        <w:t>דרש רב נחמן משום רבי יוחנן</w:t>
      </w:r>
      <w:r w:rsidR="003D4C3B" w:rsidRPr="003D4C3B">
        <w:rPr>
          <w:rFonts w:asciiTheme="minorBidi" w:hAnsiTheme="minorBidi" w:cs="Arial"/>
          <w:rtl/>
        </w:rPr>
        <w:t>: הלכה כיש אומרים.</w:t>
      </w:r>
    </w:p>
    <w:p w14:paraId="50AA5080" w14:textId="5152C380" w:rsidR="00CD68E3" w:rsidRPr="000D7A7F" w:rsidRDefault="000D7A7F" w:rsidP="00434A6A">
      <w:pPr>
        <w:rPr>
          <w:rFonts w:cs="Arial"/>
          <w:u w:val="single"/>
          <w:rtl/>
        </w:rPr>
      </w:pPr>
      <w:r w:rsidRPr="000D7A7F">
        <w:rPr>
          <w:rFonts w:cs="Arial" w:hint="cs"/>
          <w:u w:val="single"/>
          <w:rtl/>
        </w:rPr>
        <w:t xml:space="preserve">במקרה שאסור לשבור את החבית </w:t>
      </w:r>
      <w:r w:rsidR="00D03C57">
        <w:rPr>
          <w:rFonts w:cs="Arial" w:hint="cs"/>
          <w:sz w:val="16"/>
          <w:szCs w:val="16"/>
          <w:u w:val="single"/>
          <w:rtl/>
        </w:rPr>
        <w:t>(</w:t>
      </w:r>
      <w:r>
        <w:rPr>
          <w:rFonts w:cs="Arial" w:hint="cs"/>
          <w:sz w:val="16"/>
          <w:szCs w:val="16"/>
          <w:u w:val="single"/>
          <w:rtl/>
        </w:rPr>
        <w:t>לרא"ש בחבית טובה, לר"ן בחבית גדולה</w:t>
      </w:r>
      <w:r w:rsidR="00D03C57">
        <w:rPr>
          <w:rFonts w:cs="Arial" w:hint="cs"/>
          <w:sz w:val="16"/>
          <w:szCs w:val="16"/>
          <w:u w:val="single"/>
          <w:rtl/>
        </w:rPr>
        <w:t>)</w:t>
      </w:r>
      <w:r>
        <w:rPr>
          <w:rFonts w:cs="Arial" w:hint="cs"/>
          <w:u w:val="single"/>
          <w:rtl/>
        </w:rPr>
        <w:t xml:space="preserve"> </w:t>
      </w:r>
      <w:r w:rsidRPr="000D7A7F">
        <w:rPr>
          <w:rFonts w:cs="Arial" w:hint="cs"/>
          <w:u w:val="single"/>
          <w:rtl/>
        </w:rPr>
        <w:t xml:space="preserve">- האם מותר לעשות בה נקב </w:t>
      </w:r>
      <w:r>
        <w:rPr>
          <w:rFonts w:cs="Arial" w:hint="cs"/>
          <w:u w:val="single"/>
          <w:rtl/>
        </w:rPr>
        <w:t>למעלה</w:t>
      </w:r>
      <w:r w:rsidR="00AD2E9E">
        <w:rPr>
          <w:rFonts w:cs="Arial" w:hint="cs"/>
          <w:u w:val="single"/>
          <w:rtl/>
        </w:rPr>
        <w:t xml:space="preserve"> </w:t>
      </w:r>
      <w:r w:rsidR="00AD2E9E">
        <w:rPr>
          <w:rFonts w:cs="Arial" w:hint="cs"/>
          <w:sz w:val="16"/>
          <w:szCs w:val="16"/>
          <w:u w:val="single"/>
          <w:rtl/>
        </w:rPr>
        <w:t>(או להרחיבו)</w:t>
      </w:r>
      <w:r w:rsidR="003D4C3B">
        <w:rPr>
          <w:rFonts w:cs="Arial" w:hint="cs"/>
          <w:u w:val="single"/>
          <w:rtl/>
        </w:rPr>
        <w:t>:</w:t>
      </w:r>
    </w:p>
    <w:p w14:paraId="3AED79C4" w14:textId="5D9B9983" w:rsidR="00922D03" w:rsidRPr="00922D03" w:rsidRDefault="003D4C3B" w:rsidP="00434A6A">
      <w:pPr>
        <w:pStyle w:val="aa"/>
        <w:numPr>
          <w:ilvl w:val="0"/>
          <w:numId w:val="22"/>
        </w:numPr>
        <w:rPr>
          <w:rFonts w:cs="Arial"/>
          <w:rtl/>
        </w:rPr>
      </w:pPr>
      <w:r w:rsidRPr="003D4C3B">
        <w:rPr>
          <w:rFonts w:cs="Arial" w:hint="cs"/>
          <w:rtl/>
        </w:rPr>
        <w:t xml:space="preserve">טור- </w:t>
      </w:r>
      <w:r w:rsidRPr="003D4C3B">
        <w:rPr>
          <w:rFonts w:asciiTheme="minorBidi" w:hAnsiTheme="minorBidi" w:cs="Arial"/>
          <w:rtl/>
        </w:rPr>
        <w:t>ואפי' נקב בעלמא אסור לנקוב בה מחדש</w:t>
      </w:r>
      <w:r w:rsidRPr="003D4C3B">
        <w:rPr>
          <w:rFonts w:asciiTheme="minorBidi" w:hAnsiTheme="minorBidi" w:cs="Arial" w:hint="cs"/>
          <w:rtl/>
        </w:rPr>
        <w:t>,</w:t>
      </w:r>
      <w:r w:rsidRPr="003D4C3B">
        <w:rPr>
          <w:rFonts w:asciiTheme="minorBidi" w:hAnsiTheme="minorBidi" w:cs="Arial"/>
          <w:rtl/>
        </w:rPr>
        <w:t xml:space="preserve"> ואפי' יש בה נקב חדש ובא להרחיבו</w:t>
      </w:r>
      <w:r w:rsidR="009E45A4">
        <w:rPr>
          <w:rFonts w:asciiTheme="minorBidi" w:hAnsiTheme="minorBidi" w:cs="Arial" w:hint="cs"/>
          <w:rtl/>
        </w:rPr>
        <w:t xml:space="preserve"> -</w:t>
      </w:r>
      <w:r w:rsidRPr="003D4C3B">
        <w:rPr>
          <w:rFonts w:asciiTheme="minorBidi" w:hAnsiTheme="minorBidi" w:cs="Arial"/>
          <w:rtl/>
        </w:rPr>
        <w:t xml:space="preserve"> אסור</w:t>
      </w:r>
      <w:r w:rsidRPr="003D4C3B">
        <w:rPr>
          <w:rFonts w:cs="Arial" w:hint="cs"/>
          <w:rtl/>
        </w:rPr>
        <w:t>.</w:t>
      </w:r>
      <w:r w:rsidR="004644A5" w:rsidRPr="004644A5">
        <w:rPr>
          <w:rFonts w:cs="Arial" w:hint="cs"/>
          <w:color w:val="E36C0A" w:themeColor="accent6" w:themeShade="BF"/>
          <w:rtl/>
        </w:rPr>
        <w:t xml:space="preserve"> (וכ"פ בשו"ע)</w:t>
      </w:r>
    </w:p>
    <w:p w14:paraId="60768282" w14:textId="2F015B86" w:rsidR="00F11E35" w:rsidRPr="00657B89" w:rsidRDefault="00F11E35" w:rsidP="00434A6A">
      <w:pPr>
        <w:rPr>
          <w:rFonts w:asciiTheme="minorBidi" w:hAnsiTheme="minorBidi"/>
          <w:rtl/>
        </w:rPr>
      </w:pPr>
      <w:r w:rsidRPr="005275DF">
        <w:rPr>
          <w:rFonts w:asciiTheme="minorBidi" w:hAnsiTheme="minorBidi"/>
          <w:b/>
          <w:bCs/>
          <w:rtl/>
        </w:rPr>
        <w:t xml:space="preserve">שבת </w:t>
      </w:r>
      <w:r>
        <w:rPr>
          <w:rFonts w:asciiTheme="minorBidi" w:hAnsiTheme="minorBidi" w:hint="cs"/>
          <w:b/>
          <w:bCs/>
          <w:sz w:val="16"/>
          <w:szCs w:val="16"/>
          <w:rtl/>
        </w:rPr>
        <w:t>(פ' במה טומנין)</w:t>
      </w:r>
      <w:r>
        <w:rPr>
          <w:rFonts w:asciiTheme="minorBidi" w:hAnsiTheme="minorBidi" w:hint="cs"/>
          <w:b/>
          <w:bCs/>
          <w:rtl/>
        </w:rPr>
        <w:t xml:space="preserve"> </w:t>
      </w:r>
      <w:r w:rsidRPr="005275DF">
        <w:rPr>
          <w:rFonts w:asciiTheme="minorBidi" w:hAnsiTheme="minorBidi"/>
          <w:b/>
          <w:bCs/>
          <w:rtl/>
        </w:rPr>
        <w:t>נ ע"ב:</w:t>
      </w:r>
      <w:r w:rsidRPr="00901BB1">
        <w:rPr>
          <w:rtl/>
        </w:rPr>
        <w:t xml:space="preserve"> </w:t>
      </w:r>
      <w:r w:rsidRPr="00901BB1">
        <w:rPr>
          <w:rFonts w:asciiTheme="minorBidi" w:hAnsiTheme="minorBidi" w:cs="Arial"/>
          <w:u w:val="single"/>
          <w:rtl/>
        </w:rPr>
        <w:t>אמר רב הונא</w:t>
      </w:r>
      <w:r w:rsidRPr="00901BB1">
        <w:rPr>
          <w:rFonts w:asciiTheme="minorBidi" w:hAnsiTheme="minorBidi" w:cs="Arial"/>
          <w:rtl/>
        </w:rPr>
        <w:t>: האי סליקוסתא</w:t>
      </w:r>
      <w:r>
        <w:rPr>
          <w:rStyle w:val="a9"/>
          <w:rFonts w:asciiTheme="minorBidi" w:hAnsiTheme="minorBidi" w:cs="Arial"/>
          <w:rtl/>
        </w:rPr>
        <w:footnoteReference w:id="2161"/>
      </w:r>
      <w:r w:rsidRPr="00901BB1">
        <w:rPr>
          <w:rFonts w:asciiTheme="minorBidi" w:hAnsiTheme="minorBidi" w:cs="Arial"/>
          <w:rtl/>
        </w:rPr>
        <w:t>, דצה שלפה והדר דצה - שריא, ואי לאו - אסיר.</w:t>
      </w:r>
      <w:r w:rsidRPr="005275DF">
        <w:rPr>
          <w:rFonts w:asciiTheme="minorBidi" w:hAnsiTheme="minorBidi"/>
          <w:rtl/>
        </w:rPr>
        <w:t xml:space="preserve"> </w:t>
      </w:r>
      <w:r w:rsidRPr="005275DF">
        <w:rPr>
          <w:rFonts w:asciiTheme="minorBidi" w:hAnsiTheme="minorBidi"/>
          <w:u w:val="single"/>
          <w:rtl/>
        </w:rPr>
        <w:t>אמר שמואל</w:t>
      </w:r>
      <w:r w:rsidRPr="005275DF">
        <w:rPr>
          <w:rFonts w:asciiTheme="minorBidi" w:hAnsiTheme="minorBidi"/>
          <w:rtl/>
        </w:rPr>
        <w:t>: האי סכינא דביני אורבי</w:t>
      </w:r>
      <w:r w:rsidRPr="005275DF">
        <w:rPr>
          <w:rStyle w:val="a9"/>
          <w:rFonts w:asciiTheme="minorBidi" w:hAnsiTheme="minorBidi"/>
          <w:rtl/>
        </w:rPr>
        <w:footnoteReference w:id="2162"/>
      </w:r>
      <w:r w:rsidRPr="005275DF">
        <w:rPr>
          <w:rFonts w:asciiTheme="minorBidi" w:hAnsiTheme="minorBidi"/>
          <w:rtl/>
        </w:rPr>
        <w:t xml:space="preserve"> דצה שלפה והדר דצה - שרי, ואי לאו אסיר. </w:t>
      </w:r>
      <w:r w:rsidRPr="005275DF">
        <w:rPr>
          <w:rFonts w:asciiTheme="minorBidi" w:hAnsiTheme="minorBidi"/>
          <w:u w:val="single"/>
          <w:rtl/>
        </w:rPr>
        <w:t>מר זוטרא ואיתימא רב אשי אמר</w:t>
      </w:r>
      <w:r w:rsidRPr="005275DF">
        <w:rPr>
          <w:rFonts w:asciiTheme="minorBidi" w:hAnsiTheme="minorBidi"/>
          <w:rtl/>
        </w:rPr>
        <w:t>: בגורדיתא דקני</w:t>
      </w:r>
      <w:r w:rsidRPr="005275DF">
        <w:rPr>
          <w:rStyle w:val="a9"/>
          <w:rFonts w:asciiTheme="minorBidi" w:hAnsiTheme="minorBidi"/>
          <w:rtl/>
        </w:rPr>
        <w:footnoteReference w:id="2163"/>
      </w:r>
      <w:r w:rsidRPr="005275DF">
        <w:rPr>
          <w:rFonts w:asciiTheme="minorBidi" w:hAnsiTheme="minorBidi"/>
          <w:rtl/>
        </w:rPr>
        <w:t xml:space="preserve"> שפיר דמי. </w:t>
      </w:r>
      <w:r w:rsidRPr="00901BB1">
        <w:rPr>
          <w:rFonts w:asciiTheme="minorBidi" w:hAnsiTheme="minorBidi" w:cs="Arial"/>
          <w:u w:val="single"/>
          <w:rtl/>
        </w:rPr>
        <w:t>אמר ליה רב מרדכי לרבא</w:t>
      </w:r>
      <w:r>
        <w:rPr>
          <w:rFonts w:asciiTheme="minorBidi" w:hAnsiTheme="minorBidi" w:cs="Arial" w:hint="cs"/>
          <w:rtl/>
        </w:rPr>
        <w:t>:</w:t>
      </w:r>
      <w:r w:rsidRPr="00901BB1">
        <w:rPr>
          <w:rFonts w:asciiTheme="minorBidi" w:hAnsiTheme="minorBidi" w:cs="Arial"/>
          <w:rtl/>
        </w:rPr>
        <w:t xml:space="preserve"> מתיב רב קטינא תיובתא</w:t>
      </w:r>
      <w:r>
        <w:rPr>
          <w:rStyle w:val="a9"/>
          <w:rFonts w:asciiTheme="minorBidi" w:hAnsiTheme="minorBidi" w:cs="Arial"/>
          <w:rtl/>
        </w:rPr>
        <w:footnoteReference w:id="2164"/>
      </w:r>
      <w:r w:rsidRPr="00901BB1">
        <w:rPr>
          <w:rFonts w:asciiTheme="minorBidi" w:hAnsiTheme="minorBidi" w:cs="Arial"/>
          <w:rtl/>
        </w:rPr>
        <w:t>: הטומן לפת וצנונות תחת הגפן, אם היה מקצת עליו מגולים - אינו חושש</w:t>
      </w:r>
      <w:r>
        <w:rPr>
          <w:rFonts w:asciiTheme="minorBidi" w:hAnsiTheme="minorBidi" w:cs="Arial" w:hint="cs"/>
          <w:rtl/>
        </w:rPr>
        <w:t xml:space="preserve"> </w:t>
      </w:r>
      <w:r w:rsidRPr="00901BB1">
        <w:rPr>
          <w:rFonts w:asciiTheme="minorBidi" w:hAnsiTheme="minorBidi" w:cs="Arial"/>
          <w:rtl/>
        </w:rPr>
        <w:t>לא משום כלאים, ולא משום שביעית, ולא משום מעשר, וניטלין בשבת! תיובתא.</w:t>
      </w:r>
      <w:r>
        <w:rPr>
          <w:rFonts w:asciiTheme="minorBidi" w:hAnsiTheme="minorBidi" w:hint="cs"/>
          <w:rtl/>
        </w:rPr>
        <w:t xml:space="preserve"> </w:t>
      </w:r>
      <w:r w:rsidRPr="00657B89">
        <w:rPr>
          <w:rFonts w:asciiTheme="minorBidi" w:hAnsiTheme="minorBidi" w:hint="cs"/>
          <w:sz w:val="16"/>
          <w:szCs w:val="16"/>
          <w:rtl/>
        </w:rPr>
        <w:t>(</w:t>
      </w:r>
      <w:r w:rsidRPr="00657B89">
        <w:rPr>
          <w:rFonts w:asciiTheme="minorBidi" w:hAnsiTheme="minorBidi" w:cs="Arial"/>
          <w:sz w:val="16"/>
          <w:szCs w:val="16"/>
          <w:rtl/>
        </w:rPr>
        <w:t>וכן העלו הרי"ף (סוף כג.) והרא"ש (סי' יא) דאפילו לא דצה ושלפה שרי</w:t>
      </w:r>
      <w:r>
        <w:rPr>
          <w:rFonts w:asciiTheme="minorBidi" w:hAnsiTheme="minorBidi" w:cs="Arial" w:hint="cs"/>
          <w:sz w:val="16"/>
          <w:szCs w:val="16"/>
          <w:rtl/>
        </w:rPr>
        <w:t>.</w:t>
      </w:r>
      <w:r w:rsidRPr="00657B89">
        <w:rPr>
          <w:rFonts w:asciiTheme="minorBidi" w:hAnsiTheme="minorBidi" w:cs="Arial"/>
          <w:sz w:val="16"/>
          <w:szCs w:val="16"/>
          <w:rtl/>
        </w:rPr>
        <w:t xml:space="preserve"> ואם כן מה שכתב המרדכי בפרק חבית </w:t>
      </w:r>
      <w:r w:rsidRPr="00657B89">
        <w:rPr>
          <w:rFonts w:asciiTheme="minorBidi" w:hAnsiTheme="minorBidi" w:cs="Arial" w:hint="cs"/>
          <w:sz w:val="16"/>
          <w:szCs w:val="16"/>
          <w:rtl/>
        </w:rPr>
        <w:t xml:space="preserve">(סי' תמ) </w:t>
      </w:r>
      <w:r w:rsidRPr="00657B89">
        <w:rPr>
          <w:rFonts w:asciiTheme="minorBidi" w:hAnsiTheme="minorBidi" w:cs="Arial"/>
          <w:sz w:val="16"/>
          <w:szCs w:val="16"/>
          <w:rtl/>
        </w:rPr>
        <w:t>אם היה סכין תקוע מערב שבת בחבית מותר שהרי אינו מתכוין להוסיף כדאמרינן בס</w:t>
      </w:r>
      <w:r>
        <w:rPr>
          <w:rFonts w:asciiTheme="minorBidi" w:hAnsiTheme="minorBidi" w:cs="Arial" w:hint="cs"/>
          <w:sz w:val="16"/>
          <w:szCs w:val="16"/>
          <w:rtl/>
        </w:rPr>
        <w:t>"פ</w:t>
      </w:r>
      <w:r w:rsidRPr="00657B89">
        <w:rPr>
          <w:rFonts w:asciiTheme="minorBidi" w:hAnsiTheme="minorBidi" w:cs="Arial"/>
          <w:sz w:val="16"/>
          <w:szCs w:val="16"/>
          <w:rtl/>
        </w:rPr>
        <w:t xml:space="preserve"> במה טומנין אמר שמואל הני סכיני דביני אורבי דצה ושלפה והדר דצה שרי</w:t>
      </w:r>
      <w:r>
        <w:rPr>
          <w:rFonts w:asciiTheme="minorBidi" w:hAnsiTheme="minorBidi" w:cs="Arial" w:hint="cs"/>
          <w:sz w:val="14"/>
          <w:szCs w:val="14"/>
          <w:rtl/>
        </w:rPr>
        <w:t xml:space="preserve"> [עכ"ד המרדכי]</w:t>
      </w:r>
      <w:r w:rsidRPr="00657B89">
        <w:rPr>
          <w:rFonts w:asciiTheme="minorBidi" w:hAnsiTheme="minorBidi" w:cs="Arial" w:hint="cs"/>
          <w:sz w:val="16"/>
          <w:szCs w:val="16"/>
          <w:rtl/>
        </w:rPr>
        <w:t xml:space="preserve"> -</w:t>
      </w:r>
      <w:r w:rsidRPr="00657B89">
        <w:rPr>
          <w:rFonts w:asciiTheme="minorBidi" w:hAnsiTheme="minorBidi" w:cs="Arial"/>
          <w:sz w:val="16"/>
          <w:szCs w:val="16"/>
          <w:rtl/>
        </w:rPr>
        <w:t xml:space="preserve"> לאו למימרא דכשמואל נקטינן</w:t>
      </w:r>
      <w:r>
        <w:rPr>
          <w:rFonts w:asciiTheme="minorBidi" w:hAnsiTheme="minorBidi" w:cs="Arial" w:hint="cs"/>
          <w:sz w:val="16"/>
          <w:szCs w:val="16"/>
          <w:rtl/>
        </w:rPr>
        <w:t>,</w:t>
      </w:r>
      <w:r w:rsidRPr="00657B89">
        <w:rPr>
          <w:rFonts w:asciiTheme="minorBidi" w:hAnsiTheme="minorBidi" w:cs="Arial"/>
          <w:sz w:val="16"/>
          <w:szCs w:val="16"/>
          <w:rtl/>
        </w:rPr>
        <w:t xml:space="preserve"> דהא איתותב</w:t>
      </w:r>
      <w:r>
        <w:rPr>
          <w:rFonts w:asciiTheme="minorBidi" w:hAnsiTheme="minorBidi" w:cs="Arial" w:hint="cs"/>
          <w:sz w:val="16"/>
          <w:szCs w:val="16"/>
          <w:rtl/>
        </w:rPr>
        <w:t>,</w:t>
      </w:r>
      <w:r w:rsidRPr="00657B89">
        <w:rPr>
          <w:rFonts w:asciiTheme="minorBidi" w:hAnsiTheme="minorBidi" w:cs="Arial"/>
          <w:sz w:val="16"/>
          <w:szCs w:val="16"/>
          <w:rtl/>
        </w:rPr>
        <w:t xml:space="preserve"> אלא מסופא דמילתא דאסיקנא דאפילו לא דצה ושלפה שרי הוא דמייתי</w:t>
      </w:r>
      <w:r>
        <w:rPr>
          <w:rFonts w:asciiTheme="minorBidi" w:hAnsiTheme="minorBidi" w:cs="Arial" w:hint="cs"/>
          <w:sz w:val="16"/>
          <w:szCs w:val="16"/>
          <w:rtl/>
        </w:rPr>
        <w:t>,</w:t>
      </w:r>
      <w:r w:rsidRPr="00657B89">
        <w:rPr>
          <w:rFonts w:asciiTheme="minorBidi" w:hAnsiTheme="minorBidi" w:cs="Arial"/>
          <w:sz w:val="16"/>
          <w:szCs w:val="16"/>
          <w:rtl/>
        </w:rPr>
        <w:t xml:space="preserve"> ולא חש לסיומי מילתא דמפורש בהדיא דשמואל איתותב ולא קיי</w:t>
      </w:r>
      <w:r>
        <w:rPr>
          <w:rFonts w:asciiTheme="minorBidi" w:hAnsiTheme="minorBidi" w:cs="Arial" w:hint="cs"/>
          <w:sz w:val="16"/>
          <w:szCs w:val="16"/>
          <w:rtl/>
        </w:rPr>
        <w:t>"</w:t>
      </w:r>
      <w:r w:rsidRPr="00657B89">
        <w:rPr>
          <w:rFonts w:asciiTheme="minorBidi" w:hAnsiTheme="minorBidi" w:cs="Arial"/>
          <w:sz w:val="16"/>
          <w:szCs w:val="16"/>
          <w:rtl/>
        </w:rPr>
        <w:t>ל כוותיה</w:t>
      </w:r>
      <w:r>
        <w:rPr>
          <w:rFonts w:asciiTheme="minorBidi" w:hAnsiTheme="minorBidi" w:cs="Arial" w:hint="cs"/>
          <w:sz w:val="16"/>
          <w:szCs w:val="16"/>
          <w:rtl/>
        </w:rPr>
        <w:t>.</w:t>
      </w:r>
      <w:r w:rsidRPr="00657B89">
        <w:rPr>
          <w:rFonts w:asciiTheme="minorBidi" w:hAnsiTheme="minorBidi" w:cs="Arial"/>
          <w:sz w:val="16"/>
          <w:szCs w:val="16"/>
          <w:rtl/>
        </w:rPr>
        <w:t xml:space="preserve"> ואם כן בסכין התקוע בחבית </w:t>
      </w:r>
      <w:r>
        <w:rPr>
          <w:rFonts w:asciiTheme="minorBidi" w:hAnsiTheme="minorBidi" w:cs="Arial" w:hint="cs"/>
          <w:sz w:val="16"/>
          <w:szCs w:val="16"/>
          <w:rtl/>
        </w:rPr>
        <w:t xml:space="preserve">- </w:t>
      </w:r>
      <w:r w:rsidRPr="00657B89">
        <w:rPr>
          <w:rFonts w:asciiTheme="minorBidi" w:hAnsiTheme="minorBidi" w:cs="Arial"/>
          <w:sz w:val="16"/>
          <w:szCs w:val="16"/>
          <w:rtl/>
        </w:rPr>
        <w:t>אפילו לא דצה ושלפה</w:t>
      </w:r>
      <w:r>
        <w:rPr>
          <w:rFonts w:asciiTheme="minorBidi" w:hAnsiTheme="minorBidi" w:cs="Arial" w:hint="cs"/>
          <w:sz w:val="16"/>
          <w:szCs w:val="16"/>
          <w:rtl/>
        </w:rPr>
        <w:t xml:space="preserve"> </w:t>
      </w:r>
      <w:r w:rsidRPr="00657B89">
        <w:rPr>
          <w:rFonts w:asciiTheme="minorBidi" w:hAnsiTheme="minorBidi" w:cs="Arial"/>
          <w:sz w:val="16"/>
          <w:szCs w:val="16"/>
          <w:rtl/>
        </w:rPr>
        <w:t>שרי</w:t>
      </w:r>
      <w:r w:rsidR="00C00786">
        <w:rPr>
          <w:rFonts w:asciiTheme="minorBidi" w:hAnsiTheme="minorBidi" w:cs="Arial" w:hint="cs"/>
          <w:sz w:val="16"/>
          <w:szCs w:val="16"/>
          <w:rtl/>
        </w:rPr>
        <w:t>.</w:t>
      </w:r>
      <w:r w:rsidRPr="00F11E35">
        <w:rPr>
          <w:rFonts w:asciiTheme="minorBidi" w:hAnsiTheme="minorBidi" w:cs="Arial" w:hint="cs"/>
          <w:color w:val="E36C0A" w:themeColor="accent6" w:themeShade="BF"/>
          <w:sz w:val="16"/>
          <w:szCs w:val="16"/>
          <w:rtl/>
        </w:rPr>
        <w:t xml:space="preserve"> (וכ"פ בשו"ע)</w:t>
      </w:r>
      <w:r w:rsidRPr="00657B89">
        <w:rPr>
          <w:rFonts w:asciiTheme="minorBidi" w:hAnsiTheme="minorBidi" w:cs="Arial" w:hint="cs"/>
          <w:sz w:val="16"/>
          <w:szCs w:val="16"/>
          <w:rtl/>
        </w:rPr>
        <w:t>.</w:t>
      </w:r>
      <w:r w:rsidRPr="00657B89">
        <w:rPr>
          <w:rFonts w:asciiTheme="minorBidi" w:hAnsiTheme="minorBidi" w:cs="Arial"/>
          <w:sz w:val="16"/>
          <w:szCs w:val="16"/>
          <w:rtl/>
        </w:rPr>
        <w:t xml:space="preserve"> אלא שמדברי בעל תרו</w:t>
      </w:r>
      <w:r>
        <w:rPr>
          <w:rFonts w:asciiTheme="minorBidi" w:hAnsiTheme="minorBidi" w:cs="Arial" w:hint="cs"/>
          <w:sz w:val="16"/>
          <w:szCs w:val="16"/>
          <w:rtl/>
        </w:rPr>
        <w:t>ה"ד</w:t>
      </w:r>
      <w:r w:rsidRPr="00657B89">
        <w:rPr>
          <w:rFonts w:asciiTheme="minorBidi" w:hAnsiTheme="minorBidi" w:cs="Arial"/>
          <w:sz w:val="16"/>
          <w:szCs w:val="16"/>
          <w:rtl/>
        </w:rPr>
        <w:t xml:space="preserve"> </w:t>
      </w:r>
      <w:r w:rsidR="00D94365">
        <w:rPr>
          <w:rFonts w:asciiTheme="minorBidi" w:hAnsiTheme="minorBidi" w:cs="Arial" w:hint="cs"/>
          <w:sz w:val="16"/>
          <w:szCs w:val="16"/>
          <w:rtl/>
        </w:rPr>
        <w:t xml:space="preserve">(סי' סד) </w:t>
      </w:r>
      <w:r w:rsidRPr="00657B89">
        <w:rPr>
          <w:rFonts w:asciiTheme="minorBidi" w:hAnsiTheme="minorBidi" w:cs="Arial"/>
          <w:sz w:val="16"/>
          <w:szCs w:val="16"/>
          <w:rtl/>
        </w:rPr>
        <w:t>נראה דכשמואל נקטינן דלא שרי אלא דוקא בדצה ושלפה</w:t>
      </w:r>
      <w:r w:rsidRPr="00657B89">
        <w:rPr>
          <w:rFonts w:asciiTheme="minorBidi" w:hAnsiTheme="minorBidi" w:cs="Arial" w:hint="cs"/>
          <w:sz w:val="16"/>
          <w:szCs w:val="16"/>
          <w:rtl/>
        </w:rPr>
        <w:t>.</w:t>
      </w:r>
      <w:r w:rsidRPr="00657B89">
        <w:rPr>
          <w:rFonts w:asciiTheme="minorBidi" w:hAnsiTheme="minorBidi" w:cs="Arial"/>
          <w:sz w:val="16"/>
          <w:szCs w:val="16"/>
          <w:rtl/>
        </w:rPr>
        <w:t xml:space="preserve"> ואפשר שהוא מפרש דלא מתיב רב קטינא אלא לרב הונא דאמר לעיל מיניה (שם) האי סליקוסתא דצה שלפה והדר דצה שרי ואי לא אסיר</w:t>
      </w:r>
      <w:r w:rsidRPr="00657B89">
        <w:rPr>
          <w:rFonts w:asciiTheme="minorBidi" w:hAnsiTheme="minorBidi" w:cs="Arial" w:hint="cs"/>
          <w:sz w:val="16"/>
          <w:szCs w:val="16"/>
          <w:rtl/>
        </w:rPr>
        <w:t>.</w:t>
      </w:r>
      <w:r w:rsidRPr="00657B89">
        <w:rPr>
          <w:rFonts w:asciiTheme="minorBidi" w:hAnsiTheme="minorBidi" w:cs="Arial"/>
          <w:sz w:val="16"/>
          <w:szCs w:val="16"/>
          <w:rtl/>
        </w:rPr>
        <w:t xml:space="preserve"> ופירש רש"י עשב שהוא נאה למראה ולהריח וממלאין כד עפר לח ותוחבין אותו לתוכו. דהטומן לפת וצנונות להאי דמיא טפי</w:t>
      </w:r>
      <w:r>
        <w:rPr>
          <w:rFonts w:asciiTheme="minorBidi" w:hAnsiTheme="minorBidi" w:cs="Arial" w:hint="cs"/>
          <w:sz w:val="16"/>
          <w:szCs w:val="16"/>
          <w:rtl/>
        </w:rPr>
        <w:t>,</w:t>
      </w:r>
      <w:r w:rsidRPr="00657B89">
        <w:rPr>
          <w:rFonts w:asciiTheme="minorBidi" w:hAnsiTheme="minorBidi" w:cs="Arial"/>
          <w:sz w:val="16"/>
          <w:szCs w:val="16"/>
          <w:rtl/>
        </w:rPr>
        <w:t xml:space="preserve"> דבתרווייהו איכא למיחש שמזיז עפר</w:t>
      </w:r>
      <w:r>
        <w:rPr>
          <w:rFonts w:asciiTheme="minorBidi" w:hAnsiTheme="minorBidi" w:cs="Arial" w:hint="cs"/>
          <w:sz w:val="16"/>
          <w:szCs w:val="16"/>
          <w:rtl/>
        </w:rPr>
        <w:t>,</w:t>
      </w:r>
      <w:r w:rsidRPr="00657B89">
        <w:rPr>
          <w:rFonts w:asciiTheme="minorBidi" w:hAnsiTheme="minorBidi" w:cs="Arial"/>
          <w:sz w:val="16"/>
          <w:szCs w:val="16"/>
          <w:rtl/>
        </w:rPr>
        <w:t xml:space="preserve"> אבל סכינא דביני אורבי איכא למיחש ביה נמי משום מרחיב גומא דהוי בונה</w:t>
      </w:r>
      <w:r>
        <w:rPr>
          <w:rFonts w:asciiTheme="minorBidi" w:hAnsiTheme="minorBidi" w:cs="Arial" w:hint="cs"/>
          <w:sz w:val="16"/>
          <w:szCs w:val="16"/>
          <w:rtl/>
        </w:rPr>
        <w:t>, ב"י)</w:t>
      </w:r>
    </w:p>
    <w:p w14:paraId="3D79A266" w14:textId="79C14393" w:rsidR="00F11E35" w:rsidRPr="00922D03" w:rsidRDefault="00F11E35" w:rsidP="00434A6A">
      <w:pPr>
        <w:rPr>
          <w:rFonts w:cs="Arial"/>
          <w:u w:val="single"/>
          <w:rtl/>
        </w:rPr>
      </w:pPr>
      <w:r w:rsidRPr="00922D03">
        <w:rPr>
          <w:rFonts w:cs="Arial" w:hint="cs"/>
          <w:u w:val="single"/>
          <w:rtl/>
        </w:rPr>
        <w:t xml:space="preserve">סכין שהיה תקוע מערב שבת </w:t>
      </w:r>
      <w:r>
        <w:rPr>
          <w:rFonts w:cs="Arial" w:hint="cs"/>
          <w:u w:val="single"/>
          <w:rtl/>
        </w:rPr>
        <w:t>ב</w:t>
      </w:r>
      <w:r w:rsidR="00D94365">
        <w:rPr>
          <w:rFonts w:cs="Arial" w:hint="cs"/>
          <w:u w:val="single"/>
          <w:rtl/>
        </w:rPr>
        <w:t>דבר מחובר/תלוש</w:t>
      </w:r>
      <w:r w:rsidRPr="00922D03">
        <w:rPr>
          <w:rFonts w:cs="Arial" w:hint="cs"/>
          <w:u w:val="single"/>
          <w:rtl/>
        </w:rPr>
        <w:t xml:space="preserve"> - האם מותר להוציאו ולהכניסו בשבת:</w:t>
      </w:r>
    </w:p>
    <w:p w14:paraId="162D3CDF" w14:textId="1C017139" w:rsidR="00D94365" w:rsidRDefault="00D94365" w:rsidP="00434A6A">
      <w:pPr>
        <w:pStyle w:val="aa"/>
        <w:numPr>
          <w:ilvl w:val="0"/>
          <w:numId w:val="22"/>
        </w:numPr>
        <w:rPr>
          <w:rFonts w:cs="Arial"/>
        </w:rPr>
      </w:pPr>
      <w:r w:rsidRPr="00922D03">
        <w:rPr>
          <w:rFonts w:cs="Arial"/>
          <w:rtl/>
        </w:rPr>
        <w:t xml:space="preserve">מרדכי </w:t>
      </w:r>
      <w:r w:rsidRPr="00922D03">
        <w:rPr>
          <w:rFonts w:cs="Arial"/>
          <w:sz w:val="16"/>
          <w:szCs w:val="16"/>
          <w:rtl/>
        </w:rPr>
        <w:t>(סי' תמ)</w:t>
      </w:r>
      <w:r w:rsidRPr="00922D03">
        <w:rPr>
          <w:rFonts w:cs="Arial" w:hint="cs"/>
          <w:rtl/>
        </w:rPr>
        <w:t xml:space="preserve">- </w:t>
      </w:r>
      <w:r w:rsidRPr="00922D03">
        <w:rPr>
          <w:rFonts w:cs="Arial"/>
          <w:rtl/>
        </w:rPr>
        <w:t>וי"א אין מוסיפין דרש רב נחמן משמיה דר' יוחנן הלכה כי"א</w:t>
      </w:r>
      <w:r>
        <w:rPr>
          <w:rFonts w:cs="Arial" w:hint="cs"/>
          <w:rtl/>
        </w:rPr>
        <w:t>.</w:t>
      </w:r>
      <w:r w:rsidRPr="00922D03">
        <w:rPr>
          <w:rFonts w:cs="Arial"/>
          <w:rtl/>
        </w:rPr>
        <w:t xml:space="preserve"> ול</w:t>
      </w:r>
      <w:r>
        <w:rPr>
          <w:rFonts w:cs="Arial" w:hint="cs"/>
          <w:rtl/>
        </w:rPr>
        <w:t xml:space="preserve">י </w:t>
      </w:r>
      <w:r w:rsidRPr="00922D03">
        <w:rPr>
          <w:rFonts w:cs="Arial"/>
          <w:rtl/>
        </w:rPr>
        <w:t>נ</w:t>
      </w:r>
      <w:r>
        <w:rPr>
          <w:rFonts w:cs="Arial" w:hint="cs"/>
          <w:rtl/>
        </w:rPr>
        <w:t>ראה</w:t>
      </w:r>
      <w:r w:rsidRPr="00922D03">
        <w:rPr>
          <w:rFonts w:cs="Arial"/>
          <w:rtl/>
        </w:rPr>
        <w:t xml:space="preserve"> דהא מיירי כשמתכוין להוסיף</w:t>
      </w:r>
      <w:r>
        <w:rPr>
          <w:rFonts w:cs="Arial" w:hint="cs"/>
          <w:rtl/>
        </w:rPr>
        <w:t>,</w:t>
      </w:r>
      <w:r w:rsidRPr="00922D03">
        <w:rPr>
          <w:rFonts w:cs="Arial"/>
          <w:rtl/>
        </w:rPr>
        <w:t xml:space="preserve"> אבל אם היה סכין תקוע מע"ש בחבית </w:t>
      </w:r>
      <w:r>
        <w:rPr>
          <w:rFonts w:cs="Arial" w:hint="cs"/>
          <w:rtl/>
        </w:rPr>
        <w:t xml:space="preserve">- </w:t>
      </w:r>
      <w:r w:rsidRPr="00922D03">
        <w:rPr>
          <w:rFonts w:cs="Arial"/>
          <w:rtl/>
        </w:rPr>
        <w:t>מותר להוציאו ולהכניסו</w:t>
      </w:r>
      <w:r>
        <w:rPr>
          <w:rFonts w:cs="Arial" w:hint="cs"/>
          <w:rtl/>
        </w:rPr>
        <w:t>,</w:t>
      </w:r>
      <w:r w:rsidRPr="00922D03">
        <w:rPr>
          <w:rFonts w:cs="Arial"/>
          <w:rtl/>
        </w:rPr>
        <w:t xml:space="preserve"> שהרי אינו מתכוין להוסיף כדאמרי' ס</w:t>
      </w:r>
      <w:r>
        <w:rPr>
          <w:rFonts w:cs="Arial" w:hint="cs"/>
          <w:rtl/>
        </w:rPr>
        <w:t>"</w:t>
      </w:r>
      <w:r w:rsidRPr="00922D03">
        <w:rPr>
          <w:rFonts w:cs="Arial"/>
          <w:rtl/>
        </w:rPr>
        <w:t xml:space="preserve">פ במה טומנין </w:t>
      </w:r>
      <w:r>
        <w:rPr>
          <w:rFonts w:cs="Arial" w:hint="cs"/>
          <w:rtl/>
        </w:rPr>
        <w:t>(נ:)</w:t>
      </w:r>
      <w:r w:rsidRPr="00922D03">
        <w:rPr>
          <w:rFonts w:cs="Arial"/>
          <w:rtl/>
        </w:rPr>
        <w:t xml:space="preserve"> אמר שמואל הני סכיני דביני אורבי דצה שלפה והדר דצה שרי</w:t>
      </w:r>
      <w:r w:rsidRPr="00922D03">
        <w:rPr>
          <w:rFonts w:cs="Arial" w:hint="cs"/>
          <w:rtl/>
        </w:rPr>
        <w:t>.</w:t>
      </w:r>
      <w:r w:rsidRPr="004644A5">
        <w:rPr>
          <w:rFonts w:cs="Arial"/>
          <w:color w:val="E36C0A" w:themeColor="accent6" w:themeShade="BF"/>
          <w:rtl/>
        </w:rPr>
        <w:t xml:space="preserve"> </w:t>
      </w:r>
      <w:r w:rsidRPr="004644A5">
        <w:rPr>
          <w:rFonts w:cs="Arial" w:hint="cs"/>
          <w:color w:val="E36C0A" w:themeColor="accent6" w:themeShade="BF"/>
          <w:rtl/>
        </w:rPr>
        <w:t>(וכ"פ בשו"ע</w:t>
      </w:r>
      <w:r>
        <w:rPr>
          <w:rFonts w:cs="Arial" w:hint="cs"/>
          <w:color w:val="E36C0A" w:themeColor="accent6" w:themeShade="BF"/>
          <w:sz w:val="16"/>
          <w:szCs w:val="16"/>
          <w:rtl/>
        </w:rPr>
        <w:t xml:space="preserve"> </w:t>
      </w:r>
      <w:r w:rsidRPr="00D94365">
        <w:rPr>
          <w:rFonts w:cs="Arial" w:hint="cs"/>
          <w:color w:val="000000" w:themeColor="text1"/>
          <w:sz w:val="16"/>
          <w:szCs w:val="16"/>
          <w:rtl/>
        </w:rPr>
        <w:t>[כאן ובסע' יב]</w:t>
      </w:r>
      <w:r w:rsidRPr="004644A5">
        <w:rPr>
          <w:rFonts w:cs="Arial" w:hint="cs"/>
          <w:color w:val="E36C0A" w:themeColor="accent6" w:themeShade="BF"/>
          <w:rtl/>
        </w:rPr>
        <w:t>)</w:t>
      </w:r>
      <w:r w:rsidRPr="004644A5">
        <w:rPr>
          <w:rFonts w:cs="Arial"/>
          <w:color w:val="00B0F0"/>
          <w:rtl/>
        </w:rPr>
        <w:t xml:space="preserve"> </w:t>
      </w:r>
    </w:p>
    <w:p w14:paraId="11A02E82" w14:textId="6A1B1441" w:rsidR="00606762" w:rsidRPr="00D0027F" w:rsidRDefault="00606762" w:rsidP="00434A6A">
      <w:pPr>
        <w:ind w:left="360"/>
        <w:rPr>
          <w:rFonts w:cs="Arial"/>
          <w:u w:val="dotted"/>
        </w:rPr>
      </w:pPr>
      <w:r w:rsidRPr="00D0027F">
        <w:rPr>
          <w:rFonts w:cs="Arial" w:hint="cs"/>
          <w:u w:val="dotted"/>
          <w:rtl/>
        </w:rPr>
        <w:t>האם מותר אע"ג דאיכא פסיק רישא שיוסיף</w:t>
      </w:r>
      <w:r w:rsidR="00D0027F" w:rsidRPr="00D0027F">
        <w:rPr>
          <w:rFonts w:cs="Arial" w:hint="cs"/>
          <w:u w:val="dotted"/>
          <w:rtl/>
        </w:rPr>
        <w:t>:</w:t>
      </w:r>
      <w:r w:rsidRPr="00D0027F">
        <w:rPr>
          <w:rFonts w:cs="Arial" w:hint="cs"/>
          <w:u w:val="dotted"/>
          <w:rtl/>
        </w:rPr>
        <w:t xml:space="preserve"> </w:t>
      </w:r>
    </w:p>
    <w:p w14:paraId="7E57EF7A" w14:textId="7E40A8FF" w:rsidR="00F11E35" w:rsidRPr="00901BB1" w:rsidRDefault="00F11E35" w:rsidP="00434A6A">
      <w:pPr>
        <w:pStyle w:val="aa"/>
        <w:numPr>
          <w:ilvl w:val="0"/>
          <w:numId w:val="22"/>
        </w:numPr>
        <w:rPr>
          <w:rFonts w:cs="Arial"/>
          <w:rtl/>
        </w:rPr>
      </w:pPr>
      <w:r>
        <w:rPr>
          <w:rFonts w:cs="Arial" w:hint="cs"/>
          <w:rtl/>
        </w:rPr>
        <w:t xml:space="preserve">תרוה"ד </w:t>
      </w:r>
      <w:r>
        <w:rPr>
          <w:rFonts w:cs="Arial" w:hint="cs"/>
          <w:sz w:val="16"/>
          <w:szCs w:val="16"/>
          <w:rtl/>
        </w:rPr>
        <w:t>(סי' סד)</w:t>
      </w:r>
      <w:r>
        <w:rPr>
          <w:rFonts w:cs="Arial" w:hint="cs"/>
          <w:rtl/>
        </w:rPr>
        <w:t>-</w:t>
      </w:r>
      <w:r w:rsidRPr="00585E53">
        <w:rPr>
          <w:rtl/>
        </w:rPr>
        <w:t xml:space="preserve"> </w:t>
      </w:r>
      <w:r w:rsidRPr="002F0D0A">
        <w:rPr>
          <w:rFonts w:cs="Arial"/>
          <w:rtl/>
        </w:rPr>
        <w:t xml:space="preserve">שאלה: סכין התחוב בכותל של עץ מבעוד יום, או תקעו בספסל או בדף שאינם מחוברים, שרי להוציא הסכין בשבת או לא? </w:t>
      </w:r>
      <w:r>
        <w:rPr>
          <w:rFonts w:cs="Arial" w:hint="cs"/>
          <w:rtl/>
        </w:rPr>
        <w:t xml:space="preserve">    </w:t>
      </w:r>
      <w:r w:rsidRPr="002F0D0A">
        <w:rPr>
          <w:rFonts w:cs="Arial"/>
          <w:rtl/>
        </w:rPr>
        <w:t xml:space="preserve">תשובה: יראה דהיכא דתקעו הוא בכותל שהוא מחובר, יש לחוש לאסור אם מוציאו. משום דתנן בהבונה </w:t>
      </w:r>
      <w:r>
        <w:rPr>
          <w:rFonts w:cs="Arial" w:hint="cs"/>
          <w:rtl/>
        </w:rPr>
        <w:t>(</w:t>
      </w:r>
      <w:r w:rsidRPr="002F0D0A">
        <w:rPr>
          <w:rFonts w:cs="Arial"/>
          <w:rtl/>
        </w:rPr>
        <w:t>שבת קב</w:t>
      </w:r>
      <w:r>
        <w:rPr>
          <w:rFonts w:cs="Arial" w:hint="cs"/>
          <w:rtl/>
        </w:rPr>
        <w:t>:)</w:t>
      </w:r>
      <w:r w:rsidRPr="002F0D0A">
        <w:rPr>
          <w:rFonts w:cs="Arial"/>
          <w:rtl/>
        </w:rPr>
        <w:t xml:space="preserve"> הקודח כל שהוא חייב</w:t>
      </w:r>
      <w:r>
        <w:rPr>
          <w:rFonts w:cs="Arial" w:hint="cs"/>
          <w:rtl/>
        </w:rPr>
        <w:t>..</w:t>
      </w:r>
      <w:r w:rsidRPr="002F0D0A">
        <w:rPr>
          <w:rFonts w:cs="Arial"/>
          <w:rtl/>
        </w:rPr>
        <w:t>. וא"כ בהוצאת הסכין היכא דתקוע קצת בחוזק, כמעט פסיק רישיה הוא שלא יוסיף בנקב והוי ליה קודח כ</w:t>
      </w:r>
      <w:r>
        <w:rPr>
          <w:rFonts w:cs="Arial" w:hint="cs"/>
          <w:rtl/>
        </w:rPr>
        <w:t xml:space="preserve">ל </w:t>
      </w:r>
      <w:r w:rsidRPr="002F0D0A">
        <w:rPr>
          <w:rFonts w:cs="Arial"/>
          <w:rtl/>
        </w:rPr>
        <w:t>ש</w:t>
      </w:r>
      <w:r>
        <w:rPr>
          <w:rFonts w:cs="Arial" w:hint="cs"/>
          <w:rtl/>
        </w:rPr>
        <w:t>הוא</w:t>
      </w:r>
      <w:r w:rsidRPr="002F0D0A">
        <w:rPr>
          <w:rFonts w:cs="Arial"/>
          <w:rtl/>
        </w:rPr>
        <w:t xml:space="preserve">. ואין נראה להביא ראייה להתיר, מהא דכתב במרדכי פ' חבית, שאם היה סכין תקוע בחבית מותר להוציאו ולהכניסו, שהרי אינו מתכוין להוסיף, ומייתי ראייה מפ' במה טומנין </w:t>
      </w:r>
      <w:r>
        <w:rPr>
          <w:rFonts w:cs="Arial" w:hint="cs"/>
          <w:rtl/>
        </w:rPr>
        <w:t>(</w:t>
      </w:r>
      <w:r w:rsidRPr="002F0D0A">
        <w:rPr>
          <w:rFonts w:cs="Arial"/>
          <w:rtl/>
        </w:rPr>
        <w:t>שבת נ</w:t>
      </w:r>
      <w:r>
        <w:rPr>
          <w:rFonts w:cs="Arial" w:hint="cs"/>
          <w:rtl/>
        </w:rPr>
        <w:t>:)</w:t>
      </w:r>
      <w:r w:rsidRPr="002F0D0A">
        <w:rPr>
          <w:rFonts w:cs="Arial"/>
          <w:rtl/>
        </w:rPr>
        <w:t xml:space="preserve"> האי סכינא דביני אורבי דצה ושלפה דצה ושלפה שרי. וי"ל דכיון דחבית כלי הוא, ואין בניין וסתירה בכלים בדבר שאין בו חיזוק ואומנות לכ</w:t>
      </w:r>
      <w:r>
        <w:rPr>
          <w:rFonts w:cs="Arial" w:hint="cs"/>
          <w:rtl/>
        </w:rPr>
        <w:t>ו</w:t>
      </w:r>
      <w:r w:rsidRPr="002F0D0A">
        <w:rPr>
          <w:rFonts w:cs="Arial"/>
          <w:rtl/>
        </w:rPr>
        <w:t>"ע, ולהכי אין בו משום קודח אפי' אי הוי אי אפשר שלא יוסיף בנקב. וא"ת דמחייב משום דמתקן פיתחא? הא מסקינן התם פ' חבית דבר תורה דכל פתח שאינו עשוי להכניס ולהוציא לא שמיה פיתחא הוא, אלא דחכמים גזרו בכל פתחים ונקבים גזירה משום לולין דתרנגולים דאינהו עשוים להכניס ולהוציא כדאיתא התם. ולהכי קא מכוין להוסיף איסור, אבל בשאין מתכוין, נוכל לומר אפי' אי פסיק רישיה הוא שרי, דבאיסור דרבנן יש לחלק בין מתכוין גמור, לפסיק רישיה, כדאיתא בתשובת מור"ם במרדכי פ' הזורק. אמנם נראה דהאי סכין התקוע בחבית איירי שהוציאוהו והכניסוהו כבר בחול, ולא פסיק רישיה הוא שיוסיף בנקב, מדמייתי עלה ראייה מפ' במה טומנין, מסכינא דביני אורבי דצה ושלפה כו'</w:t>
      </w:r>
      <w:r>
        <w:rPr>
          <w:rFonts w:cs="Arial" w:hint="cs"/>
          <w:rtl/>
        </w:rPr>
        <w:t>,</w:t>
      </w:r>
      <w:r w:rsidRPr="002F0D0A">
        <w:rPr>
          <w:rFonts w:cs="Arial"/>
          <w:rtl/>
        </w:rPr>
        <w:t xml:space="preserve"> וההיא ע"כ איירי דלאו פסיק רישיה היא שירחיב הגומא</w:t>
      </w:r>
      <w:r>
        <w:rPr>
          <w:rFonts w:cs="Arial" w:hint="cs"/>
          <w:rtl/>
        </w:rPr>
        <w:t xml:space="preserve">... </w:t>
      </w:r>
      <w:r w:rsidRPr="002F0D0A">
        <w:rPr>
          <w:rFonts w:cs="Arial"/>
          <w:rtl/>
        </w:rPr>
        <w:t>ומהשתא שהוכחנו דסכין התקוע בחבית מיירי בלאו פסיק רישיה הוא, מתיישב אפילו בחבית גדולה שמחזקת יותר ממ' סאה. דכתב א"ז אהא דמתיז ראשו בסייף דחבית גדולה כזאת שייך בה בנין כמו בקרקע. ואי הוי פסיק רישיה חייב משום קודח כמו בתקוע בכותל, כדמפרש לעיל</w:t>
      </w:r>
      <w:r>
        <w:rPr>
          <w:rFonts w:cs="Arial" w:hint="cs"/>
          <w:rtl/>
        </w:rPr>
        <w:t>.</w:t>
      </w:r>
      <w:r w:rsidRPr="002F0D0A">
        <w:rPr>
          <w:rFonts w:cs="Arial"/>
          <w:rtl/>
        </w:rPr>
        <w:t xml:space="preserve"> אבל סכינים דביני אורבי אין נראה לחייבו משום קודח אפילו אי לא דצה ושלפה דהתם אינה אלא שמפריד אורבי מהדדי, שהרי אינו גוף אחד ולא שייך בה קודח, אבל משום הרחבת גומא שייך בה. ולכך נקט ר"י האי לישנא, ולא לשון קודח. וכיון דכבר נהגו העולם לאסור ולהוציא סכין התקוע בכותל, ואשכחינן ביה טעמא כדפרשי', יש לנו לקיים המנהג אפי' הוא לקולא, כ"ש לחומרא</w:t>
      </w:r>
      <w:r>
        <w:rPr>
          <w:rStyle w:val="a9"/>
          <w:rFonts w:asciiTheme="minorBidi" w:hAnsiTheme="minorBidi" w:cs="Arial"/>
          <w:rtl/>
        </w:rPr>
        <w:footnoteReference w:id="2165"/>
      </w:r>
      <w:r w:rsidRPr="002F0D0A">
        <w:rPr>
          <w:rFonts w:cs="Arial"/>
          <w:rtl/>
        </w:rPr>
        <w:t>. אבל אם תקוע הסכין בדבר תלוש בספסל וכה"ג לא ידעינן כלל טעם וסברא לאסור, והמחמיר בדבר מפריז הוא על מדותיו</w:t>
      </w:r>
      <w:r>
        <w:rPr>
          <w:rStyle w:val="a9"/>
          <w:rFonts w:asciiTheme="minorBidi" w:hAnsiTheme="minorBidi" w:cs="Arial"/>
          <w:rtl/>
        </w:rPr>
        <w:footnoteReference w:id="2166"/>
      </w:r>
      <w:r w:rsidRPr="002F0D0A">
        <w:rPr>
          <w:rFonts w:cs="Arial"/>
          <w:rtl/>
        </w:rPr>
        <w:t>.</w:t>
      </w:r>
      <w:r w:rsidRPr="004644A5">
        <w:rPr>
          <w:rFonts w:cs="Arial"/>
          <w:color w:val="00B0F0"/>
          <w:rtl/>
        </w:rPr>
        <w:t xml:space="preserve"> </w:t>
      </w:r>
      <w:r w:rsidR="00D94365" w:rsidRPr="004644A5">
        <w:rPr>
          <w:rFonts w:cs="Arial" w:hint="cs"/>
          <w:color w:val="00B0F0"/>
          <w:rtl/>
        </w:rPr>
        <w:t>(וכ"פ הרמ"א)</w:t>
      </w:r>
    </w:p>
    <w:p w14:paraId="0BD7724C" w14:textId="77777777" w:rsidR="00B556BA" w:rsidRPr="005275DF" w:rsidRDefault="00B556BA" w:rsidP="00434A6A">
      <w:pPr>
        <w:rPr>
          <w:rFonts w:asciiTheme="minorBidi" w:hAnsiTheme="minorBidi"/>
          <w:rtl/>
        </w:rPr>
      </w:pPr>
      <w:r w:rsidRPr="005275DF">
        <w:rPr>
          <w:rFonts w:asciiTheme="minorBidi" w:hAnsiTheme="minorBidi"/>
          <w:b/>
          <w:bCs/>
          <w:sz w:val="32"/>
          <w:szCs w:val="28"/>
          <w:u w:val="single"/>
          <w:rtl/>
        </w:rPr>
        <w:t xml:space="preserve">שו"ע: </w:t>
      </w:r>
    </w:p>
    <w:p w14:paraId="6D554434" w14:textId="6C6F208D" w:rsidR="00B3737F" w:rsidRPr="005275DF" w:rsidRDefault="002070A9" w:rsidP="00434A6A">
      <w:pPr>
        <w:rPr>
          <w:rFonts w:asciiTheme="minorBidi" w:hAnsiTheme="minorBidi"/>
          <w:rtl/>
        </w:rPr>
      </w:pPr>
      <w:r w:rsidRPr="005275DF">
        <w:rPr>
          <w:rFonts w:asciiTheme="minorBidi" w:hAnsiTheme="minorBidi"/>
          <w:rtl/>
        </w:rPr>
        <w:t>אין בנין וסתירה בכלים</w:t>
      </w:r>
      <w:r w:rsidR="004644A5">
        <w:rPr>
          <w:rFonts w:asciiTheme="minorBidi" w:hAnsiTheme="minorBidi" w:hint="cs"/>
          <w:rtl/>
        </w:rPr>
        <w:t>.</w:t>
      </w:r>
      <w:r w:rsidRPr="005275DF">
        <w:rPr>
          <w:rFonts w:asciiTheme="minorBidi" w:hAnsiTheme="minorBidi"/>
          <w:rtl/>
        </w:rPr>
        <w:t xml:space="preserve"> והני </w:t>
      </w:r>
      <w:r w:rsidR="00B3737F" w:rsidRPr="005275DF">
        <w:rPr>
          <w:rFonts w:asciiTheme="minorBidi" w:hAnsiTheme="minorBidi"/>
          <w:rtl/>
        </w:rPr>
        <w:t>מ</w:t>
      </w:r>
      <w:r w:rsidRPr="005275DF">
        <w:rPr>
          <w:rFonts w:asciiTheme="minorBidi" w:hAnsiTheme="minorBidi"/>
          <w:rtl/>
        </w:rPr>
        <w:t>ילי שאינו בנין ממש</w:t>
      </w:r>
      <w:r w:rsidR="004644A5">
        <w:rPr>
          <w:rFonts w:asciiTheme="minorBidi" w:hAnsiTheme="minorBidi" w:hint="cs"/>
          <w:rtl/>
        </w:rPr>
        <w:t>,</w:t>
      </w:r>
      <w:r w:rsidRPr="005275DF">
        <w:rPr>
          <w:rFonts w:asciiTheme="minorBidi" w:hAnsiTheme="minorBidi"/>
          <w:rtl/>
        </w:rPr>
        <w:t xml:space="preserve"> כגון חבית</w:t>
      </w:r>
      <w:r w:rsidR="00B3737F" w:rsidRPr="005275DF">
        <w:rPr>
          <w:rFonts w:asciiTheme="minorBidi" w:hAnsiTheme="minorBidi"/>
          <w:rtl/>
        </w:rPr>
        <w:t xml:space="preserve"> </w:t>
      </w:r>
      <w:r w:rsidR="00B3737F" w:rsidRPr="005275DF">
        <w:rPr>
          <w:rFonts w:asciiTheme="minorBidi" w:hAnsiTheme="minorBidi"/>
          <w:sz w:val="18"/>
          <w:szCs w:val="18"/>
          <w:rtl/>
        </w:rPr>
        <w:t>הגה: שאינה מחזקת ארבעים סאה</w:t>
      </w:r>
      <w:r w:rsidR="000416E8">
        <w:rPr>
          <w:rStyle w:val="a9"/>
          <w:rFonts w:asciiTheme="minorBidi" w:hAnsiTheme="minorBidi"/>
          <w:sz w:val="18"/>
          <w:szCs w:val="18"/>
          <w:rtl/>
        </w:rPr>
        <w:footnoteReference w:id="2167"/>
      </w:r>
      <w:r w:rsidR="00B3737F" w:rsidRPr="005275DF">
        <w:rPr>
          <w:rFonts w:asciiTheme="minorBidi" w:hAnsiTheme="minorBidi"/>
          <w:sz w:val="18"/>
          <w:szCs w:val="18"/>
          <w:rtl/>
        </w:rPr>
        <w:t xml:space="preserve"> (ת</w:t>
      </w:r>
      <w:r w:rsidR="004630E7" w:rsidRPr="005275DF">
        <w:rPr>
          <w:rFonts w:asciiTheme="minorBidi" w:hAnsiTheme="minorBidi"/>
          <w:sz w:val="18"/>
          <w:szCs w:val="18"/>
          <w:rtl/>
        </w:rPr>
        <w:t>רוה"ד</w:t>
      </w:r>
      <w:r w:rsidR="00B3737F" w:rsidRPr="005275DF">
        <w:rPr>
          <w:rFonts w:asciiTheme="minorBidi" w:hAnsiTheme="minorBidi"/>
          <w:sz w:val="18"/>
          <w:szCs w:val="18"/>
          <w:rtl/>
        </w:rPr>
        <w:t>)</w:t>
      </w:r>
      <w:r w:rsidR="00B3737F" w:rsidRPr="005275DF">
        <w:rPr>
          <w:rFonts w:asciiTheme="minorBidi" w:hAnsiTheme="minorBidi"/>
          <w:rtl/>
        </w:rPr>
        <w:t xml:space="preserve"> שנשב</w:t>
      </w:r>
      <w:r w:rsidRPr="005275DF">
        <w:rPr>
          <w:rFonts w:asciiTheme="minorBidi" w:hAnsiTheme="minorBidi"/>
          <w:rtl/>
        </w:rPr>
        <w:t>רה</w:t>
      </w:r>
      <w:r w:rsidR="00F72EBC">
        <w:rPr>
          <w:rStyle w:val="a9"/>
          <w:rFonts w:asciiTheme="minorBidi" w:hAnsiTheme="minorBidi"/>
          <w:rtl/>
        </w:rPr>
        <w:footnoteReference w:id="2168"/>
      </w:r>
      <w:r w:rsidRPr="005275DF">
        <w:rPr>
          <w:rFonts w:asciiTheme="minorBidi" w:hAnsiTheme="minorBidi"/>
          <w:rtl/>
        </w:rPr>
        <w:t xml:space="preserve"> ודיבק שבריה בזפת</w:t>
      </w:r>
      <w:r w:rsidR="00D86AF9" w:rsidRPr="005275DF">
        <w:rPr>
          <w:rStyle w:val="a9"/>
          <w:rFonts w:asciiTheme="minorBidi" w:hAnsiTheme="minorBidi"/>
          <w:rtl/>
        </w:rPr>
        <w:footnoteReference w:id="2169"/>
      </w:r>
      <w:r w:rsidR="004644A5">
        <w:rPr>
          <w:rFonts w:asciiTheme="minorBidi" w:hAnsiTheme="minorBidi" w:hint="cs"/>
          <w:rtl/>
        </w:rPr>
        <w:t>,</w:t>
      </w:r>
      <w:r w:rsidR="00B3737F" w:rsidRPr="005275DF">
        <w:rPr>
          <w:rFonts w:asciiTheme="minorBidi" w:hAnsiTheme="minorBidi"/>
          <w:rtl/>
        </w:rPr>
        <w:t xml:space="preserve"> יכול לשברה ליקח מה שבתוכה</w:t>
      </w:r>
      <w:r w:rsidR="004644A5">
        <w:rPr>
          <w:rFonts w:asciiTheme="minorBidi" w:hAnsiTheme="minorBidi" w:hint="cs"/>
          <w:rtl/>
        </w:rPr>
        <w:t>.</w:t>
      </w:r>
      <w:r w:rsidR="00B3737F" w:rsidRPr="005275DF">
        <w:rPr>
          <w:rFonts w:asciiTheme="minorBidi" w:hAnsiTheme="minorBidi"/>
          <w:rtl/>
        </w:rPr>
        <w:t xml:space="preserve"> ובלבד שלא יכוין </w:t>
      </w:r>
      <w:r w:rsidRPr="005275DF">
        <w:rPr>
          <w:rFonts w:asciiTheme="minorBidi" w:hAnsiTheme="minorBidi"/>
          <w:rtl/>
        </w:rPr>
        <w:t xml:space="preserve">לנקבה נקב יפה שיהיה לה לפתח, דאם </w:t>
      </w:r>
      <w:r w:rsidR="00B3737F" w:rsidRPr="005275DF">
        <w:rPr>
          <w:rFonts w:asciiTheme="minorBidi" w:hAnsiTheme="minorBidi"/>
          <w:rtl/>
        </w:rPr>
        <w:t>כ</w:t>
      </w:r>
      <w:r w:rsidRPr="005275DF">
        <w:rPr>
          <w:rFonts w:asciiTheme="minorBidi" w:hAnsiTheme="minorBidi"/>
          <w:rtl/>
        </w:rPr>
        <w:t>ן</w:t>
      </w:r>
      <w:r w:rsidR="00B3737F" w:rsidRPr="005275DF">
        <w:rPr>
          <w:rFonts w:asciiTheme="minorBidi" w:hAnsiTheme="minorBidi"/>
          <w:rtl/>
        </w:rPr>
        <w:t xml:space="preserve"> הוה </w:t>
      </w:r>
      <w:r w:rsidRPr="005275DF">
        <w:rPr>
          <w:rFonts w:asciiTheme="minorBidi" w:hAnsiTheme="minorBidi"/>
          <w:rtl/>
        </w:rPr>
        <w:t>ליה מתקן מנא</w:t>
      </w:r>
      <w:r w:rsidR="00A35130" w:rsidRPr="005275DF">
        <w:rPr>
          <w:rStyle w:val="a9"/>
          <w:rFonts w:asciiTheme="minorBidi" w:hAnsiTheme="minorBidi"/>
          <w:rtl/>
        </w:rPr>
        <w:footnoteReference w:id="2170"/>
      </w:r>
      <w:r w:rsidR="004644A5">
        <w:rPr>
          <w:rFonts w:asciiTheme="minorBidi" w:hAnsiTheme="minorBidi" w:hint="cs"/>
          <w:rtl/>
        </w:rPr>
        <w:t>.</w:t>
      </w:r>
      <w:r w:rsidRPr="005275DF">
        <w:rPr>
          <w:rFonts w:asciiTheme="minorBidi" w:hAnsiTheme="minorBidi"/>
          <w:rtl/>
        </w:rPr>
        <w:t xml:space="preserve"> אבל אם היא שלמה</w:t>
      </w:r>
      <w:r w:rsidR="00D03C57">
        <w:rPr>
          <w:rFonts w:asciiTheme="minorBidi" w:hAnsiTheme="minorBidi" w:hint="cs"/>
          <w:rtl/>
        </w:rPr>
        <w:t>,</w:t>
      </w:r>
      <w:r w:rsidRPr="005275DF">
        <w:rPr>
          <w:rFonts w:asciiTheme="minorBidi" w:hAnsiTheme="minorBidi"/>
          <w:rtl/>
        </w:rPr>
        <w:t xml:space="preserve"> אסור לשברה אפילו בענין שאינו עושה כלי</w:t>
      </w:r>
      <w:r w:rsidR="004644A5">
        <w:rPr>
          <w:rFonts w:asciiTheme="minorBidi" w:hAnsiTheme="minorBidi" w:hint="cs"/>
          <w:rtl/>
        </w:rPr>
        <w:t>.</w:t>
      </w:r>
      <w:r w:rsidRPr="005275DF">
        <w:rPr>
          <w:rFonts w:asciiTheme="minorBidi" w:hAnsiTheme="minorBidi"/>
          <w:rtl/>
        </w:rPr>
        <w:t xml:space="preserve"> ואפילו</w:t>
      </w:r>
      <w:r w:rsidR="00B3737F" w:rsidRPr="005275DF">
        <w:rPr>
          <w:rFonts w:asciiTheme="minorBidi" w:hAnsiTheme="minorBidi"/>
          <w:rtl/>
        </w:rPr>
        <w:t xml:space="preserve"> נקב</w:t>
      </w:r>
      <w:r w:rsidRPr="005275DF">
        <w:rPr>
          <w:rFonts w:asciiTheme="minorBidi" w:hAnsiTheme="minorBidi"/>
          <w:rtl/>
        </w:rPr>
        <w:t xml:space="preserve"> בעלמא אסור לנקוב בה מחדש, ואפילו יש בה נקב חדש אם להרחיבו</w:t>
      </w:r>
      <w:r w:rsidR="00B3737F" w:rsidRPr="005275DF">
        <w:rPr>
          <w:rFonts w:asciiTheme="minorBidi" w:hAnsiTheme="minorBidi"/>
          <w:rtl/>
        </w:rPr>
        <w:t xml:space="preserve"> אסור. </w:t>
      </w:r>
      <w:r w:rsidR="00B3737F" w:rsidRPr="005275DF">
        <w:rPr>
          <w:rFonts w:asciiTheme="minorBidi" w:hAnsiTheme="minorBidi"/>
          <w:sz w:val="18"/>
          <w:szCs w:val="18"/>
          <w:rtl/>
        </w:rPr>
        <w:t>הגה: ובלבד</w:t>
      </w:r>
      <w:r w:rsidRPr="005275DF">
        <w:rPr>
          <w:rFonts w:asciiTheme="minorBidi" w:hAnsiTheme="minorBidi"/>
          <w:sz w:val="18"/>
          <w:szCs w:val="18"/>
          <w:rtl/>
        </w:rPr>
        <w:t xml:space="preserve"> שיתכוין לכך</w:t>
      </w:r>
      <w:r w:rsidR="00F72EBC">
        <w:rPr>
          <w:rStyle w:val="a9"/>
          <w:rFonts w:asciiTheme="minorBidi" w:hAnsiTheme="minorBidi"/>
          <w:sz w:val="18"/>
          <w:szCs w:val="18"/>
          <w:rtl/>
        </w:rPr>
        <w:footnoteReference w:id="2171"/>
      </w:r>
      <w:r w:rsidRPr="005275DF">
        <w:rPr>
          <w:rFonts w:asciiTheme="minorBidi" w:hAnsiTheme="minorBidi"/>
          <w:sz w:val="18"/>
          <w:szCs w:val="18"/>
          <w:rtl/>
        </w:rPr>
        <w:t xml:space="preserve"> (מרדכי</w:t>
      </w:r>
      <w:r w:rsidR="00B3737F" w:rsidRPr="005275DF">
        <w:rPr>
          <w:rFonts w:asciiTheme="minorBidi" w:hAnsiTheme="minorBidi"/>
          <w:sz w:val="18"/>
          <w:szCs w:val="18"/>
          <w:rtl/>
        </w:rPr>
        <w:t>).</w:t>
      </w:r>
      <w:r w:rsidRPr="005275DF">
        <w:rPr>
          <w:rFonts w:asciiTheme="minorBidi" w:hAnsiTheme="minorBidi"/>
          <w:rtl/>
        </w:rPr>
        <w:t xml:space="preserve"> ואם היה סכין תקוע מערב </w:t>
      </w:r>
      <w:r w:rsidR="00B3737F" w:rsidRPr="005275DF">
        <w:rPr>
          <w:rFonts w:asciiTheme="minorBidi" w:hAnsiTheme="minorBidi"/>
          <w:rtl/>
        </w:rPr>
        <w:t>ש</w:t>
      </w:r>
      <w:r w:rsidRPr="005275DF">
        <w:rPr>
          <w:rFonts w:asciiTheme="minorBidi" w:hAnsiTheme="minorBidi"/>
          <w:rtl/>
        </w:rPr>
        <w:t>בת בחבית</w:t>
      </w:r>
      <w:r w:rsidR="00B3737F" w:rsidRPr="005275DF">
        <w:rPr>
          <w:rFonts w:asciiTheme="minorBidi" w:hAnsiTheme="minorBidi"/>
          <w:rtl/>
        </w:rPr>
        <w:t xml:space="preserve"> מותר להוציאו ולהכניסו שהרי אינו מתכוין להוסיף</w:t>
      </w:r>
      <w:r w:rsidR="00F67538" w:rsidRPr="005275DF">
        <w:rPr>
          <w:rStyle w:val="a9"/>
          <w:rFonts w:asciiTheme="minorBidi" w:hAnsiTheme="minorBidi"/>
          <w:rtl/>
        </w:rPr>
        <w:footnoteReference w:id="2172"/>
      </w:r>
      <w:r w:rsidR="00B3737F" w:rsidRPr="005275DF">
        <w:rPr>
          <w:rFonts w:asciiTheme="minorBidi" w:hAnsiTheme="minorBidi"/>
          <w:rtl/>
        </w:rPr>
        <w:t xml:space="preserve">. </w:t>
      </w:r>
      <w:r w:rsidR="00B3737F" w:rsidRPr="005275DF">
        <w:rPr>
          <w:rFonts w:asciiTheme="minorBidi" w:hAnsiTheme="minorBidi"/>
          <w:sz w:val="18"/>
          <w:szCs w:val="18"/>
          <w:rtl/>
        </w:rPr>
        <w:t>הגה</w:t>
      </w:r>
      <w:r w:rsidRPr="005275DF">
        <w:rPr>
          <w:rFonts w:asciiTheme="minorBidi" w:hAnsiTheme="minorBidi"/>
          <w:sz w:val="18"/>
          <w:szCs w:val="18"/>
          <w:rtl/>
        </w:rPr>
        <w:t xml:space="preserve">: ודוקא שהוציאו גם כן פעם אחת מבעוד </w:t>
      </w:r>
      <w:r w:rsidR="00B3737F" w:rsidRPr="005275DF">
        <w:rPr>
          <w:rFonts w:asciiTheme="minorBidi" w:hAnsiTheme="minorBidi"/>
          <w:sz w:val="18"/>
          <w:szCs w:val="18"/>
          <w:rtl/>
        </w:rPr>
        <w:t>י</w:t>
      </w:r>
      <w:r w:rsidRPr="005275DF">
        <w:rPr>
          <w:rFonts w:asciiTheme="minorBidi" w:hAnsiTheme="minorBidi"/>
          <w:sz w:val="18"/>
          <w:szCs w:val="18"/>
          <w:rtl/>
        </w:rPr>
        <w:t>ום</w:t>
      </w:r>
      <w:r w:rsidR="00B3737F" w:rsidRPr="005275DF">
        <w:rPr>
          <w:rFonts w:asciiTheme="minorBidi" w:hAnsiTheme="minorBidi"/>
          <w:sz w:val="18"/>
          <w:szCs w:val="18"/>
          <w:rtl/>
        </w:rPr>
        <w:t>, אבל אם לא הוציאו מבע</w:t>
      </w:r>
      <w:r w:rsidRPr="005275DF">
        <w:rPr>
          <w:rFonts w:asciiTheme="minorBidi" w:hAnsiTheme="minorBidi"/>
          <w:sz w:val="18"/>
          <w:szCs w:val="18"/>
          <w:rtl/>
        </w:rPr>
        <w:t xml:space="preserve">וד </w:t>
      </w:r>
      <w:r w:rsidR="00B3737F" w:rsidRPr="005275DF">
        <w:rPr>
          <w:rFonts w:asciiTheme="minorBidi" w:hAnsiTheme="minorBidi"/>
          <w:sz w:val="18"/>
          <w:szCs w:val="18"/>
          <w:rtl/>
        </w:rPr>
        <w:t>י</w:t>
      </w:r>
      <w:r w:rsidRPr="005275DF">
        <w:rPr>
          <w:rFonts w:asciiTheme="minorBidi" w:hAnsiTheme="minorBidi"/>
          <w:sz w:val="18"/>
          <w:szCs w:val="18"/>
          <w:rtl/>
        </w:rPr>
        <w:t>ום</w:t>
      </w:r>
      <w:r w:rsidR="00B3737F" w:rsidRPr="005275DF">
        <w:rPr>
          <w:rFonts w:asciiTheme="minorBidi" w:hAnsiTheme="minorBidi"/>
          <w:sz w:val="18"/>
          <w:szCs w:val="18"/>
          <w:rtl/>
        </w:rPr>
        <w:t xml:space="preserve"> אסור דהוי פסיק רישא דעושה נקב ופתח לחבית (ת</w:t>
      </w:r>
      <w:r w:rsidRPr="005275DF">
        <w:rPr>
          <w:rFonts w:asciiTheme="minorBidi" w:hAnsiTheme="minorBidi"/>
          <w:sz w:val="18"/>
          <w:szCs w:val="18"/>
          <w:rtl/>
        </w:rPr>
        <w:t>רוה"ד סי' סד). כלי שנתרועעה</w:t>
      </w:r>
      <w:r w:rsidR="00B3737F" w:rsidRPr="005275DF">
        <w:rPr>
          <w:rFonts w:asciiTheme="minorBidi" w:hAnsiTheme="minorBidi"/>
          <w:sz w:val="18"/>
          <w:szCs w:val="18"/>
          <w:rtl/>
        </w:rPr>
        <w:t xml:space="preserve"> אם מותר ליטול מ</w:t>
      </w:r>
      <w:r w:rsidRPr="005275DF">
        <w:rPr>
          <w:rFonts w:asciiTheme="minorBidi" w:hAnsiTheme="minorBidi"/>
          <w:sz w:val="18"/>
          <w:szCs w:val="18"/>
          <w:rtl/>
        </w:rPr>
        <w:t>מנו חרס</w:t>
      </w:r>
      <w:r w:rsidR="00B3737F" w:rsidRPr="005275DF">
        <w:rPr>
          <w:rFonts w:asciiTheme="minorBidi" w:hAnsiTheme="minorBidi"/>
          <w:sz w:val="18"/>
          <w:szCs w:val="18"/>
          <w:rtl/>
        </w:rPr>
        <w:t xml:space="preserve"> ע"ל סי' ש"ח סמ"ד.</w:t>
      </w:r>
      <w:r w:rsidR="00B3737F" w:rsidRPr="005275DF">
        <w:rPr>
          <w:rFonts w:asciiTheme="minorBidi" w:hAnsiTheme="minorBidi"/>
          <w:rtl/>
        </w:rPr>
        <w:t xml:space="preserve"> </w:t>
      </w:r>
    </w:p>
    <w:p w14:paraId="7B2673C7" w14:textId="77777777" w:rsidR="00B572AD" w:rsidRPr="005275DF" w:rsidRDefault="00B572AD" w:rsidP="00434A6A">
      <w:pPr>
        <w:rPr>
          <w:rFonts w:asciiTheme="minorBidi" w:hAnsiTheme="minorBidi"/>
          <w:rtl/>
        </w:rPr>
      </w:pPr>
    </w:p>
    <w:p w14:paraId="0D3480EC" w14:textId="6D45E4C6" w:rsidR="00B3737F" w:rsidRPr="005275DF" w:rsidRDefault="00B3737F" w:rsidP="00434A6A">
      <w:pPr>
        <w:pStyle w:val="2"/>
        <w:rPr>
          <w:rFonts w:asciiTheme="minorBidi" w:hAnsiTheme="minorBidi" w:cstheme="minorBidi"/>
          <w:rtl/>
        </w:rPr>
      </w:pPr>
      <w:r w:rsidRPr="005275DF">
        <w:rPr>
          <w:rFonts w:asciiTheme="minorBidi" w:hAnsiTheme="minorBidi" w:cstheme="minorBidi"/>
          <w:rtl/>
        </w:rPr>
        <w:t>סעיף ב</w:t>
      </w:r>
      <w:r w:rsidR="006D6054" w:rsidRPr="005275DF">
        <w:rPr>
          <w:rFonts w:asciiTheme="minorBidi" w:hAnsiTheme="minorBidi" w:cstheme="minorBidi"/>
          <w:rtl/>
        </w:rPr>
        <w:t>: פתיחת נקב שנסתם.</w:t>
      </w:r>
    </w:p>
    <w:p w14:paraId="176C3BD5" w14:textId="5FD1C19D" w:rsidR="00F728B1" w:rsidRDefault="00044B94" w:rsidP="00434A6A">
      <w:pPr>
        <w:rPr>
          <w:rFonts w:asciiTheme="minorBidi" w:hAnsiTheme="minorBidi"/>
          <w:rtl/>
        </w:rPr>
      </w:pPr>
      <w:r w:rsidRPr="005275DF">
        <w:rPr>
          <w:rFonts w:asciiTheme="minorBidi" w:hAnsiTheme="minorBidi"/>
          <w:b/>
          <w:bCs/>
          <w:rtl/>
        </w:rPr>
        <w:t xml:space="preserve">שבת </w:t>
      </w:r>
      <w:r w:rsidR="00D03C57">
        <w:rPr>
          <w:rFonts w:asciiTheme="minorBidi" w:hAnsiTheme="minorBidi" w:hint="cs"/>
          <w:b/>
          <w:bCs/>
          <w:sz w:val="16"/>
          <w:szCs w:val="16"/>
          <w:rtl/>
        </w:rPr>
        <w:t>(פ' חבית)</w:t>
      </w:r>
      <w:r w:rsidR="00D03C57">
        <w:rPr>
          <w:rFonts w:asciiTheme="minorBidi" w:hAnsiTheme="minorBidi" w:hint="cs"/>
          <w:b/>
          <w:bCs/>
          <w:rtl/>
        </w:rPr>
        <w:t xml:space="preserve"> </w:t>
      </w:r>
      <w:r w:rsidRPr="005275DF">
        <w:rPr>
          <w:rFonts w:asciiTheme="minorBidi" w:hAnsiTheme="minorBidi"/>
          <w:b/>
          <w:bCs/>
          <w:rtl/>
        </w:rPr>
        <w:t>קמ</w:t>
      </w:r>
      <w:r w:rsidR="00F728B1">
        <w:rPr>
          <w:rFonts w:asciiTheme="minorBidi" w:hAnsiTheme="minorBidi" w:hint="cs"/>
          <w:b/>
          <w:bCs/>
          <w:rtl/>
        </w:rPr>
        <w:t>ו</w:t>
      </w:r>
      <w:r w:rsidRPr="005275DF">
        <w:rPr>
          <w:rFonts w:asciiTheme="minorBidi" w:hAnsiTheme="minorBidi"/>
          <w:b/>
          <w:bCs/>
          <w:rtl/>
        </w:rPr>
        <w:t xml:space="preserve"> ע"א: </w:t>
      </w:r>
      <w:r w:rsidR="00F728B1" w:rsidRPr="00F728B1">
        <w:rPr>
          <w:rFonts w:asciiTheme="minorBidi" w:hAnsiTheme="minorBidi" w:cs="Arial"/>
          <w:rtl/>
        </w:rPr>
        <w:t>תנו רבנן: אין נוקבין נקב חדש בשבת, ואם בא להוסיף - מוסיף. ויש אומרים: אין מוסיפין. ושוין שנוקבין נקב ישן לכתחילה.</w:t>
      </w:r>
      <w:r w:rsidR="00F728B1">
        <w:rPr>
          <w:rFonts w:asciiTheme="minorBidi" w:hAnsiTheme="minorBidi" w:cs="Arial" w:hint="cs"/>
          <w:rtl/>
        </w:rPr>
        <w:t xml:space="preserve">.. </w:t>
      </w:r>
      <w:r w:rsidR="00F728B1">
        <w:rPr>
          <w:rFonts w:asciiTheme="minorBidi" w:hAnsiTheme="minorBidi" w:cs="Arial" w:hint="cs"/>
          <w:sz w:val="14"/>
          <w:szCs w:val="14"/>
          <w:rtl/>
        </w:rPr>
        <w:t>(קמו:)</w:t>
      </w:r>
      <w:r w:rsidR="00F728B1" w:rsidRPr="00F728B1">
        <w:rPr>
          <w:rFonts w:asciiTheme="minorBidi" w:hAnsiTheme="minorBidi" w:cs="Arial"/>
          <w:rtl/>
        </w:rPr>
        <w:t xml:space="preserve"> </w:t>
      </w:r>
      <w:r w:rsidR="00F728B1" w:rsidRPr="005275DF">
        <w:rPr>
          <w:rFonts w:asciiTheme="minorBidi" w:hAnsiTheme="minorBidi"/>
          <w:rtl/>
        </w:rPr>
        <w:t xml:space="preserve">ושוין שנוקבין נקב ישן לכתחלה. </w:t>
      </w:r>
      <w:r w:rsidR="00F728B1" w:rsidRPr="005275DF">
        <w:rPr>
          <w:rFonts w:asciiTheme="minorBidi" w:hAnsiTheme="minorBidi"/>
          <w:u w:val="single"/>
          <w:rtl/>
        </w:rPr>
        <w:t>אמר רב יהודה אמר שמואל</w:t>
      </w:r>
      <w:r w:rsidR="00F728B1" w:rsidRPr="005275DF">
        <w:rPr>
          <w:rFonts w:asciiTheme="minorBidi" w:hAnsiTheme="minorBidi"/>
          <w:rtl/>
        </w:rPr>
        <w:t>: לא שנו</w:t>
      </w:r>
      <w:r w:rsidR="00F728B1" w:rsidRPr="005275DF">
        <w:rPr>
          <w:rStyle w:val="a9"/>
          <w:rFonts w:asciiTheme="minorBidi" w:hAnsiTheme="minorBidi"/>
          <w:rtl/>
        </w:rPr>
        <w:footnoteReference w:id="2173"/>
      </w:r>
      <w:r w:rsidR="00F728B1" w:rsidRPr="005275DF">
        <w:rPr>
          <w:rFonts w:asciiTheme="minorBidi" w:hAnsiTheme="minorBidi"/>
          <w:rtl/>
        </w:rPr>
        <w:t xml:space="preserve"> אלא במקום העשוי לשמר</w:t>
      </w:r>
      <w:r w:rsidR="00F728B1" w:rsidRPr="005275DF">
        <w:rPr>
          <w:rStyle w:val="a9"/>
          <w:rFonts w:asciiTheme="minorBidi" w:hAnsiTheme="minorBidi"/>
          <w:rtl/>
        </w:rPr>
        <w:footnoteReference w:id="2174"/>
      </w:r>
      <w:r w:rsidR="00F728B1" w:rsidRPr="005275DF">
        <w:rPr>
          <w:rFonts w:asciiTheme="minorBidi" w:hAnsiTheme="minorBidi"/>
          <w:rtl/>
        </w:rPr>
        <w:t>, אבל לחזק</w:t>
      </w:r>
      <w:r w:rsidR="00F728B1" w:rsidRPr="005275DF">
        <w:rPr>
          <w:rStyle w:val="a9"/>
          <w:rFonts w:asciiTheme="minorBidi" w:hAnsiTheme="minorBidi"/>
          <w:rtl/>
        </w:rPr>
        <w:footnoteReference w:id="2175"/>
      </w:r>
      <w:r w:rsidR="00F728B1" w:rsidRPr="005275DF">
        <w:rPr>
          <w:rFonts w:asciiTheme="minorBidi" w:hAnsiTheme="minorBidi"/>
          <w:rtl/>
        </w:rPr>
        <w:t xml:space="preserve"> - אסור. היכי דמי לשמר, היכי דמי לחזק? </w:t>
      </w:r>
      <w:r w:rsidR="00F728B1" w:rsidRPr="005275DF">
        <w:rPr>
          <w:rFonts w:asciiTheme="minorBidi" w:hAnsiTheme="minorBidi"/>
          <w:u w:val="single"/>
          <w:rtl/>
        </w:rPr>
        <w:t>אמר רב חסדא:</w:t>
      </w:r>
      <w:r w:rsidR="00F728B1" w:rsidRPr="005275DF">
        <w:rPr>
          <w:rFonts w:asciiTheme="minorBidi" w:hAnsiTheme="minorBidi"/>
          <w:rtl/>
        </w:rPr>
        <w:t xml:space="preserve"> למעלה מן היין - זהו לשמר, למטה מן היין - זהו לחזק. </w:t>
      </w:r>
      <w:r w:rsidR="00F728B1" w:rsidRPr="005275DF">
        <w:rPr>
          <w:rFonts w:asciiTheme="minorBidi" w:hAnsiTheme="minorBidi"/>
          <w:u w:val="single"/>
          <w:rtl/>
        </w:rPr>
        <w:t>רבא אמר</w:t>
      </w:r>
      <w:r w:rsidR="00F728B1" w:rsidRPr="005275DF">
        <w:rPr>
          <w:rFonts w:asciiTheme="minorBidi" w:hAnsiTheme="minorBidi"/>
          <w:rtl/>
        </w:rPr>
        <w:t>: למטה מן היין נמי זהו לשמר</w:t>
      </w:r>
      <w:r w:rsidR="00F728B1" w:rsidRPr="005275DF">
        <w:rPr>
          <w:rStyle w:val="a9"/>
          <w:rFonts w:asciiTheme="minorBidi" w:hAnsiTheme="minorBidi"/>
          <w:rtl/>
        </w:rPr>
        <w:footnoteReference w:id="2176"/>
      </w:r>
      <w:r w:rsidR="00F728B1" w:rsidRPr="005275DF">
        <w:rPr>
          <w:rFonts w:asciiTheme="minorBidi" w:hAnsiTheme="minorBidi"/>
          <w:rtl/>
        </w:rPr>
        <w:t>. והיכי דמי לחזק - כגון שניקבה למטה מן השמרים</w:t>
      </w:r>
      <w:r w:rsidR="00F728B1" w:rsidRPr="005275DF">
        <w:rPr>
          <w:rStyle w:val="a9"/>
          <w:rFonts w:asciiTheme="minorBidi" w:hAnsiTheme="minorBidi"/>
          <w:rtl/>
        </w:rPr>
        <w:footnoteReference w:id="2177"/>
      </w:r>
      <w:r w:rsidR="00F728B1" w:rsidRPr="005275DF">
        <w:rPr>
          <w:rFonts w:asciiTheme="minorBidi" w:hAnsiTheme="minorBidi"/>
          <w:rtl/>
        </w:rPr>
        <w:t xml:space="preserve">. </w:t>
      </w:r>
      <w:r w:rsidR="00F728B1" w:rsidRPr="005275DF">
        <w:rPr>
          <w:rFonts w:asciiTheme="minorBidi" w:hAnsiTheme="minorBidi"/>
          <w:u w:val="single"/>
          <w:rtl/>
        </w:rPr>
        <w:t>אמר ליה אביי לרבא</w:t>
      </w:r>
      <w:r w:rsidR="00F728B1" w:rsidRPr="005275DF">
        <w:rPr>
          <w:rFonts w:asciiTheme="minorBidi" w:hAnsiTheme="minorBidi"/>
          <w:rtl/>
        </w:rPr>
        <w:t>: תניא דמסייע לך</w:t>
      </w:r>
      <w:r w:rsidR="00F728B1" w:rsidRPr="005275DF">
        <w:rPr>
          <w:rStyle w:val="a9"/>
          <w:rFonts w:asciiTheme="minorBidi" w:hAnsiTheme="minorBidi"/>
          <w:rtl/>
        </w:rPr>
        <w:footnoteReference w:id="2178"/>
      </w:r>
      <w:r w:rsidR="00F728B1" w:rsidRPr="005275DF">
        <w:rPr>
          <w:rFonts w:asciiTheme="minorBidi" w:hAnsiTheme="minorBidi"/>
          <w:rtl/>
        </w:rPr>
        <w:t>, בית סתום</w:t>
      </w:r>
      <w:r w:rsidR="002B24BB">
        <w:rPr>
          <w:rStyle w:val="a9"/>
          <w:rFonts w:asciiTheme="minorBidi" w:hAnsiTheme="minorBidi"/>
          <w:rtl/>
        </w:rPr>
        <w:footnoteReference w:id="2179"/>
      </w:r>
      <w:r w:rsidR="00F728B1" w:rsidRPr="005275DF">
        <w:rPr>
          <w:rFonts w:asciiTheme="minorBidi" w:hAnsiTheme="minorBidi"/>
          <w:rtl/>
        </w:rPr>
        <w:t xml:space="preserve"> - יש לו ארבע אמות</w:t>
      </w:r>
      <w:r w:rsidR="00F728B1" w:rsidRPr="00F728B1">
        <w:rPr>
          <w:rFonts w:asciiTheme="minorBidi" w:hAnsiTheme="minorBidi" w:cs="Arial"/>
          <w:rtl/>
        </w:rPr>
        <w:t>, פרץ את פצימיו</w:t>
      </w:r>
      <w:r w:rsidR="002B24BB">
        <w:rPr>
          <w:rStyle w:val="a9"/>
          <w:rFonts w:asciiTheme="minorBidi" w:hAnsiTheme="minorBidi"/>
          <w:rtl/>
        </w:rPr>
        <w:footnoteReference w:id="2180"/>
      </w:r>
      <w:r w:rsidR="00F728B1" w:rsidRPr="00F728B1">
        <w:rPr>
          <w:rFonts w:asciiTheme="minorBidi" w:hAnsiTheme="minorBidi" w:cs="Arial"/>
          <w:rtl/>
        </w:rPr>
        <w:t xml:space="preserve"> - אין לו ארבע אמות. בית סתום אינו מטמא כל סביביו, פרץ את פצימיו - מטמא כל סביביו.</w:t>
      </w:r>
      <w:r w:rsidR="00F728B1" w:rsidRPr="00F728B1">
        <w:rPr>
          <w:rFonts w:asciiTheme="minorBidi" w:hAnsiTheme="minorBidi" w:cs="Arial"/>
          <w:sz w:val="16"/>
          <w:szCs w:val="16"/>
          <w:rtl/>
        </w:rPr>
        <w:t xml:space="preserve"> </w:t>
      </w:r>
      <w:r w:rsidR="00F728B1">
        <w:rPr>
          <w:rFonts w:asciiTheme="minorBidi" w:hAnsiTheme="minorBidi" w:cs="Arial" w:hint="cs"/>
          <w:sz w:val="16"/>
          <w:szCs w:val="16"/>
          <w:rtl/>
        </w:rPr>
        <w:t>(</w:t>
      </w:r>
      <w:r w:rsidR="00F728B1" w:rsidRPr="00F728B1">
        <w:rPr>
          <w:rFonts w:asciiTheme="minorBidi" w:hAnsiTheme="minorBidi" w:cs="Arial"/>
          <w:sz w:val="16"/>
          <w:szCs w:val="16"/>
          <w:rtl/>
        </w:rPr>
        <w:t>וכתבו הרי"ף (סא:) והרא"ש (סי' ז) דכיון דתניא דמסייע ליה הכי הלכתא</w:t>
      </w:r>
      <w:r w:rsidR="00F728B1" w:rsidRPr="00F728B1">
        <w:rPr>
          <w:rFonts w:asciiTheme="minorBidi" w:hAnsiTheme="minorBidi" w:cs="Arial" w:hint="cs"/>
          <w:sz w:val="16"/>
          <w:szCs w:val="16"/>
          <w:rtl/>
        </w:rPr>
        <w:t>, ב"י)</w:t>
      </w:r>
    </w:p>
    <w:p w14:paraId="3F279003" w14:textId="5209B81C" w:rsidR="00D03C57" w:rsidRPr="002B24BB" w:rsidRDefault="002B24BB" w:rsidP="00434A6A">
      <w:pPr>
        <w:rPr>
          <w:rFonts w:asciiTheme="minorBidi" w:hAnsiTheme="minorBidi"/>
          <w:u w:val="single"/>
          <w:rtl/>
        </w:rPr>
      </w:pPr>
      <w:r w:rsidRPr="002B24BB">
        <w:rPr>
          <w:rFonts w:asciiTheme="minorBidi" w:hAnsiTheme="minorBidi"/>
          <w:u w:val="single"/>
          <w:rtl/>
        </w:rPr>
        <w:t>פתיחת נקב שנסתם בחבית של יין</w:t>
      </w:r>
      <w:r w:rsidRPr="002B24BB">
        <w:rPr>
          <w:rFonts w:asciiTheme="minorBidi" w:hAnsiTheme="minorBidi" w:hint="cs"/>
          <w:u w:val="single"/>
          <w:rtl/>
        </w:rPr>
        <w:t>:</w:t>
      </w:r>
    </w:p>
    <w:p w14:paraId="0D0AE2ED" w14:textId="4AF7E8C6" w:rsidR="00094251" w:rsidRPr="00182CF6" w:rsidRDefault="00094251" w:rsidP="00434A6A">
      <w:pPr>
        <w:pStyle w:val="aa"/>
        <w:numPr>
          <w:ilvl w:val="0"/>
          <w:numId w:val="15"/>
        </w:numPr>
        <w:rPr>
          <w:rFonts w:asciiTheme="minorBidi" w:hAnsiTheme="minorBidi"/>
          <w:rtl/>
        </w:rPr>
      </w:pPr>
      <w:r>
        <w:rPr>
          <w:rFonts w:asciiTheme="minorBidi" w:hAnsiTheme="minorBidi" w:cs="Arial" w:hint="cs"/>
          <w:rtl/>
        </w:rPr>
        <w:t xml:space="preserve">טור- </w:t>
      </w:r>
      <w:r w:rsidRPr="00182CF6">
        <w:rPr>
          <w:rFonts w:asciiTheme="minorBidi" w:hAnsiTheme="minorBidi" w:cs="Arial"/>
          <w:rtl/>
        </w:rPr>
        <w:t>היה בו נקב ונסתם</w:t>
      </w:r>
      <w:r w:rsidR="00D03C57">
        <w:rPr>
          <w:rFonts w:asciiTheme="minorBidi" w:hAnsiTheme="minorBidi" w:cs="Arial" w:hint="cs"/>
          <w:rtl/>
        </w:rPr>
        <w:t>,</w:t>
      </w:r>
      <w:r w:rsidRPr="00182CF6">
        <w:rPr>
          <w:rFonts w:asciiTheme="minorBidi" w:hAnsiTheme="minorBidi" w:cs="Arial"/>
          <w:rtl/>
        </w:rPr>
        <w:t xml:space="preserve"> אם הוא למטה מן השמרים </w:t>
      </w:r>
      <w:r w:rsidR="00D03C57">
        <w:rPr>
          <w:rFonts w:asciiTheme="minorBidi" w:hAnsiTheme="minorBidi" w:cs="Arial" w:hint="cs"/>
          <w:rtl/>
        </w:rPr>
        <w:t xml:space="preserve">- </w:t>
      </w:r>
      <w:r w:rsidRPr="00182CF6">
        <w:rPr>
          <w:rFonts w:asciiTheme="minorBidi" w:hAnsiTheme="minorBidi" w:cs="Arial"/>
          <w:rtl/>
        </w:rPr>
        <w:t>אסור לפותחו</w:t>
      </w:r>
      <w:r w:rsidR="00D03C57">
        <w:rPr>
          <w:rFonts w:asciiTheme="minorBidi" w:hAnsiTheme="minorBidi" w:cs="Arial" w:hint="cs"/>
          <w:rtl/>
        </w:rPr>
        <w:t>,</w:t>
      </w:r>
      <w:r w:rsidRPr="00182CF6">
        <w:rPr>
          <w:rFonts w:asciiTheme="minorBidi" w:hAnsiTheme="minorBidi" w:cs="Arial"/>
          <w:rtl/>
        </w:rPr>
        <w:t xml:space="preserve"> דכיון שהוא למטה וכל כובד היין עליו צריך סתימה מעלייתא וחשיב כפותח מחדש</w:t>
      </w:r>
      <w:r w:rsidR="00D03C57">
        <w:rPr>
          <w:rFonts w:asciiTheme="minorBidi" w:hAnsiTheme="minorBidi" w:cs="Arial" w:hint="cs"/>
          <w:rtl/>
        </w:rPr>
        <w:t>.</w:t>
      </w:r>
      <w:r w:rsidRPr="00182CF6">
        <w:rPr>
          <w:rFonts w:asciiTheme="minorBidi" w:hAnsiTheme="minorBidi" w:cs="Arial"/>
          <w:rtl/>
        </w:rPr>
        <w:t xml:space="preserve"> למעלה מן השמרים </w:t>
      </w:r>
      <w:r w:rsidR="00D03C57">
        <w:rPr>
          <w:rFonts w:asciiTheme="minorBidi" w:hAnsiTheme="minorBidi" w:cs="Arial" w:hint="cs"/>
          <w:rtl/>
        </w:rPr>
        <w:t xml:space="preserve">- </w:t>
      </w:r>
      <w:r w:rsidRPr="00182CF6">
        <w:rPr>
          <w:rFonts w:asciiTheme="minorBidi" w:hAnsiTheme="minorBidi" w:cs="Arial"/>
          <w:rtl/>
        </w:rPr>
        <w:t>מותר לפותחו</w:t>
      </w:r>
      <w:r w:rsidR="00D03C57">
        <w:rPr>
          <w:rFonts w:asciiTheme="minorBidi" w:hAnsiTheme="minorBidi" w:cs="Arial" w:hint="cs"/>
          <w:rtl/>
        </w:rPr>
        <w:t>.</w:t>
      </w:r>
      <w:r w:rsidR="002B24BB" w:rsidRPr="002B24BB">
        <w:rPr>
          <w:rFonts w:cs="Arial" w:hint="cs"/>
          <w:color w:val="E36C0A" w:themeColor="accent6" w:themeShade="BF"/>
          <w:rtl/>
        </w:rPr>
        <w:t xml:space="preserve"> </w:t>
      </w:r>
      <w:r w:rsidR="002B24BB" w:rsidRPr="004644A5">
        <w:rPr>
          <w:rFonts w:cs="Arial" w:hint="cs"/>
          <w:color w:val="E36C0A" w:themeColor="accent6" w:themeShade="BF"/>
          <w:rtl/>
        </w:rPr>
        <w:t>(וכ"פ בשו"ע)</w:t>
      </w:r>
    </w:p>
    <w:p w14:paraId="77ED19BB" w14:textId="3C0A6737" w:rsidR="00850A39" w:rsidRPr="00850A39" w:rsidRDefault="00850A39" w:rsidP="00434A6A">
      <w:pPr>
        <w:ind w:left="360"/>
        <w:rPr>
          <w:rFonts w:cs="Arial"/>
          <w:u w:val="dotted"/>
          <w:rtl/>
        </w:rPr>
      </w:pPr>
      <w:r w:rsidRPr="00850A39">
        <w:rPr>
          <w:rFonts w:cs="Arial" w:hint="cs"/>
          <w:u w:val="dotted"/>
          <w:rtl/>
        </w:rPr>
        <w:t>האם מותר לנקוב בכלי שמיוחד לנקיבה</w:t>
      </w:r>
      <w:r w:rsidR="00F56881">
        <w:rPr>
          <w:rFonts w:cs="Arial" w:hint="cs"/>
          <w:u w:val="dotted"/>
          <w:rtl/>
        </w:rPr>
        <w:t>, וכן האם מותר להרחיב הנקב</w:t>
      </w:r>
      <w:r w:rsidRPr="00850A39">
        <w:rPr>
          <w:rFonts w:cs="Arial" w:hint="cs"/>
          <w:u w:val="dotted"/>
          <w:rtl/>
        </w:rPr>
        <w:t>:</w:t>
      </w:r>
    </w:p>
    <w:p w14:paraId="5E011DC2" w14:textId="558677FE" w:rsidR="00850A39" w:rsidRDefault="00850A39" w:rsidP="00434A6A">
      <w:pPr>
        <w:pStyle w:val="aa"/>
        <w:numPr>
          <w:ilvl w:val="0"/>
          <w:numId w:val="15"/>
        </w:numPr>
      </w:pPr>
      <w:r w:rsidRPr="002B24BB">
        <w:rPr>
          <w:rFonts w:cs="Arial"/>
          <w:rtl/>
        </w:rPr>
        <w:t xml:space="preserve">מרדכי </w:t>
      </w:r>
      <w:r w:rsidRPr="002B24BB">
        <w:rPr>
          <w:rFonts w:cs="Arial"/>
          <w:sz w:val="16"/>
          <w:szCs w:val="16"/>
          <w:rtl/>
        </w:rPr>
        <w:t>(סי' תמ)</w:t>
      </w:r>
      <w:r w:rsidRPr="002B24BB">
        <w:rPr>
          <w:rFonts w:cs="Arial" w:hint="cs"/>
          <w:rtl/>
        </w:rPr>
        <w:t xml:space="preserve">- </w:t>
      </w:r>
      <w:r w:rsidRPr="002B24BB">
        <w:rPr>
          <w:rFonts w:cs="Arial"/>
          <w:rtl/>
        </w:rPr>
        <w:t xml:space="preserve">ושוין שנוקבין נקב ישן לכתחלה </w:t>
      </w:r>
      <w:r w:rsidRPr="002B24BB">
        <w:rPr>
          <w:rFonts w:cs="Arial" w:hint="cs"/>
          <w:rtl/>
        </w:rPr>
        <w:t xml:space="preserve">(קמו.), </w:t>
      </w:r>
      <w:r w:rsidRPr="002B24BB">
        <w:rPr>
          <w:rFonts w:cs="Arial"/>
          <w:rtl/>
        </w:rPr>
        <w:t>צ"ל דבמקום הישן נוקבין לכתחלה אפילו במקדח</w:t>
      </w:r>
      <w:r w:rsidRPr="002B24BB">
        <w:rPr>
          <w:rFonts w:cs="Arial" w:hint="cs"/>
          <w:rtl/>
        </w:rPr>
        <w:t>,</w:t>
      </w:r>
      <w:r w:rsidRPr="002B24BB">
        <w:rPr>
          <w:rFonts w:cs="Arial"/>
          <w:rtl/>
        </w:rPr>
        <w:t xml:space="preserve"> כגון שנשברה הברזא</w:t>
      </w:r>
      <w:r w:rsidRPr="002B24BB">
        <w:rPr>
          <w:rFonts w:cs="Arial" w:hint="cs"/>
          <w:rtl/>
        </w:rPr>
        <w:t>.</w:t>
      </w:r>
      <w:r w:rsidRPr="002B24BB">
        <w:rPr>
          <w:rFonts w:cs="Arial"/>
          <w:rtl/>
        </w:rPr>
        <w:t xml:space="preserve"> ולא שנא נקב גדול ולא שנא נקב קטן</w:t>
      </w:r>
      <w:r w:rsidRPr="002B24BB">
        <w:rPr>
          <w:rFonts w:cs="Arial" w:hint="cs"/>
          <w:rtl/>
        </w:rPr>
        <w:t>.</w:t>
      </w:r>
      <w:r w:rsidRPr="002B24BB">
        <w:rPr>
          <w:rFonts w:cs="Arial"/>
          <w:rtl/>
        </w:rPr>
        <w:t xml:space="preserve"> וכן להוציאה דרך דורשל"ק בל"א שרי להוציא</w:t>
      </w:r>
      <w:r>
        <w:rPr>
          <w:rFonts w:cs="Arial" w:hint="cs"/>
          <w:rtl/>
        </w:rPr>
        <w:t>,</w:t>
      </w:r>
      <w:r w:rsidRPr="002B24BB">
        <w:rPr>
          <w:rFonts w:cs="Arial"/>
          <w:rtl/>
        </w:rPr>
        <w:t xml:space="preserve"> ומכניסין בה ברזא שנתקנה מע"ש</w:t>
      </w:r>
      <w:r w:rsidRPr="002B24BB">
        <w:rPr>
          <w:rFonts w:cs="Arial" w:hint="cs"/>
          <w:rtl/>
        </w:rPr>
        <w:t>.</w:t>
      </w:r>
      <w:r w:rsidRPr="002B24BB">
        <w:rPr>
          <w:rFonts w:cs="Arial"/>
          <w:rtl/>
        </w:rPr>
        <w:t xml:space="preserve"> ואין להחמיר כולי האי דאמר רבא כל פתח שאינו עשוי להכניס ולהוציא אינו פתח</w:t>
      </w:r>
      <w:r w:rsidRPr="002B24BB">
        <w:rPr>
          <w:rFonts w:cs="Arial" w:hint="cs"/>
          <w:rtl/>
        </w:rPr>
        <w:t>,</w:t>
      </w:r>
      <w:r w:rsidRPr="002B24BB">
        <w:rPr>
          <w:rFonts w:cs="Arial"/>
          <w:rtl/>
        </w:rPr>
        <w:t xml:space="preserve"> ורבנן הוא דגזור משום לול של תרנגולין כו'</w:t>
      </w:r>
      <w:r>
        <w:rPr>
          <w:rFonts w:cs="Arial" w:hint="cs"/>
          <w:rtl/>
        </w:rPr>
        <w:t>,</w:t>
      </w:r>
      <w:r w:rsidRPr="002B24BB">
        <w:rPr>
          <w:rFonts w:cs="Arial"/>
          <w:rtl/>
        </w:rPr>
        <w:t xml:space="preserve"> </w:t>
      </w:r>
      <w:bookmarkStart w:id="12" w:name="_Hlk105591916"/>
      <w:r w:rsidRPr="002B24BB">
        <w:rPr>
          <w:rFonts w:cs="Arial"/>
          <w:rtl/>
        </w:rPr>
        <w:t>הילכך בישן שרי</w:t>
      </w:r>
      <w:r>
        <w:rPr>
          <w:rStyle w:val="a9"/>
          <w:rFonts w:cs="Arial"/>
          <w:rtl/>
        </w:rPr>
        <w:footnoteReference w:id="2181"/>
      </w:r>
      <w:r w:rsidRPr="002B24BB">
        <w:rPr>
          <w:rFonts w:cs="Arial" w:hint="cs"/>
          <w:rtl/>
        </w:rPr>
        <w:t>.</w:t>
      </w:r>
      <w:r w:rsidRPr="002B24BB">
        <w:rPr>
          <w:rFonts w:cs="Arial"/>
          <w:rtl/>
        </w:rPr>
        <w:t xml:space="preserve"> </w:t>
      </w:r>
      <w:bookmarkEnd w:id="12"/>
      <w:r w:rsidRPr="002B24BB">
        <w:rPr>
          <w:rFonts w:cs="Arial"/>
          <w:rtl/>
        </w:rPr>
        <w:t>וישן דקאמר דשרי ה"מ במקום העשוי לשמור בו כדאמר באלפסי</w:t>
      </w:r>
      <w:r w:rsidRPr="002B24BB">
        <w:rPr>
          <w:rFonts w:cs="Arial" w:hint="cs"/>
          <w:rtl/>
        </w:rPr>
        <w:t>.</w:t>
      </w:r>
      <w:r w:rsidRPr="002B24BB">
        <w:rPr>
          <w:rFonts w:cs="Arial"/>
          <w:color w:val="E36C0A" w:themeColor="accent6" w:themeShade="BF"/>
          <w:rtl/>
        </w:rPr>
        <w:t xml:space="preserve"> </w:t>
      </w:r>
      <w:r w:rsidRPr="002B24BB">
        <w:rPr>
          <w:rFonts w:cs="Arial" w:hint="cs"/>
          <w:color w:val="E36C0A" w:themeColor="accent6" w:themeShade="BF"/>
          <w:rtl/>
        </w:rPr>
        <w:t>(וכ"פ בשו"ע</w:t>
      </w:r>
      <w:r w:rsidR="003A61E3">
        <w:rPr>
          <w:rFonts w:cs="Arial" w:hint="cs"/>
          <w:color w:val="E36C0A" w:themeColor="accent6" w:themeShade="BF"/>
          <w:sz w:val="16"/>
          <w:szCs w:val="16"/>
          <w:rtl/>
        </w:rPr>
        <w:t xml:space="preserve"> </w:t>
      </w:r>
      <w:r w:rsidR="003A61E3" w:rsidRPr="003A61E3">
        <w:rPr>
          <w:rFonts w:cs="Arial" w:hint="cs"/>
          <w:color w:val="000000" w:themeColor="text1"/>
          <w:sz w:val="16"/>
          <w:szCs w:val="16"/>
          <w:rtl/>
        </w:rPr>
        <w:t>[</w:t>
      </w:r>
      <w:r w:rsidR="003A61E3">
        <w:rPr>
          <w:rFonts w:cs="Arial" w:hint="cs"/>
          <w:color w:val="000000" w:themeColor="text1"/>
          <w:sz w:val="16"/>
          <w:szCs w:val="16"/>
          <w:rtl/>
        </w:rPr>
        <w:t>בסע' הבא</w:t>
      </w:r>
      <w:r w:rsidR="003A61E3" w:rsidRPr="003A61E3">
        <w:rPr>
          <w:rFonts w:cs="Arial" w:hint="cs"/>
          <w:color w:val="000000" w:themeColor="text1"/>
          <w:sz w:val="16"/>
          <w:szCs w:val="16"/>
          <w:rtl/>
        </w:rPr>
        <w:t>]</w:t>
      </w:r>
      <w:r w:rsidRPr="002B24BB">
        <w:rPr>
          <w:rFonts w:cs="Arial" w:hint="cs"/>
          <w:color w:val="E36C0A" w:themeColor="accent6" w:themeShade="BF"/>
          <w:rtl/>
        </w:rPr>
        <w:t>)</w:t>
      </w:r>
    </w:p>
    <w:p w14:paraId="7A9AD00F" w14:textId="677A1BBE" w:rsidR="00850A39" w:rsidRPr="00850A39" w:rsidRDefault="00850A39" w:rsidP="00434A6A">
      <w:pPr>
        <w:ind w:left="360"/>
        <w:rPr>
          <w:u w:val="dotted"/>
        </w:rPr>
      </w:pPr>
      <w:r w:rsidRPr="00850A39">
        <w:rPr>
          <w:rFonts w:hint="cs"/>
          <w:u w:val="dotted"/>
          <w:rtl/>
        </w:rPr>
        <w:t>האם יש חילוק בין חבית של עץ לחבית של חרס:</w:t>
      </w:r>
    </w:p>
    <w:p w14:paraId="6BDF7B02" w14:textId="59A367BC" w:rsidR="00850A39" w:rsidRPr="00EA76A8" w:rsidRDefault="00850A39" w:rsidP="00434A6A">
      <w:pPr>
        <w:pStyle w:val="aa"/>
        <w:numPr>
          <w:ilvl w:val="0"/>
          <w:numId w:val="15"/>
        </w:numPr>
      </w:pPr>
      <w:r w:rsidRPr="00EA76A8">
        <w:rPr>
          <w:rFonts w:cs="Arial"/>
          <w:rtl/>
        </w:rPr>
        <w:t xml:space="preserve">כל בו </w:t>
      </w:r>
      <w:r w:rsidRPr="00EA76A8">
        <w:rPr>
          <w:rFonts w:cs="Arial"/>
          <w:sz w:val="16"/>
          <w:szCs w:val="16"/>
          <w:rtl/>
        </w:rPr>
        <w:t>(סי' לא כט ע"ג)</w:t>
      </w:r>
      <w:r>
        <w:rPr>
          <w:rFonts w:cs="Arial" w:hint="cs"/>
          <w:rtl/>
        </w:rPr>
        <w:t>-</w:t>
      </w:r>
      <w:r w:rsidRPr="00EA76A8">
        <w:rPr>
          <w:rtl/>
        </w:rPr>
        <w:t xml:space="preserve"> </w:t>
      </w:r>
      <w:r w:rsidRPr="00EA76A8">
        <w:rPr>
          <w:rFonts w:cs="Arial"/>
          <w:rtl/>
        </w:rPr>
        <w:t>אין נוקבין נקב חדש ואין מוסיפין, אבל פותחין בחביות נקב ישן, והוא שיהיה במקום שאין עשוי לחזק, שלא יהיה בין השמרים, יש אומרים דוקא בחביות של חרש לפי שאין הסתימה מהודקת הרבה, אבל בחביות של עץ שמהדקים מאד הדוריל"ש וחותכין ראשם על דעת שלא להוציאם נראה שזה נקב חדש ואסור, והר"ף ז"ל כתב</w:t>
      </w:r>
      <w:r>
        <w:rPr>
          <w:rFonts w:cs="Arial" w:hint="cs"/>
          <w:rtl/>
        </w:rPr>
        <w:t>...</w:t>
      </w:r>
      <w:r w:rsidRPr="00EA76A8">
        <w:rPr>
          <w:rFonts w:cs="Arial"/>
          <w:rtl/>
        </w:rPr>
        <w:t xml:space="preserve"> ואותם חביות שנסתמו בימי הקיץ אסור לנקוב הנקב שנסתם, כיון דהוי סתימה גמורה, וכן כתב ה"ר יוסף ז"ל ונותן טעם בדבר לפי שלא משכו יין אחר הסתימה, ועוד כתב מותר לתת שפופרת שקורין דורי"ל מתחלה בשבת כיון דתחוב, ואע"ג דלא מתקנא, ואין ידוע אם היא למדת החביות ואם לאו אפילו הכי שרי, וכן ברזא שקורין קניל"א, אם הכינה מאתמול מותר לתת אותם בחביות בשבת אע</w:t>
      </w:r>
      <w:r>
        <w:rPr>
          <w:rFonts w:cs="Arial" w:hint="cs"/>
          <w:rtl/>
        </w:rPr>
        <w:t>"</w:t>
      </w:r>
      <w:r w:rsidRPr="00EA76A8">
        <w:rPr>
          <w:rFonts w:cs="Arial"/>
          <w:rtl/>
        </w:rPr>
        <w:t xml:space="preserve">פ שלא היתה שם מעולם. </w:t>
      </w:r>
    </w:p>
    <w:p w14:paraId="40000852" w14:textId="77777777" w:rsidR="00B556BA" w:rsidRPr="005275DF" w:rsidRDefault="00B556BA" w:rsidP="00434A6A">
      <w:pPr>
        <w:rPr>
          <w:rFonts w:asciiTheme="minorBidi" w:hAnsiTheme="minorBidi"/>
          <w:rtl/>
        </w:rPr>
      </w:pPr>
      <w:r w:rsidRPr="005275DF">
        <w:rPr>
          <w:rFonts w:asciiTheme="minorBidi" w:hAnsiTheme="minorBidi"/>
          <w:b/>
          <w:bCs/>
          <w:sz w:val="32"/>
          <w:szCs w:val="28"/>
          <w:u w:val="single"/>
          <w:rtl/>
        </w:rPr>
        <w:t xml:space="preserve">שו"ע: </w:t>
      </w:r>
    </w:p>
    <w:p w14:paraId="5C4C1A76" w14:textId="77777777" w:rsidR="00B3737F" w:rsidRPr="005275DF" w:rsidRDefault="00B3737F" w:rsidP="00434A6A">
      <w:pPr>
        <w:rPr>
          <w:rFonts w:asciiTheme="minorBidi" w:hAnsiTheme="minorBidi"/>
          <w:rtl/>
        </w:rPr>
      </w:pPr>
      <w:r w:rsidRPr="005275DF">
        <w:rPr>
          <w:rFonts w:asciiTheme="minorBidi" w:hAnsiTheme="minorBidi"/>
          <w:rtl/>
        </w:rPr>
        <w:t>היה בה נ</w:t>
      </w:r>
      <w:r w:rsidR="00044B94" w:rsidRPr="005275DF">
        <w:rPr>
          <w:rFonts w:asciiTheme="minorBidi" w:hAnsiTheme="minorBidi"/>
          <w:rtl/>
        </w:rPr>
        <w:t>קב ונסתם, אם הוא למטה מן השמרים</w:t>
      </w:r>
      <w:r w:rsidRPr="005275DF">
        <w:rPr>
          <w:rFonts w:asciiTheme="minorBidi" w:hAnsiTheme="minorBidi"/>
          <w:rtl/>
        </w:rPr>
        <w:t xml:space="preserve"> אסור לפתחו דכיון שהוא למטה וכל כובד היין עליו צר</w:t>
      </w:r>
      <w:r w:rsidR="00044B94" w:rsidRPr="005275DF">
        <w:rPr>
          <w:rFonts w:asciiTheme="minorBidi" w:hAnsiTheme="minorBidi"/>
          <w:rtl/>
        </w:rPr>
        <w:t>יך סתימה מעליא וחשיב כפותח מחדש, למעלה מן השמרים</w:t>
      </w:r>
      <w:r w:rsidR="00B572AD" w:rsidRPr="005275DF">
        <w:rPr>
          <w:rFonts w:asciiTheme="minorBidi" w:hAnsiTheme="minorBidi"/>
          <w:rtl/>
        </w:rPr>
        <w:t xml:space="preserve"> מותר לפתחו.</w:t>
      </w:r>
    </w:p>
    <w:p w14:paraId="6EA0178D" w14:textId="77777777" w:rsidR="00B3737F" w:rsidRPr="005275DF" w:rsidRDefault="00B3737F" w:rsidP="00434A6A">
      <w:pPr>
        <w:rPr>
          <w:rFonts w:asciiTheme="minorBidi" w:hAnsiTheme="minorBidi"/>
          <w:rtl/>
        </w:rPr>
      </w:pPr>
    </w:p>
    <w:p w14:paraId="0EB471A3" w14:textId="3570E758" w:rsidR="00B3737F" w:rsidRDefault="00B3737F" w:rsidP="00434A6A">
      <w:pPr>
        <w:pStyle w:val="2"/>
        <w:rPr>
          <w:rFonts w:asciiTheme="minorBidi" w:hAnsiTheme="minorBidi" w:cstheme="minorBidi"/>
          <w:rtl/>
        </w:rPr>
      </w:pPr>
      <w:r w:rsidRPr="005275DF">
        <w:rPr>
          <w:rFonts w:asciiTheme="minorBidi" w:hAnsiTheme="minorBidi" w:cstheme="minorBidi"/>
          <w:rtl/>
        </w:rPr>
        <w:t>סעיף ג</w:t>
      </w:r>
      <w:r w:rsidR="00B572AD" w:rsidRPr="005275DF">
        <w:rPr>
          <w:rFonts w:asciiTheme="minorBidi" w:hAnsiTheme="minorBidi" w:cstheme="minorBidi"/>
          <w:rtl/>
        </w:rPr>
        <w:t>:</w:t>
      </w:r>
      <w:r w:rsidR="002D2010" w:rsidRPr="005275DF">
        <w:rPr>
          <w:rFonts w:asciiTheme="minorBidi" w:hAnsiTheme="minorBidi" w:cstheme="minorBidi"/>
          <w:rtl/>
        </w:rPr>
        <w:t xml:space="preserve"> פתיחת נקב ישן בחבית.</w:t>
      </w:r>
    </w:p>
    <w:p w14:paraId="4767F149" w14:textId="28A25D96" w:rsidR="00850A39" w:rsidRPr="00850A39" w:rsidRDefault="00850A39" w:rsidP="00434A6A">
      <w:pPr>
        <w:rPr>
          <w:rtl/>
        </w:rPr>
      </w:pPr>
      <w:r>
        <w:rPr>
          <w:rFonts w:hint="cs"/>
          <w:rtl/>
        </w:rPr>
        <w:t>עיין במקורות בסעיף ב.</w:t>
      </w:r>
    </w:p>
    <w:p w14:paraId="120466C2" w14:textId="77777777" w:rsidR="00B556BA" w:rsidRPr="005275DF" w:rsidRDefault="00B556BA" w:rsidP="00434A6A">
      <w:pPr>
        <w:rPr>
          <w:rFonts w:asciiTheme="minorBidi" w:hAnsiTheme="minorBidi"/>
          <w:rtl/>
        </w:rPr>
      </w:pPr>
      <w:r w:rsidRPr="005275DF">
        <w:rPr>
          <w:rFonts w:asciiTheme="minorBidi" w:hAnsiTheme="minorBidi"/>
          <w:b/>
          <w:bCs/>
          <w:sz w:val="32"/>
          <w:szCs w:val="28"/>
          <w:u w:val="single"/>
          <w:rtl/>
        </w:rPr>
        <w:t xml:space="preserve">שו"ע: </w:t>
      </w:r>
    </w:p>
    <w:p w14:paraId="4DE6EB8E" w14:textId="354A8E7C" w:rsidR="00B3737F" w:rsidRPr="005275DF" w:rsidRDefault="00B3737F" w:rsidP="00434A6A">
      <w:pPr>
        <w:rPr>
          <w:rFonts w:asciiTheme="minorBidi" w:hAnsiTheme="minorBidi"/>
          <w:rtl/>
        </w:rPr>
      </w:pPr>
      <w:r w:rsidRPr="005275DF">
        <w:rPr>
          <w:rFonts w:asciiTheme="minorBidi" w:hAnsiTheme="minorBidi"/>
          <w:rtl/>
        </w:rPr>
        <w:t>ב</w:t>
      </w:r>
      <w:r w:rsidR="00B572AD" w:rsidRPr="005275DF">
        <w:rPr>
          <w:rFonts w:asciiTheme="minorBidi" w:hAnsiTheme="minorBidi"/>
          <w:rtl/>
        </w:rPr>
        <w:t>מקום נקב ישן נוקבין אפילו</w:t>
      </w:r>
      <w:r w:rsidRPr="005275DF">
        <w:rPr>
          <w:rFonts w:asciiTheme="minorBidi" w:hAnsiTheme="minorBidi"/>
          <w:rtl/>
        </w:rPr>
        <w:t xml:space="preserve"> במקדח</w:t>
      </w:r>
      <w:r w:rsidR="005D43F0">
        <w:rPr>
          <w:rFonts w:asciiTheme="minorBidi" w:hAnsiTheme="minorBidi" w:hint="cs"/>
          <w:rtl/>
        </w:rPr>
        <w:t>,</w:t>
      </w:r>
      <w:r w:rsidRPr="005275DF">
        <w:rPr>
          <w:rFonts w:asciiTheme="minorBidi" w:hAnsiTheme="minorBidi"/>
          <w:rtl/>
        </w:rPr>
        <w:t xml:space="preserve"> </w:t>
      </w:r>
      <w:r w:rsidR="00B572AD" w:rsidRPr="005275DF">
        <w:rPr>
          <w:rFonts w:asciiTheme="minorBidi" w:hAnsiTheme="minorBidi"/>
          <w:rtl/>
        </w:rPr>
        <w:t xml:space="preserve">כגון שנשברה הברזא. ויש </w:t>
      </w:r>
      <w:r w:rsidRPr="005275DF">
        <w:rPr>
          <w:rFonts w:asciiTheme="minorBidi" w:hAnsiTheme="minorBidi"/>
          <w:rtl/>
        </w:rPr>
        <w:t>א</w:t>
      </w:r>
      <w:r w:rsidR="00B572AD" w:rsidRPr="005275DF">
        <w:rPr>
          <w:rFonts w:asciiTheme="minorBidi" w:hAnsiTheme="minorBidi"/>
          <w:rtl/>
        </w:rPr>
        <w:t>ומרים</w:t>
      </w:r>
      <w:r w:rsidR="00AD2E9E">
        <w:rPr>
          <w:rStyle w:val="a9"/>
          <w:rFonts w:asciiTheme="minorBidi" w:hAnsiTheme="minorBidi"/>
          <w:rtl/>
        </w:rPr>
        <w:footnoteReference w:id="2182"/>
      </w:r>
      <w:r w:rsidRPr="005275DF">
        <w:rPr>
          <w:rFonts w:asciiTheme="minorBidi" w:hAnsiTheme="minorBidi"/>
          <w:rtl/>
        </w:rPr>
        <w:t xml:space="preserve"> דלא שרי לנקוב נקב ישן אלא בחבי</w:t>
      </w:r>
      <w:r w:rsidR="00B572AD" w:rsidRPr="005275DF">
        <w:rPr>
          <w:rFonts w:asciiTheme="minorBidi" w:hAnsiTheme="minorBidi"/>
          <w:rtl/>
        </w:rPr>
        <w:t>ת של חרס שאין הסתימה מהודקת יפה</w:t>
      </w:r>
      <w:r w:rsidR="005D43F0">
        <w:rPr>
          <w:rFonts w:asciiTheme="minorBidi" w:hAnsiTheme="minorBidi" w:hint="cs"/>
          <w:rtl/>
        </w:rPr>
        <w:t>,</w:t>
      </w:r>
      <w:r w:rsidRPr="005275DF">
        <w:rPr>
          <w:rFonts w:asciiTheme="minorBidi" w:hAnsiTheme="minorBidi"/>
          <w:rtl/>
        </w:rPr>
        <w:t xml:space="preserve"> אבל בחבית של עץ שמהדקים מאד העץ</w:t>
      </w:r>
      <w:r w:rsidR="00B572AD" w:rsidRPr="005275DF">
        <w:rPr>
          <w:rFonts w:asciiTheme="minorBidi" w:hAnsiTheme="minorBidi"/>
          <w:rtl/>
        </w:rPr>
        <w:t xml:space="preserve"> שסותמים בה הנקב וחותכים ראשו על </w:t>
      </w:r>
      <w:r w:rsidRPr="005275DF">
        <w:rPr>
          <w:rFonts w:asciiTheme="minorBidi" w:hAnsiTheme="minorBidi"/>
          <w:rtl/>
        </w:rPr>
        <w:t>ד</w:t>
      </w:r>
      <w:r w:rsidR="00B572AD" w:rsidRPr="005275DF">
        <w:rPr>
          <w:rFonts w:asciiTheme="minorBidi" w:hAnsiTheme="minorBidi"/>
          <w:rtl/>
        </w:rPr>
        <w:t>עת שלא להוציאו ודאי נראה שזה נקב חדש</w:t>
      </w:r>
      <w:r w:rsidRPr="005275DF">
        <w:rPr>
          <w:rFonts w:asciiTheme="minorBidi" w:hAnsiTheme="minorBidi"/>
          <w:rtl/>
        </w:rPr>
        <w:t xml:space="preserve"> ואסור. </w:t>
      </w:r>
    </w:p>
    <w:p w14:paraId="2EE78094" w14:textId="77777777" w:rsidR="00B3737F" w:rsidRPr="005275DF" w:rsidRDefault="00B3737F" w:rsidP="00434A6A">
      <w:pPr>
        <w:rPr>
          <w:rFonts w:asciiTheme="minorBidi" w:hAnsiTheme="minorBidi"/>
          <w:rtl/>
        </w:rPr>
      </w:pPr>
    </w:p>
    <w:p w14:paraId="023C6704" w14:textId="7193AB13" w:rsidR="00B3737F" w:rsidRDefault="00B3737F" w:rsidP="00434A6A">
      <w:pPr>
        <w:pStyle w:val="2"/>
        <w:rPr>
          <w:rFonts w:asciiTheme="minorBidi" w:hAnsiTheme="minorBidi" w:cstheme="minorBidi"/>
          <w:rtl/>
        </w:rPr>
      </w:pPr>
      <w:r w:rsidRPr="005275DF">
        <w:rPr>
          <w:rFonts w:asciiTheme="minorBidi" w:hAnsiTheme="minorBidi" w:cstheme="minorBidi"/>
          <w:rtl/>
        </w:rPr>
        <w:t>סעיף ד</w:t>
      </w:r>
      <w:r w:rsidR="002D2010" w:rsidRPr="005275DF">
        <w:rPr>
          <w:rFonts w:asciiTheme="minorBidi" w:hAnsiTheme="minorBidi" w:cstheme="minorBidi"/>
          <w:rtl/>
        </w:rPr>
        <w:t>: דחיפת הברז שבחבית ע"י הכנסת ברז אחר.</w:t>
      </w:r>
    </w:p>
    <w:p w14:paraId="4916E23A" w14:textId="08E060E0" w:rsidR="00611B8E" w:rsidRPr="00611B8E" w:rsidRDefault="00611B8E" w:rsidP="00434A6A">
      <w:pPr>
        <w:rPr>
          <w:u w:val="single"/>
          <w:rtl/>
        </w:rPr>
      </w:pPr>
      <w:r w:rsidRPr="00611B8E">
        <w:rPr>
          <w:rFonts w:asciiTheme="minorBidi" w:hAnsiTheme="minorBidi"/>
          <w:u w:val="single"/>
          <w:rtl/>
        </w:rPr>
        <w:t>דחיפת הברז שבחבית ע"י הכנסת ברז אחר</w:t>
      </w:r>
      <w:r w:rsidRPr="00611B8E">
        <w:rPr>
          <w:rFonts w:hint="cs"/>
          <w:u w:val="single"/>
          <w:rtl/>
        </w:rPr>
        <w:t>:</w:t>
      </w:r>
    </w:p>
    <w:p w14:paraId="4B66A06E" w14:textId="0F2FA4BB" w:rsidR="003A61E3" w:rsidRPr="00611B8E" w:rsidRDefault="003A61E3" w:rsidP="00434A6A">
      <w:pPr>
        <w:pStyle w:val="aa"/>
        <w:numPr>
          <w:ilvl w:val="0"/>
          <w:numId w:val="15"/>
        </w:numPr>
        <w:rPr>
          <w:rFonts w:cs="Arial"/>
          <w:rtl/>
        </w:rPr>
      </w:pPr>
      <w:r w:rsidRPr="00611B8E">
        <w:rPr>
          <w:rFonts w:cs="Arial" w:hint="cs"/>
          <w:rtl/>
        </w:rPr>
        <w:t>מהר"ם</w:t>
      </w:r>
      <w:r w:rsidRPr="00611B8E">
        <w:rPr>
          <w:rFonts w:cs="Arial" w:hint="cs"/>
          <w:sz w:val="16"/>
          <w:szCs w:val="16"/>
          <w:rtl/>
        </w:rPr>
        <w:t xml:space="preserve"> (ד"פ סי' נו)</w:t>
      </w:r>
      <w:r w:rsidRPr="00611B8E">
        <w:rPr>
          <w:rFonts w:cs="Arial" w:hint="cs"/>
          <w:rtl/>
        </w:rPr>
        <w:t xml:space="preserve">- </w:t>
      </w:r>
      <w:r w:rsidRPr="00611B8E">
        <w:rPr>
          <w:rFonts w:cs="Arial"/>
          <w:rtl/>
        </w:rPr>
        <w:t>הורה ה"ר אביגדור כ"ץ ברזא הסתומה בחבית ואין אדם יכול להוציאה שרי לקח ברזא אחרת ולהכות בברזא לתוך החבית לכתחלה לצורך לשתות יין בשבת</w:t>
      </w:r>
      <w:r w:rsidR="00611B8E">
        <w:rPr>
          <w:rFonts w:cs="Arial" w:hint="cs"/>
          <w:rtl/>
        </w:rPr>
        <w:t>,</w:t>
      </w:r>
      <w:r w:rsidRPr="00611B8E">
        <w:rPr>
          <w:rFonts w:cs="Arial"/>
          <w:rtl/>
        </w:rPr>
        <w:t xml:space="preserve"> וראי' מפ' חבית (קמו</w:t>
      </w:r>
      <w:r w:rsidRPr="00611B8E">
        <w:rPr>
          <w:rFonts w:cs="Arial" w:hint="cs"/>
          <w:rtl/>
        </w:rPr>
        <w:t>.</w:t>
      </w:r>
      <w:r w:rsidRPr="00611B8E">
        <w:rPr>
          <w:rFonts w:cs="Arial"/>
          <w:rtl/>
        </w:rPr>
        <w:t>) ושוין שנוקבי' נקב ישן בשבת.</w:t>
      </w:r>
      <w:r w:rsidR="00611B8E">
        <w:rPr>
          <w:rFonts w:cs="Arial" w:hint="cs"/>
          <w:rtl/>
        </w:rPr>
        <w:t xml:space="preserve"> </w:t>
      </w:r>
      <w:r w:rsidR="00611B8E" w:rsidRPr="00611B8E">
        <w:rPr>
          <w:rFonts w:cs="Arial" w:hint="cs"/>
          <w:color w:val="E36C0A" w:themeColor="accent6" w:themeShade="BF"/>
          <w:rtl/>
        </w:rPr>
        <w:t>(וכ"פ בשו"ע)</w:t>
      </w:r>
    </w:p>
    <w:p w14:paraId="44B9ED2B" w14:textId="458BD76D" w:rsidR="003A61E3" w:rsidRPr="00611B8E" w:rsidRDefault="004C7C95" w:rsidP="00434A6A">
      <w:pPr>
        <w:pStyle w:val="aa"/>
        <w:numPr>
          <w:ilvl w:val="0"/>
          <w:numId w:val="15"/>
        </w:numPr>
        <w:rPr>
          <w:rFonts w:cs="Arial"/>
          <w:rtl/>
        </w:rPr>
      </w:pPr>
      <w:r w:rsidRPr="00611B8E">
        <w:rPr>
          <w:rFonts w:cs="Arial"/>
          <w:rtl/>
        </w:rPr>
        <w:t>שב</w:t>
      </w:r>
      <w:r w:rsidR="003A61E3" w:rsidRPr="00611B8E">
        <w:rPr>
          <w:rFonts w:cs="Arial" w:hint="cs"/>
          <w:rtl/>
        </w:rPr>
        <w:t>ה"ל</w:t>
      </w:r>
      <w:r w:rsidRPr="00611B8E">
        <w:rPr>
          <w:rFonts w:cs="Arial"/>
          <w:rtl/>
        </w:rPr>
        <w:t xml:space="preserve"> </w:t>
      </w:r>
      <w:r w:rsidRPr="00611B8E">
        <w:rPr>
          <w:rFonts w:cs="Arial"/>
          <w:sz w:val="16"/>
          <w:szCs w:val="16"/>
          <w:rtl/>
        </w:rPr>
        <w:t>(סי' קטז)</w:t>
      </w:r>
      <w:r w:rsidR="003A61E3" w:rsidRPr="00611B8E">
        <w:rPr>
          <w:rFonts w:cs="Arial" w:hint="cs"/>
          <w:rtl/>
        </w:rPr>
        <w:t xml:space="preserve">- </w:t>
      </w:r>
      <w:r w:rsidR="00611B8E">
        <w:rPr>
          <w:rStyle w:val="a9"/>
          <w:rFonts w:cs="Arial"/>
          <w:rtl/>
        </w:rPr>
        <w:footnoteReference w:id="2183"/>
      </w:r>
      <w:r w:rsidRPr="00611B8E">
        <w:rPr>
          <w:rFonts w:cs="Arial"/>
          <w:rtl/>
        </w:rPr>
        <w:t>מצאתי בשם ה"ר יוסף נקב שנסתם בחביות שלנו שסותמין אותם בעץ מותר לנקבו בשבת ולהוציא העץ</w:t>
      </w:r>
      <w:r w:rsidR="00611B8E">
        <w:rPr>
          <w:rFonts w:cs="Arial" w:hint="cs"/>
          <w:rtl/>
        </w:rPr>
        <w:t>,</w:t>
      </w:r>
      <w:r w:rsidRPr="00611B8E">
        <w:rPr>
          <w:rFonts w:cs="Arial"/>
          <w:rtl/>
        </w:rPr>
        <w:t xml:space="preserve"> ובלבד שלא יהיה הנקב כנגד השמרים</w:t>
      </w:r>
      <w:r w:rsidR="00611B8E">
        <w:rPr>
          <w:rFonts w:cs="Arial" w:hint="cs"/>
          <w:rtl/>
        </w:rPr>
        <w:t>.</w:t>
      </w:r>
      <w:r w:rsidRPr="00611B8E">
        <w:rPr>
          <w:rFonts w:cs="Arial"/>
          <w:rtl/>
        </w:rPr>
        <w:t xml:space="preserve"> וגם ליתן הקנה החלול בנקב להוציא היין מותר</w:t>
      </w:r>
      <w:r w:rsidR="00611B8E">
        <w:rPr>
          <w:rFonts w:cs="Arial" w:hint="cs"/>
          <w:rtl/>
        </w:rPr>
        <w:t>,</w:t>
      </w:r>
      <w:r w:rsidRPr="00611B8E">
        <w:rPr>
          <w:rFonts w:cs="Arial"/>
          <w:rtl/>
        </w:rPr>
        <w:t xml:space="preserve"> ואע</w:t>
      </w:r>
      <w:r w:rsidR="00611B8E">
        <w:rPr>
          <w:rFonts w:cs="Arial" w:hint="cs"/>
          <w:rtl/>
        </w:rPr>
        <w:t>"</w:t>
      </w:r>
      <w:r w:rsidRPr="00611B8E">
        <w:rPr>
          <w:rFonts w:cs="Arial"/>
          <w:rtl/>
        </w:rPr>
        <w:t>פ שלא היה בו מעולם</w:t>
      </w:r>
      <w:r w:rsidR="00611B8E">
        <w:rPr>
          <w:rFonts w:cs="Arial" w:hint="cs"/>
          <w:rtl/>
        </w:rPr>
        <w:t>.</w:t>
      </w:r>
      <w:r w:rsidRPr="00611B8E">
        <w:rPr>
          <w:rFonts w:cs="Arial"/>
          <w:rtl/>
        </w:rPr>
        <w:t xml:space="preserve"> וברזא נמי שקורין איספינ"א אפילו לא היה בחבית מעולם</w:t>
      </w:r>
      <w:r w:rsidR="00611B8E">
        <w:rPr>
          <w:rFonts w:cs="Arial" w:hint="cs"/>
          <w:rtl/>
        </w:rPr>
        <w:t>,</w:t>
      </w:r>
      <w:r w:rsidRPr="00611B8E">
        <w:rPr>
          <w:rFonts w:cs="Arial"/>
          <w:rtl/>
        </w:rPr>
        <w:t xml:space="preserve"> אם הכינו לכך מאתמול </w:t>
      </w:r>
      <w:r w:rsidR="00611B8E">
        <w:rPr>
          <w:rFonts w:cs="Arial" w:hint="cs"/>
          <w:rtl/>
        </w:rPr>
        <w:t xml:space="preserve">- </w:t>
      </w:r>
      <w:r w:rsidRPr="00611B8E">
        <w:rPr>
          <w:rFonts w:cs="Arial"/>
          <w:rtl/>
        </w:rPr>
        <w:t>מותר</w:t>
      </w:r>
      <w:r>
        <w:rPr>
          <w:rStyle w:val="a9"/>
          <w:rFonts w:cs="Arial"/>
          <w:rtl/>
        </w:rPr>
        <w:footnoteReference w:id="2184"/>
      </w:r>
      <w:r w:rsidR="003A61E3" w:rsidRPr="00611B8E">
        <w:rPr>
          <w:rFonts w:cs="Arial" w:hint="cs"/>
          <w:rtl/>
        </w:rPr>
        <w:t>.</w:t>
      </w:r>
      <w:r w:rsidRPr="00611B8E">
        <w:rPr>
          <w:rFonts w:cs="Arial"/>
          <w:rtl/>
        </w:rPr>
        <w:t xml:space="preserve"> </w:t>
      </w:r>
    </w:p>
    <w:p w14:paraId="6248AF3C" w14:textId="042F0641" w:rsidR="00B556BA" w:rsidRPr="003A61E3" w:rsidRDefault="00B556BA" w:rsidP="00434A6A">
      <w:pPr>
        <w:rPr>
          <w:rtl/>
        </w:rPr>
      </w:pPr>
      <w:r w:rsidRPr="005275DF">
        <w:rPr>
          <w:rFonts w:asciiTheme="minorBidi" w:hAnsiTheme="minorBidi"/>
          <w:b/>
          <w:bCs/>
          <w:sz w:val="32"/>
          <w:szCs w:val="28"/>
          <w:u w:val="single"/>
          <w:rtl/>
        </w:rPr>
        <w:t xml:space="preserve">שו"ע: </w:t>
      </w:r>
    </w:p>
    <w:p w14:paraId="19778624" w14:textId="4D6BE71E" w:rsidR="00B3737F" w:rsidRPr="005275DF" w:rsidRDefault="00B3737F" w:rsidP="00434A6A">
      <w:pPr>
        <w:rPr>
          <w:rFonts w:asciiTheme="minorBidi" w:hAnsiTheme="minorBidi"/>
          <w:sz w:val="18"/>
          <w:szCs w:val="18"/>
          <w:rtl/>
        </w:rPr>
      </w:pPr>
      <w:r w:rsidRPr="005275DF">
        <w:rPr>
          <w:rFonts w:asciiTheme="minorBidi" w:hAnsiTheme="minorBidi"/>
          <w:rtl/>
        </w:rPr>
        <w:t>בר</w:t>
      </w:r>
      <w:r w:rsidR="002D2010" w:rsidRPr="005275DF">
        <w:rPr>
          <w:rFonts w:asciiTheme="minorBidi" w:hAnsiTheme="minorBidi"/>
          <w:rtl/>
        </w:rPr>
        <w:t>זא שבחבית ואין אדם יכול להוציאה</w:t>
      </w:r>
      <w:r w:rsidR="00611B8E">
        <w:rPr>
          <w:rFonts w:asciiTheme="minorBidi" w:hAnsiTheme="minorBidi" w:hint="cs"/>
          <w:rtl/>
        </w:rPr>
        <w:t>,</w:t>
      </w:r>
      <w:r w:rsidRPr="005275DF">
        <w:rPr>
          <w:rFonts w:asciiTheme="minorBidi" w:hAnsiTheme="minorBidi"/>
          <w:rtl/>
        </w:rPr>
        <w:t xml:space="preserve"> מותר</w:t>
      </w:r>
      <w:r w:rsidR="00770191">
        <w:rPr>
          <w:rStyle w:val="a9"/>
          <w:rFonts w:asciiTheme="minorBidi" w:hAnsiTheme="minorBidi"/>
          <w:rtl/>
        </w:rPr>
        <w:footnoteReference w:id="2185"/>
      </w:r>
      <w:r w:rsidRPr="005275DF">
        <w:rPr>
          <w:rFonts w:asciiTheme="minorBidi" w:hAnsiTheme="minorBidi"/>
          <w:rtl/>
        </w:rPr>
        <w:t xml:space="preserve"> ליקח ברזא אחרת ולהכות באותה ברזא לצורך לשתות יין בשבת. </w:t>
      </w:r>
      <w:r w:rsidRPr="005275DF">
        <w:rPr>
          <w:rFonts w:asciiTheme="minorBidi" w:hAnsiTheme="minorBidi"/>
          <w:sz w:val="18"/>
          <w:szCs w:val="18"/>
          <w:rtl/>
        </w:rPr>
        <w:t xml:space="preserve">הגה: ובלבד שלא יהיה הברזא הראשון נגד השמרים </w:t>
      </w:r>
      <w:r w:rsidR="00611B8E" w:rsidRPr="005275DF">
        <w:rPr>
          <w:rFonts w:asciiTheme="minorBidi" w:hAnsiTheme="minorBidi"/>
          <w:sz w:val="18"/>
          <w:szCs w:val="18"/>
          <w:rtl/>
        </w:rPr>
        <w:t>(שב</w:t>
      </w:r>
      <w:r w:rsidR="00611B8E">
        <w:rPr>
          <w:rFonts w:asciiTheme="minorBidi" w:hAnsiTheme="minorBidi" w:hint="cs"/>
          <w:sz w:val="18"/>
          <w:szCs w:val="18"/>
          <w:rtl/>
        </w:rPr>
        <w:t>ה"ל</w:t>
      </w:r>
      <w:r w:rsidR="00611B8E" w:rsidRPr="005275DF">
        <w:rPr>
          <w:rFonts w:asciiTheme="minorBidi" w:hAnsiTheme="minorBidi"/>
          <w:sz w:val="18"/>
          <w:szCs w:val="18"/>
          <w:rtl/>
        </w:rPr>
        <w:t>)</w:t>
      </w:r>
      <w:r w:rsidR="00611B8E">
        <w:rPr>
          <w:rFonts w:asciiTheme="minorBidi" w:hAnsiTheme="minorBidi" w:hint="cs"/>
          <w:sz w:val="18"/>
          <w:szCs w:val="18"/>
          <w:rtl/>
        </w:rPr>
        <w:t xml:space="preserve">, </w:t>
      </w:r>
      <w:r w:rsidRPr="005275DF">
        <w:rPr>
          <w:rFonts w:asciiTheme="minorBidi" w:hAnsiTheme="minorBidi"/>
          <w:sz w:val="18"/>
          <w:szCs w:val="18"/>
          <w:rtl/>
        </w:rPr>
        <w:t xml:space="preserve">כמ"ש ס"ב. </w:t>
      </w:r>
    </w:p>
    <w:p w14:paraId="1961C86E" w14:textId="77777777" w:rsidR="00B3737F" w:rsidRPr="005275DF" w:rsidRDefault="00B3737F" w:rsidP="00434A6A">
      <w:pPr>
        <w:rPr>
          <w:rFonts w:asciiTheme="minorBidi" w:hAnsiTheme="minorBidi"/>
          <w:rtl/>
        </w:rPr>
      </w:pPr>
    </w:p>
    <w:p w14:paraId="5752E406" w14:textId="15ED7F24" w:rsidR="00B3737F" w:rsidRPr="005275DF" w:rsidRDefault="00B3737F" w:rsidP="00434A6A">
      <w:pPr>
        <w:pStyle w:val="2"/>
        <w:rPr>
          <w:rFonts w:asciiTheme="minorBidi" w:hAnsiTheme="minorBidi" w:cstheme="minorBidi"/>
          <w:rtl/>
        </w:rPr>
      </w:pPr>
      <w:r w:rsidRPr="005275DF">
        <w:rPr>
          <w:rFonts w:asciiTheme="minorBidi" w:hAnsiTheme="minorBidi" w:cstheme="minorBidi"/>
          <w:rtl/>
        </w:rPr>
        <w:t>סעיף ה</w:t>
      </w:r>
      <w:r w:rsidR="002D2010" w:rsidRPr="005275DF">
        <w:rPr>
          <w:rFonts w:asciiTheme="minorBidi" w:hAnsiTheme="minorBidi" w:cstheme="minorBidi"/>
          <w:rtl/>
        </w:rPr>
        <w:t xml:space="preserve">: נתינת </w:t>
      </w:r>
      <w:r w:rsidR="003E45B6">
        <w:rPr>
          <w:rFonts w:asciiTheme="minorBidi" w:hAnsiTheme="minorBidi" w:cstheme="minorBidi" w:hint="cs"/>
          <w:rtl/>
        </w:rPr>
        <w:t>קנה חלול ב</w:t>
      </w:r>
      <w:r w:rsidR="000417EC">
        <w:rPr>
          <w:rFonts w:asciiTheme="minorBidi" w:hAnsiTheme="minorBidi" w:cstheme="minorBidi" w:hint="cs"/>
          <w:rtl/>
        </w:rPr>
        <w:t>נקב של ה</w:t>
      </w:r>
      <w:r w:rsidR="003E45B6">
        <w:rPr>
          <w:rFonts w:asciiTheme="minorBidi" w:hAnsiTheme="minorBidi" w:cstheme="minorBidi" w:hint="cs"/>
          <w:rtl/>
        </w:rPr>
        <w:t>חבית</w:t>
      </w:r>
      <w:r w:rsidR="002D2010" w:rsidRPr="005275DF">
        <w:rPr>
          <w:rFonts w:asciiTheme="minorBidi" w:hAnsiTheme="minorBidi" w:cstheme="minorBidi"/>
          <w:rtl/>
        </w:rPr>
        <w:t>.</w:t>
      </w:r>
    </w:p>
    <w:p w14:paraId="22029FA2" w14:textId="73EC3B4E" w:rsidR="002D2010" w:rsidRDefault="002D2010" w:rsidP="00434A6A">
      <w:pPr>
        <w:rPr>
          <w:rFonts w:asciiTheme="minorBidi" w:hAnsiTheme="minorBidi"/>
          <w:rtl/>
        </w:rPr>
      </w:pPr>
      <w:r w:rsidRPr="005275DF">
        <w:rPr>
          <w:rFonts w:asciiTheme="minorBidi" w:hAnsiTheme="minorBidi"/>
          <w:b/>
          <w:bCs/>
          <w:rtl/>
        </w:rPr>
        <w:t xml:space="preserve">שבת </w:t>
      </w:r>
      <w:r w:rsidR="006368F3">
        <w:rPr>
          <w:rFonts w:asciiTheme="minorBidi" w:hAnsiTheme="minorBidi" w:hint="cs"/>
          <w:b/>
          <w:bCs/>
          <w:sz w:val="16"/>
          <w:szCs w:val="16"/>
          <w:rtl/>
        </w:rPr>
        <w:t xml:space="preserve">(פ' חבית) </w:t>
      </w:r>
      <w:r w:rsidRPr="005275DF">
        <w:rPr>
          <w:rFonts w:asciiTheme="minorBidi" w:hAnsiTheme="minorBidi"/>
          <w:b/>
          <w:bCs/>
          <w:rtl/>
        </w:rPr>
        <w:t xml:space="preserve">קמו ע"ב: </w:t>
      </w:r>
      <w:r w:rsidRPr="005275DF">
        <w:rPr>
          <w:rFonts w:asciiTheme="minorBidi" w:hAnsiTheme="minorBidi"/>
          <w:rtl/>
        </w:rPr>
        <w:t>גובתא</w:t>
      </w:r>
      <w:r w:rsidRPr="005275DF">
        <w:rPr>
          <w:rStyle w:val="a9"/>
          <w:rFonts w:asciiTheme="minorBidi" w:hAnsiTheme="minorBidi"/>
          <w:rtl/>
        </w:rPr>
        <w:footnoteReference w:id="2186"/>
      </w:r>
      <w:r w:rsidRPr="005275DF">
        <w:rPr>
          <w:rFonts w:asciiTheme="minorBidi" w:hAnsiTheme="minorBidi"/>
          <w:rtl/>
        </w:rPr>
        <w:t xml:space="preserve">, </w:t>
      </w:r>
      <w:r w:rsidRPr="005275DF">
        <w:rPr>
          <w:rFonts w:asciiTheme="minorBidi" w:hAnsiTheme="minorBidi"/>
          <w:u w:val="single"/>
          <w:rtl/>
        </w:rPr>
        <w:t>רב</w:t>
      </w:r>
      <w:r w:rsidRPr="005275DF">
        <w:rPr>
          <w:rFonts w:asciiTheme="minorBidi" w:hAnsiTheme="minorBidi"/>
          <w:rtl/>
        </w:rPr>
        <w:t xml:space="preserve"> אסר, </w:t>
      </w:r>
      <w:r w:rsidRPr="005275DF">
        <w:rPr>
          <w:rFonts w:asciiTheme="minorBidi" w:hAnsiTheme="minorBidi"/>
          <w:u w:val="single"/>
          <w:rtl/>
        </w:rPr>
        <w:t>ושמואל</w:t>
      </w:r>
      <w:r w:rsidRPr="005275DF">
        <w:rPr>
          <w:rFonts w:asciiTheme="minorBidi" w:hAnsiTheme="minorBidi"/>
          <w:rtl/>
        </w:rPr>
        <w:t xml:space="preserve"> שרי. מחתך</w:t>
      </w:r>
      <w:r w:rsidRPr="005275DF">
        <w:rPr>
          <w:rStyle w:val="a9"/>
          <w:rFonts w:asciiTheme="minorBidi" w:hAnsiTheme="minorBidi"/>
          <w:rtl/>
        </w:rPr>
        <w:footnoteReference w:id="2187"/>
      </w:r>
      <w:r w:rsidRPr="005275DF">
        <w:rPr>
          <w:rFonts w:asciiTheme="minorBidi" w:hAnsiTheme="minorBidi"/>
          <w:rtl/>
        </w:rPr>
        <w:t xml:space="preserve"> לכתחלה - דכולי עלמא לא פליגי דאסור. אהדורי</w:t>
      </w:r>
      <w:r w:rsidR="00295A3E" w:rsidRPr="005275DF">
        <w:rPr>
          <w:rStyle w:val="a9"/>
          <w:rFonts w:asciiTheme="minorBidi" w:hAnsiTheme="minorBidi"/>
          <w:rtl/>
        </w:rPr>
        <w:footnoteReference w:id="2188"/>
      </w:r>
      <w:r w:rsidRPr="005275DF">
        <w:rPr>
          <w:rFonts w:asciiTheme="minorBidi" w:hAnsiTheme="minorBidi"/>
          <w:rtl/>
        </w:rPr>
        <w:t xml:space="preserve"> - דכולי עלמא לא פליגי דשרי. כי פליגי דחתיכה ולא מתקנא</w:t>
      </w:r>
      <w:r w:rsidR="00295A3E" w:rsidRPr="005275DF">
        <w:rPr>
          <w:rStyle w:val="a9"/>
          <w:rFonts w:asciiTheme="minorBidi" w:hAnsiTheme="minorBidi"/>
          <w:rtl/>
        </w:rPr>
        <w:footnoteReference w:id="2189"/>
      </w:r>
      <w:r w:rsidRPr="005275DF">
        <w:rPr>
          <w:rFonts w:asciiTheme="minorBidi" w:hAnsiTheme="minorBidi"/>
          <w:rtl/>
        </w:rPr>
        <w:t>. מאן דאסר - גזרינן דלמא אתי למיחתך לכתחלה, ומאן דשרי - לא גזרינן. כתנאי: אין חותכין שפופרת ביום טוב ואין צריך לומר בשבת. נפלה</w:t>
      </w:r>
      <w:r w:rsidR="00295A3E" w:rsidRPr="005275DF">
        <w:rPr>
          <w:rFonts w:asciiTheme="minorBidi" w:hAnsiTheme="minorBidi"/>
          <w:rtl/>
        </w:rPr>
        <w:t xml:space="preserve"> - </w:t>
      </w:r>
      <w:r w:rsidRPr="005275DF">
        <w:rPr>
          <w:rFonts w:asciiTheme="minorBidi" w:hAnsiTheme="minorBidi"/>
          <w:rtl/>
        </w:rPr>
        <w:t xml:space="preserve">מחזירין אותה בשבת ואין צריך לומר ביום טוב, </w:t>
      </w:r>
      <w:r w:rsidRPr="005275DF">
        <w:rPr>
          <w:rFonts w:asciiTheme="minorBidi" w:hAnsiTheme="minorBidi"/>
          <w:u w:val="single"/>
          <w:rtl/>
        </w:rPr>
        <w:t>ורבי יאשיה</w:t>
      </w:r>
      <w:r w:rsidRPr="005275DF">
        <w:rPr>
          <w:rFonts w:asciiTheme="minorBidi" w:hAnsiTheme="minorBidi"/>
          <w:rtl/>
        </w:rPr>
        <w:t xml:space="preserve"> מיקל. רבי יאשיה אהייא? אילימא ארישא</w:t>
      </w:r>
      <w:r w:rsidR="00295A3E" w:rsidRPr="005275DF">
        <w:rPr>
          <w:rStyle w:val="a9"/>
          <w:rFonts w:asciiTheme="minorBidi" w:hAnsiTheme="minorBidi"/>
          <w:rtl/>
        </w:rPr>
        <w:footnoteReference w:id="2190"/>
      </w:r>
      <w:r w:rsidRPr="005275DF">
        <w:rPr>
          <w:rFonts w:asciiTheme="minorBidi" w:hAnsiTheme="minorBidi"/>
          <w:rtl/>
        </w:rPr>
        <w:t xml:space="preserve"> - הא קמתקן מנא! אלא אסיפא - תנא קמא נמי מישרא קשרי! אלא: דחתיכה ולא מתקנא איכא בינייהו, מר סבר: גזרינן, ומר סבר: לא גזרינן. </w:t>
      </w:r>
      <w:r w:rsidRPr="005275DF">
        <w:rPr>
          <w:rFonts w:asciiTheme="minorBidi" w:hAnsiTheme="minorBidi"/>
          <w:u w:val="single"/>
          <w:rtl/>
        </w:rPr>
        <w:t>דרש רב שישא בריה דרב אידי משמיה דרבי יוחנן:</w:t>
      </w:r>
      <w:r w:rsidRPr="005275DF">
        <w:rPr>
          <w:rFonts w:asciiTheme="minorBidi" w:hAnsiTheme="minorBidi"/>
          <w:rtl/>
        </w:rPr>
        <w:t xml:space="preserve"> הלכה כרבי יאשיה.</w:t>
      </w:r>
    </w:p>
    <w:p w14:paraId="69D933F3" w14:textId="27A8B6F8" w:rsidR="003E45B6" w:rsidRPr="003E45B6" w:rsidRDefault="003E45B6" w:rsidP="00434A6A">
      <w:pPr>
        <w:rPr>
          <w:rFonts w:asciiTheme="minorBidi" w:hAnsiTheme="minorBidi"/>
          <w:u w:val="single"/>
          <w:rtl/>
        </w:rPr>
      </w:pPr>
      <w:r w:rsidRPr="003E45B6">
        <w:rPr>
          <w:rFonts w:asciiTheme="minorBidi" w:hAnsiTheme="minorBidi"/>
          <w:u w:val="single"/>
          <w:rtl/>
        </w:rPr>
        <w:t xml:space="preserve">נתינת </w:t>
      </w:r>
      <w:r w:rsidRPr="003E45B6">
        <w:rPr>
          <w:rFonts w:asciiTheme="minorBidi" w:hAnsiTheme="minorBidi" w:hint="cs"/>
          <w:u w:val="single"/>
          <w:rtl/>
        </w:rPr>
        <w:t>קנה חלול ב</w:t>
      </w:r>
      <w:r w:rsidR="000417EC">
        <w:rPr>
          <w:rFonts w:asciiTheme="minorBidi" w:hAnsiTheme="minorBidi" w:hint="cs"/>
          <w:u w:val="single"/>
          <w:rtl/>
        </w:rPr>
        <w:t>נקב של ה</w:t>
      </w:r>
      <w:r w:rsidRPr="003E45B6">
        <w:rPr>
          <w:rFonts w:asciiTheme="minorBidi" w:hAnsiTheme="minorBidi" w:hint="cs"/>
          <w:u w:val="single"/>
          <w:rtl/>
        </w:rPr>
        <w:t>חבית:</w:t>
      </w:r>
    </w:p>
    <w:p w14:paraId="71FE46D6" w14:textId="69915BC7" w:rsidR="003E45B6" w:rsidRPr="003E45B6" w:rsidRDefault="00094251" w:rsidP="00434A6A">
      <w:pPr>
        <w:pStyle w:val="aa"/>
        <w:numPr>
          <w:ilvl w:val="0"/>
          <w:numId w:val="15"/>
        </w:numPr>
        <w:rPr>
          <w:rFonts w:asciiTheme="minorBidi" w:hAnsiTheme="minorBidi"/>
        </w:rPr>
      </w:pPr>
      <w:r>
        <w:rPr>
          <w:rFonts w:asciiTheme="minorBidi" w:hAnsiTheme="minorBidi" w:cs="Arial" w:hint="cs"/>
          <w:rtl/>
        </w:rPr>
        <w:t xml:space="preserve">טור- </w:t>
      </w:r>
      <w:r w:rsidRPr="00182CF6">
        <w:rPr>
          <w:rFonts w:asciiTheme="minorBidi" w:hAnsiTheme="minorBidi" w:cs="Arial"/>
          <w:rtl/>
        </w:rPr>
        <w:t>אסור לחתוך שפופרת וליתנה בנקב שבחבית כדי שיקלח היין</w:t>
      </w:r>
      <w:r w:rsidR="003E45B6">
        <w:rPr>
          <w:rFonts w:asciiTheme="minorBidi" w:hAnsiTheme="minorBidi" w:cs="Arial" w:hint="cs"/>
          <w:rtl/>
        </w:rPr>
        <w:t>.</w:t>
      </w:r>
      <w:r w:rsidRPr="00182CF6">
        <w:rPr>
          <w:rFonts w:asciiTheme="minorBidi" w:hAnsiTheme="minorBidi" w:cs="Arial"/>
          <w:rtl/>
        </w:rPr>
        <w:t xml:space="preserve"> היתה חתוכה כבר </w:t>
      </w:r>
      <w:r w:rsidR="003E45B6">
        <w:rPr>
          <w:rFonts w:asciiTheme="minorBidi" w:hAnsiTheme="minorBidi" w:cs="Arial" w:hint="cs"/>
          <w:rtl/>
        </w:rPr>
        <w:t xml:space="preserve">- </w:t>
      </w:r>
      <w:r w:rsidRPr="00182CF6">
        <w:rPr>
          <w:rFonts w:asciiTheme="minorBidi" w:hAnsiTheme="minorBidi" w:cs="Arial"/>
          <w:rtl/>
        </w:rPr>
        <w:t>מותר ליתנה אפילו לא נתנה שם מעולם</w:t>
      </w:r>
      <w:r w:rsidR="003E45B6">
        <w:rPr>
          <w:rFonts w:asciiTheme="minorBidi" w:hAnsiTheme="minorBidi" w:cs="Arial" w:hint="cs"/>
          <w:rtl/>
        </w:rPr>
        <w:t>,</w:t>
      </w:r>
      <w:r w:rsidRPr="00182CF6">
        <w:rPr>
          <w:rFonts w:asciiTheme="minorBidi" w:hAnsiTheme="minorBidi" w:cs="Arial"/>
          <w:rtl/>
        </w:rPr>
        <w:t xml:space="preserve"> וכ"ש שמותר להחזירה אם היתה שם ונפלה</w:t>
      </w:r>
      <w:r w:rsidR="003E45B6">
        <w:rPr>
          <w:rFonts w:asciiTheme="minorBidi" w:hAnsiTheme="minorBidi" w:cs="Arial" w:hint="cs"/>
          <w:rtl/>
        </w:rPr>
        <w:t>.</w:t>
      </w:r>
      <w:r w:rsidR="00AB08D4" w:rsidRPr="00AB08D4">
        <w:rPr>
          <w:rFonts w:asciiTheme="minorBidi" w:hAnsiTheme="minorBidi" w:hint="cs"/>
          <w:color w:val="E36C0A" w:themeColor="accent6" w:themeShade="BF"/>
          <w:rtl/>
        </w:rPr>
        <w:t xml:space="preserve"> </w:t>
      </w:r>
      <w:r w:rsidR="00AB08D4" w:rsidRPr="00B47247">
        <w:rPr>
          <w:rFonts w:asciiTheme="minorBidi" w:hAnsiTheme="minorBidi" w:hint="cs"/>
          <w:color w:val="E36C0A" w:themeColor="accent6" w:themeShade="BF"/>
          <w:rtl/>
        </w:rPr>
        <w:t>(וכ"פ בשו"ע)</w:t>
      </w:r>
    </w:p>
    <w:p w14:paraId="700394B6" w14:textId="2662F2E0" w:rsidR="004C7C95" w:rsidRDefault="004C7C95" w:rsidP="00434A6A">
      <w:pPr>
        <w:pStyle w:val="aa"/>
        <w:numPr>
          <w:ilvl w:val="0"/>
          <w:numId w:val="15"/>
        </w:numPr>
        <w:rPr>
          <w:rFonts w:asciiTheme="minorBidi" w:hAnsiTheme="minorBidi"/>
        </w:rPr>
      </w:pPr>
      <w:r w:rsidRPr="003E45B6">
        <w:rPr>
          <w:rFonts w:asciiTheme="minorBidi" w:hAnsiTheme="minorBidi" w:cs="Arial"/>
          <w:rtl/>
        </w:rPr>
        <w:t xml:space="preserve">רמב"ם </w:t>
      </w:r>
      <w:r w:rsidR="003E45B6" w:rsidRPr="003E45B6">
        <w:rPr>
          <w:rFonts w:asciiTheme="minorBidi" w:hAnsiTheme="minorBidi" w:cs="Arial" w:hint="cs"/>
          <w:sz w:val="16"/>
          <w:szCs w:val="16"/>
          <w:rtl/>
        </w:rPr>
        <w:t>(</w:t>
      </w:r>
      <w:r w:rsidRPr="003E45B6">
        <w:rPr>
          <w:rFonts w:asciiTheme="minorBidi" w:hAnsiTheme="minorBidi" w:cs="Arial"/>
          <w:sz w:val="16"/>
          <w:szCs w:val="16"/>
          <w:rtl/>
        </w:rPr>
        <w:t>פכ</w:t>
      </w:r>
      <w:r w:rsidR="003E45B6" w:rsidRPr="003E45B6">
        <w:rPr>
          <w:rFonts w:asciiTheme="minorBidi" w:hAnsiTheme="minorBidi" w:cs="Arial" w:hint="cs"/>
          <w:sz w:val="16"/>
          <w:szCs w:val="16"/>
          <w:rtl/>
        </w:rPr>
        <w:t>"</w:t>
      </w:r>
      <w:r w:rsidRPr="003E45B6">
        <w:rPr>
          <w:rFonts w:asciiTheme="minorBidi" w:hAnsiTheme="minorBidi" w:cs="Arial"/>
          <w:sz w:val="16"/>
          <w:szCs w:val="16"/>
          <w:rtl/>
        </w:rPr>
        <w:t>ג ה"ו)</w:t>
      </w:r>
      <w:r w:rsidR="003E45B6">
        <w:rPr>
          <w:rFonts w:asciiTheme="minorBidi" w:hAnsiTheme="minorBidi" w:cs="Arial" w:hint="cs"/>
          <w:rtl/>
        </w:rPr>
        <w:t>-</w:t>
      </w:r>
      <w:r w:rsidRPr="003E45B6">
        <w:rPr>
          <w:rFonts w:asciiTheme="minorBidi" w:hAnsiTheme="minorBidi" w:cs="Arial"/>
          <w:rtl/>
        </w:rPr>
        <w:t xml:space="preserve"> אין חותכין שפופרת של קנה מפני שהוא כמתקן כלי</w:t>
      </w:r>
      <w:r w:rsidR="003E45B6" w:rsidRPr="003E45B6">
        <w:rPr>
          <w:rFonts w:asciiTheme="minorBidi" w:hAnsiTheme="minorBidi" w:cs="Arial" w:hint="cs"/>
          <w:rtl/>
        </w:rPr>
        <w:t>.</w:t>
      </w:r>
      <w:r w:rsidRPr="003E45B6">
        <w:rPr>
          <w:rFonts w:asciiTheme="minorBidi" w:hAnsiTheme="minorBidi" w:cs="Arial"/>
          <w:rtl/>
        </w:rPr>
        <w:t xml:space="preserve"> היתה חתוכה</w:t>
      </w:r>
      <w:r w:rsidR="003E45B6" w:rsidRPr="003E45B6">
        <w:rPr>
          <w:rFonts w:asciiTheme="minorBidi" w:hAnsiTheme="minorBidi" w:cs="Arial" w:hint="cs"/>
          <w:rtl/>
        </w:rPr>
        <w:t>,</w:t>
      </w:r>
      <w:r w:rsidRPr="003E45B6">
        <w:rPr>
          <w:rFonts w:asciiTheme="minorBidi" w:hAnsiTheme="minorBidi" w:cs="Arial"/>
          <w:rtl/>
        </w:rPr>
        <w:t xml:space="preserve"> אע</w:t>
      </w:r>
      <w:r w:rsidR="003E45B6" w:rsidRPr="003E45B6">
        <w:rPr>
          <w:rFonts w:asciiTheme="minorBidi" w:hAnsiTheme="minorBidi" w:cs="Arial" w:hint="cs"/>
          <w:rtl/>
        </w:rPr>
        <w:t>"</w:t>
      </w:r>
      <w:r w:rsidRPr="003E45B6">
        <w:rPr>
          <w:rFonts w:asciiTheme="minorBidi" w:hAnsiTheme="minorBidi" w:cs="Arial"/>
          <w:rtl/>
        </w:rPr>
        <w:t>פ שאינה מתוקנת</w:t>
      </w:r>
      <w:r w:rsidR="003E45B6">
        <w:rPr>
          <w:rStyle w:val="a9"/>
          <w:rFonts w:asciiTheme="minorBidi" w:hAnsiTheme="minorBidi" w:cs="Arial"/>
          <w:rtl/>
        </w:rPr>
        <w:footnoteReference w:id="2191"/>
      </w:r>
      <w:r w:rsidRPr="003E45B6">
        <w:rPr>
          <w:rFonts w:asciiTheme="minorBidi" w:hAnsiTheme="minorBidi" w:cs="Arial"/>
          <w:rtl/>
        </w:rPr>
        <w:t xml:space="preserve"> </w:t>
      </w:r>
      <w:r w:rsidR="003E45B6" w:rsidRPr="003E45B6">
        <w:rPr>
          <w:rFonts w:asciiTheme="minorBidi" w:hAnsiTheme="minorBidi" w:cs="Arial" w:hint="cs"/>
          <w:rtl/>
        </w:rPr>
        <w:t xml:space="preserve">- </w:t>
      </w:r>
      <w:r w:rsidRPr="003E45B6">
        <w:rPr>
          <w:rFonts w:asciiTheme="minorBidi" w:hAnsiTheme="minorBidi" w:cs="Arial"/>
          <w:rtl/>
        </w:rPr>
        <w:t>מותר להכניסה בנקב החבית בשבת להוציא ממנה יין ואין חוששין שמא יתקן</w:t>
      </w:r>
      <w:r w:rsidR="003E45B6" w:rsidRPr="003E45B6">
        <w:rPr>
          <w:rFonts w:asciiTheme="minorBidi" w:hAnsiTheme="minorBidi" w:cs="Arial" w:hint="cs"/>
          <w:rtl/>
        </w:rPr>
        <w:t>.</w:t>
      </w:r>
      <w:r w:rsidR="00AB08D4">
        <w:rPr>
          <w:rFonts w:asciiTheme="minorBidi" w:hAnsiTheme="minorBidi" w:hint="cs"/>
          <w:rtl/>
        </w:rPr>
        <w:t xml:space="preserve"> </w:t>
      </w:r>
    </w:p>
    <w:p w14:paraId="4C358B77" w14:textId="673BC667" w:rsidR="007A064C" w:rsidRDefault="007A064C" w:rsidP="00434A6A">
      <w:pPr>
        <w:rPr>
          <w:rtl/>
        </w:rPr>
      </w:pPr>
      <w:r w:rsidRPr="005275DF">
        <w:rPr>
          <w:b/>
          <w:bCs/>
          <w:rtl/>
        </w:rPr>
        <w:t xml:space="preserve">ביצה </w:t>
      </w:r>
      <w:r>
        <w:rPr>
          <w:rFonts w:hint="cs"/>
          <w:b/>
          <w:bCs/>
          <w:sz w:val="16"/>
          <w:szCs w:val="16"/>
          <w:rtl/>
        </w:rPr>
        <w:t xml:space="preserve">(פ' המביא כדי יין) </w:t>
      </w:r>
      <w:r w:rsidRPr="005275DF">
        <w:rPr>
          <w:b/>
          <w:bCs/>
          <w:rtl/>
        </w:rPr>
        <w:t>לג ע"</w:t>
      </w:r>
      <w:r>
        <w:rPr>
          <w:rFonts w:hint="cs"/>
          <w:b/>
          <w:bCs/>
          <w:rtl/>
        </w:rPr>
        <w:t>א</w:t>
      </w:r>
      <w:r w:rsidRPr="005275DF">
        <w:rPr>
          <w:b/>
          <w:bCs/>
          <w:rtl/>
        </w:rPr>
        <w:t>:</w:t>
      </w:r>
      <w:r w:rsidRPr="007A064C">
        <w:rPr>
          <w:rtl/>
        </w:rPr>
        <w:t xml:space="preserve"> </w:t>
      </w:r>
      <w:r w:rsidRPr="007A064C">
        <w:rPr>
          <w:rFonts w:cs="Arial"/>
          <w:u w:val="single"/>
          <w:rtl/>
        </w:rPr>
        <w:t>רבא בר רב אדא ורבין בר רב אדא דאמרי תרוייהו</w:t>
      </w:r>
      <w:r w:rsidRPr="007A064C">
        <w:rPr>
          <w:rFonts w:cs="Arial"/>
          <w:rtl/>
        </w:rPr>
        <w:t>: כי הוינן בי רב יהודה, הוה מפשח</w:t>
      </w:r>
      <w:r w:rsidRPr="005275DF">
        <w:rPr>
          <w:rStyle w:val="a9"/>
          <w:rFonts w:asciiTheme="minorBidi" w:hAnsiTheme="minorBidi"/>
          <w:rtl/>
        </w:rPr>
        <w:footnoteReference w:id="2192"/>
      </w:r>
      <w:r w:rsidRPr="007A064C">
        <w:rPr>
          <w:rFonts w:cs="Arial"/>
          <w:rtl/>
        </w:rPr>
        <w:t xml:space="preserve"> ויהיב לן אלותא אלותא</w:t>
      </w:r>
      <w:r w:rsidRPr="005275DF">
        <w:rPr>
          <w:rStyle w:val="a9"/>
          <w:rFonts w:asciiTheme="minorBidi" w:hAnsiTheme="minorBidi"/>
          <w:rtl/>
        </w:rPr>
        <w:footnoteReference w:id="2193"/>
      </w:r>
      <w:r w:rsidRPr="007A064C">
        <w:rPr>
          <w:rFonts w:cs="Arial"/>
          <w:rtl/>
        </w:rPr>
        <w:t>, אף על גב דחזיא לקתתא דנרגי וחציני</w:t>
      </w:r>
      <w:r w:rsidRPr="005275DF">
        <w:rPr>
          <w:rStyle w:val="a9"/>
          <w:rFonts w:asciiTheme="minorBidi" w:hAnsiTheme="minorBidi"/>
          <w:rtl/>
        </w:rPr>
        <w:footnoteReference w:id="2194"/>
      </w:r>
      <w:r w:rsidR="00B47247">
        <w:rPr>
          <w:rFonts w:cs="Arial" w:hint="cs"/>
          <w:rtl/>
        </w:rPr>
        <w:t>.</w:t>
      </w:r>
    </w:p>
    <w:p w14:paraId="36934D71" w14:textId="2CA530F1" w:rsidR="003E45B6" w:rsidRPr="003E45B6" w:rsidRDefault="003E45B6" w:rsidP="00434A6A">
      <w:pPr>
        <w:rPr>
          <w:rFonts w:asciiTheme="minorBidi" w:hAnsiTheme="minorBidi"/>
          <w:rtl/>
        </w:rPr>
      </w:pPr>
      <w:r w:rsidRPr="003E45B6">
        <w:rPr>
          <w:rFonts w:asciiTheme="minorBidi" w:hAnsiTheme="minorBidi"/>
          <w:b/>
          <w:bCs/>
          <w:rtl/>
        </w:rPr>
        <w:t xml:space="preserve">שבת </w:t>
      </w:r>
      <w:r w:rsidRPr="003E45B6">
        <w:rPr>
          <w:rFonts w:asciiTheme="minorBidi" w:hAnsiTheme="minorBidi" w:hint="cs"/>
          <w:b/>
          <w:bCs/>
          <w:sz w:val="16"/>
          <w:szCs w:val="16"/>
          <w:rtl/>
        </w:rPr>
        <w:t xml:space="preserve">(פ' חבית) </w:t>
      </w:r>
      <w:r w:rsidRPr="003E45B6">
        <w:rPr>
          <w:rFonts w:asciiTheme="minorBidi" w:hAnsiTheme="minorBidi"/>
          <w:b/>
          <w:bCs/>
          <w:rtl/>
        </w:rPr>
        <w:t xml:space="preserve">קמו ע"ב: </w:t>
      </w:r>
      <w:r w:rsidRPr="003E45B6">
        <w:rPr>
          <w:rFonts w:asciiTheme="minorBidi" w:hAnsiTheme="minorBidi"/>
          <w:u w:val="single"/>
          <w:rtl/>
        </w:rPr>
        <w:t>אמר טבות רישבא אמר שמואל:</w:t>
      </w:r>
      <w:r w:rsidRPr="003E45B6">
        <w:rPr>
          <w:rFonts w:asciiTheme="minorBidi" w:hAnsiTheme="minorBidi"/>
          <w:rtl/>
        </w:rPr>
        <w:t xml:space="preserve"> האי טרפא דאסא</w:t>
      </w:r>
      <w:r w:rsidRPr="005275DF">
        <w:rPr>
          <w:rStyle w:val="a9"/>
          <w:rFonts w:asciiTheme="minorBidi" w:hAnsiTheme="minorBidi"/>
          <w:rtl/>
        </w:rPr>
        <w:footnoteReference w:id="2195"/>
      </w:r>
      <w:r w:rsidRPr="003E45B6">
        <w:rPr>
          <w:rFonts w:asciiTheme="minorBidi" w:hAnsiTheme="minorBidi"/>
          <w:rtl/>
        </w:rPr>
        <w:t xml:space="preserve"> - אסור. מאי טעמא? </w:t>
      </w:r>
      <w:r w:rsidRPr="003E45B6">
        <w:rPr>
          <w:rFonts w:asciiTheme="minorBidi" w:hAnsiTheme="minorBidi"/>
          <w:u w:val="single"/>
          <w:rtl/>
        </w:rPr>
        <w:t>רב יימר מדפתי אמר</w:t>
      </w:r>
      <w:r w:rsidRPr="003E45B6">
        <w:rPr>
          <w:rFonts w:asciiTheme="minorBidi" w:hAnsiTheme="minorBidi"/>
          <w:rtl/>
        </w:rPr>
        <w:t>: גזירה משום מרזב</w:t>
      </w:r>
      <w:r w:rsidRPr="005275DF">
        <w:rPr>
          <w:rStyle w:val="a9"/>
          <w:rFonts w:asciiTheme="minorBidi" w:hAnsiTheme="minorBidi"/>
          <w:rtl/>
        </w:rPr>
        <w:footnoteReference w:id="2196"/>
      </w:r>
      <w:r w:rsidRPr="003E45B6">
        <w:rPr>
          <w:rFonts w:asciiTheme="minorBidi" w:hAnsiTheme="minorBidi"/>
          <w:rtl/>
        </w:rPr>
        <w:t xml:space="preserve">, </w:t>
      </w:r>
      <w:r w:rsidRPr="003E45B6">
        <w:rPr>
          <w:rFonts w:asciiTheme="minorBidi" w:hAnsiTheme="minorBidi"/>
          <w:u w:val="single"/>
          <w:rtl/>
        </w:rPr>
        <w:t>רב אשי אמר</w:t>
      </w:r>
      <w:r w:rsidRPr="003E45B6">
        <w:rPr>
          <w:rFonts w:asciiTheme="minorBidi" w:hAnsiTheme="minorBidi"/>
          <w:rtl/>
        </w:rPr>
        <w:t>: גזירה שמא יקטום</w:t>
      </w:r>
      <w:r w:rsidRPr="005275DF">
        <w:rPr>
          <w:rStyle w:val="a9"/>
          <w:rFonts w:asciiTheme="minorBidi" w:hAnsiTheme="minorBidi"/>
          <w:rtl/>
        </w:rPr>
        <w:footnoteReference w:id="2197"/>
      </w:r>
      <w:r w:rsidRPr="003E45B6">
        <w:rPr>
          <w:rFonts w:asciiTheme="minorBidi" w:hAnsiTheme="minorBidi"/>
          <w:rtl/>
        </w:rPr>
        <w:t>. מאי בינייהו? איכא בינייהו: דקטים ומנחי.</w:t>
      </w:r>
      <w:r w:rsidR="00217241" w:rsidRPr="00217241">
        <w:rPr>
          <w:rFonts w:asciiTheme="minorBidi" w:hAnsiTheme="minorBidi" w:cs="Arial"/>
          <w:sz w:val="16"/>
          <w:szCs w:val="16"/>
          <w:rtl/>
        </w:rPr>
        <w:t xml:space="preserve"> </w:t>
      </w:r>
      <w:r w:rsidR="00217241">
        <w:rPr>
          <w:rFonts w:asciiTheme="minorBidi" w:hAnsiTheme="minorBidi" w:cs="Arial" w:hint="cs"/>
          <w:sz w:val="16"/>
          <w:szCs w:val="16"/>
          <w:rtl/>
        </w:rPr>
        <w:t>(</w:t>
      </w:r>
      <w:r w:rsidR="00217241" w:rsidRPr="00217241">
        <w:rPr>
          <w:rFonts w:asciiTheme="minorBidi" w:hAnsiTheme="minorBidi" w:cs="Arial"/>
          <w:sz w:val="16"/>
          <w:szCs w:val="16"/>
          <w:rtl/>
        </w:rPr>
        <w:t>ומשמע דהכי פירושו</w:t>
      </w:r>
      <w:r w:rsidR="00217241" w:rsidRPr="00217241">
        <w:rPr>
          <w:rFonts w:asciiTheme="minorBidi" w:hAnsiTheme="minorBidi" w:cs="Arial" w:hint="cs"/>
          <w:sz w:val="16"/>
          <w:szCs w:val="16"/>
          <w:rtl/>
        </w:rPr>
        <w:t>:</w:t>
      </w:r>
      <w:r w:rsidR="00217241" w:rsidRPr="00217241">
        <w:rPr>
          <w:rFonts w:asciiTheme="minorBidi" w:hAnsiTheme="minorBidi" w:cs="Arial"/>
          <w:sz w:val="16"/>
          <w:szCs w:val="16"/>
          <w:rtl/>
        </w:rPr>
        <w:t xml:space="preserve"> דקטים ומנח מבעוד יום</w:t>
      </w:r>
      <w:r w:rsidR="00217241" w:rsidRPr="00217241">
        <w:rPr>
          <w:rFonts w:asciiTheme="minorBidi" w:hAnsiTheme="minorBidi" w:cs="Arial" w:hint="cs"/>
          <w:sz w:val="16"/>
          <w:szCs w:val="16"/>
          <w:rtl/>
        </w:rPr>
        <w:t>,</w:t>
      </w:r>
      <w:r w:rsidR="00217241" w:rsidRPr="00217241">
        <w:rPr>
          <w:rFonts w:asciiTheme="minorBidi" w:hAnsiTheme="minorBidi" w:cs="Arial"/>
          <w:sz w:val="16"/>
          <w:szCs w:val="16"/>
          <w:rtl/>
        </w:rPr>
        <w:t xml:space="preserve"> לרב יימר </w:t>
      </w:r>
      <w:r w:rsidR="00217241" w:rsidRPr="00217241">
        <w:rPr>
          <w:rFonts w:asciiTheme="minorBidi" w:hAnsiTheme="minorBidi" w:cs="Arial" w:hint="cs"/>
          <w:sz w:val="16"/>
          <w:szCs w:val="16"/>
          <w:rtl/>
        </w:rPr>
        <w:t xml:space="preserve">- </w:t>
      </w:r>
      <w:r w:rsidR="00217241" w:rsidRPr="00217241">
        <w:rPr>
          <w:rFonts w:asciiTheme="minorBidi" w:hAnsiTheme="minorBidi" w:cs="Arial"/>
          <w:sz w:val="16"/>
          <w:szCs w:val="16"/>
          <w:rtl/>
        </w:rPr>
        <w:t>אסור משום מרזב</w:t>
      </w:r>
      <w:r w:rsidR="00217241" w:rsidRPr="00217241">
        <w:rPr>
          <w:rFonts w:asciiTheme="minorBidi" w:hAnsiTheme="minorBidi" w:cs="Arial" w:hint="cs"/>
          <w:sz w:val="16"/>
          <w:szCs w:val="16"/>
          <w:rtl/>
        </w:rPr>
        <w:t>.</w:t>
      </w:r>
      <w:r w:rsidR="00217241" w:rsidRPr="00217241">
        <w:rPr>
          <w:rFonts w:asciiTheme="minorBidi" w:hAnsiTheme="minorBidi" w:cs="Arial"/>
          <w:sz w:val="16"/>
          <w:szCs w:val="16"/>
          <w:rtl/>
        </w:rPr>
        <w:t xml:space="preserve"> לרב אשי </w:t>
      </w:r>
      <w:r w:rsidR="00217241" w:rsidRPr="00217241">
        <w:rPr>
          <w:rFonts w:asciiTheme="minorBidi" w:hAnsiTheme="minorBidi" w:cs="Arial" w:hint="cs"/>
          <w:sz w:val="16"/>
          <w:szCs w:val="16"/>
          <w:rtl/>
        </w:rPr>
        <w:t xml:space="preserve">- </w:t>
      </w:r>
      <w:r w:rsidR="00217241" w:rsidRPr="00217241">
        <w:rPr>
          <w:rFonts w:asciiTheme="minorBidi" w:hAnsiTheme="minorBidi" w:cs="Arial"/>
          <w:sz w:val="16"/>
          <w:szCs w:val="16"/>
          <w:rtl/>
        </w:rPr>
        <w:t>שרי</w:t>
      </w:r>
      <w:r w:rsidR="00217241" w:rsidRPr="00217241">
        <w:rPr>
          <w:rFonts w:asciiTheme="minorBidi" w:hAnsiTheme="minorBidi" w:cs="Arial" w:hint="cs"/>
          <w:sz w:val="16"/>
          <w:szCs w:val="16"/>
          <w:rtl/>
        </w:rPr>
        <w:t>,</w:t>
      </w:r>
      <w:r w:rsidR="00217241" w:rsidRPr="00217241">
        <w:rPr>
          <w:rFonts w:asciiTheme="minorBidi" w:hAnsiTheme="minorBidi" w:cs="Arial"/>
          <w:sz w:val="16"/>
          <w:szCs w:val="16"/>
          <w:rtl/>
        </w:rPr>
        <w:t xml:space="preserve"> ולא אסר שמואל אלא כשאינו מוכן לכך מבעוד יום</w:t>
      </w:r>
      <w:r w:rsidR="00217241" w:rsidRPr="00217241">
        <w:rPr>
          <w:rFonts w:asciiTheme="minorBidi" w:hAnsiTheme="minorBidi" w:cs="Arial" w:hint="cs"/>
          <w:sz w:val="16"/>
          <w:szCs w:val="16"/>
          <w:rtl/>
        </w:rPr>
        <w:t>,</w:t>
      </w:r>
      <w:r w:rsidR="00217241" w:rsidRPr="00217241">
        <w:rPr>
          <w:rFonts w:asciiTheme="minorBidi" w:hAnsiTheme="minorBidi" w:cs="Arial"/>
          <w:sz w:val="16"/>
          <w:szCs w:val="16"/>
          <w:rtl/>
        </w:rPr>
        <w:t xml:space="preserve"> דכיון דצריך לחזר אחריו גזרינן שמא לא ימצא קטום ויבא לקטום</w:t>
      </w:r>
      <w:r w:rsidR="00217241" w:rsidRPr="00217241">
        <w:rPr>
          <w:rFonts w:asciiTheme="minorBidi" w:hAnsiTheme="minorBidi" w:cs="Arial" w:hint="cs"/>
          <w:sz w:val="16"/>
          <w:szCs w:val="16"/>
          <w:rtl/>
        </w:rPr>
        <w:t>.</w:t>
      </w:r>
      <w:r w:rsidR="00217241" w:rsidRPr="00217241">
        <w:rPr>
          <w:rFonts w:asciiTheme="minorBidi" w:hAnsiTheme="minorBidi" w:cs="Arial"/>
          <w:sz w:val="16"/>
          <w:szCs w:val="16"/>
          <w:rtl/>
        </w:rPr>
        <w:t xml:space="preserve"> והרי"ף (סב.) לא פסק הלכה כדברי מי</w:t>
      </w:r>
      <w:r w:rsidR="00217241" w:rsidRPr="00217241">
        <w:rPr>
          <w:rFonts w:asciiTheme="minorBidi" w:hAnsiTheme="minorBidi" w:cs="Arial" w:hint="cs"/>
          <w:sz w:val="16"/>
          <w:szCs w:val="16"/>
          <w:rtl/>
        </w:rPr>
        <w:t>.</w:t>
      </w:r>
      <w:r w:rsidR="00217241" w:rsidRPr="00217241">
        <w:rPr>
          <w:rFonts w:asciiTheme="minorBidi" w:hAnsiTheme="minorBidi" w:cs="Arial"/>
          <w:sz w:val="16"/>
          <w:szCs w:val="16"/>
          <w:rtl/>
        </w:rPr>
        <w:t xml:space="preserve"> והרמב"ם בפכ"ג (ה"ו) פסק כרב יימר</w:t>
      </w:r>
      <w:r w:rsidR="003B5AB9">
        <w:rPr>
          <w:rStyle w:val="a9"/>
          <w:rFonts w:asciiTheme="minorBidi" w:hAnsiTheme="minorBidi" w:cs="Arial"/>
          <w:sz w:val="16"/>
          <w:szCs w:val="16"/>
          <w:rtl/>
        </w:rPr>
        <w:footnoteReference w:id="2198"/>
      </w:r>
      <w:r w:rsidR="00217241" w:rsidRPr="00217241">
        <w:rPr>
          <w:rFonts w:asciiTheme="minorBidi" w:hAnsiTheme="minorBidi" w:cs="Arial" w:hint="cs"/>
          <w:sz w:val="16"/>
          <w:szCs w:val="16"/>
          <w:rtl/>
        </w:rPr>
        <w:t>.</w:t>
      </w:r>
      <w:r w:rsidR="00217241" w:rsidRPr="00217241">
        <w:rPr>
          <w:rFonts w:asciiTheme="minorBidi" w:hAnsiTheme="minorBidi" w:cs="Arial"/>
          <w:sz w:val="16"/>
          <w:szCs w:val="16"/>
          <w:rtl/>
        </w:rPr>
        <w:t xml:space="preserve"> והרא"ש (סי' ח) פסק כרב אשי</w:t>
      </w:r>
      <w:r w:rsidR="003B5AB9">
        <w:rPr>
          <w:rStyle w:val="a9"/>
          <w:rFonts w:asciiTheme="minorBidi" w:hAnsiTheme="minorBidi" w:cs="Arial"/>
          <w:sz w:val="16"/>
          <w:szCs w:val="16"/>
          <w:rtl/>
        </w:rPr>
        <w:footnoteReference w:id="2199"/>
      </w:r>
      <w:r w:rsidR="009E0AE0">
        <w:rPr>
          <w:rFonts w:asciiTheme="minorBidi" w:hAnsiTheme="minorBidi" w:cs="Arial" w:hint="cs"/>
          <w:sz w:val="16"/>
          <w:szCs w:val="16"/>
          <w:rtl/>
        </w:rPr>
        <w:t>,</w:t>
      </w:r>
      <w:r w:rsidR="00217241" w:rsidRPr="00217241">
        <w:rPr>
          <w:rFonts w:asciiTheme="minorBidi" w:hAnsiTheme="minorBidi" w:cs="Arial"/>
          <w:sz w:val="16"/>
          <w:szCs w:val="16"/>
          <w:rtl/>
        </w:rPr>
        <w:t xml:space="preserve"> וכדבריו פסק רבינו</w:t>
      </w:r>
      <w:r w:rsidR="00217241">
        <w:rPr>
          <w:rFonts w:asciiTheme="minorBidi" w:hAnsiTheme="minorBidi" w:cs="Arial" w:hint="cs"/>
          <w:sz w:val="16"/>
          <w:szCs w:val="16"/>
          <w:rtl/>
        </w:rPr>
        <w:t>, ב"י)</w:t>
      </w:r>
    </w:p>
    <w:p w14:paraId="0C8DD68A" w14:textId="7AA360A8" w:rsidR="003E45B6" w:rsidRPr="003E45B6" w:rsidRDefault="003E45B6" w:rsidP="00434A6A">
      <w:pPr>
        <w:rPr>
          <w:rFonts w:asciiTheme="minorBidi" w:hAnsiTheme="minorBidi"/>
          <w:u w:val="single"/>
          <w:rtl/>
        </w:rPr>
      </w:pPr>
      <w:r>
        <w:rPr>
          <w:rFonts w:asciiTheme="minorBidi" w:hAnsiTheme="minorBidi" w:hint="cs"/>
          <w:u w:val="single"/>
          <w:rtl/>
        </w:rPr>
        <w:t xml:space="preserve">נתינת </w:t>
      </w:r>
      <w:r w:rsidRPr="003E45B6">
        <w:rPr>
          <w:rFonts w:asciiTheme="minorBidi" w:hAnsiTheme="minorBidi"/>
          <w:u w:val="single"/>
          <w:rtl/>
        </w:rPr>
        <w:t>עלה של הדס בנקב שבחבית</w:t>
      </w:r>
      <w:r>
        <w:rPr>
          <w:rFonts w:asciiTheme="minorBidi" w:hAnsiTheme="minorBidi" w:hint="cs"/>
          <w:u w:val="single"/>
          <w:rtl/>
        </w:rPr>
        <w:t xml:space="preserve"> במקום מרזב</w:t>
      </w:r>
      <w:r w:rsidRPr="003E45B6">
        <w:rPr>
          <w:rFonts w:asciiTheme="minorBidi" w:hAnsiTheme="minorBidi" w:hint="cs"/>
          <w:u w:val="single"/>
          <w:rtl/>
        </w:rPr>
        <w:t>:</w:t>
      </w:r>
    </w:p>
    <w:p w14:paraId="1E5A6C00" w14:textId="124EFDBB" w:rsidR="00094251" w:rsidRDefault="00217241" w:rsidP="00434A6A">
      <w:pPr>
        <w:pStyle w:val="aa"/>
        <w:numPr>
          <w:ilvl w:val="0"/>
          <w:numId w:val="15"/>
        </w:numPr>
        <w:rPr>
          <w:rFonts w:asciiTheme="minorBidi" w:hAnsiTheme="minorBidi"/>
        </w:rPr>
      </w:pPr>
      <w:r>
        <w:rPr>
          <w:rFonts w:asciiTheme="minorBidi" w:hAnsiTheme="minorBidi" w:cs="Arial" w:hint="cs"/>
          <w:rtl/>
        </w:rPr>
        <w:t xml:space="preserve">רא"ש </w:t>
      </w:r>
      <w:r>
        <w:rPr>
          <w:rFonts w:asciiTheme="minorBidi" w:hAnsiTheme="minorBidi" w:cs="Arial" w:hint="cs"/>
          <w:sz w:val="16"/>
          <w:szCs w:val="16"/>
          <w:rtl/>
        </w:rPr>
        <w:t>(סי' ח)</w:t>
      </w:r>
      <w:r>
        <w:rPr>
          <w:rFonts w:asciiTheme="minorBidi" w:hAnsiTheme="minorBidi" w:cs="Arial" w:hint="cs"/>
          <w:rtl/>
        </w:rPr>
        <w:t xml:space="preserve"> ו</w:t>
      </w:r>
      <w:r w:rsidR="00094251">
        <w:rPr>
          <w:rFonts w:asciiTheme="minorBidi" w:hAnsiTheme="minorBidi" w:cs="Arial" w:hint="cs"/>
          <w:rtl/>
        </w:rPr>
        <w:t xml:space="preserve">טור- </w:t>
      </w:r>
      <w:r w:rsidR="00094251" w:rsidRPr="00182CF6">
        <w:rPr>
          <w:rFonts w:asciiTheme="minorBidi" w:hAnsiTheme="minorBidi" w:cs="Arial"/>
          <w:rtl/>
        </w:rPr>
        <w:t>עלה של הדס אם הוא קטום ויש לו הרבה</w:t>
      </w:r>
      <w:r>
        <w:rPr>
          <w:rStyle w:val="a9"/>
          <w:rFonts w:asciiTheme="minorBidi" w:hAnsiTheme="minorBidi" w:cs="Arial"/>
          <w:rtl/>
        </w:rPr>
        <w:footnoteReference w:id="2200"/>
      </w:r>
      <w:r w:rsidR="00094251" w:rsidRPr="00182CF6">
        <w:rPr>
          <w:rFonts w:asciiTheme="minorBidi" w:hAnsiTheme="minorBidi" w:cs="Arial"/>
          <w:rtl/>
        </w:rPr>
        <w:t xml:space="preserve"> מהם קטומים </w:t>
      </w:r>
      <w:r w:rsidR="008E0C6B">
        <w:rPr>
          <w:rFonts w:asciiTheme="minorBidi" w:hAnsiTheme="minorBidi" w:cs="Arial" w:hint="cs"/>
          <w:rtl/>
        </w:rPr>
        <w:t xml:space="preserve">- </w:t>
      </w:r>
      <w:r w:rsidR="00094251" w:rsidRPr="00182CF6">
        <w:rPr>
          <w:rFonts w:asciiTheme="minorBidi" w:hAnsiTheme="minorBidi" w:cs="Arial"/>
          <w:rtl/>
        </w:rPr>
        <w:t>מותר ליתנו בנקב במקום מרזב כדי שיקלח היין</w:t>
      </w:r>
      <w:r w:rsidR="000417EC">
        <w:rPr>
          <w:rFonts w:asciiTheme="minorBidi" w:hAnsiTheme="minorBidi" w:cs="Arial" w:hint="cs"/>
          <w:rtl/>
        </w:rPr>
        <w:t>.</w:t>
      </w:r>
      <w:r w:rsidR="008E0C6B">
        <w:rPr>
          <w:rFonts w:asciiTheme="minorBidi" w:hAnsiTheme="minorBidi" w:cs="Arial" w:hint="cs"/>
          <w:rtl/>
        </w:rPr>
        <w:t xml:space="preserve"> </w:t>
      </w:r>
      <w:r w:rsidR="00094251" w:rsidRPr="008E0C6B">
        <w:rPr>
          <w:rFonts w:asciiTheme="minorBidi" w:hAnsiTheme="minorBidi" w:cs="Arial"/>
          <w:rtl/>
        </w:rPr>
        <w:t>ואם אין לו אלא אחד</w:t>
      </w:r>
      <w:r w:rsidR="008E0C6B">
        <w:rPr>
          <w:rFonts w:asciiTheme="minorBidi" w:hAnsiTheme="minorBidi" w:cs="Arial" w:hint="cs"/>
          <w:rtl/>
        </w:rPr>
        <w:t>,</w:t>
      </w:r>
      <w:r w:rsidR="00094251" w:rsidRPr="008E0C6B">
        <w:rPr>
          <w:rFonts w:asciiTheme="minorBidi" w:hAnsiTheme="minorBidi" w:cs="Arial"/>
          <w:rtl/>
        </w:rPr>
        <w:t xml:space="preserve"> אפי' אם קטום ועומד</w:t>
      </w:r>
      <w:r w:rsidR="008E0C6B">
        <w:rPr>
          <w:rFonts w:asciiTheme="minorBidi" w:hAnsiTheme="minorBidi" w:cs="Arial" w:hint="cs"/>
          <w:rtl/>
        </w:rPr>
        <w:t>,</w:t>
      </w:r>
      <w:r w:rsidR="00094251" w:rsidRPr="008E0C6B">
        <w:rPr>
          <w:rFonts w:asciiTheme="minorBidi" w:hAnsiTheme="minorBidi" w:cs="Arial"/>
          <w:rtl/>
        </w:rPr>
        <w:t xml:space="preserve"> אסור ליתנו שם</w:t>
      </w:r>
      <w:r>
        <w:rPr>
          <w:rFonts w:asciiTheme="minorBidi" w:hAnsiTheme="minorBidi" w:cs="Arial" w:hint="cs"/>
          <w:sz w:val="16"/>
          <w:szCs w:val="16"/>
          <w:rtl/>
        </w:rPr>
        <w:t xml:space="preserve"> (ל' הטור)</w:t>
      </w:r>
      <w:r w:rsidR="000417EC" w:rsidRPr="008E0C6B">
        <w:rPr>
          <w:rFonts w:asciiTheme="minorBidi" w:hAnsiTheme="minorBidi" w:cs="Arial" w:hint="cs"/>
          <w:rtl/>
        </w:rPr>
        <w:t>.</w:t>
      </w:r>
      <w:r w:rsidR="00B47247">
        <w:rPr>
          <w:rFonts w:asciiTheme="minorBidi" w:hAnsiTheme="minorBidi" w:hint="cs"/>
          <w:rtl/>
        </w:rPr>
        <w:t xml:space="preserve"> </w:t>
      </w:r>
      <w:r w:rsidR="00B47247" w:rsidRPr="00B47247">
        <w:rPr>
          <w:rFonts w:asciiTheme="minorBidi" w:hAnsiTheme="minorBidi" w:hint="cs"/>
          <w:color w:val="00B0F0"/>
          <w:rtl/>
        </w:rPr>
        <w:t>(וכ"כ הרמ"א)</w:t>
      </w:r>
    </w:p>
    <w:p w14:paraId="75B82FEE" w14:textId="60197774" w:rsidR="004C7C95" w:rsidRPr="00B47247" w:rsidRDefault="00217241" w:rsidP="00434A6A">
      <w:pPr>
        <w:pStyle w:val="aa"/>
        <w:numPr>
          <w:ilvl w:val="0"/>
          <w:numId w:val="15"/>
        </w:numPr>
        <w:rPr>
          <w:rFonts w:asciiTheme="minorBidi" w:hAnsiTheme="minorBidi"/>
          <w:rtl/>
        </w:rPr>
      </w:pPr>
      <w:r>
        <w:rPr>
          <w:rFonts w:asciiTheme="minorBidi" w:hAnsiTheme="minorBidi" w:cs="Arial" w:hint="cs"/>
          <w:rtl/>
        </w:rPr>
        <w:t xml:space="preserve">רמב"ם </w:t>
      </w:r>
      <w:r>
        <w:rPr>
          <w:rFonts w:asciiTheme="minorBidi" w:hAnsiTheme="minorBidi" w:cs="Arial" w:hint="cs"/>
          <w:sz w:val="16"/>
          <w:szCs w:val="16"/>
          <w:rtl/>
        </w:rPr>
        <w:t>(פכ"ג ה"ו)</w:t>
      </w:r>
      <w:r>
        <w:rPr>
          <w:rFonts w:asciiTheme="minorBidi" w:hAnsiTheme="minorBidi" w:cs="Arial" w:hint="cs"/>
          <w:rtl/>
        </w:rPr>
        <w:t xml:space="preserve">- </w:t>
      </w:r>
      <w:r w:rsidRPr="00217241">
        <w:rPr>
          <w:rFonts w:asciiTheme="minorBidi" w:hAnsiTheme="minorBidi" w:cs="Arial"/>
          <w:rtl/>
        </w:rPr>
        <w:t>אסור להניח עלה של הדס וכיוצא בו בתוך הנקב של חבית כדי שיקלח את היין</w:t>
      </w:r>
      <w:r>
        <w:rPr>
          <w:rFonts w:asciiTheme="minorBidi" w:hAnsiTheme="minorBidi" w:cs="Arial" w:hint="cs"/>
          <w:rtl/>
        </w:rPr>
        <w:t>,</w:t>
      </w:r>
      <w:r w:rsidRPr="00217241">
        <w:rPr>
          <w:rFonts w:asciiTheme="minorBidi" w:hAnsiTheme="minorBidi" w:cs="Arial"/>
          <w:rtl/>
        </w:rPr>
        <w:t xml:space="preserve"> מפני שהוא כעושה מרזב בשבת</w:t>
      </w:r>
      <w:r>
        <w:rPr>
          <w:rFonts w:asciiTheme="minorBidi" w:hAnsiTheme="minorBidi" w:hint="cs"/>
          <w:rtl/>
        </w:rPr>
        <w:t>.</w:t>
      </w:r>
      <w:r w:rsidR="00B47247">
        <w:rPr>
          <w:rFonts w:asciiTheme="minorBidi" w:hAnsiTheme="minorBidi" w:hint="cs"/>
          <w:rtl/>
        </w:rPr>
        <w:t xml:space="preserve"> </w:t>
      </w:r>
      <w:r w:rsidR="00B47247" w:rsidRPr="00B47247">
        <w:rPr>
          <w:rFonts w:asciiTheme="minorBidi" w:hAnsiTheme="minorBidi" w:hint="cs"/>
          <w:color w:val="E36C0A" w:themeColor="accent6" w:themeShade="BF"/>
          <w:rtl/>
        </w:rPr>
        <w:t>(וכ"פ בשו"ע)</w:t>
      </w:r>
    </w:p>
    <w:p w14:paraId="74C32C21" w14:textId="77777777" w:rsidR="00B556BA" w:rsidRPr="005275DF" w:rsidRDefault="00B556BA" w:rsidP="00434A6A">
      <w:pPr>
        <w:rPr>
          <w:rFonts w:asciiTheme="minorBidi" w:hAnsiTheme="minorBidi"/>
          <w:rtl/>
        </w:rPr>
      </w:pPr>
      <w:r w:rsidRPr="005275DF">
        <w:rPr>
          <w:rFonts w:asciiTheme="minorBidi" w:hAnsiTheme="minorBidi"/>
          <w:b/>
          <w:bCs/>
          <w:sz w:val="32"/>
          <w:szCs w:val="28"/>
          <w:u w:val="single"/>
          <w:rtl/>
        </w:rPr>
        <w:t xml:space="preserve">שו"ע: </w:t>
      </w:r>
    </w:p>
    <w:p w14:paraId="7E80E4BF" w14:textId="3D0C3B5D" w:rsidR="00B3737F" w:rsidRPr="005275DF" w:rsidRDefault="00B3737F" w:rsidP="00434A6A">
      <w:pPr>
        <w:rPr>
          <w:rFonts w:asciiTheme="minorBidi" w:hAnsiTheme="minorBidi"/>
          <w:rtl/>
        </w:rPr>
      </w:pPr>
      <w:r w:rsidRPr="005275DF">
        <w:rPr>
          <w:rFonts w:asciiTheme="minorBidi" w:hAnsiTheme="minorBidi"/>
          <w:rtl/>
        </w:rPr>
        <w:t xml:space="preserve">מותר ליתן קנה חלול </w:t>
      </w:r>
      <w:r w:rsidR="00690A9A" w:rsidRPr="005275DF">
        <w:rPr>
          <w:rFonts w:asciiTheme="minorBidi" w:hAnsiTheme="minorBidi"/>
          <w:sz w:val="18"/>
          <w:szCs w:val="18"/>
          <w:rtl/>
        </w:rPr>
        <w:t xml:space="preserve">הגה: </w:t>
      </w:r>
      <w:r w:rsidRPr="005275DF">
        <w:rPr>
          <w:rFonts w:asciiTheme="minorBidi" w:hAnsiTheme="minorBidi"/>
          <w:sz w:val="18"/>
          <w:szCs w:val="18"/>
          <w:rtl/>
        </w:rPr>
        <w:t>בחבית</w:t>
      </w:r>
      <w:r w:rsidR="003E45B6">
        <w:rPr>
          <w:rFonts w:asciiTheme="minorBidi" w:hAnsiTheme="minorBidi" w:hint="cs"/>
          <w:sz w:val="18"/>
          <w:szCs w:val="18"/>
          <w:rtl/>
        </w:rPr>
        <w:t>,</w:t>
      </w:r>
      <w:r w:rsidRPr="005275DF">
        <w:rPr>
          <w:rFonts w:asciiTheme="minorBidi" w:hAnsiTheme="minorBidi"/>
          <w:sz w:val="18"/>
          <w:szCs w:val="18"/>
          <w:rtl/>
        </w:rPr>
        <w:t xml:space="preserve"> או</w:t>
      </w:r>
      <w:r w:rsidR="00690A9A" w:rsidRPr="005275DF">
        <w:rPr>
          <w:rFonts w:asciiTheme="minorBidi" w:hAnsiTheme="minorBidi"/>
          <w:sz w:val="18"/>
          <w:szCs w:val="18"/>
          <w:rtl/>
        </w:rPr>
        <w:t xml:space="preserve"> שאר</w:t>
      </w:r>
      <w:r w:rsidR="00690A9A" w:rsidRPr="005275DF">
        <w:rPr>
          <w:rStyle w:val="a9"/>
          <w:rFonts w:asciiTheme="minorBidi" w:hAnsiTheme="minorBidi"/>
          <w:sz w:val="18"/>
          <w:szCs w:val="18"/>
          <w:rtl/>
        </w:rPr>
        <w:footnoteReference w:id="2201"/>
      </w:r>
      <w:r w:rsidR="00690A9A" w:rsidRPr="005275DF">
        <w:rPr>
          <w:rFonts w:asciiTheme="minorBidi" w:hAnsiTheme="minorBidi"/>
          <w:sz w:val="18"/>
          <w:szCs w:val="18"/>
          <w:rtl/>
        </w:rPr>
        <w:t xml:space="preserve"> ברזא</w:t>
      </w:r>
      <w:r w:rsidRPr="005275DF">
        <w:rPr>
          <w:rFonts w:asciiTheme="minorBidi" w:hAnsiTheme="minorBidi"/>
          <w:sz w:val="16"/>
          <w:szCs w:val="16"/>
          <w:rtl/>
        </w:rPr>
        <w:t xml:space="preserve"> </w:t>
      </w:r>
      <w:r w:rsidRPr="005275DF">
        <w:rPr>
          <w:rFonts w:asciiTheme="minorBidi" w:hAnsiTheme="minorBidi"/>
          <w:rtl/>
        </w:rPr>
        <w:t>להוציא יין אף על פי שלא היה בו מעולם</w:t>
      </w:r>
      <w:r w:rsidR="006368F3">
        <w:rPr>
          <w:rFonts w:asciiTheme="minorBidi" w:hAnsiTheme="minorBidi" w:hint="cs"/>
          <w:rtl/>
        </w:rPr>
        <w:t>.</w:t>
      </w:r>
      <w:r w:rsidRPr="005275DF">
        <w:rPr>
          <w:rFonts w:asciiTheme="minorBidi" w:hAnsiTheme="minorBidi"/>
          <w:rtl/>
        </w:rPr>
        <w:t xml:space="preserve"> אבל ליתן עלה של הדס בנקב שבחבית ש</w:t>
      </w:r>
      <w:r w:rsidR="002D2010" w:rsidRPr="005275DF">
        <w:rPr>
          <w:rFonts w:asciiTheme="minorBidi" w:hAnsiTheme="minorBidi"/>
          <w:rtl/>
        </w:rPr>
        <w:t>העלה עשוי כמרזב והיין זב דרך שם</w:t>
      </w:r>
      <w:r w:rsidR="006368F3">
        <w:rPr>
          <w:rFonts w:asciiTheme="minorBidi" w:hAnsiTheme="minorBidi" w:hint="cs"/>
          <w:rtl/>
        </w:rPr>
        <w:t>,</w:t>
      </w:r>
      <w:r w:rsidRPr="005275DF">
        <w:rPr>
          <w:rFonts w:asciiTheme="minorBidi" w:hAnsiTheme="minorBidi"/>
          <w:rtl/>
        </w:rPr>
        <w:t xml:space="preserve"> לא, דגזרינן שלא יתקן מרזב ליינו שיפול היין לתוכו וילך למרחוק</w:t>
      </w:r>
      <w:r w:rsidR="006368F3">
        <w:rPr>
          <w:rFonts w:asciiTheme="minorBidi" w:hAnsiTheme="minorBidi" w:hint="cs"/>
          <w:rtl/>
        </w:rPr>
        <w:t>.</w:t>
      </w:r>
      <w:r w:rsidRPr="005275DF">
        <w:rPr>
          <w:rFonts w:asciiTheme="minorBidi" w:hAnsiTheme="minorBidi"/>
          <w:rtl/>
        </w:rPr>
        <w:t xml:space="preserve"> דכשלוקח העלה ומקפלו כעין מרזב נראה כעושה מרזב</w:t>
      </w:r>
      <w:r w:rsidR="00B47247">
        <w:rPr>
          <w:rFonts w:asciiTheme="minorBidi" w:hAnsiTheme="minorBidi" w:hint="cs"/>
          <w:rtl/>
        </w:rPr>
        <w:t>.</w:t>
      </w:r>
      <w:r w:rsidRPr="005275DF">
        <w:rPr>
          <w:rFonts w:asciiTheme="minorBidi" w:hAnsiTheme="minorBidi"/>
          <w:rtl/>
        </w:rPr>
        <w:t xml:space="preserve"> ולא דמי לברזא או קנה</w:t>
      </w:r>
      <w:r w:rsidR="00B47247">
        <w:rPr>
          <w:rFonts w:asciiTheme="minorBidi" w:hAnsiTheme="minorBidi" w:hint="cs"/>
          <w:rtl/>
        </w:rPr>
        <w:t>,</w:t>
      </w:r>
      <w:r w:rsidRPr="005275DF">
        <w:rPr>
          <w:rFonts w:asciiTheme="minorBidi" w:hAnsiTheme="minorBidi"/>
          <w:rtl/>
        </w:rPr>
        <w:t xml:space="preserve"> שאינו עושה בו שום מעשה.</w:t>
      </w:r>
      <w:r w:rsidRPr="005275DF">
        <w:rPr>
          <w:rFonts w:asciiTheme="minorBidi" w:hAnsiTheme="minorBidi"/>
          <w:sz w:val="18"/>
          <w:szCs w:val="18"/>
          <w:rtl/>
        </w:rPr>
        <w:t xml:space="preserve"> הגה: ויש מתירים אפילו בעלה של הדס במקום שיש לו הרבה קטומים ואין לחוש שמא יקטום</w:t>
      </w:r>
      <w:r w:rsidR="00CA6EA0" w:rsidRPr="005275DF">
        <w:rPr>
          <w:rStyle w:val="a9"/>
          <w:rFonts w:asciiTheme="minorBidi" w:hAnsiTheme="minorBidi"/>
          <w:sz w:val="18"/>
          <w:szCs w:val="18"/>
          <w:rtl/>
        </w:rPr>
        <w:footnoteReference w:id="2202"/>
      </w:r>
      <w:r w:rsidRPr="005275DF">
        <w:rPr>
          <w:rFonts w:asciiTheme="minorBidi" w:hAnsiTheme="minorBidi"/>
          <w:sz w:val="18"/>
          <w:szCs w:val="18"/>
          <w:rtl/>
        </w:rPr>
        <w:t xml:space="preserve"> (רא"ש </w:t>
      </w:r>
      <w:r w:rsidR="00B47247">
        <w:rPr>
          <w:rFonts w:asciiTheme="minorBidi" w:hAnsiTheme="minorBidi" w:hint="cs"/>
          <w:sz w:val="18"/>
          <w:szCs w:val="18"/>
          <w:rtl/>
        </w:rPr>
        <w:t>וטור</w:t>
      </w:r>
      <w:r w:rsidRPr="005275DF">
        <w:rPr>
          <w:rFonts w:asciiTheme="minorBidi" w:hAnsiTheme="minorBidi"/>
          <w:sz w:val="18"/>
          <w:szCs w:val="18"/>
          <w:rtl/>
        </w:rPr>
        <w:t>).</w:t>
      </w:r>
      <w:r w:rsidRPr="005275DF">
        <w:rPr>
          <w:rFonts w:asciiTheme="minorBidi" w:hAnsiTheme="minorBidi"/>
          <w:rtl/>
        </w:rPr>
        <w:t xml:space="preserve"> </w:t>
      </w:r>
    </w:p>
    <w:p w14:paraId="31D46FD8" w14:textId="77777777" w:rsidR="00B3737F" w:rsidRPr="005275DF" w:rsidRDefault="00B3737F" w:rsidP="00434A6A">
      <w:pPr>
        <w:rPr>
          <w:rFonts w:asciiTheme="minorBidi" w:hAnsiTheme="minorBidi"/>
          <w:rtl/>
        </w:rPr>
      </w:pPr>
    </w:p>
    <w:p w14:paraId="3DD38012" w14:textId="7EAC0062" w:rsidR="00B3737F" w:rsidRDefault="00B3737F" w:rsidP="00434A6A">
      <w:pPr>
        <w:pStyle w:val="2"/>
        <w:rPr>
          <w:rFonts w:asciiTheme="minorBidi" w:hAnsiTheme="minorBidi" w:cstheme="minorBidi"/>
          <w:rtl/>
        </w:rPr>
      </w:pPr>
      <w:r w:rsidRPr="005275DF">
        <w:rPr>
          <w:rFonts w:asciiTheme="minorBidi" w:hAnsiTheme="minorBidi" w:cstheme="minorBidi"/>
          <w:rtl/>
        </w:rPr>
        <w:t>סעיף ו</w:t>
      </w:r>
      <w:r w:rsidR="0053331D" w:rsidRPr="005275DF">
        <w:rPr>
          <w:rFonts w:asciiTheme="minorBidi" w:hAnsiTheme="minorBidi" w:cstheme="minorBidi"/>
          <w:rtl/>
        </w:rPr>
        <w:t xml:space="preserve">: </w:t>
      </w:r>
      <w:r w:rsidR="009E5400" w:rsidRPr="005275DF">
        <w:rPr>
          <w:rFonts w:asciiTheme="minorBidi" w:hAnsiTheme="minorBidi" w:cstheme="minorBidi"/>
          <w:rtl/>
        </w:rPr>
        <w:t xml:space="preserve">פתיחה או נקיבה של </w:t>
      </w:r>
      <w:r w:rsidR="00635755">
        <w:rPr>
          <w:rFonts w:asciiTheme="minorBidi" w:hAnsiTheme="minorBidi" w:cstheme="minorBidi" w:hint="cs"/>
          <w:rtl/>
        </w:rPr>
        <w:t>מכסה ה</w:t>
      </w:r>
      <w:r w:rsidR="009E5400" w:rsidRPr="005275DF">
        <w:rPr>
          <w:rFonts w:asciiTheme="minorBidi" w:hAnsiTheme="minorBidi" w:cstheme="minorBidi"/>
          <w:rtl/>
        </w:rPr>
        <w:t>חבית.</w:t>
      </w:r>
    </w:p>
    <w:p w14:paraId="2797BE31" w14:textId="0B4F1E94" w:rsidR="009C0A19" w:rsidRPr="009C0A19" w:rsidRDefault="009C0A19" w:rsidP="00434A6A">
      <w:pPr>
        <w:rPr>
          <w:rFonts w:cs="Arial"/>
          <w:rtl/>
        </w:rPr>
      </w:pPr>
      <w:r w:rsidRPr="00871D70">
        <w:rPr>
          <w:rFonts w:cs="Arial" w:hint="cs"/>
          <w:b/>
          <w:bCs/>
          <w:rtl/>
        </w:rPr>
        <w:t xml:space="preserve">תוספתא ביצה פ"ג הי"ג: </w:t>
      </w:r>
      <w:r w:rsidRPr="00871D70">
        <w:rPr>
          <w:rFonts w:cs="Arial"/>
          <w:rtl/>
        </w:rPr>
        <w:t>קורע אדן את העור שעל פי חבית של יין ושל מורייס</w:t>
      </w:r>
      <w:r>
        <w:rPr>
          <w:rFonts w:cs="Arial" w:hint="cs"/>
          <w:rtl/>
        </w:rPr>
        <w:t>,</w:t>
      </w:r>
      <w:r w:rsidRPr="00871D70">
        <w:rPr>
          <w:rFonts w:cs="Arial"/>
          <w:rtl/>
        </w:rPr>
        <w:t xml:space="preserve"> ובלבד שלא יתכוין לעשות זינוק</w:t>
      </w:r>
      <w:r>
        <w:rPr>
          <w:rFonts w:cs="Arial" w:hint="cs"/>
          <w:rtl/>
        </w:rPr>
        <w:t>.</w:t>
      </w:r>
      <w:r w:rsidRPr="00871D70">
        <w:rPr>
          <w:rFonts w:cs="Arial"/>
          <w:rtl/>
        </w:rPr>
        <w:t xml:space="preserve"> </w:t>
      </w:r>
      <w:r>
        <w:rPr>
          <w:rFonts w:cs="Arial" w:hint="cs"/>
          <w:sz w:val="16"/>
          <w:szCs w:val="16"/>
          <w:rtl/>
        </w:rPr>
        <w:t>(</w:t>
      </w:r>
      <w:r w:rsidRPr="00871D70">
        <w:rPr>
          <w:rFonts w:cs="Arial"/>
          <w:sz w:val="16"/>
          <w:szCs w:val="16"/>
          <w:rtl/>
        </w:rPr>
        <w:t>ונראה לי דזינוק היינו מרזב והוא מלשון יזנק מן הבשן (דברים לג כב)</w:t>
      </w:r>
      <w:r w:rsidRPr="00871D70">
        <w:rPr>
          <w:rFonts w:cs="Arial" w:hint="cs"/>
          <w:sz w:val="16"/>
          <w:szCs w:val="16"/>
          <w:rtl/>
        </w:rPr>
        <w:t>.</w:t>
      </w:r>
      <w:r w:rsidRPr="00871D70">
        <w:rPr>
          <w:rFonts w:cs="Arial"/>
          <w:sz w:val="16"/>
          <w:szCs w:val="16"/>
          <w:rtl/>
        </w:rPr>
        <w:t xml:space="preserve"> וטעמא דאסור משום דהוי כעושה כלי</w:t>
      </w:r>
      <w:r w:rsidRPr="00871D70">
        <w:rPr>
          <w:rFonts w:cs="Arial" w:hint="cs"/>
          <w:sz w:val="16"/>
          <w:szCs w:val="16"/>
          <w:rtl/>
        </w:rPr>
        <w:t>,</w:t>
      </w:r>
      <w:r w:rsidRPr="00871D70">
        <w:rPr>
          <w:rFonts w:cs="Arial"/>
          <w:sz w:val="16"/>
          <w:szCs w:val="16"/>
          <w:rtl/>
        </w:rPr>
        <w:t xml:space="preserve"> וכמו שיתבאר בסוף סימן זה </w:t>
      </w:r>
      <w:r w:rsidR="00245EBD">
        <w:rPr>
          <w:rFonts w:cs="Arial" w:hint="cs"/>
          <w:sz w:val="14"/>
          <w:szCs w:val="14"/>
          <w:rtl/>
        </w:rPr>
        <w:t xml:space="preserve">{הבאתי את הדברים </w:t>
      </w:r>
      <w:r w:rsidR="00245EBD" w:rsidRPr="00245EBD">
        <w:rPr>
          <w:rFonts w:cs="Arial" w:hint="cs"/>
          <w:sz w:val="14"/>
          <w:szCs w:val="14"/>
          <w:rtl/>
        </w:rPr>
        <w:t>ב</w:t>
      </w:r>
      <w:r w:rsidRPr="00245EBD">
        <w:rPr>
          <w:rFonts w:cs="Arial" w:hint="cs"/>
          <w:sz w:val="14"/>
          <w:szCs w:val="14"/>
          <w:rtl/>
        </w:rPr>
        <w:t>סע' ה</w:t>
      </w:r>
      <w:r w:rsidR="00245EBD">
        <w:rPr>
          <w:rFonts w:cs="Arial" w:hint="cs"/>
          <w:sz w:val="14"/>
          <w:szCs w:val="14"/>
          <w:rtl/>
        </w:rPr>
        <w:t>}</w:t>
      </w:r>
      <w:r w:rsidRPr="00871D70">
        <w:rPr>
          <w:rFonts w:cs="Arial"/>
          <w:sz w:val="16"/>
          <w:szCs w:val="16"/>
          <w:rtl/>
        </w:rPr>
        <w:t xml:space="preserve"> שאסור ליתן עלה של הדס בנקב במקום מרזב</w:t>
      </w:r>
      <w:r w:rsidRPr="00871D70">
        <w:rPr>
          <w:rStyle w:val="a9"/>
          <w:rFonts w:cs="Arial"/>
          <w:sz w:val="16"/>
          <w:szCs w:val="16"/>
          <w:rtl/>
        </w:rPr>
        <w:footnoteReference w:id="2203"/>
      </w:r>
      <w:r w:rsidRPr="00871D70">
        <w:rPr>
          <w:rFonts w:cs="Arial"/>
          <w:sz w:val="16"/>
          <w:szCs w:val="16"/>
          <w:rtl/>
        </w:rPr>
        <w:t xml:space="preserve"> אם אין לו אלא אחד</w:t>
      </w:r>
      <w:r>
        <w:rPr>
          <w:rStyle w:val="a9"/>
          <w:rFonts w:cs="Arial"/>
          <w:sz w:val="16"/>
          <w:szCs w:val="16"/>
          <w:rtl/>
        </w:rPr>
        <w:footnoteReference w:id="2204"/>
      </w:r>
      <w:r w:rsidRPr="00871D70">
        <w:rPr>
          <w:rFonts w:cs="Arial" w:hint="cs"/>
          <w:sz w:val="16"/>
          <w:szCs w:val="16"/>
          <w:rtl/>
        </w:rPr>
        <w:t>, ב"י)</w:t>
      </w:r>
    </w:p>
    <w:p w14:paraId="75E4FAC4" w14:textId="350C5610" w:rsidR="0053331D" w:rsidRDefault="0053331D" w:rsidP="00434A6A">
      <w:pPr>
        <w:rPr>
          <w:rFonts w:asciiTheme="minorBidi" w:hAnsiTheme="minorBidi"/>
          <w:rtl/>
        </w:rPr>
      </w:pPr>
      <w:r w:rsidRPr="005275DF">
        <w:rPr>
          <w:rFonts w:asciiTheme="minorBidi" w:hAnsiTheme="minorBidi"/>
          <w:b/>
          <w:bCs/>
          <w:rtl/>
        </w:rPr>
        <w:t>שבת</w:t>
      </w:r>
      <w:r w:rsidR="00AF6169" w:rsidRPr="005275DF">
        <w:rPr>
          <w:rFonts w:asciiTheme="minorBidi" w:hAnsiTheme="minorBidi"/>
          <w:b/>
          <w:bCs/>
          <w:rtl/>
        </w:rPr>
        <w:t xml:space="preserve"> </w:t>
      </w:r>
      <w:r w:rsidR="00B47247">
        <w:rPr>
          <w:rFonts w:asciiTheme="minorBidi" w:hAnsiTheme="minorBidi" w:hint="cs"/>
          <w:b/>
          <w:bCs/>
          <w:sz w:val="16"/>
          <w:szCs w:val="16"/>
          <w:rtl/>
        </w:rPr>
        <w:t xml:space="preserve">(פ' חבית) </w:t>
      </w:r>
      <w:r w:rsidR="00AF6169" w:rsidRPr="005275DF">
        <w:rPr>
          <w:rFonts w:asciiTheme="minorBidi" w:hAnsiTheme="minorBidi"/>
          <w:b/>
          <w:bCs/>
          <w:rtl/>
        </w:rPr>
        <w:t>קמו ע"א:</w:t>
      </w:r>
      <w:r w:rsidRPr="005275DF">
        <w:rPr>
          <w:rFonts w:asciiTheme="minorBidi" w:hAnsiTheme="minorBidi"/>
          <w:b/>
          <w:bCs/>
          <w:rtl/>
        </w:rPr>
        <w:t xml:space="preserve"> </w:t>
      </w:r>
      <w:r w:rsidRPr="005275DF">
        <w:rPr>
          <w:rFonts w:asciiTheme="minorBidi" w:hAnsiTheme="minorBidi"/>
          <w:u w:val="double"/>
          <w:rtl/>
        </w:rPr>
        <w:t>משנה</w:t>
      </w:r>
      <w:r w:rsidR="00AF6169" w:rsidRPr="005275DF">
        <w:rPr>
          <w:rFonts w:asciiTheme="minorBidi" w:hAnsiTheme="minorBidi"/>
          <w:u w:val="double"/>
          <w:rtl/>
        </w:rPr>
        <w:t>:</w:t>
      </w:r>
      <w:r w:rsidRPr="005275DF">
        <w:rPr>
          <w:rFonts w:asciiTheme="minorBidi" w:hAnsiTheme="minorBidi"/>
          <w:rtl/>
        </w:rPr>
        <w:t xml:space="preserve"> שובר</w:t>
      </w:r>
      <w:r w:rsidR="00635755">
        <w:rPr>
          <w:rFonts w:asciiTheme="minorBidi" w:hAnsiTheme="minorBidi" w:hint="cs"/>
          <w:rtl/>
        </w:rPr>
        <w:t xml:space="preserve"> </w:t>
      </w:r>
      <w:r w:rsidR="00635755" w:rsidRPr="00635755">
        <w:rPr>
          <w:rFonts w:asciiTheme="minorBidi" w:hAnsiTheme="minorBidi" w:cs="Arial"/>
          <w:rtl/>
        </w:rPr>
        <w:t xml:space="preserve">אדם את החבית לאכול הימנה גרוגרות, </w:t>
      </w:r>
      <w:bookmarkStart w:id="13" w:name="_Hlk106200679"/>
      <w:r w:rsidR="00635755" w:rsidRPr="00635755">
        <w:rPr>
          <w:rFonts w:asciiTheme="minorBidi" w:hAnsiTheme="minorBidi" w:cs="Arial"/>
          <w:rtl/>
        </w:rPr>
        <w:t>ובלבד שלא יתכוין לעשות כלי</w:t>
      </w:r>
      <w:bookmarkEnd w:id="13"/>
      <w:r w:rsidR="00635755" w:rsidRPr="00635755">
        <w:rPr>
          <w:rFonts w:asciiTheme="minorBidi" w:hAnsiTheme="minorBidi" w:cs="Arial"/>
          <w:rtl/>
        </w:rPr>
        <w:t>.</w:t>
      </w:r>
      <w:r w:rsidRPr="005275DF">
        <w:rPr>
          <w:rFonts w:asciiTheme="minorBidi" w:hAnsiTheme="minorBidi"/>
          <w:rtl/>
        </w:rPr>
        <w:t xml:space="preserve"> ואין נוקבין מגופה</w:t>
      </w:r>
      <w:r w:rsidR="00AF6169" w:rsidRPr="005275DF">
        <w:rPr>
          <w:rStyle w:val="a9"/>
          <w:rFonts w:asciiTheme="minorBidi" w:hAnsiTheme="minorBidi"/>
          <w:rtl/>
        </w:rPr>
        <w:footnoteReference w:id="2205"/>
      </w:r>
      <w:r w:rsidRPr="005275DF">
        <w:rPr>
          <w:rFonts w:asciiTheme="minorBidi" w:hAnsiTheme="minorBidi"/>
          <w:rtl/>
        </w:rPr>
        <w:t xml:space="preserve"> של חבית - </w:t>
      </w:r>
      <w:r w:rsidRPr="005275DF">
        <w:rPr>
          <w:rFonts w:asciiTheme="minorBidi" w:hAnsiTheme="minorBidi"/>
          <w:u w:val="single"/>
          <w:rtl/>
        </w:rPr>
        <w:t>דברי רבי יהודה</w:t>
      </w:r>
      <w:r w:rsidRPr="005275DF">
        <w:rPr>
          <w:rFonts w:asciiTheme="minorBidi" w:hAnsiTheme="minorBidi"/>
          <w:rtl/>
        </w:rPr>
        <w:t xml:space="preserve">, </w:t>
      </w:r>
      <w:r w:rsidRPr="005275DF">
        <w:rPr>
          <w:rFonts w:asciiTheme="minorBidi" w:hAnsiTheme="minorBidi"/>
          <w:u w:val="single"/>
          <w:rtl/>
        </w:rPr>
        <w:t>וחכמים</w:t>
      </w:r>
      <w:r w:rsidRPr="005275DF">
        <w:rPr>
          <w:rFonts w:asciiTheme="minorBidi" w:hAnsiTheme="minorBidi"/>
          <w:rtl/>
        </w:rPr>
        <w:t xml:space="preserve"> מתירין</w:t>
      </w:r>
      <w:r w:rsidR="00AF6169" w:rsidRPr="005275DF">
        <w:rPr>
          <w:rStyle w:val="a9"/>
          <w:rFonts w:asciiTheme="minorBidi" w:hAnsiTheme="minorBidi"/>
          <w:rtl/>
        </w:rPr>
        <w:footnoteReference w:id="2206"/>
      </w:r>
      <w:r w:rsidRPr="005275DF">
        <w:rPr>
          <w:rFonts w:asciiTheme="minorBidi" w:hAnsiTheme="minorBidi"/>
          <w:rtl/>
        </w:rPr>
        <w:t>. ולא יקבנה מצדה</w:t>
      </w:r>
      <w:r w:rsidR="00AF6169" w:rsidRPr="005275DF">
        <w:rPr>
          <w:rFonts w:asciiTheme="minorBidi" w:hAnsiTheme="minorBidi"/>
          <w:rtl/>
        </w:rPr>
        <w:t xml:space="preserve">... </w:t>
      </w:r>
      <w:r w:rsidR="00635755">
        <w:rPr>
          <w:rFonts w:asciiTheme="minorBidi" w:hAnsiTheme="minorBidi" w:hint="cs"/>
          <w:rtl/>
        </w:rPr>
        <w:t xml:space="preserve">       </w:t>
      </w:r>
      <w:r w:rsidR="00AF6169" w:rsidRPr="005275DF">
        <w:rPr>
          <w:rFonts w:asciiTheme="minorBidi" w:hAnsiTheme="minorBidi"/>
          <w:u w:val="double"/>
          <w:rtl/>
        </w:rPr>
        <w:t>גמ':</w:t>
      </w:r>
      <w:r w:rsidR="00AF6169" w:rsidRPr="005275DF">
        <w:rPr>
          <w:rFonts w:asciiTheme="minorBidi" w:hAnsiTheme="minorBidi"/>
          <w:rtl/>
        </w:rPr>
        <w:t xml:space="preserve"> </w:t>
      </w:r>
      <w:r w:rsidR="00CC018B" w:rsidRPr="005275DF">
        <w:rPr>
          <w:rFonts w:asciiTheme="minorBidi" w:hAnsiTheme="minorBidi"/>
          <w:u w:val="single"/>
          <w:rtl/>
        </w:rPr>
        <w:t>בעו מיניה מרב ששת</w:t>
      </w:r>
      <w:r w:rsidR="00CC018B" w:rsidRPr="005275DF">
        <w:rPr>
          <w:rFonts w:asciiTheme="minorBidi" w:hAnsiTheme="minorBidi"/>
          <w:rtl/>
        </w:rPr>
        <w:t>: מהו למיברז</w:t>
      </w:r>
      <w:r w:rsidR="00CF04A1" w:rsidRPr="005275DF">
        <w:rPr>
          <w:rStyle w:val="a9"/>
          <w:rFonts w:asciiTheme="minorBidi" w:hAnsiTheme="minorBidi"/>
          <w:rtl/>
        </w:rPr>
        <w:footnoteReference w:id="2207"/>
      </w:r>
      <w:r w:rsidR="00CC018B" w:rsidRPr="005275DF">
        <w:rPr>
          <w:rFonts w:asciiTheme="minorBidi" w:hAnsiTheme="minorBidi"/>
          <w:rtl/>
        </w:rPr>
        <w:t xml:space="preserve"> חביתא בבורטיא</w:t>
      </w:r>
      <w:r w:rsidR="00CF04A1" w:rsidRPr="005275DF">
        <w:rPr>
          <w:rStyle w:val="a9"/>
          <w:rFonts w:asciiTheme="minorBidi" w:hAnsiTheme="minorBidi"/>
          <w:rtl/>
        </w:rPr>
        <w:footnoteReference w:id="2208"/>
      </w:r>
      <w:r w:rsidR="00CC018B" w:rsidRPr="005275DF">
        <w:rPr>
          <w:rFonts w:asciiTheme="minorBidi" w:hAnsiTheme="minorBidi"/>
          <w:rtl/>
        </w:rPr>
        <w:t xml:space="preserve"> בשבתא? לפיתחא קמיכוין ואסיר, או דילמא לעין יפה</w:t>
      </w:r>
      <w:r w:rsidR="00CF04A1" w:rsidRPr="005275DF">
        <w:rPr>
          <w:rStyle w:val="a9"/>
          <w:rFonts w:asciiTheme="minorBidi" w:hAnsiTheme="minorBidi"/>
          <w:rtl/>
        </w:rPr>
        <w:footnoteReference w:id="2209"/>
      </w:r>
      <w:r w:rsidR="00CC018B" w:rsidRPr="005275DF">
        <w:rPr>
          <w:rFonts w:asciiTheme="minorBidi" w:hAnsiTheme="minorBidi"/>
          <w:rtl/>
        </w:rPr>
        <w:t xml:space="preserve"> קמיכוין ושרי. אמר להו: לפיתחא קא מכוין ואסיר. מיתיבי, </w:t>
      </w:r>
      <w:r w:rsidR="00CC018B" w:rsidRPr="005275DF">
        <w:rPr>
          <w:rFonts w:asciiTheme="minorBidi" w:hAnsiTheme="minorBidi"/>
          <w:u w:val="single"/>
          <w:rtl/>
        </w:rPr>
        <w:t>רבן שמעון בן גמליאל אומר</w:t>
      </w:r>
      <w:r w:rsidR="00CC018B" w:rsidRPr="005275DF">
        <w:rPr>
          <w:rFonts w:asciiTheme="minorBidi" w:hAnsiTheme="minorBidi"/>
          <w:rtl/>
        </w:rPr>
        <w:t>: מביא אדם חבית של יין ומתיז ראשה</w:t>
      </w:r>
      <w:r w:rsidR="00CC018B" w:rsidRPr="005275DF">
        <w:rPr>
          <w:rStyle w:val="a9"/>
          <w:rFonts w:asciiTheme="minorBidi" w:hAnsiTheme="minorBidi"/>
          <w:rtl/>
        </w:rPr>
        <w:footnoteReference w:id="2210"/>
      </w:r>
      <w:r w:rsidR="00CC018B" w:rsidRPr="005275DF">
        <w:rPr>
          <w:rFonts w:asciiTheme="minorBidi" w:hAnsiTheme="minorBidi"/>
          <w:rtl/>
        </w:rPr>
        <w:t xml:space="preserve"> בסייף! התם ודאי לעין יפה קמיכוין</w:t>
      </w:r>
      <w:r w:rsidR="00CF04A1" w:rsidRPr="005275DF">
        <w:rPr>
          <w:rStyle w:val="a9"/>
          <w:rFonts w:asciiTheme="minorBidi" w:hAnsiTheme="minorBidi"/>
          <w:rtl/>
        </w:rPr>
        <w:footnoteReference w:id="2211"/>
      </w:r>
      <w:r w:rsidR="00CC018B" w:rsidRPr="005275DF">
        <w:rPr>
          <w:rFonts w:asciiTheme="minorBidi" w:hAnsiTheme="minorBidi"/>
          <w:rtl/>
        </w:rPr>
        <w:t>, הכא אם איתא דלעין יפה קמיכוין - לפתוחי מיפתח</w:t>
      </w:r>
      <w:r w:rsidR="00417077">
        <w:rPr>
          <w:rStyle w:val="a9"/>
          <w:rFonts w:asciiTheme="minorBidi" w:hAnsiTheme="minorBidi"/>
          <w:rtl/>
        </w:rPr>
        <w:footnoteReference w:id="2212"/>
      </w:r>
      <w:r w:rsidR="00CC018B" w:rsidRPr="005275DF">
        <w:rPr>
          <w:rFonts w:asciiTheme="minorBidi" w:hAnsiTheme="minorBidi"/>
          <w:rtl/>
        </w:rPr>
        <w:t xml:space="preserve">. אין נוקבין מגופה וכו' </w:t>
      </w:r>
      <w:r w:rsidR="00CC018B" w:rsidRPr="005275DF">
        <w:rPr>
          <w:rFonts w:asciiTheme="minorBidi" w:hAnsiTheme="minorBidi"/>
          <w:u w:val="single"/>
          <w:rtl/>
        </w:rPr>
        <w:t>אמר רב הונא:</w:t>
      </w:r>
      <w:r w:rsidR="00CC018B" w:rsidRPr="005275DF">
        <w:rPr>
          <w:rFonts w:asciiTheme="minorBidi" w:hAnsiTheme="minorBidi"/>
          <w:rtl/>
        </w:rPr>
        <w:t xml:space="preserve"> מחלוקת למעלה</w:t>
      </w:r>
      <w:r w:rsidR="00CF04A1" w:rsidRPr="005275DF">
        <w:rPr>
          <w:rStyle w:val="a9"/>
          <w:rFonts w:asciiTheme="minorBidi" w:hAnsiTheme="minorBidi"/>
          <w:rtl/>
        </w:rPr>
        <w:footnoteReference w:id="2213"/>
      </w:r>
      <w:r w:rsidR="00CC018B" w:rsidRPr="005275DF">
        <w:rPr>
          <w:rFonts w:asciiTheme="minorBidi" w:hAnsiTheme="minorBidi"/>
          <w:rtl/>
        </w:rPr>
        <w:t>, אבל מן הצד</w:t>
      </w:r>
      <w:r w:rsidR="00CF04A1" w:rsidRPr="005275DF">
        <w:rPr>
          <w:rStyle w:val="a9"/>
          <w:rFonts w:asciiTheme="minorBidi" w:hAnsiTheme="minorBidi"/>
          <w:rtl/>
        </w:rPr>
        <w:footnoteReference w:id="2214"/>
      </w:r>
      <w:r w:rsidR="00CC018B" w:rsidRPr="005275DF">
        <w:rPr>
          <w:rFonts w:asciiTheme="minorBidi" w:hAnsiTheme="minorBidi"/>
          <w:rtl/>
        </w:rPr>
        <w:t xml:space="preserve"> - דברי הכל אסור. והיינו דקתני לא יקבנה מצדה</w:t>
      </w:r>
      <w:r w:rsidR="00CF04A1" w:rsidRPr="005275DF">
        <w:rPr>
          <w:rStyle w:val="a9"/>
          <w:rFonts w:asciiTheme="minorBidi" w:hAnsiTheme="minorBidi"/>
          <w:rtl/>
        </w:rPr>
        <w:footnoteReference w:id="2215"/>
      </w:r>
      <w:r w:rsidR="00CC018B" w:rsidRPr="005275DF">
        <w:rPr>
          <w:rFonts w:asciiTheme="minorBidi" w:hAnsiTheme="minorBidi"/>
          <w:rtl/>
        </w:rPr>
        <w:t xml:space="preserve">. </w:t>
      </w:r>
      <w:r w:rsidR="00CC018B" w:rsidRPr="005275DF">
        <w:rPr>
          <w:rFonts w:asciiTheme="minorBidi" w:hAnsiTheme="minorBidi"/>
          <w:u w:val="single"/>
          <w:rtl/>
        </w:rPr>
        <w:t>ורב חסדא אמר:</w:t>
      </w:r>
      <w:r w:rsidR="00CC018B" w:rsidRPr="005275DF">
        <w:rPr>
          <w:rFonts w:asciiTheme="minorBidi" w:hAnsiTheme="minorBidi"/>
          <w:rtl/>
        </w:rPr>
        <w:t xml:space="preserve"> מחלוקת מן הצד</w:t>
      </w:r>
      <w:r w:rsidR="00CF04A1" w:rsidRPr="005275DF">
        <w:rPr>
          <w:rStyle w:val="a9"/>
          <w:rFonts w:asciiTheme="minorBidi" w:hAnsiTheme="minorBidi"/>
          <w:rtl/>
        </w:rPr>
        <w:footnoteReference w:id="2216"/>
      </w:r>
      <w:r w:rsidR="00CC018B" w:rsidRPr="005275DF">
        <w:rPr>
          <w:rFonts w:asciiTheme="minorBidi" w:hAnsiTheme="minorBidi"/>
          <w:rtl/>
        </w:rPr>
        <w:t xml:space="preserve">, אבל על גבה - דברי הכל מותר. והא דקתני לא יקבנה מצדה </w:t>
      </w:r>
      <w:r w:rsidR="00417077">
        <w:rPr>
          <w:rFonts w:asciiTheme="minorBidi" w:hAnsiTheme="minorBidi" w:hint="cs"/>
          <w:rtl/>
        </w:rPr>
        <w:t xml:space="preserve">- </w:t>
      </w:r>
      <w:r w:rsidR="00CC018B" w:rsidRPr="005275DF">
        <w:rPr>
          <w:rFonts w:asciiTheme="minorBidi" w:hAnsiTheme="minorBidi"/>
          <w:rtl/>
        </w:rPr>
        <w:t>התם בגופה דחבית.</w:t>
      </w:r>
      <w:r w:rsidR="00871017" w:rsidRPr="00871017">
        <w:rPr>
          <w:rFonts w:asciiTheme="minorBidi" w:hAnsiTheme="minorBidi" w:cs="Arial"/>
          <w:sz w:val="16"/>
          <w:szCs w:val="16"/>
          <w:rtl/>
        </w:rPr>
        <w:t xml:space="preserve"> </w:t>
      </w:r>
      <w:r w:rsidR="00871017">
        <w:rPr>
          <w:rFonts w:asciiTheme="minorBidi" w:hAnsiTheme="minorBidi" w:cs="Arial" w:hint="cs"/>
          <w:sz w:val="16"/>
          <w:szCs w:val="16"/>
          <w:rtl/>
        </w:rPr>
        <w:t>(</w:t>
      </w:r>
      <w:r w:rsidR="00871017" w:rsidRPr="00871017">
        <w:rPr>
          <w:rFonts w:asciiTheme="minorBidi" w:hAnsiTheme="minorBidi" w:cs="Arial"/>
          <w:sz w:val="16"/>
          <w:szCs w:val="16"/>
          <w:rtl/>
        </w:rPr>
        <w:t>ופסקו הרי"ף (סא:) והרא"ש (סי' ז) כרב הונא</w:t>
      </w:r>
      <w:r w:rsidR="00871017" w:rsidRPr="00871017">
        <w:rPr>
          <w:rFonts w:asciiTheme="minorBidi" w:hAnsiTheme="minorBidi" w:cs="Arial" w:hint="cs"/>
          <w:sz w:val="16"/>
          <w:szCs w:val="16"/>
          <w:rtl/>
        </w:rPr>
        <w:t>.</w:t>
      </w:r>
      <w:r w:rsidR="00871017" w:rsidRPr="00871017">
        <w:rPr>
          <w:rFonts w:asciiTheme="minorBidi" w:hAnsiTheme="minorBidi" w:cs="Arial"/>
          <w:sz w:val="16"/>
          <w:szCs w:val="16"/>
          <w:rtl/>
        </w:rPr>
        <w:t xml:space="preserve"> וכן פסק הרמב"ם בפכ"ג (ה"ב)</w:t>
      </w:r>
      <w:r w:rsidR="00871017" w:rsidRPr="00871017">
        <w:rPr>
          <w:rFonts w:asciiTheme="minorBidi" w:hAnsiTheme="minorBidi" w:cs="Arial" w:hint="cs"/>
          <w:sz w:val="16"/>
          <w:szCs w:val="16"/>
          <w:rtl/>
        </w:rPr>
        <w:t>.</w:t>
      </w:r>
      <w:r w:rsidR="00871017" w:rsidRPr="00871017">
        <w:rPr>
          <w:rFonts w:asciiTheme="minorBidi" w:hAnsiTheme="minorBidi" w:cs="Arial"/>
          <w:sz w:val="16"/>
          <w:szCs w:val="16"/>
          <w:rtl/>
        </w:rPr>
        <w:t xml:space="preserve"> ולפי זה צריך לומר דהא דבעו מרב ששת מהו למיברז בבורטיא בשבת ואסר להו אפילו למיברז</w:t>
      </w:r>
      <w:r w:rsidR="006071E0">
        <w:rPr>
          <w:rFonts w:asciiTheme="minorBidi" w:hAnsiTheme="minorBidi" w:cs="Arial" w:hint="cs"/>
          <w:sz w:val="16"/>
          <w:szCs w:val="16"/>
          <w:rtl/>
        </w:rPr>
        <w:t xml:space="preserve"> -</w:t>
      </w:r>
      <w:r w:rsidR="00871017" w:rsidRPr="00871017">
        <w:rPr>
          <w:rFonts w:asciiTheme="minorBidi" w:hAnsiTheme="minorBidi" w:cs="Arial"/>
          <w:sz w:val="16"/>
          <w:szCs w:val="16"/>
          <w:rtl/>
        </w:rPr>
        <w:t xml:space="preserve"> במגופה היא ואפילו הכי אסר</w:t>
      </w:r>
      <w:r w:rsidR="006071E0">
        <w:rPr>
          <w:rFonts w:asciiTheme="minorBidi" w:hAnsiTheme="minorBidi" w:cs="Arial" w:hint="cs"/>
          <w:sz w:val="16"/>
          <w:szCs w:val="16"/>
          <w:rtl/>
        </w:rPr>
        <w:t>,</w:t>
      </w:r>
      <w:r w:rsidR="00871017" w:rsidRPr="00871017">
        <w:rPr>
          <w:rFonts w:asciiTheme="minorBidi" w:hAnsiTheme="minorBidi" w:cs="Arial"/>
          <w:sz w:val="16"/>
          <w:szCs w:val="16"/>
          <w:rtl/>
        </w:rPr>
        <w:t xml:space="preserve"> משום דכיון דמן הצד היא ודאי לפיתחא מכוין</w:t>
      </w:r>
      <w:r w:rsidR="00871017" w:rsidRPr="00871017">
        <w:rPr>
          <w:rFonts w:asciiTheme="minorBidi" w:hAnsiTheme="minorBidi" w:cs="Arial" w:hint="cs"/>
          <w:sz w:val="16"/>
          <w:szCs w:val="16"/>
          <w:rtl/>
        </w:rPr>
        <w:t>,</w:t>
      </w:r>
      <w:r w:rsidR="00871017" w:rsidRPr="00871017">
        <w:rPr>
          <w:rFonts w:asciiTheme="minorBidi" w:hAnsiTheme="minorBidi" w:cs="Arial"/>
          <w:sz w:val="16"/>
          <w:szCs w:val="16"/>
          <w:rtl/>
        </w:rPr>
        <w:t xml:space="preserve"> דאי לעין יפה ליפתח מיפתח</w:t>
      </w:r>
      <w:r w:rsidR="00871017" w:rsidRPr="00871017">
        <w:rPr>
          <w:rFonts w:asciiTheme="minorBidi" w:hAnsiTheme="minorBidi" w:cs="Arial" w:hint="cs"/>
          <w:sz w:val="16"/>
          <w:szCs w:val="16"/>
          <w:rtl/>
        </w:rPr>
        <w:t>,</w:t>
      </w:r>
      <w:r w:rsidR="00871017" w:rsidRPr="00871017">
        <w:rPr>
          <w:rFonts w:asciiTheme="minorBidi" w:hAnsiTheme="minorBidi" w:cs="Arial"/>
          <w:sz w:val="16"/>
          <w:szCs w:val="16"/>
          <w:rtl/>
        </w:rPr>
        <w:t xml:space="preserve"> וכ</w:t>
      </w:r>
      <w:r w:rsidR="00871017">
        <w:rPr>
          <w:rFonts w:asciiTheme="minorBidi" w:hAnsiTheme="minorBidi" w:cs="Arial" w:hint="cs"/>
          <w:sz w:val="16"/>
          <w:szCs w:val="16"/>
          <w:rtl/>
        </w:rPr>
        <w:t xml:space="preserve">"כ רי"ו </w:t>
      </w:r>
      <w:r w:rsidR="00871017" w:rsidRPr="00871017">
        <w:rPr>
          <w:rFonts w:asciiTheme="minorBidi" w:hAnsiTheme="minorBidi" w:cs="Arial" w:hint="cs"/>
          <w:sz w:val="16"/>
          <w:szCs w:val="16"/>
          <w:rtl/>
        </w:rPr>
        <w:t>(</w:t>
      </w:r>
      <w:r w:rsidR="00871017" w:rsidRPr="00871017">
        <w:rPr>
          <w:rFonts w:asciiTheme="minorBidi" w:hAnsiTheme="minorBidi" w:cs="Arial"/>
          <w:sz w:val="16"/>
          <w:szCs w:val="16"/>
          <w:rtl/>
        </w:rPr>
        <w:t>ח</w:t>
      </w:r>
      <w:r w:rsidR="00871017" w:rsidRPr="00871017">
        <w:rPr>
          <w:rFonts w:asciiTheme="minorBidi" w:hAnsiTheme="minorBidi" w:cs="Arial" w:hint="cs"/>
          <w:sz w:val="16"/>
          <w:szCs w:val="16"/>
          <w:rtl/>
        </w:rPr>
        <w:t>"</w:t>
      </w:r>
      <w:r w:rsidR="00871017" w:rsidRPr="00871017">
        <w:rPr>
          <w:rFonts w:asciiTheme="minorBidi" w:hAnsiTheme="minorBidi" w:cs="Arial"/>
          <w:sz w:val="16"/>
          <w:szCs w:val="16"/>
          <w:rtl/>
        </w:rPr>
        <w:t>ח ני</w:t>
      </w:r>
      <w:r w:rsidR="00871017" w:rsidRPr="00871017">
        <w:rPr>
          <w:rFonts w:asciiTheme="minorBidi" w:hAnsiTheme="minorBidi" w:cs="Arial" w:hint="cs"/>
          <w:sz w:val="16"/>
          <w:szCs w:val="16"/>
          <w:rtl/>
        </w:rPr>
        <w:t>"</w:t>
      </w:r>
      <w:r w:rsidR="00871017" w:rsidRPr="00871017">
        <w:rPr>
          <w:rFonts w:asciiTheme="minorBidi" w:hAnsiTheme="minorBidi" w:cs="Arial"/>
          <w:sz w:val="16"/>
          <w:szCs w:val="16"/>
          <w:rtl/>
        </w:rPr>
        <w:t>ב עח.)</w:t>
      </w:r>
      <w:r w:rsidR="00871017" w:rsidRPr="00871017">
        <w:rPr>
          <w:rFonts w:asciiTheme="minorBidi" w:hAnsiTheme="minorBidi" w:cs="Arial" w:hint="cs"/>
          <w:sz w:val="16"/>
          <w:szCs w:val="16"/>
          <w:rtl/>
        </w:rPr>
        <w:t xml:space="preserve">, ב"י. וכתב עוד הב"י דהתוס' (מח: ד"ה וכי) </w:t>
      </w:r>
      <w:r w:rsidR="00871017">
        <w:rPr>
          <w:rFonts w:asciiTheme="minorBidi" w:hAnsiTheme="minorBidi" w:cs="Arial" w:hint="cs"/>
          <w:sz w:val="16"/>
          <w:szCs w:val="16"/>
          <w:rtl/>
        </w:rPr>
        <w:t xml:space="preserve">כתבו </w:t>
      </w:r>
      <w:r w:rsidR="00871017" w:rsidRPr="00871017">
        <w:rPr>
          <w:rFonts w:asciiTheme="minorBidi" w:hAnsiTheme="minorBidi" w:cs="Arial"/>
          <w:sz w:val="16"/>
          <w:szCs w:val="16"/>
          <w:rtl/>
        </w:rPr>
        <w:t xml:space="preserve">דהא דאסר למיברז חביתא </w:t>
      </w:r>
      <w:r w:rsidR="00871017">
        <w:rPr>
          <w:rFonts w:asciiTheme="minorBidi" w:hAnsiTheme="minorBidi" w:cs="Arial" w:hint="cs"/>
          <w:sz w:val="16"/>
          <w:szCs w:val="16"/>
          <w:rtl/>
        </w:rPr>
        <w:t>- ב</w:t>
      </w:r>
      <w:r w:rsidR="00871017" w:rsidRPr="00871017">
        <w:rPr>
          <w:rFonts w:asciiTheme="minorBidi" w:hAnsiTheme="minorBidi" w:cs="Arial"/>
          <w:sz w:val="16"/>
          <w:szCs w:val="16"/>
          <w:rtl/>
        </w:rPr>
        <w:t>חבית גופה משמע</w:t>
      </w:r>
      <w:r w:rsidR="00871017">
        <w:rPr>
          <w:rFonts w:asciiTheme="minorBidi" w:hAnsiTheme="minorBidi" w:cs="Arial" w:hint="cs"/>
          <w:sz w:val="16"/>
          <w:szCs w:val="16"/>
          <w:rtl/>
        </w:rPr>
        <w:t>, ולפיכך צריך לומר</w:t>
      </w:r>
      <w:r w:rsidR="00871017" w:rsidRPr="00871017">
        <w:rPr>
          <w:rFonts w:asciiTheme="minorBidi" w:hAnsiTheme="minorBidi" w:cs="Arial" w:hint="cs"/>
          <w:sz w:val="16"/>
          <w:szCs w:val="16"/>
          <w:rtl/>
        </w:rPr>
        <w:t xml:space="preserve"> </w:t>
      </w:r>
      <w:r w:rsidR="00871017">
        <w:rPr>
          <w:rFonts w:asciiTheme="minorBidi" w:hAnsiTheme="minorBidi" w:cs="Arial" w:hint="cs"/>
          <w:sz w:val="16"/>
          <w:szCs w:val="16"/>
          <w:rtl/>
        </w:rPr>
        <w:t>ד</w:t>
      </w:r>
      <w:r w:rsidR="00871017" w:rsidRPr="00871017">
        <w:rPr>
          <w:rFonts w:asciiTheme="minorBidi" w:hAnsiTheme="minorBidi" w:cs="Arial" w:hint="cs"/>
          <w:sz w:val="16"/>
          <w:szCs w:val="16"/>
          <w:rtl/>
        </w:rPr>
        <w:t>ס"ל כרב חסדא)</w:t>
      </w:r>
    </w:p>
    <w:p w14:paraId="3C4EE184" w14:textId="57A1E64C" w:rsidR="00635755" w:rsidRPr="00635755" w:rsidRDefault="00635755" w:rsidP="00434A6A">
      <w:pPr>
        <w:rPr>
          <w:rFonts w:asciiTheme="minorBidi" w:hAnsiTheme="minorBidi"/>
          <w:u w:val="single"/>
          <w:rtl/>
        </w:rPr>
      </w:pPr>
      <w:r w:rsidRPr="00635755">
        <w:rPr>
          <w:rFonts w:asciiTheme="minorBidi" w:hAnsiTheme="minorBidi"/>
          <w:u w:val="single"/>
          <w:rtl/>
        </w:rPr>
        <w:t xml:space="preserve">פתיחה או נקיבה של </w:t>
      </w:r>
      <w:r w:rsidRPr="00635755">
        <w:rPr>
          <w:rFonts w:asciiTheme="minorBidi" w:hAnsiTheme="minorBidi" w:hint="cs"/>
          <w:u w:val="single"/>
          <w:rtl/>
        </w:rPr>
        <w:t>מכסה ה</w:t>
      </w:r>
      <w:r w:rsidRPr="00635755">
        <w:rPr>
          <w:rFonts w:asciiTheme="minorBidi" w:hAnsiTheme="minorBidi"/>
          <w:u w:val="single"/>
          <w:rtl/>
        </w:rPr>
        <w:t>חבית</w:t>
      </w:r>
      <w:r w:rsidRPr="00635755">
        <w:rPr>
          <w:rFonts w:asciiTheme="minorBidi" w:hAnsiTheme="minorBidi" w:hint="cs"/>
          <w:u w:val="single"/>
          <w:rtl/>
        </w:rPr>
        <w:t>:</w:t>
      </w:r>
    </w:p>
    <w:p w14:paraId="58468E5C" w14:textId="22B910FD" w:rsidR="00094251" w:rsidRDefault="00094251" w:rsidP="00434A6A">
      <w:pPr>
        <w:pStyle w:val="aa"/>
        <w:numPr>
          <w:ilvl w:val="0"/>
          <w:numId w:val="21"/>
        </w:numPr>
        <w:rPr>
          <w:rFonts w:asciiTheme="minorBidi" w:hAnsiTheme="minorBidi" w:cs="Arial"/>
        </w:rPr>
      </w:pPr>
      <w:r w:rsidRPr="00094251">
        <w:rPr>
          <w:rFonts w:asciiTheme="minorBidi" w:hAnsiTheme="minorBidi" w:cs="Arial" w:hint="cs"/>
          <w:rtl/>
        </w:rPr>
        <w:t xml:space="preserve">טור- </w:t>
      </w:r>
      <w:r w:rsidRPr="00094251">
        <w:rPr>
          <w:rFonts w:asciiTheme="minorBidi" w:hAnsiTheme="minorBidi" w:cs="Arial"/>
          <w:rtl/>
        </w:rPr>
        <w:t>מותר להתיז ראש המגופה בסייף</w:t>
      </w:r>
      <w:r w:rsidR="00635755">
        <w:rPr>
          <w:rFonts w:asciiTheme="minorBidi" w:hAnsiTheme="minorBidi" w:cs="Arial" w:hint="cs"/>
          <w:rtl/>
        </w:rPr>
        <w:t>,</w:t>
      </w:r>
      <w:r w:rsidRPr="00094251">
        <w:rPr>
          <w:rFonts w:asciiTheme="minorBidi" w:hAnsiTheme="minorBidi" w:cs="Arial"/>
          <w:rtl/>
        </w:rPr>
        <w:t xml:space="preserve"> דלאו לפתח מכוין</w:t>
      </w:r>
      <w:r w:rsidR="00635755">
        <w:rPr>
          <w:rFonts w:asciiTheme="minorBidi" w:hAnsiTheme="minorBidi" w:cs="Arial" w:hint="cs"/>
          <w:rtl/>
        </w:rPr>
        <w:t>,</w:t>
      </w:r>
      <w:r w:rsidRPr="00094251">
        <w:rPr>
          <w:rFonts w:asciiTheme="minorBidi" w:hAnsiTheme="minorBidi" w:cs="Arial"/>
          <w:rtl/>
        </w:rPr>
        <w:t xml:space="preserve"> כיון שמסיר ראשה כולו</w:t>
      </w:r>
      <w:r w:rsidR="00635755">
        <w:rPr>
          <w:rFonts w:asciiTheme="minorBidi" w:hAnsiTheme="minorBidi" w:cs="Arial" w:hint="cs"/>
          <w:rtl/>
        </w:rPr>
        <w:t>.</w:t>
      </w:r>
      <w:r w:rsidRPr="00094251">
        <w:rPr>
          <w:rFonts w:asciiTheme="minorBidi" w:hAnsiTheme="minorBidi" w:cs="Arial"/>
          <w:rtl/>
        </w:rPr>
        <w:t xml:space="preserve"> אבל לנוקבה בצדה</w:t>
      </w:r>
      <w:r w:rsidR="00635755">
        <w:rPr>
          <w:rFonts w:asciiTheme="minorBidi" w:hAnsiTheme="minorBidi" w:cs="Arial" w:hint="cs"/>
          <w:rtl/>
        </w:rPr>
        <w:t>,</w:t>
      </w:r>
      <w:r w:rsidRPr="00094251">
        <w:rPr>
          <w:rFonts w:asciiTheme="minorBidi" w:hAnsiTheme="minorBidi" w:cs="Arial"/>
          <w:rtl/>
        </w:rPr>
        <w:t xml:space="preserve"> אפי' ברומח שעושה נקב גדול ואינו דומה לפתח </w:t>
      </w:r>
      <w:r w:rsidR="00635755">
        <w:rPr>
          <w:rFonts w:asciiTheme="minorBidi" w:hAnsiTheme="minorBidi" w:cs="Arial" w:hint="cs"/>
          <w:rtl/>
        </w:rPr>
        <w:t xml:space="preserve">- </w:t>
      </w:r>
      <w:r w:rsidRPr="00094251">
        <w:rPr>
          <w:rFonts w:asciiTheme="minorBidi" w:hAnsiTheme="minorBidi" w:cs="Arial"/>
          <w:rtl/>
        </w:rPr>
        <w:t>אסור</w:t>
      </w:r>
      <w:r w:rsidR="00635755">
        <w:rPr>
          <w:rFonts w:asciiTheme="minorBidi" w:hAnsiTheme="minorBidi" w:cs="Arial" w:hint="cs"/>
          <w:rtl/>
        </w:rPr>
        <w:t>,</w:t>
      </w:r>
      <w:r w:rsidRPr="00094251">
        <w:rPr>
          <w:rFonts w:asciiTheme="minorBidi" w:hAnsiTheme="minorBidi" w:cs="Arial"/>
          <w:rtl/>
        </w:rPr>
        <w:t xml:space="preserve"> דודאי לפתח מכוין כיון שאינו מסיר ראשה</w:t>
      </w:r>
      <w:r w:rsidR="00635755">
        <w:rPr>
          <w:rFonts w:asciiTheme="minorBidi" w:hAnsiTheme="minorBidi" w:cs="Arial" w:hint="cs"/>
          <w:rtl/>
        </w:rPr>
        <w:t>.</w:t>
      </w:r>
      <w:r w:rsidRPr="00094251">
        <w:rPr>
          <w:rFonts w:asciiTheme="minorBidi" w:hAnsiTheme="minorBidi" w:cs="Arial"/>
          <w:rtl/>
        </w:rPr>
        <w:t xml:space="preserve"> וה"מ בצדה אבל למעלה מותר לנוקבה</w:t>
      </w:r>
      <w:r w:rsidR="00635755">
        <w:rPr>
          <w:rFonts w:asciiTheme="minorBidi" w:hAnsiTheme="minorBidi" w:cs="Arial" w:hint="cs"/>
          <w:rtl/>
        </w:rPr>
        <w:t>,</w:t>
      </w:r>
      <w:r w:rsidRPr="00094251">
        <w:rPr>
          <w:rFonts w:asciiTheme="minorBidi" w:hAnsiTheme="minorBidi" w:cs="Arial"/>
          <w:rtl/>
        </w:rPr>
        <w:t xml:space="preserve"> דלאו לפתח מכוין</w:t>
      </w:r>
      <w:r w:rsidR="00635755">
        <w:rPr>
          <w:rFonts w:asciiTheme="minorBidi" w:hAnsiTheme="minorBidi" w:cs="Arial" w:hint="cs"/>
          <w:rtl/>
        </w:rPr>
        <w:t>,</w:t>
      </w:r>
      <w:r w:rsidRPr="00094251">
        <w:rPr>
          <w:rFonts w:asciiTheme="minorBidi" w:hAnsiTheme="minorBidi" w:cs="Arial"/>
          <w:rtl/>
        </w:rPr>
        <w:t xml:space="preserve"> שאין דרך לעשות פתח למעלה מפני עפר וצרורות שיפלו בה</w:t>
      </w:r>
      <w:r w:rsidR="00635755">
        <w:rPr>
          <w:rFonts w:asciiTheme="minorBidi" w:hAnsiTheme="minorBidi" w:cs="Arial" w:hint="cs"/>
          <w:rtl/>
        </w:rPr>
        <w:t>.</w:t>
      </w:r>
      <w:r w:rsidRPr="00094251">
        <w:rPr>
          <w:rFonts w:asciiTheme="minorBidi" w:hAnsiTheme="minorBidi" w:cs="Arial"/>
          <w:rtl/>
        </w:rPr>
        <w:t xml:space="preserve"> אבל בצדה אסור דלפתח מכוין כדפרישית</w:t>
      </w:r>
      <w:r>
        <w:rPr>
          <w:rFonts w:asciiTheme="minorBidi" w:hAnsiTheme="minorBidi" w:cs="Arial" w:hint="cs"/>
          <w:rtl/>
        </w:rPr>
        <w:t>.</w:t>
      </w:r>
      <w:r w:rsidRPr="00094251">
        <w:rPr>
          <w:rFonts w:asciiTheme="minorBidi" w:hAnsiTheme="minorBidi" w:cs="Arial"/>
          <w:rtl/>
        </w:rPr>
        <w:t xml:space="preserve"> </w:t>
      </w:r>
    </w:p>
    <w:p w14:paraId="3411D32A" w14:textId="04E1E1F7" w:rsidR="000B2D30" w:rsidRDefault="00AB08D4" w:rsidP="00434A6A">
      <w:pPr>
        <w:pStyle w:val="aa"/>
        <w:numPr>
          <w:ilvl w:val="0"/>
          <w:numId w:val="21"/>
        </w:numPr>
        <w:rPr>
          <w:rFonts w:asciiTheme="minorBidi" w:hAnsiTheme="minorBidi" w:cs="Arial"/>
        </w:rPr>
      </w:pPr>
      <w:r>
        <w:rPr>
          <w:rFonts w:asciiTheme="minorBidi" w:hAnsiTheme="minorBidi" w:cs="Arial" w:hint="cs"/>
          <w:rtl/>
        </w:rPr>
        <w:t xml:space="preserve">רמב"ם </w:t>
      </w:r>
      <w:r>
        <w:rPr>
          <w:rFonts w:asciiTheme="minorBidi" w:hAnsiTheme="minorBidi" w:cs="Arial" w:hint="cs"/>
          <w:sz w:val="16"/>
          <w:szCs w:val="16"/>
          <w:rtl/>
        </w:rPr>
        <w:t>(פכ"ג ה"ב)</w:t>
      </w:r>
      <w:r>
        <w:rPr>
          <w:rFonts w:asciiTheme="minorBidi" w:hAnsiTheme="minorBidi" w:cs="Arial" w:hint="cs"/>
          <w:rtl/>
        </w:rPr>
        <w:t xml:space="preserve">- </w:t>
      </w:r>
      <w:r w:rsidR="00635755" w:rsidRPr="00635755">
        <w:rPr>
          <w:rFonts w:asciiTheme="minorBidi" w:hAnsiTheme="minorBidi" w:cs="Arial"/>
          <w:rtl/>
        </w:rPr>
        <w:t>נוקבין מגופה של חבית להוציא ממנה יין</w:t>
      </w:r>
      <w:r>
        <w:rPr>
          <w:rFonts w:asciiTheme="minorBidi" w:hAnsiTheme="minorBidi" w:cs="Arial" w:hint="cs"/>
          <w:rtl/>
        </w:rPr>
        <w:t>,</w:t>
      </w:r>
      <w:r w:rsidR="00635755" w:rsidRPr="00635755">
        <w:rPr>
          <w:rFonts w:asciiTheme="minorBidi" w:hAnsiTheme="minorBidi" w:cs="Arial"/>
          <w:rtl/>
        </w:rPr>
        <w:t xml:space="preserve"> ובלבד שיקבנה מלמעלה</w:t>
      </w:r>
      <w:r>
        <w:rPr>
          <w:rFonts w:asciiTheme="minorBidi" w:hAnsiTheme="minorBidi" w:cs="Arial" w:hint="cs"/>
          <w:rtl/>
        </w:rPr>
        <w:t>,</w:t>
      </w:r>
      <w:r w:rsidR="00635755" w:rsidRPr="00635755">
        <w:rPr>
          <w:rFonts w:asciiTheme="minorBidi" w:hAnsiTheme="minorBidi" w:cs="Arial"/>
          <w:rtl/>
        </w:rPr>
        <w:t xml:space="preserve"> אבל מצדה אסור מפני שהוא כמתקן כל</w:t>
      </w:r>
      <w:r>
        <w:rPr>
          <w:rFonts w:asciiTheme="minorBidi" w:hAnsiTheme="minorBidi" w:cs="Arial" w:hint="cs"/>
          <w:rtl/>
        </w:rPr>
        <w:t>י.</w:t>
      </w:r>
      <w:r w:rsidR="00635755" w:rsidRPr="00635755">
        <w:rPr>
          <w:rFonts w:asciiTheme="minorBidi" w:hAnsiTheme="minorBidi" w:cs="Arial"/>
          <w:rtl/>
        </w:rPr>
        <w:t xml:space="preserve"> שובר אדם את החבית לאכול ממנה גרוגרות ובלבד שלא יתכוין לעשות כלי</w:t>
      </w:r>
      <w:r>
        <w:rPr>
          <w:rFonts w:asciiTheme="minorBidi" w:hAnsiTheme="minorBidi" w:cs="Arial" w:hint="cs"/>
          <w:rtl/>
        </w:rPr>
        <w:t>.</w:t>
      </w:r>
      <w:r w:rsidR="00635755" w:rsidRPr="00635755">
        <w:rPr>
          <w:rFonts w:asciiTheme="minorBidi" w:hAnsiTheme="minorBidi" w:cs="Arial"/>
          <w:rtl/>
        </w:rPr>
        <w:t xml:space="preserve"> ומביא אדם חבית של יין ומתיז את ראשה בסייף לפני האורחין ואינו חושש, שאין כוונתו אלא להראות נדיבות לבו.</w:t>
      </w:r>
      <w:r w:rsidR="000B2D30" w:rsidRPr="00866997">
        <w:rPr>
          <w:rFonts w:cs="Arial" w:hint="cs"/>
          <w:color w:val="E36C0A" w:themeColor="accent6" w:themeShade="BF"/>
          <w:rtl/>
        </w:rPr>
        <w:t xml:space="preserve"> </w:t>
      </w:r>
      <w:r w:rsidR="00866997" w:rsidRPr="00866997">
        <w:rPr>
          <w:rFonts w:asciiTheme="minorBidi" w:hAnsiTheme="minorBidi" w:cs="Arial" w:hint="cs"/>
          <w:color w:val="E36C0A" w:themeColor="accent6" w:themeShade="BF"/>
          <w:rtl/>
        </w:rPr>
        <w:t>(וכ"פ בשו"ע)</w:t>
      </w:r>
    </w:p>
    <w:p w14:paraId="2C3F0B77" w14:textId="035B81C4" w:rsidR="00C516FB" w:rsidRPr="00417077" w:rsidRDefault="00871017" w:rsidP="00434A6A">
      <w:pPr>
        <w:pStyle w:val="aa"/>
        <w:numPr>
          <w:ilvl w:val="0"/>
          <w:numId w:val="21"/>
        </w:numPr>
        <w:rPr>
          <w:rFonts w:asciiTheme="minorBidi" w:hAnsiTheme="minorBidi" w:cs="Arial"/>
        </w:rPr>
      </w:pPr>
      <w:r>
        <w:rPr>
          <w:rFonts w:asciiTheme="minorBidi" w:hAnsiTheme="minorBidi" w:cs="Arial" w:hint="cs"/>
          <w:rtl/>
        </w:rPr>
        <w:t>ר"</w:t>
      </w:r>
      <w:r w:rsidR="00C516FB">
        <w:rPr>
          <w:rFonts w:asciiTheme="minorBidi" w:hAnsiTheme="minorBidi" w:cs="Arial" w:hint="cs"/>
          <w:rtl/>
        </w:rPr>
        <w:t xml:space="preserve">ת </w:t>
      </w:r>
      <w:r w:rsidR="00C516FB" w:rsidRPr="00C516FB">
        <w:rPr>
          <w:rFonts w:asciiTheme="minorBidi" w:hAnsiTheme="minorBidi" w:cs="Arial"/>
          <w:sz w:val="16"/>
          <w:szCs w:val="16"/>
          <w:rtl/>
        </w:rPr>
        <w:t>(</w:t>
      </w:r>
      <w:r>
        <w:rPr>
          <w:rFonts w:asciiTheme="minorBidi" w:hAnsiTheme="minorBidi" w:cs="Arial" w:hint="cs"/>
          <w:sz w:val="16"/>
          <w:szCs w:val="16"/>
          <w:rtl/>
        </w:rPr>
        <w:t xml:space="preserve">בתוס' </w:t>
      </w:r>
      <w:r w:rsidR="00C516FB">
        <w:rPr>
          <w:rFonts w:asciiTheme="minorBidi" w:hAnsiTheme="minorBidi" w:cs="Arial" w:hint="cs"/>
          <w:sz w:val="16"/>
          <w:szCs w:val="16"/>
          <w:rtl/>
        </w:rPr>
        <w:t xml:space="preserve">שבת </w:t>
      </w:r>
      <w:r w:rsidR="00C516FB" w:rsidRPr="00C516FB">
        <w:rPr>
          <w:rFonts w:asciiTheme="minorBidi" w:hAnsiTheme="minorBidi" w:cs="Arial"/>
          <w:sz w:val="16"/>
          <w:szCs w:val="16"/>
          <w:rtl/>
        </w:rPr>
        <w:t>מח: ד"ה וכי מה)</w:t>
      </w:r>
      <w:r w:rsidR="00C516FB">
        <w:rPr>
          <w:rFonts w:asciiTheme="minorBidi" w:hAnsiTheme="minorBidi" w:cs="Arial" w:hint="cs"/>
          <w:rtl/>
        </w:rPr>
        <w:t xml:space="preserve">- </w:t>
      </w:r>
      <w:r w:rsidR="00FE78DB" w:rsidRPr="00FE78DB">
        <w:rPr>
          <w:rFonts w:asciiTheme="minorBidi" w:hAnsiTheme="minorBidi" w:cs="Arial"/>
          <w:rtl/>
        </w:rPr>
        <w:t>המגופה אינה מן החבית ואפילו אם היה עשוי נקב שבמגופה להכניס ולהוציא לא היה חייב חטאת לכך שרו רבנן</w:t>
      </w:r>
      <w:r>
        <w:rPr>
          <w:rStyle w:val="a9"/>
          <w:rFonts w:asciiTheme="minorBidi" w:hAnsiTheme="minorBidi" w:cs="Arial"/>
          <w:rtl/>
        </w:rPr>
        <w:footnoteReference w:id="2217"/>
      </w:r>
      <w:r w:rsidR="00C516FB">
        <w:rPr>
          <w:rFonts w:asciiTheme="minorBidi" w:hAnsiTheme="minorBidi" w:cs="Arial" w:hint="cs"/>
          <w:rtl/>
        </w:rPr>
        <w:t>.</w:t>
      </w:r>
    </w:p>
    <w:p w14:paraId="1F9B6BC0" w14:textId="2BB6154A" w:rsidR="004C7C95" w:rsidRPr="00871017" w:rsidRDefault="00B059A0" w:rsidP="00434A6A">
      <w:pPr>
        <w:pStyle w:val="aa"/>
        <w:numPr>
          <w:ilvl w:val="0"/>
          <w:numId w:val="21"/>
        </w:numPr>
        <w:rPr>
          <w:rFonts w:asciiTheme="minorBidi" w:hAnsiTheme="minorBidi" w:cs="Arial"/>
          <w:rtl/>
        </w:rPr>
      </w:pPr>
      <w:r w:rsidRPr="00B059A0">
        <w:rPr>
          <w:rFonts w:asciiTheme="minorBidi" w:hAnsiTheme="minorBidi" w:cs="Arial" w:hint="cs"/>
          <w:rtl/>
        </w:rPr>
        <w:t xml:space="preserve">תרוה"ד </w:t>
      </w:r>
      <w:r w:rsidRPr="000B2D30">
        <w:rPr>
          <w:rFonts w:asciiTheme="minorBidi" w:hAnsiTheme="minorBidi" w:cs="Arial" w:hint="cs"/>
          <w:sz w:val="16"/>
          <w:szCs w:val="16"/>
          <w:rtl/>
        </w:rPr>
        <w:t>(סי' סד)</w:t>
      </w:r>
      <w:r w:rsidR="000B2D30">
        <w:rPr>
          <w:rFonts w:asciiTheme="minorBidi" w:hAnsiTheme="minorBidi" w:cs="Arial" w:hint="cs"/>
          <w:rtl/>
        </w:rPr>
        <w:t xml:space="preserve">- </w:t>
      </w:r>
      <w:r w:rsidR="000B2D30" w:rsidRPr="000B2D30">
        <w:rPr>
          <w:rFonts w:asciiTheme="minorBidi" w:hAnsiTheme="minorBidi" w:cs="Arial"/>
          <w:rtl/>
        </w:rPr>
        <w:t>כתב א</w:t>
      </w:r>
      <w:r w:rsidR="000B2D30">
        <w:rPr>
          <w:rFonts w:asciiTheme="minorBidi" w:hAnsiTheme="minorBidi" w:cs="Arial" w:hint="cs"/>
          <w:rtl/>
        </w:rPr>
        <w:t>ו</w:t>
      </w:r>
      <w:r w:rsidR="000B2D30" w:rsidRPr="000B2D30">
        <w:rPr>
          <w:rFonts w:asciiTheme="minorBidi" w:hAnsiTheme="minorBidi" w:cs="Arial"/>
          <w:rtl/>
        </w:rPr>
        <w:t>"ז</w:t>
      </w:r>
      <w:r w:rsidR="00417077">
        <w:rPr>
          <w:rStyle w:val="a9"/>
          <w:rFonts w:asciiTheme="minorBidi" w:hAnsiTheme="minorBidi" w:cs="Arial"/>
          <w:rtl/>
        </w:rPr>
        <w:footnoteReference w:id="2218"/>
      </w:r>
      <w:r w:rsidR="000B2D30" w:rsidRPr="000B2D30">
        <w:rPr>
          <w:rFonts w:asciiTheme="minorBidi" w:hAnsiTheme="minorBidi" w:cs="Arial"/>
          <w:rtl/>
        </w:rPr>
        <w:t xml:space="preserve"> </w:t>
      </w:r>
      <w:r w:rsidR="000B2D30" w:rsidRPr="000B2D30">
        <w:rPr>
          <w:rFonts w:asciiTheme="minorBidi" w:hAnsiTheme="minorBidi" w:cs="Arial"/>
          <w:sz w:val="16"/>
          <w:szCs w:val="16"/>
          <w:rtl/>
        </w:rPr>
        <w:t>(ח"ב סי' עח אות יב)</w:t>
      </w:r>
      <w:r w:rsidR="000B2D30">
        <w:rPr>
          <w:rFonts w:asciiTheme="minorBidi" w:hAnsiTheme="minorBidi" w:cs="Arial" w:hint="cs"/>
          <w:rtl/>
        </w:rPr>
        <w:t xml:space="preserve"> </w:t>
      </w:r>
      <w:r w:rsidR="000B2D30" w:rsidRPr="000B2D30">
        <w:rPr>
          <w:rFonts w:asciiTheme="minorBidi" w:hAnsiTheme="minorBidi" w:cs="Arial"/>
          <w:rtl/>
        </w:rPr>
        <w:t xml:space="preserve">אהא דמתיז ראשו בסייף דחבית גדולה כזאת </w:t>
      </w:r>
      <w:r w:rsidR="000B2D30">
        <w:rPr>
          <w:rFonts w:asciiTheme="minorBidi" w:hAnsiTheme="minorBidi" w:cs="Arial" w:hint="cs"/>
          <w:sz w:val="16"/>
          <w:szCs w:val="16"/>
          <w:rtl/>
        </w:rPr>
        <w:t xml:space="preserve">{מ' סאה} </w:t>
      </w:r>
      <w:r w:rsidR="000B2D30" w:rsidRPr="000B2D30">
        <w:rPr>
          <w:rFonts w:asciiTheme="minorBidi" w:hAnsiTheme="minorBidi" w:cs="Arial"/>
          <w:rtl/>
        </w:rPr>
        <w:t>שייך בה בנין כמו בקרקע.</w:t>
      </w:r>
      <w:r w:rsidR="004C7C95" w:rsidRPr="00B059A0">
        <w:rPr>
          <w:rFonts w:asciiTheme="minorBidi" w:hAnsiTheme="minorBidi" w:cs="Arial"/>
          <w:rtl/>
        </w:rPr>
        <w:t xml:space="preserve"> </w:t>
      </w:r>
    </w:p>
    <w:p w14:paraId="3E20F5E3" w14:textId="77777777" w:rsidR="00B556BA" w:rsidRPr="005275DF" w:rsidRDefault="00B556BA" w:rsidP="00434A6A">
      <w:pPr>
        <w:rPr>
          <w:rFonts w:asciiTheme="minorBidi" w:hAnsiTheme="minorBidi"/>
          <w:rtl/>
        </w:rPr>
      </w:pPr>
      <w:r w:rsidRPr="005275DF">
        <w:rPr>
          <w:rFonts w:asciiTheme="minorBidi" w:hAnsiTheme="minorBidi"/>
          <w:b/>
          <w:bCs/>
          <w:sz w:val="32"/>
          <w:szCs w:val="28"/>
          <w:u w:val="single"/>
          <w:rtl/>
        </w:rPr>
        <w:t xml:space="preserve">שו"ע: </w:t>
      </w:r>
    </w:p>
    <w:p w14:paraId="1185D0FF" w14:textId="08A2FC87" w:rsidR="00B3737F" w:rsidRPr="005275DF" w:rsidRDefault="00B3737F" w:rsidP="00434A6A">
      <w:pPr>
        <w:rPr>
          <w:rFonts w:asciiTheme="minorBidi" w:hAnsiTheme="minorBidi"/>
          <w:rtl/>
        </w:rPr>
      </w:pPr>
      <w:r w:rsidRPr="005275DF">
        <w:rPr>
          <w:rFonts w:asciiTheme="minorBidi" w:hAnsiTheme="minorBidi"/>
          <w:rtl/>
        </w:rPr>
        <w:t xml:space="preserve">מותר להתיז </w:t>
      </w:r>
      <w:r w:rsidR="00F7354A" w:rsidRPr="005275DF">
        <w:rPr>
          <w:rFonts w:asciiTheme="minorBidi" w:hAnsiTheme="minorBidi"/>
          <w:rtl/>
        </w:rPr>
        <w:t>ראש החבית</w:t>
      </w:r>
      <w:r w:rsidR="00844264" w:rsidRPr="005275DF">
        <w:rPr>
          <w:rStyle w:val="a9"/>
          <w:rFonts w:asciiTheme="minorBidi" w:hAnsiTheme="minorBidi"/>
          <w:rtl/>
        </w:rPr>
        <w:footnoteReference w:id="2219"/>
      </w:r>
      <w:r w:rsidR="00F7354A" w:rsidRPr="005275DF">
        <w:rPr>
          <w:rFonts w:asciiTheme="minorBidi" w:hAnsiTheme="minorBidi"/>
          <w:rtl/>
        </w:rPr>
        <w:t xml:space="preserve"> בסייף</w:t>
      </w:r>
      <w:r w:rsidR="00871017">
        <w:rPr>
          <w:rFonts w:asciiTheme="minorBidi" w:hAnsiTheme="minorBidi" w:hint="cs"/>
          <w:rtl/>
        </w:rPr>
        <w:t>,</w:t>
      </w:r>
      <w:r w:rsidR="00F7354A" w:rsidRPr="005275DF">
        <w:rPr>
          <w:rFonts w:asciiTheme="minorBidi" w:hAnsiTheme="minorBidi"/>
          <w:rtl/>
        </w:rPr>
        <w:t xml:space="preserve"> דלאו לפתח מכוין כיון שמסיר ראשה</w:t>
      </w:r>
      <w:r w:rsidR="00871017">
        <w:rPr>
          <w:rFonts w:asciiTheme="minorBidi" w:hAnsiTheme="minorBidi" w:hint="cs"/>
          <w:rtl/>
        </w:rPr>
        <w:t>.</w:t>
      </w:r>
      <w:r w:rsidR="00F7354A" w:rsidRPr="005275DF">
        <w:rPr>
          <w:rFonts w:asciiTheme="minorBidi" w:hAnsiTheme="minorBidi"/>
          <w:rtl/>
        </w:rPr>
        <w:t xml:space="preserve"> אבל לנקבה בצדה,</w:t>
      </w:r>
      <w:r w:rsidRPr="005275DF">
        <w:rPr>
          <w:rFonts w:asciiTheme="minorBidi" w:hAnsiTheme="minorBidi"/>
          <w:rtl/>
        </w:rPr>
        <w:t xml:space="preserve"> בין</w:t>
      </w:r>
      <w:r w:rsidR="00F7354A" w:rsidRPr="005275DF">
        <w:rPr>
          <w:rFonts w:asciiTheme="minorBidi" w:hAnsiTheme="minorBidi"/>
          <w:rtl/>
        </w:rPr>
        <w:t xml:space="preserve"> של חבית בין של מגופה אסור אפילו ברומח שעושה נקב גדול</w:t>
      </w:r>
      <w:r w:rsidRPr="005275DF">
        <w:rPr>
          <w:rFonts w:asciiTheme="minorBidi" w:hAnsiTheme="minorBidi"/>
          <w:rtl/>
        </w:rPr>
        <w:t xml:space="preserve"> ואינו דומה לפתח</w:t>
      </w:r>
      <w:r w:rsidR="00E25E02">
        <w:rPr>
          <w:rFonts w:asciiTheme="minorBidi" w:hAnsiTheme="minorBidi" w:hint="cs"/>
          <w:rtl/>
        </w:rPr>
        <w:t>,</w:t>
      </w:r>
      <w:r w:rsidRPr="005275DF">
        <w:rPr>
          <w:rFonts w:asciiTheme="minorBidi" w:hAnsiTheme="minorBidi"/>
          <w:rtl/>
        </w:rPr>
        <w:t xml:space="preserve"> דכיון דהוי מצדה ודאי לפתח מ</w:t>
      </w:r>
      <w:r w:rsidR="00F7354A" w:rsidRPr="005275DF">
        <w:rPr>
          <w:rFonts w:asciiTheme="minorBidi" w:hAnsiTheme="minorBidi"/>
          <w:rtl/>
        </w:rPr>
        <w:t>כוין. וליקוב המגופה למעלה מותר</w:t>
      </w:r>
      <w:r w:rsidR="001C772B" w:rsidRPr="005275DF">
        <w:rPr>
          <w:rStyle w:val="a9"/>
          <w:rFonts w:asciiTheme="minorBidi" w:hAnsiTheme="minorBidi"/>
          <w:rtl/>
        </w:rPr>
        <w:footnoteReference w:id="2220"/>
      </w:r>
      <w:r w:rsidR="00E25E02">
        <w:rPr>
          <w:rFonts w:asciiTheme="minorBidi" w:hAnsiTheme="minorBidi" w:hint="cs"/>
          <w:rtl/>
        </w:rPr>
        <w:t>,</w:t>
      </w:r>
      <w:r w:rsidR="00F7354A" w:rsidRPr="005275DF">
        <w:rPr>
          <w:rFonts w:asciiTheme="minorBidi" w:hAnsiTheme="minorBidi"/>
          <w:rtl/>
        </w:rPr>
        <w:t xml:space="preserve"> דלאו לפתח מכוין</w:t>
      </w:r>
      <w:r w:rsidRPr="005275DF">
        <w:rPr>
          <w:rFonts w:asciiTheme="minorBidi" w:hAnsiTheme="minorBidi"/>
          <w:rtl/>
        </w:rPr>
        <w:t xml:space="preserve"> שאין דרך לעשות פתח למעלה אלא נוטל כל המגופה. </w:t>
      </w:r>
    </w:p>
    <w:p w14:paraId="55AF7DB5" w14:textId="77777777" w:rsidR="00B3737F" w:rsidRPr="005275DF" w:rsidRDefault="00B3737F" w:rsidP="00434A6A">
      <w:pPr>
        <w:rPr>
          <w:rFonts w:asciiTheme="minorBidi" w:hAnsiTheme="minorBidi"/>
          <w:rtl/>
        </w:rPr>
      </w:pPr>
    </w:p>
    <w:p w14:paraId="48767600" w14:textId="3E3648C3" w:rsidR="00B3737F" w:rsidRPr="005275DF" w:rsidRDefault="00B3737F" w:rsidP="00434A6A">
      <w:pPr>
        <w:pStyle w:val="2"/>
        <w:rPr>
          <w:rFonts w:asciiTheme="minorBidi" w:hAnsiTheme="minorBidi" w:cstheme="minorBidi"/>
          <w:rtl/>
        </w:rPr>
      </w:pPr>
      <w:r w:rsidRPr="005275DF">
        <w:rPr>
          <w:rFonts w:asciiTheme="minorBidi" w:hAnsiTheme="minorBidi" w:cstheme="minorBidi"/>
          <w:rtl/>
        </w:rPr>
        <w:t>סעיף ז</w:t>
      </w:r>
      <w:r w:rsidR="009E5400" w:rsidRPr="005275DF">
        <w:rPr>
          <w:rFonts w:asciiTheme="minorBidi" w:hAnsiTheme="minorBidi" w:cstheme="minorBidi"/>
          <w:rtl/>
        </w:rPr>
        <w:t xml:space="preserve">: </w:t>
      </w:r>
      <w:r w:rsidR="00345524" w:rsidRPr="005275DF">
        <w:rPr>
          <w:rFonts w:asciiTheme="minorBidi" w:hAnsiTheme="minorBidi" w:cstheme="minorBidi"/>
          <w:rtl/>
        </w:rPr>
        <w:t>התרה/חיתוך/הפקעה</w:t>
      </w:r>
      <w:r w:rsidR="00F92C57">
        <w:rPr>
          <w:rFonts w:asciiTheme="minorBidi" w:hAnsiTheme="minorBidi" w:cstheme="minorBidi" w:hint="cs"/>
          <w:rtl/>
        </w:rPr>
        <w:t>/שבירה/הסרה</w:t>
      </w:r>
      <w:r w:rsidR="00345524" w:rsidRPr="005275DF">
        <w:rPr>
          <w:rFonts w:asciiTheme="minorBidi" w:hAnsiTheme="minorBidi" w:cstheme="minorBidi"/>
          <w:rtl/>
        </w:rPr>
        <w:t xml:space="preserve"> של חותמות</w:t>
      </w:r>
      <w:r w:rsidR="00F92C57">
        <w:rPr>
          <w:rFonts w:asciiTheme="minorBidi" w:hAnsiTheme="minorBidi" w:cstheme="minorBidi" w:hint="cs"/>
          <w:rtl/>
        </w:rPr>
        <w:t>/פותחות/יתדות</w:t>
      </w:r>
      <w:r w:rsidR="00345524" w:rsidRPr="005275DF">
        <w:rPr>
          <w:rFonts w:asciiTheme="minorBidi" w:hAnsiTheme="minorBidi" w:cstheme="minorBidi"/>
          <w:rtl/>
        </w:rPr>
        <w:t xml:space="preserve"> </w:t>
      </w:r>
      <w:r w:rsidR="00AE30EF">
        <w:rPr>
          <w:rFonts w:asciiTheme="minorBidi" w:hAnsiTheme="minorBidi" w:cstheme="minorBidi" w:hint="cs"/>
          <w:rtl/>
        </w:rPr>
        <w:t>ה</w:t>
      </w:r>
      <w:r w:rsidR="00345524" w:rsidRPr="005275DF">
        <w:rPr>
          <w:rFonts w:asciiTheme="minorBidi" w:hAnsiTheme="minorBidi" w:cstheme="minorBidi"/>
          <w:rtl/>
        </w:rPr>
        <w:t>כלים</w:t>
      </w:r>
      <w:r w:rsidR="006342C6" w:rsidRPr="005275DF">
        <w:rPr>
          <w:rFonts w:asciiTheme="minorBidi" w:hAnsiTheme="minorBidi" w:cstheme="minorBidi"/>
          <w:rtl/>
        </w:rPr>
        <w:t>.</w:t>
      </w:r>
      <w:r w:rsidR="00F92C57">
        <w:rPr>
          <w:rFonts w:asciiTheme="minorBidi" w:hAnsiTheme="minorBidi" w:cstheme="minorBidi" w:hint="cs"/>
          <w:rtl/>
        </w:rPr>
        <w:t xml:space="preserve"> </w:t>
      </w:r>
    </w:p>
    <w:p w14:paraId="0399B166" w14:textId="245E477B" w:rsidR="009E5400" w:rsidRPr="005275DF" w:rsidRDefault="009E5400" w:rsidP="00434A6A">
      <w:pPr>
        <w:rPr>
          <w:rFonts w:asciiTheme="minorBidi" w:hAnsiTheme="minorBidi"/>
          <w:rtl/>
        </w:rPr>
      </w:pPr>
      <w:r w:rsidRPr="005275DF">
        <w:rPr>
          <w:rFonts w:asciiTheme="minorBidi" w:hAnsiTheme="minorBidi"/>
          <w:b/>
          <w:bCs/>
          <w:rtl/>
        </w:rPr>
        <w:t xml:space="preserve">ביצה </w:t>
      </w:r>
      <w:r w:rsidR="00C45A60">
        <w:rPr>
          <w:rFonts w:asciiTheme="minorBidi" w:hAnsiTheme="minorBidi" w:hint="cs"/>
          <w:b/>
          <w:bCs/>
          <w:sz w:val="16"/>
          <w:szCs w:val="16"/>
          <w:rtl/>
        </w:rPr>
        <w:t xml:space="preserve">(פ' המביא כדי יין) </w:t>
      </w:r>
      <w:r w:rsidRPr="005275DF">
        <w:rPr>
          <w:rFonts w:asciiTheme="minorBidi" w:hAnsiTheme="minorBidi"/>
          <w:b/>
          <w:bCs/>
          <w:rtl/>
        </w:rPr>
        <w:t xml:space="preserve">לא ע"ב: </w:t>
      </w:r>
      <w:r w:rsidRPr="005275DF">
        <w:rPr>
          <w:rFonts w:asciiTheme="minorBidi" w:hAnsiTheme="minorBidi"/>
          <w:u w:val="single"/>
          <w:rtl/>
        </w:rPr>
        <w:t>אמר שמואל</w:t>
      </w:r>
      <w:r w:rsidRPr="005275DF">
        <w:rPr>
          <w:rFonts w:asciiTheme="minorBidi" w:hAnsiTheme="minorBidi"/>
          <w:rtl/>
        </w:rPr>
        <w:t>: חותמות שבקרקע</w:t>
      </w:r>
      <w:r w:rsidR="00412FD8" w:rsidRPr="005275DF">
        <w:rPr>
          <w:rStyle w:val="a9"/>
          <w:rFonts w:asciiTheme="minorBidi" w:hAnsiTheme="minorBidi"/>
          <w:rtl/>
        </w:rPr>
        <w:footnoteReference w:id="2221"/>
      </w:r>
      <w:r w:rsidRPr="005275DF">
        <w:rPr>
          <w:rFonts w:asciiTheme="minorBidi" w:hAnsiTheme="minorBidi"/>
          <w:rtl/>
        </w:rPr>
        <w:t xml:space="preserve"> מתיר</w:t>
      </w:r>
      <w:r w:rsidR="00412FD8" w:rsidRPr="005275DF">
        <w:rPr>
          <w:rStyle w:val="a9"/>
          <w:rFonts w:asciiTheme="minorBidi" w:hAnsiTheme="minorBidi"/>
          <w:rtl/>
        </w:rPr>
        <w:footnoteReference w:id="2222"/>
      </w:r>
      <w:r w:rsidRPr="005275DF">
        <w:rPr>
          <w:rFonts w:asciiTheme="minorBidi" w:hAnsiTheme="minorBidi"/>
          <w:rtl/>
        </w:rPr>
        <w:t>, אבל לא מפקיע</w:t>
      </w:r>
      <w:r w:rsidR="00412FD8" w:rsidRPr="005275DF">
        <w:rPr>
          <w:rStyle w:val="a9"/>
          <w:rFonts w:asciiTheme="minorBidi" w:hAnsiTheme="minorBidi"/>
          <w:rtl/>
        </w:rPr>
        <w:footnoteReference w:id="2223"/>
      </w:r>
      <w:r w:rsidRPr="005275DF">
        <w:rPr>
          <w:rFonts w:asciiTheme="minorBidi" w:hAnsiTheme="minorBidi"/>
          <w:rtl/>
        </w:rPr>
        <w:t xml:space="preserve"> ולא חותך</w:t>
      </w:r>
      <w:r w:rsidR="00412FD8" w:rsidRPr="005275DF">
        <w:rPr>
          <w:rStyle w:val="a9"/>
          <w:rFonts w:asciiTheme="minorBidi" w:hAnsiTheme="minorBidi"/>
          <w:rtl/>
        </w:rPr>
        <w:footnoteReference w:id="2224"/>
      </w:r>
      <w:r w:rsidRPr="005275DF">
        <w:rPr>
          <w:rFonts w:asciiTheme="minorBidi" w:hAnsiTheme="minorBidi"/>
          <w:rtl/>
        </w:rPr>
        <w:t>. שבכלים</w:t>
      </w:r>
      <w:r w:rsidR="00412FD8" w:rsidRPr="005275DF">
        <w:rPr>
          <w:rStyle w:val="a9"/>
          <w:rFonts w:asciiTheme="minorBidi" w:hAnsiTheme="minorBidi"/>
          <w:rtl/>
        </w:rPr>
        <w:footnoteReference w:id="2225"/>
      </w:r>
      <w:r w:rsidRPr="005275DF">
        <w:rPr>
          <w:rFonts w:asciiTheme="minorBidi" w:hAnsiTheme="minorBidi"/>
          <w:rtl/>
        </w:rPr>
        <w:t xml:space="preserve"> - מתיר ומפקיע וחותך.</w:t>
      </w:r>
      <w:r w:rsidR="00412FD8" w:rsidRPr="005275DF">
        <w:rPr>
          <w:rFonts w:asciiTheme="minorBidi" w:hAnsiTheme="minorBidi"/>
          <w:rtl/>
        </w:rPr>
        <w:t xml:space="preserve"> אחד שבת ואחד יום טוב.</w:t>
      </w:r>
    </w:p>
    <w:p w14:paraId="0F611023" w14:textId="1972185F" w:rsidR="00A25F2E" w:rsidRPr="00A25F2E" w:rsidRDefault="00A25F2E" w:rsidP="00434A6A">
      <w:pPr>
        <w:rPr>
          <w:rFonts w:asciiTheme="minorBidi" w:hAnsiTheme="minorBidi"/>
          <w:sz w:val="16"/>
          <w:szCs w:val="16"/>
          <w:rtl/>
        </w:rPr>
      </w:pPr>
      <w:r w:rsidRPr="005275DF">
        <w:rPr>
          <w:rFonts w:asciiTheme="minorBidi" w:hAnsiTheme="minorBidi"/>
          <w:b/>
          <w:bCs/>
          <w:rtl/>
        </w:rPr>
        <w:t xml:space="preserve">ערובין </w:t>
      </w:r>
      <w:r>
        <w:rPr>
          <w:rFonts w:asciiTheme="minorBidi" w:hAnsiTheme="minorBidi" w:hint="cs"/>
          <w:b/>
          <w:bCs/>
          <w:sz w:val="16"/>
          <w:szCs w:val="16"/>
          <w:rtl/>
        </w:rPr>
        <w:t xml:space="preserve">(פ' בכל מערבין) </w:t>
      </w:r>
      <w:r w:rsidRPr="005275DF">
        <w:rPr>
          <w:rFonts w:asciiTheme="minorBidi" w:hAnsiTheme="minorBidi"/>
          <w:b/>
          <w:bCs/>
          <w:rtl/>
        </w:rPr>
        <w:t xml:space="preserve">לד ע"ב: </w:t>
      </w:r>
      <w:r w:rsidRPr="005275DF">
        <w:rPr>
          <w:rFonts w:asciiTheme="minorBidi" w:hAnsiTheme="minorBidi"/>
          <w:u w:val="double"/>
          <w:rtl/>
        </w:rPr>
        <w:t>משנה:</w:t>
      </w:r>
      <w:r w:rsidRPr="005275DF">
        <w:rPr>
          <w:rFonts w:asciiTheme="minorBidi" w:hAnsiTheme="minorBidi"/>
          <w:rtl/>
        </w:rPr>
        <w:t xml:space="preserve"> נתנו במגדל ואבד המפתח</w:t>
      </w:r>
      <w:r w:rsidRPr="005275DF">
        <w:rPr>
          <w:rStyle w:val="a9"/>
          <w:rFonts w:asciiTheme="minorBidi" w:hAnsiTheme="minorBidi"/>
          <w:rtl/>
        </w:rPr>
        <w:footnoteReference w:id="2226"/>
      </w:r>
      <w:r w:rsidRPr="005275DF">
        <w:rPr>
          <w:rFonts w:asciiTheme="minorBidi" w:hAnsiTheme="minorBidi"/>
          <w:rtl/>
        </w:rPr>
        <w:t xml:space="preserve"> - הרי זה עירוב, </w:t>
      </w:r>
      <w:r w:rsidRPr="005275DF">
        <w:rPr>
          <w:rFonts w:asciiTheme="minorBidi" w:hAnsiTheme="minorBidi"/>
          <w:u w:val="single"/>
          <w:rtl/>
        </w:rPr>
        <w:t>רבי אליעזר אומר</w:t>
      </w:r>
      <w:r w:rsidRPr="005275DF">
        <w:rPr>
          <w:rFonts w:asciiTheme="minorBidi" w:hAnsiTheme="minorBidi"/>
          <w:rtl/>
        </w:rPr>
        <w:t xml:space="preserve">: אם אינו יודע שהמפתח במקומו - אינו עירוב.         </w:t>
      </w:r>
      <w:r w:rsidRPr="005275DF">
        <w:rPr>
          <w:rFonts w:asciiTheme="minorBidi" w:hAnsiTheme="minorBidi"/>
          <w:u w:val="double"/>
          <w:rtl/>
        </w:rPr>
        <w:t>גמ':</w:t>
      </w:r>
      <w:r w:rsidRPr="005275DF">
        <w:rPr>
          <w:rFonts w:asciiTheme="minorBidi" w:hAnsiTheme="minorBidi"/>
          <w:rtl/>
        </w:rPr>
        <w:t xml:space="preserve"> ואמאי</w:t>
      </w:r>
      <w:r w:rsidRPr="005275DF">
        <w:rPr>
          <w:rStyle w:val="a9"/>
          <w:rFonts w:asciiTheme="minorBidi" w:hAnsiTheme="minorBidi"/>
          <w:rtl/>
        </w:rPr>
        <w:footnoteReference w:id="2227"/>
      </w:r>
      <w:r w:rsidRPr="005275DF">
        <w:rPr>
          <w:rFonts w:asciiTheme="minorBidi" w:hAnsiTheme="minorBidi"/>
          <w:rtl/>
        </w:rPr>
        <w:t xml:space="preserve">? הוא במקום אחד ועירובו במקום אחר הוא! </w:t>
      </w:r>
      <w:r w:rsidRPr="005275DF">
        <w:rPr>
          <w:rFonts w:asciiTheme="minorBidi" w:hAnsiTheme="minorBidi"/>
          <w:u w:val="single"/>
          <w:rtl/>
        </w:rPr>
        <w:t>רב ושמואל דאמרי תרוייהו</w:t>
      </w:r>
      <w:r w:rsidRPr="005275DF">
        <w:rPr>
          <w:rFonts w:asciiTheme="minorBidi" w:hAnsiTheme="minorBidi"/>
          <w:rtl/>
        </w:rPr>
        <w:t>: הכא במגדל של לבנים עסקינן</w:t>
      </w:r>
      <w:r w:rsidRPr="005275DF">
        <w:rPr>
          <w:rStyle w:val="a9"/>
          <w:rFonts w:asciiTheme="minorBidi" w:hAnsiTheme="minorBidi"/>
          <w:rtl/>
        </w:rPr>
        <w:footnoteReference w:id="2228"/>
      </w:r>
      <w:r w:rsidRPr="005275DF">
        <w:rPr>
          <w:rFonts w:asciiTheme="minorBidi" w:hAnsiTheme="minorBidi"/>
          <w:rtl/>
        </w:rPr>
        <w:t xml:space="preserve">... </w:t>
      </w:r>
      <w:r>
        <w:rPr>
          <w:rFonts w:asciiTheme="minorBidi" w:hAnsiTheme="minorBidi" w:hint="cs"/>
          <w:sz w:val="14"/>
          <w:szCs w:val="14"/>
          <w:rtl/>
        </w:rPr>
        <w:t>(לה.)</w:t>
      </w:r>
      <w:r w:rsidRPr="005275DF">
        <w:rPr>
          <w:rFonts w:asciiTheme="minorBidi" w:hAnsiTheme="minorBidi"/>
          <w:rtl/>
        </w:rPr>
        <w:t xml:space="preserve"> </w:t>
      </w:r>
      <w:r w:rsidRPr="005275DF">
        <w:rPr>
          <w:rFonts w:asciiTheme="minorBidi" w:hAnsiTheme="minorBidi"/>
          <w:u w:val="single"/>
          <w:rtl/>
        </w:rPr>
        <w:t>רבה ורב יוסף דאמרי תרוייהו</w:t>
      </w:r>
      <w:r w:rsidRPr="005275DF">
        <w:rPr>
          <w:rFonts w:asciiTheme="minorBidi" w:hAnsiTheme="minorBidi"/>
          <w:rtl/>
        </w:rPr>
        <w:t>: הכא במגדל של עץ עסקינן; דמר סבר: כלי הוא, ואין בנין בכלים ואין סתירה בכלים</w:t>
      </w:r>
      <w:r w:rsidRPr="005275DF">
        <w:rPr>
          <w:rStyle w:val="a9"/>
          <w:rFonts w:asciiTheme="minorBidi" w:hAnsiTheme="minorBidi"/>
          <w:rtl/>
        </w:rPr>
        <w:footnoteReference w:id="2229"/>
      </w:r>
      <w:r w:rsidRPr="005275DF">
        <w:rPr>
          <w:rFonts w:asciiTheme="minorBidi" w:hAnsiTheme="minorBidi"/>
          <w:rtl/>
        </w:rPr>
        <w:t>. ומר סבר</w:t>
      </w:r>
      <w:r>
        <w:rPr>
          <w:rFonts w:asciiTheme="minorBidi" w:hAnsiTheme="minorBidi" w:hint="cs"/>
          <w:rtl/>
        </w:rPr>
        <w:t>: אהל הוא..</w:t>
      </w:r>
      <w:r w:rsidRPr="00316A33">
        <w:rPr>
          <w:rFonts w:asciiTheme="minorBidi" w:hAnsiTheme="minorBidi" w:cs="Arial"/>
          <w:rtl/>
        </w:rPr>
        <w:t>.</w:t>
      </w:r>
      <w:r>
        <w:rPr>
          <w:rFonts w:asciiTheme="minorBidi" w:hAnsiTheme="minorBidi" w:hint="cs"/>
          <w:rtl/>
        </w:rPr>
        <w:t xml:space="preserve"> </w:t>
      </w:r>
      <w:r w:rsidRPr="00220941">
        <w:rPr>
          <w:rFonts w:asciiTheme="minorBidi" w:hAnsiTheme="minorBidi" w:cs="Arial"/>
          <w:u w:val="single"/>
          <w:rtl/>
        </w:rPr>
        <w:t>אביי ורבא דאמרי תרוייהו</w:t>
      </w:r>
      <w:r w:rsidRPr="00220941">
        <w:rPr>
          <w:rFonts w:asciiTheme="minorBidi" w:hAnsiTheme="minorBidi" w:cs="Arial"/>
          <w:rtl/>
        </w:rPr>
        <w:t>: במנעול וקטיר במתנא</w:t>
      </w:r>
      <w:r>
        <w:rPr>
          <w:rStyle w:val="a9"/>
          <w:rFonts w:asciiTheme="minorBidi" w:hAnsiTheme="minorBidi" w:cs="Arial"/>
          <w:rtl/>
        </w:rPr>
        <w:footnoteReference w:id="2230"/>
      </w:r>
      <w:r w:rsidRPr="00220941">
        <w:rPr>
          <w:rFonts w:asciiTheme="minorBidi" w:hAnsiTheme="minorBidi" w:cs="Arial"/>
          <w:rtl/>
        </w:rPr>
        <w:t xml:space="preserve"> עסקינן, ובעי סכינא למיפסקיה</w:t>
      </w:r>
      <w:r>
        <w:rPr>
          <w:rStyle w:val="a9"/>
          <w:rFonts w:asciiTheme="minorBidi" w:hAnsiTheme="minorBidi" w:cs="Arial"/>
          <w:rtl/>
        </w:rPr>
        <w:footnoteReference w:id="2231"/>
      </w:r>
      <w:r w:rsidRPr="00220941">
        <w:rPr>
          <w:rFonts w:asciiTheme="minorBidi" w:hAnsiTheme="minorBidi" w:cs="Arial"/>
          <w:rtl/>
        </w:rPr>
        <w:t>.</w:t>
      </w:r>
      <w:r>
        <w:rPr>
          <w:rFonts w:asciiTheme="minorBidi" w:hAnsiTheme="minorBidi" w:hint="cs"/>
          <w:rtl/>
        </w:rPr>
        <w:t xml:space="preserve"> </w:t>
      </w:r>
      <w:r>
        <w:rPr>
          <w:rFonts w:asciiTheme="minorBidi" w:hAnsiTheme="minorBidi" w:hint="cs"/>
          <w:sz w:val="16"/>
          <w:szCs w:val="16"/>
          <w:rtl/>
        </w:rPr>
        <w:t>(</w:t>
      </w:r>
      <w:r w:rsidRPr="00A25F2E">
        <w:rPr>
          <w:rFonts w:asciiTheme="minorBidi" w:hAnsiTheme="minorBidi" w:hint="cs"/>
          <w:sz w:val="16"/>
          <w:szCs w:val="16"/>
          <w:rtl/>
        </w:rPr>
        <w:t>ו</w:t>
      </w:r>
      <w:r w:rsidRPr="00A25F2E">
        <w:rPr>
          <w:rFonts w:asciiTheme="minorBidi" w:hAnsiTheme="minorBidi" w:cs="Arial"/>
          <w:sz w:val="16"/>
          <w:szCs w:val="16"/>
          <w:rtl/>
        </w:rPr>
        <w:t>כתב הרא"ש (סי' ה) דמשמע מהכא דהא דאמרינן חותמות שבכלים מתיר ומפקיע וחותך היינו דוקא כעין קשירה של מיתנא וכיוצא בה</w:t>
      </w:r>
      <w:r w:rsidRPr="00A25F2E">
        <w:rPr>
          <w:rFonts w:asciiTheme="minorBidi" w:hAnsiTheme="minorBidi" w:cs="Arial" w:hint="cs"/>
          <w:sz w:val="16"/>
          <w:szCs w:val="16"/>
          <w:rtl/>
        </w:rPr>
        <w:t>,</w:t>
      </w:r>
      <w:r w:rsidRPr="00A25F2E">
        <w:rPr>
          <w:rFonts w:asciiTheme="minorBidi" w:hAnsiTheme="minorBidi" w:cs="Arial"/>
          <w:sz w:val="16"/>
          <w:szCs w:val="16"/>
          <w:rtl/>
        </w:rPr>
        <w:t xml:space="preserve"> אבל פותחת של עץ ושל מתכת אסור להפקיע ולשבר דבכלי נמי שייך בנין גמור וסתירה גמורה</w:t>
      </w:r>
      <w:r>
        <w:rPr>
          <w:rFonts w:asciiTheme="minorBidi" w:hAnsiTheme="minorBidi" w:cs="Arial" w:hint="cs"/>
          <w:sz w:val="16"/>
          <w:szCs w:val="16"/>
          <w:rtl/>
        </w:rPr>
        <w:t>.</w:t>
      </w:r>
      <w:r w:rsidRPr="00A25F2E">
        <w:rPr>
          <w:rFonts w:asciiTheme="minorBidi" w:hAnsiTheme="minorBidi" w:cs="Arial"/>
          <w:sz w:val="16"/>
          <w:szCs w:val="16"/>
          <w:rtl/>
        </w:rPr>
        <w:t xml:space="preserve"> וכן כתבו התוספות שם (ד"ה בעי) ובפרק חבית (קמו. ד"ה מתיר)</w:t>
      </w:r>
      <w:r w:rsidRPr="00A25F2E">
        <w:rPr>
          <w:rFonts w:asciiTheme="minorBidi" w:hAnsiTheme="minorBidi" w:cs="Arial" w:hint="cs"/>
          <w:sz w:val="16"/>
          <w:szCs w:val="16"/>
          <w:rtl/>
        </w:rPr>
        <w:t>,</w:t>
      </w:r>
      <w:r w:rsidRPr="00A25F2E">
        <w:rPr>
          <w:rFonts w:asciiTheme="minorBidi" w:hAnsiTheme="minorBidi" w:cs="Arial"/>
          <w:sz w:val="16"/>
          <w:szCs w:val="16"/>
          <w:rtl/>
        </w:rPr>
        <w:t xml:space="preserve"> וכן כתב המרדכי בפרק חבית (סי' תלח)</w:t>
      </w:r>
      <w:r>
        <w:rPr>
          <w:rFonts w:asciiTheme="minorBidi" w:hAnsiTheme="minorBidi" w:cs="Arial" w:hint="cs"/>
          <w:sz w:val="16"/>
          <w:szCs w:val="16"/>
          <w:rtl/>
        </w:rPr>
        <w:t>, ב"י)</w:t>
      </w:r>
    </w:p>
    <w:p w14:paraId="00507446" w14:textId="137574BC" w:rsidR="00AE30EF" w:rsidRPr="00AE30EF" w:rsidRDefault="00AE30EF" w:rsidP="00434A6A">
      <w:pPr>
        <w:rPr>
          <w:rFonts w:asciiTheme="minorBidi" w:hAnsiTheme="minorBidi"/>
          <w:u w:val="single"/>
          <w:rtl/>
        </w:rPr>
      </w:pPr>
      <w:r w:rsidRPr="00AE30EF">
        <w:rPr>
          <w:rFonts w:asciiTheme="minorBidi" w:hAnsiTheme="minorBidi"/>
          <w:u w:val="single"/>
          <w:rtl/>
        </w:rPr>
        <w:t xml:space="preserve">התרה/חיתוך/הפקעה של חותמות </w:t>
      </w:r>
      <w:r w:rsidRPr="00AE30EF">
        <w:rPr>
          <w:rFonts w:asciiTheme="minorBidi" w:hAnsiTheme="minorBidi" w:hint="cs"/>
          <w:u w:val="single"/>
          <w:rtl/>
        </w:rPr>
        <w:t>ה</w:t>
      </w:r>
      <w:r w:rsidRPr="00AE30EF">
        <w:rPr>
          <w:rFonts w:asciiTheme="minorBidi" w:hAnsiTheme="minorBidi"/>
          <w:u w:val="single"/>
          <w:rtl/>
        </w:rPr>
        <w:t>כלים</w:t>
      </w:r>
      <w:r>
        <w:rPr>
          <w:rFonts w:asciiTheme="minorBidi" w:hAnsiTheme="minorBidi" w:hint="cs"/>
          <w:sz w:val="16"/>
          <w:szCs w:val="16"/>
          <w:u w:val="single"/>
          <w:rtl/>
        </w:rPr>
        <w:t xml:space="preserve"> (חוט שמשמש כמנעול)</w:t>
      </w:r>
      <w:r w:rsidRPr="00AE30EF">
        <w:rPr>
          <w:rFonts w:asciiTheme="minorBidi" w:hAnsiTheme="minorBidi" w:hint="cs"/>
          <w:u w:val="single"/>
          <w:rtl/>
        </w:rPr>
        <w:t>:</w:t>
      </w:r>
    </w:p>
    <w:p w14:paraId="64061359" w14:textId="24A42427" w:rsidR="00C45A60" w:rsidRDefault="00094251" w:rsidP="00434A6A">
      <w:pPr>
        <w:pStyle w:val="aa"/>
        <w:numPr>
          <w:ilvl w:val="0"/>
          <w:numId w:val="21"/>
        </w:numPr>
        <w:rPr>
          <w:rFonts w:asciiTheme="minorBidi" w:hAnsiTheme="minorBidi" w:cs="Arial"/>
        </w:rPr>
      </w:pPr>
      <w:r>
        <w:rPr>
          <w:rFonts w:asciiTheme="minorBidi" w:hAnsiTheme="minorBidi" w:cs="Arial" w:hint="cs"/>
          <w:rtl/>
        </w:rPr>
        <w:t xml:space="preserve">טור- </w:t>
      </w:r>
      <w:r w:rsidRPr="00094251">
        <w:rPr>
          <w:rFonts w:asciiTheme="minorBidi" w:hAnsiTheme="minorBidi" w:cs="Arial"/>
          <w:rtl/>
        </w:rPr>
        <w:t>חותמות שבכלים</w:t>
      </w:r>
      <w:r w:rsidR="00AE30EF">
        <w:rPr>
          <w:rFonts w:asciiTheme="minorBidi" w:hAnsiTheme="minorBidi" w:cs="Arial" w:hint="cs"/>
          <w:rtl/>
        </w:rPr>
        <w:t>,</w:t>
      </w:r>
      <w:r w:rsidRPr="00094251">
        <w:rPr>
          <w:rFonts w:asciiTheme="minorBidi" w:hAnsiTheme="minorBidi" w:cs="Arial"/>
          <w:rtl/>
        </w:rPr>
        <w:t xml:space="preserve"> כגון שידה תיבה ומגדל שהכיסוי שלהם קשור בהם בחבל </w:t>
      </w:r>
      <w:r w:rsidR="00C45A60">
        <w:rPr>
          <w:rFonts w:asciiTheme="minorBidi" w:hAnsiTheme="minorBidi" w:cs="Arial" w:hint="cs"/>
          <w:rtl/>
        </w:rPr>
        <w:t xml:space="preserve">- </w:t>
      </w:r>
      <w:r w:rsidRPr="00094251">
        <w:rPr>
          <w:rFonts w:asciiTheme="minorBidi" w:hAnsiTheme="minorBidi" w:cs="Arial"/>
          <w:rtl/>
        </w:rPr>
        <w:t>יכול להתירו או לחותכו בסכין או להתיר קליעתו</w:t>
      </w:r>
      <w:r w:rsidR="00C45A60">
        <w:rPr>
          <w:rFonts w:asciiTheme="minorBidi" w:hAnsiTheme="minorBidi" w:cs="Arial" w:hint="cs"/>
          <w:rtl/>
        </w:rPr>
        <w:t>.</w:t>
      </w:r>
      <w:r w:rsidRPr="00094251">
        <w:rPr>
          <w:rFonts w:asciiTheme="minorBidi" w:hAnsiTheme="minorBidi" w:cs="Arial"/>
          <w:rtl/>
        </w:rPr>
        <w:t xml:space="preserve"> </w:t>
      </w:r>
      <w:r w:rsidR="00A310FC" w:rsidRPr="00A310FC">
        <w:rPr>
          <w:rFonts w:asciiTheme="minorBidi" w:hAnsiTheme="minorBidi" w:hint="cs"/>
          <w:color w:val="E36C0A" w:themeColor="accent6" w:themeShade="BF"/>
          <w:rtl/>
        </w:rPr>
        <w:t>(וכ"פ בשו"ע)</w:t>
      </w:r>
    </w:p>
    <w:p w14:paraId="4EB90326" w14:textId="1BCEADC1" w:rsidR="00AE30EF" w:rsidRPr="00AE30EF" w:rsidRDefault="00AE30EF" w:rsidP="00434A6A">
      <w:pPr>
        <w:ind w:left="360"/>
        <w:rPr>
          <w:rFonts w:asciiTheme="minorBidi" w:hAnsiTheme="minorBidi" w:cs="Arial"/>
          <w:u w:val="dotted"/>
        </w:rPr>
      </w:pPr>
      <w:r w:rsidRPr="00AE30EF">
        <w:rPr>
          <w:rFonts w:asciiTheme="minorBidi" w:hAnsiTheme="minorBidi" w:cs="Arial" w:hint="cs"/>
          <w:u w:val="dotted"/>
          <w:rtl/>
        </w:rPr>
        <w:t xml:space="preserve">האם הדין כן אף אם </w:t>
      </w:r>
      <w:r>
        <w:rPr>
          <w:rFonts w:asciiTheme="minorBidi" w:hAnsiTheme="minorBidi" w:cs="Arial" w:hint="cs"/>
          <w:u w:val="dotted"/>
          <w:rtl/>
        </w:rPr>
        <w:t>המנעול</w:t>
      </w:r>
      <w:r w:rsidRPr="00AE30EF">
        <w:rPr>
          <w:rFonts w:asciiTheme="minorBidi" w:hAnsiTheme="minorBidi" w:cs="Arial" w:hint="cs"/>
          <w:u w:val="dotted"/>
          <w:rtl/>
        </w:rPr>
        <w:t xml:space="preserve"> עשוי מעץ/מתכת</w:t>
      </w:r>
      <w:r w:rsidR="00A310FC">
        <w:rPr>
          <w:rFonts w:asciiTheme="minorBidi" w:hAnsiTheme="minorBidi" w:cs="Arial" w:hint="cs"/>
          <w:u w:val="dotted"/>
          <w:rtl/>
        </w:rPr>
        <w:t xml:space="preserve"> וצריך לשוברו</w:t>
      </w:r>
      <w:r w:rsidRPr="00AE30EF">
        <w:rPr>
          <w:rFonts w:asciiTheme="minorBidi" w:hAnsiTheme="minorBidi" w:cs="Arial" w:hint="cs"/>
          <w:u w:val="dotted"/>
          <w:rtl/>
        </w:rPr>
        <w:t>:</w:t>
      </w:r>
    </w:p>
    <w:p w14:paraId="6CA58998" w14:textId="1A7276CB" w:rsidR="00217B27" w:rsidRDefault="00217B27" w:rsidP="00434A6A">
      <w:pPr>
        <w:pStyle w:val="aa"/>
        <w:numPr>
          <w:ilvl w:val="0"/>
          <w:numId w:val="21"/>
        </w:numPr>
        <w:rPr>
          <w:rFonts w:asciiTheme="minorBidi" w:hAnsiTheme="minorBidi" w:cs="Arial"/>
        </w:rPr>
      </w:pPr>
      <w:r>
        <w:rPr>
          <w:rFonts w:asciiTheme="minorBidi" w:hAnsiTheme="minorBidi" w:cs="Arial" w:hint="cs"/>
          <w:rtl/>
        </w:rPr>
        <w:t xml:space="preserve">יראים </w:t>
      </w:r>
      <w:r>
        <w:rPr>
          <w:rFonts w:asciiTheme="minorBidi" w:hAnsiTheme="minorBidi" w:cs="Arial" w:hint="cs"/>
          <w:sz w:val="16"/>
          <w:szCs w:val="16"/>
          <w:rtl/>
        </w:rPr>
        <w:t>(סי' רעד, הביאו</w:t>
      </w:r>
      <w:r w:rsidR="000B08F1">
        <w:rPr>
          <w:rFonts w:asciiTheme="minorBidi" w:hAnsiTheme="minorBidi" w:cs="Arial" w:hint="cs"/>
          <w:sz w:val="16"/>
          <w:szCs w:val="16"/>
          <w:rtl/>
        </w:rPr>
        <w:t xml:space="preserve"> חלק מדבריו</w:t>
      </w:r>
      <w:r>
        <w:rPr>
          <w:rFonts w:asciiTheme="minorBidi" w:hAnsiTheme="minorBidi" w:cs="Arial" w:hint="cs"/>
          <w:sz w:val="16"/>
          <w:szCs w:val="16"/>
          <w:rtl/>
        </w:rPr>
        <w:t xml:space="preserve"> הסמ"ג [לאוין סה אות לה]</w:t>
      </w:r>
      <w:r w:rsidRPr="00217B27">
        <w:rPr>
          <w:rFonts w:asciiTheme="minorBidi" w:hAnsiTheme="minorBidi" w:cs="Arial" w:hint="cs"/>
          <w:sz w:val="16"/>
          <w:szCs w:val="16"/>
          <w:rtl/>
        </w:rPr>
        <w:t xml:space="preserve"> </w:t>
      </w:r>
      <w:r>
        <w:rPr>
          <w:rFonts w:asciiTheme="minorBidi" w:hAnsiTheme="minorBidi" w:cs="Arial" w:hint="cs"/>
          <w:sz w:val="16"/>
          <w:szCs w:val="16"/>
          <w:rtl/>
        </w:rPr>
        <w:t>הגה"מ [פכ"ג אות א] וסמ"ק [סי' רפב ד"ה והסותר על])</w:t>
      </w:r>
      <w:r>
        <w:rPr>
          <w:rFonts w:asciiTheme="minorBidi" w:hAnsiTheme="minorBidi" w:cs="Arial" w:hint="cs"/>
          <w:rtl/>
        </w:rPr>
        <w:t>-</w:t>
      </w:r>
      <w:r w:rsidRPr="00D30B97">
        <w:rPr>
          <w:rtl/>
        </w:rPr>
        <w:t xml:space="preserve"> </w:t>
      </w:r>
      <w:r w:rsidRPr="00D30B97">
        <w:rPr>
          <w:rFonts w:asciiTheme="minorBidi" w:hAnsiTheme="minorBidi" w:cs="Arial"/>
          <w:rtl/>
        </w:rPr>
        <w:t xml:space="preserve">אם נאבד מפתח תיבה והוא צריך לפותחה בשבת </w:t>
      </w:r>
      <w:r>
        <w:rPr>
          <w:rFonts w:asciiTheme="minorBidi" w:hAnsiTheme="minorBidi" w:cs="Arial" w:hint="cs"/>
          <w:rtl/>
        </w:rPr>
        <w:t xml:space="preserve">- </w:t>
      </w:r>
      <w:r w:rsidRPr="00D30B97">
        <w:rPr>
          <w:rFonts w:asciiTheme="minorBidi" w:hAnsiTheme="minorBidi" w:cs="Arial"/>
          <w:rtl/>
        </w:rPr>
        <w:t>ישבר לכתחילה ואין בדבר חשש איסור שאין בנין וסתירה בכלים</w:t>
      </w:r>
      <w:r>
        <w:rPr>
          <w:rStyle w:val="a9"/>
          <w:rFonts w:asciiTheme="minorBidi" w:hAnsiTheme="minorBidi" w:cs="Arial"/>
          <w:rtl/>
        </w:rPr>
        <w:footnoteReference w:id="2232"/>
      </w:r>
      <w:r w:rsidRPr="00D30B97">
        <w:rPr>
          <w:rFonts w:asciiTheme="minorBidi" w:hAnsiTheme="minorBidi" w:cs="Arial"/>
          <w:rtl/>
        </w:rPr>
        <w:t xml:space="preserve"> כדתניא בתחילת כל הכלים </w:t>
      </w:r>
      <w:r>
        <w:rPr>
          <w:rFonts w:asciiTheme="minorBidi" w:hAnsiTheme="minorBidi" w:cs="Arial" w:hint="cs"/>
          <w:rtl/>
        </w:rPr>
        <w:t>(</w:t>
      </w:r>
      <w:r w:rsidRPr="00D30B97">
        <w:rPr>
          <w:rFonts w:asciiTheme="minorBidi" w:hAnsiTheme="minorBidi" w:cs="Arial"/>
          <w:rtl/>
        </w:rPr>
        <w:t>קכב</w:t>
      </w:r>
      <w:r>
        <w:rPr>
          <w:rFonts w:asciiTheme="minorBidi" w:hAnsiTheme="minorBidi" w:cs="Arial" w:hint="cs"/>
          <w:rtl/>
        </w:rPr>
        <w:t>:)</w:t>
      </w:r>
      <w:r w:rsidRPr="00D30B97">
        <w:rPr>
          <w:rFonts w:asciiTheme="minorBidi" w:hAnsiTheme="minorBidi" w:cs="Arial"/>
          <w:rtl/>
        </w:rPr>
        <w:t xml:space="preserve"> דלת של שידה תיבה ומגדל נוטלין ומפרש רבא טעמא משום דקסבר אין בנין בכלים ואין סתירה בכלים</w:t>
      </w:r>
      <w:r>
        <w:rPr>
          <w:rFonts w:asciiTheme="minorBidi" w:hAnsiTheme="minorBidi" w:cs="Arial" w:hint="cs"/>
          <w:rtl/>
        </w:rPr>
        <w:t>,</w:t>
      </w:r>
      <w:r w:rsidRPr="00D30B97">
        <w:rPr>
          <w:rFonts w:asciiTheme="minorBidi" w:hAnsiTheme="minorBidi" w:cs="Arial"/>
          <w:rtl/>
        </w:rPr>
        <w:t xml:space="preserve"> דתנן בחבית שנשברה </w:t>
      </w:r>
      <w:r>
        <w:rPr>
          <w:rFonts w:asciiTheme="minorBidi" w:hAnsiTheme="minorBidi" w:cs="Arial" w:hint="cs"/>
          <w:rtl/>
        </w:rPr>
        <w:t>(</w:t>
      </w:r>
      <w:r w:rsidRPr="00D30B97">
        <w:rPr>
          <w:rFonts w:asciiTheme="minorBidi" w:hAnsiTheme="minorBidi" w:cs="Arial"/>
          <w:rtl/>
        </w:rPr>
        <w:t>קמו</w:t>
      </w:r>
      <w:r>
        <w:rPr>
          <w:rFonts w:asciiTheme="minorBidi" w:hAnsiTheme="minorBidi" w:cs="Arial" w:hint="cs"/>
          <w:rtl/>
        </w:rPr>
        <w:t>.)</w:t>
      </w:r>
      <w:r w:rsidRPr="00D30B97">
        <w:rPr>
          <w:rFonts w:asciiTheme="minorBidi" w:hAnsiTheme="minorBidi" w:cs="Arial"/>
          <w:rtl/>
        </w:rPr>
        <w:t xml:space="preserve"> שובר אדם את החבית לאכול ממנה גרוגרות</w:t>
      </w:r>
      <w:r>
        <w:rPr>
          <w:rFonts w:asciiTheme="minorBidi" w:hAnsiTheme="minorBidi" w:cs="Arial" w:hint="cs"/>
          <w:rtl/>
        </w:rPr>
        <w:t>.</w:t>
      </w:r>
      <w:r w:rsidRPr="00D30B97">
        <w:rPr>
          <w:rFonts w:asciiTheme="minorBidi" w:hAnsiTheme="minorBidi" w:cs="Arial"/>
          <w:rtl/>
        </w:rPr>
        <w:t xml:space="preserve"> ותניא חותמות שבכלים מתיר ומפקיע וחותך</w:t>
      </w:r>
      <w:r>
        <w:rPr>
          <w:rFonts w:asciiTheme="minorBidi" w:hAnsiTheme="minorBidi" w:cs="Arial" w:hint="cs"/>
          <w:rtl/>
        </w:rPr>
        <w:t>.</w:t>
      </w:r>
    </w:p>
    <w:p w14:paraId="3443F9ED" w14:textId="098B7939" w:rsidR="000B08F1" w:rsidRDefault="000B08F1" w:rsidP="00434A6A">
      <w:pPr>
        <w:pStyle w:val="aa"/>
        <w:numPr>
          <w:ilvl w:val="0"/>
          <w:numId w:val="21"/>
        </w:numPr>
        <w:rPr>
          <w:rFonts w:asciiTheme="minorBidi" w:hAnsiTheme="minorBidi" w:cs="Arial"/>
        </w:rPr>
      </w:pPr>
      <w:r>
        <w:rPr>
          <w:rFonts w:asciiTheme="minorBidi" w:hAnsiTheme="minorBidi" w:cs="Arial" w:hint="cs"/>
          <w:rtl/>
        </w:rPr>
        <w:t xml:space="preserve">או"ז </w:t>
      </w:r>
      <w:r>
        <w:rPr>
          <w:rFonts w:asciiTheme="minorBidi" w:hAnsiTheme="minorBidi" w:cs="Arial" w:hint="cs"/>
          <w:sz w:val="16"/>
          <w:szCs w:val="16"/>
          <w:rtl/>
        </w:rPr>
        <w:t>(ח"ב סי' עח אות יב</w:t>
      </w:r>
      <w:r w:rsidR="00A310FC">
        <w:rPr>
          <w:rFonts w:asciiTheme="minorBidi" w:hAnsiTheme="minorBidi" w:cs="Arial" w:hint="cs"/>
          <w:sz w:val="16"/>
          <w:szCs w:val="16"/>
          <w:rtl/>
        </w:rPr>
        <w:t>, הביאו הדרכ"מ [אות ו]</w:t>
      </w:r>
      <w:r>
        <w:rPr>
          <w:rFonts w:asciiTheme="minorBidi" w:hAnsiTheme="minorBidi" w:cs="Arial" w:hint="cs"/>
          <w:sz w:val="16"/>
          <w:szCs w:val="16"/>
          <w:rtl/>
        </w:rPr>
        <w:t>)</w:t>
      </w:r>
      <w:r>
        <w:rPr>
          <w:rFonts w:asciiTheme="minorBidi" w:hAnsiTheme="minorBidi" w:cs="Arial" w:hint="cs"/>
          <w:rtl/>
        </w:rPr>
        <w:t xml:space="preserve">- </w:t>
      </w:r>
      <w:r w:rsidRPr="000B08F1">
        <w:rPr>
          <w:rFonts w:asciiTheme="minorBidi" w:hAnsiTheme="minorBidi" w:cs="Arial"/>
          <w:rtl/>
        </w:rPr>
        <w:t>ה</w:t>
      </w:r>
      <w:r>
        <w:rPr>
          <w:rFonts w:asciiTheme="minorBidi" w:hAnsiTheme="minorBidi" w:cs="Arial" w:hint="cs"/>
          <w:rtl/>
        </w:rPr>
        <w:t>וא הדין</w:t>
      </w:r>
      <w:r w:rsidRPr="000B08F1">
        <w:rPr>
          <w:rFonts w:asciiTheme="minorBidi" w:hAnsiTheme="minorBidi" w:cs="Arial"/>
          <w:rtl/>
        </w:rPr>
        <w:t xml:space="preserve"> אפי' פותחת של עץ ושל מתכת שמותר לו לסתור בכלים דמ"ש האי סתירה מהאי סתירה</w:t>
      </w:r>
      <w:r w:rsidR="00A310FC">
        <w:rPr>
          <w:rStyle w:val="a9"/>
          <w:rFonts w:asciiTheme="minorBidi" w:hAnsiTheme="minorBidi" w:cs="Arial"/>
          <w:rtl/>
        </w:rPr>
        <w:footnoteReference w:id="2233"/>
      </w:r>
      <w:r>
        <w:rPr>
          <w:rFonts w:asciiTheme="minorBidi" w:hAnsiTheme="minorBidi" w:cs="Arial" w:hint="cs"/>
          <w:rtl/>
        </w:rPr>
        <w:t>.</w:t>
      </w:r>
    </w:p>
    <w:p w14:paraId="1F1C54FE" w14:textId="5AE83C2B" w:rsidR="00AE30EF" w:rsidRDefault="00217B27" w:rsidP="00434A6A">
      <w:pPr>
        <w:pStyle w:val="aa"/>
        <w:numPr>
          <w:ilvl w:val="0"/>
          <w:numId w:val="21"/>
        </w:numPr>
        <w:rPr>
          <w:rFonts w:asciiTheme="minorBidi" w:hAnsiTheme="minorBidi" w:cs="Arial"/>
        </w:rPr>
      </w:pPr>
      <w:r>
        <w:rPr>
          <w:rFonts w:asciiTheme="minorBidi" w:hAnsiTheme="minorBidi" w:cs="Arial" w:hint="cs"/>
          <w:rtl/>
        </w:rPr>
        <w:t>ר"ש</w:t>
      </w:r>
      <w:r>
        <w:rPr>
          <w:rStyle w:val="a9"/>
          <w:rFonts w:asciiTheme="minorBidi" w:hAnsiTheme="minorBidi" w:cs="Arial"/>
          <w:rtl/>
        </w:rPr>
        <w:footnoteReference w:id="2234"/>
      </w:r>
      <w:r>
        <w:rPr>
          <w:rFonts w:asciiTheme="minorBidi" w:hAnsiTheme="minorBidi" w:cs="Arial" w:hint="cs"/>
          <w:rtl/>
        </w:rPr>
        <w:t xml:space="preserve"> </w:t>
      </w:r>
      <w:r w:rsidRPr="00217B27">
        <w:rPr>
          <w:rFonts w:asciiTheme="minorBidi" w:hAnsiTheme="minorBidi" w:cs="Arial" w:hint="cs"/>
          <w:sz w:val="16"/>
          <w:szCs w:val="16"/>
          <w:rtl/>
        </w:rPr>
        <w:t xml:space="preserve">(כ"כ </w:t>
      </w:r>
      <w:r>
        <w:rPr>
          <w:rFonts w:asciiTheme="minorBidi" w:hAnsiTheme="minorBidi" w:cs="Arial" w:hint="cs"/>
          <w:sz w:val="16"/>
          <w:szCs w:val="16"/>
          <w:rtl/>
        </w:rPr>
        <w:t>בשמו ה</w:t>
      </w:r>
      <w:r w:rsidRPr="00217B27">
        <w:rPr>
          <w:rFonts w:asciiTheme="minorBidi" w:hAnsiTheme="minorBidi" w:cs="Arial" w:hint="cs"/>
          <w:sz w:val="16"/>
          <w:szCs w:val="16"/>
          <w:rtl/>
        </w:rPr>
        <w:t>סמ"ג</w:t>
      </w:r>
      <w:r>
        <w:rPr>
          <w:rFonts w:asciiTheme="minorBidi" w:hAnsiTheme="minorBidi" w:cs="Arial" w:hint="cs"/>
          <w:sz w:val="16"/>
          <w:szCs w:val="16"/>
          <w:rtl/>
        </w:rPr>
        <w:t xml:space="preserve"> [שם]</w:t>
      </w:r>
      <w:r w:rsidR="006760B9">
        <w:rPr>
          <w:rFonts w:asciiTheme="minorBidi" w:hAnsiTheme="minorBidi" w:cs="Arial" w:hint="cs"/>
          <w:sz w:val="16"/>
          <w:szCs w:val="16"/>
          <w:rtl/>
        </w:rPr>
        <w:t>, ונראה שכוונתו לתוס'</w:t>
      </w:r>
      <w:r w:rsidR="006760B9" w:rsidRPr="00217B27">
        <w:rPr>
          <w:rFonts w:asciiTheme="minorBidi" w:hAnsiTheme="minorBidi" w:cs="Arial"/>
          <w:sz w:val="16"/>
          <w:szCs w:val="16"/>
          <w:rtl/>
        </w:rPr>
        <w:t xml:space="preserve"> </w:t>
      </w:r>
      <w:r w:rsidR="006760B9" w:rsidRPr="00217B27">
        <w:rPr>
          <w:rFonts w:asciiTheme="minorBidi" w:hAnsiTheme="minorBidi" w:cs="Arial" w:hint="cs"/>
          <w:sz w:val="16"/>
          <w:szCs w:val="16"/>
          <w:rtl/>
        </w:rPr>
        <w:t>[</w:t>
      </w:r>
      <w:r w:rsidR="006760B9" w:rsidRPr="00217B27">
        <w:rPr>
          <w:rFonts w:asciiTheme="minorBidi" w:hAnsiTheme="minorBidi" w:cs="Arial"/>
          <w:sz w:val="16"/>
          <w:szCs w:val="16"/>
          <w:rtl/>
        </w:rPr>
        <w:t>שבת קב</w:t>
      </w:r>
      <w:r w:rsidR="006760B9" w:rsidRPr="00217B27">
        <w:rPr>
          <w:rFonts w:asciiTheme="minorBidi" w:hAnsiTheme="minorBidi" w:cs="Arial" w:hint="cs"/>
          <w:sz w:val="16"/>
          <w:szCs w:val="16"/>
          <w:rtl/>
        </w:rPr>
        <w:t>:</w:t>
      </w:r>
      <w:r w:rsidR="006760B9" w:rsidRPr="00217B27">
        <w:rPr>
          <w:rFonts w:asciiTheme="minorBidi" w:hAnsiTheme="minorBidi" w:cs="Arial"/>
          <w:sz w:val="16"/>
          <w:szCs w:val="16"/>
          <w:rtl/>
        </w:rPr>
        <w:t xml:space="preserve"> ד"ה האי</w:t>
      </w:r>
      <w:r w:rsidR="006760B9" w:rsidRPr="00217B27">
        <w:rPr>
          <w:rFonts w:asciiTheme="minorBidi" w:hAnsiTheme="minorBidi" w:cs="Arial" w:hint="cs"/>
          <w:sz w:val="16"/>
          <w:szCs w:val="16"/>
          <w:rtl/>
        </w:rPr>
        <w:t>]</w:t>
      </w:r>
      <w:r w:rsidR="006760B9">
        <w:rPr>
          <w:rFonts w:asciiTheme="minorBidi" w:hAnsiTheme="minorBidi" w:cs="Arial" w:hint="cs"/>
          <w:sz w:val="16"/>
          <w:szCs w:val="16"/>
          <w:rtl/>
        </w:rPr>
        <w:t>, וכ"כ המרדכי [שבת סי' תלח] בשם ר"י</w:t>
      </w:r>
      <w:r w:rsidRPr="00217B27">
        <w:rPr>
          <w:rFonts w:asciiTheme="minorBidi" w:hAnsiTheme="minorBidi" w:cs="Arial"/>
          <w:sz w:val="16"/>
          <w:szCs w:val="16"/>
          <w:rtl/>
        </w:rPr>
        <w:t>)</w:t>
      </w:r>
      <w:r>
        <w:rPr>
          <w:rFonts w:asciiTheme="minorBidi" w:hAnsiTheme="minorBidi" w:cs="Arial" w:hint="cs"/>
          <w:rtl/>
        </w:rPr>
        <w:t xml:space="preserve"> </w:t>
      </w:r>
      <w:r w:rsidR="00A310FC">
        <w:rPr>
          <w:rFonts w:asciiTheme="minorBidi" w:hAnsiTheme="minorBidi" w:cs="Arial" w:hint="cs"/>
          <w:rtl/>
        </w:rPr>
        <w:t>ו</w:t>
      </w:r>
      <w:r w:rsidR="001E305C">
        <w:rPr>
          <w:rFonts w:asciiTheme="minorBidi" w:hAnsiTheme="minorBidi" w:cs="Arial" w:hint="cs"/>
          <w:rtl/>
        </w:rPr>
        <w:t>רא"</w:t>
      </w:r>
      <w:r w:rsidR="001E305C" w:rsidRPr="001E305C">
        <w:rPr>
          <w:rFonts w:asciiTheme="minorBidi" w:hAnsiTheme="minorBidi" w:cs="Arial" w:hint="cs"/>
          <w:rtl/>
        </w:rPr>
        <w:t>ש</w:t>
      </w:r>
      <w:r w:rsidR="001E305C">
        <w:rPr>
          <w:rFonts w:asciiTheme="minorBidi" w:hAnsiTheme="minorBidi" w:cs="Arial" w:hint="cs"/>
          <w:sz w:val="16"/>
          <w:szCs w:val="16"/>
          <w:rtl/>
        </w:rPr>
        <w:t xml:space="preserve"> (סי' ה)</w:t>
      </w:r>
      <w:r w:rsidR="001E305C">
        <w:rPr>
          <w:rFonts w:asciiTheme="minorBidi" w:hAnsiTheme="minorBidi" w:cs="Arial" w:hint="cs"/>
          <w:rtl/>
        </w:rPr>
        <w:t xml:space="preserve">- </w:t>
      </w:r>
      <w:r w:rsidR="00AE30EF" w:rsidRPr="001E305C">
        <w:rPr>
          <w:rFonts w:asciiTheme="minorBidi" w:hAnsiTheme="minorBidi" w:cs="Arial"/>
          <w:rtl/>
        </w:rPr>
        <w:t>דוקא</w:t>
      </w:r>
      <w:r w:rsidR="00AE30EF" w:rsidRPr="00094251">
        <w:rPr>
          <w:rFonts w:asciiTheme="minorBidi" w:hAnsiTheme="minorBidi" w:cs="Arial"/>
          <w:rtl/>
        </w:rPr>
        <w:t xml:space="preserve"> כעין קשירת חבל וכיוצא בו</w:t>
      </w:r>
      <w:r w:rsidR="00AE30EF">
        <w:rPr>
          <w:rFonts w:asciiTheme="minorBidi" w:hAnsiTheme="minorBidi" w:cs="Arial" w:hint="cs"/>
          <w:rtl/>
        </w:rPr>
        <w:t>,</w:t>
      </w:r>
      <w:r w:rsidR="00AE30EF" w:rsidRPr="00094251">
        <w:rPr>
          <w:rFonts w:asciiTheme="minorBidi" w:hAnsiTheme="minorBidi" w:cs="Arial"/>
          <w:rtl/>
        </w:rPr>
        <w:t xml:space="preserve"> אבל פותחת של עץ ושל מתכת אסור להפקיע ולשבר</w:t>
      </w:r>
      <w:r w:rsidR="00AE30EF">
        <w:rPr>
          <w:rFonts w:asciiTheme="minorBidi" w:hAnsiTheme="minorBidi" w:cs="Arial" w:hint="cs"/>
          <w:rtl/>
        </w:rPr>
        <w:t>,</w:t>
      </w:r>
      <w:r w:rsidR="00AE30EF" w:rsidRPr="00094251">
        <w:rPr>
          <w:rFonts w:asciiTheme="minorBidi" w:hAnsiTheme="minorBidi" w:cs="Arial"/>
          <w:rtl/>
        </w:rPr>
        <w:t xml:space="preserve"> דבכלי נמי שייך הא בנין גמור וסתירה גמורה</w:t>
      </w:r>
      <w:r w:rsidR="001E305C">
        <w:rPr>
          <w:rFonts w:asciiTheme="minorBidi" w:hAnsiTheme="minorBidi" w:cs="Arial" w:hint="cs"/>
          <w:sz w:val="16"/>
          <w:szCs w:val="16"/>
          <w:rtl/>
        </w:rPr>
        <w:t xml:space="preserve"> (ל' הטור בש</w:t>
      </w:r>
      <w:r w:rsidR="000B08F1">
        <w:rPr>
          <w:rFonts w:asciiTheme="minorBidi" w:hAnsiTheme="minorBidi" w:cs="Arial" w:hint="cs"/>
          <w:sz w:val="16"/>
          <w:szCs w:val="16"/>
          <w:rtl/>
        </w:rPr>
        <w:t>ם הרא"ש</w:t>
      </w:r>
      <w:r w:rsidR="001E305C">
        <w:rPr>
          <w:rFonts w:asciiTheme="minorBidi" w:hAnsiTheme="minorBidi" w:cs="Arial" w:hint="cs"/>
          <w:sz w:val="16"/>
          <w:szCs w:val="16"/>
          <w:rtl/>
        </w:rPr>
        <w:t>)</w:t>
      </w:r>
      <w:r w:rsidR="00AE30EF">
        <w:rPr>
          <w:rFonts w:asciiTheme="minorBidi" w:hAnsiTheme="minorBidi" w:cs="Arial" w:hint="cs"/>
          <w:rtl/>
        </w:rPr>
        <w:t>.</w:t>
      </w:r>
      <w:r w:rsidR="00AE30EF" w:rsidRPr="00094251">
        <w:rPr>
          <w:rFonts w:asciiTheme="minorBidi" w:hAnsiTheme="minorBidi" w:cs="Arial"/>
          <w:rtl/>
        </w:rPr>
        <w:t xml:space="preserve"> </w:t>
      </w:r>
      <w:r w:rsidR="00A310FC" w:rsidRPr="00A310FC">
        <w:rPr>
          <w:rFonts w:asciiTheme="minorBidi" w:hAnsiTheme="minorBidi" w:hint="cs"/>
          <w:color w:val="E36C0A" w:themeColor="accent6" w:themeShade="BF"/>
          <w:rtl/>
        </w:rPr>
        <w:t>(וכ"פ בשו"ע)</w:t>
      </w:r>
    </w:p>
    <w:p w14:paraId="282544A3" w14:textId="6F28D29F" w:rsidR="00A310FC" w:rsidRPr="00A310FC" w:rsidRDefault="003D7F00" w:rsidP="00434A6A">
      <w:pPr>
        <w:ind w:left="360"/>
        <w:rPr>
          <w:rFonts w:asciiTheme="minorBidi" w:hAnsiTheme="minorBidi" w:cs="Arial"/>
          <w:u w:val="dotted"/>
        </w:rPr>
      </w:pPr>
      <w:r>
        <w:rPr>
          <w:rFonts w:asciiTheme="minorBidi" w:hAnsiTheme="minorBidi" w:cs="Arial" w:hint="cs"/>
          <w:u w:val="dotted"/>
          <w:rtl/>
        </w:rPr>
        <w:t xml:space="preserve">לרא"ש וסיעתו - </w:t>
      </w:r>
      <w:r w:rsidR="00A310FC" w:rsidRPr="00A310FC">
        <w:rPr>
          <w:rFonts w:asciiTheme="minorBidi" w:hAnsiTheme="minorBidi" w:cs="Arial" w:hint="cs"/>
          <w:u w:val="dotted"/>
          <w:rtl/>
        </w:rPr>
        <w:t>מה הדין ע"י גוי:</w:t>
      </w:r>
    </w:p>
    <w:p w14:paraId="6A1F2255" w14:textId="581B3522" w:rsidR="00A25F2E" w:rsidRPr="000B08F1" w:rsidRDefault="00576F7D" w:rsidP="00434A6A">
      <w:pPr>
        <w:pStyle w:val="aa"/>
        <w:numPr>
          <w:ilvl w:val="0"/>
          <w:numId w:val="21"/>
        </w:numPr>
        <w:rPr>
          <w:rFonts w:asciiTheme="minorBidi" w:hAnsiTheme="minorBidi"/>
          <w:rtl/>
        </w:rPr>
      </w:pPr>
      <w:r>
        <w:rPr>
          <w:rFonts w:asciiTheme="minorBidi" w:hAnsiTheme="minorBidi" w:cs="Arial" w:hint="cs"/>
          <w:rtl/>
        </w:rPr>
        <w:t>סמ"ק</w:t>
      </w:r>
      <w:r w:rsidR="00A25F2E" w:rsidRPr="00A25F2E">
        <w:rPr>
          <w:rFonts w:asciiTheme="minorBidi" w:hAnsiTheme="minorBidi" w:cs="Arial"/>
          <w:rtl/>
        </w:rPr>
        <w:t xml:space="preserve"> </w:t>
      </w:r>
      <w:r w:rsidR="00A25F2E" w:rsidRPr="00576F7D">
        <w:rPr>
          <w:rFonts w:asciiTheme="minorBidi" w:hAnsiTheme="minorBidi" w:cs="Arial"/>
          <w:sz w:val="16"/>
          <w:szCs w:val="16"/>
          <w:rtl/>
        </w:rPr>
        <w:t>(סי' רפ</w:t>
      </w:r>
      <w:r w:rsidRPr="00576F7D">
        <w:rPr>
          <w:rFonts w:asciiTheme="minorBidi" w:hAnsiTheme="minorBidi" w:cs="Arial" w:hint="cs"/>
          <w:sz w:val="16"/>
          <w:szCs w:val="16"/>
          <w:rtl/>
        </w:rPr>
        <w:t>ב</w:t>
      </w:r>
      <w:r w:rsidR="00A25F2E" w:rsidRPr="00576F7D">
        <w:rPr>
          <w:rFonts w:asciiTheme="minorBidi" w:hAnsiTheme="minorBidi" w:cs="Arial"/>
          <w:sz w:val="16"/>
          <w:szCs w:val="16"/>
          <w:rtl/>
        </w:rPr>
        <w:t xml:space="preserve"> </w:t>
      </w:r>
      <w:r w:rsidRPr="00576F7D">
        <w:rPr>
          <w:rFonts w:asciiTheme="minorBidi" w:hAnsiTheme="minorBidi" w:cs="Arial" w:hint="cs"/>
          <w:sz w:val="16"/>
          <w:szCs w:val="16"/>
          <w:rtl/>
        </w:rPr>
        <w:t>ד"ה והסותר על</w:t>
      </w:r>
      <w:r w:rsidR="000B08F1">
        <w:rPr>
          <w:rFonts w:asciiTheme="minorBidi" w:hAnsiTheme="minorBidi" w:cs="Arial" w:hint="cs"/>
          <w:sz w:val="16"/>
          <w:szCs w:val="16"/>
          <w:rtl/>
        </w:rPr>
        <w:t>, הביאו הטור</w:t>
      </w:r>
      <w:r w:rsidRPr="00576F7D">
        <w:rPr>
          <w:rFonts w:asciiTheme="minorBidi" w:hAnsiTheme="minorBidi" w:cs="Arial" w:hint="cs"/>
          <w:sz w:val="16"/>
          <w:szCs w:val="16"/>
          <w:rtl/>
        </w:rPr>
        <w:t>)</w:t>
      </w:r>
      <w:r>
        <w:rPr>
          <w:rFonts w:asciiTheme="minorBidi" w:hAnsiTheme="minorBidi" w:cs="Arial" w:hint="cs"/>
          <w:rtl/>
        </w:rPr>
        <w:t xml:space="preserve">- </w:t>
      </w:r>
      <w:r w:rsidRPr="00576F7D">
        <w:rPr>
          <w:rFonts w:asciiTheme="minorBidi" w:hAnsiTheme="minorBidi" w:cs="Arial"/>
          <w:rtl/>
        </w:rPr>
        <w:t>בשבירת הפותחת של תיבות נחלקו</w:t>
      </w:r>
      <w:r w:rsidR="000B08F1">
        <w:rPr>
          <w:rFonts w:asciiTheme="minorBidi" w:hAnsiTheme="minorBidi" w:cs="Arial" w:hint="cs"/>
          <w:rtl/>
        </w:rPr>
        <w:t>,</w:t>
      </w:r>
      <w:r w:rsidRPr="00576F7D">
        <w:rPr>
          <w:rFonts w:asciiTheme="minorBidi" w:hAnsiTheme="minorBidi" w:cs="Arial"/>
          <w:rtl/>
        </w:rPr>
        <w:t xml:space="preserve"> הר' אליעזר מתיר</w:t>
      </w:r>
      <w:r w:rsidR="000B08F1">
        <w:rPr>
          <w:rStyle w:val="a9"/>
          <w:rFonts w:asciiTheme="minorBidi" w:hAnsiTheme="minorBidi" w:cs="Arial"/>
          <w:rtl/>
        </w:rPr>
        <w:footnoteReference w:id="2235"/>
      </w:r>
      <w:r w:rsidR="000B08F1">
        <w:rPr>
          <w:rFonts w:asciiTheme="minorBidi" w:hAnsiTheme="minorBidi" w:cs="Arial" w:hint="cs"/>
          <w:rtl/>
        </w:rPr>
        <w:t>,</w:t>
      </w:r>
      <w:r w:rsidRPr="00576F7D">
        <w:rPr>
          <w:rFonts w:asciiTheme="minorBidi" w:hAnsiTheme="minorBidi" w:cs="Arial"/>
          <w:rtl/>
        </w:rPr>
        <w:t xml:space="preserve"> ורבי שמשון אוסר</w:t>
      </w:r>
      <w:r w:rsidR="000B08F1">
        <w:rPr>
          <w:rFonts w:asciiTheme="minorBidi" w:hAnsiTheme="minorBidi" w:cs="Arial" w:hint="cs"/>
          <w:rtl/>
        </w:rPr>
        <w:t>.</w:t>
      </w:r>
      <w:r w:rsidRPr="00576F7D">
        <w:rPr>
          <w:rFonts w:asciiTheme="minorBidi" w:hAnsiTheme="minorBidi" w:cs="Arial"/>
          <w:rtl/>
        </w:rPr>
        <w:t xml:space="preserve"> ומיהו על ידי עכו"ם יש להקל להסיר עצמו מן הספק</w:t>
      </w:r>
      <w:r w:rsidR="001E305C" w:rsidRPr="000B08F1">
        <w:rPr>
          <w:rFonts w:asciiTheme="minorBidi" w:hAnsiTheme="minorBidi" w:cs="Arial" w:hint="cs"/>
          <w:rtl/>
        </w:rPr>
        <w:t>.</w:t>
      </w:r>
      <w:r w:rsidR="00A310FC" w:rsidRPr="00A310FC">
        <w:rPr>
          <w:rFonts w:asciiTheme="minorBidi" w:hAnsiTheme="minorBidi" w:hint="cs"/>
          <w:color w:val="E36C0A" w:themeColor="accent6" w:themeShade="BF"/>
          <w:rtl/>
        </w:rPr>
        <w:t xml:space="preserve"> (וכ"פ בשו"ע)</w:t>
      </w:r>
      <w:r w:rsidR="00A310FC">
        <w:rPr>
          <w:rFonts w:asciiTheme="minorBidi" w:hAnsiTheme="minorBidi" w:hint="cs"/>
          <w:rtl/>
        </w:rPr>
        <w:t xml:space="preserve"> (וכ"פ בדרכ"מ</w:t>
      </w:r>
      <w:r w:rsidR="00A310FC">
        <w:rPr>
          <w:rFonts w:asciiTheme="minorBidi" w:hAnsiTheme="minorBidi" w:hint="cs"/>
          <w:sz w:val="16"/>
          <w:szCs w:val="16"/>
          <w:rtl/>
        </w:rPr>
        <w:t xml:space="preserve"> [אות ו]</w:t>
      </w:r>
      <w:r w:rsidR="00A310FC">
        <w:rPr>
          <w:rFonts w:asciiTheme="minorBidi" w:hAnsiTheme="minorBidi" w:hint="cs"/>
          <w:rtl/>
        </w:rPr>
        <w:t>)</w:t>
      </w:r>
    </w:p>
    <w:p w14:paraId="7CE0E328" w14:textId="3853FDF7" w:rsidR="00AE30EF" w:rsidRPr="00AE30EF" w:rsidRDefault="00AE30EF" w:rsidP="00434A6A">
      <w:pPr>
        <w:ind w:left="360"/>
        <w:rPr>
          <w:rFonts w:asciiTheme="minorBidi" w:hAnsiTheme="minorBidi" w:cs="Arial"/>
          <w:u w:val="single"/>
        </w:rPr>
      </w:pPr>
      <w:r w:rsidRPr="00AE30EF">
        <w:rPr>
          <w:rFonts w:asciiTheme="minorBidi" w:hAnsiTheme="minorBidi" w:cs="Arial" w:hint="cs"/>
          <w:u w:val="single"/>
          <w:rtl/>
        </w:rPr>
        <w:t>הסרת יתדות הכלים</w:t>
      </w:r>
      <w:r w:rsidR="008F47DC">
        <w:rPr>
          <w:rFonts w:asciiTheme="minorBidi" w:hAnsiTheme="minorBidi" w:cs="Arial" w:hint="cs"/>
          <w:u w:val="single"/>
          <w:rtl/>
        </w:rPr>
        <w:t xml:space="preserve"> </w:t>
      </w:r>
      <w:r w:rsidR="00935823">
        <w:rPr>
          <w:rFonts w:asciiTheme="minorBidi" w:hAnsiTheme="minorBidi" w:cs="Arial" w:hint="cs"/>
          <w:sz w:val="16"/>
          <w:szCs w:val="16"/>
          <w:u w:val="single"/>
          <w:rtl/>
        </w:rPr>
        <w:t>(הצירים של מכסה התיבה)</w:t>
      </w:r>
      <w:r w:rsidR="00935823">
        <w:rPr>
          <w:rFonts w:asciiTheme="minorBidi" w:hAnsiTheme="minorBidi" w:cs="Arial" w:hint="cs"/>
          <w:u w:val="single"/>
          <w:rtl/>
        </w:rPr>
        <w:t xml:space="preserve"> </w:t>
      </w:r>
      <w:r w:rsidR="008F47DC">
        <w:rPr>
          <w:rFonts w:asciiTheme="minorBidi" w:hAnsiTheme="minorBidi" w:cs="Arial" w:hint="cs"/>
          <w:u w:val="single"/>
          <w:rtl/>
        </w:rPr>
        <w:t>- האם נקרא סתירה חשובה או גרועה</w:t>
      </w:r>
      <w:r w:rsidR="003D7F00">
        <w:rPr>
          <w:rFonts w:asciiTheme="minorBidi" w:hAnsiTheme="minorBidi" w:cs="Arial" w:hint="cs"/>
          <w:u w:val="single"/>
          <w:rtl/>
        </w:rPr>
        <w:t xml:space="preserve"> לרא"ש וסיעתו</w:t>
      </w:r>
      <w:r w:rsidRPr="00AE30EF">
        <w:rPr>
          <w:rFonts w:asciiTheme="minorBidi" w:hAnsiTheme="minorBidi" w:cs="Arial" w:hint="cs"/>
          <w:u w:val="single"/>
          <w:rtl/>
        </w:rPr>
        <w:t>:</w:t>
      </w:r>
    </w:p>
    <w:p w14:paraId="21FA2331" w14:textId="23C5DD0F" w:rsidR="00935823" w:rsidRDefault="008F47DC" w:rsidP="00434A6A">
      <w:pPr>
        <w:pStyle w:val="aa"/>
        <w:numPr>
          <w:ilvl w:val="0"/>
          <w:numId w:val="21"/>
        </w:numPr>
        <w:rPr>
          <w:rFonts w:asciiTheme="minorBidi" w:hAnsiTheme="minorBidi" w:cs="Arial"/>
        </w:rPr>
      </w:pPr>
      <w:r w:rsidRPr="008F47DC">
        <w:rPr>
          <w:rFonts w:asciiTheme="minorBidi" w:hAnsiTheme="minorBidi" w:cs="Arial"/>
          <w:rtl/>
        </w:rPr>
        <w:t xml:space="preserve">ה"ר יעקב מקינון </w:t>
      </w:r>
      <w:r w:rsidR="00935823">
        <w:rPr>
          <w:rFonts w:asciiTheme="minorBidi" w:hAnsiTheme="minorBidi" w:cs="Arial" w:hint="cs"/>
          <w:sz w:val="16"/>
          <w:szCs w:val="16"/>
          <w:rtl/>
        </w:rPr>
        <w:t>(הביאוהו המרדכי [</w:t>
      </w:r>
      <w:r w:rsidR="00935823" w:rsidRPr="00935823">
        <w:rPr>
          <w:rFonts w:asciiTheme="minorBidi" w:hAnsiTheme="minorBidi" w:cs="Arial" w:hint="cs"/>
          <w:sz w:val="16"/>
          <w:szCs w:val="16"/>
          <w:rtl/>
        </w:rPr>
        <w:t xml:space="preserve">עירובין </w:t>
      </w:r>
      <w:r w:rsidR="00935823" w:rsidRPr="00935823">
        <w:rPr>
          <w:rFonts w:asciiTheme="minorBidi" w:hAnsiTheme="minorBidi" w:cs="Arial"/>
          <w:sz w:val="16"/>
          <w:szCs w:val="16"/>
          <w:rtl/>
        </w:rPr>
        <w:t>סי' תפח</w:t>
      </w:r>
      <w:r w:rsidR="00935823">
        <w:rPr>
          <w:rFonts w:asciiTheme="minorBidi" w:hAnsiTheme="minorBidi" w:cs="Arial" w:hint="cs"/>
          <w:sz w:val="16"/>
          <w:szCs w:val="16"/>
          <w:rtl/>
        </w:rPr>
        <w:t>] והכלבו [</w:t>
      </w:r>
      <w:r w:rsidR="00935823" w:rsidRPr="008F47DC">
        <w:rPr>
          <w:rFonts w:asciiTheme="minorBidi" w:hAnsiTheme="minorBidi" w:cs="Arial" w:hint="cs"/>
          <w:sz w:val="16"/>
          <w:szCs w:val="16"/>
          <w:rtl/>
        </w:rPr>
        <w:t>סי' לא ד"ה הסותר כל</w:t>
      </w:r>
      <w:r w:rsidR="00935823">
        <w:rPr>
          <w:rFonts w:asciiTheme="minorBidi" w:hAnsiTheme="minorBidi" w:cs="Arial" w:hint="cs"/>
          <w:sz w:val="16"/>
          <w:szCs w:val="16"/>
          <w:rtl/>
        </w:rPr>
        <w:t>])</w:t>
      </w:r>
      <w:r w:rsidR="00935823">
        <w:rPr>
          <w:rFonts w:asciiTheme="minorBidi" w:hAnsiTheme="minorBidi" w:cs="Arial" w:hint="cs"/>
          <w:rtl/>
        </w:rPr>
        <w:t xml:space="preserve">- </w:t>
      </w:r>
      <w:r w:rsidRPr="008F47DC">
        <w:rPr>
          <w:rFonts w:asciiTheme="minorBidi" w:hAnsiTheme="minorBidi" w:cs="Arial"/>
          <w:rtl/>
        </w:rPr>
        <w:t>מותר להסיר הצירין שקורין גונץ בלע"ז שאחורי התיבה אם נאבד המפתח דהא סתירה גרועה היא כיון שא"צ לשבור שום דבר</w:t>
      </w:r>
      <w:r w:rsidR="00935823">
        <w:rPr>
          <w:rStyle w:val="a9"/>
          <w:rFonts w:asciiTheme="minorBidi" w:hAnsiTheme="minorBidi" w:cs="Arial"/>
          <w:rtl/>
        </w:rPr>
        <w:footnoteReference w:id="2236"/>
      </w:r>
      <w:r w:rsidR="00935823">
        <w:rPr>
          <w:rFonts w:asciiTheme="minorBidi" w:hAnsiTheme="minorBidi" w:cs="Arial" w:hint="cs"/>
          <w:sz w:val="16"/>
          <w:szCs w:val="16"/>
          <w:rtl/>
        </w:rPr>
        <w:t xml:space="preserve"> (ל' המרדכי)</w:t>
      </w:r>
      <w:r w:rsidR="00935823">
        <w:rPr>
          <w:rFonts w:asciiTheme="minorBidi" w:hAnsiTheme="minorBidi" w:cs="Arial" w:hint="cs"/>
          <w:rtl/>
        </w:rPr>
        <w:t>.</w:t>
      </w:r>
      <w:r w:rsidRPr="008F47DC">
        <w:rPr>
          <w:rFonts w:asciiTheme="minorBidi" w:hAnsiTheme="minorBidi" w:cs="Arial"/>
          <w:rtl/>
        </w:rPr>
        <w:t xml:space="preserve"> </w:t>
      </w:r>
    </w:p>
    <w:p w14:paraId="50AC791C" w14:textId="75A3B6AE" w:rsidR="00935823" w:rsidRPr="00A25F2E" w:rsidRDefault="00935823" w:rsidP="00434A6A">
      <w:pPr>
        <w:pStyle w:val="aa"/>
        <w:numPr>
          <w:ilvl w:val="0"/>
          <w:numId w:val="21"/>
        </w:numPr>
        <w:rPr>
          <w:rFonts w:asciiTheme="minorBidi" w:hAnsiTheme="minorBidi" w:cs="Arial"/>
          <w:rtl/>
        </w:rPr>
      </w:pPr>
      <w:r w:rsidRPr="00AE30EF">
        <w:rPr>
          <w:rFonts w:asciiTheme="minorBidi" w:hAnsiTheme="minorBidi" w:cs="Arial"/>
          <w:rtl/>
        </w:rPr>
        <w:t xml:space="preserve">ה"ר פרץ </w:t>
      </w:r>
      <w:r w:rsidRPr="00AE30EF">
        <w:rPr>
          <w:rFonts w:asciiTheme="minorBidi" w:hAnsiTheme="minorBidi" w:cs="Arial"/>
          <w:sz w:val="16"/>
          <w:szCs w:val="16"/>
          <w:rtl/>
        </w:rPr>
        <w:t>(בהגהת סמ"ק סי' רפ</w:t>
      </w:r>
      <w:r>
        <w:rPr>
          <w:rFonts w:asciiTheme="minorBidi" w:hAnsiTheme="minorBidi" w:cs="Arial" w:hint="cs"/>
          <w:sz w:val="16"/>
          <w:szCs w:val="16"/>
          <w:rtl/>
        </w:rPr>
        <w:t>ב</w:t>
      </w:r>
      <w:r w:rsidRPr="00AE30EF">
        <w:rPr>
          <w:rFonts w:asciiTheme="minorBidi" w:hAnsiTheme="minorBidi" w:cs="Arial"/>
          <w:sz w:val="16"/>
          <w:szCs w:val="16"/>
          <w:rtl/>
        </w:rPr>
        <w:t xml:space="preserve"> אות כ</w:t>
      </w:r>
      <w:r>
        <w:rPr>
          <w:rFonts w:asciiTheme="minorBidi" w:hAnsiTheme="minorBidi" w:cs="Arial" w:hint="cs"/>
          <w:sz w:val="16"/>
          <w:szCs w:val="16"/>
          <w:rtl/>
        </w:rPr>
        <w:t>, הביאוהו המרדכי הכל בו והטור</w:t>
      </w:r>
      <w:r w:rsidRPr="00AE30EF">
        <w:rPr>
          <w:rFonts w:asciiTheme="minorBidi" w:hAnsiTheme="minorBidi" w:cs="Arial"/>
          <w:sz w:val="16"/>
          <w:szCs w:val="16"/>
          <w:rtl/>
        </w:rPr>
        <w:t>)</w:t>
      </w:r>
      <w:r>
        <w:rPr>
          <w:rFonts w:asciiTheme="minorBidi" w:hAnsiTheme="minorBidi" w:cs="Arial" w:hint="cs"/>
          <w:rtl/>
        </w:rPr>
        <w:t>-</w:t>
      </w:r>
      <w:r w:rsidRPr="00AE30EF">
        <w:rPr>
          <w:rFonts w:asciiTheme="minorBidi" w:hAnsiTheme="minorBidi" w:cs="Arial"/>
          <w:rtl/>
        </w:rPr>
        <w:t xml:space="preserve"> </w:t>
      </w:r>
      <w:r>
        <w:rPr>
          <w:rStyle w:val="a9"/>
          <w:rFonts w:asciiTheme="minorBidi" w:hAnsiTheme="minorBidi" w:cs="Arial"/>
          <w:rtl/>
        </w:rPr>
        <w:footnoteReference w:id="2237"/>
      </w:r>
      <w:r w:rsidRPr="00B25DDB">
        <w:rPr>
          <w:rFonts w:asciiTheme="minorBidi" w:hAnsiTheme="minorBidi" w:cs="Arial"/>
          <w:rtl/>
        </w:rPr>
        <w:t xml:space="preserve">ומדנתינת הגאו"ץ </w:t>
      </w:r>
      <w:r w:rsidR="00220941">
        <w:rPr>
          <w:rFonts w:asciiTheme="minorBidi" w:hAnsiTheme="minorBidi" w:cs="Arial" w:hint="cs"/>
          <w:sz w:val="16"/>
          <w:szCs w:val="16"/>
          <w:rtl/>
        </w:rPr>
        <w:t>{יתד/ציר}</w:t>
      </w:r>
      <w:r w:rsidR="00220941">
        <w:rPr>
          <w:rFonts w:asciiTheme="minorBidi" w:hAnsiTheme="minorBidi" w:cs="Arial" w:hint="cs"/>
          <w:rtl/>
        </w:rPr>
        <w:t xml:space="preserve"> </w:t>
      </w:r>
      <w:r w:rsidRPr="00B25DDB">
        <w:rPr>
          <w:rFonts w:asciiTheme="minorBidi" w:hAnsiTheme="minorBidi" w:cs="Arial"/>
          <w:rtl/>
        </w:rPr>
        <w:t>הוי בנין חשוב</w:t>
      </w:r>
      <w:r>
        <w:rPr>
          <w:rFonts w:asciiTheme="minorBidi" w:hAnsiTheme="minorBidi" w:cs="Arial" w:hint="cs"/>
          <w:rtl/>
        </w:rPr>
        <w:t>,</w:t>
      </w:r>
      <w:r w:rsidRPr="00B25DDB">
        <w:rPr>
          <w:rFonts w:asciiTheme="minorBidi" w:hAnsiTheme="minorBidi" w:cs="Arial"/>
          <w:rtl/>
        </w:rPr>
        <w:t xml:space="preserve"> א"כ מסתמא נטילתן הויא סתירה גמורה ואסור להסירה אפילו ביום טוב בשביל אוכלים שבתוכה</w:t>
      </w:r>
      <w:r>
        <w:rPr>
          <w:rFonts w:asciiTheme="minorBidi" w:hAnsiTheme="minorBidi" w:cs="Arial" w:hint="cs"/>
          <w:rtl/>
        </w:rPr>
        <w:t>.</w:t>
      </w:r>
      <w:r w:rsidRPr="00B25DDB">
        <w:rPr>
          <w:rFonts w:asciiTheme="minorBidi" w:hAnsiTheme="minorBidi" w:cs="Arial"/>
          <w:rtl/>
        </w:rPr>
        <w:t xml:space="preserve"> ולא כדברי הרוצה להתיר להסיר הגאו"ץ ביום טוב משום אוכלין דמדמי לקיטרא דמתנא</w:t>
      </w:r>
      <w:r>
        <w:rPr>
          <w:rFonts w:asciiTheme="minorBidi" w:hAnsiTheme="minorBidi" w:cs="Arial" w:hint="cs"/>
          <w:rtl/>
        </w:rPr>
        <w:t>,</w:t>
      </w:r>
      <w:r w:rsidRPr="00B25DDB">
        <w:rPr>
          <w:rFonts w:asciiTheme="minorBidi" w:hAnsiTheme="minorBidi" w:cs="Arial"/>
          <w:rtl/>
        </w:rPr>
        <w:t xml:space="preserve"> ולא היא</w:t>
      </w:r>
      <w:r w:rsidR="001E305C">
        <w:rPr>
          <w:rFonts w:asciiTheme="minorBidi" w:hAnsiTheme="minorBidi" w:cs="Arial" w:hint="cs"/>
          <w:rtl/>
        </w:rPr>
        <w:t>,</w:t>
      </w:r>
      <w:r w:rsidRPr="00B25DDB">
        <w:rPr>
          <w:rFonts w:asciiTheme="minorBidi" w:hAnsiTheme="minorBidi" w:cs="Arial"/>
          <w:rtl/>
        </w:rPr>
        <w:t xml:space="preserve"> אלא אסור</w:t>
      </w:r>
      <w:r w:rsidR="004C7C95">
        <w:rPr>
          <w:rStyle w:val="a9"/>
          <w:rFonts w:asciiTheme="minorBidi" w:hAnsiTheme="minorBidi" w:cs="Arial"/>
          <w:rtl/>
        </w:rPr>
        <w:footnoteReference w:id="2238"/>
      </w:r>
      <w:r w:rsidR="00220941">
        <w:rPr>
          <w:rFonts w:asciiTheme="minorBidi" w:hAnsiTheme="minorBidi" w:cs="Arial" w:hint="cs"/>
          <w:rtl/>
        </w:rPr>
        <w:t>.</w:t>
      </w:r>
      <w:r w:rsidR="00A310FC">
        <w:rPr>
          <w:rFonts w:asciiTheme="minorBidi" w:hAnsiTheme="minorBidi" w:cs="Arial" w:hint="cs"/>
          <w:rtl/>
        </w:rPr>
        <w:t xml:space="preserve"> </w:t>
      </w:r>
      <w:r w:rsidR="00A310FC" w:rsidRPr="00A310FC">
        <w:rPr>
          <w:rFonts w:asciiTheme="minorBidi" w:hAnsiTheme="minorBidi" w:hint="cs"/>
          <w:color w:val="E36C0A" w:themeColor="accent6" w:themeShade="BF"/>
          <w:rtl/>
        </w:rPr>
        <w:t>(וכ"</w:t>
      </w:r>
      <w:r w:rsidR="00A310FC">
        <w:rPr>
          <w:rFonts w:asciiTheme="minorBidi" w:hAnsiTheme="minorBidi" w:hint="cs"/>
          <w:color w:val="E36C0A" w:themeColor="accent6" w:themeShade="BF"/>
          <w:rtl/>
        </w:rPr>
        <w:t>ס</w:t>
      </w:r>
      <w:r w:rsidR="00A310FC" w:rsidRPr="00A310FC">
        <w:rPr>
          <w:rFonts w:asciiTheme="minorBidi" w:hAnsiTheme="minorBidi" w:hint="cs"/>
          <w:color w:val="E36C0A" w:themeColor="accent6" w:themeShade="BF"/>
          <w:rtl/>
        </w:rPr>
        <w:t xml:space="preserve"> בשו"ע)</w:t>
      </w:r>
    </w:p>
    <w:p w14:paraId="67686CF3" w14:textId="77777777" w:rsidR="00B556BA" w:rsidRPr="005275DF" w:rsidRDefault="00B556BA" w:rsidP="00434A6A">
      <w:pPr>
        <w:rPr>
          <w:rFonts w:asciiTheme="minorBidi" w:hAnsiTheme="minorBidi"/>
          <w:rtl/>
        </w:rPr>
      </w:pPr>
      <w:r w:rsidRPr="005275DF">
        <w:rPr>
          <w:rFonts w:asciiTheme="minorBidi" w:hAnsiTheme="minorBidi"/>
          <w:b/>
          <w:bCs/>
          <w:sz w:val="32"/>
          <w:szCs w:val="28"/>
          <w:u w:val="single"/>
          <w:rtl/>
        </w:rPr>
        <w:t xml:space="preserve">שו"ע: </w:t>
      </w:r>
    </w:p>
    <w:p w14:paraId="2C28A3B5" w14:textId="71FD7D0D" w:rsidR="00B3737F" w:rsidRPr="005275DF" w:rsidRDefault="009E5400" w:rsidP="00434A6A">
      <w:pPr>
        <w:rPr>
          <w:rFonts w:asciiTheme="minorBidi" w:hAnsiTheme="minorBidi"/>
          <w:rtl/>
        </w:rPr>
      </w:pPr>
      <w:r w:rsidRPr="005275DF">
        <w:rPr>
          <w:rFonts w:asciiTheme="minorBidi" w:hAnsiTheme="minorBidi"/>
          <w:rtl/>
        </w:rPr>
        <w:t>חותמות שבכלים כגון שידה</w:t>
      </w:r>
      <w:r w:rsidR="00B3737F" w:rsidRPr="005275DF">
        <w:rPr>
          <w:rFonts w:asciiTheme="minorBidi" w:hAnsiTheme="minorBidi"/>
          <w:rtl/>
        </w:rPr>
        <w:t xml:space="preserve"> תיבה ומגדל שהכיסוי </w:t>
      </w:r>
      <w:r w:rsidRPr="005275DF">
        <w:rPr>
          <w:rFonts w:asciiTheme="minorBidi" w:hAnsiTheme="minorBidi"/>
          <w:rtl/>
        </w:rPr>
        <w:t>שלהם קשור בהם בחבל</w:t>
      </w:r>
      <w:r w:rsidR="00A310FC">
        <w:rPr>
          <w:rFonts w:asciiTheme="minorBidi" w:hAnsiTheme="minorBidi" w:hint="cs"/>
          <w:rtl/>
        </w:rPr>
        <w:t>,</w:t>
      </w:r>
      <w:r w:rsidR="00B3737F" w:rsidRPr="005275DF">
        <w:rPr>
          <w:rFonts w:asciiTheme="minorBidi" w:hAnsiTheme="minorBidi"/>
          <w:rtl/>
        </w:rPr>
        <w:t xml:space="preserve"> יכול להתירו</w:t>
      </w:r>
      <w:r w:rsidRPr="005275DF">
        <w:rPr>
          <w:rFonts w:asciiTheme="minorBidi" w:hAnsiTheme="minorBidi"/>
          <w:rtl/>
        </w:rPr>
        <w:t xml:space="preserve"> או לחתכו בסכין או להתיר קליעתו</w:t>
      </w:r>
      <w:r w:rsidR="00D602BD" w:rsidRPr="005275DF">
        <w:rPr>
          <w:rStyle w:val="a9"/>
          <w:rFonts w:asciiTheme="minorBidi" w:hAnsiTheme="minorBidi"/>
          <w:rtl/>
        </w:rPr>
        <w:footnoteReference w:id="2239"/>
      </w:r>
      <w:r w:rsidR="00A310FC">
        <w:rPr>
          <w:rFonts w:asciiTheme="minorBidi" w:hAnsiTheme="minorBidi" w:hint="cs"/>
          <w:rtl/>
        </w:rPr>
        <w:t>.</w:t>
      </w:r>
      <w:r w:rsidRPr="005275DF">
        <w:rPr>
          <w:rFonts w:asciiTheme="minorBidi" w:hAnsiTheme="minorBidi"/>
          <w:rtl/>
        </w:rPr>
        <w:t xml:space="preserve"> ודוקא כעין קשירת חבל וכיוצא בו אבל פותחת של עץ ושל מתכת</w:t>
      </w:r>
      <w:r w:rsidR="00B3737F" w:rsidRPr="005275DF">
        <w:rPr>
          <w:rFonts w:asciiTheme="minorBidi" w:hAnsiTheme="minorBidi"/>
          <w:rtl/>
        </w:rPr>
        <w:t xml:space="preserve"> אסור להפקיע ולשבר דבכלים </w:t>
      </w:r>
      <w:r w:rsidRPr="005275DF">
        <w:rPr>
          <w:rFonts w:asciiTheme="minorBidi" w:hAnsiTheme="minorBidi"/>
          <w:rtl/>
        </w:rPr>
        <w:t>נמי שייך בנין גמור וסתירה גמורה</w:t>
      </w:r>
      <w:r w:rsidR="00A310FC">
        <w:rPr>
          <w:rFonts w:asciiTheme="minorBidi" w:hAnsiTheme="minorBidi" w:hint="cs"/>
          <w:rtl/>
        </w:rPr>
        <w:t>.</w:t>
      </w:r>
      <w:r w:rsidR="00B3737F" w:rsidRPr="005275DF">
        <w:rPr>
          <w:rFonts w:asciiTheme="minorBidi" w:hAnsiTheme="minorBidi"/>
          <w:rtl/>
        </w:rPr>
        <w:t xml:space="preserve"> ומטעם זה אסור להסיר הצירים שקורים גונז</w:t>
      </w:r>
      <w:r w:rsidR="00213D67" w:rsidRPr="005275DF">
        <w:rPr>
          <w:rFonts w:asciiTheme="minorBidi" w:hAnsiTheme="minorBidi"/>
          <w:rtl/>
        </w:rPr>
        <w:t>י"ש שאחורי התיבות אם נאבד המפתח,</w:t>
      </w:r>
      <w:r w:rsidR="00B3737F" w:rsidRPr="005275DF">
        <w:rPr>
          <w:rFonts w:asciiTheme="minorBidi" w:hAnsiTheme="minorBidi"/>
          <w:rtl/>
        </w:rPr>
        <w:t xml:space="preserve"> ויש מתי</w:t>
      </w:r>
      <w:r w:rsidRPr="005275DF">
        <w:rPr>
          <w:rFonts w:asciiTheme="minorBidi" w:hAnsiTheme="minorBidi"/>
          <w:rtl/>
        </w:rPr>
        <w:t>רים בזו. ושבירת פותחות של תיבות</w:t>
      </w:r>
      <w:r w:rsidR="00B3737F" w:rsidRPr="005275DF">
        <w:rPr>
          <w:rFonts w:asciiTheme="minorBidi" w:hAnsiTheme="minorBidi"/>
          <w:rtl/>
        </w:rPr>
        <w:t xml:space="preserve"> </w:t>
      </w:r>
      <w:r w:rsidRPr="005275DF">
        <w:rPr>
          <w:rFonts w:asciiTheme="minorBidi" w:hAnsiTheme="minorBidi"/>
          <w:rtl/>
        </w:rPr>
        <w:t>יש מתיר ויש אוסר</w:t>
      </w:r>
      <w:r w:rsidR="00A310FC">
        <w:rPr>
          <w:rFonts w:asciiTheme="minorBidi" w:hAnsiTheme="minorBidi" w:hint="cs"/>
          <w:rtl/>
        </w:rPr>
        <w:t>,</w:t>
      </w:r>
      <w:r w:rsidRPr="005275DF">
        <w:rPr>
          <w:rFonts w:asciiTheme="minorBidi" w:hAnsiTheme="minorBidi"/>
          <w:rtl/>
        </w:rPr>
        <w:t xml:space="preserve"> ויש להתיר על ידי גוי</w:t>
      </w:r>
      <w:r w:rsidR="00D602BD" w:rsidRPr="005275DF">
        <w:rPr>
          <w:rStyle w:val="a9"/>
          <w:rFonts w:asciiTheme="minorBidi" w:hAnsiTheme="minorBidi"/>
          <w:rtl/>
        </w:rPr>
        <w:footnoteReference w:id="2240"/>
      </w:r>
      <w:r w:rsidR="00B3737F" w:rsidRPr="005275DF">
        <w:rPr>
          <w:rFonts w:asciiTheme="minorBidi" w:hAnsiTheme="minorBidi"/>
          <w:rtl/>
        </w:rPr>
        <w:t xml:space="preserve">. </w:t>
      </w:r>
    </w:p>
    <w:p w14:paraId="313FC47F" w14:textId="77777777" w:rsidR="00B3737F" w:rsidRPr="005275DF" w:rsidRDefault="00B3737F" w:rsidP="00434A6A">
      <w:pPr>
        <w:rPr>
          <w:rFonts w:asciiTheme="minorBidi" w:hAnsiTheme="minorBidi"/>
          <w:rtl/>
        </w:rPr>
      </w:pPr>
    </w:p>
    <w:p w14:paraId="7661FC7F" w14:textId="09740B31" w:rsidR="00B3737F" w:rsidRPr="005275DF" w:rsidRDefault="00B3737F" w:rsidP="00434A6A">
      <w:pPr>
        <w:pStyle w:val="2"/>
        <w:rPr>
          <w:rFonts w:asciiTheme="minorBidi" w:hAnsiTheme="minorBidi" w:cstheme="minorBidi"/>
          <w:rtl/>
        </w:rPr>
      </w:pPr>
      <w:r w:rsidRPr="005275DF">
        <w:rPr>
          <w:rFonts w:asciiTheme="minorBidi" w:hAnsiTheme="minorBidi" w:cstheme="minorBidi"/>
          <w:rtl/>
        </w:rPr>
        <w:t>סעיף ח</w:t>
      </w:r>
      <w:r w:rsidR="006342C6" w:rsidRPr="005275DF">
        <w:rPr>
          <w:rFonts w:asciiTheme="minorBidi" w:hAnsiTheme="minorBidi" w:cstheme="minorBidi"/>
          <w:rtl/>
        </w:rPr>
        <w:t xml:space="preserve">: </w:t>
      </w:r>
      <w:r w:rsidR="00992491" w:rsidRPr="005275DF">
        <w:rPr>
          <w:rFonts w:asciiTheme="minorBidi" w:hAnsiTheme="minorBidi" w:cstheme="minorBidi"/>
          <w:rtl/>
        </w:rPr>
        <w:t>התרת/הפקעת</w:t>
      </w:r>
      <w:r w:rsidR="00F92C57">
        <w:rPr>
          <w:rFonts w:asciiTheme="minorBidi" w:hAnsiTheme="minorBidi" w:cstheme="minorBidi" w:hint="cs"/>
          <w:rtl/>
        </w:rPr>
        <w:t>/חיתוך</w:t>
      </w:r>
      <w:r w:rsidR="00992491" w:rsidRPr="005275DF">
        <w:rPr>
          <w:rFonts w:asciiTheme="minorBidi" w:hAnsiTheme="minorBidi" w:cstheme="minorBidi"/>
          <w:rtl/>
        </w:rPr>
        <w:t xml:space="preserve"> </w:t>
      </w:r>
      <w:r w:rsidR="00F92C57">
        <w:rPr>
          <w:rFonts w:asciiTheme="minorBidi" w:hAnsiTheme="minorBidi" w:cstheme="minorBidi" w:hint="cs"/>
          <w:rtl/>
        </w:rPr>
        <w:t>חותלות של תמרים.</w:t>
      </w:r>
      <w:r w:rsidR="00992491" w:rsidRPr="005275DF">
        <w:rPr>
          <w:rFonts w:asciiTheme="minorBidi" w:hAnsiTheme="minorBidi" w:cstheme="minorBidi"/>
          <w:rtl/>
        </w:rPr>
        <w:t xml:space="preserve"> </w:t>
      </w:r>
    </w:p>
    <w:p w14:paraId="28209577" w14:textId="2A232E6D" w:rsidR="006342C6" w:rsidRDefault="006342C6" w:rsidP="00434A6A">
      <w:pPr>
        <w:rPr>
          <w:rFonts w:asciiTheme="minorBidi" w:hAnsiTheme="minorBidi"/>
          <w:rtl/>
        </w:rPr>
      </w:pPr>
      <w:r w:rsidRPr="005275DF">
        <w:rPr>
          <w:rFonts w:asciiTheme="minorBidi" w:hAnsiTheme="minorBidi"/>
          <w:b/>
          <w:bCs/>
          <w:rtl/>
        </w:rPr>
        <w:t xml:space="preserve">שבת </w:t>
      </w:r>
      <w:r w:rsidR="00F92C57">
        <w:rPr>
          <w:rFonts w:asciiTheme="minorBidi" w:hAnsiTheme="minorBidi" w:hint="cs"/>
          <w:b/>
          <w:bCs/>
          <w:sz w:val="16"/>
          <w:szCs w:val="16"/>
          <w:rtl/>
        </w:rPr>
        <w:t xml:space="preserve">(פ' חבית) </w:t>
      </w:r>
      <w:r w:rsidRPr="005275DF">
        <w:rPr>
          <w:rFonts w:asciiTheme="minorBidi" w:hAnsiTheme="minorBidi"/>
          <w:b/>
          <w:bCs/>
          <w:rtl/>
        </w:rPr>
        <w:t xml:space="preserve">קמו ע"א: </w:t>
      </w:r>
      <w:r w:rsidRPr="005275DF">
        <w:rPr>
          <w:rFonts w:asciiTheme="minorBidi" w:hAnsiTheme="minorBidi"/>
          <w:rtl/>
        </w:rPr>
        <w:t>חותלות</w:t>
      </w:r>
      <w:r w:rsidRPr="005275DF">
        <w:rPr>
          <w:rStyle w:val="a9"/>
          <w:rFonts w:asciiTheme="minorBidi" w:hAnsiTheme="minorBidi"/>
          <w:rtl/>
        </w:rPr>
        <w:footnoteReference w:id="2241"/>
      </w:r>
      <w:r w:rsidRPr="005275DF">
        <w:rPr>
          <w:rFonts w:asciiTheme="minorBidi" w:hAnsiTheme="minorBidi"/>
          <w:rtl/>
        </w:rPr>
        <w:t xml:space="preserve"> של גרוגרות ושל תמרים - מתיר</w:t>
      </w:r>
      <w:r w:rsidRPr="005275DF">
        <w:rPr>
          <w:rStyle w:val="a9"/>
          <w:rFonts w:asciiTheme="minorBidi" w:hAnsiTheme="minorBidi"/>
          <w:rtl/>
        </w:rPr>
        <w:footnoteReference w:id="2242"/>
      </w:r>
      <w:r w:rsidRPr="005275DF">
        <w:rPr>
          <w:rFonts w:asciiTheme="minorBidi" w:hAnsiTheme="minorBidi"/>
          <w:rtl/>
        </w:rPr>
        <w:t xml:space="preserve"> ומפקיע</w:t>
      </w:r>
      <w:r w:rsidRPr="005275DF">
        <w:rPr>
          <w:rStyle w:val="a9"/>
          <w:rFonts w:asciiTheme="minorBidi" w:hAnsiTheme="minorBidi"/>
          <w:rtl/>
        </w:rPr>
        <w:footnoteReference w:id="2243"/>
      </w:r>
      <w:r w:rsidRPr="005275DF">
        <w:rPr>
          <w:rFonts w:asciiTheme="minorBidi" w:hAnsiTheme="minorBidi"/>
          <w:rtl/>
        </w:rPr>
        <w:t xml:space="preserve"> וחותך.</w:t>
      </w:r>
      <w:r w:rsidR="001B57DD" w:rsidRPr="001B57DD">
        <w:rPr>
          <w:rFonts w:asciiTheme="minorBidi" w:hAnsiTheme="minorBidi" w:cs="Arial"/>
          <w:sz w:val="16"/>
          <w:szCs w:val="16"/>
          <w:rtl/>
        </w:rPr>
        <w:t xml:space="preserve"> </w:t>
      </w:r>
      <w:r w:rsidR="002D5451">
        <w:rPr>
          <w:rFonts w:asciiTheme="minorBidi" w:hAnsiTheme="minorBidi" w:cs="Arial" w:hint="cs"/>
          <w:sz w:val="16"/>
          <w:szCs w:val="16"/>
          <w:rtl/>
        </w:rPr>
        <w:t>(</w:t>
      </w:r>
      <w:r w:rsidR="001B57DD" w:rsidRPr="001B57DD">
        <w:rPr>
          <w:rFonts w:asciiTheme="minorBidi" w:hAnsiTheme="minorBidi" w:cs="Arial"/>
          <w:sz w:val="16"/>
          <w:szCs w:val="16"/>
          <w:rtl/>
        </w:rPr>
        <w:t>וכתב הרמב"ם דין זה (פ</w:t>
      </w:r>
      <w:r w:rsidR="001B57DD">
        <w:rPr>
          <w:rFonts w:asciiTheme="minorBidi" w:hAnsiTheme="minorBidi" w:cs="Arial" w:hint="cs"/>
          <w:sz w:val="16"/>
          <w:szCs w:val="16"/>
          <w:rtl/>
        </w:rPr>
        <w:t>"</w:t>
      </w:r>
      <w:r w:rsidR="001B57DD" w:rsidRPr="001B57DD">
        <w:rPr>
          <w:rFonts w:asciiTheme="minorBidi" w:hAnsiTheme="minorBidi" w:cs="Arial"/>
          <w:sz w:val="16"/>
          <w:szCs w:val="16"/>
          <w:rtl/>
        </w:rPr>
        <w:t>י סוף ה"ג)</w:t>
      </w:r>
      <w:r w:rsidR="001B57DD">
        <w:rPr>
          <w:rFonts w:asciiTheme="minorBidi" w:hAnsiTheme="minorBidi" w:cs="Arial" w:hint="cs"/>
          <w:sz w:val="16"/>
          <w:szCs w:val="16"/>
          <w:rtl/>
        </w:rPr>
        <w:t>, ב"י)</w:t>
      </w:r>
    </w:p>
    <w:p w14:paraId="2056BF6F" w14:textId="1CDCD859" w:rsidR="00F92C57" w:rsidRPr="001B57DD" w:rsidRDefault="00F92C57" w:rsidP="00434A6A">
      <w:pPr>
        <w:rPr>
          <w:rFonts w:asciiTheme="minorBidi" w:hAnsiTheme="minorBidi" w:cs="Arial"/>
          <w:u w:val="single"/>
          <w:rtl/>
        </w:rPr>
      </w:pPr>
      <w:r w:rsidRPr="00F92C57">
        <w:rPr>
          <w:rFonts w:asciiTheme="minorBidi" w:hAnsiTheme="minorBidi"/>
          <w:u w:val="single"/>
          <w:rtl/>
        </w:rPr>
        <w:t>התרת/הפקעת</w:t>
      </w:r>
      <w:r w:rsidRPr="00F92C57">
        <w:rPr>
          <w:rFonts w:asciiTheme="minorBidi" w:hAnsiTheme="minorBidi" w:hint="cs"/>
          <w:u w:val="single"/>
          <w:rtl/>
        </w:rPr>
        <w:t>/חיתוך</w:t>
      </w:r>
      <w:r w:rsidRPr="00F92C57">
        <w:rPr>
          <w:rFonts w:asciiTheme="minorBidi" w:hAnsiTheme="minorBidi"/>
          <w:u w:val="single"/>
          <w:rtl/>
        </w:rPr>
        <w:t xml:space="preserve"> </w:t>
      </w:r>
      <w:r w:rsidRPr="00F92C57">
        <w:rPr>
          <w:rFonts w:asciiTheme="minorBidi" w:hAnsiTheme="minorBidi" w:hint="cs"/>
          <w:u w:val="single"/>
          <w:rtl/>
        </w:rPr>
        <w:t>חותלות של תמרים</w:t>
      </w:r>
      <w:r w:rsidRPr="00F92C57">
        <w:rPr>
          <w:rFonts w:asciiTheme="minorBidi" w:hAnsiTheme="minorBidi" w:cs="Arial" w:hint="cs"/>
          <w:sz w:val="16"/>
          <w:szCs w:val="16"/>
          <w:u w:val="single"/>
          <w:rtl/>
        </w:rPr>
        <w:t xml:space="preserve"> (סל שעשוי מעלי </w:t>
      </w:r>
      <w:r w:rsidR="00BE4BEB">
        <w:rPr>
          <w:rFonts w:asciiTheme="minorBidi" w:hAnsiTheme="minorBidi" w:cs="Arial" w:hint="cs"/>
          <w:sz w:val="16"/>
          <w:szCs w:val="16"/>
          <w:u w:val="single"/>
          <w:rtl/>
        </w:rPr>
        <w:t>כפות תמרים</w:t>
      </w:r>
      <w:r w:rsidRPr="00F92C57">
        <w:rPr>
          <w:rFonts w:asciiTheme="minorBidi" w:hAnsiTheme="minorBidi" w:cs="Arial" w:hint="cs"/>
          <w:sz w:val="16"/>
          <w:szCs w:val="16"/>
          <w:u w:val="single"/>
          <w:rtl/>
        </w:rPr>
        <w:t>}</w:t>
      </w:r>
      <w:r w:rsidRPr="00F92C57">
        <w:rPr>
          <w:rFonts w:asciiTheme="minorBidi" w:hAnsiTheme="minorBidi" w:cs="Arial" w:hint="cs"/>
          <w:u w:val="single"/>
          <w:rtl/>
        </w:rPr>
        <w:t>:</w:t>
      </w:r>
      <w:r w:rsidRPr="00F92C57">
        <w:rPr>
          <w:rFonts w:asciiTheme="minorBidi" w:hAnsiTheme="minorBidi" w:cs="Arial"/>
          <w:u w:val="single"/>
          <w:rtl/>
        </w:rPr>
        <w:t xml:space="preserve"> </w:t>
      </w:r>
      <w:r w:rsidR="004C7C95" w:rsidRPr="004C7C95">
        <w:rPr>
          <w:rFonts w:asciiTheme="minorBidi" w:hAnsiTheme="minorBidi" w:cs="Arial"/>
          <w:rtl/>
        </w:rPr>
        <w:t xml:space="preserve"> </w:t>
      </w:r>
    </w:p>
    <w:p w14:paraId="66EF42E3" w14:textId="40475E19" w:rsidR="00F92C57" w:rsidRPr="001B57DD" w:rsidRDefault="004C7C95" w:rsidP="00434A6A">
      <w:pPr>
        <w:pStyle w:val="aa"/>
        <w:numPr>
          <w:ilvl w:val="0"/>
          <w:numId w:val="23"/>
        </w:numPr>
        <w:rPr>
          <w:rFonts w:asciiTheme="minorBidi" w:hAnsiTheme="minorBidi" w:cs="Arial"/>
          <w:rtl/>
        </w:rPr>
      </w:pPr>
      <w:r w:rsidRPr="001B57DD">
        <w:rPr>
          <w:rFonts w:asciiTheme="minorBidi" w:hAnsiTheme="minorBidi" w:cs="Arial"/>
          <w:rtl/>
        </w:rPr>
        <w:t xml:space="preserve">כל בו </w:t>
      </w:r>
      <w:r w:rsidRPr="001B57DD">
        <w:rPr>
          <w:rFonts w:asciiTheme="minorBidi" w:hAnsiTheme="minorBidi" w:cs="Arial"/>
          <w:sz w:val="16"/>
          <w:szCs w:val="16"/>
          <w:rtl/>
        </w:rPr>
        <w:t>(סי' לא כו ע"ד)</w:t>
      </w:r>
      <w:r w:rsidR="00F92C57" w:rsidRPr="001B57DD">
        <w:rPr>
          <w:rFonts w:asciiTheme="minorBidi" w:hAnsiTheme="minorBidi" w:cs="Arial" w:hint="cs"/>
          <w:rtl/>
        </w:rPr>
        <w:t>-</w:t>
      </w:r>
      <w:r w:rsidRPr="001B57DD">
        <w:rPr>
          <w:rFonts w:asciiTheme="minorBidi" w:hAnsiTheme="minorBidi" w:cs="Arial"/>
          <w:rtl/>
        </w:rPr>
        <w:t xml:space="preserve"> חותלות של תמרים מתיר הקשרים ומפקיע כל החבלים ואפילו בסכין ואפילו גופן של חותלות לפי שכל זה כמו ששובר אגוז או שקדים בשביל האוכל שבהם</w:t>
      </w:r>
      <w:r w:rsidR="00F92C57" w:rsidRPr="001B57DD">
        <w:rPr>
          <w:rFonts w:asciiTheme="minorBidi" w:hAnsiTheme="minorBidi" w:cs="Arial"/>
          <w:rtl/>
        </w:rPr>
        <w:t>.</w:t>
      </w:r>
      <w:r w:rsidR="00951251" w:rsidRPr="00951251">
        <w:rPr>
          <w:rFonts w:asciiTheme="minorBidi" w:hAnsiTheme="minorBidi" w:hint="cs"/>
          <w:color w:val="E36C0A" w:themeColor="accent6" w:themeShade="BF"/>
          <w:rtl/>
        </w:rPr>
        <w:t xml:space="preserve"> </w:t>
      </w:r>
      <w:r w:rsidR="00951251" w:rsidRPr="00A310FC">
        <w:rPr>
          <w:rFonts w:asciiTheme="minorBidi" w:hAnsiTheme="minorBidi" w:hint="cs"/>
          <w:color w:val="E36C0A" w:themeColor="accent6" w:themeShade="BF"/>
          <w:rtl/>
        </w:rPr>
        <w:t>(וכ"פ בשו"ע)</w:t>
      </w:r>
    </w:p>
    <w:p w14:paraId="0512BD7E" w14:textId="77777777" w:rsidR="00B556BA" w:rsidRPr="005275DF" w:rsidRDefault="00B556BA" w:rsidP="00434A6A">
      <w:pPr>
        <w:rPr>
          <w:rFonts w:asciiTheme="minorBidi" w:hAnsiTheme="minorBidi"/>
          <w:rtl/>
        </w:rPr>
      </w:pPr>
      <w:r w:rsidRPr="005275DF">
        <w:rPr>
          <w:rFonts w:asciiTheme="minorBidi" w:hAnsiTheme="minorBidi"/>
          <w:b/>
          <w:bCs/>
          <w:sz w:val="32"/>
          <w:szCs w:val="28"/>
          <w:u w:val="single"/>
          <w:rtl/>
        </w:rPr>
        <w:t xml:space="preserve">שו"ע: </w:t>
      </w:r>
    </w:p>
    <w:p w14:paraId="3AFC3449" w14:textId="1169BCC3" w:rsidR="00B3737F" w:rsidRPr="005275DF" w:rsidRDefault="00B3737F" w:rsidP="00434A6A">
      <w:pPr>
        <w:rPr>
          <w:rFonts w:asciiTheme="minorBidi" w:hAnsiTheme="minorBidi"/>
          <w:sz w:val="16"/>
          <w:szCs w:val="16"/>
          <w:rtl/>
        </w:rPr>
      </w:pPr>
      <w:r w:rsidRPr="005275DF">
        <w:rPr>
          <w:rFonts w:asciiTheme="minorBidi" w:hAnsiTheme="minorBidi"/>
          <w:rtl/>
        </w:rPr>
        <w:t>חותלות</w:t>
      </w:r>
      <w:r w:rsidRPr="005275DF">
        <w:rPr>
          <w:rFonts w:asciiTheme="minorBidi" w:hAnsiTheme="minorBidi"/>
          <w:sz w:val="16"/>
          <w:szCs w:val="16"/>
          <w:rtl/>
        </w:rPr>
        <w:t xml:space="preserve"> </w:t>
      </w:r>
      <w:r w:rsidR="006342C6" w:rsidRPr="005275DF">
        <w:rPr>
          <w:rFonts w:asciiTheme="minorBidi" w:hAnsiTheme="minorBidi"/>
          <w:rtl/>
        </w:rPr>
        <w:t>של תמרים וגרוגרות אם הכיסוי קשור בחבל</w:t>
      </w:r>
      <w:r w:rsidRPr="005275DF">
        <w:rPr>
          <w:rFonts w:asciiTheme="minorBidi" w:hAnsiTheme="minorBidi"/>
          <w:rtl/>
        </w:rPr>
        <w:t xml:space="preserve"> מתיר וסות</w:t>
      </w:r>
      <w:r w:rsidR="006342C6" w:rsidRPr="005275DF">
        <w:rPr>
          <w:rFonts w:asciiTheme="minorBidi" w:hAnsiTheme="minorBidi"/>
          <w:rtl/>
        </w:rPr>
        <w:t>ר שרשרות החבל וחותך אפילו בסכין</w:t>
      </w:r>
      <w:r w:rsidR="00992491" w:rsidRPr="005275DF">
        <w:rPr>
          <w:rFonts w:asciiTheme="minorBidi" w:hAnsiTheme="minorBidi"/>
          <w:rtl/>
        </w:rPr>
        <w:t xml:space="preserve"> ואפילו</w:t>
      </w:r>
      <w:r w:rsidR="006342C6" w:rsidRPr="005275DF">
        <w:rPr>
          <w:rFonts w:asciiTheme="minorBidi" w:hAnsiTheme="minorBidi"/>
          <w:rtl/>
        </w:rPr>
        <w:t xml:space="preserve"> גופן של חותלות</w:t>
      </w:r>
      <w:r w:rsidRPr="005275DF">
        <w:rPr>
          <w:rFonts w:asciiTheme="minorBidi" w:hAnsiTheme="minorBidi"/>
          <w:rtl/>
        </w:rPr>
        <w:t xml:space="preserve"> שכל זה כמו ששובר אגוזים או שקדים כדי ליטול האוכל שבהם</w:t>
      </w:r>
      <w:r w:rsidR="00992491" w:rsidRPr="005275DF">
        <w:rPr>
          <w:rStyle w:val="a9"/>
          <w:rFonts w:asciiTheme="minorBidi" w:hAnsiTheme="minorBidi"/>
          <w:rtl/>
        </w:rPr>
        <w:footnoteReference w:id="2244"/>
      </w:r>
      <w:r w:rsidRPr="005275DF">
        <w:rPr>
          <w:rFonts w:asciiTheme="minorBidi" w:hAnsiTheme="minorBidi"/>
          <w:rtl/>
        </w:rPr>
        <w:t>.</w:t>
      </w:r>
    </w:p>
    <w:p w14:paraId="786EA01E" w14:textId="77777777" w:rsidR="00B3737F" w:rsidRPr="005275DF" w:rsidRDefault="00B3737F" w:rsidP="00434A6A">
      <w:pPr>
        <w:rPr>
          <w:rFonts w:asciiTheme="minorBidi" w:hAnsiTheme="minorBidi"/>
          <w:rtl/>
        </w:rPr>
      </w:pPr>
    </w:p>
    <w:p w14:paraId="4701A9AA" w14:textId="5F648EEB" w:rsidR="00992491" w:rsidRDefault="00B3737F" w:rsidP="00434A6A">
      <w:pPr>
        <w:pStyle w:val="2"/>
        <w:rPr>
          <w:rFonts w:asciiTheme="minorBidi" w:hAnsiTheme="minorBidi" w:cstheme="minorBidi"/>
          <w:rtl/>
        </w:rPr>
      </w:pPr>
      <w:r w:rsidRPr="005275DF">
        <w:rPr>
          <w:rFonts w:asciiTheme="minorBidi" w:hAnsiTheme="minorBidi" w:cstheme="minorBidi"/>
          <w:rtl/>
        </w:rPr>
        <w:t>סעיף ט</w:t>
      </w:r>
      <w:r w:rsidR="00992491" w:rsidRPr="005275DF">
        <w:rPr>
          <w:rFonts w:asciiTheme="minorBidi" w:hAnsiTheme="minorBidi" w:cstheme="minorBidi"/>
          <w:rtl/>
        </w:rPr>
        <w:t xml:space="preserve">: </w:t>
      </w:r>
      <w:r w:rsidR="00816302" w:rsidRPr="005275DF">
        <w:rPr>
          <w:rFonts w:asciiTheme="minorBidi" w:hAnsiTheme="minorBidi" w:cstheme="minorBidi"/>
          <w:rtl/>
        </w:rPr>
        <w:t xml:space="preserve">התרת/הפקעת </w:t>
      </w:r>
      <w:r w:rsidR="00992491" w:rsidRPr="005275DF">
        <w:rPr>
          <w:rFonts w:asciiTheme="minorBidi" w:hAnsiTheme="minorBidi" w:cstheme="minorBidi"/>
          <w:rtl/>
        </w:rPr>
        <w:t xml:space="preserve">קשרי השפוד </w:t>
      </w:r>
      <w:r w:rsidR="00992491" w:rsidRPr="00BE4BEB">
        <w:rPr>
          <w:rFonts w:asciiTheme="minorBidi" w:hAnsiTheme="minorBidi" w:cstheme="minorBidi"/>
          <w:sz w:val="18"/>
          <w:szCs w:val="18"/>
          <w:rtl/>
        </w:rPr>
        <w:t>(שקושרים בו טלה)</w:t>
      </w:r>
      <w:r w:rsidR="00992491" w:rsidRPr="005275DF">
        <w:rPr>
          <w:rFonts w:asciiTheme="minorBidi" w:hAnsiTheme="minorBidi" w:cstheme="minorBidi"/>
          <w:rtl/>
        </w:rPr>
        <w:t>.</w:t>
      </w:r>
    </w:p>
    <w:p w14:paraId="3DEFF469" w14:textId="5ABC3BD0" w:rsidR="00BE4BEB" w:rsidRPr="00232804" w:rsidRDefault="00232804" w:rsidP="00434A6A">
      <w:pPr>
        <w:rPr>
          <w:rFonts w:cs="Arial"/>
          <w:u w:val="single"/>
          <w:rtl/>
        </w:rPr>
      </w:pPr>
      <w:r w:rsidRPr="00232804">
        <w:rPr>
          <w:rFonts w:asciiTheme="minorBidi" w:hAnsiTheme="minorBidi"/>
          <w:u w:val="single"/>
          <w:rtl/>
        </w:rPr>
        <w:t>התרת/הפקעת קשרי השפוד</w:t>
      </w:r>
      <w:r w:rsidRPr="00232804">
        <w:rPr>
          <w:rFonts w:cs="Arial" w:hint="cs"/>
          <w:u w:val="single"/>
          <w:rtl/>
        </w:rPr>
        <w:t>:</w:t>
      </w:r>
    </w:p>
    <w:p w14:paraId="4823B111" w14:textId="3C1FAB51" w:rsidR="006F4FD2" w:rsidRPr="006F4FD2" w:rsidRDefault="00BE4BEB" w:rsidP="00434A6A">
      <w:pPr>
        <w:pStyle w:val="aa"/>
        <w:numPr>
          <w:ilvl w:val="0"/>
          <w:numId w:val="23"/>
        </w:numPr>
        <w:rPr>
          <w:rFonts w:cs="Arial"/>
        </w:rPr>
      </w:pPr>
      <w:r w:rsidRPr="00BE4BEB">
        <w:rPr>
          <w:rFonts w:cs="Arial"/>
          <w:rtl/>
        </w:rPr>
        <w:t>ראבי"ה</w:t>
      </w:r>
      <w:r w:rsidRPr="00BE4BEB">
        <w:rPr>
          <w:rFonts w:cs="Arial"/>
          <w:sz w:val="16"/>
          <w:szCs w:val="16"/>
          <w:rtl/>
        </w:rPr>
        <w:t xml:space="preserve"> </w:t>
      </w:r>
      <w:r>
        <w:rPr>
          <w:rFonts w:cs="Arial" w:hint="cs"/>
          <w:sz w:val="16"/>
          <w:szCs w:val="16"/>
          <w:rtl/>
        </w:rPr>
        <w:t>(</w:t>
      </w:r>
      <w:r w:rsidRPr="00BE4BEB">
        <w:rPr>
          <w:rFonts w:cs="Arial"/>
          <w:sz w:val="16"/>
          <w:szCs w:val="16"/>
          <w:rtl/>
        </w:rPr>
        <w:t>סי' תשעה)</w:t>
      </w:r>
      <w:r>
        <w:rPr>
          <w:rFonts w:cs="Arial" w:hint="cs"/>
          <w:rtl/>
        </w:rPr>
        <w:t>-</w:t>
      </w:r>
      <w:r w:rsidRPr="00BE4BEB">
        <w:rPr>
          <w:rFonts w:cs="Arial"/>
          <w:rtl/>
        </w:rPr>
        <w:t xml:space="preserve"> הילכתא כשמואל דסבירא ליה אין בנין בכלים ואין סתירה בכלים, כן נראה לי. ומטעם זה מותר לחתוך ולהפקיע ביום טוב קשרי השפוד שקושרין בו את הטלה. וקרוב הדבר בעיני שאף בשבת מותר, ואפילו למאן דאמר יש בנין בכלים, שהרי אינו כלי</w:t>
      </w:r>
      <w:r w:rsidR="006F4FD2">
        <w:rPr>
          <w:rFonts w:cs="Arial" w:hint="cs"/>
          <w:rtl/>
        </w:rPr>
        <w:t xml:space="preserve">, </w:t>
      </w:r>
      <w:r w:rsidRPr="00BE4BEB">
        <w:rPr>
          <w:rFonts w:cs="Arial"/>
          <w:rtl/>
        </w:rPr>
        <w:t>שאינו קשור לחבר שברים זה בזה, ולא דמי להיכי שקשור כסוי לכלי</w:t>
      </w:r>
      <w:r w:rsidR="006F4FD2">
        <w:rPr>
          <w:rStyle w:val="a9"/>
          <w:rFonts w:cs="Arial"/>
          <w:rtl/>
        </w:rPr>
        <w:footnoteReference w:id="2245"/>
      </w:r>
      <w:r w:rsidRPr="00BE4BEB">
        <w:rPr>
          <w:rFonts w:cs="Arial"/>
          <w:rtl/>
        </w:rPr>
        <w:t>.</w:t>
      </w:r>
      <w:r w:rsidR="00951251">
        <w:rPr>
          <w:rFonts w:asciiTheme="minorBidi" w:hAnsiTheme="minorBidi" w:hint="cs"/>
          <w:color w:val="E36C0A" w:themeColor="accent6" w:themeShade="BF"/>
          <w:rtl/>
        </w:rPr>
        <w:t xml:space="preserve"> </w:t>
      </w:r>
      <w:r w:rsidR="00951251" w:rsidRPr="00A310FC">
        <w:rPr>
          <w:rFonts w:asciiTheme="minorBidi" w:hAnsiTheme="minorBidi" w:hint="cs"/>
          <w:color w:val="E36C0A" w:themeColor="accent6" w:themeShade="BF"/>
          <w:rtl/>
        </w:rPr>
        <w:t>(וכ"פ בשו"ע)</w:t>
      </w:r>
    </w:p>
    <w:p w14:paraId="740A4AE1" w14:textId="33443DBE" w:rsidR="006F4FD2" w:rsidRPr="006F4FD2" w:rsidRDefault="00BE4BEB" w:rsidP="00434A6A">
      <w:pPr>
        <w:pStyle w:val="aa"/>
        <w:numPr>
          <w:ilvl w:val="0"/>
          <w:numId w:val="23"/>
        </w:numPr>
      </w:pPr>
      <w:r w:rsidRPr="00BE4BEB">
        <w:rPr>
          <w:rFonts w:cs="Arial"/>
          <w:rtl/>
        </w:rPr>
        <w:t>שבלי הלקט</w:t>
      </w:r>
      <w:r w:rsidRPr="006F4FD2">
        <w:rPr>
          <w:rFonts w:cs="Arial"/>
          <w:sz w:val="16"/>
          <w:szCs w:val="16"/>
          <w:rtl/>
        </w:rPr>
        <w:t xml:space="preserve"> (סי' פז)</w:t>
      </w:r>
      <w:r w:rsidR="006F4FD2">
        <w:rPr>
          <w:rFonts w:cs="Arial" w:hint="cs"/>
          <w:rtl/>
        </w:rPr>
        <w:t>-</w:t>
      </w:r>
      <w:r w:rsidR="006F4FD2" w:rsidRPr="006F4FD2">
        <w:rPr>
          <w:rtl/>
        </w:rPr>
        <w:t xml:space="preserve"> </w:t>
      </w:r>
      <w:r w:rsidR="006F4FD2" w:rsidRPr="006F4FD2">
        <w:rPr>
          <w:rFonts w:cs="Arial"/>
          <w:rtl/>
        </w:rPr>
        <w:t xml:space="preserve">כשיושב אדם בסעודה בשבת ופעמים מביאין לפניו תרנגולת צלויה או בשר צלוי וקשורים בגמי או בדבר אחר </w:t>
      </w:r>
      <w:r w:rsidR="006F4FD2">
        <w:rPr>
          <w:rFonts w:cs="Arial" w:hint="cs"/>
          <w:rtl/>
        </w:rPr>
        <w:t xml:space="preserve">- </w:t>
      </w:r>
      <w:r w:rsidR="006F4FD2" w:rsidRPr="006F4FD2">
        <w:rPr>
          <w:rFonts w:cs="Arial"/>
          <w:rtl/>
        </w:rPr>
        <w:t>מותר לו לחתוך אותו הקישור ואין בו איסור</w:t>
      </w:r>
      <w:r w:rsidR="006F4FD2">
        <w:rPr>
          <w:rFonts w:cs="Arial" w:hint="cs"/>
          <w:rtl/>
        </w:rPr>
        <w:t>.</w:t>
      </w:r>
      <w:r w:rsidR="006F4FD2" w:rsidRPr="006F4FD2">
        <w:rPr>
          <w:rFonts w:cs="Arial"/>
          <w:rtl/>
        </w:rPr>
        <w:t xml:space="preserve"> ופסיקת תלוש אינו אסור אלא אם מתקנו או למדה או לעשותו כלי</w:t>
      </w:r>
      <w:r w:rsidR="006F4FD2">
        <w:rPr>
          <w:rFonts w:cs="Arial" w:hint="cs"/>
          <w:rtl/>
        </w:rPr>
        <w:t>.</w:t>
      </w:r>
      <w:r w:rsidR="006F4FD2" w:rsidRPr="006F4FD2">
        <w:rPr>
          <w:rFonts w:cs="Arial"/>
          <w:rtl/>
        </w:rPr>
        <w:t xml:space="preserve"> וכן מצאתי שהעידו על אדם גדול ומנו ר' שניאור ב"ר יהודה ב"ר ברוך זצ"ל שראוהו שחתך קשרי הכבש שהיה קשור בו בשפוד כשהוא צלי</w:t>
      </w:r>
      <w:r w:rsidR="006F4FD2">
        <w:rPr>
          <w:rFonts w:cs="Arial" w:hint="cs"/>
          <w:rtl/>
        </w:rPr>
        <w:t>.</w:t>
      </w:r>
      <w:r w:rsidR="006F4FD2" w:rsidRPr="006F4FD2">
        <w:rPr>
          <w:rFonts w:cs="Arial"/>
          <w:rtl/>
        </w:rPr>
        <w:t xml:space="preserve"> ואפי' בפסיקת תלוש הורה ר' שאין שום איסור בשבת ואפי' שבות דרבנן אלא היתר גמור הוא כדאמרי' במסכת יום טוב</w:t>
      </w:r>
      <w:r w:rsidR="00232804">
        <w:rPr>
          <w:rFonts w:cs="Arial" w:hint="cs"/>
          <w:rtl/>
        </w:rPr>
        <w:t xml:space="preserve"> </w:t>
      </w:r>
      <w:r w:rsidR="00232804" w:rsidRPr="00BE4BEB">
        <w:rPr>
          <w:rFonts w:cs="Arial"/>
          <w:rtl/>
        </w:rPr>
        <w:t>(לא:)</w:t>
      </w:r>
      <w:r w:rsidR="006F4FD2" w:rsidRPr="006F4FD2">
        <w:rPr>
          <w:rFonts w:cs="Arial"/>
          <w:rtl/>
        </w:rPr>
        <w:t xml:space="preserve"> חותמות שבכלים מתיר ומפקיע וחותך</w:t>
      </w:r>
      <w:r w:rsidR="006F4FD2">
        <w:rPr>
          <w:rFonts w:cs="Arial" w:hint="cs"/>
          <w:rtl/>
        </w:rPr>
        <w:t>.</w:t>
      </w:r>
      <w:r w:rsidR="006F4FD2" w:rsidRPr="006F4FD2">
        <w:rPr>
          <w:rFonts w:cs="Arial"/>
          <w:rtl/>
        </w:rPr>
        <w:t xml:space="preserve"> ולפיכך לחתוך את התלוש היתר גמור הוא חוץ מדבר שיש בו תיקון כלי בחתיכתו</w:t>
      </w:r>
      <w:r w:rsidR="00232804">
        <w:rPr>
          <w:rFonts w:cs="Arial" w:hint="cs"/>
          <w:rtl/>
        </w:rPr>
        <w:t xml:space="preserve"> </w:t>
      </w:r>
      <w:r w:rsidR="00232804" w:rsidRPr="00BE4BEB">
        <w:rPr>
          <w:rFonts w:cs="Arial"/>
          <w:rtl/>
        </w:rPr>
        <w:t>(ביצה לג:)</w:t>
      </w:r>
      <w:r w:rsidR="006F4FD2">
        <w:rPr>
          <w:rFonts w:cs="Arial" w:hint="cs"/>
          <w:rtl/>
        </w:rPr>
        <w:t>,</w:t>
      </w:r>
      <w:r w:rsidR="006F4FD2" w:rsidRPr="006F4FD2">
        <w:rPr>
          <w:rFonts w:cs="Arial"/>
          <w:rtl/>
        </w:rPr>
        <w:t xml:space="preserve"> אבל מקלקלין בפסיקת תלוש מותר לגמרי</w:t>
      </w:r>
      <w:r w:rsidR="006F4FD2">
        <w:rPr>
          <w:rFonts w:cs="Arial" w:hint="cs"/>
          <w:rtl/>
        </w:rPr>
        <w:t>.</w:t>
      </w:r>
      <w:r w:rsidR="006F4FD2" w:rsidRPr="006F4FD2">
        <w:rPr>
          <w:rFonts w:cs="Arial"/>
          <w:rtl/>
        </w:rPr>
        <w:t xml:space="preserve"> וכן אנו נוהגין לחתוך בשבת אגד גדיים וגם עופות המקולסין וחוטי תפירתן וכמו כן לקטום אשכול של ענבים לחלקו לבני השלחן</w:t>
      </w:r>
      <w:r w:rsidR="006F4FD2">
        <w:rPr>
          <w:rFonts w:cs="Arial" w:hint="cs"/>
          <w:rtl/>
        </w:rPr>
        <w:t>.</w:t>
      </w:r>
      <w:r w:rsidR="00951251">
        <w:rPr>
          <w:rFonts w:hint="cs"/>
          <w:rtl/>
        </w:rPr>
        <w:t xml:space="preserve"> </w:t>
      </w:r>
      <w:r w:rsidR="00951251" w:rsidRPr="00A310FC">
        <w:rPr>
          <w:rFonts w:asciiTheme="minorBidi" w:hAnsiTheme="minorBidi" w:hint="cs"/>
          <w:color w:val="E36C0A" w:themeColor="accent6" w:themeShade="BF"/>
          <w:rtl/>
        </w:rPr>
        <w:t>(וכ"פ בשו"ע)</w:t>
      </w:r>
    </w:p>
    <w:p w14:paraId="25D6C7E2" w14:textId="77777777" w:rsidR="00B556BA" w:rsidRPr="005275DF" w:rsidRDefault="00B556BA" w:rsidP="00434A6A">
      <w:pPr>
        <w:rPr>
          <w:rFonts w:asciiTheme="minorBidi" w:hAnsiTheme="minorBidi"/>
          <w:rtl/>
        </w:rPr>
      </w:pPr>
      <w:r w:rsidRPr="005275DF">
        <w:rPr>
          <w:rFonts w:asciiTheme="minorBidi" w:hAnsiTheme="minorBidi"/>
          <w:b/>
          <w:bCs/>
          <w:sz w:val="32"/>
          <w:szCs w:val="28"/>
          <w:u w:val="single"/>
          <w:rtl/>
        </w:rPr>
        <w:t xml:space="preserve">שו"ע: </w:t>
      </w:r>
    </w:p>
    <w:p w14:paraId="3BBEFCDF" w14:textId="024F85DD" w:rsidR="00B3737F" w:rsidRPr="005275DF" w:rsidRDefault="00B3737F" w:rsidP="00434A6A">
      <w:pPr>
        <w:rPr>
          <w:rFonts w:asciiTheme="minorBidi" w:hAnsiTheme="minorBidi"/>
          <w:rtl/>
        </w:rPr>
      </w:pPr>
      <w:r w:rsidRPr="005275DF">
        <w:rPr>
          <w:rFonts w:asciiTheme="minorBidi" w:hAnsiTheme="minorBidi"/>
          <w:rtl/>
        </w:rPr>
        <w:t xml:space="preserve">מותר להפקיע ולחתוך קשרי השפוד שקושרים בטלה או בעוף הצלויים. </w:t>
      </w:r>
    </w:p>
    <w:p w14:paraId="28F7D3B3" w14:textId="77777777" w:rsidR="00B3737F" w:rsidRPr="005275DF" w:rsidRDefault="00B3737F" w:rsidP="00434A6A">
      <w:pPr>
        <w:rPr>
          <w:rFonts w:asciiTheme="minorBidi" w:hAnsiTheme="minorBidi"/>
          <w:rtl/>
        </w:rPr>
      </w:pPr>
    </w:p>
    <w:p w14:paraId="468147F4" w14:textId="4D8DCADE" w:rsidR="00B3737F" w:rsidRDefault="00B3737F" w:rsidP="00434A6A">
      <w:pPr>
        <w:pStyle w:val="2"/>
        <w:rPr>
          <w:rFonts w:asciiTheme="minorBidi" w:hAnsiTheme="minorBidi" w:cstheme="minorBidi"/>
          <w:rtl/>
        </w:rPr>
      </w:pPr>
      <w:r w:rsidRPr="005275DF">
        <w:rPr>
          <w:rFonts w:asciiTheme="minorBidi" w:hAnsiTheme="minorBidi" w:cstheme="minorBidi"/>
          <w:rtl/>
        </w:rPr>
        <w:t>סעיף י</w:t>
      </w:r>
      <w:r w:rsidR="00246118" w:rsidRPr="005275DF">
        <w:rPr>
          <w:rFonts w:asciiTheme="minorBidi" w:hAnsiTheme="minorBidi" w:cstheme="minorBidi"/>
          <w:rtl/>
        </w:rPr>
        <w:t>:</w:t>
      </w:r>
      <w:r w:rsidR="00345524" w:rsidRPr="005275DF">
        <w:rPr>
          <w:rFonts w:asciiTheme="minorBidi" w:hAnsiTheme="minorBidi" w:cstheme="minorBidi"/>
          <w:rtl/>
        </w:rPr>
        <w:t xml:space="preserve"> התרה/חיתוך/הפקעה/שבירה של חותמות שבקרקע. </w:t>
      </w:r>
    </w:p>
    <w:p w14:paraId="53AC79BE" w14:textId="1AC758B9" w:rsidR="00232804" w:rsidRPr="00232804" w:rsidRDefault="00232804" w:rsidP="00434A6A">
      <w:pPr>
        <w:rPr>
          <w:rtl/>
        </w:rPr>
      </w:pPr>
      <w:r w:rsidRPr="005275DF">
        <w:rPr>
          <w:rFonts w:asciiTheme="minorBidi" w:hAnsiTheme="minorBidi"/>
          <w:b/>
          <w:bCs/>
          <w:rtl/>
        </w:rPr>
        <w:t xml:space="preserve">ביצה </w:t>
      </w:r>
      <w:r>
        <w:rPr>
          <w:rFonts w:asciiTheme="minorBidi" w:hAnsiTheme="minorBidi" w:hint="cs"/>
          <w:b/>
          <w:bCs/>
          <w:sz w:val="16"/>
          <w:szCs w:val="16"/>
          <w:rtl/>
        </w:rPr>
        <w:t xml:space="preserve">(פ' המביא כדי יין) </w:t>
      </w:r>
      <w:r w:rsidRPr="005275DF">
        <w:rPr>
          <w:rFonts w:asciiTheme="minorBidi" w:hAnsiTheme="minorBidi"/>
          <w:b/>
          <w:bCs/>
          <w:rtl/>
        </w:rPr>
        <w:t xml:space="preserve">לא ע"ב: </w:t>
      </w:r>
      <w:r w:rsidRPr="005275DF">
        <w:rPr>
          <w:rFonts w:asciiTheme="minorBidi" w:hAnsiTheme="minorBidi"/>
          <w:u w:val="single"/>
          <w:rtl/>
        </w:rPr>
        <w:t>אמר שמואל</w:t>
      </w:r>
      <w:r w:rsidRPr="005275DF">
        <w:rPr>
          <w:rFonts w:asciiTheme="minorBidi" w:hAnsiTheme="minorBidi"/>
          <w:rtl/>
        </w:rPr>
        <w:t>: חותמות שבקרקע</w:t>
      </w:r>
      <w:r w:rsidRPr="005275DF">
        <w:rPr>
          <w:rStyle w:val="a9"/>
          <w:rFonts w:asciiTheme="minorBidi" w:hAnsiTheme="minorBidi"/>
          <w:rtl/>
        </w:rPr>
        <w:footnoteReference w:id="2246"/>
      </w:r>
      <w:r w:rsidRPr="005275DF">
        <w:rPr>
          <w:rFonts w:asciiTheme="minorBidi" w:hAnsiTheme="minorBidi"/>
          <w:rtl/>
        </w:rPr>
        <w:t xml:space="preserve"> מתיר</w:t>
      </w:r>
      <w:r w:rsidRPr="005275DF">
        <w:rPr>
          <w:rStyle w:val="a9"/>
          <w:rFonts w:asciiTheme="minorBidi" w:hAnsiTheme="minorBidi"/>
          <w:rtl/>
        </w:rPr>
        <w:footnoteReference w:id="2247"/>
      </w:r>
      <w:r w:rsidRPr="005275DF">
        <w:rPr>
          <w:rFonts w:asciiTheme="minorBidi" w:hAnsiTheme="minorBidi"/>
          <w:rtl/>
        </w:rPr>
        <w:t>, אבל לא מפקיע</w:t>
      </w:r>
      <w:r w:rsidRPr="005275DF">
        <w:rPr>
          <w:rStyle w:val="a9"/>
          <w:rFonts w:asciiTheme="minorBidi" w:hAnsiTheme="minorBidi"/>
          <w:rtl/>
        </w:rPr>
        <w:footnoteReference w:id="2248"/>
      </w:r>
      <w:r w:rsidRPr="005275DF">
        <w:rPr>
          <w:rFonts w:asciiTheme="minorBidi" w:hAnsiTheme="minorBidi"/>
          <w:rtl/>
        </w:rPr>
        <w:t xml:space="preserve"> ולא חותך</w:t>
      </w:r>
      <w:r w:rsidRPr="005275DF">
        <w:rPr>
          <w:rStyle w:val="a9"/>
          <w:rFonts w:asciiTheme="minorBidi" w:hAnsiTheme="minorBidi"/>
          <w:rtl/>
        </w:rPr>
        <w:footnoteReference w:id="2249"/>
      </w:r>
      <w:r w:rsidRPr="005275DF">
        <w:rPr>
          <w:rFonts w:asciiTheme="minorBidi" w:hAnsiTheme="minorBidi"/>
          <w:rtl/>
        </w:rPr>
        <w:t>.</w:t>
      </w:r>
    </w:p>
    <w:p w14:paraId="09165D47" w14:textId="74571590" w:rsidR="00232804" w:rsidRPr="00232804" w:rsidRDefault="00232804" w:rsidP="00434A6A">
      <w:pPr>
        <w:rPr>
          <w:u w:val="single"/>
          <w:rtl/>
        </w:rPr>
      </w:pPr>
      <w:r w:rsidRPr="00232804">
        <w:rPr>
          <w:rFonts w:asciiTheme="minorBidi" w:hAnsiTheme="minorBidi"/>
          <w:u w:val="single"/>
          <w:rtl/>
        </w:rPr>
        <w:t xml:space="preserve">התרה/חיתוך/הפקעה/שבירה של חותמות </w:t>
      </w:r>
      <w:r>
        <w:rPr>
          <w:rFonts w:asciiTheme="minorBidi" w:hAnsiTheme="minorBidi" w:hint="cs"/>
          <w:u w:val="single"/>
          <w:rtl/>
        </w:rPr>
        <w:t xml:space="preserve">של כיסויים המחוברים </w:t>
      </w:r>
      <w:r w:rsidRPr="00232804">
        <w:rPr>
          <w:rFonts w:asciiTheme="minorBidi" w:hAnsiTheme="minorBidi"/>
          <w:u w:val="single"/>
          <w:rtl/>
        </w:rPr>
        <w:t>בקרקע</w:t>
      </w:r>
      <w:r w:rsidRPr="00232804">
        <w:rPr>
          <w:rFonts w:hint="cs"/>
          <w:u w:val="single"/>
          <w:rtl/>
        </w:rPr>
        <w:t>:</w:t>
      </w:r>
    </w:p>
    <w:p w14:paraId="7FF31EB1" w14:textId="25FC15E6" w:rsidR="00232804" w:rsidRDefault="00094251" w:rsidP="00434A6A">
      <w:pPr>
        <w:pStyle w:val="aa"/>
        <w:numPr>
          <w:ilvl w:val="0"/>
          <w:numId w:val="21"/>
        </w:numPr>
        <w:rPr>
          <w:rFonts w:asciiTheme="minorBidi" w:hAnsiTheme="minorBidi" w:cs="Arial"/>
        </w:rPr>
      </w:pPr>
      <w:r>
        <w:rPr>
          <w:rFonts w:asciiTheme="minorBidi" w:hAnsiTheme="minorBidi" w:cs="Arial" w:hint="cs"/>
          <w:rtl/>
        </w:rPr>
        <w:t xml:space="preserve">טור- </w:t>
      </w:r>
      <w:r w:rsidRPr="00094251">
        <w:rPr>
          <w:rFonts w:asciiTheme="minorBidi" w:hAnsiTheme="minorBidi" w:cs="Arial"/>
          <w:rtl/>
        </w:rPr>
        <w:t>ושבקרקע כגון דלת של בור שקשור בו בחבל</w:t>
      </w:r>
      <w:r w:rsidR="00232804">
        <w:rPr>
          <w:rFonts w:asciiTheme="minorBidi" w:hAnsiTheme="minorBidi" w:cs="Arial" w:hint="cs"/>
          <w:rtl/>
        </w:rPr>
        <w:t xml:space="preserve"> -</w:t>
      </w:r>
      <w:r w:rsidRPr="00094251">
        <w:rPr>
          <w:rFonts w:asciiTheme="minorBidi" w:hAnsiTheme="minorBidi" w:cs="Arial"/>
          <w:rtl/>
        </w:rPr>
        <w:t xml:space="preserve"> יכול להתירו דלאו קשר של קיימא הוא שהרי עומד להתיר</w:t>
      </w:r>
      <w:r w:rsidR="00232804">
        <w:rPr>
          <w:rFonts w:asciiTheme="minorBidi" w:hAnsiTheme="minorBidi" w:cs="Arial" w:hint="cs"/>
          <w:rtl/>
        </w:rPr>
        <w:t>,</w:t>
      </w:r>
      <w:r w:rsidRPr="00094251">
        <w:rPr>
          <w:rFonts w:asciiTheme="minorBidi" w:hAnsiTheme="minorBidi" w:cs="Arial"/>
          <w:rtl/>
        </w:rPr>
        <w:t xml:space="preserve"> אבל לא מפקיע וחותך משום סתירה</w:t>
      </w:r>
      <w:r w:rsidRPr="00094251">
        <w:rPr>
          <w:rFonts w:asciiTheme="minorBidi" w:hAnsiTheme="minorBidi" w:cs="Arial" w:hint="cs"/>
          <w:rtl/>
        </w:rPr>
        <w:t>.</w:t>
      </w:r>
      <w:r w:rsidRPr="00094251">
        <w:rPr>
          <w:rFonts w:asciiTheme="minorBidi" w:hAnsiTheme="minorBidi" w:cs="Arial"/>
          <w:rtl/>
        </w:rPr>
        <w:t xml:space="preserve"> </w:t>
      </w:r>
      <w:r w:rsidR="00951251" w:rsidRPr="00A310FC">
        <w:rPr>
          <w:rFonts w:asciiTheme="minorBidi" w:hAnsiTheme="minorBidi" w:hint="cs"/>
          <w:color w:val="E36C0A" w:themeColor="accent6" w:themeShade="BF"/>
          <w:rtl/>
        </w:rPr>
        <w:t>(וכ"פ בשו"ע)</w:t>
      </w:r>
    </w:p>
    <w:p w14:paraId="7BDC685E" w14:textId="4063D461" w:rsidR="00232804" w:rsidRPr="006760B9" w:rsidRDefault="00232804" w:rsidP="00434A6A">
      <w:pPr>
        <w:ind w:left="360"/>
        <w:rPr>
          <w:rFonts w:asciiTheme="minorBidi" w:hAnsiTheme="minorBidi" w:cs="Arial"/>
          <w:u w:val="dotted"/>
        </w:rPr>
      </w:pPr>
      <w:r w:rsidRPr="006760B9">
        <w:rPr>
          <w:rFonts w:asciiTheme="minorBidi" w:hAnsiTheme="minorBidi" w:cs="Arial" w:hint="cs"/>
          <w:u w:val="dotted"/>
          <w:rtl/>
        </w:rPr>
        <w:t xml:space="preserve">ומה הדין </w:t>
      </w:r>
      <w:r w:rsidR="00A97A77">
        <w:rPr>
          <w:rFonts w:asciiTheme="minorBidi" w:hAnsiTheme="minorBidi" w:cs="Arial" w:hint="cs"/>
          <w:u w:val="dotted"/>
          <w:rtl/>
        </w:rPr>
        <w:t xml:space="preserve">אם </w:t>
      </w:r>
      <w:r w:rsidR="006760B9" w:rsidRPr="006760B9">
        <w:rPr>
          <w:rFonts w:asciiTheme="minorBidi" w:hAnsiTheme="minorBidi" w:cs="Arial" w:hint="cs"/>
          <w:u w:val="dotted"/>
          <w:rtl/>
        </w:rPr>
        <w:t>החותמת אינה עשויה לקיום כלל:</w:t>
      </w:r>
    </w:p>
    <w:p w14:paraId="6F16FAD6" w14:textId="10293A26" w:rsidR="004C7C95" w:rsidRPr="00951251" w:rsidRDefault="004C7C95" w:rsidP="00434A6A">
      <w:pPr>
        <w:pStyle w:val="aa"/>
        <w:numPr>
          <w:ilvl w:val="0"/>
          <w:numId w:val="21"/>
        </w:numPr>
        <w:rPr>
          <w:rFonts w:asciiTheme="minorBidi" w:hAnsiTheme="minorBidi" w:cs="Arial"/>
          <w:rtl/>
        </w:rPr>
      </w:pPr>
      <w:r w:rsidRPr="00232804">
        <w:rPr>
          <w:rFonts w:cs="Arial"/>
          <w:rtl/>
        </w:rPr>
        <w:t xml:space="preserve">מרדכי </w:t>
      </w:r>
      <w:r w:rsidRPr="00232804">
        <w:rPr>
          <w:rFonts w:cs="Arial"/>
          <w:sz w:val="16"/>
          <w:szCs w:val="16"/>
          <w:rtl/>
        </w:rPr>
        <w:t>(</w:t>
      </w:r>
      <w:r w:rsidR="00232804" w:rsidRPr="00232804">
        <w:rPr>
          <w:rFonts w:cs="Arial" w:hint="cs"/>
          <w:sz w:val="16"/>
          <w:szCs w:val="16"/>
          <w:rtl/>
        </w:rPr>
        <w:t xml:space="preserve">שבת </w:t>
      </w:r>
      <w:r w:rsidRPr="00232804">
        <w:rPr>
          <w:rFonts w:cs="Arial"/>
          <w:sz w:val="16"/>
          <w:szCs w:val="16"/>
          <w:rtl/>
        </w:rPr>
        <w:t>סי' תלח)</w:t>
      </w:r>
      <w:r w:rsidR="00232804" w:rsidRPr="00232804">
        <w:rPr>
          <w:rFonts w:cs="Arial" w:hint="cs"/>
          <w:rtl/>
        </w:rPr>
        <w:t xml:space="preserve">- </w:t>
      </w:r>
      <w:r w:rsidR="006760B9" w:rsidRPr="006760B9">
        <w:rPr>
          <w:rFonts w:cs="Arial"/>
          <w:rtl/>
        </w:rPr>
        <w:t>הורה ה"ר אביגדור כהן דדף שמשימין לפני התנור ושורקין אותו בתנור בטיט בע"ש במקום שאין נכרי</w:t>
      </w:r>
      <w:r w:rsidR="00006CE7">
        <w:rPr>
          <w:rFonts w:cs="Arial" w:hint="cs"/>
          <w:rtl/>
        </w:rPr>
        <w:t xml:space="preserve"> -</w:t>
      </w:r>
      <w:r w:rsidR="006760B9" w:rsidRPr="006760B9">
        <w:rPr>
          <w:rFonts w:cs="Arial"/>
          <w:rtl/>
        </w:rPr>
        <w:t xml:space="preserve"> אף היהודי יכול להסירו בשבת מן התנור</w:t>
      </w:r>
      <w:r w:rsidR="00006CE7">
        <w:rPr>
          <w:rFonts w:cs="Arial" w:hint="cs"/>
          <w:rtl/>
        </w:rPr>
        <w:t>.</w:t>
      </w:r>
      <w:r w:rsidR="006760B9" w:rsidRPr="006760B9">
        <w:rPr>
          <w:rFonts w:cs="Arial"/>
          <w:rtl/>
        </w:rPr>
        <w:t xml:space="preserve"> ואע</w:t>
      </w:r>
      <w:r w:rsidR="00006CE7">
        <w:rPr>
          <w:rFonts w:cs="Arial" w:hint="cs"/>
          <w:rtl/>
        </w:rPr>
        <w:t>"</w:t>
      </w:r>
      <w:r w:rsidR="006760B9" w:rsidRPr="006760B9">
        <w:rPr>
          <w:rFonts w:cs="Arial"/>
          <w:rtl/>
        </w:rPr>
        <w:t>ג דאמרי' חותמות שבקרקע מתיר ומפקיע אבל לא חותך פי' חותמות שבקרקע היינו חותמות שעל פי הבור והדות ודף שלפני התנור היינו חותמות שבקרקע ואנו מפקיעין ומשברין אותו ה"מ כשעשוי לקיום ע"מ שלא להסירן בשבת</w:t>
      </w:r>
      <w:r w:rsidR="00006CE7">
        <w:rPr>
          <w:rFonts w:cs="Arial" w:hint="cs"/>
          <w:rtl/>
        </w:rPr>
        <w:t>,</w:t>
      </w:r>
      <w:r w:rsidR="006760B9" w:rsidRPr="006760B9">
        <w:rPr>
          <w:rFonts w:cs="Arial"/>
          <w:rtl/>
        </w:rPr>
        <w:t xml:space="preserve"> אבל דף אינו עשוי לקיום</w:t>
      </w:r>
      <w:r w:rsidR="00951251">
        <w:rPr>
          <w:rStyle w:val="a9"/>
          <w:rFonts w:cs="Arial"/>
          <w:rtl/>
        </w:rPr>
        <w:footnoteReference w:id="2250"/>
      </w:r>
      <w:r w:rsidRPr="00232804">
        <w:rPr>
          <w:rFonts w:cs="Arial"/>
          <w:rtl/>
        </w:rPr>
        <w:t xml:space="preserve">. </w:t>
      </w:r>
      <w:r w:rsidR="00951251" w:rsidRPr="00A310FC">
        <w:rPr>
          <w:rFonts w:asciiTheme="minorBidi" w:hAnsiTheme="minorBidi" w:hint="cs"/>
          <w:color w:val="E36C0A" w:themeColor="accent6" w:themeShade="BF"/>
          <w:rtl/>
        </w:rPr>
        <w:t>(וכ"פ בשו"ע)</w:t>
      </w:r>
    </w:p>
    <w:p w14:paraId="68B231E2" w14:textId="77777777" w:rsidR="00B556BA" w:rsidRPr="005275DF" w:rsidRDefault="00B556BA" w:rsidP="00434A6A">
      <w:pPr>
        <w:rPr>
          <w:rFonts w:asciiTheme="minorBidi" w:hAnsiTheme="minorBidi"/>
          <w:rtl/>
        </w:rPr>
      </w:pPr>
      <w:r w:rsidRPr="005275DF">
        <w:rPr>
          <w:rFonts w:asciiTheme="minorBidi" w:hAnsiTheme="minorBidi"/>
          <w:b/>
          <w:bCs/>
          <w:sz w:val="32"/>
          <w:szCs w:val="28"/>
          <w:u w:val="single"/>
          <w:rtl/>
        </w:rPr>
        <w:t xml:space="preserve">שו"ע: </w:t>
      </w:r>
    </w:p>
    <w:p w14:paraId="3BCD7EB2" w14:textId="70CAC51D" w:rsidR="00B3737F" w:rsidRDefault="00246118" w:rsidP="00434A6A">
      <w:pPr>
        <w:rPr>
          <w:rFonts w:asciiTheme="minorBidi" w:hAnsiTheme="minorBidi"/>
          <w:rtl/>
        </w:rPr>
      </w:pPr>
      <w:r w:rsidRPr="005275DF">
        <w:rPr>
          <w:rFonts w:asciiTheme="minorBidi" w:hAnsiTheme="minorBidi"/>
          <w:rtl/>
        </w:rPr>
        <w:t>חותמות שבקרקע כגון דלת של בור שקשור בו חבל</w:t>
      </w:r>
      <w:r w:rsidR="00B3737F" w:rsidRPr="005275DF">
        <w:rPr>
          <w:rFonts w:asciiTheme="minorBidi" w:hAnsiTheme="minorBidi"/>
          <w:rtl/>
        </w:rPr>
        <w:t xml:space="preserve"> יכ</w:t>
      </w:r>
      <w:r w:rsidRPr="005275DF">
        <w:rPr>
          <w:rFonts w:asciiTheme="minorBidi" w:hAnsiTheme="minorBidi"/>
          <w:rtl/>
        </w:rPr>
        <w:t>ול להתירו</w:t>
      </w:r>
      <w:r w:rsidR="00A97A77">
        <w:rPr>
          <w:rFonts w:asciiTheme="minorBidi" w:hAnsiTheme="minorBidi" w:hint="cs"/>
          <w:rtl/>
        </w:rPr>
        <w:t>,</w:t>
      </w:r>
      <w:r w:rsidRPr="005275DF">
        <w:rPr>
          <w:rFonts w:asciiTheme="minorBidi" w:hAnsiTheme="minorBidi"/>
          <w:rtl/>
        </w:rPr>
        <w:t xml:space="preserve"> דלאו קשר של קיימא הוא</w:t>
      </w:r>
      <w:r w:rsidR="00A97A77">
        <w:rPr>
          <w:rFonts w:asciiTheme="minorBidi" w:hAnsiTheme="minorBidi" w:hint="cs"/>
          <w:rtl/>
        </w:rPr>
        <w:t>,</w:t>
      </w:r>
      <w:r w:rsidRPr="005275DF">
        <w:rPr>
          <w:rFonts w:asciiTheme="minorBidi" w:hAnsiTheme="minorBidi"/>
          <w:rtl/>
        </w:rPr>
        <w:t xml:space="preserve"> שהרי עומד להתיר</w:t>
      </w:r>
      <w:r w:rsidR="00A97A77">
        <w:rPr>
          <w:rFonts w:asciiTheme="minorBidi" w:hAnsiTheme="minorBidi" w:hint="cs"/>
          <w:rtl/>
        </w:rPr>
        <w:t>.</w:t>
      </w:r>
      <w:r w:rsidRPr="005275DF">
        <w:rPr>
          <w:rFonts w:asciiTheme="minorBidi" w:hAnsiTheme="minorBidi"/>
          <w:rtl/>
        </w:rPr>
        <w:t xml:space="preserve"> אבל לא מפקיע וחותך</w:t>
      </w:r>
      <w:r w:rsidR="00A97A77">
        <w:rPr>
          <w:rFonts w:asciiTheme="minorBidi" w:hAnsiTheme="minorBidi" w:hint="cs"/>
          <w:rtl/>
        </w:rPr>
        <w:t>,</w:t>
      </w:r>
      <w:r w:rsidRPr="005275DF">
        <w:rPr>
          <w:rFonts w:asciiTheme="minorBidi" w:hAnsiTheme="minorBidi"/>
          <w:rtl/>
        </w:rPr>
        <w:t xml:space="preserve"> משום סתירה</w:t>
      </w:r>
      <w:r w:rsidR="00A97A77">
        <w:rPr>
          <w:rFonts w:asciiTheme="minorBidi" w:hAnsiTheme="minorBidi" w:hint="cs"/>
          <w:rtl/>
        </w:rPr>
        <w:t>.</w:t>
      </w:r>
      <w:r w:rsidR="00B3737F" w:rsidRPr="005275DF">
        <w:rPr>
          <w:rFonts w:asciiTheme="minorBidi" w:hAnsiTheme="minorBidi"/>
          <w:rtl/>
        </w:rPr>
        <w:t xml:space="preserve"> ודוקא כשעש</w:t>
      </w:r>
      <w:r w:rsidRPr="005275DF">
        <w:rPr>
          <w:rFonts w:asciiTheme="minorBidi" w:hAnsiTheme="minorBidi"/>
          <w:rtl/>
        </w:rPr>
        <w:t>וי לקיים על מנת שלא להסירו בשבת</w:t>
      </w:r>
      <w:r w:rsidR="00A97A77">
        <w:rPr>
          <w:rFonts w:asciiTheme="minorBidi" w:hAnsiTheme="minorBidi" w:hint="cs"/>
          <w:rtl/>
        </w:rPr>
        <w:t>,</w:t>
      </w:r>
      <w:r w:rsidR="00B3737F" w:rsidRPr="005275DF">
        <w:rPr>
          <w:rFonts w:asciiTheme="minorBidi" w:hAnsiTheme="minorBidi"/>
          <w:rtl/>
        </w:rPr>
        <w:t xml:space="preserve"> אבל אם אינו עש</w:t>
      </w:r>
      <w:r w:rsidRPr="005275DF">
        <w:rPr>
          <w:rFonts w:asciiTheme="minorBidi" w:hAnsiTheme="minorBidi"/>
          <w:rtl/>
        </w:rPr>
        <w:t>וי לקיים כלל מותר,</w:t>
      </w:r>
      <w:r w:rsidR="00B3737F" w:rsidRPr="005275DF">
        <w:rPr>
          <w:rFonts w:asciiTheme="minorBidi" w:hAnsiTheme="minorBidi"/>
          <w:rtl/>
        </w:rPr>
        <w:t xml:space="preserve"> ומטעם זה מותר להתיר דף שמשימין או</w:t>
      </w:r>
      <w:r w:rsidRPr="005275DF">
        <w:rPr>
          <w:rFonts w:asciiTheme="minorBidi" w:hAnsiTheme="minorBidi"/>
          <w:rtl/>
        </w:rPr>
        <w:t>תו לפני התנור ושורקין אותו בטיט שאינו עשוי לקיום</w:t>
      </w:r>
      <w:r w:rsidR="00345524" w:rsidRPr="005275DF">
        <w:rPr>
          <w:rFonts w:asciiTheme="minorBidi" w:hAnsiTheme="minorBidi"/>
          <w:rtl/>
        </w:rPr>
        <w:t>.</w:t>
      </w:r>
      <w:r w:rsidRPr="005275DF">
        <w:rPr>
          <w:rFonts w:asciiTheme="minorBidi" w:hAnsiTheme="minorBidi"/>
          <w:rtl/>
        </w:rPr>
        <w:t xml:space="preserve"> </w:t>
      </w:r>
      <w:r w:rsidRPr="005275DF">
        <w:rPr>
          <w:rFonts w:asciiTheme="minorBidi" w:hAnsiTheme="minorBidi"/>
          <w:sz w:val="18"/>
          <w:szCs w:val="18"/>
          <w:rtl/>
        </w:rPr>
        <w:t xml:space="preserve">הגה: </w:t>
      </w:r>
      <w:r w:rsidR="00B3737F" w:rsidRPr="005275DF">
        <w:rPr>
          <w:rFonts w:asciiTheme="minorBidi" w:hAnsiTheme="minorBidi"/>
          <w:sz w:val="18"/>
          <w:szCs w:val="18"/>
          <w:rtl/>
        </w:rPr>
        <w:t>וע"ל סי' רנ"ט</w:t>
      </w:r>
      <w:r w:rsidR="00816302" w:rsidRPr="005275DF">
        <w:rPr>
          <w:rStyle w:val="a9"/>
          <w:rFonts w:asciiTheme="minorBidi" w:hAnsiTheme="minorBidi"/>
          <w:sz w:val="18"/>
          <w:szCs w:val="18"/>
          <w:rtl/>
        </w:rPr>
        <w:footnoteReference w:id="2251"/>
      </w:r>
      <w:r w:rsidR="00232804">
        <w:rPr>
          <w:rFonts w:asciiTheme="minorBidi" w:hAnsiTheme="minorBidi" w:hint="cs"/>
          <w:sz w:val="18"/>
          <w:szCs w:val="18"/>
          <w:rtl/>
        </w:rPr>
        <w:t>.</w:t>
      </w:r>
    </w:p>
    <w:p w14:paraId="1752820B" w14:textId="77777777" w:rsidR="00232804" w:rsidRPr="005275DF" w:rsidRDefault="00232804" w:rsidP="00434A6A">
      <w:pPr>
        <w:rPr>
          <w:rFonts w:asciiTheme="minorBidi" w:hAnsiTheme="minorBidi"/>
          <w:rtl/>
        </w:rPr>
      </w:pPr>
    </w:p>
    <w:p w14:paraId="55825545" w14:textId="77777777" w:rsidR="00B3737F" w:rsidRPr="005275DF" w:rsidRDefault="00B3737F" w:rsidP="00434A6A">
      <w:pPr>
        <w:pStyle w:val="2"/>
        <w:rPr>
          <w:rFonts w:asciiTheme="minorBidi" w:hAnsiTheme="minorBidi" w:cstheme="minorBidi"/>
          <w:rtl/>
        </w:rPr>
      </w:pPr>
      <w:r w:rsidRPr="005275DF">
        <w:rPr>
          <w:rFonts w:asciiTheme="minorBidi" w:hAnsiTheme="minorBidi" w:cstheme="minorBidi"/>
          <w:rtl/>
        </w:rPr>
        <w:t>סעיף יא</w:t>
      </w:r>
      <w:r w:rsidR="00816302" w:rsidRPr="005275DF">
        <w:rPr>
          <w:rFonts w:asciiTheme="minorBidi" w:hAnsiTheme="minorBidi" w:cstheme="minorBidi"/>
          <w:rtl/>
        </w:rPr>
        <w:t xml:space="preserve">: </w:t>
      </w:r>
      <w:r w:rsidR="004A03C9" w:rsidRPr="005275DF">
        <w:rPr>
          <w:rFonts w:asciiTheme="minorBidi" w:hAnsiTheme="minorBidi" w:cstheme="minorBidi"/>
          <w:rtl/>
        </w:rPr>
        <w:t>סתימת נקב שבחבית.</w:t>
      </w:r>
    </w:p>
    <w:p w14:paraId="040E1368" w14:textId="3AC7DA59" w:rsidR="00816302" w:rsidRPr="005275DF" w:rsidRDefault="00816302" w:rsidP="00434A6A">
      <w:pPr>
        <w:rPr>
          <w:rFonts w:asciiTheme="minorBidi" w:hAnsiTheme="minorBidi"/>
          <w:sz w:val="18"/>
          <w:szCs w:val="18"/>
        </w:rPr>
      </w:pPr>
      <w:r w:rsidRPr="005275DF">
        <w:rPr>
          <w:rFonts w:asciiTheme="minorBidi" w:hAnsiTheme="minorBidi"/>
          <w:b/>
          <w:bCs/>
          <w:rtl/>
        </w:rPr>
        <w:t xml:space="preserve">שבת </w:t>
      </w:r>
      <w:r w:rsidR="000D7A7F">
        <w:rPr>
          <w:rFonts w:asciiTheme="minorBidi" w:hAnsiTheme="minorBidi" w:hint="cs"/>
          <w:b/>
          <w:bCs/>
          <w:sz w:val="16"/>
          <w:szCs w:val="16"/>
          <w:rtl/>
        </w:rPr>
        <w:t xml:space="preserve">(פ' חבית) </w:t>
      </w:r>
      <w:r w:rsidRPr="005275DF">
        <w:rPr>
          <w:rFonts w:asciiTheme="minorBidi" w:hAnsiTheme="minorBidi"/>
          <w:b/>
          <w:bCs/>
          <w:rtl/>
        </w:rPr>
        <w:t xml:space="preserve">קמו ע"א: </w:t>
      </w:r>
      <w:r w:rsidRPr="005275DF">
        <w:rPr>
          <w:rFonts w:asciiTheme="minorBidi" w:hAnsiTheme="minorBidi"/>
          <w:u w:val="double"/>
          <w:rtl/>
        </w:rPr>
        <w:t>משנה</w:t>
      </w:r>
      <w:r w:rsidR="00C42E5F">
        <w:rPr>
          <w:rFonts w:asciiTheme="minorBidi" w:hAnsiTheme="minorBidi" w:hint="cs"/>
          <w:rtl/>
        </w:rPr>
        <w:t>:...</w:t>
      </w:r>
      <w:r w:rsidRPr="005275DF">
        <w:rPr>
          <w:rFonts w:asciiTheme="minorBidi" w:hAnsiTheme="minorBidi"/>
          <w:rtl/>
        </w:rPr>
        <w:t xml:space="preserve"> ולא יקבנה מצדה, ואם היתה נקובה - לא יתן עליה שעוה, מפני שהוא ממרח</w:t>
      </w:r>
      <w:r w:rsidRPr="005275DF">
        <w:rPr>
          <w:rStyle w:val="a9"/>
          <w:rFonts w:asciiTheme="minorBidi" w:hAnsiTheme="minorBidi"/>
          <w:rtl/>
        </w:rPr>
        <w:footnoteReference w:id="2252"/>
      </w:r>
      <w:r w:rsidRPr="005275DF">
        <w:rPr>
          <w:rFonts w:asciiTheme="minorBidi" w:hAnsiTheme="minorBidi"/>
          <w:rtl/>
        </w:rPr>
        <w:t xml:space="preserve">. </w:t>
      </w:r>
      <w:r w:rsidRPr="005275DF">
        <w:rPr>
          <w:rFonts w:asciiTheme="minorBidi" w:hAnsiTheme="minorBidi"/>
          <w:u w:val="single"/>
          <w:rtl/>
        </w:rPr>
        <w:t>אמר רבי יהודה</w:t>
      </w:r>
      <w:r w:rsidRPr="005275DF">
        <w:rPr>
          <w:rFonts w:asciiTheme="minorBidi" w:hAnsiTheme="minorBidi"/>
          <w:rtl/>
        </w:rPr>
        <w:t>: מעשה בא לפני רבן יוחנן בן זכאי בערב</w:t>
      </w:r>
      <w:r w:rsidRPr="005275DF">
        <w:rPr>
          <w:rStyle w:val="a9"/>
          <w:rFonts w:asciiTheme="minorBidi" w:hAnsiTheme="minorBidi"/>
          <w:rtl/>
        </w:rPr>
        <w:footnoteReference w:id="2253"/>
      </w:r>
      <w:r w:rsidRPr="005275DF">
        <w:rPr>
          <w:rFonts w:asciiTheme="minorBidi" w:hAnsiTheme="minorBidi"/>
          <w:rtl/>
        </w:rPr>
        <w:t xml:space="preserve"> ואמר חוששני לו מחטאת</w:t>
      </w:r>
      <w:r w:rsidRPr="005275DF">
        <w:rPr>
          <w:rStyle w:val="a9"/>
          <w:rFonts w:asciiTheme="minorBidi" w:hAnsiTheme="minorBidi"/>
          <w:rtl/>
        </w:rPr>
        <w:footnoteReference w:id="2254"/>
      </w:r>
      <w:r w:rsidRPr="005275DF">
        <w:rPr>
          <w:rFonts w:asciiTheme="minorBidi" w:hAnsiTheme="minorBidi"/>
          <w:rtl/>
        </w:rPr>
        <w:t>.</w:t>
      </w:r>
      <w:r w:rsidR="009A4666" w:rsidRPr="005275DF">
        <w:rPr>
          <w:rFonts w:asciiTheme="minorBidi" w:hAnsiTheme="minorBidi"/>
          <w:rtl/>
        </w:rPr>
        <w:t xml:space="preserve">       </w:t>
      </w:r>
      <w:r w:rsidR="009A4666" w:rsidRPr="005275DF">
        <w:rPr>
          <w:rFonts w:asciiTheme="minorBidi" w:hAnsiTheme="minorBidi"/>
          <w:u w:val="double"/>
          <w:rtl/>
        </w:rPr>
        <w:t>גמ':</w:t>
      </w:r>
      <w:r w:rsidR="009A4666" w:rsidRPr="005275DF">
        <w:rPr>
          <w:rFonts w:asciiTheme="minorBidi" w:hAnsiTheme="minorBidi"/>
          <w:rtl/>
        </w:rPr>
        <w:t xml:space="preserve"> מישחא</w:t>
      </w:r>
      <w:r w:rsidR="009A4666" w:rsidRPr="005275DF">
        <w:rPr>
          <w:rStyle w:val="a9"/>
          <w:rFonts w:asciiTheme="minorBidi" w:hAnsiTheme="minorBidi"/>
          <w:rtl/>
        </w:rPr>
        <w:footnoteReference w:id="2255"/>
      </w:r>
      <w:r w:rsidR="009A4666" w:rsidRPr="005275DF">
        <w:rPr>
          <w:rFonts w:asciiTheme="minorBidi" w:hAnsiTheme="minorBidi"/>
          <w:rtl/>
        </w:rPr>
        <w:t xml:space="preserve">, </w:t>
      </w:r>
      <w:r w:rsidR="009A4666" w:rsidRPr="005275DF">
        <w:rPr>
          <w:rFonts w:asciiTheme="minorBidi" w:hAnsiTheme="minorBidi"/>
          <w:u w:val="single"/>
          <w:rtl/>
        </w:rPr>
        <w:t>רב</w:t>
      </w:r>
      <w:r w:rsidR="009A4666" w:rsidRPr="005275DF">
        <w:rPr>
          <w:rFonts w:asciiTheme="minorBidi" w:hAnsiTheme="minorBidi"/>
          <w:rtl/>
        </w:rPr>
        <w:t xml:space="preserve"> אסר</w:t>
      </w:r>
      <w:r w:rsidR="009A4666" w:rsidRPr="005275DF">
        <w:rPr>
          <w:rStyle w:val="a9"/>
          <w:rFonts w:asciiTheme="minorBidi" w:hAnsiTheme="minorBidi"/>
          <w:rtl/>
        </w:rPr>
        <w:footnoteReference w:id="2256"/>
      </w:r>
      <w:r w:rsidR="009A4666" w:rsidRPr="005275DF">
        <w:rPr>
          <w:rFonts w:asciiTheme="minorBidi" w:hAnsiTheme="minorBidi"/>
          <w:rtl/>
        </w:rPr>
        <w:t xml:space="preserve">, </w:t>
      </w:r>
      <w:r w:rsidR="009A4666" w:rsidRPr="005275DF">
        <w:rPr>
          <w:rFonts w:asciiTheme="minorBidi" w:hAnsiTheme="minorBidi"/>
          <w:u w:val="single"/>
          <w:rtl/>
        </w:rPr>
        <w:t>ושמואל</w:t>
      </w:r>
      <w:r w:rsidR="009A4666" w:rsidRPr="005275DF">
        <w:rPr>
          <w:rFonts w:asciiTheme="minorBidi" w:hAnsiTheme="minorBidi"/>
          <w:rtl/>
        </w:rPr>
        <w:t xml:space="preserve"> שרי. מאן דאסר - גזרינן משום שעוה, ומאן דשרי - לא גזרינן. </w:t>
      </w:r>
      <w:r w:rsidR="009A4666" w:rsidRPr="005275DF">
        <w:rPr>
          <w:rFonts w:asciiTheme="minorBidi" w:hAnsiTheme="minorBidi"/>
          <w:u w:val="single"/>
          <w:rtl/>
        </w:rPr>
        <w:t>אמר ליה רב שמואל בר בר חנה לרב יוסף</w:t>
      </w:r>
      <w:r w:rsidR="009A4666" w:rsidRPr="005275DF">
        <w:rPr>
          <w:rFonts w:asciiTheme="minorBidi" w:hAnsiTheme="minorBidi"/>
          <w:rtl/>
        </w:rPr>
        <w:t xml:space="preserve">: בפירוש אמרת לן משמיה דרב מישחא שרי. </w:t>
      </w:r>
      <w:r w:rsidR="00197226">
        <w:rPr>
          <w:rFonts w:asciiTheme="minorBidi" w:hAnsiTheme="minorBidi" w:cs="Arial" w:hint="cs"/>
          <w:sz w:val="16"/>
          <w:szCs w:val="16"/>
          <w:rtl/>
        </w:rPr>
        <w:t>(</w:t>
      </w:r>
      <w:r w:rsidR="00197226" w:rsidRPr="00197226">
        <w:rPr>
          <w:rFonts w:asciiTheme="minorBidi" w:hAnsiTheme="minorBidi" w:cs="Arial"/>
          <w:sz w:val="16"/>
          <w:szCs w:val="16"/>
          <w:rtl/>
        </w:rPr>
        <w:t>וכתבו הרי"ף (סא:) והרא"ש (סי' ח) והלכתא כרב. ואע</w:t>
      </w:r>
      <w:r w:rsidR="005333B3">
        <w:rPr>
          <w:rFonts w:asciiTheme="minorBidi" w:hAnsiTheme="minorBidi" w:cs="Arial" w:hint="cs"/>
          <w:sz w:val="16"/>
          <w:szCs w:val="16"/>
          <w:rtl/>
        </w:rPr>
        <w:t>"</w:t>
      </w:r>
      <w:r w:rsidR="00197226" w:rsidRPr="00197226">
        <w:rPr>
          <w:rFonts w:asciiTheme="minorBidi" w:hAnsiTheme="minorBidi" w:cs="Arial"/>
          <w:sz w:val="16"/>
          <w:szCs w:val="16"/>
          <w:rtl/>
        </w:rPr>
        <w:t>ג דאיתא בגמרא אמר ליה רב שמואל בר בר חנה לרב יוסף בפירוש אמרת לן משמיה דרב מישחא שרי לא חשו ליה הרי"ף והרא"ש משום דלישנא דסתם תלמודא דאמר דרב אסר עדיף טפי</w:t>
      </w:r>
      <w:r w:rsidR="00A5734F">
        <w:rPr>
          <w:rFonts w:asciiTheme="minorBidi" w:hAnsiTheme="minorBidi" w:cs="Arial" w:hint="cs"/>
          <w:sz w:val="16"/>
          <w:szCs w:val="16"/>
          <w:rtl/>
        </w:rPr>
        <w:t>.</w:t>
      </w:r>
      <w:r w:rsidR="00A5734F" w:rsidRPr="00A5734F">
        <w:rPr>
          <w:rFonts w:asciiTheme="minorBidi" w:hAnsiTheme="minorBidi" w:cs="Arial"/>
          <w:sz w:val="16"/>
          <w:szCs w:val="16"/>
          <w:rtl/>
        </w:rPr>
        <w:t xml:space="preserve"> ומשמע מהכא דלא אסרינן אלא בשעוה וכיוצא בו שהוא דבר המתמרח</w:t>
      </w:r>
      <w:r w:rsidR="00A5734F" w:rsidRPr="00A5734F">
        <w:rPr>
          <w:rFonts w:asciiTheme="minorBidi" w:hAnsiTheme="minorBidi" w:cs="Arial" w:hint="cs"/>
          <w:sz w:val="16"/>
          <w:szCs w:val="16"/>
          <w:rtl/>
        </w:rPr>
        <w:t>,</w:t>
      </w:r>
      <w:r w:rsidR="00A5734F" w:rsidRPr="00A5734F">
        <w:rPr>
          <w:rFonts w:asciiTheme="minorBidi" w:hAnsiTheme="minorBidi" w:cs="Arial"/>
          <w:sz w:val="16"/>
          <w:szCs w:val="16"/>
          <w:rtl/>
        </w:rPr>
        <w:t xml:space="preserve"> וכן בשמן עב אע</w:t>
      </w:r>
      <w:r w:rsidR="00A5734F" w:rsidRPr="00A5734F">
        <w:rPr>
          <w:rFonts w:asciiTheme="minorBidi" w:hAnsiTheme="minorBidi" w:cs="Arial" w:hint="cs"/>
          <w:sz w:val="16"/>
          <w:szCs w:val="16"/>
          <w:rtl/>
        </w:rPr>
        <w:t>"</w:t>
      </w:r>
      <w:r w:rsidR="00A5734F" w:rsidRPr="00A5734F">
        <w:rPr>
          <w:rFonts w:asciiTheme="minorBidi" w:hAnsiTheme="minorBidi" w:cs="Arial"/>
          <w:sz w:val="16"/>
          <w:szCs w:val="16"/>
          <w:rtl/>
        </w:rPr>
        <w:t>פ שאין מירוחו ניכר כל כך מכל מקום אסור כיון דשייך ביה מירוח קצת דאתי לאיחלופי בשעוה</w:t>
      </w:r>
      <w:r w:rsidR="00A5734F" w:rsidRPr="00A5734F">
        <w:rPr>
          <w:rFonts w:asciiTheme="minorBidi" w:hAnsiTheme="minorBidi" w:cs="Arial" w:hint="cs"/>
          <w:sz w:val="16"/>
          <w:szCs w:val="16"/>
          <w:rtl/>
        </w:rPr>
        <w:t>,</w:t>
      </w:r>
      <w:r w:rsidR="00A5734F" w:rsidRPr="00A5734F">
        <w:rPr>
          <w:rFonts w:asciiTheme="minorBidi" w:hAnsiTheme="minorBidi" w:cs="Arial"/>
          <w:sz w:val="16"/>
          <w:szCs w:val="16"/>
          <w:rtl/>
        </w:rPr>
        <w:t xml:space="preserve"> אבל בשאר כל הדברים מותר לסתום החבית</w:t>
      </w:r>
      <w:r w:rsidR="00A5734F" w:rsidRPr="00A5734F">
        <w:rPr>
          <w:rFonts w:asciiTheme="minorBidi" w:hAnsiTheme="minorBidi" w:cs="Arial" w:hint="cs"/>
          <w:sz w:val="16"/>
          <w:szCs w:val="16"/>
          <w:rtl/>
        </w:rPr>
        <w:t>.</w:t>
      </w:r>
      <w:r w:rsidR="00A5734F" w:rsidRPr="00A5734F">
        <w:rPr>
          <w:rFonts w:asciiTheme="minorBidi" w:hAnsiTheme="minorBidi" w:cs="Arial"/>
          <w:sz w:val="16"/>
          <w:szCs w:val="16"/>
          <w:rtl/>
        </w:rPr>
        <w:t xml:space="preserve"> וההיא דשקל ברא דתומא ומנח בברזא דדנא (שבת קלט:) שהביא רבינו בסמוך</w:t>
      </w:r>
      <w:r w:rsidR="006C255C">
        <w:rPr>
          <w:rFonts w:asciiTheme="minorBidi" w:hAnsiTheme="minorBidi" w:cs="Arial" w:hint="cs"/>
          <w:sz w:val="16"/>
          <w:szCs w:val="16"/>
          <w:rtl/>
        </w:rPr>
        <w:t>,</w:t>
      </w:r>
      <w:r w:rsidR="00A5734F" w:rsidRPr="00A5734F">
        <w:rPr>
          <w:rFonts w:asciiTheme="minorBidi" w:hAnsiTheme="minorBidi" w:cs="Arial"/>
          <w:sz w:val="16"/>
          <w:szCs w:val="16"/>
          <w:rtl/>
        </w:rPr>
        <w:t xml:space="preserve"> דמשמע דלא שרי אלא במידי דבר מאכל הוא ועל ידי הערמה ודוקא לצורבא מרבנן</w:t>
      </w:r>
      <w:r w:rsidR="006C255C">
        <w:rPr>
          <w:rFonts w:asciiTheme="minorBidi" w:hAnsiTheme="minorBidi" w:cs="Arial" w:hint="cs"/>
          <w:sz w:val="16"/>
          <w:szCs w:val="16"/>
          <w:rtl/>
        </w:rPr>
        <w:t>,</w:t>
      </w:r>
      <w:r w:rsidR="00A5734F" w:rsidRPr="00A5734F">
        <w:rPr>
          <w:rFonts w:asciiTheme="minorBidi" w:hAnsiTheme="minorBidi" w:cs="Arial"/>
          <w:sz w:val="16"/>
          <w:szCs w:val="16"/>
          <w:rtl/>
        </w:rPr>
        <w:t xml:space="preserve"> נראה מדברי רש"י (שם ד"ה ומנח בברזא) דההיא כשהיין יוצא דרך הנקב דמחזי כמתקן</w:t>
      </w:r>
      <w:r w:rsidR="00A5734F" w:rsidRPr="00A5734F">
        <w:rPr>
          <w:rFonts w:asciiTheme="minorBidi" w:hAnsiTheme="minorBidi" w:cs="Arial" w:hint="cs"/>
          <w:sz w:val="16"/>
          <w:szCs w:val="16"/>
          <w:rtl/>
        </w:rPr>
        <w:t>,</w:t>
      </w:r>
      <w:r w:rsidR="00A5734F" w:rsidRPr="00A5734F">
        <w:rPr>
          <w:rFonts w:asciiTheme="minorBidi" w:hAnsiTheme="minorBidi" w:cs="Arial"/>
          <w:sz w:val="16"/>
          <w:szCs w:val="16"/>
          <w:rtl/>
        </w:rPr>
        <w:t xml:space="preserve"> וההיא דשעוה ומישחא בשאין היין יוצא דרך הנקב</w:t>
      </w:r>
      <w:r w:rsidR="00A5734F" w:rsidRPr="00A5734F">
        <w:rPr>
          <w:rFonts w:asciiTheme="minorBidi" w:hAnsiTheme="minorBidi" w:cs="Arial" w:hint="cs"/>
          <w:sz w:val="16"/>
          <w:szCs w:val="16"/>
          <w:rtl/>
        </w:rPr>
        <w:t>,</w:t>
      </w:r>
      <w:r w:rsidR="00A5734F" w:rsidRPr="00A5734F">
        <w:rPr>
          <w:rFonts w:asciiTheme="minorBidi" w:hAnsiTheme="minorBidi" w:cs="Arial"/>
          <w:sz w:val="16"/>
          <w:szCs w:val="16"/>
          <w:rtl/>
        </w:rPr>
        <w:t xml:space="preserve"> ומשום הכי בשאר דברים מותר לסתום חוץ מבדבר המתמרח</w:t>
      </w:r>
      <w:r w:rsidR="00A5734F" w:rsidRPr="00A5734F">
        <w:rPr>
          <w:rFonts w:asciiTheme="minorBidi" w:hAnsiTheme="minorBidi" w:cs="Arial" w:hint="cs"/>
          <w:sz w:val="16"/>
          <w:szCs w:val="16"/>
          <w:rtl/>
        </w:rPr>
        <w:t>,</w:t>
      </w:r>
      <w:r w:rsidR="00A5734F" w:rsidRPr="00A5734F">
        <w:rPr>
          <w:rFonts w:asciiTheme="minorBidi" w:hAnsiTheme="minorBidi" w:cs="Arial"/>
          <w:sz w:val="16"/>
          <w:szCs w:val="16"/>
          <w:rtl/>
        </w:rPr>
        <w:t xml:space="preserve"> וכן נראה מדברי רבינו</w:t>
      </w:r>
      <w:r w:rsidR="00A5734F" w:rsidRPr="00A5734F">
        <w:rPr>
          <w:rFonts w:asciiTheme="minorBidi" w:hAnsiTheme="minorBidi" w:cs="Arial" w:hint="cs"/>
          <w:sz w:val="16"/>
          <w:szCs w:val="16"/>
          <w:rtl/>
        </w:rPr>
        <w:t>, ב"י</w:t>
      </w:r>
      <w:r w:rsidR="00A5734F">
        <w:rPr>
          <w:rFonts w:asciiTheme="minorBidi" w:hAnsiTheme="minorBidi" w:cs="Arial" w:hint="cs"/>
          <w:sz w:val="16"/>
          <w:szCs w:val="16"/>
          <w:rtl/>
        </w:rPr>
        <w:t>.</w:t>
      </w:r>
      <w:r w:rsidR="00A5734F" w:rsidRPr="001B1BDB">
        <w:rPr>
          <w:rFonts w:asciiTheme="minorBidi" w:hAnsiTheme="minorBidi" w:cs="Arial" w:hint="cs"/>
          <w:color w:val="00B0F0"/>
          <w:sz w:val="16"/>
          <w:szCs w:val="16"/>
          <w:rtl/>
        </w:rPr>
        <w:t xml:space="preserve"> </w:t>
      </w:r>
      <w:r w:rsidR="001B1BDB" w:rsidRPr="001B1BDB">
        <w:rPr>
          <w:rFonts w:asciiTheme="minorBidi" w:hAnsiTheme="minorBidi" w:cs="Arial" w:hint="cs"/>
          <w:color w:val="00B0F0"/>
          <w:sz w:val="16"/>
          <w:szCs w:val="16"/>
          <w:rtl/>
        </w:rPr>
        <w:t>(וכ"פ הרמ"א)</w:t>
      </w:r>
      <w:r w:rsidR="001B1BDB">
        <w:rPr>
          <w:rFonts w:asciiTheme="minorBidi" w:hAnsiTheme="minorBidi" w:cs="Arial" w:hint="cs"/>
          <w:sz w:val="16"/>
          <w:szCs w:val="16"/>
          <w:rtl/>
        </w:rPr>
        <w:t xml:space="preserve"> </w:t>
      </w:r>
      <w:r w:rsidR="00A5734F">
        <w:rPr>
          <w:rFonts w:asciiTheme="minorBidi" w:hAnsiTheme="minorBidi" w:cs="Arial" w:hint="cs"/>
          <w:sz w:val="16"/>
          <w:szCs w:val="16"/>
          <w:rtl/>
        </w:rPr>
        <w:t>ועיין לקמן בהערה בסוף דברי הרמב"ם</w:t>
      </w:r>
      <w:r w:rsidR="006C255C">
        <w:rPr>
          <w:rFonts w:asciiTheme="minorBidi" w:hAnsiTheme="minorBidi" w:cs="Arial" w:hint="cs"/>
          <w:sz w:val="16"/>
          <w:szCs w:val="16"/>
          <w:rtl/>
        </w:rPr>
        <w:t>,</w:t>
      </w:r>
      <w:r w:rsidR="00A5734F">
        <w:rPr>
          <w:rFonts w:asciiTheme="minorBidi" w:hAnsiTheme="minorBidi" w:cs="Arial" w:hint="cs"/>
          <w:sz w:val="16"/>
          <w:szCs w:val="16"/>
          <w:rtl/>
        </w:rPr>
        <w:t xml:space="preserve"> שהרמב"ם מחלק אחרת בין הגמרות</w:t>
      </w:r>
      <w:r w:rsidR="00197226">
        <w:rPr>
          <w:rFonts w:asciiTheme="minorBidi" w:hAnsiTheme="minorBidi" w:cs="Arial" w:hint="cs"/>
          <w:sz w:val="16"/>
          <w:szCs w:val="16"/>
          <w:rtl/>
        </w:rPr>
        <w:t>)</w:t>
      </w:r>
    </w:p>
    <w:p w14:paraId="4A569D3E" w14:textId="728C127B" w:rsidR="00644A83" w:rsidRDefault="00DA5CB4" w:rsidP="00434A6A">
      <w:pPr>
        <w:rPr>
          <w:rFonts w:asciiTheme="minorBidi" w:hAnsiTheme="minorBidi"/>
          <w:rtl/>
        </w:rPr>
      </w:pPr>
      <w:r w:rsidRPr="005275DF">
        <w:rPr>
          <w:rFonts w:asciiTheme="minorBidi" w:hAnsiTheme="minorBidi"/>
          <w:b/>
          <w:bCs/>
          <w:rtl/>
        </w:rPr>
        <w:t xml:space="preserve">שבת </w:t>
      </w:r>
      <w:r w:rsidR="005333B3">
        <w:rPr>
          <w:rFonts w:asciiTheme="minorBidi" w:hAnsiTheme="minorBidi" w:hint="cs"/>
          <w:b/>
          <w:bCs/>
          <w:sz w:val="16"/>
          <w:szCs w:val="16"/>
          <w:rtl/>
        </w:rPr>
        <w:t xml:space="preserve">(פ' תולין) </w:t>
      </w:r>
      <w:r w:rsidRPr="005275DF">
        <w:rPr>
          <w:rFonts w:asciiTheme="minorBidi" w:hAnsiTheme="minorBidi"/>
          <w:b/>
          <w:bCs/>
          <w:rtl/>
        </w:rPr>
        <w:t>קלט ע"ב:</w:t>
      </w:r>
      <w:r w:rsidRPr="005275DF">
        <w:rPr>
          <w:rFonts w:asciiTheme="minorBidi" w:hAnsiTheme="minorBidi"/>
          <w:rtl/>
        </w:rPr>
        <w:t xml:space="preserve"> </w:t>
      </w:r>
      <w:r w:rsidRPr="005275DF">
        <w:rPr>
          <w:rFonts w:asciiTheme="minorBidi" w:hAnsiTheme="minorBidi"/>
          <w:u w:val="single"/>
          <w:rtl/>
        </w:rPr>
        <w:t>אמרו ליה רבנן לרב אשי</w:t>
      </w:r>
      <w:r w:rsidRPr="005275DF">
        <w:rPr>
          <w:rFonts w:asciiTheme="minorBidi" w:hAnsiTheme="minorBidi"/>
          <w:rtl/>
        </w:rPr>
        <w:t>: חזי מר האי צורבא מרבנן ורב הונא בן רבי חיון שמיה, ואמרי לה רב הונא ברבי חלוון שמיה, דשקל ברא דתומא</w:t>
      </w:r>
      <w:r w:rsidR="00577C59" w:rsidRPr="005275DF">
        <w:rPr>
          <w:rStyle w:val="a9"/>
          <w:rFonts w:asciiTheme="minorBidi" w:hAnsiTheme="minorBidi"/>
          <w:rtl/>
        </w:rPr>
        <w:footnoteReference w:id="2257"/>
      </w:r>
      <w:r w:rsidRPr="005275DF">
        <w:rPr>
          <w:rFonts w:asciiTheme="minorBidi" w:hAnsiTheme="minorBidi"/>
          <w:rtl/>
        </w:rPr>
        <w:t xml:space="preserve"> ומנח בברזא דדנא</w:t>
      </w:r>
      <w:r w:rsidR="00577C59" w:rsidRPr="005275DF">
        <w:rPr>
          <w:rStyle w:val="a9"/>
          <w:rFonts w:asciiTheme="minorBidi" w:hAnsiTheme="minorBidi"/>
          <w:rtl/>
        </w:rPr>
        <w:footnoteReference w:id="2258"/>
      </w:r>
      <w:r w:rsidRPr="005275DF">
        <w:rPr>
          <w:rFonts w:asciiTheme="minorBidi" w:hAnsiTheme="minorBidi"/>
          <w:rtl/>
        </w:rPr>
        <w:t xml:space="preserve"> ואמר לאצנועיה קמיכוינא</w:t>
      </w:r>
      <w:r w:rsidR="00577C59" w:rsidRPr="005275DF">
        <w:rPr>
          <w:rStyle w:val="a9"/>
          <w:rFonts w:asciiTheme="minorBidi" w:hAnsiTheme="minorBidi"/>
          <w:rtl/>
        </w:rPr>
        <w:footnoteReference w:id="2259"/>
      </w:r>
      <w:r w:rsidRPr="005275DF">
        <w:rPr>
          <w:rFonts w:asciiTheme="minorBidi" w:hAnsiTheme="minorBidi"/>
          <w:rtl/>
        </w:rPr>
        <w:t>. ואזיל ונאים במברא</w:t>
      </w:r>
      <w:r w:rsidR="00577C59" w:rsidRPr="005275DF">
        <w:rPr>
          <w:rFonts w:asciiTheme="minorBidi" w:hAnsiTheme="minorBidi"/>
          <w:rtl/>
        </w:rPr>
        <w:t>,</w:t>
      </w:r>
      <w:r w:rsidRPr="005275DF">
        <w:rPr>
          <w:rFonts w:asciiTheme="minorBidi" w:hAnsiTheme="minorBidi"/>
          <w:rtl/>
        </w:rPr>
        <w:t xml:space="preserve"> ועבר להך גיסא וסייר פירי</w:t>
      </w:r>
      <w:r w:rsidR="00577C59" w:rsidRPr="005275DF">
        <w:rPr>
          <w:rStyle w:val="a9"/>
          <w:rFonts w:asciiTheme="minorBidi" w:hAnsiTheme="minorBidi"/>
          <w:rtl/>
        </w:rPr>
        <w:footnoteReference w:id="2260"/>
      </w:r>
      <w:r w:rsidRPr="005275DF">
        <w:rPr>
          <w:rFonts w:asciiTheme="minorBidi" w:hAnsiTheme="minorBidi"/>
          <w:rtl/>
        </w:rPr>
        <w:t>, ואמר: אנא למינם קמיכוינא. אמר להו: הערמה קאמרת</w:t>
      </w:r>
      <w:r w:rsidR="00577C59" w:rsidRPr="005275DF">
        <w:rPr>
          <w:rFonts w:asciiTheme="minorBidi" w:hAnsiTheme="minorBidi"/>
          <w:rtl/>
        </w:rPr>
        <w:t>?</w:t>
      </w:r>
      <w:r w:rsidRPr="005275DF">
        <w:rPr>
          <w:rFonts w:asciiTheme="minorBidi" w:hAnsiTheme="minorBidi"/>
          <w:rtl/>
        </w:rPr>
        <w:t xml:space="preserve"> הערמה בדרבנן היא</w:t>
      </w:r>
      <w:r w:rsidR="00577C59" w:rsidRPr="005275DF">
        <w:rPr>
          <w:rStyle w:val="a9"/>
          <w:rFonts w:asciiTheme="minorBidi" w:hAnsiTheme="minorBidi"/>
          <w:rtl/>
        </w:rPr>
        <w:footnoteReference w:id="2261"/>
      </w:r>
      <w:r w:rsidRPr="005275DF">
        <w:rPr>
          <w:rFonts w:asciiTheme="minorBidi" w:hAnsiTheme="minorBidi"/>
          <w:rtl/>
        </w:rPr>
        <w:t xml:space="preserve"> וצורבא מרבנן לא אתי למיעבד לכתחילה</w:t>
      </w:r>
      <w:r w:rsidR="004A03C9" w:rsidRPr="005275DF">
        <w:rPr>
          <w:rStyle w:val="a9"/>
          <w:rFonts w:asciiTheme="minorBidi" w:hAnsiTheme="minorBidi"/>
          <w:rtl/>
        </w:rPr>
        <w:footnoteReference w:id="2262"/>
      </w:r>
      <w:r w:rsidRPr="005275DF">
        <w:rPr>
          <w:rFonts w:asciiTheme="minorBidi" w:hAnsiTheme="minorBidi"/>
        </w:rPr>
        <w:t>.</w:t>
      </w:r>
      <w:r w:rsidR="004A03C9" w:rsidRPr="005275DF">
        <w:rPr>
          <w:rFonts w:asciiTheme="minorBidi" w:hAnsiTheme="minorBidi"/>
          <w:rtl/>
        </w:rPr>
        <w:t xml:space="preserve"> </w:t>
      </w:r>
    </w:p>
    <w:p w14:paraId="02ADF73E" w14:textId="1A4C1B68" w:rsidR="005333B3" w:rsidRPr="005333B3" w:rsidRDefault="005333B3" w:rsidP="00434A6A">
      <w:pPr>
        <w:rPr>
          <w:rFonts w:asciiTheme="minorBidi" w:hAnsiTheme="minorBidi"/>
          <w:u w:val="single"/>
          <w:rtl/>
        </w:rPr>
      </w:pPr>
      <w:r w:rsidRPr="005333B3">
        <w:rPr>
          <w:rFonts w:asciiTheme="minorBidi" w:hAnsiTheme="minorBidi"/>
          <w:u w:val="single"/>
          <w:rtl/>
        </w:rPr>
        <w:t>סתימת נקב שבחבית</w:t>
      </w:r>
      <w:r w:rsidRPr="005333B3">
        <w:rPr>
          <w:rFonts w:asciiTheme="minorBidi" w:hAnsiTheme="minorBidi" w:hint="cs"/>
          <w:u w:val="single"/>
          <w:rtl/>
        </w:rPr>
        <w:t>:</w:t>
      </w:r>
    </w:p>
    <w:p w14:paraId="4EC3FCDA" w14:textId="338BDECE" w:rsidR="00C42E5F" w:rsidRPr="005333B3" w:rsidRDefault="000D7A7F" w:rsidP="00434A6A">
      <w:pPr>
        <w:pStyle w:val="aa"/>
        <w:numPr>
          <w:ilvl w:val="0"/>
          <w:numId w:val="15"/>
        </w:numPr>
        <w:rPr>
          <w:rFonts w:asciiTheme="minorBidi" w:hAnsiTheme="minorBidi"/>
        </w:rPr>
      </w:pPr>
      <w:r>
        <w:rPr>
          <w:rFonts w:asciiTheme="minorBidi" w:hAnsiTheme="minorBidi" w:cs="Arial" w:hint="cs"/>
          <w:rtl/>
        </w:rPr>
        <w:t xml:space="preserve">טור- </w:t>
      </w:r>
      <w:r w:rsidRPr="00182CF6">
        <w:rPr>
          <w:rFonts w:asciiTheme="minorBidi" w:hAnsiTheme="minorBidi" w:cs="Arial"/>
          <w:rtl/>
        </w:rPr>
        <w:t>אסור ליתן שעוה או שמן שהוא עב בנקב החבית</w:t>
      </w:r>
      <w:r w:rsidR="006C255C">
        <w:rPr>
          <w:rFonts w:asciiTheme="minorBidi" w:hAnsiTheme="minorBidi" w:cs="Arial" w:hint="cs"/>
          <w:rtl/>
        </w:rPr>
        <w:t>,</w:t>
      </w:r>
      <w:r w:rsidRPr="00182CF6">
        <w:rPr>
          <w:rFonts w:asciiTheme="minorBidi" w:hAnsiTheme="minorBidi" w:cs="Arial"/>
          <w:rtl/>
        </w:rPr>
        <w:t xml:space="preserve"> מפני שהוא ממרח</w:t>
      </w:r>
      <w:r w:rsidR="00CE2D63">
        <w:rPr>
          <w:rFonts w:asciiTheme="minorBidi" w:hAnsiTheme="minorBidi" w:cs="Arial" w:hint="cs"/>
          <w:rtl/>
        </w:rPr>
        <w:t>.</w:t>
      </w:r>
      <w:r w:rsidR="005333B3">
        <w:rPr>
          <w:rFonts w:asciiTheme="minorBidi" w:hAnsiTheme="minorBidi" w:cs="Arial" w:hint="cs"/>
          <w:rtl/>
        </w:rPr>
        <w:t xml:space="preserve"> </w:t>
      </w:r>
      <w:r w:rsidRPr="005333B3">
        <w:rPr>
          <w:rFonts w:asciiTheme="minorBidi" w:hAnsiTheme="minorBidi" w:cs="Arial"/>
          <w:rtl/>
        </w:rPr>
        <w:t xml:space="preserve">חבית שנקבה והיין יוצא ממנו </w:t>
      </w:r>
      <w:r w:rsidR="006C255C">
        <w:rPr>
          <w:rFonts w:asciiTheme="minorBidi" w:hAnsiTheme="minorBidi" w:cs="Arial" w:hint="cs"/>
          <w:rtl/>
        </w:rPr>
        <w:t xml:space="preserve">- </w:t>
      </w:r>
      <w:r w:rsidRPr="005333B3">
        <w:rPr>
          <w:rFonts w:asciiTheme="minorBidi" w:hAnsiTheme="minorBidi" w:cs="Arial"/>
          <w:rtl/>
        </w:rPr>
        <w:t>אסור ליתן בו בד של שום לסותמו</w:t>
      </w:r>
      <w:r w:rsidR="006C255C">
        <w:rPr>
          <w:rFonts w:asciiTheme="minorBidi" w:hAnsiTheme="minorBidi" w:cs="Arial" w:hint="cs"/>
          <w:rtl/>
        </w:rPr>
        <w:t>.</w:t>
      </w:r>
      <w:r w:rsidRPr="005333B3">
        <w:rPr>
          <w:rFonts w:asciiTheme="minorBidi" w:hAnsiTheme="minorBidi" w:cs="Arial"/>
          <w:rtl/>
        </w:rPr>
        <w:t xml:space="preserve"> ואם הוא מערים ואמר שנותנו שם להצניעו </w:t>
      </w:r>
      <w:r w:rsidR="006C255C">
        <w:rPr>
          <w:rFonts w:asciiTheme="minorBidi" w:hAnsiTheme="minorBidi" w:cs="Arial" w:hint="cs"/>
          <w:rtl/>
        </w:rPr>
        <w:t xml:space="preserve">- </w:t>
      </w:r>
      <w:r w:rsidRPr="005333B3">
        <w:rPr>
          <w:rFonts w:asciiTheme="minorBidi" w:hAnsiTheme="minorBidi" w:cs="Arial"/>
          <w:rtl/>
        </w:rPr>
        <w:t>אסור לאיניש דעלמא</w:t>
      </w:r>
      <w:r w:rsidR="006C255C">
        <w:rPr>
          <w:rFonts w:asciiTheme="minorBidi" w:hAnsiTheme="minorBidi" w:cs="Arial" w:hint="cs"/>
          <w:rtl/>
        </w:rPr>
        <w:t>,</w:t>
      </w:r>
      <w:r w:rsidRPr="005333B3">
        <w:rPr>
          <w:rFonts w:asciiTheme="minorBidi" w:hAnsiTheme="minorBidi" w:cs="Arial"/>
          <w:rtl/>
        </w:rPr>
        <w:t xml:space="preserve"> ולצורבא מרבנן</w:t>
      </w:r>
      <w:r w:rsidR="006C255C">
        <w:rPr>
          <w:rFonts w:asciiTheme="minorBidi" w:hAnsiTheme="minorBidi" w:cs="Arial" w:hint="cs"/>
          <w:rtl/>
        </w:rPr>
        <w:t xml:space="preserve"> </w:t>
      </w:r>
      <w:r w:rsidRPr="005333B3">
        <w:rPr>
          <w:rFonts w:asciiTheme="minorBidi" w:hAnsiTheme="minorBidi" w:cs="Arial"/>
          <w:rtl/>
        </w:rPr>
        <w:t>שרי</w:t>
      </w:r>
      <w:r w:rsidR="00CE2D63" w:rsidRPr="005333B3">
        <w:rPr>
          <w:rFonts w:asciiTheme="minorBidi" w:hAnsiTheme="minorBidi" w:cs="Arial" w:hint="cs"/>
          <w:rtl/>
        </w:rPr>
        <w:t>.</w:t>
      </w:r>
      <w:r w:rsidR="00AF69FA" w:rsidRPr="00232804">
        <w:rPr>
          <w:rFonts w:cs="Arial"/>
          <w:rtl/>
        </w:rPr>
        <w:t xml:space="preserve"> </w:t>
      </w:r>
      <w:r w:rsidR="00AF69FA" w:rsidRPr="00A310FC">
        <w:rPr>
          <w:rFonts w:asciiTheme="minorBidi" w:hAnsiTheme="minorBidi" w:hint="cs"/>
          <w:color w:val="E36C0A" w:themeColor="accent6" w:themeShade="BF"/>
          <w:rtl/>
        </w:rPr>
        <w:t>(וכ"פ בשו"ע)</w:t>
      </w:r>
    </w:p>
    <w:p w14:paraId="11A1C430" w14:textId="17EF443A" w:rsidR="00CE2D63" w:rsidRPr="00F20C8C" w:rsidRDefault="008850E9" w:rsidP="00434A6A">
      <w:pPr>
        <w:pStyle w:val="aa"/>
        <w:numPr>
          <w:ilvl w:val="0"/>
          <w:numId w:val="15"/>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(פכ"ג ה"ג, הי"א)</w:t>
      </w:r>
      <w:r>
        <w:rPr>
          <w:rFonts w:asciiTheme="minorBidi" w:hAnsiTheme="minorBidi" w:cs="Arial" w:hint="cs"/>
          <w:rtl/>
        </w:rPr>
        <w:t xml:space="preserve">- </w:t>
      </w:r>
      <w:r w:rsidR="00CE2D63" w:rsidRPr="00CE2D63">
        <w:rPr>
          <w:rFonts w:asciiTheme="minorBidi" w:hAnsiTheme="minorBidi" w:cs="Arial"/>
          <w:rtl/>
        </w:rPr>
        <w:t>וכשם שאסור לפתוח כל נקב כך אסור לסתום כל נקב, לפיכך אסור לסתום נקב החבית ואפילו בדבר שאינו מתמרח ואינו בא לידי סחיטה</w:t>
      </w:r>
      <w:r w:rsidR="006C255C">
        <w:rPr>
          <w:rFonts w:asciiTheme="minorBidi" w:hAnsiTheme="minorBidi" w:cs="Arial" w:hint="cs"/>
          <w:rtl/>
        </w:rPr>
        <w:t>,</w:t>
      </w:r>
      <w:r w:rsidR="00CE2D63" w:rsidRPr="00CE2D63">
        <w:rPr>
          <w:rFonts w:asciiTheme="minorBidi" w:hAnsiTheme="minorBidi" w:cs="Arial"/>
          <w:rtl/>
        </w:rPr>
        <w:t xml:space="preserve"> כגון שיסתום בקיסם או בצרור קטן</w:t>
      </w:r>
      <w:r>
        <w:rPr>
          <w:rFonts w:asciiTheme="minorBidi" w:hAnsiTheme="minorBidi" w:cs="Arial" w:hint="cs"/>
          <w:rtl/>
        </w:rPr>
        <w:t>.</w:t>
      </w:r>
      <w:r w:rsidR="00CE2D63" w:rsidRPr="00CE2D63">
        <w:rPr>
          <w:rFonts w:asciiTheme="minorBidi" w:hAnsiTheme="minorBidi" w:cs="Arial"/>
          <w:rtl/>
        </w:rPr>
        <w:t xml:space="preserve"> אבל אם הניח שם אוכל כדי להצניעו ונמצא הנקב נסתם </w:t>
      </w:r>
      <w:r>
        <w:rPr>
          <w:rFonts w:asciiTheme="minorBidi" w:hAnsiTheme="minorBidi" w:cs="Arial" w:hint="cs"/>
          <w:rtl/>
        </w:rPr>
        <w:t xml:space="preserve">- </w:t>
      </w:r>
      <w:r w:rsidR="00CE2D63" w:rsidRPr="00CE2D63">
        <w:rPr>
          <w:rFonts w:asciiTheme="minorBidi" w:hAnsiTheme="minorBidi" w:cs="Arial"/>
          <w:rtl/>
        </w:rPr>
        <w:t>מותר, ומותר להערים</w:t>
      </w:r>
      <w:r w:rsidR="005333B3">
        <w:rPr>
          <w:rStyle w:val="a9"/>
          <w:rFonts w:asciiTheme="minorBidi" w:hAnsiTheme="minorBidi" w:cs="Arial"/>
          <w:rtl/>
        </w:rPr>
        <w:footnoteReference w:id="2263"/>
      </w:r>
      <w:r w:rsidR="00CE2D63" w:rsidRPr="00CE2D63">
        <w:rPr>
          <w:rFonts w:asciiTheme="minorBidi" w:hAnsiTheme="minorBidi" w:cs="Arial"/>
          <w:rtl/>
        </w:rPr>
        <w:t xml:space="preserve"> בדבר זה.</w:t>
      </w:r>
      <w:r>
        <w:rPr>
          <w:rFonts w:asciiTheme="minorBidi" w:hAnsiTheme="minorBidi" w:cs="Arial" w:hint="cs"/>
          <w:rtl/>
        </w:rPr>
        <w:t xml:space="preserve"> </w:t>
      </w:r>
      <w:r>
        <w:rPr>
          <w:rFonts w:asciiTheme="minorBidi" w:hAnsiTheme="minorBidi" w:cs="Arial" w:hint="cs"/>
          <w:sz w:val="14"/>
          <w:szCs w:val="14"/>
          <w:rtl/>
        </w:rPr>
        <w:t>(הי"א)</w:t>
      </w:r>
      <w:r w:rsidRPr="008850E9">
        <w:rPr>
          <w:rtl/>
        </w:rPr>
        <w:t xml:space="preserve"> </w:t>
      </w:r>
      <w:r w:rsidRPr="008850E9">
        <w:rPr>
          <w:rFonts w:asciiTheme="minorBidi" w:hAnsiTheme="minorBidi" w:cs="Arial"/>
          <w:rtl/>
        </w:rPr>
        <w:t>הממרח רטיה בשבת חייב משום מוחק את העור, לפיכך אין סותמין נקב בשעוה וכיוצא בה שמא ימרח</w:t>
      </w:r>
      <w:r>
        <w:rPr>
          <w:rFonts w:asciiTheme="minorBidi" w:hAnsiTheme="minorBidi" w:cs="Arial" w:hint="cs"/>
          <w:rtl/>
        </w:rPr>
        <w:t>.</w:t>
      </w:r>
      <w:r w:rsidRPr="008850E9">
        <w:rPr>
          <w:rFonts w:asciiTheme="minorBidi" w:hAnsiTheme="minorBidi" w:cs="Arial"/>
          <w:rtl/>
        </w:rPr>
        <w:t xml:space="preserve"> ואפילו בשומן אין סותמין את הנקב גזירה משום שעוה</w:t>
      </w:r>
      <w:r>
        <w:rPr>
          <w:rStyle w:val="a9"/>
          <w:rFonts w:asciiTheme="minorBidi" w:hAnsiTheme="minorBidi" w:cs="Arial"/>
          <w:rtl/>
        </w:rPr>
        <w:footnoteReference w:id="2264"/>
      </w:r>
      <w:r w:rsidRPr="008850E9">
        <w:rPr>
          <w:rFonts w:asciiTheme="minorBidi" w:hAnsiTheme="minorBidi" w:cs="Arial"/>
          <w:rtl/>
        </w:rPr>
        <w:t>.</w:t>
      </w:r>
    </w:p>
    <w:p w14:paraId="77DB28B7" w14:textId="2734CE50" w:rsidR="00B556BA" w:rsidRPr="005275DF" w:rsidRDefault="00B556BA" w:rsidP="00434A6A">
      <w:pPr>
        <w:rPr>
          <w:rFonts w:asciiTheme="minorBidi" w:hAnsiTheme="minorBidi"/>
          <w:rtl/>
        </w:rPr>
      </w:pPr>
      <w:r w:rsidRPr="005275DF">
        <w:rPr>
          <w:rFonts w:asciiTheme="minorBidi" w:hAnsiTheme="minorBidi"/>
          <w:b/>
          <w:bCs/>
          <w:sz w:val="32"/>
          <w:szCs w:val="28"/>
          <w:u w:val="single"/>
          <w:rtl/>
        </w:rPr>
        <w:t xml:space="preserve">שו"ע: </w:t>
      </w:r>
    </w:p>
    <w:p w14:paraId="2DB5E27A" w14:textId="49FC5257" w:rsidR="00B3737F" w:rsidRPr="005275DF" w:rsidRDefault="00B3737F" w:rsidP="00434A6A">
      <w:pPr>
        <w:rPr>
          <w:rFonts w:asciiTheme="minorBidi" w:hAnsiTheme="minorBidi"/>
          <w:rtl/>
        </w:rPr>
      </w:pPr>
      <w:r w:rsidRPr="005275DF">
        <w:rPr>
          <w:rFonts w:asciiTheme="minorBidi" w:hAnsiTheme="minorBidi"/>
          <w:rtl/>
        </w:rPr>
        <w:t xml:space="preserve">אסור ליתן שעוה או שמן עב </w:t>
      </w:r>
      <w:r w:rsidR="007D3735" w:rsidRPr="005275DF">
        <w:rPr>
          <w:rFonts w:asciiTheme="minorBidi" w:hAnsiTheme="minorBidi"/>
          <w:rtl/>
        </w:rPr>
        <w:t>בנקב החבית לסתמו מפני שהוא ממרח</w:t>
      </w:r>
      <w:r w:rsidRPr="005275DF">
        <w:rPr>
          <w:rFonts w:asciiTheme="minorBidi" w:hAnsiTheme="minorBidi"/>
          <w:rtl/>
        </w:rPr>
        <w:t>, אבל ב</w:t>
      </w:r>
      <w:r w:rsidR="007D3735" w:rsidRPr="005275DF">
        <w:rPr>
          <w:rFonts w:asciiTheme="minorBidi" w:hAnsiTheme="minorBidi"/>
          <w:rtl/>
        </w:rPr>
        <w:t>שאר ד</w:t>
      </w:r>
      <w:r w:rsidR="00DA5CB4" w:rsidRPr="005275DF">
        <w:rPr>
          <w:rFonts w:asciiTheme="minorBidi" w:hAnsiTheme="minorBidi"/>
          <w:rtl/>
        </w:rPr>
        <w:t>ברים</w:t>
      </w:r>
      <w:r w:rsidR="007D3735" w:rsidRPr="005275DF">
        <w:rPr>
          <w:rFonts w:asciiTheme="minorBidi" w:hAnsiTheme="minorBidi"/>
          <w:rtl/>
        </w:rPr>
        <w:t xml:space="preserve"> דלית בה</w:t>
      </w:r>
      <w:r w:rsidR="00DA5CB4" w:rsidRPr="005275DF">
        <w:rPr>
          <w:rFonts w:asciiTheme="minorBidi" w:hAnsiTheme="minorBidi"/>
          <w:rtl/>
        </w:rPr>
        <w:t>ו</w:t>
      </w:r>
      <w:r w:rsidR="007D3735" w:rsidRPr="005275DF">
        <w:rPr>
          <w:rFonts w:asciiTheme="minorBidi" w:hAnsiTheme="minorBidi"/>
          <w:rtl/>
        </w:rPr>
        <w:t xml:space="preserve"> משום מירוח</w:t>
      </w:r>
      <w:r w:rsidR="00A5734F">
        <w:rPr>
          <w:rFonts w:asciiTheme="minorBidi" w:hAnsiTheme="minorBidi" w:hint="cs"/>
          <w:rtl/>
        </w:rPr>
        <w:t>,</w:t>
      </w:r>
      <w:r w:rsidR="007D3735" w:rsidRPr="005275DF">
        <w:rPr>
          <w:rFonts w:asciiTheme="minorBidi" w:hAnsiTheme="minorBidi"/>
          <w:rtl/>
        </w:rPr>
        <w:t xml:space="preserve"> </w:t>
      </w:r>
      <w:r w:rsidR="007D3735" w:rsidRPr="005275DF">
        <w:rPr>
          <w:rFonts w:asciiTheme="minorBidi" w:hAnsiTheme="minorBidi"/>
          <w:sz w:val="18"/>
          <w:szCs w:val="18"/>
          <w:rtl/>
        </w:rPr>
        <w:t>הגה: הואיל ואין היין יוצא אז</w:t>
      </w:r>
      <w:r w:rsidRPr="005275DF">
        <w:rPr>
          <w:rFonts w:asciiTheme="minorBidi" w:hAnsiTheme="minorBidi"/>
          <w:sz w:val="18"/>
          <w:szCs w:val="18"/>
          <w:rtl/>
        </w:rPr>
        <w:t xml:space="preserve"> (ב"י)</w:t>
      </w:r>
      <w:r w:rsidR="00A5734F">
        <w:rPr>
          <w:rFonts w:asciiTheme="minorBidi" w:hAnsiTheme="minorBidi" w:hint="cs"/>
          <w:sz w:val="18"/>
          <w:szCs w:val="18"/>
          <w:rtl/>
        </w:rPr>
        <w:t>,</w:t>
      </w:r>
      <w:r w:rsidR="00DA5CB4" w:rsidRPr="005275DF">
        <w:rPr>
          <w:rFonts w:asciiTheme="minorBidi" w:hAnsiTheme="minorBidi"/>
          <w:rtl/>
        </w:rPr>
        <w:t xml:space="preserve"> מותר. ואם היה היין יוצא דרך הנקב</w:t>
      </w:r>
      <w:r w:rsidRPr="005275DF">
        <w:rPr>
          <w:rFonts w:asciiTheme="minorBidi" w:hAnsiTheme="minorBidi"/>
          <w:rtl/>
        </w:rPr>
        <w:t xml:space="preserve"> אסור לסתמו ואפילו ליתן בו שום דרך הערמה לומר שאינו </w:t>
      </w:r>
      <w:r w:rsidR="00DA5CB4" w:rsidRPr="005275DF">
        <w:rPr>
          <w:rFonts w:asciiTheme="minorBidi" w:hAnsiTheme="minorBidi"/>
          <w:rtl/>
        </w:rPr>
        <w:t xml:space="preserve">מכוין אלא להצניעו שם, ואם הוא תלמיד </w:t>
      </w:r>
      <w:r w:rsidRPr="005275DF">
        <w:rPr>
          <w:rFonts w:asciiTheme="minorBidi" w:hAnsiTheme="minorBidi"/>
          <w:rtl/>
        </w:rPr>
        <w:t>ח</w:t>
      </w:r>
      <w:r w:rsidR="00DA5CB4" w:rsidRPr="005275DF">
        <w:rPr>
          <w:rFonts w:asciiTheme="minorBidi" w:hAnsiTheme="minorBidi"/>
          <w:rtl/>
        </w:rPr>
        <w:t>כם</w:t>
      </w:r>
      <w:r w:rsidRPr="005275DF">
        <w:rPr>
          <w:rFonts w:asciiTheme="minorBidi" w:hAnsiTheme="minorBidi"/>
          <w:rtl/>
        </w:rPr>
        <w:t xml:space="preserve"> מותר לו להערים בכך</w:t>
      </w:r>
      <w:r w:rsidR="002B6C9D" w:rsidRPr="005275DF">
        <w:rPr>
          <w:rStyle w:val="a9"/>
          <w:rFonts w:asciiTheme="minorBidi" w:hAnsiTheme="minorBidi"/>
          <w:rtl/>
        </w:rPr>
        <w:footnoteReference w:id="2265"/>
      </w:r>
      <w:r w:rsidRPr="005275DF">
        <w:rPr>
          <w:rFonts w:asciiTheme="minorBidi" w:hAnsiTheme="minorBidi"/>
          <w:rtl/>
        </w:rPr>
        <w:t xml:space="preserve">. </w:t>
      </w:r>
    </w:p>
    <w:p w14:paraId="5C1159D8" w14:textId="77777777" w:rsidR="004A03C9" w:rsidRPr="005275DF" w:rsidRDefault="004A03C9" w:rsidP="00434A6A">
      <w:pPr>
        <w:rPr>
          <w:rFonts w:asciiTheme="minorBidi" w:hAnsiTheme="minorBidi"/>
          <w:rtl/>
        </w:rPr>
      </w:pPr>
    </w:p>
    <w:p w14:paraId="20B099C0" w14:textId="77777777" w:rsidR="00B3737F" w:rsidRPr="005275DF" w:rsidRDefault="00B3737F" w:rsidP="00434A6A">
      <w:pPr>
        <w:pStyle w:val="2"/>
        <w:rPr>
          <w:rFonts w:asciiTheme="minorBidi" w:hAnsiTheme="minorBidi" w:cstheme="minorBidi"/>
          <w:rtl/>
        </w:rPr>
      </w:pPr>
      <w:r w:rsidRPr="005275DF">
        <w:rPr>
          <w:rFonts w:asciiTheme="minorBidi" w:hAnsiTheme="minorBidi" w:cstheme="minorBidi"/>
          <w:rtl/>
        </w:rPr>
        <w:t>סעיף יב</w:t>
      </w:r>
      <w:r w:rsidR="00677791" w:rsidRPr="005275DF">
        <w:rPr>
          <w:rFonts w:asciiTheme="minorBidi" w:hAnsiTheme="minorBidi" w:cstheme="minorBidi"/>
          <w:rtl/>
        </w:rPr>
        <w:t>: הוצאת סכין שתחוב בכותל של עץ או בספסל.</w:t>
      </w:r>
    </w:p>
    <w:p w14:paraId="238B7E6E" w14:textId="455EDA8F" w:rsidR="00BF2D3D" w:rsidRPr="00BF2D3D" w:rsidRDefault="00BF2D3D" w:rsidP="00434A6A">
      <w:pPr>
        <w:rPr>
          <w:rFonts w:cs="Arial"/>
          <w:rtl/>
        </w:rPr>
      </w:pPr>
      <w:r>
        <w:rPr>
          <w:rFonts w:cs="Arial" w:hint="cs"/>
          <w:rtl/>
        </w:rPr>
        <w:t>עיין במקורות בסוף סעיף א.</w:t>
      </w:r>
    </w:p>
    <w:p w14:paraId="7EB1471E" w14:textId="77777777" w:rsidR="00B556BA" w:rsidRPr="005275DF" w:rsidRDefault="00B556BA" w:rsidP="00434A6A">
      <w:pPr>
        <w:rPr>
          <w:rFonts w:asciiTheme="minorBidi" w:hAnsiTheme="minorBidi"/>
          <w:rtl/>
        </w:rPr>
      </w:pPr>
      <w:r w:rsidRPr="005275DF">
        <w:rPr>
          <w:rFonts w:asciiTheme="minorBidi" w:hAnsiTheme="minorBidi"/>
          <w:b/>
          <w:bCs/>
          <w:sz w:val="32"/>
          <w:szCs w:val="28"/>
          <w:u w:val="single"/>
          <w:rtl/>
        </w:rPr>
        <w:t xml:space="preserve">שו"ע: </w:t>
      </w:r>
    </w:p>
    <w:p w14:paraId="72024DB2" w14:textId="5C5E9F47" w:rsidR="00B556BA" w:rsidRPr="005275DF" w:rsidRDefault="007D3735" w:rsidP="00434A6A">
      <w:pPr>
        <w:rPr>
          <w:rFonts w:asciiTheme="minorBidi" w:hAnsiTheme="minorBidi"/>
          <w:sz w:val="18"/>
          <w:szCs w:val="18"/>
          <w:rtl/>
        </w:rPr>
      </w:pPr>
      <w:r w:rsidRPr="005275DF">
        <w:rPr>
          <w:rFonts w:asciiTheme="minorBidi" w:hAnsiTheme="minorBidi"/>
          <w:rtl/>
        </w:rPr>
        <w:t xml:space="preserve">סכין שהוא תחוב בכותל של עץ מבעוד </w:t>
      </w:r>
      <w:r w:rsidR="00B3737F" w:rsidRPr="005275DF">
        <w:rPr>
          <w:rFonts w:asciiTheme="minorBidi" w:hAnsiTheme="minorBidi"/>
          <w:rtl/>
        </w:rPr>
        <w:t>י</w:t>
      </w:r>
      <w:r w:rsidRPr="005275DF">
        <w:rPr>
          <w:rFonts w:asciiTheme="minorBidi" w:hAnsiTheme="minorBidi"/>
          <w:rtl/>
        </w:rPr>
        <w:t>ום</w:t>
      </w:r>
      <w:r w:rsidR="00C42E5F">
        <w:rPr>
          <w:rFonts w:asciiTheme="minorBidi" w:hAnsiTheme="minorBidi" w:hint="cs"/>
          <w:rtl/>
        </w:rPr>
        <w:t>,</w:t>
      </w:r>
      <w:r w:rsidR="00B3737F" w:rsidRPr="005275DF">
        <w:rPr>
          <w:rFonts w:asciiTheme="minorBidi" w:hAnsiTheme="minorBidi"/>
          <w:rtl/>
        </w:rPr>
        <w:t xml:space="preserve"> אסור ל</w:t>
      </w:r>
      <w:r w:rsidRPr="005275DF">
        <w:rPr>
          <w:rFonts w:asciiTheme="minorBidi" w:hAnsiTheme="minorBidi"/>
          <w:rtl/>
        </w:rPr>
        <w:t>הוציאו בשבת</w:t>
      </w:r>
      <w:r w:rsidR="00C42E5F">
        <w:rPr>
          <w:rFonts w:asciiTheme="minorBidi" w:hAnsiTheme="minorBidi" w:hint="cs"/>
          <w:rtl/>
        </w:rPr>
        <w:t>,</w:t>
      </w:r>
      <w:r w:rsidRPr="005275DF">
        <w:rPr>
          <w:rFonts w:asciiTheme="minorBidi" w:hAnsiTheme="minorBidi"/>
          <w:rtl/>
        </w:rPr>
        <w:t xml:space="preserve"> כיון שהוא דבר מחובר</w:t>
      </w:r>
      <w:r w:rsidR="00C42E5F">
        <w:rPr>
          <w:rFonts w:asciiTheme="minorBidi" w:hAnsiTheme="minorBidi" w:hint="cs"/>
          <w:rtl/>
        </w:rPr>
        <w:t>.</w:t>
      </w:r>
      <w:r w:rsidR="00677791" w:rsidRPr="005275DF">
        <w:rPr>
          <w:rFonts w:asciiTheme="minorBidi" w:hAnsiTheme="minorBidi"/>
          <w:rtl/>
        </w:rPr>
        <w:t xml:space="preserve"> אבל אם הוא תחוב בספסל</w:t>
      </w:r>
      <w:r w:rsidR="00B3737F" w:rsidRPr="005275DF">
        <w:rPr>
          <w:rFonts w:asciiTheme="minorBidi" w:hAnsiTheme="minorBidi"/>
          <w:rtl/>
        </w:rPr>
        <w:t xml:space="preserve"> ו</w:t>
      </w:r>
      <w:r w:rsidR="00677791" w:rsidRPr="005275DF">
        <w:rPr>
          <w:rFonts w:asciiTheme="minorBidi" w:hAnsiTheme="minorBidi"/>
          <w:rtl/>
        </w:rPr>
        <w:t>כן בכל דבר תלוש</w:t>
      </w:r>
      <w:r w:rsidR="00C42E5F">
        <w:rPr>
          <w:rFonts w:asciiTheme="minorBidi" w:hAnsiTheme="minorBidi" w:hint="cs"/>
          <w:rtl/>
        </w:rPr>
        <w:t>,</w:t>
      </w:r>
      <w:r w:rsidRPr="005275DF">
        <w:rPr>
          <w:rFonts w:asciiTheme="minorBidi" w:hAnsiTheme="minorBidi"/>
          <w:rtl/>
        </w:rPr>
        <w:t xml:space="preserve"> מותר להוציאו. </w:t>
      </w:r>
      <w:r w:rsidR="00B3737F" w:rsidRPr="005275DF">
        <w:rPr>
          <w:rFonts w:asciiTheme="minorBidi" w:hAnsiTheme="minorBidi"/>
          <w:sz w:val="18"/>
          <w:szCs w:val="18"/>
          <w:rtl/>
        </w:rPr>
        <w:t>הגה: ו</w:t>
      </w:r>
      <w:r w:rsidRPr="005275DF">
        <w:rPr>
          <w:rFonts w:asciiTheme="minorBidi" w:hAnsiTheme="minorBidi"/>
          <w:sz w:val="18"/>
          <w:szCs w:val="18"/>
          <w:rtl/>
        </w:rPr>
        <w:t>אם דצה ושלפה מבעוד יום אפילו בכותל שרי</w:t>
      </w:r>
      <w:r w:rsidR="00B3737F" w:rsidRPr="005275DF">
        <w:rPr>
          <w:rFonts w:asciiTheme="minorBidi" w:hAnsiTheme="minorBidi"/>
          <w:sz w:val="18"/>
          <w:szCs w:val="18"/>
          <w:rtl/>
        </w:rPr>
        <w:t xml:space="preserve"> (ב"י)</w:t>
      </w:r>
      <w:r w:rsidR="0097053D" w:rsidRPr="005275DF">
        <w:rPr>
          <w:rFonts w:asciiTheme="minorBidi" w:hAnsiTheme="minorBidi"/>
          <w:sz w:val="18"/>
          <w:szCs w:val="18"/>
          <w:rtl/>
        </w:rPr>
        <w:t>. [עיין סוף סעיף א'</w:t>
      </w:r>
      <w:r w:rsidR="0097053D" w:rsidRPr="005275DF">
        <w:rPr>
          <w:rStyle w:val="a9"/>
          <w:rFonts w:asciiTheme="minorBidi" w:hAnsiTheme="minorBidi"/>
          <w:sz w:val="18"/>
          <w:szCs w:val="18"/>
          <w:rtl/>
        </w:rPr>
        <w:footnoteReference w:id="2266"/>
      </w:r>
      <w:r w:rsidR="0097053D" w:rsidRPr="005275DF">
        <w:rPr>
          <w:rFonts w:asciiTheme="minorBidi" w:hAnsiTheme="minorBidi"/>
          <w:sz w:val="18"/>
          <w:szCs w:val="18"/>
          <w:rtl/>
        </w:rPr>
        <w:t>]</w:t>
      </w:r>
      <w:r w:rsidR="00B3737F" w:rsidRPr="005275DF">
        <w:rPr>
          <w:rFonts w:asciiTheme="minorBidi" w:hAnsiTheme="minorBidi"/>
          <w:sz w:val="18"/>
          <w:szCs w:val="18"/>
          <w:rtl/>
        </w:rPr>
        <w:t>.</w:t>
      </w:r>
    </w:p>
    <w:p w14:paraId="5D6B92FC" w14:textId="77777777" w:rsidR="008C1C8E" w:rsidRPr="005275DF" w:rsidRDefault="008C1C8E" w:rsidP="00434A6A">
      <w:pPr>
        <w:rPr>
          <w:rFonts w:asciiTheme="minorBidi" w:hAnsiTheme="minorBidi"/>
          <w:sz w:val="18"/>
          <w:szCs w:val="18"/>
          <w:rtl/>
        </w:rPr>
      </w:pPr>
    </w:p>
    <w:p w14:paraId="02F2A7FD" w14:textId="77777777" w:rsidR="008C1C8E" w:rsidRPr="005275DF" w:rsidRDefault="008C1C8E" w:rsidP="00434A6A">
      <w:pPr>
        <w:rPr>
          <w:rFonts w:asciiTheme="minorBidi" w:hAnsiTheme="minorBidi"/>
          <w:sz w:val="18"/>
          <w:szCs w:val="18"/>
          <w:rtl/>
        </w:rPr>
      </w:pPr>
    </w:p>
    <w:p w14:paraId="3223519A" w14:textId="77777777" w:rsidR="008C1C8E" w:rsidRPr="005275DF" w:rsidRDefault="008C1C8E" w:rsidP="00434A6A">
      <w:pPr>
        <w:rPr>
          <w:rFonts w:asciiTheme="minorBidi" w:hAnsiTheme="minorBidi"/>
          <w:sz w:val="18"/>
          <w:szCs w:val="18"/>
          <w:rtl/>
        </w:rPr>
      </w:pPr>
    </w:p>
    <w:p w14:paraId="08311D07" w14:textId="77777777" w:rsidR="001F2F31" w:rsidRDefault="001F2F31" w:rsidP="00434A6A">
      <w:pPr>
        <w:pStyle w:val="1"/>
        <w:rPr>
          <w:rFonts w:asciiTheme="minorBidi" w:hAnsiTheme="minorBidi"/>
          <w:rtl/>
        </w:rPr>
        <w:sectPr w:rsidR="001F2F31" w:rsidSect="00BD29B1">
          <w:headerReference w:type="default" r:id="rId85"/>
          <w:footnotePr>
            <w:numRestart w:val="eachSect"/>
          </w:footnotePr>
          <w:pgSz w:w="11906" w:h="16838"/>
          <w:pgMar w:top="720" w:right="1134" w:bottom="720" w:left="1134" w:header="0" w:footer="0" w:gutter="0"/>
          <w:cols w:space="720"/>
          <w:bidi/>
          <w:rtlGutter/>
          <w:docGrid w:linePitch="360"/>
        </w:sectPr>
      </w:pPr>
    </w:p>
    <w:p w14:paraId="0FFE5FBC" w14:textId="4E5C18D1" w:rsidR="00C44022" w:rsidRPr="005275DF" w:rsidRDefault="00C44022" w:rsidP="00434A6A">
      <w:pPr>
        <w:pStyle w:val="1"/>
        <w:rPr>
          <w:rFonts w:asciiTheme="minorBidi" w:hAnsiTheme="minorBidi"/>
          <w:rtl/>
        </w:rPr>
      </w:pPr>
      <w:r w:rsidRPr="005275DF">
        <w:rPr>
          <w:rFonts w:asciiTheme="minorBidi" w:hAnsiTheme="minorBidi"/>
          <w:rtl/>
        </w:rPr>
        <w:t>סימן שטו: דברים האסורים משום אהל בשבת</w:t>
      </w:r>
      <w:r w:rsidR="00884DED">
        <w:rPr>
          <w:rFonts w:asciiTheme="minorBidi" w:hAnsiTheme="minorBidi" w:hint="cs"/>
          <w:rtl/>
        </w:rPr>
        <w:t>, ובו יג' סעיפים</w:t>
      </w:r>
      <w:r w:rsidRPr="005275DF">
        <w:rPr>
          <w:rFonts w:asciiTheme="minorBidi" w:hAnsiTheme="minorBidi"/>
          <w:rtl/>
        </w:rPr>
        <w:t xml:space="preserve">. </w:t>
      </w:r>
    </w:p>
    <w:p w14:paraId="4820FEC5" w14:textId="77777777" w:rsidR="00C44022" w:rsidRPr="005275DF" w:rsidRDefault="00C44022" w:rsidP="00434A6A">
      <w:pPr>
        <w:pStyle w:val="2"/>
        <w:rPr>
          <w:rFonts w:asciiTheme="minorBidi" w:hAnsiTheme="minorBidi" w:cstheme="minorBidi"/>
          <w:rtl/>
        </w:rPr>
      </w:pPr>
      <w:r w:rsidRPr="005275DF">
        <w:rPr>
          <w:rFonts w:asciiTheme="minorBidi" w:hAnsiTheme="minorBidi" w:cstheme="minorBidi"/>
          <w:rtl/>
        </w:rPr>
        <w:t>סעיף א</w:t>
      </w:r>
      <w:r w:rsidR="00D0373D" w:rsidRPr="005275DF">
        <w:rPr>
          <w:rFonts w:asciiTheme="minorBidi" w:hAnsiTheme="minorBidi" w:cstheme="minorBidi"/>
          <w:rtl/>
        </w:rPr>
        <w:t>: עשיית אהל ומחיצת עראי.</w:t>
      </w:r>
    </w:p>
    <w:p w14:paraId="34DAB358" w14:textId="6441B02C" w:rsidR="0017610D" w:rsidRPr="005275DF" w:rsidRDefault="00807A00" w:rsidP="00434A6A">
      <w:pPr>
        <w:rPr>
          <w:rFonts w:asciiTheme="minorBidi" w:hAnsiTheme="minorBidi"/>
          <w:rtl/>
        </w:rPr>
      </w:pPr>
      <w:r w:rsidRPr="005275DF">
        <w:rPr>
          <w:rFonts w:asciiTheme="minorBidi" w:hAnsiTheme="minorBidi"/>
          <w:b/>
          <w:bCs/>
          <w:rtl/>
        </w:rPr>
        <w:t xml:space="preserve">שבת </w:t>
      </w:r>
      <w:r w:rsidR="00202254">
        <w:rPr>
          <w:rFonts w:asciiTheme="minorBidi" w:hAnsiTheme="minorBidi" w:hint="cs"/>
          <w:b/>
          <w:bCs/>
          <w:sz w:val="16"/>
          <w:szCs w:val="16"/>
          <w:rtl/>
        </w:rPr>
        <w:t xml:space="preserve">(פ' כל הכלים) </w:t>
      </w:r>
      <w:r w:rsidRPr="005275DF">
        <w:rPr>
          <w:rFonts w:asciiTheme="minorBidi" w:hAnsiTheme="minorBidi"/>
          <w:b/>
          <w:bCs/>
          <w:rtl/>
        </w:rPr>
        <w:t xml:space="preserve">קכה ע"ב: </w:t>
      </w:r>
      <w:r w:rsidR="0017610D" w:rsidRPr="005275DF">
        <w:rPr>
          <w:rFonts w:asciiTheme="minorBidi" w:hAnsiTheme="minorBidi"/>
          <w:u w:val="double"/>
          <w:rtl/>
        </w:rPr>
        <w:t>משנה:</w:t>
      </w:r>
      <w:r w:rsidR="0017610D" w:rsidRPr="005275DF">
        <w:rPr>
          <w:rFonts w:asciiTheme="minorBidi" w:hAnsiTheme="minorBidi"/>
          <w:rtl/>
        </w:rPr>
        <w:t xml:space="preserve">... </w:t>
      </w:r>
      <w:r w:rsidR="00FB116F" w:rsidRPr="00FB116F">
        <w:rPr>
          <w:rFonts w:asciiTheme="minorBidi" w:hAnsiTheme="minorBidi" w:cs="Arial"/>
          <w:rtl/>
        </w:rPr>
        <w:t xml:space="preserve">פקק החלון, </w:t>
      </w:r>
      <w:r w:rsidR="00FB116F" w:rsidRPr="00FB116F">
        <w:rPr>
          <w:rFonts w:asciiTheme="minorBidi" w:hAnsiTheme="minorBidi" w:cs="Arial"/>
          <w:u w:val="single"/>
          <w:rtl/>
        </w:rPr>
        <w:t>רבי אליעזר אומר</w:t>
      </w:r>
      <w:r w:rsidR="00FB116F" w:rsidRPr="00FB116F">
        <w:rPr>
          <w:rFonts w:asciiTheme="minorBidi" w:hAnsiTheme="minorBidi" w:cs="Arial"/>
          <w:rtl/>
        </w:rPr>
        <w:t>: בזמן שהוא קשור ותלוי</w:t>
      </w:r>
      <w:r w:rsidR="00FB116F" w:rsidRPr="005275DF">
        <w:rPr>
          <w:rStyle w:val="a9"/>
          <w:rFonts w:asciiTheme="minorBidi" w:hAnsiTheme="minorBidi"/>
          <w:rtl/>
        </w:rPr>
        <w:footnoteReference w:id="2267"/>
      </w:r>
      <w:r w:rsidR="00FB116F" w:rsidRPr="00FB116F">
        <w:rPr>
          <w:rFonts w:asciiTheme="minorBidi" w:hAnsiTheme="minorBidi" w:cs="Arial"/>
          <w:rtl/>
        </w:rPr>
        <w:t xml:space="preserve"> - פוקקין בו, ואם לאו - אין פוקקין בו</w:t>
      </w:r>
      <w:r w:rsidR="00FB116F" w:rsidRPr="005275DF">
        <w:rPr>
          <w:rStyle w:val="a9"/>
          <w:rFonts w:asciiTheme="minorBidi" w:hAnsiTheme="minorBidi"/>
          <w:rtl/>
        </w:rPr>
        <w:footnoteReference w:id="2268"/>
      </w:r>
      <w:r w:rsidR="00FB116F" w:rsidRPr="00FB116F">
        <w:rPr>
          <w:rFonts w:asciiTheme="minorBidi" w:hAnsiTheme="minorBidi" w:cs="Arial"/>
          <w:rtl/>
        </w:rPr>
        <w:t xml:space="preserve">. </w:t>
      </w:r>
      <w:r w:rsidR="00FB116F" w:rsidRPr="00FB116F">
        <w:rPr>
          <w:rFonts w:asciiTheme="minorBidi" w:hAnsiTheme="minorBidi" w:cs="Arial"/>
          <w:u w:val="single"/>
          <w:rtl/>
        </w:rPr>
        <w:t>וחכמים אומרים</w:t>
      </w:r>
      <w:r w:rsidR="00FB116F" w:rsidRPr="00FB116F">
        <w:rPr>
          <w:rFonts w:asciiTheme="minorBidi" w:hAnsiTheme="minorBidi" w:cs="Arial"/>
          <w:rtl/>
        </w:rPr>
        <w:t>: בין כך ובין כך פוקקין בו</w:t>
      </w:r>
      <w:r w:rsidR="0017610D" w:rsidRPr="005275DF">
        <w:rPr>
          <w:rFonts w:asciiTheme="minorBidi" w:hAnsiTheme="minorBidi"/>
          <w:rtl/>
        </w:rPr>
        <w:t>.</w:t>
      </w:r>
      <w:r w:rsidRPr="005275DF">
        <w:rPr>
          <w:rFonts w:asciiTheme="minorBidi" w:hAnsiTheme="minorBidi"/>
          <w:rtl/>
        </w:rPr>
        <w:t xml:space="preserve">       </w:t>
      </w:r>
      <w:r w:rsidRPr="005275DF">
        <w:rPr>
          <w:rFonts w:asciiTheme="minorBidi" w:hAnsiTheme="minorBidi"/>
          <w:u w:val="double"/>
          <w:rtl/>
        </w:rPr>
        <w:t>גמ':</w:t>
      </w:r>
      <w:r w:rsidRPr="005275DF">
        <w:rPr>
          <w:rFonts w:asciiTheme="minorBidi" w:hAnsiTheme="minorBidi"/>
          <w:rtl/>
        </w:rPr>
        <w:t xml:space="preserve"> </w:t>
      </w:r>
      <w:r w:rsidRPr="005275DF">
        <w:rPr>
          <w:rFonts w:asciiTheme="minorBidi" w:hAnsiTheme="minorBidi"/>
          <w:u w:val="single"/>
          <w:rtl/>
        </w:rPr>
        <w:t>אמר רבה בר בר חנה אמר רבי יוחנן:</w:t>
      </w:r>
      <w:r w:rsidRPr="005275DF">
        <w:rPr>
          <w:rFonts w:asciiTheme="minorBidi" w:hAnsiTheme="minorBidi"/>
          <w:rtl/>
        </w:rPr>
        <w:t xml:space="preserve"> הכל מודים שאין עושין אהל עראי</w:t>
      </w:r>
      <w:r w:rsidRPr="005275DF">
        <w:rPr>
          <w:rStyle w:val="a9"/>
          <w:rFonts w:asciiTheme="minorBidi" w:hAnsiTheme="minorBidi"/>
          <w:rtl/>
        </w:rPr>
        <w:footnoteReference w:id="2269"/>
      </w:r>
      <w:r w:rsidRPr="005275DF">
        <w:rPr>
          <w:rFonts w:asciiTheme="minorBidi" w:hAnsiTheme="minorBidi"/>
          <w:rtl/>
        </w:rPr>
        <w:t xml:space="preserve"> בתחלה ביום טוב ואין צריך לומר בשבת, לא נחלקו אלא להוסיף</w:t>
      </w:r>
      <w:r w:rsidRPr="005275DF">
        <w:rPr>
          <w:rStyle w:val="a9"/>
          <w:rFonts w:asciiTheme="minorBidi" w:hAnsiTheme="minorBidi"/>
          <w:rtl/>
        </w:rPr>
        <w:footnoteReference w:id="2270"/>
      </w:r>
      <w:r w:rsidRPr="005275DF">
        <w:rPr>
          <w:rFonts w:asciiTheme="minorBidi" w:hAnsiTheme="minorBidi"/>
          <w:rtl/>
        </w:rPr>
        <w:t>, שרבי אליעזר אומר: אין מוסיפין ביום טוב ואין צריך לומר בשבת, וחכמים אומרים: מוסיפין בשבת ואין צריך לומר ביום טוב.</w:t>
      </w:r>
    </w:p>
    <w:p w14:paraId="5B360234" w14:textId="3E2579F0" w:rsidR="0065427B" w:rsidRPr="00182EA3" w:rsidRDefault="0065427B" w:rsidP="00434A6A">
      <w:pPr>
        <w:rPr>
          <w:rFonts w:asciiTheme="minorBidi" w:hAnsiTheme="minorBidi"/>
          <w:sz w:val="16"/>
          <w:szCs w:val="16"/>
          <w:rtl/>
        </w:rPr>
      </w:pPr>
      <w:r w:rsidRPr="005275DF">
        <w:rPr>
          <w:rFonts w:asciiTheme="minorBidi" w:hAnsiTheme="minorBidi"/>
          <w:b/>
          <w:bCs/>
          <w:rtl/>
        </w:rPr>
        <w:t xml:space="preserve">ערובין </w:t>
      </w:r>
      <w:r>
        <w:rPr>
          <w:rFonts w:asciiTheme="minorBidi" w:hAnsiTheme="minorBidi" w:hint="cs"/>
          <w:b/>
          <w:bCs/>
          <w:sz w:val="16"/>
          <w:szCs w:val="16"/>
          <w:rtl/>
        </w:rPr>
        <w:t xml:space="preserve">(פ' </w:t>
      </w:r>
      <w:r w:rsidR="00895B5E">
        <w:rPr>
          <w:rFonts w:asciiTheme="minorBidi" w:hAnsiTheme="minorBidi" w:hint="cs"/>
          <w:b/>
          <w:bCs/>
          <w:sz w:val="16"/>
          <w:szCs w:val="16"/>
          <w:rtl/>
        </w:rPr>
        <w:t>כל גגות</w:t>
      </w:r>
      <w:r>
        <w:rPr>
          <w:rFonts w:asciiTheme="minorBidi" w:hAnsiTheme="minorBidi" w:hint="cs"/>
          <w:b/>
          <w:bCs/>
          <w:sz w:val="16"/>
          <w:szCs w:val="16"/>
          <w:rtl/>
        </w:rPr>
        <w:t xml:space="preserve">) </w:t>
      </w:r>
      <w:r>
        <w:rPr>
          <w:rFonts w:asciiTheme="minorBidi" w:hAnsiTheme="minorBidi" w:hint="cs"/>
          <w:b/>
          <w:bCs/>
          <w:rtl/>
        </w:rPr>
        <w:t>צג</w:t>
      </w:r>
      <w:r w:rsidR="00895B5E">
        <w:rPr>
          <w:rStyle w:val="a9"/>
          <w:rFonts w:asciiTheme="minorBidi" w:hAnsiTheme="minorBidi"/>
          <w:b/>
          <w:bCs/>
          <w:rtl/>
        </w:rPr>
        <w:footnoteReference w:id="2271"/>
      </w:r>
      <w:r w:rsidRPr="005275DF">
        <w:rPr>
          <w:rFonts w:asciiTheme="minorBidi" w:hAnsiTheme="minorBidi"/>
          <w:b/>
          <w:bCs/>
          <w:rtl/>
        </w:rPr>
        <w:t xml:space="preserve"> ע"</w:t>
      </w:r>
      <w:r>
        <w:rPr>
          <w:rFonts w:asciiTheme="minorBidi" w:hAnsiTheme="minorBidi" w:hint="cs"/>
          <w:b/>
          <w:bCs/>
          <w:rtl/>
        </w:rPr>
        <w:t>ב</w:t>
      </w:r>
      <w:r w:rsidRPr="005275DF">
        <w:rPr>
          <w:rFonts w:asciiTheme="minorBidi" w:hAnsiTheme="minorBidi"/>
          <w:b/>
          <w:bCs/>
          <w:rtl/>
        </w:rPr>
        <w:t>:</w:t>
      </w:r>
      <w:r>
        <w:rPr>
          <w:rFonts w:asciiTheme="minorBidi" w:hAnsiTheme="minorBidi" w:cs="Arial" w:hint="cs"/>
          <w:rtl/>
        </w:rPr>
        <w:t xml:space="preserve"> </w:t>
      </w:r>
      <w:r w:rsidRPr="0065427B">
        <w:rPr>
          <w:rFonts w:asciiTheme="minorBidi" w:hAnsiTheme="minorBidi" w:cs="Arial"/>
          <w:rtl/>
        </w:rPr>
        <w:t xml:space="preserve">אתמר, כותל שבין שתי חצירות שנפל, </w:t>
      </w:r>
      <w:r w:rsidRPr="00895B5E">
        <w:rPr>
          <w:rFonts w:asciiTheme="minorBidi" w:hAnsiTheme="minorBidi" w:cs="Arial"/>
          <w:u w:val="single"/>
          <w:rtl/>
        </w:rPr>
        <w:t>רב אמר</w:t>
      </w:r>
      <w:r w:rsidRPr="0065427B">
        <w:rPr>
          <w:rFonts w:asciiTheme="minorBidi" w:hAnsiTheme="minorBidi" w:cs="Arial"/>
          <w:rtl/>
        </w:rPr>
        <w:t xml:space="preserve">: אין מטלטלין בו אלא בארבע אמות, </w:t>
      </w:r>
      <w:r w:rsidRPr="00895B5E">
        <w:rPr>
          <w:rFonts w:asciiTheme="minorBidi" w:hAnsiTheme="minorBidi" w:cs="Arial"/>
          <w:u w:val="single"/>
          <w:rtl/>
        </w:rPr>
        <w:t>ושמואל אמר</w:t>
      </w:r>
      <w:r w:rsidRPr="0065427B">
        <w:rPr>
          <w:rFonts w:asciiTheme="minorBidi" w:hAnsiTheme="minorBidi" w:cs="Arial"/>
          <w:rtl/>
        </w:rPr>
        <w:t>:</w:t>
      </w:r>
      <w:r w:rsidR="00382FBA">
        <w:rPr>
          <w:rFonts w:asciiTheme="minorBidi" w:hAnsiTheme="minorBidi" w:cs="Arial" w:hint="cs"/>
          <w:sz w:val="14"/>
          <w:szCs w:val="14"/>
          <w:rtl/>
        </w:rPr>
        <w:t xml:space="preserve"> (צד.)</w:t>
      </w:r>
      <w:r w:rsidR="00895B5E" w:rsidRPr="00895B5E">
        <w:rPr>
          <w:rFonts w:asciiTheme="minorBidi" w:hAnsiTheme="minorBidi" w:cs="Arial"/>
          <w:rtl/>
        </w:rPr>
        <w:t xml:space="preserve"> זה מטלטל עד עיקר מחיצה, וזה מטלטל עד עיקר מחיצה</w:t>
      </w:r>
      <w:r w:rsidR="00382FBA">
        <w:rPr>
          <w:rStyle w:val="a9"/>
          <w:rFonts w:asciiTheme="minorBidi" w:hAnsiTheme="minorBidi" w:cs="Arial"/>
          <w:rtl/>
        </w:rPr>
        <w:footnoteReference w:id="2272"/>
      </w:r>
      <w:r w:rsidR="00895B5E" w:rsidRPr="00895B5E">
        <w:rPr>
          <w:rFonts w:asciiTheme="minorBidi" w:hAnsiTheme="minorBidi" w:cs="Arial"/>
          <w:rtl/>
        </w:rPr>
        <w:t>. והא דרב לאו בפירוש אתמר, אלא מכללא אתמר. דרב ושמואל הוו יתבי בההוא חצר, נפל גודא דביני ביני. אמר להו שמואל: שקולו גלימא נגידו בה</w:t>
      </w:r>
      <w:r w:rsidR="00382FBA">
        <w:rPr>
          <w:rStyle w:val="a9"/>
          <w:rFonts w:asciiTheme="minorBidi" w:hAnsiTheme="minorBidi" w:cs="Arial"/>
          <w:rtl/>
        </w:rPr>
        <w:footnoteReference w:id="2273"/>
      </w:r>
      <w:r w:rsidR="00895B5E" w:rsidRPr="00895B5E">
        <w:rPr>
          <w:rFonts w:asciiTheme="minorBidi" w:hAnsiTheme="minorBidi" w:cs="Arial"/>
          <w:rtl/>
        </w:rPr>
        <w:t>. אהדרינהו רב לאפיה</w:t>
      </w:r>
      <w:r w:rsidR="00784999">
        <w:rPr>
          <w:rStyle w:val="a9"/>
          <w:rFonts w:asciiTheme="minorBidi" w:hAnsiTheme="minorBidi" w:cs="Arial"/>
          <w:rtl/>
        </w:rPr>
        <w:footnoteReference w:id="2274"/>
      </w:r>
      <w:r w:rsidR="00895B5E" w:rsidRPr="00895B5E">
        <w:rPr>
          <w:rFonts w:asciiTheme="minorBidi" w:hAnsiTheme="minorBidi" w:cs="Arial"/>
          <w:rtl/>
        </w:rPr>
        <w:t xml:space="preserve">. </w:t>
      </w:r>
      <w:r w:rsidR="00895B5E" w:rsidRPr="004736DC">
        <w:rPr>
          <w:rFonts w:asciiTheme="minorBidi" w:hAnsiTheme="minorBidi" w:cs="Arial"/>
          <w:u w:val="single"/>
          <w:rtl/>
        </w:rPr>
        <w:t>אמר להו שמואל</w:t>
      </w:r>
      <w:r w:rsidR="00895B5E" w:rsidRPr="00895B5E">
        <w:rPr>
          <w:rFonts w:asciiTheme="minorBidi" w:hAnsiTheme="minorBidi" w:cs="Arial"/>
          <w:rtl/>
        </w:rPr>
        <w:t>: אי קפיד אבא - שקולו המייני</w:t>
      </w:r>
      <w:r w:rsidR="00895B5E">
        <w:rPr>
          <w:rFonts w:asciiTheme="minorBidi" w:hAnsiTheme="minorBidi" w:cs="Arial" w:hint="cs"/>
          <w:rtl/>
        </w:rPr>
        <w:t>'</w:t>
      </w:r>
      <w:r w:rsidR="00895B5E" w:rsidRPr="00895B5E">
        <w:rPr>
          <w:rFonts w:asciiTheme="minorBidi" w:hAnsiTheme="minorBidi" w:cs="Arial"/>
          <w:rtl/>
        </w:rPr>
        <w:t xml:space="preserve"> וקטרו בה</w:t>
      </w:r>
      <w:r w:rsidR="004736DC">
        <w:rPr>
          <w:rStyle w:val="a9"/>
          <w:rFonts w:asciiTheme="minorBidi" w:hAnsiTheme="minorBidi" w:cs="Arial"/>
          <w:rtl/>
        </w:rPr>
        <w:footnoteReference w:id="2275"/>
      </w:r>
      <w:r w:rsidR="00895B5E" w:rsidRPr="00895B5E">
        <w:rPr>
          <w:rFonts w:asciiTheme="minorBidi" w:hAnsiTheme="minorBidi" w:cs="Arial"/>
          <w:rtl/>
        </w:rPr>
        <w:t>. ולשמואל למה לי הא? הא אמר: זה מטלטל עד עיקר מחיצה, וזה מטלטל עד עיקר מחיצה! שמואל עביד לצניעותא בעלמא. ורב, אי סבירא ליה דאסיר - לימא ליה! אתריה דשמואל הוה. אי הכי, מאי טעמא אהדרינהו לאפיה? דלא נימרו כשמואל סבירא ליה.</w:t>
      </w:r>
      <w:r w:rsidR="00182EA3">
        <w:rPr>
          <w:rFonts w:asciiTheme="minorBidi" w:hAnsiTheme="minorBidi" w:hint="cs"/>
          <w:sz w:val="16"/>
          <w:szCs w:val="16"/>
          <w:rtl/>
        </w:rPr>
        <w:t xml:space="preserve"> (</w:t>
      </w:r>
      <w:r w:rsidR="00182EA3" w:rsidRPr="00182EA3">
        <w:rPr>
          <w:rFonts w:asciiTheme="minorBidi" w:hAnsiTheme="minorBidi" w:cs="Arial"/>
          <w:sz w:val="16"/>
          <w:szCs w:val="16"/>
          <w:rtl/>
        </w:rPr>
        <w:t>אלמא משמע דאהל דדפנות שרי למיעבד הכי</w:t>
      </w:r>
      <w:r w:rsidR="00182EA3">
        <w:rPr>
          <w:rFonts w:asciiTheme="minorBidi" w:hAnsiTheme="minorBidi" w:cs="Arial" w:hint="cs"/>
          <w:sz w:val="16"/>
          <w:szCs w:val="16"/>
          <w:rtl/>
        </w:rPr>
        <w:t>,</w:t>
      </w:r>
      <w:r w:rsidR="00182EA3" w:rsidRPr="00182EA3">
        <w:rPr>
          <w:rFonts w:asciiTheme="minorBidi" w:hAnsiTheme="minorBidi" w:cs="Arial"/>
          <w:sz w:val="16"/>
          <w:szCs w:val="16"/>
          <w:rtl/>
        </w:rPr>
        <w:t xml:space="preserve"> ורב שהיה מקפיד לאו משום עשיית אהל דשרי כדפרישית</w:t>
      </w:r>
      <w:r w:rsidR="00182EA3">
        <w:rPr>
          <w:rFonts w:asciiTheme="minorBidi" w:hAnsiTheme="minorBidi" w:cs="Arial" w:hint="cs"/>
          <w:sz w:val="16"/>
          <w:szCs w:val="16"/>
          <w:rtl/>
        </w:rPr>
        <w:t>,</w:t>
      </w:r>
      <w:r w:rsidR="00182EA3" w:rsidRPr="00182EA3">
        <w:rPr>
          <w:rFonts w:asciiTheme="minorBidi" w:hAnsiTheme="minorBidi" w:cs="Arial"/>
          <w:sz w:val="16"/>
          <w:szCs w:val="16"/>
          <w:rtl/>
        </w:rPr>
        <w:t xml:space="preserve"> אלא הוה קפיד אמאי דהוו מטלטלין גלימא ד' אמות בחצר</w:t>
      </w:r>
      <w:r w:rsidR="00182EA3">
        <w:rPr>
          <w:rFonts w:asciiTheme="minorBidi" w:hAnsiTheme="minorBidi" w:cs="Arial" w:hint="cs"/>
          <w:sz w:val="16"/>
          <w:szCs w:val="16"/>
          <w:rtl/>
        </w:rPr>
        <w:t>, תוס' (שבת קכה: ד"ה הכל) בהסבר דברי רש"י</w:t>
      </w:r>
      <w:r w:rsidR="00784999">
        <w:rPr>
          <w:rFonts w:asciiTheme="minorBidi" w:hAnsiTheme="minorBidi" w:cs="Arial" w:hint="cs"/>
          <w:sz w:val="16"/>
          <w:szCs w:val="16"/>
          <w:rtl/>
        </w:rPr>
        <w:t xml:space="preserve">. אבל לאחר שהביאו את פירוש ר"ת ששיך עשיית אהל גם במחיצה המתרת כתבו- </w:t>
      </w:r>
      <w:r w:rsidR="00784999" w:rsidRPr="00784999">
        <w:rPr>
          <w:rFonts w:asciiTheme="minorBidi" w:hAnsiTheme="minorBidi" w:cs="Arial"/>
          <w:sz w:val="16"/>
          <w:szCs w:val="16"/>
          <w:rtl/>
        </w:rPr>
        <w:t>ועובדא דשמואל דכל גגות (עירובין צד.) דפריך ושמואל למה ליה למיעבד הכי וקאמר זה מטלטל כו' לאו משום דאי הוה אמר אין מטלטלין בו אלא בד' אמות דאז הוה ניחא ליה</w:t>
      </w:r>
      <w:r w:rsidR="00C7769E">
        <w:rPr>
          <w:rFonts w:asciiTheme="minorBidi" w:hAnsiTheme="minorBidi" w:cs="Arial" w:hint="cs"/>
          <w:sz w:val="16"/>
          <w:szCs w:val="16"/>
          <w:rtl/>
        </w:rPr>
        <w:t>,</w:t>
      </w:r>
      <w:r w:rsidR="00784999" w:rsidRPr="00784999">
        <w:rPr>
          <w:rFonts w:asciiTheme="minorBidi" w:hAnsiTheme="minorBidi" w:cs="Arial"/>
          <w:sz w:val="16"/>
          <w:szCs w:val="16"/>
          <w:rtl/>
        </w:rPr>
        <w:t xml:space="preserve"> אלא אז נמי היה קשה היכי עביד הכי כיון דמחיצה מתרת לטלטל בחצר הוה כעשיית אהל עראי בתחלה ואסור כדפרישית לעיל</w:t>
      </w:r>
      <w:r w:rsidR="00C7769E">
        <w:rPr>
          <w:rFonts w:asciiTheme="minorBidi" w:hAnsiTheme="minorBidi" w:cs="Arial" w:hint="cs"/>
          <w:sz w:val="16"/>
          <w:szCs w:val="16"/>
          <w:rtl/>
        </w:rPr>
        <w:t>,</w:t>
      </w:r>
      <w:r w:rsidR="00784999" w:rsidRPr="00784999">
        <w:rPr>
          <w:rFonts w:asciiTheme="minorBidi" w:hAnsiTheme="minorBidi" w:cs="Arial"/>
          <w:sz w:val="16"/>
          <w:szCs w:val="16"/>
          <w:rtl/>
        </w:rPr>
        <w:t xml:space="preserve"> ומהאי טעמא היה מקפיד רב דס"ל שאין מטלטלין אלא בד'</w:t>
      </w:r>
      <w:r w:rsidR="00C7769E">
        <w:rPr>
          <w:rFonts w:asciiTheme="minorBidi" w:hAnsiTheme="minorBidi" w:cs="Arial" w:hint="cs"/>
          <w:sz w:val="16"/>
          <w:szCs w:val="16"/>
          <w:rtl/>
        </w:rPr>
        <w:t>,</w:t>
      </w:r>
      <w:r w:rsidR="00784999" w:rsidRPr="00784999">
        <w:rPr>
          <w:rFonts w:asciiTheme="minorBidi" w:hAnsiTheme="minorBidi" w:cs="Arial"/>
          <w:sz w:val="16"/>
          <w:szCs w:val="16"/>
          <w:rtl/>
        </w:rPr>
        <w:t xml:space="preserve"> אלא משום דהש"ס ידע דסבר שמואל דזה מטלטל עד עיקר המחיצה ניחא למיפרך למה הוצרך לעשות מחיצה</w:t>
      </w:r>
      <w:r w:rsidR="00182EA3">
        <w:rPr>
          <w:rFonts w:asciiTheme="minorBidi" w:hAnsiTheme="minorBidi" w:cs="Arial" w:hint="cs"/>
          <w:sz w:val="16"/>
          <w:szCs w:val="16"/>
          <w:rtl/>
        </w:rPr>
        <w:t>)</w:t>
      </w:r>
    </w:p>
    <w:p w14:paraId="0DC45F9B" w14:textId="7E77AA5C" w:rsidR="00FA3754" w:rsidRDefault="0065427B" w:rsidP="00434A6A">
      <w:pPr>
        <w:rPr>
          <w:rFonts w:asciiTheme="minorBidi" w:hAnsiTheme="minorBidi" w:cs="Arial"/>
          <w:rtl/>
        </w:rPr>
      </w:pPr>
      <w:r w:rsidRPr="005275DF">
        <w:rPr>
          <w:rFonts w:asciiTheme="minorBidi" w:hAnsiTheme="minorBidi"/>
          <w:b/>
          <w:bCs/>
          <w:rtl/>
        </w:rPr>
        <w:t xml:space="preserve">ערובין </w:t>
      </w:r>
      <w:r>
        <w:rPr>
          <w:rFonts w:asciiTheme="minorBidi" w:hAnsiTheme="minorBidi" w:hint="cs"/>
          <w:b/>
          <w:bCs/>
          <w:sz w:val="16"/>
          <w:szCs w:val="16"/>
          <w:rtl/>
        </w:rPr>
        <w:t xml:space="preserve">(פ' מי שהוציאוהו) </w:t>
      </w:r>
      <w:r>
        <w:rPr>
          <w:rFonts w:asciiTheme="minorBidi" w:hAnsiTheme="minorBidi" w:hint="cs"/>
          <w:b/>
          <w:bCs/>
          <w:rtl/>
        </w:rPr>
        <w:t>מד</w:t>
      </w:r>
      <w:r w:rsidR="00895B5E">
        <w:rPr>
          <w:rStyle w:val="a9"/>
          <w:rFonts w:asciiTheme="minorBidi" w:hAnsiTheme="minorBidi"/>
          <w:b/>
          <w:bCs/>
          <w:rtl/>
        </w:rPr>
        <w:footnoteReference w:id="2276"/>
      </w:r>
      <w:r w:rsidRPr="005275DF">
        <w:rPr>
          <w:rFonts w:asciiTheme="minorBidi" w:hAnsiTheme="minorBidi"/>
          <w:b/>
          <w:bCs/>
          <w:rtl/>
        </w:rPr>
        <w:t xml:space="preserve"> ע"א:</w:t>
      </w:r>
      <w:r>
        <w:rPr>
          <w:rFonts w:asciiTheme="minorBidi" w:hAnsiTheme="minorBidi" w:cs="Arial" w:hint="cs"/>
          <w:rtl/>
        </w:rPr>
        <w:t xml:space="preserve"> </w:t>
      </w:r>
      <w:r w:rsidRPr="00233BF1">
        <w:rPr>
          <w:rFonts w:asciiTheme="minorBidi" w:hAnsiTheme="minorBidi" w:cs="Arial"/>
          <w:u w:val="single"/>
          <w:rtl/>
        </w:rPr>
        <w:t>איתיביה רב נחמן בר יצחק לרבא</w:t>
      </w:r>
      <w:r w:rsidRPr="0065427B">
        <w:rPr>
          <w:rFonts w:asciiTheme="minorBidi" w:hAnsiTheme="minorBidi" w:cs="Arial"/>
          <w:rtl/>
        </w:rPr>
        <w:t xml:space="preserve">: נפל דופנה - לא יעמיד בה אדם בהמה וכלים, ולא יזקוף את המטה לפרוס עליה סדין - לפי שאין עושין אהל עראי בתחילה ביום טוב, ואין צריך לומר בשבת. </w:t>
      </w:r>
      <w:r w:rsidRPr="00233BF1">
        <w:rPr>
          <w:rFonts w:asciiTheme="minorBidi" w:hAnsiTheme="minorBidi" w:cs="Arial"/>
          <w:u w:val="single"/>
          <w:rtl/>
        </w:rPr>
        <w:t>אמר ליה</w:t>
      </w:r>
      <w:r w:rsidRPr="0065427B">
        <w:rPr>
          <w:rFonts w:asciiTheme="minorBidi" w:hAnsiTheme="minorBidi" w:cs="Arial"/>
          <w:rtl/>
        </w:rPr>
        <w:t>: את אמרת לי מהא, ואנא אמינא לך מהא: עושה אדם את חבירו דופן כדי שיאכל וישתה וישן, ויזקוף את המטה, ויפרוס עליה סדין כדי שלא תפול חמה על המת ועל האוכלין. קשיין אהדדי!</w:t>
      </w:r>
      <w:r>
        <w:rPr>
          <w:rFonts w:asciiTheme="minorBidi" w:hAnsiTheme="minorBidi" w:cs="Arial" w:hint="cs"/>
          <w:rtl/>
        </w:rPr>
        <w:t>...</w:t>
      </w:r>
      <w:r w:rsidRPr="0065427B">
        <w:rPr>
          <w:rFonts w:asciiTheme="minorBidi" w:hAnsiTheme="minorBidi" w:cs="Arial"/>
          <w:rtl/>
        </w:rPr>
        <w:t xml:space="preserve"> הא והא רבנן</w:t>
      </w:r>
      <w:r w:rsidR="0046502D">
        <w:rPr>
          <w:rStyle w:val="a9"/>
          <w:rFonts w:asciiTheme="minorBidi" w:hAnsiTheme="minorBidi" w:cs="Arial"/>
          <w:rtl/>
        </w:rPr>
        <w:footnoteReference w:id="2277"/>
      </w:r>
      <w:r w:rsidRPr="0065427B">
        <w:rPr>
          <w:rFonts w:asciiTheme="minorBidi" w:hAnsiTheme="minorBidi" w:cs="Arial"/>
          <w:rtl/>
        </w:rPr>
        <w:t>, וכלים אכלים לא קשיא; הא - בדופן שלישית</w:t>
      </w:r>
      <w:r w:rsidR="00EC4AA1">
        <w:rPr>
          <w:rStyle w:val="a9"/>
          <w:rFonts w:asciiTheme="minorBidi" w:hAnsiTheme="minorBidi" w:cs="Arial"/>
          <w:rtl/>
        </w:rPr>
        <w:footnoteReference w:id="2278"/>
      </w:r>
      <w:r w:rsidRPr="0065427B">
        <w:rPr>
          <w:rFonts w:asciiTheme="minorBidi" w:hAnsiTheme="minorBidi" w:cs="Arial"/>
          <w:rtl/>
        </w:rPr>
        <w:t>, הא - בדופן רביעית. דיקא נמי, דקתני נפל דופנה,</w:t>
      </w:r>
      <w:r w:rsidR="0046502D">
        <w:rPr>
          <w:rStyle w:val="a9"/>
          <w:rFonts w:asciiTheme="minorBidi" w:hAnsiTheme="minorBidi" w:cs="Arial"/>
          <w:rtl/>
        </w:rPr>
        <w:footnoteReference w:id="2279"/>
      </w:r>
      <w:r w:rsidRPr="0065427B">
        <w:rPr>
          <w:rFonts w:asciiTheme="minorBidi" w:hAnsiTheme="minorBidi" w:cs="Arial"/>
          <w:rtl/>
        </w:rPr>
        <w:t xml:space="preserve"> שמע מינה.</w:t>
      </w:r>
      <w:r>
        <w:rPr>
          <w:rFonts w:asciiTheme="minorBidi" w:hAnsiTheme="minorBidi" w:hint="cs"/>
          <w:rtl/>
        </w:rPr>
        <w:t>..</w:t>
      </w:r>
      <w:r w:rsidRPr="0065427B">
        <w:rPr>
          <w:rtl/>
        </w:rPr>
        <w:t xml:space="preserve"> </w:t>
      </w:r>
      <w:r>
        <w:rPr>
          <w:rFonts w:asciiTheme="minorBidi" w:hAnsiTheme="minorBidi" w:cs="Arial" w:hint="cs"/>
          <w:sz w:val="14"/>
          <w:szCs w:val="14"/>
          <w:rtl/>
        </w:rPr>
        <w:t xml:space="preserve">(מד:) </w:t>
      </w:r>
      <w:r w:rsidRPr="0065427B">
        <w:rPr>
          <w:rFonts w:asciiTheme="minorBidi" w:hAnsiTheme="minorBidi" w:cs="Arial"/>
          <w:rtl/>
        </w:rPr>
        <w:t>אדם אאדם נמי לא קשיא; כאן - לדעת</w:t>
      </w:r>
      <w:r w:rsidR="0046502D">
        <w:rPr>
          <w:rStyle w:val="a9"/>
          <w:rFonts w:asciiTheme="minorBidi" w:hAnsiTheme="minorBidi" w:cs="Arial"/>
          <w:rtl/>
        </w:rPr>
        <w:footnoteReference w:id="2280"/>
      </w:r>
      <w:r w:rsidRPr="0065427B">
        <w:rPr>
          <w:rFonts w:asciiTheme="minorBidi" w:hAnsiTheme="minorBidi" w:cs="Arial"/>
          <w:rtl/>
        </w:rPr>
        <w:t>, כאן - שלא מדעת</w:t>
      </w:r>
      <w:r w:rsidR="0046502D">
        <w:rPr>
          <w:rStyle w:val="a9"/>
          <w:rFonts w:asciiTheme="minorBidi" w:hAnsiTheme="minorBidi" w:cs="Arial"/>
          <w:rtl/>
        </w:rPr>
        <w:footnoteReference w:id="2281"/>
      </w:r>
      <w:r w:rsidRPr="0065427B">
        <w:rPr>
          <w:rFonts w:asciiTheme="minorBidi" w:hAnsiTheme="minorBidi" w:cs="Arial"/>
          <w:rtl/>
        </w:rPr>
        <w:t>.</w:t>
      </w:r>
    </w:p>
    <w:p w14:paraId="3DF5487B" w14:textId="219B80C4" w:rsidR="0079528B" w:rsidRPr="0046502D" w:rsidRDefault="007A65E7" w:rsidP="00434A6A">
      <w:pPr>
        <w:rPr>
          <w:rFonts w:asciiTheme="minorBidi" w:hAnsiTheme="minorBidi"/>
          <w:u w:val="single"/>
        </w:rPr>
      </w:pPr>
      <w:r w:rsidRPr="007A65E7">
        <w:rPr>
          <w:rFonts w:asciiTheme="minorBidi" w:hAnsiTheme="minorBidi" w:cs="Arial" w:hint="cs"/>
          <w:u w:val="single"/>
          <w:rtl/>
        </w:rPr>
        <w:t>עשיית אהל ארעי:</w:t>
      </w:r>
      <w:r w:rsidR="00B6715C" w:rsidRPr="0046502D">
        <w:rPr>
          <w:rFonts w:asciiTheme="minorBidi" w:hAnsiTheme="minorBidi" w:cs="Arial"/>
          <w:rtl/>
        </w:rPr>
        <w:t xml:space="preserve"> </w:t>
      </w:r>
    </w:p>
    <w:p w14:paraId="293D5506" w14:textId="44788AA9" w:rsidR="00E030F3" w:rsidRPr="0079528B" w:rsidRDefault="00E030F3" w:rsidP="00434A6A">
      <w:pPr>
        <w:pStyle w:val="aa"/>
        <w:numPr>
          <w:ilvl w:val="0"/>
          <w:numId w:val="24"/>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(פכ"ב הכ"ז)</w:t>
      </w:r>
      <w:r w:rsidR="0046502D">
        <w:rPr>
          <w:rFonts w:asciiTheme="minorBidi" w:hAnsiTheme="minorBidi" w:cs="Arial" w:hint="cs"/>
          <w:rtl/>
        </w:rPr>
        <w:t xml:space="preserve"> וטור</w:t>
      </w:r>
      <w:r w:rsidR="0046502D">
        <w:rPr>
          <w:rStyle w:val="a9"/>
          <w:rFonts w:asciiTheme="minorBidi" w:hAnsiTheme="minorBidi" w:cs="Arial"/>
          <w:rtl/>
        </w:rPr>
        <w:footnoteReference w:id="2282"/>
      </w:r>
      <w:r>
        <w:rPr>
          <w:rFonts w:asciiTheme="minorBidi" w:hAnsiTheme="minorBidi" w:cs="Arial" w:hint="cs"/>
          <w:rtl/>
        </w:rPr>
        <w:t xml:space="preserve">- </w:t>
      </w:r>
      <w:r w:rsidRPr="00E030F3">
        <w:rPr>
          <w:rFonts w:asciiTheme="minorBidi" w:hAnsiTheme="minorBidi" w:cs="Arial"/>
          <w:rtl/>
        </w:rPr>
        <w:t>העושה אהל קבוע חייב משום בונה</w:t>
      </w:r>
      <w:r>
        <w:rPr>
          <w:rFonts w:asciiTheme="minorBidi" w:hAnsiTheme="minorBidi" w:cs="Arial" w:hint="cs"/>
          <w:rtl/>
        </w:rPr>
        <w:t>.</w:t>
      </w:r>
      <w:r w:rsidRPr="00E030F3">
        <w:rPr>
          <w:rFonts w:asciiTheme="minorBidi" w:hAnsiTheme="minorBidi" w:cs="Arial"/>
          <w:rtl/>
        </w:rPr>
        <w:t xml:space="preserve"> לפיכך אין עושין אהל עראי לכתחלה ולא סותרין אהל עראי</w:t>
      </w:r>
      <w:r>
        <w:rPr>
          <w:rFonts w:asciiTheme="minorBidi" w:hAnsiTheme="minorBidi" w:cs="Arial" w:hint="cs"/>
          <w:rtl/>
        </w:rPr>
        <w:t>,</w:t>
      </w:r>
      <w:r w:rsidRPr="00E030F3">
        <w:rPr>
          <w:rFonts w:asciiTheme="minorBidi" w:hAnsiTheme="minorBidi" w:cs="Arial"/>
          <w:rtl/>
        </w:rPr>
        <w:t xml:space="preserve"> גזירה שמא יעשה או יסתור אהל קבוע</w:t>
      </w:r>
      <w:r>
        <w:rPr>
          <w:rFonts w:asciiTheme="minorBidi" w:hAnsiTheme="minorBidi" w:cs="Arial" w:hint="cs"/>
          <w:rtl/>
        </w:rPr>
        <w:t>.</w:t>
      </w:r>
      <w:r w:rsidRPr="00E030F3">
        <w:rPr>
          <w:rFonts w:asciiTheme="minorBidi" w:hAnsiTheme="minorBidi" w:cs="Arial"/>
          <w:rtl/>
        </w:rPr>
        <w:t xml:space="preserve"> ואם עשה או סתר אהל עראי </w:t>
      </w:r>
      <w:r>
        <w:rPr>
          <w:rFonts w:asciiTheme="minorBidi" w:hAnsiTheme="minorBidi" w:cs="Arial" w:hint="cs"/>
          <w:rtl/>
        </w:rPr>
        <w:t xml:space="preserve">- </w:t>
      </w:r>
      <w:r w:rsidRPr="00E030F3">
        <w:rPr>
          <w:rFonts w:asciiTheme="minorBidi" w:hAnsiTheme="minorBidi" w:cs="Arial"/>
          <w:rtl/>
        </w:rPr>
        <w:t>פטור</w:t>
      </w:r>
      <w:r w:rsidR="0046502D">
        <w:rPr>
          <w:rFonts w:asciiTheme="minorBidi" w:hAnsiTheme="minorBidi" w:hint="cs"/>
          <w:sz w:val="16"/>
          <w:szCs w:val="16"/>
          <w:rtl/>
        </w:rPr>
        <w:t xml:space="preserve"> (ל' הרמב"ם)</w:t>
      </w:r>
      <w:r>
        <w:rPr>
          <w:rFonts w:asciiTheme="minorBidi" w:hAnsiTheme="minorBidi" w:hint="cs"/>
          <w:rtl/>
        </w:rPr>
        <w:t>.</w:t>
      </w:r>
    </w:p>
    <w:p w14:paraId="0ED18C02" w14:textId="61DBB41F" w:rsidR="0079528B" w:rsidRPr="0079528B" w:rsidRDefault="0079528B" w:rsidP="00434A6A">
      <w:pPr>
        <w:ind w:left="360"/>
        <w:rPr>
          <w:rFonts w:asciiTheme="minorBidi" w:hAnsiTheme="minorBidi"/>
          <w:u w:val="dotted"/>
        </w:rPr>
      </w:pPr>
      <w:r w:rsidRPr="0079528B">
        <w:rPr>
          <w:rFonts w:asciiTheme="minorBidi" w:hAnsiTheme="minorBidi" w:hint="cs"/>
          <w:u w:val="dotted"/>
          <w:rtl/>
        </w:rPr>
        <w:t>מה נכלל באיסור עשיית אהל ארעי</w:t>
      </w:r>
      <w:r>
        <w:rPr>
          <w:rFonts w:asciiTheme="minorBidi" w:hAnsiTheme="minorBidi" w:hint="cs"/>
          <w:sz w:val="16"/>
          <w:szCs w:val="16"/>
          <w:u w:val="dotted"/>
          <w:rtl/>
        </w:rPr>
        <w:t xml:space="preserve"> (גג/מחיצות)</w:t>
      </w:r>
      <w:r w:rsidRPr="0079528B">
        <w:rPr>
          <w:rFonts w:asciiTheme="minorBidi" w:hAnsiTheme="minorBidi" w:hint="cs"/>
          <w:u w:val="dotted"/>
          <w:rtl/>
        </w:rPr>
        <w:t>:</w:t>
      </w:r>
    </w:p>
    <w:p w14:paraId="7EAFC12D" w14:textId="0C47EEE0" w:rsidR="00FB116F" w:rsidRPr="0079528B" w:rsidRDefault="0079528B" w:rsidP="00434A6A">
      <w:pPr>
        <w:pStyle w:val="aa"/>
        <w:numPr>
          <w:ilvl w:val="0"/>
          <w:numId w:val="24"/>
        </w:numPr>
        <w:rPr>
          <w:rFonts w:asciiTheme="minorBidi" w:hAnsiTheme="minorBidi"/>
        </w:rPr>
      </w:pPr>
      <w:r>
        <w:rPr>
          <w:rFonts w:asciiTheme="minorBidi" w:hAnsiTheme="minorBidi" w:cs="Arial" w:hint="cs"/>
          <w:rtl/>
        </w:rPr>
        <w:t xml:space="preserve">רש"י </w:t>
      </w:r>
      <w:r>
        <w:rPr>
          <w:rFonts w:asciiTheme="minorBidi" w:hAnsiTheme="minorBidi" w:cs="Arial" w:hint="cs"/>
          <w:sz w:val="16"/>
          <w:szCs w:val="16"/>
          <w:rtl/>
        </w:rPr>
        <w:t>(שבת קכה: ד"ה שאין)</w:t>
      </w:r>
      <w:r>
        <w:rPr>
          <w:rFonts w:asciiTheme="minorBidi" w:hAnsiTheme="minorBidi" w:cs="Arial" w:hint="cs"/>
          <w:rtl/>
        </w:rPr>
        <w:t xml:space="preserve">- </w:t>
      </w:r>
      <w:r w:rsidRPr="0079528B">
        <w:rPr>
          <w:rFonts w:asciiTheme="minorBidi" w:hAnsiTheme="minorBidi" w:cs="Arial"/>
          <w:rtl/>
        </w:rPr>
        <w:t>אין עושין אהל עראי לפרוס מחצלת על ארבע מחיצות או על ארבע קונדסים להיות צל לאהל מן החמה, ודוקא גג, אבל מחיצה - לאו אהל הוא, ושרי לפורסה לצניעות</w:t>
      </w:r>
      <w:r w:rsidR="00EC4AA1">
        <w:rPr>
          <w:rStyle w:val="a9"/>
          <w:rFonts w:asciiTheme="minorBidi" w:hAnsiTheme="minorBidi" w:cs="Arial"/>
          <w:rtl/>
        </w:rPr>
        <w:footnoteReference w:id="2283"/>
      </w:r>
      <w:r w:rsidRPr="0079528B">
        <w:rPr>
          <w:rFonts w:asciiTheme="minorBidi" w:hAnsiTheme="minorBidi" w:cs="Arial"/>
          <w:rtl/>
        </w:rPr>
        <w:t>, כדאמרינן עירובין (צד</w:t>
      </w:r>
      <w:r>
        <w:rPr>
          <w:rFonts w:asciiTheme="minorBidi" w:hAnsiTheme="minorBidi" w:cs="Arial" w:hint="cs"/>
          <w:rtl/>
        </w:rPr>
        <w:t>.</w:t>
      </w:r>
      <w:r w:rsidRPr="0079528B">
        <w:rPr>
          <w:rFonts w:asciiTheme="minorBidi" w:hAnsiTheme="minorBidi" w:cs="Arial"/>
          <w:rtl/>
        </w:rPr>
        <w:t>) בעובדא דשמואל</w:t>
      </w:r>
      <w:r>
        <w:rPr>
          <w:rFonts w:asciiTheme="minorBidi" w:hAnsiTheme="minorBidi" w:cs="Arial" w:hint="cs"/>
          <w:rtl/>
        </w:rPr>
        <w:t>.</w:t>
      </w:r>
      <w:r w:rsidRPr="0079528B">
        <w:rPr>
          <w:rFonts w:asciiTheme="minorBidi" w:hAnsiTheme="minorBidi" w:cs="Arial"/>
          <w:rtl/>
        </w:rPr>
        <w:t xml:space="preserve"> </w:t>
      </w:r>
      <w:r w:rsidR="00B6715C" w:rsidRPr="0079528B">
        <w:rPr>
          <w:rFonts w:asciiTheme="minorBidi" w:hAnsiTheme="minorBidi" w:cs="Arial"/>
          <w:rtl/>
        </w:rPr>
        <w:t xml:space="preserve"> </w:t>
      </w:r>
    </w:p>
    <w:p w14:paraId="4A8C6A80" w14:textId="5BABD1F4" w:rsidR="00182EA3" w:rsidRPr="00AC0042" w:rsidRDefault="00182EA3" w:rsidP="00434A6A">
      <w:pPr>
        <w:pStyle w:val="aa"/>
        <w:numPr>
          <w:ilvl w:val="0"/>
          <w:numId w:val="24"/>
        </w:numPr>
        <w:rPr>
          <w:rFonts w:asciiTheme="minorBidi" w:hAnsiTheme="minorBidi"/>
          <w:rtl/>
        </w:rPr>
      </w:pPr>
      <w:r w:rsidRPr="00182EA3">
        <w:rPr>
          <w:rFonts w:asciiTheme="minorBidi" w:hAnsiTheme="minorBidi" w:cs="Arial"/>
          <w:rtl/>
        </w:rPr>
        <w:t xml:space="preserve">ר"ת </w:t>
      </w:r>
      <w:r w:rsidR="00F30C85">
        <w:rPr>
          <w:rFonts w:asciiTheme="minorBidi" w:hAnsiTheme="minorBidi" w:cs="Arial" w:hint="cs"/>
          <w:sz w:val="16"/>
          <w:szCs w:val="16"/>
          <w:rtl/>
        </w:rPr>
        <w:t>(בתוס' שבת קכה: ד"ה הכל)</w:t>
      </w:r>
      <w:r w:rsidR="008F40E6">
        <w:rPr>
          <w:rFonts w:asciiTheme="minorBidi" w:hAnsiTheme="minorBidi" w:cs="Arial" w:hint="cs"/>
          <w:rtl/>
        </w:rPr>
        <w:t xml:space="preserve"> ורא"ש</w:t>
      </w:r>
      <w:r w:rsidR="008F40E6">
        <w:rPr>
          <w:rFonts w:asciiTheme="minorBidi" w:hAnsiTheme="minorBidi" w:cs="Arial" w:hint="cs"/>
          <w:sz w:val="16"/>
          <w:szCs w:val="16"/>
          <w:rtl/>
        </w:rPr>
        <w:t xml:space="preserve"> (פ' תולין סי' ב)</w:t>
      </w:r>
      <w:r w:rsidR="00F30C85">
        <w:rPr>
          <w:rFonts w:asciiTheme="minorBidi" w:hAnsiTheme="minorBidi" w:cs="Arial" w:hint="cs"/>
          <w:rtl/>
        </w:rPr>
        <w:t xml:space="preserve">- </w:t>
      </w:r>
      <w:r w:rsidRPr="00182EA3">
        <w:rPr>
          <w:rFonts w:asciiTheme="minorBidi" w:hAnsiTheme="minorBidi" w:cs="Arial"/>
          <w:rtl/>
        </w:rPr>
        <w:t>שפיר שייך בדפנות אהל היכא דמחיצה מועלת להיתר</w:t>
      </w:r>
      <w:r w:rsidR="007A65E7">
        <w:rPr>
          <w:rFonts w:asciiTheme="minorBidi" w:hAnsiTheme="minorBidi" w:cs="Arial" w:hint="cs"/>
          <w:rtl/>
        </w:rPr>
        <w:t>,</w:t>
      </w:r>
      <w:r w:rsidRPr="00182EA3">
        <w:rPr>
          <w:rFonts w:asciiTheme="minorBidi" w:hAnsiTheme="minorBidi" w:cs="Arial"/>
          <w:rtl/>
        </w:rPr>
        <w:t xml:space="preserve"> ולהכי בדופן שלישית דהויא מחיצה ומכשר ליה לסוכה חשיב עשיית אהל בתחלה</w:t>
      </w:r>
      <w:r w:rsidR="007A65E7">
        <w:rPr>
          <w:rFonts w:asciiTheme="minorBidi" w:hAnsiTheme="minorBidi" w:cs="Arial" w:hint="cs"/>
          <w:rtl/>
        </w:rPr>
        <w:t>,</w:t>
      </w:r>
      <w:r w:rsidRPr="00182EA3">
        <w:rPr>
          <w:rFonts w:asciiTheme="minorBidi" w:hAnsiTheme="minorBidi" w:cs="Arial"/>
          <w:rtl/>
        </w:rPr>
        <w:t xml:space="preserve"> אבל דופן רביעית אינה אלא תוספת בעלמא הואיל וכבר הסוכה היתה כשרה</w:t>
      </w:r>
      <w:r w:rsidR="007A65E7">
        <w:rPr>
          <w:rFonts w:asciiTheme="minorBidi" w:hAnsiTheme="minorBidi" w:cs="Arial" w:hint="cs"/>
          <w:rtl/>
        </w:rPr>
        <w:t>.</w:t>
      </w:r>
      <w:r w:rsidRPr="00182EA3">
        <w:rPr>
          <w:rFonts w:asciiTheme="minorBidi" w:hAnsiTheme="minorBidi" w:cs="Arial"/>
          <w:rtl/>
        </w:rPr>
        <w:t xml:space="preserve"> ועיקר פלוגתין דר"א ורבנן איתא באהל כבעשיית דופן</w:t>
      </w:r>
      <w:r w:rsidR="00F30C85">
        <w:rPr>
          <w:rFonts w:asciiTheme="minorBidi" w:hAnsiTheme="minorBidi" w:cs="Arial" w:hint="cs"/>
          <w:rtl/>
        </w:rPr>
        <w:t>,</w:t>
      </w:r>
      <w:r w:rsidRPr="00182EA3">
        <w:rPr>
          <w:rFonts w:asciiTheme="minorBidi" w:hAnsiTheme="minorBidi" w:cs="Arial"/>
          <w:rtl/>
        </w:rPr>
        <w:t xml:space="preserve"> דפקק החלון משמע בחלון שבכותל</w:t>
      </w:r>
      <w:r w:rsidR="00F30C85">
        <w:rPr>
          <w:rFonts w:asciiTheme="minorBidi" w:hAnsiTheme="minorBidi" w:cs="Arial" w:hint="cs"/>
          <w:rtl/>
        </w:rPr>
        <w:t>...</w:t>
      </w:r>
      <w:r w:rsidRPr="00182EA3">
        <w:rPr>
          <w:rFonts w:asciiTheme="minorBidi" w:hAnsiTheme="minorBidi" w:cs="Arial"/>
          <w:rtl/>
        </w:rPr>
        <w:t xml:space="preserve"> ומיהו באהל שבגג נמי פליגי כדמוכח לקמן (</w:t>
      </w:r>
      <w:r w:rsidR="00F30C85">
        <w:rPr>
          <w:rFonts w:asciiTheme="minorBidi" w:hAnsiTheme="minorBidi" w:cs="Arial" w:hint="cs"/>
          <w:rtl/>
        </w:rPr>
        <w:t>שבת</w:t>
      </w:r>
      <w:r w:rsidRPr="00182EA3">
        <w:rPr>
          <w:rFonts w:asciiTheme="minorBidi" w:hAnsiTheme="minorBidi" w:cs="Arial"/>
          <w:rtl/>
        </w:rPr>
        <w:t xml:space="preserve"> קלז:</w:t>
      </w:r>
      <w:r w:rsidR="00F30C85">
        <w:rPr>
          <w:rFonts w:asciiTheme="minorBidi" w:hAnsiTheme="minorBidi" w:cs="Arial" w:hint="cs"/>
          <w:rtl/>
        </w:rPr>
        <w:t>, וכן ב</w:t>
      </w:r>
      <w:r w:rsidRPr="00182EA3">
        <w:rPr>
          <w:rFonts w:asciiTheme="minorBidi" w:hAnsiTheme="minorBidi" w:cs="Arial"/>
          <w:rtl/>
        </w:rPr>
        <w:t>עירובין קב.)</w:t>
      </w:r>
      <w:r w:rsidR="00EC4AA1">
        <w:rPr>
          <w:rFonts w:asciiTheme="minorBidi" w:hAnsiTheme="minorBidi" w:cs="Arial" w:hint="cs"/>
          <w:sz w:val="16"/>
          <w:szCs w:val="16"/>
          <w:rtl/>
        </w:rPr>
        <w:t xml:space="preserve"> (ל' הרא"ש)</w:t>
      </w:r>
      <w:r w:rsidR="00F30C85">
        <w:rPr>
          <w:rFonts w:asciiTheme="minorBidi" w:hAnsiTheme="minorBidi" w:cs="Arial" w:hint="cs"/>
          <w:rtl/>
        </w:rPr>
        <w:t>.</w:t>
      </w:r>
      <w:r w:rsidR="008456DD">
        <w:rPr>
          <w:rFonts w:asciiTheme="minorBidi" w:hAnsiTheme="minorBidi" w:hint="cs"/>
          <w:rtl/>
        </w:rPr>
        <w:t xml:space="preserve"> </w:t>
      </w:r>
      <w:r w:rsidR="008456DD" w:rsidRPr="008456DD">
        <w:rPr>
          <w:rFonts w:asciiTheme="minorBidi" w:hAnsiTheme="minorBidi" w:hint="cs"/>
          <w:color w:val="E36C0A" w:themeColor="accent6" w:themeShade="BF"/>
          <w:rtl/>
        </w:rPr>
        <w:t>(וכ"פ בשו"ע)</w:t>
      </w:r>
    </w:p>
    <w:p w14:paraId="3F484B21" w14:textId="2A3B24AD" w:rsidR="007301CE" w:rsidRPr="007301CE" w:rsidRDefault="007301CE" w:rsidP="00434A6A">
      <w:pPr>
        <w:rPr>
          <w:rFonts w:asciiTheme="minorBidi" w:hAnsiTheme="minorBidi"/>
          <w:rtl/>
        </w:rPr>
      </w:pPr>
      <w:r w:rsidRPr="007301CE">
        <w:rPr>
          <w:rFonts w:asciiTheme="minorBidi" w:hAnsiTheme="minorBidi"/>
          <w:b/>
          <w:bCs/>
          <w:rtl/>
        </w:rPr>
        <w:t xml:space="preserve">ערובין </w:t>
      </w:r>
      <w:r w:rsidRPr="007301CE">
        <w:rPr>
          <w:rFonts w:asciiTheme="minorBidi" w:hAnsiTheme="minorBidi" w:hint="cs"/>
          <w:b/>
          <w:bCs/>
          <w:sz w:val="16"/>
          <w:szCs w:val="16"/>
          <w:rtl/>
        </w:rPr>
        <w:t xml:space="preserve">(פ' בתרא) </w:t>
      </w:r>
      <w:r w:rsidRPr="007301CE">
        <w:rPr>
          <w:rFonts w:asciiTheme="minorBidi" w:hAnsiTheme="minorBidi" w:hint="cs"/>
          <w:b/>
          <w:bCs/>
          <w:rtl/>
        </w:rPr>
        <w:t>קב</w:t>
      </w:r>
      <w:r w:rsidRPr="007301CE">
        <w:rPr>
          <w:rFonts w:asciiTheme="minorBidi" w:hAnsiTheme="minorBidi"/>
          <w:b/>
          <w:bCs/>
          <w:rtl/>
        </w:rPr>
        <w:t xml:space="preserve"> ע"א</w:t>
      </w:r>
      <w:r w:rsidR="00EB1DAD">
        <w:rPr>
          <w:rStyle w:val="a9"/>
          <w:rFonts w:asciiTheme="minorBidi" w:hAnsiTheme="minorBidi"/>
          <w:b/>
          <w:bCs/>
          <w:rtl/>
        </w:rPr>
        <w:footnoteReference w:id="2284"/>
      </w:r>
      <w:r w:rsidRPr="007301CE">
        <w:rPr>
          <w:rFonts w:asciiTheme="minorBidi" w:hAnsiTheme="minorBidi"/>
          <w:b/>
          <w:bCs/>
          <w:rtl/>
        </w:rPr>
        <w:t xml:space="preserve">: </w:t>
      </w:r>
      <w:r w:rsidRPr="007301CE">
        <w:rPr>
          <w:rFonts w:asciiTheme="minorBidi" w:hAnsiTheme="minorBidi"/>
          <w:u w:val="single"/>
          <w:rtl/>
        </w:rPr>
        <w:t>אמר רב משום רבי חייא</w:t>
      </w:r>
      <w:r w:rsidRPr="007301CE">
        <w:rPr>
          <w:rFonts w:asciiTheme="minorBidi" w:hAnsiTheme="minorBidi"/>
          <w:rtl/>
        </w:rPr>
        <w:t>: וילון</w:t>
      </w:r>
      <w:r w:rsidRPr="005275DF">
        <w:rPr>
          <w:rStyle w:val="a9"/>
          <w:rFonts w:asciiTheme="minorBidi" w:hAnsiTheme="minorBidi"/>
          <w:rtl/>
        </w:rPr>
        <w:footnoteReference w:id="2285"/>
      </w:r>
      <w:r w:rsidRPr="007301CE">
        <w:rPr>
          <w:rFonts w:asciiTheme="minorBidi" w:hAnsiTheme="minorBidi"/>
          <w:rtl/>
        </w:rPr>
        <w:t xml:space="preserve"> מותר לנטותו</w:t>
      </w:r>
      <w:r w:rsidRPr="005275DF">
        <w:rPr>
          <w:rStyle w:val="a9"/>
          <w:rFonts w:asciiTheme="minorBidi" w:hAnsiTheme="minorBidi"/>
          <w:rtl/>
        </w:rPr>
        <w:footnoteReference w:id="2286"/>
      </w:r>
      <w:r w:rsidRPr="007301CE">
        <w:rPr>
          <w:rFonts w:asciiTheme="minorBidi" w:hAnsiTheme="minorBidi"/>
          <w:rtl/>
        </w:rPr>
        <w:t xml:space="preserve"> ומותר לפורקו.</w:t>
      </w:r>
    </w:p>
    <w:p w14:paraId="54C382F9" w14:textId="79D331E7" w:rsidR="008F40E6" w:rsidRPr="00551BF8" w:rsidRDefault="00551BF8" w:rsidP="00434A6A">
      <w:pPr>
        <w:rPr>
          <w:rFonts w:asciiTheme="minorBidi" w:hAnsiTheme="minorBidi" w:cs="Arial"/>
          <w:u w:val="single"/>
          <w:rtl/>
        </w:rPr>
      </w:pPr>
      <w:r w:rsidRPr="00551BF8">
        <w:rPr>
          <w:rFonts w:asciiTheme="minorBidi" w:hAnsiTheme="minorBidi" w:cs="Arial"/>
          <w:u w:val="single"/>
          <w:rtl/>
        </w:rPr>
        <w:t>וילון הפרוש לפני הפתח</w:t>
      </w:r>
      <w:r w:rsidRPr="00551BF8">
        <w:rPr>
          <w:rFonts w:asciiTheme="minorBidi" w:hAnsiTheme="minorBidi" w:cs="Arial" w:hint="cs"/>
          <w:u w:val="single"/>
          <w:rtl/>
        </w:rPr>
        <w:t xml:space="preserve">: </w:t>
      </w:r>
    </w:p>
    <w:p w14:paraId="2B60A18E" w14:textId="5F6C5F1E" w:rsidR="00EB1DAD" w:rsidRDefault="00FA3754" w:rsidP="00434A6A">
      <w:pPr>
        <w:pStyle w:val="aa"/>
        <w:numPr>
          <w:ilvl w:val="0"/>
          <w:numId w:val="25"/>
        </w:numPr>
        <w:rPr>
          <w:rFonts w:asciiTheme="minorBidi" w:hAnsiTheme="minorBidi"/>
        </w:rPr>
      </w:pPr>
      <w:r w:rsidRPr="008F40E6">
        <w:rPr>
          <w:rFonts w:asciiTheme="minorBidi" w:hAnsiTheme="minorBidi" w:cs="Arial" w:hint="cs"/>
          <w:rtl/>
        </w:rPr>
        <w:t xml:space="preserve">טור- </w:t>
      </w:r>
      <w:r w:rsidRPr="008F40E6">
        <w:rPr>
          <w:rFonts w:asciiTheme="minorBidi" w:hAnsiTheme="minorBidi" w:cs="Arial"/>
          <w:rtl/>
        </w:rPr>
        <w:t>וילון הפרוש לפני הפתח מותר לנטותו ולפורקו</w:t>
      </w:r>
      <w:r w:rsidR="0046502D">
        <w:rPr>
          <w:rFonts w:asciiTheme="minorBidi" w:hAnsiTheme="minorBidi" w:cs="Arial" w:hint="cs"/>
          <w:rtl/>
        </w:rPr>
        <w:t>,</w:t>
      </w:r>
      <w:r w:rsidRPr="008F40E6">
        <w:rPr>
          <w:rFonts w:asciiTheme="minorBidi" w:hAnsiTheme="minorBidi" w:cs="Arial"/>
          <w:rtl/>
        </w:rPr>
        <w:t xml:space="preserve"> שאין אהל עראי בלא עשיית גג היכא שאינו בא להתיר</w:t>
      </w:r>
      <w:r w:rsidR="008F40E6">
        <w:rPr>
          <w:rFonts w:asciiTheme="minorBidi" w:hAnsiTheme="minorBidi" w:cs="Arial" w:hint="cs"/>
          <w:rtl/>
        </w:rPr>
        <w:t>.</w:t>
      </w:r>
      <w:r w:rsidR="008456DD" w:rsidRPr="008456DD">
        <w:rPr>
          <w:rFonts w:asciiTheme="minorBidi" w:hAnsiTheme="minorBidi" w:hint="cs"/>
          <w:color w:val="E36C0A" w:themeColor="accent6" w:themeShade="BF"/>
          <w:rtl/>
        </w:rPr>
        <w:t xml:space="preserve"> (וכ"פ בשו"ע)</w:t>
      </w:r>
    </w:p>
    <w:p w14:paraId="0856191D" w14:textId="008C2440" w:rsidR="00EB1DAD" w:rsidRPr="00DF0D60" w:rsidRDefault="00DF0D60" w:rsidP="00434A6A">
      <w:pPr>
        <w:rPr>
          <w:rFonts w:asciiTheme="minorBidi" w:hAnsiTheme="minorBidi"/>
          <w:u w:val="single"/>
        </w:rPr>
      </w:pPr>
      <w:r w:rsidRPr="00DF0D60">
        <w:rPr>
          <w:rFonts w:asciiTheme="minorBidi" w:hAnsiTheme="minorBidi" w:hint="cs"/>
          <w:u w:val="single"/>
          <w:rtl/>
        </w:rPr>
        <w:t>עשיית מחיצה ב</w:t>
      </w:r>
      <w:r w:rsidR="0068171B">
        <w:rPr>
          <w:rFonts w:asciiTheme="minorBidi" w:hAnsiTheme="minorBidi" w:hint="cs"/>
          <w:u w:val="single"/>
          <w:rtl/>
        </w:rPr>
        <w:t xml:space="preserve">פני </w:t>
      </w:r>
      <w:r w:rsidRPr="00DF0D60">
        <w:rPr>
          <w:rFonts w:asciiTheme="minorBidi" w:hAnsiTheme="minorBidi" w:hint="cs"/>
          <w:u w:val="single"/>
          <w:rtl/>
        </w:rPr>
        <w:t>הספרים כדי שיוכל לעשות צרכיו:</w:t>
      </w:r>
    </w:p>
    <w:p w14:paraId="5E20EC82" w14:textId="3E547CE9" w:rsidR="00434A39" w:rsidRDefault="00350D72" w:rsidP="00434A6A">
      <w:pPr>
        <w:pStyle w:val="aa"/>
        <w:numPr>
          <w:ilvl w:val="0"/>
          <w:numId w:val="25"/>
        </w:numPr>
        <w:rPr>
          <w:rFonts w:asciiTheme="minorBidi" w:hAnsiTheme="minorBidi"/>
        </w:rPr>
      </w:pPr>
      <w:r w:rsidRPr="00EB1DAD">
        <w:rPr>
          <w:rFonts w:asciiTheme="minorBidi" w:hAnsiTheme="minorBidi" w:cs="Arial"/>
          <w:rtl/>
        </w:rPr>
        <w:t xml:space="preserve">מרדכי </w:t>
      </w:r>
      <w:r w:rsidRPr="00E030F3">
        <w:rPr>
          <w:rFonts w:asciiTheme="minorBidi" w:hAnsiTheme="minorBidi" w:cs="Arial"/>
          <w:sz w:val="16"/>
          <w:szCs w:val="16"/>
          <w:rtl/>
        </w:rPr>
        <w:t>(</w:t>
      </w:r>
      <w:r w:rsidR="00E030F3" w:rsidRPr="00E030F3">
        <w:rPr>
          <w:rFonts w:asciiTheme="minorBidi" w:hAnsiTheme="minorBidi" w:cs="Arial" w:hint="cs"/>
          <w:sz w:val="16"/>
          <w:szCs w:val="16"/>
          <w:rtl/>
        </w:rPr>
        <w:t xml:space="preserve">שבת </w:t>
      </w:r>
      <w:r w:rsidRPr="00E030F3">
        <w:rPr>
          <w:rFonts w:asciiTheme="minorBidi" w:hAnsiTheme="minorBidi" w:cs="Arial"/>
          <w:sz w:val="16"/>
          <w:szCs w:val="16"/>
          <w:rtl/>
        </w:rPr>
        <w:t>סי' שיא)</w:t>
      </w:r>
      <w:r w:rsidR="00E030F3">
        <w:rPr>
          <w:rFonts w:asciiTheme="minorBidi" w:hAnsiTheme="minorBidi" w:cs="Arial" w:hint="cs"/>
          <w:rtl/>
        </w:rPr>
        <w:t>-</w:t>
      </w:r>
      <w:r w:rsidRPr="00EB1DAD">
        <w:rPr>
          <w:rFonts w:asciiTheme="minorBidi" w:hAnsiTheme="minorBidi" w:cs="Arial"/>
          <w:rtl/>
        </w:rPr>
        <w:t xml:space="preserve"> </w:t>
      </w:r>
      <w:r w:rsidR="00E030F3" w:rsidRPr="00E030F3">
        <w:rPr>
          <w:rFonts w:asciiTheme="minorBidi" w:hAnsiTheme="minorBidi" w:cs="Arial"/>
          <w:rtl/>
        </w:rPr>
        <w:t>בחדר שהיה ישן בו מהר"ם היה בו ספרים</w:t>
      </w:r>
      <w:r w:rsidR="00E030F3">
        <w:rPr>
          <w:rFonts w:asciiTheme="minorBidi" w:hAnsiTheme="minorBidi" w:cs="Arial" w:hint="cs"/>
          <w:rtl/>
        </w:rPr>
        <w:t>,</w:t>
      </w:r>
      <w:r w:rsidR="00E030F3" w:rsidRPr="00E030F3">
        <w:rPr>
          <w:rtl/>
        </w:rPr>
        <w:t xml:space="preserve"> </w:t>
      </w:r>
      <w:r w:rsidR="00E030F3" w:rsidRPr="00E030F3">
        <w:rPr>
          <w:rFonts w:asciiTheme="minorBidi" w:hAnsiTheme="minorBidi" w:cs="Arial"/>
          <w:rtl/>
        </w:rPr>
        <w:t>ובכל לילה היה עושה מחיצה עשרה טפחים גובה בפני הספרים</w:t>
      </w:r>
      <w:r w:rsidR="00E030F3">
        <w:rPr>
          <w:rFonts w:asciiTheme="minorBidi" w:hAnsiTheme="minorBidi" w:cs="Arial" w:hint="cs"/>
          <w:rtl/>
        </w:rPr>
        <w:t>,</w:t>
      </w:r>
      <w:r w:rsidR="00E030F3" w:rsidRPr="00E030F3">
        <w:rPr>
          <w:rFonts w:asciiTheme="minorBidi" w:hAnsiTheme="minorBidi" w:cs="Arial"/>
          <w:rtl/>
        </w:rPr>
        <w:t xml:space="preserve"> לפי שלפעמים היה משתין בלילה</w:t>
      </w:r>
      <w:r w:rsidR="00E030F3">
        <w:rPr>
          <w:rFonts w:asciiTheme="minorBidi" w:hAnsiTheme="minorBidi" w:cs="Arial" w:hint="cs"/>
          <w:rtl/>
        </w:rPr>
        <w:t>.</w:t>
      </w:r>
      <w:r w:rsidR="00E030F3" w:rsidRPr="00E030F3">
        <w:rPr>
          <w:rFonts w:asciiTheme="minorBidi" w:hAnsiTheme="minorBidi" w:cs="Arial"/>
          <w:rtl/>
        </w:rPr>
        <w:t xml:space="preserve"> ובכל ע</w:t>
      </w:r>
      <w:r w:rsidR="00DF0D60">
        <w:rPr>
          <w:rFonts w:asciiTheme="minorBidi" w:hAnsiTheme="minorBidi" w:cs="Arial" w:hint="cs"/>
          <w:rtl/>
        </w:rPr>
        <w:t>ר</w:t>
      </w:r>
      <w:r w:rsidR="00E030F3" w:rsidRPr="00E030F3">
        <w:rPr>
          <w:rFonts w:asciiTheme="minorBidi" w:hAnsiTheme="minorBidi" w:cs="Arial"/>
          <w:rtl/>
        </w:rPr>
        <w:t>"ש היה עושה מחיצה מבעוד יום</w:t>
      </w:r>
      <w:r w:rsidR="00E030F3">
        <w:rPr>
          <w:rFonts w:asciiTheme="minorBidi" w:hAnsiTheme="minorBidi" w:cs="Arial" w:hint="cs"/>
          <w:rtl/>
        </w:rPr>
        <w:t>,</w:t>
      </w:r>
      <w:r w:rsidR="00E030F3" w:rsidRPr="00E030F3">
        <w:rPr>
          <w:rFonts w:asciiTheme="minorBidi" w:hAnsiTheme="minorBidi" w:cs="Arial"/>
          <w:rtl/>
        </w:rPr>
        <w:t xml:space="preserve"> והיה כורך המחיצה לצד מעלה ומניחה על המוט ומשייר בה רוחב טפח</w:t>
      </w:r>
      <w:r w:rsidR="00E030F3">
        <w:rPr>
          <w:rFonts w:asciiTheme="minorBidi" w:hAnsiTheme="minorBidi" w:cs="Arial" w:hint="cs"/>
          <w:rtl/>
        </w:rPr>
        <w:t>,</w:t>
      </w:r>
      <w:r w:rsidR="00E030F3" w:rsidRPr="00E030F3">
        <w:rPr>
          <w:rFonts w:asciiTheme="minorBidi" w:hAnsiTheme="minorBidi" w:cs="Arial"/>
          <w:rtl/>
        </w:rPr>
        <w:t xml:space="preserve"> ובליל שבת פושטה למטה</w:t>
      </w:r>
      <w:r w:rsidR="00E030F3">
        <w:rPr>
          <w:rFonts w:asciiTheme="minorBidi" w:hAnsiTheme="minorBidi" w:cs="Arial" w:hint="cs"/>
          <w:rtl/>
        </w:rPr>
        <w:t>,</w:t>
      </w:r>
      <w:r w:rsidR="00E030F3" w:rsidRPr="00E030F3">
        <w:rPr>
          <w:rFonts w:asciiTheme="minorBidi" w:hAnsiTheme="minorBidi" w:cs="Arial"/>
          <w:rtl/>
        </w:rPr>
        <w:t xml:space="preserve"> לפי שבשבת אסור לעשות מחיצה</w:t>
      </w:r>
      <w:r w:rsidR="00E030F3">
        <w:rPr>
          <w:rFonts w:asciiTheme="minorBidi" w:hAnsiTheme="minorBidi" w:cs="Arial" w:hint="cs"/>
          <w:rtl/>
        </w:rPr>
        <w:t>.</w:t>
      </w:r>
      <w:r w:rsidR="00E030F3" w:rsidRPr="00E030F3">
        <w:rPr>
          <w:rFonts w:asciiTheme="minorBidi" w:hAnsiTheme="minorBidi" w:cs="Arial"/>
          <w:rtl/>
        </w:rPr>
        <w:t xml:space="preserve"> </w:t>
      </w:r>
      <w:r w:rsidR="00E030F3" w:rsidRPr="00212887">
        <w:rPr>
          <w:rFonts w:asciiTheme="minorBidi" w:hAnsiTheme="minorBidi" w:cs="Arial"/>
          <w:rtl/>
        </w:rPr>
        <w:t xml:space="preserve">כל מחיצה שאינה לצניעות בעלמא </w:t>
      </w:r>
      <w:r w:rsidR="00DF0D60">
        <w:rPr>
          <w:rFonts w:asciiTheme="minorBidi" w:hAnsiTheme="minorBidi" w:cs="Arial" w:hint="cs"/>
          <w:rtl/>
        </w:rPr>
        <w:t xml:space="preserve">- </w:t>
      </w:r>
      <w:r w:rsidR="00E030F3" w:rsidRPr="00212887">
        <w:rPr>
          <w:rFonts w:asciiTheme="minorBidi" w:hAnsiTheme="minorBidi" w:cs="Arial"/>
          <w:rtl/>
        </w:rPr>
        <w:t>אסור לעשותה בשבת</w:t>
      </w:r>
      <w:r w:rsidR="00DF0D60">
        <w:rPr>
          <w:rStyle w:val="a9"/>
          <w:rFonts w:asciiTheme="minorBidi" w:hAnsiTheme="minorBidi" w:cs="Arial"/>
          <w:rtl/>
        </w:rPr>
        <w:footnoteReference w:id="2287"/>
      </w:r>
      <w:r w:rsidR="00DF0D60">
        <w:rPr>
          <w:rFonts w:asciiTheme="minorBidi" w:hAnsiTheme="minorBidi" w:cs="Arial" w:hint="cs"/>
          <w:rtl/>
        </w:rPr>
        <w:t>.</w:t>
      </w:r>
      <w:r w:rsidR="00E030F3" w:rsidRPr="00212887">
        <w:rPr>
          <w:rFonts w:asciiTheme="minorBidi" w:hAnsiTheme="minorBidi" w:cs="Arial"/>
          <w:rtl/>
        </w:rPr>
        <w:t xml:space="preserve"> וראיה מפרק בתרא דעירובין </w:t>
      </w:r>
      <w:r w:rsidR="00D510EE">
        <w:rPr>
          <w:rFonts w:asciiTheme="minorBidi" w:hAnsiTheme="minorBidi" w:cs="Arial" w:hint="cs"/>
          <w:rtl/>
        </w:rPr>
        <w:t>(</w:t>
      </w:r>
      <w:r w:rsidR="00E030F3" w:rsidRPr="00212887">
        <w:rPr>
          <w:rFonts w:asciiTheme="minorBidi" w:hAnsiTheme="minorBidi" w:cs="Arial"/>
          <w:rtl/>
        </w:rPr>
        <w:t>קב</w:t>
      </w:r>
      <w:r w:rsidR="00D510EE">
        <w:rPr>
          <w:rFonts w:asciiTheme="minorBidi" w:hAnsiTheme="minorBidi" w:cs="Arial" w:hint="cs"/>
          <w:rtl/>
        </w:rPr>
        <w:t>.)</w:t>
      </w:r>
      <w:r w:rsidR="00E030F3" w:rsidRPr="00212887">
        <w:rPr>
          <w:rFonts w:asciiTheme="minorBidi" w:hAnsiTheme="minorBidi" w:cs="Arial"/>
          <w:rtl/>
        </w:rPr>
        <w:t xml:space="preserve"> הנהו דיכרי דהוו בי רב הונא דביממא בעו טולא ובליליא בעו אוירא אתו לקמיה דרבינא א"ל זיל כרוך בודי' ושייר בה טפח ולמחר פושטה</w:t>
      </w:r>
      <w:r w:rsidR="00434A39">
        <w:rPr>
          <w:rFonts w:asciiTheme="minorBidi" w:hAnsiTheme="minorBidi" w:cs="Arial" w:hint="cs"/>
          <w:rtl/>
        </w:rPr>
        <w:t>,</w:t>
      </w:r>
      <w:r w:rsidR="00E030F3" w:rsidRPr="00212887">
        <w:rPr>
          <w:rFonts w:asciiTheme="minorBidi" w:hAnsiTheme="minorBidi" w:cs="Arial"/>
          <w:rtl/>
        </w:rPr>
        <w:t xml:space="preserve"> דהוה ליה מוסיף על אהל עראי ושפיר דמי</w:t>
      </w:r>
      <w:r w:rsidR="00434A39">
        <w:rPr>
          <w:rStyle w:val="a9"/>
          <w:rFonts w:asciiTheme="minorBidi" w:hAnsiTheme="minorBidi" w:cs="Arial"/>
          <w:rtl/>
        </w:rPr>
        <w:footnoteReference w:id="2288"/>
      </w:r>
      <w:r w:rsidR="00675DD8">
        <w:rPr>
          <w:rFonts w:asciiTheme="minorBidi" w:hAnsiTheme="minorBidi" w:cs="Arial" w:hint="cs"/>
          <w:rtl/>
        </w:rPr>
        <w:t>.</w:t>
      </w:r>
      <w:r w:rsidR="00E030F3" w:rsidRPr="00212887">
        <w:rPr>
          <w:rFonts w:asciiTheme="minorBidi" w:hAnsiTheme="minorBidi" w:cs="Arial"/>
          <w:rtl/>
        </w:rPr>
        <w:t xml:space="preserve"> והני מילי במחיצה שאינה עשויה לצורך צניעות</w:t>
      </w:r>
      <w:r w:rsidR="0046502D">
        <w:rPr>
          <w:rFonts w:asciiTheme="minorBidi" w:hAnsiTheme="minorBidi" w:cs="Arial" w:hint="cs"/>
          <w:rtl/>
        </w:rPr>
        <w:t>,</w:t>
      </w:r>
      <w:r w:rsidR="00E030F3" w:rsidRPr="00212887">
        <w:rPr>
          <w:rFonts w:asciiTheme="minorBidi" w:hAnsiTheme="minorBidi" w:cs="Arial"/>
          <w:rtl/>
        </w:rPr>
        <w:t xml:space="preserve"> אבל מחיצה שעושה לצניעות בעלמא מותר כגון מחיצה שעושין בשעת הדרשה בין אנשים לנשים </w:t>
      </w:r>
      <w:r w:rsidR="0046502D">
        <w:rPr>
          <w:rFonts w:asciiTheme="minorBidi" w:hAnsiTheme="minorBidi" w:cs="Arial" w:hint="cs"/>
          <w:rtl/>
        </w:rPr>
        <w:t xml:space="preserve">- </w:t>
      </w:r>
      <w:r w:rsidR="00E030F3" w:rsidRPr="00212887">
        <w:rPr>
          <w:rFonts w:asciiTheme="minorBidi" w:hAnsiTheme="minorBidi" w:cs="Arial"/>
          <w:rtl/>
        </w:rPr>
        <w:t>מותר לעשותה בשבת</w:t>
      </w:r>
      <w:r w:rsidR="0046502D">
        <w:rPr>
          <w:rFonts w:asciiTheme="minorBidi" w:hAnsiTheme="minorBidi" w:cs="Arial" w:hint="cs"/>
          <w:rtl/>
        </w:rPr>
        <w:t>,</w:t>
      </w:r>
      <w:r w:rsidR="00E030F3" w:rsidRPr="00212887">
        <w:rPr>
          <w:rFonts w:asciiTheme="minorBidi" w:hAnsiTheme="minorBidi" w:cs="Arial"/>
          <w:rtl/>
        </w:rPr>
        <w:t xml:space="preserve"> כדאמרינן פרק כל גגות </w:t>
      </w:r>
      <w:r w:rsidR="00D510EE">
        <w:rPr>
          <w:rFonts w:asciiTheme="minorBidi" w:hAnsiTheme="minorBidi" w:cs="Arial" w:hint="cs"/>
          <w:rtl/>
        </w:rPr>
        <w:t xml:space="preserve">(שם </w:t>
      </w:r>
      <w:r w:rsidR="00E030F3" w:rsidRPr="00212887">
        <w:rPr>
          <w:rFonts w:asciiTheme="minorBidi" w:hAnsiTheme="minorBidi" w:cs="Arial"/>
          <w:rtl/>
        </w:rPr>
        <w:t>צד</w:t>
      </w:r>
      <w:r w:rsidR="00D510EE">
        <w:rPr>
          <w:rFonts w:asciiTheme="minorBidi" w:hAnsiTheme="minorBidi" w:cs="Arial" w:hint="cs"/>
          <w:rtl/>
        </w:rPr>
        <w:t>.)</w:t>
      </w:r>
      <w:r w:rsidR="00E030F3" w:rsidRPr="00212887">
        <w:rPr>
          <w:rFonts w:asciiTheme="minorBidi" w:hAnsiTheme="minorBidi" w:cs="Arial"/>
          <w:rtl/>
        </w:rPr>
        <w:t xml:space="preserve"> לשמואל דעביד לצניעותא בעלמא הוא דעבד</w:t>
      </w:r>
      <w:r w:rsidR="00812C62">
        <w:rPr>
          <w:rFonts w:asciiTheme="minorBidi" w:hAnsiTheme="minorBidi" w:cs="Arial" w:hint="cs"/>
          <w:rtl/>
        </w:rPr>
        <w:t>.</w:t>
      </w:r>
      <w:r w:rsidR="00E030F3" w:rsidRPr="00212887">
        <w:rPr>
          <w:rFonts w:asciiTheme="minorBidi" w:hAnsiTheme="minorBidi" w:cs="Arial"/>
          <w:rtl/>
        </w:rPr>
        <w:t xml:space="preserve"> גם מותר בשבת לעשות מחיצה להגן מפני החמה או מפני הצנה שלא תפול על האדם ועל האוכלים</w:t>
      </w:r>
      <w:r w:rsidR="00812C62">
        <w:rPr>
          <w:rFonts w:asciiTheme="minorBidi" w:hAnsiTheme="minorBidi" w:cs="Arial" w:hint="cs"/>
          <w:rtl/>
        </w:rPr>
        <w:t>,</w:t>
      </w:r>
      <w:r w:rsidR="00E030F3" w:rsidRPr="00212887">
        <w:rPr>
          <w:rFonts w:asciiTheme="minorBidi" w:hAnsiTheme="minorBidi" w:cs="Arial"/>
          <w:rtl/>
        </w:rPr>
        <w:t xml:space="preserve"> כדמשמע פרק כירה </w:t>
      </w:r>
      <w:r w:rsidR="00D510EE">
        <w:rPr>
          <w:rFonts w:asciiTheme="minorBidi" w:hAnsiTheme="minorBidi" w:cs="Arial" w:hint="cs"/>
          <w:rtl/>
        </w:rPr>
        <w:t>(</w:t>
      </w:r>
      <w:r w:rsidR="00E030F3" w:rsidRPr="00212887">
        <w:rPr>
          <w:rFonts w:asciiTheme="minorBidi" w:hAnsiTheme="minorBidi" w:cs="Arial"/>
          <w:rtl/>
        </w:rPr>
        <w:t>לקמן מג</w:t>
      </w:r>
      <w:r w:rsidR="00D510EE">
        <w:rPr>
          <w:rFonts w:asciiTheme="minorBidi" w:hAnsiTheme="minorBidi" w:cs="Arial" w:hint="cs"/>
          <w:rtl/>
        </w:rPr>
        <w:t>:)</w:t>
      </w:r>
      <w:r w:rsidR="00E030F3" w:rsidRPr="00212887">
        <w:rPr>
          <w:rFonts w:asciiTheme="minorBidi" w:hAnsiTheme="minorBidi" w:cs="Arial"/>
          <w:rtl/>
        </w:rPr>
        <w:t xml:space="preserve"> גבי מת המוטל בחמה דאסור לעשות מחיצה בשביל המת אבל בשביל חי מותר</w:t>
      </w:r>
      <w:r w:rsidR="00675DD8">
        <w:rPr>
          <w:rStyle w:val="a9"/>
          <w:rFonts w:asciiTheme="minorBidi" w:hAnsiTheme="minorBidi" w:cs="Arial"/>
          <w:rtl/>
        </w:rPr>
        <w:footnoteReference w:id="2289"/>
      </w:r>
      <w:r w:rsidR="00E030F3" w:rsidRPr="00212887">
        <w:rPr>
          <w:rFonts w:asciiTheme="minorBidi" w:hAnsiTheme="minorBidi" w:cs="Arial"/>
          <w:rtl/>
        </w:rPr>
        <w:t>.</w:t>
      </w:r>
      <w:r w:rsidR="008456DD">
        <w:rPr>
          <w:rFonts w:asciiTheme="minorBidi" w:hAnsiTheme="minorBidi" w:hint="cs"/>
          <w:color w:val="00B0F0"/>
          <w:rtl/>
        </w:rPr>
        <w:t xml:space="preserve"> </w:t>
      </w:r>
      <w:r w:rsidR="008456DD" w:rsidRPr="008456DD">
        <w:rPr>
          <w:rFonts w:asciiTheme="minorBidi" w:hAnsiTheme="minorBidi" w:hint="cs"/>
          <w:color w:val="00B0F0"/>
          <w:rtl/>
        </w:rPr>
        <w:t>(וכ"פ הרמ"א)</w:t>
      </w:r>
    </w:p>
    <w:p w14:paraId="0892C09B" w14:textId="77777777" w:rsidR="000C2D1F" w:rsidRPr="00764594" w:rsidRDefault="000C2D1F" w:rsidP="00434A6A">
      <w:pPr>
        <w:rPr>
          <w:rFonts w:asciiTheme="minorBidi" w:hAnsiTheme="minorBidi"/>
          <w:u w:val="single"/>
        </w:rPr>
      </w:pPr>
      <w:r w:rsidRPr="00764594">
        <w:rPr>
          <w:rFonts w:asciiTheme="minorBidi" w:hAnsiTheme="minorBidi" w:hint="cs"/>
          <w:u w:val="single"/>
          <w:rtl/>
        </w:rPr>
        <w:t>הסרת הפרוכת שתלויה לפני ארון הקודש:</w:t>
      </w:r>
    </w:p>
    <w:p w14:paraId="00F3B967" w14:textId="4DCA2FDB" w:rsidR="000C2D1F" w:rsidRPr="00764594" w:rsidRDefault="000C2D1F" w:rsidP="00434A6A">
      <w:pPr>
        <w:pStyle w:val="aa"/>
        <w:numPr>
          <w:ilvl w:val="0"/>
          <w:numId w:val="25"/>
        </w:numPr>
        <w:rPr>
          <w:rFonts w:asciiTheme="minorBidi" w:hAnsiTheme="minorBidi"/>
        </w:rPr>
      </w:pPr>
      <w:r>
        <w:rPr>
          <w:rFonts w:asciiTheme="minorBidi" w:hAnsiTheme="minorBidi" w:cs="Arial" w:hint="cs"/>
          <w:rtl/>
        </w:rPr>
        <w:t xml:space="preserve">ב"י- </w:t>
      </w:r>
      <w:r w:rsidRPr="00434A39">
        <w:rPr>
          <w:rFonts w:asciiTheme="minorBidi" w:hAnsiTheme="minorBidi" w:cs="Arial"/>
          <w:rtl/>
        </w:rPr>
        <w:t>ומתוך הדברים האלו נראה בהדיא דפרוכת שלפני ארון הקודש מותר להסירו בשבת ולפרוס אחר במקומו דהיינו ממש וילון דשרי רב</w:t>
      </w:r>
      <w:r>
        <w:rPr>
          <w:rStyle w:val="a9"/>
          <w:rFonts w:asciiTheme="minorBidi" w:hAnsiTheme="minorBidi" w:cs="Arial"/>
          <w:rtl/>
        </w:rPr>
        <w:footnoteReference w:id="2290"/>
      </w:r>
      <w:r>
        <w:rPr>
          <w:rFonts w:asciiTheme="minorBidi" w:hAnsiTheme="minorBidi" w:cs="Arial" w:hint="cs"/>
          <w:rtl/>
        </w:rPr>
        <w:t>.</w:t>
      </w:r>
      <w:r w:rsidRPr="00434A39">
        <w:rPr>
          <w:rFonts w:asciiTheme="minorBidi" w:hAnsiTheme="minorBidi" w:cs="Arial"/>
          <w:rtl/>
        </w:rPr>
        <w:t xml:space="preserve"> </w:t>
      </w:r>
      <w:r w:rsidR="008073A1" w:rsidRPr="008073A1">
        <w:rPr>
          <w:rFonts w:asciiTheme="minorBidi" w:hAnsiTheme="minorBidi" w:hint="cs"/>
          <w:color w:val="E36C0A" w:themeColor="accent6" w:themeShade="BF"/>
          <w:rtl/>
        </w:rPr>
        <w:t>(וכ"פ בשו"ע</w:t>
      </w:r>
      <w:r w:rsidR="008073A1" w:rsidRPr="008073A1">
        <w:rPr>
          <w:rFonts w:asciiTheme="minorBidi" w:hAnsiTheme="minorBidi" w:hint="cs"/>
          <w:color w:val="E36C0A" w:themeColor="accent6" w:themeShade="BF"/>
          <w:sz w:val="16"/>
          <w:szCs w:val="16"/>
          <w:rtl/>
        </w:rPr>
        <w:t xml:space="preserve"> </w:t>
      </w:r>
      <w:r w:rsidR="008073A1">
        <w:rPr>
          <w:rFonts w:asciiTheme="minorBidi" w:hAnsiTheme="minorBidi" w:hint="cs"/>
          <w:sz w:val="16"/>
          <w:szCs w:val="16"/>
          <w:rtl/>
        </w:rPr>
        <w:t>[סע' י]</w:t>
      </w:r>
      <w:r w:rsidR="008073A1" w:rsidRPr="008073A1">
        <w:rPr>
          <w:rFonts w:asciiTheme="minorBidi" w:hAnsiTheme="minorBidi" w:hint="cs"/>
          <w:color w:val="E36C0A" w:themeColor="accent6" w:themeShade="BF"/>
          <w:rtl/>
        </w:rPr>
        <w:t>)</w:t>
      </w:r>
      <w:r w:rsidRPr="008456DD">
        <w:rPr>
          <w:rFonts w:asciiTheme="minorBidi" w:hAnsiTheme="minorBidi" w:hint="cs"/>
          <w:color w:val="00B0F0"/>
          <w:rtl/>
        </w:rPr>
        <w:t>(וכ"פ הרמ"א)</w:t>
      </w:r>
      <w:r w:rsidR="008073A1">
        <w:rPr>
          <w:rFonts w:asciiTheme="minorBidi" w:hAnsiTheme="minorBidi" w:hint="cs"/>
          <w:rtl/>
        </w:rPr>
        <w:t xml:space="preserve"> </w:t>
      </w:r>
    </w:p>
    <w:p w14:paraId="211C55A6" w14:textId="681E08B1" w:rsidR="000C2D1F" w:rsidRPr="006C2F57" w:rsidRDefault="000C2D1F" w:rsidP="00434A6A">
      <w:pPr>
        <w:pStyle w:val="aa"/>
        <w:numPr>
          <w:ilvl w:val="0"/>
          <w:numId w:val="25"/>
        </w:numPr>
        <w:rPr>
          <w:rFonts w:asciiTheme="minorBidi" w:hAnsiTheme="minorBidi" w:cs="Arial"/>
          <w:rtl/>
        </w:rPr>
      </w:pPr>
      <w:r>
        <w:rPr>
          <w:rFonts w:asciiTheme="minorBidi" w:hAnsiTheme="minorBidi" w:cs="Arial" w:hint="cs"/>
          <w:rtl/>
        </w:rPr>
        <w:t>תרוה"ד</w:t>
      </w:r>
      <w:r w:rsidRPr="00764594">
        <w:rPr>
          <w:rFonts w:asciiTheme="minorBidi" w:hAnsiTheme="minorBidi" w:cs="Arial" w:hint="cs"/>
          <w:sz w:val="16"/>
          <w:szCs w:val="16"/>
          <w:rtl/>
        </w:rPr>
        <w:t xml:space="preserve"> (</w:t>
      </w:r>
      <w:r w:rsidRPr="00764594">
        <w:rPr>
          <w:rFonts w:asciiTheme="minorBidi" w:hAnsiTheme="minorBidi" w:cs="Arial"/>
          <w:sz w:val="16"/>
          <w:szCs w:val="16"/>
          <w:rtl/>
        </w:rPr>
        <w:t>סי</w:t>
      </w:r>
      <w:r w:rsidRPr="00764594">
        <w:rPr>
          <w:rFonts w:asciiTheme="minorBidi" w:hAnsiTheme="minorBidi" w:cs="Arial" w:hint="cs"/>
          <w:sz w:val="16"/>
          <w:szCs w:val="16"/>
          <w:rtl/>
        </w:rPr>
        <w:t>'</w:t>
      </w:r>
      <w:r w:rsidRPr="00764594">
        <w:rPr>
          <w:rFonts w:asciiTheme="minorBidi" w:hAnsiTheme="minorBidi" w:cs="Arial"/>
          <w:sz w:val="16"/>
          <w:szCs w:val="16"/>
          <w:rtl/>
        </w:rPr>
        <w:t xml:space="preserve"> סח</w:t>
      </w:r>
      <w:r w:rsidRPr="00764594">
        <w:rPr>
          <w:rFonts w:asciiTheme="minorBidi" w:hAnsiTheme="minorBidi" w:cs="Arial" w:hint="cs"/>
          <w:sz w:val="16"/>
          <w:szCs w:val="16"/>
          <w:rtl/>
        </w:rPr>
        <w:t>)</w:t>
      </w:r>
      <w:r>
        <w:rPr>
          <w:rFonts w:asciiTheme="minorBidi" w:hAnsiTheme="minorBidi" w:cs="Arial" w:hint="cs"/>
          <w:rtl/>
        </w:rPr>
        <w:t>-</w:t>
      </w:r>
      <w:r w:rsidRPr="00434A39">
        <w:rPr>
          <w:rFonts w:asciiTheme="minorBidi" w:hAnsiTheme="minorBidi" w:cs="Arial"/>
          <w:rtl/>
        </w:rPr>
        <w:t xml:space="preserve"> </w:t>
      </w:r>
      <w:r w:rsidRPr="00764594">
        <w:rPr>
          <w:rFonts w:asciiTheme="minorBidi" w:hAnsiTheme="minorBidi" w:cs="Arial"/>
          <w:rtl/>
        </w:rPr>
        <w:t>שאלה: הפרוכת שלפני ארון הקודש שרי להסירו בשבת ולפרוס אחר במקומו או לאו?</w:t>
      </w:r>
      <w:r>
        <w:rPr>
          <w:rFonts w:asciiTheme="minorBidi" w:hAnsiTheme="minorBidi" w:cs="Arial" w:hint="cs"/>
          <w:rtl/>
        </w:rPr>
        <w:t xml:space="preserve">      </w:t>
      </w:r>
      <w:r w:rsidRPr="00764594">
        <w:rPr>
          <w:rFonts w:asciiTheme="minorBidi" w:hAnsiTheme="minorBidi" w:cs="Arial"/>
          <w:rtl/>
        </w:rPr>
        <w:t xml:space="preserve">תשובה: יראה דהיתר גמור הוא. וכן שמעתי שיש מקומות שעושין כן ביוה"כ לתפלת נעילה, מסירים הראשון ופורסים אחר שכולו לבן במקומו. וראיה מהא דגרסינן בפ' תולין </w:t>
      </w:r>
      <w:r>
        <w:rPr>
          <w:rFonts w:asciiTheme="minorBidi" w:hAnsiTheme="minorBidi" w:cs="Arial" w:hint="cs"/>
          <w:rtl/>
        </w:rPr>
        <w:t xml:space="preserve">(שבת קלח.) </w:t>
      </w:r>
      <w:r w:rsidRPr="00764594">
        <w:rPr>
          <w:rFonts w:asciiTheme="minorBidi" w:hAnsiTheme="minorBidi" w:cs="Arial"/>
          <w:rtl/>
        </w:rPr>
        <w:t xml:space="preserve">ובפ' המוצא תפילין </w:t>
      </w:r>
      <w:r>
        <w:rPr>
          <w:rFonts w:asciiTheme="minorBidi" w:hAnsiTheme="minorBidi" w:cs="Arial" w:hint="cs"/>
          <w:rtl/>
        </w:rPr>
        <w:t>(ערובין קב.)</w:t>
      </w:r>
      <w:r w:rsidRPr="00764594">
        <w:rPr>
          <w:rFonts w:asciiTheme="minorBidi" w:hAnsiTheme="minorBidi" w:cs="Arial"/>
          <w:rtl/>
        </w:rPr>
        <w:t xml:space="preserve">: אמר רב משום רבי חייא וילון מותר לנטותו ולפרקו בשבת. ופרש"י </w:t>
      </w:r>
      <w:r>
        <w:rPr>
          <w:rFonts w:asciiTheme="minorBidi" w:hAnsiTheme="minorBidi" w:cs="Arial" w:hint="cs"/>
          <w:rtl/>
        </w:rPr>
        <w:t>(</w:t>
      </w:r>
      <w:r w:rsidRPr="00764594">
        <w:rPr>
          <w:rFonts w:asciiTheme="minorBidi" w:hAnsiTheme="minorBidi" w:cs="Arial"/>
          <w:rtl/>
        </w:rPr>
        <w:t>פ' תולין</w:t>
      </w:r>
      <w:r>
        <w:rPr>
          <w:rFonts w:asciiTheme="minorBidi" w:hAnsiTheme="minorBidi" w:cs="Arial" w:hint="cs"/>
          <w:rtl/>
        </w:rPr>
        <w:t>)</w:t>
      </w:r>
      <w:r w:rsidRPr="00764594">
        <w:rPr>
          <w:rFonts w:asciiTheme="minorBidi" w:hAnsiTheme="minorBidi" w:cs="Arial"/>
          <w:rtl/>
        </w:rPr>
        <w:t xml:space="preserve"> דזהו מסך שכנגד הפתח, דהיינו כמו פרוכת.</w:t>
      </w:r>
      <w:r w:rsidRPr="00764594">
        <w:rPr>
          <w:rFonts w:asciiTheme="minorBidi" w:hAnsiTheme="minorBidi" w:cs="Arial" w:hint="cs"/>
          <w:rtl/>
        </w:rPr>
        <w:t>..</w:t>
      </w:r>
      <w:r w:rsidRPr="00764594">
        <w:rPr>
          <w:rFonts w:asciiTheme="minorBidi" w:hAnsiTheme="minorBidi" w:cs="Arial"/>
          <w:rtl/>
        </w:rPr>
        <w:t xml:space="preserve"> אך בפ' המוצא תפילין </w:t>
      </w:r>
      <w:r>
        <w:rPr>
          <w:rFonts w:asciiTheme="minorBidi" w:hAnsiTheme="minorBidi" w:cs="Arial" w:hint="cs"/>
          <w:rtl/>
        </w:rPr>
        <w:t>(שם)</w:t>
      </w:r>
      <w:r w:rsidRPr="00764594">
        <w:rPr>
          <w:rFonts w:asciiTheme="minorBidi" w:hAnsiTheme="minorBidi" w:cs="Arial"/>
          <w:rtl/>
        </w:rPr>
        <w:t xml:space="preserve"> פרש"י: וילון כנגד הפתח לצניעותא מותר לנטותו דלאו אהל קעביד. דלאו קביע התם אלא דרכו לינתן ולהסתלק כדלת בעלמא עכ"ל. משמע דאיירי בוילון שנוטין אותו לפרקים כשרוצים לעשות מילי דצניעות</w:t>
      </w:r>
      <w:r w:rsidR="00A5356D">
        <w:rPr>
          <w:rFonts w:asciiTheme="minorBidi" w:hAnsiTheme="minorBidi" w:cs="Arial" w:hint="cs"/>
          <w:rtl/>
        </w:rPr>
        <w:t>,</w:t>
      </w:r>
      <w:r w:rsidRPr="00764594">
        <w:rPr>
          <w:rFonts w:asciiTheme="minorBidi" w:hAnsiTheme="minorBidi" w:cs="Arial"/>
          <w:rtl/>
        </w:rPr>
        <w:t xml:space="preserve"> אבל אינו תלוי תדיר שם</w:t>
      </w:r>
      <w:r w:rsidR="00A5356D">
        <w:rPr>
          <w:rFonts w:asciiTheme="minorBidi" w:hAnsiTheme="minorBidi" w:cs="Arial" w:hint="cs"/>
          <w:rtl/>
        </w:rPr>
        <w:t>.</w:t>
      </w:r>
      <w:r w:rsidRPr="00764594">
        <w:rPr>
          <w:rFonts w:asciiTheme="minorBidi" w:hAnsiTheme="minorBidi" w:cs="Arial"/>
          <w:rtl/>
        </w:rPr>
        <w:t xml:space="preserve"> ולפי זה הפרוכת שתולין שם תדיר </w:t>
      </w:r>
      <w:r w:rsidR="00A5356D">
        <w:rPr>
          <w:rFonts w:asciiTheme="minorBidi" w:hAnsiTheme="minorBidi" w:cs="Arial" w:hint="cs"/>
          <w:rtl/>
        </w:rPr>
        <w:t xml:space="preserve">- </w:t>
      </w:r>
      <w:r w:rsidRPr="00764594">
        <w:rPr>
          <w:rFonts w:asciiTheme="minorBidi" w:hAnsiTheme="minorBidi" w:cs="Arial"/>
          <w:rtl/>
        </w:rPr>
        <w:t>שייך ביה עשיית אהל</w:t>
      </w:r>
      <w:r w:rsidRPr="00764594">
        <w:rPr>
          <w:rFonts w:asciiTheme="minorBidi" w:hAnsiTheme="minorBidi" w:cs="Arial" w:hint="cs"/>
          <w:rtl/>
        </w:rPr>
        <w:t>.</w:t>
      </w:r>
      <w:r w:rsidRPr="00764594">
        <w:rPr>
          <w:rFonts w:asciiTheme="minorBidi" w:hAnsiTheme="minorBidi" w:cs="Arial"/>
          <w:rtl/>
        </w:rPr>
        <w:t xml:space="preserve"> ומכל מקום נראה לחלק יפה</w:t>
      </w:r>
      <w:r w:rsidR="00A5356D">
        <w:rPr>
          <w:rFonts w:asciiTheme="minorBidi" w:hAnsiTheme="minorBidi" w:cs="Arial" w:hint="cs"/>
          <w:rtl/>
        </w:rPr>
        <w:t>,</w:t>
      </w:r>
      <w:r w:rsidRPr="00764594">
        <w:rPr>
          <w:rFonts w:asciiTheme="minorBidi" w:hAnsiTheme="minorBidi" w:cs="Arial"/>
          <w:rtl/>
        </w:rPr>
        <w:t xml:space="preserve"> דודאי וילון התלוי תדיר שם לפני הפתח שייך ביה עשיית אהל לפי שהוא כמו דלת בעלמא</w:t>
      </w:r>
      <w:r w:rsidRPr="00764594">
        <w:rPr>
          <w:rFonts w:asciiTheme="minorBidi" w:hAnsiTheme="minorBidi" w:cs="Arial" w:hint="cs"/>
          <w:rtl/>
        </w:rPr>
        <w:t>,</w:t>
      </w:r>
      <w:r w:rsidRPr="00764594">
        <w:rPr>
          <w:rFonts w:asciiTheme="minorBidi" w:hAnsiTheme="minorBidi" w:cs="Arial"/>
          <w:rtl/>
        </w:rPr>
        <w:t xml:space="preserve"> אבל הפרוכת שלפני הארון שבלאו הכי יש דלת לארון והפרוכת אינו תלוי שם אלא לצניעות אע</w:t>
      </w:r>
      <w:r>
        <w:rPr>
          <w:rFonts w:asciiTheme="minorBidi" w:hAnsiTheme="minorBidi" w:cs="Arial" w:hint="cs"/>
          <w:rtl/>
        </w:rPr>
        <w:t>"</w:t>
      </w:r>
      <w:r w:rsidRPr="00764594">
        <w:rPr>
          <w:rFonts w:asciiTheme="minorBidi" w:hAnsiTheme="minorBidi" w:cs="Arial"/>
          <w:rtl/>
        </w:rPr>
        <w:t>ג דתלוי שם בקביעות אין קפידא. אפס העולם חוששין לאסור הדבר</w:t>
      </w:r>
      <w:r w:rsidRPr="00764594">
        <w:rPr>
          <w:rFonts w:asciiTheme="minorBidi" w:hAnsiTheme="minorBidi" w:cs="Arial" w:hint="cs"/>
          <w:rtl/>
        </w:rPr>
        <w:t>,</w:t>
      </w:r>
      <w:r w:rsidRPr="00764594">
        <w:rPr>
          <w:rFonts w:asciiTheme="minorBidi" w:hAnsiTheme="minorBidi" w:cs="Arial"/>
          <w:rtl/>
        </w:rPr>
        <w:t xml:space="preserve"> גם חזן הכנסת אחד הגיד לי שאחד מן הגדולים לא רצה להתיר</w:t>
      </w:r>
      <w:r w:rsidRPr="00764594">
        <w:rPr>
          <w:rFonts w:asciiTheme="minorBidi" w:hAnsiTheme="minorBidi" w:cs="Arial" w:hint="cs"/>
          <w:rtl/>
        </w:rPr>
        <w:t>,</w:t>
      </w:r>
      <w:r w:rsidRPr="00764594">
        <w:rPr>
          <w:rFonts w:asciiTheme="minorBidi" w:hAnsiTheme="minorBidi" w:cs="Arial"/>
          <w:rtl/>
        </w:rPr>
        <w:t xml:space="preserve"> אני מושך ידי להתיר</w:t>
      </w:r>
      <w:r>
        <w:rPr>
          <w:rStyle w:val="a9"/>
          <w:rFonts w:asciiTheme="minorBidi" w:hAnsiTheme="minorBidi" w:cs="Arial"/>
          <w:rtl/>
        </w:rPr>
        <w:footnoteReference w:id="2291"/>
      </w:r>
      <w:r w:rsidRPr="00764594">
        <w:rPr>
          <w:rFonts w:asciiTheme="minorBidi" w:hAnsiTheme="minorBidi" w:cs="Arial" w:hint="cs"/>
          <w:rtl/>
        </w:rPr>
        <w:t>.</w:t>
      </w:r>
    </w:p>
    <w:p w14:paraId="11568F99" w14:textId="77777777" w:rsidR="0068171B" w:rsidRPr="0068171B" w:rsidRDefault="0068171B" w:rsidP="00434A6A">
      <w:pPr>
        <w:rPr>
          <w:rFonts w:asciiTheme="minorBidi" w:hAnsiTheme="minorBidi"/>
        </w:rPr>
      </w:pPr>
      <w:r w:rsidRPr="0068171B">
        <w:rPr>
          <w:rFonts w:asciiTheme="minorBidi" w:hAnsiTheme="minorBidi" w:cs="Arial" w:hint="cs"/>
          <w:b/>
          <w:bCs/>
          <w:rtl/>
        </w:rPr>
        <w:t xml:space="preserve">ביצה </w:t>
      </w:r>
      <w:r w:rsidRPr="0068171B">
        <w:rPr>
          <w:rFonts w:asciiTheme="minorBidi" w:hAnsiTheme="minorBidi" w:cs="Arial" w:hint="cs"/>
          <w:b/>
          <w:bCs/>
          <w:sz w:val="16"/>
          <w:szCs w:val="16"/>
          <w:rtl/>
        </w:rPr>
        <w:t xml:space="preserve">(פ"ב) </w:t>
      </w:r>
      <w:r w:rsidRPr="0068171B">
        <w:rPr>
          <w:rFonts w:asciiTheme="minorBidi" w:hAnsiTheme="minorBidi" w:cs="Arial" w:hint="cs"/>
          <w:b/>
          <w:bCs/>
          <w:rtl/>
        </w:rPr>
        <w:t xml:space="preserve">כב ע"א: </w:t>
      </w:r>
      <w:r w:rsidRPr="0068171B">
        <w:rPr>
          <w:rFonts w:asciiTheme="minorBidi" w:hAnsiTheme="minorBidi" w:cs="Arial"/>
          <w:u w:val="single"/>
          <w:rtl/>
        </w:rPr>
        <w:t>בעא מיניה אבא בר מרתא מאביי</w:t>
      </w:r>
      <w:r w:rsidRPr="0068171B">
        <w:rPr>
          <w:rFonts w:asciiTheme="minorBidi" w:hAnsiTheme="minorBidi" w:cs="Arial"/>
          <w:rtl/>
        </w:rPr>
        <w:t>: מהו לכבות את הנר מפני דבר אחר</w:t>
      </w:r>
      <w:r>
        <w:rPr>
          <w:rStyle w:val="a9"/>
          <w:rFonts w:asciiTheme="minorBidi" w:hAnsiTheme="minorBidi" w:cs="Arial"/>
          <w:rtl/>
        </w:rPr>
        <w:footnoteReference w:id="2292"/>
      </w:r>
      <w:r w:rsidRPr="0068171B">
        <w:rPr>
          <w:rFonts w:asciiTheme="minorBidi" w:hAnsiTheme="minorBidi" w:cs="Arial"/>
          <w:rtl/>
        </w:rPr>
        <w:t xml:space="preserve">? </w:t>
      </w:r>
      <w:r w:rsidRPr="0068171B">
        <w:rPr>
          <w:rFonts w:asciiTheme="minorBidi" w:hAnsiTheme="minorBidi" w:cs="Arial"/>
          <w:u w:val="single"/>
          <w:rtl/>
        </w:rPr>
        <w:t>אמר לו</w:t>
      </w:r>
      <w:r w:rsidRPr="0068171B">
        <w:rPr>
          <w:rFonts w:asciiTheme="minorBidi" w:hAnsiTheme="minorBidi" w:cs="Arial"/>
          <w:rtl/>
        </w:rPr>
        <w:t>: אפשר בבית אחר. אין לו בית אחר מאי? אפשר לעשות לו מחיצה</w:t>
      </w:r>
      <w:r>
        <w:rPr>
          <w:rStyle w:val="a9"/>
          <w:rFonts w:asciiTheme="minorBidi" w:hAnsiTheme="minorBidi" w:cs="Arial"/>
          <w:rtl/>
        </w:rPr>
        <w:footnoteReference w:id="2293"/>
      </w:r>
      <w:r w:rsidRPr="0068171B">
        <w:rPr>
          <w:rFonts w:asciiTheme="minorBidi" w:hAnsiTheme="minorBidi" w:cs="Arial"/>
          <w:rtl/>
        </w:rPr>
        <w:t xml:space="preserve">. אין לו לעשות מחיצה מאי? אפשר לכפות עליו את הכלי. אין לו כלי מאי? </w:t>
      </w:r>
      <w:r w:rsidRPr="0068171B">
        <w:rPr>
          <w:rFonts w:asciiTheme="minorBidi" w:hAnsiTheme="minorBidi" w:cs="Arial"/>
          <w:u w:val="single"/>
          <w:rtl/>
        </w:rPr>
        <w:t>אמר ליה</w:t>
      </w:r>
      <w:r w:rsidRPr="0068171B">
        <w:rPr>
          <w:rFonts w:asciiTheme="minorBidi" w:hAnsiTheme="minorBidi" w:cs="Arial"/>
          <w:rtl/>
        </w:rPr>
        <w:t xml:space="preserve">: אסור. </w:t>
      </w:r>
      <w:r w:rsidRPr="0068171B">
        <w:rPr>
          <w:rFonts w:asciiTheme="minorBidi" w:hAnsiTheme="minorBidi" w:cs="Arial"/>
          <w:u w:val="single"/>
          <w:rtl/>
        </w:rPr>
        <w:t>איתיביה</w:t>
      </w:r>
      <w:r w:rsidRPr="0068171B">
        <w:rPr>
          <w:rFonts w:asciiTheme="minorBidi" w:hAnsiTheme="minorBidi" w:cs="Arial"/>
          <w:rtl/>
        </w:rPr>
        <w:t xml:space="preserve">: אין מכבין את הבקעת כדי לחוס עליה, ואם בשביל שלא יתעשן הבית או הקדרה - מותר! </w:t>
      </w:r>
      <w:r w:rsidRPr="0068171B">
        <w:rPr>
          <w:rFonts w:asciiTheme="minorBidi" w:hAnsiTheme="minorBidi" w:cs="Arial"/>
          <w:u w:val="single"/>
          <w:rtl/>
        </w:rPr>
        <w:t>אמר ליה</w:t>
      </w:r>
      <w:r w:rsidRPr="0068171B">
        <w:rPr>
          <w:rFonts w:asciiTheme="minorBidi" w:hAnsiTheme="minorBidi" w:cs="Arial"/>
          <w:rtl/>
        </w:rPr>
        <w:t>: ההיא רבי יהודה היא</w:t>
      </w:r>
      <w:r>
        <w:rPr>
          <w:rStyle w:val="a9"/>
          <w:rFonts w:asciiTheme="minorBidi" w:hAnsiTheme="minorBidi" w:cs="Arial"/>
          <w:rtl/>
        </w:rPr>
        <w:footnoteReference w:id="2294"/>
      </w:r>
      <w:r w:rsidRPr="0068171B">
        <w:rPr>
          <w:rFonts w:asciiTheme="minorBidi" w:hAnsiTheme="minorBidi" w:cs="Arial"/>
          <w:rtl/>
        </w:rPr>
        <w:t>, כי קאמינא אנא - לרבנן.</w:t>
      </w:r>
    </w:p>
    <w:p w14:paraId="47DDA23A" w14:textId="6560E335" w:rsidR="00080F1D" w:rsidRPr="0068171B" w:rsidRDefault="0068171B" w:rsidP="00434A6A">
      <w:pPr>
        <w:rPr>
          <w:rFonts w:asciiTheme="minorBidi" w:hAnsiTheme="minorBidi"/>
          <w:u w:val="single"/>
        </w:rPr>
      </w:pPr>
      <w:r w:rsidRPr="0068171B">
        <w:rPr>
          <w:rFonts w:asciiTheme="minorBidi" w:hAnsiTheme="minorBidi" w:hint="cs"/>
          <w:u w:val="single"/>
          <w:rtl/>
        </w:rPr>
        <w:t>עשיית מחיצה בפני הנר כדי שיוכל לשמש מטתו</w:t>
      </w:r>
      <w:r w:rsidR="00080F1D" w:rsidRPr="0068171B">
        <w:rPr>
          <w:rFonts w:asciiTheme="minorBidi" w:hAnsiTheme="minorBidi" w:hint="cs"/>
          <w:u w:val="single"/>
          <w:rtl/>
        </w:rPr>
        <w:t>:</w:t>
      </w:r>
    </w:p>
    <w:p w14:paraId="16BFF76B" w14:textId="603DD236" w:rsidR="00080F1D" w:rsidRDefault="00080F1D" w:rsidP="00434A6A">
      <w:pPr>
        <w:pStyle w:val="aa"/>
        <w:numPr>
          <w:ilvl w:val="0"/>
          <w:numId w:val="25"/>
        </w:numPr>
        <w:rPr>
          <w:rFonts w:asciiTheme="minorBidi" w:hAnsiTheme="minorBidi"/>
        </w:rPr>
      </w:pPr>
      <w:r>
        <w:rPr>
          <w:rFonts w:asciiTheme="minorBidi" w:hAnsiTheme="minorBidi" w:hint="cs"/>
          <w:rtl/>
        </w:rPr>
        <w:t>דרכ"מ</w:t>
      </w:r>
      <w:r w:rsidR="0068171B">
        <w:rPr>
          <w:rFonts w:asciiTheme="minorBidi" w:hAnsiTheme="minorBidi" w:hint="cs"/>
          <w:sz w:val="16"/>
          <w:szCs w:val="16"/>
          <w:rtl/>
        </w:rPr>
        <w:t xml:space="preserve"> (אות ד)</w:t>
      </w:r>
      <w:r w:rsidR="0068171B">
        <w:rPr>
          <w:rFonts w:asciiTheme="minorBidi" w:hAnsiTheme="minorBidi" w:hint="cs"/>
          <w:rtl/>
        </w:rPr>
        <w:t xml:space="preserve">- </w:t>
      </w:r>
      <w:r w:rsidR="0068171B" w:rsidRPr="00350D72">
        <w:rPr>
          <w:rFonts w:cs="Arial"/>
          <w:rtl/>
        </w:rPr>
        <w:t>צריך עיון מהא דמשמע פ</w:t>
      </w:r>
      <w:r w:rsidR="0068171B">
        <w:rPr>
          <w:rFonts w:cs="Arial" w:hint="cs"/>
          <w:rtl/>
        </w:rPr>
        <w:t>"</w:t>
      </w:r>
      <w:r w:rsidR="0068171B" w:rsidRPr="00350D72">
        <w:rPr>
          <w:rFonts w:cs="Arial"/>
          <w:rtl/>
        </w:rPr>
        <w:t>ב דביצה (כב</w:t>
      </w:r>
      <w:r w:rsidR="0068171B">
        <w:rPr>
          <w:rFonts w:cs="Arial" w:hint="cs"/>
          <w:rtl/>
        </w:rPr>
        <w:t>.</w:t>
      </w:r>
      <w:r w:rsidR="0068171B" w:rsidRPr="00350D72">
        <w:rPr>
          <w:rFonts w:cs="Arial"/>
          <w:rtl/>
        </w:rPr>
        <w:t>) דמותר לעשות מחיצה לפני אור הנר כדי לשמש מטתו ביום טוב. ואין נראה לחלק בין שבת ליום טוב לענין זה. ואפשר דבגמרא נמי לא קאמר דאפשר לעשות מחיצה בפני אור הנר אלא כדרך שעשה מהר"ם וכן נראה לי. דאין חילוק בין עשיית מחיצה לפני הנר או לפני הספרים</w:t>
      </w:r>
      <w:r w:rsidR="003D0722">
        <w:rPr>
          <w:rStyle w:val="a9"/>
          <w:rFonts w:cs="Arial"/>
          <w:rtl/>
        </w:rPr>
        <w:footnoteReference w:id="2295"/>
      </w:r>
      <w:r w:rsidR="0068171B">
        <w:rPr>
          <w:rFonts w:asciiTheme="minorBidi" w:hAnsiTheme="minorBidi" w:hint="cs"/>
          <w:rtl/>
        </w:rPr>
        <w:t>.</w:t>
      </w:r>
      <w:r w:rsidR="0068171B" w:rsidRPr="0068171B">
        <w:rPr>
          <w:rFonts w:asciiTheme="minorBidi" w:hAnsiTheme="minorBidi" w:hint="cs"/>
          <w:color w:val="00B0F0"/>
          <w:rtl/>
        </w:rPr>
        <w:t xml:space="preserve"> </w:t>
      </w:r>
      <w:r w:rsidR="0068171B" w:rsidRPr="008456DD">
        <w:rPr>
          <w:rFonts w:asciiTheme="minorBidi" w:hAnsiTheme="minorBidi" w:hint="cs"/>
          <w:color w:val="00B0F0"/>
          <w:rtl/>
        </w:rPr>
        <w:t xml:space="preserve">(וכ"פ </w:t>
      </w:r>
      <w:r w:rsidR="0068171B">
        <w:rPr>
          <w:rFonts w:asciiTheme="minorBidi" w:hAnsiTheme="minorBidi" w:hint="cs"/>
          <w:color w:val="00B0F0"/>
          <w:rtl/>
        </w:rPr>
        <w:t>בהג"ה</w:t>
      </w:r>
      <w:r w:rsidR="0068171B" w:rsidRPr="008456DD">
        <w:rPr>
          <w:rFonts w:asciiTheme="minorBidi" w:hAnsiTheme="minorBidi" w:hint="cs"/>
          <w:color w:val="00B0F0"/>
          <w:rtl/>
        </w:rPr>
        <w:t>)</w:t>
      </w:r>
    </w:p>
    <w:p w14:paraId="24AC0D80" w14:textId="11274F2E" w:rsidR="00080F1D" w:rsidRPr="00080F1D" w:rsidRDefault="00080F1D" w:rsidP="00434A6A">
      <w:pPr>
        <w:pStyle w:val="aa"/>
        <w:numPr>
          <w:ilvl w:val="0"/>
          <w:numId w:val="25"/>
        </w:numPr>
        <w:rPr>
          <w:rFonts w:asciiTheme="minorBidi" w:hAnsiTheme="minorBidi"/>
        </w:rPr>
      </w:pPr>
      <w:r w:rsidRPr="005275DF">
        <w:rPr>
          <w:rFonts w:asciiTheme="minorBidi" w:hAnsiTheme="minorBidi"/>
          <w:rtl/>
        </w:rPr>
        <w:t>ט"ז</w:t>
      </w:r>
      <w:r w:rsidR="0068171B">
        <w:rPr>
          <w:rStyle w:val="a9"/>
          <w:rFonts w:asciiTheme="minorBidi" w:hAnsiTheme="minorBidi"/>
          <w:rtl/>
        </w:rPr>
        <w:footnoteReference w:id="2296"/>
      </w:r>
      <w:r w:rsidRPr="005275DF">
        <w:rPr>
          <w:rFonts w:asciiTheme="minorBidi" w:hAnsiTheme="minorBidi"/>
          <w:rtl/>
        </w:rPr>
        <w:t xml:space="preserve"> </w:t>
      </w:r>
      <w:r w:rsidRPr="005275DF">
        <w:rPr>
          <w:rFonts w:asciiTheme="minorBidi" w:hAnsiTheme="minorBidi"/>
          <w:sz w:val="16"/>
          <w:szCs w:val="16"/>
          <w:rtl/>
        </w:rPr>
        <w:t>(</w:t>
      </w:r>
      <w:r>
        <w:rPr>
          <w:rFonts w:asciiTheme="minorBidi" w:hAnsiTheme="minorBidi" w:hint="cs"/>
          <w:sz w:val="16"/>
          <w:szCs w:val="16"/>
          <w:rtl/>
        </w:rPr>
        <w:t xml:space="preserve">הל' יו"ט </w:t>
      </w:r>
      <w:r w:rsidRPr="005275DF">
        <w:rPr>
          <w:rFonts w:asciiTheme="minorBidi" w:hAnsiTheme="minorBidi"/>
          <w:sz w:val="16"/>
          <w:szCs w:val="16"/>
          <w:rtl/>
        </w:rPr>
        <w:t>סי' תקיד סק"ב)</w:t>
      </w:r>
      <w:r w:rsidRPr="00080F1D">
        <w:rPr>
          <w:rFonts w:asciiTheme="minorBidi" w:hAnsiTheme="minorBidi" w:hint="cs"/>
          <w:rtl/>
        </w:rPr>
        <w:t>-</w:t>
      </w:r>
      <w:r w:rsidR="0068171B">
        <w:rPr>
          <w:rFonts w:asciiTheme="minorBidi" w:hAnsiTheme="minorBidi" w:cs="Arial" w:hint="cs"/>
          <w:rtl/>
        </w:rPr>
        <w:t xml:space="preserve"> מותר לעשות מחיצה ביו"ט בפני אור הנר כדי שיוכל לשמש מטתו או לעשות צרכיו, כיון שיכול לכבות. וגם בשבת מותר, כיון שיכול לכפות כלי על הנר</w:t>
      </w:r>
      <w:r w:rsidR="007E17CC">
        <w:rPr>
          <w:rFonts w:asciiTheme="minorBidi" w:hAnsiTheme="minorBidi" w:hint="cs"/>
          <w:rtl/>
        </w:rPr>
        <w:t>.</w:t>
      </w:r>
    </w:p>
    <w:p w14:paraId="2E4168E3" w14:textId="77777777" w:rsidR="00C44022" w:rsidRPr="005275DF" w:rsidRDefault="00C44022" w:rsidP="00434A6A">
      <w:pPr>
        <w:rPr>
          <w:rFonts w:asciiTheme="minorBidi" w:hAnsiTheme="minorBidi"/>
          <w:rtl/>
        </w:rPr>
      </w:pPr>
      <w:r w:rsidRPr="005275DF">
        <w:rPr>
          <w:rFonts w:asciiTheme="minorBidi" w:hAnsiTheme="minorBidi"/>
          <w:b/>
          <w:bCs/>
          <w:sz w:val="32"/>
          <w:szCs w:val="28"/>
          <w:u w:val="single"/>
          <w:rtl/>
        </w:rPr>
        <w:t xml:space="preserve">שו"ע: </w:t>
      </w:r>
    </w:p>
    <w:p w14:paraId="1E6185A3" w14:textId="75528269" w:rsidR="00C44022" w:rsidRDefault="00E1723A" w:rsidP="00434A6A">
      <w:pPr>
        <w:rPr>
          <w:rFonts w:asciiTheme="minorBidi" w:hAnsiTheme="minorBidi"/>
          <w:rtl/>
        </w:rPr>
      </w:pPr>
      <w:r w:rsidRPr="005275DF">
        <w:rPr>
          <w:rFonts w:asciiTheme="minorBidi" w:hAnsiTheme="minorBidi"/>
          <w:rtl/>
        </w:rPr>
        <w:t xml:space="preserve">אסור לעשות אהל בשבת ויום </w:t>
      </w:r>
      <w:r w:rsidR="00C44022" w:rsidRPr="005275DF">
        <w:rPr>
          <w:rFonts w:asciiTheme="minorBidi" w:hAnsiTheme="minorBidi"/>
          <w:rtl/>
        </w:rPr>
        <w:t>ט</w:t>
      </w:r>
      <w:r w:rsidRPr="005275DF">
        <w:rPr>
          <w:rFonts w:asciiTheme="minorBidi" w:hAnsiTheme="minorBidi"/>
          <w:rtl/>
        </w:rPr>
        <w:t>וב</w:t>
      </w:r>
      <w:r w:rsidR="00AF3D79">
        <w:rPr>
          <w:rFonts w:asciiTheme="minorBidi" w:hAnsiTheme="minorBidi" w:hint="cs"/>
          <w:rtl/>
        </w:rPr>
        <w:t>,</w:t>
      </w:r>
      <w:r w:rsidRPr="005275DF">
        <w:rPr>
          <w:rFonts w:asciiTheme="minorBidi" w:hAnsiTheme="minorBidi"/>
          <w:rtl/>
        </w:rPr>
        <w:t xml:space="preserve"> אפילו הוא עראי</w:t>
      </w:r>
      <w:r w:rsidR="00DF69A0">
        <w:rPr>
          <w:rFonts w:asciiTheme="minorBidi" w:hAnsiTheme="minorBidi" w:hint="cs"/>
          <w:rtl/>
        </w:rPr>
        <w:t>.</w:t>
      </w:r>
      <w:r w:rsidRPr="005275DF">
        <w:rPr>
          <w:rFonts w:asciiTheme="minorBidi" w:hAnsiTheme="minorBidi"/>
          <w:rtl/>
        </w:rPr>
        <w:t xml:space="preserve"> ודוקא גג</w:t>
      </w:r>
      <w:r w:rsidR="00DF69A0">
        <w:rPr>
          <w:rFonts w:asciiTheme="minorBidi" w:hAnsiTheme="minorBidi" w:hint="cs"/>
          <w:rtl/>
        </w:rPr>
        <w:t>,</w:t>
      </w:r>
      <w:r w:rsidRPr="005275DF">
        <w:rPr>
          <w:rFonts w:asciiTheme="minorBidi" w:hAnsiTheme="minorBidi"/>
          <w:rtl/>
        </w:rPr>
        <w:t xml:space="preserve"> אבל מחיצות מותר</w:t>
      </w:r>
      <w:r w:rsidR="00DF69A0">
        <w:rPr>
          <w:rFonts w:asciiTheme="minorBidi" w:hAnsiTheme="minorBidi" w:hint="cs"/>
          <w:rtl/>
        </w:rPr>
        <w:t xml:space="preserve">. </w:t>
      </w:r>
      <w:r w:rsidR="00C44022" w:rsidRPr="005275DF">
        <w:rPr>
          <w:rFonts w:asciiTheme="minorBidi" w:hAnsiTheme="minorBidi"/>
          <w:rtl/>
        </w:rPr>
        <w:t>וא</w:t>
      </w:r>
      <w:r w:rsidRPr="005275DF">
        <w:rPr>
          <w:rFonts w:asciiTheme="minorBidi" w:hAnsiTheme="minorBidi"/>
          <w:rtl/>
        </w:rPr>
        <w:t>ין מחיצה אסורה אלא אם כן</w:t>
      </w:r>
      <w:r w:rsidR="00C44022" w:rsidRPr="005275DF">
        <w:rPr>
          <w:rFonts w:asciiTheme="minorBidi" w:hAnsiTheme="minorBidi"/>
          <w:rtl/>
        </w:rPr>
        <w:t xml:space="preserve"> נעשית להתיר סוכה או להתיר טלטול. </w:t>
      </w:r>
      <w:r w:rsidR="00C44022" w:rsidRPr="005275DF">
        <w:rPr>
          <w:rFonts w:asciiTheme="minorBidi" w:hAnsiTheme="minorBidi"/>
          <w:sz w:val="18"/>
          <w:szCs w:val="18"/>
          <w:rtl/>
        </w:rPr>
        <w:t xml:space="preserve">הגה: אבל מחיצה </w:t>
      </w:r>
      <w:r w:rsidRPr="005275DF">
        <w:rPr>
          <w:rFonts w:asciiTheme="minorBidi" w:hAnsiTheme="minorBidi"/>
          <w:sz w:val="18"/>
          <w:szCs w:val="18"/>
          <w:rtl/>
        </w:rPr>
        <w:t>הנעשית לצניעות בעלמא שר</w:t>
      </w:r>
      <w:r w:rsidR="000C2D1F">
        <w:rPr>
          <w:rFonts w:asciiTheme="minorBidi" w:hAnsiTheme="minorBidi" w:hint="cs"/>
          <w:sz w:val="18"/>
          <w:szCs w:val="18"/>
          <w:rtl/>
        </w:rPr>
        <w:t>י</w:t>
      </w:r>
      <w:r w:rsidRPr="005275DF">
        <w:rPr>
          <w:rFonts w:asciiTheme="minorBidi" w:hAnsiTheme="minorBidi"/>
          <w:sz w:val="18"/>
          <w:szCs w:val="18"/>
          <w:rtl/>
        </w:rPr>
        <w:t xml:space="preserve"> (טור)</w:t>
      </w:r>
      <w:r w:rsidR="00202254">
        <w:rPr>
          <w:rFonts w:asciiTheme="minorBidi" w:hAnsiTheme="minorBidi" w:hint="cs"/>
          <w:sz w:val="18"/>
          <w:szCs w:val="18"/>
          <w:rtl/>
        </w:rPr>
        <w:t>.</w:t>
      </w:r>
      <w:r w:rsidR="00C44022" w:rsidRPr="005275DF">
        <w:rPr>
          <w:rFonts w:asciiTheme="minorBidi" w:hAnsiTheme="minorBidi"/>
          <w:sz w:val="18"/>
          <w:szCs w:val="18"/>
          <w:rtl/>
        </w:rPr>
        <w:t xml:space="preserve"> </w:t>
      </w:r>
      <w:r w:rsidR="00DC7D2A" w:rsidRPr="005275DF">
        <w:rPr>
          <w:rFonts w:asciiTheme="minorBidi" w:hAnsiTheme="minorBidi"/>
          <w:sz w:val="18"/>
          <w:szCs w:val="18"/>
          <w:rtl/>
        </w:rPr>
        <w:t>ולכן מותר לתלות וילון לפני הפתח</w:t>
      </w:r>
      <w:r w:rsidR="00C44022" w:rsidRPr="005275DF">
        <w:rPr>
          <w:rFonts w:asciiTheme="minorBidi" w:hAnsiTheme="minorBidi"/>
          <w:sz w:val="18"/>
          <w:szCs w:val="18"/>
          <w:rtl/>
        </w:rPr>
        <w:t xml:space="preserve"> אע</w:t>
      </w:r>
      <w:r w:rsidR="00DF69A0">
        <w:rPr>
          <w:rFonts w:asciiTheme="minorBidi" w:hAnsiTheme="minorBidi" w:hint="cs"/>
          <w:sz w:val="18"/>
          <w:szCs w:val="18"/>
          <w:rtl/>
        </w:rPr>
        <w:t>"</w:t>
      </w:r>
      <w:r w:rsidR="00C44022" w:rsidRPr="005275DF">
        <w:rPr>
          <w:rFonts w:asciiTheme="minorBidi" w:hAnsiTheme="minorBidi"/>
          <w:sz w:val="18"/>
          <w:szCs w:val="18"/>
          <w:rtl/>
        </w:rPr>
        <w:t>פ שקבוע שם</w:t>
      </w:r>
      <w:r w:rsidR="00134175" w:rsidRPr="005275DF">
        <w:rPr>
          <w:rStyle w:val="a9"/>
          <w:rFonts w:asciiTheme="minorBidi" w:hAnsiTheme="minorBidi"/>
          <w:sz w:val="18"/>
          <w:szCs w:val="18"/>
          <w:rtl/>
        </w:rPr>
        <w:footnoteReference w:id="2297"/>
      </w:r>
      <w:r w:rsidR="00C44022" w:rsidRPr="005275DF">
        <w:rPr>
          <w:rFonts w:asciiTheme="minorBidi" w:hAnsiTheme="minorBidi"/>
          <w:sz w:val="18"/>
          <w:szCs w:val="18"/>
          <w:rtl/>
        </w:rPr>
        <w:t xml:space="preserve"> (</w:t>
      </w:r>
      <w:r w:rsidRPr="005275DF">
        <w:rPr>
          <w:rFonts w:asciiTheme="minorBidi" w:hAnsiTheme="minorBidi"/>
          <w:sz w:val="18"/>
          <w:szCs w:val="18"/>
          <w:rtl/>
        </w:rPr>
        <w:t>ב"י</w:t>
      </w:r>
      <w:r w:rsidR="006C2F57">
        <w:rPr>
          <w:rFonts w:asciiTheme="minorBidi" w:hAnsiTheme="minorBidi" w:hint="cs"/>
          <w:sz w:val="18"/>
          <w:szCs w:val="18"/>
          <w:rtl/>
        </w:rPr>
        <w:t xml:space="preserve"> ואו"ז</w:t>
      </w:r>
      <w:r w:rsidRPr="005275DF">
        <w:rPr>
          <w:rFonts w:asciiTheme="minorBidi" w:hAnsiTheme="minorBidi"/>
          <w:sz w:val="18"/>
          <w:szCs w:val="18"/>
          <w:rtl/>
        </w:rPr>
        <w:t>)</w:t>
      </w:r>
      <w:r w:rsidR="008456DD">
        <w:rPr>
          <w:rFonts w:asciiTheme="minorBidi" w:hAnsiTheme="minorBidi" w:hint="cs"/>
          <w:sz w:val="18"/>
          <w:szCs w:val="18"/>
          <w:rtl/>
        </w:rPr>
        <w:t>,</w:t>
      </w:r>
      <w:r w:rsidRPr="005275DF">
        <w:rPr>
          <w:rFonts w:asciiTheme="minorBidi" w:hAnsiTheme="minorBidi"/>
          <w:sz w:val="18"/>
          <w:szCs w:val="18"/>
          <w:rtl/>
        </w:rPr>
        <w:t xml:space="preserve"> וכן פרוכת לפני ארון הקודש</w:t>
      </w:r>
      <w:r w:rsidR="00134175" w:rsidRPr="005275DF">
        <w:rPr>
          <w:rStyle w:val="a9"/>
          <w:rFonts w:asciiTheme="minorBidi" w:hAnsiTheme="minorBidi"/>
          <w:sz w:val="18"/>
          <w:szCs w:val="18"/>
          <w:rtl/>
        </w:rPr>
        <w:footnoteReference w:id="2298"/>
      </w:r>
      <w:r w:rsidR="00C44022" w:rsidRPr="005275DF">
        <w:rPr>
          <w:rFonts w:asciiTheme="minorBidi" w:hAnsiTheme="minorBidi"/>
          <w:sz w:val="18"/>
          <w:szCs w:val="18"/>
          <w:rtl/>
        </w:rPr>
        <w:t xml:space="preserve"> </w:t>
      </w:r>
      <w:r w:rsidR="008456DD" w:rsidRPr="005275DF">
        <w:rPr>
          <w:rFonts w:asciiTheme="minorBidi" w:hAnsiTheme="minorBidi"/>
          <w:sz w:val="18"/>
          <w:szCs w:val="18"/>
          <w:rtl/>
        </w:rPr>
        <w:t>(ב"י</w:t>
      </w:r>
      <w:r w:rsidR="008456DD">
        <w:rPr>
          <w:rFonts w:asciiTheme="minorBidi" w:hAnsiTheme="minorBidi" w:hint="cs"/>
          <w:sz w:val="18"/>
          <w:szCs w:val="18"/>
          <w:rtl/>
        </w:rPr>
        <w:t>),</w:t>
      </w:r>
      <w:r w:rsidR="008456DD" w:rsidRPr="005275DF">
        <w:rPr>
          <w:rFonts w:asciiTheme="minorBidi" w:hAnsiTheme="minorBidi"/>
          <w:sz w:val="18"/>
          <w:szCs w:val="18"/>
          <w:rtl/>
        </w:rPr>
        <w:t xml:space="preserve"> </w:t>
      </w:r>
      <w:r w:rsidR="00C44022" w:rsidRPr="005275DF">
        <w:rPr>
          <w:rFonts w:asciiTheme="minorBidi" w:hAnsiTheme="minorBidi"/>
          <w:sz w:val="18"/>
          <w:szCs w:val="18"/>
          <w:rtl/>
        </w:rPr>
        <w:t>ובלבד של</w:t>
      </w:r>
      <w:r w:rsidRPr="005275DF">
        <w:rPr>
          <w:rFonts w:asciiTheme="minorBidi" w:hAnsiTheme="minorBidi"/>
          <w:sz w:val="18"/>
          <w:szCs w:val="18"/>
          <w:rtl/>
        </w:rPr>
        <w:t xml:space="preserve">א יעשה אהל בגג טפח </w:t>
      </w:r>
      <w:r w:rsidR="008456DD">
        <w:rPr>
          <w:rFonts w:asciiTheme="minorBidi" w:hAnsiTheme="minorBidi" w:hint="cs"/>
          <w:sz w:val="18"/>
          <w:szCs w:val="18"/>
          <w:rtl/>
        </w:rPr>
        <w:t>(</w:t>
      </w:r>
      <w:r w:rsidRPr="005275DF">
        <w:rPr>
          <w:rFonts w:asciiTheme="minorBidi" w:hAnsiTheme="minorBidi"/>
          <w:sz w:val="18"/>
          <w:szCs w:val="18"/>
          <w:rtl/>
        </w:rPr>
        <w:t>כל בו)</w:t>
      </w:r>
      <w:r w:rsidR="008456DD">
        <w:rPr>
          <w:rFonts w:asciiTheme="minorBidi" w:hAnsiTheme="minorBidi" w:hint="cs"/>
          <w:sz w:val="18"/>
          <w:szCs w:val="18"/>
          <w:rtl/>
        </w:rPr>
        <w:t>.</w:t>
      </w:r>
      <w:r w:rsidR="00C44022" w:rsidRPr="005275DF">
        <w:rPr>
          <w:rFonts w:asciiTheme="minorBidi" w:hAnsiTheme="minorBidi"/>
          <w:sz w:val="18"/>
          <w:szCs w:val="18"/>
          <w:rtl/>
        </w:rPr>
        <w:t xml:space="preserve"> וכן מותר לעשות מחיצה לפני החמה או הצנה או בפני הנרות שלא י</w:t>
      </w:r>
      <w:r w:rsidRPr="005275DF">
        <w:rPr>
          <w:rFonts w:asciiTheme="minorBidi" w:hAnsiTheme="minorBidi"/>
          <w:sz w:val="18"/>
          <w:szCs w:val="18"/>
          <w:rtl/>
        </w:rPr>
        <w:t>כבה אותן הרוח (מרדכי)</w:t>
      </w:r>
      <w:r w:rsidR="006C2F57">
        <w:rPr>
          <w:rFonts w:asciiTheme="minorBidi" w:hAnsiTheme="minorBidi" w:hint="cs"/>
          <w:sz w:val="18"/>
          <w:szCs w:val="18"/>
          <w:rtl/>
        </w:rPr>
        <w:t>.</w:t>
      </w:r>
      <w:r w:rsidR="00C44022" w:rsidRPr="005275DF">
        <w:rPr>
          <w:rFonts w:asciiTheme="minorBidi" w:hAnsiTheme="minorBidi"/>
          <w:sz w:val="18"/>
          <w:szCs w:val="18"/>
          <w:rtl/>
        </w:rPr>
        <w:t xml:space="preserve"> אבל אסור לעשות מחיצה בפני אור הנר כדי שישמש מטתו (ד"ע), וכן לפני ספרים כדי לשמש </w:t>
      </w:r>
      <w:r w:rsidRPr="005275DF">
        <w:rPr>
          <w:rFonts w:asciiTheme="minorBidi" w:hAnsiTheme="minorBidi"/>
          <w:sz w:val="18"/>
          <w:szCs w:val="18"/>
          <w:rtl/>
        </w:rPr>
        <w:t>או לעשות צרכיו</w:t>
      </w:r>
      <w:r w:rsidR="00611FC9">
        <w:rPr>
          <w:rFonts w:asciiTheme="minorBidi" w:hAnsiTheme="minorBidi" w:hint="cs"/>
          <w:sz w:val="18"/>
          <w:szCs w:val="18"/>
          <w:rtl/>
        </w:rPr>
        <w:t>,</w:t>
      </w:r>
      <w:r w:rsidRPr="005275DF">
        <w:rPr>
          <w:rFonts w:asciiTheme="minorBidi" w:hAnsiTheme="minorBidi"/>
          <w:sz w:val="18"/>
          <w:szCs w:val="18"/>
          <w:rtl/>
        </w:rPr>
        <w:t xml:space="preserve"> אם לא שהיה מבעוד יום</w:t>
      </w:r>
      <w:r w:rsidR="00C44022" w:rsidRPr="005275DF">
        <w:rPr>
          <w:rFonts w:asciiTheme="minorBidi" w:hAnsiTheme="minorBidi"/>
          <w:sz w:val="18"/>
          <w:szCs w:val="18"/>
          <w:rtl/>
        </w:rPr>
        <w:t xml:space="preserve"> טפח שאז מותר </w:t>
      </w:r>
      <w:r w:rsidRPr="005275DF">
        <w:rPr>
          <w:rFonts w:asciiTheme="minorBidi" w:hAnsiTheme="minorBidi"/>
          <w:sz w:val="18"/>
          <w:szCs w:val="18"/>
          <w:rtl/>
        </w:rPr>
        <w:t>להוסיף עליה בשבת</w:t>
      </w:r>
      <w:r w:rsidR="00D0373D" w:rsidRPr="005275DF">
        <w:rPr>
          <w:rStyle w:val="a9"/>
          <w:rFonts w:asciiTheme="minorBidi" w:hAnsiTheme="minorBidi"/>
          <w:sz w:val="18"/>
          <w:szCs w:val="18"/>
          <w:rtl/>
        </w:rPr>
        <w:footnoteReference w:id="2299"/>
      </w:r>
      <w:r w:rsidRPr="005275DF">
        <w:rPr>
          <w:rFonts w:asciiTheme="minorBidi" w:hAnsiTheme="minorBidi"/>
          <w:sz w:val="18"/>
          <w:szCs w:val="18"/>
          <w:rtl/>
        </w:rPr>
        <w:t xml:space="preserve"> (מרדכי</w:t>
      </w:r>
      <w:r w:rsidR="00C44022" w:rsidRPr="005275DF">
        <w:rPr>
          <w:rFonts w:asciiTheme="minorBidi" w:hAnsiTheme="minorBidi"/>
          <w:sz w:val="18"/>
          <w:szCs w:val="18"/>
          <w:rtl/>
        </w:rPr>
        <w:t xml:space="preserve">). </w:t>
      </w:r>
    </w:p>
    <w:p w14:paraId="3CBE4002" w14:textId="77777777" w:rsidR="00513BF3" w:rsidRPr="005275DF" w:rsidRDefault="00513BF3" w:rsidP="00434A6A">
      <w:pPr>
        <w:rPr>
          <w:rFonts w:asciiTheme="minorBidi" w:hAnsiTheme="minorBidi"/>
          <w:rtl/>
        </w:rPr>
      </w:pPr>
    </w:p>
    <w:p w14:paraId="3A99CFDC" w14:textId="1D206D5E" w:rsidR="007301CE" w:rsidRPr="007301CE" w:rsidRDefault="00C44022" w:rsidP="00434A6A">
      <w:pPr>
        <w:pStyle w:val="2"/>
        <w:rPr>
          <w:rFonts w:asciiTheme="minorBidi" w:hAnsiTheme="minorBidi" w:cstheme="minorBidi"/>
          <w:rtl/>
        </w:rPr>
      </w:pPr>
      <w:r w:rsidRPr="005275DF">
        <w:rPr>
          <w:rFonts w:asciiTheme="minorBidi" w:hAnsiTheme="minorBidi" w:cstheme="minorBidi"/>
          <w:rtl/>
        </w:rPr>
        <w:t>סעיף ב</w:t>
      </w:r>
      <w:r w:rsidR="000D19AF" w:rsidRPr="005275DF">
        <w:rPr>
          <w:rFonts w:asciiTheme="minorBidi" w:hAnsiTheme="minorBidi" w:cstheme="minorBidi"/>
          <w:rtl/>
        </w:rPr>
        <w:t>:</w:t>
      </w:r>
      <w:r w:rsidR="00B66E25" w:rsidRPr="005275DF">
        <w:rPr>
          <w:rFonts w:asciiTheme="minorBidi" w:hAnsiTheme="minorBidi" w:cstheme="minorBidi"/>
          <w:rtl/>
        </w:rPr>
        <w:t xml:space="preserve"> תוספת על אהל עראי.</w:t>
      </w:r>
    </w:p>
    <w:p w14:paraId="48926155" w14:textId="7D0F42EF" w:rsidR="000D19AF" w:rsidRDefault="00A02735" w:rsidP="00434A6A">
      <w:pPr>
        <w:rPr>
          <w:rFonts w:asciiTheme="minorBidi" w:hAnsiTheme="minorBidi"/>
          <w:sz w:val="18"/>
          <w:szCs w:val="18"/>
          <w:rtl/>
        </w:rPr>
      </w:pPr>
      <w:r w:rsidRPr="005275DF">
        <w:rPr>
          <w:rFonts w:asciiTheme="minorBidi" w:hAnsiTheme="minorBidi"/>
          <w:b/>
          <w:bCs/>
          <w:rtl/>
        </w:rPr>
        <w:t xml:space="preserve">ערובין </w:t>
      </w:r>
      <w:r w:rsidR="007301CE">
        <w:rPr>
          <w:rFonts w:asciiTheme="minorBidi" w:hAnsiTheme="minorBidi" w:hint="cs"/>
          <w:b/>
          <w:bCs/>
          <w:sz w:val="16"/>
          <w:szCs w:val="16"/>
          <w:rtl/>
        </w:rPr>
        <w:t xml:space="preserve">(פ' בתרא) </w:t>
      </w:r>
      <w:r w:rsidRPr="005275DF">
        <w:rPr>
          <w:rFonts w:asciiTheme="minorBidi" w:hAnsiTheme="minorBidi"/>
          <w:b/>
          <w:bCs/>
          <w:rtl/>
        </w:rPr>
        <w:t xml:space="preserve">קב ע"א: </w:t>
      </w:r>
      <w:r w:rsidR="00212284" w:rsidRPr="005275DF">
        <w:rPr>
          <w:rFonts w:asciiTheme="minorBidi" w:hAnsiTheme="minorBidi"/>
          <w:u w:val="single"/>
          <w:rtl/>
        </w:rPr>
        <w:t>הכי אמר רב אסי</w:t>
      </w:r>
      <w:r w:rsidR="00212284" w:rsidRPr="005275DF">
        <w:rPr>
          <w:rFonts w:asciiTheme="minorBidi" w:hAnsiTheme="minorBidi"/>
          <w:rtl/>
        </w:rPr>
        <w:t>: הני כיפי דארבא</w:t>
      </w:r>
      <w:r w:rsidRPr="005275DF">
        <w:rPr>
          <w:rStyle w:val="a9"/>
          <w:rFonts w:asciiTheme="minorBidi" w:hAnsiTheme="minorBidi"/>
          <w:rtl/>
        </w:rPr>
        <w:footnoteReference w:id="2300"/>
      </w:r>
      <w:r w:rsidR="00212284" w:rsidRPr="005275DF">
        <w:rPr>
          <w:rFonts w:asciiTheme="minorBidi" w:hAnsiTheme="minorBidi"/>
          <w:rtl/>
        </w:rPr>
        <w:t xml:space="preserve"> בזמן שיש בהן טפח</w:t>
      </w:r>
      <w:r w:rsidRPr="005275DF">
        <w:rPr>
          <w:rStyle w:val="a9"/>
          <w:rFonts w:asciiTheme="minorBidi" w:hAnsiTheme="minorBidi"/>
          <w:rtl/>
        </w:rPr>
        <w:footnoteReference w:id="2301"/>
      </w:r>
      <w:r w:rsidR="009D7ACC">
        <w:rPr>
          <w:rFonts w:asciiTheme="minorBidi" w:hAnsiTheme="minorBidi" w:hint="cs"/>
          <w:rtl/>
        </w:rPr>
        <w:t>,</w:t>
      </w:r>
      <w:r w:rsidR="00212284" w:rsidRPr="005275DF">
        <w:rPr>
          <w:rFonts w:asciiTheme="minorBidi" w:hAnsiTheme="minorBidi"/>
          <w:rtl/>
        </w:rPr>
        <w:t xml:space="preserve"> אי נמי אין בהן טפח ואין בין זה לזה שלשה</w:t>
      </w:r>
      <w:r w:rsidRPr="005275DF">
        <w:rPr>
          <w:rStyle w:val="a9"/>
          <w:rFonts w:asciiTheme="minorBidi" w:hAnsiTheme="minorBidi"/>
          <w:rtl/>
        </w:rPr>
        <w:footnoteReference w:id="2302"/>
      </w:r>
      <w:r w:rsidR="009D7ACC">
        <w:rPr>
          <w:rFonts w:asciiTheme="minorBidi" w:hAnsiTheme="minorBidi" w:hint="cs"/>
          <w:rtl/>
        </w:rPr>
        <w:t>,</w:t>
      </w:r>
      <w:r w:rsidR="00212284" w:rsidRPr="005275DF">
        <w:rPr>
          <w:rFonts w:asciiTheme="minorBidi" w:hAnsiTheme="minorBidi"/>
          <w:rtl/>
        </w:rPr>
        <w:t xml:space="preserve"> למחר מביא מחצלת ופורס עליהן</w:t>
      </w:r>
      <w:r w:rsidR="009D7ACC">
        <w:rPr>
          <w:rFonts w:asciiTheme="minorBidi" w:hAnsiTheme="minorBidi" w:hint="cs"/>
          <w:rtl/>
        </w:rPr>
        <w:t>.</w:t>
      </w:r>
      <w:r w:rsidR="00212284" w:rsidRPr="005275DF">
        <w:rPr>
          <w:rFonts w:asciiTheme="minorBidi" w:hAnsiTheme="minorBidi"/>
          <w:rtl/>
        </w:rPr>
        <w:t xml:space="preserve"> מאי טעמא - מוסיף על אהל עראי הוא ושפיר דמי</w:t>
      </w:r>
      <w:r w:rsidR="009D7ACC" w:rsidRPr="005275DF">
        <w:rPr>
          <w:rStyle w:val="a9"/>
          <w:rFonts w:asciiTheme="minorBidi" w:hAnsiTheme="minorBidi"/>
          <w:rtl/>
        </w:rPr>
        <w:footnoteReference w:id="2303"/>
      </w:r>
      <w:r w:rsidR="00212284" w:rsidRPr="005275DF">
        <w:rPr>
          <w:rFonts w:asciiTheme="minorBidi" w:hAnsiTheme="minorBidi"/>
          <w:rtl/>
        </w:rPr>
        <w:t>.</w:t>
      </w:r>
      <w:r w:rsidRPr="005275DF">
        <w:rPr>
          <w:rFonts w:asciiTheme="minorBidi" w:hAnsiTheme="minorBidi"/>
          <w:rtl/>
        </w:rPr>
        <w:t xml:space="preserve"> הנהו דכרי</w:t>
      </w:r>
      <w:r w:rsidRPr="005275DF">
        <w:rPr>
          <w:rStyle w:val="a9"/>
          <w:rFonts w:asciiTheme="minorBidi" w:hAnsiTheme="minorBidi"/>
          <w:rtl/>
        </w:rPr>
        <w:footnoteReference w:id="2304"/>
      </w:r>
      <w:r w:rsidRPr="005275DF">
        <w:rPr>
          <w:rFonts w:asciiTheme="minorBidi" w:hAnsiTheme="minorBidi"/>
          <w:rtl/>
        </w:rPr>
        <w:t xml:space="preserve"> דהוו ליה לרב הונא דביממא בעו טולא</w:t>
      </w:r>
      <w:r w:rsidRPr="005275DF">
        <w:rPr>
          <w:rStyle w:val="a9"/>
          <w:rFonts w:asciiTheme="minorBidi" w:hAnsiTheme="minorBidi"/>
          <w:rtl/>
        </w:rPr>
        <w:footnoteReference w:id="2305"/>
      </w:r>
      <w:r w:rsidRPr="005275DF">
        <w:rPr>
          <w:rFonts w:asciiTheme="minorBidi" w:hAnsiTheme="minorBidi"/>
          <w:rtl/>
        </w:rPr>
        <w:t xml:space="preserve"> ובליליא בעו אוירא</w:t>
      </w:r>
      <w:r w:rsidRPr="005275DF">
        <w:rPr>
          <w:rStyle w:val="a9"/>
          <w:rFonts w:asciiTheme="minorBidi" w:hAnsiTheme="minorBidi"/>
          <w:rtl/>
        </w:rPr>
        <w:footnoteReference w:id="2306"/>
      </w:r>
      <w:r w:rsidRPr="005275DF">
        <w:rPr>
          <w:rFonts w:asciiTheme="minorBidi" w:hAnsiTheme="minorBidi"/>
          <w:rtl/>
        </w:rPr>
        <w:t>, אתא לקמיה דרב</w:t>
      </w:r>
      <w:r w:rsidRPr="005275DF">
        <w:rPr>
          <w:rStyle w:val="a9"/>
          <w:rFonts w:asciiTheme="minorBidi" w:hAnsiTheme="minorBidi"/>
          <w:rtl/>
        </w:rPr>
        <w:footnoteReference w:id="2307"/>
      </w:r>
      <w:r w:rsidRPr="005275DF">
        <w:rPr>
          <w:rFonts w:asciiTheme="minorBidi" w:hAnsiTheme="minorBidi"/>
          <w:rtl/>
        </w:rPr>
        <w:t>, אמר ליה: זיל כרוך בודייא ושייר בה טפח</w:t>
      </w:r>
      <w:r w:rsidRPr="005275DF">
        <w:rPr>
          <w:rStyle w:val="a9"/>
          <w:rFonts w:asciiTheme="minorBidi" w:hAnsiTheme="minorBidi"/>
          <w:rtl/>
        </w:rPr>
        <w:footnoteReference w:id="2308"/>
      </w:r>
      <w:r w:rsidRPr="005275DF">
        <w:rPr>
          <w:rFonts w:asciiTheme="minorBidi" w:hAnsiTheme="minorBidi"/>
          <w:rtl/>
        </w:rPr>
        <w:t>, למחר פשטה</w:t>
      </w:r>
      <w:r w:rsidRPr="005275DF">
        <w:rPr>
          <w:rStyle w:val="a9"/>
          <w:rFonts w:asciiTheme="minorBidi" w:hAnsiTheme="minorBidi"/>
          <w:rtl/>
        </w:rPr>
        <w:footnoteReference w:id="2309"/>
      </w:r>
      <w:r w:rsidRPr="005275DF">
        <w:rPr>
          <w:rFonts w:asciiTheme="minorBidi" w:hAnsiTheme="minorBidi"/>
          <w:rtl/>
        </w:rPr>
        <w:t>, ומוסיף על אהל עראי הוא ושפיר דמי</w:t>
      </w:r>
      <w:r w:rsidR="00B648D6">
        <w:rPr>
          <w:rStyle w:val="a9"/>
          <w:rFonts w:asciiTheme="minorBidi" w:hAnsiTheme="minorBidi"/>
          <w:rtl/>
        </w:rPr>
        <w:footnoteReference w:id="2310"/>
      </w:r>
      <w:r w:rsidRPr="005275DF">
        <w:rPr>
          <w:rFonts w:asciiTheme="minorBidi" w:hAnsiTheme="minorBidi"/>
          <w:rtl/>
        </w:rPr>
        <w:t xml:space="preserve">. </w:t>
      </w:r>
    </w:p>
    <w:p w14:paraId="40D5574F" w14:textId="6CA59972" w:rsidR="009D7ACC" w:rsidRPr="009D7ACC" w:rsidRDefault="009D7ACC" w:rsidP="00434A6A">
      <w:pPr>
        <w:rPr>
          <w:rFonts w:asciiTheme="minorBidi" w:hAnsiTheme="minorBidi"/>
          <w:u w:val="single"/>
          <w:rtl/>
        </w:rPr>
      </w:pPr>
      <w:r w:rsidRPr="009D7ACC">
        <w:rPr>
          <w:rFonts w:asciiTheme="minorBidi" w:hAnsiTheme="minorBidi"/>
          <w:u w:val="single"/>
          <w:rtl/>
        </w:rPr>
        <w:t>תוספת על אהל עראי</w:t>
      </w:r>
      <w:r w:rsidRPr="009D7ACC">
        <w:rPr>
          <w:rFonts w:asciiTheme="minorBidi" w:hAnsiTheme="minorBidi" w:hint="cs"/>
          <w:u w:val="single"/>
          <w:rtl/>
        </w:rPr>
        <w:t>:</w:t>
      </w:r>
    </w:p>
    <w:p w14:paraId="5E8B28BD" w14:textId="6FC7FB73" w:rsidR="00B648D6" w:rsidRPr="00B648D6" w:rsidRDefault="00FA3754" w:rsidP="00434A6A">
      <w:pPr>
        <w:pStyle w:val="aa"/>
        <w:numPr>
          <w:ilvl w:val="0"/>
          <w:numId w:val="24"/>
        </w:numPr>
        <w:rPr>
          <w:rFonts w:asciiTheme="minorBidi" w:hAnsiTheme="minorBidi"/>
        </w:rPr>
      </w:pPr>
      <w:r>
        <w:rPr>
          <w:rFonts w:asciiTheme="minorBidi" w:hAnsiTheme="minorBidi" w:cs="Arial" w:hint="cs"/>
          <w:rtl/>
        </w:rPr>
        <w:t xml:space="preserve">טור- </w:t>
      </w:r>
      <w:r w:rsidRPr="00B6715C">
        <w:rPr>
          <w:rFonts w:asciiTheme="minorBidi" w:hAnsiTheme="minorBidi" w:cs="Arial"/>
          <w:rtl/>
        </w:rPr>
        <w:t>עצים שתוקעין ראשן האחד בדופן הספינה וכופפין ראשן הב' בדופן השני של הספינה ופורסין מחצלת עליהם לצל</w:t>
      </w:r>
      <w:r w:rsidR="009D7ACC">
        <w:rPr>
          <w:rFonts w:asciiTheme="minorBidi" w:hAnsiTheme="minorBidi" w:cs="Arial" w:hint="cs"/>
          <w:rtl/>
        </w:rPr>
        <w:t>,</w:t>
      </w:r>
      <w:r w:rsidRPr="00B6715C">
        <w:rPr>
          <w:rFonts w:asciiTheme="minorBidi" w:hAnsiTheme="minorBidi" w:cs="Arial"/>
          <w:rtl/>
        </w:rPr>
        <w:t xml:space="preserve"> אם יש ברוחבן טפח</w:t>
      </w:r>
      <w:r w:rsidR="009D7ACC">
        <w:rPr>
          <w:rFonts w:asciiTheme="minorBidi" w:hAnsiTheme="minorBidi" w:cs="Arial" w:hint="cs"/>
          <w:rtl/>
        </w:rPr>
        <w:t>,</w:t>
      </w:r>
      <w:r w:rsidRPr="00B6715C">
        <w:rPr>
          <w:rFonts w:asciiTheme="minorBidi" w:hAnsiTheme="minorBidi" w:cs="Arial"/>
          <w:rtl/>
        </w:rPr>
        <w:t xml:space="preserve"> או אפילו אין ברוחבן טפח ואין בין זה לזה ג"ט </w:t>
      </w:r>
      <w:r w:rsidR="009D7ACC">
        <w:rPr>
          <w:rFonts w:asciiTheme="minorBidi" w:hAnsiTheme="minorBidi" w:cs="Arial" w:hint="cs"/>
          <w:rtl/>
        </w:rPr>
        <w:t xml:space="preserve">- </w:t>
      </w:r>
      <w:r w:rsidRPr="00B6715C">
        <w:rPr>
          <w:rFonts w:asciiTheme="minorBidi" w:hAnsiTheme="minorBidi" w:cs="Arial"/>
          <w:rtl/>
        </w:rPr>
        <w:t>חשיבי כאהל ומותר לפרוס בשבת מחצלת עליהם</w:t>
      </w:r>
      <w:r w:rsidR="009D7ACC">
        <w:rPr>
          <w:rFonts w:asciiTheme="minorBidi" w:hAnsiTheme="minorBidi" w:cs="Arial" w:hint="cs"/>
          <w:rtl/>
        </w:rPr>
        <w:t>,</w:t>
      </w:r>
      <w:r w:rsidRPr="00B6715C">
        <w:rPr>
          <w:rFonts w:asciiTheme="minorBidi" w:hAnsiTheme="minorBidi" w:cs="Arial"/>
          <w:rtl/>
        </w:rPr>
        <w:t xml:space="preserve"> דהו"ל תוספת אהל עראי ושרי</w:t>
      </w:r>
      <w:r w:rsidR="009D7ACC">
        <w:rPr>
          <w:rFonts w:asciiTheme="minorBidi" w:hAnsiTheme="minorBidi" w:cs="Arial" w:hint="cs"/>
          <w:rtl/>
        </w:rPr>
        <w:t>.</w:t>
      </w:r>
      <w:r w:rsidRPr="00B6715C">
        <w:rPr>
          <w:rFonts w:asciiTheme="minorBidi" w:hAnsiTheme="minorBidi" w:cs="Arial"/>
          <w:rtl/>
        </w:rPr>
        <w:t xml:space="preserve"> וא</w:t>
      </w:r>
      <w:r w:rsidR="009D7ACC">
        <w:rPr>
          <w:rFonts w:asciiTheme="minorBidi" w:hAnsiTheme="minorBidi" w:cs="Arial" w:hint="cs"/>
          <w:rtl/>
        </w:rPr>
        <w:t xml:space="preserve">י </w:t>
      </w:r>
      <w:r w:rsidRPr="00B6715C">
        <w:rPr>
          <w:rFonts w:asciiTheme="minorBidi" w:hAnsiTheme="minorBidi" w:cs="Arial"/>
          <w:rtl/>
        </w:rPr>
        <w:t>ל</w:t>
      </w:r>
      <w:r w:rsidR="009D7ACC">
        <w:rPr>
          <w:rFonts w:asciiTheme="minorBidi" w:hAnsiTheme="minorBidi" w:cs="Arial" w:hint="cs"/>
          <w:rtl/>
        </w:rPr>
        <w:t>יתא</w:t>
      </w:r>
      <w:r w:rsidRPr="00B6715C">
        <w:rPr>
          <w:rFonts w:asciiTheme="minorBidi" w:hAnsiTheme="minorBidi" w:cs="Arial"/>
          <w:rtl/>
        </w:rPr>
        <w:t xml:space="preserve"> הו"ל תחילת עשיית אהל ואסור</w:t>
      </w:r>
      <w:r w:rsidR="009D7ACC">
        <w:rPr>
          <w:rFonts w:asciiTheme="minorBidi" w:hAnsiTheme="minorBidi" w:cs="Arial" w:hint="cs"/>
          <w:rtl/>
        </w:rPr>
        <w:t>.</w:t>
      </w:r>
      <w:r w:rsidRPr="00B6715C">
        <w:rPr>
          <w:rFonts w:asciiTheme="minorBidi" w:hAnsiTheme="minorBidi" w:cs="Arial"/>
          <w:rtl/>
        </w:rPr>
        <w:t xml:space="preserve"> וכן מחצלת פרושה כדי טפח </w:t>
      </w:r>
      <w:r w:rsidR="006C1A35">
        <w:rPr>
          <w:rFonts w:asciiTheme="minorBidi" w:hAnsiTheme="minorBidi" w:cs="Arial" w:hint="cs"/>
          <w:rtl/>
        </w:rPr>
        <w:t xml:space="preserve">- </w:t>
      </w:r>
      <w:r w:rsidRPr="00B6715C">
        <w:rPr>
          <w:rFonts w:asciiTheme="minorBidi" w:hAnsiTheme="minorBidi" w:cs="Arial"/>
          <w:rtl/>
        </w:rPr>
        <w:t>מותר לפורשה כולה בשבת</w:t>
      </w:r>
      <w:r w:rsidR="006C1A35">
        <w:rPr>
          <w:rFonts w:asciiTheme="minorBidi" w:hAnsiTheme="minorBidi" w:cs="Arial" w:hint="cs"/>
          <w:rtl/>
        </w:rPr>
        <w:t>,</w:t>
      </w:r>
      <w:r w:rsidRPr="00B6715C">
        <w:rPr>
          <w:rFonts w:asciiTheme="minorBidi" w:hAnsiTheme="minorBidi" w:cs="Arial"/>
          <w:rtl/>
        </w:rPr>
        <w:t xml:space="preserve"> דהו"ל תוספת אהל עראי</w:t>
      </w:r>
      <w:r w:rsidR="006C1A35">
        <w:rPr>
          <w:rFonts w:asciiTheme="minorBidi" w:hAnsiTheme="minorBidi" w:cs="Arial" w:hint="cs"/>
          <w:rtl/>
        </w:rPr>
        <w:t>.</w:t>
      </w:r>
      <w:r w:rsidRPr="00B6715C">
        <w:rPr>
          <w:rFonts w:asciiTheme="minorBidi" w:hAnsiTheme="minorBidi" w:cs="Arial"/>
          <w:rtl/>
        </w:rPr>
        <w:t xml:space="preserve"> אבל אסור לפורשה בתחילה בשבת</w:t>
      </w:r>
      <w:r>
        <w:rPr>
          <w:rFonts w:asciiTheme="minorBidi" w:hAnsiTheme="minorBidi" w:cs="Arial" w:hint="cs"/>
          <w:rtl/>
        </w:rPr>
        <w:t>.</w:t>
      </w:r>
      <w:r w:rsidR="00B6715C" w:rsidRPr="00B648D6">
        <w:rPr>
          <w:rFonts w:cs="Arial"/>
          <w:rtl/>
        </w:rPr>
        <w:t xml:space="preserve"> </w:t>
      </w:r>
      <w:r w:rsidR="009F022E" w:rsidRPr="00054513">
        <w:rPr>
          <w:rFonts w:asciiTheme="minorBidi" w:hAnsiTheme="minorBidi" w:hint="cs"/>
          <w:color w:val="E36C0A" w:themeColor="accent6" w:themeShade="BF"/>
          <w:rtl/>
        </w:rPr>
        <w:t>(וכ"פ בשו"ע)</w:t>
      </w:r>
    </w:p>
    <w:p w14:paraId="69FF0F46" w14:textId="389F62AB" w:rsidR="00B648D6" w:rsidRPr="00B648D6" w:rsidRDefault="00B648D6" w:rsidP="00434A6A">
      <w:pPr>
        <w:ind w:left="360"/>
        <w:rPr>
          <w:rFonts w:asciiTheme="minorBidi" w:hAnsiTheme="minorBidi"/>
          <w:u w:val="dotted"/>
        </w:rPr>
      </w:pPr>
      <w:r w:rsidRPr="00B648D6">
        <w:rPr>
          <w:rFonts w:asciiTheme="minorBidi" w:hAnsiTheme="minorBidi" w:hint="cs"/>
          <w:u w:val="dotted"/>
          <w:rtl/>
        </w:rPr>
        <w:t>ומה הדין כשהקרש לא רחב טפח, אבל יחד עם גלגול הסדין שעליו הוי טפח:</w:t>
      </w:r>
    </w:p>
    <w:p w14:paraId="7F2C0D73" w14:textId="09DF5032" w:rsidR="00B6715C" w:rsidRPr="00B648D6" w:rsidRDefault="00B6715C" w:rsidP="00434A6A">
      <w:pPr>
        <w:pStyle w:val="aa"/>
        <w:numPr>
          <w:ilvl w:val="0"/>
          <w:numId w:val="24"/>
        </w:numPr>
        <w:rPr>
          <w:rFonts w:asciiTheme="minorBidi" w:hAnsiTheme="minorBidi"/>
          <w:rtl/>
        </w:rPr>
      </w:pPr>
      <w:r w:rsidRPr="00B648D6">
        <w:rPr>
          <w:rFonts w:cs="Arial"/>
          <w:rtl/>
        </w:rPr>
        <w:t>ריטב"א</w:t>
      </w:r>
      <w:r w:rsidRPr="00B648D6">
        <w:rPr>
          <w:rFonts w:cs="Arial"/>
          <w:sz w:val="16"/>
          <w:szCs w:val="16"/>
          <w:rtl/>
        </w:rPr>
        <w:t xml:space="preserve"> (שם ד"ה זיל כרוך)</w:t>
      </w:r>
      <w:r w:rsidR="00B648D6" w:rsidRPr="00B648D6">
        <w:rPr>
          <w:rFonts w:cs="Arial" w:hint="cs"/>
          <w:rtl/>
        </w:rPr>
        <w:t xml:space="preserve">- </w:t>
      </w:r>
      <w:r w:rsidRPr="00B648D6">
        <w:rPr>
          <w:rFonts w:cs="Arial"/>
          <w:rtl/>
        </w:rPr>
        <w:t>דקדקו התוספות</w:t>
      </w:r>
      <w:r w:rsidR="009F022E" w:rsidRPr="00054513">
        <w:rPr>
          <w:rStyle w:val="a9"/>
          <w:rFonts w:asciiTheme="minorBidi" w:hAnsiTheme="minorBidi"/>
          <w:rtl/>
        </w:rPr>
        <w:footnoteReference w:id="2311"/>
      </w:r>
      <w:r w:rsidR="00054513">
        <w:rPr>
          <w:rFonts w:cs="Arial" w:hint="cs"/>
          <w:rtl/>
        </w:rPr>
        <w:t xml:space="preserve"> </w:t>
      </w:r>
      <w:r w:rsidRPr="00B648D6">
        <w:rPr>
          <w:rFonts w:cs="Arial"/>
          <w:rtl/>
        </w:rPr>
        <w:t>מלשון רש"י</w:t>
      </w:r>
      <w:r w:rsidR="00054513">
        <w:rPr>
          <w:rFonts w:cs="Arial" w:hint="cs"/>
          <w:sz w:val="16"/>
          <w:szCs w:val="16"/>
          <w:rtl/>
        </w:rPr>
        <w:t xml:space="preserve"> </w:t>
      </w:r>
      <w:r w:rsidRPr="00B648D6">
        <w:rPr>
          <w:rFonts w:cs="Arial"/>
          <w:rtl/>
        </w:rPr>
        <w:t>אהאי עובד</w:t>
      </w:r>
      <w:r w:rsidR="006C1A35">
        <w:rPr>
          <w:rFonts w:cs="Arial" w:hint="cs"/>
          <w:rtl/>
        </w:rPr>
        <w:t>,</w:t>
      </w:r>
      <w:r w:rsidR="00054513">
        <w:rPr>
          <w:rFonts w:cs="Arial" w:hint="cs"/>
          <w:rtl/>
        </w:rPr>
        <w:t xml:space="preserve"> </w:t>
      </w:r>
      <w:r w:rsidRPr="00B648D6">
        <w:rPr>
          <w:rFonts w:cs="Arial"/>
          <w:rtl/>
        </w:rPr>
        <w:t>שלא יהדק המחצלת הרבה ויעשה בענין שיהא ברוחב העיגול טפח כאהל</w:t>
      </w:r>
      <w:r w:rsidR="006C1A35">
        <w:rPr>
          <w:rFonts w:cs="Arial" w:hint="cs"/>
          <w:rtl/>
        </w:rPr>
        <w:t>.</w:t>
      </w:r>
      <w:r w:rsidRPr="00B648D6">
        <w:rPr>
          <w:rFonts w:cs="Arial"/>
          <w:rtl/>
        </w:rPr>
        <w:t xml:space="preserve"> והם כתבו דשייר בה טפח לא משמע הכי</w:t>
      </w:r>
      <w:r w:rsidR="006C1A35">
        <w:rPr>
          <w:rFonts w:cs="Arial" w:hint="cs"/>
          <w:rtl/>
        </w:rPr>
        <w:t>,</w:t>
      </w:r>
      <w:r w:rsidRPr="00B648D6">
        <w:rPr>
          <w:rFonts w:cs="Arial"/>
          <w:rtl/>
        </w:rPr>
        <w:t xml:space="preserve"> אלא שייר טפח </w:t>
      </w:r>
      <w:r w:rsidR="006C1A35">
        <w:rPr>
          <w:rFonts w:cs="Arial" w:hint="cs"/>
          <w:rtl/>
        </w:rPr>
        <w:t xml:space="preserve">- </w:t>
      </w:r>
      <w:r w:rsidRPr="00B648D6">
        <w:rPr>
          <w:rFonts w:cs="Arial"/>
          <w:rtl/>
        </w:rPr>
        <w:t>חוץ מן הכריכה קאמר</w:t>
      </w:r>
      <w:r w:rsidR="00B648D6" w:rsidRPr="00B648D6">
        <w:rPr>
          <w:rFonts w:cs="Arial" w:hint="cs"/>
          <w:rtl/>
        </w:rPr>
        <w:t>,</w:t>
      </w:r>
      <w:r w:rsidRPr="00B648D6">
        <w:rPr>
          <w:rFonts w:cs="Arial"/>
          <w:rtl/>
        </w:rPr>
        <w:t xml:space="preserve"> אבל חוזר העיגול לא מיחזי כאהל ולמחר כשהוא פורסה לא מיחזי כמוסיף אלא כעושה אהל לכתחלה</w:t>
      </w:r>
      <w:r w:rsidR="00B648D6" w:rsidRPr="00B648D6">
        <w:rPr>
          <w:rFonts w:cs="Arial" w:hint="cs"/>
          <w:rtl/>
        </w:rPr>
        <w:t>.</w:t>
      </w:r>
      <w:r w:rsidRPr="00B648D6">
        <w:rPr>
          <w:rFonts w:cs="Arial"/>
          <w:rtl/>
        </w:rPr>
        <w:t xml:space="preserve"> וכן עיקר</w:t>
      </w:r>
      <w:r w:rsidR="00B648D6" w:rsidRPr="00B648D6">
        <w:rPr>
          <w:rFonts w:cs="Arial" w:hint="cs"/>
          <w:rtl/>
        </w:rPr>
        <w:t>.</w:t>
      </w:r>
      <w:r w:rsidRPr="00B648D6">
        <w:rPr>
          <w:rFonts w:cs="Arial"/>
          <w:rtl/>
        </w:rPr>
        <w:t xml:space="preserve"> ונראה שאף לשון רש"י אפשר להלום כפירוש הזה</w:t>
      </w:r>
      <w:r w:rsidR="00B648D6" w:rsidRPr="00B648D6">
        <w:rPr>
          <w:rFonts w:cs="Arial" w:hint="cs"/>
          <w:rtl/>
        </w:rPr>
        <w:t>.</w:t>
      </w:r>
      <w:r w:rsidR="00054513">
        <w:rPr>
          <w:rFonts w:asciiTheme="minorBidi" w:hAnsiTheme="minorBidi" w:hint="cs"/>
          <w:rtl/>
        </w:rPr>
        <w:t xml:space="preserve"> </w:t>
      </w:r>
      <w:r w:rsidR="00054513" w:rsidRPr="00054513">
        <w:rPr>
          <w:rFonts w:asciiTheme="minorBidi" w:hAnsiTheme="minorBidi" w:hint="cs"/>
          <w:color w:val="E36C0A" w:themeColor="accent6" w:themeShade="BF"/>
          <w:rtl/>
        </w:rPr>
        <w:t>(וכ"פ בשו"ע)</w:t>
      </w:r>
      <w:r w:rsidR="009F022E">
        <w:rPr>
          <w:rFonts w:asciiTheme="minorBidi" w:hAnsiTheme="minorBidi" w:hint="cs"/>
          <w:rtl/>
        </w:rPr>
        <w:t xml:space="preserve"> </w:t>
      </w:r>
    </w:p>
    <w:p w14:paraId="32ACCBA0" w14:textId="77777777" w:rsidR="00C44022" w:rsidRPr="005275DF" w:rsidRDefault="00C44022" w:rsidP="00434A6A">
      <w:pPr>
        <w:rPr>
          <w:rFonts w:asciiTheme="minorBidi" w:hAnsiTheme="minorBidi"/>
          <w:rtl/>
        </w:rPr>
      </w:pPr>
      <w:r w:rsidRPr="005275DF">
        <w:rPr>
          <w:rFonts w:asciiTheme="minorBidi" w:hAnsiTheme="minorBidi"/>
          <w:b/>
          <w:bCs/>
          <w:sz w:val="32"/>
          <w:szCs w:val="28"/>
          <w:u w:val="single"/>
          <w:rtl/>
        </w:rPr>
        <w:t xml:space="preserve">שו"ע: </w:t>
      </w:r>
    </w:p>
    <w:p w14:paraId="2A0C997C" w14:textId="0FFCC4E4" w:rsidR="00C44022" w:rsidRPr="005275DF" w:rsidRDefault="00C44022" w:rsidP="00434A6A">
      <w:pPr>
        <w:rPr>
          <w:rFonts w:asciiTheme="minorBidi" w:hAnsiTheme="minorBidi"/>
          <w:rtl/>
        </w:rPr>
      </w:pPr>
      <w:r w:rsidRPr="005275DF">
        <w:rPr>
          <w:rFonts w:asciiTheme="minorBidi" w:hAnsiTheme="minorBidi"/>
          <w:rtl/>
        </w:rPr>
        <w:t>עצים שתוקעין ראשן האחד בדופן הספינה וכופפין ראשן השני בדופן השני של הספינה</w:t>
      </w:r>
      <w:r w:rsidR="00AB3D0A" w:rsidRPr="005275DF">
        <w:rPr>
          <w:rStyle w:val="a9"/>
          <w:rFonts w:asciiTheme="minorBidi" w:hAnsiTheme="minorBidi"/>
          <w:rtl/>
        </w:rPr>
        <w:footnoteReference w:id="2312"/>
      </w:r>
      <w:r w:rsidRPr="005275DF">
        <w:rPr>
          <w:rFonts w:asciiTheme="minorBidi" w:hAnsiTheme="minorBidi"/>
          <w:rtl/>
        </w:rPr>
        <w:t xml:space="preserve"> ופורסין מ</w:t>
      </w:r>
      <w:r w:rsidR="00E1723A" w:rsidRPr="005275DF">
        <w:rPr>
          <w:rFonts w:asciiTheme="minorBidi" w:hAnsiTheme="minorBidi"/>
          <w:rtl/>
        </w:rPr>
        <w:t>חצלת עליהם לצל, אם יש ברחבן טפח</w:t>
      </w:r>
      <w:r w:rsidR="009F022E">
        <w:rPr>
          <w:rFonts w:asciiTheme="minorBidi" w:hAnsiTheme="minorBidi" w:hint="cs"/>
          <w:rtl/>
        </w:rPr>
        <w:t>,</w:t>
      </w:r>
      <w:r w:rsidRPr="005275DF">
        <w:rPr>
          <w:rFonts w:asciiTheme="minorBidi" w:hAnsiTheme="minorBidi"/>
          <w:rtl/>
        </w:rPr>
        <w:t xml:space="preserve"> או אפילו אין</w:t>
      </w:r>
      <w:r w:rsidR="00E1723A" w:rsidRPr="005275DF">
        <w:rPr>
          <w:rFonts w:asciiTheme="minorBidi" w:hAnsiTheme="minorBidi"/>
          <w:rtl/>
        </w:rPr>
        <w:t xml:space="preserve"> ברחבן טפח אם אין בין זה לזה ג' טפחים</w:t>
      </w:r>
      <w:r w:rsidR="009F022E">
        <w:rPr>
          <w:rFonts w:asciiTheme="minorBidi" w:hAnsiTheme="minorBidi" w:hint="cs"/>
          <w:rtl/>
        </w:rPr>
        <w:t>,</w:t>
      </w:r>
      <w:r w:rsidRPr="005275DF">
        <w:rPr>
          <w:rFonts w:asciiTheme="minorBidi" w:hAnsiTheme="minorBidi"/>
          <w:rtl/>
        </w:rPr>
        <w:t xml:space="preserve"> חשיבי כאו</w:t>
      </w:r>
      <w:r w:rsidR="00E1723A" w:rsidRPr="005275DF">
        <w:rPr>
          <w:rFonts w:asciiTheme="minorBidi" w:hAnsiTheme="minorBidi"/>
          <w:rtl/>
        </w:rPr>
        <w:t>הל ומותר לפרוס עליהם בשבת מחצלת</w:t>
      </w:r>
      <w:r w:rsidR="009F022E">
        <w:rPr>
          <w:rFonts w:asciiTheme="minorBidi" w:hAnsiTheme="minorBidi" w:hint="cs"/>
          <w:rtl/>
        </w:rPr>
        <w:t>,</w:t>
      </w:r>
      <w:r w:rsidR="00E1723A" w:rsidRPr="005275DF">
        <w:rPr>
          <w:rFonts w:asciiTheme="minorBidi" w:hAnsiTheme="minorBidi"/>
          <w:rtl/>
        </w:rPr>
        <w:t xml:space="preserve"> דהוי ליה תוספת אהל עראי ושרי</w:t>
      </w:r>
      <w:r w:rsidR="009F022E">
        <w:rPr>
          <w:rFonts w:asciiTheme="minorBidi" w:hAnsiTheme="minorBidi" w:hint="cs"/>
          <w:rtl/>
        </w:rPr>
        <w:t>.</w:t>
      </w:r>
      <w:r w:rsidR="00E1723A" w:rsidRPr="005275DF">
        <w:rPr>
          <w:rFonts w:asciiTheme="minorBidi" w:hAnsiTheme="minorBidi"/>
          <w:rtl/>
        </w:rPr>
        <w:t xml:space="preserve"> ומטעם זה מחצלת פרוסה כדי טפח</w:t>
      </w:r>
      <w:r w:rsidRPr="005275DF">
        <w:rPr>
          <w:rFonts w:asciiTheme="minorBidi" w:hAnsiTheme="minorBidi"/>
          <w:rtl/>
        </w:rPr>
        <w:t xml:space="preserve"> מ</w:t>
      </w:r>
      <w:r w:rsidR="00E1723A" w:rsidRPr="005275DF">
        <w:rPr>
          <w:rFonts w:asciiTheme="minorBidi" w:hAnsiTheme="minorBidi"/>
          <w:rtl/>
        </w:rPr>
        <w:t>ותר לפרוס שאר המחצלת בשבת</w:t>
      </w:r>
      <w:r w:rsidR="009F022E">
        <w:rPr>
          <w:rFonts w:asciiTheme="minorBidi" w:hAnsiTheme="minorBidi" w:hint="cs"/>
          <w:rtl/>
        </w:rPr>
        <w:t>.</w:t>
      </w:r>
      <w:r w:rsidR="00E1723A" w:rsidRPr="005275DF">
        <w:rPr>
          <w:rFonts w:asciiTheme="minorBidi" w:hAnsiTheme="minorBidi"/>
          <w:rtl/>
        </w:rPr>
        <w:t xml:space="preserve"> וטפח שאמרו</w:t>
      </w:r>
      <w:r w:rsidRPr="005275DF">
        <w:rPr>
          <w:rFonts w:asciiTheme="minorBidi" w:hAnsiTheme="minorBidi"/>
          <w:rtl/>
        </w:rPr>
        <w:t xml:space="preserve"> חוץ מן הכריכה. </w:t>
      </w:r>
      <w:r w:rsidR="004A3EE9" w:rsidRPr="005275DF">
        <w:rPr>
          <w:rFonts w:asciiTheme="minorBidi" w:hAnsiTheme="minorBidi"/>
          <w:rtl/>
        </w:rPr>
        <w:t xml:space="preserve"> </w:t>
      </w:r>
    </w:p>
    <w:p w14:paraId="72E0F5E7" w14:textId="77777777" w:rsidR="003D56D5" w:rsidRPr="005275DF" w:rsidRDefault="003D56D5" w:rsidP="00434A6A">
      <w:pPr>
        <w:rPr>
          <w:rFonts w:asciiTheme="minorBidi" w:hAnsiTheme="minorBidi"/>
          <w:rtl/>
        </w:rPr>
      </w:pPr>
    </w:p>
    <w:p w14:paraId="156B484C" w14:textId="7FE090FC" w:rsidR="00C44022" w:rsidRPr="005275DF" w:rsidRDefault="00C44022" w:rsidP="00434A6A">
      <w:pPr>
        <w:pStyle w:val="2"/>
        <w:rPr>
          <w:rFonts w:asciiTheme="minorBidi" w:hAnsiTheme="minorBidi" w:cstheme="minorBidi"/>
          <w:rtl/>
        </w:rPr>
      </w:pPr>
      <w:r w:rsidRPr="005275DF">
        <w:rPr>
          <w:rFonts w:asciiTheme="minorBidi" w:hAnsiTheme="minorBidi" w:cstheme="minorBidi"/>
          <w:rtl/>
        </w:rPr>
        <w:t>סעיף ג</w:t>
      </w:r>
      <w:r w:rsidR="00B66E25" w:rsidRPr="005275DF">
        <w:rPr>
          <w:rFonts w:asciiTheme="minorBidi" w:hAnsiTheme="minorBidi" w:cstheme="minorBidi"/>
          <w:rtl/>
        </w:rPr>
        <w:t>:</w:t>
      </w:r>
      <w:r w:rsidR="00A82724" w:rsidRPr="005275DF">
        <w:rPr>
          <w:rFonts w:asciiTheme="minorBidi" w:hAnsiTheme="minorBidi" w:cstheme="minorBidi"/>
          <w:rtl/>
        </w:rPr>
        <w:t xml:space="preserve"> </w:t>
      </w:r>
      <w:r w:rsidR="00AB7B5E">
        <w:rPr>
          <w:rFonts w:asciiTheme="minorBidi" w:hAnsiTheme="minorBidi" w:cstheme="minorBidi" w:hint="cs"/>
          <w:rtl/>
        </w:rPr>
        <w:t>הנחת מיטה על גבי רגליה.</w:t>
      </w:r>
    </w:p>
    <w:p w14:paraId="289EDA7A" w14:textId="13A3EE7C" w:rsidR="00B6715C" w:rsidRDefault="003B3665" w:rsidP="00434A6A">
      <w:pPr>
        <w:rPr>
          <w:rFonts w:asciiTheme="minorBidi" w:hAnsiTheme="minorBidi"/>
          <w:rtl/>
        </w:rPr>
      </w:pPr>
      <w:r w:rsidRPr="005275DF">
        <w:rPr>
          <w:rFonts w:asciiTheme="minorBidi" w:hAnsiTheme="minorBidi"/>
          <w:b/>
          <w:bCs/>
          <w:rtl/>
        </w:rPr>
        <w:t xml:space="preserve">ביצה </w:t>
      </w:r>
      <w:r w:rsidR="00C85DFD">
        <w:rPr>
          <w:rFonts w:asciiTheme="minorBidi" w:hAnsiTheme="minorBidi" w:hint="cs"/>
          <w:b/>
          <w:bCs/>
          <w:sz w:val="16"/>
          <w:szCs w:val="16"/>
          <w:rtl/>
        </w:rPr>
        <w:t xml:space="preserve">(פ' המביא) </w:t>
      </w:r>
      <w:r w:rsidRPr="005275DF">
        <w:rPr>
          <w:rFonts w:asciiTheme="minorBidi" w:hAnsiTheme="minorBidi"/>
          <w:b/>
          <w:bCs/>
          <w:rtl/>
        </w:rPr>
        <w:t xml:space="preserve">לב ע"ב: </w:t>
      </w:r>
      <w:r w:rsidR="004D4828" w:rsidRPr="005275DF">
        <w:rPr>
          <w:rFonts w:asciiTheme="minorBidi" w:hAnsiTheme="minorBidi"/>
          <w:u w:val="single"/>
          <w:rtl/>
        </w:rPr>
        <w:t>אמר רב יהודה:</w:t>
      </w:r>
      <w:r w:rsidR="004D4828" w:rsidRPr="005275DF">
        <w:rPr>
          <w:rFonts w:asciiTheme="minorBidi" w:hAnsiTheme="minorBidi"/>
          <w:rtl/>
        </w:rPr>
        <w:t xml:space="preserve"> האי מדורתא</w:t>
      </w:r>
      <w:r w:rsidR="004D4828" w:rsidRPr="005275DF">
        <w:rPr>
          <w:rStyle w:val="a9"/>
          <w:rFonts w:asciiTheme="minorBidi" w:hAnsiTheme="minorBidi"/>
          <w:rtl/>
        </w:rPr>
        <w:footnoteReference w:id="2313"/>
      </w:r>
      <w:r w:rsidR="004D4828" w:rsidRPr="005275DF">
        <w:rPr>
          <w:rFonts w:asciiTheme="minorBidi" w:hAnsiTheme="minorBidi"/>
          <w:rtl/>
        </w:rPr>
        <w:t>, מלמעלה למטה</w:t>
      </w:r>
      <w:r w:rsidR="004D4828" w:rsidRPr="005275DF">
        <w:rPr>
          <w:rStyle w:val="a9"/>
          <w:rFonts w:asciiTheme="minorBidi" w:hAnsiTheme="minorBidi"/>
          <w:rtl/>
        </w:rPr>
        <w:footnoteReference w:id="2314"/>
      </w:r>
      <w:r w:rsidRPr="005275DF">
        <w:rPr>
          <w:rFonts w:asciiTheme="minorBidi" w:hAnsiTheme="minorBidi"/>
          <w:rtl/>
        </w:rPr>
        <w:t xml:space="preserve"> </w:t>
      </w:r>
      <w:r w:rsidR="004D4828" w:rsidRPr="005275DF">
        <w:rPr>
          <w:rFonts w:asciiTheme="minorBidi" w:hAnsiTheme="minorBidi"/>
          <w:rtl/>
        </w:rPr>
        <w:t>שרי, מלמטה למעלה</w:t>
      </w:r>
      <w:r w:rsidR="004D4828" w:rsidRPr="005275DF">
        <w:rPr>
          <w:rStyle w:val="a9"/>
          <w:rFonts w:asciiTheme="minorBidi" w:hAnsiTheme="minorBidi"/>
          <w:rtl/>
        </w:rPr>
        <w:footnoteReference w:id="2315"/>
      </w:r>
      <w:r w:rsidR="004D4828" w:rsidRPr="005275DF">
        <w:rPr>
          <w:rFonts w:asciiTheme="minorBidi" w:hAnsiTheme="minorBidi"/>
          <w:rtl/>
        </w:rPr>
        <w:t xml:space="preserve"> אסור. וכן ביעתא</w:t>
      </w:r>
      <w:r w:rsidR="004D4828" w:rsidRPr="005275DF">
        <w:rPr>
          <w:rStyle w:val="a9"/>
          <w:rFonts w:asciiTheme="minorBidi" w:hAnsiTheme="minorBidi"/>
          <w:rtl/>
        </w:rPr>
        <w:footnoteReference w:id="2316"/>
      </w:r>
      <w:r w:rsidR="00451BEA">
        <w:rPr>
          <w:rFonts w:asciiTheme="minorBidi" w:hAnsiTheme="minorBidi" w:hint="cs"/>
          <w:rtl/>
        </w:rPr>
        <w:t>,</w:t>
      </w:r>
      <w:r w:rsidR="004D4828" w:rsidRPr="005275DF">
        <w:rPr>
          <w:rFonts w:asciiTheme="minorBidi" w:hAnsiTheme="minorBidi"/>
          <w:rtl/>
        </w:rPr>
        <w:t xml:space="preserve"> וכן קדרה</w:t>
      </w:r>
      <w:r w:rsidR="004D4828" w:rsidRPr="005275DF">
        <w:rPr>
          <w:rStyle w:val="a9"/>
          <w:rFonts w:asciiTheme="minorBidi" w:hAnsiTheme="minorBidi"/>
          <w:rtl/>
        </w:rPr>
        <w:footnoteReference w:id="2317"/>
      </w:r>
      <w:r w:rsidR="00451BEA">
        <w:rPr>
          <w:rFonts w:asciiTheme="minorBidi" w:hAnsiTheme="minorBidi" w:hint="cs"/>
          <w:rtl/>
        </w:rPr>
        <w:t>,</w:t>
      </w:r>
      <w:r w:rsidR="004D4828" w:rsidRPr="005275DF">
        <w:rPr>
          <w:rFonts w:asciiTheme="minorBidi" w:hAnsiTheme="minorBidi"/>
          <w:rtl/>
        </w:rPr>
        <w:t xml:space="preserve"> וכן פוריא</w:t>
      </w:r>
      <w:r w:rsidR="004D4828" w:rsidRPr="005275DF">
        <w:rPr>
          <w:rStyle w:val="a9"/>
          <w:rFonts w:asciiTheme="minorBidi" w:hAnsiTheme="minorBidi"/>
          <w:rtl/>
        </w:rPr>
        <w:footnoteReference w:id="2318"/>
      </w:r>
      <w:r w:rsidR="00451BEA">
        <w:rPr>
          <w:rFonts w:asciiTheme="minorBidi" w:hAnsiTheme="minorBidi" w:hint="cs"/>
          <w:rtl/>
        </w:rPr>
        <w:t>,</w:t>
      </w:r>
      <w:r w:rsidR="004D4828" w:rsidRPr="005275DF">
        <w:rPr>
          <w:rFonts w:asciiTheme="minorBidi" w:hAnsiTheme="minorBidi"/>
          <w:rtl/>
        </w:rPr>
        <w:t xml:space="preserve"> וכן חביתא</w:t>
      </w:r>
      <w:r w:rsidR="004D4828" w:rsidRPr="005275DF">
        <w:rPr>
          <w:rStyle w:val="a9"/>
          <w:rFonts w:asciiTheme="minorBidi" w:hAnsiTheme="minorBidi"/>
          <w:rtl/>
        </w:rPr>
        <w:footnoteReference w:id="2319"/>
      </w:r>
      <w:r w:rsidR="004D4828" w:rsidRPr="005275DF">
        <w:rPr>
          <w:rFonts w:asciiTheme="minorBidi" w:hAnsiTheme="minorBidi"/>
          <w:rtl/>
        </w:rPr>
        <w:t>.</w:t>
      </w:r>
      <w:r w:rsidR="00640551">
        <w:rPr>
          <w:rFonts w:asciiTheme="minorBidi" w:hAnsiTheme="minorBidi" w:hint="cs"/>
          <w:rtl/>
        </w:rPr>
        <w:t xml:space="preserve">.. </w:t>
      </w:r>
      <w:r w:rsidR="00640551">
        <w:rPr>
          <w:rFonts w:asciiTheme="minorBidi" w:hAnsiTheme="minorBidi" w:cs="Arial" w:hint="cs"/>
          <w:sz w:val="14"/>
          <w:szCs w:val="14"/>
          <w:rtl/>
        </w:rPr>
        <w:t xml:space="preserve">(לג.) </w:t>
      </w:r>
      <w:r w:rsidR="00640551" w:rsidRPr="00640551">
        <w:rPr>
          <w:rFonts w:asciiTheme="minorBidi" w:hAnsiTheme="minorBidi" w:cs="Arial"/>
          <w:rtl/>
        </w:rPr>
        <w:t>חזרא</w:t>
      </w:r>
      <w:r w:rsidR="00640551">
        <w:rPr>
          <w:rStyle w:val="a9"/>
          <w:rFonts w:asciiTheme="minorBidi" w:hAnsiTheme="minorBidi" w:cs="Arial"/>
          <w:rtl/>
        </w:rPr>
        <w:footnoteReference w:id="2320"/>
      </w:r>
      <w:r w:rsidR="00640551" w:rsidRPr="00640551">
        <w:rPr>
          <w:rFonts w:asciiTheme="minorBidi" w:hAnsiTheme="minorBidi" w:cs="Arial"/>
          <w:rtl/>
        </w:rPr>
        <w:t xml:space="preserve">, </w:t>
      </w:r>
      <w:r w:rsidR="00640551" w:rsidRPr="00640551">
        <w:rPr>
          <w:rFonts w:asciiTheme="minorBidi" w:hAnsiTheme="minorBidi" w:cs="Arial"/>
          <w:u w:val="single"/>
          <w:rtl/>
        </w:rPr>
        <w:t>רב נחמן</w:t>
      </w:r>
      <w:r w:rsidR="00640551" w:rsidRPr="00640551">
        <w:rPr>
          <w:rFonts w:asciiTheme="minorBidi" w:hAnsiTheme="minorBidi" w:cs="Arial"/>
          <w:rtl/>
        </w:rPr>
        <w:t xml:space="preserve"> אסר</w:t>
      </w:r>
      <w:r w:rsidR="00640551">
        <w:rPr>
          <w:rStyle w:val="a9"/>
          <w:rFonts w:asciiTheme="minorBidi" w:hAnsiTheme="minorBidi" w:cs="Arial"/>
          <w:rtl/>
        </w:rPr>
        <w:footnoteReference w:id="2321"/>
      </w:r>
      <w:r w:rsidR="00F44E52">
        <w:rPr>
          <w:rFonts w:asciiTheme="minorBidi" w:hAnsiTheme="minorBidi" w:cs="Arial" w:hint="cs"/>
          <w:rtl/>
        </w:rPr>
        <w:t>,</w:t>
      </w:r>
      <w:r w:rsidR="00640551" w:rsidRPr="00640551">
        <w:rPr>
          <w:rFonts w:asciiTheme="minorBidi" w:hAnsiTheme="minorBidi" w:cs="Arial"/>
          <w:rtl/>
        </w:rPr>
        <w:t xml:space="preserve"> </w:t>
      </w:r>
      <w:r w:rsidR="00640551" w:rsidRPr="00640551">
        <w:rPr>
          <w:rFonts w:asciiTheme="minorBidi" w:hAnsiTheme="minorBidi" w:cs="Arial"/>
          <w:u w:val="single"/>
          <w:rtl/>
        </w:rPr>
        <w:t>ורב ששת</w:t>
      </w:r>
      <w:r w:rsidR="00640551" w:rsidRPr="00640551">
        <w:rPr>
          <w:rFonts w:asciiTheme="minorBidi" w:hAnsiTheme="minorBidi" w:cs="Arial"/>
          <w:rtl/>
        </w:rPr>
        <w:t xml:space="preserve"> שרי.</w:t>
      </w:r>
      <w:r w:rsidR="00640551">
        <w:rPr>
          <w:rFonts w:asciiTheme="minorBidi" w:hAnsiTheme="minorBidi" w:cs="Arial" w:hint="cs"/>
          <w:rtl/>
        </w:rPr>
        <w:t>..</w:t>
      </w:r>
      <w:r w:rsidR="00640551" w:rsidRPr="00640551">
        <w:rPr>
          <w:rFonts w:asciiTheme="minorBidi" w:hAnsiTheme="minorBidi" w:cs="Arial"/>
          <w:rtl/>
        </w:rPr>
        <w:t xml:space="preserve"> והלכתא: יבשתא - שרי, רטיבתא</w:t>
      </w:r>
      <w:r w:rsidR="00F44E52">
        <w:rPr>
          <w:rStyle w:val="a9"/>
          <w:rFonts w:asciiTheme="minorBidi" w:hAnsiTheme="minorBidi" w:cs="Arial"/>
          <w:rtl/>
        </w:rPr>
        <w:footnoteReference w:id="2322"/>
      </w:r>
      <w:r w:rsidR="00640551" w:rsidRPr="00640551">
        <w:rPr>
          <w:rFonts w:asciiTheme="minorBidi" w:hAnsiTheme="minorBidi" w:cs="Arial"/>
          <w:rtl/>
        </w:rPr>
        <w:t xml:space="preserve"> - אסור. </w:t>
      </w:r>
      <w:r w:rsidR="00AB7B5E">
        <w:rPr>
          <w:rFonts w:asciiTheme="minorBidi" w:hAnsiTheme="minorBidi" w:hint="cs"/>
          <w:rtl/>
        </w:rPr>
        <w:t xml:space="preserve"> </w:t>
      </w:r>
    </w:p>
    <w:p w14:paraId="656375C5" w14:textId="5973DEDB" w:rsidR="008076A1" w:rsidRPr="008076A1" w:rsidRDefault="008076A1" w:rsidP="00434A6A">
      <w:pPr>
        <w:rPr>
          <w:rFonts w:asciiTheme="minorBidi" w:hAnsiTheme="minorBidi"/>
          <w:u w:val="single"/>
          <w:rtl/>
        </w:rPr>
      </w:pPr>
      <w:r w:rsidRPr="008076A1">
        <w:rPr>
          <w:rFonts w:asciiTheme="minorBidi" w:hAnsiTheme="minorBidi" w:hint="cs"/>
          <w:u w:val="single"/>
          <w:rtl/>
        </w:rPr>
        <w:t>האם נפסק הלכה כרב יהודה בכל הנ"ל, שהרי קיי"ל כרבי שמעון דדבר שאינו מתכון מותר:</w:t>
      </w:r>
    </w:p>
    <w:p w14:paraId="6BB526F4" w14:textId="63CEDD75" w:rsidR="008076A1" w:rsidRDefault="008076A1" w:rsidP="00434A6A">
      <w:pPr>
        <w:pStyle w:val="aa"/>
        <w:numPr>
          <w:ilvl w:val="0"/>
          <w:numId w:val="24"/>
        </w:numPr>
        <w:rPr>
          <w:rFonts w:cs="Arial"/>
        </w:rPr>
      </w:pPr>
      <w:r w:rsidRPr="00640551">
        <w:rPr>
          <w:rFonts w:cs="Arial" w:hint="cs"/>
          <w:rtl/>
        </w:rPr>
        <w:t xml:space="preserve">רש"י </w:t>
      </w:r>
      <w:r w:rsidRPr="00640551">
        <w:rPr>
          <w:rFonts w:cs="Arial" w:hint="cs"/>
          <w:sz w:val="16"/>
          <w:szCs w:val="16"/>
          <w:rtl/>
        </w:rPr>
        <w:t xml:space="preserve">(לג. ד"ה </w:t>
      </w:r>
      <w:r w:rsidRPr="00640551">
        <w:rPr>
          <w:rFonts w:cs="Arial"/>
          <w:sz w:val="16"/>
          <w:szCs w:val="16"/>
          <w:rtl/>
        </w:rPr>
        <w:t>והלכתא כו'</w:t>
      </w:r>
      <w:r w:rsidRPr="00640551">
        <w:rPr>
          <w:rFonts w:cs="Arial" w:hint="cs"/>
          <w:sz w:val="16"/>
          <w:szCs w:val="16"/>
          <w:rtl/>
        </w:rPr>
        <w:t>)</w:t>
      </w:r>
      <w:r w:rsidR="00FD5A59">
        <w:rPr>
          <w:rFonts w:cs="Arial" w:hint="cs"/>
          <w:rtl/>
        </w:rPr>
        <w:t xml:space="preserve"> ריב"א</w:t>
      </w:r>
      <w:r w:rsidR="00FD5A59">
        <w:rPr>
          <w:rFonts w:cs="Arial" w:hint="cs"/>
          <w:sz w:val="16"/>
          <w:szCs w:val="16"/>
          <w:rtl/>
        </w:rPr>
        <w:t xml:space="preserve"> (כ"כ הדרכ"מ [אות ב] בשמו)</w:t>
      </w:r>
      <w:r w:rsidR="00FD5A59">
        <w:rPr>
          <w:rFonts w:cs="Arial" w:hint="cs"/>
          <w:rtl/>
        </w:rPr>
        <w:t xml:space="preserve"> </w:t>
      </w:r>
      <w:r w:rsidR="00FD5A59" w:rsidRPr="00B6715C">
        <w:rPr>
          <w:rFonts w:cs="Arial"/>
          <w:rtl/>
        </w:rPr>
        <w:t>ואו</w:t>
      </w:r>
      <w:r w:rsidR="00FD5A59">
        <w:rPr>
          <w:rFonts w:cs="Arial" w:hint="cs"/>
          <w:rtl/>
        </w:rPr>
        <w:t>"ז</w:t>
      </w:r>
      <w:r w:rsidR="00FD5A59" w:rsidRPr="00B6715C">
        <w:rPr>
          <w:rFonts w:cs="Arial"/>
          <w:rtl/>
        </w:rPr>
        <w:t xml:space="preserve"> </w:t>
      </w:r>
      <w:r w:rsidR="00FD5A59" w:rsidRPr="00FD5A59">
        <w:rPr>
          <w:rFonts w:cs="Arial"/>
          <w:sz w:val="16"/>
          <w:szCs w:val="16"/>
          <w:rtl/>
        </w:rPr>
        <w:t>(הל' שבת סי' עח אות ח)</w:t>
      </w:r>
      <w:r w:rsidR="00FD5A59">
        <w:rPr>
          <w:rFonts w:cs="Arial" w:hint="cs"/>
          <w:rtl/>
        </w:rPr>
        <w:t>-</w:t>
      </w:r>
      <w:r w:rsidRPr="00640551">
        <w:rPr>
          <w:rFonts w:cs="Arial"/>
          <w:rtl/>
        </w:rPr>
        <w:t xml:space="preserve"> הך הלכתא אליבא דמאן דאית ליה מוקצה א</w:t>
      </w:r>
      <w:r w:rsidR="00F91448">
        <w:rPr>
          <w:rFonts w:cs="Arial" w:hint="cs"/>
          <w:rtl/>
        </w:rPr>
        <w:t>ִ</w:t>
      </w:r>
      <w:r w:rsidRPr="00640551">
        <w:rPr>
          <w:rFonts w:cs="Arial"/>
          <w:rtl/>
        </w:rPr>
        <w:t>ק</w:t>
      </w:r>
      <w:r w:rsidR="00F91448">
        <w:rPr>
          <w:rFonts w:cs="Arial" w:hint="cs"/>
          <w:rtl/>
        </w:rPr>
        <w:t>ְ</w:t>
      </w:r>
      <w:r w:rsidRPr="00640551">
        <w:rPr>
          <w:rFonts w:cs="Arial"/>
          <w:rtl/>
        </w:rPr>
        <w:t>בע, אבל אנן כרבי שמעון סבירא לן, בין במוקצה בין בדבר שאינו מתכוין, וכרבי יהודה במכשירי אוכל נפש</w:t>
      </w:r>
      <w:r w:rsidRPr="00640551">
        <w:rPr>
          <w:rFonts w:cs="Arial" w:hint="cs"/>
          <w:rtl/>
        </w:rPr>
        <w:t>,</w:t>
      </w:r>
      <w:r w:rsidRPr="00640551">
        <w:rPr>
          <w:rFonts w:cs="Arial"/>
          <w:rtl/>
        </w:rPr>
        <w:t xml:space="preserve"> וכולהו שרו</w:t>
      </w:r>
      <w:r w:rsidRPr="00640551">
        <w:rPr>
          <w:rFonts w:cs="Arial" w:hint="cs"/>
          <w:rtl/>
        </w:rPr>
        <w:t>,</w:t>
      </w:r>
      <w:r w:rsidRPr="00640551">
        <w:rPr>
          <w:rFonts w:cs="Arial"/>
          <w:rtl/>
        </w:rPr>
        <w:t xml:space="preserve"> בין חזרא, בין סמיכת קדרות והקפת חביות ומדורתא וקדרה, וכל האמוראים שאסרו את אלו למעלה - תלמידי דרב הוו, ורב סבר לה כרבי יהודה במוקצה, ואנן קיימא לן כרבי שמעון</w:t>
      </w:r>
      <w:r w:rsidR="00640551">
        <w:rPr>
          <w:rStyle w:val="a9"/>
          <w:rFonts w:cs="Arial"/>
          <w:rtl/>
        </w:rPr>
        <w:footnoteReference w:id="2323"/>
      </w:r>
      <w:r w:rsidR="00FD5A59">
        <w:rPr>
          <w:rFonts w:cs="Arial" w:hint="cs"/>
          <w:sz w:val="16"/>
          <w:szCs w:val="16"/>
          <w:rtl/>
        </w:rPr>
        <w:t xml:space="preserve"> (ל' רש"י)</w:t>
      </w:r>
      <w:r w:rsidRPr="00640551">
        <w:rPr>
          <w:rFonts w:cs="Arial"/>
          <w:rtl/>
        </w:rPr>
        <w:t>.</w:t>
      </w:r>
    </w:p>
    <w:p w14:paraId="67DB924E" w14:textId="4EE4263F" w:rsidR="00C85DFD" w:rsidRDefault="001864AD" w:rsidP="00434A6A">
      <w:pPr>
        <w:pStyle w:val="aa"/>
        <w:numPr>
          <w:ilvl w:val="0"/>
          <w:numId w:val="24"/>
        </w:numPr>
        <w:rPr>
          <w:rFonts w:cs="Arial"/>
        </w:rPr>
      </w:pPr>
      <w:r>
        <w:rPr>
          <w:rFonts w:cs="Arial"/>
          <w:rtl/>
        </w:rPr>
        <w:t xml:space="preserve">רי"ף </w:t>
      </w:r>
      <w:r w:rsidRPr="001864AD">
        <w:rPr>
          <w:rFonts w:cs="Arial"/>
          <w:sz w:val="16"/>
          <w:szCs w:val="16"/>
          <w:rtl/>
        </w:rPr>
        <w:t>(</w:t>
      </w:r>
      <w:r w:rsidR="004B7E82">
        <w:rPr>
          <w:rFonts w:cs="Arial" w:hint="cs"/>
          <w:sz w:val="16"/>
          <w:szCs w:val="16"/>
          <w:rtl/>
        </w:rPr>
        <w:t xml:space="preserve">ביצה </w:t>
      </w:r>
      <w:r w:rsidRPr="001864AD">
        <w:rPr>
          <w:rFonts w:cs="Arial"/>
          <w:sz w:val="16"/>
          <w:szCs w:val="16"/>
          <w:rtl/>
        </w:rPr>
        <w:t xml:space="preserve">יח.) </w:t>
      </w:r>
      <w:r w:rsidR="00C85DFD">
        <w:rPr>
          <w:rFonts w:hint="cs"/>
          <w:rtl/>
        </w:rPr>
        <w:t xml:space="preserve">תוס' </w:t>
      </w:r>
      <w:r w:rsidR="00C85DFD" w:rsidRPr="00C85DFD">
        <w:rPr>
          <w:rFonts w:hint="cs"/>
          <w:sz w:val="16"/>
          <w:szCs w:val="16"/>
          <w:rtl/>
        </w:rPr>
        <w:t>(</w:t>
      </w:r>
      <w:r w:rsidR="004B7E82">
        <w:rPr>
          <w:rFonts w:hint="cs"/>
          <w:sz w:val="16"/>
          <w:szCs w:val="16"/>
          <w:rtl/>
        </w:rPr>
        <w:t xml:space="preserve">ביצה </w:t>
      </w:r>
      <w:r w:rsidR="00C85DFD" w:rsidRPr="00C85DFD">
        <w:rPr>
          <w:rFonts w:hint="cs"/>
          <w:sz w:val="16"/>
          <w:szCs w:val="16"/>
          <w:rtl/>
        </w:rPr>
        <w:t xml:space="preserve">לב: ד"ה </w:t>
      </w:r>
      <w:r w:rsidR="00C85DFD" w:rsidRPr="00C85DFD">
        <w:rPr>
          <w:rFonts w:cs="Arial"/>
          <w:sz w:val="16"/>
          <w:szCs w:val="16"/>
          <w:rtl/>
        </w:rPr>
        <w:t>מלמטה למעלה</w:t>
      </w:r>
      <w:r w:rsidR="00C85DFD" w:rsidRPr="00C85DFD">
        <w:rPr>
          <w:rFonts w:cs="Arial" w:hint="cs"/>
          <w:sz w:val="16"/>
          <w:szCs w:val="16"/>
          <w:rtl/>
        </w:rPr>
        <w:t>)</w:t>
      </w:r>
      <w:r w:rsidR="00C85DFD">
        <w:rPr>
          <w:rFonts w:cs="Arial" w:hint="cs"/>
          <w:rtl/>
        </w:rPr>
        <w:t xml:space="preserve"> </w:t>
      </w:r>
      <w:r>
        <w:rPr>
          <w:rFonts w:cs="Arial"/>
          <w:rtl/>
        </w:rPr>
        <w:t xml:space="preserve">רמב"ם </w:t>
      </w:r>
      <w:r w:rsidRPr="001864AD">
        <w:rPr>
          <w:rFonts w:cs="Arial" w:hint="cs"/>
          <w:sz w:val="16"/>
          <w:szCs w:val="16"/>
          <w:rtl/>
        </w:rPr>
        <w:t xml:space="preserve">(פ"ד מהל' יו"ט </w:t>
      </w:r>
      <w:r w:rsidRPr="001864AD">
        <w:rPr>
          <w:rFonts w:cs="Arial"/>
          <w:sz w:val="16"/>
          <w:szCs w:val="16"/>
          <w:rtl/>
        </w:rPr>
        <w:t>הי"ד)</w:t>
      </w:r>
      <w:r>
        <w:rPr>
          <w:rFonts w:cs="Arial" w:hint="cs"/>
          <w:rtl/>
        </w:rPr>
        <w:t xml:space="preserve"> ו</w:t>
      </w:r>
      <w:r w:rsidR="00640551">
        <w:rPr>
          <w:rFonts w:cs="Arial" w:hint="cs"/>
          <w:rtl/>
        </w:rPr>
        <w:t xml:space="preserve">רא"ש </w:t>
      </w:r>
      <w:r w:rsidR="00640551">
        <w:rPr>
          <w:rFonts w:cs="Arial" w:hint="cs"/>
          <w:sz w:val="16"/>
          <w:szCs w:val="16"/>
          <w:rtl/>
        </w:rPr>
        <w:t>(</w:t>
      </w:r>
      <w:r w:rsidR="004B7E82">
        <w:rPr>
          <w:rFonts w:cs="Arial" w:hint="cs"/>
          <w:sz w:val="16"/>
          <w:szCs w:val="16"/>
          <w:rtl/>
        </w:rPr>
        <w:t xml:space="preserve">ביצה </w:t>
      </w:r>
      <w:r w:rsidR="00640551">
        <w:rPr>
          <w:rFonts w:cs="Arial" w:hint="cs"/>
          <w:sz w:val="16"/>
          <w:szCs w:val="16"/>
          <w:rtl/>
        </w:rPr>
        <w:t>פ"ד סי' יא)</w:t>
      </w:r>
      <w:r w:rsidR="00640551">
        <w:rPr>
          <w:rFonts w:cs="Arial" w:hint="cs"/>
          <w:rtl/>
        </w:rPr>
        <w:t xml:space="preserve">- </w:t>
      </w:r>
      <w:r>
        <w:rPr>
          <w:rFonts w:cs="Arial" w:hint="cs"/>
          <w:rtl/>
        </w:rPr>
        <w:t>ו</w:t>
      </w:r>
      <w:r w:rsidR="00640551" w:rsidRPr="00640551">
        <w:rPr>
          <w:rFonts w:cs="Arial"/>
          <w:rtl/>
        </w:rPr>
        <w:t>אסרוה חכמים גזירה אטו בנין</w:t>
      </w:r>
      <w:r>
        <w:rPr>
          <w:rFonts w:cs="Arial" w:hint="cs"/>
          <w:rtl/>
        </w:rPr>
        <w:t>,</w:t>
      </w:r>
      <w:r w:rsidR="00640551" w:rsidRPr="00640551">
        <w:rPr>
          <w:rFonts w:cs="Arial"/>
          <w:rtl/>
        </w:rPr>
        <w:t xml:space="preserve"> ואליבא דהלכתא היא מלתא דרב יהודה</w:t>
      </w:r>
      <w:r>
        <w:rPr>
          <w:rFonts w:cs="Arial" w:hint="cs"/>
          <w:sz w:val="16"/>
          <w:szCs w:val="16"/>
          <w:rtl/>
        </w:rPr>
        <w:t xml:space="preserve"> (ל' הרא"ש)</w:t>
      </w:r>
      <w:r w:rsidR="00640551">
        <w:rPr>
          <w:rFonts w:cs="Arial" w:hint="cs"/>
          <w:rtl/>
        </w:rPr>
        <w:t>.</w:t>
      </w:r>
      <w:r w:rsidR="00BD6F21" w:rsidRPr="00BD6F21">
        <w:rPr>
          <w:rFonts w:cs="Arial" w:hint="cs"/>
          <w:color w:val="E36C0A" w:themeColor="accent6" w:themeShade="BF"/>
          <w:rtl/>
        </w:rPr>
        <w:t xml:space="preserve"> (וכ"פ בשו"ע)</w:t>
      </w:r>
    </w:p>
    <w:p w14:paraId="2DE27A6A" w14:textId="4BE03B08" w:rsidR="00C85DFD" w:rsidRPr="004B7E82" w:rsidRDefault="008B167E" w:rsidP="00434A6A">
      <w:pPr>
        <w:ind w:left="360"/>
        <w:rPr>
          <w:rFonts w:cs="Arial"/>
          <w:u w:val="dotted"/>
        </w:rPr>
      </w:pPr>
      <w:r>
        <w:rPr>
          <w:rFonts w:cs="Arial" w:hint="cs"/>
          <w:u w:val="dotted"/>
          <w:rtl/>
        </w:rPr>
        <w:t>לפוסקים כרב יהודה</w:t>
      </w:r>
      <w:r w:rsidR="00C85DFD" w:rsidRPr="004B7E82">
        <w:rPr>
          <w:rFonts w:cs="Arial" w:hint="cs"/>
          <w:u w:val="dotted"/>
          <w:rtl/>
        </w:rPr>
        <w:t xml:space="preserve"> - האם כל הנ"ל אסור אע"ג ש</w:t>
      </w:r>
      <w:r>
        <w:rPr>
          <w:rFonts w:cs="Arial" w:hint="cs"/>
          <w:u w:val="dotted"/>
          <w:rtl/>
        </w:rPr>
        <w:t xml:space="preserve">לא עשה </w:t>
      </w:r>
      <w:r w:rsidR="004B7E82" w:rsidRPr="004B7E82">
        <w:rPr>
          <w:rFonts w:cs="Arial" w:hint="cs"/>
          <w:u w:val="dotted"/>
          <w:rtl/>
        </w:rPr>
        <w:t>מחיצות:</w:t>
      </w:r>
    </w:p>
    <w:p w14:paraId="7528E701" w14:textId="6E6A3407" w:rsidR="008B167E" w:rsidRPr="00A84A9C" w:rsidRDefault="00011B8C" w:rsidP="00434A6A">
      <w:pPr>
        <w:pStyle w:val="aa"/>
        <w:numPr>
          <w:ilvl w:val="0"/>
          <w:numId w:val="24"/>
        </w:numPr>
        <w:rPr>
          <w:rFonts w:cs="Arial"/>
        </w:rPr>
      </w:pPr>
      <w:r>
        <w:rPr>
          <w:rFonts w:asciiTheme="minorBidi" w:hAnsiTheme="minorBidi" w:cs="Arial" w:hint="cs"/>
          <w:rtl/>
        </w:rPr>
        <w:t xml:space="preserve">רי"ף </w:t>
      </w:r>
      <w:r>
        <w:rPr>
          <w:rFonts w:asciiTheme="minorBidi" w:hAnsiTheme="minorBidi" w:cs="Arial" w:hint="cs"/>
          <w:sz w:val="16"/>
          <w:szCs w:val="16"/>
          <w:rtl/>
        </w:rPr>
        <w:t>(ביצה יח.)</w:t>
      </w:r>
      <w:r w:rsidR="00662222">
        <w:rPr>
          <w:rFonts w:asciiTheme="minorBidi" w:hAnsiTheme="minorBidi" w:cs="Arial" w:hint="cs"/>
          <w:rtl/>
        </w:rPr>
        <w:t xml:space="preserve"> ורמב"ם</w:t>
      </w:r>
      <w:r w:rsidR="00662222">
        <w:rPr>
          <w:rStyle w:val="a9"/>
          <w:rFonts w:asciiTheme="minorBidi" w:hAnsiTheme="minorBidi" w:cs="Arial"/>
          <w:rtl/>
        </w:rPr>
        <w:footnoteReference w:id="2324"/>
      </w:r>
      <w:r w:rsidR="00662222">
        <w:rPr>
          <w:rFonts w:asciiTheme="minorBidi" w:hAnsiTheme="minorBidi" w:cs="Arial" w:hint="cs"/>
          <w:rtl/>
        </w:rPr>
        <w:t xml:space="preserve"> </w:t>
      </w:r>
      <w:r w:rsidR="00662222">
        <w:rPr>
          <w:rFonts w:asciiTheme="minorBidi" w:hAnsiTheme="minorBidi" w:cs="Arial" w:hint="cs"/>
          <w:sz w:val="16"/>
          <w:szCs w:val="16"/>
          <w:rtl/>
        </w:rPr>
        <w:t>(פ"ד מהל' יו"ט הי"ד-טו)</w:t>
      </w:r>
      <w:r>
        <w:rPr>
          <w:rFonts w:asciiTheme="minorBidi" w:hAnsiTheme="minorBidi" w:cs="Arial" w:hint="cs"/>
          <w:rtl/>
        </w:rPr>
        <w:t xml:space="preserve">- </w:t>
      </w:r>
      <w:r w:rsidRPr="00011B8C">
        <w:rPr>
          <w:rFonts w:asciiTheme="minorBidi" w:hAnsiTheme="minorBidi" w:cs="Arial"/>
          <w:rtl/>
        </w:rPr>
        <w:t>כשהוא עושה מדורה של אש</w:t>
      </w:r>
      <w:r w:rsidR="00662222">
        <w:rPr>
          <w:rFonts w:asciiTheme="minorBidi" w:hAnsiTheme="minorBidi" w:cs="Arial" w:hint="cs"/>
          <w:rtl/>
        </w:rPr>
        <w:t>,</w:t>
      </w:r>
      <w:r w:rsidRPr="00011B8C">
        <w:rPr>
          <w:rFonts w:asciiTheme="minorBidi" w:hAnsiTheme="minorBidi" w:cs="Arial"/>
          <w:rtl/>
        </w:rPr>
        <w:t xml:space="preserve"> לא יהא מניח עצים מלמטה ומניח אחרים עליהם מלמעלה שנמצא כדרך בנין</w:t>
      </w:r>
      <w:r w:rsidR="00662222">
        <w:rPr>
          <w:rStyle w:val="a9"/>
          <w:rFonts w:asciiTheme="minorBidi" w:hAnsiTheme="minorBidi" w:cs="Arial"/>
          <w:rtl/>
        </w:rPr>
        <w:footnoteReference w:id="2325"/>
      </w:r>
      <w:r w:rsidR="00662222">
        <w:rPr>
          <w:rFonts w:asciiTheme="minorBidi" w:hAnsiTheme="minorBidi" w:cs="Arial" w:hint="cs"/>
          <w:rtl/>
        </w:rPr>
        <w:t>,</w:t>
      </w:r>
      <w:r w:rsidRPr="00011B8C">
        <w:rPr>
          <w:rFonts w:asciiTheme="minorBidi" w:hAnsiTheme="minorBidi" w:cs="Arial"/>
          <w:rtl/>
        </w:rPr>
        <w:t xml:space="preserve"> אלא אוחז את העץ מלמעלה ומניח אחר תחתיו שאין זה דרך בנין</w:t>
      </w:r>
      <w:r w:rsidR="00662222">
        <w:rPr>
          <w:rFonts w:asciiTheme="minorBidi" w:hAnsiTheme="minorBidi" w:cs="Arial" w:hint="cs"/>
          <w:rtl/>
        </w:rPr>
        <w:t>.</w:t>
      </w:r>
      <w:r w:rsidRPr="00011B8C">
        <w:rPr>
          <w:rFonts w:asciiTheme="minorBidi" w:hAnsiTheme="minorBidi" w:cs="Arial"/>
          <w:rtl/>
        </w:rPr>
        <w:t xml:space="preserve"> וכן קדירה כששופת אותה</w:t>
      </w:r>
      <w:r w:rsidR="00662222">
        <w:rPr>
          <w:rFonts w:asciiTheme="minorBidi" w:hAnsiTheme="minorBidi" w:cs="Arial" w:hint="cs"/>
          <w:rtl/>
        </w:rPr>
        <w:t>,</w:t>
      </w:r>
      <w:r w:rsidRPr="00011B8C">
        <w:rPr>
          <w:rFonts w:asciiTheme="minorBidi" w:hAnsiTheme="minorBidi" w:cs="Arial"/>
          <w:rtl/>
        </w:rPr>
        <w:t xml:space="preserve"> לא יניח אבנים בתחלה ויתן עליהם את הקדרה שנמצא כמאהיל אהל</w:t>
      </w:r>
      <w:r w:rsidR="00662222">
        <w:rPr>
          <w:rFonts w:asciiTheme="minorBidi" w:hAnsiTheme="minorBidi" w:cs="Arial" w:hint="cs"/>
          <w:rtl/>
        </w:rPr>
        <w:t>,</w:t>
      </w:r>
      <w:r w:rsidRPr="00011B8C">
        <w:rPr>
          <w:rFonts w:asciiTheme="minorBidi" w:hAnsiTheme="minorBidi" w:cs="Arial"/>
          <w:rtl/>
        </w:rPr>
        <w:t xml:space="preserve"> אלא אוחז את הקדירה בידו ומכניס אבנים תחתיה</w:t>
      </w:r>
      <w:r w:rsidR="00662222">
        <w:rPr>
          <w:rFonts w:asciiTheme="minorBidi" w:hAnsiTheme="minorBidi" w:cs="Arial" w:hint="cs"/>
          <w:rtl/>
        </w:rPr>
        <w:t>.</w:t>
      </w:r>
      <w:r w:rsidRPr="00011B8C">
        <w:rPr>
          <w:rFonts w:asciiTheme="minorBidi" w:hAnsiTheme="minorBidi" w:cs="Arial"/>
          <w:rtl/>
        </w:rPr>
        <w:t xml:space="preserve"> וכן ביצים כשרוצה לצלות אותן</w:t>
      </w:r>
      <w:r w:rsidR="00662222">
        <w:rPr>
          <w:rFonts w:asciiTheme="minorBidi" w:hAnsiTheme="minorBidi" w:cs="Arial" w:hint="cs"/>
          <w:rtl/>
        </w:rPr>
        <w:t>,</w:t>
      </w:r>
      <w:r w:rsidRPr="00011B8C">
        <w:rPr>
          <w:rFonts w:asciiTheme="minorBidi" w:hAnsiTheme="minorBidi" w:cs="Arial"/>
          <w:rtl/>
        </w:rPr>
        <w:t xml:space="preserve"> אוחז את העליונה ונותן אחרת תחתיה</w:t>
      </w:r>
      <w:r w:rsidR="00662222">
        <w:rPr>
          <w:rFonts w:asciiTheme="minorBidi" w:hAnsiTheme="minorBidi" w:cs="Arial" w:hint="cs"/>
          <w:rtl/>
        </w:rPr>
        <w:t>.</w:t>
      </w:r>
      <w:r w:rsidRPr="00011B8C">
        <w:rPr>
          <w:rFonts w:asciiTheme="minorBidi" w:hAnsiTheme="minorBidi" w:cs="Arial"/>
          <w:rtl/>
        </w:rPr>
        <w:t xml:space="preserve"> וכן פוריא</w:t>
      </w:r>
      <w:r w:rsidR="00662222">
        <w:rPr>
          <w:rFonts w:asciiTheme="minorBidi" w:hAnsiTheme="minorBidi" w:cs="Arial" w:hint="cs"/>
          <w:rtl/>
        </w:rPr>
        <w:t>,</w:t>
      </w:r>
      <w:r w:rsidRPr="00011B8C">
        <w:rPr>
          <w:rFonts w:asciiTheme="minorBidi" w:hAnsiTheme="minorBidi" w:cs="Arial"/>
          <w:rtl/>
        </w:rPr>
        <w:t xml:space="preserve"> שאוחז הקרשים בתחלה ומכניס את הרגלים תחתיהם</w:t>
      </w:r>
      <w:r w:rsidR="00A84A9C">
        <w:rPr>
          <w:rStyle w:val="a9"/>
          <w:rFonts w:asciiTheme="minorBidi" w:hAnsiTheme="minorBidi" w:cs="Arial"/>
          <w:rtl/>
        </w:rPr>
        <w:footnoteReference w:id="2326"/>
      </w:r>
      <w:r w:rsidR="00662222">
        <w:rPr>
          <w:rFonts w:asciiTheme="minorBidi" w:hAnsiTheme="minorBidi" w:cs="Arial" w:hint="cs"/>
          <w:rtl/>
        </w:rPr>
        <w:t>.</w:t>
      </w:r>
      <w:r w:rsidRPr="00011B8C">
        <w:rPr>
          <w:rFonts w:asciiTheme="minorBidi" w:hAnsiTheme="minorBidi" w:cs="Arial"/>
          <w:rtl/>
        </w:rPr>
        <w:t xml:space="preserve"> וכן חביתא</w:t>
      </w:r>
      <w:r w:rsidR="00662222">
        <w:rPr>
          <w:rFonts w:asciiTheme="minorBidi" w:hAnsiTheme="minorBidi" w:cs="Arial" w:hint="cs"/>
          <w:rtl/>
        </w:rPr>
        <w:t>,</w:t>
      </w:r>
      <w:r w:rsidRPr="00011B8C">
        <w:rPr>
          <w:rFonts w:asciiTheme="minorBidi" w:hAnsiTheme="minorBidi" w:cs="Arial"/>
          <w:rtl/>
        </w:rPr>
        <w:t xml:space="preserve"> כשרוצה להטותה ע"ג אבנים מטה אותה ואח"כ מכניס אבנים תחתיה</w:t>
      </w:r>
      <w:r w:rsidR="00662222">
        <w:rPr>
          <w:rFonts w:asciiTheme="minorBidi" w:hAnsiTheme="minorBidi" w:cs="Arial" w:hint="cs"/>
          <w:sz w:val="16"/>
          <w:szCs w:val="16"/>
          <w:rtl/>
        </w:rPr>
        <w:t xml:space="preserve"> (ל' הרי"ף)</w:t>
      </w:r>
      <w:r>
        <w:rPr>
          <w:rFonts w:cs="Arial" w:hint="cs"/>
          <w:rtl/>
        </w:rPr>
        <w:t>.</w:t>
      </w:r>
    </w:p>
    <w:p w14:paraId="554EE031" w14:textId="6CA1B9FA" w:rsidR="004B7E82" w:rsidRDefault="004B7E82" w:rsidP="00434A6A">
      <w:pPr>
        <w:pStyle w:val="aa"/>
        <w:numPr>
          <w:ilvl w:val="0"/>
          <w:numId w:val="24"/>
        </w:numPr>
        <w:rPr>
          <w:rFonts w:cs="Arial"/>
        </w:rPr>
      </w:pPr>
      <w:r>
        <w:rPr>
          <w:rFonts w:asciiTheme="minorBidi" w:hAnsiTheme="minorBidi" w:hint="cs"/>
          <w:rtl/>
        </w:rPr>
        <w:t xml:space="preserve">תוס' </w:t>
      </w:r>
      <w:r w:rsidRPr="004B7E82">
        <w:rPr>
          <w:rFonts w:asciiTheme="minorBidi" w:hAnsiTheme="minorBidi" w:hint="cs"/>
          <w:sz w:val="16"/>
          <w:szCs w:val="16"/>
          <w:rtl/>
        </w:rPr>
        <w:t>(</w:t>
      </w:r>
      <w:r>
        <w:rPr>
          <w:rFonts w:asciiTheme="minorBidi" w:hAnsiTheme="minorBidi" w:hint="cs"/>
          <w:sz w:val="16"/>
          <w:szCs w:val="16"/>
          <w:rtl/>
        </w:rPr>
        <w:t xml:space="preserve">ביצה </w:t>
      </w:r>
      <w:r w:rsidRPr="004B7E82">
        <w:rPr>
          <w:rFonts w:asciiTheme="minorBidi" w:hAnsiTheme="minorBidi" w:hint="cs"/>
          <w:sz w:val="16"/>
          <w:szCs w:val="16"/>
          <w:rtl/>
        </w:rPr>
        <w:t>לב: ד"ה מלמטה למעלה</w:t>
      </w:r>
      <w:r w:rsidR="00C01476">
        <w:rPr>
          <w:rFonts w:asciiTheme="minorBidi" w:hAnsiTheme="minorBidi" w:hint="cs"/>
          <w:sz w:val="16"/>
          <w:szCs w:val="16"/>
          <w:rtl/>
        </w:rPr>
        <w:t>, וכן בשבת [קלח. ד"ה כסא טרסקל] בשם ר"ת</w:t>
      </w:r>
      <w:r w:rsidRPr="004B7E82">
        <w:rPr>
          <w:rFonts w:asciiTheme="minorBidi" w:hAnsiTheme="minorBidi" w:hint="cs"/>
          <w:sz w:val="16"/>
          <w:szCs w:val="16"/>
          <w:rtl/>
        </w:rPr>
        <w:t>)</w:t>
      </w:r>
      <w:r>
        <w:rPr>
          <w:rFonts w:asciiTheme="minorBidi" w:hAnsiTheme="minorBidi" w:cs="Arial" w:hint="cs"/>
          <w:rtl/>
        </w:rPr>
        <w:t xml:space="preserve">- </w:t>
      </w:r>
      <w:r w:rsidRPr="004B7E82">
        <w:rPr>
          <w:rFonts w:asciiTheme="minorBidi" w:hAnsiTheme="minorBidi" w:cs="Arial"/>
          <w:rtl/>
        </w:rPr>
        <w:t xml:space="preserve">מלמטה למעלה אסור - משום דהוי דרך בנין </w:t>
      </w:r>
      <w:r>
        <w:rPr>
          <w:rFonts w:asciiTheme="minorBidi" w:hAnsiTheme="minorBidi" w:cs="Arial" w:hint="cs"/>
          <w:rtl/>
        </w:rPr>
        <w:t>ד</w:t>
      </w:r>
      <w:r w:rsidRPr="00C85DFD">
        <w:rPr>
          <w:rFonts w:asciiTheme="minorBidi" w:hAnsiTheme="minorBidi" w:cs="Arial"/>
          <w:rtl/>
        </w:rPr>
        <w:t>כן הוי טעמא דכולן</w:t>
      </w:r>
      <w:r>
        <w:rPr>
          <w:rFonts w:asciiTheme="minorBidi" w:hAnsiTheme="minorBidi" w:cs="Arial" w:hint="cs"/>
          <w:rtl/>
        </w:rPr>
        <w:t>.</w:t>
      </w:r>
      <w:r w:rsidRPr="00C85DFD">
        <w:rPr>
          <w:rFonts w:asciiTheme="minorBidi" w:hAnsiTheme="minorBidi" w:cs="Arial"/>
          <w:rtl/>
        </w:rPr>
        <w:t xml:space="preserve"> וא"ת היכי מסדרין שלחן שאין לו רגלים על גבי ספסלים שלו</w:t>
      </w:r>
      <w:r>
        <w:rPr>
          <w:rFonts w:asciiTheme="minorBidi" w:hAnsiTheme="minorBidi" w:cs="Arial" w:hint="cs"/>
          <w:rtl/>
        </w:rPr>
        <w:t>,</w:t>
      </w:r>
      <w:r w:rsidRPr="00C85DFD">
        <w:rPr>
          <w:rFonts w:asciiTheme="minorBidi" w:hAnsiTheme="minorBidi" w:cs="Arial"/>
          <w:rtl/>
        </w:rPr>
        <w:t xml:space="preserve"> דמתחלה משימין הספסלים ואח"כ משימין עליהם את השלחן</w:t>
      </w:r>
      <w:r>
        <w:rPr>
          <w:rFonts w:asciiTheme="minorBidi" w:hAnsiTheme="minorBidi" w:cs="Arial" w:hint="cs"/>
          <w:rtl/>
        </w:rPr>
        <w:t>,</w:t>
      </w:r>
      <w:r w:rsidRPr="00C85DFD">
        <w:rPr>
          <w:rFonts w:asciiTheme="minorBidi" w:hAnsiTheme="minorBidi" w:cs="Arial"/>
          <w:rtl/>
        </w:rPr>
        <w:t xml:space="preserve"> י"ל דהואיל ואין להם מחיצות שרי</w:t>
      </w:r>
      <w:r>
        <w:rPr>
          <w:rFonts w:asciiTheme="minorBidi" w:hAnsiTheme="minorBidi" w:cs="Arial" w:hint="cs"/>
          <w:rtl/>
        </w:rPr>
        <w:t>.</w:t>
      </w:r>
      <w:r w:rsidRPr="00C85DFD">
        <w:rPr>
          <w:rFonts w:asciiTheme="minorBidi" w:hAnsiTheme="minorBidi" w:cs="Arial"/>
          <w:rtl/>
        </w:rPr>
        <w:t xml:space="preserve"> וכל הני מיירי דאית להו מחיצות לצדדים המגיעות לארץ</w:t>
      </w:r>
      <w:r>
        <w:rPr>
          <w:rFonts w:asciiTheme="minorBidi" w:hAnsiTheme="minorBidi" w:cs="Arial" w:hint="cs"/>
          <w:rtl/>
        </w:rPr>
        <w:t>.</w:t>
      </w:r>
      <w:r w:rsidRPr="00C85DFD">
        <w:rPr>
          <w:rFonts w:asciiTheme="minorBidi" w:hAnsiTheme="minorBidi" w:cs="Arial"/>
          <w:rtl/>
        </w:rPr>
        <w:t xml:space="preserve"> ותימה</w:t>
      </w:r>
      <w:r w:rsidR="008A1A94">
        <w:rPr>
          <w:rFonts w:asciiTheme="minorBidi" w:hAnsiTheme="minorBidi" w:cs="Arial" w:hint="cs"/>
          <w:rtl/>
        </w:rPr>
        <w:t>,</w:t>
      </w:r>
      <w:r w:rsidRPr="00C85DFD">
        <w:rPr>
          <w:rFonts w:asciiTheme="minorBidi" w:hAnsiTheme="minorBidi" w:cs="Arial"/>
          <w:rtl/>
        </w:rPr>
        <w:t xml:space="preserve"> דאמר בשבת (לו: ושם) מחזירין קדרה על גבי כירה</w:t>
      </w:r>
      <w:r>
        <w:rPr>
          <w:rFonts w:asciiTheme="minorBidi" w:hAnsiTheme="minorBidi" w:cs="Arial" w:hint="cs"/>
          <w:rtl/>
        </w:rPr>
        <w:t xml:space="preserve">, </w:t>
      </w:r>
      <w:r w:rsidRPr="00C85DFD">
        <w:rPr>
          <w:rFonts w:asciiTheme="minorBidi" w:hAnsiTheme="minorBidi" w:cs="Arial"/>
          <w:rtl/>
        </w:rPr>
        <w:t>והתם (לח:) קאמר מאן דאית ליה מחזירין דאפילו בשבת מחזירין</w:t>
      </w:r>
      <w:r>
        <w:rPr>
          <w:rFonts w:asciiTheme="minorBidi" w:hAnsiTheme="minorBidi" w:cs="Arial" w:hint="cs"/>
          <w:rtl/>
        </w:rPr>
        <w:t>.</w:t>
      </w:r>
      <w:r w:rsidRPr="00C85DFD">
        <w:rPr>
          <w:rFonts w:asciiTheme="minorBidi" w:hAnsiTheme="minorBidi" w:cs="Arial"/>
          <w:rtl/>
        </w:rPr>
        <w:t xml:space="preserve"> וי"ל דכל הנך אינן אסורין אלא היכא שמתקן האהל והמחיצות</w:t>
      </w:r>
      <w:r>
        <w:rPr>
          <w:rFonts w:asciiTheme="minorBidi" w:hAnsiTheme="minorBidi" w:cs="Arial" w:hint="cs"/>
          <w:rtl/>
        </w:rPr>
        <w:t>,</w:t>
      </w:r>
      <w:r w:rsidRPr="00C85DFD">
        <w:rPr>
          <w:rFonts w:asciiTheme="minorBidi" w:hAnsiTheme="minorBidi" w:cs="Arial"/>
          <w:rtl/>
        </w:rPr>
        <w:t xml:space="preserve"> אבל אם עשה האהל בלא מחיצות שרי</w:t>
      </w:r>
      <w:r>
        <w:rPr>
          <w:rFonts w:asciiTheme="minorBidi" w:hAnsiTheme="minorBidi" w:cs="Arial" w:hint="cs"/>
          <w:rtl/>
        </w:rPr>
        <w:t>.</w:t>
      </w:r>
      <w:r w:rsidRPr="00C85DFD">
        <w:rPr>
          <w:rFonts w:asciiTheme="minorBidi" w:hAnsiTheme="minorBidi" w:cs="Arial"/>
          <w:rtl/>
        </w:rPr>
        <w:t xml:space="preserve"> והתם גבי כירה המחיצות היו עשויות מתחלה</w:t>
      </w:r>
      <w:r>
        <w:rPr>
          <w:rFonts w:asciiTheme="minorBidi" w:hAnsiTheme="minorBidi" w:cs="Arial" w:hint="cs"/>
          <w:rtl/>
        </w:rPr>
        <w:t>.</w:t>
      </w:r>
      <w:r w:rsidRPr="00C85DFD">
        <w:rPr>
          <w:rFonts w:asciiTheme="minorBidi" w:hAnsiTheme="minorBidi" w:cs="Arial"/>
          <w:rtl/>
        </w:rPr>
        <w:t xml:space="preserve"> וכן פר"ח גבי ביעתא כגון שיש ביצים מכאן וביצים מכאן וא' על גביהן והאור תחת אוירן</w:t>
      </w:r>
      <w:r>
        <w:rPr>
          <w:rFonts w:asciiTheme="minorBidi" w:hAnsiTheme="minorBidi" w:cs="Arial" w:hint="cs"/>
          <w:rtl/>
        </w:rPr>
        <w:t>.</w:t>
      </w:r>
      <w:r w:rsidRPr="00C85DFD">
        <w:rPr>
          <w:rFonts w:asciiTheme="minorBidi" w:hAnsiTheme="minorBidi" w:cs="Arial"/>
          <w:rtl/>
        </w:rPr>
        <w:t xml:space="preserve"> ולא כפי' רש"י שפי' ביצים שמסדרין על גבי אסכלא</w:t>
      </w:r>
      <w:r>
        <w:rPr>
          <w:rFonts w:asciiTheme="minorBidi" w:hAnsiTheme="minorBidi" w:cs="Arial" w:hint="cs"/>
          <w:rtl/>
        </w:rPr>
        <w:t>.</w:t>
      </w:r>
      <w:r w:rsidRPr="00C85DFD">
        <w:rPr>
          <w:rFonts w:asciiTheme="minorBidi" w:hAnsiTheme="minorBidi" w:cs="Arial"/>
          <w:rtl/>
        </w:rPr>
        <w:t xml:space="preserve"> דכיון דליכא מחיצות לא הוי כעין בנין</w:t>
      </w:r>
      <w:r>
        <w:rPr>
          <w:rFonts w:asciiTheme="minorBidi" w:hAnsiTheme="minorBidi" w:cs="Arial" w:hint="cs"/>
          <w:rtl/>
        </w:rPr>
        <w:t>,</w:t>
      </w:r>
      <w:r w:rsidRPr="00C85DFD">
        <w:rPr>
          <w:rFonts w:asciiTheme="minorBidi" w:hAnsiTheme="minorBidi" w:cs="Arial"/>
          <w:rtl/>
        </w:rPr>
        <w:t xml:space="preserve"> אלא נרא</w:t>
      </w:r>
      <w:r>
        <w:rPr>
          <w:rFonts w:asciiTheme="minorBidi" w:hAnsiTheme="minorBidi" w:cs="Arial" w:hint="cs"/>
          <w:rtl/>
        </w:rPr>
        <w:t>ה</w:t>
      </w:r>
      <w:r w:rsidRPr="00C85DFD">
        <w:rPr>
          <w:rFonts w:asciiTheme="minorBidi" w:hAnsiTheme="minorBidi" w:cs="Arial"/>
          <w:rtl/>
        </w:rPr>
        <w:t xml:space="preserve"> כדפריש</w:t>
      </w:r>
      <w:r w:rsidR="00B34C54">
        <w:rPr>
          <w:rFonts w:asciiTheme="minorBidi" w:hAnsiTheme="minorBidi" w:cs="Arial" w:hint="cs"/>
          <w:rtl/>
        </w:rPr>
        <w:t>'</w:t>
      </w:r>
      <w:r>
        <w:rPr>
          <w:rFonts w:asciiTheme="minorBidi" w:hAnsiTheme="minorBidi" w:cs="Arial" w:hint="cs"/>
          <w:rtl/>
        </w:rPr>
        <w:t>.</w:t>
      </w:r>
      <w:r w:rsidRPr="00C85DFD">
        <w:rPr>
          <w:rFonts w:asciiTheme="minorBidi" w:hAnsiTheme="minorBidi" w:cs="Arial"/>
          <w:rtl/>
        </w:rPr>
        <w:t xml:space="preserve"> וגם פוריא לא מיירי</w:t>
      </w:r>
      <w:r>
        <w:rPr>
          <w:rFonts w:cs="Arial" w:hint="cs"/>
          <w:rtl/>
        </w:rPr>
        <w:t xml:space="preserve"> </w:t>
      </w:r>
      <w:r w:rsidRPr="004B7E82">
        <w:rPr>
          <w:rFonts w:cs="Arial"/>
          <w:rtl/>
        </w:rPr>
        <w:t>כגון מטה שלנו שאין לה מחיצות</w:t>
      </w:r>
      <w:r>
        <w:rPr>
          <w:rFonts w:cs="Arial" w:hint="cs"/>
          <w:rtl/>
        </w:rPr>
        <w:t>,</w:t>
      </w:r>
      <w:r w:rsidRPr="004B7E82">
        <w:rPr>
          <w:rFonts w:cs="Arial"/>
          <w:rtl/>
        </w:rPr>
        <w:t xml:space="preserve"> אלא שיש לה מחיצות</w:t>
      </w:r>
      <w:r w:rsidR="00A06E0E">
        <w:rPr>
          <w:rStyle w:val="a9"/>
          <w:rFonts w:asciiTheme="minorBidi" w:hAnsiTheme="minorBidi" w:cs="Arial"/>
          <w:rtl/>
        </w:rPr>
        <w:footnoteReference w:id="2327"/>
      </w:r>
      <w:r>
        <w:rPr>
          <w:rFonts w:cs="Arial" w:hint="cs"/>
          <w:rtl/>
        </w:rPr>
        <w:t>.</w:t>
      </w:r>
      <w:r w:rsidR="00BD6F21">
        <w:rPr>
          <w:rFonts w:cs="Arial" w:hint="cs"/>
          <w:rtl/>
        </w:rPr>
        <w:t xml:space="preserve"> </w:t>
      </w:r>
      <w:r w:rsidR="00BD6F21" w:rsidRPr="00BD6F21">
        <w:rPr>
          <w:rFonts w:cs="Arial" w:hint="cs"/>
          <w:color w:val="E36C0A" w:themeColor="accent6" w:themeShade="BF"/>
          <w:rtl/>
        </w:rPr>
        <w:t>(וכ"פ בשו"ע)</w:t>
      </w:r>
    </w:p>
    <w:p w14:paraId="22EDA2B0" w14:textId="29DA42B4" w:rsidR="00D31228" w:rsidRDefault="004B7E82" w:rsidP="00434A6A">
      <w:pPr>
        <w:pStyle w:val="aa"/>
        <w:numPr>
          <w:ilvl w:val="0"/>
          <w:numId w:val="24"/>
        </w:numPr>
        <w:rPr>
          <w:rFonts w:cs="Arial"/>
        </w:rPr>
      </w:pPr>
      <w:r>
        <w:rPr>
          <w:rFonts w:cs="Arial" w:hint="cs"/>
          <w:rtl/>
        </w:rPr>
        <w:t xml:space="preserve">רשב"א </w:t>
      </w:r>
      <w:r>
        <w:rPr>
          <w:rFonts w:cs="Arial" w:hint="cs"/>
          <w:sz w:val="16"/>
          <w:szCs w:val="16"/>
          <w:rtl/>
        </w:rPr>
        <w:t>(שבת קלח. ד"ה אבל מטה</w:t>
      </w:r>
      <w:r w:rsidR="001147FA">
        <w:rPr>
          <w:rFonts w:cs="Arial" w:hint="cs"/>
          <w:sz w:val="16"/>
          <w:szCs w:val="16"/>
          <w:rtl/>
        </w:rPr>
        <w:t>, והעתיקו דבריו הה"מ [פכ"ב הכ"ח] והר"ן [ר"פ תולין נו: ד"ה וכתבו התוס']</w:t>
      </w:r>
      <w:r>
        <w:rPr>
          <w:rFonts w:cs="Arial" w:hint="cs"/>
          <w:sz w:val="16"/>
          <w:szCs w:val="16"/>
          <w:rtl/>
        </w:rPr>
        <w:t>)</w:t>
      </w:r>
      <w:r>
        <w:rPr>
          <w:rFonts w:cs="Arial" w:hint="cs"/>
          <w:rtl/>
        </w:rPr>
        <w:t xml:space="preserve">- </w:t>
      </w:r>
      <w:r w:rsidRPr="004B7E82">
        <w:rPr>
          <w:rFonts w:cs="Arial"/>
          <w:rtl/>
        </w:rPr>
        <w:t xml:space="preserve">ותמיהא לי </w:t>
      </w:r>
      <w:r>
        <w:rPr>
          <w:rFonts w:cs="Arial" w:hint="cs"/>
          <w:sz w:val="16"/>
          <w:szCs w:val="16"/>
          <w:rtl/>
        </w:rPr>
        <w:t>{פירוש התוס'}</w:t>
      </w:r>
      <w:r>
        <w:rPr>
          <w:rFonts w:cs="Arial" w:hint="cs"/>
          <w:rtl/>
        </w:rPr>
        <w:t xml:space="preserve"> </w:t>
      </w:r>
      <w:r w:rsidRPr="004B7E82">
        <w:rPr>
          <w:rFonts w:cs="Arial"/>
          <w:rtl/>
        </w:rPr>
        <w:t xml:space="preserve">דגוד </w:t>
      </w:r>
      <w:r w:rsidR="00C01476">
        <w:rPr>
          <w:rFonts w:cs="Arial" w:hint="cs"/>
          <w:sz w:val="16"/>
          <w:szCs w:val="16"/>
          <w:rtl/>
        </w:rPr>
        <w:t xml:space="preserve">(שבת קלח.) </w:t>
      </w:r>
      <w:r w:rsidRPr="004B7E82">
        <w:rPr>
          <w:rFonts w:cs="Arial"/>
          <w:rtl/>
        </w:rPr>
        <w:t>מי עביד ליה מחיצות גמורות רחבות</w:t>
      </w:r>
      <w:r w:rsidR="001147FA">
        <w:rPr>
          <w:rFonts w:cs="Arial" w:hint="cs"/>
          <w:rtl/>
        </w:rPr>
        <w:t>?</w:t>
      </w:r>
      <w:r w:rsidRPr="004B7E82">
        <w:rPr>
          <w:rFonts w:cs="Arial"/>
          <w:rtl/>
        </w:rPr>
        <w:t xml:space="preserve"> והלא אין פורסין אותו אלא על קונדסין</w:t>
      </w:r>
      <w:r w:rsidR="001147FA">
        <w:rPr>
          <w:rFonts w:cs="Arial" w:hint="cs"/>
          <w:rtl/>
        </w:rPr>
        <w:t>!</w:t>
      </w:r>
      <w:r w:rsidRPr="004B7E82">
        <w:rPr>
          <w:rFonts w:cs="Arial"/>
          <w:rtl/>
        </w:rPr>
        <w:t xml:space="preserve"> ופריסת השלחן אפשר שהיא מותרת מפני שאין משתמשין באויר שתחתיו, משא</w:t>
      </w:r>
      <w:r w:rsidR="001147FA">
        <w:rPr>
          <w:rFonts w:cs="Arial" w:hint="cs"/>
          <w:rtl/>
        </w:rPr>
        <w:t>"</w:t>
      </w:r>
      <w:r w:rsidRPr="004B7E82">
        <w:rPr>
          <w:rFonts w:cs="Arial"/>
          <w:rtl/>
        </w:rPr>
        <w:t>כ במטה שמשתמשין בה באויר שתחתיה בנתינת סנדלין וכיוצא בהן</w:t>
      </w:r>
      <w:r w:rsidR="001147FA">
        <w:rPr>
          <w:rStyle w:val="a9"/>
          <w:rtl/>
        </w:rPr>
        <w:footnoteReference w:id="2328"/>
      </w:r>
      <w:r w:rsidR="001147FA">
        <w:rPr>
          <w:rFonts w:cs="Arial" w:hint="cs"/>
          <w:rtl/>
        </w:rPr>
        <w:t>.</w:t>
      </w:r>
      <w:r w:rsidRPr="004B7E82">
        <w:rPr>
          <w:rFonts w:cs="Arial"/>
          <w:rtl/>
        </w:rPr>
        <w:t xml:space="preserve"> </w:t>
      </w:r>
    </w:p>
    <w:p w14:paraId="353DAB96" w14:textId="26746FE4" w:rsidR="00333D44" w:rsidRPr="00973086" w:rsidRDefault="00333D44" w:rsidP="00434A6A">
      <w:pPr>
        <w:rPr>
          <w:rFonts w:cs="Arial"/>
          <w:sz w:val="16"/>
          <w:szCs w:val="16"/>
          <w:rtl/>
        </w:rPr>
      </w:pPr>
      <w:r w:rsidRPr="00333D44">
        <w:rPr>
          <w:rFonts w:cs="Arial" w:hint="cs"/>
          <w:b/>
          <w:bCs/>
          <w:rtl/>
        </w:rPr>
        <w:t>שבת</w:t>
      </w:r>
      <w:r w:rsidR="00973086">
        <w:rPr>
          <w:rFonts w:cs="Arial" w:hint="cs"/>
          <w:b/>
          <w:bCs/>
          <w:rtl/>
        </w:rPr>
        <w:t xml:space="preserve"> </w:t>
      </w:r>
      <w:r w:rsidR="00973086">
        <w:rPr>
          <w:rFonts w:cs="Arial" w:hint="cs"/>
          <w:b/>
          <w:bCs/>
          <w:sz w:val="16"/>
          <w:szCs w:val="16"/>
          <w:rtl/>
        </w:rPr>
        <w:t xml:space="preserve">(פ' כירה) </w:t>
      </w:r>
      <w:r w:rsidRPr="00333D44">
        <w:rPr>
          <w:rFonts w:cs="Arial" w:hint="cs"/>
          <w:b/>
          <w:bCs/>
          <w:rtl/>
        </w:rPr>
        <w:t>לו ע"ב:</w:t>
      </w:r>
      <w:r>
        <w:rPr>
          <w:rFonts w:cs="Arial" w:hint="cs"/>
          <w:rtl/>
        </w:rPr>
        <w:t xml:space="preserve"> </w:t>
      </w:r>
      <w:r w:rsidRPr="00333D44">
        <w:rPr>
          <w:rFonts w:cs="Arial"/>
          <w:u w:val="double"/>
          <w:rtl/>
        </w:rPr>
        <w:t>משנה</w:t>
      </w:r>
      <w:r>
        <w:rPr>
          <w:rFonts w:cs="Arial" w:hint="cs"/>
          <w:rtl/>
        </w:rPr>
        <w:t>:</w:t>
      </w:r>
      <w:r w:rsidRPr="00333D44">
        <w:rPr>
          <w:rFonts w:cs="Arial"/>
          <w:rtl/>
        </w:rPr>
        <w:t xml:space="preserve"> כירה שהסיקוה בקש ובגבבא</w:t>
      </w:r>
      <w:r>
        <w:rPr>
          <w:rFonts w:cs="Arial" w:hint="cs"/>
          <w:rtl/>
        </w:rPr>
        <w:t>...</w:t>
      </w:r>
      <w:r w:rsidRPr="00333D44">
        <w:rPr>
          <w:rFonts w:cs="Arial"/>
          <w:rtl/>
        </w:rPr>
        <w:t xml:space="preserve"> </w:t>
      </w:r>
      <w:r w:rsidRPr="00333D44">
        <w:rPr>
          <w:rFonts w:cs="Arial"/>
          <w:u w:val="single"/>
          <w:rtl/>
        </w:rPr>
        <w:t>בית שמאי אומרים</w:t>
      </w:r>
      <w:r>
        <w:rPr>
          <w:rFonts w:cs="Arial" w:hint="cs"/>
          <w:rtl/>
        </w:rPr>
        <w:t>:</w:t>
      </w:r>
      <w:r w:rsidRPr="00333D44">
        <w:rPr>
          <w:rFonts w:cs="Arial"/>
          <w:rtl/>
        </w:rPr>
        <w:t xml:space="preserve"> נוטלין אבל לא מחזירין</w:t>
      </w:r>
      <w:r>
        <w:rPr>
          <w:rFonts w:cs="Arial" w:hint="cs"/>
          <w:rtl/>
        </w:rPr>
        <w:t>.</w:t>
      </w:r>
      <w:r w:rsidRPr="00333D44">
        <w:rPr>
          <w:rFonts w:cs="Arial"/>
          <w:rtl/>
        </w:rPr>
        <w:t xml:space="preserve"> </w:t>
      </w:r>
      <w:r w:rsidRPr="00333D44">
        <w:rPr>
          <w:rFonts w:cs="Arial"/>
          <w:u w:val="single"/>
          <w:rtl/>
        </w:rPr>
        <w:t>ובית הלל אומרים</w:t>
      </w:r>
      <w:r>
        <w:rPr>
          <w:rFonts w:cs="Arial" w:hint="cs"/>
          <w:rtl/>
        </w:rPr>
        <w:t>:</w:t>
      </w:r>
      <w:r w:rsidRPr="00333D44">
        <w:rPr>
          <w:rFonts w:cs="Arial"/>
          <w:rtl/>
        </w:rPr>
        <w:t xml:space="preserve"> אף מחזירין.</w:t>
      </w:r>
      <w:r>
        <w:rPr>
          <w:rFonts w:cs="Arial" w:hint="cs"/>
          <w:rtl/>
        </w:rPr>
        <w:t xml:space="preserve">     </w:t>
      </w:r>
      <w:r w:rsidRPr="00333D44">
        <w:rPr>
          <w:rFonts w:cs="Arial" w:hint="cs"/>
          <w:u w:val="double"/>
          <w:rtl/>
        </w:rPr>
        <w:t>גמרא</w:t>
      </w:r>
      <w:r w:rsidR="0016749B">
        <w:rPr>
          <w:rFonts w:cs="Arial" w:hint="cs"/>
          <w:sz w:val="14"/>
          <w:szCs w:val="14"/>
          <w:u w:val="double"/>
          <w:rtl/>
        </w:rPr>
        <w:t xml:space="preserve"> </w:t>
      </w:r>
      <w:r>
        <w:rPr>
          <w:rFonts w:cs="Arial" w:hint="cs"/>
          <w:sz w:val="14"/>
          <w:szCs w:val="14"/>
          <w:u w:val="double"/>
          <w:rtl/>
        </w:rPr>
        <w:t>(לח.)</w:t>
      </w:r>
      <w:r w:rsidRPr="00333D44">
        <w:rPr>
          <w:rFonts w:cs="Arial" w:hint="cs"/>
          <w:u w:val="double"/>
          <w:rtl/>
        </w:rPr>
        <w:t>:</w:t>
      </w:r>
      <w:r>
        <w:rPr>
          <w:rFonts w:cs="Arial" w:hint="cs"/>
          <w:rtl/>
        </w:rPr>
        <w:t xml:space="preserve"> </w:t>
      </w:r>
      <w:r w:rsidRPr="00333D44">
        <w:rPr>
          <w:rFonts w:cs="Arial"/>
          <w:rtl/>
        </w:rPr>
        <w:t xml:space="preserve">בית הלל אומרים: אף מחזירין. </w:t>
      </w:r>
      <w:r w:rsidRPr="00973086">
        <w:rPr>
          <w:rFonts w:cs="Arial"/>
          <w:u w:val="single"/>
          <w:rtl/>
        </w:rPr>
        <w:t>אמר רב ששת</w:t>
      </w:r>
      <w:r w:rsidRPr="00333D44">
        <w:rPr>
          <w:rFonts w:cs="Arial"/>
          <w:rtl/>
        </w:rPr>
        <w:t>: לדברי האומר</w:t>
      </w:r>
      <w:r>
        <w:rPr>
          <w:rFonts w:cs="Arial" w:hint="cs"/>
          <w:sz w:val="14"/>
          <w:szCs w:val="14"/>
          <w:rtl/>
        </w:rPr>
        <w:t xml:space="preserve"> (לח:)</w:t>
      </w:r>
      <w:r>
        <w:rPr>
          <w:rFonts w:cs="Arial" w:hint="cs"/>
          <w:rtl/>
        </w:rPr>
        <w:t xml:space="preserve"> </w:t>
      </w:r>
      <w:r w:rsidR="00973086" w:rsidRPr="00973086">
        <w:rPr>
          <w:rFonts w:cs="Arial"/>
          <w:rtl/>
        </w:rPr>
        <w:t>מחזירין - אפילו בשבת.</w:t>
      </w:r>
      <w:r w:rsidR="00973086">
        <w:rPr>
          <w:rFonts w:cs="Arial" w:hint="cs"/>
          <w:rtl/>
        </w:rPr>
        <w:t xml:space="preserve"> </w:t>
      </w:r>
      <w:r w:rsidR="00973086">
        <w:rPr>
          <w:rFonts w:cs="Arial" w:hint="cs"/>
          <w:sz w:val="16"/>
          <w:szCs w:val="16"/>
          <w:rtl/>
        </w:rPr>
        <w:t>(וכ"פ הרמב"ם (פ"ג ה"י) והשו"ע (סי' רנג ס"ב))</w:t>
      </w:r>
    </w:p>
    <w:p w14:paraId="1B4E174B" w14:textId="788CB63D" w:rsidR="00973086" w:rsidRPr="00812710" w:rsidRDefault="00973086" w:rsidP="00434A6A">
      <w:pPr>
        <w:rPr>
          <w:rFonts w:asciiTheme="minorBidi" w:hAnsiTheme="minorBidi"/>
          <w:sz w:val="16"/>
          <w:szCs w:val="16"/>
        </w:rPr>
      </w:pPr>
      <w:r w:rsidRPr="00333D44">
        <w:rPr>
          <w:rFonts w:cs="Arial" w:hint="cs"/>
          <w:b/>
          <w:bCs/>
          <w:rtl/>
        </w:rPr>
        <w:t xml:space="preserve">שבת </w:t>
      </w:r>
      <w:r>
        <w:rPr>
          <w:rFonts w:cs="Arial" w:hint="cs"/>
          <w:b/>
          <w:bCs/>
          <w:sz w:val="16"/>
          <w:szCs w:val="16"/>
          <w:rtl/>
        </w:rPr>
        <w:t>(פ'</w:t>
      </w:r>
      <w:r w:rsidR="00812710">
        <w:rPr>
          <w:rFonts w:cs="Arial" w:hint="cs"/>
          <w:b/>
          <w:bCs/>
          <w:sz w:val="16"/>
          <w:szCs w:val="16"/>
          <w:rtl/>
        </w:rPr>
        <w:t xml:space="preserve"> תולין</w:t>
      </w:r>
      <w:r>
        <w:rPr>
          <w:rFonts w:cs="Arial" w:hint="cs"/>
          <w:b/>
          <w:bCs/>
          <w:sz w:val="16"/>
          <w:szCs w:val="16"/>
          <w:rtl/>
        </w:rPr>
        <w:t xml:space="preserve">) </w:t>
      </w:r>
      <w:r w:rsidR="00812710">
        <w:rPr>
          <w:rFonts w:cs="Arial" w:hint="cs"/>
          <w:b/>
          <w:bCs/>
          <w:rtl/>
        </w:rPr>
        <w:t>קלט</w:t>
      </w:r>
      <w:r w:rsidRPr="00333D44">
        <w:rPr>
          <w:rFonts w:cs="Arial" w:hint="cs"/>
          <w:b/>
          <w:bCs/>
          <w:rtl/>
        </w:rPr>
        <w:t xml:space="preserve"> ע"ב:</w:t>
      </w:r>
      <w:r>
        <w:rPr>
          <w:rFonts w:cs="Arial" w:hint="cs"/>
          <w:rtl/>
        </w:rPr>
        <w:t xml:space="preserve"> </w:t>
      </w:r>
      <w:r w:rsidR="00812710" w:rsidRPr="005275DF">
        <w:rPr>
          <w:rFonts w:asciiTheme="minorBidi" w:hAnsiTheme="minorBidi"/>
          <w:u w:val="single"/>
          <w:rtl/>
        </w:rPr>
        <w:t>אמר רב</w:t>
      </w:r>
      <w:r w:rsidR="00812710" w:rsidRPr="005275DF">
        <w:rPr>
          <w:rFonts w:asciiTheme="minorBidi" w:hAnsiTheme="minorBidi"/>
          <w:rtl/>
        </w:rPr>
        <w:t>: האי פרונקא</w:t>
      </w:r>
      <w:r w:rsidR="00812710" w:rsidRPr="005275DF">
        <w:rPr>
          <w:rStyle w:val="a9"/>
          <w:rFonts w:asciiTheme="minorBidi" w:hAnsiTheme="minorBidi"/>
          <w:rtl/>
        </w:rPr>
        <w:footnoteReference w:id="2329"/>
      </w:r>
      <w:r w:rsidR="00812710" w:rsidRPr="005275DF">
        <w:rPr>
          <w:rFonts w:asciiTheme="minorBidi" w:hAnsiTheme="minorBidi"/>
          <w:rtl/>
        </w:rPr>
        <w:t>, אפלגיה דכובא</w:t>
      </w:r>
      <w:r w:rsidR="00812710" w:rsidRPr="005275DF">
        <w:rPr>
          <w:rStyle w:val="a9"/>
          <w:rFonts w:asciiTheme="minorBidi" w:hAnsiTheme="minorBidi"/>
          <w:rtl/>
        </w:rPr>
        <w:footnoteReference w:id="2330"/>
      </w:r>
      <w:r w:rsidR="00812710" w:rsidRPr="005275DF">
        <w:rPr>
          <w:rFonts w:asciiTheme="minorBidi" w:hAnsiTheme="minorBidi"/>
          <w:rtl/>
        </w:rPr>
        <w:t xml:space="preserve"> שרי, אכוליה כובא אסור.</w:t>
      </w:r>
      <w:r w:rsidR="00812710">
        <w:rPr>
          <w:rFonts w:asciiTheme="minorBidi" w:hAnsiTheme="minorBidi" w:hint="cs"/>
          <w:sz w:val="16"/>
          <w:szCs w:val="16"/>
          <w:rtl/>
        </w:rPr>
        <w:t xml:space="preserve"> (וכ"פ בשו"ע (כאן סע' יג))</w:t>
      </w:r>
    </w:p>
    <w:p w14:paraId="2D8B50E0" w14:textId="079FA82B" w:rsidR="00A84A9C" w:rsidRPr="00A06E0E" w:rsidRDefault="00A06E0E" w:rsidP="00434A6A">
      <w:pPr>
        <w:rPr>
          <w:rFonts w:cs="Arial"/>
          <w:u w:val="single"/>
          <w:rtl/>
        </w:rPr>
      </w:pPr>
      <w:r w:rsidRPr="00A06E0E">
        <w:rPr>
          <w:rFonts w:cs="Arial" w:hint="cs"/>
          <w:u w:val="single"/>
          <w:rtl/>
        </w:rPr>
        <w:t>נתינת מכסה על מחיצות שכבר עשויות מלפני השבת</w:t>
      </w:r>
      <w:r>
        <w:rPr>
          <w:rFonts w:cs="Arial" w:hint="cs"/>
          <w:u w:val="single"/>
          <w:rtl/>
        </w:rPr>
        <w:t>:</w:t>
      </w:r>
    </w:p>
    <w:p w14:paraId="4930A50B" w14:textId="77777777" w:rsidR="009B47DD" w:rsidRDefault="009B47DD" w:rsidP="00434A6A">
      <w:pPr>
        <w:pStyle w:val="aa"/>
        <w:numPr>
          <w:ilvl w:val="0"/>
          <w:numId w:val="27"/>
        </w:numPr>
        <w:rPr>
          <w:rFonts w:cs="Arial"/>
        </w:rPr>
      </w:pPr>
      <w:r w:rsidRPr="00A06E0E">
        <w:rPr>
          <w:rFonts w:cs="Arial" w:hint="cs"/>
          <w:rtl/>
        </w:rPr>
        <w:t xml:space="preserve">תוס' </w:t>
      </w:r>
      <w:r w:rsidRPr="00A06E0E">
        <w:rPr>
          <w:rFonts w:cs="Arial" w:hint="cs"/>
          <w:sz w:val="16"/>
          <w:szCs w:val="16"/>
          <w:rtl/>
        </w:rPr>
        <w:t>(שבת מג:)</w:t>
      </w:r>
      <w:r w:rsidRPr="00A06E0E">
        <w:rPr>
          <w:rFonts w:cs="Arial" w:hint="cs"/>
          <w:rtl/>
        </w:rPr>
        <w:t>- ו</w:t>
      </w:r>
      <w:r w:rsidRPr="00A06E0E">
        <w:rPr>
          <w:rFonts w:cs="Arial"/>
          <w:rtl/>
        </w:rPr>
        <w:t xml:space="preserve">הא דאמרי' בהמוצא תפילין (עירובין קב.) גבי דיכרי דרב הונא אתא לקמיה דרב א"ל זיל כרוך בודיא ושייר בה טפח למחר פשטוה מוסיף על אהל עראי הוא ושפיר דמי אבל בלא שיור אסור </w:t>
      </w:r>
      <w:r w:rsidRPr="00A06E0E">
        <w:rPr>
          <w:rFonts w:cs="Arial" w:hint="cs"/>
          <w:rtl/>
        </w:rPr>
        <w:t xml:space="preserve">- </w:t>
      </w:r>
      <w:r w:rsidRPr="00A06E0E">
        <w:rPr>
          <w:rFonts w:cs="Arial"/>
          <w:rtl/>
        </w:rPr>
        <w:t>היינו משום שהמחיצות התחתונות היו כבר עשויות</w:t>
      </w:r>
      <w:r>
        <w:rPr>
          <w:rStyle w:val="a9"/>
          <w:rFonts w:cs="Arial"/>
          <w:rtl/>
        </w:rPr>
        <w:footnoteReference w:id="2331"/>
      </w:r>
      <w:r w:rsidRPr="00A06E0E">
        <w:rPr>
          <w:rFonts w:cs="Arial" w:hint="cs"/>
          <w:rtl/>
        </w:rPr>
        <w:t>,</w:t>
      </w:r>
      <w:r w:rsidRPr="00A06E0E">
        <w:rPr>
          <w:rFonts w:cs="Arial"/>
          <w:rtl/>
        </w:rPr>
        <w:t xml:space="preserve"> ואם היה פורש עליהן היה עושה אהל כדרך לעשות אהל</w:t>
      </w:r>
      <w:r>
        <w:rPr>
          <w:rStyle w:val="a9"/>
          <w:rFonts w:cs="Arial"/>
          <w:rtl/>
        </w:rPr>
        <w:footnoteReference w:id="2332"/>
      </w:r>
      <w:r w:rsidRPr="00A06E0E">
        <w:rPr>
          <w:rFonts w:cs="Arial" w:hint="cs"/>
          <w:rtl/>
        </w:rPr>
        <w:t>.</w:t>
      </w:r>
      <w:r>
        <w:rPr>
          <w:rFonts w:cs="Arial" w:hint="cs"/>
          <w:rtl/>
        </w:rPr>
        <w:t xml:space="preserve"> </w:t>
      </w:r>
    </w:p>
    <w:p w14:paraId="15FF636B" w14:textId="77777777" w:rsidR="009B47DD" w:rsidRPr="008A1A94" w:rsidRDefault="009B47DD" w:rsidP="00434A6A">
      <w:pPr>
        <w:pStyle w:val="aa"/>
        <w:numPr>
          <w:ilvl w:val="0"/>
          <w:numId w:val="27"/>
        </w:numPr>
        <w:rPr>
          <w:rFonts w:cs="Arial"/>
        </w:rPr>
      </w:pPr>
      <w:r>
        <w:rPr>
          <w:rFonts w:asciiTheme="minorBidi" w:hAnsiTheme="minorBidi" w:hint="cs"/>
          <w:rtl/>
        </w:rPr>
        <w:t xml:space="preserve">תוס' </w:t>
      </w:r>
      <w:r w:rsidRPr="004B7E82">
        <w:rPr>
          <w:rFonts w:asciiTheme="minorBidi" w:hAnsiTheme="minorBidi" w:hint="cs"/>
          <w:sz w:val="16"/>
          <w:szCs w:val="16"/>
          <w:rtl/>
        </w:rPr>
        <w:t>(</w:t>
      </w:r>
      <w:r>
        <w:rPr>
          <w:rFonts w:asciiTheme="minorBidi" w:hAnsiTheme="minorBidi" w:hint="cs"/>
          <w:sz w:val="16"/>
          <w:szCs w:val="16"/>
          <w:rtl/>
        </w:rPr>
        <w:t xml:space="preserve">ביצה </w:t>
      </w:r>
      <w:r w:rsidRPr="004B7E82">
        <w:rPr>
          <w:rFonts w:asciiTheme="minorBidi" w:hAnsiTheme="minorBidi" w:hint="cs"/>
          <w:sz w:val="16"/>
          <w:szCs w:val="16"/>
          <w:rtl/>
        </w:rPr>
        <w:t>לב: ד"ה מלמטה למעלה</w:t>
      </w:r>
      <w:r>
        <w:rPr>
          <w:rFonts w:asciiTheme="minorBidi" w:hAnsiTheme="minorBidi" w:hint="cs"/>
          <w:sz w:val="16"/>
          <w:szCs w:val="16"/>
          <w:rtl/>
        </w:rPr>
        <w:t>, וכן בשבת [קלח. ד"ה כסא טרסקל] בשם ר"ת</w:t>
      </w:r>
      <w:r w:rsidRPr="004B7E82">
        <w:rPr>
          <w:rFonts w:asciiTheme="minorBidi" w:hAnsiTheme="minorBidi" w:hint="cs"/>
          <w:sz w:val="16"/>
          <w:szCs w:val="16"/>
          <w:rtl/>
        </w:rPr>
        <w:t>)</w:t>
      </w:r>
      <w:r>
        <w:rPr>
          <w:rFonts w:asciiTheme="minorBidi" w:hAnsiTheme="minorBidi" w:cs="Arial" w:hint="cs"/>
          <w:rtl/>
        </w:rPr>
        <w:t xml:space="preserve">- </w:t>
      </w:r>
      <w:r w:rsidRPr="00C85DFD">
        <w:rPr>
          <w:rFonts w:asciiTheme="minorBidi" w:hAnsiTheme="minorBidi" w:cs="Arial"/>
          <w:rtl/>
        </w:rPr>
        <w:t>ותימה</w:t>
      </w:r>
      <w:r>
        <w:rPr>
          <w:rFonts w:asciiTheme="minorBidi" w:hAnsiTheme="minorBidi" w:cs="Arial" w:hint="cs"/>
          <w:rtl/>
        </w:rPr>
        <w:t>,</w:t>
      </w:r>
      <w:r w:rsidRPr="00C85DFD">
        <w:rPr>
          <w:rFonts w:asciiTheme="minorBidi" w:hAnsiTheme="minorBidi" w:cs="Arial"/>
          <w:rtl/>
        </w:rPr>
        <w:t xml:space="preserve"> דאמר בשבת (לו: ושם) מחזירין קדרה על גבי כירה</w:t>
      </w:r>
      <w:r>
        <w:rPr>
          <w:rFonts w:asciiTheme="minorBidi" w:hAnsiTheme="minorBidi" w:cs="Arial" w:hint="cs"/>
          <w:rtl/>
        </w:rPr>
        <w:t xml:space="preserve">, </w:t>
      </w:r>
      <w:r w:rsidRPr="00C85DFD">
        <w:rPr>
          <w:rFonts w:asciiTheme="minorBidi" w:hAnsiTheme="minorBidi" w:cs="Arial"/>
          <w:rtl/>
        </w:rPr>
        <w:t>והתם (לח:) קאמר מאן דאית ליה מחזירין דאפילו בשבת מחזירין</w:t>
      </w:r>
      <w:r>
        <w:rPr>
          <w:rFonts w:asciiTheme="minorBidi" w:hAnsiTheme="minorBidi" w:cs="Arial" w:hint="cs"/>
          <w:rtl/>
        </w:rPr>
        <w:t>.</w:t>
      </w:r>
      <w:r w:rsidRPr="00C85DFD">
        <w:rPr>
          <w:rFonts w:asciiTheme="minorBidi" w:hAnsiTheme="minorBidi" w:cs="Arial"/>
          <w:rtl/>
        </w:rPr>
        <w:t xml:space="preserve"> וי"ל דכל הנך אינן אסורין אלא היכא שמתקן האהל והמחיצות</w:t>
      </w:r>
      <w:r>
        <w:rPr>
          <w:rFonts w:asciiTheme="minorBidi" w:hAnsiTheme="minorBidi" w:cs="Arial" w:hint="cs"/>
          <w:rtl/>
        </w:rPr>
        <w:t>,</w:t>
      </w:r>
      <w:r w:rsidRPr="00C85DFD">
        <w:rPr>
          <w:rFonts w:asciiTheme="minorBidi" w:hAnsiTheme="minorBidi" w:cs="Arial"/>
          <w:rtl/>
        </w:rPr>
        <w:t xml:space="preserve"> אבל אם עשה האהל בלא מחיצות שרי</w:t>
      </w:r>
      <w:r>
        <w:rPr>
          <w:rFonts w:asciiTheme="minorBidi" w:hAnsiTheme="minorBidi" w:cs="Arial" w:hint="cs"/>
          <w:rtl/>
        </w:rPr>
        <w:t>.</w:t>
      </w:r>
      <w:r w:rsidRPr="00C85DFD">
        <w:rPr>
          <w:rFonts w:asciiTheme="minorBidi" w:hAnsiTheme="minorBidi" w:cs="Arial"/>
          <w:rtl/>
        </w:rPr>
        <w:t xml:space="preserve"> והתם גבי כירה המחיצות היו עשויות מתחלה</w:t>
      </w:r>
      <w:r>
        <w:rPr>
          <w:rFonts w:asciiTheme="minorBidi" w:hAnsiTheme="minorBidi" w:cs="Arial" w:hint="cs"/>
          <w:rtl/>
        </w:rPr>
        <w:t>.</w:t>
      </w:r>
      <w:r w:rsidRPr="00C85DFD">
        <w:rPr>
          <w:rFonts w:asciiTheme="minorBidi" w:hAnsiTheme="minorBidi" w:cs="Arial"/>
          <w:rtl/>
        </w:rPr>
        <w:t xml:space="preserve"> וכן פר"ח גבי ביעתא כגון שיש ביצים מכאן וביצים מכאן וא' על גביהן והאור תחת אוירן</w:t>
      </w:r>
      <w:r>
        <w:rPr>
          <w:rFonts w:asciiTheme="minorBidi" w:hAnsiTheme="minorBidi" w:cs="Arial" w:hint="cs"/>
          <w:rtl/>
        </w:rPr>
        <w:t>...</w:t>
      </w:r>
      <w:r w:rsidRPr="009B47DD">
        <w:rPr>
          <w:rFonts w:cs="Arial" w:hint="cs"/>
          <w:rtl/>
        </w:rPr>
        <w:t xml:space="preserve"> </w:t>
      </w:r>
      <w:r>
        <w:rPr>
          <w:rFonts w:cs="Arial" w:hint="cs"/>
          <w:rtl/>
        </w:rPr>
        <w:t>(וכ"פ הגר"א</w:t>
      </w:r>
      <w:r>
        <w:rPr>
          <w:rFonts w:cs="Arial" w:hint="cs"/>
          <w:sz w:val="16"/>
          <w:szCs w:val="16"/>
          <w:rtl/>
        </w:rPr>
        <w:t xml:space="preserve"> [סקי"ד]</w:t>
      </w:r>
      <w:r>
        <w:rPr>
          <w:rFonts w:cs="Arial" w:hint="cs"/>
          <w:rtl/>
        </w:rPr>
        <w:t xml:space="preserve">) </w:t>
      </w:r>
    </w:p>
    <w:p w14:paraId="48717484" w14:textId="1EEFE862" w:rsidR="00596222" w:rsidRPr="00A06E0E" w:rsidRDefault="0098520B" w:rsidP="00434A6A">
      <w:pPr>
        <w:pStyle w:val="aa"/>
        <w:numPr>
          <w:ilvl w:val="0"/>
          <w:numId w:val="27"/>
        </w:numPr>
        <w:rPr>
          <w:rFonts w:cs="Arial"/>
        </w:rPr>
      </w:pPr>
      <w:r>
        <w:rPr>
          <w:rFonts w:asciiTheme="minorBidi" w:hAnsiTheme="minorBidi" w:cs="Arial" w:hint="cs"/>
          <w:rtl/>
        </w:rPr>
        <w:t xml:space="preserve">רשב"א </w:t>
      </w:r>
      <w:r>
        <w:rPr>
          <w:rFonts w:asciiTheme="minorBidi" w:hAnsiTheme="minorBidi" w:cs="Arial" w:hint="cs"/>
          <w:sz w:val="16"/>
          <w:szCs w:val="16"/>
          <w:rtl/>
        </w:rPr>
        <w:t>(ביצה לג. ד"ה וכן ביעתא)</w:t>
      </w:r>
      <w:r>
        <w:rPr>
          <w:rFonts w:asciiTheme="minorBidi" w:hAnsiTheme="minorBidi" w:cs="Arial" w:hint="cs"/>
          <w:rtl/>
        </w:rPr>
        <w:t xml:space="preserve"> ו</w:t>
      </w:r>
      <w:r w:rsidR="00596222">
        <w:rPr>
          <w:rFonts w:asciiTheme="minorBidi" w:hAnsiTheme="minorBidi" w:cs="Arial" w:hint="cs"/>
          <w:rtl/>
        </w:rPr>
        <w:t xml:space="preserve">ר"ן </w:t>
      </w:r>
      <w:r w:rsidR="00596222">
        <w:rPr>
          <w:rFonts w:asciiTheme="minorBidi" w:hAnsiTheme="minorBidi" w:cs="Arial" w:hint="cs"/>
          <w:sz w:val="16"/>
          <w:szCs w:val="16"/>
          <w:rtl/>
        </w:rPr>
        <w:t>(יח. ד"ה האי מדורתא)</w:t>
      </w:r>
      <w:r w:rsidR="00596222">
        <w:rPr>
          <w:rFonts w:asciiTheme="minorBidi" w:hAnsiTheme="minorBidi" w:cs="Arial" w:hint="cs"/>
          <w:rtl/>
        </w:rPr>
        <w:t xml:space="preserve">- </w:t>
      </w:r>
      <w:r w:rsidR="00596222" w:rsidRPr="00011B8C">
        <w:rPr>
          <w:rFonts w:asciiTheme="minorBidi" w:hAnsiTheme="minorBidi" w:cs="Arial"/>
          <w:rtl/>
        </w:rPr>
        <w:t>ביעתא פירש רש"י ז"ל ביצים גסות הנתנות ע"פ כלי חלול</w:t>
      </w:r>
      <w:r w:rsidR="00596222">
        <w:rPr>
          <w:rFonts w:asciiTheme="minorBidi" w:hAnsiTheme="minorBidi" w:cs="Arial" w:hint="cs"/>
          <w:rtl/>
        </w:rPr>
        <w:t>... -</w:t>
      </w:r>
      <w:r w:rsidR="00596222" w:rsidRPr="00011B8C">
        <w:rPr>
          <w:rFonts w:asciiTheme="minorBidi" w:hAnsiTheme="minorBidi" w:cs="Arial"/>
          <w:rtl/>
        </w:rPr>
        <w:t xml:space="preserve"> ולא מיחוור</w:t>
      </w:r>
      <w:r w:rsidR="00596222">
        <w:rPr>
          <w:rFonts w:asciiTheme="minorBidi" w:hAnsiTheme="minorBidi" w:cs="Arial" w:hint="cs"/>
          <w:rtl/>
        </w:rPr>
        <w:t>,</w:t>
      </w:r>
      <w:r w:rsidR="00596222" w:rsidRPr="00011B8C">
        <w:rPr>
          <w:rFonts w:asciiTheme="minorBidi" w:hAnsiTheme="minorBidi" w:cs="Arial"/>
          <w:rtl/>
        </w:rPr>
        <w:t xml:space="preserve"> שא"כ יהא אסור לתת קדרה ביום טוב על גבי כירה</w:t>
      </w:r>
      <w:r w:rsidR="00596222">
        <w:rPr>
          <w:rFonts w:asciiTheme="minorBidi" w:hAnsiTheme="minorBidi" w:cs="Arial" w:hint="cs"/>
          <w:rtl/>
        </w:rPr>
        <w:t>,</w:t>
      </w:r>
      <w:r w:rsidR="00596222" w:rsidRPr="00011B8C">
        <w:rPr>
          <w:rFonts w:asciiTheme="minorBidi" w:hAnsiTheme="minorBidi" w:cs="Arial"/>
          <w:rtl/>
        </w:rPr>
        <w:t xml:space="preserve"> ואי אפשר שהרי אפילו בשבת התירו להחזיר קדרה על גבי כירה</w:t>
      </w:r>
      <w:r w:rsidR="00BF3BC1">
        <w:rPr>
          <w:rStyle w:val="a9"/>
          <w:rFonts w:asciiTheme="minorBidi" w:hAnsiTheme="minorBidi" w:cs="Arial"/>
          <w:rtl/>
        </w:rPr>
        <w:footnoteReference w:id="2333"/>
      </w:r>
      <w:r w:rsidR="00596222" w:rsidRPr="00011B8C">
        <w:rPr>
          <w:rFonts w:asciiTheme="minorBidi" w:hAnsiTheme="minorBidi" w:cs="Arial"/>
          <w:rtl/>
        </w:rPr>
        <w:t xml:space="preserve"> כדאיתא בפרק כירה (לח</w:t>
      </w:r>
      <w:r w:rsidR="00596222">
        <w:rPr>
          <w:rFonts w:asciiTheme="minorBidi" w:hAnsiTheme="minorBidi" w:cs="Arial" w:hint="cs"/>
          <w:rtl/>
        </w:rPr>
        <w:t>:</w:t>
      </w:r>
      <w:r w:rsidR="00596222" w:rsidRPr="00011B8C">
        <w:rPr>
          <w:rFonts w:asciiTheme="minorBidi" w:hAnsiTheme="minorBidi" w:cs="Arial"/>
          <w:rtl/>
        </w:rPr>
        <w:t>) ומעשים בכל יום ששופתין קדרה על גבה אלא הכי פירושה שאין נותנין ביצה מכאן וביצה מכאן וביצה על גביהן דדמיא לבנין שעושים מחיצות ואחר כך נותן את התקרה וכעין פוריא</w:t>
      </w:r>
      <w:r w:rsidR="00596222">
        <w:rPr>
          <w:rFonts w:cs="Arial" w:hint="cs"/>
          <w:rtl/>
        </w:rPr>
        <w:t>.</w:t>
      </w:r>
      <w:r w:rsidR="00194683">
        <w:rPr>
          <w:rFonts w:asciiTheme="minorBidi" w:hAnsiTheme="minorBidi" w:cs="Arial" w:hint="cs"/>
          <w:rtl/>
        </w:rPr>
        <w:t>..</w:t>
      </w:r>
      <w:r w:rsidR="00194683" w:rsidRPr="00194683">
        <w:rPr>
          <w:rFonts w:asciiTheme="minorBidi" w:hAnsiTheme="minorBidi" w:cs="Arial"/>
          <w:rtl/>
        </w:rPr>
        <w:t xml:space="preserve"> </w:t>
      </w:r>
      <w:r w:rsidR="00194683" w:rsidRPr="00011B8C">
        <w:rPr>
          <w:rFonts w:asciiTheme="minorBidi" w:hAnsiTheme="minorBidi" w:cs="Arial"/>
          <w:rtl/>
        </w:rPr>
        <w:t>ולא מיתסר אלא בצריך לאויר שלמטה כעין קדרה</w:t>
      </w:r>
      <w:r w:rsidR="00194683">
        <w:rPr>
          <w:rStyle w:val="a9"/>
          <w:rFonts w:asciiTheme="minorBidi" w:hAnsiTheme="minorBidi" w:cs="Arial"/>
          <w:rtl/>
        </w:rPr>
        <w:footnoteReference w:id="2334"/>
      </w:r>
      <w:r w:rsidR="00194683">
        <w:rPr>
          <w:rFonts w:asciiTheme="minorBidi" w:hAnsiTheme="minorBidi" w:cs="Arial" w:hint="cs"/>
          <w:rtl/>
        </w:rPr>
        <w:t>,</w:t>
      </w:r>
      <w:r w:rsidR="00194683" w:rsidRPr="00011B8C">
        <w:rPr>
          <w:rFonts w:asciiTheme="minorBidi" w:hAnsiTheme="minorBidi" w:cs="Arial"/>
          <w:rtl/>
        </w:rPr>
        <w:t xml:space="preserve"> אבל כל שאינו צריך לאויר שתחתיו לא</w:t>
      </w:r>
      <w:r>
        <w:rPr>
          <w:rFonts w:cs="Arial" w:hint="cs"/>
          <w:sz w:val="16"/>
          <w:szCs w:val="16"/>
          <w:rtl/>
        </w:rPr>
        <w:t xml:space="preserve"> (ל' הר"ן)</w:t>
      </w:r>
      <w:r w:rsidR="00194683">
        <w:rPr>
          <w:rFonts w:cs="Arial" w:hint="cs"/>
          <w:rtl/>
        </w:rPr>
        <w:t>.</w:t>
      </w:r>
    </w:p>
    <w:p w14:paraId="7A64C68E" w14:textId="77777777" w:rsidR="00C44022" w:rsidRPr="005275DF" w:rsidRDefault="00C44022" w:rsidP="00434A6A">
      <w:pPr>
        <w:rPr>
          <w:rFonts w:asciiTheme="minorBidi" w:hAnsiTheme="minorBidi"/>
          <w:rtl/>
        </w:rPr>
      </w:pPr>
      <w:r w:rsidRPr="005275DF">
        <w:rPr>
          <w:rFonts w:asciiTheme="minorBidi" w:hAnsiTheme="minorBidi"/>
          <w:b/>
          <w:bCs/>
          <w:sz w:val="32"/>
          <w:szCs w:val="28"/>
          <w:u w:val="single"/>
          <w:rtl/>
        </w:rPr>
        <w:t xml:space="preserve">שו"ע: </w:t>
      </w:r>
    </w:p>
    <w:p w14:paraId="07221E0A" w14:textId="314C3FC2" w:rsidR="00C44022" w:rsidRDefault="00E1723A" w:rsidP="00434A6A">
      <w:pPr>
        <w:rPr>
          <w:rFonts w:asciiTheme="minorBidi" w:hAnsiTheme="minorBidi"/>
          <w:rtl/>
        </w:rPr>
      </w:pPr>
      <w:r w:rsidRPr="005275DF">
        <w:rPr>
          <w:rFonts w:asciiTheme="minorBidi" w:hAnsiTheme="minorBidi"/>
          <w:rtl/>
        </w:rPr>
        <w:t>מטה כשמעמידים אותה</w:t>
      </w:r>
      <w:r w:rsidR="00C44022" w:rsidRPr="005275DF">
        <w:rPr>
          <w:rFonts w:asciiTheme="minorBidi" w:hAnsiTheme="minorBidi"/>
          <w:rtl/>
        </w:rPr>
        <w:t xml:space="preserve"> אסור להניח </w:t>
      </w:r>
      <w:r w:rsidRPr="005275DF">
        <w:rPr>
          <w:rFonts w:asciiTheme="minorBidi" w:hAnsiTheme="minorBidi"/>
          <w:rtl/>
        </w:rPr>
        <w:t>הרגלים תחלה ולהניח עליהם הקרשים</w:t>
      </w:r>
      <w:r w:rsidR="00BE36C2" w:rsidRPr="005275DF">
        <w:rPr>
          <w:rStyle w:val="a9"/>
          <w:rFonts w:asciiTheme="minorBidi" w:hAnsiTheme="minorBidi"/>
          <w:rtl/>
        </w:rPr>
        <w:footnoteReference w:id="2335"/>
      </w:r>
      <w:r w:rsidR="001147FA">
        <w:rPr>
          <w:rFonts w:asciiTheme="minorBidi" w:hAnsiTheme="minorBidi" w:hint="cs"/>
          <w:rtl/>
        </w:rPr>
        <w:t>,</w:t>
      </w:r>
      <w:r w:rsidRPr="005275DF">
        <w:rPr>
          <w:rFonts w:asciiTheme="minorBidi" w:hAnsiTheme="minorBidi"/>
          <w:rtl/>
        </w:rPr>
        <w:t xml:space="preserve"> אלא ישים הקרשים תחלה באויר ואחר </w:t>
      </w:r>
      <w:r w:rsidR="00C44022" w:rsidRPr="005275DF">
        <w:rPr>
          <w:rFonts w:asciiTheme="minorBidi" w:hAnsiTheme="minorBidi"/>
          <w:rtl/>
        </w:rPr>
        <w:t>כ</w:t>
      </w:r>
      <w:r w:rsidRPr="005275DF">
        <w:rPr>
          <w:rFonts w:asciiTheme="minorBidi" w:hAnsiTheme="minorBidi"/>
          <w:rtl/>
        </w:rPr>
        <w:t>ך הרגלים תחתיהם</w:t>
      </w:r>
      <w:r w:rsidR="00BD6F21">
        <w:rPr>
          <w:rFonts w:asciiTheme="minorBidi" w:hAnsiTheme="minorBidi" w:hint="cs"/>
          <w:rtl/>
        </w:rPr>
        <w:t>.</w:t>
      </w:r>
      <w:r w:rsidRPr="005275DF">
        <w:rPr>
          <w:rFonts w:asciiTheme="minorBidi" w:hAnsiTheme="minorBidi"/>
          <w:rtl/>
        </w:rPr>
        <w:t xml:space="preserve"> והני מילי כשהרגלים הם דפים מחוברים</w:t>
      </w:r>
      <w:r w:rsidR="00BD6F21" w:rsidRPr="005275DF">
        <w:rPr>
          <w:rStyle w:val="a9"/>
          <w:rFonts w:asciiTheme="minorBidi" w:hAnsiTheme="minorBidi"/>
          <w:rtl/>
        </w:rPr>
        <w:footnoteReference w:id="2336"/>
      </w:r>
      <w:r w:rsidRPr="005275DF">
        <w:rPr>
          <w:rFonts w:asciiTheme="minorBidi" w:hAnsiTheme="minorBidi"/>
          <w:rtl/>
        </w:rPr>
        <w:t xml:space="preserve"> כמו דפני התיבה</w:t>
      </w:r>
      <w:r w:rsidR="00BD6F21">
        <w:rPr>
          <w:rFonts w:asciiTheme="minorBidi" w:hAnsiTheme="minorBidi" w:hint="cs"/>
          <w:rtl/>
        </w:rPr>
        <w:t>,</w:t>
      </w:r>
      <w:r w:rsidRPr="005275DF">
        <w:rPr>
          <w:rFonts w:asciiTheme="minorBidi" w:hAnsiTheme="minorBidi"/>
          <w:rtl/>
        </w:rPr>
        <w:t xml:space="preserve"> אבל רגלים של מטות שלנו</w:t>
      </w:r>
      <w:r w:rsidR="00C44022" w:rsidRPr="005275DF">
        <w:rPr>
          <w:rFonts w:asciiTheme="minorBidi" w:hAnsiTheme="minorBidi"/>
          <w:rtl/>
        </w:rPr>
        <w:t xml:space="preserve"> ו</w:t>
      </w:r>
      <w:r w:rsidRPr="005275DF">
        <w:rPr>
          <w:rFonts w:asciiTheme="minorBidi" w:hAnsiTheme="minorBidi"/>
          <w:rtl/>
        </w:rPr>
        <w:t>כן רגלי השלחן</w:t>
      </w:r>
      <w:r w:rsidR="00C44022" w:rsidRPr="005275DF">
        <w:rPr>
          <w:rFonts w:asciiTheme="minorBidi" w:hAnsiTheme="minorBidi"/>
          <w:rtl/>
        </w:rPr>
        <w:t xml:space="preserve"> מותר בכל גוונא</w:t>
      </w:r>
      <w:r w:rsidR="008C7224">
        <w:rPr>
          <w:rStyle w:val="a9"/>
          <w:rFonts w:asciiTheme="minorBidi" w:hAnsiTheme="minorBidi"/>
          <w:rtl/>
        </w:rPr>
        <w:footnoteReference w:id="2337"/>
      </w:r>
      <w:r w:rsidR="00C44022" w:rsidRPr="005275DF">
        <w:rPr>
          <w:rFonts w:asciiTheme="minorBidi" w:hAnsiTheme="minorBidi"/>
          <w:rtl/>
        </w:rPr>
        <w:t xml:space="preserve">. </w:t>
      </w:r>
    </w:p>
    <w:p w14:paraId="276AB1B4" w14:textId="77777777" w:rsidR="00D31228" w:rsidRPr="005275DF" w:rsidRDefault="00D31228" w:rsidP="00434A6A">
      <w:pPr>
        <w:rPr>
          <w:rFonts w:asciiTheme="minorBidi" w:hAnsiTheme="minorBidi"/>
          <w:rtl/>
        </w:rPr>
      </w:pPr>
    </w:p>
    <w:p w14:paraId="7C1EB510" w14:textId="664B4B89" w:rsidR="00B6715C" w:rsidRDefault="00C44022" w:rsidP="00434A6A">
      <w:pPr>
        <w:pStyle w:val="2"/>
        <w:rPr>
          <w:rFonts w:asciiTheme="minorBidi" w:hAnsiTheme="minorBidi" w:cstheme="minorBidi"/>
          <w:rtl/>
        </w:rPr>
      </w:pPr>
      <w:r w:rsidRPr="005275DF">
        <w:rPr>
          <w:rFonts w:asciiTheme="minorBidi" w:hAnsiTheme="minorBidi" w:cstheme="minorBidi"/>
          <w:rtl/>
        </w:rPr>
        <w:t>סעיף ד</w:t>
      </w:r>
      <w:r w:rsidR="00612B4D" w:rsidRPr="005275DF">
        <w:rPr>
          <w:rFonts w:asciiTheme="minorBidi" w:hAnsiTheme="minorBidi" w:cstheme="minorBidi"/>
          <w:rtl/>
        </w:rPr>
        <w:t>:</w:t>
      </w:r>
      <w:r w:rsidR="00743B31" w:rsidRPr="005275DF">
        <w:rPr>
          <w:rFonts w:asciiTheme="minorBidi" w:hAnsiTheme="minorBidi" w:cstheme="minorBidi"/>
          <w:rtl/>
        </w:rPr>
        <w:t xml:space="preserve"> פריסת סדין ע"ג מטה.</w:t>
      </w:r>
    </w:p>
    <w:p w14:paraId="58E2F5B7" w14:textId="77777777" w:rsidR="004E5E90" w:rsidRDefault="00057D98" w:rsidP="00434A6A">
      <w:pPr>
        <w:rPr>
          <w:rFonts w:asciiTheme="minorBidi" w:hAnsiTheme="minorBidi"/>
          <w:rtl/>
        </w:rPr>
      </w:pPr>
      <w:r w:rsidRPr="005275DF">
        <w:rPr>
          <w:rFonts w:asciiTheme="minorBidi" w:hAnsiTheme="minorBidi"/>
          <w:b/>
          <w:bCs/>
          <w:rtl/>
        </w:rPr>
        <w:t>שבת</w:t>
      </w:r>
      <w:r>
        <w:rPr>
          <w:rFonts w:asciiTheme="minorBidi" w:hAnsiTheme="minorBidi" w:hint="cs"/>
          <w:b/>
          <w:bCs/>
          <w:rtl/>
        </w:rPr>
        <w:t xml:space="preserve"> </w:t>
      </w:r>
      <w:r>
        <w:rPr>
          <w:rFonts w:asciiTheme="minorBidi" w:hAnsiTheme="minorBidi" w:hint="cs"/>
          <w:b/>
          <w:bCs/>
          <w:sz w:val="16"/>
          <w:szCs w:val="16"/>
          <w:rtl/>
        </w:rPr>
        <w:t>(פ' תולין)</w:t>
      </w:r>
      <w:r w:rsidRPr="005275DF">
        <w:rPr>
          <w:rFonts w:asciiTheme="minorBidi" w:hAnsiTheme="minorBidi"/>
          <w:b/>
          <w:bCs/>
          <w:rtl/>
        </w:rPr>
        <w:t xml:space="preserve"> קלח ע"א: </w:t>
      </w:r>
      <w:r w:rsidRPr="0000707C">
        <w:rPr>
          <w:rFonts w:asciiTheme="minorBidi" w:hAnsiTheme="minorBidi"/>
          <w:u w:val="single"/>
          <w:rtl/>
        </w:rPr>
        <w:t>מנקיט אביי חומרי מתניתא ותני</w:t>
      </w:r>
      <w:r w:rsidRPr="005275DF">
        <w:rPr>
          <w:rFonts w:asciiTheme="minorBidi" w:hAnsiTheme="minorBidi"/>
          <w:rtl/>
        </w:rPr>
        <w:t>: הגוד והמשמרת כילה וכסא גלין</w:t>
      </w:r>
      <w:r w:rsidRPr="005275DF">
        <w:rPr>
          <w:rStyle w:val="a9"/>
          <w:rFonts w:asciiTheme="minorBidi" w:hAnsiTheme="minorBidi"/>
          <w:rtl/>
        </w:rPr>
        <w:footnoteReference w:id="2338"/>
      </w:r>
      <w:r w:rsidRPr="005275DF">
        <w:rPr>
          <w:rFonts w:asciiTheme="minorBidi" w:hAnsiTheme="minorBidi"/>
          <w:rtl/>
        </w:rPr>
        <w:t xml:space="preserve"> לא יעשה</w:t>
      </w:r>
      <w:r w:rsidRPr="005275DF">
        <w:rPr>
          <w:rStyle w:val="a9"/>
          <w:rFonts w:asciiTheme="minorBidi" w:hAnsiTheme="minorBidi"/>
          <w:rtl/>
        </w:rPr>
        <w:footnoteReference w:id="2339"/>
      </w:r>
      <w:r>
        <w:rPr>
          <w:rFonts w:asciiTheme="minorBidi" w:hAnsiTheme="minorBidi" w:hint="cs"/>
          <w:rtl/>
        </w:rPr>
        <w:t>,</w:t>
      </w:r>
      <w:r w:rsidRPr="005275DF">
        <w:rPr>
          <w:rFonts w:asciiTheme="minorBidi" w:hAnsiTheme="minorBidi"/>
          <w:rtl/>
        </w:rPr>
        <w:t xml:space="preserve"> ואם עשה </w:t>
      </w:r>
      <w:r>
        <w:rPr>
          <w:rFonts w:asciiTheme="minorBidi" w:hAnsiTheme="minorBidi" w:hint="cs"/>
          <w:rtl/>
        </w:rPr>
        <w:t xml:space="preserve">- </w:t>
      </w:r>
      <w:r w:rsidRPr="005275DF">
        <w:rPr>
          <w:rFonts w:asciiTheme="minorBidi" w:hAnsiTheme="minorBidi"/>
          <w:rtl/>
        </w:rPr>
        <w:t xml:space="preserve">פטור אבל אסור. אהלי קבע </w:t>
      </w:r>
      <w:r>
        <w:rPr>
          <w:rFonts w:asciiTheme="minorBidi" w:hAnsiTheme="minorBidi" w:hint="cs"/>
          <w:rtl/>
        </w:rPr>
        <w:t xml:space="preserve">- </w:t>
      </w:r>
      <w:r w:rsidRPr="005275DF">
        <w:rPr>
          <w:rFonts w:asciiTheme="minorBidi" w:hAnsiTheme="minorBidi"/>
          <w:rtl/>
        </w:rPr>
        <w:t>לא יעשה</w:t>
      </w:r>
      <w:r>
        <w:rPr>
          <w:rFonts w:asciiTheme="minorBidi" w:hAnsiTheme="minorBidi" w:hint="cs"/>
          <w:rtl/>
        </w:rPr>
        <w:t>,</w:t>
      </w:r>
      <w:r w:rsidRPr="005275DF">
        <w:rPr>
          <w:rFonts w:asciiTheme="minorBidi" w:hAnsiTheme="minorBidi"/>
          <w:rtl/>
        </w:rPr>
        <w:t xml:space="preserve"> ואם עשה </w:t>
      </w:r>
      <w:r>
        <w:rPr>
          <w:rFonts w:asciiTheme="minorBidi" w:hAnsiTheme="minorBidi" w:hint="cs"/>
          <w:rtl/>
        </w:rPr>
        <w:t xml:space="preserve">- </w:t>
      </w:r>
      <w:r w:rsidRPr="005275DF">
        <w:rPr>
          <w:rFonts w:asciiTheme="minorBidi" w:hAnsiTheme="minorBidi"/>
          <w:rtl/>
        </w:rPr>
        <w:t>חייב חטאת. אבל מטה</w:t>
      </w:r>
      <w:r w:rsidRPr="005275DF">
        <w:rPr>
          <w:rStyle w:val="a9"/>
          <w:rFonts w:asciiTheme="minorBidi" w:hAnsiTheme="minorBidi"/>
          <w:rtl/>
        </w:rPr>
        <w:footnoteReference w:id="2340"/>
      </w:r>
      <w:r w:rsidRPr="005275DF">
        <w:rPr>
          <w:rFonts w:asciiTheme="minorBidi" w:hAnsiTheme="minorBidi"/>
          <w:rtl/>
        </w:rPr>
        <w:t xml:space="preserve"> וכסא טרסקל</w:t>
      </w:r>
      <w:r w:rsidRPr="005275DF">
        <w:rPr>
          <w:rStyle w:val="a9"/>
          <w:rFonts w:asciiTheme="minorBidi" w:hAnsiTheme="minorBidi"/>
          <w:rtl/>
        </w:rPr>
        <w:footnoteReference w:id="2341"/>
      </w:r>
      <w:r w:rsidRPr="005275DF">
        <w:rPr>
          <w:rFonts w:asciiTheme="minorBidi" w:hAnsiTheme="minorBidi"/>
          <w:rtl/>
        </w:rPr>
        <w:t xml:space="preserve"> ואסלא</w:t>
      </w:r>
      <w:r w:rsidRPr="005275DF">
        <w:rPr>
          <w:rStyle w:val="a9"/>
          <w:rFonts w:asciiTheme="minorBidi" w:hAnsiTheme="minorBidi"/>
          <w:rtl/>
        </w:rPr>
        <w:footnoteReference w:id="2342"/>
      </w:r>
      <w:r w:rsidRPr="005275DF">
        <w:rPr>
          <w:rFonts w:asciiTheme="minorBidi" w:hAnsiTheme="minorBidi"/>
          <w:rtl/>
        </w:rPr>
        <w:t xml:space="preserve"> </w:t>
      </w:r>
      <w:r>
        <w:rPr>
          <w:rFonts w:asciiTheme="minorBidi" w:hAnsiTheme="minorBidi" w:hint="cs"/>
          <w:rtl/>
        </w:rPr>
        <w:t xml:space="preserve">- </w:t>
      </w:r>
      <w:r w:rsidRPr="005275DF">
        <w:rPr>
          <w:rFonts w:asciiTheme="minorBidi" w:hAnsiTheme="minorBidi"/>
          <w:rtl/>
        </w:rPr>
        <w:t>מותר לנטותן לכתחילה.</w:t>
      </w:r>
    </w:p>
    <w:p w14:paraId="11CD5DFC" w14:textId="77777777" w:rsidR="00057D98" w:rsidRPr="009205DE" w:rsidRDefault="00057D98" w:rsidP="00434A6A">
      <w:pPr>
        <w:rPr>
          <w:rFonts w:cs="Arial"/>
          <w:u w:val="single"/>
        </w:rPr>
      </w:pPr>
      <w:r w:rsidRPr="009205DE">
        <w:rPr>
          <w:rFonts w:cs="Arial" w:hint="cs"/>
          <w:u w:val="single"/>
          <w:rtl/>
        </w:rPr>
        <w:t>האם מותר לפרוס סדין על מטה שמסורגת בחבלים</w:t>
      </w:r>
      <w:r>
        <w:rPr>
          <w:rFonts w:cs="Arial" w:hint="cs"/>
          <w:u w:val="single"/>
          <w:rtl/>
        </w:rPr>
        <w:t xml:space="preserve"> - </w:t>
      </w:r>
      <w:r w:rsidRPr="009205DE">
        <w:rPr>
          <w:rFonts w:cs="Arial" w:hint="cs"/>
          <w:u w:val="single"/>
          <w:rtl/>
        </w:rPr>
        <w:t xml:space="preserve">לתוס' וסיעתו </w:t>
      </w:r>
      <w:r w:rsidRPr="009205DE">
        <w:rPr>
          <w:rFonts w:cs="Arial" w:hint="cs"/>
          <w:sz w:val="16"/>
          <w:szCs w:val="16"/>
          <w:u w:val="single"/>
          <w:rtl/>
        </w:rPr>
        <w:t>(כשיש מחיצות</w:t>
      </w:r>
      <w:r>
        <w:rPr>
          <w:rFonts w:cs="Arial" w:hint="cs"/>
          <w:sz w:val="16"/>
          <w:szCs w:val="16"/>
          <w:u w:val="single"/>
          <w:rtl/>
        </w:rPr>
        <w:t xml:space="preserve"> עד לארץ</w:t>
      </w:r>
      <w:r w:rsidRPr="009205DE">
        <w:rPr>
          <w:rFonts w:cs="Arial" w:hint="cs"/>
          <w:sz w:val="16"/>
          <w:szCs w:val="16"/>
          <w:u w:val="single"/>
          <w:rtl/>
        </w:rPr>
        <w:t>)</w:t>
      </w:r>
      <w:r w:rsidRPr="009205DE">
        <w:rPr>
          <w:rFonts w:cs="Arial" w:hint="cs"/>
          <w:u w:val="single"/>
          <w:rtl/>
        </w:rPr>
        <w:t xml:space="preserve"> ולרשב"א וסיעתו </w:t>
      </w:r>
      <w:r w:rsidRPr="009205DE">
        <w:rPr>
          <w:rFonts w:cs="Arial" w:hint="cs"/>
          <w:sz w:val="16"/>
          <w:szCs w:val="16"/>
          <w:u w:val="single"/>
          <w:rtl/>
        </w:rPr>
        <w:t>(אפי' אין מחיצות)</w:t>
      </w:r>
      <w:r w:rsidRPr="009205DE">
        <w:rPr>
          <w:rFonts w:cs="Arial" w:hint="cs"/>
          <w:u w:val="single"/>
          <w:rtl/>
        </w:rPr>
        <w:t>:</w:t>
      </w:r>
    </w:p>
    <w:p w14:paraId="06386746" w14:textId="7C4D66EA" w:rsidR="004E5E90" w:rsidRPr="004E5E90" w:rsidRDefault="00057D98" w:rsidP="00434A6A">
      <w:pPr>
        <w:pStyle w:val="aa"/>
        <w:numPr>
          <w:ilvl w:val="0"/>
          <w:numId w:val="24"/>
        </w:numPr>
        <w:rPr>
          <w:rFonts w:cs="Arial"/>
          <w:rtl/>
        </w:rPr>
      </w:pPr>
      <w:r>
        <w:rPr>
          <w:rFonts w:cs="Arial" w:hint="cs"/>
          <w:rtl/>
        </w:rPr>
        <w:t xml:space="preserve">רשב"א </w:t>
      </w:r>
      <w:r>
        <w:rPr>
          <w:rFonts w:cs="Arial" w:hint="cs"/>
          <w:sz w:val="16"/>
          <w:szCs w:val="16"/>
          <w:rtl/>
        </w:rPr>
        <w:t>(שבת קלח. ד"ה אבל מטה, והעתיקו דבריו הה"מ [פכ"ב הכ"ח] והר"ן [ר"פ תולין נו: ד"ה וכתבו התוס'])</w:t>
      </w:r>
      <w:r>
        <w:rPr>
          <w:rFonts w:cs="Arial" w:hint="cs"/>
          <w:rtl/>
        </w:rPr>
        <w:t xml:space="preserve"> וטור</w:t>
      </w:r>
      <w:r>
        <w:rPr>
          <w:rStyle w:val="a9"/>
          <w:rFonts w:cs="Arial"/>
          <w:rtl/>
        </w:rPr>
        <w:footnoteReference w:id="2343"/>
      </w:r>
      <w:r>
        <w:rPr>
          <w:rFonts w:cs="Arial" w:hint="cs"/>
          <w:rtl/>
        </w:rPr>
        <w:t xml:space="preserve">- </w:t>
      </w:r>
      <w:r w:rsidRPr="004B7E82">
        <w:rPr>
          <w:rFonts w:cs="Arial"/>
          <w:rtl/>
        </w:rPr>
        <w:t>ומטה שלנו בזמן שהיא מסורגת בחבלים</w:t>
      </w:r>
      <w:r>
        <w:rPr>
          <w:rFonts w:cs="Arial" w:hint="cs"/>
          <w:rtl/>
        </w:rPr>
        <w:t>,</w:t>
      </w:r>
      <w:r w:rsidRPr="004B7E82">
        <w:rPr>
          <w:rFonts w:cs="Arial"/>
          <w:rtl/>
        </w:rPr>
        <w:t xml:space="preserve"> אם יש בין חבל לחבל שלשה טפחים </w:t>
      </w:r>
      <w:r>
        <w:rPr>
          <w:rFonts w:cs="Arial" w:hint="cs"/>
          <w:rtl/>
        </w:rPr>
        <w:t xml:space="preserve">- </w:t>
      </w:r>
      <w:r w:rsidRPr="004B7E82">
        <w:rPr>
          <w:rFonts w:cs="Arial"/>
          <w:rtl/>
        </w:rPr>
        <w:t>אסור לפרוס עליהן סדין מפני שזה כעשיית אהל, וכן אסור לסלק מעליה הבגד התחתון מפני שהוא כסותר אוהלין</w:t>
      </w:r>
      <w:r>
        <w:rPr>
          <w:rFonts w:cs="Arial" w:hint="cs"/>
          <w:rtl/>
        </w:rPr>
        <w:t>.</w:t>
      </w:r>
      <w:r w:rsidRPr="004B7E82">
        <w:rPr>
          <w:rFonts w:cs="Arial"/>
          <w:rtl/>
        </w:rPr>
        <w:t xml:space="preserve"> אבל אם אין בין חבל לחבל שלשה </w:t>
      </w:r>
      <w:r>
        <w:rPr>
          <w:rFonts w:cs="Arial" w:hint="cs"/>
          <w:rtl/>
        </w:rPr>
        <w:t xml:space="preserve">- </w:t>
      </w:r>
      <w:r w:rsidRPr="004B7E82">
        <w:rPr>
          <w:rFonts w:cs="Arial"/>
          <w:rtl/>
        </w:rPr>
        <w:t>הרי הן כלבוד ואין בו משום אהל</w:t>
      </w:r>
      <w:r>
        <w:rPr>
          <w:rFonts w:cs="Arial" w:hint="cs"/>
          <w:rtl/>
        </w:rPr>
        <w:t>.</w:t>
      </w:r>
      <w:r w:rsidRPr="00FD5A59">
        <w:rPr>
          <w:rtl/>
        </w:rPr>
        <w:t xml:space="preserve"> </w:t>
      </w:r>
      <w:r w:rsidRPr="00FD5A59">
        <w:rPr>
          <w:rFonts w:cs="Arial"/>
          <w:rtl/>
        </w:rPr>
        <w:t xml:space="preserve">ובין כך ובין כך אילו היה כר או כסת או בגד פרוס עליה מערב שבת כשיעור טפח </w:t>
      </w:r>
      <w:r>
        <w:rPr>
          <w:rFonts w:cs="Arial" w:hint="cs"/>
          <w:rtl/>
        </w:rPr>
        <w:t xml:space="preserve">- </w:t>
      </w:r>
      <w:r w:rsidRPr="00FD5A59">
        <w:rPr>
          <w:rFonts w:cs="Arial"/>
          <w:rtl/>
        </w:rPr>
        <w:t>למחר מותר לפרוס על כל המטה</w:t>
      </w:r>
      <w:r>
        <w:rPr>
          <w:rFonts w:cs="Arial" w:hint="cs"/>
          <w:rtl/>
        </w:rPr>
        <w:t>,</w:t>
      </w:r>
      <w:r w:rsidRPr="00FD5A59">
        <w:rPr>
          <w:rFonts w:cs="Arial"/>
          <w:rtl/>
        </w:rPr>
        <w:t xml:space="preserve"> משום דהוי כמוסיף על אהל עראי ושרי כרבנן, וכעובדא דהנהו דכרי דהוו בי רב הונא דאיתא בעירובין (קב</w:t>
      </w:r>
      <w:r>
        <w:rPr>
          <w:rFonts w:cs="Arial" w:hint="cs"/>
          <w:rtl/>
        </w:rPr>
        <w:t>.</w:t>
      </w:r>
      <w:r w:rsidRPr="00FD5A59">
        <w:rPr>
          <w:rFonts w:cs="Arial"/>
          <w:rtl/>
        </w:rPr>
        <w:t>)</w:t>
      </w:r>
      <w:r>
        <w:rPr>
          <w:rStyle w:val="a9"/>
          <w:rFonts w:cs="Arial"/>
          <w:rtl/>
        </w:rPr>
        <w:footnoteReference w:id="2344"/>
      </w:r>
      <w:r>
        <w:rPr>
          <w:rFonts w:cs="Arial" w:hint="cs"/>
          <w:sz w:val="16"/>
          <w:szCs w:val="16"/>
          <w:rtl/>
        </w:rPr>
        <w:t xml:space="preserve"> (ל' הרשב"א)</w:t>
      </w:r>
      <w:r w:rsidRPr="00FD5A59">
        <w:rPr>
          <w:rFonts w:cs="Arial"/>
          <w:rtl/>
        </w:rPr>
        <w:t>.</w:t>
      </w:r>
      <w:r>
        <w:rPr>
          <w:rFonts w:hint="cs"/>
          <w:rtl/>
        </w:rPr>
        <w:t xml:space="preserve"> </w:t>
      </w:r>
      <w:r w:rsidRPr="00BD6F21">
        <w:rPr>
          <w:rFonts w:cs="Arial" w:hint="cs"/>
          <w:color w:val="E36C0A" w:themeColor="accent6" w:themeShade="BF"/>
          <w:rtl/>
        </w:rPr>
        <w:t>(וכ"פ בשו"ע)</w:t>
      </w:r>
    </w:p>
    <w:p w14:paraId="3CDEAD5D" w14:textId="77777777" w:rsidR="004E5E90" w:rsidRDefault="004E5E90" w:rsidP="00434A6A">
      <w:pPr>
        <w:rPr>
          <w:rFonts w:asciiTheme="minorBidi" w:hAnsiTheme="minorBidi"/>
          <w:rtl/>
        </w:rPr>
      </w:pPr>
      <w:r w:rsidRPr="005275DF">
        <w:rPr>
          <w:rFonts w:asciiTheme="minorBidi" w:hAnsiTheme="minorBidi"/>
          <w:b/>
          <w:bCs/>
          <w:rtl/>
        </w:rPr>
        <w:t>שבת</w:t>
      </w:r>
      <w:r>
        <w:rPr>
          <w:rFonts w:asciiTheme="minorBidi" w:hAnsiTheme="minorBidi" w:hint="cs"/>
          <w:b/>
          <w:bCs/>
          <w:rtl/>
        </w:rPr>
        <w:t xml:space="preserve"> </w:t>
      </w:r>
      <w:r>
        <w:rPr>
          <w:rFonts w:asciiTheme="minorBidi" w:hAnsiTheme="minorBidi" w:hint="cs"/>
          <w:b/>
          <w:bCs/>
          <w:sz w:val="16"/>
          <w:szCs w:val="16"/>
          <w:rtl/>
        </w:rPr>
        <w:t>(פ' תולין)</w:t>
      </w:r>
      <w:r w:rsidRPr="005275DF">
        <w:rPr>
          <w:rFonts w:asciiTheme="minorBidi" w:hAnsiTheme="minorBidi"/>
          <w:b/>
          <w:bCs/>
          <w:rtl/>
        </w:rPr>
        <w:t xml:space="preserve"> קלח ע"א:</w:t>
      </w:r>
      <w:r>
        <w:rPr>
          <w:rFonts w:asciiTheme="minorBidi" w:hAnsiTheme="minorBidi" w:hint="cs"/>
          <w:rtl/>
        </w:rPr>
        <w:t xml:space="preserve"> </w:t>
      </w:r>
      <w:r w:rsidRPr="00B123DA">
        <w:rPr>
          <w:rFonts w:cs="Arial"/>
          <w:u w:val="single"/>
          <w:rtl/>
        </w:rPr>
        <w:t>בעא מיניה רב כהנא מרב</w:t>
      </w:r>
      <w:r w:rsidRPr="00B123DA">
        <w:rPr>
          <w:rFonts w:cs="Arial"/>
          <w:rtl/>
        </w:rPr>
        <w:t xml:space="preserve">: כילה מהו? </w:t>
      </w:r>
      <w:r w:rsidRPr="00100E1C">
        <w:rPr>
          <w:rFonts w:cs="Arial"/>
          <w:u w:val="single"/>
          <w:rtl/>
        </w:rPr>
        <w:t>אמר ליה</w:t>
      </w:r>
      <w:r w:rsidRPr="00B123DA">
        <w:rPr>
          <w:rFonts w:cs="Arial"/>
          <w:rtl/>
        </w:rPr>
        <w:t xml:space="preserve">: אף מטה אסורה. מטה מהו? </w:t>
      </w:r>
      <w:r w:rsidRPr="00100E1C">
        <w:rPr>
          <w:rFonts w:cs="Arial"/>
          <w:u w:val="single"/>
          <w:rtl/>
        </w:rPr>
        <w:t>אמר ליה</w:t>
      </w:r>
      <w:r w:rsidRPr="00B123DA">
        <w:rPr>
          <w:rFonts w:cs="Arial"/>
          <w:rtl/>
        </w:rPr>
        <w:t xml:space="preserve">: אף כילה מותרת. כילה ומטה מהו? </w:t>
      </w:r>
      <w:r w:rsidRPr="00100E1C">
        <w:rPr>
          <w:rFonts w:cs="Arial"/>
          <w:u w:val="single"/>
          <w:rtl/>
        </w:rPr>
        <w:t>אמר ליה</w:t>
      </w:r>
      <w:r w:rsidRPr="00B123DA">
        <w:rPr>
          <w:rFonts w:cs="Arial"/>
          <w:rtl/>
        </w:rPr>
        <w:t>: כילה אסורה, ומטה מותרת. ולא קשיא; הא - דקאמר אף מטה אסורה - כדקרמנאי</w:t>
      </w:r>
      <w:r>
        <w:rPr>
          <w:rStyle w:val="a9"/>
          <w:rFonts w:asciiTheme="minorBidi" w:hAnsiTheme="minorBidi" w:cs="Arial"/>
          <w:rtl/>
        </w:rPr>
        <w:footnoteReference w:id="2345"/>
      </w:r>
      <w:r w:rsidRPr="00B123DA">
        <w:rPr>
          <w:rFonts w:cs="Arial"/>
          <w:rtl/>
        </w:rPr>
        <w:t>, הא דקאמר ליה אף כילה מותרת - כדרמי</w:t>
      </w:r>
      <w:r>
        <w:rPr>
          <w:rStyle w:val="a9"/>
          <w:rFonts w:asciiTheme="minorBidi" w:hAnsiTheme="minorBidi" w:cs="Arial"/>
          <w:rtl/>
        </w:rPr>
        <w:footnoteReference w:id="2346"/>
      </w:r>
      <w:r w:rsidRPr="00B123DA">
        <w:rPr>
          <w:rFonts w:cs="Arial"/>
          <w:rtl/>
        </w:rPr>
        <w:t xml:space="preserve"> בר יחזקאל. כילה אסורה ומטה מותרת - כדדידן</w:t>
      </w:r>
      <w:r>
        <w:rPr>
          <w:rStyle w:val="a9"/>
          <w:rFonts w:asciiTheme="minorBidi" w:hAnsiTheme="minorBidi" w:cs="Arial"/>
          <w:rtl/>
        </w:rPr>
        <w:footnoteReference w:id="2347"/>
      </w:r>
      <w:r w:rsidRPr="00B123DA">
        <w:rPr>
          <w:rFonts w:cs="Arial"/>
          <w:rtl/>
        </w:rPr>
        <w:t xml:space="preserve">. </w:t>
      </w:r>
      <w:r w:rsidRPr="004E5E90">
        <w:rPr>
          <w:rFonts w:cs="Arial"/>
          <w:u w:val="single"/>
          <w:rtl/>
        </w:rPr>
        <w:t>אמר רב יוסף</w:t>
      </w:r>
      <w:r w:rsidRPr="00B123DA">
        <w:rPr>
          <w:rFonts w:cs="Arial"/>
          <w:rtl/>
        </w:rPr>
        <w:t>: חזינא להו לכילי דבי רב הונא דמאורתא נגידו, ומצפרא חביטא</w:t>
      </w:r>
      <w:r>
        <w:rPr>
          <w:rStyle w:val="a9"/>
          <w:rFonts w:asciiTheme="minorBidi" w:hAnsiTheme="minorBidi" w:cs="Arial"/>
          <w:rtl/>
        </w:rPr>
        <w:footnoteReference w:id="2348"/>
      </w:r>
      <w:r w:rsidRPr="00B123DA">
        <w:rPr>
          <w:rFonts w:cs="Arial"/>
          <w:rtl/>
        </w:rPr>
        <w:t xml:space="preserve"> רמיא</w:t>
      </w:r>
      <w:r>
        <w:rPr>
          <w:rFonts w:cs="Arial" w:hint="cs"/>
          <w:rtl/>
        </w:rPr>
        <w:t>.</w:t>
      </w:r>
    </w:p>
    <w:p w14:paraId="73D1A4E9" w14:textId="02408243" w:rsidR="00057D98" w:rsidRPr="004E5E90" w:rsidRDefault="00057D98" w:rsidP="00434A6A">
      <w:pPr>
        <w:rPr>
          <w:rFonts w:cs="Arial"/>
          <w:u w:val="single"/>
          <w:rtl/>
        </w:rPr>
      </w:pPr>
      <w:r w:rsidRPr="004E5E90">
        <w:rPr>
          <w:rFonts w:asciiTheme="minorBidi" w:hAnsiTheme="minorBidi" w:hint="cs"/>
          <w:u w:val="single"/>
          <w:rtl/>
        </w:rPr>
        <w:t>השכב</w:t>
      </w:r>
      <w:r w:rsidR="004E5E90" w:rsidRPr="004E5E90">
        <w:rPr>
          <w:rFonts w:asciiTheme="minorBidi" w:hAnsiTheme="minorBidi" w:hint="cs"/>
          <w:u w:val="single"/>
          <w:rtl/>
        </w:rPr>
        <w:t>ת</w:t>
      </w:r>
      <w:r w:rsidRPr="004E5E90">
        <w:rPr>
          <w:rFonts w:asciiTheme="minorBidi" w:hAnsiTheme="minorBidi" w:hint="cs"/>
          <w:u w:val="single"/>
          <w:rtl/>
        </w:rPr>
        <w:t xml:space="preserve"> </w:t>
      </w:r>
      <w:r w:rsidRPr="004E5E90">
        <w:rPr>
          <w:rFonts w:asciiTheme="minorBidi" w:hAnsiTheme="minorBidi"/>
          <w:u w:val="single"/>
          <w:rtl/>
        </w:rPr>
        <w:t>מטה</w:t>
      </w:r>
      <w:r w:rsidRPr="004E5E90">
        <w:rPr>
          <w:rFonts w:asciiTheme="minorBidi" w:hAnsiTheme="minorBidi" w:hint="cs"/>
          <w:u w:val="single"/>
          <w:rtl/>
        </w:rPr>
        <w:t xml:space="preserve"> </w:t>
      </w:r>
      <w:r w:rsidR="008757A5" w:rsidRPr="004E5E90">
        <w:rPr>
          <w:rFonts w:asciiTheme="minorBidi" w:hAnsiTheme="minorBidi" w:hint="cs"/>
          <w:u w:val="single"/>
          <w:rtl/>
        </w:rPr>
        <w:t xml:space="preserve">שהייתה </w:t>
      </w:r>
      <w:r w:rsidRPr="004E5E90">
        <w:rPr>
          <w:rFonts w:asciiTheme="minorBidi" w:hAnsiTheme="minorBidi" w:hint="cs"/>
          <w:u w:val="single"/>
          <w:rtl/>
        </w:rPr>
        <w:t>זקופה</w:t>
      </w:r>
      <w:r w:rsidRPr="004E5E90">
        <w:rPr>
          <w:rFonts w:hint="cs"/>
          <w:u w:val="single"/>
          <w:rtl/>
        </w:rPr>
        <w:t xml:space="preserve"> או מוטה </w:t>
      </w:r>
      <w:r w:rsidR="008757A5" w:rsidRPr="004E5E90">
        <w:rPr>
          <w:rFonts w:hint="cs"/>
          <w:u w:val="single"/>
          <w:rtl/>
        </w:rPr>
        <w:t>על צדה</w:t>
      </w:r>
      <w:r w:rsidR="004E5E90">
        <w:rPr>
          <w:rFonts w:hint="cs"/>
          <w:u w:val="single"/>
          <w:rtl/>
        </w:rPr>
        <w:t xml:space="preserve">, וכן כסא </w:t>
      </w:r>
      <w:r w:rsidR="00332AD9">
        <w:rPr>
          <w:rFonts w:hint="cs"/>
          <w:u w:val="single"/>
          <w:rtl/>
        </w:rPr>
        <w:t>שכשפותחים אותו העור נמתח</w:t>
      </w:r>
      <w:r w:rsidRPr="004E5E90">
        <w:rPr>
          <w:rFonts w:hint="cs"/>
          <w:u w:val="single"/>
          <w:rtl/>
        </w:rPr>
        <w:t>:</w:t>
      </w:r>
    </w:p>
    <w:p w14:paraId="719DC1B9" w14:textId="7FD2084C" w:rsidR="009205DE" w:rsidRPr="00057D98" w:rsidRDefault="00057D98" w:rsidP="00434A6A">
      <w:pPr>
        <w:pStyle w:val="aa"/>
        <w:numPr>
          <w:ilvl w:val="0"/>
          <w:numId w:val="24"/>
        </w:numPr>
        <w:rPr>
          <w:rFonts w:asciiTheme="minorBidi" w:hAnsiTheme="minorBidi"/>
          <w:rtl/>
        </w:rPr>
      </w:pPr>
      <w:r>
        <w:rPr>
          <w:rFonts w:asciiTheme="minorBidi" w:hAnsiTheme="minorBidi" w:cs="Arial" w:hint="cs"/>
          <w:rtl/>
        </w:rPr>
        <w:t xml:space="preserve">טור- </w:t>
      </w:r>
      <w:r w:rsidRPr="00B6715C">
        <w:rPr>
          <w:rFonts w:asciiTheme="minorBidi" w:hAnsiTheme="minorBidi" w:cs="Arial"/>
          <w:rtl/>
        </w:rPr>
        <w:t>אבל מטה כעין שלנו אם היתה זקופה או מוטה על צדה מותר להושיבה על רגליה דלאו מידי עביד</w:t>
      </w:r>
      <w:r>
        <w:rPr>
          <w:rFonts w:asciiTheme="minorBidi" w:hAnsiTheme="minorBidi" w:cs="Arial" w:hint="cs"/>
          <w:rtl/>
        </w:rPr>
        <w:t>.</w:t>
      </w:r>
      <w:r w:rsidRPr="00B6715C">
        <w:rPr>
          <w:rFonts w:asciiTheme="minorBidi" w:hAnsiTheme="minorBidi" w:cs="Arial"/>
          <w:rtl/>
        </w:rPr>
        <w:t xml:space="preserve"> </w:t>
      </w:r>
      <w:r w:rsidRPr="0000707C">
        <w:rPr>
          <w:rFonts w:asciiTheme="minorBidi" w:hAnsiTheme="minorBidi" w:cs="Arial"/>
          <w:rtl/>
        </w:rPr>
        <w:t>וכן כסא העשוי פרקים וכשרוצין לישב עליו פותחין אותו והעור נפתח וכשמסירין אותו סוגרים אותו והעור נכפל מותר לפותחו לכתחלה</w:t>
      </w:r>
      <w:r w:rsidRPr="0000707C">
        <w:rPr>
          <w:rFonts w:asciiTheme="minorBidi" w:hAnsiTheme="minorBidi" w:cs="Arial" w:hint="cs"/>
          <w:rtl/>
        </w:rPr>
        <w:t>.</w:t>
      </w:r>
      <w:r w:rsidRPr="0000707C">
        <w:rPr>
          <w:rFonts w:asciiTheme="minorBidi" w:hAnsiTheme="minorBidi" w:cs="Arial"/>
          <w:rtl/>
        </w:rPr>
        <w:t xml:space="preserve"> </w:t>
      </w:r>
      <w:r w:rsidRPr="00BD6F21">
        <w:rPr>
          <w:rFonts w:cs="Arial" w:hint="cs"/>
          <w:color w:val="E36C0A" w:themeColor="accent6" w:themeShade="BF"/>
          <w:rtl/>
        </w:rPr>
        <w:t>(וכ"פ בשו"ע</w:t>
      </w:r>
      <w:r>
        <w:rPr>
          <w:rFonts w:cs="Arial" w:hint="cs"/>
          <w:color w:val="E36C0A" w:themeColor="accent6" w:themeShade="BF"/>
          <w:sz w:val="16"/>
          <w:szCs w:val="16"/>
          <w:rtl/>
        </w:rPr>
        <w:t xml:space="preserve"> </w:t>
      </w:r>
      <w:r w:rsidRPr="009205DE">
        <w:rPr>
          <w:rFonts w:cs="Arial" w:hint="cs"/>
          <w:color w:val="000000" w:themeColor="text1"/>
          <w:sz w:val="16"/>
          <w:szCs w:val="16"/>
          <w:rtl/>
        </w:rPr>
        <w:t xml:space="preserve">[בסע' </w:t>
      </w:r>
      <w:r w:rsidR="004E5E90">
        <w:rPr>
          <w:rFonts w:cs="Arial" w:hint="cs"/>
          <w:color w:val="000000" w:themeColor="text1"/>
          <w:sz w:val="16"/>
          <w:szCs w:val="16"/>
          <w:rtl/>
        </w:rPr>
        <w:t>ה</w:t>
      </w:r>
      <w:r w:rsidRPr="009205DE">
        <w:rPr>
          <w:rFonts w:cs="Arial" w:hint="cs"/>
          <w:color w:val="000000" w:themeColor="text1"/>
          <w:sz w:val="16"/>
          <w:szCs w:val="16"/>
          <w:rtl/>
        </w:rPr>
        <w:t>]</w:t>
      </w:r>
      <w:r w:rsidRPr="00BD6F21">
        <w:rPr>
          <w:rFonts w:cs="Arial" w:hint="cs"/>
          <w:color w:val="E36C0A" w:themeColor="accent6" w:themeShade="BF"/>
          <w:rtl/>
        </w:rPr>
        <w:t>)</w:t>
      </w:r>
    </w:p>
    <w:p w14:paraId="48699C0D" w14:textId="77777777" w:rsidR="00C44022" w:rsidRPr="005275DF" w:rsidRDefault="00C44022" w:rsidP="00434A6A">
      <w:pPr>
        <w:rPr>
          <w:rFonts w:asciiTheme="minorBidi" w:hAnsiTheme="minorBidi"/>
          <w:rtl/>
        </w:rPr>
      </w:pPr>
      <w:r w:rsidRPr="005275DF">
        <w:rPr>
          <w:rFonts w:asciiTheme="minorBidi" w:hAnsiTheme="minorBidi"/>
          <w:b/>
          <w:bCs/>
          <w:sz w:val="32"/>
          <w:szCs w:val="28"/>
          <w:u w:val="single"/>
          <w:rtl/>
        </w:rPr>
        <w:t xml:space="preserve">שו"ע: </w:t>
      </w:r>
    </w:p>
    <w:p w14:paraId="16946F0C" w14:textId="0F166FEE" w:rsidR="00C44022" w:rsidRDefault="00E1723A" w:rsidP="00434A6A">
      <w:pPr>
        <w:rPr>
          <w:rFonts w:asciiTheme="minorBidi" w:hAnsiTheme="minorBidi"/>
          <w:rtl/>
        </w:rPr>
      </w:pPr>
      <w:r w:rsidRPr="005275DF">
        <w:rPr>
          <w:rFonts w:asciiTheme="minorBidi" w:hAnsiTheme="minorBidi"/>
          <w:rtl/>
        </w:rPr>
        <w:t>מטה שהיא מסורגת</w:t>
      </w:r>
      <w:r w:rsidR="00F22C43">
        <w:rPr>
          <w:rFonts w:asciiTheme="minorBidi" w:hAnsiTheme="minorBidi" w:hint="cs"/>
          <w:rtl/>
        </w:rPr>
        <w:t xml:space="preserve"> </w:t>
      </w:r>
      <w:r w:rsidRPr="005275DF">
        <w:rPr>
          <w:rFonts w:asciiTheme="minorBidi" w:hAnsiTheme="minorBidi"/>
          <w:rtl/>
        </w:rPr>
        <w:t>בחבלים</w:t>
      </w:r>
      <w:r w:rsidR="00F85FFC">
        <w:rPr>
          <w:rStyle w:val="a9"/>
          <w:rFonts w:asciiTheme="minorBidi" w:hAnsiTheme="minorBidi"/>
          <w:rtl/>
        </w:rPr>
        <w:footnoteReference w:id="2349"/>
      </w:r>
      <w:r w:rsidRPr="005275DF">
        <w:rPr>
          <w:rFonts w:asciiTheme="minorBidi" w:hAnsiTheme="minorBidi"/>
          <w:rtl/>
        </w:rPr>
        <w:t xml:space="preserve"> אם יש בין חבל לחבל ג' טפחים</w:t>
      </w:r>
      <w:r w:rsidR="00F22C43">
        <w:rPr>
          <w:rFonts w:asciiTheme="minorBidi" w:hAnsiTheme="minorBidi" w:hint="cs"/>
          <w:rtl/>
        </w:rPr>
        <w:t>,</w:t>
      </w:r>
      <w:r w:rsidR="00C44022" w:rsidRPr="005275DF">
        <w:rPr>
          <w:rFonts w:asciiTheme="minorBidi" w:hAnsiTheme="minorBidi"/>
          <w:rtl/>
        </w:rPr>
        <w:t xml:space="preserve"> אסור ל</w:t>
      </w:r>
      <w:r w:rsidRPr="005275DF">
        <w:rPr>
          <w:rFonts w:asciiTheme="minorBidi" w:hAnsiTheme="minorBidi"/>
          <w:rtl/>
        </w:rPr>
        <w:t>פרוס עליהן סדין</w:t>
      </w:r>
      <w:r w:rsidR="00F85FFC">
        <w:rPr>
          <w:rStyle w:val="a9"/>
          <w:rFonts w:asciiTheme="minorBidi" w:hAnsiTheme="minorBidi"/>
          <w:rtl/>
        </w:rPr>
        <w:footnoteReference w:id="2350"/>
      </w:r>
      <w:r w:rsidR="00F22C43">
        <w:rPr>
          <w:rFonts w:asciiTheme="minorBidi" w:hAnsiTheme="minorBidi" w:hint="cs"/>
          <w:rtl/>
        </w:rPr>
        <w:t>,</w:t>
      </w:r>
      <w:r w:rsidRPr="005275DF">
        <w:rPr>
          <w:rFonts w:asciiTheme="minorBidi" w:hAnsiTheme="minorBidi"/>
          <w:rtl/>
        </w:rPr>
        <w:t xml:space="preserve"> משום דעביד אהלא</w:t>
      </w:r>
      <w:r w:rsidR="00F22C43">
        <w:rPr>
          <w:rFonts w:asciiTheme="minorBidi" w:hAnsiTheme="minorBidi" w:hint="cs"/>
          <w:rtl/>
        </w:rPr>
        <w:t>.</w:t>
      </w:r>
      <w:r w:rsidR="00C44022" w:rsidRPr="005275DF">
        <w:rPr>
          <w:rFonts w:asciiTheme="minorBidi" w:hAnsiTheme="minorBidi"/>
          <w:rtl/>
        </w:rPr>
        <w:t xml:space="preserve"> וכן אסור לסלק בגד</w:t>
      </w:r>
      <w:r w:rsidRPr="005275DF">
        <w:rPr>
          <w:rFonts w:asciiTheme="minorBidi" w:hAnsiTheme="minorBidi"/>
          <w:rtl/>
        </w:rPr>
        <w:t xml:space="preserve"> התחתון מעליה</w:t>
      </w:r>
      <w:r w:rsidR="00F22C43">
        <w:rPr>
          <w:rFonts w:asciiTheme="minorBidi" w:hAnsiTheme="minorBidi" w:hint="cs"/>
          <w:rtl/>
        </w:rPr>
        <w:t>,</w:t>
      </w:r>
      <w:r w:rsidRPr="005275DF">
        <w:rPr>
          <w:rFonts w:asciiTheme="minorBidi" w:hAnsiTheme="minorBidi"/>
          <w:rtl/>
        </w:rPr>
        <w:t xml:space="preserve"> משום דקא סתר אהלא</w:t>
      </w:r>
      <w:r w:rsidR="00F22C43">
        <w:rPr>
          <w:rFonts w:asciiTheme="minorBidi" w:hAnsiTheme="minorBidi" w:hint="cs"/>
          <w:rtl/>
        </w:rPr>
        <w:t>.</w:t>
      </w:r>
      <w:r w:rsidR="00C44022" w:rsidRPr="005275DF">
        <w:rPr>
          <w:rFonts w:asciiTheme="minorBidi" w:hAnsiTheme="minorBidi"/>
          <w:rtl/>
        </w:rPr>
        <w:t xml:space="preserve"> ואם היה </w:t>
      </w:r>
      <w:r w:rsidRPr="005275DF">
        <w:rPr>
          <w:rFonts w:asciiTheme="minorBidi" w:hAnsiTheme="minorBidi"/>
          <w:rtl/>
        </w:rPr>
        <w:t>עליה כר או כסת או בגד פרוס מערב שבת כשיעור טפח</w:t>
      </w:r>
      <w:r w:rsidR="00F22C43">
        <w:rPr>
          <w:rFonts w:asciiTheme="minorBidi" w:hAnsiTheme="minorBidi" w:hint="cs"/>
          <w:rtl/>
        </w:rPr>
        <w:t>,</w:t>
      </w:r>
      <w:r w:rsidR="00C44022" w:rsidRPr="005275DF">
        <w:rPr>
          <w:rFonts w:asciiTheme="minorBidi" w:hAnsiTheme="minorBidi"/>
          <w:rtl/>
        </w:rPr>
        <w:t xml:space="preserve"> מותר לפרוס בשבת על כל המטה. </w:t>
      </w:r>
    </w:p>
    <w:p w14:paraId="0827135D" w14:textId="77777777" w:rsidR="00F85FFC" w:rsidRPr="005275DF" w:rsidRDefault="00F85FFC" w:rsidP="00434A6A">
      <w:pPr>
        <w:rPr>
          <w:rFonts w:asciiTheme="minorBidi" w:hAnsiTheme="minorBidi"/>
          <w:rtl/>
        </w:rPr>
      </w:pPr>
    </w:p>
    <w:p w14:paraId="433F2FC3" w14:textId="4C680889" w:rsidR="009205DE" w:rsidRDefault="00C44022" w:rsidP="00434A6A">
      <w:pPr>
        <w:pStyle w:val="2"/>
        <w:rPr>
          <w:rFonts w:asciiTheme="minorBidi" w:hAnsiTheme="minorBidi" w:cstheme="minorBidi"/>
          <w:rtl/>
        </w:rPr>
      </w:pPr>
      <w:r w:rsidRPr="005275DF">
        <w:rPr>
          <w:rFonts w:asciiTheme="minorBidi" w:hAnsiTheme="minorBidi" w:cstheme="minorBidi"/>
          <w:rtl/>
        </w:rPr>
        <w:t>סעיף ה</w:t>
      </w:r>
      <w:r w:rsidR="00743B31" w:rsidRPr="005275DF">
        <w:rPr>
          <w:rFonts w:asciiTheme="minorBidi" w:hAnsiTheme="minorBidi" w:cstheme="minorBidi"/>
          <w:rtl/>
        </w:rPr>
        <w:t>:</w:t>
      </w:r>
      <w:r w:rsidR="00F3474E" w:rsidRPr="005275DF">
        <w:rPr>
          <w:rFonts w:asciiTheme="minorBidi" w:hAnsiTheme="minorBidi" w:cstheme="minorBidi"/>
          <w:rtl/>
        </w:rPr>
        <w:t xml:space="preserve"> פתיחת כסא טרסקל, ועשיית אוהל ממילא.</w:t>
      </w:r>
    </w:p>
    <w:p w14:paraId="651DCC03" w14:textId="4E12D331" w:rsidR="00F85FFC" w:rsidRPr="00F85FFC" w:rsidRDefault="008757A5" w:rsidP="00434A6A">
      <w:pPr>
        <w:rPr>
          <w:rtl/>
        </w:rPr>
      </w:pPr>
      <w:r>
        <w:rPr>
          <w:rFonts w:hint="cs"/>
          <w:rtl/>
        </w:rPr>
        <w:t>עיין במקורות בסעיף ד'</w:t>
      </w:r>
      <w:r w:rsidR="00F85FFC">
        <w:rPr>
          <w:rFonts w:hint="cs"/>
          <w:rtl/>
        </w:rPr>
        <w:t>.</w:t>
      </w:r>
    </w:p>
    <w:p w14:paraId="3C58429D" w14:textId="77777777" w:rsidR="00C44022" w:rsidRPr="005275DF" w:rsidRDefault="00C44022" w:rsidP="00434A6A">
      <w:pPr>
        <w:rPr>
          <w:rFonts w:asciiTheme="minorBidi" w:hAnsiTheme="minorBidi"/>
          <w:rtl/>
        </w:rPr>
      </w:pPr>
      <w:r w:rsidRPr="005275DF">
        <w:rPr>
          <w:rFonts w:asciiTheme="minorBidi" w:hAnsiTheme="minorBidi"/>
          <w:b/>
          <w:bCs/>
          <w:sz w:val="32"/>
          <w:szCs w:val="28"/>
          <w:u w:val="single"/>
          <w:rtl/>
        </w:rPr>
        <w:t xml:space="preserve">שו"ע: </w:t>
      </w:r>
    </w:p>
    <w:p w14:paraId="2100461F" w14:textId="210DBA6B" w:rsidR="00C44022" w:rsidRPr="005275DF" w:rsidRDefault="00E1723A" w:rsidP="00434A6A">
      <w:pPr>
        <w:rPr>
          <w:rFonts w:asciiTheme="minorBidi" w:hAnsiTheme="minorBidi"/>
          <w:rtl/>
        </w:rPr>
      </w:pPr>
      <w:r w:rsidRPr="005275DF">
        <w:rPr>
          <w:rFonts w:asciiTheme="minorBidi" w:hAnsiTheme="minorBidi"/>
          <w:rtl/>
        </w:rPr>
        <w:t>כסא העשוי פרקים</w:t>
      </w:r>
      <w:r w:rsidR="00C44022" w:rsidRPr="005275DF">
        <w:rPr>
          <w:rFonts w:asciiTheme="minorBidi" w:hAnsiTheme="minorBidi"/>
          <w:rtl/>
        </w:rPr>
        <w:t xml:space="preserve"> וכשרוצים ל</w:t>
      </w:r>
      <w:r w:rsidRPr="005275DF">
        <w:rPr>
          <w:rFonts w:asciiTheme="minorBidi" w:hAnsiTheme="minorBidi"/>
          <w:rtl/>
        </w:rPr>
        <w:t>ישב עליו פותחין אותו והעור נפתח</w:t>
      </w:r>
      <w:r w:rsidR="00F22C43">
        <w:rPr>
          <w:rFonts w:asciiTheme="minorBidi" w:hAnsiTheme="minorBidi" w:hint="cs"/>
          <w:rtl/>
        </w:rPr>
        <w:t>,</w:t>
      </w:r>
      <w:r w:rsidR="00C44022" w:rsidRPr="005275DF">
        <w:rPr>
          <w:rFonts w:asciiTheme="minorBidi" w:hAnsiTheme="minorBidi"/>
          <w:rtl/>
        </w:rPr>
        <w:t xml:space="preserve"> וכשמסיר</w:t>
      </w:r>
      <w:r w:rsidRPr="005275DF">
        <w:rPr>
          <w:rFonts w:asciiTheme="minorBidi" w:hAnsiTheme="minorBidi"/>
          <w:rtl/>
        </w:rPr>
        <w:t>ים אותו סוגרים אותו והעור נכפל</w:t>
      </w:r>
      <w:r w:rsidR="00F22C43">
        <w:rPr>
          <w:rFonts w:asciiTheme="minorBidi" w:hAnsiTheme="minorBidi" w:hint="cs"/>
          <w:rtl/>
        </w:rPr>
        <w:t>,</w:t>
      </w:r>
      <w:r w:rsidR="00C44022" w:rsidRPr="005275DF">
        <w:rPr>
          <w:rFonts w:asciiTheme="minorBidi" w:hAnsiTheme="minorBidi"/>
          <w:rtl/>
        </w:rPr>
        <w:t xml:space="preserve"> מותר לפתחו לכתחלה</w:t>
      </w:r>
      <w:r w:rsidR="008757A5">
        <w:rPr>
          <w:rStyle w:val="a9"/>
          <w:rFonts w:asciiTheme="minorBidi" w:hAnsiTheme="minorBidi"/>
          <w:rtl/>
        </w:rPr>
        <w:footnoteReference w:id="2351"/>
      </w:r>
      <w:r w:rsidR="00C44022" w:rsidRPr="005275DF">
        <w:rPr>
          <w:rFonts w:asciiTheme="minorBidi" w:hAnsiTheme="minorBidi"/>
          <w:rtl/>
        </w:rPr>
        <w:t xml:space="preserve">. </w:t>
      </w:r>
    </w:p>
    <w:p w14:paraId="228ED8DF" w14:textId="77777777" w:rsidR="00C44022" w:rsidRPr="005275DF" w:rsidRDefault="00C44022" w:rsidP="00434A6A">
      <w:pPr>
        <w:rPr>
          <w:rFonts w:asciiTheme="minorBidi" w:hAnsiTheme="minorBidi"/>
          <w:rtl/>
        </w:rPr>
      </w:pPr>
    </w:p>
    <w:p w14:paraId="5D22B309" w14:textId="77777777" w:rsidR="00C44022" w:rsidRPr="005275DF" w:rsidRDefault="00C44022" w:rsidP="00434A6A">
      <w:pPr>
        <w:pStyle w:val="2"/>
        <w:rPr>
          <w:rFonts w:asciiTheme="minorBidi" w:hAnsiTheme="minorBidi" w:cstheme="minorBidi"/>
          <w:rtl/>
        </w:rPr>
      </w:pPr>
      <w:r w:rsidRPr="005275DF">
        <w:rPr>
          <w:rFonts w:asciiTheme="minorBidi" w:hAnsiTheme="minorBidi" w:cstheme="minorBidi"/>
          <w:rtl/>
        </w:rPr>
        <w:t>סעיף ו</w:t>
      </w:r>
      <w:r w:rsidR="00F3474E" w:rsidRPr="005275DF">
        <w:rPr>
          <w:rFonts w:asciiTheme="minorBidi" w:hAnsiTheme="minorBidi" w:cstheme="minorBidi"/>
          <w:rtl/>
        </w:rPr>
        <w:t>:</w:t>
      </w:r>
      <w:r w:rsidR="000437C1" w:rsidRPr="005275DF">
        <w:rPr>
          <w:rFonts w:asciiTheme="minorBidi" w:hAnsiTheme="minorBidi" w:cstheme="minorBidi"/>
          <w:rtl/>
        </w:rPr>
        <w:t xml:space="preserve"> סידור חבית ע"ג שתי חביות אחרות.</w:t>
      </w:r>
    </w:p>
    <w:p w14:paraId="778E7DEA" w14:textId="68856F4B" w:rsidR="00350D72" w:rsidRDefault="00F3474E" w:rsidP="00434A6A">
      <w:pPr>
        <w:rPr>
          <w:rFonts w:asciiTheme="minorBidi" w:hAnsiTheme="minorBidi"/>
          <w:rtl/>
        </w:rPr>
      </w:pPr>
      <w:r w:rsidRPr="005275DF">
        <w:rPr>
          <w:rFonts w:asciiTheme="minorBidi" w:hAnsiTheme="minorBidi"/>
          <w:b/>
          <w:bCs/>
          <w:rtl/>
        </w:rPr>
        <w:t xml:space="preserve">ביצה </w:t>
      </w:r>
      <w:r w:rsidR="008757A5">
        <w:rPr>
          <w:rFonts w:asciiTheme="minorBidi" w:hAnsiTheme="minorBidi" w:hint="cs"/>
          <w:b/>
          <w:bCs/>
          <w:sz w:val="16"/>
          <w:szCs w:val="16"/>
          <w:rtl/>
        </w:rPr>
        <w:t xml:space="preserve">(פ' המביא) </w:t>
      </w:r>
      <w:r w:rsidRPr="005275DF">
        <w:rPr>
          <w:rFonts w:asciiTheme="minorBidi" w:hAnsiTheme="minorBidi"/>
          <w:b/>
          <w:bCs/>
          <w:rtl/>
        </w:rPr>
        <w:t xml:space="preserve">לב ע"ב: </w:t>
      </w:r>
      <w:r w:rsidR="000B231E" w:rsidRPr="005275DF">
        <w:rPr>
          <w:rFonts w:asciiTheme="minorBidi" w:hAnsiTheme="minorBidi"/>
          <w:u w:val="single"/>
          <w:rtl/>
        </w:rPr>
        <w:t>אמר רב נחמן</w:t>
      </w:r>
      <w:r w:rsidR="000B231E" w:rsidRPr="005275DF">
        <w:rPr>
          <w:rFonts w:asciiTheme="minorBidi" w:hAnsiTheme="minorBidi"/>
          <w:rtl/>
        </w:rPr>
        <w:t xml:space="preserve">: אבנים של בית הכסא מותר לצדדן ביום טוב.... בנין קבע אסרה תורה בנין עראי לא אסרה תורה וגזרו רבנן על בנין עראי משום בנין קבע, והכא משום כבודו לא גזרו ביה רבנן. </w:t>
      </w:r>
      <w:r w:rsidRPr="005275DF">
        <w:rPr>
          <w:rFonts w:asciiTheme="minorBidi" w:hAnsiTheme="minorBidi"/>
          <w:u w:val="single"/>
          <w:rtl/>
        </w:rPr>
        <w:t>אמר רב יהודה:</w:t>
      </w:r>
      <w:r w:rsidRPr="005275DF">
        <w:rPr>
          <w:rFonts w:asciiTheme="minorBidi" w:hAnsiTheme="minorBidi"/>
          <w:rtl/>
        </w:rPr>
        <w:t xml:space="preserve"> האי מדורתא, מלמעלה למטה שרי, מלמטה למעלה אסור. וכן ביעתא וכן קדרה וכן פוריא וכן חביתא</w:t>
      </w:r>
      <w:r w:rsidRPr="005275DF">
        <w:rPr>
          <w:rStyle w:val="a9"/>
          <w:rFonts w:asciiTheme="minorBidi" w:hAnsiTheme="minorBidi"/>
          <w:rtl/>
        </w:rPr>
        <w:footnoteReference w:id="2352"/>
      </w:r>
      <w:r w:rsidR="00350D72">
        <w:rPr>
          <w:rFonts w:asciiTheme="minorBidi" w:hAnsiTheme="minorBidi" w:hint="cs"/>
          <w:rtl/>
        </w:rPr>
        <w:t>.</w:t>
      </w:r>
    </w:p>
    <w:p w14:paraId="7503C53A" w14:textId="4DCAA76B" w:rsidR="00100B49" w:rsidRPr="00100B49" w:rsidRDefault="00100B49" w:rsidP="00434A6A">
      <w:pPr>
        <w:rPr>
          <w:rFonts w:asciiTheme="minorBidi" w:hAnsiTheme="minorBidi"/>
          <w:u w:val="single"/>
          <w:rtl/>
        </w:rPr>
      </w:pPr>
      <w:r w:rsidRPr="00100B49">
        <w:rPr>
          <w:rFonts w:asciiTheme="minorBidi" w:hAnsiTheme="minorBidi"/>
          <w:u w:val="single"/>
          <w:rtl/>
        </w:rPr>
        <w:t>סידור חבית ע"ג שתי חביות אחרות</w:t>
      </w:r>
      <w:r w:rsidRPr="00100B49">
        <w:rPr>
          <w:rFonts w:asciiTheme="minorBidi" w:hAnsiTheme="minorBidi" w:hint="cs"/>
          <w:u w:val="single"/>
          <w:rtl/>
        </w:rPr>
        <w:t>:</w:t>
      </w:r>
    </w:p>
    <w:p w14:paraId="21054A4B" w14:textId="24D9FB88" w:rsidR="00FA3754" w:rsidRDefault="00FA3754" w:rsidP="00434A6A">
      <w:pPr>
        <w:pStyle w:val="aa"/>
        <w:numPr>
          <w:ilvl w:val="0"/>
          <w:numId w:val="24"/>
        </w:numPr>
        <w:rPr>
          <w:rFonts w:asciiTheme="minorBidi" w:hAnsiTheme="minorBidi"/>
        </w:rPr>
      </w:pPr>
      <w:r>
        <w:rPr>
          <w:rFonts w:asciiTheme="minorBidi" w:hAnsiTheme="minorBidi" w:cs="Arial" w:hint="cs"/>
          <w:rtl/>
        </w:rPr>
        <w:t xml:space="preserve">טור- </w:t>
      </w:r>
      <w:r w:rsidRPr="00B6715C">
        <w:rPr>
          <w:rFonts w:asciiTheme="minorBidi" w:hAnsiTheme="minorBidi" w:cs="Arial"/>
          <w:rtl/>
        </w:rPr>
        <w:t>וכן כשמסדרין חביות זו ע"ג זו</w:t>
      </w:r>
      <w:r w:rsidR="00943F16">
        <w:rPr>
          <w:rFonts w:asciiTheme="minorBidi" w:hAnsiTheme="minorBidi" w:cs="Arial" w:hint="cs"/>
          <w:rtl/>
        </w:rPr>
        <w:t>,</w:t>
      </w:r>
      <w:r w:rsidRPr="00B6715C">
        <w:rPr>
          <w:rFonts w:asciiTheme="minorBidi" w:hAnsiTheme="minorBidi" w:cs="Arial"/>
          <w:rtl/>
        </w:rPr>
        <w:t xml:space="preserve"> אחד ע"ג שתים</w:t>
      </w:r>
      <w:r w:rsidR="00943F16">
        <w:rPr>
          <w:rFonts w:asciiTheme="minorBidi" w:hAnsiTheme="minorBidi" w:cs="Arial" w:hint="cs"/>
          <w:rtl/>
        </w:rPr>
        <w:t>,</w:t>
      </w:r>
      <w:r w:rsidRPr="00B6715C">
        <w:rPr>
          <w:rFonts w:asciiTheme="minorBidi" w:hAnsiTheme="minorBidi" w:cs="Arial"/>
          <w:rtl/>
        </w:rPr>
        <w:t xml:space="preserve"> אוחז העליונה בידו ויסדר התחתונה תחתיה</w:t>
      </w:r>
      <w:r w:rsidR="00943F16">
        <w:rPr>
          <w:rFonts w:asciiTheme="minorBidi" w:hAnsiTheme="minorBidi" w:cs="Arial" w:hint="cs"/>
          <w:rtl/>
        </w:rPr>
        <w:t>,</w:t>
      </w:r>
      <w:r w:rsidRPr="00B6715C">
        <w:rPr>
          <w:rFonts w:asciiTheme="minorBidi" w:hAnsiTheme="minorBidi" w:cs="Arial"/>
          <w:rtl/>
        </w:rPr>
        <w:t xml:space="preserve"> אבל לא יסדר התחתונה תחלה ויניח העליונה עליה</w:t>
      </w:r>
      <w:r w:rsidR="00CE34E0">
        <w:rPr>
          <w:rFonts w:asciiTheme="minorBidi" w:hAnsiTheme="minorBidi" w:cs="Arial" w:hint="cs"/>
          <w:rtl/>
        </w:rPr>
        <w:t>.</w:t>
      </w:r>
      <w:r w:rsidRPr="00B6715C">
        <w:rPr>
          <w:rFonts w:asciiTheme="minorBidi" w:hAnsiTheme="minorBidi" w:cs="Arial"/>
          <w:rtl/>
        </w:rPr>
        <w:t xml:space="preserve"> אבל אבנים של בית הכסא מותר לסדרן</w:t>
      </w:r>
      <w:r w:rsidR="00CE34E0" w:rsidRPr="005275DF">
        <w:rPr>
          <w:rStyle w:val="a9"/>
          <w:rFonts w:asciiTheme="minorBidi" w:hAnsiTheme="minorBidi"/>
          <w:rtl/>
        </w:rPr>
        <w:footnoteReference w:id="2353"/>
      </w:r>
      <w:r w:rsidR="00CE34E0">
        <w:rPr>
          <w:rFonts w:asciiTheme="minorBidi" w:hAnsiTheme="minorBidi" w:cs="Arial" w:hint="cs"/>
          <w:rtl/>
        </w:rPr>
        <w:t>.</w:t>
      </w:r>
      <w:r w:rsidRPr="00B6715C">
        <w:rPr>
          <w:rFonts w:asciiTheme="minorBidi" w:hAnsiTheme="minorBidi" w:cs="Arial"/>
          <w:rtl/>
        </w:rPr>
        <w:t xml:space="preserve"> </w:t>
      </w:r>
      <w:r w:rsidR="00943F16" w:rsidRPr="00943F16">
        <w:rPr>
          <w:rFonts w:asciiTheme="minorBidi" w:hAnsiTheme="minorBidi" w:hint="cs"/>
          <w:color w:val="E36C0A" w:themeColor="accent6" w:themeShade="BF"/>
          <w:rtl/>
        </w:rPr>
        <w:t>(וכ"פ בשו"ע)</w:t>
      </w:r>
    </w:p>
    <w:p w14:paraId="1C810394" w14:textId="61EB3AFF" w:rsidR="00916B81" w:rsidRDefault="00916B81" w:rsidP="00434A6A">
      <w:pPr>
        <w:pStyle w:val="aa"/>
        <w:numPr>
          <w:ilvl w:val="0"/>
          <w:numId w:val="24"/>
        </w:numPr>
        <w:rPr>
          <w:rFonts w:asciiTheme="minorBidi" w:hAnsiTheme="minorBidi"/>
        </w:rPr>
      </w:pPr>
      <w:r>
        <w:rPr>
          <w:rFonts w:asciiTheme="minorBidi" w:hAnsiTheme="minorBidi" w:cs="Arial" w:hint="cs"/>
          <w:rtl/>
        </w:rPr>
        <w:t xml:space="preserve">תוס' </w:t>
      </w:r>
      <w:r>
        <w:rPr>
          <w:rFonts w:asciiTheme="minorBidi" w:hAnsiTheme="minorBidi" w:cs="Arial" w:hint="cs"/>
          <w:sz w:val="16"/>
          <w:szCs w:val="16"/>
          <w:rtl/>
        </w:rPr>
        <w:t>(קלח. ד"ה כסא טרסקל)</w:t>
      </w:r>
      <w:r>
        <w:rPr>
          <w:rFonts w:asciiTheme="minorBidi" w:hAnsiTheme="minorBidi" w:cs="Arial" w:hint="cs"/>
          <w:rtl/>
        </w:rPr>
        <w:t xml:space="preserve">- </w:t>
      </w:r>
      <w:r w:rsidRPr="00916B81">
        <w:rPr>
          <w:rFonts w:asciiTheme="minorBidi" w:hAnsiTheme="minorBidi" w:cs="Arial"/>
          <w:rtl/>
        </w:rPr>
        <w:t>כל הנהו דאסרינן בביצה אומר ר"ת דדווקא דברים שיש להם מחיצה עד לארץ</w:t>
      </w:r>
      <w:r>
        <w:rPr>
          <w:rFonts w:asciiTheme="minorBidi" w:hAnsiTheme="minorBidi" w:cs="Arial" w:hint="cs"/>
          <w:rtl/>
        </w:rPr>
        <w:t>,</w:t>
      </w:r>
      <w:r w:rsidRPr="00916B81">
        <w:rPr>
          <w:rFonts w:asciiTheme="minorBidi" w:hAnsiTheme="minorBidi" w:cs="Arial"/>
          <w:rtl/>
        </w:rPr>
        <w:t xml:space="preserve"> אבל להושיב הקדרה על טרפיד בי</w:t>
      </w:r>
      <w:r>
        <w:rPr>
          <w:rFonts w:asciiTheme="minorBidi" w:hAnsiTheme="minorBidi" w:cs="Arial" w:hint="cs"/>
          <w:rtl/>
        </w:rPr>
        <w:t>ו</w:t>
      </w:r>
      <w:r w:rsidRPr="00916B81">
        <w:rPr>
          <w:rFonts w:asciiTheme="minorBidi" w:hAnsiTheme="minorBidi" w:cs="Arial"/>
          <w:rtl/>
        </w:rPr>
        <w:t>"ט שרי אפילו מלמטה למעלה להביא הטרפיד תחילה ואח</w:t>
      </w:r>
      <w:r>
        <w:rPr>
          <w:rFonts w:asciiTheme="minorBidi" w:hAnsiTheme="minorBidi" w:cs="Arial" w:hint="cs"/>
          <w:rtl/>
        </w:rPr>
        <w:t>"</w:t>
      </w:r>
      <w:r w:rsidRPr="00916B81">
        <w:rPr>
          <w:rFonts w:asciiTheme="minorBidi" w:hAnsiTheme="minorBidi" w:cs="Arial"/>
          <w:rtl/>
        </w:rPr>
        <w:t>כ להושיב הקדרה</w:t>
      </w:r>
      <w:r>
        <w:rPr>
          <w:rFonts w:asciiTheme="minorBidi" w:hAnsiTheme="minorBidi" w:cs="Arial" w:hint="cs"/>
          <w:rtl/>
        </w:rPr>
        <w:t>,</w:t>
      </w:r>
      <w:r w:rsidRPr="00916B81">
        <w:rPr>
          <w:rFonts w:asciiTheme="minorBidi" w:hAnsiTheme="minorBidi" w:cs="Arial"/>
          <w:rtl/>
        </w:rPr>
        <w:t xml:space="preserve"> וכן להושיב השולחן על גבי ספסלין</w:t>
      </w:r>
      <w:r>
        <w:rPr>
          <w:rFonts w:asciiTheme="minorBidi" w:hAnsiTheme="minorBidi" w:cs="Arial" w:hint="cs"/>
          <w:rtl/>
        </w:rPr>
        <w:t>,</w:t>
      </w:r>
      <w:r w:rsidRPr="00916B81">
        <w:rPr>
          <w:rFonts w:asciiTheme="minorBidi" w:hAnsiTheme="minorBidi" w:cs="Arial"/>
          <w:rtl/>
        </w:rPr>
        <w:t xml:space="preserve"> וביעתא וקידרא וחביתא ופוריא </w:t>
      </w:r>
      <w:r>
        <w:rPr>
          <w:rFonts w:asciiTheme="minorBidi" w:hAnsiTheme="minorBidi" w:cs="Arial" w:hint="cs"/>
          <w:rtl/>
        </w:rPr>
        <w:t xml:space="preserve">- </w:t>
      </w:r>
      <w:r w:rsidRPr="00916B81">
        <w:rPr>
          <w:rFonts w:asciiTheme="minorBidi" w:hAnsiTheme="minorBidi" w:cs="Arial"/>
          <w:rtl/>
        </w:rPr>
        <w:t>י"ל שיש להם מחיצה, מ</w:t>
      </w:r>
      <w:r>
        <w:rPr>
          <w:rFonts w:asciiTheme="minorBidi" w:hAnsiTheme="minorBidi" w:cs="Arial" w:hint="cs"/>
          <w:rtl/>
        </w:rPr>
        <w:t xml:space="preserve">פי </w:t>
      </w:r>
      <w:r w:rsidRPr="00916B81">
        <w:rPr>
          <w:rFonts w:asciiTheme="minorBidi" w:hAnsiTheme="minorBidi" w:cs="Arial"/>
          <w:rtl/>
        </w:rPr>
        <w:t>ר</w:t>
      </w:r>
      <w:r>
        <w:rPr>
          <w:rFonts w:asciiTheme="minorBidi" w:hAnsiTheme="minorBidi" w:cs="Arial" w:hint="cs"/>
          <w:rtl/>
        </w:rPr>
        <w:t>בי</w:t>
      </w:r>
      <w:r>
        <w:rPr>
          <w:rFonts w:asciiTheme="minorBidi" w:hAnsiTheme="minorBidi" w:hint="cs"/>
          <w:rtl/>
        </w:rPr>
        <w:t>.</w:t>
      </w:r>
    </w:p>
    <w:p w14:paraId="18434518" w14:textId="093CE287" w:rsidR="00EF743C" w:rsidRDefault="00EF743C" w:rsidP="00434A6A">
      <w:pPr>
        <w:pStyle w:val="aa"/>
        <w:numPr>
          <w:ilvl w:val="0"/>
          <w:numId w:val="24"/>
        </w:numPr>
        <w:rPr>
          <w:rFonts w:asciiTheme="minorBidi" w:hAnsiTheme="minorBidi"/>
        </w:rPr>
      </w:pPr>
      <w:r>
        <w:rPr>
          <w:rFonts w:asciiTheme="minorBidi" w:hAnsiTheme="minorBidi" w:cs="Arial" w:hint="cs"/>
          <w:rtl/>
        </w:rPr>
        <w:t xml:space="preserve">רשב"א </w:t>
      </w:r>
      <w:r>
        <w:rPr>
          <w:rFonts w:asciiTheme="minorBidi" w:hAnsiTheme="minorBidi" w:cs="Arial" w:hint="cs"/>
          <w:sz w:val="16"/>
          <w:szCs w:val="16"/>
          <w:rtl/>
        </w:rPr>
        <w:t>(ביצה לג. ד"ה וכן ביעתא</w:t>
      </w:r>
      <w:r w:rsidR="00943F16">
        <w:rPr>
          <w:rFonts w:asciiTheme="minorBidi" w:hAnsiTheme="minorBidi" w:cs="Arial" w:hint="cs"/>
          <w:sz w:val="16"/>
          <w:szCs w:val="16"/>
          <w:rtl/>
        </w:rPr>
        <w:t>, העתיק הטור דבריו</w:t>
      </w:r>
      <w:r>
        <w:rPr>
          <w:rFonts w:asciiTheme="minorBidi" w:hAnsiTheme="minorBidi" w:cs="Arial" w:hint="cs"/>
          <w:sz w:val="16"/>
          <w:szCs w:val="16"/>
          <w:rtl/>
        </w:rPr>
        <w:t>)</w:t>
      </w:r>
      <w:r w:rsidR="0070796E">
        <w:rPr>
          <w:rFonts w:asciiTheme="minorBidi" w:hAnsiTheme="minorBidi" w:cs="Arial" w:hint="cs"/>
          <w:rtl/>
        </w:rPr>
        <w:t xml:space="preserve"> ור"ן</w:t>
      </w:r>
      <w:r w:rsidR="00BF3BC1">
        <w:rPr>
          <w:rFonts w:asciiTheme="minorBidi" w:hAnsiTheme="minorBidi" w:cs="Arial" w:hint="cs"/>
          <w:rtl/>
        </w:rPr>
        <w:t xml:space="preserve"> </w:t>
      </w:r>
      <w:r w:rsidR="00BF3BC1">
        <w:rPr>
          <w:rFonts w:asciiTheme="minorBidi" w:hAnsiTheme="minorBidi" w:cs="Arial" w:hint="cs"/>
          <w:sz w:val="16"/>
          <w:szCs w:val="16"/>
          <w:rtl/>
        </w:rPr>
        <w:t>(יח. ד"ה האי מדורתא)</w:t>
      </w:r>
      <w:r>
        <w:rPr>
          <w:rFonts w:asciiTheme="minorBidi" w:hAnsiTheme="minorBidi" w:cs="Arial" w:hint="cs"/>
          <w:rtl/>
        </w:rPr>
        <w:t xml:space="preserve">- </w:t>
      </w:r>
      <w:r w:rsidRPr="00EF743C">
        <w:rPr>
          <w:rFonts w:asciiTheme="minorBidi" w:hAnsiTheme="minorBidi" w:cs="Arial"/>
          <w:rtl/>
        </w:rPr>
        <w:t>לא אמרו כאן אלא שלא ליתן ביצה מכאן וביצה מכאן וביצה על גביהם שזה כבנין שעושין מחיצות ואח"כ נותן את התקרה וכענין פוריא, ואמרו בתוספות</w:t>
      </w:r>
      <w:r w:rsidR="00BA7D72">
        <w:rPr>
          <w:rStyle w:val="a9"/>
          <w:rFonts w:asciiTheme="minorBidi" w:hAnsiTheme="minorBidi" w:cs="Arial"/>
          <w:rtl/>
        </w:rPr>
        <w:footnoteReference w:id="2354"/>
      </w:r>
      <w:r w:rsidRPr="00EF743C">
        <w:rPr>
          <w:rFonts w:asciiTheme="minorBidi" w:hAnsiTheme="minorBidi" w:cs="Arial"/>
          <w:rtl/>
        </w:rPr>
        <w:t xml:space="preserve"> דאפילו בכי הא לא אמרו אלא כשצריך לאויר של מ</w:t>
      </w:r>
      <w:r w:rsidR="00194683">
        <w:rPr>
          <w:rFonts w:asciiTheme="minorBidi" w:hAnsiTheme="minorBidi" w:cs="Arial" w:hint="cs"/>
          <w:rtl/>
        </w:rPr>
        <w:t>ַ</w:t>
      </w:r>
      <w:r w:rsidRPr="00EF743C">
        <w:rPr>
          <w:rFonts w:asciiTheme="minorBidi" w:hAnsiTheme="minorBidi" w:cs="Arial"/>
          <w:rtl/>
        </w:rPr>
        <w:t>ט</w:t>
      </w:r>
      <w:r w:rsidR="00943F16">
        <w:rPr>
          <w:rFonts w:asciiTheme="minorBidi" w:hAnsiTheme="minorBidi" w:cs="Arial" w:hint="cs"/>
          <w:rtl/>
        </w:rPr>
        <w:t>ַ</w:t>
      </w:r>
      <w:r w:rsidRPr="00EF743C">
        <w:rPr>
          <w:rFonts w:asciiTheme="minorBidi" w:hAnsiTheme="minorBidi" w:cs="Arial"/>
          <w:rtl/>
        </w:rPr>
        <w:t>ה</w:t>
      </w:r>
      <w:r w:rsidR="00194683">
        <w:rPr>
          <w:rFonts w:asciiTheme="minorBidi" w:hAnsiTheme="minorBidi" w:cs="Arial" w:hint="cs"/>
          <w:rtl/>
        </w:rPr>
        <w:t>,</w:t>
      </w:r>
      <w:r w:rsidRPr="00EF743C">
        <w:rPr>
          <w:rFonts w:asciiTheme="minorBidi" w:hAnsiTheme="minorBidi" w:cs="Arial"/>
          <w:rtl/>
        </w:rPr>
        <w:t xml:space="preserve"> אבל במה שאין צריך לאויר לא, וע"כ כתבו שמותר להניח ספר מכאן וספר מכאן וספר על גביהם לפי שאין צורך לאויר שתחתיהם</w:t>
      </w:r>
      <w:r w:rsidR="00194683">
        <w:rPr>
          <w:rFonts w:asciiTheme="minorBidi" w:hAnsiTheme="minorBidi" w:cs="Arial" w:hint="cs"/>
          <w:sz w:val="16"/>
          <w:szCs w:val="16"/>
          <w:rtl/>
        </w:rPr>
        <w:t xml:space="preserve"> (ל' הרשב"א)</w:t>
      </w:r>
      <w:r w:rsidRPr="00EF743C">
        <w:rPr>
          <w:rFonts w:asciiTheme="minorBidi" w:hAnsiTheme="minorBidi" w:cs="Arial"/>
          <w:rtl/>
        </w:rPr>
        <w:t>.</w:t>
      </w:r>
      <w:r w:rsidR="007C771D">
        <w:rPr>
          <w:rFonts w:asciiTheme="minorBidi" w:hAnsiTheme="minorBidi" w:hint="cs"/>
          <w:rtl/>
        </w:rPr>
        <w:t xml:space="preserve"> </w:t>
      </w:r>
      <w:r w:rsidR="007C771D" w:rsidRPr="007C771D">
        <w:rPr>
          <w:rFonts w:asciiTheme="minorBidi" w:hAnsiTheme="minorBidi" w:hint="cs"/>
          <w:color w:val="00B0F0"/>
          <w:rtl/>
        </w:rPr>
        <w:t>(וכ"פ הרמ"א</w:t>
      </w:r>
      <w:r w:rsidR="007C771D">
        <w:rPr>
          <w:rFonts w:asciiTheme="minorBidi" w:hAnsiTheme="minorBidi" w:hint="cs"/>
          <w:color w:val="00B0F0"/>
          <w:sz w:val="16"/>
          <w:szCs w:val="16"/>
          <w:rtl/>
        </w:rPr>
        <w:t xml:space="preserve"> </w:t>
      </w:r>
      <w:r w:rsidR="007C771D" w:rsidRPr="007C771D">
        <w:rPr>
          <w:rFonts w:asciiTheme="minorBidi" w:hAnsiTheme="minorBidi" w:hint="cs"/>
          <w:color w:val="000000" w:themeColor="text1"/>
          <w:sz w:val="16"/>
          <w:szCs w:val="16"/>
          <w:rtl/>
        </w:rPr>
        <w:t>[בסע' ז]</w:t>
      </w:r>
      <w:r w:rsidR="007C771D" w:rsidRPr="007C771D">
        <w:rPr>
          <w:rFonts w:asciiTheme="minorBidi" w:hAnsiTheme="minorBidi" w:hint="cs"/>
          <w:color w:val="00B0F0"/>
          <w:rtl/>
        </w:rPr>
        <w:t>)</w:t>
      </w:r>
    </w:p>
    <w:p w14:paraId="5625965C" w14:textId="77777777" w:rsidR="00C44022" w:rsidRPr="005275DF" w:rsidRDefault="00C44022" w:rsidP="00434A6A">
      <w:pPr>
        <w:rPr>
          <w:rFonts w:asciiTheme="minorBidi" w:hAnsiTheme="minorBidi"/>
          <w:rtl/>
        </w:rPr>
      </w:pPr>
      <w:r w:rsidRPr="005275DF">
        <w:rPr>
          <w:rFonts w:asciiTheme="minorBidi" w:hAnsiTheme="minorBidi"/>
          <w:b/>
          <w:bCs/>
          <w:sz w:val="32"/>
          <w:szCs w:val="28"/>
          <w:u w:val="single"/>
          <w:rtl/>
        </w:rPr>
        <w:t xml:space="preserve">שו"ע: </w:t>
      </w:r>
    </w:p>
    <w:p w14:paraId="7B06314B" w14:textId="4F7F0C95" w:rsidR="00C44022" w:rsidRPr="005275DF" w:rsidRDefault="00E1723A" w:rsidP="00434A6A">
      <w:pPr>
        <w:rPr>
          <w:rFonts w:asciiTheme="minorBidi" w:hAnsiTheme="minorBidi"/>
          <w:rtl/>
        </w:rPr>
      </w:pPr>
      <w:r w:rsidRPr="005275DF">
        <w:rPr>
          <w:rFonts w:asciiTheme="minorBidi" w:hAnsiTheme="minorBidi"/>
          <w:rtl/>
        </w:rPr>
        <w:t>כשמסדרים חביות זו על גבי זו</w:t>
      </w:r>
      <w:r w:rsidR="0070796E">
        <w:rPr>
          <w:rFonts w:asciiTheme="minorBidi" w:hAnsiTheme="minorBidi" w:hint="cs"/>
          <w:rtl/>
        </w:rPr>
        <w:t>,</w:t>
      </w:r>
      <w:r w:rsidRPr="005275DF">
        <w:rPr>
          <w:rFonts w:asciiTheme="minorBidi" w:hAnsiTheme="minorBidi"/>
          <w:rtl/>
        </w:rPr>
        <w:t xml:space="preserve"> אחת על גבי שתים</w:t>
      </w:r>
      <w:r w:rsidR="0070796E">
        <w:rPr>
          <w:rFonts w:asciiTheme="minorBidi" w:hAnsiTheme="minorBidi" w:hint="cs"/>
          <w:rtl/>
        </w:rPr>
        <w:t>,</w:t>
      </w:r>
      <w:r w:rsidR="00C44022" w:rsidRPr="005275DF">
        <w:rPr>
          <w:rFonts w:asciiTheme="minorBidi" w:hAnsiTheme="minorBidi"/>
          <w:rtl/>
        </w:rPr>
        <w:t xml:space="preserve"> אוחז בי</w:t>
      </w:r>
      <w:r w:rsidRPr="005275DF">
        <w:rPr>
          <w:rFonts w:asciiTheme="minorBidi" w:hAnsiTheme="minorBidi"/>
          <w:rtl/>
        </w:rPr>
        <w:t>דו העליונה ויסדר התחתונות תחתיה</w:t>
      </w:r>
      <w:r w:rsidR="0070796E">
        <w:rPr>
          <w:rFonts w:asciiTheme="minorBidi" w:hAnsiTheme="minorBidi" w:hint="cs"/>
          <w:rtl/>
        </w:rPr>
        <w:t>,</w:t>
      </w:r>
      <w:r w:rsidR="00C44022" w:rsidRPr="005275DF">
        <w:rPr>
          <w:rFonts w:asciiTheme="minorBidi" w:hAnsiTheme="minorBidi"/>
          <w:rtl/>
        </w:rPr>
        <w:t xml:space="preserve"> אבל לא יסדר התחתונות תחלה ויניח העליונה עליהן. </w:t>
      </w:r>
    </w:p>
    <w:p w14:paraId="7C9B7EDD" w14:textId="1A1538E5" w:rsidR="005B2660" w:rsidRPr="00D31228" w:rsidRDefault="005B2660" w:rsidP="00434A6A">
      <w:pPr>
        <w:rPr>
          <w:rFonts w:asciiTheme="minorBidi" w:hAnsiTheme="minorBidi"/>
          <w:u w:val="single"/>
          <w:rtl/>
        </w:rPr>
      </w:pPr>
      <w:r w:rsidRPr="00D31228">
        <w:rPr>
          <w:rFonts w:asciiTheme="minorBidi" w:hAnsiTheme="minorBidi" w:hint="cs"/>
          <w:u w:val="single"/>
          <w:rtl/>
        </w:rPr>
        <w:t xml:space="preserve">קשה היאך פסק השו"ע כאן </w:t>
      </w:r>
      <w:r>
        <w:rPr>
          <w:rFonts w:asciiTheme="minorBidi" w:hAnsiTheme="minorBidi" w:hint="cs"/>
          <w:u w:val="single"/>
          <w:rtl/>
        </w:rPr>
        <w:t xml:space="preserve">לכאורה </w:t>
      </w:r>
      <w:r w:rsidRPr="00D31228">
        <w:rPr>
          <w:rFonts w:asciiTheme="minorBidi" w:hAnsiTheme="minorBidi" w:hint="cs"/>
          <w:u w:val="single"/>
          <w:rtl/>
        </w:rPr>
        <w:t>כהרשב"א</w:t>
      </w:r>
      <w:r>
        <w:rPr>
          <w:rFonts w:asciiTheme="minorBidi" w:hAnsiTheme="minorBidi" w:hint="cs"/>
          <w:u w:val="single"/>
          <w:rtl/>
        </w:rPr>
        <w:t xml:space="preserve"> </w:t>
      </w:r>
      <w:r>
        <w:rPr>
          <w:rFonts w:asciiTheme="minorBidi" w:hAnsiTheme="minorBidi" w:hint="cs"/>
          <w:sz w:val="16"/>
          <w:szCs w:val="16"/>
          <w:u w:val="single"/>
          <w:rtl/>
        </w:rPr>
        <w:t>(אע"ג שאין להן ד' מחיצות)</w:t>
      </w:r>
      <w:r w:rsidRPr="005B2660">
        <w:rPr>
          <w:rFonts w:asciiTheme="minorBidi" w:hAnsiTheme="minorBidi" w:hint="cs"/>
          <w:u w:val="single"/>
          <w:rtl/>
        </w:rPr>
        <w:t xml:space="preserve"> </w:t>
      </w:r>
      <w:r>
        <w:rPr>
          <w:rFonts w:asciiTheme="minorBidi" w:hAnsiTheme="minorBidi" w:hint="cs"/>
          <w:u w:val="single"/>
          <w:rtl/>
        </w:rPr>
        <w:t xml:space="preserve">ובסע' </w:t>
      </w:r>
      <w:r w:rsidR="00BC26F5">
        <w:rPr>
          <w:rFonts w:asciiTheme="minorBidi" w:hAnsiTheme="minorBidi" w:hint="cs"/>
          <w:u w:val="single"/>
          <w:rtl/>
        </w:rPr>
        <w:t>ג</w:t>
      </w:r>
      <w:r>
        <w:rPr>
          <w:rFonts w:asciiTheme="minorBidi" w:hAnsiTheme="minorBidi" w:hint="cs"/>
          <w:u w:val="single"/>
          <w:rtl/>
        </w:rPr>
        <w:t>' פסק כהתוס'</w:t>
      </w:r>
      <w:r>
        <w:rPr>
          <w:rFonts w:asciiTheme="minorBidi" w:hAnsiTheme="minorBidi" w:hint="cs"/>
          <w:sz w:val="16"/>
          <w:szCs w:val="16"/>
          <w:u w:val="single"/>
          <w:rtl/>
        </w:rPr>
        <w:t xml:space="preserve"> (שאסור רק במטה עם מחיצות)</w:t>
      </w:r>
      <w:r w:rsidRPr="00D31228">
        <w:rPr>
          <w:rFonts w:asciiTheme="minorBidi" w:hAnsiTheme="minorBidi" w:hint="cs"/>
          <w:u w:val="single"/>
          <w:rtl/>
        </w:rPr>
        <w:t>:</w:t>
      </w:r>
    </w:p>
    <w:p w14:paraId="745EE768" w14:textId="701DA1BC" w:rsidR="005B2660" w:rsidRDefault="005B2660" w:rsidP="00434A6A">
      <w:pPr>
        <w:pStyle w:val="aa"/>
        <w:numPr>
          <w:ilvl w:val="0"/>
          <w:numId w:val="26"/>
        </w:numPr>
        <w:rPr>
          <w:rFonts w:asciiTheme="minorBidi" w:hAnsiTheme="minorBidi"/>
        </w:rPr>
      </w:pPr>
      <w:r w:rsidRPr="007A6ABD">
        <w:rPr>
          <w:rFonts w:asciiTheme="minorBidi" w:hAnsiTheme="minorBidi" w:hint="cs"/>
          <w:rtl/>
        </w:rPr>
        <w:t>ט"ז</w:t>
      </w:r>
      <w:r w:rsidRPr="007A6ABD">
        <w:rPr>
          <w:rFonts w:asciiTheme="minorBidi" w:hAnsiTheme="minorBidi" w:hint="cs"/>
          <w:sz w:val="16"/>
          <w:szCs w:val="16"/>
          <w:rtl/>
        </w:rPr>
        <w:t xml:space="preserve"> (סק"ד)</w:t>
      </w:r>
      <w:r w:rsidRPr="007A6ABD">
        <w:rPr>
          <w:rFonts w:asciiTheme="minorBidi" w:hAnsiTheme="minorBidi" w:hint="cs"/>
          <w:rtl/>
        </w:rPr>
        <w:t xml:space="preserve">- </w:t>
      </w:r>
      <w:r w:rsidRPr="007A6ABD">
        <w:rPr>
          <w:rFonts w:asciiTheme="minorBidi" w:hAnsiTheme="minorBidi" w:cs="Arial"/>
          <w:rtl/>
        </w:rPr>
        <w:t>ונ"ל דודאי עיקר תלוי במה שצריך לאויר שתחתיו</w:t>
      </w:r>
      <w:r w:rsidRPr="007A6ABD">
        <w:rPr>
          <w:rFonts w:asciiTheme="minorBidi" w:hAnsiTheme="minorBidi" w:cs="Arial" w:hint="cs"/>
          <w:rtl/>
        </w:rPr>
        <w:t>,</w:t>
      </w:r>
      <w:r w:rsidRPr="007A6ABD">
        <w:rPr>
          <w:rFonts w:asciiTheme="minorBidi" w:hAnsiTheme="minorBidi" w:cs="Arial"/>
          <w:rtl/>
        </w:rPr>
        <w:t xml:space="preserve"> ע</w:t>
      </w:r>
      <w:r w:rsidRPr="007A6ABD">
        <w:rPr>
          <w:rFonts w:asciiTheme="minorBidi" w:hAnsiTheme="minorBidi" w:cs="Arial" w:hint="cs"/>
          <w:rtl/>
        </w:rPr>
        <w:t xml:space="preserve">ל </w:t>
      </w:r>
      <w:r w:rsidRPr="007A6ABD">
        <w:rPr>
          <w:rFonts w:asciiTheme="minorBidi" w:hAnsiTheme="minorBidi" w:cs="Arial"/>
          <w:rtl/>
        </w:rPr>
        <w:t>כ</w:t>
      </w:r>
      <w:r w:rsidRPr="007A6ABD">
        <w:rPr>
          <w:rFonts w:asciiTheme="minorBidi" w:hAnsiTheme="minorBidi" w:cs="Arial" w:hint="cs"/>
          <w:rtl/>
        </w:rPr>
        <w:t>ן</w:t>
      </w:r>
      <w:r w:rsidRPr="007A6ABD">
        <w:rPr>
          <w:rFonts w:asciiTheme="minorBidi" w:hAnsiTheme="minorBidi" w:cs="Arial"/>
          <w:rtl/>
        </w:rPr>
        <w:t xml:space="preserve"> אם יש ד' דפנות מלמטה אז ודאי ראוי להשתמש שם בכל מילי</w:t>
      </w:r>
      <w:r w:rsidRPr="007A6ABD">
        <w:rPr>
          <w:rFonts w:asciiTheme="minorBidi" w:hAnsiTheme="minorBidi" w:cs="Arial" w:hint="cs"/>
          <w:rtl/>
        </w:rPr>
        <w:t>,</w:t>
      </w:r>
      <w:r w:rsidRPr="007A6ABD">
        <w:rPr>
          <w:rFonts w:asciiTheme="minorBidi" w:hAnsiTheme="minorBidi" w:cs="Arial"/>
          <w:rtl/>
        </w:rPr>
        <w:t xml:space="preserve"> דהוא כמו תיבה ויכול להניח ולהצניע שם מה שירצה</w:t>
      </w:r>
      <w:r w:rsidRPr="007A6ABD">
        <w:rPr>
          <w:rFonts w:asciiTheme="minorBidi" w:hAnsiTheme="minorBidi" w:cs="Arial" w:hint="cs"/>
          <w:rtl/>
        </w:rPr>
        <w:t>.</w:t>
      </w:r>
      <w:r w:rsidRPr="007A6ABD">
        <w:rPr>
          <w:rFonts w:asciiTheme="minorBidi" w:hAnsiTheme="minorBidi" w:cs="Arial"/>
          <w:rtl/>
        </w:rPr>
        <w:t xml:space="preserve"> אבל אם אין שם אלא ב' מחיצות מחוברות לארץ</w:t>
      </w:r>
      <w:r w:rsidRPr="007A6ABD">
        <w:rPr>
          <w:rFonts w:asciiTheme="minorBidi" w:hAnsiTheme="minorBidi" w:cs="Arial" w:hint="cs"/>
          <w:rtl/>
        </w:rPr>
        <w:t>,</w:t>
      </w:r>
      <w:r w:rsidRPr="007A6ABD">
        <w:rPr>
          <w:rFonts w:asciiTheme="minorBidi" w:hAnsiTheme="minorBidi" w:cs="Arial"/>
          <w:rtl/>
        </w:rPr>
        <w:t xml:space="preserve"> אז אין ראוי להצניע שם</w:t>
      </w:r>
      <w:r w:rsidRPr="007A6ABD">
        <w:rPr>
          <w:rFonts w:asciiTheme="minorBidi" w:hAnsiTheme="minorBidi" w:cs="Arial" w:hint="cs"/>
          <w:rtl/>
        </w:rPr>
        <w:t>,</w:t>
      </w:r>
      <w:r w:rsidRPr="007A6ABD">
        <w:rPr>
          <w:rFonts w:asciiTheme="minorBidi" w:hAnsiTheme="minorBidi" w:cs="Arial"/>
          <w:rtl/>
        </w:rPr>
        <w:t xml:space="preserve"> כיון שמב' צדדים הוא פתוח</w:t>
      </w:r>
      <w:r w:rsidRPr="007A6ABD">
        <w:rPr>
          <w:rFonts w:asciiTheme="minorBidi" w:hAnsiTheme="minorBidi" w:cs="Arial" w:hint="cs"/>
          <w:rtl/>
        </w:rPr>
        <w:t>,</w:t>
      </w:r>
      <w:r w:rsidRPr="007A6ABD">
        <w:rPr>
          <w:rFonts w:asciiTheme="minorBidi" w:hAnsiTheme="minorBidi" w:cs="Arial"/>
          <w:rtl/>
        </w:rPr>
        <w:t xml:space="preserve"> אלא דמ"מ לפעמים יש צריך באויר שתחתיו</w:t>
      </w:r>
      <w:r w:rsidRPr="007A6ABD">
        <w:rPr>
          <w:rFonts w:asciiTheme="minorBidi" w:hAnsiTheme="minorBidi" w:cs="Arial" w:hint="cs"/>
          <w:rtl/>
        </w:rPr>
        <w:t>,</w:t>
      </w:r>
      <w:r w:rsidRPr="007A6ABD">
        <w:rPr>
          <w:rFonts w:asciiTheme="minorBidi" w:hAnsiTheme="minorBidi" w:cs="Arial"/>
          <w:rtl/>
        </w:rPr>
        <w:t xml:space="preserve"> כגון בתחת המטה לענין נתינת סנדלין כמ"ש הב"י בסמוך</w:t>
      </w:r>
      <w:r w:rsidRPr="007A6ABD">
        <w:rPr>
          <w:rFonts w:asciiTheme="minorBidi" w:hAnsiTheme="minorBidi" w:cs="Arial" w:hint="cs"/>
          <w:rtl/>
        </w:rPr>
        <w:t>,</w:t>
      </w:r>
      <w:r w:rsidRPr="007A6ABD">
        <w:rPr>
          <w:rFonts w:asciiTheme="minorBidi" w:hAnsiTheme="minorBidi" w:cs="Arial"/>
          <w:rtl/>
        </w:rPr>
        <w:t xml:space="preserve"> ולפעמים א</w:t>
      </w:r>
      <w:r w:rsidRPr="007A6ABD">
        <w:rPr>
          <w:rFonts w:asciiTheme="minorBidi" w:hAnsiTheme="minorBidi" w:cs="Arial" w:hint="cs"/>
          <w:rtl/>
        </w:rPr>
        <w:t xml:space="preserve">ין </w:t>
      </w:r>
      <w:r w:rsidRPr="007A6ABD">
        <w:rPr>
          <w:rFonts w:asciiTheme="minorBidi" w:hAnsiTheme="minorBidi" w:cs="Arial"/>
          <w:rtl/>
        </w:rPr>
        <w:t>צ</w:t>
      </w:r>
      <w:r w:rsidRPr="007A6ABD">
        <w:rPr>
          <w:rFonts w:asciiTheme="minorBidi" w:hAnsiTheme="minorBidi" w:cs="Arial" w:hint="cs"/>
          <w:rtl/>
        </w:rPr>
        <w:t>ריך,</w:t>
      </w:r>
      <w:r w:rsidRPr="007A6ABD">
        <w:rPr>
          <w:rFonts w:asciiTheme="minorBidi" w:hAnsiTheme="minorBidi" w:cs="Arial"/>
          <w:rtl/>
        </w:rPr>
        <w:t xml:space="preserve"> ע</w:t>
      </w:r>
      <w:r w:rsidRPr="007A6ABD">
        <w:rPr>
          <w:rFonts w:asciiTheme="minorBidi" w:hAnsiTheme="minorBidi" w:cs="Arial" w:hint="cs"/>
          <w:rtl/>
        </w:rPr>
        <w:t xml:space="preserve">ל </w:t>
      </w:r>
      <w:r w:rsidRPr="007A6ABD">
        <w:rPr>
          <w:rFonts w:asciiTheme="minorBidi" w:hAnsiTheme="minorBidi" w:cs="Arial"/>
          <w:rtl/>
        </w:rPr>
        <w:t>כ</w:t>
      </w:r>
      <w:r w:rsidRPr="007A6ABD">
        <w:rPr>
          <w:rFonts w:asciiTheme="minorBidi" w:hAnsiTheme="minorBidi" w:cs="Arial" w:hint="cs"/>
          <w:rtl/>
        </w:rPr>
        <w:t>ן</w:t>
      </w:r>
      <w:r w:rsidRPr="007A6ABD">
        <w:rPr>
          <w:rFonts w:asciiTheme="minorBidi" w:hAnsiTheme="minorBidi" w:cs="Arial"/>
          <w:rtl/>
        </w:rPr>
        <w:t xml:space="preserve"> כתב הרשב"א בשם התו</w:t>
      </w:r>
      <w:r w:rsidRPr="007A6ABD">
        <w:rPr>
          <w:rFonts w:asciiTheme="minorBidi" w:hAnsiTheme="minorBidi" w:cs="Arial" w:hint="cs"/>
          <w:rtl/>
        </w:rPr>
        <w:t>ס</w:t>
      </w:r>
      <w:r w:rsidRPr="007A6ABD">
        <w:rPr>
          <w:rFonts w:asciiTheme="minorBidi" w:hAnsiTheme="minorBidi" w:cs="Arial"/>
          <w:rtl/>
        </w:rPr>
        <w:t>' חילוק זה</w:t>
      </w:r>
      <w:r w:rsidRPr="007A6ABD">
        <w:rPr>
          <w:rFonts w:asciiTheme="minorBidi" w:hAnsiTheme="minorBidi" w:cs="Arial" w:hint="cs"/>
          <w:rtl/>
        </w:rPr>
        <w:t>.</w:t>
      </w:r>
      <w:r w:rsidRPr="007A6ABD">
        <w:rPr>
          <w:rFonts w:asciiTheme="minorBidi" w:hAnsiTheme="minorBidi" w:cs="Arial"/>
          <w:rtl/>
        </w:rPr>
        <w:t xml:space="preserve"> ומ</w:t>
      </w:r>
      <w:r w:rsidRPr="007A6ABD">
        <w:rPr>
          <w:rFonts w:asciiTheme="minorBidi" w:hAnsiTheme="minorBidi" w:cs="Arial" w:hint="cs"/>
          <w:rtl/>
        </w:rPr>
        <w:t>שום הכי</w:t>
      </w:r>
      <w:r w:rsidRPr="007A6ABD">
        <w:rPr>
          <w:rFonts w:asciiTheme="minorBidi" w:hAnsiTheme="minorBidi" w:cs="Arial"/>
          <w:rtl/>
        </w:rPr>
        <w:t xml:space="preserve"> בספר א</w:t>
      </w:r>
      <w:r w:rsidRPr="007A6ABD">
        <w:rPr>
          <w:rFonts w:asciiTheme="minorBidi" w:hAnsiTheme="minorBidi" w:cs="Arial" w:hint="cs"/>
          <w:rtl/>
        </w:rPr>
        <w:t>חד</w:t>
      </w:r>
      <w:r w:rsidRPr="007A6ABD">
        <w:rPr>
          <w:rFonts w:asciiTheme="minorBidi" w:hAnsiTheme="minorBidi" w:cs="Arial"/>
          <w:rtl/>
        </w:rPr>
        <w:t xml:space="preserve"> מכאן כו' מותר</w:t>
      </w:r>
      <w:r w:rsidRPr="007A6ABD">
        <w:rPr>
          <w:rFonts w:asciiTheme="minorBidi" w:hAnsiTheme="minorBidi" w:cs="Arial" w:hint="cs"/>
          <w:rtl/>
        </w:rPr>
        <w:t>,</w:t>
      </w:r>
      <w:r w:rsidRPr="007A6ABD">
        <w:rPr>
          <w:rFonts w:asciiTheme="minorBidi" w:hAnsiTheme="minorBidi" w:cs="Arial"/>
          <w:rtl/>
        </w:rPr>
        <w:t xml:space="preserve"> כיון שאין שם אלא ב' מחיצות</w:t>
      </w:r>
      <w:r w:rsidRPr="007A6ABD">
        <w:rPr>
          <w:rFonts w:asciiTheme="minorBidi" w:hAnsiTheme="minorBidi" w:cs="Arial" w:hint="cs"/>
          <w:rtl/>
        </w:rPr>
        <w:t>,</w:t>
      </w:r>
      <w:r w:rsidRPr="007A6ABD">
        <w:rPr>
          <w:rFonts w:asciiTheme="minorBidi" w:hAnsiTheme="minorBidi" w:cs="Arial"/>
          <w:rtl/>
        </w:rPr>
        <w:t xml:space="preserve"> וכן כל כיוצא בזה</w:t>
      </w:r>
      <w:r w:rsidRPr="007A6ABD">
        <w:rPr>
          <w:rFonts w:asciiTheme="minorBidi" w:hAnsiTheme="minorBidi" w:cs="Arial" w:hint="cs"/>
          <w:rtl/>
        </w:rPr>
        <w:t>.</w:t>
      </w:r>
      <w:r w:rsidRPr="007A6ABD">
        <w:rPr>
          <w:rFonts w:asciiTheme="minorBidi" w:hAnsiTheme="minorBidi" w:cs="Arial"/>
          <w:rtl/>
        </w:rPr>
        <w:t xml:space="preserve"> ונמצא שמ"ש הר"ן דאית ליה מחיצות ומשתמש </w:t>
      </w:r>
      <w:r w:rsidRPr="007A6ABD">
        <w:rPr>
          <w:rFonts w:asciiTheme="minorBidi" w:hAnsiTheme="minorBidi" w:cs="Arial" w:hint="cs"/>
          <w:rtl/>
        </w:rPr>
        <w:t xml:space="preserve">- </w:t>
      </w:r>
      <w:r w:rsidRPr="007A6ABD">
        <w:rPr>
          <w:rFonts w:asciiTheme="minorBidi" w:hAnsiTheme="minorBidi" w:cs="Arial"/>
          <w:rtl/>
        </w:rPr>
        <w:t>לאו תרי מילי נינהו</w:t>
      </w:r>
      <w:r w:rsidRPr="007A6ABD">
        <w:rPr>
          <w:rFonts w:asciiTheme="minorBidi" w:hAnsiTheme="minorBidi" w:cs="Arial" w:hint="cs"/>
          <w:rtl/>
        </w:rPr>
        <w:t>,</w:t>
      </w:r>
      <w:r w:rsidRPr="007A6ABD">
        <w:rPr>
          <w:rFonts w:asciiTheme="minorBidi" w:hAnsiTheme="minorBidi" w:cs="Arial"/>
          <w:rtl/>
        </w:rPr>
        <w:t xml:space="preserve"> דהא התוס' לא זכרו ממשתמש כלום</w:t>
      </w:r>
      <w:r w:rsidRPr="007A6ABD">
        <w:rPr>
          <w:rFonts w:asciiTheme="minorBidi" w:hAnsiTheme="minorBidi" w:cs="Arial" w:hint="cs"/>
          <w:rtl/>
        </w:rPr>
        <w:t>,</w:t>
      </w:r>
      <w:r w:rsidRPr="007A6ABD">
        <w:rPr>
          <w:rFonts w:asciiTheme="minorBidi" w:hAnsiTheme="minorBidi" w:cs="Arial"/>
          <w:rtl/>
        </w:rPr>
        <w:t xml:space="preserve"> אלא זה הוא פי' על המחיצות</w:t>
      </w:r>
      <w:r w:rsidRPr="007A6ABD">
        <w:rPr>
          <w:rFonts w:asciiTheme="minorBidi" w:hAnsiTheme="minorBidi" w:cs="Arial" w:hint="cs"/>
          <w:rtl/>
        </w:rPr>
        <w:t>,</w:t>
      </w:r>
      <w:r w:rsidRPr="007A6ABD">
        <w:rPr>
          <w:rFonts w:asciiTheme="minorBidi" w:hAnsiTheme="minorBidi" w:cs="Arial"/>
          <w:rtl/>
        </w:rPr>
        <w:t xml:space="preserve"> דמ</w:t>
      </w:r>
      <w:r w:rsidRPr="007A6ABD">
        <w:rPr>
          <w:rFonts w:asciiTheme="minorBidi" w:hAnsiTheme="minorBidi" w:cs="Arial" w:hint="cs"/>
          <w:rtl/>
        </w:rPr>
        <w:t xml:space="preserve">שום </w:t>
      </w:r>
      <w:r w:rsidRPr="007A6ABD">
        <w:rPr>
          <w:rFonts w:asciiTheme="minorBidi" w:hAnsiTheme="minorBidi" w:cs="Arial"/>
          <w:rtl/>
        </w:rPr>
        <w:t>ה</w:t>
      </w:r>
      <w:r w:rsidRPr="007A6ABD">
        <w:rPr>
          <w:rFonts w:asciiTheme="minorBidi" w:hAnsiTheme="minorBidi" w:cs="Arial" w:hint="cs"/>
          <w:rtl/>
        </w:rPr>
        <w:t>כי</w:t>
      </w:r>
      <w:r w:rsidRPr="007A6ABD">
        <w:rPr>
          <w:rFonts w:asciiTheme="minorBidi" w:hAnsiTheme="minorBidi" w:cs="Arial"/>
          <w:rtl/>
        </w:rPr>
        <w:t xml:space="preserve"> אסור במחיצות כיון שראוי להשתמש בודאי</w:t>
      </w:r>
      <w:r w:rsidRPr="007A6ABD">
        <w:rPr>
          <w:rFonts w:asciiTheme="minorBidi" w:hAnsiTheme="minorBidi" w:cs="Arial" w:hint="cs"/>
          <w:rtl/>
        </w:rPr>
        <w:t>.</w:t>
      </w:r>
      <w:r w:rsidRPr="007A6ABD">
        <w:rPr>
          <w:rFonts w:asciiTheme="minorBidi" w:hAnsiTheme="minorBidi" w:cs="Arial"/>
          <w:rtl/>
        </w:rPr>
        <w:t xml:space="preserve"> ונמצא לפ</w:t>
      </w:r>
      <w:r w:rsidRPr="007A6ABD">
        <w:rPr>
          <w:rFonts w:asciiTheme="minorBidi" w:hAnsiTheme="minorBidi" w:cs="Arial" w:hint="cs"/>
          <w:rtl/>
        </w:rPr>
        <w:t>י זה</w:t>
      </w:r>
      <w:r w:rsidRPr="007A6ABD">
        <w:rPr>
          <w:rFonts w:asciiTheme="minorBidi" w:hAnsiTheme="minorBidi" w:cs="Arial"/>
          <w:rtl/>
        </w:rPr>
        <w:t xml:space="preserve"> דביש ד' מחיצות מחוברות לארץ </w:t>
      </w:r>
      <w:r w:rsidRPr="007A6ABD">
        <w:rPr>
          <w:rFonts w:asciiTheme="minorBidi" w:hAnsiTheme="minorBidi" w:cs="Arial" w:hint="cs"/>
          <w:rtl/>
        </w:rPr>
        <w:t xml:space="preserve">- </w:t>
      </w:r>
      <w:r w:rsidRPr="007A6ABD">
        <w:rPr>
          <w:rFonts w:asciiTheme="minorBidi" w:hAnsiTheme="minorBidi" w:cs="Arial"/>
          <w:rtl/>
        </w:rPr>
        <w:t>אסור בכל גוני</w:t>
      </w:r>
      <w:r w:rsidRPr="007A6ABD">
        <w:rPr>
          <w:rFonts w:asciiTheme="minorBidi" w:hAnsiTheme="minorBidi" w:cs="Arial" w:hint="cs"/>
          <w:rtl/>
        </w:rPr>
        <w:t>,</w:t>
      </w:r>
      <w:r w:rsidRPr="007A6ABD">
        <w:rPr>
          <w:rFonts w:asciiTheme="minorBidi" w:hAnsiTheme="minorBidi" w:cs="Arial"/>
          <w:rtl/>
        </w:rPr>
        <w:t xml:space="preserve"> ואפי' בשלחן אם היה כן יש איסור להניח השלחן עליהם</w:t>
      </w:r>
      <w:r w:rsidRPr="007A6ABD">
        <w:rPr>
          <w:rFonts w:asciiTheme="minorBidi" w:hAnsiTheme="minorBidi" w:cs="Arial" w:hint="cs"/>
          <w:rtl/>
        </w:rPr>
        <w:t>.</w:t>
      </w:r>
      <w:r w:rsidRPr="007A6ABD">
        <w:rPr>
          <w:rFonts w:asciiTheme="minorBidi" w:hAnsiTheme="minorBidi" w:cs="Arial"/>
          <w:rtl/>
        </w:rPr>
        <w:t xml:space="preserve"> ובאין שם רק שני מחיצות </w:t>
      </w:r>
      <w:r w:rsidRPr="007A6ABD">
        <w:rPr>
          <w:rFonts w:asciiTheme="minorBidi" w:hAnsiTheme="minorBidi" w:cs="Arial" w:hint="cs"/>
          <w:rtl/>
        </w:rPr>
        <w:t xml:space="preserve">- </w:t>
      </w:r>
      <w:r w:rsidRPr="007A6ABD">
        <w:rPr>
          <w:rFonts w:asciiTheme="minorBidi" w:hAnsiTheme="minorBidi" w:cs="Arial"/>
          <w:rtl/>
        </w:rPr>
        <w:t>אז מותר בשלחן שא"צ לאויר שלמטה</w:t>
      </w:r>
      <w:r w:rsidRPr="007A6ABD">
        <w:rPr>
          <w:rFonts w:asciiTheme="minorBidi" w:hAnsiTheme="minorBidi" w:cs="Arial" w:hint="cs"/>
          <w:rtl/>
        </w:rPr>
        <w:t>,</w:t>
      </w:r>
      <w:r w:rsidRPr="007A6ABD">
        <w:rPr>
          <w:rFonts w:asciiTheme="minorBidi" w:hAnsiTheme="minorBidi" w:cs="Arial"/>
          <w:rtl/>
        </w:rPr>
        <w:t xml:space="preserve"> ובמטה אסור</w:t>
      </w:r>
      <w:r>
        <w:rPr>
          <w:rStyle w:val="a9"/>
          <w:rFonts w:asciiTheme="minorBidi" w:hAnsiTheme="minorBidi" w:cs="Arial"/>
          <w:rtl/>
        </w:rPr>
        <w:footnoteReference w:id="2355"/>
      </w:r>
      <w:r w:rsidRPr="007A6ABD">
        <w:rPr>
          <w:rFonts w:asciiTheme="minorBidi" w:hAnsiTheme="minorBidi" w:cs="Arial"/>
          <w:rtl/>
        </w:rPr>
        <w:t xml:space="preserve"> כיון שצריך לשם בנתינת סנדלין</w:t>
      </w:r>
      <w:r w:rsidRPr="007A6ABD">
        <w:rPr>
          <w:rFonts w:asciiTheme="minorBidi" w:hAnsiTheme="minorBidi" w:hint="cs"/>
          <w:rtl/>
        </w:rPr>
        <w:t>.</w:t>
      </w:r>
    </w:p>
    <w:p w14:paraId="3BD291D3" w14:textId="41CB2E57" w:rsidR="005B2660" w:rsidRPr="007A6ABD" w:rsidRDefault="005B2660" w:rsidP="00434A6A">
      <w:pPr>
        <w:pStyle w:val="aa"/>
        <w:numPr>
          <w:ilvl w:val="0"/>
          <w:numId w:val="26"/>
        </w:numPr>
        <w:rPr>
          <w:rFonts w:asciiTheme="minorBidi" w:hAnsiTheme="minorBidi"/>
          <w:rtl/>
        </w:rPr>
      </w:pPr>
      <w:r>
        <w:rPr>
          <w:rFonts w:hint="cs"/>
          <w:rtl/>
        </w:rPr>
        <w:t>נלע"ד- אמת ש</w:t>
      </w:r>
      <w:r w:rsidR="00EC5BF5">
        <w:rPr>
          <w:rFonts w:hint="cs"/>
          <w:rtl/>
        </w:rPr>
        <w:t xml:space="preserve">הט"ז </w:t>
      </w:r>
      <w:r w:rsidR="00EC5BF5">
        <w:rPr>
          <w:rFonts w:hint="cs"/>
          <w:sz w:val="16"/>
          <w:szCs w:val="16"/>
          <w:rtl/>
        </w:rPr>
        <w:t xml:space="preserve">(סק"ה, והעתיקו דבריו הע"ש [סקי"ב] המשנ"ב [סקכ"ט] והבא"ט [סק"ח]) </w:t>
      </w:r>
      <w:r>
        <w:rPr>
          <w:rFonts w:hint="cs"/>
          <w:rtl/>
        </w:rPr>
        <w:t>כתב שטע</w:t>
      </w:r>
      <w:r w:rsidR="001317B0">
        <w:rPr>
          <w:rFonts w:hint="cs"/>
          <w:rtl/>
        </w:rPr>
        <w:t>מו של השו"ע כאן</w:t>
      </w:r>
      <w:r>
        <w:rPr>
          <w:rFonts w:hint="cs"/>
          <w:rtl/>
        </w:rPr>
        <w:t xml:space="preserve"> הוא משום שצריך לאויר שתחתיהן שלא יתעפשו החביות, וכדברי הרשב"א, אך קשה לי, שהרי השו"ע נזהר מלהזכיר את החילוק הזה של הרשב"א, ולא הזכירו בשום סעיף אע"ג שהביא כמה מפסקי הרשב"א (סע' ד, וסע' ז), ועוד שבסע' ג' חלק על טעמו של הרשב"א בפירוש. לכן נראה לי לומר שהשו"ע מכריח שיהיו מחיצות, כדברי התוס' (ביצה לב:), </w:t>
      </w:r>
      <w:r w:rsidR="00696D38">
        <w:rPr>
          <w:rFonts w:hint="cs"/>
          <w:rtl/>
        </w:rPr>
        <w:t>ו</w:t>
      </w:r>
      <w:r>
        <w:rPr>
          <w:rFonts w:hint="cs"/>
          <w:rtl/>
        </w:rPr>
        <w:t xml:space="preserve">לא מחלק בין שצריך לאווירן או לא, ופסק </w:t>
      </w:r>
      <w:r w:rsidR="00335BFE">
        <w:rPr>
          <w:rFonts w:hint="cs"/>
          <w:rtl/>
        </w:rPr>
        <w:t xml:space="preserve">(בסע' ד ובסע' ז) </w:t>
      </w:r>
      <w:r>
        <w:rPr>
          <w:rFonts w:hint="cs"/>
          <w:rtl/>
        </w:rPr>
        <w:t>כדברי הרשב"א אך לא מטעמו. ו</w:t>
      </w:r>
      <w:r w:rsidR="00335BFE">
        <w:rPr>
          <w:rFonts w:hint="cs"/>
          <w:rtl/>
        </w:rPr>
        <w:t>ל</w:t>
      </w:r>
      <w:r>
        <w:rPr>
          <w:rFonts w:hint="cs"/>
          <w:rtl/>
        </w:rPr>
        <w:t xml:space="preserve">כן בחביות </w:t>
      </w:r>
      <w:r w:rsidR="00335BFE">
        <w:rPr>
          <w:rFonts w:hint="cs"/>
          <w:rtl/>
        </w:rPr>
        <w:t xml:space="preserve">פסק את את פשט דברי הגמ' לפי פירוש רש"י ותוס', וצ"ל דגם לתוס' </w:t>
      </w:r>
      <w:r>
        <w:rPr>
          <w:rFonts w:hint="cs"/>
          <w:rtl/>
        </w:rPr>
        <w:t>מקרי מחיצות כשמניח חבית על שתי חביות. שהרי התוס' לא הצריכו שיהיו דווקא ד' מחיצות</w:t>
      </w:r>
      <w:r w:rsidR="00BC26F5">
        <w:rPr>
          <w:rStyle w:val="a9"/>
          <w:rtl/>
        </w:rPr>
        <w:footnoteReference w:id="2356"/>
      </w:r>
      <w:r>
        <w:rPr>
          <w:rFonts w:hint="cs"/>
          <w:rtl/>
        </w:rPr>
        <w:t xml:space="preserve">. </w:t>
      </w:r>
      <w:r w:rsidR="00335BFE">
        <w:rPr>
          <w:rFonts w:hint="cs"/>
          <w:rtl/>
        </w:rPr>
        <w:t xml:space="preserve">וכן בביצים גם מקרי מחיצות כשמניח ב' או ג' ביצים ועליהם ביצה אחת. </w:t>
      </w:r>
      <w:r>
        <w:rPr>
          <w:rFonts w:hint="cs"/>
          <w:rtl/>
        </w:rPr>
        <w:t>וצל"ע</w:t>
      </w:r>
      <w:r>
        <w:rPr>
          <w:rFonts w:asciiTheme="minorBidi" w:hAnsiTheme="minorBidi" w:hint="cs"/>
          <w:rtl/>
        </w:rPr>
        <w:t>.</w:t>
      </w:r>
    </w:p>
    <w:p w14:paraId="379DFD56" w14:textId="77777777" w:rsidR="00C44022" w:rsidRPr="005275DF" w:rsidRDefault="00C44022" w:rsidP="00434A6A">
      <w:pPr>
        <w:rPr>
          <w:rFonts w:asciiTheme="minorBidi" w:hAnsiTheme="minorBidi"/>
          <w:rtl/>
        </w:rPr>
      </w:pPr>
    </w:p>
    <w:p w14:paraId="430CA615" w14:textId="308181A1" w:rsidR="00C44022" w:rsidRDefault="00C44022" w:rsidP="00434A6A">
      <w:pPr>
        <w:pStyle w:val="2"/>
        <w:rPr>
          <w:rFonts w:asciiTheme="minorBidi" w:hAnsiTheme="minorBidi" w:cstheme="minorBidi"/>
          <w:rtl/>
        </w:rPr>
      </w:pPr>
      <w:r w:rsidRPr="005275DF">
        <w:rPr>
          <w:rFonts w:asciiTheme="minorBidi" w:hAnsiTheme="minorBidi" w:cstheme="minorBidi"/>
          <w:rtl/>
        </w:rPr>
        <w:t>סעיף ז</w:t>
      </w:r>
      <w:r w:rsidR="00101B8D" w:rsidRPr="005275DF">
        <w:rPr>
          <w:rFonts w:asciiTheme="minorBidi" w:hAnsiTheme="minorBidi" w:cstheme="minorBidi"/>
          <w:rtl/>
        </w:rPr>
        <w:t>: הנחת ספר מכאן ומכאן ואחד על גביהן.</w:t>
      </w:r>
    </w:p>
    <w:p w14:paraId="2C035E74" w14:textId="3ED3148A" w:rsidR="00916B81" w:rsidRPr="00350D72" w:rsidRDefault="007C771D" w:rsidP="00434A6A">
      <w:pPr>
        <w:rPr>
          <w:rtl/>
        </w:rPr>
      </w:pPr>
      <w:r>
        <w:rPr>
          <w:rFonts w:cs="Arial" w:hint="cs"/>
          <w:rtl/>
        </w:rPr>
        <w:t>עיין במקורות בסעיף ו</w:t>
      </w:r>
      <w:r w:rsidR="001317B0">
        <w:rPr>
          <w:rFonts w:cs="Arial" w:hint="cs"/>
          <w:rtl/>
        </w:rPr>
        <w:t>'</w:t>
      </w:r>
      <w:r>
        <w:rPr>
          <w:rFonts w:cs="Arial" w:hint="cs"/>
          <w:rtl/>
        </w:rPr>
        <w:t>.</w:t>
      </w:r>
      <w:r w:rsidR="00A1344D">
        <w:rPr>
          <w:rFonts w:hint="cs"/>
          <w:rtl/>
        </w:rPr>
        <w:t xml:space="preserve"> </w:t>
      </w:r>
    </w:p>
    <w:p w14:paraId="574C454D" w14:textId="77777777" w:rsidR="00C44022" w:rsidRPr="005275DF" w:rsidRDefault="00C44022" w:rsidP="00434A6A">
      <w:pPr>
        <w:rPr>
          <w:rFonts w:asciiTheme="minorBidi" w:hAnsiTheme="minorBidi"/>
          <w:rtl/>
        </w:rPr>
      </w:pPr>
      <w:r w:rsidRPr="005275DF">
        <w:rPr>
          <w:rFonts w:asciiTheme="minorBidi" w:hAnsiTheme="minorBidi"/>
          <w:b/>
          <w:bCs/>
          <w:sz w:val="32"/>
          <w:szCs w:val="28"/>
          <w:u w:val="single"/>
          <w:rtl/>
        </w:rPr>
        <w:t xml:space="preserve">שו"ע: </w:t>
      </w:r>
    </w:p>
    <w:p w14:paraId="240B745D" w14:textId="304D029E" w:rsidR="00C44022" w:rsidRPr="005275DF" w:rsidRDefault="00E1723A" w:rsidP="00434A6A">
      <w:pPr>
        <w:rPr>
          <w:rFonts w:asciiTheme="minorBidi" w:hAnsiTheme="minorBidi"/>
          <w:sz w:val="18"/>
          <w:szCs w:val="18"/>
          <w:rtl/>
        </w:rPr>
      </w:pPr>
      <w:r w:rsidRPr="005275DF">
        <w:rPr>
          <w:rFonts w:asciiTheme="minorBidi" w:hAnsiTheme="minorBidi"/>
          <w:rtl/>
        </w:rPr>
        <w:t>מותר להניח ספר אחד</w:t>
      </w:r>
      <w:r w:rsidR="00C44022" w:rsidRPr="005275DF">
        <w:rPr>
          <w:rFonts w:asciiTheme="minorBidi" w:hAnsiTheme="minorBidi"/>
          <w:rtl/>
        </w:rPr>
        <w:t xml:space="preserve"> מכאן ואחד מכאן ואחד על גביהן</w:t>
      </w:r>
      <w:r w:rsidR="001317B0">
        <w:rPr>
          <w:rStyle w:val="a9"/>
          <w:rFonts w:asciiTheme="minorBidi" w:hAnsiTheme="minorBidi"/>
          <w:rtl/>
        </w:rPr>
        <w:footnoteReference w:id="2357"/>
      </w:r>
      <w:r w:rsidR="00C44022" w:rsidRPr="005275DF">
        <w:rPr>
          <w:rFonts w:asciiTheme="minorBidi" w:hAnsiTheme="minorBidi"/>
          <w:rtl/>
        </w:rPr>
        <w:t xml:space="preserve">. </w:t>
      </w:r>
      <w:r w:rsidRPr="005275DF">
        <w:rPr>
          <w:rFonts w:asciiTheme="minorBidi" w:hAnsiTheme="minorBidi"/>
          <w:sz w:val="18"/>
          <w:szCs w:val="18"/>
          <w:rtl/>
        </w:rPr>
        <w:t>הגה: הואיל ואינו צריך</w:t>
      </w:r>
      <w:r w:rsidR="00C44022" w:rsidRPr="005275DF">
        <w:rPr>
          <w:rFonts w:asciiTheme="minorBidi" w:hAnsiTheme="minorBidi"/>
          <w:sz w:val="18"/>
          <w:szCs w:val="18"/>
          <w:rtl/>
        </w:rPr>
        <w:t xml:space="preserve"> לאויר שת</w:t>
      </w:r>
      <w:r w:rsidRPr="005275DF">
        <w:rPr>
          <w:rFonts w:asciiTheme="minorBidi" w:hAnsiTheme="minorBidi"/>
          <w:sz w:val="18"/>
          <w:szCs w:val="18"/>
          <w:rtl/>
        </w:rPr>
        <w:t>חתיהן</w:t>
      </w:r>
      <w:r w:rsidR="00766A87" w:rsidRPr="005275DF">
        <w:rPr>
          <w:rStyle w:val="a9"/>
          <w:rFonts w:asciiTheme="minorBidi" w:hAnsiTheme="minorBidi"/>
          <w:sz w:val="18"/>
          <w:szCs w:val="18"/>
          <w:rtl/>
        </w:rPr>
        <w:footnoteReference w:id="2358"/>
      </w:r>
      <w:r w:rsidR="00C44022" w:rsidRPr="005275DF">
        <w:rPr>
          <w:rFonts w:asciiTheme="minorBidi" w:hAnsiTheme="minorBidi"/>
          <w:sz w:val="18"/>
          <w:szCs w:val="18"/>
          <w:rtl/>
        </w:rPr>
        <w:t xml:space="preserve">. </w:t>
      </w:r>
    </w:p>
    <w:p w14:paraId="667BE202" w14:textId="77777777" w:rsidR="00C44022" w:rsidRPr="005275DF" w:rsidRDefault="00C44022" w:rsidP="00434A6A">
      <w:pPr>
        <w:rPr>
          <w:rFonts w:asciiTheme="minorBidi" w:hAnsiTheme="minorBidi"/>
          <w:rtl/>
        </w:rPr>
      </w:pPr>
    </w:p>
    <w:p w14:paraId="399A58D8" w14:textId="220A6D09" w:rsidR="001402DE" w:rsidRDefault="00C44022" w:rsidP="00434A6A">
      <w:pPr>
        <w:pStyle w:val="2"/>
        <w:rPr>
          <w:rFonts w:asciiTheme="minorBidi" w:hAnsiTheme="minorBidi" w:cstheme="minorBidi"/>
          <w:rtl/>
        </w:rPr>
      </w:pPr>
      <w:r w:rsidRPr="005275DF">
        <w:rPr>
          <w:rFonts w:asciiTheme="minorBidi" w:hAnsiTheme="minorBidi" w:cstheme="minorBidi"/>
          <w:rtl/>
        </w:rPr>
        <w:t>סעיף ח</w:t>
      </w:r>
      <w:r w:rsidR="00467EA7" w:rsidRPr="005275DF">
        <w:rPr>
          <w:rFonts w:asciiTheme="minorBidi" w:hAnsiTheme="minorBidi" w:cstheme="minorBidi"/>
          <w:rtl/>
        </w:rPr>
        <w:t>:</w:t>
      </w:r>
      <w:r w:rsidR="004D06BD" w:rsidRPr="005275DF">
        <w:rPr>
          <w:rFonts w:asciiTheme="minorBidi" w:hAnsiTheme="minorBidi" w:cstheme="minorBidi"/>
          <w:rtl/>
        </w:rPr>
        <w:t xml:space="preserve"> אהל שאין </w:t>
      </w:r>
      <w:r w:rsidR="00981BDA">
        <w:rPr>
          <w:rFonts w:asciiTheme="minorBidi" w:hAnsiTheme="minorBidi" w:cstheme="minorBidi" w:hint="cs"/>
          <w:rtl/>
        </w:rPr>
        <w:t xml:space="preserve">רוחב טפח </w:t>
      </w:r>
      <w:r w:rsidR="004D06BD" w:rsidRPr="005275DF">
        <w:rPr>
          <w:rFonts w:asciiTheme="minorBidi" w:hAnsiTheme="minorBidi" w:cstheme="minorBidi"/>
          <w:rtl/>
        </w:rPr>
        <w:t xml:space="preserve">בגגו </w:t>
      </w:r>
      <w:r w:rsidR="00981BDA">
        <w:rPr>
          <w:rFonts w:asciiTheme="minorBidi" w:hAnsiTheme="minorBidi" w:cstheme="minorBidi" w:hint="cs"/>
          <w:rtl/>
        </w:rPr>
        <w:t xml:space="preserve">וגם </w:t>
      </w:r>
      <w:r w:rsidR="004D06BD" w:rsidRPr="005275DF">
        <w:rPr>
          <w:rFonts w:asciiTheme="minorBidi" w:hAnsiTheme="minorBidi" w:cstheme="minorBidi"/>
          <w:rtl/>
        </w:rPr>
        <w:t xml:space="preserve">לא בפחות משלשה סמוך לגגו. </w:t>
      </w:r>
    </w:p>
    <w:p w14:paraId="350BCD1E" w14:textId="65D5DCE7" w:rsidR="00E94A49" w:rsidRDefault="00EC5BF5" w:rsidP="00434A6A">
      <w:pPr>
        <w:rPr>
          <w:rFonts w:asciiTheme="minorBidi" w:hAnsiTheme="minorBidi"/>
          <w:rtl/>
        </w:rPr>
      </w:pPr>
      <w:r w:rsidRPr="005275DF">
        <w:rPr>
          <w:rFonts w:asciiTheme="minorBidi" w:hAnsiTheme="minorBidi"/>
          <w:b/>
          <w:bCs/>
          <w:rtl/>
        </w:rPr>
        <w:t>שבת</w:t>
      </w:r>
      <w:r>
        <w:rPr>
          <w:rFonts w:asciiTheme="minorBidi" w:hAnsiTheme="minorBidi" w:hint="cs"/>
          <w:b/>
          <w:bCs/>
          <w:rtl/>
        </w:rPr>
        <w:t xml:space="preserve"> </w:t>
      </w:r>
      <w:r>
        <w:rPr>
          <w:rFonts w:asciiTheme="minorBidi" w:hAnsiTheme="minorBidi" w:hint="cs"/>
          <w:b/>
          <w:bCs/>
          <w:sz w:val="16"/>
          <w:szCs w:val="16"/>
          <w:rtl/>
        </w:rPr>
        <w:t>(פ' תולין)</w:t>
      </w:r>
      <w:r w:rsidRPr="005275DF">
        <w:rPr>
          <w:rFonts w:asciiTheme="minorBidi" w:hAnsiTheme="minorBidi"/>
          <w:b/>
          <w:bCs/>
          <w:rtl/>
        </w:rPr>
        <w:t xml:space="preserve"> קלח</w:t>
      </w:r>
      <w:r w:rsidR="000C605D">
        <w:rPr>
          <w:rStyle w:val="a9"/>
          <w:rFonts w:asciiTheme="minorBidi" w:hAnsiTheme="minorBidi"/>
          <w:b/>
          <w:bCs/>
          <w:rtl/>
        </w:rPr>
        <w:footnoteReference w:id="2359"/>
      </w:r>
      <w:r w:rsidRPr="005275DF">
        <w:rPr>
          <w:rFonts w:asciiTheme="minorBidi" w:hAnsiTheme="minorBidi"/>
          <w:b/>
          <w:bCs/>
          <w:rtl/>
        </w:rPr>
        <w:t xml:space="preserve"> ע"א</w:t>
      </w:r>
      <w:r w:rsidR="000C605D">
        <w:rPr>
          <w:rStyle w:val="a9"/>
          <w:rFonts w:asciiTheme="minorBidi" w:hAnsiTheme="minorBidi"/>
          <w:b/>
          <w:bCs/>
          <w:rtl/>
        </w:rPr>
        <w:footnoteReference w:id="2360"/>
      </w:r>
      <w:r w:rsidRPr="005275DF">
        <w:rPr>
          <w:rFonts w:asciiTheme="minorBidi" w:hAnsiTheme="minorBidi"/>
          <w:b/>
          <w:bCs/>
          <w:rtl/>
        </w:rPr>
        <w:t xml:space="preserve">: </w:t>
      </w:r>
      <w:r w:rsidR="001317B0" w:rsidRPr="001317B0">
        <w:rPr>
          <w:rFonts w:asciiTheme="minorBidi" w:hAnsiTheme="minorBidi" w:cs="Arial"/>
          <w:u w:val="single"/>
          <w:rtl/>
        </w:rPr>
        <w:t>תני רמי בר יחזקאל</w:t>
      </w:r>
      <w:r w:rsidR="001317B0" w:rsidRPr="001317B0">
        <w:rPr>
          <w:rFonts w:asciiTheme="minorBidi" w:hAnsiTheme="minorBidi" w:cs="Arial"/>
          <w:rtl/>
        </w:rPr>
        <w:t>: טלית כפולה - לא יעשה</w:t>
      </w:r>
      <w:r w:rsidR="001317B0">
        <w:rPr>
          <w:rStyle w:val="a9"/>
          <w:rFonts w:asciiTheme="minorBidi" w:hAnsiTheme="minorBidi" w:cs="Arial"/>
          <w:rtl/>
        </w:rPr>
        <w:footnoteReference w:id="2361"/>
      </w:r>
      <w:r w:rsidR="001317B0" w:rsidRPr="001317B0">
        <w:rPr>
          <w:rFonts w:asciiTheme="minorBidi" w:hAnsiTheme="minorBidi" w:cs="Arial"/>
          <w:rtl/>
        </w:rPr>
        <w:t>, ואם עשה - פטור אבל אסור. היה כרוך עליה</w:t>
      </w:r>
      <w:r w:rsidR="001317B0">
        <w:rPr>
          <w:rStyle w:val="a9"/>
          <w:rFonts w:asciiTheme="minorBidi" w:hAnsiTheme="minorBidi" w:cs="Arial"/>
          <w:rtl/>
        </w:rPr>
        <w:footnoteReference w:id="2362"/>
      </w:r>
      <w:r w:rsidR="001317B0" w:rsidRPr="001317B0">
        <w:rPr>
          <w:rFonts w:asciiTheme="minorBidi" w:hAnsiTheme="minorBidi" w:cs="Arial"/>
          <w:rtl/>
        </w:rPr>
        <w:t xml:space="preserve"> חוט או משיחה</w:t>
      </w:r>
      <w:r w:rsidR="001317B0">
        <w:rPr>
          <w:rStyle w:val="a9"/>
          <w:rFonts w:asciiTheme="minorBidi" w:hAnsiTheme="minorBidi" w:cs="Arial"/>
          <w:rtl/>
        </w:rPr>
        <w:footnoteReference w:id="2363"/>
      </w:r>
      <w:r w:rsidR="001317B0" w:rsidRPr="001317B0">
        <w:rPr>
          <w:rFonts w:asciiTheme="minorBidi" w:hAnsiTheme="minorBidi" w:cs="Arial"/>
          <w:rtl/>
        </w:rPr>
        <w:t xml:space="preserve"> - מותר לנטותה לכתחילה</w:t>
      </w:r>
      <w:r w:rsidR="00B123DA">
        <w:rPr>
          <w:rFonts w:cs="Arial" w:hint="cs"/>
          <w:rtl/>
        </w:rPr>
        <w:t>.</w:t>
      </w:r>
      <w:r w:rsidR="00775C7F">
        <w:rPr>
          <w:rFonts w:cs="Arial" w:hint="cs"/>
          <w:rtl/>
        </w:rPr>
        <w:t xml:space="preserve"> </w:t>
      </w:r>
      <w:r w:rsidR="00775C7F" w:rsidRPr="00B123DA">
        <w:rPr>
          <w:rFonts w:cs="Arial"/>
          <w:u w:val="single"/>
          <w:rtl/>
        </w:rPr>
        <w:t>בעא מיניה רב כהנא מרב</w:t>
      </w:r>
      <w:r w:rsidR="00775C7F" w:rsidRPr="00B123DA">
        <w:rPr>
          <w:rFonts w:cs="Arial"/>
          <w:rtl/>
        </w:rPr>
        <w:t xml:space="preserve">: כילה מהו? </w:t>
      </w:r>
      <w:r w:rsidR="00775C7F" w:rsidRPr="00100E1C">
        <w:rPr>
          <w:rFonts w:cs="Arial"/>
          <w:u w:val="single"/>
          <w:rtl/>
        </w:rPr>
        <w:t>אמר ליה</w:t>
      </w:r>
      <w:r w:rsidR="00775C7F" w:rsidRPr="00B123DA">
        <w:rPr>
          <w:rFonts w:cs="Arial"/>
          <w:rtl/>
        </w:rPr>
        <w:t xml:space="preserve">: אף מטה אסורה. מטה מהו? </w:t>
      </w:r>
      <w:r w:rsidR="00775C7F" w:rsidRPr="00100E1C">
        <w:rPr>
          <w:rFonts w:cs="Arial"/>
          <w:u w:val="single"/>
          <w:rtl/>
        </w:rPr>
        <w:t>אמר ליה</w:t>
      </w:r>
      <w:r w:rsidR="00775C7F" w:rsidRPr="00B123DA">
        <w:rPr>
          <w:rFonts w:cs="Arial"/>
          <w:rtl/>
        </w:rPr>
        <w:t xml:space="preserve">: אף כילה מותרת. כילה ומטה מהו? </w:t>
      </w:r>
      <w:r w:rsidR="00775C7F" w:rsidRPr="00100E1C">
        <w:rPr>
          <w:rFonts w:cs="Arial"/>
          <w:u w:val="single"/>
          <w:rtl/>
        </w:rPr>
        <w:t>אמר ליה</w:t>
      </w:r>
      <w:r w:rsidR="00775C7F" w:rsidRPr="00B123DA">
        <w:rPr>
          <w:rFonts w:cs="Arial"/>
          <w:rtl/>
        </w:rPr>
        <w:t>: כילה אסורה, ומטה מותרת. ולא קשיא; הא - דקאמר אף מטה אסורה - כדקרמנאי</w:t>
      </w:r>
      <w:r w:rsidR="00775C7F">
        <w:rPr>
          <w:rStyle w:val="a9"/>
          <w:rFonts w:asciiTheme="minorBidi" w:hAnsiTheme="minorBidi" w:cs="Arial"/>
          <w:rtl/>
        </w:rPr>
        <w:footnoteReference w:id="2364"/>
      </w:r>
      <w:r w:rsidR="00775C7F" w:rsidRPr="00B123DA">
        <w:rPr>
          <w:rFonts w:cs="Arial"/>
          <w:rtl/>
        </w:rPr>
        <w:t>, הא דקאמר ליה אף כילה מותרת - כדרמי</w:t>
      </w:r>
      <w:r w:rsidR="00775C7F">
        <w:rPr>
          <w:rStyle w:val="a9"/>
          <w:rFonts w:asciiTheme="minorBidi" w:hAnsiTheme="minorBidi" w:cs="Arial"/>
          <w:rtl/>
        </w:rPr>
        <w:footnoteReference w:id="2365"/>
      </w:r>
      <w:r w:rsidR="00775C7F" w:rsidRPr="00B123DA">
        <w:rPr>
          <w:rFonts w:cs="Arial"/>
          <w:rtl/>
        </w:rPr>
        <w:t xml:space="preserve"> בר יחזקאל. כילה אסורה ומטה מותרת - כדדידן</w:t>
      </w:r>
      <w:r w:rsidR="00775C7F">
        <w:rPr>
          <w:rStyle w:val="a9"/>
          <w:rFonts w:asciiTheme="minorBidi" w:hAnsiTheme="minorBidi" w:cs="Arial"/>
          <w:rtl/>
        </w:rPr>
        <w:footnoteReference w:id="2366"/>
      </w:r>
      <w:r w:rsidR="00775C7F" w:rsidRPr="00B123DA">
        <w:rPr>
          <w:rFonts w:cs="Arial"/>
          <w:rtl/>
        </w:rPr>
        <w:t xml:space="preserve">. </w:t>
      </w:r>
      <w:r w:rsidR="00775C7F" w:rsidRPr="004E5E90">
        <w:rPr>
          <w:rFonts w:cs="Arial"/>
          <w:u w:val="single"/>
          <w:rtl/>
        </w:rPr>
        <w:t>אמר רב יוסף</w:t>
      </w:r>
      <w:r w:rsidR="00775C7F" w:rsidRPr="00B123DA">
        <w:rPr>
          <w:rFonts w:cs="Arial"/>
          <w:rtl/>
        </w:rPr>
        <w:t>: חזינא להו לכילי דבי רב הונא דמאורתא נגידו, ומצפרא חביטא</w:t>
      </w:r>
      <w:r w:rsidR="00775C7F">
        <w:rPr>
          <w:rStyle w:val="a9"/>
          <w:rFonts w:asciiTheme="minorBidi" w:hAnsiTheme="minorBidi" w:cs="Arial"/>
          <w:rtl/>
        </w:rPr>
        <w:footnoteReference w:id="2367"/>
      </w:r>
      <w:r w:rsidR="00775C7F" w:rsidRPr="00B123DA">
        <w:rPr>
          <w:rFonts w:cs="Arial"/>
          <w:rtl/>
        </w:rPr>
        <w:t xml:space="preserve"> רמיא</w:t>
      </w:r>
      <w:r w:rsidR="00775C7F">
        <w:rPr>
          <w:rFonts w:cs="Arial" w:hint="cs"/>
          <w:rtl/>
        </w:rPr>
        <w:t>..</w:t>
      </w:r>
      <w:r w:rsidR="00B123DA" w:rsidRPr="00B123DA">
        <w:rPr>
          <w:rFonts w:cs="Arial"/>
          <w:rtl/>
        </w:rPr>
        <w:t>.</w:t>
      </w:r>
      <w:r w:rsidR="00B123DA" w:rsidRPr="00B123DA">
        <w:rPr>
          <w:rtl/>
        </w:rPr>
        <w:t xml:space="preserve"> </w:t>
      </w:r>
      <w:r w:rsidR="00B123DA" w:rsidRPr="00B123DA">
        <w:rPr>
          <w:rFonts w:cs="Arial"/>
          <w:u w:val="single"/>
          <w:rtl/>
        </w:rPr>
        <w:t>ואמר שמואל משום רבי חייא</w:t>
      </w:r>
      <w:r w:rsidR="00B123DA">
        <w:rPr>
          <w:rFonts w:cs="Arial" w:hint="cs"/>
          <w:rtl/>
        </w:rPr>
        <w:t>:</w:t>
      </w:r>
      <w:r w:rsidR="00B123DA">
        <w:rPr>
          <w:rFonts w:cs="Arial" w:hint="cs"/>
          <w:sz w:val="14"/>
          <w:szCs w:val="14"/>
          <w:rtl/>
        </w:rPr>
        <w:t xml:space="preserve"> </w:t>
      </w:r>
      <w:r w:rsidR="00B123DA" w:rsidRPr="00B123DA">
        <w:rPr>
          <w:rFonts w:cs="Arial" w:hint="cs"/>
          <w:sz w:val="14"/>
          <w:szCs w:val="14"/>
          <w:rtl/>
        </w:rPr>
        <w:t>(קלח:)</w:t>
      </w:r>
      <w:r w:rsidR="00B123DA">
        <w:rPr>
          <w:rFonts w:cs="Arial" w:hint="cs"/>
          <w:rtl/>
        </w:rPr>
        <w:t xml:space="preserve"> </w:t>
      </w:r>
      <w:r w:rsidR="00B123DA" w:rsidRPr="00B123DA">
        <w:rPr>
          <w:rFonts w:cs="Arial"/>
          <w:rtl/>
        </w:rPr>
        <w:t>כילת חתנים</w:t>
      </w:r>
      <w:r w:rsidR="00100E1C">
        <w:rPr>
          <w:rStyle w:val="a9"/>
          <w:rFonts w:asciiTheme="minorBidi" w:hAnsiTheme="minorBidi" w:cs="Arial"/>
          <w:rtl/>
        </w:rPr>
        <w:footnoteReference w:id="2368"/>
      </w:r>
      <w:r w:rsidR="00B123DA" w:rsidRPr="00B123DA">
        <w:rPr>
          <w:rFonts w:cs="Arial"/>
          <w:rtl/>
        </w:rPr>
        <w:t xml:space="preserve"> מותר לנטותה ומותר לפורקה. </w:t>
      </w:r>
      <w:r w:rsidR="00B123DA" w:rsidRPr="00B123DA">
        <w:rPr>
          <w:rFonts w:cs="Arial"/>
          <w:u w:val="single"/>
          <w:rtl/>
        </w:rPr>
        <w:t>אמר רב ששת בריה דרב אידי</w:t>
      </w:r>
      <w:r w:rsidR="00B123DA" w:rsidRPr="00B123DA">
        <w:rPr>
          <w:rFonts w:cs="Arial"/>
          <w:rtl/>
        </w:rPr>
        <w:t>: לא אמרן אלא שאין בגגה טפח, אבל יש בגגה טפח - אסורה. וכי אין בגגה טפח נמי לא אמרן אלא שאין בפחות משלשה</w:t>
      </w:r>
      <w:r w:rsidR="00100E1C">
        <w:rPr>
          <w:rStyle w:val="a9"/>
          <w:rFonts w:asciiTheme="minorBidi" w:hAnsiTheme="minorBidi" w:cs="Arial"/>
          <w:rtl/>
        </w:rPr>
        <w:footnoteReference w:id="2369"/>
      </w:r>
      <w:r w:rsidR="00B123DA" w:rsidRPr="00B123DA">
        <w:rPr>
          <w:rFonts w:cs="Arial"/>
          <w:rtl/>
        </w:rPr>
        <w:t xml:space="preserve"> סמוך לגגה טפח, אבל יש בפחות משלשה סמוך לגגה טפח - אסור. </w:t>
      </w:r>
      <w:r w:rsidR="00E94A49" w:rsidRPr="005275DF">
        <w:rPr>
          <w:rStyle w:val="a9"/>
          <w:rFonts w:asciiTheme="minorBidi" w:hAnsiTheme="minorBidi"/>
          <w:rtl/>
        </w:rPr>
        <w:footnoteReference w:id="2370"/>
      </w:r>
      <w:r w:rsidR="00E94A49">
        <w:rPr>
          <w:rFonts w:cs="Arial" w:hint="cs"/>
          <w:rtl/>
        </w:rPr>
        <w:t>[</w:t>
      </w:r>
      <w:r w:rsidR="00B123DA" w:rsidRPr="00B123DA">
        <w:rPr>
          <w:rFonts w:cs="Arial"/>
          <w:rtl/>
        </w:rPr>
        <w:t>ולא אמרן אלא שאין בשיפועה טפח</w:t>
      </w:r>
      <w:r w:rsidR="00100E1C">
        <w:rPr>
          <w:rStyle w:val="a9"/>
          <w:rFonts w:asciiTheme="minorBidi" w:hAnsiTheme="minorBidi" w:cs="Arial"/>
          <w:rtl/>
        </w:rPr>
        <w:footnoteReference w:id="2371"/>
      </w:r>
      <w:r w:rsidR="00B123DA" w:rsidRPr="00B123DA">
        <w:rPr>
          <w:rFonts w:cs="Arial"/>
          <w:rtl/>
        </w:rPr>
        <w:t>, אבל יש בשיפועה טפח - שפועי אהלים כאהלים דמו.</w:t>
      </w:r>
      <w:r w:rsidR="00E94A49">
        <w:rPr>
          <w:rFonts w:cs="Arial" w:hint="cs"/>
          <w:rtl/>
        </w:rPr>
        <w:t>]</w:t>
      </w:r>
      <w:r w:rsidR="00B123DA" w:rsidRPr="00B123DA">
        <w:rPr>
          <w:rFonts w:cs="Arial"/>
          <w:rtl/>
        </w:rPr>
        <w:t xml:space="preserve"> ולא אמרן אלא דלא נחית מפוריא טפח, אבל נחית מפוריא טפ</w:t>
      </w:r>
      <w:r w:rsidR="00100E1C">
        <w:rPr>
          <w:rFonts w:cs="Arial" w:hint="cs"/>
          <w:rtl/>
        </w:rPr>
        <w:t>ח</w:t>
      </w:r>
      <w:r w:rsidR="00100E1C">
        <w:rPr>
          <w:rStyle w:val="a9"/>
          <w:rFonts w:asciiTheme="minorBidi" w:hAnsiTheme="minorBidi" w:cs="Arial"/>
          <w:rtl/>
        </w:rPr>
        <w:footnoteReference w:id="2372"/>
      </w:r>
      <w:r w:rsidR="00100E1C">
        <w:rPr>
          <w:rFonts w:cs="Arial" w:hint="cs"/>
          <w:rtl/>
        </w:rPr>
        <w:t xml:space="preserve"> </w:t>
      </w:r>
      <w:r w:rsidR="00B123DA" w:rsidRPr="00B123DA">
        <w:rPr>
          <w:rFonts w:cs="Arial"/>
          <w:rtl/>
        </w:rPr>
        <w:t>- אסור.</w:t>
      </w:r>
      <w:r w:rsidR="00E94A49">
        <w:rPr>
          <w:rFonts w:cs="Arial" w:hint="cs"/>
          <w:rtl/>
        </w:rPr>
        <w:t>..</w:t>
      </w:r>
      <w:r w:rsidR="00E94A49" w:rsidRPr="00E94A49">
        <w:rPr>
          <w:rFonts w:asciiTheme="minorBidi" w:hAnsiTheme="minorBidi"/>
          <w:sz w:val="16"/>
          <w:szCs w:val="16"/>
          <w:rtl/>
        </w:rPr>
        <w:t xml:space="preserve"> </w:t>
      </w:r>
      <w:r w:rsidR="00E94A49" w:rsidRPr="00E94A49">
        <w:rPr>
          <w:rFonts w:asciiTheme="minorBidi" w:hAnsiTheme="minorBidi"/>
          <w:sz w:val="14"/>
          <w:szCs w:val="14"/>
          <w:rtl/>
        </w:rPr>
        <w:t>(קלט</w:t>
      </w:r>
      <w:r w:rsidR="00E94A49" w:rsidRPr="00E94A49">
        <w:rPr>
          <w:rFonts w:asciiTheme="minorBidi" w:hAnsiTheme="minorBidi"/>
          <w:sz w:val="14"/>
          <w:szCs w:val="14"/>
        </w:rPr>
        <w:t>.</w:t>
      </w:r>
      <w:r w:rsidR="00E94A49" w:rsidRPr="00E94A49">
        <w:rPr>
          <w:rFonts w:asciiTheme="minorBidi" w:hAnsiTheme="minorBidi"/>
          <w:sz w:val="14"/>
          <w:szCs w:val="14"/>
          <w:rtl/>
        </w:rPr>
        <w:t>)</w:t>
      </w:r>
      <w:r w:rsidR="00E94A49" w:rsidRPr="005275DF">
        <w:rPr>
          <w:rFonts w:asciiTheme="minorBidi" w:hAnsiTheme="minorBidi"/>
          <w:rtl/>
        </w:rPr>
        <w:t xml:space="preserve"> שלחו ליה בני בשכר</w:t>
      </w:r>
      <w:r w:rsidR="00E94A49" w:rsidRPr="005275DF">
        <w:rPr>
          <w:rStyle w:val="a9"/>
          <w:rFonts w:asciiTheme="minorBidi" w:hAnsiTheme="minorBidi"/>
          <w:rtl/>
        </w:rPr>
        <w:footnoteReference w:id="2373"/>
      </w:r>
      <w:r w:rsidR="00E94A49" w:rsidRPr="005275DF">
        <w:rPr>
          <w:rFonts w:asciiTheme="minorBidi" w:hAnsiTheme="minorBidi"/>
          <w:rtl/>
        </w:rPr>
        <w:t xml:space="preserve"> ללוי: כילה מהו</w:t>
      </w:r>
      <w:r w:rsidR="00E94A49" w:rsidRPr="005275DF">
        <w:rPr>
          <w:rStyle w:val="a9"/>
          <w:rFonts w:asciiTheme="minorBidi" w:hAnsiTheme="minorBidi"/>
          <w:rtl/>
        </w:rPr>
        <w:footnoteReference w:id="2374"/>
      </w:r>
      <w:r w:rsidR="00E94A49" w:rsidRPr="005275DF">
        <w:rPr>
          <w:rFonts w:asciiTheme="minorBidi" w:hAnsiTheme="minorBidi"/>
          <w:rtl/>
        </w:rPr>
        <w:t>?... אדאזיל נח נפשיה דלוי. אמר שמואל לרב מנשיא: אי חכימת שלח להו. שלח להו: כילה - חזרנו על כל צידי כילה ולא מצינו לה צד היתר. ולישלח להו</w:t>
      </w:r>
      <w:r w:rsidR="00E94A49" w:rsidRPr="005275DF">
        <w:rPr>
          <w:rStyle w:val="a9"/>
          <w:rFonts w:asciiTheme="minorBidi" w:hAnsiTheme="minorBidi"/>
          <w:rtl/>
        </w:rPr>
        <w:footnoteReference w:id="2375"/>
      </w:r>
      <w:r w:rsidR="00E94A49" w:rsidRPr="005275DF">
        <w:rPr>
          <w:rFonts w:asciiTheme="minorBidi" w:hAnsiTheme="minorBidi"/>
          <w:rtl/>
        </w:rPr>
        <w:t xml:space="preserve"> כדרמי בר יחזקאל</w:t>
      </w:r>
      <w:r w:rsidR="00E94A49" w:rsidRPr="005275DF">
        <w:rPr>
          <w:rStyle w:val="a9"/>
          <w:rFonts w:asciiTheme="minorBidi" w:hAnsiTheme="minorBidi"/>
          <w:rtl/>
        </w:rPr>
        <w:footnoteReference w:id="2376"/>
      </w:r>
      <w:r w:rsidR="00E94A49" w:rsidRPr="005275DF">
        <w:rPr>
          <w:rFonts w:asciiTheme="minorBidi" w:hAnsiTheme="minorBidi"/>
          <w:rtl/>
        </w:rPr>
        <w:t>? לפי שאינן בני תורה</w:t>
      </w:r>
      <w:r w:rsidR="00E94A49" w:rsidRPr="005275DF">
        <w:rPr>
          <w:rStyle w:val="a9"/>
          <w:rFonts w:asciiTheme="minorBidi" w:hAnsiTheme="minorBidi"/>
          <w:rtl/>
        </w:rPr>
        <w:footnoteReference w:id="2377"/>
      </w:r>
      <w:r w:rsidR="00E94A49" w:rsidRPr="005275DF">
        <w:rPr>
          <w:rFonts w:asciiTheme="minorBidi" w:hAnsiTheme="minorBidi"/>
          <w:rtl/>
        </w:rPr>
        <w:t>.</w:t>
      </w:r>
      <w:r w:rsidR="00E94A49">
        <w:rPr>
          <w:rFonts w:asciiTheme="minorBidi" w:hAnsiTheme="minorBidi" w:hint="cs"/>
          <w:rtl/>
        </w:rPr>
        <w:t xml:space="preserve"> </w:t>
      </w:r>
    </w:p>
    <w:p w14:paraId="15F49827" w14:textId="304960C4" w:rsidR="00E27C0E" w:rsidRPr="00E27C0E" w:rsidRDefault="00C4272A" w:rsidP="00434A6A">
      <w:pPr>
        <w:rPr>
          <w:u w:val="single"/>
          <w:rtl/>
        </w:rPr>
      </w:pPr>
      <w:r>
        <w:rPr>
          <w:rFonts w:hint="cs"/>
          <w:u w:val="single"/>
          <w:rtl/>
        </w:rPr>
        <w:t>למה התכו</w:t>
      </w:r>
      <w:r w:rsidR="00325628">
        <w:rPr>
          <w:rFonts w:hint="cs"/>
          <w:u w:val="single"/>
          <w:rtl/>
        </w:rPr>
        <w:t>ו</w:t>
      </w:r>
      <w:r>
        <w:rPr>
          <w:rFonts w:hint="cs"/>
          <w:u w:val="single"/>
          <w:rtl/>
        </w:rPr>
        <w:t xml:space="preserve">ן רמי בר יחזקאל באומרו </w:t>
      </w:r>
      <w:r w:rsidR="00E27C0E" w:rsidRPr="00E27C0E">
        <w:rPr>
          <w:rFonts w:hint="cs"/>
          <w:u w:val="single"/>
          <w:rtl/>
        </w:rPr>
        <w:t>'טלית כפולה':</w:t>
      </w:r>
    </w:p>
    <w:p w14:paraId="47AA78AF" w14:textId="46048F49" w:rsidR="00E27C0E" w:rsidRPr="00E27C0E" w:rsidRDefault="00E27C0E" w:rsidP="00434A6A">
      <w:pPr>
        <w:pStyle w:val="aa"/>
        <w:numPr>
          <w:ilvl w:val="0"/>
          <w:numId w:val="24"/>
        </w:numPr>
        <w:rPr>
          <w:rFonts w:asciiTheme="minorBidi" w:hAnsiTheme="minorBidi"/>
          <w:rtl/>
        </w:rPr>
      </w:pPr>
      <w:r w:rsidRPr="00E27C0E">
        <w:rPr>
          <w:rFonts w:cs="Arial"/>
          <w:rtl/>
        </w:rPr>
        <w:t xml:space="preserve">רי"ף </w:t>
      </w:r>
      <w:r w:rsidRPr="00E27C0E">
        <w:rPr>
          <w:rFonts w:cs="Arial"/>
          <w:sz w:val="16"/>
          <w:szCs w:val="16"/>
          <w:rtl/>
        </w:rPr>
        <w:t>(נו:)</w:t>
      </w:r>
      <w:r w:rsidRPr="00E27C0E">
        <w:rPr>
          <w:rStyle w:val="a9"/>
          <w:rFonts w:cs="Arial"/>
          <w:rtl/>
        </w:rPr>
        <w:t xml:space="preserve"> </w:t>
      </w:r>
      <w:r w:rsidRPr="00E27C0E">
        <w:rPr>
          <w:rFonts w:cs="Arial" w:hint="cs"/>
          <w:rtl/>
        </w:rPr>
        <w:t>ו</w:t>
      </w:r>
      <w:r w:rsidRPr="00E27C0E">
        <w:rPr>
          <w:rFonts w:cs="Arial"/>
          <w:rtl/>
        </w:rPr>
        <w:t xml:space="preserve">רמב"ם </w:t>
      </w:r>
      <w:r w:rsidRPr="00E27C0E">
        <w:rPr>
          <w:rFonts w:cs="Arial" w:hint="cs"/>
          <w:sz w:val="16"/>
          <w:szCs w:val="16"/>
          <w:rtl/>
        </w:rPr>
        <w:t>(</w:t>
      </w:r>
      <w:r w:rsidRPr="00E27C0E">
        <w:rPr>
          <w:rFonts w:cs="Arial"/>
          <w:sz w:val="16"/>
          <w:szCs w:val="16"/>
          <w:rtl/>
        </w:rPr>
        <w:t>פכ"ב הכ"ט-ל)</w:t>
      </w:r>
      <w:r>
        <w:rPr>
          <w:rFonts w:hint="cs"/>
          <w:rtl/>
        </w:rPr>
        <w:t xml:space="preserve">- </w:t>
      </w:r>
      <w:r w:rsidRPr="00DC70BF">
        <w:rPr>
          <w:rFonts w:cs="Arial"/>
          <w:rtl/>
        </w:rPr>
        <w:t>טלית כפולה שקושרה בין שני כתלים</w:t>
      </w:r>
      <w:r>
        <w:rPr>
          <w:rFonts w:cs="Arial" w:hint="cs"/>
          <w:rtl/>
        </w:rPr>
        <w:t>,</w:t>
      </w:r>
      <w:r w:rsidRPr="00DC70BF">
        <w:rPr>
          <w:rFonts w:cs="Arial"/>
          <w:rtl/>
        </w:rPr>
        <w:t xml:space="preserve"> והיא משולשלת ומגעת לארץ</w:t>
      </w:r>
      <w:r>
        <w:rPr>
          <w:rFonts w:cs="Arial" w:hint="cs"/>
          <w:rtl/>
        </w:rPr>
        <w:t>,</w:t>
      </w:r>
      <w:r w:rsidRPr="00DC70BF">
        <w:rPr>
          <w:rFonts w:cs="Arial"/>
          <w:rtl/>
        </w:rPr>
        <w:t xml:space="preserve"> ונכנס בין שני קצותיה וישן תחתיה בצל</w:t>
      </w:r>
      <w:r>
        <w:rPr>
          <w:rFonts w:cs="Arial" w:hint="cs"/>
          <w:rtl/>
        </w:rPr>
        <w:t>,</w:t>
      </w:r>
      <w:r w:rsidRPr="00DC70BF">
        <w:rPr>
          <w:rFonts w:cs="Arial"/>
          <w:rtl/>
        </w:rPr>
        <w:t xml:space="preserve"> ואין בגגה טפח ולא בפחות מג' סמוך לגגה טפח ולפיכך אינו אהל קבע</w:t>
      </w:r>
      <w:r>
        <w:rPr>
          <w:rFonts w:cs="Arial" w:hint="cs"/>
          <w:rtl/>
        </w:rPr>
        <w:t>,</w:t>
      </w:r>
      <w:r w:rsidRPr="00DC70BF">
        <w:rPr>
          <w:rFonts w:cs="Arial"/>
          <w:rtl/>
        </w:rPr>
        <w:t xml:space="preserve"> אלא אהל עראי הוא</w:t>
      </w:r>
      <w:r w:rsidR="00537D26">
        <w:rPr>
          <w:rStyle w:val="a9"/>
          <w:rFonts w:cs="Arial"/>
          <w:rtl/>
        </w:rPr>
        <w:footnoteReference w:id="2378"/>
      </w:r>
      <w:r>
        <w:rPr>
          <w:rFonts w:cs="Arial" w:hint="cs"/>
          <w:rtl/>
        </w:rPr>
        <w:t>.</w:t>
      </w:r>
      <w:r w:rsidRPr="00DC70BF">
        <w:rPr>
          <w:rFonts w:cs="Arial"/>
          <w:rtl/>
        </w:rPr>
        <w:t xml:space="preserve"> ומפני שאין בגגה טפח ולא בפחות מג' סמוך לגגה טפח</w:t>
      </w:r>
      <w:r>
        <w:rPr>
          <w:rFonts w:cs="Arial" w:hint="cs"/>
          <w:rtl/>
        </w:rPr>
        <w:t xml:space="preserve"> </w:t>
      </w:r>
      <w:r w:rsidRPr="00DC70BF">
        <w:rPr>
          <w:rFonts w:cs="Arial"/>
          <w:rtl/>
        </w:rPr>
        <w:t>לפיכך פטור אבל אסור</w:t>
      </w:r>
      <w:r>
        <w:rPr>
          <w:rStyle w:val="a9"/>
          <w:rFonts w:cs="Arial"/>
          <w:rtl/>
        </w:rPr>
        <w:footnoteReference w:id="2379"/>
      </w:r>
      <w:r>
        <w:rPr>
          <w:rFonts w:cs="Arial" w:hint="cs"/>
          <w:rtl/>
        </w:rPr>
        <w:t>.</w:t>
      </w:r>
      <w:r w:rsidRPr="00DC70BF">
        <w:rPr>
          <w:rFonts w:cs="Arial"/>
          <w:rtl/>
        </w:rPr>
        <w:t xml:space="preserve"> ואם היו עליו חוטין מאתמול ונטה אותם היום מותר</w:t>
      </w:r>
      <w:r>
        <w:rPr>
          <w:rFonts w:cs="Arial" w:hint="cs"/>
          <w:sz w:val="16"/>
          <w:szCs w:val="16"/>
          <w:rtl/>
        </w:rPr>
        <w:t xml:space="preserve"> (ל' הרי"ף)</w:t>
      </w:r>
      <w:r>
        <w:rPr>
          <w:rFonts w:asciiTheme="minorBidi" w:hAnsiTheme="minorBidi" w:hint="cs"/>
          <w:rtl/>
        </w:rPr>
        <w:t>.</w:t>
      </w:r>
      <w:r w:rsidR="009D51D3" w:rsidRPr="009D51D3">
        <w:rPr>
          <w:rFonts w:cs="Arial" w:hint="cs"/>
          <w:color w:val="E36C0A" w:themeColor="accent6" w:themeShade="BF"/>
          <w:rtl/>
        </w:rPr>
        <w:t xml:space="preserve"> (וכ"פ בשו"ע</w:t>
      </w:r>
      <w:r w:rsidR="009D51D3">
        <w:rPr>
          <w:rFonts w:cs="Arial" w:hint="cs"/>
          <w:color w:val="E36C0A" w:themeColor="accent6" w:themeShade="BF"/>
          <w:rtl/>
        </w:rPr>
        <w:t xml:space="preserve"> </w:t>
      </w:r>
      <w:r w:rsidR="009D51D3" w:rsidRPr="009D51D3">
        <w:rPr>
          <w:rFonts w:cs="Arial" w:hint="cs"/>
          <w:color w:val="000000" w:themeColor="text1"/>
          <w:sz w:val="16"/>
          <w:szCs w:val="16"/>
          <w:rtl/>
        </w:rPr>
        <w:t>[כאן ובסע' י</w:t>
      </w:r>
      <w:r w:rsidR="009D51D3">
        <w:rPr>
          <w:rFonts w:cs="Arial" w:hint="cs"/>
          <w:color w:val="000000" w:themeColor="text1"/>
          <w:sz w:val="16"/>
          <w:szCs w:val="16"/>
          <w:rtl/>
        </w:rPr>
        <w:t>]</w:t>
      </w:r>
      <w:r w:rsidR="009D51D3">
        <w:rPr>
          <w:rFonts w:cs="Arial" w:hint="cs"/>
          <w:color w:val="E36C0A" w:themeColor="accent6" w:themeShade="BF"/>
          <w:rtl/>
        </w:rPr>
        <w:t>)</w:t>
      </w:r>
    </w:p>
    <w:p w14:paraId="02F0307F" w14:textId="322ACCDC" w:rsidR="004D5E07" w:rsidRPr="00537D26" w:rsidRDefault="00E27C0E" w:rsidP="00434A6A">
      <w:pPr>
        <w:pStyle w:val="aa"/>
        <w:numPr>
          <w:ilvl w:val="0"/>
          <w:numId w:val="24"/>
        </w:numPr>
        <w:rPr>
          <w:rFonts w:asciiTheme="minorBidi" w:hAnsiTheme="minorBidi"/>
        </w:rPr>
      </w:pPr>
      <w:r w:rsidRPr="00DC70BF">
        <w:rPr>
          <w:rFonts w:cs="Arial"/>
          <w:rtl/>
        </w:rPr>
        <w:t xml:space="preserve">רא"ש </w:t>
      </w:r>
      <w:r w:rsidRPr="00E27C0E">
        <w:rPr>
          <w:rFonts w:cs="Arial"/>
          <w:sz w:val="16"/>
          <w:szCs w:val="16"/>
          <w:rtl/>
        </w:rPr>
        <w:t>(סי' ב)</w:t>
      </w:r>
      <w:r>
        <w:rPr>
          <w:rFonts w:cs="Arial" w:hint="cs"/>
          <w:rtl/>
        </w:rPr>
        <w:t>-</w:t>
      </w:r>
      <w:r w:rsidRPr="00DC70BF">
        <w:rPr>
          <w:rFonts w:cs="Arial"/>
          <w:rtl/>
        </w:rPr>
        <w:t xml:space="preserve"> מיירי שיש בגג טפח</w:t>
      </w:r>
      <w:r w:rsidR="00537D26">
        <w:rPr>
          <w:rStyle w:val="a9"/>
          <w:rFonts w:cs="Arial"/>
          <w:rtl/>
        </w:rPr>
        <w:footnoteReference w:id="2380"/>
      </w:r>
      <w:r>
        <w:rPr>
          <w:rFonts w:cs="Arial" w:hint="cs"/>
          <w:rtl/>
        </w:rPr>
        <w:t>,</w:t>
      </w:r>
      <w:r w:rsidRPr="00DC70BF">
        <w:rPr>
          <w:rFonts w:cs="Arial"/>
          <w:rtl/>
        </w:rPr>
        <w:t xml:space="preserve"> אי נמי כגון שלאחר שכלה השיפוע של הטלית יורד ממנו בשוה בלא שום שיפוע ברוחב טפח</w:t>
      </w:r>
      <w:r w:rsidR="00DD51C9">
        <w:rPr>
          <w:rFonts w:cs="Arial" w:hint="cs"/>
          <w:rtl/>
        </w:rPr>
        <w:t>,</w:t>
      </w:r>
      <w:r w:rsidRPr="00DC70BF">
        <w:rPr>
          <w:rFonts w:cs="Arial"/>
          <w:rtl/>
        </w:rPr>
        <w:t xml:space="preserve"> כדאמרינן גבי כילת חתנים </w:t>
      </w:r>
      <w:r>
        <w:rPr>
          <w:rFonts w:cs="Arial" w:hint="cs"/>
          <w:rtl/>
        </w:rPr>
        <w:t>'</w:t>
      </w:r>
      <w:r w:rsidRPr="00DC70BF">
        <w:rPr>
          <w:rFonts w:cs="Arial"/>
          <w:rtl/>
        </w:rPr>
        <w:t>אבל נחתא מפוריא טפח אסור</w:t>
      </w:r>
      <w:r>
        <w:rPr>
          <w:rFonts w:cs="Arial" w:hint="cs"/>
          <w:rtl/>
        </w:rPr>
        <w:t>'</w:t>
      </w:r>
      <w:r>
        <w:rPr>
          <w:rStyle w:val="a9"/>
          <w:rFonts w:cs="Arial"/>
          <w:rtl/>
        </w:rPr>
        <w:footnoteReference w:id="2381"/>
      </w:r>
      <w:r>
        <w:rPr>
          <w:rFonts w:cs="Arial" w:hint="cs"/>
          <w:rtl/>
        </w:rPr>
        <w:t>.</w:t>
      </w:r>
      <w:r w:rsidRPr="00DC70BF">
        <w:rPr>
          <w:rFonts w:cs="Arial"/>
          <w:rtl/>
        </w:rPr>
        <w:t xml:space="preserve"> והא דאמרינן כרך עליה חוט או משיחה מותר</w:t>
      </w:r>
      <w:r>
        <w:rPr>
          <w:rFonts w:cs="Arial" w:hint="cs"/>
          <w:rtl/>
        </w:rPr>
        <w:t>,</w:t>
      </w:r>
      <w:r w:rsidRPr="00DC70BF">
        <w:rPr>
          <w:rFonts w:cs="Arial"/>
          <w:rtl/>
        </w:rPr>
        <w:t xml:space="preserve"> איירי אפילו לא היתה פרוסה טפח אלא כולה כרוכה</w:t>
      </w:r>
      <w:r>
        <w:rPr>
          <w:rFonts w:cs="Arial" w:hint="cs"/>
          <w:rtl/>
        </w:rPr>
        <w:t>,</w:t>
      </w:r>
      <w:r w:rsidRPr="00DC70BF">
        <w:rPr>
          <w:rFonts w:cs="Arial"/>
          <w:rtl/>
        </w:rPr>
        <w:t xml:space="preserve"> דכריכת חוט או משיחה חשיב כאילו היתה פרוסה טפח</w:t>
      </w:r>
      <w:r w:rsidR="00FC4524">
        <w:rPr>
          <w:rStyle w:val="a9"/>
          <w:rFonts w:cs="Arial"/>
          <w:rtl/>
        </w:rPr>
        <w:footnoteReference w:id="2382"/>
      </w:r>
      <w:r w:rsidRPr="00E27C0E">
        <w:rPr>
          <w:rFonts w:cs="Arial" w:hint="cs"/>
          <w:rtl/>
        </w:rPr>
        <w:t>.</w:t>
      </w:r>
      <w:r w:rsidRPr="00E27C0E">
        <w:rPr>
          <w:rFonts w:cs="Arial"/>
          <w:rtl/>
        </w:rPr>
        <w:t xml:space="preserve"> </w:t>
      </w:r>
    </w:p>
    <w:p w14:paraId="2C54D373" w14:textId="09D5FC05" w:rsidR="009D51D3" w:rsidRPr="009D51D3" w:rsidRDefault="009D51D3" w:rsidP="00434A6A">
      <w:pPr>
        <w:ind w:left="360"/>
        <w:rPr>
          <w:rFonts w:asciiTheme="minorBidi" w:hAnsiTheme="minorBidi"/>
          <w:u w:val="dotted"/>
        </w:rPr>
      </w:pPr>
      <w:r w:rsidRPr="009D51D3">
        <w:rPr>
          <w:rFonts w:asciiTheme="minorBidi" w:hAnsiTheme="minorBidi" w:hint="cs"/>
          <w:u w:val="dotted"/>
          <w:rtl/>
        </w:rPr>
        <w:t>ומה הדין בכילת חתנים:</w:t>
      </w:r>
    </w:p>
    <w:p w14:paraId="6681EACB" w14:textId="26E3D0DE" w:rsidR="00206B55" w:rsidRDefault="00350D72" w:rsidP="00434A6A">
      <w:pPr>
        <w:pStyle w:val="aa"/>
        <w:numPr>
          <w:ilvl w:val="0"/>
          <w:numId w:val="24"/>
        </w:numPr>
        <w:rPr>
          <w:rFonts w:asciiTheme="minorBidi" w:hAnsiTheme="minorBidi"/>
        </w:rPr>
      </w:pPr>
      <w:r w:rsidRPr="009D51D3">
        <w:rPr>
          <w:rFonts w:cs="Arial"/>
          <w:rtl/>
        </w:rPr>
        <w:t xml:space="preserve">רי"ף </w:t>
      </w:r>
      <w:r w:rsidRPr="009D51D3">
        <w:rPr>
          <w:rFonts w:cs="Arial"/>
          <w:sz w:val="16"/>
          <w:szCs w:val="16"/>
          <w:rtl/>
        </w:rPr>
        <w:t>(נו:)</w:t>
      </w:r>
      <w:r w:rsidR="0000327E" w:rsidRPr="009D51D3">
        <w:rPr>
          <w:rFonts w:cs="Arial"/>
          <w:rtl/>
        </w:rPr>
        <w:t xml:space="preserve"> </w:t>
      </w:r>
      <w:r w:rsidR="0000327E" w:rsidRPr="009D51D3">
        <w:rPr>
          <w:rFonts w:cs="Arial" w:hint="cs"/>
          <w:rtl/>
        </w:rPr>
        <w:t>ו</w:t>
      </w:r>
      <w:r w:rsidR="0000327E" w:rsidRPr="009D51D3">
        <w:rPr>
          <w:rFonts w:cs="Arial"/>
          <w:rtl/>
        </w:rPr>
        <w:t xml:space="preserve">רמב"ם </w:t>
      </w:r>
      <w:r w:rsidR="0000327E" w:rsidRPr="009D51D3">
        <w:rPr>
          <w:rFonts w:cs="Arial" w:hint="cs"/>
          <w:sz w:val="16"/>
          <w:szCs w:val="16"/>
          <w:rtl/>
        </w:rPr>
        <w:t>(</w:t>
      </w:r>
      <w:r w:rsidR="0000327E" w:rsidRPr="009D51D3">
        <w:rPr>
          <w:rFonts w:cs="Arial"/>
          <w:sz w:val="16"/>
          <w:szCs w:val="16"/>
          <w:rtl/>
        </w:rPr>
        <w:t>פכ"ב הכ"ט-ל)</w:t>
      </w:r>
      <w:r w:rsidR="0000327E" w:rsidRPr="009D51D3">
        <w:rPr>
          <w:rFonts w:cs="Arial" w:hint="cs"/>
          <w:rtl/>
        </w:rPr>
        <w:t>-</w:t>
      </w:r>
      <w:r w:rsidR="0000327E" w:rsidRPr="009D51D3">
        <w:rPr>
          <w:rFonts w:cs="Arial"/>
          <w:rtl/>
        </w:rPr>
        <w:t xml:space="preserve"> כל אהל משופע שאין בגגו טפח ולא בפחות משלשה סמוך לגגו רוחב טפח </w:t>
      </w:r>
      <w:r w:rsidR="0000327E" w:rsidRPr="009D51D3">
        <w:rPr>
          <w:rFonts w:cs="Arial" w:hint="cs"/>
          <w:rtl/>
        </w:rPr>
        <w:t xml:space="preserve">- </w:t>
      </w:r>
      <w:r w:rsidR="0000327E" w:rsidRPr="009D51D3">
        <w:rPr>
          <w:rFonts w:cs="Arial"/>
          <w:rtl/>
        </w:rPr>
        <w:t xml:space="preserve">הרי זה אהל עראי והעושה אותו לכתחלה בשבת פטור. טלית כפולה שהיו עליה חוטים שהיא תלויה בהם מערב שבת </w:t>
      </w:r>
      <w:r w:rsidR="00951C51">
        <w:rPr>
          <w:rFonts w:cs="Arial" w:hint="cs"/>
          <w:rtl/>
        </w:rPr>
        <w:t xml:space="preserve">- </w:t>
      </w:r>
      <w:r w:rsidR="0000327E" w:rsidRPr="009D51D3">
        <w:rPr>
          <w:rFonts w:cs="Arial"/>
          <w:rtl/>
        </w:rPr>
        <w:t>מותר לנטותה ומותר לפרקה</w:t>
      </w:r>
      <w:r w:rsidR="0000327E" w:rsidRPr="009D51D3">
        <w:rPr>
          <w:rFonts w:cs="Arial" w:hint="cs"/>
          <w:rtl/>
        </w:rPr>
        <w:t>.</w:t>
      </w:r>
      <w:r w:rsidR="0000327E" w:rsidRPr="009D51D3">
        <w:rPr>
          <w:rFonts w:cs="Arial"/>
          <w:rtl/>
        </w:rPr>
        <w:t xml:space="preserve"> וכן הפרוכת. </w:t>
      </w:r>
      <w:r w:rsidR="0000327E" w:rsidRPr="009D51D3">
        <w:rPr>
          <w:rFonts w:cs="Arial" w:hint="cs"/>
          <w:sz w:val="14"/>
          <w:szCs w:val="14"/>
          <w:rtl/>
        </w:rPr>
        <w:t>(ה"ל)</w:t>
      </w:r>
      <w:r w:rsidR="0000327E" w:rsidRPr="009D51D3">
        <w:rPr>
          <w:rFonts w:cs="Arial" w:hint="cs"/>
          <w:sz w:val="16"/>
          <w:szCs w:val="16"/>
          <w:rtl/>
        </w:rPr>
        <w:t xml:space="preserve"> </w:t>
      </w:r>
      <w:r w:rsidR="0000327E" w:rsidRPr="009D51D3">
        <w:rPr>
          <w:rFonts w:cs="Arial"/>
          <w:rtl/>
        </w:rPr>
        <w:t>כילת חתנים שאין בגגה טפח ולא בפחות משלשה סמוך לגגה רוחב טפח</w:t>
      </w:r>
      <w:r w:rsidR="00C65584" w:rsidRPr="009D51D3">
        <w:rPr>
          <w:rFonts w:cs="Arial" w:hint="cs"/>
          <w:rtl/>
        </w:rPr>
        <w:t>,</w:t>
      </w:r>
      <w:r w:rsidR="0000327E" w:rsidRPr="009D51D3">
        <w:rPr>
          <w:rFonts w:cs="Arial"/>
          <w:rtl/>
        </w:rPr>
        <w:t xml:space="preserve"> הואיל שהיא מתוקנת לכך </w:t>
      </w:r>
      <w:r w:rsidR="00C65584" w:rsidRPr="009D51D3">
        <w:rPr>
          <w:rFonts w:cs="Arial" w:hint="cs"/>
          <w:rtl/>
        </w:rPr>
        <w:t xml:space="preserve">- </w:t>
      </w:r>
      <w:r w:rsidR="0000327E" w:rsidRPr="009D51D3">
        <w:rPr>
          <w:rFonts w:cs="Arial"/>
          <w:rtl/>
        </w:rPr>
        <w:t>מותר לנטותה ומותר לפרקה</w:t>
      </w:r>
      <w:r w:rsidR="00C65584" w:rsidRPr="009D51D3">
        <w:rPr>
          <w:rFonts w:cs="Arial" w:hint="cs"/>
          <w:rtl/>
        </w:rPr>
        <w:t>,</w:t>
      </w:r>
      <w:r w:rsidR="0000327E" w:rsidRPr="009D51D3">
        <w:rPr>
          <w:rFonts w:cs="Arial"/>
          <w:rtl/>
        </w:rPr>
        <w:t xml:space="preserve"> והוא שלא תהא משולשלת מעל המטה טפח</w:t>
      </w:r>
      <w:r w:rsidR="0000327E" w:rsidRPr="009D51D3">
        <w:rPr>
          <w:rFonts w:cs="Arial" w:hint="cs"/>
          <w:sz w:val="16"/>
          <w:szCs w:val="16"/>
          <w:rtl/>
        </w:rPr>
        <w:t xml:space="preserve"> (ל' הרמב"ם)</w:t>
      </w:r>
      <w:r w:rsidR="0000327E" w:rsidRPr="009D51D3">
        <w:rPr>
          <w:rFonts w:cs="Arial" w:hint="cs"/>
          <w:rtl/>
        </w:rPr>
        <w:t>.</w:t>
      </w:r>
      <w:r w:rsidR="0000327E" w:rsidRPr="009D51D3">
        <w:rPr>
          <w:rFonts w:cs="Arial"/>
          <w:rtl/>
        </w:rPr>
        <w:t xml:space="preserve"> </w:t>
      </w:r>
      <w:r w:rsidR="00E27C0E" w:rsidRPr="009D51D3">
        <w:rPr>
          <w:rFonts w:cs="Arial" w:hint="cs"/>
          <w:color w:val="E36C0A" w:themeColor="accent6" w:themeShade="BF"/>
          <w:rtl/>
        </w:rPr>
        <w:t>(וכ"פ בשו"ע</w:t>
      </w:r>
      <w:r w:rsidR="00E27C0E" w:rsidRPr="009D51D3">
        <w:rPr>
          <w:rFonts w:cs="Arial" w:hint="cs"/>
          <w:color w:val="E36C0A" w:themeColor="accent6" w:themeShade="BF"/>
          <w:sz w:val="16"/>
          <w:szCs w:val="16"/>
          <w:rtl/>
        </w:rPr>
        <w:t xml:space="preserve"> </w:t>
      </w:r>
      <w:r w:rsidR="00E27C0E" w:rsidRPr="009D51D3">
        <w:rPr>
          <w:rFonts w:cs="Arial" w:hint="cs"/>
          <w:color w:val="000000" w:themeColor="text1"/>
          <w:sz w:val="16"/>
          <w:szCs w:val="16"/>
          <w:rtl/>
        </w:rPr>
        <w:t>[כאן ובסע' י-יא]</w:t>
      </w:r>
      <w:r w:rsidR="00E27C0E" w:rsidRPr="009D51D3">
        <w:rPr>
          <w:rFonts w:cs="Arial" w:hint="cs"/>
          <w:color w:val="E36C0A" w:themeColor="accent6" w:themeShade="BF"/>
          <w:rtl/>
        </w:rPr>
        <w:t>)</w:t>
      </w:r>
    </w:p>
    <w:p w14:paraId="60CB078F" w14:textId="77240683" w:rsidR="008313EA" w:rsidRPr="008313EA" w:rsidRDefault="008313EA" w:rsidP="00434A6A">
      <w:pPr>
        <w:pStyle w:val="aa"/>
        <w:numPr>
          <w:ilvl w:val="0"/>
          <w:numId w:val="24"/>
        </w:numPr>
        <w:rPr>
          <w:rFonts w:asciiTheme="minorBidi" w:hAnsiTheme="minorBidi"/>
        </w:rPr>
      </w:pPr>
      <w:r>
        <w:rPr>
          <w:rFonts w:asciiTheme="minorBidi" w:hAnsiTheme="minorBidi" w:cs="Arial" w:hint="cs"/>
          <w:rtl/>
        </w:rPr>
        <w:t xml:space="preserve">טור- </w:t>
      </w:r>
      <w:r w:rsidRPr="00B6715C">
        <w:rPr>
          <w:rFonts w:asciiTheme="minorBidi" w:hAnsiTheme="minorBidi" w:cs="Arial"/>
          <w:rtl/>
        </w:rPr>
        <w:t>כילת חתנים והיא נתונה על ב' עצים זקופים ובולטים מהמטה א' לראש המטה ואחד לרגליה וקנה נתון עליהן והכילה פרושה עליו ויורדת לכאן ולכאן</w:t>
      </w:r>
      <w:r>
        <w:rPr>
          <w:rFonts w:asciiTheme="minorBidi" w:hAnsiTheme="minorBidi" w:cs="Arial" w:hint="cs"/>
          <w:rtl/>
        </w:rPr>
        <w:t xml:space="preserve"> </w:t>
      </w:r>
      <w:r w:rsidRPr="00B6715C">
        <w:rPr>
          <w:rFonts w:asciiTheme="minorBidi" w:hAnsiTheme="minorBidi" w:cs="Arial"/>
          <w:rtl/>
        </w:rPr>
        <w:t>מותר לנטותה</w:t>
      </w:r>
      <w:r>
        <w:rPr>
          <w:rFonts w:asciiTheme="minorBidi" w:hAnsiTheme="minorBidi" w:cs="Arial" w:hint="cs"/>
          <w:rtl/>
        </w:rPr>
        <w:t>,</w:t>
      </w:r>
      <w:r w:rsidRPr="00B6715C">
        <w:rPr>
          <w:rFonts w:asciiTheme="minorBidi" w:hAnsiTheme="minorBidi" w:cs="Arial"/>
          <w:rtl/>
        </w:rPr>
        <w:t xml:space="preserve"> והוא</w:t>
      </w:r>
      <w:r>
        <w:rPr>
          <w:rFonts w:asciiTheme="minorBidi" w:hAnsiTheme="minorBidi" w:cs="Arial" w:hint="cs"/>
          <w:rtl/>
        </w:rPr>
        <w:t>:</w:t>
      </w:r>
      <w:r w:rsidRPr="00B6715C">
        <w:rPr>
          <w:rFonts w:asciiTheme="minorBidi" w:hAnsiTheme="minorBidi" w:cs="Arial"/>
          <w:rtl/>
        </w:rPr>
        <w:t xml:space="preserve"> שלא יהא בגגה רוחב טפח ולא בפחות מג</w:t>
      </w:r>
      <w:r>
        <w:rPr>
          <w:rFonts w:asciiTheme="minorBidi" w:hAnsiTheme="minorBidi" w:cs="Arial" w:hint="cs"/>
          <w:rtl/>
        </w:rPr>
        <w:t xml:space="preserve">' </w:t>
      </w:r>
      <w:r w:rsidRPr="00B6715C">
        <w:rPr>
          <w:rFonts w:asciiTheme="minorBidi" w:hAnsiTheme="minorBidi" w:cs="Arial"/>
          <w:rtl/>
        </w:rPr>
        <w:t>ט</w:t>
      </w:r>
      <w:r>
        <w:rPr>
          <w:rFonts w:asciiTheme="minorBidi" w:hAnsiTheme="minorBidi" w:cs="Arial" w:hint="cs"/>
          <w:rtl/>
        </w:rPr>
        <w:t>פחים</w:t>
      </w:r>
      <w:r w:rsidRPr="00B6715C">
        <w:rPr>
          <w:rFonts w:asciiTheme="minorBidi" w:hAnsiTheme="minorBidi" w:cs="Arial"/>
          <w:rtl/>
        </w:rPr>
        <w:t xml:space="preserve"> סמוך לגגה טפח</w:t>
      </w:r>
      <w:r>
        <w:rPr>
          <w:rFonts w:asciiTheme="minorBidi" w:hAnsiTheme="minorBidi" w:cs="Arial" w:hint="cs"/>
          <w:rtl/>
        </w:rPr>
        <w:t>,</w:t>
      </w:r>
      <w:r w:rsidRPr="00B6715C">
        <w:rPr>
          <w:rFonts w:asciiTheme="minorBidi" w:hAnsiTheme="minorBidi" w:cs="Arial"/>
          <w:rtl/>
        </w:rPr>
        <w:t xml:space="preserve"> פי</w:t>
      </w:r>
      <w:r>
        <w:rPr>
          <w:rFonts w:asciiTheme="minorBidi" w:hAnsiTheme="minorBidi" w:cs="Arial" w:hint="cs"/>
          <w:rtl/>
        </w:rPr>
        <w:t>רוש</w:t>
      </w:r>
      <w:r w:rsidRPr="00B6715C">
        <w:rPr>
          <w:rFonts w:asciiTheme="minorBidi" w:hAnsiTheme="minorBidi" w:cs="Arial"/>
          <w:rtl/>
        </w:rPr>
        <w:t xml:space="preserve"> שאינה מתרחבת טפח עד לאחר שירדה ג"ט</w:t>
      </w:r>
      <w:r>
        <w:rPr>
          <w:rFonts w:asciiTheme="minorBidi" w:hAnsiTheme="minorBidi" w:cs="Arial" w:hint="cs"/>
          <w:rtl/>
        </w:rPr>
        <w:t>.</w:t>
      </w:r>
      <w:r w:rsidRPr="00B6715C">
        <w:rPr>
          <w:rFonts w:asciiTheme="minorBidi" w:hAnsiTheme="minorBidi" w:cs="Arial"/>
          <w:rtl/>
        </w:rPr>
        <w:t xml:space="preserve"> ואין בשיפועה טפח</w:t>
      </w:r>
      <w:r>
        <w:rPr>
          <w:rFonts w:asciiTheme="minorBidi" w:hAnsiTheme="minorBidi" w:cs="Arial" w:hint="cs"/>
          <w:rtl/>
        </w:rPr>
        <w:t>,</w:t>
      </w:r>
      <w:r w:rsidRPr="00B6715C">
        <w:rPr>
          <w:rFonts w:asciiTheme="minorBidi" w:hAnsiTheme="minorBidi" w:cs="Arial"/>
          <w:rtl/>
        </w:rPr>
        <w:t xml:space="preserve"> פי</w:t>
      </w:r>
      <w:r>
        <w:rPr>
          <w:rFonts w:asciiTheme="minorBidi" w:hAnsiTheme="minorBidi" w:cs="Arial" w:hint="cs"/>
          <w:rtl/>
        </w:rPr>
        <w:t>רוש</w:t>
      </w:r>
      <w:r w:rsidRPr="00B6715C">
        <w:rPr>
          <w:rFonts w:asciiTheme="minorBidi" w:hAnsiTheme="minorBidi" w:cs="Arial"/>
          <w:rtl/>
        </w:rPr>
        <w:t xml:space="preserve"> שאין כל צד וצד מתפשט למטה להתרחק טפח מכנגד אמצעיתה</w:t>
      </w:r>
      <w:r>
        <w:rPr>
          <w:rFonts w:asciiTheme="minorBidi" w:hAnsiTheme="minorBidi" w:cs="Arial" w:hint="cs"/>
          <w:rtl/>
        </w:rPr>
        <w:t>,</w:t>
      </w:r>
      <w:r w:rsidRPr="00B6715C">
        <w:rPr>
          <w:rFonts w:asciiTheme="minorBidi" w:hAnsiTheme="minorBidi" w:cs="Arial"/>
          <w:rtl/>
        </w:rPr>
        <w:t xml:space="preserve"> דהיינו שאין ברחבה למטה ב</w:t>
      </w:r>
      <w:r>
        <w:rPr>
          <w:rFonts w:asciiTheme="minorBidi" w:hAnsiTheme="minorBidi" w:cs="Arial" w:hint="cs"/>
          <w:rtl/>
        </w:rPr>
        <w:t>' טפחים,</w:t>
      </w:r>
      <w:r w:rsidRPr="00B6715C">
        <w:rPr>
          <w:rFonts w:asciiTheme="minorBidi" w:hAnsiTheme="minorBidi" w:cs="Arial"/>
          <w:rtl/>
        </w:rPr>
        <w:t xml:space="preserve"> שאינה עשויה לישן תחתיה אלא לנוי</w:t>
      </w:r>
      <w:r>
        <w:rPr>
          <w:rFonts w:asciiTheme="minorBidi" w:hAnsiTheme="minorBidi" w:cs="Arial" w:hint="cs"/>
          <w:rtl/>
        </w:rPr>
        <w:t>.</w:t>
      </w:r>
      <w:r w:rsidRPr="00B6715C">
        <w:rPr>
          <w:rFonts w:asciiTheme="minorBidi" w:hAnsiTheme="minorBidi" w:cs="Arial"/>
          <w:rtl/>
        </w:rPr>
        <w:t xml:space="preserve"> ומיירי נמי שאינה יורדת למטה טפח בזקיפה בלא שיפוע לאחר שכלה השיפוע</w:t>
      </w:r>
      <w:r>
        <w:rPr>
          <w:rFonts w:asciiTheme="minorBidi" w:hAnsiTheme="minorBidi" w:cs="Arial" w:hint="cs"/>
          <w:rtl/>
        </w:rPr>
        <w:t>.</w:t>
      </w:r>
      <w:r w:rsidRPr="00B6715C">
        <w:rPr>
          <w:rFonts w:asciiTheme="minorBidi" w:hAnsiTheme="minorBidi" w:cs="Arial"/>
          <w:rtl/>
        </w:rPr>
        <w:t xml:space="preserve"> אבל אם יש בגגה טפח</w:t>
      </w:r>
      <w:r>
        <w:rPr>
          <w:rFonts w:asciiTheme="minorBidi" w:hAnsiTheme="minorBidi" w:cs="Arial" w:hint="cs"/>
          <w:rtl/>
        </w:rPr>
        <w:t>,</w:t>
      </w:r>
      <w:r w:rsidRPr="00B6715C">
        <w:rPr>
          <w:rFonts w:asciiTheme="minorBidi" w:hAnsiTheme="minorBidi" w:cs="Arial"/>
          <w:rtl/>
        </w:rPr>
        <w:t xml:space="preserve"> או בפחות מג' סמוך לגגה טפח</w:t>
      </w:r>
      <w:r>
        <w:rPr>
          <w:rFonts w:asciiTheme="minorBidi" w:hAnsiTheme="minorBidi" w:cs="Arial" w:hint="cs"/>
          <w:rtl/>
        </w:rPr>
        <w:t>,</w:t>
      </w:r>
      <w:r w:rsidRPr="00B6715C">
        <w:rPr>
          <w:rFonts w:asciiTheme="minorBidi" w:hAnsiTheme="minorBidi" w:cs="Arial"/>
          <w:rtl/>
        </w:rPr>
        <w:t xml:space="preserve"> או שיש בשיפוע טפח</w:t>
      </w:r>
      <w:r>
        <w:rPr>
          <w:rFonts w:asciiTheme="minorBidi" w:hAnsiTheme="minorBidi" w:cs="Arial" w:hint="cs"/>
          <w:rtl/>
        </w:rPr>
        <w:t>,</w:t>
      </w:r>
      <w:r w:rsidRPr="00B6715C">
        <w:rPr>
          <w:rFonts w:asciiTheme="minorBidi" w:hAnsiTheme="minorBidi" w:cs="Arial"/>
          <w:rtl/>
        </w:rPr>
        <w:t xml:space="preserve"> או שיורד טפח בזקיפה </w:t>
      </w:r>
      <w:r>
        <w:rPr>
          <w:rFonts w:asciiTheme="minorBidi" w:hAnsiTheme="minorBidi" w:cs="Arial" w:hint="cs"/>
          <w:rtl/>
        </w:rPr>
        <w:t xml:space="preserve">- </w:t>
      </w:r>
      <w:r w:rsidRPr="00B6715C">
        <w:rPr>
          <w:rFonts w:asciiTheme="minorBidi" w:hAnsiTheme="minorBidi" w:cs="Arial"/>
          <w:rtl/>
        </w:rPr>
        <w:t>אסור לנטותה</w:t>
      </w:r>
      <w:r>
        <w:rPr>
          <w:rFonts w:asciiTheme="minorBidi" w:hAnsiTheme="minorBidi" w:cs="Arial" w:hint="cs"/>
          <w:rtl/>
        </w:rPr>
        <w:t>.</w:t>
      </w:r>
      <w:r w:rsidRPr="00B6715C">
        <w:rPr>
          <w:rFonts w:asciiTheme="minorBidi" w:hAnsiTheme="minorBidi" w:cs="Arial"/>
          <w:rtl/>
        </w:rPr>
        <w:t xml:space="preserve"> ואם כרך עליהם מאתמול חוט או משיחה לנטותה בו </w:t>
      </w:r>
      <w:r>
        <w:rPr>
          <w:rFonts w:asciiTheme="minorBidi" w:hAnsiTheme="minorBidi" w:cs="Arial" w:hint="cs"/>
          <w:rtl/>
        </w:rPr>
        <w:t xml:space="preserve">- </w:t>
      </w:r>
      <w:r w:rsidRPr="00B6715C">
        <w:rPr>
          <w:rFonts w:asciiTheme="minorBidi" w:hAnsiTheme="minorBidi" w:cs="Arial"/>
          <w:rtl/>
        </w:rPr>
        <w:t>מותר אפילו אית ביה כל הני</w:t>
      </w:r>
      <w:r>
        <w:rPr>
          <w:rStyle w:val="a9"/>
          <w:rFonts w:asciiTheme="minorBidi" w:hAnsiTheme="minorBidi" w:cs="Arial"/>
          <w:rtl/>
        </w:rPr>
        <w:footnoteReference w:id="2383"/>
      </w:r>
      <w:r>
        <w:rPr>
          <w:rFonts w:asciiTheme="minorBidi" w:hAnsiTheme="minorBidi" w:cs="Arial" w:hint="cs"/>
          <w:rtl/>
        </w:rPr>
        <w:t>.</w:t>
      </w:r>
      <w:r w:rsidRPr="00B6715C">
        <w:rPr>
          <w:rFonts w:asciiTheme="minorBidi" w:hAnsiTheme="minorBidi" w:cs="Arial"/>
          <w:rtl/>
        </w:rPr>
        <w:t xml:space="preserve"> ומ"מ במקום שאין בני תורה לא שרינן ע"י כריכת חוט שלא יבאו לזלזל בה. </w:t>
      </w:r>
    </w:p>
    <w:p w14:paraId="4E88C1CC" w14:textId="539DDABD" w:rsidR="00206B55" w:rsidRPr="00206B55" w:rsidRDefault="00206B55" w:rsidP="00434A6A">
      <w:pPr>
        <w:ind w:left="360"/>
        <w:rPr>
          <w:rFonts w:asciiTheme="minorBidi" w:hAnsiTheme="minorBidi"/>
          <w:u w:val="dotted"/>
        </w:rPr>
      </w:pPr>
      <w:r w:rsidRPr="00206B55">
        <w:rPr>
          <w:rFonts w:asciiTheme="minorBidi" w:hAnsiTheme="minorBidi" w:hint="cs"/>
          <w:u w:val="dotted"/>
          <w:rtl/>
        </w:rPr>
        <w:t>ומה הדין בשאר כילות:</w:t>
      </w:r>
    </w:p>
    <w:p w14:paraId="203EEF91" w14:textId="6355BF6E" w:rsidR="00350D72" w:rsidRPr="008313EA" w:rsidRDefault="00350D72" w:rsidP="00434A6A">
      <w:pPr>
        <w:pStyle w:val="aa"/>
        <w:numPr>
          <w:ilvl w:val="0"/>
          <w:numId w:val="24"/>
        </w:numPr>
        <w:rPr>
          <w:rFonts w:asciiTheme="minorBidi" w:hAnsiTheme="minorBidi"/>
          <w:rtl/>
        </w:rPr>
      </w:pPr>
      <w:r w:rsidRPr="00DC70BF">
        <w:rPr>
          <w:rFonts w:cs="Arial"/>
          <w:rtl/>
        </w:rPr>
        <w:t xml:space="preserve">ר"ן </w:t>
      </w:r>
      <w:r w:rsidRPr="00206B55">
        <w:rPr>
          <w:rFonts w:cs="Arial"/>
          <w:sz w:val="16"/>
          <w:szCs w:val="16"/>
          <w:rtl/>
        </w:rPr>
        <w:t>(נו: ד"ה כילת)</w:t>
      </w:r>
      <w:r w:rsidR="00206B55">
        <w:rPr>
          <w:rFonts w:cs="Arial" w:hint="cs"/>
          <w:rtl/>
        </w:rPr>
        <w:t>-</w:t>
      </w:r>
      <w:r w:rsidRPr="00DC70BF">
        <w:rPr>
          <w:rFonts w:cs="Arial"/>
          <w:rtl/>
        </w:rPr>
        <w:t xml:space="preserve"> לפי דברי רש"י כל כילה שהיא עשויה ככילת חתנים מותר לנטותה דאפילו אהל עראי נמי לא הויא</w:t>
      </w:r>
      <w:r w:rsidR="0000327E">
        <w:rPr>
          <w:rFonts w:cs="Arial" w:hint="cs"/>
          <w:rtl/>
        </w:rPr>
        <w:t>.</w:t>
      </w:r>
      <w:r w:rsidRPr="00DC70BF">
        <w:rPr>
          <w:rFonts w:cs="Arial"/>
          <w:rtl/>
        </w:rPr>
        <w:t xml:space="preserve"> אבל לפי דברי הרי"ף כילת חתנים דוקא הוא שמותר לפרקה לפי שהיא מתוקנת לכך</w:t>
      </w:r>
      <w:r w:rsidR="00206B55">
        <w:rPr>
          <w:rFonts w:cs="Arial" w:hint="cs"/>
          <w:rtl/>
        </w:rPr>
        <w:t>,</w:t>
      </w:r>
      <w:r w:rsidRPr="00DC70BF">
        <w:rPr>
          <w:rFonts w:cs="Arial"/>
          <w:rtl/>
        </w:rPr>
        <w:t xml:space="preserve"> אבל שאר כילות לא אא</w:t>
      </w:r>
      <w:r w:rsidR="00206B55">
        <w:rPr>
          <w:rFonts w:cs="Arial" w:hint="cs"/>
          <w:rtl/>
        </w:rPr>
        <w:t>"</w:t>
      </w:r>
      <w:r w:rsidRPr="00DC70BF">
        <w:rPr>
          <w:rFonts w:cs="Arial"/>
          <w:rtl/>
        </w:rPr>
        <w:t>כ כרך עליהן חוט או משיחה</w:t>
      </w:r>
      <w:r w:rsidR="0000327E" w:rsidRPr="008313EA">
        <w:rPr>
          <w:rFonts w:cs="Arial" w:hint="cs"/>
          <w:rtl/>
        </w:rPr>
        <w:t>.</w:t>
      </w:r>
      <w:r w:rsidR="00E94A49">
        <w:rPr>
          <w:rFonts w:asciiTheme="minorBidi" w:hAnsiTheme="minorBidi" w:hint="cs"/>
          <w:rtl/>
        </w:rPr>
        <w:t xml:space="preserve"> </w:t>
      </w:r>
    </w:p>
    <w:p w14:paraId="3FFE7480" w14:textId="77777777" w:rsidR="005B6E2E" w:rsidRDefault="005B6E2E" w:rsidP="00434A6A">
      <w:pPr>
        <w:rPr>
          <w:rFonts w:asciiTheme="minorBidi" w:hAnsiTheme="minorBidi" w:cs="Arial"/>
          <w:rtl/>
        </w:rPr>
      </w:pPr>
      <w:r w:rsidRPr="005B6E2E">
        <w:rPr>
          <w:rFonts w:asciiTheme="minorBidi" w:hAnsiTheme="minorBidi" w:cs="Arial" w:hint="cs"/>
          <w:u w:val="single"/>
          <w:rtl/>
        </w:rPr>
        <w:t>מיטות שלנו שפור</w:t>
      </w:r>
      <w:r>
        <w:rPr>
          <w:rFonts w:asciiTheme="minorBidi" w:hAnsiTheme="minorBidi" w:cs="Arial" w:hint="cs"/>
          <w:u w:val="single"/>
          <w:rtl/>
        </w:rPr>
        <w:t>ס</w:t>
      </w:r>
      <w:r w:rsidRPr="005B6E2E">
        <w:rPr>
          <w:rFonts w:asciiTheme="minorBidi" w:hAnsiTheme="minorBidi" w:cs="Arial" w:hint="cs"/>
          <w:u w:val="single"/>
          <w:rtl/>
        </w:rPr>
        <w:t>ים עליה</w:t>
      </w:r>
      <w:r>
        <w:rPr>
          <w:rFonts w:asciiTheme="minorBidi" w:hAnsiTheme="minorBidi" w:cs="Arial" w:hint="cs"/>
          <w:u w:val="single"/>
          <w:rtl/>
        </w:rPr>
        <w:t>ן</w:t>
      </w:r>
      <w:r w:rsidRPr="005B6E2E">
        <w:rPr>
          <w:rFonts w:asciiTheme="minorBidi" w:hAnsiTheme="minorBidi" w:cs="Arial" w:hint="cs"/>
          <w:u w:val="single"/>
          <w:rtl/>
        </w:rPr>
        <w:t xml:space="preserve"> סדין</w:t>
      </w:r>
      <w:r>
        <w:rPr>
          <w:rFonts w:asciiTheme="minorBidi" w:hAnsiTheme="minorBidi" w:cs="Arial" w:hint="cs"/>
          <w:u w:val="single"/>
          <w:rtl/>
        </w:rPr>
        <w:t>,</w:t>
      </w:r>
      <w:r w:rsidRPr="005B6E2E">
        <w:rPr>
          <w:rFonts w:asciiTheme="minorBidi" w:hAnsiTheme="minorBidi" w:cs="Arial" w:hint="cs"/>
          <w:u w:val="single"/>
          <w:rtl/>
        </w:rPr>
        <w:t xml:space="preserve"> ויורד </w:t>
      </w:r>
      <w:r>
        <w:rPr>
          <w:rFonts w:asciiTheme="minorBidi" w:hAnsiTheme="minorBidi" w:cs="Arial" w:hint="cs"/>
          <w:u w:val="single"/>
          <w:rtl/>
        </w:rPr>
        <w:t xml:space="preserve">הסדין </w:t>
      </w:r>
      <w:r w:rsidRPr="005B6E2E">
        <w:rPr>
          <w:rFonts w:asciiTheme="minorBidi" w:hAnsiTheme="minorBidi" w:cs="Arial" w:hint="cs"/>
          <w:u w:val="single"/>
          <w:rtl/>
        </w:rPr>
        <w:t>מהמטה לכיוון הרצפה טפח - האם יש בזה משום אהל:</w:t>
      </w:r>
    </w:p>
    <w:p w14:paraId="1FC82DC4" w14:textId="77777777" w:rsidR="005B6E2E" w:rsidRPr="005B6E2E" w:rsidRDefault="005B6E2E" w:rsidP="00434A6A">
      <w:pPr>
        <w:pStyle w:val="aa"/>
        <w:numPr>
          <w:ilvl w:val="0"/>
          <w:numId w:val="28"/>
        </w:numPr>
        <w:rPr>
          <w:rFonts w:asciiTheme="minorBidi" w:hAnsiTheme="minorBidi" w:cs="Arial"/>
          <w:rtl/>
        </w:rPr>
      </w:pPr>
      <w:r w:rsidRPr="005B6E2E">
        <w:rPr>
          <w:rFonts w:asciiTheme="minorBidi" w:hAnsiTheme="minorBidi" w:cs="Arial"/>
          <w:rtl/>
        </w:rPr>
        <w:t xml:space="preserve">רשב"א </w:t>
      </w:r>
      <w:r w:rsidRPr="005B6E2E">
        <w:rPr>
          <w:rFonts w:asciiTheme="minorBidi" w:hAnsiTheme="minorBidi" w:cs="Arial"/>
          <w:sz w:val="16"/>
          <w:szCs w:val="16"/>
          <w:rtl/>
        </w:rPr>
        <w:t>(שם ד"ה לא אמרן)</w:t>
      </w:r>
      <w:r w:rsidRPr="005B6E2E">
        <w:rPr>
          <w:rFonts w:asciiTheme="minorBidi" w:hAnsiTheme="minorBidi" w:cs="Arial"/>
          <w:rtl/>
        </w:rPr>
        <w:t xml:space="preserve"> ה"ר יונה</w:t>
      </w:r>
      <w:r w:rsidRPr="005B6E2E">
        <w:rPr>
          <w:rFonts w:asciiTheme="minorBidi" w:hAnsiTheme="minorBidi" w:cs="Arial" w:hint="cs"/>
          <w:rtl/>
        </w:rPr>
        <w:t xml:space="preserve"> </w:t>
      </w:r>
      <w:r>
        <w:rPr>
          <w:rFonts w:asciiTheme="minorBidi" w:hAnsiTheme="minorBidi" w:cs="Arial" w:hint="cs"/>
          <w:sz w:val="16"/>
          <w:szCs w:val="16"/>
          <w:rtl/>
        </w:rPr>
        <w:t>(כ"כ הר"ן בשמו)</w:t>
      </w:r>
      <w:r>
        <w:rPr>
          <w:rFonts w:asciiTheme="minorBidi" w:hAnsiTheme="minorBidi" w:cs="Arial" w:hint="cs"/>
          <w:rtl/>
        </w:rPr>
        <w:t xml:space="preserve"> הה"מ </w:t>
      </w:r>
      <w:r w:rsidRPr="005B6E2E">
        <w:rPr>
          <w:rFonts w:asciiTheme="minorBidi" w:hAnsiTheme="minorBidi" w:cs="Arial" w:hint="cs"/>
          <w:sz w:val="16"/>
          <w:szCs w:val="16"/>
          <w:rtl/>
        </w:rPr>
        <w:t xml:space="preserve">(פכ"ב ה"ל) </w:t>
      </w:r>
      <w:r>
        <w:rPr>
          <w:rFonts w:asciiTheme="minorBidi" w:hAnsiTheme="minorBidi" w:cs="Arial" w:hint="cs"/>
          <w:rtl/>
        </w:rPr>
        <w:t xml:space="preserve">ר"ן </w:t>
      </w:r>
      <w:r w:rsidRPr="005B6E2E">
        <w:rPr>
          <w:rFonts w:asciiTheme="minorBidi" w:hAnsiTheme="minorBidi" w:cs="Arial"/>
          <w:sz w:val="16"/>
          <w:szCs w:val="16"/>
          <w:rtl/>
        </w:rPr>
        <w:t xml:space="preserve">(נו: ד"ה ודאמרי') </w:t>
      </w:r>
      <w:r>
        <w:rPr>
          <w:rFonts w:asciiTheme="minorBidi" w:hAnsiTheme="minorBidi" w:cs="Arial" w:hint="cs"/>
          <w:rtl/>
        </w:rPr>
        <w:t xml:space="preserve">ורי"ו </w:t>
      </w:r>
      <w:r w:rsidRPr="005B6E2E">
        <w:rPr>
          <w:rFonts w:asciiTheme="minorBidi" w:hAnsiTheme="minorBidi" w:cs="Arial" w:hint="cs"/>
          <w:sz w:val="16"/>
          <w:szCs w:val="16"/>
          <w:rtl/>
        </w:rPr>
        <w:t xml:space="preserve">(ח"ד ני"ב </w:t>
      </w:r>
      <w:r w:rsidRPr="005B6E2E">
        <w:rPr>
          <w:rFonts w:asciiTheme="minorBidi" w:hAnsiTheme="minorBidi" w:cs="Arial"/>
          <w:sz w:val="16"/>
          <w:szCs w:val="16"/>
          <w:rtl/>
        </w:rPr>
        <w:t>עב ע"ד)</w:t>
      </w:r>
      <w:r>
        <w:rPr>
          <w:rFonts w:asciiTheme="minorBidi" w:hAnsiTheme="minorBidi" w:cs="Arial" w:hint="cs"/>
          <w:rtl/>
        </w:rPr>
        <w:t>-</w:t>
      </w:r>
      <w:r w:rsidRPr="005B6E2E">
        <w:rPr>
          <w:rFonts w:asciiTheme="minorBidi" w:hAnsiTheme="minorBidi" w:cs="Arial"/>
          <w:rtl/>
        </w:rPr>
        <w:t xml:space="preserve"> אבל מטה דידן אע</w:t>
      </w:r>
      <w:r>
        <w:rPr>
          <w:rFonts w:asciiTheme="minorBidi" w:hAnsiTheme="minorBidi" w:cs="Arial" w:hint="cs"/>
          <w:rtl/>
        </w:rPr>
        <w:t>"</w:t>
      </w:r>
      <w:r w:rsidRPr="005B6E2E">
        <w:rPr>
          <w:rFonts w:asciiTheme="minorBidi" w:hAnsiTheme="minorBidi" w:cs="Arial"/>
          <w:rtl/>
        </w:rPr>
        <w:t>ג דנחתי סדינים מפוריא טפח</w:t>
      </w:r>
      <w:r>
        <w:rPr>
          <w:rFonts w:asciiTheme="minorBidi" w:hAnsiTheme="minorBidi" w:cs="Arial" w:hint="cs"/>
          <w:rtl/>
        </w:rPr>
        <w:t>,</w:t>
      </w:r>
      <w:r w:rsidRPr="005B6E2E">
        <w:rPr>
          <w:rFonts w:asciiTheme="minorBidi" w:hAnsiTheme="minorBidi" w:cs="Arial"/>
          <w:rtl/>
        </w:rPr>
        <w:t xml:space="preserve"> כיון דבפריסת סדינים על המטה ליכא משום אהל </w:t>
      </w:r>
      <w:r w:rsidRPr="005B6E2E">
        <w:rPr>
          <w:rFonts w:asciiTheme="minorBidi" w:hAnsiTheme="minorBidi" w:cs="Arial" w:hint="cs"/>
          <w:rtl/>
        </w:rPr>
        <w:t xml:space="preserve">- </w:t>
      </w:r>
      <w:r w:rsidRPr="005B6E2E">
        <w:rPr>
          <w:rFonts w:asciiTheme="minorBidi" w:hAnsiTheme="minorBidi" w:cs="Arial"/>
          <w:rtl/>
        </w:rPr>
        <w:t>לית לן בה</w:t>
      </w:r>
      <w:r>
        <w:rPr>
          <w:rFonts w:asciiTheme="minorBidi" w:hAnsiTheme="minorBidi" w:cs="Arial" w:hint="cs"/>
          <w:sz w:val="16"/>
          <w:szCs w:val="16"/>
          <w:rtl/>
        </w:rPr>
        <w:t xml:space="preserve"> (ל' הר"ן)</w:t>
      </w:r>
      <w:r w:rsidRPr="005B6E2E">
        <w:rPr>
          <w:rFonts w:asciiTheme="minorBidi" w:hAnsiTheme="minorBidi" w:cs="Arial"/>
          <w:rtl/>
        </w:rPr>
        <w:t xml:space="preserve">. </w:t>
      </w:r>
    </w:p>
    <w:p w14:paraId="714F2271" w14:textId="77777777" w:rsidR="00C44022" w:rsidRPr="005275DF" w:rsidRDefault="00C44022" w:rsidP="00434A6A">
      <w:pPr>
        <w:rPr>
          <w:rFonts w:asciiTheme="minorBidi" w:hAnsiTheme="minorBidi"/>
          <w:rtl/>
        </w:rPr>
      </w:pPr>
      <w:r w:rsidRPr="005275DF">
        <w:rPr>
          <w:rFonts w:asciiTheme="minorBidi" w:hAnsiTheme="minorBidi"/>
          <w:b/>
          <w:bCs/>
          <w:sz w:val="32"/>
          <w:szCs w:val="28"/>
          <w:u w:val="single"/>
          <w:rtl/>
        </w:rPr>
        <w:t xml:space="preserve">שו"ע: </w:t>
      </w:r>
    </w:p>
    <w:p w14:paraId="03E9504D" w14:textId="3F147A7E" w:rsidR="00C44022" w:rsidRPr="005275DF" w:rsidRDefault="00E1723A" w:rsidP="00434A6A">
      <w:pPr>
        <w:rPr>
          <w:rFonts w:asciiTheme="minorBidi" w:hAnsiTheme="minorBidi"/>
          <w:rtl/>
        </w:rPr>
      </w:pPr>
      <w:r w:rsidRPr="005275DF">
        <w:rPr>
          <w:rFonts w:asciiTheme="minorBidi" w:hAnsiTheme="minorBidi"/>
          <w:rtl/>
        </w:rPr>
        <w:t>כל אהל משופע</w:t>
      </w:r>
      <w:r w:rsidR="00C44022" w:rsidRPr="005275DF">
        <w:rPr>
          <w:rFonts w:asciiTheme="minorBidi" w:hAnsiTheme="minorBidi"/>
          <w:rtl/>
        </w:rPr>
        <w:t xml:space="preserve"> שאין בגגו טפח ו</w:t>
      </w:r>
      <w:r w:rsidR="00F14C11" w:rsidRPr="005275DF">
        <w:rPr>
          <w:rFonts w:asciiTheme="minorBidi" w:hAnsiTheme="minorBidi"/>
          <w:rtl/>
        </w:rPr>
        <w:t>לא בפחות משלשה</w:t>
      </w:r>
      <w:r w:rsidRPr="005275DF">
        <w:rPr>
          <w:rFonts w:asciiTheme="minorBidi" w:hAnsiTheme="minorBidi"/>
          <w:rtl/>
        </w:rPr>
        <w:t xml:space="preserve"> סמוך לגגו רוחב טפח</w:t>
      </w:r>
      <w:r w:rsidR="00C65584">
        <w:rPr>
          <w:rFonts w:asciiTheme="minorBidi" w:hAnsiTheme="minorBidi" w:hint="cs"/>
          <w:rtl/>
        </w:rPr>
        <w:t>,</w:t>
      </w:r>
      <w:r w:rsidR="00C44022" w:rsidRPr="005275DF">
        <w:rPr>
          <w:rFonts w:asciiTheme="minorBidi" w:hAnsiTheme="minorBidi"/>
          <w:rtl/>
        </w:rPr>
        <w:t xml:space="preserve"> הרי זה א</w:t>
      </w:r>
      <w:r w:rsidRPr="005275DF">
        <w:rPr>
          <w:rFonts w:asciiTheme="minorBidi" w:hAnsiTheme="minorBidi"/>
          <w:rtl/>
        </w:rPr>
        <w:t>הל עראי</w:t>
      </w:r>
      <w:r w:rsidR="00C65584">
        <w:rPr>
          <w:rFonts w:asciiTheme="minorBidi" w:hAnsiTheme="minorBidi" w:hint="cs"/>
          <w:rtl/>
        </w:rPr>
        <w:t>,</w:t>
      </w:r>
      <w:r w:rsidRPr="005275DF">
        <w:rPr>
          <w:rFonts w:asciiTheme="minorBidi" w:hAnsiTheme="minorBidi"/>
          <w:rtl/>
        </w:rPr>
        <w:t xml:space="preserve"> והעושה אותו לכתחלה בשבת</w:t>
      </w:r>
      <w:r w:rsidR="00C44022" w:rsidRPr="005275DF">
        <w:rPr>
          <w:rFonts w:asciiTheme="minorBidi" w:hAnsiTheme="minorBidi"/>
          <w:rtl/>
        </w:rPr>
        <w:t xml:space="preserve"> פטור. </w:t>
      </w:r>
    </w:p>
    <w:p w14:paraId="28BA4835" w14:textId="77777777" w:rsidR="00C44022" w:rsidRPr="005275DF" w:rsidRDefault="00C44022" w:rsidP="00434A6A">
      <w:pPr>
        <w:rPr>
          <w:rFonts w:asciiTheme="minorBidi" w:hAnsiTheme="minorBidi"/>
          <w:rtl/>
        </w:rPr>
      </w:pPr>
    </w:p>
    <w:p w14:paraId="0D70CF81" w14:textId="77777777" w:rsidR="00C44022" w:rsidRPr="005275DF" w:rsidRDefault="00C44022" w:rsidP="00434A6A">
      <w:pPr>
        <w:pStyle w:val="2"/>
        <w:rPr>
          <w:rFonts w:asciiTheme="minorBidi" w:hAnsiTheme="minorBidi" w:cstheme="minorBidi"/>
          <w:rtl/>
        </w:rPr>
      </w:pPr>
      <w:r w:rsidRPr="005275DF">
        <w:rPr>
          <w:rFonts w:asciiTheme="minorBidi" w:hAnsiTheme="minorBidi" w:cstheme="minorBidi"/>
          <w:rtl/>
        </w:rPr>
        <w:t>סעיף ט</w:t>
      </w:r>
      <w:r w:rsidR="008E2D02" w:rsidRPr="005275DF">
        <w:rPr>
          <w:rFonts w:asciiTheme="minorBidi" w:hAnsiTheme="minorBidi" w:cstheme="minorBidi"/>
          <w:rtl/>
        </w:rPr>
        <w:t>: תליית משמרת בשבת.</w:t>
      </w:r>
    </w:p>
    <w:p w14:paraId="3BC91920" w14:textId="24A8BAA3" w:rsidR="00FA3754" w:rsidRPr="003C319B" w:rsidRDefault="008E2D02" w:rsidP="00434A6A">
      <w:pPr>
        <w:rPr>
          <w:rFonts w:asciiTheme="minorBidi" w:hAnsiTheme="minorBidi"/>
          <w:rtl/>
        </w:rPr>
      </w:pPr>
      <w:r w:rsidRPr="005275DF">
        <w:rPr>
          <w:rFonts w:asciiTheme="minorBidi" w:hAnsiTheme="minorBidi"/>
          <w:b/>
          <w:bCs/>
          <w:rtl/>
        </w:rPr>
        <w:t>שבת</w:t>
      </w:r>
      <w:r w:rsidR="00A375A4">
        <w:rPr>
          <w:rFonts w:asciiTheme="minorBidi" w:hAnsiTheme="minorBidi" w:hint="cs"/>
          <w:b/>
          <w:bCs/>
          <w:sz w:val="16"/>
          <w:szCs w:val="16"/>
          <w:rtl/>
        </w:rPr>
        <w:t xml:space="preserve"> (ר"פ תולין)</w:t>
      </w:r>
      <w:r w:rsidRPr="005275DF">
        <w:rPr>
          <w:rFonts w:asciiTheme="minorBidi" w:hAnsiTheme="minorBidi"/>
          <w:b/>
          <w:bCs/>
          <w:rtl/>
        </w:rPr>
        <w:t xml:space="preserve"> קלז ע"ב: </w:t>
      </w:r>
      <w:r w:rsidRPr="005275DF">
        <w:rPr>
          <w:rFonts w:asciiTheme="minorBidi" w:hAnsiTheme="minorBidi"/>
          <w:u w:val="double"/>
          <w:rtl/>
        </w:rPr>
        <w:t>משנה:</w:t>
      </w:r>
      <w:r w:rsidRPr="005275DF">
        <w:rPr>
          <w:rFonts w:asciiTheme="minorBidi" w:hAnsiTheme="minorBidi"/>
          <w:rtl/>
        </w:rPr>
        <w:t xml:space="preserve"> </w:t>
      </w:r>
      <w:r w:rsidRPr="005275DF">
        <w:rPr>
          <w:rFonts w:asciiTheme="minorBidi" w:hAnsiTheme="minorBidi"/>
          <w:u w:val="single"/>
          <w:rtl/>
        </w:rPr>
        <w:t>רבי אליעזר אומר</w:t>
      </w:r>
      <w:r w:rsidRPr="005275DF">
        <w:rPr>
          <w:rFonts w:asciiTheme="minorBidi" w:hAnsiTheme="minorBidi"/>
          <w:rtl/>
        </w:rPr>
        <w:t>: תולין את המשמרת</w:t>
      </w:r>
      <w:r w:rsidRPr="005275DF">
        <w:rPr>
          <w:rStyle w:val="a9"/>
          <w:rFonts w:asciiTheme="minorBidi" w:hAnsiTheme="minorBidi"/>
          <w:rtl/>
        </w:rPr>
        <w:footnoteReference w:id="2384"/>
      </w:r>
      <w:r w:rsidRPr="005275DF">
        <w:rPr>
          <w:rFonts w:asciiTheme="minorBidi" w:hAnsiTheme="minorBidi"/>
          <w:rtl/>
        </w:rPr>
        <w:t xml:space="preserve"> ביום טוב</w:t>
      </w:r>
      <w:r w:rsidR="00F24777">
        <w:rPr>
          <w:rFonts w:asciiTheme="minorBidi" w:hAnsiTheme="minorBidi" w:hint="cs"/>
          <w:rtl/>
        </w:rPr>
        <w:t>,</w:t>
      </w:r>
      <w:r w:rsidRPr="005275DF">
        <w:rPr>
          <w:rFonts w:asciiTheme="minorBidi" w:hAnsiTheme="minorBidi"/>
          <w:rtl/>
        </w:rPr>
        <w:t xml:space="preserve"> ונותנין לתלויה בשבת. </w:t>
      </w:r>
      <w:r w:rsidRPr="005275DF">
        <w:rPr>
          <w:rFonts w:asciiTheme="minorBidi" w:hAnsiTheme="minorBidi"/>
          <w:u w:val="single"/>
          <w:rtl/>
        </w:rPr>
        <w:t>וחכמים אומרים</w:t>
      </w:r>
      <w:r w:rsidRPr="005275DF">
        <w:rPr>
          <w:rFonts w:asciiTheme="minorBidi" w:hAnsiTheme="minorBidi"/>
          <w:rtl/>
        </w:rPr>
        <w:t>: אין תולין את המשמרת ביום טוב</w:t>
      </w:r>
      <w:r w:rsidR="00F24777">
        <w:rPr>
          <w:rFonts w:asciiTheme="minorBidi" w:hAnsiTheme="minorBidi" w:hint="cs"/>
          <w:rtl/>
        </w:rPr>
        <w:t>,</w:t>
      </w:r>
      <w:r w:rsidRPr="005275DF">
        <w:rPr>
          <w:rFonts w:asciiTheme="minorBidi" w:hAnsiTheme="minorBidi"/>
          <w:rtl/>
        </w:rPr>
        <w:t xml:space="preserve"> ואין נותנין לתלויה בשבת</w:t>
      </w:r>
      <w:r w:rsidR="00F24777">
        <w:rPr>
          <w:rFonts w:asciiTheme="minorBidi" w:hAnsiTheme="minorBidi" w:hint="cs"/>
          <w:rtl/>
        </w:rPr>
        <w:t>,</w:t>
      </w:r>
      <w:r w:rsidRPr="005275DF">
        <w:rPr>
          <w:rFonts w:asciiTheme="minorBidi" w:hAnsiTheme="minorBidi"/>
          <w:rtl/>
        </w:rPr>
        <w:t xml:space="preserve"> אבל נותנין לתלויה ביום טוב.</w:t>
      </w:r>
      <w:r w:rsidR="00B5788F" w:rsidRPr="005275DF">
        <w:rPr>
          <w:rFonts w:asciiTheme="minorBidi" w:hAnsiTheme="minorBidi"/>
          <w:rtl/>
        </w:rPr>
        <w:t xml:space="preserve">      </w:t>
      </w:r>
      <w:r w:rsidR="00B5788F" w:rsidRPr="005275DF">
        <w:rPr>
          <w:rFonts w:asciiTheme="minorBidi" w:hAnsiTheme="minorBidi"/>
          <w:u w:val="double"/>
          <w:rtl/>
        </w:rPr>
        <w:t>גמ'</w:t>
      </w:r>
      <w:r w:rsidR="00B5788F" w:rsidRPr="005275DF">
        <w:rPr>
          <w:rFonts w:asciiTheme="minorBidi" w:hAnsiTheme="minorBidi"/>
          <w:rtl/>
        </w:rPr>
        <w:t xml:space="preserve">: איבעיא להו: תלה מאי? </w:t>
      </w:r>
      <w:r w:rsidR="00B5788F" w:rsidRPr="005275DF">
        <w:rPr>
          <w:rFonts w:asciiTheme="minorBidi" w:hAnsiTheme="minorBidi"/>
          <w:u w:val="single"/>
          <w:rtl/>
        </w:rPr>
        <w:t>אמר רב יוסף</w:t>
      </w:r>
      <w:r w:rsidR="00B5788F" w:rsidRPr="005275DF">
        <w:rPr>
          <w:rFonts w:asciiTheme="minorBidi" w:hAnsiTheme="minorBidi"/>
          <w:rtl/>
        </w:rPr>
        <w:t xml:space="preserve">: תלה חייב חטאת. </w:t>
      </w:r>
      <w:r w:rsidR="00B5788F" w:rsidRPr="005275DF">
        <w:rPr>
          <w:rFonts w:asciiTheme="minorBidi" w:hAnsiTheme="minorBidi"/>
          <w:u w:val="single"/>
          <w:rtl/>
        </w:rPr>
        <w:t>אמר ליה אביי</w:t>
      </w:r>
      <w:r w:rsidR="00B5788F" w:rsidRPr="005275DF">
        <w:rPr>
          <w:rFonts w:asciiTheme="minorBidi" w:hAnsiTheme="minorBidi"/>
          <w:rtl/>
        </w:rPr>
        <w:t>: אלא מעתה, תלא כוזא בסיכתא</w:t>
      </w:r>
      <w:r w:rsidR="00B5788F" w:rsidRPr="005275DF">
        <w:rPr>
          <w:rStyle w:val="a9"/>
          <w:rFonts w:asciiTheme="minorBidi" w:hAnsiTheme="minorBidi"/>
          <w:rtl/>
        </w:rPr>
        <w:footnoteReference w:id="2385"/>
      </w:r>
      <w:r w:rsidR="00B5788F" w:rsidRPr="005275DF">
        <w:rPr>
          <w:rFonts w:asciiTheme="minorBidi" w:hAnsiTheme="minorBidi"/>
          <w:rtl/>
        </w:rPr>
        <w:t xml:space="preserve"> הכי נמי דמיחייב</w:t>
      </w:r>
      <w:r w:rsidR="00B5788F" w:rsidRPr="005275DF">
        <w:rPr>
          <w:rStyle w:val="a9"/>
          <w:rFonts w:asciiTheme="minorBidi" w:hAnsiTheme="minorBidi"/>
          <w:rtl/>
        </w:rPr>
        <w:footnoteReference w:id="2386"/>
      </w:r>
      <w:r w:rsidR="00B5788F" w:rsidRPr="005275DF">
        <w:rPr>
          <w:rFonts w:asciiTheme="minorBidi" w:hAnsiTheme="minorBidi"/>
          <w:rtl/>
        </w:rPr>
        <w:t xml:space="preserve">? </w:t>
      </w:r>
      <w:r w:rsidR="00B5788F" w:rsidRPr="005275DF">
        <w:rPr>
          <w:rFonts w:asciiTheme="minorBidi" w:hAnsiTheme="minorBidi"/>
          <w:u w:val="single"/>
          <w:rtl/>
        </w:rPr>
        <w:t>אלא אמר אביי</w:t>
      </w:r>
      <w:r w:rsidR="00B5788F" w:rsidRPr="005275DF">
        <w:rPr>
          <w:rFonts w:asciiTheme="minorBidi" w:hAnsiTheme="minorBidi"/>
          <w:rtl/>
        </w:rPr>
        <w:t>: מדרבנן</w:t>
      </w:r>
      <w:r w:rsidR="00F24777">
        <w:rPr>
          <w:rStyle w:val="a9"/>
          <w:rFonts w:asciiTheme="minorBidi" w:hAnsiTheme="minorBidi"/>
          <w:rtl/>
        </w:rPr>
        <w:footnoteReference w:id="2387"/>
      </w:r>
      <w:r w:rsidR="00B5788F" w:rsidRPr="005275DF">
        <w:rPr>
          <w:rFonts w:asciiTheme="minorBidi" w:hAnsiTheme="minorBidi"/>
          <w:rtl/>
        </w:rPr>
        <w:t xml:space="preserve"> היא שלא יעשה כדרך שהוא עושה בחול.</w:t>
      </w:r>
      <w:r w:rsidR="000363E5">
        <w:rPr>
          <w:rFonts w:asciiTheme="minorBidi" w:hAnsiTheme="minorBidi" w:hint="cs"/>
          <w:rtl/>
        </w:rPr>
        <w:t xml:space="preserve">.. </w:t>
      </w:r>
      <w:r w:rsidR="000363E5" w:rsidRPr="000363E5">
        <w:rPr>
          <w:rFonts w:asciiTheme="minorBidi" w:hAnsiTheme="minorBidi" w:cs="Arial"/>
          <w:u w:val="single"/>
          <w:rtl/>
        </w:rPr>
        <w:t>אמר רבה בר רב הונא</w:t>
      </w:r>
      <w:r w:rsidR="000363E5" w:rsidRPr="000363E5">
        <w:rPr>
          <w:rFonts w:asciiTheme="minorBidi" w:hAnsiTheme="minorBidi" w:cs="Arial"/>
          <w:rtl/>
        </w:rPr>
        <w:t>: מערים אדם על המשמרת ביום טוב</w:t>
      </w:r>
      <w:r w:rsidR="000363E5">
        <w:rPr>
          <w:rStyle w:val="a9"/>
          <w:rFonts w:asciiTheme="minorBidi" w:hAnsiTheme="minorBidi" w:cs="Arial"/>
          <w:rtl/>
        </w:rPr>
        <w:footnoteReference w:id="2388"/>
      </w:r>
      <w:r w:rsidR="000363E5" w:rsidRPr="000363E5">
        <w:rPr>
          <w:rFonts w:asciiTheme="minorBidi" w:hAnsiTheme="minorBidi" w:cs="Arial"/>
          <w:rtl/>
        </w:rPr>
        <w:t xml:space="preserve"> לתלות בה רמונים, ותולה בה שמרים. </w:t>
      </w:r>
      <w:r w:rsidR="000363E5" w:rsidRPr="000363E5">
        <w:rPr>
          <w:rFonts w:asciiTheme="minorBidi" w:hAnsiTheme="minorBidi" w:cs="Arial"/>
          <w:u w:val="single"/>
          <w:rtl/>
        </w:rPr>
        <w:t>אמר רב אשי</w:t>
      </w:r>
      <w:r w:rsidR="000363E5" w:rsidRPr="000363E5">
        <w:rPr>
          <w:rFonts w:asciiTheme="minorBidi" w:hAnsiTheme="minorBidi" w:cs="Arial"/>
          <w:rtl/>
        </w:rPr>
        <w:t>: והוא דתלה בה רמונים</w:t>
      </w:r>
      <w:r w:rsidR="000363E5">
        <w:rPr>
          <w:rStyle w:val="a9"/>
          <w:rFonts w:asciiTheme="minorBidi" w:hAnsiTheme="minorBidi" w:cs="Arial"/>
          <w:rtl/>
        </w:rPr>
        <w:footnoteReference w:id="2389"/>
      </w:r>
      <w:r w:rsidR="000363E5" w:rsidRPr="000363E5">
        <w:rPr>
          <w:rFonts w:asciiTheme="minorBidi" w:hAnsiTheme="minorBidi" w:cs="Arial"/>
          <w:rtl/>
        </w:rPr>
        <w:t>.</w:t>
      </w:r>
    </w:p>
    <w:p w14:paraId="013DA8A8" w14:textId="77777777" w:rsidR="00B5788F" w:rsidRPr="005275DF" w:rsidRDefault="00B5788F" w:rsidP="00434A6A">
      <w:pPr>
        <w:rPr>
          <w:rFonts w:asciiTheme="minorBidi" w:hAnsiTheme="minorBidi"/>
          <w:u w:val="single"/>
          <w:rtl/>
        </w:rPr>
      </w:pPr>
      <w:r w:rsidRPr="005275DF">
        <w:rPr>
          <w:rFonts w:asciiTheme="minorBidi" w:hAnsiTheme="minorBidi"/>
          <w:u w:val="single"/>
          <w:rtl/>
        </w:rPr>
        <w:t>משום מה אסור לתלות משמרת בשבת:</w:t>
      </w:r>
    </w:p>
    <w:p w14:paraId="357BEAC1" w14:textId="377F00BC" w:rsidR="00B5788F" w:rsidRPr="005275DF" w:rsidRDefault="00B5788F" w:rsidP="00434A6A">
      <w:pPr>
        <w:pStyle w:val="aa"/>
        <w:numPr>
          <w:ilvl w:val="0"/>
          <w:numId w:val="2"/>
        </w:numPr>
        <w:rPr>
          <w:rFonts w:asciiTheme="minorBidi" w:hAnsiTheme="minorBidi"/>
        </w:rPr>
      </w:pPr>
      <w:r w:rsidRPr="005275DF">
        <w:rPr>
          <w:rFonts w:asciiTheme="minorBidi" w:hAnsiTheme="minorBidi"/>
          <w:rtl/>
        </w:rPr>
        <w:t>תוס'</w:t>
      </w:r>
      <w:r w:rsidR="00A557AF" w:rsidRPr="005275DF">
        <w:rPr>
          <w:rFonts w:asciiTheme="minorBidi" w:hAnsiTheme="minorBidi"/>
          <w:sz w:val="16"/>
          <w:szCs w:val="16"/>
          <w:rtl/>
        </w:rPr>
        <w:t xml:space="preserve"> </w:t>
      </w:r>
      <w:r w:rsidR="0078002C">
        <w:rPr>
          <w:rFonts w:asciiTheme="minorBidi" w:hAnsiTheme="minorBidi" w:hint="cs"/>
          <w:sz w:val="16"/>
          <w:szCs w:val="16"/>
          <w:rtl/>
        </w:rPr>
        <w:t>(שבת קכה:</w:t>
      </w:r>
      <w:r w:rsidR="0042222A">
        <w:rPr>
          <w:rFonts w:asciiTheme="minorBidi" w:hAnsiTheme="minorBidi" w:hint="cs"/>
          <w:sz w:val="16"/>
          <w:szCs w:val="16"/>
          <w:rtl/>
        </w:rPr>
        <w:t xml:space="preserve"> ד"ה הכל, קלח: ד"ה שאין</w:t>
      </w:r>
      <w:r w:rsidR="0078002C">
        <w:rPr>
          <w:rFonts w:asciiTheme="minorBidi" w:hAnsiTheme="minorBidi" w:hint="cs"/>
          <w:sz w:val="16"/>
          <w:szCs w:val="16"/>
          <w:rtl/>
        </w:rPr>
        <w:t>)</w:t>
      </w:r>
      <w:r w:rsidRPr="005275DF">
        <w:rPr>
          <w:rFonts w:asciiTheme="minorBidi" w:hAnsiTheme="minorBidi"/>
          <w:rtl/>
        </w:rPr>
        <w:t xml:space="preserve"> </w:t>
      </w:r>
      <w:r w:rsidR="00C86C78" w:rsidRPr="005275DF">
        <w:rPr>
          <w:rFonts w:asciiTheme="minorBidi" w:hAnsiTheme="minorBidi"/>
          <w:rtl/>
        </w:rPr>
        <w:t>רמב"ן</w:t>
      </w:r>
      <w:r w:rsidR="003C319B">
        <w:rPr>
          <w:rStyle w:val="a9"/>
          <w:rFonts w:asciiTheme="minorBidi" w:hAnsiTheme="minorBidi"/>
          <w:rtl/>
        </w:rPr>
        <w:footnoteReference w:id="2390"/>
      </w:r>
      <w:r w:rsidR="00C86C78" w:rsidRPr="005275DF">
        <w:rPr>
          <w:rFonts w:asciiTheme="minorBidi" w:hAnsiTheme="minorBidi"/>
          <w:sz w:val="16"/>
          <w:szCs w:val="16"/>
          <w:rtl/>
        </w:rPr>
        <w:t xml:space="preserve"> </w:t>
      </w:r>
      <w:r w:rsidR="000363E5">
        <w:rPr>
          <w:rFonts w:asciiTheme="minorBidi" w:hAnsiTheme="minorBidi" w:hint="cs"/>
          <w:sz w:val="16"/>
          <w:szCs w:val="16"/>
          <w:rtl/>
        </w:rPr>
        <w:t>(</w:t>
      </w:r>
      <w:r w:rsidR="003C319B">
        <w:rPr>
          <w:rFonts w:asciiTheme="minorBidi" w:hAnsiTheme="minorBidi" w:hint="cs"/>
          <w:sz w:val="16"/>
          <w:szCs w:val="16"/>
          <w:rtl/>
        </w:rPr>
        <w:t>קלח.</w:t>
      </w:r>
      <w:r w:rsidR="000363E5">
        <w:rPr>
          <w:rFonts w:asciiTheme="minorBidi" w:hAnsiTheme="minorBidi" w:hint="cs"/>
          <w:sz w:val="16"/>
          <w:szCs w:val="16"/>
          <w:rtl/>
        </w:rPr>
        <w:t>)</w:t>
      </w:r>
      <w:r w:rsidR="000363E5">
        <w:rPr>
          <w:rFonts w:asciiTheme="minorBidi" w:hAnsiTheme="minorBidi" w:hint="cs"/>
          <w:rtl/>
        </w:rPr>
        <w:t xml:space="preserve"> </w:t>
      </w:r>
      <w:r w:rsidR="003C319B">
        <w:rPr>
          <w:rFonts w:asciiTheme="minorBidi" w:hAnsiTheme="minorBidi" w:cs="Arial" w:hint="cs"/>
          <w:rtl/>
        </w:rPr>
        <w:t xml:space="preserve">וטור- </w:t>
      </w:r>
      <w:r w:rsidR="003C319B" w:rsidRPr="00B6715C">
        <w:rPr>
          <w:rFonts w:asciiTheme="minorBidi" w:hAnsiTheme="minorBidi" w:cs="Arial"/>
          <w:rtl/>
        </w:rPr>
        <w:t>משמרת שתולין אותה לתת בה שמרים לסננן ומותחין פיה לכל צד חשיב עשיית אהל</w:t>
      </w:r>
      <w:r w:rsidR="00BD405E">
        <w:rPr>
          <w:rStyle w:val="a9"/>
          <w:rFonts w:asciiTheme="minorBidi" w:hAnsiTheme="minorBidi" w:cs="Arial"/>
          <w:rtl/>
        </w:rPr>
        <w:footnoteReference w:id="2391"/>
      </w:r>
      <w:r w:rsidR="003C319B" w:rsidRPr="00B6715C">
        <w:rPr>
          <w:rFonts w:asciiTheme="minorBidi" w:hAnsiTheme="minorBidi" w:cs="Arial"/>
          <w:rtl/>
        </w:rPr>
        <w:t xml:space="preserve"> ואסור לנטותה</w:t>
      </w:r>
      <w:r w:rsidR="0078002C">
        <w:rPr>
          <w:rStyle w:val="a9"/>
          <w:rFonts w:asciiTheme="minorBidi" w:hAnsiTheme="minorBidi" w:cs="Arial"/>
          <w:rtl/>
        </w:rPr>
        <w:footnoteReference w:id="2392"/>
      </w:r>
      <w:r w:rsidR="003C319B">
        <w:rPr>
          <w:rFonts w:asciiTheme="minorBidi" w:hAnsiTheme="minorBidi" w:cs="Arial" w:hint="cs"/>
          <w:sz w:val="16"/>
          <w:szCs w:val="16"/>
          <w:rtl/>
        </w:rPr>
        <w:t xml:space="preserve"> (ל' הטור)</w:t>
      </w:r>
      <w:r w:rsidR="003C319B">
        <w:rPr>
          <w:rFonts w:asciiTheme="minorBidi" w:hAnsiTheme="minorBidi" w:cs="Arial" w:hint="cs"/>
          <w:rtl/>
        </w:rPr>
        <w:t>.</w:t>
      </w:r>
      <w:r w:rsidR="003C319B" w:rsidRPr="005275DF">
        <w:rPr>
          <w:rFonts w:asciiTheme="minorBidi" w:hAnsiTheme="minorBidi"/>
          <w:color w:val="E36C0A" w:themeColor="accent6" w:themeShade="BF"/>
          <w:rtl/>
        </w:rPr>
        <w:t xml:space="preserve"> </w:t>
      </w:r>
      <w:r w:rsidRPr="005275DF">
        <w:rPr>
          <w:rFonts w:asciiTheme="minorBidi" w:hAnsiTheme="minorBidi"/>
          <w:color w:val="E36C0A" w:themeColor="accent6" w:themeShade="BF"/>
          <w:rtl/>
        </w:rPr>
        <w:t>(וכ"פ בשו"ע)</w:t>
      </w:r>
      <w:r w:rsidR="00E820CF" w:rsidRPr="005275DF">
        <w:rPr>
          <w:rFonts w:asciiTheme="minorBidi" w:hAnsiTheme="minorBidi"/>
          <w:rtl/>
        </w:rPr>
        <w:t xml:space="preserve"> </w:t>
      </w:r>
    </w:p>
    <w:p w14:paraId="232FB475" w14:textId="2B491BB1" w:rsidR="00407054" w:rsidRPr="005275DF" w:rsidRDefault="00407054" w:rsidP="00434A6A">
      <w:pPr>
        <w:pStyle w:val="aa"/>
        <w:numPr>
          <w:ilvl w:val="0"/>
          <w:numId w:val="2"/>
        </w:numPr>
        <w:rPr>
          <w:rFonts w:asciiTheme="minorBidi" w:hAnsiTheme="minorBidi"/>
        </w:rPr>
      </w:pPr>
      <w:r>
        <w:rPr>
          <w:rFonts w:asciiTheme="minorBidi" w:hAnsiTheme="minorBidi" w:hint="cs"/>
          <w:rtl/>
        </w:rPr>
        <w:t xml:space="preserve">רבינו יונה </w:t>
      </w:r>
      <w:r>
        <w:rPr>
          <w:rFonts w:asciiTheme="minorBidi" w:hAnsiTheme="minorBidi" w:hint="cs"/>
          <w:sz w:val="16"/>
          <w:szCs w:val="16"/>
          <w:rtl/>
        </w:rPr>
        <w:t xml:space="preserve">(כ"כ הרשב"א </w:t>
      </w:r>
      <w:r w:rsidR="001F682F">
        <w:rPr>
          <w:rFonts w:asciiTheme="minorBidi" w:hAnsiTheme="minorBidi" w:hint="cs"/>
          <w:sz w:val="16"/>
          <w:szCs w:val="16"/>
          <w:rtl/>
        </w:rPr>
        <w:t xml:space="preserve">[קלז:] </w:t>
      </w:r>
      <w:r>
        <w:rPr>
          <w:rFonts w:asciiTheme="minorBidi" w:hAnsiTheme="minorBidi" w:hint="cs"/>
          <w:sz w:val="16"/>
          <w:szCs w:val="16"/>
          <w:rtl/>
        </w:rPr>
        <w:t>בשמו)</w:t>
      </w:r>
      <w:r>
        <w:rPr>
          <w:rFonts w:asciiTheme="minorBidi" w:hAnsiTheme="minorBidi" w:hint="cs"/>
          <w:rtl/>
        </w:rPr>
        <w:t xml:space="preserve">- </w:t>
      </w:r>
      <w:r w:rsidRPr="000363E5">
        <w:rPr>
          <w:rFonts w:asciiTheme="minorBidi" w:hAnsiTheme="minorBidi" w:cs="Arial"/>
          <w:rtl/>
        </w:rPr>
        <w:t>כשהוא תולה לשמרים הוי כאהל לפי שהוא צריך לחלל שתחתיה, אבל כשתולה אותה להניח עליה פירות מותר לפי שאין צריך לחלל שתחתיה לדבר זה</w:t>
      </w:r>
      <w:r>
        <w:rPr>
          <w:rStyle w:val="a9"/>
          <w:rFonts w:asciiTheme="minorBidi" w:hAnsiTheme="minorBidi" w:cs="Arial"/>
          <w:rtl/>
        </w:rPr>
        <w:footnoteReference w:id="2393"/>
      </w:r>
      <w:r>
        <w:rPr>
          <w:rFonts w:asciiTheme="minorBidi" w:hAnsiTheme="minorBidi" w:cs="Arial" w:hint="cs"/>
          <w:rtl/>
        </w:rPr>
        <w:t>.</w:t>
      </w:r>
    </w:p>
    <w:p w14:paraId="1A03B312" w14:textId="33489576" w:rsidR="004D5E07" w:rsidRPr="00BD405E" w:rsidRDefault="00B5788F" w:rsidP="00434A6A">
      <w:pPr>
        <w:pStyle w:val="aa"/>
        <w:numPr>
          <w:ilvl w:val="0"/>
          <w:numId w:val="2"/>
        </w:numPr>
        <w:rPr>
          <w:rFonts w:asciiTheme="minorBidi" w:hAnsiTheme="minorBidi"/>
        </w:rPr>
      </w:pPr>
      <w:r w:rsidRPr="005275DF">
        <w:rPr>
          <w:rFonts w:asciiTheme="minorBidi" w:hAnsiTheme="minorBidi"/>
          <w:rtl/>
        </w:rPr>
        <w:t>רש"י</w:t>
      </w:r>
      <w:r w:rsidRPr="005275DF">
        <w:rPr>
          <w:rFonts w:asciiTheme="minorBidi" w:hAnsiTheme="minorBidi"/>
          <w:sz w:val="16"/>
          <w:szCs w:val="16"/>
          <w:rtl/>
        </w:rPr>
        <w:t xml:space="preserve"> </w:t>
      </w:r>
      <w:r w:rsidR="00A82A64">
        <w:rPr>
          <w:rFonts w:asciiTheme="minorBidi" w:hAnsiTheme="minorBidi" w:hint="cs"/>
          <w:sz w:val="16"/>
          <w:szCs w:val="16"/>
          <w:rtl/>
        </w:rPr>
        <w:t xml:space="preserve">(קלח. ד"ה אלא, </w:t>
      </w:r>
      <w:r w:rsidR="000363E5">
        <w:rPr>
          <w:rFonts w:asciiTheme="minorBidi" w:hAnsiTheme="minorBidi" w:hint="cs"/>
          <w:sz w:val="16"/>
          <w:szCs w:val="16"/>
          <w:rtl/>
        </w:rPr>
        <w:t>קלט: ד"ה מערים)</w:t>
      </w:r>
      <w:r w:rsidRPr="005275DF">
        <w:rPr>
          <w:rFonts w:asciiTheme="minorBidi" w:hAnsiTheme="minorBidi"/>
          <w:rtl/>
        </w:rPr>
        <w:t xml:space="preserve"> </w:t>
      </w:r>
      <w:r w:rsidR="00A557AF" w:rsidRPr="005275DF">
        <w:rPr>
          <w:rFonts w:asciiTheme="minorBidi" w:hAnsiTheme="minorBidi"/>
          <w:rtl/>
        </w:rPr>
        <w:t>ו</w:t>
      </w:r>
      <w:r w:rsidRPr="005275DF">
        <w:rPr>
          <w:rFonts w:asciiTheme="minorBidi" w:hAnsiTheme="minorBidi"/>
          <w:rtl/>
        </w:rPr>
        <w:t>רמב"ם</w:t>
      </w:r>
      <w:r w:rsidRPr="005275DF">
        <w:rPr>
          <w:rFonts w:asciiTheme="minorBidi" w:hAnsiTheme="minorBidi"/>
          <w:sz w:val="16"/>
          <w:szCs w:val="16"/>
          <w:rtl/>
        </w:rPr>
        <w:t xml:space="preserve"> (</w:t>
      </w:r>
      <w:r w:rsidR="000526EB">
        <w:rPr>
          <w:rFonts w:asciiTheme="minorBidi" w:hAnsiTheme="minorBidi" w:hint="cs"/>
          <w:sz w:val="16"/>
          <w:szCs w:val="16"/>
          <w:rtl/>
        </w:rPr>
        <w:t xml:space="preserve">שבת </w:t>
      </w:r>
      <w:r w:rsidR="00563CD6">
        <w:rPr>
          <w:rFonts w:asciiTheme="minorBidi" w:hAnsiTheme="minorBidi" w:hint="cs"/>
          <w:sz w:val="16"/>
          <w:szCs w:val="16"/>
          <w:rtl/>
        </w:rPr>
        <w:t>פ</w:t>
      </w:r>
      <w:r w:rsidRPr="005275DF">
        <w:rPr>
          <w:rFonts w:asciiTheme="minorBidi" w:hAnsiTheme="minorBidi"/>
          <w:sz w:val="16"/>
          <w:szCs w:val="16"/>
          <w:rtl/>
        </w:rPr>
        <w:t>כ"</w:t>
      </w:r>
      <w:r w:rsidR="00E820CF" w:rsidRPr="005275DF">
        <w:rPr>
          <w:rFonts w:asciiTheme="minorBidi" w:hAnsiTheme="minorBidi"/>
          <w:sz w:val="16"/>
          <w:szCs w:val="16"/>
          <w:rtl/>
        </w:rPr>
        <w:t xml:space="preserve">א </w:t>
      </w:r>
      <w:r w:rsidR="00563CD6">
        <w:rPr>
          <w:rFonts w:asciiTheme="minorBidi" w:hAnsiTheme="minorBidi" w:hint="cs"/>
          <w:sz w:val="16"/>
          <w:szCs w:val="16"/>
          <w:rtl/>
        </w:rPr>
        <w:t>ה</w:t>
      </w:r>
      <w:r w:rsidRPr="005275DF">
        <w:rPr>
          <w:rFonts w:asciiTheme="minorBidi" w:hAnsiTheme="minorBidi"/>
          <w:sz w:val="16"/>
          <w:szCs w:val="16"/>
          <w:rtl/>
        </w:rPr>
        <w:t>י"ז</w:t>
      </w:r>
      <w:r w:rsidR="000526EB">
        <w:rPr>
          <w:rFonts w:asciiTheme="minorBidi" w:hAnsiTheme="minorBidi" w:hint="cs"/>
          <w:sz w:val="16"/>
          <w:szCs w:val="16"/>
          <w:rtl/>
        </w:rPr>
        <w:t>, יו"ט פ"ג הי"ז</w:t>
      </w:r>
      <w:r w:rsidRPr="005275DF">
        <w:rPr>
          <w:rFonts w:asciiTheme="minorBidi" w:hAnsiTheme="minorBidi"/>
          <w:sz w:val="16"/>
          <w:szCs w:val="16"/>
          <w:rtl/>
        </w:rPr>
        <w:t>)</w:t>
      </w:r>
      <w:r w:rsidRPr="005275DF">
        <w:rPr>
          <w:rFonts w:asciiTheme="minorBidi" w:hAnsiTheme="minorBidi"/>
          <w:rtl/>
        </w:rPr>
        <w:t>-</w:t>
      </w:r>
      <w:r w:rsidRPr="005275DF">
        <w:rPr>
          <w:rFonts w:asciiTheme="minorBidi" w:hAnsiTheme="minorBidi"/>
          <w:sz w:val="16"/>
          <w:szCs w:val="16"/>
          <w:rtl/>
        </w:rPr>
        <w:t xml:space="preserve"> </w:t>
      </w:r>
      <w:r w:rsidR="00563CD6" w:rsidRPr="00563CD6">
        <w:rPr>
          <w:rFonts w:asciiTheme="minorBidi" w:hAnsiTheme="minorBidi" w:cs="Arial"/>
          <w:rtl/>
        </w:rPr>
        <w:t>אסור לתלות את המשמרת כדרך שהוא עושה בחול שמא יבא לשמר</w:t>
      </w:r>
      <w:r w:rsidR="005E6776">
        <w:rPr>
          <w:rStyle w:val="a9"/>
          <w:rFonts w:asciiTheme="minorBidi" w:hAnsiTheme="minorBidi" w:cs="Arial"/>
          <w:rtl/>
        </w:rPr>
        <w:footnoteReference w:id="2394"/>
      </w:r>
      <w:r w:rsidR="00563CD6">
        <w:rPr>
          <w:rFonts w:asciiTheme="minorBidi" w:hAnsiTheme="minorBidi" w:hint="cs"/>
          <w:sz w:val="16"/>
          <w:szCs w:val="16"/>
          <w:rtl/>
        </w:rPr>
        <w:t xml:space="preserve"> (ל' הרמב"ם)</w:t>
      </w:r>
      <w:r w:rsidRPr="005275DF">
        <w:rPr>
          <w:rFonts w:asciiTheme="minorBidi" w:hAnsiTheme="minorBidi"/>
          <w:rtl/>
        </w:rPr>
        <w:t>.</w:t>
      </w:r>
      <w:r w:rsidR="00A557AF" w:rsidRPr="005275DF">
        <w:rPr>
          <w:rFonts w:asciiTheme="minorBidi" w:hAnsiTheme="minorBidi"/>
          <w:rtl/>
        </w:rPr>
        <w:t xml:space="preserve"> (וכ"פ המג"א</w:t>
      </w:r>
      <w:r w:rsidR="00407054">
        <w:rPr>
          <w:rFonts w:asciiTheme="minorBidi" w:hAnsiTheme="minorBidi" w:hint="cs"/>
          <w:sz w:val="16"/>
          <w:szCs w:val="16"/>
          <w:rtl/>
        </w:rPr>
        <w:t xml:space="preserve"> [סקי"א]</w:t>
      </w:r>
      <w:r w:rsidR="00A557AF" w:rsidRPr="005275DF">
        <w:rPr>
          <w:rFonts w:asciiTheme="minorBidi" w:hAnsiTheme="minorBidi"/>
          <w:rtl/>
        </w:rPr>
        <w:t>)</w:t>
      </w:r>
    </w:p>
    <w:p w14:paraId="3E048921" w14:textId="77777777" w:rsidR="00C44022" w:rsidRPr="005275DF" w:rsidRDefault="00C44022" w:rsidP="00434A6A">
      <w:pPr>
        <w:rPr>
          <w:rFonts w:asciiTheme="minorBidi" w:hAnsiTheme="minorBidi"/>
          <w:rtl/>
        </w:rPr>
      </w:pPr>
      <w:r w:rsidRPr="005275DF">
        <w:rPr>
          <w:rFonts w:asciiTheme="minorBidi" w:hAnsiTheme="minorBidi"/>
          <w:b/>
          <w:bCs/>
          <w:sz w:val="32"/>
          <w:szCs w:val="28"/>
          <w:u w:val="single"/>
          <w:rtl/>
        </w:rPr>
        <w:t xml:space="preserve">שו"ע: </w:t>
      </w:r>
    </w:p>
    <w:p w14:paraId="4F0D886F" w14:textId="3A987449" w:rsidR="00C44022" w:rsidRPr="005275DF" w:rsidRDefault="00C44022" w:rsidP="00434A6A">
      <w:pPr>
        <w:rPr>
          <w:rFonts w:asciiTheme="minorBidi" w:hAnsiTheme="minorBidi"/>
          <w:rtl/>
        </w:rPr>
      </w:pPr>
      <w:r w:rsidRPr="005275DF">
        <w:rPr>
          <w:rFonts w:asciiTheme="minorBidi" w:hAnsiTheme="minorBidi"/>
          <w:rtl/>
        </w:rPr>
        <w:t>משמרת</w:t>
      </w:r>
      <w:r w:rsidR="005E6776">
        <w:rPr>
          <w:rStyle w:val="a9"/>
          <w:rFonts w:asciiTheme="minorBidi" w:hAnsiTheme="minorBidi"/>
          <w:rtl/>
        </w:rPr>
        <w:footnoteReference w:id="2395"/>
      </w:r>
      <w:r w:rsidRPr="005275DF">
        <w:rPr>
          <w:rFonts w:asciiTheme="minorBidi" w:hAnsiTheme="minorBidi"/>
          <w:rtl/>
        </w:rPr>
        <w:t xml:space="preserve"> שתולין אותה לתת בה</w:t>
      </w:r>
      <w:r w:rsidR="00E1723A" w:rsidRPr="005275DF">
        <w:rPr>
          <w:rFonts w:asciiTheme="minorBidi" w:hAnsiTheme="minorBidi"/>
          <w:rtl/>
        </w:rPr>
        <w:t xml:space="preserve"> שמרים לסננן</w:t>
      </w:r>
      <w:r w:rsidR="00A82A64">
        <w:rPr>
          <w:rFonts w:asciiTheme="minorBidi" w:hAnsiTheme="minorBidi" w:hint="cs"/>
          <w:rtl/>
        </w:rPr>
        <w:t>,</w:t>
      </w:r>
      <w:r w:rsidR="00E1723A" w:rsidRPr="005275DF">
        <w:rPr>
          <w:rFonts w:asciiTheme="minorBidi" w:hAnsiTheme="minorBidi"/>
          <w:rtl/>
        </w:rPr>
        <w:t xml:space="preserve"> ומותחין פיה לכל צד</w:t>
      </w:r>
      <w:r w:rsidR="00A82A64">
        <w:rPr>
          <w:rFonts w:asciiTheme="minorBidi" w:hAnsiTheme="minorBidi" w:hint="cs"/>
          <w:rtl/>
        </w:rPr>
        <w:t>,</w:t>
      </w:r>
      <w:r w:rsidRPr="005275DF">
        <w:rPr>
          <w:rFonts w:asciiTheme="minorBidi" w:hAnsiTheme="minorBidi"/>
          <w:rtl/>
        </w:rPr>
        <w:t xml:space="preserve"> חשוב עשיית אהל ואסור לנטותה</w:t>
      </w:r>
      <w:r w:rsidR="001F682F">
        <w:rPr>
          <w:rStyle w:val="a9"/>
          <w:rFonts w:asciiTheme="minorBidi" w:hAnsiTheme="minorBidi"/>
          <w:rtl/>
        </w:rPr>
        <w:footnoteReference w:id="2396"/>
      </w:r>
      <w:r w:rsidRPr="005275DF">
        <w:rPr>
          <w:rFonts w:asciiTheme="minorBidi" w:hAnsiTheme="minorBidi"/>
          <w:rtl/>
        </w:rPr>
        <w:t xml:space="preserve">. </w:t>
      </w:r>
    </w:p>
    <w:p w14:paraId="5537F52C" w14:textId="77777777" w:rsidR="00A15FEC" w:rsidRPr="005275DF" w:rsidRDefault="00B5788F" w:rsidP="00434A6A">
      <w:pPr>
        <w:rPr>
          <w:rFonts w:asciiTheme="minorBidi" w:hAnsiTheme="minorBidi"/>
          <w:rtl/>
        </w:rPr>
      </w:pPr>
      <w:r w:rsidRPr="005275DF">
        <w:rPr>
          <w:rFonts w:asciiTheme="minorBidi" w:hAnsiTheme="minorBidi"/>
          <w:rtl/>
        </w:rPr>
        <w:t xml:space="preserve"> </w:t>
      </w:r>
    </w:p>
    <w:p w14:paraId="5EC57392" w14:textId="77777777" w:rsidR="00C44022" w:rsidRPr="005275DF" w:rsidRDefault="00C44022" w:rsidP="00434A6A">
      <w:pPr>
        <w:pStyle w:val="2"/>
        <w:rPr>
          <w:rFonts w:asciiTheme="minorBidi" w:hAnsiTheme="minorBidi" w:cstheme="minorBidi"/>
          <w:rtl/>
        </w:rPr>
      </w:pPr>
      <w:r w:rsidRPr="005275DF">
        <w:rPr>
          <w:rFonts w:asciiTheme="minorBidi" w:hAnsiTheme="minorBidi" w:cstheme="minorBidi"/>
          <w:rtl/>
        </w:rPr>
        <w:t>סעיף י</w:t>
      </w:r>
      <w:r w:rsidR="00E820CF" w:rsidRPr="005275DF">
        <w:rPr>
          <w:rFonts w:asciiTheme="minorBidi" w:hAnsiTheme="minorBidi" w:cstheme="minorBidi"/>
          <w:rtl/>
        </w:rPr>
        <w:t>: טלית כפולה שהיו תלויים בה חוטים מער"ש.</w:t>
      </w:r>
    </w:p>
    <w:p w14:paraId="57EF9908" w14:textId="27972A9E" w:rsidR="004D06BD" w:rsidRPr="005275DF" w:rsidRDefault="0081002A" w:rsidP="00434A6A">
      <w:pPr>
        <w:rPr>
          <w:rFonts w:asciiTheme="minorBidi" w:hAnsiTheme="minorBidi"/>
          <w:rtl/>
        </w:rPr>
      </w:pPr>
      <w:r>
        <w:rPr>
          <w:rFonts w:asciiTheme="minorBidi" w:hAnsiTheme="minorBidi" w:hint="cs"/>
          <w:rtl/>
        </w:rPr>
        <w:t>עיין במקורות בסעיף ח.</w:t>
      </w:r>
    </w:p>
    <w:p w14:paraId="0CE2D36A" w14:textId="77777777" w:rsidR="00C44022" w:rsidRPr="005275DF" w:rsidRDefault="00C44022" w:rsidP="00434A6A">
      <w:pPr>
        <w:rPr>
          <w:rFonts w:asciiTheme="minorBidi" w:hAnsiTheme="minorBidi"/>
          <w:rtl/>
        </w:rPr>
      </w:pPr>
      <w:r w:rsidRPr="005275DF">
        <w:rPr>
          <w:rFonts w:asciiTheme="minorBidi" w:hAnsiTheme="minorBidi"/>
          <w:b/>
          <w:bCs/>
          <w:sz w:val="32"/>
          <w:szCs w:val="28"/>
          <w:u w:val="single"/>
          <w:rtl/>
        </w:rPr>
        <w:t xml:space="preserve">שו"ע: </w:t>
      </w:r>
    </w:p>
    <w:p w14:paraId="74D53065" w14:textId="385262F2" w:rsidR="00E84441" w:rsidRPr="005275DF" w:rsidRDefault="00C44022" w:rsidP="00434A6A">
      <w:pPr>
        <w:rPr>
          <w:rFonts w:asciiTheme="minorBidi" w:hAnsiTheme="minorBidi"/>
          <w:rtl/>
        </w:rPr>
      </w:pPr>
      <w:r w:rsidRPr="005275DF">
        <w:rPr>
          <w:rFonts w:asciiTheme="minorBidi" w:hAnsiTheme="minorBidi"/>
          <w:rtl/>
        </w:rPr>
        <w:t>טלית כפולה שהי</w:t>
      </w:r>
      <w:r w:rsidR="00E1723A" w:rsidRPr="005275DF">
        <w:rPr>
          <w:rFonts w:asciiTheme="minorBidi" w:hAnsiTheme="minorBidi"/>
          <w:rtl/>
        </w:rPr>
        <w:t>ו עליה חוטין שהיתה תלויה בהם</w:t>
      </w:r>
      <w:r w:rsidR="00E84441" w:rsidRPr="005275DF">
        <w:rPr>
          <w:rStyle w:val="a9"/>
          <w:rFonts w:asciiTheme="minorBidi" w:hAnsiTheme="minorBidi"/>
          <w:rtl/>
        </w:rPr>
        <w:footnoteReference w:id="2397"/>
      </w:r>
      <w:r w:rsidR="00E1723A" w:rsidRPr="005275DF">
        <w:rPr>
          <w:rFonts w:asciiTheme="minorBidi" w:hAnsiTheme="minorBidi"/>
          <w:rtl/>
        </w:rPr>
        <w:t xml:space="preserve"> מערב </w:t>
      </w:r>
      <w:r w:rsidRPr="005275DF">
        <w:rPr>
          <w:rFonts w:asciiTheme="minorBidi" w:hAnsiTheme="minorBidi"/>
          <w:rtl/>
        </w:rPr>
        <w:t>ש</w:t>
      </w:r>
      <w:r w:rsidR="00E1723A" w:rsidRPr="005275DF">
        <w:rPr>
          <w:rFonts w:asciiTheme="minorBidi" w:hAnsiTheme="minorBidi"/>
          <w:rtl/>
        </w:rPr>
        <w:t>בת מותר לנטו</w:t>
      </w:r>
      <w:r w:rsidR="008E2D02" w:rsidRPr="005275DF">
        <w:rPr>
          <w:rFonts w:asciiTheme="minorBidi" w:hAnsiTheme="minorBidi"/>
          <w:rtl/>
        </w:rPr>
        <w:t>תה</w:t>
      </w:r>
      <w:r w:rsidR="00550A88" w:rsidRPr="005275DF">
        <w:rPr>
          <w:rStyle w:val="a9"/>
          <w:rFonts w:asciiTheme="minorBidi" w:hAnsiTheme="minorBidi"/>
          <w:rtl/>
        </w:rPr>
        <w:footnoteReference w:id="2398"/>
      </w:r>
      <w:r w:rsidR="008E2D02" w:rsidRPr="005275DF">
        <w:rPr>
          <w:rFonts w:asciiTheme="minorBidi" w:hAnsiTheme="minorBidi"/>
          <w:rtl/>
        </w:rPr>
        <w:t xml:space="preserve"> ומותר לפרקה</w:t>
      </w:r>
      <w:r w:rsidR="00C65584">
        <w:rPr>
          <w:rFonts w:asciiTheme="minorBidi" w:hAnsiTheme="minorBidi" w:hint="cs"/>
          <w:rtl/>
        </w:rPr>
        <w:t>.</w:t>
      </w:r>
      <w:r w:rsidRPr="005275DF">
        <w:rPr>
          <w:rFonts w:asciiTheme="minorBidi" w:hAnsiTheme="minorBidi"/>
          <w:rtl/>
        </w:rPr>
        <w:t xml:space="preserve"> וכן הפרוכת</w:t>
      </w:r>
      <w:r w:rsidR="00E84441" w:rsidRPr="005275DF">
        <w:rPr>
          <w:rStyle w:val="a9"/>
          <w:rFonts w:asciiTheme="minorBidi" w:hAnsiTheme="minorBidi"/>
          <w:rtl/>
        </w:rPr>
        <w:footnoteReference w:id="2399"/>
      </w:r>
      <w:r w:rsidRPr="005275DF">
        <w:rPr>
          <w:rFonts w:asciiTheme="minorBidi" w:hAnsiTheme="minorBidi"/>
          <w:rtl/>
        </w:rPr>
        <w:t xml:space="preserve">. </w:t>
      </w:r>
    </w:p>
    <w:p w14:paraId="31AE76F2" w14:textId="77777777" w:rsidR="00E84441" w:rsidRPr="005275DF" w:rsidRDefault="00E84441" w:rsidP="00434A6A">
      <w:pPr>
        <w:rPr>
          <w:rFonts w:asciiTheme="minorBidi" w:hAnsiTheme="minorBidi"/>
          <w:rtl/>
        </w:rPr>
      </w:pPr>
    </w:p>
    <w:p w14:paraId="0D15FD41" w14:textId="3C28ED8A" w:rsidR="00C44022" w:rsidRDefault="00C44022" w:rsidP="00434A6A">
      <w:pPr>
        <w:pStyle w:val="2"/>
        <w:rPr>
          <w:rFonts w:asciiTheme="minorBidi" w:hAnsiTheme="minorBidi" w:cstheme="minorBidi"/>
          <w:rtl/>
        </w:rPr>
      </w:pPr>
      <w:r w:rsidRPr="005275DF">
        <w:rPr>
          <w:rFonts w:asciiTheme="minorBidi" w:hAnsiTheme="minorBidi" w:cstheme="minorBidi"/>
          <w:rtl/>
        </w:rPr>
        <w:t>סעיף יא</w:t>
      </w:r>
      <w:r w:rsidR="00E820CF" w:rsidRPr="005275DF">
        <w:rPr>
          <w:rFonts w:asciiTheme="minorBidi" w:hAnsiTheme="minorBidi" w:cstheme="minorBidi"/>
          <w:rtl/>
        </w:rPr>
        <w:t>:</w:t>
      </w:r>
      <w:r w:rsidR="0058725F" w:rsidRPr="005275DF">
        <w:rPr>
          <w:rFonts w:asciiTheme="minorBidi" w:hAnsiTheme="minorBidi" w:cstheme="minorBidi"/>
          <w:rtl/>
        </w:rPr>
        <w:t xml:space="preserve"> כילת חתנים.</w:t>
      </w:r>
    </w:p>
    <w:p w14:paraId="092D9723" w14:textId="03232593" w:rsidR="00E94A49" w:rsidRPr="00E94A49" w:rsidRDefault="009302CF" w:rsidP="00434A6A">
      <w:pPr>
        <w:rPr>
          <w:rtl/>
        </w:rPr>
      </w:pPr>
      <w:r>
        <w:rPr>
          <w:rFonts w:asciiTheme="minorBidi" w:hAnsiTheme="minorBidi" w:hint="cs"/>
          <w:rtl/>
        </w:rPr>
        <w:t>עיין במקורות בסעיף ח.</w:t>
      </w:r>
    </w:p>
    <w:p w14:paraId="01A3E4C4" w14:textId="77777777" w:rsidR="00C44022" w:rsidRPr="005275DF" w:rsidRDefault="00C44022" w:rsidP="00434A6A">
      <w:pPr>
        <w:rPr>
          <w:rFonts w:asciiTheme="minorBidi" w:hAnsiTheme="minorBidi"/>
          <w:rtl/>
        </w:rPr>
      </w:pPr>
      <w:r w:rsidRPr="005275DF">
        <w:rPr>
          <w:rFonts w:asciiTheme="minorBidi" w:hAnsiTheme="minorBidi"/>
          <w:b/>
          <w:bCs/>
          <w:sz w:val="32"/>
          <w:szCs w:val="28"/>
          <w:u w:val="single"/>
          <w:rtl/>
        </w:rPr>
        <w:t xml:space="preserve">שו"ע: </w:t>
      </w:r>
    </w:p>
    <w:p w14:paraId="078BD36D" w14:textId="76653624" w:rsidR="00C44022" w:rsidRPr="005275DF" w:rsidRDefault="00E1723A" w:rsidP="00434A6A">
      <w:pPr>
        <w:rPr>
          <w:rFonts w:asciiTheme="minorBidi" w:hAnsiTheme="minorBidi"/>
          <w:rtl/>
        </w:rPr>
      </w:pPr>
      <w:r w:rsidRPr="005275DF">
        <w:rPr>
          <w:rFonts w:asciiTheme="minorBidi" w:hAnsiTheme="minorBidi"/>
          <w:rtl/>
        </w:rPr>
        <w:t>כילת חתנים</w:t>
      </w:r>
      <w:r w:rsidR="00347FDE" w:rsidRPr="005275DF">
        <w:rPr>
          <w:rFonts w:asciiTheme="minorBidi" w:hAnsiTheme="minorBidi"/>
          <w:rtl/>
        </w:rPr>
        <w:t xml:space="preserve"> שאין בגגה טפח ולא בפחות משלשה</w:t>
      </w:r>
      <w:r w:rsidR="00C44022" w:rsidRPr="005275DF">
        <w:rPr>
          <w:rFonts w:asciiTheme="minorBidi" w:hAnsiTheme="minorBidi"/>
          <w:rtl/>
        </w:rPr>
        <w:t xml:space="preserve"> סמוך לגגה </w:t>
      </w:r>
      <w:r w:rsidRPr="005275DF">
        <w:rPr>
          <w:rFonts w:asciiTheme="minorBidi" w:hAnsiTheme="minorBidi"/>
          <w:rtl/>
        </w:rPr>
        <w:t>רוחב טפח</w:t>
      </w:r>
      <w:r w:rsidR="00C65584">
        <w:rPr>
          <w:rFonts w:asciiTheme="minorBidi" w:hAnsiTheme="minorBidi" w:hint="cs"/>
          <w:rtl/>
        </w:rPr>
        <w:t>,</w:t>
      </w:r>
      <w:r w:rsidRPr="005275DF">
        <w:rPr>
          <w:rFonts w:asciiTheme="minorBidi" w:hAnsiTheme="minorBidi"/>
          <w:rtl/>
        </w:rPr>
        <w:t xml:space="preserve"> הואיל שהיא מתוק</w:t>
      </w:r>
      <w:r w:rsidR="00347FDE" w:rsidRPr="005275DF">
        <w:rPr>
          <w:rFonts w:asciiTheme="minorBidi" w:hAnsiTheme="minorBidi"/>
          <w:rtl/>
        </w:rPr>
        <w:t>נת לכך</w:t>
      </w:r>
      <w:r w:rsidR="00C65584">
        <w:rPr>
          <w:rFonts w:asciiTheme="minorBidi" w:hAnsiTheme="minorBidi" w:hint="cs"/>
          <w:rtl/>
        </w:rPr>
        <w:t>,</w:t>
      </w:r>
      <w:r w:rsidR="00347FDE" w:rsidRPr="005275DF">
        <w:rPr>
          <w:rFonts w:asciiTheme="minorBidi" w:hAnsiTheme="minorBidi"/>
          <w:rtl/>
        </w:rPr>
        <w:t xml:space="preserve"> מותר לנטותה ומותר לפורקה</w:t>
      </w:r>
      <w:r w:rsidR="00C65584">
        <w:rPr>
          <w:rFonts w:asciiTheme="minorBidi" w:hAnsiTheme="minorBidi" w:hint="cs"/>
          <w:rtl/>
        </w:rPr>
        <w:t>,</w:t>
      </w:r>
      <w:r w:rsidR="00C44022" w:rsidRPr="005275DF">
        <w:rPr>
          <w:rFonts w:asciiTheme="minorBidi" w:hAnsiTheme="minorBidi"/>
          <w:rtl/>
        </w:rPr>
        <w:t xml:space="preserve"> והוא שלא תהא משולשלת מעל המטה טפח. </w:t>
      </w:r>
    </w:p>
    <w:p w14:paraId="1A3AB420" w14:textId="77777777" w:rsidR="00C44022" w:rsidRPr="005275DF" w:rsidRDefault="00C44022" w:rsidP="00434A6A">
      <w:pPr>
        <w:rPr>
          <w:rFonts w:asciiTheme="minorBidi" w:hAnsiTheme="minorBidi"/>
          <w:rtl/>
        </w:rPr>
      </w:pPr>
    </w:p>
    <w:p w14:paraId="591CDF17" w14:textId="020BA967" w:rsidR="00C44022" w:rsidRPr="005275DF" w:rsidRDefault="00C44022" w:rsidP="00434A6A">
      <w:pPr>
        <w:pStyle w:val="2"/>
        <w:rPr>
          <w:rFonts w:asciiTheme="minorBidi" w:hAnsiTheme="minorBidi" w:cstheme="minorBidi"/>
          <w:rtl/>
        </w:rPr>
      </w:pPr>
      <w:r w:rsidRPr="005275DF">
        <w:rPr>
          <w:rFonts w:asciiTheme="minorBidi" w:hAnsiTheme="minorBidi" w:cstheme="minorBidi"/>
          <w:rtl/>
        </w:rPr>
        <w:t>סעיף יב</w:t>
      </w:r>
      <w:r w:rsidR="0058725F" w:rsidRPr="005275DF">
        <w:rPr>
          <w:rFonts w:asciiTheme="minorBidi" w:hAnsiTheme="minorBidi" w:cstheme="minorBidi"/>
          <w:rtl/>
        </w:rPr>
        <w:t xml:space="preserve">: </w:t>
      </w:r>
      <w:r w:rsidR="00AA4A9E" w:rsidRPr="005275DF">
        <w:rPr>
          <w:rFonts w:asciiTheme="minorBidi" w:hAnsiTheme="minorBidi" w:cstheme="minorBidi"/>
          <w:rtl/>
        </w:rPr>
        <w:t xml:space="preserve">נטית </w:t>
      </w:r>
      <w:r w:rsidR="00CB232B">
        <w:rPr>
          <w:rFonts w:asciiTheme="minorBidi" w:hAnsiTheme="minorBidi" w:cstheme="minorBidi" w:hint="cs"/>
          <w:rtl/>
        </w:rPr>
        <w:t>גוד/</w:t>
      </w:r>
      <w:r w:rsidR="00AA4A9E" w:rsidRPr="005275DF">
        <w:rPr>
          <w:rFonts w:asciiTheme="minorBidi" w:hAnsiTheme="minorBidi" w:cstheme="minorBidi"/>
          <w:rtl/>
        </w:rPr>
        <w:t>פרוכת</w:t>
      </w:r>
      <w:r w:rsidR="00CB232B">
        <w:rPr>
          <w:rFonts w:asciiTheme="minorBidi" w:hAnsiTheme="minorBidi" w:cstheme="minorBidi" w:hint="cs"/>
          <w:rtl/>
        </w:rPr>
        <w:t>/</w:t>
      </w:r>
      <w:r w:rsidR="00AA4A9E" w:rsidRPr="005275DF">
        <w:rPr>
          <w:rFonts w:asciiTheme="minorBidi" w:hAnsiTheme="minorBidi" w:cstheme="minorBidi"/>
          <w:rtl/>
        </w:rPr>
        <w:t>כילה.</w:t>
      </w:r>
    </w:p>
    <w:p w14:paraId="43A76509" w14:textId="02E620C7" w:rsidR="008A7C01" w:rsidRDefault="008A7C01" w:rsidP="00434A6A">
      <w:pPr>
        <w:rPr>
          <w:rFonts w:asciiTheme="minorBidi" w:hAnsiTheme="minorBidi"/>
          <w:rtl/>
        </w:rPr>
      </w:pPr>
      <w:r w:rsidRPr="005275DF">
        <w:rPr>
          <w:rFonts w:asciiTheme="minorBidi" w:hAnsiTheme="minorBidi"/>
          <w:b/>
          <w:bCs/>
          <w:rtl/>
        </w:rPr>
        <w:t xml:space="preserve">שבת </w:t>
      </w:r>
      <w:r w:rsidR="00AA750E">
        <w:rPr>
          <w:rFonts w:asciiTheme="minorBidi" w:hAnsiTheme="minorBidi" w:hint="cs"/>
          <w:b/>
          <w:bCs/>
          <w:sz w:val="16"/>
          <w:szCs w:val="16"/>
          <w:rtl/>
        </w:rPr>
        <w:t xml:space="preserve">(פ' תולין) </w:t>
      </w:r>
      <w:r w:rsidRPr="005275DF">
        <w:rPr>
          <w:rFonts w:asciiTheme="minorBidi" w:hAnsiTheme="minorBidi"/>
          <w:b/>
          <w:bCs/>
          <w:rtl/>
        </w:rPr>
        <w:t xml:space="preserve">קלח ע"א: </w:t>
      </w:r>
      <w:r w:rsidRPr="00AA750E">
        <w:rPr>
          <w:rFonts w:asciiTheme="minorBidi" w:hAnsiTheme="minorBidi"/>
          <w:u w:val="single"/>
          <w:rtl/>
        </w:rPr>
        <w:t>מנקיט אביי חומרי מתניתא ותני</w:t>
      </w:r>
      <w:r w:rsidRPr="005275DF">
        <w:rPr>
          <w:rFonts w:asciiTheme="minorBidi" w:hAnsiTheme="minorBidi"/>
          <w:rtl/>
        </w:rPr>
        <w:t>: הגוד</w:t>
      </w:r>
      <w:r w:rsidRPr="005275DF">
        <w:rPr>
          <w:rStyle w:val="a9"/>
          <w:rFonts w:asciiTheme="minorBidi" w:hAnsiTheme="minorBidi"/>
          <w:rtl/>
        </w:rPr>
        <w:footnoteReference w:id="2400"/>
      </w:r>
      <w:r w:rsidRPr="005275DF">
        <w:rPr>
          <w:rFonts w:asciiTheme="minorBidi" w:hAnsiTheme="minorBidi"/>
          <w:rtl/>
        </w:rPr>
        <w:t xml:space="preserve"> והמשמרת... </w:t>
      </w:r>
      <w:r w:rsidR="00AA750E">
        <w:rPr>
          <w:rFonts w:asciiTheme="minorBidi" w:hAnsiTheme="minorBidi" w:hint="cs"/>
          <w:rtl/>
        </w:rPr>
        <w:t xml:space="preserve">- </w:t>
      </w:r>
      <w:r w:rsidRPr="005275DF">
        <w:rPr>
          <w:rFonts w:asciiTheme="minorBidi" w:hAnsiTheme="minorBidi"/>
          <w:rtl/>
        </w:rPr>
        <w:t>לא יעשה</w:t>
      </w:r>
      <w:r w:rsidR="00AA750E">
        <w:rPr>
          <w:rFonts w:asciiTheme="minorBidi" w:hAnsiTheme="minorBidi" w:hint="cs"/>
          <w:rtl/>
        </w:rPr>
        <w:t>.</w:t>
      </w:r>
      <w:r w:rsidRPr="005275DF">
        <w:rPr>
          <w:rFonts w:asciiTheme="minorBidi" w:hAnsiTheme="minorBidi"/>
          <w:rtl/>
        </w:rPr>
        <w:t xml:space="preserve"> ואם עשה </w:t>
      </w:r>
      <w:r w:rsidR="00AA750E">
        <w:rPr>
          <w:rFonts w:asciiTheme="minorBidi" w:hAnsiTheme="minorBidi" w:hint="cs"/>
          <w:rtl/>
        </w:rPr>
        <w:t xml:space="preserve">- </w:t>
      </w:r>
      <w:r w:rsidRPr="005275DF">
        <w:rPr>
          <w:rFonts w:asciiTheme="minorBidi" w:hAnsiTheme="minorBidi"/>
          <w:rtl/>
        </w:rPr>
        <w:t xml:space="preserve">פטור אבל אסור... </w:t>
      </w:r>
      <w:r w:rsidRPr="00AA750E">
        <w:rPr>
          <w:rFonts w:asciiTheme="minorBidi" w:hAnsiTheme="minorBidi"/>
          <w:sz w:val="14"/>
          <w:szCs w:val="14"/>
          <w:rtl/>
        </w:rPr>
        <w:t>(קלח</w:t>
      </w:r>
      <w:r w:rsidRPr="00AA750E">
        <w:rPr>
          <w:rFonts w:asciiTheme="minorBidi" w:hAnsiTheme="minorBidi"/>
          <w:sz w:val="14"/>
          <w:szCs w:val="14"/>
        </w:rPr>
        <w:t>:</w:t>
      </w:r>
      <w:r w:rsidRPr="00AA750E">
        <w:rPr>
          <w:rFonts w:asciiTheme="minorBidi" w:hAnsiTheme="minorBidi"/>
          <w:sz w:val="14"/>
          <w:szCs w:val="14"/>
          <w:rtl/>
        </w:rPr>
        <w:t>)</w:t>
      </w:r>
      <w:r w:rsidR="00AA750E" w:rsidRPr="00AA750E">
        <w:rPr>
          <w:rtl/>
        </w:rPr>
        <w:t xml:space="preserve"> </w:t>
      </w:r>
      <w:r w:rsidR="00AA750E" w:rsidRPr="00AA750E">
        <w:rPr>
          <w:rFonts w:asciiTheme="minorBidi" w:hAnsiTheme="minorBidi" w:cs="Arial"/>
          <w:u w:val="single"/>
          <w:rtl/>
        </w:rPr>
        <w:t>שלח ליה רמי בר יחזקאל לרב הונא</w:t>
      </w:r>
      <w:r w:rsidR="00AA750E" w:rsidRPr="00AA750E">
        <w:rPr>
          <w:rFonts w:asciiTheme="minorBidi" w:hAnsiTheme="minorBidi" w:cs="Arial"/>
          <w:rtl/>
        </w:rPr>
        <w:t xml:space="preserve">: אימא לן איזי הנך מילי מעלייתא דאמרת לן משמיה דרב, תרתי בשבת וחדא בתורה. </w:t>
      </w:r>
      <w:r w:rsidR="00AA750E" w:rsidRPr="00AA750E">
        <w:rPr>
          <w:rFonts w:asciiTheme="minorBidi" w:hAnsiTheme="minorBidi" w:cs="Arial"/>
          <w:u w:val="single"/>
          <w:rtl/>
        </w:rPr>
        <w:t>שלח ליה</w:t>
      </w:r>
      <w:r w:rsidR="00AA750E" w:rsidRPr="00AA750E">
        <w:rPr>
          <w:rFonts w:asciiTheme="minorBidi" w:hAnsiTheme="minorBidi" w:cs="Arial"/>
          <w:rtl/>
        </w:rPr>
        <w:t>: הא דתניא</w:t>
      </w:r>
      <w:r w:rsidRPr="005275DF">
        <w:rPr>
          <w:rFonts w:asciiTheme="minorBidi" w:hAnsiTheme="minorBidi"/>
          <w:rtl/>
        </w:rPr>
        <w:t xml:space="preserve"> גוד בכיסנא</w:t>
      </w:r>
      <w:r w:rsidR="0064556A" w:rsidRPr="005275DF">
        <w:rPr>
          <w:rStyle w:val="a9"/>
          <w:rFonts w:asciiTheme="minorBidi" w:hAnsiTheme="minorBidi"/>
          <w:rtl/>
        </w:rPr>
        <w:footnoteReference w:id="2401"/>
      </w:r>
      <w:r w:rsidRPr="005275DF">
        <w:rPr>
          <w:rFonts w:asciiTheme="minorBidi" w:hAnsiTheme="minorBidi"/>
          <w:rtl/>
        </w:rPr>
        <w:t xml:space="preserve"> מותר לנטותה בשבת</w:t>
      </w:r>
      <w:r w:rsidR="0064556A" w:rsidRPr="005275DF">
        <w:rPr>
          <w:rStyle w:val="a9"/>
          <w:rFonts w:asciiTheme="minorBidi" w:hAnsiTheme="minorBidi"/>
          <w:rtl/>
        </w:rPr>
        <w:footnoteReference w:id="2402"/>
      </w:r>
      <w:r w:rsidR="0064556A" w:rsidRPr="005275DF">
        <w:rPr>
          <w:rFonts w:asciiTheme="minorBidi" w:hAnsiTheme="minorBidi"/>
          <w:rtl/>
        </w:rPr>
        <w:t>,</w:t>
      </w:r>
      <w:r w:rsidRPr="005275DF">
        <w:rPr>
          <w:rFonts w:asciiTheme="minorBidi" w:hAnsiTheme="minorBidi"/>
          <w:rtl/>
        </w:rPr>
        <w:t xml:space="preserve"> </w:t>
      </w:r>
      <w:r w:rsidRPr="005275DF">
        <w:rPr>
          <w:rFonts w:asciiTheme="minorBidi" w:hAnsiTheme="minorBidi"/>
          <w:u w:val="single"/>
          <w:rtl/>
        </w:rPr>
        <w:t>אמר רב:</w:t>
      </w:r>
      <w:r w:rsidRPr="005275DF">
        <w:rPr>
          <w:rFonts w:asciiTheme="minorBidi" w:hAnsiTheme="minorBidi"/>
          <w:rtl/>
        </w:rPr>
        <w:t xml:space="preserve"> לא שנו אלא בשני בני אדם</w:t>
      </w:r>
      <w:r w:rsidR="0064556A" w:rsidRPr="005275DF">
        <w:rPr>
          <w:rStyle w:val="a9"/>
          <w:rFonts w:asciiTheme="minorBidi" w:hAnsiTheme="minorBidi"/>
          <w:rtl/>
        </w:rPr>
        <w:footnoteReference w:id="2403"/>
      </w:r>
      <w:r w:rsidRPr="005275DF">
        <w:rPr>
          <w:rFonts w:asciiTheme="minorBidi" w:hAnsiTheme="minorBidi"/>
          <w:rtl/>
        </w:rPr>
        <w:t xml:space="preserve"> אבל באדם אחד</w:t>
      </w:r>
      <w:r w:rsidR="0064556A" w:rsidRPr="005275DF">
        <w:rPr>
          <w:rStyle w:val="a9"/>
          <w:rFonts w:asciiTheme="minorBidi" w:hAnsiTheme="minorBidi"/>
          <w:rtl/>
        </w:rPr>
        <w:footnoteReference w:id="2404"/>
      </w:r>
      <w:r w:rsidRPr="005275DF">
        <w:rPr>
          <w:rFonts w:asciiTheme="minorBidi" w:hAnsiTheme="minorBidi"/>
          <w:rtl/>
        </w:rPr>
        <w:t xml:space="preserve"> אסור. </w:t>
      </w:r>
      <w:r w:rsidRPr="005275DF">
        <w:rPr>
          <w:rFonts w:asciiTheme="minorBidi" w:hAnsiTheme="minorBidi"/>
          <w:u w:val="single"/>
          <w:rtl/>
        </w:rPr>
        <w:t>אמר אביי</w:t>
      </w:r>
      <w:r w:rsidRPr="005275DF">
        <w:rPr>
          <w:rFonts w:asciiTheme="minorBidi" w:hAnsiTheme="minorBidi"/>
          <w:rtl/>
        </w:rPr>
        <w:t>: וכילה</w:t>
      </w:r>
      <w:r w:rsidR="00BD526E" w:rsidRPr="005275DF">
        <w:rPr>
          <w:rStyle w:val="a9"/>
          <w:rFonts w:asciiTheme="minorBidi" w:hAnsiTheme="minorBidi"/>
          <w:rtl/>
        </w:rPr>
        <w:footnoteReference w:id="2405"/>
      </w:r>
      <w:r w:rsidRPr="005275DF">
        <w:rPr>
          <w:rFonts w:asciiTheme="minorBidi" w:hAnsiTheme="minorBidi"/>
          <w:rtl/>
        </w:rPr>
        <w:t xml:space="preserve"> אפילו בעשרה בני אדם</w:t>
      </w:r>
      <w:r w:rsidR="0064556A" w:rsidRPr="005275DF">
        <w:rPr>
          <w:rFonts w:asciiTheme="minorBidi" w:hAnsiTheme="minorBidi"/>
          <w:rtl/>
        </w:rPr>
        <w:t xml:space="preserve"> </w:t>
      </w:r>
      <w:r w:rsidRPr="005275DF">
        <w:rPr>
          <w:rFonts w:asciiTheme="minorBidi" w:hAnsiTheme="minorBidi"/>
          <w:rtl/>
        </w:rPr>
        <w:t>אסור</w:t>
      </w:r>
      <w:r w:rsidR="00CD5493">
        <w:rPr>
          <w:rFonts w:asciiTheme="minorBidi" w:hAnsiTheme="minorBidi" w:hint="cs"/>
          <w:rtl/>
        </w:rPr>
        <w:t>,</w:t>
      </w:r>
      <w:r w:rsidRPr="005275DF">
        <w:rPr>
          <w:rFonts w:asciiTheme="minorBidi" w:hAnsiTheme="minorBidi"/>
          <w:rtl/>
        </w:rPr>
        <w:t xml:space="preserve"> אי אפשר דלא מימתחא פורתא.</w:t>
      </w:r>
    </w:p>
    <w:p w14:paraId="68D00C4A" w14:textId="5C399E24" w:rsidR="00CB232B" w:rsidRPr="00CB232B" w:rsidRDefault="00CB232B" w:rsidP="00434A6A">
      <w:pPr>
        <w:rPr>
          <w:rFonts w:asciiTheme="minorBidi" w:hAnsiTheme="minorBidi"/>
          <w:u w:val="single"/>
          <w:rtl/>
        </w:rPr>
      </w:pPr>
      <w:r w:rsidRPr="00CB232B">
        <w:rPr>
          <w:rFonts w:asciiTheme="minorBidi" w:hAnsiTheme="minorBidi"/>
          <w:u w:val="single"/>
          <w:rtl/>
        </w:rPr>
        <w:t xml:space="preserve">נטית </w:t>
      </w:r>
      <w:r w:rsidRPr="00CB232B">
        <w:rPr>
          <w:rFonts w:asciiTheme="minorBidi" w:hAnsiTheme="minorBidi" w:hint="cs"/>
          <w:u w:val="single"/>
          <w:rtl/>
        </w:rPr>
        <w:t>גוד/</w:t>
      </w:r>
      <w:r w:rsidRPr="00CB232B">
        <w:rPr>
          <w:rFonts w:asciiTheme="minorBidi" w:hAnsiTheme="minorBidi"/>
          <w:u w:val="single"/>
          <w:rtl/>
        </w:rPr>
        <w:t>פרוכת</w:t>
      </w:r>
      <w:r w:rsidRPr="00CB232B">
        <w:rPr>
          <w:rFonts w:asciiTheme="minorBidi" w:hAnsiTheme="minorBidi" w:hint="cs"/>
          <w:u w:val="single"/>
          <w:rtl/>
        </w:rPr>
        <w:t>/</w:t>
      </w:r>
      <w:r w:rsidRPr="00CB232B">
        <w:rPr>
          <w:rFonts w:asciiTheme="minorBidi" w:hAnsiTheme="minorBidi"/>
          <w:u w:val="single"/>
          <w:rtl/>
        </w:rPr>
        <w:t>כילה</w:t>
      </w:r>
      <w:r w:rsidRPr="00CB232B">
        <w:rPr>
          <w:rFonts w:asciiTheme="minorBidi" w:hAnsiTheme="minorBidi" w:hint="cs"/>
          <w:u w:val="single"/>
          <w:rtl/>
        </w:rPr>
        <w:t>:</w:t>
      </w:r>
    </w:p>
    <w:p w14:paraId="514B57D4" w14:textId="40B7FA2D" w:rsidR="009E3A50" w:rsidRDefault="00563CD6" w:rsidP="00434A6A">
      <w:pPr>
        <w:pStyle w:val="aa"/>
        <w:numPr>
          <w:ilvl w:val="0"/>
          <w:numId w:val="29"/>
        </w:numPr>
        <w:rPr>
          <w:rFonts w:asciiTheme="minorBidi" w:hAnsiTheme="minorBidi" w:cs="Arial"/>
        </w:rPr>
      </w:pPr>
      <w:r w:rsidRPr="00D55D2E">
        <w:rPr>
          <w:rFonts w:asciiTheme="minorBidi" w:hAnsiTheme="minorBidi" w:cs="Arial"/>
          <w:rtl/>
        </w:rPr>
        <w:t xml:space="preserve">רמב"ם </w:t>
      </w:r>
      <w:r w:rsidR="009E3A50" w:rsidRPr="00D55D2E">
        <w:rPr>
          <w:rFonts w:asciiTheme="minorBidi" w:hAnsiTheme="minorBidi" w:cs="Arial" w:hint="cs"/>
          <w:sz w:val="16"/>
          <w:szCs w:val="16"/>
          <w:rtl/>
        </w:rPr>
        <w:t>(</w:t>
      </w:r>
      <w:r w:rsidRPr="00D55D2E">
        <w:rPr>
          <w:rFonts w:asciiTheme="minorBidi" w:hAnsiTheme="minorBidi" w:cs="Arial"/>
          <w:sz w:val="16"/>
          <w:szCs w:val="16"/>
          <w:rtl/>
        </w:rPr>
        <w:t>פכ"ב הל</w:t>
      </w:r>
      <w:r w:rsidR="009E3A50" w:rsidRPr="00D55D2E">
        <w:rPr>
          <w:rFonts w:asciiTheme="minorBidi" w:hAnsiTheme="minorBidi" w:cs="Arial" w:hint="cs"/>
          <w:sz w:val="16"/>
          <w:szCs w:val="16"/>
          <w:rtl/>
        </w:rPr>
        <w:t>"</w:t>
      </w:r>
      <w:r w:rsidRPr="00D55D2E">
        <w:rPr>
          <w:rFonts w:asciiTheme="minorBidi" w:hAnsiTheme="minorBidi" w:cs="Arial"/>
          <w:sz w:val="16"/>
          <w:szCs w:val="16"/>
          <w:rtl/>
        </w:rPr>
        <w:t>ב)</w:t>
      </w:r>
      <w:r w:rsidR="009E3A50" w:rsidRPr="00D55D2E">
        <w:rPr>
          <w:rFonts w:asciiTheme="minorBidi" w:hAnsiTheme="minorBidi" w:cs="Arial" w:hint="cs"/>
          <w:rtl/>
        </w:rPr>
        <w:t xml:space="preserve">- </w:t>
      </w:r>
      <w:r w:rsidRPr="00D55D2E">
        <w:rPr>
          <w:rFonts w:asciiTheme="minorBidi" w:hAnsiTheme="minorBidi" w:cs="Arial"/>
          <w:rtl/>
        </w:rPr>
        <w:t>הנוטה פרוכת וכיוצא בה צריך להזהר שלא יעשה אהל בשעה שנוטה</w:t>
      </w:r>
      <w:r w:rsidR="00D55D2E">
        <w:rPr>
          <w:rStyle w:val="a9"/>
          <w:rFonts w:asciiTheme="minorBidi" w:hAnsiTheme="minorBidi" w:cs="Arial"/>
          <w:rtl/>
        </w:rPr>
        <w:footnoteReference w:id="2406"/>
      </w:r>
      <w:r w:rsidR="00D55D2E">
        <w:rPr>
          <w:rFonts w:asciiTheme="minorBidi" w:hAnsiTheme="minorBidi" w:cs="Arial" w:hint="cs"/>
          <w:rtl/>
        </w:rPr>
        <w:t>.</w:t>
      </w:r>
      <w:r w:rsidRPr="00D55D2E">
        <w:rPr>
          <w:rFonts w:asciiTheme="minorBidi" w:hAnsiTheme="minorBidi" w:cs="Arial"/>
          <w:rtl/>
        </w:rPr>
        <w:t xml:space="preserve"> לפיכך אם היתה פרוכת גדולה תולין אותה שנים</w:t>
      </w:r>
      <w:r w:rsidR="00CD5493">
        <w:rPr>
          <w:rFonts w:asciiTheme="minorBidi" w:hAnsiTheme="minorBidi" w:cs="Arial" w:hint="cs"/>
          <w:rtl/>
        </w:rPr>
        <w:t>,</w:t>
      </w:r>
      <w:r w:rsidRPr="00D55D2E">
        <w:rPr>
          <w:rFonts w:asciiTheme="minorBidi" w:hAnsiTheme="minorBidi" w:cs="Arial"/>
          <w:rtl/>
        </w:rPr>
        <w:t xml:space="preserve"> אבל אחד אסור</w:t>
      </w:r>
      <w:r w:rsidR="00D55D2E">
        <w:rPr>
          <w:rFonts w:asciiTheme="minorBidi" w:hAnsiTheme="minorBidi" w:cs="Arial" w:hint="cs"/>
          <w:rtl/>
        </w:rPr>
        <w:t>.</w:t>
      </w:r>
      <w:r w:rsidRPr="00D55D2E">
        <w:rPr>
          <w:rFonts w:asciiTheme="minorBidi" w:hAnsiTheme="minorBidi" w:cs="Arial"/>
          <w:rtl/>
        </w:rPr>
        <w:t xml:space="preserve"> ואם היתה כילה שיש לה גג </w:t>
      </w:r>
      <w:r w:rsidR="00D71291">
        <w:rPr>
          <w:rFonts w:asciiTheme="minorBidi" w:hAnsiTheme="minorBidi" w:cs="Arial" w:hint="cs"/>
          <w:rtl/>
        </w:rPr>
        <w:t xml:space="preserve">- </w:t>
      </w:r>
      <w:r w:rsidRPr="00D55D2E">
        <w:rPr>
          <w:rFonts w:asciiTheme="minorBidi" w:hAnsiTheme="minorBidi" w:cs="Arial"/>
          <w:rtl/>
        </w:rPr>
        <w:t>אין מותחין אותה ואפילו עשרה</w:t>
      </w:r>
      <w:r w:rsidR="00D55D2E">
        <w:rPr>
          <w:rFonts w:asciiTheme="minorBidi" w:hAnsiTheme="minorBidi" w:cs="Arial" w:hint="cs"/>
          <w:rtl/>
        </w:rPr>
        <w:t>,</w:t>
      </w:r>
      <w:r w:rsidRPr="00D55D2E">
        <w:rPr>
          <w:rFonts w:asciiTheme="minorBidi" w:hAnsiTheme="minorBidi" w:cs="Arial"/>
          <w:rtl/>
        </w:rPr>
        <w:t xml:space="preserve"> שאי אפשר שלא תגבה מעט מעל הארץ ותעשה אהל עראי. </w:t>
      </w:r>
      <w:r w:rsidR="00F25E89" w:rsidRPr="005275DF">
        <w:rPr>
          <w:rFonts w:asciiTheme="minorBidi" w:hAnsiTheme="minorBidi"/>
          <w:color w:val="E36C0A" w:themeColor="accent6" w:themeShade="BF"/>
          <w:rtl/>
        </w:rPr>
        <w:t>(וכ"פ בשו"ע)</w:t>
      </w:r>
    </w:p>
    <w:p w14:paraId="46E8303E" w14:textId="5A50C581" w:rsidR="00D55D2E" w:rsidRPr="00D55D2E" w:rsidRDefault="00D55D2E" w:rsidP="00434A6A">
      <w:pPr>
        <w:pStyle w:val="aa"/>
        <w:numPr>
          <w:ilvl w:val="0"/>
          <w:numId w:val="29"/>
        </w:numPr>
        <w:rPr>
          <w:rFonts w:asciiTheme="minorBidi" w:hAnsiTheme="minorBidi" w:cs="Arial"/>
          <w:rtl/>
        </w:rPr>
      </w:pPr>
      <w:r>
        <w:rPr>
          <w:rFonts w:asciiTheme="minorBidi" w:hAnsiTheme="minorBidi" w:cs="Arial" w:hint="cs"/>
          <w:rtl/>
        </w:rPr>
        <w:t>ראב"ד</w:t>
      </w:r>
      <w:r>
        <w:rPr>
          <w:rFonts w:asciiTheme="minorBidi" w:hAnsiTheme="minorBidi" w:cs="Arial" w:hint="cs"/>
          <w:sz w:val="16"/>
          <w:szCs w:val="16"/>
          <w:rtl/>
        </w:rPr>
        <w:t xml:space="preserve"> (שם בהשגות)</w:t>
      </w:r>
      <w:r>
        <w:rPr>
          <w:rFonts w:asciiTheme="minorBidi" w:hAnsiTheme="minorBidi" w:cs="Arial" w:hint="cs"/>
          <w:rtl/>
        </w:rPr>
        <w:t>-</w:t>
      </w:r>
      <w:r w:rsidRPr="00D55D2E">
        <w:rPr>
          <w:rtl/>
        </w:rPr>
        <w:t xml:space="preserve"> </w:t>
      </w:r>
      <w:r w:rsidRPr="00D55D2E">
        <w:rPr>
          <w:rFonts w:asciiTheme="minorBidi" w:hAnsiTheme="minorBidi" w:cs="Arial"/>
          <w:rtl/>
        </w:rPr>
        <w:t>אין דעתי נוחה בכל זה</w:t>
      </w:r>
      <w:r w:rsidR="00CD5493">
        <w:rPr>
          <w:rFonts w:asciiTheme="minorBidi" w:hAnsiTheme="minorBidi" w:cs="Arial" w:hint="cs"/>
          <w:rtl/>
        </w:rPr>
        <w:t>,</w:t>
      </w:r>
      <w:r w:rsidRPr="00D55D2E">
        <w:rPr>
          <w:rFonts w:asciiTheme="minorBidi" w:hAnsiTheme="minorBidi" w:cs="Arial"/>
          <w:rtl/>
        </w:rPr>
        <w:t xml:space="preserve"> שלא באו לכאן משום אהל זה אלא מפני שהוא בכסכיו</w:t>
      </w:r>
      <w:r w:rsidR="00CD5493">
        <w:rPr>
          <w:rFonts w:asciiTheme="minorBidi" w:hAnsiTheme="minorBidi" w:cs="Arial" w:hint="cs"/>
          <w:rtl/>
        </w:rPr>
        <w:t>,</w:t>
      </w:r>
      <w:r w:rsidRPr="00D55D2E">
        <w:rPr>
          <w:rFonts w:asciiTheme="minorBidi" w:hAnsiTheme="minorBidi" w:cs="Arial"/>
          <w:rtl/>
        </w:rPr>
        <w:t xml:space="preserve"> והם לולאות</w:t>
      </w:r>
      <w:r w:rsidR="00CD5493">
        <w:rPr>
          <w:rFonts w:asciiTheme="minorBidi" w:hAnsiTheme="minorBidi" w:cs="Arial" w:hint="cs"/>
          <w:rtl/>
        </w:rPr>
        <w:t>,</w:t>
      </w:r>
      <w:r w:rsidRPr="00D55D2E">
        <w:rPr>
          <w:rFonts w:asciiTheme="minorBidi" w:hAnsiTheme="minorBidi" w:cs="Arial"/>
          <w:rtl/>
        </w:rPr>
        <w:t xml:space="preserve"> וצריך לכוין הלולאות כנגד היתדות שבכותל</w:t>
      </w:r>
      <w:r w:rsidR="00CD5493">
        <w:rPr>
          <w:rFonts w:asciiTheme="minorBidi" w:hAnsiTheme="minorBidi" w:cs="Arial" w:hint="cs"/>
          <w:rtl/>
        </w:rPr>
        <w:t>,</w:t>
      </w:r>
      <w:r w:rsidRPr="00D55D2E">
        <w:rPr>
          <w:rFonts w:asciiTheme="minorBidi" w:hAnsiTheme="minorBidi" w:cs="Arial"/>
          <w:rtl/>
        </w:rPr>
        <w:t xml:space="preserve"> ושני בני אדם יכולים לכוין בלא שנוי הקפול שלו</w:t>
      </w:r>
      <w:r w:rsidR="00CD5493">
        <w:rPr>
          <w:rFonts w:asciiTheme="minorBidi" w:hAnsiTheme="minorBidi" w:cs="Arial" w:hint="cs"/>
          <w:rtl/>
        </w:rPr>
        <w:t>,</w:t>
      </w:r>
      <w:r w:rsidRPr="00D55D2E">
        <w:rPr>
          <w:rFonts w:asciiTheme="minorBidi" w:hAnsiTheme="minorBidi" w:cs="Arial"/>
          <w:rtl/>
        </w:rPr>
        <w:t xml:space="preserve"> אבל אדם אחד לא, וכילה שהיא גדולה בכסכתא אפי' עשרה בני אדם אין יכולין לכוין בלא שנוי הקפול שלו</w:t>
      </w:r>
      <w:r w:rsidR="00CD5493">
        <w:rPr>
          <w:rFonts w:asciiTheme="minorBidi" w:hAnsiTheme="minorBidi" w:cs="Arial" w:hint="cs"/>
          <w:rtl/>
        </w:rPr>
        <w:t>,</w:t>
      </w:r>
      <w:r w:rsidRPr="00D55D2E">
        <w:rPr>
          <w:rFonts w:asciiTheme="minorBidi" w:hAnsiTheme="minorBidi" w:cs="Arial"/>
          <w:rtl/>
        </w:rPr>
        <w:t xml:space="preserve"> ויראה כנוטה אהל בתחלה</w:t>
      </w:r>
      <w:r w:rsidR="00CD5493">
        <w:rPr>
          <w:rFonts w:asciiTheme="minorBidi" w:hAnsiTheme="minorBidi" w:cs="Arial" w:hint="cs"/>
          <w:rtl/>
        </w:rPr>
        <w:t>,</w:t>
      </w:r>
      <w:r w:rsidRPr="00D55D2E">
        <w:rPr>
          <w:rFonts w:asciiTheme="minorBidi" w:hAnsiTheme="minorBidi" w:cs="Arial"/>
          <w:rtl/>
        </w:rPr>
        <w:t xml:space="preserve"> א"נ כמפשט הקמטין לתקנן</w:t>
      </w:r>
      <w:r>
        <w:rPr>
          <w:rFonts w:asciiTheme="minorBidi" w:hAnsiTheme="minorBidi" w:cs="Arial" w:hint="cs"/>
          <w:rtl/>
        </w:rPr>
        <w:t>.</w:t>
      </w:r>
    </w:p>
    <w:p w14:paraId="3BBCCDE9" w14:textId="003006B6" w:rsidR="00563CD6" w:rsidRDefault="00563CD6" w:rsidP="00434A6A">
      <w:pPr>
        <w:pStyle w:val="aa"/>
        <w:numPr>
          <w:ilvl w:val="0"/>
          <w:numId w:val="29"/>
        </w:numPr>
        <w:rPr>
          <w:rFonts w:asciiTheme="minorBidi" w:hAnsiTheme="minorBidi"/>
        </w:rPr>
      </w:pPr>
      <w:r w:rsidRPr="00D55D2E">
        <w:rPr>
          <w:rFonts w:asciiTheme="minorBidi" w:hAnsiTheme="minorBidi" w:cs="Arial"/>
          <w:rtl/>
        </w:rPr>
        <w:t xml:space="preserve">ה"ר יונה </w:t>
      </w:r>
      <w:r w:rsidR="00D55D2E">
        <w:rPr>
          <w:rFonts w:asciiTheme="minorBidi" w:hAnsiTheme="minorBidi" w:cs="Arial" w:hint="cs"/>
          <w:sz w:val="16"/>
          <w:szCs w:val="16"/>
          <w:rtl/>
        </w:rPr>
        <w:t>(כ"כ הר"ן</w:t>
      </w:r>
      <w:r w:rsidR="00CB232B">
        <w:rPr>
          <w:rFonts w:asciiTheme="minorBidi" w:hAnsiTheme="minorBidi" w:cs="Arial" w:hint="cs"/>
          <w:sz w:val="16"/>
          <w:szCs w:val="16"/>
          <w:rtl/>
        </w:rPr>
        <w:t xml:space="preserve"> [נו:]</w:t>
      </w:r>
      <w:r w:rsidR="00D55D2E">
        <w:rPr>
          <w:rFonts w:asciiTheme="minorBidi" w:hAnsiTheme="minorBidi" w:cs="Arial" w:hint="cs"/>
          <w:sz w:val="16"/>
          <w:szCs w:val="16"/>
          <w:rtl/>
        </w:rPr>
        <w:t xml:space="preserve"> בשמו)</w:t>
      </w:r>
      <w:r w:rsidR="00D55D2E">
        <w:rPr>
          <w:rFonts w:asciiTheme="minorBidi" w:hAnsiTheme="minorBidi" w:cs="Arial" w:hint="cs"/>
          <w:rtl/>
        </w:rPr>
        <w:t xml:space="preserve">- </w:t>
      </w:r>
      <w:r w:rsidRPr="00D55D2E">
        <w:rPr>
          <w:rFonts w:asciiTheme="minorBidi" w:hAnsiTheme="minorBidi" w:cs="Arial"/>
          <w:rtl/>
        </w:rPr>
        <w:t>באדם אחד הוי כעשיית אהל לפי שקושר וחוזר וקושר כדרך בנין שבונה מעט מעט</w:t>
      </w:r>
      <w:r w:rsidR="00D55D2E">
        <w:rPr>
          <w:rFonts w:asciiTheme="minorBidi" w:hAnsiTheme="minorBidi" w:cs="Arial" w:hint="cs"/>
          <w:rtl/>
        </w:rPr>
        <w:t>,</w:t>
      </w:r>
      <w:r w:rsidRPr="00D55D2E">
        <w:rPr>
          <w:rFonts w:asciiTheme="minorBidi" w:hAnsiTheme="minorBidi" w:cs="Arial"/>
          <w:rtl/>
        </w:rPr>
        <w:t xml:space="preserve"> אבל בשני בני אדם שפורסין תחלה ואח"כ נותנין על גבי הקינופות אין זה כבנין</w:t>
      </w:r>
      <w:r w:rsidR="00D55D2E">
        <w:rPr>
          <w:rFonts w:asciiTheme="minorBidi" w:hAnsiTheme="minorBidi" w:cs="Arial" w:hint="cs"/>
          <w:rtl/>
        </w:rPr>
        <w:t>,</w:t>
      </w:r>
      <w:r w:rsidRPr="00D55D2E">
        <w:rPr>
          <w:rFonts w:asciiTheme="minorBidi" w:hAnsiTheme="minorBidi" w:cs="Arial"/>
          <w:rtl/>
        </w:rPr>
        <w:t xml:space="preserve"> שאין דרך הבנין לעשות כולו בבת אחת</w:t>
      </w:r>
      <w:r w:rsidR="00D55D2E">
        <w:rPr>
          <w:rFonts w:asciiTheme="minorBidi" w:hAnsiTheme="minorBidi" w:cs="Arial" w:hint="cs"/>
          <w:rtl/>
        </w:rPr>
        <w:t>,</w:t>
      </w:r>
      <w:r w:rsidRPr="00D55D2E">
        <w:rPr>
          <w:rFonts w:asciiTheme="minorBidi" w:hAnsiTheme="minorBidi" w:cs="Arial"/>
          <w:rtl/>
        </w:rPr>
        <w:t xml:space="preserve"> והיינו דאמרינן בכילה דאי אפשר דלא מימתחא פורתא כלומר שאינה נפרסת כולה בבת אחת</w:t>
      </w:r>
      <w:r w:rsidR="00D55D2E">
        <w:rPr>
          <w:rFonts w:asciiTheme="minorBidi" w:hAnsiTheme="minorBidi" w:cs="Arial" w:hint="cs"/>
          <w:rtl/>
        </w:rPr>
        <w:t>.</w:t>
      </w:r>
    </w:p>
    <w:p w14:paraId="3C76727E" w14:textId="77777777" w:rsidR="00C44022" w:rsidRPr="005275DF" w:rsidRDefault="00C44022" w:rsidP="00434A6A">
      <w:pPr>
        <w:rPr>
          <w:rFonts w:asciiTheme="minorBidi" w:hAnsiTheme="minorBidi"/>
          <w:rtl/>
        </w:rPr>
      </w:pPr>
      <w:r w:rsidRPr="005275DF">
        <w:rPr>
          <w:rFonts w:asciiTheme="minorBidi" w:hAnsiTheme="minorBidi"/>
          <w:b/>
          <w:bCs/>
          <w:sz w:val="32"/>
          <w:szCs w:val="28"/>
          <w:u w:val="single"/>
          <w:rtl/>
        </w:rPr>
        <w:t xml:space="preserve">שו"ע: </w:t>
      </w:r>
    </w:p>
    <w:p w14:paraId="27132C82" w14:textId="40D60F48" w:rsidR="00C44022" w:rsidRPr="005275DF" w:rsidRDefault="00E1723A" w:rsidP="00434A6A">
      <w:pPr>
        <w:rPr>
          <w:rFonts w:asciiTheme="minorBidi" w:hAnsiTheme="minorBidi"/>
          <w:rtl/>
        </w:rPr>
      </w:pPr>
      <w:r w:rsidRPr="005275DF">
        <w:rPr>
          <w:rFonts w:asciiTheme="minorBidi" w:hAnsiTheme="minorBidi"/>
          <w:rtl/>
        </w:rPr>
        <w:t>הנוטה פרוכת וכיוצא בה</w:t>
      </w:r>
      <w:r w:rsidR="00C44022" w:rsidRPr="005275DF">
        <w:rPr>
          <w:rFonts w:asciiTheme="minorBidi" w:hAnsiTheme="minorBidi"/>
          <w:rtl/>
        </w:rPr>
        <w:t xml:space="preserve"> צרי</w:t>
      </w:r>
      <w:r w:rsidRPr="005275DF">
        <w:rPr>
          <w:rFonts w:asciiTheme="minorBidi" w:hAnsiTheme="minorBidi"/>
          <w:rtl/>
        </w:rPr>
        <w:t>ך ליזהר שלא יעשה אהל בשעה שנוטה</w:t>
      </w:r>
      <w:r w:rsidR="00B9552E" w:rsidRPr="005275DF">
        <w:rPr>
          <w:rStyle w:val="a9"/>
          <w:rFonts w:asciiTheme="minorBidi" w:hAnsiTheme="minorBidi"/>
          <w:rtl/>
        </w:rPr>
        <w:footnoteReference w:id="2407"/>
      </w:r>
      <w:r w:rsidR="00F25E89">
        <w:rPr>
          <w:rFonts w:asciiTheme="minorBidi" w:hAnsiTheme="minorBidi" w:hint="cs"/>
          <w:rtl/>
        </w:rPr>
        <w:t>.</w:t>
      </w:r>
      <w:r w:rsidRPr="005275DF">
        <w:rPr>
          <w:rFonts w:asciiTheme="minorBidi" w:hAnsiTheme="minorBidi"/>
          <w:rtl/>
        </w:rPr>
        <w:t xml:space="preserve"> לפיכך אם היא פרוכת גדולה</w:t>
      </w:r>
      <w:r w:rsidR="00C44022" w:rsidRPr="005275DF">
        <w:rPr>
          <w:rFonts w:asciiTheme="minorBidi" w:hAnsiTheme="minorBidi"/>
          <w:rtl/>
        </w:rPr>
        <w:t xml:space="preserve"> תולין אותה שנים אבל אח</w:t>
      </w:r>
      <w:r w:rsidRPr="005275DF">
        <w:rPr>
          <w:rFonts w:asciiTheme="minorBidi" w:hAnsiTheme="minorBidi"/>
          <w:rtl/>
        </w:rPr>
        <w:t>ד אסור. ואם היתה כילה שיש לה גג אין מותחין אותה ואפילו עשרה</w:t>
      </w:r>
      <w:r w:rsidR="00D71291">
        <w:rPr>
          <w:rFonts w:asciiTheme="minorBidi" w:hAnsiTheme="minorBidi" w:hint="cs"/>
          <w:rtl/>
        </w:rPr>
        <w:t>,</w:t>
      </w:r>
      <w:r w:rsidRPr="005275DF">
        <w:rPr>
          <w:rFonts w:asciiTheme="minorBidi" w:hAnsiTheme="minorBidi"/>
          <w:rtl/>
        </w:rPr>
        <w:t xml:space="preserve"> שאי אפשר</w:t>
      </w:r>
      <w:r w:rsidR="00C44022" w:rsidRPr="005275DF">
        <w:rPr>
          <w:rFonts w:asciiTheme="minorBidi" w:hAnsiTheme="minorBidi"/>
          <w:rtl/>
        </w:rPr>
        <w:t xml:space="preserve"> שלא תגבה מעט מעל הארץ ותעשה אהל עראי. </w:t>
      </w:r>
    </w:p>
    <w:p w14:paraId="259F3DD0" w14:textId="77777777" w:rsidR="00C44022" w:rsidRPr="005275DF" w:rsidRDefault="00C44022" w:rsidP="00434A6A">
      <w:pPr>
        <w:rPr>
          <w:rFonts w:asciiTheme="minorBidi" w:hAnsiTheme="minorBidi"/>
          <w:rtl/>
        </w:rPr>
      </w:pPr>
    </w:p>
    <w:p w14:paraId="69130C15" w14:textId="77777777" w:rsidR="00C44022" w:rsidRPr="005275DF" w:rsidRDefault="00C44022" w:rsidP="00434A6A">
      <w:pPr>
        <w:pStyle w:val="2"/>
        <w:rPr>
          <w:rFonts w:asciiTheme="minorBidi" w:hAnsiTheme="minorBidi" w:cstheme="minorBidi"/>
          <w:rtl/>
        </w:rPr>
      </w:pPr>
      <w:r w:rsidRPr="005275DF">
        <w:rPr>
          <w:rFonts w:asciiTheme="minorBidi" w:hAnsiTheme="minorBidi" w:cstheme="minorBidi"/>
          <w:rtl/>
        </w:rPr>
        <w:t>סעיף יג</w:t>
      </w:r>
      <w:r w:rsidR="00AA4A9E" w:rsidRPr="005275DF">
        <w:rPr>
          <w:rFonts w:asciiTheme="minorBidi" w:hAnsiTheme="minorBidi" w:cstheme="minorBidi"/>
          <w:rtl/>
        </w:rPr>
        <w:t xml:space="preserve">: </w:t>
      </w:r>
      <w:r w:rsidR="00E94324" w:rsidRPr="005275DF">
        <w:rPr>
          <w:rFonts w:asciiTheme="minorBidi" w:hAnsiTheme="minorBidi" w:cstheme="minorBidi"/>
          <w:rtl/>
        </w:rPr>
        <w:t>שטיחת בגד על פי החבית.</w:t>
      </w:r>
    </w:p>
    <w:p w14:paraId="01C58DF8" w14:textId="0F09A6FD" w:rsidR="00812710" w:rsidRPr="001B58A5" w:rsidRDefault="00812710" w:rsidP="00434A6A">
      <w:pPr>
        <w:rPr>
          <w:rFonts w:asciiTheme="minorBidi" w:hAnsiTheme="minorBidi"/>
          <w:sz w:val="16"/>
          <w:szCs w:val="16"/>
          <w:rtl/>
        </w:rPr>
      </w:pPr>
      <w:r w:rsidRPr="00333D44">
        <w:rPr>
          <w:rFonts w:cs="Arial" w:hint="cs"/>
          <w:b/>
          <w:bCs/>
          <w:rtl/>
        </w:rPr>
        <w:t xml:space="preserve">שבת </w:t>
      </w:r>
      <w:r>
        <w:rPr>
          <w:rFonts w:cs="Arial" w:hint="cs"/>
          <w:b/>
          <w:bCs/>
          <w:sz w:val="16"/>
          <w:szCs w:val="16"/>
          <w:rtl/>
        </w:rPr>
        <w:t xml:space="preserve">(פ' תולין) </w:t>
      </w:r>
      <w:r>
        <w:rPr>
          <w:rFonts w:cs="Arial" w:hint="cs"/>
          <w:b/>
          <w:bCs/>
          <w:rtl/>
        </w:rPr>
        <w:t>קלט</w:t>
      </w:r>
      <w:r w:rsidRPr="00333D44">
        <w:rPr>
          <w:rFonts w:cs="Arial" w:hint="cs"/>
          <w:b/>
          <w:bCs/>
          <w:rtl/>
        </w:rPr>
        <w:t xml:space="preserve"> ע"ב:</w:t>
      </w:r>
      <w:r>
        <w:rPr>
          <w:rFonts w:cs="Arial" w:hint="cs"/>
          <w:rtl/>
        </w:rPr>
        <w:t xml:space="preserve"> </w:t>
      </w:r>
      <w:r w:rsidR="004E6977" w:rsidRPr="004E6977">
        <w:rPr>
          <w:rFonts w:cs="Arial"/>
          <w:rtl/>
        </w:rPr>
        <w:t>מסננין את היין בסודרין</w:t>
      </w:r>
      <w:r w:rsidR="004E6977">
        <w:rPr>
          <w:rFonts w:cs="Arial" w:hint="cs"/>
          <w:rtl/>
        </w:rPr>
        <w:t>.</w:t>
      </w:r>
      <w:r w:rsidR="004E6977" w:rsidRPr="004E6977">
        <w:rPr>
          <w:rFonts w:cs="Arial"/>
          <w:rtl/>
        </w:rPr>
        <w:t xml:space="preserve">.. ובכפיפה מצרית. </w:t>
      </w:r>
      <w:r w:rsidR="004E6977" w:rsidRPr="004E6977">
        <w:rPr>
          <w:rFonts w:cs="Arial"/>
          <w:u w:val="single"/>
          <w:rtl/>
        </w:rPr>
        <w:t>אמר רב חייא בר אשי אמר רב</w:t>
      </w:r>
      <w:r w:rsidR="004E6977" w:rsidRPr="004E6977">
        <w:rPr>
          <w:rFonts w:cs="Arial"/>
          <w:rtl/>
        </w:rPr>
        <w:t>: ובלבד שלא יגביה</w:t>
      </w:r>
      <w:r w:rsidR="004E6977">
        <w:rPr>
          <w:rStyle w:val="a9"/>
          <w:rFonts w:cs="Arial"/>
          <w:rtl/>
        </w:rPr>
        <w:footnoteReference w:id="2408"/>
      </w:r>
      <w:r w:rsidR="004E6977" w:rsidRPr="004E6977">
        <w:rPr>
          <w:rFonts w:cs="Arial"/>
          <w:rtl/>
        </w:rPr>
        <w:t xml:space="preserve"> מקרקעיתו של כלי טפח. </w:t>
      </w:r>
      <w:r w:rsidRPr="005275DF">
        <w:rPr>
          <w:rFonts w:asciiTheme="minorBidi" w:hAnsiTheme="minorBidi"/>
          <w:u w:val="single"/>
          <w:rtl/>
        </w:rPr>
        <w:t>אמר רב</w:t>
      </w:r>
      <w:r w:rsidRPr="005275DF">
        <w:rPr>
          <w:rFonts w:asciiTheme="minorBidi" w:hAnsiTheme="minorBidi"/>
          <w:rtl/>
        </w:rPr>
        <w:t>: האי פרונקא</w:t>
      </w:r>
      <w:r w:rsidRPr="005275DF">
        <w:rPr>
          <w:rStyle w:val="a9"/>
          <w:rFonts w:asciiTheme="minorBidi" w:hAnsiTheme="minorBidi"/>
          <w:rtl/>
        </w:rPr>
        <w:footnoteReference w:id="2409"/>
      </w:r>
      <w:r w:rsidRPr="005275DF">
        <w:rPr>
          <w:rFonts w:asciiTheme="minorBidi" w:hAnsiTheme="minorBidi"/>
          <w:rtl/>
        </w:rPr>
        <w:t>, אפלגיה דכובא</w:t>
      </w:r>
      <w:r w:rsidRPr="005275DF">
        <w:rPr>
          <w:rStyle w:val="a9"/>
          <w:rFonts w:asciiTheme="minorBidi" w:hAnsiTheme="minorBidi"/>
          <w:rtl/>
        </w:rPr>
        <w:footnoteReference w:id="2410"/>
      </w:r>
      <w:r w:rsidRPr="005275DF">
        <w:rPr>
          <w:rFonts w:asciiTheme="minorBidi" w:hAnsiTheme="minorBidi"/>
          <w:rtl/>
        </w:rPr>
        <w:t xml:space="preserve"> </w:t>
      </w:r>
      <w:r w:rsidR="00F25E89">
        <w:rPr>
          <w:rFonts w:asciiTheme="minorBidi" w:hAnsiTheme="minorBidi" w:hint="cs"/>
          <w:rtl/>
        </w:rPr>
        <w:t xml:space="preserve">- </w:t>
      </w:r>
      <w:r w:rsidRPr="005275DF">
        <w:rPr>
          <w:rFonts w:asciiTheme="minorBidi" w:hAnsiTheme="minorBidi"/>
          <w:rtl/>
        </w:rPr>
        <w:t>שרי</w:t>
      </w:r>
      <w:r w:rsidR="00F25E89">
        <w:rPr>
          <w:rFonts w:asciiTheme="minorBidi" w:hAnsiTheme="minorBidi" w:hint="cs"/>
          <w:rtl/>
        </w:rPr>
        <w:t>.</w:t>
      </w:r>
      <w:r w:rsidRPr="005275DF">
        <w:rPr>
          <w:rFonts w:asciiTheme="minorBidi" w:hAnsiTheme="minorBidi"/>
          <w:rtl/>
        </w:rPr>
        <w:t xml:space="preserve"> אכוליה כובא </w:t>
      </w:r>
      <w:r w:rsidR="00F25E89">
        <w:rPr>
          <w:rFonts w:asciiTheme="minorBidi" w:hAnsiTheme="minorBidi" w:hint="cs"/>
          <w:rtl/>
        </w:rPr>
        <w:t xml:space="preserve">- </w:t>
      </w:r>
      <w:r w:rsidRPr="005275DF">
        <w:rPr>
          <w:rFonts w:asciiTheme="minorBidi" w:hAnsiTheme="minorBidi"/>
          <w:rtl/>
        </w:rPr>
        <w:t>אסור.</w:t>
      </w:r>
      <w:r w:rsidR="001B58A5">
        <w:rPr>
          <w:rFonts w:asciiTheme="minorBidi" w:hAnsiTheme="minorBidi" w:hint="cs"/>
          <w:sz w:val="16"/>
          <w:szCs w:val="16"/>
          <w:rtl/>
        </w:rPr>
        <w:t xml:space="preserve"> (</w:t>
      </w:r>
      <w:r w:rsidR="001B58A5" w:rsidRPr="001B58A5">
        <w:rPr>
          <w:rFonts w:asciiTheme="minorBidi" w:hAnsiTheme="minorBidi" w:cs="Arial"/>
          <w:sz w:val="16"/>
          <w:szCs w:val="16"/>
          <w:rtl/>
        </w:rPr>
        <w:t>פירש רש"י ז"ל משום אהל, וא"ת וכי בכסויי כלים יש משום אהל, תירצו בתוספות (ביצה לג</w:t>
      </w:r>
      <w:r w:rsidR="001B58A5">
        <w:rPr>
          <w:rFonts w:asciiTheme="minorBidi" w:hAnsiTheme="minorBidi" w:cs="Arial" w:hint="cs"/>
          <w:sz w:val="16"/>
          <w:szCs w:val="16"/>
          <w:rtl/>
        </w:rPr>
        <w:t>.</w:t>
      </w:r>
      <w:r w:rsidR="001B58A5" w:rsidRPr="001B58A5">
        <w:rPr>
          <w:rFonts w:asciiTheme="minorBidi" w:hAnsiTheme="minorBidi" w:cs="Arial"/>
          <w:sz w:val="16"/>
          <w:szCs w:val="16"/>
          <w:rtl/>
        </w:rPr>
        <w:t>) דשאני כובא שהוא רחב הרבה</w:t>
      </w:r>
      <w:r w:rsidR="00BD405E">
        <w:rPr>
          <w:rStyle w:val="a9"/>
          <w:rFonts w:asciiTheme="minorBidi" w:hAnsiTheme="minorBidi" w:cs="Arial"/>
          <w:sz w:val="16"/>
          <w:szCs w:val="16"/>
          <w:rtl/>
        </w:rPr>
        <w:footnoteReference w:id="2411"/>
      </w:r>
      <w:r w:rsidR="001B58A5">
        <w:rPr>
          <w:rFonts w:asciiTheme="minorBidi" w:hAnsiTheme="minorBidi" w:cs="Arial" w:hint="cs"/>
          <w:sz w:val="16"/>
          <w:szCs w:val="16"/>
          <w:rtl/>
        </w:rPr>
        <w:t>.</w:t>
      </w:r>
      <w:r w:rsidR="001B58A5" w:rsidRPr="001B58A5">
        <w:rPr>
          <w:rFonts w:asciiTheme="minorBidi" w:hAnsiTheme="minorBidi" w:cs="Arial"/>
          <w:sz w:val="16"/>
          <w:szCs w:val="16"/>
          <w:rtl/>
        </w:rPr>
        <w:t xml:space="preserve"> ואינו מחוור בעיני דאם כן הוה להו לפרושי כמה יהא רחב שיהא אסור וכמה קצר ויהא מותר ונתת דבריך לשיעורין, ואפילו כסוי קרקעות שהוא נראה יותר כאהל התירו (לעיל קכו</w:t>
      </w:r>
      <w:r w:rsidR="001B58A5">
        <w:rPr>
          <w:rFonts w:asciiTheme="minorBidi" w:hAnsiTheme="minorBidi" w:cs="Arial" w:hint="cs"/>
          <w:sz w:val="16"/>
          <w:szCs w:val="16"/>
          <w:rtl/>
        </w:rPr>
        <w:t>:</w:t>
      </w:r>
      <w:r w:rsidR="001B58A5" w:rsidRPr="001B58A5">
        <w:rPr>
          <w:rFonts w:asciiTheme="minorBidi" w:hAnsiTheme="minorBidi" w:cs="Arial"/>
          <w:sz w:val="16"/>
          <w:szCs w:val="16"/>
          <w:rtl/>
        </w:rPr>
        <w:t>) ולא נתנו חכמים בו שיעור, ועוד אי משום אהל מאי שנא כוליה מאי שנא פלגיה, והא עובדא דרב הונא דהנהו דכרי (עירובין קב</w:t>
      </w:r>
      <w:r w:rsidR="001B58A5">
        <w:rPr>
          <w:rFonts w:asciiTheme="minorBidi" w:hAnsiTheme="minorBidi" w:cs="Arial" w:hint="cs"/>
          <w:sz w:val="16"/>
          <w:szCs w:val="16"/>
          <w:rtl/>
        </w:rPr>
        <w:t>.</w:t>
      </w:r>
      <w:r w:rsidR="001B58A5" w:rsidRPr="001B58A5">
        <w:rPr>
          <w:rFonts w:asciiTheme="minorBidi" w:hAnsiTheme="minorBidi" w:cs="Arial"/>
          <w:sz w:val="16"/>
          <w:szCs w:val="16"/>
          <w:rtl/>
        </w:rPr>
        <w:t>) משום תוספת אהל עראי התירו אבל אילו רצה לפרוס על חציין של מחיצות היה אסור</w:t>
      </w:r>
      <w:r w:rsidR="0090256F">
        <w:rPr>
          <w:rFonts w:asciiTheme="minorBidi" w:hAnsiTheme="minorBidi" w:cs="Arial" w:hint="cs"/>
          <w:sz w:val="16"/>
          <w:szCs w:val="16"/>
          <w:rtl/>
        </w:rPr>
        <w:t xml:space="preserve">. </w:t>
      </w:r>
      <w:r w:rsidR="0090256F" w:rsidRPr="0090256F">
        <w:rPr>
          <w:rFonts w:asciiTheme="minorBidi" w:hAnsiTheme="minorBidi" w:cs="Arial"/>
          <w:sz w:val="16"/>
          <w:szCs w:val="16"/>
          <w:rtl/>
        </w:rPr>
        <w:t>ויותר נראה דברי הראב"ד ז"ל</w:t>
      </w:r>
      <w:r w:rsidR="0090256F">
        <w:rPr>
          <w:rFonts w:asciiTheme="minorBidi" w:hAnsiTheme="minorBidi" w:hint="cs"/>
          <w:sz w:val="16"/>
          <w:szCs w:val="16"/>
          <w:rtl/>
        </w:rPr>
        <w:t>...</w:t>
      </w:r>
      <w:r w:rsidR="0090256F" w:rsidRPr="0090256F">
        <w:rPr>
          <w:rtl/>
        </w:rPr>
        <w:t xml:space="preserve"> </w:t>
      </w:r>
      <w:r w:rsidR="0090256F" w:rsidRPr="0090256F">
        <w:rPr>
          <w:rFonts w:asciiTheme="minorBidi" w:hAnsiTheme="minorBidi" w:cs="Arial"/>
          <w:sz w:val="16"/>
          <w:szCs w:val="16"/>
          <w:rtl/>
        </w:rPr>
        <w:t>ולדברי רש"י ז"ל נצטרך לפרש שלא יהא הכובא מלאה שאם כן אין כאן אהל אלא בשחסר טפח דהוי אהל</w:t>
      </w:r>
      <w:r w:rsidR="001B58A5">
        <w:rPr>
          <w:rFonts w:asciiTheme="minorBidi" w:hAnsiTheme="minorBidi" w:hint="cs"/>
          <w:sz w:val="16"/>
          <w:szCs w:val="16"/>
          <w:rtl/>
        </w:rPr>
        <w:t xml:space="preserve">, רשב"א </w:t>
      </w:r>
      <w:r w:rsidR="0090256F">
        <w:rPr>
          <w:rFonts w:asciiTheme="minorBidi" w:hAnsiTheme="minorBidi" w:hint="cs"/>
          <w:sz w:val="16"/>
          <w:szCs w:val="16"/>
          <w:rtl/>
        </w:rPr>
        <w:t>(קלט: ד"ה הא דאמר)</w:t>
      </w:r>
      <w:r w:rsidR="001B58A5">
        <w:rPr>
          <w:rFonts w:asciiTheme="minorBidi" w:hAnsiTheme="minorBidi" w:hint="cs"/>
          <w:sz w:val="16"/>
          <w:szCs w:val="16"/>
          <w:rtl/>
        </w:rPr>
        <w:t>)</w:t>
      </w:r>
    </w:p>
    <w:p w14:paraId="021B3862" w14:textId="5D2D3115" w:rsidR="00F25E89" w:rsidRPr="004A779A" w:rsidRDefault="004A779A" w:rsidP="00434A6A">
      <w:pPr>
        <w:rPr>
          <w:rFonts w:asciiTheme="minorBidi" w:hAnsiTheme="minorBidi"/>
          <w:u w:val="single"/>
          <w:rtl/>
        </w:rPr>
      </w:pPr>
      <w:r w:rsidRPr="004A779A">
        <w:rPr>
          <w:rFonts w:asciiTheme="minorBidi" w:hAnsiTheme="minorBidi" w:hint="cs"/>
          <w:u w:val="single"/>
          <w:rtl/>
        </w:rPr>
        <w:t>מפני מה אסור לשטוח מטלית על הכובא:</w:t>
      </w:r>
    </w:p>
    <w:p w14:paraId="109A10A2" w14:textId="16A4C67A" w:rsidR="004A779A" w:rsidRDefault="0017469D" w:rsidP="00434A6A">
      <w:pPr>
        <w:pStyle w:val="aa"/>
        <w:numPr>
          <w:ilvl w:val="0"/>
          <w:numId w:val="24"/>
        </w:numPr>
        <w:rPr>
          <w:rFonts w:asciiTheme="minorBidi" w:hAnsiTheme="minorBidi"/>
        </w:rPr>
      </w:pPr>
      <w:r>
        <w:rPr>
          <w:rFonts w:asciiTheme="minorBidi" w:hAnsiTheme="minorBidi" w:cs="Arial" w:hint="cs"/>
          <w:rtl/>
        </w:rPr>
        <w:t>רמב"ם</w:t>
      </w:r>
      <w:r>
        <w:rPr>
          <w:rStyle w:val="a9"/>
          <w:rFonts w:asciiTheme="minorBidi" w:hAnsiTheme="minorBidi" w:cs="Arial"/>
          <w:rtl/>
        </w:rPr>
        <w:footnoteReference w:id="2412"/>
      </w:r>
      <w:r>
        <w:rPr>
          <w:rFonts w:asciiTheme="minorBidi" w:hAnsiTheme="minorBidi" w:cs="Arial" w:hint="cs"/>
          <w:rtl/>
        </w:rPr>
        <w:t xml:space="preserve"> </w:t>
      </w:r>
      <w:r>
        <w:rPr>
          <w:rFonts w:asciiTheme="minorBidi" w:hAnsiTheme="minorBidi" w:cs="Arial" w:hint="cs"/>
          <w:sz w:val="16"/>
          <w:szCs w:val="16"/>
          <w:rtl/>
        </w:rPr>
        <w:t>(פכ"ב הל"ג)</w:t>
      </w:r>
      <w:r>
        <w:rPr>
          <w:rFonts w:asciiTheme="minorBidi" w:hAnsiTheme="minorBidi" w:cs="Arial" w:hint="cs"/>
          <w:rtl/>
        </w:rPr>
        <w:t xml:space="preserve"> ו</w:t>
      </w:r>
      <w:r w:rsidR="00C4272A">
        <w:rPr>
          <w:rFonts w:asciiTheme="minorBidi" w:hAnsiTheme="minorBidi" w:cs="Arial" w:hint="cs"/>
          <w:rtl/>
        </w:rPr>
        <w:t xml:space="preserve">טור- </w:t>
      </w:r>
      <w:r w:rsidR="00C4272A" w:rsidRPr="00B6715C">
        <w:rPr>
          <w:rFonts w:asciiTheme="minorBidi" w:hAnsiTheme="minorBidi" w:cs="Arial"/>
          <w:rtl/>
        </w:rPr>
        <w:t>בגד ששוטחין ע"פ החבית לכסותו</w:t>
      </w:r>
      <w:r w:rsidR="00F25E89">
        <w:rPr>
          <w:rFonts w:asciiTheme="minorBidi" w:hAnsiTheme="minorBidi" w:cs="Arial" w:hint="cs"/>
          <w:rtl/>
        </w:rPr>
        <w:t>,</w:t>
      </w:r>
      <w:r w:rsidR="00C4272A" w:rsidRPr="00B6715C">
        <w:rPr>
          <w:rFonts w:asciiTheme="minorBidi" w:hAnsiTheme="minorBidi" w:cs="Arial"/>
          <w:rtl/>
        </w:rPr>
        <w:t xml:space="preserve"> לא ישטחנו ע"פ כולו משום אהל</w:t>
      </w:r>
      <w:r w:rsidR="003D39F4">
        <w:rPr>
          <w:rStyle w:val="a9"/>
          <w:rFonts w:asciiTheme="minorBidi" w:hAnsiTheme="minorBidi" w:cs="Arial"/>
          <w:rtl/>
        </w:rPr>
        <w:footnoteReference w:id="2413"/>
      </w:r>
      <w:r w:rsidR="00F25E89">
        <w:rPr>
          <w:rFonts w:asciiTheme="minorBidi" w:hAnsiTheme="minorBidi" w:cs="Arial" w:hint="cs"/>
          <w:rtl/>
        </w:rPr>
        <w:t>,</w:t>
      </w:r>
      <w:r w:rsidR="00C4272A" w:rsidRPr="00B6715C">
        <w:rPr>
          <w:rFonts w:asciiTheme="minorBidi" w:hAnsiTheme="minorBidi" w:cs="Arial"/>
          <w:rtl/>
        </w:rPr>
        <w:t xml:space="preserve"> אלא יניח קצת ממנו מגולה</w:t>
      </w:r>
      <w:r>
        <w:rPr>
          <w:rFonts w:asciiTheme="minorBidi" w:hAnsiTheme="minorBidi" w:cs="Arial" w:hint="cs"/>
          <w:sz w:val="16"/>
          <w:szCs w:val="16"/>
          <w:rtl/>
        </w:rPr>
        <w:t xml:space="preserve"> (ל' הטור)</w:t>
      </w:r>
      <w:r w:rsidR="00F25E89">
        <w:rPr>
          <w:rFonts w:asciiTheme="minorBidi" w:hAnsiTheme="minorBidi" w:cs="Arial" w:hint="cs"/>
          <w:rtl/>
        </w:rPr>
        <w:t>.</w:t>
      </w:r>
      <w:r w:rsidR="009766BD">
        <w:rPr>
          <w:rFonts w:asciiTheme="minorBidi" w:hAnsiTheme="minorBidi" w:hint="cs"/>
          <w:rtl/>
        </w:rPr>
        <w:t xml:space="preserve"> </w:t>
      </w:r>
      <w:r w:rsidR="009766BD" w:rsidRPr="005275DF">
        <w:rPr>
          <w:rFonts w:asciiTheme="minorBidi" w:hAnsiTheme="minorBidi"/>
          <w:color w:val="E36C0A" w:themeColor="accent6" w:themeShade="BF"/>
          <w:rtl/>
        </w:rPr>
        <w:t>(וכ"פ בשו"ע)</w:t>
      </w:r>
    </w:p>
    <w:p w14:paraId="2E992265" w14:textId="77777777" w:rsidR="004A779A" w:rsidRPr="004A779A" w:rsidRDefault="004A779A" w:rsidP="00434A6A">
      <w:pPr>
        <w:pStyle w:val="aa"/>
        <w:numPr>
          <w:ilvl w:val="0"/>
          <w:numId w:val="24"/>
        </w:numPr>
        <w:rPr>
          <w:rFonts w:asciiTheme="minorBidi" w:hAnsiTheme="minorBidi"/>
        </w:rPr>
      </w:pPr>
      <w:r>
        <w:rPr>
          <w:rFonts w:hint="cs"/>
          <w:rtl/>
        </w:rPr>
        <w:t>תוס'</w:t>
      </w:r>
      <w:r w:rsidRPr="004A779A">
        <w:rPr>
          <w:rFonts w:hint="cs"/>
          <w:sz w:val="16"/>
          <w:szCs w:val="16"/>
          <w:rtl/>
        </w:rPr>
        <w:t xml:space="preserve"> (ביצה לב: סד"ה מלמטה)</w:t>
      </w:r>
      <w:r>
        <w:rPr>
          <w:rFonts w:hint="cs"/>
          <w:rtl/>
        </w:rPr>
        <w:t xml:space="preserve">- </w:t>
      </w:r>
      <w:r>
        <w:rPr>
          <w:rFonts w:cs="Arial" w:hint="cs"/>
          <w:rtl/>
        </w:rPr>
        <w:t>אע"ג</w:t>
      </w:r>
      <w:r w:rsidRPr="004A779A">
        <w:rPr>
          <w:rFonts w:cs="Arial"/>
          <w:rtl/>
        </w:rPr>
        <w:t xml:space="preserve"> </w:t>
      </w:r>
      <w:r>
        <w:rPr>
          <w:rFonts w:cs="Arial" w:hint="cs"/>
          <w:rtl/>
        </w:rPr>
        <w:t>ד</w:t>
      </w:r>
      <w:r w:rsidRPr="004A779A">
        <w:rPr>
          <w:rFonts w:cs="Arial"/>
          <w:rtl/>
        </w:rPr>
        <w:t>המחיצות היו עשויות כבר</w:t>
      </w:r>
      <w:r w:rsidRPr="004A779A">
        <w:rPr>
          <w:rFonts w:cs="Arial" w:hint="cs"/>
          <w:rtl/>
        </w:rPr>
        <w:t>.</w:t>
      </w:r>
      <w:r>
        <w:rPr>
          <w:rFonts w:cs="Arial" w:hint="cs"/>
          <w:rtl/>
        </w:rPr>
        <w:t>..</w:t>
      </w:r>
      <w:r w:rsidRPr="004A779A">
        <w:rPr>
          <w:rFonts w:cs="Arial"/>
          <w:rtl/>
        </w:rPr>
        <w:t xml:space="preserve"> הואיל ורחב הכובא יותר מדאי</w:t>
      </w:r>
      <w:r>
        <w:rPr>
          <w:rFonts w:cs="Arial" w:hint="cs"/>
          <w:rtl/>
        </w:rPr>
        <w:t xml:space="preserve"> -</w:t>
      </w:r>
      <w:r w:rsidRPr="004A779A">
        <w:rPr>
          <w:rFonts w:cs="Arial"/>
          <w:rtl/>
        </w:rPr>
        <w:t xml:space="preserve"> נעשה כאהל</w:t>
      </w:r>
      <w:r>
        <w:rPr>
          <w:rFonts w:hint="cs"/>
          <w:rtl/>
        </w:rPr>
        <w:t xml:space="preserve">. </w:t>
      </w:r>
    </w:p>
    <w:p w14:paraId="2E24B521" w14:textId="1169D39F" w:rsidR="001B58A5" w:rsidRPr="001B58A5" w:rsidRDefault="001B58A5" w:rsidP="00434A6A">
      <w:pPr>
        <w:pStyle w:val="aa"/>
        <w:numPr>
          <w:ilvl w:val="0"/>
          <w:numId w:val="24"/>
        </w:numPr>
        <w:rPr>
          <w:rFonts w:asciiTheme="minorBidi" w:hAnsiTheme="minorBidi"/>
        </w:rPr>
      </w:pPr>
      <w:r w:rsidRPr="001B58A5">
        <w:rPr>
          <w:rFonts w:asciiTheme="minorBidi" w:hAnsiTheme="minorBidi" w:cs="Arial"/>
          <w:rtl/>
        </w:rPr>
        <w:t xml:space="preserve">ראב"ד </w:t>
      </w:r>
      <w:r>
        <w:rPr>
          <w:rFonts w:asciiTheme="minorBidi" w:hAnsiTheme="minorBidi" w:cs="Arial" w:hint="cs"/>
          <w:sz w:val="16"/>
          <w:szCs w:val="16"/>
          <w:rtl/>
        </w:rPr>
        <w:t xml:space="preserve">(כ"כ הרשב"א </w:t>
      </w:r>
      <w:r w:rsidR="0090256F">
        <w:rPr>
          <w:rFonts w:asciiTheme="minorBidi" w:hAnsiTheme="minorBidi" w:cs="Arial" w:hint="cs"/>
          <w:sz w:val="16"/>
          <w:szCs w:val="16"/>
          <w:rtl/>
        </w:rPr>
        <w:t xml:space="preserve">[שם] </w:t>
      </w:r>
      <w:r>
        <w:rPr>
          <w:rFonts w:asciiTheme="minorBidi" w:hAnsiTheme="minorBidi" w:cs="Arial" w:hint="cs"/>
          <w:sz w:val="16"/>
          <w:szCs w:val="16"/>
          <w:rtl/>
        </w:rPr>
        <w:t>בשמו)</w:t>
      </w:r>
      <w:r w:rsidR="0090256F">
        <w:rPr>
          <w:rFonts w:asciiTheme="minorBidi" w:hAnsiTheme="minorBidi" w:cs="Arial" w:hint="cs"/>
          <w:rtl/>
        </w:rPr>
        <w:t xml:space="preserve">- </w:t>
      </w:r>
      <w:r w:rsidRPr="001B58A5">
        <w:rPr>
          <w:rFonts w:asciiTheme="minorBidi" w:hAnsiTheme="minorBidi" w:cs="Arial"/>
          <w:rtl/>
        </w:rPr>
        <w:t>משום משמר, ואכולה כובא אסור משום דמיחזי כמשמרת שכן דרכו בחול</w:t>
      </w:r>
      <w:r w:rsidR="0090256F">
        <w:rPr>
          <w:rFonts w:asciiTheme="minorBidi" w:hAnsiTheme="minorBidi" w:cs="Arial" w:hint="cs"/>
          <w:rtl/>
        </w:rPr>
        <w:t>.</w:t>
      </w:r>
      <w:r w:rsidRPr="001B58A5">
        <w:rPr>
          <w:rFonts w:asciiTheme="minorBidi" w:hAnsiTheme="minorBidi" w:cs="Arial"/>
          <w:rtl/>
        </w:rPr>
        <w:t xml:space="preserve"> אבל פלגא דכובא שרי דלאו היינו אורחיה</w:t>
      </w:r>
      <w:r w:rsidR="0090256F">
        <w:rPr>
          <w:rFonts w:asciiTheme="minorBidi" w:hAnsiTheme="minorBidi" w:cs="Arial" w:hint="cs"/>
          <w:rtl/>
        </w:rPr>
        <w:t>.</w:t>
      </w:r>
      <w:r w:rsidRPr="001B58A5">
        <w:rPr>
          <w:rFonts w:asciiTheme="minorBidi" w:hAnsiTheme="minorBidi" w:cs="Arial"/>
          <w:rtl/>
        </w:rPr>
        <w:t xml:space="preserve"> וכי הא מילתא אמר רב פפא בסמוך לא ליהדוק איניש ציבתא אפומה דכובא משום דמיחזי כמשמרת, וכיון דלא מהדק הוה ליה כפלגא דכובא ושרי</w:t>
      </w:r>
      <w:r>
        <w:rPr>
          <w:rFonts w:asciiTheme="minorBidi" w:hAnsiTheme="minorBidi" w:hint="cs"/>
          <w:rtl/>
        </w:rPr>
        <w:t>.</w:t>
      </w:r>
    </w:p>
    <w:p w14:paraId="643FDB35" w14:textId="77777777" w:rsidR="00C44022" w:rsidRPr="005275DF" w:rsidRDefault="00C44022" w:rsidP="00434A6A">
      <w:pPr>
        <w:rPr>
          <w:rFonts w:asciiTheme="minorBidi" w:hAnsiTheme="minorBidi"/>
          <w:rtl/>
        </w:rPr>
      </w:pPr>
      <w:r w:rsidRPr="005275DF">
        <w:rPr>
          <w:rFonts w:asciiTheme="minorBidi" w:hAnsiTheme="minorBidi"/>
          <w:b/>
          <w:bCs/>
          <w:sz w:val="32"/>
          <w:szCs w:val="28"/>
          <w:u w:val="single"/>
          <w:rtl/>
        </w:rPr>
        <w:t xml:space="preserve">שו"ע: </w:t>
      </w:r>
    </w:p>
    <w:p w14:paraId="7D4CB190" w14:textId="224FC0B6" w:rsidR="00E87860" w:rsidRPr="009766BD" w:rsidRDefault="0017610D" w:rsidP="00434A6A">
      <w:pPr>
        <w:rPr>
          <w:rFonts w:asciiTheme="minorBidi" w:hAnsiTheme="minorBidi"/>
          <w:rtl/>
        </w:rPr>
      </w:pPr>
      <w:r w:rsidRPr="005275DF">
        <w:rPr>
          <w:rFonts w:asciiTheme="minorBidi" w:hAnsiTheme="minorBidi"/>
          <w:rtl/>
        </w:rPr>
        <w:t xml:space="preserve">בגד ששוטחין על </w:t>
      </w:r>
      <w:r w:rsidR="00C44022" w:rsidRPr="005275DF">
        <w:rPr>
          <w:rFonts w:asciiTheme="minorBidi" w:hAnsiTheme="minorBidi"/>
          <w:rtl/>
        </w:rPr>
        <w:t>פ</w:t>
      </w:r>
      <w:r w:rsidRPr="005275DF">
        <w:rPr>
          <w:rFonts w:asciiTheme="minorBidi" w:hAnsiTheme="minorBidi"/>
          <w:rtl/>
        </w:rPr>
        <w:t>י החבית לכסות לא ישטחנו על פני כולו משום אהל אלא יניח קצת ממנו מגולה, והני מילי כשהכובא</w:t>
      </w:r>
      <w:r w:rsidR="00C44022" w:rsidRPr="005275DF">
        <w:rPr>
          <w:rFonts w:asciiTheme="minorBidi" w:hAnsiTheme="minorBidi"/>
          <w:rtl/>
        </w:rPr>
        <w:t xml:space="preserve"> חסר</w:t>
      </w:r>
      <w:r w:rsidRPr="005275DF">
        <w:rPr>
          <w:rFonts w:asciiTheme="minorBidi" w:hAnsiTheme="minorBidi"/>
          <w:rtl/>
        </w:rPr>
        <w:t>ה טפח אבל אם אינה חסרה טפח</w:t>
      </w:r>
      <w:r w:rsidR="00C44022" w:rsidRPr="005275DF">
        <w:rPr>
          <w:rFonts w:asciiTheme="minorBidi" w:hAnsiTheme="minorBidi"/>
          <w:rtl/>
        </w:rPr>
        <w:t xml:space="preserve"> מותר דאין כאן אהל.</w:t>
      </w:r>
    </w:p>
    <w:p w14:paraId="28D48DB2" w14:textId="77777777" w:rsidR="00E87860" w:rsidRPr="005275DF" w:rsidRDefault="00E87860" w:rsidP="00434A6A">
      <w:pPr>
        <w:rPr>
          <w:rFonts w:asciiTheme="minorBidi" w:hAnsiTheme="minorBidi"/>
          <w:rtl/>
        </w:rPr>
      </w:pPr>
    </w:p>
    <w:p w14:paraId="4C496613" w14:textId="77777777" w:rsidR="008C1C8E" w:rsidRPr="005275DF" w:rsidRDefault="008C1C8E" w:rsidP="00434A6A">
      <w:pPr>
        <w:rPr>
          <w:rFonts w:asciiTheme="minorBidi" w:hAnsiTheme="minorBidi"/>
          <w:rtl/>
        </w:rPr>
      </w:pPr>
    </w:p>
    <w:p w14:paraId="36DDBBCC" w14:textId="77777777" w:rsidR="008C1C8E" w:rsidRPr="005275DF" w:rsidRDefault="008C1C8E" w:rsidP="00434A6A">
      <w:pPr>
        <w:rPr>
          <w:rFonts w:asciiTheme="minorBidi" w:hAnsiTheme="minorBidi"/>
          <w:rtl/>
        </w:rPr>
      </w:pPr>
    </w:p>
    <w:p w14:paraId="737A5EB1" w14:textId="77777777" w:rsidR="008C1C8E" w:rsidRPr="005275DF" w:rsidRDefault="008C1C8E" w:rsidP="00434A6A">
      <w:pPr>
        <w:rPr>
          <w:rFonts w:asciiTheme="minorBidi" w:hAnsiTheme="minorBidi"/>
          <w:rtl/>
        </w:rPr>
      </w:pPr>
    </w:p>
    <w:p w14:paraId="388FA77C" w14:textId="77777777" w:rsidR="008C1C8E" w:rsidRPr="005275DF" w:rsidRDefault="008C1C8E" w:rsidP="00434A6A">
      <w:pPr>
        <w:rPr>
          <w:rFonts w:asciiTheme="minorBidi" w:hAnsiTheme="minorBidi"/>
          <w:rtl/>
        </w:rPr>
      </w:pPr>
    </w:p>
    <w:p w14:paraId="7A190B32" w14:textId="77777777" w:rsidR="008C1C8E" w:rsidRPr="005275DF" w:rsidRDefault="008C1C8E" w:rsidP="00434A6A">
      <w:pPr>
        <w:rPr>
          <w:rFonts w:asciiTheme="minorBidi" w:hAnsiTheme="minorBidi"/>
          <w:rtl/>
        </w:rPr>
      </w:pPr>
    </w:p>
    <w:p w14:paraId="504276EF" w14:textId="77777777" w:rsidR="001F2F31" w:rsidRDefault="001F2F31" w:rsidP="00434A6A">
      <w:pPr>
        <w:pStyle w:val="1"/>
        <w:rPr>
          <w:rFonts w:asciiTheme="minorBidi" w:hAnsiTheme="minorBidi"/>
          <w:rtl/>
        </w:rPr>
        <w:sectPr w:rsidR="001F2F31" w:rsidSect="00BD29B1">
          <w:headerReference w:type="default" r:id="rId86"/>
          <w:footnotePr>
            <w:numRestart w:val="eachSect"/>
          </w:footnotePr>
          <w:pgSz w:w="11906" w:h="16838"/>
          <w:pgMar w:top="720" w:right="1134" w:bottom="720" w:left="1134" w:header="0" w:footer="0" w:gutter="0"/>
          <w:cols w:space="720"/>
          <w:bidi/>
          <w:rtlGutter/>
          <w:docGrid w:linePitch="360"/>
        </w:sectPr>
      </w:pPr>
    </w:p>
    <w:p w14:paraId="2DCF847C" w14:textId="26F2B636" w:rsidR="005022B5" w:rsidRPr="005275DF" w:rsidRDefault="005022B5" w:rsidP="00434A6A">
      <w:pPr>
        <w:pStyle w:val="1"/>
        <w:rPr>
          <w:rFonts w:asciiTheme="minorBidi" w:hAnsiTheme="minorBidi"/>
          <w:rtl/>
        </w:rPr>
      </w:pPr>
      <w:r w:rsidRPr="005275DF">
        <w:rPr>
          <w:rFonts w:asciiTheme="minorBidi" w:hAnsiTheme="minorBidi"/>
          <w:rtl/>
        </w:rPr>
        <w:t>סימן שטז: צידה האסורה ומותרת בשבת</w:t>
      </w:r>
      <w:r w:rsidR="00884DED">
        <w:rPr>
          <w:rFonts w:asciiTheme="minorBidi" w:hAnsiTheme="minorBidi" w:hint="cs"/>
          <w:rtl/>
        </w:rPr>
        <w:t>, ובו יב' סעיפים</w:t>
      </w:r>
      <w:r w:rsidRPr="005275DF">
        <w:rPr>
          <w:rFonts w:asciiTheme="minorBidi" w:hAnsiTheme="minorBidi"/>
          <w:rtl/>
        </w:rPr>
        <w:t xml:space="preserve">. </w:t>
      </w:r>
    </w:p>
    <w:p w14:paraId="0D1A64B0" w14:textId="42424B8D" w:rsidR="005022B5" w:rsidRPr="005275DF" w:rsidRDefault="005022B5" w:rsidP="00434A6A">
      <w:pPr>
        <w:pStyle w:val="2"/>
        <w:rPr>
          <w:rFonts w:asciiTheme="minorBidi" w:hAnsiTheme="minorBidi" w:cstheme="minorBidi"/>
          <w:rtl/>
        </w:rPr>
      </w:pPr>
      <w:r w:rsidRPr="005275DF">
        <w:rPr>
          <w:rFonts w:asciiTheme="minorBidi" w:hAnsiTheme="minorBidi" w:cstheme="minorBidi"/>
          <w:rtl/>
        </w:rPr>
        <w:t>סעיף א</w:t>
      </w:r>
      <w:r w:rsidR="005B293B" w:rsidRPr="005275DF">
        <w:rPr>
          <w:rFonts w:asciiTheme="minorBidi" w:hAnsiTheme="minorBidi" w:cstheme="minorBidi"/>
          <w:rtl/>
        </w:rPr>
        <w:t xml:space="preserve">: </w:t>
      </w:r>
      <w:r w:rsidR="003445E6" w:rsidRPr="005275DF">
        <w:rPr>
          <w:rFonts w:asciiTheme="minorBidi" w:hAnsiTheme="minorBidi" w:cstheme="minorBidi"/>
          <w:rtl/>
        </w:rPr>
        <w:t xml:space="preserve">צידה לתוך </w:t>
      </w:r>
      <w:r w:rsidR="00D73B3A">
        <w:rPr>
          <w:rFonts w:asciiTheme="minorBidi" w:hAnsiTheme="minorBidi" w:cstheme="minorBidi" w:hint="cs"/>
          <w:rtl/>
        </w:rPr>
        <w:t>מקום שאינו מחוסר צידה</w:t>
      </w:r>
      <w:r w:rsidR="003445E6" w:rsidRPr="005275DF">
        <w:rPr>
          <w:rFonts w:asciiTheme="minorBidi" w:hAnsiTheme="minorBidi" w:cstheme="minorBidi"/>
          <w:rtl/>
        </w:rPr>
        <w:t xml:space="preserve">. </w:t>
      </w:r>
    </w:p>
    <w:p w14:paraId="31E77CD0" w14:textId="1C218E39" w:rsidR="004E1C63" w:rsidRDefault="005B293B" w:rsidP="00434A6A">
      <w:pPr>
        <w:rPr>
          <w:rFonts w:asciiTheme="minorBidi" w:hAnsiTheme="minorBidi" w:cs="Arial"/>
          <w:rtl/>
        </w:rPr>
      </w:pPr>
      <w:r w:rsidRPr="005275DF">
        <w:rPr>
          <w:rFonts w:asciiTheme="minorBidi" w:hAnsiTheme="minorBidi"/>
          <w:b/>
          <w:bCs/>
          <w:rtl/>
        </w:rPr>
        <w:t xml:space="preserve">שבת </w:t>
      </w:r>
      <w:r w:rsidR="00FC7B11">
        <w:rPr>
          <w:rFonts w:asciiTheme="minorBidi" w:hAnsiTheme="minorBidi" w:hint="cs"/>
          <w:b/>
          <w:bCs/>
          <w:sz w:val="16"/>
          <w:szCs w:val="16"/>
          <w:rtl/>
        </w:rPr>
        <w:t>(פ' ר' אליעזר האורג)</w:t>
      </w:r>
      <w:r w:rsidR="00FC7B11">
        <w:rPr>
          <w:rFonts w:asciiTheme="minorBidi" w:hAnsiTheme="minorBidi" w:hint="cs"/>
          <w:b/>
          <w:bCs/>
          <w:rtl/>
        </w:rPr>
        <w:t xml:space="preserve"> </w:t>
      </w:r>
      <w:r w:rsidRPr="005275DF">
        <w:rPr>
          <w:rFonts w:asciiTheme="minorBidi" w:hAnsiTheme="minorBidi"/>
          <w:b/>
          <w:bCs/>
          <w:rtl/>
        </w:rPr>
        <w:t xml:space="preserve">קו ע"א: </w:t>
      </w:r>
      <w:r w:rsidRPr="005275DF">
        <w:rPr>
          <w:rFonts w:asciiTheme="minorBidi" w:hAnsiTheme="minorBidi"/>
          <w:u w:val="double"/>
          <w:rtl/>
        </w:rPr>
        <w:t>משנה:</w:t>
      </w:r>
      <w:r w:rsidRPr="005275DF">
        <w:rPr>
          <w:rFonts w:asciiTheme="minorBidi" w:hAnsiTheme="minorBidi"/>
          <w:rtl/>
        </w:rPr>
        <w:t xml:space="preserve"> </w:t>
      </w:r>
      <w:r w:rsidRPr="005275DF">
        <w:rPr>
          <w:rFonts w:asciiTheme="minorBidi" w:hAnsiTheme="minorBidi"/>
          <w:u w:val="single"/>
          <w:rtl/>
        </w:rPr>
        <w:t>רבי יהודה אומר</w:t>
      </w:r>
      <w:r w:rsidRPr="005275DF">
        <w:rPr>
          <w:rFonts w:asciiTheme="minorBidi" w:hAnsiTheme="minorBidi"/>
          <w:rtl/>
        </w:rPr>
        <w:t>: הצד צפור</w:t>
      </w:r>
      <w:r w:rsidR="00057DFA" w:rsidRPr="005275DF">
        <w:rPr>
          <w:rStyle w:val="a9"/>
          <w:rFonts w:asciiTheme="minorBidi" w:hAnsiTheme="minorBidi"/>
          <w:rtl/>
        </w:rPr>
        <w:footnoteReference w:id="2414"/>
      </w:r>
      <w:r w:rsidRPr="005275DF">
        <w:rPr>
          <w:rFonts w:asciiTheme="minorBidi" w:hAnsiTheme="minorBidi"/>
          <w:rtl/>
        </w:rPr>
        <w:t xml:space="preserve"> למגדל, וצבי לבית</w:t>
      </w:r>
      <w:r w:rsidR="00FC7B11">
        <w:rPr>
          <w:rFonts w:asciiTheme="minorBidi" w:hAnsiTheme="minorBidi" w:hint="cs"/>
          <w:rtl/>
        </w:rPr>
        <w:t xml:space="preserve"> </w:t>
      </w:r>
      <w:r w:rsidRPr="005275DF">
        <w:rPr>
          <w:rFonts w:asciiTheme="minorBidi" w:hAnsiTheme="minorBidi"/>
          <w:rtl/>
        </w:rPr>
        <w:t xml:space="preserve">- חייב. </w:t>
      </w:r>
      <w:r w:rsidRPr="005275DF">
        <w:rPr>
          <w:rFonts w:asciiTheme="minorBidi" w:hAnsiTheme="minorBidi"/>
          <w:u w:val="single"/>
          <w:rtl/>
        </w:rPr>
        <w:t>וחכמים אומרים</w:t>
      </w:r>
      <w:r w:rsidRPr="005275DF">
        <w:rPr>
          <w:rFonts w:asciiTheme="minorBidi" w:hAnsiTheme="minorBidi"/>
          <w:rtl/>
        </w:rPr>
        <w:t xml:space="preserve">: צפור למגדל, </w:t>
      </w:r>
      <w:r w:rsidR="00AC2ED8">
        <w:rPr>
          <w:rFonts w:asciiTheme="minorBidi" w:hAnsiTheme="minorBidi" w:hint="cs"/>
          <w:sz w:val="14"/>
          <w:szCs w:val="14"/>
          <w:rtl/>
        </w:rPr>
        <w:t xml:space="preserve">(קו:) </w:t>
      </w:r>
      <w:r w:rsidRPr="005275DF">
        <w:rPr>
          <w:rFonts w:asciiTheme="minorBidi" w:hAnsiTheme="minorBidi"/>
          <w:rtl/>
        </w:rPr>
        <w:t xml:space="preserve">וצבי לגינה ולחצר ולביברין. </w:t>
      </w:r>
      <w:r w:rsidRPr="005275DF">
        <w:rPr>
          <w:rFonts w:asciiTheme="minorBidi" w:hAnsiTheme="minorBidi"/>
          <w:u w:val="single"/>
          <w:rtl/>
        </w:rPr>
        <w:t>רבן שמעון בן גמליאל אומר</w:t>
      </w:r>
      <w:r w:rsidRPr="005275DF">
        <w:rPr>
          <w:rFonts w:asciiTheme="minorBidi" w:hAnsiTheme="minorBidi"/>
          <w:rtl/>
        </w:rPr>
        <w:t xml:space="preserve">: לא כל הביברין שוין. זה הכלל: מחוסר צידה - פטור, שאינו מחוסר צידה - חייב.        </w:t>
      </w:r>
      <w:r w:rsidRPr="005275DF">
        <w:rPr>
          <w:rFonts w:asciiTheme="minorBidi" w:hAnsiTheme="minorBidi"/>
          <w:u w:val="double"/>
          <w:rtl/>
        </w:rPr>
        <w:t>גמ</w:t>
      </w:r>
      <w:r w:rsidR="00AC2ED8">
        <w:rPr>
          <w:rFonts w:asciiTheme="minorBidi" w:hAnsiTheme="minorBidi" w:hint="cs"/>
          <w:u w:val="double"/>
          <w:rtl/>
        </w:rPr>
        <w:t>רא</w:t>
      </w:r>
      <w:r w:rsidR="00AC2ED8">
        <w:rPr>
          <w:rFonts w:asciiTheme="minorBidi" w:hAnsiTheme="minorBidi" w:hint="cs"/>
          <w:rtl/>
        </w:rPr>
        <w:t>:</w:t>
      </w:r>
      <w:r w:rsidR="00AC2ED8" w:rsidRPr="00AC2ED8">
        <w:rPr>
          <w:rtl/>
        </w:rPr>
        <w:t xml:space="preserve"> </w:t>
      </w:r>
      <w:r w:rsidR="00AC2ED8" w:rsidRPr="00AC2ED8">
        <w:rPr>
          <w:rFonts w:asciiTheme="minorBidi" w:hAnsiTheme="minorBidi" w:cs="Arial"/>
          <w:rtl/>
        </w:rPr>
        <w:t>תנן התם: אין צדין דגים מן הביברין</w:t>
      </w:r>
      <w:r w:rsidR="00057DFA" w:rsidRPr="005275DF">
        <w:rPr>
          <w:rStyle w:val="a9"/>
          <w:rFonts w:asciiTheme="minorBidi" w:hAnsiTheme="minorBidi"/>
          <w:rtl/>
        </w:rPr>
        <w:footnoteReference w:id="2415"/>
      </w:r>
      <w:r w:rsidR="00AC2ED8" w:rsidRPr="00AC2ED8">
        <w:rPr>
          <w:rFonts w:asciiTheme="minorBidi" w:hAnsiTheme="minorBidi" w:cs="Arial"/>
          <w:rtl/>
        </w:rPr>
        <w:t xml:space="preserve"> ביום טוב</w:t>
      </w:r>
      <w:r w:rsidR="00057DFA" w:rsidRPr="005275DF">
        <w:rPr>
          <w:rStyle w:val="a9"/>
          <w:rFonts w:asciiTheme="minorBidi" w:hAnsiTheme="minorBidi"/>
          <w:rtl/>
        </w:rPr>
        <w:footnoteReference w:id="2416"/>
      </w:r>
      <w:r w:rsidR="00AC2ED8" w:rsidRPr="00AC2ED8">
        <w:rPr>
          <w:rFonts w:asciiTheme="minorBidi" w:hAnsiTheme="minorBidi" w:cs="Arial"/>
          <w:rtl/>
        </w:rPr>
        <w:t>, ואין נותנין לפניהם מזונות</w:t>
      </w:r>
      <w:r w:rsidR="004E1C63" w:rsidRPr="005275DF">
        <w:rPr>
          <w:rStyle w:val="a9"/>
          <w:rFonts w:asciiTheme="minorBidi" w:hAnsiTheme="minorBidi"/>
          <w:rtl/>
        </w:rPr>
        <w:footnoteReference w:id="2417"/>
      </w:r>
      <w:r w:rsidR="00AC2ED8" w:rsidRPr="00AC2ED8">
        <w:rPr>
          <w:rFonts w:asciiTheme="minorBidi" w:hAnsiTheme="minorBidi" w:cs="Arial"/>
          <w:rtl/>
        </w:rPr>
        <w:t>. אבל צדין חיה ועוף, ונותנין לפניהם מזונות. ורמינהו: ביברין של חיות ושל עופות ושל דגים - אין צדין מהם ביום טוב, ואין נותנין לפניהם מזונות. קשיא חיה אחיה, קשיא עופות אעופות! בשלמא חיה אחיה לא קשיא, הא - רבי יהודה</w:t>
      </w:r>
      <w:r w:rsidR="004E1C63" w:rsidRPr="005275DF">
        <w:rPr>
          <w:rStyle w:val="a9"/>
          <w:rFonts w:asciiTheme="minorBidi" w:hAnsiTheme="minorBidi"/>
          <w:rtl/>
        </w:rPr>
        <w:footnoteReference w:id="2418"/>
      </w:r>
      <w:r w:rsidR="00AC2ED8" w:rsidRPr="00AC2ED8">
        <w:rPr>
          <w:rFonts w:asciiTheme="minorBidi" w:hAnsiTheme="minorBidi" w:cs="Arial"/>
          <w:rtl/>
        </w:rPr>
        <w:t>, הא - רבנן. אלא, עופות אעופות קשיא</w:t>
      </w:r>
      <w:r w:rsidR="004E1C63" w:rsidRPr="005275DF">
        <w:rPr>
          <w:rStyle w:val="a9"/>
          <w:rFonts w:asciiTheme="minorBidi" w:hAnsiTheme="minorBidi"/>
          <w:rtl/>
        </w:rPr>
        <w:footnoteReference w:id="2419"/>
      </w:r>
      <w:r w:rsidR="00AC2ED8" w:rsidRPr="00AC2ED8">
        <w:rPr>
          <w:rFonts w:asciiTheme="minorBidi" w:hAnsiTheme="minorBidi" w:cs="Arial"/>
          <w:rtl/>
        </w:rPr>
        <w:t>! וכי תימא? עופות אעופות נמי לא קשיא; הא - ביבר מקורה</w:t>
      </w:r>
      <w:r w:rsidR="004E1C63" w:rsidRPr="005275DF">
        <w:rPr>
          <w:rStyle w:val="a9"/>
          <w:rFonts w:asciiTheme="minorBidi" w:hAnsiTheme="minorBidi"/>
          <w:rtl/>
        </w:rPr>
        <w:footnoteReference w:id="2420"/>
      </w:r>
      <w:r w:rsidR="00AC2ED8" w:rsidRPr="00AC2ED8">
        <w:rPr>
          <w:rFonts w:asciiTheme="minorBidi" w:hAnsiTheme="minorBidi" w:cs="Arial"/>
          <w:rtl/>
        </w:rPr>
        <w:t xml:space="preserve">, הא - ביבר שאינו מקורה; והא בית, דמקורה הוא, ובין לרבי יהודה ובין לרבנן, צפור למגדל - אין, לבית - לא! </w:t>
      </w:r>
      <w:r w:rsidR="00AC2ED8" w:rsidRPr="00057DFA">
        <w:rPr>
          <w:rFonts w:asciiTheme="minorBidi" w:hAnsiTheme="minorBidi" w:cs="Arial"/>
          <w:u w:val="single"/>
          <w:rtl/>
        </w:rPr>
        <w:t>אמר רבה בר רב הונא</w:t>
      </w:r>
      <w:r w:rsidR="00AC2ED8" w:rsidRPr="00AC2ED8">
        <w:rPr>
          <w:rFonts w:asciiTheme="minorBidi" w:hAnsiTheme="minorBidi" w:cs="Arial"/>
          <w:rtl/>
        </w:rPr>
        <w:t>: הכא בצפור דרור</w:t>
      </w:r>
      <w:r w:rsidR="004E1C63" w:rsidRPr="005275DF">
        <w:rPr>
          <w:rStyle w:val="a9"/>
          <w:rFonts w:asciiTheme="minorBidi" w:hAnsiTheme="minorBidi"/>
          <w:rtl/>
        </w:rPr>
        <w:footnoteReference w:id="2421"/>
      </w:r>
      <w:r w:rsidR="00AC2ED8" w:rsidRPr="00AC2ED8">
        <w:rPr>
          <w:rFonts w:asciiTheme="minorBidi" w:hAnsiTheme="minorBidi" w:cs="Arial"/>
          <w:rtl/>
        </w:rPr>
        <w:t xml:space="preserve"> עסקינן, לפי שאינה מקבלת מרות. דתנא דבי רבי ישמעאל: למה נקרא שמה צפור דרור - מפני שדרה בבית כבשדה.</w:t>
      </w:r>
    </w:p>
    <w:p w14:paraId="4E59D7DB" w14:textId="4AF3885A" w:rsidR="004E1C63" w:rsidRPr="00DC101A" w:rsidRDefault="00DC101A" w:rsidP="00434A6A">
      <w:pPr>
        <w:rPr>
          <w:rFonts w:asciiTheme="minorBidi" w:hAnsiTheme="minorBidi" w:cs="Arial"/>
          <w:u w:val="single"/>
          <w:rtl/>
        </w:rPr>
      </w:pPr>
      <w:r w:rsidRPr="00DC101A">
        <w:rPr>
          <w:rFonts w:asciiTheme="minorBidi" w:hAnsiTheme="minorBidi"/>
          <w:u w:val="single"/>
          <w:rtl/>
        </w:rPr>
        <w:t>צידה לתוך מגדל/בית/גינה/וכו'</w:t>
      </w:r>
      <w:r w:rsidRPr="00DC101A">
        <w:rPr>
          <w:rFonts w:asciiTheme="minorBidi" w:hAnsiTheme="minorBidi" w:cs="Arial" w:hint="cs"/>
          <w:u w:val="single"/>
          <w:rtl/>
        </w:rPr>
        <w:t>:</w:t>
      </w:r>
    </w:p>
    <w:p w14:paraId="6D52459B" w14:textId="5A60C397" w:rsidR="00DC101A" w:rsidRDefault="00F332E8" w:rsidP="00434A6A">
      <w:pPr>
        <w:pStyle w:val="aa"/>
        <w:numPr>
          <w:ilvl w:val="0"/>
          <w:numId w:val="30"/>
        </w:numPr>
      </w:pPr>
      <w:r>
        <w:rPr>
          <w:rFonts w:hint="cs"/>
          <w:rtl/>
        </w:rPr>
        <w:t xml:space="preserve">טור- </w:t>
      </w:r>
      <w:r>
        <w:rPr>
          <w:rFonts w:cs="Arial"/>
          <w:rtl/>
        </w:rPr>
        <w:t>הצד צפור למגדל שהוא ניצוד בו</w:t>
      </w:r>
      <w:r w:rsidR="00DC101A">
        <w:rPr>
          <w:rFonts w:cs="Arial" w:hint="cs"/>
          <w:rtl/>
        </w:rPr>
        <w:t>,</w:t>
      </w:r>
      <w:r>
        <w:rPr>
          <w:rFonts w:cs="Arial"/>
          <w:rtl/>
        </w:rPr>
        <w:t xml:space="preserve"> וצבי לבית או לביבר שהוא ניצוד בו</w:t>
      </w:r>
      <w:r w:rsidR="00DC101A">
        <w:rPr>
          <w:rFonts w:cs="Arial" w:hint="cs"/>
          <w:rtl/>
        </w:rPr>
        <w:t xml:space="preserve"> -</w:t>
      </w:r>
      <w:r>
        <w:rPr>
          <w:rFonts w:cs="Arial"/>
          <w:rtl/>
        </w:rPr>
        <w:t xml:space="preserve"> חייב</w:t>
      </w:r>
      <w:r w:rsidR="00DC101A">
        <w:rPr>
          <w:rFonts w:cs="Arial" w:hint="cs"/>
          <w:rtl/>
        </w:rPr>
        <w:t>,</w:t>
      </w:r>
      <w:r>
        <w:rPr>
          <w:rFonts w:cs="Arial"/>
          <w:rtl/>
        </w:rPr>
        <w:t xml:space="preserve"> ואם אינו ניצוד בו </w:t>
      </w:r>
      <w:r w:rsidR="00DC101A">
        <w:rPr>
          <w:rFonts w:cs="Arial" w:hint="cs"/>
          <w:rtl/>
        </w:rPr>
        <w:t xml:space="preserve">- </w:t>
      </w:r>
      <w:r>
        <w:rPr>
          <w:rFonts w:cs="Arial"/>
          <w:rtl/>
        </w:rPr>
        <w:t>פטור אבל אסור</w:t>
      </w:r>
      <w:r w:rsidR="00DC101A">
        <w:rPr>
          <w:rFonts w:cs="Arial" w:hint="cs"/>
          <w:rtl/>
        </w:rPr>
        <w:t>.</w:t>
      </w:r>
      <w:r w:rsidRPr="00E127D8">
        <w:rPr>
          <w:rFonts w:cs="Arial"/>
          <w:color w:val="E36C0A" w:themeColor="accent6" w:themeShade="BF"/>
          <w:rtl/>
        </w:rPr>
        <w:t xml:space="preserve"> </w:t>
      </w:r>
      <w:r w:rsidR="00E127D8" w:rsidRPr="00E127D8">
        <w:rPr>
          <w:rFonts w:hint="cs"/>
          <w:color w:val="E36C0A" w:themeColor="accent6" w:themeShade="BF"/>
          <w:rtl/>
        </w:rPr>
        <w:t>(וכ"פ בשו"ע)</w:t>
      </w:r>
    </w:p>
    <w:p w14:paraId="15140FF7" w14:textId="6DDC0BF0" w:rsidR="007604C2" w:rsidRPr="007604C2" w:rsidRDefault="00DC101A" w:rsidP="00434A6A">
      <w:pPr>
        <w:pStyle w:val="aa"/>
        <w:numPr>
          <w:ilvl w:val="0"/>
          <w:numId w:val="30"/>
        </w:numPr>
      </w:pPr>
      <w:r>
        <w:rPr>
          <w:rFonts w:cs="Arial" w:hint="cs"/>
          <w:rtl/>
        </w:rPr>
        <w:t xml:space="preserve">רמב"ם </w:t>
      </w:r>
      <w:r>
        <w:rPr>
          <w:rFonts w:cs="Arial" w:hint="cs"/>
          <w:sz w:val="16"/>
          <w:szCs w:val="16"/>
          <w:rtl/>
        </w:rPr>
        <w:t>(פ"י הי"ט)</w:t>
      </w:r>
      <w:r>
        <w:rPr>
          <w:rFonts w:cs="Arial" w:hint="cs"/>
          <w:rtl/>
        </w:rPr>
        <w:t xml:space="preserve">- </w:t>
      </w:r>
      <w:r>
        <w:rPr>
          <w:rFonts w:cs="Arial"/>
          <w:rtl/>
        </w:rPr>
        <w:t xml:space="preserve">הצד דבר שדרך מינו לצוד אותן </w:t>
      </w:r>
      <w:r w:rsidR="00E127D8">
        <w:rPr>
          <w:rFonts w:cs="Arial" w:hint="cs"/>
          <w:rtl/>
        </w:rPr>
        <w:t xml:space="preserve">- </w:t>
      </w:r>
      <w:r>
        <w:rPr>
          <w:rFonts w:cs="Arial"/>
          <w:rtl/>
        </w:rPr>
        <w:t>חייב</w:t>
      </w:r>
      <w:r w:rsidR="00E127D8">
        <w:rPr>
          <w:rFonts w:cs="Arial" w:hint="cs"/>
          <w:rtl/>
        </w:rPr>
        <w:t>.</w:t>
      </w:r>
      <w:r>
        <w:rPr>
          <w:rFonts w:cs="Arial"/>
          <w:rtl/>
        </w:rPr>
        <w:t xml:space="preserve"> כגון חיה ועופות ודגים, והוא שיצוד אותן למקום שאינו מחוסר צידה</w:t>
      </w:r>
      <w:r w:rsidR="00E127D8">
        <w:rPr>
          <w:rFonts w:cs="Arial" w:hint="cs"/>
          <w:rtl/>
        </w:rPr>
        <w:t>.</w:t>
      </w:r>
      <w:r>
        <w:rPr>
          <w:rFonts w:cs="Arial"/>
          <w:rtl/>
        </w:rPr>
        <w:t xml:space="preserve"> כיצד</w:t>
      </w:r>
      <w:r w:rsidR="00E127D8">
        <w:rPr>
          <w:rFonts w:cs="Arial" w:hint="cs"/>
          <w:rtl/>
        </w:rPr>
        <w:t>,</w:t>
      </w:r>
      <w:r>
        <w:rPr>
          <w:rFonts w:cs="Arial"/>
          <w:rtl/>
        </w:rPr>
        <w:t xml:space="preserve"> כגון שרדף אחרי צבי עד שהכניסו לבית או לגינה או לחצר ונעל בפניו, או שהפריח את העוף עד שהכניסו למגדל ונעל בפניו, או ששלה דג מן הים בתוך ספל של מים </w:t>
      </w:r>
      <w:r w:rsidR="00E127D8">
        <w:rPr>
          <w:rFonts w:cs="Arial" w:hint="cs"/>
          <w:rtl/>
        </w:rPr>
        <w:t xml:space="preserve">- </w:t>
      </w:r>
      <w:r>
        <w:rPr>
          <w:rFonts w:cs="Arial"/>
          <w:rtl/>
        </w:rPr>
        <w:t>הרי זה חייב</w:t>
      </w:r>
      <w:r w:rsidR="00E127D8">
        <w:rPr>
          <w:rFonts w:cs="Arial" w:hint="cs"/>
          <w:rtl/>
        </w:rPr>
        <w:t>.</w:t>
      </w:r>
      <w:r>
        <w:rPr>
          <w:rFonts w:cs="Arial"/>
          <w:rtl/>
        </w:rPr>
        <w:t xml:space="preserve"> אבל אם הפריח צפור לבית ונעל בפניו, או שהבריח דג ועקרו מן הים לבריכה של מים, או שרדף אחר צבי עד שנכנס לטרקלין רחב ונעל בפניו </w:t>
      </w:r>
      <w:r w:rsidR="00E127D8">
        <w:rPr>
          <w:rFonts w:cs="Arial" w:hint="cs"/>
          <w:rtl/>
        </w:rPr>
        <w:t xml:space="preserve">- </w:t>
      </w:r>
      <w:r>
        <w:rPr>
          <w:rFonts w:cs="Arial"/>
          <w:rtl/>
        </w:rPr>
        <w:t>הרי זה פטור, שאין זו צידה גמורה</w:t>
      </w:r>
      <w:r w:rsidR="00E127D8">
        <w:rPr>
          <w:rFonts w:cs="Arial" w:hint="cs"/>
          <w:rtl/>
        </w:rPr>
        <w:t>,</w:t>
      </w:r>
      <w:r>
        <w:rPr>
          <w:rFonts w:cs="Arial"/>
          <w:rtl/>
        </w:rPr>
        <w:t xml:space="preserve"> שאם יבא לקחתו צריך לרדוף אחריו ולצוד אותו משם</w:t>
      </w:r>
      <w:r w:rsidR="00E127D8">
        <w:rPr>
          <w:rFonts w:cs="Arial" w:hint="cs"/>
          <w:rtl/>
        </w:rPr>
        <w:t>.</w:t>
      </w:r>
      <w:r>
        <w:rPr>
          <w:rFonts w:cs="Arial"/>
          <w:rtl/>
        </w:rPr>
        <w:t xml:space="preserve"> לפיכך הצד ארי אינו חייב עד שיכניסנו לכיפה שלו שהוא נאסר בה. </w:t>
      </w:r>
    </w:p>
    <w:p w14:paraId="752919E7" w14:textId="2292DDAD" w:rsidR="007604C2" w:rsidRPr="007604C2" w:rsidRDefault="007604C2" w:rsidP="00434A6A">
      <w:pPr>
        <w:rPr>
          <w:rFonts w:asciiTheme="minorBidi" w:hAnsiTheme="minorBidi"/>
          <w:rtl/>
        </w:rPr>
      </w:pPr>
      <w:r w:rsidRPr="007604C2">
        <w:rPr>
          <w:rFonts w:asciiTheme="minorBidi" w:hAnsiTheme="minorBidi"/>
          <w:b/>
          <w:bCs/>
          <w:rtl/>
        </w:rPr>
        <w:t xml:space="preserve">ביצה </w:t>
      </w:r>
      <w:r w:rsidR="00FB296D">
        <w:rPr>
          <w:rFonts w:asciiTheme="minorBidi" w:hAnsiTheme="minorBidi" w:hint="cs"/>
          <w:b/>
          <w:bCs/>
          <w:sz w:val="16"/>
          <w:szCs w:val="16"/>
          <w:rtl/>
        </w:rPr>
        <w:t>(ר"פ אין צדין)</w:t>
      </w:r>
      <w:r w:rsidR="00FB296D">
        <w:rPr>
          <w:rFonts w:asciiTheme="minorBidi" w:hAnsiTheme="minorBidi" w:hint="cs"/>
          <w:b/>
          <w:bCs/>
          <w:rtl/>
        </w:rPr>
        <w:t xml:space="preserve"> </w:t>
      </w:r>
      <w:r w:rsidRPr="007604C2">
        <w:rPr>
          <w:rFonts w:asciiTheme="minorBidi" w:hAnsiTheme="minorBidi"/>
          <w:b/>
          <w:bCs/>
          <w:rtl/>
        </w:rPr>
        <w:t>כג ע"ב:</w:t>
      </w:r>
      <w:r w:rsidRPr="007604C2">
        <w:rPr>
          <w:rFonts w:asciiTheme="minorBidi" w:hAnsiTheme="minorBidi"/>
          <w:rtl/>
        </w:rPr>
        <w:t xml:space="preserve"> </w:t>
      </w:r>
      <w:r w:rsidRPr="007604C2">
        <w:rPr>
          <w:rFonts w:asciiTheme="minorBidi" w:hAnsiTheme="minorBidi"/>
          <w:u w:val="double"/>
          <w:rtl/>
        </w:rPr>
        <w:t>משנה:</w:t>
      </w:r>
      <w:r w:rsidRPr="007604C2">
        <w:rPr>
          <w:rFonts w:asciiTheme="minorBidi" w:hAnsiTheme="minorBidi"/>
          <w:rtl/>
        </w:rPr>
        <w:t xml:space="preserve"> אין צדין דגים מן הביברים</w:t>
      </w:r>
      <w:r w:rsidRPr="005275DF">
        <w:rPr>
          <w:rStyle w:val="a9"/>
          <w:rFonts w:asciiTheme="minorBidi" w:hAnsiTheme="minorBidi"/>
          <w:rtl/>
        </w:rPr>
        <w:footnoteReference w:id="2422"/>
      </w:r>
      <w:r w:rsidRPr="007604C2">
        <w:rPr>
          <w:rFonts w:asciiTheme="minorBidi" w:hAnsiTheme="minorBidi"/>
          <w:rtl/>
        </w:rPr>
        <w:t xml:space="preserve"> ביום טוב</w:t>
      </w:r>
      <w:r w:rsidRPr="005275DF">
        <w:rPr>
          <w:rStyle w:val="a9"/>
          <w:rFonts w:asciiTheme="minorBidi" w:hAnsiTheme="minorBidi"/>
          <w:rtl/>
        </w:rPr>
        <w:footnoteReference w:id="2423"/>
      </w:r>
      <w:r w:rsidRPr="007604C2">
        <w:rPr>
          <w:rFonts w:asciiTheme="minorBidi" w:hAnsiTheme="minorBidi"/>
          <w:rtl/>
        </w:rPr>
        <w:t>, ואין נותנין לפניהם מזונות, אבל צדין חיה ועוף מן הביברין</w:t>
      </w:r>
      <w:r w:rsidRPr="005275DF">
        <w:rPr>
          <w:rStyle w:val="a9"/>
          <w:rFonts w:asciiTheme="minorBidi" w:hAnsiTheme="minorBidi"/>
          <w:rtl/>
        </w:rPr>
        <w:footnoteReference w:id="2424"/>
      </w:r>
      <w:r w:rsidRPr="007604C2">
        <w:rPr>
          <w:rFonts w:asciiTheme="minorBidi" w:hAnsiTheme="minorBidi"/>
          <w:rtl/>
        </w:rPr>
        <w:t xml:space="preserve"> ונותנין לפניהם מזונות. </w:t>
      </w:r>
      <w:r w:rsidRPr="007604C2">
        <w:rPr>
          <w:rFonts w:asciiTheme="minorBidi" w:hAnsiTheme="minorBidi"/>
          <w:u w:val="single"/>
          <w:rtl/>
        </w:rPr>
        <w:t>רבן שמעון בן גמליאל אומר</w:t>
      </w:r>
      <w:r w:rsidRPr="007604C2">
        <w:rPr>
          <w:rFonts w:asciiTheme="minorBidi" w:hAnsiTheme="minorBidi"/>
          <w:rtl/>
        </w:rPr>
        <w:t>: לא כל הביברין שוין. זה הכלל: כל המחוסר צידה</w:t>
      </w:r>
      <w:r w:rsidRPr="005275DF">
        <w:rPr>
          <w:rStyle w:val="a9"/>
          <w:rFonts w:asciiTheme="minorBidi" w:hAnsiTheme="minorBidi"/>
          <w:rtl/>
        </w:rPr>
        <w:footnoteReference w:id="2425"/>
      </w:r>
      <w:r w:rsidRPr="007604C2">
        <w:rPr>
          <w:rFonts w:asciiTheme="minorBidi" w:hAnsiTheme="minorBidi"/>
          <w:rtl/>
        </w:rPr>
        <w:t xml:space="preserve"> - אסור, ושאינו מחוסר צידה - מותר.         </w:t>
      </w:r>
      <w:r w:rsidRPr="007604C2">
        <w:rPr>
          <w:rFonts w:asciiTheme="minorBidi" w:hAnsiTheme="minorBidi"/>
          <w:u w:val="double"/>
          <w:rtl/>
        </w:rPr>
        <w:t>גמ'</w:t>
      </w:r>
      <w:r w:rsidRPr="007604C2">
        <w:rPr>
          <w:rFonts w:asciiTheme="minorBidi" w:hAnsiTheme="minorBidi"/>
          <w:sz w:val="14"/>
          <w:szCs w:val="14"/>
          <w:u w:val="double"/>
          <w:rtl/>
        </w:rPr>
        <w:t>(כד.)</w:t>
      </w:r>
      <w:r w:rsidRPr="007604C2">
        <w:rPr>
          <w:rFonts w:asciiTheme="minorBidi" w:hAnsiTheme="minorBidi"/>
          <w:u w:val="double"/>
          <w:rtl/>
        </w:rPr>
        <w:t>:</w:t>
      </w:r>
      <w:r w:rsidRPr="007604C2">
        <w:rPr>
          <w:rFonts w:asciiTheme="minorBidi" w:hAnsiTheme="minorBidi"/>
          <w:rtl/>
        </w:rPr>
        <w:t xml:space="preserve"> היכי דמי ביבר קטן היכי דמי ביבר גדול? </w:t>
      </w:r>
      <w:r w:rsidRPr="007604C2">
        <w:rPr>
          <w:rFonts w:asciiTheme="minorBidi" w:hAnsiTheme="minorBidi"/>
          <w:u w:val="single"/>
          <w:rtl/>
        </w:rPr>
        <w:t>אמר רב אשי</w:t>
      </w:r>
      <w:r w:rsidRPr="007604C2">
        <w:rPr>
          <w:rFonts w:asciiTheme="minorBidi" w:hAnsiTheme="minorBidi"/>
          <w:rtl/>
        </w:rPr>
        <w:t>: כל היכא דרהיט אבתרה ומטי לה בחד שחיא</w:t>
      </w:r>
      <w:r w:rsidRPr="005275DF">
        <w:rPr>
          <w:rStyle w:val="a9"/>
          <w:rFonts w:asciiTheme="minorBidi" w:hAnsiTheme="minorBidi"/>
          <w:rtl/>
        </w:rPr>
        <w:footnoteReference w:id="2426"/>
      </w:r>
      <w:r w:rsidRPr="007604C2">
        <w:rPr>
          <w:rFonts w:asciiTheme="minorBidi" w:hAnsiTheme="minorBidi"/>
          <w:rtl/>
        </w:rPr>
        <w:t xml:space="preserve"> - ביבר קטן, ואידך - ביבר גדול. אי נמי: כל היכא דאיכא עוקצי עוקצי</w:t>
      </w:r>
      <w:r>
        <w:rPr>
          <w:rStyle w:val="a9"/>
          <w:rFonts w:asciiTheme="minorBidi" w:hAnsiTheme="minorBidi"/>
          <w:rtl/>
        </w:rPr>
        <w:footnoteReference w:id="2427"/>
      </w:r>
      <w:r w:rsidRPr="007604C2">
        <w:rPr>
          <w:rFonts w:asciiTheme="minorBidi" w:hAnsiTheme="minorBidi"/>
          <w:rtl/>
        </w:rPr>
        <w:t xml:space="preserve"> - ביבר גדול, ואידך ביבר קטן. אי נמי: כל היכא דנפלי טולא דכתלי אהדדי</w:t>
      </w:r>
      <w:r>
        <w:rPr>
          <w:rStyle w:val="a9"/>
          <w:rFonts w:asciiTheme="minorBidi" w:hAnsiTheme="minorBidi"/>
          <w:rtl/>
        </w:rPr>
        <w:footnoteReference w:id="2428"/>
      </w:r>
      <w:r w:rsidRPr="007604C2">
        <w:rPr>
          <w:rFonts w:asciiTheme="minorBidi" w:hAnsiTheme="minorBidi"/>
          <w:rtl/>
        </w:rPr>
        <w:t xml:space="preserve"> - ביבר קטן, ואידך - ביבר גדול... היכי דמי מחוסר צידה? </w:t>
      </w:r>
      <w:r w:rsidRPr="007604C2">
        <w:rPr>
          <w:rFonts w:asciiTheme="minorBidi" w:hAnsiTheme="minorBidi"/>
          <w:u w:val="single"/>
          <w:rtl/>
        </w:rPr>
        <w:t>אמר רב יוסף אמר רב יהודה אמר שמואל</w:t>
      </w:r>
      <w:r w:rsidRPr="007604C2">
        <w:rPr>
          <w:rFonts w:asciiTheme="minorBidi" w:hAnsiTheme="minorBidi"/>
          <w:rtl/>
        </w:rPr>
        <w:t>: כל שאומר הבא מצודה ונצודנו</w:t>
      </w:r>
      <w:r w:rsidRPr="005275DF">
        <w:rPr>
          <w:rStyle w:val="a9"/>
          <w:rFonts w:asciiTheme="minorBidi" w:hAnsiTheme="minorBidi"/>
          <w:rtl/>
        </w:rPr>
        <w:footnoteReference w:id="2429"/>
      </w:r>
      <w:r w:rsidRPr="007604C2">
        <w:rPr>
          <w:rFonts w:asciiTheme="minorBidi" w:hAnsiTheme="minorBidi"/>
          <w:rtl/>
        </w:rPr>
        <w:t xml:space="preserve">. </w:t>
      </w:r>
      <w:r w:rsidRPr="007604C2">
        <w:rPr>
          <w:rFonts w:asciiTheme="minorBidi" w:hAnsiTheme="minorBidi"/>
          <w:u w:val="single"/>
          <w:rtl/>
        </w:rPr>
        <w:t>אמר ליה אביי</w:t>
      </w:r>
      <w:r w:rsidRPr="007604C2">
        <w:rPr>
          <w:rFonts w:asciiTheme="minorBidi" w:hAnsiTheme="minorBidi"/>
          <w:rtl/>
        </w:rPr>
        <w:t>: והא אווזין ותרנגולין שאומרים הבא מצודה ונצודנו</w:t>
      </w:r>
      <w:r w:rsidR="00FB296D">
        <w:rPr>
          <w:rFonts w:asciiTheme="minorBidi" w:hAnsiTheme="minorBidi" w:hint="cs"/>
          <w:rtl/>
        </w:rPr>
        <w:t>,</w:t>
      </w:r>
      <w:r w:rsidRPr="007604C2">
        <w:rPr>
          <w:rFonts w:asciiTheme="minorBidi" w:hAnsiTheme="minorBidi"/>
          <w:rtl/>
        </w:rPr>
        <w:t xml:space="preserve"> ותניא</w:t>
      </w:r>
      <w:r w:rsidR="00FB296D">
        <w:rPr>
          <w:rFonts w:asciiTheme="minorBidi" w:hAnsiTheme="minorBidi" w:hint="cs"/>
          <w:rtl/>
        </w:rPr>
        <w:t>:</w:t>
      </w:r>
      <w:r w:rsidRPr="007604C2">
        <w:rPr>
          <w:rFonts w:asciiTheme="minorBidi" w:hAnsiTheme="minorBidi"/>
          <w:rtl/>
        </w:rPr>
        <w:t xml:space="preserve"> הצד אווזין ותרנגולין ויוני הרדיסאות פטור! </w:t>
      </w:r>
      <w:r w:rsidRPr="007604C2">
        <w:rPr>
          <w:rFonts w:asciiTheme="minorBidi" w:hAnsiTheme="minorBidi"/>
          <w:u w:val="single"/>
          <w:rtl/>
        </w:rPr>
        <w:t>אמר רבה בר רב הונא אמר שמואל</w:t>
      </w:r>
      <w:r w:rsidRPr="007604C2">
        <w:rPr>
          <w:rFonts w:asciiTheme="minorBidi" w:hAnsiTheme="minorBidi"/>
          <w:rtl/>
        </w:rPr>
        <w:t>: הללו באין לכלובן לערב</w:t>
      </w:r>
      <w:r w:rsidRPr="005275DF">
        <w:rPr>
          <w:rStyle w:val="a9"/>
          <w:rFonts w:asciiTheme="minorBidi" w:hAnsiTheme="minorBidi"/>
          <w:rtl/>
        </w:rPr>
        <w:footnoteReference w:id="2430"/>
      </w:r>
      <w:r w:rsidRPr="007604C2">
        <w:rPr>
          <w:rFonts w:asciiTheme="minorBidi" w:hAnsiTheme="minorBidi"/>
          <w:rtl/>
        </w:rPr>
        <w:t>, והללו אין באין לכלובן לערב. והרי יוני שובך ויוני עלייה</w:t>
      </w:r>
      <w:r w:rsidRPr="005275DF">
        <w:rPr>
          <w:rStyle w:val="a9"/>
          <w:rFonts w:asciiTheme="minorBidi" w:hAnsiTheme="minorBidi"/>
          <w:rtl/>
        </w:rPr>
        <w:footnoteReference w:id="2431"/>
      </w:r>
      <w:r w:rsidRPr="007604C2">
        <w:rPr>
          <w:rFonts w:asciiTheme="minorBidi" w:hAnsiTheme="minorBidi"/>
          <w:rtl/>
        </w:rPr>
        <w:t xml:space="preserve"> דבאין לכלובן לערב ותניא הצד יוני שובך ויוני עלייה וצפרים שקננו בטפיחין בבירות</w:t>
      </w:r>
      <w:r w:rsidRPr="005275DF">
        <w:rPr>
          <w:rStyle w:val="a9"/>
          <w:rFonts w:asciiTheme="minorBidi" w:hAnsiTheme="minorBidi"/>
          <w:rtl/>
        </w:rPr>
        <w:footnoteReference w:id="2432"/>
      </w:r>
      <w:r w:rsidRPr="007604C2">
        <w:rPr>
          <w:rFonts w:asciiTheme="minorBidi" w:hAnsiTheme="minorBidi"/>
          <w:rtl/>
        </w:rPr>
        <w:t xml:space="preserve"> - חייב! </w:t>
      </w:r>
      <w:r w:rsidRPr="005C0C88">
        <w:rPr>
          <w:rFonts w:asciiTheme="minorBidi" w:hAnsiTheme="minorBidi"/>
          <w:u w:val="single"/>
          <w:rtl/>
        </w:rPr>
        <w:t>אלא אמר</w:t>
      </w:r>
      <w:r w:rsidRPr="007604C2">
        <w:rPr>
          <w:rFonts w:asciiTheme="minorBidi" w:hAnsiTheme="minorBidi"/>
          <w:u w:val="single"/>
          <w:rtl/>
        </w:rPr>
        <w:t xml:space="preserve"> רבה בר רב הונא אמר שמואל</w:t>
      </w:r>
      <w:r w:rsidRPr="007604C2">
        <w:rPr>
          <w:rFonts w:asciiTheme="minorBidi" w:hAnsiTheme="minorBidi"/>
          <w:rtl/>
        </w:rPr>
        <w:t>: הללו באין לכלובן לערב ומזונותן עליך</w:t>
      </w:r>
      <w:r w:rsidRPr="005275DF">
        <w:rPr>
          <w:rStyle w:val="a9"/>
          <w:rFonts w:asciiTheme="minorBidi" w:hAnsiTheme="minorBidi"/>
          <w:rtl/>
        </w:rPr>
        <w:footnoteReference w:id="2433"/>
      </w:r>
      <w:r w:rsidRPr="007604C2">
        <w:rPr>
          <w:rFonts w:asciiTheme="minorBidi" w:hAnsiTheme="minorBidi"/>
          <w:rtl/>
        </w:rPr>
        <w:t xml:space="preserve">, והללו באין לכלובן לערב ואין מזונותן עליך. </w:t>
      </w:r>
      <w:r w:rsidRPr="007604C2">
        <w:rPr>
          <w:rFonts w:asciiTheme="minorBidi" w:hAnsiTheme="minorBidi"/>
          <w:u w:val="single"/>
          <w:rtl/>
        </w:rPr>
        <w:t>רב מרי אמר</w:t>
      </w:r>
      <w:r w:rsidRPr="007604C2">
        <w:rPr>
          <w:rFonts w:asciiTheme="minorBidi" w:hAnsiTheme="minorBidi"/>
          <w:rtl/>
        </w:rPr>
        <w:t>: הני עבידי לרבויי</w:t>
      </w:r>
      <w:r w:rsidRPr="005275DF">
        <w:rPr>
          <w:rStyle w:val="a9"/>
          <w:rFonts w:asciiTheme="minorBidi" w:hAnsiTheme="minorBidi"/>
          <w:rtl/>
        </w:rPr>
        <w:footnoteReference w:id="2434"/>
      </w:r>
      <w:r w:rsidRPr="007604C2">
        <w:rPr>
          <w:rFonts w:asciiTheme="minorBidi" w:hAnsiTheme="minorBidi"/>
          <w:rtl/>
        </w:rPr>
        <w:t xml:space="preserve"> והני לא עבידי לרבויי. כולהו נמי עבידי לרבויי! לכלובן קאמרינן דעבידי לרבויי</w:t>
      </w:r>
      <w:r w:rsidRPr="005275DF">
        <w:rPr>
          <w:rStyle w:val="a9"/>
          <w:rFonts w:asciiTheme="minorBidi" w:hAnsiTheme="minorBidi"/>
          <w:rtl/>
        </w:rPr>
        <w:footnoteReference w:id="2435"/>
      </w:r>
      <w:r w:rsidRPr="007604C2">
        <w:rPr>
          <w:rFonts w:asciiTheme="minorBidi" w:hAnsiTheme="minorBidi"/>
          <w:rtl/>
        </w:rPr>
        <w:t xml:space="preserve">. </w:t>
      </w:r>
    </w:p>
    <w:p w14:paraId="6E2EB63D" w14:textId="6F1C0419" w:rsidR="007604C2" w:rsidRPr="0093143E" w:rsidRDefault="0093143E" w:rsidP="00434A6A">
      <w:pPr>
        <w:rPr>
          <w:u w:val="single"/>
        </w:rPr>
      </w:pPr>
      <w:r w:rsidRPr="0093143E">
        <w:rPr>
          <w:rFonts w:cs="Arial"/>
          <w:u w:val="single"/>
          <w:rtl/>
        </w:rPr>
        <w:t>היכי דמי מחוסר צידה</w:t>
      </w:r>
      <w:r w:rsidRPr="0093143E">
        <w:rPr>
          <w:rFonts w:hint="cs"/>
          <w:u w:val="single"/>
          <w:rtl/>
        </w:rPr>
        <w:t>:</w:t>
      </w:r>
    </w:p>
    <w:p w14:paraId="256D4731" w14:textId="536BD05C" w:rsidR="00DC101A" w:rsidRDefault="007604C2" w:rsidP="00434A6A">
      <w:pPr>
        <w:pStyle w:val="aa"/>
        <w:numPr>
          <w:ilvl w:val="0"/>
          <w:numId w:val="30"/>
        </w:numPr>
      </w:pPr>
      <w:r>
        <w:rPr>
          <w:rFonts w:cs="Arial" w:hint="cs"/>
          <w:rtl/>
        </w:rPr>
        <w:t xml:space="preserve">רמב"ם </w:t>
      </w:r>
      <w:r>
        <w:rPr>
          <w:rFonts w:cs="Arial" w:hint="cs"/>
          <w:sz w:val="16"/>
          <w:szCs w:val="16"/>
          <w:rtl/>
        </w:rPr>
        <w:t>(פ"י הי"ט-כ)</w:t>
      </w:r>
      <w:r>
        <w:rPr>
          <w:rFonts w:cs="Arial" w:hint="cs"/>
          <w:rtl/>
        </w:rPr>
        <w:t xml:space="preserve">- </w:t>
      </w:r>
      <w:r w:rsidR="00DC101A" w:rsidRPr="00DC101A">
        <w:rPr>
          <w:rFonts w:cs="Arial"/>
          <w:rtl/>
        </w:rPr>
        <w:t xml:space="preserve">כל מקום שאם ירוץ בו יגיע לחיה בשחיה אחת, או שהיו הכתלים קרובין זה לזה עד שיפול צל שניהם לאמצע כאחד הרי זה מקום קטן, ואם הבריח הצבי וכיוצא בו לתוכו </w:t>
      </w:r>
      <w:r w:rsidR="00E87385">
        <w:rPr>
          <w:rFonts w:cs="Arial" w:hint="cs"/>
          <w:rtl/>
        </w:rPr>
        <w:t xml:space="preserve">- </w:t>
      </w:r>
      <w:r w:rsidR="00DC101A" w:rsidRPr="00DC101A">
        <w:rPr>
          <w:rFonts w:cs="Arial"/>
          <w:rtl/>
        </w:rPr>
        <w:t>חייב</w:t>
      </w:r>
      <w:r w:rsidR="00E127D8">
        <w:rPr>
          <w:rFonts w:cs="Arial" w:hint="cs"/>
          <w:rtl/>
        </w:rPr>
        <w:t>.</w:t>
      </w:r>
      <w:r w:rsidR="00DC101A" w:rsidRPr="00DC101A">
        <w:rPr>
          <w:rFonts w:cs="Arial"/>
          <w:rtl/>
        </w:rPr>
        <w:t xml:space="preserve"> ומקום שהוא גדול מזה המבריח חיה ועוף לתוכו </w:t>
      </w:r>
      <w:r w:rsidR="00E127D8">
        <w:rPr>
          <w:rFonts w:cs="Arial" w:hint="cs"/>
          <w:rtl/>
        </w:rPr>
        <w:t xml:space="preserve">- </w:t>
      </w:r>
      <w:r w:rsidR="00DC101A" w:rsidRPr="00DC101A">
        <w:rPr>
          <w:rFonts w:cs="Arial"/>
          <w:rtl/>
        </w:rPr>
        <w:t>פטור.</w:t>
      </w:r>
    </w:p>
    <w:p w14:paraId="6A2538A7" w14:textId="43B84950" w:rsidR="0093143E" w:rsidRDefault="0093143E" w:rsidP="00434A6A">
      <w:pPr>
        <w:pStyle w:val="aa"/>
        <w:numPr>
          <w:ilvl w:val="0"/>
          <w:numId w:val="30"/>
        </w:numPr>
      </w:pPr>
      <w:r>
        <w:rPr>
          <w:rFonts w:cs="Arial" w:hint="cs"/>
          <w:rtl/>
        </w:rPr>
        <w:t xml:space="preserve">רי"ף </w:t>
      </w:r>
      <w:r>
        <w:rPr>
          <w:rFonts w:cs="Arial" w:hint="cs"/>
          <w:sz w:val="16"/>
          <w:szCs w:val="16"/>
          <w:rtl/>
        </w:rPr>
        <w:t>(ביצה יג.)</w:t>
      </w:r>
      <w:r>
        <w:rPr>
          <w:rFonts w:cs="Arial" w:hint="cs"/>
          <w:rtl/>
        </w:rPr>
        <w:t xml:space="preserve">- </w:t>
      </w:r>
      <w:r w:rsidRPr="0093143E">
        <w:rPr>
          <w:rFonts w:cs="Arial"/>
          <w:rtl/>
        </w:rPr>
        <w:t>היכי דמי מחוסר צידה א"ר יוסף א"ר יהודה אמר שמואל כגון דאמרי הבא מצודה ונצודנו</w:t>
      </w:r>
      <w:r>
        <w:rPr>
          <w:rFonts w:hint="cs"/>
          <w:rtl/>
        </w:rPr>
        <w:t>.</w:t>
      </w:r>
    </w:p>
    <w:p w14:paraId="0FE1698B" w14:textId="0A1E049B" w:rsidR="00563316" w:rsidRPr="00DC101A" w:rsidRDefault="00563316" w:rsidP="00434A6A">
      <w:pPr>
        <w:pStyle w:val="aa"/>
        <w:numPr>
          <w:ilvl w:val="0"/>
          <w:numId w:val="30"/>
        </w:numPr>
      </w:pPr>
      <w:r>
        <w:rPr>
          <w:rFonts w:hint="cs"/>
          <w:rtl/>
        </w:rPr>
        <w:t>תוס'</w:t>
      </w:r>
      <w:r>
        <w:rPr>
          <w:rFonts w:hint="cs"/>
          <w:sz w:val="16"/>
          <w:szCs w:val="16"/>
          <w:rtl/>
        </w:rPr>
        <w:t xml:space="preserve"> (</w:t>
      </w:r>
      <w:r w:rsidR="00947F45">
        <w:rPr>
          <w:rFonts w:hint="cs"/>
          <w:sz w:val="16"/>
          <w:szCs w:val="16"/>
          <w:rtl/>
        </w:rPr>
        <w:t>כד. ד"ה כל)</w:t>
      </w:r>
      <w:r>
        <w:rPr>
          <w:rFonts w:hint="cs"/>
          <w:rtl/>
        </w:rPr>
        <w:t xml:space="preserve">- </w:t>
      </w:r>
      <w:r w:rsidRPr="00D15E12">
        <w:rPr>
          <w:rFonts w:asciiTheme="minorBidi" w:hAnsiTheme="minorBidi" w:cs="Arial"/>
          <w:rtl/>
        </w:rPr>
        <w:t>בחיה כל שאינו מגיעו בריצה אחת אסור ואע</w:t>
      </w:r>
      <w:r>
        <w:rPr>
          <w:rFonts w:asciiTheme="minorBidi" w:hAnsiTheme="minorBidi" w:cs="Arial" w:hint="cs"/>
          <w:rtl/>
        </w:rPr>
        <w:t>"</w:t>
      </w:r>
      <w:r w:rsidRPr="00D15E12">
        <w:rPr>
          <w:rFonts w:asciiTheme="minorBidi" w:hAnsiTheme="minorBidi" w:cs="Arial"/>
          <w:rtl/>
        </w:rPr>
        <w:t>פ שאינו צריך למצודה</w:t>
      </w:r>
      <w:r>
        <w:rPr>
          <w:rFonts w:asciiTheme="minorBidi" w:hAnsiTheme="minorBidi" w:cs="Arial" w:hint="cs"/>
          <w:rtl/>
        </w:rPr>
        <w:t>,</w:t>
      </w:r>
      <w:r w:rsidRPr="00D15E12">
        <w:rPr>
          <w:rFonts w:asciiTheme="minorBidi" w:hAnsiTheme="minorBidi" w:cs="Arial"/>
          <w:rtl/>
        </w:rPr>
        <w:t xml:space="preserve"> ובעופות כל שצריך למצודה</w:t>
      </w:r>
      <w:r w:rsidR="00947F45">
        <w:rPr>
          <w:rFonts w:asciiTheme="minorBidi" w:hAnsiTheme="minorBidi" w:cs="Arial" w:hint="cs"/>
          <w:sz w:val="16"/>
          <w:szCs w:val="16"/>
          <w:rtl/>
        </w:rPr>
        <w:t xml:space="preserve"> (ל' הרשב"א בשמם)</w:t>
      </w:r>
      <w:r>
        <w:rPr>
          <w:rFonts w:asciiTheme="minorBidi" w:hAnsiTheme="minorBidi" w:cs="Arial" w:hint="cs"/>
          <w:rtl/>
        </w:rPr>
        <w:t>.</w:t>
      </w:r>
    </w:p>
    <w:p w14:paraId="2784B57B" w14:textId="77777777" w:rsidR="005022B5" w:rsidRPr="005275DF" w:rsidRDefault="005022B5" w:rsidP="00434A6A">
      <w:pPr>
        <w:rPr>
          <w:rFonts w:asciiTheme="minorBidi" w:hAnsiTheme="minorBidi"/>
          <w:rtl/>
        </w:rPr>
      </w:pPr>
      <w:r w:rsidRPr="005275DF">
        <w:rPr>
          <w:rFonts w:asciiTheme="minorBidi" w:hAnsiTheme="minorBidi"/>
          <w:b/>
          <w:bCs/>
          <w:sz w:val="32"/>
          <w:szCs w:val="28"/>
          <w:u w:val="single"/>
          <w:rtl/>
        </w:rPr>
        <w:t xml:space="preserve">שו"ע: </w:t>
      </w:r>
    </w:p>
    <w:p w14:paraId="293306E7" w14:textId="2DDC740C" w:rsidR="005022B5" w:rsidRPr="005275DF" w:rsidRDefault="005022B5" w:rsidP="00434A6A">
      <w:pPr>
        <w:rPr>
          <w:rFonts w:asciiTheme="minorBidi" w:hAnsiTheme="minorBidi"/>
          <w:rtl/>
        </w:rPr>
      </w:pPr>
      <w:r w:rsidRPr="005275DF">
        <w:rPr>
          <w:rFonts w:asciiTheme="minorBidi" w:hAnsiTheme="minorBidi"/>
          <w:rtl/>
        </w:rPr>
        <w:t xml:space="preserve">הצד צפור דרור </w:t>
      </w:r>
      <w:r w:rsidR="009972CD" w:rsidRPr="005275DF">
        <w:rPr>
          <w:rFonts w:asciiTheme="minorBidi" w:hAnsiTheme="minorBidi"/>
          <w:rtl/>
        </w:rPr>
        <w:t>למגדל שהוא ניצוד בו, ושאר צפרים וצבי</w:t>
      </w:r>
      <w:r w:rsidRPr="005275DF">
        <w:rPr>
          <w:rFonts w:asciiTheme="minorBidi" w:hAnsiTheme="minorBidi"/>
          <w:rtl/>
        </w:rPr>
        <w:t xml:space="preserve"> לבית או לביבר שהם נצודים בו, חייב</w:t>
      </w:r>
      <w:r w:rsidR="004E1C63">
        <w:rPr>
          <w:rFonts w:asciiTheme="minorBidi" w:hAnsiTheme="minorBidi" w:hint="cs"/>
          <w:rtl/>
        </w:rPr>
        <w:t>.</w:t>
      </w:r>
      <w:r w:rsidRPr="005275DF">
        <w:rPr>
          <w:rFonts w:asciiTheme="minorBidi" w:hAnsiTheme="minorBidi"/>
          <w:rtl/>
        </w:rPr>
        <w:t xml:space="preserve"> ואם אינו נצוד בו, פטור אבל אסור. </w:t>
      </w:r>
    </w:p>
    <w:p w14:paraId="259C8FE1" w14:textId="77777777" w:rsidR="005022B5" w:rsidRPr="005275DF" w:rsidRDefault="005022B5" w:rsidP="00434A6A">
      <w:pPr>
        <w:rPr>
          <w:rFonts w:asciiTheme="minorBidi" w:hAnsiTheme="minorBidi"/>
          <w:rtl/>
        </w:rPr>
      </w:pPr>
    </w:p>
    <w:p w14:paraId="02487AEA" w14:textId="204423AA" w:rsidR="005022B5" w:rsidRPr="005275DF" w:rsidRDefault="005022B5" w:rsidP="00434A6A">
      <w:pPr>
        <w:pStyle w:val="2"/>
        <w:rPr>
          <w:rFonts w:asciiTheme="minorBidi" w:hAnsiTheme="minorBidi" w:cstheme="minorBidi"/>
          <w:rtl/>
        </w:rPr>
      </w:pPr>
      <w:r w:rsidRPr="005275DF">
        <w:rPr>
          <w:rFonts w:asciiTheme="minorBidi" w:hAnsiTheme="minorBidi" w:cstheme="minorBidi"/>
          <w:rtl/>
        </w:rPr>
        <w:t>סעיף ב</w:t>
      </w:r>
      <w:r w:rsidR="008807C8" w:rsidRPr="005275DF">
        <w:rPr>
          <w:rFonts w:asciiTheme="minorBidi" w:hAnsiTheme="minorBidi" w:cstheme="minorBidi"/>
          <w:rtl/>
        </w:rPr>
        <w:t>:</w:t>
      </w:r>
      <w:r w:rsidR="00553C21" w:rsidRPr="005275DF">
        <w:rPr>
          <w:rFonts w:asciiTheme="minorBidi" w:hAnsiTheme="minorBidi" w:cstheme="minorBidi"/>
          <w:rtl/>
        </w:rPr>
        <w:t xml:space="preserve"> הצד צבי ישן/סומא</w:t>
      </w:r>
      <w:r w:rsidR="00A454EE">
        <w:rPr>
          <w:rFonts w:asciiTheme="minorBidi" w:hAnsiTheme="minorBidi" w:cstheme="minorBidi" w:hint="cs"/>
          <w:rtl/>
        </w:rPr>
        <w:t>/</w:t>
      </w:r>
      <w:r w:rsidR="00553C21" w:rsidRPr="005275DF">
        <w:rPr>
          <w:rFonts w:asciiTheme="minorBidi" w:hAnsiTheme="minorBidi" w:cstheme="minorBidi"/>
          <w:rtl/>
        </w:rPr>
        <w:t>חיגר/חולה/זקן.</w:t>
      </w:r>
    </w:p>
    <w:p w14:paraId="31A0241F" w14:textId="1D647284" w:rsidR="008807C8" w:rsidRDefault="008807C8" w:rsidP="00434A6A">
      <w:pPr>
        <w:rPr>
          <w:rFonts w:asciiTheme="minorBidi" w:hAnsiTheme="minorBidi"/>
          <w:rtl/>
        </w:rPr>
      </w:pPr>
      <w:r w:rsidRPr="005275DF">
        <w:rPr>
          <w:rFonts w:asciiTheme="minorBidi" w:hAnsiTheme="minorBidi"/>
          <w:b/>
          <w:bCs/>
          <w:rtl/>
        </w:rPr>
        <w:t xml:space="preserve">שבת </w:t>
      </w:r>
      <w:r w:rsidR="00E127D8">
        <w:rPr>
          <w:rFonts w:asciiTheme="minorBidi" w:hAnsiTheme="minorBidi" w:hint="cs"/>
          <w:b/>
          <w:bCs/>
          <w:sz w:val="16"/>
          <w:szCs w:val="16"/>
          <w:rtl/>
        </w:rPr>
        <w:t>(פ' ר' אליעזר האורג)</w:t>
      </w:r>
      <w:r w:rsidR="00E127D8">
        <w:rPr>
          <w:rFonts w:asciiTheme="minorBidi" w:hAnsiTheme="minorBidi" w:hint="cs"/>
          <w:b/>
          <w:bCs/>
          <w:rtl/>
        </w:rPr>
        <w:t xml:space="preserve"> </w:t>
      </w:r>
      <w:r w:rsidRPr="005275DF">
        <w:rPr>
          <w:rFonts w:asciiTheme="minorBidi" w:hAnsiTheme="minorBidi"/>
          <w:b/>
          <w:bCs/>
          <w:rtl/>
        </w:rPr>
        <w:t xml:space="preserve">קו ע"ב: </w:t>
      </w:r>
      <w:r w:rsidRPr="005275DF">
        <w:rPr>
          <w:rFonts w:asciiTheme="minorBidi" w:hAnsiTheme="minorBidi"/>
          <w:rtl/>
        </w:rPr>
        <w:t xml:space="preserve">תנו רבנן: הצד צבי סומא וישן - חייב, חיגר וזקן וחולה - פטור. </w:t>
      </w:r>
      <w:r w:rsidRPr="005275DF">
        <w:rPr>
          <w:rFonts w:asciiTheme="minorBidi" w:hAnsiTheme="minorBidi"/>
          <w:u w:val="single"/>
          <w:rtl/>
        </w:rPr>
        <w:t>אמר ליה אביי לרב יוסף</w:t>
      </w:r>
      <w:r w:rsidRPr="005275DF">
        <w:rPr>
          <w:rFonts w:asciiTheme="minorBidi" w:hAnsiTheme="minorBidi"/>
          <w:rtl/>
        </w:rPr>
        <w:t>: מאי שנא הני ומאי שנא הני? הני - עבידי לרבויי</w:t>
      </w:r>
      <w:r w:rsidRPr="005275DF">
        <w:rPr>
          <w:rStyle w:val="a9"/>
          <w:rFonts w:asciiTheme="minorBidi" w:hAnsiTheme="minorBidi"/>
          <w:rtl/>
        </w:rPr>
        <w:footnoteReference w:id="2436"/>
      </w:r>
      <w:r w:rsidRPr="005275DF">
        <w:rPr>
          <w:rFonts w:asciiTheme="minorBidi" w:hAnsiTheme="minorBidi"/>
          <w:rtl/>
        </w:rPr>
        <w:t xml:space="preserve">, הני - לא עבידי לרבויי. והתניא: חולה - חייב! </w:t>
      </w:r>
      <w:r w:rsidRPr="005275DF">
        <w:rPr>
          <w:rFonts w:asciiTheme="minorBidi" w:hAnsiTheme="minorBidi"/>
          <w:u w:val="single"/>
          <w:rtl/>
        </w:rPr>
        <w:t>אמר רב ששת</w:t>
      </w:r>
      <w:r w:rsidRPr="005275DF">
        <w:rPr>
          <w:rFonts w:asciiTheme="minorBidi" w:hAnsiTheme="minorBidi"/>
          <w:rtl/>
        </w:rPr>
        <w:t>: לא קשיא, הא - בחולה מחמת אישתא</w:t>
      </w:r>
      <w:r w:rsidR="006F1396" w:rsidRPr="005275DF">
        <w:rPr>
          <w:rStyle w:val="a9"/>
          <w:rFonts w:asciiTheme="minorBidi" w:hAnsiTheme="minorBidi"/>
          <w:rtl/>
        </w:rPr>
        <w:footnoteReference w:id="2437"/>
      </w:r>
      <w:r w:rsidRPr="005275DF">
        <w:rPr>
          <w:rFonts w:asciiTheme="minorBidi" w:hAnsiTheme="minorBidi"/>
          <w:rtl/>
        </w:rPr>
        <w:t>, הא - בחולה מחמת אובצנא</w:t>
      </w:r>
      <w:r w:rsidRPr="005275DF">
        <w:rPr>
          <w:rStyle w:val="a9"/>
          <w:rFonts w:asciiTheme="minorBidi" w:hAnsiTheme="minorBidi"/>
          <w:rtl/>
        </w:rPr>
        <w:footnoteReference w:id="2438"/>
      </w:r>
      <w:r w:rsidRPr="005275DF">
        <w:rPr>
          <w:rFonts w:asciiTheme="minorBidi" w:hAnsiTheme="minorBidi"/>
          <w:rtl/>
        </w:rPr>
        <w:t>.</w:t>
      </w:r>
      <w:r w:rsidR="00E127D8">
        <w:rPr>
          <w:rFonts w:asciiTheme="minorBidi" w:hAnsiTheme="minorBidi" w:hint="cs"/>
          <w:rtl/>
        </w:rPr>
        <w:t xml:space="preserve"> </w:t>
      </w:r>
    </w:p>
    <w:p w14:paraId="3189FF48" w14:textId="6A241CFE" w:rsidR="00B32C2E" w:rsidRPr="005811F4" w:rsidRDefault="005811F4" w:rsidP="00434A6A">
      <w:pPr>
        <w:rPr>
          <w:rFonts w:asciiTheme="minorBidi" w:hAnsiTheme="minorBidi"/>
          <w:u w:val="single"/>
          <w:rtl/>
        </w:rPr>
      </w:pPr>
      <w:r w:rsidRPr="005811F4">
        <w:rPr>
          <w:rFonts w:asciiTheme="minorBidi" w:hAnsiTheme="minorBidi"/>
          <w:u w:val="single"/>
          <w:rtl/>
        </w:rPr>
        <w:t>הצד צבי ישן/סומא</w:t>
      </w:r>
      <w:r w:rsidRPr="005811F4">
        <w:rPr>
          <w:rFonts w:asciiTheme="minorBidi" w:hAnsiTheme="minorBidi" w:hint="cs"/>
          <w:u w:val="single"/>
          <w:rtl/>
        </w:rPr>
        <w:t>/</w:t>
      </w:r>
      <w:r w:rsidRPr="005811F4">
        <w:rPr>
          <w:rFonts w:asciiTheme="minorBidi" w:hAnsiTheme="minorBidi"/>
          <w:u w:val="single"/>
          <w:rtl/>
        </w:rPr>
        <w:t>חיגר/חולה/זקן</w:t>
      </w:r>
      <w:r w:rsidRPr="005811F4">
        <w:rPr>
          <w:rFonts w:asciiTheme="minorBidi" w:hAnsiTheme="minorBidi" w:hint="cs"/>
          <w:u w:val="single"/>
          <w:rtl/>
        </w:rPr>
        <w:t>:</w:t>
      </w:r>
    </w:p>
    <w:p w14:paraId="085F49B6" w14:textId="61B7F3DF" w:rsidR="00DC101A" w:rsidRDefault="00DC101A" w:rsidP="00434A6A">
      <w:pPr>
        <w:pStyle w:val="aa"/>
        <w:numPr>
          <w:ilvl w:val="0"/>
          <w:numId w:val="30"/>
        </w:numPr>
      </w:pPr>
      <w:r>
        <w:rPr>
          <w:rFonts w:cs="Arial" w:hint="cs"/>
          <w:rtl/>
        </w:rPr>
        <w:t xml:space="preserve">טור- </w:t>
      </w:r>
      <w:r>
        <w:rPr>
          <w:rFonts w:cs="Arial"/>
          <w:rtl/>
        </w:rPr>
        <w:t xml:space="preserve">צד צבי ישן סומא </w:t>
      </w:r>
      <w:r>
        <w:rPr>
          <w:rFonts w:cs="Arial" w:hint="cs"/>
          <w:rtl/>
        </w:rPr>
        <w:t xml:space="preserve">- </w:t>
      </w:r>
      <w:r>
        <w:rPr>
          <w:rFonts w:cs="Arial"/>
          <w:rtl/>
        </w:rPr>
        <w:t>חייב</w:t>
      </w:r>
      <w:r>
        <w:rPr>
          <w:rFonts w:cs="Arial" w:hint="cs"/>
          <w:rtl/>
        </w:rPr>
        <w:t>.</w:t>
      </w:r>
      <w:r>
        <w:rPr>
          <w:rFonts w:cs="Arial"/>
          <w:rtl/>
        </w:rPr>
        <w:t xml:space="preserve"> חגר חולה או זקן </w:t>
      </w:r>
      <w:r>
        <w:rPr>
          <w:rFonts w:cs="Arial" w:hint="cs"/>
          <w:rtl/>
        </w:rPr>
        <w:t xml:space="preserve">- </w:t>
      </w:r>
      <w:r>
        <w:rPr>
          <w:rFonts w:cs="Arial"/>
          <w:rtl/>
        </w:rPr>
        <w:t>פטור</w:t>
      </w:r>
      <w:r>
        <w:rPr>
          <w:rFonts w:cs="Arial" w:hint="cs"/>
          <w:rtl/>
        </w:rPr>
        <w:t>.</w:t>
      </w:r>
      <w:r w:rsidR="00D33545">
        <w:rPr>
          <w:rFonts w:hint="cs"/>
          <w:rtl/>
        </w:rPr>
        <w:t xml:space="preserve"> </w:t>
      </w:r>
      <w:r w:rsidR="00D33545" w:rsidRPr="00D33545">
        <w:rPr>
          <w:rFonts w:hint="cs"/>
          <w:color w:val="E36C0A" w:themeColor="accent6" w:themeShade="BF"/>
          <w:rtl/>
        </w:rPr>
        <w:t>(וכ"פ בשו"ע)</w:t>
      </w:r>
    </w:p>
    <w:p w14:paraId="390F487C" w14:textId="10A21E63" w:rsidR="00F056AA" w:rsidRDefault="00F056AA" w:rsidP="00434A6A">
      <w:pPr>
        <w:pStyle w:val="aa"/>
        <w:numPr>
          <w:ilvl w:val="0"/>
          <w:numId w:val="30"/>
        </w:numPr>
      </w:pPr>
      <w:r>
        <w:rPr>
          <w:rFonts w:cs="Arial" w:hint="cs"/>
          <w:rtl/>
        </w:rPr>
        <w:t xml:space="preserve">רמב"ם </w:t>
      </w:r>
      <w:r>
        <w:rPr>
          <w:rFonts w:cs="Arial" w:hint="cs"/>
          <w:sz w:val="16"/>
          <w:szCs w:val="16"/>
          <w:rtl/>
        </w:rPr>
        <w:t>(פ"י הכ"ד)</w:t>
      </w:r>
      <w:r>
        <w:rPr>
          <w:rFonts w:cs="Arial" w:hint="cs"/>
          <w:rtl/>
        </w:rPr>
        <w:t xml:space="preserve">- </w:t>
      </w:r>
      <w:r w:rsidRPr="00F056AA">
        <w:rPr>
          <w:rFonts w:cs="Arial"/>
          <w:rtl/>
        </w:rPr>
        <w:t xml:space="preserve">הצד צבי זקן או חיגר או חולה או קטן </w:t>
      </w:r>
      <w:r>
        <w:rPr>
          <w:rFonts w:cs="Arial" w:hint="cs"/>
          <w:rtl/>
        </w:rPr>
        <w:t xml:space="preserve">- </w:t>
      </w:r>
      <w:r w:rsidRPr="00F056AA">
        <w:rPr>
          <w:rFonts w:cs="Arial"/>
          <w:rtl/>
        </w:rPr>
        <w:t>פטור</w:t>
      </w:r>
      <w:r>
        <w:rPr>
          <w:rFonts w:hint="cs"/>
          <w:rtl/>
        </w:rPr>
        <w:t>.</w:t>
      </w:r>
    </w:p>
    <w:p w14:paraId="367485D8" w14:textId="4772719F" w:rsidR="00230BB9" w:rsidRDefault="00230BB9" w:rsidP="00434A6A">
      <w:r w:rsidRPr="00230BB9">
        <w:rPr>
          <w:rFonts w:hint="cs"/>
          <w:u w:val="single"/>
          <w:rtl/>
        </w:rPr>
        <w:t>צידה ע"י כלב:</w:t>
      </w:r>
      <w:r>
        <w:rPr>
          <w:rFonts w:hint="cs"/>
          <w:rtl/>
        </w:rPr>
        <w:t xml:space="preserve"> </w:t>
      </w:r>
      <w:r w:rsidRPr="00230BB9">
        <w:rPr>
          <w:rFonts w:hint="cs"/>
          <w:sz w:val="16"/>
          <w:szCs w:val="16"/>
          <w:rtl/>
        </w:rPr>
        <w:t>(דרכ"מ אות ב)</w:t>
      </w:r>
    </w:p>
    <w:p w14:paraId="4B58843E" w14:textId="51B18E7F" w:rsidR="00230BB9" w:rsidRDefault="00230BB9" w:rsidP="00434A6A">
      <w:pPr>
        <w:pStyle w:val="aa"/>
        <w:numPr>
          <w:ilvl w:val="0"/>
          <w:numId w:val="30"/>
        </w:numPr>
      </w:pPr>
      <w:r w:rsidRPr="00351DFA">
        <w:rPr>
          <w:rFonts w:cs="Arial"/>
          <w:rtl/>
        </w:rPr>
        <w:t xml:space="preserve">כל בו </w:t>
      </w:r>
      <w:r w:rsidRPr="00230BB9">
        <w:rPr>
          <w:rFonts w:cs="Arial"/>
          <w:sz w:val="16"/>
          <w:szCs w:val="16"/>
          <w:rtl/>
        </w:rPr>
        <w:t>(סי' לא כז ב)</w:t>
      </w:r>
      <w:r>
        <w:rPr>
          <w:rFonts w:cs="Arial" w:hint="cs"/>
          <w:rtl/>
        </w:rPr>
        <w:t>-</w:t>
      </w:r>
      <w:r w:rsidRPr="00351DFA">
        <w:rPr>
          <w:rFonts w:cs="Arial"/>
          <w:rtl/>
        </w:rPr>
        <w:t xml:space="preserve"> </w:t>
      </w:r>
      <w:r w:rsidRPr="00230BB9">
        <w:rPr>
          <w:rFonts w:cs="Arial"/>
          <w:rtl/>
        </w:rPr>
        <w:t>המשלח כלבים לרדוף אחרי הצידה, ורדף כדי שיגיע הכלב לתפשה</w:t>
      </w:r>
      <w:r w:rsidR="005811F4">
        <w:rPr>
          <w:rFonts w:cs="Arial" w:hint="cs"/>
          <w:rtl/>
        </w:rPr>
        <w:t xml:space="preserve"> -</w:t>
      </w:r>
      <w:r w:rsidRPr="00230BB9">
        <w:rPr>
          <w:rFonts w:cs="Arial"/>
          <w:rtl/>
        </w:rPr>
        <w:t xml:space="preserve"> חייב</w:t>
      </w:r>
      <w:r w:rsidR="005811F4">
        <w:rPr>
          <w:rStyle w:val="a9"/>
          <w:rFonts w:cs="Arial"/>
          <w:rtl/>
        </w:rPr>
        <w:footnoteReference w:id="2439"/>
      </w:r>
      <w:r>
        <w:rPr>
          <w:rFonts w:cs="Arial" w:hint="cs"/>
          <w:rtl/>
        </w:rPr>
        <w:t>.</w:t>
      </w:r>
      <w:r w:rsidR="00272ECC">
        <w:rPr>
          <w:rFonts w:hint="cs"/>
          <w:rtl/>
        </w:rPr>
        <w:t xml:space="preserve"> </w:t>
      </w:r>
    </w:p>
    <w:p w14:paraId="3DBB566C" w14:textId="05301037" w:rsidR="0037795A" w:rsidRPr="0037795A" w:rsidRDefault="0037795A" w:rsidP="00434A6A">
      <w:pPr>
        <w:ind w:left="360"/>
        <w:rPr>
          <w:u w:val="dotted"/>
        </w:rPr>
      </w:pPr>
      <w:r w:rsidRPr="0037795A">
        <w:rPr>
          <w:rFonts w:hint="cs"/>
          <w:u w:val="dotted"/>
          <w:rtl/>
        </w:rPr>
        <w:t>האם מותר ביום חול לצוד ע"י כלבים לשם שחוק:</w:t>
      </w:r>
      <w:r w:rsidRPr="0037795A">
        <w:rPr>
          <w:rFonts w:hint="cs"/>
          <w:sz w:val="16"/>
          <w:szCs w:val="16"/>
          <w:rtl/>
        </w:rPr>
        <w:t xml:space="preserve"> </w:t>
      </w:r>
      <w:r w:rsidRPr="00230BB9">
        <w:rPr>
          <w:rFonts w:hint="cs"/>
          <w:sz w:val="16"/>
          <w:szCs w:val="16"/>
          <w:rtl/>
        </w:rPr>
        <w:t>(דרכ"מ אות ב)</w:t>
      </w:r>
    </w:p>
    <w:p w14:paraId="630E7E21" w14:textId="5C65EF42" w:rsidR="00230BB9" w:rsidRDefault="00230BB9" w:rsidP="00434A6A">
      <w:pPr>
        <w:pStyle w:val="aa"/>
        <w:numPr>
          <w:ilvl w:val="0"/>
          <w:numId w:val="30"/>
        </w:numPr>
      </w:pPr>
      <w:r w:rsidRPr="00351DFA">
        <w:rPr>
          <w:rFonts w:cs="Arial"/>
          <w:rtl/>
        </w:rPr>
        <w:t>או</w:t>
      </w:r>
      <w:r w:rsidR="0037795A">
        <w:rPr>
          <w:rFonts w:cs="Arial" w:hint="cs"/>
          <w:rtl/>
        </w:rPr>
        <w:t>"ז</w:t>
      </w:r>
      <w:r w:rsidRPr="00351DFA">
        <w:rPr>
          <w:rFonts w:cs="Arial"/>
          <w:rtl/>
        </w:rPr>
        <w:t xml:space="preserve"> </w:t>
      </w:r>
      <w:r w:rsidRPr="0037795A">
        <w:rPr>
          <w:rFonts w:cs="Arial"/>
          <w:sz w:val="16"/>
          <w:szCs w:val="16"/>
          <w:rtl/>
        </w:rPr>
        <w:t>(הלכות שבת סי' פג אות יז)</w:t>
      </w:r>
      <w:r w:rsidR="0037795A">
        <w:rPr>
          <w:rFonts w:cs="Arial" w:hint="cs"/>
          <w:rtl/>
        </w:rPr>
        <w:t>-</w:t>
      </w:r>
      <w:r w:rsidRPr="00351DFA">
        <w:rPr>
          <w:rFonts w:cs="Arial"/>
          <w:rtl/>
        </w:rPr>
        <w:t xml:space="preserve"> </w:t>
      </w:r>
      <w:r w:rsidR="0037795A" w:rsidRPr="0037795A">
        <w:rPr>
          <w:rFonts w:cs="Arial"/>
          <w:rtl/>
        </w:rPr>
        <w:t>אומר אני המחבר שכל מי שצד חיות בכלבים כעין שהעכו"ם עושין שלא יראה בשמחת לויתן</w:t>
      </w:r>
      <w:r w:rsidR="0037795A">
        <w:rPr>
          <w:rFonts w:cs="Arial" w:hint="cs"/>
          <w:rtl/>
        </w:rPr>
        <w:t xml:space="preserve">, </w:t>
      </w:r>
      <w:r w:rsidR="0037795A" w:rsidRPr="0037795A">
        <w:rPr>
          <w:rFonts w:cs="Arial"/>
          <w:rtl/>
        </w:rPr>
        <w:t xml:space="preserve">דאמרי' פ"ק דע"ז </w:t>
      </w:r>
      <w:r w:rsidR="0037795A">
        <w:rPr>
          <w:rFonts w:cs="Arial" w:hint="cs"/>
          <w:rtl/>
        </w:rPr>
        <w:t xml:space="preserve">(יח:) </w:t>
      </w:r>
      <w:r w:rsidR="0037795A" w:rsidRPr="0037795A">
        <w:rPr>
          <w:rFonts w:cs="Arial"/>
          <w:rtl/>
        </w:rPr>
        <w:t>ובדרך חטאים לא עמד בקנגיון</w:t>
      </w:r>
      <w:r w:rsidR="0037795A">
        <w:rPr>
          <w:rStyle w:val="a9"/>
          <w:rFonts w:cs="Arial"/>
          <w:rtl/>
        </w:rPr>
        <w:footnoteReference w:id="2440"/>
      </w:r>
      <w:r w:rsidR="0037795A" w:rsidRPr="0037795A">
        <w:rPr>
          <w:rFonts w:cs="Arial"/>
          <w:rtl/>
        </w:rPr>
        <w:t xml:space="preserve"> שלהם</w:t>
      </w:r>
      <w:r w:rsidR="0037795A">
        <w:rPr>
          <w:rFonts w:cs="Arial" w:hint="cs"/>
          <w:rtl/>
        </w:rPr>
        <w:t>...</w:t>
      </w:r>
      <w:r w:rsidR="0037795A" w:rsidRPr="0037795A">
        <w:rPr>
          <w:rFonts w:cs="Arial"/>
          <w:rtl/>
        </w:rPr>
        <w:t xml:space="preserve"> ואמרי' בויקרא רבה פרשת ויהי ביום השמיני </w:t>
      </w:r>
      <w:r w:rsidR="0037795A" w:rsidRPr="00351DFA">
        <w:rPr>
          <w:rFonts w:cs="Arial"/>
          <w:rtl/>
        </w:rPr>
        <w:t>(פרשה יג ג)</w:t>
      </w:r>
      <w:r w:rsidR="0037795A">
        <w:rPr>
          <w:rFonts w:cs="Arial" w:hint="cs"/>
          <w:rtl/>
        </w:rPr>
        <w:t xml:space="preserve"> </w:t>
      </w:r>
      <w:r w:rsidR="0037795A" w:rsidRPr="0037795A">
        <w:rPr>
          <w:rFonts w:cs="Arial"/>
          <w:rtl/>
        </w:rPr>
        <w:t>פרשת ר' פנחס בהמות ולויתן הם קניגין של צדיקים לעתיד לבוא</w:t>
      </w:r>
      <w:r w:rsidR="0037795A">
        <w:rPr>
          <w:rFonts w:cs="Arial" w:hint="cs"/>
          <w:rtl/>
        </w:rPr>
        <w:t>,</w:t>
      </w:r>
      <w:r w:rsidR="0037795A" w:rsidRPr="0037795A">
        <w:rPr>
          <w:rFonts w:cs="Arial"/>
          <w:rtl/>
        </w:rPr>
        <w:t xml:space="preserve"> כל מי שלא ראה קניגי של אומות העולם בעוה"ז זוכה לראותן לעתיד לבוא</w:t>
      </w:r>
      <w:r w:rsidRPr="00351DFA">
        <w:rPr>
          <w:rFonts w:cs="Arial"/>
          <w:rtl/>
        </w:rPr>
        <w:t>.</w:t>
      </w:r>
      <w:r w:rsidR="00272ECC" w:rsidRPr="00272ECC">
        <w:rPr>
          <w:rFonts w:hint="cs"/>
          <w:color w:val="00B0F0"/>
          <w:rtl/>
        </w:rPr>
        <w:t xml:space="preserve"> (וכ"כ הרמ"א)</w:t>
      </w:r>
    </w:p>
    <w:p w14:paraId="67968D2F" w14:textId="77777777" w:rsidR="005022B5" w:rsidRPr="005275DF" w:rsidRDefault="005022B5" w:rsidP="00434A6A">
      <w:pPr>
        <w:rPr>
          <w:rFonts w:asciiTheme="minorBidi" w:hAnsiTheme="minorBidi"/>
          <w:rtl/>
        </w:rPr>
      </w:pPr>
      <w:r w:rsidRPr="005275DF">
        <w:rPr>
          <w:rFonts w:asciiTheme="minorBidi" w:hAnsiTheme="minorBidi"/>
          <w:b/>
          <w:bCs/>
          <w:sz w:val="32"/>
          <w:szCs w:val="28"/>
          <w:u w:val="single"/>
          <w:rtl/>
        </w:rPr>
        <w:t xml:space="preserve">שו"ע: </w:t>
      </w:r>
    </w:p>
    <w:p w14:paraId="15B31F57" w14:textId="6E9459F1" w:rsidR="005022B5" w:rsidRPr="005275DF" w:rsidRDefault="005022B5" w:rsidP="00434A6A">
      <w:pPr>
        <w:rPr>
          <w:rFonts w:asciiTheme="minorBidi" w:hAnsiTheme="minorBidi"/>
          <w:rtl/>
        </w:rPr>
      </w:pPr>
      <w:r w:rsidRPr="005275DF">
        <w:rPr>
          <w:rFonts w:asciiTheme="minorBidi" w:hAnsiTheme="minorBidi"/>
          <w:rtl/>
        </w:rPr>
        <w:t>צד צבי ישן או סומא, חייב</w:t>
      </w:r>
      <w:r w:rsidR="004E5403">
        <w:rPr>
          <w:rFonts w:asciiTheme="minorBidi" w:hAnsiTheme="minorBidi" w:hint="cs"/>
          <w:rtl/>
        </w:rPr>
        <w:t>.</w:t>
      </w:r>
      <w:r w:rsidRPr="005275DF">
        <w:rPr>
          <w:rFonts w:asciiTheme="minorBidi" w:hAnsiTheme="minorBidi"/>
          <w:rtl/>
        </w:rPr>
        <w:t xml:space="preserve"> חיגר או חולה</w:t>
      </w:r>
      <w:r w:rsidR="00664312" w:rsidRPr="005275DF">
        <w:rPr>
          <w:rStyle w:val="a9"/>
          <w:rFonts w:asciiTheme="minorBidi" w:hAnsiTheme="minorBidi"/>
          <w:rtl/>
        </w:rPr>
        <w:footnoteReference w:id="2441"/>
      </w:r>
      <w:r w:rsidRPr="005275DF">
        <w:rPr>
          <w:rFonts w:asciiTheme="minorBidi" w:hAnsiTheme="minorBidi"/>
          <w:rtl/>
        </w:rPr>
        <w:t xml:space="preserve"> או זקן, פטור. </w:t>
      </w:r>
      <w:r w:rsidRPr="005275DF">
        <w:rPr>
          <w:rFonts w:asciiTheme="minorBidi" w:hAnsiTheme="minorBidi"/>
          <w:sz w:val="18"/>
          <w:szCs w:val="18"/>
          <w:rtl/>
        </w:rPr>
        <w:t>הגה: המשסה כל</w:t>
      </w:r>
      <w:r w:rsidR="00087D21" w:rsidRPr="005275DF">
        <w:rPr>
          <w:rFonts w:asciiTheme="minorBidi" w:hAnsiTheme="minorBidi"/>
          <w:sz w:val="18"/>
          <w:szCs w:val="18"/>
          <w:rtl/>
        </w:rPr>
        <w:t>ב אחר חיה בשבת, הוי צידה</w:t>
      </w:r>
      <w:r w:rsidR="00A95A2B">
        <w:rPr>
          <w:rStyle w:val="a9"/>
          <w:rFonts w:asciiTheme="minorBidi" w:hAnsiTheme="minorBidi"/>
          <w:sz w:val="18"/>
          <w:szCs w:val="18"/>
          <w:rtl/>
        </w:rPr>
        <w:footnoteReference w:id="2442"/>
      </w:r>
      <w:r w:rsidR="00087D21" w:rsidRPr="005275DF">
        <w:rPr>
          <w:rFonts w:asciiTheme="minorBidi" w:hAnsiTheme="minorBidi"/>
          <w:sz w:val="18"/>
          <w:szCs w:val="18"/>
          <w:rtl/>
        </w:rPr>
        <w:t xml:space="preserve"> (</w:t>
      </w:r>
      <w:r w:rsidR="00196274">
        <w:rPr>
          <w:rFonts w:asciiTheme="minorBidi" w:hAnsiTheme="minorBidi" w:hint="cs"/>
          <w:sz w:val="18"/>
          <w:szCs w:val="18"/>
          <w:rtl/>
        </w:rPr>
        <w:t>ד"ע ב</w:t>
      </w:r>
      <w:r w:rsidR="00087D21" w:rsidRPr="005275DF">
        <w:rPr>
          <w:rFonts w:asciiTheme="minorBidi" w:hAnsiTheme="minorBidi"/>
          <w:sz w:val="18"/>
          <w:szCs w:val="18"/>
          <w:rtl/>
        </w:rPr>
        <w:t>כל</w:t>
      </w:r>
      <w:r w:rsidR="00230BB9">
        <w:rPr>
          <w:rFonts w:asciiTheme="minorBidi" w:hAnsiTheme="minorBidi" w:hint="cs"/>
          <w:sz w:val="18"/>
          <w:szCs w:val="18"/>
          <w:rtl/>
        </w:rPr>
        <w:t xml:space="preserve"> </w:t>
      </w:r>
      <w:r w:rsidR="00087D21" w:rsidRPr="005275DF">
        <w:rPr>
          <w:rFonts w:asciiTheme="minorBidi" w:hAnsiTheme="minorBidi"/>
          <w:sz w:val="18"/>
          <w:szCs w:val="18"/>
          <w:rtl/>
        </w:rPr>
        <w:t>בו)</w:t>
      </w:r>
      <w:r w:rsidR="00230BB9">
        <w:rPr>
          <w:rFonts w:asciiTheme="minorBidi" w:hAnsiTheme="minorBidi" w:hint="cs"/>
          <w:sz w:val="18"/>
          <w:szCs w:val="18"/>
          <w:rtl/>
        </w:rPr>
        <w:t>.</w:t>
      </w:r>
      <w:r w:rsidRPr="005275DF">
        <w:rPr>
          <w:rFonts w:asciiTheme="minorBidi" w:hAnsiTheme="minorBidi"/>
          <w:sz w:val="18"/>
          <w:szCs w:val="18"/>
          <w:rtl/>
        </w:rPr>
        <w:t xml:space="preserve"> וי"א אף בחול אסור לצוד בכלבי</w:t>
      </w:r>
      <w:r w:rsidR="00087D21" w:rsidRPr="005275DF">
        <w:rPr>
          <w:rFonts w:asciiTheme="minorBidi" w:hAnsiTheme="minorBidi"/>
          <w:sz w:val="18"/>
          <w:szCs w:val="18"/>
          <w:rtl/>
        </w:rPr>
        <w:t xml:space="preserve">ם, משום מושב לצים </w:t>
      </w:r>
      <w:r w:rsidRPr="005275DF">
        <w:rPr>
          <w:rFonts w:asciiTheme="minorBidi" w:hAnsiTheme="minorBidi"/>
          <w:sz w:val="18"/>
          <w:szCs w:val="18"/>
          <w:rtl/>
        </w:rPr>
        <w:t>(א</w:t>
      </w:r>
      <w:r w:rsidR="00725463" w:rsidRPr="005275DF">
        <w:rPr>
          <w:rFonts w:asciiTheme="minorBidi" w:hAnsiTheme="minorBidi"/>
          <w:sz w:val="18"/>
          <w:szCs w:val="18"/>
          <w:rtl/>
        </w:rPr>
        <w:t>ו</w:t>
      </w:r>
      <w:r w:rsidRPr="005275DF">
        <w:rPr>
          <w:rFonts w:asciiTheme="minorBidi" w:hAnsiTheme="minorBidi"/>
          <w:sz w:val="18"/>
          <w:szCs w:val="18"/>
          <w:rtl/>
        </w:rPr>
        <w:t xml:space="preserve">"ז). </w:t>
      </w:r>
    </w:p>
    <w:p w14:paraId="2F5CA786" w14:textId="77777777" w:rsidR="001F354E" w:rsidRPr="005275DF" w:rsidRDefault="001F354E" w:rsidP="00434A6A">
      <w:pPr>
        <w:rPr>
          <w:rFonts w:asciiTheme="minorBidi" w:hAnsiTheme="minorBidi"/>
          <w:rtl/>
        </w:rPr>
      </w:pPr>
    </w:p>
    <w:p w14:paraId="10939507" w14:textId="166D8412" w:rsidR="005022B5" w:rsidRPr="005275DF" w:rsidRDefault="005022B5" w:rsidP="00434A6A">
      <w:pPr>
        <w:pStyle w:val="2"/>
        <w:rPr>
          <w:rFonts w:asciiTheme="minorBidi" w:hAnsiTheme="minorBidi" w:cstheme="minorBidi"/>
          <w:rtl/>
        </w:rPr>
      </w:pPr>
      <w:r w:rsidRPr="005275DF">
        <w:rPr>
          <w:rFonts w:asciiTheme="minorBidi" w:hAnsiTheme="minorBidi" w:cstheme="minorBidi"/>
          <w:rtl/>
        </w:rPr>
        <w:t>סעיף ג</w:t>
      </w:r>
      <w:r w:rsidR="00CD5E6C" w:rsidRPr="005275DF">
        <w:rPr>
          <w:rFonts w:asciiTheme="minorBidi" w:hAnsiTheme="minorBidi" w:cstheme="minorBidi"/>
          <w:rtl/>
        </w:rPr>
        <w:t>:</w:t>
      </w:r>
      <w:r w:rsidR="001A08AF" w:rsidRPr="005275DF">
        <w:rPr>
          <w:rFonts w:asciiTheme="minorBidi" w:hAnsiTheme="minorBidi" w:cstheme="minorBidi"/>
          <w:rtl/>
        </w:rPr>
        <w:t xml:space="preserve"> צידת חי ש</w:t>
      </w:r>
      <w:r w:rsidR="00CD5E6C" w:rsidRPr="005275DF">
        <w:rPr>
          <w:rFonts w:asciiTheme="minorBidi" w:hAnsiTheme="minorBidi" w:cstheme="minorBidi"/>
          <w:rtl/>
        </w:rPr>
        <w:t>אין</w:t>
      </w:r>
      <w:r w:rsidR="001A08AF" w:rsidRPr="005275DF">
        <w:rPr>
          <w:rFonts w:asciiTheme="minorBidi" w:hAnsiTheme="minorBidi" w:cstheme="minorBidi"/>
          <w:rtl/>
        </w:rPr>
        <w:t xml:space="preserve"> במינו ניצוד.</w:t>
      </w:r>
    </w:p>
    <w:p w14:paraId="08C8DCC0" w14:textId="0BCC5F39" w:rsidR="00E25ADF" w:rsidRPr="005275DF" w:rsidRDefault="00E25ADF" w:rsidP="00434A6A">
      <w:pPr>
        <w:rPr>
          <w:rFonts w:asciiTheme="minorBidi" w:hAnsiTheme="minorBidi"/>
          <w:sz w:val="16"/>
          <w:szCs w:val="16"/>
          <w:rtl/>
        </w:rPr>
      </w:pPr>
      <w:r w:rsidRPr="005275DF">
        <w:rPr>
          <w:rFonts w:asciiTheme="minorBidi" w:hAnsiTheme="minorBidi"/>
          <w:b/>
          <w:bCs/>
          <w:rtl/>
        </w:rPr>
        <w:t xml:space="preserve">שבת </w:t>
      </w:r>
      <w:r w:rsidR="00D33545">
        <w:rPr>
          <w:rFonts w:asciiTheme="minorBidi" w:hAnsiTheme="minorBidi" w:hint="cs"/>
          <w:b/>
          <w:bCs/>
          <w:sz w:val="16"/>
          <w:szCs w:val="16"/>
          <w:rtl/>
        </w:rPr>
        <w:t>(פ' ר' אליעזר האורג)</w:t>
      </w:r>
      <w:r w:rsidR="00D33545">
        <w:rPr>
          <w:rFonts w:asciiTheme="minorBidi" w:hAnsiTheme="minorBidi" w:hint="cs"/>
          <w:b/>
          <w:bCs/>
          <w:rtl/>
        </w:rPr>
        <w:t xml:space="preserve"> </w:t>
      </w:r>
      <w:r w:rsidRPr="005275DF">
        <w:rPr>
          <w:rFonts w:asciiTheme="minorBidi" w:hAnsiTheme="minorBidi"/>
          <w:b/>
          <w:bCs/>
          <w:rtl/>
        </w:rPr>
        <w:t xml:space="preserve">קו ע"ב: </w:t>
      </w:r>
      <w:r w:rsidRPr="005275DF">
        <w:rPr>
          <w:rFonts w:asciiTheme="minorBidi" w:hAnsiTheme="minorBidi"/>
          <w:rtl/>
        </w:rPr>
        <w:t xml:space="preserve">תנו רבנן: הצד חגבין גזין צרעין ויתושין בשבת – חייב, </w:t>
      </w:r>
      <w:r w:rsidRPr="005275DF">
        <w:rPr>
          <w:rFonts w:asciiTheme="minorBidi" w:hAnsiTheme="minorBidi"/>
          <w:u w:val="single"/>
          <w:rtl/>
        </w:rPr>
        <w:t>דברי רבי מאיר</w:t>
      </w:r>
      <w:r w:rsidRPr="005275DF">
        <w:rPr>
          <w:rFonts w:asciiTheme="minorBidi" w:hAnsiTheme="minorBidi"/>
          <w:rtl/>
        </w:rPr>
        <w:t xml:space="preserve">. </w:t>
      </w:r>
      <w:r w:rsidRPr="005275DF">
        <w:rPr>
          <w:rFonts w:asciiTheme="minorBidi" w:hAnsiTheme="minorBidi"/>
          <w:u w:val="single"/>
          <w:rtl/>
        </w:rPr>
        <w:t>וחכמים אומרים</w:t>
      </w:r>
      <w:r w:rsidRPr="005275DF">
        <w:rPr>
          <w:rFonts w:asciiTheme="minorBidi" w:hAnsiTheme="minorBidi"/>
          <w:rtl/>
        </w:rPr>
        <w:t xml:space="preserve">: כל שבמינו ניצוד - חייב, וכל שאין במינו ניצוד - פטור. </w:t>
      </w:r>
      <w:r w:rsidRPr="005275DF">
        <w:rPr>
          <w:rFonts w:asciiTheme="minorBidi" w:hAnsiTheme="minorBidi"/>
          <w:sz w:val="16"/>
          <w:szCs w:val="16"/>
          <w:rtl/>
        </w:rPr>
        <w:t>(</w:t>
      </w:r>
      <w:r w:rsidR="00D33545" w:rsidRPr="00D33545">
        <w:rPr>
          <w:rFonts w:asciiTheme="minorBidi" w:hAnsiTheme="minorBidi" w:cs="Arial"/>
          <w:sz w:val="16"/>
          <w:szCs w:val="16"/>
          <w:rtl/>
        </w:rPr>
        <w:t>ופסק</w:t>
      </w:r>
      <w:r w:rsidR="00D33545">
        <w:rPr>
          <w:rFonts w:asciiTheme="minorBidi" w:hAnsiTheme="minorBidi" w:cs="Arial" w:hint="cs"/>
          <w:sz w:val="16"/>
          <w:szCs w:val="16"/>
          <w:rtl/>
        </w:rPr>
        <w:t xml:space="preserve"> {הטור}</w:t>
      </w:r>
      <w:r w:rsidR="00D33545" w:rsidRPr="00D33545">
        <w:rPr>
          <w:rFonts w:asciiTheme="minorBidi" w:hAnsiTheme="minorBidi" w:cs="Arial"/>
          <w:sz w:val="16"/>
          <w:szCs w:val="16"/>
          <w:rtl/>
        </w:rPr>
        <w:t xml:space="preserve"> כחכמים</w:t>
      </w:r>
      <w:r w:rsidR="00D33545">
        <w:rPr>
          <w:rFonts w:asciiTheme="minorBidi" w:hAnsiTheme="minorBidi" w:cs="Arial" w:hint="cs"/>
          <w:sz w:val="16"/>
          <w:szCs w:val="16"/>
          <w:rtl/>
        </w:rPr>
        <w:t>,</w:t>
      </w:r>
      <w:r w:rsidR="00D33545" w:rsidRPr="00D33545">
        <w:rPr>
          <w:rFonts w:asciiTheme="minorBidi" w:hAnsiTheme="minorBidi" w:cs="Arial"/>
          <w:sz w:val="16"/>
          <w:szCs w:val="16"/>
          <w:rtl/>
        </w:rPr>
        <w:t xml:space="preserve"> וכן פסק הרמב"ם בפרק י' (הי"ט, כא, כד)</w:t>
      </w:r>
      <w:r w:rsidR="00D33545">
        <w:rPr>
          <w:rFonts w:asciiTheme="minorBidi" w:hAnsiTheme="minorBidi" w:hint="cs"/>
          <w:sz w:val="16"/>
          <w:szCs w:val="16"/>
          <w:rtl/>
        </w:rPr>
        <w:t>, ב"י</w:t>
      </w:r>
      <w:r w:rsidRPr="005275DF">
        <w:rPr>
          <w:rFonts w:asciiTheme="minorBidi" w:hAnsiTheme="minorBidi"/>
          <w:sz w:val="16"/>
          <w:szCs w:val="16"/>
          <w:rtl/>
        </w:rPr>
        <w:t>)</w:t>
      </w:r>
    </w:p>
    <w:p w14:paraId="5B56D25F" w14:textId="77777777" w:rsidR="00784A9F" w:rsidRPr="00E127D8" w:rsidRDefault="00784A9F" w:rsidP="00434A6A">
      <w:pPr>
        <w:rPr>
          <w:rFonts w:asciiTheme="minorBidi" w:hAnsiTheme="minorBidi"/>
          <w:u w:val="single"/>
          <w:rtl/>
        </w:rPr>
      </w:pPr>
      <w:r w:rsidRPr="00E127D8">
        <w:rPr>
          <w:rFonts w:asciiTheme="minorBidi" w:hAnsiTheme="minorBidi"/>
          <w:u w:val="single"/>
          <w:rtl/>
        </w:rPr>
        <w:t>צידת חי שאין במינו ניצוד</w:t>
      </w:r>
      <w:r w:rsidRPr="00E127D8">
        <w:rPr>
          <w:rFonts w:asciiTheme="minorBidi" w:hAnsiTheme="minorBidi" w:hint="cs"/>
          <w:u w:val="single"/>
          <w:rtl/>
        </w:rPr>
        <w:t>:</w:t>
      </w:r>
    </w:p>
    <w:p w14:paraId="2CD15CFB" w14:textId="3555E10E" w:rsidR="00784A9F" w:rsidRDefault="00784A9F" w:rsidP="00434A6A">
      <w:pPr>
        <w:pStyle w:val="aa"/>
        <w:numPr>
          <w:ilvl w:val="0"/>
          <w:numId w:val="30"/>
        </w:numPr>
      </w:pPr>
      <w:r>
        <w:rPr>
          <w:rFonts w:cs="Arial" w:hint="cs"/>
          <w:rtl/>
        </w:rPr>
        <w:t xml:space="preserve">טור- </w:t>
      </w:r>
      <w:r>
        <w:rPr>
          <w:rFonts w:cs="Arial"/>
          <w:rtl/>
        </w:rPr>
        <w:t xml:space="preserve">כל דבר שבמינו ניצוד </w:t>
      </w:r>
      <w:r>
        <w:rPr>
          <w:rFonts w:cs="Arial" w:hint="cs"/>
          <w:rtl/>
        </w:rPr>
        <w:t xml:space="preserve">- </w:t>
      </w:r>
      <w:r>
        <w:rPr>
          <w:rFonts w:cs="Arial"/>
          <w:rtl/>
        </w:rPr>
        <w:t>חייב</w:t>
      </w:r>
      <w:r>
        <w:rPr>
          <w:rFonts w:cs="Arial" w:hint="cs"/>
          <w:rtl/>
        </w:rPr>
        <w:t>.</w:t>
      </w:r>
      <w:r>
        <w:rPr>
          <w:rFonts w:cs="Arial"/>
          <w:rtl/>
        </w:rPr>
        <w:t xml:space="preserve"> אין במינו ניצוד </w:t>
      </w:r>
      <w:r>
        <w:rPr>
          <w:rFonts w:cs="Arial" w:hint="cs"/>
          <w:rtl/>
        </w:rPr>
        <w:t xml:space="preserve">- </w:t>
      </w:r>
      <w:r>
        <w:rPr>
          <w:rFonts w:cs="Arial"/>
          <w:rtl/>
        </w:rPr>
        <w:t>פטור אבל אסור</w:t>
      </w:r>
      <w:r>
        <w:rPr>
          <w:rFonts w:cs="Arial" w:hint="cs"/>
          <w:rtl/>
        </w:rPr>
        <w:t>.</w:t>
      </w:r>
      <w:r>
        <w:rPr>
          <w:rFonts w:cs="Arial"/>
          <w:rtl/>
        </w:rPr>
        <w:t xml:space="preserve"> הלכך זבובים אע</w:t>
      </w:r>
      <w:r>
        <w:rPr>
          <w:rFonts w:cs="Arial" w:hint="cs"/>
          <w:rtl/>
        </w:rPr>
        <w:t>"</w:t>
      </w:r>
      <w:r>
        <w:rPr>
          <w:rFonts w:cs="Arial"/>
          <w:rtl/>
        </w:rPr>
        <w:t xml:space="preserve">פ שאין במינן ניצוד </w:t>
      </w:r>
      <w:r>
        <w:rPr>
          <w:rFonts w:cs="Arial" w:hint="cs"/>
          <w:rtl/>
        </w:rPr>
        <w:t xml:space="preserve">- </w:t>
      </w:r>
      <w:r>
        <w:rPr>
          <w:rFonts w:cs="Arial"/>
          <w:rtl/>
        </w:rPr>
        <w:t>אסור לצודן</w:t>
      </w:r>
      <w:r>
        <w:rPr>
          <w:rFonts w:cs="Arial" w:hint="cs"/>
          <w:rtl/>
        </w:rPr>
        <w:t>.</w:t>
      </w:r>
      <w:r>
        <w:rPr>
          <w:rFonts w:cs="Arial"/>
          <w:rtl/>
        </w:rPr>
        <w:t xml:space="preserve"> </w:t>
      </w:r>
      <w:r w:rsidR="00714488" w:rsidRPr="00D33545">
        <w:rPr>
          <w:rFonts w:hint="cs"/>
          <w:color w:val="E36C0A" w:themeColor="accent6" w:themeShade="BF"/>
          <w:rtl/>
        </w:rPr>
        <w:t>(וכ"פ בשו"ע)</w:t>
      </w:r>
    </w:p>
    <w:p w14:paraId="1CC975DD" w14:textId="6B330996" w:rsidR="00465D9B" w:rsidRDefault="00465D9B" w:rsidP="00434A6A">
      <w:pPr>
        <w:rPr>
          <w:rFonts w:asciiTheme="minorBidi" w:hAnsiTheme="minorBidi"/>
          <w:rtl/>
        </w:rPr>
      </w:pPr>
      <w:r w:rsidRPr="005275DF">
        <w:rPr>
          <w:rFonts w:asciiTheme="minorBidi" w:hAnsiTheme="minorBidi"/>
          <w:b/>
          <w:bCs/>
          <w:rtl/>
        </w:rPr>
        <w:t xml:space="preserve">ביצה </w:t>
      </w:r>
      <w:r w:rsidR="00F63DC9">
        <w:rPr>
          <w:rFonts w:asciiTheme="minorBidi" w:hAnsiTheme="minorBidi" w:hint="cs"/>
          <w:b/>
          <w:bCs/>
          <w:sz w:val="16"/>
          <w:szCs w:val="16"/>
          <w:rtl/>
        </w:rPr>
        <w:t xml:space="preserve">(פ' משילין) </w:t>
      </w:r>
      <w:r w:rsidRPr="005275DF">
        <w:rPr>
          <w:rFonts w:asciiTheme="minorBidi" w:hAnsiTheme="minorBidi"/>
          <w:b/>
          <w:bCs/>
          <w:rtl/>
        </w:rPr>
        <w:t>לו ע"א</w:t>
      </w:r>
      <w:r w:rsidR="00894408">
        <w:rPr>
          <w:rStyle w:val="a9"/>
          <w:rFonts w:asciiTheme="minorBidi" w:hAnsiTheme="minorBidi"/>
          <w:b/>
          <w:bCs/>
          <w:rtl/>
        </w:rPr>
        <w:footnoteReference w:id="2443"/>
      </w:r>
      <w:r w:rsidRPr="005275DF">
        <w:rPr>
          <w:rFonts w:asciiTheme="minorBidi" w:hAnsiTheme="minorBidi"/>
          <w:b/>
          <w:bCs/>
          <w:rtl/>
        </w:rPr>
        <w:t xml:space="preserve">: </w:t>
      </w:r>
      <w:r w:rsidRPr="005275DF">
        <w:rPr>
          <w:rFonts w:asciiTheme="minorBidi" w:hAnsiTheme="minorBidi"/>
          <w:rtl/>
        </w:rPr>
        <w:t>פורסין מחצלת על גבי כורת דבורים בשבת, בחמה מפני החמה, ובגשמים מפני הגשמים, ובלבד שלא יתכוין לצוד!... במאי אוקימתא - כרבי יהודה דאית ליה מוקצה</w:t>
      </w:r>
      <w:r w:rsidR="00CD5E6C" w:rsidRPr="005275DF">
        <w:rPr>
          <w:rFonts w:asciiTheme="minorBidi" w:hAnsiTheme="minorBidi"/>
          <w:rtl/>
        </w:rPr>
        <w:t>,</w:t>
      </w:r>
      <w:r w:rsidRPr="005275DF">
        <w:rPr>
          <w:rFonts w:asciiTheme="minorBidi" w:hAnsiTheme="minorBidi"/>
          <w:rtl/>
        </w:rPr>
        <w:t xml:space="preserve"> אימא סיפא: ובלבד שלא יתכוין לצוד</w:t>
      </w:r>
      <w:r w:rsidR="00CD5E6C" w:rsidRPr="005275DF">
        <w:rPr>
          <w:rStyle w:val="a9"/>
          <w:rFonts w:asciiTheme="minorBidi" w:hAnsiTheme="minorBidi"/>
          <w:rtl/>
        </w:rPr>
        <w:footnoteReference w:id="2444"/>
      </w:r>
      <w:r w:rsidRPr="005275DF">
        <w:rPr>
          <w:rFonts w:asciiTheme="minorBidi" w:hAnsiTheme="minorBidi"/>
          <w:rtl/>
        </w:rPr>
        <w:t>, אתאן לרבי שמעון, דאמר דבר שאין מתכוין מותר! ותסברא דרבי שמעון? והא אביי ורבא דאמרי תרוייהו: מודה רבי שמעון בפסיק רישיה ולא ימות! לעולם כולה רבי יהודה היא, והכא במאי עסקינן - דאית ביה כוי</w:t>
      </w:r>
      <w:r w:rsidR="00CD5E6C" w:rsidRPr="005275DF">
        <w:rPr>
          <w:rStyle w:val="a9"/>
          <w:rFonts w:asciiTheme="minorBidi" w:hAnsiTheme="minorBidi"/>
          <w:rtl/>
        </w:rPr>
        <w:footnoteReference w:id="2445"/>
      </w:r>
      <w:r w:rsidRPr="005275DF">
        <w:rPr>
          <w:rFonts w:asciiTheme="minorBidi" w:hAnsiTheme="minorBidi"/>
          <w:rtl/>
        </w:rPr>
        <w:t xml:space="preserve"> ולא תימא לרבי יהודה ובלבד שלא יתכוין לצוד</w:t>
      </w:r>
      <w:r w:rsidR="005170C6">
        <w:rPr>
          <w:rFonts w:asciiTheme="minorBidi" w:hAnsiTheme="minorBidi" w:hint="cs"/>
          <w:rtl/>
        </w:rPr>
        <w:t>,</w:t>
      </w:r>
      <w:r w:rsidRPr="005275DF">
        <w:rPr>
          <w:rFonts w:asciiTheme="minorBidi" w:hAnsiTheme="minorBidi"/>
          <w:rtl/>
        </w:rPr>
        <w:t xml:space="preserve"> אלא אימא ובלבד שלא יעשנה מצודה. פשיטא</w:t>
      </w:r>
      <w:r w:rsidR="00CD5E6C" w:rsidRPr="005275DF">
        <w:rPr>
          <w:rStyle w:val="a9"/>
          <w:rFonts w:asciiTheme="minorBidi" w:hAnsiTheme="minorBidi"/>
          <w:rtl/>
        </w:rPr>
        <w:footnoteReference w:id="2446"/>
      </w:r>
      <w:r w:rsidRPr="005275DF">
        <w:rPr>
          <w:rFonts w:asciiTheme="minorBidi" w:hAnsiTheme="minorBidi"/>
          <w:rtl/>
        </w:rPr>
        <w:t>! מהו דתימא: במינו נצוד</w:t>
      </w:r>
      <w:r w:rsidR="00CD5E6C" w:rsidRPr="005275DF">
        <w:rPr>
          <w:rStyle w:val="a9"/>
          <w:rFonts w:asciiTheme="minorBidi" w:hAnsiTheme="minorBidi"/>
          <w:rtl/>
        </w:rPr>
        <w:footnoteReference w:id="2447"/>
      </w:r>
      <w:r w:rsidRPr="005275DF">
        <w:rPr>
          <w:rFonts w:asciiTheme="minorBidi" w:hAnsiTheme="minorBidi"/>
          <w:rtl/>
        </w:rPr>
        <w:t xml:space="preserve"> - אסור, שלא במינו נצוד - מותר, קא משמע לן. </w:t>
      </w:r>
    </w:p>
    <w:p w14:paraId="74914310" w14:textId="2F444D77" w:rsidR="00F63DC9" w:rsidRPr="00F63DC9" w:rsidRDefault="00F63DC9" w:rsidP="00434A6A">
      <w:pPr>
        <w:rPr>
          <w:u w:val="single"/>
        </w:rPr>
      </w:pPr>
      <w:r w:rsidRPr="00F63DC9">
        <w:rPr>
          <w:rFonts w:hint="cs"/>
          <w:u w:val="single"/>
          <w:rtl/>
        </w:rPr>
        <w:t>סגירת תיבה שיש בה זבובים:</w:t>
      </w:r>
    </w:p>
    <w:p w14:paraId="28914FF5" w14:textId="0A5FD539" w:rsidR="00F63DC9" w:rsidRPr="00F63DC9" w:rsidRDefault="00FD46AB" w:rsidP="00434A6A">
      <w:pPr>
        <w:pStyle w:val="aa"/>
        <w:numPr>
          <w:ilvl w:val="0"/>
          <w:numId w:val="30"/>
        </w:numPr>
      </w:pPr>
      <w:r>
        <w:rPr>
          <w:rFonts w:cs="Arial" w:hint="cs"/>
          <w:rtl/>
        </w:rPr>
        <w:t>ה"ר משה מאיבר"א</w:t>
      </w:r>
      <w:r w:rsidR="007D2C9A">
        <w:rPr>
          <w:rStyle w:val="a9"/>
          <w:rFonts w:cs="Arial"/>
          <w:rtl/>
        </w:rPr>
        <w:footnoteReference w:id="2448"/>
      </w:r>
      <w:r>
        <w:rPr>
          <w:rFonts w:cs="Arial" w:hint="cs"/>
          <w:rtl/>
        </w:rPr>
        <w:t xml:space="preserve"> </w:t>
      </w:r>
      <w:r>
        <w:rPr>
          <w:rFonts w:cs="Arial" w:hint="cs"/>
          <w:sz w:val="16"/>
          <w:szCs w:val="16"/>
          <w:rtl/>
        </w:rPr>
        <w:t xml:space="preserve">(בתוס' ביצה לו: ד"ה אלא) </w:t>
      </w:r>
      <w:r w:rsidR="00F332E8">
        <w:rPr>
          <w:rFonts w:cs="Arial"/>
          <w:rtl/>
        </w:rPr>
        <w:t>תרומ</w:t>
      </w:r>
      <w:r w:rsidR="007806E5">
        <w:rPr>
          <w:rFonts w:cs="Arial" w:hint="cs"/>
          <w:rtl/>
        </w:rPr>
        <w:t>ה</w:t>
      </w:r>
      <w:r w:rsidR="00894408">
        <w:rPr>
          <w:rFonts w:cs="Arial" w:hint="cs"/>
          <w:sz w:val="16"/>
          <w:szCs w:val="16"/>
          <w:rtl/>
        </w:rPr>
        <w:t xml:space="preserve"> (כ"כ הטור בשמו)</w:t>
      </w:r>
      <w:r w:rsidR="00894408">
        <w:rPr>
          <w:rFonts w:cs="Arial" w:hint="cs"/>
          <w:rtl/>
        </w:rPr>
        <w:t xml:space="preserve"> מרדכי</w:t>
      </w:r>
      <w:r w:rsidR="00894408">
        <w:rPr>
          <w:rStyle w:val="a9"/>
          <w:rFonts w:cs="Arial"/>
          <w:rtl/>
        </w:rPr>
        <w:footnoteReference w:id="2449"/>
      </w:r>
      <w:r w:rsidR="00894408">
        <w:rPr>
          <w:rFonts w:cs="Arial" w:hint="cs"/>
          <w:rtl/>
        </w:rPr>
        <w:t xml:space="preserve"> </w:t>
      </w:r>
      <w:r w:rsidR="00894408">
        <w:rPr>
          <w:rFonts w:cs="Arial" w:hint="cs"/>
          <w:sz w:val="16"/>
          <w:szCs w:val="16"/>
          <w:rtl/>
        </w:rPr>
        <w:t>(שבת סי' שיח)</w:t>
      </w:r>
      <w:r w:rsidR="007806E5">
        <w:rPr>
          <w:rFonts w:cs="Arial" w:hint="cs"/>
          <w:rtl/>
        </w:rPr>
        <w:t xml:space="preserve"> והה"מ </w:t>
      </w:r>
      <w:r w:rsidR="007806E5">
        <w:rPr>
          <w:rFonts w:cs="Arial" w:hint="cs"/>
          <w:sz w:val="16"/>
          <w:szCs w:val="16"/>
          <w:rtl/>
        </w:rPr>
        <w:t>(פכ"ה הכ"ה)</w:t>
      </w:r>
      <w:r w:rsidR="00F63DC9">
        <w:rPr>
          <w:rFonts w:cs="Arial" w:hint="cs"/>
          <w:rtl/>
        </w:rPr>
        <w:t xml:space="preserve">- </w:t>
      </w:r>
      <w:r w:rsidR="00F332E8">
        <w:rPr>
          <w:rFonts w:cs="Arial"/>
          <w:rtl/>
        </w:rPr>
        <w:t>אסור לנעול בשבת התיבה שיש בה זבובים אלא יתן סכין או שום דבר בין הכיסוי לתיבה בענין שיוכלו לצאת משם</w:t>
      </w:r>
      <w:r w:rsidR="00BF766D">
        <w:rPr>
          <w:rFonts w:cs="Arial" w:hint="cs"/>
          <w:sz w:val="16"/>
          <w:szCs w:val="16"/>
          <w:rtl/>
        </w:rPr>
        <w:t xml:space="preserve"> (ל' הטור בשם בעל התרומה)</w:t>
      </w:r>
      <w:r w:rsidR="00F63DC9">
        <w:rPr>
          <w:rFonts w:cs="Arial" w:hint="cs"/>
          <w:rtl/>
        </w:rPr>
        <w:t>.</w:t>
      </w:r>
      <w:r w:rsidR="00F332E8">
        <w:rPr>
          <w:rFonts w:cs="Arial"/>
          <w:rtl/>
        </w:rPr>
        <w:t xml:space="preserve"> </w:t>
      </w:r>
      <w:r w:rsidR="007806E5">
        <w:rPr>
          <w:rFonts w:hint="cs"/>
          <w:rtl/>
        </w:rPr>
        <w:t>(וכ"פ בב"י)</w:t>
      </w:r>
      <w:r w:rsidR="00854534" w:rsidRPr="00854534">
        <w:rPr>
          <w:rFonts w:hint="cs"/>
          <w:color w:val="E36C0A" w:themeColor="accent6" w:themeShade="BF"/>
          <w:rtl/>
        </w:rPr>
        <w:t xml:space="preserve"> </w:t>
      </w:r>
      <w:r w:rsidR="00854534" w:rsidRPr="00D33545">
        <w:rPr>
          <w:rFonts w:hint="cs"/>
          <w:color w:val="E36C0A" w:themeColor="accent6" w:themeShade="BF"/>
          <w:rtl/>
        </w:rPr>
        <w:t>(וכ"פ בשו"ע</w:t>
      </w:r>
      <w:r w:rsidR="00854534">
        <w:rPr>
          <w:rFonts w:hint="cs"/>
          <w:color w:val="000000" w:themeColor="text1"/>
          <w:sz w:val="16"/>
          <w:szCs w:val="16"/>
          <w:rtl/>
        </w:rPr>
        <w:t xml:space="preserve"> </w:t>
      </w:r>
      <w:r w:rsidR="00854534" w:rsidRPr="00854534">
        <w:rPr>
          <w:rFonts w:hint="cs"/>
          <w:color w:val="000000" w:themeColor="text1"/>
          <w:sz w:val="16"/>
          <w:szCs w:val="16"/>
          <w:rtl/>
        </w:rPr>
        <w:t>[</w:t>
      </w:r>
      <w:r w:rsidR="00854534">
        <w:rPr>
          <w:rFonts w:hint="cs"/>
          <w:color w:val="000000" w:themeColor="text1"/>
          <w:sz w:val="16"/>
          <w:szCs w:val="16"/>
          <w:rtl/>
        </w:rPr>
        <w:t>בסע' ד</w:t>
      </w:r>
      <w:r w:rsidR="00854534" w:rsidRPr="00854534">
        <w:rPr>
          <w:rFonts w:hint="cs"/>
          <w:color w:val="000000" w:themeColor="text1"/>
          <w:sz w:val="16"/>
          <w:szCs w:val="16"/>
          <w:rtl/>
        </w:rPr>
        <w:t>]</w:t>
      </w:r>
      <w:r w:rsidR="00854534" w:rsidRPr="00D33545">
        <w:rPr>
          <w:rFonts w:hint="cs"/>
          <w:color w:val="E36C0A" w:themeColor="accent6" w:themeShade="BF"/>
          <w:rtl/>
        </w:rPr>
        <w:t>)</w:t>
      </w:r>
    </w:p>
    <w:p w14:paraId="7354E8CA" w14:textId="15D01256" w:rsidR="00F332E8" w:rsidRPr="00D33545" w:rsidRDefault="00F63DC9" w:rsidP="00434A6A">
      <w:pPr>
        <w:pStyle w:val="aa"/>
        <w:numPr>
          <w:ilvl w:val="0"/>
          <w:numId w:val="30"/>
        </w:numPr>
        <w:rPr>
          <w:rtl/>
        </w:rPr>
      </w:pPr>
      <w:r>
        <w:rPr>
          <w:rFonts w:cs="Arial" w:hint="cs"/>
          <w:rtl/>
        </w:rPr>
        <w:t xml:space="preserve">טור- </w:t>
      </w:r>
      <w:r w:rsidR="00F332E8">
        <w:rPr>
          <w:rFonts w:cs="Arial"/>
          <w:rtl/>
        </w:rPr>
        <w:t>נ</w:t>
      </w:r>
      <w:r w:rsidR="00393697">
        <w:rPr>
          <w:rFonts w:cs="Arial" w:hint="cs"/>
          <w:rtl/>
        </w:rPr>
        <w:t xml:space="preserve">ראה </w:t>
      </w:r>
      <w:r w:rsidR="00F332E8">
        <w:rPr>
          <w:rFonts w:cs="Arial"/>
          <w:rtl/>
        </w:rPr>
        <w:t>ל</w:t>
      </w:r>
      <w:r w:rsidR="00393697">
        <w:rPr>
          <w:rFonts w:cs="Arial" w:hint="cs"/>
          <w:rtl/>
        </w:rPr>
        <w:t>י</w:t>
      </w:r>
      <w:r w:rsidR="00F332E8">
        <w:rPr>
          <w:rFonts w:cs="Arial"/>
          <w:rtl/>
        </w:rPr>
        <w:t xml:space="preserve"> שא</w:t>
      </w:r>
      <w:r w:rsidR="00393697">
        <w:rPr>
          <w:rFonts w:cs="Arial" w:hint="cs"/>
          <w:rtl/>
        </w:rPr>
        <w:t xml:space="preserve">ין </w:t>
      </w:r>
      <w:r w:rsidR="00F332E8">
        <w:rPr>
          <w:rFonts w:cs="Arial"/>
          <w:rtl/>
        </w:rPr>
        <w:t>צ</w:t>
      </w:r>
      <w:r w:rsidR="00393697">
        <w:rPr>
          <w:rFonts w:cs="Arial" w:hint="cs"/>
          <w:rtl/>
        </w:rPr>
        <w:t>ריך</w:t>
      </w:r>
      <w:r w:rsidR="00F332E8">
        <w:rPr>
          <w:rFonts w:cs="Arial"/>
          <w:rtl/>
        </w:rPr>
        <w:t xml:space="preserve"> לדקדק בזה</w:t>
      </w:r>
      <w:r w:rsidR="007806E5">
        <w:rPr>
          <w:rFonts w:cs="Arial" w:hint="cs"/>
          <w:rtl/>
        </w:rPr>
        <w:t>,</w:t>
      </w:r>
      <w:r w:rsidR="00F332E8">
        <w:rPr>
          <w:rFonts w:cs="Arial"/>
          <w:rtl/>
        </w:rPr>
        <w:t xml:space="preserve"> שאין הזבובים נצודין בתיבה</w:t>
      </w:r>
      <w:r w:rsidR="007806E5">
        <w:rPr>
          <w:rFonts w:cs="Arial" w:hint="cs"/>
          <w:rtl/>
        </w:rPr>
        <w:t>,</w:t>
      </w:r>
      <w:r w:rsidR="00F332E8">
        <w:rPr>
          <w:rFonts w:cs="Arial"/>
          <w:rtl/>
        </w:rPr>
        <w:t xml:space="preserve"> שאם בא לפתוח התיבה וליטלם יברחו</w:t>
      </w:r>
      <w:r w:rsidR="007806E5">
        <w:rPr>
          <w:rFonts w:cs="Arial" w:hint="cs"/>
          <w:rtl/>
        </w:rPr>
        <w:t>.</w:t>
      </w:r>
      <w:r w:rsidR="00F332E8">
        <w:rPr>
          <w:rFonts w:cs="Arial"/>
          <w:rtl/>
        </w:rPr>
        <w:t xml:space="preserve"> ולא דמי לדבורים בכוורת דקתני פורסין המחצלת ע"ג כוורת ובלבד שלא יכוין לצוד</w:t>
      </w:r>
      <w:r w:rsidR="007806E5">
        <w:rPr>
          <w:rFonts w:cs="Arial" w:hint="cs"/>
          <w:rtl/>
        </w:rPr>
        <w:t>,</w:t>
      </w:r>
      <w:r w:rsidR="00F332E8">
        <w:rPr>
          <w:rFonts w:cs="Arial"/>
          <w:rtl/>
        </w:rPr>
        <w:t xml:space="preserve"> כי הכוורת קטנה היא והדבורים ניצודין בה</w:t>
      </w:r>
      <w:r w:rsidR="007806E5">
        <w:rPr>
          <w:rFonts w:cs="Arial" w:hint="cs"/>
          <w:rtl/>
        </w:rPr>
        <w:t>.</w:t>
      </w:r>
      <w:r w:rsidR="00F332E8">
        <w:rPr>
          <w:rFonts w:cs="Arial"/>
          <w:rtl/>
        </w:rPr>
        <w:t xml:space="preserve"> ועוד דבכוורת גופה קתני </w:t>
      </w:r>
      <w:r w:rsidR="007806E5">
        <w:rPr>
          <w:rFonts w:cs="Arial" w:hint="cs"/>
          <w:rtl/>
        </w:rPr>
        <w:t>'</w:t>
      </w:r>
      <w:r w:rsidR="00F332E8">
        <w:rPr>
          <w:rFonts w:cs="Arial"/>
          <w:rtl/>
        </w:rPr>
        <w:t>ובלבד שלא יכוין לצוד</w:t>
      </w:r>
      <w:r w:rsidR="007806E5">
        <w:rPr>
          <w:rFonts w:cs="Arial" w:hint="cs"/>
          <w:rtl/>
        </w:rPr>
        <w:t>',</w:t>
      </w:r>
      <w:r w:rsidR="00F332E8">
        <w:rPr>
          <w:rFonts w:cs="Arial"/>
          <w:rtl/>
        </w:rPr>
        <w:t xml:space="preserve"> אלמא כי לא מכוין שרי</w:t>
      </w:r>
      <w:r w:rsidR="007806E5">
        <w:rPr>
          <w:rStyle w:val="a9"/>
          <w:rFonts w:cs="Arial"/>
          <w:rtl/>
        </w:rPr>
        <w:footnoteReference w:id="2450"/>
      </w:r>
      <w:r>
        <w:rPr>
          <w:rFonts w:cs="Arial" w:hint="cs"/>
          <w:rtl/>
        </w:rPr>
        <w:t>.</w:t>
      </w:r>
    </w:p>
    <w:p w14:paraId="1C37ECD7" w14:textId="1F963865" w:rsidR="005022B5" w:rsidRPr="005275DF" w:rsidRDefault="005022B5" w:rsidP="00434A6A">
      <w:pPr>
        <w:rPr>
          <w:rFonts w:asciiTheme="minorBidi" w:hAnsiTheme="minorBidi"/>
          <w:rtl/>
        </w:rPr>
      </w:pPr>
      <w:r w:rsidRPr="005275DF">
        <w:rPr>
          <w:rFonts w:asciiTheme="minorBidi" w:hAnsiTheme="minorBidi"/>
          <w:b/>
          <w:bCs/>
          <w:sz w:val="32"/>
          <w:szCs w:val="28"/>
          <w:u w:val="single"/>
          <w:rtl/>
        </w:rPr>
        <w:t xml:space="preserve">שו"ע: </w:t>
      </w:r>
    </w:p>
    <w:p w14:paraId="2C29FD67" w14:textId="24FF56C5" w:rsidR="003422A4" w:rsidRDefault="00FE570C" w:rsidP="00434A6A">
      <w:pPr>
        <w:rPr>
          <w:rFonts w:asciiTheme="minorBidi" w:hAnsiTheme="minorBidi"/>
          <w:rtl/>
        </w:rPr>
      </w:pPr>
      <w:r w:rsidRPr="005275DF">
        <w:rPr>
          <w:rFonts w:asciiTheme="minorBidi" w:hAnsiTheme="minorBidi"/>
          <w:rtl/>
        </w:rPr>
        <w:t>כל שבמינו נצוד חייב עליו, אין במינו נצוד פטור אבל אסור</w:t>
      </w:r>
      <w:r w:rsidRPr="005275DF">
        <w:rPr>
          <w:rStyle w:val="a9"/>
          <w:rFonts w:asciiTheme="minorBidi" w:hAnsiTheme="minorBidi"/>
          <w:rtl/>
        </w:rPr>
        <w:footnoteReference w:id="2451"/>
      </w:r>
      <w:r w:rsidRPr="005275DF">
        <w:rPr>
          <w:rFonts w:asciiTheme="minorBidi" w:hAnsiTheme="minorBidi"/>
          <w:rtl/>
        </w:rPr>
        <w:t xml:space="preserve">. </w:t>
      </w:r>
      <w:r w:rsidR="00553BDB" w:rsidRPr="005275DF">
        <w:rPr>
          <w:rFonts w:asciiTheme="minorBidi" w:hAnsiTheme="minorBidi"/>
          <w:rtl/>
        </w:rPr>
        <w:t>הילכך</w:t>
      </w:r>
      <w:r w:rsidR="005022B5" w:rsidRPr="005275DF">
        <w:rPr>
          <w:rFonts w:asciiTheme="minorBidi" w:hAnsiTheme="minorBidi"/>
          <w:rtl/>
        </w:rPr>
        <w:t xml:space="preserve"> </w:t>
      </w:r>
      <w:r w:rsidRPr="005275DF">
        <w:rPr>
          <w:rFonts w:asciiTheme="minorBidi" w:hAnsiTheme="minorBidi"/>
          <w:rtl/>
        </w:rPr>
        <w:t>זבובים אף על פי שאין במינו נצוד</w:t>
      </w:r>
      <w:r w:rsidR="005022B5" w:rsidRPr="005275DF">
        <w:rPr>
          <w:rFonts w:asciiTheme="minorBidi" w:hAnsiTheme="minorBidi"/>
          <w:rtl/>
        </w:rPr>
        <w:t xml:space="preserve"> אסור לצודן. </w:t>
      </w:r>
      <w:r w:rsidR="005022B5" w:rsidRPr="005275DF">
        <w:rPr>
          <w:rFonts w:asciiTheme="minorBidi" w:hAnsiTheme="minorBidi"/>
          <w:sz w:val="18"/>
          <w:szCs w:val="18"/>
          <w:rtl/>
        </w:rPr>
        <w:t>הגה: ול</w:t>
      </w:r>
      <w:r w:rsidRPr="005275DF">
        <w:rPr>
          <w:rFonts w:asciiTheme="minorBidi" w:hAnsiTheme="minorBidi"/>
          <w:sz w:val="18"/>
          <w:szCs w:val="18"/>
          <w:rtl/>
        </w:rPr>
        <w:t>כן יש ליזהר שלא לסגור תיבה קטנה או לסתום כלים שזבובים בו בשבת</w:t>
      </w:r>
      <w:r w:rsidR="00E25ADF" w:rsidRPr="005275DF">
        <w:rPr>
          <w:rFonts w:asciiTheme="minorBidi" w:hAnsiTheme="minorBidi"/>
          <w:sz w:val="18"/>
          <w:szCs w:val="18"/>
          <w:rtl/>
        </w:rPr>
        <w:t xml:space="preserve"> דהוי פסיק רישיה שיצודו שם (</w:t>
      </w:r>
      <w:r w:rsidR="00714488">
        <w:rPr>
          <w:rFonts w:asciiTheme="minorBidi" w:hAnsiTheme="minorBidi" w:hint="cs"/>
          <w:sz w:val="18"/>
          <w:szCs w:val="18"/>
          <w:rtl/>
        </w:rPr>
        <w:t xml:space="preserve">ר"מ מאיבר"א </w:t>
      </w:r>
      <w:r w:rsidR="00E25ADF" w:rsidRPr="005275DF">
        <w:rPr>
          <w:rFonts w:asciiTheme="minorBidi" w:hAnsiTheme="minorBidi"/>
          <w:sz w:val="18"/>
          <w:szCs w:val="18"/>
          <w:rtl/>
        </w:rPr>
        <w:t>סה"ת</w:t>
      </w:r>
      <w:r w:rsidR="005022B5" w:rsidRPr="005275DF">
        <w:rPr>
          <w:rFonts w:asciiTheme="minorBidi" w:hAnsiTheme="minorBidi"/>
          <w:sz w:val="18"/>
          <w:szCs w:val="18"/>
          <w:rtl/>
        </w:rPr>
        <w:t xml:space="preserve"> ומרדכי). ויש מקילי</w:t>
      </w:r>
      <w:r w:rsidR="00E51066" w:rsidRPr="005275DF">
        <w:rPr>
          <w:rFonts w:asciiTheme="minorBidi" w:hAnsiTheme="minorBidi"/>
          <w:sz w:val="18"/>
          <w:szCs w:val="18"/>
          <w:rtl/>
        </w:rPr>
        <w:t>ן במקום שאם יפתח הכלי ליטלם משם</w:t>
      </w:r>
      <w:r w:rsidR="005022B5" w:rsidRPr="005275DF">
        <w:rPr>
          <w:rFonts w:asciiTheme="minorBidi" w:hAnsiTheme="minorBidi"/>
          <w:sz w:val="18"/>
          <w:szCs w:val="18"/>
          <w:rtl/>
        </w:rPr>
        <w:t xml:space="preserve"> יברחו</w:t>
      </w:r>
      <w:r w:rsidR="00714488">
        <w:rPr>
          <w:rStyle w:val="a9"/>
          <w:rFonts w:asciiTheme="minorBidi" w:hAnsiTheme="minorBidi"/>
          <w:sz w:val="18"/>
          <w:szCs w:val="18"/>
          <w:rtl/>
        </w:rPr>
        <w:footnoteReference w:id="2452"/>
      </w:r>
      <w:r w:rsidR="007806E5">
        <w:rPr>
          <w:rFonts w:asciiTheme="minorBidi" w:hAnsiTheme="minorBidi" w:hint="cs"/>
          <w:sz w:val="18"/>
          <w:szCs w:val="18"/>
          <w:rtl/>
        </w:rPr>
        <w:t xml:space="preserve"> (טור)</w:t>
      </w:r>
      <w:r w:rsidR="005022B5" w:rsidRPr="005275DF">
        <w:rPr>
          <w:rFonts w:asciiTheme="minorBidi" w:hAnsiTheme="minorBidi"/>
          <w:sz w:val="18"/>
          <w:szCs w:val="18"/>
          <w:rtl/>
        </w:rPr>
        <w:t xml:space="preserve">. </w:t>
      </w:r>
    </w:p>
    <w:p w14:paraId="4CD7E6B1" w14:textId="77777777" w:rsidR="00DC101A" w:rsidRDefault="00DC101A" w:rsidP="00434A6A">
      <w:pPr>
        <w:rPr>
          <w:rFonts w:asciiTheme="minorBidi" w:hAnsiTheme="minorBidi"/>
          <w:rtl/>
        </w:rPr>
      </w:pPr>
    </w:p>
    <w:p w14:paraId="4683FDA9" w14:textId="320D52BD" w:rsidR="00F332E8" w:rsidRPr="005275DF" w:rsidRDefault="00F332E8" w:rsidP="00434A6A">
      <w:pPr>
        <w:pStyle w:val="2"/>
        <w:rPr>
          <w:rFonts w:asciiTheme="minorBidi" w:hAnsiTheme="minorBidi" w:cstheme="minorBidi"/>
          <w:rtl/>
        </w:rPr>
      </w:pPr>
      <w:r w:rsidRPr="005275DF">
        <w:rPr>
          <w:rFonts w:asciiTheme="minorBidi" w:hAnsiTheme="minorBidi" w:cstheme="minorBidi"/>
          <w:rtl/>
        </w:rPr>
        <w:t xml:space="preserve">סעיף </w:t>
      </w:r>
      <w:r>
        <w:rPr>
          <w:rFonts w:asciiTheme="minorBidi" w:hAnsiTheme="minorBidi" w:cstheme="minorBidi" w:hint="cs"/>
          <w:rtl/>
        </w:rPr>
        <w:t>ד</w:t>
      </w:r>
      <w:r w:rsidRPr="005275DF">
        <w:rPr>
          <w:rFonts w:asciiTheme="minorBidi" w:hAnsiTheme="minorBidi" w:cstheme="minorBidi"/>
          <w:rtl/>
        </w:rPr>
        <w:t>:</w:t>
      </w:r>
      <w:r w:rsidR="00854534" w:rsidRPr="00854534">
        <w:rPr>
          <w:rFonts w:asciiTheme="minorBidi" w:hAnsiTheme="minorBidi" w:hint="cs"/>
          <w:rtl/>
        </w:rPr>
        <w:t xml:space="preserve"> פריסת מחצלת על גבי כוורת בשבת</w:t>
      </w:r>
      <w:r w:rsidR="00854534">
        <w:rPr>
          <w:rFonts w:asciiTheme="minorBidi" w:hAnsiTheme="minorBidi" w:hint="cs"/>
          <w:rtl/>
        </w:rPr>
        <w:t>.</w:t>
      </w:r>
    </w:p>
    <w:p w14:paraId="6E18BFD3" w14:textId="3BE659E7" w:rsidR="00F332E8" w:rsidRDefault="00BF766D" w:rsidP="00434A6A">
      <w:pPr>
        <w:rPr>
          <w:rFonts w:asciiTheme="minorBidi" w:hAnsiTheme="minorBidi"/>
          <w:rtl/>
        </w:rPr>
      </w:pPr>
      <w:r>
        <w:rPr>
          <w:rFonts w:asciiTheme="minorBidi" w:hAnsiTheme="minorBidi" w:hint="cs"/>
          <w:rtl/>
        </w:rPr>
        <w:t>עיין במקורות בסעיף ג.</w:t>
      </w:r>
    </w:p>
    <w:p w14:paraId="0F13C591" w14:textId="7E33250C" w:rsidR="00BF766D" w:rsidRPr="00BF766D" w:rsidRDefault="00BF766D" w:rsidP="00434A6A">
      <w:pPr>
        <w:rPr>
          <w:rFonts w:asciiTheme="minorBidi" w:hAnsiTheme="minorBidi"/>
          <w:u w:val="single"/>
          <w:rtl/>
        </w:rPr>
      </w:pPr>
      <w:r w:rsidRPr="00854534">
        <w:rPr>
          <w:rFonts w:asciiTheme="minorBidi" w:hAnsiTheme="minorBidi" w:hint="cs"/>
          <w:u w:val="single"/>
          <w:rtl/>
        </w:rPr>
        <w:t>פריסת מחצלת על גבי כוורת בשבת</w:t>
      </w:r>
      <w:r w:rsidRPr="00BF766D">
        <w:rPr>
          <w:rFonts w:asciiTheme="minorBidi" w:hAnsiTheme="minorBidi" w:hint="cs"/>
          <w:u w:val="single"/>
          <w:rtl/>
        </w:rPr>
        <w:t>:</w:t>
      </w:r>
    </w:p>
    <w:p w14:paraId="5B799B5B" w14:textId="4021DD6D" w:rsidR="00BF766D" w:rsidRDefault="00BF766D" w:rsidP="00434A6A">
      <w:pPr>
        <w:pStyle w:val="aa"/>
        <w:numPr>
          <w:ilvl w:val="0"/>
          <w:numId w:val="31"/>
        </w:numPr>
        <w:rPr>
          <w:rFonts w:asciiTheme="minorBidi" w:hAnsiTheme="minorBidi"/>
        </w:rPr>
      </w:pPr>
      <w:r w:rsidRPr="00BF766D">
        <w:rPr>
          <w:rFonts w:asciiTheme="minorBidi" w:hAnsiTheme="minorBidi" w:hint="cs"/>
          <w:rtl/>
        </w:rPr>
        <w:t xml:space="preserve">ר"מ מאיבר"א </w:t>
      </w:r>
      <w:r w:rsidRPr="00BF766D">
        <w:rPr>
          <w:rFonts w:cs="Arial" w:hint="cs"/>
          <w:sz w:val="16"/>
          <w:szCs w:val="16"/>
          <w:rtl/>
        </w:rPr>
        <w:t>(בתוס' ביצה לו: ד"ה אלא)</w:t>
      </w:r>
      <w:r w:rsidRPr="00BF766D">
        <w:rPr>
          <w:rFonts w:asciiTheme="minorBidi" w:hAnsiTheme="minorBidi" w:hint="cs"/>
          <w:rtl/>
        </w:rPr>
        <w:t xml:space="preserve">- </w:t>
      </w:r>
      <w:r w:rsidRPr="00BF766D">
        <w:rPr>
          <w:rFonts w:asciiTheme="minorBidi" w:hAnsiTheme="minorBidi" w:cs="Arial"/>
          <w:rtl/>
        </w:rPr>
        <w:t>לר"ש נמי מיירי שיש חור קטן בכוורת אך אינו נראה</w:t>
      </w:r>
      <w:r w:rsidR="000A1BC2">
        <w:rPr>
          <w:rFonts w:asciiTheme="minorBidi" w:hAnsiTheme="minorBidi" w:cs="Arial" w:hint="cs"/>
          <w:rtl/>
        </w:rPr>
        <w:t>,</w:t>
      </w:r>
      <w:r w:rsidRPr="00BF766D">
        <w:rPr>
          <w:rFonts w:asciiTheme="minorBidi" w:hAnsiTheme="minorBidi" w:cs="Arial"/>
          <w:rtl/>
        </w:rPr>
        <w:t xml:space="preserve"> וא"כ לא הוי פסיק רישיה ולא ימות ולר"ש מותר</w:t>
      </w:r>
      <w:r w:rsidRPr="00BF766D">
        <w:rPr>
          <w:rFonts w:asciiTheme="minorBidi" w:hAnsiTheme="minorBidi" w:cs="Arial" w:hint="cs"/>
          <w:rtl/>
        </w:rPr>
        <w:t>.</w:t>
      </w:r>
      <w:r w:rsidR="00854534" w:rsidRPr="00854534">
        <w:rPr>
          <w:rFonts w:hint="cs"/>
          <w:color w:val="E36C0A" w:themeColor="accent6" w:themeShade="BF"/>
          <w:rtl/>
        </w:rPr>
        <w:t xml:space="preserve"> </w:t>
      </w:r>
      <w:r w:rsidR="00854534" w:rsidRPr="00D33545">
        <w:rPr>
          <w:rFonts w:hint="cs"/>
          <w:color w:val="E36C0A" w:themeColor="accent6" w:themeShade="BF"/>
          <w:rtl/>
        </w:rPr>
        <w:t>(וכ"פ בשו"ע)</w:t>
      </w:r>
    </w:p>
    <w:p w14:paraId="73839F89" w14:textId="4C938247" w:rsidR="00BF766D" w:rsidRPr="00BF766D" w:rsidRDefault="00BF766D" w:rsidP="00434A6A">
      <w:pPr>
        <w:pStyle w:val="aa"/>
        <w:numPr>
          <w:ilvl w:val="0"/>
          <w:numId w:val="31"/>
        </w:numPr>
        <w:rPr>
          <w:rFonts w:asciiTheme="minorBidi" w:hAnsiTheme="minorBidi"/>
          <w:rtl/>
        </w:rPr>
      </w:pPr>
      <w:r>
        <w:rPr>
          <w:rFonts w:asciiTheme="minorBidi" w:hAnsiTheme="minorBidi" w:hint="cs"/>
          <w:rtl/>
        </w:rPr>
        <w:t xml:space="preserve">טור- </w:t>
      </w:r>
      <w:r>
        <w:rPr>
          <w:rFonts w:cs="Arial"/>
          <w:rtl/>
        </w:rPr>
        <w:t xml:space="preserve">בכוורת גופה קתני </w:t>
      </w:r>
      <w:r>
        <w:rPr>
          <w:rFonts w:cs="Arial" w:hint="cs"/>
          <w:rtl/>
        </w:rPr>
        <w:t>'</w:t>
      </w:r>
      <w:r>
        <w:rPr>
          <w:rFonts w:cs="Arial"/>
          <w:rtl/>
        </w:rPr>
        <w:t>ובלבד שלא יכוין לצוד</w:t>
      </w:r>
      <w:r>
        <w:rPr>
          <w:rFonts w:cs="Arial" w:hint="cs"/>
          <w:rtl/>
        </w:rPr>
        <w:t>',</w:t>
      </w:r>
      <w:r>
        <w:rPr>
          <w:rFonts w:cs="Arial"/>
          <w:rtl/>
        </w:rPr>
        <w:t xml:space="preserve"> אלמא כי לא מכוין שרי</w:t>
      </w:r>
      <w:r>
        <w:rPr>
          <w:rStyle w:val="a9"/>
          <w:rFonts w:cs="Arial"/>
          <w:rtl/>
        </w:rPr>
        <w:footnoteReference w:id="2453"/>
      </w:r>
      <w:r>
        <w:rPr>
          <w:rFonts w:cs="Arial" w:hint="cs"/>
          <w:rtl/>
        </w:rPr>
        <w:t>.</w:t>
      </w:r>
    </w:p>
    <w:p w14:paraId="61EB2D76" w14:textId="1E7CBA0E" w:rsidR="005022B5" w:rsidRPr="005275DF" w:rsidRDefault="005022B5" w:rsidP="00434A6A">
      <w:pPr>
        <w:rPr>
          <w:rFonts w:asciiTheme="minorBidi" w:hAnsiTheme="minorBidi"/>
          <w:rtl/>
        </w:rPr>
      </w:pPr>
      <w:r w:rsidRPr="005275DF">
        <w:rPr>
          <w:rFonts w:asciiTheme="minorBidi" w:hAnsiTheme="minorBidi"/>
          <w:b/>
          <w:bCs/>
          <w:sz w:val="32"/>
          <w:szCs w:val="28"/>
          <w:u w:val="single"/>
          <w:rtl/>
        </w:rPr>
        <w:t xml:space="preserve">שו"ע: </w:t>
      </w:r>
    </w:p>
    <w:p w14:paraId="163BE7EE" w14:textId="12ADE4E0" w:rsidR="005022B5" w:rsidRPr="005275DF" w:rsidRDefault="00087D21" w:rsidP="00434A6A">
      <w:pPr>
        <w:rPr>
          <w:rFonts w:asciiTheme="minorBidi" w:hAnsiTheme="minorBidi"/>
          <w:rtl/>
        </w:rPr>
      </w:pPr>
      <w:r w:rsidRPr="005275DF">
        <w:rPr>
          <w:rFonts w:asciiTheme="minorBidi" w:hAnsiTheme="minorBidi"/>
          <w:rtl/>
        </w:rPr>
        <w:t>פורסין מחצלת ע</w:t>
      </w:r>
      <w:r w:rsidR="00714488">
        <w:rPr>
          <w:rFonts w:asciiTheme="minorBidi" w:hAnsiTheme="minorBidi" w:hint="cs"/>
          <w:rtl/>
        </w:rPr>
        <w:t xml:space="preserve">ל </w:t>
      </w:r>
      <w:r w:rsidRPr="005275DF">
        <w:rPr>
          <w:rFonts w:asciiTheme="minorBidi" w:hAnsiTheme="minorBidi"/>
          <w:rtl/>
        </w:rPr>
        <w:t>ג</w:t>
      </w:r>
      <w:r w:rsidR="00714488">
        <w:rPr>
          <w:rFonts w:asciiTheme="minorBidi" w:hAnsiTheme="minorBidi" w:hint="cs"/>
          <w:rtl/>
        </w:rPr>
        <w:t>בי</w:t>
      </w:r>
      <w:r w:rsidRPr="005275DF">
        <w:rPr>
          <w:rFonts w:asciiTheme="minorBidi" w:hAnsiTheme="minorBidi"/>
          <w:rtl/>
        </w:rPr>
        <w:t xml:space="preserve"> הכוורת</w:t>
      </w:r>
      <w:r w:rsidR="005022B5" w:rsidRPr="005275DF">
        <w:rPr>
          <w:rFonts w:asciiTheme="minorBidi" w:hAnsiTheme="minorBidi"/>
          <w:rtl/>
        </w:rPr>
        <w:t xml:space="preserve"> ובלבד שלא יכוין לצוד, וגם הוא בענין שאינו מוכרח שיהיו נצודים, כי היכי דלא להוי פסיק רישיה</w:t>
      </w:r>
      <w:r w:rsidR="00527AAB" w:rsidRPr="005275DF">
        <w:rPr>
          <w:rStyle w:val="a9"/>
          <w:rFonts w:asciiTheme="minorBidi" w:hAnsiTheme="minorBidi"/>
          <w:rtl/>
        </w:rPr>
        <w:footnoteReference w:id="2454"/>
      </w:r>
      <w:r w:rsidR="005022B5" w:rsidRPr="005275DF">
        <w:rPr>
          <w:rFonts w:asciiTheme="minorBidi" w:hAnsiTheme="minorBidi"/>
          <w:rtl/>
        </w:rPr>
        <w:t xml:space="preserve">. </w:t>
      </w:r>
    </w:p>
    <w:p w14:paraId="305AB9EA" w14:textId="77777777" w:rsidR="001F354E" w:rsidRPr="005275DF" w:rsidRDefault="001F354E" w:rsidP="00434A6A">
      <w:pPr>
        <w:rPr>
          <w:rFonts w:asciiTheme="minorBidi" w:hAnsiTheme="minorBidi"/>
          <w:rtl/>
        </w:rPr>
      </w:pPr>
    </w:p>
    <w:p w14:paraId="239B0CF8" w14:textId="4BCF54F8" w:rsidR="005022B5" w:rsidRPr="005275DF" w:rsidRDefault="005022B5" w:rsidP="00434A6A">
      <w:pPr>
        <w:pStyle w:val="2"/>
        <w:rPr>
          <w:rFonts w:asciiTheme="minorBidi" w:hAnsiTheme="minorBidi" w:cstheme="minorBidi"/>
          <w:rtl/>
        </w:rPr>
      </w:pPr>
      <w:r w:rsidRPr="005275DF">
        <w:rPr>
          <w:rFonts w:asciiTheme="minorBidi" w:hAnsiTheme="minorBidi" w:cstheme="minorBidi"/>
          <w:rtl/>
        </w:rPr>
        <w:t>סעיף ה</w:t>
      </w:r>
      <w:r w:rsidR="00C07355" w:rsidRPr="005275DF">
        <w:rPr>
          <w:rFonts w:asciiTheme="minorBidi" w:hAnsiTheme="minorBidi" w:cstheme="minorBidi"/>
          <w:rtl/>
        </w:rPr>
        <w:t>:</w:t>
      </w:r>
      <w:r w:rsidR="00F13C3E" w:rsidRPr="005275DF">
        <w:rPr>
          <w:rFonts w:asciiTheme="minorBidi" w:hAnsiTheme="minorBidi" w:cstheme="minorBidi"/>
          <w:rtl/>
        </w:rPr>
        <w:t xml:space="preserve"> </w:t>
      </w:r>
      <w:r w:rsidR="006C22FD" w:rsidRPr="005275DF">
        <w:rPr>
          <w:rFonts w:asciiTheme="minorBidi" w:hAnsiTheme="minorBidi" w:cstheme="minorBidi"/>
          <w:rtl/>
        </w:rPr>
        <w:t>סגיר</w:t>
      </w:r>
      <w:r w:rsidR="00F13C3E" w:rsidRPr="005275DF">
        <w:rPr>
          <w:rFonts w:asciiTheme="minorBidi" w:hAnsiTheme="minorBidi" w:cstheme="minorBidi"/>
          <w:rtl/>
        </w:rPr>
        <w:t xml:space="preserve">ת בית שיש בתוכו צבי. </w:t>
      </w:r>
    </w:p>
    <w:p w14:paraId="46954635" w14:textId="4D5E82A9" w:rsidR="00D573CA" w:rsidRDefault="00F13C3E" w:rsidP="00434A6A">
      <w:pPr>
        <w:rPr>
          <w:rFonts w:asciiTheme="minorBidi" w:hAnsiTheme="minorBidi"/>
          <w:rtl/>
        </w:rPr>
      </w:pPr>
      <w:r w:rsidRPr="005275DF">
        <w:rPr>
          <w:rFonts w:asciiTheme="minorBidi" w:hAnsiTheme="minorBidi"/>
          <w:b/>
          <w:bCs/>
          <w:rtl/>
        </w:rPr>
        <w:t xml:space="preserve">שבת </w:t>
      </w:r>
      <w:r w:rsidR="00854534">
        <w:rPr>
          <w:rFonts w:asciiTheme="minorBidi" w:hAnsiTheme="minorBidi" w:hint="cs"/>
          <w:b/>
          <w:bCs/>
          <w:sz w:val="16"/>
          <w:szCs w:val="16"/>
          <w:rtl/>
        </w:rPr>
        <w:t>(פ' ר' אליעזר האורג)</w:t>
      </w:r>
      <w:r w:rsidR="00854534">
        <w:rPr>
          <w:rFonts w:asciiTheme="minorBidi" w:hAnsiTheme="minorBidi" w:hint="cs"/>
          <w:b/>
          <w:bCs/>
          <w:rtl/>
        </w:rPr>
        <w:t xml:space="preserve"> </w:t>
      </w:r>
      <w:r w:rsidRPr="005275DF">
        <w:rPr>
          <w:rFonts w:asciiTheme="minorBidi" w:hAnsiTheme="minorBidi"/>
          <w:b/>
          <w:bCs/>
          <w:rtl/>
        </w:rPr>
        <w:t>קו ע"ב:</w:t>
      </w:r>
      <w:r w:rsidRPr="005275DF">
        <w:rPr>
          <w:rFonts w:asciiTheme="minorBidi" w:hAnsiTheme="minorBidi"/>
          <w:rtl/>
        </w:rPr>
        <w:t xml:space="preserve"> </w:t>
      </w:r>
      <w:r w:rsidRPr="005275DF">
        <w:rPr>
          <w:rFonts w:asciiTheme="minorBidi" w:hAnsiTheme="minorBidi"/>
          <w:u w:val="double"/>
          <w:rtl/>
        </w:rPr>
        <w:t>משנה:</w:t>
      </w:r>
      <w:r w:rsidRPr="005275DF">
        <w:rPr>
          <w:rFonts w:asciiTheme="minorBidi" w:hAnsiTheme="minorBidi"/>
          <w:rtl/>
        </w:rPr>
        <w:t xml:space="preserve"> צבי שנכנס לבית</w:t>
      </w:r>
      <w:r w:rsidR="00D573CA">
        <w:rPr>
          <w:rStyle w:val="a9"/>
          <w:rFonts w:cs="Arial"/>
          <w:rtl/>
        </w:rPr>
        <w:footnoteReference w:id="2455"/>
      </w:r>
      <w:r w:rsidRPr="005275DF">
        <w:rPr>
          <w:rFonts w:asciiTheme="minorBidi" w:hAnsiTheme="minorBidi"/>
          <w:rtl/>
        </w:rPr>
        <w:t xml:space="preserve"> ונעל אחד בפניו - חייב, נעלו שנים</w:t>
      </w:r>
      <w:r w:rsidR="00D573CA">
        <w:rPr>
          <w:rStyle w:val="a9"/>
          <w:rFonts w:cs="Arial"/>
          <w:rtl/>
        </w:rPr>
        <w:footnoteReference w:id="2456"/>
      </w:r>
      <w:r w:rsidRPr="005275DF">
        <w:rPr>
          <w:rFonts w:asciiTheme="minorBidi" w:hAnsiTheme="minorBidi"/>
          <w:rtl/>
        </w:rPr>
        <w:t xml:space="preserve"> - פטורין</w:t>
      </w:r>
      <w:r w:rsidR="00854534">
        <w:rPr>
          <w:rFonts w:asciiTheme="minorBidi" w:hAnsiTheme="minorBidi" w:hint="cs"/>
          <w:rtl/>
        </w:rPr>
        <w:t>.</w:t>
      </w:r>
      <w:r w:rsidRPr="005275DF">
        <w:rPr>
          <w:rFonts w:asciiTheme="minorBidi" w:hAnsiTheme="minorBidi"/>
          <w:rtl/>
        </w:rPr>
        <w:t xml:space="preserve"> לא יכול אחד לנעול ונעלו שנים - חייבין, </w:t>
      </w:r>
      <w:r w:rsidRPr="00854534">
        <w:rPr>
          <w:rFonts w:asciiTheme="minorBidi" w:hAnsiTheme="minorBidi"/>
          <w:u w:val="single"/>
          <w:rtl/>
        </w:rPr>
        <w:t>ורבי שמעון</w:t>
      </w:r>
      <w:r w:rsidRPr="005275DF">
        <w:rPr>
          <w:rFonts w:asciiTheme="minorBidi" w:hAnsiTheme="minorBidi"/>
          <w:rtl/>
        </w:rPr>
        <w:t xml:space="preserve"> פוטר</w:t>
      </w:r>
      <w:r w:rsidR="00D573CA">
        <w:rPr>
          <w:rStyle w:val="a9"/>
          <w:rFonts w:cs="Arial"/>
          <w:rtl/>
        </w:rPr>
        <w:footnoteReference w:id="2457"/>
      </w:r>
      <w:r w:rsidRPr="005275DF">
        <w:rPr>
          <w:rFonts w:asciiTheme="minorBidi" w:hAnsiTheme="minorBidi"/>
          <w:rtl/>
        </w:rPr>
        <w:t>.</w:t>
      </w:r>
    </w:p>
    <w:p w14:paraId="1BD09F93" w14:textId="1FF0605D" w:rsidR="000A048F" w:rsidRPr="000A048F" w:rsidRDefault="000A048F" w:rsidP="00434A6A">
      <w:pPr>
        <w:rPr>
          <w:rFonts w:asciiTheme="minorBidi" w:hAnsiTheme="minorBidi"/>
          <w:u w:val="single"/>
          <w:rtl/>
        </w:rPr>
      </w:pPr>
      <w:r w:rsidRPr="000A048F">
        <w:rPr>
          <w:rFonts w:asciiTheme="minorBidi" w:hAnsiTheme="minorBidi"/>
          <w:u w:val="single"/>
          <w:rtl/>
        </w:rPr>
        <w:t>סגירת בית שיש בתוכו צבי</w:t>
      </w:r>
      <w:r w:rsidRPr="000A048F">
        <w:rPr>
          <w:rFonts w:asciiTheme="minorBidi" w:hAnsiTheme="minorBidi" w:hint="cs"/>
          <w:u w:val="single"/>
          <w:rtl/>
        </w:rPr>
        <w:t>:</w:t>
      </w:r>
    </w:p>
    <w:p w14:paraId="6B9186A9" w14:textId="4C58677A" w:rsidR="00D573CA" w:rsidRDefault="00F332E8" w:rsidP="00434A6A">
      <w:pPr>
        <w:pStyle w:val="aa"/>
        <w:numPr>
          <w:ilvl w:val="0"/>
          <w:numId w:val="30"/>
        </w:numPr>
      </w:pPr>
      <w:r>
        <w:rPr>
          <w:rFonts w:cs="Arial" w:hint="cs"/>
          <w:rtl/>
        </w:rPr>
        <w:t xml:space="preserve">טור- </w:t>
      </w:r>
      <w:r>
        <w:rPr>
          <w:rFonts w:cs="Arial"/>
          <w:rtl/>
        </w:rPr>
        <w:t xml:space="preserve">צבי שנכנס לתוך הבית ונעל א' בפניו </w:t>
      </w:r>
      <w:r w:rsidR="000A048F">
        <w:rPr>
          <w:rFonts w:cs="Arial" w:hint="cs"/>
          <w:rtl/>
        </w:rPr>
        <w:t xml:space="preserve">- </w:t>
      </w:r>
      <w:r>
        <w:rPr>
          <w:rFonts w:cs="Arial"/>
          <w:rtl/>
        </w:rPr>
        <w:t>חייב</w:t>
      </w:r>
      <w:r w:rsidR="000A048F">
        <w:rPr>
          <w:rFonts w:cs="Arial" w:hint="cs"/>
          <w:rtl/>
        </w:rPr>
        <w:t>.</w:t>
      </w:r>
      <w:r>
        <w:rPr>
          <w:rFonts w:cs="Arial"/>
          <w:rtl/>
        </w:rPr>
        <w:t xml:space="preserve"> נעלו ב' </w:t>
      </w:r>
      <w:r w:rsidR="000A048F">
        <w:rPr>
          <w:rFonts w:cs="Arial" w:hint="cs"/>
          <w:rtl/>
        </w:rPr>
        <w:t xml:space="preserve">- </w:t>
      </w:r>
      <w:r>
        <w:rPr>
          <w:rFonts w:cs="Arial"/>
          <w:rtl/>
        </w:rPr>
        <w:t>פטורין</w:t>
      </w:r>
      <w:r w:rsidR="000A048F">
        <w:rPr>
          <w:rFonts w:cs="Arial" w:hint="cs"/>
          <w:rtl/>
        </w:rPr>
        <w:t>.</w:t>
      </w:r>
      <w:r>
        <w:rPr>
          <w:rFonts w:cs="Arial"/>
          <w:rtl/>
        </w:rPr>
        <w:t xml:space="preserve"> לא יכול א' לנעלו</w:t>
      </w:r>
      <w:r w:rsidR="000A048F">
        <w:rPr>
          <w:rFonts w:cs="Arial" w:hint="cs"/>
          <w:rtl/>
        </w:rPr>
        <w:t>,</w:t>
      </w:r>
      <w:r>
        <w:rPr>
          <w:rFonts w:cs="Arial"/>
          <w:rtl/>
        </w:rPr>
        <w:t xml:space="preserve"> ונעלו ב' </w:t>
      </w:r>
      <w:r w:rsidR="000A048F">
        <w:rPr>
          <w:rFonts w:cs="Arial" w:hint="cs"/>
          <w:rtl/>
        </w:rPr>
        <w:t xml:space="preserve">- </w:t>
      </w:r>
      <w:r>
        <w:rPr>
          <w:rFonts w:cs="Arial"/>
          <w:rtl/>
        </w:rPr>
        <w:t>חייבין</w:t>
      </w:r>
      <w:r w:rsidR="000A048F">
        <w:rPr>
          <w:rFonts w:cs="Arial" w:hint="cs"/>
          <w:rtl/>
        </w:rPr>
        <w:t>.</w:t>
      </w:r>
      <w:r>
        <w:rPr>
          <w:rFonts w:cs="Arial"/>
          <w:rtl/>
        </w:rPr>
        <w:t xml:space="preserve"> </w:t>
      </w:r>
      <w:r w:rsidR="00D573CA" w:rsidRPr="00D33545">
        <w:rPr>
          <w:rFonts w:hint="cs"/>
          <w:color w:val="E36C0A" w:themeColor="accent6" w:themeShade="BF"/>
          <w:rtl/>
        </w:rPr>
        <w:t>(וכ"פ בשו"ע)</w:t>
      </w:r>
    </w:p>
    <w:p w14:paraId="0E98E041" w14:textId="35E9F71D" w:rsidR="00F45D40" w:rsidRDefault="00F45D40" w:rsidP="00434A6A">
      <w:pPr>
        <w:rPr>
          <w:rFonts w:asciiTheme="minorBidi" w:hAnsiTheme="minorBidi"/>
          <w:rtl/>
        </w:rPr>
      </w:pPr>
      <w:r w:rsidRPr="005275DF">
        <w:rPr>
          <w:rFonts w:asciiTheme="minorBidi" w:hAnsiTheme="minorBidi"/>
          <w:b/>
          <w:bCs/>
          <w:rtl/>
        </w:rPr>
        <w:t xml:space="preserve">שבת </w:t>
      </w:r>
      <w:r>
        <w:rPr>
          <w:rFonts w:asciiTheme="minorBidi" w:hAnsiTheme="minorBidi" w:hint="cs"/>
          <w:b/>
          <w:bCs/>
          <w:sz w:val="16"/>
          <w:szCs w:val="16"/>
          <w:rtl/>
        </w:rPr>
        <w:t>(פ' ר' אליעזר האורג)</w:t>
      </w:r>
      <w:r>
        <w:rPr>
          <w:rFonts w:asciiTheme="minorBidi" w:hAnsiTheme="minorBidi" w:hint="cs"/>
          <w:b/>
          <w:bCs/>
          <w:rtl/>
        </w:rPr>
        <w:t xml:space="preserve"> </w:t>
      </w:r>
      <w:r w:rsidRPr="005275DF">
        <w:rPr>
          <w:rFonts w:asciiTheme="minorBidi" w:hAnsiTheme="minorBidi"/>
          <w:b/>
          <w:bCs/>
          <w:rtl/>
        </w:rPr>
        <w:t>קו ע"ב:</w:t>
      </w:r>
      <w:r>
        <w:rPr>
          <w:rFonts w:asciiTheme="minorBidi" w:hAnsiTheme="minorBidi" w:hint="cs"/>
          <w:b/>
          <w:bCs/>
          <w:rtl/>
        </w:rPr>
        <w:t xml:space="preserve"> </w:t>
      </w:r>
      <w:r w:rsidRPr="005275DF">
        <w:rPr>
          <w:rFonts w:asciiTheme="minorBidi" w:hAnsiTheme="minorBidi"/>
          <w:u w:val="double"/>
          <w:rtl/>
        </w:rPr>
        <w:t>משנה:</w:t>
      </w:r>
      <w:r w:rsidRPr="005275DF">
        <w:rPr>
          <w:rFonts w:asciiTheme="minorBidi" w:hAnsiTheme="minorBidi"/>
          <w:rtl/>
        </w:rPr>
        <w:t xml:space="preserve"> ישב האחד על הפתח ולא מילאהו, ישב השני ומילאהו - השני חייב. ישב הראשון על הפתח ומילאהו, ובא השני וישב בצידו, אף על פי שעמד הראשון והלך לו - הראשון חייב, והשני פטור. הא למה</w:t>
      </w:r>
      <w:r>
        <w:rPr>
          <w:rStyle w:val="a9"/>
          <w:rFonts w:asciiTheme="minorBidi" w:hAnsiTheme="minorBidi"/>
          <w:rtl/>
        </w:rPr>
        <w:footnoteReference w:id="2458"/>
      </w:r>
      <w:r w:rsidRPr="005275DF">
        <w:rPr>
          <w:rFonts w:asciiTheme="minorBidi" w:hAnsiTheme="minorBidi"/>
          <w:rtl/>
        </w:rPr>
        <w:t xml:space="preserve"> זה דומה - לנועל את ביתו לשומרו</w:t>
      </w:r>
      <w:r>
        <w:rPr>
          <w:rStyle w:val="a9"/>
          <w:rFonts w:asciiTheme="minorBidi" w:hAnsiTheme="minorBidi"/>
          <w:rtl/>
        </w:rPr>
        <w:footnoteReference w:id="2459"/>
      </w:r>
      <w:r w:rsidRPr="005275DF">
        <w:rPr>
          <w:rFonts w:asciiTheme="minorBidi" w:hAnsiTheme="minorBidi"/>
          <w:rtl/>
        </w:rPr>
        <w:t>, ונמצא צבי</w:t>
      </w:r>
      <w:r>
        <w:rPr>
          <w:rStyle w:val="a9"/>
          <w:rFonts w:asciiTheme="minorBidi" w:hAnsiTheme="minorBidi"/>
          <w:rtl/>
        </w:rPr>
        <w:footnoteReference w:id="2460"/>
      </w:r>
      <w:r w:rsidRPr="005275DF">
        <w:rPr>
          <w:rFonts w:asciiTheme="minorBidi" w:hAnsiTheme="minorBidi"/>
          <w:rtl/>
        </w:rPr>
        <w:t xml:space="preserve"> שמור בתוכו.     </w:t>
      </w:r>
      <w:r w:rsidRPr="005275DF">
        <w:rPr>
          <w:rFonts w:asciiTheme="minorBidi" w:hAnsiTheme="minorBidi"/>
          <w:u w:val="double"/>
          <w:rtl/>
        </w:rPr>
        <w:t>גמ':</w:t>
      </w:r>
      <w:r w:rsidRPr="005275DF">
        <w:rPr>
          <w:rFonts w:asciiTheme="minorBidi" w:hAnsiTheme="minorBidi"/>
          <w:rtl/>
        </w:rPr>
        <w:t xml:space="preserve"> מאי לאו פטור אבל אסור? לא, פטור ומותר. הכי נמי מסתברא מדקתני סיפא: למה זה דומה לנועל את ביתו לשומרו ונמצא צבי שמור בתוכו, מכלל דפטור ומותר, שמע מינה.</w:t>
      </w:r>
      <w:r w:rsidR="00653FE4" w:rsidRPr="00653FE4">
        <w:rPr>
          <w:rtl/>
        </w:rPr>
        <w:t xml:space="preserve"> </w:t>
      </w:r>
      <w:r w:rsidR="00653FE4" w:rsidRPr="00653FE4">
        <w:rPr>
          <w:rFonts w:asciiTheme="minorBidi" w:hAnsiTheme="minorBidi" w:cs="Arial"/>
          <w:u w:val="single"/>
          <w:rtl/>
        </w:rPr>
        <w:t>אמר שמואל</w:t>
      </w:r>
      <w:r w:rsidR="00653FE4" w:rsidRPr="00653FE4">
        <w:rPr>
          <w:rFonts w:asciiTheme="minorBidi" w:hAnsiTheme="minorBidi" w:cs="Arial"/>
          <w:rtl/>
        </w:rPr>
        <w:t>: כל פטורי דשבת פטור אבל אסור, לבר מהני תלת דפטור ומותר; חדא - הא</w:t>
      </w:r>
      <w:r w:rsidR="00653FE4">
        <w:rPr>
          <w:rFonts w:asciiTheme="minorBidi" w:hAnsiTheme="minorBidi" w:hint="cs"/>
          <w:rtl/>
        </w:rPr>
        <w:t>...</w:t>
      </w:r>
      <w:r w:rsidR="00653FE4" w:rsidRPr="00653FE4">
        <w:rPr>
          <w:rtl/>
        </w:rPr>
        <w:t xml:space="preserve"> </w:t>
      </w:r>
      <w:r w:rsidR="00653FE4" w:rsidRPr="00653FE4">
        <w:rPr>
          <w:rFonts w:asciiTheme="minorBidi" w:hAnsiTheme="minorBidi" w:cs="Arial"/>
          <w:rtl/>
        </w:rPr>
        <w:t>ואידך: המפיס מורסא בשבת, אם לעשות לה פה - חייב, אם להוציא ממנה לחה - פטור.</w:t>
      </w:r>
      <w:r w:rsidR="00653FE4">
        <w:rPr>
          <w:rFonts w:asciiTheme="minorBidi" w:hAnsiTheme="minorBidi" w:cs="Arial" w:hint="cs"/>
          <w:rtl/>
        </w:rPr>
        <w:t>.</w:t>
      </w:r>
      <w:r w:rsidR="00653FE4" w:rsidRPr="00653FE4">
        <w:rPr>
          <w:rFonts w:asciiTheme="minorBidi" w:hAnsiTheme="minorBidi" w:cs="Arial"/>
          <w:rtl/>
        </w:rPr>
        <w:t>. ואידך: הצד נחש בשבת, אם מתעסק בו שלא ישכנו - פטור, אם לרפואה - חייב</w:t>
      </w:r>
      <w:r w:rsidR="00653FE4">
        <w:rPr>
          <w:rFonts w:asciiTheme="minorBidi" w:hAnsiTheme="minorBidi" w:cs="Arial" w:hint="cs"/>
          <w:rtl/>
        </w:rPr>
        <w:t>..</w:t>
      </w:r>
      <w:r w:rsidR="00653FE4" w:rsidRPr="00653FE4">
        <w:rPr>
          <w:rFonts w:asciiTheme="minorBidi" w:hAnsiTheme="minorBidi" w:cs="Arial"/>
          <w:rtl/>
        </w:rPr>
        <w:t>.</w:t>
      </w:r>
    </w:p>
    <w:p w14:paraId="19DFE7CC" w14:textId="77777777" w:rsidR="00F45D40" w:rsidRPr="00D573CA" w:rsidRDefault="00F45D40" w:rsidP="00434A6A">
      <w:pPr>
        <w:rPr>
          <w:rFonts w:asciiTheme="minorBidi" w:hAnsiTheme="minorBidi"/>
          <w:u w:val="single"/>
          <w:rtl/>
        </w:rPr>
      </w:pPr>
      <w:r w:rsidRPr="00D573CA">
        <w:rPr>
          <w:rFonts w:asciiTheme="minorBidi" w:hAnsiTheme="minorBidi" w:hint="cs"/>
          <w:u w:val="single"/>
          <w:rtl/>
        </w:rPr>
        <w:t>ישיבה בפתח הבית כשיש בתוכו צבי:</w:t>
      </w:r>
    </w:p>
    <w:p w14:paraId="3DCC29D8" w14:textId="3A3AFD92" w:rsidR="00F45D40" w:rsidRDefault="00F45D40" w:rsidP="00434A6A">
      <w:pPr>
        <w:pStyle w:val="aa"/>
        <w:numPr>
          <w:ilvl w:val="0"/>
          <w:numId w:val="30"/>
        </w:numPr>
      </w:pPr>
      <w:r>
        <w:rPr>
          <w:rFonts w:cs="Arial" w:hint="cs"/>
          <w:rtl/>
        </w:rPr>
        <w:t xml:space="preserve">טור- </w:t>
      </w:r>
      <w:r>
        <w:rPr>
          <w:rFonts w:cs="Arial"/>
          <w:rtl/>
        </w:rPr>
        <w:t>ישב הראשון על הפתח ומלאו וישב הב' בצדו</w:t>
      </w:r>
      <w:r>
        <w:rPr>
          <w:rFonts w:cs="Arial" w:hint="cs"/>
          <w:rtl/>
        </w:rPr>
        <w:t>,</w:t>
      </w:r>
      <w:r>
        <w:rPr>
          <w:rFonts w:cs="Arial"/>
          <w:rtl/>
        </w:rPr>
        <w:t xml:space="preserve"> אף על פי שעמד הראשון והלך לו </w:t>
      </w:r>
      <w:r>
        <w:rPr>
          <w:rFonts w:cs="Arial" w:hint="cs"/>
          <w:rtl/>
        </w:rPr>
        <w:t xml:space="preserve">- </w:t>
      </w:r>
      <w:r>
        <w:rPr>
          <w:rFonts w:cs="Arial"/>
          <w:rtl/>
        </w:rPr>
        <w:t>הב'</w:t>
      </w:r>
      <w:r>
        <w:rPr>
          <w:rFonts w:cs="Arial" w:hint="cs"/>
          <w:rtl/>
        </w:rPr>
        <w:t xml:space="preserve"> </w:t>
      </w:r>
      <w:r>
        <w:rPr>
          <w:rFonts w:cs="Arial"/>
          <w:rtl/>
        </w:rPr>
        <w:t>פטור ומותר</w:t>
      </w:r>
      <w:r>
        <w:rPr>
          <w:rFonts w:cs="Arial" w:hint="cs"/>
          <w:rtl/>
        </w:rPr>
        <w:t>,</w:t>
      </w:r>
      <w:r>
        <w:rPr>
          <w:rFonts w:cs="Arial"/>
          <w:rtl/>
        </w:rPr>
        <w:t xml:space="preserve"> והראשון חייב</w:t>
      </w:r>
      <w:r>
        <w:rPr>
          <w:rFonts w:cs="Arial" w:hint="cs"/>
          <w:rtl/>
        </w:rPr>
        <w:t>.</w:t>
      </w:r>
      <w:r>
        <w:rPr>
          <w:rFonts w:cs="Arial"/>
          <w:rtl/>
        </w:rPr>
        <w:t xml:space="preserve"> </w:t>
      </w:r>
      <w:r w:rsidRPr="00D33545">
        <w:rPr>
          <w:rFonts w:hint="cs"/>
          <w:color w:val="E36C0A" w:themeColor="accent6" w:themeShade="BF"/>
          <w:rtl/>
        </w:rPr>
        <w:t>(וכ"פ בשו"ע</w:t>
      </w:r>
      <w:r>
        <w:rPr>
          <w:rFonts w:hint="cs"/>
          <w:color w:val="E36C0A" w:themeColor="accent6" w:themeShade="BF"/>
          <w:sz w:val="16"/>
          <w:szCs w:val="16"/>
          <w:rtl/>
        </w:rPr>
        <w:t xml:space="preserve"> </w:t>
      </w:r>
      <w:r w:rsidRPr="00F45D40">
        <w:rPr>
          <w:rFonts w:hint="cs"/>
          <w:color w:val="000000" w:themeColor="text1"/>
          <w:sz w:val="16"/>
          <w:szCs w:val="16"/>
          <w:rtl/>
        </w:rPr>
        <w:t>[</w:t>
      </w:r>
      <w:r>
        <w:rPr>
          <w:rFonts w:hint="cs"/>
          <w:color w:val="000000" w:themeColor="text1"/>
          <w:sz w:val="16"/>
          <w:szCs w:val="16"/>
          <w:rtl/>
        </w:rPr>
        <w:t>בסע' ו</w:t>
      </w:r>
      <w:r w:rsidRPr="00F45D40">
        <w:rPr>
          <w:rFonts w:hint="cs"/>
          <w:color w:val="000000" w:themeColor="text1"/>
          <w:sz w:val="16"/>
          <w:szCs w:val="16"/>
          <w:rtl/>
        </w:rPr>
        <w:t>]</w:t>
      </w:r>
      <w:r w:rsidRPr="00D33545">
        <w:rPr>
          <w:rFonts w:hint="cs"/>
          <w:color w:val="E36C0A" w:themeColor="accent6" w:themeShade="BF"/>
          <w:rtl/>
        </w:rPr>
        <w:t>)</w:t>
      </w:r>
    </w:p>
    <w:p w14:paraId="5C6E07CD" w14:textId="77777777" w:rsidR="00F45D40" w:rsidRPr="00C4361C" w:rsidRDefault="00F45D40" w:rsidP="00434A6A">
      <w:pPr>
        <w:rPr>
          <w:u w:val="single"/>
        </w:rPr>
      </w:pPr>
      <w:r w:rsidRPr="00C4361C">
        <w:rPr>
          <w:rFonts w:hint="cs"/>
          <w:u w:val="single"/>
          <w:rtl/>
        </w:rPr>
        <w:t>הוספת שמירה על שמירה:</w:t>
      </w:r>
    </w:p>
    <w:p w14:paraId="042E367E" w14:textId="78AB57BB" w:rsidR="00F45D40" w:rsidRPr="00D573CA" w:rsidRDefault="00F45D40" w:rsidP="00434A6A">
      <w:pPr>
        <w:pStyle w:val="aa"/>
        <w:numPr>
          <w:ilvl w:val="0"/>
          <w:numId w:val="30"/>
        </w:numPr>
        <w:rPr>
          <w:rtl/>
        </w:rPr>
      </w:pPr>
      <w:r>
        <w:rPr>
          <w:rFonts w:cs="Arial" w:hint="cs"/>
          <w:rtl/>
        </w:rPr>
        <w:t xml:space="preserve">ר"ן </w:t>
      </w:r>
      <w:r w:rsidRPr="00BA1132">
        <w:rPr>
          <w:rFonts w:cs="Arial" w:hint="cs"/>
          <w:sz w:val="16"/>
          <w:szCs w:val="16"/>
          <w:rtl/>
        </w:rPr>
        <w:t>(לח.)</w:t>
      </w:r>
      <w:r>
        <w:rPr>
          <w:rFonts w:cs="Arial" w:hint="cs"/>
          <w:rtl/>
        </w:rPr>
        <w:t xml:space="preserve">- </w:t>
      </w:r>
      <w:r w:rsidRPr="00C4361C">
        <w:rPr>
          <w:rFonts w:cs="Arial"/>
          <w:rtl/>
        </w:rPr>
        <w:t>הא למה זה דומה</w:t>
      </w:r>
      <w:r>
        <w:rPr>
          <w:rFonts w:cs="Arial" w:hint="cs"/>
          <w:rtl/>
        </w:rPr>
        <w:t>,</w:t>
      </w:r>
      <w:r w:rsidRPr="00C4361C">
        <w:rPr>
          <w:rFonts w:cs="Arial"/>
          <w:rtl/>
        </w:rPr>
        <w:t xml:space="preserve"> מאחר שניצוד ע"י ראשון</w:t>
      </w:r>
      <w:r>
        <w:rPr>
          <w:rFonts w:cs="Arial" w:hint="cs"/>
          <w:rtl/>
        </w:rPr>
        <w:t>,</w:t>
      </w:r>
      <w:r w:rsidRPr="00C4361C">
        <w:rPr>
          <w:rFonts w:cs="Arial"/>
          <w:rtl/>
        </w:rPr>
        <w:t xml:space="preserve"> לנועל ביתו לשמרו ונמצא צבי שמור בתוכו</w:t>
      </w:r>
      <w:r>
        <w:rPr>
          <w:rFonts w:cs="Arial" w:hint="cs"/>
          <w:rtl/>
        </w:rPr>
        <w:t>,</w:t>
      </w:r>
      <w:r w:rsidRPr="00C4361C">
        <w:rPr>
          <w:rFonts w:cs="Arial"/>
          <w:rtl/>
        </w:rPr>
        <w:t xml:space="preserve"> פירוש כגון שיש צבי בתוך הבית והדלת מגופה והוא שמור בכך ובא זה ונעל עוד במנעול</w:t>
      </w:r>
      <w:r>
        <w:rPr>
          <w:rFonts w:cs="Arial" w:hint="cs"/>
          <w:rtl/>
        </w:rPr>
        <w:t xml:space="preserve"> -</w:t>
      </w:r>
      <w:r w:rsidRPr="00C4361C">
        <w:rPr>
          <w:rFonts w:cs="Arial"/>
          <w:rtl/>
        </w:rPr>
        <w:t xml:space="preserve"> אע</w:t>
      </w:r>
      <w:r>
        <w:rPr>
          <w:rFonts w:cs="Arial" w:hint="cs"/>
          <w:rtl/>
        </w:rPr>
        <w:t>"</w:t>
      </w:r>
      <w:r w:rsidRPr="00C4361C">
        <w:rPr>
          <w:rFonts w:cs="Arial"/>
          <w:rtl/>
        </w:rPr>
        <w:t>פ שמוסיף לו שמירה על שמירתו מותר</w:t>
      </w:r>
      <w:r>
        <w:rPr>
          <w:rFonts w:cs="Arial" w:hint="cs"/>
          <w:rtl/>
        </w:rPr>
        <w:t>,</w:t>
      </w:r>
      <w:r w:rsidRPr="00C4361C">
        <w:rPr>
          <w:rFonts w:cs="Arial"/>
          <w:rtl/>
        </w:rPr>
        <w:t xml:space="preserve"> ולא אמרינן הרי זה כאילו צד אותו מפני שאלמלא נעל הוא שמא היו הדלתות נפתחות והצבי נמלט</w:t>
      </w:r>
      <w:r>
        <w:rPr>
          <w:rFonts w:cs="Arial" w:hint="cs"/>
          <w:rtl/>
        </w:rPr>
        <w:t>.</w:t>
      </w:r>
      <w:r w:rsidRPr="00C4361C">
        <w:rPr>
          <w:rFonts w:cs="Arial"/>
          <w:rtl/>
        </w:rPr>
        <w:t xml:space="preserve"> כך שני זה מותר לו לישב בצד הראשון כיון שהראשון מלא את הפתח אע</w:t>
      </w:r>
      <w:r>
        <w:rPr>
          <w:rFonts w:cs="Arial" w:hint="cs"/>
          <w:rtl/>
        </w:rPr>
        <w:t>"</w:t>
      </w:r>
      <w:r w:rsidRPr="00C4361C">
        <w:rPr>
          <w:rFonts w:cs="Arial"/>
          <w:rtl/>
        </w:rPr>
        <w:t>פ שלאחר שנסתלק הראשון נשאר הצבי ניצוד מחמת השני</w:t>
      </w:r>
      <w:r>
        <w:rPr>
          <w:rFonts w:cs="Arial" w:hint="cs"/>
          <w:rtl/>
        </w:rPr>
        <w:t>.</w:t>
      </w:r>
      <w:r w:rsidRPr="00C4361C">
        <w:rPr>
          <w:rFonts w:cs="Arial"/>
          <w:rtl/>
        </w:rPr>
        <w:t xml:space="preserve"> א"נ כגון שהיה צבי קשור בבית זה ונעל שאע"פ שניתר הצבי אין אומרים לזה שיפתח את ביתו כדי שיצא הצבי כיון שבשעה שנעל בהיתר נעל</w:t>
      </w:r>
      <w:r>
        <w:rPr>
          <w:rFonts w:cs="Arial" w:hint="cs"/>
          <w:rtl/>
        </w:rPr>
        <w:t>,</w:t>
      </w:r>
      <w:r w:rsidRPr="00C4361C">
        <w:rPr>
          <w:rFonts w:cs="Arial"/>
          <w:rtl/>
        </w:rPr>
        <w:t xml:space="preserve"> אף זה השני כיון שבשעה שישב בהיתר ישב אין מחייבין אותו להסתלק משם לאחר שנסתלק הראשון</w:t>
      </w:r>
      <w:r>
        <w:rPr>
          <w:rFonts w:cs="Arial" w:hint="cs"/>
          <w:rtl/>
        </w:rPr>
        <w:t>.</w:t>
      </w:r>
      <w:r w:rsidRPr="00F45D40">
        <w:rPr>
          <w:rFonts w:hint="cs"/>
          <w:color w:val="00B0F0"/>
          <w:rtl/>
        </w:rPr>
        <w:t xml:space="preserve"> (וכ"פ הרמ"א)</w:t>
      </w:r>
    </w:p>
    <w:p w14:paraId="78C70C81" w14:textId="5B9A2B8F" w:rsidR="00A626A4" w:rsidRPr="00E3353E" w:rsidRDefault="00A626A4" w:rsidP="00434A6A">
      <w:pPr>
        <w:rPr>
          <w:sz w:val="16"/>
          <w:szCs w:val="16"/>
          <w:rtl/>
        </w:rPr>
      </w:pPr>
      <w:r w:rsidRPr="00A626A4">
        <w:rPr>
          <w:rFonts w:cs="Arial" w:hint="cs"/>
          <w:b/>
          <w:bCs/>
          <w:rtl/>
        </w:rPr>
        <w:t xml:space="preserve">ירושלמי שבת פי"ג ה"ו: </w:t>
      </w:r>
      <w:r w:rsidRPr="00A626A4">
        <w:rPr>
          <w:rFonts w:cs="Arial"/>
          <w:u w:val="single"/>
          <w:rtl/>
        </w:rPr>
        <w:t>ר' יוסי בי ר' בון בשם רב חינא</w:t>
      </w:r>
      <w:r>
        <w:rPr>
          <w:rFonts w:cs="Arial" w:hint="cs"/>
          <w:rtl/>
        </w:rPr>
        <w:t>:</w:t>
      </w:r>
      <w:r w:rsidRPr="00A626A4">
        <w:rPr>
          <w:rFonts w:cs="Arial"/>
          <w:rtl/>
        </w:rPr>
        <w:t xml:space="preserve"> היה צבי רץ כדרכו</w:t>
      </w:r>
      <w:r>
        <w:rPr>
          <w:rFonts w:cs="Arial" w:hint="cs"/>
          <w:rtl/>
        </w:rPr>
        <w:t>,</w:t>
      </w:r>
      <w:r w:rsidRPr="00A626A4">
        <w:rPr>
          <w:rFonts w:cs="Arial"/>
          <w:rtl/>
        </w:rPr>
        <w:t xml:space="preserve"> ונתכוון לנעול בעדו</w:t>
      </w:r>
      <w:r>
        <w:rPr>
          <w:rFonts w:cs="Arial" w:hint="cs"/>
          <w:rtl/>
        </w:rPr>
        <w:t>,</w:t>
      </w:r>
      <w:r w:rsidRPr="00A626A4">
        <w:rPr>
          <w:rFonts w:cs="Arial"/>
          <w:rtl/>
        </w:rPr>
        <w:t xml:space="preserve"> ונעל בעדו ובעד הצבי </w:t>
      </w:r>
      <w:r>
        <w:rPr>
          <w:rFonts w:cs="Arial" w:hint="cs"/>
          <w:rtl/>
        </w:rPr>
        <w:t xml:space="preserve">- </w:t>
      </w:r>
      <w:r w:rsidRPr="00A626A4">
        <w:rPr>
          <w:rFonts w:cs="Arial"/>
          <w:rtl/>
        </w:rPr>
        <w:t xml:space="preserve">מותר. </w:t>
      </w:r>
      <w:r w:rsidRPr="00A626A4">
        <w:rPr>
          <w:rFonts w:cs="Arial"/>
          <w:u w:val="single"/>
          <w:rtl/>
        </w:rPr>
        <w:t>ר' יוסי בי ר' בון בשם רב חונה</w:t>
      </w:r>
      <w:r>
        <w:rPr>
          <w:rFonts w:cs="Arial" w:hint="cs"/>
          <w:rtl/>
        </w:rPr>
        <w:t>:</w:t>
      </w:r>
      <w:r w:rsidRPr="00A626A4">
        <w:rPr>
          <w:rFonts w:cs="Arial"/>
          <w:rtl/>
        </w:rPr>
        <w:t xml:space="preserve"> ראה תינוק מבעבע בנהר</w:t>
      </w:r>
      <w:r>
        <w:rPr>
          <w:rFonts w:cs="Arial" w:hint="cs"/>
          <w:rtl/>
        </w:rPr>
        <w:t>,</w:t>
      </w:r>
      <w:r w:rsidRPr="00A626A4">
        <w:rPr>
          <w:rFonts w:cs="Arial"/>
          <w:rtl/>
        </w:rPr>
        <w:t xml:space="preserve"> ונתכוון להעלותו ולהעלות נחיל של דגים עמו </w:t>
      </w:r>
      <w:r>
        <w:rPr>
          <w:rFonts w:cs="Arial" w:hint="cs"/>
          <w:rtl/>
        </w:rPr>
        <w:t xml:space="preserve">- </w:t>
      </w:r>
      <w:r w:rsidRPr="00A626A4">
        <w:rPr>
          <w:rFonts w:cs="Arial"/>
          <w:rtl/>
        </w:rPr>
        <w:t xml:space="preserve">מותר. </w:t>
      </w:r>
      <w:r w:rsidRPr="00A626A4">
        <w:rPr>
          <w:rFonts w:cs="Arial"/>
          <w:u w:val="single"/>
          <w:rtl/>
        </w:rPr>
        <w:t>ר' יוסי בי ר' בון בשם רב חונא</w:t>
      </w:r>
      <w:r>
        <w:rPr>
          <w:rFonts w:cs="Arial" w:hint="cs"/>
          <w:rtl/>
        </w:rPr>
        <w:t>:</w:t>
      </w:r>
      <w:r w:rsidRPr="00A626A4">
        <w:rPr>
          <w:rFonts w:cs="Arial"/>
          <w:rtl/>
        </w:rPr>
        <w:t xml:space="preserve"> היה מפקח בגל</w:t>
      </w:r>
      <w:r>
        <w:rPr>
          <w:rFonts w:cs="Arial" w:hint="cs"/>
          <w:rtl/>
        </w:rPr>
        <w:t>,</w:t>
      </w:r>
      <w:r w:rsidRPr="00A626A4">
        <w:rPr>
          <w:rFonts w:cs="Arial"/>
          <w:rtl/>
        </w:rPr>
        <w:t xml:space="preserve"> ונתכוון להעלות ולהעלות צרור של זהובים עמו </w:t>
      </w:r>
      <w:r>
        <w:rPr>
          <w:rFonts w:cs="Arial" w:hint="cs"/>
          <w:rtl/>
        </w:rPr>
        <w:t xml:space="preserve">- </w:t>
      </w:r>
      <w:r w:rsidRPr="00A626A4">
        <w:rPr>
          <w:rFonts w:cs="Arial"/>
          <w:rtl/>
        </w:rPr>
        <w:t>מותר</w:t>
      </w:r>
      <w:r>
        <w:rPr>
          <w:rFonts w:cs="Arial" w:hint="cs"/>
          <w:rtl/>
        </w:rPr>
        <w:t>.</w:t>
      </w:r>
      <w:r w:rsidR="00E3353E">
        <w:rPr>
          <w:rFonts w:hint="cs"/>
          <w:sz w:val="16"/>
          <w:szCs w:val="16"/>
          <w:rtl/>
        </w:rPr>
        <w:t xml:space="preserve"> (</w:t>
      </w:r>
      <w:r w:rsidR="00E3353E" w:rsidRPr="00E3353E">
        <w:rPr>
          <w:rFonts w:cs="Arial"/>
          <w:sz w:val="16"/>
          <w:szCs w:val="16"/>
          <w:rtl/>
        </w:rPr>
        <w:t>ולפי זה הא דאמרינן ונתכוין לנעול בעדו</w:t>
      </w:r>
      <w:r w:rsidR="001650A2">
        <w:rPr>
          <w:rFonts w:cs="Arial" w:hint="cs"/>
          <w:sz w:val="16"/>
          <w:szCs w:val="16"/>
          <w:rtl/>
        </w:rPr>
        <w:t>,</w:t>
      </w:r>
      <w:r w:rsidR="00E3353E" w:rsidRPr="00E3353E">
        <w:rPr>
          <w:rFonts w:cs="Arial"/>
          <w:sz w:val="16"/>
          <w:szCs w:val="16"/>
          <w:rtl/>
        </w:rPr>
        <w:t xml:space="preserve"> לא בעדו בלבד קאמר</w:t>
      </w:r>
      <w:r w:rsidR="001650A2">
        <w:rPr>
          <w:rFonts w:cs="Arial" w:hint="cs"/>
          <w:sz w:val="16"/>
          <w:szCs w:val="16"/>
          <w:rtl/>
        </w:rPr>
        <w:t>,</w:t>
      </w:r>
      <w:r w:rsidR="00E3353E" w:rsidRPr="00E3353E">
        <w:rPr>
          <w:rFonts w:cs="Arial"/>
          <w:sz w:val="16"/>
          <w:szCs w:val="16"/>
          <w:rtl/>
        </w:rPr>
        <w:t xml:space="preserve"> אלא אם נתכוין לנעול אף בעדו קאמר, ולומר שאילו צריך לנעול בעדו מותר אע</w:t>
      </w:r>
      <w:r w:rsidR="001650A2">
        <w:rPr>
          <w:rFonts w:cs="Arial" w:hint="cs"/>
          <w:sz w:val="16"/>
          <w:szCs w:val="16"/>
          <w:rtl/>
        </w:rPr>
        <w:t>"</w:t>
      </w:r>
      <w:r w:rsidR="00E3353E" w:rsidRPr="00E3353E">
        <w:rPr>
          <w:rFonts w:cs="Arial"/>
          <w:sz w:val="16"/>
          <w:szCs w:val="16"/>
          <w:rtl/>
        </w:rPr>
        <w:t>פ שמתכוון שיהא הצבי ניצוד בתוכו</w:t>
      </w:r>
      <w:r w:rsidR="00E3353E">
        <w:rPr>
          <w:rFonts w:hint="cs"/>
          <w:sz w:val="16"/>
          <w:szCs w:val="16"/>
          <w:rtl/>
        </w:rPr>
        <w:t>, רשב"א (שבת קז.))</w:t>
      </w:r>
    </w:p>
    <w:p w14:paraId="5E016583" w14:textId="282A0F1D" w:rsidR="00A626A4" w:rsidRPr="00E3353E" w:rsidRDefault="00E3353E" w:rsidP="00434A6A">
      <w:pPr>
        <w:rPr>
          <w:u w:val="single"/>
        </w:rPr>
      </w:pPr>
      <w:r w:rsidRPr="00E3353E">
        <w:rPr>
          <w:rFonts w:hint="cs"/>
          <w:u w:val="single"/>
          <w:rtl/>
        </w:rPr>
        <w:t xml:space="preserve">דלת שצריך לסוגרה </w:t>
      </w:r>
      <w:r w:rsidRPr="00E3353E">
        <w:rPr>
          <w:rFonts w:hint="cs"/>
          <w:sz w:val="16"/>
          <w:szCs w:val="16"/>
          <w:u w:val="single"/>
          <w:rtl/>
        </w:rPr>
        <w:t>(שלא יכנסו יתושים וכדו')</w:t>
      </w:r>
      <w:r w:rsidRPr="00E3353E">
        <w:rPr>
          <w:rFonts w:hint="cs"/>
          <w:u w:val="single"/>
          <w:rtl/>
        </w:rPr>
        <w:t xml:space="preserve"> - האם מותר לסוגרה גם כשנכנסה חיה פנימה ויהיה בזה צידה:</w:t>
      </w:r>
    </w:p>
    <w:p w14:paraId="6772C534" w14:textId="5BF7BA87" w:rsidR="00A626A4" w:rsidRPr="00E3353E" w:rsidRDefault="00A626A4" w:rsidP="00434A6A">
      <w:pPr>
        <w:pStyle w:val="aa"/>
        <w:numPr>
          <w:ilvl w:val="0"/>
          <w:numId w:val="30"/>
        </w:numPr>
      </w:pPr>
      <w:r w:rsidRPr="00A626A4">
        <w:rPr>
          <w:rFonts w:cs="Arial"/>
          <w:rtl/>
        </w:rPr>
        <w:t>רשב"א</w:t>
      </w:r>
      <w:r w:rsidR="00E3353E">
        <w:rPr>
          <w:rFonts w:cs="Arial" w:hint="cs"/>
          <w:rtl/>
        </w:rPr>
        <w:t xml:space="preserve"> </w:t>
      </w:r>
      <w:r w:rsidR="00E3353E">
        <w:rPr>
          <w:rFonts w:hint="cs"/>
          <w:sz w:val="16"/>
          <w:szCs w:val="16"/>
          <w:rtl/>
        </w:rPr>
        <w:t>(שבת קז.)</w:t>
      </w:r>
      <w:r>
        <w:rPr>
          <w:rFonts w:cs="Arial" w:hint="cs"/>
          <w:rtl/>
        </w:rPr>
        <w:t xml:space="preserve">- </w:t>
      </w:r>
      <w:r w:rsidRPr="00A626A4">
        <w:rPr>
          <w:rFonts w:cs="Arial"/>
          <w:rtl/>
        </w:rPr>
        <w:t>בירושלמי נראה שהתירו לנעול בתחלה ביתו ולשמור ביתו וצבי שבתוכו</w:t>
      </w:r>
      <w:r w:rsidR="001650A2">
        <w:rPr>
          <w:rFonts w:cs="Arial" w:hint="cs"/>
          <w:rtl/>
        </w:rPr>
        <w:t>,</w:t>
      </w:r>
      <w:r w:rsidRPr="00A626A4">
        <w:rPr>
          <w:rFonts w:cs="Arial"/>
          <w:rtl/>
        </w:rPr>
        <w:t xml:space="preserve"> וכיון שהוא צריך לשמור ביתו אע</w:t>
      </w:r>
      <w:r w:rsidR="00E3353E">
        <w:rPr>
          <w:rFonts w:cs="Arial" w:hint="cs"/>
          <w:rtl/>
        </w:rPr>
        <w:t>"</w:t>
      </w:r>
      <w:r w:rsidRPr="00A626A4">
        <w:rPr>
          <w:rFonts w:cs="Arial"/>
          <w:rtl/>
        </w:rPr>
        <w:t>פ שע"י כך ניצוד הצבי ממילא</w:t>
      </w:r>
      <w:r w:rsidR="001650A2">
        <w:rPr>
          <w:rFonts w:cs="Arial" w:hint="cs"/>
          <w:rtl/>
        </w:rPr>
        <w:t xml:space="preserve"> -</w:t>
      </w:r>
      <w:r w:rsidRPr="00A626A4">
        <w:rPr>
          <w:rFonts w:cs="Arial"/>
          <w:rtl/>
        </w:rPr>
        <w:t xml:space="preserve"> מותר</w:t>
      </w:r>
      <w:r w:rsidR="001650A2">
        <w:rPr>
          <w:rFonts w:cs="Arial" w:hint="cs"/>
          <w:rtl/>
        </w:rPr>
        <w:t>,</w:t>
      </w:r>
      <w:r w:rsidRPr="00A626A4">
        <w:rPr>
          <w:rFonts w:cs="Arial"/>
          <w:rtl/>
        </w:rPr>
        <w:t xml:space="preserve"> ובלבד שלא יתכוין לשמור את הצבי בלבד</w:t>
      </w:r>
      <w:r w:rsidR="00BA1132">
        <w:rPr>
          <w:rStyle w:val="a9"/>
          <w:rFonts w:cs="Arial"/>
          <w:rtl/>
        </w:rPr>
        <w:footnoteReference w:id="2461"/>
      </w:r>
      <w:r w:rsidR="00E3353E">
        <w:rPr>
          <w:rFonts w:cs="Arial" w:hint="cs"/>
          <w:rtl/>
        </w:rPr>
        <w:t>.</w:t>
      </w:r>
      <w:r w:rsidRPr="00A626A4">
        <w:rPr>
          <w:rFonts w:cs="Arial"/>
          <w:rtl/>
        </w:rPr>
        <w:t xml:space="preserve"> </w:t>
      </w:r>
    </w:p>
    <w:p w14:paraId="105F9251" w14:textId="3AE3BA93" w:rsidR="00E3353E" w:rsidRPr="00D573CA" w:rsidRDefault="00E3353E" w:rsidP="00434A6A">
      <w:pPr>
        <w:pStyle w:val="aa"/>
        <w:numPr>
          <w:ilvl w:val="0"/>
          <w:numId w:val="30"/>
        </w:numPr>
      </w:pPr>
      <w:r>
        <w:rPr>
          <w:rFonts w:cs="Arial" w:hint="cs"/>
          <w:rtl/>
        </w:rPr>
        <w:t xml:space="preserve">ר"ן </w:t>
      </w:r>
      <w:r>
        <w:rPr>
          <w:rFonts w:cs="Arial" w:hint="cs"/>
          <w:sz w:val="16"/>
          <w:szCs w:val="16"/>
          <w:rtl/>
        </w:rPr>
        <w:t>(שבת לח.)</w:t>
      </w:r>
      <w:r>
        <w:rPr>
          <w:rFonts w:cs="Arial" w:hint="cs"/>
          <w:rtl/>
        </w:rPr>
        <w:t xml:space="preserve">- </w:t>
      </w:r>
      <w:r w:rsidRPr="00A626A4">
        <w:rPr>
          <w:rFonts w:cs="Arial"/>
          <w:rtl/>
        </w:rPr>
        <w:t>אפי' שאינו מתכוין לנעול בעד הצבי</w:t>
      </w:r>
      <w:r>
        <w:rPr>
          <w:rFonts w:cs="Arial" w:hint="cs"/>
          <w:rtl/>
        </w:rPr>
        <w:t>,</w:t>
      </w:r>
      <w:r w:rsidRPr="00A626A4">
        <w:rPr>
          <w:rFonts w:cs="Arial"/>
          <w:rtl/>
        </w:rPr>
        <w:t xml:space="preserve"> כל שהוא ידוע שהצבי בתוכו ושאי אפשר לו שלא יהא הצבי ניצוד בתוכו </w:t>
      </w:r>
      <w:r>
        <w:rPr>
          <w:rFonts w:cs="Arial" w:hint="cs"/>
          <w:rtl/>
        </w:rPr>
        <w:t xml:space="preserve">- </w:t>
      </w:r>
      <w:r w:rsidRPr="00A626A4">
        <w:rPr>
          <w:rFonts w:cs="Arial"/>
          <w:rtl/>
        </w:rPr>
        <w:t>אסור</w:t>
      </w:r>
      <w:r>
        <w:rPr>
          <w:rFonts w:hint="cs"/>
          <w:rtl/>
        </w:rPr>
        <w:t>.</w:t>
      </w:r>
    </w:p>
    <w:p w14:paraId="43BA86CE" w14:textId="348E0726" w:rsidR="005022B5" w:rsidRPr="005275DF" w:rsidRDefault="005022B5" w:rsidP="00434A6A">
      <w:pPr>
        <w:rPr>
          <w:rFonts w:asciiTheme="minorBidi" w:hAnsiTheme="minorBidi"/>
          <w:rtl/>
        </w:rPr>
      </w:pPr>
      <w:r w:rsidRPr="005275DF">
        <w:rPr>
          <w:rFonts w:asciiTheme="minorBidi" w:hAnsiTheme="minorBidi"/>
          <w:b/>
          <w:bCs/>
          <w:sz w:val="32"/>
          <w:szCs w:val="28"/>
          <w:u w:val="single"/>
          <w:rtl/>
        </w:rPr>
        <w:t xml:space="preserve">שו"ע: </w:t>
      </w:r>
    </w:p>
    <w:p w14:paraId="65D26FBD" w14:textId="5103C34B" w:rsidR="005022B5" w:rsidRDefault="005022B5" w:rsidP="00434A6A">
      <w:pPr>
        <w:rPr>
          <w:rFonts w:asciiTheme="minorBidi" w:hAnsiTheme="minorBidi"/>
          <w:rtl/>
        </w:rPr>
      </w:pPr>
      <w:r w:rsidRPr="005275DF">
        <w:rPr>
          <w:rFonts w:asciiTheme="minorBidi" w:hAnsiTheme="minorBidi"/>
          <w:rtl/>
        </w:rPr>
        <w:t>צבי שנכנס לתוך הבית ונעל אחד בפניו, חייב</w:t>
      </w:r>
      <w:r w:rsidR="00D66E7F">
        <w:rPr>
          <w:rFonts w:asciiTheme="minorBidi" w:hAnsiTheme="minorBidi" w:hint="cs"/>
          <w:rtl/>
        </w:rPr>
        <w:t>.</w:t>
      </w:r>
      <w:r w:rsidRPr="005275DF">
        <w:rPr>
          <w:rFonts w:asciiTheme="minorBidi" w:hAnsiTheme="minorBidi"/>
          <w:rtl/>
        </w:rPr>
        <w:t xml:space="preserve"> נעלו שנים, פטורים</w:t>
      </w:r>
      <w:r w:rsidR="00D66E7F">
        <w:rPr>
          <w:rFonts w:asciiTheme="minorBidi" w:hAnsiTheme="minorBidi" w:hint="cs"/>
          <w:rtl/>
        </w:rPr>
        <w:t>.</w:t>
      </w:r>
      <w:r w:rsidRPr="005275DF">
        <w:rPr>
          <w:rFonts w:asciiTheme="minorBidi" w:hAnsiTheme="minorBidi"/>
          <w:rtl/>
        </w:rPr>
        <w:t xml:space="preserve"> אין אחד יכול לנעול, ונעלו שנים, חייבים</w:t>
      </w:r>
      <w:r w:rsidR="00F13C3E" w:rsidRPr="005275DF">
        <w:rPr>
          <w:rStyle w:val="a9"/>
          <w:rFonts w:asciiTheme="minorBidi" w:hAnsiTheme="minorBidi"/>
          <w:rtl/>
        </w:rPr>
        <w:footnoteReference w:id="2462"/>
      </w:r>
      <w:r w:rsidRPr="005275DF">
        <w:rPr>
          <w:rFonts w:asciiTheme="minorBidi" w:hAnsiTheme="minorBidi"/>
          <w:rtl/>
        </w:rPr>
        <w:t xml:space="preserve">. </w:t>
      </w:r>
      <w:r w:rsidRPr="005275DF">
        <w:rPr>
          <w:rFonts w:asciiTheme="minorBidi" w:hAnsiTheme="minorBidi"/>
          <w:sz w:val="18"/>
          <w:szCs w:val="18"/>
          <w:rtl/>
        </w:rPr>
        <w:t>הגה: ואם הפתח כבר מגופף, מותר לנעלה במנעול (ר"ן</w:t>
      </w:r>
      <w:r w:rsidR="00BA1132">
        <w:rPr>
          <w:rFonts w:asciiTheme="minorBidi" w:hAnsiTheme="minorBidi" w:hint="cs"/>
          <w:sz w:val="18"/>
          <w:szCs w:val="18"/>
          <w:rtl/>
        </w:rPr>
        <w:t xml:space="preserve"> והה"מ</w:t>
      </w:r>
      <w:r w:rsidRPr="005275DF">
        <w:rPr>
          <w:rFonts w:asciiTheme="minorBidi" w:hAnsiTheme="minorBidi"/>
          <w:sz w:val="18"/>
          <w:szCs w:val="18"/>
          <w:rtl/>
        </w:rPr>
        <w:t xml:space="preserve">). </w:t>
      </w:r>
    </w:p>
    <w:p w14:paraId="08B12F70" w14:textId="77777777" w:rsidR="00F332E8" w:rsidRPr="005275DF" w:rsidRDefault="00F332E8" w:rsidP="00434A6A">
      <w:pPr>
        <w:rPr>
          <w:rFonts w:asciiTheme="minorBidi" w:hAnsiTheme="minorBidi"/>
          <w:rtl/>
        </w:rPr>
      </w:pPr>
    </w:p>
    <w:p w14:paraId="3E6B435F" w14:textId="5FF98C23" w:rsidR="00F332E8" w:rsidRDefault="00F332E8" w:rsidP="00434A6A">
      <w:pPr>
        <w:pStyle w:val="2"/>
        <w:rPr>
          <w:rFonts w:asciiTheme="minorBidi" w:hAnsiTheme="minorBidi" w:cstheme="minorBidi"/>
          <w:rtl/>
        </w:rPr>
      </w:pPr>
      <w:r w:rsidRPr="005275DF">
        <w:rPr>
          <w:rFonts w:asciiTheme="minorBidi" w:hAnsiTheme="minorBidi" w:cstheme="minorBidi"/>
          <w:rtl/>
        </w:rPr>
        <w:t xml:space="preserve">סעיף </w:t>
      </w:r>
      <w:r>
        <w:rPr>
          <w:rFonts w:asciiTheme="minorBidi" w:hAnsiTheme="minorBidi" w:cstheme="minorBidi" w:hint="cs"/>
          <w:rtl/>
        </w:rPr>
        <w:t>ו</w:t>
      </w:r>
      <w:r w:rsidRPr="005275DF">
        <w:rPr>
          <w:rFonts w:asciiTheme="minorBidi" w:hAnsiTheme="minorBidi" w:cstheme="minorBidi"/>
          <w:rtl/>
        </w:rPr>
        <w:t>:</w:t>
      </w:r>
      <w:r w:rsidR="000A048F">
        <w:rPr>
          <w:rFonts w:asciiTheme="minorBidi" w:hAnsiTheme="minorBidi" w:cstheme="minorBidi" w:hint="cs"/>
          <w:rtl/>
        </w:rPr>
        <w:t xml:space="preserve"> ישיבה בפתח הבית כשיש בתוכו צבי. </w:t>
      </w:r>
    </w:p>
    <w:p w14:paraId="038200B2" w14:textId="3B538818" w:rsidR="00F45D40" w:rsidRPr="00F45D40" w:rsidRDefault="00F45D40" w:rsidP="00434A6A">
      <w:pPr>
        <w:rPr>
          <w:rtl/>
        </w:rPr>
      </w:pPr>
      <w:r>
        <w:rPr>
          <w:rFonts w:hint="cs"/>
          <w:rtl/>
        </w:rPr>
        <w:t>עיין במקורות בסעיף ה.</w:t>
      </w:r>
    </w:p>
    <w:p w14:paraId="392FF07A" w14:textId="2E63179D" w:rsidR="005022B5" w:rsidRPr="005275DF" w:rsidRDefault="005022B5" w:rsidP="00434A6A">
      <w:pPr>
        <w:rPr>
          <w:rFonts w:asciiTheme="minorBidi" w:hAnsiTheme="minorBidi"/>
          <w:rtl/>
        </w:rPr>
      </w:pPr>
      <w:r w:rsidRPr="005275DF">
        <w:rPr>
          <w:rFonts w:asciiTheme="minorBidi" w:hAnsiTheme="minorBidi"/>
          <w:b/>
          <w:bCs/>
          <w:sz w:val="32"/>
          <w:szCs w:val="28"/>
          <w:u w:val="single"/>
          <w:rtl/>
        </w:rPr>
        <w:t xml:space="preserve">שו"ע: </w:t>
      </w:r>
    </w:p>
    <w:p w14:paraId="7F294D83" w14:textId="2DAA1748" w:rsidR="005022B5" w:rsidRDefault="005022B5" w:rsidP="00434A6A">
      <w:pPr>
        <w:rPr>
          <w:rFonts w:asciiTheme="minorBidi" w:hAnsiTheme="minorBidi"/>
          <w:rtl/>
        </w:rPr>
      </w:pPr>
      <w:r w:rsidRPr="005275DF">
        <w:rPr>
          <w:rFonts w:asciiTheme="minorBidi" w:hAnsiTheme="minorBidi"/>
          <w:rtl/>
        </w:rPr>
        <w:t>ישב אחד על הפתח ו</w:t>
      </w:r>
      <w:r w:rsidR="00F13C3E" w:rsidRPr="005275DF">
        <w:rPr>
          <w:rFonts w:asciiTheme="minorBidi" w:hAnsiTheme="minorBidi"/>
          <w:rtl/>
        </w:rPr>
        <w:t>מלאו, יכול השני לישב בצדו, ואפילו</w:t>
      </w:r>
      <w:r w:rsidRPr="005275DF">
        <w:rPr>
          <w:rFonts w:asciiTheme="minorBidi" w:hAnsiTheme="minorBidi"/>
          <w:rtl/>
        </w:rPr>
        <w:t xml:space="preserve"> אם עמד הראשון וה</w:t>
      </w:r>
      <w:r w:rsidR="00E145CA" w:rsidRPr="005275DF">
        <w:rPr>
          <w:rFonts w:asciiTheme="minorBidi" w:hAnsiTheme="minorBidi"/>
          <w:rtl/>
        </w:rPr>
        <w:t>לך לו,</w:t>
      </w:r>
      <w:r w:rsidR="00F13C3E" w:rsidRPr="005275DF">
        <w:rPr>
          <w:rFonts w:asciiTheme="minorBidi" w:hAnsiTheme="minorBidi"/>
          <w:rtl/>
        </w:rPr>
        <w:t xml:space="preserve"> השני פטור ומותר</w:t>
      </w:r>
      <w:r w:rsidR="00D573CA">
        <w:rPr>
          <w:rFonts w:asciiTheme="minorBidi" w:hAnsiTheme="minorBidi" w:hint="cs"/>
          <w:rtl/>
        </w:rPr>
        <w:t>,</w:t>
      </w:r>
      <w:r w:rsidR="00F13C3E" w:rsidRPr="005275DF">
        <w:rPr>
          <w:rFonts w:asciiTheme="minorBidi" w:hAnsiTheme="minorBidi"/>
          <w:rtl/>
        </w:rPr>
        <w:t xml:space="preserve"> והראשון</w:t>
      </w:r>
      <w:r w:rsidRPr="005275DF">
        <w:rPr>
          <w:rFonts w:asciiTheme="minorBidi" w:hAnsiTheme="minorBidi"/>
          <w:rtl/>
        </w:rPr>
        <w:t xml:space="preserve"> חייב. </w:t>
      </w:r>
    </w:p>
    <w:p w14:paraId="7272EFED" w14:textId="77777777" w:rsidR="00F332E8" w:rsidRPr="005275DF" w:rsidRDefault="00F332E8" w:rsidP="00434A6A">
      <w:pPr>
        <w:rPr>
          <w:rFonts w:asciiTheme="minorBidi" w:hAnsiTheme="minorBidi"/>
          <w:rtl/>
        </w:rPr>
      </w:pPr>
    </w:p>
    <w:p w14:paraId="6EB1B41C" w14:textId="24D4C123" w:rsidR="005022B5" w:rsidRPr="005275DF" w:rsidRDefault="005022B5" w:rsidP="00434A6A">
      <w:pPr>
        <w:pStyle w:val="2"/>
        <w:rPr>
          <w:rFonts w:asciiTheme="minorBidi" w:hAnsiTheme="minorBidi" w:cstheme="minorBidi"/>
          <w:rtl/>
        </w:rPr>
      </w:pPr>
      <w:r w:rsidRPr="005275DF">
        <w:rPr>
          <w:rFonts w:asciiTheme="minorBidi" w:hAnsiTheme="minorBidi" w:cstheme="minorBidi"/>
          <w:rtl/>
        </w:rPr>
        <w:t>סעיף ז</w:t>
      </w:r>
      <w:r w:rsidR="004C4E73" w:rsidRPr="005275DF">
        <w:rPr>
          <w:rFonts w:asciiTheme="minorBidi" w:hAnsiTheme="minorBidi" w:cstheme="minorBidi"/>
          <w:rtl/>
        </w:rPr>
        <w:t xml:space="preserve">: צידת </w:t>
      </w:r>
      <w:r w:rsidR="000A048F">
        <w:rPr>
          <w:rFonts w:asciiTheme="minorBidi" w:hAnsiTheme="minorBidi" w:cstheme="minorBidi" w:hint="cs"/>
          <w:rtl/>
        </w:rPr>
        <w:t xml:space="preserve">נחש ושאר </w:t>
      </w:r>
      <w:r w:rsidR="004C4E73" w:rsidRPr="005275DF">
        <w:rPr>
          <w:rFonts w:asciiTheme="minorBidi" w:hAnsiTheme="minorBidi" w:cstheme="minorBidi"/>
          <w:rtl/>
        </w:rPr>
        <w:t>רמשים המזיקים.</w:t>
      </w:r>
    </w:p>
    <w:p w14:paraId="32578D02" w14:textId="6B38BB52" w:rsidR="004C4E73" w:rsidRDefault="004C4E73" w:rsidP="00434A6A">
      <w:pPr>
        <w:rPr>
          <w:rFonts w:asciiTheme="minorBidi" w:hAnsiTheme="minorBidi"/>
          <w:rtl/>
        </w:rPr>
      </w:pPr>
      <w:r w:rsidRPr="005275DF">
        <w:rPr>
          <w:rFonts w:asciiTheme="minorBidi" w:hAnsiTheme="minorBidi"/>
          <w:b/>
          <w:bCs/>
          <w:rtl/>
        </w:rPr>
        <w:t xml:space="preserve">שבת </w:t>
      </w:r>
      <w:r w:rsidR="00F45D40">
        <w:rPr>
          <w:rFonts w:asciiTheme="minorBidi" w:hAnsiTheme="minorBidi" w:hint="cs"/>
          <w:b/>
          <w:bCs/>
          <w:sz w:val="16"/>
          <w:szCs w:val="16"/>
          <w:rtl/>
        </w:rPr>
        <w:t>(</w:t>
      </w:r>
      <w:r w:rsidR="00AA627C">
        <w:rPr>
          <w:rFonts w:asciiTheme="minorBidi" w:hAnsiTheme="minorBidi" w:hint="cs"/>
          <w:b/>
          <w:bCs/>
          <w:sz w:val="16"/>
          <w:szCs w:val="16"/>
          <w:rtl/>
        </w:rPr>
        <w:t>ס"</w:t>
      </w:r>
      <w:r w:rsidR="00F45D40">
        <w:rPr>
          <w:rFonts w:asciiTheme="minorBidi" w:hAnsiTheme="minorBidi" w:hint="cs"/>
          <w:b/>
          <w:bCs/>
          <w:sz w:val="16"/>
          <w:szCs w:val="16"/>
          <w:rtl/>
        </w:rPr>
        <w:t>פ ר' אליעזר האורג)</w:t>
      </w:r>
      <w:r w:rsidR="00F45D40">
        <w:rPr>
          <w:rFonts w:asciiTheme="minorBidi" w:hAnsiTheme="minorBidi" w:hint="cs"/>
          <w:b/>
          <w:bCs/>
          <w:rtl/>
        </w:rPr>
        <w:t xml:space="preserve"> </w:t>
      </w:r>
      <w:r w:rsidRPr="005275DF">
        <w:rPr>
          <w:rFonts w:asciiTheme="minorBidi" w:hAnsiTheme="minorBidi"/>
          <w:b/>
          <w:bCs/>
          <w:rtl/>
        </w:rPr>
        <w:t>קז ע"א:</w:t>
      </w:r>
      <w:r w:rsidRPr="005275DF">
        <w:rPr>
          <w:rFonts w:asciiTheme="minorBidi" w:hAnsiTheme="minorBidi"/>
          <w:rtl/>
        </w:rPr>
        <w:t xml:space="preserve"> הצד נחש בשבת, אם מתעסק בו שלא ישכנו - פטור, אם לרפואה - חייב</w:t>
      </w:r>
      <w:r w:rsidR="00F9068C">
        <w:rPr>
          <w:rFonts w:asciiTheme="minorBidi" w:hAnsiTheme="minorBidi" w:hint="cs"/>
          <w:rtl/>
        </w:rPr>
        <w:t xml:space="preserve"> </w:t>
      </w:r>
      <w:r w:rsidR="00F9068C" w:rsidRPr="00F9068C">
        <w:rPr>
          <w:rFonts w:asciiTheme="minorBidi" w:hAnsiTheme="minorBidi" w:cs="Arial" w:hint="cs"/>
          <w:sz w:val="16"/>
          <w:szCs w:val="16"/>
          <w:rtl/>
        </w:rPr>
        <w:t>(</w:t>
      </w:r>
      <w:r w:rsidR="00F9068C" w:rsidRPr="00F9068C">
        <w:rPr>
          <w:rFonts w:asciiTheme="minorBidi" w:hAnsiTheme="minorBidi" w:cs="Arial"/>
          <w:sz w:val="16"/>
          <w:szCs w:val="16"/>
          <w:rtl/>
        </w:rPr>
        <w:t>פ</w:t>
      </w:r>
      <w:r w:rsidR="00F9068C" w:rsidRPr="00F9068C">
        <w:rPr>
          <w:rFonts w:asciiTheme="minorBidi" w:hAnsiTheme="minorBidi" w:cs="Arial" w:hint="cs"/>
          <w:sz w:val="16"/>
          <w:szCs w:val="16"/>
          <w:rtl/>
        </w:rPr>
        <w:t>"</w:t>
      </w:r>
      <w:r w:rsidR="00F9068C" w:rsidRPr="00F9068C">
        <w:rPr>
          <w:rFonts w:asciiTheme="minorBidi" w:hAnsiTheme="minorBidi" w:cs="Arial"/>
          <w:sz w:val="16"/>
          <w:szCs w:val="16"/>
          <w:rtl/>
        </w:rPr>
        <w:t>ב דעדיות מ"ה)</w:t>
      </w:r>
      <w:r w:rsidRPr="005275DF">
        <w:rPr>
          <w:rFonts w:asciiTheme="minorBidi" w:hAnsiTheme="minorBidi"/>
          <w:rtl/>
        </w:rPr>
        <w:t>. וממאי דפטור ומותר - דתנן: כופין</w:t>
      </w:r>
      <w:r w:rsidRPr="005275DF">
        <w:rPr>
          <w:rStyle w:val="a9"/>
          <w:rFonts w:asciiTheme="minorBidi" w:hAnsiTheme="minorBidi"/>
          <w:rtl/>
        </w:rPr>
        <w:footnoteReference w:id="2463"/>
      </w:r>
      <w:r w:rsidRPr="005275DF">
        <w:rPr>
          <w:rFonts w:asciiTheme="minorBidi" w:hAnsiTheme="minorBidi"/>
          <w:rtl/>
        </w:rPr>
        <w:t xml:space="preserve"> קערה</w:t>
      </w:r>
      <w:r w:rsidRPr="005275DF">
        <w:rPr>
          <w:rStyle w:val="a9"/>
          <w:rFonts w:asciiTheme="minorBidi" w:hAnsiTheme="minorBidi"/>
          <w:rtl/>
        </w:rPr>
        <w:footnoteReference w:id="2464"/>
      </w:r>
      <w:r w:rsidRPr="005275DF">
        <w:rPr>
          <w:rFonts w:asciiTheme="minorBidi" w:hAnsiTheme="minorBidi"/>
          <w:rtl/>
        </w:rPr>
        <w:t xml:space="preserve"> על הנר בשביל שלא תאחוז בקורה, ועל צואה של קטן, ועל עקרב שלא תישך</w:t>
      </w:r>
      <w:r w:rsidRPr="005275DF">
        <w:rPr>
          <w:rStyle w:val="a9"/>
          <w:rFonts w:asciiTheme="minorBidi" w:hAnsiTheme="minorBidi"/>
          <w:rtl/>
        </w:rPr>
        <w:footnoteReference w:id="2465"/>
      </w:r>
      <w:r w:rsidRPr="005275DF">
        <w:rPr>
          <w:rFonts w:asciiTheme="minorBidi" w:hAnsiTheme="minorBidi"/>
          <w:rtl/>
        </w:rPr>
        <w:t>.</w:t>
      </w:r>
    </w:p>
    <w:p w14:paraId="67E619D7" w14:textId="1586B963" w:rsidR="00F45D40" w:rsidRPr="00F45D40" w:rsidRDefault="00F45D40" w:rsidP="00434A6A">
      <w:pPr>
        <w:rPr>
          <w:rFonts w:asciiTheme="minorBidi" w:hAnsiTheme="minorBidi"/>
          <w:u w:val="single"/>
          <w:rtl/>
        </w:rPr>
      </w:pPr>
      <w:r w:rsidRPr="00F45D40">
        <w:rPr>
          <w:rFonts w:asciiTheme="minorBidi" w:hAnsiTheme="minorBidi"/>
          <w:u w:val="single"/>
          <w:rtl/>
        </w:rPr>
        <w:t xml:space="preserve">צידת </w:t>
      </w:r>
      <w:r w:rsidRPr="00F45D40">
        <w:rPr>
          <w:rFonts w:asciiTheme="minorBidi" w:hAnsiTheme="minorBidi" w:hint="cs"/>
          <w:u w:val="single"/>
          <w:rtl/>
        </w:rPr>
        <w:t>נחש בשבת:</w:t>
      </w:r>
    </w:p>
    <w:p w14:paraId="5D6B85AF" w14:textId="3C69B801" w:rsidR="000A048F" w:rsidRDefault="000A048F" w:rsidP="00434A6A">
      <w:pPr>
        <w:pStyle w:val="aa"/>
        <w:numPr>
          <w:ilvl w:val="0"/>
          <w:numId w:val="30"/>
        </w:numPr>
      </w:pPr>
      <w:r>
        <w:rPr>
          <w:rFonts w:cs="Arial" w:hint="cs"/>
          <w:rtl/>
        </w:rPr>
        <w:t xml:space="preserve">טור- </w:t>
      </w:r>
      <w:r>
        <w:rPr>
          <w:rFonts w:cs="Arial"/>
          <w:rtl/>
        </w:rPr>
        <w:t xml:space="preserve">הצד נחש לרפואה </w:t>
      </w:r>
      <w:r w:rsidR="00F45D40">
        <w:rPr>
          <w:rFonts w:cs="Arial" w:hint="cs"/>
          <w:rtl/>
        </w:rPr>
        <w:t xml:space="preserve">- </w:t>
      </w:r>
      <w:r>
        <w:rPr>
          <w:rFonts w:cs="Arial"/>
          <w:rtl/>
        </w:rPr>
        <w:t>חייב</w:t>
      </w:r>
      <w:r>
        <w:rPr>
          <w:rFonts w:cs="Arial" w:hint="cs"/>
          <w:rtl/>
        </w:rPr>
        <w:t>.</w:t>
      </w:r>
      <w:r>
        <w:rPr>
          <w:rFonts w:cs="Arial"/>
          <w:rtl/>
        </w:rPr>
        <w:t xml:space="preserve"> ואם בשביל שלא ישכנו </w:t>
      </w:r>
      <w:r w:rsidR="00F45D40">
        <w:rPr>
          <w:rFonts w:cs="Arial" w:hint="cs"/>
          <w:rtl/>
        </w:rPr>
        <w:t xml:space="preserve">- </w:t>
      </w:r>
      <w:r>
        <w:rPr>
          <w:rFonts w:cs="Arial"/>
          <w:rtl/>
        </w:rPr>
        <w:t>מותר לכתחלה</w:t>
      </w:r>
      <w:r>
        <w:rPr>
          <w:rFonts w:cs="Arial" w:hint="cs"/>
          <w:rtl/>
        </w:rPr>
        <w:t>.</w:t>
      </w:r>
      <w:r w:rsidR="00F45D40" w:rsidRPr="00F45D40">
        <w:rPr>
          <w:rFonts w:hint="cs"/>
          <w:color w:val="E36C0A" w:themeColor="accent6" w:themeShade="BF"/>
          <w:rtl/>
        </w:rPr>
        <w:t xml:space="preserve"> </w:t>
      </w:r>
      <w:r w:rsidR="00F45D40" w:rsidRPr="00D33545">
        <w:rPr>
          <w:rFonts w:hint="cs"/>
          <w:color w:val="E36C0A" w:themeColor="accent6" w:themeShade="BF"/>
          <w:rtl/>
        </w:rPr>
        <w:t>(וכ"פ בשו"ע)</w:t>
      </w:r>
    </w:p>
    <w:p w14:paraId="3EC4C0D3" w14:textId="147B29E6" w:rsidR="00F9068C" w:rsidRPr="000A048F" w:rsidRDefault="00F9068C" w:rsidP="00434A6A">
      <w:pPr>
        <w:pStyle w:val="aa"/>
        <w:numPr>
          <w:ilvl w:val="0"/>
          <w:numId w:val="30"/>
        </w:numPr>
        <w:rPr>
          <w:rtl/>
        </w:rPr>
      </w:pPr>
      <w:r>
        <w:rPr>
          <w:rFonts w:cs="Arial" w:hint="cs"/>
          <w:rtl/>
        </w:rPr>
        <w:t xml:space="preserve">רמב"ם </w:t>
      </w:r>
      <w:r>
        <w:rPr>
          <w:rFonts w:cs="Arial" w:hint="cs"/>
          <w:sz w:val="16"/>
          <w:szCs w:val="16"/>
          <w:rtl/>
        </w:rPr>
        <w:t>(פ"י הכ"ה)</w:t>
      </w:r>
      <w:r>
        <w:rPr>
          <w:rFonts w:cs="Arial" w:hint="cs"/>
          <w:rtl/>
        </w:rPr>
        <w:t xml:space="preserve">- </w:t>
      </w:r>
      <w:r w:rsidRPr="00F9068C">
        <w:rPr>
          <w:rFonts w:cs="Arial"/>
          <w:rtl/>
        </w:rPr>
        <w:t>רמשים המזיקין כגון נחשים ועקרבים וכיוצא בהן</w:t>
      </w:r>
      <w:r>
        <w:rPr>
          <w:rFonts w:cs="Arial" w:hint="cs"/>
          <w:rtl/>
        </w:rPr>
        <w:t>,</w:t>
      </w:r>
      <w:r w:rsidRPr="00F9068C">
        <w:rPr>
          <w:rFonts w:cs="Arial"/>
          <w:rtl/>
        </w:rPr>
        <w:t xml:space="preserve"> אע</w:t>
      </w:r>
      <w:r>
        <w:rPr>
          <w:rFonts w:cs="Arial" w:hint="cs"/>
          <w:rtl/>
        </w:rPr>
        <w:t>"</w:t>
      </w:r>
      <w:r w:rsidRPr="00F9068C">
        <w:rPr>
          <w:rFonts w:cs="Arial"/>
          <w:rtl/>
        </w:rPr>
        <w:t xml:space="preserve">פ שאינן ממיתין הואיל ונושכין </w:t>
      </w:r>
      <w:r>
        <w:rPr>
          <w:rFonts w:cs="Arial" w:hint="cs"/>
          <w:rtl/>
        </w:rPr>
        <w:t xml:space="preserve">- </w:t>
      </w:r>
      <w:r w:rsidRPr="00F9068C">
        <w:rPr>
          <w:rFonts w:cs="Arial"/>
          <w:rtl/>
        </w:rPr>
        <w:t>מותר לצוד אותם בשבת, והוא שיתכוין להנצל מנשיכתן</w:t>
      </w:r>
      <w:r>
        <w:rPr>
          <w:rFonts w:cs="Arial" w:hint="cs"/>
          <w:rtl/>
        </w:rPr>
        <w:t>.</w:t>
      </w:r>
      <w:r w:rsidRPr="00F9068C">
        <w:rPr>
          <w:rFonts w:cs="Arial"/>
          <w:rtl/>
        </w:rPr>
        <w:t xml:space="preserve"> כיצד הוא עושה</w:t>
      </w:r>
      <w:r>
        <w:rPr>
          <w:rFonts w:cs="Arial" w:hint="cs"/>
          <w:rtl/>
        </w:rPr>
        <w:t>,</w:t>
      </w:r>
      <w:r w:rsidRPr="00F9068C">
        <w:rPr>
          <w:rFonts w:cs="Arial"/>
          <w:rtl/>
        </w:rPr>
        <w:t xml:space="preserve"> כופה כלי עליהן או מקיף עליהן או קושרן כדי שלא יזיקו.</w:t>
      </w:r>
      <w:r w:rsidRPr="00F9068C">
        <w:rPr>
          <w:rFonts w:cs="Arial" w:hint="cs"/>
          <w:rtl/>
        </w:rPr>
        <w:t xml:space="preserve"> </w:t>
      </w:r>
      <w:r w:rsidRPr="00D33545">
        <w:rPr>
          <w:rFonts w:hint="cs"/>
          <w:color w:val="E36C0A" w:themeColor="accent6" w:themeShade="BF"/>
          <w:rtl/>
        </w:rPr>
        <w:t>(וכ"פ בשו"ע)</w:t>
      </w:r>
    </w:p>
    <w:p w14:paraId="63C962DC" w14:textId="77777777" w:rsidR="005022B5" w:rsidRPr="005275DF" w:rsidRDefault="005022B5" w:rsidP="00434A6A">
      <w:pPr>
        <w:rPr>
          <w:rFonts w:asciiTheme="minorBidi" w:hAnsiTheme="minorBidi"/>
          <w:rtl/>
        </w:rPr>
      </w:pPr>
      <w:r w:rsidRPr="005275DF">
        <w:rPr>
          <w:rFonts w:asciiTheme="minorBidi" w:hAnsiTheme="minorBidi"/>
          <w:b/>
          <w:bCs/>
          <w:sz w:val="32"/>
          <w:szCs w:val="28"/>
          <w:u w:val="single"/>
          <w:rtl/>
        </w:rPr>
        <w:t xml:space="preserve">שו"ע: </w:t>
      </w:r>
    </w:p>
    <w:p w14:paraId="3FE289A8" w14:textId="622E1596" w:rsidR="005022B5" w:rsidRPr="005275DF" w:rsidRDefault="005022B5" w:rsidP="00434A6A">
      <w:pPr>
        <w:rPr>
          <w:rFonts w:asciiTheme="minorBidi" w:hAnsiTheme="minorBidi"/>
          <w:rtl/>
        </w:rPr>
      </w:pPr>
      <w:r w:rsidRPr="005275DF">
        <w:rPr>
          <w:rFonts w:asciiTheme="minorBidi" w:hAnsiTheme="minorBidi"/>
          <w:rtl/>
        </w:rPr>
        <w:t xml:space="preserve">הצד נחשים </w:t>
      </w:r>
      <w:r w:rsidR="008F31A1" w:rsidRPr="005275DF">
        <w:rPr>
          <w:rFonts w:asciiTheme="minorBidi" w:hAnsiTheme="minorBidi"/>
          <w:rtl/>
        </w:rPr>
        <w:t>ועקרבים</w:t>
      </w:r>
      <w:r w:rsidR="008F31A1" w:rsidRPr="005275DF">
        <w:rPr>
          <w:rStyle w:val="a9"/>
          <w:rFonts w:asciiTheme="minorBidi" w:hAnsiTheme="minorBidi"/>
          <w:rtl/>
        </w:rPr>
        <w:footnoteReference w:id="2466"/>
      </w:r>
      <w:r w:rsidR="008F31A1" w:rsidRPr="005275DF">
        <w:rPr>
          <w:rFonts w:asciiTheme="minorBidi" w:hAnsiTheme="minorBidi"/>
          <w:rtl/>
        </w:rPr>
        <w:t xml:space="preserve"> </w:t>
      </w:r>
      <w:r w:rsidRPr="005275DF">
        <w:rPr>
          <w:rFonts w:asciiTheme="minorBidi" w:hAnsiTheme="minorBidi"/>
          <w:rtl/>
        </w:rPr>
        <w:t>בשבת, או שאר רמשים המזיקים, אם לרפואה, חייב</w:t>
      </w:r>
      <w:r w:rsidR="00F45D40">
        <w:rPr>
          <w:rFonts w:asciiTheme="minorBidi" w:hAnsiTheme="minorBidi" w:hint="cs"/>
          <w:rtl/>
        </w:rPr>
        <w:t>.</w:t>
      </w:r>
      <w:r w:rsidRPr="005275DF">
        <w:rPr>
          <w:rFonts w:asciiTheme="minorBidi" w:hAnsiTheme="minorBidi"/>
          <w:rtl/>
        </w:rPr>
        <w:t xml:space="preserve"> ואם בשביל שלא ישכנו, מותר</w:t>
      </w:r>
      <w:r w:rsidR="008C7A64" w:rsidRPr="005275DF">
        <w:rPr>
          <w:rStyle w:val="a9"/>
          <w:rFonts w:asciiTheme="minorBidi" w:hAnsiTheme="minorBidi"/>
          <w:rtl/>
        </w:rPr>
        <w:footnoteReference w:id="2467"/>
      </w:r>
      <w:r w:rsidRPr="005275DF">
        <w:rPr>
          <w:rFonts w:asciiTheme="minorBidi" w:hAnsiTheme="minorBidi"/>
          <w:rtl/>
        </w:rPr>
        <w:t xml:space="preserve">. </w:t>
      </w:r>
    </w:p>
    <w:p w14:paraId="70C7D5E8" w14:textId="77777777" w:rsidR="005022B5" w:rsidRPr="005275DF" w:rsidRDefault="005022B5" w:rsidP="00434A6A">
      <w:pPr>
        <w:rPr>
          <w:rFonts w:asciiTheme="minorBidi" w:hAnsiTheme="minorBidi"/>
          <w:rtl/>
        </w:rPr>
      </w:pPr>
    </w:p>
    <w:p w14:paraId="3D662A5B" w14:textId="77777777" w:rsidR="005022B5" w:rsidRPr="005275DF" w:rsidRDefault="005022B5" w:rsidP="00434A6A">
      <w:pPr>
        <w:pStyle w:val="2"/>
        <w:rPr>
          <w:rFonts w:asciiTheme="minorBidi" w:hAnsiTheme="minorBidi" w:cstheme="minorBidi"/>
          <w:rtl/>
        </w:rPr>
      </w:pPr>
      <w:r w:rsidRPr="005275DF">
        <w:rPr>
          <w:rFonts w:asciiTheme="minorBidi" w:hAnsiTheme="minorBidi" w:cstheme="minorBidi"/>
          <w:rtl/>
        </w:rPr>
        <w:t>סעיף ח</w:t>
      </w:r>
      <w:r w:rsidR="008C7A64" w:rsidRPr="005275DF">
        <w:rPr>
          <w:rFonts w:asciiTheme="minorBidi" w:hAnsiTheme="minorBidi" w:cstheme="minorBidi"/>
          <w:rtl/>
        </w:rPr>
        <w:t>: הצד/החובל בשמנה שרצים האמורים בתורה.</w:t>
      </w:r>
    </w:p>
    <w:p w14:paraId="1373AF51" w14:textId="49F3AD6E" w:rsidR="008C7A64" w:rsidRDefault="008C7A64" w:rsidP="00434A6A">
      <w:pPr>
        <w:rPr>
          <w:rFonts w:asciiTheme="minorBidi" w:hAnsiTheme="minorBidi"/>
          <w:sz w:val="16"/>
          <w:szCs w:val="16"/>
          <w:rtl/>
        </w:rPr>
      </w:pPr>
      <w:r w:rsidRPr="005275DF">
        <w:rPr>
          <w:rFonts w:asciiTheme="minorBidi" w:hAnsiTheme="minorBidi"/>
          <w:b/>
          <w:bCs/>
          <w:rtl/>
        </w:rPr>
        <w:t xml:space="preserve">שבת </w:t>
      </w:r>
      <w:r w:rsidR="00AA627C">
        <w:rPr>
          <w:rFonts w:asciiTheme="minorBidi" w:hAnsiTheme="minorBidi" w:hint="cs"/>
          <w:b/>
          <w:bCs/>
          <w:sz w:val="16"/>
          <w:szCs w:val="16"/>
          <w:rtl/>
        </w:rPr>
        <w:t xml:space="preserve">(ר"פ שמנה שרצים) </w:t>
      </w:r>
      <w:r w:rsidRPr="005275DF">
        <w:rPr>
          <w:rFonts w:asciiTheme="minorBidi" w:hAnsiTheme="minorBidi"/>
          <w:b/>
          <w:bCs/>
          <w:rtl/>
        </w:rPr>
        <w:t>קז ע"א:</w:t>
      </w:r>
      <w:r w:rsidRPr="005275DF">
        <w:rPr>
          <w:rFonts w:asciiTheme="minorBidi" w:hAnsiTheme="minorBidi"/>
          <w:rtl/>
        </w:rPr>
        <w:t xml:space="preserve"> </w:t>
      </w:r>
      <w:r w:rsidRPr="005275DF">
        <w:rPr>
          <w:rFonts w:asciiTheme="minorBidi" w:hAnsiTheme="minorBidi"/>
          <w:u w:val="double"/>
          <w:rtl/>
        </w:rPr>
        <w:t>משנה:</w:t>
      </w:r>
      <w:r w:rsidRPr="005275DF">
        <w:rPr>
          <w:rFonts w:asciiTheme="minorBidi" w:hAnsiTheme="minorBidi"/>
          <w:rtl/>
        </w:rPr>
        <w:t xml:space="preserve"> שמנה שרצים האמורים בתורה</w:t>
      </w:r>
      <w:r w:rsidR="00B57A27" w:rsidRPr="005275DF">
        <w:rPr>
          <w:rStyle w:val="a9"/>
          <w:rFonts w:asciiTheme="minorBidi" w:hAnsiTheme="minorBidi"/>
          <w:rtl/>
        </w:rPr>
        <w:footnoteReference w:id="2468"/>
      </w:r>
      <w:r w:rsidRPr="005275DF">
        <w:rPr>
          <w:rFonts w:asciiTheme="minorBidi" w:hAnsiTheme="minorBidi"/>
          <w:rtl/>
        </w:rPr>
        <w:t>, הצדן</w:t>
      </w:r>
      <w:r w:rsidR="00815362" w:rsidRPr="005275DF">
        <w:rPr>
          <w:rStyle w:val="a9"/>
          <w:rFonts w:asciiTheme="minorBidi" w:hAnsiTheme="minorBidi"/>
          <w:rtl/>
        </w:rPr>
        <w:footnoteReference w:id="2469"/>
      </w:r>
      <w:r w:rsidRPr="005275DF">
        <w:rPr>
          <w:rFonts w:asciiTheme="minorBidi" w:hAnsiTheme="minorBidi"/>
          <w:rtl/>
        </w:rPr>
        <w:t xml:space="preserve"> והחובל בהן - חייב</w:t>
      </w:r>
      <w:r w:rsidR="00815362" w:rsidRPr="005275DF">
        <w:rPr>
          <w:rStyle w:val="a9"/>
          <w:rFonts w:asciiTheme="minorBidi" w:hAnsiTheme="minorBidi"/>
          <w:rtl/>
        </w:rPr>
        <w:footnoteReference w:id="2470"/>
      </w:r>
      <w:r w:rsidRPr="005275DF">
        <w:rPr>
          <w:rFonts w:asciiTheme="minorBidi" w:hAnsiTheme="minorBidi"/>
          <w:rtl/>
        </w:rPr>
        <w:t>. ושאר שקצים ורמשים</w:t>
      </w:r>
      <w:r w:rsidR="00815362" w:rsidRPr="005275DF">
        <w:rPr>
          <w:rStyle w:val="a9"/>
          <w:rFonts w:asciiTheme="minorBidi" w:hAnsiTheme="minorBidi"/>
          <w:rtl/>
        </w:rPr>
        <w:footnoteReference w:id="2471"/>
      </w:r>
      <w:r w:rsidRPr="005275DF">
        <w:rPr>
          <w:rFonts w:asciiTheme="minorBidi" w:hAnsiTheme="minorBidi"/>
          <w:rtl/>
        </w:rPr>
        <w:t xml:space="preserve"> החובל בהן - פטור</w:t>
      </w:r>
      <w:r w:rsidR="003872C7" w:rsidRPr="005275DF">
        <w:rPr>
          <w:rStyle w:val="a9"/>
          <w:rFonts w:asciiTheme="minorBidi" w:hAnsiTheme="minorBidi"/>
          <w:rtl/>
        </w:rPr>
        <w:footnoteReference w:id="2472"/>
      </w:r>
      <w:r w:rsidRPr="005275DF">
        <w:rPr>
          <w:rFonts w:asciiTheme="minorBidi" w:hAnsiTheme="minorBidi"/>
          <w:rtl/>
        </w:rPr>
        <w:t>, הצדן לצורך</w:t>
      </w:r>
      <w:r w:rsidR="00B57A27" w:rsidRPr="005275DF">
        <w:rPr>
          <w:rStyle w:val="a9"/>
          <w:rFonts w:asciiTheme="minorBidi" w:hAnsiTheme="minorBidi"/>
          <w:rtl/>
        </w:rPr>
        <w:footnoteReference w:id="2473"/>
      </w:r>
      <w:r w:rsidRPr="005275DF">
        <w:rPr>
          <w:rFonts w:asciiTheme="minorBidi" w:hAnsiTheme="minorBidi"/>
          <w:rtl/>
        </w:rPr>
        <w:t xml:space="preserve"> - חייב, שלא לצורך - פטור</w:t>
      </w:r>
      <w:r w:rsidR="00815362" w:rsidRPr="005275DF">
        <w:rPr>
          <w:rStyle w:val="a9"/>
          <w:rFonts w:asciiTheme="minorBidi" w:hAnsiTheme="minorBidi"/>
          <w:rtl/>
        </w:rPr>
        <w:footnoteReference w:id="2474"/>
      </w:r>
      <w:r w:rsidRPr="005275DF">
        <w:rPr>
          <w:rFonts w:asciiTheme="minorBidi" w:hAnsiTheme="minorBidi"/>
          <w:rtl/>
        </w:rPr>
        <w:t>.</w:t>
      </w:r>
      <w:r w:rsidR="00AA627C">
        <w:rPr>
          <w:rFonts w:asciiTheme="minorBidi" w:hAnsiTheme="minorBidi" w:hint="cs"/>
          <w:rtl/>
        </w:rPr>
        <w:t>.</w:t>
      </w:r>
      <w:r w:rsidRPr="005275DF">
        <w:rPr>
          <w:rFonts w:asciiTheme="minorBidi" w:hAnsiTheme="minorBidi"/>
          <w:rtl/>
        </w:rPr>
        <w:t>.</w:t>
      </w:r>
      <w:r w:rsidR="00B57A27" w:rsidRPr="005275DF">
        <w:rPr>
          <w:rFonts w:asciiTheme="minorBidi" w:hAnsiTheme="minorBidi"/>
          <w:rtl/>
        </w:rPr>
        <w:t xml:space="preserve"> </w:t>
      </w:r>
      <w:r w:rsidR="00AA627C">
        <w:rPr>
          <w:rFonts w:asciiTheme="minorBidi" w:hAnsiTheme="minorBidi" w:hint="cs"/>
          <w:rtl/>
        </w:rPr>
        <w:t xml:space="preserve"> </w:t>
      </w:r>
      <w:r w:rsidRPr="005275DF">
        <w:rPr>
          <w:rFonts w:asciiTheme="minorBidi" w:hAnsiTheme="minorBidi"/>
          <w:rtl/>
        </w:rPr>
        <w:t xml:space="preserve">   </w:t>
      </w:r>
      <w:r w:rsidRPr="005275DF">
        <w:rPr>
          <w:rFonts w:asciiTheme="minorBidi" w:hAnsiTheme="minorBidi"/>
          <w:u w:val="double"/>
          <w:rtl/>
        </w:rPr>
        <w:t>גמ</w:t>
      </w:r>
      <w:r w:rsidR="00815362">
        <w:rPr>
          <w:rFonts w:asciiTheme="minorBidi" w:hAnsiTheme="minorBidi" w:hint="cs"/>
          <w:u w:val="double"/>
          <w:rtl/>
        </w:rPr>
        <w:t>רא</w:t>
      </w:r>
      <w:r w:rsidR="00815362">
        <w:rPr>
          <w:rFonts w:asciiTheme="minorBidi" w:hAnsiTheme="minorBidi" w:hint="cs"/>
          <w:rtl/>
        </w:rPr>
        <w:t>:</w:t>
      </w:r>
      <w:r w:rsidRPr="005275DF">
        <w:rPr>
          <w:rFonts w:asciiTheme="minorBidi" w:hAnsiTheme="minorBidi"/>
          <w:rtl/>
        </w:rPr>
        <w:t xml:space="preserve"> מדקתני החובל בהן חייב מכלל דאית להו עור</w:t>
      </w:r>
      <w:r w:rsidR="008E685D">
        <w:rPr>
          <w:rFonts w:asciiTheme="minorBidi" w:hAnsiTheme="minorBidi" w:cs="Arial" w:hint="cs"/>
          <w:rtl/>
        </w:rPr>
        <w:t>.</w:t>
      </w:r>
      <w:r w:rsidR="00B57A27" w:rsidRPr="005275DF">
        <w:rPr>
          <w:rFonts w:asciiTheme="minorBidi" w:hAnsiTheme="minorBidi"/>
          <w:rtl/>
        </w:rPr>
        <w:t>..</w:t>
      </w:r>
      <w:r w:rsidRPr="005275DF">
        <w:rPr>
          <w:rFonts w:asciiTheme="minorBidi" w:hAnsiTheme="minorBidi"/>
          <w:rtl/>
        </w:rPr>
        <w:t xml:space="preserve"> ואיזו היא חבורה שאינה חוזרת - נצרר הדם אף על פי שלא יצא.</w:t>
      </w:r>
      <w:r w:rsidR="00B57A27" w:rsidRPr="005275DF">
        <w:rPr>
          <w:rFonts w:asciiTheme="minorBidi" w:hAnsiTheme="minorBidi"/>
          <w:rtl/>
        </w:rPr>
        <w:t xml:space="preserve">.. </w:t>
      </w:r>
      <w:r w:rsidR="00AB2CFD" w:rsidRPr="00AB2CFD">
        <w:rPr>
          <w:rFonts w:asciiTheme="minorBidi" w:hAnsiTheme="minorBidi" w:cs="Arial"/>
          <w:rtl/>
        </w:rPr>
        <w:t xml:space="preserve">הצדן לצורך חייב וכו'. </w:t>
      </w:r>
      <w:r w:rsidR="00B57A27" w:rsidRPr="005275DF">
        <w:rPr>
          <w:rFonts w:asciiTheme="minorBidi" w:hAnsiTheme="minorBidi"/>
          <w:rtl/>
        </w:rPr>
        <w:t xml:space="preserve">מאן תנא? </w:t>
      </w:r>
      <w:r w:rsidR="00B57A27" w:rsidRPr="005275DF">
        <w:rPr>
          <w:rFonts w:asciiTheme="minorBidi" w:hAnsiTheme="minorBidi"/>
          <w:u w:val="single"/>
          <w:rtl/>
        </w:rPr>
        <w:t>אמר רב יהודה אמר רב</w:t>
      </w:r>
      <w:r w:rsidR="00B57A27" w:rsidRPr="005275DF">
        <w:rPr>
          <w:rFonts w:asciiTheme="minorBidi" w:hAnsiTheme="minorBidi"/>
          <w:rtl/>
        </w:rPr>
        <w:t>: רבי שמעון היא, דאמר מלאכה שאין צריכה לגופה - פטור עליה.</w:t>
      </w:r>
      <w:r w:rsidR="009C290F" w:rsidRPr="005275DF">
        <w:rPr>
          <w:rFonts w:asciiTheme="minorBidi" w:hAnsiTheme="minorBidi"/>
          <w:rtl/>
        </w:rPr>
        <w:t xml:space="preserve"> </w:t>
      </w:r>
      <w:r w:rsidR="00656EF8">
        <w:rPr>
          <w:rFonts w:asciiTheme="minorBidi" w:hAnsiTheme="minorBidi" w:cs="Arial" w:hint="cs"/>
          <w:sz w:val="16"/>
          <w:szCs w:val="16"/>
          <w:rtl/>
        </w:rPr>
        <w:t>(ו</w:t>
      </w:r>
      <w:r w:rsidR="00656EF8" w:rsidRPr="00656EF8">
        <w:rPr>
          <w:rFonts w:asciiTheme="minorBidi" w:hAnsiTheme="minorBidi" w:cs="Arial" w:hint="cs"/>
          <w:sz w:val="16"/>
          <w:szCs w:val="16"/>
          <w:rtl/>
        </w:rPr>
        <w:t xml:space="preserve">פסק </w:t>
      </w:r>
      <w:r w:rsidR="00656EF8">
        <w:rPr>
          <w:rFonts w:asciiTheme="minorBidi" w:hAnsiTheme="minorBidi" w:cs="Arial" w:hint="cs"/>
          <w:sz w:val="16"/>
          <w:szCs w:val="16"/>
          <w:rtl/>
        </w:rPr>
        <w:t xml:space="preserve">הטור </w:t>
      </w:r>
      <w:r w:rsidR="00656EF8" w:rsidRPr="00656EF8">
        <w:rPr>
          <w:rFonts w:asciiTheme="minorBidi" w:hAnsiTheme="minorBidi" w:cs="Arial" w:hint="cs"/>
          <w:sz w:val="16"/>
          <w:szCs w:val="16"/>
          <w:rtl/>
        </w:rPr>
        <w:t>כרבי שמעון. וכתב הב"י ד</w:t>
      </w:r>
      <w:r w:rsidR="00656EF8" w:rsidRPr="00656EF8">
        <w:rPr>
          <w:rFonts w:asciiTheme="minorBidi" w:hAnsiTheme="minorBidi" w:cs="Arial"/>
          <w:sz w:val="16"/>
          <w:szCs w:val="16"/>
          <w:rtl/>
        </w:rPr>
        <w:t xml:space="preserve">הרמב"ם פסק </w:t>
      </w:r>
      <w:r w:rsidR="00656EF8" w:rsidRPr="00656EF8">
        <w:rPr>
          <w:rFonts w:asciiTheme="minorBidi" w:hAnsiTheme="minorBidi" w:cs="Arial" w:hint="cs"/>
          <w:sz w:val="16"/>
          <w:szCs w:val="16"/>
          <w:rtl/>
        </w:rPr>
        <w:t>(</w:t>
      </w:r>
      <w:r w:rsidR="00656EF8" w:rsidRPr="00656EF8">
        <w:rPr>
          <w:rFonts w:asciiTheme="minorBidi" w:hAnsiTheme="minorBidi" w:cs="Arial"/>
          <w:sz w:val="16"/>
          <w:szCs w:val="16"/>
          <w:rtl/>
        </w:rPr>
        <w:t>פ</w:t>
      </w:r>
      <w:r w:rsidR="00656EF8" w:rsidRPr="00656EF8">
        <w:rPr>
          <w:rFonts w:asciiTheme="minorBidi" w:hAnsiTheme="minorBidi" w:cs="Arial" w:hint="cs"/>
          <w:sz w:val="16"/>
          <w:szCs w:val="16"/>
          <w:rtl/>
        </w:rPr>
        <w:t>"</w:t>
      </w:r>
      <w:r w:rsidR="00656EF8" w:rsidRPr="00656EF8">
        <w:rPr>
          <w:rFonts w:asciiTheme="minorBidi" w:hAnsiTheme="minorBidi" w:cs="Arial"/>
          <w:sz w:val="16"/>
          <w:szCs w:val="16"/>
          <w:rtl/>
        </w:rPr>
        <w:t>א ה"ז) דלא כרבי שמעון</w:t>
      </w:r>
      <w:r w:rsidR="00656EF8">
        <w:rPr>
          <w:rFonts w:asciiTheme="minorBidi" w:hAnsiTheme="minorBidi" w:cs="Arial" w:hint="cs"/>
          <w:sz w:val="16"/>
          <w:szCs w:val="16"/>
          <w:rtl/>
        </w:rPr>
        <w:t>,</w:t>
      </w:r>
      <w:r w:rsidR="00656EF8" w:rsidRPr="00656EF8">
        <w:rPr>
          <w:rFonts w:asciiTheme="minorBidi" w:hAnsiTheme="minorBidi" w:cs="Arial"/>
          <w:sz w:val="16"/>
          <w:szCs w:val="16"/>
          <w:rtl/>
        </w:rPr>
        <w:t xml:space="preserve"> ולפיכך כתב בפרק י' (הכ"א) דבצדן שלא לצורך נמי חייב</w:t>
      </w:r>
      <w:r w:rsidR="00656EF8" w:rsidRPr="00656EF8">
        <w:rPr>
          <w:rFonts w:asciiTheme="minorBidi" w:hAnsiTheme="minorBidi" w:cs="Arial" w:hint="cs"/>
          <w:sz w:val="16"/>
          <w:szCs w:val="16"/>
          <w:rtl/>
        </w:rPr>
        <w:t>)</w:t>
      </w:r>
    </w:p>
    <w:p w14:paraId="245120F1" w14:textId="1E545BCD" w:rsidR="00502BBC" w:rsidRPr="00502BBC" w:rsidRDefault="00502BBC" w:rsidP="00434A6A">
      <w:pPr>
        <w:rPr>
          <w:rFonts w:asciiTheme="minorBidi" w:hAnsiTheme="minorBidi"/>
          <w:sz w:val="16"/>
          <w:szCs w:val="16"/>
          <w:u w:val="single"/>
          <w:rtl/>
        </w:rPr>
      </w:pPr>
      <w:r w:rsidRPr="00502BBC">
        <w:rPr>
          <w:rFonts w:asciiTheme="minorBidi" w:hAnsiTheme="minorBidi"/>
          <w:u w:val="single"/>
          <w:rtl/>
        </w:rPr>
        <w:t>הצד/החובל בשמנה שרצים האמורים בתורה</w:t>
      </w:r>
      <w:r w:rsidRPr="00502BBC">
        <w:rPr>
          <w:rFonts w:asciiTheme="minorBidi" w:hAnsiTheme="minorBidi" w:hint="cs"/>
          <w:u w:val="single"/>
          <w:rtl/>
        </w:rPr>
        <w:t>:</w:t>
      </w:r>
    </w:p>
    <w:p w14:paraId="72935158" w14:textId="0C96E1D8" w:rsidR="00F83DBF" w:rsidRPr="00562BA2" w:rsidRDefault="00F332E8" w:rsidP="00434A6A">
      <w:pPr>
        <w:pStyle w:val="aa"/>
        <w:numPr>
          <w:ilvl w:val="0"/>
          <w:numId w:val="30"/>
        </w:numPr>
      </w:pPr>
      <w:r>
        <w:rPr>
          <w:rFonts w:cs="Arial" w:hint="cs"/>
          <w:rtl/>
        </w:rPr>
        <w:t>טור</w:t>
      </w:r>
      <w:r w:rsidR="00F83DBF">
        <w:rPr>
          <w:rFonts w:cs="Arial" w:hint="cs"/>
          <w:rtl/>
        </w:rPr>
        <w:t xml:space="preserve"> ור"ן </w:t>
      </w:r>
      <w:r w:rsidR="00F83DBF">
        <w:rPr>
          <w:rFonts w:cs="Arial" w:hint="cs"/>
          <w:sz w:val="16"/>
          <w:szCs w:val="16"/>
          <w:rtl/>
        </w:rPr>
        <w:t>(שבת לח:)</w:t>
      </w:r>
      <w:r>
        <w:rPr>
          <w:rFonts w:cs="Arial" w:hint="cs"/>
          <w:rtl/>
        </w:rPr>
        <w:t xml:space="preserve">- </w:t>
      </w:r>
      <w:r>
        <w:rPr>
          <w:rFonts w:cs="Arial"/>
          <w:rtl/>
        </w:rPr>
        <w:t>ח' שרצים האמורין בתורה</w:t>
      </w:r>
      <w:r w:rsidR="00AA627C">
        <w:rPr>
          <w:rFonts w:cs="Arial" w:hint="cs"/>
          <w:rtl/>
        </w:rPr>
        <w:t>,</w:t>
      </w:r>
      <w:r>
        <w:rPr>
          <w:rFonts w:cs="Arial"/>
          <w:rtl/>
        </w:rPr>
        <w:t xml:space="preserve"> הצדן סתם שלא פירש אם צריך להם אם לאו </w:t>
      </w:r>
      <w:r w:rsidR="00AA627C">
        <w:rPr>
          <w:rFonts w:cs="Arial" w:hint="cs"/>
          <w:rtl/>
        </w:rPr>
        <w:t xml:space="preserve">- </w:t>
      </w:r>
      <w:r>
        <w:rPr>
          <w:rFonts w:cs="Arial"/>
          <w:rtl/>
        </w:rPr>
        <w:t>חייב</w:t>
      </w:r>
      <w:r w:rsidR="00AA627C">
        <w:rPr>
          <w:rFonts w:cs="Arial" w:hint="cs"/>
          <w:rtl/>
        </w:rPr>
        <w:t>.</w:t>
      </w:r>
      <w:r>
        <w:rPr>
          <w:rFonts w:cs="Arial"/>
          <w:rtl/>
        </w:rPr>
        <w:t xml:space="preserve"> והחובל בהן אע</w:t>
      </w:r>
      <w:r w:rsidR="00CD6041">
        <w:rPr>
          <w:rFonts w:cs="Arial" w:hint="cs"/>
          <w:rtl/>
        </w:rPr>
        <w:t>"</w:t>
      </w:r>
      <w:r>
        <w:rPr>
          <w:rFonts w:cs="Arial"/>
          <w:rtl/>
        </w:rPr>
        <w:t xml:space="preserve">פ שלא יצא מהם דם אלא נצרר תחת העור </w:t>
      </w:r>
      <w:r w:rsidR="00AA627C">
        <w:rPr>
          <w:rFonts w:cs="Arial" w:hint="cs"/>
          <w:rtl/>
        </w:rPr>
        <w:t xml:space="preserve">- </w:t>
      </w:r>
      <w:r>
        <w:rPr>
          <w:rFonts w:cs="Arial"/>
          <w:rtl/>
        </w:rPr>
        <w:t>חייב</w:t>
      </w:r>
      <w:r w:rsidR="00AA627C">
        <w:rPr>
          <w:rFonts w:cs="Arial" w:hint="cs"/>
          <w:rtl/>
        </w:rPr>
        <w:t>.</w:t>
      </w:r>
      <w:r>
        <w:rPr>
          <w:rFonts w:cs="Arial"/>
          <w:rtl/>
        </w:rPr>
        <w:t xml:space="preserve"> ושאר שרצים </w:t>
      </w:r>
      <w:r w:rsidR="00AA627C">
        <w:rPr>
          <w:rFonts w:cs="Arial" w:hint="cs"/>
          <w:rtl/>
        </w:rPr>
        <w:t xml:space="preserve">- </w:t>
      </w:r>
      <w:r>
        <w:rPr>
          <w:rFonts w:cs="Arial"/>
          <w:rtl/>
        </w:rPr>
        <w:t>אינו חייב החובל בהן אא"כ יצא מהם דם</w:t>
      </w:r>
      <w:r w:rsidR="00AA627C">
        <w:rPr>
          <w:rFonts w:cs="Arial" w:hint="cs"/>
          <w:rtl/>
        </w:rPr>
        <w:t>.</w:t>
      </w:r>
      <w:r>
        <w:rPr>
          <w:rFonts w:cs="Arial"/>
          <w:rtl/>
        </w:rPr>
        <w:t xml:space="preserve"> והצדן לצורך </w:t>
      </w:r>
      <w:r w:rsidR="00AA627C">
        <w:rPr>
          <w:rFonts w:cs="Arial" w:hint="cs"/>
          <w:rtl/>
        </w:rPr>
        <w:t xml:space="preserve">- </w:t>
      </w:r>
      <w:r>
        <w:rPr>
          <w:rFonts w:cs="Arial"/>
          <w:rtl/>
        </w:rPr>
        <w:t>חייב</w:t>
      </w:r>
      <w:r w:rsidR="00AA627C">
        <w:rPr>
          <w:rFonts w:cs="Arial" w:hint="cs"/>
          <w:rtl/>
        </w:rPr>
        <w:t>,</w:t>
      </w:r>
      <w:r>
        <w:rPr>
          <w:rFonts w:cs="Arial"/>
          <w:rtl/>
        </w:rPr>
        <w:t xml:space="preserve"> ושלא לצורך או סתם </w:t>
      </w:r>
      <w:r w:rsidR="00AA627C">
        <w:rPr>
          <w:rFonts w:cs="Arial" w:hint="cs"/>
          <w:rtl/>
        </w:rPr>
        <w:t xml:space="preserve">- </w:t>
      </w:r>
      <w:r>
        <w:rPr>
          <w:rFonts w:cs="Arial"/>
          <w:rtl/>
        </w:rPr>
        <w:t>פטור</w:t>
      </w:r>
      <w:r w:rsidR="00562BA2">
        <w:rPr>
          <w:rFonts w:cs="Arial" w:hint="cs"/>
          <w:sz w:val="16"/>
          <w:szCs w:val="16"/>
          <w:rtl/>
        </w:rPr>
        <w:t xml:space="preserve"> (ל' הטור)</w:t>
      </w:r>
      <w:r w:rsidR="00F83DBF" w:rsidRPr="00F83DBF">
        <w:rPr>
          <w:rFonts w:cs="Arial" w:hint="cs"/>
          <w:rtl/>
        </w:rPr>
        <w:t>.</w:t>
      </w:r>
      <w:r w:rsidR="00521987">
        <w:rPr>
          <w:rFonts w:hint="cs"/>
          <w:rtl/>
        </w:rPr>
        <w:t xml:space="preserve"> </w:t>
      </w:r>
      <w:r w:rsidR="00521987" w:rsidRPr="00521987">
        <w:rPr>
          <w:rFonts w:hint="cs"/>
          <w:color w:val="E36C0A" w:themeColor="accent6" w:themeShade="BF"/>
          <w:rtl/>
        </w:rPr>
        <w:t>(וכ"ס בשו"ע)</w:t>
      </w:r>
    </w:p>
    <w:p w14:paraId="414A6863" w14:textId="425E5B82" w:rsidR="00562BA2" w:rsidRPr="00562BA2" w:rsidRDefault="00562BA2" w:rsidP="00434A6A">
      <w:pPr>
        <w:pStyle w:val="aa"/>
        <w:numPr>
          <w:ilvl w:val="0"/>
          <w:numId w:val="30"/>
        </w:numPr>
      </w:pPr>
      <w:r>
        <w:rPr>
          <w:rFonts w:cs="Arial" w:hint="cs"/>
          <w:rtl/>
        </w:rPr>
        <w:t xml:space="preserve">רמב"ם </w:t>
      </w:r>
      <w:r>
        <w:rPr>
          <w:rFonts w:cs="Arial" w:hint="cs"/>
          <w:sz w:val="16"/>
          <w:szCs w:val="16"/>
          <w:rtl/>
        </w:rPr>
        <w:t>(פ"ח ה"ט)</w:t>
      </w:r>
      <w:r>
        <w:rPr>
          <w:rFonts w:cs="Arial" w:hint="cs"/>
          <w:rtl/>
        </w:rPr>
        <w:t xml:space="preserve">- </w:t>
      </w:r>
      <w:r w:rsidRPr="00562BA2">
        <w:rPr>
          <w:rFonts w:cs="Arial"/>
          <w:rtl/>
        </w:rPr>
        <w:t>שמנה שרצים האמורים בתורה הן שיש להן עורות לענין שבת כמו חיה ובהמה ועוף, אבל שאר שקצים ורמשים אין להן עור, לפיכך החובל בהן פטור</w:t>
      </w:r>
      <w:r w:rsidR="00E72350">
        <w:rPr>
          <w:rFonts w:cs="Arial" w:hint="cs"/>
          <w:rtl/>
        </w:rPr>
        <w:t>.</w:t>
      </w:r>
      <w:r w:rsidRPr="00562BA2">
        <w:rPr>
          <w:rFonts w:cs="Arial"/>
          <w:rtl/>
        </w:rPr>
        <w:t xml:space="preserve"> ואחד החובל בבהמה חיה ועוף או בשמנה שרצים ועשה בהן חבורה ויצא מהם דם</w:t>
      </w:r>
      <w:r w:rsidR="00E72350">
        <w:rPr>
          <w:rFonts w:cs="Arial" w:hint="cs"/>
          <w:rtl/>
        </w:rPr>
        <w:t>,</w:t>
      </w:r>
      <w:r w:rsidRPr="00562BA2">
        <w:rPr>
          <w:rFonts w:cs="Arial"/>
          <w:rtl/>
        </w:rPr>
        <w:t xml:space="preserve"> או שנצרר הדם אע</w:t>
      </w:r>
      <w:r w:rsidR="00E72350">
        <w:rPr>
          <w:rFonts w:cs="Arial" w:hint="cs"/>
          <w:rtl/>
        </w:rPr>
        <w:t>"</w:t>
      </w:r>
      <w:r w:rsidRPr="00562BA2">
        <w:rPr>
          <w:rFonts w:cs="Arial"/>
          <w:rtl/>
        </w:rPr>
        <w:t xml:space="preserve">פ שלא יצא </w:t>
      </w:r>
      <w:r w:rsidR="00E72350">
        <w:rPr>
          <w:rFonts w:cs="Arial" w:hint="cs"/>
          <w:rtl/>
        </w:rPr>
        <w:t xml:space="preserve">- </w:t>
      </w:r>
      <w:r w:rsidRPr="00562BA2">
        <w:rPr>
          <w:rFonts w:cs="Arial"/>
          <w:rtl/>
        </w:rPr>
        <w:t>חייב.</w:t>
      </w:r>
    </w:p>
    <w:p w14:paraId="5C323D03" w14:textId="4EB2E238" w:rsidR="00562BA2" w:rsidRDefault="00562BA2" w:rsidP="00434A6A">
      <w:pPr>
        <w:pStyle w:val="aa"/>
        <w:numPr>
          <w:ilvl w:val="0"/>
          <w:numId w:val="30"/>
        </w:numPr>
        <w:rPr>
          <w:rtl/>
        </w:rPr>
      </w:pPr>
      <w:r>
        <w:rPr>
          <w:rFonts w:cs="Arial" w:hint="cs"/>
          <w:rtl/>
        </w:rPr>
        <w:t xml:space="preserve">רמב"ם </w:t>
      </w:r>
      <w:r>
        <w:rPr>
          <w:rFonts w:cs="Arial" w:hint="cs"/>
          <w:sz w:val="16"/>
          <w:szCs w:val="16"/>
          <w:rtl/>
        </w:rPr>
        <w:t>(פ"י הכ"א)</w:t>
      </w:r>
      <w:r>
        <w:rPr>
          <w:rFonts w:cs="Arial" w:hint="cs"/>
          <w:rtl/>
        </w:rPr>
        <w:t xml:space="preserve">- </w:t>
      </w:r>
      <w:r w:rsidRPr="00562BA2">
        <w:rPr>
          <w:rFonts w:cs="Arial"/>
          <w:rtl/>
        </w:rPr>
        <w:t>אחד שמנה שרצים האמורין בתורה</w:t>
      </w:r>
      <w:r w:rsidR="00CD6041">
        <w:rPr>
          <w:rFonts w:cs="Arial" w:hint="cs"/>
          <w:rtl/>
        </w:rPr>
        <w:t>,</w:t>
      </w:r>
      <w:r w:rsidRPr="00562BA2">
        <w:rPr>
          <w:rFonts w:cs="Arial"/>
          <w:rtl/>
        </w:rPr>
        <w:t xml:space="preserve"> ואחד שאר שקצים ורמשים שיש למינן צידה</w:t>
      </w:r>
      <w:r w:rsidR="00CD6041">
        <w:rPr>
          <w:rFonts w:cs="Arial" w:hint="cs"/>
          <w:rtl/>
        </w:rPr>
        <w:t>,</w:t>
      </w:r>
      <w:r w:rsidRPr="00562BA2">
        <w:rPr>
          <w:rFonts w:cs="Arial"/>
          <w:rtl/>
        </w:rPr>
        <w:t xml:space="preserve"> הצד אחד מכולן בין לצורך בין שלא לצורך או לשחק בהן</w:t>
      </w:r>
      <w:r w:rsidR="00E72350">
        <w:rPr>
          <w:rFonts w:cs="Arial" w:hint="cs"/>
          <w:rtl/>
        </w:rPr>
        <w:t xml:space="preserve"> -</w:t>
      </w:r>
      <w:r w:rsidRPr="00562BA2">
        <w:rPr>
          <w:rFonts w:cs="Arial"/>
          <w:rtl/>
        </w:rPr>
        <w:t xml:space="preserve"> חייב הואיל ונתכוון לצוד וצד, שמלאכה שאינה צריכה לגופה חייב עליה</w:t>
      </w:r>
      <w:r>
        <w:rPr>
          <w:rFonts w:hint="cs"/>
          <w:rtl/>
        </w:rPr>
        <w:t>.</w:t>
      </w:r>
    </w:p>
    <w:p w14:paraId="58196A20" w14:textId="77777777" w:rsidR="005022B5" w:rsidRPr="005275DF" w:rsidRDefault="005022B5" w:rsidP="00434A6A">
      <w:pPr>
        <w:rPr>
          <w:rFonts w:asciiTheme="minorBidi" w:hAnsiTheme="minorBidi"/>
          <w:rtl/>
        </w:rPr>
      </w:pPr>
      <w:r w:rsidRPr="005275DF">
        <w:rPr>
          <w:rFonts w:asciiTheme="minorBidi" w:hAnsiTheme="minorBidi"/>
          <w:b/>
          <w:bCs/>
          <w:sz w:val="32"/>
          <w:szCs w:val="28"/>
          <w:u w:val="single"/>
          <w:rtl/>
        </w:rPr>
        <w:t xml:space="preserve">שו"ע: </w:t>
      </w:r>
    </w:p>
    <w:p w14:paraId="62093433" w14:textId="2BFB11ED" w:rsidR="005022B5" w:rsidRDefault="005022B5" w:rsidP="00434A6A">
      <w:pPr>
        <w:rPr>
          <w:rFonts w:asciiTheme="minorBidi" w:hAnsiTheme="minorBidi"/>
          <w:rtl/>
        </w:rPr>
      </w:pPr>
      <w:r w:rsidRPr="005275DF">
        <w:rPr>
          <w:rFonts w:asciiTheme="minorBidi" w:hAnsiTheme="minorBidi"/>
          <w:rtl/>
        </w:rPr>
        <w:t>שמונה שרצים האמו</w:t>
      </w:r>
      <w:r w:rsidR="00C113A4" w:rsidRPr="005275DF">
        <w:rPr>
          <w:rFonts w:asciiTheme="minorBidi" w:hAnsiTheme="minorBidi"/>
          <w:rtl/>
        </w:rPr>
        <w:t xml:space="preserve">רים בתורה, הצדן </w:t>
      </w:r>
      <w:r w:rsidR="003E787B">
        <w:rPr>
          <w:rFonts w:asciiTheme="minorBidi" w:hAnsiTheme="minorBidi" w:hint="cs"/>
          <w:rtl/>
        </w:rPr>
        <w:t xml:space="preserve">- </w:t>
      </w:r>
      <w:r w:rsidR="00C113A4" w:rsidRPr="005275DF">
        <w:rPr>
          <w:rFonts w:asciiTheme="minorBidi" w:hAnsiTheme="minorBidi"/>
          <w:rtl/>
        </w:rPr>
        <w:t>חייב</w:t>
      </w:r>
      <w:r w:rsidR="003E787B">
        <w:rPr>
          <w:rFonts w:asciiTheme="minorBidi" w:hAnsiTheme="minorBidi" w:hint="cs"/>
          <w:rtl/>
        </w:rPr>
        <w:t>.</w:t>
      </w:r>
      <w:r w:rsidR="00C113A4" w:rsidRPr="005275DF">
        <w:rPr>
          <w:rFonts w:asciiTheme="minorBidi" w:hAnsiTheme="minorBidi"/>
          <w:rtl/>
        </w:rPr>
        <w:t xml:space="preserve"> והחובל בהם</w:t>
      </w:r>
      <w:r w:rsidR="00E72350">
        <w:rPr>
          <w:rFonts w:asciiTheme="minorBidi" w:hAnsiTheme="minorBidi" w:hint="cs"/>
          <w:rtl/>
        </w:rPr>
        <w:t>,</w:t>
      </w:r>
      <w:r w:rsidRPr="005275DF">
        <w:rPr>
          <w:rFonts w:asciiTheme="minorBidi" w:hAnsiTheme="minorBidi"/>
          <w:rtl/>
        </w:rPr>
        <w:t xml:space="preserve"> א</w:t>
      </w:r>
      <w:r w:rsidR="00C113A4" w:rsidRPr="005275DF">
        <w:rPr>
          <w:rFonts w:asciiTheme="minorBidi" w:hAnsiTheme="minorBidi"/>
          <w:rtl/>
        </w:rPr>
        <w:t xml:space="preserve">ף על פי שלא יצא מהם דם אלא נצרר תחת העור </w:t>
      </w:r>
      <w:r w:rsidR="003E787B">
        <w:rPr>
          <w:rFonts w:asciiTheme="minorBidi" w:hAnsiTheme="minorBidi" w:hint="cs"/>
          <w:rtl/>
        </w:rPr>
        <w:t xml:space="preserve">- </w:t>
      </w:r>
      <w:r w:rsidR="00C113A4" w:rsidRPr="005275DF">
        <w:rPr>
          <w:rFonts w:asciiTheme="minorBidi" w:hAnsiTheme="minorBidi"/>
          <w:rtl/>
        </w:rPr>
        <w:t>חייב</w:t>
      </w:r>
      <w:r w:rsidR="003E787B">
        <w:rPr>
          <w:rFonts w:asciiTheme="minorBidi" w:hAnsiTheme="minorBidi" w:hint="cs"/>
          <w:rtl/>
        </w:rPr>
        <w:t>.</w:t>
      </w:r>
      <w:r w:rsidR="00C113A4" w:rsidRPr="005275DF">
        <w:rPr>
          <w:rFonts w:asciiTheme="minorBidi" w:hAnsiTheme="minorBidi"/>
          <w:rtl/>
        </w:rPr>
        <w:t xml:space="preserve"> ושאר שרצים</w:t>
      </w:r>
      <w:r w:rsidR="00E72350">
        <w:rPr>
          <w:rFonts w:asciiTheme="minorBidi" w:hAnsiTheme="minorBidi" w:hint="cs"/>
          <w:rtl/>
        </w:rPr>
        <w:t>,</w:t>
      </w:r>
      <w:r w:rsidRPr="005275DF">
        <w:rPr>
          <w:rFonts w:asciiTheme="minorBidi" w:hAnsiTheme="minorBidi"/>
          <w:rtl/>
        </w:rPr>
        <w:t xml:space="preserve"> אינו חייב החובל בהם א</w:t>
      </w:r>
      <w:r w:rsidR="003E787B">
        <w:rPr>
          <w:rFonts w:asciiTheme="minorBidi" w:hAnsiTheme="minorBidi" w:hint="cs"/>
          <w:rtl/>
        </w:rPr>
        <w:t>לא אם כן</w:t>
      </w:r>
      <w:r w:rsidRPr="005275DF">
        <w:rPr>
          <w:rFonts w:asciiTheme="minorBidi" w:hAnsiTheme="minorBidi"/>
          <w:rtl/>
        </w:rPr>
        <w:t xml:space="preserve"> יצא מהם דם</w:t>
      </w:r>
      <w:r w:rsidR="003E787B">
        <w:rPr>
          <w:rFonts w:asciiTheme="minorBidi" w:hAnsiTheme="minorBidi" w:hint="cs"/>
          <w:rtl/>
        </w:rPr>
        <w:t>.</w:t>
      </w:r>
      <w:r w:rsidRPr="005275DF">
        <w:rPr>
          <w:rFonts w:asciiTheme="minorBidi" w:hAnsiTheme="minorBidi"/>
          <w:rtl/>
        </w:rPr>
        <w:t xml:space="preserve"> ו</w:t>
      </w:r>
      <w:r w:rsidR="009C290F" w:rsidRPr="005275DF">
        <w:rPr>
          <w:rFonts w:asciiTheme="minorBidi" w:hAnsiTheme="minorBidi"/>
          <w:rtl/>
        </w:rPr>
        <w:t xml:space="preserve">הצדן לצורך </w:t>
      </w:r>
      <w:r w:rsidR="003E787B">
        <w:rPr>
          <w:rFonts w:asciiTheme="minorBidi" w:hAnsiTheme="minorBidi" w:hint="cs"/>
          <w:rtl/>
        </w:rPr>
        <w:t xml:space="preserve">- </w:t>
      </w:r>
      <w:r w:rsidR="009C290F" w:rsidRPr="005275DF">
        <w:rPr>
          <w:rFonts w:asciiTheme="minorBidi" w:hAnsiTheme="minorBidi"/>
          <w:rtl/>
        </w:rPr>
        <w:t>חייב, שלא לצורך או סתם</w:t>
      </w:r>
      <w:r w:rsidRPr="005275DF">
        <w:rPr>
          <w:rFonts w:asciiTheme="minorBidi" w:hAnsiTheme="minorBidi"/>
          <w:rtl/>
        </w:rPr>
        <w:t xml:space="preserve"> </w:t>
      </w:r>
      <w:r w:rsidR="003E787B">
        <w:rPr>
          <w:rFonts w:asciiTheme="minorBidi" w:hAnsiTheme="minorBidi" w:hint="cs"/>
          <w:rtl/>
        </w:rPr>
        <w:t xml:space="preserve">- </w:t>
      </w:r>
      <w:r w:rsidRPr="005275DF">
        <w:rPr>
          <w:rFonts w:asciiTheme="minorBidi" w:hAnsiTheme="minorBidi"/>
          <w:rtl/>
        </w:rPr>
        <w:t>פטור אבל אסור</w:t>
      </w:r>
      <w:r w:rsidR="003E787B">
        <w:rPr>
          <w:rFonts w:asciiTheme="minorBidi" w:hAnsiTheme="minorBidi" w:hint="cs"/>
          <w:rtl/>
        </w:rPr>
        <w:t>,</w:t>
      </w:r>
      <w:r w:rsidRPr="005275DF">
        <w:rPr>
          <w:rFonts w:asciiTheme="minorBidi" w:hAnsiTheme="minorBidi"/>
          <w:rtl/>
        </w:rPr>
        <w:t xml:space="preserve"> ולהרמב"ם </w:t>
      </w:r>
      <w:r w:rsidR="003E787B">
        <w:rPr>
          <w:rFonts w:asciiTheme="minorBidi" w:hAnsiTheme="minorBidi" w:hint="cs"/>
          <w:rtl/>
        </w:rPr>
        <w:t xml:space="preserve">- </w:t>
      </w:r>
      <w:r w:rsidRPr="005275DF">
        <w:rPr>
          <w:rFonts w:asciiTheme="minorBidi" w:hAnsiTheme="minorBidi"/>
          <w:rtl/>
        </w:rPr>
        <w:t xml:space="preserve">חייב. </w:t>
      </w:r>
    </w:p>
    <w:p w14:paraId="3708B5AF" w14:textId="77777777" w:rsidR="009766BD" w:rsidRPr="005275DF" w:rsidRDefault="009766BD" w:rsidP="00434A6A">
      <w:pPr>
        <w:rPr>
          <w:rFonts w:asciiTheme="minorBidi" w:hAnsiTheme="minorBidi"/>
          <w:rtl/>
        </w:rPr>
      </w:pPr>
    </w:p>
    <w:p w14:paraId="769B5044" w14:textId="77777777" w:rsidR="005022B5" w:rsidRPr="005275DF" w:rsidRDefault="005022B5" w:rsidP="00434A6A">
      <w:pPr>
        <w:pStyle w:val="2"/>
        <w:rPr>
          <w:rFonts w:asciiTheme="minorBidi" w:hAnsiTheme="minorBidi" w:cstheme="minorBidi"/>
          <w:rtl/>
        </w:rPr>
      </w:pPr>
      <w:r w:rsidRPr="005275DF">
        <w:rPr>
          <w:rFonts w:asciiTheme="minorBidi" w:hAnsiTheme="minorBidi" w:cstheme="minorBidi"/>
          <w:rtl/>
        </w:rPr>
        <w:t>סעיף ט</w:t>
      </w:r>
      <w:r w:rsidR="00480EAA" w:rsidRPr="005275DF">
        <w:rPr>
          <w:rFonts w:asciiTheme="minorBidi" w:hAnsiTheme="minorBidi" w:cstheme="minorBidi"/>
          <w:rtl/>
        </w:rPr>
        <w:t>: צידה/הריגה של פרעושים או כינים.</w:t>
      </w:r>
    </w:p>
    <w:p w14:paraId="3F632D20" w14:textId="563A9EE3" w:rsidR="008C7A64" w:rsidRPr="005275DF" w:rsidRDefault="006957B5" w:rsidP="00434A6A">
      <w:pPr>
        <w:rPr>
          <w:rFonts w:asciiTheme="minorBidi" w:hAnsiTheme="minorBidi"/>
          <w:rtl/>
        </w:rPr>
      </w:pPr>
      <w:r w:rsidRPr="005275DF">
        <w:rPr>
          <w:rFonts w:asciiTheme="minorBidi" w:hAnsiTheme="minorBidi"/>
          <w:b/>
          <w:bCs/>
          <w:rtl/>
        </w:rPr>
        <w:t xml:space="preserve">שבת </w:t>
      </w:r>
      <w:r>
        <w:rPr>
          <w:rFonts w:asciiTheme="minorBidi" w:hAnsiTheme="minorBidi" w:hint="cs"/>
          <w:b/>
          <w:bCs/>
          <w:sz w:val="16"/>
          <w:szCs w:val="16"/>
          <w:rtl/>
        </w:rPr>
        <w:t xml:space="preserve">(ר"פ שמנה שרצים) </w:t>
      </w:r>
      <w:r w:rsidRPr="005275DF">
        <w:rPr>
          <w:rFonts w:asciiTheme="minorBidi" w:hAnsiTheme="minorBidi"/>
          <w:b/>
          <w:bCs/>
          <w:rtl/>
        </w:rPr>
        <w:t>קז ע"א:</w:t>
      </w:r>
      <w:r w:rsidRPr="005275DF">
        <w:rPr>
          <w:rFonts w:asciiTheme="minorBidi" w:hAnsiTheme="minorBidi"/>
          <w:rtl/>
        </w:rPr>
        <w:t xml:space="preserve"> </w:t>
      </w:r>
      <w:r w:rsidRPr="005275DF">
        <w:rPr>
          <w:rFonts w:asciiTheme="minorBidi" w:hAnsiTheme="minorBidi"/>
          <w:u w:val="double"/>
          <w:rtl/>
        </w:rPr>
        <w:t>משנה:</w:t>
      </w:r>
      <w:r w:rsidRPr="005275DF">
        <w:rPr>
          <w:rFonts w:asciiTheme="minorBidi" w:hAnsiTheme="minorBidi"/>
          <w:rtl/>
        </w:rPr>
        <w:t xml:space="preserve"> שמנה שרצים האמורים בתורה, הצדן והחובל בהן - חייב. ושאר שקצים ורמשים החובל בהן - פטור, הצדן לצורך - חייב, שלא לצורך - פטור.</w:t>
      </w:r>
      <w:r>
        <w:rPr>
          <w:rFonts w:asciiTheme="minorBidi" w:hAnsiTheme="minorBidi" w:hint="cs"/>
          <w:rtl/>
        </w:rPr>
        <w:t>.</w:t>
      </w:r>
      <w:r w:rsidRPr="005275DF">
        <w:rPr>
          <w:rFonts w:asciiTheme="minorBidi" w:hAnsiTheme="minorBidi"/>
          <w:rtl/>
        </w:rPr>
        <w:t xml:space="preserve">. </w:t>
      </w:r>
      <w:r>
        <w:rPr>
          <w:rFonts w:asciiTheme="minorBidi" w:hAnsiTheme="minorBidi" w:hint="cs"/>
          <w:rtl/>
        </w:rPr>
        <w:t xml:space="preserve"> </w:t>
      </w:r>
      <w:r w:rsidRPr="005275DF">
        <w:rPr>
          <w:rFonts w:asciiTheme="minorBidi" w:hAnsiTheme="minorBidi"/>
          <w:rtl/>
        </w:rPr>
        <w:t xml:space="preserve">   </w:t>
      </w:r>
      <w:r>
        <w:rPr>
          <w:rFonts w:asciiTheme="minorBidi" w:hAnsiTheme="minorBidi" w:hint="cs"/>
          <w:u w:val="double"/>
          <w:rtl/>
        </w:rPr>
        <w:t>גמרא</w:t>
      </w:r>
      <w:r>
        <w:rPr>
          <w:rFonts w:asciiTheme="minorBidi" w:hAnsiTheme="minorBidi" w:hint="cs"/>
          <w:sz w:val="14"/>
          <w:szCs w:val="14"/>
          <w:u w:val="double"/>
          <w:rtl/>
        </w:rPr>
        <w:t xml:space="preserve"> (קז:)</w:t>
      </w:r>
      <w:r w:rsidRPr="005275DF">
        <w:rPr>
          <w:rFonts w:asciiTheme="minorBidi" w:hAnsiTheme="minorBidi"/>
          <w:u w:val="double"/>
          <w:rtl/>
        </w:rPr>
        <w:t>:</w:t>
      </w:r>
      <w:r>
        <w:rPr>
          <w:rFonts w:asciiTheme="minorBidi" w:hAnsiTheme="minorBidi" w:cs="Arial" w:hint="cs"/>
          <w:rtl/>
        </w:rPr>
        <w:t xml:space="preserve"> </w:t>
      </w:r>
      <w:r w:rsidR="00547582" w:rsidRPr="00547582">
        <w:rPr>
          <w:rFonts w:asciiTheme="minorBidi" w:hAnsiTheme="minorBidi" w:cs="Arial"/>
          <w:rtl/>
        </w:rPr>
        <w:t xml:space="preserve">ושאר שקצים כו'. הא הורגן - חייב, מאן תנא? </w:t>
      </w:r>
      <w:r w:rsidR="00547582" w:rsidRPr="00547582">
        <w:rPr>
          <w:rFonts w:asciiTheme="minorBidi" w:hAnsiTheme="minorBidi" w:cs="Arial"/>
          <w:u w:val="single"/>
          <w:rtl/>
        </w:rPr>
        <w:t>אמר רבי ירמיה:</w:t>
      </w:r>
      <w:r w:rsidR="00547582" w:rsidRPr="00547582">
        <w:rPr>
          <w:rFonts w:asciiTheme="minorBidi" w:hAnsiTheme="minorBidi" w:cs="Arial"/>
          <w:rtl/>
        </w:rPr>
        <w:t xml:space="preserve"> רבי אליעזר היא, דתניא, רבי אליעזר אומר: ההורג כינה בשבת - כהורג גמל בשבת. </w:t>
      </w:r>
      <w:r w:rsidR="00547582" w:rsidRPr="00547582">
        <w:rPr>
          <w:rFonts w:asciiTheme="minorBidi" w:hAnsiTheme="minorBidi" w:cs="Arial"/>
          <w:u w:val="single"/>
          <w:rtl/>
        </w:rPr>
        <w:t>מתקיף לה רב יוסף</w:t>
      </w:r>
      <w:r w:rsidR="00547582" w:rsidRPr="00547582">
        <w:rPr>
          <w:rFonts w:asciiTheme="minorBidi" w:hAnsiTheme="minorBidi" w:cs="Arial"/>
          <w:rtl/>
        </w:rPr>
        <w:t xml:space="preserve">: </w:t>
      </w:r>
      <w:r w:rsidR="008C7A64" w:rsidRPr="005275DF">
        <w:rPr>
          <w:rFonts w:asciiTheme="minorBidi" w:hAnsiTheme="minorBidi"/>
          <w:rtl/>
        </w:rPr>
        <w:t>עד כאן לא פליגי רבנן עליה דרבי אליעזר אלא בכינה</w:t>
      </w:r>
      <w:r w:rsidR="00D1570E" w:rsidRPr="005275DF">
        <w:rPr>
          <w:rStyle w:val="a9"/>
          <w:rFonts w:asciiTheme="minorBidi" w:hAnsiTheme="minorBidi"/>
          <w:rtl/>
        </w:rPr>
        <w:footnoteReference w:id="2475"/>
      </w:r>
      <w:r w:rsidR="008C7A64" w:rsidRPr="005275DF">
        <w:rPr>
          <w:rFonts w:asciiTheme="minorBidi" w:hAnsiTheme="minorBidi"/>
          <w:rtl/>
        </w:rPr>
        <w:t>, דאינה פרה ורבה. אבל שאר שקצים ורמשים דפרין ורבין</w:t>
      </w:r>
      <w:r w:rsidR="00D1570E" w:rsidRPr="005275DF">
        <w:rPr>
          <w:rStyle w:val="a9"/>
          <w:rFonts w:asciiTheme="minorBidi" w:hAnsiTheme="minorBidi"/>
          <w:rtl/>
        </w:rPr>
        <w:footnoteReference w:id="2476"/>
      </w:r>
      <w:r w:rsidR="008C7A64" w:rsidRPr="005275DF">
        <w:rPr>
          <w:rFonts w:asciiTheme="minorBidi" w:hAnsiTheme="minorBidi"/>
          <w:rtl/>
        </w:rPr>
        <w:t xml:space="preserve"> - לא פליגי.</w:t>
      </w:r>
      <w:r w:rsidR="00547582" w:rsidRPr="00547582">
        <w:rPr>
          <w:rtl/>
        </w:rPr>
        <w:t xml:space="preserve"> </w:t>
      </w:r>
      <w:r w:rsidR="00547582" w:rsidRPr="00547582">
        <w:rPr>
          <w:rFonts w:asciiTheme="minorBidi" w:hAnsiTheme="minorBidi" w:cs="Arial"/>
          <w:rtl/>
        </w:rPr>
        <w:t>ושניהם לא למדוה אלא מאילים, רבי אליעזר סבר: כאילים, מה אילים שיש בהן נטילת נשמה - אף כל שיש בו נטילת נשמה. ורבנן סברי: כאילים, מה אילים דפרין ורבין - אף כל דפרה ורבה. אמר ליה אביי: וכינה אין פרה ורבה? והאמר מר: יושב הקדוש ברוך הוא וזן מקרני ראמים ועד ביצי כינים! מינא הוא דמיקרי ביצי כינים. והתניא: טפויי</w:t>
      </w:r>
      <w:r>
        <w:rPr>
          <w:rStyle w:val="a9"/>
          <w:rFonts w:asciiTheme="minorBidi" w:hAnsiTheme="minorBidi" w:cs="Arial"/>
          <w:rtl/>
        </w:rPr>
        <w:footnoteReference w:id="2477"/>
      </w:r>
      <w:r w:rsidR="00547582" w:rsidRPr="00547582">
        <w:rPr>
          <w:rFonts w:asciiTheme="minorBidi" w:hAnsiTheme="minorBidi" w:cs="Arial"/>
          <w:rtl/>
        </w:rPr>
        <w:t xml:space="preserve"> וביצי כינים! מינא הוא דמיקרי ביצי כינים.</w:t>
      </w:r>
      <w:r w:rsidR="008C7A64" w:rsidRPr="005275DF">
        <w:rPr>
          <w:rFonts w:asciiTheme="minorBidi" w:hAnsiTheme="minorBidi"/>
          <w:rtl/>
        </w:rPr>
        <w:t xml:space="preserve"> והרי פרעוש דפרה ורבה</w:t>
      </w:r>
      <w:r w:rsidR="00BC34C5">
        <w:rPr>
          <w:rFonts w:asciiTheme="minorBidi" w:hAnsiTheme="minorBidi" w:hint="cs"/>
          <w:rtl/>
        </w:rPr>
        <w:t>,</w:t>
      </w:r>
      <w:r w:rsidR="008C7A64" w:rsidRPr="005275DF">
        <w:rPr>
          <w:rFonts w:asciiTheme="minorBidi" w:hAnsiTheme="minorBidi"/>
          <w:rtl/>
        </w:rPr>
        <w:t xml:space="preserve"> ותניא: הצד פרעוש בשבת </w:t>
      </w:r>
      <w:r w:rsidR="008C7A64" w:rsidRPr="00547582">
        <w:rPr>
          <w:rFonts w:asciiTheme="minorBidi" w:hAnsiTheme="minorBidi"/>
          <w:u w:val="single"/>
          <w:rtl/>
        </w:rPr>
        <w:t>רבי אליעזר</w:t>
      </w:r>
      <w:r w:rsidR="008C7A64" w:rsidRPr="005275DF">
        <w:rPr>
          <w:rFonts w:asciiTheme="minorBidi" w:hAnsiTheme="minorBidi"/>
          <w:rtl/>
        </w:rPr>
        <w:t xml:space="preserve"> מחייב</w:t>
      </w:r>
      <w:r w:rsidR="00547582">
        <w:rPr>
          <w:rFonts w:asciiTheme="minorBidi" w:hAnsiTheme="minorBidi" w:hint="cs"/>
          <w:rtl/>
        </w:rPr>
        <w:t>,</w:t>
      </w:r>
      <w:r w:rsidR="008C7A64" w:rsidRPr="005275DF">
        <w:rPr>
          <w:rFonts w:asciiTheme="minorBidi" w:hAnsiTheme="minorBidi"/>
          <w:rtl/>
        </w:rPr>
        <w:t xml:space="preserve"> </w:t>
      </w:r>
      <w:r w:rsidR="008C7A64" w:rsidRPr="00547582">
        <w:rPr>
          <w:rFonts w:asciiTheme="minorBidi" w:hAnsiTheme="minorBidi"/>
          <w:u w:val="single"/>
          <w:rtl/>
        </w:rPr>
        <w:t>ורבי יהושע</w:t>
      </w:r>
      <w:r w:rsidR="008C7A64" w:rsidRPr="005275DF">
        <w:rPr>
          <w:rFonts w:asciiTheme="minorBidi" w:hAnsiTheme="minorBidi"/>
          <w:rtl/>
        </w:rPr>
        <w:t xml:space="preserve"> פוטר</w:t>
      </w:r>
      <w:r w:rsidR="00547582">
        <w:rPr>
          <w:rStyle w:val="a9"/>
          <w:rFonts w:asciiTheme="minorBidi" w:hAnsiTheme="minorBidi"/>
          <w:rtl/>
        </w:rPr>
        <w:footnoteReference w:id="2478"/>
      </w:r>
      <w:r w:rsidR="00480EAA" w:rsidRPr="005275DF">
        <w:rPr>
          <w:rFonts w:asciiTheme="minorBidi" w:hAnsiTheme="minorBidi"/>
          <w:rtl/>
        </w:rPr>
        <w:t>!</w:t>
      </w:r>
      <w:r w:rsidR="008C7A64" w:rsidRPr="005275DF">
        <w:rPr>
          <w:rFonts w:asciiTheme="minorBidi" w:hAnsiTheme="minorBidi"/>
          <w:rtl/>
        </w:rPr>
        <w:t xml:space="preserve"> </w:t>
      </w:r>
      <w:r w:rsidR="008C7A64" w:rsidRPr="005275DF">
        <w:rPr>
          <w:rFonts w:asciiTheme="minorBidi" w:hAnsiTheme="minorBidi"/>
          <w:u w:val="single"/>
          <w:rtl/>
        </w:rPr>
        <w:t>אמר רב אשי</w:t>
      </w:r>
      <w:r w:rsidR="008C7A64" w:rsidRPr="005275DF">
        <w:rPr>
          <w:rFonts w:asciiTheme="minorBidi" w:hAnsiTheme="minorBidi"/>
          <w:rtl/>
        </w:rPr>
        <w:t>: צידה אהריגה קרמית? עד כאן לא פליגי רבי אליעזר ורבי יהושע, אלא דמר סבר: דבר שאין במינו ניצוד - חייב, ומר סבר: פטור. אבל לענין הריגה - אפילו רבי יהושע מודה.</w:t>
      </w:r>
    </w:p>
    <w:p w14:paraId="11DF0990" w14:textId="344A9037" w:rsidR="003A10BF" w:rsidRPr="003A10BF" w:rsidRDefault="003A10BF" w:rsidP="00434A6A">
      <w:pPr>
        <w:rPr>
          <w:u w:val="single"/>
        </w:rPr>
      </w:pPr>
      <w:r>
        <w:rPr>
          <w:rFonts w:hint="cs"/>
          <w:u w:val="single"/>
          <w:rtl/>
        </w:rPr>
        <w:t xml:space="preserve">צידת </w:t>
      </w:r>
      <w:r w:rsidRPr="003A10BF">
        <w:rPr>
          <w:rFonts w:hint="cs"/>
          <w:u w:val="single"/>
          <w:rtl/>
        </w:rPr>
        <w:t>פרעוש</w:t>
      </w:r>
      <w:r>
        <w:rPr>
          <w:rFonts w:hint="cs"/>
          <w:u w:val="single"/>
          <w:rtl/>
        </w:rPr>
        <w:t xml:space="preserve"> כדי שלא ינשכנו</w:t>
      </w:r>
      <w:r w:rsidRPr="003A10BF">
        <w:rPr>
          <w:rFonts w:hint="cs"/>
          <w:u w:val="single"/>
          <w:rtl/>
        </w:rPr>
        <w:t>:</w:t>
      </w:r>
    </w:p>
    <w:p w14:paraId="3E3FF895" w14:textId="4A971E9C" w:rsidR="003A10BF" w:rsidRDefault="003A10BF" w:rsidP="00434A6A">
      <w:pPr>
        <w:pStyle w:val="aa"/>
        <w:numPr>
          <w:ilvl w:val="0"/>
          <w:numId w:val="30"/>
        </w:numPr>
      </w:pPr>
      <w:r>
        <w:rPr>
          <w:rFonts w:cs="Arial" w:hint="cs"/>
          <w:rtl/>
        </w:rPr>
        <w:t xml:space="preserve">תוס' </w:t>
      </w:r>
      <w:r w:rsidRPr="003A10BF">
        <w:rPr>
          <w:rFonts w:cs="Arial" w:hint="cs"/>
          <w:sz w:val="16"/>
          <w:szCs w:val="16"/>
          <w:rtl/>
        </w:rPr>
        <w:t>(ד"ה הצד)</w:t>
      </w:r>
      <w:r w:rsidR="001327D3">
        <w:rPr>
          <w:rFonts w:cs="Arial" w:hint="cs"/>
          <w:rtl/>
        </w:rPr>
        <w:t xml:space="preserve"> </w:t>
      </w:r>
      <w:r w:rsidR="00607712">
        <w:rPr>
          <w:rFonts w:cs="Arial" w:hint="cs"/>
          <w:rtl/>
        </w:rPr>
        <w:t>ו</w:t>
      </w:r>
      <w:r w:rsidR="001327D3">
        <w:rPr>
          <w:rFonts w:cs="Arial" w:hint="cs"/>
          <w:rtl/>
        </w:rPr>
        <w:t xml:space="preserve">רא"ש </w:t>
      </w:r>
      <w:r w:rsidR="001327D3">
        <w:rPr>
          <w:rFonts w:cs="Arial" w:hint="cs"/>
          <w:sz w:val="16"/>
          <w:szCs w:val="16"/>
          <w:rtl/>
        </w:rPr>
        <w:t>(פי"ד סי' א)</w:t>
      </w:r>
      <w:r>
        <w:rPr>
          <w:rFonts w:cs="Arial" w:hint="cs"/>
          <w:rtl/>
        </w:rPr>
        <w:t xml:space="preserve">- </w:t>
      </w:r>
      <w:r w:rsidRPr="003A10BF">
        <w:rPr>
          <w:rFonts w:cs="Arial"/>
          <w:rtl/>
        </w:rPr>
        <w:t>הצד את הפרעוש כו' ר</w:t>
      </w:r>
      <w:r>
        <w:rPr>
          <w:rFonts w:cs="Arial" w:hint="cs"/>
          <w:rtl/>
        </w:rPr>
        <w:t>בי יהושע</w:t>
      </w:r>
      <w:r w:rsidRPr="003A10BF">
        <w:rPr>
          <w:rFonts w:cs="Arial"/>
          <w:rtl/>
        </w:rPr>
        <w:t xml:space="preserve"> פוטר - משמע דפטור אבל אסור</w:t>
      </w:r>
      <w:r>
        <w:rPr>
          <w:rFonts w:cs="Arial" w:hint="cs"/>
          <w:rtl/>
        </w:rPr>
        <w:t>,</w:t>
      </w:r>
      <w:r w:rsidRPr="003A10BF">
        <w:rPr>
          <w:rFonts w:cs="Arial"/>
          <w:rtl/>
        </w:rPr>
        <w:t xml:space="preserve"> </w:t>
      </w:r>
      <w:r>
        <w:rPr>
          <w:rFonts w:cs="Arial" w:hint="cs"/>
          <w:rtl/>
        </w:rPr>
        <w:t>ו</w:t>
      </w:r>
      <w:r w:rsidRPr="00547582">
        <w:rPr>
          <w:rFonts w:cs="Arial"/>
          <w:rtl/>
        </w:rPr>
        <w:t xml:space="preserve">אומר ר"י בשם הרב פורת דאפ"ה אם נושך האדם </w:t>
      </w:r>
      <w:r>
        <w:rPr>
          <w:rFonts w:cs="Arial" w:hint="cs"/>
          <w:rtl/>
        </w:rPr>
        <w:t xml:space="preserve">- </w:t>
      </w:r>
      <w:r w:rsidRPr="00547582">
        <w:rPr>
          <w:rFonts w:cs="Arial"/>
          <w:rtl/>
        </w:rPr>
        <w:t>מותר ליקחנו ולהשליכו מעליו</w:t>
      </w:r>
      <w:r>
        <w:rPr>
          <w:rFonts w:cs="Arial" w:hint="cs"/>
          <w:rtl/>
        </w:rPr>
        <w:t>,</w:t>
      </w:r>
      <w:r w:rsidRPr="00547582">
        <w:rPr>
          <w:rFonts w:cs="Arial"/>
          <w:rtl/>
        </w:rPr>
        <w:t xml:space="preserve"> דמשום צער שרי</w:t>
      </w:r>
      <w:r w:rsidR="00ED31DB">
        <w:rPr>
          <w:rStyle w:val="a9"/>
          <w:rFonts w:cs="Arial"/>
          <w:rtl/>
        </w:rPr>
        <w:footnoteReference w:id="2479"/>
      </w:r>
      <w:r>
        <w:rPr>
          <w:rFonts w:cs="Arial" w:hint="cs"/>
          <w:rtl/>
        </w:rPr>
        <w:t>.</w:t>
      </w:r>
      <w:r w:rsidRPr="00547582">
        <w:rPr>
          <w:rFonts w:cs="Arial"/>
          <w:rtl/>
        </w:rPr>
        <w:t xml:space="preserve"> אבל אם הוא באותו ענין על האדם שאינו ירא שינשכנו</w:t>
      </w:r>
      <w:r>
        <w:rPr>
          <w:rFonts w:cs="Arial" w:hint="cs"/>
          <w:rtl/>
        </w:rPr>
        <w:t>,</w:t>
      </w:r>
      <w:r w:rsidRPr="00547582">
        <w:rPr>
          <w:rFonts w:cs="Arial"/>
          <w:rtl/>
        </w:rPr>
        <w:t xml:space="preserve"> כגון על סרבלו מבחוץ </w:t>
      </w:r>
      <w:r>
        <w:rPr>
          <w:rFonts w:cs="Arial" w:hint="cs"/>
          <w:rtl/>
        </w:rPr>
        <w:t xml:space="preserve">- </w:t>
      </w:r>
      <w:r w:rsidRPr="00547582">
        <w:rPr>
          <w:rFonts w:cs="Arial"/>
          <w:rtl/>
        </w:rPr>
        <w:t>אסור ליטלו</w:t>
      </w:r>
      <w:r>
        <w:rPr>
          <w:rFonts w:cs="Arial" w:hint="cs"/>
          <w:rtl/>
        </w:rPr>
        <w:t>,</w:t>
      </w:r>
      <w:r w:rsidRPr="00547582">
        <w:rPr>
          <w:rFonts w:cs="Arial"/>
          <w:rtl/>
        </w:rPr>
        <w:t xml:space="preserve"> אבל יכול להפילו מעליו</w:t>
      </w:r>
      <w:r w:rsidR="00662389">
        <w:rPr>
          <w:rFonts w:cs="Arial" w:hint="cs"/>
          <w:sz w:val="16"/>
          <w:szCs w:val="16"/>
          <w:rtl/>
        </w:rPr>
        <w:t xml:space="preserve"> (ל' התוס')</w:t>
      </w:r>
      <w:r>
        <w:rPr>
          <w:rFonts w:cs="Arial" w:hint="cs"/>
          <w:rtl/>
        </w:rPr>
        <w:t>.</w:t>
      </w:r>
      <w:r>
        <w:rPr>
          <w:rFonts w:hint="cs"/>
          <w:rtl/>
        </w:rPr>
        <w:t xml:space="preserve"> </w:t>
      </w:r>
      <w:r w:rsidR="0008106C" w:rsidRPr="0008106C">
        <w:rPr>
          <w:rFonts w:hint="cs"/>
          <w:color w:val="E36C0A" w:themeColor="accent6" w:themeShade="BF"/>
          <w:rtl/>
        </w:rPr>
        <w:t>(וכ"פ בשו"ע)</w:t>
      </w:r>
    </w:p>
    <w:p w14:paraId="3D63CB15" w14:textId="3B1951F6" w:rsidR="00187B1F" w:rsidRDefault="00187B1F" w:rsidP="00434A6A">
      <w:pPr>
        <w:pStyle w:val="aa"/>
        <w:numPr>
          <w:ilvl w:val="0"/>
          <w:numId w:val="30"/>
        </w:numPr>
      </w:pPr>
      <w:r w:rsidRPr="003A10BF">
        <w:rPr>
          <w:rFonts w:asciiTheme="minorBidi" w:hAnsiTheme="minorBidi" w:cs="Arial"/>
          <w:rtl/>
        </w:rPr>
        <w:t xml:space="preserve">רב יהודאי גאון </w:t>
      </w:r>
      <w:r w:rsidRPr="00187B1F">
        <w:rPr>
          <w:rFonts w:asciiTheme="minorBidi" w:hAnsiTheme="minorBidi" w:cs="Arial" w:hint="cs"/>
          <w:sz w:val="16"/>
          <w:szCs w:val="16"/>
          <w:rtl/>
        </w:rPr>
        <w:t>(</w:t>
      </w:r>
      <w:r>
        <w:rPr>
          <w:rFonts w:asciiTheme="minorBidi" w:hAnsiTheme="minorBidi" w:cs="Arial" w:hint="cs"/>
          <w:sz w:val="16"/>
          <w:szCs w:val="16"/>
          <w:rtl/>
        </w:rPr>
        <w:t>כ"כ בשמו המרדכי [</w:t>
      </w:r>
      <w:r w:rsidRPr="00187B1F">
        <w:rPr>
          <w:rFonts w:asciiTheme="minorBidi" w:hAnsiTheme="minorBidi" w:cs="Arial"/>
          <w:sz w:val="16"/>
          <w:szCs w:val="16"/>
          <w:rtl/>
        </w:rPr>
        <w:t>סי' תב</w:t>
      </w:r>
      <w:r>
        <w:rPr>
          <w:rFonts w:asciiTheme="minorBidi" w:hAnsiTheme="minorBidi" w:cs="Arial" w:hint="cs"/>
          <w:sz w:val="16"/>
          <w:szCs w:val="16"/>
          <w:rtl/>
        </w:rPr>
        <w:t>]</w:t>
      </w:r>
      <w:r w:rsidRPr="00187B1F">
        <w:rPr>
          <w:rFonts w:asciiTheme="minorBidi" w:hAnsiTheme="minorBidi" w:cs="Arial"/>
          <w:sz w:val="16"/>
          <w:szCs w:val="16"/>
          <w:rtl/>
        </w:rPr>
        <w:t>)</w:t>
      </w:r>
      <w:r>
        <w:rPr>
          <w:rFonts w:asciiTheme="minorBidi" w:hAnsiTheme="minorBidi" w:cs="Arial" w:hint="cs"/>
          <w:rtl/>
        </w:rPr>
        <w:t xml:space="preserve">- </w:t>
      </w:r>
      <w:r w:rsidRPr="003A10BF">
        <w:rPr>
          <w:rFonts w:asciiTheme="minorBidi" w:hAnsiTheme="minorBidi" w:cs="Arial"/>
          <w:rtl/>
        </w:rPr>
        <w:t>חזינן לרבנן קשישי דמימנעי מלצוד פרעוש אפילו מעל בשרם</w:t>
      </w:r>
      <w:r>
        <w:rPr>
          <w:rStyle w:val="a9"/>
          <w:rFonts w:asciiTheme="minorBidi" w:hAnsiTheme="minorBidi" w:cs="Arial"/>
          <w:rtl/>
        </w:rPr>
        <w:footnoteReference w:id="2480"/>
      </w:r>
      <w:r>
        <w:rPr>
          <w:rFonts w:asciiTheme="minorBidi" w:hAnsiTheme="minorBidi" w:cs="Arial" w:hint="cs"/>
          <w:rtl/>
        </w:rPr>
        <w:t>.</w:t>
      </w:r>
    </w:p>
    <w:p w14:paraId="721D8B1D" w14:textId="28EE20A6" w:rsidR="00F332E8" w:rsidRPr="00662389" w:rsidRDefault="001327D3" w:rsidP="00434A6A">
      <w:pPr>
        <w:ind w:left="360"/>
        <w:rPr>
          <w:u w:val="dotted"/>
        </w:rPr>
      </w:pPr>
      <w:r w:rsidRPr="00187B1F">
        <w:rPr>
          <w:rFonts w:hint="cs"/>
          <w:u w:val="dotted"/>
          <w:rtl/>
        </w:rPr>
        <w:t xml:space="preserve">מה </w:t>
      </w:r>
      <w:r w:rsidR="00607712">
        <w:rPr>
          <w:rFonts w:hint="cs"/>
          <w:u w:val="dotted"/>
          <w:rtl/>
        </w:rPr>
        <w:t xml:space="preserve">דעת התוס' </w:t>
      </w:r>
      <w:r w:rsidRPr="00187B1F">
        <w:rPr>
          <w:rFonts w:hint="cs"/>
          <w:u w:val="dotted"/>
          <w:rtl/>
        </w:rPr>
        <w:t xml:space="preserve">אם הפרעוש </w:t>
      </w:r>
      <w:r w:rsidR="00607712">
        <w:rPr>
          <w:rFonts w:hint="cs"/>
          <w:u w:val="dotted"/>
          <w:rtl/>
        </w:rPr>
        <w:t xml:space="preserve">נמצא </w:t>
      </w:r>
      <w:r w:rsidRPr="00187B1F">
        <w:rPr>
          <w:rFonts w:hint="cs"/>
          <w:u w:val="dotted"/>
          <w:rtl/>
        </w:rPr>
        <w:t>על בגדו מבפנים</w:t>
      </w:r>
      <w:r w:rsidR="00607712">
        <w:rPr>
          <w:rFonts w:hint="cs"/>
          <w:u w:val="dotted"/>
          <w:rtl/>
        </w:rPr>
        <w:t xml:space="preserve"> ועדיין לא עוקצו</w:t>
      </w:r>
      <w:r w:rsidR="00662389">
        <w:rPr>
          <w:rStyle w:val="a9"/>
          <w:u w:val="dotted"/>
          <w:rtl/>
        </w:rPr>
        <w:footnoteReference w:id="2481"/>
      </w:r>
      <w:r w:rsidRPr="00187B1F">
        <w:rPr>
          <w:rFonts w:hint="cs"/>
          <w:u w:val="dotted"/>
          <w:rtl/>
        </w:rPr>
        <w:t>:</w:t>
      </w:r>
    </w:p>
    <w:p w14:paraId="5F5058AB" w14:textId="227E2E86" w:rsidR="00607712" w:rsidRDefault="00607712" w:rsidP="00434A6A">
      <w:pPr>
        <w:pStyle w:val="aa"/>
        <w:numPr>
          <w:ilvl w:val="0"/>
          <w:numId w:val="30"/>
        </w:numPr>
      </w:pPr>
      <w:r>
        <w:rPr>
          <w:rFonts w:hint="cs"/>
          <w:rtl/>
        </w:rPr>
        <w:t>סמ"ג</w:t>
      </w:r>
      <w:r>
        <w:rPr>
          <w:rFonts w:hint="cs"/>
          <w:sz w:val="16"/>
          <w:szCs w:val="16"/>
          <w:rtl/>
        </w:rPr>
        <w:t xml:space="preserve"> (לאוין סה, והעתיקוהו הסמ"ק [סי' רפב] והגה"מ [פ"י אות ש])</w:t>
      </w:r>
      <w:r w:rsidR="00662389">
        <w:rPr>
          <w:rFonts w:hint="cs"/>
          <w:rtl/>
        </w:rPr>
        <w:t xml:space="preserve"> וטור</w:t>
      </w:r>
      <w:r w:rsidR="00662389">
        <w:rPr>
          <w:rStyle w:val="a9"/>
          <w:rtl/>
        </w:rPr>
        <w:footnoteReference w:id="2482"/>
      </w:r>
      <w:r>
        <w:rPr>
          <w:rFonts w:hint="cs"/>
          <w:rtl/>
        </w:rPr>
        <w:t xml:space="preserve">- </w:t>
      </w:r>
      <w:r w:rsidRPr="00607712">
        <w:rPr>
          <w:rFonts w:cs="Arial"/>
          <w:rtl/>
        </w:rPr>
        <w:t>ואסור לצוד פרעוש בשעת שקופצת מכאן ולכאן</w:t>
      </w:r>
      <w:r>
        <w:rPr>
          <w:rFonts w:cs="Arial" w:hint="cs"/>
          <w:rtl/>
        </w:rPr>
        <w:t>,</w:t>
      </w:r>
      <w:r w:rsidRPr="00607712">
        <w:rPr>
          <w:rFonts w:cs="Arial"/>
          <w:rtl/>
        </w:rPr>
        <w:t xml:space="preserve"> אבל בשעה שעוקצת מותר ליקח אותה ולהשליכה</w:t>
      </w:r>
      <w:r>
        <w:rPr>
          <w:rFonts w:cs="Arial" w:hint="cs"/>
          <w:rtl/>
        </w:rPr>
        <w:t>.</w:t>
      </w:r>
      <w:r w:rsidR="0008106C">
        <w:rPr>
          <w:rFonts w:hint="cs"/>
          <w:rtl/>
        </w:rPr>
        <w:t xml:space="preserve"> </w:t>
      </w:r>
      <w:r w:rsidR="0008106C" w:rsidRPr="0008106C">
        <w:rPr>
          <w:rFonts w:hint="cs"/>
          <w:color w:val="E36C0A" w:themeColor="accent6" w:themeShade="BF"/>
          <w:rtl/>
        </w:rPr>
        <w:t>(וכ"פ בשו"ע)</w:t>
      </w:r>
      <w:r w:rsidR="0008106C">
        <w:rPr>
          <w:rFonts w:hint="cs"/>
          <w:rtl/>
        </w:rPr>
        <w:t xml:space="preserve"> </w:t>
      </w:r>
    </w:p>
    <w:p w14:paraId="56ECA750" w14:textId="6A65D82F" w:rsidR="00B47EF8" w:rsidRPr="003A10BF" w:rsidRDefault="00B47EF8" w:rsidP="00434A6A">
      <w:pPr>
        <w:pStyle w:val="aa"/>
        <w:numPr>
          <w:ilvl w:val="0"/>
          <w:numId w:val="30"/>
        </w:numPr>
        <w:rPr>
          <w:rtl/>
        </w:rPr>
      </w:pPr>
      <w:r>
        <w:rPr>
          <w:rFonts w:cs="Arial" w:hint="cs"/>
          <w:rtl/>
        </w:rPr>
        <w:t xml:space="preserve">רשב"א </w:t>
      </w:r>
      <w:r>
        <w:rPr>
          <w:rFonts w:cs="Arial" w:hint="cs"/>
          <w:sz w:val="16"/>
          <w:szCs w:val="16"/>
          <w:rtl/>
        </w:rPr>
        <w:t>(קז: ד"ה הצד, והעתיקוהו הה"מ [</w:t>
      </w:r>
      <w:r w:rsidR="00662389">
        <w:rPr>
          <w:rFonts w:cs="Arial" w:hint="cs"/>
          <w:sz w:val="16"/>
          <w:szCs w:val="16"/>
          <w:rtl/>
        </w:rPr>
        <w:t>פ"י הכ"ד</w:t>
      </w:r>
      <w:r>
        <w:rPr>
          <w:rFonts w:cs="Arial" w:hint="cs"/>
          <w:sz w:val="16"/>
          <w:szCs w:val="16"/>
          <w:rtl/>
        </w:rPr>
        <w:t>] הר"ן [לח: ד"ה פטור])</w:t>
      </w:r>
      <w:r>
        <w:rPr>
          <w:rFonts w:cs="Arial" w:hint="cs"/>
          <w:rtl/>
        </w:rPr>
        <w:t xml:space="preserve">- </w:t>
      </w:r>
      <w:r w:rsidRPr="00B47EF8">
        <w:rPr>
          <w:rFonts w:cs="Arial"/>
          <w:rtl/>
        </w:rPr>
        <w:t>בתוספות כתבו שאם מתירא שמא ישכנו וכל שכן אם נושך אותו יכול להסירו דאינו אלא כמתעסק, מידי דהוה אקוץ ברשות הרבים (מב</w:t>
      </w:r>
      <w:r>
        <w:rPr>
          <w:rFonts w:cs="Arial" w:hint="cs"/>
          <w:rtl/>
        </w:rPr>
        <w:t>.</w:t>
      </w:r>
      <w:r w:rsidRPr="00B47EF8">
        <w:rPr>
          <w:rFonts w:cs="Arial"/>
          <w:rtl/>
        </w:rPr>
        <w:t>)</w:t>
      </w:r>
      <w:r>
        <w:rPr>
          <w:rFonts w:hint="cs"/>
          <w:rtl/>
        </w:rPr>
        <w:t>.</w:t>
      </w:r>
    </w:p>
    <w:p w14:paraId="27F48B87" w14:textId="6314E6B8" w:rsidR="00027778" w:rsidRPr="00027778" w:rsidRDefault="00027778" w:rsidP="00434A6A">
      <w:pPr>
        <w:rPr>
          <w:rFonts w:asciiTheme="minorBidi" w:hAnsiTheme="minorBidi" w:cs="Arial"/>
          <w:u w:val="single"/>
          <w:rtl/>
        </w:rPr>
      </w:pPr>
      <w:r w:rsidRPr="00027778">
        <w:rPr>
          <w:rFonts w:asciiTheme="minorBidi" w:hAnsiTheme="minorBidi" w:cs="Arial" w:hint="cs"/>
          <w:u w:val="single"/>
          <w:rtl/>
        </w:rPr>
        <w:t>הריגת פרעוש</w:t>
      </w:r>
      <w:r>
        <w:rPr>
          <w:rFonts w:asciiTheme="minorBidi" w:hAnsiTheme="minorBidi" w:cs="Arial" w:hint="cs"/>
          <w:u w:val="single"/>
          <w:rtl/>
        </w:rPr>
        <w:t>:</w:t>
      </w:r>
    </w:p>
    <w:p w14:paraId="5DBE9348" w14:textId="6E60B155" w:rsidR="009946B9" w:rsidRPr="009946B9" w:rsidRDefault="00027778" w:rsidP="00434A6A">
      <w:pPr>
        <w:pStyle w:val="aa"/>
        <w:numPr>
          <w:ilvl w:val="0"/>
          <w:numId w:val="30"/>
        </w:numPr>
      </w:pPr>
      <w:r>
        <w:rPr>
          <w:rFonts w:cs="Arial" w:hint="cs"/>
          <w:rtl/>
        </w:rPr>
        <w:t xml:space="preserve">טור- </w:t>
      </w:r>
      <w:r>
        <w:rPr>
          <w:rFonts w:cs="Arial"/>
          <w:rtl/>
        </w:rPr>
        <w:t>אם הוא על בשרו ועוקצו מותר לצוד</w:t>
      </w:r>
      <w:r>
        <w:rPr>
          <w:rFonts w:cs="Arial" w:hint="cs"/>
          <w:rtl/>
        </w:rPr>
        <w:t>,</w:t>
      </w:r>
      <w:r>
        <w:rPr>
          <w:rFonts w:cs="Arial"/>
          <w:rtl/>
        </w:rPr>
        <w:t xml:space="preserve"> ואסור להורגו</w:t>
      </w:r>
      <w:r>
        <w:rPr>
          <w:rStyle w:val="a9"/>
          <w:rFonts w:cs="Arial"/>
          <w:rtl/>
        </w:rPr>
        <w:footnoteReference w:id="2483"/>
      </w:r>
      <w:r>
        <w:rPr>
          <w:rFonts w:cs="Arial" w:hint="cs"/>
          <w:rtl/>
        </w:rPr>
        <w:t>.</w:t>
      </w:r>
      <w:r>
        <w:rPr>
          <w:rFonts w:cs="Arial"/>
          <w:rtl/>
        </w:rPr>
        <w:t xml:space="preserve"> </w:t>
      </w:r>
      <w:r w:rsidR="009946B9">
        <w:rPr>
          <w:rFonts w:hint="cs"/>
          <w:rtl/>
        </w:rPr>
        <w:t>(וכ"פ בב"י)</w:t>
      </w:r>
      <w:r w:rsidR="003F1BDD" w:rsidRPr="003F1BDD">
        <w:rPr>
          <w:rFonts w:hint="cs"/>
          <w:color w:val="E36C0A" w:themeColor="accent6" w:themeShade="BF"/>
          <w:rtl/>
        </w:rPr>
        <w:t xml:space="preserve"> </w:t>
      </w:r>
      <w:r w:rsidR="003F1BDD" w:rsidRPr="0008106C">
        <w:rPr>
          <w:rFonts w:hint="cs"/>
          <w:color w:val="E36C0A" w:themeColor="accent6" w:themeShade="BF"/>
          <w:rtl/>
        </w:rPr>
        <w:t>(וכ"פ בשו"ע)</w:t>
      </w:r>
    </w:p>
    <w:p w14:paraId="7D581BF1" w14:textId="6EDC3E83" w:rsidR="00027778" w:rsidRDefault="00027778" w:rsidP="00434A6A">
      <w:pPr>
        <w:pStyle w:val="aa"/>
        <w:numPr>
          <w:ilvl w:val="0"/>
          <w:numId w:val="30"/>
        </w:numPr>
      </w:pPr>
      <w:r>
        <w:rPr>
          <w:rFonts w:cs="Arial" w:hint="cs"/>
          <w:rtl/>
        </w:rPr>
        <w:t xml:space="preserve">מרדכי </w:t>
      </w:r>
      <w:r>
        <w:rPr>
          <w:rFonts w:cs="Arial" w:hint="cs"/>
          <w:sz w:val="16"/>
          <w:szCs w:val="16"/>
          <w:rtl/>
        </w:rPr>
        <w:t>(סי' תב)</w:t>
      </w:r>
      <w:r>
        <w:rPr>
          <w:rFonts w:cs="Arial" w:hint="cs"/>
          <w:rtl/>
        </w:rPr>
        <w:t xml:space="preserve">- </w:t>
      </w:r>
      <w:r w:rsidRPr="00B47EF8">
        <w:rPr>
          <w:rFonts w:cs="Arial"/>
          <w:rtl/>
        </w:rPr>
        <w:t>ושאר כל המזיקין</w:t>
      </w:r>
      <w:r w:rsidR="009B052B">
        <w:rPr>
          <w:rFonts w:cs="Arial" w:hint="cs"/>
          <w:rtl/>
        </w:rPr>
        <w:t>,</w:t>
      </w:r>
      <w:r w:rsidRPr="00B47EF8">
        <w:rPr>
          <w:rFonts w:cs="Arial"/>
          <w:rtl/>
        </w:rPr>
        <w:t xml:space="preserve"> כלומר שאין בהם סכנה</w:t>
      </w:r>
      <w:r w:rsidR="009B052B">
        <w:rPr>
          <w:rFonts w:cs="Arial" w:hint="cs"/>
          <w:rtl/>
        </w:rPr>
        <w:t>,</w:t>
      </w:r>
      <w:r w:rsidRPr="00B47EF8">
        <w:rPr>
          <w:rFonts w:cs="Arial"/>
          <w:rtl/>
        </w:rPr>
        <w:t xml:space="preserve"> אם היו רצין אחריו מותר להורגן</w:t>
      </w:r>
      <w:r w:rsidR="009B052B">
        <w:rPr>
          <w:rFonts w:cs="Arial" w:hint="cs"/>
          <w:rtl/>
        </w:rPr>
        <w:t>,</w:t>
      </w:r>
      <w:r w:rsidRPr="00B47EF8">
        <w:rPr>
          <w:rFonts w:cs="Arial"/>
          <w:rtl/>
        </w:rPr>
        <w:t xml:space="preserve"> ופר"ת דה"ה פרעוש וכיוצא בהן</w:t>
      </w:r>
      <w:r>
        <w:rPr>
          <w:rFonts w:cs="Arial" w:hint="cs"/>
          <w:rtl/>
        </w:rPr>
        <w:t>,</w:t>
      </w:r>
      <w:r w:rsidRPr="00B47EF8">
        <w:rPr>
          <w:rFonts w:cs="Arial"/>
          <w:rtl/>
        </w:rPr>
        <w:t xml:space="preserve"> וטעמא משום דסבר כר"ש דאמר מלאכה שאינה צריכה לגופה פטור עליה ומשום צערא שרי לכתחלה מידי דהוה אמפיס מורסא </w:t>
      </w:r>
      <w:r>
        <w:rPr>
          <w:rFonts w:cs="Arial" w:hint="cs"/>
          <w:rtl/>
        </w:rPr>
        <w:t>(</w:t>
      </w:r>
      <w:r w:rsidRPr="00B47EF8">
        <w:rPr>
          <w:rFonts w:cs="Arial"/>
          <w:rtl/>
        </w:rPr>
        <w:t>לעיל קז</w:t>
      </w:r>
      <w:r>
        <w:rPr>
          <w:rFonts w:cs="Arial" w:hint="cs"/>
          <w:rtl/>
        </w:rPr>
        <w:t>.)</w:t>
      </w:r>
      <w:r w:rsidRPr="00B47EF8">
        <w:rPr>
          <w:rFonts w:cs="Arial"/>
          <w:rtl/>
        </w:rPr>
        <w:t xml:space="preserve"> ואכיבוי גחלת שלא יזוקו בה רבים </w:t>
      </w:r>
      <w:r>
        <w:rPr>
          <w:rFonts w:cs="Arial" w:hint="cs"/>
          <w:rtl/>
        </w:rPr>
        <w:t>(</w:t>
      </w:r>
      <w:r w:rsidRPr="00B47EF8">
        <w:rPr>
          <w:rFonts w:cs="Arial"/>
          <w:rtl/>
        </w:rPr>
        <w:t>לעיל מב</w:t>
      </w:r>
      <w:r>
        <w:rPr>
          <w:rFonts w:cs="Arial" w:hint="cs"/>
          <w:rtl/>
        </w:rPr>
        <w:t>.)</w:t>
      </w:r>
      <w:r>
        <w:rPr>
          <w:rFonts w:hint="cs"/>
          <w:rtl/>
        </w:rPr>
        <w:t>.</w:t>
      </w:r>
    </w:p>
    <w:p w14:paraId="54411D5F" w14:textId="1C523508" w:rsidR="009946B9" w:rsidRDefault="009946B9" w:rsidP="00434A6A">
      <w:pPr>
        <w:pStyle w:val="aa"/>
        <w:numPr>
          <w:ilvl w:val="0"/>
          <w:numId w:val="30"/>
        </w:numPr>
      </w:pPr>
      <w:r>
        <w:rPr>
          <w:rFonts w:cs="Arial" w:hint="cs"/>
          <w:rtl/>
        </w:rPr>
        <w:t xml:space="preserve">רי"ו </w:t>
      </w:r>
      <w:r>
        <w:rPr>
          <w:rFonts w:cs="Arial" w:hint="cs"/>
          <w:sz w:val="16"/>
          <w:szCs w:val="16"/>
          <w:rtl/>
        </w:rPr>
        <w:t>(תא"ו ני"ב ח"י</w:t>
      </w:r>
      <w:r w:rsidR="00ED31DB">
        <w:rPr>
          <w:rFonts w:cs="Arial" w:hint="cs"/>
          <w:sz w:val="16"/>
          <w:szCs w:val="16"/>
          <w:rtl/>
        </w:rPr>
        <w:t>, הביאו הדרכ"מ [אות א]</w:t>
      </w:r>
      <w:r>
        <w:rPr>
          <w:rFonts w:cs="Arial" w:hint="cs"/>
          <w:sz w:val="16"/>
          <w:szCs w:val="16"/>
          <w:rtl/>
        </w:rPr>
        <w:t>)</w:t>
      </w:r>
      <w:r>
        <w:rPr>
          <w:rFonts w:cs="Arial" w:hint="cs"/>
          <w:rtl/>
        </w:rPr>
        <w:t xml:space="preserve">- </w:t>
      </w:r>
      <w:r w:rsidRPr="009946B9">
        <w:rPr>
          <w:rFonts w:cs="Arial"/>
          <w:rtl/>
        </w:rPr>
        <w:t>הפרעושים אסור</w:t>
      </w:r>
      <w:r w:rsidR="00ED31DB">
        <w:rPr>
          <w:rFonts w:cs="Arial" w:hint="cs"/>
          <w:rtl/>
        </w:rPr>
        <w:t xml:space="preserve"> </w:t>
      </w:r>
      <w:r w:rsidR="00ED31DB">
        <w:rPr>
          <w:rFonts w:cs="Arial" w:hint="cs"/>
          <w:sz w:val="16"/>
          <w:szCs w:val="16"/>
          <w:rtl/>
        </w:rPr>
        <w:t>{להרגן}</w:t>
      </w:r>
      <w:r w:rsidRPr="009946B9">
        <w:rPr>
          <w:rFonts w:cs="Arial"/>
          <w:rtl/>
        </w:rPr>
        <w:t xml:space="preserve"> כדאמרינן ההורג פרעוש חייב</w:t>
      </w:r>
      <w:r w:rsidR="00ED31DB">
        <w:rPr>
          <w:rFonts w:cs="Arial" w:hint="cs"/>
          <w:rtl/>
        </w:rPr>
        <w:t>.</w:t>
      </w:r>
      <w:r w:rsidRPr="009946B9">
        <w:rPr>
          <w:rFonts w:cs="Arial"/>
          <w:rtl/>
        </w:rPr>
        <w:t xml:space="preserve"> ואפילו למוללו באצבעותיו ולזורקו אסור גזיר</w:t>
      </w:r>
      <w:r w:rsidR="00ED31DB">
        <w:rPr>
          <w:rFonts w:cs="Arial" w:hint="cs"/>
          <w:rtl/>
        </w:rPr>
        <w:t>א</w:t>
      </w:r>
      <w:r w:rsidRPr="009946B9">
        <w:rPr>
          <w:rFonts w:cs="Arial"/>
          <w:rtl/>
        </w:rPr>
        <w:t xml:space="preserve"> שמא יהרגנו</w:t>
      </w:r>
      <w:r w:rsidR="00ED31DB">
        <w:rPr>
          <w:rFonts w:cs="Arial" w:hint="cs"/>
          <w:rtl/>
        </w:rPr>
        <w:t>,</w:t>
      </w:r>
      <w:r w:rsidRPr="009946B9">
        <w:rPr>
          <w:rFonts w:cs="Arial"/>
          <w:rtl/>
        </w:rPr>
        <w:t xml:space="preserve"> וכן הסכימו קצת המפרשים</w:t>
      </w:r>
      <w:r w:rsidR="00ED31DB">
        <w:rPr>
          <w:rFonts w:cs="Arial" w:hint="cs"/>
          <w:rtl/>
        </w:rPr>
        <w:t>.</w:t>
      </w:r>
      <w:r w:rsidRPr="009946B9">
        <w:rPr>
          <w:rFonts w:cs="Arial"/>
          <w:rtl/>
        </w:rPr>
        <w:t xml:space="preserve"> וכן נראה מפרש</w:t>
      </w:r>
      <w:r w:rsidR="00ED31DB">
        <w:rPr>
          <w:rFonts w:cs="Arial" w:hint="cs"/>
          <w:rtl/>
        </w:rPr>
        <w:t>"</w:t>
      </w:r>
      <w:r w:rsidRPr="009946B9">
        <w:rPr>
          <w:rFonts w:cs="Arial"/>
          <w:rtl/>
        </w:rPr>
        <w:t>י</w:t>
      </w:r>
      <w:r w:rsidR="00ED31DB">
        <w:rPr>
          <w:rFonts w:cs="Arial" w:hint="cs"/>
          <w:rtl/>
        </w:rPr>
        <w:t>...</w:t>
      </w:r>
      <w:r w:rsidRPr="009946B9">
        <w:rPr>
          <w:rFonts w:cs="Arial"/>
          <w:rtl/>
        </w:rPr>
        <w:t xml:space="preserve"> ויש מהגדולים שכתבו שאפילו פרעוש מותר להרגו</w:t>
      </w:r>
      <w:r w:rsidR="00ED31DB">
        <w:rPr>
          <w:rFonts w:cs="Arial" w:hint="cs"/>
          <w:rtl/>
        </w:rPr>
        <w:t>,</w:t>
      </w:r>
      <w:r w:rsidRPr="009946B9">
        <w:rPr>
          <w:rFonts w:cs="Arial"/>
          <w:rtl/>
        </w:rPr>
        <w:t xml:space="preserve"> אבל ההיא דאמרינן דההורג פרעוש חייב הוא מין א' שפרה ורב</w:t>
      </w:r>
      <w:r w:rsidR="00ED31DB">
        <w:rPr>
          <w:rFonts w:cs="Arial" w:hint="cs"/>
          <w:rtl/>
        </w:rPr>
        <w:t>,</w:t>
      </w:r>
      <w:r w:rsidRPr="009946B9">
        <w:rPr>
          <w:rFonts w:cs="Arial"/>
          <w:rtl/>
        </w:rPr>
        <w:t xml:space="preserve"> ופרעוש שאמרנו אינו פרה ורבה</w:t>
      </w:r>
      <w:r w:rsidR="00ED31DB">
        <w:rPr>
          <w:rFonts w:cs="Arial" w:hint="cs"/>
          <w:rtl/>
        </w:rPr>
        <w:t>.</w:t>
      </w:r>
      <w:r w:rsidRPr="009946B9">
        <w:rPr>
          <w:rFonts w:cs="Arial"/>
          <w:rtl/>
        </w:rPr>
        <w:t xml:space="preserve"> וראשון עקר כי ליכא מאן דפליג שהפרעוש הסחו' המקפץ שאסור להרגו כך פשוט ומוכח בשבת</w:t>
      </w:r>
      <w:r w:rsidR="00ED31DB">
        <w:rPr>
          <w:rFonts w:cs="Arial" w:hint="cs"/>
          <w:rtl/>
        </w:rPr>
        <w:t>.</w:t>
      </w:r>
      <w:r w:rsidR="003F1BDD" w:rsidRPr="003F1BDD">
        <w:rPr>
          <w:rFonts w:hint="cs"/>
          <w:color w:val="00B0F0"/>
          <w:rtl/>
        </w:rPr>
        <w:t xml:space="preserve"> (וכ"פ הרמ"א)</w:t>
      </w:r>
    </w:p>
    <w:p w14:paraId="530F8D05" w14:textId="0A86DE13" w:rsidR="0008106C" w:rsidRDefault="0008106C" w:rsidP="00434A6A">
      <w:pPr>
        <w:rPr>
          <w:rFonts w:asciiTheme="minorBidi" w:hAnsiTheme="minorBidi"/>
          <w:rtl/>
        </w:rPr>
      </w:pPr>
      <w:r w:rsidRPr="005275DF">
        <w:rPr>
          <w:rFonts w:asciiTheme="minorBidi" w:hAnsiTheme="minorBidi"/>
          <w:b/>
          <w:bCs/>
          <w:rtl/>
        </w:rPr>
        <w:t xml:space="preserve">שבת </w:t>
      </w:r>
      <w:r>
        <w:rPr>
          <w:rFonts w:asciiTheme="minorBidi" w:hAnsiTheme="minorBidi" w:hint="cs"/>
          <w:b/>
          <w:bCs/>
          <w:sz w:val="16"/>
          <w:szCs w:val="16"/>
          <w:rtl/>
        </w:rPr>
        <w:t xml:space="preserve">(פ"ק) </w:t>
      </w:r>
      <w:r w:rsidRPr="005275DF">
        <w:rPr>
          <w:rFonts w:asciiTheme="minorBidi" w:hAnsiTheme="minorBidi"/>
          <w:b/>
          <w:bCs/>
          <w:rtl/>
        </w:rPr>
        <w:t xml:space="preserve">יב ע"א: </w:t>
      </w:r>
      <w:r w:rsidRPr="005275DF">
        <w:rPr>
          <w:rFonts w:asciiTheme="minorBidi" w:hAnsiTheme="minorBidi"/>
          <w:rtl/>
        </w:rPr>
        <w:t>תנו רבנן: המפלה את כליו מולל וזורק</w:t>
      </w:r>
      <w:r w:rsidRPr="005275DF">
        <w:rPr>
          <w:rStyle w:val="a9"/>
          <w:rFonts w:asciiTheme="minorBidi" w:hAnsiTheme="minorBidi"/>
          <w:rtl/>
        </w:rPr>
        <w:footnoteReference w:id="2484"/>
      </w:r>
      <w:r w:rsidRPr="005275DF">
        <w:rPr>
          <w:rFonts w:asciiTheme="minorBidi" w:hAnsiTheme="minorBidi"/>
          <w:rtl/>
        </w:rPr>
        <w:t xml:space="preserve">, ובלבד שלא יהרוג. </w:t>
      </w:r>
      <w:r w:rsidRPr="005275DF">
        <w:rPr>
          <w:rFonts w:asciiTheme="minorBidi" w:hAnsiTheme="minorBidi"/>
          <w:u w:val="single"/>
          <w:rtl/>
        </w:rPr>
        <w:t>אבא שאול אומר</w:t>
      </w:r>
      <w:r w:rsidRPr="005275DF">
        <w:rPr>
          <w:rFonts w:asciiTheme="minorBidi" w:hAnsiTheme="minorBidi"/>
          <w:rtl/>
        </w:rPr>
        <w:t xml:space="preserve">: נוטל וזורק, ובלבד שלא ימלול. </w:t>
      </w:r>
      <w:r w:rsidRPr="005275DF">
        <w:rPr>
          <w:rFonts w:asciiTheme="minorBidi" w:hAnsiTheme="minorBidi"/>
          <w:u w:val="single"/>
          <w:rtl/>
        </w:rPr>
        <w:t>אמר רב הונא</w:t>
      </w:r>
      <w:r w:rsidRPr="005275DF">
        <w:rPr>
          <w:rFonts w:asciiTheme="minorBidi" w:hAnsiTheme="minorBidi"/>
          <w:rtl/>
        </w:rPr>
        <w:t>: הלכה - מולל וזורק וזהו כבודו, ואפילו בחול. רבה מקטע להו</w:t>
      </w:r>
      <w:r w:rsidRPr="005275DF">
        <w:rPr>
          <w:rStyle w:val="a9"/>
          <w:rFonts w:asciiTheme="minorBidi" w:hAnsiTheme="minorBidi"/>
          <w:rtl/>
        </w:rPr>
        <w:footnoteReference w:id="2485"/>
      </w:r>
      <w:r w:rsidRPr="005275DF">
        <w:rPr>
          <w:rFonts w:asciiTheme="minorBidi" w:hAnsiTheme="minorBidi"/>
          <w:rtl/>
        </w:rPr>
        <w:t>, ורב ששת מקטע להו, רבא שדי להו לקנא</w:t>
      </w:r>
      <w:r w:rsidRPr="005275DF">
        <w:rPr>
          <w:rStyle w:val="a9"/>
          <w:rFonts w:asciiTheme="minorBidi" w:hAnsiTheme="minorBidi"/>
          <w:rtl/>
        </w:rPr>
        <w:footnoteReference w:id="2486"/>
      </w:r>
      <w:r w:rsidRPr="005275DF">
        <w:rPr>
          <w:rFonts w:asciiTheme="minorBidi" w:hAnsiTheme="minorBidi"/>
          <w:rtl/>
        </w:rPr>
        <w:t xml:space="preserve"> דמיא.</w:t>
      </w:r>
      <w:r w:rsidR="00BE72D8" w:rsidRPr="00BE72D8">
        <w:rPr>
          <w:rtl/>
        </w:rPr>
        <w:t xml:space="preserve"> </w:t>
      </w:r>
      <w:r w:rsidR="00BE72D8" w:rsidRPr="00BE72D8">
        <w:rPr>
          <w:rFonts w:asciiTheme="minorBidi" w:hAnsiTheme="minorBidi" w:cs="Arial"/>
          <w:u w:val="single"/>
          <w:rtl/>
        </w:rPr>
        <w:t>אמר להו רב נחמן לבנתיה</w:t>
      </w:r>
      <w:r w:rsidR="00BE72D8" w:rsidRPr="00BE72D8">
        <w:rPr>
          <w:rFonts w:asciiTheme="minorBidi" w:hAnsiTheme="minorBidi" w:cs="Arial"/>
          <w:rtl/>
        </w:rPr>
        <w:t>: קטולין, ואשמעינן לי קלא דסנוותי.</w:t>
      </w:r>
      <w:r w:rsidRPr="005275DF">
        <w:rPr>
          <w:rFonts w:asciiTheme="minorBidi" w:hAnsiTheme="minorBidi"/>
          <w:rtl/>
        </w:rPr>
        <w:t xml:space="preserve"> </w:t>
      </w:r>
      <w:r w:rsidRPr="00BE72D8">
        <w:rPr>
          <w:rFonts w:asciiTheme="minorBidi" w:hAnsiTheme="minorBidi"/>
          <w:rtl/>
        </w:rPr>
        <w:t>תניא</w:t>
      </w:r>
      <w:r w:rsidR="00BC34C5" w:rsidRPr="00BE72D8">
        <w:rPr>
          <w:rFonts w:asciiTheme="minorBidi" w:hAnsiTheme="minorBidi" w:hint="cs"/>
          <w:rtl/>
        </w:rPr>
        <w:t>,</w:t>
      </w:r>
      <w:r w:rsidRPr="00BE72D8">
        <w:rPr>
          <w:rFonts w:asciiTheme="minorBidi" w:hAnsiTheme="minorBidi"/>
          <w:rtl/>
        </w:rPr>
        <w:t xml:space="preserve"> רבי שמעון בן אלעזר אומר: אין הורגין את המאכ</w:t>
      </w:r>
      <w:r w:rsidRPr="005275DF">
        <w:rPr>
          <w:rFonts w:asciiTheme="minorBidi" w:hAnsiTheme="minorBidi"/>
          <w:rtl/>
        </w:rPr>
        <w:t xml:space="preserve">ולת בשבת </w:t>
      </w:r>
      <w:r w:rsidRPr="00BC34C5">
        <w:rPr>
          <w:rFonts w:asciiTheme="minorBidi" w:hAnsiTheme="minorBidi"/>
          <w:u w:val="single"/>
          <w:rtl/>
        </w:rPr>
        <w:t>דברי בית שמאי</w:t>
      </w:r>
      <w:r w:rsidR="00BC34C5">
        <w:rPr>
          <w:rFonts w:asciiTheme="minorBidi" w:hAnsiTheme="minorBidi" w:hint="cs"/>
          <w:rtl/>
        </w:rPr>
        <w:t>,</w:t>
      </w:r>
      <w:r w:rsidRPr="005275DF">
        <w:rPr>
          <w:rFonts w:asciiTheme="minorBidi" w:hAnsiTheme="minorBidi"/>
          <w:rtl/>
        </w:rPr>
        <w:t xml:space="preserve"> </w:t>
      </w:r>
      <w:r w:rsidRPr="00BC34C5">
        <w:rPr>
          <w:rFonts w:asciiTheme="minorBidi" w:hAnsiTheme="minorBidi"/>
          <w:u w:val="single"/>
          <w:rtl/>
        </w:rPr>
        <w:t>ובית הלל</w:t>
      </w:r>
      <w:r w:rsidRPr="005275DF">
        <w:rPr>
          <w:rFonts w:asciiTheme="minorBidi" w:hAnsiTheme="minorBidi"/>
          <w:rtl/>
        </w:rPr>
        <w:t xml:space="preserve"> מתירין</w:t>
      </w:r>
      <w:r w:rsidRPr="005275DF">
        <w:rPr>
          <w:rStyle w:val="a9"/>
          <w:rFonts w:asciiTheme="minorBidi" w:hAnsiTheme="minorBidi"/>
          <w:rtl/>
        </w:rPr>
        <w:footnoteReference w:id="2487"/>
      </w:r>
      <w:r w:rsidRPr="005275DF">
        <w:rPr>
          <w:rFonts w:asciiTheme="minorBidi" w:hAnsiTheme="minorBidi"/>
          <w:rtl/>
        </w:rPr>
        <w:t>.</w:t>
      </w:r>
      <w:r w:rsidR="00BC34C5">
        <w:rPr>
          <w:rFonts w:asciiTheme="minorBidi" w:hAnsiTheme="minorBidi" w:hint="cs"/>
          <w:rtl/>
        </w:rPr>
        <w:t xml:space="preserve"> </w:t>
      </w:r>
    </w:p>
    <w:p w14:paraId="6B41AD5C" w14:textId="0F963DA7" w:rsidR="00BE72D8" w:rsidRPr="00BE72D8" w:rsidRDefault="00BE72D8" w:rsidP="00434A6A">
      <w:pPr>
        <w:rPr>
          <w:rFonts w:asciiTheme="minorBidi" w:hAnsiTheme="minorBidi"/>
          <w:u w:val="single"/>
          <w:rtl/>
        </w:rPr>
      </w:pPr>
      <w:r w:rsidRPr="00BE72D8">
        <w:rPr>
          <w:rFonts w:asciiTheme="minorBidi" w:hAnsiTheme="minorBidi" w:hint="cs"/>
          <w:u w:val="single"/>
          <w:rtl/>
        </w:rPr>
        <w:t xml:space="preserve">האם ת"ק </w:t>
      </w:r>
      <w:r w:rsidRPr="00BE72D8">
        <w:rPr>
          <w:rFonts w:asciiTheme="minorBidi" w:hAnsiTheme="minorBidi" w:hint="cs"/>
          <w:sz w:val="16"/>
          <w:szCs w:val="16"/>
          <w:u w:val="single"/>
          <w:rtl/>
        </w:rPr>
        <w:t>(דאמר המפלה את כליו...)</w:t>
      </w:r>
      <w:r w:rsidRPr="00BE72D8">
        <w:rPr>
          <w:rFonts w:asciiTheme="minorBidi" w:hAnsiTheme="minorBidi" w:hint="cs"/>
          <w:u w:val="single"/>
          <w:rtl/>
        </w:rPr>
        <w:t xml:space="preserve"> ואבא שאול חולקים על בית הלל</w:t>
      </w:r>
      <w:r>
        <w:rPr>
          <w:rFonts w:asciiTheme="minorBidi" w:hAnsiTheme="minorBidi" w:hint="cs"/>
          <w:u w:val="single"/>
          <w:rtl/>
        </w:rPr>
        <w:t>,</w:t>
      </w:r>
      <w:r w:rsidRPr="00BE72D8">
        <w:rPr>
          <w:rFonts w:asciiTheme="minorBidi" w:hAnsiTheme="minorBidi" w:hint="cs"/>
          <w:u w:val="single"/>
          <w:rtl/>
        </w:rPr>
        <w:t xml:space="preserve"> או שהם מדברים במקרים שונים:</w:t>
      </w:r>
    </w:p>
    <w:p w14:paraId="3FCF8BC6" w14:textId="274423E7" w:rsidR="002D74A5" w:rsidRPr="002D74A5" w:rsidRDefault="00BE72D8" w:rsidP="00434A6A">
      <w:pPr>
        <w:pStyle w:val="aa"/>
        <w:numPr>
          <w:ilvl w:val="0"/>
          <w:numId w:val="30"/>
        </w:numPr>
      </w:pPr>
      <w:r w:rsidRPr="00663385">
        <w:rPr>
          <w:rFonts w:asciiTheme="minorBidi" w:hAnsiTheme="minorBidi" w:cs="Arial"/>
          <w:rtl/>
        </w:rPr>
        <w:t xml:space="preserve">רא"ש </w:t>
      </w:r>
      <w:r w:rsidRPr="00BE72D8">
        <w:rPr>
          <w:rFonts w:asciiTheme="minorBidi" w:hAnsiTheme="minorBidi" w:cs="Arial"/>
          <w:sz w:val="16"/>
          <w:szCs w:val="16"/>
          <w:rtl/>
        </w:rPr>
        <w:t>(</w:t>
      </w:r>
      <w:r w:rsidR="00440576">
        <w:rPr>
          <w:rFonts w:asciiTheme="minorBidi" w:hAnsiTheme="minorBidi" w:cs="Arial" w:hint="cs"/>
          <w:sz w:val="16"/>
          <w:szCs w:val="16"/>
          <w:rtl/>
        </w:rPr>
        <w:t xml:space="preserve">פ"ק </w:t>
      </w:r>
      <w:r w:rsidRPr="00BE72D8">
        <w:rPr>
          <w:rFonts w:asciiTheme="minorBidi" w:hAnsiTheme="minorBidi" w:cs="Arial"/>
          <w:sz w:val="16"/>
          <w:szCs w:val="16"/>
          <w:rtl/>
        </w:rPr>
        <w:t>סי' כט)</w:t>
      </w:r>
      <w:r>
        <w:rPr>
          <w:rFonts w:asciiTheme="minorBidi" w:hAnsiTheme="minorBidi" w:cs="Arial" w:hint="cs"/>
          <w:rtl/>
        </w:rPr>
        <w:t>-</w:t>
      </w:r>
      <w:r w:rsidRPr="00663385">
        <w:rPr>
          <w:rFonts w:asciiTheme="minorBidi" w:hAnsiTheme="minorBidi" w:cs="Arial"/>
          <w:rtl/>
        </w:rPr>
        <w:t xml:space="preserve"> ת</w:t>
      </w:r>
      <w:r w:rsidR="002D74A5">
        <w:rPr>
          <w:rFonts w:asciiTheme="minorBidi" w:hAnsiTheme="minorBidi" w:cs="Arial" w:hint="cs"/>
          <w:rtl/>
        </w:rPr>
        <w:t>"ר</w:t>
      </w:r>
      <w:r w:rsidRPr="00663385">
        <w:rPr>
          <w:rFonts w:asciiTheme="minorBidi" w:hAnsiTheme="minorBidi" w:cs="Arial"/>
          <w:rtl/>
        </w:rPr>
        <w:t xml:space="preserve"> המפלא כליו מולל וזורק וכו' נראה לי דהני תנאי לא פליגי אבית הלל שמתירין</w:t>
      </w:r>
      <w:r w:rsidR="002D74A5">
        <w:rPr>
          <w:rFonts w:asciiTheme="minorBidi" w:hAnsiTheme="minorBidi" w:cs="Arial" w:hint="cs"/>
          <w:rtl/>
        </w:rPr>
        <w:t>,</w:t>
      </w:r>
      <w:r w:rsidRPr="00663385">
        <w:rPr>
          <w:rFonts w:asciiTheme="minorBidi" w:hAnsiTheme="minorBidi" w:cs="Arial"/>
          <w:rtl/>
        </w:rPr>
        <w:t xml:space="preserve"> דאי הוו פליגי לא היה הרי"ף (ה.) מביא דבריהם</w:t>
      </w:r>
      <w:r w:rsidR="002D74A5">
        <w:rPr>
          <w:rFonts w:asciiTheme="minorBidi" w:hAnsiTheme="minorBidi" w:cs="Arial" w:hint="cs"/>
          <w:rtl/>
        </w:rPr>
        <w:t>,</w:t>
      </w:r>
      <w:r w:rsidRPr="00663385">
        <w:rPr>
          <w:rFonts w:asciiTheme="minorBidi" w:hAnsiTheme="minorBidi" w:cs="Arial"/>
          <w:rtl/>
        </w:rPr>
        <w:t xml:space="preserve"> אלא מודו דמותר להרוג כינה בשבת</w:t>
      </w:r>
      <w:r w:rsidR="002D74A5">
        <w:rPr>
          <w:rFonts w:asciiTheme="minorBidi" w:hAnsiTheme="minorBidi" w:cs="Arial" w:hint="cs"/>
          <w:rtl/>
        </w:rPr>
        <w:t>,</w:t>
      </w:r>
      <w:r w:rsidRPr="00663385">
        <w:rPr>
          <w:rFonts w:asciiTheme="minorBidi" w:hAnsiTheme="minorBidi" w:cs="Arial"/>
          <w:rtl/>
        </w:rPr>
        <w:t xml:space="preserve"> אבל פרעוש אסור כדאמרינן פרק שמנה שרצים</w:t>
      </w:r>
      <w:r w:rsidR="002D74A5">
        <w:rPr>
          <w:rFonts w:asciiTheme="minorBidi" w:hAnsiTheme="minorBidi" w:cs="Arial" w:hint="cs"/>
          <w:rtl/>
        </w:rPr>
        <w:t>,</w:t>
      </w:r>
      <w:r w:rsidRPr="00663385">
        <w:rPr>
          <w:rFonts w:asciiTheme="minorBidi" w:hAnsiTheme="minorBidi" w:cs="Arial"/>
          <w:rtl/>
        </w:rPr>
        <w:t xml:space="preserve"> הילכך הלוקח כינה מעל בשרו בשבת או מעל חלוקו מותר להרגה כבית הלל</w:t>
      </w:r>
      <w:r w:rsidR="002D74A5">
        <w:rPr>
          <w:rFonts w:asciiTheme="minorBidi" w:hAnsiTheme="minorBidi" w:cs="Arial" w:hint="cs"/>
          <w:rtl/>
        </w:rPr>
        <w:t>.</w:t>
      </w:r>
      <w:r w:rsidRPr="00663385">
        <w:rPr>
          <w:rFonts w:asciiTheme="minorBidi" w:hAnsiTheme="minorBidi" w:cs="Arial"/>
          <w:rtl/>
        </w:rPr>
        <w:t xml:space="preserve"> אבל במפלא את כליו להסיר מהם פרעושים וכינים פליגי הני תנאי</w:t>
      </w:r>
      <w:r w:rsidR="002D74A5">
        <w:rPr>
          <w:rFonts w:asciiTheme="minorBidi" w:hAnsiTheme="minorBidi" w:cs="Arial" w:hint="cs"/>
          <w:rtl/>
        </w:rPr>
        <w:t>,</w:t>
      </w:r>
      <w:r w:rsidRPr="00663385">
        <w:rPr>
          <w:rFonts w:asciiTheme="minorBidi" w:hAnsiTheme="minorBidi" w:cs="Arial"/>
          <w:rtl/>
        </w:rPr>
        <w:t xml:space="preserve"> תנא קמא סבר דגזור הריגה דכינים אטו הריגה דפרעושים</w:t>
      </w:r>
      <w:r w:rsidR="002D74A5">
        <w:rPr>
          <w:rFonts w:asciiTheme="minorBidi" w:hAnsiTheme="minorBidi" w:cs="Arial" w:hint="cs"/>
          <w:rtl/>
        </w:rPr>
        <w:t>,</w:t>
      </w:r>
      <w:r w:rsidRPr="00663385">
        <w:rPr>
          <w:rFonts w:asciiTheme="minorBidi" w:hAnsiTheme="minorBidi" w:cs="Arial"/>
          <w:rtl/>
        </w:rPr>
        <w:t xml:space="preserve"> ואבא שאול מחמיר לגזור אפילו מלילה דכינים אטו פרעושים</w:t>
      </w:r>
      <w:r w:rsidR="002D74A5">
        <w:rPr>
          <w:rFonts w:asciiTheme="minorBidi" w:hAnsiTheme="minorBidi" w:cs="Arial" w:hint="cs"/>
          <w:rtl/>
        </w:rPr>
        <w:t>,</w:t>
      </w:r>
      <w:r w:rsidRPr="00663385">
        <w:rPr>
          <w:rFonts w:asciiTheme="minorBidi" w:hAnsiTheme="minorBidi" w:cs="Arial"/>
          <w:rtl/>
        </w:rPr>
        <w:t xml:space="preserve"> ובספר הרמב"ם (פי"א ה"ג) כתוב המפלא כלים בשבת מולל את הכינים וזורקן ומותר להרוג כינים בשבת. והיינו כמו שפירשתי</w:t>
      </w:r>
      <w:r w:rsidR="002D74A5">
        <w:rPr>
          <w:rFonts w:asciiTheme="minorBidi" w:hAnsiTheme="minorBidi" w:cs="Arial" w:hint="cs"/>
          <w:rtl/>
        </w:rPr>
        <w:t>..</w:t>
      </w:r>
      <w:r w:rsidRPr="00663385">
        <w:rPr>
          <w:rFonts w:asciiTheme="minorBidi" w:hAnsiTheme="minorBidi" w:cs="Arial"/>
          <w:rtl/>
        </w:rPr>
        <w:t xml:space="preserve">. </w:t>
      </w:r>
      <w:r w:rsidR="002D74A5" w:rsidRPr="002D74A5">
        <w:rPr>
          <w:rFonts w:asciiTheme="minorBidi" w:hAnsiTheme="minorBidi" w:cs="Arial"/>
          <w:rtl/>
        </w:rPr>
        <w:t>אמר רב הונא הלכה מולל וזורק וזהו כבודו אפילו בחול. רבה מקטע להו רב ששת מקטע להו</w:t>
      </w:r>
      <w:r w:rsidR="002D74A5">
        <w:rPr>
          <w:rFonts w:asciiTheme="minorBidi" w:hAnsiTheme="minorBidi" w:cs="Arial" w:hint="cs"/>
          <w:rtl/>
        </w:rPr>
        <w:t>.</w:t>
      </w:r>
      <w:r w:rsidR="002D74A5" w:rsidRPr="002D74A5">
        <w:rPr>
          <w:rFonts w:asciiTheme="minorBidi" w:hAnsiTheme="minorBidi" w:cs="Arial"/>
          <w:rtl/>
        </w:rPr>
        <w:t xml:space="preserve"> וקאי אדרב הונא דאמר זהו כבודו אפילו בחול. ורש"י פירש בשם רבותיו דבשבת מיירי</w:t>
      </w:r>
      <w:r w:rsidR="002D74A5">
        <w:rPr>
          <w:rFonts w:asciiTheme="minorBidi" w:hAnsiTheme="minorBidi" w:cs="Arial" w:hint="cs"/>
          <w:rtl/>
        </w:rPr>
        <w:t>.</w:t>
      </w:r>
      <w:r w:rsidR="002D74A5" w:rsidRPr="002D74A5">
        <w:rPr>
          <w:rFonts w:asciiTheme="minorBidi" w:hAnsiTheme="minorBidi" w:cs="Arial"/>
          <w:rtl/>
        </w:rPr>
        <w:t xml:space="preserve"> על זה נהגו להקל להרוג כינה אפילו במפלה כליו</w:t>
      </w:r>
      <w:r w:rsidR="002D74A5">
        <w:rPr>
          <w:rFonts w:asciiTheme="minorBidi" w:hAnsiTheme="minorBidi" w:cs="Arial" w:hint="cs"/>
          <w:rtl/>
        </w:rPr>
        <w:t>,</w:t>
      </w:r>
      <w:r w:rsidR="002D74A5" w:rsidRPr="002D74A5">
        <w:rPr>
          <w:rFonts w:asciiTheme="minorBidi" w:hAnsiTheme="minorBidi" w:cs="Arial"/>
          <w:rtl/>
        </w:rPr>
        <w:t xml:space="preserve"> דלפי פירוש רש"י דמקטע להו בשבת ע</w:t>
      </w:r>
      <w:r w:rsidR="009B71B4">
        <w:rPr>
          <w:rFonts w:asciiTheme="minorBidi" w:hAnsiTheme="minorBidi" w:cs="Arial" w:hint="cs"/>
          <w:rtl/>
        </w:rPr>
        <w:t>ל כרחך</w:t>
      </w:r>
      <w:r w:rsidR="002D74A5" w:rsidRPr="002D74A5">
        <w:rPr>
          <w:rFonts w:asciiTheme="minorBidi" w:hAnsiTheme="minorBidi" w:cs="Arial"/>
          <w:rtl/>
        </w:rPr>
        <w:t xml:space="preserve"> במפלה כליו איירי</w:t>
      </w:r>
      <w:r w:rsidR="009B71B4">
        <w:rPr>
          <w:rFonts w:asciiTheme="minorBidi" w:hAnsiTheme="minorBidi" w:cs="Arial" w:hint="cs"/>
          <w:rtl/>
        </w:rPr>
        <w:t>,</w:t>
      </w:r>
      <w:r w:rsidR="002D74A5" w:rsidRPr="002D74A5">
        <w:rPr>
          <w:rFonts w:asciiTheme="minorBidi" w:hAnsiTheme="minorBidi" w:cs="Arial"/>
          <w:rtl/>
        </w:rPr>
        <w:t xml:space="preserve"> דפשיטא דמותר להרוג כינה בשבת כב"ה דמתירין</w:t>
      </w:r>
      <w:r w:rsidR="002D74A5">
        <w:rPr>
          <w:rFonts w:asciiTheme="minorBidi" w:hAnsiTheme="minorBidi" w:cs="Arial" w:hint="cs"/>
          <w:rtl/>
        </w:rPr>
        <w:t>,</w:t>
      </w:r>
      <w:r w:rsidR="002D74A5" w:rsidRPr="002D74A5">
        <w:rPr>
          <w:rFonts w:asciiTheme="minorBidi" w:hAnsiTheme="minorBidi" w:cs="Arial"/>
          <w:rtl/>
        </w:rPr>
        <w:t xml:space="preserve"> מיהו תימה היאך פליגי אהני תנאי דתרוייהו אסרי הריגת כינה במפלה כליו</w:t>
      </w:r>
      <w:r w:rsidR="009B71B4">
        <w:rPr>
          <w:rFonts w:asciiTheme="minorBidi" w:hAnsiTheme="minorBidi" w:cs="Arial" w:hint="cs"/>
          <w:rtl/>
        </w:rPr>
        <w:t>.</w:t>
      </w:r>
      <w:r w:rsidR="002D74A5" w:rsidRPr="002D74A5">
        <w:rPr>
          <w:rFonts w:asciiTheme="minorBidi" w:hAnsiTheme="minorBidi" w:cs="Arial"/>
          <w:rtl/>
        </w:rPr>
        <w:t xml:space="preserve"> ואפשר דאיירי במפלה ראשו</w:t>
      </w:r>
      <w:r w:rsidR="009B71B4">
        <w:rPr>
          <w:rFonts w:asciiTheme="minorBidi" w:hAnsiTheme="minorBidi" w:cs="Arial" w:hint="cs"/>
          <w:rtl/>
        </w:rPr>
        <w:t>,</w:t>
      </w:r>
      <w:r w:rsidR="002D74A5" w:rsidRPr="002D74A5">
        <w:rPr>
          <w:rFonts w:asciiTheme="minorBidi" w:hAnsiTheme="minorBidi" w:cs="Arial"/>
          <w:rtl/>
        </w:rPr>
        <w:t xml:space="preserve"> דהתם לא גזרינן כנים אטו פרעושים</w:t>
      </w:r>
      <w:r w:rsidR="009B71B4">
        <w:rPr>
          <w:rFonts w:asciiTheme="minorBidi" w:hAnsiTheme="minorBidi" w:cs="Arial" w:hint="cs"/>
          <w:rtl/>
        </w:rPr>
        <w:t>,</w:t>
      </w:r>
      <w:r w:rsidR="002D74A5" w:rsidRPr="002D74A5">
        <w:rPr>
          <w:rFonts w:asciiTheme="minorBidi" w:hAnsiTheme="minorBidi" w:cs="Arial"/>
          <w:rtl/>
        </w:rPr>
        <w:t xml:space="preserve"> שאין פרעושים מצוין בראש</w:t>
      </w:r>
      <w:r w:rsidR="002D74A5">
        <w:rPr>
          <w:rFonts w:asciiTheme="minorBidi" w:hAnsiTheme="minorBidi" w:cs="Arial" w:hint="cs"/>
          <w:rtl/>
        </w:rPr>
        <w:t>.</w:t>
      </w:r>
    </w:p>
    <w:p w14:paraId="195D9346" w14:textId="1A8E4013" w:rsidR="00BE72D8" w:rsidRPr="00663385" w:rsidRDefault="004042C0" w:rsidP="00434A6A">
      <w:pPr>
        <w:pStyle w:val="aa"/>
        <w:numPr>
          <w:ilvl w:val="0"/>
          <w:numId w:val="30"/>
        </w:numPr>
      </w:pPr>
      <w:r>
        <w:rPr>
          <w:rFonts w:asciiTheme="minorBidi" w:hAnsiTheme="minorBidi" w:cs="Arial" w:hint="cs"/>
          <w:rtl/>
        </w:rPr>
        <w:t xml:space="preserve">רמב"ן </w:t>
      </w:r>
      <w:r>
        <w:rPr>
          <w:rFonts w:asciiTheme="minorBidi" w:hAnsiTheme="minorBidi" w:cs="Arial" w:hint="cs"/>
          <w:sz w:val="16"/>
          <w:szCs w:val="16"/>
          <w:rtl/>
        </w:rPr>
        <w:t>(שבת יב. ד"ה הא דאמרינן)</w:t>
      </w:r>
      <w:r>
        <w:rPr>
          <w:rFonts w:asciiTheme="minorBidi" w:hAnsiTheme="minorBidi" w:cs="Arial" w:hint="cs"/>
          <w:rtl/>
        </w:rPr>
        <w:t xml:space="preserve"> רשב"א </w:t>
      </w:r>
      <w:r>
        <w:rPr>
          <w:rFonts w:asciiTheme="minorBidi" w:hAnsiTheme="minorBidi" w:cs="Arial" w:hint="cs"/>
          <w:sz w:val="16"/>
          <w:szCs w:val="16"/>
          <w:rtl/>
        </w:rPr>
        <w:t>(שבת יב.</w:t>
      </w:r>
      <w:r w:rsidR="00BD3D7E">
        <w:rPr>
          <w:rFonts w:asciiTheme="minorBidi" w:hAnsiTheme="minorBidi" w:cs="Arial" w:hint="cs"/>
          <w:sz w:val="16"/>
          <w:szCs w:val="16"/>
          <w:rtl/>
        </w:rPr>
        <w:t xml:space="preserve"> מדאמרינן</w:t>
      </w:r>
      <w:r>
        <w:rPr>
          <w:rFonts w:asciiTheme="minorBidi" w:hAnsiTheme="minorBidi" w:cs="Arial" w:hint="cs"/>
          <w:sz w:val="16"/>
          <w:szCs w:val="16"/>
          <w:rtl/>
        </w:rPr>
        <w:t xml:space="preserve">) </w:t>
      </w:r>
      <w:r>
        <w:rPr>
          <w:rFonts w:asciiTheme="minorBidi" w:hAnsiTheme="minorBidi" w:cs="Arial" w:hint="cs"/>
          <w:rtl/>
        </w:rPr>
        <w:t>ו</w:t>
      </w:r>
      <w:r w:rsidR="00BE72D8" w:rsidRPr="00663385">
        <w:rPr>
          <w:rFonts w:asciiTheme="minorBidi" w:hAnsiTheme="minorBidi" w:cs="Arial"/>
          <w:rtl/>
        </w:rPr>
        <w:t xml:space="preserve">ר"ן </w:t>
      </w:r>
      <w:r w:rsidR="00BE72D8" w:rsidRPr="009B71B4">
        <w:rPr>
          <w:rFonts w:asciiTheme="minorBidi" w:hAnsiTheme="minorBidi" w:cs="Arial"/>
          <w:sz w:val="16"/>
          <w:szCs w:val="16"/>
          <w:rtl/>
        </w:rPr>
        <w:t>(</w:t>
      </w:r>
      <w:r w:rsidR="009B71B4">
        <w:rPr>
          <w:rFonts w:asciiTheme="minorBidi" w:hAnsiTheme="minorBidi" w:cs="Arial" w:hint="cs"/>
          <w:sz w:val="16"/>
          <w:szCs w:val="16"/>
          <w:rtl/>
        </w:rPr>
        <w:t xml:space="preserve">ה: </w:t>
      </w:r>
      <w:r w:rsidR="00BE72D8" w:rsidRPr="009B71B4">
        <w:rPr>
          <w:rFonts w:asciiTheme="minorBidi" w:hAnsiTheme="minorBidi" w:cs="Arial"/>
          <w:sz w:val="16"/>
          <w:szCs w:val="16"/>
          <w:rtl/>
        </w:rPr>
        <w:t>ד"ה אמר</w:t>
      </w:r>
      <w:r w:rsidR="009B71B4">
        <w:rPr>
          <w:rFonts w:asciiTheme="minorBidi" w:hAnsiTheme="minorBidi" w:cs="Arial" w:hint="cs"/>
          <w:sz w:val="16"/>
          <w:szCs w:val="16"/>
          <w:rtl/>
        </w:rPr>
        <w:t xml:space="preserve"> רב הונא</w:t>
      </w:r>
      <w:r w:rsidR="00BE72D8" w:rsidRPr="009B71B4">
        <w:rPr>
          <w:rFonts w:asciiTheme="minorBidi" w:hAnsiTheme="minorBidi" w:cs="Arial"/>
          <w:sz w:val="16"/>
          <w:szCs w:val="16"/>
          <w:rtl/>
        </w:rPr>
        <w:t>)</w:t>
      </w:r>
      <w:r w:rsidR="009B71B4">
        <w:rPr>
          <w:rFonts w:asciiTheme="minorBidi" w:hAnsiTheme="minorBidi" w:cs="Arial" w:hint="cs"/>
          <w:rtl/>
        </w:rPr>
        <w:t xml:space="preserve">- </w:t>
      </w:r>
      <w:r w:rsidRPr="004042C0">
        <w:rPr>
          <w:rFonts w:asciiTheme="minorBidi" w:hAnsiTheme="minorBidi" w:cs="Arial"/>
          <w:rtl/>
        </w:rPr>
        <w:t>מדאמרינן מולל וזורק וזהו כבודו ואפילו בחול ולא קאמר ובלבד שלא יהרוג שמעינן מינה דמשום כבודו בלחוד קאמר</w:t>
      </w:r>
      <w:r>
        <w:rPr>
          <w:rFonts w:asciiTheme="minorBidi" w:hAnsiTheme="minorBidi" w:cs="Arial" w:hint="cs"/>
          <w:rtl/>
        </w:rPr>
        <w:t>,</w:t>
      </w:r>
      <w:r w:rsidRPr="004042C0">
        <w:rPr>
          <w:rFonts w:asciiTheme="minorBidi" w:hAnsiTheme="minorBidi" w:cs="Arial"/>
          <w:rtl/>
        </w:rPr>
        <w:t xml:space="preserve"> אבל אם בא להרוג ואפילו בשבת מותר</w:t>
      </w:r>
      <w:r w:rsidR="00BD3D7E">
        <w:rPr>
          <w:rStyle w:val="a9"/>
          <w:rFonts w:asciiTheme="minorBidi" w:hAnsiTheme="minorBidi" w:cs="Arial"/>
          <w:rtl/>
        </w:rPr>
        <w:footnoteReference w:id="2488"/>
      </w:r>
      <w:r>
        <w:rPr>
          <w:rFonts w:asciiTheme="minorBidi" w:hAnsiTheme="minorBidi" w:cs="Arial" w:hint="cs"/>
          <w:rtl/>
        </w:rPr>
        <w:t>.</w:t>
      </w:r>
      <w:r w:rsidRPr="004042C0">
        <w:rPr>
          <w:rFonts w:asciiTheme="minorBidi" w:hAnsiTheme="minorBidi" w:cs="Arial"/>
          <w:rtl/>
        </w:rPr>
        <w:t xml:space="preserve"> ומאן דאמר ובלבד שלא ימלול ובלבד שלא יהרוג </w:t>
      </w:r>
      <w:r>
        <w:rPr>
          <w:rFonts w:asciiTheme="minorBidi" w:hAnsiTheme="minorBidi" w:cs="Arial" w:hint="cs"/>
          <w:rtl/>
        </w:rPr>
        <w:t xml:space="preserve">- </w:t>
      </w:r>
      <w:r w:rsidRPr="004042C0">
        <w:rPr>
          <w:rFonts w:asciiTheme="minorBidi" w:hAnsiTheme="minorBidi" w:cs="Arial"/>
          <w:rtl/>
        </w:rPr>
        <w:t>רבי אליעזר היא דאמר הורג כינה כהורג גמל</w:t>
      </w:r>
      <w:r>
        <w:rPr>
          <w:rFonts w:asciiTheme="minorBidi" w:hAnsiTheme="minorBidi" w:cs="Arial" w:hint="cs"/>
          <w:rtl/>
        </w:rPr>
        <w:t>,</w:t>
      </w:r>
      <w:r w:rsidRPr="004042C0">
        <w:rPr>
          <w:rFonts w:asciiTheme="minorBidi" w:hAnsiTheme="minorBidi" w:cs="Arial"/>
          <w:rtl/>
        </w:rPr>
        <w:t xml:space="preserve"> ולא קיימא לן כוותיה</w:t>
      </w:r>
      <w:r>
        <w:rPr>
          <w:rFonts w:asciiTheme="minorBidi" w:hAnsiTheme="minorBidi" w:cs="Arial" w:hint="cs"/>
          <w:rtl/>
        </w:rPr>
        <w:t>,</w:t>
      </w:r>
      <w:r w:rsidRPr="004042C0">
        <w:rPr>
          <w:rFonts w:asciiTheme="minorBidi" w:hAnsiTheme="minorBidi" w:cs="Arial"/>
          <w:rtl/>
        </w:rPr>
        <w:t xml:space="preserve"> דמדבית שמאי הוא, וקיימא לן כבית הלל דמתירין להרוג מאכולת</w:t>
      </w:r>
      <w:r>
        <w:rPr>
          <w:rFonts w:asciiTheme="minorBidi" w:hAnsiTheme="minorBidi" w:cs="Arial" w:hint="cs"/>
          <w:rtl/>
        </w:rPr>
        <w:t>.</w:t>
      </w:r>
      <w:r w:rsidRPr="004042C0">
        <w:rPr>
          <w:rFonts w:asciiTheme="minorBidi" w:hAnsiTheme="minorBidi" w:cs="Arial"/>
          <w:rtl/>
        </w:rPr>
        <w:t xml:space="preserve"> ורבא נמי דשדי להו לקנא דמיא ורב נחמן דאמר להו לבנתיה קטלן בשבת הוה, דדבר הלמד מענינו הוא</w:t>
      </w:r>
      <w:r>
        <w:rPr>
          <w:rFonts w:asciiTheme="minorBidi" w:hAnsiTheme="minorBidi" w:cs="Arial" w:hint="cs"/>
          <w:rtl/>
        </w:rPr>
        <w:t>.</w:t>
      </w:r>
      <w:r w:rsidRPr="004042C0">
        <w:rPr>
          <w:rFonts w:asciiTheme="minorBidi" w:hAnsiTheme="minorBidi" w:cs="Arial"/>
          <w:rtl/>
        </w:rPr>
        <w:t xml:space="preserve"> וכן מוכח בירושלמי</w:t>
      </w:r>
      <w:r w:rsidR="00BD3D7E">
        <w:rPr>
          <w:rFonts w:asciiTheme="minorBidi" w:hAnsiTheme="minorBidi" w:cs="Arial" w:hint="cs"/>
          <w:rtl/>
        </w:rPr>
        <w:t xml:space="preserve"> </w:t>
      </w:r>
      <w:r>
        <w:rPr>
          <w:rFonts w:asciiTheme="minorBidi" w:hAnsiTheme="minorBidi" w:cs="Arial" w:hint="cs"/>
          <w:sz w:val="16"/>
          <w:szCs w:val="16"/>
          <w:rtl/>
        </w:rPr>
        <w:t>(ל' הרשב"א)</w:t>
      </w:r>
      <w:r w:rsidR="00BE72D8" w:rsidRPr="00BD3D7E">
        <w:rPr>
          <w:rFonts w:asciiTheme="minorBidi" w:hAnsiTheme="minorBidi" w:cs="Arial"/>
          <w:rtl/>
        </w:rPr>
        <w:t xml:space="preserve">. </w:t>
      </w:r>
    </w:p>
    <w:p w14:paraId="0E183E02" w14:textId="3CBE4FCC" w:rsidR="0008106C" w:rsidRPr="0008106C" w:rsidRDefault="003F1BDD" w:rsidP="00434A6A">
      <w:pPr>
        <w:rPr>
          <w:u w:val="single"/>
        </w:rPr>
      </w:pPr>
      <w:r>
        <w:rPr>
          <w:rFonts w:hint="cs"/>
          <w:u w:val="single"/>
          <w:rtl/>
        </w:rPr>
        <w:t>למעשה - האם מותר להרוג כינה בשבת</w:t>
      </w:r>
      <w:r w:rsidR="0008106C" w:rsidRPr="0008106C">
        <w:rPr>
          <w:rFonts w:hint="cs"/>
          <w:u w:val="single"/>
          <w:rtl/>
        </w:rPr>
        <w:t>:</w:t>
      </w:r>
    </w:p>
    <w:p w14:paraId="019236B6" w14:textId="0E800750" w:rsidR="00663385" w:rsidRDefault="00BD3D7E" w:rsidP="00434A6A">
      <w:pPr>
        <w:pStyle w:val="aa"/>
        <w:numPr>
          <w:ilvl w:val="0"/>
          <w:numId w:val="30"/>
        </w:numPr>
      </w:pPr>
      <w:r>
        <w:rPr>
          <w:rFonts w:cs="Arial" w:hint="cs"/>
          <w:rtl/>
        </w:rPr>
        <w:t xml:space="preserve">רא"ש </w:t>
      </w:r>
      <w:r w:rsidRPr="00BD3D7E">
        <w:rPr>
          <w:rFonts w:cs="Arial" w:hint="cs"/>
          <w:sz w:val="16"/>
          <w:szCs w:val="16"/>
          <w:rtl/>
        </w:rPr>
        <w:t>(שם)</w:t>
      </w:r>
      <w:r>
        <w:rPr>
          <w:rFonts w:cs="Arial" w:hint="cs"/>
          <w:rtl/>
        </w:rPr>
        <w:t xml:space="preserve"> ו</w:t>
      </w:r>
      <w:r w:rsidR="009946B9">
        <w:rPr>
          <w:rFonts w:cs="Arial" w:hint="cs"/>
          <w:rtl/>
        </w:rPr>
        <w:t xml:space="preserve">טור- </w:t>
      </w:r>
      <w:r w:rsidR="009946B9">
        <w:rPr>
          <w:rFonts w:cs="Arial"/>
          <w:rtl/>
        </w:rPr>
        <w:t>כינה מותר להורגה</w:t>
      </w:r>
      <w:r w:rsidR="0008106C">
        <w:rPr>
          <w:rFonts w:cs="Arial" w:hint="cs"/>
          <w:rtl/>
        </w:rPr>
        <w:t>.</w:t>
      </w:r>
      <w:r w:rsidR="009946B9">
        <w:rPr>
          <w:rFonts w:cs="Arial"/>
          <w:rtl/>
        </w:rPr>
        <w:t xml:space="preserve"> וה"מ בלוקחה מעל בגדיו או מעל בשרו</w:t>
      </w:r>
      <w:r w:rsidR="009946B9">
        <w:rPr>
          <w:rFonts w:cs="Arial" w:hint="cs"/>
          <w:rtl/>
        </w:rPr>
        <w:t>,</w:t>
      </w:r>
      <w:r w:rsidR="009946B9">
        <w:rPr>
          <w:rFonts w:cs="Arial"/>
          <w:rtl/>
        </w:rPr>
        <w:t xml:space="preserve"> אבל המפלה בגדיו אסור להרוג גם כינה שמא יבא להרוג פרעוש</w:t>
      </w:r>
      <w:r w:rsidR="009946B9">
        <w:rPr>
          <w:rFonts w:cs="Arial" w:hint="cs"/>
          <w:rtl/>
        </w:rPr>
        <w:t>,</w:t>
      </w:r>
      <w:r w:rsidR="009946B9">
        <w:rPr>
          <w:rFonts w:cs="Arial"/>
          <w:rtl/>
        </w:rPr>
        <w:t xml:space="preserve"> אלא מוללו בידים</w:t>
      </w:r>
      <w:r w:rsidR="009946B9">
        <w:rPr>
          <w:rFonts w:cs="Arial" w:hint="cs"/>
          <w:rtl/>
        </w:rPr>
        <w:t>.</w:t>
      </w:r>
      <w:r w:rsidR="009946B9">
        <w:rPr>
          <w:rFonts w:cs="Arial"/>
          <w:rtl/>
        </w:rPr>
        <w:t xml:space="preserve"> ודוקא במפלה בגדיו גזירה הריגת כינה אטו הריגת פרעוש</w:t>
      </w:r>
      <w:r w:rsidR="009946B9">
        <w:rPr>
          <w:rFonts w:cs="Arial" w:hint="cs"/>
          <w:rtl/>
        </w:rPr>
        <w:t>,</w:t>
      </w:r>
      <w:r w:rsidR="009946B9">
        <w:rPr>
          <w:rFonts w:cs="Arial"/>
          <w:rtl/>
        </w:rPr>
        <w:t xml:space="preserve"> אבל במפלה ראשו מותר להרוג כינה ולא גזרינן אטו הריגת פרעוש שאינן מצויות בראש</w:t>
      </w:r>
      <w:r>
        <w:rPr>
          <w:rFonts w:cs="Arial" w:hint="cs"/>
          <w:sz w:val="16"/>
          <w:szCs w:val="16"/>
          <w:rtl/>
        </w:rPr>
        <w:t xml:space="preserve"> (ל' הטור)</w:t>
      </w:r>
      <w:r w:rsidR="009946B9">
        <w:rPr>
          <w:rFonts w:cs="Arial" w:hint="cs"/>
          <w:rtl/>
        </w:rPr>
        <w:t>.</w:t>
      </w:r>
      <w:r w:rsidR="009946B9">
        <w:rPr>
          <w:rFonts w:cs="Arial"/>
          <w:rtl/>
        </w:rPr>
        <w:t xml:space="preserve"> </w:t>
      </w:r>
      <w:r w:rsidR="003F1BDD" w:rsidRPr="0008106C">
        <w:rPr>
          <w:rFonts w:hint="cs"/>
          <w:color w:val="E36C0A" w:themeColor="accent6" w:themeShade="BF"/>
          <w:rtl/>
        </w:rPr>
        <w:t>(וכ"פ בשו"ע)</w:t>
      </w:r>
    </w:p>
    <w:p w14:paraId="1234500B" w14:textId="49A9AD04" w:rsidR="00BD3D7E" w:rsidRPr="00663385" w:rsidRDefault="00BD3D7E" w:rsidP="00434A6A">
      <w:pPr>
        <w:pStyle w:val="aa"/>
        <w:numPr>
          <w:ilvl w:val="0"/>
          <w:numId w:val="30"/>
        </w:numPr>
      </w:pPr>
      <w:r>
        <w:rPr>
          <w:rFonts w:asciiTheme="minorBidi" w:hAnsiTheme="minorBidi" w:cs="Arial" w:hint="cs"/>
          <w:rtl/>
        </w:rPr>
        <w:t xml:space="preserve">רמב"ן </w:t>
      </w:r>
      <w:r>
        <w:rPr>
          <w:rFonts w:asciiTheme="minorBidi" w:hAnsiTheme="minorBidi" w:cs="Arial" w:hint="cs"/>
          <w:sz w:val="16"/>
          <w:szCs w:val="16"/>
          <w:rtl/>
        </w:rPr>
        <w:t>(שם)</w:t>
      </w:r>
      <w:r>
        <w:rPr>
          <w:rFonts w:asciiTheme="minorBidi" w:hAnsiTheme="minorBidi" w:cs="Arial" w:hint="cs"/>
          <w:rtl/>
        </w:rPr>
        <w:t xml:space="preserve"> רשב"א </w:t>
      </w:r>
      <w:r>
        <w:rPr>
          <w:rFonts w:asciiTheme="minorBidi" w:hAnsiTheme="minorBidi" w:cs="Arial" w:hint="cs"/>
          <w:sz w:val="16"/>
          <w:szCs w:val="16"/>
          <w:rtl/>
        </w:rPr>
        <w:t xml:space="preserve">(שם) </w:t>
      </w:r>
      <w:r>
        <w:rPr>
          <w:rFonts w:asciiTheme="minorBidi" w:hAnsiTheme="minorBidi" w:cs="Arial" w:hint="cs"/>
          <w:rtl/>
        </w:rPr>
        <w:t>ו</w:t>
      </w:r>
      <w:r w:rsidRPr="00663385">
        <w:rPr>
          <w:rFonts w:asciiTheme="minorBidi" w:hAnsiTheme="minorBidi" w:cs="Arial"/>
          <w:rtl/>
        </w:rPr>
        <w:t xml:space="preserve">ר"ן </w:t>
      </w:r>
      <w:r w:rsidRPr="009B71B4">
        <w:rPr>
          <w:rFonts w:asciiTheme="minorBidi" w:hAnsiTheme="minorBidi" w:cs="Arial"/>
          <w:sz w:val="16"/>
          <w:szCs w:val="16"/>
          <w:rtl/>
        </w:rPr>
        <w:t>(</w:t>
      </w:r>
      <w:r>
        <w:rPr>
          <w:rFonts w:asciiTheme="minorBidi" w:hAnsiTheme="minorBidi" w:cs="Arial" w:hint="cs"/>
          <w:sz w:val="16"/>
          <w:szCs w:val="16"/>
          <w:rtl/>
        </w:rPr>
        <w:t>השם</w:t>
      </w:r>
      <w:r w:rsidRPr="009B71B4">
        <w:rPr>
          <w:rFonts w:asciiTheme="minorBidi" w:hAnsiTheme="minorBidi" w:cs="Arial"/>
          <w:sz w:val="16"/>
          <w:szCs w:val="16"/>
          <w:rtl/>
        </w:rPr>
        <w:t>)</w:t>
      </w:r>
      <w:r>
        <w:rPr>
          <w:rFonts w:asciiTheme="minorBidi" w:hAnsiTheme="minorBidi" w:cs="Arial" w:hint="cs"/>
          <w:rtl/>
        </w:rPr>
        <w:t xml:space="preserve">- </w:t>
      </w:r>
      <w:r w:rsidRPr="004042C0">
        <w:rPr>
          <w:rFonts w:asciiTheme="minorBidi" w:hAnsiTheme="minorBidi" w:cs="Arial"/>
          <w:rtl/>
        </w:rPr>
        <w:t>אם בא להרוג ואפילו בשבת</w:t>
      </w:r>
      <w:r w:rsidR="00D20E84">
        <w:rPr>
          <w:rFonts w:asciiTheme="minorBidi" w:hAnsiTheme="minorBidi" w:cs="Arial" w:hint="cs"/>
          <w:rtl/>
        </w:rPr>
        <w:t xml:space="preserve"> -</w:t>
      </w:r>
      <w:r w:rsidRPr="004042C0">
        <w:rPr>
          <w:rFonts w:asciiTheme="minorBidi" w:hAnsiTheme="minorBidi" w:cs="Arial"/>
          <w:rtl/>
        </w:rPr>
        <w:t xml:space="preserve"> מותר</w:t>
      </w:r>
      <w:r>
        <w:rPr>
          <w:rFonts w:asciiTheme="minorBidi" w:hAnsiTheme="minorBidi" w:cs="Arial" w:hint="cs"/>
          <w:rtl/>
        </w:rPr>
        <w:t>.</w:t>
      </w:r>
    </w:p>
    <w:p w14:paraId="6F397125" w14:textId="7EA34CA5" w:rsidR="00BE72D8" w:rsidRDefault="00BE72D8" w:rsidP="00434A6A">
      <w:pPr>
        <w:pStyle w:val="aa"/>
        <w:numPr>
          <w:ilvl w:val="0"/>
          <w:numId w:val="30"/>
        </w:numPr>
      </w:pPr>
      <w:r>
        <w:rPr>
          <w:rFonts w:cs="Arial" w:hint="cs"/>
          <w:rtl/>
        </w:rPr>
        <w:t xml:space="preserve">רמב"ם </w:t>
      </w:r>
      <w:r>
        <w:rPr>
          <w:rFonts w:cs="Arial" w:hint="cs"/>
          <w:sz w:val="16"/>
          <w:szCs w:val="16"/>
          <w:rtl/>
        </w:rPr>
        <w:t>(פי"א ה"ג)</w:t>
      </w:r>
      <w:r>
        <w:rPr>
          <w:rFonts w:cs="Arial" w:hint="cs"/>
          <w:rtl/>
        </w:rPr>
        <w:t xml:space="preserve">- </w:t>
      </w:r>
      <w:r w:rsidRPr="00BE72D8">
        <w:rPr>
          <w:rFonts w:cs="Arial"/>
          <w:rtl/>
        </w:rPr>
        <w:t>המפלא כליו בשבת מולל את הכנים וזורקן, ומותר להרוג את הכנים בשבת מפני שהן מן הזיעה</w:t>
      </w:r>
      <w:r w:rsidR="00BD3D7E">
        <w:rPr>
          <w:rStyle w:val="a9"/>
          <w:rFonts w:asciiTheme="minorBidi" w:hAnsiTheme="minorBidi" w:cs="Arial"/>
          <w:rtl/>
        </w:rPr>
        <w:footnoteReference w:id="2489"/>
      </w:r>
      <w:r w:rsidRPr="00BE72D8">
        <w:rPr>
          <w:rFonts w:cs="Arial"/>
          <w:rtl/>
        </w:rPr>
        <w:t>.</w:t>
      </w:r>
    </w:p>
    <w:p w14:paraId="3FD839F1" w14:textId="77777777" w:rsidR="00663385" w:rsidRPr="00663385" w:rsidRDefault="00663385" w:rsidP="00434A6A">
      <w:pPr>
        <w:rPr>
          <w:u w:val="single"/>
        </w:rPr>
      </w:pPr>
      <w:r w:rsidRPr="00663385">
        <w:rPr>
          <w:rFonts w:hint="cs"/>
          <w:u w:val="single"/>
          <w:rtl/>
        </w:rPr>
        <w:t>מהי כינה ומהו פרעוש:</w:t>
      </w:r>
    </w:p>
    <w:p w14:paraId="57F29993" w14:textId="77777777" w:rsidR="00B71880" w:rsidRPr="00B71880" w:rsidRDefault="00B71880" w:rsidP="00434A6A">
      <w:pPr>
        <w:pStyle w:val="aa"/>
        <w:numPr>
          <w:ilvl w:val="0"/>
          <w:numId w:val="30"/>
        </w:numPr>
      </w:pPr>
      <w:r w:rsidRPr="00B71880">
        <w:rPr>
          <w:rFonts w:cs="Arial"/>
          <w:rtl/>
        </w:rPr>
        <w:t>הרב יוסף מאורליינ"ש</w:t>
      </w:r>
      <w:r>
        <w:rPr>
          <w:rFonts w:cs="Arial" w:hint="cs"/>
          <w:sz w:val="16"/>
          <w:szCs w:val="16"/>
          <w:rtl/>
        </w:rPr>
        <w:t xml:space="preserve"> (כ"כ התוס' [שבת יב. ד"ה שמא יהרוג] בשמו)</w:t>
      </w:r>
      <w:r>
        <w:rPr>
          <w:rFonts w:cs="Arial" w:hint="cs"/>
          <w:rtl/>
        </w:rPr>
        <w:t>-</w:t>
      </w:r>
      <w:r w:rsidRPr="00B71880">
        <w:rPr>
          <w:rFonts w:cs="Arial"/>
          <w:rtl/>
        </w:rPr>
        <w:t xml:space="preserve"> כינה היינו שחורה הקופצת</w:t>
      </w:r>
      <w:r>
        <w:rPr>
          <w:rFonts w:cs="Arial" w:hint="cs"/>
          <w:rtl/>
        </w:rPr>
        <w:t>,</w:t>
      </w:r>
      <w:r w:rsidRPr="00B71880">
        <w:rPr>
          <w:rFonts w:cs="Arial"/>
          <w:rtl/>
        </w:rPr>
        <w:t xml:space="preserve"> דכתיב והך את עפר הארץ והיה לכנים (שמות ח)</w:t>
      </w:r>
      <w:r>
        <w:rPr>
          <w:rFonts w:cs="Arial" w:hint="cs"/>
          <w:rtl/>
        </w:rPr>
        <w:t>,</w:t>
      </w:r>
      <w:r w:rsidRPr="00B71880">
        <w:rPr>
          <w:rFonts w:cs="Arial"/>
          <w:rtl/>
        </w:rPr>
        <w:t xml:space="preserve"> ודרך שחורה הקופצת לצאת מן הארץ</w:t>
      </w:r>
      <w:r>
        <w:rPr>
          <w:rFonts w:cs="Arial" w:hint="cs"/>
          <w:rtl/>
        </w:rPr>
        <w:t>,</w:t>
      </w:r>
      <w:r w:rsidRPr="00B71880">
        <w:rPr>
          <w:rFonts w:cs="Arial"/>
          <w:rtl/>
        </w:rPr>
        <w:t xml:space="preserve"> ובזאת נחלקו עליו רבנן</w:t>
      </w:r>
      <w:r>
        <w:rPr>
          <w:rFonts w:cs="Arial" w:hint="cs"/>
          <w:rtl/>
        </w:rPr>
        <w:t>.</w:t>
      </w:r>
      <w:r w:rsidRPr="00B71880">
        <w:rPr>
          <w:rFonts w:cs="Arial"/>
          <w:rtl/>
        </w:rPr>
        <w:t xml:space="preserve"> אבל פרעוש היא הכינה הרוחשת</w:t>
      </w:r>
      <w:r>
        <w:rPr>
          <w:rFonts w:cs="Arial" w:hint="cs"/>
          <w:rtl/>
        </w:rPr>
        <w:t>,</w:t>
      </w:r>
      <w:r w:rsidRPr="00B71880">
        <w:rPr>
          <w:rFonts w:cs="Arial"/>
          <w:rtl/>
        </w:rPr>
        <w:t xml:space="preserve"> וחייב עליה אפילו לרבנן כדאמרי' בפ' שמונה שרצים (לקמן קז: ושם)</w:t>
      </w:r>
      <w:r>
        <w:rPr>
          <w:rFonts w:cs="Arial" w:hint="cs"/>
          <w:rtl/>
        </w:rPr>
        <w:t>.</w:t>
      </w:r>
      <w:r w:rsidRPr="00B71880">
        <w:rPr>
          <w:rFonts w:cs="Arial"/>
          <w:rtl/>
        </w:rPr>
        <w:t xml:space="preserve"> </w:t>
      </w:r>
    </w:p>
    <w:p w14:paraId="6750CB64" w14:textId="0D5F5F2D" w:rsidR="00440576" w:rsidRPr="00440576" w:rsidRDefault="00B71880" w:rsidP="00434A6A">
      <w:pPr>
        <w:pStyle w:val="aa"/>
        <w:numPr>
          <w:ilvl w:val="0"/>
          <w:numId w:val="30"/>
        </w:numPr>
        <w:rPr>
          <w:rtl/>
        </w:rPr>
      </w:pPr>
      <w:r w:rsidRPr="00B71880">
        <w:rPr>
          <w:rFonts w:cs="Arial"/>
          <w:rtl/>
        </w:rPr>
        <w:t>ר"ת</w:t>
      </w:r>
      <w:r>
        <w:rPr>
          <w:rFonts w:cs="Arial" w:hint="cs"/>
          <w:sz w:val="16"/>
          <w:szCs w:val="16"/>
          <w:rtl/>
        </w:rPr>
        <w:t xml:space="preserve"> (כ"כ התוס' [שם] בשמו)</w:t>
      </w:r>
      <w:r w:rsidR="00440576">
        <w:rPr>
          <w:rFonts w:cs="Arial" w:hint="cs"/>
          <w:rtl/>
        </w:rPr>
        <w:t xml:space="preserve"> </w:t>
      </w:r>
      <w:r w:rsidR="00440576">
        <w:rPr>
          <w:rFonts w:asciiTheme="minorBidi" w:hAnsiTheme="minorBidi" w:cs="Arial" w:hint="cs"/>
          <w:rtl/>
        </w:rPr>
        <w:t xml:space="preserve">מרדכי </w:t>
      </w:r>
      <w:r w:rsidR="00440576" w:rsidRPr="00440576">
        <w:rPr>
          <w:rFonts w:asciiTheme="minorBidi" w:hAnsiTheme="minorBidi" w:cs="Arial"/>
          <w:sz w:val="16"/>
          <w:szCs w:val="16"/>
          <w:rtl/>
        </w:rPr>
        <w:t>(סי' רלג)</w:t>
      </w:r>
      <w:r w:rsidR="00440576">
        <w:rPr>
          <w:rFonts w:asciiTheme="minorBidi" w:hAnsiTheme="minorBidi" w:cs="Arial" w:hint="cs"/>
          <w:sz w:val="16"/>
          <w:szCs w:val="16"/>
          <w:rtl/>
        </w:rPr>
        <w:t xml:space="preserve"> </w:t>
      </w:r>
      <w:r w:rsidR="00440576" w:rsidRPr="00663385">
        <w:rPr>
          <w:rFonts w:asciiTheme="minorBidi" w:hAnsiTheme="minorBidi" w:cs="Arial"/>
          <w:rtl/>
        </w:rPr>
        <w:t xml:space="preserve">רא"ש </w:t>
      </w:r>
      <w:r w:rsidR="00440576" w:rsidRPr="00BE72D8">
        <w:rPr>
          <w:rFonts w:asciiTheme="minorBidi" w:hAnsiTheme="minorBidi" w:cs="Arial"/>
          <w:sz w:val="16"/>
          <w:szCs w:val="16"/>
          <w:rtl/>
        </w:rPr>
        <w:t>(</w:t>
      </w:r>
      <w:r w:rsidR="00440576">
        <w:rPr>
          <w:rFonts w:asciiTheme="minorBidi" w:hAnsiTheme="minorBidi" w:cs="Arial" w:hint="cs"/>
          <w:sz w:val="16"/>
          <w:szCs w:val="16"/>
          <w:rtl/>
        </w:rPr>
        <w:t xml:space="preserve">פ"ק </w:t>
      </w:r>
      <w:r w:rsidR="00440576" w:rsidRPr="00BE72D8">
        <w:rPr>
          <w:rFonts w:asciiTheme="minorBidi" w:hAnsiTheme="minorBidi" w:cs="Arial"/>
          <w:sz w:val="16"/>
          <w:szCs w:val="16"/>
          <w:rtl/>
        </w:rPr>
        <w:t>סי' כט)</w:t>
      </w:r>
      <w:r w:rsidR="00440576">
        <w:rPr>
          <w:rFonts w:cs="Arial" w:hint="cs"/>
          <w:rtl/>
        </w:rPr>
        <w:t xml:space="preserve"> </w:t>
      </w:r>
      <w:r w:rsidR="00440576" w:rsidRPr="00ED31DB">
        <w:rPr>
          <w:rFonts w:cs="Arial" w:hint="cs"/>
          <w:rtl/>
        </w:rPr>
        <w:t xml:space="preserve">רי"ו </w:t>
      </w:r>
      <w:r w:rsidR="00440576" w:rsidRPr="00ED31DB">
        <w:rPr>
          <w:rFonts w:cs="Arial" w:hint="cs"/>
          <w:sz w:val="16"/>
          <w:szCs w:val="16"/>
          <w:rtl/>
        </w:rPr>
        <w:t>(תא"ו ני"ב ח"י)</w:t>
      </w:r>
      <w:r w:rsidR="00440576">
        <w:rPr>
          <w:rFonts w:cs="Arial" w:hint="cs"/>
          <w:rtl/>
        </w:rPr>
        <w:t xml:space="preserve"> ור"ן</w:t>
      </w:r>
      <w:r w:rsidR="00440576">
        <w:rPr>
          <w:rFonts w:cs="Arial" w:hint="cs"/>
          <w:sz w:val="16"/>
          <w:szCs w:val="16"/>
          <w:rtl/>
        </w:rPr>
        <w:t xml:space="preserve"> (שם)</w:t>
      </w:r>
      <w:r>
        <w:rPr>
          <w:rFonts w:cs="Arial" w:hint="cs"/>
          <w:rtl/>
        </w:rPr>
        <w:t>-</w:t>
      </w:r>
      <w:r w:rsidRPr="00B71880">
        <w:rPr>
          <w:rFonts w:cs="Arial"/>
          <w:rtl/>
        </w:rPr>
        <w:t xml:space="preserve"> דאמרינן במדרש אף כי אנוש רימה אלו כנים שבראש</w:t>
      </w:r>
      <w:r>
        <w:rPr>
          <w:rFonts w:cs="Arial" w:hint="cs"/>
          <w:rtl/>
        </w:rPr>
        <w:t>,</w:t>
      </w:r>
      <w:r w:rsidRPr="00B71880">
        <w:rPr>
          <w:rFonts w:cs="Arial"/>
          <w:rtl/>
        </w:rPr>
        <w:t xml:space="preserve"> ובנדה פ"ב (כ:) שלח לה מסריקותא מקטל קלמי</w:t>
      </w:r>
      <w:r>
        <w:rPr>
          <w:rFonts w:cs="Arial" w:hint="cs"/>
          <w:rtl/>
        </w:rPr>
        <w:t>,</w:t>
      </w:r>
      <w:r w:rsidRPr="00B71880">
        <w:rPr>
          <w:rFonts w:cs="Arial"/>
          <w:rtl/>
        </w:rPr>
        <w:t xml:space="preserve"> ופי' בקונטרס מסרק להרוג כנים</w:t>
      </w:r>
      <w:r>
        <w:rPr>
          <w:rFonts w:cs="Arial" w:hint="cs"/>
          <w:rtl/>
        </w:rPr>
        <w:t>,</w:t>
      </w:r>
      <w:r w:rsidRPr="00B71880">
        <w:rPr>
          <w:rFonts w:cs="Arial"/>
          <w:rtl/>
        </w:rPr>
        <w:t xml:space="preserve"> ואין דרך שחורה הקופצת להיות בראש</w:t>
      </w:r>
      <w:r>
        <w:rPr>
          <w:rFonts w:cs="Arial" w:hint="cs"/>
          <w:rtl/>
        </w:rPr>
        <w:t>.</w:t>
      </w:r>
      <w:r w:rsidRPr="00B71880">
        <w:rPr>
          <w:rFonts w:cs="Arial"/>
          <w:rtl/>
        </w:rPr>
        <w:t xml:space="preserve"> ועוד בברכות (פ"ז נא:) אמרינן ממהדורי מילי ומסמרטוטי קלמי</w:t>
      </w:r>
      <w:r>
        <w:rPr>
          <w:rFonts w:cs="Arial" w:hint="cs"/>
          <w:rtl/>
        </w:rPr>
        <w:t>,</w:t>
      </w:r>
      <w:r w:rsidRPr="00B71880">
        <w:rPr>
          <w:rFonts w:cs="Arial"/>
          <w:rtl/>
        </w:rPr>
        <w:t xml:space="preserve"> ודרך כנים לבנות הרוחשות להיות בסמרטוטי מבגדים ישנים</w:t>
      </w:r>
      <w:r>
        <w:rPr>
          <w:rFonts w:cs="Arial" w:hint="cs"/>
          <w:rtl/>
        </w:rPr>
        <w:t>.</w:t>
      </w:r>
      <w:r w:rsidRPr="00B71880">
        <w:rPr>
          <w:rFonts w:cs="Arial"/>
          <w:rtl/>
        </w:rPr>
        <w:t xml:space="preserve"> ועוד דפרעוש אמר לקמן בפרק שמונה שרצים (קז:) שהוא פרה ורבה</w:t>
      </w:r>
      <w:r>
        <w:rPr>
          <w:rFonts w:cs="Arial" w:hint="cs"/>
          <w:rtl/>
        </w:rPr>
        <w:t>,</w:t>
      </w:r>
      <w:r w:rsidRPr="00B71880">
        <w:rPr>
          <w:rFonts w:cs="Arial"/>
          <w:rtl/>
        </w:rPr>
        <w:t xml:space="preserve"> וכינה הרוחשת אינה פרה ורבה אלא באה מזיעת אדם</w:t>
      </w:r>
      <w:r>
        <w:rPr>
          <w:rFonts w:cs="Arial" w:hint="cs"/>
          <w:rtl/>
        </w:rPr>
        <w:t>.</w:t>
      </w:r>
      <w:r w:rsidRPr="00B71880">
        <w:rPr>
          <w:rFonts w:cs="Arial"/>
          <w:rtl/>
        </w:rPr>
        <w:t xml:space="preserve"> לכך נראה לר"ת דשחורה הקופצת היא פרעוש וחייב עליה לכ"ע</w:t>
      </w:r>
      <w:r>
        <w:rPr>
          <w:rFonts w:cs="Arial" w:hint="cs"/>
          <w:rtl/>
        </w:rPr>
        <w:t>,</w:t>
      </w:r>
      <w:r w:rsidRPr="00B71880">
        <w:rPr>
          <w:rFonts w:cs="Arial"/>
          <w:rtl/>
        </w:rPr>
        <w:t xml:space="preserve"> וכינה הרוחשת שרי להרוג כב"ה המתירין</w:t>
      </w:r>
      <w:r w:rsidR="00440576">
        <w:rPr>
          <w:rStyle w:val="a9"/>
          <w:rFonts w:cs="Arial"/>
          <w:rtl/>
        </w:rPr>
        <w:footnoteReference w:id="2490"/>
      </w:r>
      <w:r w:rsidR="00440576">
        <w:rPr>
          <w:rFonts w:cs="Arial" w:hint="cs"/>
          <w:sz w:val="16"/>
          <w:szCs w:val="16"/>
          <w:rtl/>
        </w:rPr>
        <w:t xml:space="preserve"> (ל' התוס' בשם ר"ת)</w:t>
      </w:r>
      <w:r w:rsidRPr="00B71880">
        <w:rPr>
          <w:rFonts w:cs="Arial"/>
          <w:rtl/>
        </w:rPr>
        <w:t>.</w:t>
      </w:r>
      <w:r w:rsidR="00097FCD" w:rsidRPr="00097FCD">
        <w:rPr>
          <w:rFonts w:hint="cs"/>
          <w:color w:val="E36C0A" w:themeColor="accent6" w:themeShade="BF"/>
          <w:rtl/>
        </w:rPr>
        <w:t xml:space="preserve"> </w:t>
      </w:r>
      <w:r w:rsidR="00097FCD" w:rsidRPr="0008106C">
        <w:rPr>
          <w:rFonts w:hint="cs"/>
          <w:color w:val="E36C0A" w:themeColor="accent6" w:themeShade="BF"/>
          <w:rtl/>
        </w:rPr>
        <w:t>(וכ"פ בשו"ע)</w:t>
      </w:r>
    </w:p>
    <w:p w14:paraId="5A4D66FA" w14:textId="77777777" w:rsidR="00097FCD" w:rsidRPr="00097FCD" w:rsidRDefault="0056638F" w:rsidP="00434A6A">
      <w:pPr>
        <w:pStyle w:val="aa"/>
        <w:numPr>
          <w:ilvl w:val="0"/>
          <w:numId w:val="30"/>
        </w:numPr>
      </w:pPr>
      <w:r>
        <w:rPr>
          <w:rFonts w:cs="Arial" w:hint="cs"/>
          <w:rtl/>
        </w:rPr>
        <w:t xml:space="preserve">רמב"ן </w:t>
      </w:r>
      <w:r>
        <w:rPr>
          <w:rFonts w:cs="Arial" w:hint="cs"/>
          <w:sz w:val="16"/>
          <w:szCs w:val="16"/>
          <w:rtl/>
        </w:rPr>
        <w:t>(שם)</w:t>
      </w:r>
      <w:r>
        <w:rPr>
          <w:rFonts w:cs="Arial" w:hint="cs"/>
          <w:rtl/>
        </w:rPr>
        <w:t xml:space="preserve"> ורשב"א </w:t>
      </w:r>
      <w:r>
        <w:rPr>
          <w:rFonts w:cs="Arial" w:hint="cs"/>
          <w:sz w:val="16"/>
          <w:szCs w:val="16"/>
          <w:rtl/>
        </w:rPr>
        <w:t>(שם)</w:t>
      </w:r>
      <w:r>
        <w:rPr>
          <w:rFonts w:cs="Arial" w:hint="cs"/>
          <w:rtl/>
        </w:rPr>
        <w:t xml:space="preserve">- </w:t>
      </w:r>
      <w:r w:rsidRPr="009B71B4">
        <w:rPr>
          <w:rFonts w:cs="Arial"/>
          <w:rtl/>
        </w:rPr>
        <w:t>פרעוש שאסור בגמרא מין אחר הוא והוא פרה ורבה</w:t>
      </w:r>
      <w:r>
        <w:rPr>
          <w:rFonts w:cs="Arial" w:hint="cs"/>
          <w:rtl/>
        </w:rPr>
        <w:t>,</w:t>
      </w:r>
      <w:r w:rsidRPr="009B71B4">
        <w:rPr>
          <w:rFonts w:cs="Arial"/>
          <w:rtl/>
        </w:rPr>
        <w:t xml:space="preserve"> אבל שחורה זו הקופצת הנקרא בערבי אלברגו"ת</w:t>
      </w:r>
      <w:r>
        <w:rPr>
          <w:rFonts w:cs="Arial" w:hint="cs"/>
          <w:rtl/>
        </w:rPr>
        <w:t>,</w:t>
      </w:r>
      <w:r w:rsidRPr="009B71B4">
        <w:rPr>
          <w:rFonts w:cs="Arial"/>
          <w:rtl/>
        </w:rPr>
        <w:t xml:space="preserve"> כיון שאינה פרה ורבה</w:t>
      </w:r>
      <w:r>
        <w:rPr>
          <w:rFonts w:cs="Arial" w:hint="cs"/>
          <w:rtl/>
        </w:rPr>
        <w:t xml:space="preserve"> -</w:t>
      </w:r>
      <w:r w:rsidRPr="009B71B4">
        <w:rPr>
          <w:rFonts w:cs="Arial"/>
          <w:rtl/>
        </w:rPr>
        <w:t xml:space="preserve"> לכתחלה מותר בין לצוד בין להרוג</w:t>
      </w:r>
      <w:r>
        <w:rPr>
          <w:rFonts w:cs="Arial" w:hint="cs"/>
          <w:rtl/>
        </w:rPr>
        <w:t>,</w:t>
      </w:r>
      <w:r w:rsidRPr="009B71B4">
        <w:rPr>
          <w:rFonts w:cs="Arial"/>
          <w:rtl/>
        </w:rPr>
        <w:t xml:space="preserve"> דבכלל מאכולת הוא</w:t>
      </w:r>
      <w:r w:rsidR="00097FCD">
        <w:rPr>
          <w:rStyle w:val="a9"/>
          <w:rFonts w:cs="Arial"/>
          <w:rtl/>
        </w:rPr>
        <w:footnoteReference w:id="2491"/>
      </w:r>
      <w:r w:rsidR="00097FCD">
        <w:rPr>
          <w:rFonts w:cs="Arial" w:hint="cs"/>
          <w:sz w:val="16"/>
          <w:szCs w:val="16"/>
          <w:rtl/>
        </w:rPr>
        <w:t xml:space="preserve"> (ל' הר"ן בשם הרמב"ן)</w:t>
      </w:r>
      <w:r w:rsidR="00097FCD">
        <w:rPr>
          <w:rStyle w:val="a9"/>
          <w:rFonts w:cs="Arial"/>
          <w:rtl/>
        </w:rPr>
        <w:footnoteReference w:id="2492"/>
      </w:r>
      <w:r>
        <w:rPr>
          <w:rFonts w:cs="Arial" w:hint="cs"/>
          <w:rtl/>
        </w:rPr>
        <w:t>.</w:t>
      </w:r>
    </w:p>
    <w:p w14:paraId="3A9105C5" w14:textId="6C8A6772" w:rsidR="00F332E8" w:rsidRPr="00097FCD" w:rsidRDefault="00097FCD" w:rsidP="00434A6A">
      <w:pPr>
        <w:pStyle w:val="aa"/>
        <w:numPr>
          <w:ilvl w:val="1"/>
          <w:numId w:val="30"/>
        </w:numPr>
        <w:rPr>
          <w:rtl/>
        </w:rPr>
      </w:pPr>
      <w:r>
        <w:rPr>
          <w:rFonts w:cs="Arial" w:hint="cs"/>
          <w:rtl/>
        </w:rPr>
        <w:t xml:space="preserve">ב"י- </w:t>
      </w:r>
      <w:r w:rsidR="00F332E8" w:rsidRPr="00097FCD">
        <w:rPr>
          <w:rFonts w:asciiTheme="minorBidi" w:hAnsiTheme="minorBidi" w:cs="Arial"/>
          <w:rtl/>
        </w:rPr>
        <w:t>ולענין הלכה כיון שהרמב"ם והרא"ש מסכימים לדעת רבינו תם הכי נקיטינן</w:t>
      </w:r>
      <w:r>
        <w:rPr>
          <w:rFonts w:asciiTheme="minorBidi" w:hAnsiTheme="minorBidi" w:cs="Arial" w:hint="cs"/>
          <w:rtl/>
        </w:rPr>
        <w:t>,</w:t>
      </w:r>
      <w:r w:rsidR="00F332E8" w:rsidRPr="00097FCD">
        <w:rPr>
          <w:rFonts w:asciiTheme="minorBidi" w:hAnsiTheme="minorBidi" w:cs="Arial"/>
          <w:rtl/>
        </w:rPr>
        <w:t xml:space="preserve"> וכן נהגו</w:t>
      </w:r>
      <w:r w:rsidR="00440576" w:rsidRPr="00097FCD">
        <w:rPr>
          <w:rFonts w:asciiTheme="minorBidi" w:hAnsiTheme="minorBidi" w:cs="Arial" w:hint="cs"/>
          <w:rtl/>
        </w:rPr>
        <w:t>.</w:t>
      </w:r>
    </w:p>
    <w:p w14:paraId="6050D32C" w14:textId="77777777" w:rsidR="005022B5" w:rsidRPr="005275DF" w:rsidRDefault="005022B5" w:rsidP="00434A6A">
      <w:pPr>
        <w:rPr>
          <w:rFonts w:asciiTheme="minorBidi" w:hAnsiTheme="minorBidi"/>
          <w:rtl/>
        </w:rPr>
      </w:pPr>
      <w:r w:rsidRPr="005275DF">
        <w:rPr>
          <w:rFonts w:asciiTheme="minorBidi" w:hAnsiTheme="minorBidi"/>
          <w:b/>
          <w:bCs/>
          <w:sz w:val="32"/>
          <w:szCs w:val="28"/>
          <w:u w:val="single"/>
          <w:rtl/>
        </w:rPr>
        <w:t xml:space="preserve">שו"ע: </w:t>
      </w:r>
    </w:p>
    <w:p w14:paraId="17C23633" w14:textId="256F1D6D" w:rsidR="005022B5" w:rsidRPr="005275DF" w:rsidRDefault="00EE56D2" w:rsidP="00434A6A">
      <w:pPr>
        <w:rPr>
          <w:rFonts w:asciiTheme="minorBidi" w:hAnsiTheme="minorBidi"/>
          <w:sz w:val="26"/>
          <w:szCs w:val="26"/>
          <w:rtl/>
        </w:rPr>
      </w:pPr>
      <w:r w:rsidRPr="005275DF">
        <w:rPr>
          <w:rFonts w:asciiTheme="minorBidi" w:hAnsiTheme="minorBidi"/>
          <w:rtl/>
        </w:rPr>
        <w:t>פרעוש, הנקרא ברגו</w:t>
      </w:r>
      <w:r w:rsidR="005022B5" w:rsidRPr="005275DF">
        <w:rPr>
          <w:rFonts w:asciiTheme="minorBidi" w:hAnsiTheme="minorBidi"/>
          <w:rtl/>
        </w:rPr>
        <w:t>ת</w:t>
      </w:r>
      <w:r w:rsidR="00D21A73" w:rsidRPr="005275DF">
        <w:rPr>
          <w:rFonts w:asciiTheme="minorBidi" w:hAnsiTheme="minorBidi"/>
          <w:rtl/>
        </w:rPr>
        <w:t xml:space="preserve"> בלשון ערב, אסור לצודו אלא אם </w:t>
      </w:r>
      <w:r w:rsidR="005022B5" w:rsidRPr="005275DF">
        <w:rPr>
          <w:rFonts w:asciiTheme="minorBidi" w:hAnsiTheme="minorBidi"/>
          <w:rtl/>
        </w:rPr>
        <w:t>כ</w:t>
      </w:r>
      <w:r w:rsidR="00D21A73" w:rsidRPr="005275DF">
        <w:rPr>
          <w:rFonts w:asciiTheme="minorBidi" w:hAnsiTheme="minorBidi"/>
          <w:rtl/>
        </w:rPr>
        <w:t>ן</w:t>
      </w:r>
      <w:r w:rsidR="005022B5" w:rsidRPr="005275DF">
        <w:rPr>
          <w:rFonts w:asciiTheme="minorBidi" w:hAnsiTheme="minorBidi"/>
          <w:rtl/>
        </w:rPr>
        <w:t xml:space="preserve"> הוא על בשרו ועוקצו</w:t>
      </w:r>
      <w:r w:rsidR="00285A2F">
        <w:rPr>
          <w:rStyle w:val="a9"/>
          <w:rFonts w:asciiTheme="minorBidi" w:hAnsiTheme="minorBidi"/>
          <w:rtl/>
        </w:rPr>
        <w:footnoteReference w:id="2493"/>
      </w:r>
      <w:r w:rsidR="005022B5" w:rsidRPr="005275DF">
        <w:rPr>
          <w:rFonts w:asciiTheme="minorBidi" w:hAnsiTheme="minorBidi"/>
          <w:rtl/>
        </w:rPr>
        <w:t>, ואסור להרגו</w:t>
      </w:r>
      <w:r w:rsidR="002E4DE8" w:rsidRPr="005275DF">
        <w:rPr>
          <w:rStyle w:val="a9"/>
          <w:rFonts w:asciiTheme="minorBidi" w:hAnsiTheme="minorBidi"/>
          <w:rtl/>
        </w:rPr>
        <w:footnoteReference w:id="2494"/>
      </w:r>
      <w:r w:rsidR="005022B5" w:rsidRPr="005275DF">
        <w:rPr>
          <w:rFonts w:asciiTheme="minorBidi" w:hAnsiTheme="minorBidi"/>
          <w:rtl/>
        </w:rPr>
        <w:t xml:space="preserve">. </w:t>
      </w:r>
      <w:r w:rsidR="005022B5" w:rsidRPr="005275DF">
        <w:rPr>
          <w:rFonts w:asciiTheme="minorBidi" w:hAnsiTheme="minorBidi"/>
          <w:sz w:val="18"/>
          <w:szCs w:val="18"/>
          <w:rtl/>
        </w:rPr>
        <w:t>הגה: ואף לא ימללנו בידו, שמא יהרגנו, א</w:t>
      </w:r>
      <w:r w:rsidRPr="005275DF">
        <w:rPr>
          <w:rFonts w:asciiTheme="minorBidi" w:hAnsiTheme="minorBidi"/>
          <w:sz w:val="18"/>
          <w:szCs w:val="18"/>
          <w:rtl/>
        </w:rPr>
        <w:t>לא יטלנו בידו</w:t>
      </w:r>
      <w:r w:rsidR="00B57A27" w:rsidRPr="005275DF">
        <w:rPr>
          <w:rFonts w:asciiTheme="minorBidi" w:hAnsiTheme="minorBidi"/>
          <w:sz w:val="18"/>
          <w:szCs w:val="18"/>
          <w:rtl/>
        </w:rPr>
        <w:t xml:space="preserve"> ויזרקנו (רי"ו</w:t>
      </w:r>
      <w:r w:rsidRPr="005275DF">
        <w:rPr>
          <w:rFonts w:asciiTheme="minorBidi" w:hAnsiTheme="minorBidi"/>
          <w:sz w:val="18"/>
          <w:szCs w:val="18"/>
          <w:rtl/>
        </w:rPr>
        <w:t xml:space="preserve">). </w:t>
      </w:r>
      <w:r w:rsidRPr="005275DF">
        <w:rPr>
          <w:rFonts w:asciiTheme="minorBidi" w:hAnsiTheme="minorBidi"/>
          <w:rtl/>
        </w:rPr>
        <w:t>אבל כנה מותר להרגה</w:t>
      </w:r>
      <w:r w:rsidR="00E127D8">
        <w:rPr>
          <w:rFonts w:asciiTheme="minorBidi" w:hAnsiTheme="minorBidi" w:hint="cs"/>
          <w:rtl/>
        </w:rPr>
        <w:t>.</w:t>
      </w:r>
      <w:r w:rsidRPr="005275DF">
        <w:rPr>
          <w:rFonts w:asciiTheme="minorBidi" w:hAnsiTheme="minorBidi"/>
          <w:rtl/>
        </w:rPr>
        <w:t xml:space="preserve"> והמפלה בגדיו מכנים</w:t>
      </w:r>
      <w:r w:rsidR="005022B5" w:rsidRPr="005275DF">
        <w:rPr>
          <w:rFonts w:asciiTheme="minorBidi" w:hAnsiTheme="minorBidi"/>
          <w:rtl/>
        </w:rPr>
        <w:t xml:space="preserve"> לא יהרגם</w:t>
      </w:r>
      <w:r w:rsidR="00E127D8">
        <w:rPr>
          <w:rFonts w:asciiTheme="minorBidi" w:hAnsiTheme="minorBidi" w:hint="cs"/>
          <w:rtl/>
        </w:rPr>
        <w:t>,</w:t>
      </w:r>
      <w:r w:rsidR="005022B5" w:rsidRPr="005275DF">
        <w:rPr>
          <w:rFonts w:asciiTheme="minorBidi" w:hAnsiTheme="minorBidi"/>
          <w:rtl/>
        </w:rPr>
        <w:t xml:space="preserve"> אלא מו</w:t>
      </w:r>
      <w:r w:rsidRPr="005275DF">
        <w:rPr>
          <w:rFonts w:asciiTheme="minorBidi" w:hAnsiTheme="minorBidi"/>
          <w:rtl/>
        </w:rPr>
        <w:t>ללן בידו וזורקן</w:t>
      </w:r>
      <w:r w:rsidR="00DC781B" w:rsidRPr="005275DF">
        <w:rPr>
          <w:rStyle w:val="a9"/>
          <w:rFonts w:asciiTheme="minorBidi" w:hAnsiTheme="minorBidi"/>
          <w:rtl/>
        </w:rPr>
        <w:footnoteReference w:id="2495"/>
      </w:r>
      <w:r w:rsidR="00E127D8">
        <w:rPr>
          <w:rFonts w:asciiTheme="minorBidi" w:hAnsiTheme="minorBidi" w:hint="cs"/>
          <w:rtl/>
        </w:rPr>
        <w:t>.</w:t>
      </w:r>
      <w:r w:rsidRPr="005275DF">
        <w:rPr>
          <w:rFonts w:asciiTheme="minorBidi" w:hAnsiTheme="minorBidi"/>
          <w:rtl/>
        </w:rPr>
        <w:t xml:space="preserve"> אבל המפלה ראשו</w:t>
      </w:r>
      <w:r w:rsidR="00DC781B" w:rsidRPr="005275DF">
        <w:rPr>
          <w:rStyle w:val="a9"/>
          <w:rFonts w:asciiTheme="minorBidi" w:hAnsiTheme="minorBidi"/>
          <w:rtl/>
        </w:rPr>
        <w:footnoteReference w:id="2496"/>
      </w:r>
      <w:r w:rsidR="005022B5" w:rsidRPr="005275DF">
        <w:rPr>
          <w:rFonts w:asciiTheme="minorBidi" w:hAnsiTheme="minorBidi"/>
          <w:rtl/>
        </w:rPr>
        <w:t xml:space="preserve"> מותר להרגם. </w:t>
      </w:r>
    </w:p>
    <w:p w14:paraId="49CCF6AE" w14:textId="77777777" w:rsidR="001F354E" w:rsidRPr="005275DF" w:rsidRDefault="001F354E" w:rsidP="00434A6A">
      <w:pPr>
        <w:rPr>
          <w:rFonts w:asciiTheme="minorBidi" w:hAnsiTheme="minorBidi"/>
          <w:rtl/>
        </w:rPr>
      </w:pPr>
    </w:p>
    <w:p w14:paraId="57205F34" w14:textId="77777777" w:rsidR="005022B5" w:rsidRPr="005275DF" w:rsidRDefault="005022B5" w:rsidP="00434A6A">
      <w:pPr>
        <w:pStyle w:val="2"/>
        <w:rPr>
          <w:rFonts w:asciiTheme="minorBidi" w:hAnsiTheme="minorBidi" w:cstheme="minorBidi"/>
          <w:rtl/>
        </w:rPr>
      </w:pPr>
      <w:r w:rsidRPr="005275DF">
        <w:rPr>
          <w:rFonts w:asciiTheme="minorBidi" w:hAnsiTheme="minorBidi" w:cstheme="minorBidi"/>
          <w:rtl/>
        </w:rPr>
        <w:t>סעיף י</w:t>
      </w:r>
      <w:r w:rsidR="001F354E" w:rsidRPr="005275DF">
        <w:rPr>
          <w:rFonts w:asciiTheme="minorBidi" w:hAnsiTheme="minorBidi" w:cstheme="minorBidi"/>
          <w:rtl/>
        </w:rPr>
        <w:t>: הריגת חיה ורמש שמזיקים.</w:t>
      </w:r>
    </w:p>
    <w:p w14:paraId="0FF1409C" w14:textId="1E2988DF" w:rsidR="001F354E" w:rsidRDefault="00F7034A" w:rsidP="00434A6A">
      <w:pPr>
        <w:rPr>
          <w:rFonts w:asciiTheme="minorBidi" w:hAnsiTheme="minorBidi"/>
          <w:rtl/>
        </w:rPr>
      </w:pPr>
      <w:r w:rsidRPr="005275DF">
        <w:rPr>
          <w:rFonts w:asciiTheme="minorBidi" w:hAnsiTheme="minorBidi"/>
          <w:b/>
          <w:bCs/>
          <w:rtl/>
        </w:rPr>
        <w:t xml:space="preserve">שבת </w:t>
      </w:r>
      <w:r w:rsidR="0047329F">
        <w:rPr>
          <w:rFonts w:asciiTheme="minorBidi" w:hAnsiTheme="minorBidi" w:hint="cs"/>
          <w:b/>
          <w:bCs/>
          <w:sz w:val="16"/>
          <w:szCs w:val="16"/>
          <w:rtl/>
        </w:rPr>
        <w:t xml:space="preserve">(פ' כל כתבי) </w:t>
      </w:r>
      <w:r w:rsidRPr="005275DF">
        <w:rPr>
          <w:rFonts w:asciiTheme="minorBidi" w:hAnsiTheme="minorBidi"/>
          <w:b/>
          <w:bCs/>
          <w:rtl/>
        </w:rPr>
        <w:t xml:space="preserve">קכא ע"ב: </w:t>
      </w:r>
      <w:r w:rsidR="001F354E" w:rsidRPr="005275DF">
        <w:rPr>
          <w:rFonts w:asciiTheme="minorBidi" w:hAnsiTheme="minorBidi"/>
          <w:u w:val="single"/>
          <w:rtl/>
        </w:rPr>
        <w:t>אמר רבי יהושע בן לוי:</w:t>
      </w:r>
      <w:r w:rsidR="001F354E" w:rsidRPr="005275DF">
        <w:rPr>
          <w:rFonts w:asciiTheme="minorBidi" w:hAnsiTheme="minorBidi"/>
          <w:rtl/>
        </w:rPr>
        <w:t xml:space="preserve"> כל המזיקין</w:t>
      </w:r>
      <w:r w:rsidRPr="005275DF">
        <w:rPr>
          <w:rStyle w:val="a9"/>
          <w:rFonts w:asciiTheme="minorBidi" w:hAnsiTheme="minorBidi"/>
          <w:rtl/>
        </w:rPr>
        <w:footnoteReference w:id="2497"/>
      </w:r>
      <w:r w:rsidR="001F354E" w:rsidRPr="005275DF">
        <w:rPr>
          <w:rFonts w:asciiTheme="minorBidi" w:hAnsiTheme="minorBidi"/>
          <w:rtl/>
        </w:rPr>
        <w:t xml:space="preserve"> נהרגין בשבת</w:t>
      </w:r>
      <w:r w:rsidRPr="005275DF">
        <w:rPr>
          <w:rStyle w:val="a9"/>
          <w:rFonts w:asciiTheme="minorBidi" w:hAnsiTheme="minorBidi"/>
          <w:rtl/>
        </w:rPr>
        <w:footnoteReference w:id="2498"/>
      </w:r>
      <w:r w:rsidR="001F354E" w:rsidRPr="005275DF">
        <w:rPr>
          <w:rFonts w:asciiTheme="minorBidi" w:hAnsiTheme="minorBidi"/>
          <w:rtl/>
        </w:rPr>
        <w:t xml:space="preserve">. </w:t>
      </w:r>
      <w:r w:rsidR="001F354E" w:rsidRPr="005275DF">
        <w:rPr>
          <w:rFonts w:asciiTheme="minorBidi" w:hAnsiTheme="minorBidi"/>
          <w:u w:val="single"/>
          <w:rtl/>
        </w:rPr>
        <w:t>מתיב רב יוסף</w:t>
      </w:r>
      <w:r w:rsidR="001F354E" w:rsidRPr="005275DF">
        <w:rPr>
          <w:rFonts w:asciiTheme="minorBidi" w:hAnsiTheme="minorBidi"/>
          <w:rtl/>
        </w:rPr>
        <w:t>: חמשה נהרגין בשבת</w:t>
      </w:r>
      <w:r w:rsidRPr="005275DF">
        <w:rPr>
          <w:rStyle w:val="a9"/>
          <w:rFonts w:asciiTheme="minorBidi" w:hAnsiTheme="minorBidi"/>
          <w:rtl/>
        </w:rPr>
        <w:footnoteReference w:id="2499"/>
      </w:r>
      <w:r w:rsidR="001F354E" w:rsidRPr="005275DF">
        <w:rPr>
          <w:rFonts w:asciiTheme="minorBidi" w:hAnsiTheme="minorBidi"/>
          <w:rtl/>
        </w:rPr>
        <w:t>, ואלו הן: זבוב שבארץ מצרים, וצירעה שבנינוה, ועקרב שבחדייב, ונחש שבארץ ישראל, וכלב שוטה בכל מקום. מני? אילימא רבי יהודה - הא אמר מלאכה שאינה צריכה לגופה חייב עליה</w:t>
      </w:r>
      <w:r w:rsidRPr="005275DF">
        <w:rPr>
          <w:rStyle w:val="a9"/>
          <w:rFonts w:asciiTheme="minorBidi" w:hAnsiTheme="minorBidi"/>
          <w:rtl/>
        </w:rPr>
        <w:footnoteReference w:id="2500"/>
      </w:r>
      <w:r w:rsidR="001F354E" w:rsidRPr="005275DF">
        <w:rPr>
          <w:rFonts w:asciiTheme="minorBidi" w:hAnsiTheme="minorBidi"/>
          <w:rtl/>
        </w:rPr>
        <w:t>! אלא לאו - רבי שמעון, והני הוא דשרי, אחריני לא</w:t>
      </w:r>
      <w:r w:rsidRPr="005275DF">
        <w:rPr>
          <w:rFonts w:asciiTheme="minorBidi" w:hAnsiTheme="minorBidi"/>
          <w:rtl/>
        </w:rPr>
        <w:t>!</w:t>
      </w:r>
      <w:r w:rsidR="001F354E" w:rsidRPr="005275DF">
        <w:rPr>
          <w:rFonts w:asciiTheme="minorBidi" w:hAnsiTheme="minorBidi"/>
          <w:rtl/>
        </w:rPr>
        <w:t xml:space="preserve"> </w:t>
      </w:r>
      <w:r w:rsidR="001F354E" w:rsidRPr="005275DF">
        <w:rPr>
          <w:rFonts w:asciiTheme="minorBidi" w:hAnsiTheme="minorBidi"/>
          <w:u w:val="single"/>
          <w:rtl/>
        </w:rPr>
        <w:t>אמר רבי ירמיה</w:t>
      </w:r>
      <w:r w:rsidR="001F354E" w:rsidRPr="005275DF">
        <w:rPr>
          <w:rFonts w:asciiTheme="minorBidi" w:hAnsiTheme="minorBidi"/>
          <w:rtl/>
        </w:rPr>
        <w:t>: ומאן נימא לן דהא מתרצתא היא, דילמא משבשתא היא</w:t>
      </w:r>
      <w:r w:rsidRPr="005275DF">
        <w:rPr>
          <w:rStyle w:val="a9"/>
          <w:rFonts w:asciiTheme="minorBidi" w:hAnsiTheme="minorBidi"/>
          <w:rtl/>
        </w:rPr>
        <w:footnoteReference w:id="2501"/>
      </w:r>
      <w:r w:rsidRPr="005275DF">
        <w:rPr>
          <w:rFonts w:asciiTheme="minorBidi" w:hAnsiTheme="minorBidi"/>
          <w:rtl/>
        </w:rPr>
        <w:t xml:space="preserve">? </w:t>
      </w:r>
      <w:r w:rsidR="001F354E" w:rsidRPr="005275DF">
        <w:rPr>
          <w:rFonts w:asciiTheme="minorBidi" w:hAnsiTheme="minorBidi"/>
          <w:u w:val="single"/>
          <w:rtl/>
        </w:rPr>
        <w:t>אמר רב יוסף</w:t>
      </w:r>
      <w:r w:rsidR="001F354E" w:rsidRPr="005275DF">
        <w:rPr>
          <w:rFonts w:asciiTheme="minorBidi" w:hAnsiTheme="minorBidi"/>
          <w:rtl/>
        </w:rPr>
        <w:t>: אנא מתנינא לה ואותיבנא לה</w:t>
      </w:r>
      <w:r w:rsidR="004A5991" w:rsidRPr="005275DF">
        <w:rPr>
          <w:rStyle w:val="a9"/>
          <w:rFonts w:asciiTheme="minorBidi" w:hAnsiTheme="minorBidi"/>
          <w:rtl/>
        </w:rPr>
        <w:footnoteReference w:id="2502"/>
      </w:r>
      <w:r w:rsidR="001F354E" w:rsidRPr="005275DF">
        <w:rPr>
          <w:rFonts w:asciiTheme="minorBidi" w:hAnsiTheme="minorBidi"/>
          <w:rtl/>
        </w:rPr>
        <w:t>, ואנא מתריצנא לה</w:t>
      </w:r>
      <w:r w:rsidRPr="005275DF">
        <w:rPr>
          <w:rStyle w:val="a9"/>
          <w:rFonts w:asciiTheme="minorBidi" w:hAnsiTheme="minorBidi"/>
          <w:rtl/>
        </w:rPr>
        <w:footnoteReference w:id="2503"/>
      </w:r>
      <w:r w:rsidR="001F354E" w:rsidRPr="005275DF">
        <w:rPr>
          <w:rFonts w:asciiTheme="minorBidi" w:hAnsiTheme="minorBidi"/>
          <w:rtl/>
        </w:rPr>
        <w:t xml:space="preserve"> - ברצו אחריו ודברי הכל. </w:t>
      </w:r>
    </w:p>
    <w:p w14:paraId="63FD2E35" w14:textId="46B23A5A" w:rsidR="00497229" w:rsidRPr="001F2ABB" w:rsidRDefault="001F2ABB" w:rsidP="00434A6A">
      <w:pPr>
        <w:rPr>
          <w:rFonts w:asciiTheme="minorBidi" w:hAnsiTheme="minorBidi"/>
          <w:u w:val="single"/>
          <w:rtl/>
        </w:rPr>
      </w:pPr>
      <w:r w:rsidRPr="001F2ABB">
        <w:rPr>
          <w:rFonts w:asciiTheme="minorBidi" w:hAnsiTheme="minorBidi" w:hint="cs"/>
          <w:u w:val="single"/>
          <w:rtl/>
        </w:rPr>
        <w:t>כיצד יש לפרש את את דברי ריב"ל והברייתא:</w:t>
      </w:r>
    </w:p>
    <w:p w14:paraId="31B76918" w14:textId="77178B94" w:rsidR="00497229" w:rsidRDefault="00AB6686" w:rsidP="00434A6A">
      <w:pPr>
        <w:pStyle w:val="aa"/>
        <w:numPr>
          <w:ilvl w:val="0"/>
          <w:numId w:val="30"/>
        </w:numPr>
      </w:pPr>
      <w:r>
        <w:rPr>
          <w:rFonts w:asciiTheme="minorBidi" w:hAnsiTheme="minorBidi" w:cs="Arial" w:hint="cs"/>
          <w:rtl/>
        </w:rPr>
        <w:t>רש"י</w:t>
      </w:r>
      <w:r w:rsidR="00497229">
        <w:rPr>
          <w:rFonts w:asciiTheme="minorBidi" w:hAnsiTheme="minorBidi" w:cs="Arial" w:hint="cs"/>
          <w:rtl/>
        </w:rPr>
        <w:t xml:space="preserve">- </w:t>
      </w:r>
      <w:r w:rsidR="00497229" w:rsidRPr="00AF07EB">
        <w:rPr>
          <w:rFonts w:asciiTheme="minorBidi" w:hAnsiTheme="minorBidi" w:cs="Arial"/>
          <w:rtl/>
        </w:rPr>
        <w:t>רבי יהושע בן לוי ברצין אחריו והוי פקוח נפש</w:t>
      </w:r>
      <w:r w:rsidR="00497229">
        <w:rPr>
          <w:rFonts w:asciiTheme="minorBidi" w:hAnsiTheme="minorBidi" w:cs="Arial" w:hint="cs"/>
          <w:rtl/>
        </w:rPr>
        <w:t>,</w:t>
      </w:r>
      <w:r w:rsidR="00497229" w:rsidRPr="00AF07EB">
        <w:rPr>
          <w:rFonts w:asciiTheme="minorBidi" w:hAnsiTheme="minorBidi" w:cs="Arial"/>
          <w:rtl/>
        </w:rPr>
        <w:t xml:space="preserve"> וברייתא באין רצין וכר"ש</w:t>
      </w:r>
      <w:r>
        <w:rPr>
          <w:rStyle w:val="a9"/>
          <w:rFonts w:asciiTheme="minorBidi" w:hAnsiTheme="minorBidi" w:cs="Arial"/>
          <w:rtl/>
        </w:rPr>
        <w:footnoteReference w:id="2504"/>
      </w:r>
      <w:r w:rsidR="00497229">
        <w:rPr>
          <w:rFonts w:asciiTheme="minorBidi" w:hAnsiTheme="minorBidi" w:cs="Arial" w:hint="cs"/>
          <w:sz w:val="16"/>
          <w:szCs w:val="16"/>
          <w:rtl/>
        </w:rPr>
        <w:t xml:space="preserve"> (ל' התוס' בש</w:t>
      </w:r>
      <w:r w:rsidR="00D32D64">
        <w:rPr>
          <w:rFonts w:asciiTheme="minorBidi" w:hAnsiTheme="minorBidi" w:cs="Arial" w:hint="cs"/>
          <w:sz w:val="16"/>
          <w:szCs w:val="16"/>
          <w:rtl/>
        </w:rPr>
        <w:t>ם רש"י</w:t>
      </w:r>
      <w:r w:rsidR="00497229">
        <w:rPr>
          <w:rFonts w:asciiTheme="minorBidi" w:hAnsiTheme="minorBidi" w:cs="Arial" w:hint="cs"/>
          <w:sz w:val="16"/>
          <w:szCs w:val="16"/>
          <w:rtl/>
        </w:rPr>
        <w:t>)</w:t>
      </w:r>
      <w:r w:rsidR="00497229">
        <w:rPr>
          <w:rFonts w:asciiTheme="minorBidi" w:hAnsiTheme="minorBidi" w:cs="Arial" w:hint="cs"/>
          <w:rtl/>
        </w:rPr>
        <w:t>.</w:t>
      </w:r>
      <w:r w:rsidR="00497229" w:rsidRPr="00AF07EB">
        <w:rPr>
          <w:rFonts w:asciiTheme="minorBidi" w:hAnsiTheme="minorBidi" w:cs="Arial"/>
          <w:rtl/>
        </w:rPr>
        <w:t xml:space="preserve"> </w:t>
      </w:r>
    </w:p>
    <w:p w14:paraId="644787F9" w14:textId="0AB5C28F" w:rsidR="00497229" w:rsidRPr="00497229" w:rsidRDefault="00497229" w:rsidP="00434A6A">
      <w:pPr>
        <w:pStyle w:val="aa"/>
        <w:numPr>
          <w:ilvl w:val="0"/>
          <w:numId w:val="30"/>
        </w:numPr>
      </w:pPr>
      <w:r w:rsidRPr="00351DFA">
        <w:rPr>
          <w:rFonts w:asciiTheme="minorBidi" w:hAnsiTheme="minorBidi" w:cs="Arial"/>
          <w:rtl/>
        </w:rPr>
        <w:t>תוס</w:t>
      </w:r>
      <w:r>
        <w:rPr>
          <w:rFonts w:asciiTheme="minorBidi" w:hAnsiTheme="minorBidi" w:cs="Arial" w:hint="cs"/>
          <w:rtl/>
        </w:rPr>
        <w:t>'</w:t>
      </w:r>
      <w:r w:rsidRPr="00351DFA">
        <w:rPr>
          <w:rFonts w:asciiTheme="minorBidi" w:hAnsiTheme="minorBidi" w:cs="Arial"/>
          <w:rtl/>
        </w:rPr>
        <w:t xml:space="preserve"> </w:t>
      </w:r>
      <w:r w:rsidRPr="00497229">
        <w:rPr>
          <w:rFonts w:asciiTheme="minorBidi" w:hAnsiTheme="minorBidi" w:cs="Arial"/>
          <w:sz w:val="16"/>
          <w:szCs w:val="16"/>
          <w:rtl/>
        </w:rPr>
        <w:t>(שם ד"ה ברצין)</w:t>
      </w:r>
      <w:r>
        <w:rPr>
          <w:rFonts w:asciiTheme="minorBidi" w:hAnsiTheme="minorBidi" w:cs="Arial" w:hint="cs"/>
          <w:rtl/>
        </w:rPr>
        <w:t xml:space="preserve">- </w:t>
      </w:r>
      <w:r w:rsidRPr="00351DFA">
        <w:rPr>
          <w:rFonts w:asciiTheme="minorBidi" w:hAnsiTheme="minorBidi" w:cs="Arial"/>
          <w:rtl/>
        </w:rPr>
        <w:t>נראה לר"י לפרש דברייתא ברצין אחריו ודברי הכל</w:t>
      </w:r>
      <w:r>
        <w:rPr>
          <w:rStyle w:val="a9"/>
          <w:rFonts w:asciiTheme="minorBidi" w:hAnsiTheme="minorBidi" w:cs="Arial"/>
          <w:rtl/>
        </w:rPr>
        <w:footnoteReference w:id="2505"/>
      </w:r>
      <w:r>
        <w:rPr>
          <w:rFonts w:asciiTheme="minorBidi" w:hAnsiTheme="minorBidi" w:cs="Arial" w:hint="cs"/>
          <w:rtl/>
        </w:rPr>
        <w:t>...</w:t>
      </w:r>
      <w:r w:rsidRPr="00351DFA">
        <w:rPr>
          <w:rFonts w:asciiTheme="minorBidi" w:hAnsiTheme="minorBidi" w:cs="Arial"/>
          <w:rtl/>
        </w:rPr>
        <w:t xml:space="preserve"> ורבי יהושע בן לוי כרבי שמעון דשרי שאר אפילו באין רצין אחריו</w:t>
      </w:r>
      <w:r>
        <w:rPr>
          <w:rStyle w:val="a9"/>
          <w:rFonts w:asciiTheme="minorBidi" w:hAnsiTheme="minorBidi" w:cs="Arial"/>
          <w:rtl/>
        </w:rPr>
        <w:footnoteReference w:id="2506"/>
      </w:r>
      <w:r>
        <w:rPr>
          <w:rFonts w:asciiTheme="minorBidi" w:hAnsiTheme="minorBidi" w:cs="Arial" w:hint="cs"/>
          <w:rtl/>
        </w:rPr>
        <w:t>.</w:t>
      </w:r>
    </w:p>
    <w:p w14:paraId="326A15E5" w14:textId="6BFEC6FB" w:rsidR="00497229" w:rsidRPr="009B052B" w:rsidRDefault="009B052B" w:rsidP="00434A6A">
      <w:pPr>
        <w:rPr>
          <w:u w:val="single"/>
          <w:rtl/>
        </w:rPr>
      </w:pPr>
      <w:r w:rsidRPr="009B052B">
        <w:rPr>
          <w:rFonts w:hint="cs"/>
          <w:u w:val="single"/>
          <w:rtl/>
        </w:rPr>
        <w:t>אלו חיות אפשר להרוג בכל מצב, ואלו אפשר להרוג רק כשהן רודפות</w:t>
      </w:r>
      <w:r>
        <w:rPr>
          <w:rFonts w:hint="cs"/>
          <w:u w:val="single"/>
          <w:rtl/>
        </w:rPr>
        <w:t xml:space="preserve"> אחריו</w:t>
      </w:r>
      <w:r w:rsidRPr="009B052B">
        <w:rPr>
          <w:rFonts w:hint="cs"/>
          <w:u w:val="single"/>
          <w:rtl/>
        </w:rPr>
        <w:t>:</w:t>
      </w:r>
    </w:p>
    <w:p w14:paraId="691E789C" w14:textId="37E26B91" w:rsidR="00AB6686" w:rsidRDefault="00F332E8" w:rsidP="00434A6A">
      <w:pPr>
        <w:pStyle w:val="aa"/>
        <w:numPr>
          <w:ilvl w:val="0"/>
          <w:numId w:val="30"/>
        </w:numPr>
        <w:rPr>
          <w:rtl/>
        </w:rPr>
      </w:pPr>
      <w:r>
        <w:rPr>
          <w:rFonts w:cs="Arial" w:hint="cs"/>
          <w:rtl/>
        </w:rPr>
        <w:t xml:space="preserve">טור- </w:t>
      </w:r>
      <w:r>
        <w:rPr>
          <w:rFonts w:cs="Arial"/>
          <w:rtl/>
        </w:rPr>
        <w:t>ה' נהרגין בכל ענין שמועדין להזיק</w:t>
      </w:r>
      <w:r w:rsidR="001F5D84">
        <w:rPr>
          <w:rFonts w:cs="Arial" w:hint="cs"/>
          <w:rtl/>
        </w:rPr>
        <w:t>,</w:t>
      </w:r>
      <w:r>
        <w:rPr>
          <w:rFonts w:cs="Arial"/>
          <w:rtl/>
        </w:rPr>
        <w:t xml:space="preserve"> זבוב שבארץ מצרים</w:t>
      </w:r>
      <w:r w:rsidR="001F5D84">
        <w:rPr>
          <w:rFonts w:cs="Arial" w:hint="cs"/>
          <w:rtl/>
        </w:rPr>
        <w:t>,</w:t>
      </w:r>
      <w:r>
        <w:rPr>
          <w:rFonts w:cs="Arial"/>
          <w:rtl/>
        </w:rPr>
        <w:t xml:space="preserve"> וצרעה שבננוה</w:t>
      </w:r>
      <w:r w:rsidR="001F5D84">
        <w:rPr>
          <w:rFonts w:cs="Arial" w:hint="cs"/>
          <w:rtl/>
        </w:rPr>
        <w:t>,</w:t>
      </w:r>
      <w:r>
        <w:rPr>
          <w:rFonts w:cs="Arial"/>
          <w:rtl/>
        </w:rPr>
        <w:t xml:space="preserve"> עקרב שבדיב</w:t>
      </w:r>
      <w:r w:rsidR="001F5D84">
        <w:rPr>
          <w:rFonts w:cs="Arial" w:hint="cs"/>
          <w:rtl/>
        </w:rPr>
        <w:t>,</w:t>
      </w:r>
      <w:r>
        <w:rPr>
          <w:rFonts w:cs="Arial"/>
          <w:rtl/>
        </w:rPr>
        <w:t xml:space="preserve"> ונחש שבא"י</w:t>
      </w:r>
      <w:r w:rsidR="001F5D84">
        <w:rPr>
          <w:rFonts w:cs="Arial" w:hint="cs"/>
          <w:rtl/>
        </w:rPr>
        <w:t>,</w:t>
      </w:r>
      <w:r>
        <w:rPr>
          <w:rFonts w:cs="Arial"/>
          <w:rtl/>
        </w:rPr>
        <w:t xml:space="preserve"> וכלב שוטה בכ</w:t>
      </w:r>
      <w:r w:rsidR="001F5D84">
        <w:rPr>
          <w:rFonts w:cs="Arial" w:hint="cs"/>
          <w:rtl/>
        </w:rPr>
        <w:t xml:space="preserve">ל </w:t>
      </w:r>
      <w:r>
        <w:rPr>
          <w:rFonts w:cs="Arial"/>
          <w:rtl/>
        </w:rPr>
        <w:t>מ</w:t>
      </w:r>
      <w:r w:rsidR="001F5D84">
        <w:rPr>
          <w:rFonts w:cs="Arial" w:hint="cs"/>
          <w:rtl/>
        </w:rPr>
        <w:t>קום</w:t>
      </w:r>
      <w:r w:rsidR="009B052B">
        <w:rPr>
          <w:rFonts w:cs="Arial" w:hint="cs"/>
          <w:rtl/>
        </w:rPr>
        <w:t>.</w:t>
      </w:r>
      <w:r>
        <w:rPr>
          <w:rFonts w:cs="Arial"/>
          <w:rtl/>
        </w:rPr>
        <w:t xml:space="preserve"> ושאר מזיקין</w:t>
      </w:r>
      <w:r w:rsidR="001F5D84">
        <w:rPr>
          <w:rFonts w:cs="Arial" w:hint="cs"/>
          <w:rtl/>
        </w:rPr>
        <w:t>,</w:t>
      </w:r>
      <w:r>
        <w:rPr>
          <w:rFonts w:cs="Arial"/>
          <w:rtl/>
        </w:rPr>
        <w:t xml:space="preserve"> אם רצין אחריו </w:t>
      </w:r>
      <w:r w:rsidR="001F5D84">
        <w:rPr>
          <w:rFonts w:cs="Arial" w:hint="cs"/>
          <w:rtl/>
        </w:rPr>
        <w:t xml:space="preserve">- </w:t>
      </w:r>
      <w:r>
        <w:rPr>
          <w:rFonts w:cs="Arial"/>
          <w:rtl/>
        </w:rPr>
        <w:t>מותר להורגן</w:t>
      </w:r>
      <w:r w:rsidR="001F5D84">
        <w:rPr>
          <w:rFonts w:cs="Arial" w:hint="cs"/>
          <w:rtl/>
        </w:rPr>
        <w:t>,</w:t>
      </w:r>
      <w:r>
        <w:rPr>
          <w:rFonts w:cs="Arial"/>
          <w:rtl/>
        </w:rPr>
        <w:t xml:space="preserve"> ואם לאו </w:t>
      </w:r>
      <w:r w:rsidR="001F5D84">
        <w:rPr>
          <w:rFonts w:cs="Arial" w:hint="cs"/>
          <w:rtl/>
        </w:rPr>
        <w:t xml:space="preserve">- </w:t>
      </w:r>
      <w:r>
        <w:rPr>
          <w:rFonts w:cs="Arial"/>
          <w:rtl/>
        </w:rPr>
        <w:t>אסור להורגן</w:t>
      </w:r>
      <w:r w:rsidR="001F5D84">
        <w:rPr>
          <w:rFonts w:cs="Arial" w:hint="cs"/>
          <w:rtl/>
        </w:rPr>
        <w:t>.</w:t>
      </w:r>
      <w:r>
        <w:rPr>
          <w:rFonts w:cs="Arial"/>
          <w:rtl/>
        </w:rPr>
        <w:t xml:space="preserve"> </w:t>
      </w:r>
    </w:p>
    <w:p w14:paraId="7B2A4E2D" w14:textId="044558D8" w:rsidR="007C5716" w:rsidRPr="007C5716" w:rsidRDefault="00BF3D93" w:rsidP="00434A6A">
      <w:pPr>
        <w:pStyle w:val="aa"/>
        <w:numPr>
          <w:ilvl w:val="0"/>
          <w:numId w:val="30"/>
        </w:numPr>
      </w:pPr>
      <w:r>
        <w:rPr>
          <w:rFonts w:cs="Arial" w:hint="cs"/>
          <w:rtl/>
        </w:rPr>
        <w:t xml:space="preserve">רמב"ם </w:t>
      </w:r>
      <w:r>
        <w:rPr>
          <w:rFonts w:cs="Arial" w:hint="cs"/>
          <w:sz w:val="16"/>
          <w:szCs w:val="16"/>
          <w:rtl/>
        </w:rPr>
        <w:t>(פי"א ה"ד)</w:t>
      </w:r>
      <w:r>
        <w:rPr>
          <w:rFonts w:cs="Arial" w:hint="cs"/>
          <w:rtl/>
        </w:rPr>
        <w:t xml:space="preserve">- </w:t>
      </w:r>
      <w:r w:rsidR="00AB6686" w:rsidRPr="00AB6686">
        <w:rPr>
          <w:rFonts w:cs="Arial"/>
          <w:rtl/>
        </w:rPr>
        <w:t>חיה ורמש שהן נושכין וממיתין ודאי</w:t>
      </w:r>
      <w:r>
        <w:rPr>
          <w:rFonts w:cs="Arial" w:hint="cs"/>
          <w:rtl/>
        </w:rPr>
        <w:t>,</w:t>
      </w:r>
      <w:r w:rsidR="00AB6686" w:rsidRPr="00AB6686">
        <w:rPr>
          <w:rFonts w:cs="Arial"/>
          <w:rtl/>
        </w:rPr>
        <w:t xml:space="preserve"> כגון</w:t>
      </w:r>
      <w:r>
        <w:rPr>
          <w:rStyle w:val="a9"/>
          <w:rFonts w:cs="Arial"/>
          <w:rtl/>
        </w:rPr>
        <w:footnoteReference w:id="2507"/>
      </w:r>
      <w:r w:rsidR="00AB6686" w:rsidRPr="00AB6686">
        <w:rPr>
          <w:rFonts w:cs="Arial"/>
          <w:rtl/>
        </w:rPr>
        <w:t xml:space="preserve"> זבוב שבמצרים</w:t>
      </w:r>
      <w:r>
        <w:rPr>
          <w:rFonts w:cs="Arial" w:hint="cs"/>
          <w:rtl/>
        </w:rPr>
        <w:t>,</w:t>
      </w:r>
      <w:r w:rsidR="00AB6686" w:rsidRPr="00AB6686">
        <w:rPr>
          <w:rFonts w:cs="Arial"/>
          <w:rtl/>
        </w:rPr>
        <w:t xml:space="preserve"> וצרעה שבנינוה</w:t>
      </w:r>
      <w:r>
        <w:rPr>
          <w:rFonts w:cs="Arial" w:hint="cs"/>
          <w:rtl/>
        </w:rPr>
        <w:t>,</w:t>
      </w:r>
      <w:r w:rsidR="00AB6686" w:rsidRPr="00AB6686">
        <w:rPr>
          <w:rFonts w:cs="Arial"/>
          <w:rtl/>
        </w:rPr>
        <w:t xml:space="preserve"> ועקרב שבהדיב</w:t>
      </w:r>
      <w:r>
        <w:rPr>
          <w:rFonts w:cs="Arial" w:hint="cs"/>
          <w:rtl/>
        </w:rPr>
        <w:t>,</w:t>
      </w:r>
      <w:r w:rsidR="00AB6686" w:rsidRPr="00AB6686">
        <w:rPr>
          <w:rFonts w:cs="Arial"/>
          <w:rtl/>
        </w:rPr>
        <w:t xml:space="preserve"> ונחש שבא"י</w:t>
      </w:r>
      <w:r>
        <w:rPr>
          <w:rFonts w:cs="Arial" w:hint="cs"/>
          <w:rtl/>
        </w:rPr>
        <w:t>,</w:t>
      </w:r>
      <w:r w:rsidR="00AB6686" w:rsidRPr="00AB6686">
        <w:rPr>
          <w:rFonts w:cs="Arial"/>
          <w:rtl/>
        </w:rPr>
        <w:t xml:space="preserve"> וכלב שוטה בכל מקום </w:t>
      </w:r>
      <w:r>
        <w:rPr>
          <w:rFonts w:cs="Arial" w:hint="cs"/>
          <w:rtl/>
        </w:rPr>
        <w:t xml:space="preserve">- </w:t>
      </w:r>
      <w:r w:rsidR="00AB6686" w:rsidRPr="00AB6686">
        <w:rPr>
          <w:rFonts w:cs="Arial"/>
          <w:rtl/>
        </w:rPr>
        <w:t>מותר להרגן בשבת כשיראו</w:t>
      </w:r>
      <w:r>
        <w:rPr>
          <w:rFonts w:cs="Arial" w:hint="cs"/>
          <w:rtl/>
        </w:rPr>
        <w:t>.</w:t>
      </w:r>
      <w:r w:rsidR="00AB6686" w:rsidRPr="00AB6686">
        <w:rPr>
          <w:rFonts w:cs="Arial"/>
          <w:rtl/>
        </w:rPr>
        <w:t xml:space="preserve"> ושאר כל המזיקין</w:t>
      </w:r>
      <w:r>
        <w:rPr>
          <w:rFonts w:cs="Arial" w:hint="cs"/>
          <w:rtl/>
        </w:rPr>
        <w:t>,</w:t>
      </w:r>
      <w:r w:rsidR="00AB6686" w:rsidRPr="00AB6686">
        <w:rPr>
          <w:rFonts w:cs="Arial"/>
          <w:rtl/>
        </w:rPr>
        <w:t xml:space="preserve"> אם היו רצין אחריו </w:t>
      </w:r>
      <w:r>
        <w:rPr>
          <w:rFonts w:cs="Arial" w:hint="cs"/>
          <w:rtl/>
        </w:rPr>
        <w:t xml:space="preserve">- </w:t>
      </w:r>
      <w:r w:rsidR="00AB6686" w:rsidRPr="00AB6686">
        <w:rPr>
          <w:rFonts w:cs="Arial"/>
          <w:rtl/>
        </w:rPr>
        <w:t>מותר להרגן</w:t>
      </w:r>
      <w:r>
        <w:rPr>
          <w:rFonts w:cs="Arial" w:hint="cs"/>
          <w:rtl/>
        </w:rPr>
        <w:t>.</w:t>
      </w:r>
      <w:r w:rsidR="00AB6686" w:rsidRPr="00AB6686">
        <w:rPr>
          <w:rFonts w:cs="Arial"/>
          <w:rtl/>
        </w:rPr>
        <w:t xml:space="preserve"> ואם היו יושבין במקומן או בורחין מלפניו </w:t>
      </w:r>
      <w:r>
        <w:rPr>
          <w:rFonts w:cs="Arial" w:hint="cs"/>
          <w:rtl/>
        </w:rPr>
        <w:t xml:space="preserve">- </w:t>
      </w:r>
      <w:r w:rsidR="00AB6686" w:rsidRPr="00AB6686">
        <w:rPr>
          <w:rFonts w:cs="Arial"/>
          <w:rtl/>
        </w:rPr>
        <w:t>אסור להרגן</w:t>
      </w:r>
      <w:r>
        <w:rPr>
          <w:rFonts w:cs="Arial" w:hint="cs"/>
          <w:rtl/>
        </w:rPr>
        <w:t>.</w:t>
      </w:r>
      <w:r w:rsidR="00AB6686" w:rsidRPr="00AB6686">
        <w:rPr>
          <w:rFonts w:cs="Arial"/>
          <w:rtl/>
        </w:rPr>
        <w:t xml:space="preserve"> </w:t>
      </w:r>
    </w:p>
    <w:p w14:paraId="1793D477" w14:textId="1707278F" w:rsidR="00497229" w:rsidRDefault="00497229" w:rsidP="00434A6A">
      <w:pPr>
        <w:rPr>
          <w:rFonts w:asciiTheme="minorBidi" w:hAnsiTheme="minorBidi" w:cs="Arial"/>
          <w:rtl/>
        </w:rPr>
      </w:pPr>
      <w:r w:rsidRPr="005275DF">
        <w:rPr>
          <w:rFonts w:asciiTheme="minorBidi" w:hAnsiTheme="minorBidi"/>
          <w:b/>
          <w:bCs/>
          <w:rtl/>
        </w:rPr>
        <w:t xml:space="preserve">שבת </w:t>
      </w:r>
      <w:r>
        <w:rPr>
          <w:rFonts w:asciiTheme="minorBidi" w:hAnsiTheme="minorBidi" w:hint="cs"/>
          <w:b/>
          <w:bCs/>
          <w:sz w:val="16"/>
          <w:szCs w:val="16"/>
          <w:rtl/>
        </w:rPr>
        <w:t xml:space="preserve">(פ' כל כתבי) </w:t>
      </w:r>
      <w:r w:rsidRPr="005275DF">
        <w:rPr>
          <w:rFonts w:asciiTheme="minorBidi" w:hAnsiTheme="minorBidi"/>
          <w:b/>
          <w:bCs/>
          <w:rtl/>
        </w:rPr>
        <w:t>קכא ע"ב:</w:t>
      </w:r>
      <w:r>
        <w:rPr>
          <w:rFonts w:asciiTheme="minorBidi" w:hAnsiTheme="minorBidi" w:hint="cs"/>
          <w:b/>
          <w:bCs/>
          <w:rtl/>
        </w:rPr>
        <w:t xml:space="preserve"> </w:t>
      </w:r>
      <w:r w:rsidRPr="005275DF">
        <w:rPr>
          <w:rFonts w:asciiTheme="minorBidi" w:hAnsiTheme="minorBidi"/>
          <w:u w:val="single"/>
          <w:rtl/>
        </w:rPr>
        <w:t>בעו מיניה מרבי ינאי</w:t>
      </w:r>
      <w:r w:rsidRPr="005275DF">
        <w:rPr>
          <w:rFonts w:asciiTheme="minorBidi" w:hAnsiTheme="minorBidi"/>
          <w:rtl/>
        </w:rPr>
        <w:t>: מהו להרוג נחשים ועקרבים</w:t>
      </w:r>
      <w:r w:rsidRPr="005275DF">
        <w:rPr>
          <w:rStyle w:val="a9"/>
          <w:rFonts w:asciiTheme="minorBidi" w:hAnsiTheme="minorBidi"/>
          <w:rtl/>
        </w:rPr>
        <w:footnoteReference w:id="2508"/>
      </w:r>
      <w:r w:rsidRPr="005275DF">
        <w:rPr>
          <w:rFonts w:asciiTheme="minorBidi" w:hAnsiTheme="minorBidi"/>
          <w:rtl/>
        </w:rPr>
        <w:t xml:space="preserve"> בשבת? אמר להו: צירעה אני הורג</w:t>
      </w:r>
      <w:r>
        <w:rPr>
          <w:rStyle w:val="a9"/>
          <w:rFonts w:asciiTheme="minorBidi" w:hAnsiTheme="minorBidi"/>
          <w:rtl/>
        </w:rPr>
        <w:footnoteReference w:id="2509"/>
      </w:r>
      <w:r w:rsidRPr="005275DF">
        <w:rPr>
          <w:rFonts w:asciiTheme="minorBidi" w:hAnsiTheme="minorBidi"/>
          <w:rtl/>
        </w:rPr>
        <w:t xml:space="preserve">, נחש ועקרב לא כל שכן? דילמא לפי תומו. </w:t>
      </w:r>
      <w:r w:rsidRPr="005275DF">
        <w:rPr>
          <w:rFonts w:asciiTheme="minorBidi" w:hAnsiTheme="minorBidi"/>
          <w:u w:val="single"/>
          <w:rtl/>
        </w:rPr>
        <w:t>דאמר רב יהודה</w:t>
      </w:r>
      <w:r w:rsidRPr="005275DF">
        <w:rPr>
          <w:rFonts w:asciiTheme="minorBidi" w:hAnsiTheme="minorBidi"/>
          <w:rtl/>
        </w:rPr>
        <w:t xml:space="preserve">: רוק דורסו לפי תומו. </w:t>
      </w:r>
      <w:r w:rsidRPr="005275DF">
        <w:rPr>
          <w:rFonts w:asciiTheme="minorBidi" w:hAnsiTheme="minorBidi"/>
          <w:u w:val="single"/>
          <w:rtl/>
        </w:rPr>
        <w:t>ואמר רב ששת</w:t>
      </w:r>
      <w:r w:rsidRPr="005275DF">
        <w:rPr>
          <w:rFonts w:asciiTheme="minorBidi" w:hAnsiTheme="minorBidi"/>
          <w:rtl/>
        </w:rPr>
        <w:t xml:space="preserve">: נחש דורסו לפי תומו. </w:t>
      </w:r>
      <w:r w:rsidRPr="005275DF">
        <w:rPr>
          <w:rFonts w:asciiTheme="minorBidi" w:hAnsiTheme="minorBidi"/>
          <w:u w:val="single"/>
          <w:rtl/>
        </w:rPr>
        <w:t>ואמר רב קטינא</w:t>
      </w:r>
      <w:r w:rsidRPr="005275DF">
        <w:rPr>
          <w:rFonts w:asciiTheme="minorBidi" w:hAnsiTheme="minorBidi"/>
          <w:rtl/>
        </w:rPr>
        <w:t>: עקרב דורסו לפי תומו</w:t>
      </w:r>
      <w:r w:rsidR="001F5D84">
        <w:rPr>
          <w:rFonts w:asciiTheme="minorBidi" w:hAnsiTheme="minorBidi" w:cs="Arial" w:hint="cs"/>
          <w:rtl/>
        </w:rPr>
        <w:t>.</w:t>
      </w:r>
    </w:p>
    <w:p w14:paraId="28EFD3BB" w14:textId="6C34926E" w:rsidR="001F5D84" w:rsidRPr="009B052B" w:rsidRDefault="001F5D84" w:rsidP="00434A6A">
      <w:pPr>
        <w:rPr>
          <w:u w:val="single"/>
          <w:rtl/>
        </w:rPr>
      </w:pPr>
      <w:r>
        <w:rPr>
          <w:rFonts w:hint="cs"/>
          <w:u w:val="single"/>
          <w:rtl/>
        </w:rPr>
        <w:t xml:space="preserve">הריגת </w:t>
      </w:r>
      <w:r w:rsidR="000F716D">
        <w:rPr>
          <w:rFonts w:hint="cs"/>
          <w:u w:val="single"/>
          <w:rtl/>
        </w:rPr>
        <w:t xml:space="preserve">שאר </w:t>
      </w:r>
      <w:r>
        <w:rPr>
          <w:rFonts w:hint="cs"/>
          <w:u w:val="single"/>
          <w:rtl/>
        </w:rPr>
        <w:t xml:space="preserve">חיות </w:t>
      </w:r>
      <w:r w:rsidR="000F716D">
        <w:rPr>
          <w:rFonts w:hint="cs"/>
          <w:u w:val="single"/>
          <w:rtl/>
        </w:rPr>
        <w:t>שאינן רודפות אחריו לפי תומו</w:t>
      </w:r>
      <w:r w:rsidRPr="009B052B">
        <w:rPr>
          <w:rFonts w:hint="cs"/>
          <w:u w:val="single"/>
          <w:rtl/>
        </w:rPr>
        <w:t>:</w:t>
      </w:r>
    </w:p>
    <w:p w14:paraId="139A6608" w14:textId="736E0EAA" w:rsidR="001F5D84" w:rsidRDefault="001F5D84" w:rsidP="00434A6A">
      <w:pPr>
        <w:pStyle w:val="aa"/>
        <w:numPr>
          <w:ilvl w:val="0"/>
          <w:numId w:val="30"/>
        </w:numPr>
        <w:rPr>
          <w:rtl/>
        </w:rPr>
      </w:pPr>
      <w:r>
        <w:rPr>
          <w:rFonts w:cs="Arial" w:hint="cs"/>
          <w:rtl/>
        </w:rPr>
        <w:t xml:space="preserve">טור- </w:t>
      </w:r>
      <w:r>
        <w:rPr>
          <w:rFonts w:cs="Arial"/>
          <w:rtl/>
        </w:rPr>
        <w:t>נחש ועקרב דורסן לפי תומו</w:t>
      </w:r>
      <w:r>
        <w:rPr>
          <w:rFonts w:cs="Arial" w:hint="cs"/>
          <w:rtl/>
        </w:rPr>
        <w:t>,</w:t>
      </w:r>
      <w:r>
        <w:rPr>
          <w:rFonts w:cs="Arial"/>
          <w:rtl/>
        </w:rPr>
        <w:t xml:space="preserve"> הואיל והן מזיקין מותר</w:t>
      </w:r>
      <w:r>
        <w:rPr>
          <w:rFonts w:cs="Arial" w:hint="cs"/>
          <w:rtl/>
        </w:rPr>
        <w:t>.</w:t>
      </w:r>
      <w:r>
        <w:rPr>
          <w:rFonts w:cs="Arial"/>
          <w:rtl/>
        </w:rPr>
        <w:t xml:space="preserve"> </w:t>
      </w:r>
    </w:p>
    <w:p w14:paraId="2549041E" w14:textId="271277A6" w:rsidR="001F5D84" w:rsidRDefault="001F5D84" w:rsidP="00434A6A">
      <w:pPr>
        <w:pStyle w:val="aa"/>
        <w:numPr>
          <w:ilvl w:val="0"/>
          <w:numId w:val="30"/>
        </w:numPr>
      </w:pPr>
      <w:r>
        <w:rPr>
          <w:rFonts w:cs="Arial" w:hint="cs"/>
          <w:rtl/>
        </w:rPr>
        <w:t xml:space="preserve">רמב"ם </w:t>
      </w:r>
      <w:r>
        <w:rPr>
          <w:rFonts w:cs="Arial" w:hint="cs"/>
          <w:sz w:val="16"/>
          <w:szCs w:val="16"/>
          <w:rtl/>
        </w:rPr>
        <w:t>(פי"א ה"ד)</w:t>
      </w:r>
      <w:r>
        <w:rPr>
          <w:rFonts w:cs="Arial" w:hint="cs"/>
          <w:rtl/>
        </w:rPr>
        <w:t xml:space="preserve">- </w:t>
      </w:r>
      <w:r w:rsidRPr="00AB6686">
        <w:rPr>
          <w:rFonts w:cs="Arial"/>
          <w:rtl/>
        </w:rPr>
        <w:t>ושאר כל המזיקין</w:t>
      </w:r>
      <w:r w:rsidR="000F716D">
        <w:rPr>
          <w:rFonts w:cs="Arial" w:hint="cs"/>
          <w:rtl/>
        </w:rPr>
        <w:t xml:space="preserve">... </w:t>
      </w:r>
      <w:r w:rsidRPr="00AB6686">
        <w:rPr>
          <w:rFonts w:cs="Arial"/>
          <w:rtl/>
        </w:rPr>
        <w:t xml:space="preserve">אם היו יושבין במקומן או בורחין מלפניו </w:t>
      </w:r>
      <w:r>
        <w:rPr>
          <w:rFonts w:cs="Arial" w:hint="cs"/>
          <w:rtl/>
        </w:rPr>
        <w:t xml:space="preserve">- </w:t>
      </w:r>
      <w:r w:rsidRPr="00AB6686">
        <w:rPr>
          <w:rFonts w:cs="Arial"/>
          <w:rtl/>
        </w:rPr>
        <w:t>אסור להרגן</w:t>
      </w:r>
      <w:r w:rsidR="000F716D">
        <w:rPr>
          <w:rFonts w:cs="Arial" w:hint="cs"/>
          <w:rtl/>
        </w:rPr>
        <w:t>,</w:t>
      </w:r>
      <w:r w:rsidRPr="00AB6686">
        <w:rPr>
          <w:rFonts w:cs="Arial"/>
          <w:rtl/>
        </w:rPr>
        <w:t xml:space="preserve"> ואם דרסן לפי תומו בשעת הילוכו והרגן </w:t>
      </w:r>
      <w:r>
        <w:rPr>
          <w:rFonts w:cs="Arial" w:hint="cs"/>
          <w:rtl/>
        </w:rPr>
        <w:t xml:space="preserve">- </w:t>
      </w:r>
      <w:r w:rsidRPr="00AB6686">
        <w:rPr>
          <w:rFonts w:cs="Arial"/>
          <w:rtl/>
        </w:rPr>
        <w:t>מותר</w:t>
      </w:r>
      <w:r>
        <w:rPr>
          <w:rFonts w:cs="Arial" w:hint="cs"/>
          <w:rtl/>
        </w:rPr>
        <w:t>.</w:t>
      </w:r>
    </w:p>
    <w:p w14:paraId="0A84E0B1" w14:textId="0AC5A4D7" w:rsidR="000F716D" w:rsidRPr="000F716D" w:rsidRDefault="000F716D" w:rsidP="00434A6A">
      <w:pPr>
        <w:ind w:left="360"/>
        <w:rPr>
          <w:u w:val="dotted"/>
        </w:rPr>
      </w:pPr>
      <w:r w:rsidRPr="000F716D">
        <w:rPr>
          <w:rFonts w:hint="cs"/>
          <w:u w:val="dotted"/>
          <w:rtl/>
        </w:rPr>
        <w:t xml:space="preserve">מה נקרא </w:t>
      </w:r>
      <w:r>
        <w:rPr>
          <w:rFonts w:hint="cs"/>
          <w:u w:val="dotted"/>
          <w:rtl/>
        </w:rPr>
        <w:t>'</w:t>
      </w:r>
      <w:r w:rsidRPr="000F716D">
        <w:rPr>
          <w:rFonts w:hint="cs"/>
          <w:u w:val="dotted"/>
          <w:rtl/>
        </w:rPr>
        <w:t>לפי תומו</w:t>
      </w:r>
      <w:r>
        <w:rPr>
          <w:rFonts w:hint="cs"/>
          <w:u w:val="dotted"/>
          <w:rtl/>
        </w:rPr>
        <w:t>'</w:t>
      </w:r>
      <w:r w:rsidRPr="000F716D">
        <w:rPr>
          <w:rFonts w:hint="cs"/>
          <w:u w:val="dotted"/>
          <w:rtl/>
        </w:rPr>
        <w:t>:</w:t>
      </w:r>
    </w:p>
    <w:p w14:paraId="77AC8744" w14:textId="77777777" w:rsidR="000F716D" w:rsidRPr="000F716D" w:rsidRDefault="000F716D" w:rsidP="00434A6A">
      <w:pPr>
        <w:pStyle w:val="aa"/>
        <w:numPr>
          <w:ilvl w:val="0"/>
          <w:numId w:val="30"/>
        </w:numPr>
      </w:pPr>
      <w:r>
        <w:rPr>
          <w:rFonts w:cs="Arial" w:hint="cs"/>
          <w:rtl/>
        </w:rPr>
        <w:t>רש"י</w:t>
      </w:r>
      <w:r>
        <w:rPr>
          <w:rFonts w:cs="Arial" w:hint="cs"/>
          <w:sz w:val="16"/>
          <w:szCs w:val="16"/>
          <w:rtl/>
        </w:rPr>
        <w:t xml:space="preserve"> (ד"ה דילמא לפי תומו)</w:t>
      </w:r>
      <w:r>
        <w:rPr>
          <w:rFonts w:cs="Arial" w:hint="cs"/>
          <w:rtl/>
        </w:rPr>
        <w:t xml:space="preserve">- </w:t>
      </w:r>
      <w:r w:rsidRPr="0047329F">
        <w:rPr>
          <w:rFonts w:cs="Arial"/>
          <w:rtl/>
        </w:rPr>
        <w:t>לא שיעמוד עליו ויהרגנו להדיא, אלא כשהוא הולך לתומו, ונחש או עקרב בפניו - אין צריך לישמט ממנו, אלא דורכו והולך, ואם מת בדריכתו - ימות, הואיל ולא נתכוין, דדבר שאין מתכוין לר' יהודה מדרבנן הוא, ולענין מזיקין לא גזור</w:t>
      </w:r>
      <w:r>
        <w:rPr>
          <w:rFonts w:hint="cs"/>
          <w:rtl/>
        </w:rPr>
        <w:t>.</w:t>
      </w:r>
    </w:p>
    <w:p w14:paraId="7EEB4B15" w14:textId="2937CCB9" w:rsidR="000F716D" w:rsidRPr="007C5716" w:rsidRDefault="000F716D" w:rsidP="00434A6A">
      <w:pPr>
        <w:pStyle w:val="aa"/>
        <w:numPr>
          <w:ilvl w:val="0"/>
          <w:numId w:val="30"/>
        </w:numPr>
      </w:pPr>
      <w:r w:rsidRPr="00351DFA">
        <w:rPr>
          <w:rFonts w:asciiTheme="minorBidi" w:hAnsiTheme="minorBidi" w:cs="Arial"/>
          <w:rtl/>
        </w:rPr>
        <w:t>רמב"ן</w:t>
      </w:r>
      <w:r w:rsidRPr="000F716D">
        <w:rPr>
          <w:rFonts w:asciiTheme="minorBidi" w:hAnsiTheme="minorBidi" w:cs="Arial"/>
          <w:sz w:val="16"/>
          <w:szCs w:val="16"/>
          <w:rtl/>
        </w:rPr>
        <w:t xml:space="preserve"> (שם)</w:t>
      </w:r>
      <w:r w:rsidRPr="00351DFA">
        <w:rPr>
          <w:rFonts w:asciiTheme="minorBidi" w:hAnsiTheme="minorBidi" w:cs="Arial"/>
          <w:rtl/>
        </w:rPr>
        <w:t xml:space="preserve"> </w:t>
      </w:r>
      <w:r w:rsidRPr="000F716D">
        <w:rPr>
          <w:rFonts w:asciiTheme="minorBidi" w:hAnsiTheme="minorBidi" w:cs="Arial"/>
          <w:rtl/>
        </w:rPr>
        <w:t xml:space="preserve">רשב"א </w:t>
      </w:r>
      <w:r w:rsidRPr="000F716D">
        <w:rPr>
          <w:rFonts w:asciiTheme="minorBidi" w:hAnsiTheme="minorBidi" w:cs="Arial"/>
          <w:sz w:val="16"/>
          <w:szCs w:val="16"/>
          <w:rtl/>
        </w:rPr>
        <w:t>(שם ד"ה הא)</w:t>
      </w:r>
      <w:r w:rsidRPr="000F716D">
        <w:rPr>
          <w:rFonts w:asciiTheme="minorBidi" w:hAnsiTheme="minorBidi" w:cs="Arial" w:hint="cs"/>
          <w:sz w:val="16"/>
          <w:szCs w:val="16"/>
          <w:rtl/>
        </w:rPr>
        <w:t xml:space="preserve"> </w:t>
      </w:r>
      <w:r>
        <w:rPr>
          <w:rFonts w:asciiTheme="minorBidi" w:hAnsiTheme="minorBidi" w:cs="Arial" w:hint="cs"/>
          <w:rtl/>
        </w:rPr>
        <w:t>ו</w:t>
      </w:r>
      <w:r w:rsidRPr="000F716D">
        <w:rPr>
          <w:rFonts w:asciiTheme="minorBidi" w:hAnsiTheme="minorBidi" w:cs="Arial"/>
          <w:rtl/>
        </w:rPr>
        <w:t xml:space="preserve">ר"ן </w:t>
      </w:r>
      <w:r w:rsidRPr="000F716D">
        <w:rPr>
          <w:rFonts w:asciiTheme="minorBidi" w:hAnsiTheme="minorBidi" w:cs="Arial"/>
          <w:sz w:val="16"/>
          <w:szCs w:val="16"/>
          <w:rtl/>
        </w:rPr>
        <w:t>(מה: ד"ה נחש)</w:t>
      </w:r>
      <w:r w:rsidRPr="000F716D">
        <w:rPr>
          <w:rFonts w:asciiTheme="minorBidi" w:hAnsiTheme="minorBidi" w:cs="Arial" w:hint="cs"/>
          <w:rtl/>
        </w:rPr>
        <w:t>-</w:t>
      </w:r>
      <w:r w:rsidRPr="000F716D">
        <w:rPr>
          <w:rFonts w:asciiTheme="minorBidi" w:hAnsiTheme="minorBidi" w:cs="Arial"/>
          <w:rtl/>
        </w:rPr>
        <w:t xml:space="preserve"> דורסו ואפילו במתכוין אלא שהוא עושה לפי תומו שמראה עצמו כאילו אינו מכוין</w:t>
      </w:r>
      <w:r w:rsidRPr="000F716D">
        <w:rPr>
          <w:rFonts w:asciiTheme="minorBidi" w:hAnsiTheme="minorBidi" w:cs="Arial" w:hint="cs"/>
          <w:rtl/>
        </w:rPr>
        <w:t>,</w:t>
      </w:r>
      <w:r w:rsidRPr="000F716D">
        <w:rPr>
          <w:rFonts w:asciiTheme="minorBidi" w:hAnsiTheme="minorBidi" w:cs="Arial"/>
          <w:rtl/>
        </w:rPr>
        <w:t xml:space="preserve"> וכרבי שמעון דפטר במלאכה שאינה צריכה לגופה</w:t>
      </w:r>
      <w:r w:rsidRPr="000F716D">
        <w:rPr>
          <w:rFonts w:asciiTheme="minorBidi" w:hAnsiTheme="minorBidi" w:cs="Arial" w:hint="cs"/>
          <w:rtl/>
        </w:rPr>
        <w:t>,</w:t>
      </w:r>
      <w:r w:rsidRPr="000F716D">
        <w:rPr>
          <w:rFonts w:asciiTheme="minorBidi" w:hAnsiTheme="minorBidi" w:cs="Arial"/>
          <w:rtl/>
        </w:rPr>
        <w:t xml:space="preserve"> ומיהו להרגן להדיא אסור דכיון שאין היזקן מצוי כחמשה השנויים בברייתא כל כמה דאפשר לשנויי בהריגתן משנינן</w:t>
      </w:r>
      <w:r>
        <w:rPr>
          <w:rFonts w:asciiTheme="minorBidi" w:hAnsiTheme="minorBidi" w:cs="Arial" w:hint="cs"/>
          <w:sz w:val="16"/>
          <w:szCs w:val="16"/>
          <w:rtl/>
        </w:rPr>
        <w:t xml:space="preserve"> (ל' הר"ן)</w:t>
      </w:r>
      <w:r>
        <w:rPr>
          <w:rStyle w:val="a9"/>
          <w:rFonts w:asciiTheme="minorBidi" w:hAnsiTheme="minorBidi" w:cs="Arial"/>
          <w:rtl/>
        </w:rPr>
        <w:footnoteReference w:id="2510"/>
      </w:r>
      <w:r w:rsidRPr="000F716D">
        <w:rPr>
          <w:rFonts w:asciiTheme="minorBidi" w:hAnsiTheme="minorBidi" w:cs="Arial"/>
          <w:rtl/>
        </w:rPr>
        <w:t xml:space="preserve">. </w:t>
      </w:r>
      <w:r w:rsidR="00B3395A" w:rsidRPr="0008106C">
        <w:rPr>
          <w:rFonts w:hint="cs"/>
          <w:color w:val="E36C0A" w:themeColor="accent6" w:themeShade="BF"/>
          <w:rtl/>
        </w:rPr>
        <w:t>(וכ"פ בשו"ע)</w:t>
      </w:r>
    </w:p>
    <w:p w14:paraId="7BB78DE8" w14:textId="77777777" w:rsidR="005022B5" w:rsidRPr="005275DF" w:rsidRDefault="005022B5" w:rsidP="00434A6A">
      <w:pPr>
        <w:rPr>
          <w:rFonts w:asciiTheme="minorBidi" w:hAnsiTheme="minorBidi"/>
          <w:rtl/>
        </w:rPr>
      </w:pPr>
      <w:r w:rsidRPr="005275DF">
        <w:rPr>
          <w:rFonts w:asciiTheme="minorBidi" w:hAnsiTheme="minorBidi"/>
          <w:b/>
          <w:bCs/>
          <w:sz w:val="32"/>
          <w:szCs w:val="28"/>
          <w:u w:val="single"/>
          <w:rtl/>
        </w:rPr>
        <w:t xml:space="preserve">שו"ע: </w:t>
      </w:r>
    </w:p>
    <w:p w14:paraId="4BCBF0D2" w14:textId="4773D9EF" w:rsidR="005022B5" w:rsidRPr="005275DF" w:rsidRDefault="005022B5" w:rsidP="00434A6A">
      <w:pPr>
        <w:rPr>
          <w:rFonts w:asciiTheme="minorBidi" w:hAnsiTheme="minorBidi"/>
          <w:rtl/>
        </w:rPr>
      </w:pPr>
      <w:r w:rsidRPr="005275DF">
        <w:rPr>
          <w:rFonts w:asciiTheme="minorBidi" w:hAnsiTheme="minorBidi"/>
          <w:rtl/>
        </w:rPr>
        <w:t>כל חיה ורמש שהם נושכים וממיתים ודאי, נ</w:t>
      </w:r>
      <w:r w:rsidR="001F226E" w:rsidRPr="005275DF">
        <w:rPr>
          <w:rFonts w:asciiTheme="minorBidi" w:hAnsiTheme="minorBidi"/>
          <w:rtl/>
        </w:rPr>
        <w:t>הרגים בשבת אפילו אין רצין אחריו</w:t>
      </w:r>
      <w:r w:rsidR="005951A9" w:rsidRPr="005275DF">
        <w:rPr>
          <w:rStyle w:val="a9"/>
          <w:rFonts w:asciiTheme="minorBidi" w:hAnsiTheme="minorBidi"/>
          <w:rtl/>
        </w:rPr>
        <w:footnoteReference w:id="2511"/>
      </w:r>
      <w:r w:rsidR="00B3395A">
        <w:rPr>
          <w:rFonts w:asciiTheme="minorBidi" w:hAnsiTheme="minorBidi" w:hint="cs"/>
          <w:rtl/>
        </w:rPr>
        <w:t>.</w:t>
      </w:r>
      <w:r w:rsidR="001F226E" w:rsidRPr="005275DF">
        <w:rPr>
          <w:rFonts w:asciiTheme="minorBidi" w:hAnsiTheme="minorBidi"/>
          <w:rtl/>
        </w:rPr>
        <w:t xml:space="preserve"> ושאר מזיקין</w:t>
      </w:r>
      <w:r w:rsidR="000F716D">
        <w:rPr>
          <w:rFonts w:asciiTheme="minorBidi" w:hAnsiTheme="minorBidi" w:hint="cs"/>
          <w:rtl/>
        </w:rPr>
        <w:t>,</w:t>
      </w:r>
      <w:r w:rsidR="001F226E" w:rsidRPr="005275DF">
        <w:rPr>
          <w:rFonts w:asciiTheme="minorBidi" w:hAnsiTheme="minorBidi"/>
          <w:rtl/>
        </w:rPr>
        <w:t xml:space="preserve"> כגון</w:t>
      </w:r>
      <w:r w:rsidRPr="005275DF">
        <w:rPr>
          <w:rFonts w:asciiTheme="minorBidi" w:hAnsiTheme="minorBidi"/>
          <w:rtl/>
        </w:rPr>
        <w:t xml:space="preserve"> נחש ועקרב </w:t>
      </w:r>
      <w:r w:rsidR="000F716D">
        <w:rPr>
          <w:rFonts w:asciiTheme="minorBidi" w:hAnsiTheme="minorBidi" w:hint="cs"/>
          <w:rtl/>
        </w:rPr>
        <w:t>ב</w:t>
      </w:r>
      <w:r w:rsidRPr="005275DF">
        <w:rPr>
          <w:rFonts w:asciiTheme="minorBidi" w:hAnsiTheme="minorBidi"/>
          <w:rtl/>
        </w:rPr>
        <w:t>מ</w:t>
      </w:r>
      <w:r w:rsidR="001F226E" w:rsidRPr="005275DF">
        <w:rPr>
          <w:rFonts w:asciiTheme="minorBidi" w:hAnsiTheme="minorBidi"/>
          <w:rtl/>
        </w:rPr>
        <w:t>קום שאינם ממיתין, אם רצין אחריו מותר להרגם, ואם לאו</w:t>
      </w:r>
      <w:r w:rsidRPr="005275DF">
        <w:rPr>
          <w:rFonts w:asciiTheme="minorBidi" w:hAnsiTheme="minorBidi"/>
          <w:rtl/>
        </w:rPr>
        <w:t xml:space="preserve"> </w:t>
      </w:r>
      <w:r w:rsidR="008C7A64" w:rsidRPr="005275DF">
        <w:rPr>
          <w:rFonts w:asciiTheme="minorBidi" w:hAnsiTheme="minorBidi"/>
          <w:rtl/>
        </w:rPr>
        <w:t>אסור. אבל מותר לדורסם לפי תומו,</w:t>
      </w:r>
      <w:r w:rsidRPr="005275DF">
        <w:rPr>
          <w:rFonts w:asciiTheme="minorBidi" w:hAnsiTheme="minorBidi"/>
          <w:rtl/>
        </w:rPr>
        <w:t xml:space="preserve"> ואפילו במתכוין</w:t>
      </w:r>
      <w:r w:rsidR="00CE06D1" w:rsidRPr="005275DF">
        <w:rPr>
          <w:rStyle w:val="a9"/>
          <w:rFonts w:asciiTheme="minorBidi" w:hAnsiTheme="minorBidi"/>
          <w:rtl/>
        </w:rPr>
        <w:footnoteReference w:id="2512"/>
      </w:r>
      <w:r w:rsidRPr="005275DF">
        <w:rPr>
          <w:rFonts w:asciiTheme="minorBidi" w:hAnsiTheme="minorBidi"/>
          <w:rtl/>
        </w:rPr>
        <w:t xml:space="preserve"> אלא שמראה עצמו כאילו אינו מכוין. </w:t>
      </w:r>
    </w:p>
    <w:p w14:paraId="69E285B9" w14:textId="77777777" w:rsidR="005022B5" w:rsidRPr="005275DF" w:rsidRDefault="005022B5" w:rsidP="00434A6A">
      <w:pPr>
        <w:rPr>
          <w:rFonts w:asciiTheme="minorBidi" w:hAnsiTheme="minorBidi"/>
          <w:rtl/>
        </w:rPr>
      </w:pPr>
    </w:p>
    <w:p w14:paraId="3230F774" w14:textId="74ADDEF5" w:rsidR="005022B5" w:rsidRPr="005275DF" w:rsidRDefault="005022B5" w:rsidP="00434A6A">
      <w:pPr>
        <w:pStyle w:val="2"/>
        <w:rPr>
          <w:rFonts w:asciiTheme="minorBidi" w:hAnsiTheme="minorBidi" w:cstheme="minorBidi"/>
          <w:rtl/>
        </w:rPr>
      </w:pPr>
      <w:r w:rsidRPr="005275DF">
        <w:rPr>
          <w:rFonts w:asciiTheme="minorBidi" w:hAnsiTheme="minorBidi" w:cstheme="minorBidi"/>
          <w:rtl/>
        </w:rPr>
        <w:t>סעיף יא</w:t>
      </w:r>
      <w:r w:rsidR="00CE06D1" w:rsidRPr="005275DF">
        <w:rPr>
          <w:rFonts w:asciiTheme="minorBidi" w:hAnsiTheme="minorBidi" w:cstheme="minorBidi"/>
          <w:rtl/>
        </w:rPr>
        <w:t>: דריסת רוק שע"ג הקרקע</w:t>
      </w:r>
      <w:r w:rsidR="0065787A">
        <w:rPr>
          <w:rFonts w:asciiTheme="minorBidi" w:hAnsiTheme="minorBidi" w:cstheme="minorBidi" w:hint="cs"/>
          <w:rtl/>
        </w:rPr>
        <w:t xml:space="preserve"> לפי תומו</w:t>
      </w:r>
      <w:r w:rsidR="00CE06D1" w:rsidRPr="005275DF">
        <w:rPr>
          <w:rFonts w:asciiTheme="minorBidi" w:hAnsiTheme="minorBidi" w:cstheme="minorBidi"/>
          <w:rtl/>
        </w:rPr>
        <w:t>.</w:t>
      </w:r>
    </w:p>
    <w:p w14:paraId="1B91F08A" w14:textId="436DAEF2" w:rsidR="00CE06D1" w:rsidRDefault="00CE06D1" w:rsidP="00434A6A">
      <w:pPr>
        <w:rPr>
          <w:rFonts w:asciiTheme="minorBidi" w:hAnsiTheme="minorBidi"/>
          <w:rtl/>
        </w:rPr>
      </w:pPr>
      <w:r w:rsidRPr="005275DF">
        <w:rPr>
          <w:rFonts w:asciiTheme="minorBidi" w:hAnsiTheme="minorBidi"/>
          <w:b/>
          <w:bCs/>
          <w:rtl/>
        </w:rPr>
        <w:t xml:space="preserve">שבת </w:t>
      </w:r>
      <w:r w:rsidR="0065787A">
        <w:rPr>
          <w:rFonts w:asciiTheme="minorBidi" w:hAnsiTheme="minorBidi" w:hint="cs"/>
          <w:b/>
          <w:bCs/>
          <w:sz w:val="16"/>
          <w:szCs w:val="16"/>
          <w:rtl/>
        </w:rPr>
        <w:t xml:space="preserve">(פ' כל כתבי) </w:t>
      </w:r>
      <w:r w:rsidRPr="005275DF">
        <w:rPr>
          <w:rFonts w:asciiTheme="minorBidi" w:hAnsiTheme="minorBidi"/>
          <w:b/>
          <w:bCs/>
          <w:rtl/>
        </w:rPr>
        <w:t xml:space="preserve">קכא ע"ב: </w:t>
      </w:r>
      <w:r w:rsidRPr="005275DF">
        <w:rPr>
          <w:rFonts w:asciiTheme="minorBidi" w:hAnsiTheme="minorBidi"/>
          <w:u w:val="single"/>
          <w:rtl/>
        </w:rPr>
        <w:t>אמר רב יהודה</w:t>
      </w:r>
      <w:r w:rsidRPr="005275DF">
        <w:rPr>
          <w:rFonts w:asciiTheme="minorBidi" w:hAnsiTheme="minorBidi"/>
          <w:rtl/>
        </w:rPr>
        <w:t>: רוק דורסו לפי תומו</w:t>
      </w:r>
      <w:r w:rsidRPr="005275DF">
        <w:rPr>
          <w:rStyle w:val="a9"/>
          <w:rFonts w:asciiTheme="minorBidi" w:hAnsiTheme="minorBidi"/>
          <w:rtl/>
        </w:rPr>
        <w:footnoteReference w:id="2513"/>
      </w:r>
      <w:r w:rsidRPr="005275DF">
        <w:rPr>
          <w:rFonts w:asciiTheme="minorBidi" w:hAnsiTheme="minorBidi"/>
          <w:rtl/>
        </w:rPr>
        <w:t>.</w:t>
      </w:r>
    </w:p>
    <w:p w14:paraId="54B5D422" w14:textId="08731477" w:rsidR="0065787A" w:rsidRPr="0065787A" w:rsidRDefault="0065787A" w:rsidP="00434A6A">
      <w:pPr>
        <w:rPr>
          <w:rFonts w:asciiTheme="minorBidi" w:hAnsiTheme="minorBidi"/>
          <w:u w:val="single"/>
          <w:rtl/>
        </w:rPr>
      </w:pPr>
      <w:r w:rsidRPr="0065787A">
        <w:rPr>
          <w:rFonts w:asciiTheme="minorBidi" w:hAnsiTheme="minorBidi"/>
          <w:u w:val="single"/>
          <w:rtl/>
        </w:rPr>
        <w:t>דריסת רוק שע"ג הקרקע</w:t>
      </w:r>
      <w:r w:rsidRPr="0065787A">
        <w:rPr>
          <w:rFonts w:asciiTheme="minorBidi" w:hAnsiTheme="minorBidi" w:hint="cs"/>
          <w:u w:val="single"/>
          <w:rtl/>
        </w:rPr>
        <w:t xml:space="preserve"> לפי תומו:</w:t>
      </w:r>
    </w:p>
    <w:p w14:paraId="2D41AAC3" w14:textId="2EDEE66B" w:rsidR="006E4FFF" w:rsidRDefault="00351DFA" w:rsidP="00434A6A">
      <w:pPr>
        <w:pStyle w:val="aa"/>
        <w:numPr>
          <w:ilvl w:val="0"/>
          <w:numId w:val="30"/>
        </w:numPr>
      </w:pPr>
      <w:r>
        <w:rPr>
          <w:rFonts w:cs="Arial" w:hint="cs"/>
          <w:rtl/>
        </w:rPr>
        <w:t xml:space="preserve">טור- </w:t>
      </w:r>
      <w:r>
        <w:rPr>
          <w:rFonts w:cs="Arial"/>
          <w:rtl/>
        </w:rPr>
        <w:t>וכן ברוק שלפניו יכול לדרוס עליו אע</w:t>
      </w:r>
      <w:r w:rsidR="006E4FFF">
        <w:rPr>
          <w:rFonts w:cs="Arial" w:hint="cs"/>
          <w:rtl/>
        </w:rPr>
        <w:t>"</w:t>
      </w:r>
      <w:r>
        <w:rPr>
          <w:rFonts w:cs="Arial"/>
          <w:rtl/>
        </w:rPr>
        <w:t>ג דממילא ממרח ומשוה גומות</w:t>
      </w:r>
      <w:r w:rsidR="006E4FFF">
        <w:rPr>
          <w:rFonts w:cs="Arial" w:hint="cs"/>
          <w:rtl/>
        </w:rPr>
        <w:t>,</w:t>
      </w:r>
      <w:r>
        <w:rPr>
          <w:rFonts w:cs="Arial"/>
          <w:rtl/>
        </w:rPr>
        <w:t xml:space="preserve"> כיון שאינו מכוין לכך ואיכא מאיסותא</w:t>
      </w:r>
      <w:r w:rsidR="003B7CB4">
        <w:rPr>
          <w:rFonts w:cs="Arial" w:hint="cs"/>
          <w:rtl/>
        </w:rPr>
        <w:t>.</w:t>
      </w:r>
      <w:r>
        <w:rPr>
          <w:rFonts w:cs="Arial"/>
          <w:rtl/>
        </w:rPr>
        <w:t xml:space="preserve"> </w:t>
      </w:r>
      <w:r w:rsidR="00FC77C9" w:rsidRPr="0008106C">
        <w:rPr>
          <w:rFonts w:hint="cs"/>
          <w:color w:val="E36C0A" w:themeColor="accent6" w:themeShade="BF"/>
          <w:rtl/>
        </w:rPr>
        <w:t>(וכ"פ בשו"ע)</w:t>
      </w:r>
    </w:p>
    <w:p w14:paraId="354EECB4" w14:textId="4FC2C5DA" w:rsidR="00750F70" w:rsidRPr="00707402" w:rsidRDefault="00750F70" w:rsidP="00434A6A">
      <w:pPr>
        <w:ind w:left="360"/>
        <w:rPr>
          <w:u w:val="dotted"/>
        </w:rPr>
      </w:pPr>
      <w:r w:rsidRPr="00707402">
        <w:rPr>
          <w:rFonts w:hint="cs"/>
          <w:u w:val="dotted"/>
          <w:rtl/>
        </w:rPr>
        <w:t>האם מותר גם לשפשף את הרוק כשדורס עלי</w:t>
      </w:r>
      <w:r w:rsidR="00707402" w:rsidRPr="00707402">
        <w:rPr>
          <w:rFonts w:hint="cs"/>
          <w:u w:val="dotted"/>
          <w:rtl/>
        </w:rPr>
        <w:t>ו:</w:t>
      </w:r>
    </w:p>
    <w:p w14:paraId="3FAE1F4A" w14:textId="343F5096" w:rsidR="00E449E7" w:rsidRPr="00E449E7" w:rsidRDefault="00707402" w:rsidP="00434A6A">
      <w:pPr>
        <w:pStyle w:val="aa"/>
        <w:numPr>
          <w:ilvl w:val="0"/>
          <w:numId w:val="30"/>
        </w:numPr>
      </w:pPr>
      <w:r>
        <w:rPr>
          <w:rFonts w:cs="Arial" w:hint="cs"/>
          <w:rtl/>
        </w:rPr>
        <w:t xml:space="preserve">טור- </w:t>
      </w:r>
      <w:r w:rsidR="00351DFA">
        <w:rPr>
          <w:rFonts w:cs="Arial"/>
          <w:rtl/>
        </w:rPr>
        <w:t>כתב הר"ם מרוטנבורק שאין לשפשפו ברגליו</w:t>
      </w:r>
      <w:r>
        <w:rPr>
          <w:rFonts w:cs="Arial" w:hint="cs"/>
          <w:rtl/>
        </w:rPr>
        <w:t>,</w:t>
      </w:r>
      <w:r w:rsidR="00351DFA">
        <w:rPr>
          <w:rFonts w:cs="Arial"/>
          <w:rtl/>
        </w:rPr>
        <w:t xml:space="preserve"> דלא קאמר אלא דורסו אבל לא לשפשף</w:t>
      </w:r>
      <w:r>
        <w:rPr>
          <w:rFonts w:cs="Arial" w:hint="cs"/>
          <w:rtl/>
        </w:rPr>
        <w:t>.</w:t>
      </w:r>
      <w:r w:rsidR="00351DFA">
        <w:rPr>
          <w:rFonts w:cs="Arial"/>
          <w:rtl/>
        </w:rPr>
        <w:t xml:space="preserve"> וכ"כ הרמב"ם ז"ל</w:t>
      </w:r>
      <w:r>
        <w:rPr>
          <w:rStyle w:val="a9"/>
          <w:rFonts w:cs="Arial"/>
          <w:rtl/>
        </w:rPr>
        <w:footnoteReference w:id="2514"/>
      </w:r>
      <w:r>
        <w:rPr>
          <w:rFonts w:cs="Arial" w:hint="cs"/>
          <w:rtl/>
        </w:rPr>
        <w:t xml:space="preserve"> (פכ"א ה"ב)</w:t>
      </w:r>
      <w:r w:rsidR="00351DFA">
        <w:rPr>
          <w:rFonts w:cs="Arial"/>
          <w:rtl/>
        </w:rPr>
        <w:t xml:space="preserve"> לא ירוק ע"ג קרקע וישוף ברגליו</w:t>
      </w:r>
      <w:r>
        <w:rPr>
          <w:rFonts w:cs="Arial" w:hint="cs"/>
          <w:rtl/>
        </w:rPr>
        <w:t>.</w:t>
      </w:r>
      <w:r w:rsidR="00351DFA">
        <w:rPr>
          <w:rFonts w:cs="Arial"/>
          <w:rtl/>
        </w:rPr>
        <w:t xml:space="preserve"> דלא קאמר אלא דורסו</w:t>
      </w:r>
      <w:r>
        <w:rPr>
          <w:rFonts w:cs="Arial" w:hint="cs"/>
          <w:rtl/>
        </w:rPr>
        <w:t>,</w:t>
      </w:r>
      <w:r w:rsidR="00351DFA">
        <w:rPr>
          <w:rFonts w:cs="Arial"/>
          <w:rtl/>
        </w:rPr>
        <w:t xml:space="preserve"> אבל מותר לדרוס רוק שעל גבי קרקע לפי תומו</w:t>
      </w:r>
      <w:r w:rsidR="0065787A">
        <w:rPr>
          <w:rFonts w:cs="Arial" w:hint="cs"/>
          <w:rtl/>
        </w:rPr>
        <w:t>.</w:t>
      </w:r>
      <w:r w:rsidR="00FC77C9" w:rsidRPr="00FC77C9">
        <w:rPr>
          <w:rFonts w:hint="cs"/>
          <w:color w:val="E36C0A" w:themeColor="accent6" w:themeShade="BF"/>
          <w:rtl/>
        </w:rPr>
        <w:t xml:space="preserve"> </w:t>
      </w:r>
      <w:r w:rsidR="00FC77C9" w:rsidRPr="0008106C">
        <w:rPr>
          <w:rFonts w:hint="cs"/>
          <w:color w:val="E36C0A" w:themeColor="accent6" w:themeShade="BF"/>
          <w:rtl/>
        </w:rPr>
        <w:t>(וכ"פ בשו"ע)</w:t>
      </w:r>
    </w:p>
    <w:p w14:paraId="2E369054" w14:textId="5F964730" w:rsidR="00E449E7" w:rsidRPr="00E449E7" w:rsidRDefault="00E449E7" w:rsidP="00434A6A">
      <w:pPr>
        <w:ind w:left="360"/>
        <w:rPr>
          <w:u w:val="dotted"/>
        </w:rPr>
      </w:pPr>
      <w:r w:rsidRPr="00E449E7">
        <w:rPr>
          <w:rFonts w:hint="cs"/>
          <w:u w:val="dotted"/>
          <w:rtl/>
        </w:rPr>
        <w:t>האם מותר לדרוס על הרוק אע"ג שמכוון למרח</w:t>
      </w:r>
      <w:r w:rsidRPr="00E449E7">
        <w:rPr>
          <w:rFonts w:hint="cs"/>
          <w:sz w:val="16"/>
          <w:szCs w:val="16"/>
          <w:u w:val="dotted"/>
          <w:rtl/>
        </w:rPr>
        <w:t xml:space="preserve"> (כמו לגבי עקרב ש</w:t>
      </w:r>
      <w:r>
        <w:rPr>
          <w:rFonts w:hint="cs"/>
          <w:sz w:val="16"/>
          <w:szCs w:val="16"/>
          <w:u w:val="dotted"/>
          <w:rtl/>
        </w:rPr>
        <w:t>מותר ל</w:t>
      </w:r>
      <w:r w:rsidRPr="00E449E7">
        <w:rPr>
          <w:rFonts w:hint="cs"/>
          <w:sz w:val="16"/>
          <w:szCs w:val="16"/>
          <w:u w:val="dotted"/>
          <w:rtl/>
        </w:rPr>
        <w:t>דר</w:t>
      </w:r>
      <w:r>
        <w:rPr>
          <w:rFonts w:hint="cs"/>
          <w:sz w:val="16"/>
          <w:szCs w:val="16"/>
          <w:u w:val="dotted"/>
          <w:rtl/>
        </w:rPr>
        <w:t>ו</w:t>
      </w:r>
      <w:r w:rsidRPr="00E449E7">
        <w:rPr>
          <w:rFonts w:hint="cs"/>
          <w:sz w:val="16"/>
          <w:szCs w:val="16"/>
          <w:u w:val="dotted"/>
          <w:rtl/>
        </w:rPr>
        <w:t xml:space="preserve">ס </w:t>
      </w:r>
      <w:r>
        <w:rPr>
          <w:rFonts w:hint="cs"/>
          <w:sz w:val="16"/>
          <w:szCs w:val="16"/>
          <w:u w:val="dotted"/>
          <w:rtl/>
        </w:rPr>
        <w:t>אע"ג ש</w:t>
      </w:r>
      <w:r w:rsidRPr="00E449E7">
        <w:rPr>
          <w:rFonts w:hint="cs"/>
          <w:sz w:val="16"/>
          <w:szCs w:val="16"/>
          <w:u w:val="dotted"/>
          <w:rtl/>
        </w:rPr>
        <w:t>מכוון להרוג)</w:t>
      </w:r>
      <w:r w:rsidRPr="00E449E7">
        <w:rPr>
          <w:rFonts w:hint="cs"/>
          <w:u w:val="dotted"/>
          <w:rtl/>
        </w:rPr>
        <w:t>:</w:t>
      </w:r>
    </w:p>
    <w:p w14:paraId="4A97FE80" w14:textId="251C515E" w:rsidR="00351DFA" w:rsidRPr="00E449E7" w:rsidRDefault="00E449E7" w:rsidP="00434A6A">
      <w:pPr>
        <w:pStyle w:val="aa"/>
        <w:numPr>
          <w:ilvl w:val="0"/>
          <w:numId w:val="30"/>
        </w:numPr>
        <w:rPr>
          <w:rtl/>
        </w:rPr>
      </w:pPr>
      <w:r>
        <w:rPr>
          <w:rFonts w:asciiTheme="minorBidi" w:hAnsiTheme="minorBidi" w:cs="Arial" w:hint="cs"/>
          <w:rtl/>
        </w:rPr>
        <w:t xml:space="preserve">ב"י- </w:t>
      </w:r>
      <w:r w:rsidR="00351DFA" w:rsidRPr="00E449E7">
        <w:rPr>
          <w:rFonts w:asciiTheme="minorBidi" w:hAnsiTheme="minorBidi" w:cs="Arial"/>
          <w:rtl/>
        </w:rPr>
        <w:t xml:space="preserve">כבר כתבתי בסמוך </w:t>
      </w:r>
      <w:r w:rsidR="006E4FFF" w:rsidRPr="00E449E7">
        <w:rPr>
          <w:rFonts w:asciiTheme="minorBidi" w:hAnsiTheme="minorBidi" w:cs="Arial" w:hint="cs"/>
          <w:rtl/>
        </w:rPr>
        <w:t xml:space="preserve">(סע' י) </w:t>
      </w:r>
      <w:r w:rsidR="00351DFA" w:rsidRPr="00E449E7">
        <w:rPr>
          <w:rFonts w:asciiTheme="minorBidi" w:hAnsiTheme="minorBidi" w:cs="Arial"/>
          <w:rtl/>
        </w:rPr>
        <w:t>דעת המפרשים</w:t>
      </w:r>
      <w:r w:rsidR="006E4FFF" w:rsidRPr="00E449E7">
        <w:rPr>
          <w:rFonts w:asciiTheme="minorBidi" w:hAnsiTheme="minorBidi" w:cs="Arial" w:hint="cs"/>
          <w:rtl/>
        </w:rPr>
        <w:t xml:space="preserve"> (רמב"ן רשב"א ור"ן)</w:t>
      </w:r>
      <w:r w:rsidR="00351DFA" w:rsidRPr="00E449E7">
        <w:rPr>
          <w:rFonts w:asciiTheme="minorBidi" w:hAnsiTheme="minorBidi" w:cs="Arial"/>
          <w:rtl/>
        </w:rPr>
        <w:t xml:space="preserve"> דאפילו במתכוין אלא שהוא עושה לפי תומו</w:t>
      </w:r>
      <w:r w:rsidR="006E4FFF" w:rsidRPr="00E449E7">
        <w:rPr>
          <w:rFonts w:asciiTheme="minorBidi" w:hAnsiTheme="minorBidi" w:cs="Arial" w:hint="cs"/>
          <w:rtl/>
        </w:rPr>
        <w:t>,</w:t>
      </w:r>
      <w:r w:rsidR="00351DFA" w:rsidRPr="00E449E7">
        <w:rPr>
          <w:rFonts w:asciiTheme="minorBidi" w:hAnsiTheme="minorBidi" w:cs="Arial"/>
          <w:rtl/>
        </w:rPr>
        <w:t xml:space="preserve"> שמראה עצמו כאילו אינו מכוין</w:t>
      </w:r>
      <w:r w:rsidR="006E4FFF" w:rsidRPr="00E449E7">
        <w:rPr>
          <w:rFonts w:asciiTheme="minorBidi" w:hAnsiTheme="minorBidi" w:cs="Arial" w:hint="cs"/>
          <w:rtl/>
        </w:rPr>
        <w:t xml:space="preserve"> -</w:t>
      </w:r>
      <w:r w:rsidR="00351DFA" w:rsidRPr="00E449E7">
        <w:rPr>
          <w:rFonts w:asciiTheme="minorBidi" w:hAnsiTheme="minorBidi" w:cs="Arial"/>
          <w:rtl/>
        </w:rPr>
        <w:t xml:space="preserve"> שרי</w:t>
      </w:r>
      <w:r w:rsidR="003B7CB4" w:rsidRPr="00E449E7">
        <w:rPr>
          <w:rFonts w:asciiTheme="minorBidi" w:hAnsiTheme="minorBidi" w:cs="Arial" w:hint="cs"/>
          <w:rtl/>
        </w:rPr>
        <w:t>.</w:t>
      </w:r>
      <w:r w:rsidR="00351DFA" w:rsidRPr="00E449E7">
        <w:rPr>
          <w:rFonts w:asciiTheme="minorBidi" w:hAnsiTheme="minorBidi" w:cs="Arial"/>
          <w:rtl/>
        </w:rPr>
        <w:t xml:space="preserve"> ואע</w:t>
      </w:r>
      <w:r w:rsidR="003B7CB4" w:rsidRPr="00E449E7">
        <w:rPr>
          <w:rFonts w:asciiTheme="minorBidi" w:hAnsiTheme="minorBidi" w:cs="Arial" w:hint="cs"/>
          <w:rtl/>
        </w:rPr>
        <w:t>"</w:t>
      </w:r>
      <w:r w:rsidR="00351DFA" w:rsidRPr="00E449E7">
        <w:rPr>
          <w:rFonts w:asciiTheme="minorBidi" w:hAnsiTheme="minorBidi" w:cs="Arial"/>
          <w:rtl/>
        </w:rPr>
        <w:t>פ שמדברי המפרשים נראה דלא שאני לן בין דורסו לפי תומו דגבי רוק</w:t>
      </w:r>
      <w:r w:rsidR="00722C44" w:rsidRPr="00E449E7">
        <w:rPr>
          <w:rFonts w:asciiTheme="minorBidi" w:hAnsiTheme="minorBidi" w:cs="Arial" w:hint="cs"/>
          <w:rtl/>
        </w:rPr>
        <w:t>,</w:t>
      </w:r>
      <w:r w:rsidR="00351DFA" w:rsidRPr="00E449E7">
        <w:rPr>
          <w:rFonts w:asciiTheme="minorBidi" w:hAnsiTheme="minorBidi" w:cs="Arial"/>
          <w:rtl/>
        </w:rPr>
        <w:t xml:space="preserve"> לדורסו לפי תומו דגבי נחש ועקרב</w:t>
      </w:r>
      <w:r w:rsidR="003B7CB4" w:rsidRPr="00E449E7">
        <w:rPr>
          <w:rFonts w:asciiTheme="minorBidi" w:hAnsiTheme="minorBidi" w:cs="Arial" w:hint="cs"/>
          <w:rtl/>
        </w:rPr>
        <w:t xml:space="preserve"> -</w:t>
      </w:r>
      <w:r w:rsidR="00351DFA" w:rsidRPr="00E449E7">
        <w:rPr>
          <w:rFonts w:asciiTheme="minorBidi" w:hAnsiTheme="minorBidi" w:cs="Arial"/>
          <w:rtl/>
        </w:rPr>
        <w:t xml:space="preserve"> נראה לי דלא שרי גבי רוק אלא במתכוין לדרסו לבד אבל לא במתכוין למרח</w:t>
      </w:r>
      <w:r w:rsidR="003B7CB4" w:rsidRPr="00E449E7">
        <w:rPr>
          <w:rFonts w:asciiTheme="minorBidi" w:hAnsiTheme="minorBidi" w:cs="Arial" w:hint="cs"/>
          <w:rtl/>
        </w:rPr>
        <w:t>.</w:t>
      </w:r>
      <w:r w:rsidR="00351DFA" w:rsidRPr="00E449E7">
        <w:rPr>
          <w:rFonts w:asciiTheme="minorBidi" w:hAnsiTheme="minorBidi" w:cs="Arial"/>
          <w:rtl/>
        </w:rPr>
        <w:t xml:space="preserve"> ואע</w:t>
      </w:r>
      <w:r w:rsidR="003B7CB4" w:rsidRPr="00E449E7">
        <w:rPr>
          <w:rFonts w:asciiTheme="minorBidi" w:hAnsiTheme="minorBidi" w:cs="Arial" w:hint="cs"/>
          <w:rtl/>
        </w:rPr>
        <w:t>"</w:t>
      </w:r>
      <w:r w:rsidR="00351DFA" w:rsidRPr="00E449E7">
        <w:rPr>
          <w:rFonts w:asciiTheme="minorBidi" w:hAnsiTheme="minorBidi" w:cs="Arial"/>
          <w:rtl/>
        </w:rPr>
        <w:t>ג דגבי נחש ועקרב התירו אפילו במתכוין להרגם</w:t>
      </w:r>
      <w:r w:rsidR="003B7CB4" w:rsidRPr="00E449E7">
        <w:rPr>
          <w:rFonts w:asciiTheme="minorBidi" w:hAnsiTheme="minorBidi" w:cs="Arial" w:hint="cs"/>
          <w:rtl/>
        </w:rPr>
        <w:t>,</w:t>
      </w:r>
      <w:r w:rsidR="00351DFA" w:rsidRPr="00E449E7">
        <w:rPr>
          <w:rFonts w:asciiTheme="minorBidi" w:hAnsiTheme="minorBidi" w:cs="Arial"/>
          <w:rtl/>
        </w:rPr>
        <w:t xml:space="preserve"> התם שאני משום דמזיקין נינהו</w:t>
      </w:r>
      <w:r w:rsidR="003B7CB4" w:rsidRPr="00E449E7">
        <w:rPr>
          <w:rFonts w:asciiTheme="minorBidi" w:hAnsiTheme="minorBidi" w:cs="Arial" w:hint="cs"/>
          <w:rtl/>
        </w:rPr>
        <w:t>,</w:t>
      </w:r>
      <w:r w:rsidR="00351DFA" w:rsidRPr="00E449E7">
        <w:rPr>
          <w:rFonts w:asciiTheme="minorBidi" w:hAnsiTheme="minorBidi" w:cs="Arial"/>
          <w:rtl/>
        </w:rPr>
        <w:t xml:space="preserve"> ועוד דהתם עיקר המעשה הוא הריגת הנחש</w:t>
      </w:r>
      <w:r w:rsidR="003B7CB4" w:rsidRPr="00E449E7">
        <w:rPr>
          <w:rFonts w:asciiTheme="minorBidi" w:hAnsiTheme="minorBidi" w:cs="Arial" w:hint="cs"/>
          <w:rtl/>
        </w:rPr>
        <w:t>,</w:t>
      </w:r>
      <w:r w:rsidR="00351DFA" w:rsidRPr="00E449E7">
        <w:rPr>
          <w:rFonts w:asciiTheme="minorBidi" w:hAnsiTheme="minorBidi" w:cs="Arial"/>
          <w:rtl/>
        </w:rPr>
        <w:t xml:space="preserve"> אבל הכא אין עיקר המעשה המירוח דכשידרוס עליו מבטלי מאיסותא</w:t>
      </w:r>
      <w:r w:rsidR="003B7CB4" w:rsidRPr="00E449E7">
        <w:rPr>
          <w:rFonts w:asciiTheme="minorBidi" w:hAnsiTheme="minorBidi" w:cs="Arial" w:hint="cs"/>
          <w:rtl/>
        </w:rPr>
        <w:t>.</w:t>
      </w:r>
      <w:r w:rsidR="00351DFA" w:rsidRPr="00E449E7">
        <w:rPr>
          <w:rFonts w:asciiTheme="minorBidi" w:hAnsiTheme="minorBidi" w:cs="Arial"/>
          <w:rtl/>
        </w:rPr>
        <w:t xml:space="preserve"> ולא חששו המפרשים לכתוב כן לפי שהיה דבר ברור בעיניהם</w:t>
      </w:r>
      <w:r w:rsidR="003B7CB4" w:rsidRPr="00E449E7">
        <w:rPr>
          <w:rFonts w:asciiTheme="minorBidi" w:hAnsiTheme="minorBidi" w:cs="Arial" w:hint="cs"/>
          <w:rtl/>
        </w:rPr>
        <w:t>.</w:t>
      </w:r>
      <w:r w:rsidR="00FC77C9" w:rsidRPr="00FC77C9">
        <w:rPr>
          <w:rFonts w:hint="cs"/>
          <w:color w:val="E36C0A" w:themeColor="accent6" w:themeShade="BF"/>
          <w:rtl/>
        </w:rPr>
        <w:t xml:space="preserve"> </w:t>
      </w:r>
      <w:r w:rsidR="00FC77C9" w:rsidRPr="0008106C">
        <w:rPr>
          <w:rFonts w:hint="cs"/>
          <w:color w:val="E36C0A" w:themeColor="accent6" w:themeShade="BF"/>
          <w:rtl/>
        </w:rPr>
        <w:t>(וכ"פ בשו"ע)</w:t>
      </w:r>
    </w:p>
    <w:p w14:paraId="48C597FA" w14:textId="77777777" w:rsidR="005022B5" w:rsidRPr="005275DF" w:rsidRDefault="005022B5" w:rsidP="00434A6A">
      <w:pPr>
        <w:rPr>
          <w:rFonts w:asciiTheme="minorBidi" w:hAnsiTheme="minorBidi"/>
          <w:rtl/>
        </w:rPr>
      </w:pPr>
      <w:r w:rsidRPr="005275DF">
        <w:rPr>
          <w:rFonts w:asciiTheme="minorBidi" w:hAnsiTheme="minorBidi"/>
          <w:b/>
          <w:bCs/>
          <w:sz w:val="32"/>
          <w:szCs w:val="28"/>
          <w:u w:val="single"/>
          <w:rtl/>
        </w:rPr>
        <w:t xml:space="preserve">שו"ע: </w:t>
      </w:r>
    </w:p>
    <w:p w14:paraId="5F643459" w14:textId="74AD51BD" w:rsidR="005022B5" w:rsidRPr="005275DF" w:rsidRDefault="00CE06D1" w:rsidP="00434A6A">
      <w:pPr>
        <w:rPr>
          <w:rFonts w:asciiTheme="minorBidi" w:hAnsiTheme="minorBidi"/>
          <w:rtl/>
        </w:rPr>
      </w:pPr>
      <w:r w:rsidRPr="005275DF">
        <w:rPr>
          <w:rFonts w:asciiTheme="minorBidi" w:hAnsiTheme="minorBidi"/>
          <w:rtl/>
        </w:rPr>
        <w:t xml:space="preserve">לא ישפשף ברגליו רוק </w:t>
      </w:r>
      <w:r w:rsidR="00E44B6E" w:rsidRPr="005275DF">
        <w:rPr>
          <w:rFonts w:asciiTheme="minorBidi" w:hAnsiTheme="minorBidi"/>
          <w:rtl/>
        </w:rPr>
        <w:t>ש</w:t>
      </w:r>
      <w:r w:rsidRPr="005275DF">
        <w:rPr>
          <w:rFonts w:asciiTheme="minorBidi" w:hAnsiTheme="minorBidi"/>
          <w:rtl/>
        </w:rPr>
        <w:t xml:space="preserve">על </w:t>
      </w:r>
      <w:r w:rsidR="005022B5" w:rsidRPr="005275DF">
        <w:rPr>
          <w:rFonts w:asciiTheme="minorBidi" w:hAnsiTheme="minorBidi"/>
          <w:rtl/>
        </w:rPr>
        <w:t>ג</w:t>
      </w:r>
      <w:r w:rsidRPr="005275DF">
        <w:rPr>
          <w:rFonts w:asciiTheme="minorBidi" w:hAnsiTheme="minorBidi"/>
          <w:rtl/>
        </w:rPr>
        <w:t>בי קרקע</w:t>
      </w:r>
      <w:r w:rsidR="0096456E">
        <w:rPr>
          <w:rStyle w:val="a9"/>
          <w:rFonts w:asciiTheme="minorBidi" w:hAnsiTheme="minorBidi"/>
          <w:rtl/>
        </w:rPr>
        <w:footnoteReference w:id="2515"/>
      </w:r>
      <w:r w:rsidR="005022B5" w:rsidRPr="005275DF">
        <w:rPr>
          <w:rFonts w:asciiTheme="minorBidi" w:hAnsiTheme="minorBidi"/>
          <w:rtl/>
        </w:rPr>
        <w:t xml:space="preserve"> משום משוה גומות, אבל מותר לדרסו לפי תומו</w:t>
      </w:r>
      <w:r w:rsidR="00E44B6E" w:rsidRPr="005275DF">
        <w:rPr>
          <w:rStyle w:val="a9"/>
          <w:rFonts w:asciiTheme="minorBidi" w:hAnsiTheme="minorBidi"/>
          <w:rtl/>
        </w:rPr>
        <w:footnoteReference w:id="2516"/>
      </w:r>
      <w:r w:rsidR="00FC77C9">
        <w:rPr>
          <w:rFonts w:asciiTheme="minorBidi" w:hAnsiTheme="minorBidi" w:hint="cs"/>
          <w:rtl/>
        </w:rPr>
        <w:t>,</w:t>
      </w:r>
      <w:r w:rsidR="005022B5" w:rsidRPr="005275DF">
        <w:rPr>
          <w:rFonts w:asciiTheme="minorBidi" w:hAnsiTheme="minorBidi"/>
          <w:rtl/>
        </w:rPr>
        <w:t xml:space="preserve"> ש</w:t>
      </w:r>
      <w:r w:rsidRPr="005275DF">
        <w:rPr>
          <w:rFonts w:asciiTheme="minorBidi" w:hAnsiTheme="minorBidi"/>
          <w:rtl/>
        </w:rPr>
        <w:t xml:space="preserve">אינו מתכוין למרח ולהשוות גומות, </w:t>
      </w:r>
      <w:r w:rsidR="005022B5" w:rsidRPr="005275DF">
        <w:rPr>
          <w:rFonts w:asciiTheme="minorBidi" w:hAnsiTheme="minorBidi"/>
          <w:rtl/>
        </w:rPr>
        <w:t>ואף על גב ד</w:t>
      </w:r>
      <w:r w:rsidRPr="005275DF">
        <w:rPr>
          <w:rFonts w:asciiTheme="minorBidi" w:hAnsiTheme="minorBidi"/>
          <w:rtl/>
        </w:rPr>
        <w:t>ממילא ממרח הוא</w:t>
      </w:r>
      <w:r w:rsidR="002579D3" w:rsidRPr="005275DF">
        <w:rPr>
          <w:rStyle w:val="a9"/>
          <w:rFonts w:asciiTheme="minorBidi" w:hAnsiTheme="minorBidi"/>
          <w:rtl/>
        </w:rPr>
        <w:footnoteReference w:id="2517"/>
      </w:r>
      <w:r w:rsidRPr="005275DF">
        <w:rPr>
          <w:rFonts w:asciiTheme="minorBidi" w:hAnsiTheme="minorBidi"/>
          <w:rtl/>
        </w:rPr>
        <w:t>, כי לא מכוין שרי</w:t>
      </w:r>
      <w:r w:rsidR="005022B5" w:rsidRPr="005275DF">
        <w:rPr>
          <w:rFonts w:asciiTheme="minorBidi" w:hAnsiTheme="minorBidi"/>
          <w:rtl/>
        </w:rPr>
        <w:t xml:space="preserve"> משום מאיסותא</w:t>
      </w:r>
      <w:r w:rsidR="0096456E">
        <w:rPr>
          <w:rStyle w:val="a9"/>
          <w:rFonts w:asciiTheme="minorBidi" w:hAnsiTheme="minorBidi"/>
          <w:rtl/>
        </w:rPr>
        <w:footnoteReference w:id="2518"/>
      </w:r>
      <w:r w:rsidR="005022B5" w:rsidRPr="005275DF">
        <w:rPr>
          <w:rFonts w:asciiTheme="minorBidi" w:hAnsiTheme="minorBidi"/>
          <w:rtl/>
        </w:rPr>
        <w:t xml:space="preserve">. </w:t>
      </w:r>
    </w:p>
    <w:p w14:paraId="07B594E3" w14:textId="77777777" w:rsidR="00ED6064" w:rsidRPr="005275DF" w:rsidRDefault="00ED6064" w:rsidP="00434A6A">
      <w:pPr>
        <w:rPr>
          <w:rFonts w:asciiTheme="minorBidi" w:hAnsiTheme="minorBidi"/>
          <w:rtl/>
        </w:rPr>
      </w:pPr>
    </w:p>
    <w:p w14:paraId="5C1D756C" w14:textId="30603F3C" w:rsidR="005022B5" w:rsidRDefault="005022B5" w:rsidP="00434A6A">
      <w:pPr>
        <w:pStyle w:val="2"/>
        <w:rPr>
          <w:rFonts w:asciiTheme="minorBidi" w:hAnsiTheme="minorBidi" w:cstheme="minorBidi"/>
          <w:rtl/>
        </w:rPr>
      </w:pPr>
      <w:r w:rsidRPr="005275DF">
        <w:rPr>
          <w:rFonts w:asciiTheme="minorBidi" w:hAnsiTheme="minorBidi" w:cstheme="minorBidi"/>
          <w:rtl/>
        </w:rPr>
        <w:t>סעיף יב</w:t>
      </w:r>
      <w:r w:rsidR="00ED6064" w:rsidRPr="005275DF">
        <w:rPr>
          <w:rFonts w:asciiTheme="minorBidi" w:hAnsiTheme="minorBidi" w:cstheme="minorBidi"/>
          <w:rtl/>
        </w:rPr>
        <w:t>: צידת חיה ועוף שברשותו.</w:t>
      </w:r>
    </w:p>
    <w:p w14:paraId="678FD03C" w14:textId="138A8094" w:rsidR="00A77336" w:rsidRDefault="00A77336" w:rsidP="00434A6A">
      <w:pPr>
        <w:rPr>
          <w:rFonts w:asciiTheme="minorBidi" w:hAnsiTheme="minorBidi"/>
          <w:rtl/>
        </w:rPr>
      </w:pPr>
      <w:r w:rsidRPr="005275DF">
        <w:rPr>
          <w:rFonts w:asciiTheme="minorBidi" w:hAnsiTheme="minorBidi"/>
          <w:b/>
          <w:bCs/>
          <w:rtl/>
        </w:rPr>
        <w:t xml:space="preserve">שבת </w:t>
      </w:r>
      <w:r>
        <w:rPr>
          <w:rFonts w:asciiTheme="minorBidi" w:hAnsiTheme="minorBidi" w:hint="cs"/>
          <w:b/>
          <w:bCs/>
          <w:sz w:val="16"/>
          <w:szCs w:val="16"/>
          <w:rtl/>
        </w:rPr>
        <w:t>(פ' ר' אליעזר האורג)</w:t>
      </w:r>
      <w:r>
        <w:rPr>
          <w:rFonts w:asciiTheme="minorBidi" w:hAnsiTheme="minorBidi" w:hint="cs"/>
          <w:b/>
          <w:bCs/>
          <w:rtl/>
        </w:rPr>
        <w:t xml:space="preserve"> </w:t>
      </w:r>
      <w:r w:rsidRPr="005275DF">
        <w:rPr>
          <w:rFonts w:asciiTheme="minorBidi" w:hAnsiTheme="minorBidi"/>
          <w:b/>
          <w:bCs/>
          <w:rtl/>
        </w:rPr>
        <w:t>קו ע"ב:</w:t>
      </w:r>
      <w:r>
        <w:rPr>
          <w:rFonts w:asciiTheme="minorBidi" w:hAnsiTheme="minorBidi" w:hint="cs"/>
          <w:b/>
          <w:bCs/>
          <w:rtl/>
        </w:rPr>
        <w:t xml:space="preserve"> </w:t>
      </w:r>
      <w:r w:rsidRPr="00653FE4">
        <w:rPr>
          <w:rFonts w:asciiTheme="minorBidi" w:hAnsiTheme="minorBidi" w:cs="Arial"/>
          <w:u w:val="single"/>
          <w:rtl/>
        </w:rPr>
        <w:t>אמר שמואל</w:t>
      </w:r>
      <w:r w:rsidRPr="00653FE4">
        <w:rPr>
          <w:rFonts w:asciiTheme="minorBidi" w:hAnsiTheme="minorBidi" w:cs="Arial"/>
          <w:rtl/>
        </w:rPr>
        <w:t>: כל פטורי דשבת פטור אבל אסור, לבר מהני תלת דפטור ומותר; חדא - הא</w:t>
      </w:r>
      <w:r>
        <w:rPr>
          <w:rFonts w:asciiTheme="minorBidi" w:hAnsiTheme="minorBidi" w:hint="cs"/>
          <w:rtl/>
        </w:rPr>
        <w:t>...</w:t>
      </w:r>
      <w:r w:rsidRPr="00653FE4">
        <w:rPr>
          <w:rtl/>
        </w:rPr>
        <w:t xml:space="preserve"> </w:t>
      </w:r>
      <w:r w:rsidRPr="00653FE4">
        <w:rPr>
          <w:rFonts w:asciiTheme="minorBidi" w:hAnsiTheme="minorBidi" w:cs="Arial"/>
          <w:rtl/>
        </w:rPr>
        <w:t>ואידך: המפיס מורסא בשבת, אם לעשות לה פה - חייב, אם להוציא ממנה לחה - פטור.</w:t>
      </w:r>
      <w:r>
        <w:rPr>
          <w:rFonts w:asciiTheme="minorBidi" w:hAnsiTheme="minorBidi" w:cs="Arial" w:hint="cs"/>
          <w:rtl/>
        </w:rPr>
        <w:t>.</w:t>
      </w:r>
      <w:r w:rsidRPr="00653FE4">
        <w:rPr>
          <w:rFonts w:asciiTheme="minorBidi" w:hAnsiTheme="minorBidi" w:cs="Arial"/>
          <w:rtl/>
        </w:rPr>
        <w:t>. ואידך: הצד נחש בשבת, אם מתעסק בו שלא ישכנו - פטור, אם לרפואה - חייב</w:t>
      </w:r>
      <w:r>
        <w:rPr>
          <w:rFonts w:asciiTheme="minorBidi" w:hAnsiTheme="minorBidi" w:cs="Arial" w:hint="cs"/>
          <w:rtl/>
        </w:rPr>
        <w:t>..</w:t>
      </w:r>
      <w:r w:rsidRPr="00653FE4">
        <w:rPr>
          <w:rFonts w:asciiTheme="minorBidi" w:hAnsiTheme="minorBidi" w:cs="Arial"/>
          <w:rtl/>
        </w:rPr>
        <w:t>.</w:t>
      </w:r>
    </w:p>
    <w:p w14:paraId="7A213582" w14:textId="4C091E98" w:rsidR="00A77336" w:rsidRDefault="00A77336" w:rsidP="00434A6A">
      <w:pPr>
        <w:rPr>
          <w:rFonts w:cs="Arial"/>
          <w:rtl/>
        </w:rPr>
      </w:pPr>
      <w:r w:rsidRPr="00A77336">
        <w:rPr>
          <w:rFonts w:cs="Arial" w:hint="cs"/>
          <w:u w:val="single"/>
          <w:rtl/>
        </w:rPr>
        <w:t>וקשה</w:t>
      </w:r>
      <w:r w:rsidR="00811391">
        <w:rPr>
          <w:rFonts w:cs="Arial" w:hint="cs"/>
          <w:u w:val="single"/>
          <w:rtl/>
        </w:rPr>
        <w:t>,</w:t>
      </w:r>
      <w:r w:rsidRPr="00A77336">
        <w:rPr>
          <w:rFonts w:cs="Arial" w:hint="cs"/>
          <w:u w:val="single"/>
          <w:rtl/>
        </w:rPr>
        <w:t xml:space="preserve"> </w:t>
      </w:r>
      <w:r w:rsidR="00811391">
        <w:rPr>
          <w:rFonts w:cs="Arial" w:hint="cs"/>
          <w:u w:val="single"/>
          <w:rtl/>
        </w:rPr>
        <w:t>ש</w:t>
      </w:r>
      <w:r w:rsidRPr="00A77336">
        <w:rPr>
          <w:rFonts w:cs="Arial" w:hint="cs"/>
          <w:u w:val="single"/>
          <w:rtl/>
        </w:rPr>
        <w:t>הרי יש עוד מקרים שהגמ' מביאה שהעושה אותם פטור ומותר:</w:t>
      </w:r>
    </w:p>
    <w:p w14:paraId="7766B217" w14:textId="7183F05D" w:rsidR="00A77336" w:rsidRPr="00A77336" w:rsidRDefault="00A77336" w:rsidP="00434A6A">
      <w:pPr>
        <w:pStyle w:val="aa"/>
        <w:numPr>
          <w:ilvl w:val="0"/>
          <w:numId w:val="30"/>
        </w:numPr>
        <w:rPr>
          <w:rtl/>
        </w:rPr>
      </w:pPr>
      <w:r w:rsidRPr="00811391">
        <w:rPr>
          <w:rFonts w:cs="Arial" w:hint="cs"/>
          <w:rtl/>
        </w:rPr>
        <w:t>תו</w:t>
      </w:r>
      <w:r w:rsidR="00811391" w:rsidRPr="00811391">
        <w:rPr>
          <w:rFonts w:cs="Arial" w:hint="cs"/>
          <w:rtl/>
        </w:rPr>
        <w:t xml:space="preserve">ס' </w:t>
      </w:r>
      <w:r w:rsidR="00811391" w:rsidRPr="00811391">
        <w:rPr>
          <w:rFonts w:cs="Arial" w:hint="cs"/>
          <w:sz w:val="16"/>
          <w:szCs w:val="16"/>
          <w:rtl/>
        </w:rPr>
        <w:t>(שבת ג. בר מהני תלת)</w:t>
      </w:r>
      <w:r w:rsidR="00811391" w:rsidRPr="00811391">
        <w:rPr>
          <w:rFonts w:cs="Arial" w:hint="cs"/>
          <w:rtl/>
        </w:rPr>
        <w:t xml:space="preserve">- </w:t>
      </w:r>
      <w:r w:rsidRPr="00811391">
        <w:rPr>
          <w:rFonts w:cs="Arial"/>
          <w:rtl/>
        </w:rPr>
        <w:t>הקשה ר"ת הא איכא הא דתנן בפרק במה מדליקין (לקמן כט:) המכבה את הנר מפני שהוא מתירא כו' ואם בשביל החולה שיישן פטור ומוקי לה בחולה שיש בו סכנה וא"כ הוא פטור ומותר דאין לך דבר שעומד בפני פקוח נפש</w:t>
      </w:r>
      <w:r w:rsidR="00811391" w:rsidRPr="00811391">
        <w:rPr>
          <w:rFonts w:cs="Arial" w:hint="cs"/>
          <w:rtl/>
        </w:rPr>
        <w:t>.</w:t>
      </w:r>
      <w:r w:rsidRPr="00811391">
        <w:rPr>
          <w:rFonts w:cs="Arial"/>
          <w:rtl/>
        </w:rPr>
        <w:t xml:space="preserve"> </w:t>
      </w:r>
      <w:r w:rsidRPr="00811391">
        <w:rPr>
          <w:rFonts w:cs="Arial"/>
          <w:b/>
          <w:bCs/>
          <w:rtl/>
        </w:rPr>
        <w:t>ותירץ</w:t>
      </w:r>
      <w:r w:rsidRPr="00811391">
        <w:rPr>
          <w:rFonts w:cs="Arial"/>
          <w:rtl/>
        </w:rPr>
        <w:t xml:space="preserve"> דהא מלתא דפשיטא היא ולא איצטריך ליה לשמואל לאשמעי' כדמשני בסמוך</w:t>
      </w:r>
      <w:r w:rsidR="00811391" w:rsidRPr="00811391">
        <w:rPr>
          <w:rFonts w:cs="Arial" w:hint="cs"/>
          <w:rtl/>
        </w:rPr>
        <w:t>,</w:t>
      </w:r>
      <w:r w:rsidRPr="00811391">
        <w:rPr>
          <w:rFonts w:cs="Arial"/>
          <w:rtl/>
        </w:rPr>
        <w:t xml:space="preserve"> דלא איצטריך ליה לאשמעי' פטורי דלא קעביד מעשה</w:t>
      </w:r>
      <w:r w:rsidR="00811391" w:rsidRPr="00811391">
        <w:rPr>
          <w:rFonts w:cs="Arial" w:hint="cs"/>
          <w:rtl/>
        </w:rPr>
        <w:t>.</w:t>
      </w:r>
      <w:r w:rsidRPr="00811391">
        <w:rPr>
          <w:rFonts w:cs="Arial"/>
          <w:rtl/>
        </w:rPr>
        <w:t xml:space="preserve"> וצד נחש מיירי בדליכא סכנה שיוכל להנצל בענין אחר אלא משום צערא שרו ליה רבנן כמו במפיס מורסא וכן מוכח בריש פרק שמונה שרצים (שם קז:) דצד נחש לאו משום סכנה פטור דהא מוקי לה כר"ש דאמר מלאכה שאצ"ל פטור עליה</w:t>
      </w:r>
      <w:r w:rsidR="00811391" w:rsidRPr="00811391">
        <w:rPr>
          <w:rFonts w:cs="Arial" w:hint="cs"/>
          <w:rtl/>
        </w:rPr>
        <w:t>.</w:t>
      </w:r>
      <w:r w:rsidRPr="00811391">
        <w:rPr>
          <w:rFonts w:cs="Arial"/>
          <w:rtl/>
        </w:rPr>
        <w:t xml:space="preserve"> וע</w:t>
      </w:r>
      <w:r w:rsidR="00811391" w:rsidRPr="00811391">
        <w:rPr>
          <w:rFonts w:cs="Arial" w:hint="cs"/>
          <w:rtl/>
        </w:rPr>
        <w:t>וד קשה</w:t>
      </w:r>
      <w:r w:rsidRPr="00811391">
        <w:rPr>
          <w:rFonts w:cs="Arial"/>
          <w:rtl/>
        </w:rPr>
        <w:t xml:space="preserve"> לר"י והא איכא הא דתני' בפ' במה אשה (שם סב.) ר"א פוטר בכובלת ובצלוחית של פלייטון והוא פטור ומותר דהא בבריי' אחרת קתני התם רא"א יוצאה אשה בכובלת לכתחלה</w:t>
      </w:r>
      <w:r w:rsidR="00811391" w:rsidRPr="00811391">
        <w:rPr>
          <w:rFonts w:cs="Arial" w:hint="cs"/>
          <w:rtl/>
        </w:rPr>
        <w:t>.</w:t>
      </w:r>
      <w:r w:rsidRPr="00811391">
        <w:rPr>
          <w:rFonts w:cs="Arial"/>
          <w:rtl/>
        </w:rPr>
        <w:t xml:space="preserve"> </w:t>
      </w:r>
      <w:r w:rsidRPr="00811391">
        <w:rPr>
          <w:rFonts w:cs="Arial"/>
          <w:b/>
          <w:bCs/>
          <w:rtl/>
        </w:rPr>
        <w:t>ותירץ ר"י בשם ר' אברהם</w:t>
      </w:r>
      <w:r w:rsidRPr="00811391">
        <w:rPr>
          <w:rFonts w:cs="Arial"/>
          <w:rtl/>
        </w:rPr>
        <w:t xml:space="preserve"> דלא חשיב שמואל אלא פטורים השנויין במשנה</w:t>
      </w:r>
      <w:r w:rsidR="00811391">
        <w:rPr>
          <w:rStyle w:val="a9"/>
          <w:rFonts w:cs="Arial"/>
          <w:rtl/>
        </w:rPr>
        <w:footnoteReference w:id="2519"/>
      </w:r>
      <w:r w:rsidR="00811391" w:rsidRPr="00811391">
        <w:rPr>
          <w:rFonts w:cs="Arial" w:hint="cs"/>
          <w:rtl/>
        </w:rPr>
        <w:t>...</w:t>
      </w:r>
    </w:p>
    <w:p w14:paraId="31B55E91" w14:textId="4DDFF833" w:rsidR="0064160A" w:rsidRPr="00811391" w:rsidRDefault="0064160A" w:rsidP="00434A6A">
      <w:pPr>
        <w:rPr>
          <w:rFonts w:asciiTheme="minorBidi" w:hAnsiTheme="minorBidi"/>
          <w:sz w:val="16"/>
          <w:szCs w:val="16"/>
          <w:rtl/>
        </w:rPr>
      </w:pPr>
      <w:r w:rsidRPr="005275DF">
        <w:rPr>
          <w:rFonts w:asciiTheme="minorBidi" w:hAnsiTheme="minorBidi"/>
          <w:b/>
          <w:bCs/>
          <w:rtl/>
        </w:rPr>
        <w:t xml:space="preserve">שבת </w:t>
      </w:r>
      <w:r>
        <w:rPr>
          <w:rFonts w:asciiTheme="minorBidi" w:hAnsiTheme="minorBidi" w:hint="cs"/>
          <w:b/>
          <w:bCs/>
          <w:sz w:val="16"/>
          <w:szCs w:val="16"/>
          <w:rtl/>
        </w:rPr>
        <w:t>(פ' שמנה שרצים)</w:t>
      </w:r>
      <w:r>
        <w:rPr>
          <w:rFonts w:asciiTheme="minorBidi" w:hAnsiTheme="minorBidi" w:hint="cs"/>
          <w:b/>
          <w:bCs/>
          <w:rtl/>
        </w:rPr>
        <w:t xml:space="preserve"> </w:t>
      </w:r>
      <w:r w:rsidRPr="005275DF">
        <w:rPr>
          <w:rFonts w:asciiTheme="minorBidi" w:hAnsiTheme="minorBidi"/>
          <w:b/>
          <w:bCs/>
          <w:rtl/>
        </w:rPr>
        <w:t>קז ע"א:</w:t>
      </w:r>
      <w:r w:rsidRPr="005275DF">
        <w:rPr>
          <w:rFonts w:asciiTheme="minorBidi" w:hAnsiTheme="minorBidi"/>
          <w:rtl/>
        </w:rPr>
        <w:t xml:space="preserve"> </w:t>
      </w:r>
      <w:r w:rsidRPr="005275DF">
        <w:rPr>
          <w:rFonts w:asciiTheme="minorBidi" w:hAnsiTheme="minorBidi"/>
          <w:u w:val="double"/>
          <w:rtl/>
        </w:rPr>
        <w:t>משנה:</w:t>
      </w:r>
      <w:r w:rsidRPr="005275DF">
        <w:rPr>
          <w:rFonts w:asciiTheme="minorBidi" w:hAnsiTheme="minorBidi"/>
          <w:rtl/>
        </w:rPr>
        <w:t xml:space="preserve"> חיה ועוף שברשותו</w:t>
      </w:r>
      <w:r>
        <w:rPr>
          <w:rFonts w:asciiTheme="minorBidi" w:hAnsiTheme="minorBidi" w:hint="cs"/>
          <w:rtl/>
        </w:rPr>
        <w:t>,</w:t>
      </w:r>
      <w:r w:rsidRPr="005275DF">
        <w:rPr>
          <w:rFonts w:asciiTheme="minorBidi" w:hAnsiTheme="minorBidi"/>
          <w:rtl/>
        </w:rPr>
        <w:t xml:space="preserve"> הצדן </w:t>
      </w:r>
      <w:r>
        <w:rPr>
          <w:rFonts w:asciiTheme="minorBidi" w:hAnsiTheme="minorBidi" w:hint="cs"/>
          <w:rtl/>
        </w:rPr>
        <w:t xml:space="preserve">- </w:t>
      </w:r>
      <w:r w:rsidRPr="005275DF">
        <w:rPr>
          <w:rFonts w:asciiTheme="minorBidi" w:hAnsiTheme="minorBidi"/>
          <w:rtl/>
        </w:rPr>
        <w:t xml:space="preserve">פטור. </w:t>
      </w:r>
      <w:r w:rsidR="00811391">
        <w:rPr>
          <w:rFonts w:asciiTheme="minorBidi" w:hAnsiTheme="minorBidi" w:hint="cs"/>
          <w:sz w:val="16"/>
          <w:szCs w:val="16"/>
          <w:rtl/>
        </w:rPr>
        <w:t>(ונחלקו הראשונים אם פטור ומותר או פטור אבל אסור)</w:t>
      </w:r>
    </w:p>
    <w:p w14:paraId="15F9A6F6" w14:textId="3C354A00" w:rsidR="0064160A" w:rsidRDefault="0064160A" w:rsidP="00434A6A">
      <w:pPr>
        <w:rPr>
          <w:rFonts w:asciiTheme="minorBidi" w:hAnsiTheme="minorBidi" w:cs="Arial"/>
          <w:rtl/>
        </w:rPr>
      </w:pPr>
      <w:r>
        <w:rPr>
          <w:rFonts w:asciiTheme="minorBidi" w:hAnsiTheme="minorBidi" w:cs="Arial" w:hint="cs"/>
          <w:b/>
          <w:bCs/>
          <w:rtl/>
        </w:rPr>
        <w:t xml:space="preserve">ירושלמי שבת פי"ד ה"א: </w:t>
      </w:r>
      <w:r w:rsidRPr="00345DD1">
        <w:rPr>
          <w:rFonts w:asciiTheme="minorBidi" w:hAnsiTheme="minorBidi" w:cs="Arial"/>
          <w:rtl/>
        </w:rPr>
        <w:t xml:space="preserve">חיה ועוף שברשותו הצדן </w:t>
      </w:r>
      <w:r>
        <w:rPr>
          <w:rFonts w:asciiTheme="minorBidi" w:hAnsiTheme="minorBidi" w:cs="Arial" w:hint="cs"/>
          <w:rtl/>
        </w:rPr>
        <w:t xml:space="preserve">- </w:t>
      </w:r>
      <w:r w:rsidRPr="00345DD1">
        <w:rPr>
          <w:rFonts w:asciiTheme="minorBidi" w:hAnsiTheme="minorBidi" w:cs="Arial"/>
          <w:rtl/>
        </w:rPr>
        <w:t>פטור</w:t>
      </w:r>
      <w:r>
        <w:rPr>
          <w:rFonts w:asciiTheme="minorBidi" w:hAnsiTheme="minorBidi" w:cs="Arial" w:hint="cs"/>
          <w:rtl/>
        </w:rPr>
        <w:t>,</w:t>
      </w:r>
      <w:r w:rsidRPr="00345DD1">
        <w:rPr>
          <w:rFonts w:asciiTheme="minorBidi" w:hAnsiTheme="minorBidi" w:cs="Arial"/>
          <w:rtl/>
        </w:rPr>
        <w:t xml:space="preserve"> והחובל בהן </w:t>
      </w:r>
      <w:r>
        <w:rPr>
          <w:rFonts w:asciiTheme="minorBidi" w:hAnsiTheme="minorBidi" w:cs="Arial" w:hint="cs"/>
          <w:rtl/>
        </w:rPr>
        <w:t xml:space="preserve">- </w:t>
      </w:r>
      <w:r w:rsidRPr="00345DD1">
        <w:rPr>
          <w:rFonts w:asciiTheme="minorBidi" w:hAnsiTheme="minorBidi" w:cs="Arial"/>
          <w:rtl/>
        </w:rPr>
        <w:t xml:space="preserve">חייב. לא אמרו אלא שברשות אדם. הא אם אינן ברשות אדם </w:t>
      </w:r>
      <w:r>
        <w:rPr>
          <w:rFonts w:asciiTheme="minorBidi" w:hAnsiTheme="minorBidi" w:cs="Arial" w:hint="cs"/>
          <w:rtl/>
        </w:rPr>
        <w:t xml:space="preserve">- </w:t>
      </w:r>
      <w:r w:rsidRPr="00345DD1">
        <w:rPr>
          <w:rFonts w:asciiTheme="minorBidi" w:hAnsiTheme="minorBidi" w:cs="Arial"/>
          <w:rtl/>
        </w:rPr>
        <w:t xml:space="preserve">חייב. </w:t>
      </w:r>
      <w:r w:rsidRPr="0064160A">
        <w:rPr>
          <w:rFonts w:asciiTheme="minorBidi" w:hAnsiTheme="minorBidi" w:cs="Arial"/>
          <w:u w:val="single"/>
          <w:rtl/>
        </w:rPr>
        <w:t>א"ר יוסה</w:t>
      </w:r>
      <w:r>
        <w:rPr>
          <w:rFonts w:asciiTheme="minorBidi" w:hAnsiTheme="minorBidi" w:cs="Arial" w:hint="cs"/>
          <w:rtl/>
        </w:rPr>
        <w:t>:</w:t>
      </w:r>
      <w:r w:rsidRPr="00345DD1">
        <w:rPr>
          <w:rFonts w:asciiTheme="minorBidi" w:hAnsiTheme="minorBidi" w:cs="Arial"/>
          <w:rtl/>
        </w:rPr>
        <w:t xml:space="preserve"> הדא אמרה שור שמרד הצדו בשבת </w:t>
      </w:r>
      <w:r>
        <w:rPr>
          <w:rFonts w:asciiTheme="minorBidi" w:hAnsiTheme="minorBidi" w:cs="Arial" w:hint="cs"/>
          <w:rtl/>
        </w:rPr>
        <w:t xml:space="preserve">- </w:t>
      </w:r>
      <w:r w:rsidRPr="00345DD1">
        <w:rPr>
          <w:rFonts w:asciiTheme="minorBidi" w:hAnsiTheme="minorBidi" w:cs="Arial"/>
          <w:rtl/>
        </w:rPr>
        <w:t xml:space="preserve">חייב. </w:t>
      </w:r>
      <w:r w:rsidR="000156E6" w:rsidRPr="00FC4852">
        <w:rPr>
          <w:rFonts w:asciiTheme="minorBidi" w:hAnsiTheme="minorBidi" w:cs="Arial" w:hint="cs"/>
          <w:sz w:val="16"/>
          <w:szCs w:val="16"/>
          <w:rtl/>
        </w:rPr>
        <w:t>(וכתבוהו הרשב"א (קז. ד"ה חיה) והה"מ (פ"י הכ"ד))</w:t>
      </w:r>
    </w:p>
    <w:p w14:paraId="6364C427" w14:textId="39CF0E45" w:rsidR="00C23B9A" w:rsidRDefault="00C23B9A" w:rsidP="00434A6A">
      <w:pPr>
        <w:rPr>
          <w:rFonts w:asciiTheme="minorBidi" w:hAnsiTheme="minorBidi" w:cs="Arial"/>
          <w:rtl/>
        </w:rPr>
      </w:pPr>
      <w:r w:rsidRPr="00C23B9A">
        <w:rPr>
          <w:rFonts w:asciiTheme="minorBidi" w:hAnsiTheme="minorBidi" w:cs="Arial" w:hint="cs"/>
          <w:b/>
          <w:bCs/>
          <w:rtl/>
        </w:rPr>
        <w:t xml:space="preserve">תוספתא שבת פי"ב ה"ד: </w:t>
      </w:r>
      <w:r>
        <w:rPr>
          <w:rFonts w:asciiTheme="minorBidi" w:hAnsiTheme="minorBidi" w:cs="Arial" w:hint="cs"/>
          <w:rtl/>
        </w:rPr>
        <w:t xml:space="preserve">הצד... </w:t>
      </w:r>
      <w:r w:rsidRPr="00C23B9A">
        <w:rPr>
          <w:rFonts w:asciiTheme="minorBidi" w:hAnsiTheme="minorBidi" w:cs="Arial"/>
          <w:rtl/>
        </w:rPr>
        <w:t xml:space="preserve">אווזין ותרנגלין ויונים הרדסיות וכל דבר שאין מחוסר צדה </w:t>
      </w:r>
      <w:r>
        <w:rPr>
          <w:rFonts w:asciiTheme="minorBidi" w:hAnsiTheme="minorBidi" w:cs="Arial" w:hint="cs"/>
          <w:rtl/>
        </w:rPr>
        <w:t xml:space="preserve">- </w:t>
      </w:r>
      <w:r w:rsidRPr="00C23B9A">
        <w:rPr>
          <w:rFonts w:asciiTheme="minorBidi" w:hAnsiTheme="minorBidi" w:cs="Arial"/>
          <w:rtl/>
        </w:rPr>
        <w:t>פטור</w:t>
      </w:r>
      <w:r>
        <w:rPr>
          <w:rFonts w:asciiTheme="minorBidi" w:hAnsiTheme="minorBidi" w:cs="Arial" w:hint="cs"/>
          <w:rtl/>
        </w:rPr>
        <w:t>.</w:t>
      </w:r>
    </w:p>
    <w:p w14:paraId="02C28387" w14:textId="77777777" w:rsidR="0064160A" w:rsidRPr="007604C2" w:rsidRDefault="0064160A" w:rsidP="00434A6A">
      <w:pPr>
        <w:rPr>
          <w:rFonts w:asciiTheme="minorBidi" w:hAnsiTheme="minorBidi"/>
          <w:rtl/>
        </w:rPr>
      </w:pPr>
      <w:r w:rsidRPr="007604C2">
        <w:rPr>
          <w:rFonts w:asciiTheme="minorBidi" w:hAnsiTheme="minorBidi"/>
          <w:b/>
          <w:bCs/>
          <w:rtl/>
        </w:rPr>
        <w:t xml:space="preserve">ביצה </w:t>
      </w:r>
      <w:r>
        <w:rPr>
          <w:rFonts w:asciiTheme="minorBidi" w:hAnsiTheme="minorBidi" w:hint="cs"/>
          <w:b/>
          <w:bCs/>
          <w:sz w:val="16"/>
          <w:szCs w:val="16"/>
          <w:rtl/>
        </w:rPr>
        <w:t>(ר"פ אין צדין)</w:t>
      </w:r>
      <w:r>
        <w:rPr>
          <w:rFonts w:asciiTheme="minorBidi" w:hAnsiTheme="minorBidi" w:hint="cs"/>
          <w:b/>
          <w:bCs/>
          <w:rtl/>
        </w:rPr>
        <w:t xml:space="preserve"> </w:t>
      </w:r>
      <w:r w:rsidRPr="007604C2">
        <w:rPr>
          <w:rFonts w:asciiTheme="minorBidi" w:hAnsiTheme="minorBidi"/>
          <w:b/>
          <w:bCs/>
          <w:rtl/>
        </w:rPr>
        <w:t>כג ע"ב:</w:t>
      </w:r>
      <w:r w:rsidRPr="007604C2">
        <w:rPr>
          <w:rFonts w:asciiTheme="minorBidi" w:hAnsiTheme="minorBidi"/>
          <w:rtl/>
        </w:rPr>
        <w:t xml:space="preserve"> </w:t>
      </w:r>
      <w:r w:rsidRPr="007604C2">
        <w:rPr>
          <w:rFonts w:asciiTheme="minorBidi" w:hAnsiTheme="minorBidi"/>
          <w:u w:val="double"/>
          <w:rtl/>
        </w:rPr>
        <w:t>משנה:</w:t>
      </w:r>
      <w:r w:rsidRPr="007604C2">
        <w:rPr>
          <w:rFonts w:asciiTheme="minorBidi" w:hAnsiTheme="minorBidi"/>
          <w:rtl/>
        </w:rPr>
        <w:t xml:space="preserve"> אין צדין דגים מן הביברים</w:t>
      </w:r>
      <w:r w:rsidRPr="005275DF">
        <w:rPr>
          <w:rStyle w:val="a9"/>
          <w:rFonts w:asciiTheme="minorBidi" w:hAnsiTheme="minorBidi"/>
          <w:rtl/>
        </w:rPr>
        <w:footnoteReference w:id="2520"/>
      </w:r>
      <w:r w:rsidRPr="007604C2">
        <w:rPr>
          <w:rFonts w:asciiTheme="minorBidi" w:hAnsiTheme="minorBidi"/>
          <w:rtl/>
        </w:rPr>
        <w:t xml:space="preserve"> ביום טוב</w:t>
      </w:r>
      <w:r w:rsidRPr="005275DF">
        <w:rPr>
          <w:rStyle w:val="a9"/>
          <w:rFonts w:asciiTheme="minorBidi" w:hAnsiTheme="minorBidi"/>
          <w:rtl/>
        </w:rPr>
        <w:footnoteReference w:id="2521"/>
      </w:r>
      <w:r w:rsidRPr="007604C2">
        <w:rPr>
          <w:rFonts w:asciiTheme="minorBidi" w:hAnsiTheme="minorBidi"/>
          <w:rtl/>
        </w:rPr>
        <w:t>, ואין נותנין לפניהם מזונות, אבל צדין חיה ועוף מן הביברין</w:t>
      </w:r>
      <w:r w:rsidRPr="005275DF">
        <w:rPr>
          <w:rStyle w:val="a9"/>
          <w:rFonts w:asciiTheme="minorBidi" w:hAnsiTheme="minorBidi"/>
          <w:rtl/>
        </w:rPr>
        <w:footnoteReference w:id="2522"/>
      </w:r>
      <w:r w:rsidRPr="007604C2">
        <w:rPr>
          <w:rFonts w:asciiTheme="minorBidi" w:hAnsiTheme="minorBidi"/>
          <w:rtl/>
        </w:rPr>
        <w:t xml:space="preserve"> ונותנין לפניהם מזונות. </w:t>
      </w:r>
      <w:r w:rsidRPr="007604C2">
        <w:rPr>
          <w:rFonts w:asciiTheme="minorBidi" w:hAnsiTheme="minorBidi"/>
          <w:u w:val="single"/>
          <w:rtl/>
        </w:rPr>
        <w:t>רבן שמעון בן גמליאל אומר</w:t>
      </w:r>
      <w:r w:rsidRPr="007604C2">
        <w:rPr>
          <w:rFonts w:asciiTheme="minorBidi" w:hAnsiTheme="minorBidi"/>
          <w:rtl/>
        </w:rPr>
        <w:t>: לא כל הביברין שוין. זה הכלל: כל המחוסר צידה</w:t>
      </w:r>
      <w:r w:rsidRPr="005275DF">
        <w:rPr>
          <w:rStyle w:val="a9"/>
          <w:rFonts w:asciiTheme="minorBidi" w:hAnsiTheme="minorBidi"/>
          <w:rtl/>
        </w:rPr>
        <w:footnoteReference w:id="2523"/>
      </w:r>
      <w:r w:rsidRPr="007604C2">
        <w:rPr>
          <w:rFonts w:asciiTheme="minorBidi" w:hAnsiTheme="minorBidi"/>
          <w:rtl/>
        </w:rPr>
        <w:t xml:space="preserve"> - אסור, ושאינו מחוסר צידה - מותר.         </w:t>
      </w:r>
      <w:r w:rsidRPr="007604C2">
        <w:rPr>
          <w:rFonts w:asciiTheme="minorBidi" w:hAnsiTheme="minorBidi"/>
          <w:u w:val="double"/>
          <w:rtl/>
        </w:rPr>
        <w:t>גמ'</w:t>
      </w:r>
      <w:r w:rsidRPr="007604C2">
        <w:rPr>
          <w:rFonts w:asciiTheme="minorBidi" w:hAnsiTheme="minorBidi"/>
          <w:sz w:val="14"/>
          <w:szCs w:val="14"/>
          <w:u w:val="double"/>
          <w:rtl/>
        </w:rPr>
        <w:t>(כד.)</w:t>
      </w:r>
      <w:r w:rsidRPr="007604C2">
        <w:rPr>
          <w:rFonts w:asciiTheme="minorBidi" w:hAnsiTheme="minorBidi"/>
          <w:u w:val="double"/>
          <w:rtl/>
        </w:rPr>
        <w:t>:</w:t>
      </w:r>
      <w:r w:rsidRPr="007604C2">
        <w:rPr>
          <w:rFonts w:asciiTheme="minorBidi" w:hAnsiTheme="minorBidi"/>
          <w:rtl/>
        </w:rPr>
        <w:t xml:space="preserve"> היכי דמי ביבר קטן היכי דמי ביבר גדול? </w:t>
      </w:r>
      <w:r w:rsidRPr="007604C2">
        <w:rPr>
          <w:rFonts w:asciiTheme="minorBidi" w:hAnsiTheme="minorBidi"/>
          <w:u w:val="single"/>
          <w:rtl/>
        </w:rPr>
        <w:t>אמר רב אשי</w:t>
      </w:r>
      <w:r w:rsidRPr="007604C2">
        <w:rPr>
          <w:rFonts w:asciiTheme="minorBidi" w:hAnsiTheme="minorBidi"/>
          <w:rtl/>
        </w:rPr>
        <w:t>: כל היכא דרהיט אבתרה ומטי לה בחד שחיא</w:t>
      </w:r>
      <w:r w:rsidRPr="005275DF">
        <w:rPr>
          <w:rStyle w:val="a9"/>
          <w:rFonts w:asciiTheme="minorBidi" w:hAnsiTheme="minorBidi"/>
          <w:rtl/>
        </w:rPr>
        <w:footnoteReference w:id="2524"/>
      </w:r>
      <w:r w:rsidRPr="007604C2">
        <w:rPr>
          <w:rFonts w:asciiTheme="minorBidi" w:hAnsiTheme="minorBidi"/>
          <w:rtl/>
        </w:rPr>
        <w:t xml:space="preserve"> - ביבר קטן, ואידך - ביבר גדול. אי נמי: כל היכא דאיכא עוקצי עוקצי</w:t>
      </w:r>
      <w:r>
        <w:rPr>
          <w:rStyle w:val="a9"/>
          <w:rFonts w:asciiTheme="minorBidi" w:hAnsiTheme="minorBidi"/>
          <w:rtl/>
        </w:rPr>
        <w:footnoteReference w:id="2525"/>
      </w:r>
      <w:r w:rsidRPr="007604C2">
        <w:rPr>
          <w:rFonts w:asciiTheme="minorBidi" w:hAnsiTheme="minorBidi"/>
          <w:rtl/>
        </w:rPr>
        <w:t xml:space="preserve"> - ביבר גדול, ואידך ביבר קטן. אי נמי: כל היכא דנפלי טולא דכתלי אהדדי</w:t>
      </w:r>
      <w:r>
        <w:rPr>
          <w:rStyle w:val="a9"/>
          <w:rFonts w:asciiTheme="minorBidi" w:hAnsiTheme="minorBidi"/>
          <w:rtl/>
        </w:rPr>
        <w:footnoteReference w:id="2526"/>
      </w:r>
      <w:r w:rsidRPr="007604C2">
        <w:rPr>
          <w:rFonts w:asciiTheme="minorBidi" w:hAnsiTheme="minorBidi"/>
          <w:rtl/>
        </w:rPr>
        <w:t xml:space="preserve"> - ביבר קטן, ואידך - ביבר גדול... היכי דמי מחוסר צידה? </w:t>
      </w:r>
      <w:r w:rsidRPr="007604C2">
        <w:rPr>
          <w:rFonts w:asciiTheme="minorBidi" w:hAnsiTheme="minorBidi"/>
          <w:u w:val="single"/>
          <w:rtl/>
        </w:rPr>
        <w:t>אמר רב יוסף אמר רב יהודה אמר שמואל</w:t>
      </w:r>
      <w:r w:rsidRPr="007604C2">
        <w:rPr>
          <w:rFonts w:asciiTheme="minorBidi" w:hAnsiTheme="minorBidi"/>
          <w:rtl/>
        </w:rPr>
        <w:t>: כל שאומר הבא מצודה ונצודנו</w:t>
      </w:r>
      <w:r w:rsidRPr="005275DF">
        <w:rPr>
          <w:rStyle w:val="a9"/>
          <w:rFonts w:asciiTheme="minorBidi" w:hAnsiTheme="minorBidi"/>
          <w:rtl/>
        </w:rPr>
        <w:footnoteReference w:id="2527"/>
      </w:r>
      <w:r w:rsidRPr="007604C2">
        <w:rPr>
          <w:rFonts w:asciiTheme="minorBidi" w:hAnsiTheme="minorBidi"/>
          <w:rtl/>
        </w:rPr>
        <w:t xml:space="preserve">. </w:t>
      </w:r>
      <w:r w:rsidRPr="007604C2">
        <w:rPr>
          <w:rFonts w:asciiTheme="minorBidi" w:hAnsiTheme="minorBidi"/>
          <w:u w:val="single"/>
          <w:rtl/>
        </w:rPr>
        <w:t>אמר ליה אביי</w:t>
      </w:r>
      <w:r w:rsidRPr="007604C2">
        <w:rPr>
          <w:rFonts w:asciiTheme="minorBidi" w:hAnsiTheme="minorBidi"/>
          <w:rtl/>
        </w:rPr>
        <w:t>: והא אווזין ותרנגולין שאומרים הבא מצודה ונצודנו</w:t>
      </w:r>
      <w:r>
        <w:rPr>
          <w:rFonts w:asciiTheme="minorBidi" w:hAnsiTheme="minorBidi" w:hint="cs"/>
          <w:rtl/>
        </w:rPr>
        <w:t>,</w:t>
      </w:r>
      <w:r w:rsidRPr="007604C2">
        <w:rPr>
          <w:rFonts w:asciiTheme="minorBidi" w:hAnsiTheme="minorBidi"/>
          <w:rtl/>
        </w:rPr>
        <w:t xml:space="preserve"> ותניא</w:t>
      </w:r>
      <w:r>
        <w:rPr>
          <w:rFonts w:asciiTheme="minorBidi" w:hAnsiTheme="minorBidi" w:hint="cs"/>
          <w:rtl/>
        </w:rPr>
        <w:t>:</w:t>
      </w:r>
      <w:r w:rsidRPr="007604C2">
        <w:rPr>
          <w:rFonts w:asciiTheme="minorBidi" w:hAnsiTheme="minorBidi"/>
          <w:rtl/>
        </w:rPr>
        <w:t xml:space="preserve"> הצד אווזין ותרנגולין ויוני הרדיסאות פטור! </w:t>
      </w:r>
      <w:r w:rsidRPr="007604C2">
        <w:rPr>
          <w:rFonts w:asciiTheme="minorBidi" w:hAnsiTheme="minorBidi"/>
          <w:u w:val="single"/>
          <w:rtl/>
        </w:rPr>
        <w:t>אמר רבה בר רב הונא אמר שמואל</w:t>
      </w:r>
      <w:r w:rsidRPr="007604C2">
        <w:rPr>
          <w:rFonts w:asciiTheme="minorBidi" w:hAnsiTheme="minorBidi"/>
          <w:rtl/>
        </w:rPr>
        <w:t>: הללו באין לכלובן לערב</w:t>
      </w:r>
      <w:r w:rsidRPr="005275DF">
        <w:rPr>
          <w:rStyle w:val="a9"/>
          <w:rFonts w:asciiTheme="minorBidi" w:hAnsiTheme="minorBidi"/>
          <w:rtl/>
        </w:rPr>
        <w:footnoteReference w:id="2528"/>
      </w:r>
      <w:r w:rsidRPr="007604C2">
        <w:rPr>
          <w:rFonts w:asciiTheme="minorBidi" w:hAnsiTheme="minorBidi"/>
          <w:rtl/>
        </w:rPr>
        <w:t>, והללו אין באין לכלובן לערב. והרי יוני שובך ויוני עלייה</w:t>
      </w:r>
      <w:r w:rsidRPr="005275DF">
        <w:rPr>
          <w:rStyle w:val="a9"/>
          <w:rFonts w:asciiTheme="minorBidi" w:hAnsiTheme="minorBidi"/>
          <w:rtl/>
        </w:rPr>
        <w:footnoteReference w:id="2529"/>
      </w:r>
      <w:r w:rsidRPr="007604C2">
        <w:rPr>
          <w:rFonts w:asciiTheme="minorBidi" w:hAnsiTheme="minorBidi"/>
          <w:rtl/>
        </w:rPr>
        <w:t xml:space="preserve"> דבאין לכלובן לערב ותניא הצד יוני שובך ויוני עלייה וצפרים שקננו בטפיחין בבירות</w:t>
      </w:r>
      <w:r w:rsidRPr="005275DF">
        <w:rPr>
          <w:rStyle w:val="a9"/>
          <w:rFonts w:asciiTheme="minorBidi" w:hAnsiTheme="minorBidi"/>
          <w:rtl/>
        </w:rPr>
        <w:footnoteReference w:id="2530"/>
      </w:r>
      <w:r w:rsidRPr="007604C2">
        <w:rPr>
          <w:rFonts w:asciiTheme="minorBidi" w:hAnsiTheme="minorBidi"/>
          <w:rtl/>
        </w:rPr>
        <w:t xml:space="preserve"> - חייב! </w:t>
      </w:r>
      <w:r w:rsidRPr="005C0C88">
        <w:rPr>
          <w:rFonts w:asciiTheme="minorBidi" w:hAnsiTheme="minorBidi"/>
          <w:u w:val="single"/>
          <w:rtl/>
        </w:rPr>
        <w:t>אלא אמר</w:t>
      </w:r>
      <w:r w:rsidRPr="007604C2">
        <w:rPr>
          <w:rFonts w:asciiTheme="minorBidi" w:hAnsiTheme="minorBidi"/>
          <w:u w:val="single"/>
          <w:rtl/>
        </w:rPr>
        <w:t xml:space="preserve"> רבה בר רב הונא אמר שמואל</w:t>
      </w:r>
      <w:r w:rsidRPr="007604C2">
        <w:rPr>
          <w:rFonts w:asciiTheme="minorBidi" w:hAnsiTheme="minorBidi"/>
          <w:rtl/>
        </w:rPr>
        <w:t>: הללו באין לכלובן לערב ומזונותן עליך</w:t>
      </w:r>
      <w:r w:rsidRPr="005275DF">
        <w:rPr>
          <w:rStyle w:val="a9"/>
          <w:rFonts w:asciiTheme="minorBidi" w:hAnsiTheme="minorBidi"/>
          <w:rtl/>
        </w:rPr>
        <w:footnoteReference w:id="2531"/>
      </w:r>
      <w:r w:rsidRPr="007604C2">
        <w:rPr>
          <w:rFonts w:asciiTheme="minorBidi" w:hAnsiTheme="minorBidi"/>
          <w:rtl/>
        </w:rPr>
        <w:t xml:space="preserve">, והללו באין לכלובן לערב ואין מזונותן עליך. </w:t>
      </w:r>
      <w:r w:rsidRPr="007604C2">
        <w:rPr>
          <w:rFonts w:asciiTheme="minorBidi" w:hAnsiTheme="minorBidi"/>
          <w:u w:val="single"/>
          <w:rtl/>
        </w:rPr>
        <w:t>רב מרי אמר</w:t>
      </w:r>
      <w:r w:rsidRPr="007604C2">
        <w:rPr>
          <w:rFonts w:asciiTheme="minorBidi" w:hAnsiTheme="minorBidi"/>
          <w:rtl/>
        </w:rPr>
        <w:t>: הני עבידי לרבויי</w:t>
      </w:r>
      <w:r w:rsidRPr="005275DF">
        <w:rPr>
          <w:rStyle w:val="a9"/>
          <w:rFonts w:asciiTheme="minorBidi" w:hAnsiTheme="minorBidi"/>
          <w:rtl/>
        </w:rPr>
        <w:footnoteReference w:id="2532"/>
      </w:r>
      <w:r w:rsidRPr="007604C2">
        <w:rPr>
          <w:rFonts w:asciiTheme="minorBidi" w:hAnsiTheme="minorBidi"/>
          <w:rtl/>
        </w:rPr>
        <w:t xml:space="preserve"> והני לא עבידי לרבויי. כולהו נמי עבידי לרבויי! לכלובן קאמרינן דעבידי לרבויי</w:t>
      </w:r>
      <w:r w:rsidRPr="005275DF">
        <w:rPr>
          <w:rStyle w:val="a9"/>
          <w:rFonts w:asciiTheme="minorBidi" w:hAnsiTheme="minorBidi"/>
          <w:rtl/>
        </w:rPr>
        <w:footnoteReference w:id="2533"/>
      </w:r>
      <w:r w:rsidRPr="007604C2">
        <w:rPr>
          <w:rFonts w:asciiTheme="minorBidi" w:hAnsiTheme="minorBidi"/>
          <w:rtl/>
        </w:rPr>
        <w:t xml:space="preserve">. </w:t>
      </w:r>
    </w:p>
    <w:p w14:paraId="5D87DCF5" w14:textId="77777777" w:rsidR="0064160A" w:rsidRPr="0064160A" w:rsidRDefault="0064160A" w:rsidP="00434A6A">
      <w:pPr>
        <w:rPr>
          <w:rFonts w:asciiTheme="minorBidi" w:hAnsiTheme="minorBidi" w:cs="Arial"/>
          <w:u w:val="single"/>
          <w:rtl/>
        </w:rPr>
      </w:pPr>
      <w:r w:rsidRPr="0064160A">
        <w:rPr>
          <w:rFonts w:asciiTheme="minorBidi" w:hAnsiTheme="minorBidi"/>
          <w:u w:val="single"/>
          <w:rtl/>
        </w:rPr>
        <w:t>צידת חיה ועוף שברשותו</w:t>
      </w:r>
      <w:r w:rsidRPr="0064160A">
        <w:rPr>
          <w:rFonts w:asciiTheme="minorBidi" w:hAnsiTheme="minorBidi" w:cs="Arial" w:hint="cs"/>
          <w:u w:val="single"/>
          <w:rtl/>
        </w:rPr>
        <w:t xml:space="preserve">: </w:t>
      </w:r>
    </w:p>
    <w:p w14:paraId="4ED05161" w14:textId="0795AEEA" w:rsidR="00FC4852" w:rsidRDefault="0064160A" w:rsidP="00434A6A">
      <w:pPr>
        <w:pStyle w:val="aa"/>
        <w:numPr>
          <w:ilvl w:val="0"/>
          <w:numId w:val="30"/>
        </w:numPr>
        <w:rPr>
          <w:rFonts w:asciiTheme="minorBidi" w:hAnsiTheme="minorBidi" w:cs="Arial"/>
        </w:rPr>
      </w:pPr>
      <w:r w:rsidRPr="0064160A">
        <w:rPr>
          <w:rFonts w:asciiTheme="minorBidi" w:hAnsiTheme="minorBidi" w:cs="Arial" w:hint="cs"/>
          <w:rtl/>
        </w:rPr>
        <w:t xml:space="preserve">הגה"מ </w:t>
      </w:r>
      <w:r w:rsidRPr="0064160A">
        <w:rPr>
          <w:rFonts w:asciiTheme="minorBidi" w:hAnsiTheme="minorBidi" w:cs="Arial" w:hint="cs"/>
          <w:sz w:val="16"/>
          <w:szCs w:val="16"/>
          <w:rtl/>
        </w:rPr>
        <w:t>(פ"י הכ"ד אות ר)</w:t>
      </w:r>
      <w:r w:rsidRPr="0064160A">
        <w:rPr>
          <w:rFonts w:asciiTheme="minorBidi" w:hAnsiTheme="minorBidi" w:cs="Arial" w:hint="cs"/>
          <w:rtl/>
        </w:rPr>
        <w:t xml:space="preserve">- </w:t>
      </w:r>
      <w:r w:rsidRPr="0064160A">
        <w:rPr>
          <w:rFonts w:asciiTheme="minorBidi" w:hAnsiTheme="minorBidi" w:cs="Arial"/>
          <w:rtl/>
        </w:rPr>
        <w:t>חיה ועוף שברשותו הצדן פטור</w:t>
      </w:r>
      <w:r w:rsidR="001860A1">
        <w:rPr>
          <w:rFonts w:asciiTheme="minorBidi" w:hAnsiTheme="minorBidi" w:cs="Arial" w:hint="cs"/>
          <w:rtl/>
        </w:rPr>
        <w:t>,</w:t>
      </w:r>
      <w:r w:rsidRPr="0064160A">
        <w:rPr>
          <w:rFonts w:asciiTheme="minorBidi" w:hAnsiTheme="minorBidi" w:cs="Arial"/>
          <w:rtl/>
        </w:rPr>
        <w:t xml:space="preserve"> וכל פטורי דשבת פטור אבל אסור. והא דתנן אבל צדין חיה ועוף </w:t>
      </w:r>
      <w:r>
        <w:rPr>
          <w:rFonts w:asciiTheme="minorBidi" w:hAnsiTheme="minorBidi" w:cs="Arial" w:hint="cs"/>
          <w:rtl/>
        </w:rPr>
        <w:t xml:space="preserve">(ביצה כג:) </w:t>
      </w:r>
      <w:r w:rsidRPr="0064160A">
        <w:rPr>
          <w:rFonts w:asciiTheme="minorBidi" w:hAnsiTheme="minorBidi" w:cs="Arial"/>
          <w:rtl/>
        </w:rPr>
        <w:t>היינו ביום טוב שצדן לכתחילה כדי לשוחטן ולאוכלן</w:t>
      </w:r>
      <w:r w:rsidR="000156E6">
        <w:rPr>
          <w:rFonts w:asciiTheme="minorBidi" w:hAnsiTheme="minorBidi" w:cs="Arial" w:hint="cs"/>
          <w:rtl/>
        </w:rPr>
        <w:t>,</w:t>
      </w:r>
      <w:r w:rsidRPr="0064160A">
        <w:rPr>
          <w:rFonts w:asciiTheme="minorBidi" w:hAnsiTheme="minorBidi" w:cs="Arial"/>
          <w:rtl/>
        </w:rPr>
        <w:t xml:space="preserve"> אבל הכא דבשבת לא</w:t>
      </w:r>
      <w:r w:rsidR="000156E6">
        <w:rPr>
          <w:rFonts w:asciiTheme="minorBidi" w:hAnsiTheme="minorBidi" w:cs="Arial" w:hint="cs"/>
          <w:rtl/>
        </w:rPr>
        <w:t>,</w:t>
      </w:r>
      <w:r w:rsidRPr="0064160A">
        <w:rPr>
          <w:rFonts w:asciiTheme="minorBidi" w:hAnsiTheme="minorBidi" w:cs="Arial"/>
          <w:rtl/>
        </w:rPr>
        <w:t xml:space="preserve"> וכגון דעבידי לרבויי כשרוצה לתופשן</w:t>
      </w:r>
      <w:r w:rsidR="001860A1">
        <w:rPr>
          <w:rFonts w:asciiTheme="minorBidi" w:hAnsiTheme="minorBidi" w:cs="Arial" w:hint="cs"/>
          <w:rtl/>
        </w:rPr>
        <w:t>,</w:t>
      </w:r>
      <w:r w:rsidRPr="0064160A">
        <w:rPr>
          <w:rFonts w:asciiTheme="minorBidi" w:hAnsiTheme="minorBidi" w:cs="Arial"/>
          <w:rtl/>
        </w:rPr>
        <w:t xml:space="preserve"> והן בבית גדול כ"כ שאם לא גדלו בין בני אדם היו צריכים מצודה </w:t>
      </w:r>
      <w:r w:rsidR="001860A1">
        <w:rPr>
          <w:rFonts w:asciiTheme="minorBidi" w:hAnsiTheme="minorBidi" w:cs="Arial" w:hint="cs"/>
          <w:rtl/>
        </w:rPr>
        <w:t xml:space="preserve">- </w:t>
      </w:r>
      <w:r w:rsidRPr="0064160A">
        <w:rPr>
          <w:rFonts w:asciiTheme="minorBidi" w:hAnsiTheme="minorBidi" w:cs="Arial"/>
          <w:rtl/>
        </w:rPr>
        <w:t>אסור לתופשם</w:t>
      </w:r>
      <w:r w:rsidR="001860A1">
        <w:rPr>
          <w:rStyle w:val="a9"/>
          <w:rFonts w:asciiTheme="minorBidi" w:hAnsiTheme="minorBidi" w:cs="Arial"/>
          <w:rtl/>
        </w:rPr>
        <w:footnoteReference w:id="2534"/>
      </w:r>
      <w:r w:rsidR="000156E6">
        <w:rPr>
          <w:rFonts w:asciiTheme="minorBidi" w:hAnsiTheme="minorBidi" w:cs="Arial" w:hint="cs"/>
          <w:rtl/>
        </w:rPr>
        <w:t>,</w:t>
      </w:r>
      <w:r w:rsidRPr="0064160A">
        <w:rPr>
          <w:rFonts w:asciiTheme="minorBidi" w:hAnsiTheme="minorBidi" w:cs="Arial"/>
          <w:rtl/>
        </w:rPr>
        <w:t xml:space="preserve"> ואף לדחותן במקום צר שנוחין ליתפש</w:t>
      </w:r>
      <w:r w:rsidR="000156E6">
        <w:rPr>
          <w:rFonts w:asciiTheme="minorBidi" w:hAnsiTheme="minorBidi" w:cs="Arial" w:hint="cs"/>
          <w:rtl/>
        </w:rPr>
        <w:t>,</w:t>
      </w:r>
      <w:r w:rsidRPr="0064160A">
        <w:rPr>
          <w:rFonts w:asciiTheme="minorBidi" w:hAnsiTheme="minorBidi" w:cs="Arial"/>
          <w:rtl/>
        </w:rPr>
        <w:t xml:space="preserve"> וכן קבלתי ממורי קרובי ז"ל</w:t>
      </w:r>
      <w:r w:rsidR="000156E6">
        <w:rPr>
          <w:rFonts w:asciiTheme="minorBidi" w:hAnsiTheme="minorBidi" w:cs="Arial" w:hint="cs"/>
          <w:rtl/>
        </w:rPr>
        <w:t>.</w:t>
      </w:r>
      <w:r w:rsidRPr="0064160A">
        <w:rPr>
          <w:rFonts w:asciiTheme="minorBidi" w:hAnsiTheme="minorBidi" w:cs="Arial"/>
          <w:rtl/>
        </w:rPr>
        <w:t xml:space="preserve"> הילכך צריכין ישראל ליזהר שלא לתפוס בשבת סוס שמרד ופרה מורדת שעשויין לרבויי</w:t>
      </w:r>
      <w:r w:rsidR="001860A1">
        <w:rPr>
          <w:rFonts w:asciiTheme="minorBidi" w:hAnsiTheme="minorBidi" w:cs="Arial" w:hint="cs"/>
          <w:rtl/>
        </w:rPr>
        <w:t>,</w:t>
      </w:r>
      <w:r w:rsidRPr="0064160A">
        <w:rPr>
          <w:rFonts w:asciiTheme="minorBidi" w:hAnsiTheme="minorBidi" w:cs="Arial"/>
          <w:rtl/>
        </w:rPr>
        <w:t xml:space="preserve"> אפי' בחצר אם החצר גדולה שאם לא גדלו בין בני אדם היו צריכין מצודה</w:t>
      </w:r>
      <w:r w:rsidR="001860A1">
        <w:rPr>
          <w:rFonts w:asciiTheme="minorBidi" w:hAnsiTheme="minorBidi" w:cs="Arial" w:hint="cs"/>
          <w:rtl/>
        </w:rPr>
        <w:t>,</w:t>
      </w:r>
      <w:r w:rsidRPr="0064160A">
        <w:rPr>
          <w:rFonts w:asciiTheme="minorBidi" w:hAnsiTheme="minorBidi" w:cs="Arial"/>
          <w:rtl/>
        </w:rPr>
        <w:t xml:space="preserve"> ובירושלמי אמר רבי יוסי הדא אמרה סוס שמרד בשבת וכו'</w:t>
      </w:r>
      <w:r w:rsidR="001860A1">
        <w:rPr>
          <w:rFonts w:asciiTheme="minorBidi" w:hAnsiTheme="minorBidi" w:cs="Arial" w:hint="cs"/>
          <w:rtl/>
        </w:rPr>
        <w:t>.</w:t>
      </w:r>
      <w:r w:rsidRPr="0064160A">
        <w:rPr>
          <w:rFonts w:asciiTheme="minorBidi" w:hAnsiTheme="minorBidi" w:cs="Arial"/>
          <w:rtl/>
        </w:rPr>
        <w:t xml:space="preserve"> אע</w:t>
      </w:r>
      <w:r w:rsidR="001860A1">
        <w:rPr>
          <w:rFonts w:asciiTheme="minorBidi" w:hAnsiTheme="minorBidi" w:cs="Arial" w:hint="cs"/>
          <w:rtl/>
        </w:rPr>
        <w:t>"</w:t>
      </w:r>
      <w:r w:rsidRPr="0064160A">
        <w:rPr>
          <w:rFonts w:asciiTheme="minorBidi" w:hAnsiTheme="minorBidi" w:cs="Arial"/>
          <w:rtl/>
        </w:rPr>
        <w:t>פ שיש לדחות ולומר דפטור ומותר ואיידי דבעי למיתנא בחובל בהן חייב תנא הצדן פטור כדאמרי' בבמה מדליקין המכבה את הנר כה"ג, אפ"ה ראוי להחמיר</w:t>
      </w:r>
      <w:r w:rsidR="00B41A28">
        <w:rPr>
          <w:rStyle w:val="a9"/>
          <w:rFonts w:asciiTheme="minorBidi" w:hAnsiTheme="minorBidi" w:cs="Arial"/>
          <w:rtl/>
        </w:rPr>
        <w:footnoteReference w:id="2535"/>
      </w:r>
      <w:r w:rsidRPr="0064160A">
        <w:rPr>
          <w:rFonts w:asciiTheme="minorBidi" w:hAnsiTheme="minorBidi" w:cs="Arial"/>
          <w:rtl/>
        </w:rPr>
        <w:t xml:space="preserve"> עכ"ל רבינו ברוך ממגינצ"א</w:t>
      </w:r>
      <w:r w:rsidRPr="0064160A">
        <w:rPr>
          <w:rFonts w:asciiTheme="minorBidi" w:hAnsiTheme="minorBidi" w:cs="Arial" w:hint="cs"/>
          <w:rtl/>
        </w:rPr>
        <w:t>.</w:t>
      </w:r>
      <w:r w:rsidR="001860A1">
        <w:rPr>
          <w:rFonts w:asciiTheme="minorBidi" w:hAnsiTheme="minorBidi" w:cs="Arial" w:hint="cs"/>
          <w:rtl/>
        </w:rPr>
        <w:t xml:space="preserve"> </w:t>
      </w:r>
      <w:r w:rsidR="001860A1" w:rsidRPr="001860A1">
        <w:rPr>
          <w:rFonts w:asciiTheme="minorBidi" w:hAnsiTheme="minorBidi" w:cs="Arial" w:hint="cs"/>
          <w:color w:val="E36C0A" w:themeColor="accent6" w:themeShade="BF"/>
          <w:rtl/>
        </w:rPr>
        <w:t>(וכ"פ בשו"ע)</w:t>
      </w:r>
    </w:p>
    <w:p w14:paraId="22370969" w14:textId="382CE876" w:rsidR="00A77336" w:rsidRDefault="00B76D52" w:rsidP="00434A6A">
      <w:pPr>
        <w:pStyle w:val="aa"/>
        <w:numPr>
          <w:ilvl w:val="0"/>
          <w:numId w:val="30"/>
        </w:numPr>
        <w:rPr>
          <w:rFonts w:asciiTheme="minorBidi" w:hAnsiTheme="minorBidi" w:cs="Arial"/>
        </w:rPr>
      </w:pPr>
      <w:r>
        <w:rPr>
          <w:rFonts w:asciiTheme="minorBidi" w:hAnsiTheme="minorBidi" w:cs="Arial" w:hint="cs"/>
          <w:rtl/>
        </w:rPr>
        <w:t xml:space="preserve">רש"י </w:t>
      </w:r>
      <w:r>
        <w:rPr>
          <w:rFonts w:asciiTheme="minorBidi" w:hAnsiTheme="minorBidi" w:cs="Arial" w:hint="cs"/>
          <w:sz w:val="16"/>
          <w:szCs w:val="16"/>
          <w:rtl/>
        </w:rPr>
        <w:t>(ביצה כד. ד"ה לכלובן)</w:t>
      </w:r>
      <w:r>
        <w:rPr>
          <w:rFonts w:asciiTheme="minorBidi" w:hAnsiTheme="minorBidi" w:cs="Arial" w:hint="cs"/>
          <w:rtl/>
        </w:rPr>
        <w:t xml:space="preserve"> </w:t>
      </w:r>
      <w:r w:rsidR="00811391">
        <w:rPr>
          <w:rFonts w:asciiTheme="minorBidi" w:hAnsiTheme="minorBidi" w:cs="Arial" w:hint="cs"/>
          <w:rtl/>
        </w:rPr>
        <w:t xml:space="preserve">בהעי"ט </w:t>
      </w:r>
      <w:r w:rsidR="00811391">
        <w:rPr>
          <w:rFonts w:asciiTheme="minorBidi" w:hAnsiTheme="minorBidi" w:cs="Arial" w:hint="cs"/>
          <w:sz w:val="16"/>
          <w:szCs w:val="16"/>
          <w:rtl/>
        </w:rPr>
        <w:t>(כ"כ הרא"ש בשמו [ביצה פ"ג סי' א])</w:t>
      </w:r>
      <w:r w:rsidR="00811391">
        <w:rPr>
          <w:rFonts w:asciiTheme="minorBidi" w:hAnsiTheme="minorBidi" w:cs="Arial" w:hint="cs"/>
          <w:rtl/>
        </w:rPr>
        <w:t xml:space="preserve"> ו</w:t>
      </w:r>
      <w:r w:rsidR="00A77336">
        <w:rPr>
          <w:rFonts w:asciiTheme="minorBidi" w:hAnsiTheme="minorBidi" w:cs="Arial" w:hint="cs"/>
          <w:rtl/>
        </w:rPr>
        <w:t xml:space="preserve">רשב"א </w:t>
      </w:r>
      <w:r w:rsidR="00A77336">
        <w:rPr>
          <w:rFonts w:asciiTheme="minorBidi" w:hAnsiTheme="minorBidi" w:cs="Arial" w:hint="cs"/>
          <w:sz w:val="16"/>
          <w:szCs w:val="16"/>
          <w:rtl/>
        </w:rPr>
        <w:t>(ביצה כד. ד"ה הא)</w:t>
      </w:r>
      <w:r w:rsidR="00A77336">
        <w:rPr>
          <w:rFonts w:asciiTheme="minorBidi" w:hAnsiTheme="minorBidi" w:cs="Arial" w:hint="cs"/>
          <w:rtl/>
        </w:rPr>
        <w:t xml:space="preserve">- </w:t>
      </w:r>
      <w:r w:rsidR="00A77336" w:rsidRPr="00A77336">
        <w:rPr>
          <w:rFonts w:asciiTheme="minorBidi" w:hAnsiTheme="minorBidi" w:cs="Arial"/>
          <w:rtl/>
        </w:rPr>
        <w:t>הא דתניא הצד אווזין ותרנגולין ויוני הדריסאות פטור</w:t>
      </w:r>
      <w:r w:rsidR="00333597">
        <w:rPr>
          <w:rFonts w:asciiTheme="minorBidi" w:hAnsiTheme="minorBidi" w:cs="Arial" w:hint="cs"/>
          <w:rtl/>
        </w:rPr>
        <w:t xml:space="preserve"> -</w:t>
      </w:r>
      <w:r w:rsidR="00A77336" w:rsidRPr="00A77336">
        <w:rPr>
          <w:rFonts w:asciiTheme="minorBidi" w:hAnsiTheme="minorBidi" w:cs="Arial"/>
          <w:rtl/>
        </w:rPr>
        <w:t xml:space="preserve"> פטור ומותר קאמר</w:t>
      </w:r>
      <w:r w:rsidR="00333597">
        <w:rPr>
          <w:rFonts w:asciiTheme="minorBidi" w:hAnsiTheme="minorBidi" w:cs="Arial" w:hint="cs"/>
          <w:rtl/>
        </w:rPr>
        <w:t>,</w:t>
      </w:r>
      <w:r w:rsidR="00A77336" w:rsidRPr="00A77336">
        <w:rPr>
          <w:rFonts w:asciiTheme="minorBidi" w:hAnsiTheme="minorBidi" w:cs="Arial"/>
          <w:rtl/>
        </w:rPr>
        <w:t xml:space="preserve"> אלא משום דקתני ביוני שובך ויוני עליה חייב לפי שהיא צידה גמורה תנא הכא פטור. ואע</w:t>
      </w:r>
      <w:r w:rsidR="0083305D">
        <w:rPr>
          <w:rFonts w:asciiTheme="minorBidi" w:hAnsiTheme="minorBidi" w:cs="Arial" w:hint="cs"/>
          <w:rtl/>
        </w:rPr>
        <w:t>"</w:t>
      </w:r>
      <w:r w:rsidR="00A77336" w:rsidRPr="00A77336">
        <w:rPr>
          <w:rFonts w:asciiTheme="minorBidi" w:hAnsiTheme="minorBidi" w:cs="Arial"/>
          <w:rtl/>
        </w:rPr>
        <w:t>ג דאמר שמואל (שבת קז</w:t>
      </w:r>
      <w:r w:rsidR="0083305D">
        <w:rPr>
          <w:rFonts w:asciiTheme="minorBidi" w:hAnsiTheme="minorBidi" w:cs="Arial" w:hint="cs"/>
          <w:rtl/>
        </w:rPr>
        <w:t>.</w:t>
      </w:r>
      <w:r w:rsidR="00A77336" w:rsidRPr="00A77336">
        <w:rPr>
          <w:rFonts w:asciiTheme="minorBidi" w:hAnsiTheme="minorBidi" w:cs="Arial"/>
          <w:rtl/>
        </w:rPr>
        <w:t>) כל פטורי דשבת פטור אבל אסור חוץ מצידת צבי וצידת נחש ומפיס מורסא בשבת</w:t>
      </w:r>
      <w:r w:rsidR="00333597">
        <w:rPr>
          <w:rFonts w:asciiTheme="minorBidi" w:hAnsiTheme="minorBidi" w:cs="Arial" w:hint="cs"/>
          <w:rtl/>
        </w:rPr>
        <w:t>,</w:t>
      </w:r>
      <w:r w:rsidR="00A77336" w:rsidRPr="00A77336">
        <w:rPr>
          <w:rFonts w:asciiTheme="minorBidi" w:hAnsiTheme="minorBidi" w:cs="Arial"/>
          <w:rtl/>
        </w:rPr>
        <w:t xml:space="preserve"> ההוא כללא בפטורי דתנו במתני' בלחוד הוא</w:t>
      </w:r>
      <w:r w:rsidR="00811391">
        <w:rPr>
          <w:rFonts w:asciiTheme="minorBidi" w:hAnsiTheme="minorBidi" w:cs="Arial" w:hint="cs"/>
          <w:sz w:val="16"/>
          <w:szCs w:val="16"/>
          <w:rtl/>
        </w:rPr>
        <w:t xml:space="preserve"> (ל' הרשב"א)</w:t>
      </w:r>
      <w:r w:rsidR="00A77336" w:rsidRPr="00A77336">
        <w:rPr>
          <w:rFonts w:asciiTheme="minorBidi" w:hAnsiTheme="minorBidi" w:cs="Arial"/>
          <w:rtl/>
        </w:rPr>
        <w:t>.</w:t>
      </w:r>
    </w:p>
    <w:p w14:paraId="3DF084E2" w14:textId="5975DE67" w:rsidR="00351DFA" w:rsidRPr="0083305D" w:rsidRDefault="00D230CA" w:rsidP="00434A6A">
      <w:pPr>
        <w:pStyle w:val="aa"/>
        <w:numPr>
          <w:ilvl w:val="0"/>
          <w:numId w:val="30"/>
        </w:numPr>
        <w:rPr>
          <w:rFonts w:asciiTheme="minorBidi" w:hAnsiTheme="minorBidi" w:cs="Arial"/>
          <w:rtl/>
        </w:rPr>
      </w:pPr>
      <w:r>
        <w:rPr>
          <w:rFonts w:asciiTheme="minorBidi" w:hAnsiTheme="minorBidi" w:cs="Arial" w:hint="cs"/>
          <w:rtl/>
        </w:rPr>
        <w:t xml:space="preserve">ראב"ן </w:t>
      </w:r>
      <w:r w:rsidRPr="00B41A28">
        <w:rPr>
          <w:rFonts w:asciiTheme="minorBidi" w:hAnsiTheme="minorBidi" w:cs="Arial" w:hint="cs"/>
          <w:sz w:val="16"/>
          <w:szCs w:val="16"/>
          <w:rtl/>
        </w:rPr>
        <w:t>(</w:t>
      </w:r>
      <w:r>
        <w:rPr>
          <w:rFonts w:asciiTheme="minorBidi" w:hAnsiTheme="minorBidi" w:cs="Arial" w:hint="cs"/>
          <w:sz w:val="16"/>
          <w:szCs w:val="16"/>
          <w:rtl/>
        </w:rPr>
        <w:t>כ"כ בשמו השלט"ג</w:t>
      </w:r>
      <w:r w:rsidRPr="00B41A28">
        <w:rPr>
          <w:rFonts w:asciiTheme="minorBidi" w:hAnsiTheme="minorBidi" w:cs="Arial"/>
          <w:sz w:val="16"/>
          <w:szCs w:val="16"/>
          <w:rtl/>
        </w:rPr>
        <w:t xml:space="preserve"> </w:t>
      </w:r>
      <w:r>
        <w:rPr>
          <w:rFonts w:asciiTheme="minorBidi" w:hAnsiTheme="minorBidi" w:cs="Arial" w:hint="cs"/>
          <w:sz w:val="16"/>
          <w:szCs w:val="16"/>
          <w:rtl/>
        </w:rPr>
        <w:t xml:space="preserve">על המרדכי </w:t>
      </w:r>
      <w:r w:rsidRPr="00B41A28">
        <w:rPr>
          <w:rFonts w:asciiTheme="minorBidi" w:hAnsiTheme="minorBidi" w:cs="Arial" w:hint="cs"/>
          <w:sz w:val="16"/>
          <w:szCs w:val="16"/>
          <w:rtl/>
        </w:rPr>
        <w:t xml:space="preserve">שבת </w:t>
      </w:r>
      <w:r>
        <w:rPr>
          <w:rFonts w:asciiTheme="minorBidi" w:hAnsiTheme="minorBidi" w:cs="Arial" w:hint="cs"/>
          <w:sz w:val="16"/>
          <w:szCs w:val="16"/>
          <w:rtl/>
        </w:rPr>
        <w:t xml:space="preserve">תחילת פרק כל הכלים </w:t>
      </w:r>
      <w:r w:rsidRPr="00B41A28">
        <w:rPr>
          <w:rFonts w:asciiTheme="minorBidi" w:hAnsiTheme="minorBidi" w:cs="Arial"/>
          <w:sz w:val="16"/>
          <w:szCs w:val="16"/>
          <w:rtl/>
        </w:rPr>
        <w:t>אות א</w:t>
      </w:r>
      <w:r>
        <w:rPr>
          <w:rFonts w:asciiTheme="minorBidi" w:hAnsiTheme="minorBidi" w:cs="Arial" w:hint="cs"/>
          <w:sz w:val="16"/>
          <w:szCs w:val="16"/>
          <w:rtl/>
        </w:rPr>
        <w:t>, הביא הדרכ"מ [אות ב] חלק מדבריו</w:t>
      </w:r>
      <w:r w:rsidRPr="00B41A28">
        <w:rPr>
          <w:rFonts w:asciiTheme="minorBidi" w:hAnsiTheme="minorBidi" w:cs="Arial" w:hint="cs"/>
          <w:sz w:val="16"/>
          <w:szCs w:val="16"/>
          <w:rtl/>
        </w:rPr>
        <w:t>)</w:t>
      </w:r>
      <w:r>
        <w:rPr>
          <w:rFonts w:asciiTheme="minorBidi" w:hAnsiTheme="minorBidi" w:cs="Arial" w:hint="cs"/>
          <w:rtl/>
        </w:rPr>
        <w:t>-</w:t>
      </w:r>
      <w:r w:rsidRPr="00FC4852">
        <w:rPr>
          <w:rFonts w:cs="Arial"/>
          <w:rtl/>
        </w:rPr>
        <w:t xml:space="preserve"> </w:t>
      </w:r>
      <w:r w:rsidR="00303B89">
        <w:rPr>
          <w:rFonts w:cs="Arial" w:hint="cs"/>
          <w:rtl/>
        </w:rPr>
        <w:t xml:space="preserve">הלכתא בשבת </w:t>
      </w:r>
      <w:r w:rsidR="000156E6" w:rsidRPr="00FC4852">
        <w:rPr>
          <w:rFonts w:cs="Arial"/>
          <w:rtl/>
        </w:rPr>
        <w:t xml:space="preserve">אסור ליקח אווזים ותרנגולים וחיות שיש </w:t>
      </w:r>
      <w:r w:rsidR="00303B89">
        <w:rPr>
          <w:rFonts w:cs="Arial" w:hint="cs"/>
          <w:rtl/>
        </w:rPr>
        <w:t xml:space="preserve">לו </w:t>
      </w:r>
      <w:r w:rsidR="000156E6" w:rsidRPr="00FC4852">
        <w:rPr>
          <w:rFonts w:cs="Arial"/>
          <w:rtl/>
        </w:rPr>
        <w:t>לאדם בתוך ביתו כגון צביים שמגדלן בביתו</w:t>
      </w:r>
      <w:r w:rsidR="00B41A28">
        <w:rPr>
          <w:rFonts w:cs="Arial" w:hint="cs"/>
          <w:rtl/>
        </w:rPr>
        <w:t>,</w:t>
      </w:r>
      <w:r w:rsidR="000156E6" w:rsidRPr="00FC4852">
        <w:rPr>
          <w:rFonts w:cs="Arial"/>
          <w:rtl/>
        </w:rPr>
        <w:t xml:space="preserve"> אבל בהמות מותר כגון פרות ורחלים ושאר בהמות. וחתול </w:t>
      </w:r>
      <w:r>
        <w:rPr>
          <w:rFonts w:cs="Arial" w:hint="cs"/>
          <w:rtl/>
        </w:rPr>
        <w:t>מסתברא שלא</w:t>
      </w:r>
      <w:r w:rsidR="000156E6" w:rsidRPr="00FC4852">
        <w:rPr>
          <w:rFonts w:cs="Arial"/>
          <w:rtl/>
        </w:rPr>
        <w:t xml:space="preserve"> ליקח בשבת </w:t>
      </w:r>
      <w:r>
        <w:rPr>
          <w:rFonts w:cs="Arial" w:hint="cs"/>
          <w:rtl/>
        </w:rPr>
        <w:t>והכי תניא</w:t>
      </w:r>
      <w:r w:rsidR="000156E6" w:rsidRPr="00FC4852">
        <w:rPr>
          <w:rFonts w:cs="Arial"/>
          <w:rtl/>
        </w:rPr>
        <w:t xml:space="preserve"> בתוספתא (פי"ג ה"ה)</w:t>
      </w:r>
      <w:r w:rsidRPr="00D230CA">
        <w:rPr>
          <w:rFonts w:asciiTheme="minorBidi" w:hAnsiTheme="minorBidi" w:cs="Arial"/>
          <w:rtl/>
        </w:rPr>
        <w:t xml:space="preserve"> </w:t>
      </w:r>
      <w:r w:rsidRPr="00FC4852">
        <w:rPr>
          <w:rFonts w:asciiTheme="minorBidi" w:hAnsiTheme="minorBidi" w:cs="Arial"/>
          <w:rtl/>
        </w:rPr>
        <w:t>הצד אווזים ותרנגולים ויוני הרדיסאות פטור. מכלל דאסור לכתחלה.</w:t>
      </w:r>
    </w:p>
    <w:p w14:paraId="2996469E" w14:textId="77777777" w:rsidR="005022B5" w:rsidRPr="005275DF" w:rsidRDefault="005022B5" w:rsidP="00434A6A">
      <w:pPr>
        <w:rPr>
          <w:rFonts w:asciiTheme="minorBidi" w:hAnsiTheme="minorBidi"/>
          <w:rtl/>
        </w:rPr>
      </w:pPr>
      <w:r w:rsidRPr="005275DF">
        <w:rPr>
          <w:rFonts w:asciiTheme="minorBidi" w:hAnsiTheme="minorBidi"/>
          <w:b/>
          <w:bCs/>
          <w:sz w:val="32"/>
          <w:szCs w:val="28"/>
          <w:u w:val="single"/>
          <w:rtl/>
        </w:rPr>
        <w:t xml:space="preserve">שו"ע: </w:t>
      </w:r>
    </w:p>
    <w:p w14:paraId="0DAB18B5" w14:textId="7659263E" w:rsidR="003F3C27" w:rsidRPr="009766BD" w:rsidRDefault="005022B5" w:rsidP="00434A6A">
      <w:pPr>
        <w:rPr>
          <w:rFonts w:asciiTheme="minorBidi" w:hAnsiTheme="minorBidi"/>
        </w:rPr>
      </w:pPr>
      <w:r w:rsidRPr="005275DF">
        <w:rPr>
          <w:rFonts w:asciiTheme="minorBidi" w:hAnsiTheme="minorBidi"/>
          <w:rtl/>
        </w:rPr>
        <w:t>חיה ועוף שברשותו</w:t>
      </w:r>
      <w:r w:rsidR="00E11C25">
        <w:rPr>
          <w:rStyle w:val="a9"/>
          <w:rFonts w:asciiTheme="minorBidi" w:hAnsiTheme="minorBidi"/>
          <w:rtl/>
        </w:rPr>
        <w:footnoteReference w:id="2536"/>
      </w:r>
      <w:r w:rsidRPr="005275DF">
        <w:rPr>
          <w:rFonts w:asciiTheme="minorBidi" w:hAnsiTheme="minorBidi"/>
          <w:rtl/>
        </w:rPr>
        <w:t xml:space="preserve"> מותר</w:t>
      </w:r>
      <w:r w:rsidR="00E11C25" w:rsidRPr="005275DF">
        <w:rPr>
          <w:rStyle w:val="a9"/>
          <w:rFonts w:asciiTheme="minorBidi" w:hAnsiTheme="minorBidi"/>
          <w:rtl/>
        </w:rPr>
        <w:footnoteReference w:id="2537"/>
      </w:r>
      <w:r w:rsidRPr="005275DF">
        <w:rPr>
          <w:rFonts w:asciiTheme="minorBidi" w:hAnsiTheme="minorBidi"/>
          <w:rtl/>
        </w:rPr>
        <w:t xml:space="preserve"> לצודן</w:t>
      </w:r>
      <w:r w:rsidR="00E11C25">
        <w:rPr>
          <w:rStyle w:val="a9"/>
          <w:rFonts w:asciiTheme="minorBidi" w:hAnsiTheme="minorBidi"/>
          <w:rtl/>
        </w:rPr>
        <w:footnoteReference w:id="2538"/>
      </w:r>
      <w:r w:rsidRPr="005275DF">
        <w:rPr>
          <w:rFonts w:asciiTheme="minorBidi" w:hAnsiTheme="minorBidi"/>
          <w:rtl/>
        </w:rPr>
        <w:t>, וה</w:t>
      </w:r>
      <w:r w:rsidR="00E01781" w:rsidRPr="005275DF">
        <w:rPr>
          <w:rFonts w:asciiTheme="minorBidi" w:hAnsiTheme="minorBidi"/>
          <w:rtl/>
        </w:rPr>
        <w:t>וא שלא ימרודו</w:t>
      </w:r>
      <w:r w:rsidR="003E546F">
        <w:rPr>
          <w:rFonts w:asciiTheme="minorBidi" w:hAnsiTheme="minorBidi" w:hint="cs"/>
          <w:rtl/>
        </w:rPr>
        <w:t>.</w:t>
      </w:r>
      <w:r w:rsidR="00E01781" w:rsidRPr="005275DF">
        <w:rPr>
          <w:rFonts w:asciiTheme="minorBidi" w:hAnsiTheme="minorBidi"/>
          <w:rtl/>
        </w:rPr>
        <w:t xml:space="preserve"> אבל אם הם מורדים</w:t>
      </w:r>
      <w:r w:rsidRPr="005275DF">
        <w:rPr>
          <w:rFonts w:asciiTheme="minorBidi" w:hAnsiTheme="minorBidi"/>
          <w:rtl/>
        </w:rPr>
        <w:t xml:space="preserve"> אסור ל</w:t>
      </w:r>
      <w:r w:rsidR="00E01781" w:rsidRPr="005275DF">
        <w:rPr>
          <w:rFonts w:asciiTheme="minorBidi" w:hAnsiTheme="minorBidi"/>
          <w:rtl/>
        </w:rPr>
        <w:t>תפסם אפילו בחצר</w:t>
      </w:r>
      <w:r w:rsidRPr="005275DF">
        <w:rPr>
          <w:rFonts w:asciiTheme="minorBidi" w:hAnsiTheme="minorBidi"/>
          <w:rtl/>
        </w:rPr>
        <w:t xml:space="preserve"> אם החצר גדול</w:t>
      </w:r>
      <w:r w:rsidR="00E11C25">
        <w:rPr>
          <w:rStyle w:val="a9"/>
          <w:rFonts w:asciiTheme="minorBidi" w:hAnsiTheme="minorBidi"/>
          <w:rtl/>
        </w:rPr>
        <w:footnoteReference w:id="2539"/>
      </w:r>
      <w:r w:rsidRPr="005275DF">
        <w:rPr>
          <w:rFonts w:asciiTheme="minorBidi" w:hAnsiTheme="minorBidi"/>
          <w:rtl/>
        </w:rPr>
        <w:t xml:space="preserve"> שאם לא גדלו בין בני אדם היו צריכים מצודה</w:t>
      </w:r>
      <w:r w:rsidR="00E11C25">
        <w:rPr>
          <w:rStyle w:val="a9"/>
          <w:rFonts w:asciiTheme="minorBidi" w:hAnsiTheme="minorBidi"/>
          <w:rtl/>
        </w:rPr>
        <w:footnoteReference w:id="2540"/>
      </w:r>
      <w:r w:rsidRPr="005275DF">
        <w:rPr>
          <w:rFonts w:asciiTheme="minorBidi" w:hAnsiTheme="minorBidi"/>
          <w:rtl/>
        </w:rPr>
        <w:t xml:space="preserve">. </w:t>
      </w:r>
      <w:r w:rsidRPr="005275DF">
        <w:rPr>
          <w:rFonts w:asciiTheme="minorBidi" w:hAnsiTheme="minorBidi"/>
          <w:sz w:val="18"/>
          <w:szCs w:val="18"/>
          <w:rtl/>
        </w:rPr>
        <w:t>הגה: וי"א דאסו</w:t>
      </w:r>
      <w:r w:rsidR="00E01781" w:rsidRPr="005275DF">
        <w:rPr>
          <w:rFonts w:asciiTheme="minorBidi" w:hAnsiTheme="minorBidi"/>
          <w:sz w:val="18"/>
          <w:szCs w:val="18"/>
          <w:rtl/>
        </w:rPr>
        <w:t>ר לצוד חיה ועוף שברשותו</w:t>
      </w:r>
      <w:r w:rsidR="00E11C25">
        <w:rPr>
          <w:rStyle w:val="a9"/>
          <w:rFonts w:asciiTheme="minorBidi" w:hAnsiTheme="minorBidi"/>
          <w:sz w:val="18"/>
          <w:szCs w:val="18"/>
          <w:rtl/>
        </w:rPr>
        <w:footnoteReference w:id="2541"/>
      </w:r>
      <w:r w:rsidR="00B41A28">
        <w:rPr>
          <w:rFonts w:asciiTheme="minorBidi" w:hAnsiTheme="minorBidi" w:hint="cs"/>
          <w:sz w:val="18"/>
          <w:szCs w:val="18"/>
          <w:rtl/>
        </w:rPr>
        <w:t>,</w:t>
      </w:r>
      <w:r w:rsidR="00E01781" w:rsidRPr="005275DF">
        <w:rPr>
          <w:rFonts w:asciiTheme="minorBidi" w:hAnsiTheme="minorBidi"/>
          <w:sz w:val="18"/>
          <w:szCs w:val="18"/>
          <w:rtl/>
        </w:rPr>
        <w:t xml:space="preserve"> ואם צדן</w:t>
      </w:r>
      <w:r w:rsidRPr="005275DF">
        <w:rPr>
          <w:rFonts w:asciiTheme="minorBidi" w:hAnsiTheme="minorBidi"/>
          <w:sz w:val="18"/>
          <w:szCs w:val="18"/>
          <w:rtl/>
        </w:rPr>
        <w:t xml:space="preserve"> פט</w:t>
      </w:r>
      <w:r w:rsidR="00E01781" w:rsidRPr="005275DF">
        <w:rPr>
          <w:rFonts w:asciiTheme="minorBidi" w:hAnsiTheme="minorBidi"/>
          <w:sz w:val="18"/>
          <w:szCs w:val="18"/>
          <w:rtl/>
        </w:rPr>
        <w:t>ור (</w:t>
      </w:r>
      <w:r w:rsidR="00E17C1C">
        <w:rPr>
          <w:rFonts w:asciiTheme="minorBidi" w:hAnsiTheme="minorBidi" w:hint="cs"/>
          <w:sz w:val="18"/>
          <w:szCs w:val="18"/>
          <w:rtl/>
        </w:rPr>
        <w:t>שלט"ג בשם ראב"ן</w:t>
      </w:r>
      <w:r w:rsidR="00E01781" w:rsidRPr="005275DF">
        <w:rPr>
          <w:rFonts w:asciiTheme="minorBidi" w:hAnsiTheme="minorBidi"/>
          <w:sz w:val="18"/>
          <w:szCs w:val="18"/>
          <w:rtl/>
        </w:rPr>
        <w:t>). אבל פרה וסוס</w:t>
      </w:r>
      <w:r w:rsidR="00E11C25">
        <w:rPr>
          <w:rStyle w:val="a9"/>
          <w:rFonts w:asciiTheme="minorBidi" w:hAnsiTheme="minorBidi"/>
          <w:sz w:val="18"/>
          <w:szCs w:val="18"/>
          <w:rtl/>
        </w:rPr>
        <w:footnoteReference w:id="2542"/>
      </w:r>
      <w:r w:rsidRPr="005275DF">
        <w:rPr>
          <w:rFonts w:asciiTheme="minorBidi" w:hAnsiTheme="minorBidi"/>
          <w:sz w:val="18"/>
          <w:szCs w:val="18"/>
          <w:rtl/>
        </w:rPr>
        <w:t xml:space="preserve"> וכל שכן שאר חיה ועוף שמרדו, א</w:t>
      </w:r>
      <w:r w:rsidR="00725463" w:rsidRPr="005275DF">
        <w:rPr>
          <w:rFonts w:asciiTheme="minorBidi" w:hAnsiTheme="minorBidi"/>
          <w:sz w:val="18"/>
          <w:szCs w:val="18"/>
          <w:rtl/>
        </w:rPr>
        <w:t>ם צדן חייב חטאת</w:t>
      </w:r>
      <w:r w:rsidR="00B41A28">
        <w:rPr>
          <w:rFonts w:asciiTheme="minorBidi" w:hAnsiTheme="minorBidi" w:hint="cs"/>
          <w:sz w:val="18"/>
          <w:szCs w:val="18"/>
          <w:rtl/>
        </w:rPr>
        <w:t xml:space="preserve"> </w:t>
      </w:r>
      <w:r w:rsidR="00B41A28" w:rsidRPr="005275DF">
        <w:rPr>
          <w:rFonts w:asciiTheme="minorBidi" w:hAnsiTheme="minorBidi"/>
          <w:sz w:val="18"/>
          <w:szCs w:val="18"/>
          <w:rtl/>
        </w:rPr>
        <w:t>(</w:t>
      </w:r>
      <w:r w:rsidR="00E17C1C">
        <w:rPr>
          <w:rFonts w:asciiTheme="minorBidi" w:hAnsiTheme="minorBidi" w:hint="cs"/>
          <w:sz w:val="18"/>
          <w:szCs w:val="18"/>
          <w:rtl/>
        </w:rPr>
        <w:t>כו"ע</w:t>
      </w:r>
      <w:r w:rsidR="00B41A28" w:rsidRPr="005275DF">
        <w:rPr>
          <w:rFonts w:asciiTheme="minorBidi" w:hAnsiTheme="minorBidi"/>
          <w:sz w:val="18"/>
          <w:szCs w:val="18"/>
          <w:rtl/>
        </w:rPr>
        <w:t>)</w:t>
      </w:r>
      <w:r w:rsidR="00E17C1C">
        <w:rPr>
          <w:rFonts w:asciiTheme="minorBidi" w:hAnsiTheme="minorBidi" w:hint="cs"/>
          <w:sz w:val="18"/>
          <w:szCs w:val="18"/>
          <w:rtl/>
        </w:rPr>
        <w:t>,</w:t>
      </w:r>
      <w:r w:rsidR="00725463" w:rsidRPr="005275DF">
        <w:rPr>
          <w:rFonts w:asciiTheme="minorBidi" w:hAnsiTheme="minorBidi"/>
          <w:sz w:val="18"/>
          <w:szCs w:val="18"/>
          <w:rtl/>
        </w:rPr>
        <w:t xml:space="preserve"> וכן עיקר</w:t>
      </w:r>
      <w:r w:rsidRPr="005275DF">
        <w:rPr>
          <w:rFonts w:asciiTheme="minorBidi" w:hAnsiTheme="minorBidi"/>
          <w:sz w:val="18"/>
          <w:szCs w:val="18"/>
          <w:rtl/>
        </w:rPr>
        <w:t>. חתול, דינה כשאר חיה</w:t>
      </w:r>
      <w:r w:rsidR="00333597">
        <w:rPr>
          <w:rStyle w:val="a9"/>
          <w:rFonts w:asciiTheme="minorBidi" w:hAnsiTheme="minorBidi"/>
          <w:sz w:val="18"/>
          <w:szCs w:val="18"/>
          <w:rtl/>
        </w:rPr>
        <w:footnoteReference w:id="2543"/>
      </w:r>
      <w:r w:rsidRPr="005275DF">
        <w:rPr>
          <w:rFonts w:asciiTheme="minorBidi" w:hAnsiTheme="minorBidi"/>
          <w:sz w:val="18"/>
          <w:szCs w:val="18"/>
          <w:rtl/>
        </w:rPr>
        <w:t xml:space="preserve"> ואסור לתפשה בשבת (</w:t>
      </w:r>
      <w:r w:rsidR="00E17C1C">
        <w:rPr>
          <w:rFonts w:asciiTheme="minorBidi" w:hAnsiTheme="minorBidi" w:hint="cs"/>
          <w:sz w:val="18"/>
          <w:szCs w:val="18"/>
          <w:rtl/>
        </w:rPr>
        <w:t>שלט"ג בשם ראב"ן</w:t>
      </w:r>
      <w:r w:rsidRPr="005275DF">
        <w:rPr>
          <w:rFonts w:asciiTheme="minorBidi" w:hAnsiTheme="minorBidi"/>
          <w:sz w:val="18"/>
          <w:szCs w:val="18"/>
          <w:rtl/>
        </w:rPr>
        <w:t>).</w:t>
      </w:r>
    </w:p>
    <w:p w14:paraId="77DF921F" w14:textId="77777777" w:rsidR="008C1C8E" w:rsidRPr="005275DF" w:rsidRDefault="008C1C8E" w:rsidP="00434A6A">
      <w:pPr>
        <w:rPr>
          <w:rFonts w:asciiTheme="minorBidi" w:hAnsiTheme="minorBidi"/>
          <w:rtl/>
        </w:rPr>
      </w:pPr>
    </w:p>
    <w:p w14:paraId="56F59C35" w14:textId="77777777" w:rsidR="008C1C8E" w:rsidRPr="005275DF" w:rsidRDefault="008C1C8E" w:rsidP="00434A6A">
      <w:pPr>
        <w:rPr>
          <w:rFonts w:asciiTheme="minorBidi" w:hAnsiTheme="minorBidi"/>
          <w:rtl/>
        </w:rPr>
      </w:pPr>
    </w:p>
    <w:p w14:paraId="27767B4A" w14:textId="77777777" w:rsidR="008C1C8E" w:rsidRPr="005275DF" w:rsidRDefault="008C1C8E" w:rsidP="00434A6A">
      <w:pPr>
        <w:rPr>
          <w:rFonts w:asciiTheme="minorBidi" w:hAnsiTheme="minorBidi"/>
          <w:rtl/>
        </w:rPr>
      </w:pPr>
    </w:p>
    <w:p w14:paraId="5315022C" w14:textId="77777777" w:rsidR="001F2F31" w:rsidRDefault="001F2F31" w:rsidP="00434A6A">
      <w:pPr>
        <w:pStyle w:val="1"/>
        <w:rPr>
          <w:rFonts w:asciiTheme="minorBidi" w:hAnsiTheme="minorBidi"/>
          <w:rtl/>
        </w:rPr>
        <w:sectPr w:rsidR="001F2F31" w:rsidSect="00BD29B1">
          <w:headerReference w:type="default" r:id="rId87"/>
          <w:footnotePr>
            <w:numRestart w:val="eachSect"/>
          </w:footnotePr>
          <w:pgSz w:w="11906" w:h="16838"/>
          <w:pgMar w:top="720" w:right="1134" w:bottom="720" w:left="1134" w:header="0" w:footer="0" w:gutter="0"/>
          <w:cols w:space="720"/>
          <w:bidi/>
          <w:rtlGutter/>
          <w:docGrid w:linePitch="360"/>
        </w:sectPr>
      </w:pPr>
    </w:p>
    <w:p w14:paraId="07649E27" w14:textId="44DD5C75" w:rsidR="005022B5" w:rsidRPr="005275DF" w:rsidRDefault="005022B5" w:rsidP="00434A6A">
      <w:pPr>
        <w:pStyle w:val="1"/>
        <w:rPr>
          <w:rFonts w:asciiTheme="minorBidi" w:hAnsiTheme="minorBidi"/>
          <w:rtl/>
        </w:rPr>
      </w:pPr>
      <w:r w:rsidRPr="005275DF">
        <w:rPr>
          <w:rFonts w:asciiTheme="minorBidi" w:hAnsiTheme="minorBidi"/>
          <w:rtl/>
        </w:rPr>
        <w:t>סימן שיז: דין קשירה ועניבה בשבת</w:t>
      </w:r>
      <w:r w:rsidR="00884DED">
        <w:rPr>
          <w:rFonts w:asciiTheme="minorBidi" w:hAnsiTheme="minorBidi" w:hint="cs"/>
          <w:rtl/>
        </w:rPr>
        <w:t>, ובו ז' סעיפים</w:t>
      </w:r>
      <w:r w:rsidRPr="005275DF">
        <w:rPr>
          <w:rFonts w:asciiTheme="minorBidi" w:hAnsiTheme="minorBidi"/>
          <w:rtl/>
        </w:rPr>
        <w:t xml:space="preserve">. </w:t>
      </w:r>
    </w:p>
    <w:p w14:paraId="3A13F098" w14:textId="33374525" w:rsidR="005022B5" w:rsidRDefault="005022B5" w:rsidP="00434A6A">
      <w:pPr>
        <w:pStyle w:val="2"/>
        <w:rPr>
          <w:rFonts w:asciiTheme="minorBidi" w:hAnsiTheme="minorBidi" w:cstheme="minorBidi"/>
          <w:rtl/>
        </w:rPr>
      </w:pPr>
      <w:r w:rsidRPr="005275DF">
        <w:rPr>
          <w:rFonts w:asciiTheme="minorBidi" w:hAnsiTheme="minorBidi" w:cstheme="minorBidi"/>
          <w:rtl/>
        </w:rPr>
        <w:t>סעיף א</w:t>
      </w:r>
      <w:r w:rsidR="000B5828" w:rsidRPr="005275DF">
        <w:rPr>
          <w:rFonts w:asciiTheme="minorBidi" w:hAnsiTheme="minorBidi" w:cstheme="minorBidi"/>
          <w:rtl/>
        </w:rPr>
        <w:t xml:space="preserve">: </w:t>
      </w:r>
      <w:r w:rsidR="00D33EAD" w:rsidRPr="005275DF">
        <w:rPr>
          <w:rFonts w:asciiTheme="minorBidi" w:hAnsiTheme="minorBidi" w:cstheme="minorBidi"/>
          <w:rtl/>
        </w:rPr>
        <w:t>סוגי קשרים וחיוביהם.</w:t>
      </w:r>
    </w:p>
    <w:p w14:paraId="6A645DB4" w14:textId="22A478E9" w:rsidR="00765653" w:rsidRPr="00765653" w:rsidRDefault="00765653" w:rsidP="00434A6A">
      <w:pPr>
        <w:rPr>
          <w:rtl/>
        </w:rPr>
      </w:pPr>
      <w:r w:rsidRPr="005275DF">
        <w:rPr>
          <w:rFonts w:asciiTheme="minorBidi" w:hAnsiTheme="minorBidi"/>
          <w:b/>
          <w:bCs/>
          <w:rtl/>
        </w:rPr>
        <w:t xml:space="preserve">שבת </w:t>
      </w:r>
      <w:r>
        <w:rPr>
          <w:rFonts w:asciiTheme="minorBidi" w:hAnsiTheme="minorBidi" w:hint="cs"/>
          <w:b/>
          <w:bCs/>
          <w:sz w:val="16"/>
          <w:szCs w:val="16"/>
          <w:rtl/>
        </w:rPr>
        <w:t xml:space="preserve">(פ' כלל גדול) </w:t>
      </w:r>
      <w:r>
        <w:rPr>
          <w:rFonts w:asciiTheme="minorBidi" w:hAnsiTheme="minorBidi" w:hint="cs"/>
          <w:b/>
          <w:bCs/>
          <w:rtl/>
        </w:rPr>
        <w:t>עד</w:t>
      </w:r>
      <w:r w:rsidRPr="005275DF">
        <w:rPr>
          <w:rFonts w:asciiTheme="minorBidi" w:hAnsiTheme="minorBidi"/>
          <w:b/>
          <w:bCs/>
          <w:rtl/>
        </w:rPr>
        <w:t xml:space="preserve"> ע"ב:</w:t>
      </w:r>
      <w:r>
        <w:rPr>
          <w:rFonts w:cs="Arial" w:hint="cs"/>
          <w:rtl/>
        </w:rPr>
        <w:t xml:space="preserve"> </w:t>
      </w:r>
      <w:r w:rsidRPr="00765653">
        <w:rPr>
          <w:rFonts w:cs="Arial"/>
          <w:rtl/>
        </w:rPr>
        <w:t>הקושר והמתיר. קשירה במשכן היכא הואי?</w:t>
      </w:r>
      <w:r>
        <w:rPr>
          <w:rFonts w:cs="Arial" w:hint="cs"/>
          <w:rtl/>
        </w:rPr>
        <w:t>...</w:t>
      </w:r>
      <w:r w:rsidRPr="00765653">
        <w:rPr>
          <w:rFonts w:cs="Arial"/>
          <w:rtl/>
        </w:rPr>
        <w:t xml:space="preserve"> </w:t>
      </w:r>
      <w:r w:rsidRPr="00765653">
        <w:rPr>
          <w:rFonts w:cs="Arial"/>
          <w:u w:val="single"/>
          <w:rtl/>
        </w:rPr>
        <w:t>אלא אמר רבא ואיתימא רבי עילאי</w:t>
      </w:r>
      <w:r w:rsidRPr="00765653">
        <w:rPr>
          <w:rFonts w:cs="Arial"/>
          <w:rtl/>
        </w:rPr>
        <w:t>: שכן צדי חלזון קושרין ומתירין.</w:t>
      </w:r>
    </w:p>
    <w:p w14:paraId="2A01DA6D" w14:textId="0241D5AA" w:rsidR="00C53140" w:rsidRPr="005275DF" w:rsidRDefault="00C53140" w:rsidP="00434A6A">
      <w:pPr>
        <w:rPr>
          <w:rFonts w:asciiTheme="minorBidi" w:hAnsiTheme="minorBidi"/>
          <w:rtl/>
        </w:rPr>
      </w:pPr>
      <w:r w:rsidRPr="005275DF">
        <w:rPr>
          <w:rFonts w:asciiTheme="minorBidi" w:hAnsiTheme="minorBidi"/>
          <w:b/>
          <w:bCs/>
          <w:rtl/>
        </w:rPr>
        <w:t xml:space="preserve">שבת </w:t>
      </w:r>
      <w:r w:rsidR="00E62EDF">
        <w:rPr>
          <w:rFonts w:asciiTheme="minorBidi" w:hAnsiTheme="minorBidi" w:hint="cs"/>
          <w:b/>
          <w:bCs/>
          <w:sz w:val="16"/>
          <w:szCs w:val="16"/>
          <w:rtl/>
        </w:rPr>
        <w:t xml:space="preserve">(ר"פ אלו קשרים) </w:t>
      </w:r>
      <w:r w:rsidRPr="005275DF">
        <w:rPr>
          <w:rFonts w:asciiTheme="minorBidi" w:hAnsiTheme="minorBidi"/>
          <w:b/>
          <w:bCs/>
          <w:rtl/>
        </w:rPr>
        <w:t>קיא</w:t>
      </w:r>
      <w:r w:rsidR="007F24CD" w:rsidRPr="005275DF">
        <w:rPr>
          <w:rFonts w:asciiTheme="minorBidi" w:hAnsiTheme="minorBidi"/>
          <w:b/>
          <w:bCs/>
          <w:rtl/>
        </w:rPr>
        <w:t xml:space="preserve"> ע"ב:</w:t>
      </w:r>
      <w:r w:rsidR="007F24CD" w:rsidRPr="005275DF">
        <w:rPr>
          <w:rFonts w:asciiTheme="minorBidi" w:hAnsiTheme="minorBidi"/>
          <w:rtl/>
        </w:rPr>
        <w:t xml:space="preserve"> </w:t>
      </w:r>
      <w:r w:rsidR="007F24CD" w:rsidRPr="005275DF">
        <w:rPr>
          <w:rFonts w:asciiTheme="minorBidi" w:hAnsiTheme="minorBidi"/>
          <w:u w:val="double"/>
          <w:rtl/>
        </w:rPr>
        <w:t>משנה:</w:t>
      </w:r>
      <w:r w:rsidR="007F24CD" w:rsidRPr="005275DF">
        <w:rPr>
          <w:rFonts w:asciiTheme="minorBidi" w:hAnsiTheme="minorBidi"/>
          <w:rtl/>
        </w:rPr>
        <w:t xml:space="preserve"> ואלו קשרים</w:t>
      </w:r>
      <w:r w:rsidRPr="005275DF">
        <w:rPr>
          <w:rStyle w:val="a9"/>
          <w:rFonts w:asciiTheme="minorBidi" w:hAnsiTheme="minorBidi"/>
          <w:rtl/>
        </w:rPr>
        <w:footnoteReference w:id="2544"/>
      </w:r>
      <w:r w:rsidR="007F24CD" w:rsidRPr="005275DF">
        <w:rPr>
          <w:rFonts w:asciiTheme="minorBidi" w:hAnsiTheme="minorBidi"/>
          <w:rtl/>
        </w:rPr>
        <w:t xml:space="preserve"> שחייבין עליהן: קשר הגמלין, וקשר הספנין. וכשם שהוא חייב על קישורן - כך הוא חייב על היתרן</w:t>
      </w:r>
      <w:r w:rsidRPr="005275DF">
        <w:rPr>
          <w:rStyle w:val="a9"/>
          <w:rFonts w:asciiTheme="minorBidi" w:hAnsiTheme="minorBidi"/>
          <w:rtl/>
        </w:rPr>
        <w:footnoteReference w:id="2545"/>
      </w:r>
      <w:r w:rsidR="007F24CD" w:rsidRPr="005275DF">
        <w:rPr>
          <w:rFonts w:asciiTheme="minorBidi" w:hAnsiTheme="minorBidi"/>
          <w:rtl/>
        </w:rPr>
        <w:t xml:space="preserve">. </w:t>
      </w:r>
      <w:r w:rsidR="007F24CD" w:rsidRPr="00873957">
        <w:rPr>
          <w:rFonts w:asciiTheme="minorBidi" w:hAnsiTheme="minorBidi"/>
          <w:u w:val="single"/>
          <w:rtl/>
        </w:rPr>
        <w:t>רבי מאיר אומר</w:t>
      </w:r>
      <w:r w:rsidR="007F24CD" w:rsidRPr="005275DF">
        <w:rPr>
          <w:rFonts w:asciiTheme="minorBidi" w:hAnsiTheme="minorBidi"/>
          <w:rtl/>
        </w:rPr>
        <w:t>: כל קשר שהוא יכול להתירו באחת מידיו אין חייבין עליו.</w:t>
      </w:r>
      <w:r w:rsidRPr="005275DF">
        <w:rPr>
          <w:rFonts w:asciiTheme="minorBidi" w:hAnsiTheme="minorBidi"/>
          <w:rtl/>
        </w:rPr>
        <w:t xml:space="preserve">  </w:t>
      </w:r>
      <w:r w:rsidR="00873957">
        <w:rPr>
          <w:rFonts w:asciiTheme="minorBidi" w:hAnsiTheme="minorBidi" w:hint="cs"/>
          <w:rtl/>
        </w:rPr>
        <w:t xml:space="preserve">   </w:t>
      </w:r>
      <w:r w:rsidR="00A3483C">
        <w:rPr>
          <w:rFonts w:asciiTheme="minorBidi" w:hAnsiTheme="minorBidi" w:hint="cs"/>
          <w:rtl/>
        </w:rPr>
        <w:t xml:space="preserve">    </w:t>
      </w:r>
      <w:r w:rsidRPr="005275DF">
        <w:rPr>
          <w:rFonts w:asciiTheme="minorBidi" w:hAnsiTheme="minorBidi"/>
          <w:rtl/>
        </w:rPr>
        <w:t xml:space="preserve"> </w:t>
      </w:r>
      <w:r w:rsidRPr="005275DF">
        <w:rPr>
          <w:rFonts w:asciiTheme="minorBidi" w:hAnsiTheme="minorBidi"/>
          <w:u w:val="double"/>
          <w:rtl/>
        </w:rPr>
        <w:t>גמ</w:t>
      </w:r>
      <w:r w:rsidR="00EA2885">
        <w:rPr>
          <w:rFonts w:asciiTheme="minorBidi" w:hAnsiTheme="minorBidi" w:hint="cs"/>
          <w:u w:val="double"/>
          <w:rtl/>
        </w:rPr>
        <w:t>רא</w:t>
      </w:r>
      <w:r w:rsidR="00A3483C">
        <w:rPr>
          <w:rFonts w:asciiTheme="minorBidi" w:hAnsiTheme="minorBidi" w:hint="cs"/>
          <w:sz w:val="14"/>
          <w:szCs w:val="14"/>
          <w:u w:val="double"/>
          <w:rtl/>
        </w:rPr>
        <w:t xml:space="preserve"> </w:t>
      </w:r>
      <w:r w:rsidRPr="00EA2885">
        <w:rPr>
          <w:rFonts w:asciiTheme="minorBidi" w:hAnsiTheme="minorBidi"/>
          <w:sz w:val="14"/>
          <w:szCs w:val="14"/>
          <w:u w:val="double"/>
          <w:rtl/>
        </w:rPr>
        <w:t>(קיב.)</w:t>
      </w:r>
      <w:r w:rsidRPr="005275DF">
        <w:rPr>
          <w:rFonts w:asciiTheme="minorBidi" w:hAnsiTheme="minorBidi"/>
          <w:u w:val="double"/>
          <w:rtl/>
        </w:rPr>
        <w:t>:</w:t>
      </w:r>
      <w:r w:rsidRPr="005275DF">
        <w:rPr>
          <w:rFonts w:asciiTheme="minorBidi" w:hAnsiTheme="minorBidi"/>
          <w:rtl/>
        </w:rPr>
        <w:t xml:space="preserve"> איתמר: התיר רצועות מנעל וסנדל, תני חדא: חייב חטאת, ותניא אידך: פטור אבל אסור, ותניא אידך מותר לכתחילה. קשיא מנעל אמנעל, קשיא סנדל אסנדל! מנעל אמנעל לא קשיא, הא דקתני חייב חטאת - בדאושכפי</w:t>
      </w:r>
      <w:r w:rsidRPr="005275DF">
        <w:rPr>
          <w:rStyle w:val="a9"/>
          <w:rFonts w:asciiTheme="minorBidi" w:hAnsiTheme="minorBidi"/>
          <w:rtl/>
        </w:rPr>
        <w:footnoteReference w:id="2546"/>
      </w:r>
      <w:r w:rsidRPr="005275DF">
        <w:rPr>
          <w:rFonts w:asciiTheme="minorBidi" w:hAnsiTheme="minorBidi"/>
          <w:rtl/>
        </w:rPr>
        <w:t>, פטור אבל אסור - בדרבנן</w:t>
      </w:r>
      <w:r w:rsidRPr="005275DF">
        <w:rPr>
          <w:rStyle w:val="a9"/>
          <w:rFonts w:asciiTheme="minorBidi" w:hAnsiTheme="minorBidi"/>
          <w:rtl/>
        </w:rPr>
        <w:footnoteReference w:id="2547"/>
      </w:r>
      <w:r w:rsidRPr="005275DF">
        <w:rPr>
          <w:rFonts w:asciiTheme="minorBidi" w:hAnsiTheme="minorBidi"/>
          <w:rtl/>
        </w:rPr>
        <w:t>, מותר לכתחלה - בדבני מחוזא</w:t>
      </w:r>
      <w:r w:rsidRPr="005275DF">
        <w:rPr>
          <w:rStyle w:val="a9"/>
          <w:rFonts w:asciiTheme="minorBidi" w:hAnsiTheme="minorBidi"/>
          <w:rtl/>
        </w:rPr>
        <w:footnoteReference w:id="2548"/>
      </w:r>
      <w:r w:rsidRPr="005275DF">
        <w:rPr>
          <w:rFonts w:asciiTheme="minorBidi" w:hAnsiTheme="minorBidi"/>
          <w:rtl/>
        </w:rPr>
        <w:t>. סנדל אסנדל לא קשיא; הא דקתני חייב חטאת - בדטייעי דקטרי אושכפי</w:t>
      </w:r>
      <w:r w:rsidRPr="005275DF">
        <w:rPr>
          <w:rStyle w:val="a9"/>
          <w:rFonts w:asciiTheme="minorBidi" w:hAnsiTheme="minorBidi"/>
          <w:rtl/>
        </w:rPr>
        <w:footnoteReference w:id="2549"/>
      </w:r>
      <w:r w:rsidRPr="005275DF">
        <w:rPr>
          <w:rFonts w:asciiTheme="minorBidi" w:hAnsiTheme="minorBidi"/>
          <w:rtl/>
        </w:rPr>
        <w:t>, פטור אבל אסור - בדחומרתא דקטרי אינהו</w:t>
      </w:r>
      <w:r w:rsidRPr="005275DF">
        <w:rPr>
          <w:rStyle w:val="a9"/>
          <w:rFonts w:asciiTheme="minorBidi" w:hAnsiTheme="minorBidi"/>
          <w:rtl/>
        </w:rPr>
        <w:footnoteReference w:id="2550"/>
      </w:r>
      <w:r w:rsidRPr="005275DF">
        <w:rPr>
          <w:rFonts w:asciiTheme="minorBidi" w:hAnsiTheme="minorBidi"/>
          <w:rtl/>
        </w:rPr>
        <w:t>, מותר לכתחילה - בסנדל דנפקי ביה בי תרי</w:t>
      </w:r>
      <w:r w:rsidRPr="005275DF">
        <w:rPr>
          <w:rStyle w:val="a9"/>
          <w:rFonts w:asciiTheme="minorBidi" w:hAnsiTheme="minorBidi"/>
          <w:rtl/>
        </w:rPr>
        <w:footnoteReference w:id="2551"/>
      </w:r>
      <w:r w:rsidRPr="005275DF">
        <w:rPr>
          <w:rFonts w:asciiTheme="minorBidi" w:hAnsiTheme="minorBidi"/>
          <w:rtl/>
        </w:rPr>
        <w:t>.</w:t>
      </w:r>
    </w:p>
    <w:p w14:paraId="619FBD20" w14:textId="059CAE0F" w:rsidR="007214DD" w:rsidRDefault="007214DD" w:rsidP="00434A6A">
      <w:pPr>
        <w:rPr>
          <w:rFonts w:asciiTheme="minorBidi" w:hAnsiTheme="minorBidi" w:cs="Arial"/>
          <w:rtl/>
        </w:rPr>
      </w:pPr>
      <w:r w:rsidRPr="004749F9">
        <w:rPr>
          <w:rFonts w:asciiTheme="minorBidi" w:hAnsiTheme="minorBidi" w:cs="Arial" w:hint="cs"/>
          <w:b/>
          <w:bCs/>
          <w:rtl/>
        </w:rPr>
        <w:t xml:space="preserve">תוספתא שבת פי"ב הט"ו: </w:t>
      </w:r>
      <w:r w:rsidRPr="004749F9">
        <w:rPr>
          <w:rFonts w:asciiTheme="minorBidi" w:hAnsiTheme="minorBidi" w:cs="Arial"/>
          <w:rtl/>
        </w:rPr>
        <w:t>זה הכלל</w:t>
      </w:r>
      <w:r>
        <w:rPr>
          <w:rFonts w:asciiTheme="minorBidi" w:hAnsiTheme="minorBidi" w:cs="Arial" w:hint="cs"/>
          <w:rtl/>
        </w:rPr>
        <w:t>:</w:t>
      </w:r>
      <w:r w:rsidRPr="004749F9">
        <w:rPr>
          <w:rFonts w:asciiTheme="minorBidi" w:hAnsiTheme="minorBidi" w:cs="Arial"/>
          <w:rtl/>
        </w:rPr>
        <w:t xml:space="preserve"> כל קשר שהוא של קיימא ויכול להתירו באחת מידיו</w:t>
      </w:r>
      <w:r>
        <w:rPr>
          <w:rFonts w:asciiTheme="minorBidi" w:hAnsiTheme="minorBidi" w:cs="Arial" w:hint="cs"/>
          <w:rtl/>
        </w:rPr>
        <w:t>,</w:t>
      </w:r>
      <w:r w:rsidRPr="004749F9">
        <w:rPr>
          <w:rFonts w:asciiTheme="minorBidi" w:hAnsiTheme="minorBidi" w:cs="Arial"/>
          <w:rtl/>
        </w:rPr>
        <w:t xml:space="preserve"> או שאינו של קיימא ואין יכול להתירו באחת מידיו </w:t>
      </w:r>
      <w:r>
        <w:rPr>
          <w:rFonts w:asciiTheme="minorBidi" w:hAnsiTheme="minorBidi" w:cs="Arial" w:hint="cs"/>
          <w:rtl/>
        </w:rPr>
        <w:t xml:space="preserve">- </w:t>
      </w:r>
      <w:r w:rsidRPr="004749F9">
        <w:rPr>
          <w:rFonts w:asciiTheme="minorBidi" w:hAnsiTheme="minorBidi" w:cs="Arial"/>
          <w:rtl/>
        </w:rPr>
        <w:t>אין חייבי' עליו עד שיהא קשר של קיימא ואי' יכול להתירו באחת מידיו</w:t>
      </w:r>
      <w:r>
        <w:rPr>
          <w:rFonts w:asciiTheme="minorBidi" w:hAnsiTheme="minorBidi" w:cs="Arial" w:hint="cs"/>
          <w:rtl/>
        </w:rPr>
        <w:t>.</w:t>
      </w:r>
      <w:r w:rsidRPr="004749F9">
        <w:rPr>
          <w:rFonts w:asciiTheme="minorBidi" w:hAnsiTheme="minorBidi" w:cs="Arial"/>
          <w:rtl/>
        </w:rPr>
        <w:t xml:space="preserve"> </w:t>
      </w:r>
    </w:p>
    <w:p w14:paraId="7665D23A" w14:textId="7F000EB0" w:rsidR="00802B95" w:rsidRPr="00507F1A" w:rsidRDefault="00D11F73" w:rsidP="00434A6A">
      <w:pPr>
        <w:rPr>
          <w:rFonts w:asciiTheme="minorBidi" w:hAnsiTheme="minorBidi"/>
          <w:u w:val="single"/>
          <w:rtl/>
        </w:rPr>
      </w:pPr>
      <w:r>
        <w:rPr>
          <w:rFonts w:asciiTheme="minorBidi" w:hAnsiTheme="minorBidi" w:hint="cs"/>
          <w:u w:val="single"/>
          <w:rtl/>
        </w:rPr>
        <w:t>ב</w:t>
      </w:r>
      <w:r w:rsidR="00507F1A" w:rsidRPr="00507F1A">
        <w:rPr>
          <w:rFonts w:asciiTheme="minorBidi" w:hAnsiTheme="minorBidi" w:hint="cs"/>
          <w:u w:val="single"/>
          <w:rtl/>
        </w:rPr>
        <w:t xml:space="preserve">איזה קשר </w:t>
      </w:r>
      <w:r w:rsidRPr="00D11F73">
        <w:rPr>
          <w:rFonts w:asciiTheme="minorBidi" w:hAnsiTheme="minorBidi" w:hint="cs"/>
          <w:b/>
          <w:bCs/>
          <w:u w:val="single"/>
          <w:rtl/>
        </w:rPr>
        <w:t>חייב</w:t>
      </w:r>
      <w:r w:rsidR="00507F1A" w:rsidRPr="00507F1A">
        <w:rPr>
          <w:rFonts w:asciiTheme="minorBidi" w:hAnsiTheme="minorBidi" w:hint="cs"/>
          <w:u w:val="single"/>
          <w:rtl/>
        </w:rPr>
        <w:t xml:space="preserve">: </w:t>
      </w:r>
    </w:p>
    <w:p w14:paraId="04821495" w14:textId="33124741" w:rsidR="00D11F73" w:rsidRDefault="006A0FD2" w:rsidP="00434A6A">
      <w:pPr>
        <w:pStyle w:val="aa"/>
        <w:numPr>
          <w:ilvl w:val="0"/>
          <w:numId w:val="32"/>
        </w:numPr>
        <w:rPr>
          <w:rFonts w:asciiTheme="minorBidi" w:hAnsiTheme="minorBidi"/>
        </w:rPr>
      </w:pPr>
      <w:r>
        <w:rPr>
          <w:rFonts w:asciiTheme="minorBidi" w:hAnsiTheme="minorBidi" w:cs="Arial" w:hint="cs"/>
          <w:rtl/>
        </w:rPr>
        <w:t xml:space="preserve">רא"ש </w:t>
      </w:r>
      <w:r>
        <w:rPr>
          <w:rFonts w:asciiTheme="minorBidi" w:hAnsiTheme="minorBidi" w:cs="Arial" w:hint="cs"/>
          <w:sz w:val="16"/>
          <w:szCs w:val="16"/>
          <w:rtl/>
        </w:rPr>
        <w:t>(</w:t>
      </w:r>
      <w:r w:rsidR="00DC306A">
        <w:rPr>
          <w:rFonts w:asciiTheme="minorBidi" w:hAnsiTheme="minorBidi" w:cs="Arial" w:hint="cs"/>
          <w:sz w:val="16"/>
          <w:szCs w:val="16"/>
          <w:rtl/>
        </w:rPr>
        <w:t xml:space="preserve">פט"ו </w:t>
      </w:r>
      <w:r>
        <w:rPr>
          <w:rFonts w:asciiTheme="minorBidi" w:hAnsiTheme="minorBidi" w:cs="Arial" w:hint="cs"/>
          <w:sz w:val="16"/>
          <w:szCs w:val="16"/>
          <w:rtl/>
        </w:rPr>
        <w:t>סי' א)</w:t>
      </w:r>
      <w:r>
        <w:rPr>
          <w:rFonts w:asciiTheme="minorBidi" w:hAnsiTheme="minorBidi" w:cs="Arial" w:hint="cs"/>
          <w:rtl/>
        </w:rPr>
        <w:t xml:space="preserve"> ו</w:t>
      </w:r>
      <w:r w:rsidR="00D9457B" w:rsidRPr="00D9457B">
        <w:rPr>
          <w:rFonts w:asciiTheme="minorBidi" w:hAnsiTheme="minorBidi" w:cs="Arial" w:hint="cs"/>
          <w:rtl/>
        </w:rPr>
        <w:t xml:space="preserve">טור- </w:t>
      </w:r>
      <w:r w:rsidR="00D9457B" w:rsidRPr="00D9457B">
        <w:rPr>
          <w:rFonts w:asciiTheme="minorBidi" w:hAnsiTheme="minorBidi" w:cs="Arial"/>
          <w:rtl/>
        </w:rPr>
        <w:t xml:space="preserve">כל קשר העומד להתקיים לעולם </w:t>
      </w:r>
      <w:r w:rsidR="00453343">
        <w:rPr>
          <w:rFonts w:asciiTheme="minorBidi" w:hAnsiTheme="minorBidi" w:cs="Arial" w:hint="cs"/>
          <w:rtl/>
        </w:rPr>
        <w:t xml:space="preserve">- </w:t>
      </w:r>
      <w:r w:rsidR="00D9457B" w:rsidRPr="00D9457B">
        <w:rPr>
          <w:rFonts w:asciiTheme="minorBidi" w:hAnsiTheme="minorBidi" w:cs="Arial"/>
          <w:rtl/>
        </w:rPr>
        <w:t>חייבין חטאת על קשירתו והתרתו</w:t>
      </w:r>
      <w:r w:rsidR="00453343">
        <w:rPr>
          <w:rFonts w:asciiTheme="minorBidi" w:hAnsiTheme="minorBidi" w:cs="Arial" w:hint="cs"/>
          <w:rtl/>
        </w:rPr>
        <w:t>,</w:t>
      </w:r>
      <w:r w:rsidR="00D9457B" w:rsidRPr="00D9457B">
        <w:rPr>
          <w:rFonts w:asciiTheme="minorBidi" w:hAnsiTheme="minorBidi" w:cs="Arial"/>
          <w:rtl/>
        </w:rPr>
        <w:t xml:space="preserve"> בין אם הוא של אומן או של הדיוט</w:t>
      </w:r>
      <w:r>
        <w:rPr>
          <w:rFonts w:asciiTheme="minorBidi" w:hAnsiTheme="minorBidi" w:cs="Arial" w:hint="cs"/>
          <w:sz w:val="16"/>
          <w:szCs w:val="16"/>
          <w:rtl/>
        </w:rPr>
        <w:t xml:space="preserve"> (ל' הטור)</w:t>
      </w:r>
      <w:r w:rsidR="00453343">
        <w:rPr>
          <w:rFonts w:asciiTheme="minorBidi" w:hAnsiTheme="minorBidi" w:cs="Arial" w:hint="cs"/>
          <w:rtl/>
        </w:rPr>
        <w:t>.</w:t>
      </w:r>
    </w:p>
    <w:p w14:paraId="1A8364A9" w14:textId="42FF0E1F" w:rsidR="00D11F73" w:rsidRPr="00D11F73" w:rsidRDefault="00D11F73" w:rsidP="00434A6A">
      <w:pPr>
        <w:pStyle w:val="aa"/>
        <w:numPr>
          <w:ilvl w:val="0"/>
          <w:numId w:val="32"/>
        </w:numPr>
        <w:rPr>
          <w:rFonts w:asciiTheme="minorBidi" w:hAnsiTheme="minorBidi"/>
        </w:rPr>
      </w:pPr>
      <w:r w:rsidRPr="00676296">
        <w:rPr>
          <w:rFonts w:asciiTheme="minorBidi" w:hAnsiTheme="minorBidi" w:cs="Arial"/>
          <w:rtl/>
        </w:rPr>
        <w:t>רי"ף</w:t>
      </w:r>
      <w:r>
        <w:rPr>
          <w:rStyle w:val="a9"/>
          <w:rFonts w:asciiTheme="minorBidi" w:hAnsiTheme="minorBidi" w:cs="Arial"/>
          <w:rtl/>
        </w:rPr>
        <w:footnoteReference w:id="2552"/>
      </w:r>
      <w:r w:rsidRPr="00676296">
        <w:rPr>
          <w:rFonts w:asciiTheme="minorBidi" w:hAnsiTheme="minorBidi" w:cs="Arial"/>
          <w:rtl/>
        </w:rPr>
        <w:t xml:space="preserve"> </w:t>
      </w:r>
      <w:r w:rsidRPr="00676296">
        <w:rPr>
          <w:rFonts w:asciiTheme="minorBidi" w:hAnsiTheme="minorBidi" w:cs="Arial"/>
          <w:sz w:val="16"/>
          <w:szCs w:val="16"/>
          <w:rtl/>
        </w:rPr>
        <w:t>(מא:)</w:t>
      </w:r>
      <w:r>
        <w:rPr>
          <w:rFonts w:asciiTheme="minorBidi" w:hAnsiTheme="minorBidi" w:cs="Arial" w:hint="cs"/>
          <w:rtl/>
        </w:rPr>
        <w:t xml:space="preserve"> ו</w:t>
      </w:r>
      <w:r w:rsidRPr="00676296">
        <w:rPr>
          <w:rFonts w:asciiTheme="minorBidi" w:hAnsiTheme="minorBidi" w:cs="Arial"/>
          <w:rtl/>
        </w:rPr>
        <w:t xml:space="preserve">רמב"ם </w:t>
      </w:r>
      <w:r w:rsidRPr="00676296">
        <w:rPr>
          <w:rFonts w:asciiTheme="minorBidi" w:hAnsiTheme="minorBidi" w:cs="Arial" w:hint="cs"/>
          <w:sz w:val="16"/>
          <w:szCs w:val="16"/>
          <w:rtl/>
        </w:rPr>
        <w:t>(</w:t>
      </w:r>
      <w:r w:rsidRPr="00676296">
        <w:rPr>
          <w:rFonts w:asciiTheme="minorBidi" w:hAnsiTheme="minorBidi" w:cs="Arial"/>
          <w:sz w:val="16"/>
          <w:szCs w:val="16"/>
          <w:rtl/>
        </w:rPr>
        <w:t>פ</w:t>
      </w:r>
      <w:r w:rsidRPr="00676296">
        <w:rPr>
          <w:rFonts w:asciiTheme="minorBidi" w:hAnsiTheme="minorBidi" w:cs="Arial" w:hint="cs"/>
          <w:sz w:val="16"/>
          <w:szCs w:val="16"/>
          <w:rtl/>
        </w:rPr>
        <w:t>"</w:t>
      </w:r>
      <w:r w:rsidRPr="00676296">
        <w:rPr>
          <w:rFonts w:asciiTheme="minorBidi" w:hAnsiTheme="minorBidi" w:cs="Arial"/>
          <w:sz w:val="16"/>
          <w:szCs w:val="16"/>
          <w:rtl/>
        </w:rPr>
        <w:t>י ה"א)</w:t>
      </w:r>
      <w:r>
        <w:rPr>
          <w:rFonts w:asciiTheme="minorBidi" w:hAnsiTheme="minorBidi" w:cs="Arial" w:hint="cs"/>
          <w:rtl/>
        </w:rPr>
        <w:t xml:space="preserve">- </w:t>
      </w:r>
      <w:r w:rsidRPr="00676296">
        <w:rPr>
          <w:rFonts w:asciiTheme="minorBidi" w:hAnsiTheme="minorBidi" w:cs="Arial"/>
          <w:rtl/>
        </w:rPr>
        <w:t>הקושר קשר של קיימא והוא מעשה אומן</w:t>
      </w:r>
      <w:r w:rsidR="006A0FD2">
        <w:rPr>
          <w:rStyle w:val="a9"/>
          <w:rFonts w:asciiTheme="minorBidi" w:hAnsiTheme="minorBidi" w:cs="Arial"/>
          <w:rtl/>
        </w:rPr>
        <w:footnoteReference w:id="2553"/>
      </w:r>
      <w:r w:rsidRPr="00676296">
        <w:rPr>
          <w:rFonts w:asciiTheme="minorBidi" w:hAnsiTheme="minorBidi" w:cs="Arial"/>
          <w:rtl/>
        </w:rPr>
        <w:t xml:space="preserve"> </w:t>
      </w:r>
      <w:r>
        <w:rPr>
          <w:rFonts w:asciiTheme="minorBidi" w:hAnsiTheme="minorBidi" w:cs="Arial" w:hint="cs"/>
          <w:rtl/>
        </w:rPr>
        <w:t xml:space="preserve">- </w:t>
      </w:r>
      <w:r w:rsidRPr="00676296">
        <w:rPr>
          <w:rFonts w:asciiTheme="minorBidi" w:hAnsiTheme="minorBidi" w:cs="Arial"/>
          <w:rtl/>
        </w:rPr>
        <w:t>חייב, כגון קשר הגמלין וקשר הספנין וקשרי רצועות מנעל וסנדל שקושרין הרצענין בשעת עשייתן</w:t>
      </w:r>
      <w:r>
        <w:rPr>
          <w:rFonts w:asciiTheme="minorBidi" w:hAnsiTheme="minorBidi" w:cs="Arial" w:hint="cs"/>
          <w:rtl/>
        </w:rPr>
        <w:t>,</w:t>
      </w:r>
      <w:r w:rsidRPr="00676296">
        <w:rPr>
          <w:rFonts w:asciiTheme="minorBidi" w:hAnsiTheme="minorBidi" w:cs="Arial"/>
          <w:rtl/>
        </w:rPr>
        <w:t xml:space="preserve"> וכן כל כיוצא בזה</w:t>
      </w:r>
      <w:r w:rsidR="006A0FD2">
        <w:rPr>
          <w:rFonts w:asciiTheme="minorBidi" w:hAnsiTheme="minorBidi" w:cs="Arial" w:hint="cs"/>
          <w:rtl/>
        </w:rPr>
        <w:t xml:space="preserve"> </w:t>
      </w:r>
      <w:r w:rsidR="006A0FD2">
        <w:rPr>
          <w:rFonts w:asciiTheme="minorBidi" w:hAnsiTheme="minorBidi" w:cs="Arial" w:hint="cs"/>
          <w:sz w:val="16"/>
          <w:szCs w:val="16"/>
          <w:rtl/>
        </w:rPr>
        <w:t>(ל' הרמב"ם)</w:t>
      </w:r>
      <w:r>
        <w:rPr>
          <w:rFonts w:asciiTheme="minorBidi" w:hAnsiTheme="minorBidi" w:cs="Arial" w:hint="cs"/>
          <w:rtl/>
        </w:rPr>
        <w:t>.</w:t>
      </w:r>
      <w:r w:rsidR="002C1339">
        <w:rPr>
          <w:rFonts w:asciiTheme="minorBidi" w:hAnsiTheme="minorBidi" w:hint="cs"/>
          <w:rtl/>
        </w:rPr>
        <w:t xml:space="preserve"> </w:t>
      </w:r>
      <w:r w:rsidR="002C1339" w:rsidRPr="002C1339">
        <w:rPr>
          <w:rFonts w:asciiTheme="minorBidi" w:hAnsiTheme="minorBidi" w:hint="cs"/>
          <w:color w:val="E36C0A" w:themeColor="accent6" w:themeShade="BF"/>
          <w:rtl/>
        </w:rPr>
        <w:t>(וכ"פ בשו"ע)</w:t>
      </w:r>
    </w:p>
    <w:p w14:paraId="05ABCD13" w14:textId="2ED79180" w:rsidR="007214DD" w:rsidRPr="007214DD" w:rsidRDefault="007214DD" w:rsidP="00434A6A">
      <w:pPr>
        <w:pStyle w:val="aa"/>
        <w:numPr>
          <w:ilvl w:val="0"/>
          <w:numId w:val="32"/>
        </w:numPr>
        <w:rPr>
          <w:rFonts w:asciiTheme="minorBidi" w:hAnsiTheme="minorBidi"/>
        </w:rPr>
      </w:pPr>
      <w:r>
        <w:rPr>
          <w:rFonts w:asciiTheme="minorBidi" w:hAnsiTheme="minorBidi" w:cs="Arial" w:hint="cs"/>
          <w:rtl/>
        </w:rPr>
        <w:t>ה"</w:t>
      </w:r>
      <w:r w:rsidRPr="007214DD">
        <w:rPr>
          <w:rFonts w:asciiTheme="minorBidi" w:hAnsiTheme="minorBidi" w:cs="Arial" w:hint="cs"/>
          <w:rtl/>
        </w:rPr>
        <w:t>ר בנימין</w:t>
      </w:r>
      <w:r>
        <w:rPr>
          <w:rFonts w:asciiTheme="minorBidi" w:hAnsiTheme="minorBidi" w:cs="Arial" w:hint="cs"/>
          <w:rtl/>
        </w:rPr>
        <w:t xml:space="preserve"> </w:t>
      </w:r>
      <w:r w:rsidRPr="007214DD">
        <w:rPr>
          <w:rFonts w:asciiTheme="minorBidi" w:hAnsiTheme="minorBidi" w:cs="Arial"/>
          <w:sz w:val="16"/>
          <w:szCs w:val="16"/>
          <w:rtl/>
        </w:rPr>
        <w:t>(</w:t>
      </w:r>
      <w:r>
        <w:rPr>
          <w:rFonts w:asciiTheme="minorBidi" w:hAnsiTheme="minorBidi" w:cs="Arial" w:hint="cs"/>
          <w:sz w:val="16"/>
          <w:szCs w:val="16"/>
          <w:rtl/>
        </w:rPr>
        <w:t>כ"כ בשמו אחיו הקטן שבה"ל [</w:t>
      </w:r>
      <w:r w:rsidRPr="007214DD">
        <w:rPr>
          <w:rFonts w:asciiTheme="minorBidi" w:hAnsiTheme="minorBidi" w:cs="Arial"/>
          <w:sz w:val="16"/>
          <w:szCs w:val="16"/>
          <w:rtl/>
        </w:rPr>
        <w:t>סי' קכד</w:t>
      </w:r>
      <w:r>
        <w:rPr>
          <w:rFonts w:asciiTheme="minorBidi" w:hAnsiTheme="minorBidi" w:cs="Arial" w:hint="cs"/>
          <w:sz w:val="16"/>
          <w:szCs w:val="16"/>
          <w:rtl/>
        </w:rPr>
        <w:t>])</w:t>
      </w:r>
      <w:r w:rsidRPr="007214DD">
        <w:rPr>
          <w:rFonts w:asciiTheme="minorBidi" w:hAnsiTheme="minorBidi" w:hint="cs"/>
          <w:rtl/>
        </w:rPr>
        <w:t xml:space="preserve">- </w:t>
      </w:r>
      <w:r w:rsidRPr="007214DD">
        <w:rPr>
          <w:rFonts w:asciiTheme="minorBidi" w:hAnsiTheme="minorBidi" w:cs="Arial"/>
          <w:rtl/>
        </w:rPr>
        <w:t>קשר של קיימא שחייבין עליו הוא קשר שדעתו לקיימו ואינו יכול להתירו באחת מידיו</w:t>
      </w:r>
      <w:r>
        <w:rPr>
          <w:rStyle w:val="a9"/>
          <w:rFonts w:asciiTheme="minorBidi" w:hAnsiTheme="minorBidi" w:cs="Arial"/>
          <w:rtl/>
        </w:rPr>
        <w:footnoteReference w:id="2554"/>
      </w:r>
      <w:r>
        <w:rPr>
          <w:rFonts w:asciiTheme="minorBidi" w:hAnsiTheme="minorBidi" w:cs="Arial" w:hint="cs"/>
          <w:rtl/>
        </w:rPr>
        <w:t>.</w:t>
      </w:r>
      <w:r w:rsidRPr="007214DD">
        <w:rPr>
          <w:rFonts w:asciiTheme="minorBidi" w:hAnsiTheme="minorBidi" w:cs="Arial"/>
          <w:rtl/>
        </w:rPr>
        <w:t xml:space="preserve">  </w:t>
      </w:r>
    </w:p>
    <w:p w14:paraId="7164305B" w14:textId="6F4754DD" w:rsidR="00D11F73" w:rsidRPr="00D11F73" w:rsidRDefault="00D11F73" w:rsidP="00434A6A">
      <w:pPr>
        <w:rPr>
          <w:rFonts w:asciiTheme="minorBidi" w:hAnsiTheme="minorBidi"/>
          <w:u w:val="single"/>
        </w:rPr>
      </w:pPr>
      <w:r w:rsidRPr="00D11F73">
        <w:rPr>
          <w:rFonts w:asciiTheme="minorBidi" w:hAnsiTheme="minorBidi" w:cs="Arial" w:hint="cs"/>
          <w:u w:val="single"/>
          <w:rtl/>
        </w:rPr>
        <w:t xml:space="preserve">באיזה קשר </w:t>
      </w:r>
      <w:r w:rsidRPr="00D11F73">
        <w:rPr>
          <w:rFonts w:asciiTheme="minorBidi" w:hAnsiTheme="minorBidi" w:cs="Arial" w:hint="cs"/>
          <w:b/>
          <w:bCs/>
          <w:u w:val="single"/>
          <w:rtl/>
        </w:rPr>
        <w:t>פטור אבל אסור</w:t>
      </w:r>
      <w:r w:rsidRPr="00D11F73">
        <w:rPr>
          <w:rFonts w:asciiTheme="minorBidi" w:hAnsiTheme="minorBidi" w:cs="Arial" w:hint="cs"/>
          <w:u w:val="single"/>
          <w:rtl/>
        </w:rPr>
        <w:t>:</w:t>
      </w:r>
      <w:r w:rsidR="00D9457B" w:rsidRPr="00D11F73">
        <w:rPr>
          <w:rFonts w:asciiTheme="minorBidi" w:hAnsiTheme="minorBidi" w:cs="Arial"/>
          <w:u w:val="single"/>
          <w:rtl/>
        </w:rPr>
        <w:t xml:space="preserve"> </w:t>
      </w:r>
    </w:p>
    <w:p w14:paraId="2C1994AA" w14:textId="53006A4A" w:rsidR="00D11F73" w:rsidRPr="007E2254" w:rsidRDefault="007E2254" w:rsidP="00434A6A">
      <w:pPr>
        <w:pStyle w:val="aa"/>
        <w:numPr>
          <w:ilvl w:val="0"/>
          <w:numId w:val="32"/>
        </w:numPr>
        <w:rPr>
          <w:rFonts w:asciiTheme="minorBidi" w:hAnsiTheme="minorBidi"/>
        </w:rPr>
      </w:pPr>
      <w:r>
        <w:rPr>
          <w:rFonts w:asciiTheme="minorBidi" w:hAnsiTheme="minorBidi" w:cs="Arial" w:hint="cs"/>
          <w:rtl/>
        </w:rPr>
        <w:t xml:space="preserve">ר"י </w:t>
      </w:r>
      <w:r>
        <w:rPr>
          <w:rFonts w:asciiTheme="minorBidi" w:hAnsiTheme="minorBidi" w:cs="Arial" w:hint="cs"/>
          <w:sz w:val="16"/>
          <w:szCs w:val="16"/>
          <w:rtl/>
        </w:rPr>
        <w:t>(כ"כ סה"ת בשמו)</w:t>
      </w:r>
      <w:r>
        <w:rPr>
          <w:rFonts w:asciiTheme="minorBidi" w:hAnsiTheme="minorBidi" w:cs="Arial" w:hint="cs"/>
          <w:rtl/>
        </w:rPr>
        <w:t xml:space="preserve"> סה"ת</w:t>
      </w:r>
      <w:r>
        <w:rPr>
          <w:rStyle w:val="a9"/>
          <w:rFonts w:asciiTheme="minorBidi" w:hAnsiTheme="minorBidi" w:cs="Arial"/>
          <w:rtl/>
        </w:rPr>
        <w:footnoteReference w:id="2555"/>
      </w:r>
      <w:r>
        <w:rPr>
          <w:rFonts w:asciiTheme="minorBidi" w:hAnsiTheme="minorBidi" w:cs="Arial" w:hint="cs"/>
          <w:rtl/>
        </w:rPr>
        <w:t xml:space="preserve"> </w:t>
      </w:r>
      <w:r w:rsidRPr="00873448">
        <w:rPr>
          <w:rFonts w:asciiTheme="minorBidi" w:hAnsiTheme="minorBidi" w:cs="Arial" w:hint="cs"/>
          <w:sz w:val="16"/>
          <w:szCs w:val="16"/>
          <w:rtl/>
        </w:rPr>
        <w:t xml:space="preserve">(סי' רמג, והעתיקו דבריו סמ"ג [לאוין סה אות כא] </w:t>
      </w:r>
      <w:r>
        <w:rPr>
          <w:rFonts w:asciiTheme="minorBidi" w:hAnsiTheme="minorBidi" w:cs="Arial" w:hint="cs"/>
          <w:sz w:val="16"/>
          <w:szCs w:val="16"/>
          <w:rtl/>
        </w:rPr>
        <w:t xml:space="preserve">מרדכי [סי' שפו] </w:t>
      </w:r>
      <w:r w:rsidRPr="00873448">
        <w:rPr>
          <w:rFonts w:asciiTheme="minorBidi" w:hAnsiTheme="minorBidi" w:cs="Arial" w:hint="cs"/>
          <w:sz w:val="16"/>
          <w:szCs w:val="16"/>
          <w:rtl/>
        </w:rPr>
        <w:t>רא"ש [סי' א] וטור)</w:t>
      </w:r>
      <w:r>
        <w:rPr>
          <w:rFonts w:asciiTheme="minorBidi" w:hAnsiTheme="minorBidi" w:cs="Arial" w:hint="cs"/>
          <w:rtl/>
        </w:rPr>
        <w:t xml:space="preserve"> ו</w:t>
      </w:r>
      <w:r w:rsidRPr="00B839B7">
        <w:rPr>
          <w:rFonts w:asciiTheme="minorBidi" w:hAnsiTheme="minorBidi" w:cs="Arial" w:hint="cs"/>
          <w:rtl/>
        </w:rPr>
        <w:t>טור</w:t>
      </w:r>
      <w:r w:rsidR="00D11F73" w:rsidRPr="00B839B7">
        <w:rPr>
          <w:rFonts w:asciiTheme="minorBidi" w:hAnsiTheme="minorBidi" w:cs="Arial" w:hint="cs"/>
          <w:rtl/>
        </w:rPr>
        <w:t xml:space="preserve">- </w:t>
      </w:r>
      <w:r w:rsidR="00D9457B" w:rsidRPr="00B839B7">
        <w:rPr>
          <w:rFonts w:asciiTheme="minorBidi" w:hAnsiTheme="minorBidi" w:cs="Arial"/>
          <w:rtl/>
        </w:rPr>
        <w:t>העומד להתקיים ז' ימים</w:t>
      </w:r>
      <w:r w:rsidR="005F5D99">
        <w:rPr>
          <w:rStyle w:val="a9"/>
          <w:rFonts w:asciiTheme="minorBidi" w:hAnsiTheme="minorBidi" w:cs="Arial"/>
          <w:rtl/>
        </w:rPr>
        <w:footnoteReference w:id="2556"/>
      </w:r>
      <w:r w:rsidR="00D9457B" w:rsidRPr="00B839B7">
        <w:rPr>
          <w:rFonts w:asciiTheme="minorBidi" w:hAnsiTheme="minorBidi" w:cs="Arial"/>
          <w:rtl/>
        </w:rPr>
        <w:t xml:space="preserve"> </w:t>
      </w:r>
      <w:r w:rsidR="00453343" w:rsidRPr="00B839B7">
        <w:rPr>
          <w:rFonts w:asciiTheme="minorBidi" w:hAnsiTheme="minorBidi" w:cs="Arial" w:hint="cs"/>
          <w:rtl/>
        </w:rPr>
        <w:t xml:space="preserve">- </w:t>
      </w:r>
      <w:r w:rsidR="00D9457B" w:rsidRPr="00B839B7">
        <w:rPr>
          <w:rFonts w:asciiTheme="minorBidi" w:hAnsiTheme="minorBidi" w:cs="Arial"/>
          <w:rtl/>
        </w:rPr>
        <w:t>פטור אבל אסור</w:t>
      </w:r>
      <w:r w:rsidR="00765653">
        <w:rPr>
          <w:rFonts w:asciiTheme="minorBidi" w:hAnsiTheme="minorBidi" w:cs="Arial" w:hint="cs"/>
          <w:sz w:val="16"/>
          <w:szCs w:val="16"/>
          <w:rtl/>
        </w:rPr>
        <w:t xml:space="preserve"> (ל' הטור)</w:t>
      </w:r>
      <w:r w:rsidR="007214DD" w:rsidRPr="00B839B7">
        <w:rPr>
          <w:rFonts w:asciiTheme="minorBidi" w:hAnsiTheme="minorBidi" w:cs="Arial" w:hint="cs"/>
          <w:rtl/>
        </w:rPr>
        <w:t>.</w:t>
      </w:r>
      <w:r w:rsidR="00D9457B" w:rsidRPr="00B839B7">
        <w:rPr>
          <w:rFonts w:asciiTheme="minorBidi" w:hAnsiTheme="minorBidi" w:cs="Arial"/>
          <w:rtl/>
        </w:rPr>
        <w:t xml:space="preserve"> </w:t>
      </w:r>
    </w:p>
    <w:p w14:paraId="6AAB8618" w14:textId="63FA7D80" w:rsidR="007E2254" w:rsidRPr="00B839B7" w:rsidRDefault="007E2254" w:rsidP="00434A6A">
      <w:pPr>
        <w:pStyle w:val="aa"/>
        <w:numPr>
          <w:ilvl w:val="0"/>
          <w:numId w:val="32"/>
        </w:numPr>
        <w:rPr>
          <w:rFonts w:asciiTheme="minorBidi" w:hAnsiTheme="minorBidi"/>
        </w:rPr>
      </w:pPr>
      <w:r>
        <w:rPr>
          <w:rFonts w:asciiTheme="minorBidi" w:hAnsiTheme="minorBidi" w:hint="cs"/>
          <w:rtl/>
        </w:rPr>
        <w:t xml:space="preserve">מהר"ם </w:t>
      </w:r>
      <w:r>
        <w:rPr>
          <w:rFonts w:asciiTheme="minorBidi" w:hAnsiTheme="minorBidi" w:hint="cs"/>
          <w:sz w:val="16"/>
          <w:szCs w:val="16"/>
          <w:rtl/>
        </w:rPr>
        <w:t>(ד"ל סי' תלד, והעתיקו דבריו בתשב"ץ קטן סי' נב, א"ח סי' קו, כל בו סי' לא, אגודה שבת אות עג)</w:t>
      </w:r>
      <w:r>
        <w:rPr>
          <w:rFonts w:asciiTheme="minorBidi" w:hAnsiTheme="minorBidi" w:cs="Arial" w:hint="cs"/>
          <w:rtl/>
        </w:rPr>
        <w:t xml:space="preserve">- </w:t>
      </w:r>
      <w:r w:rsidRPr="00B05F55">
        <w:rPr>
          <w:rFonts w:asciiTheme="minorBidi" w:hAnsiTheme="minorBidi" w:cs="Arial"/>
          <w:rtl/>
        </w:rPr>
        <w:t xml:space="preserve">חלוק ומכנסיים שקשורים יחד אין להתירם בשבת, לפי שכל קשר שאין מתירין אותו ביומו פטור אבל אסור </w:t>
      </w:r>
      <w:r>
        <w:rPr>
          <w:rFonts w:asciiTheme="minorBidi" w:hAnsiTheme="minorBidi" w:cs="Arial" w:hint="cs"/>
          <w:rtl/>
        </w:rPr>
        <w:t>(</w:t>
      </w:r>
      <w:r w:rsidRPr="00B05F55">
        <w:rPr>
          <w:rFonts w:asciiTheme="minorBidi" w:hAnsiTheme="minorBidi" w:cs="Arial"/>
          <w:rtl/>
        </w:rPr>
        <w:t>שבת קי</w:t>
      </w:r>
      <w:r>
        <w:rPr>
          <w:rFonts w:asciiTheme="minorBidi" w:hAnsiTheme="minorBidi" w:cs="Arial" w:hint="cs"/>
          <w:rtl/>
        </w:rPr>
        <w:t>ב.)</w:t>
      </w:r>
      <w:r w:rsidRPr="00B05F55">
        <w:rPr>
          <w:rFonts w:asciiTheme="minorBidi" w:hAnsiTheme="minorBidi" w:cs="Arial"/>
          <w:rtl/>
        </w:rPr>
        <w:t>, וזהו רגילות שלפעמים מניחים אותם קשורים שבוע או שבועיים</w:t>
      </w:r>
      <w:r w:rsidR="000550F3">
        <w:rPr>
          <w:rStyle w:val="a9"/>
          <w:rFonts w:asciiTheme="minorBidi" w:hAnsiTheme="minorBidi" w:cs="Arial"/>
          <w:rtl/>
        </w:rPr>
        <w:footnoteReference w:id="2557"/>
      </w:r>
      <w:r>
        <w:rPr>
          <w:rFonts w:asciiTheme="minorBidi" w:hAnsiTheme="minorBidi" w:hint="cs"/>
          <w:rtl/>
        </w:rPr>
        <w:t>.</w:t>
      </w:r>
    </w:p>
    <w:p w14:paraId="6F811C7D" w14:textId="58B67876" w:rsidR="00B05F55" w:rsidRPr="00B839B7" w:rsidRDefault="00D11F73" w:rsidP="00434A6A">
      <w:pPr>
        <w:pStyle w:val="aa"/>
        <w:numPr>
          <w:ilvl w:val="0"/>
          <w:numId w:val="32"/>
        </w:numPr>
        <w:rPr>
          <w:rFonts w:asciiTheme="minorBidi" w:hAnsiTheme="minorBidi"/>
        </w:rPr>
      </w:pPr>
      <w:r w:rsidRPr="00676296">
        <w:rPr>
          <w:rFonts w:asciiTheme="minorBidi" w:hAnsiTheme="minorBidi" w:cs="Arial"/>
          <w:rtl/>
        </w:rPr>
        <w:t xml:space="preserve">רי"ף </w:t>
      </w:r>
      <w:r w:rsidRPr="00676296">
        <w:rPr>
          <w:rFonts w:asciiTheme="minorBidi" w:hAnsiTheme="minorBidi" w:cs="Arial"/>
          <w:sz w:val="16"/>
          <w:szCs w:val="16"/>
          <w:rtl/>
        </w:rPr>
        <w:t>(מא:)</w:t>
      </w:r>
      <w:r>
        <w:rPr>
          <w:rFonts w:asciiTheme="minorBidi" w:hAnsiTheme="minorBidi" w:cs="Arial" w:hint="cs"/>
          <w:rtl/>
        </w:rPr>
        <w:t xml:space="preserve"> ו</w:t>
      </w:r>
      <w:r w:rsidRPr="00676296">
        <w:rPr>
          <w:rFonts w:asciiTheme="minorBidi" w:hAnsiTheme="minorBidi" w:cs="Arial"/>
          <w:rtl/>
        </w:rPr>
        <w:t xml:space="preserve">רמב"ם </w:t>
      </w:r>
      <w:r w:rsidRPr="00676296">
        <w:rPr>
          <w:rFonts w:asciiTheme="minorBidi" w:hAnsiTheme="minorBidi" w:cs="Arial" w:hint="cs"/>
          <w:sz w:val="16"/>
          <w:szCs w:val="16"/>
          <w:rtl/>
        </w:rPr>
        <w:t>(</w:t>
      </w:r>
      <w:r w:rsidRPr="00676296">
        <w:rPr>
          <w:rFonts w:asciiTheme="minorBidi" w:hAnsiTheme="minorBidi" w:cs="Arial"/>
          <w:sz w:val="16"/>
          <w:szCs w:val="16"/>
          <w:rtl/>
        </w:rPr>
        <w:t>פ</w:t>
      </w:r>
      <w:r w:rsidRPr="00676296">
        <w:rPr>
          <w:rFonts w:asciiTheme="minorBidi" w:hAnsiTheme="minorBidi" w:cs="Arial" w:hint="cs"/>
          <w:sz w:val="16"/>
          <w:szCs w:val="16"/>
          <w:rtl/>
        </w:rPr>
        <w:t>"</w:t>
      </w:r>
      <w:r w:rsidRPr="00676296">
        <w:rPr>
          <w:rFonts w:asciiTheme="minorBidi" w:hAnsiTheme="minorBidi" w:cs="Arial"/>
          <w:sz w:val="16"/>
          <w:szCs w:val="16"/>
          <w:rtl/>
        </w:rPr>
        <w:t>י ה"א-ב)</w:t>
      </w:r>
      <w:r>
        <w:rPr>
          <w:rFonts w:asciiTheme="minorBidi" w:hAnsiTheme="minorBidi" w:cs="Arial" w:hint="cs"/>
          <w:rtl/>
        </w:rPr>
        <w:t xml:space="preserve">- </w:t>
      </w:r>
      <w:r w:rsidRPr="00676296">
        <w:rPr>
          <w:rFonts w:asciiTheme="minorBidi" w:hAnsiTheme="minorBidi" w:cs="Arial"/>
          <w:rtl/>
        </w:rPr>
        <w:t xml:space="preserve">הקושר קשר של קיימא ואינו מעשה אומן </w:t>
      </w:r>
      <w:r>
        <w:rPr>
          <w:rFonts w:asciiTheme="minorBidi" w:hAnsiTheme="minorBidi" w:cs="Arial" w:hint="cs"/>
          <w:rtl/>
        </w:rPr>
        <w:t xml:space="preserve">- </w:t>
      </w:r>
      <w:r w:rsidRPr="00676296">
        <w:rPr>
          <w:rFonts w:asciiTheme="minorBidi" w:hAnsiTheme="minorBidi" w:cs="Arial"/>
          <w:rtl/>
        </w:rPr>
        <w:t>פטור</w:t>
      </w:r>
      <w:r>
        <w:rPr>
          <w:rFonts w:asciiTheme="minorBidi" w:hAnsiTheme="minorBidi" w:cs="Arial" w:hint="cs"/>
          <w:rtl/>
        </w:rPr>
        <w:t>...</w:t>
      </w:r>
      <w:r w:rsidRPr="00D11F73">
        <w:rPr>
          <w:rFonts w:asciiTheme="minorBidi" w:hAnsiTheme="minorBidi" w:cs="Arial" w:hint="cs"/>
          <w:sz w:val="14"/>
          <w:szCs w:val="14"/>
          <w:rtl/>
        </w:rPr>
        <w:t xml:space="preserve"> </w:t>
      </w:r>
      <w:r>
        <w:rPr>
          <w:rFonts w:asciiTheme="minorBidi" w:hAnsiTheme="minorBidi" w:cs="Arial" w:hint="cs"/>
          <w:sz w:val="14"/>
          <w:szCs w:val="14"/>
          <w:rtl/>
        </w:rPr>
        <w:t xml:space="preserve">(ה"ב) </w:t>
      </w:r>
      <w:r w:rsidRPr="00676296">
        <w:rPr>
          <w:rFonts w:asciiTheme="minorBidi" w:hAnsiTheme="minorBidi" w:cs="Arial"/>
          <w:rtl/>
        </w:rPr>
        <w:t>כיצד</w:t>
      </w:r>
      <w:r>
        <w:rPr>
          <w:rFonts w:asciiTheme="minorBidi" w:hAnsiTheme="minorBidi" w:cs="Arial" w:hint="cs"/>
          <w:rtl/>
        </w:rPr>
        <w:t>,</w:t>
      </w:r>
      <w:r w:rsidRPr="00676296">
        <w:rPr>
          <w:rFonts w:asciiTheme="minorBidi" w:hAnsiTheme="minorBidi" w:cs="Arial"/>
          <w:rtl/>
        </w:rPr>
        <w:t xml:space="preserve"> נפסקה לו רצועה וקשרה</w:t>
      </w:r>
      <w:r>
        <w:rPr>
          <w:rFonts w:asciiTheme="minorBidi" w:hAnsiTheme="minorBidi" w:cs="Arial" w:hint="cs"/>
          <w:rtl/>
        </w:rPr>
        <w:t>,</w:t>
      </w:r>
      <w:r w:rsidRPr="00676296">
        <w:rPr>
          <w:rFonts w:asciiTheme="minorBidi" w:hAnsiTheme="minorBidi" w:cs="Arial"/>
          <w:rtl/>
        </w:rPr>
        <w:t xml:space="preserve"> נפסק החבל וקשרו</w:t>
      </w:r>
      <w:r>
        <w:rPr>
          <w:rFonts w:asciiTheme="minorBidi" w:hAnsiTheme="minorBidi" w:cs="Arial" w:hint="cs"/>
          <w:rtl/>
        </w:rPr>
        <w:t>,</w:t>
      </w:r>
      <w:r w:rsidRPr="00676296">
        <w:rPr>
          <w:rFonts w:asciiTheme="minorBidi" w:hAnsiTheme="minorBidi" w:cs="Arial"/>
          <w:rtl/>
        </w:rPr>
        <w:t xml:space="preserve"> או שקשר חבל בדלי</w:t>
      </w:r>
      <w:r>
        <w:rPr>
          <w:rFonts w:asciiTheme="minorBidi" w:hAnsiTheme="minorBidi" w:cs="Arial" w:hint="cs"/>
          <w:rtl/>
        </w:rPr>
        <w:t>,</w:t>
      </w:r>
      <w:r w:rsidRPr="00676296">
        <w:rPr>
          <w:rFonts w:asciiTheme="minorBidi" w:hAnsiTheme="minorBidi" w:cs="Arial"/>
          <w:rtl/>
        </w:rPr>
        <w:t xml:space="preserve"> או שקשר רסן בהמה </w:t>
      </w:r>
      <w:r>
        <w:rPr>
          <w:rFonts w:asciiTheme="minorBidi" w:hAnsiTheme="minorBidi" w:cs="Arial" w:hint="cs"/>
          <w:rtl/>
        </w:rPr>
        <w:t xml:space="preserve">- </w:t>
      </w:r>
      <w:r w:rsidRPr="00676296">
        <w:rPr>
          <w:rFonts w:asciiTheme="minorBidi" w:hAnsiTheme="minorBidi" w:cs="Arial"/>
          <w:rtl/>
        </w:rPr>
        <w:t>הרי זה פטור</w:t>
      </w:r>
      <w:r>
        <w:rPr>
          <w:rFonts w:asciiTheme="minorBidi" w:hAnsiTheme="minorBidi" w:cs="Arial" w:hint="cs"/>
          <w:rtl/>
        </w:rPr>
        <w:t>,</w:t>
      </w:r>
      <w:r w:rsidRPr="00676296">
        <w:rPr>
          <w:rFonts w:asciiTheme="minorBidi" w:hAnsiTheme="minorBidi" w:cs="Arial"/>
          <w:rtl/>
        </w:rPr>
        <w:t xml:space="preserve"> וכן כל כיוצא באלו הקשרים שהן מעשה הדיוט וכל אדם קושר אותן לקיימא</w:t>
      </w:r>
      <w:r>
        <w:rPr>
          <w:rFonts w:asciiTheme="minorBidi" w:hAnsiTheme="minorBidi" w:cs="Arial" w:hint="cs"/>
          <w:rtl/>
        </w:rPr>
        <w:t>.</w:t>
      </w:r>
      <w:r w:rsidRPr="00676296">
        <w:rPr>
          <w:rFonts w:asciiTheme="minorBidi" w:hAnsiTheme="minorBidi" w:cs="Arial"/>
          <w:rtl/>
        </w:rPr>
        <w:t xml:space="preserve"> וכל קשר שאינו של קיימא אם קשרו קשר אומן </w:t>
      </w:r>
      <w:r>
        <w:rPr>
          <w:rFonts w:asciiTheme="minorBidi" w:hAnsiTheme="minorBidi" w:cs="Arial" w:hint="cs"/>
          <w:rtl/>
        </w:rPr>
        <w:t xml:space="preserve">- </w:t>
      </w:r>
      <w:r w:rsidRPr="00676296">
        <w:rPr>
          <w:rFonts w:asciiTheme="minorBidi" w:hAnsiTheme="minorBidi" w:cs="Arial"/>
          <w:rtl/>
        </w:rPr>
        <w:t>הרי זה אסור</w:t>
      </w:r>
      <w:r>
        <w:rPr>
          <w:rFonts w:asciiTheme="minorBidi" w:hAnsiTheme="minorBidi" w:cs="Arial" w:hint="cs"/>
          <w:sz w:val="16"/>
          <w:szCs w:val="16"/>
          <w:rtl/>
        </w:rPr>
        <w:t xml:space="preserve"> (ל' הרמב"ם)</w:t>
      </w:r>
      <w:r w:rsidRPr="00676296">
        <w:rPr>
          <w:rFonts w:asciiTheme="minorBidi" w:hAnsiTheme="minorBidi" w:cs="Arial"/>
          <w:rtl/>
        </w:rPr>
        <w:t>.</w:t>
      </w:r>
      <w:r w:rsidR="002C1339" w:rsidRPr="002C1339">
        <w:rPr>
          <w:rFonts w:asciiTheme="minorBidi" w:hAnsiTheme="minorBidi" w:hint="cs"/>
          <w:color w:val="E36C0A" w:themeColor="accent6" w:themeShade="BF"/>
          <w:rtl/>
        </w:rPr>
        <w:t xml:space="preserve"> (וכ"פ בשו"ע)</w:t>
      </w:r>
    </w:p>
    <w:p w14:paraId="6FA590FF" w14:textId="4212D708" w:rsidR="00765653" w:rsidRDefault="00765653" w:rsidP="00434A6A">
      <w:pPr>
        <w:pStyle w:val="aa"/>
        <w:numPr>
          <w:ilvl w:val="0"/>
          <w:numId w:val="32"/>
        </w:numPr>
        <w:rPr>
          <w:rFonts w:asciiTheme="minorBidi" w:hAnsiTheme="minorBidi"/>
        </w:rPr>
      </w:pPr>
      <w:r>
        <w:rPr>
          <w:rFonts w:asciiTheme="minorBidi" w:hAnsiTheme="minorBidi" w:cs="Arial" w:hint="cs"/>
          <w:rtl/>
        </w:rPr>
        <w:t xml:space="preserve">יראים </w:t>
      </w:r>
      <w:r>
        <w:rPr>
          <w:rFonts w:asciiTheme="minorBidi" w:hAnsiTheme="minorBidi" w:cs="Arial" w:hint="cs"/>
          <w:sz w:val="16"/>
          <w:szCs w:val="16"/>
          <w:rtl/>
        </w:rPr>
        <w:t>(סי' רעד</w:t>
      </w:r>
      <w:r w:rsidR="007D1368">
        <w:rPr>
          <w:rFonts w:asciiTheme="minorBidi" w:hAnsiTheme="minorBidi" w:cs="Arial" w:hint="cs"/>
          <w:sz w:val="16"/>
          <w:szCs w:val="16"/>
          <w:rtl/>
        </w:rPr>
        <w:t>, העתיקו הכל בו [סי' לא]</w:t>
      </w:r>
      <w:r>
        <w:rPr>
          <w:rFonts w:asciiTheme="minorBidi" w:hAnsiTheme="minorBidi" w:cs="Arial" w:hint="cs"/>
          <w:sz w:val="16"/>
          <w:szCs w:val="16"/>
          <w:rtl/>
        </w:rPr>
        <w:t>)</w:t>
      </w:r>
      <w:r>
        <w:rPr>
          <w:rFonts w:asciiTheme="minorBidi" w:hAnsiTheme="minorBidi" w:cs="Arial" w:hint="cs"/>
          <w:rtl/>
        </w:rPr>
        <w:t xml:space="preserve">- </w:t>
      </w:r>
      <w:r w:rsidRPr="00AF57AA">
        <w:rPr>
          <w:rFonts w:asciiTheme="minorBidi" w:hAnsiTheme="minorBidi" w:cs="Arial"/>
          <w:rtl/>
        </w:rPr>
        <w:t>כל קשר שפעמים נמלך ומבטלו לעולם אע</w:t>
      </w:r>
      <w:r>
        <w:rPr>
          <w:rFonts w:asciiTheme="minorBidi" w:hAnsiTheme="minorBidi" w:cs="Arial" w:hint="cs"/>
          <w:rtl/>
        </w:rPr>
        <w:t>"</w:t>
      </w:r>
      <w:r w:rsidRPr="00AF57AA">
        <w:rPr>
          <w:rFonts w:asciiTheme="minorBidi" w:hAnsiTheme="minorBidi" w:cs="Arial"/>
          <w:rtl/>
        </w:rPr>
        <w:t>פ שתחלת עשייתו לא היתה על מנת להניח לעולם שם</w:t>
      </w:r>
      <w:r>
        <w:rPr>
          <w:rStyle w:val="a9"/>
          <w:rFonts w:asciiTheme="minorBidi" w:hAnsiTheme="minorBidi"/>
          <w:rtl/>
        </w:rPr>
        <w:footnoteReference w:id="2558"/>
      </w:r>
      <w:r>
        <w:rPr>
          <w:rFonts w:asciiTheme="minorBidi" w:hAnsiTheme="minorBidi" w:hint="cs"/>
          <w:rtl/>
        </w:rPr>
        <w:t>.</w:t>
      </w:r>
      <w:r w:rsidR="007D1368">
        <w:rPr>
          <w:rFonts w:asciiTheme="minorBidi" w:hAnsiTheme="minorBidi" w:hint="cs"/>
          <w:rtl/>
        </w:rPr>
        <w:t>..</w:t>
      </w:r>
      <w:r w:rsidR="007D1368" w:rsidRPr="007D1368">
        <w:rPr>
          <w:rtl/>
        </w:rPr>
        <w:t xml:space="preserve"> </w:t>
      </w:r>
      <w:r w:rsidR="00BF0D47">
        <w:rPr>
          <w:rFonts w:asciiTheme="minorBidi" w:hAnsiTheme="minorBidi" w:cs="Arial" w:hint="cs"/>
          <w:rtl/>
        </w:rPr>
        <w:t xml:space="preserve">- </w:t>
      </w:r>
      <w:r w:rsidR="007D1368" w:rsidRPr="007D1368">
        <w:rPr>
          <w:rFonts w:asciiTheme="minorBidi" w:hAnsiTheme="minorBidi" w:cs="Arial"/>
          <w:rtl/>
        </w:rPr>
        <w:t>חיובא ליכא</w:t>
      </w:r>
      <w:r w:rsidR="00BF0D47">
        <w:rPr>
          <w:rFonts w:asciiTheme="minorBidi" w:hAnsiTheme="minorBidi" w:cs="Arial" w:hint="cs"/>
          <w:rtl/>
        </w:rPr>
        <w:t>,</w:t>
      </w:r>
      <w:r w:rsidR="007D1368" w:rsidRPr="007D1368">
        <w:rPr>
          <w:rFonts w:asciiTheme="minorBidi" w:hAnsiTheme="minorBidi" w:cs="Arial"/>
          <w:rtl/>
        </w:rPr>
        <w:t xml:space="preserve"> איסורא איכא</w:t>
      </w:r>
      <w:r w:rsidR="007D1368">
        <w:rPr>
          <w:rStyle w:val="a9"/>
          <w:rFonts w:asciiTheme="minorBidi" w:hAnsiTheme="minorBidi" w:cs="Arial"/>
          <w:rtl/>
        </w:rPr>
        <w:footnoteReference w:id="2559"/>
      </w:r>
      <w:r w:rsidR="007D1368">
        <w:rPr>
          <w:rFonts w:asciiTheme="minorBidi" w:hAnsiTheme="minorBidi" w:cs="Arial" w:hint="cs"/>
          <w:rtl/>
        </w:rPr>
        <w:t>.</w:t>
      </w:r>
    </w:p>
    <w:p w14:paraId="1DA7B954" w14:textId="43F0F5BA" w:rsidR="00C968C5" w:rsidRPr="007D1368" w:rsidRDefault="007214DD" w:rsidP="00434A6A">
      <w:pPr>
        <w:pStyle w:val="aa"/>
        <w:numPr>
          <w:ilvl w:val="0"/>
          <w:numId w:val="32"/>
        </w:numPr>
        <w:rPr>
          <w:rFonts w:asciiTheme="minorBidi" w:hAnsiTheme="minorBidi"/>
        </w:rPr>
      </w:pPr>
      <w:r>
        <w:rPr>
          <w:rFonts w:asciiTheme="minorBidi" w:hAnsiTheme="minorBidi" w:cs="Arial" w:hint="cs"/>
          <w:rtl/>
        </w:rPr>
        <w:t>ה"</w:t>
      </w:r>
      <w:r w:rsidRPr="007214DD">
        <w:rPr>
          <w:rFonts w:asciiTheme="minorBidi" w:hAnsiTheme="minorBidi" w:cs="Arial" w:hint="cs"/>
          <w:rtl/>
        </w:rPr>
        <w:t>ר בנימין</w:t>
      </w:r>
      <w:r>
        <w:rPr>
          <w:rFonts w:asciiTheme="minorBidi" w:hAnsiTheme="minorBidi" w:cs="Arial" w:hint="cs"/>
          <w:rtl/>
        </w:rPr>
        <w:t xml:space="preserve"> </w:t>
      </w:r>
      <w:r w:rsidRPr="007214DD">
        <w:rPr>
          <w:rFonts w:asciiTheme="minorBidi" w:hAnsiTheme="minorBidi" w:cs="Arial"/>
          <w:sz w:val="16"/>
          <w:szCs w:val="16"/>
          <w:rtl/>
        </w:rPr>
        <w:t>(</w:t>
      </w:r>
      <w:r>
        <w:rPr>
          <w:rFonts w:asciiTheme="minorBidi" w:hAnsiTheme="minorBidi" w:cs="Arial" w:hint="cs"/>
          <w:sz w:val="16"/>
          <w:szCs w:val="16"/>
          <w:rtl/>
        </w:rPr>
        <w:t>כ"כ בשמו אחיו הקטן שבה"ל [</w:t>
      </w:r>
      <w:r w:rsidRPr="007214DD">
        <w:rPr>
          <w:rFonts w:asciiTheme="minorBidi" w:hAnsiTheme="minorBidi" w:cs="Arial"/>
          <w:sz w:val="16"/>
          <w:szCs w:val="16"/>
          <w:rtl/>
        </w:rPr>
        <w:t>סי' קכד</w:t>
      </w:r>
      <w:r>
        <w:rPr>
          <w:rFonts w:asciiTheme="minorBidi" w:hAnsiTheme="minorBidi" w:cs="Arial" w:hint="cs"/>
          <w:sz w:val="16"/>
          <w:szCs w:val="16"/>
          <w:rtl/>
        </w:rPr>
        <w:t>])</w:t>
      </w:r>
      <w:r w:rsidRPr="007214DD">
        <w:rPr>
          <w:rFonts w:asciiTheme="minorBidi" w:hAnsiTheme="minorBidi" w:hint="cs"/>
          <w:rtl/>
        </w:rPr>
        <w:t xml:space="preserve">- </w:t>
      </w:r>
      <w:r w:rsidRPr="007214DD">
        <w:rPr>
          <w:rFonts w:asciiTheme="minorBidi" w:hAnsiTheme="minorBidi" w:cs="Arial"/>
          <w:rtl/>
        </w:rPr>
        <w:t>קשר שדעתו לקיימו ויכול להתירו באחת מידיו</w:t>
      </w:r>
      <w:r w:rsidRPr="007214DD">
        <w:rPr>
          <w:rFonts w:asciiTheme="minorBidi" w:hAnsiTheme="minorBidi" w:cs="Arial" w:hint="cs"/>
          <w:rtl/>
        </w:rPr>
        <w:t>,</w:t>
      </w:r>
      <w:r w:rsidRPr="007214DD">
        <w:rPr>
          <w:rFonts w:asciiTheme="minorBidi" w:hAnsiTheme="minorBidi" w:cs="Arial"/>
          <w:rtl/>
        </w:rPr>
        <w:t xml:space="preserve"> או קשר שאינו של קיימא ואינו יכול להתירו באחת מידיו </w:t>
      </w:r>
      <w:r w:rsidRPr="007214DD">
        <w:rPr>
          <w:rFonts w:asciiTheme="minorBidi" w:hAnsiTheme="minorBidi" w:cs="Arial" w:hint="cs"/>
          <w:rtl/>
        </w:rPr>
        <w:t xml:space="preserve">- </w:t>
      </w:r>
      <w:r w:rsidRPr="007214DD">
        <w:rPr>
          <w:rFonts w:asciiTheme="minorBidi" w:hAnsiTheme="minorBidi" w:cs="Arial"/>
          <w:rtl/>
        </w:rPr>
        <w:t>אסור</w:t>
      </w:r>
      <w:r w:rsidR="000550F3">
        <w:rPr>
          <w:rFonts w:asciiTheme="minorBidi" w:hAnsiTheme="minorBidi" w:cs="Arial" w:hint="cs"/>
          <w:rtl/>
        </w:rPr>
        <w:t>,</w:t>
      </w:r>
      <w:r w:rsidRPr="007214DD">
        <w:rPr>
          <w:rFonts w:asciiTheme="minorBidi" w:hAnsiTheme="minorBidi" w:cs="Arial"/>
          <w:rtl/>
        </w:rPr>
        <w:t xml:space="preserve"> אבל אין חייבין עליו.</w:t>
      </w:r>
      <w:r>
        <w:rPr>
          <w:rFonts w:asciiTheme="minorBidi" w:hAnsiTheme="minorBidi" w:hint="cs"/>
          <w:rtl/>
        </w:rPr>
        <w:t xml:space="preserve"> </w:t>
      </w:r>
    </w:p>
    <w:p w14:paraId="1CFACA17" w14:textId="00BD7406" w:rsidR="00D11F73" w:rsidRPr="00D11F73" w:rsidRDefault="00D11F73" w:rsidP="00434A6A">
      <w:pPr>
        <w:rPr>
          <w:rFonts w:asciiTheme="minorBidi" w:hAnsiTheme="minorBidi"/>
        </w:rPr>
      </w:pPr>
      <w:r w:rsidRPr="00D11F73">
        <w:rPr>
          <w:rFonts w:asciiTheme="minorBidi" w:hAnsiTheme="minorBidi" w:cs="Arial" w:hint="cs"/>
          <w:u w:val="single"/>
          <w:rtl/>
        </w:rPr>
        <w:t xml:space="preserve">איזה קשר </w:t>
      </w:r>
      <w:r>
        <w:rPr>
          <w:rFonts w:asciiTheme="minorBidi" w:hAnsiTheme="minorBidi" w:cs="Arial" w:hint="cs"/>
          <w:b/>
          <w:bCs/>
          <w:u w:val="single"/>
          <w:rtl/>
        </w:rPr>
        <w:t>מותר</w:t>
      </w:r>
      <w:r w:rsidRPr="00D11F73">
        <w:rPr>
          <w:rFonts w:asciiTheme="minorBidi" w:hAnsiTheme="minorBidi" w:cs="Arial" w:hint="cs"/>
          <w:u w:val="single"/>
          <w:rtl/>
        </w:rPr>
        <w:t>:</w:t>
      </w:r>
    </w:p>
    <w:p w14:paraId="47CDC33C" w14:textId="304A9249" w:rsidR="00676296" w:rsidRPr="00676296" w:rsidRDefault="004749F9" w:rsidP="00434A6A">
      <w:pPr>
        <w:pStyle w:val="aa"/>
        <w:numPr>
          <w:ilvl w:val="0"/>
          <w:numId w:val="32"/>
        </w:numPr>
        <w:rPr>
          <w:rFonts w:asciiTheme="minorBidi" w:hAnsiTheme="minorBidi"/>
        </w:rPr>
      </w:pPr>
      <w:r>
        <w:rPr>
          <w:rFonts w:asciiTheme="minorBidi" w:hAnsiTheme="minorBidi" w:cs="Arial" w:hint="cs"/>
          <w:rtl/>
        </w:rPr>
        <w:t>שבה"ל</w:t>
      </w:r>
      <w:r w:rsidRPr="00D9457B">
        <w:rPr>
          <w:rFonts w:asciiTheme="minorBidi" w:hAnsiTheme="minorBidi" w:cs="Arial"/>
          <w:rtl/>
        </w:rPr>
        <w:t xml:space="preserve"> </w:t>
      </w:r>
      <w:r w:rsidRPr="004749F9">
        <w:rPr>
          <w:rFonts w:asciiTheme="minorBidi" w:hAnsiTheme="minorBidi" w:cs="Arial"/>
          <w:sz w:val="16"/>
          <w:szCs w:val="16"/>
          <w:rtl/>
        </w:rPr>
        <w:t>(סי' קכד)</w:t>
      </w:r>
      <w:r>
        <w:rPr>
          <w:rFonts w:asciiTheme="minorBidi" w:hAnsiTheme="minorBidi" w:cs="Arial" w:hint="cs"/>
          <w:rtl/>
        </w:rPr>
        <w:t xml:space="preserve"> </w:t>
      </w:r>
      <w:r w:rsidR="00B839B7">
        <w:rPr>
          <w:rFonts w:asciiTheme="minorBidi" w:hAnsiTheme="minorBidi" w:cs="Arial" w:hint="cs"/>
          <w:rtl/>
        </w:rPr>
        <w:t xml:space="preserve">מהר"ם </w:t>
      </w:r>
      <w:r w:rsidR="00B839B7">
        <w:rPr>
          <w:rFonts w:asciiTheme="minorBidi" w:hAnsiTheme="minorBidi" w:cs="Arial" w:hint="cs"/>
          <w:sz w:val="16"/>
          <w:szCs w:val="16"/>
          <w:rtl/>
        </w:rPr>
        <w:t xml:space="preserve">(שם) </w:t>
      </w:r>
      <w:r>
        <w:rPr>
          <w:rFonts w:asciiTheme="minorBidi" w:hAnsiTheme="minorBidi" w:cs="Arial" w:hint="cs"/>
          <w:rtl/>
        </w:rPr>
        <w:t>ו</w:t>
      </w:r>
      <w:r w:rsidR="00D11F73">
        <w:rPr>
          <w:rFonts w:asciiTheme="minorBidi" w:hAnsiTheme="minorBidi" w:cs="Arial" w:hint="cs"/>
          <w:rtl/>
        </w:rPr>
        <w:t xml:space="preserve">טור- </w:t>
      </w:r>
      <w:r w:rsidR="006A0FD2">
        <w:rPr>
          <w:rFonts w:asciiTheme="minorBidi" w:hAnsiTheme="minorBidi" w:cs="Arial" w:hint="cs"/>
          <w:rtl/>
        </w:rPr>
        <w:t>ו</w:t>
      </w:r>
      <w:r w:rsidR="00D9457B" w:rsidRPr="00D9457B">
        <w:rPr>
          <w:rFonts w:asciiTheme="minorBidi" w:hAnsiTheme="minorBidi" w:cs="Arial"/>
          <w:rtl/>
        </w:rPr>
        <w:t xml:space="preserve">שעומד להתיר בכל יום </w:t>
      </w:r>
      <w:r w:rsidR="00453343">
        <w:rPr>
          <w:rFonts w:asciiTheme="minorBidi" w:hAnsiTheme="minorBidi" w:cs="Arial" w:hint="cs"/>
          <w:rtl/>
        </w:rPr>
        <w:t xml:space="preserve">- </w:t>
      </w:r>
      <w:r w:rsidR="00D9457B" w:rsidRPr="00D9457B">
        <w:rPr>
          <w:rFonts w:asciiTheme="minorBidi" w:hAnsiTheme="minorBidi" w:cs="Arial"/>
          <w:rtl/>
        </w:rPr>
        <w:t>מותר לכתחלה</w:t>
      </w:r>
      <w:r>
        <w:rPr>
          <w:rFonts w:asciiTheme="minorBidi" w:hAnsiTheme="minorBidi" w:cs="Arial" w:hint="cs"/>
          <w:sz w:val="16"/>
          <w:szCs w:val="16"/>
          <w:rtl/>
        </w:rPr>
        <w:t xml:space="preserve"> (ל' הטור)</w:t>
      </w:r>
      <w:r w:rsidR="00802B95">
        <w:rPr>
          <w:rFonts w:asciiTheme="minorBidi" w:hAnsiTheme="minorBidi" w:cs="Arial" w:hint="cs"/>
          <w:rtl/>
        </w:rPr>
        <w:t>.</w:t>
      </w:r>
      <w:r w:rsidR="00D9457B" w:rsidRPr="00D9457B">
        <w:rPr>
          <w:rFonts w:asciiTheme="minorBidi" w:hAnsiTheme="minorBidi" w:cs="Arial"/>
          <w:rtl/>
        </w:rPr>
        <w:t xml:space="preserve"> </w:t>
      </w:r>
    </w:p>
    <w:p w14:paraId="201DF1C4" w14:textId="626818A5" w:rsidR="008B052C" w:rsidRDefault="00676296" w:rsidP="00434A6A">
      <w:pPr>
        <w:pStyle w:val="aa"/>
        <w:numPr>
          <w:ilvl w:val="0"/>
          <w:numId w:val="32"/>
        </w:numPr>
        <w:rPr>
          <w:rFonts w:asciiTheme="minorBidi" w:hAnsiTheme="minorBidi" w:cs="Arial"/>
        </w:rPr>
      </w:pPr>
      <w:r w:rsidRPr="00676296">
        <w:rPr>
          <w:rFonts w:asciiTheme="minorBidi" w:hAnsiTheme="minorBidi" w:cs="Arial"/>
          <w:rtl/>
        </w:rPr>
        <w:t xml:space="preserve">רי"ף </w:t>
      </w:r>
      <w:r w:rsidRPr="00676296">
        <w:rPr>
          <w:rFonts w:asciiTheme="minorBidi" w:hAnsiTheme="minorBidi" w:cs="Arial"/>
          <w:sz w:val="16"/>
          <w:szCs w:val="16"/>
          <w:rtl/>
        </w:rPr>
        <w:t>(מא:)</w:t>
      </w:r>
      <w:r>
        <w:rPr>
          <w:rFonts w:asciiTheme="minorBidi" w:hAnsiTheme="minorBidi" w:cs="Arial" w:hint="cs"/>
          <w:rtl/>
        </w:rPr>
        <w:t xml:space="preserve"> ו</w:t>
      </w:r>
      <w:r w:rsidR="00D9457B" w:rsidRPr="00676296">
        <w:rPr>
          <w:rFonts w:asciiTheme="minorBidi" w:hAnsiTheme="minorBidi" w:cs="Arial"/>
          <w:rtl/>
        </w:rPr>
        <w:t xml:space="preserve">רמב"ם </w:t>
      </w:r>
      <w:r w:rsidRPr="00676296">
        <w:rPr>
          <w:rFonts w:asciiTheme="minorBidi" w:hAnsiTheme="minorBidi" w:cs="Arial" w:hint="cs"/>
          <w:sz w:val="16"/>
          <w:szCs w:val="16"/>
          <w:rtl/>
        </w:rPr>
        <w:t>(</w:t>
      </w:r>
      <w:r w:rsidR="00D9457B" w:rsidRPr="00676296">
        <w:rPr>
          <w:rFonts w:asciiTheme="minorBidi" w:hAnsiTheme="minorBidi" w:cs="Arial"/>
          <w:sz w:val="16"/>
          <w:szCs w:val="16"/>
          <w:rtl/>
        </w:rPr>
        <w:t>פ</w:t>
      </w:r>
      <w:r w:rsidRPr="00676296">
        <w:rPr>
          <w:rFonts w:asciiTheme="minorBidi" w:hAnsiTheme="minorBidi" w:cs="Arial" w:hint="cs"/>
          <w:sz w:val="16"/>
          <w:szCs w:val="16"/>
          <w:rtl/>
        </w:rPr>
        <w:t>"</w:t>
      </w:r>
      <w:r w:rsidR="00D9457B" w:rsidRPr="00676296">
        <w:rPr>
          <w:rFonts w:asciiTheme="minorBidi" w:hAnsiTheme="minorBidi" w:cs="Arial"/>
          <w:sz w:val="16"/>
          <w:szCs w:val="16"/>
          <w:rtl/>
        </w:rPr>
        <w:t>י ה"א)</w:t>
      </w:r>
      <w:r>
        <w:rPr>
          <w:rFonts w:asciiTheme="minorBidi" w:hAnsiTheme="minorBidi" w:cs="Arial" w:hint="cs"/>
          <w:rtl/>
        </w:rPr>
        <w:t xml:space="preserve">- </w:t>
      </w:r>
      <w:r w:rsidRPr="00676296">
        <w:rPr>
          <w:rFonts w:asciiTheme="minorBidi" w:hAnsiTheme="minorBidi" w:cs="Arial"/>
          <w:rtl/>
        </w:rPr>
        <w:t xml:space="preserve">קשר שאינו של קיימא ואינו מעשה אומן </w:t>
      </w:r>
      <w:r>
        <w:rPr>
          <w:rFonts w:asciiTheme="minorBidi" w:hAnsiTheme="minorBidi" w:cs="Arial" w:hint="cs"/>
          <w:rtl/>
        </w:rPr>
        <w:t xml:space="preserve">- </w:t>
      </w:r>
      <w:r w:rsidRPr="00676296">
        <w:rPr>
          <w:rFonts w:asciiTheme="minorBidi" w:hAnsiTheme="minorBidi" w:cs="Arial"/>
          <w:rtl/>
        </w:rPr>
        <w:t xml:space="preserve">מותר לקשרו לכתחלה </w:t>
      </w:r>
      <w:r>
        <w:rPr>
          <w:rFonts w:asciiTheme="minorBidi" w:hAnsiTheme="minorBidi" w:cs="Arial" w:hint="cs"/>
          <w:sz w:val="16"/>
          <w:szCs w:val="16"/>
          <w:rtl/>
        </w:rPr>
        <w:t>(ל' הרמב"ם)</w:t>
      </w:r>
      <w:r w:rsidRPr="00676296">
        <w:rPr>
          <w:rFonts w:asciiTheme="minorBidi" w:hAnsiTheme="minorBidi" w:cs="Arial"/>
          <w:rtl/>
        </w:rPr>
        <w:t>.</w:t>
      </w:r>
      <w:r w:rsidR="00D9457B" w:rsidRPr="00676296">
        <w:rPr>
          <w:rFonts w:asciiTheme="minorBidi" w:hAnsiTheme="minorBidi" w:cs="Arial"/>
          <w:rtl/>
        </w:rPr>
        <w:t xml:space="preserve"> </w:t>
      </w:r>
      <w:r w:rsidR="002C1339" w:rsidRPr="002C1339">
        <w:rPr>
          <w:rFonts w:asciiTheme="minorBidi" w:hAnsiTheme="minorBidi" w:hint="cs"/>
          <w:color w:val="E36C0A" w:themeColor="accent6" w:themeShade="BF"/>
          <w:rtl/>
        </w:rPr>
        <w:t>(וכ"פ בשו"ע)</w:t>
      </w:r>
    </w:p>
    <w:p w14:paraId="277BB6BE" w14:textId="6F16CD6D" w:rsidR="003D735D" w:rsidRDefault="00740E9B" w:rsidP="00434A6A">
      <w:pPr>
        <w:pStyle w:val="aa"/>
        <w:numPr>
          <w:ilvl w:val="0"/>
          <w:numId w:val="32"/>
        </w:numPr>
        <w:rPr>
          <w:rFonts w:asciiTheme="minorBidi" w:hAnsiTheme="minorBidi" w:cs="Arial"/>
        </w:rPr>
      </w:pPr>
      <w:r w:rsidRPr="008B052C">
        <w:rPr>
          <w:rFonts w:asciiTheme="minorBidi" w:hAnsiTheme="minorBidi" w:cs="Arial" w:hint="cs"/>
          <w:rtl/>
        </w:rPr>
        <w:t>רי"ו</w:t>
      </w:r>
      <w:r w:rsidR="008B052C">
        <w:rPr>
          <w:rStyle w:val="a9"/>
          <w:rFonts w:asciiTheme="minorBidi" w:hAnsiTheme="minorBidi" w:cs="Arial"/>
          <w:rtl/>
        </w:rPr>
        <w:footnoteReference w:id="2560"/>
      </w:r>
      <w:r w:rsidR="00D9457B" w:rsidRPr="008B052C">
        <w:rPr>
          <w:rFonts w:asciiTheme="minorBidi" w:hAnsiTheme="minorBidi" w:cs="Arial"/>
          <w:rtl/>
        </w:rPr>
        <w:t xml:space="preserve"> </w:t>
      </w:r>
      <w:r w:rsidRPr="008B052C">
        <w:rPr>
          <w:rFonts w:asciiTheme="minorBidi" w:hAnsiTheme="minorBidi" w:cs="Arial" w:hint="cs"/>
          <w:sz w:val="16"/>
          <w:szCs w:val="16"/>
          <w:rtl/>
        </w:rPr>
        <w:t>(</w:t>
      </w:r>
      <w:r w:rsidR="00D9457B" w:rsidRPr="008B052C">
        <w:rPr>
          <w:rFonts w:asciiTheme="minorBidi" w:hAnsiTheme="minorBidi" w:cs="Arial"/>
          <w:sz w:val="16"/>
          <w:szCs w:val="16"/>
          <w:rtl/>
        </w:rPr>
        <w:t>חי"ד ני</w:t>
      </w:r>
      <w:r w:rsidRPr="008B052C">
        <w:rPr>
          <w:rFonts w:asciiTheme="minorBidi" w:hAnsiTheme="minorBidi" w:cs="Arial" w:hint="cs"/>
          <w:sz w:val="16"/>
          <w:szCs w:val="16"/>
          <w:rtl/>
        </w:rPr>
        <w:t>"</w:t>
      </w:r>
      <w:r w:rsidR="00D9457B" w:rsidRPr="008B052C">
        <w:rPr>
          <w:rFonts w:asciiTheme="minorBidi" w:hAnsiTheme="minorBidi" w:cs="Arial"/>
          <w:sz w:val="16"/>
          <w:szCs w:val="16"/>
          <w:rtl/>
        </w:rPr>
        <w:t>ב פז:)</w:t>
      </w:r>
      <w:r w:rsidR="008B052C" w:rsidRPr="008B052C">
        <w:rPr>
          <w:rFonts w:asciiTheme="minorBidi" w:hAnsiTheme="minorBidi" w:cs="Arial" w:hint="cs"/>
          <w:rtl/>
        </w:rPr>
        <w:t>-</w:t>
      </w:r>
      <w:r w:rsidR="00D9457B" w:rsidRPr="008B052C">
        <w:rPr>
          <w:rFonts w:asciiTheme="minorBidi" w:hAnsiTheme="minorBidi" w:cs="Arial"/>
          <w:rtl/>
        </w:rPr>
        <w:t xml:space="preserve"> </w:t>
      </w:r>
      <w:r w:rsidR="00CF3383">
        <w:rPr>
          <w:rStyle w:val="a9"/>
          <w:rFonts w:asciiTheme="minorBidi" w:hAnsiTheme="minorBidi" w:cs="Arial"/>
          <w:rtl/>
        </w:rPr>
        <w:footnoteReference w:id="2561"/>
      </w:r>
      <w:r w:rsidR="00D9457B" w:rsidRPr="008B052C">
        <w:rPr>
          <w:rFonts w:asciiTheme="minorBidi" w:hAnsiTheme="minorBidi" w:cs="Arial"/>
          <w:rtl/>
        </w:rPr>
        <w:t>כל שעומד להתקיים פחות משלשה ימים עשוי להתירו בכל יום מיקרי ושרי</w:t>
      </w:r>
      <w:r w:rsidR="00CF3383">
        <w:rPr>
          <w:rFonts w:asciiTheme="minorBidi" w:hAnsiTheme="minorBidi" w:cs="Arial" w:hint="cs"/>
          <w:sz w:val="16"/>
          <w:szCs w:val="16"/>
          <w:rtl/>
        </w:rPr>
        <w:t xml:space="preserve"> (ל' הב"י בשמו)</w:t>
      </w:r>
      <w:r w:rsidR="008B052C" w:rsidRPr="008B052C">
        <w:rPr>
          <w:rFonts w:asciiTheme="minorBidi" w:hAnsiTheme="minorBidi" w:cs="Arial" w:hint="cs"/>
          <w:rtl/>
        </w:rPr>
        <w:t>.</w:t>
      </w:r>
    </w:p>
    <w:p w14:paraId="24B4CC18" w14:textId="206F7B08" w:rsidR="00236F76" w:rsidRPr="00236F76" w:rsidRDefault="00236F76" w:rsidP="00434A6A">
      <w:pPr>
        <w:pStyle w:val="aa"/>
        <w:numPr>
          <w:ilvl w:val="0"/>
          <w:numId w:val="32"/>
        </w:numPr>
        <w:rPr>
          <w:rFonts w:asciiTheme="minorBidi" w:hAnsiTheme="minorBidi"/>
        </w:rPr>
      </w:pPr>
      <w:r>
        <w:rPr>
          <w:rFonts w:asciiTheme="minorBidi" w:hAnsiTheme="minorBidi" w:cs="Arial" w:hint="cs"/>
          <w:rtl/>
        </w:rPr>
        <w:t xml:space="preserve">ראבי"ה </w:t>
      </w:r>
      <w:r>
        <w:rPr>
          <w:rFonts w:asciiTheme="minorBidi" w:hAnsiTheme="minorBidi" w:cs="Arial" w:hint="cs"/>
          <w:sz w:val="16"/>
          <w:szCs w:val="16"/>
          <w:rtl/>
        </w:rPr>
        <w:t>(סי' רו)</w:t>
      </w:r>
      <w:r>
        <w:rPr>
          <w:rFonts w:asciiTheme="minorBidi" w:hAnsiTheme="minorBidi" w:cs="Arial" w:hint="cs"/>
          <w:rtl/>
        </w:rPr>
        <w:t xml:space="preserve">- </w:t>
      </w:r>
      <w:r w:rsidRPr="008F1B02">
        <w:rPr>
          <w:rFonts w:asciiTheme="minorBidi" w:hAnsiTheme="minorBidi" w:cs="Arial"/>
          <w:rtl/>
        </w:rPr>
        <w:t>והני מילי שהתכיפות והקשירה דעתו שיהיו תמיד יחדיו, אבל לפי שעה אי נמי לג' וד' ימים לא הוי חיבור לא לענין שבת ולא לענין כלאים</w:t>
      </w:r>
      <w:r>
        <w:rPr>
          <w:rFonts w:asciiTheme="minorBidi" w:hAnsiTheme="minorBidi" w:cs="Arial" w:hint="cs"/>
          <w:rtl/>
        </w:rPr>
        <w:t>.</w:t>
      </w:r>
    </w:p>
    <w:p w14:paraId="7B7AB47C" w14:textId="77777777" w:rsidR="00BF0D47" w:rsidRDefault="00BF0D47" w:rsidP="00434A6A">
      <w:pPr>
        <w:pStyle w:val="aa"/>
        <w:numPr>
          <w:ilvl w:val="0"/>
          <w:numId w:val="32"/>
        </w:numPr>
        <w:rPr>
          <w:rFonts w:asciiTheme="minorBidi" w:hAnsiTheme="minorBidi" w:cs="Arial"/>
        </w:rPr>
      </w:pPr>
      <w:r>
        <w:rPr>
          <w:rFonts w:asciiTheme="minorBidi" w:hAnsiTheme="minorBidi" w:cs="Arial" w:hint="cs"/>
          <w:rtl/>
        </w:rPr>
        <w:t xml:space="preserve">יראים </w:t>
      </w:r>
      <w:r>
        <w:rPr>
          <w:rFonts w:asciiTheme="minorBidi" w:hAnsiTheme="minorBidi" w:cs="Arial" w:hint="cs"/>
          <w:sz w:val="16"/>
          <w:szCs w:val="16"/>
          <w:rtl/>
        </w:rPr>
        <w:t>(סי' רעד)</w:t>
      </w:r>
      <w:r>
        <w:rPr>
          <w:rFonts w:asciiTheme="minorBidi" w:hAnsiTheme="minorBidi" w:cs="Arial" w:hint="cs"/>
          <w:rtl/>
        </w:rPr>
        <w:t xml:space="preserve">- </w:t>
      </w:r>
      <w:r w:rsidRPr="00AF57AA">
        <w:rPr>
          <w:rFonts w:asciiTheme="minorBidi" w:hAnsiTheme="minorBidi" w:cs="Arial"/>
          <w:rtl/>
        </w:rPr>
        <w:t xml:space="preserve">קשר רצועות המכנסיים שקורין ברייר </w:t>
      </w:r>
      <w:r>
        <w:rPr>
          <w:rFonts w:asciiTheme="minorBidi" w:hAnsiTheme="minorBidi" w:cs="Arial" w:hint="cs"/>
          <w:rtl/>
        </w:rPr>
        <w:t xml:space="preserve">- </w:t>
      </w:r>
      <w:r w:rsidRPr="00AF57AA">
        <w:rPr>
          <w:rFonts w:asciiTheme="minorBidi" w:hAnsiTheme="minorBidi" w:cs="Arial"/>
          <w:rtl/>
        </w:rPr>
        <w:t>מותר לכתחילה</w:t>
      </w:r>
      <w:r>
        <w:rPr>
          <w:rFonts w:asciiTheme="minorBidi" w:hAnsiTheme="minorBidi" w:cs="Arial" w:hint="cs"/>
          <w:rtl/>
        </w:rPr>
        <w:t xml:space="preserve">, </w:t>
      </w:r>
      <w:r w:rsidRPr="00AF57AA">
        <w:rPr>
          <w:rFonts w:asciiTheme="minorBidi" w:hAnsiTheme="minorBidi" w:cs="Arial"/>
          <w:rtl/>
        </w:rPr>
        <w:t>שאין דעתו לבטלו שסופו להוציאו כשיכבסו המכנסיים</w:t>
      </w:r>
      <w:r>
        <w:rPr>
          <w:rStyle w:val="a9"/>
          <w:rFonts w:asciiTheme="minorBidi" w:hAnsiTheme="minorBidi" w:cs="Arial"/>
          <w:rtl/>
        </w:rPr>
        <w:footnoteReference w:id="2562"/>
      </w:r>
      <w:r w:rsidRPr="00AF57AA">
        <w:rPr>
          <w:rFonts w:asciiTheme="minorBidi" w:hAnsiTheme="minorBidi" w:cs="Arial"/>
          <w:rtl/>
        </w:rPr>
        <w:t>.</w:t>
      </w:r>
    </w:p>
    <w:p w14:paraId="35E8F8FE" w14:textId="3D80F276" w:rsidR="003D735D" w:rsidRPr="003D735D" w:rsidRDefault="003D735D" w:rsidP="00434A6A">
      <w:pPr>
        <w:rPr>
          <w:rFonts w:asciiTheme="minorBidi" w:hAnsiTheme="minorBidi" w:cs="Arial"/>
          <w:u w:val="single"/>
        </w:rPr>
      </w:pPr>
      <w:r w:rsidRPr="003D735D">
        <w:rPr>
          <w:rFonts w:asciiTheme="minorBidi" w:hAnsiTheme="minorBidi" w:cs="Arial" w:hint="cs"/>
          <w:u w:val="single"/>
          <w:rtl/>
        </w:rPr>
        <w:t xml:space="preserve">לרי"ף וסיעתו </w:t>
      </w:r>
      <w:r w:rsidRPr="003D735D">
        <w:rPr>
          <w:rFonts w:asciiTheme="minorBidi" w:hAnsiTheme="minorBidi" w:cs="Arial" w:hint="cs"/>
          <w:sz w:val="16"/>
          <w:szCs w:val="16"/>
          <w:u w:val="single"/>
          <w:rtl/>
        </w:rPr>
        <w:t xml:space="preserve">(שמחלקים בין קשר אומן להדיוט) </w:t>
      </w:r>
      <w:r w:rsidRPr="003D735D">
        <w:rPr>
          <w:rFonts w:asciiTheme="minorBidi" w:hAnsiTheme="minorBidi" w:cs="Arial" w:hint="cs"/>
          <w:u w:val="single"/>
          <w:rtl/>
        </w:rPr>
        <w:t>- איזהו קשר אומן:</w:t>
      </w:r>
      <w:r w:rsidRPr="003D735D">
        <w:rPr>
          <w:rFonts w:cs="Arial"/>
          <w:sz w:val="16"/>
          <w:szCs w:val="16"/>
          <w:rtl/>
        </w:rPr>
        <w:t xml:space="preserve"> (</w:t>
      </w:r>
      <w:r w:rsidRPr="003D735D">
        <w:rPr>
          <w:rFonts w:cs="Arial" w:hint="cs"/>
          <w:sz w:val="16"/>
          <w:szCs w:val="16"/>
          <w:rtl/>
        </w:rPr>
        <w:t xml:space="preserve">דרכ"מ אות </w:t>
      </w:r>
      <w:r w:rsidRPr="003D735D">
        <w:rPr>
          <w:rFonts w:cs="Arial"/>
          <w:sz w:val="16"/>
          <w:szCs w:val="16"/>
          <w:rtl/>
        </w:rPr>
        <w:t>א)</w:t>
      </w:r>
    </w:p>
    <w:p w14:paraId="46043FFC" w14:textId="169D1767" w:rsidR="00D27272" w:rsidRDefault="003D735D" w:rsidP="00434A6A">
      <w:pPr>
        <w:pStyle w:val="aa"/>
        <w:numPr>
          <w:ilvl w:val="0"/>
          <w:numId w:val="32"/>
        </w:numPr>
        <w:rPr>
          <w:rFonts w:asciiTheme="minorBidi" w:hAnsiTheme="minorBidi" w:cs="Arial"/>
        </w:rPr>
      </w:pPr>
      <w:r w:rsidRPr="003D735D">
        <w:rPr>
          <w:rFonts w:cs="Arial"/>
          <w:rtl/>
        </w:rPr>
        <w:t>שלט</w:t>
      </w:r>
      <w:r>
        <w:rPr>
          <w:rFonts w:cs="Arial" w:hint="cs"/>
          <w:rtl/>
        </w:rPr>
        <w:t>"ג</w:t>
      </w:r>
      <w:r w:rsidRPr="003D735D">
        <w:rPr>
          <w:rFonts w:cs="Arial"/>
          <w:rtl/>
        </w:rPr>
        <w:t xml:space="preserve"> </w:t>
      </w:r>
      <w:r w:rsidRPr="003D735D">
        <w:rPr>
          <w:rFonts w:cs="Arial" w:hint="cs"/>
          <w:sz w:val="16"/>
          <w:szCs w:val="16"/>
          <w:rtl/>
        </w:rPr>
        <w:t>(</w:t>
      </w:r>
      <w:r w:rsidRPr="003D735D">
        <w:rPr>
          <w:rFonts w:cs="Arial"/>
          <w:sz w:val="16"/>
          <w:szCs w:val="16"/>
          <w:rtl/>
        </w:rPr>
        <w:t>מא. אות ג)</w:t>
      </w:r>
      <w:r>
        <w:rPr>
          <w:rFonts w:cs="Arial" w:hint="cs"/>
          <w:rtl/>
        </w:rPr>
        <w:t>-</w:t>
      </w:r>
      <w:r w:rsidRPr="003D735D">
        <w:rPr>
          <w:rFonts w:cs="Arial"/>
          <w:rtl/>
        </w:rPr>
        <w:t xml:space="preserve"> קשר אומן לא נתברר לי היטב היאך הוא</w:t>
      </w:r>
      <w:r>
        <w:rPr>
          <w:rFonts w:cs="Arial" w:hint="cs"/>
          <w:rtl/>
        </w:rPr>
        <w:t>,</w:t>
      </w:r>
      <w:r w:rsidRPr="003D735D">
        <w:rPr>
          <w:rFonts w:cs="Arial"/>
          <w:rtl/>
        </w:rPr>
        <w:t xml:space="preserve"> מיהו נראה מלשון אלפסי הוא קשר שקושרים אותו הדק היטב</w:t>
      </w:r>
      <w:r>
        <w:rPr>
          <w:rFonts w:cs="Arial" w:hint="cs"/>
          <w:rtl/>
        </w:rPr>
        <w:t>.</w:t>
      </w:r>
      <w:r w:rsidRPr="003D735D">
        <w:rPr>
          <w:rFonts w:cs="Arial"/>
          <w:rtl/>
        </w:rPr>
        <w:t xml:space="preserve"> ומכאן נראה לי שיצא האזהרה שכשקושרין שני קשרים זה על זה</w:t>
      </w:r>
      <w:r w:rsidR="00A5011E">
        <w:rPr>
          <w:rStyle w:val="a9"/>
          <w:rFonts w:cs="Arial"/>
          <w:rtl/>
        </w:rPr>
        <w:footnoteReference w:id="2563"/>
      </w:r>
      <w:r w:rsidRPr="003D735D">
        <w:rPr>
          <w:rFonts w:cs="Arial"/>
          <w:rtl/>
        </w:rPr>
        <w:t xml:space="preserve"> שאין מתירין אותו בשבת</w:t>
      </w:r>
      <w:r>
        <w:rPr>
          <w:rFonts w:cs="Arial" w:hint="cs"/>
          <w:rtl/>
        </w:rPr>
        <w:t>,</w:t>
      </w:r>
      <w:r w:rsidRPr="003D735D">
        <w:rPr>
          <w:rFonts w:cs="Arial"/>
          <w:rtl/>
        </w:rPr>
        <w:t xml:space="preserve"> ואע</w:t>
      </w:r>
      <w:r>
        <w:rPr>
          <w:rFonts w:cs="Arial" w:hint="cs"/>
          <w:rtl/>
        </w:rPr>
        <w:t>"</w:t>
      </w:r>
      <w:r w:rsidRPr="003D735D">
        <w:rPr>
          <w:rFonts w:cs="Arial"/>
          <w:rtl/>
        </w:rPr>
        <w:t>פ שההוא קשר עשוי להתיר בו ביו</w:t>
      </w:r>
      <w:r>
        <w:rPr>
          <w:rFonts w:cs="Arial" w:hint="cs"/>
          <w:rtl/>
        </w:rPr>
        <w:t>ם,</w:t>
      </w:r>
      <w:r w:rsidRPr="003D735D">
        <w:rPr>
          <w:rFonts w:cs="Arial"/>
          <w:rtl/>
        </w:rPr>
        <w:t xml:space="preserve"> אעפ</w:t>
      </w:r>
      <w:r>
        <w:rPr>
          <w:rFonts w:cs="Arial" w:hint="cs"/>
          <w:rtl/>
        </w:rPr>
        <w:t>"</w:t>
      </w:r>
      <w:r w:rsidRPr="003D735D">
        <w:rPr>
          <w:rFonts w:cs="Arial"/>
          <w:rtl/>
        </w:rPr>
        <w:t>כ נזהרין בקשירתו ובהתרתו משום דהוה קשר אמיץ</w:t>
      </w:r>
      <w:r w:rsidR="00D9457B">
        <w:rPr>
          <w:rStyle w:val="a9"/>
          <w:rFonts w:asciiTheme="minorBidi" w:hAnsiTheme="minorBidi" w:cs="Arial"/>
          <w:rtl/>
        </w:rPr>
        <w:footnoteReference w:id="2564"/>
      </w:r>
      <w:r>
        <w:rPr>
          <w:rFonts w:asciiTheme="minorBidi" w:hAnsiTheme="minorBidi" w:cs="Arial" w:hint="cs"/>
          <w:rtl/>
        </w:rPr>
        <w:t>.</w:t>
      </w:r>
    </w:p>
    <w:p w14:paraId="52A605E7" w14:textId="2B6D7E9C" w:rsidR="00D27272" w:rsidRPr="00D27272" w:rsidRDefault="00D27272" w:rsidP="00434A6A">
      <w:pPr>
        <w:rPr>
          <w:rFonts w:asciiTheme="minorBidi" w:hAnsiTheme="minorBidi" w:cs="Arial"/>
          <w:u w:val="single"/>
        </w:rPr>
      </w:pPr>
      <w:r w:rsidRPr="00D27272">
        <w:rPr>
          <w:rFonts w:asciiTheme="minorBidi" w:hAnsiTheme="minorBidi" w:cs="Arial" w:hint="cs"/>
          <w:u w:val="single"/>
          <w:rtl/>
        </w:rPr>
        <w:t xml:space="preserve">האם כדי להתחייב על </w:t>
      </w:r>
      <w:r w:rsidR="00717068">
        <w:rPr>
          <w:rFonts w:asciiTheme="minorBidi" w:hAnsiTheme="minorBidi" w:cs="Arial" w:hint="cs"/>
          <w:u w:val="single"/>
          <w:rtl/>
        </w:rPr>
        <w:t xml:space="preserve">התרת הקשר צריך </w:t>
      </w:r>
      <w:r w:rsidRPr="00D27272">
        <w:rPr>
          <w:rFonts w:asciiTheme="minorBidi" w:hAnsiTheme="minorBidi" w:cs="Arial" w:hint="cs"/>
          <w:u w:val="single"/>
          <w:rtl/>
        </w:rPr>
        <w:t>ל</w:t>
      </w:r>
      <w:r w:rsidR="00717068">
        <w:rPr>
          <w:rFonts w:asciiTheme="minorBidi" w:hAnsiTheme="minorBidi" w:cs="Arial" w:hint="cs"/>
          <w:u w:val="single"/>
          <w:rtl/>
        </w:rPr>
        <w:t xml:space="preserve">התיר </w:t>
      </w:r>
      <w:r w:rsidRPr="00D27272">
        <w:rPr>
          <w:rFonts w:asciiTheme="minorBidi" w:hAnsiTheme="minorBidi" w:cs="Arial" w:hint="cs"/>
          <w:u w:val="single"/>
          <w:rtl/>
        </w:rPr>
        <w:t>קשר על מנת ל</w:t>
      </w:r>
      <w:r w:rsidR="00717068">
        <w:rPr>
          <w:rFonts w:asciiTheme="minorBidi" w:hAnsiTheme="minorBidi" w:cs="Arial" w:hint="cs"/>
          <w:u w:val="single"/>
          <w:rtl/>
        </w:rPr>
        <w:t>קשור</w:t>
      </w:r>
      <w:r w:rsidRPr="00D27272">
        <w:rPr>
          <w:rFonts w:asciiTheme="minorBidi" w:hAnsiTheme="minorBidi" w:cs="Arial" w:hint="cs"/>
          <w:u w:val="single"/>
          <w:rtl/>
        </w:rPr>
        <w:t>:</w:t>
      </w:r>
    </w:p>
    <w:p w14:paraId="04FE4A6A" w14:textId="3C1EB499" w:rsidR="00D27272" w:rsidRDefault="00683108" w:rsidP="00434A6A">
      <w:pPr>
        <w:pStyle w:val="aa"/>
        <w:numPr>
          <w:ilvl w:val="0"/>
          <w:numId w:val="32"/>
        </w:numPr>
        <w:rPr>
          <w:rFonts w:asciiTheme="minorBidi" w:hAnsiTheme="minorBidi" w:cs="Arial"/>
        </w:rPr>
      </w:pPr>
      <w:r>
        <w:rPr>
          <w:rFonts w:asciiTheme="minorBidi" w:hAnsiTheme="minorBidi" w:cs="Arial" w:hint="cs"/>
          <w:rtl/>
        </w:rPr>
        <w:t xml:space="preserve">תוס' </w:t>
      </w:r>
      <w:r>
        <w:rPr>
          <w:rFonts w:asciiTheme="minorBidi" w:hAnsiTheme="minorBidi" w:cs="Arial" w:hint="cs"/>
          <w:sz w:val="16"/>
          <w:szCs w:val="16"/>
          <w:rtl/>
        </w:rPr>
        <w:t>(שבת עג. ד"ה הקושר והמתיר)</w:t>
      </w:r>
      <w:r>
        <w:rPr>
          <w:rFonts w:asciiTheme="minorBidi" w:hAnsiTheme="minorBidi" w:cs="Arial" w:hint="cs"/>
          <w:rtl/>
        </w:rPr>
        <w:t xml:space="preserve">- </w:t>
      </w:r>
      <w:r w:rsidR="00D27272" w:rsidRPr="00D27272">
        <w:rPr>
          <w:rFonts w:asciiTheme="minorBidi" w:hAnsiTheme="minorBidi" w:cs="Arial"/>
          <w:rtl/>
        </w:rPr>
        <w:t>צ"ע אי מיחייב במתיר שלא על מנת לקשור אי לא</w:t>
      </w:r>
      <w:r>
        <w:rPr>
          <w:rFonts w:asciiTheme="minorBidi" w:hAnsiTheme="minorBidi" w:cs="Arial" w:hint="cs"/>
          <w:rtl/>
        </w:rPr>
        <w:t>.</w:t>
      </w:r>
      <w:r w:rsidR="00D27272" w:rsidRPr="00D27272">
        <w:rPr>
          <w:rFonts w:asciiTheme="minorBidi" w:hAnsiTheme="minorBidi" w:cs="Arial"/>
          <w:rtl/>
        </w:rPr>
        <w:t xml:space="preserve"> ומדלא תני ליה כדתני מוחק ע"מ לכתוב אין לדקדק</w:t>
      </w:r>
      <w:r>
        <w:rPr>
          <w:rFonts w:asciiTheme="minorBidi" w:hAnsiTheme="minorBidi" w:cs="Arial" w:hint="cs"/>
          <w:rtl/>
        </w:rPr>
        <w:t>,</w:t>
      </w:r>
      <w:r w:rsidR="00D27272" w:rsidRPr="00D27272">
        <w:rPr>
          <w:rFonts w:asciiTheme="minorBidi" w:hAnsiTheme="minorBidi" w:cs="Arial"/>
          <w:rtl/>
        </w:rPr>
        <w:t xml:space="preserve"> דהכי נמי לא קתני סותר ע"מ לבנות ובפ' במה מדליקין (לעיל לא:) אמרינן בהדיא דבעינן סותר ע"מ לבנות</w:t>
      </w:r>
      <w:r>
        <w:rPr>
          <w:rFonts w:asciiTheme="minorBidi" w:hAnsiTheme="minorBidi" w:cs="Arial" w:hint="cs"/>
          <w:rtl/>
        </w:rPr>
        <w:t>.</w:t>
      </w:r>
      <w:r w:rsidR="00D27272" w:rsidRPr="00D27272">
        <w:rPr>
          <w:rFonts w:asciiTheme="minorBidi" w:hAnsiTheme="minorBidi" w:cs="Arial"/>
          <w:rtl/>
        </w:rPr>
        <w:t xml:space="preserve"> ולפי מה שפירש רש"י בגמרא (עד:) דאי מתרמי ליה תרי קיטרי בהדי הדדי בשני חוטין זה אצל זה שרי חד ומניח חד משמע דמיחייב בלא על מנת לקשור</w:t>
      </w:r>
      <w:r>
        <w:rPr>
          <w:rFonts w:asciiTheme="minorBidi" w:hAnsiTheme="minorBidi" w:cs="Arial" w:hint="cs"/>
          <w:rtl/>
        </w:rPr>
        <w:t>.</w:t>
      </w:r>
      <w:r w:rsidR="00D27272" w:rsidRPr="00D27272">
        <w:rPr>
          <w:rFonts w:asciiTheme="minorBidi" w:hAnsiTheme="minorBidi" w:cs="Arial"/>
          <w:rtl/>
        </w:rPr>
        <w:t xml:space="preserve"> ולשון קטר לא משמע כפירושו</w:t>
      </w:r>
      <w:r>
        <w:rPr>
          <w:rFonts w:asciiTheme="minorBidi" w:hAnsiTheme="minorBidi" w:cs="Arial" w:hint="cs"/>
          <w:rtl/>
        </w:rPr>
        <w:t>.</w:t>
      </w:r>
      <w:r w:rsidR="00D27272" w:rsidRPr="00D27272">
        <w:rPr>
          <w:rFonts w:asciiTheme="minorBidi" w:hAnsiTheme="minorBidi" w:cs="Arial"/>
          <w:rtl/>
        </w:rPr>
        <w:t xml:space="preserve"> אבל ר"ח פירש וכן משמע בירושלמי כשנפסק חוט בשני מקומות ונקשר מתירין ב' הקשרים ומשליכין לחוץ האמצעי וחוזרין וקושרין שתי הראשים זה בזה ואין בו אלא קשר א' ולפי זה משמע דבעי מתיר ע"מ לקשור.</w:t>
      </w:r>
    </w:p>
    <w:p w14:paraId="4EB755BA" w14:textId="2DB39318" w:rsidR="00D27272" w:rsidRDefault="00802B95" w:rsidP="00434A6A">
      <w:pPr>
        <w:pStyle w:val="aa"/>
        <w:numPr>
          <w:ilvl w:val="0"/>
          <w:numId w:val="32"/>
        </w:numPr>
        <w:rPr>
          <w:rFonts w:asciiTheme="minorBidi" w:hAnsiTheme="minorBidi" w:cs="Arial"/>
        </w:rPr>
      </w:pPr>
      <w:r w:rsidRPr="00D27272">
        <w:rPr>
          <w:rFonts w:asciiTheme="minorBidi" w:hAnsiTheme="minorBidi" w:cs="Arial"/>
          <w:rtl/>
        </w:rPr>
        <w:t xml:space="preserve">רא"ש </w:t>
      </w:r>
      <w:r w:rsidRPr="00683108">
        <w:rPr>
          <w:rFonts w:asciiTheme="minorBidi" w:hAnsiTheme="minorBidi" w:cs="Arial"/>
          <w:sz w:val="16"/>
          <w:szCs w:val="16"/>
          <w:rtl/>
        </w:rPr>
        <w:t>(</w:t>
      </w:r>
      <w:r w:rsidR="00683108" w:rsidRPr="00683108">
        <w:rPr>
          <w:rFonts w:asciiTheme="minorBidi" w:hAnsiTheme="minorBidi" w:cs="Arial" w:hint="cs"/>
          <w:sz w:val="16"/>
          <w:szCs w:val="16"/>
          <w:rtl/>
        </w:rPr>
        <w:t xml:space="preserve">פ' כלל גדול </w:t>
      </w:r>
      <w:r w:rsidRPr="00683108">
        <w:rPr>
          <w:rFonts w:asciiTheme="minorBidi" w:hAnsiTheme="minorBidi" w:cs="Arial"/>
          <w:sz w:val="16"/>
          <w:szCs w:val="16"/>
          <w:rtl/>
        </w:rPr>
        <w:t>סי' ו</w:t>
      </w:r>
      <w:r w:rsidR="00683108" w:rsidRPr="00683108">
        <w:rPr>
          <w:rFonts w:asciiTheme="minorBidi" w:hAnsiTheme="minorBidi" w:cs="Arial" w:hint="cs"/>
          <w:sz w:val="16"/>
          <w:szCs w:val="16"/>
          <w:rtl/>
        </w:rPr>
        <w:t>)</w:t>
      </w:r>
      <w:r w:rsidR="00683108">
        <w:rPr>
          <w:rFonts w:asciiTheme="minorBidi" w:hAnsiTheme="minorBidi" w:cs="Arial" w:hint="cs"/>
          <w:rtl/>
        </w:rPr>
        <w:t>-</w:t>
      </w:r>
      <w:r w:rsidRPr="00D27272">
        <w:rPr>
          <w:rFonts w:asciiTheme="minorBidi" w:hAnsiTheme="minorBidi" w:cs="Arial"/>
          <w:rtl/>
        </w:rPr>
        <w:t xml:space="preserve"> מה שנסתפק ר"י אי בעינן מתיר על מנת לקשור או לא</w:t>
      </w:r>
      <w:r w:rsidR="00D27272" w:rsidRPr="00D27272">
        <w:rPr>
          <w:rFonts w:asciiTheme="minorBidi" w:hAnsiTheme="minorBidi" w:cs="Arial" w:hint="cs"/>
          <w:rtl/>
        </w:rPr>
        <w:t>,</w:t>
      </w:r>
      <w:r w:rsidRPr="00D27272">
        <w:rPr>
          <w:rFonts w:asciiTheme="minorBidi" w:hAnsiTheme="minorBidi" w:cs="Arial"/>
          <w:rtl/>
        </w:rPr>
        <w:t xml:space="preserve"> יראה דלא מיחייב אלא דומיא דהואי במשכן מתיר קשר של קיימא על מנת לקשור של קיימא כגון צדי חלזון (עד:)</w:t>
      </w:r>
      <w:r w:rsidR="00D27272" w:rsidRPr="00D27272">
        <w:rPr>
          <w:rFonts w:asciiTheme="minorBidi" w:hAnsiTheme="minorBidi" w:cs="Arial" w:hint="cs"/>
          <w:rtl/>
        </w:rPr>
        <w:t>.</w:t>
      </w:r>
    </w:p>
    <w:p w14:paraId="016A43CD" w14:textId="6BA290DD" w:rsidR="00620BAE" w:rsidRDefault="00D27272" w:rsidP="00434A6A">
      <w:pPr>
        <w:pStyle w:val="aa"/>
        <w:numPr>
          <w:ilvl w:val="1"/>
          <w:numId w:val="32"/>
        </w:numPr>
        <w:rPr>
          <w:rFonts w:asciiTheme="minorBidi" w:hAnsiTheme="minorBidi" w:cs="Arial"/>
        </w:rPr>
      </w:pPr>
      <w:r>
        <w:rPr>
          <w:rFonts w:asciiTheme="minorBidi" w:hAnsiTheme="minorBidi" w:cs="Arial" w:hint="cs"/>
          <w:rtl/>
        </w:rPr>
        <w:t xml:space="preserve">ב"י- </w:t>
      </w:r>
      <w:r w:rsidR="00802B95" w:rsidRPr="00D27272">
        <w:rPr>
          <w:rFonts w:asciiTheme="minorBidi" w:hAnsiTheme="minorBidi" w:cs="Arial"/>
          <w:rtl/>
        </w:rPr>
        <w:t>ונראה דלא איירו אלא לענין חיוב חטאת</w:t>
      </w:r>
      <w:r w:rsidR="0051006A">
        <w:rPr>
          <w:rFonts w:asciiTheme="minorBidi" w:hAnsiTheme="minorBidi" w:cs="Arial" w:hint="cs"/>
          <w:rtl/>
        </w:rPr>
        <w:t>,</w:t>
      </w:r>
      <w:r w:rsidR="00802B95" w:rsidRPr="00D27272">
        <w:rPr>
          <w:rFonts w:asciiTheme="minorBidi" w:hAnsiTheme="minorBidi" w:cs="Arial"/>
          <w:rtl/>
        </w:rPr>
        <w:t xml:space="preserve"> אבל מדרבנן אסור להתיר אפילו שלא על מנת לקשור</w:t>
      </w:r>
      <w:r w:rsidRPr="00D27272">
        <w:rPr>
          <w:rFonts w:asciiTheme="minorBidi" w:hAnsiTheme="minorBidi" w:cs="Arial" w:hint="cs"/>
          <w:rtl/>
        </w:rPr>
        <w:t>.</w:t>
      </w:r>
    </w:p>
    <w:p w14:paraId="410D4DEE" w14:textId="77777777" w:rsidR="00683108" w:rsidRDefault="00683108" w:rsidP="00434A6A">
      <w:pPr>
        <w:rPr>
          <w:rFonts w:asciiTheme="minorBidi" w:hAnsiTheme="minorBidi" w:cs="Arial"/>
          <w:rtl/>
        </w:rPr>
      </w:pPr>
      <w:r w:rsidRPr="005275DF">
        <w:rPr>
          <w:rFonts w:asciiTheme="minorBidi" w:hAnsiTheme="minorBidi"/>
          <w:b/>
          <w:bCs/>
          <w:rtl/>
        </w:rPr>
        <w:t xml:space="preserve">שבת </w:t>
      </w:r>
      <w:r>
        <w:rPr>
          <w:rFonts w:asciiTheme="minorBidi" w:hAnsiTheme="minorBidi" w:hint="cs"/>
          <w:b/>
          <w:bCs/>
          <w:sz w:val="16"/>
          <w:szCs w:val="16"/>
          <w:rtl/>
        </w:rPr>
        <w:t xml:space="preserve">(פ' כלל גדול) </w:t>
      </w:r>
      <w:r>
        <w:rPr>
          <w:rFonts w:asciiTheme="minorBidi" w:hAnsiTheme="minorBidi" w:hint="cs"/>
          <w:b/>
          <w:bCs/>
          <w:rtl/>
        </w:rPr>
        <w:t>עד</w:t>
      </w:r>
      <w:r w:rsidRPr="005275DF">
        <w:rPr>
          <w:rFonts w:asciiTheme="minorBidi" w:hAnsiTheme="minorBidi"/>
          <w:b/>
          <w:bCs/>
          <w:rtl/>
        </w:rPr>
        <w:t xml:space="preserve"> ע"ב:</w:t>
      </w:r>
      <w:r w:rsidRPr="005275DF">
        <w:rPr>
          <w:rFonts w:asciiTheme="minorBidi" w:hAnsiTheme="minorBidi"/>
          <w:rtl/>
        </w:rPr>
        <w:t xml:space="preserve"> </w:t>
      </w:r>
      <w:r w:rsidRPr="00765653">
        <w:rPr>
          <w:rFonts w:asciiTheme="minorBidi" w:hAnsiTheme="minorBidi" w:cs="Arial"/>
          <w:rtl/>
        </w:rPr>
        <w:t xml:space="preserve">והתופר שתי תפירות. והא לא קיימא! </w:t>
      </w:r>
      <w:r w:rsidRPr="00A8680E">
        <w:rPr>
          <w:rFonts w:asciiTheme="minorBidi" w:hAnsiTheme="minorBidi" w:cs="Arial"/>
          <w:u w:val="single"/>
          <w:rtl/>
        </w:rPr>
        <w:t>אמר רבה בר בר חנה אמר רבי יוחנן</w:t>
      </w:r>
      <w:r w:rsidRPr="00765653">
        <w:rPr>
          <w:rFonts w:asciiTheme="minorBidi" w:hAnsiTheme="minorBidi" w:cs="Arial"/>
          <w:rtl/>
        </w:rPr>
        <w:t>: והוא שקשרן</w:t>
      </w:r>
      <w:r>
        <w:rPr>
          <w:rStyle w:val="a9"/>
          <w:rFonts w:asciiTheme="minorBidi" w:hAnsiTheme="minorBidi" w:cs="Arial"/>
          <w:rtl/>
        </w:rPr>
        <w:footnoteReference w:id="2565"/>
      </w:r>
      <w:r w:rsidRPr="00765653">
        <w:rPr>
          <w:rFonts w:asciiTheme="minorBidi" w:hAnsiTheme="minorBidi" w:cs="Arial"/>
          <w:rtl/>
        </w:rPr>
        <w:t xml:space="preserve">. </w:t>
      </w:r>
    </w:p>
    <w:p w14:paraId="3673846B" w14:textId="77777777" w:rsidR="00683108" w:rsidRPr="002A65D2" w:rsidRDefault="00683108" w:rsidP="00434A6A">
      <w:pPr>
        <w:rPr>
          <w:rFonts w:asciiTheme="minorBidi" w:hAnsiTheme="minorBidi" w:cs="Arial"/>
          <w:u w:val="single"/>
          <w:rtl/>
        </w:rPr>
      </w:pPr>
      <w:r w:rsidRPr="002A65D2">
        <w:rPr>
          <w:rFonts w:asciiTheme="minorBidi" w:hAnsiTheme="minorBidi" w:cs="Arial" w:hint="cs"/>
          <w:u w:val="single"/>
          <w:rtl/>
        </w:rPr>
        <w:t>קשר אחד:</w:t>
      </w:r>
    </w:p>
    <w:p w14:paraId="08ABD85D" w14:textId="77777777" w:rsidR="00683108" w:rsidRPr="002A65D2" w:rsidRDefault="00683108" w:rsidP="00434A6A">
      <w:pPr>
        <w:pStyle w:val="aa"/>
        <w:numPr>
          <w:ilvl w:val="0"/>
          <w:numId w:val="32"/>
        </w:numPr>
        <w:rPr>
          <w:rFonts w:asciiTheme="minorBidi" w:hAnsiTheme="minorBidi" w:cs="Arial"/>
          <w:rtl/>
        </w:rPr>
      </w:pPr>
      <w:r w:rsidRPr="002A65D2">
        <w:rPr>
          <w:rFonts w:asciiTheme="minorBidi" w:hAnsiTheme="minorBidi" w:cs="Arial" w:hint="cs"/>
          <w:rtl/>
        </w:rPr>
        <w:t xml:space="preserve">יראים </w:t>
      </w:r>
      <w:r w:rsidRPr="002A65D2">
        <w:rPr>
          <w:rFonts w:asciiTheme="minorBidi" w:hAnsiTheme="minorBidi" w:cs="Arial" w:hint="cs"/>
          <w:sz w:val="16"/>
          <w:szCs w:val="16"/>
          <w:rtl/>
        </w:rPr>
        <w:t>(סי' רעד, והעתיקו דבריו סמ"ג [לאוין סה אות כג] הגה"מ [פ"י אות י] ור"ן [לב: ד"ה שקשרן])</w:t>
      </w:r>
      <w:r w:rsidRPr="002A65D2">
        <w:rPr>
          <w:rFonts w:asciiTheme="minorBidi" w:hAnsiTheme="minorBidi" w:cs="Arial" w:hint="cs"/>
          <w:rtl/>
        </w:rPr>
        <w:t xml:space="preserve">- </w:t>
      </w:r>
      <w:r w:rsidRPr="002A65D2">
        <w:rPr>
          <w:rFonts w:asciiTheme="minorBidi" w:hAnsiTheme="minorBidi" w:cs="Arial"/>
          <w:rtl/>
        </w:rPr>
        <w:t xml:space="preserve">אמרינן בפ' כלל גדול </w:t>
      </w:r>
      <w:r w:rsidRPr="002A65D2">
        <w:rPr>
          <w:rFonts w:asciiTheme="minorBidi" w:hAnsiTheme="minorBidi" w:cs="Arial" w:hint="cs"/>
          <w:rtl/>
        </w:rPr>
        <w:t>(</w:t>
      </w:r>
      <w:r w:rsidRPr="002A65D2">
        <w:rPr>
          <w:rFonts w:asciiTheme="minorBidi" w:hAnsiTheme="minorBidi" w:cs="Arial"/>
          <w:rtl/>
        </w:rPr>
        <w:t>עד</w:t>
      </w:r>
      <w:r w:rsidRPr="002A65D2">
        <w:rPr>
          <w:rFonts w:asciiTheme="minorBidi" w:hAnsiTheme="minorBidi" w:cs="Arial" w:hint="cs"/>
          <w:rtl/>
        </w:rPr>
        <w:t>:)</w:t>
      </w:r>
      <w:r w:rsidRPr="002A65D2">
        <w:rPr>
          <w:rFonts w:asciiTheme="minorBidi" w:hAnsiTheme="minorBidi" w:cs="Arial"/>
          <w:rtl/>
        </w:rPr>
        <w:t xml:space="preserve"> והתופר ב' תפירות והא לא קאי אמר רבב"ח אר"י והוא שקשרן </w:t>
      </w:r>
      <w:r w:rsidRPr="002A65D2">
        <w:rPr>
          <w:rFonts w:asciiTheme="minorBidi" w:hAnsiTheme="minorBidi" w:cs="Arial" w:hint="cs"/>
          <w:rtl/>
        </w:rPr>
        <w:t xml:space="preserve">- </w:t>
      </w:r>
      <w:r w:rsidRPr="002A65D2">
        <w:rPr>
          <w:rFonts w:asciiTheme="minorBidi" w:hAnsiTheme="minorBidi" w:cs="Arial"/>
          <w:rtl/>
        </w:rPr>
        <w:t>פי</w:t>
      </w:r>
      <w:r w:rsidRPr="002A65D2">
        <w:rPr>
          <w:rFonts w:asciiTheme="minorBidi" w:hAnsiTheme="minorBidi" w:cs="Arial" w:hint="cs"/>
          <w:rtl/>
        </w:rPr>
        <w:t>רוש</w:t>
      </w:r>
      <w:r w:rsidRPr="002A65D2">
        <w:rPr>
          <w:rFonts w:asciiTheme="minorBidi" w:hAnsiTheme="minorBidi" w:cs="Arial"/>
          <w:rtl/>
        </w:rPr>
        <w:t xml:space="preserve"> ק</w:t>
      </w:r>
      <w:r w:rsidRPr="002A65D2">
        <w:rPr>
          <w:rFonts w:asciiTheme="minorBidi" w:hAnsiTheme="minorBidi" w:cs="Arial" w:hint="cs"/>
          <w:rtl/>
        </w:rPr>
        <w:t>ָ</w:t>
      </w:r>
      <w:r w:rsidRPr="002A65D2">
        <w:rPr>
          <w:rFonts w:asciiTheme="minorBidi" w:hAnsiTheme="minorBidi" w:cs="Arial"/>
          <w:rtl/>
        </w:rPr>
        <w:t>ש</w:t>
      </w:r>
      <w:r w:rsidRPr="002A65D2">
        <w:rPr>
          <w:rFonts w:asciiTheme="minorBidi" w:hAnsiTheme="minorBidi" w:cs="Arial" w:hint="cs"/>
          <w:rtl/>
        </w:rPr>
        <w:t>ָ</w:t>
      </w:r>
      <w:r w:rsidRPr="002A65D2">
        <w:rPr>
          <w:rFonts w:asciiTheme="minorBidi" w:hAnsiTheme="minorBidi" w:cs="Arial"/>
          <w:rtl/>
        </w:rPr>
        <w:t>ר ק</w:t>
      </w:r>
      <w:r w:rsidRPr="002A65D2">
        <w:rPr>
          <w:rFonts w:asciiTheme="minorBidi" w:hAnsiTheme="minorBidi" w:cs="Arial" w:hint="cs"/>
          <w:rtl/>
        </w:rPr>
        <w:t>ֶ</w:t>
      </w:r>
      <w:r w:rsidRPr="002A65D2">
        <w:rPr>
          <w:rFonts w:asciiTheme="minorBidi" w:hAnsiTheme="minorBidi" w:cs="Arial"/>
          <w:rtl/>
        </w:rPr>
        <w:t>ש</w:t>
      </w:r>
      <w:r w:rsidRPr="002A65D2">
        <w:rPr>
          <w:rFonts w:asciiTheme="minorBidi" w:hAnsiTheme="minorBidi" w:cs="Arial" w:hint="cs"/>
          <w:rtl/>
        </w:rPr>
        <w:t>ֶ</w:t>
      </w:r>
      <w:r w:rsidRPr="002A65D2">
        <w:rPr>
          <w:rFonts w:asciiTheme="minorBidi" w:hAnsiTheme="minorBidi" w:cs="Arial"/>
          <w:rtl/>
        </w:rPr>
        <w:t>ר אחר התפירות</w:t>
      </w:r>
      <w:r w:rsidRPr="002A65D2">
        <w:rPr>
          <w:rFonts w:asciiTheme="minorBidi" w:hAnsiTheme="minorBidi" w:cs="Arial" w:hint="cs"/>
          <w:rtl/>
        </w:rPr>
        <w:t>,</w:t>
      </w:r>
      <w:r w:rsidRPr="002A65D2">
        <w:rPr>
          <w:rFonts w:asciiTheme="minorBidi" w:hAnsiTheme="minorBidi" w:cs="Arial"/>
          <w:rtl/>
        </w:rPr>
        <w:t xml:space="preserve"> ומחייבינן ליה משום תופר ולא משום קושר</w:t>
      </w:r>
      <w:r w:rsidRPr="002A65D2">
        <w:rPr>
          <w:rFonts w:asciiTheme="minorBidi" w:hAnsiTheme="minorBidi" w:cs="Arial" w:hint="cs"/>
          <w:rtl/>
        </w:rPr>
        <w:t>,</w:t>
      </w:r>
      <w:r w:rsidRPr="002A65D2">
        <w:rPr>
          <w:rFonts w:asciiTheme="minorBidi" w:hAnsiTheme="minorBidi" w:cs="Arial"/>
          <w:rtl/>
        </w:rPr>
        <w:t xml:space="preserve"> למדנו שקשר אחד אינו קשר</w:t>
      </w:r>
      <w:r w:rsidRPr="002A65D2">
        <w:rPr>
          <w:rFonts w:asciiTheme="minorBidi" w:hAnsiTheme="minorBidi" w:cs="Arial" w:hint="cs"/>
          <w:rtl/>
        </w:rPr>
        <w:t>.</w:t>
      </w:r>
      <w:r w:rsidRPr="002A65D2">
        <w:rPr>
          <w:rFonts w:asciiTheme="minorBidi" w:hAnsiTheme="minorBidi" w:cs="Arial"/>
          <w:rtl/>
        </w:rPr>
        <w:t xml:space="preserve"> אבל במקום שרגילין לעשות קשר אחד</w:t>
      </w:r>
      <w:r w:rsidRPr="002A65D2">
        <w:rPr>
          <w:rFonts w:asciiTheme="minorBidi" w:hAnsiTheme="minorBidi" w:cs="Arial" w:hint="cs"/>
          <w:rtl/>
        </w:rPr>
        <w:t>,</w:t>
      </w:r>
      <w:r w:rsidRPr="002A65D2">
        <w:rPr>
          <w:rFonts w:asciiTheme="minorBidi" w:hAnsiTheme="minorBidi" w:cs="Arial"/>
          <w:rtl/>
        </w:rPr>
        <w:t xml:space="preserve"> שתתקיים בקשר אחד</w:t>
      </w:r>
      <w:r w:rsidRPr="002A65D2">
        <w:rPr>
          <w:rFonts w:asciiTheme="minorBidi" w:hAnsiTheme="minorBidi" w:cs="Arial" w:hint="cs"/>
          <w:rtl/>
        </w:rPr>
        <w:t>,</w:t>
      </w:r>
      <w:r w:rsidRPr="002A65D2">
        <w:rPr>
          <w:rFonts w:asciiTheme="minorBidi" w:hAnsiTheme="minorBidi" w:cs="Arial"/>
          <w:rtl/>
        </w:rPr>
        <w:t xml:space="preserve"> כגון שקושר הכל אחד בראשו ואינו קושר שני ראשין זה לזה </w:t>
      </w:r>
      <w:r w:rsidRPr="002A65D2">
        <w:rPr>
          <w:rFonts w:asciiTheme="minorBidi" w:hAnsiTheme="minorBidi" w:cs="Arial" w:hint="cs"/>
          <w:rtl/>
        </w:rPr>
        <w:t xml:space="preserve">- </w:t>
      </w:r>
      <w:r w:rsidRPr="002A65D2">
        <w:rPr>
          <w:rFonts w:asciiTheme="minorBidi" w:hAnsiTheme="minorBidi" w:cs="Arial"/>
          <w:rtl/>
        </w:rPr>
        <w:t xml:space="preserve">נראה דהוי קשר. </w:t>
      </w:r>
    </w:p>
    <w:p w14:paraId="439812F2" w14:textId="450A7971" w:rsidR="00683108" w:rsidRDefault="00683108" w:rsidP="00434A6A">
      <w:pPr>
        <w:pStyle w:val="aa"/>
        <w:numPr>
          <w:ilvl w:val="0"/>
          <w:numId w:val="32"/>
        </w:numPr>
        <w:rPr>
          <w:rFonts w:asciiTheme="minorBidi" w:hAnsiTheme="minorBidi" w:cs="Arial"/>
        </w:rPr>
      </w:pPr>
      <w:r w:rsidRPr="00D27272">
        <w:rPr>
          <w:rFonts w:asciiTheme="minorBidi" w:hAnsiTheme="minorBidi" w:hint="cs"/>
          <w:rtl/>
        </w:rPr>
        <w:t xml:space="preserve">מרדכי </w:t>
      </w:r>
      <w:r w:rsidRPr="00D27272">
        <w:rPr>
          <w:rFonts w:asciiTheme="minorBidi" w:hAnsiTheme="minorBidi" w:hint="cs"/>
          <w:sz w:val="16"/>
          <w:szCs w:val="16"/>
          <w:rtl/>
        </w:rPr>
        <w:t>(שבת סי' שפו)</w:t>
      </w:r>
      <w:r w:rsidRPr="00D27272">
        <w:rPr>
          <w:rFonts w:asciiTheme="minorBidi" w:hAnsiTheme="minorBidi" w:hint="cs"/>
          <w:rtl/>
        </w:rPr>
        <w:t xml:space="preserve">- </w:t>
      </w:r>
      <w:r w:rsidRPr="00D27272">
        <w:rPr>
          <w:rFonts w:asciiTheme="minorBidi" w:hAnsiTheme="minorBidi" w:cs="Arial"/>
          <w:rtl/>
        </w:rPr>
        <w:t>ה"ר פורת פי' למסקנא דמילתא דהרבה עניני קשרים הם יש קשר שמתקיים בקשירה אחת</w:t>
      </w:r>
      <w:r w:rsidR="00205061">
        <w:rPr>
          <w:rFonts w:asciiTheme="minorBidi" w:hAnsiTheme="minorBidi" w:cs="Arial" w:hint="cs"/>
          <w:rtl/>
        </w:rPr>
        <w:t>,</w:t>
      </w:r>
      <w:r w:rsidRPr="00D27272">
        <w:rPr>
          <w:rFonts w:asciiTheme="minorBidi" w:hAnsiTheme="minorBidi" w:cs="Arial"/>
          <w:rtl/>
        </w:rPr>
        <w:t xml:space="preserve"> כגון קשר של גרדיים שקושרין קשר אחד כשנפסק חוטו ומתקיים</w:t>
      </w:r>
      <w:r w:rsidR="00205061">
        <w:rPr>
          <w:rFonts w:asciiTheme="minorBidi" w:hAnsiTheme="minorBidi" w:cs="Arial" w:hint="cs"/>
          <w:rtl/>
        </w:rPr>
        <w:t>,</w:t>
      </w:r>
      <w:r w:rsidRPr="00D27272">
        <w:rPr>
          <w:rFonts w:asciiTheme="minorBidi" w:hAnsiTheme="minorBidi" w:cs="Arial"/>
          <w:rtl/>
        </w:rPr>
        <w:t xml:space="preserve"> וקשר שבראש החוט כשרוצה לתפור</w:t>
      </w:r>
      <w:r w:rsidR="00205061">
        <w:rPr>
          <w:rFonts w:asciiTheme="minorBidi" w:hAnsiTheme="minorBidi" w:cs="Arial" w:hint="cs"/>
          <w:rtl/>
        </w:rPr>
        <w:t>,</w:t>
      </w:r>
      <w:r w:rsidRPr="00D27272">
        <w:rPr>
          <w:rFonts w:asciiTheme="minorBidi" w:hAnsiTheme="minorBidi" w:cs="Arial"/>
          <w:rtl/>
        </w:rPr>
        <w:t xml:space="preserve"> וחייב</w:t>
      </w:r>
      <w:r w:rsidR="00205061">
        <w:rPr>
          <w:rFonts w:asciiTheme="minorBidi" w:hAnsiTheme="minorBidi" w:cs="Arial" w:hint="cs"/>
          <w:rtl/>
        </w:rPr>
        <w:t>.</w:t>
      </w:r>
      <w:r w:rsidRPr="00D27272">
        <w:rPr>
          <w:rFonts w:asciiTheme="minorBidi" w:hAnsiTheme="minorBidi" w:cs="Arial"/>
          <w:rtl/>
        </w:rPr>
        <w:t xml:space="preserve"> ויש קשר שאינו חייב אא</w:t>
      </w:r>
      <w:r w:rsidR="00205061">
        <w:rPr>
          <w:rFonts w:asciiTheme="minorBidi" w:hAnsiTheme="minorBidi" w:cs="Arial" w:hint="cs"/>
          <w:rtl/>
        </w:rPr>
        <w:t>"</w:t>
      </w:r>
      <w:r w:rsidRPr="00D27272">
        <w:rPr>
          <w:rFonts w:asciiTheme="minorBidi" w:hAnsiTheme="minorBidi" w:cs="Arial"/>
          <w:rtl/>
        </w:rPr>
        <w:t>כ עושה שני קשרים זה על זה</w:t>
      </w:r>
      <w:r w:rsidR="00205061">
        <w:rPr>
          <w:rFonts w:asciiTheme="minorBidi" w:hAnsiTheme="minorBidi" w:cs="Arial" w:hint="cs"/>
          <w:rtl/>
        </w:rPr>
        <w:t>,</w:t>
      </w:r>
      <w:r w:rsidRPr="00D27272">
        <w:rPr>
          <w:rFonts w:asciiTheme="minorBidi" w:hAnsiTheme="minorBidi" w:cs="Arial"/>
          <w:rtl/>
        </w:rPr>
        <w:t xml:space="preserve"> כגון חבל דלי שנפסק החבל</w:t>
      </w:r>
      <w:r w:rsidR="00205061">
        <w:rPr>
          <w:rFonts w:asciiTheme="minorBidi" w:hAnsiTheme="minorBidi" w:cs="Arial" w:hint="cs"/>
          <w:rtl/>
        </w:rPr>
        <w:t>,</w:t>
      </w:r>
      <w:r w:rsidRPr="00D27272">
        <w:rPr>
          <w:rFonts w:asciiTheme="minorBidi" w:hAnsiTheme="minorBidi" w:cs="Arial"/>
          <w:rtl/>
        </w:rPr>
        <w:t xml:space="preserve"> הכל לפי מה שנתקיים</w:t>
      </w:r>
      <w:r w:rsidRPr="00D27272">
        <w:rPr>
          <w:rFonts w:asciiTheme="minorBidi" w:hAnsiTheme="minorBidi" w:cs="Arial" w:hint="cs"/>
          <w:rtl/>
        </w:rPr>
        <w:t>.</w:t>
      </w:r>
    </w:p>
    <w:p w14:paraId="3C1B995E" w14:textId="77777777" w:rsidR="00683108" w:rsidRDefault="00683108" w:rsidP="00434A6A">
      <w:pPr>
        <w:rPr>
          <w:rFonts w:asciiTheme="minorBidi" w:hAnsiTheme="minorBidi"/>
          <w:rtl/>
        </w:rPr>
      </w:pPr>
      <w:r w:rsidRPr="005275DF">
        <w:rPr>
          <w:rFonts w:asciiTheme="minorBidi" w:hAnsiTheme="minorBidi"/>
          <w:b/>
          <w:bCs/>
          <w:rtl/>
        </w:rPr>
        <w:t>שבת</w:t>
      </w:r>
      <w:r>
        <w:rPr>
          <w:rFonts w:asciiTheme="minorBidi" w:hAnsiTheme="minorBidi" w:hint="cs"/>
          <w:b/>
          <w:bCs/>
          <w:sz w:val="16"/>
          <w:szCs w:val="16"/>
          <w:rtl/>
        </w:rPr>
        <w:t xml:space="preserve"> (פ' בתרא)</w:t>
      </w:r>
      <w:r w:rsidRPr="005275DF">
        <w:rPr>
          <w:rFonts w:asciiTheme="minorBidi" w:hAnsiTheme="minorBidi"/>
          <w:b/>
          <w:bCs/>
          <w:rtl/>
        </w:rPr>
        <w:t xml:space="preserve"> קנז ע"א:</w:t>
      </w:r>
      <w:r w:rsidRPr="005275DF">
        <w:rPr>
          <w:rFonts w:asciiTheme="minorBidi" w:hAnsiTheme="minorBidi"/>
          <w:rtl/>
        </w:rPr>
        <w:t xml:space="preserve"> </w:t>
      </w:r>
      <w:r w:rsidRPr="005275DF">
        <w:rPr>
          <w:rFonts w:asciiTheme="minorBidi" w:hAnsiTheme="minorBidi"/>
          <w:u w:val="double"/>
          <w:rtl/>
        </w:rPr>
        <w:t>משנה:</w:t>
      </w:r>
      <w:r w:rsidRPr="005275DF">
        <w:rPr>
          <w:rFonts w:asciiTheme="minorBidi" w:hAnsiTheme="minorBidi"/>
          <w:rtl/>
        </w:rPr>
        <w:t xml:space="preserve"> מפירין נדרים בשבת, ונשאלין לנדרים שהן לצורך השבת. ופוקקין את המאור, ומודדין את המטלית, ומודדין את המקוה... ומדבריהם למדנו, שפוקקין ומודדין וקושרין בשבת</w:t>
      </w:r>
      <w:r w:rsidRPr="005275DF">
        <w:rPr>
          <w:rStyle w:val="a9"/>
          <w:rFonts w:asciiTheme="minorBidi" w:hAnsiTheme="minorBidi"/>
          <w:rtl/>
        </w:rPr>
        <w:footnoteReference w:id="2566"/>
      </w:r>
      <w:r w:rsidRPr="005275DF">
        <w:rPr>
          <w:rFonts w:asciiTheme="minorBidi" w:hAnsiTheme="minorBidi"/>
          <w:rtl/>
        </w:rPr>
        <w:t>.</w:t>
      </w:r>
    </w:p>
    <w:p w14:paraId="09D7819F" w14:textId="77777777" w:rsidR="00683108" w:rsidRPr="007214DD" w:rsidRDefault="00683108" w:rsidP="00434A6A">
      <w:pPr>
        <w:rPr>
          <w:rFonts w:asciiTheme="minorBidi" w:hAnsiTheme="minorBidi"/>
          <w:u w:val="single"/>
          <w:rtl/>
        </w:rPr>
      </w:pPr>
      <w:r w:rsidRPr="007214DD">
        <w:rPr>
          <w:rFonts w:asciiTheme="minorBidi" w:hAnsiTheme="minorBidi" w:hint="cs"/>
          <w:u w:val="single"/>
          <w:rtl/>
        </w:rPr>
        <w:t>קשר של דבר מצוה:</w:t>
      </w:r>
    </w:p>
    <w:p w14:paraId="4549F373" w14:textId="75932E98" w:rsidR="00683108" w:rsidRDefault="00683108" w:rsidP="00434A6A">
      <w:pPr>
        <w:pStyle w:val="aa"/>
        <w:numPr>
          <w:ilvl w:val="0"/>
          <w:numId w:val="32"/>
        </w:numPr>
        <w:rPr>
          <w:rFonts w:asciiTheme="minorBidi" w:hAnsiTheme="minorBidi"/>
        </w:rPr>
      </w:pPr>
      <w:r>
        <w:rPr>
          <w:rFonts w:asciiTheme="minorBidi" w:hAnsiTheme="minorBidi" w:cs="Arial" w:hint="cs"/>
          <w:rtl/>
        </w:rPr>
        <w:t xml:space="preserve">טור- </w:t>
      </w:r>
      <w:r w:rsidRPr="00D9457B">
        <w:rPr>
          <w:rFonts w:asciiTheme="minorBidi" w:hAnsiTheme="minorBidi" w:cs="Arial"/>
          <w:rtl/>
        </w:rPr>
        <w:t>העומד להתקיים ז' ימים</w:t>
      </w:r>
      <w:r>
        <w:rPr>
          <w:rFonts w:asciiTheme="minorBidi" w:hAnsiTheme="minorBidi" w:cs="Arial" w:hint="cs"/>
          <w:rtl/>
        </w:rPr>
        <w:t>,</w:t>
      </w:r>
      <w:r w:rsidRPr="00D9457B">
        <w:rPr>
          <w:rFonts w:asciiTheme="minorBidi" w:hAnsiTheme="minorBidi" w:cs="Arial"/>
          <w:rtl/>
        </w:rPr>
        <w:t xml:space="preserve"> פטור אבל אסור</w:t>
      </w:r>
      <w:r>
        <w:rPr>
          <w:rFonts w:asciiTheme="minorBidi" w:hAnsiTheme="minorBidi" w:cs="Arial" w:hint="cs"/>
          <w:rtl/>
        </w:rPr>
        <w:t>,</w:t>
      </w:r>
      <w:r w:rsidRPr="00D9457B">
        <w:rPr>
          <w:rFonts w:asciiTheme="minorBidi" w:hAnsiTheme="minorBidi" w:cs="Arial"/>
          <w:rtl/>
        </w:rPr>
        <w:t xml:space="preserve"> ולצורך מצוה כגון שקושר למדוד שיעור אחד משיעורי התורה</w:t>
      </w:r>
      <w:r>
        <w:rPr>
          <w:rFonts w:asciiTheme="minorBidi" w:hAnsiTheme="minorBidi" w:cs="Arial" w:hint="cs"/>
          <w:rtl/>
        </w:rPr>
        <w:t xml:space="preserve"> -</w:t>
      </w:r>
      <w:r w:rsidRPr="00D9457B">
        <w:rPr>
          <w:rFonts w:asciiTheme="minorBidi" w:hAnsiTheme="minorBidi" w:cs="Arial"/>
          <w:rtl/>
        </w:rPr>
        <w:t xml:space="preserve"> מותר לכתחלה</w:t>
      </w:r>
      <w:r>
        <w:rPr>
          <w:rFonts w:asciiTheme="minorBidi" w:hAnsiTheme="minorBidi" w:cs="Arial" w:hint="cs"/>
          <w:rtl/>
        </w:rPr>
        <w:t>.</w:t>
      </w:r>
      <w:r w:rsidRPr="00D9457B">
        <w:rPr>
          <w:rFonts w:asciiTheme="minorBidi" w:hAnsiTheme="minorBidi" w:cs="Arial"/>
          <w:rtl/>
        </w:rPr>
        <w:t xml:space="preserve"> </w:t>
      </w:r>
    </w:p>
    <w:p w14:paraId="2A6F7255" w14:textId="30B79109" w:rsidR="002C1339" w:rsidRDefault="002C1339" w:rsidP="00434A6A">
      <w:pPr>
        <w:pStyle w:val="aa"/>
        <w:numPr>
          <w:ilvl w:val="0"/>
          <w:numId w:val="32"/>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(פ"י ה"ו)</w:t>
      </w:r>
      <w:r>
        <w:rPr>
          <w:rFonts w:asciiTheme="minorBidi" w:hAnsiTheme="minorBidi" w:cs="Arial" w:hint="cs"/>
          <w:rtl/>
        </w:rPr>
        <w:t xml:space="preserve">- </w:t>
      </w:r>
      <w:r w:rsidRPr="002C1339">
        <w:rPr>
          <w:rFonts w:asciiTheme="minorBidi" w:hAnsiTheme="minorBidi" w:cs="Arial"/>
          <w:rtl/>
        </w:rPr>
        <w:t>מותר לקשור קשר שאינו של קיימא לדבר מצוה, כגון שיקשור למדוד שיעור משיעורי התורה</w:t>
      </w:r>
      <w:r>
        <w:rPr>
          <w:rFonts w:asciiTheme="minorBidi" w:hAnsiTheme="minorBidi" w:hint="cs"/>
          <w:rtl/>
        </w:rPr>
        <w:t>.</w:t>
      </w:r>
      <w:r w:rsidRPr="002C1339">
        <w:rPr>
          <w:rFonts w:asciiTheme="minorBidi" w:hAnsiTheme="minorBidi" w:hint="cs"/>
          <w:color w:val="E36C0A" w:themeColor="accent6" w:themeShade="BF"/>
          <w:rtl/>
        </w:rPr>
        <w:t xml:space="preserve"> (וכ"פ בשו"ע)</w:t>
      </w:r>
    </w:p>
    <w:p w14:paraId="2685FB97" w14:textId="0FC2B1CC" w:rsidR="00620BAE" w:rsidRPr="002C1339" w:rsidRDefault="007A12BE" w:rsidP="00434A6A">
      <w:pPr>
        <w:rPr>
          <w:rFonts w:asciiTheme="minorBidi" w:hAnsiTheme="minorBidi" w:cs="Arial"/>
          <w:u w:val="single"/>
        </w:rPr>
      </w:pPr>
      <w:r w:rsidRPr="002C1339">
        <w:rPr>
          <w:rFonts w:asciiTheme="minorBidi" w:hAnsiTheme="minorBidi" w:cs="Arial" w:hint="cs"/>
          <w:u w:val="single"/>
          <w:rtl/>
        </w:rPr>
        <w:t>הפקעה/חיתוך</w:t>
      </w:r>
      <w:r w:rsidR="002C1339" w:rsidRPr="002C1339">
        <w:rPr>
          <w:rFonts w:asciiTheme="minorBidi" w:hAnsiTheme="minorBidi" w:cs="Arial" w:hint="cs"/>
          <w:u w:val="single"/>
          <w:rtl/>
        </w:rPr>
        <w:t xml:space="preserve"> של</w:t>
      </w:r>
      <w:r w:rsidRPr="002C1339">
        <w:rPr>
          <w:rFonts w:asciiTheme="minorBidi" w:hAnsiTheme="minorBidi" w:cs="Arial" w:hint="cs"/>
          <w:u w:val="single"/>
          <w:rtl/>
        </w:rPr>
        <w:t xml:space="preserve"> קשר</w:t>
      </w:r>
      <w:r w:rsidR="002C1339" w:rsidRPr="002C1339">
        <w:rPr>
          <w:rFonts w:asciiTheme="minorBidi" w:hAnsiTheme="minorBidi" w:cs="Arial" w:hint="cs"/>
          <w:u w:val="single"/>
          <w:rtl/>
        </w:rPr>
        <w:t xml:space="preserve"> או חוט</w:t>
      </w:r>
    </w:p>
    <w:p w14:paraId="5967A0E5" w14:textId="07B65A9F" w:rsidR="00620BAE" w:rsidRDefault="00620BAE" w:rsidP="00434A6A">
      <w:pPr>
        <w:pStyle w:val="aa"/>
        <w:numPr>
          <w:ilvl w:val="0"/>
          <w:numId w:val="32"/>
        </w:numPr>
        <w:rPr>
          <w:rFonts w:asciiTheme="minorBidi" w:hAnsiTheme="minorBidi" w:cs="Arial"/>
        </w:rPr>
      </w:pPr>
      <w:r>
        <w:rPr>
          <w:rFonts w:asciiTheme="minorBidi" w:hAnsiTheme="minorBidi" w:cs="Arial" w:hint="cs"/>
          <w:rtl/>
        </w:rPr>
        <w:t xml:space="preserve">ראבי"ה </w:t>
      </w:r>
      <w:r>
        <w:rPr>
          <w:rFonts w:asciiTheme="minorBidi" w:hAnsiTheme="minorBidi" w:cs="Arial" w:hint="cs"/>
          <w:sz w:val="16"/>
          <w:szCs w:val="16"/>
          <w:rtl/>
        </w:rPr>
        <w:t>(</w:t>
      </w:r>
      <w:r w:rsidR="007A12BE">
        <w:rPr>
          <w:rFonts w:asciiTheme="minorBidi" w:hAnsiTheme="minorBidi" w:cs="Arial" w:hint="cs"/>
          <w:sz w:val="16"/>
          <w:szCs w:val="16"/>
          <w:rtl/>
        </w:rPr>
        <w:t>סי' תשעה, העתיקו המרדכי [סי' תרצא]</w:t>
      </w:r>
      <w:r>
        <w:rPr>
          <w:rFonts w:asciiTheme="minorBidi" w:hAnsiTheme="minorBidi" w:cs="Arial" w:hint="cs"/>
          <w:sz w:val="16"/>
          <w:szCs w:val="16"/>
          <w:rtl/>
        </w:rPr>
        <w:t>)</w:t>
      </w:r>
      <w:r>
        <w:rPr>
          <w:rFonts w:asciiTheme="minorBidi" w:hAnsiTheme="minorBidi" w:cs="Arial" w:hint="cs"/>
          <w:rtl/>
        </w:rPr>
        <w:t xml:space="preserve">- </w:t>
      </w:r>
      <w:r w:rsidRPr="00620BAE">
        <w:rPr>
          <w:rFonts w:asciiTheme="minorBidi" w:hAnsiTheme="minorBidi" w:cs="Arial"/>
          <w:rtl/>
        </w:rPr>
        <w:t xml:space="preserve">והילכתא כשמואל דסבירא ליה אין בנין בכלים ואין סתירה בכלים, כן נראה לי. ומטעם זה מותר לחתוך ולהפקיע ביום טוב קשרי השפוד שקושרין בו את הטלה. וקרוב הדבר בעיני שאף בשבת מותר, ואפילו למאן דאמר יש בנין בכלים, שהרי אינו כלי שאינו קשור לחבר שברים זה בזה, ולא דמי להיכי שקשור כסוי לכלי. </w:t>
      </w:r>
    </w:p>
    <w:p w14:paraId="66B70C73" w14:textId="6114F98A" w:rsidR="007A12BE" w:rsidRDefault="007A12BE" w:rsidP="00434A6A">
      <w:pPr>
        <w:pStyle w:val="aa"/>
        <w:numPr>
          <w:ilvl w:val="0"/>
          <w:numId w:val="32"/>
        </w:numPr>
        <w:rPr>
          <w:rFonts w:asciiTheme="minorBidi" w:hAnsiTheme="minorBidi" w:cs="Arial"/>
        </w:rPr>
      </w:pPr>
      <w:r>
        <w:rPr>
          <w:rFonts w:asciiTheme="minorBidi" w:hAnsiTheme="minorBidi" w:cs="Arial" w:hint="cs"/>
          <w:rtl/>
        </w:rPr>
        <w:t>מר</w:t>
      </w:r>
      <w:r w:rsidR="00620BAE" w:rsidRPr="00620BAE">
        <w:rPr>
          <w:rFonts w:asciiTheme="minorBidi" w:hAnsiTheme="minorBidi" w:cs="Arial"/>
          <w:rtl/>
        </w:rPr>
        <w:t xml:space="preserve">דכי </w:t>
      </w:r>
      <w:r w:rsidR="00620BAE" w:rsidRPr="007A12BE">
        <w:rPr>
          <w:rFonts w:asciiTheme="minorBidi" w:hAnsiTheme="minorBidi" w:cs="Arial"/>
          <w:sz w:val="16"/>
          <w:szCs w:val="16"/>
          <w:rtl/>
        </w:rPr>
        <w:t>(ביצה סי' תרצא)</w:t>
      </w:r>
      <w:r>
        <w:rPr>
          <w:rFonts w:asciiTheme="minorBidi" w:hAnsiTheme="minorBidi" w:cs="Arial" w:hint="cs"/>
          <w:rtl/>
        </w:rPr>
        <w:t xml:space="preserve">- </w:t>
      </w:r>
      <w:r w:rsidRPr="007A12BE">
        <w:rPr>
          <w:rFonts w:asciiTheme="minorBidi" w:hAnsiTheme="minorBidi" w:cs="Arial"/>
          <w:rtl/>
        </w:rPr>
        <w:t>ה"ר מרדכי זצוק"ל ראה בבית רבי' מאיר שעל השולחן לפניו היו נוהגין לחתוך קשרי השפוד בשבת</w:t>
      </w:r>
      <w:r>
        <w:rPr>
          <w:rFonts w:asciiTheme="minorBidi" w:hAnsiTheme="minorBidi" w:cs="Arial" w:hint="cs"/>
          <w:rtl/>
        </w:rPr>
        <w:t>,</w:t>
      </w:r>
      <w:r w:rsidRPr="007A12BE">
        <w:rPr>
          <w:rFonts w:asciiTheme="minorBidi" w:hAnsiTheme="minorBidi" w:cs="Arial"/>
          <w:rtl/>
        </w:rPr>
        <w:t xml:space="preserve"> וכן היו נוהגין בבית חמי רבי' יואל מפריש ז"ל</w:t>
      </w:r>
      <w:r>
        <w:rPr>
          <w:rFonts w:asciiTheme="minorBidi" w:hAnsiTheme="minorBidi" w:cs="Arial" w:hint="cs"/>
          <w:rtl/>
        </w:rPr>
        <w:t>.</w:t>
      </w:r>
    </w:p>
    <w:p w14:paraId="287D2E8D" w14:textId="0E7607C6" w:rsidR="002C1339" w:rsidRDefault="002C1339" w:rsidP="00434A6A">
      <w:pPr>
        <w:pStyle w:val="aa"/>
        <w:numPr>
          <w:ilvl w:val="0"/>
          <w:numId w:val="32"/>
        </w:numPr>
        <w:rPr>
          <w:rFonts w:asciiTheme="minorBidi" w:hAnsiTheme="minorBidi" w:cs="Arial"/>
        </w:rPr>
      </w:pPr>
      <w:r>
        <w:rPr>
          <w:rFonts w:asciiTheme="minorBidi" w:hAnsiTheme="minorBidi" w:cs="Arial" w:hint="cs"/>
          <w:rtl/>
        </w:rPr>
        <w:t>שבה"ל</w:t>
      </w:r>
      <w:r w:rsidR="00620BAE" w:rsidRPr="00620BAE">
        <w:rPr>
          <w:rFonts w:asciiTheme="minorBidi" w:hAnsiTheme="minorBidi" w:cs="Arial"/>
          <w:rtl/>
        </w:rPr>
        <w:t xml:space="preserve"> </w:t>
      </w:r>
      <w:r w:rsidR="00620BAE" w:rsidRPr="002C1339">
        <w:rPr>
          <w:rFonts w:asciiTheme="minorBidi" w:hAnsiTheme="minorBidi" w:cs="Arial"/>
          <w:sz w:val="16"/>
          <w:szCs w:val="16"/>
          <w:rtl/>
        </w:rPr>
        <w:t>(סי' פז)</w:t>
      </w:r>
      <w:r>
        <w:rPr>
          <w:rFonts w:asciiTheme="minorBidi" w:hAnsiTheme="minorBidi" w:cs="Arial" w:hint="cs"/>
          <w:rtl/>
        </w:rPr>
        <w:t>-</w:t>
      </w:r>
      <w:r w:rsidRPr="002C1339">
        <w:rPr>
          <w:rtl/>
        </w:rPr>
        <w:t xml:space="preserve"> </w:t>
      </w:r>
      <w:r w:rsidRPr="002C1339">
        <w:rPr>
          <w:rFonts w:asciiTheme="minorBidi" w:hAnsiTheme="minorBidi" w:cs="Arial"/>
          <w:rtl/>
        </w:rPr>
        <w:t xml:space="preserve">כשיושב אדם בסעודה בשבת ופעמים מביאין לפניו תרנגולת צלויה או בשר צלוי וקשורים בגמי או בדבר אחר מותר לו לחתוך אותו הקישור ואין בו איסור ופסיקת תלוש אינו אסור אלא אם מתקנו או למדה או לעשותו כלי </w:t>
      </w:r>
      <w:r w:rsidRPr="00620BAE">
        <w:rPr>
          <w:rFonts w:asciiTheme="minorBidi" w:hAnsiTheme="minorBidi" w:cs="Arial"/>
          <w:rtl/>
        </w:rPr>
        <w:t>(ביצה לג:)</w:t>
      </w:r>
      <w:r>
        <w:rPr>
          <w:rFonts w:asciiTheme="minorBidi" w:hAnsiTheme="minorBidi" w:cs="Arial" w:hint="cs"/>
          <w:rtl/>
        </w:rPr>
        <w:t xml:space="preserve">. </w:t>
      </w:r>
      <w:r w:rsidRPr="002C1339">
        <w:rPr>
          <w:rFonts w:asciiTheme="minorBidi" w:hAnsiTheme="minorBidi" w:cs="Arial"/>
          <w:rtl/>
        </w:rPr>
        <w:t xml:space="preserve">וכן מצאתי שהעידו על אדם גדול ומנו ר' שניאור ב"ר יהודה ב"ר ברוך זצ"ל שראוהו שחתך קשרי הכבש שהיה קשור בו בשפוד כשהוא צלי ואפי' בפסיקת תלוש הורה ר' שאין שום איסור בשבת ואפי' שבות דרבנן אלא היתר גמור הוא כדאמרי' במסכת יום טוב </w:t>
      </w:r>
      <w:r w:rsidRPr="00620BAE">
        <w:rPr>
          <w:rFonts w:asciiTheme="minorBidi" w:hAnsiTheme="minorBidi" w:cs="Arial"/>
          <w:rtl/>
        </w:rPr>
        <w:t>(לא:)</w:t>
      </w:r>
      <w:r>
        <w:rPr>
          <w:rFonts w:asciiTheme="minorBidi" w:hAnsiTheme="minorBidi" w:cs="Arial" w:hint="cs"/>
          <w:rtl/>
        </w:rPr>
        <w:t xml:space="preserve"> </w:t>
      </w:r>
      <w:r w:rsidRPr="002C1339">
        <w:rPr>
          <w:rFonts w:asciiTheme="minorBidi" w:hAnsiTheme="minorBidi" w:cs="Arial"/>
          <w:rtl/>
        </w:rPr>
        <w:t>חותמות שבכלים מתיר ומפקיע וחותך ולפיכך לחתוך את התלוש היתר גמור הוא חוץ מדבר שיש בו תיקון כלי בחתיכתו אבל מקלקלין בפסיקת תלוש מותר לגמרי וכן אנו נוהגין לחתוך בשבת אגד גדיים וגם עופות המקולסין וחוטי תפירתן וכמו כן לקטום אשכול של ענבים לחלקו לבני השלחן</w:t>
      </w:r>
      <w:r>
        <w:rPr>
          <w:rFonts w:asciiTheme="minorBidi" w:hAnsiTheme="minorBidi" w:cs="Arial" w:hint="cs"/>
          <w:rtl/>
        </w:rPr>
        <w:t>.</w:t>
      </w:r>
    </w:p>
    <w:p w14:paraId="2DC95D85" w14:textId="77777777" w:rsidR="005022B5" w:rsidRPr="005275DF" w:rsidRDefault="005022B5" w:rsidP="00434A6A">
      <w:pPr>
        <w:rPr>
          <w:rFonts w:asciiTheme="minorBidi" w:hAnsiTheme="minorBidi"/>
          <w:rtl/>
        </w:rPr>
      </w:pPr>
      <w:r w:rsidRPr="005275DF">
        <w:rPr>
          <w:rFonts w:asciiTheme="minorBidi" w:hAnsiTheme="minorBidi"/>
          <w:b/>
          <w:bCs/>
          <w:sz w:val="32"/>
          <w:szCs w:val="28"/>
          <w:u w:val="single"/>
          <w:rtl/>
        </w:rPr>
        <w:t xml:space="preserve">שו"ע: </w:t>
      </w:r>
    </w:p>
    <w:p w14:paraId="51E78ECA" w14:textId="733CB438" w:rsidR="00AF1451" w:rsidRPr="000550F3" w:rsidRDefault="00193ADC" w:rsidP="00434A6A">
      <w:pPr>
        <w:rPr>
          <w:rFonts w:asciiTheme="minorBidi" w:hAnsiTheme="minorBidi"/>
          <w:rtl/>
        </w:rPr>
      </w:pPr>
      <w:r w:rsidRPr="005275DF">
        <w:rPr>
          <w:rFonts w:asciiTheme="minorBidi" w:hAnsiTheme="minorBidi"/>
          <w:rtl/>
        </w:rPr>
        <w:t>הקושר קשר של קיימא והוא מעשה אומן חייב, כגון</w:t>
      </w:r>
      <w:r w:rsidR="005022B5" w:rsidRPr="005275DF">
        <w:rPr>
          <w:rFonts w:asciiTheme="minorBidi" w:hAnsiTheme="minorBidi"/>
          <w:rtl/>
        </w:rPr>
        <w:t xml:space="preserve"> קשר הגמלים וקשר הספנים וקשרי רצועות מנעל וסנדל שקושרים הרצענים בשעת עשייתן וכ</w:t>
      </w:r>
      <w:r w:rsidRPr="005275DF">
        <w:rPr>
          <w:rFonts w:asciiTheme="minorBidi" w:hAnsiTheme="minorBidi"/>
          <w:rtl/>
        </w:rPr>
        <w:t xml:space="preserve">ן כל כיוצא בזה, אבל הקושר קשר של </w:t>
      </w:r>
      <w:r w:rsidR="005022B5" w:rsidRPr="005275DF">
        <w:rPr>
          <w:rFonts w:asciiTheme="minorBidi" w:hAnsiTheme="minorBidi"/>
          <w:rtl/>
        </w:rPr>
        <w:t>ק</w:t>
      </w:r>
      <w:r w:rsidRPr="005275DF">
        <w:rPr>
          <w:rFonts w:asciiTheme="minorBidi" w:hAnsiTheme="minorBidi"/>
          <w:rtl/>
        </w:rPr>
        <w:t>יימא</w:t>
      </w:r>
      <w:r w:rsidR="005022B5" w:rsidRPr="005275DF">
        <w:rPr>
          <w:rFonts w:asciiTheme="minorBidi" w:hAnsiTheme="minorBidi"/>
          <w:rtl/>
        </w:rPr>
        <w:t xml:space="preserve"> ואינו מעשה אומן, פטור. </w:t>
      </w:r>
      <w:r w:rsidRPr="005275DF">
        <w:rPr>
          <w:rFonts w:asciiTheme="minorBidi" w:hAnsiTheme="minorBidi"/>
          <w:sz w:val="18"/>
          <w:szCs w:val="18"/>
          <w:rtl/>
        </w:rPr>
        <w:t>הגה:</w:t>
      </w:r>
      <w:r w:rsidR="005022B5" w:rsidRPr="005275DF">
        <w:rPr>
          <w:rFonts w:asciiTheme="minorBidi" w:hAnsiTheme="minorBidi"/>
          <w:sz w:val="18"/>
          <w:szCs w:val="18"/>
          <w:rtl/>
        </w:rPr>
        <w:t xml:space="preserve"> ויש חולקים שסבירא להו דכל קשר </w:t>
      </w:r>
      <w:r w:rsidRPr="005275DF">
        <w:rPr>
          <w:rFonts w:asciiTheme="minorBidi" w:hAnsiTheme="minorBidi"/>
          <w:sz w:val="18"/>
          <w:szCs w:val="18"/>
          <w:rtl/>
        </w:rPr>
        <w:t>של קיימא</w:t>
      </w:r>
      <w:r w:rsidR="005022B5" w:rsidRPr="005275DF">
        <w:rPr>
          <w:rFonts w:asciiTheme="minorBidi" w:hAnsiTheme="minorBidi"/>
          <w:sz w:val="18"/>
          <w:szCs w:val="18"/>
          <w:rtl/>
        </w:rPr>
        <w:t>, אפילו של הדיוט, חייבין עליו (רש"י</w:t>
      </w:r>
      <w:r w:rsidR="007F24CD" w:rsidRPr="005275DF">
        <w:rPr>
          <w:rFonts w:asciiTheme="minorBidi" w:hAnsiTheme="minorBidi"/>
          <w:sz w:val="18"/>
          <w:szCs w:val="18"/>
          <w:rtl/>
        </w:rPr>
        <w:t xml:space="preserve"> רא"ש </w:t>
      </w:r>
      <w:r w:rsidR="005022B5" w:rsidRPr="005275DF">
        <w:rPr>
          <w:rFonts w:asciiTheme="minorBidi" w:hAnsiTheme="minorBidi"/>
          <w:sz w:val="18"/>
          <w:szCs w:val="18"/>
          <w:rtl/>
        </w:rPr>
        <w:t>טור</w:t>
      </w:r>
      <w:r w:rsidR="0051006A">
        <w:rPr>
          <w:rFonts w:asciiTheme="minorBidi" w:hAnsiTheme="minorBidi" w:hint="cs"/>
          <w:sz w:val="18"/>
          <w:szCs w:val="18"/>
          <w:rtl/>
        </w:rPr>
        <w:t xml:space="preserve"> ורי"ו</w:t>
      </w:r>
      <w:r w:rsidR="005022B5" w:rsidRPr="005275DF">
        <w:rPr>
          <w:rFonts w:asciiTheme="minorBidi" w:hAnsiTheme="minorBidi"/>
          <w:sz w:val="18"/>
          <w:szCs w:val="18"/>
          <w:rtl/>
        </w:rPr>
        <w:t>). וי"א שכל קשר שאינו עשוי להתיר באותו יום עצמו, מקרי של קיימא (</w:t>
      </w:r>
      <w:r w:rsidR="00835471">
        <w:rPr>
          <w:rFonts w:asciiTheme="minorBidi" w:hAnsiTheme="minorBidi" w:hint="cs"/>
          <w:sz w:val="18"/>
          <w:szCs w:val="18"/>
          <w:rtl/>
        </w:rPr>
        <w:t>מהר"ם</w:t>
      </w:r>
      <w:r w:rsidR="005022B5" w:rsidRPr="005275DF">
        <w:rPr>
          <w:rFonts w:asciiTheme="minorBidi" w:hAnsiTheme="minorBidi"/>
          <w:sz w:val="18"/>
          <w:szCs w:val="18"/>
          <w:rtl/>
        </w:rPr>
        <w:t>) ויש מקילין לומר דעד שבעה ימים לא מקרי של קיימא (טור)</w:t>
      </w:r>
      <w:r w:rsidR="00835471">
        <w:rPr>
          <w:rFonts w:asciiTheme="minorBidi" w:hAnsiTheme="minorBidi" w:hint="cs"/>
          <w:sz w:val="18"/>
          <w:szCs w:val="18"/>
          <w:rtl/>
        </w:rPr>
        <w:t>.</w:t>
      </w:r>
      <w:r w:rsidR="005022B5" w:rsidRPr="005275DF">
        <w:rPr>
          <w:rFonts w:asciiTheme="minorBidi" w:hAnsiTheme="minorBidi"/>
          <w:sz w:val="18"/>
          <w:szCs w:val="18"/>
          <w:rtl/>
        </w:rPr>
        <w:t xml:space="preserve"> וע"ל סימן שי"ד ס"י. </w:t>
      </w:r>
      <w:r w:rsidR="005022B5" w:rsidRPr="005275DF">
        <w:rPr>
          <w:rFonts w:asciiTheme="minorBidi" w:hAnsiTheme="minorBidi"/>
          <w:rtl/>
        </w:rPr>
        <w:t xml:space="preserve">וקשר שאינו </w:t>
      </w:r>
      <w:r w:rsidRPr="005275DF">
        <w:rPr>
          <w:rFonts w:asciiTheme="minorBidi" w:hAnsiTheme="minorBidi"/>
          <w:rtl/>
        </w:rPr>
        <w:t xml:space="preserve">של קיימא </w:t>
      </w:r>
      <w:r w:rsidR="005022B5" w:rsidRPr="005275DF">
        <w:rPr>
          <w:rFonts w:asciiTheme="minorBidi" w:hAnsiTheme="minorBidi"/>
          <w:rtl/>
        </w:rPr>
        <w:t>ואינו מעשה אומן, מותר לקשרו לכתחלה</w:t>
      </w:r>
      <w:r w:rsidR="000550F3">
        <w:rPr>
          <w:rFonts w:asciiTheme="minorBidi" w:hAnsiTheme="minorBidi" w:hint="cs"/>
          <w:rtl/>
        </w:rPr>
        <w:t>.</w:t>
      </w:r>
      <w:r w:rsidR="005022B5" w:rsidRPr="005275DF">
        <w:rPr>
          <w:rFonts w:asciiTheme="minorBidi" w:hAnsiTheme="minorBidi"/>
          <w:rtl/>
        </w:rPr>
        <w:t xml:space="preserve"> </w:t>
      </w:r>
      <w:r w:rsidR="005022B5" w:rsidRPr="005275DF">
        <w:rPr>
          <w:rFonts w:asciiTheme="minorBidi" w:hAnsiTheme="minorBidi"/>
          <w:sz w:val="18"/>
          <w:szCs w:val="18"/>
          <w:rtl/>
        </w:rPr>
        <w:t>הגה: וכן לענין התרתו דינו כמו לענין קשירתו (טור)</w:t>
      </w:r>
      <w:r w:rsidR="000550F3">
        <w:rPr>
          <w:rFonts w:asciiTheme="minorBidi" w:hAnsiTheme="minorBidi" w:hint="cs"/>
          <w:rtl/>
        </w:rPr>
        <w:t>.</w:t>
      </w:r>
      <w:r w:rsidR="005022B5" w:rsidRPr="005275DF">
        <w:rPr>
          <w:rFonts w:asciiTheme="minorBidi" w:hAnsiTheme="minorBidi"/>
          <w:rtl/>
        </w:rPr>
        <w:t xml:space="preserve"> כיצד: נפסקה לו רצועה וקשרה, נפסק החבל וקשרו, או שקשר חבל בדלי או שקשר רסן בהמה, הרי זה פטור וכן כל כיוצא באלו הקשרים שהם מעשה הדיוט וכל אדם קושר אותם לקיימא. וכל קשר שאינו של קיימא, אם קשרו קשר אומן הרי זה אסור</w:t>
      </w:r>
      <w:r w:rsidR="002C1339">
        <w:rPr>
          <w:rFonts w:asciiTheme="minorBidi" w:hAnsiTheme="minorBidi" w:hint="cs"/>
          <w:rtl/>
        </w:rPr>
        <w:t>.</w:t>
      </w:r>
      <w:r w:rsidR="005022B5" w:rsidRPr="005275DF">
        <w:rPr>
          <w:rFonts w:asciiTheme="minorBidi" w:hAnsiTheme="minorBidi"/>
          <w:rtl/>
        </w:rPr>
        <w:t xml:space="preserve"> ולצורך מצוה, כגון שקושר למדוד אחד משיעורי התורה, מותר לקשור קשר שאינו של קיימא</w:t>
      </w:r>
      <w:r w:rsidR="00851614" w:rsidRPr="005275DF">
        <w:rPr>
          <w:rStyle w:val="a9"/>
          <w:rFonts w:asciiTheme="minorBidi" w:hAnsiTheme="minorBidi"/>
          <w:rtl/>
        </w:rPr>
        <w:footnoteReference w:id="2567"/>
      </w:r>
      <w:r w:rsidR="005022B5" w:rsidRPr="005275DF">
        <w:rPr>
          <w:rFonts w:asciiTheme="minorBidi" w:hAnsiTheme="minorBidi"/>
          <w:rtl/>
        </w:rPr>
        <w:t xml:space="preserve">. </w:t>
      </w:r>
      <w:r w:rsidR="005022B5" w:rsidRPr="005275DF">
        <w:rPr>
          <w:rFonts w:asciiTheme="minorBidi" w:hAnsiTheme="minorBidi"/>
          <w:sz w:val="18"/>
          <w:szCs w:val="18"/>
          <w:rtl/>
        </w:rPr>
        <w:t xml:space="preserve">הגה: וי"א דיש ליזהר שלא להתיר </w:t>
      </w:r>
      <w:r w:rsidR="00F63BA3" w:rsidRPr="005275DF">
        <w:rPr>
          <w:rFonts w:asciiTheme="minorBidi" w:hAnsiTheme="minorBidi"/>
          <w:sz w:val="18"/>
          <w:szCs w:val="18"/>
          <w:rtl/>
        </w:rPr>
        <w:t>שום קשר שהוא שני קשרים זה על זה</w:t>
      </w:r>
      <w:r w:rsidR="00404CB9">
        <w:rPr>
          <w:rFonts w:asciiTheme="minorBidi" w:hAnsiTheme="minorBidi" w:hint="cs"/>
          <w:sz w:val="18"/>
          <w:szCs w:val="18"/>
          <w:rtl/>
        </w:rPr>
        <w:t>,</w:t>
      </w:r>
      <w:r w:rsidR="005022B5" w:rsidRPr="005275DF">
        <w:rPr>
          <w:rFonts w:asciiTheme="minorBidi" w:hAnsiTheme="minorBidi"/>
          <w:sz w:val="18"/>
          <w:szCs w:val="18"/>
          <w:rtl/>
        </w:rPr>
        <w:t xml:space="preserve"> דאין אנו בקיאים איזה מקרי קשר של אומן</w:t>
      </w:r>
      <w:r w:rsidR="00FF648D" w:rsidRPr="005275DF">
        <w:rPr>
          <w:rStyle w:val="a9"/>
          <w:rFonts w:asciiTheme="minorBidi" w:hAnsiTheme="minorBidi"/>
          <w:sz w:val="18"/>
          <w:szCs w:val="18"/>
          <w:rtl/>
        </w:rPr>
        <w:footnoteReference w:id="2568"/>
      </w:r>
      <w:r w:rsidR="005022B5" w:rsidRPr="005275DF">
        <w:rPr>
          <w:rFonts w:asciiTheme="minorBidi" w:hAnsiTheme="minorBidi"/>
          <w:sz w:val="18"/>
          <w:szCs w:val="18"/>
          <w:rtl/>
        </w:rPr>
        <w:t xml:space="preserve"> דאפילו בשאינו של קיימא אסור לקשרו וה"ה להתירו</w:t>
      </w:r>
      <w:r w:rsidR="00835471">
        <w:rPr>
          <w:rFonts w:asciiTheme="minorBidi" w:hAnsiTheme="minorBidi" w:hint="cs"/>
          <w:sz w:val="18"/>
          <w:szCs w:val="18"/>
          <w:rtl/>
        </w:rPr>
        <w:t xml:space="preserve"> (שלט"ג)</w:t>
      </w:r>
      <w:r w:rsidR="005022B5" w:rsidRPr="005275DF">
        <w:rPr>
          <w:rFonts w:asciiTheme="minorBidi" w:hAnsiTheme="minorBidi"/>
          <w:sz w:val="18"/>
          <w:szCs w:val="18"/>
          <w:rtl/>
        </w:rPr>
        <w:t>, וכן נוהגין</w:t>
      </w:r>
      <w:r w:rsidR="00F63BA3" w:rsidRPr="005275DF">
        <w:rPr>
          <w:rStyle w:val="a9"/>
          <w:rFonts w:asciiTheme="minorBidi" w:hAnsiTheme="minorBidi"/>
          <w:sz w:val="18"/>
          <w:szCs w:val="18"/>
          <w:rtl/>
        </w:rPr>
        <w:footnoteReference w:id="2569"/>
      </w:r>
      <w:r w:rsidR="00835471">
        <w:rPr>
          <w:rFonts w:asciiTheme="minorBidi" w:hAnsiTheme="minorBidi" w:hint="cs"/>
          <w:sz w:val="18"/>
          <w:szCs w:val="18"/>
          <w:rtl/>
        </w:rPr>
        <w:t>.</w:t>
      </w:r>
      <w:r w:rsidR="005022B5" w:rsidRPr="005275DF">
        <w:rPr>
          <w:rFonts w:asciiTheme="minorBidi" w:hAnsiTheme="minorBidi"/>
          <w:sz w:val="18"/>
          <w:szCs w:val="18"/>
          <w:rtl/>
        </w:rPr>
        <w:t xml:space="preserve"> ומ"מ נראה דבמקום צערא אין לחוש ומותר להתירו, דאינו אלא איסור דרבנן ובמקום צער לא גזרו</w:t>
      </w:r>
      <w:r w:rsidR="00FF648D" w:rsidRPr="005275DF">
        <w:rPr>
          <w:rStyle w:val="a9"/>
          <w:rFonts w:asciiTheme="minorBidi" w:hAnsiTheme="minorBidi"/>
          <w:sz w:val="18"/>
          <w:szCs w:val="18"/>
          <w:rtl/>
        </w:rPr>
        <w:footnoteReference w:id="2570"/>
      </w:r>
      <w:r w:rsidR="005022B5" w:rsidRPr="005275DF">
        <w:rPr>
          <w:rFonts w:asciiTheme="minorBidi" w:hAnsiTheme="minorBidi"/>
          <w:sz w:val="18"/>
          <w:szCs w:val="18"/>
          <w:rtl/>
        </w:rPr>
        <w:t>. והא דבעינן ב' קשרים זה על זה, היינו כשקושר ב' דברים ביחד, אבל אם עשה קשר בראש אחד של חוט או משיחה, דינו כשני קשרים (</w:t>
      </w:r>
      <w:r w:rsidR="00835471">
        <w:rPr>
          <w:rFonts w:asciiTheme="minorBidi" w:hAnsiTheme="minorBidi" w:hint="cs"/>
          <w:sz w:val="18"/>
          <w:szCs w:val="18"/>
          <w:rtl/>
        </w:rPr>
        <w:t>יראים ומרדכי</w:t>
      </w:r>
      <w:r w:rsidR="005022B5" w:rsidRPr="005275DF">
        <w:rPr>
          <w:rFonts w:asciiTheme="minorBidi" w:hAnsiTheme="minorBidi"/>
          <w:sz w:val="18"/>
          <w:szCs w:val="18"/>
          <w:rtl/>
        </w:rPr>
        <w:t>).</w:t>
      </w:r>
    </w:p>
    <w:p w14:paraId="3B5DCC27" w14:textId="297FAD01" w:rsidR="005022B5" w:rsidRPr="005275DF" w:rsidRDefault="000550F3" w:rsidP="00434A6A">
      <w:pPr>
        <w:rPr>
          <w:rFonts w:asciiTheme="minorBidi" w:hAnsiTheme="minorBidi"/>
          <w:u w:val="single"/>
          <w:rtl/>
        </w:rPr>
      </w:pPr>
      <w:r>
        <w:rPr>
          <w:rFonts w:asciiTheme="minorBidi" w:hAnsiTheme="minorBidi" w:hint="cs"/>
          <w:u w:val="single"/>
          <w:rtl/>
        </w:rPr>
        <w:t>קשר שדרך לעשותו שיהיה קיים לעולם ורוצה לעשותו על מנת להתירו היום</w:t>
      </w:r>
      <w:r w:rsidR="00775F9E" w:rsidRPr="005275DF">
        <w:rPr>
          <w:rFonts w:asciiTheme="minorBidi" w:hAnsiTheme="minorBidi"/>
          <w:u w:val="single"/>
          <w:rtl/>
        </w:rPr>
        <w:t>:</w:t>
      </w:r>
    </w:p>
    <w:p w14:paraId="6BE802E7" w14:textId="77777777" w:rsidR="009A7A20" w:rsidRPr="005275DF" w:rsidRDefault="009A7A20" w:rsidP="00434A6A">
      <w:pPr>
        <w:pStyle w:val="aa"/>
        <w:numPr>
          <w:ilvl w:val="0"/>
          <w:numId w:val="1"/>
        </w:numPr>
        <w:rPr>
          <w:rFonts w:asciiTheme="minorBidi" w:hAnsiTheme="minorBidi"/>
        </w:rPr>
      </w:pPr>
      <w:r w:rsidRPr="005275DF">
        <w:rPr>
          <w:rFonts w:asciiTheme="minorBidi" w:hAnsiTheme="minorBidi"/>
          <w:rtl/>
        </w:rPr>
        <w:t>ט"ז</w:t>
      </w:r>
      <w:r>
        <w:rPr>
          <w:rFonts w:asciiTheme="minorBidi" w:hAnsiTheme="minorBidi" w:hint="cs"/>
          <w:sz w:val="16"/>
          <w:szCs w:val="16"/>
          <w:rtl/>
        </w:rPr>
        <w:t xml:space="preserve"> (סק"א)</w:t>
      </w:r>
      <w:r w:rsidRPr="005275DF">
        <w:rPr>
          <w:rFonts w:asciiTheme="minorBidi" w:hAnsiTheme="minorBidi"/>
          <w:rtl/>
        </w:rPr>
        <w:t>- הכל תלוי בדעת האדם הקושר לחוד.</w:t>
      </w:r>
      <w:r>
        <w:rPr>
          <w:rFonts w:asciiTheme="minorBidi" w:hAnsiTheme="minorBidi" w:hint="cs"/>
          <w:rtl/>
        </w:rPr>
        <w:t xml:space="preserve"> </w:t>
      </w:r>
    </w:p>
    <w:p w14:paraId="186DB5CF" w14:textId="3EC44743" w:rsidR="00FF648D" w:rsidRPr="005275DF" w:rsidRDefault="00FF648D" w:rsidP="00434A6A">
      <w:pPr>
        <w:pStyle w:val="aa"/>
        <w:numPr>
          <w:ilvl w:val="0"/>
          <w:numId w:val="1"/>
        </w:numPr>
        <w:rPr>
          <w:rFonts w:asciiTheme="minorBidi" w:hAnsiTheme="minorBidi"/>
          <w:rtl/>
        </w:rPr>
      </w:pPr>
      <w:r w:rsidRPr="005275DF">
        <w:rPr>
          <w:rFonts w:asciiTheme="minorBidi" w:hAnsiTheme="minorBidi"/>
          <w:rtl/>
        </w:rPr>
        <w:t>ב</w:t>
      </w:r>
      <w:r w:rsidR="009A7A20">
        <w:rPr>
          <w:rFonts w:asciiTheme="minorBidi" w:hAnsiTheme="minorBidi" w:hint="cs"/>
          <w:rtl/>
        </w:rPr>
        <w:t>י</w:t>
      </w:r>
      <w:r w:rsidRPr="005275DF">
        <w:rPr>
          <w:rFonts w:asciiTheme="minorBidi" w:hAnsiTheme="minorBidi"/>
          <w:rtl/>
        </w:rPr>
        <w:t>א</w:t>
      </w:r>
      <w:r w:rsidR="009A7A20">
        <w:rPr>
          <w:rFonts w:asciiTheme="minorBidi" w:hAnsiTheme="minorBidi" w:hint="cs"/>
          <w:rtl/>
        </w:rPr>
        <w:t>ו"</w:t>
      </w:r>
      <w:r w:rsidRPr="005275DF">
        <w:rPr>
          <w:rFonts w:asciiTheme="minorBidi" w:hAnsiTheme="minorBidi"/>
          <w:rtl/>
        </w:rPr>
        <w:t>ה</w:t>
      </w:r>
      <w:r w:rsidR="009A7A20">
        <w:rPr>
          <w:rFonts w:asciiTheme="minorBidi" w:hAnsiTheme="minorBidi" w:hint="cs"/>
          <w:sz w:val="16"/>
          <w:szCs w:val="16"/>
          <w:rtl/>
        </w:rPr>
        <w:t xml:space="preserve"> (ד"ה הקושר וכו')</w:t>
      </w:r>
      <w:r w:rsidRPr="005275DF">
        <w:rPr>
          <w:rFonts w:asciiTheme="minorBidi" w:hAnsiTheme="minorBidi"/>
          <w:rtl/>
        </w:rPr>
        <w:t xml:space="preserve">- </w:t>
      </w:r>
      <w:r w:rsidR="009A7A20" w:rsidRPr="009A7A20">
        <w:rPr>
          <w:rFonts w:asciiTheme="minorBidi" w:hAnsiTheme="minorBidi" w:cs="Arial"/>
          <w:rtl/>
        </w:rPr>
        <w:t>נראה דבענין שלנו שדרך כל העולם לעשותו לקביעות לא אזלינן בתר דעתו ומדאורייתא אסור</w:t>
      </w:r>
      <w:r w:rsidR="009A7A20">
        <w:rPr>
          <w:rFonts w:asciiTheme="minorBidi" w:hAnsiTheme="minorBidi" w:cs="Arial" w:hint="cs"/>
          <w:rtl/>
        </w:rPr>
        <w:t>.</w:t>
      </w:r>
      <w:r w:rsidR="009A7A20" w:rsidRPr="009A7A20">
        <w:rPr>
          <w:rFonts w:asciiTheme="minorBidi" w:hAnsiTheme="minorBidi" w:cs="Arial"/>
          <w:rtl/>
        </w:rPr>
        <w:t xml:space="preserve"> ואח"כ מצאתי שכן כתב בספר בית מאיר שנראה לו כן ברור</w:t>
      </w:r>
      <w:r w:rsidRPr="005275DF">
        <w:rPr>
          <w:rStyle w:val="a9"/>
          <w:rFonts w:asciiTheme="minorBidi" w:hAnsiTheme="minorBidi"/>
          <w:rtl/>
        </w:rPr>
        <w:footnoteReference w:id="2571"/>
      </w:r>
      <w:r w:rsidRPr="005275DF">
        <w:rPr>
          <w:rFonts w:asciiTheme="minorBidi" w:hAnsiTheme="minorBidi"/>
          <w:rtl/>
        </w:rPr>
        <w:t xml:space="preserve">. </w:t>
      </w:r>
    </w:p>
    <w:p w14:paraId="2FC92BC3" w14:textId="77777777" w:rsidR="00D33EAD" w:rsidRPr="005275DF" w:rsidRDefault="00D33EAD" w:rsidP="00434A6A">
      <w:pPr>
        <w:rPr>
          <w:rFonts w:asciiTheme="minorBidi" w:hAnsiTheme="minorBidi"/>
          <w:rtl/>
        </w:rPr>
      </w:pPr>
    </w:p>
    <w:p w14:paraId="53A0A025" w14:textId="1B7AC1F5" w:rsidR="005022B5" w:rsidRDefault="005022B5" w:rsidP="00434A6A">
      <w:pPr>
        <w:pStyle w:val="2"/>
        <w:rPr>
          <w:rFonts w:asciiTheme="minorBidi" w:hAnsiTheme="minorBidi" w:cstheme="minorBidi"/>
          <w:rtl/>
        </w:rPr>
      </w:pPr>
      <w:r w:rsidRPr="005275DF">
        <w:rPr>
          <w:rFonts w:asciiTheme="minorBidi" w:hAnsiTheme="minorBidi" w:cstheme="minorBidi"/>
          <w:rtl/>
        </w:rPr>
        <w:t>סעיף ב</w:t>
      </w:r>
      <w:r w:rsidR="00193ADC" w:rsidRPr="005275DF">
        <w:rPr>
          <w:rFonts w:asciiTheme="minorBidi" w:hAnsiTheme="minorBidi" w:cstheme="minorBidi"/>
          <w:rtl/>
        </w:rPr>
        <w:t>:</w:t>
      </w:r>
      <w:r w:rsidR="00BB428E" w:rsidRPr="005275DF">
        <w:rPr>
          <w:rFonts w:asciiTheme="minorBidi" w:hAnsiTheme="minorBidi" w:cstheme="minorBidi"/>
          <w:rtl/>
        </w:rPr>
        <w:t xml:space="preserve"> החזרת רצועות/חוטים ל</w:t>
      </w:r>
      <w:r w:rsidR="00524190">
        <w:rPr>
          <w:rFonts w:asciiTheme="minorBidi" w:hAnsiTheme="minorBidi" w:cstheme="minorBidi" w:hint="cs"/>
          <w:rtl/>
        </w:rPr>
        <w:t>בגד/נעל</w:t>
      </w:r>
      <w:r w:rsidR="00BB428E" w:rsidRPr="005275DF">
        <w:rPr>
          <w:rFonts w:asciiTheme="minorBidi" w:hAnsiTheme="minorBidi" w:cstheme="minorBidi"/>
          <w:rtl/>
        </w:rPr>
        <w:t xml:space="preserve"> בשבת.</w:t>
      </w:r>
    </w:p>
    <w:p w14:paraId="545167F6" w14:textId="59282599" w:rsidR="004F1734" w:rsidRPr="004F1734" w:rsidRDefault="004F1734" w:rsidP="00434A6A">
      <w:pPr>
        <w:rPr>
          <w:rtl/>
        </w:rPr>
      </w:pPr>
      <w:r w:rsidRPr="004F1734">
        <w:rPr>
          <w:rFonts w:cs="Arial" w:hint="cs"/>
          <w:b/>
          <w:bCs/>
          <w:rtl/>
        </w:rPr>
        <w:t xml:space="preserve">ירושלמי שבת פט"ו ה"ב: </w:t>
      </w:r>
      <w:r w:rsidRPr="004F1734">
        <w:rPr>
          <w:rFonts w:cs="Arial"/>
          <w:rtl/>
        </w:rPr>
        <w:t xml:space="preserve">נשמטו רצועות מנעל וסנדל </w:t>
      </w:r>
      <w:r>
        <w:rPr>
          <w:rFonts w:cs="Arial" w:hint="cs"/>
          <w:rtl/>
        </w:rPr>
        <w:t xml:space="preserve">- </w:t>
      </w:r>
      <w:r w:rsidRPr="004F1734">
        <w:rPr>
          <w:rFonts w:cs="Arial"/>
          <w:rtl/>
        </w:rPr>
        <w:t>נוטל ומחזיר ובלבד שלא יקשור.</w:t>
      </w:r>
    </w:p>
    <w:p w14:paraId="7CE63A50" w14:textId="15553652" w:rsidR="00686F0C" w:rsidRDefault="007A6D88" w:rsidP="00434A6A">
      <w:pPr>
        <w:rPr>
          <w:rtl/>
        </w:rPr>
      </w:pPr>
      <w:r w:rsidRPr="007A6D88">
        <w:rPr>
          <w:rFonts w:cs="Arial" w:hint="cs"/>
          <w:b/>
          <w:bCs/>
          <w:rtl/>
        </w:rPr>
        <w:t xml:space="preserve">שבת </w:t>
      </w:r>
      <w:r>
        <w:rPr>
          <w:rFonts w:cs="Arial" w:hint="cs"/>
          <w:b/>
          <w:bCs/>
          <w:sz w:val="16"/>
          <w:szCs w:val="16"/>
          <w:rtl/>
        </w:rPr>
        <w:t>(ר"פ במה טומנין)</w:t>
      </w:r>
      <w:r>
        <w:rPr>
          <w:rFonts w:cs="Arial" w:hint="cs"/>
          <w:b/>
          <w:bCs/>
          <w:rtl/>
        </w:rPr>
        <w:t xml:space="preserve"> </w:t>
      </w:r>
      <w:r w:rsidRPr="007A6D88">
        <w:rPr>
          <w:rFonts w:cs="Arial" w:hint="cs"/>
          <w:b/>
          <w:bCs/>
          <w:rtl/>
        </w:rPr>
        <w:t>מח</w:t>
      </w:r>
      <w:r w:rsidR="00446FDC">
        <w:rPr>
          <w:rStyle w:val="a9"/>
          <w:rFonts w:cs="Arial"/>
          <w:rtl/>
        </w:rPr>
        <w:footnoteReference w:id="2572"/>
      </w:r>
      <w:r w:rsidRPr="007A6D88">
        <w:rPr>
          <w:rFonts w:cs="Arial" w:hint="cs"/>
          <w:b/>
          <w:bCs/>
          <w:rtl/>
        </w:rPr>
        <w:t xml:space="preserve"> ע"א: </w:t>
      </w:r>
      <w:r w:rsidRPr="007A6D88">
        <w:rPr>
          <w:rFonts w:cs="Arial"/>
          <w:u w:val="single"/>
          <w:rtl/>
        </w:rPr>
        <w:t>רב חסדא</w:t>
      </w:r>
      <w:r w:rsidRPr="007A6D88">
        <w:rPr>
          <w:rFonts w:cs="Arial"/>
          <w:rtl/>
        </w:rPr>
        <w:t xml:space="preserve"> שרא לאהדורי אודרא לבי סדיא</w:t>
      </w:r>
      <w:r w:rsidR="003C225A">
        <w:rPr>
          <w:rStyle w:val="a9"/>
          <w:rFonts w:cs="Arial"/>
          <w:rtl/>
        </w:rPr>
        <w:footnoteReference w:id="2573"/>
      </w:r>
      <w:r w:rsidRPr="007A6D88">
        <w:rPr>
          <w:rFonts w:cs="Arial"/>
          <w:rtl/>
        </w:rPr>
        <w:t xml:space="preserve"> בשבתא. </w:t>
      </w:r>
      <w:r w:rsidRPr="007A6D88">
        <w:rPr>
          <w:rFonts w:cs="Arial"/>
          <w:u w:val="single"/>
          <w:rtl/>
        </w:rPr>
        <w:t>איתיביה רב חנן בר חסדא לרב חסדא</w:t>
      </w:r>
      <w:r w:rsidRPr="007A6D88">
        <w:rPr>
          <w:rFonts w:cs="Arial"/>
          <w:rtl/>
        </w:rPr>
        <w:t>: מתירין בית הצואר</w:t>
      </w:r>
      <w:r w:rsidR="003C225A">
        <w:rPr>
          <w:rStyle w:val="a9"/>
          <w:rFonts w:cs="Arial"/>
          <w:rtl/>
        </w:rPr>
        <w:footnoteReference w:id="2574"/>
      </w:r>
      <w:r w:rsidRPr="007A6D88">
        <w:rPr>
          <w:rFonts w:cs="Arial"/>
          <w:rtl/>
        </w:rPr>
        <w:t xml:space="preserve"> בשבת אבל לא פותחין</w:t>
      </w:r>
      <w:r w:rsidR="003C225A">
        <w:rPr>
          <w:rStyle w:val="a9"/>
          <w:rFonts w:cs="Arial"/>
          <w:rtl/>
        </w:rPr>
        <w:footnoteReference w:id="2575"/>
      </w:r>
      <w:r w:rsidRPr="007A6D88">
        <w:rPr>
          <w:rFonts w:cs="Arial"/>
          <w:rtl/>
        </w:rPr>
        <w:t>, ואין נותנין את המוכין לא לתוך הכר ולא לתוך הכסת ביום טוב, ואין צריך לומר בשבת! לא קשיא, הא - בחדתי</w:t>
      </w:r>
      <w:r w:rsidR="003C225A">
        <w:rPr>
          <w:rStyle w:val="a9"/>
          <w:rFonts w:cs="Arial"/>
          <w:rtl/>
        </w:rPr>
        <w:footnoteReference w:id="2576"/>
      </w:r>
      <w:r w:rsidRPr="007A6D88">
        <w:rPr>
          <w:rFonts w:cs="Arial"/>
          <w:rtl/>
        </w:rPr>
        <w:t>, הא - בעתיקי</w:t>
      </w:r>
      <w:r w:rsidR="003C225A">
        <w:rPr>
          <w:rStyle w:val="a9"/>
          <w:rFonts w:cs="Arial"/>
          <w:rtl/>
        </w:rPr>
        <w:footnoteReference w:id="2577"/>
      </w:r>
      <w:r w:rsidRPr="007A6D88">
        <w:rPr>
          <w:rFonts w:cs="Arial"/>
          <w:rtl/>
        </w:rPr>
        <w:t>.</w:t>
      </w:r>
    </w:p>
    <w:p w14:paraId="0C60C5F5" w14:textId="02AA07A9" w:rsidR="00524190" w:rsidRPr="00524190" w:rsidRDefault="00524190" w:rsidP="00434A6A">
      <w:pPr>
        <w:rPr>
          <w:u w:val="single"/>
        </w:rPr>
      </w:pPr>
      <w:r w:rsidRPr="00524190">
        <w:rPr>
          <w:rFonts w:asciiTheme="minorBidi" w:hAnsiTheme="minorBidi"/>
          <w:u w:val="single"/>
          <w:rtl/>
        </w:rPr>
        <w:t>החזרת רצועות/חוטים ל</w:t>
      </w:r>
      <w:r>
        <w:rPr>
          <w:rFonts w:asciiTheme="minorBidi" w:hAnsiTheme="minorBidi" w:hint="cs"/>
          <w:u w:val="single"/>
          <w:rtl/>
        </w:rPr>
        <w:t>בגד/נעל</w:t>
      </w:r>
      <w:r w:rsidRPr="00524190">
        <w:rPr>
          <w:rFonts w:asciiTheme="minorBidi" w:hAnsiTheme="minorBidi"/>
          <w:u w:val="single"/>
          <w:rtl/>
        </w:rPr>
        <w:t xml:space="preserve"> בשבת</w:t>
      </w:r>
      <w:r w:rsidRPr="00524190">
        <w:rPr>
          <w:rFonts w:hint="cs"/>
          <w:u w:val="single"/>
          <w:rtl/>
        </w:rPr>
        <w:t>:</w:t>
      </w:r>
    </w:p>
    <w:p w14:paraId="4AEBE44B" w14:textId="4FE2A3FA" w:rsidR="003A4FC1" w:rsidRPr="003A4FC1" w:rsidRDefault="003A4FC1" w:rsidP="00434A6A">
      <w:pPr>
        <w:pStyle w:val="aa"/>
        <w:numPr>
          <w:ilvl w:val="0"/>
          <w:numId w:val="32"/>
        </w:numPr>
        <w:rPr>
          <w:rFonts w:cs="Arial"/>
          <w:rtl/>
        </w:rPr>
      </w:pPr>
      <w:r w:rsidRPr="003A4FC1">
        <w:rPr>
          <w:rFonts w:cs="Arial"/>
          <w:rtl/>
        </w:rPr>
        <w:t xml:space="preserve">ר"י </w:t>
      </w:r>
      <w:r>
        <w:rPr>
          <w:rFonts w:cs="Arial" w:hint="cs"/>
          <w:sz w:val="16"/>
          <w:szCs w:val="16"/>
          <w:rtl/>
        </w:rPr>
        <w:t>(בתוס' שבת מח. ד"ה הא בחדתי הא בעתיקי)</w:t>
      </w:r>
      <w:r w:rsidR="00347BD3" w:rsidRPr="00347BD3">
        <w:rPr>
          <w:rFonts w:cs="Arial"/>
          <w:rtl/>
        </w:rPr>
        <w:t xml:space="preserve"> </w:t>
      </w:r>
      <w:r w:rsidR="00347BD3" w:rsidRPr="00686F0C">
        <w:rPr>
          <w:rFonts w:cs="Arial"/>
          <w:rtl/>
        </w:rPr>
        <w:t>רא"ש</w:t>
      </w:r>
      <w:r w:rsidR="00347BD3">
        <w:rPr>
          <w:rStyle w:val="a9"/>
          <w:rFonts w:cs="Arial"/>
          <w:rtl/>
        </w:rPr>
        <w:footnoteReference w:id="2578"/>
      </w:r>
      <w:r w:rsidR="00347BD3" w:rsidRPr="00686F0C">
        <w:rPr>
          <w:rFonts w:cs="Arial"/>
          <w:rtl/>
        </w:rPr>
        <w:t xml:space="preserve"> </w:t>
      </w:r>
      <w:r w:rsidR="00347BD3" w:rsidRPr="003C225A">
        <w:rPr>
          <w:rFonts w:cs="Arial" w:hint="cs"/>
          <w:sz w:val="16"/>
          <w:szCs w:val="16"/>
          <w:rtl/>
        </w:rPr>
        <w:t>(</w:t>
      </w:r>
      <w:r w:rsidR="00347BD3" w:rsidRPr="003C225A">
        <w:rPr>
          <w:rFonts w:cs="Arial"/>
          <w:sz w:val="16"/>
          <w:szCs w:val="16"/>
          <w:rtl/>
        </w:rPr>
        <w:t>ר</w:t>
      </w:r>
      <w:r w:rsidR="00347BD3" w:rsidRPr="003C225A">
        <w:rPr>
          <w:rFonts w:cs="Arial" w:hint="cs"/>
          <w:sz w:val="16"/>
          <w:szCs w:val="16"/>
          <w:rtl/>
        </w:rPr>
        <w:t>"</w:t>
      </w:r>
      <w:r w:rsidR="00347BD3" w:rsidRPr="003C225A">
        <w:rPr>
          <w:rFonts w:cs="Arial"/>
          <w:sz w:val="16"/>
          <w:szCs w:val="16"/>
          <w:rtl/>
        </w:rPr>
        <w:t>פ במה טומנין סי' ה)</w:t>
      </w:r>
      <w:r w:rsidR="00347BD3">
        <w:rPr>
          <w:rFonts w:cs="Arial" w:hint="cs"/>
          <w:rtl/>
        </w:rPr>
        <w:t xml:space="preserve"> ו</w:t>
      </w:r>
      <w:r w:rsidR="00347BD3">
        <w:rPr>
          <w:rFonts w:asciiTheme="minorBidi" w:hAnsiTheme="minorBidi" w:cs="Arial" w:hint="cs"/>
          <w:rtl/>
        </w:rPr>
        <w:t>טור</w:t>
      </w:r>
      <w:r w:rsidR="00347BD3">
        <w:rPr>
          <w:rStyle w:val="a9"/>
          <w:rFonts w:asciiTheme="minorBidi" w:hAnsiTheme="minorBidi" w:cs="Arial"/>
          <w:rtl/>
        </w:rPr>
        <w:footnoteReference w:id="2579"/>
      </w:r>
      <w:r>
        <w:rPr>
          <w:rFonts w:cs="Arial" w:hint="cs"/>
          <w:rtl/>
        </w:rPr>
        <w:t xml:space="preserve">- </w:t>
      </w:r>
      <w:r w:rsidRPr="003A4FC1">
        <w:rPr>
          <w:rFonts w:cs="Arial"/>
          <w:rtl/>
        </w:rPr>
        <w:t>אם נתקו חוטי הסרבל</w:t>
      </w:r>
      <w:r w:rsidR="003C225A">
        <w:rPr>
          <w:rFonts w:cs="Arial" w:hint="cs"/>
          <w:rtl/>
        </w:rPr>
        <w:t>,</w:t>
      </w:r>
      <w:r w:rsidRPr="003A4FC1">
        <w:rPr>
          <w:rFonts w:cs="Arial"/>
          <w:rtl/>
        </w:rPr>
        <w:t xml:space="preserve"> אם הנקב רחב ויכול להכניסם בלא טורח </w:t>
      </w:r>
      <w:r w:rsidR="003C225A">
        <w:rPr>
          <w:rFonts w:cs="Arial" w:hint="cs"/>
          <w:rtl/>
        </w:rPr>
        <w:t xml:space="preserve">- </w:t>
      </w:r>
      <w:r w:rsidRPr="003A4FC1">
        <w:rPr>
          <w:rFonts w:cs="Arial"/>
          <w:rtl/>
        </w:rPr>
        <w:t>שרי</w:t>
      </w:r>
      <w:r w:rsidR="008D2B25">
        <w:rPr>
          <w:rFonts w:cs="Arial" w:hint="cs"/>
          <w:rtl/>
        </w:rPr>
        <w:t>,</w:t>
      </w:r>
      <w:r w:rsidRPr="003A4FC1">
        <w:rPr>
          <w:rFonts w:cs="Arial"/>
          <w:rtl/>
        </w:rPr>
        <w:t xml:space="preserve"> כיון דעתיקי</w:t>
      </w:r>
      <w:r w:rsidR="003C225A">
        <w:rPr>
          <w:rFonts w:cs="Arial" w:hint="cs"/>
          <w:rtl/>
        </w:rPr>
        <w:t>,</w:t>
      </w:r>
      <w:r w:rsidRPr="003A4FC1">
        <w:rPr>
          <w:rFonts w:cs="Arial"/>
          <w:rtl/>
        </w:rPr>
        <w:t xml:space="preserve"> ובלבד שיתנם בענין זה שלא יהא לחוש שמא יתקע</w:t>
      </w:r>
      <w:r w:rsidR="003C225A">
        <w:rPr>
          <w:rFonts w:cs="Arial" w:hint="cs"/>
          <w:rtl/>
        </w:rPr>
        <w:t>,</w:t>
      </w:r>
      <w:r w:rsidRPr="003A4FC1">
        <w:rPr>
          <w:rFonts w:cs="Arial"/>
          <w:rtl/>
        </w:rPr>
        <w:t xml:space="preserve"> דבעניין שהוא רגילות לתקוע ולקשור נראה דאסורין להחזיר</w:t>
      </w:r>
      <w:r w:rsidR="00347BD3">
        <w:rPr>
          <w:rStyle w:val="a9"/>
          <w:rFonts w:cs="Arial"/>
          <w:rtl/>
        </w:rPr>
        <w:footnoteReference w:id="2580"/>
      </w:r>
      <w:r w:rsidR="00347BD3">
        <w:rPr>
          <w:rFonts w:cs="Arial" w:hint="cs"/>
          <w:rtl/>
        </w:rPr>
        <w:t>,</w:t>
      </w:r>
      <w:r w:rsidRPr="003A4FC1">
        <w:rPr>
          <w:rFonts w:cs="Arial"/>
          <w:rtl/>
        </w:rPr>
        <w:t xml:space="preserve"> כדאסרינן בריש כל הכלים (קכב:) החזרת שידה תיבה ומגדל גזירה שמא יתקע</w:t>
      </w:r>
      <w:r w:rsidR="00347BD3">
        <w:rPr>
          <w:rFonts w:cs="Arial" w:hint="cs"/>
          <w:sz w:val="16"/>
          <w:szCs w:val="16"/>
          <w:rtl/>
        </w:rPr>
        <w:t xml:space="preserve"> (ל' התוס')</w:t>
      </w:r>
      <w:r w:rsidRPr="003A4FC1">
        <w:rPr>
          <w:rFonts w:cs="Arial"/>
          <w:rtl/>
        </w:rPr>
        <w:t>.</w:t>
      </w:r>
      <w:r w:rsidR="003C268E" w:rsidRPr="003C268E">
        <w:rPr>
          <w:rFonts w:cs="Arial" w:hint="cs"/>
          <w:color w:val="00B0F0"/>
          <w:rtl/>
        </w:rPr>
        <w:t xml:space="preserve"> (וכ"פ הרמ"א)</w:t>
      </w:r>
    </w:p>
    <w:p w14:paraId="23DAB8C7" w14:textId="28488E4C" w:rsidR="00686F0C" w:rsidRPr="00686F0C" w:rsidRDefault="00075FB8" w:rsidP="00434A6A">
      <w:pPr>
        <w:pStyle w:val="aa"/>
        <w:numPr>
          <w:ilvl w:val="0"/>
          <w:numId w:val="32"/>
        </w:numPr>
        <w:rPr>
          <w:rFonts w:asciiTheme="minorBidi" w:hAnsiTheme="minorBidi"/>
        </w:rPr>
      </w:pPr>
      <w:r w:rsidRPr="00686F0C">
        <w:rPr>
          <w:rFonts w:cs="Arial"/>
          <w:rtl/>
        </w:rPr>
        <w:t xml:space="preserve">רמב"ם </w:t>
      </w:r>
      <w:r w:rsidR="003C225A" w:rsidRPr="003C225A">
        <w:rPr>
          <w:rFonts w:cs="Arial" w:hint="cs"/>
          <w:sz w:val="16"/>
          <w:szCs w:val="16"/>
          <w:rtl/>
        </w:rPr>
        <w:t>(</w:t>
      </w:r>
      <w:r w:rsidRPr="003C225A">
        <w:rPr>
          <w:rFonts w:cs="Arial"/>
          <w:sz w:val="16"/>
          <w:szCs w:val="16"/>
          <w:rtl/>
        </w:rPr>
        <w:t>פ</w:t>
      </w:r>
      <w:r w:rsidR="003C225A" w:rsidRPr="003C225A">
        <w:rPr>
          <w:rFonts w:cs="Arial" w:hint="cs"/>
          <w:sz w:val="16"/>
          <w:szCs w:val="16"/>
          <w:rtl/>
        </w:rPr>
        <w:t>"</w:t>
      </w:r>
      <w:r w:rsidRPr="003C225A">
        <w:rPr>
          <w:rFonts w:cs="Arial"/>
          <w:sz w:val="16"/>
          <w:szCs w:val="16"/>
          <w:rtl/>
        </w:rPr>
        <w:t>י ה"ד)</w:t>
      </w:r>
      <w:r w:rsidR="003C225A">
        <w:rPr>
          <w:rFonts w:cs="Arial" w:hint="cs"/>
          <w:rtl/>
        </w:rPr>
        <w:t>-</w:t>
      </w:r>
      <w:r w:rsidRPr="00686F0C">
        <w:rPr>
          <w:rFonts w:cs="Arial"/>
          <w:rtl/>
        </w:rPr>
        <w:t xml:space="preserve"> נשמטה לו רצועת מנעל וסנדל או שנשמט רוב הרגל </w:t>
      </w:r>
      <w:r w:rsidR="003C225A">
        <w:rPr>
          <w:rFonts w:cs="Arial" w:hint="cs"/>
          <w:rtl/>
        </w:rPr>
        <w:t xml:space="preserve">- </w:t>
      </w:r>
      <w:r w:rsidRPr="00686F0C">
        <w:rPr>
          <w:rFonts w:cs="Arial"/>
          <w:rtl/>
        </w:rPr>
        <w:t xml:space="preserve">מותר להחזיר הרצועות למקומן ובלבד שלא יקשור. </w:t>
      </w:r>
      <w:r w:rsidR="00C36B0F" w:rsidRPr="002C1339">
        <w:rPr>
          <w:rFonts w:asciiTheme="minorBidi" w:hAnsiTheme="minorBidi" w:hint="cs"/>
          <w:color w:val="E36C0A" w:themeColor="accent6" w:themeShade="BF"/>
          <w:rtl/>
        </w:rPr>
        <w:t>(וכ"פ בשו"ע)</w:t>
      </w:r>
      <w:r w:rsidR="00C36B0F">
        <w:rPr>
          <w:rFonts w:asciiTheme="minorBidi" w:hAnsiTheme="minorBidi" w:hint="cs"/>
          <w:rtl/>
        </w:rPr>
        <w:t xml:space="preserve"> </w:t>
      </w:r>
    </w:p>
    <w:p w14:paraId="24511F56" w14:textId="4EF45B05" w:rsidR="00075FB8" w:rsidRPr="00347BD3" w:rsidRDefault="003C225A" w:rsidP="00434A6A">
      <w:pPr>
        <w:pStyle w:val="aa"/>
        <w:numPr>
          <w:ilvl w:val="0"/>
          <w:numId w:val="32"/>
        </w:numPr>
        <w:rPr>
          <w:rFonts w:asciiTheme="minorBidi" w:hAnsiTheme="minorBidi"/>
          <w:rtl/>
        </w:rPr>
      </w:pPr>
      <w:r>
        <w:rPr>
          <w:rFonts w:cs="Arial" w:hint="cs"/>
          <w:rtl/>
        </w:rPr>
        <w:t xml:space="preserve">מרדכי </w:t>
      </w:r>
      <w:r w:rsidR="00075FB8" w:rsidRPr="003C225A">
        <w:rPr>
          <w:rFonts w:cs="Arial"/>
          <w:sz w:val="16"/>
          <w:szCs w:val="16"/>
          <w:rtl/>
        </w:rPr>
        <w:t>(סי' שפז)</w:t>
      </w:r>
      <w:r>
        <w:rPr>
          <w:rFonts w:cs="Arial" w:hint="cs"/>
          <w:rtl/>
        </w:rPr>
        <w:t xml:space="preserve">- </w:t>
      </w:r>
      <w:r w:rsidR="00075FB8" w:rsidRPr="00686F0C">
        <w:rPr>
          <w:rFonts w:cs="Arial"/>
          <w:rtl/>
        </w:rPr>
        <w:t>בירושלמי (פט"ו ה"ב) נשמטו רצועות מנעל וסנדל נוטל ומחזיר ובלבד שלא יקשור</w:t>
      </w:r>
      <w:r w:rsidR="00347BD3">
        <w:rPr>
          <w:rFonts w:cs="Arial" w:hint="cs"/>
          <w:rtl/>
        </w:rPr>
        <w:t>.</w:t>
      </w:r>
      <w:r w:rsidR="00075FB8" w:rsidRPr="00686F0C">
        <w:rPr>
          <w:rFonts w:cs="Arial"/>
          <w:rtl/>
        </w:rPr>
        <w:t xml:space="preserve"> פירש רשב"ם דהוא הדין לרצועה של טלית אם נשמטה שמותר להחזירה בטלית בלא קשר</w:t>
      </w:r>
      <w:r w:rsidR="00347BD3">
        <w:rPr>
          <w:rFonts w:cs="Arial" w:hint="cs"/>
          <w:rtl/>
        </w:rPr>
        <w:t>.</w:t>
      </w:r>
      <w:r w:rsidR="00075FB8" w:rsidRPr="00686F0C">
        <w:rPr>
          <w:rFonts w:cs="Arial"/>
          <w:rtl/>
        </w:rPr>
        <w:t xml:space="preserve"> ונראה לי דהיינו דוקא בשיש נקב מתוקן להכנסת רצועה ואז שרי ולא מיתסר משום תיקון מנא.</w:t>
      </w:r>
    </w:p>
    <w:p w14:paraId="5E5EE988" w14:textId="77777777" w:rsidR="00E9474E" w:rsidRPr="00001DA4" w:rsidRDefault="00E9474E" w:rsidP="00434A6A">
      <w:pPr>
        <w:rPr>
          <w:rFonts w:asciiTheme="minorBidi" w:hAnsiTheme="minorBidi"/>
          <w:u w:val="single"/>
        </w:rPr>
      </w:pPr>
      <w:r w:rsidRPr="00001DA4">
        <w:rPr>
          <w:rFonts w:asciiTheme="minorBidi" w:hAnsiTheme="minorBidi" w:hint="cs"/>
          <w:u w:val="single"/>
          <w:rtl/>
        </w:rPr>
        <w:t>הכנסת חגורה במכנסיים בשבת:</w:t>
      </w:r>
    </w:p>
    <w:p w14:paraId="7A31F226" w14:textId="77777777" w:rsidR="00E9474E" w:rsidRPr="00001DA4" w:rsidRDefault="00E9474E" w:rsidP="00434A6A">
      <w:pPr>
        <w:pStyle w:val="aa"/>
        <w:numPr>
          <w:ilvl w:val="0"/>
          <w:numId w:val="32"/>
        </w:numPr>
        <w:rPr>
          <w:rFonts w:asciiTheme="minorBidi" w:hAnsiTheme="minorBidi"/>
          <w:rtl/>
        </w:rPr>
      </w:pPr>
      <w:r>
        <w:rPr>
          <w:rFonts w:asciiTheme="minorBidi" w:hAnsiTheme="minorBidi" w:cs="Arial" w:hint="cs"/>
          <w:rtl/>
        </w:rPr>
        <w:t xml:space="preserve">מהר"ם </w:t>
      </w:r>
      <w:r>
        <w:rPr>
          <w:rFonts w:asciiTheme="minorBidi" w:hAnsiTheme="minorBidi" w:cs="Arial" w:hint="cs"/>
          <w:sz w:val="16"/>
          <w:szCs w:val="16"/>
          <w:rtl/>
        </w:rPr>
        <w:t>(ד"פ סי' סה)</w:t>
      </w:r>
      <w:r>
        <w:rPr>
          <w:rFonts w:asciiTheme="minorBidi" w:hAnsiTheme="minorBidi" w:cs="Arial" w:hint="cs"/>
          <w:rtl/>
        </w:rPr>
        <w:t xml:space="preserve">- </w:t>
      </w:r>
      <w:r w:rsidRPr="00001DA4">
        <w:rPr>
          <w:rFonts w:asciiTheme="minorBidi" w:hAnsiTheme="minorBidi" w:cs="Arial"/>
          <w:rtl/>
        </w:rPr>
        <w:t>ששאלת אם מותר להכניס אבנט במכנסים בשבת פשיטא דמותר ואמאי לא והא אמר רב חסדא שרא לאהדורי אודרא לבי סדיא בפרק במה טומנין (מח.) ואף על גב דאמרינן התם הני מילי בעתיקי אבל בחדתא לא היינו משום דעביד כלי אבל הכא דלא מבטל ליה ועשוי להכניס ולהוציא תדיר פשיטא דשרי אפילו בחדתי.</w:t>
      </w:r>
    </w:p>
    <w:p w14:paraId="5D501E18" w14:textId="77777777" w:rsidR="005022B5" w:rsidRPr="005275DF" w:rsidRDefault="005022B5" w:rsidP="00434A6A">
      <w:pPr>
        <w:rPr>
          <w:rFonts w:asciiTheme="minorBidi" w:hAnsiTheme="minorBidi"/>
          <w:rtl/>
        </w:rPr>
      </w:pPr>
      <w:r w:rsidRPr="005275DF">
        <w:rPr>
          <w:rFonts w:asciiTheme="minorBidi" w:hAnsiTheme="minorBidi"/>
          <w:b/>
          <w:bCs/>
          <w:sz w:val="32"/>
          <w:szCs w:val="28"/>
          <w:u w:val="single"/>
          <w:rtl/>
        </w:rPr>
        <w:t xml:space="preserve">שו"ע: </w:t>
      </w:r>
    </w:p>
    <w:p w14:paraId="659F62AC" w14:textId="1FAB59B6" w:rsidR="005022B5" w:rsidRPr="005275DF" w:rsidRDefault="003A152D" w:rsidP="00434A6A">
      <w:pPr>
        <w:rPr>
          <w:rFonts w:asciiTheme="minorBidi" w:hAnsiTheme="minorBidi"/>
          <w:rtl/>
        </w:rPr>
      </w:pPr>
      <w:r w:rsidRPr="005275DF">
        <w:rPr>
          <w:rFonts w:asciiTheme="minorBidi" w:hAnsiTheme="minorBidi"/>
          <w:rtl/>
        </w:rPr>
        <w:t>נשמטו לו רצועו</w:t>
      </w:r>
      <w:r w:rsidR="005022B5" w:rsidRPr="005275DF">
        <w:rPr>
          <w:rFonts w:asciiTheme="minorBidi" w:hAnsiTheme="minorBidi"/>
          <w:rtl/>
        </w:rPr>
        <w:t>ת מנעל וסנדל או שנשמט רוב הרגל, מותר להחזיר הרצועות למקומם</w:t>
      </w:r>
      <w:r w:rsidRPr="005275DF">
        <w:rPr>
          <w:rStyle w:val="a9"/>
          <w:rFonts w:asciiTheme="minorBidi" w:hAnsiTheme="minorBidi"/>
          <w:rtl/>
        </w:rPr>
        <w:footnoteReference w:id="2581"/>
      </w:r>
      <w:r w:rsidR="005022B5" w:rsidRPr="005275DF">
        <w:rPr>
          <w:rFonts w:asciiTheme="minorBidi" w:hAnsiTheme="minorBidi"/>
          <w:rtl/>
        </w:rPr>
        <w:t>, ובלבד שלא יקשור</w:t>
      </w:r>
      <w:r w:rsidRPr="005275DF">
        <w:rPr>
          <w:rStyle w:val="a9"/>
          <w:rFonts w:asciiTheme="minorBidi" w:hAnsiTheme="minorBidi"/>
          <w:rtl/>
        </w:rPr>
        <w:footnoteReference w:id="2582"/>
      </w:r>
      <w:r w:rsidR="005022B5" w:rsidRPr="005275DF">
        <w:rPr>
          <w:rFonts w:asciiTheme="minorBidi" w:hAnsiTheme="minorBidi"/>
          <w:rtl/>
        </w:rPr>
        <w:t xml:space="preserve">. </w:t>
      </w:r>
      <w:r w:rsidR="005022B5" w:rsidRPr="005275DF">
        <w:rPr>
          <w:rFonts w:asciiTheme="minorBidi" w:hAnsiTheme="minorBidi"/>
          <w:sz w:val="18"/>
          <w:szCs w:val="18"/>
          <w:rtl/>
        </w:rPr>
        <w:t>הגה: ודוקא שיוכל להחזירו בלא טורח, אבל אם צריך טורח לזה, אסור דחיישינן שמא יקשור</w:t>
      </w:r>
      <w:r w:rsidR="00510273" w:rsidRPr="005275DF">
        <w:rPr>
          <w:rStyle w:val="a9"/>
          <w:rFonts w:asciiTheme="minorBidi" w:hAnsiTheme="minorBidi"/>
          <w:sz w:val="18"/>
          <w:szCs w:val="18"/>
          <w:rtl/>
        </w:rPr>
        <w:footnoteReference w:id="2583"/>
      </w:r>
      <w:r w:rsidR="005022B5" w:rsidRPr="005275DF">
        <w:rPr>
          <w:rFonts w:asciiTheme="minorBidi" w:hAnsiTheme="minorBidi"/>
          <w:sz w:val="18"/>
          <w:szCs w:val="18"/>
          <w:rtl/>
        </w:rPr>
        <w:t xml:space="preserve"> (תוס' ורא"ש). </w:t>
      </w:r>
    </w:p>
    <w:p w14:paraId="2E99462A" w14:textId="77777777" w:rsidR="005022B5" w:rsidRPr="005275DF" w:rsidRDefault="005022B5" w:rsidP="00434A6A">
      <w:pPr>
        <w:rPr>
          <w:rFonts w:asciiTheme="minorBidi" w:hAnsiTheme="minorBidi"/>
          <w:rtl/>
        </w:rPr>
      </w:pPr>
    </w:p>
    <w:p w14:paraId="49257F64" w14:textId="1792BBB1" w:rsidR="005022B5" w:rsidRPr="005275DF" w:rsidRDefault="005022B5" w:rsidP="00434A6A">
      <w:pPr>
        <w:pStyle w:val="2"/>
        <w:rPr>
          <w:rFonts w:asciiTheme="minorBidi" w:hAnsiTheme="minorBidi" w:cstheme="minorBidi"/>
          <w:rtl/>
        </w:rPr>
      </w:pPr>
      <w:r w:rsidRPr="005275DF">
        <w:rPr>
          <w:rFonts w:asciiTheme="minorBidi" w:hAnsiTheme="minorBidi" w:cstheme="minorBidi"/>
          <w:rtl/>
        </w:rPr>
        <w:t>סעיף ג</w:t>
      </w:r>
      <w:r w:rsidR="00CA6E36" w:rsidRPr="005275DF">
        <w:rPr>
          <w:rFonts w:asciiTheme="minorBidi" w:hAnsiTheme="minorBidi" w:cstheme="minorBidi"/>
          <w:rtl/>
        </w:rPr>
        <w:t xml:space="preserve">: התרת קשר/תפירה </w:t>
      </w:r>
      <w:r w:rsidR="0003716E">
        <w:rPr>
          <w:rFonts w:asciiTheme="minorBidi" w:hAnsiTheme="minorBidi" w:cstheme="minorBidi" w:hint="cs"/>
          <w:rtl/>
        </w:rPr>
        <w:t>שבבית הצואר של החלוק</w:t>
      </w:r>
      <w:r w:rsidR="00CA6E36" w:rsidRPr="005275DF">
        <w:rPr>
          <w:rFonts w:asciiTheme="minorBidi" w:hAnsiTheme="minorBidi" w:cstheme="minorBidi"/>
          <w:rtl/>
        </w:rPr>
        <w:t>.</w:t>
      </w:r>
    </w:p>
    <w:p w14:paraId="3E94F9C4" w14:textId="1084EBFD" w:rsidR="00200FAC" w:rsidRDefault="00200FAC" w:rsidP="00434A6A">
      <w:pPr>
        <w:rPr>
          <w:rFonts w:asciiTheme="minorBidi" w:hAnsiTheme="minorBidi"/>
          <w:rtl/>
        </w:rPr>
      </w:pPr>
      <w:r w:rsidRPr="005275DF">
        <w:rPr>
          <w:rFonts w:asciiTheme="minorBidi" w:hAnsiTheme="minorBidi"/>
          <w:b/>
          <w:bCs/>
          <w:rtl/>
        </w:rPr>
        <w:t>שבת</w:t>
      </w:r>
      <w:r w:rsidR="00446FDC">
        <w:rPr>
          <w:rFonts w:cs="Arial" w:hint="cs"/>
          <w:b/>
          <w:bCs/>
          <w:sz w:val="16"/>
          <w:szCs w:val="16"/>
          <w:rtl/>
        </w:rPr>
        <w:t xml:space="preserve"> (ר"פ במה טומנין)</w:t>
      </w:r>
      <w:r w:rsidRPr="005275DF">
        <w:rPr>
          <w:rFonts w:asciiTheme="minorBidi" w:hAnsiTheme="minorBidi"/>
          <w:b/>
          <w:bCs/>
          <w:rtl/>
        </w:rPr>
        <w:t xml:space="preserve"> מח</w:t>
      </w:r>
      <w:r w:rsidR="00446FDC">
        <w:rPr>
          <w:rStyle w:val="a9"/>
          <w:rFonts w:cs="Arial"/>
          <w:rtl/>
        </w:rPr>
        <w:footnoteReference w:id="2584"/>
      </w:r>
      <w:r w:rsidRPr="005275DF">
        <w:rPr>
          <w:rFonts w:asciiTheme="minorBidi" w:hAnsiTheme="minorBidi"/>
          <w:b/>
          <w:bCs/>
          <w:rtl/>
        </w:rPr>
        <w:t xml:space="preserve"> ע"א: </w:t>
      </w:r>
      <w:r w:rsidR="006B5254">
        <w:rPr>
          <w:rFonts w:asciiTheme="minorBidi" w:hAnsiTheme="minorBidi" w:hint="cs"/>
          <w:rtl/>
        </w:rPr>
        <w:t xml:space="preserve">איתיביה... </w:t>
      </w:r>
      <w:r w:rsidRPr="005275DF">
        <w:rPr>
          <w:rFonts w:asciiTheme="minorBidi" w:hAnsiTheme="minorBidi"/>
          <w:rtl/>
        </w:rPr>
        <w:t>מתירין בית הצואר</w:t>
      </w:r>
      <w:r w:rsidRPr="005275DF">
        <w:rPr>
          <w:rStyle w:val="a9"/>
          <w:rFonts w:asciiTheme="minorBidi" w:hAnsiTheme="minorBidi"/>
          <w:rtl/>
        </w:rPr>
        <w:footnoteReference w:id="2585"/>
      </w:r>
      <w:r w:rsidRPr="005275DF">
        <w:rPr>
          <w:rFonts w:asciiTheme="minorBidi" w:hAnsiTheme="minorBidi"/>
          <w:rtl/>
        </w:rPr>
        <w:t xml:space="preserve"> בשבת</w:t>
      </w:r>
      <w:r w:rsidR="006B5254">
        <w:rPr>
          <w:rFonts w:asciiTheme="minorBidi" w:hAnsiTheme="minorBidi" w:hint="cs"/>
          <w:rtl/>
        </w:rPr>
        <w:t>,</w:t>
      </w:r>
      <w:r w:rsidRPr="005275DF">
        <w:rPr>
          <w:rFonts w:asciiTheme="minorBidi" w:hAnsiTheme="minorBidi"/>
          <w:rtl/>
        </w:rPr>
        <w:t xml:space="preserve"> אבל לא פותחין</w:t>
      </w:r>
      <w:r w:rsidRPr="005275DF">
        <w:rPr>
          <w:rStyle w:val="a9"/>
          <w:rFonts w:asciiTheme="minorBidi" w:hAnsiTheme="minorBidi"/>
          <w:rtl/>
        </w:rPr>
        <w:footnoteReference w:id="2586"/>
      </w:r>
      <w:r w:rsidRPr="005275DF">
        <w:rPr>
          <w:rFonts w:asciiTheme="minorBidi" w:hAnsiTheme="minorBidi"/>
          <w:rtl/>
        </w:rPr>
        <w:t xml:space="preserve">... </w:t>
      </w:r>
      <w:r w:rsidRPr="005275DF">
        <w:rPr>
          <w:rFonts w:asciiTheme="minorBidi" w:hAnsiTheme="minorBidi"/>
          <w:u w:val="single"/>
          <w:rtl/>
        </w:rPr>
        <w:t>אמר רב יהודה אמר רב</w:t>
      </w:r>
      <w:r w:rsidRPr="005275DF">
        <w:rPr>
          <w:rFonts w:asciiTheme="minorBidi" w:hAnsiTheme="minorBidi"/>
          <w:rtl/>
        </w:rPr>
        <w:t>: הפותח בית הצואר</w:t>
      </w:r>
      <w:r w:rsidRPr="005275DF">
        <w:rPr>
          <w:rStyle w:val="a9"/>
          <w:rFonts w:asciiTheme="minorBidi" w:hAnsiTheme="minorBidi"/>
          <w:rtl/>
        </w:rPr>
        <w:footnoteReference w:id="2587"/>
      </w:r>
      <w:r w:rsidRPr="005275DF">
        <w:rPr>
          <w:rFonts w:asciiTheme="minorBidi" w:hAnsiTheme="minorBidi"/>
          <w:rtl/>
        </w:rPr>
        <w:t xml:space="preserve"> בשבת חייב חטאת</w:t>
      </w:r>
      <w:r w:rsidRPr="005275DF">
        <w:rPr>
          <w:rStyle w:val="a9"/>
          <w:rFonts w:asciiTheme="minorBidi" w:hAnsiTheme="minorBidi"/>
          <w:rtl/>
        </w:rPr>
        <w:footnoteReference w:id="2588"/>
      </w:r>
      <w:r w:rsidR="006B5254">
        <w:rPr>
          <w:rFonts w:asciiTheme="minorBidi" w:hAnsiTheme="minorBidi" w:hint="cs"/>
          <w:rtl/>
        </w:rPr>
        <w:t>.</w:t>
      </w:r>
      <w:r w:rsidRPr="005275DF">
        <w:rPr>
          <w:rFonts w:asciiTheme="minorBidi" w:hAnsiTheme="minorBidi"/>
          <w:rtl/>
        </w:rPr>
        <w:t xml:space="preserve"> </w:t>
      </w:r>
      <w:r w:rsidRPr="005275DF">
        <w:rPr>
          <w:rFonts w:asciiTheme="minorBidi" w:hAnsiTheme="minorBidi"/>
          <w:u w:val="single"/>
          <w:rtl/>
        </w:rPr>
        <w:t>מתקיף לה רב כהנא</w:t>
      </w:r>
      <w:r w:rsidRPr="005275DF">
        <w:rPr>
          <w:rFonts w:asciiTheme="minorBidi" w:hAnsiTheme="minorBidi"/>
          <w:rtl/>
        </w:rPr>
        <w:t>:</w:t>
      </w:r>
      <w:r w:rsidR="006B5254">
        <w:rPr>
          <w:rFonts w:asciiTheme="minorBidi" w:hAnsiTheme="minorBidi" w:hint="cs"/>
          <w:sz w:val="14"/>
          <w:szCs w:val="14"/>
          <w:rtl/>
        </w:rPr>
        <w:t xml:space="preserve"> (מח:)</w:t>
      </w:r>
      <w:r w:rsidRPr="005275DF">
        <w:rPr>
          <w:rFonts w:asciiTheme="minorBidi" w:hAnsiTheme="minorBidi"/>
          <w:rtl/>
        </w:rPr>
        <w:t xml:space="preserve"> מה בין זו למגופת חבית</w:t>
      </w:r>
      <w:r w:rsidRPr="005275DF">
        <w:rPr>
          <w:rStyle w:val="a9"/>
          <w:rFonts w:asciiTheme="minorBidi" w:hAnsiTheme="minorBidi"/>
          <w:rtl/>
        </w:rPr>
        <w:footnoteReference w:id="2589"/>
      </w:r>
      <w:r w:rsidRPr="005275DF">
        <w:rPr>
          <w:rFonts w:asciiTheme="minorBidi" w:hAnsiTheme="minorBidi"/>
          <w:rtl/>
        </w:rPr>
        <w:t xml:space="preserve">? </w:t>
      </w:r>
      <w:r w:rsidRPr="005275DF">
        <w:rPr>
          <w:rFonts w:asciiTheme="minorBidi" w:hAnsiTheme="minorBidi"/>
          <w:u w:val="single"/>
          <w:rtl/>
        </w:rPr>
        <w:t>אמר ליה רבא</w:t>
      </w:r>
      <w:r w:rsidRPr="005275DF">
        <w:rPr>
          <w:rFonts w:asciiTheme="minorBidi" w:hAnsiTheme="minorBidi"/>
          <w:rtl/>
        </w:rPr>
        <w:t>: זה חיבור, וזה אינו חיבור</w:t>
      </w:r>
      <w:r w:rsidR="008F64E8" w:rsidRPr="005275DF">
        <w:rPr>
          <w:rStyle w:val="a9"/>
          <w:rFonts w:asciiTheme="minorBidi" w:hAnsiTheme="minorBidi"/>
          <w:rtl/>
        </w:rPr>
        <w:footnoteReference w:id="2590"/>
      </w:r>
      <w:r w:rsidRPr="005275DF">
        <w:rPr>
          <w:rFonts w:asciiTheme="minorBidi" w:hAnsiTheme="minorBidi"/>
          <w:rtl/>
        </w:rPr>
        <w:t>.</w:t>
      </w:r>
    </w:p>
    <w:p w14:paraId="05D23131" w14:textId="4100291C" w:rsidR="00446FDC" w:rsidRPr="0003716E" w:rsidRDefault="0003716E" w:rsidP="00434A6A">
      <w:pPr>
        <w:rPr>
          <w:rFonts w:asciiTheme="minorBidi" w:hAnsiTheme="minorBidi"/>
          <w:u w:val="single"/>
          <w:rtl/>
        </w:rPr>
      </w:pPr>
      <w:r w:rsidRPr="0003716E">
        <w:rPr>
          <w:rFonts w:asciiTheme="minorBidi" w:hAnsiTheme="minorBidi"/>
          <w:u w:val="single"/>
          <w:rtl/>
        </w:rPr>
        <w:t xml:space="preserve">התרת קשר/תפירה </w:t>
      </w:r>
      <w:r w:rsidRPr="0003716E">
        <w:rPr>
          <w:rFonts w:asciiTheme="minorBidi" w:hAnsiTheme="minorBidi" w:hint="cs"/>
          <w:u w:val="single"/>
          <w:rtl/>
        </w:rPr>
        <w:t>שבבית הצואר של החלוק:</w:t>
      </w:r>
    </w:p>
    <w:p w14:paraId="5FC6FF3F" w14:textId="164C3A3F" w:rsidR="00802B95" w:rsidRDefault="00802B95" w:rsidP="00434A6A">
      <w:pPr>
        <w:pStyle w:val="aa"/>
        <w:numPr>
          <w:ilvl w:val="0"/>
          <w:numId w:val="32"/>
        </w:numPr>
        <w:rPr>
          <w:rFonts w:asciiTheme="minorBidi" w:hAnsiTheme="minorBidi"/>
        </w:rPr>
      </w:pPr>
      <w:r>
        <w:rPr>
          <w:rFonts w:asciiTheme="minorBidi" w:hAnsiTheme="minorBidi" w:cs="Arial" w:hint="cs"/>
          <w:rtl/>
        </w:rPr>
        <w:t xml:space="preserve">טור- </w:t>
      </w:r>
      <w:r w:rsidRPr="00D9457B">
        <w:rPr>
          <w:rFonts w:asciiTheme="minorBidi" w:hAnsiTheme="minorBidi" w:cs="Arial"/>
          <w:rtl/>
        </w:rPr>
        <w:t>מתירין בית הצואר מקשר שקשרו כובס שאינו קשר של קיימא</w:t>
      </w:r>
      <w:r w:rsidR="002C4DF0">
        <w:rPr>
          <w:rFonts w:asciiTheme="minorBidi" w:hAnsiTheme="minorBidi" w:cs="Arial" w:hint="cs"/>
          <w:rtl/>
        </w:rPr>
        <w:t>,</w:t>
      </w:r>
      <w:r w:rsidRPr="00D9457B">
        <w:rPr>
          <w:rFonts w:asciiTheme="minorBidi" w:hAnsiTheme="minorBidi" w:cs="Arial"/>
          <w:rtl/>
        </w:rPr>
        <w:t xml:space="preserve"> אבל אין פותחים אותו מחדש</w:t>
      </w:r>
      <w:r w:rsidR="002C4DF0">
        <w:rPr>
          <w:rFonts w:asciiTheme="minorBidi" w:hAnsiTheme="minorBidi" w:cs="Arial" w:hint="cs"/>
          <w:rtl/>
        </w:rPr>
        <w:t>,</w:t>
      </w:r>
      <w:r w:rsidRPr="00D9457B">
        <w:rPr>
          <w:rFonts w:asciiTheme="minorBidi" w:hAnsiTheme="minorBidi" w:cs="Arial"/>
          <w:rtl/>
        </w:rPr>
        <w:t xml:space="preserve"> דמתקן מנא הוא</w:t>
      </w:r>
      <w:r w:rsidR="002C4DF0">
        <w:rPr>
          <w:rFonts w:asciiTheme="minorBidi" w:hAnsiTheme="minorBidi" w:cs="Arial" w:hint="cs"/>
          <w:rtl/>
        </w:rPr>
        <w:t>.</w:t>
      </w:r>
      <w:r w:rsidR="00001DA4" w:rsidRPr="00001DA4">
        <w:rPr>
          <w:rFonts w:asciiTheme="minorBidi" w:hAnsiTheme="minorBidi" w:hint="cs"/>
          <w:color w:val="E36C0A" w:themeColor="accent6" w:themeShade="BF"/>
          <w:rtl/>
        </w:rPr>
        <w:t xml:space="preserve"> </w:t>
      </w:r>
      <w:r w:rsidR="00001DA4" w:rsidRPr="002C1339">
        <w:rPr>
          <w:rFonts w:asciiTheme="minorBidi" w:hAnsiTheme="minorBidi" w:hint="cs"/>
          <w:color w:val="E36C0A" w:themeColor="accent6" w:themeShade="BF"/>
          <w:rtl/>
        </w:rPr>
        <w:t>(וכ"פ בשו"ע)</w:t>
      </w:r>
    </w:p>
    <w:p w14:paraId="5BE60C35" w14:textId="477346E1" w:rsidR="00AF7856" w:rsidRDefault="00AF7856" w:rsidP="00434A6A">
      <w:pPr>
        <w:pStyle w:val="aa"/>
        <w:numPr>
          <w:ilvl w:val="0"/>
          <w:numId w:val="32"/>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(פ"י ה"י)</w:t>
      </w:r>
      <w:r>
        <w:rPr>
          <w:rFonts w:asciiTheme="minorBidi" w:hAnsiTheme="minorBidi" w:cs="Arial" w:hint="cs"/>
          <w:rtl/>
        </w:rPr>
        <w:t xml:space="preserve">- </w:t>
      </w:r>
      <w:r w:rsidRPr="00AF7856">
        <w:rPr>
          <w:rFonts w:asciiTheme="minorBidi" w:hAnsiTheme="minorBidi" w:cs="Arial"/>
          <w:rtl/>
        </w:rPr>
        <w:t xml:space="preserve">הקורע כדי לתפור שתי תפירות על מנת לתפור שתי תפירות </w:t>
      </w:r>
      <w:r w:rsidR="001362C4">
        <w:rPr>
          <w:rFonts w:asciiTheme="minorBidi" w:hAnsiTheme="minorBidi" w:cs="Arial" w:hint="cs"/>
          <w:rtl/>
        </w:rPr>
        <w:t xml:space="preserve">- </w:t>
      </w:r>
      <w:r w:rsidRPr="00AF7856">
        <w:rPr>
          <w:rFonts w:asciiTheme="minorBidi" w:hAnsiTheme="minorBidi" w:cs="Arial"/>
          <w:rtl/>
        </w:rPr>
        <w:t>חייב</w:t>
      </w:r>
      <w:r w:rsidR="001362C4">
        <w:rPr>
          <w:rFonts w:asciiTheme="minorBidi" w:hAnsiTheme="minorBidi" w:cs="Arial" w:hint="cs"/>
          <w:rtl/>
        </w:rPr>
        <w:t>.</w:t>
      </w:r>
      <w:r w:rsidRPr="00AF7856">
        <w:rPr>
          <w:rFonts w:asciiTheme="minorBidi" w:hAnsiTheme="minorBidi" w:cs="Arial"/>
          <w:rtl/>
        </w:rPr>
        <w:t xml:space="preserve"> אבל הקורע להפסידה </w:t>
      </w:r>
      <w:r w:rsidR="001362C4">
        <w:rPr>
          <w:rFonts w:asciiTheme="minorBidi" w:hAnsiTheme="minorBidi" w:cs="Arial" w:hint="cs"/>
          <w:rtl/>
        </w:rPr>
        <w:t xml:space="preserve">- </w:t>
      </w:r>
      <w:r w:rsidRPr="00AF7856">
        <w:rPr>
          <w:rFonts w:asciiTheme="minorBidi" w:hAnsiTheme="minorBidi" w:cs="Arial"/>
          <w:rtl/>
        </w:rPr>
        <w:t>פטור</w:t>
      </w:r>
      <w:r w:rsidR="001362C4">
        <w:rPr>
          <w:rFonts w:asciiTheme="minorBidi" w:hAnsiTheme="minorBidi" w:cs="Arial" w:hint="cs"/>
          <w:rtl/>
        </w:rPr>
        <w:t>,</w:t>
      </w:r>
      <w:r w:rsidRPr="00AF7856">
        <w:rPr>
          <w:rFonts w:asciiTheme="minorBidi" w:hAnsiTheme="minorBidi" w:cs="Arial"/>
          <w:rtl/>
        </w:rPr>
        <w:t xml:space="preserve"> מפני שהוא מקלקל</w:t>
      </w:r>
      <w:r>
        <w:rPr>
          <w:rFonts w:asciiTheme="minorBidi" w:hAnsiTheme="minorBidi" w:cs="Arial" w:hint="cs"/>
          <w:rtl/>
        </w:rPr>
        <w:t>.</w:t>
      </w:r>
      <w:r w:rsidRPr="00AF7856">
        <w:rPr>
          <w:rFonts w:asciiTheme="minorBidi" w:hAnsiTheme="minorBidi" w:cs="Arial"/>
          <w:rtl/>
        </w:rPr>
        <w:t xml:space="preserve"> הקורע בחמתו או על מת שהוא חייב לקרוע עליו </w:t>
      </w:r>
      <w:r w:rsidR="001362C4">
        <w:rPr>
          <w:rFonts w:asciiTheme="minorBidi" w:hAnsiTheme="minorBidi" w:cs="Arial" w:hint="cs"/>
          <w:rtl/>
        </w:rPr>
        <w:t xml:space="preserve">- </w:t>
      </w:r>
      <w:r w:rsidRPr="00AF7856">
        <w:rPr>
          <w:rFonts w:asciiTheme="minorBidi" w:hAnsiTheme="minorBidi" w:cs="Arial"/>
          <w:rtl/>
        </w:rPr>
        <w:t>חייב מפני שמיישב את דעתו בדבר זה וינוח יצרו והואיל וחמתו שוככת בדבר זה הרי הוא כמתקן וחייב</w:t>
      </w:r>
      <w:r>
        <w:rPr>
          <w:rFonts w:asciiTheme="minorBidi" w:hAnsiTheme="minorBidi" w:cs="Arial" w:hint="cs"/>
          <w:rtl/>
        </w:rPr>
        <w:t>.</w:t>
      </w:r>
      <w:r w:rsidRPr="00AF7856">
        <w:rPr>
          <w:rFonts w:asciiTheme="minorBidi" w:hAnsiTheme="minorBidi" w:cs="Arial"/>
          <w:rtl/>
        </w:rPr>
        <w:t xml:space="preserve"> והפותח בית הצואר בשבת</w:t>
      </w:r>
      <w:r w:rsidR="001362C4">
        <w:rPr>
          <w:rFonts w:asciiTheme="minorBidi" w:hAnsiTheme="minorBidi" w:cs="Arial" w:hint="cs"/>
          <w:rtl/>
        </w:rPr>
        <w:t xml:space="preserve"> -</w:t>
      </w:r>
      <w:r w:rsidRPr="00AF7856">
        <w:rPr>
          <w:rFonts w:asciiTheme="minorBidi" w:hAnsiTheme="minorBidi" w:cs="Arial"/>
          <w:rtl/>
        </w:rPr>
        <w:t xml:space="preserve"> חייב</w:t>
      </w:r>
      <w:r>
        <w:rPr>
          <w:rStyle w:val="a9"/>
          <w:rFonts w:asciiTheme="minorBidi" w:hAnsiTheme="minorBidi" w:cs="Arial"/>
          <w:rtl/>
        </w:rPr>
        <w:footnoteReference w:id="2591"/>
      </w:r>
      <w:r w:rsidRPr="00AF7856">
        <w:rPr>
          <w:rFonts w:asciiTheme="minorBidi" w:hAnsiTheme="minorBidi" w:cs="Arial"/>
          <w:rtl/>
        </w:rPr>
        <w:t>.</w:t>
      </w:r>
    </w:p>
    <w:p w14:paraId="3CEDF324" w14:textId="221C1F24" w:rsidR="001362C4" w:rsidRPr="00236F76" w:rsidRDefault="001362C4" w:rsidP="00434A6A">
      <w:pPr>
        <w:pStyle w:val="aa"/>
        <w:numPr>
          <w:ilvl w:val="0"/>
          <w:numId w:val="32"/>
        </w:numPr>
        <w:rPr>
          <w:rFonts w:asciiTheme="minorBidi" w:hAnsiTheme="minorBidi"/>
        </w:rPr>
      </w:pPr>
      <w:r>
        <w:rPr>
          <w:rFonts w:asciiTheme="minorBidi" w:hAnsiTheme="minorBidi" w:cs="Arial" w:hint="cs"/>
          <w:rtl/>
        </w:rPr>
        <w:t xml:space="preserve">ראבי"ה </w:t>
      </w:r>
      <w:r>
        <w:rPr>
          <w:rFonts w:asciiTheme="minorBidi" w:hAnsiTheme="minorBidi" w:cs="Arial" w:hint="cs"/>
          <w:sz w:val="16"/>
          <w:szCs w:val="16"/>
          <w:rtl/>
        </w:rPr>
        <w:t>(סי' רו</w:t>
      </w:r>
      <w:r w:rsidR="00D4001D">
        <w:rPr>
          <w:rFonts w:asciiTheme="minorBidi" w:hAnsiTheme="minorBidi" w:cs="Arial" w:hint="cs"/>
          <w:sz w:val="16"/>
          <w:szCs w:val="16"/>
          <w:rtl/>
        </w:rPr>
        <w:t>, הביא ההגמ"ר [סי' תנז] חלק מדבריו</w:t>
      </w:r>
      <w:r>
        <w:rPr>
          <w:rFonts w:asciiTheme="minorBidi" w:hAnsiTheme="minorBidi" w:cs="Arial" w:hint="cs"/>
          <w:sz w:val="16"/>
          <w:szCs w:val="16"/>
          <w:rtl/>
        </w:rPr>
        <w:t>)</w:t>
      </w:r>
      <w:r>
        <w:rPr>
          <w:rFonts w:asciiTheme="minorBidi" w:hAnsiTheme="minorBidi" w:cs="Arial" w:hint="cs"/>
          <w:rtl/>
        </w:rPr>
        <w:t xml:space="preserve">- </w:t>
      </w:r>
      <w:r w:rsidRPr="00236F76">
        <w:rPr>
          <w:rFonts w:asciiTheme="minorBidi" w:hAnsiTheme="minorBidi" w:cs="Arial"/>
          <w:rtl/>
        </w:rPr>
        <w:t>לשון אבא מורי</w:t>
      </w:r>
      <w:r>
        <w:rPr>
          <w:rFonts w:asciiTheme="minorBidi" w:hAnsiTheme="minorBidi" w:cs="Arial" w:hint="cs"/>
          <w:sz w:val="16"/>
          <w:szCs w:val="16"/>
          <w:rtl/>
        </w:rPr>
        <w:t xml:space="preserve"> {ר' יואל הלוי}</w:t>
      </w:r>
      <w:r w:rsidRPr="00236F76">
        <w:rPr>
          <w:rFonts w:asciiTheme="minorBidi" w:hAnsiTheme="minorBidi" w:cs="Arial"/>
          <w:rtl/>
        </w:rPr>
        <w:t xml:space="preserve">. מתירין בית הצואר. יש מפרש </w:t>
      </w:r>
      <w:r>
        <w:rPr>
          <w:rFonts w:asciiTheme="minorBidi" w:hAnsiTheme="minorBidi" w:cs="Arial" w:hint="cs"/>
          <w:sz w:val="16"/>
          <w:szCs w:val="16"/>
          <w:rtl/>
        </w:rPr>
        <w:t xml:space="preserve">{ריב"א [כ"כ ההגמ"ר </w:t>
      </w:r>
      <w:r w:rsidR="00D4001D">
        <w:rPr>
          <w:rFonts w:asciiTheme="minorBidi" w:hAnsiTheme="minorBidi" w:cs="Arial" w:hint="cs"/>
          <w:sz w:val="16"/>
          <w:szCs w:val="16"/>
          <w:rtl/>
        </w:rPr>
        <w:t>שם</w:t>
      </w:r>
      <w:r>
        <w:rPr>
          <w:rFonts w:asciiTheme="minorBidi" w:hAnsiTheme="minorBidi" w:cs="Arial" w:hint="cs"/>
          <w:sz w:val="16"/>
          <w:szCs w:val="16"/>
          <w:rtl/>
        </w:rPr>
        <w:t xml:space="preserve"> בשמו]} </w:t>
      </w:r>
      <w:r w:rsidRPr="00236F76">
        <w:rPr>
          <w:rFonts w:asciiTheme="minorBidi" w:hAnsiTheme="minorBidi" w:cs="Arial"/>
          <w:rtl/>
        </w:rPr>
        <w:t xml:space="preserve">מתירין שאם נקשר בשעת כביסתו מתירין, אבל אם היה תפור בפי בית הצואר או כמו שמדבקים הרצענים זוג של מנעל </w:t>
      </w:r>
      <w:r w:rsidR="002B080B">
        <w:rPr>
          <w:rFonts w:asciiTheme="minorBidi" w:hAnsiTheme="minorBidi" w:cs="Arial" w:hint="cs"/>
          <w:rtl/>
        </w:rPr>
        <w:t xml:space="preserve">- </w:t>
      </w:r>
      <w:r w:rsidRPr="00236F76">
        <w:rPr>
          <w:rFonts w:asciiTheme="minorBidi" w:hAnsiTheme="minorBidi" w:cs="Arial"/>
          <w:rtl/>
        </w:rPr>
        <w:t>אסור לנתקן זה מזה, שלא מצינו חילוק בין תפירה של קיימא לשאינה של קיימא כמו שמצינו בקשרים. ורפיא בידי, דשמא בתפירה מיירי. ולשון מתירין מצינו דכוותיה לקמן בשמעתין הבגד שהוא תפור בכלאים חיבור עד שיתחיל להתיר. ד</w:t>
      </w:r>
      <w:r>
        <w:rPr>
          <w:rFonts w:asciiTheme="minorBidi" w:hAnsiTheme="minorBidi" w:cs="Arial" w:hint="cs"/>
          <w:rtl/>
        </w:rPr>
        <w:t>אע"ג</w:t>
      </w:r>
      <w:r w:rsidRPr="00236F76">
        <w:rPr>
          <w:rFonts w:asciiTheme="minorBidi" w:hAnsiTheme="minorBidi" w:cs="Arial"/>
          <w:rtl/>
        </w:rPr>
        <w:t xml:space="preserve"> דהוא חיבור לטומאה, דניחא ליה דכי מטנפו הדר מחוור להו, שמא איסורא מטומאה לא גמרינן, כדאמרינן בעלמא. ולי </w:t>
      </w:r>
      <w:r>
        <w:rPr>
          <w:rFonts w:asciiTheme="minorBidi" w:hAnsiTheme="minorBidi" w:cs="Arial" w:hint="cs"/>
          <w:sz w:val="16"/>
          <w:szCs w:val="16"/>
          <w:rtl/>
        </w:rPr>
        <w:t xml:space="preserve">{ר' יואל} </w:t>
      </w:r>
      <w:r w:rsidRPr="00236F76">
        <w:rPr>
          <w:rFonts w:asciiTheme="minorBidi" w:hAnsiTheme="minorBidi" w:cs="Arial"/>
          <w:rtl/>
        </w:rPr>
        <w:t>נראה להתיר, דלאו להתקיים עביד לה מעיקרא, כדפרישית. ולא דמי נמי לההיא דפרק אלו קשרים, דבדאושכפי פירש רבינו שלמה בתחלת הכנסת הרצועות קושר קשר מבפנים ושוב מוציאו ומכניסו סביב והוא להתקיים עד עולם, ובדרבנן פירש רבינו שלמה שרחב קצת ונועל וחולץ מנעלו כשהוא קשור ואין צריך להתירו אלא כשיש טיט מתיר ומהדק וקושר הילכך פטור אבל אסור, אבל כשמדבקים הרצענים זוג של מנעלים מיד בו ביום כשימכרום לאינתוקי קיימי. ובשם רבינו שמואל בר' מאיר מצאתי כתוב רבי מתיר לקרוע בית הצואר כשתפור מעט שקורין אשפויינטר שחיברו האומן. וגם נראה בעיני דדמי למגופת חבית, דאמר רב יהודה אמר רב הפותח בית הצואר בשבת חייב חטאת, ומתקיף לה רב כהנא וכי מה בין זה למגופת חבית, ואמר ליה זה חבור וזה אינו חיבור, שאינו עשוי להתקיים שלינט</w:t>
      </w:r>
      <w:r>
        <w:rPr>
          <w:rFonts w:asciiTheme="minorBidi" w:hAnsiTheme="minorBidi" w:cs="Arial" w:hint="cs"/>
          <w:rtl/>
        </w:rPr>
        <w:t>ל</w:t>
      </w:r>
      <w:r w:rsidRPr="00236F76">
        <w:rPr>
          <w:rFonts w:asciiTheme="minorBidi" w:hAnsiTheme="minorBidi" w:cs="Arial"/>
          <w:rtl/>
        </w:rPr>
        <w:t xml:space="preserve"> עומדת</w:t>
      </w:r>
      <w:r w:rsidR="002D5451">
        <w:rPr>
          <w:rStyle w:val="a9"/>
          <w:rFonts w:asciiTheme="minorBidi" w:hAnsiTheme="minorBidi" w:cs="Arial"/>
          <w:rtl/>
        </w:rPr>
        <w:footnoteReference w:id="2592"/>
      </w:r>
      <w:r w:rsidRPr="00236F76">
        <w:rPr>
          <w:rFonts w:asciiTheme="minorBidi" w:hAnsiTheme="minorBidi" w:cs="Arial"/>
          <w:rtl/>
        </w:rPr>
        <w:t>.</w:t>
      </w:r>
    </w:p>
    <w:p w14:paraId="2D25DB0C" w14:textId="77777777" w:rsidR="00001DA4" w:rsidRPr="00001DA4" w:rsidRDefault="00514F9F" w:rsidP="00434A6A">
      <w:pPr>
        <w:pStyle w:val="aa"/>
        <w:numPr>
          <w:ilvl w:val="0"/>
          <w:numId w:val="32"/>
        </w:numPr>
        <w:rPr>
          <w:rFonts w:asciiTheme="minorBidi" w:hAnsiTheme="minorBidi"/>
        </w:rPr>
      </w:pPr>
      <w:r>
        <w:rPr>
          <w:rFonts w:asciiTheme="minorBidi" w:hAnsiTheme="minorBidi" w:cs="Arial" w:hint="cs"/>
          <w:rtl/>
        </w:rPr>
        <w:t xml:space="preserve">רי"ו </w:t>
      </w:r>
      <w:r w:rsidRPr="00514F9F">
        <w:rPr>
          <w:rFonts w:asciiTheme="minorBidi" w:hAnsiTheme="minorBidi" w:cs="Arial" w:hint="cs"/>
          <w:sz w:val="16"/>
          <w:szCs w:val="16"/>
          <w:rtl/>
        </w:rPr>
        <w:t>(</w:t>
      </w:r>
      <w:r w:rsidR="00075FB8" w:rsidRPr="00514F9F">
        <w:rPr>
          <w:rFonts w:asciiTheme="minorBidi" w:hAnsiTheme="minorBidi" w:cs="Arial"/>
          <w:sz w:val="16"/>
          <w:szCs w:val="16"/>
          <w:rtl/>
        </w:rPr>
        <w:t>חי"ד ני</w:t>
      </w:r>
      <w:r w:rsidRPr="00514F9F">
        <w:rPr>
          <w:rFonts w:asciiTheme="minorBidi" w:hAnsiTheme="minorBidi" w:cs="Arial" w:hint="cs"/>
          <w:sz w:val="16"/>
          <w:szCs w:val="16"/>
          <w:rtl/>
        </w:rPr>
        <w:t>"</w:t>
      </w:r>
      <w:r w:rsidR="00075FB8" w:rsidRPr="00514F9F">
        <w:rPr>
          <w:rFonts w:asciiTheme="minorBidi" w:hAnsiTheme="minorBidi" w:cs="Arial"/>
          <w:sz w:val="16"/>
          <w:szCs w:val="16"/>
          <w:rtl/>
        </w:rPr>
        <w:t>ב פה ע"ד)</w:t>
      </w:r>
      <w:r>
        <w:rPr>
          <w:rFonts w:asciiTheme="minorBidi" w:hAnsiTheme="minorBidi" w:cs="Arial" w:hint="cs"/>
          <w:rtl/>
        </w:rPr>
        <w:t>-</w:t>
      </w:r>
      <w:r w:rsidR="00075FB8" w:rsidRPr="00AF7856">
        <w:rPr>
          <w:rFonts w:asciiTheme="minorBidi" w:hAnsiTheme="minorBidi" w:cs="Arial"/>
          <w:rtl/>
        </w:rPr>
        <w:t xml:space="preserve"> לאו דוקא לפתחו לכתחלה</w:t>
      </w:r>
      <w:r>
        <w:rPr>
          <w:rFonts w:asciiTheme="minorBidi" w:hAnsiTheme="minorBidi" w:cs="Arial" w:hint="cs"/>
          <w:rtl/>
        </w:rPr>
        <w:t>,</w:t>
      </w:r>
      <w:r w:rsidR="00075FB8" w:rsidRPr="00AF7856">
        <w:rPr>
          <w:rFonts w:asciiTheme="minorBidi" w:hAnsiTheme="minorBidi" w:cs="Arial"/>
          <w:rtl/>
        </w:rPr>
        <w:t xml:space="preserve"> אלא אפילו שהיה פתוח וקשרו בחוטים ואינו יכול להתירו אא</w:t>
      </w:r>
      <w:r>
        <w:rPr>
          <w:rFonts w:asciiTheme="minorBidi" w:hAnsiTheme="minorBidi" w:cs="Arial" w:hint="cs"/>
          <w:rtl/>
        </w:rPr>
        <w:t>"</w:t>
      </w:r>
      <w:r w:rsidR="00075FB8" w:rsidRPr="00AF7856">
        <w:rPr>
          <w:rFonts w:asciiTheme="minorBidi" w:hAnsiTheme="minorBidi" w:cs="Arial"/>
          <w:rtl/>
        </w:rPr>
        <w:t>כ חותך החוטים</w:t>
      </w:r>
      <w:r>
        <w:rPr>
          <w:rFonts w:asciiTheme="minorBidi" w:hAnsiTheme="minorBidi" w:cs="Arial" w:hint="cs"/>
          <w:rtl/>
        </w:rPr>
        <w:t xml:space="preserve"> -</w:t>
      </w:r>
      <w:r w:rsidR="00075FB8" w:rsidRPr="00AF7856">
        <w:rPr>
          <w:rFonts w:asciiTheme="minorBidi" w:hAnsiTheme="minorBidi" w:cs="Arial"/>
          <w:rtl/>
        </w:rPr>
        <w:t xml:space="preserve"> אסור</w:t>
      </w:r>
      <w:r>
        <w:rPr>
          <w:rFonts w:asciiTheme="minorBidi" w:hAnsiTheme="minorBidi" w:cs="Arial" w:hint="cs"/>
          <w:rtl/>
        </w:rPr>
        <w:t>.</w:t>
      </w:r>
      <w:r w:rsidR="00075FB8" w:rsidRPr="00AF7856">
        <w:rPr>
          <w:rFonts w:asciiTheme="minorBidi" w:hAnsiTheme="minorBidi" w:cs="Arial"/>
          <w:rtl/>
        </w:rPr>
        <w:t xml:space="preserve"> וכן אם הוא פתוח וחזר ותפרו כמו שעושין האומנין שתופרין אותו עד שגמרו מלאכתן </w:t>
      </w:r>
      <w:r w:rsidR="00A94C22">
        <w:rPr>
          <w:rFonts w:asciiTheme="minorBidi" w:hAnsiTheme="minorBidi" w:cs="Arial" w:hint="cs"/>
          <w:rtl/>
        </w:rPr>
        <w:t xml:space="preserve">- </w:t>
      </w:r>
      <w:r w:rsidR="00075FB8" w:rsidRPr="00AF7856">
        <w:rPr>
          <w:rFonts w:asciiTheme="minorBidi" w:hAnsiTheme="minorBidi" w:cs="Arial"/>
          <w:rtl/>
        </w:rPr>
        <w:t>אסור לפתחו ולהתיר אותה תפירה</w:t>
      </w:r>
      <w:r w:rsidR="00A94C22">
        <w:rPr>
          <w:rFonts w:asciiTheme="minorBidi" w:hAnsiTheme="minorBidi" w:cs="Arial" w:hint="cs"/>
          <w:rtl/>
        </w:rPr>
        <w:t>,</w:t>
      </w:r>
      <w:r w:rsidR="00075FB8" w:rsidRPr="00AF7856">
        <w:rPr>
          <w:rFonts w:asciiTheme="minorBidi" w:hAnsiTheme="minorBidi" w:cs="Arial"/>
          <w:rtl/>
        </w:rPr>
        <w:t xml:space="preserve"> וכן כתבו התוספות</w:t>
      </w:r>
      <w:r>
        <w:rPr>
          <w:rFonts w:asciiTheme="minorBidi" w:hAnsiTheme="minorBidi" w:cs="Arial" w:hint="cs"/>
          <w:rtl/>
        </w:rPr>
        <w:t>.</w:t>
      </w:r>
      <w:r w:rsidR="00075FB8" w:rsidRPr="00AF7856">
        <w:rPr>
          <w:rFonts w:asciiTheme="minorBidi" w:hAnsiTheme="minorBidi" w:cs="Arial"/>
          <w:rtl/>
        </w:rPr>
        <w:t xml:space="preserve"> </w:t>
      </w:r>
    </w:p>
    <w:p w14:paraId="661B9EE2" w14:textId="77777777" w:rsidR="005022B5" w:rsidRPr="005275DF" w:rsidRDefault="005022B5" w:rsidP="00434A6A">
      <w:pPr>
        <w:rPr>
          <w:rFonts w:asciiTheme="minorBidi" w:hAnsiTheme="minorBidi"/>
          <w:rtl/>
        </w:rPr>
      </w:pPr>
      <w:r w:rsidRPr="005275DF">
        <w:rPr>
          <w:rFonts w:asciiTheme="minorBidi" w:hAnsiTheme="minorBidi"/>
          <w:b/>
          <w:bCs/>
          <w:sz w:val="32"/>
          <w:szCs w:val="28"/>
          <w:u w:val="single"/>
          <w:rtl/>
        </w:rPr>
        <w:t xml:space="preserve">שו"ע: </w:t>
      </w:r>
      <w:r w:rsidR="00906F63" w:rsidRPr="005275DF">
        <w:rPr>
          <w:rFonts w:asciiTheme="minorBidi" w:hAnsiTheme="minorBidi"/>
          <w:rtl/>
        </w:rPr>
        <w:t xml:space="preserve"> </w:t>
      </w:r>
    </w:p>
    <w:p w14:paraId="4CAB21B0" w14:textId="5DBE05CB" w:rsidR="005022B5" w:rsidRPr="005275DF" w:rsidRDefault="005022B5" w:rsidP="00434A6A">
      <w:pPr>
        <w:rPr>
          <w:rFonts w:asciiTheme="minorBidi" w:hAnsiTheme="minorBidi"/>
          <w:rtl/>
        </w:rPr>
      </w:pPr>
      <w:r w:rsidRPr="005275DF">
        <w:rPr>
          <w:rFonts w:asciiTheme="minorBidi" w:hAnsiTheme="minorBidi"/>
          <w:rtl/>
        </w:rPr>
        <w:t>מ</w:t>
      </w:r>
      <w:r w:rsidR="00AB7C7A" w:rsidRPr="005275DF">
        <w:rPr>
          <w:rFonts w:asciiTheme="minorBidi" w:hAnsiTheme="minorBidi"/>
          <w:rtl/>
        </w:rPr>
        <w:t>תירין בית הצואר מקשר שקשרו כובס</w:t>
      </w:r>
      <w:r w:rsidRPr="005275DF">
        <w:rPr>
          <w:rFonts w:asciiTheme="minorBidi" w:hAnsiTheme="minorBidi"/>
          <w:rtl/>
        </w:rPr>
        <w:t xml:space="preserve"> שאינו קשר של </w:t>
      </w:r>
      <w:r w:rsidR="00AB7C7A" w:rsidRPr="005275DF">
        <w:rPr>
          <w:rFonts w:asciiTheme="minorBidi" w:hAnsiTheme="minorBidi"/>
          <w:rtl/>
        </w:rPr>
        <w:t>קיימא, אבל אין פותחין אותו מחדש</w:t>
      </w:r>
      <w:r w:rsidRPr="005275DF">
        <w:rPr>
          <w:rFonts w:asciiTheme="minorBidi" w:hAnsiTheme="minorBidi"/>
          <w:rtl/>
        </w:rPr>
        <w:t xml:space="preserve"> דמתקן מנא הוא.</w:t>
      </w:r>
      <w:r w:rsidR="00CA6E36" w:rsidRPr="005275DF">
        <w:rPr>
          <w:rFonts w:asciiTheme="minorBidi" w:hAnsiTheme="minorBidi"/>
          <w:sz w:val="18"/>
          <w:szCs w:val="18"/>
          <w:rtl/>
        </w:rPr>
        <w:t xml:space="preserve"> הגה: אפילו כבר נפתח</w:t>
      </w:r>
      <w:r w:rsidRPr="005275DF">
        <w:rPr>
          <w:rFonts w:asciiTheme="minorBidi" w:hAnsiTheme="minorBidi"/>
          <w:sz w:val="18"/>
          <w:szCs w:val="18"/>
          <w:rtl/>
        </w:rPr>
        <w:t xml:space="preserve"> רק שחזר האומן וקשרו או תפרו ביח</w:t>
      </w:r>
      <w:r w:rsidR="00CA6E36" w:rsidRPr="005275DF">
        <w:rPr>
          <w:rFonts w:asciiTheme="minorBidi" w:hAnsiTheme="minorBidi"/>
          <w:sz w:val="18"/>
          <w:szCs w:val="18"/>
          <w:rtl/>
        </w:rPr>
        <w:t>ד כדרך שהאומנים עושין</w:t>
      </w:r>
      <w:r w:rsidR="00AB7C7A" w:rsidRPr="005275DF">
        <w:rPr>
          <w:rFonts w:asciiTheme="minorBidi" w:hAnsiTheme="minorBidi"/>
          <w:sz w:val="18"/>
          <w:szCs w:val="18"/>
          <w:rtl/>
        </w:rPr>
        <w:t xml:space="preserve"> (רי"ו</w:t>
      </w:r>
      <w:r w:rsidR="00CA6E36" w:rsidRPr="005275DF">
        <w:rPr>
          <w:rFonts w:asciiTheme="minorBidi" w:hAnsiTheme="minorBidi"/>
          <w:sz w:val="18"/>
          <w:szCs w:val="18"/>
          <w:rtl/>
        </w:rPr>
        <w:t>),</w:t>
      </w:r>
      <w:r w:rsidRPr="005275DF">
        <w:rPr>
          <w:rFonts w:asciiTheme="minorBidi" w:hAnsiTheme="minorBidi"/>
          <w:sz w:val="18"/>
          <w:szCs w:val="18"/>
          <w:rtl/>
        </w:rPr>
        <w:t xml:space="preserve"> ולכן אסור לנתק או לחתוך זוג של מנעלים</w:t>
      </w:r>
      <w:r w:rsidR="00CA6E36" w:rsidRPr="005275DF">
        <w:rPr>
          <w:rFonts w:asciiTheme="minorBidi" w:hAnsiTheme="minorBidi"/>
          <w:sz w:val="18"/>
          <w:szCs w:val="18"/>
          <w:rtl/>
        </w:rPr>
        <w:t xml:space="preserve"> התפורים יחד כדרך שאומנים עושין</w:t>
      </w:r>
      <w:r w:rsidRPr="005275DF">
        <w:rPr>
          <w:rFonts w:asciiTheme="minorBidi" w:hAnsiTheme="minorBidi"/>
          <w:sz w:val="18"/>
          <w:szCs w:val="18"/>
          <w:rtl/>
        </w:rPr>
        <w:t xml:space="preserve"> אע</w:t>
      </w:r>
      <w:r w:rsidR="00001DA4">
        <w:rPr>
          <w:rFonts w:asciiTheme="minorBidi" w:hAnsiTheme="minorBidi" w:hint="cs"/>
          <w:sz w:val="18"/>
          <w:szCs w:val="18"/>
          <w:rtl/>
        </w:rPr>
        <w:t>"</w:t>
      </w:r>
      <w:r w:rsidRPr="005275DF">
        <w:rPr>
          <w:rFonts w:asciiTheme="minorBidi" w:hAnsiTheme="minorBidi"/>
          <w:sz w:val="18"/>
          <w:szCs w:val="18"/>
          <w:rtl/>
        </w:rPr>
        <w:t>ג דהתפירה אינה של קיימא. דאין חי</w:t>
      </w:r>
      <w:r w:rsidR="00AB7C7A" w:rsidRPr="005275DF">
        <w:rPr>
          <w:rFonts w:asciiTheme="minorBidi" w:hAnsiTheme="minorBidi"/>
          <w:sz w:val="18"/>
          <w:szCs w:val="18"/>
          <w:rtl/>
        </w:rPr>
        <w:t xml:space="preserve">לוק בתפירה בין של קיימא לאינה של </w:t>
      </w:r>
      <w:r w:rsidRPr="005275DF">
        <w:rPr>
          <w:rFonts w:asciiTheme="minorBidi" w:hAnsiTheme="minorBidi"/>
          <w:sz w:val="18"/>
          <w:szCs w:val="18"/>
          <w:rtl/>
        </w:rPr>
        <w:t>ק</w:t>
      </w:r>
      <w:r w:rsidR="00AB7C7A" w:rsidRPr="005275DF">
        <w:rPr>
          <w:rFonts w:asciiTheme="minorBidi" w:hAnsiTheme="minorBidi"/>
          <w:sz w:val="18"/>
          <w:szCs w:val="18"/>
          <w:rtl/>
        </w:rPr>
        <w:t>יימא</w:t>
      </w:r>
      <w:r w:rsidR="009C49D1" w:rsidRPr="005275DF">
        <w:rPr>
          <w:rStyle w:val="a9"/>
          <w:rFonts w:asciiTheme="minorBidi" w:hAnsiTheme="minorBidi"/>
          <w:sz w:val="18"/>
          <w:szCs w:val="18"/>
          <w:rtl/>
        </w:rPr>
        <w:footnoteReference w:id="2593"/>
      </w:r>
      <w:r w:rsidR="00CA6E36" w:rsidRPr="005275DF">
        <w:rPr>
          <w:rFonts w:asciiTheme="minorBidi" w:hAnsiTheme="minorBidi"/>
          <w:sz w:val="18"/>
          <w:szCs w:val="18"/>
          <w:rtl/>
        </w:rPr>
        <w:t xml:space="preserve"> (</w:t>
      </w:r>
      <w:r w:rsidR="00001DA4">
        <w:rPr>
          <w:rFonts w:asciiTheme="minorBidi" w:hAnsiTheme="minorBidi" w:hint="cs"/>
          <w:sz w:val="18"/>
          <w:szCs w:val="18"/>
          <w:rtl/>
        </w:rPr>
        <w:t>ריב"א</w:t>
      </w:r>
      <w:r w:rsidR="00CA6E36" w:rsidRPr="005275DF">
        <w:rPr>
          <w:rFonts w:asciiTheme="minorBidi" w:hAnsiTheme="minorBidi"/>
          <w:sz w:val="18"/>
          <w:szCs w:val="18"/>
          <w:rtl/>
        </w:rPr>
        <w:t>),</w:t>
      </w:r>
      <w:r w:rsidRPr="005275DF">
        <w:rPr>
          <w:rFonts w:asciiTheme="minorBidi" w:hAnsiTheme="minorBidi"/>
          <w:sz w:val="18"/>
          <w:szCs w:val="18"/>
          <w:rtl/>
        </w:rPr>
        <w:t xml:space="preserve"> ויש מתירין בתפיר</w:t>
      </w:r>
      <w:r w:rsidR="00AB7C7A" w:rsidRPr="005275DF">
        <w:rPr>
          <w:rFonts w:asciiTheme="minorBidi" w:hAnsiTheme="minorBidi"/>
          <w:sz w:val="18"/>
          <w:szCs w:val="18"/>
          <w:rtl/>
        </w:rPr>
        <w:t xml:space="preserve">ה שאינה של </w:t>
      </w:r>
      <w:r w:rsidR="003A152D" w:rsidRPr="005275DF">
        <w:rPr>
          <w:rFonts w:asciiTheme="minorBidi" w:hAnsiTheme="minorBidi"/>
          <w:sz w:val="18"/>
          <w:szCs w:val="18"/>
          <w:rtl/>
        </w:rPr>
        <w:t>ק</w:t>
      </w:r>
      <w:r w:rsidR="00AB7C7A" w:rsidRPr="005275DF">
        <w:rPr>
          <w:rFonts w:asciiTheme="minorBidi" w:hAnsiTheme="minorBidi"/>
          <w:sz w:val="18"/>
          <w:szCs w:val="18"/>
          <w:rtl/>
        </w:rPr>
        <w:t>יימא</w:t>
      </w:r>
      <w:r w:rsidR="00001DA4">
        <w:rPr>
          <w:rFonts w:asciiTheme="minorBidi" w:hAnsiTheme="minorBidi" w:hint="cs"/>
          <w:sz w:val="18"/>
          <w:szCs w:val="18"/>
          <w:rtl/>
        </w:rPr>
        <w:t xml:space="preserve"> (ר' יואל)</w:t>
      </w:r>
      <w:r w:rsidR="003A152D" w:rsidRPr="005275DF">
        <w:rPr>
          <w:rFonts w:asciiTheme="minorBidi" w:hAnsiTheme="minorBidi"/>
          <w:sz w:val="18"/>
          <w:szCs w:val="18"/>
          <w:rtl/>
        </w:rPr>
        <w:t>, ואין להתיר בפני עם הארץ</w:t>
      </w:r>
      <w:r w:rsidRPr="005275DF">
        <w:rPr>
          <w:rFonts w:asciiTheme="minorBidi" w:hAnsiTheme="minorBidi"/>
          <w:sz w:val="18"/>
          <w:szCs w:val="18"/>
          <w:rtl/>
        </w:rPr>
        <w:t xml:space="preserve"> (ב"י). </w:t>
      </w:r>
    </w:p>
    <w:p w14:paraId="5C3831C1" w14:textId="77777777" w:rsidR="005022B5" w:rsidRPr="005275DF" w:rsidRDefault="005022B5" w:rsidP="00434A6A">
      <w:pPr>
        <w:rPr>
          <w:rFonts w:asciiTheme="minorBidi" w:hAnsiTheme="minorBidi"/>
          <w:rtl/>
        </w:rPr>
      </w:pPr>
    </w:p>
    <w:p w14:paraId="72D9AAA0" w14:textId="4F49D867" w:rsidR="005022B5" w:rsidRPr="005275DF" w:rsidRDefault="005022B5" w:rsidP="00434A6A">
      <w:pPr>
        <w:pStyle w:val="2"/>
        <w:rPr>
          <w:rFonts w:asciiTheme="minorBidi" w:hAnsiTheme="minorBidi" w:cstheme="minorBidi"/>
          <w:rtl/>
        </w:rPr>
      </w:pPr>
      <w:r w:rsidRPr="005275DF">
        <w:rPr>
          <w:rFonts w:asciiTheme="minorBidi" w:hAnsiTheme="minorBidi" w:cstheme="minorBidi"/>
          <w:rtl/>
        </w:rPr>
        <w:t>סעיף ד</w:t>
      </w:r>
      <w:r w:rsidR="00CA6E36" w:rsidRPr="005275DF">
        <w:rPr>
          <w:rFonts w:asciiTheme="minorBidi" w:hAnsiTheme="minorBidi" w:cstheme="minorBidi"/>
          <w:rtl/>
        </w:rPr>
        <w:t xml:space="preserve">: </w:t>
      </w:r>
      <w:r w:rsidR="00CD6EB5" w:rsidRPr="005275DF">
        <w:rPr>
          <w:rFonts w:asciiTheme="minorBidi" w:hAnsiTheme="minorBidi" w:cstheme="minorBidi"/>
          <w:rtl/>
        </w:rPr>
        <w:t xml:space="preserve">קשירת חבל </w:t>
      </w:r>
      <w:r w:rsidR="00823D80">
        <w:rPr>
          <w:rFonts w:asciiTheme="minorBidi" w:hAnsiTheme="minorBidi" w:cstheme="minorBidi" w:hint="cs"/>
          <w:rtl/>
        </w:rPr>
        <w:t>ל</w:t>
      </w:r>
      <w:r w:rsidR="00CD6EB5" w:rsidRPr="005275DF">
        <w:rPr>
          <w:rFonts w:asciiTheme="minorBidi" w:hAnsiTheme="minorBidi" w:cstheme="minorBidi"/>
          <w:rtl/>
        </w:rPr>
        <w:t>דלי שאצל הבור.</w:t>
      </w:r>
    </w:p>
    <w:p w14:paraId="2373C373" w14:textId="40734041" w:rsidR="00AB4631" w:rsidRDefault="00CA6E36" w:rsidP="00434A6A">
      <w:pPr>
        <w:rPr>
          <w:rFonts w:asciiTheme="minorBidi" w:hAnsiTheme="minorBidi"/>
          <w:rtl/>
        </w:rPr>
      </w:pPr>
      <w:r w:rsidRPr="005275DF">
        <w:rPr>
          <w:rFonts w:asciiTheme="minorBidi" w:hAnsiTheme="minorBidi"/>
          <w:b/>
          <w:bCs/>
          <w:rtl/>
        </w:rPr>
        <w:t xml:space="preserve">שבת </w:t>
      </w:r>
      <w:r w:rsidR="001473C1">
        <w:rPr>
          <w:rFonts w:asciiTheme="minorBidi" w:hAnsiTheme="minorBidi" w:hint="cs"/>
          <w:b/>
          <w:bCs/>
          <w:sz w:val="16"/>
          <w:szCs w:val="16"/>
          <w:rtl/>
        </w:rPr>
        <w:t xml:space="preserve">(פ' אלו קשרים) </w:t>
      </w:r>
      <w:r w:rsidRPr="005275DF">
        <w:rPr>
          <w:rFonts w:asciiTheme="minorBidi" w:hAnsiTheme="minorBidi"/>
          <w:b/>
          <w:bCs/>
          <w:rtl/>
        </w:rPr>
        <w:t>קיג ע"א:</w:t>
      </w:r>
      <w:r w:rsidRPr="005275DF">
        <w:rPr>
          <w:rFonts w:asciiTheme="minorBidi" w:hAnsiTheme="minorBidi"/>
          <w:rtl/>
        </w:rPr>
        <w:t xml:space="preserve"> </w:t>
      </w:r>
      <w:r w:rsidRPr="005275DF">
        <w:rPr>
          <w:rFonts w:asciiTheme="minorBidi" w:hAnsiTheme="minorBidi"/>
          <w:u w:val="double"/>
          <w:rtl/>
        </w:rPr>
        <w:t>משנה:</w:t>
      </w:r>
      <w:r w:rsidRPr="005275DF">
        <w:rPr>
          <w:rFonts w:asciiTheme="minorBidi" w:hAnsiTheme="minorBidi"/>
          <w:rtl/>
        </w:rPr>
        <w:t xml:space="preserve"> קושרין דלי בפסקיא</w:t>
      </w:r>
      <w:r w:rsidRPr="005275DF">
        <w:rPr>
          <w:rStyle w:val="a9"/>
          <w:rFonts w:asciiTheme="minorBidi" w:hAnsiTheme="minorBidi"/>
          <w:rtl/>
        </w:rPr>
        <w:footnoteReference w:id="2594"/>
      </w:r>
      <w:r w:rsidRPr="005275DF">
        <w:rPr>
          <w:rFonts w:asciiTheme="minorBidi" w:hAnsiTheme="minorBidi"/>
          <w:rtl/>
        </w:rPr>
        <w:t xml:space="preserve"> אבל לא בחבל</w:t>
      </w:r>
      <w:r w:rsidRPr="005275DF">
        <w:rPr>
          <w:rStyle w:val="a9"/>
          <w:rFonts w:asciiTheme="minorBidi" w:hAnsiTheme="minorBidi"/>
          <w:rtl/>
        </w:rPr>
        <w:footnoteReference w:id="2595"/>
      </w:r>
      <w:r w:rsidRPr="005275DF">
        <w:rPr>
          <w:rFonts w:asciiTheme="minorBidi" w:hAnsiTheme="minorBidi"/>
          <w:rtl/>
        </w:rPr>
        <w:t xml:space="preserve">, </w:t>
      </w:r>
      <w:r w:rsidRPr="005275DF">
        <w:rPr>
          <w:rFonts w:asciiTheme="minorBidi" w:hAnsiTheme="minorBidi"/>
          <w:u w:val="single"/>
          <w:rtl/>
        </w:rPr>
        <w:t>רבי יהודה</w:t>
      </w:r>
      <w:r w:rsidRPr="005275DF">
        <w:rPr>
          <w:rFonts w:asciiTheme="minorBidi" w:hAnsiTheme="minorBidi"/>
          <w:rtl/>
        </w:rPr>
        <w:t xml:space="preserve">: מתיר. </w:t>
      </w:r>
      <w:r w:rsidRPr="005275DF">
        <w:rPr>
          <w:rFonts w:asciiTheme="minorBidi" w:hAnsiTheme="minorBidi"/>
          <w:u w:val="single"/>
          <w:rtl/>
        </w:rPr>
        <w:t>כלל אמר רבי יהודה</w:t>
      </w:r>
      <w:r w:rsidRPr="005275DF">
        <w:rPr>
          <w:rFonts w:asciiTheme="minorBidi" w:hAnsiTheme="minorBidi"/>
          <w:rtl/>
        </w:rPr>
        <w:t xml:space="preserve">: כל קשר שאינו של קיימא אין חייבין עליו. </w:t>
      </w:r>
      <w:r w:rsidR="005440C0" w:rsidRPr="005275DF">
        <w:rPr>
          <w:rFonts w:asciiTheme="minorBidi" w:hAnsiTheme="minorBidi"/>
          <w:rtl/>
        </w:rPr>
        <w:t xml:space="preserve">  </w:t>
      </w:r>
      <w:r w:rsidRPr="005275DF">
        <w:rPr>
          <w:rFonts w:asciiTheme="minorBidi" w:hAnsiTheme="minorBidi"/>
          <w:rtl/>
        </w:rPr>
        <w:t xml:space="preserve">   </w:t>
      </w:r>
      <w:r w:rsidRPr="005275DF">
        <w:rPr>
          <w:rFonts w:asciiTheme="minorBidi" w:hAnsiTheme="minorBidi"/>
          <w:u w:val="double"/>
          <w:rtl/>
        </w:rPr>
        <w:t>גמ</w:t>
      </w:r>
      <w:r w:rsidR="00B62B68">
        <w:rPr>
          <w:rFonts w:asciiTheme="minorBidi" w:hAnsiTheme="minorBidi" w:hint="cs"/>
          <w:u w:val="double"/>
          <w:rtl/>
        </w:rPr>
        <w:t>רא</w:t>
      </w:r>
      <w:r w:rsidRPr="005275DF">
        <w:rPr>
          <w:rFonts w:asciiTheme="minorBidi" w:hAnsiTheme="minorBidi"/>
          <w:rtl/>
        </w:rPr>
        <w:t>: חבל דמאי? אי לימא חבל דעלמא - רבי יהודה מתיר? קשר של קיימא הוא! אלא חבל דגרדי</w:t>
      </w:r>
      <w:r w:rsidR="005440C0" w:rsidRPr="005275DF">
        <w:rPr>
          <w:rStyle w:val="a9"/>
          <w:rFonts w:asciiTheme="minorBidi" w:hAnsiTheme="minorBidi"/>
          <w:rtl/>
        </w:rPr>
        <w:footnoteReference w:id="2596"/>
      </w:r>
      <w:r w:rsidRPr="005275DF">
        <w:rPr>
          <w:rFonts w:asciiTheme="minorBidi" w:hAnsiTheme="minorBidi"/>
          <w:rtl/>
        </w:rPr>
        <w:t>. למימרא דרבנן סברי גזרינן חבל דגרדי אטו חבל דעלמא, ורבי יהודה סבר לא גזרינן? ורמינהו: חבל דלי שנפסק</w:t>
      </w:r>
      <w:r w:rsidR="005440C0" w:rsidRPr="005275DF">
        <w:rPr>
          <w:rStyle w:val="a9"/>
          <w:rFonts w:asciiTheme="minorBidi" w:hAnsiTheme="minorBidi"/>
          <w:rtl/>
        </w:rPr>
        <w:footnoteReference w:id="2597"/>
      </w:r>
      <w:r w:rsidR="005440C0" w:rsidRPr="005275DF">
        <w:rPr>
          <w:rFonts w:asciiTheme="minorBidi" w:hAnsiTheme="minorBidi"/>
          <w:rtl/>
        </w:rPr>
        <w:t xml:space="preserve"> </w:t>
      </w:r>
      <w:r w:rsidRPr="005275DF">
        <w:rPr>
          <w:rFonts w:asciiTheme="minorBidi" w:hAnsiTheme="minorBidi"/>
          <w:rtl/>
        </w:rPr>
        <w:t>לא יהא קושרו</w:t>
      </w:r>
      <w:r w:rsidR="005440C0" w:rsidRPr="005275DF">
        <w:rPr>
          <w:rStyle w:val="a9"/>
          <w:rFonts w:asciiTheme="minorBidi" w:hAnsiTheme="minorBidi"/>
          <w:rtl/>
        </w:rPr>
        <w:footnoteReference w:id="2598"/>
      </w:r>
      <w:r w:rsidRPr="005275DF">
        <w:rPr>
          <w:rFonts w:asciiTheme="minorBidi" w:hAnsiTheme="minorBidi"/>
          <w:rtl/>
        </w:rPr>
        <w:t xml:space="preserve"> אלא עונבו, </w:t>
      </w:r>
      <w:r w:rsidRPr="005275DF">
        <w:rPr>
          <w:rFonts w:asciiTheme="minorBidi" w:hAnsiTheme="minorBidi"/>
          <w:u w:val="single"/>
          <w:rtl/>
        </w:rPr>
        <w:t>ורבי יהודה אומר</w:t>
      </w:r>
      <w:r w:rsidRPr="005275DF">
        <w:rPr>
          <w:rFonts w:asciiTheme="minorBidi" w:hAnsiTheme="minorBidi"/>
          <w:rtl/>
        </w:rPr>
        <w:t>: כורך עליו פונדא או פסקיא</w:t>
      </w:r>
      <w:r w:rsidR="005440C0" w:rsidRPr="005275DF">
        <w:rPr>
          <w:rStyle w:val="a9"/>
          <w:rFonts w:asciiTheme="minorBidi" w:hAnsiTheme="minorBidi"/>
          <w:rtl/>
        </w:rPr>
        <w:footnoteReference w:id="2599"/>
      </w:r>
      <w:r w:rsidRPr="005275DF">
        <w:rPr>
          <w:rFonts w:asciiTheme="minorBidi" w:hAnsiTheme="minorBidi"/>
          <w:rtl/>
        </w:rPr>
        <w:t xml:space="preserve"> ובלבד שלא יענבנו</w:t>
      </w:r>
      <w:r w:rsidR="005440C0" w:rsidRPr="005275DF">
        <w:rPr>
          <w:rStyle w:val="a9"/>
          <w:rFonts w:asciiTheme="minorBidi" w:hAnsiTheme="minorBidi"/>
          <w:rtl/>
        </w:rPr>
        <w:footnoteReference w:id="2600"/>
      </w:r>
      <w:r w:rsidRPr="005275DF">
        <w:rPr>
          <w:rFonts w:asciiTheme="minorBidi" w:hAnsiTheme="minorBidi"/>
          <w:rtl/>
        </w:rPr>
        <w:t>. קשיא דרבי יהודה אדרבי יהודה, קשיא דרבנן אדרבנן! דרבנן אדרבנן לא קשיא: חבל בחבל מיחלף</w:t>
      </w:r>
      <w:r w:rsidR="005440C0" w:rsidRPr="005275DF">
        <w:rPr>
          <w:rStyle w:val="a9"/>
          <w:rFonts w:asciiTheme="minorBidi" w:hAnsiTheme="minorBidi"/>
          <w:rtl/>
        </w:rPr>
        <w:footnoteReference w:id="2601"/>
      </w:r>
      <w:r w:rsidRPr="005275DF">
        <w:rPr>
          <w:rFonts w:asciiTheme="minorBidi" w:hAnsiTheme="minorBidi"/>
          <w:rtl/>
        </w:rPr>
        <w:t>, עניבה בקשירה לא מיחלפא. דרבי יהודה אדרבי יהודה לא קשיא</w:t>
      </w:r>
      <w:r w:rsidR="005440C0" w:rsidRPr="005275DF">
        <w:rPr>
          <w:rFonts w:asciiTheme="minorBidi" w:hAnsiTheme="minorBidi"/>
          <w:rtl/>
        </w:rPr>
        <w:t>,</w:t>
      </w:r>
      <w:r w:rsidRPr="005275DF">
        <w:rPr>
          <w:rFonts w:asciiTheme="minorBidi" w:hAnsiTheme="minorBidi"/>
          <w:rtl/>
        </w:rPr>
        <w:t xml:space="preserve"> התם</w:t>
      </w:r>
      <w:r w:rsidR="005440C0" w:rsidRPr="005275DF">
        <w:rPr>
          <w:rFonts w:asciiTheme="minorBidi" w:hAnsiTheme="minorBidi"/>
          <w:rtl/>
        </w:rPr>
        <w:t>,</w:t>
      </w:r>
      <w:r w:rsidRPr="005275DF">
        <w:rPr>
          <w:rFonts w:asciiTheme="minorBidi" w:hAnsiTheme="minorBidi"/>
          <w:rtl/>
        </w:rPr>
        <w:t xml:space="preserve"> לא משום דמיחלפא עניבה בקשירה אלא עניבה גופה קשירה היא.</w:t>
      </w:r>
      <w:r w:rsidR="007F282E" w:rsidRPr="005275DF">
        <w:rPr>
          <w:rFonts w:asciiTheme="minorBidi" w:hAnsiTheme="minorBidi"/>
          <w:rtl/>
        </w:rPr>
        <w:t xml:space="preserve"> </w:t>
      </w:r>
      <w:r w:rsidR="007F282E" w:rsidRPr="005275DF">
        <w:rPr>
          <w:rFonts w:asciiTheme="minorBidi" w:hAnsiTheme="minorBidi"/>
          <w:u w:val="single"/>
          <w:rtl/>
        </w:rPr>
        <w:t xml:space="preserve">אמר רבי אבא אמר </w:t>
      </w:r>
      <w:r w:rsidR="00EC2B73" w:rsidRPr="005275DF">
        <w:rPr>
          <w:rFonts w:asciiTheme="minorBidi" w:hAnsiTheme="minorBidi"/>
          <w:u w:val="single"/>
          <w:rtl/>
        </w:rPr>
        <w:t>רבי חייא אמר רבי יוחנן</w:t>
      </w:r>
      <w:r w:rsidR="00EC2B73" w:rsidRPr="005275DF">
        <w:rPr>
          <w:rStyle w:val="a9"/>
          <w:rFonts w:asciiTheme="minorBidi" w:hAnsiTheme="minorBidi"/>
          <w:u w:val="single"/>
          <w:rtl/>
        </w:rPr>
        <w:footnoteReference w:id="2602"/>
      </w:r>
      <w:r w:rsidR="007F282E" w:rsidRPr="005275DF">
        <w:rPr>
          <w:rFonts w:asciiTheme="minorBidi" w:hAnsiTheme="minorBidi"/>
          <w:rtl/>
        </w:rPr>
        <w:t>: מביא אדם חבל מתוך ביתו וקושרו בפרה</w:t>
      </w:r>
      <w:r w:rsidR="007F282E" w:rsidRPr="005275DF">
        <w:rPr>
          <w:rStyle w:val="a9"/>
          <w:rFonts w:asciiTheme="minorBidi" w:hAnsiTheme="minorBidi"/>
          <w:rtl/>
        </w:rPr>
        <w:footnoteReference w:id="2603"/>
      </w:r>
      <w:r w:rsidR="007F282E" w:rsidRPr="005275DF">
        <w:rPr>
          <w:rFonts w:asciiTheme="minorBidi" w:hAnsiTheme="minorBidi"/>
          <w:rtl/>
        </w:rPr>
        <w:t xml:space="preserve"> ובאיבוס. </w:t>
      </w:r>
      <w:r w:rsidR="007F282E" w:rsidRPr="005275DF">
        <w:rPr>
          <w:rFonts w:asciiTheme="minorBidi" w:hAnsiTheme="minorBidi"/>
          <w:u w:val="single"/>
          <w:rtl/>
        </w:rPr>
        <w:t>איתיביה רבי אחא אריכא דהוא רבי אחא בר פפא לרבי אבא</w:t>
      </w:r>
      <w:r w:rsidR="007F282E" w:rsidRPr="005275DF">
        <w:rPr>
          <w:rFonts w:asciiTheme="minorBidi" w:hAnsiTheme="minorBidi"/>
          <w:rtl/>
        </w:rPr>
        <w:t xml:space="preserve">: חבל שבאיבוס קושרו בפרה, ושבפרה קושרו באיבוס, ובלבד שלא יביא חבל מתוך ביתו ויקשור בפרה ובאיבוס! התם חבל דעלמא, הכא חבל דגרדי. </w:t>
      </w:r>
      <w:r w:rsidR="00823D80">
        <w:rPr>
          <w:rFonts w:asciiTheme="minorBidi" w:hAnsiTheme="minorBidi" w:cs="Arial" w:hint="cs"/>
          <w:sz w:val="16"/>
          <w:szCs w:val="16"/>
          <w:rtl/>
        </w:rPr>
        <w:t>(</w:t>
      </w:r>
      <w:r w:rsidR="00823D80" w:rsidRPr="00823D80">
        <w:rPr>
          <w:rFonts w:asciiTheme="minorBidi" w:hAnsiTheme="minorBidi" w:cs="Arial"/>
          <w:sz w:val="16"/>
          <w:szCs w:val="16"/>
          <w:rtl/>
        </w:rPr>
        <w:t>וכתבו התוספות (ד"ה התם) וקמ"ל דלא גזרינן חבל דגרדי אטו חבל דעלמא וכרבי יהודה</w:t>
      </w:r>
      <w:r w:rsidR="00823D80" w:rsidRPr="00823D80">
        <w:rPr>
          <w:rFonts w:asciiTheme="minorBidi" w:hAnsiTheme="minorBidi" w:cs="Arial" w:hint="cs"/>
          <w:sz w:val="16"/>
          <w:szCs w:val="16"/>
          <w:rtl/>
        </w:rPr>
        <w:t>.</w:t>
      </w:r>
      <w:r w:rsidR="00823D80" w:rsidRPr="00823D80">
        <w:rPr>
          <w:rFonts w:asciiTheme="minorBidi" w:hAnsiTheme="minorBidi" w:cs="Arial"/>
          <w:sz w:val="16"/>
          <w:szCs w:val="16"/>
          <w:rtl/>
        </w:rPr>
        <w:t xml:space="preserve"> אי נמי אפילו רבנן מודו דאפילו בחבל דעלמא לא שכיח שיהיה קשר של קיימא כשקושרו בפרה ובאיבוס ולהכי לא גזור בחבל דגרדי עכ"ל</w:t>
      </w:r>
      <w:r w:rsidR="00823D80">
        <w:rPr>
          <w:rFonts w:asciiTheme="minorBidi" w:hAnsiTheme="minorBidi" w:cs="Arial" w:hint="cs"/>
          <w:sz w:val="16"/>
          <w:szCs w:val="16"/>
          <w:rtl/>
        </w:rPr>
        <w:t>, ב"י)</w:t>
      </w:r>
    </w:p>
    <w:p w14:paraId="7A49488C" w14:textId="68C3AC2B" w:rsidR="001473C1" w:rsidRPr="00244560" w:rsidRDefault="00244560" w:rsidP="00434A6A">
      <w:pPr>
        <w:rPr>
          <w:rFonts w:asciiTheme="minorBidi" w:hAnsiTheme="minorBidi"/>
          <w:u w:val="single"/>
          <w:rtl/>
        </w:rPr>
      </w:pPr>
      <w:r w:rsidRPr="00244560">
        <w:rPr>
          <w:rFonts w:asciiTheme="minorBidi" w:hAnsiTheme="minorBidi"/>
          <w:u w:val="single"/>
          <w:rtl/>
        </w:rPr>
        <w:t xml:space="preserve">קשירת חבל </w:t>
      </w:r>
      <w:r w:rsidRPr="00244560">
        <w:rPr>
          <w:rFonts w:asciiTheme="minorBidi" w:hAnsiTheme="minorBidi" w:hint="cs"/>
          <w:u w:val="single"/>
          <w:rtl/>
        </w:rPr>
        <w:t>ל</w:t>
      </w:r>
      <w:r w:rsidRPr="00244560">
        <w:rPr>
          <w:rFonts w:asciiTheme="minorBidi" w:hAnsiTheme="minorBidi"/>
          <w:u w:val="single"/>
          <w:rtl/>
        </w:rPr>
        <w:t>דלי שאצל הבור</w:t>
      </w:r>
      <w:r w:rsidRPr="00244560">
        <w:rPr>
          <w:rFonts w:asciiTheme="minorBidi" w:hAnsiTheme="minorBidi" w:hint="cs"/>
          <w:u w:val="single"/>
          <w:rtl/>
        </w:rPr>
        <w:t>:</w:t>
      </w:r>
    </w:p>
    <w:p w14:paraId="15FBE343" w14:textId="77777777" w:rsidR="00823D80" w:rsidRPr="00823D80" w:rsidRDefault="00823D80" w:rsidP="00434A6A">
      <w:pPr>
        <w:pStyle w:val="aa"/>
        <w:numPr>
          <w:ilvl w:val="0"/>
          <w:numId w:val="32"/>
        </w:numPr>
        <w:rPr>
          <w:rFonts w:asciiTheme="minorBidi" w:hAnsiTheme="minorBidi"/>
        </w:rPr>
      </w:pPr>
      <w:r>
        <w:rPr>
          <w:rFonts w:asciiTheme="minorBidi" w:hAnsiTheme="minorBidi" w:cs="Arial" w:hint="cs"/>
          <w:rtl/>
        </w:rPr>
        <w:t xml:space="preserve">טור- </w:t>
      </w:r>
      <w:r w:rsidRPr="00D9457B">
        <w:rPr>
          <w:rFonts w:asciiTheme="minorBidi" w:hAnsiTheme="minorBidi" w:cs="Arial"/>
          <w:rtl/>
        </w:rPr>
        <w:t>קושרין דלי לבור אף בחבל ולא חיישינן שמא יבטלנו שם ויהיה של קיימא</w:t>
      </w:r>
      <w:r>
        <w:rPr>
          <w:rFonts w:asciiTheme="minorBidi" w:hAnsiTheme="minorBidi" w:cs="Arial" w:hint="cs"/>
          <w:rtl/>
        </w:rPr>
        <w:t>,</w:t>
      </w:r>
      <w:r w:rsidRPr="00D9457B">
        <w:rPr>
          <w:rFonts w:asciiTheme="minorBidi" w:hAnsiTheme="minorBidi" w:cs="Arial"/>
          <w:rtl/>
        </w:rPr>
        <w:t xml:space="preserve"> וה</w:t>
      </w:r>
      <w:r>
        <w:rPr>
          <w:rFonts w:asciiTheme="minorBidi" w:hAnsiTheme="minorBidi" w:cs="Arial" w:hint="cs"/>
          <w:rtl/>
        </w:rPr>
        <w:t>ו</w:t>
      </w:r>
      <w:r w:rsidRPr="00D9457B">
        <w:rPr>
          <w:rFonts w:asciiTheme="minorBidi" w:hAnsiTheme="minorBidi" w:cs="Arial"/>
          <w:rtl/>
        </w:rPr>
        <w:t>א שיהיה חבל של גרדי</w:t>
      </w:r>
      <w:r>
        <w:rPr>
          <w:rFonts w:asciiTheme="minorBidi" w:hAnsiTheme="minorBidi" w:cs="Arial" w:hint="cs"/>
          <w:rtl/>
        </w:rPr>
        <w:t>,</w:t>
      </w:r>
      <w:r w:rsidRPr="00D9457B">
        <w:rPr>
          <w:rFonts w:asciiTheme="minorBidi" w:hAnsiTheme="minorBidi" w:cs="Arial"/>
          <w:rtl/>
        </w:rPr>
        <w:t xml:space="preserve"> אבל חבל דעלמא לא</w:t>
      </w:r>
      <w:r>
        <w:rPr>
          <w:rStyle w:val="a9"/>
          <w:rFonts w:asciiTheme="minorBidi" w:hAnsiTheme="minorBidi" w:cs="Arial"/>
          <w:rtl/>
        </w:rPr>
        <w:footnoteReference w:id="2604"/>
      </w:r>
      <w:r>
        <w:rPr>
          <w:rFonts w:asciiTheme="minorBidi" w:hAnsiTheme="minorBidi" w:cs="Arial" w:hint="cs"/>
          <w:rtl/>
        </w:rPr>
        <w:t>.</w:t>
      </w:r>
      <w:r w:rsidRPr="00D9457B">
        <w:rPr>
          <w:rFonts w:asciiTheme="minorBidi" w:hAnsiTheme="minorBidi" w:cs="Arial"/>
          <w:rtl/>
        </w:rPr>
        <w:t xml:space="preserve"> </w:t>
      </w:r>
    </w:p>
    <w:p w14:paraId="5EF2EAE1" w14:textId="62873F10" w:rsidR="009C6006" w:rsidRPr="009C6006" w:rsidRDefault="009C6006" w:rsidP="00434A6A">
      <w:pPr>
        <w:pStyle w:val="aa"/>
        <w:numPr>
          <w:ilvl w:val="0"/>
          <w:numId w:val="32"/>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(פ"י ה"ג)</w:t>
      </w:r>
      <w:r w:rsidR="00D632A8">
        <w:rPr>
          <w:rFonts w:asciiTheme="minorBidi" w:hAnsiTheme="minorBidi" w:cs="Arial" w:hint="cs"/>
          <w:rtl/>
        </w:rPr>
        <w:t xml:space="preserve"> ורי"ו </w:t>
      </w:r>
      <w:r w:rsidR="00D632A8" w:rsidRPr="00D632A8">
        <w:rPr>
          <w:rFonts w:asciiTheme="minorBidi" w:hAnsiTheme="minorBidi" w:cs="Arial" w:hint="cs"/>
          <w:sz w:val="16"/>
          <w:szCs w:val="16"/>
          <w:rtl/>
        </w:rPr>
        <w:t>(</w:t>
      </w:r>
      <w:r w:rsidR="00D632A8" w:rsidRPr="00D632A8">
        <w:rPr>
          <w:rFonts w:asciiTheme="minorBidi" w:hAnsiTheme="minorBidi" w:cs="Arial"/>
          <w:sz w:val="16"/>
          <w:szCs w:val="16"/>
          <w:rtl/>
        </w:rPr>
        <w:t>חי"ד ד</w:t>
      </w:r>
      <w:r w:rsidR="00D632A8" w:rsidRPr="00D632A8">
        <w:rPr>
          <w:rFonts w:asciiTheme="minorBidi" w:hAnsiTheme="minorBidi" w:cs="Arial" w:hint="cs"/>
          <w:sz w:val="16"/>
          <w:szCs w:val="16"/>
          <w:rtl/>
        </w:rPr>
        <w:t>נ</w:t>
      </w:r>
      <w:r w:rsidR="00D632A8" w:rsidRPr="00D632A8">
        <w:rPr>
          <w:rFonts w:asciiTheme="minorBidi" w:hAnsiTheme="minorBidi" w:cs="Arial"/>
          <w:sz w:val="16"/>
          <w:szCs w:val="16"/>
          <w:rtl/>
        </w:rPr>
        <w:t>י</w:t>
      </w:r>
      <w:r w:rsidR="00D632A8" w:rsidRPr="00D632A8">
        <w:rPr>
          <w:rFonts w:asciiTheme="minorBidi" w:hAnsiTheme="minorBidi" w:cs="Arial" w:hint="cs"/>
          <w:sz w:val="16"/>
          <w:szCs w:val="16"/>
          <w:rtl/>
        </w:rPr>
        <w:t>"</w:t>
      </w:r>
      <w:r w:rsidR="00D632A8" w:rsidRPr="00D632A8">
        <w:rPr>
          <w:rFonts w:asciiTheme="minorBidi" w:hAnsiTheme="minorBidi" w:cs="Arial"/>
          <w:sz w:val="16"/>
          <w:szCs w:val="16"/>
          <w:rtl/>
        </w:rPr>
        <w:t>ב פז ע"ג)</w:t>
      </w:r>
      <w:r>
        <w:rPr>
          <w:rFonts w:asciiTheme="minorBidi" w:hAnsiTheme="minorBidi" w:cs="Arial" w:hint="cs"/>
          <w:rtl/>
        </w:rPr>
        <w:t xml:space="preserve">- </w:t>
      </w:r>
      <w:r w:rsidRPr="009C6006">
        <w:rPr>
          <w:rFonts w:asciiTheme="minorBidi" w:hAnsiTheme="minorBidi" w:cs="Arial"/>
          <w:rtl/>
        </w:rPr>
        <w:t>וקושרין דלי במשיחה או באבנט וכיוצא בו אבל לא בחבל</w:t>
      </w:r>
      <w:r w:rsidR="00823D80">
        <w:rPr>
          <w:rStyle w:val="a9"/>
          <w:rFonts w:asciiTheme="minorBidi" w:hAnsiTheme="minorBidi" w:cs="Arial"/>
          <w:rtl/>
        </w:rPr>
        <w:footnoteReference w:id="2605"/>
      </w:r>
      <w:r w:rsidR="008E7921">
        <w:rPr>
          <w:rFonts w:asciiTheme="minorBidi" w:hAnsiTheme="minorBidi" w:cs="Arial" w:hint="cs"/>
          <w:rtl/>
        </w:rPr>
        <w:t>.</w:t>
      </w:r>
      <w:r w:rsidR="00002E51">
        <w:rPr>
          <w:rFonts w:asciiTheme="minorBidi" w:hAnsiTheme="minorBidi" w:cs="Arial" w:hint="cs"/>
          <w:rtl/>
        </w:rPr>
        <w:t>..</w:t>
      </w:r>
      <w:r w:rsidRPr="009C6006">
        <w:rPr>
          <w:rFonts w:asciiTheme="minorBidi" w:hAnsiTheme="minorBidi" w:cs="Arial"/>
          <w:rtl/>
        </w:rPr>
        <w:t xml:space="preserve"> מפני שכל אלו הקשרים מעשה הדיוט הן ואינן של קיימא אלא פעם קושר ופעם מתיר ולפיכך מותר לקשור אותן לכתחלה</w:t>
      </w:r>
      <w:r w:rsidR="00D632A8">
        <w:rPr>
          <w:rFonts w:asciiTheme="minorBidi" w:hAnsiTheme="minorBidi" w:cs="Arial" w:hint="cs"/>
          <w:sz w:val="16"/>
          <w:szCs w:val="16"/>
          <w:rtl/>
        </w:rPr>
        <w:t xml:space="preserve"> (ל' הרמב"ם)</w:t>
      </w:r>
      <w:r>
        <w:rPr>
          <w:rFonts w:asciiTheme="minorBidi" w:hAnsiTheme="minorBidi" w:cs="Arial" w:hint="cs"/>
          <w:rtl/>
        </w:rPr>
        <w:t>.</w:t>
      </w:r>
      <w:r w:rsidRPr="009C6006">
        <w:rPr>
          <w:rFonts w:asciiTheme="minorBidi" w:hAnsiTheme="minorBidi" w:cs="Arial"/>
          <w:rtl/>
        </w:rPr>
        <w:t xml:space="preserve"> </w:t>
      </w:r>
      <w:r w:rsidR="00610B51" w:rsidRPr="002C1339">
        <w:rPr>
          <w:rFonts w:asciiTheme="minorBidi" w:hAnsiTheme="minorBidi" w:hint="cs"/>
          <w:color w:val="E36C0A" w:themeColor="accent6" w:themeShade="BF"/>
          <w:rtl/>
        </w:rPr>
        <w:t>(וכ"פ בשו"ע)</w:t>
      </w:r>
    </w:p>
    <w:p w14:paraId="58B6E90D" w14:textId="3533A6C0" w:rsidR="00610B51" w:rsidRPr="00610B51" w:rsidRDefault="00610B51" w:rsidP="00434A6A">
      <w:pPr>
        <w:ind w:left="360"/>
        <w:rPr>
          <w:rFonts w:asciiTheme="minorBidi" w:hAnsiTheme="minorBidi"/>
          <w:u w:val="dotted"/>
        </w:rPr>
      </w:pPr>
      <w:r w:rsidRPr="00610B51">
        <w:rPr>
          <w:rFonts w:asciiTheme="minorBidi" w:hAnsiTheme="minorBidi" w:hint="cs"/>
          <w:u w:val="dotted"/>
          <w:rtl/>
        </w:rPr>
        <w:t>ומה הדין בדליים שאינם קבועים בבור:</w:t>
      </w:r>
    </w:p>
    <w:p w14:paraId="6D98690A" w14:textId="6786B9C5" w:rsidR="00610B51" w:rsidRPr="00610B51" w:rsidRDefault="00610B51" w:rsidP="00434A6A">
      <w:pPr>
        <w:pStyle w:val="aa"/>
        <w:numPr>
          <w:ilvl w:val="0"/>
          <w:numId w:val="32"/>
        </w:numPr>
        <w:rPr>
          <w:rFonts w:asciiTheme="minorBidi" w:hAnsiTheme="minorBidi"/>
          <w:rtl/>
        </w:rPr>
      </w:pPr>
      <w:r w:rsidRPr="00610B51">
        <w:rPr>
          <w:rFonts w:asciiTheme="minorBidi" w:hAnsiTheme="minorBidi" w:cs="Arial"/>
          <w:rtl/>
        </w:rPr>
        <w:t xml:space="preserve">רשב"א </w:t>
      </w:r>
      <w:r w:rsidRPr="00610B51">
        <w:rPr>
          <w:rFonts w:asciiTheme="minorBidi" w:hAnsiTheme="minorBidi" w:cs="Arial"/>
          <w:sz w:val="16"/>
          <w:szCs w:val="16"/>
          <w:rtl/>
        </w:rPr>
        <w:t>(קיג. ד"ה מתני'</w:t>
      </w:r>
      <w:r>
        <w:rPr>
          <w:rFonts w:asciiTheme="minorBidi" w:hAnsiTheme="minorBidi" w:cs="Arial" w:hint="cs"/>
          <w:sz w:val="16"/>
          <w:szCs w:val="16"/>
          <w:rtl/>
        </w:rPr>
        <w:t xml:space="preserve">, </w:t>
      </w:r>
      <w:r w:rsidRPr="00610B51">
        <w:rPr>
          <w:rFonts w:asciiTheme="minorBidi" w:hAnsiTheme="minorBidi" w:cs="Arial" w:hint="cs"/>
          <w:sz w:val="16"/>
          <w:szCs w:val="16"/>
          <w:rtl/>
        </w:rPr>
        <w:t xml:space="preserve">והעתיקוהו </w:t>
      </w:r>
      <w:r w:rsidRPr="00610B51">
        <w:rPr>
          <w:rFonts w:asciiTheme="minorBidi" w:hAnsiTheme="minorBidi" w:cs="Arial"/>
          <w:sz w:val="16"/>
          <w:szCs w:val="16"/>
          <w:rtl/>
        </w:rPr>
        <w:t>הה</w:t>
      </w:r>
      <w:r w:rsidRPr="00610B51">
        <w:rPr>
          <w:rFonts w:asciiTheme="minorBidi" w:hAnsiTheme="minorBidi" w:cs="Arial" w:hint="cs"/>
          <w:sz w:val="16"/>
          <w:szCs w:val="16"/>
          <w:rtl/>
        </w:rPr>
        <w:t>"</w:t>
      </w:r>
      <w:r w:rsidRPr="00610B51">
        <w:rPr>
          <w:rFonts w:asciiTheme="minorBidi" w:hAnsiTheme="minorBidi" w:cs="Arial"/>
          <w:sz w:val="16"/>
          <w:szCs w:val="16"/>
          <w:rtl/>
        </w:rPr>
        <w:t xml:space="preserve">מ </w:t>
      </w:r>
      <w:r>
        <w:rPr>
          <w:rFonts w:asciiTheme="minorBidi" w:hAnsiTheme="minorBidi" w:cs="Arial" w:hint="cs"/>
          <w:sz w:val="16"/>
          <w:szCs w:val="16"/>
          <w:rtl/>
        </w:rPr>
        <w:t>[</w:t>
      </w:r>
      <w:r w:rsidRPr="00610B51">
        <w:rPr>
          <w:rFonts w:asciiTheme="minorBidi" w:hAnsiTheme="minorBidi" w:cs="Arial"/>
          <w:sz w:val="16"/>
          <w:szCs w:val="16"/>
          <w:rtl/>
        </w:rPr>
        <w:t>פ</w:t>
      </w:r>
      <w:r w:rsidRPr="00610B51">
        <w:rPr>
          <w:rFonts w:asciiTheme="minorBidi" w:hAnsiTheme="minorBidi" w:cs="Arial" w:hint="cs"/>
          <w:sz w:val="16"/>
          <w:szCs w:val="16"/>
          <w:rtl/>
        </w:rPr>
        <w:t>"</w:t>
      </w:r>
      <w:r w:rsidRPr="00610B51">
        <w:rPr>
          <w:rFonts w:asciiTheme="minorBidi" w:hAnsiTheme="minorBidi" w:cs="Arial"/>
          <w:sz w:val="16"/>
          <w:szCs w:val="16"/>
          <w:rtl/>
        </w:rPr>
        <w:t>י ה"ג ד"ה וקושרין דלי</w:t>
      </w:r>
      <w:r>
        <w:rPr>
          <w:rFonts w:asciiTheme="minorBidi" w:hAnsiTheme="minorBidi" w:cs="Arial" w:hint="cs"/>
          <w:sz w:val="16"/>
          <w:szCs w:val="16"/>
          <w:rtl/>
        </w:rPr>
        <w:t>]</w:t>
      </w:r>
      <w:r w:rsidRPr="00610B51">
        <w:rPr>
          <w:rFonts w:asciiTheme="minorBidi" w:hAnsiTheme="minorBidi" w:cs="Arial"/>
          <w:sz w:val="16"/>
          <w:szCs w:val="16"/>
          <w:rtl/>
        </w:rPr>
        <w:t xml:space="preserve"> הר"ן </w:t>
      </w:r>
      <w:r>
        <w:rPr>
          <w:rFonts w:asciiTheme="minorBidi" w:hAnsiTheme="minorBidi" w:cs="Arial" w:hint="cs"/>
          <w:sz w:val="16"/>
          <w:szCs w:val="16"/>
          <w:rtl/>
        </w:rPr>
        <w:t>[</w:t>
      </w:r>
      <w:r w:rsidRPr="00610B51">
        <w:rPr>
          <w:rFonts w:asciiTheme="minorBidi" w:hAnsiTheme="minorBidi" w:cs="Arial"/>
          <w:sz w:val="16"/>
          <w:szCs w:val="16"/>
          <w:rtl/>
        </w:rPr>
        <w:t>מא. ד"ה וכתבו</w:t>
      </w:r>
      <w:r>
        <w:rPr>
          <w:rFonts w:asciiTheme="minorBidi" w:hAnsiTheme="minorBidi" w:cs="Arial" w:hint="cs"/>
          <w:sz w:val="16"/>
          <w:szCs w:val="16"/>
          <w:rtl/>
        </w:rPr>
        <w:t>]</w:t>
      </w:r>
      <w:r w:rsidRPr="00610B51">
        <w:rPr>
          <w:rFonts w:asciiTheme="minorBidi" w:hAnsiTheme="minorBidi" w:cs="Arial"/>
          <w:sz w:val="16"/>
          <w:szCs w:val="16"/>
          <w:rtl/>
        </w:rPr>
        <w:t xml:space="preserve"> ור</w:t>
      </w:r>
      <w:r w:rsidRPr="00610B51">
        <w:rPr>
          <w:rFonts w:asciiTheme="minorBidi" w:hAnsiTheme="minorBidi" w:cs="Arial" w:hint="cs"/>
          <w:sz w:val="16"/>
          <w:szCs w:val="16"/>
          <w:rtl/>
        </w:rPr>
        <w:t>י"ו</w:t>
      </w:r>
      <w:r w:rsidRPr="00610B51">
        <w:rPr>
          <w:rFonts w:asciiTheme="minorBidi" w:hAnsiTheme="minorBidi" w:cs="Arial"/>
          <w:sz w:val="16"/>
          <w:szCs w:val="16"/>
          <w:rtl/>
        </w:rPr>
        <w:t xml:space="preserve"> </w:t>
      </w:r>
      <w:r>
        <w:rPr>
          <w:rFonts w:asciiTheme="minorBidi" w:hAnsiTheme="minorBidi" w:cs="Arial" w:hint="cs"/>
          <w:sz w:val="16"/>
          <w:szCs w:val="16"/>
          <w:rtl/>
        </w:rPr>
        <w:t>[</w:t>
      </w:r>
      <w:r w:rsidRPr="00610B51">
        <w:rPr>
          <w:rFonts w:asciiTheme="minorBidi" w:hAnsiTheme="minorBidi" w:cs="Arial" w:hint="cs"/>
          <w:sz w:val="16"/>
          <w:szCs w:val="16"/>
          <w:rtl/>
        </w:rPr>
        <w:t>ח</w:t>
      </w:r>
      <w:r w:rsidRPr="00610B51">
        <w:rPr>
          <w:rFonts w:asciiTheme="minorBidi" w:hAnsiTheme="minorBidi" w:cs="Arial"/>
          <w:sz w:val="16"/>
          <w:szCs w:val="16"/>
          <w:rtl/>
        </w:rPr>
        <w:t>י"ד שם</w:t>
      </w:r>
      <w:r>
        <w:rPr>
          <w:rFonts w:asciiTheme="minorBidi" w:hAnsiTheme="minorBidi" w:cs="Arial" w:hint="cs"/>
          <w:sz w:val="16"/>
          <w:szCs w:val="16"/>
          <w:rtl/>
        </w:rPr>
        <w:t>]</w:t>
      </w:r>
      <w:r w:rsidRPr="00610B51">
        <w:rPr>
          <w:rFonts w:asciiTheme="minorBidi" w:hAnsiTheme="minorBidi" w:cs="Arial"/>
          <w:sz w:val="16"/>
          <w:szCs w:val="16"/>
          <w:rtl/>
        </w:rPr>
        <w:t>)</w:t>
      </w:r>
      <w:r>
        <w:rPr>
          <w:rFonts w:asciiTheme="minorBidi" w:hAnsiTheme="minorBidi" w:cs="Arial" w:hint="cs"/>
          <w:rtl/>
        </w:rPr>
        <w:t xml:space="preserve">- </w:t>
      </w:r>
      <w:r w:rsidRPr="00610B51">
        <w:rPr>
          <w:rFonts w:asciiTheme="minorBidi" w:hAnsiTheme="minorBidi" w:cs="Arial"/>
          <w:rtl/>
        </w:rPr>
        <w:t>כתבו בתוספות דלא מיירי בדליים שלנו שאינם קבועים בבור אלא בדליים הקבועים, אבל שלנו אפילו חבל דעלמא דלאו דגרדי אינו קשר של קיימא כיון דאינו עשוי לעמוד שם זמן מרובה</w:t>
      </w:r>
      <w:r>
        <w:rPr>
          <w:rFonts w:asciiTheme="minorBidi" w:hAnsiTheme="minorBidi" w:cs="Arial" w:hint="cs"/>
          <w:rtl/>
        </w:rPr>
        <w:t>.</w:t>
      </w:r>
      <w:r w:rsidRPr="00610B51">
        <w:rPr>
          <w:rFonts w:asciiTheme="minorBidi" w:hAnsiTheme="minorBidi" w:hint="cs"/>
          <w:color w:val="E36C0A" w:themeColor="accent6" w:themeShade="BF"/>
          <w:rtl/>
        </w:rPr>
        <w:t xml:space="preserve"> </w:t>
      </w:r>
      <w:r w:rsidRPr="002C1339">
        <w:rPr>
          <w:rFonts w:asciiTheme="minorBidi" w:hAnsiTheme="minorBidi" w:hint="cs"/>
          <w:color w:val="E36C0A" w:themeColor="accent6" w:themeShade="BF"/>
          <w:rtl/>
        </w:rPr>
        <w:t>(וכ"פ בשו"ע)</w:t>
      </w:r>
    </w:p>
    <w:p w14:paraId="335F67BD" w14:textId="77777777" w:rsidR="005022B5" w:rsidRPr="005275DF" w:rsidRDefault="005022B5" w:rsidP="00434A6A">
      <w:pPr>
        <w:rPr>
          <w:rFonts w:asciiTheme="minorBidi" w:hAnsiTheme="minorBidi"/>
          <w:rtl/>
        </w:rPr>
      </w:pPr>
      <w:r w:rsidRPr="005275DF">
        <w:rPr>
          <w:rFonts w:asciiTheme="minorBidi" w:hAnsiTheme="minorBidi"/>
          <w:b/>
          <w:bCs/>
          <w:sz w:val="32"/>
          <w:szCs w:val="28"/>
          <w:u w:val="single"/>
          <w:rtl/>
        </w:rPr>
        <w:t xml:space="preserve">שו"ע: </w:t>
      </w:r>
    </w:p>
    <w:p w14:paraId="6E1B819E" w14:textId="6EDF64C8" w:rsidR="005022B5" w:rsidRPr="005275DF" w:rsidRDefault="005022B5" w:rsidP="00434A6A">
      <w:pPr>
        <w:rPr>
          <w:rFonts w:asciiTheme="minorBidi" w:hAnsiTheme="minorBidi"/>
          <w:rtl/>
        </w:rPr>
      </w:pPr>
      <w:r w:rsidRPr="005275DF">
        <w:rPr>
          <w:rFonts w:asciiTheme="minorBidi" w:hAnsiTheme="minorBidi"/>
          <w:rtl/>
        </w:rPr>
        <w:t>קושרין דלי במשיחה או ב</w:t>
      </w:r>
      <w:r w:rsidR="00144ECF" w:rsidRPr="005275DF">
        <w:rPr>
          <w:rFonts w:asciiTheme="minorBidi" w:hAnsiTheme="minorBidi"/>
          <w:rtl/>
        </w:rPr>
        <w:t>אבנט וכיוצא בו</w:t>
      </w:r>
      <w:r w:rsidR="00531AAB" w:rsidRPr="005275DF">
        <w:rPr>
          <w:rStyle w:val="a9"/>
          <w:rFonts w:asciiTheme="minorBidi" w:hAnsiTheme="minorBidi"/>
          <w:rtl/>
        </w:rPr>
        <w:footnoteReference w:id="2606"/>
      </w:r>
      <w:r w:rsidR="00823D80">
        <w:rPr>
          <w:rFonts w:asciiTheme="minorBidi" w:hAnsiTheme="minorBidi" w:hint="cs"/>
          <w:rtl/>
        </w:rPr>
        <w:t>,</w:t>
      </w:r>
      <w:r w:rsidR="00144ECF" w:rsidRPr="005275DF">
        <w:rPr>
          <w:rFonts w:asciiTheme="minorBidi" w:hAnsiTheme="minorBidi"/>
          <w:rtl/>
        </w:rPr>
        <w:t xml:space="preserve"> אבל לא בחבל</w:t>
      </w:r>
      <w:r w:rsidR="00823D80">
        <w:rPr>
          <w:rFonts w:asciiTheme="minorBidi" w:hAnsiTheme="minorBidi" w:hint="cs"/>
          <w:rtl/>
        </w:rPr>
        <w:t>.</w:t>
      </w:r>
      <w:r w:rsidR="00144ECF" w:rsidRPr="005275DF">
        <w:rPr>
          <w:rFonts w:asciiTheme="minorBidi" w:hAnsiTheme="minorBidi"/>
          <w:rtl/>
        </w:rPr>
        <w:t xml:space="preserve"> והני </w:t>
      </w:r>
      <w:r w:rsidRPr="005275DF">
        <w:rPr>
          <w:rFonts w:asciiTheme="minorBidi" w:hAnsiTheme="minorBidi"/>
          <w:rtl/>
        </w:rPr>
        <w:t>מ</w:t>
      </w:r>
      <w:r w:rsidR="00144ECF" w:rsidRPr="005275DF">
        <w:rPr>
          <w:rFonts w:asciiTheme="minorBidi" w:hAnsiTheme="minorBidi"/>
          <w:rtl/>
        </w:rPr>
        <w:t>ילי</w:t>
      </w:r>
      <w:r w:rsidR="00E859FB" w:rsidRPr="005275DF">
        <w:rPr>
          <w:rFonts w:asciiTheme="minorBidi" w:hAnsiTheme="minorBidi"/>
          <w:rtl/>
        </w:rPr>
        <w:t xml:space="preserve"> בדליים הקבועים בבור</w:t>
      </w:r>
      <w:r w:rsidR="00610B51">
        <w:rPr>
          <w:rFonts w:asciiTheme="minorBidi" w:hAnsiTheme="minorBidi" w:hint="cs"/>
          <w:rtl/>
        </w:rPr>
        <w:t>,</w:t>
      </w:r>
      <w:r w:rsidRPr="005275DF">
        <w:rPr>
          <w:rFonts w:asciiTheme="minorBidi" w:hAnsiTheme="minorBidi"/>
          <w:rtl/>
        </w:rPr>
        <w:t xml:space="preserve"> אבל דליים שלנו שאינם קבועים בבור אינו קשר של קיימא. </w:t>
      </w:r>
    </w:p>
    <w:p w14:paraId="304880F0" w14:textId="77777777" w:rsidR="005022B5" w:rsidRPr="005275DF" w:rsidRDefault="005022B5" w:rsidP="00434A6A">
      <w:pPr>
        <w:rPr>
          <w:rFonts w:asciiTheme="minorBidi" w:hAnsiTheme="minorBidi"/>
          <w:rtl/>
        </w:rPr>
      </w:pPr>
    </w:p>
    <w:p w14:paraId="68873873" w14:textId="77777777" w:rsidR="005022B5" w:rsidRPr="005275DF" w:rsidRDefault="005022B5" w:rsidP="00434A6A">
      <w:pPr>
        <w:pStyle w:val="2"/>
        <w:rPr>
          <w:rFonts w:asciiTheme="minorBidi" w:hAnsiTheme="minorBidi" w:cstheme="minorBidi"/>
          <w:rtl/>
        </w:rPr>
      </w:pPr>
      <w:r w:rsidRPr="005275DF">
        <w:rPr>
          <w:rFonts w:asciiTheme="minorBidi" w:hAnsiTheme="minorBidi" w:cstheme="minorBidi"/>
          <w:rtl/>
        </w:rPr>
        <w:t>סעיף ה</w:t>
      </w:r>
      <w:r w:rsidR="007F282E" w:rsidRPr="005275DF">
        <w:rPr>
          <w:rFonts w:asciiTheme="minorBidi" w:hAnsiTheme="minorBidi" w:cstheme="minorBidi"/>
          <w:rtl/>
        </w:rPr>
        <w:t>:</w:t>
      </w:r>
      <w:r w:rsidR="00CD6EB5" w:rsidRPr="005275DF">
        <w:rPr>
          <w:rFonts w:asciiTheme="minorBidi" w:hAnsiTheme="minorBidi" w:cstheme="minorBidi"/>
          <w:rtl/>
        </w:rPr>
        <w:t xml:space="preserve"> קשר עניבה.</w:t>
      </w:r>
    </w:p>
    <w:p w14:paraId="268D75A3" w14:textId="215F30BA" w:rsidR="007F282E" w:rsidRDefault="007F282E" w:rsidP="00434A6A">
      <w:pPr>
        <w:rPr>
          <w:rFonts w:asciiTheme="minorBidi" w:hAnsiTheme="minorBidi"/>
          <w:rtl/>
        </w:rPr>
      </w:pPr>
      <w:r w:rsidRPr="005275DF">
        <w:rPr>
          <w:rFonts w:asciiTheme="minorBidi" w:hAnsiTheme="minorBidi"/>
          <w:b/>
          <w:bCs/>
          <w:rtl/>
        </w:rPr>
        <w:t xml:space="preserve">שבת </w:t>
      </w:r>
      <w:r w:rsidR="00E079D3">
        <w:rPr>
          <w:rFonts w:asciiTheme="minorBidi" w:hAnsiTheme="minorBidi" w:hint="cs"/>
          <w:b/>
          <w:bCs/>
          <w:sz w:val="16"/>
          <w:szCs w:val="16"/>
          <w:rtl/>
        </w:rPr>
        <w:t xml:space="preserve">(פ' אלו קשרים) </w:t>
      </w:r>
      <w:r w:rsidRPr="005275DF">
        <w:rPr>
          <w:rFonts w:asciiTheme="minorBidi" w:hAnsiTheme="minorBidi"/>
          <w:b/>
          <w:bCs/>
          <w:rtl/>
        </w:rPr>
        <w:t>קיג ע"א:</w:t>
      </w:r>
      <w:r w:rsidRPr="005275DF">
        <w:rPr>
          <w:rFonts w:asciiTheme="minorBidi" w:hAnsiTheme="minorBidi"/>
          <w:rtl/>
        </w:rPr>
        <w:t xml:space="preserve"> חבל דלי שנפסק</w:t>
      </w:r>
      <w:r w:rsidRPr="005275DF">
        <w:rPr>
          <w:rStyle w:val="a9"/>
          <w:rFonts w:asciiTheme="minorBidi" w:hAnsiTheme="minorBidi"/>
          <w:rtl/>
        </w:rPr>
        <w:footnoteReference w:id="2607"/>
      </w:r>
      <w:r w:rsidRPr="005275DF">
        <w:rPr>
          <w:rFonts w:asciiTheme="minorBidi" w:hAnsiTheme="minorBidi"/>
          <w:rtl/>
        </w:rPr>
        <w:t xml:space="preserve"> לא יהא קושרו</w:t>
      </w:r>
      <w:r w:rsidRPr="005275DF">
        <w:rPr>
          <w:rStyle w:val="a9"/>
          <w:rFonts w:asciiTheme="minorBidi" w:hAnsiTheme="minorBidi"/>
          <w:rtl/>
        </w:rPr>
        <w:footnoteReference w:id="2608"/>
      </w:r>
      <w:r w:rsidRPr="005275DF">
        <w:rPr>
          <w:rFonts w:asciiTheme="minorBidi" w:hAnsiTheme="minorBidi"/>
          <w:rtl/>
        </w:rPr>
        <w:t xml:space="preserve"> אלא עונבו, </w:t>
      </w:r>
      <w:r w:rsidRPr="005275DF">
        <w:rPr>
          <w:rFonts w:asciiTheme="minorBidi" w:hAnsiTheme="minorBidi"/>
          <w:u w:val="single"/>
          <w:rtl/>
        </w:rPr>
        <w:t>ורבי יהודה אומר</w:t>
      </w:r>
      <w:r w:rsidRPr="005275DF">
        <w:rPr>
          <w:rFonts w:asciiTheme="minorBidi" w:hAnsiTheme="minorBidi"/>
          <w:rtl/>
        </w:rPr>
        <w:t>: כורך עליו פונדא או פסקיא</w:t>
      </w:r>
      <w:r w:rsidRPr="005275DF">
        <w:rPr>
          <w:rStyle w:val="a9"/>
          <w:rFonts w:asciiTheme="minorBidi" w:hAnsiTheme="minorBidi"/>
          <w:rtl/>
        </w:rPr>
        <w:footnoteReference w:id="2609"/>
      </w:r>
      <w:r w:rsidRPr="005275DF">
        <w:rPr>
          <w:rFonts w:asciiTheme="minorBidi" w:hAnsiTheme="minorBidi"/>
          <w:rtl/>
        </w:rPr>
        <w:t xml:space="preserve"> ובלבד שלא יענבנו</w:t>
      </w:r>
      <w:r w:rsidRPr="005275DF">
        <w:rPr>
          <w:rStyle w:val="a9"/>
          <w:rFonts w:asciiTheme="minorBidi" w:hAnsiTheme="minorBidi"/>
          <w:rtl/>
        </w:rPr>
        <w:footnoteReference w:id="2610"/>
      </w:r>
      <w:r w:rsidRPr="005275DF">
        <w:rPr>
          <w:rFonts w:asciiTheme="minorBidi" w:hAnsiTheme="minorBidi"/>
          <w:rtl/>
        </w:rPr>
        <w:t>.</w:t>
      </w:r>
      <w:r w:rsidR="00CD6EB5" w:rsidRPr="005275DF">
        <w:rPr>
          <w:rFonts w:asciiTheme="minorBidi" w:hAnsiTheme="minorBidi"/>
          <w:rtl/>
        </w:rPr>
        <w:t>...  עניבה גופה קשירה היא.</w:t>
      </w:r>
      <w:r w:rsidR="00E079D3">
        <w:rPr>
          <w:rFonts w:asciiTheme="minorBidi" w:hAnsiTheme="minorBidi" w:hint="cs"/>
          <w:rtl/>
        </w:rPr>
        <w:t xml:space="preserve"> </w:t>
      </w:r>
    </w:p>
    <w:p w14:paraId="5D04AB35" w14:textId="77777777" w:rsidR="00E079D3" w:rsidRDefault="00E079D3" w:rsidP="00434A6A">
      <w:pPr>
        <w:rPr>
          <w:rFonts w:asciiTheme="minorBidi" w:hAnsiTheme="minorBidi" w:cs="Arial"/>
          <w:rtl/>
        </w:rPr>
      </w:pPr>
      <w:r w:rsidRPr="009C6006">
        <w:rPr>
          <w:rFonts w:asciiTheme="minorBidi" w:hAnsiTheme="minorBidi" w:cs="Arial" w:hint="cs"/>
          <w:u w:val="single"/>
          <w:rtl/>
        </w:rPr>
        <w:t>קשר עניבה:</w:t>
      </w:r>
    </w:p>
    <w:p w14:paraId="172903B9" w14:textId="77777777" w:rsidR="00E079D3" w:rsidRPr="00897275" w:rsidRDefault="00E079D3" w:rsidP="00434A6A">
      <w:pPr>
        <w:pStyle w:val="aa"/>
        <w:numPr>
          <w:ilvl w:val="0"/>
          <w:numId w:val="32"/>
        </w:numPr>
        <w:rPr>
          <w:rFonts w:asciiTheme="minorBidi" w:hAnsiTheme="minorBidi"/>
        </w:rPr>
      </w:pPr>
      <w:r>
        <w:rPr>
          <w:rFonts w:asciiTheme="minorBidi" w:hAnsiTheme="minorBidi" w:cs="Arial" w:hint="cs"/>
          <w:rtl/>
        </w:rPr>
        <w:t xml:space="preserve">טור- </w:t>
      </w:r>
      <w:r w:rsidRPr="00D9457B">
        <w:rPr>
          <w:rFonts w:asciiTheme="minorBidi" w:hAnsiTheme="minorBidi" w:cs="Arial"/>
          <w:rtl/>
        </w:rPr>
        <w:t xml:space="preserve">ועניבה מותר </w:t>
      </w:r>
      <w:r>
        <w:rPr>
          <w:rFonts w:asciiTheme="minorBidi" w:hAnsiTheme="minorBidi" w:cs="Arial" w:hint="cs"/>
          <w:sz w:val="16"/>
          <w:szCs w:val="16"/>
          <w:rtl/>
        </w:rPr>
        <w:t xml:space="preserve">{לקשור דלי לבור} </w:t>
      </w:r>
      <w:r w:rsidRPr="00D9457B">
        <w:rPr>
          <w:rFonts w:asciiTheme="minorBidi" w:hAnsiTheme="minorBidi" w:cs="Arial"/>
          <w:rtl/>
        </w:rPr>
        <w:t>אף בחבל דעלמא</w:t>
      </w:r>
      <w:r>
        <w:rPr>
          <w:rFonts w:asciiTheme="minorBidi" w:hAnsiTheme="minorBidi" w:cs="Arial" w:hint="cs"/>
          <w:rtl/>
        </w:rPr>
        <w:t>,</w:t>
      </w:r>
      <w:r w:rsidRPr="00D9457B">
        <w:rPr>
          <w:rFonts w:asciiTheme="minorBidi" w:hAnsiTheme="minorBidi" w:cs="Arial"/>
          <w:rtl/>
        </w:rPr>
        <w:t xml:space="preserve"> דלאו קשירה הוא</w:t>
      </w:r>
      <w:r>
        <w:rPr>
          <w:rStyle w:val="a9"/>
          <w:rFonts w:asciiTheme="minorBidi" w:hAnsiTheme="minorBidi" w:cs="Arial"/>
          <w:rtl/>
        </w:rPr>
        <w:footnoteReference w:id="2611"/>
      </w:r>
      <w:r>
        <w:rPr>
          <w:rFonts w:asciiTheme="minorBidi" w:hAnsiTheme="minorBidi" w:cs="Arial" w:hint="cs"/>
          <w:rtl/>
        </w:rPr>
        <w:t>.</w:t>
      </w:r>
      <w:r w:rsidRPr="00D9457B">
        <w:rPr>
          <w:rFonts w:asciiTheme="minorBidi" w:hAnsiTheme="minorBidi" w:cs="Arial"/>
          <w:rtl/>
        </w:rPr>
        <w:t xml:space="preserve"> </w:t>
      </w:r>
      <w:r w:rsidRPr="002C1339">
        <w:rPr>
          <w:rFonts w:asciiTheme="minorBidi" w:hAnsiTheme="minorBidi" w:hint="cs"/>
          <w:color w:val="E36C0A" w:themeColor="accent6" w:themeShade="BF"/>
          <w:rtl/>
        </w:rPr>
        <w:t>(וכ"פ בשו"ע)</w:t>
      </w:r>
    </w:p>
    <w:p w14:paraId="1B80802A" w14:textId="77777777" w:rsidR="00E079D3" w:rsidRPr="00240A66" w:rsidRDefault="00E079D3" w:rsidP="00434A6A">
      <w:pPr>
        <w:ind w:left="360"/>
        <w:rPr>
          <w:rFonts w:asciiTheme="minorBidi" w:hAnsiTheme="minorBidi"/>
          <w:u w:val="dotted"/>
        </w:rPr>
      </w:pPr>
      <w:r w:rsidRPr="00240A66">
        <w:rPr>
          <w:rFonts w:asciiTheme="minorBidi" w:hAnsiTheme="minorBidi" w:cs="Arial" w:hint="cs"/>
          <w:u w:val="dotted"/>
          <w:rtl/>
        </w:rPr>
        <w:t>מהו קשר עניבה:</w:t>
      </w:r>
      <w:r w:rsidRPr="00240A66">
        <w:rPr>
          <w:rFonts w:asciiTheme="minorBidi" w:hAnsiTheme="minorBidi" w:cs="Arial"/>
          <w:u w:val="dotted"/>
          <w:rtl/>
        </w:rPr>
        <w:t xml:space="preserve"> </w:t>
      </w:r>
    </w:p>
    <w:p w14:paraId="2BC18853" w14:textId="77777777" w:rsidR="00E079D3" w:rsidRPr="00240A66" w:rsidRDefault="00E079D3" w:rsidP="00434A6A">
      <w:pPr>
        <w:pStyle w:val="aa"/>
        <w:numPr>
          <w:ilvl w:val="0"/>
          <w:numId w:val="32"/>
        </w:numPr>
        <w:rPr>
          <w:rFonts w:asciiTheme="minorBidi" w:hAnsiTheme="minorBidi"/>
        </w:rPr>
      </w:pPr>
      <w:r w:rsidRPr="00A5011E">
        <w:rPr>
          <w:rFonts w:asciiTheme="minorBidi" w:hAnsiTheme="minorBidi" w:cs="Arial"/>
          <w:rtl/>
        </w:rPr>
        <w:t xml:space="preserve">ר"ת </w:t>
      </w:r>
      <w:r w:rsidRPr="00500B4C">
        <w:rPr>
          <w:rFonts w:asciiTheme="minorBidi" w:hAnsiTheme="minorBidi" w:cs="Arial"/>
          <w:sz w:val="16"/>
          <w:szCs w:val="16"/>
          <w:rtl/>
        </w:rPr>
        <w:t>(</w:t>
      </w:r>
      <w:r>
        <w:rPr>
          <w:rFonts w:asciiTheme="minorBidi" w:hAnsiTheme="minorBidi" w:cs="Arial" w:hint="cs"/>
          <w:sz w:val="16"/>
          <w:szCs w:val="16"/>
          <w:rtl/>
        </w:rPr>
        <w:t>כ"כ בשמו המרדכי [</w:t>
      </w:r>
      <w:r w:rsidRPr="00500B4C">
        <w:rPr>
          <w:rFonts w:asciiTheme="minorBidi" w:hAnsiTheme="minorBidi" w:cs="Arial" w:hint="cs"/>
          <w:sz w:val="16"/>
          <w:szCs w:val="16"/>
          <w:rtl/>
        </w:rPr>
        <w:t xml:space="preserve">הלכות קטנות מסכת מנחות הל' ציצית </w:t>
      </w:r>
      <w:r w:rsidRPr="00500B4C">
        <w:rPr>
          <w:rFonts w:asciiTheme="minorBidi" w:hAnsiTheme="minorBidi" w:cs="Arial"/>
          <w:sz w:val="16"/>
          <w:szCs w:val="16"/>
          <w:rtl/>
        </w:rPr>
        <w:t>סי' תתקמ</w:t>
      </w:r>
      <w:r>
        <w:rPr>
          <w:rFonts w:asciiTheme="minorBidi" w:hAnsiTheme="minorBidi" w:cs="Arial" w:hint="cs"/>
          <w:sz w:val="16"/>
          <w:szCs w:val="16"/>
          <w:rtl/>
        </w:rPr>
        <w:t>]</w:t>
      </w:r>
      <w:r w:rsidRPr="00500B4C">
        <w:rPr>
          <w:rFonts w:asciiTheme="minorBidi" w:hAnsiTheme="minorBidi" w:cs="Arial"/>
          <w:sz w:val="16"/>
          <w:szCs w:val="16"/>
          <w:rtl/>
        </w:rPr>
        <w:t>)</w:t>
      </w:r>
      <w:r>
        <w:rPr>
          <w:rFonts w:asciiTheme="minorBidi" w:hAnsiTheme="minorBidi" w:cs="Arial" w:hint="cs"/>
          <w:rtl/>
        </w:rPr>
        <w:t xml:space="preserve">- </w:t>
      </w:r>
      <w:r w:rsidRPr="00A5011E">
        <w:rPr>
          <w:rFonts w:asciiTheme="minorBidi" w:hAnsiTheme="minorBidi" w:cs="Arial"/>
          <w:rtl/>
        </w:rPr>
        <w:t>עניבה שמכניס ב' ראשי החתיכות בנקב באמצעיתו ואם היה רוצה להתירו מושך ב' ראשי החבל</w:t>
      </w:r>
      <w:r>
        <w:rPr>
          <w:rFonts w:asciiTheme="minorBidi" w:hAnsiTheme="minorBidi" w:cs="Arial" w:hint="cs"/>
          <w:rtl/>
        </w:rPr>
        <w:t>,</w:t>
      </w:r>
      <w:r w:rsidRPr="00A5011E">
        <w:rPr>
          <w:rFonts w:asciiTheme="minorBidi" w:hAnsiTheme="minorBidi" w:cs="Arial"/>
          <w:rtl/>
        </w:rPr>
        <w:t xml:space="preserve"> ואם היה מעביר הראשים לגמרי דרך הנקב היה קשר גמור אע</w:t>
      </w:r>
      <w:r>
        <w:rPr>
          <w:rFonts w:asciiTheme="minorBidi" w:hAnsiTheme="minorBidi" w:cs="Arial" w:hint="cs"/>
          <w:rtl/>
        </w:rPr>
        <w:t>"</w:t>
      </w:r>
      <w:r w:rsidRPr="00A5011E">
        <w:rPr>
          <w:rFonts w:asciiTheme="minorBidi" w:hAnsiTheme="minorBidi" w:cs="Arial"/>
          <w:rtl/>
        </w:rPr>
        <w:t>ג דליכא אלא חד קשר</w:t>
      </w:r>
      <w:r>
        <w:rPr>
          <w:rFonts w:asciiTheme="minorBidi" w:hAnsiTheme="minorBidi" w:cs="Arial" w:hint="cs"/>
          <w:sz w:val="16"/>
          <w:szCs w:val="16"/>
          <w:rtl/>
        </w:rPr>
        <w:t xml:space="preserve"> (ל' המרדכי בשמו)</w:t>
      </w:r>
      <w:r>
        <w:rPr>
          <w:rFonts w:asciiTheme="minorBidi" w:hAnsiTheme="minorBidi" w:cs="Arial" w:hint="cs"/>
          <w:rtl/>
        </w:rPr>
        <w:t>.</w:t>
      </w:r>
    </w:p>
    <w:p w14:paraId="3A97B36A" w14:textId="26F531BB" w:rsidR="00E079D3" w:rsidRPr="00C619B4" w:rsidRDefault="00E079D3" w:rsidP="00434A6A">
      <w:pPr>
        <w:pStyle w:val="aa"/>
        <w:numPr>
          <w:ilvl w:val="0"/>
          <w:numId w:val="32"/>
        </w:numPr>
        <w:rPr>
          <w:rFonts w:asciiTheme="minorBidi" w:hAnsiTheme="minorBidi"/>
          <w:rtl/>
        </w:rPr>
      </w:pPr>
      <w:r w:rsidRPr="00A5011E">
        <w:rPr>
          <w:rFonts w:asciiTheme="minorBidi" w:hAnsiTheme="minorBidi" w:cs="Arial"/>
          <w:rtl/>
        </w:rPr>
        <w:t>ר"צ</w:t>
      </w:r>
      <w:r>
        <w:rPr>
          <w:rFonts w:asciiTheme="minorBidi" w:hAnsiTheme="minorBidi" w:cs="Arial" w:hint="cs"/>
          <w:rtl/>
        </w:rPr>
        <w:t xml:space="preserve"> </w:t>
      </w:r>
      <w:r w:rsidRPr="00500B4C">
        <w:rPr>
          <w:rFonts w:asciiTheme="minorBidi" w:hAnsiTheme="minorBidi" w:cs="Arial"/>
          <w:sz w:val="16"/>
          <w:szCs w:val="16"/>
          <w:rtl/>
        </w:rPr>
        <w:t>(</w:t>
      </w:r>
      <w:r>
        <w:rPr>
          <w:rFonts w:asciiTheme="minorBidi" w:hAnsiTheme="minorBidi" w:cs="Arial" w:hint="cs"/>
          <w:sz w:val="16"/>
          <w:szCs w:val="16"/>
          <w:rtl/>
        </w:rPr>
        <w:t>כ"כ בשמו המרדכי [שם]</w:t>
      </w:r>
      <w:r w:rsidRPr="00500B4C">
        <w:rPr>
          <w:rFonts w:asciiTheme="minorBidi" w:hAnsiTheme="minorBidi" w:cs="Arial"/>
          <w:sz w:val="16"/>
          <w:szCs w:val="16"/>
          <w:rtl/>
        </w:rPr>
        <w:t>)</w:t>
      </w:r>
      <w:r>
        <w:rPr>
          <w:rFonts w:asciiTheme="minorBidi" w:hAnsiTheme="minorBidi" w:cs="Arial" w:hint="cs"/>
          <w:rtl/>
        </w:rPr>
        <w:t>-</w:t>
      </w:r>
      <w:r w:rsidRPr="00A5011E">
        <w:rPr>
          <w:rFonts w:asciiTheme="minorBidi" w:hAnsiTheme="minorBidi" w:cs="Arial"/>
          <w:rtl/>
        </w:rPr>
        <w:t xml:space="preserve"> שקשר ראשי הרצועות יחד קשר גמור</w:t>
      </w:r>
      <w:r>
        <w:rPr>
          <w:rFonts w:asciiTheme="minorBidi" w:hAnsiTheme="minorBidi" w:cs="Arial" w:hint="cs"/>
          <w:rtl/>
        </w:rPr>
        <w:t>,</w:t>
      </w:r>
      <w:r w:rsidRPr="00A5011E">
        <w:rPr>
          <w:rFonts w:asciiTheme="minorBidi" w:hAnsiTheme="minorBidi" w:cs="Arial"/>
          <w:rtl/>
        </w:rPr>
        <w:t xml:space="preserve"> שהעבירו דרך הנקב מכאן ומכאן</w:t>
      </w:r>
      <w:r>
        <w:rPr>
          <w:rFonts w:asciiTheme="minorBidi" w:hAnsiTheme="minorBidi" w:cs="Arial" w:hint="cs"/>
          <w:rtl/>
        </w:rPr>
        <w:t>,</w:t>
      </w:r>
      <w:r w:rsidRPr="00A5011E">
        <w:rPr>
          <w:rFonts w:asciiTheme="minorBidi" w:hAnsiTheme="minorBidi" w:cs="Arial"/>
          <w:rtl/>
        </w:rPr>
        <w:t xml:space="preserve"> ואח"כ קשר שני העביר קצת ממנו דרך הנקב</w:t>
      </w:r>
      <w:r>
        <w:rPr>
          <w:rStyle w:val="a9"/>
          <w:rFonts w:asciiTheme="minorBidi" w:hAnsiTheme="minorBidi" w:cs="Arial"/>
          <w:rtl/>
        </w:rPr>
        <w:footnoteReference w:id="2612"/>
      </w:r>
      <w:r>
        <w:rPr>
          <w:rFonts w:asciiTheme="minorBidi" w:hAnsiTheme="minorBidi" w:cs="Arial" w:hint="cs"/>
          <w:rtl/>
        </w:rPr>
        <w:t>,</w:t>
      </w:r>
      <w:r w:rsidRPr="00A5011E">
        <w:rPr>
          <w:rFonts w:asciiTheme="minorBidi" w:hAnsiTheme="minorBidi" w:cs="Arial"/>
          <w:rtl/>
        </w:rPr>
        <w:t xml:space="preserve"> ואם היה מעבירו לגמרי היה קשר גמור ב' פעמים כמו שאר קשרים</w:t>
      </w:r>
      <w:r>
        <w:rPr>
          <w:rFonts w:asciiTheme="minorBidi" w:hAnsiTheme="minorBidi" w:cs="Arial" w:hint="cs"/>
          <w:rtl/>
        </w:rPr>
        <w:t xml:space="preserve"> </w:t>
      </w:r>
      <w:r>
        <w:rPr>
          <w:rFonts w:asciiTheme="minorBidi" w:hAnsiTheme="minorBidi" w:cs="Arial" w:hint="cs"/>
          <w:sz w:val="16"/>
          <w:szCs w:val="16"/>
          <w:rtl/>
        </w:rPr>
        <w:t>(ל' המרדכי בשמו)</w:t>
      </w:r>
      <w:r>
        <w:rPr>
          <w:rFonts w:asciiTheme="minorBidi" w:hAnsiTheme="minorBidi" w:hint="cs"/>
          <w:rtl/>
        </w:rPr>
        <w:t>.</w:t>
      </w:r>
      <w:r w:rsidR="00262C5D">
        <w:rPr>
          <w:rFonts w:asciiTheme="minorBidi" w:hAnsiTheme="minorBidi" w:hint="cs"/>
          <w:rtl/>
        </w:rPr>
        <w:t xml:space="preserve"> </w:t>
      </w:r>
      <w:r w:rsidR="00262C5D" w:rsidRPr="00262C5D">
        <w:rPr>
          <w:rFonts w:asciiTheme="minorBidi" w:hAnsiTheme="minorBidi" w:hint="cs"/>
          <w:color w:val="00B0F0"/>
          <w:rtl/>
        </w:rPr>
        <w:t>(וכ"פ הרמ"א)</w:t>
      </w:r>
    </w:p>
    <w:p w14:paraId="571F0B63" w14:textId="37993ABC" w:rsidR="00E079D3" w:rsidRPr="00E079D3" w:rsidRDefault="00E079D3" w:rsidP="00434A6A">
      <w:pPr>
        <w:pStyle w:val="aa"/>
        <w:numPr>
          <w:ilvl w:val="0"/>
          <w:numId w:val="32"/>
        </w:numPr>
        <w:rPr>
          <w:rFonts w:asciiTheme="minorBidi" w:hAnsiTheme="minorBidi" w:cs="Arial"/>
          <w:rtl/>
        </w:rPr>
      </w:pPr>
      <w:r w:rsidRPr="00D27272">
        <w:rPr>
          <w:rFonts w:asciiTheme="minorBidi" w:hAnsiTheme="minorBidi" w:hint="cs"/>
          <w:rtl/>
        </w:rPr>
        <w:t xml:space="preserve">מרדכי </w:t>
      </w:r>
      <w:r w:rsidRPr="00D27272">
        <w:rPr>
          <w:rFonts w:asciiTheme="minorBidi" w:hAnsiTheme="minorBidi" w:hint="cs"/>
          <w:sz w:val="16"/>
          <w:szCs w:val="16"/>
          <w:rtl/>
        </w:rPr>
        <w:t>(שבת סי' שפו)</w:t>
      </w:r>
      <w:r w:rsidRPr="00D27272">
        <w:rPr>
          <w:rFonts w:asciiTheme="minorBidi" w:hAnsiTheme="minorBidi" w:hint="cs"/>
          <w:rtl/>
        </w:rPr>
        <w:t xml:space="preserve">- </w:t>
      </w:r>
      <w:r w:rsidRPr="00D27272">
        <w:rPr>
          <w:rFonts w:asciiTheme="minorBidi" w:hAnsiTheme="minorBidi" w:cs="Arial"/>
          <w:rtl/>
        </w:rPr>
        <w:t>ה"ר פורת פי' למסקנא דמילתא דהרבה עניני קשרים הם</w:t>
      </w:r>
      <w:r>
        <w:rPr>
          <w:rFonts w:asciiTheme="minorBidi" w:hAnsiTheme="minorBidi" w:cs="Arial" w:hint="cs"/>
          <w:rtl/>
        </w:rPr>
        <w:t>...</w:t>
      </w:r>
      <w:r w:rsidRPr="00D27272">
        <w:rPr>
          <w:rFonts w:asciiTheme="minorBidi" w:hAnsiTheme="minorBidi" w:cs="Arial"/>
          <w:rtl/>
        </w:rPr>
        <w:t xml:space="preserve"> עניבה מותר ובלבד שלא יעשה קשר למטה מן העניבה כלל אלא יעשה שתי עניבות זו על זו כדאמר לעיל לא היה קושרו אלא עונבו</w:t>
      </w:r>
      <w:r w:rsidRPr="00D27272">
        <w:rPr>
          <w:rFonts w:asciiTheme="minorBidi" w:hAnsiTheme="minorBidi" w:cs="Arial" w:hint="cs"/>
          <w:rtl/>
        </w:rPr>
        <w:t>.</w:t>
      </w:r>
    </w:p>
    <w:p w14:paraId="18DF6340" w14:textId="77777777" w:rsidR="005022B5" w:rsidRPr="005275DF" w:rsidRDefault="005022B5" w:rsidP="00434A6A">
      <w:pPr>
        <w:rPr>
          <w:rFonts w:asciiTheme="minorBidi" w:hAnsiTheme="minorBidi"/>
          <w:rtl/>
        </w:rPr>
      </w:pPr>
      <w:r w:rsidRPr="005275DF">
        <w:rPr>
          <w:rFonts w:asciiTheme="minorBidi" w:hAnsiTheme="minorBidi"/>
          <w:b/>
          <w:bCs/>
          <w:sz w:val="32"/>
          <w:szCs w:val="28"/>
          <w:u w:val="single"/>
          <w:rtl/>
        </w:rPr>
        <w:t xml:space="preserve">שו"ע: </w:t>
      </w:r>
    </w:p>
    <w:p w14:paraId="4CEF4F23" w14:textId="24574DEF" w:rsidR="005022B5" w:rsidRPr="005275DF" w:rsidRDefault="00144ECF" w:rsidP="00434A6A">
      <w:pPr>
        <w:rPr>
          <w:rFonts w:asciiTheme="minorBidi" w:hAnsiTheme="minorBidi"/>
          <w:rtl/>
        </w:rPr>
      </w:pPr>
      <w:r w:rsidRPr="005275DF">
        <w:rPr>
          <w:rFonts w:asciiTheme="minorBidi" w:hAnsiTheme="minorBidi"/>
          <w:rtl/>
        </w:rPr>
        <w:t>עניבה מותר</w:t>
      </w:r>
      <w:r w:rsidR="005022B5" w:rsidRPr="005275DF">
        <w:rPr>
          <w:rFonts w:asciiTheme="minorBidi" w:hAnsiTheme="minorBidi"/>
          <w:rtl/>
        </w:rPr>
        <w:t xml:space="preserve"> דלאו קשר הוא. </w:t>
      </w:r>
      <w:r w:rsidRPr="005275DF">
        <w:rPr>
          <w:rFonts w:asciiTheme="minorBidi" w:hAnsiTheme="minorBidi"/>
          <w:sz w:val="18"/>
          <w:szCs w:val="18"/>
          <w:rtl/>
        </w:rPr>
        <w:t>הגה: ואפילו אם עשה קשר אחד למטה</w:t>
      </w:r>
      <w:r w:rsidR="005022B5" w:rsidRPr="005275DF">
        <w:rPr>
          <w:rFonts w:asciiTheme="minorBidi" w:hAnsiTheme="minorBidi"/>
          <w:sz w:val="18"/>
          <w:szCs w:val="18"/>
          <w:rtl/>
        </w:rPr>
        <w:t xml:space="preserve"> נוהגין בו היתר</w:t>
      </w:r>
      <w:r w:rsidR="00531AAB" w:rsidRPr="005275DF">
        <w:rPr>
          <w:rStyle w:val="a9"/>
          <w:rFonts w:asciiTheme="minorBidi" w:hAnsiTheme="minorBidi"/>
          <w:sz w:val="18"/>
          <w:szCs w:val="18"/>
          <w:rtl/>
        </w:rPr>
        <w:footnoteReference w:id="2613"/>
      </w:r>
      <w:r w:rsidR="005022B5" w:rsidRPr="005275DF">
        <w:rPr>
          <w:rFonts w:asciiTheme="minorBidi" w:hAnsiTheme="minorBidi"/>
          <w:sz w:val="18"/>
          <w:szCs w:val="18"/>
          <w:rtl/>
        </w:rPr>
        <w:t xml:space="preserve"> (</w:t>
      </w:r>
      <w:r w:rsidR="00262C5D">
        <w:rPr>
          <w:rFonts w:asciiTheme="minorBidi" w:hAnsiTheme="minorBidi" w:hint="cs"/>
          <w:sz w:val="18"/>
          <w:szCs w:val="18"/>
          <w:rtl/>
        </w:rPr>
        <w:t>מרדכי בשם ר"צ ו</w:t>
      </w:r>
      <w:r w:rsidR="005022B5" w:rsidRPr="005275DF">
        <w:rPr>
          <w:rFonts w:asciiTheme="minorBidi" w:hAnsiTheme="minorBidi"/>
          <w:sz w:val="18"/>
          <w:szCs w:val="18"/>
          <w:rtl/>
        </w:rPr>
        <w:t>אגור).</w:t>
      </w:r>
      <w:r w:rsidR="005022B5" w:rsidRPr="005275DF">
        <w:rPr>
          <w:rFonts w:asciiTheme="minorBidi" w:hAnsiTheme="minorBidi"/>
          <w:rtl/>
        </w:rPr>
        <w:t xml:space="preserve"> </w:t>
      </w:r>
    </w:p>
    <w:p w14:paraId="13BBD719" w14:textId="77777777" w:rsidR="005022B5" w:rsidRPr="005275DF" w:rsidRDefault="005022B5" w:rsidP="00434A6A">
      <w:pPr>
        <w:rPr>
          <w:rFonts w:asciiTheme="minorBidi" w:hAnsiTheme="minorBidi"/>
          <w:rtl/>
        </w:rPr>
      </w:pPr>
    </w:p>
    <w:p w14:paraId="28378458" w14:textId="160B2BA4" w:rsidR="005022B5" w:rsidRPr="005275DF" w:rsidRDefault="005022B5" w:rsidP="00434A6A">
      <w:pPr>
        <w:pStyle w:val="2"/>
        <w:rPr>
          <w:rFonts w:asciiTheme="minorBidi" w:hAnsiTheme="minorBidi" w:cstheme="minorBidi"/>
          <w:rtl/>
        </w:rPr>
      </w:pPr>
      <w:r w:rsidRPr="005275DF">
        <w:rPr>
          <w:rFonts w:asciiTheme="minorBidi" w:hAnsiTheme="minorBidi" w:cstheme="minorBidi"/>
          <w:rtl/>
        </w:rPr>
        <w:t>סעיף ו</w:t>
      </w:r>
      <w:r w:rsidR="00531AAB" w:rsidRPr="005275DF">
        <w:rPr>
          <w:rFonts w:asciiTheme="minorBidi" w:hAnsiTheme="minorBidi" w:cstheme="minorBidi"/>
          <w:rtl/>
        </w:rPr>
        <w:t>: קשירת חבל בפ</w:t>
      </w:r>
      <w:r w:rsidR="00C074EA">
        <w:rPr>
          <w:rFonts w:asciiTheme="minorBidi" w:hAnsiTheme="minorBidi" w:cstheme="minorBidi" w:hint="cs"/>
          <w:rtl/>
        </w:rPr>
        <w:t>תח כדי שלא תצא</w:t>
      </w:r>
      <w:r w:rsidR="00531AAB" w:rsidRPr="005275DF">
        <w:rPr>
          <w:rFonts w:asciiTheme="minorBidi" w:hAnsiTheme="minorBidi" w:cstheme="minorBidi"/>
          <w:rtl/>
        </w:rPr>
        <w:t xml:space="preserve"> הפרה.</w:t>
      </w:r>
    </w:p>
    <w:p w14:paraId="74DCE886" w14:textId="1302B586" w:rsidR="00531AAB" w:rsidRDefault="00531AAB" w:rsidP="00434A6A">
      <w:pPr>
        <w:rPr>
          <w:rFonts w:asciiTheme="minorBidi" w:hAnsiTheme="minorBidi"/>
          <w:rtl/>
        </w:rPr>
      </w:pPr>
      <w:r w:rsidRPr="005275DF">
        <w:rPr>
          <w:rFonts w:asciiTheme="minorBidi" w:hAnsiTheme="minorBidi"/>
          <w:b/>
          <w:bCs/>
          <w:rtl/>
        </w:rPr>
        <w:t xml:space="preserve">שבת </w:t>
      </w:r>
      <w:r w:rsidR="00C074EA">
        <w:rPr>
          <w:rFonts w:asciiTheme="minorBidi" w:hAnsiTheme="minorBidi" w:hint="cs"/>
          <w:b/>
          <w:bCs/>
          <w:sz w:val="16"/>
          <w:szCs w:val="16"/>
          <w:rtl/>
        </w:rPr>
        <w:t xml:space="preserve">(ר"פ אלו קשרים) </w:t>
      </w:r>
      <w:r w:rsidR="001234D6" w:rsidRPr="005275DF">
        <w:rPr>
          <w:rFonts w:asciiTheme="minorBidi" w:hAnsiTheme="minorBidi"/>
          <w:b/>
          <w:bCs/>
          <w:rtl/>
        </w:rPr>
        <w:t>קיא</w:t>
      </w:r>
      <w:r w:rsidRPr="005275DF">
        <w:rPr>
          <w:rFonts w:asciiTheme="minorBidi" w:hAnsiTheme="minorBidi"/>
          <w:b/>
          <w:bCs/>
          <w:rtl/>
        </w:rPr>
        <w:t xml:space="preserve"> ע"</w:t>
      </w:r>
      <w:r w:rsidR="001234D6" w:rsidRPr="005275DF">
        <w:rPr>
          <w:rFonts w:asciiTheme="minorBidi" w:hAnsiTheme="minorBidi"/>
          <w:b/>
          <w:bCs/>
          <w:rtl/>
        </w:rPr>
        <w:t>ב</w:t>
      </w:r>
      <w:r w:rsidRPr="005275DF">
        <w:rPr>
          <w:rFonts w:asciiTheme="minorBidi" w:hAnsiTheme="minorBidi"/>
          <w:b/>
          <w:bCs/>
          <w:rtl/>
        </w:rPr>
        <w:t>:</w:t>
      </w:r>
      <w:r w:rsidRPr="005275DF">
        <w:rPr>
          <w:rFonts w:asciiTheme="minorBidi" w:hAnsiTheme="minorBidi"/>
          <w:rtl/>
        </w:rPr>
        <w:t xml:space="preserve"> </w:t>
      </w:r>
      <w:r w:rsidR="001234D6" w:rsidRPr="005275DF">
        <w:rPr>
          <w:rFonts w:asciiTheme="minorBidi" w:hAnsiTheme="minorBidi"/>
          <w:u w:val="double"/>
          <w:rtl/>
        </w:rPr>
        <w:t>משנה:</w:t>
      </w:r>
      <w:r w:rsidR="001234D6" w:rsidRPr="005275DF">
        <w:rPr>
          <w:rFonts w:asciiTheme="minorBidi" w:hAnsiTheme="minorBidi"/>
          <w:rtl/>
        </w:rPr>
        <w:t xml:space="preserve"> יש לך קשרין שאין חייבין עליהן ... </w:t>
      </w:r>
      <w:r w:rsidR="001234D6" w:rsidRPr="005275DF">
        <w:rPr>
          <w:rFonts w:asciiTheme="minorBidi" w:hAnsiTheme="minorBidi"/>
          <w:u w:val="single"/>
          <w:rtl/>
        </w:rPr>
        <w:t>רבי אליעזר בן יעקב אומר</w:t>
      </w:r>
      <w:r w:rsidR="001234D6" w:rsidRPr="005275DF">
        <w:rPr>
          <w:rFonts w:asciiTheme="minorBidi" w:hAnsiTheme="minorBidi"/>
          <w:rtl/>
        </w:rPr>
        <w:t xml:space="preserve">: קושרין לפני הבהמה בשביל שלא תצא.     </w:t>
      </w:r>
      <w:r w:rsidR="001234D6" w:rsidRPr="005275DF">
        <w:rPr>
          <w:rFonts w:asciiTheme="minorBidi" w:hAnsiTheme="minorBidi"/>
          <w:u w:val="double"/>
          <w:rtl/>
        </w:rPr>
        <w:t>גמ</w:t>
      </w:r>
      <w:r w:rsidR="00DD5BF7">
        <w:rPr>
          <w:rFonts w:asciiTheme="minorBidi" w:hAnsiTheme="minorBidi" w:hint="cs"/>
          <w:u w:val="double"/>
          <w:rtl/>
        </w:rPr>
        <w:t>רא</w:t>
      </w:r>
      <w:r w:rsidR="00DD5BF7">
        <w:rPr>
          <w:rFonts w:asciiTheme="minorBidi" w:hAnsiTheme="minorBidi" w:hint="cs"/>
          <w:sz w:val="14"/>
          <w:szCs w:val="14"/>
          <w:u w:val="double"/>
          <w:rtl/>
        </w:rPr>
        <w:t xml:space="preserve"> </w:t>
      </w:r>
      <w:r w:rsidR="001234D6" w:rsidRPr="00DD5BF7">
        <w:rPr>
          <w:rFonts w:asciiTheme="minorBidi" w:hAnsiTheme="minorBidi"/>
          <w:sz w:val="14"/>
          <w:szCs w:val="14"/>
          <w:u w:val="double"/>
          <w:rtl/>
        </w:rPr>
        <w:t>(קי</w:t>
      </w:r>
      <w:r w:rsidR="00DD5BF7">
        <w:rPr>
          <w:rFonts w:asciiTheme="minorBidi" w:hAnsiTheme="minorBidi" w:hint="cs"/>
          <w:sz w:val="14"/>
          <w:szCs w:val="14"/>
          <w:u w:val="double"/>
          <w:rtl/>
        </w:rPr>
        <w:t>ב:</w:t>
      </w:r>
      <w:r w:rsidR="001234D6" w:rsidRPr="00DD5BF7">
        <w:rPr>
          <w:rFonts w:asciiTheme="minorBidi" w:hAnsiTheme="minorBidi"/>
          <w:sz w:val="14"/>
          <w:szCs w:val="14"/>
          <w:u w:val="double"/>
          <w:rtl/>
        </w:rPr>
        <w:t>)</w:t>
      </w:r>
      <w:r w:rsidR="001234D6" w:rsidRPr="005275DF">
        <w:rPr>
          <w:rFonts w:asciiTheme="minorBidi" w:hAnsiTheme="minorBidi"/>
          <w:u w:val="double"/>
          <w:rtl/>
        </w:rPr>
        <w:t>:</w:t>
      </w:r>
      <w:r w:rsidR="001234D6" w:rsidRPr="005275DF">
        <w:rPr>
          <w:rFonts w:asciiTheme="minorBidi" w:hAnsiTheme="minorBidi"/>
          <w:rtl/>
        </w:rPr>
        <w:t xml:space="preserve"> </w:t>
      </w:r>
      <w:r w:rsidR="00DD5BF7" w:rsidRPr="00DD5BF7">
        <w:rPr>
          <w:rFonts w:asciiTheme="minorBidi" w:hAnsiTheme="minorBidi" w:cs="Arial"/>
          <w:rtl/>
        </w:rPr>
        <w:t xml:space="preserve">רבי אליעזר בן יעקב אומר קושרה כו'. </w:t>
      </w:r>
      <w:r w:rsidR="001234D6" w:rsidRPr="005275DF">
        <w:rPr>
          <w:rFonts w:asciiTheme="minorBidi" w:hAnsiTheme="minorBidi"/>
          <w:rtl/>
        </w:rPr>
        <w:t>פשיטא! לא צריכא, דאית לה תרתי איסרי</w:t>
      </w:r>
      <w:r w:rsidR="001234D6" w:rsidRPr="005275DF">
        <w:rPr>
          <w:rStyle w:val="a9"/>
          <w:rFonts w:asciiTheme="minorBidi" w:hAnsiTheme="minorBidi"/>
          <w:rtl/>
        </w:rPr>
        <w:footnoteReference w:id="2614"/>
      </w:r>
      <w:r w:rsidR="001234D6" w:rsidRPr="005275DF">
        <w:rPr>
          <w:rFonts w:asciiTheme="minorBidi" w:hAnsiTheme="minorBidi"/>
          <w:rtl/>
        </w:rPr>
        <w:t xml:space="preserve">. מהו דתימא </w:t>
      </w:r>
      <w:r w:rsidR="00DD5BF7">
        <w:rPr>
          <w:rFonts w:asciiTheme="minorBidi" w:hAnsiTheme="minorBidi" w:hint="cs"/>
          <w:sz w:val="14"/>
          <w:szCs w:val="14"/>
          <w:rtl/>
        </w:rPr>
        <w:t xml:space="preserve">(קיג.) </w:t>
      </w:r>
      <w:r w:rsidR="001234D6" w:rsidRPr="005275DF">
        <w:rPr>
          <w:rFonts w:asciiTheme="minorBidi" w:hAnsiTheme="minorBidi"/>
          <w:rtl/>
        </w:rPr>
        <w:t>חדא מינייהו בטולי מבטיל</w:t>
      </w:r>
      <w:r w:rsidR="001234D6" w:rsidRPr="005275DF">
        <w:rPr>
          <w:rStyle w:val="a9"/>
          <w:rFonts w:asciiTheme="minorBidi" w:hAnsiTheme="minorBidi"/>
          <w:rtl/>
        </w:rPr>
        <w:footnoteReference w:id="2615"/>
      </w:r>
      <w:r w:rsidR="001234D6" w:rsidRPr="005275DF">
        <w:rPr>
          <w:rFonts w:asciiTheme="minorBidi" w:hAnsiTheme="minorBidi"/>
          <w:rtl/>
        </w:rPr>
        <w:t>, קא משמע לן.</w:t>
      </w:r>
    </w:p>
    <w:p w14:paraId="5F51F446" w14:textId="5AAE1E84" w:rsidR="00DD5BF7" w:rsidRPr="00C074EA" w:rsidRDefault="00C074EA" w:rsidP="00434A6A">
      <w:pPr>
        <w:rPr>
          <w:rFonts w:asciiTheme="minorBidi" w:hAnsiTheme="minorBidi"/>
          <w:u w:val="single"/>
          <w:rtl/>
        </w:rPr>
      </w:pPr>
      <w:r w:rsidRPr="00C074EA">
        <w:rPr>
          <w:rFonts w:asciiTheme="minorBidi" w:hAnsiTheme="minorBidi"/>
          <w:u w:val="single"/>
          <w:rtl/>
        </w:rPr>
        <w:t>קשירת חבל בפ</w:t>
      </w:r>
      <w:r w:rsidRPr="00C074EA">
        <w:rPr>
          <w:rFonts w:asciiTheme="minorBidi" w:hAnsiTheme="minorBidi" w:hint="cs"/>
          <w:u w:val="single"/>
          <w:rtl/>
        </w:rPr>
        <w:t>תח כדי שלא תצא</w:t>
      </w:r>
      <w:r w:rsidRPr="00C074EA">
        <w:rPr>
          <w:rFonts w:asciiTheme="minorBidi" w:hAnsiTheme="minorBidi"/>
          <w:u w:val="single"/>
          <w:rtl/>
        </w:rPr>
        <w:t xml:space="preserve"> הפרה</w:t>
      </w:r>
      <w:r w:rsidRPr="00C074EA">
        <w:rPr>
          <w:rFonts w:asciiTheme="minorBidi" w:hAnsiTheme="minorBidi" w:hint="cs"/>
          <w:u w:val="single"/>
          <w:rtl/>
        </w:rPr>
        <w:t>:</w:t>
      </w:r>
    </w:p>
    <w:p w14:paraId="10E37E3D" w14:textId="4FC4D640" w:rsidR="00002E51" w:rsidRPr="00002E51" w:rsidRDefault="00002E51" w:rsidP="00434A6A">
      <w:pPr>
        <w:pStyle w:val="aa"/>
        <w:numPr>
          <w:ilvl w:val="0"/>
          <w:numId w:val="32"/>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(פ"י ה"ג)</w:t>
      </w:r>
      <w:r>
        <w:rPr>
          <w:rFonts w:asciiTheme="minorBidi" w:hAnsiTheme="minorBidi" w:cs="Arial" w:hint="cs"/>
          <w:rtl/>
        </w:rPr>
        <w:t xml:space="preserve">- </w:t>
      </w:r>
      <w:r w:rsidRPr="009C6006">
        <w:rPr>
          <w:rFonts w:asciiTheme="minorBidi" w:hAnsiTheme="minorBidi" w:cs="Arial"/>
          <w:rtl/>
        </w:rPr>
        <w:t>וקושרין לפני הבהמה או ברגלה בשביל שלא תצא אע</w:t>
      </w:r>
      <w:r>
        <w:rPr>
          <w:rFonts w:asciiTheme="minorBidi" w:hAnsiTheme="minorBidi" w:cs="Arial" w:hint="cs"/>
          <w:rtl/>
        </w:rPr>
        <w:t>"</w:t>
      </w:r>
      <w:r w:rsidRPr="009C6006">
        <w:rPr>
          <w:rFonts w:asciiTheme="minorBidi" w:hAnsiTheme="minorBidi" w:cs="Arial"/>
          <w:rtl/>
        </w:rPr>
        <w:t>פ שיש לה שני אסרות</w:t>
      </w:r>
      <w:r>
        <w:rPr>
          <w:rFonts w:asciiTheme="minorBidi" w:hAnsiTheme="minorBidi" w:cs="Arial" w:hint="cs"/>
          <w:rtl/>
        </w:rPr>
        <w:t>.</w:t>
      </w:r>
    </w:p>
    <w:p w14:paraId="6F539E0A" w14:textId="676CF5A9" w:rsidR="00DD5BF7" w:rsidRPr="00DD5BF7" w:rsidRDefault="00802B95" w:rsidP="00434A6A">
      <w:pPr>
        <w:pStyle w:val="aa"/>
        <w:numPr>
          <w:ilvl w:val="0"/>
          <w:numId w:val="32"/>
        </w:numPr>
        <w:rPr>
          <w:rFonts w:asciiTheme="minorBidi" w:hAnsiTheme="minorBidi"/>
        </w:rPr>
      </w:pPr>
      <w:r>
        <w:rPr>
          <w:rFonts w:asciiTheme="minorBidi" w:hAnsiTheme="minorBidi" w:cs="Arial" w:hint="cs"/>
          <w:rtl/>
        </w:rPr>
        <w:t xml:space="preserve">טור- </w:t>
      </w:r>
      <w:r w:rsidRPr="00D9457B">
        <w:rPr>
          <w:rFonts w:asciiTheme="minorBidi" w:hAnsiTheme="minorBidi" w:cs="Arial"/>
          <w:rtl/>
        </w:rPr>
        <w:t>קושרין חבל בפני הפרה בשביל שלא תצא</w:t>
      </w:r>
      <w:r w:rsidR="00C074EA">
        <w:rPr>
          <w:rFonts w:asciiTheme="minorBidi" w:hAnsiTheme="minorBidi" w:cs="Arial" w:hint="cs"/>
          <w:rtl/>
        </w:rPr>
        <w:t>,</w:t>
      </w:r>
      <w:r w:rsidRPr="00D9457B">
        <w:rPr>
          <w:rFonts w:asciiTheme="minorBidi" w:hAnsiTheme="minorBidi" w:cs="Arial"/>
          <w:rtl/>
        </w:rPr>
        <w:t xml:space="preserve"> אפי' בב' ראשי הפתח</w:t>
      </w:r>
      <w:r w:rsidR="00C074EA">
        <w:rPr>
          <w:rFonts w:asciiTheme="minorBidi" w:hAnsiTheme="minorBidi" w:cs="Arial" w:hint="cs"/>
          <w:rtl/>
        </w:rPr>
        <w:t>,</w:t>
      </w:r>
      <w:r w:rsidRPr="00D9457B">
        <w:rPr>
          <w:rFonts w:asciiTheme="minorBidi" w:hAnsiTheme="minorBidi" w:cs="Arial"/>
          <w:rtl/>
        </w:rPr>
        <w:t xml:space="preserve"> ולא חיישינן שמא יתיר ראש האחד ויוציאנה דרך שם ויניח ראש הב' קשור</w:t>
      </w:r>
      <w:r w:rsidR="00DD5BF7">
        <w:rPr>
          <w:rFonts w:asciiTheme="minorBidi" w:hAnsiTheme="minorBidi" w:cs="Arial" w:hint="cs"/>
          <w:rtl/>
        </w:rPr>
        <w:t>.</w:t>
      </w:r>
      <w:r w:rsidR="00C074EA" w:rsidRPr="00C074EA">
        <w:rPr>
          <w:rFonts w:asciiTheme="minorBidi" w:hAnsiTheme="minorBidi" w:hint="cs"/>
          <w:color w:val="E36C0A" w:themeColor="accent6" w:themeShade="BF"/>
          <w:rtl/>
        </w:rPr>
        <w:t xml:space="preserve"> </w:t>
      </w:r>
      <w:r w:rsidR="00C074EA" w:rsidRPr="002C1339">
        <w:rPr>
          <w:rFonts w:asciiTheme="minorBidi" w:hAnsiTheme="minorBidi" w:hint="cs"/>
          <w:color w:val="E36C0A" w:themeColor="accent6" w:themeShade="BF"/>
          <w:rtl/>
        </w:rPr>
        <w:t>(וכ"פ בשו"ע)</w:t>
      </w:r>
    </w:p>
    <w:p w14:paraId="29CF9A9C" w14:textId="198757DF" w:rsidR="00802B95" w:rsidRPr="00DD5BF7" w:rsidRDefault="00DD5BF7" w:rsidP="00434A6A">
      <w:pPr>
        <w:pStyle w:val="aa"/>
        <w:numPr>
          <w:ilvl w:val="0"/>
          <w:numId w:val="32"/>
        </w:numPr>
        <w:rPr>
          <w:rFonts w:asciiTheme="minorBidi" w:hAnsiTheme="minorBidi"/>
          <w:rtl/>
        </w:rPr>
      </w:pPr>
      <w:r w:rsidRPr="00DD5BF7">
        <w:rPr>
          <w:rFonts w:asciiTheme="minorBidi" w:hAnsiTheme="minorBidi" w:cs="Arial" w:hint="cs"/>
          <w:rtl/>
        </w:rPr>
        <w:t xml:space="preserve">רי"ו </w:t>
      </w:r>
      <w:r w:rsidRPr="00DD5BF7">
        <w:rPr>
          <w:rFonts w:asciiTheme="minorBidi" w:hAnsiTheme="minorBidi" w:cs="Arial" w:hint="cs"/>
          <w:sz w:val="16"/>
          <w:szCs w:val="16"/>
          <w:rtl/>
        </w:rPr>
        <w:t>(</w:t>
      </w:r>
      <w:r w:rsidRPr="00DD5BF7">
        <w:rPr>
          <w:rFonts w:asciiTheme="minorBidi" w:hAnsiTheme="minorBidi" w:cs="Arial"/>
          <w:sz w:val="16"/>
          <w:szCs w:val="16"/>
          <w:rtl/>
        </w:rPr>
        <w:t>חי"ד ני</w:t>
      </w:r>
      <w:r w:rsidRPr="00DD5BF7">
        <w:rPr>
          <w:rFonts w:asciiTheme="minorBidi" w:hAnsiTheme="minorBidi" w:cs="Arial" w:hint="cs"/>
          <w:sz w:val="16"/>
          <w:szCs w:val="16"/>
          <w:rtl/>
        </w:rPr>
        <w:t>"</w:t>
      </w:r>
      <w:r w:rsidRPr="00DD5BF7">
        <w:rPr>
          <w:rFonts w:asciiTheme="minorBidi" w:hAnsiTheme="minorBidi" w:cs="Arial"/>
          <w:sz w:val="16"/>
          <w:szCs w:val="16"/>
          <w:rtl/>
        </w:rPr>
        <w:t>ב פה ע"ד)</w:t>
      </w:r>
      <w:r w:rsidRPr="00DD5BF7">
        <w:rPr>
          <w:rFonts w:asciiTheme="minorBidi" w:hAnsiTheme="minorBidi" w:cs="Arial" w:hint="cs"/>
          <w:rtl/>
        </w:rPr>
        <w:t xml:space="preserve">- </w:t>
      </w:r>
      <w:r w:rsidR="00802B95" w:rsidRPr="00DD5BF7">
        <w:rPr>
          <w:rFonts w:asciiTheme="minorBidi" w:hAnsiTheme="minorBidi" w:cs="Arial"/>
          <w:rtl/>
        </w:rPr>
        <w:t>וכן מותר לכתחלה לקשור ולהתיר פתח הבית בחבל כדי לשמור הבהמה שבתוכו ואפילו שיש שם שני קשרים אחד למעלה ואחד למטה ולפעמים כשרוצה להוציא הבהמה אינו מתיר אלא אותו של מטה ומוציאה בדוחק עם כל זה מותר לקשור ולהתיר שניהם לכתחלה מאחר שעשוי לקשור ולהתיר תמיד בכל יום</w:t>
      </w:r>
      <w:r>
        <w:rPr>
          <w:rFonts w:asciiTheme="minorBidi" w:hAnsiTheme="minorBidi" w:cs="Arial" w:hint="cs"/>
          <w:rtl/>
        </w:rPr>
        <w:t>.</w:t>
      </w:r>
    </w:p>
    <w:p w14:paraId="59D16499" w14:textId="77777777" w:rsidR="005022B5" w:rsidRPr="005275DF" w:rsidRDefault="005022B5" w:rsidP="00434A6A">
      <w:pPr>
        <w:rPr>
          <w:rFonts w:asciiTheme="minorBidi" w:hAnsiTheme="minorBidi"/>
          <w:rtl/>
        </w:rPr>
      </w:pPr>
      <w:r w:rsidRPr="005275DF">
        <w:rPr>
          <w:rFonts w:asciiTheme="minorBidi" w:hAnsiTheme="minorBidi"/>
          <w:b/>
          <w:bCs/>
          <w:sz w:val="32"/>
          <w:szCs w:val="28"/>
          <w:u w:val="single"/>
          <w:rtl/>
        </w:rPr>
        <w:t xml:space="preserve">שו"ע: </w:t>
      </w:r>
    </w:p>
    <w:p w14:paraId="510D2E9A" w14:textId="64D5A576" w:rsidR="005022B5" w:rsidRPr="005275DF" w:rsidRDefault="005022B5" w:rsidP="00434A6A">
      <w:pPr>
        <w:rPr>
          <w:rFonts w:asciiTheme="minorBidi" w:hAnsiTheme="minorBidi"/>
          <w:rtl/>
        </w:rPr>
      </w:pPr>
      <w:r w:rsidRPr="005275DF">
        <w:rPr>
          <w:rFonts w:asciiTheme="minorBidi" w:hAnsiTheme="minorBidi"/>
          <w:rtl/>
        </w:rPr>
        <w:t>קושרים חבל בפ</w:t>
      </w:r>
      <w:r w:rsidR="00425238" w:rsidRPr="005275DF">
        <w:rPr>
          <w:rFonts w:asciiTheme="minorBidi" w:hAnsiTheme="minorBidi"/>
          <w:rtl/>
        </w:rPr>
        <w:t>ני הפרה בשביל שלא תצא</w:t>
      </w:r>
      <w:r w:rsidR="00C074EA">
        <w:rPr>
          <w:rFonts w:asciiTheme="minorBidi" w:hAnsiTheme="minorBidi" w:hint="cs"/>
          <w:rtl/>
        </w:rPr>
        <w:t>,</w:t>
      </w:r>
      <w:r w:rsidR="00531AAB" w:rsidRPr="005275DF">
        <w:rPr>
          <w:rFonts w:asciiTheme="minorBidi" w:hAnsiTheme="minorBidi"/>
          <w:rtl/>
        </w:rPr>
        <w:t xml:space="preserve"> אפילו בשני</w:t>
      </w:r>
      <w:r w:rsidRPr="005275DF">
        <w:rPr>
          <w:rFonts w:asciiTheme="minorBidi" w:hAnsiTheme="minorBidi"/>
          <w:rtl/>
        </w:rPr>
        <w:t xml:space="preserve"> ראשי הפתח, ולא חיישינן שמא יתיר ראש האחד ויוציאנה דרך שם ויניח ראש השני קשור</w:t>
      </w:r>
      <w:r w:rsidR="001234D6" w:rsidRPr="005275DF">
        <w:rPr>
          <w:rStyle w:val="a9"/>
          <w:rFonts w:asciiTheme="minorBidi" w:hAnsiTheme="minorBidi"/>
          <w:rtl/>
        </w:rPr>
        <w:footnoteReference w:id="2616"/>
      </w:r>
      <w:r w:rsidRPr="005275DF">
        <w:rPr>
          <w:rFonts w:asciiTheme="minorBidi" w:hAnsiTheme="minorBidi"/>
          <w:rtl/>
        </w:rPr>
        <w:t xml:space="preserve">. </w:t>
      </w:r>
    </w:p>
    <w:p w14:paraId="01C1AECE" w14:textId="77777777" w:rsidR="005022B5" w:rsidRPr="005275DF" w:rsidRDefault="005022B5" w:rsidP="00434A6A">
      <w:pPr>
        <w:rPr>
          <w:rFonts w:asciiTheme="minorBidi" w:hAnsiTheme="minorBidi"/>
          <w:rtl/>
        </w:rPr>
      </w:pPr>
    </w:p>
    <w:p w14:paraId="7E5BB4AD" w14:textId="32AA5E83" w:rsidR="005022B5" w:rsidRDefault="005022B5" w:rsidP="00434A6A">
      <w:pPr>
        <w:pStyle w:val="2"/>
        <w:rPr>
          <w:rFonts w:asciiTheme="minorBidi" w:hAnsiTheme="minorBidi" w:cstheme="minorBidi"/>
          <w:rtl/>
        </w:rPr>
      </w:pPr>
      <w:r w:rsidRPr="005275DF">
        <w:rPr>
          <w:rFonts w:asciiTheme="minorBidi" w:hAnsiTheme="minorBidi" w:cstheme="minorBidi"/>
          <w:rtl/>
        </w:rPr>
        <w:t>סעיף ז</w:t>
      </w:r>
      <w:r w:rsidR="00425238" w:rsidRPr="005275DF">
        <w:rPr>
          <w:rFonts w:asciiTheme="minorBidi" w:hAnsiTheme="minorBidi" w:cstheme="minorBidi"/>
          <w:rtl/>
        </w:rPr>
        <w:t>: קש</w:t>
      </w:r>
      <w:r w:rsidR="00CE73F5">
        <w:rPr>
          <w:rFonts w:asciiTheme="minorBidi" w:hAnsiTheme="minorBidi" w:cstheme="minorBidi" w:hint="cs"/>
          <w:rtl/>
        </w:rPr>
        <w:t>י</w:t>
      </w:r>
      <w:r w:rsidR="00425238" w:rsidRPr="005275DF">
        <w:rPr>
          <w:rFonts w:asciiTheme="minorBidi" w:hAnsiTheme="minorBidi" w:cstheme="minorBidi"/>
          <w:rtl/>
        </w:rPr>
        <w:t>רת הפרה בחבל.</w:t>
      </w:r>
    </w:p>
    <w:p w14:paraId="4CF88362" w14:textId="2F78C6B4" w:rsidR="00196688" w:rsidRDefault="00196688" w:rsidP="00434A6A">
      <w:pPr>
        <w:rPr>
          <w:rtl/>
        </w:rPr>
      </w:pPr>
      <w:r w:rsidRPr="005275DF">
        <w:rPr>
          <w:rFonts w:asciiTheme="minorBidi" w:hAnsiTheme="minorBidi"/>
          <w:b/>
          <w:bCs/>
          <w:rtl/>
        </w:rPr>
        <w:t xml:space="preserve">שבת </w:t>
      </w:r>
      <w:r>
        <w:rPr>
          <w:rFonts w:asciiTheme="minorBidi" w:hAnsiTheme="minorBidi" w:hint="cs"/>
          <w:b/>
          <w:bCs/>
          <w:sz w:val="16"/>
          <w:szCs w:val="16"/>
          <w:rtl/>
        </w:rPr>
        <w:t xml:space="preserve">(פ' אלו קשרים) </w:t>
      </w:r>
      <w:r w:rsidRPr="005275DF">
        <w:rPr>
          <w:rFonts w:asciiTheme="minorBidi" w:hAnsiTheme="minorBidi"/>
          <w:b/>
          <w:bCs/>
          <w:rtl/>
        </w:rPr>
        <w:t>קיג ע"א:</w:t>
      </w:r>
      <w:r w:rsidRPr="005275DF">
        <w:rPr>
          <w:rFonts w:asciiTheme="minorBidi" w:hAnsiTheme="minorBidi"/>
          <w:rtl/>
        </w:rPr>
        <w:t xml:space="preserve"> </w:t>
      </w:r>
      <w:r w:rsidRPr="005275DF">
        <w:rPr>
          <w:rFonts w:asciiTheme="minorBidi" w:hAnsiTheme="minorBidi"/>
          <w:u w:val="single"/>
          <w:rtl/>
        </w:rPr>
        <w:t>אמר רבי אבא אמר רבי חייא אמר רבי יוחנן</w:t>
      </w:r>
      <w:r w:rsidRPr="005275DF">
        <w:rPr>
          <w:rStyle w:val="a9"/>
          <w:rFonts w:asciiTheme="minorBidi" w:hAnsiTheme="minorBidi"/>
          <w:u w:val="single"/>
          <w:rtl/>
        </w:rPr>
        <w:footnoteReference w:id="2617"/>
      </w:r>
      <w:r w:rsidRPr="005275DF">
        <w:rPr>
          <w:rFonts w:asciiTheme="minorBidi" w:hAnsiTheme="minorBidi"/>
          <w:rtl/>
        </w:rPr>
        <w:t>: מביא אדם חבל מתוך ביתו וקושרו בפרה</w:t>
      </w:r>
      <w:r w:rsidRPr="005275DF">
        <w:rPr>
          <w:rStyle w:val="a9"/>
          <w:rFonts w:asciiTheme="minorBidi" w:hAnsiTheme="minorBidi"/>
          <w:rtl/>
        </w:rPr>
        <w:footnoteReference w:id="2618"/>
      </w:r>
      <w:r w:rsidRPr="005275DF">
        <w:rPr>
          <w:rFonts w:asciiTheme="minorBidi" w:hAnsiTheme="minorBidi"/>
          <w:rtl/>
        </w:rPr>
        <w:t xml:space="preserve"> ובאיבוס. </w:t>
      </w:r>
      <w:r w:rsidRPr="005275DF">
        <w:rPr>
          <w:rFonts w:asciiTheme="minorBidi" w:hAnsiTheme="minorBidi"/>
          <w:u w:val="single"/>
          <w:rtl/>
        </w:rPr>
        <w:t>איתיביה רבי אחא אריכא דהוא רבי אחא בר פפא לרבי אבא</w:t>
      </w:r>
      <w:r w:rsidRPr="005275DF">
        <w:rPr>
          <w:rFonts w:asciiTheme="minorBidi" w:hAnsiTheme="minorBidi"/>
          <w:rtl/>
        </w:rPr>
        <w:t>: חבל שבאיבוס קושרו בפרה, ושבפרה קושרו באיבוס, ובלבד שלא יביא חבל מתוך ביתו ויקשור בפרה ובאיבוס! התם חבל דעלמא, הכא חבל דגרדי.</w:t>
      </w:r>
    </w:p>
    <w:p w14:paraId="476BA355" w14:textId="695DC8D2" w:rsidR="000D2625" w:rsidRPr="000D2625" w:rsidRDefault="000D2625" w:rsidP="00434A6A">
      <w:pPr>
        <w:rPr>
          <w:u w:val="single"/>
          <w:rtl/>
        </w:rPr>
      </w:pPr>
      <w:r w:rsidRPr="000D2625">
        <w:rPr>
          <w:rFonts w:asciiTheme="minorBidi" w:hAnsiTheme="minorBidi"/>
          <w:u w:val="single"/>
          <w:rtl/>
        </w:rPr>
        <w:t>קש</w:t>
      </w:r>
      <w:r w:rsidRPr="000D2625">
        <w:rPr>
          <w:rFonts w:asciiTheme="minorBidi" w:hAnsiTheme="minorBidi" w:hint="cs"/>
          <w:u w:val="single"/>
          <w:rtl/>
        </w:rPr>
        <w:t>י</w:t>
      </w:r>
      <w:r w:rsidRPr="000D2625">
        <w:rPr>
          <w:rFonts w:asciiTheme="minorBidi" w:hAnsiTheme="minorBidi"/>
          <w:u w:val="single"/>
          <w:rtl/>
        </w:rPr>
        <w:t>רת הפרה בחבל</w:t>
      </w:r>
      <w:r w:rsidRPr="000D2625">
        <w:rPr>
          <w:rFonts w:hint="cs"/>
          <w:u w:val="single"/>
          <w:rtl/>
        </w:rPr>
        <w:t>:</w:t>
      </w:r>
    </w:p>
    <w:p w14:paraId="66A7AE8E" w14:textId="2F5D4BAC" w:rsidR="00936955" w:rsidRPr="00936955" w:rsidRDefault="00802B95" w:rsidP="00434A6A">
      <w:pPr>
        <w:pStyle w:val="aa"/>
        <w:numPr>
          <w:ilvl w:val="0"/>
          <w:numId w:val="32"/>
        </w:numPr>
        <w:rPr>
          <w:rFonts w:asciiTheme="minorBidi" w:hAnsiTheme="minorBidi"/>
        </w:rPr>
      </w:pPr>
      <w:r>
        <w:rPr>
          <w:rFonts w:asciiTheme="minorBidi" w:hAnsiTheme="minorBidi" w:cs="Arial" w:hint="cs"/>
          <w:rtl/>
        </w:rPr>
        <w:t xml:space="preserve">טור- </w:t>
      </w:r>
      <w:r w:rsidRPr="00D9457B">
        <w:rPr>
          <w:rFonts w:asciiTheme="minorBidi" w:hAnsiTheme="minorBidi" w:cs="Arial"/>
          <w:rtl/>
        </w:rPr>
        <w:t>מטלטלין חבל גרדי לקושרו באבוס ובפרה</w:t>
      </w:r>
      <w:r w:rsidR="000D2625">
        <w:rPr>
          <w:rFonts w:asciiTheme="minorBidi" w:hAnsiTheme="minorBidi" w:cs="Arial" w:hint="cs"/>
          <w:rtl/>
        </w:rPr>
        <w:t>,</w:t>
      </w:r>
      <w:r w:rsidRPr="00D9457B">
        <w:rPr>
          <w:rFonts w:asciiTheme="minorBidi" w:hAnsiTheme="minorBidi" w:cs="Arial"/>
          <w:rtl/>
        </w:rPr>
        <w:t xml:space="preserve"> ולא חיישינן שמא יתיר ראש האחד ויניח השני קיים</w:t>
      </w:r>
      <w:r w:rsidR="000D2625">
        <w:rPr>
          <w:rFonts w:asciiTheme="minorBidi" w:hAnsiTheme="minorBidi" w:cs="Arial" w:hint="cs"/>
          <w:rtl/>
        </w:rPr>
        <w:t>.</w:t>
      </w:r>
      <w:r w:rsidRPr="00D9457B">
        <w:rPr>
          <w:rFonts w:asciiTheme="minorBidi" w:hAnsiTheme="minorBidi" w:cs="Arial"/>
          <w:rtl/>
        </w:rPr>
        <w:t xml:space="preserve"> אבל חבל דעלמא לא</w:t>
      </w:r>
      <w:r w:rsidR="00CE73F5">
        <w:rPr>
          <w:rFonts w:asciiTheme="minorBidi" w:hAnsiTheme="minorBidi" w:cs="Arial" w:hint="cs"/>
          <w:rtl/>
        </w:rPr>
        <w:t>.</w:t>
      </w:r>
    </w:p>
    <w:p w14:paraId="3EAD7500" w14:textId="58623784" w:rsidR="00CE73F5" w:rsidRPr="00002E51" w:rsidRDefault="000D2625" w:rsidP="00434A6A">
      <w:pPr>
        <w:pStyle w:val="aa"/>
        <w:numPr>
          <w:ilvl w:val="0"/>
          <w:numId w:val="32"/>
        </w:numPr>
        <w:rPr>
          <w:rFonts w:asciiTheme="minorBidi" w:hAnsiTheme="minorBidi"/>
          <w:rtl/>
        </w:rPr>
      </w:pPr>
      <w:r>
        <w:rPr>
          <w:rFonts w:asciiTheme="minorBidi" w:hAnsiTheme="minorBidi" w:cs="Arial" w:hint="cs"/>
          <w:rtl/>
        </w:rPr>
        <w:t xml:space="preserve">רמב"ם </w:t>
      </w:r>
      <w:r>
        <w:rPr>
          <w:rFonts w:asciiTheme="minorBidi" w:hAnsiTheme="minorBidi" w:cs="Arial" w:hint="cs"/>
          <w:sz w:val="16"/>
          <w:szCs w:val="16"/>
          <w:rtl/>
        </w:rPr>
        <w:t>(פ"י ה"ג)</w:t>
      </w:r>
      <w:r>
        <w:rPr>
          <w:rFonts w:asciiTheme="minorBidi" w:hAnsiTheme="minorBidi" w:cs="Arial" w:hint="cs"/>
          <w:rtl/>
        </w:rPr>
        <w:t xml:space="preserve">- </w:t>
      </w:r>
      <w:r w:rsidRPr="009C6006">
        <w:rPr>
          <w:rFonts w:asciiTheme="minorBidi" w:hAnsiTheme="minorBidi" w:cs="Arial"/>
          <w:rtl/>
        </w:rPr>
        <w:t>וחבל שהיה קשור בפרה קושרו באבוס, היה קשור באבוס קושרו בפרה, אבל לא יביא חבל מתוך ביתו ויקשור בפרה ובאבוס</w:t>
      </w:r>
      <w:r w:rsidR="00002E51">
        <w:rPr>
          <w:rStyle w:val="a9"/>
          <w:rFonts w:asciiTheme="minorBidi" w:hAnsiTheme="minorBidi" w:cs="Arial"/>
          <w:rtl/>
        </w:rPr>
        <w:footnoteReference w:id="2619"/>
      </w:r>
      <w:r w:rsidRPr="009C6006">
        <w:rPr>
          <w:rFonts w:asciiTheme="minorBidi" w:hAnsiTheme="minorBidi" w:cs="Arial"/>
          <w:rtl/>
        </w:rPr>
        <w:t>, ואם היה חבל גרדי שמותר לטלטלו הרי זה מביא וקושר בפרה ובאבוס, מפני שכל אלו הקשרים מעשה הדיוט הן ואינן של קיימא אלא פעם קושר ופעם מתיר ולפיכך מותר לקשור אותן לכתחלה</w:t>
      </w:r>
      <w:r>
        <w:rPr>
          <w:rFonts w:asciiTheme="minorBidi" w:hAnsiTheme="minorBidi" w:cs="Arial" w:hint="cs"/>
          <w:rtl/>
        </w:rPr>
        <w:t>.</w:t>
      </w:r>
      <w:r w:rsidRPr="009C6006">
        <w:rPr>
          <w:rFonts w:asciiTheme="minorBidi" w:hAnsiTheme="minorBidi" w:cs="Arial"/>
          <w:rtl/>
        </w:rPr>
        <w:t xml:space="preserve"> </w:t>
      </w:r>
      <w:r w:rsidRPr="002C1339">
        <w:rPr>
          <w:rFonts w:asciiTheme="minorBidi" w:hAnsiTheme="minorBidi" w:hint="cs"/>
          <w:color w:val="E36C0A" w:themeColor="accent6" w:themeShade="BF"/>
          <w:rtl/>
        </w:rPr>
        <w:t>(וכ"פ בשו"ע)</w:t>
      </w:r>
    </w:p>
    <w:p w14:paraId="3ED73EA6" w14:textId="77777777" w:rsidR="00936955" w:rsidRDefault="00CE73F5" w:rsidP="00434A6A">
      <w:pPr>
        <w:rPr>
          <w:rFonts w:asciiTheme="minorBidi" w:hAnsiTheme="minorBidi"/>
          <w:rtl/>
        </w:rPr>
      </w:pPr>
      <w:r w:rsidRPr="005275DF">
        <w:rPr>
          <w:rFonts w:asciiTheme="minorBidi" w:hAnsiTheme="minorBidi"/>
          <w:b/>
          <w:bCs/>
          <w:rtl/>
        </w:rPr>
        <w:t xml:space="preserve">שבת </w:t>
      </w:r>
      <w:r>
        <w:rPr>
          <w:rFonts w:asciiTheme="minorBidi" w:hAnsiTheme="minorBidi" w:hint="cs"/>
          <w:b/>
          <w:bCs/>
          <w:sz w:val="16"/>
          <w:szCs w:val="16"/>
          <w:rtl/>
        </w:rPr>
        <w:t xml:space="preserve">(ר"פ אלו קשרים) </w:t>
      </w:r>
      <w:r w:rsidRPr="005275DF">
        <w:rPr>
          <w:rFonts w:asciiTheme="minorBidi" w:hAnsiTheme="minorBidi"/>
          <w:b/>
          <w:bCs/>
          <w:rtl/>
        </w:rPr>
        <w:t>קיא ע"ב:</w:t>
      </w:r>
      <w:r w:rsidRPr="005275DF">
        <w:rPr>
          <w:rFonts w:asciiTheme="minorBidi" w:hAnsiTheme="minorBidi"/>
          <w:rtl/>
        </w:rPr>
        <w:t xml:space="preserve"> </w:t>
      </w:r>
      <w:r w:rsidRPr="005275DF">
        <w:rPr>
          <w:rFonts w:asciiTheme="minorBidi" w:hAnsiTheme="minorBidi"/>
          <w:u w:val="double"/>
          <w:rtl/>
        </w:rPr>
        <w:t>משנה:</w:t>
      </w:r>
      <w:r>
        <w:rPr>
          <w:rFonts w:asciiTheme="minorBidi" w:hAnsiTheme="minorBidi" w:hint="cs"/>
          <w:rtl/>
        </w:rPr>
        <w:t xml:space="preserve">... </w:t>
      </w:r>
      <w:r w:rsidRPr="005275DF">
        <w:rPr>
          <w:rFonts w:asciiTheme="minorBidi" w:hAnsiTheme="minorBidi"/>
          <w:rtl/>
        </w:rPr>
        <w:t>קושרת אשה מפתח חלוקה</w:t>
      </w:r>
      <w:r w:rsidRPr="005275DF">
        <w:rPr>
          <w:rStyle w:val="a9"/>
          <w:rFonts w:asciiTheme="minorBidi" w:hAnsiTheme="minorBidi"/>
          <w:rtl/>
        </w:rPr>
        <w:footnoteReference w:id="2620"/>
      </w:r>
      <w:r w:rsidRPr="005275DF">
        <w:rPr>
          <w:rFonts w:asciiTheme="minorBidi" w:hAnsiTheme="minorBidi"/>
          <w:rtl/>
        </w:rPr>
        <w:t>, וחוטי סבכה</w:t>
      </w:r>
      <w:r w:rsidRPr="005275DF">
        <w:rPr>
          <w:rStyle w:val="a9"/>
          <w:rFonts w:asciiTheme="minorBidi" w:hAnsiTheme="minorBidi"/>
          <w:rtl/>
        </w:rPr>
        <w:footnoteReference w:id="2621"/>
      </w:r>
      <w:r w:rsidRPr="005275DF">
        <w:rPr>
          <w:rFonts w:asciiTheme="minorBidi" w:hAnsiTheme="minorBidi"/>
          <w:rtl/>
        </w:rPr>
        <w:t>, ושל פסקיא</w:t>
      </w:r>
      <w:r w:rsidRPr="005275DF">
        <w:rPr>
          <w:rStyle w:val="a9"/>
          <w:rFonts w:asciiTheme="minorBidi" w:hAnsiTheme="minorBidi"/>
          <w:rtl/>
        </w:rPr>
        <w:footnoteReference w:id="2622"/>
      </w:r>
      <w:r w:rsidRPr="005275DF">
        <w:rPr>
          <w:rFonts w:asciiTheme="minorBidi" w:hAnsiTheme="minorBidi"/>
          <w:rtl/>
        </w:rPr>
        <w:t>, ורצועות מנעל וסנדל, ונודות יין ושמן</w:t>
      </w:r>
      <w:r w:rsidRPr="005275DF">
        <w:rPr>
          <w:rStyle w:val="a9"/>
          <w:rFonts w:asciiTheme="minorBidi" w:hAnsiTheme="minorBidi"/>
          <w:rtl/>
        </w:rPr>
        <w:footnoteReference w:id="2623"/>
      </w:r>
      <w:r w:rsidRPr="005275DF">
        <w:rPr>
          <w:rFonts w:asciiTheme="minorBidi" w:hAnsiTheme="minorBidi"/>
          <w:rtl/>
        </w:rPr>
        <w:t>, וקדירה של בשר</w:t>
      </w:r>
      <w:r w:rsidRPr="005275DF">
        <w:rPr>
          <w:rStyle w:val="a9"/>
          <w:rFonts w:asciiTheme="minorBidi" w:hAnsiTheme="minorBidi"/>
          <w:rtl/>
        </w:rPr>
        <w:footnoteReference w:id="2624"/>
      </w:r>
      <w:r w:rsidRPr="005275DF">
        <w:rPr>
          <w:rFonts w:asciiTheme="minorBidi" w:hAnsiTheme="minorBidi"/>
          <w:rtl/>
        </w:rPr>
        <w:t xml:space="preserve">.      </w:t>
      </w:r>
      <w:r w:rsidRPr="005275DF">
        <w:rPr>
          <w:rFonts w:asciiTheme="minorBidi" w:hAnsiTheme="minorBidi"/>
          <w:u w:val="double"/>
          <w:rtl/>
        </w:rPr>
        <w:t>גמ</w:t>
      </w:r>
      <w:r>
        <w:rPr>
          <w:rFonts w:asciiTheme="minorBidi" w:hAnsiTheme="minorBidi" w:hint="cs"/>
          <w:u w:val="double"/>
          <w:rtl/>
        </w:rPr>
        <w:t>רא</w:t>
      </w:r>
      <w:r>
        <w:rPr>
          <w:rFonts w:asciiTheme="minorBidi" w:hAnsiTheme="minorBidi" w:hint="cs"/>
          <w:sz w:val="14"/>
          <w:szCs w:val="14"/>
          <w:u w:val="double"/>
          <w:rtl/>
        </w:rPr>
        <w:t xml:space="preserve"> </w:t>
      </w:r>
      <w:r w:rsidRPr="00C074EA">
        <w:rPr>
          <w:rFonts w:asciiTheme="minorBidi" w:hAnsiTheme="minorBidi"/>
          <w:sz w:val="14"/>
          <w:szCs w:val="14"/>
          <w:u w:val="double"/>
          <w:rtl/>
        </w:rPr>
        <w:t>(קיב.)</w:t>
      </w:r>
      <w:r w:rsidRPr="005275DF">
        <w:rPr>
          <w:rFonts w:asciiTheme="minorBidi" w:hAnsiTheme="minorBidi"/>
          <w:u w:val="double"/>
          <w:rtl/>
        </w:rPr>
        <w:t>:</w:t>
      </w:r>
      <w:r w:rsidRPr="005275DF">
        <w:rPr>
          <w:rFonts w:asciiTheme="minorBidi" w:hAnsiTheme="minorBidi"/>
          <w:rtl/>
        </w:rPr>
        <w:t xml:space="preserve"> מפתח חלוקה. פשיטא! לא צריכא, דאית ליה תרי דשי</w:t>
      </w:r>
      <w:r w:rsidRPr="005275DF">
        <w:rPr>
          <w:rStyle w:val="a9"/>
          <w:rFonts w:asciiTheme="minorBidi" w:hAnsiTheme="minorBidi"/>
          <w:rtl/>
        </w:rPr>
        <w:footnoteReference w:id="2625"/>
      </w:r>
      <w:r w:rsidRPr="005275DF">
        <w:rPr>
          <w:rFonts w:asciiTheme="minorBidi" w:hAnsiTheme="minorBidi"/>
          <w:rtl/>
        </w:rPr>
        <w:t>. מהו דתימא: חדא מינייהו בטולי מבטיל</w:t>
      </w:r>
      <w:r w:rsidRPr="005275DF">
        <w:rPr>
          <w:rStyle w:val="a9"/>
          <w:rFonts w:asciiTheme="minorBidi" w:hAnsiTheme="minorBidi"/>
          <w:rtl/>
        </w:rPr>
        <w:footnoteReference w:id="2626"/>
      </w:r>
      <w:r w:rsidRPr="005275DF">
        <w:rPr>
          <w:rFonts w:asciiTheme="minorBidi" w:hAnsiTheme="minorBidi"/>
          <w:rtl/>
        </w:rPr>
        <w:t>, קא משמע לן. וחוטי סבכה. פשיטא</w:t>
      </w:r>
      <w:r w:rsidRPr="005275DF">
        <w:rPr>
          <w:rStyle w:val="a9"/>
          <w:rFonts w:asciiTheme="minorBidi" w:hAnsiTheme="minorBidi"/>
          <w:rtl/>
        </w:rPr>
        <w:footnoteReference w:id="2627"/>
      </w:r>
      <w:r w:rsidRPr="005275DF">
        <w:rPr>
          <w:rFonts w:asciiTheme="minorBidi" w:hAnsiTheme="minorBidi"/>
          <w:rtl/>
        </w:rPr>
        <w:t>! לא צריכא דרויחא לה</w:t>
      </w:r>
      <w:r w:rsidRPr="005275DF">
        <w:rPr>
          <w:rStyle w:val="a9"/>
          <w:rFonts w:asciiTheme="minorBidi" w:hAnsiTheme="minorBidi"/>
          <w:rtl/>
        </w:rPr>
        <w:footnoteReference w:id="2628"/>
      </w:r>
      <w:r w:rsidRPr="005275DF">
        <w:rPr>
          <w:rFonts w:asciiTheme="minorBidi" w:hAnsiTheme="minorBidi"/>
          <w:rtl/>
        </w:rPr>
        <w:t>. מהו דתימא: מישלף שלפא לה</w:t>
      </w:r>
      <w:r w:rsidRPr="005275DF">
        <w:rPr>
          <w:rStyle w:val="a9"/>
          <w:rFonts w:asciiTheme="minorBidi" w:hAnsiTheme="minorBidi"/>
          <w:rtl/>
        </w:rPr>
        <w:footnoteReference w:id="2629"/>
      </w:r>
      <w:r w:rsidRPr="005275DF">
        <w:rPr>
          <w:rFonts w:asciiTheme="minorBidi" w:hAnsiTheme="minorBidi"/>
          <w:rtl/>
        </w:rPr>
        <w:t xml:space="preserve"> - קא משמע לן דאשה חסה על שערה</w:t>
      </w:r>
      <w:r w:rsidRPr="005275DF">
        <w:rPr>
          <w:rStyle w:val="a9"/>
          <w:rFonts w:asciiTheme="minorBidi" w:hAnsiTheme="minorBidi"/>
          <w:rtl/>
        </w:rPr>
        <w:footnoteReference w:id="2630"/>
      </w:r>
      <w:r w:rsidRPr="005275DF">
        <w:rPr>
          <w:rFonts w:asciiTheme="minorBidi" w:hAnsiTheme="minorBidi"/>
          <w:rtl/>
        </w:rPr>
        <w:t>, ומישרא שריא לה..</w:t>
      </w:r>
      <w:r>
        <w:rPr>
          <w:rFonts w:asciiTheme="minorBidi" w:hAnsiTheme="minorBidi" w:hint="cs"/>
          <w:rtl/>
        </w:rPr>
        <w:t>.</w:t>
      </w:r>
      <w:r w:rsidRPr="005275DF">
        <w:rPr>
          <w:rFonts w:asciiTheme="minorBidi" w:hAnsiTheme="minorBidi"/>
          <w:rtl/>
        </w:rPr>
        <w:t xml:space="preserve"> </w:t>
      </w:r>
      <w:r w:rsidRPr="00CE73F5">
        <w:rPr>
          <w:rFonts w:asciiTheme="minorBidi" w:hAnsiTheme="minorBidi"/>
          <w:sz w:val="14"/>
          <w:szCs w:val="14"/>
          <w:rtl/>
        </w:rPr>
        <w:t>(קיב:)</w:t>
      </w:r>
      <w:r w:rsidRPr="005275DF">
        <w:rPr>
          <w:rFonts w:asciiTheme="minorBidi" w:hAnsiTheme="minorBidi"/>
          <w:rtl/>
        </w:rPr>
        <w:t xml:space="preserve"> ונודות יין ושמן. פשיטא! לא צריכא, דאית ליה תרתי אוני</w:t>
      </w:r>
      <w:r w:rsidRPr="005275DF">
        <w:rPr>
          <w:rStyle w:val="a9"/>
          <w:rFonts w:asciiTheme="minorBidi" w:hAnsiTheme="minorBidi"/>
          <w:rtl/>
        </w:rPr>
        <w:footnoteReference w:id="2631"/>
      </w:r>
      <w:r w:rsidRPr="005275DF">
        <w:rPr>
          <w:rFonts w:asciiTheme="minorBidi" w:hAnsiTheme="minorBidi"/>
          <w:rtl/>
        </w:rPr>
        <w:t>. מהו דתימא: חדא מינייהו בטולי מבטל לה - קמשמע לן. קדירה של בשר פשיטא! לא צריכא, דאית לה שלאבא</w:t>
      </w:r>
      <w:r w:rsidRPr="005275DF">
        <w:rPr>
          <w:rStyle w:val="a9"/>
          <w:rFonts w:asciiTheme="minorBidi" w:hAnsiTheme="minorBidi"/>
          <w:rtl/>
        </w:rPr>
        <w:footnoteReference w:id="2632"/>
      </w:r>
      <w:r w:rsidRPr="005275DF">
        <w:rPr>
          <w:rFonts w:asciiTheme="minorBidi" w:hAnsiTheme="minorBidi"/>
          <w:rtl/>
        </w:rPr>
        <w:t>. מהו דתימא: בטולי מבטל לה</w:t>
      </w:r>
      <w:r w:rsidRPr="005275DF">
        <w:rPr>
          <w:rStyle w:val="a9"/>
          <w:rFonts w:asciiTheme="minorBidi" w:hAnsiTheme="minorBidi"/>
          <w:rtl/>
        </w:rPr>
        <w:footnoteReference w:id="2633"/>
      </w:r>
      <w:r w:rsidRPr="005275DF">
        <w:rPr>
          <w:rFonts w:asciiTheme="minorBidi" w:hAnsiTheme="minorBidi"/>
          <w:rtl/>
        </w:rPr>
        <w:t xml:space="preserve"> - קמשמע לן.</w:t>
      </w:r>
    </w:p>
    <w:p w14:paraId="7CC5BFAD" w14:textId="010760A9" w:rsidR="00CE73F5" w:rsidRPr="00C968C5" w:rsidRDefault="00936955" w:rsidP="00434A6A">
      <w:pPr>
        <w:rPr>
          <w:rFonts w:asciiTheme="minorBidi" w:hAnsiTheme="minorBidi"/>
          <w:sz w:val="12"/>
          <w:szCs w:val="12"/>
          <w:u w:val="single"/>
          <w:rtl/>
        </w:rPr>
      </w:pPr>
      <w:r w:rsidRPr="00C968C5">
        <w:rPr>
          <w:rFonts w:asciiTheme="minorBidi" w:hAnsiTheme="minorBidi" w:hint="cs"/>
          <w:u w:val="single"/>
          <w:rtl/>
        </w:rPr>
        <w:t>קשר</w:t>
      </w:r>
      <w:r w:rsidR="000D7999">
        <w:rPr>
          <w:rFonts w:asciiTheme="minorBidi" w:hAnsiTheme="minorBidi" w:hint="cs"/>
          <w:u w:val="single"/>
          <w:rtl/>
        </w:rPr>
        <w:t>ים שמותר לקשור לכתחילה אע"פ שיש אפשרות שלא יותר הקשר באותו יום:</w:t>
      </w:r>
    </w:p>
    <w:p w14:paraId="5E8A2F1A" w14:textId="03149202" w:rsidR="00936955" w:rsidRPr="00836697" w:rsidRDefault="00196688" w:rsidP="00434A6A">
      <w:pPr>
        <w:pStyle w:val="aa"/>
        <w:numPr>
          <w:ilvl w:val="0"/>
          <w:numId w:val="32"/>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(פ"י ה"ג)</w:t>
      </w:r>
      <w:r>
        <w:rPr>
          <w:rFonts w:asciiTheme="minorBidi" w:hAnsiTheme="minorBidi" w:cs="Arial" w:hint="cs"/>
          <w:rtl/>
        </w:rPr>
        <w:t xml:space="preserve">- </w:t>
      </w:r>
      <w:r w:rsidRPr="00196688">
        <w:rPr>
          <w:rFonts w:asciiTheme="minorBidi" w:hAnsiTheme="minorBidi" w:cs="Arial"/>
          <w:rtl/>
        </w:rPr>
        <w:t xml:space="preserve">קושרת אשה מפתחי החלוק </w:t>
      </w:r>
      <w:r>
        <w:rPr>
          <w:rFonts w:asciiTheme="minorBidi" w:hAnsiTheme="minorBidi" w:cs="Arial" w:hint="cs"/>
          <w:rtl/>
        </w:rPr>
        <w:t>אע"פ</w:t>
      </w:r>
      <w:r w:rsidRPr="00196688">
        <w:rPr>
          <w:rFonts w:asciiTheme="minorBidi" w:hAnsiTheme="minorBidi" w:cs="Arial"/>
          <w:rtl/>
        </w:rPr>
        <w:t xml:space="preserve"> שיש לו שני פתחים, וחוטי סבכה </w:t>
      </w:r>
      <w:r>
        <w:rPr>
          <w:rFonts w:asciiTheme="minorBidi" w:hAnsiTheme="minorBidi" w:cs="Arial" w:hint="cs"/>
          <w:rtl/>
        </w:rPr>
        <w:t>אע"פ</w:t>
      </w:r>
      <w:r w:rsidRPr="00196688">
        <w:rPr>
          <w:rFonts w:asciiTheme="minorBidi" w:hAnsiTheme="minorBidi" w:cs="Arial"/>
          <w:rtl/>
        </w:rPr>
        <w:t xml:space="preserve"> שהוא רפוי בראשה</w:t>
      </w:r>
      <w:r w:rsidR="000D7999">
        <w:rPr>
          <w:rFonts w:asciiTheme="minorBidi" w:hAnsiTheme="minorBidi" w:cs="Arial" w:hint="cs"/>
          <w:rtl/>
        </w:rPr>
        <w:t>,</w:t>
      </w:r>
      <w:r w:rsidRPr="00196688">
        <w:rPr>
          <w:rFonts w:asciiTheme="minorBidi" w:hAnsiTheme="minorBidi" w:cs="Arial"/>
          <w:rtl/>
        </w:rPr>
        <w:t xml:space="preserve"> ורצועות מנעל וסנדל שקושרין אותן על הרגל בשעת מלבוש</w:t>
      </w:r>
      <w:r w:rsidR="000D7999">
        <w:rPr>
          <w:rFonts w:asciiTheme="minorBidi" w:hAnsiTheme="minorBidi" w:cs="Arial" w:hint="cs"/>
          <w:rtl/>
        </w:rPr>
        <w:t>,</w:t>
      </w:r>
      <w:r w:rsidRPr="00196688">
        <w:rPr>
          <w:rFonts w:asciiTheme="minorBidi" w:hAnsiTheme="minorBidi" w:cs="Arial"/>
          <w:rtl/>
        </w:rPr>
        <w:t xml:space="preserve"> ונודות יין ושמן </w:t>
      </w:r>
      <w:r>
        <w:rPr>
          <w:rFonts w:asciiTheme="minorBidi" w:hAnsiTheme="minorBidi" w:cs="Arial" w:hint="cs"/>
          <w:rtl/>
        </w:rPr>
        <w:t>אע"פ</w:t>
      </w:r>
      <w:r w:rsidRPr="00196688">
        <w:rPr>
          <w:rFonts w:asciiTheme="minorBidi" w:hAnsiTheme="minorBidi" w:cs="Arial"/>
          <w:rtl/>
        </w:rPr>
        <w:t xml:space="preserve"> שיש לו שתי אזנים</w:t>
      </w:r>
      <w:r w:rsidR="000D7999">
        <w:rPr>
          <w:rFonts w:asciiTheme="minorBidi" w:hAnsiTheme="minorBidi" w:cs="Arial" w:hint="cs"/>
          <w:rtl/>
        </w:rPr>
        <w:t>,</w:t>
      </w:r>
      <w:r w:rsidRPr="00196688">
        <w:rPr>
          <w:rFonts w:asciiTheme="minorBidi" w:hAnsiTheme="minorBidi" w:cs="Arial"/>
          <w:rtl/>
        </w:rPr>
        <w:t xml:space="preserve"> וקדרה של בשר </w:t>
      </w:r>
      <w:r>
        <w:rPr>
          <w:rFonts w:asciiTheme="minorBidi" w:hAnsiTheme="minorBidi" w:cs="Arial" w:hint="cs"/>
          <w:rtl/>
        </w:rPr>
        <w:t>אע"פ</w:t>
      </w:r>
      <w:r w:rsidRPr="00196688">
        <w:rPr>
          <w:rFonts w:asciiTheme="minorBidi" w:hAnsiTheme="minorBidi" w:cs="Arial"/>
          <w:rtl/>
        </w:rPr>
        <w:t xml:space="preserve"> שיכולה להוציא הבשר ולא תתיר הקשר</w:t>
      </w:r>
      <w:r w:rsidR="000D7999">
        <w:rPr>
          <w:rFonts w:asciiTheme="minorBidi" w:hAnsiTheme="minorBidi" w:cs="Arial" w:hint="cs"/>
          <w:rtl/>
        </w:rPr>
        <w:t>...</w:t>
      </w:r>
      <w:r w:rsidRPr="009C6006">
        <w:rPr>
          <w:rFonts w:asciiTheme="minorBidi" w:hAnsiTheme="minorBidi" w:cs="Arial"/>
          <w:rtl/>
        </w:rPr>
        <w:t xml:space="preserve"> מפני שכל אלו הקשרים מעשה הדיוט הן ואינן של קיימא אלא פעם קושר ופעם מתיר ולפיכך מותר לקשור אותן לכתחלה</w:t>
      </w:r>
      <w:r w:rsidR="00836697">
        <w:rPr>
          <w:rStyle w:val="a9"/>
          <w:rFonts w:asciiTheme="minorBidi" w:hAnsiTheme="minorBidi" w:cs="Arial"/>
          <w:rtl/>
        </w:rPr>
        <w:footnoteReference w:id="2634"/>
      </w:r>
      <w:r>
        <w:rPr>
          <w:rFonts w:asciiTheme="minorBidi" w:hAnsiTheme="minorBidi" w:cs="Arial" w:hint="cs"/>
          <w:rtl/>
        </w:rPr>
        <w:t>.</w:t>
      </w:r>
    </w:p>
    <w:p w14:paraId="4024DB98" w14:textId="77777777" w:rsidR="005022B5" w:rsidRPr="005275DF" w:rsidRDefault="005022B5" w:rsidP="00434A6A">
      <w:pPr>
        <w:rPr>
          <w:rFonts w:asciiTheme="minorBidi" w:hAnsiTheme="minorBidi"/>
          <w:rtl/>
        </w:rPr>
      </w:pPr>
      <w:r w:rsidRPr="005275DF">
        <w:rPr>
          <w:rFonts w:asciiTheme="minorBidi" w:hAnsiTheme="minorBidi"/>
          <w:b/>
          <w:bCs/>
          <w:sz w:val="32"/>
          <w:szCs w:val="28"/>
          <w:u w:val="single"/>
          <w:rtl/>
        </w:rPr>
        <w:t xml:space="preserve">שו"ע: </w:t>
      </w:r>
    </w:p>
    <w:p w14:paraId="61093E38" w14:textId="070461CA" w:rsidR="005022B5" w:rsidRDefault="005022B5" w:rsidP="00434A6A">
      <w:pPr>
        <w:rPr>
          <w:rFonts w:asciiTheme="minorBidi" w:hAnsiTheme="minorBidi"/>
          <w:rtl/>
        </w:rPr>
      </w:pPr>
      <w:r w:rsidRPr="005275DF">
        <w:rPr>
          <w:rFonts w:asciiTheme="minorBidi" w:hAnsiTheme="minorBidi"/>
          <w:rtl/>
        </w:rPr>
        <w:t>מטלטלין חבל</w:t>
      </w:r>
      <w:r w:rsidR="00144ECF" w:rsidRPr="005275DF">
        <w:rPr>
          <w:rFonts w:asciiTheme="minorBidi" w:hAnsiTheme="minorBidi"/>
          <w:rtl/>
        </w:rPr>
        <w:t xml:space="preserve"> של גרדי</w:t>
      </w:r>
      <w:r w:rsidR="00344FEA">
        <w:rPr>
          <w:rFonts w:asciiTheme="minorBidi" w:hAnsiTheme="minorBidi" w:hint="cs"/>
          <w:rtl/>
        </w:rPr>
        <w:t xml:space="preserve"> </w:t>
      </w:r>
      <w:r w:rsidR="00144ECF" w:rsidRPr="005275DF">
        <w:rPr>
          <w:rFonts w:asciiTheme="minorBidi" w:hAnsiTheme="minorBidi"/>
          <w:rtl/>
        </w:rPr>
        <w:t>לקשרו באבוס ובפרה</w:t>
      </w:r>
      <w:r w:rsidR="00953BB0">
        <w:rPr>
          <w:rFonts w:asciiTheme="minorBidi" w:hAnsiTheme="minorBidi" w:hint="cs"/>
          <w:rtl/>
        </w:rPr>
        <w:t>,</w:t>
      </w:r>
      <w:r w:rsidRPr="005275DF">
        <w:rPr>
          <w:rFonts w:asciiTheme="minorBidi" w:hAnsiTheme="minorBidi"/>
          <w:rtl/>
        </w:rPr>
        <w:t xml:space="preserve"> ולא חיישינן שמא ית</w:t>
      </w:r>
      <w:r w:rsidR="00144ECF" w:rsidRPr="005275DF">
        <w:rPr>
          <w:rFonts w:asciiTheme="minorBidi" w:hAnsiTheme="minorBidi"/>
          <w:rtl/>
        </w:rPr>
        <w:t>יר ראש האחד ויניח ראש השני קיים</w:t>
      </w:r>
      <w:r w:rsidR="00953BB0">
        <w:rPr>
          <w:rFonts w:asciiTheme="minorBidi" w:hAnsiTheme="minorBidi" w:hint="cs"/>
          <w:rtl/>
        </w:rPr>
        <w:t>.</w:t>
      </w:r>
      <w:r w:rsidR="00144ECF" w:rsidRPr="005275DF">
        <w:rPr>
          <w:rFonts w:asciiTheme="minorBidi" w:hAnsiTheme="minorBidi"/>
          <w:rtl/>
        </w:rPr>
        <w:t xml:space="preserve"> אבל חבל דעלמא לא</w:t>
      </w:r>
      <w:r w:rsidR="000D2625">
        <w:rPr>
          <w:rFonts w:asciiTheme="minorBidi" w:hAnsiTheme="minorBidi" w:hint="cs"/>
          <w:rtl/>
        </w:rPr>
        <w:t>.</w:t>
      </w:r>
      <w:r w:rsidR="00144ECF" w:rsidRPr="005275DF">
        <w:rPr>
          <w:rFonts w:asciiTheme="minorBidi" w:hAnsiTheme="minorBidi"/>
          <w:rtl/>
        </w:rPr>
        <w:t xml:space="preserve"> והני </w:t>
      </w:r>
      <w:r w:rsidRPr="005275DF">
        <w:rPr>
          <w:rFonts w:asciiTheme="minorBidi" w:hAnsiTheme="minorBidi"/>
          <w:rtl/>
        </w:rPr>
        <w:t>מ</w:t>
      </w:r>
      <w:r w:rsidR="00144ECF" w:rsidRPr="005275DF">
        <w:rPr>
          <w:rFonts w:asciiTheme="minorBidi" w:hAnsiTheme="minorBidi"/>
          <w:rtl/>
        </w:rPr>
        <w:t>ילי לקשרו באבוס ופרה,</w:t>
      </w:r>
      <w:r w:rsidRPr="005275DF">
        <w:rPr>
          <w:rFonts w:asciiTheme="minorBidi" w:hAnsiTheme="minorBidi"/>
          <w:rtl/>
        </w:rPr>
        <w:t xml:space="preserve"> אבל אם </w:t>
      </w:r>
      <w:r w:rsidR="00144ECF" w:rsidRPr="005275DF">
        <w:rPr>
          <w:rFonts w:asciiTheme="minorBidi" w:hAnsiTheme="minorBidi"/>
          <w:rtl/>
        </w:rPr>
        <w:t>היה קשור באבוס ורוצה לקשרו בפרה</w:t>
      </w:r>
      <w:r w:rsidRPr="005275DF">
        <w:rPr>
          <w:rFonts w:asciiTheme="minorBidi" w:hAnsiTheme="minorBidi"/>
          <w:rtl/>
        </w:rPr>
        <w:t xml:space="preserve"> או אם </w:t>
      </w:r>
      <w:r w:rsidR="00144ECF" w:rsidRPr="005275DF">
        <w:rPr>
          <w:rFonts w:asciiTheme="minorBidi" w:hAnsiTheme="minorBidi"/>
          <w:rtl/>
        </w:rPr>
        <w:t>היה קשור בפרה ורוצה לקשרו באבוס</w:t>
      </w:r>
      <w:r w:rsidRPr="005275DF">
        <w:rPr>
          <w:rFonts w:asciiTheme="minorBidi" w:hAnsiTheme="minorBidi"/>
          <w:rtl/>
        </w:rPr>
        <w:t xml:space="preserve"> מותר בכל חבל.</w:t>
      </w:r>
    </w:p>
    <w:p w14:paraId="0CD4D457" w14:textId="77777777" w:rsidR="006A4BF8" w:rsidRDefault="006A4BF8" w:rsidP="00434A6A">
      <w:pPr>
        <w:pStyle w:val="1"/>
        <w:rPr>
          <w:rFonts w:asciiTheme="minorBidi" w:hAnsiTheme="minorBidi"/>
          <w:rtl/>
        </w:rPr>
        <w:sectPr w:rsidR="006A4BF8" w:rsidSect="00BD29B1">
          <w:headerReference w:type="default" r:id="rId88"/>
          <w:footnotePr>
            <w:numRestart w:val="eachSect"/>
          </w:footnotePr>
          <w:pgSz w:w="11906" w:h="16838"/>
          <w:pgMar w:top="720" w:right="1134" w:bottom="720" w:left="1134" w:header="0" w:footer="0" w:gutter="0"/>
          <w:cols w:space="720"/>
          <w:bidi/>
          <w:rtlGutter/>
          <w:docGrid w:linePitch="360"/>
        </w:sectPr>
      </w:pPr>
    </w:p>
    <w:p w14:paraId="593F49EF" w14:textId="77777777" w:rsidR="006A4BF8" w:rsidRPr="005275DF" w:rsidRDefault="006A4BF8" w:rsidP="00434A6A">
      <w:pPr>
        <w:pStyle w:val="1"/>
        <w:rPr>
          <w:rFonts w:asciiTheme="minorBidi" w:hAnsiTheme="minorBidi"/>
          <w:rtl/>
        </w:rPr>
      </w:pPr>
      <w:r w:rsidRPr="005275DF">
        <w:rPr>
          <w:rFonts w:asciiTheme="minorBidi" w:hAnsiTheme="minorBidi"/>
          <w:rtl/>
        </w:rPr>
        <w:t>סימן שיח: דין המבשל בשבת</w:t>
      </w:r>
      <w:r>
        <w:rPr>
          <w:rFonts w:asciiTheme="minorBidi" w:hAnsiTheme="minorBidi" w:hint="cs"/>
          <w:rtl/>
        </w:rPr>
        <w:t>, ובו יט' סעיפים</w:t>
      </w:r>
      <w:r w:rsidRPr="005275DF">
        <w:rPr>
          <w:rFonts w:asciiTheme="minorBidi" w:hAnsiTheme="minorBidi"/>
          <w:rtl/>
        </w:rPr>
        <w:t xml:space="preserve">. </w:t>
      </w:r>
    </w:p>
    <w:p w14:paraId="6C0434D5" w14:textId="475A6D9E" w:rsidR="006A4BF8" w:rsidRDefault="006A4BF8" w:rsidP="00434A6A">
      <w:pPr>
        <w:pStyle w:val="2"/>
        <w:rPr>
          <w:rFonts w:asciiTheme="minorBidi" w:hAnsiTheme="minorBidi" w:cstheme="minorBidi"/>
          <w:rtl/>
        </w:rPr>
      </w:pPr>
      <w:r w:rsidRPr="005275DF">
        <w:rPr>
          <w:rFonts w:asciiTheme="minorBidi" w:hAnsiTheme="minorBidi" w:cstheme="minorBidi"/>
          <w:rtl/>
        </w:rPr>
        <w:t xml:space="preserve">סעיף א: </w:t>
      </w:r>
      <w:r w:rsidR="005F2717">
        <w:rPr>
          <w:rFonts w:asciiTheme="minorBidi" w:hAnsiTheme="minorBidi" w:cstheme="minorBidi" w:hint="cs"/>
          <w:rtl/>
        </w:rPr>
        <w:t>המבשל בשבת, ו</w:t>
      </w:r>
      <w:r w:rsidRPr="005275DF">
        <w:rPr>
          <w:rFonts w:asciiTheme="minorBidi" w:hAnsiTheme="minorBidi" w:cstheme="minorBidi"/>
          <w:rtl/>
        </w:rPr>
        <w:t>הנאה ממעשה שבת.</w:t>
      </w:r>
    </w:p>
    <w:p w14:paraId="164EC680" w14:textId="5B560638" w:rsidR="00D902D0" w:rsidRPr="00D902D0" w:rsidRDefault="00D902D0" w:rsidP="00434A6A">
      <w:pPr>
        <w:rPr>
          <w:rtl/>
        </w:rPr>
      </w:pPr>
      <w:r w:rsidRPr="00D902D0">
        <w:rPr>
          <w:rFonts w:cs="Arial" w:hint="cs"/>
          <w:b/>
          <w:bCs/>
          <w:rtl/>
        </w:rPr>
        <w:t xml:space="preserve">שבת </w:t>
      </w:r>
      <w:r>
        <w:rPr>
          <w:rFonts w:cs="Arial" w:hint="cs"/>
          <w:b/>
          <w:bCs/>
          <w:sz w:val="16"/>
          <w:szCs w:val="16"/>
          <w:rtl/>
        </w:rPr>
        <w:t xml:space="preserve">(פ' כלל גדול) </w:t>
      </w:r>
      <w:r w:rsidRPr="00D902D0">
        <w:rPr>
          <w:rFonts w:cs="Arial" w:hint="cs"/>
          <w:b/>
          <w:bCs/>
          <w:rtl/>
        </w:rPr>
        <w:t>עג ע"א:</w:t>
      </w:r>
      <w:r>
        <w:rPr>
          <w:rFonts w:cs="Arial" w:hint="cs"/>
          <w:rtl/>
        </w:rPr>
        <w:t xml:space="preserve"> </w:t>
      </w:r>
      <w:r w:rsidRPr="00D902D0">
        <w:rPr>
          <w:rFonts w:cs="Arial"/>
          <w:u w:val="double"/>
          <w:rtl/>
        </w:rPr>
        <w:t>משנה</w:t>
      </w:r>
      <w:r>
        <w:rPr>
          <w:rFonts w:cs="Arial" w:hint="cs"/>
          <w:rtl/>
        </w:rPr>
        <w:t>:</w:t>
      </w:r>
      <w:r w:rsidRPr="00D902D0">
        <w:rPr>
          <w:rFonts w:cs="Arial"/>
          <w:rtl/>
        </w:rPr>
        <w:t xml:space="preserve"> אבות מלאכות ארבעים חסר אח</w:t>
      </w:r>
      <w:r>
        <w:rPr>
          <w:rFonts w:cs="Arial" w:hint="cs"/>
          <w:rtl/>
        </w:rPr>
        <w:t>ת:...</w:t>
      </w:r>
      <w:r w:rsidRPr="00D902D0">
        <w:rPr>
          <w:rFonts w:cs="Arial"/>
          <w:rtl/>
        </w:rPr>
        <w:t xml:space="preserve"> </w:t>
      </w:r>
      <w:r>
        <w:rPr>
          <w:rFonts w:cs="Arial" w:hint="cs"/>
          <w:rtl/>
        </w:rPr>
        <w:t xml:space="preserve">והלש, </w:t>
      </w:r>
      <w:r w:rsidRPr="00D902D0">
        <w:rPr>
          <w:rFonts w:cs="Arial"/>
          <w:rtl/>
        </w:rPr>
        <w:t>והאופה.</w:t>
      </w:r>
      <w:r>
        <w:rPr>
          <w:rFonts w:cs="Arial" w:hint="cs"/>
          <w:rtl/>
        </w:rPr>
        <w:t>.</w:t>
      </w:r>
      <w:r w:rsidRPr="00D902D0">
        <w:rPr>
          <w:rFonts w:cs="Arial"/>
          <w:rtl/>
        </w:rPr>
        <w:t>. הרי אלו אבות מלאכות, ארבעים חסר אחת.</w:t>
      </w:r>
      <w:r>
        <w:rPr>
          <w:rFonts w:cs="Arial" w:hint="cs"/>
          <w:rtl/>
        </w:rPr>
        <w:t xml:space="preserve">      </w:t>
      </w:r>
      <w:r>
        <w:rPr>
          <w:rFonts w:cs="Arial" w:hint="cs"/>
          <w:u w:val="double"/>
          <w:rtl/>
        </w:rPr>
        <w:t>גמרא</w:t>
      </w:r>
      <w:r w:rsidR="00445B7C">
        <w:rPr>
          <w:rFonts w:cs="Arial" w:hint="cs"/>
          <w:sz w:val="14"/>
          <w:szCs w:val="14"/>
          <w:u w:val="double"/>
          <w:rtl/>
        </w:rPr>
        <w:t xml:space="preserve"> </w:t>
      </w:r>
      <w:r>
        <w:rPr>
          <w:rFonts w:cs="Arial" w:hint="cs"/>
          <w:sz w:val="14"/>
          <w:szCs w:val="14"/>
          <w:u w:val="double"/>
          <w:rtl/>
        </w:rPr>
        <w:t>(עד:)</w:t>
      </w:r>
      <w:r>
        <w:rPr>
          <w:rFonts w:cs="Arial" w:hint="cs"/>
          <w:u w:val="double"/>
          <w:rtl/>
        </w:rPr>
        <w:t>:</w:t>
      </w:r>
      <w:r>
        <w:rPr>
          <w:rFonts w:hint="cs"/>
          <w:rtl/>
        </w:rPr>
        <w:t xml:space="preserve"> </w:t>
      </w:r>
      <w:r w:rsidRPr="00D902D0">
        <w:rPr>
          <w:rFonts w:cs="Arial"/>
          <w:rtl/>
        </w:rPr>
        <w:t xml:space="preserve">והלש והאופה. </w:t>
      </w:r>
      <w:r w:rsidRPr="00D902D0">
        <w:rPr>
          <w:rFonts w:cs="Arial"/>
          <w:u w:val="single"/>
          <w:rtl/>
        </w:rPr>
        <w:t>אמר רב פפא</w:t>
      </w:r>
      <w:r w:rsidRPr="00D902D0">
        <w:rPr>
          <w:rFonts w:cs="Arial"/>
          <w:rtl/>
        </w:rPr>
        <w:t>: שבק תנא דידן בישול סממנין דהוה במשכן, ונקט אופה</w:t>
      </w:r>
      <w:r>
        <w:rPr>
          <w:rStyle w:val="a9"/>
          <w:rFonts w:cs="Arial"/>
          <w:rtl/>
        </w:rPr>
        <w:footnoteReference w:id="2635"/>
      </w:r>
      <w:r w:rsidRPr="00D902D0">
        <w:rPr>
          <w:rFonts w:cs="Arial"/>
          <w:rtl/>
        </w:rPr>
        <w:t>! תנא דידן - סידורא דפת</w:t>
      </w:r>
      <w:r w:rsidR="00285819">
        <w:rPr>
          <w:rStyle w:val="a9"/>
          <w:rFonts w:cs="Arial"/>
          <w:rtl/>
        </w:rPr>
        <w:footnoteReference w:id="2636"/>
      </w:r>
      <w:r w:rsidRPr="00D902D0">
        <w:rPr>
          <w:rFonts w:cs="Arial"/>
          <w:rtl/>
        </w:rPr>
        <w:t xml:space="preserve"> נקט. </w:t>
      </w:r>
      <w:r w:rsidRPr="00285819">
        <w:rPr>
          <w:rFonts w:cs="Arial"/>
          <w:u w:val="single"/>
          <w:rtl/>
        </w:rPr>
        <w:t>אמר רב אחא בר רב עוירא</w:t>
      </w:r>
      <w:r w:rsidRPr="00D902D0">
        <w:rPr>
          <w:rFonts w:cs="Arial"/>
          <w:rtl/>
        </w:rPr>
        <w:t>: האי מאן דשדא סיכתא</w:t>
      </w:r>
      <w:r w:rsidR="00285819">
        <w:rPr>
          <w:rStyle w:val="a9"/>
          <w:rFonts w:cs="Arial"/>
          <w:rtl/>
        </w:rPr>
        <w:footnoteReference w:id="2637"/>
      </w:r>
      <w:r w:rsidRPr="00D902D0">
        <w:rPr>
          <w:rFonts w:cs="Arial"/>
          <w:rtl/>
        </w:rPr>
        <w:t xml:space="preserve"> לאתונא - חייב משום מבשל. פשיטא! מהו דתימא - לשרורי</w:t>
      </w:r>
      <w:r w:rsidR="00285819">
        <w:rPr>
          <w:rStyle w:val="a9"/>
          <w:rFonts w:cs="Arial"/>
          <w:rtl/>
        </w:rPr>
        <w:footnoteReference w:id="2638"/>
      </w:r>
      <w:r w:rsidRPr="00D902D0">
        <w:rPr>
          <w:rFonts w:cs="Arial"/>
          <w:rtl/>
        </w:rPr>
        <w:t xml:space="preserve"> מנא קא מיכוין, קא משמע לן: דמירפא רפי</w:t>
      </w:r>
      <w:r w:rsidR="00285819">
        <w:rPr>
          <w:rStyle w:val="a9"/>
          <w:rFonts w:cs="Arial"/>
          <w:rtl/>
        </w:rPr>
        <w:footnoteReference w:id="2639"/>
      </w:r>
      <w:r w:rsidRPr="00D902D0">
        <w:rPr>
          <w:rFonts w:cs="Arial"/>
          <w:rtl/>
        </w:rPr>
        <w:t>, והדר קמיט.</w:t>
      </w:r>
    </w:p>
    <w:p w14:paraId="786BB581" w14:textId="0FC4A819" w:rsidR="006A4BF8" w:rsidRDefault="006A4BF8" w:rsidP="00434A6A">
      <w:pPr>
        <w:rPr>
          <w:rFonts w:asciiTheme="minorBidi" w:hAnsiTheme="minorBidi"/>
          <w:rtl/>
        </w:rPr>
      </w:pPr>
      <w:bookmarkStart w:id="14" w:name="_Hlk109137285"/>
      <w:r w:rsidRPr="005275DF">
        <w:rPr>
          <w:rFonts w:asciiTheme="minorBidi" w:hAnsiTheme="minorBidi"/>
          <w:b/>
          <w:bCs/>
          <w:rtl/>
        </w:rPr>
        <w:t>חולין</w:t>
      </w:r>
      <w:r w:rsidRPr="005275DF">
        <w:rPr>
          <w:rStyle w:val="a9"/>
          <w:rFonts w:asciiTheme="minorBidi" w:hAnsiTheme="minorBidi"/>
          <w:b/>
          <w:bCs/>
          <w:rtl/>
        </w:rPr>
        <w:footnoteReference w:id="2640"/>
      </w:r>
      <w:r w:rsidRPr="005275DF">
        <w:rPr>
          <w:rFonts w:asciiTheme="minorBidi" w:hAnsiTheme="minorBidi"/>
          <w:b/>
          <w:bCs/>
          <w:rtl/>
        </w:rPr>
        <w:t xml:space="preserve"> </w:t>
      </w:r>
      <w:r w:rsidR="00D902D0">
        <w:rPr>
          <w:rFonts w:asciiTheme="minorBidi" w:hAnsiTheme="minorBidi" w:hint="cs"/>
          <w:b/>
          <w:bCs/>
          <w:sz w:val="16"/>
          <w:szCs w:val="16"/>
          <w:rtl/>
        </w:rPr>
        <w:t xml:space="preserve">(פ"ק) </w:t>
      </w:r>
      <w:r w:rsidRPr="005275DF">
        <w:rPr>
          <w:rFonts w:asciiTheme="minorBidi" w:hAnsiTheme="minorBidi"/>
          <w:b/>
          <w:bCs/>
          <w:rtl/>
        </w:rPr>
        <w:t>טו ע"א:</w:t>
      </w:r>
      <w:r w:rsidRPr="005275DF">
        <w:rPr>
          <w:rFonts w:asciiTheme="minorBidi" w:hAnsiTheme="minorBidi"/>
          <w:rtl/>
        </w:rPr>
        <w:t xml:space="preserve"> דתנן: המבשל בשבת, בשוגג - יאכל</w:t>
      </w:r>
      <w:r w:rsidRPr="005275DF">
        <w:rPr>
          <w:rStyle w:val="a9"/>
          <w:rFonts w:asciiTheme="minorBidi" w:hAnsiTheme="minorBidi"/>
          <w:rtl/>
        </w:rPr>
        <w:footnoteReference w:id="2641"/>
      </w:r>
      <w:r w:rsidRPr="005275DF">
        <w:rPr>
          <w:rFonts w:asciiTheme="minorBidi" w:hAnsiTheme="minorBidi"/>
          <w:rtl/>
        </w:rPr>
        <w:t>, במזיד</w:t>
      </w:r>
      <w:r w:rsidRPr="005275DF">
        <w:rPr>
          <w:rStyle w:val="a9"/>
          <w:rFonts w:asciiTheme="minorBidi" w:hAnsiTheme="minorBidi"/>
          <w:rtl/>
        </w:rPr>
        <w:footnoteReference w:id="2642"/>
      </w:r>
      <w:r w:rsidRPr="005275DF">
        <w:rPr>
          <w:rFonts w:asciiTheme="minorBidi" w:hAnsiTheme="minorBidi"/>
          <w:rtl/>
        </w:rPr>
        <w:t xml:space="preserve"> - לא יאכל</w:t>
      </w:r>
      <w:r w:rsidRPr="005275DF">
        <w:rPr>
          <w:rStyle w:val="a9"/>
          <w:rFonts w:asciiTheme="minorBidi" w:hAnsiTheme="minorBidi"/>
          <w:rtl/>
        </w:rPr>
        <w:footnoteReference w:id="2643"/>
      </w:r>
      <w:r w:rsidRPr="005275DF">
        <w:rPr>
          <w:rFonts w:asciiTheme="minorBidi" w:hAnsiTheme="minorBidi"/>
          <w:rtl/>
        </w:rPr>
        <w:t xml:space="preserve">, </w:t>
      </w:r>
      <w:r w:rsidRPr="005275DF">
        <w:rPr>
          <w:rFonts w:asciiTheme="minorBidi" w:hAnsiTheme="minorBidi"/>
          <w:u w:val="single"/>
          <w:rtl/>
        </w:rPr>
        <w:t>דברי רבי מאיר</w:t>
      </w:r>
      <w:r w:rsidRPr="005275DF">
        <w:rPr>
          <w:rFonts w:asciiTheme="minorBidi" w:hAnsiTheme="minorBidi"/>
          <w:rtl/>
        </w:rPr>
        <w:t xml:space="preserve">; </w:t>
      </w:r>
      <w:r w:rsidRPr="005275DF">
        <w:rPr>
          <w:rFonts w:asciiTheme="minorBidi" w:hAnsiTheme="minorBidi"/>
          <w:u w:val="single"/>
          <w:rtl/>
        </w:rPr>
        <w:t>רבי יהודה אומר</w:t>
      </w:r>
      <w:r w:rsidRPr="005275DF">
        <w:rPr>
          <w:rFonts w:asciiTheme="minorBidi" w:hAnsiTheme="minorBidi"/>
          <w:rtl/>
        </w:rPr>
        <w:t>: בשוגג - יאכל במוצאי שבת</w:t>
      </w:r>
      <w:r w:rsidRPr="005275DF">
        <w:rPr>
          <w:rStyle w:val="a9"/>
          <w:rFonts w:asciiTheme="minorBidi" w:hAnsiTheme="minorBidi"/>
          <w:rtl/>
        </w:rPr>
        <w:footnoteReference w:id="2644"/>
      </w:r>
      <w:r w:rsidRPr="005275DF">
        <w:rPr>
          <w:rFonts w:asciiTheme="minorBidi" w:hAnsiTheme="minorBidi"/>
          <w:rtl/>
        </w:rPr>
        <w:t xml:space="preserve">, במזיד - לא יאכל עולמית; </w:t>
      </w:r>
      <w:r w:rsidRPr="005275DF">
        <w:rPr>
          <w:rFonts w:asciiTheme="minorBidi" w:hAnsiTheme="minorBidi"/>
          <w:u w:val="single"/>
          <w:rtl/>
        </w:rPr>
        <w:t>רבי יוחנן הסנדלר אומר</w:t>
      </w:r>
      <w:r w:rsidRPr="005275DF">
        <w:rPr>
          <w:rFonts w:asciiTheme="minorBidi" w:hAnsiTheme="minorBidi"/>
          <w:rtl/>
        </w:rPr>
        <w:t>: בשוגג - יאכל למוצאי שבת לאחרים ולא לו</w:t>
      </w:r>
      <w:r w:rsidRPr="005275DF">
        <w:rPr>
          <w:rStyle w:val="a9"/>
          <w:rFonts w:asciiTheme="minorBidi" w:hAnsiTheme="minorBidi"/>
          <w:rtl/>
        </w:rPr>
        <w:footnoteReference w:id="2645"/>
      </w:r>
      <w:r w:rsidRPr="005275DF">
        <w:rPr>
          <w:rFonts w:asciiTheme="minorBidi" w:hAnsiTheme="minorBidi"/>
          <w:rtl/>
        </w:rPr>
        <w:t>, במזיד - לא יאכל עולמית לא לו ולא לאחרים</w:t>
      </w:r>
      <w:r w:rsidRPr="005275DF">
        <w:rPr>
          <w:rStyle w:val="a9"/>
          <w:rFonts w:asciiTheme="minorBidi" w:hAnsiTheme="minorBidi"/>
          <w:rtl/>
        </w:rPr>
        <w:footnoteReference w:id="2646"/>
      </w:r>
      <w:r w:rsidRPr="005275DF">
        <w:rPr>
          <w:rFonts w:asciiTheme="minorBidi" w:hAnsiTheme="minorBidi"/>
          <w:rtl/>
        </w:rPr>
        <w:t>.... כי מורי להו רב לתלמידיה</w:t>
      </w:r>
      <w:r w:rsidRPr="005275DF">
        <w:rPr>
          <w:rStyle w:val="a9"/>
          <w:rFonts w:asciiTheme="minorBidi" w:hAnsiTheme="minorBidi"/>
          <w:rtl/>
        </w:rPr>
        <w:footnoteReference w:id="2647"/>
      </w:r>
      <w:r w:rsidRPr="005275DF">
        <w:rPr>
          <w:rFonts w:asciiTheme="minorBidi" w:hAnsiTheme="minorBidi"/>
          <w:rtl/>
        </w:rPr>
        <w:t xml:space="preserve"> - מורי להו כר' מאיר, וכי דריש בפירקא</w:t>
      </w:r>
      <w:r w:rsidRPr="005275DF">
        <w:rPr>
          <w:rStyle w:val="a9"/>
          <w:rFonts w:asciiTheme="minorBidi" w:hAnsiTheme="minorBidi"/>
          <w:rtl/>
        </w:rPr>
        <w:footnoteReference w:id="2648"/>
      </w:r>
      <w:r w:rsidRPr="005275DF">
        <w:rPr>
          <w:rFonts w:asciiTheme="minorBidi" w:hAnsiTheme="minorBidi"/>
          <w:rtl/>
        </w:rPr>
        <w:t xml:space="preserve"> - דריש כרבי יהודה משום עמי הארץ!</w:t>
      </w:r>
      <w:r w:rsidR="00722B5A">
        <w:rPr>
          <w:rFonts w:asciiTheme="minorBidi" w:hAnsiTheme="minorBidi" w:hint="cs"/>
          <w:rtl/>
        </w:rPr>
        <w:t xml:space="preserve"> </w:t>
      </w:r>
      <w:r w:rsidR="00722B5A">
        <w:rPr>
          <w:rFonts w:asciiTheme="minorBidi" w:hAnsiTheme="minorBidi" w:cs="Arial" w:hint="cs"/>
          <w:sz w:val="16"/>
          <w:szCs w:val="16"/>
          <w:rtl/>
        </w:rPr>
        <w:t>(</w:t>
      </w:r>
      <w:r w:rsidR="00722B5A" w:rsidRPr="00722B5A">
        <w:rPr>
          <w:rFonts w:asciiTheme="minorBidi" w:hAnsiTheme="minorBidi" w:cs="Arial"/>
          <w:sz w:val="16"/>
          <w:szCs w:val="16"/>
          <w:rtl/>
        </w:rPr>
        <w:t>והביאו הרי"ף בפרק כירה (יז.)</w:t>
      </w:r>
      <w:r w:rsidR="00722B5A">
        <w:rPr>
          <w:rFonts w:asciiTheme="minorBidi" w:hAnsiTheme="minorBidi" w:cs="Arial" w:hint="cs"/>
          <w:sz w:val="16"/>
          <w:szCs w:val="16"/>
          <w:rtl/>
        </w:rPr>
        <w:t>, ב"י)</w:t>
      </w:r>
    </w:p>
    <w:p w14:paraId="06717192" w14:textId="7A9BC5DD" w:rsidR="00A450CB" w:rsidRPr="001345CC" w:rsidRDefault="004C60A5" w:rsidP="00434A6A">
      <w:pPr>
        <w:rPr>
          <w:rFonts w:asciiTheme="minorBidi" w:hAnsiTheme="minorBidi"/>
          <w:sz w:val="16"/>
          <w:szCs w:val="16"/>
          <w:rtl/>
        </w:rPr>
      </w:pPr>
      <w:r w:rsidRPr="004C60A5">
        <w:rPr>
          <w:rFonts w:asciiTheme="minorBidi" w:hAnsiTheme="minorBidi" w:cs="Arial" w:hint="cs"/>
          <w:b/>
          <w:bCs/>
          <w:rtl/>
        </w:rPr>
        <w:t xml:space="preserve">שבת </w:t>
      </w:r>
      <w:r>
        <w:rPr>
          <w:rFonts w:asciiTheme="minorBidi" w:hAnsiTheme="minorBidi" w:cs="Arial" w:hint="cs"/>
          <w:b/>
          <w:bCs/>
          <w:sz w:val="16"/>
          <w:szCs w:val="16"/>
          <w:rtl/>
        </w:rPr>
        <w:t xml:space="preserve">(פ' כירה) </w:t>
      </w:r>
      <w:r w:rsidRPr="004C60A5">
        <w:rPr>
          <w:rFonts w:asciiTheme="minorBidi" w:hAnsiTheme="minorBidi" w:cs="Arial" w:hint="cs"/>
          <w:b/>
          <w:bCs/>
          <w:rtl/>
        </w:rPr>
        <w:t xml:space="preserve">לח ע"א: </w:t>
      </w:r>
      <w:r w:rsidR="00A450CB" w:rsidRPr="004C60A5">
        <w:rPr>
          <w:rFonts w:asciiTheme="minorBidi" w:hAnsiTheme="minorBidi" w:cs="Arial"/>
          <w:u w:val="single"/>
          <w:rtl/>
        </w:rPr>
        <w:t>בעו מיניה מרבי חייא בר אבא</w:t>
      </w:r>
      <w:r w:rsidR="00A450CB" w:rsidRPr="00A450CB">
        <w:rPr>
          <w:rFonts w:asciiTheme="minorBidi" w:hAnsiTheme="minorBidi" w:cs="Arial"/>
          <w:rtl/>
        </w:rPr>
        <w:t>:</w:t>
      </w:r>
      <w:r w:rsidR="00A450CB" w:rsidRPr="00A450CB">
        <w:rPr>
          <w:rtl/>
        </w:rPr>
        <w:t xml:space="preserve"> </w:t>
      </w:r>
      <w:r w:rsidR="00A450CB">
        <w:rPr>
          <w:rFonts w:hint="cs"/>
          <w:sz w:val="14"/>
          <w:szCs w:val="14"/>
          <w:rtl/>
        </w:rPr>
        <w:t>(</w:t>
      </w:r>
      <w:r>
        <w:rPr>
          <w:rFonts w:hint="cs"/>
          <w:sz w:val="14"/>
          <w:szCs w:val="14"/>
          <w:rtl/>
        </w:rPr>
        <w:t>לח:</w:t>
      </w:r>
      <w:r w:rsidR="00A450CB">
        <w:rPr>
          <w:rFonts w:hint="cs"/>
          <w:sz w:val="14"/>
          <w:szCs w:val="14"/>
          <w:rtl/>
        </w:rPr>
        <w:t>)</w:t>
      </w:r>
      <w:r w:rsidR="00A450CB">
        <w:rPr>
          <w:rFonts w:hint="cs"/>
          <w:sz w:val="14"/>
          <w:szCs w:val="14"/>
        </w:rPr>
        <w:t xml:space="preserve"> </w:t>
      </w:r>
      <w:r w:rsidR="00A450CB" w:rsidRPr="00A450CB">
        <w:rPr>
          <w:rFonts w:asciiTheme="minorBidi" w:hAnsiTheme="minorBidi" w:cs="Arial"/>
          <w:rtl/>
        </w:rPr>
        <w:t>שכח קדירה על גבי כירה ובשלה בשבת, מהו? אישתיק ולא אמר ליה ולא מידי. למחר נפק דרש להו: המבשל בשבת, בשוגג - יאכל, במזיד - לא יאכל, ולא שנא.</w:t>
      </w:r>
      <w:r w:rsidR="001345CC">
        <w:rPr>
          <w:rFonts w:asciiTheme="minorBidi" w:hAnsiTheme="minorBidi" w:hint="cs"/>
          <w:sz w:val="16"/>
          <w:szCs w:val="16"/>
          <w:rtl/>
        </w:rPr>
        <w:t xml:space="preserve"> (וכתבו התוס' (חולין טו. ד"ה מורי) דמכאן מוכח דהלכה כרבי מאיר)</w:t>
      </w:r>
    </w:p>
    <w:bookmarkEnd w:id="14"/>
    <w:p w14:paraId="254438B2" w14:textId="194FBADD" w:rsidR="00EE28FB" w:rsidRDefault="00EE28FB" w:rsidP="00434A6A">
      <w:pPr>
        <w:rPr>
          <w:rFonts w:asciiTheme="minorBidi" w:hAnsiTheme="minorBidi" w:cs="Arial"/>
          <w:rtl/>
        </w:rPr>
      </w:pPr>
      <w:r w:rsidRPr="00EE28FB">
        <w:rPr>
          <w:rFonts w:asciiTheme="minorBidi" w:hAnsiTheme="minorBidi" w:cs="Arial" w:hint="cs"/>
          <w:u w:val="single"/>
          <w:rtl/>
        </w:rPr>
        <w:t>כיצד נפסק</w:t>
      </w:r>
      <w:r w:rsidR="00942E39">
        <w:rPr>
          <w:rFonts w:asciiTheme="minorBidi" w:hAnsiTheme="minorBidi" w:cs="Arial" w:hint="cs"/>
          <w:u w:val="single"/>
          <w:rtl/>
        </w:rPr>
        <w:t xml:space="preserve"> לגבי המבשל בשבת</w:t>
      </w:r>
      <w:r w:rsidRPr="00EE28FB">
        <w:rPr>
          <w:rFonts w:asciiTheme="minorBidi" w:hAnsiTheme="minorBidi" w:cs="Arial" w:hint="cs"/>
          <w:u w:val="single"/>
          <w:rtl/>
        </w:rPr>
        <w:t>:</w:t>
      </w:r>
      <w:r>
        <w:rPr>
          <w:rFonts w:asciiTheme="minorBidi" w:hAnsiTheme="minorBidi" w:cs="Arial" w:hint="cs"/>
          <w:rtl/>
        </w:rPr>
        <w:t xml:space="preserve"> </w:t>
      </w:r>
    </w:p>
    <w:p w14:paraId="3F2EE6BA" w14:textId="31E28D5D" w:rsidR="00EE28FB" w:rsidRPr="00A450CB" w:rsidRDefault="00A450CB" w:rsidP="00434A6A">
      <w:pPr>
        <w:pStyle w:val="aa"/>
        <w:numPr>
          <w:ilvl w:val="0"/>
          <w:numId w:val="32"/>
        </w:numPr>
        <w:rPr>
          <w:rFonts w:asciiTheme="minorBidi" w:hAnsiTheme="minorBidi" w:cs="Arial"/>
          <w:rtl/>
        </w:rPr>
      </w:pPr>
      <w:r w:rsidRPr="00EE28FB">
        <w:rPr>
          <w:rFonts w:asciiTheme="minorBidi" w:hAnsiTheme="minorBidi" w:cs="Arial"/>
          <w:rtl/>
        </w:rPr>
        <w:t>בה"ג</w:t>
      </w:r>
      <w:r w:rsidRPr="00A450CB">
        <w:rPr>
          <w:rFonts w:asciiTheme="minorBidi" w:hAnsiTheme="minorBidi" w:cs="Arial"/>
          <w:sz w:val="16"/>
          <w:szCs w:val="16"/>
          <w:rtl/>
        </w:rPr>
        <w:t xml:space="preserve"> </w:t>
      </w:r>
      <w:r w:rsidRPr="00A450CB">
        <w:rPr>
          <w:rFonts w:asciiTheme="minorBidi" w:hAnsiTheme="minorBidi" w:cs="Arial" w:hint="cs"/>
          <w:sz w:val="16"/>
          <w:szCs w:val="16"/>
          <w:rtl/>
        </w:rPr>
        <w:t>(</w:t>
      </w:r>
      <w:r w:rsidRPr="00A450CB">
        <w:rPr>
          <w:rFonts w:asciiTheme="minorBidi" w:hAnsiTheme="minorBidi" w:cs="Arial"/>
          <w:sz w:val="16"/>
          <w:szCs w:val="16"/>
          <w:rtl/>
        </w:rPr>
        <w:t>הל</w:t>
      </w:r>
      <w:r w:rsidRPr="00A450CB">
        <w:rPr>
          <w:rFonts w:asciiTheme="minorBidi" w:hAnsiTheme="minorBidi" w:cs="Arial" w:hint="cs"/>
          <w:sz w:val="16"/>
          <w:szCs w:val="16"/>
          <w:rtl/>
        </w:rPr>
        <w:t>'</w:t>
      </w:r>
      <w:r w:rsidRPr="00A450CB">
        <w:rPr>
          <w:rFonts w:asciiTheme="minorBidi" w:hAnsiTheme="minorBidi" w:cs="Arial"/>
          <w:sz w:val="16"/>
          <w:szCs w:val="16"/>
          <w:rtl/>
        </w:rPr>
        <w:t xml:space="preserve"> שבת כב</w:t>
      </w:r>
      <w:r w:rsidRPr="00A450CB">
        <w:rPr>
          <w:rFonts w:asciiTheme="minorBidi" w:hAnsiTheme="minorBidi" w:cs="Arial" w:hint="cs"/>
          <w:sz w:val="16"/>
          <w:szCs w:val="16"/>
          <w:rtl/>
        </w:rPr>
        <w:t>:)</w:t>
      </w:r>
      <w:r>
        <w:rPr>
          <w:rFonts w:asciiTheme="minorBidi" w:hAnsiTheme="minorBidi" w:cs="Arial" w:hint="cs"/>
          <w:sz w:val="16"/>
          <w:szCs w:val="16"/>
          <w:rtl/>
        </w:rPr>
        <w:t xml:space="preserve"> </w:t>
      </w:r>
      <w:r w:rsidRPr="00EE28FB">
        <w:rPr>
          <w:rFonts w:asciiTheme="minorBidi" w:hAnsiTheme="minorBidi" w:cs="Arial"/>
          <w:rtl/>
        </w:rPr>
        <w:t xml:space="preserve">שאילתות </w:t>
      </w:r>
      <w:r w:rsidRPr="00A450CB">
        <w:rPr>
          <w:rFonts w:asciiTheme="minorBidi" w:hAnsiTheme="minorBidi" w:cs="Arial" w:hint="cs"/>
          <w:sz w:val="16"/>
          <w:szCs w:val="16"/>
          <w:rtl/>
        </w:rPr>
        <w:t>(</w:t>
      </w:r>
      <w:r w:rsidRPr="00A450CB">
        <w:rPr>
          <w:rFonts w:asciiTheme="minorBidi" w:hAnsiTheme="minorBidi" w:cs="Arial"/>
          <w:sz w:val="16"/>
          <w:szCs w:val="16"/>
          <w:rtl/>
        </w:rPr>
        <w:t>פ</w:t>
      </w:r>
      <w:r>
        <w:rPr>
          <w:rFonts w:asciiTheme="minorBidi" w:hAnsiTheme="minorBidi" w:cs="Arial" w:hint="cs"/>
          <w:sz w:val="16"/>
          <w:szCs w:val="16"/>
          <w:rtl/>
        </w:rPr>
        <w:t>'</w:t>
      </w:r>
      <w:r w:rsidRPr="00A450CB">
        <w:rPr>
          <w:rFonts w:asciiTheme="minorBidi" w:hAnsiTheme="minorBidi" w:cs="Arial"/>
          <w:sz w:val="16"/>
          <w:szCs w:val="16"/>
          <w:rtl/>
        </w:rPr>
        <w:t xml:space="preserve"> שלח קכח)</w:t>
      </w:r>
      <w:r>
        <w:rPr>
          <w:rFonts w:asciiTheme="minorBidi" w:hAnsiTheme="minorBidi" w:cs="Arial" w:hint="cs"/>
          <w:rtl/>
        </w:rPr>
        <w:t xml:space="preserve"> </w:t>
      </w:r>
      <w:r w:rsidR="002065FF" w:rsidRPr="00EE28FB">
        <w:rPr>
          <w:rFonts w:asciiTheme="minorBidi" w:hAnsiTheme="minorBidi" w:cs="Arial"/>
          <w:rtl/>
        </w:rPr>
        <w:t>רי"ף</w:t>
      </w:r>
      <w:r w:rsidR="00EE28FB">
        <w:rPr>
          <w:rFonts w:asciiTheme="minorBidi" w:hAnsiTheme="minorBidi" w:cs="Arial" w:hint="cs"/>
          <w:sz w:val="16"/>
          <w:szCs w:val="16"/>
          <w:rtl/>
        </w:rPr>
        <w:t xml:space="preserve"> (יז.)</w:t>
      </w:r>
      <w:r w:rsidR="00EE28FB" w:rsidRPr="00EE28FB">
        <w:rPr>
          <w:rFonts w:asciiTheme="minorBidi" w:hAnsiTheme="minorBidi" w:cs="Arial"/>
          <w:rtl/>
        </w:rPr>
        <w:t xml:space="preserve"> רמב"ם </w:t>
      </w:r>
      <w:r w:rsidR="00EE28FB" w:rsidRPr="00EE28FB">
        <w:rPr>
          <w:rFonts w:asciiTheme="minorBidi" w:hAnsiTheme="minorBidi" w:cs="Arial" w:hint="cs"/>
          <w:sz w:val="16"/>
          <w:szCs w:val="16"/>
          <w:rtl/>
        </w:rPr>
        <w:t>(</w:t>
      </w:r>
      <w:r w:rsidR="00EE28FB" w:rsidRPr="00EE28FB">
        <w:rPr>
          <w:rFonts w:asciiTheme="minorBidi" w:hAnsiTheme="minorBidi" w:cs="Arial"/>
          <w:sz w:val="16"/>
          <w:szCs w:val="16"/>
          <w:rtl/>
        </w:rPr>
        <w:t>פ</w:t>
      </w:r>
      <w:r w:rsidR="00EE28FB" w:rsidRPr="00EE28FB">
        <w:rPr>
          <w:rFonts w:asciiTheme="minorBidi" w:hAnsiTheme="minorBidi" w:cs="Arial" w:hint="cs"/>
          <w:sz w:val="16"/>
          <w:szCs w:val="16"/>
          <w:rtl/>
        </w:rPr>
        <w:t>"</w:t>
      </w:r>
      <w:r w:rsidR="00EE28FB" w:rsidRPr="00EE28FB">
        <w:rPr>
          <w:rFonts w:asciiTheme="minorBidi" w:hAnsiTheme="minorBidi" w:cs="Arial"/>
          <w:sz w:val="16"/>
          <w:szCs w:val="16"/>
          <w:rtl/>
        </w:rPr>
        <w:t>ו הכ"ג)</w:t>
      </w:r>
      <w:r w:rsidR="00932BEA" w:rsidRPr="00932BEA">
        <w:rPr>
          <w:rFonts w:asciiTheme="minorBidi" w:hAnsiTheme="minorBidi" w:cs="Arial"/>
          <w:rtl/>
        </w:rPr>
        <w:t xml:space="preserve"> </w:t>
      </w:r>
      <w:r>
        <w:rPr>
          <w:rFonts w:asciiTheme="minorBidi" w:hAnsiTheme="minorBidi" w:cs="Arial" w:hint="cs"/>
          <w:rtl/>
        </w:rPr>
        <w:t>ו</w:t>
      </w:r>
      <w:r w:rsidR="00932BEA" w:rsidRPr="00EE28FB">
        <w:rPr>
          <w:rFonts w:asciiTheme="minorBidi" w:hAnsiTheme="minorBidi" w:cs="Arial"/>
          <w:rtl/>
        </w:rPr>
        <w:t xml:space="preserve">רמב"ן </w:t>
      </w:r>
      <w:r w:rsidR="00932BEA" w:rsidRPr="00932BEA">
        <w:rPr>
          <w:rFonts w:asciiTheme="minorBidi" w:hAnsiTheme="minorBidi" w:cs="Arial"/>
          <w:sz w:val="16"/>
          <w:szCs w:val="16"/>
          <w:rtl/>
        </w:rPr>
        <w:t xml:space="preserve">(חולין טו., </w:t>
      </w:r>
      <w:r w:rsidR="00445B7C">
        <w:rPr>
          <w:rFonts w:asciiTheme="minorBidi" w:hAnsiTheme="minorBidi" w:cs="Arial" w:hint="cs"/>
          <w:sz w:val="16"/>
          <w:szCs w:val="16"/>
          <w:rtl/>
        </w:rPr>
        <w:t>וב</w:t>
      </w:r>
      <w:r w:rsidR="00932BEA" w:rsidRPr="00932BEA">
        <w:rPr>
          <w:rFonts w:asciiTheme="minorBidi" w:hAnsiTheme="minorBidi" w:cs="Arial"/>
          <w:sz w:val="16"/>
          <w:szCs w:val="16"/>
          <w:rtl/>
        </w:rPr>
        <w:t>מלח</w:t>
      </w:r>
      <w:r w:rsidR="00445B7C">
        <w:rPr>
          <w:rFonts w:asciiTheme="minorBidi" w:hAnsiTheme="minorBidi" w:cs="Arial" w:hint="cs"/>
          <w:sz w:val="16"/>
          <w:szCs w:val="16"/>
          <w:rtl/>
        </w:rPr>
        <w:t>מות</w:t>
      </w:r>
      <w:r w:rsidR="00932BEA" w:rsidRPr="00932BEA">
        <w:rPr>
          <w:rFonts w:asciiTheme="minorBidi" w:hAnsiTheme="minorBidi" w:cs="Arial"/>
          <w:sz w:val="16"/>
          <w:szCs w:val="16"/>
          <w:rtl/>
        </w:rPr>
        <w:t xml:space="preserve"> שבת יז.)</w:t>
      </w:r>
      <w:r>
        <w:rPr>
          <w:rStyle w:val="a9"/>
          <w:rFonts w:asciiTheme="minorBidi" w:hAnsiTheme="minorBidi" w:cs="Arial"/>
          <w:rtl/>
        </w:rPr>
        <w:footnoteReference w:id="2649"/>
      </w:r>
      <w:r w:rsidR="00EE28FB">
        <w:rPr>
          <w:rFonts w:asciiTheme="minorBidi" w:hAnsiTheme="minorBidi" w:cs="Arial" w:hint="cs"/>
          <w:rtl/>
        </w:rPr>
        <w:t>- הלכה</w:t>
      </w:r>
      <w:r w:rsidR="002065FF" w:rsidRPr="00EE28FB">
        <w:rPr>
          <w:rFonts w:asciiTheme="minorBidi" w:hAnsiTheme="minorBidi" w:cs="Arial"/>
          <w:rtl/>
        </w:rPr>
        <w:t xml:space="preserve"> כרבי יהודה</w:t>
      </w:r>
      <w:r>
        <w:rPr>
          <w:rStyle w:val="a9"/>
          <w:rFonts w:asciiTheme="minorBidi" w:hAnsiTheme="minorBidi" w:cs="Arial"/>
          <w:rtl/>
        </w:rPr>
        <w:footnoteReference w:id="2650"/>
      </w:r>
      <w:r w:rsidR="002065FF" w:rsidRPr="00EE28FB">
        <w:rPr>
          <w:rFonts w:asciiTheme="minorBidi" w:hAnsiTheme="minorBidi" w:cs="Arial"/>
          <w:rtl/>
        </w:rPr>
        <w:t xml:space="preserve">. </w:t>
      </w:r>
      <w:r w:rsidR="00EE28FB" w:rsidRPr="00A450CB">
        <w:rPr>
          <w:rFonts w:asciiTheme="minorBidi" w:hAnsiTheme="minorBidi" w:cs="Arial" w:hint="cs"/>
          <w:rtl/>
        </w:rPr>
        <w:t xml:space="preserve"> </w:t>
      </w:r>
    </w:p>
    <w:p w14:paraId="5BBEC4A4" w14:textId="798C97F0" w:rsidR="00EE28FB" w:rsidRPr="00EE28FB" w:rsidRDefault="00A450CB" w:rsidP="00434A6A">
      <w:pPr>
        <w:pStyle w:val="aa"/>
        <w:numPr>
          <w:ilvl w:val="0"/>
          <w:numId w:val="32"/>
        </w:numPr>
        <w:rPr>
          <w:rFonts w:asciiTheme="minorBidi" w:hAnsiTheme="minorBidi" w:cs="Arial"/>
          <w:rtl/>
        </w:rPr>
      </w:pPr>
      <w:r>
        <w:rPr>
          <w:rFonts w:asciiTheme="minorBidi" w:hAnsiTheme="minorBidi" w:cs="Arial" w:hint="cs"/>
          <w:rtl/>
        </w:rPr>
        <w:t xml:space="preserve">תוס' </w:t>
      </w:r>
      <w:r>
        <w:rPr>
          <w:rFonts w:asciiTheme="minorBidi" w:hAnsiTheme="minorBidi" w:cs="Arial" w:hint="cs"/>
          <w:sz w:val="16"/>
          <w:szCs w:val="16"/>
          <w:rtl/>
        </w:rPr>
        <w:t xml:space="preserve">(חולין </w:t>
      </w:r>
      <w:r w:rsidR="004C60A5">
        <w:rPr>
          <w:rFonts w:asciiTheme="minorBidi" w:hAnsiTheme="minorBidi" w:cs="Arial" w:hint="cs"/>
          <w:sz w:val="16"/>
          <w:szCs w:val="16"/>
          <w:rtl/>
        </w:rPr>
        <w:t>טו. ד"ה מורי להו כר"מ</w:t>
      </w:r>
      <w:r>
        <w:rPr>
          <w:rFonts w:asciiTheme="minorBidi" w:hAnsiTheme="minorBidi" w:cs="Arial" w:hint="cs"/>
          <w:sz w:val="16"/>
          <w:szCs w:val="16"/>
          <w:rtl/>
        </w:rPr>
        <w:t>)</w:t>
      </w:r>
      <w:r w:rsidR="004C60A5" w:rsidRPr="004C60A5">
        <w:rPr>
          <w:rFonts w:asciiTheme="minorBidi" w:hAnsiTheme="minorBidi" w:cs="Arial" w:hint="cs"/>
          <w:rtl/>
        </w:rPr>
        <w:t xml:space="preserve"> </w:t>
      </w:r>
      <w:r w:rsidR="004C60A5">
        <w:rPr>
          <w:rFonts w:asciiTheme="minorBidi" w:hAnsiTheme="minorBidi" w:cs="Arial" w:hint="cs"/>
          <w:rtl/>
        </w:rPr>
        <w:t>ו</w:t>
      </w:r>
      <w:r w:rsidR="004C60A5" w:rsidRPr="00EE28FB">
        <w:rPr>
          <w:rFonts w:asciiTheme="minorBidi" w:hAnsiTheme="minorBidi" w:cs="Arial"/>
          <w:rtl/>
        </w:rPr>
        <w:t xml:space="preserve">התרומה </w:t>
      </w:r>
      <w:r w:rsidR="004C60A5" w:rsidRPr="004C60A5">
        <w:rPr>
          <w:rFonts w:asciiTheme="minorBidi" w:hAnsiTheme="minorBidi" w:cs="Arial"/>
          <w:sz w:val="16"/>
          <w:szCs w:val="16"/>
          <w:rtl/>
        </w:rPr>
        <w:t>(סי' רמח)</w:t>
      </w:r>
      <w:r>
        <w:rPr>
          <w:rFonts w:asciiTheme="minorBidi" w:hAnsiTheme="minorBidi" w:cs="Arial" w:hint="cs"/>
          <w:rtl/>
        </w:rPr>
        <w:t xml:space="preserve">- </w:t>
      </w:r>
      <w:r w:rsidR="004C60A5">
        <w:rPr>
          <w:rFonts w:asciiTheme="minorBidi" w:hAnsiTheme="minorBidi" w:cs="Arial" w:hint="cs"/>
          <w:rtl/>
        </w:rPr>
        <w:t>הלכה</w:t>
      </w:r>
      <w:r w:rsidR="002065FF" w:rsidRPr="00EE28FB">
        <w:rPr>
          <w:rFonts w:asciiTheme="minorBidi" w:hAnsiTheme="minorBidi" w:cs="Arial"/>
          <w:rtl/>
        </w:rPr>
        <w:t xml:space="preserve"> כרבי מאיר</w:t>
      </w:r>
      <w:r w:rsidR="004C60A5">
        <w:rPr>
          <w:rStyle w:val="a9"/>
          <w:rFonts w:asciiTheme="minorBidi" w:hAnsiTheme="minorBidi" w:cs="Arial"/>
          <w:rtl/>
        </w:rPr>
        <w:footnoteReference w:id="2651"/>
      </w:r>
      <w:r w:rsidR="002065FF" w:rsidRPr="00EE28FB">
        <w:rPr>
          <w:rFonts w:asciiTheme="minorBidi" w:hAnsiTheme="minorBidi" w:cs="Arial"/>
          <w:rtl/>
        </w:rPr>
        <w:t xml:space="preserve">. </w:t>
      </w:r>
    </w:p>
    <w:p w14:paraId="2FABBCE7" w14:textId="78AE2DCA" w:rsidR="002065FF" w:rsidRPr="00EE28FB" w:rsidRDefault="00EE28FB" w:rsidP="00434A6A">
      <w:pPr>
        <w:pStyle w:val="aa"/>
        <w:numPr>
          <w:ilvl w:val="1"/>
          <w:numId w:val="32"/>
        </w:numPr>
        <w:rPr>
          <w:rFonts w:asciiTheme="minorBidi" w:hAnsiTheme="minorBidi"/>
          <w:rtl/>
        </w:rPr>
      </w:pPr>
      <w:r w:rsidRPr="00EE28FB">
        <w:rPr>
          <w:rFonts w:asciiTheme="minorBidi" w:hAnsiTheme="minorBidi" w:cs="Arial" w:hint="cs"/>
          <w:rtl/>
        </w:rPr>
        <w:t xml:space="preserve">ב"י- </w:t>
      </w:r>
      <w:r w:rsidR="002065FF" w:rsidRPr="00EE28FB">
        <w:rPr>
          <w:rFonts w:asciiTheme="minorBidi" w:hAnsiTheme="minorBidi" w:cs="Arial"/>
          <w:rtl/>
        </w:rPr>
        <w:t>ולענין הלכה כיון שהרי"ף והרמב"ם והרא"ש מסכימים לדעת אחת וגם הגאונים והרמב"ן סוברים כן הכי נקיטינן</w:t>
      </w:r>
      <w:r w:rsidRPr="00EE28FB">
        <w:rPr>
          <w:rFonts w:asciiTheme="minorBidi" w:hAnsiTheme="minorBidi" w:cs="Arial" w:hint="cs"/>
          <w:rtl/>
        </w:rPr>
        <w:t>.</w:t>
      </w:r>
    </w:p>
    <w:p w14:paraId="22BC78DB" w14:textId="5A6DBACC" w:rsidR="00722B5A" w:rsidRPr="00722B5A" w:rsidRDefault="005F2717" w:rsidP="00434A6A">
      <w:pPr>
        <w:rPr>
          <w:rFonts w:asciiTheme="minorBidi" w:hAnsiTheme="minorBidi"/>
          <w:u w:val="single"/>
          <w:rtl/>
        </w:rPr>
      </w:pPr>
      <w:r>
        <w:rPr>
          <w:rFonts w:asciiTheme="minorBidi" w:hAnsiTheme="minorBidi" w:hint="cs"/>
          <w:u w:val="single"/>
          <w:rtl/>
        </w:rPr>
        <w:t>למעשה</w:t>
      </w:r>
      <w:r w:rsidR="001345CC">
        <w:rPr>
          <w:rFonts w:asciiTheme="minorBidi" w:hAnsiTheme="minorBidi" w:hint="cs"/>
          <w:u w:val="single"/>
          <w:rtl/>
        </w:rPr>
        <w:t>,</w:t>
      </w:r>
      <w:r>
        <w:rPr>
          <w:rFonts w:asciiTheme="minorBidi" w:hAnsiTheme="minorBidi" w:hint="cs"/>
          <w:u w:val="single"/>
          <w:rtl/>
        </w:rPr>
        <w:t xml:space="preserve"> </w:t>
      </w:r>
      <w:r w:rsidR="00722B5A" w:rsidRPr="00722B5A">
        <w:rPr>
          <w:rFonts w:asciiTheme="minorBidi" w:hAnsiTheme="minorBidi" w:hint="cs"/>
          <w:u w:val="single"/>
          <w:rtl/>
        </w:rPr>
        <w:t>המבשל בשבת</w:t>
      </w:r>
      <w:r w:rsidR="001345CC">
        <w:rPr>
          <w:rFonts w:asciiTheme="minorBidi" w:hAnsiTheme="minorBidi" w:hint="cs"/>
          <w:u w:val="single"/>
          <w:rtl/>
        </w:rPr>
        <w:t xml:space="preserve"> - האם אפשר ל</w:t>
      </w:r>
      <w:r w:rsidR="00127167">
        <w:rPr>
          <w:rFonts w:asciiTheme="minorBidi" w:hAnsiTheme="minorBidi" w:hint="cs"/>
          <w:u w:val="single"/>
          <w:rtl/>
        </w:rPr>
        <w:t>אכול</w:t>
      </w:r>
      <w:r w:rsidR="001345CC">
        <w:rPr>
          <w:rFonts w:asciiTheme="minorBidi" w:hAnsiTheme="minorBidi" w:hint="cs"/>
          <w:u w:val="single"/>
          <w:rtl/>
        </w:rPr>
        <w:t xml:space="preserve"> מהתבשיל</w:t>
      </w:r>
      <w:r w:rsidR="00722B5A" w:rsidRPr="00722B5A">
        <w:rPr>
          <w:rFonts w:asciiTheme="minorBidi" w:hAnsiTheme="minorBidi" w:hint="cs"/>
          <w:u w:val="single"/>
          <w:rtl/>
        </w:rPr>
        <w:t>:</w:t>
      </w:r>
    </w:p>
    <w:p w14:paraId="2EE1F434" w14:textId="3C83A5D3" w:rsidR="00722B5A" w:rsidRPr="00FE17D7" w:rsidRDefault="00FE17D7" w:rsidP="00434A6A">
      <w:pPr>
        <w:pStyle w:val="aa"/>
        <w:numPr>
          <w:ilvl w:val="0"/>
          <w:numId w:val="32"/>
        </w:numPr>
        <w:rPr>
          <w:rFonts w:asciiTheme="minorBidi" w:hAnsiTheme="minorBidi"/>
        </w:rPr>
      </w:pPr>
      <w:r w:rsidRPr="00EE28FB">
        <w:rPr>
          <w:rFonts w:asciiTheme="minorBidi" w:hAnsiTheme="minorBidi" w:cs="Arial"/>
          <w:rtl/>
        </w:rPr>
        <w:t xml:space="preserve">רמב"ם </w:t>
      </w:r>
      <w:r w:rsidRPr="00EE28FB">
        <w:rPr>
          <w:rFonts w:asciiTheme="minorBidi" w:hAnsiTheme="minorBidi" w:cs="Arial" w:hint="cs"/>
          <w:sz w:val="16"/>
          <w:szCs w:val="16"/>
          <w:rtl/>
        </w:rPr>
        <w:t>(</w:t>
      </w:r>
      <w:r>
        <w:rPr>
          <w:rFonts w:asciiTheme="minorBidi" w:hAnsiTheme="minorBidi" w:cs="Arial" w:hint="cs"/>
          <w:sz w:val="16"/>
          <w:szCs w:val="16"/>
          <w:rtl/>
        </w:rPr>
        <w:t>שם</w:t>
      </w:r>
      <w:r w:rsidRPr="00EE28FB">
        <w:rPr>
          <w:rFonts w:asciiTheme="minorBidi" w:hAnsiTheme="minorBidi" w:cs="Arial"/>
          <w:sz w:val="16"/>
          <w:szCs w:val="16"/>
          <w:rtl/>
        </w:rPr>
        <w:t>)</w:t>
      </w:r>
      <w:r w:rsidR="00E801BC">
        <w:rPr>
          <w:rFonts w:asciiTheme="minorBidi" w:hAnsiTheme="minorBidi" w:cs="Arial" w:hint="cs"/>
          <w:rtl/>
        </w:rPr>
        <w:t xml:space="preserve"> ה"ר יונה</w:t>
      </w:r>
      <w:r w:rsidR="00E801BC">
        <w:rPr>
          <w:rFonts w:asciiTheme="minorBidi" w:hAnsiTheme="minorBidi" w:cs="Arial" w:hint="cs"/>
          <w:sz w:val="16"/>
          <w:szCs w:val="16"/>
          <w:rtl/>
        </w:rPr>
        <w:t xml:space="preserve"> (כ"כ הה"מ בשמו [פ"ו הכ"ג])</w:t>
      </w:r>
      <w:r w:rsidR="00E801BC" w:rsidRPr="00E801BC">
        <w:rPr>
          <w:rFonts w:asciiTheme="minorBidi" w:hAnsiTheme="minorBidi" w:cs="Arial"/>
          <w:rtl/>
        </w:rPr>
        <w:t xml:space="preserve"> </w:t>
      </w:r>
      <w:r w:rsidR="00E801BC" w:rsidRPr="001345CC">
        <w:rPr>
          <w:rFonts w:asciiTheme="minorBidi" w:hAnsiTheme="minorBidi" w:cs="Arial"/>
          <w:rtl/>
        </w:rPr>
        <w:t xml:space="preserve">רא"ש </w:t>
      </w:r>
      <w:r w:rsidR="00E801BC" w:rsidRPr="00E801BC">
        <w:rPr>
          <w:rFonts w:asciiTheme="minorBidi" w:hAnsiTheme="minorBidi" w:cs="Arial"/>
          <w:sz w:val="16"/>
          <w:szCs w:val="16"/>
          <w:rtl/>
        </w:rPr>
        <w:t>(חולין שם סי' יט)</w:t>
      </w:r>
      <w:r w:rsidR="00E801BC" w:rsidRPr="001345CC">
        <w:rPr>
          <w:rFonts w:asciiTheme="minorBidi" w:hAnsiTheme="minorBidi" w:cs="Arial"/>
          <w:rtl/>
        </w:rPr>
        <w:t xml:space="preserve"> ור"ן </w:t>
      </w:r>
      <w:r w:rsidR="00E801BC" w:rsidRPr="00E801BC">
        <w:rPr>
          <w:rFonts w:asciiTheme="minorBidi" w:hAnsiTheme="minorBidi" w:cs="Arial"/>
          <w:sz w:val="16"/>
          <w:szCs w:val="16"/>
          <w:rtl/>
        </w:rPr>
        <w:t>(שם ד. סוד"ה מתני', שבת יז. ד"ה הלכך)</w:t>
      </w:r>
      <w:r>
        <w:rPr>
          <w:rFonts w:asciiTheme="minorBidi" w:hAnsiTheme="minorBidi" w:cs="Arial" w:hint="cs"/>
          <w:rtl/>
        </w:rPr>
        <w:t xml:space="preserve">- </w:t>
      </w:r>
      <w:r w:rsidR="003C6BB8" w:rsidRPr="002065FF">
        <w:rPr>
          <w:rFonts w:asciiTheme="minorBidi" w:hAnsiTheme="minorBidi" w:cs="Arial"/>
          <w:rtl/>
        </w:rPr>
        <w:t xml:space="preserve">המבשל בשבת </w:t>
      </w:r>
      <w:r w:rsidR="003C6BB8">
        <w:rPr>
          <w:rFonts w:asciiTheme="minorBidi" w:hAnsiTheme="minorBidi" w:cs="Arial" w:hint="cs"/>
          <w:rtl/>
        </w:rPr>
        <w:t xml:space="preserve">- </w:t>
      </w:r>
      <w:r w:rsidR="003C6BB8" w:rsidRPr="002065FF">
        <w:rPr>
          <w:rFonts w:asciiTheme="minorBidi" w:hAnsiTheme="minorBidi" w:cs="Arial"/>
          <w:rtl/>
        </w:rPr>
        <w:t>חייב</w:t>
      </w:r>
      <w:r w:rsidR="003C6BB8">
        <w:rPr>
          <w:rFonts w:asciiTheme="minorBidi" w:hAnsiTheme="minorBidi" w:cs="Arial" w:hint="cs"/>
          <w:rtl/>
        </w:rPr>
        <w:t>. אם עשה</w:t>
      </w:r>
      <w:r w:rsidR="003C6BB8" w:rsidRPr="002065FF">
        <w:rPr>
          <w:rFonts w:asciiTheme="minorBidi" w:hAnsiTheme="minorBidi" w:cs="Arial"/>
          <w:rtl/>
        </w:rPr>
        <w:t xml:space="preserve"> </w:t>
      </w:r>
      <w:r w:rsidR="00722B5A" w:rsidRPr="002065FF">
        <w:rPr>
          <w:rFonts w:asciiTheme="minorBidi" w:hAnsiTheme="minorBidi" w:cs="Arial"/>
          <w:rtl/>
        </w:rPr>
        <w:t>במזיד</w:t>
      </w:r>
      <w:r w:rsidR="003C6BB8">
        <w:rPr>
          <w:rFonts w:asciiTheme="minorBidi" w:hAnsiTheme="minorBidi" w:cs="Arial" w:hint="cs"/>
          <w:rtl/>
        </w:rPr>
        <w:t xml:space="preserve"> -</w:t>
      </w:r>
      <w:r w:rsidR="005F2717">
        <w:rPr>
          <w:rFonts w:asciiTheme="minorBidi" w:hAnsiTheme="minorBidi" w:cs="Arial" w:hint="cs"/>
          <w:rtl/>
        </w:rPr>
        <w:t xml:space="preserve"> </w:t>
      </w:r>
      <w:r w:rsidR="00722B5A" w:rsidRPr="002065FF">
        <w:rPr>
          <w:rFonts w:asciiTheme="minorBidi" w:hAnsiTheme="minorBidi" w:cs="Arial"/>
          <w:rtl/>
        </w:rPr>
        <w:t>אסור לו לעולם</w:t>
      </w:r>
      <w:r w:rsidR="005F2717">
        <w:rPr>
          <w:rFonts w:asciiTheme="minorBidi" w:hAnsiTheme="minorBidi" w:cs="Arial" w:hint="cs"/>
          <w:rtl/>
        </w:rPr>
        <w:t>,</w:t>
      </w:r>
      <w:r w:rsidR="00722B5A" w:rsidRPr="002065FF">
        <w:rPr>
          <w:rFonts w:asciiTheme="minorBidi" w:hAnsiTheme="minorBidi" w:cs="Arial"/>
          <w:rtl/>
        </w:rPr>
        <w:t xml:space="preserve"> ולאחרים מותר למ</w:t>
      </w:r>
      <w:r w:rsidR="005F2717">
        <w:rPr>
          <w:rFonts w:asciiTheme="minorBidi" w:hAnsiTheme="minorBidi" w:cs="Arial" w:hint="cs"/>
          <w:rtl/>
        </w:rPr>
        <w:t>וצ</w:t>
      </w:r>
      <w:r w:rsidR="00722B5A" w:rsidRPr="002065FF">
        <w:rPr>
          <w:rFonts w:asciiTheme="minorBidi" w:hAnsiTheme="minorBidi" w:cs="Arial"/>
          <w:rtl/>
        </w:rPr>
        <w:t>"ש מיד</w:t>
      </w:r>
      <w:r w:rsidR="00722B5A" w:rsidRPr="00FE17D7">
        <w:rPr>
          <w:rFonts w:asciiTheme="minorBidi" w:hAnsiTheme="minorBidi" w:cs="Arial"/>
          <w:rtl/>
        </w:rPr>
        <w:t xml:space="preserve"> וא"צ להמתין בכדי שיעשו</w:t>
      </w:r>
      <w:r w:rsidR="00E801BC">
        <w:rPr>
          <w:rStyle w:val="a9"/>
          <w:rFonts w:asciiTheme="minorBidi" w:hAnsiTheme="minorBidi" w:cs="Arial"/>
          <w:rtl/>
        </w:rPr>
        <w:footnoteReference w:id="2652"/>
      </w:r>
      <w:r w:rsidR="005F2717" w:rsidRPr="00FE17D7">
        <w:rPr>
          <w:rFonts w:asciiTheme="minorBidi" w:hAnsiTheme="minorBidi" w:cs="Arial" w:hint="cs"/>
          <w:rtl/>
        </w:rPr>
        <w:t>.</w:t>
      </w:r>
      <w:r w:rsidR="00722B5A" w:rsidRPr="00FE17D7">
        <w:rPr>
          <w:rFonts w:asciiTheme="minorBidi" w:hAnsiTheme="minorBidi" w:cs="Arial"/>
          <w:rtl/>
        </w:rPr>
        <w:t xml:space="preserve"> ובשוגג</w:t>
      </w:r>
      <w:r w:rsidR="003C6BB8">
        <w:rPr>
          <w:rFonts w:asciiTheme="minorBidi" w:hAnsiTheme="minorBidi" w:cs="Arial" w:hint="cs"/>
          <w:rtl/>
        </w:rPr>
        <w:t xml:space="preserve"> -</w:t>
      </w:r>
      <w:r w:rsidR="00722B5A" w:rsidRPr="00FE17D7">
        <w:rPr>
          <w:rFonts w:asciiTheme="minorBidi" w:hAnsiTheme="minorBidi" w:cs="Arial"/>
          <w:rtl/>
        </w:rPr>
        <w:t xml:space="preserve"> אסור בו ביום גם לאחרים</w:t>
      </w:r>
      <w:r w:rsidR="005F2717" w:rsidRPr="00FE17D7">
        <w:rPr>
          <w:rFonts w:asciiTheme="minorBidi" w:hAnsiTheme="minorBidi" w:cs="Arial" w:hint="cs"/>
          <w:rtl/>
        </w:rPr>
        <w:t>,</w:t>
      </w:r>
      <w:r w:rsidR="00722B5A" w:rsidRPr="00FE17D7">
        <w:rPr>
          <w:rFonts w:asciiTheme="minorBidi" w:hAnsiTheme="minorBidi" w:cs="Arial"/>
          <w:rtl/>
        </w:rPr>
        <w:t xml:space="preserve"> ולערב מותר גם לו</w:t>
      </w:r>
      <w:r>
        <w:rPr>
          <w:rFonts w:asciiTheme="minorBidi" w:hAnsiTheme="minorBidi" w:cs="Arial" w:hint="cs"/>
          <w:sz w:val="16"/>
          <w:szCs w:val="16"/>
          <w:rtl/>
        </w:rPr>
        <w:t xml:space="preserve"> (ל' הטור)</w:t>
      </w:r>
      <w:r w:rsidR="00722B5A" w:rsidRPr="00FE17D7">
        <w:rPr>
          <w:rFonts w:asciiTheme="minorBidi" w:hAnsiTheme="minorBidi" w:cs="Arial" w:hint="cs"/>
          <w:rtl/>
        </w:rPr>
        <w:t>.</w:t>
      </w:r>
      <w:r w:rsidR="00722B5A" w:rsidRPr="00FE17D7">
        <w:rPr>
          <w:rFonts w:asciiTheme="minorBidi" w:hAnsiTheme="minorBidi" w:cs="Arial"/>
          <w:rtl/>
        </w:rPr>
        <w:t xml:space="preserve"> </w:t>
      </w:r>
      <w:r w:rsidR="003C6BB8" w:rsidRPr="003C6BB8">
        <w:rPr>
          <w:rFonts w:asciiTheme="minorBidi" w:hAnsiTheme="minorBidi" w:hint="cs"/>
          <w:color w:val="E36C0A" w:themeColor="accent6" w:themeShade="BF"/>
          <w:rtl/>
        </w:rPr>
        <w:t>(וכ"פ בשו"ע)</w:t>
      </w:r>
    </w:p>
    <w:p w14:paraId="00D8F330" w14:textId="68655466" w:rsidR="00E801BC" w:rsidRPr="001345CC" w:rsidRDefault="00E801BC" w:rsidP="00434A6A">
      <w:pPr>
        <w:pStyle w:val="aa"/>
        <w:numPr>
          <w:ilvl w:val="0"/>
          <w:numId w:val="32"/>
        </w:numPr>
        <w:rPr>
          <w:rFonts w:asciiTheme="minorBidi" w:hAnsiTheme="minorBidi" w:cs="Arial"/>
          <w:rtl/>
        </w:rPr>
      </w:pPr>
      <w:r>
        <w:rPr>
          <w:rFonts w:asciiTheme="minorBidi" w:hAnsiTheme="minorBidi" w:cs="Arial" w:hint="cs"/>
          <w:rtl/>
        </w:rPr>
        <w:t>בה"ג</w:t>
      </w:r>
      <w:r w:rsidRPr="001345CC">
        <w:rPr>
          <w:rFonts w:asciiTheme="minorBidi" w:hAnsiTheme="minorBidi" w:cs="Arial"/>
          <w:rtl/>
        </w:rPr>
        <w:t xml:space="preserve"> </w:t>
      </w:r>
      <w:r w:rsidRPr="00E801BC">
        <w:rPr>
          <w:rFonts w:asciiTheme="minorBidi" w:hAnsiTheme="minorBidi" w:cs="Arial"/>
          <w:sz w:val="16"/>
          <w:szCs w:val="16"/>
          <w:rtl/>
        </w:rPr>
        <w:t xml:space="preserve">(הלכות שבת כב:) </w:t>
      </w:r>
      <w:r w:rsidRPr="001345CC">
        <w:rPr>
          <w:rFonts w:asciiTheme="minorBidi" w:hAnsiTheme="minorBidi" w:cs="Arial"/>
          <w:rtl/>
        </w:rPr>
        <w:t>ורמב"ן</w:t>
      </w:r>
      <w:r w:rsidRPr="00E801BC">
        <w:rPr>
          <w:rFonts w:asciiTheme="minorBidi" w:hAnsiTheme="minorBidi" w:cs="Arial"/>
          <w:sz w:val="16"/>
          <w:szCs w:val="16"/>
          <w:rtl/>
        </w:rPr>
        <w:t xml:space="preserve"> (חולין טו. ד"ה וכל)</w:t>
      </w:r>
      <w:r>
        <w:rPr>
          <w:rFonts w:asciiTheme="minorBidi" w:hAnsiTheme="minorBidi" w:cs="Arial" w:hint="cs"/>
          <w:rtl/>
        </w:rPr>
        <w:t xml:space="preserve">- </w:t>
      </w:r>
      <w:r w:rsidRPr="002065FF">
        <w:rPr>
          <w:rFonts w:asciiTheme="minorBidi" w:hAnsiTheme="minorBidi" w:cs="Arial"/>
          <w:rtl/>
        </w:rPr>
        <w:t>במזיד</w:t>
      </w:r>
      <w:r>
        <w:rPr>
          <w:rFonts w:asciiTheme="minorBidi" w:hAnsiTheme="minorBidi" w:cs="Arial" w:hint="cs"/>
          <w:rtl/>
        </w:rPr>
        <w:t xml:space="preserve">, </w:t>
      </w:r>
      <w:r w:rsidRPr="002065FF">
        <w:rPr>
          <w:rFonts w:asciiTheme="minorBidi" w:hAnsiTheme="minorBidi" w:cs="Arial"/>
          <w:rtl/>
        </w:rPr>
        <w:t>אסור לו לעולם</w:t>
      </w:r>
      <w:r>
        <w:rPr>
          <w:rFonts w:asciiTheme="minorBidi" w:hAnsiTheme="minorBidi" w:cs="Arial" w:hint="cs"/>
          <w:rtl/>
        </w:rPr>
        <w:t>,</w:t>
      </w:r>
      <w:r w:rsidRPr="002065FF">
        <w:rPr>
          <w:rFonts w:asciiTheme="minorBidi" w:hAnsiTheme="minorBidi" w:cs="Arial"/>
          <w:rtl/>
        </w:rPr>
        <w:t xml:space="preserve"> ולאחרים מותר למ</w:t>
      </w:r>
      <w:r>
        <w:rPr>
          <w:rFonts w:asciiTheme="minorBidi" w:hAnsiTheme="minorBidi" w:cs="Arial" w:hint="cs"/>
          <w:rtl/>
        </w:rPr>
        <w:t>וצ</w:t>
      </w:r>
      <w:r w:rsidRPr="002065FF">
        <w:rPr>
          <w:rFonts w:asciiTheme="minorBidi" w:hAnsiTheme="minorBidi" w:cs="Arial"/>
          <w:rtl/>
        </w:rPr>
        <w:t xml:space="preserve">"ש </w:t>
      </w:r>
      <w:r>
        <w:rPr>
          <w:rFonts w:asciiTheme="minorBidi" w:hAnsiTheme="minorBidi" w:cs="Arial" w:hint="cs"/>
          <w:rtl/>
        </w:rPr>
        <w:t>בכדי שיעשו</w:t>
      </w:r>
      <w:r w:rsidRPr="00FE17D7">
        <w:rPr>
          <w:rFonts w:asciiTheme="minorBidi" w:hAnsiTheme="minorBidi" w:cs="Arial" w:hint="cs"/>
          <w:rtl/>
        </w:rPr>
        <w:t>.</w:t>
      </w:r>
      <w:r w:rsidRPr="00FE17D7">
        <w:rPr>
          <w:rFonts w:asciiTheme="minorBidi" w:hAnsiTheme="minorBidi" w:cs="Arial"/>
          <w:rtl/>
        </w:rPr>
        <w:t xml:space="preserve"> ובשוגג</w:t>
      </w:r>
      <w:r>
        <w:rPr>
          <w:rFonts w:asciiTheme="minorBidi" w:hAnsiTheme="minorBidi" w:cs="Arial" w:hint="cs"/>
          <w:rtl/>
        </w:rPr>
        <w:t>,</w:t>
      </w:r>
      <w:r w:rsidRPr="00FE17D7">
        <w:rPr>
          <w:rFonts w:asciiTheme="minorBidi" w:hAnsiTheme="minorBidi" w:cs="Arial"/>
          <w:rtl/>
        </w:rPr>
        <w:t xml:space="preserve"> אסור בו ביום גם לאחרים</w:t>
      </w:r>
      <w:r w:rsidRPr="00FE17D7">
        <w:rPr>
          <w:rFonts w:asciiTheme="minorBidi" w:hAnsiTheme="minorBidi" w:cs="Arial" w:hint="cs"/>
          <w:rtl/>
        </w:rPr>
        <w:t>,</w:t>
      </w:r>
      <w:r w:rsidRPr="00FE17D7">
        <w:rPr>
          <w:rFonts w:asciiTheme="minorBidi" w:hAnsiTheme="minorBidi" w:cs="Arial"/>
          <w:rtl/>
        </w:rPr>
        <w:t xml:space="preserve"> ולערב מותר גם לו</w:t>
      </w:r>
      <w:r>
        <w:rPr>
          <w:rFonts w:asciiTheme="minorBidi" w:hAnsiTheme="minorBidi" w:cs="Arial" w:hint="cs"/>
          <w:rtl/>
        </w:rPr>
        <w:t>.</w:t>
      </w:r>
    </w:p>
    <w:p w14:paraId="7D5C6729" w14:textId="3B0D90D4" w:rsidR="005F2717" w:rsidRPr="005F2717" w:rsidRDefault="00FE17D7" w:rsidP="00434A6A">
      <w:pPr>
        <w:pStyle w:val="aa"/>
        <w:numPr>
          <w:ilvl w:val="0"/>
          <w:numId w:val="32"/>
        </w:numPr>
        <w:rPr>
          <w:rFonts w:asciiTheme="minorBidi" w:hAnsiTheme="minorBidi"/>
        </w:rPr>
      </w:pPr>
      <w:r>
        <w:rPr>
          <w:rFonts w:asciiTheme="minorBidi" w:hAnsiTheme="minorBidi" w:cs="Arial" w:hint="cs"/>
          <w:rtl/>
        </w:rPr>
        <w:t>תוס'</w:t>
      </w:r>
      <w:r>
        <w:rPr>
          <w:rFonts w:asciiTheme="minorBidi" w:hAnsiTheme="minorBidi" w:cs="Arial" w:hint="cs"/>
          <w:sz w:val="16"/>
          <w:szCs w:val="16"/>
          <w:rtl/>
        </w:rPr>
        <w:t xml:space="preserve"> (שם)</w:t>
      </w:r>
      <w:r>
        <w:rPr>
          <w:rFonts w:asciiTheme="minorBidi" w:hAnsiTheme="minorBidi" w:cs="Arial" w:hint="cs"/>
          <w:rtl/>
        </w:rPr>
        <w:t xml:space="preserve">- </w:t>
      </w:r>
      <w:r w:rsidR="00722B5A" w:rsidRPr="002065FF">
        <w:rPr>
          <w:rFonts w:asciiTheme="minorBidi" w:hAnsiTheme="minorBidi" w:cs="Arial"/>
          <w:rtl/>
        </w:rPr>
        <w:t>בשוגג</w:t>
      </w:r>
      <w:r w:rsidR="0026511E">
        <w:rPr>
          <w:rFonts w:asciiTheme="minorBidi" w:hAnsiTheme="minorBidi" w:cs="Arial" w:hint="cs"/>
          <w:rtl/>
        </w:rPr>
        <w:t>,</w:t>
      </w:r>
      <w:r w:rsidR="00722B5A" w:rsidRPr="002065FF">
        <w:rPr>
          <w:rFonts w:asciiTheme="minorBidi" w:hAnsiTheme="minorBidi" w:cs="Arial"/>
          <w:rtl/>
        </w:rPr>
        <w:t xml:space="preserve"> מותר אפילו לו בו ביום</w:t>
      </w:r>
      <w:r w:rsidR="0026511E">
        <w:rPr>
          <w:rFonts w:asciiTheme="minorBidi" w:hAnsiTheme="minorBidi" w:cs="Arial" w:hint="cs"/>
          <w:rtl/>
        </w:rPr>
        <w:t>.</w:t>
      </w:r>
      <w:r w:rsidR="00722B5A" w:rsidRPr="002065FF">
        <w:rPr>
          <w:rFonts w:asciiTheme="minorBidi" w:hAnsiTheme="minorBidi" w:cs="Arial"/>
          <w:rtl/>
        </w:rPr>
        <w:t xml:space="preserve"> ובמזיד</w:t>
      </w:r>
      <w:r w:rsidR="0026511E">
        <w:rPr>
          <w:rFonts w:asciiTheme="minorBidi" w:hAnsiTheme="minorBidi" w:cs="Arial" w:hint="cs"/>
          <w:rtl/>
        </w:rPr>
        <w:t>,</w:t>
      </w:r>
      <w:r w:rsidR="00722B5A" w:rsidRPr="002065FF">
        <w:rPr>
          <w:rFonts w:asciiTheme="minorBidi" w:hAnsiTheme="minorBidi" w:cs="Arial"/>
          <w:rtl/>
        </w:rPr>
        <w:t xml:space="preserve"> אסור בו ביום אף לאחרים ולערב מותר גם לו</w:t>
      </w:r>
      <w:r w:rsidR="00722B5A">
        <w:rPr>
          <w:rFonts w:asciiTheme="minorBidi" w:hAnsiTheme="minorBidi" w:cs="Arial" w:hint="cs"/>
          <w:rtl/>
        </w:rPr>
        <w:t>.</w:t>
      </w:r>
      <w:r w:rsidR="0026511E">
        <w:rPr>
          <w:rFonts w:asciiTheme="minorBidi" w:hAnsiTheme="minorBidi" w:cs="Arial" w:hint="cs"/>
          <w:rtl/>
        </w:rPr>
        <w:t xml:space="preserve"> (וכ"פ הגר"א</w:t>
      </w:r>
      <w:r w:rsidR="0026511E">
        <w:rPr>
          <w:rStyle w:val="a9"/>
          <w:rFonts w:asciiTheme="minorBidi" w:hAnsiTheme="minorBidi" w:cs="Arial"/>
          <w:rtl/>
        </w:rPr>
        <w:footnoteReference w:id="2653"/>
      </w:r>
      <w:r w:rsidR="0026511E">
        <w:rPr>
          <w:rFonts w:asciiTheme="minorBidi" w:hAnsiTheme="minorBidi" w:cs="Arial" w:hint="cs"/>
          <w:rtl/>
        </w:rPr>
        <w:t>)</w:t>
      </w:r>
    </w:p>
    <w:p w14:paraId="2D622A29" w14:textId="3FA27A49" w:rsidR="00722B5A" w:rsidRPr="005F2717" w:rsidRDefault="005F2717" w:rsidP="00434A6A">
      <w:pPr>
        <w:ind w:left="360"/>
        <w:rPr>
          <w:rFonts w:asciiTheme="minorBidi" w:hAnsiTheme="minorBidi"/>
          <w:u w:val="dotted"/>
        </w:rPr>
      </w:pPr>
      <w:r w:rsidRPr="005F2717">
        <w:rPr>
          <w:rFonts w:asciiTheme="minorBidi" w:hAnsiTheme="minorBidi" w:cs="Arial" w:hint="cs"/>
          <w:u w:val="dotted"/>
          <w:rtl/>
        </w:rPr>
        <w:t>האם יש חילוק לעניין מעשה שבת בין איסור בישול לשאר איסורים:</w:t>
      </w:r>
      <w:r w:rsidR="00722B5A" w:rsidRPr="005F2717">
        <w:rPr>
          <w:rFonts w:asciiTheme="minorBidi" w:hAnsiTheme="minorBidi" w:cs="Arial"/>
          <w:u w:val="dotted"/>
          <w:rtl/>
        </w:rPr>
        <w:t xml:space="preserve"> </w:t>
      </w:r>
    </w:p>
    <w:p w14:paraId="69932F58" w14:textId="7B95A811" w:rsidR="000957E9" w:rsidRPr="000957E9" w:rsidRDefault="00FE17D7" w:rsidP="00434A6A">
      <w:pPr>
        <w:pStyle w:val="aa"/>
        <w:numPr>
          <w:ilvl w:val="0"/>
          <w:numId w:val="32"/>
        </w:numPr>
        <w:rPr>
          <w:rFonts w:asciiTheme="minorBidi" w:hAnsiTheme="minorBidi"/>
        </w:rPr>
      </w:pPr>
      <w:r>
        <w:rPr>
          <w:rFonts w:asciiTheme="minorBidi" w:hAnsiTheme="minorBidi" w:cs="Arial" w:hint="cs"/>
          <w:rtl/>
        </w:rPr>
        <w:t>רמב"ם</w:t>
      </w:r>
      <w:r>
        <w:rPr>
          <w:rStyle w:val="a9"/>
          <w:rFonts w:asciiTheme="minorBidi" w:hAnsiTheme="minorBidi" w:cs="Arial"/>
          <w:rtl/>
        </w:rPr>
        <w:footnoteReference w:id="2654"/>
      </w:r>
      <w:r>
        <w:rPr>
          <w:rFonts w:asciiTheme="minorBidi" w:hAnsiTheme="minorBidi" w:cs="Arial" w:hint="cs"/>
          <w:sz w:val="16"/>
          <w:szCs w:val="16"/>
          <w:rtl/>
        </w:rPr>
        <w:t>(שם)</w:t>
      </w:r>
      <w:r>
        <w:rPr>
          <w:rFonts w:asciiTheme="minorBidi" w:hAnsiTheme="minorBidi" w:cs="Arial" w:hint="cs"/>
          <w:rtl/>
        </w:rPr>
        <w:t xml:space="preserve"> ו</w:t>
      </w:r>
      <w:r w:rsidR="005F2717">
        <w:rPr>
          <w:rFonts w:asciiTheme="minorBidi" w:hAnsiTheme="minorBidi" w:cs="Arial" w:hint="cs"/>
          <w:rtl/>
        </w:rPr>
        <w:t xml:space="preserve">טור- </w:t>
      </w:r>
      <w:r w:rsidR="00722B5A" w:rsidRPr="002065FF">
        <w:rPr>
          <w:rFonts w:asciiTheme="minorBidi" w:hAnsiTheme="minorBidi" w:cs="Arial"/>
          <w:rtl/>
        </w:rPr>
        <w:t>יראה שאין חילוק בכל מעשה שבת</w:t>
      </w:r>
      <w:r w:rsidR="000957E9">
        <w:rPr>
          <w:rStyle w:val="a9"/>
          <w:rFonts w:asciiTheme="minorBidi" w:hAnsiTheme="minorBidi" w:cs="Arial"/>
          <w:rtl/>
        </w:rPr>
        <w:footnoteReference w:id="2655"/>
      </w:r>
      <w:r>
        <w:rPr>
          <w:rFonts w:asciiTheme="minorBidi" w:hAnsiTheme="minorBidi" w:cs="Arial" w:hint="cs"/>
          <w:sz w:val="16"/>
          <w:szCs w:val="16"/>
          <w:rtl/>
        </w:rPr>
        <w:t xml:space="preserve"> (ל' הטור)</w:t>
      </w:r>
      <w:r w:rsidR="005F2717">
        <w:rPr>
          <w:rFonts w:asciiTheme="minorBidi" w:hAnsiTheme="minorBidi" w:cs="Arial" w:hint="cs"/>
          <w:rtl/>
        </w:rPr>
        <w:t>.</w:t>
      </w:r>
      <w:r w:rsidR="00722B5A" w:rsidRPr="002065FF">
        <w:rPr>
          <w:rFonts w:asciiTheme="minorBidi" w:hAnsiTheme="minorBidi" w:cs="Arial"/>
          <w:rtl/>
        </w:rPr>
        <w:t xml:space="preserve"> </w:t>
      </w:r>
      <w:r w:rsidR="003C6BB8" w:rsidRPr="003C6BB8">
        <w:rPr>
          <w:rFonts w:asciiTheme="minorBidi" w:hAnsiTheme="minorBidi" w:cs="Arial" w:hint="cs"/>
          <w:color w:val="00B0F0"/>
          <w:rtl/>
        </w:rPr>
        <w:t>(וכ"פ הרמ"א)</w:t>
      </w:r>
    </w:p>
    <w:p w14:paraId="5A4E098E" w14:textId="217D6081" w:rsidR="000957E9" w:rsidRPr="000957E9" w:rsidRDefault="000957E9" w:rsidP="00434A6A">
      <w:pPr>
        <w:pStyle w:val="aa"/>
        <w:numPr>
          <w:ilvl w:val="0"/>
          <w:numId w:val="32"/>
        </w:numPr>
        <w:rPr>
          <w:rFonts w:asciiTheme="minorBidi" w:hAnsiTheme="minorBidi"/>
        </w:rPr>
      </w:pPr>
      <w:r>
        <w:rPr>
          <w:rFonts w:asciiTheme="minorBidi" w:hAnsiTheme="minorBidi" w:cs="Arial" w:hint="cs"/>
          <w:rtl/>
        </w:rPr>
        <w:t>ספר</w:t>
      </w:r>
      <w:r w:rsidR="00722B5A" w:rsidRPr="002065FF">
        <w:rPr>
          <w:rFonts w:asciiTheme="minorBidi" w:hAnsiTheme="minorBidi" w:cs="Arial"/>
          <w:rtl/>
        </w:rPr>
        <w:t xml:space="preserve"> התרומה </w:t>
      </w:r>
      <w:r w:rsidR="00722B5A" w:rsidRPr="000957E9">
        <w:rPr>
          <w:rFonts w:asciiTheme="minorBidi" w:hAnsiTheme="minorBidi" w:cs="Arial" w:hint="cs"/>
          <w:sz w:val="16"/>
          <w:szCs w:val="16"/>
          <w:rtl/>
        </w:rPr>
        <w:t>(סי' רמח)</w:t>
      </w:r>
      <w:r>
        <w:rPr>
          <w:rFonts w:asciiTheme="minorBidi" w:hAnsiTheme="minorBidi" w:cs="Arial" w:hint="cs"/>
          <w:rtl/>
        </w:rPr>
        <w:t>-</w:t>
      </w:r>
      <w:r w:rsidRPr="000957E9">
        <w:rPr>
          <w:rtl/>
        </w:rPr>
        <w:t xml:space="preserve"> </w:t>
      </w:r>
      <w:r w:rsidRPr="000957E9">
        <w:rPr>
          <w:rFonts w:asciiTheme="minorBidi" w:hAnsiTheme="minorBidi" w:cs="Arial"/>
          <w:rtl/>
        </w:rPr>
        <w:t>דוקא מבשל</w:t>
      </w:r>
      <w:r>
        <w:rPr>
          <w:rStyle w:val="a9"/>
          <w:rFonts w:asciiTheme="minorBidi" w:hAnsiTheme="minorBidi" w:cs="Arial"/>
          <w:rtl/>
        </w:rPr>
        <w:footnoteReference w:id="2656"/>
      </w:r>
      <w:r w:rsidRPr="000957E9">
        <w:rPr>
          <w:rFonts w:asciiTheme="minorBidi" w:hAnsiTheme="minorBidi" w:cs="Arial"/>
          <w:rtl/>
        </w:rPr>
        <w:t xml:space="preserve"> דחזי לכוס מקודם. אבל שוחט בשוגג אסור ליהנות באותו שבת</w:t>
      </w:r>
      <w:r w:rsidR="00CB26AF">
        <w:rPr>
          <w:rStyle w:val="a9"/>
          <w:rFonts w:asciiTheme="minorBidi" w:hAnsiTheme="minorBidi" w:cs="Arial"/>
          <w:rtl/>
        </w:rPr>
        <w:footnoteReference w:id="2657"/>
      </w:r>
      <w:r w:rsidRPr="000957E9">
        <w:rPr>
          <w:rFonts w:asciiTheme="minorBidi" w:hAnsiTheme="minorBidi" w:cs="Arial"/>
          <w:rtl/>
        </w:rPr>
        <w:t>. וכן אם עשה ישראל מלאכה בשבת בשוגג בדבר שאין אכילה כמו הדליק הנר או עשה כבש אסור ליהנות בו באותו שבת דדמי לשוחט דאסור משום דמקודם לא היה ראוי כלל</w:t>
      </w:r>
      <w:r w:rsidR="00CB26AF">
        <w:rPr>
          <w:rStyle w:val="a9"/>
          <w:rFonts w:asciiTheme="minorBidi" w:hAnsiTheme="minorBidi" w:cs="Arial"/>
          <w:rtl/>
        </w:rPr>
        <w:footnoteReference w:id="2658"/>
      </w:r>
      <w:r w:rsidRPr="000957E9">
        <w:rPr>
          <w:rFonts w:asciiTheme="minorBidi" w:hAnsiTheme="minorBidi" w:cs="Arial"/>
          <w:rtl/>
        </w:rPr>
        <w:t>.</w:t>
      </w:r>
    </w:p>
    <w:p w14:paraId="571F05E1"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C3177DB" w14:textId="3209BEB5" w:rsidR="006A4BF8" w:rsidRDefault="006A4BF8" w:rsidP="00434A6A">
      <w:pPr>
        <w:tabs>
          <w:tab w:val="left" w:pos="2788"/>
        </w:tabs>
        <w:rPr>
          <w:rFonts w:asciiTheme="minorBidi" w:hAnsiTheme="minorBidi"/>
          <w:rtl/>
        </w:rPr>
      </w:pPr>
      <w:r w:rsidRPr="005275DF">
        <w:rPr>
          <w:rFonts w:asciiTheme="minorBidi" w:hAnsiTheme="minorBidi"/>
          <w:rtl/>
        </w:rPr>
        <w:t>המבשל בשבת</w:t>
      </w:r>
      <w:r w:rsidR="00127167">
        <w:rPr>
          <w:rStyle w:val="a9"/>
          <w:rFonts w:asciiTheme="minorBidi" w:hAnsiTheme="minorBidi"/>
          <w:rtl/>
        </w:rPr>
        <w:footnoteReference w:id="2659"/>
      </w:r>
      <w:r w:rsidRPr="005275DF">
        <w:rPr>
          <w:rFonts w:asciiTheme="minorBidi" w:hAnsiTheme="minorBidi"/>
          <w:rtl/>
        </w:rPr>
        <w:t xml:space="preserve"> </w:t>
      </w:r>
      <w:r w:rsidRPr="005275DF">
        <w:rPr>
          <w:rFonts w:asciiTheme="minorBidi" w:hAnsiTheme="minorBidi"/>
          <w:sz w:val="18"/>
          <w:szCs w:val="18"/>
          <w:rtl/>
        </w:rPr>
        <w:t>הגה: או שעשה אחת משאר מלאכות (</w:t>
      </w:r>
      <w:r w:rsidR="003C6BB8">
        <w:rPr>
          <w:rFonts w:asciiTheme="minorBidi" w:hAnsiTheme="minorBidi" w:hint="cs"/>
          <w:sz w:val="18"/>
          <w:szCs w:val="18"/>
          <w:rtl/>
        </w:rPr>
        <w:t>רמב"ם ו</w:t>
      </w:r>
      <w:r w:rsidRPr="005275DF">
        <w:rPr>
          <w:rFonts w:asciiTheme="minorBidi" w:hAnsiTheme="minorBidi"/>
          <w:sz w:val="18"/>
          <w:szCs w:val="18"/>
          <w:rtl/>
        </w:rPr>
        <w:t xml:space="preserve">טור) </w:t>
      </w:r>
      <w:r w:rsidRPr="005275DF">
        <w:rPr>
          <w:rFonts w:asciiTheme="minorBidi" w:hAnsiTheme="minorBidi"/>
          <w:rtl/>
        </w:rPr>
        <w:t>במזיד, אסור לו</w:t>
      </w:r>
      <w:r w:rsidRPr="005275DF">
        <w:rPr>
          <w:rStyle w:val="a9"/>
          <w:rFonts w:asciiTheme="minorBidi" w:hAnsiTheme="minorBidi"/>
          <w:rtl/>
        </w:rPr>
        <w:footnoteReference w:id="2660"/>
      </w:r>
      <w:r w:rsidRPr="005275DF">
        <w:rPr>
          <w:rFonts w:asciiTheme="minorBidi" w:hAnsiTheme="minorBidi"/>
          <w:rtl/>
        </w:rPr>
        <w:t xml:space="preserve"> לעולם</w:t>
      </w:r>
      <w:r w:rsidRPr="005275DF">
        <w:rPr>
          <w:rStyle w:val="a9"/>
          <w:rFonts w:asciiTheme="minorBidi" w:hAnsiTheme="minorBidi"/>
          <w:rtl/>
        </w:rPr>
        <w:footnoteReference w:id="2661"/>
      </w:r>
      <w:r w:rsidRPr="005275DF">
        <w:rPr>
          <w:rFonts w:asciiTheme="minorBidi" w:hAnsiTheme="minorBidi"/>
          <w:rtl/>
        </w:rPr>
        <w:t xml:space="preserve"> ולאחרים מותר למוצאי שבת מיד</w:t>
      </w:r>
      <w:r w:rsidRPr="005275DF">
        <w:rPr>
          <w:rStyle w:val="a9"/>
          <w:rFonts w:asciiTheme="minorBidi" w:hAnsiTheme="minorBidi"/>
          <w:rtl/>
        </w:rPr>
        <w:footnoteReference w:id="2662"/>
      </w:r>
      <w:r w:rsidR="003C6BB8">
        <w:rPr>
          <w:rFonts w:asciiTheme="minorBidi" w:hAnsiTheme="minorBidi" w:hint="cs"/>
          <w:rtl/>
        </w:rPr>
        <w:t>.</w:t>
      </w:r>
      <w:r w:rsidRPr="005275DF">
        <w:rPr>
          <w:rFonts w:asciiTheme="minorBidi" w:hAnsiTheme="minorBidi"/>
          <w:rtl/>
        </w:rPr>
        <w:t xml:space="preserve"> ובשוגג</w:t>
      </w:r>
      <w:r w:rsidRPr="005275DF">
        <w:rPr>
          <w:rStyle w:val="a9"/>
          <w:rFonts w:asciiTheme="minorBidi" w:hAnsiTheme="minorBidi"/>
          <w:rtl/>
        </w:rPr>
        <w:footnoteReference w:id="2663"/>
      </w:r>
      <w:r w:rsidRPr="005275DF">
        <w:rPr>
          <w:rFonts w:asciiTheme="minorBidi" w:hAnsiTheme="minorBidi"/>
          <w:rtl/>
        </w:rPr>
        <w:t>, אסור בו ביום גם לאחרים, ולערב מותר גם לו מיד</w:t>
      </w:r>
      <w:r w:rsidR="00127167">
        <w:rPr>
          <w:rFonts w:asciiTheme="minorBidi" w:hAnsiTheme="minorBidi" w:hint="cs"/>
          <w:rtl/>
        </w:rPr>
        <w:t>.</w:t>
      </w:r>
      <w:r w:rsidRPr="005275DF">
        <w:rPr>
          <w:rFonts w:asciiTheme="minorBidi" w:hAnsiTheme="minorBidi"/>
          <w:rtl/>
        </w:rPr>
        <w:t xml:space="preserve"> </w:t>
      </w:r>
      <w:r w:rsidRPr="005275DF">
        <w:rPr>
          <w:rFonts w:asciiTheme="minorBidi" w:hAnsiTheme="minorBidi"/>
          <w:sz w:val="18"/>
          <w:szCs w:val="18"/>
          <w:rtl/>
        </w:rPr>
        <w:t>הגה: ואם אמר לגוי לעשות לו מלאכה בשבת עיי"ל סימן ש"ז סעיף כ'</w:t>
      </w:r>
      <w:r w:rsidRPr="005275DF">
        <w:rPr>
          <w:rFonts w:asciiTheme="minorBidi" w:hAnsiTheme="minorBidi"/>
          <w:rtl/>
        </w:rPr>
        <w:t xml:space="preserve">. </w:t>
      </w:r>
    </w:p>
    <w:p w14:paraId="2DAF223F" w14:textId="77777777" w:rsidR="004B2E7C" w:rsidRPr="005275DF" w:rsidRDefault="004B2E7C" w:rsidP="00434A6A">
      <w:pPr>
        <w:tabs>
          <w:tab w:val="left" w:pos="2788"/>
        </w:tabs>
        <w:rPr>
          <w:rFonts w:asciiTheme="minorBidi" w:hAnsiTheme="minorBidi"/>
          <w:rtl/>
        </w:rPr>
      </w:pPr>
    </w:p>
    <w:p w14:paraId="70CFF4B5" w14:textId="234CE512"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ב: השוחט</w:t>
      </w:r>
      <w:r w:rsidR="00127167">
        <w:rPr>
          <w:rFonts w:asciiTheme="minorBidi" w:hAnsiTheme="minorBidi" w:cstheme="minorBidi" w:hint="cs"/>
          <w:rtl/>
        </w:rPr>
        <w:t>/מבשל</w:t>
      </w:r>
      <w:r w:rsidRPr="005275DF">
        <w:rPr>
          <w:rFonts w:asciiTheme="minorBidi" w:hAnsiTheme="minorBidi" w:cstheme="minorBidi"/>
          <w:rtl/>
        </w:rPr>
        <w:t xml:space="preserve"> לחולה, האם מותר לבריא.</w:t>
      </w:r>
    </w:p>
    <w:p w14:paraId="74EBB006" w14:textId="3833EBA0" w:rsidR="006A4BF8" w:rsidRDefault="006A4BF8" w:rsidP="00434A6A">
      <w:pPr>
        <w:rPr>
          <w:rFonts w:asciiTheme="minorBidi" w:hAnsiTheme="minorBidi"/>
          <w:rtl/>
        </w:rPr>
      </w:pPr>
      <w:r w:rsidRPr="005275DF">
        <w:rPr>
          <w:rFonts w:asciiTheme="minorBidi" w:hAnsiTheme="minorBidi"/>
          <w:b/>
          <w:bCs/>
          <w:rtl/>
        </w:rPr>
        <w:t xml:space="preserve">חולין </w:t>
      </w:r>
      <w:r w:rsidR="00127167">
        <w:rPr>
          <w:rFonts w:asciiTheme="minorBidi" w:hAnsiTheme="minorBidi" w:hint="cs"/>
          <w:b/>
          <w:bCs/>
          <w:sz w:val="16"/>
          <w:szCs w:val="16"/>
          <w:rtl/>
        </w:rPr>
        <w:t xml:space="preserve">(פ"ק) </w:t>
      </w:r>
      <w:r w:rsidRPr="005275DF">
        <w:rPr>
          <w:rFonts w:asciiTheme="minorBidi" w:hAnsiTheme="minorBidi"/>
          <w:b/>
          <w:bCs/>
          <w:rtl/>
        </w:rPr>
        <w:t xml:space="preserve">טו ע"ב: </w:t>
      </w:r>
      <w:r w:rsidRPr="005275DF">
        <w:rPr>
          <w:rFonts w:asciiTheme="minorBidi" w:hAnsiTheme="minorBidi"/>
          <w:u w:val="single"/>
          <w:rtl/>
        </w:rPr>
        <w:t>אמר רבי יצחק בר אדא אמר רב</w:t>
      </w:r>
      <w:r w:rsidRPr="005275DF">
        <w:rPr>
          <w:rFonts w:asciiTheme="minorBidi" w:hAnsiTheme="minorBidi"/>
          <w:rtl/>
        </w:rPr>
        <w:t>: השוחט לחולה</w:t>
      </w:r>
      <w:r w:rsidRPr="005275DF">
        <w:rPr>
          <w:rStyle w:val="a9"/>
          <w:rFonts w:asciiTheme="minorBidi" w:hAnsiTheme="minorBidi"/>
          <w:rtl/>
        </w:rPr>
        <w:footnoteReference w:id="2664"/>
      </w:r>
      <w:r w:rsidRPr="005275DF">
        <w:rPr>
          <w:rFonts w:asciiTheme="minorBidi" w:hAnsiTheme="minorBidi"/>
          <w:rtl/>
        </w:rPr>
        <w:t xml:space="preserve"> בשבת - אסור לבריא</w:t>
      </w:r>
      <w:r w:rsidRPr="005275DF">
        <w:rPr>
          <w:rStyle w:val="a9"/>
          <w:rFonts w:asciiTheme="minorBidi" w:hAnsiTheme="minorBidi"/>
          <w:rtl/>
        </w:rPr>
        <w:footnoteReference w:id="2665"/>
      </w:r>
      <w:r w:rsidR="0026511E">
        <w:rPr>
          <w:rFonts w:asciiTheme="minorBidi" w:hAnsiTheme="minorBidi" w:hint="cs"/>
          <w:rtl/>
        </w:rPr>
        <w:t>.</w:t>
      </w:r>
      <w:r w:rsidRPr="005275DF">
        <w:rPr>
          <w:rFonts w:asciiTheme="minorBidi" w:hAnsiTheme="minorBidi"/>
          <w:rtl/>
        </w:rPr>
        <w:t xml:space="preserve"> המבשל לחולה בשבת</w:t>
      </w:r>
      <w:r w:rsidRPr="005275DF">
        <w:rPr>
          <w:rStyle w:val="a9"/>
          <w:rFonts w:asciiTheme="minorBidi" w:hAnsiTheme="minorBidi"/>
          <w:rtl/>
        </w:rPr>
        <w:footnoteReference w:id="2666"/>
      </w:r>
      <w:r w:rsidRPr="005275DF">
        <w:rPr>
          <w:rFonts w:asciiTheme="minorBidi" w:hAnsiTheme="minorBidi"/>
          <w:rtl/>
        </w:rPr>
        <w:t xml:space="preserve"> - מותר לבריא</w:t>
      </w:r>
      <w:r w:rsidR="0026511E">
        <w:rPr>
          <w:rFonts w:asciiTheme="minorBidi" w:hAnsiTheme="minorBidi" w:hint="cs"/>
          <w:rtl/>
        </w:rPr>
        <w:t>.</w:t>
      </w:r>
      <w:r w:rsidRPr="005275DF">
        <w:rPr>
          <w:rFonts w:asciiTheme="minorBidi" w:hAnsiTheme="minorBidi"/>
          <w:rtl/>
        </w:rPr>
        <w:t xml:space="preserve"> מאי טעמא? האי</w:t>
      </w:r>
      <w:r w:rsidRPr="005275DF">
        <w:rPr>
          <w:rStyle w:val="a9"/>
          <w:rFonts w:asciiTheme="minorBidi" w:hAnsiTheme="minorBidi"/>
          <w:rtl/>
        </w:rPr>
        <w:footnoteReference w:id="2667"/>
      </w:r>
      <w:r w:rsidRPr="005275DF">
        <w:rPr>
          <w:rFonts w:asciiTheme="minorBidi" w:hAnsiTheme="minorBidi"/>
          <w:rtl/>
        </w:rPr>
        <w:t xml:space="preserve"> ראוי לכוס, והאי</w:t>
      </w:r>
      <w:r w:rsidRPr="005275DF">
        <w:rPr>
          <w:rStyle w:val="a9"/>
          <w:rFonts w:asciiTheme="minorBidi" w:hAnsiTheme="minorBidi"/>
          <w:rtl/>
        </w:rPr>
        <w:footnoteReference w:id="2668"/>
      </w:r>
      <w:r w:rsidRPr="005275DF">
        <w:rPr>
          <w:rFonts w:asciiTheme="minorBidi" w:hAnsiTheme="minorBidi"/>
          <w:rtl/>
        </w:rPr>
        <w:t xml:space="preserve"> אינו ראוי לכוס. </w:t>
      </w:r>
      <w:r w:rsidRPr="005275DF">
        <w:rPr>
          <w:rFonts w:asciiTheme="minorBidi" w:hAnsiTheme="minorBidi"/>
          <w:u w:val="single"/>
          <w:rtl/>
        </w:rPr>
        <w:t>אמר רב פפא</w:t>
      </w:r>
      <w:r w:rsidRPr="005275DF">
        <w:rPr>
          <w:rFonts w:asciiTheme="minorBidi" w:hAnsiTheme="minorBidi"/>
          <w:rtl/>
        </w:rPr>
        <w:t>: פעמים שהשוחט</w:t>
      </w:r>
      <w:r w:rsidRPr="005275DF">
        <w:rPr>
          <w:rStyle w:val="a9"/>
          <w:rFonts w:asciiTheme="minorBidi" w:hAnsiTheme="minorBidi"/>
          <w:rtl/>
        </w:rPr>
        <w:footnoteReference w:id="2669"/>
      </w:r>
      <w:r w:rsidRPr="005275DF">
        <w:rPr>
          <w:rFonts w:asciiTheme="minorBidi" w:hAnsiTheme="minorBidi"/>
          <w:rtl/>
        </w:rPr>
        <w:t xml:space="preserve"> מותר, כגון שהיה לו חולה מבעוד יום, מבשל</w:t>
      </w:r>
      <w:r w:rsidRPr="005275DF">
        <w:rPr>
          <w:rStyle w:val="a9"/>
          <w:rFonts w:asciiTheme="minorBidi" w:hAnsiTheme="minorBidi"/>
          <w:rtl/>
        </w:rPr>
        <w:footnoteReference w:id="2670"/>
      </w:r>
      <w:r w:rsidRPr="005275DF">
        <w:rPr>
          <w:rFonts w:asciiTheme="minorBidi" w:hAnsiTheme="minorBidi"/>
          <w:rtl/>
        </w:rPr>
        <w:t xml:space="preserve"> אסור, כגון שקצץ לו דלעת</w:t>
      </w:r>
      <w:r w:rsidRPr="005275DF">
        <w:rPr>
          <w:rStyle w:val="a9"/>
          <w:rFonts w:asciiTheme="minorBidi" w:hAnsiTheme="minorBidi"/>
          <w:rtl/>
        </w:rPr>
        <w:footnoteReference w:id="2671"/>
      </w:r>
      <w:r w:rsidRPr="005275DF">
        <w:rPr>
          <w:rFonts w:asciiTheme="minorBidi" w:hAnsiTheme="minorBidi"/>
          <w:rtl/>
        </w:rPr>
        <w:t xml:space="preserve">. </w:t>
      </w:r>
      <w:r w:rsidRPr="005275DF">
        <w:rPr>
          <w:rFonts w:asciiTheme="minorBidi" w:hAnsiTheme="minorBidi"/>
          <w:u w:val="single"/>
          <w:rtl/>
        </w:rPr>
        <w:t>אמר רב דימי מנהרדעא</w:t>
      </w:r>
      <w:r w:rsidR="00FD6140">
        <w:rPr>
          <w:rFonts w:asciiTheme="minorBidi" w:hAnsiTheme="minorBidi" w:hint="cs"/>
          <w:rtl/>
        </w:rPr>
        <w:t>:</w:t>
      </w:r>
      <w:r w:rsidRPr="005275DF">
        <w:rPr>
          <w:rFonts w:asciiTheme="minorBidi" w:hAnsiTheme="minorBidi"/>
          <w:rtl/>
        </w:rPr>
        <w:t xml:space="preserve"> הלכתא: השוחט לחולה בשבת</w:t>
      </w:r>
      <w:r w:rsidRPr="005275DF">
        <w:rPr>
          <w:rStyle w:val="a9"/>
          <w:rFonts w:asciiTheme="minorBidi" w:hAnsiTheme="minorBidi"/>
          <w:rtl/>
        </w:rPr>
        <w:footnoteReference w:id="2672"/>
      </w:r>
      <w:r w:rsidRPr="005275DF">
        <w:rPr>
          <w:rFonts w:asciiTheme="minorBidi" w:hAnsiTheme="minorBidi"/>
          <w:rtl/>
        </w:rPr>
        <w:t xml:space="preserve"> - מותר לבריא באומצא</w:t>
      </w:r>
      <w:r w:rsidRPr="005275DF">
        <w:rPr>
          <w:rStyle w:val="a9"/>
          <w:rFonts w:asciiTheme="minorBidi" w:hAnsiTheme="minorBidi"/>
          <w:rtl/>
        </w:rPr>
        <w:footnoteReference w:id="2673"/>
      </w:r>
      <w:r w:rsidRPr="005275DF">
        <w:rPr>
          <w:rFonts w:asciiTheme="minorBidi" w:hAnsiTheme="minorBidi"/>
          <w:rtl/>
        </w:rPr>
        <w:t>, מ"ט? כיון דאי אפשר לכזית בשר בלא שחיטה, כי קא שחיט אדעתא דחולה קא שחיט</w:t>
      </w:r>
      <w:r w:rsidRPr="005275DF">
        <w:rPr>
          <w:rStyle w:val="a9"/>
          <w:rFonts w:asciiTheme="minorBidi" w:hAnsiTheme="minorBidi"/>
          <w:rtl/>
        </w:rPr>
        <w:footnoteReference w:id="2674"/>
      </w:r>
      <w:r w:rsidRPr="005275DF">
        <w:rPr>
          <w:rFonts w:asciiTheme="minorBidi" w:hAnsiTheme="minorBidi"/>
          <w:rtl/>
        </w:rPr>
        <w:t>; המבשל לחולה בשבת - אסור לבריא, גזירה שמא ירבה בשבילו</w:t>
      </w:r>
      <w:r w:rsidRPr="005275DF">
        <w:rPr>
          <w:rStyle w:val="a9"/>
          <w:rFonts w:asciiTheme="minorBidi" w:hAnsiTheme="minorBidi"/>
          <w:rtl/>
        </w:rPr>
        <w:footnoteReference w:id="2675"/>
      </w:r>
      <w:r w:rsidRPr="005275DF">
        <w:rPr>
          <w:rFonts w:asciiTheme="minorBidi" w:hAnsiTheme="minorBidi"/>
          <w:rtl/>
        </w:rPr>
        <w:t>.</w:t>
      </w:r>
      <w:r w:rsidR="007B0A04">
        <w:rPr>
          <w:rFonts w:asciiTheme="minorBidi" w:hAnsiTheme="minorBidi" w:hint="cs"/>
          <w:rtl/>
        </w:rPr>
        <w:t xml:space="preserve"> </w:t>
      </w:r>
      <w:r w:rsidR="007B0A04">
        <w:rPr>
          <w:rFonts w:asciiTheme="minorBidi" w:hAnsiTheme="minorBidi" w:cs="Arial" w:hint="cs"/>
          <w:sz w:val="16"/>
          <w:szCs w:val="16"/>
          <w:rtl/>
        </w:rPr>
        <w:t>(</w:t>
      </w:r>
      <w:r w:rsidR="007B0A04" w:rsidRPr="007B0A04">
        <w:rPr>
          <w:rFonts w:asciiTheme="minorBidi" w:hAnsiTheme="minorBidi" w:cs="Arial"/>
          <w:sz w:val="16"/>
          <w:szCs w:val="16"/>
          <w:rtl/>
        </w:rPr>
        <w:t>הרי"ף בפרק כירה (יז.) ובפ</w:t>
      </w:r>
      <w:r w:rsidR="007B0A04">
        <w:rPr>
          <w:rFonts w:asciiTheme="minorBidi" w:hAnsiTheme="minorBidi" w:cs="Arial" w:hint="cs"/>
          <w:sz w:val="16"/>
          <w:szCs w:val="16"/>
          <w:rtl/>
        </w:rPr>
        <w:t>"</w:t>
      </w:r>
      <w:r w:rsidR="007B0A04" w:rsidRPr="007B0A04">
        <w:rPr>
          <w:rFonts w:asciiTheme="minorBidi" w:hAnsiTheme="minorBidi" w:cs="Arial"/>
          <w:sz w:val="16"/>
          <w:szCs w:val="16"/>
          <w:rtl/>
        </w:rPr>
        <w:t>ק דחולין (ד.) כתב הא דאמר רב דימי הלכתא השוחט לחולה בשבת מותר לבריא באומצא וכו'</w:t>
      </w:r>
      <w:r w:rsidR="007B0A04">
        <w:rPr>
          <w:rFonts w:asciiTheme="minorBidi" w:hAnsiTheme="minorBidi" w:cs="Arial" w:hint="cs"/>
          <w:sz w:val="16"/>
          <w:szCs w:val="16"/>
          <w:rtl/>
        </w:rPr>
        <w:t>,</w:t>
      </w:r>
      <w:r w:rsidR="007B0A04" w:rsidRPr="007B0A04">
        <w:rPr>
          <w:rFonts w:asciiTheme="minorBidi" w:hAnsiTheme="minorBidi" w:cs="Arial"/>
          <w:sz w:val="16"/>
          <w:szCs w:val="16"/>
          <w:rtl/>
        </w:rPr>
        <w:t xml:space="preserve"> והשמיט הא דאמר רבי יצחק בר אדא אמר רב השוחט לחולה בשבת אסור לבריא וכו'</w:t>
      </w:r>
      <w:r w:rsidR="007B0A04" w:rsidRPr="007B0A04">
        <w:rPr>
          <w:rFonts w:asciiTheme="minorBidi" w:hAnsiTheme="minorBidi" w:cs="Arial" w:hint="cs"/>
          <w:sz w:val="16"/>
          <w:szCs w:val="16"/>
          <w:rtl/>
        </w:rPr>
        <w:t>.</w:t>
      </w:r>
      <w:r w:rsidR="007B0A04" w:rsidRPr="007B0A04">
        <w:rPr>
          <w:rFonts w:asciiTheme="minorBidi" w:hAnsiTheme="minorBidi" w:cs="Arial"/>
          <w:sz w:val="16"/>
          <w:szCs w:val="16"/>
          <w:rtl/>
        </w:rPr>
        <w:t xml:space="preserve"> וכתב הרא"ש בפ</w:t>
      </w:r>
      <w:r w:rsidR="007B0A04" w:rsidRPr="007B0A04">
        <w:rPr>
          <w:rFonts w:asciiTheme="minorBidi" w:hAnsiTheme="minorBidi" w:cs="Arial" w:hint="cs"/>
          <w:sz w:val="16"/>
          <w:szCs w:val="16"/>
          <w:rtl/>
        </w:rPr>
        <w:t xml:space="preserve">"ק </w:t>
      </w:r>
      <w:r w:rsidR="007B0A04" w:rsidRPr="007B0A04">
        <w:rPr>
          <w:rFonts w:asciiTheme="minorBidi" w:hAnsiTheme="minorBidi" w:cs="Arial"/>
          <w:sz w:val="16"/>
          <w:szCs w:val="16"/>
          <w:rtl/>
        </w:rPr>
        <w:t>דחולין (סי' כ) דטעמא משום דלאו הלכתא היא</w:t>
      </w:r>
      <w:r w:rsidR="007B0A04" w:rsidRPr="007B0A04">
        <w:rPr>
          <w:rFonts w:asciiTheme="minorBidi" w:hAnsiTheme="minorBidi" w:cs="Arial" w:hint="cs"/>
          <w:sz w:val="16"/>
          <w:szCs w:val="16"/>
          <w:rtl/>
        </w:rPr>
        <w:t>,</w:t>
      </w:r>
      <w:r w:rsidR="007B0A04" w:rsidRPr="007B0A04">
        <w:rPr>
          <w:rFonts w:asciiTheme="minorBidi" w:hAnsiTheme="minorBidi" w:cs="Arial"/>
          <w:sz w:val="16"/>
          <w:szCs w:val="16"/>
          <w:rtl/>
        </w:rPr>
        <w:t xml:space="preserve"> דמיירי בחולה שחלה היום ואסר ליה משום מוקצה</w:t>
      </w:r>
      <w:r w:rsidR="007B0A04" w:rsidRPr="007B0A04">
        <w:rPr>
          <w:rFonts w:asciiTheme="minorBidi" w:hAnsiTheme="minorBidi" w:cs="Arial" w:hint="cs"/>
          <w:sz w:val="16"/>
          <w:szCs w:val="16"/>
          <w:rtl/>
        </w:rPr>
        <w:t>,</w:t>
      </w:r>
      <w:r w:rsidR="007B0A04" w:rsidRPr="007B0A04">
        <w:rPr>
          <w:rFonts w:asciiTheme="minorBidi" w:hAnsiTheme="minorBidi" w:cs="Arial"/>
          <w:sz w:val="16"/>
          <w:szCs w:val="16"/>
          <w:rtl/>
        </w:rPr>
        <w:t xml:space="preserve"> ואנן קיי</w:t>
      </w:r>
      <w:r w:rsidR="007B0A04" w:rsidRPr="007B0A04">
        <w:rPr>
          <w:rFonts w:asciiTheme="minorBidi" w:hAnsiTheme="minorBidi" w:cs="Arial" w:hint="cs"/>
          <w:sz w:val="16"/>
          <w:szCs w:val="16"/>
          <w:rtl/>
        </w:rPr>
        <w:t>"</w:t>
      </w:r>
      <w:r w:rsidR="007B0A04" w:rsidRPr="007B0A04">
        <w:rPr>
          <w:rFonts w:asciiTheme="minorBidi" w:hAnsiTheme="minorBidi" w:cs="Arial"/>
          <w:sz w:val="16"/>
          <w:szCs w:val="16"/>
          <w:rtl/>
        </w:rPr>
        <w:t>ל כרבי שמעון דלית ליה מוקצה מחמת איסור אלא בנר שהדליקו בשבת דדחייה בידים</w:t>
      </w:r>
      <w:r w:rsidR="007B0A04" w:rsidRPr="007B0A04">
        <w:rPr>
          <w:rFonts w:asciiTheme="minorBidi" w:hAnsiTheme="minorBidi" w:cs="Arial" w:hint="cs"/>
          <w:sz w:val="16"/>
          <w:szCs w:val="16"/>
          <w:rtl/>
        </w:rPr>
        <w:t>,</w:t>
      </w:r>
      <w:r w:rsidR="007B0A04" w:rsidRPr="007B0A04">
        <w:rPr>
          <w:rFonts w:asciiTheme="minorBidi" w:hAnsiTheme="minorBidi" w:cs="Arial"/>
          <w:sz w:val="16"/>
          <w:szCs w:val="16"/>
          <w:rtl/>
        </w:rPr>
        <w:t xml:space="preserve"> וגרוגרות וצמוקים (מה.) וכיוצא בהם</w:t>
      </w:r>
      <w:r w:rsidR="007B0A04" w:rsidRPr="007B0A04">
        <w:rPr>
          <w:rFonts w:asciiTheme="minorBidi" w:hAnsiTheme="minorBidi" w:cs="Arial" w:hint="cs"/>
          <w:sz w:val="16"/>
          <w:szCs w:val="16"/>
          <w:rtl/>
        </w:rPr>
        <w:t>,</w:t>
      </w:r>
      <w:r w:rsidR="007B0A04" w:rsidRPr="007B0A04">
        <w:rPr>
          <w:rFonts w:asciiTheme="minorBidi" w:hAnsiTheme="minorBidi" w:cs="Arial"/>
          <w:sz w:val="16"/>
          <w:szCs w:val="16"/>
          <w:rtl/>
        </w:rPr>
        <w:t xml:space="preserve"> ומוקצה מחמת חסרון כיס (קנז.)</w:t>
      </w:r>
      <w:r w:rsidR="007B0A04" w:rsidRPr="007B0A04">
        <w:rPr>
          <w:rFonts w:asciiTheme="minorBidi" w:hAnsiTheme="minorBidi" w:cs="Arial" w:hint="cs"/>
          <w:sz w:val="16"/>
          <w:szCs w:val="16"/>
          <w:rtl/>
        </w:rPr>
        <w:t>,</w:t>
      </w:r>
      <w:r w:rsidR="007B0A04" w:rsidRPr="007B0A04">
        <w:rPr>
          <w:rFonts w:asciiTheme="minorBidi" w:hAnsiTheme="minorBidi" w:cs="Arial"/>
          <w:sz w:val="16"/>
          <w:szCs w:val="16"/>
          <w:rtl/>
        </w:rPr>
        <w:t xml:space="preserve"> כמו שפסק הרי"ף בפ</w:t>
      </w:r>
      <w:r w:rsidR="007B0A04" w:rsidRPr="007B0A04">
        <w:rPr>
          <w:rFonts w:asciiTheme="minorBidi" w:hAnsiTheme="minorBidi" w:cs="Arial" w:hint="cs"/>
          <w:sz w:val="16"/>
          <w:szCs w:val="16"/>
          <w:rtl/>
        </w:rPr>
        <w:t xml:space="preserve">"ק </w:t>
      </w:r>
      <w:r w:rsidR="007B0A04" w:rsidRPr="007B0A04">
        <w:rPr>
          <w:rFonts w:asciiTheme="minorBidi" w:hAnsiTheme="minorBidi" w:cs="Arial"/>
          <w:sz w:val="16"/>
          <w:szCs w:val="16"/>
          <w:rtl/>
        </w:rPr>
        <w:t>דשבת (ח.). וגם הרמב"ם בפ</w:t>
      </w:r>
      <w:r w:rsidR="007B0A04" w:rsidRPr="007B0A04">
        <w:rPr>
          <w:rFonts w:asciiTheme="minorBidi" w:hAnsiTheme="minorBidi" w:cs="Arial" w:hint="cs"/>
          <w:sz w:val="16"/>
          <w:szCs w:val="16"/>
          <w:rtl/>
        </w:rPr>
        <w:t>"</w:t>
      </w:r>
      <w:r w:rsidR="007B0A04" w:rsidRPr="007B0A04">
        <w:rPr>
          <w:rFonts w:asciiTheme="minorBidi" w:hAnsiTheme="minorBidi" w:cs="Arial"/>
          <w:sz w:val="16"/>
          <w:szCs w:val="16"/>
          <w:rtl/>
        </w:rPr>
        <w:t>ב (ה"ט) כתב סתם השוחט לחולה בשבת מותר לבריא לאכול ממנו בשר חי וכו'</w:t>
      </w:r>
      <w:r w:rsidR="007B0A04" w:rsidRPr="007B0A04">
        <w:rPr>
          <w:rFonts w:asciiTheme="minorBidi" w:hAnsiTheme="minorBidi" w:cs="Arial" w:hint="cs"/>
          <w:sz w:val="16"/>
          <w:szCs w:val="16"/>
          <w:rtl/>
        </w:rPr>
        <w:t>,</w:t>
      </w:r>
      <w:r w:rsidR="007B0A04" w:rsidRPr="007B0A04">
        <w:rPr>
          <w:rFonts w:asciiTheme="minorBidi" w:hAnsiTheme="minorBidi" w:cs="Arial"/>
          <w:sz w:val="16"/>
          <w:szCs w:val="16"/>
          <w:rtl/>
        </w:rPr>
        <w:t xml:space="preserve"> וכתב על זה הראב"ד </w:t>
      </w:r>
      <w:r w:rsidR="007B0A04">
        <w:rPr>
          <w:rFonts w:asciiTheme="minorBidi" w:hAnsiTheme="minorBidi" w:cs="Arial" w:hint="cs"/>
          <w:sz w:val="16"/>
          <w:szCs w:val="16"/>
          <w:rtl/>
        </w:rPr>
        <w:t>"</w:t>
      </w:r>
      <w:r w:rsidR="007B0A04" w:rsidRPr="007B0A04">
        <w:rPr>
          <w:rFonts w:asciiTheme="minorBidi" w:hAnsiTheme="minorBidi" w:cs="Arial"/>
          <w:sz w:val="16"/>
          <w:szCs w:val="16"/>
          <w:rtl/>
        </w:rPr>
        <w:t>והוא שיהיה לו חולה מבעוד יום</w:t>
      </w:r>
      <w:r w:rsidR="007B0A04">
        <w:rPr>
          <w:rFonts w:asciiTheme="minorBidi" w:hAnsiTheme="minorBidi" w:cs="Arial" w:hint="cs"/>
          <w:sz w:val="16"/>
          <w:szCs w:val="16"/>
          <w:rtl/>
        </w:rPr>
        <w:t>"</w:t>
      </w:r>
      <w:r w:rsidR="007B0A04" w:rsidRPr="007B0A04">
        <w:rPr>
          <w:rFonts w:asciiTheme="minorBidi" w:hAnsiTheme="minorBidi" w:cs="Arial"/>
          <w:sz w:val="16"/>
          <w:szCs w:val="16"/>
          <w:rtl/>
        </w:rPr>
        <w:t>. וכתב הה</w:t>
      </w:r>
      <w:r w:rsidR="007B0A04" w:rsidRPr="007B0A04">
        <w:rPr>
          <w:rFonts w:asciiTheme="minorBidi" w:hAnsiTheme="minorBidi" w:cs="Arial" w:hint="cs"/>
          <w:sz w:val="16"/>
          <w:szCs w:val="16"/>
          <w:rtl/>
        </w:rPr>
        <w:t>"</w:t>
      </w:r>
      <w:r w:rsidR="007B0A04" w:rsidRPr="007B0A04">
        <w:rPr>
          <w:rFonts w:asciiTheme="minorBidi" w:hAnsiTheme="minorBidi" w:cs="Arial"/>
          <w:sz w:val="16"/>
          <w:szCs w:val="16"/>
          <w:rtl/>
        </w:rPr>
        <w:t>מ דלדידן דקי</w:t>
      </w:r>
      <w:r w:rsidR="007B0A04" w:rsidRPr="007B0A04">
        <w:rPr>
          <w:rFonts w:asciiTheme="minorBidi" w:hAnsiTheme="minorBidi" w:cs="Arial" w:hint="cs"/>
          <w:sz w:val="16"/>
          <w:szCs w:val="16"/>
          <w:rtl/>
        </w:rPr>
        <w:t>י"</w:t>
      </w:r>
      <w:r w:rsidR="007B0A04" w:rsidRPr="007B0A04">
        <w:rPr>
          <w:rFonts w:asciiTheme="minorBidi" w:hAnsiTheme="minorBidi" w:cs="Arial"/>
          <w:sz w:val="16"/>
          <w:szCs w:val="16"/>
          <w:rtl/>
        </w:rPr>
        <w:t>ל כרבי שמעון אין מוקצה בשבת אלא מוקצה מחמת איסור שדחאו בידים אבל אם לא דחאו בידים מותר ואע</w:t>
      </w:r>
      <w:r w:rsidR="007B0A04" w:rsidRPr="007B0A04">
        <w:rPr>
          <w:rFonts w:asciiTheme="minorBidi" w:hAnsiTheme="minorBidi" w:cs="Arial" w:hint="cs"/>
          <w:sz w:val="16"/>
          <w:szCs w:val="16"/>
          <w:rtl/>
        </w:rPr>
        <w:t>"</w:t>
      </w:r>
      <w:r w:rsidR="007B0A04" w:rsidRPr="007B0A04">
        <w:rPr>
          <w:rFonts w:asciiTheme="minorBidi" w:hAnsiTheme="minorBidi" w:cs="Arial"/>
          <w:sz w:val="16"/>
          <w:szCs w:val="16"/>
          <w:rtl/>
        </w:rPr>
        <w:t>פ שהבהמה היתה מוקצה מחמת איסור שחיטה לא דחאה הוא בידים</w:t>
      </w:r>
      <w:r w:rsidR="007B0A04">
        <w:rPr>
          <w:rFonts w:asciiTheme="minorBidi" w:hAnsiTheme="minorBidi" w:cs="Arial" w:hint="cs"/>
          <w:sz w:val="16"/>
          <w:szCs w:val="16"/>
          <w:rtl/>
        </w:rPr>
        <w:t>)</w:t>
      </w:r>
    </w:p>
    <w:p w14:paraId="57C1D300" w14:textId="1B86CD4C" w:rsidR="00127167" w:rsidRPr="00127167" w:rsidRDefault="00127167" w:rsidP="00434A6A">
      <w:pPr>
        <w:rPr>
          <w:rFonts w:asciiTheme="minorBidi" w:hAnsiTheme="minorBidi"/>
          <w:u w:val="single"/>
          <w:rtl/>
        </w:rPr>
      </w:pPr>
      <w:r w:rsidRPr="00127167">
        <w:rPr>
          <w:rFonts w:asciiTheme="minorBidi" w:hAnsiTheme="minorBidi"/>
          <w:u w:val="single"/>
          <w:rtl/>
        </w:rPr>
        <w:t>השוחט</w:t>
      </w:r>
      <w:r w:rsidRPr="00127167">
        <w:rPr>
          <w:rFonts w:asciiTheme="minorBidi" w:hAnsiTheme="minorBidi" w:hint="cs"/>
          <w:u w:val="single"/>
          <w:rtl/>
        </w:rPr>
        <w:t>/מבשל</w:t>
      </w:r>
      <w:r w:rsidRPr="00127167">
        <w:rPr>
          <w:rFonts w:asciiTheme="minorBidi" w:hAnsiTheme="minorBidi"/>
          <w:u w:val="single"/>
          <w:rtl/>
        </w:rPr>
        <w:t xml:space="preserve"> לחולה</w:t>
      </w:r>
      <w:r w:rsidR="00684507">
        <w:rPr>
          <w:rFonts w:asciiTheme="minorBidi" w:hAnsiTheme="minorBidi" w:hint="cs"/>
          <w:u w:val="single"/>
          <w:rtl/>
        </w:rPr>
        <w:t xml:space="preserve"> -</w:t>
      </w:r>
      <w:r w:rsidRPr="00127167">
        <w:rPr>
          <w:rFonts w:asciiTheme="minorBidi" w:hAnsiTheme="minorBidi"/>
          <w:u w:val="single"/>
          <w:rtl/>
        </w:rPr>
        <w:t xml:space="preserve"> האם מותר לבריא</w:t>
      </w:r>
      <w:r w:rsidRPr="00127167">
        <w:rPr>
          <w:rFonts w:asciiTheme="minorBidi" w:hAnsiTheme="minorBidi" w:hint="cs"/>
          <w:u w:val="single"/>
          <w:rtl/>
        </w:rPr>
        <w:t>:</w:t>
      </w:r>
    </w:p>
    <w:p w14:paraId="1B37E564" w14:textId="1BC4FE9A" w:rsidR="00424DD5" w:rsidRPr="0005702E" w:rsidRDefault="00424DD5" w:rsidP="00434A6A">
      <w:pPr>
        <w:pStyle w:val="aa"/>
        <w:numPr>
          <w:ilvl w:val="0"/>
          <w:numId w:val="32"/>
        </w:numPr>
        <w:rPr>
          <w:rFonts w:asciiTheme="minorBidi" w:hAnsiTheme="minorBidi"/>
        </w:rPr>
      </w:pPr>
      <w:r>
        <w:rPr>
          <w:rFonts w:asciiTheme="minorBidi" w:hAnsiTheme="minorBidi" w:cs="Arial" w:hint="cs"/>
          <w:rtl/>
        </w:rPr>
        <w:t xml:space="preserve">רי"ף </w:t>
      </w:r>
      <w:r>
        <w:rPr>
          <w:rFonts w:asciiTheme="minorBidi" w:hAnsiTheme="minorBidi" w:cs="Arial" w:hint="cs"/>
          <w:sz w:val="16"/>
          <w:szCs w:val="16"/>
          <w:rtl/>
        </w:rPr>
        <w:t>(שבת יז., חולין ד.)</w:t>
      </w:r>
      <w:r>
        <w:rPr>
          <w:rFonts w:asciiTheme="minorBidi" w:hAnsiTheme="minorBidi" w:cs="Arial" w:hint="cs"/>
          <w:rtl/>
        </w:rPr>
        <w:t xml:space="preserve"> רמב"ם </w:t>
      </w:r>
      <w:r>
        <w:rPr>
          <w:rFonts w:asciiTheme="minorBidi" w:hAnsiTheme="minorBidi" w:cs="Arial" w:hint="cs"/>
          <w:sz w:val="16"/>
          <w:szCs w:val="16"/>
          <w:rtl/>
        </w:rPr>
        <w:t>(פ"ב ה"ט)</w:t>
      </w:r>
      <w:r>
        <w:rPr>
          <w:rFonts w:asciiTheme="minorBidi" w:hAnsiTheme="minorBidi" w:cs="Arial" w:hint="cs"/>
          <w:rtl/>
        </w:rPr>
        <w:t xml:space="preserve"> רא"ש</w:t>
      </w:r>
      <w:r>
        <w:rPr>
          <w:rFonts w:asciiTheme="minorBidi" w:hAnsiTheme="minorBidi" w:cs="Arial" w:hint="cs"/>
          <w:sz w:val="16"/>
          <w:szCs w:val="16"/>
          <w:rtl/>
        </w:rPr>
        <w:t xml:space="preserve"> (חולין פ"א סי' כ)</w:t>
      </w:r>
      <w:r w:rsidR="007B0A04">
        <w:rPr>
          <w:rFonts w:asciiTheme="minorBidi" w:hAnsiTheme="minorBidi" w:cs="Arial" w:hint="cs"/>
          <w:rtl/>
        </w:rPr>
        <w:t xml:space="preserve"> וטור</w:t>
      </w:r>
      <w:r>
        <w:rPr>
          <w:rFonts w:asciiTheme="minorBidi" w:hAnsiTheme="minorBidi" w:cs="Arial" w:hint="cs"/>
          <w:rtl/>
        </w:rPr>
        <w:t xml:space="preserve">- </w:t>
      </w:r>
      <w:r w:rsidRPr="00424DD5">
        <w:rPr>
          <w:rFonts w:asciiTheme="minorBidi" w:hAnsiTheme="minorBidi" w:cs="Arial"/>
          <w:rtl/>
        </w:rPr>
        <w:t xml:space="preserve">המבשל לחולה בשבת ואכל החולה והותיר </w:t>
      </w:r>
      <w:r w:rsidR="007B0A04">
        <w:rPr>
          <w:rFonts w:asciiTheme="minorBidi" w:hAnsiTheme="minorBidi" w:cs="Arial" w:hint="cs"/>
          <w:rtl/>
        </w:rPr>
        <w:t xml:space="preserve">- </w:t>
      </w:r>
      <w:r w:rsidRPr="00424DD5">
        <w:rPr>
          <w:rFonts w:asciiTheme="minorBidi" w:hAnsiTheme="minorBidi" w:cs="Arial"/>
          <w:rtl/>
        </w:rPr>
        <w:t>אסור לבריא לאכול מן המותר</w:t>
      </w:r>
      <w:r w:rsidR="007B0A04">
        <w:rPr>
          <w:rFonts w:asciiTheme="minorBidi" w:hAnsiTheme="minorBidi" w:cs="Arial" w:hint="cs"/>
          <w:rtl/>
        </w:rPr>
        <w:t>,</w:t>
      </w:r>
      <w:r w:rsidRPr="00424DD5">
        <w:rPr>
          <w:rFonts w:asciiTheme="minorBidi" w:hAnsiTheme="minorBidi" w:cs="Arial"/>
          <w:rtl/>
        </w:rPr>
        <w:t xml:space="preserve"> גזרה שמא ירבה בשבילו</w:t>
      </w:r>
      <w:r w:rsidR="007B0A04">
        <w:rPr>
          <w:rFonts w:asciiTheme="minorBidi" w:hAnsiTheme="minorBidi" w:cs="Arial" w:hint="cs"/>
          <w:rtl/>
        </w:rPr>
        <w:t>.</w:t>
      </w:r>
      <w:r w:rsidRPr="00424DD5">
        <w:rPr>
          <w:rFonts w:asciiTheme="minorBidi" w:hAnsiTheme="minorBidi" w:cs="Arial"/>
          <w:rtl/>
        </w:rPr>
        <w:t xml:space="preserve"> אבל השוחט לחולה בשבת </w:t>
      </w:r>
      <w:r w:rsidR="007B0A04">
        <w:rPr>
          <w:rFonts w:asciiTheme="minorBidi" w:hAnsiTheme="minorBidi" w:cs="Arial" w:hint="cs"/>
          <w:rtl/>
        </w:rPr>
        <w:t xml:space="preserve">- </w:t>
      </w:r>
      <w:r w:rsidRPr="00424DD5">
        <w:rPr>
          <w:rFonts w:asciiTheme="minorBidi" w:hAnsiTheme="minorBidi" w:cs="Arial"/>
          <w:rtl/>
        </w:rPr>
        <w:t>מותר לבריא לאכול ממנו בשר חי</w:t>
      </w:r>
      <w:r w:rsidR="007B0A04">
        <w:rPr>
          <w:rStyle w:val="a9"/>
          <w:rFonts w:asciiTheme="minorBidi" w:hAnsiTheme="minorBidi" w:cs="Arial"/>
          <w:rtl/>
        </w:rPr>
        <w:footnoteReference w:id="2676"/>
      </w:r>
      <w:r w:rsidR="007B0A04">
        <w:rPr>
          <w:rFonts w:asciiTheme="minorBidi" w:hAnsiTheme="minorBidi" w:cs="Arial" w:hint="cs"/>
          <w:rtl/>
        </w:rPr>
        <w:t>,</w:t>
      </w:r>
      <w:r w:rsidRPr="00424DD5">
        <w:rPr>
          <w:rFonts w:asciiTheme="minorBidi" w:hAnsiTheme="minorBidi" w:cs="Arial"/>
          <w:rtl/>
        </w:rPr>
        <w:t xml:space="preserve"> שאין בדבר תוספת כדי שנגזור שמא ירבה בשבילו</w:t>
      </w:r>
      <w:r w:rsidR="00396410">
        <w:rPr>
          <w:rStyle w:val="a9"/>
          <w:rFonts w:asciiTheme="minorBidi" w:hAnsiTheme="minorBidi" w:cs="Arial"/>
          <w:rtl/>
        </w:rPr>
        <w:footnoteReference w:id="2677"/>
      </w:r>
      <w:r w:rsidR="007B0A04">
        <w:rPr>
          <w:rFonts w:asciiTheme="minorBidi" w:hAnsiTheme="minorBidi" w:cs="Arial" w:hint="cs"/>
          <w:rtl/>
        </w:rPr>
        <w:t>,</w:t>
      </w:r>
      <w:r w:rsidRPr="00424DD5">
        <w:rPr>
          <w:rFonts w:asciiTheme="minorBidi" w:hAnsiTheme="minorBidi" w:cs="Arial"/>
          <w:rtl/>
        </w:rPr>
        <w:t xml:space="preserve"> וכן כל כיוצא בזה</w:t>
      </w:r>
      <w:r>
        <w:rPr>
          <w:rFonts w:asciiTheme="minorBidi" w:hAnsiTheme="minorBidi" w:cs="Arial" w:hint="cs"/>
          <w:sz w:val="16"/>
          <w:szCs w:val="16"/>
          <w:rtl/>
        </w:rPr>
        <w:t xml:space="preserve"> (ל' הרמב"ם)</w:t>
      </w:r>
      <w:r w:rsidRPr="00424DD5">
        <w:rPr>
          <w:rFonts w:asciiTheme="minorBidi" w:hAnsiTheme="minorBidi" w:cs="Arial"/>
          <w:rtl/>
        </w:rPr>
        <w:t>.</w:t>
      </w:r>
      <w:r w:rsidR="002E5732">
        <w:rPr>
          <w:rFonts w:asciiTheme="minorBidi" w:hAnsiTheme="minorBidi" w:hint="cs"/>
          <w:rtl/>
        </w:rPr>
        <w:t xml:space="preserve"> </w:t>
      </w:r>
      <w:r w:rsidR="002E5732" w:rsidRPr="002E5732">
        <w:rPr>
          <w:rFonts w:asciiTheme="minorBidi" w:hAnsiTheme="minorBidi" w:hint="cs"/>
          <w:color w:val="E36C0A" w:themeColor="accent6" w:themeShade="BF"/>
          <w:rtl/>
        </w:rPr>
        <w:t>(וכ"פ בשו"ע)</w:t>
      </w:r>
    </w:p>
    <w:p w14:paraId="3F009FE9" w14:textId="285BA78C" w:rsidR="00424DD5" w:rsidRPr="00424DD5" w:rsidRDefault="00424DD5" w:rsidP="00434A6A">
      <w:pPr>
        <w:pStyle w:val="aa"/>
        <w:numPr>
          <w:ilvl w:val="0"/>
          <w:numId w:val="32"/>
        </w:numPr>
        <w:rPr>
          <w:rFonts w:asciiTheme="minorBidi" w:hAnsiTheme="minorBidi" w:cs="Arial"/>
          <w:rtl/>
        </w:rPr>
      </w:pPr>
      <w:r w:rsidRPr="00424DD5">
        <w:rPr>
          <w:rFonts w:asciiTheme="minorBidi" w:hAnsiTheme="minorBidi" w:cs="Arial"/>
          <w:rtl/>
        </w:rPr>
        <w:t>ר"ן</w:t>
      </w:r>
      <w:r w:rsidRPr="00424DD5">
        <w:rPr>
          <w:rFonts w:asciiTheme="minorBidi" w:hAnsiTheme="minorBidi" w:cs="Arial"/>
          <w:sz w:val="16"/>
          <w:szCs w:val="16"/>
          <w:rtl/>
        </w:rPr>
        <w:t xml:space="preserve"> (סוף יז.)</w:t>
      </w:r>
      <w:r w:rsidRPr="00424DD5">
        <w:rPr>
          <w:rFonts w:asciiTheme="minorBidi" w:hAnsiTheme="minorBidi" w:cs="Arial" w:hint="cs"/>
          <w:rtl/>
        </w:rPr>
        <w:t xml:space="preserve">- </w:t>
      </w:r>
      <w:r w:rsidRPr="00424DD5">
        <w:rPr>
          <w:rFonts w:asciiTheme="minorBidi" w:hAnsiTheme="minorBidi" w:cs="Arial"/>
          <w:rtl/>
        </w:rPr>
        <w:t>השוחט לחולה בשבת מותר לבריא באומצא</w:t>
      </w:r>
      <w:r w:rsidRPr="00424DD5">
        <w:rPr>
          <w:rFonts w:asciiTheme="minorBidi" w:hAnsiTheme="minorBidi" w:cs="Arial" w:hint="cs"/>
          <w:rtl/>
        </w:rPr>
        <w:t>,</w:t>
      </w:r>
      <w:r w:rsidRPr="00424DD5">
        <w:rPr>
          <w:rFonts w:asciiTheme="minorBidi" w:hAnsiTheme="minorBidi" w:cs="Arial"/>
          <w:rtl/>
        </w:rPr>
        <w:t xml:space="preserve"> מיהו דוקא בחולה שחלה מבעוד יום</w:t>
      </w:r>
      <w:r w:rsidRPr="00424DD5">
        <w:rPr>
          <w:rFonts w:asciiTheme="minorBidi" w:hAnsiTheme="minorBidi" w:cs="Arial" w:hint="cs"/>
          <w:rtl/>
        </w:rPr>
        <w:t>,</w:t>
      </w:r>
      <w:r w:rsidRPr="00424DD5">
        <w:rPr>
          <w:rFonts w:asciiTheme="minorBidi" w:hAnsiTheme="minorBidi" w:cs="Arial"/>
          <w:rtl/>
        </w:rPr>
        <w:t xml:space="preserve"> אבל חלה בשבת </w:t>
      </w:r>
      <w:r w:rsidR="007B0A04">
        <w:rPr>
          <w:rFonts w:asciiTheme="minorBidi" w:hAnsiTheme="minorBidi" w:cs="Arial" w:hint="cs"/>
          <w:rtl/>
        </w:rPr>
        <w:t xml:space="preserve">- </w:t>
      </w:r>
      <w:r w:rsidRPr="00424DD5">
        <w:rPr>
          <w:rFonts w:asciiTheme="minorBidi" w:hAnsiTheme="minorBidi" w:cs="Arial"/>
          <w:rtl/>
        </w:rPr>
        <w:t>אסור לבריא</w:t>
      </w:r>
      <w:r w:rsidR="007B0A04">
        <w:rPr>
          <w:rFonts w:asciiTheme="minorBidi" w:hAnsiTheme="minorBidi" w:cs="Arial" w:hint="cs"/>
          <w:rtl/>
        </w:rPr>
        <w:t>,</w:t>
      </w:r>
      <w:r w:rsidRPr="00424DD5">
        <w:rPr>
          <w:rFonts w:asciiTheme="minorBidi" w:hAnsiTheme="minorBidi" w:cs="Arial"/>
          <w:rtl/>
        </w:rPr>
        <w:t xml:space="preserve"> משום דההוא מידי דשחיט בשבת הוה ליה מוקצה</w:t>
      </w:r>
      <w:r w:rsidR="0099465F">
        <w:rPr>
          <w:rStyle w:val="a9"/>
          <w:rFonts w:asciiTheme="minorBidi" w:hAnsiTheme="minorBidi" w:cs="Arial"/>
          <w:rtl/>
        </w:rPr>
        <w:footnoteReference w:id="2678"/>
      </w:r>
      <w:r w:rsidRPr="00424DD5">
        <w:rPr>
          <w:rFonts w:asciiTheme="minorBidi" w:hAnsiTheme="minorBidi" w:cs="Arial"/>
          <w:rtl/>
        </w:rPr>
        <w:t xml:space="preserve"> מערב שבת</w:t>
      </w:r>
      <w:r>
        <w:rPr>
          <w:rStyle w:val="a9"/>
          <w:rFonts w:asciiTheme="minorBidi" w:hAnsiTheme="minorBidi" w:cs="Arial"/>
          <w:rtl/>
        </w:rPr>
        <w:footnoteReference w:id="2679"/>
      </w:r>
      <w:r w:rsidRPr="00424DD5">
        <w:rPr>
          <w:rFonts w:asciiTheme="minorBidi" w:hAnsiTheme="minorBidi" w:cs="Arial"/>
          <w:rtl/>
        </w:rPr>
        <w:t xml:space="preserve">. </w:t>
      </w:r>
    </w:p>
    <w:p w14:paraId="59A8C4E4" w14:textId="0C2647DA" w:rsidR="002F5172" w:rsidRPr="002F5172" w:rsidRDefault="002F5172" w:rsidP="00434A6A">
      <w:pPr>
        <w:ind w:left="360"/>
        <w:rPr>
          <w:rFonts w:asciiTheme="minorBidi" w:hAnsiTheme="minorBidi" w:cs="Arial"/>
          <w:u w:val="dotted"/>
        </w:rPr>
      </w:pPr>
      <w:r w:rsidRPr="002F5172">
        <w:rPr>
          <w:rFonts w:asciiTheme="minorBidi" w:hAnsiTheme="minorBidi" w:cs="Arial" w:hint="cs"/>
          <w:u w:val="dotted"/>
          <w:rtl/>
        </w:rPr>
        <w:t>האם חולה שאין בו סכנה יכול לאכול</w:t>
      </w:r>
      <w:r w:rsidR="009A4D95">
        <w:rPr>
          <w:rFonts w:asciiTheme="minorBidi" w:hAnsiTheme="minorBidi" w:cs="Arial" w:hint="cs"/>
          <w:u w:val="dotted"/>
          <w:rtl/>
        </w:rPr>
        <w:t xml:space="preserve"> בשבת</w:t>
      </w:r>
      <w:r w:rsidRPr="002F5172">
        <w:rPr>
          <w:rFonts w:asciiTheme="minorBidi" w:hAnsiTheme="minorBidi" w:cs="Arial" w:hint="cs"/>
          <w:u w:val="dotted"/>
          <w:rtl/>
        </w:rPr>
        <w:t xml:space="preserve"> ממה שהותיר החולה שיש בו סכנה:</w:t>
      </w:r>
    </w:p>
    <w:p w14:paraId="1BEFCD46" w14:textId="10DDD232" w:rsidR="009A4D95" w:rsidRDefault="002F5172" w:rsidP="00434A6A">
      <w:pPr>
        <w:pStyle w:val="aa"/>
        <w:numPr>
          <w:ilvl w:val="0"/>
          <w:numId w:val="32"/>
        </w:numPr>
        <w:rPr>
          <w:rFonts w:asciiTheme="minorBidi" w:hAnsiTheme="minorBidi" w:cs="Arial"/>
        </w:rPr>
      </w:pPr>
      <w:r>
        <w:rPr>
          <w:rFonts w:asciiTheme="minorBidi" w:hAnsiTheme="minorBidi" w:cs="Arial" w:hint="cs"/>
          <w:rtl/>
        </w:rPr>
        <w:t xml:space="preserve">רשב"א </w:t>
      </w:r>
      <w:r>
        <w:rPr>
          <w:rFonts w:asciiTheme="minorBidi" w:hAnsiTheme="minorBidi" w:cs="Arial" w:hint="cs"/>
          <w:sz w:val="16"/>
          <w:szCs w:val="16"/>
          <w:rtl/>
        </w:rPr>
        <w:t>(סי' תתיד, העתיקו האגור [סי' תקג])</w:t>
      </w:r>
      <w:r>
        <w:rPr>
          <w:rFonts w:asciiTheme="minorBidi" w:hAnsiTheme="minorBidi" w:cs="Arial" w:hint="cs"/>
          <w:rtl/>
        </w:rPr>
        <w:t xml:space="preserve">- </w:t>
      </w:r>
      <w:r w:rsidRPr="002F5172">
        <w:rPr>
          <w:rFonts w:asciiTheme="minorBidi" w:hAnsiTheme="minorBidi" w:cs="Arial"/>
          <w:rtl/>
        </w:rPr>
        <w:t xml:space="preserve">שאלת המבשל לחולה שיש בו סכנה בשבת. מהו שיאכל ממה שיותיר חולה אחר שאין בו סכנה. מי נימא כיון דאפשר לעשות לו על ידי גוי בודאי לא ירבה בשבילו או דילמא לא שנא? </w:t>
      </w:r>
      <w:r>
        <w:rPr>
          <w:rFonts w:asciiTheme="minorBidi" w:hAnsiTheme="minorBidi" w:cs="Arial" w:hint="cs"/>
          <w:rtl/>
        </w:rPr>
        <w:t xml:space="preserve">   </w:t>
      </w:r>
      <w:r w:rsidRPr="002F5172">
        <w:rPr>
          <w:rFonts w:asciiTheme="minorBidi" w:hAnsiTheme="minorBidi" w:cs="Arial"/>
          <w:rtl/>
        </w:rPr>
        <w:t>תשובה</w:t>
      </w:r>
      <w:r>
        <w:rPr>
          <w:rFonts w:asciiTheme="minorBidi" w:hAnsiTheme="minorBidi" w:cs="Arial" w:hint="cs"/>
          <w:rtl/>
        </w:rPr>
        <w:t>:</w:t>
      </w:r>
      <w:r w:rsidRPr="002F5172">
        <w:rPr>
          <w:rFonts w:asciiTheme="minorBidi" w:hAnsiTheme="minorBidi" w:cs="Arial"/>
          <w:rtl/>
        </w:rPr>
        <w:t xml:space="preserve"> מסתברא שגם זה אסור כל שאסור לעשות על ידי ישראל גזירה שמא ירבה בשבילו. דלפעמים לא ימצא לעשות לו על ידי גוי ועבד ושפחה שאינן של ישראל ויבא זה לרבות בשבילו.</w:t>
      </w:r>
      <w:r w:rsidR="008E5025">
        <w:rPr>
          <w:rFonts w:asciiTheme="minorBidi" w:hAnsiTheme="minorBidi" w:cs="Arial" w:hint="cs"/>
          <w:rtl/>
        </w:rPr>
        <w:t xml:space="preserve"> </w:t>
      </w:r>
      <w:r w:rsidR="008E5025" w:rsidRPr="002E5732">
        <w:rPr>
          <w:rFonts w:asciiTheme="minorBidi" w:hAnsiTheme="minorBidi" w:hint="cs"/>
          <w:color w:val="E36C0A" w:themeColor="accent6" w:themeShade="BF"/>
          <w:rtl/>
        </w:rPr>
        <w:t>(וכ"פ בשו"ע)</w:t>
      </w:r>
    </w:p>
    <w:p w14:paraId="16DE93F0" w14:textId="4D6BBF68" w:rsidR="009A4D95" w:rsidRPr="00396410" w:rsidRDefault="009A4D95" w:rsidP="00434A6A">
      <w:pPr>
        <w:ind w:left="360"/>
        <w:rPr>
          <w:rFonts w:asciiTheme="minorBidi" w:hAnsiTheme="minorBidi" w:cs="Arial"/>
          <w:u w:val="dotted"/>
        </w:rPr>
      </w:pPr>
      <w:r w:rsidRPr="00396410">
        <w:rPr>
          <w:rFonts w:asciiTheme="minorBidi" w:hAnsiTheme="minorBidi" w:cs="Arial" w:hint="cs"/>
          <w:u w:val="dotted"/>
          <w:rtl/>
        </w:rPr>
        <w:t xml:space="preserve">האם בריא יכול לאכול </w:t>
      </w:r>
      <w:r w:rsidR="00396410" w:rsidRPr="00396410">
        <w:rPr>
          <w:rFonts w:asciiTheme="minorBidi" w:hAnsiTheme="minorBidi" w:cs="Arial" w:hint="cs"/>
          <w:u w:val="dotted"/>
          <w:rtl/>
        </w:rPr>
        <w:t xml:space="preserve">במוצ"ש </w:t>
      </w:r>
      <w:r w:rsidRPr="00396410">
        <w:rPr>
          <w:rFonts w:asciiTheme="minorBidi" w:hAnsiTheme="minorBidi" w:cs="Arial" w:hint="cs"/>
          <w:u w:val="dotted"/>
          <w:rtl/>
        </w:rPr>
        <w:t xml:space="preserve">את </w:t>
      </w:r>
      <w:r w:rsidR="00396410" w:rsidRPr="00396410">
        <w:rPr>
          <w:rFonts w:asciiTheme="minorBidi" w:hAnsiTheme="minorBidi" w:cs="Arial" w:hint="cs"/>
          <w:u w:val="dotted"/>
          <w:rtl/>
        </w:rPr>
        <w:t>האוכל שבושל בשבת לחולה:</w:t>
      </w:r>
    </w:p>
    <w:p w14:paraId="6B65CEB7" w14:textId="091DDAD3" w:rsidR="00C77F0C" w:rsidRPr="009A4D95" w:rsidRDefault="009A4D95" w:rsidP="00434A6A">
      <w:pPr>
        <w:pStyle w:val="aa"/>
        <w:numPr>
          <w:ilvl w:val="0"/>
          <w:numId w:val="32"/>
        </w:numPr>
        <w:rPr>
          <w:rFonts w:asciiTheme="minorBidi" w:hAnsiTheme="minorBidi" w:cs="Arial"/>
        </w:rPr>
      </w:pPr>
      <w:r w:rsidRPr="009A4D95">
        <w:rPr>
          <w:rFonts w:asciiTheme="minorBidi" w:hAnsiTheme="minorBidi" w:cs="Arial"/>
          <w:rtl/>
        </w:rPr>
        <w:t xml:space="preserve">רשב"א </w:t>
      </w:r>
      <w:r w:rsidRPr="009A4D95">
        <w:rPr>
          <w:rFonts w:asciiTheme="minorBidi" w:hAnsiTheme="minorBidi" w:cs="Arial" w:hint="cs"/>
          <w:sz w:val="16"/>
          <w:szCs w:val="16"/>
          <w:rtl/>
        </w:rPr>
        <w:t xml:space="preserve">(פ"ק </w:t>
      </w:r>
      <w:r w:rsidRPr="009A4D95">
        <w:rPr>
          <w:rFonts w:asciiTheme="minorBidi" w:hAnsiTheme="minorBidi" w:cs="Arial"/>
          <w:sz w:val="16"/>
          <w:szCs w:val="16"/>
          <w:rtl/>
        </w:rPr>
        <w:t>דחולין שם ד"ה ולענין מה שאמרו)</w:t>
      </w:r>
      <w:r>
        <w:rPr>
          <w:rFonts w:asciiTheme="minorBidi" w:hAnsiTheme="minorBidi" w:cs="Arial" w:hint="cs"/>
          <w:rtl/>
        </w:rPr>
        <w:t xml:space="preserve">- </w:t>
      </w:r>
      <w:r w:rsidRPr="005F2717">
        <w:rPr>
          <w:rFonts w:asciiTheme="minorBidi" w:hAnsiTheme="minorBidi" w:cs="Arial"/>
          <w:rtl/>
        </w:rPr>
        <w:t>ומיהו לכולי עלמא במבשל לחולה בשבת או שקצץ לו דלעת מותר לבריא במוצאי שבת מיד</w:t>
      </w:r>
      <w:r>
        <w:rPr>
          <w:rFonts w:asciiTheme="minorBidi" w:hAnsiTheme="minorBidi" w:cs="Arial" w:hint="cs"/>
          <w:rtl/>
        </w:rPr>
        <w:t>.</w:t>
      </w:r>
      <w:r w:rsidRPr="005F2717">
        <w:rPr>
          <w:rFonts w:asciiTheme="minorBidi" w:hAnsiTheme="minorBidi" w:cs="Arial"/>
          <w:rtl/>
        </w:rPr>
        <w:t xml:space="preserve"> דלא בעינן בכדי שיעשו אלא כשנתחלל שבת או בשוגג או במזיד</w:t>
      </w:r>
      <w:r>
        <w:rPr>
          <w:rFonts w:asciiTheme="minorBidi" w:hAnsiTheme="minorBidi" w:cs="Arial" w:hint="cs"/>
          <w:rtl/>
        </w:rPr>
        <w:t>,</w:t>
      </w:r>
      <w:r w:rsidRPr="005F2717">
        <w:rPr>
          <w:rFonts w:asciiTheme="minorBidi" w:hAnsiTheme="minorBidi" w:cs="Arial"/>
          <w:rtl/>
        </w:rPr>
        <w:t xml:space="preserve"> אבל כאן שעשה ברשות שאינו אסור לבריא אלא משום </w:t>
      </w:r>
      <w:r w:rsidRPr="009A4D95">
        <w:rPr>
          <w:rFonts w:asciiTheme="minorBidi" w:hAnsiTheme="minorBidi" w:cs="Arial"/>
          <w:rtl/>
        </w:rPr>
        <w:t>מוקצה או משום גזירה שמא ירבה בשבילו לא בעינן בכדי שיעשו</w:t>
      </w:r>
      <w:r>
        <w:rPr>
          <w:rStyle w:val="a9"/>
          <w:rFonts w:asciiTheme="minorBidi" w:hAnsiTheme="minorBidi" w:cs="Arial"/>
          <w:rtl/>
        </w:rPr>
        <w:footnoteReference w:id="2680"/>
      </w:r>
      <w:r w:rsidRPr="009A4D95">
        <w:rPr>
          <w:rFonts w:asciiTheme="minorBidi" w:hAnsiTheme="minorBidi" w:cs="Arial" w:hint="cs"/>
          <w:rtl/>
        </w:rPr>
        <w:t>.</w:t>
      </w:r>
      <w:r w:rsidR="002F5172" w:rsidRPr="009A4D95">
        <w:rPr>
          <w:rFonts w:asciiTheme="minorBidi" w:hAnsiTheme="minorBidi" w:cs="Arial"/>
          <w:rtl/>
        </w:rPr>
        <w:t xml:space="preserve"> </w:t>
      </w:r>
      <w:r w:rsidR="002065FF" w:rsidRPr="009A4D95">
        <w:rPr>
          <w:rFonts w:asciiTheme="minorBidi" w:hAnsiTheme="minorBidi" w:cs="Arial"/>
          <w:rtl/>
        </w:rPr>
        <w:t xml:space="preserve">   </w:t>
      </w:r>
      <w:r w:rsidR="00F317FE" w:rsidRPr="009A4D95">
        <w:rPr>
          <w:rFonts w:asciiTheme="minorBidi" w:hAnsiTheme="minorBidi" w:cs="Arial" w:hint="cs"/>
          <w:rtl/>
        </w:rPr>
        <w:t xml:space="preserve"> </w:t>
      </w:r>
      <w:r w:rsidR="002065FF" w:rsidRPr="009A4D95">
        <w:rPr>
          <w:rFonts w:asciiTheme="minorBidi" w:hAnsiTheme="minorBidi" w:cs="Arial"/>
          <w:rtl/>
        </w:rPr>
        <w:t xml:space="preserve"> </w:t>
      </w:r>
    </w:p>
    <w:p w14:paraId="22F4F296" w14:textId="37A5DA06" w:rsidR="00C77F0C" w:rsidRPr="00C77F0C" w:rsidRDefault="00C77F0C" w:rsidP="00434A6A">
      <w:pPr>
        <w:rPr>
          <w:rFonts w:asciiTheme="minorBidi" w:hAnsiTheme="minorBidi"/>
          <w:u w:val="single"/>
        </w:rPr>
      </w:pPr>
      <w:r w:rsidRPr="00C77F0C">
        <w:rPr>
          <w:rFonts w:asciiTheme="minorBidi" w:hAnsiTheme="minorBidi" w:cs="Arial"/>
          <w:u w:val="single"/>
          <w:rtl/>
        </w:rPr>
        <w:t>הקוצץ פרי שלא נגמר בישולו לחולה בשבת</w:t>
      </w:r>
      <w:r w:rsidRPr="00C77F0C">
        <w:rPr>
          <w:rFonts w:asciiTheme="minorBidi" w:hAnsiTheme="minorBidi" w:hint="cs"/>
          <w:u w:val="single"/>
          <w:rtl/>
        </w:rPr>
        <w:t>:</w:t>
      </w:r>
    </w:p>
    <w:p w14:paraId="6795AD1A" w14:textId="138AB498" w:rsidR="00883D12" w:rsidRPr="00396410" w:rsidRDefault="002065FF" w:rsidP="00434A6A">
      <w:pPr>
        <w:pStyle w:val="aa"/>
        <w:numPr>
          <w:ilvl w:val="0"/>
          <w:numId w:val="32"/>
        </w:numPr>
        <w:rPr>
          <w:rFonts w:asciiTheme="minorBidi" w:hAnsiTheme="minorBidi"/>
          <w:rtl/>
        </w:rPr>
      </w:pPr>
      <w:r w:rsidRPr="00C77F0C">
        <w:rPr>
          <w:rFonts w:asciiTheme="minorBidi" w:hAnsiTheme="minorBidi" w:cs="Arial"/>
          <w:rtl/>
        </w:rPr>
        <w:t xml:space="preserve">ארחות חיים </w:t>
      </w:r>
      <w:r w:rsidRPr="00C77F0C">
        <w:rPr>
          <w:rFonts w:asciiTheme="minorBidi" w:hAnsiTheme="minorBidi" w:cs="Arial"/>
          <w:sz w:val="16"/>
          <w:szCs w:val="16"/>
          <w:rtl/>
        </w:rPr>
        <w:t>(הל</w:t>
      </w:r>
      <w:r w:rsidR="00C77F0C">
        <w:rPr>
          <w:rFonts w:asciiTheme="minorBidi" w:hAnsiTheme="minorBidi" w:cs="Arial" w:hint="cs"/>
          <w:sz w:val="16"/>
          <w:szCs w:val="16"/>
          <w:rtl/>
        </w:rPr>
        <w:t>'</w:t>
      </w:r>
      <w:r w:rsidRPr="00C77F0C">
        <w:rPr>
          <w:rFonts w:asciiTheme="minorBidi" w:hAnsiTheme="minorBidi" w:cs="Arial"/>
          <w:sz w:val="16"/>
          <w:szCs w:val="16"/>
          <w:rtl/>
        </w:rPr>
        <w:t xml:space="preserve"> שבת סי' שמח)</w:t>
      </w:r>
      <w:r w:rsidR="00C77F0C">
        <w:rPr>
          <w:rFonts w:asciiTheme="minorBidi" w:hAnsiTheme="minorBidi" w:cs="Arial" w:hint="cs"/>
          <w:rtl/>
        </w:rPr>
        <w:t>-</w:t>
      </w:r>
      <w:r w:rsidRPr="00C77F0C">
        <w:rPr>
          <w:rFonts w:asciiTheme="minorBidi" w:hAnsiTheme="minorBidi" w:cs="Arial"/>
          <w:rtl/>
        </w:rPr>
        <w:t xml:space="preserve"> הקוצץ פרי שלא נגמר בישולו לחולה בשבת </w:t>
      </w:r>
      <w:r w:rsidR="00171650">
        <w:rPr>
          <w:rFonts w:asciiTheme="minorBidi" w:hAnsiTheme="minorBidi" w:cs="Arial" w:hint="cs"/>
          <w:rtl/>
        </w:rPr>
        <w:t xml:space="preserve">- </w:t>
      </w:r>
      <w:r w:rsidRPr="00C77F0C">
        <w:rPr>
          <w:rFonts w:asciiTheme="minorBidi" w:hAnsiTheme="minorBidi" w:cs="Arial"/>
          <w:rtl/>
        </w:rPr>
        <w:t>אסור לבריא משום מוקצה</w:t>
      </w:r>
      <w:r w:rsidR="00171650">
        <w:rPr>
          <w:rFonts w:asciiTheme="minorBidi" w:hAnsiTheme="minorBidi" w:cs="Arial" w:hint="cs"/>
          <w:rtl/>
        </w:rPr>
        <w:t>,</w:t>
      </w:r>
      <w:r w:rsidRPr="00C77F0C">
        <w:rPr>
          <w:rFonts w:asciiTheme="minorBidi" w:hAnsiTheme="minorBidi" w:cs="Arial"/>
          <w:rtl/>
        </w:rPr>
        <w:t xml:space="preserve"> ואפילו חלה מבעוד יום</w:t>
      </w:r>
      <w:r w:rsidR="00171650">
        <w:rPr>
          <w:rFonts w:asciiTheme="minorBidi" w:hAnsiTheme="minorBidi" w:cs="Arial" w:hint="cs"/>
          <w:rtl/>
        </w:rPr>
        <w:t>,</w:t>
      </w:r>
      <w:r w:rsidRPr="00C77F0C">
        <w:rPr>
          <w:rFonts w:asciiTheme="minorBidi" w:hAnsiTheme="minorBidi" w:cs="Arial"/>
          <w:rtl/>
        </w:rPr>
        <w:t xml:space="preserve"> שאין הכנה במחובר בכיוצא בזה שהוא גדל והולך כן כתב הרא"ה ז"ל</w:t>
      </w:r>
      <w:r w:rsidR="00C77F0C">
        <w:rPr>
          <w:rFonts w:asciiTheme="minorBidi" w:hAnsiTheme="minorBidi" w:cs="Arial" w:hint="cs"/>
          <w:rtl/>
        </w:rPr>
        <w:t>.</w:t>
      </w:r>
      <w:r w:rsidRPr="00396410">
        <w:rPr>
          <w:rFonts w:asciiTheme="minorBidi" w:hAnsiTheme="minorBidi" w:cs="Arial"/>
          <w:rtl/>
        </w:rPr>
        <w:t xml:space="preserve"> </w:t>
      </w:r>
      <w:r w:rsidR="002E5732" w:rsidRPr="003C6BB8">
        <w:rPr>
          <w:rFonts w:asciiTheme="minorBidi" w:hAnsiTheme="minorBidi" w:cs="Arial" w:hint="cs"/>
          <w:color w:val="00B0F0"/>
          <w:rtl/>
        </w:rPr>
        <w:t>(וכ"פ הרמ"א)</w:t>
      </w:r>
    </w:p>
    <w:p w14:paraId="7FF14DE4" w14:textId="77777777" w:rsidR="002E5732" w:rsidRDefault="002F5172" w:rsidP="00434A6A">
      <w:pPr>
        <w:rPr>
          <w:rFonts w:asciiTheme="minorBidi" w:hAnsiTheme="minorBidi" w:cs="Arial"/>
          <w:rtl/>
        </w:rPr>
      </w:pPr>
      <w:r w:rsidRPr="002F5172">
        <w:rPr>
          <w:rFonts w:asciiTheme="minorBidi" w:hAnsiTheme="minorBidi" w:cs="Arial" w:hint="cs"/>
          <w:u w:val="single"/>
          <w:rtl/>
        </w:rPr>
        <w:t xml:space="preserve">גוי שבישל לחולה בשבת - האם יש במאכל משום בישולי גוים </w:t>
      </w:r>
      <w:r w:rsidRPr="002F5172">
        <w:rPr>
          <w:rFonts w:asciiTheme="minorBidi" w:hAnsiTheme="minorBidi" w:cs="Arial" w:hint="cs"/>
          <w:sz w:val="16"/>
          <w:szCs w:val="16"/>
          <w:u w:val="single"/>
          <w:rtl/>
        </w:rPr>
        <w:t>(</w:t>
      </w:r>
      <w:r w:rsidR="009A4D95">
        <w:rPr>
          <w:rFonts w:asciiTheme="minorBidi" w:hAnsiTheme="minorBidi" w:cs="Arial" w:hint="cs"/>
          <w:sz w:val="16"/>
          <w:szCs w:val="16"/>
          <w:u w:val="single"/>
          <w:rtl/>
        </w:rPr>
        <w:t>נפק"מ האם</w:t>
      </w:r>
      <w:r w:rsidRPr="002F5172">
        <w:rPr>
          <w:rFonts w:asciiTheme="minorBidi" w:hAnsiTheme="minorBidi" w:cs="Arial" w:hint="cs"/>
          <w:sz w:val="16"/>
          <w:szCs w:val="16"/>
          <w:u w:val="single"/>
          <w:rtl/>
        </w:rPr>
        <w:t xml:space="preserve"> בריא </w:t>
      </w:r>
      <w:r w:rsidR="009A4D95">
        <w:rPr>
          <w:rFonts w:asciiTheme="minorBidi" w:hAnsiTheme="minorBidi" w:cs="Arial" w:hint="cs"/>
          <w:sz w:val="16"/>
          <w:szCs w:val="16"/>
          <w:u w:val="single"/>
          <w:rtl/>
        </w:rPr>
        <w:t xml:space="preserve">יכול לאוכלו </w:t>
      </w:r>
      <w:r w:rsidRPr="002F5172">
        <w:rPr>
          <w:rFonts w:asciiTheme="minorBidi" w:hAnsiTheme="minorBidi" w:cs="Arial" w:hint="cs"/>
          <w:sz w:val="16"/>
          <w:szCs w:val="16"/>
          <w:u w:val="single"/>
          <w:rtl/>
        </w:rPr>
        <w:t>במוצ"ש)</w:t>
      </w:r>
      <w:r w:rsidRPr="002F5172">
        <w:rPr>
          <w:rFonts w:asciiTheme="minorBidi" w:hAnsiTheme="minorBidi" w:cs="Arial" w:hint="cs"/>
          <w:u w:val="single"/>
          <w:rtl/>
        </w:rPr>
        <w:t>:</w:t>
      </w:r>
    </w:p>
    <w:p w14:paraId="04E10C16" w14:textId="3743A992" w:rsidR="002F5172" w:rsidRPr="002E5732" w:rsidRDefault="002E5732" w:rsidP="00434A6A">
      <w:pPr>
        <w:ind w:left="360"/>
        <w:rPr>
          <w:rFonts w:asciiTheme="minorBidi" w:hAnsiTheme="minorBidi" w:cs="Arial"/>
          <w:u w:val="dotted"/>
          <w:rtl/>
        </w:rPr>
      </w:pPr>
      <w:r>
        <w:rPr>
          <w:rFonts w:asciiTheme="minorBidi" w:hAnsiTheme="minorBidi" w:cs="Arial" w:hint="cs"/>
          <w:u w:val="dotted"/>
          <w:rtl/>
        </w:rPr>
        <w:t>לגבי</w:t>
      </w:r>
      <w:r w:rsidRPr="002E5732">
        <w:rPr>
          <w:rFonts w:asciiTheme="minorBidi" w:hAnsiTheme="minorBidi" w:cs="Arial" w:hint="cs"/>
          <w:u w:val="dotted"/>
          <w:rtl/>
        </w:rPr>
        <w:t xml:space="preserve"> חולה שאין בו סכנה: </w:t>
      </w:r>
      <w:r w:rsidR="002F5172" w:rsidRPr="002E5732">
        <w:rPr>
          <w:rFonts w:asciiTheme="minorBidi" w:hAnsiTheme="minorBidi" w:cs="Arial" w:hint="cs"/>
          <w:u w:val="dotted"/>
          <w:rtl/>
        </w:rPr>
        <w:t xml:space="preserve"> </w:t>
      </w:r>
    </w:p>
    <w:p w14:paraId="71589F2E" w14:textId="7305A4A5" w:rsidR="002E5732" w:rsidRDefault="002065FF" w:rsidP="00434A6A">
      <w:pPr>
        <w:pStyle w:val="aa"/>
        <w:numPr>
          <w:ilvl w:val="0"/>
          <w:numId w:val="32"/>
        </w:numPr>
        <w:rPr>
          <w:rFonts w:asciiTheme="minorBidi" w:hAnsiTheme="minorBidi"/>
        </w:rPr>
      </w:pPr>
      <w:r w:rsidRPr="002F5172">
        <w:rPr>
          <w:rFonts w:asciiTheme="minorBidi" w:hAnsiTheme="minorBidi" w:cs="Arial"/>
          <w:rtl/>
        </w:rPr>
        <w:t xml:space="preserve">ר"ן </w:t>
      </w:r>
      <w:r w:rsidRPr="002F5172">
        <w:rPr>
          <w:rFonts w:asciiTheme="minorBidi" w:hAnsiTheme="minorBidi" w:cs="Arial"/>
          <w:sz w:val="16"/>
          <w:szCs w:val="16"/>
          <w:rtl/>
        </w:rPr>
        <w:t>(ע"ז ט. ד"ה כי)</w:t>
      </w:r>
      <w:r w:rsidR="002F5172">
        <w:rPr>
          <w:rFonts w:asciiTheme="minorBidi" w:hAnsiTheme="minorBidi" w:cs="Arial" w:hint="cs"/>
          <w:rtl/>
        </w:rPr>
        <w:t>-</w:t>
      </w:r>
      <w:r w:rsidRPr="002F5172">
        <w:rPr>
          <w:rFonts w:asciiTheme="minorBidi" w:hAnsiTheme="minorBidi" w:cs="Arial"/>
          <w:rtl/>
        </w:rPr>
        <w:t xml:space="preserve"> </w:t>
      </w:r>
      <w:r w:rsidR="009A4D95" w:rsidRPr="009A4D95">
        <w:rPr>
          <w:rFonts w:asciiTheme="minorBidi" w:hAnsiTheme="minorBidi" w:cs="Arial"/>
          <w:rtl/>
        </w:rPr>
        <w:t>ואני אומר שאם באנו לחלוק אפשר שאין מתרפאין אף באיסורי הנאות של דבריהם כדרך הנאתן דאפשר דכל שהוא כדרך הנאתן השוו אותן לשל תורה</w:t>
      </w:r>
      <w:r w:rsidR="007326B3">
        <w:rPr>
          <w:rFonts w:asciiTheme="minorBidi" w:hAnsiTheme="minorBidi" w:cs="Arial" w:hint="cs"/>
          <w:rtl/>
        </w:rPr>
        <w:t>.</w:t>
      </w:r>
      <w:r w:rsidR="009A4D95" w:rsidRPr="009A4D95">
        <w:rPr>
          <w:rFonts w:asciiTheme="minorBidi" w:hAnsiTheme="minorBidi" w:cs="Arial"/>
          <w:rtl/>
        </w:rPr>
        <w:t xml:space="preserve"> ועכשיו נהגו לבשל לחולה שאין בו סכנה על ידי </w:t>
      </w:r>
      <w:r w:rsidR="007326B3">
        <w:rPr>
          <w:rFonts w:asciiTheme="minorBidi" w:hAnsiTheme="minorBidi" w:cs="Arial" w:hint="cs"/>
          <w:rtl/>
        </w:rPr>
        <w:t>עכו"ם</w:t>
      </w:r>
      <w:r w:rsidR="009A4D95" w:rsidRPr="009A4D95">
        <w:rPr>
          <w:rFonts w:asciiTheme="minorBidi" w:hAnsiTheme="minorBidi" w:cs="Arial"/>
          <w:rtl/>
        </w:rPr>
        <w:t xml:space="preserve"> בשבת</w:t>
      </w:r>
      <w:r w:rsidR="007326B3">
        <w:rPr>
          <w:rFonts w:asciiTheme="minorBidi" w:hAnsiTheme="minorBidi" w:cs="Arial" w:hint="cs"/>
          <w:rtl/>
        </w:rPr>
        <w:t>,</w:t>
      </w:r>
      <w:r w:rsidR="009A4D95" w:rsidRPr="009A4D95">
        <w:rPr>
          <w:rFonts w:asciiTheme="minorBidi" w:hAnsiTheme="minorBidi" w:cs="Arial"/>
          <w:rtl/>
        </w:rPr>
        <w:t xml:space="preserve"> ואע</w:t>
      </w:r>
      <w:r w:rsidR="007326B3">
        <w:rPr>
          <w:rFonts w:asciiTheme="minorBidi" w:hAnsiTheme="minorBidi" w:cs="Arial" w:hint="cs"/>
          <w:rtl/>
        </w:rPr>
        <w:t>"</w:t>
      </w:r>
      <w:r w:rsidR="009A4D95" w:rsidRPr="009A4D95">
        <w:rPr>
          <w:rFonts w:asciiTheme="minorBidi" w:hAnsiTheme="minorBidi" w:cs="Arial"/>
          <w:rtl/>
        </w:rPr>
        <w:t>פ שהתבשיל עצמו אסור משום בשולי ע</w:t>
      </w:r>
      <w:r w:rsidR="007326B3">
        <w:rPr>
          <w:rFonts w:asciiTheme="minorBidi" w:hAnsiTheme="minorBidi" w:cs="Arial" w:hint="cs"/>
          <w:rtl/>
        </w:rPr>
        <w:t xml:space="preserve">כו"ם, </w:t>
      </w:r>
      <w:r w:rsidR="009A4D95" w:rsidRPr="009A4D95">
        <w:rPr>
          <w:rFonts w:asciiTheme="minorBidi" w:hAnsiTheme="minorBidi" w:cs="Arial"/>
          <w:rtl/>
        </w:rPr>
        <w:t>ואע</w:t>
      </w:r>
      <w:r w:rsidR="007326B3">
        <w:rPr>
          <w:rFonts w:asciiTheme="minorBidi" w:hAnsiTheme="minorBidi" w:cs="Arial" w:hint="cs"/>
          <w:rtl/>
        </w:rPr>
        <w:t>"</w:t>
      </w:r>
      <w:r w:rsidR="009A4D95" w:rsidRPr="009A4D95">
        <w:rPr>
          <w:rFonts w:asciiTheme="minorBidi" w:hAnsiTheme="minorBidi" w:cs="Arial"/>
          <w:rtl/>
        </w:rPr>
        <w:t>פ שאין בדבר ראיה מכרעת דאי מדאמרינן התם בפרק מפנין (קכט</w:t>
      </w:r>
      <w:r w:rsidR="00DA5B62">
        <w:rPr>
          <w:rFonts w:asciiTheme="minorBidi" w:hAnsiTheme="minorBidi" w:cs="Arial" w:hint="cs"/>
          <w:rtl/>
        </w:rPr>
        <w:t>.</w:t>
      </w:r>
      <w:r w:rsidR="009A4D95" w:rsidRPr="009A4D95">
        <w:rPr>
          <w:rFonts w:asciiTheme="minorBidi" w:hAnsiTheme="minorBidi" w:cs="Arial"/>
          <w:rtl/>
        </w:rPr>
        <w:t>) צרכי חולה נעשין על ידי עובד כוכבים בשבת ההיא אפשר לאוקומי בדברים שאין בהם משום בשולי עובדי כוכבים אלא דכיון דסתמא איתמר הראשונים שהנהיגו כן לא ראו לחלק ואף על פי כן אין להביא ראיה משם להתיר לחולה שאין בו סכנה לדבר שאיסורו מצד עצמו כגון גבינה של עובדי כוכבים וסתם יינן</w:t>
      </w:r>
      <w:r w:rsidR="007326B3">
        <w:rPr>
          <w:rFonts w:asciiTheme="minorBidi" w:hAnsiTheme="minorBidi" w:cs="Arial" w:hint="cs"/>
          <w:rtl/>
        </w:rPr>
        <w:t>,</w:t>
      </w:r>
      <w:r w:rsidR="009A4D95" w:rsidRPr="009A4D95">
        <w:rPr>
          <w:rFonts w:asciiTheme="minorBidi" w:hAnsiTheme="minorBidi" w:cs="Arial"/>
          <w:rtl/>
        </w:rPr>
        <w:t xml:space="preserve"> דהתם כיון שהדבר מותר בעצמו לא רצו להחמיר בו יותר מפני שהוא בשולי עובד כוכבים ממעשה שבת</w:t>
      </w:r>
      <w:r w:rsidR="007326B3">
        <w:rPr>
          <w:rFonts w:asciiTheme="minorBidi" w:hAnsiTheme="minorBidi" w:cs="Arial" w:hint="cs"/>
          <w:rtl/>
        </w:rPr>
        <w:t>.</w:t>
      </w:r>
      <w:r w:rsidR="009A4D95" w:rsidRPr="009A4D95">
        <w:rPr>
          <w:rFonts w:asciiTheme="minorBidi" w:hAnsiTheme="minorBidi" w:cs="Arial"/>
          <w:rtl/>
        </w:rPr>
        <w:t xml:space="preserve"> </w:t>
      </w:r>
    </w:p>
    <w:p w14:paraId="3A8A43A8" w14:textId="4B762D46" w:rsidR="002E5732" w:rsidRPr="002E5732" w:rsidRDefault="002E5732" w:rsidP="00434A6A">
      <w:pPr>
        <w:ind w:left="360"/>
        <w:rPr>
          <w:rFonts w:asciiTheme="minorBidi" w:hAnsiTheme="minorBidi"/>
          <w:u w:val="dotted"/>
        </w:rPr>
      </w:pPr>
      <w:r>
        <w:rPr>
          <w:rFonts w:asciiTheme="minorBidi" w:hAnsiTheme="minorBidi" w:hint="cs"/>
          <w:u w:val="dotted"/>
          <w:rtl/>
        </w:rPr>
        <w:t>לגבי</w:t>
      </w:r>
      <w:r w:rsidRPr="002E5732">
        <w:rPr>
          <w:rFonts w:asciiTheme="minorBidi" w:hAnsiTheme="minorBidi" w:hint="cs"/>
          <w:u w:val="dotted"/>
          <w:rtl/>
        </w:rPr>
        <w:t xml:space="preserve"> בריא:</w:t>
      </w:r>
    </w:p>
    <w:p w14:paraId="126D3E6A" w14:textId="5ADE7383" w:rsidR="002E5732" w:rsidRPr="002E5732" w:rsidRDefault="009A4D95" w:rsidP="00434A6A">
      <w:pPr>
        <w:pStyle w:val="aa"/>
        <w:numPr>
          <w:ilvl w:val="0"/>
          <w:numId w:val="32"/>
        </w:numPr>
        <w:rPr>
          <w:rFonts w:asciiTheme="minorBidi" w:hAnsiTheme="minorBidi"/>
        </w:rPr>
      </w:pPr>
      <w:r w:rsidRPr="009A4D95">
        <w:rPr>
          <w:rFonts w:asciiTheme="minorBidi" w:hAnsiTheme="minorBidi" w:cs="Arial"/>
          <w:rtl/>
        </w:rPr>
        <w:t xml:space="preserve">רא"ה </w:t>
      </w:r>
      <w:r w:rsidR="002E5732">
        <w:rPr>
          <w:rFonts w:asciiTheme="minorBidi" w:hAnsiTheme="minorBidi" w:cs="Arial" w:hint="cs"/>
          <w:sz w:val="16"/>
          <w:szCs w:val="16"/>
          <w:rtl/>
        </w:rPr>
        <w:t>(כ"כ הר"ן [שם] בשמו)</w:t>
      </w:r>
      <w:r w:rsidR="002E5732">
        <w:rPr>
          <w:rFonts w:asciiTheme="minorBidi" w:hAnsiTheme="minorBidi" w:cs="Arial" w:hint="cs"/>
          <w:rtl/>
        </w:rPr>
        <w:t xml:space="preserve">- </w:t>
      </w:r>
      <w:r w:rsidRPr="009A4D95">
        <w:rPr>
          <w:rFonts w:asciiTheme="minorBidi" w:hAnsiTheme="minorBidi" w:cs="Arial"/>
          <w:rtl/>
        </w:rPr>
        <w:t>אפשר דטעמא דמילתא משום דמאי דאסרי רבנן משום חתנות לא השוו בו מדותיהן</w:t>
      </w:r>
      <w:r w:rsidR="007326B3">
        <w:rPr>
          <w:rFonts w:asciiTheme="minorBidi" w:hAnsiTheme="minorBidi" w:cs="Arial" w:hint="cs"/>
          <w:rtl/>
        </w:rPr>
        <w:t>,</w:t>
      </w:r>
      <w:r w:rsidRPr="009A4D95">
        <w:rPr>
          <w:rFonts w:asciiTheme="minorBidi" w:hAnsiTheme="minorBidi" w:cs="Arial"/>
          <w:rtl/>
        </w:rPr>
        <w:t xml:space="preserve"> שהרי פתן לא אסרו אלא במקום שיש פלטר ישראל ומצינו ג"כ מרבותינו שהיו נוהגין בה היתר בשדה ובשכר ג"כ התירו חוץ לביתם ובשלקות התירו בסיוע ישראל כגון מחתה בגחלים והתירו ג"כ כשאין העובד כוכבים מתכוין לבשל כדאמרינן לקמן (לח</w:t>
      </w:r>
      <w:r w:rsidR="007326B3">
        <w:rPr>
          <w:rFonts w:asciiTheme="minorBidi" w:hAnsiTheme="minorBidi" w:cs="Arial" w:hint="cs"/>
          <w:rtl/>
        </w:rPr>
        <w:t>.</w:t>
      </w:r>
      <w:r w:rsidRPr="009A4D95">
        <w:rPr>
          <w:rFonts w:asciiTheme="minorBidi" w:hAnsiTheme="minorBidi" w:cs="Arial"/>
          <w:rtl/>
        </w:rPr>
        <w:t>) דכיון דמשום חתנות אסרו כל היכא דאיכא הכירא דלא ליתי לידי חתנות שרי</w:t>
      </w:r>
      <w:r w:rsidR="007326B3">
        <w:rPr>
          <w:rFonts w:asciiTheme="minorBidi" w:hAnsiTheme="minorBidi" w:cs="Arial" w:hint="cs"/>
          <w:rtl/>
        </w:rPr>
        <w:t>,</w:t>
      </w:r>
      <w:r w:rsidRPr="009A4D95">
        <w:rPr>
          <w:rFonts w:asciiTheme="minorBidi" w:hAnsiTheme="minorBidi" w:cs="Arial"/>
          <w:rtl/>
        </w:rPr>
        <w:t xml:space="preserve"> ואף כאן עובד כוכבים המבשל לחולה בשבת שהיא שעה שאין אנו יכולין לבשל בשולי עובדי כוכבים כי הני לא מיתסרי משום חתנות</w:t>
      </w:r>
      <w:r w:rsidR="007326B3">
        <w:rPr>
          <w:rFonts w:asciiTheme="minorBidi" w:hAnsiTheme="minorBidi" w:cs="Arial" w:hint="cs"/>
          <w:rtl/>
        </w:rPr>
        <w:t>,</w:t>
      </w:r>
      <w:r w:rsidRPr="009A4D95">
        <w:rPr>
          <w:rFonts w:asciiTheme="minorBidi" w:hAnsiTheme="minorBidi" w:cs="Arial"/>
          <w:rtl/>
        </w:rPr>
        <w:t xml:space="preserve"> ולפיכך מותר לבריא במוצאי שבת דליכא משום בשול עובדי כוכבים כלל כיון דלא שייך הכא חתנות</w:t>
      </w:r>
      <w:r w:rsidR="007326B3">
        <w:rPr>
          <w:rFonts w:asciiTheme="minorBidi" w:hAnsiTheme="minorBidi" w:cs="Arial" w:hint="cs"/>
          <w:rtl/>
        </w:rPr>
        <w:t>.</w:t>
      </w:r>
      <w:r w:rsidRPr="009A4D95">
        <w:rPr>
          <w:rFonts w:asciiTheme="minorBidi" w:hAnsiTheme="minorBidi" w:cs="Arial"/>
          <w:rtl/>
        </w:rPr>
        <w:t xml:space="preserve"> </w:t>
      </w:r>
      <w:r w:rsidR="002E5732">
        <w:rPr>
          <w:rFonts w:asciiTheme="minorBidi" w:hAnsiTheme="minorBidi" w:hint="cs"/>
          <w:rtl/>
        </w:rPr>
        <w:t xml:space="preserve">(וכ"פ ש"ך </w:t>
      </w:r>
      <w:r w:rsidR="002E5732">
        <w:rPr>
          <w:rFonts w:asciiTheme="minorBidi" w:hAnsiTheme="minorBidi" w:hint="cs"/>
          <w:sz w:val="16"/>
          <w:szCs w:val="16"/>
          <w:rtl/>
        </w:rPr>
        <w:t xml:space="preserve">[בגליון שו"ע] </w:t>
      </w:r>
      <w:r w:rsidR="002E5732">
        <w:rPr>
          <w:rFonts w:asciiTheme="minorBidi" w:hAnsiTheme="minorBidi" w:hint="cs"/>
          <w:rtl/>
        </w:rPr>
        <w:t>גר"א</w:t>
      </w:r>
      <w:r w:rsidR="002E5732">
        <w:rPr>
          <w:rFonts w:asciiTheme="minorBidi" w:hAnsiTheme="minorBidi" w:hint="cs"/>
          <w:sz w:val="16"/>
          <w:szCs w:val="16"/>
          <w:rtl/>
        </w:rPr>
        <w:t xml:space="preserve"> [ד"ה שבת]</w:t>
      </w:r>
      <w:r w:rsidR="002E5732">
        <w:rPr>
          <w:rFonts w:asciiTheme="minorBidi" w:hAnsiTheme="minorBidi" w:hint="cs"/>
          <w:rtl/>
        </w:rPr>
        <w:t xml:space="preserve"> ומשנ"ב</w:t>
      </w:r>
      <w:r w:rsidR="002E5732">
        <w:rPr>
          <w:rFonts w:asciiTheme="minorBidi" w:hAnsiTheme="minorBidi" w:hint="cs"/>
          <w:sz w:val="16"/>
          <w:szCs w:val="16"/>
          <w:rtl/>
        </w:rPr>
        <w:t xml:space="preserve"> [סקי"ד]</w:t>
      </w:r>
      <w:r w:rsidR="002E5732">
        <w:rPr>
          <w:rFonts w:asciiTheme="minorBidi" w:hAnsiTheme="minorBidi" w:hint="cs"/>
          <w:rtl/>
        </w:rPr>
        <w:t>)</w:t>
      </w:r>
    </w:p>
    <w:p w14:paraId="7E10A890" w14:textId="5356DAC4" w:rsidR="002065FF" w:rsidRPr="002F5172" w:rsidRDefault="002E5732" w:rsidP="00434A6A">
      <w:pPr>
        <w:pStyle w:val="aa"/>
        <w:numPr>
          <w:ilvl w:val="0"/>
          <w:numId w:val="32"/>
        </w:numPr>
        <w:rPr>
          <w:rFonts w:asciiTheme="minorBidi" w:hAnsiTheme="minorBidi"/>
          <w:rtl/>
        </w:rPr>
      </w:pPr>
      <w:r>
        <w:rPr>
          <w:rFonts w:asciiTheme="minorBidi" w:hAnsiTheme="minorBidi" w:cs="Arial" w:hint="cs"/>
          <w:rtl/>
        </w:rPr>
        <w:t xml:space="preserve">ר"ן </w:t>
      </w:r>
      <w:r>
        <w:rPr>
          <w:rFonts w:asciiTheme="minorBidi" w:hAnsiTheme="minorBidi" w:cs="Arial" w:hint="cs"/>
          <w:sz w:val="16"/>
          <w:szCs w:val="16"/>
          <w:rtl/>
        </w:rPr>
        <w:t>(שם)</w:t>
      </w:r>
      <w:r>
        <w:rPr>
          <w:rFonts w:asciiTheme="minorBidi" w:hAnsiTheme="minorBidi" w:cs="Arial" w:hint="cs"/>
          <w:rtl/>
        </w:rPr>
        <w:t xml:space="preserve">- </w:t>
      </w:r>
      <w:r w:rsidR="009A4D95" w:rsidRPr="009A4D95">
        <w:rPr>
          <w:rFonts w:asciiTheme="minorBidi" w:hAnsiTheme="minorBidi" w:cs="Arial"/>
          <w:rtl/>
        </w:rPr>
        <w:t xml:space="preserve">אין לסברא זו </w:t>
      </w:r>
      <w:r>
        <w:rPr>
          <w:rFonts w:asciiTheme="minorBidi" w:hAnsiTheme="minorBidi" w:cs="Arial" w:hint="cs"/>
          <w:sz w:val="16"/>
          <w:szCs w:val="16"/>
          <w:rtl/>
        </w:rPr>
        <w:t xml:space="preserve">{של הרא"ה} </w:t>
      </w:r>
      <w:r w:rsidR="009A4D95" w:rsidRPr="009A4D95">
        <w:rPr>
          <w:rFonts w:asciiTheme="minorBidi" w:hAnsiTheme="minorBidi" w:cs="Arial"/>
          <w:rtl/>
        </w:rPr>
        <w:t>ראיה</w:t>
      </w:r>
      <w:r w:rsidR="007326B3">
        <w:rPr>
          <w:rFonts w:asciiTheme="minorBidi" w:hAnsiTheme="minorBidi" w:cs="Arial" w:hint="cs"/>
          <w:rtl/>
        </w:rPr>
        <w:t>,</w:t>
      </w:r>
      <w:r w:rsidR="009A4D95" w:rsidRPr="009A4D95">
        <w:rPr>
          <w:rFonts w:asciiTheme="minorBidi" w:hAnsiTheme="minorBidi" w:cs="Arial"/>
          <w:rtl/>
        </w:rPr>
        <w:t xml:space="preserve"> שאפילו נאמר דבכלל צרכי חולה שנעשין על ידי </w:t>
      </w:r>
      <w:r w:rsidR="00171650">
        <w:rPr>
          <w:rFonts w:asciiTheme="minorBidi" w:hAnsiTheme="minorBidi" w:cs="Arial" w:hint="cs"/>
          <w:rtl/>
        </w:rPr>
        <w:t>גוי</w:t>
      </w:r>
      <w:r w:rsidR="009A4D95" w:rsidRPr="009A4D95">
        <w:rPr>
          <w:rFonts w:asciiTheme="minorBidi" w:hAnsiTheme="minorBidi" w:cs="Arial"/>
          <w:rtl/>
        </w:rPr>
        <w:t xml:space="preserve"> בשבת הוי דבר שיש בו משום בשולי </w:t>
      </w:r>
      <w:r w:rsidR="00171650">
        <w:rPr>
          <w:rFonts w:asciiTheme="minorBidi" w:hAnsiTheme="minorBidi" w:cs="Arial" w:hint="cs"/>
          <w:rtl/>
        </w:rPr>
        <w:t>גוים,</w:t>
      </w:r>
      <w:r w:rsidR="009A4D95" w:rsidRPr="009A4D95">
        <w:rPr>
          <w:rFonts w:asciiTheme="minorBidi" w:hAnsiTheme="minorBidi" w:cs="Arial"/>
          <w:rtl/>
        </w:rPr>
        <w:t xml:space="preserve"> וכמו שפשט המנהג</w:t>
      </w:r>
      <w:r w:rsidR="00171650">
        <w:rPr>
          <w:rFonts w:asciiTheme="minorBidi" w:hAnsiTheme="minorBidi" w:cs="Arial" w:hint="cs"/>
          <w:rtl/>
        </w:rPr>
        <w:t>,</w:t>
      </w:r>
      <w:r w:rsidR="009A4D95" w:rsidRPr="009A4D95">
        <w:rPr>
          <w:rFonts w:asciiTheme="minorBidi" w:hAnsiTheme="minorBidi" w:cs="Arial"/>
          <w:rtl/>
        </w:rPr>
        <w:t xml:space="preserve"> אכתי אפשר דהיינו דוקא לחולה מפני שהתירו בו כל דבר הנעשה ע"י </w:t>
      </w:r>
      <w:r w:rsidR="00171650">
        <w:rPr>
          <w:rFonts w:asciiTheme="minorBidi" w:hAnsiTheme="minorBidi" w:cs="Arial" w:hint="cs"/>
          <w:rtl/>
        </w:rPr>
        <w:t>גוי</w:t>
      </w:r>
      <w:r w:rsidR="009A4D95" w:rsidRPr="009A4D95">
        <w:rPr>
          <w:rFonts w:asciiTheme="minorBidi" w:hAnsiTheme="minorBidi" w:cs="Arial"/>
          <w:rtl/>
        </w:rPr>
        <w:t xml:space="preserve"> שאין איסורו מגופו</w:t>
      </w:r>
      <w:r w:rsidR="007326B3">
        <w:rPr>
          <w:rFonts w:asciiTheme="minorBidi" w:hAnsiTheme="minorBidi" w:cs="Arial" w:hint="cs"/>
          <w:rtl/>
        </w:rPr>
        <w:t>,</w:t>
      </w:r>
      <w:r w:rsidR="009A4D95" w:rsidRPr="009A4D95">
        <w:rPr>
          <w:rFonts w:asciiTheme="minorBidi" w:hAnsiTheme="minorBidi" w:cs="Arial"/>
          <w:rtl/>
        </w:rPr>
        <w:t xml:space="preserve"> אבל להתירו לבריא אין לנו</w:t>
      </w:r>
      <w:r w:rsidR="002F5172" w:rsidRPr="002F5172">
        <w:rPr>
          <w:rFonts w:asciiTheme="minorBidi" w:hAnsiTheme="minorBidi" w:cs="Arial" w:hint="cs"/>
          <w:rtl/>
        </w:rPr>
        <w:t>.</w:t>
      </w:r>
    </w:p>
    <w:p w14:paraId="10CCC228"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A412245" w14:textId="3EFD3FC5" w:rsidR="006A4BF8" w:rsidRPr="005275DF" w:rsidRDefault="006A4BF8" w:rsidP="00434A6A">
      <w:pPr>
        <w:tabs>
          <w:tab w:val="left" w:pos="2788"/>
        </w:tabs>
        <w:rPr>
          <w:rFonts w:asciiTheme="minorBidi" w:hAnsiTheme="minorBidi"/>
          <w:rtl/>
        </w:rPr>
      </w:pPr>
      <w:r w:rsidRPr="005275DF">
        <w:rPr>
          <w:rFonts w:asciiTheme="minorBidi" w:hAnsiTheme="minorBidi"/>
          <w:rtl/>
        </w:rPr>
        <w:t>השוחט בשבת לחולה, בין שחלה מאתמול בין שחלה היום, מותר הבריא לאכול ממנו חי</w:t>
      </w:r>
      <w:r w:rsidRPr="005275DF">
        <w:rPr>
          <w:rStyle w:val="a9"/>
          <w:rFonts w:asciiTheme="minorBidi" w:hAnsiTheme="minorBidi"/>
          <w:rtl/>
        </w:rPr>
        <w:footnoteReference w:id="2681"/>
      </w:r>
      <w:r w:rsidRPr="005275DF">
        <w:rPr>
          <w:rFonts w:asciiTheme="minorBidi" w:hAnsiTheme="minorBidi"/>
          <w:rtl/>
        </w:rPr>
        <w:t xml:space="preserve"> </w:t>
      </w:r>
      <w:r w:rsidRPr="005275DF">
        <w:rPr>
          <w:rFonts w:asciiTheme="minorBidi" w:hAnsiTheme="minorBidi"/>
          <w:sz w:val="18"/>
          <w:szCs w:val="18"/>
          <w:rtl/>
        </w:rPr>
        <w:t>הגה: בשבת</w:t>
      </w:r>
      <w:r w:rsidR="00DA5B62">
        <w:rPr>
          <w:rFonts w:asciiTheme="minorBidi" w:hAnsiTheme="minorBidi" w:hint="cs"/>
          <w:rtl/>
        </w:rPr>
        <w:t>.</w:t>
      </w:r>
      <w:r w:rsidRPr="005275DF">
        <w:rPr>
          <w:rFonts w:asciiTheme="minorBidi" w:hAnsiTheme="minorBidi"/>
          <w:rtl/>
        </w:rPr>
        <w:t xml:space="preserve"> אבל המבשל </w:t>
      </w:r>
      <w:r w:rsidRPr="005275DF">
        <w:rPr>
          <w:rFonts w:asciiTheme="minorBidi" w:hAnsiTheme="minorBidi"/>
          <w:sz w:val="18"/>
          <w:szCs w:val="18"/>
          <w:rtl/>
        </w:rPr>
        <w:t>הגה: או עשה שאר מלאכה</w:t>
      </w:r>
      <w:r w:rsidRPr="005275DF">
        <w:rPr>
          <w:rFonts w:asciiTheme="minorBidi" w:hAnsiTheme="minorBidi"/>
          <w:rtl/>
        </w:rPr>
        <w:t xml:space="preserve"> לחולה, אסור </w:t>
      </w:r>
      <w:r w:rsidRPr="005275DF">
        <w:rPr>
          <w:rFonts w:asciiTheme="minorBidi" w:hAnsiTheme="minorBidi"/>
          <w:sz w:val="18"/>
          <w:szCs w:val="18"/>
          <w:rtl/>
        </w:rPr>
        <w:t>הגה: בשבת</w:t>
      </w:r>
      <w:r w:rsidR="00127167">
        <w:rPr>
          <w:rFonts w:asciiTheme="minorBidi" w:hAnsiTheme="minorBidi" w:hint="cs"/>
          <w:sz w:val="18"/>
          <w:szCs w:val="18"/>
          <w:rtl/>
        </w:rPr>
        <w:t>,</w:t>
      </w:r>
      <w:r w:rsidRPr="005275DF">
        <w:rPr>
          <w:rFonts w:asciiTheme="minorBidi" w:hAnsiTheme="minorBidi"/>
          <w:sz w:val="18"/>
          <w:szCs w:val="18"/>
          <w:rtl/>
        </w:rPr>
        <w:t xml:space="preserve"> </w:t>
      </w:r>
      <w:r w:rsidRPr="005275DF">
        <w:rPr>
          <w:rFonts w:asciiTheme="minorBidi" w:hAnsiTheme="minorBidi"/>
          <w:rtl/>
        </w:rPr>
        <w:t xml:space="preserve">לבריא או לחולה שאין בו סכנה, דחיישינן שמא ירבה בשבילו. </w:t>
      </w:r>
      <w:r w:rsidRPr="005275DF">
        <w:rPr>
          <w:rFonts w:asciiTheme="minorBidi" w:hAnsiTheme="minorBidi"/>
          <w:sz w:val="18"/>
          <w:szCs w:val="18"/>
          <w:rtl/>
        </w:rPr>
        <w:t>הגה: ואפילו בישל ע"י גוי, אסור בשבת</w:t>
      </w:r>
      <w:r w:rsidRPr="005275DF">
        <w:rPr>
          <w:rStyle w:val="a9"/>
          <w:rFonts w:asciiTheme="minorBidi" w:hAnsiTheme="minorBidi"/>
          <w:sz w:val="18"/>
          <w:szCs w:val="18"/>
          <w:rtl/>
        </w:rPr>
        <w:footnoteReference w:id="2682"/>
      </w:r>
      <w:r w:rsidRPr="005275DF">
        <w:rPr>
          <w:rFonts w:asciiTheme="minorBidi" w:hAnsiTheme="minorBidi"/>
          <w:sz w:val="18"/>
          <w:szCs w:val="18"/>
          <w:rtl/>
        </w:rPr>
        <w:t xml:space="preserve"> (תוס' ור"ן). ואם קצץ פירות</w:t>
      </w:r>
      <w:r w:rsidRPr="005275DF">
        <w:rPr>
          <w:rStyle w:val="a9"/>
          <w:rFonts w:asciiTheme="minorBidi" w:hAnsiTheme="minorBidi"/>
          <w:sz w:val="18"/>
          <w:szCs w:val="18"/>
          <w:rtl/>
        </w:rPr>
        <w:footnoteReference w:id="2683"/>
      </w:r>
      <w:r w:rsidRPr="005275DF">
        <w:rPr>
          <w:rFonts w:asciiTheme="minorBidi" w:hAnsiTheme="minorBidi"/>
          <w:sz w:val="18"/>
          <w:szCs w:val="18"/>
          <w:rtl/>
        </w:rPr>
        <w:t xml:space="preserve"> מן המחובר לחולה בשבת, אפי' היה חולה מבעוד יום, אסור לבריא בשבת משום שגדל והולך</w:t>
      </w:r>
      <w:r w:rsidRPr="005275DF">
        <w:rPr>
          <w:rStyle w:val="a9"/>
          <w:rFonts w:asciiTheme="minorBidi" w:hAnsiTheme="minorBidi"/>
          <w:sz w:val="18"/>
          <w:szCs w:val="18"/>
          <w:rtl/>
        </w:rPr>
        <w:footnoteReference w:id="2684"/>
      </w:r>
      <w:r w:rsidRPr="005275DF">
        <w:rPr>
          <w:rFonts w:asciiTheme="minorBidi" w:hAnsiTheme="minorBidi"/>
          <w:sz w:val="18"/>
          <w:szCs w:val="18"/>
          <w:rtl/>
        </w:rPr>
        <w:t xml:space="preserve"> בשבת ויש בו משום מוקצה (א"ח</w:t>
      </w:r>
      <w:r w:rsidR="00DA5B62">
        <w:rPr>
          <w:rFonts w:asciiTheme="minorBidi" w:hAnsiTheme="minorBidi" w:hint="cs"/>
          <w:sz w:val="18"/>
          <w:szCs w:val="18"/>
          <w:rtl/>
        </w:rPr>
        <w:t xml:space="preserve"> בשם רא"ה</w:t>
      </w:r>
      <w:r w:rsidRPr="005275DF">
        <w:rPr>
          <w:rFonts w:asciiTheme="minorBidi" w:hAnsiTheme="minorBidi"/>
          <w:sz w:val="18"/>
          <w:szCs w:val="18"/>
          <w:rtl/>
        </w:rPr>
        <w:t xml:space="preserve">). </w:t>
      </w:r>
    </w:p>
    <w:p w14:paraId="4FCC6B36" w14:textId="77777777" w:rsidR="006A4BF8" w:rsidRPr="005275DF" w:rsidRDefault="006A4BF8" w:rsidP="00434A6A">
      <w:pPr>
        <w:tabs>
          <w:tab w:val="left" w:pos="2788"/>
        </w:tabs>
        <w:rPr>
          <w:rFonts w:asciiTheme="minorBidi" w:hAnsiTheme="minorBidi"/>
          <w:rtl/>
        </w:rPr>
      </w:pPr>
    </w:p>
    <w:p w14:paraId="7039CEA8"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ג: בישול בתולדות האור/החמה, ובישול בחמה.</w:t>
      </w:r>
    </w:p>
    <w:p w14:paraId="74B9ED47" w14:textId="26D7B1DE" w:rsidR="006A4BF8" w:rsidRDefault="006A4BF8" w:rsidP="00434A6A">
      <w:pPr>
        <w:rPr>
          <w:rFonts w:asciiTheme="minorBidi" w:hAnsiTheme="minorBidi"/>
          <w:sz w:val="18"/>
          <w:szCs w:val="18"/>
          <w:rtl/>
        </w:rPr>
      </w:pPr>
      <w:r w:rsidRPr="005275DF">
        <w:rPr>
          <w:rFonts w:asciiTheme="minorBidi" w:hAnsiTheme="minorBidi"/>
          <w:b/>
          <w:bCs/>
          <w:rtl/>
        </w:rPr>
        <w:t xml:space="preserve">שבת </w:t>
      </w:r>
      <w:r w:rsidR="002E5732">
        <w:rPr>
          <w:rFonts w:asciiTheme="minorBidi" w:hAnsiTheme="minorBidi" w:hint="cs"/>
          <w:b/>
          <w:bCs/>
          <w:sz w:val="16"/>
          <w:szCs w:val="16"/>
          <w:rtl/>
        </w:rPr>
        <w:t xml:space="preserve">(פ' כירה) </w:t>
      </w:r>
      <w:r w:rsidRPr="005275DF">
        <w:rPr>
          <w:rFonts w:asciiTheme="minorBidi" w:hAnsiTheme="minorBidi"/>
          <w:b/>
          <w:bCs/>
          <w:rtl/>
        </w:rPr>
        <w:t>לח ע"ב:</w:t>
      </w:r>
      <w:r w:rsidRPr="005275DF">
        <w:rPr>
          <w:rFonts w:asciiTheme="minorBidi" w:hAnsiTheme="minorBidi"/>
          <w:rtl/>
        </w:rPr>
        <w:t xml:space="preserve"> </w:t>
      </w:r>
      <w:r w:rsidRPr="005275DF">
        <w:rPr>
          <w:rFonts w:asciiTheme="minorBidi" w:hAnsiTheme="minorBidi"/>
          <w:u w:val="double"/>
          <w:rtl/>
        </w:rPr>
        <w:t>משנה:</w:t>
      </w:r>
      <w:r w:rsidRPr="005275DF">
        <w:rPr>
          <w:rFonts w:asciiTheme="minorBidi" w:hAnsiTheme="minorBidi"/>
          <w:rtl/>
        </w:rPr>
        <w:t xml:space="preserve"> אין נותנין ביצה בצד המיחם</w:t>
      </w:r>
      <w:r w:rsidRPr="005275DF">
        <w:rPr>
          <w:rStyle w:val="a9"/>
          <w:rFonts w:asciiTheme="minorBidi" w:hAnsiTheme="minorBidi"/>
          <w:rtl/>
        </w:rPr>
        <w:footnoteReference w:id="2685"/>
      </w:r>
      <w:r w:rsidRPr="005275DF">
        <w:rPr>
          <w:rFonts w:asciiTheme="minorBidi" w:hAnsiTheme="minorBidi"/>
          <w:rtl/>
        </w:rPr>
        <w:t xml:space="preserve"> בשביל שתתגלגל</w:t>
      </w:r>
      <w:r w:rsidRPr="005275DF">
        <w:rPr>
          <w:rStyle w:val="a9"/>
          <w:rFonts w:asciiTheme="minorBidi" w:hAnsiTheme="minorBidi"/>
          <w:rtl/>
        </w:rPr>
        <w:footnoteReference w:id="2686"/>
      </w:r>
      <w:r w:rsidR="00E4157C">
        <w:rPr>
          <w:rFonts w:asciiTheme="minorBidi" w:hAnsiTheme="minorBidi" w:hint="cs"/>
          <w:rtl/>
        </w:rPr>
        <w:t>.</w:t>
      </w:r>
      <w:r w:rsidRPr="005275DF">
        <w:rPr>
          <w:rFonts w:asciiTheme="minorBidi" w:hAnsiTheme="minorBidi"/>
          <w:rtl/>
        </w:rPr>
        <w:t xml:space="preserve"> ולא יפקיענה בסודרין</w:t>
      </w:r>
      <w:r w:rsidRPr="005275DF">
        <w:rPr>
          <w:rStyle w:val="a9"/>
          <w:rFonts w:asciiTheme="minorBidi" w:hAnsiTheme="minorBidi"/>
          <w:rtl/>
        </w:rPr>
        <w:footnoteReference w:id="2687"/>
      </w:r>
      <w:r w:rsidR="00E4157C">
        <w:rPr>
          <w:rFonts w:asciiTheme="minorBidi" w:hAnsiTheme="minorBidi" w:hint="cs"/>
          <w:rtl/>
        </w:rPr>
        <w:t>.</w:t>
      </w:r>
      <w:r w:rsidRPr="005275DF">
        <w:rPr>
          <w:rFonts w:asciiTheme="minorBidi" w:hAnsiTheme="minorBidi"/>
          <w:rtl/>
        </w:rPr>
        <w:t xml:space="preserve"> </w:t>
      </w:r>
      <w:r w:rsidRPr="005275DF">
        <w:rPr>
          <w:rFonts w:asciiTheme="minorBidi" w:hAnsiTheme="minorBidi"/>
          <w:u w:val="single"/>
          <w:rtl/>
        </w:rPr>
        <w:t>ורבי יוסי</w:t>
      </w:r>
      <w:r w:rsidRPr="005275DF">
        <w:rPr>
          <w:rFonts w:asciiTheme="minorBidi" w:hAnsiTheme="minorBidi"/>
          <w:rtl/>
        </w:rPr>
        <w:t xml:space="preserve"> מתיר. ולא יטמיננה בחול ובאבק דרכים</w:t>
      </w:r>
      <w:r w:rsidRPr="005275DF">
        <w:rPr>
          <w:rStyle w:val="a9"/>
          <w:rFonts w:asciiTheme="minorBidi" w:hAnsiTheme="minorBidi"/>
          <w:rtl/>
        </w:rPr>
        <w:footnoteReference w:id="2688"/>
      </w:r>
      <w:r w:rsidRPr="005275DF">
        <w:rPr>
          <w:rFonts w:asciiTheme="minorBidi" w:hAnsiTheme="minorBidi"/>
          <w:rtl/>
        </w:rPr>
        <w:t xml:space="preserve"> בשביל שתצלה.          </w:t>
      </w:r>
      <w:r w:rsidRPr="005275DF">
        <w:rPr>
          <w:rFonts w:asciiTheme="minorBidi" w:hAnsiTheme="minorBidi"/>
          <w:u w:val="double"/>
          <w:rtl/>
        </w:rPr>
        <w:t>גמ':</w:t>
      </w:r>
      <w:r w:rsidRPr="005275DF">
        <w:rPr>
          <w:rFonts w:asciiTheme="minorBidi" w:hAnsiTheme="minorBidi"/>
          <w:rtl/>
        </w:rPr>
        <w:t xml:space="preserve"> איבעיא להו: גלגל מאי? </w:t>
      </w:r>
      <w:r w:rsidRPr="005275DF">
        <w:rPr>
          <w:rFonts w:asciiTheme="minorBidi" w:hAnsiTheme="minorBidi"/>
          <w:u w:val="single"/>
          <w:rtl/>
        </w:rPr>
        <w:t>אמר רב יוסף</w:t>
      </w:r>
      <w:r w:rsidRPr="005275DF">
        <w:rPr>
          <w:rFonts w:asciiTheme="minorBidi" w:hAnsiTheme="minorBidi"/>
          <w:rtl/>
        </w:rPr>
        <w:t xml:space="preserve">: גלגל חייב חטאת... </w:t>
      </w:r>
      <w:r w:rsidRPr="00E4157C">
        <w:rPr>
          <w:rFonts w:asciiTheme="minorBidi" w:hAnsiTheme="minorBidi"/>
          <w:sz w:val="14"/>
          <w:szCs w:val="14"/>
          <w:rtl/>
        </w:rPr>
        <w:t>(לט.)</w:t>
      </w:r>
      <w:r w:rsidRPr="005275DF">
        <w:rPr>
          <w:rFonts w:asciiTheme="minorBidi" w:hAnsiTheme="minorBidi"/>
          <w:rtl/>
        </w:rPr>
        <w:t xml:space="preserve"> ולא יפקיענה בסודרין</w:t>
      </w:r>
      <w:r w:rsidR="003B4807">
        <w:rPr>
          <w:rFonts w:asciiTheme="minorBidi" w:hAnsiTheme="minorBidi" w:hint="cs"/>
          <w:rtl/>
        </w:rPr>
        <w:t>.</w:t>
      </w:r>
      <w:r w:rsidRPr="005275DF">
        <w:rPr>
          <w:rFonts w:asciiTheme="minorBidi" w:hAnsiTheme="minorBidi"/>
          <w:rtl/>
        </w:rPr>
        <w:t xml:space="preserve"> והא דתנן נותנין תבשיל לתוך הבור בשביל שיהא שמור, ואת המים היפים ברעים בשביל שיצננו, ואת הצונן בחמה בשביל שיחמו, לימא רבי יוסי היא ולא רבנן! </w:t>
      </w:r>
      <w:r w:rsidRPr="005275DF">
        <w:rPr>
          <w:rFonts w:asciiTheme="minorBidi" w:hAnsiTheme="minorBidi"/>
          <w:u w:val="single"/>
          <w:rtl/>
        </w:rPr>
        <w:t>אמר רב נחמן</w:t>
      </w:r>
      <w:r w:rsidRPr="005275DF">
        <w:rPr>
          <w:rFonts w:asciiTheme="minorBidi" w:hAnsiTheme="minorBidi"/>
          <w:rtl/>
        </w:rPr>
        <w:t>: בחמה - דכוליה עלמא לא פליגי דשרי</w:t>
      </w:r>
      <w:r w:rsidRPr="005275DF">
        <w:rPr>
          <w:rStyle w:val="a9"/>
          <w:rFonts w:asciiTheme="minorBidi" w:hAnsiTheme="minorBidi"/>
          <w:rtl/>
        </w:rPr>
        <w:footnoteReference w:id="2689"/>
      </w:r>
      <w:r w:rsidRPr="005275DF">
        <w:rPr>
          <w:rFonts w:asciiTheme="minorBidi" w:hAnsiTheme="minorBidi"/>
          <w:rtl/>
        </w:rPr>
        <w:t>, בתולדות האור</w:t>
      </w:r>
      <w:r w:rsidRPr="005275DF">
        <w:rPr>
          <w:rStyle w:val="a9"/>
          <w:rFonts w:asciiTheme="minorBidi" w:hAnsiTheme="minorBidi"/>
          <w:rtl/>
        </w:rPr>
        <w:footnoteReference w:id="2690"/>
      </w:r>
      <w:r w:rsidRPr="005275DF">
        <w:rPr>
          <w:rFonts w:asciiTheme="minorBidi" w:hAnsiTheme="minorBidi"/>
          <w:rtl/>
        </w:rPr>
        <w:t xml:space="preserve"> - כוליה עלמא לא פליגי דאסיר, כי פליגי - בתולדות החמה</w:t>
      </w:r>
      <w:r w:rsidRPr="005275DF">
        <w:rPr>
          <w:rStyle w:val="a9"/>
          <w:rFonts w:asciiTheme="minorBidi" w:hAnsiTheme="minorBidi"/>
          <w:rtl/>
        </w:rPr>
        <w:footnoteReference w:id="2691"/>
      </w:r>
      <w:r w:rsidR="003B4807">
        <w:rPr>
          <w:rFonts w:asciiTheme="minorBidi" w:hAnsiTheme="minorBidi" w:hint="cs"/>
          <w:rtl/>
        </w:rPr>
        <w:t>,</w:t>
      </w:r>
      <w:r w:rsidRPr="005275DF">
        <w:rPr>
          <w:rFonts w:asciiTheme="minorBidi" w:hAnsiTheme="minorBidi"/>
          <w:rtl/>
        </w:rPr>
        <w:t xml:space="preserve"> מר סבר: גזרינן תולדות החמה אטו תולדות האור</w:t>
      </w:r>
      <w:r w:rsidRPr="005275DF">
        <w:rPr>
          <w:rStyle w:val="a9"/>
          <w:rFonts w:asciiTheme="minorBidi" w:hAnsiTheme="minorBidi"/>
          <w:rtl/>
        </w:rPr>
        <w:footnoteReference w:id="2692"/>
      </w:r>
      <w:r w:rsidRPr="005275DF">
        <w:rPr>
          <w:rFonts w:asciiTheme="minorBidi" w:hAnsiTheme="minorBidi"/>
          <w:rtl/>
        </w:rPr>
        <w:t xml:space="preserve">, ומר סבר: לא גזרינן. </w:t>
      </w:r>
      <w:r w:rsidR="003B4807">
        <w:rPr>
          <w:rFonts w:cs="Arial" w:hint="cs"/>
          <w:sz w:val="16"/>
          <w:szCs w:val="16"/>
          <w:rtl/>
        </w:rPr>
        <w:t>(</w:t>
      </w:r>
      <w:r w:rsidR="003B4807" w:rsidRPr="003B4807">
        <w:rPr>
          <w:rFonts w:cs="Arial"/>
          <w:sz w:val="16"/>
          <w:szCs w:val="16"/>
          <w:rtl/>
        </w:rPr>
        <w:t>ופסק הרי"ף (יח.) כתנא קמא</w:t>
      </w:r>
      <w:r w:rsidR="003B4807">
        <w:rPr>
          <w:rFonts w:cs="Arial" w:hint="cs"/>
          <w:sz w:val="16"/>
          <w:szCs w:val="16"/>
          <w:rtl/>
        </w:rPr>
        <w:t>,</w:t>
      </w:r>
      <w:r w:rsidR="003B4807" w:rsidRPr="003B4807">
        <w:rPr>
          <w:rFonts w:cs="Arial"/>
          <w:sz w:val="16"/>
          <w:szCs w:val="16"/>
          <w:rtl/>
        </w:rPr>
        <w:t xml:space="preserve"> וכן דעת הרמב"ם בפ</w:t>
      </w:r>
      <w:r w:rsidR="003B4807">
        <w:rPr>
          <w:rFonts w:cs="Arial" w:hint="cs"/>
          <w:sz w:val="16"/>
          <w:szCs w:val="16"/>
          <w:rtl/>
        </w:rPr>
        <w:t>"</w:t>
      </w:r>
      <w:r w:rsidR="003B4807" w:rsidRPr="003B4807">
        <w:rPr>
          <w:rFonts w:cs="Arial"/>
          <w:sz w:val="16"/>
          <w:szCs w:val="16"/>
          <w:rtl/>
        </w:rPr>
        <w:t>ט (ה"ג)</w:t>
      </w:r>
      <w:r w:rsidR="003B4807">
        <w:rPr>
          <w:rFonts w:cs="Arial" w:hint="cs"/>
          <w:sz w:val="16"/>
          <w:szCs w:val="16"/>
          <w:rtl/>
        </w:rPr>
        <w:t>, ב"י)</w:t>
      </w:r>
    </w:p>
    <w:p w14:paraId="180B3837" w14:textId="2A8291DC" w:rsidR="003B4807" w:rsidRPr="003B4807" w:rsidRDefault="003B4807" w:rsidP="00434A6A">
      <w:pPr>
        <w:rPr>
          <w:rFonts w:asciiTheme="minorBidi" w:hAnsiTheme="minorBidi"/>
          <w:sz w:val="18"/>
          <w:szCs w:val="18"/>
          <w:u w:val="single"/>
          <w:rtl/>
        </w:rPr>
      </w:pPr>
      <w:r w:rsidRPr="003B4807">
        <w:rPr>
          <w:rFonts w:asciiTheme="minorBidi" w:hAnsiTheme="minorBidi"/>
          <w:u w:val="single"/>
          <w:rtl/>
        </w:rPr>
        <w:t>בישול בתולדות האור/החמה, ובישול בחמה</w:t>
      </w:r>
      <w:r w:rsidRPr="003B4807">
        <w:rPr>
          <w:rFonts w:asciiTheme="minorBidi" w:hAnsiTheme="minorBidi" w:hint="cs"/>
          <w:u w:val="single"/>
          <w:rtl/>
        </w:rPr>
        <w:t>:</w:t>
      </w:r>
    </w:p>
    <w:p w14:paraId="1C413415" w14:textId="5952DD6B" w:rsidR="00DD3262" w:rsidRPr="00546756" w:rsidRDefault="00546756" w:rsidP="00434A6A">
      <w:pPr>
        <w:pStyle w:val="aa"/>
        <w:numPr>
          <w:ilvl w:val="0"/>
          <w:numId w:val="32"/>
        </w:numPr>
        <w:rPr>
          <w:rFonts w:asciiTheme="minorBidi" w:hAnsiTheme="minorBidi"/>
        </w:rPr>
      </w:pPr>
      <w:r>
        <w:rPr>
          <w:rFonts w:asciiTheme="minorBidi" w:hAnsiTheme="minorBidi" w:cs="Arial" w:hint="cs"/>
          <w:rtl/>
        </w:rPr>
        <w:t>רמב"ם</w:t>
      </w:r>
      <w:r>
        <w:rPr>
          <w:rStyle w:val="a9"/>
          <w:rFonts w:asciiTheme="minorBidi" w:hAnsiTheme="minorBidi" w:cs="Arial"/>
          <w:rtl/>
        </w:rPr>
        <w:footnoteReference w:id="2693"/>
      </w:r>
      <w:r>
        <w:rPr>
          <w:rFonts w:asciiTheme="minorBidi" w:hAnsiTheme="minorBidi" w:cs="Arial" w:hint="cs"/>
          <w:rtl/>
        </w:rPr>
        <w:t xml:space="preserve"> </w:t>
      </w:r>
      <w:r>
        <w:rPr>
          <w:rFonts w:asciiTheme="minorBidi" w:hAnsiTheme="minorBidi" w:cs="Arial" w:hint="cs"/>
          <w:sz w:val="16"/>
          <w:szCs w:val="16"/>
          <w:rtl/>
        </w:rPr>
        <w:t>(פ"ט ה"ב-ג)</w:t>
      </w:r>
      <w:r>
        <w:rPr>
          <w:rFonts w:asciiTheme="minorBidi" w:hAnsiTheme="minorBidi" w:cs="Arial" w:hint="cs"/>
          <w:rtl/>
        </w:rPr>
        <w:t xml:space="preserve"> ו</w:t>
      </w:r>
      <w:r w:rsidR="0005702E">
        <w:rPr>
          <w:rFonts w:asciiTheme="minorBidi" w:hAnsiTheme="minorBidi" w:cs="Arial" w:hint="cs"/>
          <w:rtl/>
        </w:rPr>
        <w:t xml:space="preserve">טור- </w:t>
      </w:r>
      <w:r w:rsidR="0005702E" w:rsidRPr="002065FF">
        <w:rPr>
          <w:rFonts w:asciiTheme="minorBidi" w:hAnsiTheme="minorBidi" w:cs="Arial"/>
          <w:rtl/>
        </w:rPr>
        <w:t>כשם שאסור לבשל באור</w:t>
      </w:r>
      <w:r w:rsidR="003B4807">
        <w:rPr>
          <w:rFonts w:asciiTheme="minorBidi" w:hAnsiTheme="minorBidi" w:cs="Arial" w:hint="cs"/>
          <w:rtl/>
        </w:rPr>
        <w:t>,</w:t>
      </w:r>
      <w:r w:rsidR="0005702E" w:rsidRPr="002065FF">
        <w:rPr>
          <w:rFonts w:asciiTheme="minorBidi" w:hAnsiTheme="minorBidi" w:cs="Arial"/>
          <w:rtl/>
        </w:rPr>
        <w:t xml:space="preserve"> כך אסרו לבשל בתולדות האור</w:t>
      </w:r>
      <w:r w:rsidR="003B4807">
        <w:rPr>
          <w:rFonts w:asciiTheme="minorBidi" w:hAnsiTheme="minorBidi" w:cs="Arial" w:hint="cs"/>
          <w:rtl/>
        </w:rPr>
        <w:t>,</w:t>
      </w:r>
      <w:r w:rsidR="0005702E" w:rsidRPr="002065FF">
        <w:rPr>
          <w:rFonts w:asciiTheme="minorBidi" w:hAnsiTheme="minorBidi" w:cs="Arial"/>
          <w:rtl/>
        </w:rPr>
        <w:t xml:space="preserve"> כגון ליתן ביצה בצד הקדרה בשביל שתצלה</w:t>
      </w:r>
      <w:r w:rsidR="003B4807">
        <w:rPr>
          <w:rFonts w:asciiTheme="minorBidi" w:hAnsiTheme="minorBidi" w:cs="Arial" w:hint="cs"/>
          <w:rtl/>
        </w:rPr>
        <w:t>.</w:t>
      </w:r>
      <w:r w:rsidR="0005702E" w:rsidRPr="002065FF">
        <w:rPr>
          <w:rFonts w:asciiTheme="minorBidi" w:hAnsiTheme="minorBidi" w:cs="Arial"/>
          <w:rtl/>
        </w:rPr>
        <w:t xml:space="preserve"> ואפילו בתולדות חמה נמי אסור</w:t>
      </w:r>
      <w:r w:rsidR="003B4807">
        <w:rPr>
          <w:rFonts w:asciiTheme="minorBidi" w:hAnsiTheme="minorBidi" w:cs="Arial" w:hint="cs"/>
          <w:rtl/>
        </w:rPr>
        <w:t>,</w:t>
      </w:r>
      <w:r w:rsidR="0005702E" w:rsidRPr="002065FF">
        <w:rPr>
          <w:rFonts w:asciiTheme="minorBidi" w:hAnsiTheme="minorBidi" w:cs="Arial"/>
          <w:rtl/>
        </w:rPr>
        <w:t xml:space="preserve"> כגון סודר שנתחמם בחמה אסור ליתן בו ביצה כדי שתצלה</w:t>
      </w:r>
      <w:r w:rsidR="003B4807">
        <w:rPr>
          <w:rFonts w:asciiTheme="minorBidi" w:hAnsiTheme="minorBidi" w:cs="Arial" w:hint="cs"/>
          <w:rtl/>
        </w:rPr>
        <w:t>,</w:t>
      </w:r>
      <w:r w:rsidR="0005702E" w:rsidRPr="002065FF">
        <w:rPr>
          <w:rFonts w:asciiTheme="minorBidi" w:hAnsiTheme="minorBidi" w:cs="Arial"/>
          <w:rtl/>
        </w:rPr>
        <w:t xml:space="preserve"> גזירה אטו אור</w:t>
      </w:r>
      <w:r w:rsidR="003B4807">
        <w:rPr>
          <w:rFonts w:asciiTheme="minorBidi" w:hAnsiTheme="minorBidi" w:cs="Arial" w:hint="cs"/>
          <w:rtl/>
        </w:rPr>
        <w:t>.</w:t>
      </w:r>
      <w:r w:rsidR="0005702E" w:rsidRPr="002065FF">
        <w:rPr>
          <w:rFonts w:asciiTheme="minorBidi" w:hAnsiTheme="minorBidi" w:cs="Arial"/>
          <w:rtl/>
        </w:rPr>
        <w:t xml:space="preserve"> אבל בחמה עצמה</w:t>
      </w:r>
      <w:r w:rsidR="00E91D7F">
        <w:rPr>
          <w:rFonts w:asciiTheme="minorBidi" w:hAnsiTheme="minorBidi" w:cs="Arial" w:hint="cs"/>
          <w:rtl/>
        </w:rPr>
        <w:t>,</w:t>
      </w:r>
      <w:r w:rsidR="0005702E" w:rsidRPr="002065FF">
        <w:rPr>
          <w:rFonts w:asciiTheme="minorBidi" w:hAnsiTheme="minorBidi" w:cs="Arial"/>
          <w:rtl/>
        </w:rPr>
        <w:t xml:space="preserve"> כגון ליתנה בחמה או ליתן מים בחמה כדי שיחמו </w:t>
      </w:r>
      <w:r w:rsidR="00E91D7F">
        <w:rPr>
          <w:rFonts w:asciiTheme="minorBidi" w:hAnsiTheme="minorBidi" w:cs="Arial" w:hint="cs"/>
          <w:rtl/>
        </w:rPr>
        <w:t xml:space="preserve">- </w:t>
      </w:r>
      <w:r w:rsidR="0005702E" w:rsidRPr="002065FF">
        <w:rPr>
          <w:rFonts w:asciiTheme="minorBidi" w:hAnsiTheme="minorBidi" w:cs="Arial"/>
          <w:rtl/>
        </w:rPr>
        <w:t>מותר</w:t>
      </w:r>
      <w:r w:rsidR="00E91D7F">
        <w:rPr>
          <w:rFonts w:asciiTheme="minorBidi" w:hAnsiTheme="minorBidi" w:cs="Arial" w:hint="cs"/>
          <w:rtl/>
        </w:rPr>
        <w:t>.</w:t>
      </w:r>
      <w:r w:rsidR="0005702E" w:rsidRPr="002065FF">
        <w:rPr>
          <w:rFonts w:asciiTheme="minorBidi" w:hAnsiTheme="minorBidi" w:cs="Arial"/>
          <w:rtl/>
        </w:rPr>
        <w:t xml:space="preserve"> ואסור להטמינה בחול ובאבק דרכים כדי שתצלה</w:t>
      </w:r>
      <w:r>
        <w:rPr>
          <w:rFonts w:asciiTheme="minorBidi" w:hAnsiTheme="minorBidi" w:cs="Arial" w:hint="cs"/>
          <w:sz w:val="16"/>
          <w:szCs w:val="16"/>
          <w:rtl/>
        </w:rPr>
        <w:t xml:space="preserve"> (ל' הטור)</w:t>
      </w:r>
      <w:r w:rsidR="0005702E">
        <w:rPr>
          <w:rFonts w:asciiTheme="minorBidi" w:hAnsiTheme="minorBidi" w:cs="Arial" w:hint="cs"/>
          <w:rtl/>
        </w:rPr>
        <w:t>.</w:t>
      </w:r>
      <w:r>
        <w:rPr>
          <w:rFonts w:asciiTheme="minorBidi" w:hAnsiTheme="minorBidi" w:hint="cs"/>
          <w:rtl/>
        </w:rPr>
        <w:t xml:space="preserve"> </w:t>
      </w:r>
      <w:r w:rsidRPr="00546756">
        <w:rPr>
          <w:rFonts w:asciiTheme="minorBidi" w:hAnsiTheme="minorBidi" w:hint="cs"/>
          <w:color w:val="E36C0A" w:themeColor="accent6" w:themeShade="BF"/>
          <w:rtl/>
        </w:rPr>
        <w:t>(וכ"פ בשו"ע)</w:t>
      </w:r>
    </w:p>
    <w:p w14:paraId="4E58698B" w14:textId="3ADF7E21" w:rsidR="001B7C05" w:rsidRDefault="001B7C05" w:rsidP="00434A6A">
      <w:pPr>
        <w:rPr>
          <w:rtl/>
        </w:rPr>
      </w:pPr>
      <w:r w:rsidRPr="005275DF">
        <w:rPr>
          <w:rFonts w:asciiTheme="minorBidi" w:hAnsiTheme="minorBidi"/>
          <w:b/>
          <w:bCs/>
          <w:rtl/>
        </w:rPr>
        <w:t xml:space="preserve">שבת </w:t>
      </w:r>
      <w:r>
        <w:rPr>
          <w:rFonts w:asciiTheme="minorBidi" w:hAnsiTheme="minorBidi" w:hint="cs"/>
          <w:b/>
          <w:bCs/>
          <w:sz w:val="16"/>
          <w:szCs w:val="16"/>
          <w:rtl/>
        </w:rPr>
        <w:t xml:space="preserve">(פ' כירה) </w:t>
      </w:r>
      <w:r w:rsidRPr="005275DF">
        <w:rPr>
          <w:rFonts w:asciiTheme="minorBidi" w:hAnsiTheme="minorBidi"/>
          <w:b/>
          <w:bCs/>
          <w:rtl/>
        </w:rPr>
        <w:t>ל</w:t>
      </w:r>
      <w:r>
        <w:rPr>
          <w:rFonts w:asciiTheme="minorBidi" w:hAnsiTheme="minorBidi" w:hint="cs"/>
          <w:b/>
          <w:bCs/>
          <w:rtl/>
        </w:rPr>
        <w:t>ט</w:t>
      </w:r>
      <w:r w:rsidRPr="005275DF">
        <w:rPr>
          <w:rFonts w:asciiTheme="minorBidi" w:hAnsiTheme="minorBidi"/>
          <w:b/>
          <w:bCs/>
          <w:rtl/>
        </w:rPr>
        <w:t xml:space="preserve"> ע"</w:t>
      </w:r>
      <w:r>
        <w:rPr>
          <w:rFonts w:asciiTheme="minorBidi" w:hAnsiTheme="minorBidi" w:hint="cs"/>
          <w:b/>
          <w:bCs/>
          <w:rtl/>
        </w:rPr>
        <w:t>א</w:t>
      </w:r>
      <w:r w:rsidRPr="005275DF">
        <w:rPr>
          <w:rFonts w:asciiTheme="minorBidi" w:hAnsiTheme="minorBidi"/>
          <w:b/>
          <w:bCs/>
          <w:rtl/>
        </w:rPr>
        <w:t>:</w:t>
      </w:r>
      <w:r>
        <w:rPr>
          <w:rFonts w:cs="Arial" w:hint="cs"/>
          <w:rtl/>
        </w:rPr>
        <w:t xml:space="preserve"> </w:t>
      </w:r>
      <w:r w:rsidRPr="001B7C05">
        <w:rPr>
          <w:rFonts w:cs="Arial"/>
          <w:rtl/>
        </w:rPr>
        <w:t xml:space="preserve">ולא יטמיננה בחול. וליפלוג נמי רבי יוסי בהא! </w:t>
      </w:r>
      <w:r w:rsidRPr="001B7C05">
        <w:rPr>
          <w:rFonts w:cs="Arial"/>
          <w:u w:val="single"/>
          <w:rtl/>
        </w:rPr>
        <w:t>רבה אמר</w:t>
      </w:r>
      <w:r w:rsidRPr="001B7C05">
        <w:rPr>
          <w:rFonts w:cs="Arial"/>
          <w:rtl/>
        </w:rPr>
        <w:t xml:space="preserve">: גזרה שמא יטמין ברמץ. </w:t>
      </w:r>
      <w:r w:rsidRPr="001B7C05">
        <w:rPr>
          <w:rFonts w:cs="Arial"/>
          <w:u w:val="single"/>
          <w:rtl/>
        </w:rPr>
        <w:t>רב יוסף אמר</w:t>
      </w:r>
      <w:r w:rsidRPr="001B7C05">
        <w:rPr>
          <w:rFonts w:cs="Arial"/>
          <w:rtl/>
        </w:rPr>
        <w:t>: מפני שמזיז עפר ממקומו. מאי בינייהו? איכא בינייהו עפר תיחוח</w:t>
      </w:r>
      <w:r w:rsidR="008358C6">
        <w:rPr>
          <w:rFonts w:cs="Arial" w:hint="cs"/>
          <w:rtl/>
        </w:rPr>
        <w:t>.</w:t>
      </w:r>
      <w:r w:rsidRPr="001B7C05">
        <w:rPr>
          <w:rFonts w:cs="Arial"/>
          <w:rtl/>
        </w:rPr>
        <w:t xml:space="preserve"> מיתיבי, </w:t>
      </w:r>
      <w:r w:rsidRPr="001B7C05">
        <w:rPr>
          <w:rFonts w:cs="Arial"/>
          <w:u w:val="single"/>
          <w:rtl/>
        </w:rPr>
        <w:t>רבן שמעון בן גמליאל אומר</w:t>
      </w:r>
      <w:r w:rsidRPr="001B7C05">
        <w:rPr>
          <w:rFonts w:cs="Arial"/>
          <w:rtl/>
        </w:rPr>
        <w:t>: מגלגלין ביצה על גבי גג רותח, ואין מגלגלין ביצה על גבי סיד רותח. בשלמא למאן דאמר גזרה שמא יטמין ברמץ - ליכא למיגזר. אלא למאן דאמר מפני שמזיז עפר ממקומו - ליגזר! סתם גג לית ביה עפר.</w:t>
      </w:r>
    </w:p>
    <w:p w14:paraId="30D5E0C0" w14:textId="77777777" w:rsidR="001B7C05" w:rsidRDefault="001B7C05" w:rsidP="00434A6A">
      <w:pPr>
        <w:rPr>
          <w:rtl/>
        </w:rPr>
      </w:pPr>
      <w:r w:rsidRPr="005628FA">
        <w:rPr>
          <w:rFonts w:cs="Arial" w:hint="cs"/>
          <w:b/>
          <w:bCs/>
          <w:rtl/>
        </w:rPr>
        <w:t>ירושלמי שבת פ"ג ה"ג:</w:t>
      </w:r>
      <w:r>
        <w:rPr>
          <w:rFonts w:cs="Arial" w:hint="cs"/>
          <w:rtl/>
        </w:rPr>
        <w:t xml:space="preserve"> </w:t>
      </w:r>
      <w:r w:rsidRPr="005628FA">
        <w:rPr>
          <w:rFonts w:cs="Arial"/>
          <w:u w:val="single"/>
          <w:rtl/>
        </w:rPr>
        <w:t>תמן אמרין</w:t>
      </w:r>
      <w:r>
        <w:rPr>
          <w:rFonts w:cs="Arial" w:hint="cs"/>
          <w:rtl/>
        </w:rPr>
        <w:t>:</w:t>
      </w:r>
      <w:r w:rsidRPr="005628FA">
        <w:rPr>
          <w:rFonts w:cs="Arial"/>
          <w:rtl/>
        </w:rPr>
        <w:t xml:space="preserve"> חמה מותרת</w:t>
      </w:r>
      <w:r>
        <w:rPr>
          <w:rFonts w:cs="Arial" w:hint="cs"/>
          <w:rtl/>
        </w:rPr>
        <w:t>,</w:t>
      </w:r>
      <w:r w:rsidRPr="005628FA">
        <w:rPr>
          <w:rFonts w:cs="Arial"/>
          <w:rtl/>
        </w:rPr>
        <w:t xml:space="preserve"> תולדת חמה אסורה. </w:t>
      </w:r>
      <w:r w:rsidRPr="005628FA">
        <w:rPr>
          <w:rFonts w:cs="Arial"/>
          <w:u w:val="single"/>
          <w:rtl/>
        </w:rPr>
        <w:t>רבנן דהכא אמרין</w:t>
      </w:r>
      <w:r>
        <w:rPr>
          <w:rFonts w:cs="Arial" w:hint="cs"/>
          <w:rtl/>
        </w:rPr>
        <w:t>:</w:t>
      </w:r>
      <w:r w:rsidRPr="005628FA">
        <w:rPr>
          <w:rFonts w:cs="Arial"/>
          <w:rtl/>
        </w:rPr>
        <w:t xml:space="preserve"> בין חמה בין תולדת חמה מותרת. מתני' פליגא על רבנין דהכא</w:t>
      </w:r>
      <w:r>
        <w:rPr>
          <w:rFonts w:cs="Arial" w:hint="cs"/>
          <w:rtl/>
        </w:rPr>
        <w:t>:</w:t>
      </w:r>
      <w:r w:rsidRPr="005628FA">
        <w:rPr>
          <w:rFonts w:cs="Arial"/>
          <w:rtl/>
        </w:rPr>
        <w:t xml:space="preserve"> לא יטמיננה בחול ובאבק דרכים בשביל שתצלה. שנייא היא</w:t>
      </w:r>
      <w:r>
        <w:rPr>
          <w:rFonts w:cs="Arial" w:hint="cs"/>
          <w:rtl/>
        </w:rPr>
        <w:t>,</w:t>
      </w:r>
      <w:r w:rsidRPr="005628FA">
        <w:rPr>
          <w:rFonts w:cs="Arial"/>
          <w:rtl/>
        </w:rPr>
        <w:t xml:space="preserve"> שהוא עושה חריץ</w:t>
      </w:r>
      <w:r>
        <w:rPr>
          <w:rFonts w:cs="Arial" w:hint="cs"/>
          <w:rtl/>
        </w:rPr>
        <w:t>,</w:t>
      </w:r>
      <w:r w:rsidRPr="005628FA">
        <w:rPr>
          <w:rFonts w:cs="Arial"/>
          <w:rtl/>
        </w:rPr>
        <w:t xml:space="preserve"> אילו אמר בקמח</w:t>
      </w:r>
      <w:r>
        <w:rPr>
          <w:rFonts w:cs="Arial" w:hint="cs"/>
          <w:rtl/>
        </w:rPr>
        <w:t xml:space="preserve"> -</w:t>
      </w:r>
      <w:r w:rsidRPr="005628FA">
        <w:rPr>
          <w:rFonts w:cs="Arial"/>
          <w:rtl/>
        </w:rPr>
        <w:t xml:space="preserve"> יאות. מתני' פליגא על רבנין דתמ</w:t>
      </w:r>
      <w:r>
        <w:rPr>
          <w:rFonts w:cs="Arial" w:hint="cs"/>
          <w:rtl/>
        </w:rPr>
        <w:t>ן:</w:t>
      </w:r>
      <w:r w:rsidRPr="005628FA">
        <w:rPr>
          <w:rFonts w:cs="Arial"/>
          <w:rtl/>
        </w:rPr>
        <w:t xml:space="preserve"> דתני ר' שמעון ב"ג אומר מגלגלין ביצים על גב גג של סיד רותח</w:t>
      </w:r>
      <w:r>
        <w:rPr>
          <w:rFonts w:cs="Arial" w:hint="cs"/>
          <w:rtl/>
        </w:rPr>
        <w:t>,</w:t>
      </w:r>
      <w:r w:rsidRPr="005628FA">
        <w:rPr>
          <w:rFonts w:cs="Arial"/>
          <w:rtl/>
        </w:rPr>
        <w:t xml:space="preserve"> ואין מגלגלין ביצים על גבי עפר רותח. מה עבדין לה רבנן דתמן</w:t>
      </w:r>
      <w:r>
        <w:rPr>
          <w:rFonts w:cs="Arial" w:hint="cs"/>
          <w:rtl/>
        </w:rPr>
        <w:t>?</w:t>
      </w:r>
      <w:r w:rsidRPr="005628FA">
        <w:rPr>
          <w:rFonts w:cs="Arial"/>
          <w:rtl/>
        </w:rPr>
        <w:t xml:space="preserve"> פתרין לה חלוקין על רשב"ג.</w:t>
      </w:r>
    </w:p>
    <w:p w14:paraId="0AC1F81F" w14:textId="71D92620" w:rsidR="001B7C05" w:rsidRPr="001B7C05" w:rsidRDefault="001B7C05" w:rsidP="00434A6A">
      <w:pPr>
        <w:rPr>
          <w:rFonts w:asciiTheme="minorBidi" w:hAnsiTheme="minorBidi" w:cs="Arial"/>
          <w:u w:val="single"/>
          <w:rtl/>
        </w:rPr>
      </w:pPr>
      <w:r w:rsidRPr="001B7C05">
        <w:rPr>
          <w:rFonts w:asciiTheme="minorBidi" w:hAnsiTheme="minorBidi" w:cs="Arial" w:hint="cs"/>
          <w:u w:val="single"/>
          <w:rtl/>
        </w:rPr>
        <w:t>הפקעת ביצה ע"ג גג רותח:</w:t>
      </w:r>
    </w:p>
    <w:p w14:paraId="32989482" w14:textId="4D097207" w:rsidR="001B7C05" w:rsidRDefault="008D6E64" w:rsidP="00FF2D21">
      <w:pPr>
        <w:pStyle w:val="aa"/>
        <w:numPr>
          <w:ilvl w:val="0"/>
          <w:numId w:val="149"/>
        </w:numPr>
        <w:rPr>
          <w:rFonts w:asciiTheme="minorBidi" w:hAnsiTheme="minorBidi" w:cs="Arial"/>
        </w:rPr>
      </w:pPr>
      <w:r w:rsidRPr="008D6E64">
        <w:rPr>
          <w:rFonts w:asciiTheme="minorBidi" w:hAnsiTheme="minorBidi" w:cs="Arial" w:hint="cs"/>
          <w:rtl/>
        </w:rPr>
        <w:t xml:space="preserve">ר"י מלוניל </w:t>
      </w:r>
      <w:r w:rsidRPr="008D6E64">
        <w:rPr>
          <w:rFonts w:asciiTheme="minorBidi" w:hAnsiTheme="minorBidi" w:cs="Arial" w:hint="cs"/>
          <w:sz w:val="16"/>
          <w:szCs w:val="16"/>
          <w:rtl/>
        </w:rPr>
        <w:t>(שבת יח. מדפה"ר)</w:t>
      </w:r>
      <w:r w:rsidRPr="008D6E64">
        <w:rPr>
          <w:rFonts w:asciiTheme="minorBidi" w:hAnsiTheme="minorBidi" w:cs="Arial" w:hint="cs"/>
          <w:rtl/>
        </w:rPr>
        <w:t xml:space="preserve"> </w:t>
      </w:r>
      <w:r w:rsidR="007B394C">
        <w:rPr>
          <w:rFonts w:asciiTheme="minorBidi" w:hAnsiTheme="minorBidi" w:cs="Arial" w:hint="cs"/>
          <w:rtl/>
        </w:rPr>
        <w:t>ו</w:t>
      </w:r>
      <w:r w:rsidRPr="008D6E64">
        <w:rPr>
          <w:rFonts w:asciiTheme="minorBidi" w:hAnsiTheme="minorBidi" w:cs="Arial" w:hint="cs"/>
          <w:rtl/>
        </w:rPr>
        <w:t xml:space="preserve">מהרש"ל </w:t>
      </w:r>
      <w:r w:rsidRPr="008D6E64">
        <w:rPr>
          <w:rFonts w:asciiTheme="minorBidi" w:hAnsiTheme="minorBidi" w:cs="Arial" w:hint="cs"/>
          <w:sz w:val="16"/>
          <w:szCs w:val="16"/>
          <w:rtl/>
        </w:rPr>
        <w:t>(שו"ת סי' סא)</w:t>
      </w:r>
      <w:r w:rsidRPr="008D6E64">
        <w:rPr>
          <w:rFonts w:asciiTheme="minorBidi" w:hAnsiTheme="minorBidi" w:cs="Arial" w:hint="cs"/>
          <w:rtl/>
        </w:rPr>
        <w:t xml:space="preserve">- </w:t>
      </w:r>
      <w:r w:rsidRPr="008D6E64">
        <w:rPr>
          <w:rFonts w:asciiTheme="minorBidi" w:hAnsiTheme="minorBidi" w:cs="Arial"/>
          <w:rtl/>
        </w:rPr>
        <w:t xml:space="preserve">בגג דלית ביה עפר כלל ולא יכסנה כלל, אם תתגלגל בחמה מותר, כדתניא בברייתא </w:t>
      </w:r>
      <w:r>
        <w:rPr>
          <w:rFonts w:asciiTheme="minorBidi" w:hAnsiTheme="minorBidi" w:cs="Arial" w:hint="cs"/>
          <w:rtl/>
        </w:rPr>
        <w:t>(</w:t>
      </w:r>
      <w:r w:rsidRPr="008D6E64">
        <w:rPr>
          <w:rFonts w:asciiTheme="minorBidi" w:hAnsiTheme="minorBidi" w:cs="Arial"/>
          <w:rtl/>
        </w:rPr>
        <w:t>לט</w:t>
      </w:r>
      <w:r>
        <w:rPr>
          <w:rFonts w:asciiTheme="minorBidi" w:hAnsiTheme="minorBidi" w:cs="Arial" w:hint="cs"/>
          <w:rtl/>
        </w:rPr>
        <w:t>.)</w:t>
      </w:r>
      <w:r w:rsidRPr="008D6E64">
        <w:rPr>
          <w:rFonts w:asciiTheme="minorBidi" w:hAnsiTheme="minorBidi" w:cs="Arial"/>
          <w:rtl/>
        </w:rPr>
        <w:t xml:space="preserve"> רשב"ג אומר מגלגלין ביצה על גבי גג רותח דליכא למיחש ליזיז עפר ממקומו דסתם גג לית ליה ביה עפר. ולהטמנה ליכא למיחש דהא לא מכסהו לה כלל, כדאמרי' לעיל דבחמה כולי עלמא לא פליגי דשרי</w:t>
      </w:r>
      <w:r>
        <w:rPr>
          <w:rFonts w:asciiTheme="minorBidi" w:hAnsiTheme="minorBidi" w:cs="Arial" w:hint="cs"/>
          <w:sz w:val="16"/>
          <w:szCs w:val="16"/>
          <w:rtl/>
        </w:rPr>
        <w:t xml:space="preserve"> (ל' ר"י מלוניל)</w:t>
      </w:r>
      <w:r w:rsidRPr="008D6E64">
        <w:rPr>
          <w:rFonts w:asciiTheme="minorBidi" w:hAnsiTheme="minorBidi" w:cs="Arial" w:hint="cs"/>
          <w:rtl/>
        </w:rPr>
        <w:t>.</w:t>
      </w:r>
    </w:p>
    <w:p w14:paraId="364C7F23" w14:textId="4783C9B2" w:rsidR="008358C6" w:rsidRPr="008D6E64" w:rsidRDefault="008358C6" w:rsidP="00FF2D21">
      <w:pPr>
        <w:pStyle w:val="aa"/>
        <w:numPr>
          <w:ilvl w:val="0"/>
          <w:numId w:val="149"/>
        </w:numPr>
        <w:rPr>
          <w:rFonts w:asciiTheme="minorBidi" w:hAnsiTheme="minorBidi" w:cs="Arial"/>
          <w:rtl/>
        </w:rPr>
      </w:pPr>
      <w:r>
        <w:rPr>
          <w:rFonts w:asciiTheme="minorBidi" w:hAnsiTheme="minorBidi" w:cs="Arial" w:hint="cs"/>
          <w:rtl/>
        </w:rPr>
        <w:t xml:space="preserve">רמב"ן </w:t>
      </w:r>
      <w:r>
        <w:rPr>
          <w:rFonts w:asciiTheme="minorBidi" w:hAnsiTheme="minorBidi" w:cs="Arial" w:hint="cs"/>
          <w:sz w:val="16"/>
          <w:szCs w:val="16"/>
          <w:rtl/>
        </w:rPr>
        <w:t>(לט. ד"ה והא)</w:t>
      </w:r>
      <w:r>
        <w:rPr>
          <w:rFonts w:asciiTheme="minorBidi" w:hAnsiTheme="minorBidi" w:cs="Arial" w:hint="cs"/>
          <w:rtl/>
        </w:rPr>
        <w:t xml:space="preserve"> רשב"א </w:t>
      </w:r>
      <w:r>
        <w:rPr>
          <w:rFonts w:asciiTheme="minorBidi" w:hAnsiTheme="minorBidi" w:cs="Arial" w:hint="cs"/>
          <w:sz w:val="16"/>
          <w:szCs w:val="16"/>
          <w:rtl/>
        </w:rPr>
        <w:t>(לט. ד"ה רבן)</w:t>
      </w:r>
      <w:r>
        <w:rPr>
          <w:rFonts w:asciiTheme="minorBidi" w:hAnsiTheme="minorBidi" w:cs="Arial" w:hint="cs"/>
          <w:rtl/>
        </w:rPr>
        <w:t xml:space="preserve"> ור"ן</w:t>
      </w:r>
      <w:r>
        <w:rPr>
          <w:rFonts w:asciiTheme="minorBidi" w:hAnsiTheme="minorBidi" w:cs="Arial" w:hint="cs"/>
          <w:sz w:val="16"/>
          <w:szCs w:val="16"/>
          <w:rtl/>
        </w:rPr>
        <w:t xml:space="preserve"> (לט. ד"ה מגלגלין)</w:t>
      </w:r>
      <w:r>
        <w:rPr>
          <w:rFonts w:asciiTheme="minorBidi" w:hAnsiTheme="minorBidi" w:cs="Arial" w:hint="cs"/>
          <w:rtl/>
        </w:rPr>
        <w:t xml:space="preserve">- </w:t>
      </w:r>
      <w:r w:rsidRPr="008358C6">
        <w:rPr>
          <w:rFonts w:asciiTheme="minorBidi" w:hAnsiTheme="minorBidi" w:cs="Arial"/>
          <w:rtl/>
        </w:rPr>
        <w:t>הא דתניא רשב"ג אומר מגלגלין ביצה ע"ג גג רותח משום דליכא שמא יטמין ברמץ ולא משום שמא יזיז עפר ממקומו</w:t>
      </w:r>
      <w:r>
        <w:rPr>
          <w:rFonts w:asciiTheme="minorBidi" w:hAnsiTheme="minorBidi" w:cs="Arial" w:hint="cs"/>
          <w:rtl/>
        </w:rPr>
        <w:t xml:space="preserve"> -</w:t>
      </w:r>
      <w:r w:rsidRPr="008358C6">
        <w:rPr>
          <w:rFonts w:asciiTheme="minorBidi" w:hAnsiTheme="minorBidi" w:cs="Arial"/>
          <w:rtl/>
        </w:rPr>
        <w:t xml:space="preserve"> לית הלכתא כוותיה</w:t>
      </w:r>
      <w:r>
        <w:rPr>
          <w:rFonts w:asciiTheme="minorBidi" w:hAnsiTheme="minorBidi" w:cs="Arial" w:hint="cs"/>
          <w:rtl/>
        </w:rPr>
        <w:t>,</w:t>
      </w:r>
      <w:r w:rsidRPr="008358C6">
        <w:rPr>
          <w:rFonts w:asciiTheme="minorBidi" w:hAnsiTheme="minorBidi" w:cs="Arial"/>
          <w:rtl/>
        </w:rPr>
        <w:t xml:space="preserve"> דאיהו כר' יוסי ס"ל</w:t>
      </w:r>
      <w:r>
        <w:rPr>
          <w:rFonts w:asciiTheme="minorBidi" w:hAnsiTheme="minorBidi" w:cs="Arial" w:hint="cs"/>
          <w:rtl/>
        </w:rPr>
        <w:t>.</w:t>
      </w:r>
      <w:r w:rsidRPr="008358C6">
        <w:rPr>
          <w:rFonts w:asciiTheme="minorBidi" w:hAnsiTheme="minorBidi" w:cs="Arial"/>
          <w:rtl/>
        </w:rPr>
        <w:t xml:space="preserve"> אבל רבנן דאסרי בסודרין</w:t>
      </w:r>
      <w:r>
        <w:rPr>
          <w:rFonts w:asciiTheme="minorBidi" w:hAnsiTheme="minorBidi" w:cs="Arial" w:hint="cs"/>
          <w:rtl/>
        </w:rPr>
        <w:t>,</w:t>
      </w:r>
      <w:r w:rsidRPr="008358C6">
        <w:rPr>
          <w:rFonts w:asciiTheme="minorBidi" w:hAnsiTheme="minorBidi" w:cs="Arial"/>
          <w:rtl/>
        </w:rPr>
        <w:t xml:space="preserve"> הוא הדין נמי דאסרי בגג רותח</w:t>
      </w:r>
      <w:r>
        <w:rPr>
          <w:rFonts w:asciiTheme="minorBidi" w:hAnsiTheme="minorBidi" w:cs="Arial" w:hint="cs"/>
          <w:rtl/>
        </w:rPr>
        <w:t>,</w:t>
      </w:r>
      <w:r w:rsidRPr="008358C6">
        <w:rPr>
          <w:rFonts w:asciiTheme="minorBidi" w:hAnsiTheme="minorBidi" w:cs="Arial"/>
          <w:rtl/>
        </w:rPr>
        <w:t xml:space="preserve"> דתרוייהו תולדות חמה נינהו</w:t>
      </w:r>
      <w:r>
        <w:rPr>
          <w:rStyle w:val="a9"/>
          <w:rFonts w:asciiTheme="minorBidi" w:hAnsiTheme="minorBidi" w:cs="Arial"/>
          <w:rtl/>
        </w:rPr>
        <w:footnoteReference w:id="2694"/>
      </w:r>
      <w:r>
        <w:rPr>
          <w:rFonts w:asciiTheme="minorBidi" w:hAnsiTheme="minorBidi" w:cs="Arial" w:hint="cs"/>
          <w:rtl/>
        </w:rPr>
        <w:t>.</w:t>
      </w:r>
      <w:r w:rsidR="007B394C">
        <w:rPr>
          <w:rFonts w:asciiTheme="minorBidi" w:hAnsiTheme="minorBidi" w:cs="Arial" w:hint="cs"/>
          <w:rtl/>
        </w:rPr>
        <w:t xml:space="preserve"> (וכ"פ מג"א</w:t>
      </w:r>
      <w:r w:rsidR="007B394C">
        <w:rPr>
          <w:rFonts w:asciiTheme="minorBidi" w:hAnsiTheme="minorBidi" w:cs="Arial" w:hint="cs"/>
          <w:sz w:val="16"/>
          <w:szCs w:val="16"/>
          <w:rtl/>
        </w:rPr>
        <w:t xml:space="preserve"> [סק"י]</w:t>
      </w:r>
      <w:r w:rsidR="007B394C">
        <w:rPr>
          <w:rFonts w:asciiTheme="minorBidi" w:hAnsiTheme="minorBidi" w:cs="Arial" w:hint="cs"/>
          <w:rtl/>
        </w:rPr>
        <w:t>)</w:t>
      </w:r>
    </w:p>
    <w:p w14:paraId="1BD0AC83"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2F76F0D6" w14:textId="68574A04" w:rsidR="006A4BF8" w:rsidRPr="005275DF" w:rsidRDefault="006A4BF8" w:rsidP="00434A6A">
      <w:pPr>
        <w:tabs>
          <w:tab w:val="left" w:pos="2788"/>
        </w:tabs>
        <w:rPr>
          <w:rFonts w:asciiTheme="minorBidi" w:hAnsiTheme="minorBidi"/>
          <w:rtl/>
        </w:rPr>
      </w:pPr>
      <w:r w:rsidRPr="005275DF">
        <w:rPr>
          <w:rFonts w:asciiTheme="minorBidi" w:hAnsiTheme="minorBidi"/>
          <w:rtl/>
        </w:rPr>
        <w:t>כשם שאסור לבשל באור כך אסור לבשל בתולדת האור, כגון: ליתן ביצה בצד קדרה או לשברה על סודר שהוחם באור כדי שתצלה</w:t>
      </w:r>
      <w:r w:rsidR="005628FA">
        <w:rPr>
          <w:rFonts w:asciiTheme="minorBidi" w:hAnsiTheme="minorBidi" w:hint="cs"/>
          <w:rtl/>
        </w:rPr>
        <w:t>.</w:t>
      </w:r>
      <w:r w:rsidRPr="005275DF">
        <w:rPr>
          <w:rFonts w:asciiTheme="minorBidi" w:hAnsiTheme="minorBidi"/>
          <w:rtl/>
        </w:rPr>
        <w:t xml:space="preserve"> ואפילו בתולדת חמה, כגון בסודר שהוחם בחמה, אסור גזירה אטו תולדת האור</w:t>
      </w:r>
      <w:r w:rsidR="005628FA">
        <w:rPr>
          <w:rFonts w:asciiTheme="minorBidi" w:hAnsiTheme="minorBidi" w:hint="cs"/>
          <w:rtl/>
        </w:rPr>
        <w:t>.</w:t>
      </w:r>
      <w:r w:rsidRPr="005275DF">
        <w:rPr>
          <w:rFonts w:asciiTheme="minorBidi" w:hAnsiTheme="minorBidi"/>
          <w:rtl/>
        </w:rPr>
        <w:t xml:space="preserve"> וכן אסור להטמינה בחול</w:t>
      </w:r>
      <w:r w:rsidR="004773A2">
        <w:rPr>
          <w:rStyle w:val="a9"/>
          <w:rFonts w:asciiTheme="minorBidi" w:hAnsiTheme="minorBidi"/>
          <w:rtl/>
        </w:rPr>
        <w:footnoteReference w:id="2695"/>
      </w:r>
      <w:r w:rsidRPr="005275DF">
        <w:rPr>
          <w:rFonts w:asciiTheme="minorBidi" w:hAnsiTheme="minorBidi"/>
          <w:rtl/>
        </w:rPr>
        <w:t xml:space="preserve"> או באבק דרכים שהוחמו מכח חמה</w:t>
      </w:r>
      <w:r w:rsidR="005628FA">
        <w:rPr>
          <w:rFonts w:asciiTheme="minorBidi" w:hAnsiTheme="minorBidi" w:hint="cs"/>
          <w:rtl/>
        </w:rPr>
        <w:t>.</w:t>
      </w:r>
      <w:r w:rsidRPr="005275DF">
        <w:rPr>
          <w:rFonts w:asciiTheme="minorBidi" w:hAnsiTheme="minorBidi"/>
          <w:rtl/>
        </w:rPr>
        <w:t xml:space="preserve"> אבל בחמה עצמה, כגון ליתן ביצה בחמה או ליתן מים בחמה כדי שיוחמו מותר. </w:t>
      </w:r>
    </w:p>
    <w:p w14:paraId="01021405" w14:textId="77777777" w:rsidR="006A4BF8" w:rsidRPr="005275DF" w:rsidRDefault="006A4BF8" w:rsidP="00434A6A">
      <w:pPr>
        <w:tabs>
          <w:tab w:val="left" w:pos="2788"/>
        </w:tabs>
        <w:rPr>
          <w:rFonts w:asciiTheme="minorBidi" w:hAnsiTheme="minorBidi"/>
          <w:rtl/>
        </w:rPr>
      </w:pPr>
    </w:p>
    <w:p w14:paraId="47C6A1DD" w14:textId="00C41F33"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 xml:space="preserve">סעיף ד: </w:t>
      </w:r>
      <w:r w:rsidR="004327A2">
        <w:rPr>
          <w:rFonts w:asciiTheme="minorBidi" w:hAnsiTheme="minorBidi" w:cstheme="minorBidi" w:hint="cs"/>
          <w:rtl/>
        </w:rPr>
        <w:t>בישול אחר בישול</w:t>
      </w:r>
      <w:r w:rsidRPr="005275DF">
        <w:rPr>
          <w:rFonts w:asciiTheme="minorBidi" w:hAnsiTheme="minorBidi" w:cstheme="minorBidi"/>
          <w:rtl/>
        </w:rPr>
        <w:t>.</w:t>
      </w:r>
    </w:p>
    <w:p w14:paraId="2A3C6EE8" w14:textId="20ECD864" w:rsidR="006A4BF8" w:rsidRPr="005275DF" w:rsidRDefault="006A4BF8" w:rsidP="00434A6A">
      <w:pPr>
        <w:rPr>
          <w:rFonts w:asciiTheme="minorBidi" w:hAnsiTheme="minorBidi"/>
          <w:rtl/>
        </w:rPr>
      </w:pPr>
      <w:r w:rsidRPr="005275DF">
        <w:rPr>
          <w:rFonts w:asciiTheme="minorBidi" w:hAnsiTheme="minorBidi"/>
          <w:b/>
          <w:bCs/>
          <w:rtl/>
        </w:rPr>
        <w:t xml:space="preserve">שבת </w:t>
      </w:r>
      <w:r w:rsidR="0087112D">
        <w:rPr>
          <w:rFonts w:asciiTheme="minorBidi" w:hAnsiTheme="minorBidi" w:hint="cs"/>
          <w:b/>
          <w:bCs/>
          <w:sz w:val="16"/>
          <w:szCs w:val="16"/>
          <w:rtl/>
        </w:rPr>
        <w:t xml:space="preserve">(פ' חבית) </w:t>
      </w:r>
      <w:r w:rsidRPr="005275DF">
        <w:rPr>
          <w:rFonts w:asciiTheme="minorBidi" w:hAnsiTheme="minorBidi"/>
          <w:b/>
          <w:bCs/>
          <w:rtl/>
        </w:rPr>
        <w:t xml:space="preserve">קמה ע"ב: </w:t>
      </w:r>
      <w:r w:rsidRPr="005275DF">
        <w:rPr>
          <w:rFonts w:asciiTheme="minorBidi" w:hAnsiTheme="minorBidi"/>
          <w:u w:val="double"/>
          <w:rtl/>
        </w:rPr>
        <w:t>משנה:</w:t>
      </w:r>
      <w:r w:rsidRPr="005275DF">
        <w:rPr>
          <w:rFonts w:asciiTheme="minorBidi" w:hAnsiTheme="minorBidi"/>
          <w:rtl/>
        </w:rPr>
        <w:t xml:space="preserve"> כל שבא בחמין מערב שבת</w:t>
      </w:r>
      <w:r w:rsidR="00C113E3">
        <w:rPr>
          <w:rStyle w:val="a9"/>
          <w:rFonts w:asciiTheme="minorBidi" w:hAnsiTheme="minorBidi"/>
          <w:rtl/>
        </w:rPr>
        <w:footnoteReference w:id="2696"/>
      </w:r>
      <w:r w:rsidRPr="005275DF">
        <w:rPr>
          <w:rFonts w:asciiTheme="minorBidi" w:hAnsiTheme="minorBidi"/>
          <w:rtl/>
        </w:rPr>
        <w:t xml:space="preserve"> - שורין אותו בחמין</w:t>
      </w:r>
      <w:r w:rsidR="00C113E3">
        <w:rPr>
          <w:rStyle w:val="a9"/>
          <w:rFonts w:asciiTheme="minorBidi" w:hAnsiTheme="minorBidi"/>
          <w:rtl/>
        </w:rPr>
        <w:footnoteReference w:id="2697"/>
      </w:r>
      <w:r w:rsidRPr="005275DF">
        <w:rPr>
          <w:rFonts w:asciiTheme="minorBidi" w:hAnsiTheme="minorBidi"/>
          <w:rtl/>
        </w:rPr>
        <w:t xml:space="preserve"> בשבת.     </w:t>
      </w:r>
      <w:r w:rsidRPr="005275DF">
        <w:rPr>
          <w:rFonts w:asciiTheme="minorBidi" w:hAnsiTheme="minorBidi"/>
          <w:u w:val="double"/>
          <w:rtl/>
        </w:rPr>
        <w:t>גמ':</w:t>
      </w:r>
      <w:r w:rsidRPr="005275DF">
        <w:rPr>
          <w:rFonts w:asciiTheme="minorBidi" w:hAnsiTheme="minorBidi"/>
          <w:rtl/>
        </w:rPr>
        <w:t xml:space="preserve"> כגון מאי? </w:t>
      </w:r>
      <w:r w:rsidRPr="005275DF">
        <w:rPr>
          <w:rFonts w:asciiTheme="minorBidi" w:hAnsiTheme="minorBidi"/>
          <w:u w:val="single"/>
          <w:rtl/>
        </w:rPr>
        <w:t>אמר רב ספרא</w:t>
      </w:r>
      <w:r w:rsidRPr="005275DF">
        <w:rPr>
          <w:rFonts w:asciiTheme="minorBidi" w:hAnsiTheme="minorBidi"/>
          <w:rtl/>
        </w:rPr>
        <w:t>: כגון תרנגולתא דרבי אבא</w:t>
      </w:r>
      <w:r w:rsidRPr="005275DF">
        <w:rPr>
          <w:rStyle w:val="a9"/>
          <w:rFonts w:asciiTheme="minorBidi" w:hAnsiTheme="minorBidi"/>
          <w:rtl/>
        </w:rPr>
        <w:footnoteReference w:id="2698"/>
      </w:r>
      <w:r w:rsidRPr="005275DF">
        <w:rPr>
          <w:rFonts w:asciiTheme="minorBidi" w:hAnsiTheme="minorBidi"/>
          <w:rtl/>
        </w:rPr>
        <w:t>.</w:t>
      </w:r>
    </w:p>
    <w:p w14:paraId="6B77947E" w14:textId="31D5D6CE" w:rsidR="006A4BF8" w:rsidRDefault="006A4BF8" w:rsidP="00434A6A">
      <w:pPr>
        <w:rPr>
          <w:rFonts w:asciiTheme="minorBidi" w:hAnsiTheme="minorBidi"/>
          <w:rtl/>
        </w:rPr>
      </w:pPr>
      <w:r w:rsidRPr="005275DF">
        <w:rPr>
          <w:rFonts w:asciiTheme="minorBidi" w:hAnsiTheme="minorBidi"/>
          <w:b/>
          <w:bCs/>
          <w:rtl/>
        </w:rPr>
        <w:t xml:space="preserve">שבת </w:t>
      </w:r>
      <w:r w:rsidR="0087112D">
        <w:rPr>
          <w:rFonts w:asciiTheme="minorBidi" w:hAnsiTheme="minorBidi" w:hint="cs"/>
          <w:b/>
          <w:bCs/>
          <w:sz w:val="16"/>
          <w:szCs w:val="16"/>
          <w:rtl/>
        </w:rPr>
        <w:t xml:space="preserve">(פ' במה מדליקין) </w:t>
      </w:r>
      <w:r w:rsidRPr="005275DF">
        <w:rPr>
          <w:rFonts w:asciiTheme="minorBidi" w:hAnsiTheme="minorBidi"/>
          <w:b/>
          <w:bCs/>
          <w:rtl/>
        </w:rPr>
        <w:t xml:space="preserve">לד ע"א: </w:t>
      </w:r>
      <w:r w:rsidRPr="005275DF">
        <w:rPr>
          <w:rFonts w:asciiTheme="minorBidi" w:hAnsiTheme="minorBidi"/>
          <w:u w:val="single"/>
          <w:rtl/>
        </w:rPr>
        <w:t>אמר רבא</w:t>
      </w:r>
      <w:r w:rsidRPr="005275DF">
        <w:rPr>
          <w:rFonts w:asciiTheme="minorBidi" w:hAnsiTheme="minorBidi"/>
          <w:rtl/>
        </w:rPr>
        <w:t>: מפני מה אמרו: אין טומנין בדבר שאינו מוסיף הבל</w:t>
      </w:r>
      <w:r w:rsidR="006216F4">
        <w:rPr>
          <w:rStyle w:val="a9"/>
          <w:rFonts w:asciiTheme="minorBidi" w:hAnsiTheme="minorBidi"/>
          <w:rtl/>
        </w:rPr>
        <w:footnoteReference w:id="2699"/>
      </w:r>
      <w:r w:rsidRPr="005275DF">
        <w:rPr>
          <w:rFonts w:asciiTheme="minorBidi" w:hAnsiTheme="minorBidi"/>
          <w:rtl/>
        </w:rPr>
        <w:t xml:space="preserve"> משחשכה</w:t>
      </w:r>
      <w:r w:rsidR="006216F4">
        <w:rPr>
          <w:rStyle w:val="a9"/>
          <w:rFonts w:asciiTheme="minorBidi" w:hAnsiTheme="minorBidi"/>
          <w:rtl/>
        </w:rPr>
        <w:footnoteReference w:id="2700"/>
      </w:r>
      <w:r w:rsidRPr="005275DF">
        <w:rPr>
          <w:rFonts w:asciiTheme="minorBidi" w:hAnsiTheme="minorBidi"/>
          <w:rtl/>
        </w:rPr>
        <w:t xml:space="preserve"> - גזרה שמא ירתיח.</w:t>
      </w:r>
    </w:p>
    <w:p w14:paraId="739E612B" w14:textId="574BC16F" w:rsidR="00F41D9A" w:rsidRDefault="00F41D9A" w:rsidP="00434A6A">
      <w:pPr>
        <w:rPr>
          <w:rFonts w:asciiTheme="minorBidi" w:hAnsiTheme="minorBidi" w:cs="Arial"/>
          <w:rtl/>
        </w:rPr>
      </w:pPr>
      <w:r w:rsidRPr="00F41D9A">
        <w:rPr>
          <w:rFonts w:asciiTheme="minorBidi" w:hAnsiTheme="minorBidi" w:cs="Arial" w:hint="cs"/>
          <w:b/>
          <w:bCs/>
          <w:rtl/>
        </w:rPr>
        <w:t xml:space="preserve">ביצה </w:t>
      </w:r>
      <w:r w:rsidRPr="00F41D9A">
        <w:rPr>
          <w:rFonts w:asciiTheme="minorBidi" w:hAnsiTheme="minorBidi" w:cs="Arial" w:hint="cs"/>
          <w:b/>
          <w:bCs/>
          <w:sz w:val="16"/>
          <w:szCs w:val="16"/>
          <w:rtl/>
        </w:rPr>
        <w:t>(פ' המביא כדי יין)</w:t>
      </w:r>
      <w:r w:rsidRPr="00F41D9A">
        <w:rPr>
          <w:rFonts w:asciiTheme="minorBidi" w:hAnsiTheme="minorBidi" w:cs="Arial" w:hint="cs"/>
          <w:b/>
          <w:bCs/>
          <w:rtl/>
        </w:rPr>
        <w:t xml:space="preserve"> לד ע"א:</w:t>
      </w:r>
      <w:r>
        <w:rPr>
          <w:rFonts w:asciiTheme="minorBidi" w:hAnsiTheme="minorBidi" w:cs="Arial" w:hint="cs"/>
          <w:rtl/>
        </w:rPr>
        <w:t xml:space="preserve"> </w:t>
      </w:r>
      <w:r w:rsidRPr="00F41D9A">
        <w:rPr>
          <w:rFonts w:asciiTheme="minorBidi" w:hAnsiTheme="minorBidi" w:cs="Arial"/>
          <w:rtl/>
        </w:rPr>
        <w:t>תניא, אחד מביא את האור, ואחד מביא את העצים, ואחד שופת את הקדרה, ואחד מביא את המים, ואחד נותן בתוכו תבלין, ואחד מגיס - כולן חייבין.</w:t>
      </w:r>
    </w:p>
    <w:p w14:paraId="1048AD8C" w14:textId="3DE0B60E" w:rsidR="00E136AC" w:rsidRDefault="00E136AC" w:rsidP="00434A6A">
      <w:pPr>
        <w:rPr>
          <w:rFonts w:asciiTheme="minorBidi" w:hAnsiTheme="minorBidi"/>
          <w:rtl/>
        </w:rPr>
      </w:pPr>
      <w:r w:rsidRPr="005275DF">
        <w:rPr>
          <w:rFonts w:asciiTheme="minorBidi" w:hAnsiTheme="minorBidi"/>
          <w:b/>
          <w:bCs/>
          <w:rtl/>
        </w:rPr>
        <w:t xml:space="preserve">שבת </w:t>
      </w:r>
      <w:r>
        <w:rPr>
          <w:rFonts w:asciiTheme="minorBidi" w:hAnsiTheme="minorBidi" w:hint="cs"/>
          <w:b/>
          <w:bCs/>
          <w:sz w:val="16"/>
          <w:szCs w:val="16"/>
          <w:rtl/>
        </w:rPr>
        <w:t xml:space="preserve">(פ"ק) </w:t>
      </w:r>
      <w:r w:rsidR="003E36AC">
        <w:rPr>
          <w:rFonts w:asciiTheme="minorBidi" w:hAnsiTheme="minorBidi" w:hint="cs"/>
          <w:b/>
          <w:bCs/>
          <w:rtl/>
        </w:rPr>
        <w:t>יח</w:t>
      </w:r>
      <w:r w:rsidRPr="005275DF">
        <w:rPr>
          <w:rFonts w:asciiTheme="minorBidi" w:hAnsiTheme="minorBidi"/>
          <w:b/>
          <w:bCs/>
          <w:rtl/>
        </w:rPr>
        <w:t xml:space="preserve"> ע"</w:t>
      </w:r>
      <w:r w:rsidR="003E36AC">
        <w:rPr>
          <w:rFonts w:asciiTheme="minorBidi" w:hAnsiTheme="minorBidi" w:hint="cs"/>
          <w:b/>
          <w:bCs/>
          <w:rtl/>
        </w:rPr>
        <w:t>ב</w:t>
      </w:r>
      <w:r w:rsidRPr="005275DF">
        <w:rPr>
          <w:rFonts w:asciiTheme="minorBidi" w:hAnsiTheme="minorBidi"/>
          <w:b/>
          <w:bCs/>
          <w:rtl/>
        </w:rPr>
        <w:t>:</w:t>
      </w:r>
      <w:r>
        <w:rPr>
          <w:rFonts w:asciiTheme="minorBidi" w:hAnsiTheme="minorBidi" w:cs="Arial" w:hint="cs"/>
          <w:rtl/>
        </w:rPr>
        <w:t xml:space="preserve"> </w:t>
      </w:r>
      <w:r w:rsidRPr="00E136AC">
        <w:rPr>
          <w:rFonts w:asciiTheme="minorBidi" w:hAnsiTheme="minorBidi" w:cs="Arial"/>
          <w:rtl/>
        </w:rPr>
        <w:t>מאן תנא להא, דתנו רבנן: לא תמלא אשה קדרה עססיות ותורמסין</w:t>
      </w:r>
      <w:r>
        <w:rPr>
          <w:rStyle w:val="a9"/>
          <w:rFonts w:asciiTheme="minorBidi" w:hAnsiTheme="minorBidi" w:cs="Arial"/>
          <w:rtl/>
        </w:rPr>
        <w:footnoteReference w:id="2701"/>
      </w:r>
      <w:r w:rsidRPr="00E136AC">
        <w:rPr>
          <w:rFonts w:asciiTheme="minorBidi" w:hAnsiTheme="minorBidi" w:cs="Arial"/>
          <w:rtl/>
        </w:rPr>
        <w:t xml:space="preserve"> ותניח לתוך התנור ערב שבת עם חשכה.</w:t>
      </w:r>
      <w:r>
        <w:rPr>
          <w:rFonts w:asciiTheme="minorBidi" w:hAnsiTheme="minorBidi" w:cs="Arial" w:hint="cs"/>
          <w:rtl/>
        </w:rPr>
        <w:t>.</w:t>
      </w:r>
      <w:r w:rsidRPr="00E136AC">
        <w:rPr>
          <w:rFonts w:asciiTheme="minorBidi" w:hAnsiTheme="minorBidi" w:cs="Arial"/>
          <w:rtl/>
        </w:rPr>
        <w:t>. לימא בית שמאי היא ולא בית הלל! אפילו תימא בית הלל, גזירה שמא יחתה בגחלים</w:t>
      </w:r>
      <w:r>
        <w:rPr>
          <w:rStyle w:val="a9"/>
          <w:rFonts w:asciiTheme="minorBidi" w:hAnsiTheme="minorBidi" w:cs="Arial"/>
          <w:rtl/>
        </w:rPr>
        <w:footnoteReference w:id="2702"/>
      </w:r>
      <w:r w:rsidRPr="00E136AC">
        <w:rPr>
          <w:rFonts w:asciiTheme="minorBidi" w:hAnsiTheme="minorBidi" w:cs="Arial"/>
          <w:rtl/>
        </w:rPr>
        <w:t>. אי הכי</w:t>
      </w:r>
      <w:r>
        <w:rPr>
          <w:rFonts w:asciiTheme="minorBidi" w:hAnsiTheme="minorBidi" w:cs="Arial" w:hint="cs"/>
          <w:rtl/>
        </w:rPr>
        <w:t>...</w:t>
      </w:r>
      <w:r w:rsidRPr="00E136AC">
        <w:rPr>
          <w:rFonts w:asciiTheme="minorBidi" w:hAnsiTheme="minorBidi" w:cs="Arial"/>
          <w:rtl/>
        </w:rPr>
        <w:t xml:space="preserve"> צמר ליורה לגזור</w:t>
      </w:r>
      <w:r>
        <w:rPr>
          <w:rStyle w:val="a9"/>
          <w:rFonts w:asciiTheme="minorBidi" w:hAnsiTheme="minorBidi" w:cs="Arial"/>
          <w:rtl/>
        </w:rPr>
        <w:footnoteReference w:id="2703"/>
      </w:r>
      <w:r w:rsidRPr="00E136AC">
        <w:rPr>
          <w:rFonts w:asciiTheme="minorBidi" w:hAnsiTheme="minorBidi" w:cs="Arial"/>
          <w:rtl/>
        </w:rPr>
        <w:t xml:space="preserve">! </w:t>
      </w:r>
      <w:r w:rsidRPr="00E136AC">
        <w:rPr>
          <w:rFonts w:asciiTheme="minorBidi" w:hAnsiTheme="minorBidi" w:cs="Arial"/>
          <w:u w:val="single"/>
          <w:rtl/>
        </w:rPr>
        <w:t>אמר שמואל</w:t>
      </w:r>
      <w:r w:rsidRPr="00E136AC">
        <w:rPr>
          <w:rFonts w:asciiTheme="minorBidi" w:hAnsiTheme="minorBidi" w:cs="Arial"/>
          <w:rtl/>
        </w:rPr>
        <w:t>: ביורה עקורה</w:t>
      </w:r>
      <w:r>
        <w:rPr>
          <w:rStyle w:val="a9"/>
          <w:rFonts w:asciiTheme="minorBidi" w:hAnsiTheme="minorBidi" w:cs="Arial"/>
          <w:rtl/>
        </w:rPr>
        <w:footnoteReference w:id="2704"/>
      </w:r>
      <w:r w:rsidRPr="00E136AC">
        <w:rPr>
          <w:rFonts w:asciiTheme="minorBidi" w:hAnsiTheme="minorBidi" w:cs="Arial"/>
          <w:rtl/>
        </w:rPr>
        <w:t>. וניחוש שמא מגיס</w:t>
      </w:r>
      <w:r>
        <w:rPr>
          <w:rStyle w:val="a9"/>
          <w:rFonts w:asciiTheme="minorBidi" w:hAnsiTheme="minorBidi" w:cs="Arial"/>
          <w:rtl/>
        </w:rPr>
        <w:footnoteReference w:id="2705"/>
      </w:r>
      <w:r w:rsidRPr="00E136AC">
        <w:rPr>
          <w:rFonts w:asciiTheme="minorBidi" w:hAnsiTheme="minorBidi" w:cs="Arial"/>
          <w:rtl/>
        </w:rPr>
        <w:t xml:space="preserve"> בה! בעקורה וטוחה</w:t>
      </w:r>
      <w:r>
        <w:rPr>
          <w:rStyle w:val="a9"/>
          <w:rFonts w:asciiTheme="minorBidi" w:hAnsiTheme="minorBidi" w:cs="Arial"/>
          <w:rtl/>
        </w:rPr>
        <w:footnoteReference w:id="2706"/>
      </w:r>
      <w:r w:rsidRPr="00E136AC">
        <w:rPr>
          <w:rFonts w:asciiTheme="minorBidi" w:hAnsiTheme="minorBidi" w:cs="Arial"/>
          <w:rtl/>
        </w:rPr>
        <w:t>.</w:t>
      </w:r>
    </w:p>
    <w:p w14:paraId="2B7B3C0E" w14:textId="0E9D1845" w:rsidR="00434EE4" w:rsidRPr="00434EE4" w:rsidRDefault="004327A2" w:rsidP="00434A6A">
      <w:pPr>
        <w:rPr>
          <w:rFonts w:asciiTheme="minorBidi" w:hAnsiTheme="minorBidi"/>
          <w:u w:val="single"/>
          <w:rtl/>
        </w:rPr>
      </w:pPr>
      <w:r>
        <w:rPr>
          <w:rFonts w:asciiTheme="minorBidi" w:hAnsiTheme="minorBidi" w:hint="cs"/>
          <w:u w:val="single"/>
          <w:rtl/>
        </w:rPr>
        <w:t>בישול אחר בישול</w:t>
      </w:r>
      <w:r w:rsidR="00434EE4" w:rsidRPr="00434EE4">
        <w:rPr>
          <w:rFonts w:asciiTheme="minorBidi" w:hAnsiTheme="minorBidi" w:hint="cs"/>
          <w:u w:val="single"/>
          <w:rtl/>
        </w:rPr>
        <w:t>:</w:t>
      </w:r>
    </w:p>
    <w:p w14:paraId="59D20C66" w14:textId="14050627" w:rsidR="00050440" w:rsidRPr="00050440" w:rsidRDefault="00E93EAC" w:rsidP="00434A6A">
      <w:pPr>
        <w:pStyle w:val="aa"/>
        <w:numPr>
          <w:ilvl w:val="0"/>
          <w:numId w:val="32"/>
        </w:numPr>
        <w:rPr>
          <w:rFonts w:asciiTheme="minorBidi" w:hAnsiTheme="minorBidi"/>
        </w:rPr>
      </w:pPr>
      <w:r>
        <w:rPr>
          <w:rFonts w:asciiTheme="minorBidi" w:hAnsiTheme="minorBidi" w:cs="Arial" w:hint="cs"/>
          <w:rtl/>
        </w:rPr>
        <w:t xml:space="preserve">רש"י </w:t>
      </w:r>
      <w:r>
        <w:rPr>
          <w:rFonts w:asciiTheme="minorBidi" w:hAnsiTheme="minorBidi" w:cs="Arial" w:hint="cs"/>
          <w:sz w:val="16"/>
          <w:szCs w:val="16"/>
          <w:rtl/>
        </w:rPr>
        <w:t xml:space="preserve">(שבת יח: ד"ה מגיס, לד. ד"ה משחשיכה) </w:t>
      </w:r>
      <w:r w:rsidR="008F1E22">
        <w:rPr>
          <w:rFonts w:asciiTheme="minorBidi" w:hAnsiTheme="minorBidi" w:cs="Arial" w:hint="cs"/>
          <w:rtl/>
        </w:rPr>
        <w:t>תוס'</w:t>
      </w:r>
      <w:r w:rsidR="008F1E22">
        <w:rPr>
          <w:rStyle w:val="a9"/>
          <w:rFonts w:asciiTheme="minorBidi" w:hAnsiTheme="minorBidi" w:cs="Arial"/>
          <w:rtl/>
        </w:rPr>
        <w:footnoteReference w:id="2707"/>
      </w:r>
      <w:r w:rsidR="008F1E22">
        <w:rPr>
          <w:rFonts w:asciiTheme="minorBidi" w:hAnsiTheme="minorBidi" w:cs="Arial" w:hint="cs"/>
          <w:rtl/>
        </w:rPr>
        <w:t xml:space="preserve"> </w:t>
      </w:r>
      <w:r w:rsidR="006A1D13">
        <w:rPr>
          <w:rFonts w:asciiTheme="minorBidi" w:hAnsiTheme="minorBidi" w:cs="Arial" w:hint="cs"/>
          <w:rtl/>
        </w:rPr>
        <w:t>סמ"ק</w:t>
      </w:r>
      <w:r w:rsidR="006A1D13">
        <w:rPr>
          <w:rStyle w:val="a9"/>
          <w:rFonts w:asciiTheme="minorBidi" w:hAnsiTheme="minorBidi" w:cs="Arial"/>
          <w:rtl/>
        </w:rPr>
        <w:footnoteReference w:id="2708"/>
      </w:r>
      <w:r w:rsidR="006A1D13">
        <w:rPr>
          <w:rFonts w:asciiTheme="minorBidi" w:hAnsiTheme="minorBidi" w:cs="Arial" w:hint="cs"/>
          <w:rtl/>
        </w:rPr>
        <w:t xml:space="preserve"> </w:t>
      </w:r>
      <w:r w:rsidR="006A1D13" w:rsidRPr="006A1D13">
        <w:rPr>
          <w:rFonts w:asciiTheme="minorBidi" w:hAnsiTheme="minorBidi" w:cs="Arial"/>
          <w:sz w:val="16"/>
          <w:szCs w:val="16"/>
          <w:rtl/>
        </w:rPr>
        <w:t>(סי' רפב)</w:t>
      </w:r>
      <w:r w:rsidR="006A1D13">
        <w:rPr>
          <w:rFonts w:asciiTheme="minorBidi" w:hAnsiTheme="minorBidi" w:cs="Arial" w:hint="cs"/>
          <w:rtl/>
        </w:rPr>
        <w:t xml:space="preserve"> </w:t>
      </w:r>
      <w:r>
        <w:rPr>
          <w:rFonts w:asciiTheme="minorBidi" w:hAnsiTheme="minorBidi" w:cs="Arial" w:hint="cs"/>
          <w:rtl/>
        </w:rPr>
        <w:t>רא"ש</w:t>
      </w:r>
      <w:r>
        <w:rPr>
          <w:rStyle w:val="a9"/>
          <w:rFonts w:asciiTheme="minorBidi" w:hAnsiTheme="minorBidi" w:cs="Arial"/>
          <w:rtl/>
        </w:rPr>
        <w:footnoteReference w:id="2709"/>
      </w:r>
      <w:r>
        <w:rPr>
          <w:rFonts w:asciiTheme="minorBidi" w:hAnsiTheme="minorBidi" w:cs="Arial" w:hint="cs"/>
          <w:rtl/>
        </w:rPr>
        <w:t xml:space="preserve"> </w:t>
      </w:r>
      <w:r>
        <w:rPr>
          <w:rFonts w:asciiTheme="minorBidi" w:hAnsiTheme="minorBidi" w:cs="Arial" w:hint="cs"/>
          <w:sz w:val="16"/>
          <w:szCs w:val="16"/>
          <w:rtl/>
        </w:rPr>
        <w:t>(פ"ג ס"י-יא)</w:t>
      </w:r>
      <w:r>
        <w:rPr>
          <w:rFonts w:asciiTheme="minorBidi" w:hAnsiTheme="minorBidi" w:cs="Arial" w:hint="cs"/>
          <w:rtl/>
        </w:rPr>
        <w:t xml:space="preserve"> וטור</w:t>
      </w:r>
      <w:r>
        <w:rPr>
          <w:rStyle w:val="a9"/>
          <w:rFonts w:asciiTheme="minorBidi" w:hAnsiTheme="minorBidi" w:cs="Arial"/>
          <w:rtl/>
        </w:rPr>
        <w:footnoteReference w:id="2710"/>
      </w:r>
      <w:r>
        <w:rPr>
          <w:rFonts w:asciiTheme="minorBidi" w:hAnsiTheme="minorBidi" w:cs="Arial" w:hint="cs"/>
          <w:rtl/>
        </w:rPr>
        <w:t xml:space="preserve">- </w:t>
      </w:r>
      <w:r w:rsidRPr="00203C12">
        <w:rPr>
          <w:rFonts w:asciiTheme="minorBidi" w:hAnsiTheme="minorBidi" w:cs="Arial"/>
          <w:rtl/>
        </w:rPr>
        <w:t>בתבשיל שנתבשל ונצטנן שייך ביה בישול כיון שיש בו משקה</w:t>
      </w:r>
      <w:r w:rsidR="006A1D13">
        <w:rPr>
          <w:rStyle w:val="a9"/>
          <w:rFonts w:asciiTheme="minorBidi" w:hAnsiTheme="minorBidi" w:cs="Arial"/>
          <w:rtl/>
        </w:rPr>
        <w:footnoteReference w:id="2711"/>
      </w:r>
      <w:r w:rsidR="006A1D13">
        <w:rPr>
          <w:rFonts w:asciiTheme="minorBidi" w:hAnsiTheme="minorBidi" w:cs="Arial" w:hint="cs"/>
          <w:rtl/>
        </w:rPr>
        <w:t>.</w:t>
      </w:r>
      <w:r w:rsidRPr="00203C12">
        <w:rPr>
          <w:rFonts w:asciiTheme="minorBidi" w:hAnsiTheme="minorBidi" w:cs="Arial"/>
          <w:rtl/>
        </w:rPr>
        <w:t xml:space="preserve"> והא דאמרינן כל שבא בחמין לפני השבת שורין אותו בחמין בשבת</w:t>
      </w:r>
      <w:r>
        <w:rPr>
          <w:rFonts w:asciiTheme="minorBidi" w:hAnsiTheme="minorBidi" w:cs="Arial" w:hint="cs"/>
          <w:rtl/>
        </w:rPr>
        <w:t xml:space="preserve"> -</w:t>
      </w:r>
      <w:r w:rsidRPr="00203C12">
        <w:rPr>
          <w:rFonts w:asciiTheme="minorBidi" w:hAnsiTheme="minorBidi" w:cs="Arial"/>
          <w:rtl/>
        </w:rPr>
        <w:t xml:space="preserve"> היינו דבר יבש</w:t>
      </w:r>
      <w:r>
        <w:rPr>
          <w:rFonts w:asciiTheme="minorBidi" w:hAnsiTheme="minorBidi" w:cs="Arial" w:hint="cs"/>
          <w:rtl/>
        </w:rPr>
        <w:t>,</w:t>
      </w:r>
      <w:r w:rsidRPr="00203C12">
        <w:rPr>
          <w:rFonts w:asciiTheme="minorBidi" w:hAnsiTheme="minorBidi" w:cs="Arial"/>
          <w:rtl/>
        </w:rPr>
        <w:t xml:space="preserve"> כגון תרנגולתא דרבי אבא לקמן בפרק חבית (קמה</w:t>
      </w:r>
      <w:r w:rsidRPr="00203C12">
        <w:rPr>
          <w:rFonts w:asciiTheme="minorBidi" w:hAnsiTheme="minorBidi" w:cs="Arial" w:hint="cs"/>
          <w:rtl/>
        </w:rPr>
        <w:t>:</w:t>
      </w:r>
      <w:r w:rsidRPr="00203C12">
        <w:rPr>
          <w:rFonts w:asciiTheme="minorBidi" w:hAnsiTheme="minorBidi" w:cs="Arial"/>
          <w:rtl/>
        </w:rPr>
        <w:t>)</w:t>
      </w:r>
      <w:r>
        <w:rPr>
          <w:rFonts w:asciiTheme="minorBidi" w:hAnsiTheme="minorBidi" w:cs="Arial" w:hint="cs"/>
          <w:sz w:val="16"/>
          <w:szCs w:val="16"/>
          <w:rtl/>
        </w:rPr>
        <w:t xml:space="preserve"> (ל' הרא"ש)</w:t>
      </w:r>
      <w:r w:rsidRPr="00203C12">
        <w:rPr>
          <w:rFonts w:asciiTheme="minorBidi" w:hAnsiTheme="minorBidi" w:cs="Arial" w:hint="cs"/>
          <w:rtl/>
        </w:rPr>
        <w:t>.</w:t>
      </w:r>
      <w:r w:rsidR="00153DB1">
        <w:rPr>
          <w:rFonts w:asciiTheme="minorBidi" w:hAnsiTheme="minorBidi" w:hint="cs"/>
          <w:rtl/>
        </w:rPr>
        <w:t xml:space="preserve"> </w:t>
      </w:r>
      <w:r w:rsidR="00153DB1" w:rsidRPr="00153DB1">
        <w:rPr>
          <w:rFonts w:asciiTheme="minorBidi" w:hAnsiTheme="minorBidi" w:hint="cs"/>
          <w:color w:val="E36C0A" w:themeColor="accent6" w:themeShade="BF"/>
          <w:rtl/>
        </w:rPr>
        <w:t>(וכ"פ בשו"ע)</w:t>
      </w:r>
    </w:p>
    <w:p w14:paraId="32F8262F" w14:textId="6EEA587B" w:rsidR="00050440" w:rsidRPr="00050440" w:rsidRDefault="00050440" w:rsidP="00434A6A">
      <w:pPr>
        <w:pStyle w:val="aa"/>
        <w:numPr>
          <w:ilvl w:val="0"/>
          <w:numId w:val="32"/>
        </w:numPr>
        <w:rPr>
          <w:rFonts w:asciiTheme="minorBidi" w:hAnsiTheme="minorBidi"/>
        </w:rPr>
      </w:pPr>
      <w:r>
        <w:rPr>
          <w:rFonts w:asciiTheme="minorBidi" w:hAnsiTheme="minorBidi" w:cs="Arial" w:hint="cs"/>
          <w:rtl/>
        </w:rPr>
        <w:t xml:space="preserve">ה"ר יונה </w:t>
      </w:r>
      <w:r>
        <w:rPr>
          <w:rFonts w:asciiTheme="minorBidi" w:hAnsiTheme="minorBidi" w:cs="Arial" w:hint="cs"/>
          <w:sz w:val="16"/>
          <w:szCs w:val="16"/>
          <w:rtl/>
        </w:rPr>
        <w:t xml:space="preserve">(כ"כ </w:t>
      </w:r>
      <w:r w:rsidR="00925DB8">
        <w:rPr>
          <w:rFonts w:asciiTheme="minorBidi" w:hAnsiTheme="minorBidi" w:cs="Arial" w:hint="cs"/>
          <w:sz w:val="16"/>
          <w:szCs w:val="16"/>
          <w:rtl/>
        </w:rPr>
        <w:t xml:space="preserve">בשמו </w:t>
      </w:r>
      <w:r>
        <w:rPr>
          <w:rFonts w:asciiTheme="minorBidi" w:hAnsiTheme="minorBidi" w:cs="Arial" w:hint="cs"/>
          <w:sz w:val="16"/>
          <w:szCs w:val="16"/>
          <w:rtl/>
        </w:rPr>
        <w:t>רי"ו</w:t>
      </w:r>
      <w:r w:rsidR="00925DB8" w:rsidRPr="00925DB8">
        <w:rPr>
          <w:rStyle w:val="a9"/>
          <w:rFonts w:asciiTheme="minorBidi" w:hAnsiTheme="minorBidi" w:cs="Arial"/>
          <w:sz w:val="16"/>
          <w:szCs w:val="16"/>
          <w:rtl/>
        </w:rPr>
        <w:footnoteReference w:id="2712"/>
      </w:r>
      <w:r>
        <w:rPr>
          <w:rFonts w:asciiTheme="minorBidi" w:hAnsiTheme="minorBidi" w:cs="Arial" w:hint="cs"/>
          <w:sz w:val="16"/>
          <w:szCs w:val="16"/>
          <w:rtl/>
        </w:rPr>
        <w:t xml:space="preserve"> [</w:t>
      </w:r>
      <w:r w:rsidRPr="00050440">
        <w:rPr>
          <w:rFonts w:asciiTheme="minorBidi" w:hAnsiTheme="minorBidi" w:cs="Arial" w:hint="cs"/>
          <w:sz w:val="16"/>
          <w:szCs w:val="16"/>
          <w:rtl/>
        </w:rPr>
        <w:t>ח"ג נ</w:t>
      </w:r>
      <w:r w:rsidRPr="00050440">
        <w:rPr>
          <w:rFonts w:asciiTheme="minorBidi" w:hAnsiTheme="minorBidi" w:cs="Arial"/>
          <w:sz w:val="16"/>
          <w:szCs w:val="16"/>
          <w:rtl/>
        </w:rPr>
        <w:t>י</w:t>
      </w:r>
      <w:r w:rsidRPr="00050440">
        <w:rPr>
          <w:rFonts w:asciiTheme="minorBidi" w:hAnsiTheme="minorBidi" w:cs="Arial" w:hint="cs"/>
          <w:sz w:val="16"/>
          <w:szCs w:val="16"/>
          <w:rtl/>
        </w:rPr>
        <w:t>"</w:t>
      </w:r>
      <w:r w:rsidRPr="00050440">
        <w:rPr>
          <w:rFonts w:asciiTheme="minorBidi" w:hAnsiTheme="minorBidi" w:cs="Arial"/>
          <w:sz w:val="16"/>
          <w:szCs w:val="16"/>
          <w:rtl/>
        </w:rPr>
        <w:t xml:space="preserve">ב </w:t>
      </w:r>
      <w:r>
        <w:rPr>
          <w:rFonts w:asciiTheme="minorBidi" w:hAnsiTheme="minorBidi" w:cs="Arial" w:hint="cs"/>
          <w:sz w:val="16"/>
          <w:szCs w:val="16"/>
          <w:rtl/>
        </w:rPr>
        <w:t>סט ע"א]</w:t>
      </w:r>
      <w:r w:rsidR="00925DB8">
        <w:rPr>
          <w:rFonts w:asciiTheme="minorBidi" w:hAnsiTheme="minorBidi" w:cs="Arial" w:hint="cs"/>
          <w:sz w:val="16"/>
          <w:szCs w:val="16"/>
          <w:rtl/>
        </w:rPr>
        <w:t xml:space="preserve"> והר"ן</w:t>
      </w:r>
      <w:r w:rsidR="00925DB8">
        <w:rPr>
          <w:rStyle w:val="a9"/>
          <w:rFonts w:asciiTheme="minorBidi" w:hAnsiTheme="minorBidi" w:cs="Arial"/>
          <w:sz w:val="16"/>
          <w:szCs w:val="16"/>
          <w:rtl/>
        </w:rPr>
        <w:footnoteReference w:id="2713"/>
      </w:r>
      <w:r w:rsidR="00925DB8">
        <w:rPr>
          <w:rFonts w:asciiTheme="minorBidi" w:hAnsiTheme="minorBidi" w:cs="Arial" w:hint="cs"/>
          <w:sz w:val="16"/>
          <w:szCs w:val="16"/>
          <w:rtl/>
        </w:rPr>
        <w:t xml:space="preserve"> [כב. מדפה"ר]</w:t>
      </w:r>
      <w:r>
        <w:rPr>
          <w:rFonts w:asciiTheme="minorBidi" w:hAnsiTheme="minorBidi" w:cs="Arial" w:hint="cs"/>
          <w:sz w:val="16"/>
          <w:szCs w:val="16"/>
          <w:rtl/>
        </w:rPr>
        <w:t>)</w:t>
      </w:r>
      <w:r>
        <w:rPr>
          <w:rFonts w:asciiTheme="minorBidi" w:hAnsiTheme="minorBidi" w:cs="Arial" w:hint="cs"/>
          <w:rtl/>
        </w:rPr>
        <w:t xml:space="preserve"> ורי"ו</w:t>
      </w:r>
      <w:r w:rsidRPr="00DD3262">
        <w:rPr>
          <w:rFonts w:asciiTheme="minorBidi" w:hAnsiTheme="minorBidi" w:cs="Arial"/>
          <w:rtl/>
        </w:rPr>
        <w:t xml:space="preserve"> </w:t>
      </w:r>
      <w:r w:rsidRPr="00050440">
        <w:rPr>
          <w:rFonts w:asciiTheme="minorBidi" w:hAnsiTheme="minorBidi" w:cs="Arial" w:hint="cs"/>
          <w:sz w:val="16"/>
          <w:szCs w:val="16"/>
          <w:rtl/>
        </w:rPr>
        <w:t>(ח"ג נ</w:t>
      </w:r>
      <w:r w:rsidRPr="00050440">
        <w:rPr>
          <w:rFonts w:asciiTheme="minorBidi" w:hAnsiTheme="minorBidi" w:cs="Arial"/>
          <w:sz w:val="16"/>
          <w:szCs w:val="16"/>
          <w:rtl/>
        </w:rPr>
        <w:t>י</w:t>
      </w:r>
      <w:r w:rsidRPr="00050440">
        <w:rPr>
          <w:rFonts w:asciiTheme="minorBidi" w:hAnsiTheme="minorBidi" w:cs="Arial" w:hint="cs"/>
          <w:sz w:val="16"/>
          <w:szCs w:val="16"/>
          <w:rtl/>
        </w:rPr>
        <w:t>"</w:t>
      </w:r>
      <w:r w:rsidRPr="00050440">
        <w:rPr>
          <w:rFonts w:asciiTheme="minorBidi" w:hAnsiTheme="minorBidi" w:cs="Arial"/>
          <w:sz w:val="16"/>
          <w:szCs w:val="16"/>
          <w:rtl/>
        </w:rPr>
        <w:t>ב סט ע"ג)</w:t>
      </w:r>
      <w:r>
        <w:rPr>
          <w:rFonts w:asciiTheme="minorBidi" w:hAnsiTheme="minorBidi" w:cs="Arial" w:hint="cs"/>
          <w:rtl/>
        </w:rPr>
        <w:t xml:space="preserve">- </w:t>
      </w:r>
      <w:r w:rsidRPr="00DD3262">
        <w:rPr>
          <w:rFonts w:asciiTheme="minorBidi" w:hAnsiTheme="minorBidi" w:cs="Arial"/>
          <w:rtl/>
        </w:rPr>
        <w:t>כל דבר שנצטנן</w:t>
      </w:r>
      <w:r>
        <w:rPr>
          <w:rFonts w:asciiTheme="minorBidi" w:hAnsiTheme="minorBidi" w:cs="Arial" w:hint="cs"/>
          <w:rtl/>
        </w:rPr>
        <w:t>,</w:t>
      </w:r>
      <w:r w:rsidRPr="00DD3262">
        <w:rPr>
          <w:rFonts w:asciiTheme="minorBidi" w:hAnsiTheme="minorBidi" w:cs="Arial"/>
          <w:rtl/>
        </w:rPr>
        <w:t xml:space="preserve"> אפילו מבושל כל צרכו</w:t>
      </w:r>
      <w:r>
        <w:rPr>
          <w:rFonts w:asciiTheme="minorBidi" w:hAnsiTheme="minorBidi" w:cs="Arial" w:hint="cs"/>
          <w:rtl/>
        </w:rPr>
        <w:t>,</w:t>
      </w:r>
      <w:r w:rsidRPr="00DD3262">
        <w:rPr>
          <w:rFonts w:asciiTheme="minorBidi" w:hAnsiTheme="minorBidi" w:cs="Arial"/>
          <w:rtl/>
        </w:rPr>
        <w:t xml:space="preserve"> ויש בו רוטב</w:t>
      </w:r>
      <w:r>
        <w:rPr>
          <w:rFonts w:asciiTheme="minorBidi" w:hAnsiTheme="minorBidi" w:cs="Arial" w:hint="cs"/>
          <w:rtl/>
        </w:rPr>
        <w:t>,</w:t>
      </w:r>
      <w:r w:rsidRPr="00DD3262">
        <w:rPr>
          <w:rFonts w:asciiTheme="minorBidi" w:hAnsiTheme="minorBidi" w:cs="Arial"/>
          <w:rtl/>
        </w:rPr>
        <w:t xml:space="preserve"> ומצטמק ויפה לו</w:t>
      </w:r>
      <w:r>
        <w:rPr>
          <w:rStyle w:val="a9"/>
          <w:rFonts w:asciiTheme="minorBidi" w:hAnsiTheme="minorBidi" w:cs="Arial"/>
          <w:rtl/>
        </w:rPr>
        <w:footnoteReference w:id="2714"/>
      </w:r>
      <w:r w:rsidRPr="00DD3262">
        <w:rPr>
          <w:rFonts w:asciiTheme="minorBidi" w:hAnsiTheme="minorBidi" w:cs="Arial"/>
          <w:rtl/>
        </w:rPr>
        <w:t xml:space="preserve"> </w:t>
      </w:r>
      <w:r>
        <w:rPr>
          <w:rFonts w:asciiTheme="minorBidi" w:hAnsiTheme="minorBidi" w:cs="Arial" w:hint="cs"/>
          <w:rtl/>
        </w:rPr>
        <w:t xml:space="preserve">- </w:t>
      </w:r>
      <w:r w:rsidRPr="00DD3262">
        <w:rPr>
          <w:rFonts w:asciiTheme="minorBidi" w:hAnsiTheme="minorBidi" w:cs="Arial"/>
          <w:rtl/>
        </w:rPr>
        <w:t>יש בו משום בישול</w:t>
      </w:r>
      <w:r>
        <w:rPr>
          <w:rFonts w:asciiTheme="minorBidi" w:hAnsiTheme="minorBidi" w:cs="Arial" w:hint="cs"/>
          <w:rtl/>
        </w:rPr>
        <w:t>.</w:t>
      </w:r>
      <w:r w:rsidRPr="00DD3262">
        <w:rPr>
          <w:rFonts w:asciiTheme="minorBidi" w:hAnsiTheme="minorBidi" w:cs="Arial"/>
          <w:rtl/>
        </w:rPr>
        <w:t xml:space="preserve"> ולפיכך אין מניחין אותו כל כך סמוך למדורה במקום שהיד סולדת בו</w:t>
      </w:r>
      <w:r>
        <w:rPr>
          <w:rFonts w:asciiTheme="minorBidi" w:hAnsiTheme="minorBidi" w:cs="Arial" w:hint="cs"/>
          <w:rtl/>
        </w:rPr>
        <w:t>,</w:t>
      </w:r>
      <w:r w:rsidRPr="00DD3262">
        <w:rPr>
          <w:rFonts w:asciiTheme="minorBidi" w:hAnsiTheme="minorBidi" w:cs="Arial"/>
          <w:rtl/>
        </w:rPr>
        <w:t xml:space="preserve"> אלא ברחוק שלא תהא היד סולדת בו</w:t>
      </w:r>
      <w:r>
        <w:rPr>
          <w:rFonts w:asciiTheme="minorBidi" w:hAnsiTheme="minorBidi" w:cs="Arial" w:hint="cs"/>
          <w:sz w:val="16"/>
          <w:szCs w:val="16"/>
          <w:rtl/>
        </w:rPr>
        <w:t xml:space="preserve"> (ל' רי"ו)</w:t>
      </w:r>
      <w:r w:rsidRPr="00DD3262">
        <w:rPr>
          <w:rFonts w:asciiTheme="minorBidi" w:hAnsiTheme="minorBidi" w:cs="Arial"/>
          <w:rtl/>
        </w:rPr>
        <w:t>.</w:t>
      </w:r>
      <w:r w:rsidRPr="00153DB1">
        <w:rPr>
          <w:rFonts w:asciiTheme="minorBidi" w:hAnsiTheme="minorBidi" w:cs="Arial"/>
          <w:color w:val="00B0F0"/>
          <w:rtl/>
        </w:rPr>
        <w:t xml:space="preserve"> </w:t>
      </w:r>
      <w:r w:rsidR="00153DB1" w:rsidRPr="00153DB1">
        <w:rPr>
          <w:rFonts w:asciiTheme="minorBidi" w:hAnsiTheme="minorBidi" w:hint="cs"/>
          <w:color w:val="00B0F0"/>
          <w:rtl/>
        </w:rPr>
        <w:t>(וכ"כ הרמ"א)</w:t>
      </w:r>
      <w:r w:rsidR="005C30CA" w:rsidRPr="00153DB1">
        <w:rPr>
          <w:rFonts w:asciiTheme="minorBidi" w:hAnsiTheme="minorBidi" w:hint="cs"/>
          <w:color w:val="E36C0A" w:themeColor="accent6" w:themeShade="BF"/>
          <w:rtl/>
        </w:rPr>
        <w:t>(וכ"פ בשו"ע</w:t>
      </w:r>
      <w:r w:rsidR="005C30CA">
        <w:rPr>
          <w:rFonts w:asciiTheme="minorBidi" w:hAnsiTheme="minorBidi" w:hint="cs"/>
          <w:color w:val="E36C0A" w:themeColor="accent6" w:themeShade="BF"/>
          <w:sz w:val="16"/>
          <w:szCs w:val="16"/>
          <w:rtl/>
        </w:rPr>
        <w:t xml:space="preserve"> </w:t>
      </w:r>
      <w:r w:rsidR="005C30CA" w:rsidRPr="005C30CA">
        <w:rPr>
          <w:rFonts w:asciiTheme="minorBidi" w:hAnsiTheme="minorBidi" w:hint="cs"/>
          <w:color w:val="000000" w:themeColor="text1"/>
          <w:sz w:val="16"/>
          <w:szCs w:val="16"/>
          <w:rtl/>
        </w:rPr>
        <w:t>[</w:t>
      </w:r>
      <w:r w:rsidR="005C30CA">
        <w:rPr>
          <w:rFonts w:asciiTheme="minorBidi" w:hAnsiTheme="minorBidi" w:hint="cs"/>
          <w:color w:val="000000" w:themeColor="text1"/>
          <w:sz w:val="16"/>
          <w:szCs w:val="16"/>
          <w:rtl/>
        </w:rPr>
        <w:t>בסע' ח</w:t>
      </w:r>
      <w:r w:rsidR="005C30CA" w:rsidRPr="005C30CA">
        <w:rPr>
          <w:rFonts w:asciiTheme="minorBidi" w:hAnsiTheme="minorBidi" w:hint="cs"/>
          <w:color w:val="000000" w:themeColor="text1"/>
          <w:sz w:val="16"/>
          <w:szCs w:val="16"/>
          <w:rtl/>
        </w:rPr>
        <w:t>]</w:t>
      </w:r>
      <w:r w:rsidR="005C30CA" w:rsidRPr="00153DB1">
        <w:rPr>
          <w:rFonts w:asciiTheme="minorBidi" w:hAnsiTheme="minorBidi" w:hint="cs"/>
          <w:color w:val="E36C0A" w:themeColor="accent6" w:themeShade="BF"/>
          <w:rtl/>
        </w:rPr>
        <w:t>)</w:t>
      </w:r>
      <w:r w:rsidR="005E5C7D">
        <w:rPr>
          <w:rFonts w:asciiTheme="minorBidi" w:hAnsiTheme="minorBidi" w:hint="cs"/>
          <w:rtl/>
        </w:rPr>
        <w:t>(וכ"פ הט"ז</w:t>
      </w:r>
      <w:r w:rsidR="005E5C7D">
        <w:rPr>
          <w:rFonts w:asciiTheme="minorBidi" w:hAnsiTheme="minorBidi" w:hint="cs"/>
          <w:sz w:val="16"/>
          <w:szCs w:val="16"/>
          <w:rtl/>
        </w:rPr>
        <w:t xml:space="preserve"> [סק"ד]</w:t>
      </w:r>
      <w:r w:rsidR="005E5C7D">
        <w:rPr>
          <w:rFonts w:asciiTheme="minorBidi" w:hAnsiTheme="minorBidi" w:hint="cs"/>
          <w:rtl/>
        </w:rPr>
        <w:t>)</w:t>
      </w:r>
    </w:p>
    <w:p w14:paraId="46218984" w14:textId="5190AC5D" w:rsidR="006C7C72" w:rsidRPr="006C7C72" w:rsidRDefault="002E27EA" w:rsidP="00434A6A">
      <w:pPr>
        <w:pStyle w:val="aa"/>
        <w:numPr>
          <w:ilvl w:val="0"/>
          <w:numId w:val="32"/>
        </w:numPr>
        <w:rPr>
          <w:rFonts w:asciiTheme="minorBidi" w:hAnsiTheme="minorBidi"/>
        </w:rPr>
      </w:pPr>
      <w:r>
        <w:rPr>
          <w:rFonts w:asciiTheme="minorBidi" w:hAnsiTheme="minorBidi" w:cs="Arial" w:hint="cs"/>
          <w:rtl/>
        </w:rPr>
        <w:t>רמב"ם</w:t>
      </w:r>
      <w:r w:rsidR="00CA64CE">
        <w:rPr>
          <w:rStyle w:val="a9"/>
          <w:rFonts w:asciiTheme="minorBidi" w:hAnsiTheme="minorBidi" w:cs="Arial"/>
          <w:rtl/>
        </w:rPr>
        <w:footnoteReference w:id="2715"/>
      </w:r>
      <w:r>
        <w:rPr>
          <w:rFonts w:asciiTheme="minorBidi" w:hAnsiTheme="minorBidi" w:cs="Arial" w:hint="cs"/>
          <w:rtl/>
        </w:rPr>
        <w:t xml:space="preserve"> </w:t>
      </w:r>
      <w:r>
        <w:rPr>
          <w:rFonts w:asciiTheme="minorBidi" w:hAnsiTheme="minorBidi" w:cs="Arial" w:hint="cs"/>
          <w:sz w:val="16"/>
          <w:szCs w:val="16"/>
          <w:rtl/>
        </w:rPr>
        <w:t>(פ"ט ה"</w:t>
      </w:r>
      <w:r w:rsidR="003801DA">
        <w:rPr>
          <w:rFonts w:asciiTheme="minorBidi" w:hAnsiTheme="minorBidi" w:cs="Arial" w:hint="cs"/>
          <w:sz w:val="16"/>
          <w:szCs w:val="16"/>
          <w:rtl/>
        </w:rPr>
        <w:t>ג</w:t>
      </w:r>
      <w:r>
        <w:rPr>
          <w:rFonts w:asciiTheme="minorBidi" w:hAnsiTheme="minorBidi" w:cs="Arial" w:hint="cs"/>
          <w:sz w:val="16"/>
          <w:szCs w:val="16"/>
          <w:rtl/>
        </w:rPr>
        <w:t>)</w:t>
      </w:r>
      <w:r w:rsidR="00CA64CE">
        <w:rPr>
          <w:rFonts w:asciiTheme="minorBidi" w:hAnsiTheme="minorBidi" w:cs="Arial" w:hint="cs"/>
          <w:rtl/>
        </w:rPr>
        <w:t xml:space="preserve"> </w:t>
      </w:r>
      <w:r w:rsidR="00CA64CE" w:rsidRPr="007B5DAF">
        <w:rPr>
          <w:rFonts w:cs="Arial"/>
          <w:rtl/>
        </w:rPr>
        <w:t>רשב"א</w:t>
      </w:r>
      <w:r w:rsidR="00E86453">
        <w:rPr>
          <w:rStyle w:val="a9"/>
          <w:rFonts w:asciiTheme="minorBidi" w:hAnsiTheme="minorBidi" w:cs="Arial"/>
          <w:rtl/>
        </w:rPr>
        <w:footnoteReference w:id="2716"/>
      </w:r>
      <w:r w:rsidR="00CA64CE" w:rsidRPr="007B5DAF">
        <w:rPr>
          <w:rFonts w:cs="Arial"/>
          <w:rtl/>
        </w:rPr>
        <w:t xml:space="preserve"> </w:t>
      </w:r>
      <w:r w:rsidR="00CA64CE" w:rsidRPr="00235DEE">
        <w:rPr>
          <w:rFonts w:asciiTheme="minorBidi" w:hAnsiTheme="minorBidi" w:cs="Arial"/>
          <w:sz w:val="16"/>
          <w:szCs w:val="16"/>
          <w:rtl/>
        </w:rPr>
        <w:t>(יח: סוד"ה צמר, לט. ד"ה גמרא)</w:t>
      </w:r>
      <w:r w:rsidR="00CA64CE">
        <w:rPr>
          <w:rFonts w:asciiTheme="minorBidi" w:hAnsiTheme="minorBidi" w:cs="Arial" w:hint="cs"/>
          <w:rtl/>
        </w:rPr>
        <w:t xml:space="preserve"> ריטב"א</w:t>
      </w:r>
      <w:r w:rsidR="00CA64CE">
        <w:rPr>
          <w:rStyle w:val="a9"/>
          <w:rFonts w:asciiTheme="minorBidi" w:hAnsiTheme="minorBidi" w:cs="Arial"/>
          <w:rtl/>
        </w:rPr>
        <w:footnoteReference w:id="2717"/>
      </w:r>
      <w:r w:rsidR="00CA64CE">
        <w:rPr>
          <w:rFonts w:asciiTheme="minorBidi" w:hAnsiTheme="minorBidi" w:cs="Arial" w:hint="cs"/>
          <w:rtl/>
        </w:rPr>
        <w:t xml:space="preserve"> </w:t>
      </w:r>
      <w:r w:rsidR="00CA64CE">
        <w:rPr>
          <w:rFonts w:asciiTheme="minorBidi" w:hAnsiTheme="minorBidi" w:cs="Arial" w:hint="cs"/>
          <w:sz w:val="16"/>
          <w:szCs w:val="16"/>
          <w:rtl/>
        </w:rPr>
        <w:t>(לט. ד"ה כל שבא)</w:t>
      </w:r>
      <w:r w:rsidR="00CA64CE" w:rsidRPr="00CA64CE">
        <w:rPr>
          <w:rFonts w:asciiTheme="minorBidi" w:hAnsiTheme="minorBidi" w:cs="Arial"/>
          <w:rtl/>
        </w:rPr>
        <w:t xml:space="preserve"> </w:t>
      </w:r>
      <w:r w:rsidR="00CA64CE">
        <w:rPr>
          <w:rFonts w:asciiTheme="minorBidi" w:hAnsiTheme="minorBidi" w:cs="Arial" w:hint="cs"/>
          <w:rtl/>
        </w:rPr>
        <w:t>ו</w:t>
      </w:r>
      <w:r w:rsidR="00CA64CE" w:rsidRPr="00DD3262">
        <w:rPr>
          <w:rFonts w:asciiTheme="minorBidi" w:hAnsiTheme="minorBidi" w:cs="Arial"/>
          <w:rtl/>
        </w:rPr>
        <w:t>ר"ן</w:t>
      </w:r>
      <w:r w:rsidR="00E86453">
        <w:rPr>
          <w:rStyle w:val="a9"/>
          <w:rFonts w:asciiTheme="minorBidi" w:hAnsiTheme="minorBidi" w:cs="Arial"/>
          <w:rtl/>
        </w:rPr>
        <w:footnoteReference w:id="2718"/>
      </w:r>
      <w:r w:rsidR="00CA64CE" w:rsidRPr="00DD3262">
        <w:rPr>
          <w:rFonts w:asciiTheme="minorBidi" w:hAnsiTheme="minorBidi" w:cs="Arial"/>
          <w:rtl/>
        </w:rPr>
        <w:t xml:space="preserve"> </w:t>
      </w:r>
      <w:r w:rsidR="00CA64CE" w:rsidRPr="00A24C36">
        <w:rPr>
          <w:rFonts w:asciiTheme="minorBidi" w:hAnsiTheme="minorBidi" w:cs="Arial"/>
          <w:sz w:val="16"/>
          <w:szCs w:val="16"/>
          <w:rtl/>
        </w:rPr>
        <w:t>(</w:t>
      </w:r>
      <w:r w:rsidR="00CA64CE" w:rsidRPr="00A24C36">
        <w:rPr>
          <w:rFonts w:asciiTheme="minorBidi" w:hAnsiTheme="minorBidi" w:cs="Arial" w:hint="cs"/>
          <w:sz w:val="16"/>
          <w:szCs w:val="16"/>
          <w:rtl/>
        </w:rPr>
        <w:t xml:space="preserve">פ' כירה </w:t>
      </w:r>
      <w:r w:rsidR="00CA64CE" w:rsidRPr="00A24C36">
        <w:rPr>
          <w:rFonts w:asciiTheme="minorBidi" w:hAnsiTheme="minorBidi" w:cs="Arial"/>
          <w:sz w:val="16"/>
          <w:szCs w:val="16"/>
          <w:rtl/>
        </w:rPr>
        <w:t>יט. ד"ה ת</w:t>
      </w:r>
      <w:r w:rsidR="00CA64CE">
        <w:rPr>
          <w:rFonts w:asciiTheme="minorBidi" w:hAnsiTheme="minorBidi" w:cs="Arial" w:hint="cs"/>
          <w:sz w:val="16"/>
          <w:szCs w:val="16"/>
          <w:rtl/>
        </w:rPr>
        <w:t>"ר</w:t>
      </w:r>
      <w:r w:rsidR="00CA64CE" w:rsidRPr="00A24C36">
        <w:rPr>
          <w:rFonts w:asciiTheme="minorBidi" w:hAnsiTheme="minorBidi" w:cs="Arial"/>
          <w:sz w:val="16"/>
          <w:szCs w:val="16"/>
          <w:rtl/>
        </w:rPr>
        <w:t>)</w:t>
      </w:r>
      <w:r>
        <w:rPr>
          <w:rFonts w:asciiTheme="minorBidi" w:hAnsiTheme="minorBidi" w:cs="Arial" w:hint="cs"/>
          <w:rtl/>
        </w:rPr>
        <w:t>-</w:t>
      </w:r>
      <w:r w:rsidR="00E86453">
        <w:rPr>
          <w:rFonts w:asciiTheme="minorBidi" w:hAnsiTheme="minorBidi" w:cs="Arial" w:hint="cs"/>
          <w:rtl/>
        </w:rPr>
        <w:t xml:space="preserve"> אין בישול אחר בישול בין בדבר יבש ובין בדבר לח</w:t>
      </w:r>
      <w:r w:rsidRPr="002E27EA">
        <w:rPr>
          <w:rFonts w:asciiTheme="minorBidi" w:hAnsiTheme="minorBidi" w:cs="Arial"/>
          <w:rtl/>
        </w:rPr>
        <w:t>.</w:t>
      </w:r>
    </w:p>
    <w:p w14:paraId="55BD2518" w14:textId="77777777" w:rsidR="00085BCA" w:rsidRPr="0073795A" w:rsidRDefault="00085BCA" w:rsidP="00434A6A">
      <w:pPr>
        <w:ind w:left="360"/>
        <w:rPr>
          <w:rFonts w:asciiTheme="minorBidi" w:hAnsiTheme="minorBidi"/>
          <w:u w:val="dotted"/>
        </w:rPr>
      </w:pPr>
      <w:r w:rsidRPr="0087112D">
        <w:rPr>
          <w:rFonts w:asciiTheme="minorBidi" w:hAnsiTheme="minorBidi" w:hint="cs"/>
          <w:u w:val="dotted"/>
          <w:rtl/>
        </w:rPr>
        <w:t>ל</w:t>
      </w:r>
      <w:r>
        <w:rPr>
          <w:rFonts w:asciiTheme="minorBidi" w:hAnsiTheme="minorBidi" w:hint="cs"/>
          <w:u w:val="dotted"/>
          <w:rtl/>
        </w:rPr>
        <w:t xml:space="preserve">סוברים </w:t>
      </w:r>
      <w:r w:rsidRPr="00035D4F">
        <w:rPr>
          <w:rFonts w:asciiTheme="minorBidi" w:hAnsiTheme="minorBidi" w:hint="cs"/>
          <w:b/>
          <w:bCs/>
          <w:u w:val="dotted"/>
          <w:rtl/>
        </w:rPr>
        <w:t>שיש</w:t>
      </w:r>
      <w:r>
        <w:rPr>
          <w:rFonts w:asciiTheme="minorBidi" w:hAnsiTheme="minorBidi" w:hint="cs"/>
          <w:u w:val="dotted"/>
          <w:rtl/>
        </w:rPr>
        <w:t xml:space="preserve"> בישול אחר בישול בלח</w:t>
      </w:r>
      <w:r w:rsidRPr="0087112D">
        <w:rPr>
          <w:rFonts w:asciiTheme="minorBidi" w:hAnsiTheme="minorBidi" w:hint="cs"/>
          <w:u w:val="dotted"/>
          <w:rtl/>
        </w:rPr>
        <w:t xml:space="preserve"> - </w:t>
      </w:r>
      <w:r w:rsidRPr="0073795A">
        <w:rPr>
          <w:rFonts w:asciiTheme="minorBidi" w:hAnsiTheme="minorBidi" w:hint="cs"/>
          <w:u w:val="dotted"/>
          <w:rtl/>
        </w:rPr>
        <w:t>מתי נקרא שהתבשיל הצטנן:</w:t>
      </w:r>
    </w:p>
    <w:p w14:paraId="5444FB29" w14:textId="77777777" w:rsidR="00085BCA" w:rsidRDefault="00085BCA" w:rsidP="00434A6A">
      <w:pPr>
        <w:pStyle w:val="aa"/>
        <w:numPr>
          <w:ilvl w:val="0"/>
          <w:numId w:val="32"/>
        </w:numPr>
        <w:rPr>
          <w:rFonts w:asciiTheme="minorBidi" w:hAnsiTheme="minorBidi"/>
        </w:rPr>
      </w:pPr>
      <w:r>
        <w:rPr>
          <w:rFonts w:asciiTheme="minorBidi" w:hAnsiTheme="minorBidi" w:cs="Arial" w:hint="cs"/>
          <w:rtl/>
        </w:rPr>
        <w:t xml:space="preserve">ב"י- </w:t>
      </w:r>
      <w:r w:rsidRPr="00DD3262">
        <w:rPr>
          <w:rFonts w:asciiTheme="minorBidi" w:hAnsiTheme="minorBidi" w:cs="Arial"/>
          <w:rtl/>
        </w:rPr>
        <w:t>ומשמע לי שכל שהיד סולדת בו מיקרי רותח</w:t>
      </w:r>
      <w:r>
        <w:rPr>
          <w:rFonts w:asciiTheme="minorBidi" w:hAnsiTheme="minorBidi" w:cs="Arial" w:hint="cs"/>
          <w:rtl/>
        </w:rPr>
        <w:t>.</w:t>
      </w:r>
    </w:p>
    <w:p w14:paraId="75642DE1" w14:textId="77777777" w:rsidR="00085BCA" w:rsidRPr="0073795A" w:rsidRDefault="00085BCA" w:rsidP="00434A6A">
      <w:pPr>
        <w:pStyle w:val="aa"/>
        <w:numPr>
          <w:ilvl w:val="0"/>
          <w:numId w:val="32"/>
        </w:numPr>
        <w:rPr>
          <w:rFonts w:asciiTheme="minorBidi" w:hAnsiTheme="minorBidi"/>
          <w:rtl/>
        </w:rPr>
      </w:pPr>
      <w:r>
        <w:rPr>
          <w:rFonts w:asciiTheme="minorBidi" w:hAnsiTheme="minorBidi" w:cs="Arial" w:hint="cs"/>
          <w:rtl/>
        </w:rPr>
        <w:t xml:space="preserve">רי"ו </w:t>
      </w:r>
      <w:r w:rsidRPr="00A049B8">
        <w:rPr>
          <w:rFonts w:asciiTheme="minorBidi" w:hAnsiTheme="minorBidi" w:cs="Arial" w:hint="cs"/>
          <w:sz w:val="16"/>
          <w:szCs w:val="16"/>
          <w:rtl/>
        </w:rPr>
        <w:t>(תא"ו חי"ב ח"ג יט ע"ב)</w:t>
      </w:r>
      <w:r>
        <w:rPr>
          <w:rFonts w:asciiTheme="minorBidi" w:hAnsiTheme="minorBidi" w:cs="Arial" w:hint="cs"/>
          <w:rtl/>
        </w:rPr>
        <w:t xml:space="preserve">- </w:t>
      </w:r>
      <w:r w:rsidRPr="00A049B8">
        <w:rPr>
          <w:rFonts w:asciiTheme="minorBidi" w:hAnsiTheme="minorBidi" w:cs="Arial"/>
          <w:rtl/>
        </w:rPr>
        <w:t>מוכח מהגמרא שאם לא נצטנן אפילו שנה מרתיחתו קצת מותר להחזיר</w:t>
      </w:r>
      <w:r>
        <w:rPr>
          <w:rFonts w:asciiTheme="minorBidi" w:hAnsiTheme="minorBidi" w:hint="cs"/>
          <w:rtl/>
        </w:rPr>
        <w:t>.</w:t>
      </w:r>
    </w:p>
    <w:p w14:paraId="723D412B" w14:textId="77777777" w:rsidR="00085BCA" w:rsidRPr="00085BCA" w:rsidRDefault="00085BCA" w:rsidP="00434A6A">
      <w:pPr>
        <w:rPr>
          <w:rFonts w:asciiTheme="minorBidi" w:hAnsiTheme="minorBidi"/>
          <w:rtl/>
        </w:rPr>
      </w:pPr>
      <w:r w:rsidRPr="00085BCA">
        <w:rPr>
          <w:rFonts w:asciiTheme="minorBidi" w:hAnsiTheme="minorBidi"/>
          <w:b/>
          <w:bCs/>
          <w:rtl/>
        </w:rPr>
        <w:t xml:space="preserve">שבת </w:t>
      </w:r>
      <w:r w:rsidRPr="00085BCA">
        <w:rPr>
          <w:rFonts w:asciiTheme="minorBidi" w:hAnsiTheme="minorBidi" w:hint="cs"/>
          <w:b/>
          <w:bCs/>
          <w:sz w:val="16"/>
          <w:szCs w:val="16"/>
          <w:rtl/>
        </w:rPr>
        <w:t xml:space="preserve">(פ' חבית) </w:t>
      </w:r>
      <w:r w:rsidRPr="00085BCA">
        <w:rPr>
          <w:rFonts w:asciiTheme="minorBidi" w:hAnsiTheme="minorBidi"/>
          <w:b/>
          <w:bCs/>
          <w:rtl/>
        </w:rPr>
        <w:t xml:space="preserve">קמה ע"ב: </w:t>
      </w:r>
      <w:r w:rsidRPr="00085BCA">
        <w:rPr>
          <w:rFonts w:asciiTheme="minorBidi" w:hAnsiTheme="minorBidi"/>
          <w:u w:val="double"/>
          <w:rtl/>
        </w:rPr>
        <w:t>משנה:</w:t>
      </w:r>
      <w:r w:rsidRPr="00085BCA">
        <w:rPr>
          <w:rFonts w:asciiTheme="minorBidi" w:hAnsiTheme="minorBidi"/>
          <w:rtl/>
        </w:rPr>
        <w:t xml:space="preserve"> כל שבא בחמין מערב שבת</w:t>
      </w:r>
      <w:r>
        <w:rPr>
          <w:rStyle w:val="a9"/>
          <w:rFonts w:asciiTheme="minorBidi" w:hAnsiTheme="minorBidi"/>
          <w:rtl/>
        </w:rPr>
        <w:footnoteReference w:id="2719"/>
      </w:r>
      <w:r w:rsidRPr="00085BCA">
        <w:rPr>
          <w:rFonts w:asciiTheme="minorBidi" w:hAnsiTheme="minorBidi"/>
          <w:rtl/>
        </w:rPr>
        <w:t xml:space="preserve"> - שורין אותו בחמין</w:t>
      </w:r>
      <w:r>
        <w:rPr>
          <w:rStyle w:val="a9"/>
          <w:rFonts w:asciiTheme="minorBidi" w:hAnsiTheme="minorBidi"/>
          <w:rtl/>
        </w:rPr>
        <w:footnoteReference w:id="2720"/>
      </w:r>
      <w:r w:rsidRPr="00085BCA">
        <w:rPr>
          <w:rFonts w:asciiTheme="minorBidi" w:hAnsiTheme="minorBidi"/>
          <w:rtl/>
        </w:rPr>
        <w:t xml:space="preserve"> בשבת. וכל שלא בא בחמין</w:t>
      </w:r>
      <w:r>
        <w:rPr>
          <w:rStyle w:val="a9"/>
          <w:rFonts w:asciiTheme="minorBidi" w:hAnsiTheme="minorBidi"/>
          <w:rtl/>
        </w:rPr>
        <w:footnoteReference w:id="2721"/>
      </w:r>
      <w:r w:rsidRPr="00085BCA">
        <w:rPr>
          <w:rFonts w:asciiTheme="minorBidi" w:hAnsiTheme="minorBidi"/>
          <w:rtl/>
        </w:rPr>
        <w:t xml:space="preserve"> מערב שבת - מדיחין אותו</w:t>
      </w:r>
      <w:r>
        <w:rPr>
          <w:rStyle w:val="a9"/>
          <w:rFonts w:asciiTheme="minorBidi" w:hAnsiTheme="minorBidi"/>
          <w:rtl/>
        </w:rPr>
        <w:footnoteReference w:id="2722"/>
      </w:r>
      <w:r w:rsidRPr="00085BCA">
        <w:rPr>
          <w:rFonts w:asciiTheme="minorBidi" w:hAnsiTheme="minorBidi"/>
          <w:rtl/>
        </w:rPr>
        <w:t xml:space="preserve"> בחמין בשבת. חוץ מן המליח הישן</w:t>
      </w:r>
      <w:r w:rsidRPr="005275DF">
        <w:rPr>
          <w:rStyle w:val="a9"/>
          <w:rFonts w:asciiTheme="minorBidi" w:hAnsiTheme="minorBidi"/>
          <w:rtl/>
        </w:rPr>
        <w:footnoteReference w:id="2723"/>
      </w:r>
      <w:r w:rsidRPr="00085BCA">
        <w:rPr>
          <w:rFonts w:asciiTheme="minorBidi" w:hAnsiTheme="minorBidi"/>
          <w:rtl/>
        </w:rPr>
        <w:t xml:space="preserve"> וקולייס האיספנין</w:t>
      </w:r>
      <w:r w:rsidRPr="005275DF">
        <w:rPr>
          <w:rStyle w:val="a9"/>
          <w:rFonts w:asciiTheme="minorBidi" w:hAnsiTheme="minorBidi"/>
          <w:rtl/>
        </w:rPr>
        <w:footnoteReference w:id="2724"/>
      </w:r>
      <w:r w:rsidRPr="00085BCA">
        <w:rPr>
          <w:rFonts w:asciiTheme="minorBidi" w:hAnsiTheme="minorBidi"/>
          <w:rtl/>
        </w:rPr>
        <w:t xml:space="preserve">, שהדחתן זו היא גמר מלאכתן.       </w:t>
      </w:r>
      <w:r w:rsidRPr="00085BCA">
        <w:rPr>
          <w:rFonts w:asciiTheme="minorBidi" w:hAnsiTheme="minorBidi"/>
          <w:u w:val="double"/>
          <w:rtl/>
        </w:rPr>
        <w:t>גמ':</w:t>
      </w:r>
      <w:r w:rsidRPr="00085BCA">
        <w:rPr>
          <w:rFonts w:asciiTheme="minorBidi" w:hAnsiTheme="minorBidi"/>
          <w:rtl/>
        </w:rPr>
        <w:t xml:space="preserve"> כגון מאי? </w:t>
      </w:r>
      <w:r w:rsidRPr="00085BCA">
        <w:rPr>
          <w:rFonts w:asciiTheme="minorBidi" w:hAnsiTheme="minorBidi"/>
          <w:u w:val="single"/>
          <w:rtl/>
        </w:rPr>
        <w:t>אמר רב ספרא</w:t>
      </w:r>
      <w:r w:rsidRPr="00085BCA">
        <w:rPr>
          <w:rFonts w:asciiTheme="minorBidi" w:hAnsiTheme="minorBidi"/>
          <w:rtl/>
        </w:rPr>
        <w:t>: כגון תרנגולתא דרבי אבא</w:t>
      </w:r>
      <w:r w:rsidRPr="005275DF">
        <w:rPr>
          <w:rStyle w:val="a9"/>
          <w:rFonts w:asciiTheme="minorBidi" w:hAnsiTheme="minorBidi"/>
          <w:rtl/>
        </w:rPr>
        <w:footnoteReference w:id="2725"/>
      </w:r>
      <w:r w:rsidRPr="00085BCA">
        <w:rPr>
          <w:rFonts w:asciiTheme="minorBidi" w:hAnsiTheme="minorBidi"/>
          <w:rtl/>
        </w:rPr>
        <w:t>.</w:t>
      </w:r>
      <w:r w:rsidRPr="00085BCA">
        <w:rPr>
          <w:rFonts w:asciiTheme="minorBidi" w:hAnsiTheme="minorBidi" w:hint="cs"/>
          <w:rtl/>
        </w:rPr>
        <w:t>..</w:t>
      </w:r>
      <w:r w:rsidRPr="00162E6B">
        <w:rPr>
          <w:rtl/>
        </w:rPr>
        <w:t xml:space="preserve"> </w:t>
      </w:r>
      <w:r w:rsidRPr="00085BCA">
        <w:rPr>
          <w:rFonts w:asciiTheme="minorBidi" w:hAnsiTheme="minorBidi" w:cs="Arial"/>
          <w:rtl/>
        </w:rPr>
        <w:t xml:space="preserve">כל שלא בא בחמין וכו'. הדיח מאי? </w:t>
      </w:r>
      <w:r w:rsidRPr="00085BCA">
        <w:rPr>
          <w:rFonts w:asciiTheme="minorBidi" w:hAnsiTheme="minorBidi" w:cs="Arial"/>
          <w:u w:val="single"/>
          <w:rtl/>
        </w:rPr>
        <w:t>אמר רב יוסף</w:t>
      </w:r>
      <w:r w:rsidRPr="00085BCA">
        <w:rPr>
          <w:rFonts w:asciiTheme="minorBidi" w:hAnsiTheme="minorBidi" w:cs="Arial"/>
          <w:rtl/>
        </w:rPr>
        <w:t xml:space="preserve">: הדיח - חייב חטאת. </w:t>
      </w:r>
      <w:r w:rsidRPr="00085BCA">
        <w:rPr>
          <w:rFonts w:asciiTheme="minorBidi" w:hAnsiTheme="minorBidi" w:cs="Arial"/>
          <w:u w:val="single"/>
          <w:rtl/>
        </w:rPr>
        <w:t>אמר מר בריה דרבינא</w:t>
      </w:r>
      <w:r w:rsidRPr="00085BCA">
        <w:rPr>
          <w:rFonts w:asciiTheme="minorBidi" w:hAnsiTheme="minorBidi" w:cs="Arial"/>
          <w:rtl/>
        </w:rPr>
        <w:t>: אף אנן נמי תנינא חוץ ממליח ישן וקולייס האיספנין שהדחתן זו היא גמר מלאכתן שמע מינה.</w:t>
      </w:r>
    </w:p>
    <w:p w14:paraId="3771F8F2" w14:textId="48A39F8B" w:rsidR="006216F4" w:rsidRPr="00A96C69" w:rsidRDefault="00CA64CE" w:rsidP="00434A6A">
      <w:pPr>
        <w:rPr>
          <w:rFonts w:asciiTheme="minorBidi" w:hAnsiTheme="minorBidi"/>
          <w:u w:val="single"/>
        </w:rPr>
      </w:pPr>
      <w:r w:rsidRPr="00A96C69">
        <w:rPr>
          <w:rFonts w:asciiTheme="minorBidi" w:hAnsiTheme="minorBidi" w:hint="cs"/>
          <w:u w:val="single"/>
          <w:rtl/>
        </w:rPr>
        <w:t>"כל שבא בחמין</w:t>
      </w:r>
      <w:r w:rsidR="001E3474" w:rsidRPr="00A96C69">
        <w:rPr>
          <w:rFonts w:asciiTheme="minorBidi" w:hAnsiTheme="minorBidi" w:hint="cs"/>
          <w:u w:val="single"/>
          <w:rtl/>
        </w:rPr>
        <w:t xml:space="preserve"> מערב שבת</w:t>
      </w:r>
      <w:r w:rsidRPr="00A96C69">
        <w:rPr>
          <w:rFonts w:asciiTheme="minorBidi" w:hAnsiTheme="minorBidi" w:hint="cs"/>
          <w:u w:val="single"/>
          <w:rtl/>
        </w:rPr>
        <w:t xml:space="preserve">" - האם מדובר רק בדבר שנתבשל כל צורכו, או שאפילו </w:t>
      </w:r>
      <w:r w:rsidR="000D6C18" w:rsidRPr="00A96C69">
        <w:rPr>
          <w:rFonts w:asciiTheme="minorBidi" w:hAnsiTheme="minorBidi" w:hint="cs"/>
          <w:u w:val="single"/>
          <w:rtl/>
        </w:rPr>
        <w:t xml:space="preserve">אם </w:t>
      </w:r>
      <w:r w:rsidRPr="00A96C69">
        <w:rPr>
          <w:rFonts w:asciiTheme="minorBidi" w:hAnsiTheme="minorBidi" w:hint="cs"/>
          <w:u w:val="single"/>
          <w:rtl/>
        </w:rPr>
        <w:t>הגיע למאב"ד סגי</w:t>
      </w:r>
      <w:r w:rsidR="006216F4" w:rsidRPr="00A96C69">
        <w:rPr>
          <w:rFonts w:asciiTheme="minorBidi" w:hAnsiTheme="minorBidi" w:hint="cs"/>
          <w:u w:val="single"/>
          <w:rtl/>
        </w:rPr>
        <w:t xml:space="preserve">: </w:t>
      </w:r>
    </w:p>
    <w:p w14:paraId="6E1F370D" w14:textId="011141E7" w:rsidR="00890261" w:rsidRPr="005E7C7C" w:rsidRDefault="00CA64CE" w:rsidP="00434A6A">
      <w:pPr>
        <w:pStyle w:val="aa"/>
        <w:numPr>
          <w:ilvl w:val="0"/>
          <w:numId w:val="32"/>
        </w:numPr>
        <w:rPr>
          <w:rFonts w:asciiTheme="minorBidi" w:hAnsiTheme="minorBidi"/>
        </w:rPr>
      </w:pPr>
      <w:r w:rsidRPr="007B5DAF">
        <w:rPr>
          <w:rFonts w:cs="Arial"/>
          <w:rtl/>
        </w:rPr>
        <w:t xml:space="preserve">רשב"א </w:t>
      </w:r>
      <w:r w:rsidRPr="00235DEE">
        <w:rPr>
          <w:rFonts w:asciiTheme="minorBidi" w:hAnsiTheme="minorBidi" w:cs="Arial"/>
          <w:sz w:val="16"/>
          <w:szCs w:val="16"/>
          <w:rtl/>
        </w:rPr>
        <w:t>(יח: סוד"ה צמר, לט. ד"ה גמרא)</w:t>
      </w:r>
      <w:r>
        <w:rPr>
          <w:rFonts w:asciiTheme="minorBidi" w:hAnsiTheme="minorBidi" w:cs="Arial" w:hint="cs"/>
          <w:rtl/>
        </w:rPr>
        <w:t xml:space="preserve"> </w:t>
      </w:r>
      <w:r w:rsidR="00E56FCE">
        <w:rPr>
          <w:rFonts w:asciiTheme="minorBidi" w:hAnsiTheme="minorBidi" w:cs="Arial" w:hint="cs"/>
          <w:rtl/>
        </w:rPr>
        <w:t>רא"ש</w:t>
      </w:r>
      <w:r w:rsidR="00E56FCE">
        <w:rPr>
          <w:rStyle w:val="a9"/>
          <w:rFonts w:asciiTheme="minorBidi" w:hAnsiTheme="minorBidi" w:cs="Arial"/>
          <w:rtl/>
        </w:rPr>
        <w:footnoteReference w:id="2726"/>
      </w:r>
      <w:r w:rsidR="00E56FCE">
        <w:rPr>
          <w:rFonts w:asciiTheme="minorBidi" w:hAnsiTheme="minorBidi" w:cs="Arial" w:hint="cs"/>
          <w:rtl/>
        </w:rPr>
        <w:t xml:space="preserve"> </w:t>
      </w:r>
      <w:r w:rsidR="00E56FCE">
        <w:rPr>
          <w:rFonts w:asciiTheme="minorBidi" w:hAnsiTheme="minorBidi" w:cs="Arial" w:hint="cs"/>
          <w:sz w:val="16"/>
          <w:szCs w:val="16"/>
          <w:rtl/>
        </w:rPr>
        <w:t xml:space="preserve">(פ"ג ס"י-יא) </w:t>
      </w:r>
      <w:r>
        <w:rPr>
          <w:rFonts w:asciiTheme="minorBidi" w:hAnsiTheme="minorBidi" w:cs="Arial" w:hint="cs"/>
          <w:rtl/>
        </w:rPr>
        <w:t>וריטב"א</w:t>
      </w:r>
      <w:r>
        <w:rPr>
          <w:rStyle w:val="a9"/>
          <w:rFonts w:asciiTheme="minorBidi" w:hAnsiTheme="minorBidi" w:cs="Arial"/>
          <w:rtl/>
        </w:rPr>
        <w:footnoteReference w:id="2727"/>
      </w:r>
      <w:r>
        <w:rPr>
          <w:rFonts w:asciiTheme="minorBidi" w:hAnsiTheme="minorBidi" w:cs="Arial" w:hint="cs"/>
          <w:rtl/>
        </w:rPr>
        <w:t xml:space="preserve"> </w:t>
      </w:r>
      <w:r>
        <w:rPr>
          <w:rFonts w:asciiTheme="minorBidi" w:hAnsiTheme="minorBidi" w:cs="Arial" w:hint="cs"/>
          <w:sz w:val="16"/>
          <w:szCs w:val="16"/>
          <w:rtl/>
        </w:rPr>
        <w:t>(לט. ד"ה כל שבא)</w:t>
      </w:r>
      <w:r>
        <w:rPr>
          <w:rFonts w:asciiTheme="minorBidi" w:hAnsiTheme="minorBidi" w:cs="Arial" w:hint="cs"/>
          <w:rtl/>
        </w:rPr>
        <w:t xml:space="preserve">- </w:t>
      </w:r>
      <w:r w:rsidRPr="006C7C72">
        <w:rPr>
          <w:rFonts w:asciiTheme="minorBidi" w:hAnsiTheme="minorBidi" w:cs="Arial"/>
          <w:rtl/>
        </w:rPr>
        <w:t>כיון שהגיע למאכל בן דרוסאי תו ליכא משום מבשל</w:t>
      </w:r>
      <w:r>
        <w:rPr>
          <w:rStyle w:val="a9"/>
          <w:rFonts w:asciiTheme="minorBidi" w:hAnsiTheme="minorBidi" w:cs="Arial"/>
          <w:rtl/>
        </w:rPr>
        <w:footnoteReference w:id="2728"/>
      </w:r>
      <w:r>
        <w:rPr>
          <w:rFonts w:asciiTheme="minorBidi" w:hAnsiTheme="minorBidi" w:cs="Arial" w:hint="cs"/>
          <w:rtl/>
        </w:rPr>
        <w:t>.</w:t>
      </w:r>
      <w:r w:rsidRPr="006C7C72">
        <w:rPr>
          <w:rFonts w:asciiTheme="minorBidi" w:hAnsiTheme="minorBidi" w:cs="Arial"/>
          <w:rtl/>
        </w:rPr>
        <w:t xml:space="preserve"> וכענין שאמרו בפרק כירה (מ</w:t>
      </w:r>
      <w:r>
        <w:rPr>
          <w:rFonts w:asciiTheme="minorBidi" w:hAnsiTheme="minorBidi" w:cs="Arial" w:hint="cs"/>
          <w:rtl/>
        </w:rPr>
        <w:t>:</w:t>
      </w:r>
      <w:r w:rsidRPr="006C7C72">
        <w:rPr>
          <w:rFonts w:asciiTheme="minorBidi" w:hAnsiTheme="minorBidi" w:cs="Arial"/>
          <w:rtl/>
        </w:rPr>
        <w:t>) בשמן למאן דאמר שמן אין בו משום בישול שמותר לתת אותו אפילו במקום שהיד סולדת בו</w:t>
      </w:r>
      <w:r>
        <w:rPr>
          <w:rFonts w:asciiTheme="minorBidi" w:hAnsiTheme="minorBidi" w:cs="Arial" w:hint="cs"/>
          <w:rtl/>
        </w:rPr>
        <w:t xml:space="preserve"> </w:t>
      </w:r>
      <w:r>
        <w:rPr>
          <w:rFonts w:asciiTheme="minorBidi" w:hAnsiTheme="minorBidi" w:cs="Arial" w:hint="cs"/>
          <w:sz w:val="16"/>
          <w:szCs w:val="16"/>
          <w:rtl/>
        </w:rPr>
        <w:t>(ל' הרשב"א)</w:t>
      </w:r>
      <w:r w:rsidRPr="006C7C72">
        <w:rPr>
          <w:rFonts w:asciiTheme="minorBidi" w:hAnsiTheme="minorBidi" w:cs="Arial"/>
          <w:rtl/>
        </w:rPr>
        <w:t>.</w:t>
      </w:r>
    </w:p>
    <w:p w14:paraId="1AE945DB" w14:textId="63AB01EC" w:rsidR="00D6454B" w:rsidRPr="00D6454B" w:rsidRDefault="00D6454B" w:rsidP="00434A6A">
      <w:pPr>
        <w:pStyle w:val="aa"/>
        <w:numPr>
          <w:ilvl w:val="0"/>
          <w:numId w:val="32"/>
        </w:numPr>
        <w:rPr>
          <w:rFonts w:asciiTheme="minorBidi" w:hAnsiTheme="minorBidi" w:cs="Arial"/>
          <w:rtl/>
        </w:rPr>
      </w:pPr>
      <w:r w:rsidRPr="00D6454B">
        <w:rPr>
          <w:rFonts w:asciiTheme="minorBidi" w:hAnsiTheme="minorBidi" w:cs="Arial"/>
          <w:rtl/>
        </w:rPr>
        <w:t>תוס</w:t>
      </w:r>
      <w:r>
        <w:rPr>
          <w:rFonts w:asciiTheme="minorBidi" w:hAnsiTheme="minorBidi" w:cs="Arial" w:hint="cs"/>
          <w:rtl/>
        </w:rPr>
        <w:t xml:space="preserve">' </w:t>
      </w:r>
      <w:r w:rsidRPr="001E3474">
        <w:rPr>
          <w:rFonts w:asciiTheme="minorBidi" w:hAnsiTheme="minorBidi" w:cs="Arial"/>
          <w:sz w:val="16"/>
          <w:szCs w:val="16"/>
          <w:rtl/>
        </w:rPr>
        <w:t>(לט. ד"ה כל)</w:t>
      </w:r>
      <w:r w:rsidR="001E3474">
        <w:rPr>
          <w:rFonts w:asciiTheme="minorBidi" w:hAnsiTheme="minorBidi" w:cs="Arial" w:hint="cs"/>
          <w:rtl/>
        </w:rPr>
        <w:t xml:space="preserve"> </w:t>
      </w:r>
      <w:r w:rsidR="001E3474" w:rsidRPr="00D6454B">
        <w:rPr>
          <w:rFonts w:asciiTheme="minorBidi" w:hAnsiTheme="minorBidi" w:cs="Arial"/>
          <w:rtl/>
        </w:rPr>
        <w:t>הגה</w:t>
      </w:r>
      <w:r w:rsidR="001E3474">
        <w:rPr>
          <w:rFonts w:asciiTheme="minorBidi" w:hAnsiTheme="minorBidi" w:cs="Arial" w:hint="cs"/>
          <w:rtl/>
        </w:rPr>
        <w:t xml:space="preserve">"מ </w:t>
      </w:r>
      <w:r w:rsidR="001E3474" w:rsidRPr="001E3474">
        <w:rPr>
          <w:rFonts w:asciiTheme="minorBidi" w:hAnsiTheme="minorBidi" w:cs="Arial" w:hint="cs"/>
          <w:sz w:val="16"/>
          <w:szCs w:val="16"/>
          <w:rtl/>
        </w:rPr>
        <w:t>(</w:t>
      </w:r>
      <w:r w:rsidR="001E3474" w:rsidRPr="001E3474">
        <w:rPr>
          <w:rFonts w:asciiTheme="minorBidi" w:hAnsiTheme="minorBidi" w:cs="Arial"/>
          <w:sz w:val="16"/>
          <w:szCs w:val="16"/>
          <w:rtl/>
        </w:rPr>
        <w:t>פ</w:t>
      </w:r>
      <w:r w:rsidR="001E3474" w:rsidRPr="001E3474">
        <w:rPr>
          <w:rFonts w:asciiTheme="minorBidi" w:hAnsiTheme="minorBidi" w:cs="Arial" w:hint="cs"/>
          <w:sz w:val="16"/>
          <w:szCs w:val="16"/>
          <w:rtl/>
        </w:rPr>
        <w:t>"</w:t>
      </w:r>
      <w:r w:rsidR="001E3474" w:rsidRPr="001E3474">
        <w:rPr>
          <w:rFonts w:asciiTheme="minorBidi" w:hAnsiTheme="minorBidi" w:cs="Arial"/>
          <w:sz w:val="16"/>
          <w:szCs w:val="16"/>
          <w:rtl/>
        </w:rPr>
        <w:t xml:space="preserve">ט </w:t>
      </w:r>
      <w:r w:rsidR="001E3474" w:rsidRPr="001E3474">
        <w:rPr>
          <w:rFonts w:asciiTheme="minorBidi" w:hAnsiTheme="minorBidi" w:cs="Arial" w:hint="cs"/>
          <w:sz w:val="16"/>
          <w:szCs w:val="16"/>
          <w:rtl/>
        </w:rPr>
        <w:t xml:space="preserve">ה"ג </w:t>
      </w:r>
      <w:r w:rsidR="001E3474" w:rsidRPr="001E3474">
        <w:rPr>
          <w:rFonts w:asciiTheme="minorBidi" w:hAnsiTheme="minorBidi" w:cs="Arial"/>
          <w:sz w:val="16"/>
          <w:szCs w:val="16"/>
          <w:rtl/>
        </w:rPr>
        <w:t>אות א)</w:t>
      </w:r>
      <w:r w:rsidR="001E3474" w:rsidRPr="00D6454B">
        <w:rPr>
          <w:rFonts w:asciiTheme="minorBidi" w:hAnsiTheme="minorBidi" w:cs="Arial"/>
          <w:rtl/>
        </w:rPr>
        <w:t xml:space="preserve"> </w:t>
      </w:r>
      <w:r w:rsidR="005E7C7C">
        <w:rPr>
          <w:rFonts w:asciiTheme="minorBidi" w:hAnsiTheme="minorBidi" w:cs="Arial" w:hint="cs"/>
          <w:rtl/>
        </w:rPr>
        <w:t>טור</w:t>
      </w:r>
      <w:r w:rsidR="005E7C7C">
        <w:rPr>
          <w:rStyle w:val="a9"/>
          <w:rFonts w:asciiTheme="minorBidi" w:hAnsiTheme="minorBidi" w:cs="Arial"/>
          <w:rtl/>
        </w:rPr>
        <w:footnoteReference w:id="2729"/>
      </w:r>
      <w:r w:rsidR="005E7C7C">
        <w:rPr>
          <w:rFonts w:asciiTheme="minorBidi" w:hAnsiTheme="minorBidi" w:cs="Arial" w:hint="cs"/>
          <w:rtl/>
        </w:rPr>
        <w:t xml:space="preserve"> </w:t>
      </w:r>
      <w:r w:rsidR="001E3474">
        <w:rPr>
          <w:rFonts w:asciiTheme="minorBidi" w:hAnsiTheme="minorBidi" w:cs="Arial" w:hint="cs"/>
          <w:rtl/>
        </w:rPr>
        <w:t>ורי"ו</w:t>
      </w:r>
      <w:r w:rsidR="001E3474" w:rsidRPr="00D6454B">
        <w:rPr>
          <w:rFonts w:asciiTheme="minorBidi" w:hAnsiTheme="minorBidi" w:cs="Arial"/>
          <w:rtl/>
        </w:rPr>
        <w:t xml:space="preserve"> </w:t>
      </w:r>
      <w:r w:rsidR="001E3474" w:rsidRPr="001E3474">
        <w:rPr>
          <w:rFonts w:asciiTheme="minorBidi" w:hAnsiTheme="minorBidi" w:cs="Arial" w:hint="cs"/>
          <w:sz w:val="16"/>
          <w:szCs w:val="16"/>
          <w:rtl/>
        </w:rPr>
        <w:t>(</w:t>
      </w:r>
      <w:r w:rsidR="001E3474" w:rsidRPr="001E3474">
        <w:rPr>
          <w:rFonts w:asciiTheme="minorBidi" w:hAnsiTheme="minorBidi" w:cs="Arial"/>
          <w:sz w:val="16"/>
          <w:szCs w:val="16"/>
          <w:rtl/>
        </w:rPr>
        <w:t>ח</w:t>
      </w:r>
      <w:r w:rsidR="001E3474" w:rsidRPr="001E3474">
        <w:rPr>
          <w:rFonts w:asciiTheme="minorBidi" w:hAnsiTheme="minorBidi" w:cs="Arial" w:hint="cs"/>
          <w:sz w:val="16"/>
          <w:szCs w:val="16"/>
          <w:rtl/>
        </w:rPr>
        <w:t>"</w:t>
      </w:r>
      <w:r w:rsidR="001E3474" w:rsidRPr="001E3474">
        <w:rPr>
          <w:rFonts w:asciiTheme="minorBidi" w:hAnsiTheme="minorBidi" w:cs="Arial"/>
          <w:sz w:val="16"/>
          <w:szCs w:val="16"/>
          <w:rtl/>
        </w:rPr>
        <w:t>ג ני</w:t>
      </w:r>
      <w:r w:rsidR="001E3474" w:rsidRPr="001E3474">
        <w:rPr>
          <w:rFonts w:asciiTheme="minorBidi" w:hAnsiTheme="minorBidi" w:cs="Arial" w:hint="cs"/>
          <w:sz w:val="16"/>
          <w:szCs w:val="16"/>
          <w:rtl/>
        </w:rPr>
        <w:t>"</w:t>
      </w:r>
      <w:r w:rsidR="001E3474" w:rsidRPr="001E3474">
        <w:rPr>
          <w:rFonts w:asciiTheme="minorBidi" w:hAnsiTheme="minorBidi" w:cs="Arial"/>
          <w:sz w:val="16"/>
          <w:szCs w:val="16"/>
          <w:rtl/>
        </w:rPr>
        <w:t>ב סוף סט:)</w:t>
      </w:r>
      <w:r w:rsidR="001E3474">
        <w:rPr>
          <w:rFonts w:asciiTheme="minorBidi" w:hAnsiTheme="minorBidi" w:cs="Arial" w:hint="cs"/>
          <w:rtl/>
        </w:rPr>
        <w:t>-</w:t>
      </w:r>
      <w:r w:rsidRPr="00D6454B">
        <w:rPr>
          <w:rFonts w:asciiTheme="minorBidi" w:hAnsiTheme="minorBidi" w:cs="Arial"/>
          <w:rtl/>
        </w:rPr>
        <w:t xml:space="preserve"> כל שבא בחמין פירוש שנתבשל לגמרי כדמפרש בפרק חבית (קמה:) כגון תרנגולת דרבי אבא</w:t>
      </w:r>
      <w:r w:rsidR="001E3474">
        <w:rPr>
          <w:rFonts w:asciiTheme="minorBidi" w:hAnsiTheme="minorBidi" w:cs="Arial" w:hint="cs"/>
          <w:sz w:val="16"/>
          <w:szCs w:val="16"/>
          <w:rtl/>
        </w:rPr>
        <w:t xml:space="preserve"> (ל' התוס')</w:t>
      </w:r>
      <w:r w:rsidRPr="00D6454B">
        <w:rPr>
          <w:rFonts w:asciiTheme="minorBidi" w:hAnsiTheme="minorBidi" w:cs="Arial" w:hint="cs"/>
          <w:rtl/>
        </w:rPr>
        <w:t>.</w:t>
      </w:r>
      <w:r w:rsidR="00D44C17">
        <w:rPr>
          <w:rFonts w:asciiTheme="minorBidi" w:hAnsiTheme="minorBidi" w:cs="Arial" w:hint="cs"/>
          <w:rtl/>
        </w:rPr>
        <w:t xml:space="preserve"> </w:t>
      </w:r>
      <w:r w:rsidR="00D44C17" w:rsidRPr="00153DB1">
        <w:rPr>
          <w:rFonts w:asciiTheme="minorBidi" w:hAnsiTheme="minorBidi" w:hint="cs"/>
          <w:color w:val="E36C0A" w:themeColor="accent6" w:themeShade="BF"/>
          <w:rtl/>
        </w:rPr>
        <w:t>(וכ"פ בשו"ע)</w:t>
      </w:r>
    </w:p>
    <w:p w14:paraId="7034AE49" w14:textId="29245FBE" w:rsidR="005E7C7C" w:rsidRDefault="005E7C7C" w:rsidP="00434A6A">
      <w:pPr>
        <w:pStyle w:val="aa"/>
        <w:numPr>
          <w:ilvl w:val="0"/>
          <w:numId w:val="32"/>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(פ"ט ה"ג)</w:t>
      </w:r>
      <w:r>
        <w:rPr>
          <w:rFonts w:asciiTheme="minorBidi" w:hAnsiTheme="minorBidi" w:cs="Arial" w:hint="cs"/>
          <w:rtl/>
        </w:rPr>
        <w:t xml:space="preserve">- </w:t>
      </w:r>
      <w:r w:rsidRPr="002E27EA">
        <w:rPr>
          <w:rFonts w:asciiTheme="minorBidi" w:hAnsiTheme="minorBidi" w:cs="Arial"/>
          <w:rtl/>
        </w:rPr>
        <w:t>המבשל על האור דבר שהיה מבושל כל צרכו</w:t>
      </w:r>
      <w:r>
        <w:rPr>
          <w:rFonts w:asciiTheme="minorBidi" w:hAnsiTheme="minorBidi" w:cs="Arial" w:hint="cs"/>
          <w:rtl/>
        </w:rPr>
        <w:t>,</w:t>
      </w:r>
      <w:r w:rsidRPr="002E27EA">
        <w:rPr>
          <w:rFonts w:asciiTheme="minorBidi" w:hAnsiTheme="minorBidi" w:cs="Arial"/>
          <w:rtl/>
        </w:rPr>
        <w:t xml:space="preserve"> או דבר שאינו צריך בישול כלל </w:t>
      </w:r>
      <w:r>
        <w:rPr>
          <w:rFonts w:asciiTheme="minorBidi" w:hAnsiTheme="minorBidi" w:cs="Arial" w:hint="cs"/>
          <w:rtl/>
        </w:rPr>
        <w:t xml:space="preserve">- </w:t>
      </w:r>
      <w:r w:rsidRPr="002E27EA">
        <w:rPr>
          <w:rFonts w:asciiTheme="minorBidi" w:hAnsiTheme="minorBidi" w:cs="Arial"/>
          <w:rtl/>
        </w:rPr>
        <w:t>פטור</w:t>
      </w:r>
      <w:r>
        <w:rPr>
          <w:rStyle w:val="a9"/>
          <w:rFonts w:asciiTheme="minorBidi" w:hAnsiTheme="minorBidi" w:cs="Arial"/>
          <w:rtl/>
        </w:rPr>
        <w:footnoteReference w:id="2730"/>
      </w:r>
      <w:r w:rsidRPr="002E27EA">
        <w:rPr>
          <w:rFonts w:asciiTheme="minorBidi" w:hAnsiTheme="minorBidi" w:cs="Arial"/>
          <w:rtl/>
        </w:rPr>
        <w:t>.</w:t>
      </w:r>
    </w:p>
    <w:p w14:paraId="0229A40D" w14:textId="319C5E08" w:rsidR="00D6454B" w:rsidRPr="002151A6" w:rsidRDefault="005E7C7C" w:rsidP="00434A6A">
      <w:pPr>
        <w:pStyle w:val="aa"/>
        <w:numPr>
          <w:ilvl w:val="0"/>
          <w:numId w:val="32"/>
        </w:numPr>
        <w:rPr>
          <w:rFonts w:asciiTheme="minorBidi" w:hAnsiTheme="minorBidi"/>
          <w:rtl/>
        </w:rPr>
      </w:pPr>
      <w:r>
        <w:rPr>
          <w:rFonts w:asciiTheme="minorBidi" w:hAnsiTheme="minorBidi" w:cs="Arial" w:hint="cs"/>
          <w:rtl/>
        </w:rPr>
        <w:t xml:space="preserve">רמב"ם </w:t>
      </w:r>
      <w:r>
        <w:rPr>
          <w:rFonts w:asciiTheme="minorBidi" w:hAnsiTheme="minorBidi" w:cs="Arial" w:hint="cs"/>
          <w:sz w:val="16"/>
          <w:szCs w:val="16"/>
          <w:rtl/>
        </w:rPr>
        <w:t>(פכ"ב ה"ח)</w:t>
      </w:r>
      <w:r>
        <w:rPr>
          <w:rFonts w:asciiTheme="minorBidi" w:hAnsiTheme="minorBidi" w:cs="Arial" w:hint="cs"/>
          <w:rtl/>
        </w:rPr>
        <w:t xml:space="preserve">- </w:t>
      </w:r>
      <w:r w:rsidRPr="005E7C7C">
        <w:rPr>
          <w:rFonts w:asciiTheme="minorBidi" w:hAnsiTheme="minorBidi" w:cs="Arial"/>
          <w:rtl/>
        </w:rPr>
        <w:t>דבר שנתבשל קודם השבת או נשרה בחמין מלפני השבת אע</w:t>
      </w:r>
      <w:r>
        <w:rPr>
          <w:rFonts w:asciiTheme="minorBidi" w:hAnsiTheme="minorBidi" w:cs="Arial" w:hint="cs"/>
          <w:rtl/>
        </w:rPr>
        <w:t>"</w:t>
      </w:r>
      <w:r w:rsidRPr="005E7C7C">
        <w:rPr>
          <w:rFonts w:asciiTheme="minorBidi" w:hAnsiTheme="minorBidi" w:cs="Arial"/>
          <w:rtl/>
        </w:rPr>
        <w:t>פ שהוא עכשיו צונן מותר לשרותו בחמין בשבת</w:t>
      </w:r>
      <w:r>
        <w:rPr>
          <w:rStyle w:val="a9"/>
          <w:rFonts w:asciiTheme="minorBidi" w:hAnsiTheme="minorBidi" w:cs="Arial"/>
          <w:rtl/>
        </w:rPr>
        <w:footnoteReference w:id="2731"/>
      </w:r>
      <w:r>
        <w:rPr>
          <w:rFonts w:asciiTheme="minorBidi" w:hAnsiTheme="minorBidi" w:cs="Arial" w:hint="cs"/>
          <w:rtl/>
        </w:rPr>
        <w:t>.</w:t>
      </w:r>
      <w:r w:rsidRPr="005E7C7C">
        <w:rPr>
          <w:rFonts w:asciiTheme="minorBidi" w:hAnsiTheme="minorBidi" w:cs="Arial"/>
          <w:rtl/>
        </w:rPr>
        <w:t xml:space="preserve"> </w:t>
      </w:r>
    </w:p>
    <w:p w14:paraId="03ADA3BC" w14:textId="5600E614" w:rsidR="0073795A" w:rsidRPr="00890261" w:rsidRDefault="00890261" w:rsidP="00434A6A">
      <w:pPr>
        <w:ind w:left="360"/>
        <w:rPr>
          <w:rFonts w:asciiTheme="minorBidi" w:hAnsiTheme="minorBidi"/>
          <w:u w:val="dotted"/>
        </w:rPr>
      </w:pPr>
      <w:r w:rsidRPr="00890261">
        <w:rPr>
          <w:rFonts w:asciiTheme="minorBidi" w:hAnsiTheme="minorBidi" w:cs="Arial" w:hint="cs"/>
          <w:u w:val="dotted"/>
          <w:rtl/>
        </w:rPr>
        <w:t xml:space="preserve">מה פירוש </w:t>
      </w:r>
      <w:r w:rsidR="001E3474">
        <w:rPr>
          <w:rFonts w:asciiTheme="minorBidi" w:hAnsiTheme="minorBidi" w:cs="Arial" w:hint="cs"/>
          <w:u w:val="dotted"/>
          <w:rtl/>
        </w:rPr>
        <w:t>"</w:t>
      </w:r>
      <w:r w:rsidRPr="00890261">
        <w:rPr>
          <w:rFonts w:asciiTheme="minorBidi" w:hAnsiTheme="minorBidi" w:cs="Arial" w:hint="cs"/>
          <w:u w:val="dotted"/>
          <w:rtl/>
        </w:rPr>
        <w:t>שורין אותו בחמין בשבת" - האם מ</w:t>
      </w:r>
      <w:r w:rsidR="001E3474">
        <w:rPr>
          <w:rFonts w:asciiTheme="minorBidi" w:hAnsiTheme="minorBidi" w:cs="Arial" w:hint="cs"/>
          <w:u w:val="dotted"/>
          <w:rtl/>
        </w:rPr>
        <w:t xml:space="preserve">ותר לשרותו </w:t>
      </w:r>
      <w:r w:rsidRPr="00890261">
        <w:rPr>
          <w:rFonts w:asciiTheme="minorBidi" w:hAnsiTheme="minorBidi" w:cs="Arial" w:hint="cs"/>
          <w:u w:val="dotted"/>
          <w:rtl/>
        </w:rPr>
        <w:t>גם בכלי ראשון:</w:t>
      </w:r>
      <w:r w:rsidR="0073795A" w:rsidRPr="00890261">
        <w:rPr>
          <w:rFonts w:asciiTheme="minorBidi" w:hAnsiTheme="minorBidi" w:cs="Arial"/>
          <w:u w:val="dotted"/>
          <w:rtl/>
        </w:rPr>
        <w:t xml:space="preserve"> </w:t>
      </w:r>
    </w:p>
    <w:p w14:paraId="1337DC66" w14:textId="77777777" w:rsidR="00A96C69" w:rsidRPr="00A96C69" w:rsidRDefault="00080CFC" w:rsidP="00434A6A">
      <w:pPr>
        <w:pStyle w:val="aa"/>
        <w:numPr>
          <w:ilvl w:val="0"/>
          <w:numId w:val="32"/>
        </w:numPr>
        <w:rPr>
          <w:rFonts w:asciiTheme="minorBidi" w:hAnsiTheme="minorBidi"/>
        </w:rPr>
      </w:pPr>
      <w:r w:rsidRPr="00D6454B">
        <w:rPr>
          <w:rFonts w:asciiTheme="minorBidi" w:hAnsiTheme="minorBidi" w:cs="Arial"/>
          <w:rtl/>
        </w:rPr>
        <w:t>תוס</w:t>
      </w:r>
      <w:r>
        <w:rPr>
          <w:rFonts w:asciiTheme="minorBidi" w:hAnsiTheme="minorBidi" w:cs="Arial" w:hint="cs"/>
          <w:rtl/>
        </w:rPr>
        <w:t xml:space="preserve">' </w:t>
      </w:r>
      <w:r w:rsidRPr="001E3474">
        <w:rPr>
          <w:rFonts w:asciiTheme="minorBidi" w:hAnsiTheme="minorBidi" w:cs="Arial"/>
          <w:sz w:val="16"/>
          <w:szCs w:val="16"/>
          <w:rtl/>
        </w:rPr>
        <w:t>(לט. ד"ה כל)</w:t>
      </w:r>
      <w:r>
        <w:rPr>
          <w:rFonts w:asciiTheme="minorBidi" w:hAnsiTheme="minorBidi" w:cs="Arial" w:hint="cs"/>
          <w:rtl/>
        </w:rPr>
        <w:t xml:space="preserve"> </w:t>
      </w:r>
      <w:r w:rsidR="00E60FBB">
        <w:rPr>
          <w:rFonts w:asciiTheme="minorBidi" w:hAnsiTheme="minorBidi" w:cs="Arial" w:hint="cs"/>
          <w:rtl/>
        </w:rPr>
        <w:t xml:space="preserve">רי"ו </w:t>
      </w:r>
      <w:r w:rsidR="00E60FBB">
        <w:rPr>
          <w:rFonts w:asciiTheme="minorBidi" w:hAnsiTheme="minorBidi" w:cs="Arial" w:hint="cs"/>
          <w:sz w:val="16"/>
          <w:szCs w:val="16"/>
          <w:rtl/>
        </w:rPr>
        <w:t xml:space="preserve">(שם) </w:t>
      </w:r>
      <w:r w:rsidR="00E60FBB">
        <w:rPr>
          <w:rFonts w:asciiTheme="minorBidi" w:hAnsiTheme="minorBidi" w:cs="Arial" w:hint="cs"/>
          <w:rtl/>
        </w:rPr>
        <w:t>ו</w:t>
      </w:r>
      <w:r w:rsidR="00890261" w:rsidRPr="00DD3262">
        <w:rPr>
          <w:rFonts w:asciiTheme="minorBidi" w:hAnsiTheme="minorBidi" w:cs="Arial"/>
          <w:rtl/>
        </w:rPr>
        <w:t xml:space="preserve">ר"ן </w:t>
      </w:r>
      <w:r w:rsidR="00890261" w:rsidRPr="00A24C36">
        <w:rPr>
          <w:rFonts w:asciiTheme="minorBidi" w:hAnsiTheme="minorBidi" w:cs="Arial"/>
          <w:sz w:val="16"/>
          <w:szCs w:val="16"/>
          <w:rtl/>
        </w:rPr>
        <w:t>(</w:t>
      </w:r>
      <w:r w:rsidR="00890261" w:rsidRPr="00A24C36">
        <w:rPr>
          <w:rFonts w:asciiTheme="minorBidi" w:hAnsiTheme="minorBidi" w:cs="Arial" w:hint="cs"/>
          <w:sz w:val="16"/>
          <w:szCs w:val="16"/>
          <w:rtl/>
        </w:rPr>
        <w:t xml:space="preserve">פ' כירה </w:t>
      </w:r>
      <w:r w:rsidR="00890261" w:rsidRPr="00A24C36">
        <w:rPr>
          <w:rFonts w:asciiTheme="minorBidi" w:hAnsiTheme="minorBidi" w:cs="Arial"/>
          <w:sz w:val="16"/>
          <w:szCs w:val="16"/>
          <w:rtl/>
        </w:rPr>
        <w:t>יט. ד"ה ת</w:t>
      </w:r>
      <w:r w:rsidR="00890261">
        <w:rPr>
          <w:rFonts w:asciiTheme="minorBidi" w:hAnsiTheme="minorBidi" w:cs="Arial" w:hint="cs"/>
          <w:sz w:val="16"/>
          <w:szCs w:val="16"/>
          <w:rtl/>
        </w:rPr>
        <w:t>"ר</w:t>
      </w:r>
      <w:r w:rsidR="00890261" w:rsidRPr="00A24C36">
        <w:rPr>
          <w:rFonts w:asciiTheme="minorBidi" w:hAnsiTheme="minorBidi" w:cs="Arial"/>
          <w:sz w:val="16"/>
          <w:szCs w:val="16"/>
          <w:rtl/>
        </w:rPr>
        <w:t xml:space="preserve"> מביא)</w:t>
      </w:r>
      <w:r w:rsidR="00890261">
        <w:rPr>
          <w:rFonts w:asciiTheme="minorBidi" w:hAnsiTheme="minorBidi" w:cs="Arial" w:hint="cs"/>
          <w:rtl/>
        </w:rPr>
        <w:t>-</w:t>
      </w:r>
      <w:r w:rsidR="00890261" w:rsidRPr="0080099F">
        <w:rPr>
          <w:rtl/>
        </w:rPr>
        <w:t xml:space="preserve"> </w:t>
      </w:r>
      <w:r w:rsidR="00E60FBB">
        <w:rPr>
          <w:rFonts w:cs="Arial" w:hint="cs"/>
          <w:rtl/>
        </w:rPr>
        <w:t>כ</w:t>
      </w:r>
      <w:r w:rsidR="00E60FBB" w:rsidRPr="00E60FBB">
        <w:rPr>
          <w:rFonts w:cs="Arial"/>
          <w:rtl/>
        </w:rPr>
        <w:t>ל שבא בחמין מלפני השבת</w:t>
      </w:r>
      <w:r w:rsidR="00E60FBB">
        <w:rPr>
          <w:rFonts w:cs="Arial" w:hint="cs"/>
          <w:rtl/>
        </w:rPr>
        <w:t>... -</w:t>
      </w:r>
      <w:r w:rsidR="00E60FBB" w:rsidRPr="00E60FBB">
        <w:rPr>
          <w:rFonts w:cs="Arial"/>
          <w:rtl/>
        </w:rPr>
        <w:t xml:space="preserve"> שורין אותו בחמין אפילו בכלי ראשון</w:t>
      </w:r>
      <w:r w:rsidR="00890261">
        <w:rPr>
          <w:rStyle w:val="a9"/>
          <w:rFonts w:asciiTheme="minorBidi" w:hAnsiTheme="minorBidi" w:cs="Arial"/>
          <w:rtl/>
        </w:rPr>
        <w:footnoteReference w:id="2732"/>
      </w:r>
      <w:r w:rsidR="00E60FBB">
        <w:rPr>
          <w:rFonts w:asciiTheme="minorBidi" w:hAnsiTheme="minorBidi" w:cs="Arial" w:hint="cs"/>
          <w:sz w:val="16"/>
          <w:szCs w:val="16"/>
          <w:rtl/>
        </w:rPr>
        <w:t xml:space="preserve"> (ל' התוס')</w:t>
      </w:r>
      <w:r w:rsidR="00890261">
        <w:rPr>
          <w:rFonts w:asciiTheme="minorBidi" w:hAnsiTheme="minorBidi" w:cs="Arial" w:hint="cs"/>
          <w:rtl/>
        </w:rPr>
        <w:t>.</w:t>
      </w:r>
    </w:p>
    <w:p w14:paraId="557ECC36" w14:textId="602DFD5B" w:rsidR="00A96C69" w:rsidRPr="00A96C69" w:rsidRDefault="00A96C69" w:rsidP="00434A6A">
      <w:pPr>
        <w:rPr>
          <w:rFonts w:asciiTheme="minorBidi" w:hAnsiTheme="minorBidi" w:cs="Arial"/>
          <w:u w:val="single"/>
          <w:rtl/>
        </w:rPr>
      </w:pPr>
      <w:r>
        <w:rPr>
          <w:rFonts w:asciiTheme="minorBidi" w:hAnsiTheme="minorBidi" w:hint="cs"/>
          <w:u w:val="single"/>
          <w:rtl/>
        </w:rPr>
        <w:t>"</w:t>
      </w:r>
      <w:r w:rsidRPr="00A96C69">
        <w:rPr>
          <w:rFonts w:asciiTheme="minorBidi" w:hAnsiTheme="minorBidi"/>
          <w:u w:val="single"/>
          <w:rtl/>
        </w:rPr>
        <w:t>כל שלא בא בחמין</w:t>
      </w:r>
      <w:r w:rsidRPr="00A96C69">
        <w:rPr>
          <w:rFonts w:asciiTheme="minorBidi" w:hAnsiTheme="minorBidi" w:hint="cs"/>
          <w:u w:val="single"/>
          <w:rtl/>
        </w:rPr>
        <w:t xml:space="preserve"> </w:t>
      </w:r>
      <w:r w:rsidRPr="00A96C69">
        <w:rPr>
          <w:rFonts w:asciiTheme="minorBidi" w:hAnsiTheme="minorBidi"/>
          <w:u w:val="single"/>
          <w:rtl/>
        </w:rPr>
        <w:t>מערב שבת מדיחין אותו בחמין בשבת</w:t>
      </w:r>
      <w:r>
        <w:rPr>
          <w:rFonts w:asciiTheme="minorBidi" w:hAnsiTheme="minorBidi" w:hint="cs"/>
          <w:u w:val="single"/>
          <w:rtl/>
        </w:rPr>
        <w:t>"</w:t>
      </w:r>
      <w:r>
        <w:rPr>
          <w:rFonts w:asciiTheme="minorBidi" w:hAnsiTheme="minorBidi" w:cs="Arial" w:hint="cs"/>
          <w:u w:val="single"/>
          <w:rtl/>
        </w:rPr>
        <w:t xml:space="preserve"> - האם אפשר להדיחו ע"י עירוי מכלי ראשון</w:t>
      </w:r>
      <w:r w:rsidRPr="00A96C69">
        <w:rPr>
          <w:rFonts w:asciiTheme="minorBidi" w:hAnsiTheme="minorBidi" w:cs="Arial" w:hint="cs"/>
          <w:u w:val="single"/>
          <w:rtl/>
        </w:rPr>
        <w:t>:</w:t>
      </w:r>
    </w:p>
    <w:p w14:paraId="0856E0E4" w14:textId="1B506643" w:rsidR="00A96C69" w:rsidRPr="00A96C69" w:rsidRDefault="00A96C69" w:rsidP="00434A6A">
      <w:pPr>
        <w:pStyle w:val="aa"/>
        <w:numPr>
          <w:ilvl w:val="0"/>
          <w:numId w:val="32"/>
        </w:numPr>
        <w:rPr>
          <w:rFonts w:asciiTheme="minorBidi" w:hAnsiTheme="minorBidi" w:cs="Arial"/>
          <w:rtl/>
        </w:rPr>
      </w:pPr>
      <w:r w:rsidRPr="00A96C69">
        <w:rPr>
          <w:rFonts w:asciiTheme="minorBidi" w:hAnsiTheme="minorBidi" w:cs="Arial"/>
          <w:rtl/>
        </w:rPr>
        <w:t>תוס</w:t>
      </w:r>
      <w:r w:rsidRPr="00A96C69">
        <w:rPr>
          <w:rFonts w:asciiTheme="minorBidi" w:hAnsiTheme="minorBidi" w:cs="Arial" w:hint="cs"/>
          <w:rtl/>
        </w:rPr>
        <w:t xml:space="preserve">' </w:t>
      </w:r>
      <w:r w:rsidRPr="00A96C69">
        <w:rPr>
          <w:rFonts w:asciiTheme="minorBidi" w:hAnsiTheme="minorBidi" w:cs="Arial"/>
          <w:sz w:val="16"/>
          <w:szCs w:val="16"/>
          <w:rtl/>
        </w:rPr>
        <w:t>(לט. ד"ה כל)</w:t>
      </w:r>
      <w:r w:rsidRPr="00A96C69">
        <w:rPr>
          <w:rFonts w:asciiTheme="minorBidi" w:hAnsiTheme="minorBidi" w:cs="Arial" w:hint="cs"/>
          <w:rtl/>
        </w:rPr>
        <w:t xml:space="preserve">- </w:t>
      </w:r>
      <w:r w:rsidRPr="00A96C69">
        <w:rPr>
          <w:rFonts w:asciiTheme="minorBidi" w:hAnsiTheme="minorBidi" w:cs="Arial"/>
          <w:rtl/>
        </w:rPr>
        <w:t>לפירוש רשב"א דמפרש דעירוי ככלי שני</w:t>
      </w:r>
      <w:r w:rsidR="00365A08">
        <w:rPr>
          <w:rFonts w:asciiTheme="minorBidi" w:hAnsiTheme="minorBidi" w:cs="Arial" w:hint="cs"/>
          <w:rtl/>
        </w:rPr>
        <w:t>,</w:t>
      </w:r>
      <w:r w:rsidRPr="00A96C69">
        <w:rPr>
          <w:rFonts w:asciiTheme="minorBidi" w:hAnsiTheme="minorBidi" w:cs="Arial"/>
          <w:rtl/>
        </w:rPr>
        <w:t xml:space="preserve"> אתי שפיר הכא דאין שורין אותו בכלי ראשון</w:t>
      </w:r>
      <w:r w:rsidR="00365A08">
        <w:rPr>
          <w:rFonts w:asciiTheme="minorBidi" w:hAnsiTheme="minorBidi" w:cs="Arial" w:hint="cs"/>
          <w:rtl/>
        </w:rPr>
        <w:t>,</w:t>
      </w:r>
      <w:r w:rsidRPr="00A96C69">
        <w:rPr>
          <w:rFonts w:asciiTheme="minorBidi" w:hAnsiTheme="minorBidi" w:cs="Arial"/>
          <w:rtl/>
        </w:rPr>
        <w:t xml:space="preserve"> אבל מדיחין אותו מכלי ראשון דרך עירוי</w:t>
      </w:r>
      <w:r w:rsidR="00365A08">
        <w:rPr>
          <w:rFonts w:asciiTheme="minorBidi" w:hAnsiTheme="minorBidi" w:cs="Arial" w:hint="cs"/>
          <w:rtl/>
        </w:rPr>
        <w:t>.</w:t>
      </w:r>
      <w:r w:rsidRPr="00A96C69">
        <w:rPr>
          <w:rFonts w:asciiTheme="minorBidi" w:hAnsiTheme="minorBidi" w:cs="Arial"/>
          <w:rtl/>
        </w:rPr>
        <w:t xml:space="preserve"> אבל לפר"ת דמפרש דעירוי הוי ככלי ראשון</w:t>
      </w:r>
      <w:r w:rsidR="00365A08">
        <w:rPr>
          <w:rFonts w:asciiTheme="minorBidi" w:hAnsiTheme="minorBidi" w:cs="Arial" w:hint="cs"/>
          <w:rtl/>
        </w:rPr>
        <w:t>,</w:t>
      </w:r>
      <w:r w:rsidRPr="00A96C69">
        <w:rPr>
          <w:rFonts w:asciiTheme="minorBidi" w:hAnsiTheme="minorBidi" w:cs="Arial"/>
          <w:rtl/>
        </w:rPr>
        <w:t xml:space="preserve"> ע</w:t>
      </w:r>
      <w:r w:rsidR="00365A08">
        <w:rPr>
          <w:rFonts w:asciiTheme="minorBidi" w:hAnsiTheme="minorBidi" w:cs="Arial" w:hint="cs"/>
          <w:rtl/>
        </w:rPr>
        <w:t xml:space="preserve">ל </w:t>
      </w:r>
      <w:r w:rsidRPr="00A96C69">
        <w:rPr>
          <w:rFonts w:asciiTheme="minorBidi" w:hAnsiTheme="minorBidi" w:cs="Arial"/>
          <w:rtl/>
        </w:rPr>
        <w:t>כ</w:t>
      </w:r>
      <w:r w:rsidR="00365A08">
        <w:rPr>
          <w:rFonts w:asciiTheme="minorBidi" w:hAnsiTheme="minorBidi" w:cs="Arial" w:hint="cs"/>
          <w:rtl/>
        </w:rPr>
        <w:t>רחך</w:t>
      </w:r>
      <w:r w:rsidRPr="00A96C69">
        <w:rPr>
          <w:rFonts w:asciiTheme="minorBidi" w:hAnsiTheme="minorBidi" w:cs="Arial"/>
          <w:rtl/>
        </w:rPr>
        <w:t xml:space="preserve"> מדיחין אותו מכלי שני קאמר</w:t>
      </w:r>
      <w:r w:rsidR="00365A08">
        <w:rPr>
          <w:rFonts w:asciiTheme="minorBidi" w:hAnsiTheme="minorBidi" w:cs="Arial" w:hint="cs"/>
          <w:rtl/>
        </w:rPr>
        <w:t>.</w:t>
      </w:r>
      <w:r w:rsidRPr="00A96C69">
        <w:rPr>
          <w:rFonts w:asciiTheme="minorBidi" w:hAnsiTheme="minorBidi" w:cs="Arial"/>
          <w:rtl/>
        </w:rPr>
        <w:t xml:space="preserve"> וא"כ מאי איריא מדיחין</w:t>
      </w:r>
      <w:r w:rsidR="00365A08">
        <w:rPr>
          <w:rFonts w:asciiTheme="minorBidi" w:hAnsiTheme="minorBidi" w:cs="Arial" w:hint="cs"/>
          <w:rtl/>
        </w:rPr>
        <w:t>,</w:t>
      </w:r>
      <w:r w:rsidRPr="00A96C69">
        <w:rPr>
          <w:rFonts w:asciiTheme="minorBidi" w:hAnsiTheme="minorBidi" w:cs="Arial"/>
          <w:rtl/>
        </w:rPr>
        <w:t xml:space="preserve"> אפילו שורין נמי</w:t>
      </w:r>
      <w:r w:rsidR="00365A08">
        <w:rPr>
          <w:rFonts w:asciiTheme="minorBidi" w:hAnsiTheme="minorBidi" w:cs="Arial" w:hint="cs"/>
          <w:rtl/>
        </w:rPr>
        <w:t>.</w:t>
      </w:r>
      <w:r w:rsidRPr="00A96C69">
        <w:rPr>
          <w:rFonts w:asciiTheme="minorBidi" w:hAnsiTheme="minorBidi" w:cs="Arial"/>
          <w:rtl/>
        </w:rPr>
        <w:t xml:space="preserve"> ואומר ר"י דאפילו בכלי שני אין שורין דהואיל דהמים חמין מיחזי כמבשל</w:t>
      </w:r>
      <w:r w:rsidR="00365A08">
        <w:rPr>
          <w:rFonts w:asciiTheme="minorBidi" w:hAnsiTheme="minorBidi" w:cs="Arial" w:hint="cs"/>
          <w:rtl/>
        </w:rPr>
        <w:t>.</w:t>
      </w:r>
      <w:r w:rsidRPr="00A96C69">
        <w:rPr>
          <w:rFonts w:asciiTheme="minorBidi" w:hAnsiTheme="minorBidi" w:cs="Arial"/>
          <w:rtl/>
        </w:rPr>
        <w:t xml:space="preserve"> ואע</w:t>
      </w:r>
      <w:r w:rsidR="00365A08">
        <w:rPr>
          <w:rFonts w:asciiTheme="minorBidi" w:hAnsiTheme="minorBidi" w:cs="Arial" w:hint="cs"/>
          <w:rtl/>
        </w:rPr>
        <w:t>"</w:t>
      </w:r>
      <w:r w:rsidRPr="00A96C69">
        <w:rPr>
          <w:rFonts w:asciiTheme="minorBidi" w:hAnsiTheme="minorBidi" w:cs="Arial"/>
          <w:rtl/>
        </w:rPr>
        <w:t>ג דתנן לקמן (מב:) אבל נותן לתוך הקערה או לתוך התמחוי</w:t>
      </w:r>
      <w:r w:rsidR="00365A08">
        <w:rPr>
          <w:rFonts w:asciiTheme="minorBidi" w:hAnsiTheme="minorBidi" w:cs="Arial" w:hint="cs"/>
          <w:rtl/>
        </w:rPr>
        <w:t>,</w:t>
      </w:r>
      <w:r w:rsidRPr="00A96C69">
        <w:rPr>
          <w:rFonts w:asciiTheme="minorBidi" w:hAnsiTheme="minorBidi" w:cs="Arial"/>
          <w:rtl/>
        </w:rPr>
        <w:t xml:space="preserve"> היינו דוקא תבלין שהן עשויין למתק את הקדירה ולא מיחזי כמבשל</w:t>
      </w:r>
      <w:r w:rsidR="00365A08">
        <w:rPr>
          <w:rFonts w:asciiTheme="minorBidi" w:hAnsiTheme="minorBidi" w:cs="Arial" w:hint="cs"/>
          <w:rtl/>
        </w:rPr>
        <w:t>.</w:t>
      </w:r>
      <w:r w:rsidRPr="00A96C69">
        <w:rPr>
          <w:rFonts w:asciiTheme="minorBidi" w:hAnsiTheme="minorBidi" w:cs="Arial"/>
          <w:rtl/>
        </w:rPr>
        <w:t xml:space="preserve"> א"נ ה"ה שורין אותו כיון דאיירי בכלי שני</w:t>
      </w:r>
      <w:r w:rsidR="00365A08">
        <w:rPr>
          <w:rFonts w:asciiTheme="minorBidi" w:hAnsiTheme="minorBidi" w:cs="Arial" w:hint="cs"/>
          <w:rtl/>
        </w:rPr>
        <w:t>,</w:t>
      </w:r>
      <w:r w:rsidRPr="00A96C69">
        <w:rPr>
          <w:rFonts w:asciiTheme="minorBidi" w:hAnsiTheme="minorBidi" w:cs="Arial"/>
          <w:rtl/>
        </w:rPr>
        <w:t xml:space="preserve"> והא דנקט מדיחין לאשמעינן דאפילו הדחה הויא גמר מלאכ</w:t>
      </w:r>
      <w:r w:rsidR="00365A08">
        <w:rPr>
          <w:rFonts w:asciiTheme="minorBidi" w:hAnsiTheme="minorBidi" w:cs="Arial" w:hint="cs"/>
          <w:rtl/>
        </w:rPr>
        <w:t xml:space="preserve">ה </w:t>
      </w:r>
      <w:r w:rsidRPr="00A96C69">
        <w:rPr>
          <w:rFonts w:asciiTheme="minorBidi" w:hAnsiTheme="minorBidi" w:cs="Arial"/>
          <w:rtl/>
        </w:rPr>
        <w:t>במליח הישן וקולייס האיספנין</w:t>
      </w:r>
      <w:r w:rsidRPr="00A96C69">
        <w:rPr>
          <w:rFonts w:asciiTheme="minorBidi" w:hAnsiTheme="minorBidi" w:cs="Arial" w:hint="cs"/>
          <w:rtl/>
        </w:rPr>
        <w:t>.</w:t>
      </w:r>
      <w:r w:rsidRPr="00A96C69">
        <w:rPr>
          <w:rFonts w:asciiTheme="minorBidi" w:hAnsiTheme="minorBidi" w:cs="Arial"/>
          <w:rtl/>
        </w:rPr>
        <w:t xml:space="preserve"> </w:t>
      </w:r>
    </w:p>
    <w:p w14:paraId="08056840" w14:textId="77777777" w:rsidR="00A96C69" w:rsidRPr="00A96C69" w:rsidRDefault="00A96C69" w:rsidP="00434A6A">
      <w:pPr>
        <w:ind w:left="360"/>
        <w:rPr>
          <w:rFonts w:asciiTheme="minorBidi" w:hAnsiTheme="minorBidi"/>
          <w:u w:val="dotted"/>
        </w:rPr>
      </w:pPr>
      <w:r w:rsidRPr="00A96C69">
        <w:rPr>
          <w:rFonts w:asciiTheme="minorBidi" w:hAnsiTheme="minorBidi" w:hint="cs"/>
          <w:u w:val="dotted"/>
          <w:rtl/>
        </w:rPr>
        <w:t>ומה הדין בדבר שהדחתו זו היא גמר מלאכתו:</w:t>
      </w:r>
    </w:p>
    <w:p w14:paraId="0B5B3DE5" w14:textId="0344AEF3" w:rsidR="00085BCA" w:rsidRDefault="00A96C69" w:rsidP="00434A6A">
      <w:pPr>
        <w:pStyle w:val="aa"/>
        <w:numPr>
          <w:ilvl w:val="0"/>
          <w:numId w:val="32"/>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(פ"ט ה"ב)</w:t>
      </w:r>
      <w:r w:rsidR="00365A08">
        <w:rPr>
          <w:rFonts w:asciiTheme="minorBidi" w:hAnsiTheme="minorBidi" w:cs="Arial" w:hint="cs"/>
          <w:rtl/>
        </w:rPr>
        <w:t xml:space="preserve"> וטור</w:t>
      </w:r>
      <w:r>
        <w:rPr>
          <w:rFonts w:asciiTheme="minorBidi" w:hAnsiTheme="minorBidi" w:cs="Arial" w:hint="cs"/>
          <w:rtl/>
        </w:rPr>
        <w:t xml:space="preserve">- </w:t>
      </w:r>
      <w:r w:rsidRPr="00764C18">
        <w:rPr>
          <w:rFonts w:asciiTheme="minorBidi" w:hAnsiTheme="minorBidi" w:cs="Arial"/>
          <w:rtl/>
        </w:rPr>
        <w:t>המדיח בחמין מליח הישן</w:t>
      </w:r>
      <w:r w:rsidR="00365A08">
        <w:rPr>
          <w:rFonts w:asciiTheme="minorBidi" w:hAnsiTheme="minorBidi" w:cs="Arial" w:hint="cs"/>
          <w:rtl/>
        </w:rPr>
        <w:t>,</w:t>
      </w:r>
      <w:r w:rsidRPr="00764C18">
        <w:rPr>
          <w:rFonts w:asciiTheme="minorBidi" w:hAnsiTheme="minorBidi" w:cs="Arial"/>
          <w:rtl/>
        </w:rPr>
        <w:t xml:space="preserve"> או קוליס האספנין והוא דג דק ורך ביותר </w:t>
      </w:r>
      <w:r>
        <w:rPr>
          <w:rFonts w:asciiTheme="minorBidi" w:hAnsiTheme="minorBidi" w:cs="Arial" w:hint="cs"/>
          <w:rtl/>
        </w:rPr>
        <w:t xml:space="preserve">- </w:t>
      </w:r>
      <w:r w:rsidRPr="00764C18">
        <w:rPr>
          <w:rFonts w:asciiTheme="minorBidi" w:hAnsiTheme="minorBidi" w:cs="Arial"/>
          <w:rtl/>
        </w:rPr>
        <w:t>הרי זה חייב, שהדחתן בחמין זה הוא גמר בשולן</w:t>
      </w:r>
      <w:r>
        <w:rPr>
          <w:rFonts w:asciiTheme="minorBidi" w:hAnsiTheme="minorBidi" w:cs="Arial" w:hint="cs"/>
          <w:rtl/>
        </w:rPr>
        <w:t>,</w:t>
      </w:r>
      <w:r w:rsidRPr="00764C18">
        <w:rPr>
          <w:rFonts w:asciiTheme="minorBidi" w:hAnsiTheme="minorBidi" w:cs="Arial"/>
          <w:rtl/>
        </w:rPr>
        <w:t xml:space="preserve"> וכן כל כיוצא בהן</w:t>
      </w:r>
      <w:r w:rsidR="00365A08">
        <w:rPr>
          <w:rFonts w:asciiTheme="minorBidi" w:hAnsiTheme="minorBidi" w:hint="cs"/>
          <w:sz w:val="16"/>
          <w:szCs w:val="16"/>
          <w:rtl/>
        </w:rPr>
        <w:t xml:space="preserve"> (ל' הרמב"ם)</w:t>
      </w:r>
      <w:r>
        <w:rPr>
          <w:rFonts w:asciiTheme="minorBidi" w:hAnsiTheme="minorBidi" w:hint="cs"/>
          <w:rtl/>
        </w:rPr>
        <w:t>.</w:t>
      </w:r>
      <w:r w:rsidR="00D44C17">
        <w:rPr>
          <w:rFonts w:asciiTheme="minorBidi" w:hAnsiTheme="minorBidi" w:hint="cs"/>
          <w:rtl/>
        </w:rPr>
        <w:t xml:space="preserve"> </w:t>
      </w:r>
      <w:r w:rsidR="00D44C17" w:rsidRPr="00153DB1">
        <w:rPr>
          <w:rFonts w:asciiTheme="minorBidi" w:hAnsiTheme="minorBidi" w:hint="cs"/>
          <w:color w:val="E36C0A" w:themeColor="accent6" w:themeShade="BF"/>
          <w:rtl/>
        </w:rPr>
        <w:t>(וכ"פ בשו"ע)</w:t>
      </w:r>
    </w:p>
    <w:p w14:paraId="41369702" w14:textId="23B23A2C" w:rsidR="00085BCA" w:rsidRPr="004973EC" w:rsidRDefault="00CA5E21" w:rsidP="00434A6A">
      <w:pPr>
        <w:rPr>
          <w:rFonts w:asciiTheme="minorBidi" w:hAnsiTheme="minorBidi"/>
          <w:u w:val="dotted"/>
        </w:rPr>
      </w:pPr>
      <w:r w:rsidRPr="00D44C17">
        <w:rPr>
          <w:rFonts w:cs="Arial" w:hint="cs"/>
          <w:u w:val="single"/>
          <w:rtl/>
        </w:rPr>
        <w:t>תיקון דבר מאכל</w:t>
      </w:r>
      <w:r w:rsidRPr="00CA5E21">
        <w:rPr>
          <w:rFonts w:cs="Arial" w:hint="cs"/>
          <w:sz w:val="16"/>
          <w:szCs w:val="16"/>
          <w:u w:val="single"/>
          <w:rtl/>
        </w:rPr>
        <w:t xml:space="preserve"> </w:t>
      </w:r>
      <w:r>
        <w:rPr>
          <w:rFonts w:cs="Arial" w:hint="cs"/>
          <w:sz w:val="16"/>
          <w:szCs w:val="16"/>
          <w:u w:val="single"/>
          <w:rtl/>
        </w:rPr>
        <w:t>(</w:t>
      </w:r>
      <w:r w:rsidRPr="00CA5E21">
        <w:rPr>
          <w:rFonts w:cs="Arial" w:hint="cs"/>
          <w:sz w:val="16"/>
          <w:szCs w:val="16"/>
          <w:u w:val="single"/>
          <w:rtl/>
        </w:rPr>
        <w:t>שלא היה ראוי לאכילה</w:t>
      </w:r>
      <w:r>
        <w:rPr>
          <w:rFonts w:cs="Arial" w:hint="cs"/>
          <w:sz w:val="16"/>
          <w:szCs w:val="16"/>
          <w:u w:val="single"/>
          <w:rtl/>
        </w:rPr>
        <w:t>)</w:t>
      </w:r>
      <w:r>
        <w:rPr>
          <w:rFonts w:cs="Arial" w:hint="cs"/>
          <w:u w:val="single"/>
          <w:rtl/>
        </w:rPr>
        <w:t xml:space="preserve"> ע"י הדחה/שרייה במים קרים</w:t>
      </w:r>
      <w:r w:rsidRPr="00D44C17">
        <w:rPr>
          <w:rFonts w:cs="Arial" w:hint="cs"/>
          <w:u w:val="single"/>
          <w:rtl/>
        </w:rPr>
        <w:t>:</w:t>
      </w:r>
      <w:r>
        <w:rPr>
          <w:rFonts w:cs="Arial" w:hint="cs"/>
          <w:rtl/>
        </w:rPr>
        <w:t xml:space="preserve"> </w:t>
      </w:r>
    </w:p>
    <w:p w14:paraId="239B219D" w14:textId="27B19AE0" w:rsidR="00D44C17" w:rsidRPr="00CA5E21" w:rsidRDefault="00085BCA" w:rsidP="00434A6A">
      <w:pPr>
        <w:pStyle w:val="aa"/>
        <w:numPr>
          <w:ilvl w:val="0"/>
          <w:numId w:val="32"/>
        </w:numPr>
        <w:rPr>
          <w:rFonts w:asciiTheme="minorBidi" w:hAnsiTheme="minorBidi"/>
          <w:rtl/>
        </w:rPr>
      </w:pPr>
      <w:r>
        <w:rPr>
          <w:rFonts w:asciiTheme="minorBidi" w:hAnsiTheme="minorBidi" w:cs="Arial" w:hint="cs"/>
          <w:rtl/>
        </w:rPr>
        <w:t xml:space="preserve">ב"י- </w:t>
      </w:r>
      <w:r w:rsidR="00DD3262" w:rsidRPr="00085BCA">
        <w:rPr>
          <w:rFonts w:asciiTheme="minorBidi" w:hAnsiTheme="minorBidi" w:cs="Arial"/>
          <w:rtl/>
        </w:rPr>
        <w:t xml:space="preserve">וקולייס האיספנין פירש רש"י בפרק כירה שהוא דג שקורין טונינ"א. וכתוב בספר הפרדס </w:t>
      </w:r>
      <w:r w:rsidR="004973EC">
        <w:rPr>
          <w:rFonts w:asciiTheme="minorBidi" w:hAnsiTheme="minorBidi" w:hint="cs"/>
          <w:sz w:val="16"/>
          <w:szCs w:val="16"/>
          <w:rtl/>
        </w:rPr>
        <w:t xml:space="preserve">(ספר ליקוטי הפרדס, </w:t>
      </w:r>
      <w:r w:rsidR="004973EC" w:rsidRPr="008C1C8E">
        <w:rPr>
          <w:rFonts w:asciiTheme="minorBidi" w:hAnsiTheme="minorBidi"/>
          <w:sz w:val="16"/>
          <w:szCs w:val="16"/>
          <w:rtl/>
        </w:rPr>
        <w:t>מונקאשט לח ע"ב/ עמ' 148 בשאר המהדורות</w:t>
      </w:r>
      <w:r w:rsidR="004973EC">
        <w:rPr>
          <w:rFonts w:asciiTheme="minorBidi" w:hAnsiTheme="minorBidi" w:hint="cs"/>
          <w:sz w:val="16"/>
          <w:szCs w:val="16"/>
          <w:rtl/>
        </w:rPr>
        <w:t>)</w:t>
      </w:r>
      <w:r w:rsidR="004973EC" w:rsidRPr="00085BCA">
        <w:rPr>
          <w:rFonts w:asciiTheme="minorBidi" w:hAnsiTheme="minorBidi" w:cs="Arial"/>
          <w:rtl/>
        </w:rPr>
        <w:t xml:space="preserve"> </w:t>
      </w:r>
      <w:r w:rsidR="00DD3262" w:rsidRPr="00085BCA">
        <w:rPr>
          <w:rFonts w:asciiTheme="minorBidi" w:hAnsiTheme="minorBidi" w:cs="Arial"/>
          <w:rtl/>
        </w:rPr>
        <w:t>שיש מפרשים מליח הישן וקולייס האיספנין שניהם טרית הם</w:t>
      </w:r>
      <w:r>
        <w:rPr>
          <w:rFonts w:asciiTheme="minorBidi" w:hAnsiTheme="minorBidi" w:cs="Arial" w:hint="cs"/>
          <w:rtl/>
        </w:rPr>
        <w:t>.</w:t>
      </w:r>
      <w:r w:rsidR="00DD3262" w:rsidRPr="00085BCA">
        <w:rPr>
          <w:rFonts w:asciiTheme="minorBidi" w:hAnsiTheme="minorBidi" w:cs="Arial"/>
          <w:rtl/>
        </w:rPr>
        <w:t xml:space="preserve"> ולאו הכין הוא</w:t>
      </w:r>
      <w:r>
        <w:rPr>
          <w:rFonts w:asciiTheme="minorBidi" w:hAnsiTheme="minorBidi" w:cs="Arial" w:hint="cs"/>
          <w:rtl/>
        </w:rPr>
        <w:t>,</w:t>
      </w:r>
      <w:r w:rsidR="00DD3262" w:rsidRPr="00085BCA">
        <w:rPr>
          <w:rFonts w:asciiTheme="minorBidi" w:hAnsiTheme="minorBidi" w:cs="Arial"/>
          <w:rtl/>
        </w:rPr>
        <w:t xml:space="preserve"> אלא מליח הישן בשר מלוח הרבה</w:t>
      </w:r>
      <w:r>
        <w:rPr>
          <w:rFonts w:asciiTheme="minorBidi" w:hAnsiTheme="minorBidi" w:cs="Arial" w:hint="cs"/>
          <w:rtl/>
        </w:rPr>
        <w:t>,</w:t>
      </w:r>
      <w:r w:rsidR="00DD3262" w:rsidRPr="00085BCA">
        <w:rPr>
          <w:rFonts w:asciiTheme="minorBidi" w:hAnsiTheme="minorBidi" w:cs="Arial"/>
          <w:rtl/>
        </w:rPr>
        <w:t xml:space="preserve"> ודיקא נמי שאומר ישן שלא יאכל כלל אם לא ידיחנו בחמין</w:t>
      </w:r>
      <w:r>
        <w:rPr>
          <w:rFonts w:asciiTheme="minorBidi" w:hAnsiTheme="minorBidi" w:cs="Arial" w:hint="cs"/>
          <w:rtl/>
        </w:rPr>
        <w:t>.</w:t>
      </w:r>
      <w:r w:rsidR="00DD3262" w:rsidRPr="00085BCA">
        <w:rPr>
          <w:rFonts w:asciiTheme="minorBidi" w:hAnsiTheme="minorBidi" w:cs="Arial"/>
          <w:rtl/>
        </w:rPr>
        <w:t xml:space="preserve"> אבל טרית אני אומר שמותר לרחוץ במים קרים בשבת כל דהו ואכיל ליה</w:t>
      </w:r>
      <w:r>
        <w:rPr>
          <w:rFonts w:asciiTheme="minorBidi" w:hAnsiTheme="minorBidi" w:cs="Arial" w:hint="cs"/>
          <w:rtl/>
        </w:rPr>
        <w:t>,</w:t>
      </w:r>
      <w:r w:rsidR="00DD3262" w:rsidRPr="00085BCA">
        <w:rPr>
          <w:rFonts w:asciiTheme="minorBidi" w:hAnsiTheme="minorBidi" w:cs="Arial"/>
          <w:rtl/>
        </w:rPr>
        <w:t xml:space="preserve"> מידי דהוה ארחיצת כוסות וקערות שמותר לעשות כן בשבת</w:t>
      </w:r>
      <w:r>
        <w:rPr>
          <w:rFonts w:asciiTheme="minorBidi" w:hAnsiTheme="minorBidi" w:cs="Arial" w:hint="cs"/>
          <w:rtl/>
        </w:rPr>
        <w:t>.</w:t>
      </w:r>
      <w:r w:rsidR="00DD3262" w:rsidRPr="00085BCA">
        <w:rPr>
          <w:rFonts w:asciiTheme="minorBidi" w:hAnsiTheme="minorBidi" w:cs="Arial"/>
          <w:rtl/>
        </w:rPr>
        <w:t xml:space="preserve"> שהיו אומרים דאסור לאכול טרית דהיינו טונינ"א אם לא ירחצנו בערב שבת</w:t>
      </w:r>
      <w:r>
        <w:rPr>
          <w:rFonts w:asciiTheme="minorBidi" w:hAnsiTheme="minorBidi" w:cs="Arial" w:hint="cs"/>
          <w:rtl/>
        </w:rPr>
        <w:t>.</w:t>
      </w:r>
      <w:r w:rsidR="00DD3262" w:rsidRPr="00085BCA">
        <w:rPr>
          <w:rFonts w:asciiTheme="minorBidi" w:hAnsiTheme="minorBidi" w:cs="Arial"/>
          <w:rtl/>
        </w:rPr>
        <w:t xml:space="preserve"> והדחתה של טרית לאו זה גמר מלאכה שתהא אסורה הדחתה בשבת</w:t>
      </w:r>
      <w:r>
        <w:rPr>
          <w:rFonts w:asciiTheme="minorBidi" w:hAnsiTheme="minorBidi" w:cs="Arial" w:hint="cs"/>
          <w:rtl/>
        </w:rPr>
        <w:t>,</w:t>
      </w:r>
      <w:r w:rsidR="00DD3262" w:rsidRPr="00085BCA">
        <w:rPr>
          <w:rFonts w:asciiTheme="minorBidi" w:hAnsiTheme="minorBidi" w:cs="Arial"/>
          <w:rtl/>
        </w:rPr>
        <w:t xml:space="preserve"> דנאכל מחמת מלחו</w:t>
      </w:r>
      <w:r>
        <w:rPr>
          <w:rFonts w:asciiTheme="minorBidi" w:hAnsiTheme="minorBidi" w:cs="Arial" w:hint="cs"/>
          <w:rtl/>
        </w:rPr>
        <w:t>,</w:t>
      </w:r>
      <w:r w:rsidR="00DD3262" w:rsidRPr="00085BCA">
        <w:rPr>
          <w:rFonts w:asciiTheme="minorBidi" w:hAnsiTheme="minorBidi" w:cs="Arial"/>
          <w:rtl/>
        </w:rPr>
        <w:t xml:space="preserve"> וכדאמרינן טרית טרופה אוכלין אותה הספנין חי מחמת מלחו</w:t>
      </w:r>
      <w:r>
        <w:rPr>
          <w:rFonts w:asciiTheme="minorBidi" w:hAnsiTheme="minorBidi" w:cs="Arial" w:hint="cs"/>
          <w:rtl/>
        </w:rPr>
        <w:t>,</w:t>
      </w:r>
      <w:r w:rsidR="00DD3262" w:rsidRPr="00085BCA">
        <w:rPr>
          <w:rFonts w:asciiTheme="minorBidi" w:hAnsiTheme="minorBidi" w:cs="Arial"/>
          <w:rtl/>
        </w:rPr>
        <w:t xml:space="preserve"> וכל שהוא נאכל מחמת מלחו אין הדחתו גמר מלאכתו</w:t>
      </w:r>
      <w:r>
        <w:rPr>
          <w:rFonts w:asciiTheme="minorBidi" w:hAnsiTheme="minorBidi" w:cs="Arial" w:hint="cs"/>
          <w:rtl/>
        </w:rPr>
        <w:t>.</w:t>
      </w:r>
      <w:r w:rsidR="00DD3262" w:rsidRPr="00085BCA">
        <w:rPr>
          <w:rFonts w:asciiTheme="minorBidi" w:hAnsiTheme="minorBidi" w:cs="Arial"/>
          <w:rtl/>
        </w:rPr>
        <w:t xml:space="preserve"> וקולייס האיספנין דג מלוח הרבה שאינו יכול לאכלו מחמת מלחו אא</w:t>
      </w:r>
      <w:r>
        <w:rPr>
          <w:rFonts w:asciiTheme="minorBidi" w:hAnsiTheme="minorBidi" w:cs="Arial" w:hint="cs"/>
          <w:rtl/>
        </w:rPr>
        <w:t>"</w:t>
      </w:r>
      <w:r w:rsidR="00DD3262" w:rsidRPr="00085BCA">
        <w:rPr>
          <w:rFonts w:asciiTheme="minorBidi" w:hAnsiTheme="minorBidi" w:cs="Arial"/>
          <w:rtl/>
        </w:rPr>
        <w:t>כ ידיחנו בחמין עכ"ל</w:t>
      </w:r>
      <w:r>
        <w:rPr>
          <w:rFonts w:asciiTheme="minorBidi" w:hAnsiTheme="minorBidi" w:cs="Arial" w:hint="cs"/>
          <w:rtl/>
        </w:rPr>
        <w:t>.</w:t>
      </w:r>
      <w:r w:rsidR="00DD3262" w:rsidRPr="00085BCA">
        <w:rPr>
          <w:rFonts w:asciiTheme="minorBidi" w:hAnsiTheme="minorBidi" w:cs="Arial"/>
          <w:rtl/>
        </w:rPr>
        <w:t xml:space="preserve"> ודבריו מגומגמים דא"כ אפילו במים חמין מותר להדיח הטונינ"א ולמה לא התיר אלא במים קרים</w:t>
      </w:r>
      <w:r w:rsidR="00FE47AA">
        <w:rPr>
          <w:rStyle w:val="a9"/>
          <w:rFonts w:asciiTheme="minorBidi" w:hAnsiTheme="minorBidi" w:cs="Arial"/>
          <w:rtl/>
        </w:rPr>
        <w:footnoteReference w:id="2733"/>
      </w:r>
      <w:r>
        <w:rPr>
          <w:rFonts w:asciiTheme="minorBidi" w:hAnsiTheme="minorBidi" w:cs="Arial" w:hint="cs"/>
          <w:rtl/>
        </w:rPr>
        <w:t>.</w:t>
      </w:r>
    </w:p>
    <w:p w14:paraId="5EA919AA" w14:textId="6D4A7EF7" w:rsidR="00D44C17" w:rsidRPr="00D44C17" w:rsidRDefault="00D44C17" w:rsidP="00434A6A">
      <w:pPr>
        <w:pStyle w:val="aa"/>
        <w:numPr>
          <w:ilvl w:val="0"/>
          <w:numId w:val="32"/>
        </w:numPr>
        <w:rPr>
          <w:rFonts w:asciiTheme="minorBidi" w:hAnsiTheme="minorBidi"/>
          <w:rtl/>
        </w:rPr>
      </w:pPr>
      <w:r w:rsidRPr="00D44C17">
        <w:rPr>
          <w:rFonts w:cs="Arial" w:hint="cs"/>
          <w:rtl/>
        </w:rPr>
        <w:t>הגמ"ר</w:t>
      </w:r>
      <w:r w:rsidRPr="00D44C17">
        <w:rPr>
          <w:rFonts w:cs="Arial"/>
          <w:rtl/>
        </w:rPr>
        <w:t xml:space="preserve"> </w:t>
      </w:r>
      <w:r w:rsidRPr="00D44C17">
        <w:rPr>
          <w:rFonts w:cs="Arial"/>
          <w:sz w:val="16"/>
          <w:szCs w:val="16"/>
          <w:rtl/>
        </w:rPr>
        <w:t>(סי</w:t>
      </w:r>
      <w:r w:rsidR="00CA5E21">
        <w:rPr>
          <w:rFonts w:cs="Arial" w:hint="cs"/>
          <w:sz w:val="16"/>
          <w:szCs w:val="16"/>
          <w:rtl/>
        </w:rPr>
        <w:t>'</w:t>
      </w:r>
      <w:r w:rsidRPr="00D44C17">
        <w:rPr>
          <w:rFonts w:cs="Arial"/>
          <w:sz w:val="16"/>
          <w:szCs w:val="16"/>
          <w:rtl/>
        </w:rPr>
        <w:t xml:space="preserve"> תסז</w:t>
      </w:r>
      <w:r w:rsidR="00CA5E21">
        <w:rPr>
          <w:rFonts w:cs="Arial" w:hint="cs"/>
          <w:sz w:val="16"/>
          <w:szCs w:val="16"/>
          <w:rtl/>
        </w:rPr>
        <w:t xml:space="preserve"> הביאו הדרכ"מ [אות ב]</w:t>
      </w:r>
      <w:r w:rsidRPr="00D44C17">
        <w:rPr>
          <w:rFonts w:cs="Arial"/>
          <w:sz w:val="16"/>
          <w:szCs w:val="16"/>
          <w:rtl/>
        </w:rPr>
        <w:t>)</w:t>
      </w:r>
      <w:r w:rsidRPr="00D44C17">
        <w:rPr>
          <w:rFonts w:cs="Arial" w:hint="cs"/>
          <w:rtl/>
        </w:rPr>
        <w:t>-</w:t>
      </w:r>
      <w:r w:rsidRPr="00D44C17">
        <w:rPr>
          <w:rFonts w:cs="Arial"/>
          <w:rtl/>
        </w:rPr>
        <w:t xml:space="preserve"> </w:t>
      </w:r>
      <w:r w:rsidR="00CA5E21" w:rsidRPr="00CA5E21">
        <w:rPr>
          <w:rFonts w:cs="Arial"/>
          <w:rtl/>
        </w:rPr>
        <w:t xml:space="preserve">שהדחתו זו היא גמר מלאכתו מכאן אומר הר"ם דבר שהוא קשה ואין יכולין לאכלו כ"א ע"י שרייה </w:t>
      </w:r>
      <w:r w:rsidR="0099303A">
        <w:rPr>
          <w:rFonts w:cs="Arial" w:hint="cs"/>
          <w:rtl/>
        </w:rPr>
        <w:t xml:space="preserve">- </w:t>
      </w:r>
      <w:r w:rsidR="00CA5E21" w:rsidRPr="00CA5E21">
        <w:rPr>
          <w:rFonts w:cs="Arial"/>
          <w:rtl/>
        </w:rPr>
        <w:t>אסור לשרותו</w:t>
      </w:r>
      <w:r w:rsidR="0099303A">
        <w:rPr>
          <w:rFonts w:cs="Arial" w:hint="cs"/>
          <w:rtl/>
        </w:rPr>
        <w:t>,</w:t>
      </w:r>
      <w:r w:rsidR="00CA5E21" w:rsidRPr="00CA5E21">
        <w:rPr>
          <w:rFonts w:cs="Arial"/>
          <w:rtl/>
        </w:rPr>
        <w:t xml:space="preserve"> דזו היא גמר מלאכתו</w:t>
      </w:r>
      <w:r w:rsidRPr="00D44C17">
        <w:rPr>
          <w:rFonts w:cs="Arial" w:hint="cs"/>
          <w:rtl/>
        </w:rPr>
        <w:t>.</w:t>
      </w:r>
      <w:r w:rsidR="00CA5E21">
        <w:rPr>
          <w:rFonts w:asciiTheme="minorBidi" w:hAnsiTheme="minorBidi" w:hint="cs"/>
          <w:rtl/>
        </w:rPr>
        <w:t xml:space="preserve"> </w:t>
      </w:r>
      <w:r w:rsidR="00CA5E21" w:rsidRPr="00153DB1">
        <w:rPr>
          <w:rFonts w:asciiTheme="minorBidi" w:hAnsiTheme="minorBidi" w:hint="cs"/>
          <w:color w:val="00B0F0"/>
          <w:rtl/>
        </w:rPr>
        <w:t>(וכ"</w:t>
      </w:r>
      <w:r w:rsidR="00CA5E21">
        <w:rPr>
          <w:rFonts w:asciiTheme="minorBidi" w:hAnsiTheme="minorBidi" w:hint="cs"/>
          <w:color w:val="00B0F0"/>
          <w:rtl/>
        </w:rPr>
        <w:t>פ</w:t>
      </w:r>
      <w:r w:rsidR="00CA5E21" w:rsidRPr="00153DB1">
        <w:rPr>
          <w:rFonts w:asciiTheme="minorBidi" w:hAnsiTheme="minorBidi" w:hint="cs"/>
          <w:color w:val="00B0F0"/>
          <w:rtl/>
        </w:rPr>
        <w:t xml:space="preserve"> הרמ"א)</w:t>
      </w:r>
    </w:p>
    <w:p w14:paraId="12AB7612" w14:textId="733DCEB5" w:rsidR="00555194" w:rsidRPr="00555194" w:rsidRDefault="00555194" w:rsidP="00434A6A">
      <w:pPr>
        <w:rPr>
          <w:rFonts w:asciiTheme="minorBidi" w:hAnsiTheme="minorBidi"/>
          <w:u w:val="single"/>
          <w:rtl/>
        </w:rPr>
      </w:pPr>
      <w:r w:rsidRPr="00555194">
        <w:rPr>
          <w:rFonts w:asciiTheme="minorBidi" w:hAnsiTheme="minorBidi" w:hint="cs"/>
          <w:u w:val="single"/>
          <w:rtl/>
        </w:rPr>
        <w:t>האם מים שהוחמו כל צורכן הוי דבר שמצטמק ורע לו:</w:t>
      </w:r>
    </w:p>
    <w:p w14:paraId="6F9C502E" w14:textId="6486C662" w:rsidR="00555194" w:rsidRPr="00555194" w:rsidRDefault="00555194" w:rsidP="00FF2D21">
      <w:pPr>
        <w:pStyle w:val="aa"/>
        <w:numPr>
          <w:ilvl w:val="0"/>
          <w:numId w:val="150"/>
        </w:numPr>
        <w:rPr>
          <w:rFonts w:asciiTheme="minorBidi" w:hAnsiTheme="minorBidi" w:cs="Arial"/>
          <w:rtl/>
        </w:rPr>
      </w:pPr>
      <w:r w:rsidRPr="00555194">
        <w:rPr>
          <w:rFonts w:asciiTheme="minorBidi" w:hAnsiTheme="minorBidi" w:cs="Arial" w:hint="cs"/>
          <w:rtl/>
        </w:rPr>
        <w:t xml:space="preserve">תוס' </w:t>
      </w:r>
      <w:r w:rsidRPr="00555194">
        <w:rPr>
          <w:rFonts w:asciiTheme="minorBidi" w:hAnsiTheme="minorBidi" w:cs="Arial" w:hint="cs"/>
          <w:sz w:val="16"/>
          <w:szCs w:val="16"/>
          <w:rtl/>
        </w:rPr>
        <w:t>(שבת לו. ד"ה חמין ותבשיל)</w:t>
      </w:r>
      <w:r w:rsidRPr="00555194">
        <w:rPr>
          <w:rFonts w:asciiTheme="minorBidi" w:hAnsiTheme="minorBidi" w:cs="Arial" w:hint="cs"/>
          <w:rtl/>
        </w:rPr>
        <w:t xml:space="preserve">- </w:t>
      </w:r>
      <w:r w:rsidRPr="00555194">
        <w:rPr>
          <w:rFonts w:asciiTheme="minorBidi" w:hAnsiTheme="minorBidi" w:cs="Arial"/>
          <w:rtl/>
        </w:rPr>
        <w:t>ואור"י דודאי תבשיל אסרי בית שמאי משום דלעולם יפה לו אע</w:t>
      </w:r>
      <w:r w:rsidR="00153DB1">
        <w:rPr>
          <w:rFonts w:asciiTheme="minorBidi" w:hAnsiTheme="minorBidi" w:cs="Arial" w:hint="cs"/>
          <w:rtl/>
        </w:rPr>
        <w:t>"</w:t>
      </w:r>
      <w:r w:rsidRPr="00555194">
        <w:rPr>
          <w:rFonts w:asciiTheme="minorBidi" w:hAnsiTheme="minorBidi" w:cs="Arial"/>
          <w:rtl/>
        </w:rPr>
        <w:t>ג דנתבשל כל צרכו</w:t>
      </w:r>
      <w:r w:rsidR="00153DB1">
        <w:rPr>
          <w:rFonts w:asciiTheme="minorBidi" w:hAnsiTheme="minorBidi" w:cs="Arial" w:hint="cs"/>
          <w:rtl/>
        </w:rPr>
        <w:t>.</w:t>
      </w:r>
      <w:r w:rsidRPr="00555194">
        <w:rPr>
          <w:rFonts w:asciiTheme="minorBidi" w:hAnsiTheme="minorBidi" w:cs="Arial"/>
          <w:rtl/>
        </w:rPr>
        <w:t xml:space="preserve"> אבל חמין שאין יפה להם אלא עד כדי צרכן אבל מכאן ואילך רע להן</w:t>
      </w:r>
      <w:r w:rsidR="00153DB1">
        <w:rPr>
          <w:rFonts w:asciiTheme="minorBidi" w:hAnsiTheme="minorBidi" w:cs="Arial" w:hint="cs"/>
          <w:rtl/>
        </w:rPr>
        <w:t>,</w:t>
      </w:r>
      <w:r w:rsidRPr="00555194">
        <w:rPr>
          <w:rFonts w:asciiTheme="minorBidi" w:hAnsiTheme="minorBidi" w:cs="Arial"/>
          <w:rtl/>
        </w:rPr>
        <w:t xml:space="preserve"> כדמוכח לקמן</w:t>
      </w:r>
      <w:r w:rsidR="00153DB1">
        <w:rPr>
          <w:rFonts w:asciiTheme="minorBidi" w:hAnsiTheme="minorBidi" w:cs="Arial" w:hint="cs"/>
          <w:rtl/>
        </w:rPr>
        <w:t>,</w:t>
      </w:r>
      <w:r w:rsidRPr="00555194">
        <w:rPr>
          <w:rFonts w:asciiTheme="minorBidi" w:hAnsiTheme="minorBidi" w:cs="Arial"/>
          <w:rtl/>
        </w:rPr>
        <w:t xml:space="preserve"> לא אסרי בית שמאי</w:t>
      </w:r>
      <w:r w:rsidR="00153DB1">
        <w:rPr>
          <w:rFonts w:asciiTheme="minorBidi" w:hAnsiTheme="minorBidi" w:cs="Arial" w:hint="cs"/>
          <w:rtl/>
        </w:rPr>
        <w:t>,</w:t>
      </w:r>
      <w:r w:rsidRPr="00555194">
        <w:rPr>
          <w:rFonts w:asciiTheme="minorBidi" w:hAnsiTheme="minorBidi" w:cs="Arial"/>
          <w:rtl/>
        </w:rPr>
        <w:t xml:space="preserve"> דליכא למיגזר שמא יחתה</w:t>
      </w:r>
      <w:r w:rsidR="00153DB1">
        <w:rPr>
          <w:rFonts w:asciiTheme="minorBidi" w:hAnsiTheme="minorBidi" w:cs="Arial" w:hint="cs"/>
          <w:rtl/>
        </w:rPr>
        <w:t>,</w:t>
      </w:r>
      <w:r w:rsidRPr="00555194">
        <w:rPr>
          <w:rFonts w:asciiTheme="minorBidi" w:hAnsiTheme="minorBidi" w:cs="Arial"/>
          <w:rtl/>
        </w:rPr>
        <w:t xml:space="preserve"> דבלא חיתוי יוחמו כל צרכן.</w:t>
      </w:r>
    </w:p>
    <w:p w14:paraId="045753BF"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6F297A6" w14:textId="6A84B6AF" w:rsidR="00FD6162" w:rsidRDefault="006A4BF8" w:rsidP="006B1577">
      <w:pPr>
        <w:tabs>
          <w:tab w:val="left" w:pos="2788"/>
        </w:tabs>
        <w:rPr>
          <w:rFonts w:asciiTheme="minorBidi" w:hAnsiTheme="minorBidi"/>
          <w:rtl/>
        </w:rPr>
      </w:pPr>
      <w:r w:rsidRPr="005275DF">
        <w:rPr>
          <w:rFonts w:asciiTheme="minorBidi" w:hAnsiTheme="minorBidi"/>
          <w:rtl/>
        </w:rPr>
        <w:t xml:space="preserve">תבשיל שנתבשל כל צרכו, יש בו משום בישול אם נצטנן. </w:t>
      </w:r>
      <w:r w:rsidRPr="005275DF">
        <w:rPr>
          <w:rFonts w:asciiTheme="minorBidi" w:hAnsiTheme="minorBidi"/>
          <w:sz w:val="18"/>
          <w:szCs w:val="18"/>
          <w:rtl/>
        </w:rPr>
        <w:t>הגה: וי"א דוקא אם מצטמק ויפה לו</w:t>
      </w:r>
      <w:r w:rsidR="00410921">
        <w:rPr>
          <w:rStyle w:val="a9"/>
          <w:rFonts w:asciiTheme="minorBidi" w:hAnsiTheme="minorBidi"/>
          <w:sz w:val="18"/>
          <w:szCs w:val="18"/>
          <w:rtl/>
        </w:rPr>
        <w:footnoteReference w:id="2734"/>
      </w:r>
      <w:r w:rsidRPr="005275DF">
        <w:rPr>
          <w:rFonts w:asciiTheme="minorBidi" w:hAnsiTheme="minorBidi"/>
          <w:sz w:val="18"/>
          <w:szCs w:val="18"/>
          <w:rtl/>
        </w:rPr>
        <w:t xml:space="preserve"> (רי"ו)</w:t>
      </w:r>
      <w:r w:rsidR="00D764C0">
        <w:rPr>
          <w:rFonts w:asciiTheme="minorBidi" w:hAnsiTheme="minorBidi" w:hint="cs"/>
          <w:rtl/>
        </w:rPr>
        <w:t>.</w:t>
      </w:r>
      <w:r w:rsidRPr="005275DF">
        <w:rPr>
          <w:rFonts w:asciiTheme="minorBidi" w:hAnsiTheme="minorBidi"/>
          <w:rtl/>
        </w:rPr>
        <w:t xml:space="preserve"> ואם לא נתבשל כל צרכו, ואפילו נתבשל כמאכל בן דרוסאי, שייך בו בישול אפילו בעודו רותח</w:t>
      </w:r>
      <w:r w:rsidR="00153DB1">
        <w:rPr>
          <w:rFonts w:asciiTheme="minorBidi" w:hAnsiTheme="minorBidi" w:hint="cs"/>
          <w:rtl/>
        </w:rPr>
        <w:t>.</w:t>
      </w:r>
      <w:r w:rsidRPr="005275DF">
        <w:rPr>
          <w:rFonts w:asciiTheme="minorBidi" w:hAnsiTheme="minorBidi"/>
          <w:rtl/>
        </w:rPr>
        <w:t xml:space="preserve"> והני מילי שיש בו בישול אחר בישול, בתבשיל שיש בו מרק, אבל דבר שנתבשל כבר והוא יבש, מותר לשרותו בחמין בשבת</w:t>
      </w:r>
      <w:r w:rsidRPr="005275DF">
        <w:rPr>
          <w:rStyle w:val="a9"/>
          <w:rFonts w:asciiTheme="minorBidi" w:hAnsiTheme="minorBidi"/>
          <w:rtl/>
        </w:rPr>
        <w:footnoteReference w:id="2735"/>
      </w:r>
      <w:r w:rsidRPr="005275DF">
        <w:rPr>
          <w:rFonts w:asciiTheme="minorBidi" w:hAnsiTheme="minorBidi"/>
          <w:rtl/>
        </w:rPr>
        <w:t>. ואם הוא דבר יבש שלא נתבשל מלפני השבת, אין שורין אותו בחמין בשבת אבל מדיחים אותו בחמין בשבת</w:t>
      </w:r>
      <w:r w:rsidRPr="005275DF">
        <w:rPr>
          <w:rStyle w:val="a9"/>
          <w:rFonts w:asciiTheme="minorBidi" w:hAnsiTheme="minorBidi"/>
          <w:rtl/>
        </w:rPr>
        <w:footnoteReference w:id="2736"/>
      </w:r>
      <w:r w:rsidRPr="005275DF">
        <w:rPr>
          <w:rFonts w:asciiTheme="minorBidi" w:hAnsiTheme="minorBidi"/>
          <w:rtl/>
        </w:rPr>
        <w:t>, חוץ מן המליח הישן ומן הדג שנקרא קולייס האספנין שאינם צריכים בישול אלא מעט והדחתן היא גמר מלאכתן</w:t>
      </w:r>
      <w:r w:rsidRPr="005275DF">
        <w:rPr>
          <w:rStyle w:val="a9"/>
          <w:rFonts w:asciiTheme="minorBidi" w:hAnsiTheme="minorBidi"/>
          <w:rtl/>
        </w:rPr>
        <w:footnoteReference w:id="2737"/>
      </w:r>
      <w:r w:rsidRPr="005275DF">
        <w:rPr>
          <w:rFonts w:asciiTheme="minorBidi" w:hAnsiTheme="minorBidi"/>
          <w:rtl/>
        </w:rPr>
        <w:t>.</w:t>
      </w:r>
      <w:r w:rsidRPr="005275DF">
        <w:rPr>
          <w:rFonts w:asciiTheme="minorBidi" w:hAnsiTheme="minorBidi"/>
          <w:sz w:val="18"/>
          <w:szCs w:val="18"/>
          <w:rtl/>
        </w:rPr>
        <w:t xml:space="preserve"> הגה: וה"ה כל דבר קשה שאינו ראוי לאכול כלל בלא שרייה</w:t>
      </w:r>
      <w:r w:rsidRPr="005275DF">
        <w:rPr>
          <w:rStyle w:val="a9"/>
          <w:rFonts w:asciiTheme="minorBidi" w:hAnsiTheme="minorBidi"/>
          <w:sz w:val="18"/>
          <w:szCs w:val="18"/>
          <w:rtl/>
        </w:rPr>
        <w:footnoteReference w:id="2738"/>
      </w:r>
      <w:r w:rsidRPr="005275DF">
        <w:rPr>
          <w:rFonts w:asciiTheme="minorBidi" w:hAnsiTheme="minorBidi"/>
          <w:sz w:val="18"/>
          <w:szCs w:val="18"/>
          <w:rtl/>
        </w:rPr>
        <w:t>, דאסור לשרותו בשבת, דהוי גמר מלאכה (הג</w:t>
      </w:r>
      <w:r w:rsidR="00D764C0">
        <w:rPr>
          <w:rFonts w:asciiTheme="minorBidi" w:hAnsiTheme="minorBidi" w:hint="cs"/>
          <w:sz w:val="18"/>
          <w:szCs w:val="18"/>
          <w:rtl/>
        </w:rPr>
        <w:t>מ"ר</w:t>
      </w:r>
      <w:r w:rsidRPr="005275DF">
        <w:rPr>
          <w:rFonts w:asciiTheme="minorBidi" w:hAnsiTheme="minorBidi"/>
          <w:sz w:val="18"/>
          <w:szCs w:val="18"/>
          <w:rtl/>
        </w:rPr>
        <w:t xml:space="preserve">). </w:t>
      </w:r>
    </w:p>
    <w:p w14:paraId="00613550" w14:textId="77777777" w:rsidR="006B1577" w:rsidRPr="005275DF" w:rsidRDefault="006B1577" w:rsidP="006B1577">
      <w:pPr>
        <w:tabs>
          <w:tab w:val="left" w:pos="2788"/>
        </w:tabs>
        <w:rPr>
          <w:rFonts w:asciiTheme="minorBidi" w:hAnsiTheme="minorBidi"/>
          <w:rtl/>
        </w:rPr>
      </w:pPr>
    </w:p>
    <w:p w14:paraId="69002748"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ה: בישול אחר אפיה או צליה.</w:t>
      </w:r>
    </w:p>
    <w:p w14:paraId="45EFF25D" w14:textId="5AE90EAB" w:rsidR="006A4BF8" w:rsidRDefault="006A4BF8" w:rsidP="00434A6A">
      <w:pPr>
        <w:rPr>
          <w:rFonts w:asciiTheme="minorBidi" w:hAnsiTheme="minorBidi"/>
          <w:rtl/>
        </w:rPr>
      </w:pPr>
      <w:r w:rsidRPr="005275DF">
        <w:rPr>
          <w:rFonts w:asciiTheme="minorBidi" w:hAnsiTheme="minorBidi"/>
          <w:b/>
          <w:bCs/>
          <w:rtl/>
        </w:rPr>
        <w:t>פסחים</w:t>
      </w:r>
      <w:r w:rsidR="007C4699">
        <w:rPr>
          <w:rFonts w:asciiTheme="minorBidi" w:hAnsiTheme="minorBidi" w:hint="cs"/>
          <w:b/>
          <w:bCs/>
          <w:rtl/>
        </w:rPr>
        <w:t xml:space="preserve"> </w:t>
      </w:r>
      <w:r w:rsidR="007C4699">
        <w:rPr>
          <w:rFonts w:asciiTheme="minorBidi" w:hAnsiTheme="minorBidi" w:hint="cs"/>
          <w:b/>
          <w:bCs/>
          <w:sz w:val="16"/>
          <w:szCs w:val="16"/>
          <w:rtl/>
        </w:rPr>
        <w:t>(פ' כל שעה)</w:t>
      </w:r>
      <w:r w:rsidRPr="005275DF">
        <w:rPr>
          <w:rFonts w:asciiTheme="minorBidi" w:hAnsiTheme="minorBidi"/>
          <w:b/>
          <w:bCs/>
          <w:rtl/>
        </w:rPr>
        <w:t xml:space="preserve"> מא ע"א: </w:t>
      </w:r>
      <w:r w:rsidR="00E13769" w:rsidRPr="00E13769">
        <w:rPr>
          <w:rFonts w:asciiTheme="minorBidi" w:hAnsiTheme="minorBidi" w:cs="Arial"/>
          <w:rtl/>
        </w:rPr>
        <w:t xml:space="preserve">אין מבשלין וכו'. תנו רבנן: במים - אין לי אלא במים, שאר משקין מניין? אמרת: קל וחומר, ומה מים שאין מפיגין טעמן - אסורין, שאר משקין שמפיגין טעמן - לא כל שכן? </w:t>
      </w:r>
      <w:r w:rsidR="00E13769" w:rsidRPr="00E13769">
        <w:rPr>
          <w:rFonts w:asciiTheme="minorBidi" w:hAnsiTheme="minorBidi" w:cs="Arial"/>
          <w:u w:val="single"/>
          <w:rtl/>
        </w:rPr>
        <w:t>רבי אומר</w:t>
      </w:r>
      <w:r w:rsidR="00E13769" w:rsidRPr="00E13769">
        <w:rPr>
          <w:rFonts w:asciiTheme="minorBidi" w:hAnsiTheme="minorBidi" w:cs="Arial"/>
          <w:rtl/>
        </w:rPr>
        <w:t>: במים - אין לי אלא מים, שאר משקין מניין - תלמוד לומר ובשל מבושל</w:t>
      </w:r>
      <w:r w:rsidR="00E70CF5">
        <w:rPr>
          <w:rStyle w:val="a9"/>
          <w:rFonts w:asciiTheme="minorBidi" w:hAnsiTheme="minorBidi" w:cs="Arial"/>
          <w:rtl/>
        </w:rPr>
        <w:footnoteReference w:id="2739"/>
      </w:r>
      <w:r w:rsidR="00E13769" w:rsidRPr="00E13769">
        <w:rPr>
          <w:rFonts w:asciiTheme="minorBidi" w:hAnsiTheme="minorBidi" w:cs="Arial"/>
          <w:rtl/>
        </w:rPr>
        <w:t xml:space="preserve"> - מכל מקום. מאי בינייהו? איכא בינייהו: צלי קדר</w:t>
      </w:r>
      <w:r w:rsidR="00E70CF5">
        <w:rPr>
          <w:rStyle w:val="a9"/>
          <w:rFonts w:asciiTheme="minorBidi" w:hAnsiTheme="minorBidi" w:cs="Arial"/>
          <w:rtl/>
        </w:rPr>
        <w:footnoteReference w:id="2740"/>
      </w:r>
      <w:r w:rsidR="00E13769" w:rsidRPr="00E13769">
        <w:rPr>
          <w:rFonts w:asciiTheme="minorBidi" w:hAnsiTheme="minorBidi" w:cs="Arial"/>
          <w:rtl/>
        </w:rPr>
        <w:t>. ורבנן האי בשל מבושל מאי עבדי להו? מבעי ליה לכדתניא: בשלו ואחר כך צלאו, או שצלאו ואחר כך בשלו - חייב</w:t>
      </w:r>
      <w:r w:rsidR="00E70CF5">
        <w:rPr>
          <w:rStyle w:val="a9"/>
          <w:rFonts w:asciiTheme="minorBidi" w:hAnsiTheme="minorBidi" w:cs="Arial"/>
          <w:rtl/>
        </w:rPr>
        <w:footnoteReference w:id="2741"/>
      </w:r>
      <w:r w:rsidR="00E13769" w:rsidRPr="00E13769">
        <w:rPr>
          <w:rFonts w:asciiTheme="minorBidi" w:hAnsiTheme="minorBidi" w:cs="Arial"/>
          <w:rtl/>
        </w:rPr>
        <w:t xml:space="preserve">. בשלמא בשלו ואחר כך צלאו חייב - דהא בשליה, אלא צלאו ואחר כך בשלו הא צלי אש הוא, אמאי? </w:t>
      </w:r>
      <w:r w:rsidR="00E13769" w:rsidRPr="00E13769">
        <w:rPr>
          <w:rFonts w:asciiTheme="minorBidi" w:hAnsiTheme="minorBidi" w:cs="Arial"/>
          <w:u w:val="single"/>
          <w:rtl/>
        </w:rPr>
        <w:t>אמר רב כהנא</w:t>
      </w:r>
      <w:r w:rsidR="00E13769" w:rsidRPr="00E13769">
        <w:rPr>
          <w:rFonts w:asciiTheme="minorBidi" w:hAnsiTheme="minorBidi" w:cs="Arial"/>
          <w:rtl/>
        </w:rPr>
        <w:t>: הא מני - רבי יוסי היא</w:t>
      </w:r>
      <w:r w:rsidR="00E70CF5">
        <w:rPr>
          <w:rStyle w:val="a9"/>
          <w:rFonts w:asciiTheme="minorBidi" w:hAnsiTheme="minorBidi" w:cs="Arial"/>
          <w:rtl/>
        </w:rPr>
        <w:footnoteReference w:id="2742"/>
      </w:r>
      <w:r w:rsidR="00E13769" w:rsidRPr="00E13769">
        <w:rPr>
          <w:rFonts w:asciiTheme="minorBidi" w:hAnsiTheme="minorBidi" w:cs="Arial"/>
          <w:rtl/>
        </w:rPr>
        <w:t>, דתניא: יוצאין</w:t>
      </w:r>
      <w:r w:rsidR="00E70CF5">
        <w:rPr>
          <w:rStyle w:val="a9"/>
          <w:rFonts w:asciiTheme="minorBidi" w:hAnsiTheme="minorBidi" w:cs="Arial"/>
          <w:rtl/>
        </w:rPr>
        <w:footnoteReference w:id="2743"/>
      </w:r>
      <w:r w:rsidR="00E13769" w:rsidRPr="00E13769">
        <w:rPr>
          <w:rFonts w:asciiTheme="minorBidi" w:hAnsiTheme="minorBidi" w:cs="Arial"/>
          <w:rtl/>
        </w:rPr>
        <w:t xml:space="preserve"> ברקיק השרוי, ובמבושל שלא נימוח, </w:t>
      </w:r>
      <w:r w:rsidR="00E13769" w:rsidRPr="00E13769">
        <w:rPr>
          <w:rFonts w:asciiTheme="minorBidi" w:hAnsiTheme="minorBidi" w:cs="Arial"/>
          <w:u w:val="single"/>
          <w:rtl/>
        </w:rPr>
        <w:t>דברי רבי מאיר</w:t>
      </w:r>
      <w:r w:rsidR="00E13769" w:rsidRPr="00E13769">
        <w:rPr>
          <w:rFonts w:asciiTheme="minorBidi" w:hAnsiTheme="minorBidi" w:cs="Arial"/>
          <w:rtl/>
        </w:rPr>
        <w:t xml:space="preserve">. </w:t>
      </w:r>
      <w:r w:rsidR="00E13769" w:rsidRPr="00E13769">
        <w:rPr>
          <w:rFonts w:asciiTheme="minorBidi" w:hAnsiTheme="minorBidi" w:cs="Arial"/>
          <w:u w:val="single"/>
          <w:rtl/>
        </w:rPr>
        <w:t>רבי יוסי אומר</w:t>
      </w:r>
      <w:r w:rsidR="00E13769" w:rsidRPr="00E13769">
        <w:rPr>
          <w:rFonts w:asciiTheme="minorBidi" w:hAnsiTheme="minorBidi" w:cs="Arial"/>
          <w:rtl/>
        </w:rPr>
        <w:t>: יוצאין ברקיק השרוי, אבל לא במבושל</w:t>
      </w:r>
      <w:r w:rsidR="00E70CF5">
        <w:rPr>
          <w:rStyle w:val="a9"/>
          <w:rFonts w:asciiTheme="minorBidi" w:hAnsiTheme="minorBidi" w:cs="Arial"/>
          <w:rtl/>
        </w:rPr>
        <w:footnoteReference w:id="2744"/>
      </w:r>
      <w:r w:rsidR="00E13769" w:rsidRPr="00E13769">
        <w:rPr>
          <w:rFonts w:asciiTheme="minorBidi" w:hAnsiTheme="minorBidi" w:cs="Arial"/>
          <w:rtl/>
        </w:rPr>
        <w:t xml:space="preserve">, אף על פי שלא נימוח. </w:t>
      </w:r>
      <w:r w:rsidR="00E13769" w:rsidRPr="00E70CF5">
        <w:rPr>
          <w:rFonts w:asciiTheme="minorBidi" w:hAnsiTheme="minorBidi" w:cs="Arial"/>
          <w:u w:val="single"/>
          <w:rtl/>
        </w:rPr>
        <w:t>עולא אמר</w:t>
      </w:r>
      <w:r w:rsidR="00E13769" w:rsidRPr="00E13769">
        <w:rPr>
          <w:rFonts w:asciiTheme="minorBidi" w:hAnsiTheme="minorBidi" w:cs="Arial"/>
          <w:rtl/>
        </w:rPr>
        <w:t>: אפילו תימא רבי מאיר, שאני הכא</w:t>
      </w:r>
      <w:r w:rsidR="00231B06">
        <w:rPr>
          <w:rStyle w:val="a9"/>
          <w:rFonts w:asciiTheme="minorBidi" w:hAnsiTheme="minorBidi" w:cs="Arial"/>
          <w:rtl/>
        </w:rPr>
        <w:footnoteReference w:id="2745"/>
      </w:r>
      <w:r w:rsidR="00E13769" w:rsidRPr="00E13769">
        <w:rPr>
          <w:rFonts w:asciiTheme="minorBidi" w:hAnsiTheme="minorBidi" w:cs="Arial"/>
          <w:rtl/>
        </w:rPr>
        <w:t xml:space="preserve"> דאמר קרא ובשל מבושל - מכל מקום.</w:t>
      </w:r>
      <w:r w:rsidR="000D6321">
        <w:rPr>
          <w:rFonts w:asciiTheme="minorBidi" w:hAnsiTheme="minorBidi" w:hint="cs"/>
          <w:rtl/>
        </w:rPr>
        <w:t xml:space="preserve"> </w:t>
      </w:r>
      <w:r w:rsidR="000D6321">
        <w:rPr>
          <w:rFonts w:asciiTheme="minorBidi" w:hAnsiTheme="minorBidi" w:hint="cs"/>
          <w:sz w:val="16"/>
          <w:szCs w:val="16"/>
          <w:rtl/>
        </w:rPr>
        <w:t xml:space="preserve">(ומכאן כתב ה"ר אליעזר ממיץ (סי' רעד) דיש בישול </w:t>
      </w:r>
      <w:r w:rsidR="000D6321" w:rsidRPr="000D6321">
        <w:rPr>
          <w:rFonts w:asciiTheme="minorBidi" w:hAnsiTheme="minorBidi" w:hint="cs"/>
          <w:b/>
          <w:bCs/>
          <w:sz w:val="16"/>
          <w:szCs w:val="16"/>
          <w:rtl/>
        </w:rPr>
        <w:t>אחר אפיה וצליה</w:t>
      </w:r>
      <w:r w:rsidR="000D6321">
        <w:rPr>
          <w:rFonts w:asciiTheme="minorBidi" w:hAnsiTheme="minorBidi" w:hint="cs"/>
          <w:sz w:val="16"/>
          <w:szCs w:val="16"/>
          <w:rtl/>
        </w:rPr>
        <w:t xml:space="preserve"> - לענין שבת)</w:t>
      </w:r>
    </w:p>
    <w:p w14:paraId="09AA886E" w14:textId="66A4CE8D" w:rsidR="00EC5F00" w:rsidRPr="00F14805" w:rsidRDefault="007E6454" w:rsidP="00434A6A">
      <w:pPr>
        <w:rPr>
          <w:rFonts w:asciiTheme="minorBidi" w:hAnsiTheme="minorBidi"/>
          <w:sz w:val="16"/>
          <w:szCs w:val="16"/>
          <w:rtl/>
        </w:rPr>
      </w:pPr>
      <w:r w:rsidRPr="007E6454">
        <w:rPr>
          <w:rFonts w:asciiTheme="minorBidi" w:hAnsiTheme="minorBidi" w:cs="Arial" w:hint="cs"/>
          <w:b/>
          <w:bCs/>
          <w:rtl/>
        </w:rPr>
        <w:t>יבמות</w:t>
      </w:r>
      <w:r>
        <w:rPr>
          <w:rFonts w:asciiTheme="minorBidi" w:hAnsiTheme="minorBidi" w:cs="Arial" w:hint="cs"/>
          <w:b/>
          <w:bCs/>
          <w:sz w:val="16"/>
          <w:szCs w:val="16"/>
          <w:rtl/>
        </w:rPr>
        <w:t xml:space="preserve"> (פ' החולץ)</w:t>
      </w:r>
      <w:r w:rsidRPr="007E6454">
        <w:rPr>
          <w:rFonts w:asciiTheme="minorBidi" w:hAnsiTheme="minorBidi" w:cs="Arial" w:hint="cs"/>
          <w:b/>
          <w:bCs/>
          <w:rtl/>
        </w:rPr>
        <w:t xml:space="preserve"> מ ע"א: </w:t>
      </w:r>
      <w:r w:rsidR="00945FB6" w:rsidRPr="00945FB6">
        <w:rPr>
          <w:rFonts w:asciiTheme="minorBidi" w:hAnsiTheme="minorBidi" w:cs="Arial"/>
          <w:rtl/>
        </w:rPr>
        <w:t>מצות תאכל במקום קדוש - מצוה, שבתחלה היתה עליו בכלל היתר, רצה אוכלה, רצה אינו אוכלה</w:t>
      </w:r>
      <w:r w:rsidR="00945FB6">
        <w:rPr>
          <w:rFonts w:asciiTheme="minorBidi" w:hAnsiTheme="minorBidi" w:cs="Arial" w:hint="cs"/>
          <w:rtl/>
        </w:rPr>
        <w:t>.</w:t>
      </w:r>
      <w:r w:rsidR="00945FB6" w:rsidRPr="00945FB6">
        <w:rPr>
          <w:rFonts w:asciiTheme="minorBidi" w:hAnsiTheme="minorBidi" w:cs="Arial"/>
          <w:rtl/>
        </w:rPr>
        <w:t xml:space="preserve"> רצה אוכלה, רצה אינו אוכלה? רצה אינו אוכלה? והכתיב: ואכלו אותם אשר כופר בהם, מלמד, שהכהנים אוכלים ובעלים מתכפרין!</w:t>
      </w:r>
      <w:r w:rsidR="00945FB6">
        <w:rPr>
          <w:rFonts w:asciiTheme="minorBidi" w:hAnsiTheme="minorBidi" w:cs="Arial" w:hint="cs"/>
          <w:rtl/>
        </w:rPr>
        <w:t>...</w:t>
      </w:r>
      <w:r w:rsidR="00945FB6" w:rsidRPr="00945FB6">
        <w:rPr>
          <w:rFonts w:asciiTheme="minorBidi" w:hAnsiTheme="minorBidi" w:cs="Arial"/>
          <w:rtl/>
        </w:rPr>
        <w:t xml:space="preserve"> </w:t>
      </w:r>
      <w:r w:rsidR="00EC5F00" w:rsidRPr="00945FB6">
        <w:rPr>
          <w:rFonts w:asciiTheme="minorBidi" w:hAnsiTheme="minorBidi" w:cs="Arial"/>
          <w:u w:val="single"/>
          <w:rtl/>
        </w:rPr>
        <w:t>ואמר ריש לקיש</w:t>
      </w:r>
      <w:r w:rsidR="00EC5F00" w:rsidRPr="00EC5F00">
        <w:rPr>
          <w:rFonts w:asciiTheme="minorBidi" w:hAnsiTheme="minorBidi" w:cs="Arial"/>
          <w:rtl/>
        </w:rPr>
        <w:t>:</w:t>
      </w:r>
      <w:r w:rsidR="00945FB6">
        <w:rPr>
          <w:rFonts w:asciiTheme="minorBidi" w:hAnsiTheme="minorBidi" w:cs="Arial" w:hint="cs"/>
          <w:rtl/>
        </w:rPr>
        <w:t>...</w:t>
      </w:r>
      <w:r w:rsidR="00EC5F00" w:rsidRPr="00EC5F00">
        <w:rPr>
          <w:rFonts w:asciiTheme="minorBidi" w:hAnsiTheme="minorBidi" w:cs="Arial"/>
          <w:rtl/>
        </w:rPr>
        <w:t xml:space="preserve"> אלא, רצה - מצה אוכלה, רצה - חלוט אוכלה. האי חלוט היכי דמי? אי מצה היא, הא מצה היא! ואי לא מצה היא, מצות אמר רחמנא! לא, לעולם אימא לך: מצה היא, ולהכי תנא ביה קרא - לעכב. אלא חלוט מצה היא דקאמרינן, למאי הלכתא? לומר, שאדם יוצא בה ידי חובתו בפסח, אף על פי דחלטיה מעיקרא, כיון דהדר אפייה בתנור - לחם עוני קרינא ביה, ואדם יוצא בה ידי חובתו בפסח.</w:t>
      </w:r>
      <w:r w:rsidR="00F14805">
        <w:rPr>
          <w:rFonts w:asciiTheme="minorBidi" w:hAnsiTheme="minorBidi" w:hint="cs"/>
          <w:rtl/>
        </w:rPr>
        <w:t xml:space="preserve"> </w:t>
      </w:r>
      <w:r w:rsidR="000D6321">
        <w:rPr>
          <w:rFonts w:asciiTheme="minorBidi" w:hAnsiTheme="minorBidi" w:hint="cs"/>
          <w:sz w:val="16"/>
          <w:szCs w:val="16"/>
          <w:rtl/>
        </w:rPr>
        <w:t xml:space="preserve">(ומכאן כתב ה"ר אליעזר ממיץ (סי' רעד) דיש אפיה וצליה </w:t>
      </w:r>
      <w:r w:rsidR="000D6321" w:rsidRPr="000D6321">
        <w:rPr>
          <w:rFonts w:asciiTheme="minorBidi" w:hAnsiTheme="minorBidi" w:hint="cs"/>
          <w:b/>
          <w:bCs/>
          <w:sz w:val="16"/>
          <w:szCs w:val="16"/>
          <w:rtl/>
        </w:rPr>
        <w:t>אחר בישול</w:t>
      </w:r>
      <w:r w:rsidR="000D6321">
        <w:rPr>
          <w:rFonts w:asciiTheme="minorBidi" w:hAnsiTheme="minorBidi" w:hint="cs"/>
          <w:sz w:val="16"/>
          <w:szCs w:val="16"/>
          <w:rtl/>
        </w:rPr>
        <w:t xml:space="preserve"> - לענין שבת)</w:t>
      </w:r>
    </w:p>
    <w:p w14:paraId="7083E1D1" w14:textId="772C1B75" w:rsidR="00F14805" w:rsidRPr="00731AF1" w:rsidRDefault="00F14805" w:rsidP="00434A6A">
      <w:pPr>
        <w:rPr>
          <w:rFonts w:asciiTheme="minorBidi" w:hAnsiTheme="minorBidi"/>
          <w:sz w:val="16"/>
          <w:szCs w:val="16"/>
          <w:rtl/>
        </w:rPr>
      </w:pPr>
      <w:r w:rsidRPr="00F14805">
        <w:rPr>
          <w:rFonts w:asciiTheme="minorBidi" w:hAnsiTheme="minorBidi" w:cs="Arial" w:hint="cs"/>
          <w:b/>
          <w:bCs/>
          <w:rtl/>
        </w:rPr>
        <w:t xml:space="preserve">ברכות </w:t>
      </w:r>
      <w:r>
        <w:rPr>
          <w:rFonts w:asciiTheme="minorBidi" w:hAnsiTheme="minorBidi" w:cs="Arial" w:hint="cs"/>
          <w:b/>
          <w:bCs/>
          <w:sz w:val="16"/>
          <w:szCs w:val="16"/>
          <w:rtl/>
        </w:rPr>
        <w:t>(פ' כיצד מברכין)</w:t>
      </w:r>
      <w:r>
        <w:rPr>
          <w:rFonts w:asciiTheme="minorBidi" w:hAnsiTheme="minorBidi" w:cs="Arial" w:hint="cs"/>
          <w:b/>
          <w:bCs/>
          <w:rtl/>
        </w:rPr>
        <w:t xml:space="preserve"> </w:t>
      </w:r>
      <w:r w:rsidRPr="00F14805">
        <w:rPr>
          <w:rFonts w:asciiTheme="minorBidi" w:hAnsiTheme="minorBidi" w:cs="Arial" w:hint="cs"/>
          <w:b/>
          <w:bCs/>
          <w:rtl/>
        </w:rPr>
        <w:t xml:space="preserve">לח ע"ב: </w:t>
      </w:r>
      <w:r w:rsidRPr="00F14805">
        <w:rPr>
          <w:rFonts w:asciiTheme="minorBidi" w:hAnsiTheme="minorBidi" w:cs="Arial"/>
          <w:u w:val="single"/>
          <w:rtl/>
        </w:rPr>
        <w:t>דרש רב נחמן משום רבינו, ומנו - שמואל</w:t>
      </w:r>
      <w:r w:rsidRPr="00F14805">
        <w:rPr>
          <w:rFonts w:asciiTheme="minorBidi" w:hAnsiTheme="minorBidi" w:cs="Arial"/>
          <w:rtl/>
        </w:rPr>
        <w:t xml:space="preserve">: שלקות מברכין עליהם בורא פרי האדמה; </w:t>
      </w:r>
      <w:r w:rsidRPr="00F14805">
        <w:rPr>
          <w:rFonts w:asciiTheme="minorBidi" w:hAnsiTheme="minorBidi" w:cs="Arial"/>
          <w:u w:val="single"/>
          <w:rtl/>
        </w:rPr>
        <w:t>וחברינו היורדים מארץ ישראל, ומנו - עולא, משמיה דרבי יוחנן אמר</w:t>
      </w:r>
      <w:r w:rsidRPr="00F14805">
        <w:rPr>
          <w:rFonts w:asciiTheme="minorBidi" w:hAnsiTheme="minorBidi" w:cs="Arial"/>
          <w:rtl/>
        </w:rPr>
        <w:t xml:space="preserve">: שלקות מברכין עליהן שהכל נהיה בדברו; </w:t>
      </w:r>
      <w:r w:rsidRPr="00F14805">
        <w:rPr>
          <w:rFonts w:asciiTheme="minorBidi" w:hAnsiTheme="minorBidi" w:cs="Arial"/>
          <w:u w:val="single"/>
          <w:rtl/>
        </w:rPr>
        <w:t>ואני אומר</w:t>
      </w:r>
      <w:r w:rsidRPr="00F14805">
        <w:rPr>
          <w:rFonts w:asciiTheme="minorBidi" w:hAnsiTheme="minorBidi" w:cs="Arial"/>
          <w:rtl/>
        </w:rPr>
        <w:t xml:space="preserve">: במחלוקת שנויה. דתניא: יוצאין ברקיק השרוי ובמבושל שלא נמוח, </w:t>
      </w:r>
      <w:r w:rsidRPr="00F14805">
        <w:rPr>
          <w:rFonts w:asciiTheme="minorBidi" w:hAnsiTheme="minorBidi" w:cs="Arial"/>
          <w:u w:val="single"/>
          <w:rtl/>
        </w:rPr>
        <w:t>דברי רבי מאיר</w:t>
      </w:r>
      <w:r w:rsidRPr="00F14805">
        <w:rPr>
          <w:rFonts w:asciiTheme="minorBidi" w:hAnsiTheme="minorBidi" w:cs="Arial"/>
          <w:rtl/>
        </w:rPr>
        <w:t xml:space="preserve">, </w:t>
      </w:r>
      <w:r w:rsidRPr="00F14805">
        <w:rPr>
          <w:rFonts w:asciiTheme="minorBidi" w:hAnsiTheme="minorBidi" w:cs="Arial"/>
          <w:u w:val="single"/>
          <w:rtl/>
        </w:rPr>
        <w:t>ורבי יוסי אומר</w:t>
      </w:r>
      <w:r w:rsidRPr="00F14805">
        <w:rPr>
          <w:rFonts w:asciiTheme="minorBidi" w:hAnsiTheme="minorBidi" w:cs="Arial"/>
          <w:rtl/>
        </w:rPr>
        <w:t>: יוצאים ברקיק השרוי, אבל לא במבושל, אף על פי שלא נמוח. ולא היא, דכולי עלמא - שלקות מברכין עליהן בורא פרי האדמה, ועד כאן לא קאמר רבי יוסי התם - אלא משום דבעינן טעם מצה וליכא, אבל הכא - אפילו רבי יוסי מודה.</w:t>
      </w:r>
      <w:r w:rsidR="00731AF1">
        <w:rPr>
          <w:rFonts w:asciiTheme="minorBidi" w:hAnsiTheme="minorBidi" w:hint="cs"/>
          <w:rtl/>
        </w:rPr>
        <w:t xml:space="preserve"> </w:t>
      </w:r>
      <w:r w:rsidR="00731AF1">
        <w:rPr>
          <w:rFonts w:asciiTheme="minorBidi" w:hAnsiTheme="minorBidi" w:hint="cs"/>
          <w:sz w:val="16"/>
          <w:szCs w:val="16"/>
          <w:rtl/>
        </w:rPr>
        <w:t xml:space="preserve">(ומכאן כתב הראבי"ה (סי' קצז) שאין בישול אחר אפיה או </w:t>
      </w:r>
      <w:r w:rsidR="000D6321">
        <w:rPr>
          <w:rFonts w:asciiTheme="minorBidi" w:hAnsiTheme="minorBidi" w:hint="cs"/>
          <w:sz w:val="16"/>
          <w:szCs w:val="16"/>
          <w:rtl/>
        </w:rPr>
        <w:t xml:space="preserve">אפיה אחר בישול </w:t>
      </w:r>
      <w:r w:rsidR="00731AF1">
        <w:rPr>
          <w:rFonts w:asciiTheme="minorBidi" w:hAnsiTheme="minorBidi" w:hint="cs"/>
          <w:sz w:val="16"/>
          <w:szCs w:val="16"/>
          <w:rtl/>
        </w:rPr>
        <w:t xml:space="preserve">לענין שבת, דהיא גזירה רק לגבי מצה דבעינן טעם מצה וליכא. וכתב הב"י </w:t>
      </w:r>
      <w:r w:rsidR="00731AF1">
        <w:rPr>
          <w:rFonts w:asciiTheme="minorBidi" w:hAnsiTheme="minorBidi" w:cs="Arial" w:hint="cs"/>
          <w:sz w:val="16"/>
          <w:szCs w:val="16"/>
          <w:rtl/>
        </w:rPr>
        <w:t>ד</w:t>
      </w:r>
      <w:r w:rsidR="00731AF1" w:rsidRPr="00731AF1">
        <w:rPr>
          <w:rFonts w:asciiTheme="minorBidi" w:hAnsiTheme="minorBidi" w:cs="Arial"/>
          <w:sz w:val="16"/>
          <w:szCs w:val="16"/>
          <w:rtl/>
        </w:rPr>
        <w:t>התוספות כתבו בפרק כל שעה (פסחים מא.) אבל לא במבושל</w:t>
      </w:r>
      <w:r w:rsidR="00731AF1">
        <w:rPr>
          <w:rFonts w:asciiTheme="minorBidi" w:hAnsiTheme="minorBidi" w:cs="Arial" w:hint="cs"/>
          <w:sz w:val="16"/>
          <w:szCs w:val="16"/>
          <w:rtl/>
        </w:rPr>
        <w:t xml:space="preserve"> -</w:t>
      </w:r>
      <w:r w:rsidR="00731AF1" w:rsidRPr="00731AF1">
        <w:rPr>
          <w:rFonts w:asciiTheme="minorBidi" w:hAnsiTheme="minorBidi" w:cs="Arial"/>
          <w:sz w:val="16"/>
          <w:szCs w:val="16"/>
          <w:rtl/>
        </w:rPr>
        <w:t xml:space="preserve"> פירש רש"י דבישול מבטל ליה מתורת לחם</w:t>
      </w:r>
      <w:r w:rsidR="00731AF1">
        <w:rPr>
          <w:rFonts w:asciiTheme="minorBidi" w:hAnsiTheme="minorBidi" w:cs="Arial" w:hint="cs"/>
          <w:sz w:val="16"/>
          <w:szCs w:val="16"/>
          <w:rtl/>
        </w:rPr>
        <w:t>,</w:t>
      </w:r>
      <w:r w:rsidR="00731AF1" w:rsidRPr="00731AF1">
        <w:rPr>
          <w:rFonts w:asciiTheme="minorBidi" w:hAnsiTheme="minorBidi" w:cs="Arial"/>
          <w:sz w:val="16"/>
          <w:szCs w:val="16"/>
          <w:rtl/>
        </w:rPr>
        <w:t xml:space="preserve"> ולפירושו מיירי בבלילתו רכה</w:t>
      </w:r>
      <w:r w:rsidR="00731AF1">
        <w:rPr>
          <w:rFonts w:asciiTheme="minorBidi" w:hAnsiTheme="minorBidi" w:cs="Arial" w:hint="cs"/>
          <w:sz w:val="16"/>
          <w:szCs w:val="16"/>
          <w:rtl/>
        </w:rPr>
        <w:t>,</w:t>
      </w:r>
      <w:r w:rsidR="00731AF1" w:rsidRPr="00731AF1">
        <w:rPr>
          <w:rFonts w:asciiTheme="minorBidi" w:hAnsiTheme="minorBidi" w:cs="Arial"/>
          <w:sz w:val="16"/>
          <w:szCs w:val="16"/>
          <w:rtl/>
        </w:rPr>
        <w:t xml:space="preserve"> דבלילתו עבה לא נפיק מתורת לחם כדפרישית לעיל (שם לז: ד"ה דכולי)</w:t>
      </w:r>
      <w:r w:rsidR="00731AF1">
        <w:rPr>
          <w:rFonts w:asciiTheme="minorBidi" w:hAnsiTheme="minorBidi" w:cs="Arial" w:hint="cs"/>
          <w:sz w:val="16"/>
          <w:szCs w:val="16"/>
          <w:rtl/>
        </w:rPr>
        <w:t xml:space="preserve"> ע"כ</w:t>
      </w:r>
      <w:r w:rsidR="00731AF1" w:rsidRPr="00731AF1">
        <w:rPr>
          <w:rFonts w:asciiTheme="minorBidi" w:hAnsiTheme="minorBidi" w:cs="Arial"/>
          <w:sz w:val="16"/>
          <w:szCs w:val="16"/>
          <w:rtl/>
        </w:rPr>
        <w:t>. הרי דאפילו במצה לית להו שבישול יבטל את האפייה</w:t>
      </w:r>
      <w:r w:rsidR="00731AF1">
        <w:rPr>
          <w:rFonts w:asciiTheme="minorBidi" w:hAnsiTheme="minorBidi" w:cs="Arial" w:hint="cs"/>
          <w:sz w:val="16"/>
          <w:szCs w:val="16"/>
          <w:rtl/>
        </w:rPr>
        <w:t>)</w:t>
      </w:r>
      <w:r w:rsidR="00731AF1">
        <w:rPr>
          <w:rFonts w:asciiTheme="minorBidi" w:hAnsiTheme="minorBidi" w:hint="cs"/>
          <w:sz w:val="16"/>
          <w:szCs w:val="16"/>
          <w:rtl/>
        </w:rPr>
        <w:t xml:space="preserve">   </w:t>
      </w:r>
    </w:p>
    <w:p w14:paraId="7315D436" w14:textId="0D269BA4" w:rsidR="00DE541A" w:rsidRPr="00231B06" w:rsidRDefault="00231B06" w:rsidP="00434A6A">
      <w:pPr>
        <w:rPr>
          <w:rFonts w:asciiTheme="minorBidi" w:hAnsiTheme="minorBidi"/>
          <w:u w:val="single"/>
          <w:rtl/>
        </w:rPr>
      </w:pPr>
      <w:r w:rsidRPr="00231B06">
        <w:rPr>
          <w:rFonts w:asciiTheme="minorBidi" w:hAnsiTheme="minorBidi"/>
          <w:u w:val="single"/>
          <w:rtl/>
        </w:rPr>
        <w:t>בישול אחר אפיה או צליה</w:t>
      </w:r>
      <w:r w:rsidRPr="00231B06">
        <w:rPr>
          <w:rFonts w:asciiTheme="minorBidi" w:hAnsiTheme="minorBidi" w:hint="cs"/>
          <w:u w:val="single"/>
          <w:rtl/>
        </w:rPr>
        <w:t>:</w:t>
      </w:r>
    </w:p>
    <w:p w14:paraId="7316843C" w14:textId="46F0EE2D" w:rsidR="007C4699" w:rsidRDefault="007C4699" w:rsidP="00434A6A">
      <w:pPr>
        <w:pStyle w:val="aa"/>
        <w:numPr>
          <w:ilvl w:val="0"/>
          <w:numId w:val="32"/>
        </w:numPr>
        <w:rPr>
          <w:rFonts w:asciiTheme="minorBidi" w:hAnsiTheme="minorBidi"/>
        </w:rPr>
      </w:pPr>
      <w:r>
        <w:rPr>
          <w:rFonts w:asciiTheme="minorBidi" w:hAnsiTheme="minorBidi" w:cs="Arial" w:hint="cs"/>
          <w:rtl/>
        </w:rPr>
        <w:t xml:space="preserve">יראים </w:t>
      </w:r>
      <w:r>
        <w:rPr>
          <w:rFonts w:asciiTheme="minorBidi" w:hAnsiTheme="minorBidi" w:cs="Arial" w:hint="cs"/>
          <w:sz w:val="16"/>
          <w:szCs w:val="16"/>
          <w:rtl/>
        </w:rPr>
        <w:t>(סי' רעד, והעתיק</w:t>
      </w:r>
      <w:r w:rsidR="007E6454">
        <w:rPr>
          <w:rFonts w:asciiTheme="minorBidi" w:hAnsiTheme="minorBidi" w:cs="Arial" w:hint="cs"/>
          <w:sz w:val="16"/>
          <w:szCs w:val="16"/>
          <w:rtl/>
        </w:rPr>
        <w:t>ו</w:t>
      </w:r>
      <w:r>
        <w:rPr>
          <w:rFonts w:asciiTheme="minorBidi" w:hAnsiTheme="minorBidi" w:cs="Arial" w:hint="cs"/>
          <w:sz w:val="16"/>
          <w:szCs w:val="16"/>
          <w:rtl/>
        </w:rPr>
        <w:t xml:space="preserve"> דבריו סמ"ג [לאוין סה]</w:t>
      </w:r>
      <w:r w:rsidR="007E6454">
        <w:rPr>
          <w:rFonts w:asciiTheme="minorBidi" w:hAnsiTheme="minorBidi" w:cs="Arial" w:hint="cs"/>
          <w:sz w:val="16"/>
          <w:szCs w:val="16"/>
          <w:rtl/>
        </w:rPr>
        <w:t xml:space="preserve"> </w:t>
      </w:r>
      <w:r w:rsidR="00B64061">
        <w:rPr>
          <w:rFonts w:asciiTheme="minorBidi" w:hAnsiTheme="minorBidi" w:cs="Arial" w:hint="cs"/>
          <w:sz w:val="16"/>
          <w:szCs w:val="16"/>
          <w:rtl/>
        </w:rPr>
        <w:t xml:space="preserve">שבה"ל [סי' פו] </w:t>
      </w:r>
      <w:r w:rsidR="00FD3476">
        <w:rPr>
          <w:rFonts w:asciiTheme="minorBidi" w:hAnsiTheme="minorBidi" w:cs="Arial" w:hint="cs"/>
          <w:sz w:val="16"/>
          <w:szCs w:val="16"/>
          <w:rtl/>
        </w:rPr>
        <w:t xml:space="preserve">סמ"ק [סי' רפב] </w:t>
      </w:r>
      <w:r w:rsidR="00794066">
        <w:rPr>
          <w:rFonts w:asciiTheme="minorBidi" w:hAnsiTheme="minorBidi" w:cs="Arial" w:hint="cs"/>
          <w:sz w:val="16"/>
          <w:szCs w:val="16"/>
          <w:rtl/>
        </w:rPr>
        <w:t xml:space="preserve">מרדכי [שבת סי' שב] </w:t>
      </w:r>
      <w:r w:rsidR="007E6454">
        <w:rPr>
          <w:rFonts w:asciiTheme="minorBidi" w:hAnsiTheme="minorBidi" w:cs="Arial" w:hint="cs"/>
          <w:sz w:val="16"/>
          <w:szCs w:val="16"/>
          <w:rtl/>
        </w:rPr>
        <w:t>וטור</w:t>
      </w:r>
      <w:r>
        <w:rPr>
          <w:rFonts w:asciiTheme="minorBidi" w:hAnsiTheme="minorBidi" w:cs="Arial" w:hint="cs"/>
          <w:sz w:val="16"/>
          <w:szCs w:val="16"/>
          <w:rtl/>
        </w:rPr>
        <w:t>)</w:t>
      </w:r>
      <w:r>
        <w:rPr>
          <w:rFonts w:asciiTheme="minorBidi" w:hAnsiTheme="minorBidi" w:cs="Arial" w:hint="cs"/>
          <w:rtl/>
        </w:rPr>
        <w:t xml:space="preserve">- </w:t>
      </w:r>
      <w:r w:rsidRPr="007C4699">
        <w:rPr>
          <w:rFonts w:asciiTheme="minorBidi" w:hAnsiTheme="minorBidi" w:cs="Arial"/>
          <w:rtl/>
        </w:rPr>
        <w:t>אין בישול אחר בישול אבל יש בישול אחר צלי</w:t>
      </w:r>
      <w:r w:rsidR="000D6321">
        <w:rPr>
          <w:rFonts w:asciiTheme="minorBidi" w:hAnsiTheme="minorBidi" w:cs="Arial" w:hint="cs"/>
          <w:rtl/>
        </w:rPr>
        <w:t>,</w:t>
      </w:r>
      <w:r w:rsidRPr="007C4699">
        <w:rPr>
          <w:rFonts w:asciiTheme="minorBidi" w:hAnsiTheme="minorBidi" w:cs="Arial"/>
          <w:rtl/>
        </w:rPr>
        <w:t xml:space="preserve"> ויש צלי אחר בישול</w:t>
      </w:r>
      <w:r>
        <w:rPr>
          <w:rFonts w:asciiTheme="minorBidi" w:hAnsiTheme="minorBidi" w:cs="Arial" w:hint="cs"/>
          <w:rtl/>
        </w:rPr>
        <w:t>.</w:t>
      </w:r>
      <w:r w:rsidRPr="007C4699">
        <w:rPr>
          <w:rFonts w:asciiTheme="minorBidi" w:hAnsiTheme="minorBidi" w:cs="Arial"/>
          <w:rtl/>
        </w:rPr>
        <w:t xml:space="preserve"> דתניא בפסחים </w:t>
      </w:r>
      <w:r w:rsidR="00231B06">
        <w:rPr>
          <w:rFonts w:asciiTheme="minorBidi" w:hAnsiTheme="minorBidi" w:cs="Arial" w:hint="cs"/>
          <w:rtl/>
        </w:rPr>
        <w:t>(מא.)</w:t>
      </w:r>
      <w:r w:rsidR="007E6454">
        <w:rPr>
          <w:rFonts w:asciiTheme="minorBidi" w:hAnsiTheme="minorBidi" w:cs="Arial" w:hint="cs"/>
          <w:rtl/>
        </w:rPr>
        <w:t xml:space="preserve"> </w:t>
      </w:r>
      <w:r w:rsidR="007E6454" w:rsidRPr="007E6454">
        <w:rPr>
          <w:rFonts w:asciiTheme="minorBidi" w:hAnsiTheme="minorBidi" w:cs="Arial"/>
          <w:rtl/>
        </w:rPr>
        <w:t>צלאו ואח"כ בשלו חייב</w:t>
      </w:r>
      <w:r w:rsidR="007E6454">
        <w:rPr>
          <w:rFonts w:asciiTheme="minorBidi" w:hAnsiTheme="minorBidi" w:cs="Arial" w:hint="cs"/>
          <w:rtl/>
        </w:rPr>
        <w:t xml:space="preserve">, </w:t>
      </w:r>
      <w:r w:rsidR="007E6454" w:rsidRPr="007E6454">
        <w:rPr>
          <w:rFonts w:asciiTheme="minorBidi" w:hAnsiTheme="minorBidi" w:cs="Arial"/>
          <w:rtl/>
        </w:rPr>
        <w:t>ומתמה תלמודא אמאי הא צלי אש הוא</w:t>
      </w:r>
      <w:r w:rsidR="007E6454">
        <w:rPr>
          <w:rFonts w:asciiTheme="minorBidi" w:hAnsiTheme="minorBidi" w:cs="Arial" w:hint="cs"/>
          <w:rtl/>
        </w:rPr>
        <w:t>,</w:t>
      </w:r>
      <w:r w:rsidR="007E6454" w:rsidRPr="007E6454">
        <w:rPr>
          <w:rFonts w:asciiTheme="minorBidi" w:hAnsiTheme="minorBidi" w:cs="Arial"/>
          <w:rtl/>
        </w:rPr>
        <w:t xml:space="preserve"> אמר רב כהנא הא מני ר' יוסי היא</w:t>
      </w:r>
      <w:r w:rsidR="007E6454">
        <w:rPr>
          <w:rFonts w:asciiTheme="minorBidi" w:hAnsiTheme="minorBidi" w:cs="Arial" w:hint="cs"/>
          <w:rtl/>
        </w:rPr>
        <w:t>,</w:t>
      </w:r>
      <w:r w:rsidR="007E6454" w:rsidRPr="007E6454">
        <w:rPr>
          <w:rFonts w:asciiTheme="minorBidi" w:hAnsiTheme="minorBidi" w:cs="Arial"/>
          <w:rtl/>
        </w:rPr>
        <w:t xml:space="preserve"> דתניא יוצאין ברקיק השרוי ובמבושל שלא נימוח דברי ר"מ ר' יוסי אומר יוצאין ברקיק השרוי אבל לא במבושל אף על פי שלא נימוח</w:t>
      </w:r>
      <w:r w:rsidR="007E6454">
        <w:rPr>
          <w:rFonts w:asciiTheme="minorBidi" w:hAnsiTheme="minorBidi" w:cs="Arial" w:hint="cs"/>
          <w:rtl/>
        </w:rPr>
        <w:t>.</w:t>
      </w:r>
      <w:r w:rsidR="007E6454" w:rsidRPr="007E6454">
        <w:rPr>
          <w:rFonts w:asciiTheme="minorBidi" w:hAnsiTheme="minorBidi" w:cs="Arial"/>
          <w:rtl/>
        </w:rPr>
        <w:t xml:space="preserve"> פי' גבי מצה לחם כתיב ואינו נקרא לחם אלא אפוי ולא מבושל</w:t>
      </w:r>
      <w:r w:rsidR="000D6321">
        <w:rPr>
          <w:rFonts w:asciiTheme="minorBidi" w:hAnsiTheme="minorBidi" w:cs="Arial" w:hint="cs"/>
          <w:rtl/>
        </w:rPr>
        <w:t>,</w:t>
      </w:r>
      <w:r w:rsidR="007E6454" w:rsidRPr="007E6454">
        <w:rPr>
          <w:rFonts w:asciiTheme="minorBidi" w:hAnsiTheme="minorBidi" w:cs="Arial"/>
          <w:rtl/>
        </w:rPr>
        <w:t xml:space="preserve"> וכשבשלו אחר אפייתו נקרא מבושל</w:t>
      </w:r>
      <w:r w:rsidR="000D6321">
        <w:rPr>
          <w:rFonts w:asciiTheme="minorBidi" w:hAnsiTheme="minorBidi" w:cs="Arial" w:hint="cs"/>
          <w:rtl/>
        </w:rPr>
        <w:t>,</w:t>
      </w:r>
      <w:r w:rsidR="007E6454" w:rsidRPr="007E6454">
        <w:rPr>
          <w:rFonts w:asciiTheme="minorBidi" w:hAnsiTheme="minorBidi" w:cs="Arial"/>
          <w:rtl/>
        </w:rPr>
        <w:t xml:space="preserve"> דיש בישול אחר אפייה</w:t>
      </w:r>
      <w:r w:rsidR="000D6321">
        <w:rPr>
          <w:rFonts w:asciiTheme="minorBidi" w:hAnsiTheme="minorBidi" w:cs="Arial" w:hint="cs"/>
          <w:rtl/>
        </w:rPr>
        <w:t>,</w:t>
      </w:r>
      <w:r w:rsidR="007E6454" w:rsidRPr="007E6454">
        <w:rPr>
          <w:rFonts w:asciiTheme="minorBidi" w:hAnsiTheme="minorBidi" w:cs="Arial"/>
          <w:rtl/>
        </w:rPr>
        <w:t xml:space="preserve"> הוא הדין נמי צלאו ואחר כן בשלו דיש בישול אחר צלי</w:t>
      </w:r>
      <w:r w:rsidR="007E6454">
        <w:rPr>
          <w:rFonts w:asciiTheme="minorBidi" w:hAnsiTheme="minorBidi" w:cs="Arial" w:hint="cs"/>
          <w:rtl/>
        </w:rPr>
        <w:t>.</w:t>
      </w:r>
      <w:r w:rsidRPr="007C4699">
        <w:rPr>
          <w:rFonts w:asciiTheme="minorBidi" w:hAnsiTheme="minorBidi" w:cs="Arial"/>
          <w:rtl/>
        </w:rPr>
        <w:t xml:space="preserve"> ור"מ ור' יוסי אמרי' בעירובין </w:t>
      </w:r>
      <w:r w:rsidR="00231B06">
        <w:rPr>
          <w:rFonts w:asciiTheme="minorBidi" w:hAnsiTheme="minorBidi" w:cs="Arial" w:hint="cs"/>
          <w:rtl/>
        </w:rPr>
        <w:t>(</w:t>
      </w:r>
      <w:r w:rsidRPr="007C4699">
        <w:rPr>
          <w:rFonts w:asciiTheme="minorBidi" w:hAnsiTheme="minorBidi" w:cs="Arial"/>
          <w:rtl/>
        </w:rPr>
        <w:t>מו</w:t>
      </w:r>
      <w:r w:rsidR="00231B06">
        <w:rPr>
          <w:rFonts w:asciiTheme="minorBidi" w:hAnsiTheme="minorBidi" w:cs="Arial" w:hint="cs"/>
          <w:rtl/>
        </w:rPr>
        <w:t>:)</w:t>
      </w:r>
      <w:r w:rsidRPr="007C4699">
        <w:rPr>
          <w:rFonts w:asciiTheme="minorBidi" w:hAnsiTheme="minorBidi" w:cs="Arial"/>
          <w:rtl/>
        </w:rPr>
        <w:t xml:space="preserve"> הלכה כר' יוסי</w:t>
      </w:r>
      <w:r w:rsidR="00231B06">
        <w:rPr>
          <w:rFonts w:asciiTheme="minorBidi" w:hAnsiTheme="minorBidi" w:cs="Arial" w:hint="cs"/>
          <w:rtl/>
        </w:rPr>
        <w:t>,</w:t>
      </w:r>
      <w:r w:rsidRPr="007C4699">
        <w:rPr>
          <w:rFonts w:asciiTheme="minorBidi" w:hAnsiTheme="minorBidi" w:cs="Arial"/>
          <w:rtl/>
        </w:rPr>
        <w:t xml:space="preserve"> ועוד דברייתא תנא להא דר' יוסי בלשון רבים</w:t>
      </w:r>
      <w:r w:rsidR="00231B06">
        <w:rPr>
          <w:rFonts w:asciiTheme="minorBidi" w:hAnsiTheme="minorBidi" w:cs="Arial" w:hint="cs"/>
          <w:rtl/>
        </w:rPr>
        <w:t>.</w:t>
      </w:r>
      <w:r w:rsidRPr="007C4699">
        <w:rPr>
          <w:rFonts w:asciiTheme="minorBidi" w:hAnsiTheme="minorBidi" w:cs="Arial"/>
          <w:rtl/>
        </w:rPr>
        <w:t xml:space="preserve"> וכשם שיש בישול אחר צלי ואפוי</w:t>
      </w:r>
      <w:r w:rsidR="00231B06">
        <w:rPr>
          <w:rFonts w:asciiTheme="minorBidi" w:hAnsiTheme="minorBidi" w:cs="Arial" w:hint="cs"/>
          <w:rtl/>
        </w:rPr>
        <w:t>,</w:t>
      </w:r>
      <w:r w:rsidRPr="007C4699">
        <w:rPr>
          <w:rFonts w:asciiTheme="minorBidi" w:hAnsiTheme="minorBidi" w:cs="Arial"/>
          <w:rtl/>
        </w:rPr>
        <w:t xml:space="preserve"> כך יש צלי אחר בישול</w:t>
      </w:r>
      <w:r w:rsidR="00231B06">
        <w:rPr>
          <w:rFonts w:asciiTheme="minorBidi" w:hAnsiTheme="minorBidi" w:cs="Arial" w:hint="cs"/>
          <w:rtl/>
        </w:rPr>
        <w:t>,</w:t>
      </w:r>
      <w:r w:rsidRPr="007C4699">
        <w:rPr>
          <w:rFonts w:asciiTheme="minorBidi" w:hAnsiTheme="minorBidi" w:cs="Arial"/>
          <w:rtl/>
        </w:rPr>
        <w:t xml:space="preserve"> דסברא אחת היא</w:t>
      </w:r>
      <w:r w:rsidR="00231B06">
        <w:rPr>
          <w:rFonts w:asciiTheme="minorBidi" w:hAnsiTheme="minorBidi" w:cs="Arial" w:hint="cs"/>
          <w:rtl/>
        </w:rPr>
        <w:t>.</w:t>
      </w:r>
      <w:r w:rsidRPr="007C4699">
        <w:rPr>
          <w:rFonts w:asciiTheme="minorBidi" w:hAnsiTheme="minorBidi" w:cs="Arial"/>
          <w:rtl/>
        </w:rPr>
        <w:t xml:space="preserve"> ואמרינן נמי ביבמות פ' החולץ </w:t>
      </w:r>
      <w:r w:rsidR="00231B06">
        <w:rPr>
          <w:rFonts w:asciiTheme="minorBidi" w:hAnsiTheme="minorBidi" w:cs="Arial" w:hint="cs"/>
          <w:rtl/>
        </w:rPr>
        <w:t>(</w:t>
      </w:r>
      <w:r w:rsidRPr="007C4699">
        <w:rPr>
          <w:rFonts w:asciiTheme="minorBidi" w:hAnsiTheme="minorBidi" w:cs="Arial"/>
          <w:rtl/>
        </w:rPr>
        <w:t>מ</w:t>
      </w:r>
      <w:r w:rsidR="00231B06">
        <w:rPr>
          <w:rFonts w:asciiTheme="minorBidi" w:hAnsiTheme="minorBidi" w:cs="Arial" w:hint="cs"/>
          <w:rtl/>
        </w:rPr>
        <w:t>.)</w:t>
      </w:r>
      <w:r w:rsidRPr="007C4699">
        <w:rPr>
          <w:rFonts w:asciiTheme="minorBidi" w:hAnsiTheme="minorBidi" w:cs="Arial"/>
          <w:rtl/>
        </w:rPr>
        <w:t xml:space="preserve"> דאע"ג דחלטיה כיון דהדר אפייה בתנור לחם איקרי ואדם יוצא י"ח בפסח</w:t>
      </w:r>
      <w:r w:rsidR="007E6454">
        <w:rPr>
          <w:rFonts w:asciiTheme="minorBidi" w:hAnsiTheme="minorBidi" w:cs="Arial" w:hint="cs"/>
          <w:rtl/>
        </w:rPr>
        <w:t>.</w:t>
      </w:r>
      <w:r w:rsidRPr="007C4699">
        <w:rPr>
          <w:rFonts w:asciiTheme="minorBidi" w:hAnsiTheme="minorBidi" w:cs="Arial"/>
          <w:rtl/>
        </w:rPr>
        <w:t xml:space="preserve"> ואחרי דסוגיא דתלמוד כר"י </w:t>
      </w:r>
      <w:r w:rsidR="007E6454">
        <w:rPr>
          <w:rFonts w:asciiTheme="minorBidi" w:hAnsiTheme="minorBidi" w:cs="Arial" w:hint="cs"/>
          <w:rtl/>
        </w:rPr>
        <w:t xml:space="preserve">- </w:t>
      </w:r>
      <w:r w:rsidRPr="007C4699">
        <w:rPr>
          <w:rFonts w:asciiTheme="minorBidi" w:hAnsiTheme="minorBidi" w:cs="Arial"/>
          <w:rtl/>
        </w:rPr>
        <w:t>כוותיה עבדינן</w:t>
      </w:r>
      <w:r w:rsidR="007E6454">
        <w:rPr>
          <w:rFonts w:asciiTheme="minorBidi" w:hAnsiTheme="minorBidi" w:cs="Arial" w:hint="cs"/>
          <w:rtl/>
        </w:rPr>
        <w:t>.</w:t>
      </w:r>
      <w:r w:rsidRPr="007C4699">
        <w:rPr>
          <w:rFonts w:asciiTheme="minorBidi" w:hAnsiTheme="minorBidi" w:cs="Arial"/>
          <w:rtl/>
        </w:rPr>
        <w:t xml:space="preserve"> הלכך אחרי שפירשתי שיש דבר המתבשל בכלי שני ויש בישול אחר אפוי וצלי ויש צלי אחר בישול </w:t>
      </w:r>
      <w:r w:rsidR="007E6454">
        <w:rPr>
          <w:rFonts w:asciiTheme="minorBidi" w:hAnsiTheme="minorBidi" w:cs="Arial" w:hint="cs"/>
          <w:rtl/>
        </w:rPr>
        <w:t xml:space="preserve">- </w:t>
      </w:r>
      <w:r w:rsidRPr="007C4699">
        <w:rPr>
          <w:rFonts w:asciiTheme="minorBidi" w:hAnsiTheme="minorBidi" w:cs="Arial"/>
          <w:rtl/>
        </w:rPr>
        <w:t xml:space="preserve">יזהר אדם שלא יתן פת אפוי בשבת </w:t>
      </w:r>
      <w:r w:rsidR="0065569D">
        <w:rPr>
          <w:rStyle w:val="a9"/>
          <w:rFonts w:asciiTheme="minorBidi" w:hAnsiTheme="minorBidi" w:cs="Arial"/>
          <w:rtl/>
        </w:rPr>
        <w:footnoteReference w:id="2746"/>
      </w:r>
      <w:r w:rsidR="0065569D">
        <w:rPr>
          <w:rFonts w:asciiTheme="minorBidi" w:hAnsiTheme="minorBidi" w:cs="Arial" w:hint="cs"/>
          <w:rtl/>
        </w:rPr>
        <w:t>[</w:t>
      </w:r>
      <w:r w:rsidRPr="007C4699">
        <w:rPr>
          <w:rFonts w:asciiTheme="minorBidi" w:hAnsiTheme="minorBidi" w:cs="Arial"/>
          <w:rtl/>
        </w:rPr>
        <w:t>אלא</w:t>
      </w:r>
      <w:r w:rsidR="0065569D">
        <w:rPr>
          <w:rFonts w:asciiTheme="minorBidi" w:hAnsiTheme="minorBidi" w:cs="Arial" w:hint="cs"/>
          <w:rtl/>
        </w:rPr>
        <w:t>]</w:t>
      </w:r>
      <w:r w:rsidRPr="007C4699">
        <w:rPr>
          <w:rFonts w:asciiTheme="minorBidi" w:hAnsiTheme="minorBidi" w:cs="Arial"/>
          <w:rtl/>
        </w:rPr>
        <w:t xml:space="preserve"> בכלי שני</w:t>
      </w:r>
      <w:r w:rsidR="007E6454">
        <w:rPr>
          <w:rStyle w:val="a9"/>
          <w:rFonts w:asciiTheme="minorBidi" w:hAnsiTheme="minorBidi" w:cs="Arial"/>
          <w:rtl/>
        </w:rPr>
        <w:footnoteReference w:id="2747"/>
      </w:r>
      <w:r w:rsidRPr="007C4699">
        <w:rPr>
          <w:rFonts w:asciiTheme="minorBidi" w:hAnsiTheme="minorBidi" w:cs="Arial"/>
          <w:rtl/>
        </w:rPr>
        <w:t xml:space="preserve"> במקום שהיד סולדת בו</w:t>
      </w:r>
      <w:r w:rsidR="007E6454">
        <w:rPr>
          <w:rFonts w:asciiTheme="minorBidi" w:hAnsiTheme="minorBidi" w:cs="Arial" w:hint="cs"/>
          <w:rtl/>
        </w:rPr>
        <w:t>,</w:t>
      </w:r>
      <w:r w:rsidRPr="007C4699">
        <w:rPr>
          <w:rFonts w:asciiTheme="minorBidi" w:hAnsiTheme="minorBidi" w:cs="Arial"/>
          <w:rtl/>
        </w:rPr>
        <w:t xml:space="preserve"> וגם מצלי יזהר כמו כן</w:t>
      </w:r>
      <w:r w:rsidR="007E6454">
        <w:rPr>
          <w:rFonts w:asciiTheme="minorBidi" w:hAnsiTheme="minorBidi" w:cs="Arial" w:hint="cs"/>
          <w:rtl/>
        </w:rPr>
        <w:t>,</w:t>
      </w:r>
      <w:r w:rsidRPr="007C4699">
        <w:rPr>
          <w:rFonts w:asciiTheme="minorBidi" w:hAnsiTheme="minorBidi" w:cs="Arial"/>
          <w:rtl/>
        </w:rPr>
        <w:t xml:space="preserve"> וגם המבושל לא יתן אצל האש בחום גדול שהיד סולדת בו</w:t>
      </w:r>
      <w:r w:rsidR="007E6454">
        <w:rPr>
          <w:rFonts w:asciiTheme="minorBidi" w:hAnsiTheme="minorBidi" w:hint="cs"/>
          <w:rtl/>
        </w:rPr>
        <w:t>.</w:t>
      </w:r>
      <w:r w:rsidR="007E6454" w:rsidRPr="007E6454">
        <w:rPr>
          <w:rtl/>
        </w:rPr>
        <w:t xml:space="preserve"> </w:t>
      </w:r>
      <w:r w:rsidR="007E6454" w:rsidRPr="007E6454">
        <w:rPr>
          <w:rFonts w:asciiTheme="minorBidi" w:hAnsiTheme="minorBidi" w:cs="Arial"/>
          <w:rtl/>
        </w:rPr>
        <w:t xml:space="preserve">ואם עשה </w:t>
      </w:r>
      <w:r w:rsidR="007E6454">
        <w:rPr>
          <w:rFonts w:asciiTheme="minorBidi" w:hAnsiTheme="minorBidi" w:cs="Arial" w:hint="cs"/>
          <w:rtl/>
        </w:rPr>
        <w:t xml:space="preserve">- </w:t>
      </w:r>
      <w:r w:rsidR="007E6454" w:rsidRPr="007E6454">
        <w:rPr>
          <w:rFonts w:asciiTheme="minorBidi" w:hAnsiTheme="minorBidi" w:cs="Arial"/>
          <w:rtl/>
        </w:rPr>
        <w:t>חילל שבת וחושש אני לו מסקילה וחטאת</w:t>
      </w:r>
      <w:r>
        <w:rPr>
          <w:rFonts w:asciiTheme="minorBidi" w:hAnsiTheme="minorBidi" w:hint="cs"/>
          <w:rtl/>
        </w:rPr>
        <w:t>.</w:t>
      </w:r>
    </w:p>
    <w:p w14:paraId="671B9D23" w14:textId="2BD43118" w:rsidR="00F14805" w:rsidRPr="00F14805" w:rsidRDefault="00794066" w:rsidP="00434A6A">
      <w:pPr>
        <w:pStyle w:val="aa"/>
        <w:numPr>
          <w:ilvl w:val="0"/>
          <w:numId w:val="32"/>
        </w:numPr>
        <w:rPr>
          <w:rFonts w:asciiTheme="minorBidi" w:hAnsiTheme="minorBidi"/>
        </w:rPr>
      </w:pPr>
      <w:r w:rsidRPr="00794066">
        <w:rPr>
          <w:rFonts w:asciiTheme="minorBidi" w:hAnsiTheme="minorBidi" w:cs="Arial"/>
          <w:rtl/>
        </w:rPr>
        <w:t xml:space="preserve">ראבי"ה </w:t>
      </w:r>
      <w:r w:rsidR="00586567">
        <w:rPr>
          <w:rFonts w:asciiTheme="minorBidi" w:hAnsiTheme="minorBidi" w:cs="Arial" w:hint="cs"/>
          <w:sz w:val="16"/>
          <w:szCs w:val="16"/>
          <w:rtl/>
        </w:rPr>
        <w:t>(סי' קצז</w:t>
      </w:r>
      <w:r w:rsidR="00F14805">
        <w:rPr>
          <w:rFonts w:asciiTheme="minorBidi" w:hAnsiTheme="minorBidi" w:cs="Arial" w:hint="cs"/>
          <w:sz w:val="16"/>
          <w:szCs w:val="16"/>
          <w:rtl/>
        </w:rPr>
        <w:t>, העתיק דבריו המרדכי [שבת סי' שב]</w:t>
      </w:r>
      <w:r w:rsidR="00586567">
        <w:rPr>
          <w:rFonts w:asciiTheme="minorBidi" w:hAnsiTheme="minorBidi" w:cs="Arial" w:hint="cs"/>
          <w:sz w:val="16"/>
          <w:szCs w:val="16"/>
          <w:rtl/>
        </w:rPr>
        <w:t>)</w:t>
      </w:r>
      <w:r w:rsidR="00586567">
        <w:rPr>
          <w:rFonts w:asciiTheme="minorBidi" w:hAnsiTheme="minorBidi" w:cs="Arial" w:hint="cs"/>
          <w:rtl/>
        </w:rPr>
        <w:t xml:space="preserve">- </w:t>
      </w:r>
      <w:r w:rsidR="00F14805" w:rsidRPr="00F14805">
        <w:rPr>
          <w:rFonts w:asciiTheme="minorBidi" w:hAnsiTheme="minorBidi" w:cs="Arial"/>
          <w:rtl/>
        </w:rPr>
        <w:t>ושמעתי מרבינו אליעזר ממיץ שהיה אומר</w:t>
      </w:r>
      <w:r w:rsidR="00F14805">
        <w:rPr>
          <w:rFonts w:asciiTheme="minorBidi" w:hAnsiTheme="minorBidi" w:cs="Arial" w:hint="cs"/>
          <w:rtl/>
        </w:rPr>
        <w:t>...</w:t>
      </w:r>
      <w:r w:rsidR="00F14805" w:rsidRPr="00F14805">
        <w:rPr>
          <w:rFonts w:asciiTheme="minorBidi" w:hAnsiTheme="minorBidi" w:cs="Arial"/>
          <w:rtl/>
        </w:rPr>
        <w:t xml:space="preserve"> יש אפיה אחר בישול ויש בישול אחר אפיה</w:t>
      </w:r>
      <w:r w:rsidR="00F14805">
        <w:rPr>
          <w:rFonts w:asciiTheme="minorBidi" w:hAnsiTheme="minorBidi" w:cs="Arial" w:hint="cs"/>
          <w:rtl/>
        </w:rPr>
        <w:t>..</w:t>
      </w:r>
      <w:r w:rsidR="00F14805" w:rsidRPr="00F14805">
        <w:rPr>
          <w:rFonts w:asciiTheme="minorBidi" w:hAnsiTheme="minorBidi" w:cs="Arial"/>
          <w:rtl/>
        </w:rPr>
        <w:t xml:space="preserve">. </w:t>
      </w:r>
      <w:r w:rsidR="00F14805">
        <w:rPr>
          <w:rFonts w:asciiTheme="minorBidi" w:hAnsiTheme="minorBidi" w:cs="Arial" w:hint="cs"/>
          <w:rtl/>
        </w:rPr>
        <w:t xml:space="preserve">- </w:t>
      </w:r>
      <w:r w:rsidR="00F14805" w:rsidRPr="00F14805">
        <w:rPr>
          <w:rFonts w:asciiTheme="minorBidi" w:hAnsiTheme="minorBidi" w:cs="Arial"/>
          <w:rtl/>
        </w:rPr>
        <w:t xml:space="preserve">ולאו מילתא היא, דהא מייתי ליה בפרק כיצד מברכין </w:t>
      </w:r>
      <w:r w:rsidR="00F14805">
        <w:rPr>
          <w:rFonts w:asciiTheme="minorBidi" w:hAnsiTheme="minorBidi" w:cs="Arial" w:hint="cs"/>
          <w:rtl/>
        </w:rPr>
        <w:t xml:space="preserve">(ברכות לח:) </w:t>
      </w:r>
      <w:r w:rsidR="00F14805" w:rsidRPr="00F14805">
        <w:rPr>
          <w:rFonts w:asciiTheme="minorBidi" w:hAnsiTheme="minorBidi" w:cs="Arial"/>
          <w:rtl/>
        </w:rPr>
        <w:t>ומסקינן עד כאן לא קאמר ר' יוסי אלא לגבי מצה דבעינן טעם מצה בפיו וליכא</w:t>
      </w:r>
      <w:r w:rsidR="000B53EB">
        <w:rPr>
          <w:rStyle w:val="a9"/>
          <w:rFonts w:asciiTheme="minorBidi" w:hAnsiTheme="minorBidi" w:cs="Arial"/>
          <w:rtl/>
        </w:rPr>
        <w:footnoteReference w:id="2748"/>
      </w:r>
      <w:r w:rsidR="00F14805">
        <w:rPr>
          <w:rFonts w:asciiTheme="minorBidi" w:hAnsiTheme="minorBidi" w:cs="Arial" w:hint="cs"/>
          <w:rtl/>
        </w:rPr>
        <w:t>.</w:t>
      </w:r>
      <w:r w:rsidR="00F14805" w:rsidRPr="00F14805">
        <w:rPr>
          <w:rFonts w:asciiTheme="minorBidi" w:hAnsiTheme="minorBidi" w:cs="Arial"/>
          <w:rtl/>
        </w:rPr>
        <w:t xml:space="preserve"> </w:t>
      </w:r>
      <w:r w:rsidR="00D04D9E" w:rsidRPr="00D04D9E">
        <w:rPr>
          <w:rFonts w:asciiTheme="minorBidi" w:hAnsiTheme="minorBidi" w:cs="Arial" w:hint="cs"/>
          <w:color w:val="E36C0A" w:themeColor="accent6" w:themeShade="BF"/>
          <w:rtl/>
        </w:rPr>
        <w:t>(וכ"פ בשו"ע</w:t>
      </w:r>
      <w:r w:rsidR="00921789" w:rsidRPr="00C803BA">
        <w:rPr>
          <w:rStyle w:val="a9"/>
          <w:rFonts w:asciiTheme="minorBidi" w:hAnsiTheme="minorBidi" w:cs="Arial"/>
          <w:color w:val="000000" w:themeColor="text1"/>
          <w:rtl/>
        </w:rPr>
        <w:footnoteReference w:id="2749"/>
      </w:r>
      <w:r w:rsidR="00D04D9E" w:rsidRPr="00D04D9E">
        <w:rPr>
          <w:rFonts w:asciiTheme="minorBidi" w:hAnsiTheme="minorBidi" w:cs="Arial" w:hint="cs"/>
          <w:color w:val="E36C0A" w:themeColor="accent6" w:themeShade="BF"/>
          <w:rtl/>
        </w:rPr>
        <w:t>)</w:t>
      </w:r>
    </w:p>
    <w:p w14:paraId="721C60B9" w14:textId="74036D02" w:rsidR="00DE541A" w:rsidRPr="00DE541A" w:rsidRDefault="00DE541A" w:rsidP="00434A6A">
      <w:pPr>
        <w:ind w:left="360"/>
        <w:rPr>
          <w:rFonts w:asciiTheme="minorBidi" w:hAnsiTheme="minorBidi"/>
          <w:u w:val="dotted"/>
        </w:rPr>
      </w:pPr>
      <w:r w:rsidRPr="00DE541A">
        <w:rPr>
          <w:rFonts w:asciiTheme="minorBidi" w:hAnsiTheme="minorBidi" w:hint="cs"/>
          <w:u w:val="dotted"/>
          <w:rtl/>
        </w:rPr>
        <w:t>ל</w:t>
      </w:r>
      <w:r w:rsidR="00FD3476">
        <w:rPr>
          <w:rFonts w:asciiTheme="minorBidi" w:hAnsiTheme="minorBidi" w:hint="cs"/>
          <w:u w:val="dotted"/>
          <w:rtl/>
        </w:rPr>
        <w:t>י</w:t>
      </w:r>
      <w:r w:rsidRPr="00DE541A">
        <w:rPr>
          <w:rFonts w:asciiTheme="minorBidi" w:hAnsiTheme="minorBidi" w:hint="cs"/>
          <w:u w:val="dotted"/>
          <w:rtl/>
        </w:rPr>
        <w:t>רא</w:t>
      </w:r>
      <w:r w:rsidR="00FD3476">
        <w:rPr>
          <w:rFonts w:asciiTheme="minorBidi" w:hAnsiTheme="minorBidi" w:hint="cs"/>
          <w:u w:val="dotted"/>
          <w:rtl/>
        </w:rPr>
        <w:t>י</w:t>
      </w:r>
      <w:r w:rsidRPr="00DE541A">
        <w:rPr>
          <w:rFonts w:asciiTheme="minorBidi" w:hAnsiTheme="minorBidi" w:hint="cs"/>
          <w:u w:val="dotted"/>
          <w:rtl/>
        </w:rPr>
        <w:t>ם וסיעתו - האם</w:t>
      </w:r>
      <w:r w:rsidR="00FD3476">
        <w:rPr>
          <w:rFonts w:asciiTheme="minorBidi" w:hAnsiTheme="minorBidi" w:hint="cs"/>
          <w:u w:val="dotted"/>
          <w:rtl/>
        </w:rPr>
        <w:t xml:space="preserve"> </w:t>
      </w:r>
      <w:r w:rsidRPr="00DE541A">
        <w:rPr>
          <w:rFonts w:asciiTheme="minorBidi" w:hAnsiTheme="minorBidi" w:hint="cs"/>
          <w:u w:val="dotted"/>
          <w:rtl/>
        </w:rPr>
        <w:t xml:space="preserve">יש אפייה אחר אפייה </w:t>
      </w:r>
      <w:r w:rsidR="00FD3476" w:rsidRPr="00FD3476">
        <w:rPr>
          <w:rFonts w:asciiTheme="minorBidi" w:hAnsiTheme="minorBidi" w:hint="cs"/>
          <w:sz w:val="16"/>
          <w:szCs w:val="16"/>
          <w:u w:val="dotted"/>
          <w:rtl/>
        </w:rPr>
        <w:t>(</w:t>
      </w:r>
      <w:r w:rsidRPr="00FD3476">
        <w:rPr>
          <w:rFonts w:asciiTheme="minorBidi" w:hAnsiTheme="minorBidi" w:hint="cs"/>
          <w:sz w:val="16"/>
          <w:szCs w:val="16"/>
          <w:u w:val="dotted"/>
          <w:rtl/>
        </w:rPr>
        <w:t>או צלייה אחר צלייה</w:t>
      </w:r>
      <w:r w:rsidR="00FD3476">
        <w:rPr>
          <w:rFonts w:asciiTheme="minorBidi" w:hAnsiTheme="minorBidi" w:hint="cs"/>
          <w:sz w:val="16"/>
          <w:szCs w:val="16"/>
          <w:u w:val="dotted"/>
          <w:rtl/>
        </w:rPr>
        <w:t>)</w:t>
      </w:r>
      <w:r w:rsidRPr="00DE541A">
        <w:rPr>
          <w:rFonts w:asciiTheme="minorBidi" w:hAnsiTheme="minorBidi" w:hint="cs"/>
          <w:u w:val="dotted"/>
          <w:rtl/>
        </w:rPr>
        <w:t>:</w:t>
      </w:r>
    </w:p>
    <w:p w14:paraId="1690CED3" w14:textId="1432B3F0" w:rsidR="00DD3262" w:rsidRPr="000D6321" w:rsidRDefault="00FD3476" w:rsidP="00434A6A">
      <w:pPr>
        <w:pStyle w:val="aa"/>
        <w:numPr>
          <w:ilvl w:val="0"/>
          <w:numId w:val="32"/>
        </w:numPr>
        <w:rPr>
          <w:rFonts w:asciiTheme="minorBidi" w:hAnsiTheme="minorBidi"/>
          <w:rtl/>
        </w:rPr>
      </w:pPr>
      <w:r>
        <w:rPr>
          <w:rFonts w:asciiTheme="minorBidi" w:hAnsiTheme="minorBidi" w:cs="Arial" w:hint="cs"/>
          <w:rtl/>
        </w:rPr>
        <w:t>סמ"ק</w:t>
      </w:r>
      <w:r>
        <w:rPr>
          <w:rFonts w:asciiTheme="minorBidi" w:hAnsiTheme="minorBidi" w:cs="Arial" w:hint="cs"/>
          <w:sz w:val="16"/>
          <w:szCs w:val="16"/>
          <w:rtl/>
        </w:rPr>
        <w:t xml:space="preserve"> (סי' רפב)</w:t>
      </w:r>
      <w:r>
        <w:rPr>
          <w:rFonts w:asciiTheme="minorBidi" w:hAnsiTheme="minorBidi" w:cs="Arial" w:hint="cs"/>
          <w:rtl/>
        </w:rPr>
        <w:t xml:space="preserve">- </w:t>
      </w:r>
      <w:r w:rsidRPr="00FD3476">
        <w:rPr>
          <w:rFonts w:asciiTheme="minorBidi" w:hAnsiTheme="minorBidi" w:cs="Arial"/>
          <w:rtl/>
        </w:rPr>
        <w:t>והשתא יש ג' חלוקים</w:t>
      </w:r>
      <w:r>
        <w:rPr>
          <w:rFonts w:asciiTheme="minorBidi" w:hAnsiTheme="minorBidi" w:cs="Arial" w:hint="cs"/>
          <w:rtl/>
        </w:rPr>
        <w:t>:</w:t>
      </w:r>
      <w:r w:rsidRPr="00FD3476">
        <w:rPr>
          <w:rFonts w:asciiTheme="minorBidi" w:hAnsiTheme="minorBidi" w:cs="Arial"/>
          <w:rtl/>
        </w:rPr>
        <w:t xml:space="preserve"> בדבר לח וצלול </w:t>
      </w:r>
      <w:r>
        <w:rPr>
          <w:rFonts w:asciiTheme="minorBidi" w:hAnsiTheme="minorBidi" w:cs="Arial" w:hint="cs"/>
          <w:rtl/>
        </w:rPr>
        <w:t xml:space="preserve">- </w:t>
      </w:r>
      <w:r w:rsidRPr="00FD3476">
        <w:rPr>
          <w:rFonts w:asciiTheme="minorBidi" w:hAnsiTheme="minorBidi" w:cs="Arial"/>
          <w:rtl/>
        </w:rPr>
        <w:t>לדברי הכל יש בישול אחר בישול</w:t>
      </w:r>
      <w:r>
        <w:rPr>
          <w:rFonts w:asciiTheme="minorBidi" w:hAnsiTheme="minorBidi" w:cs="Arial" w:hint="cs"/>
          <w:rtl/>
        </w:rPr>
        <w:t>.</w:t>
      </w:r>
      <w:r w:rsidRPr="00FD3476">
        <w:rPr>
          <w:rFonts w:asciiTheme="minorBidi" w:hAnsiTheme="minorBidi" w:cs="Arial"/>
          <w:rtl/>
        </w:rPr>
        <w:t xml:space="preserve"> ובדבר יבש אם ראשון ושני הכל דרך אפייה וצלייה </w:t>
      </w:r>
      <w:r>
        <w:rPr>
          <w:rFonts w:asciiTheme="minorBidi" w:hAnsiTheme="minorBidi" w:cs="Arial" w:hint="cs"/>
          <w:rtl/>
        </w:rPr>
        <w:t xml:space="preserve">- </w:t>
      </w:r>
      <w:r w:rsidRPr="00FD3476">
        <w:rPr>
          <w:rFonts w:asciiTheme="minorBidi" w:hAnsiTheme="minorBidi" w:cs="Arial"/>
          <w:rtl/>
        </w:rPr>
        <w:t>לכאורה לדברי הכל אין אפייה אחר אפייה ואין צלייה אחר צלייה, וסברא הוא דגם הר"ר אליעזר מודה בזה</w:t>
      </w:r>
      <w:r>
        <w:rPr>
          <w:rFonts w:asciiTheme="minorBidi" w:hAnsiTheme="minorBidi" w:cs="Arial" w:hint="cs"/>
          <w:rtl/>
        </w:rPr>
        <w:t>.</w:t>
      </w:r>
      <w:r w:rsidRPr="00FD3476">
        <w:rPr>
          <w:rFonts w:asciiTheme="minorBidi" w:hAnsiTheme="minorBidi" w:cs="Arial"/>
          <w:rtl/>
        </w:rPr>
        <w:t xml:space="preserve"> אבל כשהראשון דרך אפייה או צלייה והשני דרך בישול בתוך מים או יין </w:t>
      </w:r>
      <w:r>
        <w:rPr>
          <w:rFonts w:asciiTheme="minorBidi" w:hAnsiTheme="minorBidi" w:cs="Arial" w:hint="cs"/>
          <w:rtl/>
        </w:rPr>
        <w:t xml:space="preserve">- </w:t>
      </w:r>
      <w:r w:rsidRPr="00FD3476">
        <w:rPr>
          <w:rFonts w:asciiTheme="minorBidi" w:hAnsiTheme="minorBidi" w:cs="Arial"/>
          <w:rtl/>
        </w:rPr>
        <w:t>בזה אומר הר"ר אליעזר דיש בישול אחר אפייה וצלייה</w:t>
      </w:r>
      <w:r>
        <w:rPr>
          <w:rFonts w:asciiTheme="minorBidi" w:hAnsiTheme="minorBidi" w:cs="Arial" w:hint="cs"/>
          <w:rtl/>
        </w:rPr>
        <w:t>,</w:t>
      </w:r>
      <w:r w:rsidRPr="00FD3476">
        <w:rPr>
          <w:rFonts w:asciiTheme="minorBidi" w:hAnsiTheme="minorBidi" w:cs="Arial"/>
          <w:rtl/>
        </w:rPr>
        <w:t xml:space="preserve"> דומיא דההיא דפסחים שהבאתי</w:t>
      </w:r>
      <w:r>
        <w:rPr>
          <w:rFonts w:asciiTheme="minorBidi" w:hAnsiTheme="minorBidi" w:cs="Arial" w:hint="cs"/>
          <w:rtl/>
        </w:rPr>
        <w:t>.</w:t>
      </w:r>
      <w:r w:rsidRPr="00FD3476">
        <w:rPr>
          <w:rFonts w:asciiTheme="minorBidi" w:hAnsiTheme="minorBidi" w:cs="Arial"/>
          <w:rtl/>
        </w:rPr>
        <w:t xml:space="preserve"> ולפי זה מותר להניח צלי מבושל או בשר סמוך לאש כדי לחמם אפי' שמחממו כל כך שהיד סולדת בו</w:t>
      </w:r>
      <w:r>
        <w:rPr>
          <w:rFonts w:asciiTheme="minorBidi" w:hAnsiTheme="minorBidi" w:cs="Arial" w:hint="cs"/>
          <w:rtl/>
        </w:rPr>
        <w:t>.</w:t>
      </w:r>
      <w:r w:rsidRPr="00FD3476">
        <w:rPr>
          <w:rFonts w:asciiTheme="minorBidi" w:hAnsiTheme="minorBidi" w:cs="Arial"/>
          <w:rtl/>
        </w:rPr>
        <w:t xml:space="preserve"> ויש רוצים לומר דגם בזה אסר הר"ר אליעזר</w:t>
      </w:r>
      <w:r>
        <w:rPr>
          <w:rFonts w:asciiTheme="minorBidi" w:hAnsiTheme="minorBidi" w:cs="Arial" w:hint="cs"/>
          <w:rtl/>
        </w:rPr>
        <w:t>.</w:t>
      </w:r>
      <w:r w:rsidRPr="00FD3476">
        <w:rPr>
          <w:rFonts w:asciiTheme="minorBidi" w:hAnsiTheme="minorBidi" w:cs="Arial"/>
          <w:rtl/>
        </w:rPr>
        <w:t xml:space="preserve"> ואינו נראה</w:t>
      </w:r>
      <w:r w:rsidR="000D6321">
        <w:rPr>
          <w:rFonts w:asciiTheme="minorBidi" w:hAnsiTheme="minorBidi" w:cs="Arial" w:hint="cs"/>
          <w:rtl/>
        </w:rPr>
        <w:t>,</w:t>
      </w:r>
      <w:r w:rsidRPr="00FD3476">
        <w:rPr>
          <w:rFonts w:asciiTheme="minorBidi" w:hAnsiTheme="minorBidi" w:cs="Arial"/>
          <w:rtl/>
        </w:rPr>
        <w:t xml:space="preserve"> דלפי הראייה שהוא מביא מההיא דרקיק בפסח אינו כי אם דוקא היכא שבשל לסוף במים או ביין</w:t>
      </w:r>
      <w:r>
        <w:rPr>
          <w:rFonts w:asciiTheme="minorBidi" w:hAnsiTheme="minorBidi" w:cs="Arial" w:hint="cs"/>
          <w:rtl/>
        </w:rPr>
        <w:t xml:space="preserve">. </w:t>
      </w:r>
    </w:p>
    <w:p w14:paraId="2131A145"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804927C" w14:textId="247359A0" w:rsidR="006A4BF8" w:rsidRPr="005275DF" w:rsidRDefault="006A4BF8" w:rsidP="00434A6A">
      <w:pPr>
        <w:tabs>
          <w:tab w:val="left" w:pos="2788"/>
        </w:tabs>
        <w:rPr>
          <w:rFonts w:asciiTheme="minorBidi" w:hAnsiTheme="minorBidi"/>
          <w:rtl/>
        </w:rPr>
      </w:pPr>
      <w:r w:rsidRPr="005275DF">
        <w:rPr>
          <w:rFonts w:asciiTheme="minorBidi" w:hAnsiTheme="minorBidi"/>
          <w:rtl/>
        </w:rPr>
        <w:t>יש מי שאומר דדבר שנאפה או נצלה, אם בשלו אח</w:t>
      </w:r>
      <w:r w:rsidR="00DE541A">
        <w:rPr>
          <w:rFonts w:asciiTheme="minorBidi" w:hAnsiTheme="minorBidi" w:hint="cs"/>
          <w:rtl/>
        </w:rPr>
        <w:t>ר כך</w:t>
      </w:r>
      <w:r w:rsidRPr="005275DF">
        <w:rPr>
          <w:rFonts w:asciiTheme="minorBidi" w:hAnsiTheme="minorBidi"/>
          <w:rtl/>
        </w:rPr>
        <w:t xml:space="preserve"> במשקה יש בו משום בישול, ואסור ליתן פת </w:t>
      </w:r>
      <w:r w:rsidRPr="005275DF">
        <w:rPr>
          <w:rFonts w:asciiTheme="minorBidi" w:hAnsiTheme="minorBidi"/>
          <w:sz w:val="18"/>
          <w:szCs w:val="18"/>
          <w:rtl/>
        </w:rPr>
        <w:t>הגה: אפילו</w:t>
      </w:r>
      <w:r w:rsidRPr="005275DF">
        <w:rPr>
          <w:rFonts w:asciiTheme="minorBidi" w:hAnsiTheme="minorBidi"/>
          <w:rtl/>
        </w:rPr>
        <w:t xml:space="preserve"> בכלי שני שהיד סולדת בו</w:t>
      </w:r>
      <w:r w:rsidR="00DE541A">
        <w:rPr>
          <w:rFonts w:asciiTheme="minorBidi" w:hAnsiTheme="minorBidi" w:hint="cs"/>
          <w:rtl/>
        </w:rPr>
        <w:t>.</w:t>
      </w:r>
      <w:r w:rsidRPr="005275DF">
        <w:rPr>
          <w:rFonts w:asciiTheme="minorBidi" w:hAnsiTheme="minorBidi"/>
          <w:rtl/>
        </w:rPr>
        <w:t xml:space="preserve"> ויש מתירין. </w:t>
      </w:r>
      <w:r w:rsidRPr="005275DF">
        <w:rPr>
          <w:rFonts w:asciiTheme="minorBidi" w:hAnsiTheme="minorBidi"/>
          <w:sz w:val="18"/>
          <w:szCs w:val="18"/>
          <w:rtl/>
        </w:rPr>
        <w:t>הגה: בכלי שני</w:t>
      </w:r>
      <w:r w:rsidR="00DE541A">
        <w:rPr>
          <w:rFonts w:asciiTheme="minorBidi" w:hAnsiTheme="minorBidi" w:hint="cs"/>
          <w:sz w:val="18"/>
          <w:szCs w:val="18"/>
          <w:rtl/>
        </w:rPr>
        <w:t>.</w:t>
      </w:r>
      <w:r w:rsidRPr="005275DF">
        <w:rPr>
          <w:rFonts w:asciiTheme="minorBidi" w:hAnsiTheme="minorBidi"/>
          <w:sz w:val="18"/>
          <w:szCs w:val="18"/>
          <w:rtl/>
        </w:rPr>
        <w:t xml:space="preserve"> ויש מקילין אפילו בכלי ראשון</w:t>
      </w:r>
      <w:r w:rsidR="00DE541A">
        <w:rPr>
          <w:rFonts w:asciiTheme="minorBidi" w:hAnsiTheme="minorBidi" w:hint="cs"/>
          <w:sz w:val="18"/>
          <w:szCs w:val="18"/>
          <w:rtl/>
        </w:rPr>
        <w:t>.</w:t>
      </w:r>
      <w:r w:rsidRPr="005275DF">
        <w:rPr>
          <w:rFonts w:asciiTheme="minorBidi" w:hAnsiTheme="minorBidi"/>
          <w:sz w:val="18"/>
          <w:szCs w:val="18"/>
          <w:rtl/>
        </w:rPr>
        <w:t xml:space="preserve"> ונהגו ליזהר לכתחלה שלא ליתן פת אפילו בכלי שני כל זמן שהיד סולדת בו.</w:t>
      </w:r>
      <w:r w:rsidR="0033042B">
        <w:rPr>
          <w:rFonts w:asciiTheme="minorBidi" w:hAnsiTheme="minorBidi" w:hint="cs"/>
          <w:sz w:val="18"/>
          <w:szCs w:val="18"/>
          <w:rtl/>
        </w:rPr>
        <w:t xml:space="preserve"> </w:t>
      </w:r>
      <w:r w:rsidRPr="005275DF">
        <w:rPr>
          <w:rFonts w:asciiTheme="minorBidi" w:hAnsiTheme="minorBidi"/>
          <w:rtl/>
        </w:rPr>
        <w:t xml:space="preserve"> </w:t>
      </w:r>
    </w:p>
    <w:p w14:paraId="32745E4A" w14:textId="77777777" w:rsidR="006A4BF8" w:rsidRPr="005275DF" w:rsidRDefault="006A4BF8" w:rsidP="00434A6A">
      <w:pPr>
        <w:tabs>
          <w:tab w:val="left" w:pos="2788"/>
        </w:tabs>
        <w:rPr>
          <w:rFonts w:asciiTheme="minorBidi" w:hAnsiTheme="minorBidi"/>
          <w:rtl/>
        </w:rPr>
      </w:pPr>
    </w:p>
    <w:p w14:paraId="3551FC0C" w14:textId="285AD577" w:rsidR="006A4BF8" w:rsidRDefault="006A4BF8" w:rsidP="00434A6A">
      <w:pPr>
        <w:pStyle w:val="2"/>
        <w:rPr>
          <w:rFonts w:asciiTheme="minorBidi" w:hAnsiTheme="minorBidi" w:cstheme="minorBidi"/>
          <w:rtl/>
        </w:rPr>
      </w:pPr>
      <w:r w:rsidRPr="005275DF">
        <w:rPr>
          <w:rFonts w:asciiTheme="minorBidi" w:hAnsiTheme="minorBidi" w:cstheme="minorBidi"/>
          <w:rtl/>
        </w:rPr>
        <w:t>סעיף ו: הנחת דבר לח ע"ג קדירה טמונה.</w:t>
      </w:r>
    </w:p>
    <w:p w14:paraId="2F2D654D" w14:textId="0661BEEA" w:rsidR="009C23C3" w:rsidRDefault="009C23C3" w:rsidP="009C23C3">
      <w:pPr>
        <w:rPr>
          <w:rFonts w:asciiTheme="minorBidi" w:hAnsiTheme="minorBidi"/>
          <w:u w:val="single"/>
          <w:rtl/>
        </w:rPr>
      </w:pPr>
      <w:r w:rsidRPr="005275DF">
        <w:rPr>
          <w:rFonts w:asciiTheme="minorBidi" w:hAnsiTheme="minorBidi"/>
          <w:b/>
          <w:bCs/>
          <w:rtl/>
        </w:rPr>
        <w:t xml:space="preserve">שבת </w:t>
      </w:r>
      <w:r>
        <w:rPr>
          <w:rFonts w:asciiTheme="minorBidi" w:hAnsiTheme="minorBidi" w:hint="cs"/>
          <w:b/>
          <w:bCs/>
          <w:sz w:val="16"/>
          <w:szCs w:val="16"/>
          <w:rtl/>
        </w:rPr>
        <w:t>(ס"פ במה טומנין)</w:t>
      </w:r>
      <w:r>
        <w:rPr>
          <w:rFonts w:asciiTheme="minorBidi" w:hAnsiTheme="minorBidi" w:hint="cs"/>
          <w:b/>
          <w:bCs/>
          <w:rtl/>
        </w:rPr>
        <w:t xml:space="preserve"> </w:t>
      </w:r>
      <w:r w:rsidRPr="005275DF">
        <w:rPr>
          <w:rFonts w:asciiTheme="minorBidi" w:hAnsiTheme="minorBidi"/>
          <w:b/>
          <w:bCs/>
          <w:rtl/>
        </w:rPr>
        <w:t>נא ע"</w:t>
      </w:r>
      <w:r>
        <w:rPr>
          <w:rFonts w:asciiTheme="minorBidi" w:hAnsiTheme="minorBidi" w:hint="cs"/>
          <w:b/>
          <w:bCs/>
          <w:rtl/>
        </w:rPr>
        <w:t>א</w:t>
      </w:r>
      <w:r w:rsidRPr="005275DF">
        <w:rPr>
          <w:rFonts w:asciiTheme="minorBidi" w:hAnsiTheme="minorBidi"/>
          <w:b/>
          <w:bCs/>
          <w:rtl/>
        </w:rPr>
        <w:t xml:space="preserve">: </w:t>
      </w:r>
      <w:r>
        <w:rPr>
          <w:rFonts w:asciiTheme="minorBidi" w:hAnsiTheme="minorBidi" w:hint="cs"/>
          <w:rtl/>
        </w:rPr>
        <w:t>ת"ר...</w:t>
      </w:r>
      <w:r>
        <w:rPr>
          <w:rFonts w:asciiTheme="minorBidi" w:hAnsiTheme="minorBidi" w:hint="cs"/>
          <w:sz w:val="14"/>
          <w:szCs w:val="14"/>
          <w:rtl/>
        </w:rPr>
        <w:t xml:space="preserve"> (נא:)</w:t>
      </w:r>
      <w:r>
        <w:rPr>
          <w:rFonts w:asciiTheme="minorBidi" w:hAnsiTheme="minorBidi" w:hint="cs"/>
          <w:rtl/>
        </w:rPr>
        <w:t xml:space="preserve"> </w:t>
      </w:r>
      <w:r w:rsidRPr="002E4721">
        <w:rPr>
          <w:rFonts w:asciiTheme="minorBidi" w:hAnsiTheme="minorBidi" w:hint="cs"/>
          <w:u w:val="single"/>
          <w:rtl/>
        </w:rPr>
        <w:t>רבי יהודה אומר</w:t>
      </w:r>
      <w:r>
        <w:rPr>
          <w:rFonts w:asciiTheme="minorBidi" w:hAnsiTheme="minorBidi" w:hint="cs"/>
          <w:rtl/>
        </w:rPr>
        <w:t xml:space="preserve">:... </w:t>
      </w:r>
      <w:r w:rsidRPr="005275DF">
        <w:rPr>
          <w:rFonts w:asciiTheme="minorBidi" w:hAnsiTheme="minorBidi"/>
          <w:rtl/>
        </w:rPr>
        <w:t>מניחין מיחם</w:t>
      </w:r>
      <w:r>
        <w:rPr>
          <w:rStyle w:val="a9"/>
          <w:rFonts w:asciiTheme="minorBidi" w:hAnsiTheme="minorBidi"/>
          <w:rtl/>
        </w:rPr>
        <w:footnoteReference w:id="2750"/>
      </w:r>
      <w:r w:rsidRPr="005275DF">
        <w:rPr>
          <w:rFonts w:asciiTheme="minorBidi" w:hAnsiTheme="minorBidi"/>
          <w:rtl/>
        </w:rPr>
        <w:t xml:space="preserve"> על גבי מיחם</w:t>
      </w:r>
      <w:r>
        <w:rPr>
          <w:rFonts w:asciiTheme="minorBidi" w:hAnsiTheme="minorBidi" w:hint="cs"/>
          <w:rtl/>
        </w:rPr>
        <w:t>,</w:t>
      </w:r>
      <w:r w:rsidRPr="005275DF">
        <w:rPr>
          <w:rFonts w:asciiTheme="minorBidi" w:hAnsiTheme="minorBidi"/>
          <w:rtl/>
        </w:rPr>
        <w:t xml:space="preserve"> וקדרה</w:t>
      </w:r>
      <w:r>
        <w:rPr>
          <w:rStyle w:val="a9"/>
          <w:rFonts w:asciiTheme="minorBidi" w:hAnsiTheme="minorBidi"/>
          <w:rtl/>
        </w:rPr>
        <w:footnoteReference w:id="2751"/>
      </w:r>
      <w:r w:rsidRPr="005275DF">
        <w:rPr>
          <w:rFonts w:asciiTheme="minorBidi" w:hAnsiTheme="minorBidi"/>
          <w:rtl/>
        </w:rPr>
        <w:t xml:space="preserve"> על גבי קדרה</w:t>
      </w:r>
      <w:r>
        <w:rPr>
          <w:rFonts w:asciiTheme="minorBidi" w:hAnsiTheme="minorBidi" w:hint="cs"/>
          <w:rtl/>
        </w:rPr>
        <w:t>,</w:t>
      </w:r>
      <w:r w:rsidRPr="005275DF">
        <w:rPr>
          <w:rFonts w:asciiTheme="minorBidi" w:hAnsiTheme="minorBidi"/>
          <w:rtl/>
        </w:rPr>
        <w:t xml:space="preserve"> וקדרה על גבי מיחם</w:t>
      </w:r>
      <w:r>
        <w:rPr>
          <w:rFonts w:asciiTheme="minorBidi" w:hAnsiTheme="minorBidi" w:hint="cs"/>
          <w:rtl/>
        </w:rPr>
        <w:t>,</w:t>
      </w:r>
      <w:r w:rsidRPr="005275DF">
        <w:rPr>
          <w:rFonts w:asciiTheme="minorBidi" w:hAnsiTheme="minorBidi"/>
          <w:rtl/>
        </w:rPr>
        <w:t xml:space="preserve"> [ומיחם</w:t>
      </w:r>
      <w:r>
        <w:rPr>
          <w:rFonts w:asciiTheme="minorBidi" w:hAnsiTheme="minorBidi" w:hint="cs"/>
          <w:rtl/>
        </w:rPr>
        <w:t>]</w:t>
      </w:r>
      <w:r w:rsidRPr="005275DF">
        <w:rPr>
          <w:rStyle w:val="a9"/>
          <w:rFonts w:asciiTheme="minorBidi" w:hAnsiTheme="minorBidi"/>
          <w:rtl/>
        </w:rPr>
        <w:footnoteReference w:id="2752"/>
      </w:r>
      <w:r w:rsidRPr="005275DF">
        <w:rPr>
          <w:rFonts w:asciiTheme="minorBidi" w:hAnsiTheme="minorBidi"/>
          <w:rtl/>
        </w:rPr>
        <w:t xml:space="preserve"> על גבי קדרה. וטח את פיה בבצק</w:t>
      </w:r>
      <w:r>
        <w:rPr>
          <w:rStyle w:val="a9"/>
          <w:rFonts w:asciiTheme="minorBidi" w:hAnsiTheme="minorBidi"/>
          <w:rtl/>
        </w:rPr>
        <w:footnoteReference w:id="2753"/>
      </w:r>
      <w:r w:rsidRPr="005275DF">
        <w:rPr>
          <w:rFonts w:asciiTheme="minorBidi" w:hAnsiTheme="minorBidi"/>
          <w:rtl/>
        </w:rPr>
        <w:t>, ולא בשביל שיחמו</w:t>
      </w:r>
      <w:r w:rsidRPr="005275DF">
        <w:rPr>
          <w:rStyle w:val="a9"/>
          <w:rFonts w:asciiTheme="minorBidi" w:hAnsiTheme="minorBidi"/>
          <w:rtl/>
        </w:rPr>
        <w:footnoteReference w:id="2754"/>
      </w:r>
      <w:r w:rsidRPr="005275DF">
        <w:rPr>
          <w:rFonts w:asciiTheme="minorBidi" w:hAnsiTheme="minorBidi"/>
          <w:rtl/>
        </w:rPr>
        <w:t xml:space="preserve"> - אלא בשביל שיהיו משומרים</w:t>
      </w:r>
      <w:r w:rsidRPr="005275DF">
        <w:rPr>
          <w:rStyle w:val="a9"/>
          <w:rFonts w:asciiTheme="minorBidi" w:hAnsiTheme="minorBidi"/>
          <w:rtl/>
        </w:rPr>
        <w:footnoteReference w:id="2755"/>
      </w:r>
      <w:r w:rsidRPr="005275DF">
        <w:rPr>
          <w:rFonts w:asciiTheme="minorBidi" w:hAnsiTheme="minorBidi"/>
          <w:rtl/>
        </w:rPr>
        <w:t>.</w:t>
      </w:r>
      <w:r>
        <w:rPr>
          <w:rFonts w:asciiTheme="minorBidi" w:hAnsiTheme="minorBidi" w:cs="Arial" w:hint="cs"/>
          <w:sz w:val="16"/>
          <w:szCs w:val="16"/>
          <w:rtl/>
        </w:rPr>
        <w:t xml:space="preserve"> </w:t>
      </w:r>
      <w:r w:rsidRPr="00D440CC">
        <w:rPr>
          <w:rFonts w:asciiTheme="minorBidi" w:hAnsiTheme="minorBidi" w:cs="Arial" w:hint="cs"/>
          <w:sz w:val="16"/>
          <w:szCs w:val="16"/>
          <w:rtl/>
        </w:rPr>
        <w:t>(</w:t>
      </w:r>
      <w:r w:rsidRPr="00D440CC">
        <w:rPr>
          <w:rFonts w:asciiTheme="minorBidi" w:hAnsiTheme="minorBidi" w:cs="Arial"/>
          <w:sz w:val="16"/>
          <w:szCs w:val="16"/>
          <w:rtl/>
        </w:rPr>
        <w:t>ואע</w:t>
      </w:r>
      <w:r w:rsidRPr="00D440CC">
        <w:rPr>
          <w:rFonts w:asciiTheme="minorBidi" w:hAnsiTheme="minorBidi" w:cs="Arial" w:hint="cs"/>
          <w:sz w:val="16"/>
          <w:szCs w:val="16"/>
          <w:rtl/>
        </w:rPr>
        <w:t>"</w:t>
      </w:r>
      <w:r w:rsidRPr="00D440CC">
        <w:rPr>
          <w:rFonts w:asciiTheme="minorBidi" w:hAnsiTheme="minorBidi" w:cs="Arial"/>
          <w:sz w:val="16"/>
          <w:szCs w:val="16"/>
          <w:rtl/>
        </w:rPr>
        <w:t xml:space="preserve">ג דבנוסחי דידן כתוב </w:t>
      </w:r>
      <w:r>
        <w:rPr>
          <w:rFonts w:asciiTheme="minorBidi" w:hAnsiTheme="minorBidi" w:cs="Arial" w:hint="cs"/>
          <w:sz w:val="16"/>
          <w:szCs w:val="16"/>
          <w:rtl/>
        </w:rPr>
        <w:t>"</w:t>
      </w:r>
      <w:r w:rsidRPr="00D440CC">
        <w:rPr>
          <w:rFonts w:asciiTheme="minorBidi" w:hAnsiTheme="minorBidi" w:cs="Arial"/>
          <w:sz w:val="16"/>
          <w:szCs w:val="16"/>
          <w:rtl/>
        </w:rPr>
        <w:t>אבל לא מיחם על גבי קדרה</w:t>
      </w:r>
      <w:r>
        <w:rPr>
          <w:rFonts w:asciiTheme="minorBidi" w:hAnsiTheme="minorBidi" w:cs="Arial" w:hint="cs"/>
          <w:sz w:val="16"/>
          <w:szCs w:val="16"/>
          <w:rtl/>
        </w:rPr>
        <w:t>",</w:t>
      </w:r>
      <w:r w:rsidRPr="00D440CC">
        <w:rPr>
          <w:rFonts w:asciiTheme="minorBidi" w:hAnsiTheme="minorBidi" w:cs="Arial"/>
          <w:sz w:val="16"/>
          <w:szCs w:val="16"/>
          <w:rtl/>
        </w:rPr>
        <w:t xml:space="preserve"> כבר כתב רש"י דבתוספתא (פ"ד הי"ד) גרסינן כמו שכתבתי</w:t>
      </w:r>
      <w:r>
        <w:rPr>
          <w:rFonts w:asciiTheme="minorBidi" w:hAnsiTheme="minorBidi" w:cs="Arial" w:hint="cs"/>
          <w:sz w:val="16"/>
          <w:szCs w:val="16"/>
          <w:rtl/>
        </w:rPr>
        <w:t>.</w:t>
      </w:r>
      <w:r w:rsidRPr="00D440CC">
        <w:rPr>
          <w:rFonts w:asciiTheme="minorBidi" w:hAnsiTheme="minorBidi" w:cs="Arial"/>
          <w:sz w:val="16"/>
          <w:szCs w:val="16"/>
          <w:rtl/>
        </w:rPr>
        <w:t xml:space="preserve"> וכן היא גירסת הרי"ף (כג:) והרא"ש (פ"ד סי' יג)</w:t>
      </w:r>
      <w:r>
        <w:rPr>
          <w:rFonts w:asciiTheme="minorBidi" w:hAnsiTheme="minorBidi" w:cs="Arial" w:hint="cs"/>
          <w:sz w:val="16"/>
          <w:szCs w:val="16"/>
          <w:rtl/>
        </w:rPr>
        <w:t>,</w:t>
      </w:r>
      <w:r w:rsidRPr="00D440CC">
        <w:rPr>
          <w:rFonts w:asciiTheme="minorBidi" w:hAnsiTheme="minorBidi" w:cs="Arial"/>
          <w:sz w:val="16"/>
          <w:szCs w:val="16"/>
          <w:rtl/>
        </w:rPr>
        <w:t xml:space="preserve"> וכך כתב הרמב"ם בפ"ד (ה"ו)</w:t>
      </w:r>
      <w:r>
        <w:rPr>
          <w:rFonts w:asciiTheme="minorBidi" w:hAnsiTheme="minorBidi" w:cs="Arial" w:hint="cs"/>
          <w:sz w:val="16"/>
          <w:szCs w:val="16"/>
          <w:rtl/>
        </w:rPr>
        <w:t>.</w:t>
      </w:r>
      <w:r w:rsidRPr="00D440CC">
        <w:rPr>
          <w:rFonts w:asciiTheme="minorBidi" w:hAnsiTheme="minorBidi" w:cs="Arial"/>
          <w:sz w:val="16"/>
          <w:szCs w:val="16"/>
          <w:rtl/>
        </w:rPr>
        <w:t xml:space="preserve"> וזה דעת רבינו שסתם וכתב </w:t>
      </w:r>
      <w:r>
        <w:rPr>
          <w:rFonts w:asciiTheme="minorBidi" w:hAnsiTheme="minorBidi" w:cs="Arial" w:hint="cs"/>
          <w:sz w:val="16"/>
          <w:szCs w:val="16"/>
          <w:rtl/>
        </w:rPr>
        <w:t>"</w:t>
      </w:r>
      <w:r w:rsidRPr="00D440CC">
        <w:rPr>
          <w:rFonts w:asciiTheme="minorBidi" w:hAnsiTheme="minorBidi" w:cs="Arial"/>
          <w:sz w:val="16"/>
          <w:szCs w:val="16"/>
          <w:rtl/>
        </w:rPr>
        <w:t>כלי שיש בו דבר חם יכול להניחו על הקדרה</w:t>
      </w:r>
      <w:r>
        <w:rPr>
          <w:rFonts w:asciiTheme="minorBidi" w:hAnsiTheme="minorBidi" w:cs="Arial" w:hint="cs"/>
          <w:sz w:val="16"/>
          <w:szCs w:val="16"/>
          <w:rtl/>
        </w:rPr>
        <w:t>",</w:t>
      </w:r>
      <w:r w:rsidRPr="00D440CC">
        <w:rPr>
          <w:rFonts w:asciiTheme="minorBidi" w:hAnsiTheme="minorBidi" w:cs="Arial"/>
          <w:sz w:val="16"/>
          <w:szCs w:val="16"/>
          <w:rtl/>
        </w:rPr>
        <w:t xml:space="preserve"> כלומר בין מיחם שהוא של נחושת בין קדרה שהיא של חרס </w:t>
      </w:r>
      <w:r>
        <w:rPr>
          <w:rFonts w:asciiTheme="minorBidi" w:hAnsiTheme="minorBidi" w:cs="Arial" w:hint="cs"/>
          <w:sz w:val="16"/>
          <w:szCs w:val="16"/>
          <w:rtl/>
        </w:rPr>
        <w:t xml:space="preserve">- </w:t>
      </w:r>
      <w:r w:rsidRPr="00D440CC">
        <w:rPr>
          <w:rFonts w:asciiTheme="minorBidi" w:hAnsiTheme="minorBidi" w:cs="Arial"/>
          <w:sz w:val="16"/>
          <w:szCs w:val="16"/>
          <w:rtl/>
        </w:rPr>
        <w:t>מותר להניח על הקדרה</w:t>
      </w:r>
      <w:r>
        <w:rPr>
          <w:rFonts w:asciiTheme="minorBidi" w:hAnsiTheme="minorBidi" w:cs="Arial" w:hint="cs"/>
          <w:sz w:val="16"/>
          <w:szCs w:val="16"/>
          <w:rtl/>
        </w:rPr>
        <w:t>,</w:t>
      </w:r>
      <w:r w:rsidRPr="00D440CC">
        <w:rPr>
          <w:rFonts w:asciiTheme="minorBidi" w:hAnsiTheme="minorBidi" w:cs="Arial"/>
          <w:sz w:val="16"/>
          <w:szCs w:val="16"/>
          <w:rtl/>
        </w:rPr>
        <w:t xml:space="preserve"> וכל שכן על גבי מיחם</w:t>
      </w:r>
      <w:r>
        <w:rPr>
          <w:rFonts w:asciiTheme="minorBidi" w:hAnsiTheme="minorBidi" w:cs="Arial" w:hint="cs"/>
          <w:sz w:val="16"/>
          <w:szCs w:val="16"/>
          <w:rtl/>
        </w:rPr>
        <w:t>,</w:t>
      </w:r>
      <w:r w:rsidRPr="00D440CC">
        <w:rPr>
          <w:rFonts w:asciiTheme="minorBidi" w:hAnsiTheme="minorBidi" w:cs="Arial"/>
          <w:sz w:val="16"/>
          <w:szCs w:val="16"/>
          <w:rtl/>
        </w:rPr>
        <w:t xml:space="preserve"> לאפוקי מנוסחי דידן דאסרי מיחם על גבי קדרה</w:t>
      </w:r>
      <w:r>
        <w:rPr>
          <w:rFonts w:asciiTheme="minorBidi" w:hAnsiTheme="minorBidi" w:cs="Arial" w:hint="cs"/>
          <w:sz w:val="16"/>
          <w:szCs w:val="16"/>
          <w:rtl/>
        </w:rPr>
        <w:t>, ב"י</w:t>
      </w:r>
      <w:r w:rsidR="00BD1E5D">
        <w:rPr>
          <w:rFonts w:asciiTheme="minorBidi" w:hAnsiTheme="minorBidi" w:cs="Arial" w:hint="cs"/>
          <w:sz w:val="16"/>
          <w:szCs w:val="16"/>
          <w:rtl/>
        </w:rPr>
        <w:t xml:space="preserve"> (סי' רנח)</w:t>
      </w:r>
      <w:r>
        <w:rPr>
          <w:rFonts w:asciiTheme="minorBidi" w:hAnsiTheme="minorBidi" w:cs="Arial" w:hint="cs"/>
          <w:sz w:val="16"/>
          <w:szCs w:val="16"/>
          <w:rtl/>
        </w:rPr>
        <w:t>)</w:t>
      </w:r>
    </w:p>
    <w:p w14:paraId="7B94187B" w14:textId="2C62C08E" w:rsidR="009C23C3" w:rsidRDefault="009C23C3" w:rsidP="009C23C3">
      <w:pPr>
        <w:rPr>
          <w:rtl/>
        </w:rPr>
      </w:pPr>
      <w:r w:rsidRPr="005275DF">
        <w:rPr>
          <w:rFonts w:asciiTheme="minorBidi" w:hAnsiTheme="minorBidi"/>
          <w:b/>
          <w:bCs/>
          <w:rtl/>
        </w:rPr>
        <w:t xml:space="preserve">שבת </w:t>
      </w:r>
      <w:r>
        <w:rPr>
          <w:rFonts w:asciiTheme="minorBidi" w:hAnsiTheme="minorBidi" w:hint="cs"/>
          <w:b/>
          <w:bCs/>
          <w:sz w:val="16"/>
          <w:szCs w:val="16"/>
          <w:rtl/>
        </w:rPr>
        <w:t>(ס"פ במה טומנין)</w:t>
      </w:r>
      <w:r>
        <w:rPr>
          <w:rFonts w:asciiTheme="minorBidi" w:hAnsiTheme="minorBidi" w:hint="cs"/>
          <w:b/>
          <w:bCs/>
          <w:rtl/>
        </w:rPr>
        <w:t xml:space="preserve"> מח</w:t>
      </w:r>
      <w:r w:rsidRPr="005275DF">
        <w:rPr>
          <w:rFonts w:asciiTheme="minorBidi" w:hAnsiTheme="minorBidi"/>
          <w:b/>
          <w:bCs/>
          <w:rtl/>
        </w:rPr>
        <w:t xml:space="preserve"> ע"</w:t>
      </w:r>
      <w:r>
        <w:rPr>
          <w:rFonts w:asciiTheme="minorBidi" w:hAnsiTheme="minorBidi" w:hint="cs"/>
          <w:b/>
          <w:bCs/>
          <w:rtl/>
        </w:rPr>
        <w:t>א</w:t>
      </w:r>
      <w:r w:rsidRPr="005275DF">
        <w:rPr>
          <w:rFonts w:asciiTheme="minorBidi" w:hAnsiTheme="minorBidi"/>
          <w:b/>
          <w:bCs/>
          <w:rtl/>
        </w:rPr>
        <w:t xml:space="preserve">: </w:t>
      </w:r>
      <w:r w:rsidRPr="00427E09">
        <w:rPr>
          <w:rFonts w:cs="Arial"/>
          <w:rtl/>
        </w:rPr>
        <w:t>רבה ורבי זירא איקלעו לבי ריש גלותא, חזיוה לההוא עבדא דאנח כוזא דמיא אפומא דקומקומא</w:t>
      </w:r>
      <w:r>
        <w:rPr>
          <w:rStyle w:val="a9"/>
          <w:rFonts w:cs="Arial"/>
          <w:rtl/>
        </w:rPr>
        <w:footnoteReference w:id="2756"/>
      </w:r>
      <w:r w:rsidRPr="00427E09">
        <w:rPr>
          <w:rFonts w:cs="Arial"/>
          <w:rtl/>
        </w:rPr>
        <w:t>, נזהיה</w:t>
      </w:r>
      <w:r>
        <w:rPr>
          <w:rStyle w:val="a9"/>
          <w:rFonts w:cs="Arial"/>
          <w:rtl/>
        </w:rPr>
        <w:footnoteReference w:id="2757"/>
      </w:r>
      <w:r w:rsidRPr="00427E09">
        <w:rPr>
          <w:rFonts w:cs="Arial"/>
          <w:rtl/>
        </w:rPr>
        <w:t xml:space="preserve"> רבה. </w:t>
      </w:r>
      <w:r w:rsidRPr="00427E09">
        <w:rPr>
          <w:rFonts w:cs="Arial"/>
          <w:u w:val="single"/>
          <w:rtl/>
        </w:rPr>
        <w:t>אמר ליה רבי זירא</w:t>
      </w:r>
      <w:r w:rsidRPr="00427E09">
        <w:rPr>
          <w:rFonts w:cs="Arial"/>
          <w:rtl/>
        </w:rPr>
        <w:t xml:space="preserve">: מאי שנא ממיחם על גבי מיחם? </w:t>
      </w:r>
      <w:r w:rsidRPr="00427E09">
        <w:rPr>
          <w:rFonts w:cs="Arial"/>
          <w:u w:val="single"/>
          <w:rtl/>
        </w:rPr>
        <w:t>אמר ליה</w:t>
      </w:r>
      <w:r w:rsidRPr="00427E09">
        <w:rPr>
          <w:rFonts w:cs="Arial"/>
          <w:rtl/>
        </w:rPr>
        <w:t>: התם - אוקומי קא מוקים</w:t>
      </w:r>
      <w:r>
        <w:rPr>
          <w:rStyle w:val="a9"/>
          <w:rFonts w:cs="Arial"/>
          <w:rtl/>
        </w:rPr>
        <w:footnoteReference w:id="2758"/>
      </w:r>
      <w:r w:rsidRPr="00427E09">
        <w:rPr>
          <w:rFonts w:cs="Arial"/>
          <w:rtl/>
        </w:rPr>
        <w:t>, הכא - אולודי קא מוליד.</w:t>
      </w:r>
      <w:r w:rsidRPr="00427E09">
        <w:rPr>
          <w:rFonts w:asciiTheme="minorBidi" w:hAnsiTheme="minorBidi" w:cs="Arial"/>
          <w:sz w:val="16"/>
          <w:szCs w:val="16"/>
          <w:rtl/>
        </w:rPr>
        <w:t xml:space="preserve"> </w:t>
      </w:r>
      <w:r>
        <w:rPr>
          <w:rFonts w:asciiTheme="minorBidi" w:hAnsiTheme="minorBidi" w:cs="Arial" w:hint="cs"/>
          <w:sz w:val="16"/>
          <w:szCs w:val="16"/>
          <w:rtl/>
        </w:rPr>
        <w:t>(</w:t>
      </w:r>
      <w:r w:rsidRPr="00427E09">
        <w:rPr>
          <w:rFonts w:asciiTheme="minorBidi" w:hAnsiTheme="minorBidi" w:cs="Arial"/>
          <w:sz w:val="16"/>
          <w:szCs w:val="16"/>
          <w:rtl/>
        </w:rPr>
        <w:t>ואע</w:t>
      </w:r>
      <w:r>
        <w:rPr>
          <w:rFonts w:asciiTheme="minorBidi" w:hAnsiTheme="minorBidi" w:cs="Arial" w:hint="cs"/>
          <w:sz w:val="16"/>
          <w:szCs w:val="16"/>
          <w:rtl/>
        </w:rPr>
        <w:t>"</w:t>
      </w:r>
      <w:r w:rsidRPr="00427E09">
        <w:rPr>
          <w:rFonts w:asciiTheme="minorBidi" w:hAnsiTheme="minorBidi" w:cs="Arial"/>
          <w:sz w:val="16"/>
          <w:szCs w:val="16"/>
          <w:rtl/>
        </w:rPr>
        <w:t>פ שמותר להטמין את הצונן כמו שנתבאר בסימן שקודם זה (</w:t>
      </w:r>
      <w:r>
        <w:rPr>
          <w:rFonts w:asciiTheme="minorBidi" w:hAnsiTheme="minorBidi" w:cs="Arial" w:hint="cs"/>
          <w:sz w:val="16"/>
          <w:szCs w:val="16"/>
          <w:rtl/>
        </w:rPr>
        <w:t>סי' רנז סע' ו</w:t>
      </w:r>
      <w:r w:rsidRPr="00427E09">
        <w:rPr>
          <w:rFonts w:asciiTheme="minorBidi" w:hAnsiTheme="minorBidi" w:cs="Arial"/>
          <w:sz w:val="16"/>
          <w:szCs w:val="16"/>
          <w:rtl/>
        </w:rPr>
        <w:t>) היינו דוקא שלא ע"ג מיחם</w:t>
      </w:r>
      <w:r>
        <w:rPr>
          <w:rFonts w:asciiTheme="minorBidi" w:hAnsiTheme="minorBidi" w:cs="Arial" w:hint="cs"/>
          <w:sz w:val="16"/>
          <w:szCs w:val="16"/>
          <w:rtl/>
        </w:rPr>
        <w:t>, ב"י</w:t>
      </w:r>
      <w:r w:rsidR="00BD1E5D">
        <w:rPr>
          <w:rFonts w:asciiTheme="minorBidi" w:hAnsiTheme="minorBidi" w:cs="Arial" w:hint="cs"/>
          <w:sz w:val="16"/>
          <w:szCs w:val="16"/>
          <w:rtl/>
        </w:rPr>
        <w:t xml:space="preserve"> (סי' רנח)</w:t>
      </w:r>
      <w:r>
        <w:rPr>
          <w:rFonts w:asciiTheme="minorBidi" w:hAnsiTheme="minorBidi" w:cs="Arial" w:hint="cs"/>
          <w:sz w:val="16"/>
          <w:szCs w:val="16"/>
          <w:rtl/>
        </w:rPr>
        <w:t>)</w:t>
      </w:r>
    </w:p>
    <w:p w14:paraId="7B7C1AE5" w14:textId="7BFCFBD0" w:rsidR="009C23C3" w:rsidRPr="00921789" w:rsidRDefault="009C23C3" w:rsidP="009C23C3">
      <w:pPr>
        <w:rPr>
          <w:rFonts w:asciiTheme="minorBidi" w:hAnsiTheme="minorBidi"/>
          <w:u w:val="single"/>
          <w:rtl/>
        </w:rPr>
      </w:pPr>
      <w:r>
        <w:rPr>
          <w:rFonts w:asciiTheme="minorBidi" w:hAnsiTheme="minorBidi" w:hint="cs"/>
          <w:u w:val="single"/>
          <w:rtl/>
        </w:rPr>
        <w:t>הנחת מאכל</w:t>
      </w:r>
      <w:r w:rsidRPr="00921789">
        <w:rPr>
          <w:rFonts w:asciiTheme="minorBidi" w:hAnsiTheme="minorBidi"/>
          <w:u w:val="single"/>
          <w:rtl/>
        </w:rPr>
        <w:t xml:space="preserve"> </w:t>
      </w:r>
      <w:r w:rsidR="00DE434E">
        <w:rPr>
          <w:rFonts w:asciiTheme="minorBidi" w:hAnsiTheme="minorBidi" w:hint="cs"/>
          <w:u w:val="single"/>
          <w:rtl/>
        </w:rPr>
        <w:t>לח</w:t>
      </w:r>
      <w:r w:rsidRPr="00921789">
        <w:rPr>
          <w:rFonts w:asciiTheme="minorBidi" w:hAnsiTheme="minorBidi"/>
          <w:u w:val="single"/>
          <w:rtl/>
        </w:rPr>
        <w:t xml:space="preserve"> </w:t>
      </w:r>
      <w:r>
        <w:rPr>
          <w:rFonts w:asciiTheme="minorBidi" w:hAnsiTheme="minorBidi" w:hint="cs"/>
          <w:u w:val="single"/>
          <w:rtl/>
        </w:rPr>
        <w:t xml:space="preserve">- </w:t>
      </w:r>
      <w:r w:rsidRPr="00921789">
        <w:rPr>
          <w:rFonts w:asciiTheme="minorBidi" w:hAnsiTheme="minorBidi"/>
          <w:u w:val="single"/>
          <w:rtl/>
        </w:rPr>
        <w:t>על קדירה חמה</w:t>
      </w:r>
      <w:r w:rsidRPr="00921789">
        <w:rPr>
          <w:rFonts w:asciiTheme="minorBidi" w:hAnsiTheme="minorBidi" w:hint="cs"/>
          <w:u w:val="single"/>
          <w:rtl/>
        </w:rPr>
        <w:t>:</w:t>
      </w:r>
    </w:p>
    <w:p w14:paraId="6320B8E7" w14:textId="60EFD77C" w:rsidR="009C23C3" w:rsidRPr="00FA4C27" w:rsidRDefault="009C23C3" w:rsidP="00FF2D21">
      <w:pPr>
        <w:pStyle w:val="aa"/>
        <w:numPr>
          <w:ilvl w:val="0"/>
          <w:numId w:val="151"/>
        </w:numPr>
        <w:rPr>
          <w:rFonts w:asciiTheme="minorBidi" w:hAnsiTheme="minorBidi"/>
        </w:rPr>
      </w:pPr>
      <w:r w:rsidRPr="00921789">
        <w:rPr>
          <w:rFonts w:asciiTheme="minorBidi" w:hAnsiTheme="minorBidi" w:cs="Arial" w:hint="cs"/>
          <w:rtl/>
        </w:rPr>
        <w:t>טור</w:t>
      </w:r>
      <w:r w:rsidR="00BD1E5D">
        <w:rPr>
          <w:rFonts w:asciiTheme="minorBidi" w:hAnsiTheme="minorBidi" w:cs="Arial" w:hint="cs"/>
          <w:sz w:val="16"/>
          <w:szCs w:val="16"/>
          <w:rtl/>
        </w:rPr>
        <w:t xml:space="preserve"> (סי' רנח)</w:t>
      </w:r>
      <w:r w:rsidRPr="00921789">
        <w:rPr>
          <w:rFonts w:asciiTheme="minorBidi" w:hAnsiTheme="minorBidi" w:cs="Arial" w:hint="cs"/>
          <w:rtl/>
        </w:rPr>
        <w:t>-</w:t>
      </w:r>
      <w:r>
        <w:rPr>
          <w:rFonts w:asciiTheme="minorBidi" w:hAnsiTheme="minorBidi" w:cs="Arial" w:hint="cs"/>
          <w:rtl/>
        </w:rPr>
        <w:t xml:space="preserve"> </w:t>
      </w:r>
      <w:r w:rsidRPr="00921789">
        <w:rPr>
          <w:rFonts w:asciiTheme="minorBidi" w:hAnsiTheme="minorBidi" w:cs="Arial"/>
          <w:rtl/>
        </w:rPr>
        <w:t>כלי שיש בו דבר</w:t>
      </w:r>
      <w:r>
        <w:rPr>
          <w:rStyle w:val="a9"/>
          <w:rFonts w:asciiTheme="minorBidi" w:hAnsiTheme="minorBidi" w:cs="Arial"/>
          <w:rtl/>
        </w:rPr>
        <w:footnoteReference w:id="2759"/>
      </w:r>
      <w:r w:rsidRPr="00921789">
        <w:rPr>
          <w:rFonts w:asciiTheme="minorBidi" w:hAnsiTheme="minorBidi" w:cs="Arial"/>
          <w:rtl/>
        </w:rPr>
        <w:t xml:space="preserve"> חם</w:t>
      </w:r>
      <w:r>
        <w:rPr>
          <w:rStyle w:val="a9"/>
          <w:rFonts w:asciiTheme="minorBidi" w:hAnsiTheme="minorBidi" w:cs="Arial"/>
          <w:rtl/>
        </w:rPr>
        <w:footnoteReference w:id="2760"/>
      </w:r>
      <w:r w:rsidRPr="00921789">
        <w:rPr>
          <w:rFonts w:asciiTheme="minorBidi" w:hAnsiTheme="minorBidi" w:cs="Arial"/>
          <w:rtl/>
        </w:rPr>
        <w:t xml:space="preserve"> </w:t>
      </w:r>
      <w:r>
        <w:rPr>
          <w:rFonts w:asciiTheme="minorBidi" w:hAnsiTheme="minorBidi" w:cs="Arial" w:hint="cs"/>
          <w:rtl/>
        </w:rPr>
        <w:t xml:space="preserve">- </w:t>
      </w:r>
      <w:r w:rsidRPr="00921789">
        <w:rPr>
          <w:rFonts w:asciiTheme="minorBidi" w:hAnsiTheme="minorBidi" w:cs="Arial"/>
          <w:rtl/>
        </w:rPr>
        <w:t>יכול להניחו על הקדרה טמונה כדי שישמור חומו ולא יצטנן</w:t>
      </w:r>
      <w:r>
        <w:rPr>
          <w:rFonts w:asciiTheme="minorBidi" w:hAnsiTheme="minorBidi" w:cs="Arial" w:hint="cs"/>
          <w:rtl/>
        </w:rPr>
        <w:t>,</w:t>
      </w:r>
      <w:r w:rsidRPr="00921789">
        <w:rPr>
          <w:rFonts w:asciiTheme="minorBidi" w:hAnsiTheme="minorBidi" w:cs="Arial"/>
          <w:rtl/>
        </w:rPr>
        <w:t xml:space="preserve"> ויכול לטוח פיו בבצק אם יש לו בצק שנילש מאתמול</w:t>
      </w:r>
      <w:r>
        <w:rPr>
          <w:rFonts w:asciiTheme="minorBidi" w:hAnsiTheme="minorBidi" w:cs="Arial" w:hint="cs"/>
          <w:rtl/>
        </w:rPr>
        <w:t>.</w:t>
      </w:r>
      <w:r w:rsidRPr="00921789">
        <w:rPr>
          <w:rFonts w:asciiTheme="minorBidi" w:hAnsiTheme="minorBidi" w:cs="Arial"/>
          <w:rtl/>
        </w:rPr>
        <w:t xml:space="preserve"> </w:t>
      </w:r>
      <w:r w:rsidRPr="00FA4C27">
        <w:rPr>
          <w:rFonts w:asciiTheme="minorBidi" w:hAnsiTheme="minorBidi" w:cs="Arial"/>
          <w:rtl/>
        </w:rPr>
        <w:t>אבל אין מניחים כלי שיש בו דבר קר על גבי קדרה חמה בשבת</w:t>
      </w:r>
      <w:r w:rsidRPr="00FA4C27">
        <w:rPr>
          <w:rFonts w:asciiTheme="minorBidi" w:hAnsiTheme="minorBidi" w:cs="Arial" w:hint="cs"/>
          <w:rtl/>
        </w:rPr>
        <w:t>,</w:t>
      </w:r>
      <w:r w:rsidRPr="00FA4C27">
        <w:rPr>
          <w:rFonts w:asciiTheme="minorBidi" w:hAnsiTheme="minorBidi" w:cs="Arial"/>
          <w:rtl/>
        </w:rPr>
        <w:t xml:space="preserve"> שהרי מוליד בו חום בשבת</w:t>
      </w:r>
      <w:r w:rsidRPr="00FA4C27">
        <w:rPr>
          <w:rFonts w:asciiTheme="minorBidi" w:hAnsiTheme="minorBidi" w:cs="Arial" w:hint="cs"/>
          <w:rtl/>
        </w:rPr>
        <w:t>.</w:t>
      </w:r>
      <w:r w:rsidRPr="00FA4C27">
        <w:rPr>
          <w:rFonts w:asciiTheme="minorBidi" w:hAnsiTheme="minorBidi" w:cs="Arial"/>
          <w:rtl/>
        </w:rPr>
        <w:t xml:space="preserve"> ואם הניחו בע"ש </w:t>
      </w:r>
      <w:r w:rsidRPr="00FA4C27">
        <w:rPr>
          <w:rFonts w:asciiTheme="minorBidi" w:hAnsiTheme="minorBidi" w:cs="Arial" w:hint="cs"/>
          <w:rtl/>
        </w:rPr>
        <w:t xml:space="preserve">- </w:t>
      </w:r>
      <w:r w:rsidRPr="00FA4C27">
        <w:rPr>
          <w:rFonts w:asciiTheme="minorBidi" w:hAnsiTheme="minorBidi" w:cs="Arial"/>
          <w:rtl/>
        </w:rPr>
        <w:t>מותר</w:t>
      </w:r>
      <w:r w:rsidRPr="00FA4C27">
        <w:rPr>
          <w:rFonts w:asciiTheme="minorBidi" w:hAnsiTheme="minorBidi" w:cs="Arial" w:hint="cs"/>
          <w:rtl/>
        </w:rPr>
        <w:t>,</w:t>
      </w:r>
      <w:r w:rsidRPr="00FA4C27">
        <w:rPr>
          <w:rFonts w:asciiTheme="minorBidi" w:hAnsiTheme="minorBidi" w:cs="Arial"/>
          <w:rtl/>
        </w:rPr>
        <w:t xml:space="preserve"> שאין זה כטומן בדבר המוסיף הבל</w:t>
      </w:r>
      <w:r>
        <w:rPr>
          <w:rStyle w:val="a9"/>
          <w:rFonts w:asciiTheme="minorBidi" w:hAnsiTheme="minorBidi" w:cs="Arial"/>
          <w:rtl/>
        </w:rPr>
        <w:footnoteReference w:id="2761"/>
      </w:r>
      <w:r w:rsidRPr="00FA4C27">
        <w:rPr>
          <w:rFonts w:asciiTheme="minorBidi" w:hAnsiTheme="minorBidi" w:cs="Arial" w:hint="cs"/>
          <w:rtl/>
        </w:rPr>
        <w:t>.</w:t>
      </w:r>
      <w:r w:rsidRPr="00FA4C27">
        <w:rPr>
          <w:rFonts w:asciiTheme="minorBidi" w:hAnsiTheme="minorBidi" w:cs="Arial"/>
          <w:rtl/>
        </w:rPr>
        <w:t xml:space="preserve"> </w:t>
      </w:r>
      <w:r w:rsidR="00A70B37" w:rsidRPr="005275DF">
        <w:rPr>
          <w:rFonts w:asciiTheme="minorBidi" w:hAnsiTheme="minorBidi"/>
          <w:color w:val="E36C0A" w:themeColor="accent6" w:themeShade="BF"/>
          <w:rtl/>
        </w:rPr>
        <w:t>(וכ"פ בשו"ע</w:t>
      </w:r>
      <w:r w:rsidR="00A70B37">
        <w:rPr>
          <w:rFonts w:asciiTheme="minorBidi" w:hAnsiTheme="minorBidi" w:hint="cs"/>
          <w:color w:val="E36C0A" w:themeColor="accent6" w:themeShade="BF"/>
          <w:sz w:val="16"/>
          <w:szCs w:val="16"/>
          <w:rtl/>
        </w:rPr>
        <w:t xml:space="preserve"> </w:t>
      </w:r>
      <w:r w:rsidR="00A70B37" w:rsidRPr="005F07B2">
        <w:rPr>
          <w:rFonts w:asciiTheme="minorBidi" w:hAnsiTheme="minorBidi" w:hint="cs"/>
          <w:color w:val="000000" w:themeColor="text1"/>
          <w:sz w:val="16"/>
          <w:szCs w:val="16"/>
          <w:rtl/>
        </w:rPr>
        <w:t>[</w:t>
      </w:r>
      <w:r w:rsidR="00A70B37">
        <w:rPr>
          <w:rFonts w:asciiTheme="minorBidi" w:hAnsiTheme="minorBidi" w:hint="cs"/>
          <w:color w:val="000000" w:themeColor="text1"/>
          <w:sz w:val="16"/>
          <w:szCs w:val="16"/>
          <w:rtl/>
        </w:rPr>
        <w:t>כאן ובסי' רנח ס"א</w:t>
      </w:r>
      <w:r w:rsidR="00A70B37" w:rsidRPr="005F07B2">
        <w:rPr>
          <w:rFonts w:asciiTheme="minorBidi" w:hAnsiTheme="minorBidi" w:hint="cs"/>
          <w:color w:val="000000" w:themeColor="text1"/>
          <w:sz w:val="16"/>
          <w:szCs w:val="16"/>
          <w:rtl/>
        </w:rPr>
        <w:t>]</w:t>
      </w:r>
      <w:r w:rsidR="00A70B37" w:rsidRPr="005275DF">
        <w:rPr>
          <w:rFonts w:asciiTheme="minorBidi" w:hAnsiTheme="minorBidi"/>
          <w:color w:val="E36C0A" w:themeColor="accent6" w:themeShade="BF"/>
          <w:rtl/>
        </w:rPr>
        <w:t>)</w:t>
      </w:r>
    </w:p>
    <w:p w14:paraId="79625D8A" w14:textId="77777777" w:rsidR="009C23C3" w:rsidRPr="0051273C" w:rsidRDefault="009C23C3" w:rsidP="009C23C3">
      <w:pPr>
        <w:ind w:left="360"/>
        <w:rPr>
          <w:rFonts w:asciiTheme="minorBidi" w:hAnsiTheme="minorBidi"/>
          <w:u w:val="dotted"/>
        </w:rPr>
      </w:pPr>
      <w:r w:rsidRPr="0051273C">
        <w:rPr>
          <w:rFonts w:asciiTheme="minorBidi" w:hAnsiTheme="minorBidi" w:hint="cs"/>
          <w:u w:val="dotted"/>
          <w:rtl/>
        </w:rPr>
        <w:t xml:space="preserve">ומה הדין אם הקדרה התחתונה לא חמה בענין שתוכל לחמם את </w:t>
      </w:r>
      <w:r>
        <w:rPr>
          <w:rFonts w:asciiTheme="minorBidi" w:hAnsiTheme="minorBidi" w:hint="cs"/>
          <w:u w:val="dotted"/>
          <w:rtl/>
        </w:rPr>
        <w:t xml:space="preserve">הדבר הקר </w:t>
      </w:r>
      <w:r w:rsidRPr="0051273C">
        <w:rPr>
          <w:rFonts w:asciiTheme="minorBidi" w:hAnsiTheme="minorBidi" w:hint="cs"/>
          <w:u w:val="dotted"/>
          <w:rtl/>
        </w:rPr>
        <w:t>העליון לכדי יס"ב:</w:t>
      </w:r>
    </w:p>
    <w:p w14:paraId="4DAB7F5A" w14:textId="740F4695" w:rsidR="009C23C3" w:rsidRPr="00F96B2A" w:rsidRDefault="009C23C3" w:rsidP="00FF2D21">
      <w:pPr>
        <w:pStyle w:val="aa"/>
        <w:numPr>
          <w:ilvl w:val="0"/>
          <w:numId w:val="151"/>
        </w:numPr>
        <w:rPr>
          <w:rFonts w:asciiTheme="minorBidi" w:hAnsiTheme="minorBidi"/>
        </w:rPr>
      </w:pPr>
      <w:r>
        <w:rPr>
          <w:rFonts w:asciiTheme="minorBidi" w:hAnsiTheme="minorBidi" w:cs="Arial" w:hint="cs"/>
          <w:rtl/>
        </w:rPr>
        <w:t xml:space="preserve">טור- </w:t>
      </w:r>
      <w:r w:rsidRPr="002065FF">
        <w:rPr>
          <w:rFonts w:asciiTheme="minorBidi" w:hAnsiTheme="minorBidi" w:cs="Arial"/>
          <w:rtl/>
        </w:rPr>
        <w:t>כלי שיש בו תבשיל קר אסור ליתנו ע"ג קדרה הטמונה כדי להתחמם אם הקדרה חמה בענין שהעליון יכול להתבשל</w:t>
      </w:r>
      <w:r>
        <w:rPr>
          <w:rFonts w:asciiTheme="minorBidi" w:hAnsiTheme="minorBidi" w:cs="Arial" w:hint="cs"/>
          <w:rtl/>
        </w:rPr>
        <w:t>,</w:t>
      </w:r>
      <w:r w:rsidRPr="002065FF">
        <w:rPr>
          <w:rFonts w:asciiTheme="minorBidi" w:hAnsiTheme="minorBidi" w:cs="Arial"/>
          <w:rtl/>
        </w:rPr>
        <w:t xml:space="preserve"> ואם אינו יכול להתבשל </w:t>
      </w:r>
      <w:r>
        <w:rPr>
          <w:rFonts w:asciiTheme="minorBidi" w:hAnsiTheme="minorBidi" w:cs="Arial" w:hint="cs"/>
          <w:rtl/>
        </w:rPr>
        <w:t xml:space="preserve">- </w:t>
      </w:r>
      <w:r w:rsidRPr="002065FF">
        <w:rPr>
          <w:rFonts w:asciiTheme="minorBidi" w:hAnsiTheme="minorBidi" w:cs="Arial"/>
          <w:rtl/>
        </w:rPr>
        <w:t>מותר</w:t>
      </w:r>
      <w:r>
        <w:rPr>
          <w:rStyle w:val="a9"/>
          <w:rFonts w:asciiTheme="minorBidi" w:hAnsiTheme="minorBidi" w:cs="Arial"/>
          <w:rtl/>
        </w:rPr>
        <w:footnoteReference w:id="2762"/>
      </w:r>
      <w:r>
        <w:rPr>
          <w:rFonts w:asciiTheme="minorBidi" w:hAnsiTheme="minorBidi" w:cs="Arial" w:hint="cs"/>
          <w:rtl/>
        </w:rPr>
        <w:t>,</w:t>
      </w:r>
      <w:r w:rsidRPr="002065FF">
        <w:rPr>
          <w:rFonts w:asciiTheme="minorBidi" w:hAnsiTheme="minorBidi" w:cs="Arial"/>
          <w:rtl/>
        </w:rPr>
        <w:t xml:space="preserve"> אם אין בו דבר קרוש</w:t>
      </w:r>
      <w:r w:rsidR="009E3013">
        <w:rPr>
          <w:rStyle w:val="a9"/>
          <w:rFonts w:asciiTheme="minorBidi" w:hAnsiTheme="minorBidi" w:cs="Arial"/>
          <w:rtl/>
        </w:rPr>
        <w:footnoteReference w:id="2763"/>
      </w:r>
      <w:r>
        <w:rPr>
          <w:rFonts w:asciiTheme="minorBidi" w:hAnsiTheme="minorBidi" w:cs="Arial" w:hint="cs"/>
          <w:rtl/>
        </w:rPr>
        <w:t>.</w:t>
      </w:r>
      <w:r w:rsidRPr="002065FF">
        <w:rPr>
          <w:rFonts w:asciiTheme="minorBidi" w:hAnsiTheme="minorBidi" w:cs="Arial"/>
          <w:rtl/>
        </w:rPr>
        <w:t xml:space="preserve"> </w:t>
      </w:r>
    </w:p>
    <w:p w14:paraId="4741823A" w14:textId="77777777" w:rsidR="009C23C3" w:rsidRPr="00B40494" w:rsidRDefault="009C23C3" w:rsidP="009C23C3">
      <w:pPr>
        <w:rPr>
          <w:rFonts w:asciiTheme="minorBidi" w:hAnsiTheme="minorBidi"/>
          <w:u w:val="single"/>
          <w:rtl/>
        </w:rPr>
      </w:pPr>
      <w:r w:rsidRPr="00B40494">
        <w:rPr>
          <w:rFonts w:asciiTheme="minorBidi" w:hAnsiTheme="minorBidi" w:hint="cs"/>
          <w:u w:val="single"/>
          <w:rtl/>
        </w:rPr>
        <w:t>הנחת מאכל</w:t>
      </w:r>
      <w:r>
        <w:rPr>
          <w:rFonts w:asciiTheme="minorBidi" w:hAnsiTheme="minorBidi" w:hint="cs"/>
          <w:u w:val="single"/>
          <w:rtl/>
        </w:rPr>
        <w:t xml:space="preserve"> יבש</w:t>
      </w:r>
      <w:r w:rsidRPr="00B40494">
        <w:rPr>
          <w:rFonts w:asciiTheme="minorBidi" w:hAnsiTheme="minorBidi"/>
          <w:u w:val="single"/>
          <w:rtl/>
        </w:rPr>
        <w:t xml:space="preserve"> </w:t>
      </w:r>
      <w:r w:rsidRPr="00B40494">
        <w:rPr>
          <w:rFonts w:asciiTheme="minorBidi" w:hAnsiTheme="minorBidi" w:hint="cs"/>
          <w:u w:val="single"/>
          <w:rtl/>
        </w:rPr>
        <w:t>קר</w:t>
      </w:r>
      <w:r>
        <w:rPr>
          <w:rFonts w:asciiTheme="minorBidi" w:hAnsiTheme="minorBidi" w:hint="cs"/>
          <w:u w:val="single"/>
          <w:rtl/>
        </w:rPr>
        <w:t xml:space="preserve"> -</w:t>
      </w:r>
      <w:r w:rsidRPr="00B40494">
        <w:rPr>
          <w:rFonts w:asciiTheme="minorBidi" w:hAnsiTheme="minorBidi"/>
          <w:u w:val="single"/>
          <w:rtl/>
        </w:rPr>
        <w:t xml:space="preserve"> על קדירה חמה</w:t>
      </w:r>
      <w:r>
        <w:rPr>
          <w:rFonts w:asciiTheme="minorBidi" w:hAnsiTheme="minorBidi" w:hint="cs"/>
          <w:u w:val="single"/>
          <w:rtl/>
        </w:rPr>
        <w:t xml:space="preserve"> שנמצאת ע"ג האש</w:t>
      </w:r>
      <w:r w:rsidRPr="00B40494">
        <w:rPr>
          <w:rFonts w:asciiTheme="minorBidi" w:hAnsiTheme="minorBidi" w:hint="cs"/>
          <w:u w:val="single"/>
          <w:rtl/>
        </w:rPr>
        <w:t>:</w:t>
      </w:r>
    </w:p>
    <w:p w14:paraId="372DBF71" w14:textId="72042B99" w:rsidR="009C23C3" w:rsidRDefault="009C23C3" w:rsidP="00FF2D21">
      <w:pPr>
        <w:pStyle w:val="aa"/>
        <w:numPr>
          <w:ilvl w:val="0"/>
          <w:numId w:val="151"/>
        </w:numPr>
        <w:rPr>
          <w:rFonts w:asciiTheme="minorBidi" w:hAnsiTheme="minorBidi" w:cs="Arial"/>
        </w:rPr>
      </w:pPr>
      <w:r w:rsidRPr="00540CB9">
        <w:rPr>
          <w:rFonts w:asciiTheme="minorBidi" w:hAnsiTheme="minorBidi" w:cs="Arial"/>
          <w:rtl/>
        </w:rPr>
        <w:t xml:space="preserve">רשב"א </w:t>
      </w:r>
      <w:r>
        <w:rPr>
          <w:rFonts w:asciiTheme="minorBidi" w:hAnsiTheme="minorBidi" w:cs="Arial" w:hint="cs"/>
          <w:sz w:val="16"/>
          <w:szCs w:val="16"/>
          <w:rtl/>
        </w:rPr>
        <w:t>(כ"כ הה"מ [פכ"ב ה"ד] בשמו)</w:t>
      </w:r>
      <w:r>
        <w:rPr>
          <w:rFonts w:asciiTheme="minorBidi" w:hAnsiTheme="minorBidi" w:cs="Arial" w:hint="cs"/>
          <w:rtl/>
        </w:rPr>
        <w:t xml:space="preserve"> רי"ו</w:t>
      </w:r>
      <w:r>
        <w:rPr>
          <w:rFonts w:asciiTheme="minorBidi" w:hAnsiTheme="minorBidi" w:cs="Arial" w:hint="cs"/>
          <w:sz w:val="16"/>
          <w:szCs w:val="16"/>
          <w:rtl/>
        </w:rPr>
        <w:t xml:space="preserve"> (</w:t>
      </w:r>
      <w:r w:rsidRPr="00540CB9">
        <w:rPr>
          <w:rFonts w:asciiTheme="minorBidi" w:hAnsiTheme="minorBidi" w:cs="Arial"/>
          <w:sz w:val="16"/>
          <w:szCs w:val="16"/>
          <w:rtl/>
        </w:rPr>
        <w:t>ח"ג סט ע"ג</w:t>
      </w:r>
      <w:r>
        <w:rPr>
          <w:rFonts w:asciiTheme="minorBidi" w:hAnsiTheme="minorBidi" w:cs="Arial" w:hint="cs"/>
          <w:sz w:val="16"/>
          <w:szCs w:val="16"/>
          <w:rtl/>
        </w:rPr>
        <w:t>, וכ"כ בשם כמה מהגדולים)</w:t>
      </w:r>
      <w:r w:rsidRPr="00FA4C27">
        <w:rPr>
          <w:rFonts w:asciiTheme="minorBidi" w:hAnsiTheme="minorBidi" w:cs="Arial" w:hint="cs"/>
          <w:rtl/>
        </w:rPr>
        <w:t xml:space="preserve"> </w:t>
      </w:r>
      <w:r>
        <w:rPr>
          <w:rFonts w:asciiTheme="minorBidi" w:hAnsiTheme="minorBidi" w:cs="Arial" w:hint="cs"/>
          <w:rtl/>
        </w:rPr>
        <w:t>ו</w:t>
      </w:r>
      <w:r w:rsidRPr="00540CB9">
        <w:rPr>
          <w:rFonts w:asciiTheme="minorBidi" w:hAnsiTheme="minorBidi" w:cs="Arial"/>
          <w:rtl/>
        </w:rPr>
        <w:t>ר"ן</w:t>
      </w:r>
      <w:r>
        <w:rPr>
          <w:rStyle w:val="a9"/>
          <w:rFonts w:asciiTheme="minorBidi" w:hAnsiTheme="minorBidi" w:cs="Arial"/>
          <w:rtl/>
        </w:rPr>
        <w:footnoteReference w:id="2764"/>
      </w:r>
      <w:r>
        <w:rPr>
          <w:rFonts w:asciiTheme="minorBidi" w:hAnsiTheme="minorBidi" w:cs="Arial" w:hint="cs"/>
          <w:sz w:val="16"/>
          <w:szCs w:val="16"/>
          <w:rtl/>
        </w:rPr>
        <w:t xml:space="preserve"> </w:t>
      </w:r>
      <w:r w:rsidRPr="00FA4C27">
        <w:rPr>
          <w:rFonts w:asciiTheme="minorBidi" w:hAnsiTheme="minorBidi" w:cs="Arial"/>
          <w:sz w:val="16"/>
          <w:szCs w:val="16"/>
          <w:rtl/>
        </w:rPr>
        <w:t>(</w:t>
      </w:r>
      <w:r w:rsidRPr="00FA4C27">
        <w:rPr>
          <w:rFonts w:asciiTheme="minorBidi" w:hAnsiTheme="minorBidi" w:cs="Arial" w:hint="cs"/>
          <w:sz w:val="16"/>
          <w:szCs w:val="16"/>
          <w:rtl/>
        </w:rPr>
        <w:t xml:space="preserve">שבת </w:t>
      </w:r>
      <w:r w:rsidRPr="00FA4C27">
        <w:rPr>
          <w:rFonts w:asciiTheme="minorBidi" w:hAnsiTheme="minorBidi" w:cs="Arial"/>
          <w:sz w:val="16"/>
          <w:szCs w:val="16"/>
          <w:rtl/>
        </w:rPr>
        <w:t>יט. ד"ה ת</w:t>
      </w:r>
      <w:r>
        <w:rPr>
          <w:rFonts w:asciiTheme="minorBidi" w:hAnsiTheme="minorBidi" w:cs="Arial" w:hint="cs"/>
          <w:sz w:val="16"/>
          <w:szCs w:val="16"/>
          <w:rtl/>
        </w:rPr>
        <w:t>"</w:t>
      </w:r>
      <w:r w:rsidRPr="00FA4C27">
        <w:rPr>
          <w:rFonts w:asciiTheme="minorBidi" w:hAnsiTheme="minorBidi" w:cs="Arial"/>
          <w:sz w:val="16"/>
          <w:szCs w:val="16"/>
          <w:rtl/>
        </w:rPr>
        <w:t>ר מביא)</w:t>
      </w:r>
      <w:r>
        <w:rPr>
          <w:rFonts w:asciiTheme="minorBidi" w:hAnsiTheme="minorBidi" w:cs="Arial" w:hint="cs"/>
          <w:rtl/>
        </w:rPr>
        <w:t xml:space="preserve">- </w:t>
      </w:r>
      <w:r w:rsidRPr="00540CB9">
        <w:rPr>
          <w:rFonts w:asciiTheme="minorBidi" w:hAnsiTheme="minorBidi" w:cs="Arial"/>
          <w:rtl/>
        </w:rPr>
        <w:t>להניח שום דבר קר שנתבשל כל צרכו ע"ג מיחם שעל גבי האש</w:t>
      </w:r>
      <w:r>
        <w:rPr>
          <w:rFonts w:asciiTheme="minorBidi" w:hAnsiTheme="minorBidi" w:cs="Arial" w:hint="cs"/>
          <w:rtl/>
        </w:rPr>
        <w:t>...</w:t>
      </w:r>
      <w:r w:rsidRPr="00540CB9">
        <w:rPr>
          <w:rFonts w:asciiTheme="minorBidi" w:hAnsiTheme="minorBidi" w:cs="Arial"/>
          <w:rtl/>
        </w:rPr>
        <w:t xml:space="preserve"> </w:t>
      </w:r>
      <w:r>
        <w:rPr>
          <w:rFonts w:asciiTheme="minorBidi" w:hAnsiTheme="minorBidi" w:cs="Arial" w:hint="cs"/>
          <w:rtl/>
        </w:rPr>
        <w:t xml:space="preserve">- </w:t>
      </w:r>
      <w:r w:rsidRPr="00540CB9">
        <w:rPr>
          <w:rFonts w:asciiTheme="minorBidi" w:hAnsiTheme="minorBidi" w:cs="Arial"/>
          <w:rtl/>
        </w:rPr>
        <w:t>דינו כמניחו כנגד המדורה</w:t>
      </w:r>
      <w:r>
        <w:rPr>
          <w:rFonts w:asciiTheme="minorBidi" w:hAnsiTheme="minorBidi" w:cs="Arial" w:hint="cs"/>
          <w:rtl/>
        </w:rPr>
        <w:t>,</w:t>
      </w:r>
      <w:r w:rsidRPr="00540CB9">
        <w:rPr>
          <w:rFonts w:asciiTheme="minorBidi" w:hAnsiTheme="minorBidi" w:cs="Arial"/>
          <w:rtl/>
        </w:rPr>
        <w:t xml:space="preserve"> וכל דבר שמותר להניחו כנגד המדורה במקום שהיד סולדת בו</w:t>
      </w:r>
      <w:r>
        <w:rPr>
          <w:rFonts w:asciiTheme="minorBidi" w:hAnsiTheme="minorBidi" w:cs="Arial" w:hint="cs"/>
          <w:rtl/>
        </w:rPr>
        <w:t>,</w:t>
      </w:r>
      <w:r w:rsidRPr="00540CB9">
        <w:rPr>
          <w:rFonts w:asciiTheme="minorBidi" w:hAnsiTheme="minorBidi" w:cs="Arial"/>
          <w:rtl/>
        </w:rPr>
        <w:t xml:space="preserve"> כגון יבש שכתבתי למעלה </w:t>
      </w:r>
      <w:r>
        <w:rPr>
          <w:rFonts w:asciiTheme="minorBidi" w:hAnsiTheme="minorBidi" w:cs="Arial" w:hint="cs"/>
          <w:rtl/>
        </w:rPr>
        <w:t xml:space="preserve">- </w:t>
      </w:r>
      <w:r w:rsidRPr="00540CB9">
        <w:rPr>
          <w:rFonts w:asciiTheme="minorBidi" w:hAnsiTheme="minorBidi" w:cs="Arial"/>
          <w:rtl/>
        </w:rPr>
        <w:t>מותר להניחו ע"ג מיחם שע"ג האש</w:t>
      </w:r>
      <w:r>
        <w:rPr>
          <w:rStyle w:val="a9"/>
          <w:rFonts w:asciiTheme="minorBidi" w:hAnsiTheme="minorBidi" w:cs="Arial"/>
          <w:rtl/>
        </w:rPr>
        <w:footnoteReference w:id="2765"/>
      </w:r>
      <w:r>
        <w:rPr>
          <w:rFonts w:asciiTheme="minorBidi" w:hAnsiTheme="minorBidi" w:cs="Arial" w:hint="cs"/>
          <w:rtl/>
        </w:rPr>
        <w:t>.</w:t>
      </w:r>
      <w:r w:rsidRPr="00540CB9">
        <w:rPr>
          <w:rFonts w:asciiTheme="minorBidi" w:hAnsiTheme="minorBidi" w:cs="Arial"/>
          <w:rtl/>
        </w:rPr>
        <w:t xml:space="preserve"> וכן כתב הרא"ש</w:t>
      </w:r>
      <w:r>
        <w:rPr>
          <w:rStyle w:val="a9"/>
          <w:rFonts w:asciiTheme="minorBidi" w:hAnsiTheme="minorBidi" w:cs="Arial"/>
          <w:rtl/>
        </w:rPr>
        <w:footnoteReference w:id="2766"/>
      </w:r>
      <w:r>
        <w:rPr>
          <w:rFonts w:asciiTheme="minorBidi" w:hAnsiTheme="minorBidi" w:cs="Arial" w:hint="cs"/>
          <w:sz w:val="16"/>
          <w:szCs w:val="16"/>
          <w:rtl/>
        </w:rPr>
        <w:t xml:space="preserve"> (ל' רי"ו)</w:t>
      </w:r>
      <w:r>
        <w:rPr>
          <w:rStyle w:val="a9"/>
          <w:rFonts w:asciiTheme="minorBidi" w:hAnsiTheme="minorBidi" w:cs="Arial"/>
          <w:rtl/>
        </w:rPr>
        <w:footnoteReference w:id="2767"/>
      </w:r>
      <w:r>
        <w:rPr>
          <w:rFonts w:asciiTheme="minorBidi" w:hAnsiTheme="minorBidi" w:cs="Arial" w:hint="cs"/>
          <w:rtl/>
        </w:rPr>
        <w:t>.</w:t>
      </w:r>
      <w:r w:rsidRPr="00540CB9">
        <w:rPr>
          <w:rFonts w:asciiTheme="minorBidi" w:hAnsiTheme="minorBidi" w:cs="Arial"/>
          <w:rtl/>
        </w:rPr>
        <w:t xml:space="preserve"> </w:t>
      </w:r>
      <w:r w:rsidR="005F07B2" w:rsidRPr="005275DF">
        <w:rPr>
          <w:rFonts w:asciiTheme="minorBidi" w:hAnsiTheme="minorBidi"/>
          <w:color w:val="E36C0A" w:themeColor="accent6" w:themeShade="BF"/>
          <w:rtl/>
        </w:rPr>
        <w:t>(וכ"פ בשו"ע</w:t>
      </w:r>
      <w:r w:rsidR="005F07B2">
        <w:rPr>
          <w:rFonts w:asciiTheme="minorBidi" w:hAnsiTheme="minorBidi" w:hint="cs"/>
          <w:color w:val="E36C0A" w:themeColor="accent6" w:themeShade="BF"/>
          <w:sz w:val="16"/>
          <w:szCs w:val="16"/>
          <w:rtl/>
        </w:rPr>
        <w:t xml:space="preserve"> </w:t>
      </w:r>
      <w:r w:rsidR="005F07B2" w:rsidRPr="005F07B2">
        <w:rPr>
          <w:rFonts w:asciiTheme="minorBidi" w:hAnsiTheme="minorBidi" w:hint="cs"/>
          <w:color w:val="000000" w:themeColor="text1"/>
          <w:sz w:val="16"/>
          <w:szCs w:val="16"/>
          <w:rtl/>
        </w:rPr>
        <w:t>[</w:t>
      </w:r>
      <w:r w:rsidR="005F07B2">
        <w:rPr>
          <w:rFonts w:asciiTheme="minorBidi" w:hAnsiTheme="minorBidi" w:hint="cs"/>
          <w:color w:val="000000" w:themeColor="text1"/>
          <w:sz w:val="16"/>
          <w:szCs w:val="16"/>
          <w:rtl/>
        </w:rPr>
        <w:t>בסע' ח</w:t>
      </w:r>
      <w:r w:rsidR="004D79CB">
        <w:rPr>
          <w:rFonts w:asciiTheme="minorBidi" w:hAnsiTheme="minorBidi" w:hint="cs"/>
          <w:color w:val="000000" w:themeColor="text1"/>
          <w:sz w:val="16"/>
          <w:szCs w:val="16"/>
          <w:rtl/>
        </w:rPr>
        <w:t xml:space="preserve"> ובסע' טו</w:t>
      </w:r>
      <w:r w:rsidR="005F07B2" w:rsidRPr="005F07B2">
        <w:rPr>
          <w:rFonts w:asciiTheme="minorBidi" w:hAnsiTheme="minorBidi" w:hint="cs"/>
          <w:color w:val="000000" w:themeColor="text1"/>
          <w:sz w:val="16"/>
          <w:szCs w:val="16"/>
          <w:rtl/>
        </w:rPr>
        <w:t>]</w:t>
      </w:r>
      <w:r w:rsidR="005F07B2" w:rsidRPr="005275DF">
        <w:rPr>
          <w:rFonts w:asciiTheme="minorBidi" w:hAnsiTheme="minorBidi"/>
          <w:color w:val="E36C0A" w:themeColor="accent6" w:themeShade="BF"/>
          <w:rtl/>
        </w:rPr>
        <w:t>)</w:t>
      </w:r>
    </w:p>
    <w:p w14:paraId="711619C1" w14:textId="77777777" w:rsidR="009C23C3" w:rsidRPr="00FA4C27" w:rsidRDefault="009C23C3" w:rsidP="00FF2D21">
      <w:pPr>
        <w:pStyle w:val="aa"/>
        <w:numPr>
          <w:ilvl w:val="0"/>
          <w:numId w:val="151"/>
        </w:numPr>
        <w:rPr>
          <w:rFonts w:asciiTheme="minorBidi" w:hAnsiTheme="minorBidi" w:cs="Arial"/>
          <w:rtl/>
        </w:rPr>
      </w:pPr>
      <w:r>
        <w:rPr>
          <w:rFonts w:asciiTheme="minorBidi" w:hAnsiTheme="minorBidi" w:cs="Arial" w:hint="cs"/>
          <w:rtl/>
        </w:rPr>
        <w:t>י"א</w:t>
      </w:r>
      <w:r>
        <w:rPr>
          <w:rFonts w:asciiTheme="minorBidi" w:hAnsiTheme="minorBidi" w:cs="Arial" w:hint="cs"/>
          <w:sz w:val="16"/>
          <w:szCs w:val="16"/>
          <w:rtl/>
        </w:rPr>
        <w:t xml:space="preserve"> (הביאם רי"ו [שם])</w:t>
      </w:r>
      <w:r>
        <w:rPr>
          <w:rFonts w:asciiTheme="minorBidi" w:hAnsiTheme="minorBidi" w:cs="Arial" w:hint="cs"/>
          <w:rtl/>
        </w:rPr>
        <w:t xml:space="preserve">- </w:t>
      </w:r>
      <w:r w:rsidRPr="00540CB9">
        <w:rPr>
          <w:rFonts w:asciiTheme="minorBidi" w:hAnsiTheme="minorBidi" w:cs="Arial"/>
          <w:rtl/>
        </w:rPr>
        <w:t>הוי כמניח ע"ג כירה לכתחלה ואסור אפילו אם נתבשל כל צרכו ואפילו אם מצטמק ורע לו ואפילו אם נותנו שם לשמור חומו</w:t>
      </w:r>
      <w:r>
        <w:rPr>
          <w:rFonts w:asciiTheme="minorBidi" w:hAnsiTheme="minorBidi" w:cs="Arial" w:hint="cs"/>
          <w:rtl/>
        </w:rPr>
        <w:t xml:space="preserve">. </w:t>
      </w:r>
    </w:p>
    <w:p w14:paraId="77E6FACB" w14:textId="77777777" w:rsidR="009C23C3" w:rsidRPr="00B40494" w:rsidRDefault="009C23C3" w:rsidP="009C23C3">
      <w:pPr>
        <w:rPr>
          <w:rFonts w:asciiTheme="minorBidi" w:hAnsiTheme="minorBidi"/>
          <w:u w:val="dotted"/>
          <w:rtl/>
        </w:rPr>
      </w:pPr>
      <w:r>
        <w:rPr>
          <w:rFonts w:asciiTheme="minorBidi" w:hAnsiTheme="minorBidi" w:hint="cs"/>
          <w:u w:val="single"/>
          <w:rtl/>
        </w:rPr>
        <w:t>הנחת דבר לח -</w:t>
      </w:r>
      <w:r w:rsidRPr="00B40494">
        <w:rPr>
          <w:rFonts w:asciiTheme="minorBidi" w:hAnsiTheme="minorBidi"/>
          <w:u w:val="single"/>
          <w:rtl/>
        </w:rPr>
        <w:t xml:space="preserve"> על קדירה חמה</w:t>
      </w:r>
      <w:r>
        <w:rPr>
          <w:rFonts w:asciiTheme="minorBidi" w:hAnsiTheme="minorBidi" w:hint="cs"/>
          <w:u w:val="single"/>
          <w:rtl/>
        </w:rPr>
        <w:t xml:space="preserve"> שנמצאת ע"ג האש:</w:t>
      </w:r>
    </w:p>
    <w:p w14:paraId="45718750" w14:textId="049ECF4D" w:rsidR="00DE7569" w:rsidRDefault="009C23C3" w:rsidP="00FF2D21">
      <w:pPr>
        <w:pStyle w:val="aa"/>
        <w:numPr>
          <w:ilvl w:val="0"/>
          <w:numId w:val="151"/>
        </w:numPr>
        <w:rPr>
          <w:rFonts w:asciiTheme="minorBidi" w:hAnsiTheme="minorBidi" w:cs="Arial"/>
        </w:rPr>
      </w:pPr>
      <w:r>
        <w:rPr>
          <w:rFonts w:asciiTheme="minorBidi" w:hAnsiTheme="minorBidi" w:cs="Arial" w:hint="cs"/>
          <w:rtl/>
        </w:rPr>
        <w:t xml:space="preserve">רי"ו </w:t>
      </w:r>
      <w:r w:rsidRPr="00540CB9">
        <w:rPr>
          <w:rFonts w:asciiTheme="minorBidi" w:hAnsiTheme="minorBidi" w:cs="Arial" w:hint="cs"/>
          <w:sz w:val="16"/>
          <w:szCs w:val="16"/>
          <w:rtl/>
        </w:rPr>
        <w:t>(</w:t>
      </w:r>
      <w:r>
        <w:rPr>
          <w:rFonts w:asciiTheme="minorBidi" w:hAnsiTheme="minorBidi" w:cs="Arial" w:hint="cs"/>
          <w:sz w:val="16"/>
          <w:szCs w:val="16"/>
          <w:rtl/>
        </w:rPr>
        <w:t xml:space="preserve">ני"ב </w:t>
      </w:r>
      <w:r w:rsidRPr="00540CB9">
        <w:rPr>
          <w:rFonts w:asciiTheme="minorBidi" w:hAnsiTheme="minorBidi" w:cs="Arial"/>
          <w:sz w:val="16"/>
          <w:szCs w:val="16"/>
          <w:rtl/>
        </w:rPr>
        <w:t>ח"ג סט ע"ג</w:t>
      </w:r>
      <w:r>
        <w:rPr>
          <w:rFonts w:asciiTheme="minorBidi" w:hAnsiTheme="minorBidi" w:cs="Arial" w:hint="cs"/>
          <w:sz w:val="16"/>
          <w:szCs w:val="16"/>
          <w:rtl/>
        </w:rPr>
        <w:t>-ד</w:t>
      </w:r>
      <w:r w:rsidRPr="00540CB9">
        <w:rPr>
          <w:rFonts w:asciiTheme="minorBidi" w:hAnsiTheme="minorBidi" w:cs="Arial"/>
          <w:sz w:val="16"/>
          <w:szCs w:val="16"/>
          <w:rtl/>
        </w:rPr>
        <w:t>)</w:t>
      </w:r>
      <w:r>
        <w:rPr>
          <w:rFonts w:asciiTheme="minorBidi" w:hAnsiTheme="minorBidi" w:cs="Arial" w:hint="cs"/>
          <w:rtl/>
        </w:rPr>
        <w:t>-</w:t>
      </w:r>
      <w:r w:rsidRPr="00540CB9">
        <w:rPr>
          <w:rFonts w:asciiTheme="minorBidi" w:hAnsiTheme="minorBidi" w:cs="Arial"/>
          <w:rtl/>
        </w:rPr>
        <w:t xml:space="preserve"> </w:t>
      </w:r>
      <w:r w:rsidRPr="00166C47">
        <w:rPr>
          <w:rFonts w:asciiTheme="minorBidi" w:hAnsiTheme="minorBidi" w:cs="Arial"/>
          <w:rtl/>
        </w:rPr>
        <w:t xml:space="preserve">מיחם על גבי מיחם כלומר לשום כלי על גבי כלי אחד שעומד על האש </w:t>
      </w:r>
      <w:r>
        <w:rPr>
          <w:rFonts w:asciiTheme="minorBidi" w:hAnsiTheme="minorBidi" w:cs="Arial" w:hint="cs"/>
          <w:rtl/>
        </w:rPr>
        <w:t xml:space="preserve">- </w:t>
      </w:r>
      <w:r w:rsidRPr="00166C47">
        <w:rPr>
          <w:rFonts w:asciiTheme="minorBidi" w:hAnsiTheme="minorBidi" w:cs="Arial"/>
          <w:rtl/>
        </w:rPr>
        <w:t>מותר</w:t>
      </w:r>
      <w:r>
        <w:rPr>
          <w:rFonts w:asciiTheme="minorBidi" w:hAnsiTheme="minorBidi" w:cs="Arial" w:hint="cs"/>
          <w:rtl/>
        </w:rPr>
        <w:t>,</w:t>
      </w:r>
      <w:r w:rsidRPr="00166C47">
        <w:rPr>
          <w:rFonts w:asciiTheme="minorBidi" w:hAnsiTheme="minorBidi" w:cs="Arial"/>
          <w:rtl/>
        </w:rPr>
        <w:t xml:space="preserve"> ודוקא שהעליון מה שבתוכו חם ומשי</w:t>
      </w:r>
      <w:r>
        <w:rPr>
          <w:rFonts w:asciiTheme="minorBidi" w:hAnsiTheme="minorBidi" w:cs="Arial" w:hint="cs"/>
          <w:rtl/>
        </w:rPr>
        <w:t>ם</w:t>
      </w:r>
      <w:r w:rsidRPr="00166C47">
        <w:rPr>
          <w:rFonts w:asciiTheme="minorBidi" w:hAnsiTheme="minorBidi" w:cs="Arial"/>
          <w:rtl/>
        </w:rPr>
        <w:t xml:space="preserve"> אותו שם לשמור חומו</w:t>
      </w:r>
      <w:r>
        <w:rPr>
          <w:rFonts w:asciiTheme="minorBidi" w:hAnsiTheme="minorBidi" w:cs="Arial" w:hint="cs"/>
          <w:rtl/>
        </w:rPr>
        <w:t>,</w:t>
      </w:r>
      <w:r w:rsidRPr="00166C47">
        <w:rPr>
          <w:rFonts w:asciiTheme="minorBidi" w:hAnsiTheme="minorBidi" w:cs="Arial"/>
          <w:rtl/>
        </w:rPr>
        <w:t xml:space="preserve"> ואם העליו' צונן </w:t>
      </w:r>
      <w:r>
        <w:rPr>
          <w:rFonts w:asciiTheme="minorBidi" w:hAnsiTheme="minorBidi" w:cs="Arial" w:hint="cs"/>
          <w:rtl/>
        </w:rPr>
        <w:t xml:space="preserve">- </w:t>
      </w:r>
      <w:r w:rsidRPr="00166C47">
        <w:rPr>
          <w:rFonts w:asciiTheme="minorBidi" w:hAnsiTheme="minorBidi" w:cs="Arial"/>
          <w:rtl/>
        </w:rPr>
        <w:t>אסור אפילו להפשיר</w:t>
      </w:r>
      <w:r>
        <w:rPr>
          <w:rStyle w:val="a9"/>
          <w:rFonts w:asciiTheme="minorBidi" w:hAnsiTheme="minorBidi" w:cs="Arial"/>
          <w:rtl/>
        </w:rPr>
        <w:footnoteReference w:id="2768"/>
      </w:r>
      <w:r>
        <w:rPr>
          <w:rFonts w:asciiTheme="minorBidi" w:hAnsiTheme="minorBidi" w:cs="Arial" w:hint="cs"/>
          <w:rtl/>
        </w:rPr>
        <w:t>.</w:t>
      </w:r>
      <w:r w:rsidRPr="00166C47">
        <w:rPr>
          <w:rFonts w:asciiTheme="minorBidi" w:hAnsiTheme="minorBidi" w:cs="Arial"/>
          <w:rtl/>
        </w:rPr>
        <w:t xml:space="preserve"> </w:t>
      </w:r>
      <w:r w:rsidR="00DE7569" w:rsidRPr="005275DF">
        <w:rPr>
          <w:rFonts w:asciiTheme="minorBidi" w:hAnsiTheme="minorBidi"/>
          <w:color w:val="E36C0A" w:themeColor="accent6" w:themeShade="BF"/>
          <w:rtl/>
        </w:rPr>
        <w:t>(וכ"פ בשו"ע</w:t>
      </w:r>
      <w:r w:rsidR="0052632B" w:rsidRPr="00DE434E">
        <w:rPr>
          <w:rStyle w:val="a9"/>
          <w:rFonts w:asciiTheme="minorBidi" w:hAnsiTheme="minorBidi"/>
          <w:color w:val="000000" w:themeColor="text1"/>
          <w:rtl/>
        </w:rPr>
        <w:footnoteReference w:id="2769"/>
      </w:r>
      <w:r w:rsidR="00DE7569">
        <w:rPr>
          <w:rFonts w:asciiTheme="minorBidi" w:hAnsiTheme="minorBidi" w:hint="cs"/>
          <w:color w:val="E36C0A" w:themeColor="accent6" w:themeShade="BF"/>
          <w:sz w:val="16"/>
          <w:szCs w:val="16"/>
          <w:rtl/>
        </w:rPr>
        <w:t xml:space="preserve"> </w:t>
      </w:r>
      <w:r w:rsidR="00DE7569" w:rsidRPr="005F07B2">
        <w:rPr>
          <w:rFonts w:asciiTheme="minorBidi" w:hAnsiTheme="minorBidi" w:hint="cs"/>
          <w:color w:val="000000" w:themeColor="text1"/>
          <w:sz w:val="16"/>
          <w:szCs w:val="16"/>
          <w:rtl/>
        </w:rPr>
        <w:t>[</w:t>
      </w:r>
      <w:r w:rsidR="00DE7569">
        <w:rPr>
          <w:rFonts w:asciiTheme="minorBidi" w:hAnsiTheme="minorBidi" w:hint="cs"/>
          <w:color w:val="000000" w:themeColor="text1"/>
          <w:sz w:val="16"/>
          <w:szCs w:val="16"/>
          <w:rtl/>
        </w:rPr>
        <w:t>בסע' ז</w:t>
      </w:r>
      <w:r w:rsidR="00DE7569" w:rsidRPr="005F07B2">
        <w:rPr>
          <w:rFonts w:asciiTheme="minorBidi" w:hAnsiTheme="minorBidi" w:hint="cs"/>
          <w:color w:val="000000" w:themeColor="text1"/>
          <w:sz w:val="16"/>
          <w:szCs w:val="16"/>
          <w:rtl/>
        </w:rPr>
        <w:t>]</w:t>
      </w:r>
      <w:r w:rsidR="00DE7569" w:rsidRPr="005275DF">
        <w:rPr>
          <w:rFonts w:asciiTheme="minorBidi" w:hAnsiTheme="minorBidi"/>
          <w:color w:val="E36C0A" w:themeColor="accent6" w:themeShade="BF"/>
          <w:rtl/>
        </w:rPr>
        <w:t>)</w:t>
      </w:r>
    </w:p>
    <w:p w14:paraId="3FBC0BB9" w14:textId="49D62303" w:rsidR="00921789" w:rsidRPr="009C23C3" w:rsidRDefault="009C23C3" w:rsidP="00FF2D21">
      <w:pPr>
        <w:pStyle w:val="aa"/>
        <w:numPr>
          <w:ilvl w:val="0"/>
          <w:numId w:val="151"/>
        </w:numPr>
        <w:rPr>
          <w:rFonts w:asciiTheme="minorBidi" w:hAnsiTheme="minorBidi" w:cs="Arial"/>
          <w:rtl/>
        </w:rPr>
      </w:pPr>
      <w:r w:rsidRPr="00166C47">
        <w:rPr>
          <w:rFonts w:asciiTheme="minorBidi" w:hAnsiTheme="minorBidi" w:cs="Arial"/>
          <w:rtl/>
        </w:rPr>
        <w:t xml:space="preserve">יש שפירשו </w:t>
      </w:r>
      <w:r w:rsidR="00DE7569">
        <w:rPr>
          <w:rFonts w:asciiTheme="minorBidi" w:hAnsiTheme="minorBidi" w:cs="Arial" w:hint="cs"/>
          <w:sz w:val="16"/>
          <w:szCs w:val="16"/>
          <w:rtl/>
        </w:rPr>
        <w:t>(הביאם רי"ו [שם])</w:t>
      </w:r>
      <w:r w:rsidR="00DE7569">
        <w:rPr>
          <w:rFonts w:asciiTheme="minorBidi" w:hAnsiTheme="minorBidi" w:cs="Arial" w:hint="cs"/>
          <w:rtl/>
        </w:rPr>
        <w:t xml:space="preserve">- </w:t>
      </w:r>
      <w:r w:rsidRPr="00166C47">
        <w:rPr>
          <w:rFonts w:asciiTheme="minorBidi" w:hAnsiTheme="minorBidi" w:cs="Arial"/>
          <w:rtl/>
        </w:rPr>
        <w:t>לעולם מיחם על גבי מיחם אסור אם היא על האש</w:t>
      </w:r>
      <w:r>
        <w:rPr>
          <w:rFonts w:asciiTheme="minorBidi" w:hAnsiTheme="minorBidi" w:cs="Arial" w:hint="cs"/>
          <w:rtl/>
        </w:rPr>
        <w:t>,</w:t>
      </w:r>
      <w:r w:rsidRPr="00166C47">
        <w:rPr>
          <w:rFonts w:asciiTheme="minorBidi" w:hAnsiTheme="minorBidi" w:cs="Arial"/>
          <w:rtl/>
        </w:rPr>
        <w:t xml:space="preserve"> כלומר התחתון</w:t>
      </w:r>
      <w:r>
        <w:rPr>
          <w:rFonts w:asciiTheme="minorBidi" w:hAnsiTheme="minorBidi" w:cs="Arial" w:hint="cs"/>
          <w:rtl/>
        </w:rPr>
        <w:t>,</w:t>
      </w:r>
      <w:r w:rsidRPr="00166C47">
        <w:rPr>
          <w:rFonts w:asciiTheme="minorBidi" w:hAnsiTheme="minorBidi" w:cs="Arial"/>
          <w:rtl/>
        </w:rPr>
        <w:t xml:space="preserve"> דהוי כמניחו לכתחלה</w:t>
      </w:r>
      <w:r>
        <w:rPr>
          <w:rFonts w:asciiTheme="minorBidi" w:hAnsiTheme="minorBidi" w:cs="Arial" w:hint="cs"/>
          <w:rtl/>
        </w:rPr>
        <w:t>,</w:t>
      </w:r>
      <w:r w:rsidRPr="00166C47">
        <w:rPr>
          <w:rFonts w:asciiTheme="minorBidi" w:hAnsiTheme="minorBidi" w:cs="Arial"/>
          <w:rtl/>
        </w:rPr>
        <w:t xml:space="preserve"> וכל דבר שאסור להניח ע"ג כירה לכתחלה בשבת </w:t>
      </w:r>
      <w:r>
        <w:rPr>
          <w:rFonts w:asciiTheme="minorBidi" w:hAnsiTheme="minorBidi" w:cs="Arial" w:hint="cs"/>
          <w:rtl/>
        </w:rPr>
        <w:t xml:space="preserve">- </w:t>
      </w:r>
      <w:r w:rsidRPr="00166C47">
        <w:rPr>
          <w:rFonts w:asciiTheme="minorBidi" w:hAnsiTheme="minorBidi" w:cs="Arial"/>
          <w:rtl/>
        </w:rPr>
        <w:t>אסור להניחו על גבי מיחם שעל גבי האש</w:t>
      </w:r>
      <w:r>
        <w:rPr>
          <w:rFonts w:asciiTheme="minorBidi" w:hAnsiTheme="minorBidi" w:cs="Arial" w:hint="cs"/>
          <w:rtl/>
        </w:rPr>
        <w:t>.</w:t>
      </w:r>
      <w:r w:rsidRPr="00166C47">
        <w:rPr>
          <w:rFonts w:asciiTheme="minorBidi" w:hAnsiTheme="minorBidi" w:cs="Arial"/>
          <w:rtl/>
        </w:rPr>
        <w:t xml:space="preserve"> ומה שאמרנו שמיחם על גבי מיחם מותר</w:t>
      </w:r>
      <w:r>
        <w:rPr>
          <w:rFonts w:asciiTheme="minorBidi" w:hAnsiTheme="minorBidi" w:cs="Arial" w:hint="cs"/>
          <w:rtl/>
        </w:rPr>
        <w:t>,</w:t>
      </w:r>
      <w:r w:rsidRPr="00166C47">
        <w:rPr>
          <w:rFonts w:asciiTheme="minorBidi" w:hAnsiTheme="minorBidi" w:cs="Arial"/>
          <w:rtl/>
        </w:rPr>
        <w:t xml:space="preserve"> דוקא כשסלקו מעל האש</w:t>
      </w:r>
      <w:r>
        <w:rPr>
          <w:rFonts w:asciiTheme="minorBidi" w:hAnsiTheme="minorBidi" w:cs="Arial" w:hint="cs"/>
          <w:rtl/>
        </w:rPr>
        <w:t>.</w:t>
      </w:r>
      <w:r w:rsidRPr="00540CB9">
        <w:rPr>
          <w:rFonts w:asciiTheme="minorBidi" w:hAnsiTheme="minorBidi" w:cs="Arial"/>
          <w:rtl/>
        </w:rPr>
        <w:t xml:space="preserve"> </w:t>
      </w:r>
    </w:p>
    <w:p w14:paraId="253F36EC"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52AB80E" w14:textId="3534F907" w:rsidR="006A4BF8" w:rsidRPr="005275DF" w:rsidRDefault="006A4BF8" w:rsidP="00434A6A">
      <w:pPr>
        <w:tabs>
          <w:tab w:val="left" w:pos="2788"/>
        </w:tabs>
        <w:rPr>
          <w:rFonts w:asciiTheme="minorBidi" w:hAnsiTheme="minorBidi"/>
          <w:rtl/>
        </w:rPr>
      </w:pPr>
      <w:r w:rsidRPr="005275DF">
        <w:rPr>
          <w:rFonts w:asciiTheme="minorBidi" w:hAnsiTheme="minorBidi"/>
          <w:rtl/>
        </w:rPr>
        <w:t>כלי שיש בו דבר חם שהיד סולדת בו</w:t>
      </w:r>
      <w:r w:rsidRPr="005275DF">
        <w:rPr>
          <w:rStyle w:val="a9"/>
          <w:rFonts w:asciiTheme="minorBidi" w:hAnsiTheme="minorBidi"/>
          <w:rtl/>
        </w:rPr>
        <w:footnoteReference w:id="2770"/>
      </w:r>
      <w:r w:rsidRPr="005275DF">
        <w:rPr>
          <w:rFonts w:asciiTheme="minorBidi" w:hAnsiTheme="minorBidi"/>
          <w:rtl/>
        </w:rPr>
        <w:t>, מותר להניחו בשבת ע</w:t>
      </w:r>
      <w:r w:rsidR="005F07B2">
        <w:rPr>
          <w:rFonts w:asciiTheme="minorBidi" w:hAnsiTheme="minorBidi" w:hint="cs"/>
          <w:rtl/>
        </w:rPr>
        <w:t xml:space="preserve">ל </w:t>
      </w:r>
      <w:r w:rsidRPr="005275DF">
        <w:rPr>
          <w:rFonts w:asciiTheme="minorBidi" w:hAnsiTheme="minorBidi"/>
          <w:rtl/>
        </w:rPr>
        <w:t>ג</w:t>
      </w:r>
      <w:r w:rsidR="005F07B2">
        <w:rPr>
          <w:rFonts w:asciiTheme="minorBidi" w:hAnsiTheme="minorBidi" w:hint="cs"/>
          <w:rtl/>
        </w:rPr>
        <w:t>בי</w:t>
      </w:r>
      <w:r w:rsidRPr="005275DF">
        <w:rPr>
          <w:rFonts w:asciiTheme="minorBidi" w:hAnsiTheme="minorBidi"/>
          <w:rtl/>
        </w:rPr>
        <w:t xml:space="preserve"> קדירה הטמונה כדי שישמור חומו ולא יצטנן, ויכול לטוח פיו בבצק אם יש לו בצק שנלוש מאתמול</w:t>
      </w:r>
      <w:r w:rsidR="00820129">
        <w:rPr>
          <w:rStyle w:val="a9"/>
          <w:rFonts w:asciiTheme="minorBidi" w:hAnsiTheme="minorBidi"/>
          <w:rtl/>
        </w:rPr>
        <w:footnoteReference w:id="2771"/>
      </w:r>
      <w:r w:rsidRPr="005275DF">
        <w:rPr>
          <w:rFonts w:asciiTheme="minorBidi" w:hAnsiTheme="minorBidi"/>
          <w:rtl/>
        </w:rPr>
        <w:t>. אבל אין מניחין כלי שיש בו דבר</w:t>
      </w:r>
      <w:r w:rsidRPr="005275DF">
        <w:rPr>
          <w:rStyle w:val="a9"/>
          <w:rFonts w:asciiTheme="minorBidi" w:hAnsiTheme="minorBidi"/>
          <w:rtl/>
        </w:rPr>
        <w:footnoteReference w:id="2772"/>
      </w:r>
      <w:r w:rsidRPr="005275DF">
        <w:rPr>
          <w:rFonts w:asciiTheme="minorBidi" w:hAnsiTheme="minorBidi"/>
          <w:rtl/>
        </w:rPr>
        <w:t xml:space="preserve"> שאינו חם כל כך ע</w:t>
      </w:r>
      <w:r w:rsidR="005F07B2">
        <w:rPr>
          <w:rFonts w:asciiTheme="minorBidi" w:hAnsiTheme="minorBidi" w:hint="cs"/>
          <w:rtl/>
        </w:rPr>
        <w:t xml:space="preserve">ל </w:t>
      </w:r>
      <w:r w:rsidRPr="005275DF">
        <w:rPr>
          <w:rFonts w:asciiTheme="minorBidi" w:hAnsiTheme="minorBidi"/>
          <w:rtl/>
        </w:rPr>
        <w:t>ג</w:t>
      </w:r>
      <w:r w:rsidR="005F07B2">
        <w:rPr>
          <w:rFonts w:asciiTheme="minorBidi" w:hAnsiTheme="minorBidi" w:hint="cs"/>
          <w:rtl/>
        </w:rPr>
        <w:t>בי</w:t>
      </w:r>
      <w:r w:rsidRPr="005275DF">
        <w:rPr>
          <w:rFonts w:asciiTheme="minorBidi" w:hAnsiTheme="minorBidi"/>
          <w:rtl/>
        </w:rPr>
        <w:t xml:space="preserve"> קדירה שהיא חמה כל כך שהעליון יכול להתחמם מחומה עד שתהא היד סולדת בו. </w:t>
      </w:r>
    </w:p>
    <w:p w14:paraId="52E3AD07" w14:textId="77777777" w:rsidR="006A4BF8" w:rsidRPr="005275DF" w:rsidRDefault="006A4BF8" w:rsidP="00434A6A">
      <w:pPr>
        <w:tabs>
          <w:tab w:val="left" w:pos="2788"/>
        </w:tabs>
        <w:rPr>
          <w:rFonts w:asciiTheme="minorBidi" w:hAnsiTheme="minorBidi"/>
          <w:rtl/>
        </w:rPr>
      </w:pPr>
    </w:p>
    <w:p w14:paraId="0371CB60" w14:textId="3D75C2A7" w:rsidR="006A4BF8" w:rsidRDefault="006A4BF8" w:rsidP="00434A6A">
      <w:pPr>
        <w:pStyle w:val="2"/>
        <w:rPr>
          <w:rFonts w:asciiTheme="minorBidi" w:hAnsiTheme="minorBidi" w:cstheme="minorBidi"/>
          <w:rtl/>
        </w:rPr>
      </w:pPr>
      <w:r w:rsidRPr="005275DF">
        <w:rPr>
          <w:rFonts w:asciiTheme="minorBidi" w:hAnsiTheme="minorBidi" w:cstheme="minorBidi"/>
          <w:rtl/>
        </w:rPr>
        <w:t xml:space="preserve">סעיף ז: הנחת דבר לח ע"ג </w:t>
      </w:r>
      <w:r w:rsidR="00655FCC">
        <w:rPr>
          <w:rFonts w:asciiTheme="minorBidi" w:hAnsiTheme="minorBidi" w:cstheme="minorBidi" w:hint="cs"/>
          <w:rtl/>
        </w:rPr>
        <w:t>קדירה</w:t>
      </w:r>
      <w:r w:rsidRPr="005275DF">
        <w:rPr>
          <w:rFonts w:asciiTheme="minorBidi" w:hAnsiTheme="minorBidi" w:cstheme="minorBidi"/>
          <w:rtl/>
        </w:rPr>
        <w:t xml:space="preserve"> שעל</w:t>
      </w:r>
      <w:r w:rsidR="00655FCC">
        <w:rPr>
          <w:rFonts w:asciiTheme="minorBidi" w:hAnsiTheme="minorBidi" w:cstheme="minorBidi" w:hint="cs"/>
          <w:rtl/>
        </w:rPr>
        <w:t xml:space="preserve"> גבי</w:t>
      </w:r>
      <w:r w:rsidRPr="005275DF">
        <w:rPr>
          <w:rFonts w:asciiTheme="minorBidi" w:hAnsiTheme="minorBidi" w:cstheme="minorBidi"/>
          <w:rtl/>
        </w:rPr>
        <w:t xml:space="preserve"> האש.</w:t>
      </w:r>
    </w:p>
    <w:p w14:paraId="41EF98EB" w14:textId="2AE16344" w:rsidR="005F07B2" w:rsidRPr="005F07B2" w:rsidRDefault="00DE7569" w:rsidP="005F07B2">
      <w:pPr>
        <w:rPr>
          <w:rtl/>
        </w:rPr>
      </w:pPr>
      <w:r w:rsidRPr="00DE7569">
        <w:rPr>
          <w:rFonts w:asciiTheme="minorBidi" w:hAnsiTheme="minorBidi" w:hint="cs"/>
          <w:rtl/>
        </w:rPr>
        <w:t>עיין במקורות בסע' ו</w:t>
      </w:r>
      <w:r w:rsidRPr="00DE7569">
        <w:rPr>
          <w:rFonts w:asciiTheme="minorBidi" w:hAnsiTheme="minorBidi"/>
          <w:rtl/>
        </w:rPr>
        <w:t>.</w:t>
      </w:r>
    </w:p>
    <w:p w14:paraId="3F93CF95"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2A62A8F5" w14:textId="2A84A62D" w:rsidR="006A4BF8" w:rsidRDefault="006A4BF8" w:rsidP="0052632B">
      <w:pPr>
        <w:tabs>
          <w:tab w:val="left" w:pos="2788"/>
        </w:tabs>
        <w:rPr>
          <w:rFonts w:asciiTheme="minorBidi" w:hAnsiTheme="minorBidi"/>
          <w:rtl/>
        </w:rPr>
      </w:pPr>
      <w:r w:rsidRPr="005275DF">
        <w:rPr>
          <w:rFonts w:asciiTheme="minorBidi" w:hAnsiTheme="minorBidi"/>
          <w:rtl/>
        </w:rPr>
        <w:t>יש מפרשים דהא דשרי להניח כלי שיש בו דבר חם על גבי קדירה הטמונה - אפילו כלי התחתון על האש שרי</w:t>
      </w:r>
      <w:r w:rsidRPr="005275DF">
        <w:rPr>
          <w:rStyle w:val="a9"/>
          <w:rFonts w:asciiTheme="minorBidi" w:hAnsiTheme="minorBidi"/>
          <w:rtl/>
        </w:rPr>
        <w:footnoteReference w:id="2773"/>
      </w:r>
      <w:r w:rsidRPr="005275DF">
        <w:rPr>
          <w:rFonts w:asciiTheme="minorBidi" w:hAnsiTheme="minorBidi"/>
          <w:rtl/>
        </w:rPr>
        <w:t>. ויש מפרשים שאם כלי התחתון על האש, לעולם אסור</w:t>
      </w:r>
      <w:r w:rsidRPr="005275DF">
        <w:rPr>
          <w:rStyle w:val="a9"/>
          <w:rFonts w:asciiTheme="minorBidi" w:hAnsiTheme="minorBidi"/>
          <w:rtl/>
        </w:rPr>
        <w:footnoteReference w:id="2774"/>
      </w:r>
      <w:r w:rsidRPr="005275DF">
        <w:rPr>
          <w:rFonts w:asciiTheme="minorBidi" w:hAnsiTheme="minorBidi"/>
          <w:rtl/>
        </w:rPr>
        <w:t xml:space="preserve">. </w:t>
      </w:r>
    </w:p>
    <w:p w14:paraId="3DE7E73C" w14:textId="77777777" w:rsidR="0052632B" w:rsidRPr="005275DF" w:rsidRDefault="0052632B" w:rsidP="0052632B">
      <w:pPr>
        <w:tabs>
          <w:tab w:val="left" w:pos="2788"/>
        </w:tabs>
        <w:rPr>
          <w:rFonts w:asciiTheme="minorBidi" w:hAnsiTheme="minorBidi"/>
          <w:rtl/>
        </w:rPr>
      </w:pPr>
    </w:p>
    <w:p w14:paraId="25F896BF" w14:textId="2828D4F4" w:rsidR="006A4BF8" w:rsidRDefault="006A4BF8" w:rsidP="00434A6A">
      <w:pPr>
        <w:pStyle w:val="2"/>
        <w:rPr>
          <w:rFonts w:asciiTheme="minorBidi" w:hAnsiTheme="minorBidi" w:cstheme="minorBidi"/>
          <w:rtl/>
        </w:rPr>
      </w:pPr>
      <w:r w:rsidRPr="005275DF">
        <w:rPr>
          <w:rFonts w:asciiTheme="minorBidi" w:hAnsiTheme="minorBidi" w:cstheme="minorBidi"/>
          <w:rtl/>
        </w:rPr>
        <w:t>סעיף ח: הנחת דבר יבש ע"ג קדרה שעל</w:t>
      </w:r>
      <w:r w:rsidR="00655FCC">
        <w:rPr>
          <w:rFonts w:asciiTheme="minorBidi" w:hAnsiTheme="minorBidi" w:cstheme="minorBidi" w:hint="cs"/>
          <w:rtl/>
        </w:rPr>
        <w:t xml:space="preserve"> גבי</w:t>
      </w:r>
      <w:r w:rsidRPr="005275DF">
        <w:rPr>
          <w:rFonts w:asciiTheme="minorBidi" w:hAnsiTheme="minorBidi" w:cstheme="minorBidi"/>
          <w:rtl/>
        </w:rPr>
        <w:t xml:space="preserve"> האש.</w:t>
      </w:r>
    </w:p>
    <w:p w14:paraId="09203225" w14:textId="3F1885E3" w:rsidR="006A4BF8" w:rsidRPr="00DE7569" w:rsidRDefault="00DE7569" w:rsidP="00DE7569">
      <w:pPr>
        <w:rPr>
          <w:rFonts w:asciiTheme="minorBidi" w:hAnsiTheme="minorBidi"/>
          <w:rtl/>
        </w:rPr>
      </w:pPr>
      <w:r w:rsidRPr="00DE7569">
        <w:rPr>
          <w:rFonts w:asciiTheme="minorBidi" w:hAnsiTheme="minorBidi" w:hint="cs"/>
          <w:rtl/>
        </w:rPr>
        <w:t>עיין במקורות בסע' ו</w:t>
      </w:r>
      <w:r w:rsidR="006A4BF8" w:rsidRPr="00DE7569">
        <w:rPr>
          <w:rFonts w:asciiTheme="minorBidi" w:hAnsiTheme="minorBidi"/>
          <w:rtl/>
        </w:rPr>
        <w:t>.</w:t>
      </w:r>
    </w:p>
    <w:p w14:paraId="333070B6"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6460C397" w14:textId="29CFCF71" w:rsidR="006A4BF8" w:rsidRPr="005275DF" w:rsidRDefault="006A4BF8" w:rsidP="00434A6A">
      <w:pPr>
        <w:tabs>
          <w:tab w:val="left" w:pos="2788"/>
        </w:tabs>
        <w:rPr>
          <w:rFonts w:asciiTheme="minorBidi" w:hAnsiTheme="minorBidi"/>
          <w:rtl/>
        </w:rPr>
      </w:pPr>
      <w:r w:rsidRPr="005275DF">
        <w:rPr>
          <w:rFonts w:asciiTheme="minorBidi" w:hAnsiTheme="minorBidi"/>
          <w:rtl/>
        </w:rPr>
        <w:t>להניח דבר קר שנתבשל כל צרכו על גבי מיחם שעל האש, י</w:t>
      </w:r>
      <w:r w:rsidR="005F07B2">
        <w:rPr>
          <w:rFonts w:asciiTheme="minorBidi" w:hAnsiTheme="minorBidi" w:hint="cs"/>
          <w:rtl/>
        </w:rPr>
        <w:t xml:space="preserve">ש </w:t>
      </w:r>
      <w:r w:rsidRPr="005275DF">
        <w:rPr>
          <w:rFonts w:asciiTheme="minorBidi" w:hAnsiTheme="minorBidi"/>
          <w:rtl/>
        </w:rPr>
        <w:t>א</w:t>
      </w:r>
      <w:r w:rsidR="005F07B2">
        <w:rPr>
          <w:rFonts w:asciiTheme="minorBidi" w:hAnsiTheme="minorBidi" w:hint="cs"/>
          <w:rtl/>
        </w:rPr>
        <w:t>ומרים</w:t>
      </w:r>
      <w:r w:rsidRPr="005275DF">
        <w:rPr>
          <w:rFonts w:asciiTheme="minorBidi" w:hAnsiTheme="minorBidi"/>
          <w:rtl/>
        </w:rPr>
        <w:t xml:space="preserve"> שדינו כמניחו כנגד המדורה</w:t>
      </w:r>
      <w:r w:rsidR="005F07B2">
        <w:rPr>
          <w:rFonts w:asciiTheme="minorBidi" w:hAnsiTheme="minorBidi" w:hint="cs"/>
          <w:rtl/>
        </w:rPr>
        <w:t>,</w:t>
      </w:r>
      <w:r w:rsidRPr="005275DF">
        <w:rPr>
          <w:rFonts w:asciiTheme="minorBidi" w:hAnsiTheme="minorBidi"/>
          <w:rtl/>
        </w:rPr>
        <w:t xml:space="preserve"> וכל דבר שמותר להניחו כנגד המדורה במקום שהיד סולדת בו, כגון שיבש, מותר להניחו על גבי מיחם שעל גבי האש</w:t>
      </w:r>
      <w:r w:rsidRPr="005275DF">
        <w:rPr>
          <w:rStyle w:val="a9"/>
          <w:rFonts w:asciiTheme="minorBidi" w:hAnsiTheme="minorBidi"/>
          <w:rtl/>
        </w:rPr>
        <w:footnoteReference w:id="2775"/>
      </w:r>
      <w:r w:rsidRPr="005275DF">
        <w:rPr>
          <w:rFonts w:asciiTheme="minorBidi" w:hAnsiTheme="minorBidi"/>
          <w:rtl/>
        </w:rPr>
        <w:t>. וי</w:t>
      </w:r>
      <w:r w:rsidR="005F07B2">
        <w:rPr>
          <w:rFonts w:asciiTheme="minorBidi" w:hAnsiTheme="minorBidi" w:hint="cs"/>
          <w:rtl/>
        </w:rPr>
        <w:t xml:space="preserve">ש </w:t>
      </w:r>
      <w:r w:rsidRPr="005275DF">
        <w:rPr>
          <w:rFonts w:asciiTheme="minorBidi" w:hAnsiTheme="minorBidi"/>
          <w:rtl/>
        </w:rPr>
        <w:t>א</w:t>
      </w:r>
      <w:r w:rsidR="005F07B2">
        <w:rPr>
          <w:rFonts w:asciiTheme="minorBidi" w:hAnsiTheme="minorBidi" w:hint="cs"/>
          <w:rtl/>
        </w:rPr>
        <w:t>ומרים</w:t>
      </w:r>
      <w:r w:rsidRPr="005275DF">
        <w:rPr>
          <w:rFonts w:asciiTheme="minorBidi" w:hAnsiTheme="minorBidi"/>
          <w:rtl/>
        </w:rPr>
        <w:t xml:space="preserve"> דהוי כמניח על גבי כירה לכתחלה ואסור אפילו אם נתבשל כל צרכו ואפילו אם מצטמק ורע לו ואפילו אם נותנו שם לשמור חומו</w:t>
      </w:r>
      <w:r w:rsidRPr="005275DF">
        <w:rPr>
          <w:rStyle w:val="a9"/>
          <w:rFonts w:asciiTheme="minorBidi" w:hAnsiTheme="minorBidi"/>
          <w:rtl/>
        </w:rPr>
        <w:footnoteReference w:id="2776"/>
      </w:r>
      <w:r w:rsidR="005F07B2">
        <w:rPr>
          <w:rFonts w:asciiTheme="minorBidi" w:hAnsiTheme="minorBidi" w:hint="cs"/>
          <w:rtl/>
        </w:rPr>
        <w:t>.</w:t>
      </w:r>
      <w:r w:rsidRPr="005275DF">
        <w:rPr>
          <w:rFonts w:asciiTheme="minorBidi" w:hAnsiTheme="minorBidi"/>
          <w:rtl/>
        </w:rPr>
        <w:t xml:space="preserve"> וראשון נראה עיקר. ומ</w:t>
      </w:r>
      <w:r w:rsidR="005F07B2">
        <w:rPr>
          <w:rFonts w:asciiTheme="minorBidi" w:hAnsiTheme="minorBidi" w:hint="cs"/>
          <w:rtl/>
        </w:rPr>
        <w:t>כל מקום</w:t>
      </w:r>
      <w:r w:rsidRPr="005275DF">
        <w:rPr>
          <w:rFonts w:asciiTheme="minorBidi" w:hAnsiTheme="minorBidi"/>
          <w:rtl/>
        </w:rPr>
        <w:t xml:space="preserve"> אם הוא תבשיל שיש בו רוטב ומצטמק ויפה לו, אסור לדברי הכל</w:t>
      </w:r>
      <w:r w:rsidR="005C30CA">
        <w:rPr>
          <w:rStyle w:val="a9"/>
          <w:rFonts w:asciiTheme="minorBidi" w:hAnsiTheme="minorBidi"/>
          <w:rtl/>
        </w:rPr>
        <w:footnoteReference w:id="2777"/>
      </w:r>
      <w:r w:rsidRPr="005275DF">
        <w:rPr>
          <w:rFonts w:asciiTheme="minorBidi" w:hAnsiTheme="minorBidi"/>
          <w:rtl/>
        </w:rPr>
        <w:t xml:space="preserve">. </w:t>
      </w:r>
    </w:p>
    <w:p w14:paraId="6F3C7103" w14:textId="77777777" w:rsidR="006A4BF8" w:rsidRPr="005275DF" w:rsidRDefault="006A4BF8" w:rsidP="00434A6A">
      <w:pPr>
        <w:tabs>
          <w:tab w:val="left" w:pos="2788"/>
        </w:tabs>
        <w:rPr>
          <w:rFonts w:asciiTheme="minorBidi" w:hAnsiTheme="minorBidi"/>
          <w:rtl/>
        </w:rPr>
      </w:pPr>
    </w:p>
    <w:p w14:paraId="7CC87546" w14:textId="48848726" w:rsidR="006A4BF8" w:rsidRDefault="006A4BF8" w:rsidP="00434A6A">
      <w:pPr>
        <w:pStyle w:val="2"/>
        <w:rPr>
          <w:rFonts w:asciiTheme="minorBidi" w:hAnsiTheme="minorBidi" w:cstheme="minorBidi"/>
          <w:rtl/>
        </w:rPr>
      </w:pPr>
      <w:r w:rsidRPr="005275DF">
        <w:rPr>
          <w:rFonts w:asciiTheme="minorBidi" w:hAnsiTheme="minorBidi" w:cstheme="minorBidi"/>
          <w:rtl/>
        </w:rPr>
        <w:t>סעיף ט: כלי ראשון</w:t>
      </w:r>
      <w:r w:rsidR="00F029DA">
        <w:rPr>
          <w:rFonts w:asciiTheme="minorBidi" w:hAnsiTheme="minorBidi" w:cstheme="minorBidi" w:hint="cs"/>
          <w:rtl/>
        </w:rPr>
        <w:t>, כלי שני</w:t>
      </w:r>
      <w:r w:rsidRPr="005275DF">
        <w:rPr>
          <w:rFonts w:asciiTheme="minorBidi" w:hAnsiTheme="minorBidi" w:cstheme="minorBidi"/>
          <w:rtl/>
        </w:rPr>
        <w:t>.</w:t>
      </w:r>
    </w:p>
    <w:p w14:paraId="314801EE" w14:textId="1CB531A8" w:rsidR="006A4BF8" w:rsidRDefault="006A4BF8" w:rsidP="00434A6A">
      <w:pPr>
        <w:rPr>
          <w:rFonts w:asciiTheme="minorBidi" w:hAnsiTheme="minorBidi"/>
          <w:sz w:val="16"/>
          <w:szCs w:val="16"/>
          <w:rtl/>
        </w:rPr>
      </w:pPr>
      <w:r w:rsidRPr="005275DF">
        <w:rPr>
          <w:rFonts w:asciiTheme="minorBidi" w:hAnsiTheme="minorBidi"/>
          <w:b/>
          <w:bCs/>
          <w:rtl/>
        </w:rPr>
        <w:t xml:space="preserve">שבת </w:t>
      </w:r>
      <w:r w:rsidR="00125F57">
        <w:rPr>
          <w:rFonts w:asciiTheme="minorBidi" w:hAnsiTheme="minorBidi" w:hint="cs"/>
          <w:b/>
          <w:bCs/>
          <w:sz w:val="16"/>
          <w:szCs w:val="16"/>
          <w:rtl/>
        </w:rPr>
        <w:t xml:space="preserve">(פ' כירה) </w:t>
      </w:r>
      <w:r w:rsidRPr="005275DF">
        <w:rPr>
          <w:rFonts w:asciiTheme="minorBidi" w:hAnsiTheme="minorBidi"/>
          <w:b/>
          <w:bCs/>
          <w:rtl/>
        </w:rPr>
        <w:t xml:space="preserve">מב ע"א: </w:t>
      </w:r>
      <w:r w:rsidRPr="005275DF">
        <w:rPr>
          <w:rFonts w:asciiTheme="minorBidi" w:hAnsiTheme="minorBidi"/>
          <w:u w:val="double"/>
          <w:rtl/>
        </w:rPr>
        <w:t>משנה:</w:t>
      </w:r>
      <w:r w:rsidRPr="005275DF">
        <w:rPr>
          <w:rFonts w:asciiTheme="minorBidi" w:hAnsiTheme="minorBidi"/>
          <w:rtl/>
        </w:rPr>
        <w:t xml:space="preserve"> האילפס והקדרה שהעבירן</w:t>
      </w:r>
      <w:r w:rsidRPr="005275DF">
        <w:rPr>
          <w:rStyle w:val="a9"/>
          <w:rFonts w:asciiTheme="minorBidi" w:hAnsiTheme="minorBidi"/>
          <w:rtl/>
        </w:rPr>
        <w:footnoteReference w:id="2778"/>
      </w:r>
      <w:r w:rsidRPr="005275DF">
        <w:rPr>
          <w:rFonts w:asciiTheme="minorBidi" w:hAnsiTheme="minorBidi"/>
          <w:rtl/>
        </w:rPr>
        <w:t xml:space="preserve"> מרותחין</w:t>
      </w:r>
      <w:r w:rsidRPr="005275DF">
        <w:rPr>
          <w:rStyle w:val="a9"/>
          <w:rFonts w:asciiTheme="minorBidi" w:hAnsiTheme="minorBidi"/>
          <w:rtl/>
        </w:rPr>
        <w:footnoteReference w:id="2779"/>
      </w:r>
      <w:r w:rsidRPr="005275DF">
        <w:rPr>
          <w:rFonts w:asciiTheme="minorBidi" w:hAnsiTheme="minorBidi"/>
          <w:rtl/>
        </w:rPr>
        <w:t xml:space="preserve"> - לא יתן לתוכן תבלין</w:t>
      </w:r>
      <w:r w:rsidRPr="005275DF">
        <w:rPr>
          <w:rStyle w:val="a9"/>
          <w:rFonts w:asciiTheme="minorBidi" w:hAnsiTheme="minorBidi"/>
          <w:rtl/>
        </w:rPr>
        <w:footnoteReference w:id="2780"/>
      </w:r>
      <w:r w:rsidRPr="005275DF">
        <w:rPr>
          <w:rFonts w:asciiTheme="minorBidi" w:hAnsiTheme="minorBidi"/>
          <w:rtl/>
        </w:rPr>
        <w:t>,</w:t>
      </w:r>
      <w:r w:rsidR="00864822">
        <w:rPr>
          <w:rFonts w:asciiTheme="minorBidi" w:hAnsiTheme="minorBidi" w:hint="cs"/>
          <w:sz w:val="14"/>
          <w:szCs w:val="14"/>
          <w:rtl/>
        </w:rPr>
        <w:t xml:space="preserve"> (מב:)</w:t>
      </w:r>
      <w:r w:rsidRPr="005275DF">
        <w:rPr>
          <w:rFonts w:asciiTheme="minorBidi" w:hAnsiTheme="minorBidi"/>
          <w:rtl/>
        </w:rPr>
        <w:t xml:space="preserve"> אבל נותן הוא לתוך הקערה</w:t>
      </w:r>
      <w:r w:rsidRPr="005275DF">
        <w:rPr>
          <w:rStyle w:val="a9"/>
          <w:rFonts w:asciiTheme="minorBidi" w:hAnsiTheme="minorBidi"/>
          <w:rtl/>
        </w:rPr>
        <w:footnoteReference w:id="2781"/>
      </w:r>
      <w:r w:rsidRPr="005275DF">
        <w:rPr>
          <w:rFonts w:asciiTheme="minorBidi" w:hAnsiTheme="minorBidi"/>
          <w:rtl/>
        </w:rPr>
        <w:t xml:space="preserve"> או לתוך התמחוי...          </w:t>
      </w:r>
      <w:r w:rsidRPr="005275DF">
        <w:rPr>
          <w:rFonts w:asciiTheme="minorBidi" w:hAnsiTheme="minorBidi"/>
          <w:u w:val="double"/>
          <w:rtl/>
        </w:rPr>
        <w:t>גמ':</w:t>
      </w:r>
      <w:r w:rsidRPr="005275DF">
        <w:rPr>
          <w:rFonts w:asciiTheme="minorBidi" w:hAnsiTheme="minorBidi"/>
          <w:rtl/>
        </w:rPr>
        <w:t xml:space="preserve"> </w:t>
      </w:r>
      <w:r w:rsidRPr="005275DF">
        <w:rPr>
          <w:rFonts w:asciiTheme="minorBidi" w:hAnsiTheme="minorBidi"/>
          <w:u w:val="single"/>
          <w:rtl/>
        </w:rPr>
        <w:t>סבר רב יוסף למימר</w:t>
      </w:r>
      <w:r w:rsidRPr="005275DF">
        <w:rPr>
          <w:rFonts w:asciiTheme="minorBidi" w:hAnsiTheme="minorBidi"/>
          <w:rtl/>
        </w:rPr>
        <w:t xml:space="preserve">: מלח הרי הוא כתבלין, דבכלי ראשון - בשלה, ובכלי שני לא בשלה. </w:t>
      </w:r>
      <w:r w:rsidRPr="005275DF">
        <w:rPr>
          <w:rFonts w:asciiTheme="minorBidi" w:hAnsiTheme="minorBidi"/>
          <w:u w:val="single"/>
          <w:rtl/>
        </w:rPr>
        <w:t>אמר ליה אביי, תני רבי חייא</w:t>
      </w:r>
      <w:r w:rsidRPr="005275DF">
        <w:rPr>
          <w:rFonts w:asciiTheme="minorBidi" w:hAnsiTheme="minorBidi"/>
          <w:rtl/>
        </w:rPr>
        <w:t xml:space="preserve">: מלח אינה כתבלין, דבכלי שני נמי בשלה. ופליגא דרב נחמן, </w:t>
      </w:r>
      <w:r w:rsidRPr="00864822">
        <w:rPr>
          <w:rFonts w:asciiTheme="minorBidi" w:hAnsiTheme="minorBidi"/>
          <w:u w:val="single"/>
          <w:rtl/>
        </w:rPr>
        <w:t>דאמר רב נחמן</w:t>
      </w:r>
      <w:r w:rsidRPr="005275DF">
        <w:rPr>
          <w:rFonts w:asciiTheme="minorBidi" w:hAnsiTheme="minorBidi"/>
          <w:rtl/>
        </w:rPr>
        <w:t xml:space="preserve">: צריכא מילחא בישולא כבשרא דתורא. </w:t>
      </w:r>
      <w:r w:rsidRPr="005275DF">
        <w:rPr>
          <w:rFonts w:asciiTheme="minorBidi" w:hAnsiTheme="minorBidi"/>
          <w:u w:val="dotted"/>
          <w:rtl/>
        </w:rPr>
        <w:t>ואיכא דאמרי</w:t>
      </w:r>
      <w:r w:rsidRPr="005275DF">
        <w:rPr>
          <w:rFonts w:asciiTheme="minorBidi" w:hAnsiTheme="minorBidi"/>
          <w:rtl/>
        </w:rPr>
        <w:t xml:space="preserve">, </w:t>
      </w:r>
      <w:r w:rsidRPr="005275DF">
        <w:rPr>
          <w:rFonts w:asciiTheme="minorBidi" w:hAnsiTheme="minorBidi"/>
          <w:u w:val="single"/>
          <w:rtl/>
        </w:rPr>
        <w:t>סבר רב יוסף למימר</w:t>
      </w:r>
      <w:r w:rsidRPr="005275DF">
        <w:rPr>
          <w:rFonts w:asciiTheme="minorBidi" w:hAnsiTheme="minorBidi"/>
          <w:rtl/>
        </w:rPr>
        <w:t xml:space="preserve">: מלח הרי הוא כתבלין, דבכלי ראשון - בשלה, בכלי שני לא בשלה. </w:t>
      </w:r>
      <w:r w:rsidRPr="005275DF">
        <w:rPr>
          <w:rFonts w:asciiTheme="minorBidi" w:hAnsiTheme="minorBidi"/>
          <w:u w:val="single"/>
          <w:rtl/>
        </w:rPr>
        <w:t>אמר ליה אביי, תני רבי חייא</w:t>
      </w:r>
      <w:r w:rsidRPr="005275DF">
        <w:rPr>
          <w:rFonts w:asciiTheme="minorBidi" w:hAnsiTheme="minorBidi"/>
          <w:rtl/>
        </w:rPr>
        <w:t>: מלח אינה כתבלין, דבכלי ראשון נמי לא בשלה</w:t>
      </w:r>
      <w:r w:rsidR="00564922">
        <w:rPr>
          <w:rStyle w:val="a9"/>
          <w:rFonts w:asciiTheme="minorBidi" w:hAnsiTheme="minorBidi"/>
          <w:rtl/>
        </w:rPr>
        <w:footnoteReference w:id="2782"/>
      </w:r>
      <w:r w:rsidRPr="005275DF">
        <w:rPr>
          <w:rFonts w:asciiTheme="minorBidi" w:hAnsiTheme="minorBidi"/>
          <w:rtl/>
        </w:rPr>
        <w:t xml:space="preserve">. והיינו דאמר רב נחמן: צריכא מילחא בישולא כבישרא דתורא. </w:t>
      </w:r>
      <w:r w:rsidRPr="005275DF">
        <w:rPr>
          <w:rFonts w:asciiTheme="minorBidi" w:hAnsiTheme="minorBidi"/>
          <w:sz w:val="16"/>
          <w:szCs w:val="16"/>
          <w:rtl/>
        </w:rPr>
        <w:t>(</w:t>
      </w:r>
      <w:r w:rsidR="00C60282" w:rsidRPr="00C60282">
        <w:rPr>
          <w:rFonts w:cs="Arial"/>
          <w:sz w:val="16"/>
          <w:szCs w:val="16"/>
          <w:rtl/>
        </w:rPr>
        <w:t>ופסקו הרי"ף</w:t>
      </w:r>
      <w:r w:rsidR="00C60282" w:rsidRPr="005275DF">
        <w:rPr>
          <w:rStyle w:val="a9"/>
          <w:rFonts w:asciiTheme="minorBidi" w:hAnsiTheme="minorBidi"/>
          <w:sz w:val="16"/>
          <w:szCs w:val="16"/>
          <w:rtl/>
        </w:rPr>
        <w:footnoteReference w:id="2783"/>
      </w:r>
      <w:r w:rsidR="00C60282" w:rsidRPr="00C60282">
        <w:rPr>
          <w:rFonts w:cs="Arial"/>
          <w:sz w:val="16"/>
          <w:szCs w:val="16"/>
          <w:rtl/>
        </w:rPr>
        <w:t xml:space="preserve"> (כ.) והרא"ש (סי' יז) כלישנא בתרא</w:t>
      </w:r>
      <w:r w:rsidR="00C60282" w:rsidRPr="00C60282">
        <w:rPr>
          <w:rFonts w:cs="Arial" w:hint="cs"/>
          <w:sz w:val="16"/>
          <w:szCs w:val="16"/>
          <w:rtl/>
        </w:rPr>
        <w:t>.</w:t>
      </w:r>
      <w:r w:rsidR="00C60282" w:rsidRPr="00C60282">
        <w:rPr>
          <w:rFonts w:cs="Arial"/>
          <w:sz w:val="16"/>
          <w:szCs w:val="16"/>
          <w:rtl/>
        </w:rPr>
        <w:t xml:space="preserve"> וכן פסק הרמב"ם בפכ"ב (ה"ו)</w:t>
      </w:r>
      <w:r w:rsidR="00C60282">
        <w:rPr>
          <w:rFonts w:cs="Arial" w:hint="cs"/>
          <w:sz w:val="16"/>
          <w:szCs w:val="16"/>
          <w:rtl/>
        </w:rPr>
        <w:t>, ב"י</w:t>
      </w:r>
      <w:r w:rsidRPr="005275DF">
        <w:rPr>
          <w:rFonts w:asciiTheme="minorBidi" w:hAnsiTheme="minorBidi"/>
          <w:sz w:val="16"/>
          <w:szCs w:val="16"/>
          <w:rtl/>
        </w:rPr>
        <w:t>)</w:t>
      </w:r>
    </w:p>
    <w:p w14:paraId="25DE8F30" w14:textId="7AAC9034" w:rsidR="00C60282" w:rsidRPr="00C60282" w:rsidRDefault="002076AC" w:rsidP="00C60282">
      <w:pPr>
        <w:rPr>
          <w:u w:val="single"/>
          <w:rtl/>
        </w:rPr>
      </w:pPr>
      <w:r>
        <w:rPr>
          <w:rFonts w:hint="cs"/>
          <w:u w:val="single"/>
          <w:rtl/>
        </w:rPr>
        <w:t xml:space="preserve">נתינת תבלין או מלח לתוך </w:t>
      </w:r>
      <w:r w:rsidR="00C60282" w:rsidRPr="00C60282">
        <w:rPr>
          <w:rFonts w:hint="cs"/>
          <w:u w:val="single"/>
          <w:rtl/>
        </w:rPr>
        <w:t>כלי ראשון</w:t>
      </w:r>
      <w:r>
        <w:rPr>
          <w:rFonts w:hint="cs"/>
          <w:u w:val="single"/>
          <w:rtl/>
        </w:rPr>
        <w:t>/</w:t>
      </w:r>
      <w:r w:rsidR="00F029DA">
        <w:rPr>
          <w:rFonts w:hint="cs"/>
          <w:u w:val="single"/>
          <w:rtl/>
        </w:rPr>
        <w:t>שני</w:t>
      </w:r>
      <w:r w:rsidR="00C60282" w:rsidRPr="00C60282">
        <w:rPr>
          <w:rFonts w:hint="cs"/>
          <w:u w:val="single"/>
          <w:rtl/>
        </w:rPr>
        <w:t>:</w:t>
      </w:r>
    </w:p>
    <w:p w14:paraId="7B0FD090" w14:textId="0541D0CD" w:rsidR="00C60282" w:rsidRDefault="00C60282" w:rsidP="00564922">
      <w:pPr>
        <w:pStyle w:val="aa"/>
        <w:numPr>
          <w:ilvl w:val="0"/>
          <w:numId w:val="32"/>
        </w:numPr>
        <w:rPr>
          <w:rFonts w:asciiTheme="minorBidi" w:hAnsiTheme="minorBidi"/>
        </w:rPr>
      </w:pPr>
      <w:r>
        <w:rPr>
          <w:rFonts w:asciiTheme="minorBidi" w:hAnsiTheme="minorBidi" w:cs="Arial" w:hint="cs"/>
          <w:rtl/>
        </w:rPr>
        <w:t>רא"ש</w:t>
      </w:r>
      <w:r w:rsidR="00564922">
        <w:rPr>
          <w:rStyle w:val="a9"/>
          <w:rFonts w:asciiTheme="minorBidi" w:hAnsiTheme="minorBidi" w:cs="Arial"/>
          <w:rtl/>
        </w:rPr>
        <w:footnoteReference w:id="2784"/>
      </w:r>
      <w:r>
        <w:rPr>
          <w:rFonts w:asciiTheme="minorBidi" w:hAnsiTheme="minorBidi" w:cs="Arial" w:hint="cs"/>
          <w:rtl/>
        </w:rPr>
        <w:t xml:space="preserve"> </w:t>
      </w:r>
      <w:r w:rsidRPr="00C60282">
        <w:rPr>
          <w:rFonts w:cs="Arial"/>
          <w:sz w:val="16"/>
          <w:szCs w:val="16"/>
          <w:rtl/>
        </w:rPr>
        <w:t>(סי' יז)</w:t>
      </w:r>
      <w:r>
        <w:rPr>
          <w:rFonts w:cs="Arial" w:hint="cs"/>
          <w:sz w:val="16"/>
          <w:szCs w:val="16"/>
          <w:rtl/>
        </w:rPr>
        <w:t xml:space="preserve"> </w:t>
      </w:r>
      <w:r>
        <w:rPr>
          <w:rFonts w:asciiTheme="minorBidi" w:hAnsiTheme="minorBidi" w:cs="Arial" w:hint="cs"/>
          <w:rtl/>
        </w:rPr>
        <w:t>ו</w:t>
      </w:r>
      <w:r w:rsidR="0005702E">
        <w:rPr>
          <w:rFonts w:asciiTheme="minorBidi" w:hAnsiTheme="minorBidi" w:cs="Arial" w:hint="cs"/>
          <w:rtl/>
        </w:rPr>
        <w:t xml:space="preserve">טור- </w:t>
      </w:r>
      <w:r w:rsidR="0005702E" w:rsidRPr="002065FF">
        <w:rPr>
          <w:rFonts w:asciiTheme="minorBidi" w:hAnsiTheme="minorBidi" w:cs="Arial"/>
          <w:rtl/>
        </w:rPr>
        <w:t>כלי ראשון מבשל אפילו לאחר שהעבירו מעל האש</w:t>
      </w:r>
      <w:r>
        <w:rPr>
          <w:rFonts w:asciiTheme="minorBidi" w:hAnsiTheme="minorBidi" w:cs="Arial" w:hint="cs"/>
          <w:rtl/>
        </w:rPr>
        <w:t>.</w:t>
      </w:r>
      <w:r w:rsidR="0005702E" w:rsidRPr="002065FF">
        <w:rPr>
          <w:rFonts w:asciiTheme="minorBidi" w:hAnsiTheme="minorBidi" w:cs="Arial"/>
          <w:rtl/>
        </w:rPr>
        <w:t xml:space="preserve"> הלכך אסור ליתן בו אפי' בשר שור אע</w:t>
      </w:r>
      <w:r>
        <w:rPr>
          <w:rFonts w:asciiTheme="minorBidi" w:hAnsiTheme="minorBidi" w:cs="Arial" w:hint="cs"/>
          <w:rtl/>
        </w:rPr>
        <w:t>"</w:t>
      </w:r>
      <w:r w:rsidR="0005702E" w:rsidRPr="002065FF">
        <w:rPr>
          <w:rFonts w:asciiTheme="minorBidi" w:hAnsiTheme="minorBidi" w:cs="Arial"/>
          <w:rtl/>
        </w:rPr>
        <w:t>פ שצריך בישול רב ואינו מתבשל</w:t>
      </w:r>
      <w:r>
        <w:rPr>
          <w:rFonts w:asciiTheme="minorBidi" w:hAnsiTheme="minorBidi" w:cs="Arial" w:hint="cs"/>
          <w:rtl/>
        </w:rPr>
        <w:t>,</w:t>
      </w:r>
      <w:r w:rsidR="0005702E" w:rsidRPr="002065FF">
        <w:rPr>
          <w:rFonts w:asciiTheme="minorBidi" w:hAnsiTheme="minorBidi" w:cs="Arial"/>
          <w:rtl/>
        </w:rPr>
        <w:t xml:space="preserve"> מ</w:t>
      </w:r>
      <w:r>
        <w:rPr>
          <w:rFonts w:asciiTheme="minorBidi" w:hAnsiTheme="minorBidi" w:cs="Arial" w:hint="cs"/>
          <w:rtl/>
        </w:rPr>
        <w:t>כל מקום</w:t>
      </w:r>
      <w:r w:rsidR="0005702E" w:rsidRPr="002065FF">
        <w:rPr>
          <w:rFonts w:asciiTheme="minorBidi" w:hAnsiTheme="minorBidi" w:cs="Arial"/>
          <w:rtl/>
        </w:rPr>
        <w:t xml:space="preserve"> לחלוחית שבו מתבשל</w:t>
      </w:r>
      <w:r>
        <w:rPr>
          <w:rFonts w:asciiTheme="minorBidi" w:hAnsiTheme="minorBidi" w:cs="Arial" w:hint="cs"/>
          <w:rtl/>
        </w:rPr>
        <w:t>.</w:t>
      </w:r>
      <w:r w:rsidR="0005702E" w:rsidRPr="002065FF">
        <w:rPr>
          <w:rFonts w:asciiTheme="minorBidi" w:hAnsiTheme="minorBidi" w:cs="Arial"/>
          <w:rtl/>
        </w:rPr>
        <w:t xml:space="preserve"> ומותר ליתן בו מלח</w:t>
      </w:r>
      <w:r>
        <w:rPr>
          <w:rFonts w:asciiTheme="minorBidi" w:hAnsiTheme="minorBidi" w:cs="Arial" w:hint="cs"/>
          <w:rtl/>
        </w:rPr>
        <w:t>,</w:t>
      </w:r>
      <w:r w:rsidR="0005702E" w:rsidRPr="002065FF">
        <w:rPr>
          <w:rFonts w:asciiTheme="minorBidi" w:hAnsiTheme="minorBidi" w:cs="Arial"/>
          <w:rtl/>
        </w:rPr>
        <w:t xml:space="preserve"> שאינו ממהר להתבשל</w:t>
      </w:r>
      <w:r>
        <w:rPr>
          <w:rFonts w:asciiTheme="minorBidi" w:hAnsiTheme="minorBidi" w:cs="Arial" w:hint="cs"/>
          <w:sz w:val="16"/>
          <w:szCs w:val="16"/>
          <w:rtl/>
        </w:rPr>
        <w:t xml:space="preserve"> (ל' הטור)</w:t>
      </w:r>
      <w:r>
        <w:rPr>
          <w:rFonts w:asciiTheme="minorBidi" w:hAnsiTheme="minorBidi" w:cs="Arial" w:hint="cs"/>
          <w:rtl/>
        </w:rPr>
        <w:t>.</w:t>
      </w:r>
      <w:r w:rsidR="00092C7A">
        <w:rPr>
          <w:rFonts w:asciiTheme="minorBidi" w:hAnsiTheme="minorBidi" w:hint="cs"/>
          <w:rtl/>
        </w:rPr>
        <w:t xml:space="preserve"> </w:t>
      </w:r>
      <w:r w:rsidR="00092C7A" w:rsidRPr="00092C7A">
        <w:rPr>
          <w:rFonts w:asciiTheme="minorBidi" w:hAnsiTheme="minorBidi" w:hint="cs"/>
          <w:color w:val="00B0F0"/>
          <w:rtl/>
        </w:rPr>
        <w:t>(וכ"</w:t>
      </w:r>
      <w:r w:rsidR="00092C7A">
        <w:rPr>
          <w:rFonts w:asciiTheme="minorBidi" w:hAnsiTheme="minorBidi" w:hint="cs"/>
          <w:color w:val="00B0F0"/>
          <w:rtl/>
        </w:rPr>
        <w:t>כ</w:t>
      </w:r>
      <w:r w:rsidR="00092C7A" w:rsidRPr="00092C7A">
        <w:rPr>
          <w:rFonts w:asciiTheme="minorBidi" w:hAnsiTheme="minorBidi" w:hint="cs"/>
          <w:color w:val="00B0F0"/>
          <w:rtl/>
        </w:rPr>
        <w:t xml:space="preserve"> הרמ"א)</w:t>
      </w:r>
    </w:p>
    <w:p w14:paraId="3A3D4451" w14:textId="0B561927" w:rsidR="00F029DA" w:rsidRDefault="00F029DA" w:rsidP="00564922">
      <w:pPr>
        <w:pStyle w:val="aa"/>
        <w:numPr>
          <w:ilvl w:val="0"/>
          <w:numId w:val="32"/>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(פכ"ב ה"ו)</w:t>
      </w:r>
      <w:r>
        <w:rPr>
          <w:rFonts w:asciiTheme="minorBidi" w:hAnsiTheme="minorBidi" w:cs="Arial" w:hint="cs"/>
          <w:rtl/>
        </w:rPr>
        <w:t xml:space="preserve">- </w:t>
      </w:r>
      <w:r w:rsidRPr="00F029DA">
        <w:rPr>
          <w:rFonts w:asciiTheme="minorBidi" w:hAnsiTheme="minorBidi" w:cs="Arial"/>
          <w:rtl/>
        </w:rPr>
        <w:t>קדרה רותחת א</w:t>
      </w:r>
      <w:r>
        <w:rPr>
          <w:rFonts w:asciiTheme="minorBidi" w:hAnsiTheme="minorBidi" w:cs="Arial" w:hint="cs"/>
          <w:rtl/>
        </w:rPr>
        <w:t>ע"</w:t>
      </w:r>
      <w:r w:rsidRPr="00F029DA">
        <w:rPr>
          <w:rFonts w:asciiTheme="minorBidi" w:hAnsiTheme="minorBidi" w:cs="Arial"/>
          <w:rtl/>
        </w:rPr>
        <w:t>פ שהורידה מעל האש</w:t>
      </w:r>
      <w:r>
        <w:rPr>
          <w:rFonts w:asciiTheme="minorBidi" w:hAnsiTheme="minorBidi" w:cs="Arial" w:hint="cs"/>
          <w:rtl/>
        </w:rPr>
        <w:t xml:space="preserve"> -</w:t>
      </w:r>
      <w:r w:rsidRPr="00F029DA">
        <w:rPr>
          <w:rFonts w:asciiTheme="minorBidi" w:hAnsiTheme="minorBidi" w:cs="Arial"/>
          <w:rtl/>
        </w:rPr>
        <w:t xml:space="preserve"> לא יתן לתוכה תבלין</w:t>
      </w:r>
      <w:r>
        <w:rPr>
          <w:rFonts w:asciiTheme="minorBidi" w:hAnsiTheme="minorBidi" w:cs="Arial" w:hint="cs"/>
          <w:rtl/>
        </w:rPr>
        <w:t>,</w:t>
      </w:r>
      <w:r w:rsidRPr="00F029DA">
        <w:rPr>
          <w:rFonts w:asciiTheme="minorBidi" w:hAnsiTheme="minorBidi" w:cs="Arial"/>
          <w:rtl/>
        </w:rPr>
        <w:t xml:space="preserve"> אבל נותן לתוכה מלח</w:t>
      </w:r>
      <w:r>
        <w:rPr>
          <w:rFonts w:asciiTheme="minorBidi" w:hAnsiTheme="minorBidi" w:cs="Arial" w:hint="cs"/>
          <w:rtl/>
        </w:rPr>
        <w:t>,</w:t>
      </w:r>
      <w:r w:rsidRPr="00F029DA">
        <w:rPr>
          <w:rFonts w:asciiTheme="minorBidi" w:hAnsiTheme="minorBidi" w:cs="Arial"/>
          <w:rtl/>
        </w:rPr>
        <w:t xml:space="preserve"> שהמלח אינו מתבשל אלא על גבי אש גדולה</w:t>
      </w:r>
      <w:r>
        <w:rPr>
          <w:rFonts w:asciiTheme="minorBidi" w:hAnsiTheme="minorBidi" w:cs="Arial" w:hint="cs"/>
          <w:rtl/>
        </w:rPr>
        <w:t>.</w:t>
      </w:r>
      <w:r w:rsidRPr="00F029DA">
        <w:rPr>
          <w:rFonts w:asciiTheme="minorBidi" w:hAnsiTheme="minorBidi" w:cs="Arial"/>
          <w:rtl/>
        </w:rPr>
        <w:t xml:space="preserve"> ואם צק התבשיל מקדרה לקערה אע</w:t>
      </w:r>
      <w:r>
        <w:rPr>
          <w:rFonts w:asciiTheme="minorBidi" w:hAnsiTheme="minorBidi" w:cs="Arial" w:hint="cs"/>
          <w:rtl/>
        </w:rPr>
        <w:t>"</w:t>
      </w:r>
      <w:r w:rsidRPr="00F029DA">
        <w:rPr>
          <w:rFonts w:asciiTheme="minorBidi" w:hAnsiTheme="minorBidi" w:cs="Arial"/>
          <w:rtl/>
        </w:rPr>
        <w:t xml:space="preserve">פ שהוא רותח בקערה </w:t>
      </w:r>
      <w:r>
        <w:rPr>
          <w:rFonts w:asciiTheme="minorBidi" w:hAnsiTheme="minorBidi" w:cs="Arial" w:hint="cs"/>
          <w:rtl/>
        </w:rPr>
        <w:t xml:space="preserve">- </w:t>
      </w:r>
      <w:r w:rsidRPr="00F029DA">
        <w:rPr>
          <w:rFonts w:asciiTheme="minorBidi" w:hAnsiTheme="minorBidi" w:cs="Arial"/>
          <w:rtl/>
        </w:rPr>
        <w:t>מותר לו ליתן לתוך הקערה תבלין</w:t>
      </w:r>
      <w:r>
        <w:rPr>
          <w:rFonts w:asciiTheme="minorBidi" w:hAnsiTheme="minorBidi" w:cs="Arial" w:hint="cs"/>
          <w:rtl/>
        </w:rPr>
        <w:t>,</w:t>
      </w:r>
      <w:r w:rsidRPr="00F029DA">
        <w:rPr>
          <w:rFonts w:asciiTheme="minorBidi" w:hAnsiTheme="minorBidi" w:cs="Arial"/>
          <w:rtl/>
        </w:rPr>
        <w:t xml:space="preserve"> שכלי שני אינו מבשל.</w:t>
      </w:r>
      <w:r w:rsidR="00092C7A">
        <w:rPr>
          <w:rFonts w:asciiTheme="minorBidi" w:hAnsiTheme="minorBidi" w:hint="cs"/>
          <w:rtl/>
        </w:rPr>
        <w:t xml:space="preserve"> </w:t>
      </w:r>
      <w:r w:rsidR="00092C7A" w:rsidRPr="00092C7A">
        <w:rPr>
          <w:rFonts w:asciiTheme="minorBidi" w:hAnsiTheme="minorBidi" w:hint="cs"/>
          <w:color w:val="E36C0A" w:themeColor="accent6" w:themeShade="BF"/>
          <w:rtl/>
        </w:rPr>
        <w:t>(וכ"פ בשו"ע)</w:t>
      </w:r>
    </w:p>
    <w:p w14:paraId="44CE2CA5" w14:textId="690971E3" w:rsidR="002076AC" w:rsidRPr="00564922" w:rsidRDefault="002076AC" w:rsidP="00564922">
      <w:pPr>
        <w:pStyle w:val="aa"/>
        <w:numPr>
          <w:ilvl w:val="0"/>
          <w:numId w:val="32"/>
        </w:numPr>
        <w:rPr>
          <w:rFonts w:asciiTheme="minorBidi" w:hAnsiTheme="minorBidi"/>
          <w:rtl/>
        </w:rPr>
      </w:pPr>
      <w:r>
        <w:rPr>
          <w:rFonts w:asciiTheme="minorBidi" w:hAnsiTheme="minorBidi" w:cs="Arial" w:hint="cs"/>
          <w:rtl/>
        </w:rPr>
        <w:t xml:space="preserve">תוס' </w:t>
      </w:r>
      <w:r w:rsidRPr="00C60282">
        <w:rPr>
          <w:rFonts w:cs="Arial"/>
          <w:sz w:val="16"/>
          <w:szCs w:val="16"/>
          <w:rtl/>
        </w:rPr>
        <w:t>(שם ד"ה והיינו)</w:t>
      </w:r>
      <w:r>
        <w:rPr>
          <w:rFonts w:asciiTheme="minorBidi" w:hAnsiTheme="minorBidi" w:cs="Arial" w:hint="cs"/>
          <w:rtl/>
        </w:rPr>
        <w:t xml:space="preserve">- </w:t>
      </w:r>
      <w:r w:rsidRPr="002076AC">
        <w:rPr>
          <w:rFonts w:asciiTheme="minorBidi" w:hAnsiTheme="minorBidi" w:cs="Arial"/>
          <w:rtl/>
        </w:rPr>
        <w:t>הלכה כלישנא בתרא</w:t>
      </w:r>
      <w:r>
        <w:rPr>
          <w:rFonts w:asciiTheme="minorBidi" w:hAnsiTheme="minorBidi" w:cs="Arial" w:hint="cs"/>
          <w:rtl/>
        </w:rPr>
        <w:t>... ומתך כך</w:t>
      </w:r>
      <w:r w:rsidRPr="002076AC">
        <w:rPr>
          <w:rFonts w:asciiTheme="minorBidi" w:hAnsiTheme="minorBidi" w:cs="Arial"/>
          <w:rtl/>
        </w:rPr>
        <w:t xml:space="preserve"> פסק רבינו שמואל שמותר לתת מלח בתבשיל בשבת אפילו בכלי ראשון שהעבירו מן האור</w:t>
      </w:r>
      <w:r>
        <w:rPr>
          <w:rFonts w:asciiTheme="minorBidi" w:hAnsiTheme="minorBidi" w:cs="Arial" w:hint="cs"/>
          <w:rtl/>
        </w:rPr>
        <w:t>.</w:t>
      </w:r>
      <w:r w:rsidRPr="002076AC">
        <w:rPr>
          <w:rFonts w:asciiTheme="minorBidi" w:hAnsiTheme="minorBidi" w:cs="Arial"/>
          <w:rtl/>
        </w:rPr>
        <w:t xml:space="preserve"> והמחמיר כלישנא קמא שלא ליתן מלח בקערה כל זמן שהיד סולדת בו תבא עליו ברכה</w:t>
      </w:r>
      <w:r>
        <w:rPr>
          <w:rFonts w:asciiTheme="minorBidi" w:hAnsiTheme="minorBidi" w:hint="cs"/>
          <w:rtl/>
        </w:rPr>
        <w:t>.</w:t>
      </w:r>
      <w:r w:rsidR="00092C7A" w:rsidRPr="00092C7A">
        <w:rPr>
          <w:rFonts w:asciiTheme="minorBidi" w:hAnsiTheme="minorBidi" w:hint="cs"/>
          <w:color w:val="00B0F0"/>
          <w:rtl/>
        </w:rPr>
        <w:t xml:space="preserve"> (וכ"</w:t>
      </w:r>
      <w:r w:rsidR="00092C7A">
        <w:rPr>
          <w:rFonts w:asciiTheme="minorBidi" w:hAnsiTheme="minorBidi" w:hint="cs"/>
          <w:color w:val="00B0F0"/>
          <w:rtl/>
        </w:rPr>
        <w:t>כ</w:t>
      </w:r>
      <w:r w:rsidR="00092C7A" w:rsidRPr="00092C7A">
        <w:rPr>
          <w:rFonts w:asciiTheme="minorBidi" w:hAnsiTheme="minorBidi" w:hint="cs"/>
          <w:color w:val="00B0F0"/>
          <w:rtl/>
        </w:rPr>
        <w:t xml:space="preserve"> הרמ"א)</w:t>
      </w:r>
    </w:p>
    <w:p w14:paraId="6B9CE9EA" w14:textId="084A2D31" w:rsidR="00564922" w:rsidRPr="00DA4EC4" w:rsidRDefault="00DA4EC4" w:rsidP="00DA4EC4">
      <w:pPr>
        <w:rPr>
          <w:u w:val="single"/>
        </w:rPr>
      </w:pPr>
      <w:r>
        <w:rPr>
          <w:rFonts w:cs="Arial" w:hint="cs"/>
          <w:u w:val="single"/>
          <w:rtl/>
        </w:rPr>
        <w:t>אדם שנתן מלח ב</w:t>
      </w:r>
      <w:r w:rsidR="00DA395C">
        <w:rPr>
          <w:rFonts w:cs="Arial" w:hint="cs"/>
          <w:u w:val="single"/>
          <w:rtl/>
        </w:rPr>
        <w:t>סיר</w:t>
      </w:r>
      <w:r w:rsidRPr="00DA4EC4">
        <w:rPr>
          <w:rFonts w:cs="Arial"/>
          <w:u w:val="single"/>
          <w:rtl/>
        </w:rPr>
        <w:t xml:space="preserve"> רותח</w:t>
      </w:r>
      <w:r w:rsidR="00DA395C">
        <w:rPr>
          <w:rStyle w:val="a9"/>
          <w:rFonts w:cs="Arial"/>
          <w:u w:val="single"/>
          <w:rtl/>
        </w:rPr>
        <w:footnoteReference w:id="2785"/>
      </w:r>
      <w:r w:rsidRPr="00DA4EC4">
        <w:rPr>
          <w:rFonts w:cs="Arial"/>
          <w:u w:val="single"/>
          <w:rtl/>
        </w:rPr>
        <w:t xml:space="preserve"> במזיד בשבת</w:t>
      </w:r>
      <w:r w:rsidRPr="00DA4EC4">
        <w:rPr>
          <w:rFonts w:cs="Arial" w:hint="cs"/>
          <w:u w:val="single"/>
          <w:rtl/>
        </w:rPr>
        <w:t>:</w:t>
      </w:r>
      <w:r w:rsidR="00D162EA" w:rsidRPr="00DA4EC4">
        <w:rPr>
          <w:rFonts w:cs="Arial" w:hint="cs"/>
          <w:u w:val="single"/>
          <w:rtl/>
        </w:rPr>
        <w:t xml:space="preserve"> </w:t>
      </w:r>
      <w:r w:rsidR="00DD3262" w:rsidRPr="00DA4EC4">
        <w:rPr>
          <w:rFonts w:cs="Arial"/>
          <w:u w:val="single"/>
          <w:rtl/>
        </w:rPr>
        <w:t xml:space="preserve"> </w:t>
      </w:r>
    </w:p>
    <w:p w14:paraId="5C592FEC" w14:textId="7E3D77E5" w:rsidR="00B64061" w:rsidRPr="00564922" w:rsidRDefault="00B64061" w:rsidP="00564922">
      <w:pPr>
        <w:pStyle w:val="aa"/>
        <w:numPr>
          <w:ilvl w:val="0"/>
          <w:numId w:val="32"/>
        </w:numPr>
      </w:pPr>
      <w:r w:rsidRPr="00564922">
        <w:rPr>
          <w:rFonts w:cs="Arial"/>
          <w:rtl/>
        </w:rPr>
        <w:t xml:space="preserve">שבלי הלקט </w:t>
      </w:r>
      <w:r w:rsidRPr="00564922">
        <w:rPr>
          <w:rFonts w:cs="Arial"/>
          <w:sz w:val="16"/>
          <w:szCs w:val="16"/>
          <w:rtl/>
        </w:rPr>
        <w:t>(סי' פו)</w:t>
      </w:r>
      <w:r>
        <w:rPr>
          <w:rFonts w:cs="Arial" w:hint="cs"/>
          <w:rtl/>
        </w:rPr>
        <w:t xml:space="preserve">- </w:t>
      </w:r>
      <w:r w:rsidRPr="00B64061">
        <w:rPr>
          <w:rFonts w:cs="Arial"/>
          <w:rtl/>
        </w:rPr>
        <w:t>ואם ראוי לתת מלח ותבלין בשבת בין בכלי ראשון בין בכלי שני</w:t>
      </w:r>
      <w:r w:rsidR="007A3F7A">
        <w:rPr>
          <w:rFonts w:cs="Arial" w:hint="cs"/>
          <w:rtl/>
        </w:rPr>
        <w:t>,</w:t>
      </w:r>
      <w:r w:rsidRPr="00B64061">
        <w:rPr>
          <w:rFonts w:cs="Arial"/>
          <w:rtl/>
        </w:rPr>
        <w:t xml:space="preserve"> תשובה זו מצאתי בשם הר"ר שמחה משפירא ז"ל על המלח שנתנו ביורה מרותחת במזיד בשבת</w:t>
      </w:r>
      <w:r w:rsidR="00D162EA">
        <w:rPr>
          <w:rFonts w:cs="Arial" w:hint="cs"/>
          <w:rtl/>
        </w:rPr>
        <w:t>.</w:t>
      </w:r>
      <w:r w:rsidRPr="00B64061">
        <w:rPr>
          <w:rFonts w:cs="Arial"/>
          <w:rtl/>
        </w:rPr>
        <w:t xml:space="preserve"> איני רואה בה טעם לאסור</w:t>
      </w:r>
      <w:r w:rsidR="00D162EA">
        <w:rPr>
          <w:rFonts w:cs="Arial" w:hint="cs"/>
          <w:rtl/>
        </w:rPr>
        <w:t>,</w:t>
      </w:r>
      <w:r w:rsidRPr="00B64061">
        <w:rPr>
          <w:rFonts w:cs="Arial"/>
          <w:rtl/>
        </w:rPr>
        <w:t xml:space="preserve"> לא מטעם דהוי ליה דבר שיש לו מתירין</w:t>
      </w:r>
      <w:r w:rsidR="00D162EA">
        <w:rPr>
          <w:rFonts w:cs="Arial" w:hint="cs"/>
          <w:rtl/>
        </w:rPr>
        <w:t>,</w:t>
      </w:r>
      <w:r w:rsidRPr="00B64061">
        <w:rPr>
          <w:rFonts w:cs="Arial"/>
          <w:rtl/>
        </w:rPr>
        <w:t xml:space="preserve"> ולא מטעם שאור ותבלין דלטעמא עבידי</w:t>
      </w:r>
      <w:r w:rsidR="00D162EA">
        <w:rPr>
          <w:rFonts w:cs="Arial" w:hint="cs"/>
          <w:rtl/>
        </w:rPr>
        <w:t>,</w:t>
      </w:r>
      <w:r w:rsidRPr="00B64061">
        <w:rPr>
          <w:rFonts w:cs="Arial"/>
          <w:rtl/>
        </w:rPr>
        <w:t xml:space="preserve"> </w:t>
      </w:r>
      <w:r w:rsidR="00D162EA">
        <w:rPr>
          <w:rFonts w:cs="Arial" w:hint="cs"/>
          <w:rtl/>
        </w:rPr>
        <w:t>ד</w:t>
      </w:r>
      <w:r w:rsidRPr="00B64061">
        <w:rPr>
          <w:rFonts w:cs="Arial"/>
          <w:rtl/>
        </w:rPr>
        <w:t>היכא דלא יהבו טעמא בטלו כשאר אסורין</w:t>
      </w:r>
      <w:r w:rsidR="00D162EA">
        <w:rPr>
          <w:rFonts w:cs="Arial" w:hint="cs"/>
          <w:rtl/>
        </w:rPr>
        <w:t>.</w:t>
      </w:r>
      <w:r w:rsidRPr="00B64061">
        <w:rPr>
          <w:rFonts w:cs="Arial"/>
          <w:rtl/>
        </w:rPr>
        <w:t xml:space="preserve"> כדמוכח בפ' גיד הנשה </w:t>
      </w:r>
      <w:r w:rsidRPr="00564922">
        <w:rPr>
          <w:rFonts w:cs="Arial"/>
          <w:rtl/>
        </w:rPr>
        <w:t xml:space="preserve">(חולין צט:) </w:t>
      </w:r>
      <w:r w:rsidRPr="00B64061">
        <w:rPr>
          <w:rFonts w:cs="Arial"/>
          <w:rtl/>
        </w:rPr>
        <w:t>שאור של חטים שנפל לתוך עסת חטים כו'</w:t>
      </w:r>
      <w:r w:rsidR="00D162EA">
        <w:rPr>
          <w:rFonts w:cs="Arial" w:hint="cs"/>
          <w:rtl/>
        </w:rPr>
        <w:t>,</w:t>
      </w:r>
      <w:r w:rsidRPr="00B64061">
        <w:rPr>
          <w:rFonts w:cs="Arial"/>
          <w:rtl/>
        </w:rPr>
        <w:t xml:space="preserve"> אילו היה בה לעלות באחד ומאה היה בטל אילו לא היה בו כדי להחמיץ</w:t>
      </w:r>
      <w:r w:rsidR="00D162EA">
        <w:rPr>
          <w:rFonts w:cs="Arial" w:hint="cs"/>
          <w:rtl/>
        </w:rPr>
        <w:t>.</w:t>
      </w:r>
      <w:r w:rsidRPr="00B64061">
        <w:rPr>
          <w:rFonts w:cs="Arial"/>
          <w:rtl/>
        </w:rPr>
        <w:t xml:space="preserve"> וכל זה וזה גורם כך הוא</w:t>
      </w:r>
      <w:r w:rsidR="00D162EA">
        <w:rPr>
          <w:rFonts w:cs="Arial" w:hint="cs"/>
          <w:rtl/>
        </w:rPr>
        <w:t>,</w:t>
      </w:r>
      <w:r w:rsidRPr="00B64061">
        <w:rPr>
          <w:rFonts w:cs="Arial"/>
          <w:rtl/>
        </w:rPr>
        <w:t xml:space="preserve"> שאור של חולין שנפלו לתוך העיסה ונצטרפו וחמצו דקים לן</w:t>
      </w:r>
      <w:r w:rsidRPr="00564922">
        <w:rPr>
          <w:rFonts w:cs="Arial"/>
          <w:rtl/>
        </w:rPr>
        <w:t xml:space="preserve"> (ע</w:t>
      </w:r>
      <w:r w:rsidR="007A3F7A">
        <w:rPr>
          <w:rFonts w:cs="Arial" w:hint="cs"/>
          <w:rtl/>
        </w:rPr>
        <w:t xml:space="preserve">"ז </w:t>
      </w:r>
      <w:r w:rsidRPr="00564922">
        <w:rPr>
          <w:rFonts w:cs="Arial"/>
          <w:rtl/>
        </w:rPr>
        <w:t>מט.)</w:t>
      </w:r>
      <w:r>
        <w:rPr>
          <w:rFonts w:cs="Arial" w:hint="cs"/>
          <w:rtl/>
        </w:rPr>
        <w:t xml:space="preserve"> </w:t>
      </w:r>
      <w:r w:rsidRPr="00B64061">
        <w:rPr>
          <w:rFonts w:cs="Arial"/>
          <w:rtl/>
        </w:rPr>
        <w:t>זה וזה גורם מותר</w:t>
      </w:r>
      <w:r w:rsidR="00D162EA">
        <w:rPr>
          <w:rFonts w:cs="Arial" w:hint="cs"/>
          <w:rtl/>
        </w:rPr>
        <w:t>.</w:t>
      </w:r>
      <w:r w:rsidRPr="00B64061">
        <w:rPr>
          <w:rFonts w:cs="Arial"/>
          <w:rtl/>
        </w:rPr>
        <w:t xml:space="preserve"> ואין לך זה וזה גורם גדול מזה דמסתמא נמלח בערב שבת</w:t>
      </w:r>
      <w:r w:rsidR="00D162EA">
        <w:rPr>
          <w:rFonts w:cs="Arial" w:hint="cs"/>
          <w:rtl/>
        </w:rPr>
        <w:t>,</w:t>
      </w:r>
      <w:r w:rsidRPr="00B64061">
        <w:rPr>
          <w:rFonts w:cs="Arial"/>
          <w:rtl/>
        </w:rPr>
        <w:t xml:space="preserve"> אבל לא נמלח כל צרכו</w:t>
      </w:r>
      <w:r w:rsidR="00D162EA">
        <w:rPr>
          <w:rFonts w:cs="Arial" w:hint="cs"/>
          <w:rtl/>
        </w:rPr>
        <w:t>.</w:t>
      </w:r>
      <w:r w:rsidRPr="00B64061">
        <w:rPr>
          <w:rFonts w:cs="Arial"/>
          <w:rtl/>
        </w:rPr>
        <w:t xml:space="preserve"> ומטעם דבר שיש לו מתירין אין נראה לאסרו</w:t>
      </w:r>
      <w:r w:rsidR="00D162EA">
        <w:rPr>
          <w:rFonts w:cs="Arial" w:hint="cs"/>
          <w:rtl/>
        </w:rPr>
        <w:t>,</w:t>
      </w:r>
      <w:r w:rsidRPr="00B64061">
        <w:rPr>
          <w:rFonts w:cs="Arial"/>
          <w:rtl/>
        </w:rPr>
        <w:t xml:space="preserve"> שהרי נתבטל קודם שנעשו איסור על ידי בישול</w:t>
      </w:r>
      <w:r w:rsidR="00D162EA">
        <w:rPr>
          <w:rFonts w:cs="Arial" w:hint="cs"/>
          <w:rtl/>
        </w:rPr>
        <w:t>,</w:t>
      </w:r>
      <w:r w:rsidRPr="00B64061">
        <w:rPr>
          <w:rFonts w:cs="Arial"/>
          <w:rtl/>
        </w:rPr>
        <w:t xml:space="preserve"> כרב נחמן דהוא בתרא דאמר צריך מילחא בישולא כבשרא דתורי ואפילו בכלי ראשון לא בשלה</w:t>
      </w:r>
      <w:r w:rsidR="00D162EA">
        <w:rPr>
          <w:rFonts w:cs="Arial" w:hint="cs"/>
          <w:rtl/>
        </w:rPr>
        <w:t>,</w:t>
      </w:r>
      <w:r w:rsidRPr="00B64061">
        <w:rPr>
          <w:rFonts w:cs="Arial"/>
          <w:rtl/>
        </w:rPr>
        <w:t xml:space="preserve"> ומשעה שנימוח נתבטל</w:t>
      </w:r>
      <w:r w:rsidR="00D162EA">
        <w:rPr>
          <w:rFonts w:cs="Arial" w:hint="cs"/>
          <w:rtl/>
        </w:rPr>
        <w:t>.</w:t>
      </w:r>
      <w:r w:rsidRPr="00B64061">
        <w:rPr>
          <w:rFonts w:cs="Arial"/>
          <w:rtl/>
        </w:rPr>
        <w:t xml:space="preserve"> ומלח שלנו מלח רכה היא ומתבטלת בקדרה כדאיתא בפרק משילין</w:t>
      </w:r>
      <w:r w:rsidR="00D162EA">
        <w:rPr>
          <w:rFonts w:cs="Arial" w:hint="cs"/>
          <w:rtl/>
        </w:rPr>
        <w:t>.</w:t>
      </w:r>
      <w:r w:rsidRPr="00B64061">
        <w:rPr>
          <w:rFonts w:cs="Arial"/>
          <w:rtl/>
        </w:rPr>
        <w:t xml:space="preserve"> ומה שכתבת מביטול איסור לכתחלה אינו ענין לכאן</w:t>
      </w:r>
      <w:r w:rsidR="00DA4EC4">
        <w:rPr>
          <w:rFonts w:cs="Arial" w:hint="cs"/>
          <w:rtl/>
        </w:rPr>
        <w:t>,</w:t>
      </w:r>
      <w:r w:rsidRPr="00B64061">
        <w:rPr>
          <w:rFonts w:cs="Arial"/>
          <w:rtl/>
        </w:rPr>
        <w:t xml:space="preserve"> שהרי קודם היה היתר ועל ידי תערובות אוסרו</w:t>
      </w:r>
      <w:r>
        <w:rPr>
          <w:rFonts w:hint="cs"/>
          <w:rtl/>
        </w:rPr>
        <w:t>.</w:t>
      </w:r>
      <w:r w:rsidR="00092C7A">
        <w:rPr>
          <w:rFonts w:hint="cs"/>
          <w:rtl/>
        </w:rPr>
        <w:t xml:space="preserve"> </w:t>
      </w:r>
      <w:r w:rsidR="00092C7A" w:rsidRPr="00092C7A">
        <w:rPr>
          <w:rFonts w:asciiTheme="minorBidi" w:hAnsiTheme="minorBidi" w:hint="cs"/>
          <w:color w:val="00B0F0"/>
          <w:rtl/>
        </w:rPr>
        <w:t>(וכ"</w:t>
      </w:r>
      <w:r w:rsidR="00092C7A">
        <w:rPr>
          <w:rFonts w:asciiTheme="minorBidi" w:hAnsiTheme="minorBidi" w:hint="cs"/>
          <w:color w:val="00B0F0"/>
          <w:rtl/>
        </w:rPr>
        <w:t>פ</w:t>
      </w:r>
      <w:r w:rsidR="00092C7A" w:rsidRPr="00092C7A">
        <w:rPr>
          <w:rFonts w:asciiTheme="minorBidi" w:hAnsiTheme="minorBidi" w:hint="cs"/>
          <w:color w:val="00B0F0"/>
          <w:rtl/>
        </w:rPr>
        <w:t xml:space="preserve"> הרמ"א)</w:t>
      </w:r>
    </w:p>
    <w:p w14:paraId="7DC6A666" w14:textId="44B2E5E9" w:rsidR="00564922" w:rsidRPr="00FC574E" w:rsidRDefault="00FC574E" w:rsidP="00564922">
      <w:pPr>
        <w:rPr>
          <w:rFonts w:cs="Arial"/>
          <w:u w:val="single"/>
          <w:rtl/>
        </w:rPr>
      </w:pPr>
      <w:r w:rsidRPr="00FC574E">
        <w:rPr>
          <w:rFonts w:cs="Arial" w:hint="cs"/>
          <w:u w:val="single"/>
          <w:rtl/>
        </w:rPr>
        <w:t>כלי ראשון שהועבר מע"ג האש והניחוהו מעט שיפיג רתיחתו - האם נחשב ככלי שני:</w:t>
      </w:r>
    </w:p>
    <w:p w14:paraId="28AFC13A" w14:textId="4ECBCB76" w:rsidR="00DD3262" w:rsidRDefault="00DD3262" w:rsidP="00FC574E">
      <w:pPr>
        <w:pStyle w:val="aa"/>
        <w:numPr>
          <w:ilvl w:val="0"/>
          <w:numId w:val="32"/>
        </w:numPr>
      </w:pPr>
      <w:r w:rsidRPr="00564922">
        <w:rPr>
          <w:rFonts w:cs="Arial"/>
          <w:rtl/>
        </w:rPr>
        <w:t>הג</w:t>
      </w:r>
      <w:r w:rsidR="005A26EB">
        <w:rPr>
          <w:rFonts w:cs="Arial" w:hint="cs"/>
          <w:rtl/>
        </w:rPr>
        <w:t>מ"ר</w:t>
      </w:r>
      <w:r w:rsidRPr="00564922">
        <w:rPr>
          <w:rFonts w:cs="Arial"/>
          <w:rtl/>
        </w:rPr>
        <w:t xml:space="preserve"> </w:t>
      </w:r>
      <w:r w:rsidRPr="005A26EB">
        <w:rPr>
          <w:rFonts w:cs="Arial"/>
          <w:sz w:val="16"/>
          <w:szCs w:val="16"/>
          <w:rtl/>
        </w:rPr>
        <w:t xml:space="preserve">(פ' כירה </w:t>
      </w:r>
      <w:r w:rsidR="005A26EB">
        <w:rPr>
          <w:rFonts w:cs="Arial" w:hint="cs"/>
          <w:sz w:val="16"/>
          <w:szCs w:val="16"/>
          <w:rtl/>
        </w:rPr>
        <w:t xml:space="preserve">סי' תנו, </w:t>
      </w:r>
      <w:r w:rsidR="005A26EB" w:rsidRPr="005A26EB">
        <w:rPr>
          <w:rFonts w:cs="Arial" w:hint="cs"/>
          <w:sz w:val="16"/>
          <w:szCs w:val="16"/>
          <w:rtl/>
        </w:rPr>
        <w:t>על דף מב.</w:t>
      </w:r>
      <w:r w:rsidRPr="005A26EB">
        <w:rPr>
          <w:rFonts w:cs="Arial"/>
          <w:sz w:val="16"/>
          <w:szCs w:val="16"/>
          <w:rtl/>
        </w:rPr>
        <w:t>)</w:t>
      </w:r>
      <w:r w:rsidR="005A26EB">
        <w:rPr>
          <w:rFonts w:cs="Arial" w:hint="cs"/>
          <w:rtl/>
        </w:rPr>
        <w:t xml:space="preserve">- </w:t>
      </w:r>
      <w:r w:rsidR="005A26EB" w:rsidRPr="005A26EB">
        <w:rPr>
          <w:rFonts w:cs="Arial"/>
          <w:rtl/>
        </w:rPr>
        <w:t>אבל באמבטי חמין לתוך צונן אין</w:t>
      </w:r>
      <w:r w:rsidR="005A26EB">
        <w:rPr>
          <w:rFonts w:cs="Arial" w:hint="cs"/>
          <w:rtl/>
        </w:rPr>
        <w:t>,</w:t>
      </w:r>
      <w:r w:rsidR="005A26EB" w:rsidRPr="005A26EB">
        <w:rPr>
          <w:rFonts w:cs="Arial"/>
          <w:rtl/>
        </w:rPr>
        <w:t xml:space="preserve"> צונן לתוך חמין לא</w:t>
      </w:r>
      <w:r w:rsidR="005A26EB">
        <w:rPr>
          <w:rFonts w:cs="Arial" w:hint="cs"/>
          <w:rtl/>
        </w:rPr>
        <w:t>.</w:t>
      </w:r>
      <w:r w:rsidR="005A26EB" w:rsidRPr="005A26EB">
        <w:rPr>
          <w:rFonts w:cs="Arial"/>
          <w:rtl/>
        </w:rPr>
        <w:t xml:space="preserve"> כתב ראבי"ה </w:t>
      </w:r>
      <w:r w:rsidR="005A26EB">
        <w:rPr>
          <w:rFonts w:cs="Arial" w:hint="cs"/>
          <w:sz w:val="16"/>
          <w:szCs w:val="16"/>
          <w:rtl/>
        </w:rPr>
        <w:t xml:space="preserve">(ח"א סי' רב) </w:t>
      </w:r>
      <w:r w:rsidR="005A26EB" w:rsidRPr="005A26EB">
        <w:rPr>
          <w:rFonts w:cs="Arial"/>
          <w:rtl/>
        </w:rPr>
        <w:t>ונראה בעיני דאפילו באמבטי לא אסר</w:t>
      </w:r>
      <w:r w:rsidR="00FC574E">
        <w:rPr>
          <w:rFonts w:cs="Arial" w:hint="cs"/>
          <w:rtl/>
        </w:rPr>
        <w:t>ו</w:t>
      </w:r>
      <w:r w:rsidR="005A26EB" w:rsidRPr="005A26EB">
        <w:rPr>
          <w:rFonts w:cs="Arial"/>
          <w:rtl/>
        </w:rPr>
        <w:t xml:space="preserve"> בית הלל אלא בעודו מונח במקומו על גבי האש, אבל אם סילקו מתוך האש אפילו צונן לתוך החמין שרי כדי הפשר</w:t>
      </w:r>
      <w:r w:rsidR="005A26EB">
        <w:rPr>
          <w:rFonts w:cs="Arial" w:hint="cs"/>
          <w:rtl/>
        </w:rPr>
        <w:t>.</w:t>
      </w:r>
      <w:r w:rsidR="005A26EB" w:rsidRPr="005A26EB">
        <w:rPr>
          <w:rFonts w:cs="Arial"/>
          <w:rtl/>
        </w:rPr>
        <w:t xml:space="preserve"> וקרוב בעיני הדבר שלא חילק התלמוד לגבי מיחם אלא כשנותן מים לתוכו מיד עם סילוקו מן האש אבל אם הניחו לעמוד כדי להפיג את רתיחתו הוה ליה ככלי שני</w:t>
      </w:r>
      <w:r w:rsidR="005A26EB">
        <w:rPr>
          <w:rFonts w:cs="Arial" w:hint="cs"/>
          <w:rtl/>
        </w:rPr>
        <w:t>,</w:t>
      </w:r>
      <w:r w:rsidR="005A26EB" w:rsidRPr="005A26EB">
        <w:rPr>
          <w:rFonts w:cs="Arial"/>
          <w:rtl/>
        </w:rPr>
        <w:t xml:space="preserve"> וכל כלי שני הפשרה מיקרי</w:t>
      </w:r>
      <w:r w:rsidR="005A26EB">
        <w:rPr>
          <w:rFonts w:cs="Arial" w:hint="cs"/>
          <w:rtl/>
        </w:rPr>
        <w:t>,</w:t>
      </w:r>
      <w:r w:rsidR="005A26EB" w:rsidRPr="005A26EB">
        <w:rPr>
          <w:rFonts w:cs="Arial"/>
          <w:rtl/>
        </w:rPr>
        <w:t xml:space="preserve"> והלשון מוכיח דקתני האילפס והקדרה שהעבירן </w:t>
      </w:r>
      <w:r w:rsidR="005A26EB" w:rsidRPr="00FC574E">
        <w:rPr>
          <w:rFonts w:cs="Arial"/>
          <w:b/>
          <w:bCs/>
          <w:rtl/>
        </w:rPr>
        <w:t>מרותחין</w:t>
      </w:r>
      <w:r w:rsidR="00FC574E">
        <w:rPr>
          <w:rStyle w:val="a9"/>
          <w:rFonts w:cs="Arial"/>
          <w:rtl/>
        </w:rPr>
        <w:footnoteReference w:id="2786"/>
      </w:r>
      <w:r w:rsidR="005A26EB">
        <w:rPr>
          <w:rFonts w:cs="Arial" w:hint="cs"/>
          <w:rtl/>
        </w:rPr>
        <w:t>.</w:t>
      </w:r>
    </w:p>
    <w:p w14:paraId="3C0960B3" w14:textId="7122F8E2" w:rsidR="00DA4EC4" w:rsidRPr="00DA4EC4" w:rsidRDefault="00DA4EC4" w:rsidP="00DA4EC4">
      <w:pPr>
        <w:rPr>
          <w:sz w:val="16"/>
          <w:szCs w:val="16"/>
          <w:rtl/>
        </w:rPr>
      </w:pPr>
      <w:r w:rsidRPr="00DA4EC4">
        <w:rPr>
          <w:rFonts w:hint="cs"/>
          <w:u w:val="single"/>
          <w:rtl/>
        </w:rPr>
        <w:t>מלח שבתהליך ייצורו מבשלים אותו:</w:t>
      </w:r>
      <w:r>
        <w:rPr>
          <w:rFonts w:hint="cs"/>
          <w:sz w:val="16"/>
          <w:szCs w:val="16"/>
          <w:rtl/>
        </w:rPr>
        <w:t xml:space="preserve"> (דרכ"מ אות ד)</w:t>
      </w:r>
    </w:p>
    <w:p w14:paraId="78DAA5E7" w14:textId="2EF99CC8" w:rsidR="00DA4EC4" w:rsidRDefault="00DA4EC4" w:rsidP="00FF2D21">
      <w:pPr>
        <w:pStyle w:val="aa"/>
        <w:numPr>
          <w:ilvl w:val="0"/>
          <w:numId w:val="152"/>
        </w:numPr>
      </w:pPr>
      <w:r w:rsidRPr="00DA4EC4">
        <w:rPr>
          <w:rFonts w:cs="Arial"/>
          <w:rtl/>
        </w:rPr>
        <w:t xml:space="preserve">מרדכי </w:t>
      </w:r>
      <w:r w:rsidRPr="00DA4EC4">
        <w:rPr>
          <w:rFonts w:cs="Arial"/>
          <w:sz w:val="16"/>
          <w:szCs w:val="16"/>
          <w:rtl/>
        </w:rPr>
        <w:t>(סי' שח)</w:t>
      </w:r>
      <w:r>
        <w:rPr>
          <w:rFonts w:cs="Arial" w:hint="cs"/>
          <w:rtl/>
        </w:rPr>
        <w:t>-</w:t>
      </w:r>
      <w:r w:rsidRPr="00DA4EC4">
        <w:rPr>
          <w:rFonts w:cs="Arial"/>
          <w:rtl/>
        </w:rPr>
        <w:t xml:space="preserve"> וה"ר דן אמר לי דממלח שלנו דמתקנין אותו ע"י בישול אין לחוש כדתניא </w:t>
      </w:r>
      <w:r>
        <w:rPr>
          <w:rFonts w:cs="Arial" w:hint="cs"/>
          <w:rtl/>
        </w:rPr>
        <w:t xml:space="preserve">(קמה:) </w:t>
      </w:r>
      <w:r w:rsidRPr="00DA4EC4">
        <w:rPr>
          <w:rFonts w:cs="Arial"/>
          <w:rtl/>
        </w:rPr>
        <w:t>כל שבא בחמין לפני השבת כו'</w:t>
      </w:r>
      <w:r w:rsidR="00DA395C">
        <w:rPr>
          <w:rStyle w:val="a9"/>
          <w:rFonts w:cs="Arial"/>
          <w:rtl/>
        </w:rPr>
        <w:footnoteReference w:id="2787"/>
      </w:r>
      <w:r>
        <w:rPr>
          <w:rFonts w:cs="Arial" w:hint="cs"/>
          <w:rtl/>
        </w:rPr>
        <w:t>.</w:t>
      </w:r>
      <w:r w:rsidRPr="00DA4EC4">
        <w:rPr>
          <w:rFonts w:cs="Arial"/>
          <w:rtl/>
        </w:rPr>
        <w:t xml:space="preserve"> ומ"מ המחמיר תע"ב שלא ליתן מלח אפילו בכלי שני כל זמן שהיד סולדת בו</w:t>
      </w:r>
      <w:r w:rsidR="00570C32">
        <w:rPr>
          <w:rFonts w:cs="Arial" w:hint="cs"/>
          <w:rtl/>
        </w:rPr>
        <w:t>,</w:t>
      </w:r>
      <w:r w:rsidRPr="00DA4EC4">
        <w:rPr>
          <w:rFonts w:cs="Arial"/>
          <w:rtl/>
        </w:rPr>
        <w:t xml:space="preserve"> הואיל ואיכא איסור דאורייתא בבישול</w:t>
      </w:r>
      <w:r>
        <w:rPr>
          <w:rFonts w:cs="Arial" w:hint="cs"/>
          <w:rtl/>
        </w:rPr>
        <w:t>.</w:t>
      </w:r>
    </w:p>
    <w:p w14:paraId="249947BF" w14:textId="5E69FE24" w:rsidR="006B64D0" w:rsidRPr="00570C32" w:rsidRDefault="00570C32" w:rsidP="006B64D0">
      <w:pPr>
        <w:rPr>
          <w:u w:val="single"/>
          <w:rtl/>
        </w:rPr>
      </w:pPr>
      <w:r w:rsidRPr="00570C32">
        <w:rPr>
          <w:rFonts w:hint="cs"/>
          <w:u w:val="single"/>
          <w:rtl/>
        </w:rPr>
        <w:t>מה ההבדל בין כלי ראשון לכלי שני:</w:t>
      </w:r>
    </w:p>
    <w:p w14:paraId="234789DD" w14:textId="3D413EB9" w:rsidR="00570C32" w:rsidRDefault="00ED6E2C" w:rsidP="00FF2D21">
      <w:pPr>
        <w:pStyle w:val="aa"/>
        <w:numPr>
          <w:ilvl w:val="0"/>
          <w:numId w:val="152"/>
        </w:numPr>
        <w:rPr>
          <w:rtl/>
        </w:rPr>
      </w:pPr>
      <w:r w:rsidRPr="00ED6E2C">
        <w:rPr>
          <w:rFonts w:cs="Arial" w:hint="cs"/>
          <w:rtl/>
        </w:rPr>
        <w:t>תוס'</w:t>
      </w:r>
      <w:r w:rsidRPr="00ED6E2C">
        <w:rPr>
          <w:rFonts w:cs="Arial" w:hint="cs"/>
          <w:sz w:val="16"/>
          <w:szCs w:val="16"/>
          <w:rtl/>
        </w:rPr>
        <w:t xml:space="preserve"> (מ: ד"ה </w:t>
      </w:r>
      <w:r w:rsidRPr="00ED6E2C">
        <w:rPr>
          <w:rFonts w:cs="Arial"/>
          <w:sz w:val="16"/>
          <w:szCs w:val="16"/>
          <w:rtl/>
        </w:rPr>
        <w:t>ושמע מינה כלי שני אינו מבשל</w:t>
      </w:r>
      <w:r w:rsidRPr="00ED6E2C">
        <w:rPr>
          <w:rFonts w:cs="Arial" w:hint="cs"/>
          <w:sz w:val="16"/>
          <w:szCs w:val="16"/>
          <w:rtl/>
        </w:rPr>
        <w:t>)</w:t>
      </w:r>
      <w:r w:rsidRPr="00ED6E2C">
        <w:rPr>
          <w:rFonts w:cs="Arial"/>
          <w:rtl/>
        </w:rPr>
        <w:t>- תימה מאי שנא כלי שני מכלי ראשון</w:t>
      </w:r>
      <w:r>
        <w:rPr>
          <w:rFonts w:cs="Arial" w:hint="cs"/>
          <w:rtl/>
        </w:rPr>
        <w:t>.</w:t>
      </w:r>
      <w:r w:rsidRPr="00ED6E2C">
        <w:rPr>
          <w:rFonts w:cs="Arial"/>
          <w:rtl/>
        </w:rPr>
        <w:t xml:space="preserve"> דאי יד סולדת</w:t>
      </w:r>
      <w:r>
        <w:rPr>
          <w:rFonts w:cs="Arial" w:hint="cs"/>
          <w:rtl/>
        </w:rPr>
        <w:t>,</w:t>
      </w:r>
      <w:r w:rsidRPr="00ED6E2C">
        <w:rPr>
          <w:rFonts w:cs="Arial"/>
          <w:rtl/>
        </w:rPr>
        <w:t xml:space="preserve"> אפי' כלי שני נמי</w:t>
      </w:r>
      <w:r>
        <w:rPr>
          <w:rFonts w:cs="Arial" w:hint="cs"/>
          <w:rtl/>
        </w:rPr>
        <w:t>.</w:t>
      </w:r>
      <w:r w:rsidRPr="00ED6E2C">
        <w:rPr>
          <w:rFonts w:cs="Arial"/>
          <w:rtl/>
        </w:rPr>
        <w:t xml:space="preserve"> ואי אין יד סולדת</w:t>
      </w:r>
      <w:r>
        <w:rPr>
          <w:rFonts w:cs="Arial" w:hint="cs"/>
          <w:rtl/>
        </w:rPr>
        <w:t>,</w:t>
      </w:r>
      <w:r w:rsidRPr="00ED6E2C">
        <w:rPr>
          <w:rFonts w:cs="Arial"/>
          <w:rtl/>
        </w:rPr>
        <w:t xml:space="preserve"> אפילו כלי ראשון נמי אינו מבשל</w:t>
      </w:r>
      <w:r>
        <w:rPr>
          <w:rFonts w:cs="Arial" w:hint="cs"/>
          <w:rtl/>
        </w:rPr>
        <w:t>.</w:t>
      </w:r>
      <w:r w:rsidRPr="00ED6E2C">
        <w:rPr>
          <w:rFonts w:cs="Arial"/>
          <w:rtl/>
        </w:rPr>
        <w:t xml:space="preserve"> ויש לומר לפי שכלי ראשון מתוך שעמד על האור דופנותיו חמין</w:t>
      </w:r>
      <w:r>
        <w:rPr>
          <w:rFonts w:cs="Arial" w:hint="cs"/>
          <w:rtl/>
        </w:rPr>
        <w:t>,</w:t>
      </w:r>
      <w:r w:rsidRPr="00ED6E2C">
        <w:rPr>
          <w:rFonts w:cs="Arial"/>
          <w:rtl/>
        </w:rPr>
        <w:t xml:space="preserve"> ומחזיק חומו זמן מרובה</w:t>
      </w:r>
      <w:r>
        <w:rPr>
          <w:rFonts w:cs="Arial" w:hint="cs"/>
          <w:rtl/>
        </w:rPr>
        <w:t>,</w:t>
      </w:r>
      <w:r w:rsidRPr="00ED6E2C">
        <w:rPr>
          <w:rFonts w:cs="Arial"/>
          <w:rtl/>
        </w:rPr>
        <w:t xml:space="preserve"> ולכך נתנו בו שיעור דכל זמן שהיד סולדת בו אסור</w:t>
      </w:r>
      <w:r>
        <w:rPr>
          <w:rFonts w:cs="Arial" w:hint="cs"/>
          <w:rtl/>
        </w:rPr>
        <w:t>.</w:t>
      </w:r>
      <w:r w:rsidRPr="00ED6E2C">
        <w:rPr>
          <w:rFonts w:cs="Arial"/>
          <w:rtl/>
        </w:rPr>
        <w:t xml:space="preserve"> אבל כלי שני אע</w:t>
      </w:r>
      <w:r>
        <w:rPr>
          <w:rFonts w:cs="Arial" w:hint="cs"/>
          <w:rtl/>
        </w:rPr>
        <w:t>"</w:t>
      </w:r>
      <w:r w:rsidRPr="00ED6E2C">
        <w:rPr>
          <w:rFonts w:cs="Arial"/>
          <w:rtl/>
        </w:rPr>
        <w:t>ג דיד סולדת בו מותר</w:t>
      </w:r>
      <w:r>
        <w:rPr>
          <w:rFonts w:cs="Arial" w:hint="cs"/>
          <w:rtl/>
        </w:rPr>
        <w:t>,</w:t>
      </w:r>
      <w:r w:rsidRPr="00ED6E2C">
        <w:rPr>
          <w:rFonts w:cs="Arial"/>
          <w:rtl/>
        </w:rPr>
        <w:t xml:space="preserve"> שאין דופנותיו חמין והולך ומתקרר.</w:t>
      </w:r>
    </w:p>
    <w:p w14:paraId="090E2E7A" w14:textId="58AEB667" w:rsidR="00570C32" w:rsidRPr="00570C32" w:rsidRDefault="00570C32" w:rsidP="006B64D0">
      <w:pPr>
        <w:rPr>
          <w:u w:val="single"/>
          <w:rtl/>
        </w:rPr>
      </w:pPr>
      <w:r w:rsidRPr="00570C32">
        <w:rPr>
          <w:rFonts w:hint="cs"/>
          <w:u w:val="single"/>
          <w:rtl/>
        </w:rPr>
        <w:t xml:space="preserve">קלי הבישול: </w:t>
      </w:r>
    </w:p>
    <w:p w14:paraId="41987F02" w14:textId="3CCD7DD4" w:rsidR="00570C32" w:rsidRDefault="00570C32" w:rsidP="00FF2D21">
      <w:pPr>
        <w:pStyle w:val="aa"/>
        <w:numPr>
          <w:ilvl w:val="0"/>
          <w:numId w:val="152"/>
        </w:numPr>
      </w:pPr>
      <w:r w:rsidRPr="00570C32">
        <w:rPr>
          <w:rFonts w:cs="Arial" w:hint="cs"/>
          <w:rtl/>
        </w:rPr>
        <w:t>ר"ן</w:t>
      </w:r>
      <w:r w:rsidRPr="00570C32">
        <w:rPr>
          <w:rFonts w:cs="Arial" w:hint="cs"/>
          <w:sz w:val="16"/>
          <w:szCs w:val="16"/>
          <w:rtl/>
        </w:rPr>
        <w:t xml:space="preserve"> (בחידו' מב: ד"ה גמרא)</w:t>
      </w:r>
      <w:r w:rsidRPr="00570C32">
        <w:rPr>
          <w:rFonts w:cs="Arial" w:hint="cs"/>
          <w:rtl/>
        </w:rPr>
        <w:t xml:space="preserve">- </w:t>
      </w:r>
      <w:r w:rsidRPr="00570C32">
        <w:rPr>
          <w:rFonts w:cs="Arial"/>
          <w:rtl/>
        </w:rPr>
        <w:t>ושמעינן מינה שאע"פ שכלי ראשון מבשל אין כל הדברים מתבשלים בו לאחר שהעבירוהו מעל גבי האור דדוקא דברים הקלים להתבשל כמים ושמן ותבלין וכיוצא בהן הוא שמתבשלין בו דהא במלח אסיקנא לקולא</w:t>
      </w:r>
      <w:r w:rsidR="00DA395C">
        <w:rPr>
          <w:rFonts w:cs="Arial" w:hint="cs"/>
          <w:rtl/>
        </w:rPr>
        <w:t>.</w:t>
      </w:r>
      <w:r w:rsidRPr="00570C32">
        <w:rPr>
          <w:rFonts w:cs="Arial"/>
          <w:rtl/>
        </w:rPr>
        <w:t xml:space="preserve"> ולפי שאין אנו בקיאים בטבעי הדברים </w:t>
      </w:r>
      <w:r w:rsidR="00DA395C">
        <w:rPr>
          <w:rFonts w:cs="Arial" w:hint="cs"/>
          <w:rtl/>
        </w:rPr>
        <w:t xml:space="preserve">- </w:t>
      </w:r>
      <w:r w:rsidRPr="00570C32">
        <w:rPr>
          <w:rFonts w:cs="Arial"/>
          <w:rtl/>
        </w:rPr>
        <w:t>אנו אוסרין לתת כל דבר לתוך כלי ראשון</w:t>
      </w:r>
      <w:r w:rsidRPr="00570C32">
        <w:rPr>
          <w:rFonts w:cs="Arial" w:hint="cs"/>
          <w:rtl/>
        </w:rPr>
        <w:t>.</w:t>
      </w:r>
    </w:p>
    <w:p w14:paraId="75E759E3" w14:textId="332E4BCF" w:rsidR="00595449" w:rsidRDefault="00595449" w:rsidP="00595449">
      <w:pPr>
        <w:rPr>
          <w:rFonts w:cs="Arial"/>
          <w:rtl/>
        </w:rPr>
      </w:pPr>
      <w:r w:rsidRPr="00595449">
        <w:rPr>
          <w:rFonts w:cs="Arial"/>
          <w:b/>
          <w:bCs/>
          <w:rtl/>
        </w:rPr>
        <w:t xml:space="preserve">ירושלמי </w:t>
      </w:r>
      <w:r w:rsidR="008F4442">
        <w:rPr>
          <w:rFonts w:cs="Arial" w:hint="cs"/>
          <w:b/>
          <w:bCs/>
          <w:rtl/>
        </w:rPr>
        <w:t>שבת</w:t>
      </w:r>
      <w:r w:rsidRPr="00595449">
        <w:rPr>
          <w:rFonts w:cs="Arial"/>
          <w:b/>
          <w:bCs/>
          <w:rtl/>
        </w:rPr>
        <w:t xml:space="preserve"> פ"</w:t>
      </w:r>
      <w:r w:rsidR="008F4442">
        <w:rPr>
          <w:rFonts w:cs="Arial" w:hint="cs"/>
          <w:b/>
          <w:bCs/>
          <w:rtl/>
        </w:rPr>
        <w:t>ג</w:t>
      </w:r>
      <w:r w:rsidRPr="00595449">
        <w:rPr>
          <w:rFonts w:cs="Arial"/>
          <w:b/>
          <w:bCs/>
          <w:rtl/>
        </w:rPr>
        <w:t xml:space="preserve"> ה"ד</w:t>
      </w:r>
      <w:r w:rsidRPr="00595449">
        <w:rPr>
          <w:rFonts w:cs="Arial" w:hint="cs"/>
          <w:b/>
          <w:bCs/>
          <w:rtl/>
        </w:rPr>
        <w:t>:</w:t>
      </w:r>
      <w:r w:rsidRPr="00595449">
        <w:rPr>
          <w:rFonts w:cs="Arial"/>
          <w:rtl/>
        </w:rPr>
        <w:t xml:space="preserve"> </w:t>
      </w:r>
      <w:r w:rsidR="008F4442" w:rsidRPr="008F4442">
        <w:rPr>
          <w:rFonts w:cs="Arial"/>
          <w:rtl/>
        </w:rPr>
        <w:t>הכל מודין בכלי שני שהוא מותר</w:t>
      </w:r>
      <w:r w:rsidR="008F4442">
        <w:rPr>
          <w:rFonts w:cs="Arial" w:hint="cs"/>
          <w:rtl/>
        </w:rPr>
        <w:t>.</w:t>
      </w:r>
      <w:r w:rsidR="008F4442" w:rsidRPr="008F4442">
        <w:rPr>
          <w:rFonts w:cs="Arial"/>
          <w:rtl/>
        </w:rPr>
        <w:t xml:space="preserve"> </w:t>
      </w:r>
      <w:r w:rsidRPr="00595449">
        <w:rPr>
          <w:rFonts w:cs="Arial"/>
          <w:rtl/>
        </w:rPr>
        <w:t>מה בין כלי ראשון מה בין כלי שני</w:t>
      </w:r>
      <w:r w:rsidRPr="00595449">
        <w:rPr>
          <w:rFonts w:cs="Arial" w:hint="cs"/>
          <w:rtl/>
        </w:rPr>
        <w:t>?</w:t>
      </w:r>
      <w:r w:rsidRPr="00595449">
        <w:rPr>
          <w:rFonts w:cs="Arial"/>
          <w:rtl/>
        </w:rPr>
        <w:t xml:space="preserve"> </w:t>
      </w:r>
      <w:r w:rsidRPr="00595449">
        <w:rPr>
          <w:rFonts w:cs="Arial"/>
          <w:u w:val="single"/>
          <w:rtl/>
        </w:rPr>
        <w:t>אמר רבי יוסי</w:t>
      </w:r>
      <w:r w:rsidRPr="00595449">
        <w:rPr>
          <w:rFonts w:cs="Arial" w:hint="cs"/>
          <w:rtl/>
        </w:rPr>
        <w:t>:</w:t>
      </w:r>
      <w:r w:rsidRPr="00595449">
        <w:rPr>
          <w:rFonts w:cs="Arial"/>
          <w:rtl/>
        </w:rPr>
        <w:t xml:space="preserve"> כאן היד שולטת</w:t>
      </w:r>
      <w:r w:rsidRPr="00595449">
        <w:rPr>
          <w:rFonts w:cs="Arial" w:hint="cs"/>
          <w:rtl/>
        </w:rPr>
        <w:t>,</w:t>
      </w:r>
      <w:r w:rsidRPr="00595449">
        <w:rPr>
          <w:rFonts w:cs="Arial"/>
          <w:rtl/>
        </w:rPr>
        <w:t xml:space="preserve"> וכאן אין היד שולטת. </w:t>
      </w:r>
      <w:r w:rsidRPr="00595449">
        <w:rPr>
          <w:rFonts w:cs="Arial"/>
          <w:u w:val="single"/>
          <w:rtl/>
        </w:rPr>
        <w:t>אמר רבי יונה</w:t>
      </w:r>
      <w:r w:rsidRPr="00595449">
        <w:rPr>
          <w:rFonts w:cs="Arial" w:hint="cs"/>
          <w:rtl/>
        </w:rPr>
        <w:t>:</w:t>
      </w:r>
      <w:r w:rsidRPr="00595449">
        <w:rPr>
          <w:rFonts w:cs="Arial"/>
          <w:rtl/>
        </w:rPr>
        <w:t xml:space="preserve"> כאן וכאן אין היד שולטת</w:t>
      </w:r>
      <w:r w:rsidRPr="00595449">
        <w:rPr>
          <w:rFonts w:cs="Arial" w:hint="cs"/>
          <w:rtl/>
        </w:rPr>
        <w:t>,</w:t>
      </w:r>
      <w:r w:rsidRPr="00595449">
        <w:rPr>
          <w:rFonts w:cs="Arial"/>
          <w:rtl/>
        </w:rPr>
        <w:t xml:space="preserve"> אלא עשו הרחק לכלי ראשון</w:t>
      </w:r>
      <w:r w:rsidRPr="00595449">
        <w:rPr>
          <w:rFonts w:cs="Arial" w:hint="cs"/>
          <w:rtl/>
        </w:rPr>
        <w:t>,</w:t>
      </w:r>
      <w:r w:rsidRPr="00595449">
        <w:rPr>
          <w:rFonts w:cs="Arial"/>
          <w:rtl/>
        </w:rPr>
        <w:t xml:space="preserve"> ולא עשו הרחק לכלי שני. </w:t>
      </w:r>
      <w:r w:rsidRPr="00595449">
        <w:rPr>
          <w:rFonts w:hint="cs"/>
          <w:sz w:val="16"/>
          <w:szCs w:val="16"/>
          <w:rtl/>
        </w:rPr>
        <w:t xml:space="preserve">(והביאוהו </w:t>
      </w:r>
      <w:r w:rsidR="00BA1075">
        <w:rPr>
          <w:rFonts w:hint="cs"/>
          <w:sz w:val="16"/>
          <w:szCs w:val="16"/>
          <w:rtl/>
        </w:rPr>
        <w:t xml:space="preserve">הרמב"ן (ע"ז עד:) </w:t>
      </w:r>
      <w:r w:rsidRPr="00595449">
        <w:rPr>
          <w:rFonts w:hint="cs"/>
          <w:sz w:val="16"/>
          <w:szCs w:val="16"/>
          <w:rtl/>
        </w:rPr>
        <w:t xml:space="preserve">הסמ"ג (לאוין סה) </w:t>
      </w:r>
      <w:r w:rsidR="00CB283B">
        <w:rPr>
          <w:rFonts w:hint="cs"/>
          <w:sz w:val="16"/>
          <w:szCs w:val="16"/>
          <w:rtl/>
        </w:rPr>
        <w:t>ו</w:t>
      </w:r>
      <w:r w:rsidRPr="00595449">
        <w:rPr>
          <w:rFonts w:hint="cs"/>
          <w:sz w:val="16"/>
          <w:szCs w:val="16"/>
          <w:rtl/>
        </w:rPr>
        <w:t>הרשב"א (ע"ז עד:)</w:t>
      </w:r>
      <w:r w:rsidR="00626E00">
        <w:rPr>
          <w:rFonts w:hint="cs"/>
          <w:sz w:val="16"/>
          <w:szCs w:val="16"/>
          <w:rtl/>
        </w:rPr>
        <w:t>,</w:t>
      </w:r>
      <w:r w:rsidRPr="00595449">
        <w:rPr>
          <w:rFonts w:hint="cs"/>
          <w:sz w:val="16"/>
          <w:szCs w:val="16"/>
          <w:rtl/>
        </w:rPr>
        <w:t xml:space="preserve"> וכתב</w:t>
      </w:r>
      <w:r w:rsidR="006B766D">
        <w:rPr>
          <w:rFonts w:hint="cs"/>
          <w:sz w:val="16"/>
          <w:szCs w:val="16"/>
          <w:rtl/>
        </w:rPr>
        <w:t>ו הרמב"ן</w:t>
      </w:r>
      <w:r w:rsidR="00626E00">
        <w:rPr>
          <w:rFonts w:hint="cs"/>
          <w:sz w:val="16"/>
          <w:szCs w:val="16"/>
          <w:rtl/>
        </w:rPr>
        <w:t xml:space="preserve"> </w:t>
      </w:r>
      <w:r w:rsidR="006B766D">
        <w:rPr>
          <w:rFonts w:hint="cs"/>
          <w:sz w:val="16"/>
          <w:szCs w:val="16"/>
          <w:rtl/>
        </w:rPr>
        <w:t>ו</w:t>
      </w:r>
      <w:r w:rsidR="00626E00">
        <w:rPr>
          <w:rFonts w:hint="cs"/>
          <w:sz w:val="16"/>
          <w:szCs w:val="16"/>
          <w:rtl/>
        </w:rPr>
        <w:t>הרשב"א</w:t>
      </w:r>
      <w:r w:rsidRPr="00595449">
        <w:rPr>
          <w:rFonts w:hint="cs"/>
          <w:sz w:val="16"/>
          <w:szCs w:val="16"/>
          <w:rtl/>
        </w:rPr>
        <w:t xml:space="preserve"> ד</w:t>
      </w:r>
      <w:r w:rsidRPr="00595449">
        <w:rPr>
          <w:rFonts w:cs="Arial"/>
          <w:sz w:val="16"/>
          <w:szCs w:val="16"/>
          <w:rtl/>
        </w:rPr>
        <w:t>ש"מ הרחקה דדבריהם היא</w:t>
      </w:r>
      <w:r w:rsidRPr="00595449">
        <w:rPr>
          <w:rFonts w:hint="cs"/>
          <w:sz w:val="16"/>
          <w:szCs w:val="16"/>
          <w:rtl/>
        </w:rPr>
        <w:t>. וכ"פ בספר הנייר (ב. הל' שבת ד"ה האופה). וצל"ע מדוע הב"י לא הביא את דברי הירושלמי שהרי ראה את תחילת דברי הסמ"ג, שהרי הביאו בסע' ה)</w:t>
      </w:r>
    </w:p>
    <w:p w14:paraId="373BC0ED" w14:textId="2BF46B63" w:rsidR="0092276F" w:rsidRPr="00CB283B" w:rsidRDefault="0092276F" w:rsidP="00595449">
      <w:pPr>
        <w:rPr>
          <w:rFonts w:cs="Arial"/>
          <w:sz w:val="16"/>
          <w:szCs w:val="16"/>
          <w:rtl/>
        </w:rPr>
      </w:pPr>
      <w:r w:rsidRPr="00595449">
        <w:rPr>
          <w:rFonts w:cs="Arial"/>
          <w:b/>
          <w:bCs/>
          <w:rtl/>
        </w:rPr>
        <w:t xml:space="preserve">ירושלמי </w:t>
      </w:r>
      <w:r>
        <w:rPr>
          <w:rFonts w:cs="Arial" w:hint="cs"/>
          <w:b/>
          <w:bCs/>
          <w:rtl/>
        </w:rPr>
        <w:t>שבת</w:t>
      </w:r>
      <w:r w:rsidRPr="00595449">
        <w:rPr>
          <w:rFonts w:cs="Arial"/>
          <w:b/>
          <w:bCs/>
          <w:rtl/>
        </w:rPr>
        <w:t xml:space="preserve"> פ"</w:t>
      </w:r>
      <w:r>
        <w:rPr>
          <w:rFonts w:cs="Arial" w:hint="cs"/>
          <w:b/>
          <w:bCs/>
          <w:rtl/>
        </w:rPr>
        <w:t>ג</w:t>
      </w:r>
      <w:r w:rsidRPr="00595449">
        <w:rPr>
          <w:rFonts w:cs="Arial"/>
          <w:b/>
          <w:bCs/>
          <w:rtl/>
        </w:rPr>
        <w:t xml:space="preserve"> ה"</w:t>
      </w:r>
      <w:r>
        <w:rPr>
          <w:rFonts w:cs="Arial" w:hint="cs"/>
          <w:b/>
          <w:bCs/>
          <w:rtl/>
        </w:rPr>
        <w:t>ה</w:t>
      </w:r>
      <w:r w:rsidRPr="00595449">
        <w:rPr>
          <w:rFonts w:cs="Arial" w:hint="cs"/>
          <w:b/>
          <w:bCs/>
          <w:rtl/>
        </w:rPr>
        <w:t>:</w:t>
      </w:r>
      <w:r>
        <w:rPr>
          <w:rFonts w:cs="Arial" w:hint="cs"/>
          <w:rtl/>
        </w:rPr>
        <w:t xml:space="preserve"> </w:t>
      </w:r>
      <w:r w:rsidRPr="0092276F">
        <w:rPr>
          <w:rFonts w:cs="Arial"/>
          <w:rtl/>
        </w:rPr>
        <w:t>מהו לערות מן הקילוח</w:t>
      </w:r>
      <w:r w:rsidR="008F4442">
        <w:rPr>
          <w:rFonts w:cs="Arial" w:hint="cs"/>
          <w:rtl/>
        </w:rPr>
        <w:t>?</w:t>
      </w:r>
      <w:r w:rsidRPr="0092276F">
        <w:rPr>
          <w:rFonts w:cs="Arial"/>
          <w:rtl/>
        </w:rPr>
        <w:t xml:space="preserve"> </w:t>
      </w:r>
      <w:r w:rsidRPr="008F4442">
        <w:rPr>
          <w:rFonts w:cs="Arial"/>
          <w:u w:val="single"/>
          <w:rtl/>
        </w:rPr>
        <w:t>א"ר חנניה בריה דר' הלל</w:t>
      </w:r>
      <w:r w:rsidR="008F4442">
        <w:rPr>
          <w:rFonts w:cs="Arial" w:hint="cs"/>
          <w:rtl/>
        </w:rPr>
        <w:t>:</w:t>
      </w:r>
      <w:r w:rsidRPr="0092276F">
        <w:rPr>
          <w:rFonts w:cs="Arial"/>
          <w:rtl/>
        </w:rPr>
        <w:t xml:space="preserve"> מחלוקת רבי יונה ור' יוסי. </w:t>
      </w:r>
      <w:r w:rsidRPr="008F4442">
        <w:rPr>
          <w:rFonts w:cs="Arial"/>
          <w:u w:val="single"/>
          <w:rtl/>
        </w:rPr>
        <w:t>רבי יצחק בר גופתא בעא קומי רבי מנא</w:t>
      </w:r>
      <w:r w:rsidR="008F4442">
        <w:rPr>
          <w:rFonts w:cs="Arial" w:hint="cs"/>
          <w:rtl/>
        </w:rPr>
        <w:t>:</w:t>
      </w:r>
      <w:r w:rsidRPr="0092276F">
        <w:rPr>
          <w:rFonts w:cs="Arial"/>
          <w:rtl/>
        </w:rPr>
        <w:t xml:space="preserve"> עשה כן בשבת חייב משום מבשל</w:t>
      </w:r>
      <w:r w:rsidR="008F4442">
        <w:rPr>
          <w:rFonts w:cs="Arial" w:hint="cs"/>
          <w:rtl/>
        </w:rPr>
        <w:t>?</w:t>
      </w:r>
      <w:r w:rsidRPr="0092276F">
        <w:rPr>
          <w:rFonts w:cs="Arial"/>
          <w:rtl/>
        </w:rPr>
        <w:t xml:space="preserve"> עשה כן בבשר וחלב חייב משום מבשל</w:t>
      </w:r>
      <w:r w:rsidR="008F4442">
        <w:rPr>
          <w:rFonts w:cs="Arial" w:hint="cs"/>
          <w:rtl/>
        </w:rPr>
        <w:t>?</w:t>
      </w:r>
      <w:r w:rsidRPr="0092276F">
        <w:rPr>
          <w:rFonts w:cs="Arial"/>
          <w:rtl/>
        </w:rPr>
        <w:t xml:space="preserve"> </w:t>
      </w:r>
      <w:r w:rsidRPr="008F4442">
        <w:rPr>
          <w:rFonts w:cs="Arial"/>
          <w:u w:val="single"/>
          <w:rtl/>
        </w:rPr>
        <w:t>א"ל</w:t>
      </w:r>
      <w:r w:rsidR="008F4442">
        <w:rPr>
          <w:rFonts w:cs="Arial" w:hint="cs"/>
          <w:rtl/>
        </w:rPr>
        <w:t>:</w:t>
      </w:r>
      <w:r w:rsidRPr="0092276F">
        <w:rPr>
          <w:rFonts w:cs="Arial"/>
          <w:rtl/>
        </w:rPr>
        <w:t xml:space="preserve"> כיי דמר ר' זעירא ואי זהו חלוט</w:t>
      </w:r>
      <w:r w:rsidR="008F4442">
        <w:rPr>
          <w:rStyle w:val="a9"/>
          <w:rFonts w:cs="Arial"/>
          <w:rtl/>
        </w:rPr>
        <w:footnoteReference w:id="2788"/>
      </w:r>
      <w:r w:rsidRPr="0092276F">
        <w:rPr>
          <w:rFonts w:cs="Arial"/>
          <w:rtl/>
        </w:rPr>
        <w:t xml:space="preserve"> ברור</w:t>
      </w:r>
      <w:r w:rsidR="008F4442">
        <w:rPr>
          <w:rFonts w:cs="Arial" w:hint="cs"/>
          <w:rtl/>
        </w:rPr>
        <w:t xml:space="preserve"> -</w:t>
      </w:r>
      <w:r w:rsidRPr="0092276F">
        <w:rPr>
          <w:rFonts w:cs="Arial"/>
          <w:rtl/>
        </w:rPr>
        <w:t xml:space="preserve"> כל שהאור מהלך תחתיו. וכא איזהו תבשיל ברור </w:t>
      </w:r>
      <w:r w:rsidR="008F4442">
        <w:rPr>
          <w:rFonts w:cs="Arial" w:hint="cs"/>
          <w:rtl/>
        </w:rPr>
        <w:t xml:space="preserve">- </w:t>
      </w:r>
      <w:r w:rsidRPr="0092276F">
        <w:rPr>
          <w:rFonts w:cs="Arial"/>
          <w:rtl/>
        </w:rPr>
        <w:t>כל שהאור מהלך תחתיו.</w:t>
      </w:r>
      <w:r w:rsidR="00CB283B">
        <w:rPr>
          <w:rFonts w:cs="Arial" w:hint="cs"/>
          <w:sz w:val="16"/>
          <w:szCs w:val="16"/>
          <w:rtl/>
        </w:rPr>
        <w:t xml:space="preserve"> (</w:t>
      </w:r>
      <w:r w:rsidR="00A67E4F" w:rsidRPr="00595449">
        <w:rPr>
          <w:rFonts w:hint="cs"/>
          <w:sz w:val="16"/>
          <w:szCs w:val="16"/>
          <w:rtl/>
        </w:rPr>
        <w:t xml:space="preserve">והביאוהו </w:t>
      </w:r>
      <w:r w:rsidR="00A67E4F">
        <w:rPr>
          <w:rFonts w:hint="cs"/>
          <w:sz w:val="16"/>
          <w:szCs w:val="16"/>
          <w:rtl/>
        </w:rPr>
        <w:t>הרמב"ן (ע"ז עד:) ו</w:t>
      </w:r>
      <w:r w:rsidR="00A67E4F" w:rsidRPr="00595449">
        <w:rPr>
          <w:rFonts w:hint="cs"/>
          <w:sz w:val="16"/>
          <w:szCs w:val="16"/>
          <w:rtl/>
        </w:rPr>
        <w:t>הרשב"א (ע"ז עד:)</w:t>
      </w:r>
      <w:r w:rsidR="00CB283B">
        <w:rPr>
          <w:rFonts w:cs="Arial" w:hint="cs"/>
          <w:sz w:val="16"/>
          <w:szCs w:val="16"/>
          <w:rtl/>
        </w:rPr>
        <w:t>. אך הגר"א (יו"ד סי' קה סקי"ג) כתב דאע"ג</w:t>
      </w:r>
      <w:r w:rsidR="00CB283B" w:rsidRPr="00CB283B">
        <w:rPr>
          <w:rFonts w:cs="Arial"/>
          <w:sz w:val="16"/>
          <w:szCs w:val="16"/>
          <w:rtl/>
        </w:rPr>
        <w:t xml:space="preserve"> שבירושלמי הנ"ל אמרו כל שהאור מהלך תחתיו</w:t>
      </w:r>
      <w:r w:rsidR="00CB283B">
        <w:rPr>
          <w:rFonts w:cs="Arial" w:hint="cs"/>
          <w:sz w:val="16"/>
          <w:szCs w:val="16"/>
          <w:rtl/>
        </w:rPr>
        <w:t>,</w:t>
      </w:r>
      <w:r w:rsidR="00CB283B" w:rsidRPr="00CB283B">
        <w:rPr>
          <w:rFonts w:cs="Arial"/>
          <w:sz w:val="16"/>
          <w:szCs w:val="16"/>
          <w:rtl/>
        </w:rPr>
        <w:t xml:space="preserve"> ר</w:t>
      </w:r>
      <w:r w:rsidR="00CB283B">
        <w:rPr>
          <w:rFonts w:cs="Arial" w:hint="cs"/>
          <w:sz w:val="16"/>
          <w:szCs w:val="16"/>
          <w:rtl/>
        </w:rPr>
        <w:t>צונם לומר</w:t>
      </w:r>
      <w:r w:rsidR="00CB283B" w:rsidRPr="00CB283B">
        <w:rPr>
          <w:rFonts w:cs="Arial"/>
          <w:sz w:val="16"/>
          <w:szCs w:val="16"/>
          <w:rtl/>
        </w:rPr>
        <w:t xml:space="preserve"> </w:t>
      </w:r>
      <w:r w:rsidR="00CB283B">
        <w:rPr>
          <w:rFonts w:cs="Arial" w:hint="cs"/>
          <w:sz w:val="16"/>
          <w:szCs w:val="16"/>
          <w:rtl/>
        </w:rPr>
        <w:t xml:space="preserve">- </w:t>
      </w:r>
      <w:r w:rsidR="00CB283B" w:rsidRPr="00CB283B">
        <w:rPr>
          <w:rFonts w:cs="Arial"/>
          <w:sz w:val="16"/>
          <w:szCs w:val="16"/>
          <w:rtl/>
        </w:rPr>
        <w:t>בכלי שהיה האור מהלך תחתיו (דלא כהרמב"ן בסוף ע"ז שנדחק בפ' הירושלמי) וכן בחולין ק</w:t>
      </w:r>
      <w:r w:rsidR="00CB283B">
        <w:rPr>
          <w:rFonts w:cs="Arial" w:hint="cs"/>
          <w:sz w:val="16"/>
          <w:szCs w:val="16"/>
          <w:rtl/>
        </w:rPr>
        <w:t>ד ע"ב</w:t>
      </w:r>
      <w:r w:rsidR="00CB283B" w:rsidRPr="00CB283B">
        <w:rPr>
          <w:rFonts w:cs="Arial"/>
          <w:sz w:val="16"/>
          <w:szCs w:val="16"/>
          <w:rtl/>
        </w:rPr>
        <w:t xml:space="preserve"> שמא יעלה באלפס ראשון</w:t>
      </w:r>
      <w:r w:rsidR="00CB283B">
        <w:rPr>
          <w:rFonts w:cs="Arial" w:hint="cs"/>
          <w:sz w:val="16"/>
          <w:szCs w:val="16"/>
          <w:rtl/>
        </w:rPr>
        <w:t>. עכ"ל הגר"א.</w:t>
      </w:r>
      <w:r w:rsidR="00CB283B" w:rsidRPr="00CB283B">
        <w:rPr>
          <w:rFonts w:cs="Arial"/>
          <w:sz w:val="16"/>
          <w:szCs w:val="16"/>
          <w:rtl/>
        </w:rPr>
        <w:t xml:space="preserve"> </w:t>
      </w:r>
      <w:r w:rsidR="00CB283B">
        <w:rPr>
          <w:rFonts w:cs="Arial" w:hint="cs"/>
          <w:sz w:val="16"/>
          <w:szCs w:val="16"/>
          <w:rtl/>
        </w:rPr>
        <w:t>אך לא ידעתי כיצד יפרש הגר"א הא דאמרו בירושלמי (ה"ד) "עשו הרחק לכלי ראשון")</w:t>
      </w:r>
    </w:p>
    <w:p w14:paraId="363D1E83" w14:textId="73106795" w:rsidR="00BA1075" w:rsidRPr="00F56131" w:rsidRDefault="00BA1075" w:rsidP="00F56131">
      <w:pPr>
        <w:rPr>
          <w:rFonts w:cs="Arial"/>
          <w:sz w:val="16"/>
          <w:szCs w:val="16"/>
          <w:rtl/>
        </w:rPr>
      </w:pPr>
      <w:r w:rsidRPr="00BA1075">
        <w:rPr>
          <w:rFonts w:cs="Arial" w:hint="cs"/>
          <w:b/>
          <w:bCs/>
          <w:rtl/>
        </w:rPr>
        <w:t xml:space="preserve">חולין </w:t>
      </w:r>
      <w:r w:rsidR="006B554A">
        <w:rPr>
          <w:rFonts w:cs="Arial" w:hint="cs"/>
          <w:b/>
          <w:bCs/>
          <w:sz w:val="16"/>
          <w:szCs w:val="16"/>
          <w:rtl/>
        </w:rPr>
        <w:t xml:space="preserve">(פ' כל הבשר) </w:t>
      </w:r>
      <w:r w:rsidRPr="00BA1075">
        <w:rPr>
          <w:rFonts w:cs="Arial" w:hint="cs"/>
          <w:b/>
          <w:bCs/>
          <w:rtl/>
        </w:rPr>
        <w:t>קד ע"ב:</w:t>
      </w:r>
      <w:r>
        <w:rPr>
          <w:rFonts w:cs="Arial" w:hint="cs"/>
          <w:rtl/>
        </w:rPr>
        <w:t xml:space="preserve"> </w:t>
      </w:r>
      <w:r w:rsidRPr="00BA1075">
        <w:rPr>
          <w:rFonts w:cs="Arial"/>
          <w:rtl/>
        </w:rPr>
        <w:t xml:space="preserve">ומיכל בשר בחלב דאורייתא. </w:t>
      </w:r>
      <w:r w:rsidRPr="006B554A">
        <w:rPr>
          <w:rFonts w:cs="Arial"/>
          <w:u w:val="single"/>
          <w:rtl/>
        </w:rPr>
        <w:t>מתקיף לה רב ששת</w:t>
      </w:r>
      <w:r w:rsidRPr="00BA1075">
        <w:rPr>
          <w:rFonts w:cs="Arial"/>
          <w:rtl/>
        </w:rPr>
        <w:t xml:space="preserve">: סוף סוף, צונן בצונן הוא! </w:t>
      </w:r>
      <w:r w:rsidRPr="006B554A">
        <w:rPr>
          <w:rFonts w:cs="Arial"/>
          <w:u w:val="single"/>
          <w:rtl/>
        </w:rPr>
        <w:t>אמר אביי</w:t>
      </w:r>
      <w:r w:rsidRPr="00BA1075">
        <w:rPr>
          <w:rFonts w:cs="Arial"/>
          <w:rtl/>
        </w:rPr>
        <w:t>: גזירה שמא יעלה באילפס רותח, סוף סוף כלי שני הוא, וכלי שני אינו מבשל! אלא: גזירה שמא יעלה באילפס ראשון</w:t>
      </w:r>
      <w:r w:rsidR="00F343E6">
        <w:rPr>
          <w:rStyle w:val="a9"/>
          <w:rFonts w:cs="Arial"/>
          <w:rtl/>
        </w:rPr>
        <w:footnoteReference w:id="2789"/>
      </w:r>
      <w:r>
        <w:rPr>
          <w:rFonts w:cs="Arial" w:hint="cs"/>
          <w:rtl/>
        </w:rPr>
        <w:t>.</w:t>
      </w:r>
      <w:r w:rsidR="00F56131">
        <w:rPr>
          <w:rFonts w:cs="Arial" w:hint="cs"/>
          <w:sz w:val="16"/>
          <w:szCs w:val="16"/>
          <w:rtl/>
        </w:rPr>
        <w:t xml:space="preserve"> (ואפשר לומר שגם אם הגמ' התכוונה לאילפס שהעבירו מע"ג האש, עדיין אין איסור בישול לעניין שבת, שאם יש מדוע הגמ' לא הזכירה שחייב משום שתיים? </w:t>
      </w:r>
      <w:r w:rsidR="00F56131" w:rsidRPr="00F56131">
        <w:rPr>
          <w:rFonts w:cs="Arial"/>
          <w:sz w:val="16"/>
          <w:szCs w:val="16"/>
          <w:rtl/>
        </w:rPr>
        <w:t xml:space="preserve">ועי' צפנת פענח על הרמב"ם </w:t>
      </w:r>
      <w:r w:rsidR="00F56131">
        <w:rPr>
          <w:rFonts w:cs="Arial" w:hint="cs"/>
          <w:sz w:val="16"/>
          <w:szCs w:val="16"/>
          <w:rtl/>
        </w:rPr>
        <w:t>(</w:t>
      </w:r>
      <w:r w:rsidR="00F56131" w:rsidRPr="00F56131">
        <w:rPr>
          <w:rFonts w:cs="Arial"/>
          <w:sz w:val="16"/>
          <w:szCs w:val="16"/>
          <w:rtl/>
        </w:rPr>
        <w:t>מאכ"א פ"ט ה"א</w:t>
      </w:r>
      <w:r w:rsidR="00F56131">
        <w:rPr>
          <w:rFonts w:cs="Arial" w:hint="cs"/>
          <w:sz w:val="16"/>
          <w:szCs w:val="16"/>
          <w:rtl/>
        </w:rPr>
        <w:t>)</w:t>
      </w:r>
      <w:r w:rsidR="00F56131" w:rsidRPr="00F56131">
        <w:rPr>
          <w:rFonts w:cs="Arial"/>
          <w:sz w:val="16"/>
          <w:szCs w:val="16"/>
          <w:rtl/>
        </w:rPr>
        <w:t xml:space="preserve"> ש</w:t>
      </w:r>
      <w:r w:rsidR="00F56131">
        <w:rPr>
          <w:rFonts w:cs="Arial" w:hint="cs"/>
          <w:sz w:val="16"/>
          <w:szCs w:val="16"/>
          <w:rtl/>
        </w:rPr>
        <w:t>כתב</w:t>
      </w:r>
      <w:r w:rsidR="00F56131" w:rsidRPr="00F56131">
        <w:rPr>
          <w:rFonts w:cs="Arial"/>
          <w:sz w:val="16"/>
          <w:szCs w:val="16"/>
          <w:rtl/>
        </w:rPr>
        <w:t xml:space="preserve"> כן</w:t>
      </w:r>
      <w:r w:rsidR="00F56131">
        <w:rPr>
          <w:rFonts w:cs="Arial" w:hint="cs"/>
          <w:sz w:val="16"/>
          <w:szCs w:val="16"/>
          <w:rtl/>
        </w:rPr>
        <w:t>)</w:t>
      </w:r>
    </w:p>
    <w:p w14:paraId="3260F6FF" w14:textId="27C6C531" w:rsidR="00595449" w:rsidRPr="00595449" w:rsidRDefault="00595449" w:rsidP="00595449">
      <w:pPr>
        <w:rPr>
          <w:u w:val="single"/>
          <w:rtl/>
        </w:rPr>
      </w:pPr>
      <w:r w:rsidRPr="00595449">
        <w:rPr>
          <w:rFonts w:hint="cs"/>
          <w:u w:val="single"/>
          <w:rtl/>
        </w:rPr>
        <w:t>המבשל בכלי ראשון - האם הוי איסור דאורייתא או דרבנן:</w:t>
      </w:r>
    </w:p>
    <w:p w14:paraId="1191F6FF" w14:textId="12120745" w:rsidR="00595449" w:rsidRDefault="00F343E6" w:rsidP="00FF2D21">
      <w:pPr>
        <w:pStyle w:val="aa"/>
        <w:numPr>
          <w:ilvl w:val="0"/>
          <w:numId w:val="152"/>
        </w:numPr>
      </w:pPr>
      <w:r>
        <w:rPr>
          <w:rFonts w:hint="cs"/>
          <w:rtl/>
        </w:rPr>
        <w:t xml:space="preserve">רבינו גרשום </w:t>
      </w:r>
      <w:r>
        <w:rPr>
          <w:rFonts w:hint="cs"/>
          <w:sz w:val="16"/>
          <w:szCs w:val="16"/>
          <w:rtl/>
        </w:rPr>
        <w:t>(חולין קד</w:t>
      </w:r>
      <w:r w:rsidR="007F284E">
        <w:rPr>
          <w:rFonts w:hint="cs"/>
          <w:sz w:val="16"/>
          <w:szCs w:val="16"/>
          <w:rtl/>
        </w:rPr>
        <w:t>:)</w:t>
      </w:r>
      <w:r w:rsidR="007F284E">
        <w:rPr>
          <w:rFonts w:hint="cs"/>
          <w:rtl/>
        </w:rPr>
        <w:t xml:space="preserve"> </w:t>
      </w:r>
      <w:r w:rsidR="00BA1075">
        <w:rPr>
          <w:rFonts w:hint="cs"/>
          <w:rtl/>
        </w:rPr>
        <w:t>רמב"ן</w:t>
      </w:r>
      <w:r w:rsidR="00BA1075" w:rsidRPr="007F284E">
        <w:rPr>
          <w:rFonts w:hint="cs"/>
          <w:sz w:val="16"/>
          <w:szCs w:val="16"/>
          <w:rtl/>
        </w:rPr>
        <w:t xml:space="preserve"> (ע"ז עד: ד"ה ואע"פ)</w:t>
      </w:r>
      <w:r w:rsidR="00BA1075">
        <w:rPr>
          <w:rFonts w:hint="cs"/>
          <w:rtl/>
        </w:rPr>
        <w:t xml:space="preserve"> ורשב"א </w:t>
      </w:r>
      <w:r w:rsidR="00BA1075" w:rsidRPr="007F284E">
        <w:rPr>
          <w:rFonts w:hint="cs"/>
          <w:sz w:val="16"/>
          <w:szCs w:val="16"/>
          <w:rtl/>
        </w:rPr>
        <w:t>(ע"ז עד:)</w:t>
      </w:r>
      <w:r w:rsidR="007F284E">
        <w:rPr>
          <w:rStyle w:val="a9"/>
          <w:rtl/>
        </w:rPr>
        <w:footnoteReference w:id="2790"/>
      </w:r>
      <w:r w:rsidR="00BA1075">
        <w:rPr>
          <w:rFonts w:hint="cs"/>
          <w:rtl/>
        </w:rPr>
        <w:t xml:space="preserve">- </w:t>
      </w:r>
      <w:r w:rsidR="00BA1075" w:rsidRPr="007F284E">
        <w:rPr>
          <w:rFonts w:cs="Arial"/>
          <w:rtl/>
        </w:rPr>
        <w:t>למדנו לדברי הכל שאין בישול גמור אלא באור מהלך תחתיו, תדע דהא איתמר התם בדידן (שבת מב</w:t>
      </w:r>
      <w:r w:rsidR="00BA1075" w:rsidRPr="007F284E">
        <w:rPr>
          <w:rFonts w:cs="Arial" w:hint="cs"/>
          <w:rtl/>
        </w:rPr>
        <w:t>:</w:t>
      </w:r>
      <w:r w:rsidR="00BA1075" w:rsidRPr="007F284E">
        <w:rPr>
          <w:rFonts w:cs="Arial"/>
          <w:rtl/>
        </w:rPr>
        <w:t>) מלח אינה כתבלין ובכלי ראשון נמי לא בשלא, וה"ה לבשרא כדאיתמר עלה צריכא מילחא בשולא כבשרא דתורא, אלמא אין בישול ברור אלא באור מהלך תחתיו ואפי' לתבלין</w:t>
      </w:r>
      <w:r w:rsidR="00BA1075" w:rsidRPr="007F284E">
        <w:rPr>
          <w:rFonts w:cs="Arial" w:hint="cs"/>
          <w:rtl/>
        </w:rPr>
        <w:t>.</w:t>
      </w:r>
      <w:r w:rsidR="00BA1075" w:rsidRPr="007F284E">
        <w:rPr>
          <w:rFonts w:cs="Arial"/>
          <w:rtl/>
        </w:rPr>
        <w:t xml:space="preserve"> ולדברים הקשים בבשול אפי' לכתחילה מותר דלאו בישול הוא כלל</w:t>
      </w:r>
      <w:r w:rsidR="00BA1075" w:rsidRPr="007F284E">
        <w:rPr>
          <w:rFonts w:cs="Arial" w:hint="cs"/>
          <w:rtl/>
        </w:rPr>
        <w:t>.</w:t>
      </w:r>
      <w:r w:rsidR="00BA1075" w:rsidRPr="007F284E">
        <w:rPr>
          <w:rFonts w:cs="Arial"/>
          <w:rtl/>
        </w:rPr>
        <w:t xml:space="preserve"> ונראה שלא הוזכרו אלא בדבר הנאכל כמות שהוא חי</w:t>
      </w:r>
      <w:r w:rsidR="00BA1075" w:rsidRPr="007F284E">
        <w:rPr>
          <w:rFonts w:cs="Arial" w:hint="cs"/>
          <w:rtl/>
        </w:rPr>
        <w:t>,</w:t>
      </w:r>
      <w:r w:rsidR="00BA1075" w:rsidRPr="007F284E">
        <w:rPr>
          <w:rFonts w:cs="Arial"/>
          <w:rtl/>
        </w:rPr>
        <w:t xml:space="preserve"> כגון תבלין ומלח וכיוצא בהן, אבל דבר שאין נאכל כמות שהוא חי אין בו כלל משום בישול אלא באור מהלך תחתיו</w:t>
      </w:r>
      <w:r w:rsidR="00BA1075">
        <w:rPr>
          <w:rStyle w:val="a9"/>
          <w:rFonts w:cs="Arial"/>
          <w:rtl/>
        </w:rPr>
        <w:footnoteReference w:id="2791"/>
      </w:r>
      <w:r w:rsidR="00BA1075" w:rsidRPr="007F284E">
        <w:rPr>
          <w:rFonts w:cs="Arial" w:hint="cs"/>
          <w:sz w:val="16"/>
          <w:szCs w:val="16"/>
          <w:rtl/>
        </w:rPr>
        <w:t xml:space="preserve"> (ל' הרמב"ן)</w:t>
      </w:r>
      <w:r w:rsidR="00BA1075" w:rsidRPr="007F284E">
        <w:rPr>
          <w:rFonts w:cs="Arial"/>
          <w:rtl/>
        </w:rPr>
        <w:t>.</w:t>
      </w:r>
      <w:r w:rsidR="00D95F34">
        <w:rPr>
          <w:rFonts w:hint="cs"/>
          <w:rtl/>
        </w:rPr>
        <w:t xml:space="preserve"> (וכ"פ ערוה"ש</w:t>
      </w:r>
      <w:r w:rsidR="00D95F34" w:rsidRPr="007F284E">
        <w:rPr>
          <w:rFonts w:hint="cs"/>
          <w:sz w:val="16"/>
          <w:szCs w:val="16"/>
          <w:rtl/>
        </w:rPr>
        <w:t xml:space="preserve"> [ס"כ-כא]</w:t>
      </w:r>
      <w:r w:rsidR="00D95F34">
        <w:rPr>
          <w:rFonts w:hint="cs"/>
          <w:rtl/>
        </w:rPr>
        <w:t>)</w:t>
      </w:r>
    </w:p>
    <w:p w14:paraId="12B910E6" w14:textId="3601BBE2" w:rsidR="000B535E" w:rsidRPr="000B535E" w:rsidRDefault="00D95F34" w:rsidP="00FF2D21">
      <w:pPr>
        <w:pStyle w:val="aa"/>
        <w:numPr>
          <w:ilvl w:val="0"/>
          <w:numId w:val="152"/>
        </w:numPr>
      </w:pPr>
      <w:r>
        <w:rPr>
          <w:rFonts w:cs="Arial" w:hint="cs"/>
          <w:rtl/>
        </w:rPr>
        <w:t xml:space="preserve">ריטב"א </w:t>
      </w:r>
      <w:r>
        <w:rPr>
          <w:rFonts w:cs="Arial" w:hint="cs"/>
          <w:sz w:val="16"/>
          <w:szCs w:val="16"/>
          <w:rtl/>
        </w:rPr>
        <w:t>(חולין קד:)</w:t>
      </w:r>
      <w:r w:rsidR="00221632">
        <w:rPr>
          <w:rFonts w:cs="Arial" w:hint="cs"/>
          <w:rtl/>
        </w:rPr>
        <w:t xml:space="preserve"> מאירי</w:t>
      </w:r>
      <w:r w:rsidR="00221632">
        <w:rPr>
          <w:rStyle w:val="a9"/>
          <w:rFonts w:cs="Arial"/>
          <w:rtl/>
        </w:rPr>
        <w:footnoteReference w:id="2792"/>
      </w:r>
      <w:r w:rsidR="00221632">
        <w:rPr>
          <w:rFonts w:cs="Arial" w:hint="cs"/>
          <w:rtl/>
        </w:rPr>
        <w:t xml:space="preserve"> </w:t>
      </w:r>
      <w:r w:rsidR="00221632">
        <w:rPr>
          <w:rFonts w:cs="Arial" w:hint="cs"/>
          <w:sz w:val="16"/>
          <w:szCs w:val="16"/>
          <w:rtl/>
        </w:rPr>
        <w:t>(חולין קח.)</w:t>
      </w:r>
      <w:r w:rsidR="00221632">
        <w:rPr>
          <w:rFonts w:cs="Arial" w:hint="cs"/>
          <w:rtl/>
        </w:rPr>
        <w:t xml:space="preserve"> מהר"ם חלוואה</w:t>
      </w:r>
      <w:r w:rsidR="00221632">
        <w:rPr>
          <w:rFonts w:cs="Arial" w:hint="cs"/>
          <w:sz w:val="16"/>
          <w:szCs w:val="16"/>
          <w:rtl/>
        </w:rPr>
        <w:t xml:space="preserve"> (פסחים ל:)</w:t>
      </w:r>
      <w:r w:rsidR="000B535E">
        <w:rPr>
          <w:rFonts w:cs="Arial" w:hint="cs"/>
          <w:rtl/>
        </w:rPr>
        <w:t xml:space="preserve"> וטור</w:t>
      </w:r>
      <w:r w:rsidR="000B535E">
        <w:rPr>
          <w:rStyle w:val="a9"/>
          <w:rFonts w:cs="Arial"/>
          <w:rtl/>
        </w:rPr>
        <w:footnoteReference w:id="2793"/>
      </w:r>
      <w:r w:rsidR="000B535E">
        <w:rPr>
          <w:rFonts w:cs="Arial" w:hint="cs"/>
          <w:rtl/>
        </w:rPr>
        <w:t xml:space="preserve"> </w:t>
      </w:r>
      <w:r w:rsidR="000B535E" w:rsidRPr="000B535E">
        <w:rPr>
          <w:rFonts w:cs="Arial" w:hint="cs"/>
          <w:sz w:val="16"/>
          <w:szCs w:val="16"/>
          <w:rtl/>
        </w:rPr>
        <w:t>(סי' רנב)</w:t>
      </w:r>
      <w:r>
        <w:rPr>
          <w:rFonts w:cs="Arial" w:hint="cs"/>
          <w:rtl/>
        </w:rPr>
        <w:t xml:space="preserve">- </w:t>
      </w:r>
      <w:r w:rsidRPr="00D95F34">
        <w:rPr>
          <w:rFonts w:cs="Arial"/>
          <w:rtl/>
        </w:rPr>
        <w:t>המבשל ע"י מים רותחין שהוחמו באש כגון שהניח דבר המתבשל בתוך מים רותחין אף אחר שסילקן מהאש כל זמן שהיד סולדת בו הרי זה חייב. והוא שהוחמו המים על האש באותו כלי עצמו והוא הנקרא כלי ראשון</w:t>
      </w:r>
      <w:r>
        <w:rPr>
          <w:rFonts w:cs="Arial" w:hint="cs"/>
          <w:sz w:val="16"/>
          <w:szCs w:val="16"/>
          <w:rtl/>
        </w:rPr>
        <w:t xml:space="preserve"> (ל' האגלי טל)</w:t>
      </w:r>
      <w:r w:rsidRPr="00D95F34">
        <w:rPr>
          <w:rFonts w:cs="Arial"/>
          <w:rtl/>
        </w:rPr>
        <w:t>.</w:t>
      </w:r>
      <w:r>
        <w:rPr>
          <w:rFonts w:hint="cs"/>
          <w:rtl/>
        </w:rPr>
        <w:t xml:space="preserve"> (וכ"פ האגל"ט</w:t>
      </w:r>
      <w:r>
        <w:rPr>
          <w:rFonts w:hint="cs"/>
          <w:sz w:val="16"/>
          <w:szCs w:val="16"/>
          <w:rtl/>
        </w:rPr>
        <w:t xml:space="preserve"> [האופה אות יב]</w:t>
      </w:r>
      <w:r>
        <w:rPr>
          <w:rFonts w:hint="cs"/>
          <w:rtl/>
        </w:rPr>
        <w:t>)</w:t>
      </w:r>
    </w:p>
    <w:p w14:paraId="327ED8E9"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47542721" w14:textId="43C17F5F" w:rsidR="006A4BF8" w:rsidRPr="005275DF" w:rsidRDefault="006A4BF8" w:rsidP="00434A6A">
      <w:pPr>
        <w:tabs>
          <w:tab w:val="left" w:pos="2788"/>
        </w:tabs>
        <w:rPr>
          <w:rFonts w:asciiTheme="minorBidi" w:hAnsiTheme="minorBidi"/>
          <w:rtl/>
        </w:rPr>
      </w:pPr>
      <w:r w:rsidRPr="005275DF">
        <w:rPr>
          <w:rFonts w:asciiTheme="minorBidi" w:hAnsiTheme="minorBidi"/>
          <w:rtl/>
        </w:rPr>
        <w:t>כלי ראשון</w:t>
      </w:r>
      <w:r w:rsidR="00757740">
        <w:rPr>
          <w:rFonts w:asciiTheme="minorBidi" w:hAnsiTheme="minorBidi" w:hint="cs"/>
          <w:rtl/>
        </w:rPr>
        <w:t xml:space="preserve"> </w:t>
      </w:r>
      <w:r w:rsidRPr="005275DF">
        <w:rPr>
          <w:rFonts w:asciiTheme="minorBidi" w:hAnsiTheme="minorBidi"/>
          <w:rtl/>
        </w:rPr>
        <w:t>אפילו לאחר שהעבירוהו מעל האש</w:t>
      </w:r>
      <w:r w:rsidR="00ED6E2C">
        <w:rPr>
          <w:rFonts w:asciiTheme="minorBidi" w:hAnsiTheme="minorBidi" w:hint="cs"/>
          <w:rtl/>
        </w:rPr>
        <w:t>,</w:t>
      </w:r>
      <w:r w:rsidRPr="005275DF">
        <w:rPr>
          <w:rFonts w:asciiTheme="minorBidi" w:hAnsiTheme="minorBidi"/>
          <w:rtl/>
        </w:rPr>
        <w:t xml:space="preserve"> מבשל כל זמן שהיד סולדת בו. לפיכך אסור ליתן לתוכו תבלין</w:t>
      </w:r>
      <w:r w:rsidR="0074519C">
        <w:rPr>
          <w:rFonts w:asciiTheme="minorBidi" w:hAnsiTheme="minorBidi" w:hint="cs"/>
          <w:rtl/>
        </w:rPr>
        <w:t>.</w:t>
      </w:r>
      <w:r w:rsidRPr="005275DF">
        <w:rPr>
          <w:rFonts w:asciiTheme="minorBidi" w:hAnsiTheme="minorBidi"/>
          <w:rtl/>
        </w:rPr>
        <w:t xml:space="preserve"> אבל מלח מותר ליתן לתוכו כיון שהעבירו מעל האש, דצריכא מלחא בישולא כבשרא דתורא. ויש מי שאוסר לתת לתוך כלי זה בשר מלוח, אפילו הוא של שור.</w:t>
      </w:r>
      <w:r w:rsidRPr="005275DF">
        <w:rPr>
          <w:rFonts w:asciiTheme="minorBidi" w:hAnsiTheme="minorBidi"/>
          <w:sz w:val="18"/>
          <w:szCs w:val="18"/>
          <w:rtl/>
        </w:rPr>
        <w:t xml:space="preserve"> הגה: ונ"ל דבלא מלוח נמי אסור</w:t>
      </w:r>
      <w:r w:rsidR="007A3F7A">
        <w:rPr>
          <w:rFonts w:asciiTheme="minorBidi" w:hAnsiTheme="minorBidi" w:hint="cs"/>
          <w:sz w:val="18"/>
          <w:szCs w:val="18"/>
          <w:rtl/>
        </w:rPr>
        <w:t xml:space="preserve"> (טור)</w:t>
      </w:r>
      <w:r w:rsidRPr="005275DF">
        <w:rPr>
          <w:rFonts w:asciiTheme="minorBidi" w:hAnsiTheme="minorBidi"/>
          <w:sz w:val="18"/>
          <w:szCs w:val="18"/>
          <w:rtl/>
        </w:rPr>
        <w:t>, אלא דנקט מלוח דבלאו הכי אסור משום דם שבו</w:t>
      </w:r>
      <w:r w:rsidR="0074519C">
        <w:rPr>
          <w:rFonts w:asciiTheme="minorBidi" w:hAnsiTheme="minorBidi" w:hint="cs"/>
          <w:sz w:val="18"/>
          <w:szCs w:val="18"/>
          <w:rtl/>
        </w:rPr>
        <w:t xml:space="preserve"> (ד"ע)</w:t>
      </w:r>
      <w:r w:rsidRPr="005275DF">
        <w:rPr>
          <w:rFonts w:asciiTheme="minorBidi" w:hAnsiTheme="minorBidi"/>
          <w:sz w:val="18"/>
          <w:szCs w:val="18"/>
          <w:rtl/>
        </w:rPr>
        <w:t>. ויש אוסרים</w:t>
      </w:r>
      <w:r w:rsidR="0074519C">
        <w:rPr>
          <w:rStyle w:val="a9"/>
          <w:rFonts w:asciiTheme="minorBidi" w:hAnsiTheme="minorBidi"/>
          <w:sz w:val="18"/>
          <w:szCs w:val="18"/>
          <w:rtl/>
        </w:rPr>
        <w:footnoteReference w:id="2794"/>
      </w:r>
      <w:r w:rsidRPr="005275DF">
        <w:rPr>
          <w:rFonts w:asciiTheme="minorBidi" w:hAnsiTheme="minorBidi"/>
          <w:sz w:val="18"/>
          <w:szCs w:val="18"/>
          <w:rtl/>
        </w:rPr>
        <w:t xml:space="preserve"> לתת מלח אפילו בכלי שני כל זמן שהיד סולדת בו</w:t>
      </w:r>
      <w:r w:rsidR="007A3F7A">
        <w:rPr>
          <w:rFonts w:asciiTheme="minorBidi" w:hAnsiTheme="minorBidi" w:hint="cs"/>
          <w:sz w:val="18"/>
          <w:szCs w:val="18"/>
          <w:rtl/>
        </w:rPr>
        <w:t xml:space="preserve"> (</w:t>
      </w:r>
      <w:r w:rsidR="00D82290">
        <w:rPr>
          <w:rFonts w:asciiTheme="minorBidi" w:hAnsiTheme="minorBidi" w:hint="cs"/>
          <w:sz w:val="18"/>
          <w:szCs w:val="18"/>
          <w:rtl/>
        </w:rPr>
        <w:t>לישנא קמא בגמ'</w:t>
      </w:r>
      <w:r w:rsidR="007A3F7A">
        <w:rPr>
          <w:rFonts w:asciiTheme="minorBidi" w:hAnsiTheme="minorBidi" w:hint="cs"/>
          <w:sz w:val="18"/>
          <w:szCs w:val="18"/>
          <w:rtl/>
        </w:rPr>
        <w:t>).</w:t>
      </w:r>
      <w:r w:rsidRPr="005275DF">
        <w:rPr>
          <w:rFonts w:asciiTheme="minorBidi" w:hAnsiTheme="minorBidi"/>
          <w:sz w:val="18"/>
          <w:szCs w:val="18"/>
          <w:rtl/>
        </w:rPr>
        <w:t xml:space="preserve"> והמחמיר תע"ב</w:t>
      </w:r>
      <w:r w:rsidR="00570C32">
        <w:rPr>
          <w:rStyle w:val="a9"/>
          <w:rFonts w:asciiTheme="minorBidi" w:hAnsiTheme="minorBidi"/>
          <w:sz w:val="18"/>
          <w:szCs w:val="18"/>
          <w:rtl/>
        </w:rPr>
        <w:footnoteReference w:id="2795"/>
      </w:r>
      <w:r w:rsidRPr="005275DF">
        <w:rPr>
          <w:rFonts w:asciiTheme="minorBidi" w:hAnsiTheme="minorBidi"/>
          <w:sz w:val="18"/>
          <w:szCs w:val="18"/>
          <w:rtl/>
        </w:rPr>
        <w:t xml:space="preserve"> (תוס' ומרדכי). ואם עבר ונתן מלח, אפילו בכלי ראשון</w:t>
      </w:r>
      <w:r w:rsidR="00D82290">
        <w:rPr>
          <w:rFonts w:asciiTheme="minorBidi" w:hAnsiTheme="minorBidi" w:hint="cs"/>
          <w:sz w:val="18"/>
          <w:szCs w:val="18"/>
          <w:rtl/>
        </w:rPr>
        <w:t>,</w:t>
      </w:r>
      <w:r w:rsidRPr="005275DF">
        <w:rPr>
          <w:rFonts w:asciiTheme="minorBidi" w:hAnsiTheme="minorBidi"/>
          <w:sz w:val="18"/>
          <w:szCs w:val="18"/>
          <w:rtl/>
        </w:rPr>
        <w:t xml:space="preserve"> אפילו הוא על האש שעבד איסורא, מותר המאכל</w:t>
      </w:r>
      <w:r w:rsidR="0074519C">
        <w:rPr>
          <w:rFonts w:asciiTheme="minorBidi" w:hAnsiTheme="minorBidi" w:hint="cs"/>
          <w:sz w:val="18"/>
          <w:szCs w:val="18"/>
          <w:rtl/>
        </w:rPr>
        <w:t>,</w:t>
      </w:r>
      <w:r w:rsidRPr="005275DF">
        <w:rPr>
          <w:rFonts w:asciiTheme="minorBidi" w:hAnsiTheme="minorBidi"/>
          <w:sz w:val="18"/>
          <w:szCs w:val="18"/>
          <w:rtl/>
        </w:rPr>
        <w:t xml:space="preserve"> דהמלח בטל</w:t>
      </w:r>
      <w:r w:rsidRPr="005275DF">
        <w:rPr>
          <w:rStyle w:val="a9"/>
          <w:rFonts w:asciiTheme="minorBidi" w:hAnsiTheme="minorBidi"/>
          <w:sz w:val="18"/>
          <w:szCs w:val="18"/>
          <w:rtl/>
        </w:rPr>
        <w:footnoteReference w:id="2796"/>
      </w:r>
      <w:r w:rsidRPr="005275DF">
        <w:rPr>
          <w:rFonts w:asciiTheme="minorBidi" w:hAnsiTheme="minorBidi"/>
          <w:sz w:val="18"/>
          <w:szCs w:val="18"/>
          <w:rtl/>
        </w:rPr>
        <w:t xml:space="preserve"> על גבי המאכל</w:t>
      </w:r>
      <w:r w:rsidRPr="005275DF">
        <w:rPr>
          <w:rStyle w:val="a9"/>
          <w:rFonts w:asciiTheme="minorBidi" w:hAnsiTheme="minorBidi"/>
          <w:sz w:val="18"/>
          <w:szCs w:val="18"/>
          <w:rtl/>
        </w:rPr>
        <w:footnoteReference w:id="2797"/>
      </w:r>
      <w:r w:rsidRPr="005275DF">
        <w:rPr>
          <w:rFonts w:asciiTheme="minorBidi" w:hAnsiTheme="minorBidi"/>
          <w:sz w:val="18"/>
          <w:szCs w:val="18"/>
          <w:rtl/>
        </w:rPr>
        <w:t xml:space="preserve"> (שב</w:t>
      </w:r>
      <w:r w:rsidR="0074519C">
        <w:rPr>
          <w:rFonts w:asciiTheme="minorBidi" w:hAnsiTheme="minorBidi" w:hint="cs"/>
          <w:sz w:val="18"/>
          <w:szCs w:val="18"/>
          <w:rtl/>
        </w:rPr>
        <w:t>ה"ל</w:t>
      </w:r>
      <w:r w:rsidRPr="005275DF">
        <w:rPr>
          <w:rFonts w:asciiTheme="minorBidi" w:hAnsiTheme="minorBidi"/>
          <w:sz w:val="18"/>
          <w:szCs w:val="18"/>
          <w:rtl/>
        </w:rPr>
        <w:t xml:space="preserve">). </w:t>
      </w:r>
    </w:p>
    <w:p w14:paraId="026DF795" w14:textId="77777777" w:rsidR="006A4BF8" w:rsidRPr="005275DF" w:rsidRDefault="006A4BF8" w:rsidP="00434A6A">
      <w:pPr>
        <w:tabs>
          <w:tab w:val="left" w:pos="2788"/>
        </w:tabs>
        <w:rPr>
          <w:rFonts w:asciiTheme="minorBidi" w:hAnsiTheme="minorBidi"/>
          <w:rtl/>
        </w:rPr>
      </w:pPr>
    </w:p>
    <w:p w14:paraId="4FBFB365" w14:textId="71290994" w:rsidR="006A4BF8" w:rsidRDefault="006A4BF8" w:rsidP="00434A6A">
      <w:pPr>
        <w:pStyle w:val="2"/>
        <w:rPr>
          <w:rFonts w:asciiTheme="minorBidi" w:hAnsiTheme="minorBidi" w:cstheme="minorBidi"/>
          <w:rtl/>
        </w:rPr>
      </w:pPr>
      <w:r w:rsidRPr="005275DF">
        <w:rPr>
          <w:rFonts w:asciiTheme="minorBidi" w:hAnsiTheme="minorBidi" w:cstheme="minorBidi"/>
          <w:rtl/>
        </w:rPr>
        <w:t>סעיף י: עירוי מכלי ראשון.</w:t>
      </w:r>
    </w:p>
    <w:p w14:paraId="0852003D" w14:textId="7D129D5E" w:rsidR="006A4BF8" w:rsidRPr="005275DF" w:rsidRDefault="006A4BF8" w:rsidP="00434A6A">
      <w:pPr>
        <w:rPr>
          <w:rFonts w:asciiTheme="minorBidi" w:hAnsiTheme="minorBidi"/>
          <w:u w:val="single"/>
          <w:rtl/>
        </w:rPr>
      </w:pPr>
      <w:r w:rsidRPr="005275DF">
        <w:rPr>
          <w:rFonts w:asciiTheme="minorBidi" w:hAnsiTheme="minorBidi"/>
          <w:u w:val="single"/>
          <w:rtl/>
        </w:rPr>
        <w:t>עירוי מכלי ראשון:</w:t>
      </w:r>
    </w:p>
    <w:p w14:paraId="6F9B146D" w14:textId="203E3DFF" w:rsidR="00CC69D4" w:rsidRPr="00CC69D4" w:rsidRDefault="00CC69D4" w:rsidP="00FF2D21">
      <w:pPr>
        <w:pStyle w:val="aa"/>
        <w:numPr>
          <w:ilvl w:val="0"/>
          <w:numId w:val="34"/>
        </w:numPr>
        <w:rPr>
          <w:rFonts w:asciiTheme="minorBidi" w:hAnsiTheme="minorBidi"/>
        </w:rPr>
      </w:pPr>
      <w:r>
        <w:rPr>
          <w:rFonts w:asciiTheme="minorBidi" w:hAnsiTheme="minorBidi" w:cs="Arial" w:hint="cs"/>
          <w:rtl/>
        </w:rPr>
        <w:t>ר</w:t>
      </w:r>
      <w:r w:rsidR="00B6378D">
        <w:rPr>
          <w:rFonts w:asciiTheme="minorBidi" w:hAnsiTheme="minorBidi" w:cs="Arial" w:hint="cs"/>
          <w:rtl/>
        </w:rPr>
        <w:t xml:space="preserve">שב"ם </w:t>
      </w:r>
      <w:r w:rsidRPr="00CC69D4">
        <w:rPr>
          <w:rFonts w:asciiTheme="minorBidi" w:hAnsiTheme="minorBidi" w:cs="Arial" w:hint="cs"/>
          <w:sz w:val="16"/>
          <w:szCs w:val="16"/>
          <w:rtl/>
        </w:rPr>
        <w:t>(</w:t>
      </w:r>
      <w:r w:rsidR="00004068">
        <w:rPr>
          <w:rFonts w:asciiTheme="minorBidi" w:hAnsiTheme="minorBidi" w:cs="Arial" w:hint="cs"/>
          <w:sz w:val="16"/>
          <w:szCs w:val="16"/>
          <w:rtl/>
        </w:rPr>
        <w:t>ב</w:t>
      </w:r>
      <w:r w:rsidRPr="00CC69D4">
        <w:rPr>
          <w:rFonts w:asciiTheme="minorBidi" w:hAnsiTheme="minorBidi" w:cs="Arial" w:hint="cs"/>
          <w:sz w:val="16"/>
          <w:szCs w:val="16"/>
          <w:rtl/>
        </w:rPr>
        <w:t xml:space="preserve">תוס' </w:t>
      </w:r>
      <w:r w:rsidR="002013CC">
        <w:rPr>
          <w:rFonts w:asciiTheme="minorBidi" w:hAnsiTheme="minorBidi" w:cs="Arial" w:hint="cs"/>
          <w:sz w:val="16"/>
          <w:szCs w:val="16"/>
          <w:rtl/>
        </w:rPr>
        <w:t>[</w:t>
      </w:r>
      <w:r w:rsidRPr="00CC69D4">
        <w:rPr>
          <w:rFonts w:asciiTheme="minorBidi" w:hAnsiTheme="minorBidi" w:cs="Arial" w:hint="cs"/>
          <w:sz w:val="16"/>
          <w:szCs w:val="16"/>
          <w:rtl/>
        </w:rPr>
        <w:t xml:space="preserve">שבת מב: ד"ה </w:t>
      </w:r>
      <w:r w:rsidRPr="00CC69D4">
        <w:rPr>
          <w:rFonts w:asciiTheme="minorBidi" w:hAnsiTheme="minorBidi" w:cs="Arial"/>
          <w:sz w:val="16"/>
          <w:szCs w:val="16"/>
          <w:rtl/>
        </w:rPr>
        <w:t>אבל נותן</w:t>
      </w:r>
      <w:r w:rsidR="002013CC">
        <w:rPr>
          <w:rFonts w:asciiTheme="minorBidi" w:hAnsiTheme="minorBidi" w:cs="Arial" w:hint="cs"/>
          <w:sz w:val="16"/>
          <w:szCs w:val="16"/>
          <w:rtl/>
        </w:rPr>
        <w:t>]</w:t>
      </w:r>
      <w:r w:rsidRPr="00CC69D4">
        <w:rPr>
          <w:rFonts w:asciiTheme="minorBidi" w:hAnsiTheme="minorBidi" w:cs="Arial" w:hint="cs"/>
          <w:sz w:val="16"/>
          <w:szCs w:val="16"/>
          <w:rtl/>
        </w:rPr>
        <w:t>)</w:t>
      </w:r>
      <w:r w:rsidRPr="00CC69D4">
        <w:rPr>
          <w:rFonts w:asciiTheme="minorBidi" w:hAnsiTheme="minorBidi" w:cs="Arial"/>
          <w:rtl/>
        </w:rPr>
        <w:t>- עירוי ככלי שני</w:t>
      </w:r>
      <w:r w:rsidR="002013CC">
        <w:rPr>
          <w:rStyle w:val="a9"/>
          <w:rFonts w:asciiTheme="minorBidi" w:hAnsiTheme="minorBidi" w:cs="Arial"/>
          <w:rtl/>
        </w:rPr>
        <w:footnoteReference w:id="2798"/>
      </w:r>
      <w:r w:rsidR="00B6378D">
        <w:rPr>
          <w:rFonts w:asciiTheme="minorBidi" w:hAnsiTheme="minorBidi" w:cs="Arial" w:hint="cs"/>
          <w:sz w:val="16"/>
          <w:szCs w:val="16"/>
          <w:rtl/>
        </w:rPr>
        <w:t xml:space="preserve"> (ל' התוס' בשם רשב"ם)</w:t>
      </w:r>
      <w:r>
        <w:rPr>
          <w:rFonts w:asciiTheme="minorBidi" w:hAnsiTheme="minorBidi" w:cs="Arial" w:hint="cs"/>
          <w:rtl/>
        </w:rPr>
        <w:t>.</w:t>
      </w:r>
      <w:r w:rsidR="00B6378D">
        <w:rPr>
          <w:rFonts w:asciiTheme="minorBidi" w:hAnsiTheme="minorBidi" w:cs="Arial" w:hint="cs"/>
          <w:rtl/>
        </w:rPr>
        <w:t xml:space="preserve"> הילכך </w:t>
      </w:r>
      <w:r w:rsidR="00B6378D" w:rsidRPr="00DD3262">
        <w:rPr>
          <w:rFonts w:cs="Arial"/>
          <w:rtl/>
        </w:rPr>
        <w:t>לא מיתסר אלא ליתן התבלין לתוך הכלי ראשון</w:t>
      </w:r>
      <w:r w:rsidR="00B6378D">
        <w:rPr>
          <w:rFonts w:cs="Arial" w:hint="cs"/>
          <w:rtl/>
        </w:rPr>
        <w:t>,</w:t>
      </w:r>
      <w:r w:rsidR="00B6378D" w:rsidRPr="00DD3262">
        <w:rPr>
          <w:rFonts w:cs="Arial"/>
          <w:rtl/>
        </w:rPr>
        <w:t xml:space="preserve"> אבל מותר ליתן התבלין לתוך הקערה ולערות עליהם מכלי ראשון</w:t>
      </w:r>
      <w:r w:rsidR="00B6378D">
        <w:rPr>
          <w:rFonts w:cs="Arial" w:hint="cs"/>
          <w:rtl/>
        </w:rPr>
        <w:t>,</w:t>
      </w:r>
      <w:r w:rsidR="00B6378D" w:rsidRPr="00DD3262">
        <w:rPr>
          <w:rFonts w:cs="Arial"/>
          <w:rtl/>
        </w:rPr>
        <w:t xml:space="preserve"> דעירוי דכלי ראשון אינו ככלי ראשון</w:t>
      </w:r>
      <w:r w:rsidR="00A67E4F">
        <w:rPr>
          <w:rStyle w:val="a9"/>
          <w:rFonts w:cs="Arial"/>
          <w:rtl/>
        </w:rPr>
        <w:footnoteReference w:id="2799"/>
      </w:r>
      <w:r w:rsidR="00B6378D">
        <w:rPr>
          <w:rFonts w:asciiTheme="minorBidi" w:hAnsiTheme="minorBidi" w:hint="cs"/>
          <w:sz w:val="16"/>
          <w:szCs w:val="16"/>
          <w:rtl/>
        </w:rPr>
        <w:t xml:space="preserve"> (ל' הב"י)</w:t>
      </w:r>
      <w:r w:rsidR="00B6378D">
        <w:rPr>
          <w:rFonts w:asciiTheme="minorBidi" w:hAnsiTheme="minorBidi" w:hint="cs"/>
          <w:rtl/>
        </w:rPr>
        <w:t>.</w:t>
      </w:r>
    </w:p>
    <w:p w14:paraId="4C7415B9" w14:textId="56DCDDF7" w:rsidR="002013CC" w:rsidRPr="002013CC" w:rsidRDefault="00CC69D4" w:rsidP="00FF2D21">
      <w:pPr>
        <w:pStyle w:val="aa"/>
        <w:numPr>
          <w:ilvl w:val="0"/>
          <w:numId w:val="34"/>
        </w:numPr>
        <w:rPr>
          <w:rFonts w:asciiTheme="minorBidi" w:hAnsiTheme="minorBidi"/>
        </w:rPr>
      </w:pPr>
      <w:r w:rsidRPr="00CC69D4">
        <w:rPr>
          <w:rFonts w:asciiTheme="minorBidi" w:hAnsiTheme="minorBidi" w:cs="Arial"/>
          <w:rtl/>
        </w:rPr>
        <w:t>ר"</w:t>
      </w:r>
      <w:r w:rsidR="006B766D">
        <w:rPr>
          <w:rFonts w:asciiTheme="minorBidi" w:hAnsiTheme="minorBidi" w:cs="Arial" w:hint="cs"/>
          <w:rtl/>
        </w:rPr>
        <w:t>ת</w:t>
      </w:r>
      <w:r w:rsidR="00004068">
        <w:rPr>
          <w:rStyle w:val="a9"/>
          <w:rFonts w:asciiTheme="minorBidi" w:hAnsiTheme="minorBidi" w:cs="Arial"/>
          <w:rtl/>
        </w:rPr>
        <w:footnoteReference w:id="2800"/>
      </w:r>
      <w:r w:rsidR="002013CC">
        <w:rPr>
          <w:rFonts w:asciiTheme="minorBidi" w:hAnsiTheme="minorBidi" w:cs="Arial" w:hint="cs"/>
          <w:rtl/>
        </w:rPr>
        <w:t xml:space="preserve"> </w:t>
      </w:r>
      <w:r w:rsidR="002013CC" w:rsidRPr="00CC69D4">
        <w:rPr>
          <w:rFonts w:asciiTheme="minorBidi" w:hAnsiTheme="minorBidi" w:cs="Arial" w:hint="cs"/>
          <w:sz w:val="16"/>
          <w:szCs w:val="16"/>
          <w:rtl/>
        </w:rPr>
        <w:t>(</w:t>
      </w:r>
      <w:r w:rsidR="002013CC">
        <w:rPr>
          <w:rFonts w:asciiTheme="minorBidi" w:hAnsiTheme="minorBidi" w:cs="Arial" w:hint="cs"/>
          <w:sz w:val="16"/>
          <w:szCs w:val="16"/>
          <w:rtl/>
        </w:rPr>
        <w:t>ב</w:t>
      </w:r>
      <w:r w:rsidR="002013CC" w:rsidRPr="00CC69D4">
        <w:rPr>
          <w:rFonts w:asciiTheme="minorBidi" w:hAnsiTheme="minorBidi" w:cs="Arial" w:hint="cs"/>
          <w:sz w:val="16"/>
          <w:szCs w:val="16"/>
          <w:rtl/>
        </w:rPr>
        <w:t xml:space="preserve">תוס' </w:t>
      </w:r>
      <w:r w:rsidR="002013CC">
        <w:rPr>
          <w:rFonts w:asciiTheme="minorBidi" w:hAnsiTheme="minorBidi" w:cs="Arial" w:hint="cs"/>
          <w:sz w:val="16"/>
          <w:szCs w:val="16"/>
          <w:rtl/>
        </w:rPr>
        <w:t>[שם]</w:t>
      </w:r>
      <w:r w:rsidR="002013CC" w:rsidRPr="00CC69D4">
        <w:rPr>
          <w:rFonts w:asciiTheme="minorBidi" w:hAnsiTheme="minorBidi" w:cs="Arial" w:hint="cs"/>
          <w:sz w:val="16"/>
          <w:szCs w:val="16"/>
          <w:rtl/>
        </w:rPr>
        <w:t>)</w:t>
      </w:r>
      <w:r w:rsidR="00F208F2">
        <w:rPr>
          <w:rFonts w:asciiTheme="minorBidi" w:hAnsiTheme="minorBidi" w:cs="Arial" w:hint="cs"/>
          <w:rtl/>
        </w:rPr>
        <w:t xml:space="preserve"> והה"מ</w:t>
      </w:r>
      <w:r w:rsidR="00F208F2">
        <w:rPr>
          <w:rStyle w:val="a9"/>
          <w:rFonts w:asciiTheme="minorBidi" w:hAnsiTheme="minorBidi" w:cs="Arial"/>
          <w:rtl/>
        </w:rPr>
        <w:footnoteReference w:id="2801"/>
      </w:r>
      <w:r w:rsidR="00F208F2">
        <w:rPr>
          <w:rFonts w:asciiTheme="minorBidi" w:hAnsiTheme="minorBidi" w:cs="Arial" w:hint="cs"/>
          <w:sz w:val="16"/>
          <w:szCs w:val="16"/>
          <w:rtl/>
        </w:rPr>
        <w:t xml:space="preserve"> (פכ"ב ה"ו)</w:t>
      </w:r>
      <w:r>
        <w:rPr>
          <w:rFonts w:asciiTheme="minorBidi" w:hAnsiTheme="minorBidi" w:cs="Arial" w:hint="cs"/>
          <w:rtl/>
        </w:rPr>
        <w:t xml:space="preserve">- </w:t>
      </w:r>
      <w:r w:rsidRPr="00CC69D4">
        <w:rPr>
          <w:rFonts w:asciiTheme="minorBidi" w:hAnsiTheme="minorBidi" w:cs="Arial"/>
          <w:rtl/>
        </w:rPr>
        <w:t>עירוי ככלי ראשון</w:t>
      </w:r>
      <w:r w:rsidR="002013CC">
        <w:rPr>
          <w:rStyle w:val="a9"/>
          <w:rFonts w:asciiTheme="minorBidi" w:hAnsiTheme="minorBidi" w:cs="Arial"/>
          <w:rtl/>
        </w:rPr>
        <w:footnoteReference w:id="2802"/>
      </w:r>
      <w:r>
        <w:rPr>
          <w:rFonts w:asciiTheme="minorBidi" w:hAnsiTheme="minorBidi" w:cs="Arial" w:hint="cs"/>
          <w:rtl/>
        </w:rPr>
        <w:t>.</w:t>
      </w:r>
    </w:p>
    <w:p w14:paraId="6AB87FC1" w14:textId="319629D3" w:rsidR="002013CC" w:rsidRPr="00A67E4F" w:rsidRDefault="002013CC" w:rsidP="00FF2D21">
      <w:pPr>
        <w:pStyle w:val="aa"/>
        <w:numPr>
          <w:ilvl w:val="0"/>
          <w:numId w:val="34"/>
        </w:numPr>
        <w:rPr>
          <w:rFonts w:asciiTheme="minorBidi" w:hAnsiTheme="minorBidi"/>
        </w:rPr>
      </w:pPr>
      <w:r>
        <w:rPr>
          <w:rFonts w:asciiTheme="minorBidi" w:hAnsiTheme="minorBidi" w:cs="Arial" w:hint="cs"/>
          <w:rtl/>
        </w:rPr>
        <w:t xml:space="preserve">תוס' </w:t>
      </w:r>
      <w:r>
        <w:rPr>
          <w:rFonts w:asciiTheme="minorBidi" w:hAnsiTheme="minorBidi" w:cs="Arial" w:hint="cs"/>
          <w:sz w:val="16"/>
          <w:szCs w:val="16"/>
          <w:rtl/>
        </w:rPr>
        <w:t>(שם)</w:t>
      </w:r>
      <w:r>
        <w:rPr>
          <w:rFonts w:asciiTheme="minorBidi" w:hAnsiTheme="minorBidi" w:cs="Arial" w:hint="cs"/>
          <w:rtl/>
        </w:rPr>
        <w:t xml:space="preserve">- </w:t>
      </w:r>
      <w:r w:rsidR="00CC69D4" w:rsidRPr="00CC69D4">
        <w:rPr>
          <w:rFonts w:asciiTheme="minorBidi" w:hAnsiTheme="minorBidi" w:cs="Arial"/>
          <w:rtl/>
        </w:rPr>
        <w:t>עירוי לא הוי ככלי ראשון ולא ככלי שני אלא מבשל כדי קליפה</w:t>
      </w:r>
      <w:r>
        <w:rPr>
          <w:rStyle w:val="a9"/>
          <w:rFonts w:asciiTheme="minorBidi" w:hAnsiTheme="minorBidi" w:cs="Arial"/>
          <w:rtl/>
        </w:rPr>
        <w:footnoteReference w:id="2803"/>
      </w:r>
      <w:r w:rsidR="00F208F2">
        <w:rPr>
          <w:rFonts w:asciiTheme="minorBidi" w:hAnsiTheme="minorBidi" w:cs="Arial" w:hint="cs"/>
          <w:rtl/>
        </w:rPr>
        <w:t>.</w:t>
      </w:r>
      <w:r w:rsidR="00C162A1">
        <w:rPr>
          <w:rFonts w:asciiTheme="minorBidi" w:hAnsiTheme="minorBidi" w:cs="Arial" w:hint="cs"/>
          <w:rtl/>
        </w:rPr>
        <w:t xml:space="preserve"> </w:t>
      </w:r>
      <w:r w:rsidR="00C162A1" w:rsidRPr="005275DF">
        <w:rPr>
          <w:rFonts w:asciiTheme="minorBidi" w:hAnsiTheme="minorBidi"/>
          <w:color w:val="E36C0A" w:themeColor="accent6" w:themeShade="BF"/>
          <w:rtl/>
        </w:rPr>
        <w:t>(וכ"פ בשו"ע</w:t>
      </w:r>
      <w:r w:rsidR="00C162A1">
        <w:rPr>
          <w:rFonts w:asciiTheme="minorBidi" w:hAnsiTheme="minorBidi" w:hint="cs"/>
          <w:color w:val="000000" w:themeColor="text1"/>
          <w:sz w:val="16"/>
          <w:szCs w:val="16"/>
          <w:rtl/>
        </w:rPr>
        <w:t xml:space="preserve"> </w:t>
      </w:r>
      <w:r w:rsidR="00C162A1" w:rsidRPr="00C162A1">
        <w:rPr>
          <w:rFonts w:asciiTheme="minorBidi" w:hAnsiTheme="minorBidi" w:hint="cs"/>
          <w:color w:val="000000" w:themeColor="text1"/>
          <w:sz w:val="16"/>
          <w:szCs w:val="16"/>
          <w:rtl/>
        </w:rPr>
        <w:t>[</w:t>
      </w:r>
      <w:r w:rsidR="00C162A1">
        <w:rPr>
          <w:rFonts w:asciiTheme="minorBidi" w:hAnsiTheme="minorBidi" w:hint="cs"/>
          <w:color w:val="000000" w:themeColor="text1"/>
          <w:sz w:val="16"/>
          <w:szCs w:val="16"/>
          <w:rtl/>
        </w:rPr>
        <w:t>עי' בגר"א</w:t>
      </w:r>
      <w:r w:rsidR="00C162A1" w:rsidRPr="00C162A1">
        <w:rPr>
          <w:rFonts w:asciiTheme="minorBidi" w:hAnsiTheme="minorBidi" w:hint="cs"/>
          <w:color w:val="000000" w:themeColor="text1"/>
          <w:sz w:val="16"/>
          <w:szCs w:val="16"/>
          <w:rtl/>
        </w:rPr>
        <w:t>]</w:t>
      </w:r>
      <w:r w:rsidR="00C162A1" w:rsidRPr="005275DF">
        <w:rPr>
          <w:rFonts w:asciiTheme="minorBidi" w:hAnsiTheme="minorBidi"/>
          <w:color w:val="E36C0A" w:themeColor="accent6" w:themeShade="BF"/>
          <w:rtl/>
        </w:rPr>
        <w:t>)</w:t>
      </w:r>
    </w:p>
    <w:p w14:paraId="08F4C0C6"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09412BE"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אסור ליתן תבלין בקערה ולערות עליהן מכלי ראשון</w:t>
      </w:r>
      <w:r w:rsidRPr="005275DF">
        <w:rPr>
          <w:rStyle w:val="a9"/>
          <w:rFonts w:asciiTheme="minorBidi" w:hAnsiTheme="minorBidi"/>
          <w:rtl/>
        </w:rPr>
        <w:footnoteReference w:id="2804"/>
      </w:r>
      <w:r w:rsidRPr="005275DF">
        <w:rPr>
          <w:rFonts w:asciiTheme="minorBidi" w:hAnsiTheme="minorBidi"/>
          <w:rtl/>
        </w:rPr>
        <w:t xml:space="preserve">. </w:t>
      </w:r>
    </w:p>
    <w:p w14:paraId="3B9FE04F" w14:textId="77777777" w:rsidR="006A4BF8" w:rsidRPr="005275DF" w:rsidRDefault="006A4BF8" w:rsidP="00434A6A">
      <w:pPr>
        <w:tabs>
          <w:tab w:val="left" w:pos="2788"/>
        </w:tabs>
        <w:rPr>
          <w:rFonts w:asciiTheme="minorBidi" w:hAnsiTheme="minorBidi"/>
          <w:rtl/>
        </w:rPr>
      </w:pPr>
    </w:p>
    <w:p w14:paraId="7F6D1601" w14:textId="240BA26B"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יא: נתינת מים</w:t>
      </w:r>
      <w:r w:rsidR="00C162A1">
        <w:rPr>
          <w:rFonts w:asciiTheme="minorBidi" w:hAnsiTheme="minorBidi" w:cstheme="minorBidi" w:hint="cs"/>
          <w:rtl/>
        </w:rPr>
        <w:t xml:space="preserve"> צוננים</w:t>
      </w:r>
      <w:r w:rsidRPr="005275DF">
        <w:rPr>
          <w:rFonts w:asciiTheme="minorBidi" w:hAnsiTheme="minorBidi" w:cstheme="minorBidi"/>
          <w:rtl/>
        </w:rPr>
        <w:t xml:space="preserve"> </w:t>
      </w:r>
      <w:r w:rsidR="0089439F">
        <w:rPr>
          <w:rFonts w:asciiTheme="minorBidi" w:hAnsiTheme="minorBidi" w:cstheme="minorBidi" w:hint="cs"/>
          <w:rtl/>
        </w:rPr>
        <w:t>לתוך מים חמים</w:t>
      </w:r>
      <w:r w:rsidRPr="005275DF">
        <w:rPr>
          <w:rFonts w:asciiTheme="minorBidi" w:hAnsiTheme="minorBidi" w:cstheme="minorBidi"/>
          <w:rtl/>
        </w:rPr>
        <w:t>.</w:t>
      </w:r>
    </w:p>
    <w:p w14:paraId="6B13487D" w14:textId="5B719B28" w:rsidR="00360E61" w:rsidRDefault="006A4BF8" w:rsidP="00991BC1">
      <w:pPr>
        <w:rPr>
          <w:rFonts w:asciiTheme="minorBidi" w:hAnsiTheme="minorBidi"/>
          <w:rtl/>
        </w:rPr>
      </w:pPr>
      <w:r w:rsidRPr="005275DF">
        <w:rPr>
          <w:rFonts w:asciiTheme="minorBidi" w:hAnsiTheme="minorBidi"/>
          <w:b/>
          <w:bCs/>
          <w:rtl/>
        </w:rPr>
        <w:t xml:space="preserve">שבת </w:t>
      </w:r>
      <w:r w:rsidR="00C162A1">
        <w:rPr>
          <w:rFonts w:asciiTheme="minorBidi" w:hAnsiTheme="minorBidi" w:hint="cs"/>
          <w:b/>
          <w:bCs/>
          <w:sz w:val="16"/>
          <w:szCs w:val="16"/>
          <w:rtl/>
        </w:rPr>
        <w:t xml:space="preserve">(פ' כירה) </w:t>
      </w:r>
      <w:r w:rsidRPr="005275DF">
        <w:rPr>
          <w:rFonts w:asciiTheme="minorBidi" w:hAnsiTheme="minorBidi"/>
          <w:b/>
          <w:bCs/>
          <w:rtl/>
        </w:rPr>
        <w:t>מב ע"א:</w:t>
      </w:r>
      <w:r w:rsidRPr="005275DF">
        <w:rPr>
          <w:rFonts w:asciiTheme="minorBidi" w:hAnsiTheme="minorBidi"/>
          <w:rtl/>
        </w:rPr>
        <w:t xml:space="preserve"> תנו רבנן: נותן אדם חמין לתוך הצונן</w:t>
      </w:r>
      <w:r w:rsidR="001647E6" w:rsidRPr="005275DF">
        <w:rPr>
          <w:rStyle w:val="a9"/>
          <w:rFonts w:asciiTheme="minorBidi" w:hAnsiTheme="minorBidi"/>
          <w:rtl/>
        </w:rPr>
        <w:footnoteReference w:id="2805"/>
      </w:r>
      <w:r w:rsidRPr="005275DF">
        <w:rPr>
          <w:rFonts w:asciiTheme="minorBidi" w:hAnsiTheme="minorBidi"/>
          <w:rtl/>
        </w:rPr>
        <w:t>, ולא הצונן לתוך החמין</w:t>
      </w:r>
      <w:r w:rsidRPr="005275DF">
        <w:rPr>
          <w:rStyle w:val="a9"/>
          <w:rFonts w:asciiTheme="minorBidi" w:hAnsiTheme="minorBidi"/>
          <w:rtl/>
        </w:rPr>
        <w:footnoteReference w:id="2806"/>
      </w:r>
      <w:r w:rsidRPr="005275DF">
        <w:rPr>
          <w:rFonts w:asciiTheme="minorBidi" w:hAnsiTheme="minorBidi"/>
          <w:rtl/>
        </w:rPr>
        <w:t xml:space="preserve">, </w:t>
      </w:r>
      <w:r w:rsidRPr="00C162A1">
        <w:rPr>
          <w:rFonts w:asciiTheme="minorBidi" w:hAnsiTheme="minorBidi"/>
          <w:u w:val="single"/>
          <w:rtl/>
        </w:rPr>
        <w:t>דברי בית שמאי</w:t>
      </w:r>
      <w:r w:rsidRPr="005275DF">
        <w:rPr>
          <w:rFonts w:asciiTheme="minorBidi" w:hAnsiTheme="minorBidi"/>
          <w:rtl/>
        </w:rPr>
        <w:t xml:space="preserve">. </w:t>
      </w:r>
      <w:r w:rsidRPr="00C162A1">
        <w:rPr>
          <w:rFonts w:asciiTheme="minorBidi" w:hAnsiTheme="minorBidi"/>
          <w:u w:val="single"/>
          <w:rtl/>
        </w:rPr>
        <w:t>ובית הלל אומרים</w:t>
      </w:r>
      <w:r w:rsidR="00C162A1">
        <w:rPr>
          <w:rFonts w:asciiTheme="minorBidi" w:hAnsiTheme="minorBidi" w:hint="cs"/>
          <w:rtl/>
        </w:rPr>
        <w:t xml:space="preserve">: </w:t>
      </w:r>
      <w:r w:rsidRPr="005275DF">
        <w:rPr>
          <w:rFonts w:asciiTheme="minorBidi" w:hAnsiTheme="minorBidi"/>
          <w:rtl/>
        </w:rPr>
        <w:t>בין חמין לתוך הצונן, ובין צונן לתוך החמין מותר. במה דברים אמורים - בכוס</w:t>
      </w:r>
      <w:r w:rsidRPr="005275DF">
        <w:rPr>
          <w:rStyle w:val="a9"/>
          <w:rFonts w:asciiTheme="minorBidi" w:hAnsiTheme="minorBidi"/>
          <w:rtl/>
        </w:rPr>
        <w:footnoteReference w:id="2807"/>
      </w:r>
      <w:r w:rsidRPr="005275DF">
        <w:rPr>
          <w:rFonts w:asciiTheme="minorBidi" w:hAnsiTheme="minorBidi"/>
          <w:rtl/>
        </w:rPr>
        <w:t>, אבל באמבטי - חמין לתוך הצונן</w:t>
      </w:r>
      <w:r w:rsidR="008F6FF8">
        <w:rPr>
          <w:rFonts w:asciiTheme="minorBidi" w:hAnsiTheme="minorBidi" w:hint="cs"/>
          <w:rtl/>
        </w:rPr>
        <w:t>,</w:t>
      </w:r>
      <w:r w:rsidRPr="005275DF">
        <w:rPr>
          <w:rFonts w:asciiTheme="minorBidi" w:hAnsiTheme="minorBidi"/>
          <w:rtl/>
        </w:rPr>
        <w:t xml:space="preserve"> ולא צונן לתוך החמין. </w:t>
      </w:r>
      <w:r w:rsidRPr="00C162A1">
        <w:rPr>
          <w:rFonts w:asciiTheme="minorBidi" w:hAnsiTheme="minorBidi"/>
          <w:u w:val="single"/>
          <w:rtl/>
        </w:rPr>
        <w:t>ורבי שמעון בן מנסיא</w:t>
      </w:r>
      <w:r w:rsidRPr="005275DF">
        <w:rPr>
          <w:rFonts w:asciiTheme="minorBidi" w:hAnsiTheme="minorBidi"/>
          <w:rtl/>
        </w:rPr>
        <w:t xml:space="preserve"> אוסר</w:t>
      </w:r>
      <w:r w:rsidRPr="005275DF">
        <w:rPr>
          <w:rStyle w:val="a9"/>
          <w:rFonts w:asciiTheme="minorBidi" w:hAnsiTheme="minorBidi"/>
          <w:rtl/>
        </w:rPr>
        <w:footnoteReference w:id="2808"/>
      </w:r>
      <w:r w:rsidRPr="005275DF">
        <w:rPr>
          <w:rFonts w:asciiTheme="minorBidi" w:hAnsiTheme="minorBidi"/>
          <w:rtl/>
        </w:rPr>
        <w:t xml:space="preserve">. </w:t>
      </w:r>
      <w:r w:rsidRPr="00C162A1">
        <w:rPr>
          <w:rFonts w:asciiTheme="minorBidi" w:hAnsiTheme="minorBidi"/>
          <w:u w:val="single"/>
          <w:rtl/>
        </w:rPr>
        <w:t>אמר רב נחמן</w:t>
      </w:r>
      <w:r w:rsidRPr="005275DF">
        <w:rPr>
          <w:rFonts w:asciiTheme="minorBidi" w:hAnsiTheme="minorBidi"/>
          <w:rtl/>
        </w:rPr>
        <w:t xml:space="preserve">: הלכה כרבי שמעון בן מנסיא. </w:t>
      </w:r>
      <w:r w:rsidRPr="005275DF">
        <w:rPr>
          <w:rFonts w:asciiTheme="minorBidi" w:hAnsiTheme="minorBidi"/>
          <w:u w:val="single"/>
          <w:rtl/>
        </w:rPr>
        <w:t>סבר רב יוסף למימר</w:t>
      </w:r>
      <w:r w:rsidRPr="005275DF">
        <w:rPr>
          <w:rFonts w:asciiTheme="minorBidi" w:hAnsiTheme="minorBidi"/>
          <w:rtl/>
        </w:rPr>
        <w:t>: ספל</w:t>
      </w:r>
      <w:r w:rsidR="001647E6" w:rsidRPr="005275DF">
        <w:rPr>
          <w:rStyle w:val="a9"/>
          <w:rFonts w:asciiTheme="minorBidi" w:hAnsiTheme="minorBidi"/>
          <w:rtl/>
        </w:rPr>
        <w:footnoteReference w:id="2809"/>
      </w:r>
      <w:r w:rsidRPr="005275DF">
        <w:rPr>
          <w:rFonts w:asciiTheme="minorBidi" w:hAnsiTheme="minorBidi"/>
          <w:rtl/>
        </w:rPr>
        <w:t xml:space="preserve"> הרי הוא כאמבטי. </w:t>
      </w:r>
      <w:r w:rsidRPr="005275DF">
        <w:rPr>
          <w:rFonts w:asciiTheme="minorBidi" w:hAnsiTheme="minorBidi"/>
          <w:u w:val="single"/>
          <w:rtl/>
        </w:rPr>
        <w:t>אמר ליה אביי</w:t>
      </w:r>
      <w:r w:rsidR="008F6FF8">
        <w:rPr>
          <w:rFonts w:asciiTheme="minorBidi" w:hAnsiTheme="minorBidi" w:hint="cs"/>
          <w:rtl/>
        </w:rPr>
        <w:t>:</w:t>
      </w:r>
      <w:r w:rsidRPr="005275DF">
        <w:rPr>
          <w:rFonts w:asciiTheme="minorBidi" w:hAnsiTheme="minorBidi"/>
          <w:rtl/>
        </w:rPr>
        <w:t xml:space="preserve"> תני רבי חייא: ספל אינו כאמבטי. ולמאי דסליק אדעתא מעיקרא דספל הרי הוא כאמבטי ואמר רב נחמן הלכה כרבי שמעון בן מנסיא, אלא בשבת רחיצה בחמין ליכא</w:t>
      </w:r>
      <w:r w:rsidRPr="005275DF">
        <w:rPr>
          <w:rStyle w:val="a9"/>
          <w:rFonts w:asciiTheme="minorBidi" w:hAnsiTheme="minorBidi"/>
          <w:rtl/>
        </w:rPr>
        <w:footnoteReference w:id="2810"/>
      </w:r>
      <w:r w:rsidRPr="005275DF">
        <w:rPr>
          <w:rFonts w:asciiTheme="minorBidi" w:hAnsiTheme="minorBidi"/>
          <w:rtl/>
        </w:rPr>
        <w:t>? מי סברת רבי שמעון אסיפא קאי</w:t>
      </w:r>
      <w:r w:rsidRPr="005275DF">
        <w:rPr>
          <w:rStyle w:val="a9"/>
          <w:rFonts w:asciiTheme="minorBidi" w:hAnsiTheme="minorBidi"/>
          <w:rtl/>
        </w:rPr>
        <w:footnoteReference w:id="2811"/>
      </w:r>
      <w:r w:rsidRPr="005275DF">
        <w:rPr>
          <w:rFonts w:asciiTheme="minorBidi" w:hAnsiTheme="minorBidi"/>
          <w:rtl/>
        </w:rPr>
        <w:t>? ארישא קאי</w:t>
      </w:r>
      <w:r w:rsidRPr="005275DF">
        <w:rPr>
          <w:rStyle w:val="a9"/>
          <w:rFonts w:asciiTheme="minorBidi" w:hAnsiTheme="minorBidi"/>
          <w:rtl/>
        </w:rPr>
        <w:footnoteReference w:id="2812"/>
      </w:r>
      <w:r w:rsidRPr="005275DF">
        <w:rPr>
          <w:rFonts w:asciiTheme="minorBidi" w:hAnsiTheme="minorBidi"/>
          <w:rtl/>
        </w:rPr>
        <w:t>- ובית הלל מתירין בין חמין לתוך צונן ובין צונן לתוך החמין</w:t>
      </w:r>
      <w:r w:rsidR="008F6FF8">
        <w:rPr>
          <w:rFonts w:asciiTheme="minorBidi" w:hAnsiTheme="minorBidi" w:hint="cs"/>
          <w:rtl/>
        </w:rPr>
        <w:t>,</w:t>
      </w:r>
      <w:r w:rsidRPr="005275DF">
        <w:rPr>
          <w:rFonts w:asciiTheme="minorBidi" w:hAnsiTheme="minorBidi"/>
          <w:rtl/>
        </w:rPr>
        <w:t xml:space="preserve"> ורבי שמעון בן מנסיא אוסר צונן לתוך חמין. לימא רבי שמעון בן מנסיא דאמר כבית שמאי! הכי קאמר: לא נחלקו בית שמאי ובית הלל בדבר זה. </w:t>
      </w:r>
      <w:r w:rsidRPr="005275DF">
        <w:rPr>
          <w:rFonts w:asciiTheme="minorBidi" w:hAnsiTheme="minorBidi"/>
          <w:u w:val="single"/>
          <w:rtl/>
        </w:rPr>
        <w:t>אמר רב הונא בריה דרב יהושע</w:t>
      </w:r>
      <w:r w:rsidRPr="005275DF">
        <w:rPr>
          <w:rFonts w:asciiTheme="minorBidi" w:hAnsiTheme="minorBidi"/>
          <w:rtl/>
        </w:rPr>
        <w:t>: חזינא ליה לרבא דלא קפיד אמנא, מדתני רבי חייא: נותן אדם קיתון של מים לתוך ספל של מים, בין חמין לתוך צונן ובין צונן לתוך חמין.</w:t>
      </w:r>
    </w:p>
    <w:p w14:paraId="260DD874" w14:textId="77777777" w:rsidR="00360E61" w:rsidRDefault="00360E61" w:rsidP="00991BC1">
      <w:pPr>
        <w:rPr>
          <w:rFonts w:asciiTheme="minorBidi" w:hAnsiTheme="minorBidi"/>
          <w:u w:val="single"/>
          <w:rtl/>
        </w:rPr>
      </w:pPr>
      <w:r w:rsidRPr="00360E61">
        <w:rPr>
          <w:rFonts w:asciiTheme="minorBidi" w:hAnsiTheme="minorBidi" w:hint="cs"/>
          <w:u w:val="single"/>
          <w:rtl/>
        </w:rPr>
        <w:t>כיצד נפסק:</w:t>
      </w:r>
    </w:p>
    <w:p w14:paraId="5E98161F" w14:textId="5E28FF27" w:rsidR="00360E61" w:rsidRDefault="00360E61" w:rsidP="00FF2D21">
      <w:pPr>
        <w:pStyle w:val="aa"/>
        <w:numPr>
          <w:ilvl w:val="0"/>
          <w:numId w:val="153"/>
        </w:numPr>
        <w:rPr>
          <w:rFonts w:asciiTheme="minorBidi" w:hAnsiTheme="minorBidi"/>
        </w:rPr>
      </w:pPr>
      <w:r w:rsidRPr="00360E61">
        <w:rPr>
          <w:rFonts w:asciiTheme="minorBidi" w:hAnsiTheme="minorBidi" w:hint="cs"/>
          <w:rtl/>
        </w:rPr>
        <w:t xml:space="preserve">תוס' </w:t>
      </w:r>
      <w:r w:rsidRPr="00360E61">
        <w:rPr>
          <w:rFonts w:asciiTheme="minorBidi" w:hAnsiTheme="minorBidi" w:hint="cs"/>
          <w:sz w:val="16"/>
          <w:szCs w:val="16"/>
          <w:rtl/>
        </w:rPr>
        <w:t>(מב. ד"ה מי סברת</w:t>
      </w:r>
      <w:r>
        <w:rPr>
          <w:rFonts w:asciiTheme="minorBidi" w:hAnsiTheme="minorBidi" w:hint="cs"/>
          <w:sz w:val="16"/>
          <w:szCs w:val="16"/>
          <w:rtl/>
        </w:rPr>
        <w:t xml:space="preserve">, </w:t>
      </w:r>
      <w:r w:rsidRPr="00360E61">
        <w:rPr>
          <w:rFonts w:asciiTheme="minorBidi" w:hAnsiTheme="minorBidi" w:cs="Arial" w:hint="cs"/>
          <w:sz w:val="16"/>
          <w:szCs w:val="16"/>
          <w:rtl/>
        </w:rPr>
        <w:t xml:space="preserve">הביאום </w:t>
      </w:r>
      <w:r w:rsidRPr="00360E61">
        <w:rPr>
          <w:rFonts w:asciiTheme="minorBidi" w:hAnsiTheme="minorBidi" w:cs="Arial"/>
          <w:sz w:val="16"/>
          <w:szCs w:val="16"/>
          <w:rtl/>
        </w:rPr>
        <w:t>הר"ן (</w:t>
      </w:r>
      <w:r w:rsidRPr="00360E61">
        <w:rPr>
          <w:rFonts w:asciiTheme="minorBidi" w:hAnsiTheme="minorBidi" w:cs="Arial" w:hint="cs"/>
          <w:sz w:val="16"/>
          <w:szCs w:val="16"/>
          <w:rtl/>
        </w:rPr>
        <w:t>כ.</w:t>
      </w:r>
      <w:r w:rsidRPr="00360E61">
        <w:rPr>
          <w:rFonts w:asciiTheme="minorBidi" w:hAnsiTheme="minorBidi" w:cs="Arial"/>
          <w:sz w:val="16"/>
          <w:szCs w:val="16"/>
          <w:rtl/>
        </w:rPr>
        <w:t xml:space="preserve"> ד"ה והוי יודע) ור</w:t>
      </w:r>
      <w:r w:rsidRPr="00360E61">
        <w:rPr>
          <w:rFonts w:asciiTheme="minorBidi" w:hAnsiTheme="minorBidi" w:cs="Arial" w:hint="cs"/>
          <w:sz w:val="16"/>
          <w:szCs w:val="16"/>
          <w:rtl/>
        </w:rPr>
        <w:t>י"ו</w:t>
      </w:r>
      <w:r w:rsidRPr="00360E61">
        <w:rPr>
          <w:rFonts w:asciiTheme="minorBidi" w:hAnsiTheme="minorBidi" w:cs="Arial"/>
          <w:sz w:val="16"/>
          <w:szCs w:val="16"/>
          <w:rtl/>
        </w:rPr>
        <w:t xml:space="preserve"> </w:t>
      </w:r>
      <w:r w:rsidRPr="00360E61">
        <w:rPr>
          <w:rFonts w:asciiTheme="minorBidi" w:hAnsiTheme="minorBidi" w:cs="Arial" w:hint="cs"/>
          <w:sz w:val="16"/>
          <w:szCs w:val="16"/>
          <w:rtl/>
        </w:rPr>
        <w:t>(ח"ג</w:t>
      </w:r>
      <w:r w:rsidRPr="00360E61">
        <w:rPr>
          <w:rFonts w:asciiTheme="minorBidi" w:hAnsiTheme="minorBidi" w:cs="Arial"/>
          <w:sz w:val="16"/>
          <w:szCs w:val="16"/>
          <w:rtl/>
        </w:rPr>
        <w:t xml:space="preserve"> </w:t>
      </w:r>
      <w:r w:rsidRPr="00360E61">
        <w:rPr>
          <w:rFonts w:asciiTheme="minorBidi" w:hAnsiTheme="minorBidi" w:cs="Arial" w:hint="cs"/>
          <w:sz w:val="16"/>
          <w:szCs w:val="16"/>
          <w:rtl/>
        </w:rPr>
        <w:t>נ</w:t>
      </w:r>
      <w:r w:rsidRPr="00360E61">
        <w:rPr>
          <w:rFonts w:asciiTheme="minorBidi" w:hAnsiTheme="minorBidi" w:cs="Arial"/>
          <w:sz w:val="16"/>
          <w:szCs w:val="16"/>
          <w:rtl/>
        </w:rPr>
        <w:t>י</w:t>
      </w:r>
      <w:r w:rsidRPr="00360E61">
        <w:rPr>
          <w:rFonts w:asciiTheme="minorBidi" w:hAnsiTheme="minorBidi" w:cs="Arial" w:hint="cs"/>
          <w:sz w:val="16"/>
          <w:szCs w:val="16"/>
          <w:rtl/>
        </w:rPr>
        <w:t>"</w:t>
      </w:r>
      <w:r w:rsidRPr="00360E61">
        <w:rPr>
          <w:rFonts w:asciiTheme="minorBidi" w:hAnsiTheme="minorBidi" w:cs="Arial"/>
          <w:sz w:val="16"/>
          <w:szCs w:val="16"/>
          <w:rtl/>
        </w:rPr>
        <w:t>ב ע.)</w:t>
      </w:r>
      <w:r w:rsidRPr="00360E61">
        <w:rPr>
          <w:rFonts w:asciiTheme="minorBidi" w:hAnsiTheme="minorBidi" w:cs="Arial" w:hint="cs"/>
          <w:sz w:val="16"/>
          <w:szCs w:val="16"/>
          <w:rtl/>
        </w:rPr>
        <w:t xml:space="preserve"> בדעת י"א</w:t>
      </w:r>
      <w:r w:rsidRPr="00360E61">
        <w:rPr>
          <w:rFonts w:asciiTheme="minorBidi" w:hAnsiTheme="minorBidi" w:hint="cs"/>
          <w:sz w:val="16"/>
          <w:szCs w:val="16"/>
          <w:rtl/>
        </w:rPr>
        <w:t>)</w:t>
      </w:r>
      <w:r w:rsidRPr="00360E61">
        <w:rPr>
          <w:rFonts w:asciiTheme="minorBidi" w:hAnsiTheme="minorBidi" w:hint="cs"/>
          <w:rtl/>
        </w:rPr>
        <w:t>- הלכה כר"ש בן מנסיא</w:t>
      </w:r>
      <w:r>
        <w:rPr>
          <w:rStyle w:val="a9"/>
          <w:rFonts w:asciiTheme="minorBidi" w:hAnsiTheme="minorBidi"/>
          <w:rtl/>
        </w:rPr>
        <w:footnoteReference w:id="2813"/>
      </w:r>
      <w:r w:rsidRPr="00360E61">
        <w:rPr>
          <w:rFonts w:asciiTheme="minorBidi" w:hAnsiTheme="minorBidi" w:hint="cs"/>
          <w:rtl/>
        </w:rPr>
        <w:t>.</w:t>
      </w:r>
      <w:r>
        <w:rPr>
          <w:rFonts w:asciiTheme="minorBidi" w:hAnsiTheme="minorBidi" w:hint="cs"/>
          <w:rtl/>
        </w:rPr>
        <w:t xml:space="preserve"> </w:t>
      </w:r>
    </w:p>
    <w:p w14:paraId="6FE65638" w14:textId="48951A6B" w:rsidR="00991BC1" w:rsidRPr="00360E61" w:rsidRDefault="00360E61" w:rsidP="00FF2D21">
      <w:pPr>
        <w:pStyle w:val="aa"/>
        <w:numPr>
          <w:ilvl w:val="0"/>
          <w:numId w:val="153"/>
        </w:numPr>
        <w:rPr>
          <w:rFonts w:asciiTheme="minorBidi" w:hAnsiTheme="minorBidi"/>
          <w:rtl/>
        </w:rPr>
      </w:pPr>
      <w:r>
        <w:rPr>
          <w:rFonts w:asciiTheme="minorBidi" w:hAnsiTheme="minorBidi" w:hint="cs"/>
          <w:rtl/>
        </w:rPr>
        <w:t>רי"ף</w:t>
      </w:r>
      <w:r w:rsidR="00991BC1" w:rsidRPr="00360E61">
        <w:rPr>
          <w:rFonts w:asciiTheme="minorBidi" w:hAnsiTheme="minorBidi" w:cs="Arial" w:hint="cs"/>
          <w:b/>
          <w:bCs/>
          <w:sz w:val="16"/>
          <w:szCs w:val="16"/>
          <w:rtl/>
        </w:rPr>
        <w:t xml:space="preserve"> </w:t>
      </w:r>
      <w:r w:rsidR="00991BC1" w:rsidRPr="00360E61">
        <w:rPr>
          <w:rFonts w:asciiTheme="minorBidi" w:hAnsiTheme="minorBidi" w:cs="Arial" w:hint="cs"/>
          <w:sz w:val="16"/>
          <w:szCs w:val="16"/>
          <w:rtl/>
        </w:rPr>
        <w:t>(כ.)</w:t>
      </w:r>
      <w:r>
        <w:rPr>
          <w:rFonts w:asciiTheme="minorBidi" w:hAnsiTheme="minorBidi" w:cs="Arial" w:hint="cs"/>
          <w:rtl/>
        </w:rPr>
        <w:t xml:space="preserve"> רמב"ם </w:t>
      </w:r>
      <w:r>
        <w:rPr>
          <w:rFonts w:asciiTheme="minorBidi" w:hAnsiTheme="minorBidi" w:cs="Arial" w:hint="cs"/>
          <w:sz w:val="16"/>
          <w:szCs w:val="16"/>
          <w:rtl/>
        </w:rPr>
        <w:t xml:space="preserve">(פכ"ב ה"ה) </w:t>
      </w:r>
      <w:r>
        <w:rPr>
          <w:rFonts w:asciiTheme="minorBidi" w:hAnsiTheme="minorBidi" w:cs="Arial" w:hint="cs"/>
          <w:rtl/>
        </w:rPr>
        <w:t>ורא"ש</w:t>
      </w:r>
      <w:r w:rsidRPr="00360E61">
        <w:rPr>
          <w:rFonts w:asciiTheme="minorBidi" w:hAnsiTheme="minorBidi" w:cs="Arial" w:hint="cs"/>
          <w:sz w:val="16"/>
          <w:szCs w:val="16"/>
          <w:rtl/>
        </w:rPr>
        <w:t xml:space="preserve"> </w:t>
      </w:r>
      <w:r w:rsidRPr="00360E61">
        <w:rPr>
          <w:rFonts w:asciiTheme="minorBidi" w:hAnsiTheme="minorBidi" w:cs="Arial"/>
          <w:sz w:val="16"/>
          <w:szCs w:val="16"/>
          <w:rtl/>
        </w:rPr>
        <w:t>(סי' טו)</w:t>
      </w:r>
      <w:r>
        <w:rPr>
          <w:rFonts w:asciiTheme="minorBidi" w:hAnsiTheme="minorBidi" w:cs="Arial" w:hint="cs"/>
          <w:rtl/>
        </w:rPr>
        <w:t xml:space="preserve">- </w:t>
      </w:r>
      <w:r w:rsidRPr="00360E61">
        <w:rPr>
          <w:rFonts w:asciiTheme="minorBidi" w:hAnsiTheme="minorBidi" w:cs="Arial"/>
          <w:rtl/>
        </w:rPr>
        <w:t>ומסקנא דשמעתין דהלכתא כבית הלל דקאמרינן אמר רב הונא בריה דרב יהושע חזינא לאבא דלא קפיד</w:t>
      </w:r>
      <w:r w:rsidRPr="00360E61">
        <w:rPr>
          <w:rFonts w:asciiTheme="minorBidi" w:hAnsiTheme="minorBidi" w:cs="Arial" w:hint="cs"/>
          <w:rtl/>
        </w:rPr>
        <w:t xml:space="preserve"> מדתני רבי חייא וכו'</w:t>
      </w:r>
      <w:r>
        <w:rPr>
          <w:rFonts w:asciiTheme="minorBidi" w:hAnsiTheme="minorBidi" w:cs="Arial" w:hint="cs"/>
          <w:sz w:val="16"/>
          <w:szCs w:val="16"/>
          <w:rtl/>
        </w:rPr>
        <w:t xml:space="preserve"> (ל' הרי"ף)</w:t>
      </w:r>
      <w:r>
        <w:rPr>
          <w:rFonts w:asciiTheme="minorBidi" w:hAnsiTheme="minorBidi" w:cs="Arial" w:hint="cs"/>
          <w:rtl/>
        </w:rPr>
        <w:t>.</w:t>
      </w:r>
      <w:r w:rsidR="008641EF">
        <w:rPr>
          <w:rFonts w:asciiTheme="minorBidi" w:hAnsiTheme="minorBidi" w:cs="Arial" w:hint="cs"/>
          <w:rtl/>
        </w:rPr>
        <w:t xml:space="preserve"> </w:t>
      </w:r>
      <w:r w:rsidR="008641EF" w:rsidRPr="008641EF">
        <w:rPr>
          <w:rFonts w:asciiTheme="minorBidi" w:hAnsiTheme="minorBidi" w:cs="Arial" w:hint="cs"/>
          <w:color w:val="E36C0A" w:themeColor="accent6" w:themeShade="BF"/>
          <w:rtl/>
        </w:rPr>
        <w:t>(וכ"פ בשו"ע)</w:t>
      </w:r>
      <w:r>
        <w:rPr>
          <w:rFonts w:asciiTheme="minorBidi" w:hAnsiTheme="minorBidi" w:cs="Arial" w:hint="cs"/>
          <w:rtl/>
        </w:rPr>
        <w:t xml:space="preserve"> </w:t>
      </w:r>
    </w:p>
    <w:p w14:paraId="131A36A2" w14:textId="26705105" w:rsidR="00C162A1" w:rsidRDefault="00360E61" w:rsidP="00434A6A">
      <w:pPr>
        <w:rPr>
          <w:rFonts w:asciiTheme="minorBidi" w:hAnsiTheme="minorBidi"/>
          <w:u w:val="single"/>
          <w:rtl/>
        </w:rPr>
      </w:pPr>
      <w:r>
        <w:rPr>
          <w:rFonts w:asciiTheme="minorBidi" w:hAnsiTheme="minorBidi" w:hint="cs"/>
          <w:u w:val="single"/>
          <w:rtl/>
        </w:rPr>
        <w:t>למעשה מה הדין ב</w:t>
      </w:r>
      <w:r w:rsidR="0089439F" w:rsidRPr="0089439F">
        <w:rPr>
          <w:rFonts w:asciiTheme="minorBidi" w:hAnsiTheme="minorBidi"/>
          <w:u w:val="single"/>
          <w:rtl/>
        </w:rPr>
        <w:t>נתינת מים</w:t>
      </w:r>
      <w:r w:rsidR="0089439F" w:rsidRPr="0089439F">
        <w:rPr>
          <w:rFonts w:asciiTheme="minorBidi" w:hAnsiTheme="minorBidi" w:hint="cs"/>
          <w:u w:val="single"/>
          <w:rtl/>
        </w:rPr>
        <w:t xml:space="preserve"> צוננים</w:t>
      </w:r>
      <w:r w:rsidR="0089439F" w:rsidRPr="0089439F">
        <w:rPr>
          <w:rFonts w:asciiTheme="minorBidi" w:hAnsiTheme="minorBidi"/>
          <w:u w:val="single"/>
          <w:rtl/>
        </w:rPr>
        <w:t xml:space="preserve"> </w:t>
      </w:r>
      <w:r w:rsidR="0089439F" w:rsidRPr="0089439F">
        <w:rPr>
          <w:rFonts w:asciiTheme="minorBidi" w:hAnsiTheme="minorBidi" w:hint="cs"/>
          <w:u w:val="single"/>
          <w:rtl/>
        </w:rPr>
        <w:t>לתוך מים חמים</w:t>
      </w:r>
      <w:r w:rsidR="0089439F" w:rsidRPr="00EA1F92">
        <w:rPr>
          <w:rFonts w:asciiTheme="minorBidi" w:hAnsiTheme="minorBidi" w:hint="cs"/>
          <w:sz w:val="16"/>
          <w:szCs w:val="16"/>
          <w:u w:val="single"/>
          <w:rtl/>
        </w:rPr>
        <w:t xml:space="preserve"> </w:t>
      </w:r>
      <w:r w:rsidR="00EA1F92">
        <w:rPr>
          <w:rFonts w:asciiTheme="minorBidi" w:hAnsiTheme="minorBidi" w:hint="cs"/>
          <w:sz w:val="16"/>
          <w:szCs w:val="16"/>
          <w:u w:val="single"/>
          <w:rtl/>
        </w:rPr>
        <w:t>(</w:t>
      </w:r>
      <w:r w:rsidR="00EA1F92" w:rsidRPr="00EA1F92">
        <w:rPr>
          <w:rFonts w:asciiTheme="minorBidi" w:hAnsiTheme="minorBidi" w:hint="cs"/>
          <w:sz w:val="16"/>
          <w:szCs w:val="16"/>
          <w:u w:val="single"/>
          <w:rtl/>
        </w:rPr>
        <w:t>או נתינת מים חמים לתוך מים צוננים)</w:t>
      </w:r>
      <w:r w:rsidR="00EA1F92">
        <w:rPr>
          <w:rFonts w:asciiTheme="minorBidi" w:hAnsiTheme="minorBidi" w:hint="cs"/>
          <w:u w:val="single"/>
          <w:rtl/>
        </w:rPr>
        <w:t xml:space="preserve"> -</w:t>
      </w:r>
      <w:r w:rsidR="0089439F">
        <w:rPr>
          <w:rFonts w:asciiTheme="minorBidi" w:hAnsiTheme="minorBidi" w:hint="cs"/>
          <w:u w:val="single"/>
          <w:rtl/>
        </w:rPr>
        <w:t xml:space="preserve"> בתוך אחד מה</w:t>
      </w:r>
      <w:r>
        <w:rPr>
          <w:rFonts w:asciiTheme="minorBidi" w:hAnsiTheme="minorBidi" w:hint="cs"/>
          <w:u w:val="single"/>
          <w:rtl/>
        </w:rPr>
        <w:t>כל</w:t>
      </w:r>
      <w:r w:rsidR="0089439F">
        <w:rPr>
          <w:rFonts w:asciiTheme="minorBidi" w:hAnsiTheme="minorBidi" w:hint="cs"/>
          <w:u w:val="single"/>
          <w:rtl/>
        </w:rPr>
        <w:t>ים הבאים</w:t>
      </w:r>
      <w:r w:rsidR="00C162A1" w:rsidRPr="0089439F">
        <w:rPr>
          <w:rFonts w:asciiTheme="minorBidi" w:hAnsiTheme="minorBidi" w:hint="cs"/>
          <w:u w:val="single"/>
          <w:rtl/>
        </w:rPr>
        <w:t>:</w:t>
      </w:r>
    </w:p>
    <w:p w14:paraId="61045558" w14:textId="6CE8102D" w:rsidR="00EA1F92" w:rsidRPr="00EA1F92" w:rsidRDefault="00EA1F92" w:rsidP="00EA1F92">
      <w:pPr>
        <w:ind w:left="360"/>
        <w:rPr>
          <w:rFonts w:asciiTheme="minorBidi" w:hAnsiTheme="minorBidi"/>
          <w:u w:val="dotted"/>
          <w:rtl/>
        </w:rPr>
      </w:pPr>
      <w:r w:rsidRPr="00EA1F92">
        <w:rPr>
          <w:rFonts w:asciiTheme="minorBidi" w:hAnsiTheme="minorBidi" w:hint="cs"/>
          <w:u w:val="dotted"/>
          <w:rtl/>
        </w:rPr>
        <w:t>כוס</w:t>
      </w:r>
      <w:r>
        <w:rPr>
          <w:rFonts w:asciiTheme="minorBidi" w:hAnsiTheme="minorBidi" w:hint="cs"/>
          <w:u w:val="dotted"/>
          <w:rtl/>
        </w:rPr>
        <w:t xml:space="preserve"> לשתייה</w:t>
      </w:r>
      <w:r w:rsidRPr="00EA1F92">
        <w:rPr>
          <w:rFonts w:asciiTheme="minorBidi" w:hAnsiTheme="minorBidi" w:hint="cs"/>
          <w:u w:val="dotted"/>
          <w:rtl/>
        </w:rPr>
        <w:t>:</w:t>
      </w:r>
    </w:p>
    <w:p w14:paraId="19CA8F79" w14:textId="668908FC" w:rsidR="008641EF" w:rsidRPr="008641EF" w:rsidRDefault="0005702E" w:rsidP="00434A6A">
      <w:pPr>
        <w:pStyle w:val="aa"/>
        <w:numPr>
          <w:ilvl w:val="0"/>
          <w:numId w:val="32"/>
        </w:numPr>
        <w:rPr>
          <w:rFonts w:asciiTheme="minorBidi" w:hAnsiTheme="minorBidi"/>
        </w:rPr>
      </w:pPr>
      <w:r>
        <w:rPr>
          <w:rFonts w:asciiTheme="minorBidi" w:hAnsiTheme="minorBidi" w:cs="Arial" w:hint="cs"/>
          <w:rtl/>
        </w:rPr>
        <w:t xml:space="preserve">טור- </w:t>
      </w:r>
      <w:r w:rsidRPr="002065FF">
        <w:rPr>
          <w:rFonts w:asciiTheme="minorBidi" w:hAnsiTheme="minorBidi" w:cs="Arial"/>
          <w:rtl/>
        </w:rPr>
        <w:t>כוס שהריק בו מים חמין מכלי ראשון לשתייה</w:t>
      </w:r>
      <w:r w:rsidR="00A105F5">
        <w:rPr>
          <w:rStyle w:val="a9"/>
          <w:rFonts w:asciiTheme="minorBidi" w:hAnsiTheme="minorBidi" w:cs="Arial"/>
          <w:rtl/>
        </w:rPr>
        <w:footnoteReference w:id="2814"/>
      </w:r>
      <w:r w:rsidR="0089439F">
        <w:rPr>
          <w:rFonts w:asciiTheme="minorBidi" w:hAnsiTheme="minorBidi" w:cs="Arial" w:hint="cs"/>
          <w:rtl/>
        </w:rPr>
        <w:t xml:space="preserve"> -</w:t>
      </w:r>
      <w:r w:rsidRPr="002065FF">
        <w:rPr>
          <w:rFonts w:asciiTheme="minorBidi" w:hAnsiTheme="minorBidi" w:cs="Arial"/>
          <w:rtl/>
        </w:rPr>
        <w:t xml:space="preserve"> מותר לערב עמהם צוננים</w:t>
      </w:r>
      <w:r w:rsidR="0089439F">
        <w:rPr>
          <w:rFonts w:asciiTheme="minorBidi" w:hAnsiTheme="minorBidi" w:cs="Arial" w:hint="cs"/>
          <w:rtl/>
        </w:rPr>
        <w:t>,</w:t>
      </w:r>
      <w:r w:rsidRPr="002065FF">
        <w:rPr>
          <w:rFonts w:asciiTheme="minorBidi" w:hAnsiTheme="minorBidi" w:cs="Arial"/>
          <w:rtl/>
        </w:rPr>
        <w:t xml:space="preserve"> בין שיתן המים שבו לתוך הצוננין</w:t>
      </w:r>
      <w:r w:rsidR="0089439F">
        <w:rPr>
          <w:rFonts w:asciiTheme="minorBidi" w:hAnsiTheme="minorBidi" w:cs="Arial" w:hint="cs"/>
          <w:rtl/>
        </w:rPr>
        <w:t>,</w:t>
      </w:r>
      <w:r w:rsidRPr="002065FF">
        <w:rPr>
          <w:rFonts w:asciiTheme="minorBidi" w:hAnsiTheme="minorBidi" w:cs="Arial"/>
          <w:rtl/>
        </w:rPr>
        <w:t xml:space="preserve"> או שיתן הצוננין לתוכו</w:t>
      </w:r>
      <w:r w:rsidR="0072571A">
        <w:rPr>
          <w:rFonts w:asciiTheme="minorBidi" w:hAnsiTheme="minorBidi" w:cs="Arial" w:hint="cs"/>
          <w:sz w:val="16"/>
          <w:szCs w:val="16"/>
          <w:rtl/>
        </w:rPr>
        <w:t xml:space="preserve"> (ל' הטור)</w:t>
      </w:r>
      <w:r w:rsidR="00A105F5">
        <w:rPr>
          <w:rFonts w:asciiTheme="minorBidi" w:hAnsiTheme="minorBidi" w:cs="Arial" w:hint="cs"/>
          <w:rtl/>
        </w:rPr>
        <w:t>.</w:t>
      </w:r>
    </w:p>
    <w:p w14:paraId="7D5F02B6" w14:textId="34369FD2" w:rsidR="0072571A" w:rsidRPr="008641EF" w:rsidRDefault="008641EF" w:rsidP="008641EF">
      <w:pPr>
        <w:pStyle w:val="aa"/>
        <w:numPr>
          <w:ilvl w:val="0"/>
          <w:numId w:val="32"/>
        </w:numPr>
        <w:rPr>
          <w:rFonts w:asciiTheme="minorBidi" w:hAnsiTheme="minorBidi" w:cs="Arial"/>
        </w:rPr>
      </w:pPr>
      <w:r w:rsidRPr="0093742B">
        <w:rPr>
          <w:rFonts w:asciiTheme="minorBidi" w:hAnsiTheme="minorBidi" w:cs="Arial"/>
          <w:rtl/>
        </w:rPr>
        <w:t xml:space="preserve">רמב"ם </w:t>
      </w:r>
      <w:r w:rsidRPr="0093742B">
        <w:rPr>
          <w:rFonts w:asciiTheme="minorBidi" w:hAnsiTheme="minorBidi" w:cs="Arial" w:hint="cs"/>
          <w:sz w:val="16"/>
          <w:szCs w:val="16"/>
          <w:rtl/>
        </w:rPr>
        <w:t>(</w:t>
      </w:r>
      <w:r w:rsidRPr="0093742B">
        <w:rPr>
          <w:rFonts w:asciiTheme="minorBidi" w:hAnsiTheme="minorBidi" w:cs="Arial"/>
          <w:sz w:val="16"/>
          <w:szCs w:val="16"/>
          <w:rtl/>
        </w:rPr>
        <w:t>פכ"ב ה</w:t>
      </w:r>
      <w:r w:rsidRPr="0093742B">
        <w:rPr>
          <w:rFonts w:asciiTheme="minorBidi" w:hAnsiTheme="minorBidi" w:cs="Arial" w:hint="cs"/>
          <w:sz w:val="16"/>
          <w:szCs w:val="16"/>
          <w:rtl/>
        </w:rPr>
        <w:t>"</w:t>
      </w:r>
      <w:r w:rsidRPr="0093742B">
        <w:rPr>
          <w:rFonts w:asciiTheme="minorBidi" w:hAnsiTheme="minorBidi" w:cs="Arial"/>
          <w:sz w:val="16"/>
          <w:szCs w:val="16"/>
          <w:rtl/>
        </w:rPr>
        <w:t>ה-ו)</w:t>
      </w:r>
      <w:r w:rsidRPr="0093742B">
        <w:rPr>
          <w:rFonts w:asciiTheme="minorBidi" w:hAnsiTheme="minorBidi" w:cs="Arial" w:hint="cs"/>
          <w:rtl/>
        </w:rPr>
        <w:t xml:space="preserve">- </w:t>
      </w:r>
      <w:r w:rsidRPr="0093742B">
        <w:rPr>
          <w:rFonts w:asciiTheme="minorBidi" w:hAnsiTheme="minorBidi" w:cs="Arial"/>
          <w:rtl/>
        </w:rPr>
        <w:t>מותר לצוק מים חמין לתוך מים צונן</w:t>
      </w:r>
      <w:r w:rsidR="003119CF">
        <w:rPr>
          <w:rFonts w:asciiTheme="minorBidi" w:hAnsiTheme="minorBidi" w:cs="Arial" w:hint="cs"/>
          <w:rtl/>
        </w:rPr>
        <w:t>,</w:t>
      </w:r>
      <w:r w:rsidRPr="0093742B">
        <w:rPr>
          <w:rFonts w:asciiTheme="minorBidi" w:hAnsiTheme="minorBidi" w:cs="Arial"/>
          <w:rtl/>
        </w:rPr>
        <w:t xml:space="preserve"> או צונן לתוך החמין והוא שלא יהיו בכלי ראשון</w:t>
      </w:r>
      <w:r w:rsidR="003119CF">
        <w:rPr>
          <w:rFonts w:asciiTheme="minorBidi" w:hAnsiTheme="minorBidi" w:cs="Arial" w:hint="cs"/>
          <w:rtl/>
        </w:rPr>
        <w:t>,</w:t>
      </w:r>
      <w:r w:rsidRPr="0093742B">
        <w:rPr>
          <w:rFonts w:asciiTheme="minorBidi" w:hAnsiTheme="minorBidi" w:cs="Arial"/>
          <w:rtl/>
        </w:rPr>
        <w:t xml:space="preserve"> מפני שהוא מחממן הרבה</w:t>
      </w:r>
      <w:r w:rsidR="003F31D0">
        <w:rPr>
          <w:rStyle w:val="a9"/>
          <w:rFonts w:asciiTheme="minorBidi" w:hAnsiTheme="minorBidi" w:cs="Arial"/>
          <w:rtl/>
        </w:rPr>
        <w:footnoteReference w:id="2815"/>
      </w:r>
      <w:r w:rsidRPr="0093742B">
        <w:rPr>
          <w:rFonts w:asciiTheme="minorBidi" w:hAnsiTheme="minorBidi" w:cs="Arial" w:hint="cs"/>
          <w:rtl/>
        </w:rPr>
        <w:t>.</w:t>
      </w:r>
      <w:r>
        <w:rPr>
          <w:rFonts w:asciiTheme="minorBidi" w:hAnsiTheme="minorBidi" w:cs="Arial" w:hint="cs"/>
          <w:rtl/>
        </w:rPr>
        <w:t xml:space="preserve"> </w:t>
      </w:r>
      <w:r w:rsidRPr="008641EF">
        <w:rPr>
          <w:rFonts w:asciiTheme="minorBidi" w:hAnsiTheme="minorBidi" w:cs="Arial" w:hint="cs"/>
          <w:color w:val="E36C0A" w:themeColor="accent6" w:themeShade="BF"/>
          <w:rtl/>
        </w:rPr>
        <w:t>(וכ"פ בשו"ע</w:t>
      </w:r>
      <w:r w:rsidRPr="008641EF">
        <w:rPr>
          <w:rFonts w:asciiTheme="minorBidi" w:hAnsiTheme="minorBidi" w:cs="Arial" w:hint="cs"/>
          <w:color w:val="E36C0A" w:themeColor="accent6" w:themeShade="BF"/>
          <w:sz w:val="16"/>
          <w:szCs w:val="16"/>
          <w:rtl/>
        </w:rPr>
        <w:t xml:space="preserve"> </w:t>
      </w:r>
      <w:r>
        <w:rPr>
          <w:rFonts w:asciiTheme="minorBidi" w:hAnsiTheme="minorBidi" w:cs="Arial" w:hint="cs"/>
          <w:sz w:val="16"/>
          <w:szCs w:val="16"/>
          <w:rtl/>
        </w:rPr>
        <w:t>[בסע' הבא]</w:t>
      </w:r>
      <w:r w:rsidRPr="008641EF">
        <w:rPr>
          <w:rFonts w:asciiTheme="minorBidi" w:hAnsiTheme="minorBidi" w:cs="Arial" w:hint="cs"/>
          <w:color w:val="E36C0A" w:themeColor="accent6" w:themeShade="BF"/>
          <w:rtl/>
        </w:rPr>
        <w:t>)</w:t>
      </w:r>
      <w:r w:rsidR="006E6827" w:rsidRPr="008641EF">
        <w:rPr>
          <w:rFonts w:asciiTheme="minorBidi" w:hAnsiTheme="minorBidi" w:cs="Arial"/>
          <w:rtl/>
        </w:rPr>
        <w:t xml:space="preserve"> </w:t>
      </w:r>
    </w:p>
    <w:p w14:paraId="3E397525" w14:textId="7B20C63B" w:rsidR="0072571A" w:rsidRPr="0072571A" w:rsidRDefault="0072571A" w:rsidP="0072571A">
      <w:pPr>
        <w:ind w:left="720"/>
        <w:rPr>
          <w:rFonts w:asciiTheme="minorBidi" w:hAnsiTheme="minorBidi"/>
          <w:u w:val="wave"/>
        </w:rPr>
      </w:pPr>
      <w:r>
        <w:rPr>
          <w:rFonts w:asciiTheme="minorBidi" w:hAnsiTheme="minorBidi" w:hint="cs"/>
          <w:u w:val="wave"/>
          <w:rtl/>
        </w:rPr>
        <w:t>ומה הדין אם הכוס לשתייה היא כלי ראשון:</w:t>
      </w:r>
    </w:p>
    <w:p w14:paraId="67D87F2D" w14:textId="4103DD3C" w:rsidR="004B38B6" w:rsidRPr="004B38B6" w:rsidRDefault="0072571A" w:rsidP="00434A6A">
      <w:pPr>
        <w:pStyle w:val="aa"/>
        <w:numPr>
          <w:ilvl w:val="0"/>
          <w:numId w:val="32"/>
        </w:numPr>
        <w:rPr>
          <w:rFonts w:asciiTheme="minorBidi" w:hAnsiTheme="minorBidi"/>
        </w:rPr>
      </w:pPr>
      <w:r>
        <w:rPr>
          <w:rFonts w:asciiTheme="minorBidi" w:hAnsiTheme="minorBidi" w:cs="Arial" w:hint="cs"/>
          <w:rtl/>
        </w:rPr>
        <w:t xml:space="preserve">טור- </w:t>
      </w:r>
      <w:r w:rsidR="006E6827" w:rsidRPr="002065FF">
        <w:rPr>
          <w:rFonts w:asciiTheme="minorBidi" w:hAnsiTheme="minorBidi" w:cs="Arial"/>
          <w:rtl/>
        </w:rPr>
        <w:t>ובכלי ראשון והוא לשתייה</w:t>
      </w:r>
      <w:r w:rsidR="00B66EFB">
        <w:rPr>
          <w:rStyle w:val="a9"/>
          <w:rFonts w:asciiTheme="minorBidi" w:hAnsiTheme="minorBidi" w:cs="Arial"/>
          <w:rtl/>
        </w:rPr>
        <w:footnoteReference w:id="2816"/>
      </w:r>
      <w:r w:rsidR="006E6827" w:rsidRPr="002065FF">
        <w:rPr>
          <w:rFonts w:asciiTheme="minorBidi" w:hAnsiTheme="minorBidi" w:cs="Arial"/>
          <w:rtl/>
        </w:rPr>
        <w:t xml:space="preserve"> </w:t>
      </w:r>
      <w:r w:rsidR="006E6827">
        <w:rPr>
          <w:rFonts w:asciiTheme="minorBidi" w:hAnsiTheme="minorBidi" w:cs="Arial" w:hint="cs"/>
          <w:rtl/>
        </w:rPr>
        <w:t xml:space="preserve">- </w:t>
      </w:r>
      <w:r w:rsidR="006E6827" w:rsidRPr="002065FF">
        <w:rPr>
          <w:rFonts w:asciiTheme="minorBidi" w:hAnsiTheme="minorBidi" w:cs="Arial"/>
          <w:rtl/>
        </w:rPr>
        <w:t>מותר לערות ממנו לתוך צוננין</w:t>
      </w:r>
      <w:r w:rsidR="00977B16">
        <w:rPr>
          <w:rStyle w:val="a9"/>
          <w:rFonts w:asciiTheme="minorBidi" w:hAnsiTheme="minorBidi" w:cs="Arial"/>
          <w:rtl/>
        </w:rPr>
        <w:footnoteReference w:id="2817"/>
      </w:r>
      <w:r w:rsidR="006E6827">
        <w:rPr>
          <w:rFonts w:asciiTheme="minorBidi" w:hAnsiTheme="minorBidi" w:cs="Arial" w:hint="cs"/>
          <w:rtl/>
        </w:rPr>
        <w:t>,</w:t>
      </w:r>
      <w:r w:rsidR="006E6827" w:rsidRPr="002065FF">
        <w:rPr>
          <w:rFonts w:asciiTheme="minorBidi" w:hAnsiTheme="minorBidi" w:cs="Arial"/>
          <w:rtl/>
        </w:rPr>
        <w:t xml:space="preserve"> ואסור לערות צוננין לתוכו</w:t>
      </w:r>
      <w:r w:rsidR="006E6827">
        <w:rPr>
          <w:rFonts w:asciiTheme="minorBidi" w:hAnsiTheme="minorBidi" w:cs="Arial" w:hint="cs"/>
          <w:rtl/>
        </w:rPr>
        <w:t>.</w:t>
      </w:r>
      <w:r w:rsidR="006E6827" w:rsidRPr="002065FF">
        <w:rPr>
          <w:rFonts w:asciiTheme="minorBidi" w:hAnsiTheme="minorBidi" w:cs="Arial"/>
          <w:rtl/>
        </w:rPr>
        <w:t xml:space="preserve"> וה"מ מעט צוננין</w:t>
      </w:r>
      <w:r w:rsidR="006E6827">
        <w:rPr>
          <w:rFonts w:asciiTheme="minorBidi" w:hAnsiTheme="minorBidi" w:cs="Arial" w:hint="cs"/>
          <w:rtl/>
        </w:rPr>
        <w:t>,</w:t>
      </w:r>
      <w:r w:rsidR="006E6827" w:rsidRPr="002065FF">
        <w:rPr>
          <w:rFonts w:asciiTheme="minorBidi" w:hAnsiTheme="minorBidi" w:cs="Arial"/>
          <w:rtl/>
        </w:rPr>
        <w:t xml:space="preserve"> אבל אם הן מרובים ואין יכולין להתבשל בהם אלא להפיג צינתן </w:t>
      </w:r>
      <w:r w:rsidR="006E6827">
        <w:rPr>
          <w:rFonts w:asciiTheme="minorBidi" w:hAnsiTheme="minorBidi" w:cs="Arial" w:hint="cs"/>
          <w:rtl/>
        </w:rPr>
        <w:t xml:space="preserve">- </w:t>
      </w:r>
      <w:r w:rsidR="006E6827" w:rsidRPr="002065FF">
        <w:rPr>
          <w:rFonts w:asciiTheme="minorBidi" w:hAnsiTheme="minorBidi" w:cs="Arial"/>
          <w:rtl/>
        </w:rPr>
        <w:t>מותר</w:t>
      </w:r>
      <w:r w:rsidR="006E6827">
        <w:rPr>
          <w:rStyle w:val="a9"/>
          <w:rFonts w:asciiTheme="minorBidi" w:hAnsiTheme="minorBidi" w:cs="Arial"/>
          <w:rtl/>
        </w:rPr>
        <w:footnoteReference w:id="2818"/>
      </w:r>
      <w:r>
        <w:rPr>
          <w:rFonts w:asciiTheme="minorBidi" w:hAnsiTheme="minorBidi" w:cs="Arial" w:hint="cs"/>
          <w:rtl/>
        </w:rPr>
        <w:t>.</w:t>
      </w:r>
      <w:r w:rsidR="008C37A2">
        <w:rPr>
          <w:rFonts w:asciiTheme="minorBidi" w:hAnsiTheme="minorBidi" w:hint="cs"/>
          <w:rtl/>
        </w:rPr>
        <w:t xml:space="preserve"> </w:t>
      </w:r>
      <w:r w:rsidR="008C37A2" w:rsidRPr="008C37A2">
        <w:rPr>
          <w:rFonts w:asciiTheme="minorBidi" w:hAnsiTheme="minorBidi" w:hint="cs"/>
          <w:color w:val="00B0F0"/>
          <w:rtl/>
        </w:rPr>
        <w:t>(וכ"פ הרמ"א</w:t>
      </w:r>
      <w:r w:rsidR="008C37A2" w:rsidRPr="008C37A2">
        <w:rPr>
          <w:rFonts w:asciiTheme="minorBidi" w:hAnsiTheme="minorBidi" w:hint="cs"/>
          <w:color w:val="00B0F0"/>
          <w:sz w:val="16"/>
          <w:szCs w:val="16"/>
          <w:rtl/>
        </w:rPr>
        <w:t xml:space="preserve"> </w:t>
      </w:r>
      <w:r w:rsidR="008C37A2">
        <w:rPr>
          <w:rFonts w:asciiTheme="minorBidi" w:hAnsiTheme="minorBidi" w:hint="cs"/>
          <w:sz w:val="16"/>
          <w:szCs w:val="16"/>
          <w:rtl/>
        </w:rPr>
        <w:t>[בסע' הבא]</w:t>
      </w:r>
      <w:r w:rsidR="008C37A2" w:rsidRPr="008C37A2">
        <w:rPr>
          <w:rFonts w:asciiTheme="minorBidi" w:hAnsiTheme="minorBidi" w:hint="cs"/>
          <w:color w:val="00B0F0"/>
          <w:rtl/>
        </w:rPr>
        <w:t>)</w:t>
      </w:r>
    </w:p>
    <w:p w14:paraId="20DABDA7" w14:textId="358D325A" w:rsidR="00EA1F92" w:rsidRPr="00EA1F92" w:rsidRDefault="004B38B6" w:rsidP="00434A6A">
      <w:pPr>
        <w:pStyle w:val="aa"/>
        <w:numPr>
          <w:ilvl w:val="0"/>
          <w:numId w:val="32"/>
        </w:numPr>
        <w:rPr>
          <w:rFonts w:asciiTheme="minorBidi" w:hAnsiTheme="minorBidi"/>
        </w:rPr>
      </w:pPr>
      <w:r>
        <w:rPr>
          <w:rFonts w:asciiTheme="minorBidi" w:hAnsiTheme="minorBidi" w:cs="Arial" w:hint="cs"/>
          <w:rtl/>
        </w:rPr>
        <w:t>(רמב"ם</w:t>
      </w:r>
      <w:r>
        <w:rPr>
          <w:rFonts w:asciiTheme="minorBidi" w:hAnsiTheme="minorBidi" w:cs="Arial" w:hint="cs"/>
          <w:sz w:val="16"/>
          <w:szCs w:val="16"/>
          <w:rtl/>
        </w:rPr>
        <w:t xml:space="preserve"> [שם ה"ה-ו] להב' הב"י</w:t>
      </w:r>
      <w:r>
        <w:rPr>
          <w:rFonts w:asciiTheme="minorBidi" w:hAnsiTheme="minorBidi" w:cs="Arial" w:hint="cs"/>
          <w:rtl/>
        </w:rPr>
        <w:t>)-</w:t>
      </w:r>
      <w:r w:rsidR="00A105F5" w:rsidRPr="00A105F5">
        <w:rPr>
          <w:rFonts w:asciiTheme="minorBidi" w:hAnsiTheme="minorBidi" w:cs="Arial"/>
          <w:rtl/>
        </w:rPr>
        <w:t xml:space="preserve"> </w:t>
      </w:r>
      <w:r>
        <w:rPr>
          <w:rFonts w:asciiTheme="minorBidi" w:hAnsiTheme="minorBidi" w:cs="Arial" w:hint="cs"/>
          <w:rtl/>
        </w:rPr>
        <w:t xml:space="preserve">אין </w:t>
      </w:r>
      <w:r w:rsidRPr="00DD3262">
        <w:rPr>
          <w:rFonts w:asciiTheme="minorBidi" w:hAnsiTheme="minorBidi" w:cs="Arial"/>
          <w:rtl/>
        </w:rPr>
        <w:t>לחלק בין אמבטי שהוא כלי ראשון לשאר כלי ראשון</w:t>
      </w:r>
      <w:r>
        <w:rPr>
          <w:rFonts w:asciiTheme="minorBidi" w:hAnsiTheme="minorBidi" w:cs="Arial" w:hint="cs"/>
          <w:rtl/>
        </w:rPr>
        <w:t>...</w:t>
      </w:r>
      <w:r w:rsidRPr="00DD3262">
        <w:rPr>
          <w:rFonts w:asciiTheme="minorBidi" w:hAnsiTheme="minorBidi" w:cs="Arial"/>
          <w:rtl/>
        </w:rPr>
        <w:t xml:space="preserve"> ודין כל כלי ראשון שוה לו</w:t>
      </w:r>
      <w:r>
        <w:rPr>
          <w:rFonts w:asciiTheme="minorBidi" w:hAnsiTheme="minorBidi" w:cs="Arial" w:hint="cs"/>
          <w:sz w:val="16"/>
          <w:szCs w:val="16"/>
          <w:rtl/>
        </w:rPr>
        <w:t xml:space="preserve"> {לאמבטי}</w:t>
      </w:r>
      <w:r>
        <w:rPr>
          <w:rFonts w:asciiTheme="minorBidi" w:hAnsiTheme="minorBidi" w:cs="Arial" w:hint="cs"/>
          <w:rtl/>
        </w:rPr>
        <w:t>,</w:t>
      </w:r>
      <w:r w:rsidRPr="00DD3262">
        <w:rPr>
          <w:rFonts w:asciiTheme="minorBidi" w:hAnsiTheme="minorBidi" w:cs="Arial"/>
          <w:rtl/>
        </w:rPr>
        <w:t xml:space="preserve"> דלא שרי אלא חמין לתוך צונן</w:t>
      </w:r>
      <w:r>
        <w:rPr>
          <w:rFonts w:asciiTheme="minorBidi" w:hAnsiTheme="minorBidi" w:cs="Arial" w:hint="cs"/>
          <w:rtl/>
        </w:rPr>
        <w:t>,</w:t>
      </w:r>
      <w:r w:rsidRPr="00DD3262">
        <w:rPr>
          <w:rFonts w:asciiTheme="minorBidi" w:hAnsiTheme="minorBidi" w:cs="Arial"/>
          <w:rtl/>
        </w:rPr>
        <w:t xml:space="preserve"> ולא צונן לתוך חמין</w:t>
      </w:r>
      <w:r>
        <w:rPr>
          <w:rFonts w:asciiTheme="minorBidi" w:hAnsiTheme="minorBidi" w:hint="cs"/>
          <w:rtl/>
        </w:rPr>
        <w:t>...</w:t>
      </w:r>
      <w:r w:rsidRPr="004B38B6">
        <w:rPr>
          <w:rFonts w:asciiTheme="minorBidi" w:hAnsiTheme="minorBidi" w:cs="Arial"/>
          <w:rtl/>
        </w:rPr>
        <w:t xml:space="preserve"> </w:t>
      </w:r>
      <w:r w:rsidRPr="00DD3262">
        <w:rPr>
          <w:rFonts w:asciiTheme="minorBidi" w:hAnsiTheme="minorBidi" w:cs="Arial"/>
          <w:rtl/>
        </w:rPr>
        <w:t>ומיהו אפשר</w:t>
      </w:r>
      <w:r>
        <w:rPr>
          <w:rFonts w:asciiTheme="minorBidi" w:hAnsiTheme="minorBidi" w:cs="Arial" w:hint="cs"/>
          <w:rtl/>
        </w:rPr>
        <w:t>...</w:t>
      </w:r>
      <w:r w:rsidRPr="00DD3262">
        <w:rPr>
          <w:rFonts w:asciiTheme="minorBidi" w:hAnsiTheme="minorBidi" w:cs="Arial"/>
          <w:rtl/>
        </w:rPr>
        <w:t xml:space="preserve"> דבצונן מועטים מיירי שהן מתחממין הרבה</w:t>
      </w:r>
      <w:r>
        <w:rPr>
          <w:rFonts w:asciiTheme="minorBidi" w:hAnsiTheme="minorBidi" w:cs="Arial" w:hint="cs"/>
          <w:rtl/>
        </w:rPr>
        <w:t>,</w:t>
      </w:r>
      <w:r w:rsidRPr="00DD3262">
        <w:rPr>
          <w:rFonts w:asciiTheme="minorBidi" w:hAnsiTheme="minorBidi" w:cs="Arial"/>
          <w:rtl/>
        </w:rPr>
        <w:t xml:space="preserve"> אבל בצונן מרובים שרי</w:t>
      </w:r>
      <w:r w:rsidR="0093742B">
        <w:rPr>
          <w:rFonts w:asciiTheme="minorBidi" w:hAnsiTheme="minorBidi" w:cs="Arial" w:hint="cs"/>
          <w:rtl/>
        </w:rPr>
        <w:t xml:space="preserve"> </w:t>
      </w:r>
      <w:r w:rsidR="0093742B">
        <w:rPr>
          <w:rFonts w:asciiTheme="minorBidi" w:hAnsiTheme="minorBidi" w:hint="cs"/>
          <w:sz w:val="16"/>
          <w:szCs w:val="16"/>
          <w:rtl/>
        </w:rPr>
        <w:t>(ל' הב"י בשמו)</w:t>
      </w:r>
      <w:r>
        <w:rPr>
          <w:rFonts w:asciiTheme="minorBidi" w:hAnsiTheme="minorBidi" w:hint="cs"/>
          <w:rtl/>
        </w:rPr>
        <w:t>.</w:t>
      </w:r>
    </w:p>
    <w:p w14:paraId="62B4FA0B" w14:textId="19A1C5EA" w:rsidR="00EA1F92" w:rsidRPr="00EA1F92" w:rsidRDefault="00EA1F92" w:rsidP="00EA1F92">
      <w:pPr>
        <w:ind w:left="360"/>
        <w:rPr>
          <w:rFonts w:asciiTheme="minorBidi" w:hAnsiTheme="minorBidi"/>
          <w:u w:val="dotted"/>
        </w:rPr>
      </w:pPr>
      <w:r w:rsidRPr="00EA1F92">
        <w:rPr>
          <w:rFonts w:asciiTheme="minorBidi" w:hAnsiTheme="minorBidi" w:hint="cs"/>
          <w:u w:val="dotted"/>
          <w:rtl/>
        </w:rPr>
        <w:t>ספל של רחיצה:</w:t>
      </w:r>
    </w:p>
    <w:p w14:paraId="1D8D3622" w14:textId="63F181D6" w:rsidR="004F21A7" w:rsidRDefault="00EA1F92" w:rsidP="002A28BB">
      <w:pPr>
        <w:pStyle w:val="aa"/>
        <w:numPr>
          <w:ilvl w:val="0"/>
          <w:numId w:val="32"/>
        </w:numPr>
        <w:rPr>
          <w:rFonts w:asciiTheme="minorBidi" w:hAnsiTheme="minorBidi"/>
        </w:rPr>
      </w:pPr>
      <w:r>
        <w:rPr>
          <w:rFonts w:asciiTheme="minorBidi" w:hAnsiTheme="minorBidi" w:cs="Arial" w:hint="cs"/>
          <w:rtl/>
        </w:rPr>
        <w:t xml:space="preserve">טור- </w:t>
      </w:r>
      <w:r w:rsidR="00A105F5" w:rsidRPr="002065FF">
        <w:rPr>
          <w:rFonts w:asciiTheme="minorBidi" w:hAnsiTheme="minorBidi" w:cs="Arial"/>
          <w:rtl/>
        </w:rPr>
        <w:t>אבל ספל</w:t>
      </w:r>
      <w:r w:rsidR="00AC62EE">
        <w:rPr>
          <w:rStyle w:val="a9"/>
          <w:rFonts w:asciiTheme="minorBidi" w:hAnsiTheme="minorBidi" w:cs="Arial"/>
          <w:rtl/>
        </w:rPr>
        <w:footnoteReference w:id="2819"/>
      </w:r>
      <w:r w:rsidR="00A105F5" w:rsidRPr="002065FF">
        <w:rPr>
          <w:rFonts w:asciiTheme="minorBidi" w:hAnsiTheme="minorBidi" w:cs="Arial"/>
          <w:rtl/>
        </w:rPr>
        <w:t xml:space="preserve"> שיש בו מים חמין לרחיצה</w:t>
      </w:r>
      <w:r w:rsidR="00A105F5">
        <w:rPr>
          <w:rFonts w:asciiTheme="minorBidi" w:hAnsiTheme="minorBidi" w:cs="Arial" w:hint="cs"/>
          <w:rtl/>
        </w:rPr>
        <w:t>,</w:t>
      </w:r>
      <w:r w:rsidR="00A105F5" w:rsidRPr="002065FF">
        <w:rPr>
          <w:rFonts w:asciiTheme="minorBidi" w:hAnsiTheme="minorBidi" w:cs="Arial"/>
          <w:rtl/>
        </w:rPr>
        <w:t xml:space="preserve"> אפילו הוא כלי שני </w:t>
      </w:r>
      <w:r w:rsidR="00A105F5">
        <w:rPr>
          <w:rFonts w:asciiTheme="minorBidi" w:hAnsiTheme="minorBidi" w:cs="Arial" w:hint="cs"/>
          <w:rtl/>
        </w:rPr>
        <w:t xml:space="preserve">- </w:t>
      </w:r>
      <w:r w:rsidR="00A105F5" w:rsidRPr="002065FF">
        <w:rPr>
          <w:rFonts w:asciiTheme="minorBidi" w:hAnsiTheme="minorBidi" w:cs="Arial"/>
          <w:rtl/>
        </w:rPr>
        <w:t>אסור ליתן בהן צוננין</w:t>
      </w:r>
      <w:r w:rsidR="00A105F5">
        <w:rPr>
          <w:rFonts w:asciiTheme="minorBidi" w:hAnsiTheme="minorBidi" w:cs="Arial" w:hint="cs"/>
          <w:rtl/>
        </w:rPr>
        <w:t>,</w:t>
      </w:r>
      <w:r w:rsidR="00A105F5" w:rsidRPr="002065FF">
        <w:rPr>
          <w:rFonts w:asciiTheme="minorBidi" w:hAnsiTheme="minorBidi" w:cs="Arial"/>
          <w:rtl/>
        </w:rPr>
        <w:t xml:space="preserve"> דכיון שהם לרחיצה סתמא חמין הן הרבה ומתבשלין הצוננין שמערבים בהן</w:t>
      </w:r>
      <w:r w:rsidR="00A105F5">
        <w:rPr>
          <w:rFonts w:asciiTheme="minorBidi" w:hAnsiTheme="minorBidi" w:cs="Arial" w:hint="cs"/>
          <w:rtl/>
        </w:rPr>
        <w:t>.</w:t>
      </w:r>
      <w:r w:rsidR="00A105F5" w:rsidRPr="002065FF">
        <w:rPr>
          <w:rFonts w:asciiTheme="minorBidi" w:hAnsiTheme="minorBidi" w:cs="Arial"/>
          <w:rtl/>
        </w:rPr>
        <w:t xml:space="preserve"> אבל לערות מהם לתוך צונן </w:t>
      </w:r>
      <w:r w:rsidR="00A105F5">
        <w:rPr>
          <w:rFonts w:asciiTheme="minorBidi" w:hAnsiTheme="minorBidi" w:cs="Arial" w:hint="cs"/>
          <w:rtl/>
        </w:rPr>
        <w:t xml:space="preserve">- </w:t>
      </w:r>
      <w:r w:rsidR="00A105F5" w:rsidRPr="002065FF">
        <w:rPr>
          <w:rFonts w:asciiTheme="minorBidi" w:hAnsiTheme="minorBidi" w:cs="Arial"/>
          <w:rtl/>
        </w:rPr>
        <w:t>מותר</w:t>
      </w:r>
      <w:r w:rsidR="00A105F5">
        <w:rPr>
          <w:rFonts w:asciiTheme="minorBidi" w:hAnsiTheme="minorBidi" w:cs="Arial" w:hint="cs"/>
          <w:rtl/>
        </w:rPr>
        <w:t>,</w:t>
      </w:r>
      <w:r w:rsidR="00A105F5" w:rsidRPr="002065FF">
        <w:rPr>
          <w:rFonts w:asciiTheme="minorBidi" w:hAnsiTheme="minorBidi" w:cs="Arial"/>
          <w:rtl/>
        </w:rPr>
        <w:t xml:space="preserve"> דתתאה גבר</w:t>
      </w:r>
      <w:r w:rsidR="006E6827">
        <w:rPr>
          <w:rFonts w:asciiTheme="minorBidi" w:hAnsiTheme="minorBidi" w:cs="Arial" w:hint="cs"/>
          <w:rtl/>
        </w:rPr>
        <w:t xml:space="preserve"> </w:t>
      </w:r>
      <w:r w:rsidR="00D101E0">
        <w:rPr>
          <w:rFonts w:asciiTheme="minorBidi" w:hAnsiTheme="minorBidi" w:cs="Arial" w:hint="cs"/>
          <w:sz w:val="16"/>
          <w:szCs w:val="16"/>
          <w:rtl/>
        </w:rPr>
        <w:t>(ל' הטור)</w:t>
      </w:r>
      <w:r w:rsidR="0005702E">
        <w:rPr>
          <w:rFonts w:asciiTheme="minorBidi" w:hAnsiTheme="minorBidi" w:cs="Arial" w:hint="cs"/>
          <w:rtl/>
        </w:rPr>
        <w:t>.</w:t>
      </w:r>
    </w:p>
    <w:p w14:paraId="758F7E88" w14:textId="261F0ED5" w:rsidR="00B4428E" w:rsidRPr="004F21A7" w:rsidRDefault="0072571A" w:rsidP="002A28BB">
      <w:pPr>
        <w:pStyle w:val="aa"/>
        <w:numPr>
          <w:ilvl w:val="0"/>
          <w:numId w:val="32"/>
        </w:numPr>
        <w:rPr>
          <w:rFonts w:asciiTheme="minorBidi" w:hAnsiTheme="minorBidi"/>
        </w:rPr>
      </w:pPr>
      <w:r>
        <w:rPr>
          <w:rFonts w:asciiTheme="minorBidi" w:hAnsiTheme="minorBidi" w:hint="cs"/>
          <w:rtl/>
        </w:rPr>
        <w:t xml:space="preserve">רי"ף </w:t>
      </w:r>
      <w:r>
        <w:rPr>
          <w:rFonts w:asciiTheme="minorBidi" w:hAnsiTheme="minorBidi" w:hint="cs"/>
          <w:sz w:val="16"/>
          <w:szCs w:val="16"/>
          <w:rtl/>
        </w:rPr>
        <w:t xml:space="preserve">(כ.) </w:t>
      </w:r>
      <w:r>
        <w:rPr>
          <w:rFonts w:asciiTheme="minorBidi" w:hAnsiTheme="minorBidi" w:hint="cs"/>
          <w:rtl/>
        </w:rPr>
        <w:t xml:space="preserve">תוס' </w:t>
      </w:r>
      <w:r>
        <w:rPr>
          <w:rFonts w:asciiTheme="minorBidi" w:hAnsiTheme="minorBidi" w:hint="cs"/>
          <w:sz w:val="16"/>
          <w:szCs w:val="16"/>
          <w:rtl/>
        </w:rPr>
        <w:t>(מב. ד"ה אבל באמבטי</w:t>
      </w:r>
      <w:r w:rsidR="00733C60">
        <w:rPr>
          <w:rFonts w:asciiTheme="minorBidi" w:hAnsiTheme="minorBidi" w:hint="cs"/>
          <w:sz w:val="16"/>
          <w:szCs w:val="16"/>
          <w:rtl/>
        </w:rPr>
        <w:t>, וד"ה נותן</w:t>
      </w:r>
      <w:r>
        <w:rPr>
          <w:rFonts w:asciiTheme="minorBidi" w:hAnsiTheme="minorBidi" w:hint="cs"/>
          <w:sz w:val="16"/>
          <w:szCs w:val="16"/>
          <w:rtl/>
        </w:rPr>
        <w:t>)</w:t>
      </w:r>
      <w:r>
        <w:rPr>
          <w:rFonts w:asciiTheme="minorBidi" w:hAnsiTheme="minorBidi" w:cs="Arial" w:hint="cs"/>
          <w:rtl/>
        </w:rPr>
        <w:t xml:space="preserve"> </w:t>
      </w:r>
      <w:r w:rsidR="00B4428E">
        <w:rPr>
          <w:rFonts w:asciiTheme="minorBidi" w:hAnsiTheme="minorBidi" w:cs="Arial" w:hint="cs"/>
          <w:rtl/>
        </w:rPr>
        <w:t xml:space="preserve">רי"ו </w:t>
      </w:r>
      <w:r w:rsidR="00B4428E" w:rsidRPr="00B6096F">
        <w:rPr>
          <w:rFonts w:asciiTheme="minorBidi" w:hAnsiTheme="minorBidi" w:cs="Arial" w:hint="cs"/>
          <w:sz w:val="16"/>
          <w:szCs w:val="16"/>
          <w:rtl/>
        </w:rPr>
        <w:t>(</w:t>
      </w:r>
      <w:r w:rsidR="00B4428E" w:rsidRPr="00B6096F">
        <w:rPr>
          <w:rFonts w:asciiTheme="minorBidi" w:hAnsiTheme="minorBidi" w:cs="Arial"/>
          <w:sz w:val="16"/>
          <w:szCs w:val="16"/>
          <w:rtl/>
        </w:rPr>
        <w:t>ח</w:t>
      </w:r>
      <w:r w:rsidR="00B4428E" w:rsidRPr="00B6096F">
        <w:rPr>
          <w:rFonts w:asciiTheme="minorBidi" w:hAnsiTheme="minorBidi" w:cs="Arial" w:hint="cs"/>
          <w:sz w:val="16"/>
          <w:szCs w:val="16"/>
          <w:rtl/>
        </w:rPr>
        <w:t>"</w:t>
      </w:r>
      <w:r w:rsidR="00B4428E" w:rsidRPr="00B6096F">
        <w:rPr>
          <w:rFonts w:asciiTheme="minorBidi" w:hAnsiTheme="minorBidi" w:cs="Arial"/>
          <w:sz w:val="16"/>
          <w:szCs w:val="16"/>
          <w:rtl/>
        </w:rPr>
        <w:t>ג נ</w:t>
      </w:r>
      <w:r w:rsidR="00B4428E" w:rsidRPr="00B6096F">
        <w:rPr>
          <w:rFonts w:asciiTheme="minorBidi" w:hAnsiTheme="minorBidi" w:cs="Arial" w:hint="cs"/>
          <w:sz w:val="16"/>
          <w:szCs w:val="16"/>
          <w:rtl/>
        </w:rPr>
        <w:t>"</w:t>
      </w:r>
      <w:r w:rsidR="00B4428E" w:rsidRPr="00B6096F">
        <w:rPr>
          <w:rFonts w:asciiTheme="minorBidi" w:hAnsiTheme="minorBidi" w:cs="Arial"/>
          <w:sz w:val="16"/>
          <w:szCs w:val="16"/>
          <w:rtl/>
        </w:rPr>
        <w:t>יב סט סוע"ד)</w:t>
      </w:r>
      <w:r w:rsidR="00B4428E">
        <w:rPr>
          <w:rFonts w:asciiTheme="minorBidi" w:hAnsiTheme="minorBidi" w:cs="Arial" w:hint="cs"/>
          <w:rtl/>
        </w:rPr>
        <w:t xml:space="preserve"> ו</w:t>
      </w:r>
      <w:r w:rsidR="00B4428E" w:rsidRPr="002A28BB">
        <w:rPr>
          <w:rFonts w:asciiTheme="minorBidi" w:hAnsiTheme="minorBidi" w:cs="Arial"/>
          <w:rtl/>
        </w:rPr>
        <w:t xml:space="preserve">ר"ן </w:t>
      </w:r>
      <w:r w:rsidR="00B4428E" w:rsidRPr="00B6096F">
        <w:rPr>
          <w:rFonts w:asciiTheme="minorBidi" w:hAnsiTheme="minorBidi" w:cs="Arial"/>
          <w:sz w:val="16"/>
          <w:szCs w:val="16"/>
          <w:rtl/>
        </w:rPr>
        <w:t>(כ.)</w:t>
      </w:r>
      <w:r w:rsidR="00B4428E">
        <w:rPr>
          <w:rFonts w:asciiTheme="minorBidi" w:hAnsiTheme="minorBidi" w:cs="Arial" w:hint="cs"/>
          <w:rtl/>
        </w:rPr>
        <w:t xml:space="preserve">- </w:t>
      </w:r>
      <w:r w:rsidR="00B4428E" w:rsidRPr="00B46257">
        <w:rPr>
          <w:rFonts w:asciiTheme="minorBidi" w:hAnsiTheme="minorBidi" w:cs="Arial"/>
          <w:rtl/>
        </w:rPr>
        <w:t>מערב אדם קיתון של מים לתוך ספל של מים</w:t>
      </w:r>
      <w:r w:rsidR="00B4428E">
        <w:rPr>
          <w:rFonts w:asciiTheme="minorBidi" w:hAnsiTheme="minorBidi" w:cs="Arial" w:hint="cs"/>
          <w:rtl/>
        </w:rPr>
        <w:t>,</w:t>
      </w:r>
      <w:r w:rsidR="00B4428E" w:rsidRPr="00B46257">
        <w:rPr>
          <w:rFonts w:asciiTheme="minorBidi" w:hAnsiTheme="minorBidi" w:cs="Arial"/>
          <w:rtl/>
        </w:rPr>
        <w:t xml:space="preserve"> בין חמין לתוך צונן ובין צונן לתוך חמין</w:t>
      </w:r>
      <w:r>
        <w:rPr>
          <w:rFonts w:asciiTheme="minorBidi" w:hAnsiTheme="minorBidi" w:cs="Arial" w:hint="cs"/>
          <w:rtl/>
        </w:rPr>
        <w:t xml:space="preserve"> </w:t>
      </w:r>
      <w:r>
        <w:rPr>
          <w:rFonts w:asciiTheme="minorBidi" w:hAnsiTheme="minorBidi" w:cs="Arial" w:hint="cs"/>
          <w:sz w:val="16"/>
          <w:szCs w:val="16"/>
          <w:rtl/>
        </w:rPr>
        <w:t>(ל' הגמ' והרי"ף)</w:t>
      </w:r>
      <w:r>
        <w:rPr>
          <w:rFonts w:asciiTheme="minorBidi" w:hAnsiTheme="minorBidi" w:cs="Arial" w:hint="cs"/>
          <w:rtl/>
        </w:rPr>
        <w:t>,</w:t>
      </w:r>
      <w:r w:rsidR="00B4428E" w:rsidRPr="00B46257">
        <w:rPr>
          <w:rFonts w:asciiTheme="minorBidi" w:hAnsiTheme="minorBidi" w:cs="Arial"/>
          <w:rtl/>
        </w:rPr>
        <w:t xml:space="preserve"> שהוא </w:t>
      </w:r>
      <w:r w:rsidR="00B4428E">
        <w:rPr>
          <w:rFonts w:asciiTheme="minorBidi" w:hAnsiTheme="minorBidi" w:cs="Arial" w:hint="cs"/>
          <w:sz w:val="16"/>
          <w:szCs w:val="16"/>
          <w:rtl/>
        </w:rPr>
        <w:t xml:space="preserve">{הספל} </w:t>
      </w:r>
      <w:r w:rsidR="00B4428E" w:rsidRPr="00B46257">
        <w:rPr>
          <w:rFonts w:asciiTheme="minorBidi" w:hAnsiTheme="minorBidi" w:cs="Arial"/>
          <w:rtl/>
        </w:rPr>
        <w:t>כלי שני</w:t>
      </w:r>
      <w:r>
        <w:rPr>
          <w:rFonts w:asciiTheme="minorBidi" w:hAnsiTheme="minorBidi" w:cs="Arial" w:hint="cs"/>
          <w:sz w:val="16"/>
          <w:szCs w:val="16"/>
          <w:rtl/>
        </w:rPr>
        <w:t xml:space="preserve"> (ל' הר"ן)</w:t>
      </w:r>
      <w:r w:rsidR="00B4428E">
        <w:rPr>
          <w:rFonts w:asciiTheme="minorBidi" w:hAnsiTheme="minorBidi" w:hint="cs"/>
          <w:rtl/>
        </w:rPr>
        <w:t>.</w:t>
      </w:r>
    </w:p>
    <w:p w14:paraId="12EA7E7E" w14:textId="7792D801" w:rsidR="002A28BB" w:rsidRPr="004F21A7" w:rsidRDefault="004F21A7" w:rsidP="004F21A7">
      <w:pPr>
        <w:ind w:left="360"/>
        <w:rPr>
          <w:rFonts w:asciiTheme="minorBidi" w:hAnsiTheme="minorBidi"/>
        </w:rPr>
      </w:pPr>
      <w:r>
        <w:rPr>
          <w:rFonts w:asciiTheme="minorBidi" w:hAnsiTheme="minorBidi" w:hint="cs"/>
          <w:u w:val="dotted"/>
          <w:rtl/>
        </w:rPr>
        <w:t>אמבט</w:t>
      </w:r>
      <w:r w:rsidRPr="00EA1F92">
        <w:rPr>
          <w:rFonts w:asciiTheme="minorBidi" w:hAnsiTheme="minorBidi" w:hint="cs"/>
          <w:u w:val="dotted"/>
          <w:rtl/>
        </w:rPr>
        <w:t xml:space="preserve"> של רחיצה:</w:t>
      </w:r>
      <w:r w:rsidR="0005702E" w:rsidRPr="004F21A7">
        <w:rPr>
          <w:rFonts w:asciiTheme="minorBidi" w:hAnsiTheme="minorBidi" w:cs="Arial"/>
          <w:rtl/>
        </w:rPr>
        <w:t xml:space="preserve"> </w:t>
      </w:r>
    </w:p>
    <w:p w14:paraId="6ADA1C9C" w14:textId="77594EF1" w:rsidR="00A4697B" w:rsidRPr="002A28BB" w:rsidRDefault="00A4697B" w:rsidP="002A28BB">
      <w:pPr>
        <w:pStyle w:val="aa"/>
        <w:numPr>
          <w:ilvl w:val="0"/>
          <w:numId w:val="32"/>
        </w:numPr>
        <w:rPr>
          <w:rFonts w:asciiTheme="minorBidi" w:hAnsiTheme="minorBidi"/>
        </w:rPr>
      </w:pPr>
      <w:r>
        <w:rPr>
          <w:rFonts w:asciiTheme="minorBidi" w:hAnsiTheme="minorBidi" w:hint="cs"/>
          <w:rtl/>
        </w:rPr>
        <w:t xml:space="preserve">תוס' </w:t>
      </w:r>
      <w:r>
        <w:rPr>
          <w:rFonts w:asciiTheme="minorBidi" w:hAnsiTheme="minorBidi" w:hint="cs"/>
          <w:sz w:val="16"/>
          <w:szCs w:val="16"/>
          <w:rtl/>
        </w:rPr>
        <w:t>(מב. ד"ה אבל באמבטי)</w:t>
      </w:r>
      <w:r>
        <w:rPr>
          <w:rFonts w:asciiTheme="minorBidi" w:hAnsiTheme="minorBidi" w:hint="cs"/>
          <w:rtl/>
        </w:rPr>
        <w:t>-</w:t>
      </w:r>
      <w:r w:rsidRPr="00A4697B">
        <w:rPr>
          <w:rtl/>
        </w:rPr>
        <w:t xml:space="preserve"> </w:t>
      </w:r>
      <w:r w:rsidR="0073382C">
        <w:rPr>
          <w:rFonts w:asciiTheme="minorBidi" w:hAnsiTheme="minorBidi" w:hint="cs"/>
          <w:sz w:val="16"/>
          <w:szCs w:val="16"/>
          <w:rtl/>
        </w:rPr>
        <w:t>{</w:t>
      </w:r>
      <w:r w:rsidR="0073382C" w:rsidRPr="0073382C">
        <w:rPr>
          <w:rFonts w:asciiTheme="minorBidi" w:hAnsiTheme="minorBidi"/>
          <w:sz w:val="16"/>
          <w:szCs w:val="16"/>
          <w:rtl/>
        </w:rPr>
        <w:t>רבי שמעון בן מנסיא אוסר</w:t>
      </w:r>
      <w:r w:rsidR="0073382C" w:rsidRPr="0073382C">
        <w:rPr>
          <w:rFonts w:asciiTheme="minorBidi" w:hAnsiTheme="minorBidi" w:cs="Arial" w:hint="cs"/>
          <w:sz w:val="16"/>
          <w:szCs w:val="16"/>
          <w:rtl/>
        </w:rPr>
        <w:t xml:space="preserve"> באמבטי גם חמין לתוך צונן</w:t>
      </w:r>
      <w:r w:rsidR="0073382C">
        <w:rPr>
          <w:rFonts w:asciiTheme="minorBidi" w:hAnsiTheme="minorBidi" w:cs="Arial" w:hint="cs"/>
          <w:sz w:val="16"/>
          <w:szCs w:val="16"/>
          <w:rtl/>
        </w:rPr>
        <w:t>, ופסקו התוס' כדבריו וכתבו-</w:t>
      </w:r>
      <w:r w:rsidR="0073382C" w:rsidRPr="0073382C">
        <w:rPr>
          <w:rFonts w:asciiTheme="minorBidi" w:hAnsiTheme="minorBidi" w:cs="Arial" w:hint="cs"/>
          <w:sz w:val="16"/>
          <w:szCs w:val="16"/>
          <w:rtl/>
        </w:rPr>
        <w:t>}</w:t>
      </w:r>
      <w:r w:rsidR="0073382C">
        <w:rPr>
          <w:rFonts w:asciiTheme="minorBidi" w:hAnsiTheme="minorBidi" w:cs="Arial" w:hint="cs"/>
          <w:rtl/>
        </w:rPr>
        <w:t xml:space="preserve"> ו</w:t>
      </w:r>
      <w:r w:rsidRPr="00A4697B">
        <w:rPr>
          <w:rFonts w:asciiTheme="minorBidi" w:hAnsiTheme="minorBidi" w:cs="Arial"/>
          <w:rtl/>
        </w:rPr>
        <w:t>נראה דהאי אמבטי איירי כגון שהוא כלי שני</w:t>
      </w:r>
      <w:r>
        <w:rPr>
          <w:rFonts w:asciiTheme="minorBidi" w:hAnsiTheme="minorBidi" w:cs="Arial" w:hint="cs"/>
          <w:rtl/>
        </w:rPr>
        <w:t>...</w:t>
      </w:r>
      <w:r w:rsidRPr="00A4697B">
        <w:rPr>
          <w:rFonts w:asciiTheme="minorBidi" w:hAnsiTheme="minorBidi" w:cs="Arial"/>
          <w:rtl/>
        </w:rPr>
        <w:t xml:space="preserve"> והאי ספל ע</w:t>
      </w:r>
      <w:r>
        <w:rPr>
          <w:rFonts w:asciiTheme="minorBidi" w:hAnsiTheme="minorBidi" w:cs="Arial" w:hint="cs"/>
          <w:rtl/>
        </w:rPr>
        <w:t xml:space="preserve">ל </w:t>
      </w:r>
      <w:r w:rsidRPr="00A4697B">
        <w:rPr>
          <w:rFonts w:asciiTheme="minorBidi" w:hAnsiTheme="minorBidi" w:cs="Arial"/>
          <w:rtl/>
        </w:rPr>
        <w:t>כ</w:t>
      </w:r>
      <w:r>
        <w:rPr>
          <w:rFonts w:asciiTheme="minorBidi" w:hAnsiTheme="minorBidi" w:cs="Arial" w:hint="cs"/>
          <w:rtl/>
        </w:rPr>
        <w:t>רחך</w:t>
      </w:r>
      <w:r w:rsidRPr="00A4697B">
        <w:rPr>
          <w:rFonts w:asciiTheme="minorBidi" w:hAnsiTheme="minorBidi" w:cs="Arial"/>
          <w:rtl/>
        </w:rPr>
        <w:t xml:space="preserve"> כלי שני</w:t>
      </w:r>
      <w:r w:rsidR="007B7CF5">
        <w:rPr>
          <w:rStyle w:val="a9"/>
          <w:rFonts w:asciiTheme="minorBidi" w:hAnsiTheme="minorBidi" w:cs="Arial"/>
          <w:rtl/>
        </w:rPr>
        <w:footnoteReference w:id="2820"/>
      </w:r>
      <w:r>
        <w:rPr>
          <w:rFonts w:asciiTheme="minorBidi" w:hAnsiTheme="minorBidi" w:cs="Arial" w:hint="cs"/>
          <w:rtl/>
        </w:rPr>
        <w:t>...</w:t>
      </w:r>
      <w:r w:rsidRPr="00A4697B">
        <w:rPr>
          <w:rFonts w:asciiTheme="minorBidi" w:hAnsiTheme="minorBidi" w:cs="Arial"/>
          <w:rtl/>
        </w:rPr>
        <w:t xml:space="preserve"> ואתא לפלוגי בכלי שני בין כוס שהוא לשתיה לאמבטי לפי שחמין הרבה ואיכא למיגזר דהרואה אותן חמין כל כך סבור דכלי ראשון הוא</w:t>
      </w:r>
      <w:r w:rsidR="00B6096F">
        <w:rPr>
          <w:rFonts w:asciiTheme="minorBidi" w:hAnsiTheme="minorBidi" w:cs="Arial" w:hint="cs"/>
          <w:rtl/>
        </w:rPr>
        <w:t>.</w:t>
      </w:r>
    </w:p>
    <w:p w14:paraId="672B5E87" w14:textId="2E2212BB" w:rsidR="008E4D1F" w:rsidRDefault="004B38B6" w:rsidP="00B4428E">
      <w:pPr>
        <w:pStyle w:val="aa"/>
        <w:numPr>
          <w:ilvl w:val="0"/>
          <w:numId w:val="32"/>
        </w:numPr>
        <w:rPr>
          <w:rFonts w:asciiTheme="minorBidi" w:hAnsiTheme="minorBidi" w:cs="Arial"/>
        </w:rPr>
      </w:pPr>
      <w:r>
        <w:rPr>
          <w:rFonts w:asciiTheme="minorBidi" w:hAnsiTheme="minorBidi" w:cs="Arial" w:hint="cs"/>
          <w:rtl/>
        </w:rPr>
        <w:t>רמב"ם</w:t>
      </w:r>
      <w:r w:rsidR="003119CF">
        <w:rPr>
          <w:rStyle w:val="a9"/>
          <w:rFonts w:asciiTheme="minorBidi" w:hAnsiTheme="minorBidi" w:cs="Arial"/>
          <w:rtl/>
        </w:rPr>
        <w:footnoteReference w:id="2821"/>
      </w:r>
      <w:r>
        <w:rPr>
          <w:rFonts w:asciiTheme="minorBidi" w:hAnsiTheme="minorBidi" w:cs="Arial" w:hint="cs"/>
          <w:rtl/>
        </w:rPr>
        <w:t xml:space="preserve"> </w:t>
      </w:r>
      <w:r>
        <w:rPr>
          <w:rFonts w:asciiTheme="minorBidi" w:hAnsiTheme="minorBidi" w:cs="Arial" w:hint="cs"/>
          <w:sz w:val="16"/>
          <w:szCs w:val="16"/>
          <w:rtl/>
        </w:rPr>
        <w:t>(פכ"ב ה"ה</w:t>
      </w:r>
      <w:r w:rsidR="003119CF">
        <w:rPr>
          <w:rFonts w:asciiTheme="minorBidi" w:hAnsiTheme="minorBidi" w:cs="Arial" w:hint="cs"/>
          <w:sz w:val="16"/>
          <w:szCs w:val="16"/>
          <w:rtl/>
        </w:rPr>
        <w:t>, להב' הב"י</w:t>
      </w:r>
      <w:r>
        <w:rPr>
          <w:rFonts w:asciiTheme="minorBidi" w:hAnsiTheme="minorBidi" w:cs="Arial" w:hint="cs"/>
          <w:sz w:val="16"/>
          <w:szCs w:val="16"/>
          <w:rtl/>
        </w:rPr>
        <w:t>)</w:t>
      </w:r>
      <w:r>
        <w:rPr>
          <w:rFonts w:asciiTheme="minorBidi" w:hAnsiTheme="minorBidi" w:cs="Arial" w:hint="cs"/>
          <w:rtl/>
        </w:rPr>
        <w:t xml:space="preserve"> </w:t>
      </w:r>
      <w:r w:rsidR="0017144E">
        <w:rPr>
          <w:rFonts w:asciiTheme="minorBidi" w:hAnsiTheme="minorBidi" w:cs="Arial" w:hint="cs"/>
          <w:rtl/>
        </w:rPr>
        <w:t xml:space="preserve">רא"ש </w:t>
      </w:r>
      <w:r w:rsidR="0017144E">
        <w:rPr>
          <w:rFonts w:asciiTheme="minorBidi" w:hAnsiTheme="minorBidi" w:cs="Arial" w:hint="cs"/>
          <w:sz w:val="16"/>
          <w:szCs w:val="16"/>
          <w:rtl/>
        </w:rPr>
        <w:t>(פ"ג סי' טו)</w:t>
      </w:r>
      <w:r w:rsidR="0017144E">
        <w:rPr>
          <w:rFonts w:asciiTheme="minorBidi" w:hAnsiTheme="minorBidi" w:cs="Arial" w:hint="cs"/>
          <w:rtl/>
        </w:rPr>
        <w:t xml:space="preserve"> </w:t>
      </w:r>
      <w:r w:rsidR="00B6096F">
        <w:rPr>
          <w:rFonts w:asciiTheme="minorBidi" w:hAnsiTheme="minorBidi" w:cs="Arial" w:hint="cs"/>
          <w:rtl/>
        </w:rPr>
        <w:t xml:space="preserve">רי"ו </w:t>
      </w:r>
      <w:r w:rsidR="00B6096F" w:rsidRPr="00B6096F">
        <w:rPr>
          <w:rFonts w:asciiTheme="minorBidi" w:hAnsiTheme="minorBidi" w:cs="Arial" w:hint="cs"/>
          <w:sz w:val="16"/>
          <w:szCs w:val="16"/>
          <w:rtl/>
        </w:rPr>
        <w:t>(</w:t>
      </w:r>
      <w:r w:rsidR="00B6096F" w:rsidRPr="00B6096F">
        <w:rPr>
          <w:rFonts w:asciiTheme="minorBidi" w:hAnsiTheme="minorBidi" w:cs="Arial"/>
          <w:sz w:val="16"/>
          <w:szCs w:val="16"/>
          <w:rtl/>
        </w:rPr>
        <w:t>ח</w:t>
      </w:r>
      <w:r w:rsidR="00B6096F" w:rsidRPr="00B6096F">
        <w:rPr>
          <w:rFonts w:asciiTheme="minorBidi" w:hAnsiTheme="minorBidi" w:cs="Arial" w:hint="cs"/>
          <w:sz w:val="16"/>
          <w:szCs w:val="16"/>
          <w:rtl/>
        </w:rPr>
        <w:t>"</w:t>
      </w:r>
      <w:r w:rsidR="00B6096F" w:rsidRPr="00B6096F">
        <w:rPr>
          <w:rFonts w:asciiTheme="minorBidi" w:hAnsiTheme="minorBidi" w:cs="Arial"/>
          <w:sz w:val="16"/>
          <w:szCs w:val="16"/>
          <w:rtl/>
        </w:rPr>
        <w:t>ג ני</w:t>
      </w:r>
      <w:r w:rsidR="0017144E">
        <w:rPr>
          <w:rFonts w:asciiTheme="minorBidi" w:hAnsiTheme="minorBidi" w:cs="Arial" w:hint="cs"/>
          <w:sz w:val="16"/>
          <w:szCs w:val="16"/>
          <w:rtl/>
        </w:rPr>
        <w:t>"</w:t>
      </w:r>
      <w:r w:rsidR="00B6096F" w:rsidRPr="00B6096F">
        <w:rPr>
          <w:rFonts w:asciiTheme="minorBidi" w:hAnsiTheme="minorBidi" w:cs="Arial"/>
          <w:sz w:val="16"/>
          <w:szCs w:val="16"/>
          <w:rtl/>
        </w:rPr>
        <w:t>ב סט סוע"ד)</w:t>
      </w:r>
      <w:r w:rsidR="00B6096F">
        <w:rPr>
          <w:rFonts w:asciiTheme="minorBidi" w:hAnsiTheme="minorBidi" w:cs="Arial" w:hint="cs"/>
          <w:rtl/>
        </w:rPr>
        <w:t xml:space="preserve"> ו</w:t>
      </w:r>
      <w:r w:rsidR="00DD3262" w:rsidRPr="002A28BB">
        <w:rPr>
          <w:rFonts w:asciiTheme="minorBidi" w:hAnsiTheme="minorBidi" w:cs="Arial"/>
          <w:rtl/>
        </w:rPr>
        <w:t xml:space="preserve">ר"ן </w:t>
      </w:r>
      <w:r w:rsidR="00DD3262" w:rsidRPr="00B6096F">
        <w:rPr>
          <w:rFonts w:asciiTheme="minorBidi" w:hAnsiTheme="minorBidi" w:cs="Arial"/>
          <w:sz w:val="16"/>
          <w:szCs w:val="16"/>
          <w:rtl/>
        </w:rPr>
        <w:t>(כ.)</w:t>
      </w:r>
      <w:r w:rsidR="00B6096F">
        <w:rPr>
          <w:rFonts w:asciiTheme="minorBidi" w:hAnsiTheme="minorBidi" w:cs="Arial" w:hint="cs"/>
          <w:rtl/>
        </w:rPr>
        <w:t xml:space="preserve">- </w:t>
      </w:r>
      <w:r w:rsidR="00B46257" w:rsidRPr="00B4428E">
        <w:rPr>
          <w:rFonts w:asciiTheme="minorBidi" w:hAnsiTheme="minorBidi" w:cs="Arial"/>
          <w:rtl/>
        </w:rPr>
        <w:t>אמבטי</w:t>
      </w:r>
      <w:r w:rsidR="00B46257" w:rsidRPr="00B4428E">
        <w:rPr>
          <w:rFonts w:asciiTheme="minorBidi" w:hAnsiTheme="minorBidi" w:cs="Arial" w:hint="cs"/>
          <w:rtl/>
        </w:rPr>
        <w:t xml:space="preserve"> </w:t>
      </w:r>
      <w:r w:rsidR="00B46257" w:rsidRPr="00B4428E">
        <w:rPr>
          <w:rFonts w:asciiTheme="minorBidi" w:hAnsiTheme="minorBidi" w:cs="Arial"/>
          <w:rtl/>
        </w:rPr>
        <w:t>הוא כלי ראשון</w:t>
      </w:r>
      <w:r w:rsidR="00B46257" w:rsidRPr="00B4428E">
        <w:rPr>
          <w:rFonts w:asciiTheme="minorBidi" w:hAnsiTheme="minorBidi" w:cs="Arial" w:hint="cs"/>
          <w:rtl/>
        </w:rPr>
        <w:t>...</w:t>
      </w:r>
      <w:r w:rsidR="00B46257" w:rsidRPr="00B4428E">
        <w:rPr>
          <w:rFonts w:asciiTheme="minorBidi" w:hAnsiTheme="minorBidi" w:cs="Arial"/>
          <w:rtl/>
        </w:rPr>
        <w:t xml:space="preserve"> ומצינו למדין לפי פסק הרב אלפסי ז"ל </w:t>
      </w:r>
      <w:r w:rsidR="00B46257" w:rsidRPr="00B4428E">
        <w:rPr>
          <w:rFonts w:asciiTheme="minorBidi" w:hAnsiTheme="minorBidi" w:cs="Arial" w:hint="cs"/>
          <w:rtl/>
        </w:rPr>
        <w:t>ד</w:t>
      </w:r>
      <w:r w:rsidR="00B46257" w:rsidRPr="00B4428E">
        <w:rPr>
          <w:rFonts w:asciiTheme="minorBidi" w:hAnsiTheme="minorBidi" w:cs="Arial"/>
          <w:rtl/>
        </w:rPr>
        <w:t>באמבטי</w:t>
      </w:r>
      <w:r w:rsidR="00B46257" w:rsidRPr="00B4428E">
        <w:rPr>
          <w:rFonts w:asciiTheme="minorBidi" w:hAnsiTheme="minorBidi" w:cs="Arial" w:hint="cs"/>
          <w:rtl/>
        </w:rPr>
        <w:t>,</w:t>
      </w:r>
      <w:r w:rsidR="00B46257" w:rsidRPr="00B4428E">
        <w:rPr>
          <w:rFonts w:asciiTheme="minorBidi" w:hAnsiTheme="minorBidi" w:cs="Arial"/>
          <w:rtl/>
        </w:rPr>
        <w:t xml:space="preserve"> צונן לתוך חמין </w:t>
      </w:r>
      <w:r w:rsidR="00B46257" w:rsidRPr="00B4428E">
        <w:rPr>
          <w:rFonts w:asciiTheme="minorBidi" w:hAnsiTheme="minorBidi" w:cs="Arial" w:hint="cs"/>
          <w:rtl/>
        </w:rPr>
        <w:t xml:space="preserve">- </w:t>
      </w:r>
      <w:r w:rsidR="00B46257" w:rsidRPr="00B4428E">
        <w:rPr>
          <w:rFonts w:asciiTheme="minorBidi" w:hAnsiTheme="minorBidi" w:cs="Arial"/>
          <w:rtl/>
        </w:rPr>
        <w:t>אסור</w:t>
      </w:r>
      <w:r w:rsidR="00B46257">
        <w:rPr>
          <w:rStyle w:val="a9"/>
          <w:rFonts w:asciiTheme="minorBidi" w:hAnsiTheme="minorBidi" w:cs="Arial"/>
          <w:rtl/>
        </w:rPr>
        <w:footnoteReference w:id="2822"/>
      </w:r>
      <w:r w:rsidR="00B46257" w:rsidRPr="00B4428E">
        <w:rPr>
          <w:rFonts w:asciiTheme="minorBidi" w:hAnsiTheme="minorBidi" w:cs="Arial" w:hint="cs"/>
          <w:rtl/>
        </w:rPr>
        <w:t>...</w:t>
      </w:r>
      <w:r w:rsidR="00B46257" w:rsidRPr="00B4428E">
        <w:rPr>
          <w:rFonts w:asciiTheme="minorBidi" w:hAnsiTheme="minorBidi" w:cs="Arial"/>
          <w:rtl/>
        </w:rPr>
        <w:t xml:space="preserve"> ומיהו לערות מחמין שבאמבטי לתוך צונן שרי</w:t>
      </w:r>
      <w:r w:rsidR="00B46257" w:rsidRPr="00B4428E">
        <w:rPr>
          <w:rFonts w:asciiTheme="minorBidi" w:hAnsiTheme="minorBidi" w:cs="Arial" w:hint="cs"/>
          <w:rtl/>
        </w:rPr>
        <w:t xml:space="preserve"> </w:t>
      </w:r>
      <w:r w:rsidR="00B6096F" w:rsidRPr="00B4428E">
        <w:rPr>
          <w:rFonts w:asciiTheme="minorBidi" w:hAnsiTheme="minorBidi" w:cs="Arial" w:hint="cs"/>
          <w:sz w:val="16"/>
          <w:szCs w:val="16"/>
          <w:rtl/>
        </w:rPr>
        <w:t>(ל' הר"ן)</w:t>
      </w:r>
      <w:r w:rsidR="002A28BB" w:rsidRPr="00B4428E">
        <w:rPr>
          <w:rFonts w:asciiTheme="minorBidi" w:hAnsiTheme="minorBidi" w:cs="Arial" w:hint="cs"/>
          <w:rtl/>
        </w:rPr>
        <w:t>.</w:t>
      </w:r>
      <w:r w:rsidR="003F31D0">
        <w:rPr>
          <w:rFonts w:asciiTheme="minorBidi" w:hAnsiTheme="minorBidi" w:cs="Arial" w:hint="cs"/>
          <w:rtl/>
        </w:rPr>
        <w:t xml:space="preserve"> </w:t>
      </w:r>
      <w:r w:rsidR="003F31D0" w:rsidRPr="003F31D0">
        <w:rPr>
          <w:rFonts w:asciiTheme="minorBidi" w:hAnsiTheme="minorBidi" w:cs="Arial" w:hint="cs"/>
          <w:color w:val="E36C0A" w:themeColor="accent6" w:themeShade="BF"/>
          <w:rtl/>
        </w:rPr>
        <w:t>(וכ"פ בשו"ע)</w:t>
      </w:r>
    </w:p>
    <w:p w14:paraId="3A7F7070" w14:textId="3AE5DB50" w:rsidR="008E4D1F" w:rsidRPr="00FD2D11" w:rsidRDefault="0073382C" w:rsidP="008E4D1F">
      <w:pPr>
        <w:ind w:left="720"/>
        <w:rPr>
          <w:rFonts w:asciiTheme="minorBidi" w:hAnsiTheme="minorBidi" w:cs="Arial"/>
          <w:u w:val="wave"/>
        </w:rPr>
      </w:pPr>
      <w:r>
        <w:rPr>
          <w:rFonts w:asciiTheme="minorBidi" w:hAnsiTheme="minorBidi" w:cs="Arial" w:hint="cs"/>
          <w:u w:val="wave"/>
          <w:rtl/>
        </w:rPr>
        <w:t>לסוברים כ</w:t>
      </w:r>
      <w:r w:rsidR="00B66EFB">
        <w:rPr>
          <w:rFonts w:asciiTheme="minorBidi" w:hAnsiTheme="minorBidi" w:cs="Arial" w:hint="cs"/>
          <w:u w:val="wave"/>
          <w:rtl/>
        </w:rPr>
        <w:t>ב"ה</w:t>
      </w:r>
      <w:r>
        <w:rPr>
          <w:rFonts w:asciiTheme="minorBidi" w:hAnsiTheme="minorBidi" w:cs="Arial" w:hint="cs"/>
          <w:u w:val="wave"/>
          <w:rtl/>
        </w:rPr>
        <w:t xml:space="preserve"> - </w:t>
      </w:r>
      <w:r w:rsidR="008E4D1F" w:rsidRPr="00FD2D11">
        <w:rPr>
          <w:rFonts w:asciiTheme="minorBidi" w:hAnsiTheme="minorBidi" w:cs="Arial" w:hint="cs"/>
          <w:u w:val="wave"/>
          <w:rtl/>
        </w:rPr>
        <w:t>האם מותר לערות מאמבטי ל</w:t>
      </w:r>
      <w:r w:rsidR="00FD2D11" w:rsidRPr="00FD2D11">
        <w:rPr>
          <w:rFonts w:asciiTheme="minorBidi" w:hAnsiTheme="minorBidi" w:cs="Arial" w:hint="cs"/>
          <w:u w:val="wave"/>
          <w:rtl/>
        </w:rPr>
        <w:t xml:space="preserve">תוך צונן </w:t>
      </w:r>
      <w:r w:rsidR="00FD2D11">
        <w:rPr>
          <w:rFonts w:asciiTheme="minorBidi" w:hAnsiTheme="minorBidi" w:cs="Arial" w:hint="cs"/>
          <w:u w:val="wave"/>
          <w:rtl/>
        </w:rPr>
        <w:t xml:space="preserve">גם אם </w:t>
      </w:r>
      <w:r w:rsidR="00FD2D11" w:rsidRPr="00FD2D11">
        <w:rPr>
          <w:rFonts w:asciiTheme="minorBidi" w:hAnsiTheme="minorBidi" w:cs="Arial" w:hint="cs"/>
          <w:u w:val="wave"/>
          <w:rtl/>
        </w:rPr>
        <w:t>החמים יהיו לבסוף מרובים מהצוננים:</w:t>
      </w:r>
    </w:p>
    <w:p w14:paraId="0C062026" w14:textId="5432D50F" w:rsidR="00FD2D11" w:rsidRDefault="008E4D1F" w:rsidP="00FD2D11">
      <w:pPr>
        <w:pStyle w:val="aa"/>
        <w:numPr>
          <w:ilvl w:val="0"/>
          <w:numId w:val="32"/>
        </w:numPr>
        <w:rPr>
          <w:rFonts w:asciiTheme="minorBidi" w:hAnsiTheme="minorBidi" w:cs="Arial"/>
        </w:rPr>
      </w:pPr>
      <w:r>
        <w:rPr>
          <w:rFonts w:asciiTheme="minorBidi" w:hAnsiTheme="minorBidi" w:cs="Arial" w:hint="cs"/>
          <w:rtl/>
        </w:rPr>
        <w:t>רי"ו</w:t>
      </w:r>
      <w:r w:rsidR="00FD2D11">
        <w:rPr>
          <w:rStyle w:val="a9"/>
          <w:rFonts w:asciiTheme="minorBidi" w:hAnsiTheme="minorBidi" w:cs="Arial"/>
          <w:rtl/>
        </w:rPr>
        <w:footnoteReference w:id="2823"/>
      </w:r>
      <w:r>
        <w:rPr>
          <w:rFonts w:asciiTheme="minorBidi" w:hAnsiTheme="minorBidi" w:cs="Arial" w:hint="cs"/>
          <w:rtl/>
        </w:rPr>
        <w:t xml:space="preserve"> </w:t>
      </w:r>
      <w:r w:rsidRPr="008E4D1F">
        <w:rPr>
          <w:rFonts w:asciiTheme="minorBidi" w:hAnsiTheme="minorBidi" w:cs="Arial" w:hint="cs"/>
          <w:sz w:val="16"/>
          <w:szCs w:val="16"/>
          <w:rtl/>
        </w:rPr>
        <w:t>(שם)</w:t>
      </w:r>
      <w:r>
        <w:rPr>
          <w:rFonts w:asciiTheme="minorBidi" w:hAnsiTheme="minorBidi" w:cs="Arial" w:hint="cs"/>
          <w:rtl/>
        </w:rPr>
        <w:t xml:space="preserve">- </w:t>
      </w:r>
      <w:r w:rsidRPr="00DD3262">
        <w:rPr>
          <w:rFonts w:asciiTheme="minorBidi" w:hAnsiTheme="minorBidi" w:cs="Arial"/>
          <w:rtl/>
        </w:rPr>
        <w:t xml:space="preserve">מה שאמרנו באמבטי דחמין לתוך צונן מותר </w:t>
      </w:r>
      <w:r w:rsidR="00975683">
        <w:rPr>
          <w:rFonts w:asciiTheme="minorBidi" w:hAnsiTheme="minorBidi" w:cs="Arial" w:hint="cs"/>
          <w:rtl/>
        </w:rPr>
        <w:t xml:space="preserve">- </w:t>
      </w:r>
      <w:r w:rsidRPr="00DD3262">
        <w:rPr>
          <w:rFonts w:asciiTheme="minorBidi" w:hAnsiTheme="minorBidi" w:cs="Arial"/>
          <w:rtl/>
        </w:rPr>
        <w:t>דוקא חמין מועט לתוך צונן מרובה</w:t>
      </w:r>
      <w:r w:rsidR="00F90FDC">
        <w:rPr>
          <w:rStyle w:val="a9"/>
          <w:rFonts w:asciiTheme="minorBidi" w:hAnsiTheme="minorBidi" w:cs="Arial"/>
          <w:rtl/>
        </w:rPr>
        <w:footnoteReference w:id="2824"/>
      </w:r>
      <w:r w:rsidR="00FD2D11">
        <w:rPr>
          <w:rFonts w:asciiTheme="minorBidi" w:hAnsiTheme="minorBidi" w:cs="Arial" w:hint="cs"/>
          <w:rtl/>
        </w:rPr>
        <w:t>,</w:t>
      </w:r>
      <w:r w:rsidRPr="00DD3262">
        <w:rPr>
          <w:rFonts w:asciiTheme="minorBidi" w:hAnsiTheme="minorBidi" w:cs="Arial"/>
          <w:rtl/>
        </w:rPr>
        <w:t xml:space="preserve"> אבל בהיפך אסור</w:t>
      </w:r>
      <w:r w:rsidR="00FD2D11">
        <w:rPr>
          <w:rFonts w:asciiTheme="minorBidi" w:hAnsiTheme="minorBidi" w:cs="Arial" w:hint="cs"/>
          <w:sz w:val="16"/>
          <w:szCs w:val="16"/>
          <w:rtl/>
        </w:rPr>
        <w:t xml:space="preserve"> (ל' רי"ו)</w:t>
      </w:r>
      <w:r>
        <w:rPr>
          <w:rFonts w:asciiTheme="minorBidi" w:hAnsiTheme="minorBidi" w:cs="Arial" w:hint="cs"/>
          <w:rtl/>
        </w:rPr>
        <w:t>.</w:t>
      </w:r>
    </w:p>
    <w:p w14:paraId="03115DA2" w14:textId="05F06267" w:rsidR="00FD2D11" w:rsidRDefault="00FD2D11" w:rsidP="00FD2D11">
      <w:pPr>
        <w:pStyle w:val="aa"/>
        <w:numPr>
          <w:ilvl w:val="0"/>
          <w:numId w:val="32"/>
        </w:numPr>
        <w:rPr>
          <w:rFonts w:asciiTheme="minorBidi" w:hAnsiTheme="minorBidi" w:cs="Arial"/>
        </w:rPr>
      </w:pPr>
      <w:r>
        <w:rPr>
          <w:rFonts w:asciiTheme="minorBidi" w:hAnsiTheme="minorBidi" w:cs="Arial" w:hint="cs"/>
          <w:rtl/>
        </w:rPr>
        <w:t xml:space="preserve">ר"ן </w:t>
      </w:r>
      <w:r>
        <w:rPr>
          <w:rFonts w:asciiTheme="minorBidi" w:hAnsiTheme="minorBidi" w:cs="Arial" w:hint="cs"/>
          <w:sz w:val="16"/>
          <w:szCs w:val="16"/>
          <w:rtl/>
        </w:rPr>
        <w:t>(שם)</w:t>
      </w:r>
      <w:r>
        <w:rPr>
          <w:rFonts w:asciiTheme="minorBidi" w:hAnsiTheme="minorBidi" w:cs="Arial" w:hint="cs"/>
          <w:rtl/>
        </w:rPr>
        <w:t xml:space="preserve">- </w:t>
      </w:r>
      <w:r w:rsidRPr="00B4428E">
        <w:rPr>
          <w:rFonts w:asciiTheme="minorBidi" w:hAnsiTheme="minorBidi" w:cs="Arial"/>
          <w:rtl/>
        </w:rPr>
        <w:t>לערות מחמין שבאמבטי לתוך צונן שרי</w:t>
      </w:r>
      <w:r w:rsidRPr="008E4D1F">
        <w:rPr>
          <w:rFonts w:asciiTheme="minorBidi" w:hAnsiTheme="minorBidi" w:cs="Arial"/>
          <w:rtl/>
        </w:rPr>
        <w:t xml:space="preserve"> דעירוי דכלי ראשון לא חשיב לן ככלי ראשון כל שהוא נשפך לתוך הצונן</w:t>
      </w:r>
      <w:r>
        <w:rPr>
          <w:rFonts w:asciiTheme="minorBidi" w:hAnsiTheme="minorBidi" w:cs="Arial" w:hint="cs"/>
          <w:rtl/>
        </w:rPr>
        <w:t>...</w:t>
      </w:r>
      <w:r w:rsidRPr="00FD2D11">
        <w:rPr>
          <w:rFonts w:asciiTheme="minorBidi" w:hAnsiTheme="minorBidi" w:cs="Arial"/>
          <w:rtl/>
        </w:rPr>
        <w:t xml:space="preserve"> </w:t>
      </w:r>
      <w:r w:rsidRPr="00B4428E">
        <w:rPr>
          <w:rFonts w:asciiTheme="minorBidi" w:hAnsiTheme="minorBidi" w:cs="Arial"/>
          <w:rtl/>
        </w:rPr>
        <w:t>ובכלי שני בכולהו גווני שרי</w:t>
      </w:r>
      <w:r w:rsidRPr="00B4428E">
        <w:rPr>
          <w:rFonts w:asciiTheme="minorBidi" w:hAnsiTheme="minorBidi" w:cs="Arial" w:hint="cs"/>
          <w:rtl/>
        </w:rPr>
        <w:t>,</w:t>
      </w:r>
      <w:r w:rsidRPr="00B4428E">
        <w:rPr>
          <w:rFonts w:asciiTheme="minorBidi" w:hAnsiTheme="minorBidi" w:cs="Arial"/>
          <w:rtl/>
        </w:rPr>
        <w:t xml:space="preserve"> ואפי' טפי מהפשר</w:t>
      </w:r>
      <w:r w:rsidRPr="00B4428E">
        <w:rPr>
          <w:rFonts w:asciiTheme="minorBidi" w:hAnsiTheme="minorBidi" w:cs="Arial" w:hint="cs"/>
          <w:rtl/>
        </w:rPr>
        <w:t>,</w:t>
      </w:r>
      <w:r w:rsidRPr="00B4428E">
        <w:rPr>
          <w:rFonts w:asciiTheme="minorBidi" w:hAnsiTheme="minorBidi" w:cs="Arial"/>
          <w:rtl/>
        </w:rPr>
        <w:t xml:space="preserve"> דכיון דכלי שני אינו מבשל למאי ניחוש ליה</w:t>
      </w:r>
      <w:r>
        <w:rPr>
          <w:rStyle w:val="a9"/>
          <w:rFonts w:asciiTheme="minorBidi" w:hAnsiTheme="minorBidi" w:cs="Arial"/>
          <w:rtl/>
        </w:rPr>
        <w:footnoteReference w:id="2825"/>
      </w:r>
      <w:r>
        <w:rPr>
          <w:rFonts w:asciiTheme="minorBidi" w:hAnsiTheme="minorBidi" w:cs="Arial" w:hint="cs"/>
          <w:rtl/>
        </w:rPr>
        <w:t>.</w:t>
      </w:r>
      <w:r w:rsidR="00DD3262" w:rsidRPr="00B4428E">
        <w:rPr>
          <w:rFonts w:asciiTheme="minorBidi" w:hAnsiTheme="minorBidi" w:cs="Arial"/>
          <w:rtl/>
        </w:rPr>
        <w:t xml:space="preserve"> </w:t>
      </w:r>
    </w:p>
    <w:p w14:paraId="62B69D51"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2BE1CF9" w14:textId="403DA43C" w:rsidR="006A4BF8" w:rsidRDefault="006A4BF8" w:rsidP="00434A6A">
      <w:pPr>
        <w:tabs>
          <w:tab w:val="left" w:pos="2788"/>
        </w:tabs>
        <w:rPr>
          <w:rFonts w:asciiTheme="minorBidi" w:hAnsiTheme="minorBidi"/>
          <w:rtl/>
        </w:rPr>
      </w:pPr>
      <w:r w:rsidRPr="005275DF">
        <w:rPr>
          <w:rFonts w:asciiTheme="minorBidi" w:hAnsiTheme="minorBidi"/>
          <w:rtl/>
        </w:rPr>
        <w:t>אמבטי</w:t>
      </w:r>
      <w:r w:rsidR="006B64D0">
        <w:rPr>
          <w:rFonts w:asciiTheme="minorBidi" w:hAnsiTheme="minorBidi" w:hint="cs"/>
          <w:rtl/>
        </w:rPr>
        <w:t xml:space="preserve"> </w:t>
      </w:r>
      <w:r w:rsidRPr="005275DF">
        <w:rPr>
          <w:rFonts w:asciiTheme="minorBidi" w:hAnsiTheme="minorBidi"/>
          <w:rtl/>
        </w:rPr>
        <w:t xml:space="preserve">של מרחץ שהיא מלאה מים חמין </w:t>
      </w:r>
      <w:r w:rsidRPr="005275DF">
        <w:rPr>
          <w:rFonts w:asciiTheme="minorBidi" w:hAnsiTheme="minorBidi"/>
          <w:sz w:val="18"/>
          <w:szCs w:val="18"/>
          <w:rtl/>
        </w:rPr>
        <w:t>הגה: א</w:t>
      </w:r>
      <w:r w:rsidR="006B64D0">
        <w:rPr>
          <w:rFonts w:asciiTheme="minorBidi" w:hAnsiTheme="minorBidi" w:hint="cs"/>
          <w:sz w:val="18"/>
          <w:szCs w:val="18"/>
          <w:rtl/>
        </w:rPr>
        <w:t>ע"פ</w:t>
      </w:r>
      <w:r w:rsidRPr="005275DF">
        <w:rPr>
          <w:rFonts w:asciiTheme="minorBidi" w:hAnsiTheme="minorBidi"/>
          <w:sz w:val="18"/>
          <w:szCs w:val="18"/>
          <w:rtl/>
        </w:rPr>
        <w:t xml:space="preserve"> שהיא כלי שני</w:t>
      </w:r>
      <w:r w:rsidRPr="005275DF">
        <w:rPr>
          <w:rFonts w:asciiTheme="minorBidi" w:hAnsiTheme="minorBidi"/>
          <w:sz w:val="14"/>
          <w:szCs w:val="14"/>
          <w:rtl/>
        </w:rPr>
        <w:t xml:space="preserve"> </w:t>
      </w:r>
      <w:r w:rsidRPr="005275DF">
        <w:rPr>
          <w:rFonts w:asciiTheme="minorBidi" w:hAnsiTheme="minorBidi"/>
          <w:sz w:val="18"/>
          <w:szCs w:val="18"/>
          <w:rtl/>
        </w:rPr>
        <w:t>(תוס' וטור)</w:t>
      </w:r>
      <w:r w:rsidRPr="005275DF">
        <w:rPr>
          <w:rFonts w:asciiTheme="minorBidi" w:hAnsiTheme="minorBidi"/>
          <w:rtl/>
        </w:rPr>
        <w:t>, אין נותנין לה מים צונן, שהרי מחממן הרבה. אבל נותן הוא ממים חמין שבזה האמבטי</w:t>
      </w:r>
      <w:r w:rsidRPr="005275DF">
        <w:rPr>
          <w:rStyle w:val="a9"/>
          <w:rFonts w:asciiTheme="minorBidi" w:hAnsiTheme="minorBidi"/>
          <w:rtl/>
        </w:rPr>
        <w:footnoteReference w:id="2826"/>
      </w:r>
      <w:r w:rsidRPr="005275DF">
        <w:rPr>
          <w:rFonts w:asciiTheme="minorBidi" w:hAnsiTheme="minorBidi"/>
          <w:rtl/>
        </w:rPr>
        <w:t xml:space="preserve"> לתוך אמבטי אחר של צונן. </w:t>
      </w:r>
    </w:p>
    <w:p w14:paraId="09D5178B" w14:textId="77777777" w:rsidR="006B64D0" w:rsidRPr="005275DF" w:rsidRDefault="006B64D0" w:rsidP="00434A6A">
      <w:pPr>
        <w:tabs>
          <w:tab w:val="left" w:pos="2788"/>
        </w:tabs>
        <w:rPr>
          <w:rFonts w:asciiTheme="minorBidi" w:hAnsiTheme="minorBidi"/>
          <w:rtl/>
        </w:rPr>
      </w:pPr>
    </w:p>
    <w:p w14:paraId="226A2931" w14:textId="016F6497" w:rsidR="006A4BF8" w:rsidRPr="005D6D6B" w:rsidRDefault="006A4BF8" w:rsidP="00434A6A">
      <w:pPr>
        <w:pStyle w:val="2"/>
        <w:rPr>
          <w:rFonts w:asciiTheme="minorBidi" w:hAnsiTheme="minorBidi" w:cstheme="minorBidi"/>
          <w:rtl/>
        </w:rPr>
      </w:pPr>
      <w:r w:rsidRPr="005275DF">
        <w:rPr>
          <w:rFonts w:asciiTheme="minorBidi" w:hAnsiTheme="minorBidi" w:cstheme="minorBidi"/>
          <w:rtl/>
        </w:rPr>
        <w:t>סעיף י</w:t>
      </w:r>
      <w:r>
        <w:rPr>
          <w:rFonts w:asciiTheme="minorBidi" w:hAnsiTheme="minorBidi" w:cstheme="minorBidi" w:hint="cs"/>
          <w:rtl/>
        </w:rPr>
        <w:t>ב</w:t>
      </w:r>
      <w:r w:rsidRPr="005275DF">
        <w:rPr>
          <w:rFonts w:asciiTheme="minorBidi" w:hAnsiTheme="minorBidi" w:cstheme="minorBidi"/>
          <w:rtl/>
        </w:rPr>
        <w:t>: נתינת מים</w:t>
      </w:r>
      <w:r w:rsidR="00DF603D">
        <w:rPr>
          <w:rFonts w:asciiTheme="minorBidi" w:hAnsiTheme="minorBidi" w:cstheme="minorBidi" w:hint="cs"/>
          <w:rtl/>
        </w:rPr>
        <w:t xml:space="preserve"> צוננים</w:t>
      </w:r>
      <w:r w:rsidRPr="005275DF">
        <w:rPr>
          <w:rFonts w:asciiTheme="minorBidi" w:hAnsiTheme="minorBidi" w:cstheme="minorBidi"/>
          <w:rtl/>
        </w:rPr>
        <w:t xml:space="preserve"> </w:t>
      </w:r>
      <w:r>
        <w:rPr>
          <w:rFonts w:asciiTheme="minorBidi" w:hAnsiTheme="minorBidi" w:cstheme="minorBidi" w:hint="cs"/>
          <w:rtl/>
        </w:rPr>
        <w:t>ל</w:t>
      </w:r>
      <w:r w:rsidRPr="005275DF">
        <w:rPr>
          <w:rFonts w:asciiTheme="minorBidi" w:hAnsiTheme="minorBidi" w:cstheme="minorBidi"/>
          <w:rtl/>
        </w:rPr>
        <w:t xml:space="preserve">מיחם </w:t>
      </w:r>
      <w:r w:rsidR="00DF603D">
        <w:rPr>
          <w:rFonts w:asciiTheme="minorBidi" w:hAnsiTheme="minorBidi" w:cstheme="minorBidi" w:hint="cs"/>
          <w:rtl/>
        </w:rPr>
        <w:t>חם</w:t>
      </w:r>
      <w:r w:rsidRPr="005275DF">
        <w:rPr>
          <w:rFonts w:asciiTheme="minorBidi" w:hAnsiTheme="minorBidi" w:cstheme="minorBidi"/>
          <w:rtl/>
        </w:rPr>
        <w:t>.</w:t>
      </w:r>
    </w:p>
    <w:p w14:paraId="5DBB0122" w14:textId="3D65CB1D" w:rsidR="006A4BF8" w:rsidRDefault="006A4BF8" w:rsidP="00434A6A">
      <w:pPr>
        <w:rPr>
          <w:rFonts w:asciiTheme="minorBidi" w:hAnsiTheme="minorBidi"/>
          <w:sz w:val="16"/>
          <w:szCs w:val="16"/>
          <w:rtl/>
        </w:rPr>
      </w:pPr>
      <w:r w:rsidRPr="005275DF">
        <w:rPr>
          <w:rFonts w:asciiTheme="minorBidi" w:hAnsiTheme="minorBidi"/>
          <w:b/>
          <w:bCs/>
          <w:rtl/>
        </w:rPr>
        <w:t xml:space="preserve">שבת </w:t>
      </w:r>
      <w:r w:rsidR="00550D6F">
        <w:rPr>
          <w:rFonts w:asciiTheme="minorBidi" w:hAnsiTheme="minorBidi" w:hint="cs"/>
          <w:b/>
          <w:bCs/>
          <w:sz w:val="16"/>
          <w:szCs w:val="16"/>
          <w:rtl/>
        </w:rPr>
        <w:t>(פ' כירה)</w:t>
      </w:r>
      <w:r w:rsidR="00550D6F">
        <w:rPr>
          <w:rFonts w:asciiTheme="minorBidi" w:hAnsiTheme="minorBidi" w:hint="cs"/>
          <w:b/>
          <w:bCs/>
          <w:rtl/>
        </w:rPr>
        <w:t xml:space="preserve"> </w:t>
      </w:r>
      <w:r w:rsidRPr="005275DF">
        <w:rPr>
          <w:rFonts w:asciiTheme="minorBidi" w:hAnsiTheme="minorBidi"/>
          <w:b/>
          <w:bCs/>
          <w:rtl/>
        </w:rPr>
        <w:t>מא</w:t>
      </w:r>
      <w:r w:rsidR="0015476E">
        <w:rPr>
          <w:rStyle w:val="a9"/>
          <w:rFonts w:asciiTheme="minorBidi" w:hAnsiTheme="minorBidi"/>
          <w:b/>
          <w:bCs/>
          <w:rtl/>
        </w:rPr>
        <w:footnoteReference w:id="2827"/>
      </w:r>
      <w:r w:rsidRPr="005275DF">
        <w:rPr>
          <w:rFonts w:asciiTheme="minorBidi" w:hAnsiTheme="minorBidi"/>
          <w:b/>
          <w:bCs/>
          <w:rtl/>
        </w:rPr>
        <w:t xml:space="preserve"> ע"א: </w:t>
      </w:r>
      <w:r w:rsidRPr="005275DF">
        <w:rPr>
          <w:rFonts w:asciiTheme="minorBidi" w:hAnsiTheme="minorBidi"/>
          <w:u w:val="double"/>
          <w:rtl/>
        </w:rPr>
        <w:t>משנה:</w:t>
      </w:r>
      <w:r w:rsidRPr="005275DF">
        <w:rPr>
          <w:rFonts w:asciiTheme="minorBidi" w:hAnsiTheme="minorBidi"/>
          <w:rtl/>
        </w:rPr>
        <w:t xml:space="preserve"> המיחם</w:t>
      </w:r>
      <w:r w:rsidR="003102F9">
        <w:rPr>
          <w:rStyle w:val="a9"/>
          <w:rFonts w:asciiTheme="minorBidi" w:hAnsiTheme="minorBidi"/>
          <w:rtl/>
        </w:rPr>
        <w:footnoteReference w:id="2828"/>
      </w:r>
      <w:r w:rsidRPr="005275DF">
        <w:rPr>
          <w:rFonts w:asciiTheme="minorBidi" w:hAnsiTheme="minorBidi"/>
          <w:rtl/>
        </w:rPr>
        <w:t xml:space="preserve"> שפינהו - לא יתן לתוכו צונן בשביל שיחמו, אבל נותן הוא לתוכו או לתוך הכוס כדי להפשירן.   </w:t>
      </w:r>
      <w:r w:rsidR="00B22346">
        <w:rPr>
          <w:rFonts w:asciiTheme="minorBidi" w:hAnsiTheme="minorBidi" w:hint="cs"/>
          <w:rtl/>
        </w:rPr>
        <w:t xml:space="preserve"> </w:t>
      </w:r>
      <w:r w:rsidRPr="005275DF">
        <w:rPr>
          <w:rFonts w:asciiTheme="minorBidi" w:hAnsiTheme="minorBidi"/>
          <w:rtl/>
        </w:rPr>
        <w:t xml:space="preserve">  </w:t>
      </w:r>
      <w:r w:rsidRPr="005275DF">
        <w:rPr>
          <w:rFonts w:asciiTheme="minorBidi" w:hAnsiTheme="minorBidi"/>
          <w:u w:val="double"/>
          <w:rtl/>
        </w:rPr>
        <w:t>גמ':</w:t>
      </w:r>
      <w:r w:rsidRPr="005275DF">
        <w:rPr>
          <w:rFonts w:asciiTheme="minorBidi" w:hAnsiTheme="minorBidi"/>
          <w:rtl/>
        </w:rPr>
        <w:t xml:space="preserve"> מאי קאמר? </w:t>
      </w:r>
      <w:r w:rsidRPr="005275DF">
        <w:rPr>
          <w:rFonts w:asciiTheme="minorBidi" w:hAnsiTheme="minorBidi"/>
          <w:u w:val="single"/>
          <w:rtl/>
        </w:rPr>
        <w:t>אמר רב אדא בר מתנא</w:t>
      </w:r>
      <w:r w:rsidR="001D04B9">
        <w:rPr>
          <w:rFonts w:asciiTheme="minorBidi" w:hAnsiTheme="minorBidi" w:hint="cs"/>
          <w:rtl/>
        </w:rPr>
        <w:t>:</w:t>
      </w:r>
      <w:r w:rsidRPr="005275DF">
        <w:rPr>
          <w:rFonts w:asciiTheme="minorBidi" w:hAnsiTheme="minorBidi"/>
          <w:rtl/>
        </w:rPr>
        <w:t xml:space="preserve"> הכי קאמר: המיחם שפינה ממנו מים חמין - לא יתן לתוכו מים מועטים כדי שיחמו, אבל נותן לתוכו מים מרובים כדי להפשירן. והלא מצרף</w:t>
      </w:r>
      <w:r w:rsidR="003102F9" w:rsidRPr="005275DF">
        <w:rPr>
          <w:rStyle w:val="a9"/>
          <w:rFonts w:asciiTheme="minorBidi" w:hAnsiTheme="minorBidi"/>
          <w:rtl/>
        </w:rPr>
        <w:footnoteReference w:id="2829"/>
      </w:r>
      <w:r w:rsidRPr="005275DF">
        <w:rPr>
          <w:rFonts w:asciiTheme="minorBidi" w:hAnsiTheme="minorBidi"/>
          <w:rtl/>
        </w:rPr>
        <w:t>! רבי שמעון היא, דאמר: דבר שאין מתכוין מותר</w:t>
      </w:r>
      <w:r w:rsidR="00567CE3">
        <w:rPr>
          <w:rStyle w:val="a9"/>
          <w:rFonts w:asciiTheme="minorBidi" w:hAnsiTheme="minorBidi"/>
          <w:rtl/>
        </w:rPr>
        <w:footnoteReference w:id="2830"/>
      </w:r>
      <w:r w:rsidRPr="005275DF">
        <w:rPr>
          <w:rFonts w:asciiTheme="minorBidi" w:hAnsiTheme="minorBidi"/>
          <w:rtl/>
        </w:rPr>
        <w:t xml:space="preserve">. </w:t>
      </w:r>
      <w:r w:rsidRPr="00DF603D">
        <w:rPr>
          <w:rFonts w:asciiTheme="minorBidi" w:hAnsiTheme="minorBidi"/>
          <w:u w:val="single"/>
          <w:rtl/>
        </w:rPr>
        <w:t>מתקיף לה אביי</w:t>
      </w:r>
      <w:r w:rsidRPr="005275DF">
        <w:rPr>
          <w:rFonts w:asciiTheme="minorBidi" w:hAnsiTheme="minorBidi"/>
          <w:rtl/>
        </w:rPr>
        <w:t xml:space="preserve">: מידי מיחם שפינה ממנו מים קתני? מיחם שפינהו קתני! </w:t>
      </w:r>
      <w:r w:rsidRPr="005275DF">
        <w:rPr>
          <w:rFonts w:asciiTheme="minorBidi" w:hAnsiTheme="minorBidi"/>
          <w:u w:val="single"/>
          <w:rtl/>
        </w:rPr>
        <w:t>אלא אמר אביי</w:t>
      </w:r>
      <w:r w:rsidR="00DF603D">
        <w:rPr>
          <w:rFonts w:asciiTheme="minorBidi" w:hAnsiTheme="minorBidi" w:hint="cs"/>
          <w:rtl/>
        </w:rPr>
        <w:t>:</w:t>
      </w:r>
      <w:r w:rsidRPr="005275DF">
        <w:rPr>
          <w:rFonts w:asciiTheme="minorBidi" w:hAnsiTheme="minorBidi"/>
          <w:rtl/>
        </w:rPr>
        <w:t xml:space="preserve"> הכי קאמר: המיחם שפינהו</w:t>
      </w:r>
      <w:r w:rsidRPr="005275DF">
        <w:rPr>
          <w:rStyle w:val="a9"/>
          <w:rFonts w:asciiTheme="minorBidi" w:hAnsiTheme="minorBidi"/>
          <w:rtl/>
        </w:rPr>
        <w:footnoteReference w:id="2831"/>
      </w:r>
      <w:r w:rsidRPr="005275DF">
        <w:rPr>
          <w:rFonts w:asciiTheme="minorBidi" w:hAnsiTheme="minorBidi"/>
          <w:rtl/>
        </w:rPr>
        <w:t xml:space="preserve"> ויש בו מים חמין</w:t>
      </w:r>
      <w:r w:rsidR="00DF603D">
        <w:rPr>
          <w:rFonts w:asciiTheme="minorBidi" w:hAnsiTheme="minorBidi" w:hint="cs"/>
          <w:rtl/>
        </w:rPr>
        <w:t xml:space="preserve"> </w:t>
      </w:r>
      <w:r w:rsidRPr="005275DF">
        <w:rPr>
          <w:rFonts w:asciiTheme="minorBidi" w:hAnsiTheme="minorBidi"/>
          <w:rtl/>
        </w:rPr>
        <w:t>- לא יתן לתוכו מים מועטין בשביל שיחומו</w:t>
      </w:r>
      <w:r w:rsidR="00DF603D">
        <w:rPr>
          <w:rFonts w:asciiTheme="minorBidi" w:hAnsiTheme="minorBidi" w:hint="cs"/>
          <w:rtl/>
        </w:rPr>
        <w:t>,</w:t>
      </w:r>
      <w:r w:rsidRPr="005275DF">
        <w:rPr>
          <w:rFonts w:asciiTheme="minorBidi" w:hAnsiTheme="minorBidi"/>
          <w:rtl/>
        </w:rPr>
        <w:t xml:space="preserve"> אבל נותן לתוכו מים מרובים כדי להפשירן. ומיחם שפינה ממנו מים - לא יתן לתוכו מים כל עיקר, מפני שמצרף. ורבי יהודה היא, דאמר: דבר שאין מתכוין אסור. </w:t>
      </w:r>
      <w:r w:rsidRPr="005275DF">
        <w:rPr>
          <w:rFonts w:asciiTheme="minorBidi" w:hAnsiTheme="minorBidi"/>
          <w:u w:val="single"/>
          <w:rtl/>
        </w:rPr>
        <w:t>אמר רב</w:t>
      </w:r>
      <w:r w:rsidR="00DF603D">
        <w:rPr>
          <w:rFonts w:asciiTheme="minorBidi" w:hAnsiTheme="minorBidi" w:hint="cs"/>
          <w:rtl/>
        </w:rPr>
        <w:t xml:space="preserve">: </w:t>
      </w:r>
      <w:r w:rsidRPr="005275DF">
        <w:rPr>
          <w:rFonts w:asciiTheme="minorBidi" w:hAnsiTheme="minorBidi"/>
          <w:rtl/>
        </w:rPr>
        <w:t>לא שנו אלא להפשיר, אבל לצרף</w:t>
      </w:r>
      <w:r w:rsidR="003102F9">
        <w:rPr>
          <w:rStyle w:val="a9"/>
          <w:rFonts w:asciiTheme="minorBidi" w:hAnsiTheme="minorBidi"/>
          <w:rtl/>
        </w:rPr>
        <w:footnoteReference w:id="2832"/>
      </w:r>
      <w:r w:rsidRPr="005275DF">
        <w:rPr>
          <w:rFonts w:asciiTheme="minorBidi" w:hAnsiTheme="minorBidi"/>
          <w:rtl/>
        </w:rPr>
        <w:t xml:space="preserve"> - אסור. </w:t>
      </w:r>
      <w:r w:rsidRPr="005275DF">
        <w:rPr>
          <w:rFonts w:asciiTheme="minorBidi" w:hAnsiTheme="minorBidi"/>
          <w:u w:val="single"/>
          <w:rtl/>
        </w:rPr>
        <w:t>ושמואל אמר</w:t>
      </w:r>
      <w:r w:rsidRPr="005275DF">
        <w:rPr>
          <w:rFonts w:asciiTheme="minorBidi" w:hAnsiTheme="minorBidi"/>
          <w:rtl/>
        </w:rPr>
        <w:t xml:space="preserve">: אפילו לצרף נמי מותר. לצרף לכתחילה מי שרי? </w:t>
      </w:r>
      <w:r w:rsidRPr="005275DF">
        <w:rPr>
          <w:rFonts w:asciiTheme="minorBidi" w:hAnsiTheme="minorBidi"/>
          <w:u w:val="dotted"/>
          <w:rtl/>
        </w:rPr>
        <w:t>אלא אי איתמר הכי איתמר</w:t>
      </w:r>
      <w:r w:rsidRPr="005275DF">
        <w:rPr>
          <w:rFonts w:asciiTheme="minorBidi" w:hAnsiTheme="minorBidi"/>
          <w:rtl/>
        </w:rPr>
        <w:t xml:space="preserve">, </w:t>
      </w:r>
      <w:r w:rsidRPr="005275DF">
        <w:rPr>
          <w:rFonts w:asciiTheme="minorBidi" w:hAnsiTheme="minorBidi"/>
          <w:u w:val="single"/>
          <w:rtl/>
        </w:rPr>
        <w:t>אמר רב</w:t>
      </w:r>
      <w:r w:rsidRPr="005275DF">
        <w:rPr>
          <w:rFonts w:asciiTheme="minorBidi" w:hAnsiTheme="minorBidi"/>
          <w:rtl/>
        </w:rPr>
        <w:t>: לא שנו</w:t>
      </w:r>
      <w:r w:rsidR="003102F9">
        <w:rPr>
          <w:rStyle w:val="a9"/>
          <w:rFonts w:asciiTheme="minorBidi" w:hAnsiTheme="minorBidi"/>
          <w:rtl/>
        </w:rPr>
        <w:footnoteReference w:id="2833"/>
      </w:r>
      <w:r w:rsidRPr="005275DF">
        <w:rPr>
          <w:rFonts w:asciiTheme="minorBidi" w:hAnsiTheme="minorBidi"/>
          <w:rtl/>
        </w:rPr>
        <w:t xml:space="preserve"> אלא שיעור להפשיר</w:t>
      </w:r>
      <w:r w:rsidRPr="005275DF">
        <w:rPr>
          <w:rStyle w:val="a9"/>
          <w:rFonts w:asciiTheme="minorBidi" w:hAnsiTheme="minorBidi"/>
          <w:rtl/>
        </w:rPr>
        <w:footnoteReference w:id="2834"/>
      </w:r>
      <w:r w:rsidRPr="005275DF">
        <w:rPr>
          <w:rFonts w:asciiTheme="minorBidi" w:hAnsiTheme="minorBidi"/>
          <w:rtl/>
        </w:rPr>
        <w:t xml:space="preserve">, אבל שיעור לצרף - אסור. </w:t>
      </w:r>
      <w:r w:rsidRPr="005275DF">
        <w:rPr>
          <w:rFonts w:asciiTheme="minorBidi" w:hAnsiTheme="minorBidi"/>
          <w:u w:val="single"/>
          <w:rtl/>
        </w:rPr>
        <w:t>ושמואל אמר</w:t>
      </w:r>
      <w:r w:rsidRPr="005275DF">
        <w:rPr>
          <w:rFonts w:asciiTheme="minorBidi" w:hAnsiTheme="minorBidi"/>
          <w:rtl/>
        </w:rPr>
        <w:t>: אפילו שיעור לצרף</w:t>
      </w:r>
      <w:r w:rsidRPr="005275DF">
        <w:rPr>
          <w:rStyle w:val="a9"/>
          <w:rFonts w:asciiTheme="minorBidi" w:hAnsiTheme="minorBidi"/>
          <w:rtl/>
        </w:rPr>
        <w:footnoteReference w:id="2835"/>
      </w:r>
      <w:r w:rsidRPr="005275DF">
        <w:rPr>
          <w:rFonts w:asciiTheme="minorBidi" w:hAnsiTheme="minorBidi"/>
          <w:rtl/>
        </w:rPr>
        <w:t xml:space="preserve"> מותר. </w:t>
      </w:r>
      <w:r w:rsidRPr="005275DF">
        <w:rPr>
          <w:rFonts w:asciiTheme="minorBidi" w:hAnsiTheme="minorBidi"/>
          <w:sz w:val="16"/>
          <w:szCs w:val="16"/>
          <w:rtl/>
        </w:rPr>
        <w:t>(וכיון דקי</w:t>
      </w:r>
      <w:r w:rsidR="001D04B9">
        <w:rPr>
          <w:rFonts w:asciiTheme="minorBidi" w:hAnsiTheme="minorBidi" w:hint="cs"/>
          <w:sz w:val="16"/>
          <w:szCs w:val="16"/>
          <w:rtl/>
        </w:rPr>
        <w:t>י"</w:t>
      </w:r>
      <w:r w:rsidRPr="005275DF">
        <w:rPr>
          <w:rFonts w:asciiTheme="minorBidi" w:hAnsiTheme="minorBidi"/>
          <w:sz w:val="16"/>
          <w:szCs w:val="16"/>
          <w:rtl/>
        </w:rPr>
        <w:t>ל (כב.) כרבי שמעון</w:t>
      </w:r>
      <w:r w:rsidR="00DF603D">
        <w:rPr>
          <w:rFonts w:asciiTheme="minorBidi" w:hAnsiTheme="minorBidi" w:hint="cs"/>
          <w:sz w:val="16"/>
          <w:szCs w:val="16"/>
          <w:rtl/>
        </w:rPr>
        <w:t>,</w:t>
      </w:r>
      <w:r w:rsidRPr="005275DF">
        <w:rPr>
          <w:rFonts w:asciiTheme="minorBidi" w:hAnsiTheme="minorBidi"/>
          <w:sz w:val="16"/>
          <w:szCs w:val="16"/>
          <w:rtl/>
        </w:rPr>
        <w:t xml:space="preserve"> קם לה הלכה כשמואל ובכל גוונא שרי ליתן לתוכו מים מרובים כדי להפשירן, ב"י)</w:t>
      </w:r>
    </w:p>
    <w:p w14:paraId="6CEFCA7F" w14:textId="54F74DF3" w:rsidR="001D04B9" w:rsidRPr="00DF603D" w:rsidRDefault="00DF603D" w:rsidP="00434A6A">
      <w:pPr>
        <w:rPr>
          <w:rFonts w:asciiTheme="minorBidi" w:hAnsiTheme="minorBidi"/>
          <w:u w:val="single"/>
          <w:rtl/>
        </w:rPr>
      </w:pPr>
      <w:r w:rsidRPr="00DF603D">
        <w:rPr>
          <w:rFonts w:asciiTheme="minorBidi" w:hAnsiTheme="minorBidi"/>
          <w:u w:val="single"/>
          <w:rtl/>
        </w:rPr>
        <w:t xml:space="preserve">נתינת מים </w:t>
      </w:r>
      <w:r>
        <w:rPr>
          <w:rFonts w:asciiTheme="minorBidi" w:hAnsiTheme="minorBidi" w:hint="cs"/>
          <w:u w:val="single"/>
          <w:rtl/>
        </w:rPr>
        <w:t xml:space="preserve">צוננים </w:t>
      </w:r>
      <w:r w:rsidRPr="00DF603D">
        <w:rPr>
          <w:rFonts w:asciiTheme="minorBidi" w:hAnsiTheme="minorBidi" w:hint="cs"/>
          <w:u w:val="single"/>
          <w:rtl/>
        </w:rPr>
        <w:t>ל</w:t>
      </w:r>
      <w:r w:rsidRPr="00DF603D">
        <w:rPr>
          <w:rFonts w:asciiTheme="minorBidi" w:hAnsiTheme="minorBidi"/>
          <w:u w:val="single"/>
          <w:rtl/>
        </w:rPr>
        <w:t>מיחם של נחושת</w:t>
      </w:r>
      <w:r w:rsidRPr="00DF603D">
        <w:rPr>
          <w:rFonts w:asciiTheme="minorBidi" w:hAnsiTheme="minorBidi" w:hint="cs"/>
          <w:u w:val="single"/>
          <w:rtl/>
        </w:rPr>
        <w:t>:</w:t>
      </w:r>
    </w:p>
    <w:p w14:paraId="24DFFB46" w14:textId="485BAD89" w:rsidR="0005702E" w:rsidRPr="00DF603D" w:rsidRDefault="00E61E7E" w:rsidP="00DF603D">
      <w:pPr>
        <w:pStyle w:val="aa"/>
        <w:numPr>
          <w:ilvl w:val="0"/>
          <w:numId w:val="32"/>
        </w:numPr>
        <w:rPr>
          <w:rFonts w:asciiTheme="minorBidi" w:hAnsiTheme="minorBidi"/>
        </w:rPr>
      </w:pPr>
      <w:r>
        <w:rPr>
          <w:rFonts w:asciiTheme="minorBidi" w:hAnsiTheme="minorBidi" w:cs="Arial" w:hint="cs"/>
          <w:rtl/>
        </w:rPr>
        <w:t xml:space="preserve">טור- </w:t>
      </w:r>
      <w:r w:rsidRPr="002065FF">
        <w:rPr>
          <w:rFonts w:asciiTheme="minorBidi" w:hAnsiTheme="minorBidi" w:cs="Arial"/>
          <w:rtl/>
        </w:rPr>
        <w:t>מיחם של נחשת שהעבירו מעל האש ואין בו מים</w:t>
      </w:r>
      <w:r w:rsidR="00DF603D">
        <w:rPr>
          <w:rFonts w:asciiTheme="minorBidi" w:hAnsiTheme="minorBidi" w:cs="Arial" w:hint="cs"/>
          <w:rtl/>
        </w:rPr>
        <w:t>,</w:t>
      </w:r>
      <w:r w:rsidRPr="002065FF">
        <w:rPr>
          <w:rFonts w:asciiTheme="minorBidi" w:hAnsiTheme="minorBidi" w:cs="Arial"/>
          <w:rtl/>
        </w:rPr>
        <w:t xml:space="preserve"> או שיש בו מים חמין </w:t>
      </w:r>
      <w:r w:rsidR="00DF603D">
        <w:rPr>
          <w:rFonts w:asciiTheme="minorBidi" w:hAnsiTheme="minorBidi" w:cs="Arial" w:hint="cs"/>
          <w:rtl/>
        </w:rPr>
        <w:t xml:space="preserve">- </w:t>
      </w:r>
      <w:r w:rsidRPr="002065FF">
        <w:rPr>
          <w:rFonts w:asciiTheme="minorBidi" w:hAnsiTheme="minorBidi" w:cs="Arial"/>
          <w:rtl/>
        </w:rPr>
        <w:t>לא יתן בו מים צוננין מועטין מפני שהן מתחממין</w:t>
      </w:r>
      <w:r w:rsidR="001D04B9">
        <w:rPr>
          <w:rFonts w:asciiTheme="minorBidi" w:hAnsiTheme="minorBidi" w:cs="Arial" w:hint="cs"/>
          <w:rtl/>
        </w:rPr>
        <w:t>.</w:t>
      </w:r>
      <w:r w:rsidR="00DF603D">
        <w:rPr>
          <w:rFonts w:asciiTheme="minorBidi" w:hAnsiTheme="minorBidi" w:cs="Arial" w:hint="cs"/>
          <w:rtl/>
        </w:rPr>
        <w:t xml:space="preserve"> </w:t>
      </w:r>
      <w:r w:rsidRPr="00DF603D">
        <w:rPr>
          <w:rFonts w:asciiTheme="minorBidi" w:hAnsiTheme="minorBidi" w:cs="Arial"/>
          <w:rtl/>
        </w:rPr>
        <w:t>אבל נותן בו מים רבים להפשירה</w:t>
      </w:r>
      <w:r w:rsidR="00DF603D">
        <w:rPr>
          <w:rFonts w:asciiTheme="minorBidi" w:hAnsiTheme="minorBidi" w:cs="Arial" w:hint="cs"/>
          <w:rtl/>
        </w:rPr>
        <w:t>,</w:t>
      </w:r>
      <w:r w:rsidRPr="00DF603D">
        <w:rPr>
          <w:rFonts w:asciiTheme="minorBidi" w:hAnsiTheme="minorBidi" w:cs="Arial"/>
          <w:rtl/>
        </w:rPr>
        <w:t xml:space="preserve"> אפי' אם מפעפעין אותו ומחזיקין אותו שרי</w:t>
      </w:r>
      <w:r w:rsidR="00DF603D">
        <w:rPr>
          <w:rFonts w:asciiTheme="minorBidi" w:hAnsiTheme="minorBidi" w:cs="Arial" w:hint="cs"/>
          <w:rtl/>
        </w:rPr>
        <w:t>,</w:t>
      </w:r>
      <w:r w:rsidRPr="00DF603D">
        <w:rPr>
          <w:rFonts w:asciiTheme="minorBidi" w:hAnsiTheme="minorBidi" w:cs="Arial"/>
          <w:rtl/>
        </w:rPr>
        <w:t xml:space="preserve"> כיון שאינו מכוין לכך.</w:t>
      </w:r>
    </w:p>
    <w:p w14:paraId="69F5A96C" w14:textId="752EFBAC" w:rsidR="00DD3262" w:rsidRDefault="003119CF" w:rsidP="00FF2D21">
      <w:pPr>
        <w:pStyle w:val="aa"/>
        <w:numPr>
          <w:ilvl w:val="0"/>
          <w:numId w:val="154"/>
        </w:numPr>
        <w:rPr>
          <w:rFonts w:asciiTheme="minorBidi" w:hAnsiTheme="minorBidi" w:cs="Arial"/>
        </w:rPr>
      </w:pPr>
      <w:r w:rsidRPr="0093742B">
        <w:rPr>
          <w:rFonts w:asciiTheme="minorBidi" w:hAnsiTheme="minorBidi" w:cs="Arial"/>
          <w:rtl/>
        </w:rPr>
        <w:t xml:space="preserve">רמב"ם </w:t>
      </w:r>
      <w:r w:rsidRPr="0093742B">
        <w:rPr>
          <w:rFonts w:asciiTheme="minorBidi" w:hAnsiTheme="minorBidi" w:cs="Arial" w:hint="cs"/>
          <w:sz w:val="16"/>
          <w:szCs w:val="16"/>
          <w:rtl/>
        </w:rPr>
        <w:t>(</w:t>
      </w:r>
      <w:r w:rsidRPr="0093742B">
        <w:rPr>
          <w:rFonts w:asciiTheme="minorBidi" w:hAnsiTheme="minorBidi" w:cs="Arial"/>
          <w:sz w:val="16"/>
          <w:szCs w:val="16"/>
          <w:rtl/>
        </w:rPr>
        <w:t>פכ"ב ה</w:t>
      </w:r>
      <w:r w:rsidRPr="0093742B">
        <w:rPr>
          <w:rFonts w:asciiTheme="minorBidi" w:hAnsiTheme="minorBidi" w:cs="Arial" w:hint="cs"/>
          <w:sz w:val="16"/>
          <w:szCs w:val="16"/>
          <w:rtl/>
        </w:rPr>
        <w:t>"</w:t>
      </w:r>
      <w:r w:rsidRPr="0093742B">
        <w:rPr>
          <w:rFonts w:asciiTheme="minorBidi" w:hAnsiTheme="minorBidi" w:cs="Arial"/>
          <w:sz w:val="16"/>
          <w:szCs w:val="16"/>
          <w:rtl/>
        </w:rPr>
        <w:t>ה-ו)</w:t>
      </w:r>
      <w:r w:rsidRPr="0093742B">
        <w:rPr>
          <w:rFonts w:asciiTheme="minorBidi" w:hAnsiTheme="minorBidi" w:cs="Arial" w:hint="cs"/>
          <w:rtl/>
        </w:rPr>
        <w:t xml:space="preserve">- </w:t>
      </w:r>
      <w:r w:rsidRPr="0093742B">
        <w:rPr>
          <w:rFonts w:asciiTheme="minorBidi" w:hAnsiTheme="minorBidi" w:cs="Arial"/>
          <w:rtl/>
        </w:rPr>
        <w:t>אמבטי של מרחץ שהיא מלאה</w:t>
      </w:r>
      <w:r>
        <w:rPr>
          <w:rStyle w:val="a9"/>
          <w:rFonts w:asciiTheme="minorBidi" w:hAnsiTheme="minorBidi" w:cs="Arial"/>
          <w:rtl/>
        </w:rPr>
        <w:footnoteReference w:id="2836"/>
      </w:r>
      <w:r w:rsidRPr="0093742B">
        <w:rPr>
          <w:rFonts w:asciiTheme="minorBidi" w:hAnsiTheme="minorBidi" w:cs="Arial"/>
          <w:rtl/>
        </w:rPr>
        <w:t xml:space="preserve"> מים חמים </w:t>
      </w:r>
      <w:r w:rsidRPr="0093742B">
        <w:rPr>
          <w:rFonts w:asciiTheme="minorBidi" w:hAnsiTheme="minorBidi" w:cs="Arial" w:hint="cs"/>
          <w:rtl/>
        </w:rPr>
        <w:t xml:space="preserve">- </w:t>
      </w:r>
      <w:r w:rsidRPr="0093742B">
        <w:rPr>
          <w:rFonts w:asciiTheme="minorBidi" w:hAnsiTheme="minorBidi" w:cs="Arial"/>
          <w:rtl/>
        </w:rPr>
        <w:t>אין נותנין לה מים צונן</w:t>
      </w:r>
      <w:r w:rsidRPr="0093742B">
        <w:rPr>
          <w:rFonts w:asciiTheme="minorBidi" w:hAnsiTheme="minorBidi" w:cs="Arial" w:hint="cs"/>
          <w:rtl/>
        </w:rPr>
        <w:t>,</w:t>
      </w:r>
      <w:r w:rsidRPr="0093742B">
        <w:rPr>
          <w:rFonts w:asciiTheme="minorBidi" w:hAnsiTheme="minorBidi" w:cs="Arial"/>
          <w:rtl/>
        </w:rPr>
        <w:t xml:space="preserve"> שהרי מחממן הרבה</w:t>
      </w:r>
      <w:r>
        <w:rPr>
          <w:rStyle w:val="a9"/>
          <w:rFonts w:asciiTheme="minorBidi" w:hAnsiTheme="minorBidi" w:cs="Arial"/>
          <w:rtl/>
        </w:rPr>
        <w:footnoteReference w:id="2837"/>
      </w:r>
      <w:r w:rsidRPr="0093742B">
        <w:rPr>
          <w:rFonts w:asciiTheme="minorBidi" w:hAnsiTheme="minorBidi" w:cs="Arial" w:hint="cs"/>
          <w:rtl/>
        </w:rPr>
        <w:t>...</w:t>
      </w:r>
      <w:r w:rsidRPr="0093742B">
        <w:rPr>
          <w:rFonts w:asciiTheme="minorBidi" w:hAnsiTheme="minorBidi" w:cs="Arial"/>
          <w:rtl/>
        </w:rPr>
        <w:t xml:space="preserve"> אבל נותן הוא מים חמין לתוך אמבטי של צונן. </w:t>
      </w:r>
      <w:r w:rsidRPr="0093742B">
        <w:rPr>
          <w:rFonts w:asciiTheme="minorBidi" w:hAnsiTheme="minorBidi" w:cs="Arial" w:hint="cs"/>
          <w:sz w:val="14"/>
          <w:szCs w:val="14"/>
          <w:rtl/>
        </w:rPr>
        <w:t>(ה"ו)</w:t>
      </w:r>
      <w:r w:rsidRPr="0093742B">
        <w:rPr>
          <w:rFonts w:asciiTheme="minorBidi" w:hAnsiTheme="minorBidi" w:cs="Arial" w:hint="cs"/>
          <w:rtl/>
        </w:rPr>
        <w:t xml:space="preserve"> </w:t>
      </w:r>
      <w:r w:rsidRPr="0093742B">
        <w:rPr>
          <w:rFonts w:asciiTheme="minorBidi" w:hAnsiTheme="minorBidi" w:cs="Arial"/>
          <w:rtl/>
        </w:rPr>
        <w:t xml:space="preserve">מיחם שפינה ממנו מים חמין </w:t>
      </w:r>
      <w:r w:rsidRPr="0093742B">
        <w:rPr>
          <w:rFonts w:asciiTheme="minorBidi" w:hAnsiTheme="minorBidi" w:cs="Arial" w:hint="cs"/>
          <w:rtl/>
        </w:rPr>
        <w:t xml:space="preserve">- </w:t>
      </w:r>
      <w:r w:rsidRPr="0093742B">
        <w:rPr>
          <w:rFonts w:asciiTheme="minorBidi" w:hAnsiTheme="minorBidi" w:cs="Arial"/>
          <w:rtl/>
        </w:rPr>
        <w:t>מותר ליתן לתוכו מים צונן כדי להפשירן</w:t>
      </w:r>
      <w:r w:rsidRPr="0093742B">
        <w:rPr>
          <w:rFonts w:asciiTheme="minorBidi" w:hAnsiTheme="minorBidi" w:cs="Arial" w:hint="cs"/>
          <w:rtl/>
        </w:rPr>
        <w:t>.</w:t>
      </w:r>
      <w:r w:rsidRPr="0093742B">
        <w:rPr>
          <w:rFonts w:asciiTheme="minorBidi" w:hAnsiTheme="minorBidi" w:cs="Arial"/>
          <w:rtl/>
        </w:rPr>
        <w:t xml:space="preserve"> ומותר לצוק מים חמין לתוך מים צונן</w:t>
      </w:r>
      <w:r>
        <w:rPr>
          <w:rFonts w:asciiTheme="minorBidi" w:hAnsiTheme="minorBidi" w:cs="Arial" w:hint="cs"/>
          <w:rtl/>
        </w:rPr>
        <w:t>,</w:t>
      </w:r>
      <w:r w:rsidRPr="0093742B">
        <w:rPr>
          <w:rFonts w:asciiTheme="minorBidi" w:hAnsiTheme="minorBidi" w:cs="Arial"/>
          <w:rtl/>
        </w:rPr>
        <w:t xml:space="preserve"> או צונן לתוך החמין והוא שלא יהיו בכלי ראשון</w:t>
      </w:r>
      <w:r>
        <w:rPr>
          <w:rFonts w:asciiTheme="minorBidi" w:hAnsiTheme="minorBidi" w:cs="Arial" w:hint="cs"/>
          <w:rtl/>
        </w:rPr>
        <w:t>,</w:t>
      </w:r>
      <w:r w:rsidRPr="0093742B">
        <w:rPr>
          <w:rFonts w:asciiTheme="minorBidi" w:hAnsiTheme="minorBidi" w:cs="Arial"/>
          <w:rtl/>
        </w:rPr>
        <w:t xml:space="preserve"> מפני שהוא מחממן הרבה</w:t>
      </w:r>
      <w:r>
        <w:rPr>
          <w:rStyle w:val="a9"/>
          <w:rFonts w:asciiTheme="minorBidi" w:hAnsiTheme="minorBidi" w:cs="Arial"/>
          <w:rtl/>
        </w:rPr>
        <w:footnoteReference w:id="2838"/>
      </w:r>
      <w:r w:rsidRPr="0093742B">
        <w:rPr>
          <w:rFonts w:asciiTheme="minorBidi" w:hAnsiTheme="minorBidi" w:cs="Arial" w:hint="cs"/>
          <w:rtl/>
        </w:rPr>
        <w:t>.</w:t>
      </w:r>
      <w:r>
        <w:rPr>
          <w:rFonts w:asciiTheme="minorBidi" w:hAnsiTheme="minorBidi" w:cs="Arial" w:hint="cs"/>
          <w:rtl/>
        </w:rPr>
        <w:t xml:space="preserve"> </w:t>
      </w:r>
      <w:r w:rsidRPr="008641EF">
        <w:rPr>
          <w:rFonts w:asciiTheme="minorBidi" w:hAnsiTheme="minorBidi" w:cs="Arial" w:hint="cs"/>
          <w:color w:val="E36C0A" w:themeColor="accent6" w:themeShade="BF"/>
          <w:rtl/>
        </w:rPr>
        <w:t>(וכ"פ בשו"ע</w:t>
      </w:r>
      <w:r w:rsidRPr="008641EF">
        <w:rPr>
          <w:rFonts w:asciiTheme="minorBidi" w:hAnsiTheme="minorBidi" w:cs="Arial" w:hint="cs"/>
          <w:color w:val="E36C0A" w:themeColor="accent6" w:themeShade="BF"/>
          <w:sz w:val="16"/>
          <w:szCs w:val="16"/>
          <w:rtl/>
        </w:rPr>
        <w:t xml:space="preserve"> </w:t>
      </w:r>
      <w:r>
        <w:rPr>
          <w:rFonts w:asciiTheme="minorBidi" w:hAnsiTheme="minorBidi" w:cs="Arial" w:hint="cs"/>
          <w:sz w:val="16"/>
          <w:szCs w:val="16"/>
          <w:rtl/>
        </w:rPr>
        <w:t>[כאן ובסע' ה</w:t>
      </w:r>
      <w:r w:rsidR="00B46CD2">
        <w:rPr>
          <w:rFonts w:asciiTheme="minorBidi" w:hAnsiTheme="minorBidi" w:cs="Arial" w:hint="cs"/>
          <w:sz w:val="16"/>
          <w:szCs w:val="16"/>
          <w:rtl/>
        </w:rPr>
        <w:t>קודם</w:t>
      </w:r>
      <w:r>
        <w:rPr>
          <w:rFonts w:asciiTheme="minorBidi" w:hAnsiTheme="minorBidi" w:cs="Arial" w:hint="cs"/>
          <w:sz w:val="16"/>
          <w:szCs w:val="16"/>
          <w:rtl/>
        </w:rPr>
        <w:t>]</w:t>
      </w:r>
      <w:r w:rsidRPr="008641EF">
        <w:rPr>
          <w:rFonts w:asciiTheme="minorBidi" w:hAnsiTheme="minorBidi" w:cs="Arial" w:hint="cs"/>
          <w:color w:val="E36C0A" w:themeColor="accent6" w:themeShade="BF"/>
          <w:rtl/>
        </w:rPr>
        <w:t>)</w:t>
      </w:r>
    </w:p>
    <w:p w14:paraId="6A27685D"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4DBB106" w14:textId="0038152F" w:rsidR="006A4BF8" w:rsidRPr="005275DF" w:rsidRDefault="006A4BF8" w:rsidP="00434A6A">
      <w:pPr>
        <w:tabs>
          <w:tab w:val="left" w:pos="2788"/>
        </w:tabs>
        <w:rPr>
          <w:rFonts w:asciiTheme="minorBidi" w:hAnsiTheme="minorBidi"/>
          <w:rtl/>
        </w:rPr>
      </w:pPr>
      <w:r w:rsidRPr="005275DF">
        <w:rPr>
          <w:rFonts w:asciiTheme="minorBidi" w:hAnsiTheme="minorBidi"/>
          <w:rtl/>
        </w:rPr>
        <w:t>מיחם שפינה ממנו מים חמין</w:t>
      </w:r>
      <w:r w:rsidR="00B22346">
        <w:rPr>
          <w:rFonts w:asciiTheme="minorBidi" w:hAnsiTheme="minorBidi" w:hint="cs"/>
          <w:rtl/>
        </w:rPr>
        <w:t>,</w:t>
      </w:r>
      <w:r w:rsidRPr="005275DF">
        <w:rPr>
          <w:rFonts w:asciiTheme="minorBidi" w:hAnsiTheme="minorBidi"/>
          <w:rtl/>
        </w:rPr>
        <w:t xml:space="preserve"> מותר ליתן לתוכו מים צונן </w:t>
      </w:r>
      <w:r w:rsidRPr="005275DF">
        <w:rPr>
          <w:rFonts w:asciiTheme="minorBidi" w:hAnsiTheme="minorBidi"/>
          <w:sz w:val="18"/>
          <w:szCs w:val="18"/>
          <w:rtl/>
        </w:rPr>
        <w:t>הגה: מרובים</w:t>
      </w:r>
      <w:r w:rsidRPr="005275DF">
        <w:rPr>
          <w:rStyle w:val="a9"/>
          <w:rFonts w:asciiTheme="minorBidi" w:hAnsiTheme="minorBidi"/>
          <w:sz w:val="18"/>
          <w:szCs w:val="18"/>
          <w:rtl/>
        </w:rPr>
        <w:footnoteReference w:id="2839"/>
      </w:r>
      <w:r w:rsidRPr="005275DF">
        <w:rPr>
          <w:rFonts w:asciiTheme="minorBidi" w:hAnsiTheme="minorBidi"/>
          <w:rtl/>
        </w:rPr>
        <w:t xml:space="preserve"> כדי להפשיר</w:t>
      </w:r>
      <w:r w:rsidR="008641EF">
        <w:rPr>
          <w:rFonts w:asciiTheme="minorBidi" w:hAnsiTheme="minorBidi" w:hint="cs"/>
          <w:rtl/>
        </w:rPr>
        <w:t>.</w:t>
      </w:r>
      <w:r w:rsidRPr="005275DF">
        <w:rPr>
          <w:rFonts w:asciiTheme="minorBidi" w:hAnsiTheme="minorBidi"/>
          <w:rtl/>
        </w:rPr>
        <w:t xml:space="preserve"> ומותר לצוק מים חמין לתוך מים צונן, או צונן לתוך חמין והוא שלא יהיו</w:t>
      </w:r>
      <w:r w:rsidRPr="005275DF">
        <w:rPr>
          <w:rStyle w:val="a9"/>
          <w:rFonts w:asciiTheme="minorBidi" w:hAnsiTheme="minorBidi"/>
          <w:rtl/>
        </w:rPr>
        <w:footnoteReference w:id="2840"/>
      </w:r>
      <w:r w:rsidRPr="005275DF">
        <w:rPr>
          <w:rFonts w:asciiTheme="minorBidi" w:hAnsiTheme="minorBidi"/>
          <w:rtl/>
        </w:rPr>
        <w:t xml:space="preserve"> בכלי ראשון</w:t>
      </w:r>
      <w:r w:rsidR="00B46CD2">
        <w:rPr>
          <w:rFonts w:asciiTheme="minorBidi" w:hAnsiTheme="minorBidi" w:hint="cs"/>
          <w:rtl/>
        </w:rPr>
        <w:t>,</w:t>
      </w:r>
      <w:r w:rsidRPr="005275DF">
        <w:rPr>
          <w:rFonts w:asciiTheme="minorBidi" w:hAnsiTheme="minorBidi"/>
          <w:rtl/>
        </w:rPr>
        <w:t xml:space="preserve"> מפני שמחממן הרבה.</w:t>
      </w:r>
      <w:r w:rsidRPr="005275DF">
        <w:rPr>
          <w:rFonts w:asciiTheme="minorBidi" w:hAnsiTheme="minorBidi"/>
          <w:sz w:val="18"/>
          <w:szCs w:val="18"/>
          <w:rtl/>
        </w:rPr>
        <w:t xml:space="preserve"> הגה: ואם המים מרובים כל כך שאי אפשר שיתבשלו, רק שיפיגו צנתן, אפילו בכלי ראשון שרי רק שלא יהיה על האש (טור). </w:t>
      </w:r>
    </w:p>
    <w:p w14:paraId="7B22E29B" w14:textId="77777777" w:rsidR="006A4BF8" w:rsidRPr="005275DF" w:rsidRDefault="006A4BF8" w:rsidP="00434A6A">
      <w:pPr>
        <w:tabs>
          <w:tab w:val="left" w:pos="2788"/>
        </w:tabs>
        <w:rPr>
          <w:rFonts w:asciiTheme="minorBidi" w:hAnsiTheme="minorBidi"/>
          <w:rtl/>
        </w:rPr>
      </w:pPr>
    </w:p>
    <w:p w14:paraId="045C53B1" w14:textId="4AA48131" w:rsidR="006A4BF8" w:rsidRDefault="006A4BF8" w:rsidP="00434A6A">
      <w:pPr>
        <w:pStyle w:val="2"/>
        <w:rPr>
          <w:rFonts w:asciiTheme="minorBidi" w:hAnsiTheme="minorBidi" w:cstheme="minorBidi"/>
          <w:rtl/>
        </w:rPr>
      </w:pPr>
      <w:r w:rsidRPr="005275DF">
        <w:rPr>
          <w:rFonts w:asciiTheme="minorBidi" w:hAnsiTheme="minorBidi" w:cstheme="minorBidi"/>
          <w:rtl/>
        </w:rPr>
        <w:t>סעיף יג: הנחת קיתון של מים בתוך מים חמין.</w:t>
      </w:r>
    </w:p>
    <w:p w14:paraId="650358AF" w14:textId="785DCC3C" w:rsidR="006A4BF8" w:rsidRDefault="006A4BF8" w:rsidP="00434A6A">
      <w:pPr>
        <w:rPr>
          <w:rFonts w:asciiTheme="minorBidi" w:hAnsiTheme="minorBidi"/>
          <w:rtl/>
        </w:rPr>
      </w:pPr>
      <w:r w:rsidRPr="005275DF">
        <w:rPr>
          <w:rFonts w:asciiTheme="minorBidi" w:hAnsiTheme="minorBidi"/>
          <w:b/>
          <w:bCs/>
          <w:rtl/>
        </w:rPr>
        <w:t xml:space="preserve">שבת </w:t>
      </w:r>
      <w:r w:rsidR="008C37A2">
        <w:rPr>
          <w:rFonts w:asciiTheme="minorBidi" w:hAnsiTheme="minorBidi" w:hint="cs"/>
          <w:b/>
          <w:bCs/>
          <w:sz w:val="16"/>
          <w:szCs w:val="16"/>
          <w:rtl/>
        </w:rPr>
        <w:t xml:space="preserve">(פ' כירה) </w:t>
      </w:r>
      <w:r w:rsidRPr="005275DF">
        <w:rPr>
          <w:rFonts w:asciiTheme="minorBidi" w:hAnsiTheme="minorBidi"/>
          <w:b/>
          <w:bCs/>
          <w:rtl/>
        </w:rPr>
        <w:t xml:space="preserve">מ ע"ב: </w:t>
      </w:r>
      <w:r w:rsidRPr="005275DF">
        <w:rPr>
          <w:rFonts w:asciiTheme="minorBidi" w:hAnsiTheme="minorBidi"/>
          <w:u w:val="single"/>
          <w:rtl/>
        </w:rPr>
        <w:t>אמר רבי יצחק בר אבדימי</w:t>
      </w:r>
      <w:r w:rsidRPr="005275DF">
        <w:rPr>
          <w:rFonts w:asciiTheme="minorBidi" w:hAnsiTheme="minorBidi"/>
          <w:rtl/>
        </w:rPr>
        <w:t>: פעם אחת נכנסתי</w:t>
      </w:r>
      <w:r w:rsidR="007064B5">
        <w:rPr>
          <w:rStyle w:val="a9"/>
          <w:rFonts w:asciiTheme="minorBidi" w:hAnsiTheme="minorBidi"/>
          <w:rtl/>
        </w:rPr>
        <w:footnoteReference w:id="2841"/>
      </w:r>
      <w:r w:rsidRPr="005275DF">
        <w:rPr>
          <w:rFonts w:asciiTheme="minorBidi" w:hAnsiTheme="minorBidi"/>
          <w:rtl/>
        </w:rPr>
        <w:t xml:space="preserve"> אחר רבי לבית המרחץ</w:t>
      </w:r>
      <w:r w:rsidR="008C37A2">
        <w:rPr>
          <w:rFonts w:asciiTheme="minorBidi" w:hAnsiTheme="minorBidi" w:hint="cs"/>
          <w:rtl/>
        </w:rPr>
        <w:t>,</w:t>
      </w:r>
      <w:r w:rsidRPr="005275DF">
        <w:rPr>
          <w:rFonts w:asciiTheme="minorBidi" w:hAnsiTheme="minorBidi"/>
          <w:rtl/>
        </w:rPr>
        <w:t xml:space="preserve"> ובקשתי להניח לו פך של שמן</w:t>
      </w:r>
      <w:r w:rsidR="007064B5">
        <w:rPr>
          <w:rStyle w:val="a9"/>
          <w:rFonts w:asciiTheme="minorBidi" w:hAnsiTheme="minorBidi"/>
          <w:rtl/>
        </w:rPr>
        <w:footnoteReference w:id="2842"/>
      </w:r>
      <w:r w:rsidRPr="005275DF">
        <w:rPr>
          <w:rFonts w:asciiTheme="minorBidi" w:hAnsiTheme="minorBidi"/>
          <w:rtl/>
        </w:rPr>
        <w:t xml:space="preserve"> באמבטי</w:t>
      </w:r>
      <w:r w:rsidRPr="005275DF">
        <w:rPr>
          <w:rStyle w:val="a9"/>
          <w:rFonts w:asciiTheme="minorBidi" w:hAnsiTheme="minorBidi"/>
          <w:rtl/>
        </w:rPr>
        <w:footnoteReference w:id="2843"/>
      </w:r>
      <w:r w:rsidRPr="005275DF">
        <w:rPr>
          <w:rFonts w:asciiTheme="minorBidi" w:hAnsiTheme="minorBidi"/>
          <w:rtl/>
        </w:rPr>
        <w:t>, ואמר לי: טול</w:t>
      </w:r>
      <w:r w:rsidRPr="005275DF">
        <w:rPr>
          <w:rStyle w:val="a9"/>
          <w:rFonts w:asciiTheme="minorBidi" w:hAnsiTheme="minorBidi"/>
          <w:rtl/>
        </w:rPr>
        <w:footnoteReference w:id="2844"/>
      </w:r>
      <w:r w:rsidRPr="005275DF">
        <w:rPr>
          <w:rFonts w:asciiTheme="minorBidi" w:hAnsiTheme="minorBidi"/>
          <w:rtl/>
        </w:rPr>
        <w:t xml:space="preserve"> בכלי שני</w:t>
      </w:r>
      <w:r w:rsidRPr="005275DF">
        <w:rPr>
          <w:rStyle w:val="a9"/>
          <w:rFonts w:asciiTheme="minorBidi" w:hAnsiTheme="minorBidi"/>
          <w:rtl/>
        </w:rPr>
        <w:footnoteReference w:id="2845"/>
      </w:r>
      <w:r w:rsidRPr="005275DF">
        <w:rPr>
          <w:rFonts w:asciiTheme="minorBidi" w:hAnsiTheme="minorBidi"/>
          <w:rtl/>
        </w:rPr>
        <w:t xml:space="preserve"> ותן.</w:t>
      </w:r>
      <w:r w:rsidR="007064B5" w:rsidRPr="007064B5">
        <w:rPr>
          <w:rtl/>
        </w:rPr>
        <w:t xml:space="preserve"> </w:t>
      </w:r>
      <w:r w:rsidR="007064B5" w:rsidRPr="007064B5">
        <w:rPr>
          <w:rFonts w:asciiTheme="minorBidi" w:hAnsiTheme="minorBidi" w:cs="Arial"/>
          <w:rtl/>
        </w:rPr>
        <w:t>שמע מינה תלת, שמע מינה: שמן יש בו משום בשול, ושמע מינה: כלי שני אינו מבשל, ושמע מינה: הפשרו זהו בשולו.</w:t>
      </w:r>
      <w:r w:rsidR="007064B5">
        <w:rPr>
          <w:rFonts w:asciiTheme="minorBidi" w:hAnsiTheme="minorBidi" w:hint="cs"/>
          <w:rtl/>
        </w:rPr>
        <w:t xml:space="preserve"> </w:t>
      </w:r>
      <w:r w:rsidR="007064B5">
        <w:rPr>
          <w:rFonts w:asciiTheme="minorBidi" w:hAnsiTheme="minorBidi" w:cs="Arial" w:hint="cs"/>
          <w:sz w:val="16"/>
          <w:szCs w:val="16"/>
          <w:rtl/>
        </w:rPr>
        <w:t>(</w:t>
      </w:r>
      <w:r w:rsidR="007064B5" w:rsidRPr="007064B5">
        <w:rPr>
          <w:rFonts w:asciiTheme="minorBidi" w:hAnsiTheme="minorBidi" w:cs="Arial"/>
          <w:sz w:val="16"/>
          <w:szCs w:val="16"/>
          <w:rtl/>
        </w:rPr>
        <w:t>וכתבו התוספות (ד"ה ושמע) דכלי שני אע</w:t>
      </w:r>
      <w:r w:rsidR="007064B5">
        <w:rPr>
          <w:rFonts w:asciiTheme="minorBidi" w:hAnsiTheme="minorBidi" w:cs="Arial" w:hint="cs"/>
          <w:sz w:val="16"/>
          <w:szCs w:val="16"/>
          <w:rtl/>
        </w:rPr>
        <w:t>"</w:t>
      </w:r>
      <w:r w:rsidR="007064B5" w:rsidRPr="007064B5">
        <w:rPr>
          <w:rFonts w:asciiTheme="minorBidi" w:hAnsiTheme="minorBidi" w:cs="Arial"/>
          <w:sz w:val="16"/>
          <w:szCs w:val="16"/>
          <w:rtl/>
        </w:rPr>
        <w:t>פ שהיד סולדת בו מותר שאין דפנותיו חמין והולך ומתקרר. ומקום דין זה מחולף דהוה ליה לרבינו לכותבו קודם מותר ליתן קיתון של מים דבהנך דינין דלעיל שייך</w:t>
      </w:r>
      <w:r w:rsidR="007064B5">
        <w:rPr>
          <w:rFonts w:asciiTheme="minorBidi" w:hAnsiTheme="minorBidi" w:cs="Arial" w:hint="cs"/>
          <w:sz w:val="16"/>
          <w:szCs w:val="16"/>
          <w:rtl/>
        </w:rPr>
        <w:t>, ב"י)</w:t>
      </w:r>
    </w:p>
    <w:p w14:paraId="1B45DD14" w14:textId="41C113EF" w:rsidR="008C37A2" w:rsidRPr="008C37A2" w:rsidRDefault="008C37A2" w:rsidP="00434A6A">
      <w:pPr>
        <w:rPr>
          <w:rFonts w:asciiTheme="minorBidi" w:hAnsiTheme="minorBidi"/>
          <w:u w:val="single"/>
          <w:rtl/>
        </w:rPr>
      </w:pPr>
      <w:r w:rsidRPr="008C37A2">
        <w:rPr>
          <w:rFonts w:asciiTheme="minorBidi" w:hAnsiTheme="minorBidi"/>
          <w:u w:val="single"/>
          <w:rtl/>
        </w:rPr>
        <w:t>הנחת קיתון של מים בתוך מים חמין</w:t>
      </w:r>
      <w:r w:rsidRPr="008C37A2">
        <w:rPr>
          <w:rFonts w:asciiTheme="minorBidi" w:hAnsiTheme="minorBidi" w:hint="cs"/>
          <w:u w:val="single"/>
          <w:rtl/>
        </w:rPr>
        <w:t>:</w:t>
      </w:r>
    </w:p>
    <w:p w14:paraId="66F56C4C" w14:textId="4D49DF44" w:rsidR="00DD3262" w:rsidRPr="007064B5" w:rsidRDefault="008C37A2" w:rsidP="00FF2D21">
      <w:pPr>
        <w:pStyle w:val="aa"/>
        <w:numPr>
          <w:ilvl w:val="0"/>
          <w:numId w:val="154"/>
        </w:numPr>
        <w:rPr>
          <w:rFonts w:asciiTheme="minorBidi" w:hAnsiTheme="minorBidi"/>
          <w:rtl/>
        </w:rPr>
      </w:pPr>
      <w:r w:rsidRPr="008C37A2">
        <w:rPr>
          <w:rFonts w:asciiTheme="minorBidi" w:hAnsiTheme="minorBidi" w:cs="Arial" w:hint="cs"/>
          <w:rtl/>
        </w:rPr>
        <w:t xml:space="preserve">טור- </w:t>
      </w:r>
      <w:r w:rsidRPr="008C37A2">
        <w:rPr>
          <w:rFonts w:asciiTheme="minorBidi" w:hAnsiTheme="minorBidi" w:cs="Arial"/>
          <w:rtl/>
        </w:rPr>
        <w:t>מותר ליתן הקיתון בכלי שני שיש בו מים חמין</w:t>
      </w:r>
      <w:r>
        <w:rPr>
          <w:rFonts w:asciiTheme="minorBidi" w:hAnsiTheme="minorBidi" w:cs="Arial" w:hint="cs"/>
          <w:rtl/>
        </w:rPr>
        <w:t>,</w:t>
      </w:r>
      <w:r w:rsidRPr="008C37A2">
        <w:rPr>
          <w:rFonts w:asciiTheme="minorBidi" w:hAnsiTheme="minorBidi" w:cs="Arial"/>
          <w:rtl/>
        </w:rPr>
        <w:t xml:space="preserve"> אבל בכלי ראשון אסור ליתנו</w:t>
      </w:r>
      <w:r w:rsidRPr="008C37A2">
        <w:rPr>
          <w:rFonts w:asciiTheme="minorBidi" w:hAnsiTheme="minorBidi" w:cs="Arial" w:hint="cs"/>
          <w:rtl/>
        </w:rPr>
        <w:t>.</w:t>
      </w:r>
      <w:r w:rsidR="00E17892">
        <w:rPr>
          <w:rFonts w:asciiTheme="minorBidi" w:hAnsiTheme="minorBidi" w:cs="Arial" w:hint="cs"/>
          <w:rtl/>
        </w:rPr>
        <w:t xml:space="preserve"> </w:t>
      </w:r>
      <w:r w:rsidR="00E17892" w:rsidRPr="008641EF">
        <w:rPr>
          <w:rFonts w:asciiTheme="minorBidi" w:hAnsiTheme="minorBidi" w:cs="Arial" w:hint="cs"/>
          <w:color w:val="E36C0A" w:themeColor="accent6" w:themeShade="BF"/>
          <w:rtl/>
        </w:rPr>
        <w:t>(וכ"פ בשו"ע</w:t>
      </w:r>
      <w:r w:rsidR="00E17892">
        <w:rPr>
          <w:rFonts w:asciiTheme="minorBidi" w:hAnsiTheme="minorBidi" w:cs="Arial" w:hint="cs"/>
          <w:color w:val="E36C0A" w:themeColor="accent6" w:themeShade="BF"/>
          <w:rtl/>
        </w:rPr>
        <w:t>)</w:t>
      </w:r>
    </w:p>
    <w:p w14:paraId="4C6E11EE"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5B2C7EE" w14:textId="14EDF7AC" w:rsidR="006A4BF8" w:rsidRPr="005275DF" w:rsidRDefault="006A4BF8" w:rsidP="00434A6A">
      <w:pPr>
        <w:tabs>
          <w:tab w:val="left" w:pos="2788"/>
        </w:tabs>
        <w:rPr>
          <w:rFonts w:asciiTheme="minorBidi" w:hAnsiTheme="minorBidi"/>
          <w:rtl/>
        </w:rPr>
      </w:pPr>
      <w:r w:rsidRPr="005275DF">
        <w:rPr>
          <w:rFonts w:asciiTheme="minorBidi" w:hAnsiTheme="minorBidi"/>
          <w:rtl/>
        </w:rPr>
        <w:t>מותר ליתן קיתון של מים או של שאר משקים בכלי שני</w:t>
      </w:r>
      <w:r w:rsidRPr="005275DF">
        <w:rPr>
          <w:rStyle w:val="a9"/>
          <w:rFonts w:asciiTheme="minorBidi" w:hAnsiTheme="minorBidi"/>
          <w:rtl/>
        </w:rPr>
        <w:footnoteReference w:id="2846"/>
      </w:r>
      <w:r w:rsidRPr="005275DF">
        <w:rPr>
          <w:rFonts w:asciiTheme="minorBidi" w:hAnsiTheme="minorBidi"/>
          <w:rtl/>
        </w:rPr>
        <w:t xml:space="preserve"> שיש בו מים חמין</w:t>
      </w:r>
      <w:r w:rsidRPr="005275DF">
        <w:rPr>
          <w:rStyle w:val="a9"/>
          <w:rFonts w:asciiTheme="minorBidi" w:hAnsiTheme="minorBidi"/>
          <w:rtl/>
        </w:rPr>
        <w:footnoteReference w:id="2847"/>
      </w:r>
      <w:r w:rsidRPr="005275DF">
        <w:rPr>
          <w:rFonts w:asciiTheme="minorBidi" w:hAnsiTheme="minorBidi"/>
          <w:rtl/>
        </w:rPr>
        <w:t xml:space="preserve">, אבל בכלי ראשון אסור. </w:t>
      </w:r>
    </w:p>
    <w:p w14:paraId="26ACC197" w14:textId="77777777" w:rsidR="006A4BF8" w:rsidRPr="005275DF" w:rsidRDefault="006A4BF8" w:rsidP="00434A6A">
      <w:pPr>
        <w:tabs>
          <w:tab w:val="left" w:pos="2788"/>
        </w:tabs>
        <w:rPr>
          <w:rFonts w:asciiTheme="minorBidi" w:hAnsiTheme="minorBidi"/>
          <w:sz w:val="26"/>
          <w:szCs w:val="26"/>
          <w:rtl/>
        </w:rPr>
      </w:pPr>
    </w:p>
    <w:p w14:paraId="4C8B8650" w14:textId="4034ACE1"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יד: נתינת קי</w:t>
      </w:r>
      <w:r w:rsidR="002659CF">
        <w:rPr>
          <w:rFonts w:asciiTheme="minorBidi" w:hAnsiTheme="minorBidi" w:cstheme="minorBidi" w:hint="cs"/>
          <w:rtl/>
        </w:rPr>
        <w:t>ת</w:t>
      </w:r>
      <w:r w:rsidRPr="005275DF">
        <w:rPr>
          <w:rFonts w:asciiTheme="minorBidi" w:hAnsiTheme="minorBidi" w:cstheme="minorBidi"/>
          <w:rtl/>
        </w:rPr>
        <w:t>ון של מים כנגד המדורה.</w:t>
      </w:r>
    </w:p>
    <w:p w14:paraId="1FAC7758" w14:textId="44400879" w:rsidR="006A4BF8" w:rsidRDefault="006A4BF8" w:rsidP="00434A6A">
      <w:pPr>
        <w:rPr>
          <w:rFonts w:asciiTheme="minorBidi" w:hAnsiTheme="minorBidi"/>
          <w:rtl/>
        </w:rPr>
      </w:pPr>
      <w:r w:rsidRPr="005275DF">
        <w:rPr>
          <w:rFonts w:asciiTheme="minorBidi" w:hAnsiTheme="minorBidi"/>
          <w:b/>
          <w:bCs/>
          <w:rtl/>
        </w:rPr>
        <w:t xml:space="preserve">שבת </w:t>
      </w:r>
      <w:r w:rsidR="00E17892">
        <w:rPr>
          <w:rFonts w:asciiTheme="minorBidi" w:hAnsiTheme="minorBidi" w:hint="cs"/>
          <w:b/>
          <w:bCs/>
          <w:sz w:val="16"/>
          <w:szCs w:val="16"/>
          <w:rtl/>
        </w:rPr>
        <w:t xml:space="preserve">(פ' כירה) </w:t>
      </w:r>
      <w:r w:rsidRPr="005275DF">
        <w:rPr>
          <w:rFonts w:asciiTheme="minorBidi" w:hAnsiTheme="minorBidi"/>
          <w:b/>
          <w:bCs/>
          <w:rtl/>
        </w:rPr>
        <w:t xml:space="preserve">מ ע"ב: </w:t>
      </w:r>
      <w:r w:rsidRPr="005275DF">
        <w:rPr>
          <w:rFonts w:asciiTheme="minorBidi" w:hAnsiTheme="minorBidi"/>
          <w:rtl/>
        </w:rPr>
        <w:t>תנו רבנן: מביא אדם קיתון מים ומניחו כנגד המדורה, לא בשביל שיחמו</w:t>
      </w:r>
      <w:r w:rsidR="004D6A0F">
        <w:rPr>
          <w:rStyle w:val="a9"/>
          <w:rFonts w:asciiTheme="minorBidi" w:hAnsiTheme="minorBidi"/>
          <w:rtl/>
        </w:rPr>
        <w:footnoteReference w:id="2848"/>
      </w:r>
      <w:r w:rsidRPr="005275DF">
        <w:rPr>
          <w:rFonts w:asciiTheme="minorBidi" w:hAnsiTheme="minorBidi"/>
          <w:rtl/>
        </w:rPr>
        <w:t>, אלא בשביל שתפיג צינתן</w:t>
      </w:r>
      <w:r w:rsidR="004D6A0F">
        <w:rPr>
          <w:rStyle w:val="a9"/>
          <w:rFonts w:asciiTheme="minorBidi" w:hAnsiTheme="minorBidi"/>
          <w:rtl/>
        </w:rPr>
        <w:footnoteReference w:id="2849"/>
      </w:r>
      <w:r w:rsidRPr="005275DF">
        <w:rPr>
          <w:rFonts w:asciiTheme="minorBidi" w:hAnsiTheme="minorBidi"/>
          <w:rtl/>
        </w:rPr>
        <w:t xml:space="preserve">. </w:t>
      </w:r>
      <w:r w:rsidRPr="005275DF">
        <w:rPr>
          <w:rFonts w:asciiTheme="minorBidi" w:hAnsiTheme="minorBidi"/>
          <w:u w:val="single"/>
          <w:rtl/>
        </w:rPr>
        <w:t>רבי יהודה אומר</w:t>
      </w:r>
      <w:r w:rsidRPr="005275DF">
        <w:rPr>
          <w:rFonts w:asciiTheme="minorBidi" w:hAnsiTheme="minorBidi"/>
          <w:rtl/>
        </w:rPr>
        <w:t>: מביאה אשה פך של שמן ומניחתו כנגד המדורה, לא בשביל שיבשל</w:t>
      </w:r>
      <w:r w:rsidR="004D6A0F">
        <w:rPr>
          <w:rStyle w:val="a9"/>
          <w:rFonts w:asciiTheme="minorBidi" w:hAnsiTheme="minorBidi"/>
          <w:rtl/>
        </w:rPr>
        <w:footnoteReference w:id="2850"/>
      </w:r>
      <w:r w:rsidRPr="005275DF">
        <w:rPr>
          <w:rFonts w:asciiTheme="minorBidi" w:hAnsiTheme="minorBidi"/>
          <w:rtl/>
        </w:rPr>
        <w:t xml:space="preserve"> אלא בשביל שיפשר. </w:t>
      </w:r>
      <w:r w:rsidRPr="005275DF">
        <w:rPr>
          <w:rFonts w:asciiTheme="minorBidi" w:hAnsiTheme="minorBidi"/>
          <w:u w:val="single"/>
          <w:rtl/>
        </w:rPr>
        <w:t>רבן שמעון בן גמליאל אומר</w:t>
      </w:r>
      <w:r w:rsidRPr="005275DF">
        <w:rPr>
          <w:rFonts w:asciiTheme="minorBidi" w:hAnsiTheme="minorBidi"/>
          <w:rtl/>
        </w:rPr>
        <w:t>: אשה סכה ידה</w:t>
      </w:r>
      <w:r w:rsidR="004D6A0F">
        <w:rPr>
          <w:rStyle w:val="a9"/>
          <w:rFonts w:asciiTheme="minorBidi" w:hAnsiTheme="minorBidi"/>
          <w:rtl/>
        </w:rPr>
        <w:footnoteReference w:id="2851"/>
      </w:r>
      <w:r w:rsidRPr="005275DF">
        <w:rPr>
          <w:rFonts w:asciiTheme="minorBidi" w:hAnsiTheme="minorBidi"/>
          <w:rtl/>
        </w:rPr>
        <w:t xml:space="preserve"> שמן ומחממתה כנגד המדורה, וסכה לבנה קטן, ואינה חוששת..</w:t>
      </w:r>
      <w:r w:rsidR="00E17892">
        <w:rPr>
          <w:rFonts w:asciiTheme="minorBidi" w:hAnsiTheme="minorBidi" w:hint="cs"/>
          <w:rtl/>
        </w:rPr>
        <w:t>.</w:t>
      </w:r>
      <w:r w:rsidRPr="005275DF">
        <w:rPr>
          <w:rFonts w:asciiTheme="minorBidi" w:hAnsiTheme="minorBidi"/>
          <w:rtl/>
        </w:rPr>
        <w:t xml:space="preserve"> </w:t>
      </w:r>
      <w:r w:rsidRPr="005275DF">
        <w:rPr>
          <w:rFonts w:asciiTheme="minorBidi" w:hAnsiTheme="minorBidi"/>
          <w:u w:val="single"/>
          <w:rtl/>
        </w:rPr>
        <w:t>אמר רב יהודה אמר שמואל:</w:t>
      </w:r>
      <w:r w:rsidRPr="005275DF">
        <w:rPr>
          <w:rFonts w:asciiTheme="minorBidi" w:hAnsiTheme="minorBidi"/>
          <w:rtl/>
        </w:rPr>
        <w:t xml:space="preserve"> אחד שמן ואחד מים, יד סולדת</w:t>
      </w:r>
      <w:r w:rsidR="004D6A0F">
        <w:rPr>
          <w:rStyle w:val="a9"/>
          <w:rFonts w:asciiTheme="minorBidi" w:hAnsiTheme="minorBidi"/>
          <w:rtl/>
        </w:rPr>
        <w:footnoteReference w:id="2852"/>
      </w:r>
      <w:r w:rsidRPr="005275DF">
        <w:rPr>
          <w:rFonts w:asciiTheme="minorBidi" w:hAnsiTheme="minorBidi"/>
          <w:rtl/>
        </w:rPr>
        <w:t xml:space="preserve"> בו - אסור, אין יד סולדת בו - מותר. והיכי דמי יד סולדת בו? </w:t>
      </w:r>
      <w:r w:rsidRPr="005275DF">
        <w:rPr>
          <w:rFonts w:asciiTheme="minorBidi" w:hAnsiTheme="minorBidi"/>
          <w:u w:val="single"/>
          <w:rtl/>
        </w:rPr>
        <w:t>אמר רחבא</w:t>
      </w:r>
      <w:r w:rsidRPr="005275DF">
        <w:rPr>
          <w:rFonts w:asciiTheme="minorBidi" w:hAnsiTheme="minorBidi"/>
          <w:rtl/>
        </w:rPr>
        <w:t>: כל שכריסו של תינוק נכוית.</w:t>
      </w:r>
      <w:r w:rsidR="00D201E6">
        <w:rPr>
          <w:rFonts w:asciiTheme="minorBidi" w:hAnsiTheme="minorBidi" w:hint="cs"/>
          <w:rtl/>
        </w:rPr>
        <w:t xml:space="preserve"> </w:t>
      </w:r>
      <w:r w:rsidR="00D201E6" w:rsidRPr="00D201E6">
        <w:rPr>
          <w:rFonts w:asciiTheme="minorBidi" w:hAnsiTheme="minorBidi" w:cs="Arial"/>
          <w:rtl/>
        </w:rPr>
        <w:t>שמע מינה תלת, שמע מינה: שמן יש בו משום בשול, ושמע מינה: כלי שני אינו מבשל, ושמע מינה: הפשרו זהו בשולו.</w:t>
      </w:r>
    </w:p>
    <w:p w14:paraId="2CD57F08" w14:textId="45961AB1" w:rsidR="006F4069" w:rsidRDefault="006F4069" w:rsidP="00434A6A">
      <w:pPr>
        <w:rPr>
          <w:rFonts w:asciiTheme="minorBidi" w:hAnsiTheme="minorBidi"/>
          <w:rtl/>
        </w:rPr>
      </w:pPr>
      <w:r w:rsidRPr="006F4069">
        <w:rPr>
          <w:rFonts w:asciiTheme="minorBidi" w:hAnsiTheme="minorBidi" w:cs="Arial" w:hint="cs"/>
          <w:b/>
          <w:bCs/>
          <w:rtl/>
        </w:rPr>
        <w:t>ירושלמי שבת פ"ג ה"א</w:t>
      </w:r>
      <w:r w:rsidR="00D201E6">
        <w:rPr>
          <w:rStyle w:val="a9"/>
          <w:rFonts w:asciiTheme="minorBidi" w:hAnsiTheme="minorBidi" w:cs="Arial"/>
          <w:b/>
          <w:bCs/>
          <w:rtl/>
        </w:rPr>
        <w:footnoteReference w:id="2853"/>
      </w:r>
      <w:r w:rsidRPr="006F4069">
        <w:rPr>
          <w:rFonts w:asciiTheme="minorBidi" w:hAnsiTheme="minorBidi" w:cs="Arial" w:hint="cs"/>
          <w:b/>
          <w:bCs/>
          <w:rtl/>
        </w:rPr>
        <w:t>:</w:t>
      </w:r>
      <w:r>
        <w:rPr>
          <w:rFonts w:asciiTheme="minorBidi" w:hAnsiTheme="minorBidi" w:cs="Arial" w:hint="cs"/>
          <w:rtl/>
        </w:rPr>
        <w:t xml:space="preserve"> </w:t>
      </w:r>
      <w:r w:rsidRPr="006F4069">
        <w:rPr>
          <w:rFonts w:asciiTheme="minorBidi" w:hAnsiTheme="minorBidi" w:cs="Arial"/>
          <w:u w:val="single"/>
          <w:rtl/>
        </w:rPr>
        <w:t>מר ר' זעירא בשם ר' יהודה</w:t>
      </w:r>
      <w:r>
        <w:rPr>
          <w:rFonts w:asciiTheme="minorBidi" w:hAnsiTheme="minorBidi" w:cs="Arial" w:hint="cs"/>
          <w:rtl/>
        </w:rPr>
        <w:t>:</w:t>
      </w:r>
      <w:r w:rsidRPr="006F4069">
        <w:rPr>
          <w:rFonts w:asciiTheme="minorBidi" w:hAnsiTheme="minorBidi" w:cs="Arial"/>
          <w:rtl/>
        </w:rPr>
        <w:t xml:space="preserve"> מותר להפשיר במקום שהיד שולטת. ואסור להפשיר במקום שאין היד שולטת.</w:t>
      </w:r>
    </w:p>
    <w:p w14:paraId="2AD35062" w14:textId="4F9782B5" w:rsidR="006F4069" w:rsidRPr="00006456" w:rsidRDefault="00006456" w:rsidP="00434A6A">
      <w:pPr>
        <w:rPr>
          <w:rFonts w:asciiTheme="minorBidi" w:hAnsiTheme="minorBidi"/>
          <w:u w:val="single"/>
          <w:rtl/>
        </w:rPr>
      </w:pPr>
      <w:r w:rsidRPr="00006456">
        <w:rPr>
          <w:rFonts w:asciiTheme="minorBidi" w:hAnsiTheme="minorBidi"/>
          <w:u w:val="single"/>
          <w:rtl/>
        </w:rPr>
        <w:t>נתינת קי</w:t>
      </w:r>
      <w:r w:rsidR="002659CF">
        <w:rPr>
          <w:rFonts w:asciiTheme="minorBidi" w:hAnsiTheme="minorBidi" w:hint="cs"/>
          <w:u w:val="single"/>
          <w:rtl/>
        </w:rPr>
        <w:t>ת</w:t>
      </w:r>
      <w:r w:rsidRPr="00006456">
        <w:rPr>
          <w:rFonts w:asciiTheme="minorBidi" w:hAnsiTheme="minorBidi"/>
          <w:u w:val="single"/>
          <w:rtl/>
        </w:rPr>
        <w:t>ון של מים כנגד המדורה</w:t>
      </w:r>
      <w:r w:rsidRPr="00006456">
        <w:rPr>
          <w:rFonts w:asciiTheme="minorBidi" w:hAnsiTheme="minorBidi" w:hint="cs"/>
          <w:u w:val="single"/>
          <w:rtl/>
        </w:rPr>
        <w:t>:</w:t>
      </w:r>
    </w:p>
    <w:p w14:paraId="467CF8EA" w14:textId="0BD42CDF" w:rsidR="00006456" w:rsidRPr="00006456" w:rsidRDefault="00E61E7E" w:rsidP="008C37A2">
      <w:pPr>
        <w:pStyle w:val="aa"/>
        <w:numPr>
          <w:ilvl w:val="0"/>
          <w:numId w:val="32"/>
        </w:numPr>
        <w:rPr>
          <w:rFonts w:asciiTheme="minorBidi" w:hAnsiTheme="minorBidi"/>
        </w:rPr>
      </w:pPr>
      <w:r>
        <w:rPr>
          <w:rFonts w:asciiTheme="minorBidi" w:hAnsiTheme="minorBidi" w:cs="Arial" w:hint="cs"/>
          <w:rtl/>
        </w:rPr>
        <w:t xml:space="preserve">טור- </w:t>
      </w:r>
      <w:r w:rsidRPr="002065FF">
        <w:rPr>
          <w:rFonts w:asciiTheme="minorBidi" w:hAnsiTheme="minorBidi" w:cs="Arial"/>
          <w:rtl/>
        </w:rPr>
        <w:t>מותר ליתן קיתון של מים או של שמן כנגד האש להפיג צינתן</w:t>
      </w:r>
      <w:r w:rsidR="00E17892">
        <w:rPr>
          <w:rFonts w:asciiTheme="minorBidi" w:hAnsiTheme="minorBidi" w:cs="Arial" w:hint="cs"/>
          <w:rtl/>
        </w:rPr>
        <w:t>,</w:t>
      </w:r>
      <w:r w:rsidRPr="002065FF">
        <w:rPr>
          <w:rFonts w:asciiTheme="minorBidi" w:hAnsiTheme="minorBidi" w:cs="Arial"/>
          <w:rtl/>
        </w:rPr>
        <w:t xml:space="preserve"> ובלבד שיתנם רחוק מן האש בענין שאינו יכול להתחמם באותו מקום עד שתהא היד סולדת בו</w:t>
      </w:r>
      <w:r w:rsidR="00E17892">
        <w:rPr>
          <w:rFonts w:asciiTheme="minorBidi" w:hAnsiTheme="minorBidi" w:cs="Arial" w:hint="cs"/>
          <w:rtl/>
        </w:rPr>
        <w:t>,</w:t>
      </w:r>
      <w:r w:rsidRPr="002065FF">
        <w:rPr>
          <w:rFonts w:asciiTheme="minorBidi" w:hAnsiTheme="minorBidi" w:cs="Arial"/>
          <w:rtl/>
        </w:rPr>
        <w:t xml:space="preserve"> דהיינו כל שכריסו של תינוק נכוית בו</w:t>
      </w:r>
      <w:r w:rsidR="00E17892">
        <w:rPr>
          <w:rFonts w:asciiTheme="minorBidi" w:hAnsiTheme="minorBidi" w:cs="Arial" w:hint="cs"/>
          <w:rtl/>
        </w:rPr>
        <w:t>.</w:t>
      </w:r>
      <w:r w:rsidR="00A637CC">
        <w:rPr>
          <w:rFonts w:asciiTheme="minorBidi" w:hAnsiTheme="minorBidi" w:cs="Arial" w:hint="cs"/>
          <w:rtl/>
        </w:rPr>
        <w:t xml:space="preserve"> </w:t>
      </w:r>
      <w:r w:rsidR="00A637CC" w:rsidRPr="008641EF">
        <w:rPr>
          <w:rFonts w:asciiTheme="minorBidi" w:hAnsiTheme="minorBidi" w:cs="Arial" w:hint="cs"/>
          <w:color w:val="E36C0A" w:themeColor="accent6" w:themeShade="BF"/>
          <w:rtl/>
        </w:rPr>
        <w:t>(וכ"פ בשו"ע</w:t>
      </w:r>
      <w:r w:rsidR="00A637CC">
        <w:rPr>
          <w:rFonts w:asciiTheme="minorBidi" w:hAnsiTheme="minorBidi" w:cs="Arial" w:hint="cs"/>
          <w:color w:val="E36C0A" w:themeColor="accent6" w:themeShade="BF"/>
          <w:rtl/>
        </w:rPr>
        <w:t>)</w:t>
      </w:r>
      <w:r w:rsidRPr="002065FF">
        <w:rPr>
          <w:rFonts w:asciiTheme="minorBidi" w:hAnsiTheme="minorBidi" w:cs="Arial"/>
          <w:rtl/>
        </w:rPr>
        <w:t xml:space="preserve"> </w:t>
      </w:r>
    </w:p>
    <w:p w14:paraId="1C8573EA" w14:textId="2EA6D7B2" w:rsidR="00E61E7E" w:rsidRDefault="00DC5056" w:rsidP="008C37A2">
      <w:pPr>
        <w:pStyle w:val="aa"/>
        <w:numPr>
          <w:ilvl w:val="0"/>
          <w:numId w:val="32"/>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(פכ"ב ה"ד)</w:t>
      </w:r>
      <w:r>
        <w:rPr>
          <w:rFonts w:asciiTheme="minorBidi" w:hAnsiTheme="minorBidi" w:cs="Arial" w:hint="cs"/>
          <w:rtl/>
        </w:rPr>
        <w:t xml:space="preserve">- </w:t>
      </w:r>
      <w:r w:rsidRPr="00DC5056">
        <w:rPr>
          <w:rFonts w:asciiTheme="minorBidi" w:hAnsiTheme="minorBidi" w:cs="Arial"/>
          <w:rtl/>
        </w:rPr>
        <w:t>מביא אדם קיתון של מים ומניחו כנגד המדורה</w:t>
      </w:r>
      <w:r w:rsidR="00006456">
        <w:rPr>
          <w:rFonts w:asciiTheme="minorBidi" w:hAnsiTheme="minorBidi" w:cs="Arial" w:hint="cs"/>
          <w:rtl/>
        </w:rPr>
        <w:t>,</w:t>
      </w:r>
      <w:r w:rsidRPr="00DC5056">
        <w:rPr>
          <w:rFonts w:asciiTheme="minorBidi" w:hAnsiTheme="minorBidi" w:cs="Arial"/>
          <w:rtl/>
        </w:rPr>
        <w:t xml:space="preserve"> לא בשביל שיחמו אלא כדי שתפוג צינתן</w:t>
      </w:r>
      <w:r w:rsidR="00006456">
        <w:rPr>
          <w:rFonts w:asciiTheme="minorBidi" w:hAnsiTheme="minorBidi" w:cs="Arial" w:hint="cs"/>
          <w:rtl/>
        </w:rPr>
        <w:t>.</w:t>
      </w:r>
      <w:r w:rsidRPr="00DC5056">
        <w:rPr>
          <w:rFonts w:asciiTheme="minorBidi" w:hAnsiTheme="minorBidi" w:cs="Arial"/>
          <w:rtl/>
        </w:rPr>
        <w:t xml:space="preserve"> וכן מניח פך של שמן כנגד המדורה</w:t>
      </w:r>
      <w:r w:rsidR="00006456">
        <w:rPr>
          <w:rFonts w:asciiTheme="minorBidi" w:hAnsiTheme="minorBidi" w:cs="Arial" w:hint="cs"/>
          <w:rtl/>
        </w:rPr>
        <w:t>,</w:t>
      </w:r>
      <w:r w:rsidRPr="00DC5056">
        <w:rPr>
          <w:rFonts w:asciiTheme="minorBidi" w:hAnsiTheme="minorBidi" w:cs="Arial"/>
          <w:rtl/>
        </w:rPr>
        <w:t xml:space="preserve"> כדי שיפשר לא שיחם</w:t>
      </w:r>
      <w:r w:rsidR="00006456">
        <w:rPr>
          <w:rFonts w:asciiTheme="minorBidi" w:hAnsiTheme="minorBidi" w:cs="Arial" w:hint="cs"/>
          <w:rtl/>
        </w:rPr>
        <w:t>.</w:t>
      </w:r>
      <w:r w:rsidRPr="00DC5056">
        <w:rPr>
          <w:rFonts w:asciiTheme="minorBidi" w:hAnsiTheme="minorBidi" w:cs="Arial"/>
          <w:rtl/>
        </w:rPr>
        <w:t xml:space="preserve"> וסך אדם ידו במים או בשמן ומחמם כנגד המדורה, והוא שלא יחמו המים שעל ידו עד שתהא כריסו של תינוק נכוית בהן</w:t>
      </w:r>
      <w:r w:rsidR="00006456">
        <w:rPr>
          <w:rFonts w:asciiTheme="minorBidi" w:hAnsiTheme="minorBidi" w:cs="Arial" w:hint="cs"/>
          <w:rtl/>
        </w:rPr>
        <w:t>.</w:t>
      </w:r>
      <w:r w:rsidRPr="00DC5056">
        <w:rPr>
          <w:rFonts w:asciiTheme="minorBidi" w:hAnsiTheme="minorBidi" w:cs="Arial"/>
          <w:rtl/>
        </w:rPr>
        <w:t xml:space="preserve"> ומחמם בגד ומניחו על גבי מעיו בשבת</w:t>
      </w:r>
      <w:r>
        <w:rPr>
          <w:rFonts w:asciiTheme="minorBidi" w:hAnsiTheme="minorBidi" w:cs="Arial" w:hint="cs"/>
          <w:sz w:val="16"/>
          <w:szCs w:val="16"/>
          <w:rtl/>
        </w:rPr>
        <w:t xml:space="preserve"> (ל' הרמב"ם)</w:t>
      </w:r>
      <w:r w:rsidRPr="00DC5056">
        <w:rPr>
          <w:rFonts w:asciiTheme="minorBidi" w:hAnsiTheme="minorBidi" w:cs="Arial"/>
          <w:rtl/>
        </w:rPr>
        <w:t>.</w:t>
      </w:r>
    </w:p>
    <w:p w14:paraId="2DC6A96E" w14:textId="50A515E4" w:rsidR="00006456" w:rsidRPr="00006456" w:rsidRDefault="00006456" w:rsidP="00006456">
      <w:pPr>
        <w:ind w:left="360"/>
        <w:rPr>
          <w:rFonts w:asciiTheme="minorBidi" w:hAnsiTheme="minorBidi"/>
          <w:u w:val="dotted"/>
        </w:rPr>
      </w:pPr>
      <w:r w:rsidRPr="00006456">
        <w:rPr>
          <w:rFonts w:asciiTheme="minorBidi" w:hAnsiTheme="minorBidi" w:hint="cs"/>
          <w:u w:val="dotted"/>
          <w:rtl/>
        </w:rPr>
        <w:t>האם יכול להניח</w:t>
      </w:r>
      <w:r w:rsidR="002659CF">
        <w:rPr>
          <w:rFonts w:asciiTheme="minorBidi" w:hAnsiTheme="minorBidi" w:hint="cs"/>
          <w:u w:val="dotted"/>
          <w:rtl/>
        </w:rPr>
        <w:t xml:space="preserve"> הקיתון</w:t>
      </w:r>
      <w:r w:rsidRPr="00006456">
        <w:rPr>
          <w:rFonts w:asciiTheme="minorBidi" w:hAnsiTheme="minorBidi" w:hint="cs"/>
          <w:u w:val="dotted"/>
          <w:rtl/>
        </w:rPr>
        <w:t xml:space="preserve"> במקום שהיד סולדת בו ויקח אותו משם קודם שיגיע ליד סולדת:</w:t>
      </w:r>
    </w:p>
    <w:p w14:paraId="51AD8242" w14:textId="18975A5B" w:rsidR="00006456" w:rsidRDefault="003D6876" w:rsidP="00006456">
      <w:pPr>
        <w:pStyle w:val="aa"/>
        <w:numPr>
          <w:ilvl w:val="0"/>
          <w:numId w:val="32"/>
        </w:numPr>
        <w:rPr>
          <w:rFonts w:asciiTheme="minorBidi" w:hAnsiTheme="minorBidi"/>
        </w:rPr>
      </w:pPr>
      <w:r>
        <w:rPr>
          <w:rFonts w:asciiTheme="minorBidi" w:hAnsiTheme="minorBidi" w:cs="Arial" w:hint="cs"/>
          <w:rtl/>
        </w:rPr>
        <w:t>ר"ש ב"א</w:t>
      </w:r>
      <w:r>
        <w:rPr>
          <w:rStyle w:val="a9"/>
          <w:rFonts w:asciiTheme="minorBidi" w:hAnsiTheme="minorBidi" w:cs="Arial"/>
          <w:rtl/>
        </w:rPr>
        <w:footnoteReference w:id="2854"/>
      </w:r>
      <w:r>
        <w:rPr>
          <w:rFonts w:asciiTheme="minorBidi" w:hAnsiTheme="minorBidi" w:cs="Arial" w:hint="cs"/>
          <w:rtl/>
        </w:rPr>
        <w:t xml:space="preserve"> </w:t>
      </w:r>
      <w:r>
        <w:rPr>
          <w:rFonts w:asciiTheme="minorBidi" w:hAnsiTheme="minorBidi" w:cs="Arial" w:hint="cs"/>
          <w:sz w:val="16"/>
          <w:szCs w:val="16"/>
          <w:rtl/>
        </w:rPr>
        <w:t xml:space="preserve">(בתוס' מח. ד"ה מאי) </w:t>
      </w:r>
      <w:r>
        <w:rPr>
          <w:rFonts w:asciiTheme="minorBidi" w:hAnsiTheme="minorBidi" w:cs="Arial" w:hint="cs"/>
          <w:rtl/>
        </w:rPr>
        <w:t>רשב"א</w:t>
      </w:r>
      <w:r>
        <w:rPr>
          <w:rFonts w:asciiTheme="minorBidi" w:hAnsiTheme="minorBidi" w:cs="Arial" w:hint="cs"/>
          <w:sz w:val="16"/>
          <w:szCs w:val="16"/>
          <w:rtl/>
        </w:rPr>
        <w:t xml:space="preserve"> (מ: ד"ה והנכון)</w:t>
      </w:r>
      <w:r>
        <w:rPr>
          <w:rFonts w:asciiTheme="minorBidi" w:hAnsiTheme="minorBidi" w:cs="Arial" w:hint="cs"/>
          <w:rtl/>
        </w:rPr>
        <w:t xml:space="preserve"> </w:t>
      </w:r>
      <w:r w:rsidR="00AE6F8B" w:rsidRPr="00DD3262">
        <w:rPr>
          <w:rFonts w:asciiTheme="minorBidi" w:hAnsiTheme="minorBidi" w:cs="Arial"/>
          <w:rtl/>
        </w:rPr>
        <w:t xml:space="preserve">רא"ש </w:t>
      </w:r>
      <w:r w:rsidR="00AE6F8B" w:rsidRPr="00AE6F8B">
        <w:rPr>
          <w:rFonts w:asciiTheme="minorBidi" w:hAnsiTheme="minorBidi" w:cs="Arial"/>
          <w:sz w:val="16"/>
          <w:szCs w:val="16"/>
          <w:rtl/>
        </w:rPr>
        <w:t>(</w:t>
      </w:r>
      <w:r w:rsidR="00AE6F8B" w:rsidRPr="00AE6F8B">
        <w:rPr>
          <w:rFonts w:asciiTheme="minorBidi" w:hAnsiTheme="minorBidi" w:cs="Arial" w:hint="cs"/>
          <w:sz w:val="16"/>
          <w:szCs w:val="16"/>
          <w:rtl/>
        </w:rPr>
        <w:t xml:space="preserve">פ"ג </w:t>
      </w:r>
      <w:r w:rsidR="00AE6F8B" w:rsidRPr="00AE6F8B">
        <w:rPr>
          <w:rFonts w:asciiTheme="minorBidi" w:hAnsiTheme="minorBidi" w:cs="Arial"/>
          <w:sz w:val="16"/>
          <w:szCs w:val="16"/>
          <w:rtl/>
        </w:rPr>
        <w:t>סי' י)</w:t>
      </w:r>
      <w:r w:rsidR="00AE6F8B">
        <w:rPr>
          <w:rFonts w:asciiTheme="minorBidi" w:hAnsiTheme="minorBidi" w:cs="Arial" w:hint="cs"/>
          <w:rtl/>
        </w:rPr>
        <w:t xml:space="preserve"> </w:t>
      </w:r>
      <w:r>
        <w:rPr>
          <w:rFonts w:asciiTheme="minorBidi" w:hAnsiTheme="minorBidi" w:cs="Arial" w:hint="cs"/>
          <w:rtl/>
        </w:rPr>
        <w:t>ו</w:t>
      </w:r>
      <w:r w:rsidR="00006456">
        <w:rPr>
          <w:rFonts w:asciiTheme="minorBidi" w:hAnsiTheme="minorBidi" w:cs="Arial" w:hint="cs"/>
          <w:rtl/>
        </w:rPr>
        <w:t xml:space="preserve">טור- </w:t>
      </w:r>
      <w:r w:rsidR="00006456" w:rsidRPr="002065FF">
        <w:rPr>
          <w:rFonts w:asciiTheme="minorBidi" w:hAnsiTheme="minorBidi" w:cs="Arial"/>
          <w:rtl/>
        </w:rPr>
        <w:t>אסור לקרבו אל האש למקום שיכול להתחמם שתהא היד סולדת בו</w:t>
      </w:r>
      <w:r w:rsidR="00006456">
        <w:rPr>
          <w:rFonts w:asciiTheme="minorBidi" w:hAnsiTheme="minorBidi" w:cs="Arial" w:hint="cs"/>
          <w:rtl/>
        </w:rPr>
        <w:t>,</w:t>
      </w:r>
      <w:r w:rsidR="00006456" w:rsidRPr="002065FF">
        <w:rPr>
          <w:rFonts w:asciiTheme="minorBidi" w:hAnsiTheme="minorBidi" w:cs="Arial"/>
          <w:rtl/>
        </w:rPr>
        <w:t xml:space="preserve"> ואפילו להניח בו שעה קטנה שתפיג צינתו אסור</w:t>
      </w:r>
      <w:r w:rsidR="00006456">
        <w:rPr>
          <w:rFonts w:asciiTheme="minorBidi" w:hAnsiTheme="minorBidi" w:cs="Arial" w:hint="cs"/>
          <w:rtl/>
        </w:rPr>
        <w:t>,</w:t>
      </w:r>
      <w:r w:rsidR="00006456" w:rsidRPr="002065FF">
        <w:rPr>
          <w:rFonts w:asciiTheme="minorBidi" w:hAnsiTheme="minorBidi" w:cs="Arial"/>
          <w:rtl/>
        </w:rPr>
        <w:t xml:space="preserve"> כיון שיכול להתבשל שם</w:t>
      </w:r>
      <w:r w:rsidR="00D201E6">
        <w:rPr>
          <w:rFonts w:asciiTheme="minorBidi" w:hAnsiTheme="minorBidi" w:cs="Arial" w:hint="cs"/>
          <w:sz w:val="16"/>
          <w:szCs w:val="16"/>
          <w:rtl/>
        </w:rPr>
        <w:t xml:space="preserve"> (ל' הטור)</w:t>
      </w:r>
      <w:r w:rsidR="00006456">
        <w:rPr>
          <w:rFonts w:asciiTheme="minorBidi" w:hAnsiTheme="minorBidi" w:cs="Arial" w:hint="cs"/>
          <w:rtl/>
        </w:rPr>
        <w:t>.</w:t>
      </w:r>
      <w:r w:rsidR="00A637CC" w:rsidRPr="00A637CC">
        <w:rPr>
          <w:rFonts w:asciiTheme="minorBidi" w:hAnsiTheme="minorBidi" w:cs="Arial" w:hint="cs"/>
          <w:color w:val="E36C0A" w:themeColor="accent6" w:themeShade="BF"/>
          <w:rtl/>
        </w:rPr>
        <w:t xml:space="preserve"> </w:t>
      </w:r>
      <w:r w:rsidR="00A637CC" w:rsidRPr="008641EF">
        <w:rPr>
          <w:rFonts w:asciiTheme="minorBidi" w:hAnsiTheme="minorBidi" w:cs="Arial" w:hint="cs"/>
          <w:color w:val="E36C0A" w:themeColor="accent6" w:themeShade="BF"/>
          <w:rtl/>
        </w:rPr>
        <w:t>(וכ"פ בשו"ע</w:t>
      </w:r>
      <w:r w:rsidR="00A637CC">
        <w:rPr>
          <w:rFonts w:asciiTheme="minorBidi" w:hAnsiTheme="minorBidi" w:cs="Arial" w:hint="cs"/>
          <w:color w:val="E36C0A" w:themeColor="accent6" w:themeShade="BF"/>
          <w:rtl/>
        </w:rPr>
        <w:t>)</w:t>
      </w:r>
    </w:p>
    <w:p w14:paraId="6131E472" w14:textId="118161A1" w:rsidR="00DC5056" w:rsidRPr="00006456" w:rsidRDefault="00006456" w:rsidP="00006456">
      <w:pPr>
        <w:pStyle w:val="aa"/>
        <w:numPr>
          <w:ilvl w:val="0"/>
          <w:numId w:val="32"/>
        </w:numPr>
        <w:rPr>
          <w:rFonts w:asciiTheme="minorBidi" w:hAnsiTheme="minorBidi"/>
          <w:rtl/>
        </w:rPr>
      </w:pPr>
      <w:r>
        <w:rPr>
          <w:rFonts w:asciiTheme="minorBidi" w:hAnsiTheme="minorBidi" w:hint="cs"/>
          <w:rtl/>
        </w:rPr>
        <w:t xml:space="preserve">רש"י </w:t>
      </w:r>
      <w:r w:rsidR="0098697E">
        <w:rPr>
          <w:rFonts w:asciiTheme="minorBidi" w:hAnsiTheme="minorBidi" w:hint="cs"/>
          <w:sz w:val="16"/>
          <w:szCs w:val="16"/>
          <w:rtl/>
        </w:rPr>
        <w:t>(</w:t>
      </w:r>
      <w:r>
        <w:rPr>
          <w:rFonts w:asciiTheme="minorBidi" w:hAnsiTheme="minorBidi" w:hint="cs"/>
          <w:sz w:val="16"/>
          <w:szCs w:val="16"/>
          <w:rtl/>
        </w:rPr>
        <w:t>להב' הר"ן [יט.]</w:t>
      </w:r>
      <w:r w:rsidR="0098697E">
        <w:rPr>
          <w:rFonts w:asciiTheme="minorBidi" w:hAnsiTheme="minorBidi" w:hint="cs"/>
          <w:sz w:val="16"/>
          <w:szCs w:val="16"/>
          <w:rtl/>
        </w:rPr>
        <w:t>)</w:t>
      </w:r>
      <w:r w:rsidR="0098697E">
        <w:rPr>
          <w:rFonts w:asciiTheme="minorBidi" w:hAnsiTheme="minorBidi" w:hint="cs"/>
          <w:rtl/>
        </w:rPr>
        <w:t xml:space="preserve"> ורמב"ם</w:t>
      </w:r>
      <w:r w:rsidR="0098697E">
        <w:rPr>
          <w:rFonts w:asciiTheme="minorBidi" w:hAnsiTheme="minorBidi" w:hint="cs"/>
          <w:sz w:val="16"/>
          <w:szCs w:val="16"/>
          <w:rtl/>
        </w:rPr>
        <w:t xml:space="preserve"> (</w:t>
      </w:r>
      <w:r w:rsidR="00A637CC">
        <w:rPr>
          <w:rFonts w:asciiTheme="minorBidi" w:hAnsiTheme="minorBidi" w:hint="cs"/>
          <w:sz w:val="16"/>
          <w:szCs w:val="16"/>
          <w:rtl/>
        </w:rPr>
        <w:t>[</w:t>
      </w:r>
      <w:r w:rsidR="0098697E">
        <w:rPr>
          <w:rFonts w:asciiTheme="minorBidi" w:hAnsiTheme="minorBidi" w:hint="cs"/>
          <w:sz w:val="16"/>
          <w:szCs w:val="16"/>
          <w:rtl/>
        </w:rPr>
        <w:t>שם</w:t>
      </w:r>
      <w:r w:rsidR="00A637CC">
        <w:rPr>
          <w:rFonts w:asciiTheme="minorBidi" w:hAnsiTheme="minorBidi" w:hint="cs"/>
          <w:sz w:val="16"/>
          <w:szCs w:val="16"/>
          <w:rtl/>
        </w:rPr>
        <w:t>]</w:t>
      </w:r>
      <w:r w:rsidR="0098697E">
        <w:rPr>
          <w:rFonts w:asciiTheme="minorBidi" w:hAnsiTheme="minorBidi" w:hint="cs"/>
          <w:sz w:val="16"/>
          <w:szCs w:val="16"/>
          <w:rtl/>
        </w:rPr>
        <w:t xml:space="preserve"> להב' הב"י)</w:t>
      </w:r>
      <w:r>
        <w:rPr>
          <w:rFonts w:asciiTheme="minorBidi" w:hAnsiTheme="minorBidi" w:hint="cs"/>
          <w:rtl/>
        </w:rPr>
        <w:t xml:space="preserve">- </w:t>
      </w:r>
      <w:r w:rsidR="00DD3262" w:rsidRPr="00006456">
        <w:rPr>
          <w:rFonts w:asciiTheme="minorBidi" w:hAnsiTheme="minorBidi" w:cs="Arial"/>
          <w:rtl/>
        </w:rPr>
        <w:t xml:space="preserve">אפילו קרוב למדורה במקום הראוי לבשל </w:t>
      </w:r>
      <w:r w:rsidR="00AE6F8B">
        <w:rPr>
          <w:rFonts w:asciiTheme="minorBidi" w:hAnsiTheme="minorBidi" w:cs="Arial" w:hint="cs"/>
          <w:rtl/>
        </w:rPr>
        <w:t xml:space="preserve">- </w:t>
      </w:r>
      <w:r w:rsidR="00DD3262" w:rsidRPr="00006456">
        <w:rPr>
          <w:rFonts w:asciiTheme="minorBidi" w:hAnsiTheme="minorBidi" w:cs="Arial"/>
          <w:rtl/>
        </w:rPr>
        <w:t>מותר כדי להפשיר</w:t>
      </w:r>
      <w:r w:rsidR="00DC5056" w:rsidRPr="00006456">
        <w:rPr>
          <w:rFonts w:asciiTheme="minorBidi" w:hAnsiTheme="minorBidi" w:cs="Arial" w:hint="cs"/>
          <w:rtl/>
        </w:rPr>
        <w:t>,</w:t>
      </w:r>
      <w:r w:rsidR="00DD3262" w:rsidRPr="00006456">
        <w:rPr>
          <w:rFonts w:asciiTheme="minorBidi" w:hAnsiTheme="minorBidi" w:cs="Arial"/>
          <w:rtl/>
        </w:rPr>
        <w:t xml:space="preserve"> דהיינו כל שלא שיהה אותם כל כך כדי שיתבשלו</w:t>
      </w:r>
      <w:r w:rsidR="0098697E">
        <w:rPr>
          <w:rStyle w:val="a9"/>
          <w:rFonts w:asciiTheme="minorBidi" w:hAnsiTheme="minorBidi" w:cs="Arial"/>
          <w:rtl/>
        </w:rPr>
        <w:footnoteReference w:id="2855"/>
      </w:r>
      <w:r w:rsidR="0098697E">
        <w:rPr>
          <w:rFonts w:asciiTheme="minorBidi" w:hAnsiTheme="minorBidi" w:cs="Arial" w:hint="cs"/>
          <w:rtl/>
        </w:rPr>
        <w:t xml:space="preserve"> </w:t>
      </w:r>
      <w:r w:rsidR="0098697E">
        <w:rPr>
          <w:rFonts w:asciiTheme="minorBidi" w:hAnsiTheme="minorBidi" w:cs="Arial" w:hint="cs"/>
          <w:sz w:val="16"/>
          <w:szCs w:val="16"/>
          <w:rtl/>
        </w:rPr>
        <w:t>(ל' הר"ן)</w:t>
      </w:r>
      <w:r w:rsidR="00DC5056" w:rsidRPr="00006456">
        <w:rPr>
          <w:rFonts w:asciiTheme="minorBidi" w:hAnsiTheme="minorBidi" w:cs="Arial" w:hint="cs"/>
          <w:rtl/>
        </w:rPr>
        <w:t>.</w:t>
      </w:r>
      <w:r w:rsidR="00DD3262" w:rsidRPr="00006456">
        <w:rPr>
          <w:rFonts w:asciiTheme="minorBidi" w:hAnsiTheme="minorBidi" w:cs="Arial"/>
          <w:rtl/>
        </w:rPr>
        <w:t xml:space="preserve"> </w:t>
      </w:r>
    </w:p>
    <w:p w14:paraId="22D1A410" w14:textId="2D56D328" w:rsidR="00DD3262" w:rsidRDefault="00DC5056" w:rsidP="00DC5056">
      <w:pPr>
        <w:pStyle w:val="aa"/>
        <w:numPr>
          <w:ilvl w:val="1"/>
          <w:numId w:val="32"/>
        </w:numPr>
        <w:rPr>
          <w:rFonts w:asciiTheme="minorBidi" w:hAnsiTheme="minorBidi" w:cs="Arial"/>
        </w:rPr>
      </w:pPr>
      <w:r w:rsidRPr="00DC5056">
        <w:rPr>
          <w:rFonts w:asciiTheme="minorBidi" w:hAnsiTheme="minorBidi" w:cs="Arial" w:hint="cs"/>
          <w:rtl/>
        </w:rPr>
        <w:t xml:space="preserve">ב"י- </w:t>
      </w:r>
      <w:r w:rsidR="00DD3262" w:rsidRPr="00DC5056">
        <w:rPr>
          <w:rFonts w:asciiTheme="minorBidi" w:hAnsiTheme="minorBidi" w:cs="Arial"/>
          <w:rtl/>
        </w:rPr>
        <w:t>וכיון דכמה רבוותא פליגי אשריותא דמשמע מדברי רש"י והרמב"ם נקטינן הלכתא כרבים דאסרי וכל שכן דירושלמי מסייע להו</w:t>
      </w:r>
      <w:r w:rsidRPr="00DC5056">
        <w:rPr>
          <w:rFonts w:asciiTheme="minorBidi" w:hAnsiTheme="minorBidi" w:cs="Arial" w:hint="cs"/>
          <w:rtl/>
        </w:rPr>
        <w:t>.</w:t>
      </w:r>
    </w:p>
    <w:p w14:paraId="59A8880D" w14:textId="3200BEA7" w:rsidR="002659CF" w:rsidRPr="002659CF" w:rsidRDefault="002659CF" w:rsidP="002659CF">
      <w:pPr>
        <w:ind w:left="360"/>
        <w:rPr>
          <w:rFonts w:asciiTheme="minorBidi" w:hAnsiTheme="minorBidi" w:cs="Arial"/>
          <w:u w:val="dotted"/>
          <w:rtl/>
        </w:rPr>
      </w:pPr>
      <w:r w:rsidRPr="002659CF">
        <w:rPr>
          <w:rFonts w:asciiTheme="minorBidi" w:hAnsiTheme="minorBidi" w:cs="Arial" w:hint="cs"/>
          <w:u w:val="dotted"/>
          <w:rtl/>
        </w:rPr>
        <w:t xml:space="preserve">לרש"י וסיעתו - האם מותר להניח את הקיתון גם ע"ג האש ויקחהו קודם שיגיע ליס"ב: </w:t>
      </w:r>
    </w:p>
    <w:p w14:paraId="76EF76FA" w14:textId="35879A15" w:rsidR="002659CF" w:rsidRPr="002659CF" w:rsidRDefault="002659CF" w:rsidP="00FF2D21">
      <w:pPr>
        <w:pStyle w:val="aa"/>
        <w:numPr>
          <w:ilvl w:val="0"/>
          <w:numId w:val="155"/>
        </w:numPr>
        <w:rPr>
          <w:rFonts w:asciiTheme="minorBidi" w:hAnsiTheme="minorBidi" w:cs="Arial"/>
          <w:rtl/>
        </w:rPr>
      </w:pPr>
      <w:r>
        <w:rPr>
          <w:rFonts w:asciiTheme="minorBidi" w:hAnsiTheme="minorBidi" w:cs="Arial" w:hint="cs"/>
          <w:rtl/>
        </w:rPr>
        <w:t xml:space="preserve">ר"ן </w:t>
      </w:r>
      <w:r>
        <w:rPr>
          <w:rFonts w:asciiTheme="minorBidi" w:hAnsiTheme="minorBidi" w:cs="Arial" w:hint="cs"/>
          <w:sz w:val="16"/>
          <w:szCs w:val="16"/>
          <w:rtl/>
        </w:rPr>
        <w:t>(שם)</w:t>
      </w:r>
      <w:r>
        <w:rPr>
          <w:rFonts w:asciiTheme="minorBidi" w:hAnsiTheme="minorBidi" w:cs="Arial" w:hint="cs"/>
          <w:rtl/>
        </w:rPr>
        <w:t xml:space="preserve">- </w:t>
      </w:r>
      <w:r w:rsidRPr="002659CF">
        <w:rPr>
          <w:rFonts w:asciiTheme="minorBidi" w:hAnsiTheme="minorBidi" w:cs="Arial" w:hint="cs"/>
          <w:rtl/>
        </w:rPr>
        <w:t xml:space="preserve">ומכל מקום </w:t>
      </w:r>
      <w:r w:rsidRPr="002659CF">
        <w:rPr>
          <w:rFonts w:asciiTheme="minorBidi" w:hAnsiTheme="minorBidi" w:cs="Arial"/>
          <w:rtl/>
        </w:rPr>
        <w:t>אפילו ל</w:t>
      </w:r>
      <w:r w:rsidRPr="002659CF">
        <w:rPr>
          <w:rFonts w:asciiTheme="minorBidi" w:hAnsiTheme="minorBidi" w:cs="Arial" w:hint="cs"/>
          <w:rtl/>
        </w:rPr>
        <w:t>דבריו</w:t>
      </w:r>
      <w:r>
        <w:rPr>
          <w:rFonts w:asciiTheme="minorBidi" w:hAnsiTheme="minorBidi" w:cs="Arial" w:hint="cs"/>
          <w:sz w:val="16"/>
          <w:szCs w:val="16"/>
          <w:rtl/>
        </w:rPr>
        <w:t xml:space="preserve"> {של רש"י, וממילא גם לרמב"ם}</w:t>
      </w:r>
      <w:r>
        <w:rPr>
          <w:rFonts w:asciiTheme="minorBidi" w:hAnsiTheme="minorBidi" w:cs="Arial" w:hint="cs"/>
          <w:rtl/>
        </w:rPr>
        <w:t>,</w:t>
      </w:r>
      <w:r w:rsidRPr="002659CF">
        <w:rPr>
          <w:rFonts w:asciiTheme="minorBidi" w:hAnsiTheme="minorBidi" w:cs="Arial" w:hint="cs"/>
          <w:rtl/>
        </w:rPr>
        <w:t xml:space="preserve"> </w:t>
      </w:r>
      <w:r w:rsidRPr="002659CF">
        <w:rPr>
          <w:rFonts w:asciiTheme="minorBidi" w:hAnsiTheme="minorBidi" w:cs="Arial"/>
          <w:rtl/>
        </w:rPr>
        <w:t xml:space="preserve">על גבי האש ממש </w:t>
      </w:r>
      <w:r>
        <w:rPr>
          <w:rFonts w:asciiTheme="minorBidi" w:hAnsiTheme="minorBidi" w:cs="Arial" w:hint="cs"/>
          <w:rtl/>
        </w:rPr>
        <w:t xml:space="preserve">- </w:t>
      </w:r>
      <w:r w:rsidRPr="002659CF">
        <w:rPr>
          <w:rFonts w:asciiTheme="minorBidi" w:hAnsiTheme="minorBidi" w:cs="Arial"/>
          <w:rtl/>
        </w:rPr>
        <w:t>אסור</w:t>
      </w:r>
      <w:r>
        <w:rPr>
          <w:rFonts w:asciiTheme="minorBidi" w:hAnsiTheme="minorBidi" w:cs="Arial" w:hint="cs"/>
          <w:rtl/>
        </w:rPr>
        <w:t>,</w:t>
      </w:r>
      <w:r w:rsidRPr="002659CF">
        <w:rPr>
          <w:rFonts w:asciiTheme="minorBidi" w:hAnsiTheme="minorBidi" w:cs="Arial"/>
          <w:rtl/>
        </w:rPr>
        <w:t xml:space="preserve"> מפני שנראה כמבשל</w:t>
      </w:r>
      <w:r>
        <w:rPr>
          <w:rFonts w:asciiTheme="minorBidi" w:hAnsiTheme="minorBidi" w:cs="Arial" w:hint="cs"/>
          <w:rtl/>
        </w:rPr>
        <w:t>.</w:t>
      </w:r>
      <w:r w:rsidRPr="002659CF">
        <w:rPr>
          <w:rFonts w:asciiTheme="minorBidi" w:hAnsiTheme="minorBidi" w:cs="Arial"/>
          <w:rtl/>
        </w:rPr>
        <w:t xml:space="preserve"> דהא אפילו תבשיל שנתבשל כל צרכו אע</w:t>
      </w:r>
      <w:r>
        <w:rPr>
          <w:rFonts w:asciiTheme="minorBidi" w:hAnsiTheme="minorBidi" w:cs="Arial" w:hint="cs"/>
          <w:rtl/>
        </w:rPr>
        <w:t>"</w:t>
      </w:r>
      <w:r w:rsidRPr="002659CF">
        <w:rPr>
          <w:rFonts w:asciiTheme="minorBidi" w:hAnsiTheme="minorBidi" w:cs="Arial"/>
          <w:rtl/>
        </w:rPr>
        <w:t>פ שמצטמק ורע לו אסרו להחזיר בכירה שאינה גרופה וקטומה (ר"ן טז: ד"ה ותו)</w:t>
      </w:r>
      <w:r>
        <w:rPr>
          <w:rFonts w:asciiTheme="minorBidi" w:hAnsiTheme="minorBidi" w:cs="Arial" w:hint="cs"/>
          <w:rtl/>
        </w:rPr>
        <w:t>,</w:t>
      </w:r>
      <w:r w:rsidRPr="002659CF">
        <w:rPr>
          <w:rFonts w:asciiTheme="minorBidi" w:hAnsiTheme="minorBidi" w:cs="Arial"/>
          <w:rtl/>
        </w:rPr>
        <w:t xml:space="preserve"> וכל שכן לתת לכתחלה ואפילו להפשיר</w:t>
      </w:r>
      <w:r w:rsidRPr="002659CF">
        <w:rPr>
          <w:rFonts w:asciiTheme="minorBidi" w:hAnsiTheme="minorBidi" w:cs="Arial" w:hint="cs"/>
          <w:rtl/>
        </w:rPr>
        <w:t>,</w:t>
      </w:r>
      <w:r w:rsidRPr="002659CF">
        <w:rPr>
          <w:rFonts w:asciiTheme="minorBidi" w:hAnsiTheme="minorBidi" w:cs="Arial"/>
          <w:rtl/>
        </w:rPr>
        <w:t xml:space="preserve"> אלא ודאי לא התירו כאן אלא כנגד המדורה בלבד</w:t>
      </w:r>
      <w:r>
        <w:rPr>
          <w:rFonts w:asciiTheme="minorBidi" w:hAnsiTheme="minorBidi" w:cs="Arial" w:hint="cs"/>
          <w:rtl/>
        </w:rPr>
        <w:t>.</w:t>
      </w:r>
      <w:r w:rsidRPr="002659CF">
        <w:rPr>
          <w:rFonts w:asciiTheme="minorBidi" w:hAnsiTheme="minorBidi" w:cs="Arial"/>
          <w:rtl/>
        </w:rPr>
        <w:t xml:space="preserve"> אלא שהרמב"ן ז"ל (חי' מ: סוד"ה ובלבד) כתב דלהפשיר לא שנא כנגד המדורה ולא שנא על גבה</w:t>
      </w:r>
      <w:r w:rsidRPr="002659CF">
        <w:rPr>
          <w:rFonts w:asciiTheme="minorBidi" w:hAnsiTheme="minorBidi" w:cs="Arial" w:hint="cs"/>
          <w:rtl/>
        </w:rPr>
        <w:t>.</w:t>
      </w:r>
    </w:p>
    <w:p w14:paraId="66E47463" w14:textId="2BB35E18" w:rsidR="001C29B3" w:rsidRPr="002659CF" w:rsidRDefault="002659CF" w:rsidP="001C29B3">
      <w:pPr>
        <w:ind w:left="360"/>
        <w:rPr>
          <w:rFonts w:asciiTheme="minorBidi" w:hAnsiTheme="minorBidi" w:cs="Arial"/>
          <w:u w:val="dotted"/>
        </w:rPr>
      </w:pPr>
      <w:r>
        <w:rPr>
          <w:rFonts w:asciiTheme="minorBidi" w:hAnsiTheme="minorBidi" w:cs="Arial" w:hint="cs"/>
          <w:u w:val="dotted"/>
          <w:rtl/>
        </w:rPr>
        <w:t xml:space="preserve">לר"ש ב"א וסיעתו - </w:t>
      </w:r>
      <w:r w:rsidR="001C29B3" w:rsidRPr="002659CF">
        <w:rPr>
          <w:rFonts w:asciiTheme="minorBidi" w:hAnsiTheme="minorBidi" w:cs="Arial" w:hint="cs"/>
          <w:u w:val="dotted"/>
          <w:rtl/>
        </w:rPr>
        <w:t>עם מה בודקים</w:t>
      </w:r>
      <w:r w:rsidRPr="002659CF">
        <w:rPr>
          <w:rFonts w:asciiTheme="minorBidi" w:hAnsiTheme="minorBidi" w:cs="Arial" w:hint="cs"/>
          <w:u w:val="dotted"/>
          <w:rtl/>
        </w:rPr>
        <w:t xml:space="preserve"> מהו המקום שכבר אסור להניח שם את הקיתון להפשיר:</w:t>
      </w:r>
      <w:r w:rsidR="001C29B3" w:rsidRPr="002659CF">
        <w:rPr>
          <w:rFonts w:asciiTheme="minorBidi" w:hAnsiTheme="minorBidi" w:cs="Arial" w:hint="cs"/>
          <w:u w:val="dotted"/>
          <w:rtl/>
        </w:rPr>
        <w:t xml:space="preserve"> </w:t>
      </w:r>
    </w:p>
    <w:p w14:paraId="64FE6FE9" w14:textId="2B8B268C" w:rsidR="001C29B3" w:rsidRPr="001C29B3" w:rsidRDefault="001C29B3" w:rsidP="001C29B3">
      <w:pPr>
        <w:pStyle w:val="aa"/>
        <w:numPr>
          <w:ilvl w:val="0"/>
          <w:numId w:val="32"/>
        </w:numPr>
        <w:rPr>
          <w:rFonts w:asciiTheme="minorBidi" w:hAnsiTheme="minorBidi" w:cs="Arial"/>
          <w:rtl/>
        </w:rPr>
      </w:pPr>
      <w:r w:rsidRPr="001C29B3">
        <w:rPr>
          <w:rFonts w:asciiTheme="minorBidi" w:hAnsiTheme="minorBidi" w:cs="Arial" w:hint="cs"/>
          <w:rtl/>
        </w:rPr>
        <w:t xml:space="preserve">ב"י- </w:t>
      </w:r>
      <w:r w:rsidRPr="001C29B3">
        <w:rPr>
          <w:rFonts w:asciiTheme="minorBidi" w:hAnsiTheme="minorBidi" w:cs="Arial"/>
          <w:rtl/>
        </w:rPr>
        <w:t>ואע</w:t>
      </w:r>
      <w:r w:rsidRPr="001C29B3">
        <w:rPr>
          <w:rFonts w:asciiTheme="minorBidi" w:hAnsiTheme="minorBidi" w:cs="Arial" w:hint="cs"/>
          <w:rtl/>
        </w:rPr>
        <w:t>"</w:t>
      </w:r>
      <w:r w:rsidRPr="001C29B3">
        <w:rPr>
          <w:rFonts w:asciiTheme="minorBidi" w:hAnsiTheme="minorBidi" w:cs="Arial"/>
          <w:rtl/>
        </w:rPr>
        <w:t xml:space="preserve">פ שמפשט דברי רבינו ירוחם ז"ל (ני"ב ח"ג סט ע"ג) נראה דמקום שהיד סולדת בו היינו לומר דבמקום שמניח אדם </w:t>
      </w:r>
      <w:r w:rsidRPr="001C29B3">
        <w:rPr>
          <w:rFonts w:asciiTheme="minorBidi" w:hAnsiTheme="minorBidi" w:cs="Arial"/>
          <w:b/>
          <w:bCs/>
          <w:rtl/>
        </w:rPr>
        <w:t>ידו</w:t>
      </w:r>
      <w:r w:rsidRPr="001C29B3">
        <w:rPr>
          <w:rFonts w:asciiTheme="minorBidi" w:hAnsiTheme="minorBidi" w:cs="Arial"/>
          <w:rtl/>
        </w:rPr>
        <w:t xml:space="preserve"> כנגד המדורה ותהיה סולדת מחמתה</w:t>
      </w:r>
      <w:r w:rsidRPr="001C29B3">
        <w:rPr>
          <w:rFonts w:asciiTheme="minorBidi" w:hAnsiTheme="minorBidi" w:cs="Arial" w:hint="cs"/>
          <w:rtl/>
        </w:rPr>
        <w:t>.</w:t>
      </w:r>
      <w:r w:rsidRPr="001C29B3">
        <w:rPr>
          <w:rFonts w:asciiTheme="minorBidi" w:hAnsiTheme="minorBidi" w:cs="Arial"/>
          <w:rtl/>
        </w:rPr>
        <w:t xml:space="preserve"> הדבר ברור כדברי הרא"ש</w:t>
      </w:r>
      <w:r w:rsidRPr="001C29B3">
        <w:rPr>
          <w:rFonts w:asciiTheme="minorBidi" w:hAnsiTheme="minorBidi" w:cs="Arial" w:hint="cs"/>
          <w:rtl/>
        </w:rPr>
        <w:t>,</w:t>
      </w:r>
      <w:r w:rsidRPr="001C29B3">
        <w:rPr>
          <w:rFonts w:asciiTheme="minorBidi" w:hAnsiTheme="minorBidi" w:cs="Arial"/>
          <w:rtl/>
        </w:rPr>
        <w:t xml:space="preserve"> דבמקום שאם יונח שם </w:t>
      </w:r>
      <w:r w:rsidRPr="001C29B3">
        <w:rPr>
          <w:rFonts w:asciiTheme="minorBidi" w:hAnsiTheme="minorBidi" w:cs="Arial"/>
          <w:b/>
          <w:bCs/>
          <w:rtl/>
        </w:rPr>
        <w:t>הקיתון</w:t>
      </w:r>
      <w:r w:rsidRPr="001C29B3">
        <w:rPr>
          <w:rFonts w:asciiTheme="minorBidi" w:hAnsiTheme="minorBidi" w:cs="Arial"/>
          <w:rtl/>
        </w:rPr>
        <w:t xml:space="preserve"> של מים יחמו כדי שתהא היד סולדת </w:t>
      </w:r>
      <w:r w:rsidRPr="001C29B3">
        <w:rPr>
          <w:rFonts w:asciiTheme="minorBidi" w:hAnsiTheme="minorBidi" w:cs="Arial" w:hint="cs"/>
          <w:rtl/>
        </w:rPr>
        <w:t xml:space="preserve">- </w:t>
      </w:r>
      <w:r w:rsidRPr="001C29B3">
        <w:rPr>
          <w:rFonts w:asciiTheme="minorBidi" w:hAnsiTheme="minorBidi" w:cs="Arial"/>
          <w:rtl/>
        </w:rPr>
        <w:t>הוי מקום הראוי לבישול ואסור</w:t>
      </w:r>
      <w:r w:rsidRPr="001C29B3">
        <w:rPr>
          <w:rFonts w:asciiTheme="minorBidi" w:hAnsiTheme="minorBidi" w:cs="Arial" w:hint="cs"/>
          <w:rtl/>
        </w:rPr>
        <w:t>.</w:t>
      </w:r>
      <w:r w:rsidRPr="001C29B3">
        <w:rPr>
          <w:rFonts w:asciiTheme="minorBidi" w:hAnsiTheme="minorBidi" w:cs="Arial"/>
          <w:rtl/>
        </w:rPr>
        <w:t xml:space="preserve"> וכך הם דברי התוספות ג"כ. </w:t>
      </w:r>
      <w:r w:rsidR="00A637CC" w:rsidRPr="008641EF">
        <w:rPr>
          <w:rFonts w:asciiTheme="minorBidi" w:hAnsiTheme="minorBidi" w:cs="Arial" w:hint="cs"/>
          <w:color w:val="E36C0A" w:themeColor="accent6" w:themeShade="BF"/>
          <w:rtl/>
        </w:rPr>
        <w:t>(וכ"פ בשו"ע</w:t>
      </w:r>
      <w:r w:rsidR="00A637CC">
        <w:rPr>
          <w:rFonts w:asciiTheme="minorBidi" w:hAnsiTheme="minorBidi" w:cs="Arial" w:hint="cs"/>
          <w:color w:val="E36C0A" w:themeColor="accent6" w:themeShade="BF"/>
          <w:rtl/>
        </w:rPr>
        <w:t>)</w:t>
      </w:r>
    </w:p>
    <w:p w14:paraId="4CDB8E3F" w14:textId="0EB36AF1" w:rsidR="002659CF" w:rsidRDefault="002659CF" w:rsidP="00434A6A">
      <w:pPr>
        <w:rPr>
          <w:rFonts w:asciiTheme="minorBidi" w:hAnsiTheme="minorBidi" w:cs="Arial"/>
          <w:rtl/>
        </w:rPr>
      </w:pPr>
      <w:r w:rsidRPr="002659CF">
        <w:rPr>
          <w:rFonts w:asciiTheme="minorBidi" w:hAnsiTheme="minorBidi" w:cs="Arial" w:hint="cs"/>
          <w:u w:val="single"/>
          <w:rtl/>
        </w:rPr>
        <w:t xml:space="preserve">חימום פירות </w:t>
      </w:r>
      <w:r>
        <w:rPr>
          <w:rFonts w:asciiTheme="minorBidi" w:hAnsiTheme="minorBidi" w:cs="Arial" w:hint="cs"/>
          <w:sz w:val="16"/>
          <w:szCs w:val="16"/>
          <w:u w:val="single"/>
          <w:rtl/>
        </w:rPr>
        <w:t xml:space="preserve">(ושאר דברים הנאכלים חיים) </w:t>
      </w:r>
      <w:r w:rsidRPr="002659CF">
        <w:rPr>
          <w:rFonts w:asciiTheme="minorBidi" w:hAnsiTheme="minorBidi" w:cs="Arial" w:hint="cs"/>
          <w:u w:val="single"/>
          <w:rtl/>
        </w:rPr>
        <w:t>כנגד המדורה:</w:t>
      </w:r>
      <w:r>
        <w:rPr>
          <w:rFonts w:asciiTheme="minorBidi" w:hAnsiTheme="minorBidi" w:cs="Arial" w:hint="cs"/>
          <w:rtl/>
        </w:rPr>
        <w:t xml:space="preserve"> </w:t>
      </w:r>
    </w:p>
    <w:p w14:paraId="6C1EC8B0" w14:textId="54BC8B81" w:rsidR="00DD3262" w:rsidRPr="002659CF" w:rsidRDefault="00DD3262" w:rsidP="002659CF">
      <w:pPr>
        <w:pStyle w:val="aa"/>
        <w:numPr>
          <w:ilvl w:val="0"/>
          <w:numId w:val="32"/>
        </w:numPr>
        <w:rPr>
          <w:rFonts w:asciiTheme="minorBidi" w:hAnsiTheme="minorBidi"/>
          <w:rtl/>
        </w:rPr>
      </w:pPr>
      <w:r w:rsidRPr="002659CF">
        <w:rPr>
          <w:rFonts w:asciiTheme="minorBidi" w:hAnsiTheme="minorBidi" w:cs="Arial"/>
          <w:rtl/>
        </w:rPr>
        <w:t xml:space="preserve">ראבי"ה </w:t>
      </w:r>
      <w:r w:rsidRPr="00A637CC">
        <w:rPr>
          <w:rFonts w:asciiTheme="minorBidi" w:hAnsiTheme="minorBidi" w:cs="Arial"/>
          <w:sz w:val="16"/>
          <w:szCs w:val="16"/>
          <w:rtl/>
        </w:rPr>
        <w:t>(סוף סי' קצז</w:t>
      </w:r>
      <w:r w:rsidR="00A637CC">
        <w:rPr>
          <w:rFonts w:asciiTheme="minorBidi" w:hAnsiTheme="minorBidi" w:cs="Arial" w:hint="cs"/>
          <w:sz w:val="16"/>
          <w:szCs w:val="16"/>
          <w:rtl/>
        </w:rPr>
        <w:t>, העתיקו המרדכי [סי' דש]</w:t>
      </w:r>
      <w:r w:rsidRPr="00A637CC">
        <w:rPr>
          <w:rFonts w:asciiTheme="minorBidi" w:hAnsiTheme="minorBidi" w:cs="Arial"/>
          <w:sz w:val="16"/>
          <w:szCs w:val="16"/>
          <w:rtl/>
        </w:rPr>
        <w:t>)</w:t>
      </w:r>
      <w:r w:rsidR="00A637CC">
        <w:rPr>
          <w:rFonts w:asciiTheme="minorBidi" w:hAnsiTheme="minorBidi" w:cs="Arial" w:hint="cs"/>
          <w:rtl/>
        </w:rPr>
        <w:t>-</w:t>
      </w:r>
      <w:r w:rsidRPr="002659CF">
        <w:rPr>
          <w:rFonts w:asciiTheme="minorBidi" w:hAnsiTheme="minorBidi" w:cs="Arial"/>
          <w:rtl/>
        </w:rPr>
        <w:t xml:space="preserve"> </w:t>
      </w:r>
      <w:r w:rsidR="00A637CC" w:rsidRPr="00A637CC">
        <w:rPr>
          <w:rFonts w:asciiTheme="minorBidi" w:hAnsiTheme="minorBidi" w:cs="Arial"/>
          <w:rtl/>
        </w:rPr>
        <w:t>ונראה דבליל שבת אין לתת פירות לצלות בתוך הפכין שקורין בלשון אשכנז ככלי"ש כשמחממין בחורף, אף על גב שנאכלים כמות שהן חיין לא גרוע ממים ושמן</w:t>
      </w:r>
      <w:r w:rsidR="00A637CC">
        <w:rPr>
          <w:rFonts w:asciiTheme="minorBidi" w:hAnsiTheme="minorBidi" w:cs="Arial" w:hint="cs"/>
          <w:rtl/>
        </w:rPr>
        <w:t xml:space="preserve">... </w:t>
      </w:r>
      <w:r w:rsidR="00A637CC" w:rsidRPr="00A637CC">
        <w:rPr>
          <w:rFonts w:asciiTheme="minorBidi" w:hAnsiTheme="minorBidi" w:cs="Arial"/>
          <w:rtl/>
        </w:rPr>
        <w:t>ושוב מצאתי שפסק רבינו יב"א כדברי. ויש בו משום בישול בירקות ובתפוחים</w:t>
      </w:r>
      <w:r w:rsidR="00A637CC">
        <w:rPr>
          <w:rFonts w:asciiTheme="minorBidi" w:hAnsiTheme="minorBidi" w:cs="Arial" w:hint="cs"/>
          <w:rtl/>
        </w:rPr>
        <w:t>.</w:t>
      </w:r>
      <w:r w:rsidR="00A637CC" w:rsidRPr="00A637CC">
        <w:rPr>
          <w:rFonts w:asciiTheme="minorBidi" w:hAnsiTheme="minorBidi" w:hint="cs"/>
          <w:color w:val="00B0F0"/>
          <w:rtl/>
        </w:rPr>
        <w:t xml:space="preserve"> (וכ"פ הרמ"א)</w:t>
      </w:r>
    </w:p>
    <w:p w14:paraId="366B1B00"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45F79309" w14:textId="39CD410A" w:rsidR="006A4BF8" w:rsidRPr="005275DF" w:rsidRDefault="006A4BF8" w:rsidP="00434A6A">
      <w:pPr>
        <w:tabs>
          <w:tab w:val="left" w:pos="2788"/>
        </w:tabs>
        <w:rPr>
          <w:rFonts w:asciiTheme="minorBidi" w:hAnsiTheme="minorBidi"/>
          <w:rtl/>
        </w:rPr>
      </w:pPr>
      <w:r w:rsidRPr="005275DF">
        <w:rPr>
          <w:rFonts w:asciiTheme="minorBidi" w:hAnsiTheme="minorBidi"/>
          <w:rtl/>
        </w:rPr>
        <w:t>מותר ליתן קיתון של מים או של שאר משקים כנגד האש להפיג צנתן, ובלבד שיתנם רחוק מהאש בענין שאינו יכול להתחמם באותו מקום עד שתהא היד סולדת</w:t>
      </w:r>
      <w:r w:rsidR="006B64D0">
        <w:rPr>
          <w:rFonts w:asciiTheme="minorBidi" w:hAnsiTheme="minorBidi" w:hint="cs"/>
          <w:rtl/>
        </w:rPr>
        <w:t xml:space="preserve"> </w:t>
      </w:r>
      <w:r w:rsidRPr="005275DF">
        <w:rPr>
          <w:rFonts w:asciiTheme="minorBidi" w:hAnsiTheme="minorBidi"/>
          <w:rtl/>
        </w:rPr>
        <w:t>בו, דהיינו מקום שכריסו של תינוק נכוית בו</w:t>
      </w:r>
      <w:r w:rsidR="00A637CC">
        <w:rPr>
          <w:rFonts w:asciiTheme="minorBidi" w:hAnsiTheme="minorBidi" w:hint="cs"/>
          <w:rtl/>
        </w:rPr>
        <w:t>.</w:t>
      </w:r>
      <w:r w:rsidRPr="005275DF">
        <w:rPr>
          <w:rFonts w:asciiTheme="minorBidi" w:hAnsiTheme="minorBidi"/>
          <w:rtl/>
        </w:rPr>
        <w:t xml:space="preserve"> אבל אסור לקרבו אל האש למקום שיכול להתחמם שתהא היד סולדת בו, ואפילו להניח בו שעה קטנה שתפיג צנתו אסור</w:t>
      </w:r>
      <w:r w:rsidR="00A637CC">
        <w:rPr>
          <w:rFonts w:asciiTheme="minorBidi" w:hAnsiTheme="minorBidi" w:hint="cs"/>
          <w:rtl/>
        </w:rPr>
        <w:t>,</w:t>
      </w:r>
      <w:r w:rsidRPr="005275DF">
        <w:rPr>
          <w:rFonts w:asciiTheme="minorBidi" w:hAnsiTheme="minorBidi"/>
          <w:rtl/>
        </w:rPr>
        <w:t xml:space="preserve"> כיון שיכול להתבשל שם. </w:t>
      </w:r>
      <w:r w:rsidRPr="005275DF">
        <w:rPr>
          <w:rFonts w:asciiTheme="minorBidi" w:hAnsiTheme="minorBidi"/>
          <w:sz w:val="18"/>
          <w:szCs w:val="18"/>
          <w:rtl/>
        </w:rPr>
        <w:t>הגה: והוא הדין בפירות או שאר דברים הנאכלים כמות שהן חיין</w:t>
      </w:r>
      <w:r w:rsidR="00A637CC">
        <w:rPr>
          <w:rStyle w:val="a9"/>
          <w:rFonts w:asciiTheme="minorBidi" w:hAnsiTheme="minorBidi"/>
          <w:sz w:val="18"/>
          <w:szCs w:val="18"/>
          <w:rtl/>
        </w:rPr>
        <w:footnoteReference w:id="2856"/>
      </w:r>
      <w:r w:rsidRPr="005275DF">
        <w:rPr>
          <w:rFonts w:asciiTheme="minorBidi" w:hAnsiTheme="minorBidi"/>
          <w:sz w:val="18"/>
          <w:szCs w:val="18"/>
          <w:rtl/>
        </w:rPr>
        <w:t xml:space="preserve"> </w:t>
      </w:r>
      <w:r w:rsidRPr="006B64D0">
        <w:rPr>
          <w:rFonts w:asciiTheme="minorBidi" w:hAnsiTheme="minorBidi"/>
          <w:sz w:val="18"/>
          <w:szCs w:val="18"/>
          <w:rtl/>
        </w:rPr>
        <w:t>(</w:t>
      </w:r>
      <w:r w:rsidR="00A637CC">
        <w:rPr>
          <w:rFonts w:asciiTheme="minorBidi" w:hAnsiTheme="minorBidi" w:hint="cs"/>
          <w:sz w:val="18"/>
          <w:szCs w:val="18"/>
          <w:rtl/>
        </w:rPr>
        <w:t>ראבי"ה ו</w:t>
      </w:r>
      <w:r w:rsidRPr="006B64D0">
        <w:rPr>
          <w:rFonts w:asciiTheme="minorBidi" w:hAnsiTheme="minorBidi"/>
          <w:sz w:val="18"/>
          <w:szCs w:val="18"/>
          <w:rtl/>
        </w:rPr>
        <w:t>מרדכי)</w:t>
      </w:r>
      <w:r w:rsidR="00A637CC">
        <w:rPr>
          <w:rFonts w:asciiTheme="minorBidi" w:hAnsiTheme="minorBidi" w:hint="cs"/>
          <w:sz w:val="18"/>
          <w:szCs w:val="18"/>
          <w:rtl/>
        </w:rPr>
        <w:t>.</w:t>
      </w:r>
      <w:r w:rsidRPr="006B64D0">
        <w:rPr>
          <w:rFonts w:asciiTheme="minorBidi" w:hAnsiTheme="minorBidi"/>
          <w:sz w:val="18"/>
          <w:szCs w:val="18"/>
          <w:rtl/>
        </w:rPr>
        <w:t xml:space="preserve"> ועיין לעיל ס"ס רנ"ד</w:t>
      </w:r>
      <w:r w:rsidRPr="005275DF">
        <w:rPr>
          <w:rFonts w:asciiTheme="minorBidi" w:hAnsiTheme="minorBidi"/>
          <w:sz w:val="18"/>
          <w:szCs w:val="18"/>
          <w:rtl/>
        </w:rPr>
        <w:t xml:space="preserve">. </w:t>
      </w:r>
    </w:p>
    <w:p w14:paraId="6E4D7A7F" w14:textId="77777777" w:rsidR="006A4BF8" w:rsidRPr="005275DF" w:rsidRDefault="006A4BF8" w:rsidP="00434A6A">
      <w:pPr>
        <w:tabs>
          <w:tab w:val="left" w:pos="2788"/>
        </w:tabs>
        <w:rPr>
          <w:rFonts w:asciiTheme="minorBidi" w:hAnsiTheme="minorBidi"/>
          <w:rtl/>
        </w:rPr>
      </w:pPr>
    </w:p>
    <w:p w14:paraId="2D6154CC" w14:textId="6092E992" w:rsidR="006A4BF8" w:rsidRDefault="006A4BF8" w:rsidP="00434A6A">
      <w:pPr>
        <w:pStyle w:val="2"/>
        <w:rPr>
          <w:rFonts w:asciiTheme="minorBidi" w:hAnsiTheme="minorBidi" w:cstheme="minorBidi"/>
          <w:rtl/>
        </w:rPr>
      </w:pPr>
      <w:r w:rsidRPr="005275DF">
        <w:rPr>
          <w:rFonts w:asciiTheme="minorBidi" w:hAnsiTheme="minorBidi" w:cstheme="minorBidi"/>
          <w:rtl/>
        </w:rPr>
        <w:t xml:space="preserve">סעיף טו: נתינת דבר </w:t>
      </w:r>
      <w:r w:rsidR="00B905A4">
        <w:rPr>
          <w:rFonts w:asciiTheme="minorBidi" w:hAnsiTheme="minorBidi" w:cstheme="minorBidi" w:hint="cs"/>
          <w:rtl/>
        </w:rPr>
        <w:t>מבושל</w:t>
      </w:r>
      <w:r w:rsidRPr="005275DF">
        <w:rPr>
          <w:rFonts w:asciiTheme="minorBidi" w:hAnsiTheme="minorBidi" w:cstheme="minorBidi"/>
          <w:rtl/>
        </w:rPr>
        <w:t xml:space="preserve"> כנגד המדורה.</w:t>
      </w:r>
    </w:p>
    <w:p w14:paraId="3B439FFF" w14:textId="2DD0CAE2" w:rsidR="00B905A4" w:rsidRDefault="00B905A4" w:rsidP="00434A6A">
      <w:pPr>
        <w:rPr>
          <w:rFonts w:cs="Arial"/>
          <w:rtl/>
        </w:rPr>
      </w:pPr>
      <w:r w:rsidRPr="005275DF">
        <w:rPr>
          <w:rFonts w:asciiTheme="minorBidi" w:hAnsiTheme="minorBidi"/>
          <w:b/>
          <w:bCs/>
          <w:rtl/>
        </w:rPr>
        <w:t xml:space="preserve">שבת </w:t>
      </w:r>
      <w:r>
        <w:rPr>
          <w:rFonts w:asciiTheme="minorBidi" w:hAnsiTheme="minorBidi" w:hint="cs"/>
          <w:b/>
          <w:bCs/>
          <w:sz w:val="16"/>
          <w:szCs w:val="16"/>
          <w:rtl/>
        </w:rPr>
        <w:t xml:space="preserve">(פ' כירה) </w:t>
      </w:r>
      <w:r w:rsidRPr="005275DF">
        <w:rPr>
          <w:rFonts w:asciiTheme="minorBidi" w:hAnsiTheme="minorBidi"/>
          <w:b/>
          <w:bCs/>
          <w:rtl/>
        </w:rPr>
        <w:t xml:space="preserve">מ ע"ב: </w:t>
      </w:r>
      <w:r w:rsidRPr="005275DF">
        <w:rPr>
          <w:rFonts w:asciiTheme="minorBidi" w:hAnsiTheme="minorBidi"/>
          <w:rtl/>
        </w:rPr>
        <w:t>תנו רבנן: מביא אדם קיתון מים ומניחו כנגד המדורה, לא בשביל שיחמו</w:t>
      </w:r>
      <w:r>
        <w:rPr>
          <w:rStyle w:val="a9"/>
          <w:rFonts w:asciiTheme="minorBidi" w:hAnsiTheme="minorBidi"/>
          <w:rtl/>
        </w:rPr>
        <w:footnoteReference w:id="2857"/>
      </w:r>
      <w:r w:rsidRPr="005275DF">
        <w:rPr>
          <w:rFonts w:asciiTheme="minorBidi" w:hAnsiTheme="minorBidi"/>
          <w:rtl/>
        </w:rPr>
        <w:t>, אלא בשביל שתפיג צינתן</w:t>
      </w:r>
      <w:r>
        <w:rPr>
          <w:rStyle w:val="a9"/>
          <w:rFonts w:asciiTheme="minorBidi" w:hAnsiTheme="minorBidi"/>
          <w:rtl/>
        </w:rPr>
        <w:footnoteReference w:id="2858"/>
      </w:r>
      <w:r w:rsidRPr="005275DF">
        <w:rPr>
          <w:rFonts w:asciiTheme="minorBidi" w:hAnsiTheme="minorBidi"/>
          <w:rtl/>
        </w:rPr>
        <w:t>..</w:t>
      </w:r>
      <w:r>
        <w:rPr>
          <w:rFonts w:asciiTheme="minorBidi" w:hAnsiTheme="minorBidi" w:hint="cs"/>
          <w:rtl/>
        </w:rPr>
        <w:t>.</w:t>
      </w:r>
      <w:r w:rsidRPr="005275DF">
        <w:rPr>
          <w:rFonts w:asciiTheme="minorBidi" w:hAnsiTheme="minorBidi"/>
          <w:rtl/>
        </w:rPr>
        <w:t xml:space="preserve"> </w:t>
      </w:r>
      <w:r w:rsidRPr="005275DF">
        <w:rPr>
          <w:rFonts w:asciiTheme="minorBidi" w:hAnsiTheme="minorBidi"/>
          <w:u w:val="single"/>
          <w:rtl/>
        </w:rPr>
        <w:t>אמר רב יהודה אמר שמואל:</w:t>
      </w:r>
      <w:r w:rsidRPr="005275DF">
        <w:rPr>
          <w:rFonts w:asciiTheme="minorBidi" w:hAnsiTheme="minorBidi"/>
          <w:rtl/>
        </w:rPr>
        <w:t xml:space="preserve"> אחד שמן ואחד מים, יד סולדת</w:t>
      </w:r>
      <w:r>
        <w:rPr>
          <w:rStyle w:val="a9"/>
          <w:rFonts w:asciiTheme="minorBidi" w:hAnsiTheme="minorBidi"/>
          <w:rtl/>
        </w:rPr>
        <w:footnoteReference w:id="2859"/>
      </w:r>
      <w:r w:rsidRPr="005275DF">
        <w:rPr>
          <w:rFonts w:asciiTheme="minorBidi" w:hAnsiTheme="minorBidi"/>
          <w:rtl/>
        </w:rPr>
        <w:t xml:space="preserve"> בו - אסור, אין יד סולדת בו - מותר.</w:t>
      </w:r>
    </w:p>
    <w:p w14:paraId="373974D9" w14:textId="77777777" w:rsidR="00B905A4" w:rsidRDefault="00B905A4" w:rsidP="00434A6A">
      <w:pPr>
        <w:rPr>
          <w:rFonts w:cs="Arial"/>
          <w:rtl/>
        </w:rPr>
      </w:pPr>
      <w:r w:rsidRPr="00B905A4">
        <w:rPr>
          <w:rFonts w:asciiTheme="minorBidi" w:hAnsiTheme="minorBidi"/>
          <w:u w:val="single"/>
          <w:rtl/>
        </w:rPr>
        <w:t xml:space="preserve">נתינת דבר </w:t>
      </w:r>
      <w:r w:rsidRPr="00B905A4">
        <w:rPr>
          <w:rFonts w:asciiTheme="minorBidi" w:hAnsiTheme="minorBidi" w:hint="cs"/>
          <w:u w:val="single"/>
          <w:rtl/>
        </w:rPr>
        <w:t>מבושל</w:t>
      </w:r>
      <w:r w:rsidRPr="00B905A4">
        <w:rPr>
          <w:rFonts w:asciiTheme="minorBidi" w:hAnsiTheme="minorBidi"/>
          <w:u w:val="single"/>
          <w:rtl/>
        </w:rPr>
        <w:t xml:space="preserve"> כנגד המדורה</w:t>
      </w:r>
      <w:r w:rsidRPr="00B905A4">
        <w:rPr>
          <w:rFonts w:cs="Arial" w:hint="cs"/>
          <w:u w:val="single"/>
          <w:rtl/>
        </w:rPr>
        <w:t>:</w:t>
      </w:r>
      <w:r w:rsidRPr="00DD3262">
        <w:rPr>
          <w:rFonts w:cs="Arial"/>
          <w:rtl/>
        </w:rPr>
        <w:t xml:space="preserve"> </w:t>
      </w:r>
    </w:p>
    <w:p w14:paraId="142D9C1F" w14:textId="4D97F925" w:rsidR="00B905A4" w:rsidRPr="00B905A4" w:rsidRDefault="00B905A4" w:rsidP="00B905A4">
      <w:pPr>
        <w:pStyle w:val="aa"/>
        <w:numPr>
          <w:ilvl w:val="0"/>
          <w:numId w:val="32"/>
        </w:numPr>
      </w:pPr>
      <w:r w:rsidRPr="00B905A4">
        <w:rPr>
          <w:rFonts w:cs="Arial"/>
          <w:rtl/>
        </w:rPr>
        <w:t>רשב"א</w:t>
      </w:r>
      <w:r w:rsidR="00D04631">
        <w:rPr>
          <w:rStyle w:val="a9"/>
          <w:rFonts w:cs="Arial"/>
          <w:rtl/>
        </w:rPr>
        <w:footnoteReference w:id="2860"/>
      </w:r>
      <w:r w:rsidRPr="00B905A4">
        <w:rPr>
          <w:rFonts w:cs="Arial"/>
          <w:rtl/>
        </w:rPr>
        <w:t xml:space="preserve"> </w:t>
      </w:r>
      <w:r w:rsidRPr="00B905A4">
        <w:rPr>
          <w:rFonts w:cs="Arial"/>
          <w:sz w:val="16"/>
          <w:szCs w:val="16"/>
          <w:rtl/>
        </w:rPr>
        <w:t>(</w:t>
      </w:r>
      <w:r w:rsidR="000461A0">
        <w:rPr>
          <w:rFonts w:cs="Arial" w:hint="cs"/>
          <w:sz w:val="16"/>
          <w:szCs w:val="16"/>
          <w:rtl/>
        </w:rPr>
        <w:t>מ: ד"ה ומכל מקום</w:t>
      </w:r>
      <w:r w:rsidRPr="00B905A4">
        <w:rPr>
          <w:rFonts w:cs="Arial"/>
          <w:sz w:val="16"/>
          <w:szCs w:val="16"/>
          <w:rtl/>
        </w:rPr>
        <w:t>)</w:t>
      </w:r>
      <w:r>
        <w:rPr>
          <w:rFonts w:cs="Arial" w:hint="cs"/>
          <w:rtl/>
        </w:rPr>
        <w:t xml:space="preserve"> ו</w:t>
      </w:r>
      <w:r w:rsidR="00DD3262" w:rsidRPr="00B905A4">
        <w:rPr>
          <w:rFonts w:cs="Arial"/>
          <w:rtl/>
        </w:rPr>
        <w:t xml:space="preserve">ר"ן </w:t>
      </w:r>
      <w:r w:rsidR="00DD3262" w:rsidRPr="00B905A4">
        <w:rPr>
          <w:rFonts w:cs="Arial"/>
          <w:sz w:val="16"/>
          <w:szCs w:val="16"/>
          <w:rtl/>
        </w:rPr>
        <w:t>(</w:t>
      </w:r>
      <w:r w:rsidR="000461A0">
        <w:rPr>
          <w:rFonts w:cs="Arial" w:hint="cs"/>
          <w:sz w:val="16"/>
          <w:szCs w:val="16"/>
          <w:rtl/>
        </w:rPr>
        <w:t>יט.</w:t>
      </w:r>
      <w:r w:rsidR="00DD3262" w:rsidRPr="00B905A4">
        <w:rPr>
          <w:rFonts w:cs="Arial"/>
          <w:sz w:val="16"/>
          <w:szCs w:val="16"/>
          <w:rtl/>
        </w:rPr>
        <w:t>)</w:t>
      </w:r>
      <w:r>
        <w:rPr>
          <w:rFonts w:cs="Arial" w:hint="cs"/>
          <w:rtl/>
        </w:rPr>
        <w:t>-</w:t>
      </w:r>
      <w:r w:rsidR="00DD3262" w:rsidRPr="00B905A4">
        <w:rPr>
          <w:rFonts w:cs="Arial"/>
          <w:rtl/>
        </w:rPr>
        <w:t xml:space="preserve"> הא דאסרינן לתת דבר המתחמם כנגד המדורה במקום שהיד סולדת הני מילי בדבר שלא נתבשל</w:t>
      </w:r>
      <w:r>
        <w:rPr>
          <w:rFonts w:cs="Arial" w:hint="cs"/>
          <w:rtl/>
        </w:rPr>
        <w:t>,</w:t>
      </w:r>
      <w:r w:rsidR="00DD3262" w:rsidRPr="00B905A4">
        <w:rPr>
          <w:rFonts w:cs="Arial"/>
          <w:rtl/>
        </w:rPr>
        <w:t xml:space="preserve"> אבל צונן שנתבשל </w:t>
      </w:r>
      <w:r>
        <w:rPr>
          <w:rFonts w:cs="Arial" w:hint="cs"/>
          <w:rtl/>
        </w:rPr>
        <w:t xml:space="preserve">- </w:t>
      </w:r>
      <w:r w:rsidR="00DD3262" w:rsidRPr="00B905A4">
        <w:rPr>
          <w:rFonts w:cs="Arial"/>
          <w:rtl/>
        </w:rPr>
        <w:t>מותר להניחו אפילו בכלי ראשון או כנגד המדורה ואפילו במקום שהיד סולדת בו שאין דרך בישול בכך</w:t>
      </w:r>
      <w:r>
        <w:rPr>
          <w:rFonts w:cs="Arial" w:hint="cs"/>
          <w:rtl/>
        </w:rPr>
        <w:t>,</w:t>
      </w:r>
      <w:r w:rsidR="00DD3262" w:rsidRPr="00B905A4">
        <w:rPr>
          <w:rFonts w:cs="Arial"/>
          <w:rtl/>
        </w:rPr>
        <w:t xml:space="preserve"> אבל על גבי האש ממש אסור</w:t>
      </w:r>
      <w:r w:rsidR="000A3350">
        <w:rPr>
          <w:rStyle w:val="a9"/>
          <w:rFonts w:cs="Arial"/>
          <w:rtl/>
        </w:rPr>
        <w:footnoteReference w:id="2861"/>
      </w:r>
      <w:r>
        <w:rPr>
          <w:rFonts w:cs="Arial" w:hint="cs"/>
          <w:sz w:val="16"/>
          <w:szCs w:val="16"/>
          <w:rtl/>
        </w:rPr>
        <w:t xml:space="preserve"> (ל' הר"ן)</w:t>
      </w:r>
      <w:r w:rsidR="00DD3262" w:rsidRPr="00B905A4">
        <w:rPr>
          <w:rFonts w:cs="Arial"/>
          <w:rtl/>
        </w:rPr>
        <w:t xml:space="preserve">. </w:t>
      </w:r>
    </w:p>
    <w:p w14:paraId="09F919D3" w14:textId="7DE9B479" w:rsidR="00D04631" w:rsidRPr="00D04631" w:rsidRDefault="00D04631" w:rsidP="00B905A4">
      <w:pPr>
        <w:pStyle w:val="aa"/>
        <w:numPr>
          <w:ilvl w:val="0"/>
          <w:numId w:val="32"/>
        </w:numPr>
      </w:pPr>
      <w:r>
        <w:rPr>
          <w:rFonts w:cs="Arial" w:hint="cs"/>
          <w:rtl/>
        </w:rPr>
        <w:t xml:space="preserve">ב"י- </w:t>
      </w:r>
      <w:r w:rsidR="00DD3262" w:rsidRPr="00B905A4">
        <w:rPr>
          <w:rFonts w:cs="Arial"/>
          <w:rtl/>
        </w:rPr>
        <w:t>מיהו כבר נתבאר לעיל (פב.) שהרבה פוסקים סוברים דהני מילי בדבר יבש שאין בו מרק</w:t>
      </w:r>
      <w:r>
        <w:rPr>
          <w:rFonts w:cs="Arial" w:hint="cs"/>
          <w:rtl/>
        </w:rPr>
        <w:t>,</w:t>
      </w:r>
      <w:r w:rsidR="00DD3262" w:rsidRPr="00B905A4">
        <w:rPr>
          <w:rFonts w:cs="Arial"/>
          <w:rtl/>
        </w:rPr>
        <w:t xml:space="preserve"> אבל תבשיל שיש בו מרק ונצטנן אפילו נתבשל כל צרכו יש בו משום בישול</w:t>
      </w:r>
      <w:r>
        <w:rPr>
          <w:rFonts w:cs="Arial" w:hint="cs"/>
          <w:rtl/>
        </w:rPr>
        <w:t>,</w:t>
      </w:r>
      <w:r w:rsidR="00DD3262" w:rsidRPr="00B905A4">
        <w:rPr>
          <w:rFonts w:cs="Arial"/>
          <w:rtl/>
        </w:rPr>
        <w:t xml:space="preserve"> ואסור ליתנו כנגד המדורה במקום שהיד סולדת</w:t>
      </w:r>
      <w:r>
        <w:rPr>
          <w:rFonts w:cs="Arial" w:hint="cs"/>
          <w:rtl/>
        </w:rPr>
        <w:t>.</w:t>
      </w:r>
      <w:r w:rsidR="00DD3262" w:rsidRPr="00B905A4">
        <w:rPr>
          <w:rFonts w:cs="Arial"/>
          <w:rtl/>
        </w:rPr>
        <w:t xml:space="preserve"> </w:t>
      </w:r>
      <w:r w:rsidR="00D5631B" w:rsidRPr="00D5631B">
        <w:rPr>
          <w:rFonts w:cs="Arial" w:hint="cs"/>
          <w:color w:val="E36C0A" w:themeColor="accent6" w:themeShade="BF"/>
          <w:rtl/>
        </w:rPr>
        <w:t>(וכ"פ בשו"ע</w:t>
      </w:r>
      <w:r w:rsidR="000461A0" w:rsidRPr="000461A0">
        <w:rPr>
          <w:rStyle w:val="a9"/>
          <w:rFonts w:cs="Arial"/>
          <w:color w:val="000000" w:themeColor="text1"/>
          <w:rtl/>
        </w:rPr>
        <w:footnoteReference w:id="2862"/>
      </w:r>
      <w:r w:rsidR="00D5631B" w:rsidRPr="00D5631B">
        <w:rPr>
          <w:rFonts w:cs="Arial" w:hint="cs"/>
          <w:color w:val="E36C0A" w:themeColor="accent6" w:themeShade="BF"/>
          <w:rtl/>
        </w:rPr>
        <w:t>)</w:t>
      </w:r>
    </w:p>
    <w:p w14:paraId="743E2DAE" w14:textId="1CC63490" w:rsidR="00D04631" w:rsidRPr="00D04631" w:rsidRDefault="00D04631" w:rsidP="00D04631">
      <w:pPr>
        <w:ind w:left="360"/>
        <w:rPr>
          <w:u w:val="dotted"/>
        </w:rPr>
      </w:pPr>
      <w:r w:rsidRPr="00D04631">
        <w:rPr>
          <w:rFonts w:hint="cs"/>
          <w:u w:val="dotted"/>
          <w:rtl/>
        </w:rPr>
        <w:t xml:space="preserve">ומה הדין </w:t>
      </w:r>
      <w:r>
        <w:rPr>
          <w:rFonts w:hint="cs"/>
          <w:u w:val="dotted"/>
          <w:rtl/>
        </w:rPr>
        <w:t xml:space="preserve">ליתן כנגד המדורה </w:t>
      </w:r>
      <w:r w:rsidRPr="00D04631">
        <w:rPr>
          <w:rFonts w:hint="cs"/>
          <w:u w:val="dotted"/>
          <w:rtl/>
        </w:rPr>
        <w:t>דבר יבש שנתבשל כמאב"ד:</w:t>
      </w:r>
    </w:p>
    <w:p w14:paraId="65974260" w14:textId="4C76D746" w:rsidR="00DD3262" w:rsidRPr="00DD3262" w:rsidRDefault="00D04631" w:rsidP="00B905A4">
      <w:pPr>
        <w:pStyle w:val="aa"/>
        <w:numPr>
          <w:ilvl w:val="0"/>
          <w:numId w:val="32"/>
        </w:numPr>
        <w:rPr>
          <w:rtl/>
        </w:rPr>
      </w:pPr>
      <w:r>
        <w:rPr>
          <w:rFonts w:cs="Arial" w:hint="cs"/>
          <w:rtl/>
        </w:rPr>
        <w:t xml:space="preserve">ב"י- </w:t>
      </w:r>
      <w:r w:rsidR="00DD3262" w:rsidRPr="00B905A4">
        <w:rPr>
          <w:rFonts w:cs="Arial"/>
          <w:rtl/>
        </w:rPr>
        <w:t>ואם לא נתבשל כל צרכו</w:t>
      </w:r>
      <w:r>
        <w:rPr>
          <w:rFonts w:cs="Arial" w:hint="cs"/>
          <w:rtl/>
        </w:rPr>
        <w:t>,</w:t>
      </w:r>
      <w:r w:rsidR="00DD3262" w:rsidRPr="00B905A4">
        <w:rPr>
          <w:rFonts w:cs="Arial"/>
          <w:rtl/>
        </w:rPr>
        <w:t xml:space="preserve"> אפילו נתבשל כמאכל בן דרוסאי </w:t>
      </w:r>
      <w:r>
        <w:rPr>
          <w:rFonts w:cs="Arial" w:hint="cs"/>
          <w:rtl/>
        </w:rPr>
        <w:t xml:space="preserve">- </w:t>
      </w:r>
      <w:r w:rsidR="00DD3262" w:rsidRPr="00B905A4">
        <w:rPr>
          <w:rFonts w:cs="Arial"/>
          <w:rtl/>
        </w:rPr>
        <w:t>שייך בו בישול אפילו בעודו רותח</w:t>
      </w:r>
      <w:r>
        <w:rPr>
          <w:rFonts w:cs="Arial" w:hint="cs"/>
          <w:rtl/>
        </w:rPr>
        <w:t>,</w:t>
      </w:r>
      <w:r w:rsidR="00DD3262" w:rsidRPr="00B905A4">
        <w:rPr>
          <w:rFonts w:cs="Arial"/>
          <w:rtl/>
        </w:rPr>
        <w:t xml:space="preserve"> ואסור ליתנו כנגד המדורה במקום שהיד סולדת. וכבר כתבתי בסימן זה (שם: דיבור ראשון) דלהרמב"ם כל שלא נתבשל כל צרכו אע</w:t>
      </w:r>
      <w:r>
        <w:rPr>
          <w:rFonts w:cs="Arial" w:hint="cs"/>
          <w:rtl/>
        </w:rPr>
        <w:t>"</w:t>
      </w:r>
      <w:r w:rsidR="00DD3262" w:rsidRPr="00B905A4">
        <w:rPr>
          <w:rFonts w:cs="Arial"/>
          <w:rtl/>
        </w:rPr>
        <w:t>פ שנתבשל כמאכל בן דרוסאי יש בו משום בישול ואסור לשרותו בחמין בשבת</w:t>
      </w:r>
      <w:r>
        <w:rPr>
          <w:rFonts w:cs="Arial" w:hint="cs"/>
          <w:rtl/>
        </w:rPr>
        <w:t>,</w:t>
      </w:r>
      <w:r w:rsidR="00DD3262" w:rsidRPr="00B905A4">
        <w:rPr>
          <w:rFonts w:cs="Arial"/>
          <w:rtl/>
        </w:rPr>
        <w:t xml:space="preserve"> וא"כ ג"כ אסור ליתנו כנגד המדורה במקום שהיד סולדת ואפילו אם הוא דבר יבש</w:t>
      </w:r>
      <w:r>
        <w:rPr>
          <w:rFonts w:cs="Arial" w:hint="cs"/>
          <w:rtl/>
        </w:rPr>
        <w:t xml:space="preserve"> </w:t>
      </w:r>
      <w:r w:rsidRPr="00D04631">
        <w:rPr>
          <w:rFonts w:cs="Arial" w:hint="cs"/>
          <w:color w:val="E36C0A" w:themeColor="accent6" w:themeShade="BF"/>
          <w:sz w:val="16"/>
          <w:szCs w:val="16"/>
          <w:rtl/>
        </w:rPr>
        <w:t>(וכ"פ בשו"ע)</w:t>
      </w:r>
      <w:r w:rsidR="00DD3262" w:rsidRPr="00B905A4">
        <w:rPr>
          <w:rFonts w:cs="Arial"/>
          <w:rtl/>
        </w:rPr>
        <w:t>. ואפילו לדברי הרשב"א שכתבתי לעיל (שם) שנראה מדבריו שאם נתבשל כמאכל בן דרוסאי מותר לשרותו בחמין בשבת</w:t>
      </w:r>
      <w:r>
        <w:rPr>
          <w:rFonts w:cs="Arial" w:hint="cs"/>
          <w:rtl/>
        </w:rPr>
        <w:t>,</w:t>
      </w:r>
      <w:r w:rsidR="00DD3262" w:rsidRPr="00B905A4">
        <w:rPr>
          <w:rFonts w:cs="Arial"/>
          <w:rtl/>
        </w:rPr>
        <w:t xml:space="preserve"> אפשר דלהניחו כנגד המדורה במקום שהיד סולדת אסור</w:t>
      </w:r>
      <w:r>
        <w:rPr>
          <w:rFonts w:cs="Arial" w:hint="cs"/>
          <w:rtl/>
        </w:rPr>
        <w:t>,</w:t>
      </w:r>
      <w:r w:rsidR="00DD3262" w:rsidRPr="00B905A4">
        <w:rPr>
          <w:rFonts w:cs="Arial"/>
          <w:rtl/>
        </w:rPr>
        <w:t xml:space="preserve"> משום דהוי כמבשל על גבי האור</w:t>
      </w:r>
      <w:r>
        <w:rPr>
          <w:rFonts w:cs="Arial" w:hint="cs"/>
          <w:rtl/>
        </w:rPr>
        <w:t>,</w:t>
      </w:r>
      <w:r w:rsidR="00DD3262" w:rsidRPr="00B905A4">
        <w:rPr>
          <w:rFonts w:cs="Arial"/>
          <w:rtl/>
        </w:rPr>
        <w:t xml:space="preserve"> שאע</w:t>
      </w:r>
      <w:r>
        <w:rPr>
          <w:rFonts w:cs="Arial" w:hint="cs"/>
          <w:rtl/>
        </w:rPr>
        <w:t>"</w:t>
      </w:r>
      <w:r w:rsidR="00DD3262" w:rsidRPr="00B905A4">
        <w:rPr>
          <w:rFonts w:cs="Arial"/>
          <w:rtl/>
        </w:rPr>
        <w:t>פ שנתבשל כמאכל בן דרוסאי אסור מדבריהם</w:t>
      </w:r>
      <w:r>
        <w:rPr>
          <w:rFonts w:cs="Arial" w:hint="cs"/>
          <w:rtl/>
        </w:rPr>
        <w:t>.</w:t>
      </w:r>
      <w:r w:rsidR="00DD3262" w:rsidRPr="00B905A4">
        <w:rPr>
          <w:rFonts w:cs="Arial"/>
          <w:rtl/>
        </w:rPr>
        <w:t xml:space="preserve"> ואפשר דשרי דלא אסרו אלא במניח על האור עצמה</w:t>
      </w:r>
      <w:r>
        <w:rPr>
          <w:rFonts w:cs="Arial" w:hint="cs"/>
          <w:rtl/>
        </w:rPr>
        <w:t>.</w:t>
      </w:r>
    </w:p>
    <w:p w14:paraId="0F561FA0"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607FBD6" w14:textId="5624C824" w:rsidR="006A4BF8" w:rsidRPr="005275DF" w:rsidRDefault="006A4BF8" w:rsidP="00434A6A">
      <w:pPr>
        <w:tabs>
          <w:tab w:val="left" w:pos="2788"/>
        </w:tabs>
        <w:rPr>
          <w:rFonts w:asciiTheme="minorBidi" w:hAnsiTheme="minorBidi"/>
          <w:sz w:val="18"/>
          <w:szCs w:val="18"/>
          <w:rtl/>
        </w:rPr>
      </w:pPr>
      <w:r w:rsidRPr="005275DF">
        <w:rPr>
          <w:rFonts w:asciiTheme="minorBidi" w:hAnsiTheme="minorBidi"/>
          <w:rtl/>
        </w:rPr>
        <w:t>דבר שנתבשל כל צורכו והוא יבש שאין בו מרק, מותר להניחו כנגד המדורה אפילו במקום שהיד סולדת בו</w:t>
      </w:r>
      <w:r w:rsidRPr="005275DF">
        <w:rPr>
          <w:rStyle w:val="a9"/>
          <w:rFonts w:asciiTheme="minorBidi" w:hAnsiTheme="minorBidi"/>
          <w:rtl/>
        </w:rPr>
        <w:footnoteReference w:id="2863"/>
      </w:r>
      <w:r w:rsidRPr="005275DF">
        <w:rPr>
          <w:rFonts w:asciiTheme="minorBidi" w:hAnsiTheme="minorBidi"/>
          <w:rtl/>
        </w:rPr>
        <w:t xml:space="preserve">. </w:t>
      </w:r>
      <w:r w:rsidRPr="005275DF">
        <w:rPr>
          <w:rFonts w:asciiTheme="minorBidi" w:hAnsiTheme="minorBidi"/>
          <w:sz w:val="18"/>
          <w:szCs w:val="18"/>
          <w:rtl/>
        </w:rPr>
        <w:t>הגה: ואפי' נצטנן כבר. אבל אם הוא רותח, אפילו בדבר שיש בו מרק מותר. ויש מקילין לומר דכל שאין נותנו ע"ג האש או הכירה ממש רק סמוך לו, אפילו נצטנן מותר (</w:t>
      </w:r>
      <w:r w:rsidR="00D5631B">
        <w:rPr>
          <w:rFonts w:asciiTheme="minorBidi" w:hAnsiTheme="minorBidi" w:hint="cs"/>
          <w:sz w:val="18"/>
          <w:szCs w:val="18"/>
          <w:rtl/>
        </w:rPr>
        <w:t>רשב"א ור"ן</w:t>
      </w:r>
      <w:r w:rsidRPr="005275DF">
        <w:rPr>
          <w:rFonts w:asciiTheme="minorBidi" w:hAnsiTheme="minorBidi"/>
          <w:sz w:val="18"/>
          <w:szCs w:val="18"/>
          <w:rtl/>
        </w:rPr>
        <w:t>). ונהגו להקל בזה אם לא נצטנן לגמרי</w:t>
      </w:r>
      <w:r w:rsidR="00CA0CAC">
        <w:rPr>
          <w:rStyle w:val="a9"/>
          <w:rFonts w:asciiTheme="minorBidi" w:hAnsiTheme="minorBidi"/>
          <w:sz w:val="18"/>
          <w:szCs w:val="18"/>
          <w:rtl/>
        </w:rPr>
        <w:footnoteReference w:id="2864"/>
      </w:r>
      <w:r w:rsidRPr="005275DF">
        <w:rPr>
          <w:rFonts w:asciiTheme="minorBidi" w:hAnsiTheme="minorBidi"/>
          <w:sz w:val="18"/>
          <w:szCs w:val="18"/>
          <w:rtl/>
        </w:rPr>
        <w:t xml:space="preserve">, וכמו שכתבתי לעיל סי' רנ"ג. </w:t>
      </w:r>
    </w:p>
    <w:p w14:paraId="2B554238" w14:textId="77777777" w:rsidR="006A4BF8" w:rsidRPr="005275DF" w:rsidRDefault="006A4BF8" w:rsidP="00434A6A">
      <w:pPr>
        <w:tabs>
          <w:tab w:val="left" w:pos="2788"/>
        </w:tabs>
        <w:rPr>
          <w:rFonts w:asciiTheme="minorBidi" w:hAnsiTheme="minorBidi"/>
          <w:rtl/>
        </w:rPr>
      </w:pPr>
    </w:p>
    <w:p w14:paraId="00DA3364"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טז: נתינת דבר שיש בו שומן קרוש כנגד המדורה.</w:t>
      </w:r>
    </w:p>
    <w:p w14:paraId="4DF23D06" w14:textId="120C606D" w:rsidR="006A4BF8" w:rsidRDefault="006A4BF8" w:rsidP="00434A6A">
      <w:pPr>
        <w:rPr>
          <w:rFonts w:asciiTheme="minorBidi" w:hAnsiTheme="minorBidi"/>
          <w:rtl/>
        </w:rPr>
      </w:pPr>
      <w:r w:rsidRPr="005275DF">
        <w:rPr>
          <w:rFonts w:asciiTheme="minorBidi" w:hAnsiTheme="minorBidi"/>
          <w:b/>
          <w:bCs/>
          <w:rtl/>
        </w:rPr>
        <w:t xml:space="preserve">שבת </w:t>
      </w:r>
      <w:r w:rsidR="00CA0CAC">
        <w:rPr>
          <w:rFonts w:asciiTheme="minorBidi" w:hAnsiTheme="minorBidi" w:hint="cs"/>
          <w:b/>
          <w:bCs/>
          <w:sz w:val="16"/>
          <w:szCs w:val="16"/>
          <w:rtl/>
        </w:rPr>
        <w:t xml:space="preserve">(פ' במה טומנין) </w:t>
      </w:r>
      <w:r w:rsidRPr="005275DF">
        <w:rPr>
          <w:rFonts w:asciiTheme="minorBidi" w:hAnsiTheme="minorBidi"/>
          <w:b/>
          <w:bCs/>
          <w:rtl/>
        </w:rPr>
        <w:t>נא ע"ב:</w:t>
      </w:r>
      <w:r w:rsidRPr="005275DF">
        <w:rPr>
          <w:rFonts w:asciiTheme="minorBidi" w:hAnsiTheme="minorBidi"/>
          <w:rtl/>
        </w:rPr>
        <w:t xml:space="preserve"> ואין מרזקין</w:t>
      </w:r>
      <w:r w:rsidRPr="005275DF">
        <w:rPr>
          <w:rStyle w:val="a9"/>
          <w:rFonts w:asciiTheme="minorBidi" w:hAnsiTheme="minorBidi"/>
          <w:rtl/>
        </w:rPr>
        <w:footnoteReference w:id="2865"/>
      </w:r>
      <w:r w:rsidRPr="005275DF">
        <w:rPr>
          <w:rFonts w:asciiTheme="minorBidi" w:hAnsiTheme="minorBidi"/>
          <w:rtl/>
        </w:rPr>
        <w:t xml:space="preserve"> לא את השלג ולא את הברד בשבת בשביל שיזובו מימיו, אבל נותן הוא לתוך הכוס</w:t>
      </w:r>
      <w:r w:rsidRPr="005275DF">
        <w:rPr>
          <w:rStyle w:val="a9"/>
          <w:rFonts w:asciiTheme="minorBidi" w:hAnsiTheme="minorBidi"/>
          <w:rtl/>
        </w:rPr>
        <w:footnoteReference w:id="2866"/>
      </w:r>
      <w:r w:rsidRPr="005275DF">
        <w:rPr>
          <w:rFonts w:asciiTheme="minorBidi" w:hAnsiTheme="minorBidi"/>
          <w:rtl/>
        </w:rPr>
        <w:t xml:space="preserve"> או לתוך הקערה ואינו חושש.</w:t>
      </w:r>
    </w:p>
    <w:p w14:paraId="662414CE" w14:textId="015151D3" w:rsidR="007330C2" w:rsidRDefault="007330C2" w:rsidP="00434A6A">
      <w:pPr>
        <w:rPr>
          <w:rFonts w:asciiTheme="minorBidi" w:hAnsiTheme="minorBidi"/>
          <w:rtl/>
        </w:rPr>
      </w:pPr>
      <w:r w:rsidRPr="007330C2">
        <w:rPr>
          <w:rFonts w:asciiTheme="minorBidi" w:hAnsiTheme="minorBidi" w:cs="Arial" w:hint="cs"/>
          <w:b/>
          <w:bCs/>
          <w:rtl/>
        </w:rPr>
        <w:t>תוספתא שבת פ"ג הכ"ג:</w:t>
      </w:r>
      <w:r>
        <w:rPr>
          <w:rFonts w:asciiTheme="minorBidi" w:hAnsiTheme="minorBidi" w:cs="Arial" w:hint="cs"/>
          <w:rtl/>
        </w:rPr>
        <w:t xml:space="preserve"> </w:t>
      </w:r>
      <w:r w:rsidRPr="007330C2">
        <w:rPr>
          <w:rFonts w:asciiTheme="minorBidi" w:hAnsiTheme="minorBidi" w:cs="Arial"/>
          <w:rtl/>
        </w:rPr>
        <w:t>אין מרסקין את השלג שיזובו מימיו</w:t>
      </w:r>
      <w:r>
        <w:rPr>
          <w:rFonts w:asciiTheme="minorBidi" w:hAnsiTheme="minorBidi" w:cs="Arial" w:hint="cs"/>
          <w:rtl/>
        </w:rPr>
        <w:t>.</w:t>
      </w:r>
      <w:r w:rsidRPr="007330C2">
        <w:rPr>
          <w:rFonts w:asciiTheme="minorBidi" w:hAnsiTheme="minorBidi" w:cs="Arial"/>
          <w:rtl/>
        </w:rPr>
        <w:t xml:space="preserve"> אבל מרסק הוא לתוך הכוס או לתוך הקערה ואינו חושש</w:t>
      </w:r>
      <w:r>
        <w:rPr>
          <w:rFonts w:asciiTheme="minorBidi" w:hAnsiTheme="minorBidi" w:hint="cs"/>
          <w:rtl/>
        </w:rPr>
        <w:t>.</w:t>
      </w:r>
    </w:p>
    <w:p w14:paraId="27BCCCC4" w14:textId="06CCD17E" w:rsidR="00284861" w:rsidRPr="00284861" w:rsidRDefault="00284861" w:rsidP="00434A6A">
      <w:pPr>
        <w:rPr>
          <w:rFonts w:asciiTheme="minorBidi" w:hAnsiTheme="minorBidi"/>
          <w:u w:val="single"/>
          <w:rtl/>
        </w:rPr>
      </w:pPr>
      <w:r w:rsidRPr="00284861">
        <w:rPr>
          <w:rFonts w:asciiTheme="minorBidi" w:hAnsiTheme="minorBidi" w:hint="cs"/>
          <w:u w:val="single"/>
          <w:rtl/>
        </w:rPr>
        <w:t>משום מה אסור לרסק שלג או ברד:</w:t>
      </w:r>
    </w:p>
    <w:p w14:paraId="225D8263" w14:textId="77777777" w:rsidR="005841FA" w:rsidRDefault="005841FA" w:rsidP="005841FA">
      <w:pPr>
        <w:pStyle w:val="aa"/>
        <w:numPr>
          <w:ilvl w:val="0"/>
          <w:numId w:val="32"/>
        </w:numPr>
        <w:rPr>
          <w:rFonts w:asciiTheme="minorBidi" w:hAnsiTheme="minorBidi"/>
        </w:rPr>
      </w:pPr>
      <w:r>
        <w:rPr>
          <w:rFonts w:asciiTheme="minorBidi" w:hAnsiTheme="minorBidi" w:hint="cs"/>
          <w:rtl/>
        </w:rPr>
        <w:t xml:space="preserve">רש"י </w:t>
      </w:r>
      <w:r>
        <w:rPr>
          <w:rFonts w:asciiTheme="minorBidi" w:hAnsiTheme="minorBidi" w:hint="cs"/>
          <w:sz w:val="16"/>
          <w:szCs w:val="16"/>
          <w:rtl/>
        </w:rPr>
        <w:t>(ד"ה בשביל שיזובו מימיו)</w:t>
      </w:r>
      <w:r>
        <w:rPr>
          <w:rFonts w:asciiTheme="minorBidi" w:hAnsiTheme="minorBidi" w:hint="cs"/>
          <w:rtl/>
        </w:rPr>
        <w:t xml:space="preserve">- </w:t>
      </w:r>
      <w:r w:rsidRPr="008C1C8E">
        <w:rPr>
          <w:rFonts w:asciiTheme="minorBidi" w:hAnsiTheme="minorBidi"/>
          <w:rtl/>
        </w:rPr>
        <w:t>משום דקא מוליד בשבת, ודמי למלאכה, שבורא המים האלו</w:t>
      </w:r>
      <w:r w:rsidRPr="005275DF">
        <w:rPr>
          <w:rStyle w:val="a9"/>
          <w:rFonts w:asciiTheme="minorBidi" w:hAnsiTheme="minorBidi"/>
          <w:rtl/>
        </w:rPr>
        <w:footnoteReference w:id="2867"/>
      </w:r>
      <w:r w:rsidRPr="00284861">
        <w:rPr>
          <w:rFonts w:asciiTheme="minorBidi" w:hAnsiTheme="minorBidi" w:hint="cs"/>
          <w:rtl/>
        </w:rPr>
        <w:t>.</w:t>
      </w:r>
    </w:p>
    <w:p w14:paraId="21EE4946" w14:textId="6857D975" w:rsidR="00B60499" w:rsidRDefault="00B60499" w:rsidP="00B60499">
      <w:pPr>
        <w:pStyle w:val="aa"/>
        <w:numPr>
          <w:ilvl w:val="0"/>
          <w:numId w:val="32"/>
        </w:numPr>
        <w:rPr>
          <w:rFonts w:asciiTheme="minorBidi" w:hAnsiTheme="minorBidi"/>
        </w:rPr>
      </w:pPr>
      <w:r>
        <w:rPr>
          <w:rFonts w:asciiTheme="minorBidi" w:hAnsiTheme="minorBidi" w:hint="cs"/>
          <w:rtl/>
        </w:rPr>
        <w:t xml:space="preserve">התרומה </w:t>
      </w:r>
      <w:r>
        <w:rPr>
          <w:rFonts w:asciiTheme="minorBidi" w:hAnsiTheme="minorBidi" w:hint="cs"/>
          <w:sz w:val="16"/>
          <w:szCs w:val="16"/>
          <w:rtl/>
        </w:rPr>
        <w:t>(סי' רלה)</w:t>
      </w:r>
      <w:r>
        <w:rPr>
          <w:rFonts w:asciiTheme="minorBidi" w:hAnsiTheme="minorBidi" w:hint="cs"/>
          <w:rtl/>
        </w:rPr>
        <w:t xml:space="preserve"> רא"ש </w:t>
      </w:r>
      <w:r>
        <w:rPr>
          <w:rFonts w:asciiTheme="minorBidi" w:hAnsiTheme="minorBidi" w:hint="cs"/>
          <w:sz w:val="16"/>
          <w:szCs w:val="16"/>
          <w:rtl/>
        </w:rPr>
        <w:t>(שבת פ"ד סי"ג)</w:t>
      </w:r>
      <w:r>
        <w:rPr>
          <w:rFonts w:asciiTheme="minorBidi" w:hAnsiTheme="minorBidi" w:hint="cs"/>
          <w:rtl/>
        </w:rPr>
        <w:t xml:space="preserve"> וטור- הוה ליה מוליד</w:t>
      </w:r>
      <w:r w:rsidR="00826B4E">
        <w:rPr>
          <w:rStyle w:val="a9"/>
          <w:rFonts w:asciiTheme="minorBidi" w:hAnsiTheme="minorBidi"/>
          <w:rtl/>
        </w:rPr>
        <w:footnoteReference w:id="2868"/>
      </w:r>
      <w:r>
        <w:rPr>
          <w:rFonts w:asciiTheme="minorBidi" w:hAnsiTheme="minorBidi" w:hint="cs"/>
          <w:rtl/>
        </w:rPr>
        <w:t>.</w:t>
      </w:r>
    </w:p>
    <w:p w14:paraId="4D7DC557" w14:textId="533EE1F9" w:rsidR="00B60499" w:rsidRPr="00284861" w:rsidRDefault="00B60499" w:rsidP="00B60499">
      <w:pPr>
        <w:pStyle w:val="aa"/>
        <w:numPr>
          <w:ilvl w:val="0"/>
          <w:numId w:val="32"/>
        </w:numPr>
        <w:rPr>
          <w:rFonts w:asciiTheme="minorBidi" w:hAnsiTheme="minorBidi"/>
          <w:rtl/>
        </w:rPr>
      </w:pPr>
      <w:r>
        <w:rPr>
          <w:rFonts w:asciiTheme="minorBidi" w:hAnsiTheme="minorBidi" w:cs="Arial" w:hint="cs"/>
          <w:rtl/>
        </w:rPr>
        <w:t xml:space="preserve">רמב"ן </w:t>
      </w:r>
      <w:r>
        <w:rPr>
          <w:rFonts w:asciiTheme="minorBidi" w:hAnsiTheme="minorBidi" w:cs="Arial" w:hint="cs"/>
          <w:sz w:val="16"/>
          <w:szCs w:val="16"/>
          <w:rtl/>
        </w:rPr>
        <w:t>(נא:)</w:t>
      </w:r>
      <w:r>
        <w:rPr>
          <w:rFonts w:asciiTheme="minorBidi" w:hAnsiTheme="minorBidi" w:cs="Arial" w:hint="cs"/>
          <w:rtl/>
        </w:rPr>
        <w:t xml:space="preserve">- </w:t>
      </w:r>
      <w:r w:rsidRPr="00050F9B">
        <w:rPr>
          <w:rFonts w:asciiTheme="minorBidi" w:hAnsiTheme="minorBidi" w:cs="Arial"/>
          <w:rtl/>
        </w:rPr>
        <w:t>משום סרך מלאכה נגעו בה</w:t>
      </w:r>
      <w:r>
        <w:rPr>
          <w:rFonts w:asciiTheme="minorBidi" w:hAnsiTheme="minorBidi" w:hint="cs"/>
          <w:rtl/>
        </w:rPr>
        <w:t>.</w:t>
      </w:r>
    </w:p>
    <w:p w14:paraId="6F4E1EAF" w14:textId="6B699A4E" w:rsidR="004F2FBF" w:rsidRPr="005841FA" w:rsidRDefault="005841FA" w:rsidP="00284861">
      <w:pPr>
        <w:pStyle w:val="aa"/>
        <w:numPr>
          <w:ilvl w:val="0"/>
          <w:numId w:val="32"/>
        </w:numPr>
        <w:rPr>
          <w:rFonts w:asciiTheme="minorBidi" w:hAnsiTheme="minorBidi"/>
        </w:rPr>
      </w:pPr>
      <w:r>
        <w:rPr>
          <w:rFonts w:asciiTheme="minorBidi" w:hAnsiTheme="minorBidi" w:cs="Arial" w:hint="cs"/>
          <w:rtl/>
        </w:rPr>
        <w:t>רמב"ם</w:t>
      </w:r>
      <w:r>
        <w:rPr>
          <w:rStyle w:val="a9"/>
          <w:rFonts w:asciiTheme="minorBidi" w:hAnsiTheme="minorBidi" w:cs="Arial"/>
          <w:rtl/>
        </w:rPr>
        <w:footnoteReference w:id="2869"/>
      </w:r>
      <w:r>
        <w:rPr>
          <w:rFonts w:asciiTheme="minorBidi" w:hAnsiTheme="minorBidi" w:cs="Arial" w:hint="cs"/>
          <w:rtl/>
        </w:rPr>
        <w:t xml:space="preserve"> </w:t>
      </w:r>
      <w:r>
        <w:rPr>
          <w:rFonts w:asciiTheme="minorBidi" w:hAnsiTheme="minorBidi" w:cs="Arial" w:hint="cs"/>
          <w:sz w:val="16"/>
          <w:szCs w:val="16"/>
          <w:rtl/>
        </w:rPr>
        <w:t xml:space="preserve">(פכ"א הי"ג, וכ"כ הר"ן בשמו) </w:t>
      </w:r>
      <w:r>
        <w:rPr>
          <w:rFonts w:asciiTheme="minorBidi" w:hAnsiTheme="minorBidi" w:cs="Arial" w:hint="cs"/>
          <w:rtl/>
        </w:rPr>
        <w:t>ו</w:t>
      </w:r>
      <w:r w:rsidR="004F2FBF">
        <w:rPr>
          <w:rFonts w:asciiTheme="minorBidi" w:hAnsiTheme="minorBidi" w:cs="Arial" w:hint="cs"/>
          <w:rtl/>
        </w:rPr>
        <w:t xml:space="preserve">רשב"א </w:t>
      </w:r>
      <w:r w:rsidR="004F2FBF">
        <w:rPr>
          <w:rFonts w:asciiTheme="minorBidi" w:hAnsiTheme="minorBidi" w:cs="Arial" w:hint="cs"/>
          <w:sz w:val="16"/>
          <w:szCs w:val="16"/>
          <w:rtl/>
        </w:rPr>
        <w:t>(נא:)</w:t>
      </w:r>
      <w:r w:rsidR="004F2FBF">
        <w:rPr>
          <w:rFonts w:asciiTheme="minorBidi" w:hAnsiTheme="minorBidi" w:hint="cs"/>
          <w:rtl/>
        </w:rPr>
        <w:t xml:space="preserve">- </w:t>
      </w:r>
      <w:r w:rsidR="004F2FBF" w:rsidRPr="004F2FBF">
        <w:rPr>
          <w:rFonts w:asciiTheme="minorBidi" w:hAnsiTheme="minorBidi" w:cs="Arial"/>
          <w:rtl/>
        </w:rPr>
        <w:t>משום גזירת סחיטה דפירות העומדין למשקין נגעו בה מפני שהברד והשלג למימיהן הן עומדין</w:t>
      </w:r>
      <w:r>
        <w:rPr>
          <w:rFonts w:asciiTheme="minorBidi" w:hAnsiTheme="minorBidi" w:cs="Arial" w:hint="cs"/>
          <w:sz w:val="16"/>
          <w:szCs w:val="16"/>
          <w:rtl/>
        </w:rPr>
        <w:t xml:space="preserve"> (ל' הרשב"א)</w:t>
      </w:r>
      <w:r w:rsidR="004F2FBF">
        <w:rPr>
          <w:rStyle w:val="a9"/>
          <w:rFonts w:asciiTheme="minorBidi" w:hAnsiTheme="minorBidi" w:cs="Arial"/>
          <w:rtl/>
        </w:rPr>
        <w:footnoteReference w:id="2870"/>
      </w:r>
      <w:r w:rsidR="004F2FBF">
        <w:rPr>
          <w:rFonts w:asciiTheme="minorBidi" w:hAnsiTheme="minorBidi" w:cs="Arial" w:hint="cs"/>
          <w:rtl/>
        </w:rPr>
        <w:t>.</w:t>
      </w:r>
      <w:r w:rsidR="00BD71B6">
        <w:rPr>
          <w:rFonts w:asciiTheme="minorBidi" w:hAnsiTheme="minorBidi" w:hint="cs"/>
          <w:rtl/>
        </w:rPr>
        <w:t xml:space="preserve"> </w:t>
      </w:r>
    </w:p>
    <w:p w14:paraId="7FF53E26" w14:textId="1EE835F4" w:rsidR="00CA0CAC" w:rsidRPr="00CA0CAC" w:rsidRDefault="00CA0CAC" w:rsidP="00434A6A">
      <w:pPr>
        <w:rPr>
          <w:rFonts w:asciiTheme="minorBidi" w:hAnsiTheme="minorBidi"/>
          <w:u w:val="single"/>
          <w:rtl/>
        </w:rPr>
      </w:pPr>
      <w:r w:rsidRPr="00CA0CAC">
        <w:rPr>
          <w:rFonts w:asciiTheme="minorBidi" w:hAnsiTheme="minorBidi"/>
          <w:u w:val="single"/>
          <w:rtl/>
        </w:rPr>
        <w:t xml:space="preserve">נתינת </w:t>
      </w:r>
      <w:r w:rsidR="00E2589E">
        <w:rPr>
          <w:rFonts w:asciiTheme="minorBidi" w:hAnsiTheme="minorBidi" w:hint="cs"/>
          <w:u w:val="single"/>
          <w:rtl/>
        </w:rPr>
        <w:t>מאכל</w:t>
      </w:r>
      <w:r w:rsidRPr="00CA0CAC">
        <w:rPr>
          <w:rFonts w:asciiTheme="minorBidi" w:hAnsiTheme="minorBidi"/>
          <w:u w:val="single"/>
          <w:rtl/>
        </w:rPr>
        <w:t xml:space="preserve"> שיש בו שומן קרוש כנגד המדורה</w:t>
      </w:r>
      <w:r w:rsidRPr="00CA0CAC">
        <w:rPr>
          <w:rFonts w:asciiTheme="minorBidi" w:hAnsiTheme="minorBidi" w:hint="cs"/>
          <w:u w:val="single"/>
          <w:rtl/>
        </w:rPr>
        <w:t>:</w:t>
      </w:r>
    </w:p>
    <w:p w14:paraId="02FBE04A" w14:textId="3A9D9B9A" w:rsidR="00CA0CAC" w:rsidRPr="00BC4B7C" w:rsidRDefault="006851FF" w:rsidP="00BC4B7C">
      <w:pPr>
        <w:pStyle w:val="aa"/>
        <w:numPr>
          <w:ilvl w:val="0"/>
          <w:numId w:val="32"/>
        </w:numPr>
        <w:rPr>
          <w:rFonts w:asciiTheme="minorBidi" w:hAnsiTheme="minorBidi"/>
        </w:rPr>
      </w:pPr>
      <w:r>
        <w:rPr>
          <w:rFonts w:asciiTheme="minorBidi" w:hAnsiTheme="minorBidi" w:cs="Arial" w:hint="cs"/>
          <w:rtl/>
        </w:rPr>
        <w:t>התרומה</w:t>
      </w:r>
      <w:r w:rsidR="0006131F">
        <w:rPr>
          <w:rStyle w:val="a9"/>
          <w:rFonts w:asciiTheme="minorBidi" w:hAnsiTheme="minorBidi" w:cs="Arial"/>
          <w:rtl/>
        </w:rPr>
        <w:footnoteReference w:id="2871"/>
      </w:r>
      <w:r w:rsidR="007747E7">
        <w:rPr>
          <w:rFonts w:asciiTheme="minorBidi" w:hAnsiTheme="minorBidi" w:cs="Arial" w:hint="cs"/>
          <w:rtl/>
        </w:rPr>
        <w:t xml:space="preserve"> </w:t>
      </w:r>
      <w:r w:rsidR="007747E7">
        <w:rPr>
          <w:rFonts w:asciiTheme="minorBidi" w:hAnsiTheme="minorBidi" w:cs="Arial" w:hint="cs"/>
          <w:sz w:val="16"/>
          <w:szCs w:val="16"/>
          <w:rtl/>
        </w:rPr>
        <w:t>(סי' רלה)</w:t>
      </w:r>
      <w:r>
        <w:rPr>
          <w:rFonts w:asciiTheme="minorBidi" w:hAnsiTheme="minorBidi" w:cs="Arial" w:hint="cs"/>
          <w:rtl/>
        </w:rPr>
        <w:t xml:space="preserve"> רא"ש </w:t>
      </w:r>
      <w:r w:rsidR="0006131F">
        <w:rPr>
          <w:rFonts w:asciiTheme="minorBidi" w:hAnsiTheme="minorBidi" w:cs="Arial" w:hint="cs"/>
          <w:sz w:val="16"/>
          <w:szCs w:val="16"/>
          <w:rtl/>
        </w:rPr>
        <w:t>(שבת פ"ד סי"ג)</w:t>
      </w:r>
      <w:r w:rsidR="0006131F">
        <w:rPr>
          <w:rFonts w:asciiTheme="minorBidi" w:hAnsiTheme="minorBidi" w:cs="Arial" w:hint="cs"/>
          <w:rtl/>
        </w:rPr>
        <w:t xml:space="preserve"> </w:t>
      </w:r>
      <w:r>
        <w:rPr>
          <w:rFonts w:asciiTheme="minorBidi" w:hAnsiTheme="minorBidi" w:cs="Arial" w:hint="cs"/>
          <w:rtl/>
        </w:rPr>
        <w:t>ו</w:t>
      </w:r>
      <w:r w:rsidR="00E61E7E">
        <w:rPr>
          <w:rFonts w:asciiTheme="minorBidi" w:hAnsiTheme="minorBidi" w:cs="Arial" w:hint="cs"/>
          <w:rtl/>
        </w:rPr>
        <w:t xml:space="preserve">טור- </w:t>
      </w:r>
      <w:r w:rsidR="00E61E7E" w:rsidRPr="002065FF">
        <w:rPr>
          <w:rFonts w:asciiTheme="minorBidi" w:hAnsiTheme="minorBidi" w:cs="Arial"/>
          <w:rtl/>
        </w:rPr>
        <w:t>אסור ליתן אינפנאד"ה אפי</w:t>
      </w:r>
      <w:r w:rsidR="00CA0CAC">
        <w:rPr>
          <w:rFonts w:asciiTheme="minorBidi" w:hAnsiTheme="minorBidi" w:cs="Arial" w:hint="cs"/>
          <w:rtl/>
        </w:rPr>
        <w:t>לו</w:t>
      </w:r>
      <w:r w:rsidR="00E61E7E" w:rsidRPr="002065FF">
        <w:rPr>
          <w:rFonts w:asciiTheme="minorBidi" w:hAnsiTheme="minorBidi" w:cs="Arial"/>
          <w:rtl/>
        </w:rPr>
        <w:t xml:space="preserve"> ברחוק מקום</w:t>
      </w:r>
      <w:r w:rsidR="004F2FBF">
        <w:rPr>
          <w:rStyle w:val="a9"/>
          <w:rFonts w:asciiTheme="minorBidi" w:hAnsiTheme="minorBidi" w:cs="Arial"/>
          <w:rtl/>
        </w:rPr>
        <w:footnoteReference w:id="2872"/>
      </w:r>
      <w:r w:rsidR="00CA0CAC">
        <w:rPr>
          <w:rFonts w:asciiTheme="minorBidi" w:hAnsiTheme="minorBidi" w:cs="Arial" w:hint="cs"/>
          <w:rtl/>
        </w:rPr>
        <w:t>,</w:t>
      </w:r>
      <w:r w:rsidR="00E61E7E" w:rsidRPr="002065FF">
        <w:rPr>
          <w:rFonts w:asciiTheme="minorBidi" w:hAnsiTheme="minorBidi" w:cs="Arial"/>
          <w:rtl/>
        </w:rPr>
        <w:t xml:space="preserve"> מפני שהשומן שבה שנקרש חוזר ונימוח</w:t>
      </w:r>
      <w:r w:rsidR="00CA0CAC">
        <w:rPr>
          <w:rFonts w:asciiTheme="minorBidi" w:hAnsiTheme="minorBidi" w:cs="Arial" w:hint="cs"/>
          <w:rtl/>
        </w:rPr>
        <w:t>,</w:t>
      </w:r>
      <w:r w:rsidR="00E61E7E" w:rsidRPr="002065FF">
        <w:rPr>
          <w:rFonts w:asciiTheme="minorBidi" w:hAnsiTheme="minorBidi" w:cs="Arial"/>
          <w:rtl/>
        </w:rPr>
        <w:t xml:space="preserve"> והוי ליה נולד ואסור</w:t>
      </w:r>
      <w:r w:rsidR="00BC4B7C">
        <w:rPr>
          <w:rStyle w:val="a9"/>
          <w:rFonts w:asciiTheme="minorBidi" w:hAnsiTheme="minorBidi" w:cs="Arial"/>
          <w:rtl/>
        </w:rPr>
        <w:footnoteReference w:id="2873"/>
      </w:r>
      <w:r>
        <w:rPr>
          <w:rFonts w:asciiTheme="minorBidi" w:hAnsiTheme="minorBidi" w:cs="Arial" w:hint="cs"/>
          <w:sz w:val="16"/>
          <w:szCs w:val="16"/>
          <w:rtl/>
        </w:rPr>
        <w:t xml:space="preserve"> (ל' הטור)</w:t>
      </w:r>
      <w:r w:rsidR="00CA0CAC">
        <w:rPr>
          <w:rFonts w:asciiTheme="minorBidi" w:hAnsiTheme="minorBidi" w:cs="Arial" w:hint="cs"/>
          <w:rtl/>
        </w:rPr>
        <w:t>.</w:t>
      </w:r>
    </w:p>
    <w:p w14:paraId="48D773A2" w14:textId="65688CD2" w:rsidR="00BC4B7C" w:rsidRDefault="00826B4E" w:rsidP="00BC4B7C">
      <w:pPr>
        <w:pStyle w:val="aa"/>
        <w:numPr>
          <w:ilvl w:val="0"/>
          <w:numId w:val="32"/>
        </w:numPr>
        <w:rPr>
          <w:rFonts w:asciiTheme="minorBidi" w:hAnsiTheme="minorBidi"/>
        </w:rPr>
      </w:pPr>
      <w:r>
        <w:rPr>
          <w:rFonts w:asciiTheme="minorBidi" w:hAnsiTheme="minorBidi" w:cs="Arial" w:hint="cs"/>
          <w:rtl/>
        </w:rPr>
        <w:t>רמב"ן</w:t>
      </w:r>
      <w:r>
        <w:rPr>
          <w:rFonts w:asciiTheme="minorBidi" w:hAnsiTheme="minorBidi" w:cs="Arial" w:hint="cs"/>
          <w:sz w:val="16"/>
          <w:szCs w:val="16"/>
          <w:rtl/>
        </w:rPr>
        <w:t xml:space="preserve"> (שם)</w:t>
      </w:r>
      <w:r w:rsidR="005841FA">
        <w:rPr>
          <w:rFonts w:asciiTheme="minorBidi" w:hAnsiTheme="minorBidi" w:cs="Arial" w:hint="cs"/>
          <w:rtl/>
        </w:rPr>
        <w:t xml:space="preserve"> </w:t>
      </w:r>
      <w:r w:rsidR="00BC4B7C">
        <w:rPr>
          <w:rFonts w:asciiTheme="minorBidi" w:hAnsiTheme="minorBidi" w:cs="Arial" w:hint="cs"/>
          <w:rtl/>
        </w:rPr>
        <w:t xml:space="preserve">סמ"ג </w:t>
      </w:r>
      <w:r w:rsidR="00BC4B7C">
        <w:rPr>
          <w:rFonts w:asciiTheme="minorBidi" w:hAnsiTheme="minorBidi" w:cs="Arial" w:hint="cs"/>
          <w:sz w:val="16"/>
          <w:szCs w:val="16"/>
          <w:rtl/>
        </w:rPr>
        <w:t xml:space="preserve">(לאוין סה) </w:t>
      </w:r>
      <w:r w:rsidR="009D7B2C">
        <w:rPr>
          <w:rFonts w:asciiTheme="minorBidi" w:hAnsiTheme="minorBidi" w:cs="Arial" w:hint="cs"/>
          <w:rtl/>
        </w:rPr>
        <w:t xml:space="preserve">רשב"א </w:t>
      </w:r>
      <w:r w:rsidR="009D7B2C">
        <w:rPr>
          <w:rFonts w:asciiTheme="minorBidi" w:hAnsiTheme="minorBidi" w:cs="Arial" w:hint="cs"/>
          <w:sz w:val="16"/>
          <w:szCs w:val="16"/>
          <w:rtl/>
        </w:rPr>
        <w:t xml:space="preserve">(שם) </w:t>
      </w:r>
      <w:r w:rsidR="009D7B2C">
        <w:rPr>
          <w:rFonts w:asciiTheme="minorBidi" w:hAnsiTheme="minorBidi" w:cs="Arial" w:hint="cs"/>
          <w:rtl/>
        </w:rPr>
        <w:t xml:space="preserve">הה"מ </w:t>
      </w:r>
      <w:r w:rsidR="009D7B2C">
        <w:rPr>
          <w:rFonts w:asciiTheme="minorBidi" w:hAnsiTheme="minorBidi" w:cs="Arial" w:hint="cs"/>
          <w:sz w:val="16"/>
          <w:szCs w:val="16"/>
          <w:rtl/>
        </w:rPr>
        <w:t xml:space="preserve">(פכ"א הי"ג) </w:t>
      </w:r>
      <w:r w:rsidR="00BC4B7C">
        <w:rPr>
          <w:rFonts w:asciiTheme="minorBidi" w:hAnsiTheme="minorBidi" w:cs="Arial" w:hint="cs"/>
          <w:rtl/>
        </w:rPr>
        <w:t xml:space="preserve">רי"ו </w:t>
      </w:r>
      <w:r w:rsidR="00BC4B7C" w:rsidRPr="00BC4B7C">
        <w:rPr>
          <w:rFonts w:asciiTheme="minorBidi" w:hAnsiTheme="minorBidi" w:cs="Arial" w:hint="cs"/>
          <w:sz w:val="16"/>
          <w:szCs w:val="16"/>
          <w:rtl/>
        </w:rPr>
        <w:t>(</w:t>
      </w:r>
      <w:r w:rsidR="00BC4B7C" w:rsidRPr="00BC4B7C">
        <w:rPr>
          <w:rFonts w:asciiTheme="minorBidi" w:hAnsiTheme="minorBidi" w:cs="Arial"/>
          <w:sz w:val="16"/>
          <w:szCs w:val="16"/>
          <w:rtl/>
        </w:rPr>
        <w:t>ח</w:t>
      </w:r>
      <w:r w:rsidR="00BC4B7C" w:rsidRPr="00BC4B7C">
        <w:rPr>
          <w:rFonts w:asciiTheme="minorBidi" w:hAnsiTheme="minorBidi" w:cs="Arial" w:hint="cs"/>
          <w:sz w:val="16"/>
          <w:szCs w:val="16"/>
          <w:rtl/>
        </w:rPr>
        <w:t>"</w:t>
      </w:r>
      <w:r w:rsidR="00BC4B7C" w:rsidRPr="00BC4B7C">
        <w:rPr>
          <w:rFonts w:asciiTheme="minorBidi" w:hAnsiTheme="minorBidi" w:cs="Arial"/>
          <w:sz w:val="16"/>
          <w:szCs w:val="16"/>
          <w:rtl/>
        </w:rPr>
        <w:t xml:space="preserve">ג </w:t>
      </w:r>
      <w:r w:rsidR="00BC4B7C" w:rsidRPr="00BC4B7C">
        <w:rPr>
          <w:rFonts w:asciiTheme="minorBidi" w:hAnsiTheme="minorBidi" w:cs="Arial" w:hint="cs"/>
          <w:sz w:val="16"/>
          <w:szCs w:val="16"/>
          <w:rtl/>
        </w:rPr>
        <w:t>נ</w:t>
      </w:r>
      <w:r w:rsidR="00BC4B7C" w:rsidRPr="00BC4B7C">
        <w:rPr>
          <w:rFonts w:asciiTheme="minorBidi" w:hAnsiTheme="minorBidi" w:cs="Arial"/>
          <w:sz w:val="16"/>
          <w:szCs w:val="16"/>
          <w:rtl/>
        </w:rPr>
        <w:t>י</w:t>
      </w:r>
      <w:r w:rsidR="00BC4B7C" w:rsidRPr="00BC4B7C">
        <w:rPr>
          <w:rFonts w:asciiTheme="minorBidi" w:hAnsiTheme="minorBidi" w:cs="Arial" w:hint="cs"/>
          <w:sz w:val="16"/>
          <w:szCs w:val="16"/>
          <w:rtl/>
        </w:rPr>
        <w:t>"</w:t>
      </w:r>
      <w:r w:rsidR="00BC4B7C" w:rsidRPr="00BC4B7C">
        <w:rPr>
          <w:rFonts w:asciiTheme="minorBidi" w:hAnsiTheme="minorBidi" w:cs="Arial"/>
          <w:sz w:val="16"/>
          <w:szCs w:val="16"/>
          <w:rtl/>
        </w:rPr>
        <w:t>ב סט ע"ד)</w:t>
      </w:r>
      <w:r w:rsidR="00BC4B7C">
        <w:rPr>
          <w:rFonts w:asciiTheme="minorBidi" w:hAnsiTheme="minorBidi" w:cs="Arial" w:hint="cs"/>
          <w:sz w:val="16"/>
          <w:szCs w:val="16"/>
          <w:rtl/>
        </w:rPr>
        <w:t xml:space="preserve"> </w:t>
      </w:r>
      <w:r w:rsidR="005841FA">
        <w:rPr>
          <w:rFonts w:asciiTheme="minorBidi" w:hAnsiTheme="minorBidi" w:cs="Arial" w:hint="cs"/>
          <w:rtl/>
        </w:rPr>
        <w:t>ור"ן</w:t>
      </w:r>
      <w:r w:rsidR="005841FA">
        <w:rPr>
          <w:rFonts w:asciiTheme="minorBidi" w:hAnsiTheme="minorBidi" w:cs="Arial" w:hint="cs"/>
          <w:sz w:val="16"/>
          <w:szCs w:val="16"/>
          <w:rtl/>
        </w:rPr>
        <w:t xml:space="preserve"> (בחי' נא:, ובדפה"ר כג.)</w:t>
      </w:r>
      <w:r>
        <w:rPr>
          <w:rFonts w:asciiTheme="minorBidi" w:hAnsiTheme="minorBidi" w:cs="Arial" w:hint="cs"/>
          <w:rtl/>
        </w:rPr>
        <w:t xml:space="preserve">- </w:t>
      </w:r>
      <w:r w:rsidRPr="00826B4E">
        <w:rPr>
          <w:rFonts w:asciiTheme="minorBidi" w:hAnsiTheme="minorBidi" w:cs="Arial"/>
          <w:rtl/>
        </w:rPr>
        <w:t>נראה דהכל מותר בין בחמה בין כנגד המדורה</w:t>
      </w:r>
      <w:r>
        <w:rPr>
          <w:rFonts w:asciiTheme="minorBidi" w:hAnsiTheme="minorBidi" w:cs="Arial" w:hint="cs"/>
          <w:rtl/>
        </w:rPr>
        <w:t>,</w:t>
      </w:r>
      <w:r w:rsidRPr="00826B4E">
        <w:rPr>
          <w:rFonts w:asciiTheme="minorBidi" w:hAnsiTheme="minorBidi" w:cs="Arial"/>
          <w:rtl/>
        </w:rPr>
        <w:t xml:space="preserve"> דהא ממילא אתו</w:t>
      </w:r>
      <w:r w:rsidR="00BC4B7C">
        <w:rPr>
          <w:rFonts w:asciiTheme="minorBidi" w:hAnsiTheme="minorBidi" w:cs="Arial" w:hint="cs"/>
          <w:rtl/>
        </w:rPr>
        <w:t>,</w:t>
      </w:r>
      <w:r w:rsidRPr="00826B4E">
        <w:rPr>
          <w:rFonts w:asciiTheme="minorBidi" w:hAnsiTheme="minorBidi" w:cs="Arial"/>
          <w:rtl/>
        </w:rPr>
        <w:t xml:space="preserve"> דומיא דלתוך הכוס</w:t>
      </w:r>
      <w:r>
        <w:rPr>
          <w:rFonts w:asciiTheme="minorBidi" w:hAnsiTheme="minorBidi" w:cs="Arial" w:hint="cs"/>
          <w:rtl/>
        </w:rPr>
        <w:t>.</w:t>
      </w:r>
      <w:r w:rsidRPr="00826B4E">
        <w:rPr>
          <w:rFonts w:asciiTheme="minorBidi" w:hAnsiTheme="minorBidi" w:cs="Arial"/>
          <w:rtl/>
        </w:rPr>
        <w:t xml:space="preserve"> ומשום חמום לא מתסר</w:t>
      </w:r>
      <w:r>
        <w:rPr>
          <w:rFonts w:asciiTheme="minorBidi" w:hAnsiTheme="minorBidi" w:cs="Arial" w:hint="cs"/>
          <w:rtl/>
        </w:rPr>
        <w:t>,</w:t>
      </w:r>
      <w:r w:rsidRPr="00826B4E">
        <w:rPr>
          <w:rFonts w:asciiTheme="minorBidi" w:hAnsiTheme="minorBidi" w:cs="Arial"/>
          <w:rtl/>
        </w:rPr>
        <w:t xml:space="preserve"> דאולודי הפשר הוא</w:t>
      </w:r>
      <w:r w:rsidR="009D7B2C">
        <w:rPr>
          <w:rFonts w:asciiTheme="minorBidi" w:hAnsiTheme="minorBidi" w:cs="Arial" w:hint="cs"/>
          <w:sz w:val="16"/>
          <w:szCs w:val="16"/>
          <w:rtl/>
        </w:rPr>
        <w:t xml:space="preserve"> (ל' הרמב"ן)</w:t>
      </w:r>
      <w:r w:rsidRPr="00826B4E">
        <w:rPr>
          <w:rFonts w:asciiTheme="minorBidi" w:hAnsiTheme="minorBidi" w:cs="Arial"/>
          <w:rtl/>
        </w:rPr>
        <w:t>.</w:t>
      </w:r>
      <w:r>
        <w:rPr>
          <w:rFonts w:asciiTheme="minorBidi" w:hAnsiTheme="minorBidi" w:cs="Arial" w:hint="cs"/>
          <w:rtl/>
        </w:rPr>
        <w:t xml:space="preserve"> </w:t>
      </w:r>
      <w:r w:rsidR="00BD71B6" w:rsidRPr="00D5631B">
        <w:rPr>
          <w:rFonts w:cs="Arial" w:hint="cs"/>
          <w:color w:val="E36C0A" w:themeColor="accent6" w:themeShade="BF"/>
          <w:rtl/>
        </w:rPr>
        <w:t>(וכ"פ בשו"ע)</w:t>
      </w:r>
      <w:r w:rsidR="00E61E7E" w:rsidRPr="002065FF">
        <w:rPr>
          <w:rFonts w:asciiTheme="minorBidi" w:hAnsiTheme="minorBidi" w:cs="Arial"/>
          <w:rtl/>
        </w:rPr>
        <w:t xml:space="preserve"> </w:t>
      </w:r>
    </w:p>
    <w:p w14:paraId="76EF4EB8" w14:textId="23062CFC" w:rsidR="00EA3BFF" w:rsidRPr="00BC4B7C" w:rsidRDefault="00EA3BFF" w:rsidP="00BC4B7C">
      <w:pPr>
        <w:pStyle w:val="aa"/>
        <w:numPr>
          <w:ilvl w:val="0"/>
          <w:numId w:val="32"/>
        </w:numPr>
        <w:rPr>
          <w:rFonts w:asciiTheme="minorBidi" w:hAnsiTheme="minorBidi"/>
        </w:rPr>
      </w:pPr>
      <w:r>
        <w:rPr>
          <w:rFonts w:asciiTheme="minorBidi" w:hAnsiTheme="minorBidi" w:cs="Arial" w:hint="cs"/>
          <w:rtl/>
        </w:rPr>
        <w:t xml:space="preserve">מרדכי </w:t>
      </w:r>
      <w:r>
        <w:rPr>
          <w:rFonts w:asciiTheme="minorBidi" w:hAnsiTheme="minorBidi" w:cs="Arial" w:hint="cs"/>
          <w:sz w:val="16"/>
          <w:szCs w:val="16"/>
          <w:rtl/>
        </w:rPr>
        <w:t>(סי' של)</w:t>
      </w:r>
      <w:r>
        <w:rPr>
          <w:rFonts w:asciiTheme="minorBidi" w:hAnsiTheme="minorBidi" w:cs="Arial" w:hint="cs"/>
          <w:rtl/>
        </w:rPr>
        <w:t xml:space="preserve">- </w:t>
      </w:r>
      <w:r w:rsidRPr="00EA3BFF">
        <w:rPr>
          <w:rFonts w:asciiTheme="minorBidi" w:hAnsiTheme="minorBidi" w:cs="Arial"/>
          <w:rtl/>
        </w:rPr>
        <w:t>רבינו יחיאל מפרי"ש</w:t>
      </w:r>
      <w:r>
        <w:rPr>
          <w:rFonts w:asciiTheme="minorBidi" w:hAnsiTheme="minorBidi" w:cs="Arial" w:hint="cs"/>
          <w:rtl/>
        </w:rPr>
        <w:t xml:space="preserve"> </w:t>
      </w:r>
      <w:r w:rsidRPr="00EA3BFF">
        <w:rPr>
          <w:rFonts w:asciiTheme="minorBidi" w:hAnsiTheme="minorBidi" w:cs="Arial"/>
          <w:rtl/>
        </w:rPr>
        <w:t xml:space="preserve">היה מביא ראיה להתיר מהא דאמרינן פרק כירה </w:t>
      </w:r>
      <w:r>
        <w:rPr>
          <w:rFonts w:asciiTheme="minorBidi" w:hAnsiTheme="minorBidi" w:cs="Arial" w:hint="cs"/>
          <w:rtl/>
        </w:rPr>
        <w:t>(מ:)</w:t>
      </w:r>
      <w:r w:rsidRPr="00EA3BFF">
        <w:rPr>
          <w:rFonts w:asciiTheme="minorBidi" w:hAnsiTheme="minorBidi" w:cs="Arial"/>
          <w:rtl/>
        </w:rPr>
        <w:t xml:space="preserve"> סכה אשה ידה שמן ומחממה כנגד המדורה וסכה לבנה</w:t>
      </w:r>
      <w:r w:rsidR="005112F5">
        <w:rPr>
          <w:rFonts w:asciiTheme="minorBidi" w:hAnsiTheme="minorBidi" w:cs="Arial" w:hint="cs"/>
          <w:rtl/>
        </w:rPr>
        <w:t>,</w:t>
      </w:r>
      <w:r w:rsidRPr="00EA3BFF">
        <w:rPr>
          <w:rFonts w:asciiTheme="minorBidi" w:hAnsiTheme="minorBidi" w:cs="Arial"/>
          <w:rtl/>
        </w:rPr>
        <w:t xml:space="preserve"> וסתם שמן זית הוי קרוש ואפ"ה שרי</w:t>
      </w:r>
      <w:r>
        <w:rPr>
          <w:rFonts w:asciiTheme="minorBidi" w:hAnsiTheme="minorBidi" w:cs="Arial" w:hint="cs"/>
          <w:rtl/>
        </w:rPr>
        <w:t>.</w:t>
      </w:r>
      <w:r w:rsidRPr="00EA3BFF">
        <w:rPr>
          <w:rFonts w:asciiTheme="minorBidi" w:hAnsiTheme="minorBidi" w:cs="Arial"/>
          <w:rtl/>
        </w:rPr>
        <w:t xml:space="preserve"> ומ"מ טוב להזהר שלא לשום כ"כ קרוב אצל האש אלא רחוק כדי שלא תהא היד סולדת בו</w:t>
      </w:r>
      <w:r>
        <w:rPr>
          <w:rStyle w:val="a9"/>
          <w:rFonts w:asciiTheme="minorBidi" w:hAnsiTheme="minorBidi" w:cs="Arial"/>
          <w:rtl/>
        </w:rPr>
        <w:footnoteReference w:id="2874"/>
      </w:r>
      <w:r>
        <w:rPr>
          <w:rFonts w:asciiTheme="minorBidi" w:hAnsiTheme="minorBidi" w:hint="cs"/>
          <w:rtl/>
        </w:rPr>
        <w:t>.</w:t>
      </w:r>
    </w:p>
    <w:p w14:paraId="091DD102" w14:textId="77777777" w:rsidR="00B97A52" w:rsidRPr="00B97A52" w:rsidRDefault="00B97A52" w:rsidP="00B97A52">
      <w:pPr>
        <w:pStyle w:val="aa"/>
        <w:numPr>
          <w:ilvl w:val="1"/>
          <w:numId w:val="32"/>
        </w:numPr>
        <w:rPr>
          <w:rFonts w:asciiTheme="minorBidi" w:hAnsiTheme="minorBidi"/>
          <w:rtl/>
        </w:rPr>
      </w:pPr>
      <w:r w:rsidRPr="00B97A52">
        <w:rPr>
          <w:rFonts w:asciiTheme="minorBidi" w:hAnsiTheme="minorBidi" w:cs="Arial" w:hint="cs"/>
          <w:rtl/>
        </w:rPr>
        <w:t xml:space="preserve">ב"י- </w:t>
      </w:r>
      <w:r w:rsidRPr="00B97A52">
        <w:rPr>
          <w:rFonts w:asciiTheme="minorBidi" w:hAnsiTheme="minorBidi" w:cs="Arial"/>
          <w:rtl/>
        </w:rPr>
        <w:t>ובעיקר הדין כיון דמידי דרבנן הוא נקטינן כרש"י והרמב"ם והרמב"ן דפליגי אבעל התרומה ומותר</w:t>
      </w:r>
      <w:r w:rsidRPr="00B97A52">
        <w:rPr>
          <w:rFonts w:asciiTheme="minorBidi" w:hAnsiTheme="minorBidi" w:cs="Arial" w:hint="cs"/>
          <w:rtl/>
        </w:rPr>
        <w:t>.</w:t>
      </w:r>
    </w:p>
    <w:p w14:paraId="7EF4ACA5" w14:textId="4AA4C24B" w:rsidR="00E2589E" w:rsidRDefault="00E2589E" w:rsidP="00BC4B7C">
      <w:pPr>
        <w:ind w:left="360"/>
        <w:rPr>
          <w:rFonts w:asciiTheme="minorBidi" w:hAnsiTheme="minorBidi"/>
          <w:u w:val="dotted"/>
          <w:rtl/>
        </w:rPr>
      </w:pPr>
      <w:r w:rsidRPr="00BC4B7C">
        <w:rPr>
          <w:rFonts w:asciiTheme="minorBidi" w:hAnsiTheme="minorBidi" w:hint="cs"/>
          <w:u w:val="dotted"/>
          <w:rtl/>
        </w:rPr>
        <w:t>ל</w:t>
      </w:r>
      <w:r>
        <w:rPr>
          <w:rFonts w:asciiTheme="minorBidi" w:hAnsiTheme="minorBidi" w:hint="cs"/>
          <w:u w:val="dotted"/>
          <w:rtl/>
        </w:rPr>
        <w:t>רמב"ן</w:t>
      </w:r>
      <w:r w:rsidRPr="00BC4B7C">
        <w:rPr>
          <w:rFonts w:asciiTheme="minorBidi" w:hAnsiTheme="minorBidi" w:hint="cs"/>
          <w:u w:val="dotted"/>
          <w:rtl/>
        </w:rPr>
        <w:t xml:space="preserve"> וסיעתו -</w:t>
      </w:r>
      <w:r>
        <w:rPr>
          <w:rFonts w:asciiTheme="minorBidi" w:hAnsiTheme="minorBidi" w:hint="cs"/>
          <w:u w:val="dotted"/>
          <w:rtl/>
        </w:rPr>
        <w:t xml:space="preserve"> האם מותר לשים את המאכל עם השומן הקרוש ליד האש</w:t>
      </w:r>
      <w:r w:rsidRPr="00E2589E">
        <w:rPr>
          <w:rFonts w:asciiTheme="minorBidi" w:hAnsiTheme="minorBidi" w:hint="cs"/>
          <w:b/>
          <w:bCs/>
          <w:u w:val="dotted"/>
          <w:rtl/>
        </w:rPr>
        <w:t xml:space="preserve"> במקום שהיד סולדת בו</w:t>
      </w:r>
      <w:r>
        <w:rPr>
          <w:rFonts w:asciiTheme="minorBidi" w:hAnsiTheme="minorBidi" w:hint="cs"/>
          <w:u w:val="dotted"/>
          <w:rtl/>
        </w:rPr>
        <w:t>:</w:t>
      </w:r>
    </w:p>
    <w:p w14:paraId="7CB67BB0" w14:textId="070223AB" w:rsidR="00E2589E" w:rsidRPr="00576548" w:rsidRDefault="000461A0" w:rsidP="00FF2D21">
      <w:pPr>
        <w:pStyle w:val="aa"/>
        <w:numPr>
          <w:ilvl w:val="0"/>
          <w:numId w:val="156"/>
        </w:numPr>
        <w:rPr>
          <w:rFonts w:asciiTheme="minorBidi" w:hAnsiTheme="minorBidi"/>
          <w:rtl/>
        </w:rPr>
      </w:pPr>
      <w:r w:rsidRPr="00B905A4">
        <w:rPr>
          <w:rFonts w:cs="Arial"/>
          <w:rtl/>
        </w:rPr>
        <w:t xml:space="preserve">רשב"א </w:t>
      </w:r>
      <w:r w:rsidRPr="00B905A4">
        <w:rPr>
          <w:rFonts w:cs="Arial"/>
          <w:sz w:val="16"/>
          <w:szCs w:val="16"/>
          <w:rtl/>
        </w:rPr>
        <w:t>(</w:t>
      </w:r>
      <w:r>
        <w:rPr>
          <w:rFonts w:cs="Arial" w:hint="cs"/>
          <w:sz w:val="16"/>
          <w:szCs w:val="16"/>
          <w:rtl/>
        </w:rPr>
        <w:t>מ: ד"ה ומכל מקום</w:t>
      </w:r>
      <w:r w:rsidRPr="00B905A4">
        <w:rPr>
          <w:rFonts w:cs="Arial"/>
          <w:sz w:val="16"/>
          <w:szCs w:val="16"/>
          <w:rtl/>
        </w:rPr>
        <w:t>)</w:t>
      </w:r>
      <w:r>
        <w:rPr>
          <w:rFonts w:cs="Arial" w:hint="cs"/>
          <w:rtl/>
        </w:rPr>
        <w:t xml:space="preserve"> ו</w:t>
      </w:r>
      <w:r w:rsidRPr="00B905A4">
        <w:rPr>
          <w:rFonts w:cs="Arial"/>
          <w:rtl/>
        </w:rPr>
        <w:t xml:space="preserve">ר"ן </w:t>
      </w:r>
      <w:r w:rsidRPr="00B905A4">
        <w:rPr>
          <w:rFonts w:cs="Arial"/>
          <w:sz w:val="16"/>
          <w:szCs w:val="16"/>
          <w:rtl/>
        </w:rPr>
        <w:t>(</w:t>
      </w:r>
      <w:r>
        <w:rPr>
          <w:rFonts w:cs="Arial" w:hint="cs"/>
          <w:sz w:val="16"/>
          <w:szCs w:val="16"/>
          <w:rtl/>
        </w:rPr>
        <w:t>יט.</w:t>
      </w:r>
      <w:r w:rsidRPr="00B905A4">
        <w:rPr>
          <w:rFonts w:cs="Arial"/>
          <w:sz w:val="16"/>
          <w:szCs w:val="16"/>
          <w:rtl/>
        </w:rPr>
        <w:t>)</w:t>
      </w:r>
      <w:r>
        <w:rPr>
          <w:rFonts w:cs="Arial" w:hint="cs"/>
          <w:rtl/>
        </w:rPr>
        <w:t>-</w:t>
      </w:r>
      <w:r w:rsidRPr="00B905A4">
        <w:rPr>
          <w:rFonts w:cs="Arial"/>
          <w:rtl/>
        </w:rPr>
        <w:t xml:space="preserve"> </w:t>
      </w:r>
      <w:r w:rsidR="00576548" w:rsidRPr="00B905A4">
        <w:rPr>
          <w:rFonts w:cs="Arial"/>
          <w:rtl/>
        </w:rPr>
        <w:t>הא דאסרינן לתת דבר המתחמם כנגד המדורה במקום שהיד סולדת הני מילי בדבר שלא נתבשל</w:t>
      </w:r>
      <w:r w:rsidR="00576548">
        <w:rPr>
          <w:rFonts w:cs="Arial" w:hint="cs"/>
          <w:rtl/>
        </w:rPr>
        <w:t>,</w:t>
      </w:r>
      <w:r w:rsidR="00576548" w:rsidRPr="00B905A4">
        <w:rPr>
          <w:rFonts w:cs="Arial"/>
          <w:rtl/>
        </w:rPr>
        <w:t xml:space="preserve"> אבל צונן שנתבשל </w:t>
      </w:r>
      <w:r w:rsidR="00576548">
        <w:rPr>
          <w:rFonts w:cs="Arial" w:hint="cs"/>
          <w:rtl/>
        </w:rPr>
        <w:t xml:space="preserve">- </w:t>
      </w:r>
      <w:r w:rsidR="00576548" w:rsidRPr="00B905A4">
        <w:rPr>
          <w:rFonts w:cs="Arial"/>
          <w:rtl/>
        </w:rPr>
        <w:t>מותר להניחו אפילו בכלי ראשון או כנגד המדורה ואפילו במקום שהיד סולדת בו שאין דרך בישול בכך</w:t>
      </w:r>
      <w:r>
        <w:rPr>
          <w:rFonts w:cs="Arial" w:hint="cs"/>
          <w:sz w:val="16"/>
          <w:szCs w:val="16"/>
          <w:rtl/>
        </w:rPr>
        <w:t xml:space="preserve"> (ל' הר"ן)</w:t>
      </w:r>
      <w:r w:rsidR="00576548">
        <w:rPr>
          <w:rStyle w:val="a9"/>
          <w:rFonts w:asciiTheme="minorBidi" w:hAnsiTheme="minorBidi"/>
          <w:rtl/>
        </w:rPr>
        <w:footnoteReference w:id="2875"/>
      </w:r>
      <w:r w:rsidR="00576548">
        <w:rPr>
          <w:rFonts w:asciiTheme="minorBidi" w:hAnsiTheme="minorBidi" w:hint="cs"/>
          <w:rtl/>
        </w:rPr>
        <w:t>.</w:t>
      </w:r>
      <w:r w:rsidR="00BD71B6">
        <w:rPr>
          <w:rFonts w:asciiTheme="minorBidi" w:hAnsiTheme="minorBidi" w:hint="cs"/>
          <w:rtl/>
        </w:rPr>
        <w:t xml:space="preserve"> </w:t>
      </w:r>
      <w:r w:rsidR="00BD71B6" w:rsidRPr="00D5631B">
        <w:rPr>
          <w:rFonts w:cs="Arial" w:hint="cs"/>
          <w:color w:val="E36C0A" w:themeColor="accent6" w:themeShade="BF"/>
          <w:rtl/>
        </w:rPr>
        <w:t>(וכ"פ בשו"ע</w:t>
      </w:r>
      <w:r w:rsidR="00BD71B6" w:rsidRPr="000461A0">
        <w:rPr>
          <w:rStyle w:val="a9"/>
          <w:rFonts w:cs="Arial"/>
          <w:color w:val="000000" w:themeColor="text1"/>
          <w:rtl/>
        </w:rPr>
        <w:footnoteReference w:id="2876"/>
      </w:r>
      <w:r w:rsidR="00BD71B6" w:rsidRPr="00D5631B">
        <w:rPr>
          <w:rFonts w:cs="Arial" w:hint="cs"/>
          <w:color w:val="E36C0A" w:themeColor="accent6" w:themeShade="BF"/>
          <w:rtl/>
        </w:rPr>
        <w:t>)</w:t>
      </w:r>
    </w:p>
    <w:p w14:paraId="0839BE24" w14:textId="257E7253" w:rsidR="00BC4B7C" w:rsidRPr="00BC4B7C" w:rsidRDefault="00BC4B7C" w:rsidP="00BC4B7C">
      <w:pPr>
        <w:ind w:left="360"/>
        <w:rPr>
          <w:rFonts w:asciiTheme="minorBidi" w:hAnsiTheme="minorBidi"/>
          <w:u w:val="dotted"/>
        </w:rPr>
      </w:pPr>
      <w:r w:rsidRPr="00BC4B7C">
        <w:rPr>
          <w:rFonts w:asciiTheme="minorBidi" w:hAnsiTheme="minorBidi" w:hint="cs"/>
          <w:u w:val="dotted"/>
          <w:rtl/>
        </w:rPr>
        <w:t xml:space="preserve">לתרומה וסיעתו - האם מותר לתת פשטידה </w:t>
      </w:r>
      <w:r>
        <w:rPr>
          <w:rFonts w:asciiTheme="minorBidi" w:hAnsiTheme="minorBidi" w:hint="cs"/>
          <w:u w:val="dotted"/>
          <w:rtl/>
        </w:rPr>
        <w:t>כנגד המדורה כ</w:t>
      </w:r>
      <w:r w:rsidRPr="00BC4B7C">
        <w:rPr>
          <w:rFonts w:asciiTheme="minorBidi" w:hAnsiTheme="minorBidi" w:hint="cs"/>
          <w:u w:val="dotted"/>
          <w:rtl/>
        </w:rPr>
        <w:t>שאין השומן ניכר בה:</w:t>
      </w:r>
    </w:p>
    <w:p w14:paraId="14BBCDAF" w14:textId="7108E18C" w:rsidR="009E3013" w:rsidRPr="00FA6F83" w:rsidRDefault="00BC4B7C" w:rsidP="00FA6F83">
      <w:pPr>
        <w:pStyle w:val="aa"/>
        <w:numPr>
          <w:ilvl w:val="0"/>
          <w:numId w:val="32"/>
        </w:numPr>
        <w:rPr>
          <w:rFonts w:asciiTheme="minorBidi" w:hAnsiTheme="minorBidi"/>
        </w:rPr>
      </w:pPr>
      <w:r>
        <w:rPr>
          <w:rFonts w:asciiTheme="minorBidi" w:hAnsiTheme="minorBidi" w:cs="Arial" w:hint="cs"/>
          <w:rtl/>
        </w:rPr>
        <w:t xml:space="preserve">ב"י- </w:t>
      </w:r>
      <w:r w:rsidR="00E61E7E" w:rsidRPr="00BC4B7C">
        <w:rPr>
          <w:rFonts w:asciiTheme="minorBidi" w:hAnsiTheme="minorBidi" w:cs="Arial"/>
          <w:rtl/>
        </w:rPr>
        <w:t>ונראה דלבעל התרומה נמי לא אסיר אלא בפשטיד"א שהשומן הנקרש הוא בעין לבדו ואין מתערב עם שום דבר וניכר</w:t>
      </w:r>
      <w:r w:rsidRPr="00BC4B7C">
        <w:rPr>
          <w:rFonts w:asciiTheme="minorBidi" w:hAnsiTheme="minorBidi" w:cs="Arial" w:hint="cs"/>
          <w:rtl/>
        </w:rPr>
        <w:t>,</w:t>
      </w:r>
      <w:r w:rsidR="00E61E7E" w:rsidRPr="00BC4B7C">
        <w:rPr>
          <w:rFonts w:asciiTheme="minorBidi" w:hAnsiTheme="minorBidi" w:cs="Arial"/>
          <w:rtl/>
        </w:rPr>
        <w:t xml:space="preserve"> אבל קדרה שיש בה שומן קרוש עם מרק</w:t>
      </w:r>
      <w:r w:rsidRPr="00BC4B7C">
        <w:rPr>
          <w:rFonts w:asciiTheme="minorBidi" w:hAnsiTheme="minorBidi" w:cs="Arial" w:hint="cs"/>
          <w:rtl/>
        </w:rPr>
        <w:t>,</w:t>
      </w:r>
      <w:r w:rsidR="00E61E7E" w:rsidRPr="00BC4B7C">
        <w:rPr>
          <w:rFonts w:asciiTheme="minorBidi" w:hAnsiTheme="minorBidi" w:cs="Arial"/>
          <w:rtl/>
        </w:rPr>
        <w:t xml:space="preserve"> שכשהוא נימוח מתערב עם המרק ואינו ניכר </w:t>
      </w:r>
      <w:r w:rsidRPr="00BC4B7C">
        <w:rPr>
          <w:rFonts w:asciiTheme="minorBidi" w:hAnsiTheme="minorBidi" w:cs="Arial" w:hint="cs"/>
          <w:rtl/>
        </w:rPr>
        <w:t xml:space="preserve">- </w:t>
      </w:r>
      <w:r w:rsidR="00E61E7E" w:rsidRPr="00BC4B7C">
        <w:rPr>
          <w:rFonts w:asciiTheme="minorBidi" w:hAnsiTheme="minorBidi" w:cs="Arial"/>
          <w:rtl/>
        </w:rPr>
        <w:t>שרי</w:t>
      </w:r>
      <w:r w:rsidRPr="00BC4B7C">
        <w:rPr>
          <w:rFonts w:asciiTheme="minorBidi" w:hAnsiTheme="minorBidi" w:cs="Arial" w:hint="cs"/>
          <w:rtl/>
        </w:rPr>
        <w:t>,</w:t>
      </w:r>
      <w:r w:rsidR="00E61E7E" w:rsidRPr="00BC4B7C">
        <w:rPr>
          <w:rFonts w:asciiTheme="minorBidi" w:hAnsiTheme="minorBidi" w:cs="Arial"/>
          <w:rtl/>
        </w:rPr>
        <w:t xml:space="preserve"> כי היכי דשרי בסיפא דברייתא ליתן לתוך הכוס</w:t>
      </w:r>
      <w:r w:rsidRPr="00BC4B7C">
        <w:rPr>
          <w:rFonts w:asciiTheme="minorBidi" w:hAnsiTheme="minorBidi" w:cs="Arial" w:hint="cs"/>
          <w:rtl/>
        </w:rPr>
        <w:t>,</w:t>
      </w:r>
      <w:r w:rsidR="00E61E7E" w:rsidRPr="00BC4B7C">
        <w:rPr>
          <w:rFonts w:asciiTheme="minorBidi" w:hAnsiTheme="minorBidi" w:cs="Arial"/>
          <w:rtl/>
        </w:rPr>
        <w:t xml:space="preserve"> משום דמאליו הוא נמחה</w:t>
      </w:r>
      <w:r w:rsidRPr="00BC4B7C">
        <w:rPr>
          <w:rFonts w:asciiTheme="minorBidi" w:hAnsiTheme="minorBidi" w:cs="Arial" w:hint="cs"/>
          <w:rtl/>
        </w:rPr>
        <w:t>,</w:t>
      </w:r>
      <w:r w:rsidR="00E61E7E" w:rsidRPr="00BC4B7C">
        <w:rPr>
          <w:rFonts w:asciiTheme="minorBidi" w:hAnsiTheme="minorBidi" w:cs="Arial"/>
          <w:rtl/>
        </w:rPr>
        <w:t xml:space="preserve"> וכשהוא נמחה אז הוא מתערב ומתבטל ביין שבכוס ואין ניכר. </w:t>
      </w:r>
      <w:r w:rsidR="00E61E7E" w:rsidRPr="00C0245C">
        <w:rPr>
          <w:rFonts w:asciiTheme="minorBidi" w:hAnsiTheme="minorBidi" w:cs="Arial"/>
          <w:rtl/>
        </w:rPr>
        <w:t>וכן נראה מדבריו ומדברי המרדכי בסוף פרק במה טומנין (סי' של). והר"ן שכתב</w:t>
      </w:r>
      <w:r w:rsidR="00C0245C" w:rsidRPr="00C0245C">
        <w:rPr>
          <w:rFonts w:asciiTheme="minorBidi" w:hAnsiTheme="minorBidi" w:cs="Arial" w:hint="cs"/>
          <w:sz w:val="16"/>
          <w:szCs w:val="16"/>
          <w:rtl/>
        </w:rPr>
        <w:t xml:space="preserve"> (בחי' נא:, ובדפה"ר כג.)</w:t>
      </w:r>
      <w:r w:rsidR="00C0245C" w:rsidRPr="00C0245C">
        <w:rPr>
          <w:rFonts w:asciiTheme="minorBidi" w:hAnsiTheme="minorBidi" w:cs="Arial" w:hint="cs"/>
          <w:rtl/>
        </w:rPr>
        <w:t xml:space="preserve"> </w:t>
      </w:r>
      <w:r w:rsidR="00E61E7E" w:rsidRPr="00C0245C">
        <w:rPr>
          <w:rFonts w:asciiTheme="minorBidi" w:hAnsiTheme="minorBidi" w:cs="Arial"/>
          <w:rtl/>
        </w:rPr>
        <w:t>דלבעל התרומה אסור ליתן קדרה שקרש שמנינותה כנגד המדורה</w:t>
      </w:r>
      <w:r w:rsidR="00C0245C" w:rsidRPr="00C0245C">
        <w:rPr>
          <w:rFonts w:asciiTheme="minorBidi" w:hAnsiTheme="minorBidi" w:cs="Arial" w:hint="cs"/>
          <w:rtl/>
        </w:rPr>
        <w:t>,</w:t>
      </w:r>
      <w:r w:rsidR="00E61E7E" w:rsidRPr="00C0245C">
        <w:rPr>
          <w:rFonts w:asciiTheme="minorBidi" w:hAnsiTheme="minorBidi" w:cs="Arial"/>
          <w:rtl/>
        </w:rPr>
        <w:t xml:space="preserve"> יש לומר דבקדרה של בשר שמן שאין בה מרק אלא דבר מועט היא</w:t>
      </w:r>
      <w:r w:rsidR="00FA6F83">
        <w:rPr>
          <w:rFonts w:asciiTheme="minorBidi" w:hAnsiTheme="minorBidi" w:cs="Arial" w:hint="cs"/>
          <w:sz w:val="16"/>
          <w:szCs w:val="16"/>
          <w:rtl/>
        </w:rPr>
        <w:t xml:space="preserve"> {ואין לשומן מרק להתערב ולהתבטל בו}</w:t>
      </w:r>
      <w:r w:rsidR="00E61E7E" w:rsidRPr="00C0245C">
        <w:rPr>
          <w:rFonts w:asciiTheme="minorBidi" w:hAnsiTheme="minorBidi" w:cs="Arial"/>
          <w:rtl/>
        </w:rPr>
        <w:t>. ומיהו אפשר דהר"ן סובר דלבעל התרומה פשטיד"א לאו דוקא</w:t>
      </w:r>
      <w:r w:rsidR="00C0245C" w:rsidRPr="00C0245C">
        <w:rPr>
          <w:rFonts w:asciiTheme="minorBidi" w:hAnsiTheme="minorBidi" w:cs="Arial" w:hint="cs"/>
          <w:rtl/>
        </w:rPr>
        <w:t>,</w:t>
      </w:r>
      <w:r w:rsidR="00E61E7E" w:rsidRPr="00C0245C">
        <w:rPr>
          <w:rFonts w:asciiTheme="minorBidi" w:hAnsiTheme="minorBidi" w:cs="Arial"/>
          <w:rtl/>
        </w:rPr>
        <w:t xml:space="preserve"> דהוא הדין לקדרה ואע</w:t>
      </w:r>
      <w:r w:rsidR="00C0245C" w:rsidRPr="00C0245C">
        <w:rPr>
          <w:rFonts w:asciiTheme="minorBidi" w:hAnsiTheme="minorBidi" w:cs="Arial" w:hint="cs"/>
          <w:rtl/>
        </w:rPr>
        <w:t>"</w:t>
      </w:r>
      <w:r w:rsidR="00E61E7E" w:rsidRPr="00C0245C">
        <w:rPr>
          <w:rFonts w:asciiTheme="minorBidi" w:hAnsiTheme="minorBidi" w:cs="Arial"/>
          <w:rtl/>
        </w:rPr>
        <w:t>פ שיש בה מרק לא דמי לנותן ברד לתוך כוס יין דשרי דשאני התם שאין הברד ניכר כלל</w:t>
      </w:r>
      <w:r w:rsidR="00C0245C" w:rsidRPr="00C0245C">
        <w:rPr>
          <w:rFonts w:asciiTheme="minorBidi" w:hAnsiTheme="minorBidi" w:cs="Arial" w:hint="cs"/>
          <w:rtl/>
        </w:rPr>
        <w:t>,</w:t>
      </w:r>
      <w:r w:rsidR="00E61E7E" w:rsidRPr="00C0245C">
        <w:rPr>
          <w:rFonts w:asciiTheme="minorBidi" w:hAnsiTheme="minorBidi" w:cs="Arial"/>
          <w:rtl/>
        </w:rPr>
        <w:t xml:space="preserve"> אבל שומן שכשנמחה צף למעלה ניכר הוא ואסור לדעת בעל התרומה</w:t>
      </w:r>
      <w:r w:rsidR="00FA6F83">
        <w:rPr>
          <w:rStyle w:val="a9"/>
          <w:rFonts w:asciiTheme="minorBidi" w:hAnsiTheme="minorBidi" w:cs="Arial"/>
          <w:rtl/>
        </w:rPr>
        <w:footnoteReference w:id="2877"/>
      </w:r>
      <w:r w:rsidR="00C0245C" w:rsidRPr="00C0245C">
        <w:rPr>
          <w:rFonts w:asciiTheme="minorBidi" w:hAnsiTheme="minorBidi" w:cs="Arial" w:hint="cs"/>
          <w:rtl/>
        </w:rPr>
        <w:t>.</w:t>
      </w:r>
    </w:p>
    <w:p w14:paraId="3279A620" w14:textId="079CA305" w:rsidR="00A76495" w:rsidRPr="00A76495" w:rsidRDefault="00A76495" w:rsidP="00A76495">
      <w:pPr>
        <w:ind w:left="360"/>
        <w:rPr>
          <w:rFonts w:asciiTheme="minorBidi" w:hAnsiTheme="minorBidi"/>
        </w:rPr>
      </w:pPr>
      <w:r w:rsidRPr="00BC4B7C">
        <w:rPr>
          <w:rFonts w:asciiTheme="minorBidi" w:hAnsiTheme="minorBidi" w:hint="cs"/>
          <w:u w:val="dotted"/>
          <w:rtl/>
        </w:rPr>
        <w:t xml:space="preserve">לתרומה וסיעתו - </w:t>
      </w:r>
      <w:r>
        <w:rPr>
          <w:rFonts w:asciiTheme="minorBidi" w:hAnsiTheme="minorBidi" w:hint="cs"/>
          <w:u w:val="dotted"/>
          <w:rtl/>
        </w:rPr>
        <w:t>מה הדין אם שפך מער"ש את השומן ונשאר רק קצת</w:t>
      </w:r>
      <w:r w:rsidRPr="00BC4B7C">
        <w:rPr>
          <w:rFonts w:asciiTheme="minorBidi" w:hAnsiTheme="minorBidi" w:hint="cs"/>
          <w:u w:val="dotted"/>
          <w:rtl/>
        </w:rPr>
        <w:t>:</w:t>
      </w:r>
    </w:p>
    <w:p w14:paraId="75AC411C" w14:textId="388141F1" w:rsidR="00C0245C" w:rsidRPr="00A76495" w:rsidRDefault="00E61E7E" w:rsidP="00A76495">
      <w:pPr>
        <w:pStyle w:val="aa"/>
        <w:numPr>
          <w:ilvl w:val="0"/>
          <w:numId w:val="32"/>
        </w:numPr>
        <w:rPr>
          <w:rFonts w:asciiTheme="minorBidi" w:hAnsiTheme="minorBidi"/>
          <w:rtl/>
        </w:rPr>
      </w:pPr>
      <w:r w:rsidRPr="00A76495">
        <w:rPr>
          <w:rFonts w:asciiTheme="minorBidi" w:hAnsiTheme="minorBidi" w:cs="Arial"/>
          <w:rtl/>
        </w:rPr>
        <w:t xml:space="preserve">התרומה </w:t>
      </w:r>
      <w:r w:rsidRPr="00A76495">
        <w:rPr>
          <w:rFonts w:asciiTheme="minorBidi" w:hAnsiTheme="minorBidi" w:cs="Arial"/>
          <w:sz w:val="16"/>
          <w:szCs w:val="16"/>
          <w:rtl/>
        </w:rPr>
        <w:t>(</w:t>
      </w:r>
      <w:r w:rsidR="00A76495">
        <w:rPr>
          <w:rFonts w:asciiTheme="minorBidi" w:hAnsiTheme="minorBidi" w:cs="Arial" w:hint="cs"/>
          <w:sz w:val="16"/>
          <w:szCs w:val="16"/>
          <w:rtl/>
        </w:rPr>
        <w:t>סימנים הל' שבת</w:t>
      </w:r>
      <w:r w:rsidRPr="00A76495">
        <w:rPr>
          <w:rFonts w:asciiTheme="minorBidi" w:hAnsiTheme="minorBidi" w:cs="Arial"/>
          <w:sz w:val="16"/>
          <w:szCs w:val="16"/>
          <w:rtl/>
        </w:rPr>
        <w:t xml:space="preserve"> סי' רלה)</w:t>
      </w:r>
      <w:r w:rsidR="00A76495">
        <w:rPr>
          <w:rFonts w:asciiTheme="minorBidi" w:hAnsiTheme="minorBidi" w:cs="Arial" w:hint="cs"/>
          <w:rtl/>
        </w:rPr>
        <w:t>-</w:t>
      </w:r>
      <w:r w:rsidRPr="00A76495">
        <w:rPr>
          <w:rFonts w:asciiTheme="minorBidi" w:hAnsiTheme="minorBidi" w:cs="Arial"/>
          <w:rtl/>
        </w:rPr>
        <w:t xml:space="preserve"> </w:t>
      </w:r>
      <w:r w:rsidR="00A76495" w:rsidRPr="00A76495">
        <w:rPr>
          <w:rFonts w:asciiTheme="minorBidi" w:hAnsiTheme="minorBidi" w:cs="Arial"/>
          <w:rtl/>
        </w:rPr>
        <w:t>אם מערב שבת עירה ושפך חוצה המים והשומן שבתוכה מותר לחמם בשבת הפשטיידא</w:t>
      </w:r>
      <w:r w:rsidR="00A76495">
        <w:rPr>
          <w:rStyle w:val="a9"/>
          <w:rFonts w:asciiTheme="minorBidi" w:hAnsiTheme="minorBidi" w:cs="Arial"/>
          <w:rtl/>
        </w:rPr>
        <w:footnoteReference w:id="2878"/>
      </w:r>
      <w:r w:rsidRPr="00A76495">
        <w:rPr>
          <w:rFonts w:asciiTheme="minorBidi" w:hAnsiTheme="minorBidi" w:cs="Arial"/>
          <w:rtl/>
        </w:rPr>
        <w:t xml:space="preserve">. </w:t>
      </w:r>
    </w:p>
    <w:p w14:paraId="30A9C2A4" w14:textId="051307E4" w:rsidR="00166C47" w:rsidRPr="00FA6F83" w:rsidRDefault="00FA6F83" w:rsidP="00434A6A">
      <w:pPr>
        <w:rPr>
          <w:rFonts w:asciiTheme="minorBidi" w:hAnsiTheme="minorBidi"/>
          <w:u w:val="single"/>
          <w:rtl/>
        </w:rPr>
      </w:pPr>
      <w:r w:rsidRPr="00FA6F83">
        <w:rPr>
          <w:rFonts w:asciiTheme="minorBidi" w:hAnsiTheme="minorBidi" w:hint="cs"/>
          <w:u w:val="single"/>
          <w:rtl/>
        </w:rPr>
        <w:t xml:space="preserve">נתינת </w:t>
      </w:r>
      <w:r>
        <w:rPr>
          <w:rFonts w:asciiTheme="minorBidi" w:hAnsiTheme="minorBidi" w:hint="cs"/>
          <w:u w:val="single"/>
          <w:rtl/>
        </w:rPr>
        <w:t xml:space="preserve">כלי של </w:t>
      </w:r>
      <w:r w:rsidRPr="00FA6F83">
        <w:rPr>
          <w:rFonts w:asciiTheme="minorBidi" w:hAnsiTheme="minorBidi" w:hint="cs"/>
          <w:u w:val="single"/>
          <w:rtl/>
        </w:rPr>
        <w:t>מים לשתיה, בתוך מים קרים שאינן ראויים לשתיה</w:t>
      </w:r>
      <w:r>
        <w:rPr>
          <w:rFonts w:asciiTheme="minorBidi" w:hAnsiTheme="minorBidi" w:hint="cs"/>
          <w:u w:val="single"/>
          <w:rtl/>
        </w:rPr>
        <w:t>, כדי לצננן</w:t>
      </w:r>
      <w:r w:rsidRPr="00FA6F83">
        <w:rPr>
          <w:rFonts w:asciiTheme="minorBidi" w:hAnsiTheme="minorBidi" w:hint="cs"/>
          <w:u w:val="single"/>
          <w:rtl/>
        </w:rPr>
        <w:t>:</w:t>
      </w:r>
    </w:p>
    <w:p w14:paraId="66234EBB" w14:textId="77777777" w:rsidR="006851FF" w:rsidRPr="002065FF" w:rsidRDefault="006851FF" w:rsidP="006851FF">
      <w:pPr>
        <w:pStyle w:val="aa"/>
        <w:numPr>
          <w:ilvl w:val="0"/>
          <w:numId w:val="32"/>
        </w:numPr>
        <w:rPr>
          <w:rFonts w:asciiTheme="minorBidi" w:hAnsiTheme="minorBidi"/>
        </w:rPr>
      </w:pPr>
      <w:r>
        <w:rPr>
          <w:rFonts w:asciiTheme="minorBidi" w:hAnsiTheme="minorBidi" w:cs="Arial" w:hint="cs"/>
          <w:rtl/>
        </w:rPr>
        <w:t xml:space="preserve">טור- </w:t>
      </w:r>
      <w:r w:rsidRPr="002065FF">
        <w:rPr>
          <w:rFonts w:asciiTheme="minorBidi" w:hAnsiTheme="minorBidi" w:cs="Arial"/>
          <w:rtl/>
        </w:rPr>
        <w:t>מותר ליתן מים היפים במים צוננין הרעים כדי לצננן</w:t>
      </w:r>
      <w:r>
        <w:rPr>
          <w:rFonts w:asciiTheme="minorBidi" w:hAnsiTheme="minorBidi" w:cs="Arial" w:hint="cs"/>
          <w:rtl/>
        </w:rPr>
        <w:t>.</w:t>
      </w:r>
    </w:p>
    <w:p w14:paraId="611BE3C6"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5FE0B02" w14:textId="3B84AB4E" w:rsidR="006A4BF8" w:rsidRPr="005275DF" w:rsidRDefault="006A4BF8" w:rsidP="00434A6A">
      <w:pPr>
        <w:tabs>
          <w:tab w:val="left" w:pos="2788"/>
        </w:tabs>
        <w:rPr>
          <w:rFonts w:asciiTheme="minorBidi" w:hAnsiTheme="minorBidi"/>
          <w:rtl/>
        </w:rPr>
      </w:pPr>
      <w:r w:rsidRPr="005275DF">
        <w:rPr>
          <w:rFonts w:asciiTheme="minorBidi" w:hAnsiTheme="minorBidi"/>
          <w:rtl/>
        </w:rPr>
        <w:t>מותר ליתן אינפאנאד"ה כנגד האש במקום שהיד סולדת</w:t>
      </w:r>
      <w:r w:rsidR="00C60C34">
        <w:rPr>
          <w:rFonts w:asciiTheme="minorBidi" w:hAnsiTheme="minorBidi" w:hint="cs"/>
          <w:rtl/>
        </w:rPr>
        <w:t>,</w:t>
      </w:r>
      <w:r w:rsidRPr="005275DF">
        <w:rPr>
          <w:rFonts w:asciiTheme="minorBidi" w:hAnsiTheme="minorBidi"/>
          <w:rtl/>
        </w:rPr>
        <w:t xml:space="preserve"> ואף על פי שהשומן שבה שנקרש חוזר ונימוח. </w:t>
      </w:r>
      <w:r w:rsidRPr="005275DF">
        <w:rPr>
          <w:rFonts w:asciiTheme="minorBidi" w:hAnsiTheme="minorBidi"/>
          <w:sz w:val="18"/>
          <w:szCs w:val="18"/>
          <w:rtl/>
        </w:rPr>
        <w:t>הגה: וכל שכן קדירה שיש בה רוטב שנקרש</w:t>
      </w:r>
      <w:r w:rsidR="000627BB">
        <w:rPr>
          <w:rFonts w:asciiTheme="minorBidi" w:hAnsiTheme="minorBidi" w:hint="cs"/>
          <w:sz w:val="18"/>
          <w:szCs w:val="18"/>
          <w:rtl/>
        </w:rPr>
        <w:t>,</w:t>
      </w:r>
      <w:r w:rsidRPr="005275DF">
        <w:rPr>
          <w:rFonts w:asciiTheme="minorBidi" w:hAnsiTheme="minorBidi"/>
          <w:sz w:val="18"/>
          <w:szCs w:val="18"/>
          <w:rtl/>
        </w:rPr>
        <w:t xml:space="preserve"> שכשהשומן נימוח אינו בעין</w:t>
      </w:r>
      <w:r w:rsidR="000627BB">
        <w:rPr>
          <w:rFonts w:asciiTheme="minorBidi" w:hAnsiTheme="minorBidi" w:hint="cs"/>
          <w:sz w:val="18"/>
          <w:szCs w:val="18"/>
          <w:rtl/>
        </w:rPr>
        <w:t>,</w:t>
      </w:r>
      <w:r w:rsidRPr="005275DF">
        <w:rPr>
          <w:rFonts w:asciiTheme="minorBidi" w:hAnsiTheme="minorBidi"/>
          <w:sz w:val="18"/>
          <w:szCs w:val="18"/>
          <w:rtl/>
        </w:rPr>
        <w:t xml:space="preserve"> דשרי (ב"י)</w:t>
      </w:r>
      <w:r w:rsidR="000627BB">
        <w:rPr>
          <w:rFonts w:asciiTheme="minorBidi" w:hAnsiTheme="minorBidi" w:hint="cs"/>
          <w:sz w:val="18"/>
          <w:szCs w:val="18"/>
          <w:rtl/>
        </w:rPr>
        <w:t>.</w:t>
      </w:r>
      <w:r w:rsidRPr="005275DF">
        <w:rPr>
          <w:rFonts w:asciiTheme="minorBidi" w:hAnsiTheme="minorBidi"/>
          <w:sz w:val="18"/>
          <w:szCs w:val="18"/>
          <w:rtl/>
        </w:rPr>
        <w:t xml:space="preserve"> ויש מחמירין (</w:t>
      </w:r>
      <w:r w:rsidR="000627BB">
        <w:rPr>
          <w:rFonts w:asciiTheme="minorBidi" w:hAnsiTheme="minorBidi" w:hint="cs"/>
          <w:sz w:val="18"/>
          <w:szCs w:val="18"/>
          <w:rtl/>
        </w:rPr>
        <w:t>תרומה להב' הר"ן, וטור</w:t>
      </w:r>
      <w:r w:rsidRPr="005275DF">
        <w:rPr>
          <w:rFonts w:asciiTheme="minorBidi" w:hAnsiTheme="minorBidi"/>
          <w:sz w:val="18"/>
          <w:szCs w:val="18"/>
          <w:rtl/>
        </w:rPr>
        <w:t>). ונהגו להחמיר</w:t>
      </w:r>
      <w:r w:rsidR="000627BB">
        <w:rPr>
          <w:rFonts w:asciiTheme="minorBidi" w:hAnsiTheme="minorBidi" w:hint="cs"/>
          <w:sz w:val="18"/>
          <w:szCs w:val="18"/>
          <w:rtl/>
        </w:rPr>
        <w:t>.</w:t>
      </w:r>
      <w:r w:rsidRPr="005275DF">
        <w:rPr>
          <w:rFonts w:asciiTheme="minorBidi" w:hAnsiTheme="minorBidi"/>
          <w:sz w:val="18"/>
          <w:szCs w:val="18"/>
          <w:rtl/>
        </w:rPr>
        <w:t xml:space="preserve"> מיהו במקום צורך יש לסמוך אסברא ראשונה</w:t>
      </w:r>
      <w:r w:rsidRPr="005275DF">
        <w:rPr>
          <w:rStyle w:val="a9"/>
          <w:rFonts w:asciiTheme="minorBidi" w:hAnsiTheme="minorBidi"/>
          <w:sz w:val="18"/>
          <w:szCs w:val="18"/>
          <w:rtl/>
        </w:rPr>
        <w:footnoteReference w:id="2879"/>
      </w:r>
      <w:r w:rsidRPr="005275DF">
        <w:rPr>
          <w:rFonts w:asciiTheme="minorBidi" w:hAnsiTheme="minorBidi"/>
          <w:sz w:val="18"/>
          <w:szCs w:val="18"/>
          <w:rtl/>
        </w:rPr>
        <w:t xml:space="preserve">. </w:t>
      </w:r>
    </w:p>
    <w:p w14:paraId="6C31B57F" w14:textId="57DAAC6D" w:rsidR="006A4BF8" w:rsidRPr="005275DF" w:rsidRDefault="006A4BF8" w:rsidP="00434A6A">
      <w:pPr>
        <w:tabs>
          <w:tab w:val="left" w:pos="2788"/>
        </w:tabs>
        <w:rPr>
          <w:rFonts w:asciiTheme="minorBidi" w:hAnsiTheme="minorBidi"/>
          <w:rtl/>
        </w:rPr>
      </w:pPr>
    </w:p>
    <w:p w14:paraId="4A0CB508" w14:textId="73BBB4CC" w:rsidR="006A4BF8" w:rsidRDefault="006A4BF8" w:rsidP="00434A6A">
      <w:pPr>
        <w:pStyle w:val="2"/>
        <w:rPr>
          <w:rFonts w:asciiTheme="minorBidi" w:hAnsiTheme="minorBidi" w:cstheme="minorBidi"/>
          <w:rtl/>
        </w:rPr>
      </w:pPr>
      <w:r w:rsidRPr="005275DF">
        <w:rPr>
          <w:rFonts w:asciiTheme="minorBidi" w:hAnsiTheme="minorBidi" w:cstheme="minorBidi"/>
          <w:rtl/>
        </w:rPr>
        <w:t>סעיף יז: נתינת קי</w:t>
      </w:r>
      <w:r w:rsidR="00B94B03">
        <w:rPr>
          <w:rFonts w:asciiTheme="minorBidi" w:hAnsiTheme="minorBidi" w:cstheme="minorBidi" w:hint="cs"/>
          <w:rtl/>
        </w:rPr>
        <w:t>ת</w:t>
      </w:r>
      <w:r w:rsidRPr="005275DF">
        <w:rPr>
          <w:rFonts w:asciiTheme="minorBidi" w:hAnsiTheme="minorBidi" w:cstheme="minorBidi"/>
          <w:rtl/>
        </w:rPr>
        <w:t>ון</w:t>
      </w:r>
      <w:r w:rsidR="00B94B03">
        <w:rPr>
          <w:rFonts w:asciiTheme="minorBidi" w:hAnsiTheme="minorBidi" w:cstheme="minorBidi" w:hint="cs"/>
          <w:rtl/>
        </w:rPr>
        <w:t xml:space="preserve"> צונן</w:t>
      </w:r>
      <w:r w:rsidRPr="005275DF">
        <w:rPr>
          <w:rFonts w:asciiTheme="minorBidi" w:hAnsiTheme="minorBidi" w:cstheme="minorBidi"/>
          <w:rtl/>
        </w:rPr>
        <w:t xml:space="preserve"> על גבי מיחם.</w:t>
      </w:r>
    </w:p>
    <w:p w14:paraId="2E0621D7" w14:textId="4ADC7EED" w:rsidR="00D30E2F" w:rsidRDefault="00D30E2F" w:rsidP="00D30E2F">
      <w:pPr>
        <w:rPr>
          <w:rtl/>
        </w:rPr>
      </w:pPr>
      <w:r w:rsidRPr="005275DF">
        <w:rPr>
          <w:rFonts w:asciiTheme="minorBidi" w:hAnsiTheme="minorBidi"/>
          <w:b/>
          <w:bCs/>
          <w:rtl/>
        </w:rPr>
        <w:t xml:space="preserve">שבת </w:t>
      </w:r>
      <w:r>
        <w:rPr>
          <w:rFonts w:asciiTheme="minorBidi" w:hAnsiTheme="minorBidi" w:hint="cs"/>
          <w:b/>
          <w:bCs/>
          <w:sz w:val="16"/>
          <w:szCs w:val="16"/>
          <w:rtl/>
        </w:rPr>
        <w:t>(ס"פ במה טומנין)</w:t>
      </w:r>
      <w:r>
        <w:rPr>
          <w:rFonts w:asciiTheme="minorBidi" w:hAnsiTheme="minorBidi" w:hint="cs"/>
          <w:b/>
          <w:bCs/>
          <w:rtl/>
        </w:rPr>
        <w:t xml:space="preserve"> מח</w:t>
      </w:r>
      <w:r w:rsidRPr="005275DF">
        <w:rPr>
          <w:rFonts w:asciiTheme="minorBidi" w:hAnsiTheme="minorBidi"/>
          <w:b/>
          <w:bCs/>
          <w:rtl/>
        </w:rPr>
        <w:t xml:space="preserve"> ע"</w:t>
      </w:r>
      <w:r>
        <w:rPr>
          <w:rFonts w:asciiTheme="minorBidi" w:hAnsiTheme="minorBidi" w:hint="cs"/>
          <w:b/>
          <w:bCs/>
          <w:rtl/>
        </w:rPr>
        <w:t>א</w:t>
      </w:r>
      <w:r w:rsidRPr="005275DF">
        <w:rPr>
          <w:rFonts w:asciiTheme="minorBidi" w:hAnsiTheme="minorBidi"/>
          <w:b/>
          <w:bCs/>
          <w:rtl/>
        </w:rPr>
        <w:t xml:space="preserve">: </w:t>
      </w:r>
      <w:r w:rsidRPr="00427E09">
        <w:rPr>
          <w:rFonts w:cs="Arial"/>
          <w:rtl/>
        </w:rPr>
        <w:t>רבה ורבי זירא איקלעו לבי ריש גלותא, חזיוה לההוא עבדא דאנח כוזא דמיא אפומא דקומקומא</w:t>
      </w:r>
      <w:r>
        <w:rPr>
          <w:rStyle w:val="a9"/>
          <w:rFonts w:cs="Arial"/>
          <w:rtl/>
        </w:rPr>
        <w:footnoteReference w:id="2880"/>
      </w:r>
      <w:r w:rsidRPr="00427E09">
        <w:rPr>
          <w:rFonts w:cs="Arial"/>
          <w:rtl/>
        </w:rPr>
        <w:t>, נזהיה</w:t>
      </w:r>
      <w:r>
        <w:rPr>
          <w:rStyle w:val="a9"/>
          <w:rFonts w:cs="Arial"/>
          <w:rtl/>
        </w:rPr>
        <w:footnoteReference w:id="2881"/>
      </w:r>
      <w:r w:rsidRPr="00427E09">
        <w:rPr>
          <w:rFonts w:cs="Arial"/>
          <w:rtl/>
        </w:rPr>
        <w:t xml:space="preserve"> רבה. </w:t>
      </w:r>
      <w:r w:rsidRPr="00427E09">
        <w:rPr>
          <w:rFonts w:cs="Arial"/>
          <w:u w:val="single"/>
          <w:rtl/>
        </w:rPr>
        <w:t>אמר ליה רבי זירא</w:t>
      </w:r>
      <w:r w:rsidRPr="00427E09">
        <w:rPr>
          <w:rFonts w:cs="Arial"/>
          <w:rtl/>
        </w:rPr>
        <w:t xml:space="preserve">: מאי שנא ממיחם על גבי מיחם? </w:t>
      </w:r>
      <w:r w:rsidRPr="00427E09">
        <w:rPr>
          <w:rFonts w:cs="Arial"/>
          <w:u w:val="single"/>
          <w:rtl/>
        </w:rPr>
        <w:t>אמר ליה</w:t>
      </w:r>
      <w:r w:rsidRPr="00427E09">
        <w:rPr>
          <w:rFonts w:cs="Arial"/>
          <w:rtl/>
        </w:rPr>
        <w:t>: התם - אוקומי קא מוקים</w:t>
      </w:r>
      <w:r>
        <w:rPr>
          <w:rStyle w:val="a9"/>
          <w:rFonts w:cs="Arial"/>
          <w:rtl/>
        </w:rPr>
        <w:footnoteReference w:id="2882"/>
      </w:r>
      <w:r w:rsidRPr="00427E09">
        <w:rPr>
          <w:rFonts w:cs="Arial"/>
          <w:rtl/>
        </w:rPr>
        <w:t>, הכא - אולודי קא מוליד.</w:t>
      </w:r>
      <w:r w:rsidRPr="00427E09">
        <w:rPr>
          <w:rFonts w:asciiTheme="minorBidi" w:hAnsiTheme="minorBidi" w:cs="Arial"/>
          <w:sz w:val="16"/>
          <w:szCs w:val="16"/>
          <w:rtl/>
        </w:rPr>
        <w:t xml:space="preserve"> </w:t>
      </w:r>
    </w:p>
    <w:p w14:paraId="7DE02B9B" w14:textId="42588052" w:rsidR="00B94B03" w:rsidRPr="00B94B03" w:rsidRDefault="00B94B03" w:rsidP="00434A6A">
      <w:pPr>
        <w:rPr>
          <w:rFonts w:cs="Arial"/>
          <w:u w:val="single"/>
          <w:rtl/>
        </w:rPr>
      </w:pPr>
      <w:r w:rsidRPr="00B94B03">
        <w:rPr>
          <w:rFonts w:asciiTheme="minorBidi" w:hAnsiTheme="minorBidi"/>
          <w:u w:val="single"/>
          <w:rtl/>
        </w:rPr>
        <w:t>נתינת קי</w:t>
      </w:r>
      <w:r w:rsidRPr="00B94B03">
        <w:rPr>
          <w:rFonts w:asciiTheme="minorBidi" w:hAnsiTheme="minorBidi" w:hint="cs"/>
          <w:u w:val="single"/>
          <w:rtl/>
        </w:rPr>
        <w:t>ת</w:t>
      </w:r>
      <w:r w:rsidRPr="00B94B03">
        <w:rPr>
          <w:rFonts w:asciiTheme="minorBidi" w:hAnsiTheme="minorBidi"/>
          <w:u w:val="single"/>
          <w:rtl/>
        </w:rPr>
        <w:t>ון</w:t>
      </w:r>
      <w:r w:rsidRPr="00B94B03">
        <w:rPr>
          <w:rFonts w:asciiTheme="minorBidi" w:hAnsiTheme="minorBidi" w:hint="cs"/>
          <w:u w:val="single"/>
          <w:rtl/>
        </w:rPr>
        <w:t xml:space="preserve"> צונן</w:t>
      </w:r>
      <w:r w:rsidRPr="00B94B03">
        <w:rPr>
          <w:rFonts w:asciiTheme="minorBidi" w:hAnsiTheme="minorBidi"/>
          <w:u w:val="single"/>
          <w:rtl/>
        </w:rPr>
        <w:t xml:space="preserve"> על גבי מיחם</w:t>
      </w:r>
      <w:r w:rsidRPr="00B94B03">
        <w:rPr>
          <w:rFonts w:cs="Arial" w:hint="cs"/>
          <w:u w:val="single"/>
          <w:rtl/>
        </w:rPr>
        <w:t>:</w:t>
      </w:r>
    </w:p>
    <w:p w14:paraId="707D340F" w14:textId="6783EB08" w:rsidR="00DD3262" w:rsidRPr="00DD3262" w:rsidRDefault="00DD3262" w:rsidP="00B94B03">
      <w:pPr>
        <w:pStyle w:val="aa"/>
        <w:numPr>
          <w:ilvl w:val="0"/>
          <w:numId w:val="32"/>
        </w:numPr>
        <w:rPr>
          <w:rtl/>
        </w:rPr>
      </w:pPr>
      <w:r w:rsidRPr="00B94B03">
        <w:rPr>
          <w:rFonts w:cs="Arial"/>
          <w:rtl/>
        </w:rPr>
        <w:t>תוס</w:t>
      </w:r>
      <w:r w:rsidR="00B94B03">
        <w:rPr>
          <w:rFonts w:cs="Arial" w:hint="cs"/>
          <w:rtl/>
        </w:rPr>
        <w:t>'</w:t>
      </w:r>
      <w:r w:rsidRPr="00B94B03">
        <w:rPr>
          <w:rFonts w:cs="Arial"/>
          <w:rtl/>
        </w:rPr>
        <w:t xml:space="preserve"> </w:t>
      </w:r>
      <w:r w:rsidRPr="00B94B03">
        <w:rPr>
          <w:rFonts w:cs="Arial"/>
          <w:sz w:val="16"/>
          <w:szCs w:val="16"/>
          <w:rtl/>
        </w:rPr>
        <w:t>(מח. ד"ה מאי שנא)</w:t>
      </w:r>
      <w:r w:rsidRPr="00B94B03">
        <w:rPr>
          <w:rFonts w:cs="Arial"/>
          <w:rtl/>
        </w:rPr>
        <w:t xml:space="preserve"> ור"ן </w:t>
      </w:r>
      <w:r w:rsidRPr="00B94B03">
        <w:rPr>
          <w:rFonts w:cs="Arial"/>
          <w:sz w:val="16"/>
          <w:szCs w:val="16"/>
          <w:rtl/>
        </w:rPr>
        <w:t>(כב. ד"ה ומקשו)</w:t>
      </w:r>
      <w:r w:rsidR="00B94B03">
        <w:rPr>
          <w:rFonts w:cs="Arial" w:hint="cs"/>
          <w:rtl/>
        </w:rPr>
        <w:t>-</w:t>
      </w:r>
      <w:r w:rsidRPr="00B94B03">
        <w:rPr>
          <w:rFonts w:cs="Arial"/>
          <w:rtl/>
        </w:rPr>
        <w:t xml:space="preserve"> על גבי מיחם נמי אסור ליתן צונן אפילו להפשיר כל שהמיחם חם כל כך שאילו היה מניחו שם הרבה היה בא לידי בישול</w:t>
      </w:r>
      <w:r w:rsidR="00B94B03">
        <w:rPr>
          <w:rFonts w:cs="Arial" w:hint="cs"/>
          <w:rtl/>
        </w:rPr>
        <w:t>,</w:t>
      </w:r>
      <w:r w:rsidRPr="00B94B03">
        <w:rPr>
          <w:rFonts w:cs="Arial"/>
          <w:rtl/>
        </w:rPr>
        <w:t xml:space="preserve"> דהיינו שיהיה יד סולדת בו</w:t>
      </w:r>
      <w:r w:rsidR="00B94B03">
        <w:rPr>
          <w:rFonts w:cs="Arial" w:hint="cs"/>
          <w:rtl/>
        </w:rPr>
        <w:t>,</w:t>
      </w:r>
      <w:r w:rsidRPr="00B94B03">
        <w:rPr>
          <w:rFonts w:cs="Arial"/>
          <w:rtl/>
        </w:rPr>
        <w:t xml:space="preserve"> שדין מניח ע"ג מיחם כדין מניח כנגד המדורה</w:t>
      </w:r>
      <w:r w:rsidR="00B94B03">
        <w:rPr>
          <w:rFonts w:cs="Arial" w:hint="cs"/>
          <w:rtl/>
        </w:rPr>
        <w:t>.</w:t>
      </w:r>
      <w:r w:rsidRPr="00B94B03">
        <w:rPr>
          <w:rFonts w:cs="Arial"/>
          <w:rtl/>
        </w:rPr>
        <w:t xml:space="preserve"> ואם אינו חם כל כך</w:t>
      </w:r>
      <w:r w:rsidR="00B94B03">
        <w:rPr>
          <w:rFonts w:cs="Arial" w:hint="cs"/>
          <w:rtl/>
        </w:rPr>
        <w:t>,</w:t>
      </w:r>
      <w:r w:rsidRPr="00B94B03">
        <w:rPr>
          <w:rFonts w:cs="Arial"/>
          <w:rtl/>
        </w:rPr>
        <w:t xml:space="preserve"> שרי</w:t>
      </w:r>
      <w:r w:rsidR="00B94B03">
        <w:rPr>
          <w:rFonts w:cs="Arial" w:hint="cs"/>
          <w:sz w:val="16"/>
          <w:szCs w:val="16"/>
          <w:rtl/>
        </w:rPr>
        <w:t xml:space="preserve"> (ל' הב"י בשמם)</w:t>
      </w:r>
      <w:r w:rsidR="00B94B03">
        <w:rPr>
          <w:rFonts w:cs="Arial" w:hint="cs"/>
          <w:rtl/>
        </w:rPr>
        <w:t>.</w:t>
      </w:r>
      <w:r w:rsidR="00B94B03">
        <w:rPr>
          <w:rFonts w:hint="cs"/>
          <w:rtl/>
        </w:rPr>
        <w:t xml:space="preserve"> </w:t>
      </w:r>
      <w:r w:rsidR="00B94B03" w:rsidRPr="00B94B03">
        <w:rPr>
          <w:rFonts w:hint="cs"/>
          <w:color w:val="E36C0A" w:themeColor="accent6" w:themeShade="BF"/>
          <w:rtl/>
        </w:rPr>
        <w:t>(וכ"פ בשו"ע)</w:t>
      </w:r>
    </w:p>
    <w:p w14:paraId="6489E353"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8E2C4D1" w14:textId="2FE5221D" w:rsidR="006A4BF8" w:rsidRPr="005275DF" w:rsidRDefault="006A4BF8" w:rsidP="00434A6A">
      <w:pPr>
        <w:tabs>
          <w:tab w:val="left" w:pos="2788"/>
        </w:tabs>
        <w:rPr>
          <w:rFonts w:asciiTheme="minorBidi" w:hAnsiTheme="minorBidi"/>
          <w:sz w:val="18"/>
          <w:szCs w:val="18"/>
          <w:rtl/>
        </w:rPr>
      </w:pPr>
      <w:r w:rsidRPr="005275DF">
        <w:rPr>
          <w:rFonts w:asciiTheme="minorBidi" w:hAnsiTheme="minorBidi"/>
          <w:rtl/>
        </w:rPr>
        <w:t>אסור ליתן צונן</w:t>
      </w:r>
      <w:r w:rsidRPr="005275DF">
        <w:rPr>
          <w:rFonts w:asciiTheme="minorBidi" w:hAnsiTheme="minorBidi"/>
          <w:sz w:val="18"/>
          <w:szCs w:val="18"/>
          <w:rtl/>
        </w:rPr>
        <w:t xml:space="preserve"> הגה: על המיחם</w:t>
      </w:r>
      <w:r w:rsidRPr="005275DF">
        <w:rPr>
          <w:rFonts w:asciiTheme="minorBidi" w:hAnsiTheme="minorBidi"/>
          <w:rtl/>
        </w:rPr>
        <w:t>, אפילו להפשיר כל שהמיחם חם כל כך שאילו היה מניחו שם הרבה היה בא לידי בישול</w:t>
      </w:r>
      <w:r w:rsidR="00D30E2F">
        <w:rPr>
          <w:rFonts w:asciiTheme="minorBidi" w:hAnsiTheme="minorBidi" w:hint="cs"/>
          <w:rtl/>
        </w:rPr>
        <w:t>,</w:t>
      </w:r>
      <w:r w:rsidRPr="005275DF">
        <w:rPr>
          <w:rFonts w:asciiTheme="minorBidi" w:hAnsiTheme="minorBidi"/>
          <w:rtl/>
        </w:rPr>
        <w:t xml:space="preserve"> דהיינו שיהיה יד סולדת בו</w:t>
      </w:r>
      <w:r w:rsidR="00D30E2F">
        <w:rPr>
          <w:rFonts w:asciiTheme="minorBidi" w:hAnsiTheme="minorBidi" w:hint="cs"/>
          <w:rtl/>
        </w:rPr>
        <w:t>,</w:t>
      </w:r>
      <w:r w:rsidRPr="005275DF">
        <w:rPr>
          <w:rFonts w:asciiTheme="minorBidi" w:hAnsiTheme="minorBidi"/>
          <w:rtl/>
        </w:rPr>
        <w:t xml:space="preserve"> שדין מניח על גבי מיחם כדין מניח כנגד המדורה</w:t>
      </w:r>
      <w:r w:rsidR="00D30E2F">
        <w:rPr>
          <w:rFonts w:asciiTheme="minorBidi" w:hAnsiTheme="minorBidi" w:hint="cs"/>
          <w:rtl/>
        </w:rPr>
        <w:t>.</w:t>
      </w:r>
      <w:r w:rsidRPr="005275DF">
        <w:rPr>
          <w:rFonts w:asciiTheme="minorBidi" w:hAnsiTheme="minorBidi"/>
          <w:rtl/>
        </w:rPr>
        <w:t xml:space="preserve"> ואם אינו חם כל כך</w:t>
      </w:r>
      <w:r w:rsidR="00D30E2F">
        <w:rPr>
          <w:rFonts w:asciiTheme="minorBidi" w:hAnsiTheme="minorBidi" w:hint="cs"/>
          <w:rtl/>
        </w:rPr>
        <w:t>,</w:t>
      </w:r>
      <w:r w:rsidRPr="005275DF">
        <w:rPr>
          <w:rFonts w:asciiTheme="minorBidi" w:hAnsiTheme="minorBidi"/>
          <w:rtl/>
        </w:rPr>
        <w:t xml:space="preserve"> מותר. </w:t>
      </w:r>
    </w:p>
    <w:p w14:paraId="4EA53B59" w14:textId="77777777" w:rsidR="006A4BF8" w:rsidRPr="005275DF" w:rsidRDefault="006A4BF8" w:rsidP="00434A6A">
      <w:pPr>
        <w:tabs>
          <w:tab w:val="left" w:pos="2788"/>
        </w:tabs>
        <w:rPr>
          <w:rFonts w:asciiTheme="minorBidi" w:hAnsiTheme="minorBidi"/>
          <w:rtl/>
        </w:rPr>
      </w:pPr>
    </w:p>
    <w:p w14:paraId="33E2B2BA" w14:textId="5C7A7A03" w:rsidR="006A4BF8" w:rsidRDefault="006A4BF8" w:rsidP="00434A6A">
      <w:pPr>
        <w:pStyle w:val="2"/>
        <w:rPr>
          <w:rFonts w:asciiTheme="minorBidi" w:hAnsiTheme="minorBidi" w:cstheme="minorBidi"/>
          <w:rtl/>
        </w:rPr>
      </w:pPr>
      <w:r w:rsidRPr="005275DF">
        <w:rPr>
          <w:rFonts w:asciiTheme="minorBidi" w:hAnsiTheme="minorBidi" w:cstheme="minorBidi"/>
          <w:rtl/>
        </w:rPr>
        <w:t>סעיף יח: מגיס.</w:t>
      </w:r>
    </w:p>
    <w:p w14:paraId="4A8A4C3B" w14:textId="1FA4AA99" w:rsidR="000C654C" w:rsidRDefault="000C654C" w:rsidP="000C654C">
      <w:pPr>
        <w:rPr>
          <w:rFonts w:asciiTheme="minorBidi" w:hAnsiTheme="minorBidi"/>
          <w:rtl/>
        </w:rPr>
      </w:pPr>
      <w:r w:rsidRPr="005275DF">
        <w:rPr>
          <w:rFonts w:asciiTheme="minorBidi" w:hAnsiTheme="minorBidi"/>
          <w:b/>
          <w:bCs/>
          <w:rtl/>
        </w:rPr>
        <w:t xml:space="preserve">שבת </w:t>
      </w:r>
      <w:r>
        <w:rPr>
          <w:rFonts w:asciiTheme="minorBidi" w:hAnsiTheme="minorBidi" w:hint="cs"/>
          <w:b/>
          <w:bCs/>
          <w:sz w:val="16"/>
          <w:szCs w:val="16"/>
          <w:rtl/>
        </w:rPr>
        <w:t xml:space="preserve">(פ"ק) </w:t>
      </w:r>
      <w:r>
        <w:rPr>
          <w:rFonts w:asciiTheme="minorBidi" w:hAnsiTheme="minorBidi" w:hint="cs"/>
          <w:b/>
          <w:bCs/>
          <w:rtl/>
        </w:rPr>
        <w:t>יח</w:t>
      </w:r>
      <w:r w:rsidRPr="005275DF">
        <w:rPr>
          <w:rFonts w:asciiTheme="minorBidi" w:hAnsiTheme="minorBidi"/>
          <w:b/>
          <w:bCs/>
          <w:rtl/>
        </w:rPr>
        <w:t xml:space="preserve"> ע"</w:t>
      </w:r>
      <w:r>
        <w:rPr>
          <w:rFonts w:asciiTheme="minorBidi" w:hAnsiTheme="minorBidi" w:hint="cs"/>
          <w:b/>
          <w:bCs/>
          <w:rtl/>
        </w:rPr>
        <w:t>ב</w:t>
      </w:r>
      <w:r w:rsidRPr="005275DF">
        <w:rPr>
          <w:rFonts w:asciiTheme="minorBidi" w:hAnsiTheme="minorBidi"/>
          <w:b/>
          <w:bCs/>
          <w:rtl/>
        </w:rPr>
        <w:t>:</w:t>
      </w:r>
      <w:r>
        <w:rPr>
          <w:rFonts w:asciiTheme="minorBidi" w:hAnsiTheme="minorBidi" w:cs="Arial" w:hint="cs"/>
          <w:rtl/>
        </w:rPr>
        <w:t xml:space="preserve"> </w:t>
      </w:r>
      <w:r w:rsidRPr="00E136AC">
        <w:rPr>
          <w:rFonts w:asciiTheme="minorBidi" w:hAnsiTheme="minorBidi" w:cs="Arial"/>
          <w:rtl/>
        </w:rPr>
        <w:t>מאן תנא להא דתנו רבנן: לא תמלא אשה קדרה עססיות ותורמסין</w:t>
      </w:r>
      <w:r>
        <w:rPr>
          <w:rStyle w:val="a9"/>
          <w:rFonts w:asciiTheme="minorBidi" w:hAnsiTheme="minorBidi" w:cs="Arial"/>
          <w:rtl/>
        </w:rPr>
        <w:footnoteReference w:id="2883"/>
      </w:r>
      <w:r w:rsidRPr="00E136AC">
        <w:rPr>
          <w:rFonts w:asciiTheme="minorBidi" w:hAnsiTheme="minorBidi" w:cs="Arial"/>
          <w:rtl/>
        </w:rPr>
        <w:t xml:space="preserve"> ותניח לתוך התנור ערב שבת עם חשכה.</w:t>
      </w:r>
      <w:r>
        <w:rPr>
          <w:rFonts w:asciiTheme="minorBidi" w:hAnsiTheme="minorBidi" w:cs="Arial" w:hint="cs"/>
          <w:rtl/>
        </w:rPr>
        <w:t>.</w:t>
      </w:r>
      <w:r w:rsidRPr="00E136AC">
        <w:rPr>
          <w:rFonts w:asciiTheme="minorBidi" w:hAnsiTheme="minorBidi" w:cs="Arial"/>
          <w:rtl/>
        </w:rPr>
        <w:t>. לימא בית שמאי היא ולא בית הלל! אפילו תימא בית הלל, גזירה שמא יחתה בגחלים</w:t>
      </w:r>
      <w:r>
        <w:rPr>
          <w:rStyle w:val="a9"/>
          <w:rFonts w:asciiTheme="minorBidi" w:hAnsiTheme="minorBidi" w:cs="Arial"/>
          <w:rtl/>
        </w:rPr>
        <w:footnoteReference w:id="2884"/>
      </w:r>
      <w:r w:rsidRPr="00E136AC">
        <w:rPr>
          <w:rFonts w:asciiTheme="minorBidi" w:hAnsiTheme="minorBidi" w:cs="Arial"/>
          <w:rtl/>
        </w:rPr>
        <w:t>. אי הכי</w:t>
      </w:r>
      <w:r>
        <w:rPr>
          <w:rFonts w:asciiTheme="minorBidi" w:hAnsiTheme="minorBidi" w:cs="Arial" w:hint="cs"/>
          <w:rtl/>
        </w:rPr>
        <w:t>...</w:t>
      </w:r>
      <w:r w:rsidRPr="00E136AC">
        <w:rPr>
          <w:rFonts w:asciiTheme="minorBidi" w:hAnsiTheme="minorBidi" w:cs="Arial"/>
          <w:rtl/>
        </w:rPr>
        <w:t xml:space="preserve"> צמר ליורה לגזור</w:t>
      </w:r>
      <w:r>
        <w:rPr>
          <w:rStyle w:val="a9"/>
          <w:rFonts w:asciiTheme="minorBidi" w:hAnsiTheme="minorBidi" w:cs="Arial"/>
          <w:rtl/>
        </w:rPr>
        <w:footnoteReference w:id="2885"/>
      </w:r>
      <w:r w:rsidRPr="00E136AC">
        <w:rPr>
          <w:rFonts w:asciiTheme="minorBidi" w:hAnsiTheme="minorBidi" w:cs="Arial"/>
          <w:rtl/>
        </w:rPr>
        <w:t xml:space="preserve">! </w:t>
      </w:r>
      <w:r w:rsidRPr="00E136AC">
        <w:rPr>
          <w:rFonts w:asciiTheme="minorBidi" w:hAnsiTheme="minorBidi" w:cs="Arial"/>
          <w:u w:val="single"/>
          <w:rtl/>
        </w:rPr>
        <w:t>אמר שמואל</w:t>
      </w:r>
      <w:r w:rsidRPr="00E136AC">
        <w:rPr>
          <w:rFonts w:asciiTheme="minorBidi" w:hAnsiTheme="minorBidi" w:cs="Arial"/>
          <w:rtl/>
        </w:rPr>
        <w:t>: ביורה עקורה</w:t>
      </w:r>
      <w:r>
        <w:rPr>
          <w:rStyle w:val="a9"/>
          <w:rFonts w:asciiTheme="minorBidi" w:hAnsiTheme="minorBidi" w:cs="Arial"/>
          <w:rtl/>
        </w:rPr>
        <w:footnoteReference w:id="2886"/>
      </w:r>
      <w:r w:rsidRPr="00E136AC">
        <w:rPr>
          <w:rFonts w:asciiTheme="minorBidi" w:hAnsiTheme="minorBidi" w:cs="Arial"/>
          <w:rtl/>
        </w:rPr>
        <w:t>. וניחוש שמא מגיס</w:t>
      </w:r>
      <w:r>
        <w:rPr>
          <w:rStyle w:val="a9"/>
          <w:rFonts w:asciiTheme="minorBidi" w:hAnsiTheme="minorBidi" w:cs="Arial"/>
          <w:rtl/>
        </w:rPr>
        <w:footnoteReference w:id="2887"/>
      </w:r>
      <w:r w:rsidRPr="00E136AC">
        <w:rPr>
          <w:rFonts w:asciiTheme="minorBidi" w:hAnsiTheme="minorBidi" w:cs="Arial"/>
          <w:rtl/>
        </w:rPr>
        <w:t xml:space="preserve"> בה! בעקורה וטוחה</w:t>
      </w:r>
      <w:r>
        <w:rPr>
          <w:rStyle w:val="a9"/>
          <w:rFonts w:asciiTheme="minorBidi" w:hAnsiTheme="minorBidi" w:cs="Arial"/>
          <w:rtl/>
        </w:rPr>
        <w:footnoteReference w:id="2888"/>
      </w:r>
      <w:r w:rsidRPr="00E136AC">
        <w:rPr>
          <w:rFonts w:asciiTheme="minorBidi" w:hAnsiTheme="minorBidi" w:cs="Arial"/>
          <w:rtl/>
        </w:rPr>
        <w:t>.</w:t>
      </w:r>
    </w:p>
    <w:p w14:paraId="2AFD3C91" w14:textId="3371EA81" w:rsidR="00B94B03" w:rsidRPr="00696C30" w:rsidRDefault="00B94B03" w:rsidP="000C654C">
      <w:pPr>
        <w:rPr>
          <w:rFonts w:asciiTheme="minorBidi" w:hAnsiTheme="minorBidi" w:cs="Arial"/>
          <w:sz w:val="16"/>
          <w:szCs w:val="16"/>
          <w:rtl/>
        </w:rPr>
      </w:pPr>
      <w:r w:rsidRPr="00F41D9A">
        <w:rPr>
          <w:rFonts w:asciiTheme="minorBidi" w:hAnsiTheme="minorBidi" w:cs="Arial" w:hint="cs"/>
          <w:b/>
          <w:bCs/>
          <w:rtl/>
        </w:rPr>
        <w:t xml:space="preserve">ביצה </w:t>
      </w:r>
      <w:r w:rsidRPr="00F41D9A">
        <w:rPr>
          <w:rFonts w:asciiTheme="minorBidi" w:hAnsiTheme="minorBidi" w:cs="Arial" w:hint="cs"/>
          <w:b/>
          <w:bCs/>
          <w:sz w:val="16"/>
          <w:szCs w:val="16"/>
          <w:rtl/>
        </w:rPr>
        <w:t>(פ' המביא כדי יין)</w:t>
      </w:r>
      <w:r w:rsidRPr="00F41D9A">
        <w:rPr>
          <w:rFonts w:asciiTheme="minorBidi" w:hAnsiTheme="minorBidi" w:cs="Arial" w:hint="cs"/>
          <w:b/>
          <w:bCs/>
          <w:rtl/>
        </w:rPr>
        <w:t xml:space="preserve"> לד ע"א:</w:t>
      </w:r>
      <w:r>
        <w:rPr>
          <w:rFonts w:asciiTheme="minorBidi" w:hAnsiTheme="minorBidi" w:cs="Arial" w:hint="cs"/>
          <w:rtl/>
        </w:rPr>
        <w:t xml:space="preserve"> </w:t>
      </w:r>
      <w:r w:rsidRPr="00F41D9A">
        <w:rPr>
          <w:rFonts w:asciiTheme="minorBidi" w:hAnsiTheme="minorBidi" w:cs="Arial"/>
          <w:rtl/>
        </w:rPr>
        <w:t>תניא, אחד מביא את האור, ואחד מביא את העצים, ואחד שופת את הקדרה, ואחד מביא את המים, ואחד נותן בתוכו תבלין, ואחד מגיס - כולן חייבין.</w:t>
      </w:r>
      <w:r w:rsidR="00696C30">
        <w:rPr>
          <w:rFonts w:asciiTheme="minorBidi" w:hAnsiTheme="minorBidi" w:cs="Arial" w:hint="cs"/>
          <w:sz w:val="16"/>
          <w:szCs w:val="16"/>
          <w:rtl/>
        </w:rPr>
        <w:t xml:space="preserve"> (</w:t>
      </w:r>
      <w:r w:rsidR="00696C30" w:rsidRPr="00696C30">
        <w:rPr>
          <w:rFonts w:asciiTheme="minorBidi" w:hAnsiTheme="minorBidi" w:cs="Arial"/>
          <w:sz w:val="16"/>
          <w:szCs w:val="16"/>
          <w:rtl/>
        </w:rPr>
        <w:t>כלומר דמגיס חייב משום מבשל</w:t>
      </w:r>
      <w:r w:rsidR="00696C30">
        <w:rPr>
          <w:rFonts w:asciiTheme="minorBidi" w:hAnsiTheme="minorBidi" w:cs="Arial" w:hint="cs"/>
          <w:sz w:val="16"/>
          <w:szCs w:val="16"/>
          <w:rtl/>
        </w:rPr>
        <w:t xml:space="preserve">, </w:t>
      </w:r>
      <w:r w:rsidR="00696C30" w:rsidRPr="000C654C">
        <w:rPr>
          <w:rFonts w:asciiTheme="minorBidi" w:hAnsiTheme="minorBidi" w:cs="Arial" w:hint="cs"/>
          <w:b/>
          <w:bCs/>
          <w:sz w:val="16"/>
          <w:szCs w:val="16"/>
          <w:rtl/>
        </w:rPr>
        <w:t>ר"ן</w:t>
      </w:r>
      <w:r w:rsidR="00696C30">
        <w:rPr>
          <w:rFonts w:asciiTheme="minorBidi" w:hAnsiTheme="minorBidi" w:cs="Arial" w:hint="cs"/>
          <w:sz w:val="16"/>
          <w:szCs w:val="16"/>
          <w:rtl/>
        </w:rPr>
        <w:t xml:space="preserve"> (ו: מדפה"ר)</w:t>
      </w:r>
      <w:r w:rsidR="000C654C">
        <w:rPr>
          <w:rFonts w:asciiTheme="minorBidi" w:hAnsiTheme="minorBidi" w:cs="Arial" w:hint="cs"/>
          <w:sz w:val="16"/>
          <w:szCs w:val="16"/>
          <w:rtl/>
        </w:rPr>
        <w:t xml:space="preserve">.   </w:t>
      </w:r>
      <w:r w:rsidR="000C654C" w:rsidRPr="000C654C">
        <w:rPr>
          <w:rFonts w:asciiTheme="minorBidi" w:hAnsiTheme="minorBidi" w:cs="Arial"/>
          <w:sz w:val="16"/>
          <w:szCs w:val="16"/>
          <w:rtl/>
        </w:rPr>
        <w:t>ואיכא למידחי דעד שלא נתבשל כמאכל בן דרוסאי כל המקרב בישולו חייב</w:t>
      </w:r>
      <w:r w:rsidR="000C654C">
        <w:rPr>
          <w:rFonts w:asciiTheme="minorBidi" w:hAnsiTheme="minorBidi" w:cs="Arial" w:hint="cs"/>
          <w:sz w:val="16"/>
          <w:szCs w:val="16"/>
          <w:rtl/>
        </w:rPr>
        <w:t>...</w:t>
      </w:r>
      <w:r w:rsidR="000C654C" w:rsidRPr="000C654C">
        <w:rPr>
          <w:rFonts w:asciiTheme="minorBidi" w:hAnsiTheme="minorBidi" w:cs="Arial"/>
          <w:sz w:val="16"/>
          <w:szCs w:val="16"/>
          <w:rtl/>
        </w:rPr>
        <w:t xml:space="preserve"> והא דפריך בפ</w:t>
      </w:r>
      <w:r w:rsidR="000C654C">
        <w:rPr>
          <w:rFonts w:asciiTheme="minorBidi" w:hAnsiTheme="minorBidi" w:cs="Arial" w:hint="cs"/>
          <w:sz w:val="16"/>
          <w:szCs w:val="16"/>
          <w:rtl/>
        </w:rPr>
        <w:t>"</w:t>
      </w:r>
      <w:r w:rsidR="000C654C" w:rsidRPr="000C654C">
        <w:rPr>
          <w:rFonts w:asciiTheme="minorBidi" w:hAnsiTheme="minorBidi" w:cs="Arial"/>
          <w:sz w:val="16"/>
          <w:szCs w:val="16"/>
          <w:rtl/>
        </w:rPr>
        <w:t>ק</w:t>
      </w:r>
      <w:r w:rsidR="000C654C">
        <w:rPr>
          <w:rFonts w:asciiTheme="minorBidi" w:hAnsiTheme="minorBidi" w:cs="Arial" w:hint="cs"/>
          <w:sz w:val="16"/>
          <w:szCs w:val="16"/>
          <w:rtl/>
        </w:rPr>
        <w:t xml:space="preserve"> (שבת יח:) </w:t>
      </w:r>
      <w:r w:rsidR="000C654C" w:rsidRPr="000C654C">
        <w:rPr>
          <w:rFonts w:asciiTheme="minorBidi" w:hAnsiTheme="minorBidi" w:cs="Arial"/>
          <w:sz w:val="16"/>
          <w:szCs w:val="16"/>
          <w:rtl/>
        </w:rPr>
        <w:t>והלא מגיס אפילו ביורה רותחת</w:t>
      </w:r>
      <w:r w:rsidR="000C654C">
        <w:rPr>
          <w:rFonts w:asciiTheme="minorBidi" w:hAnsiTheme="minorBidi" w:cs="Arial" w:hint="cs"/>
          <w:sz w:val="16"/>
          <w:szCs w:val="16"/>
          <w:rtl/>
        </w:rPr>
        <w:t>,</w:t>
      </w:r>
      <w:r w:rsidR="000C654C" w:rsidRPr="000C654C">
        <w:rPr>
          <w:rFonts w:asciiTheme="minorBidi" w:hAnsiTheme="minorBidi" w:cs="Arial"/>
          <w:sz w:val="16"/>
          <w:szCs w:val="16"/>
          <w:rtl/>
        </w:rPr>
        <w:t xml:space="preserve"> איכא למימר סמנין לצבוע בהן צריך בישול לעולם</w:t>
      </w:r>
      <w:r w:rsidR="000C654C">
        <w:rPr>
          <w:rFonts w:asciiTheme="minorBidi" w:hAnsiTheme="minorBidi" w:cs="Arial" w:hint="cs"/>
          <w:sz w:val="16"/>
          <w:szCs w:val="16"/>
          <w:rtl/>
        </w:rPr>
        <w:t>.</w:t>
      </w:r>
      <w:r w:rsidR="000C654C" w:rsidRPr="000C654C">
        <w:rPr>
          <w:rFonts w:asciiTheme="minorBidi" w:hAnsiTheme="minorBidi" w:cs="Arial"/>
          <w:sz w:val="16"/>
          <w:szCs w:val="16"/>
          <w:rtl/>
        </w:rPr>
        <w:t xml:space="preserve"> אי נמי לאו משום בישול פריך אלא משום צובע</w:t>
      </w:r>
      <w:r w:rsidR="000C654C">
        <w:rPr>
          <w:rFonts w:asciiTheme="minorBidi" w:hAnsiTheme="minorBidi" w:cs="Arial" w:hint="cs"/>
          <w:sz w:val="16"/>
          <w:szCs w:val="16"/>
          <w:rtl/>
        </w:rPr>
        <w:t>,</w:t>
      </w:r>
      <w:r w:rsidR="000C654C" w:rsidRPr="000C654C">
        <w:rPr>
          <w:rFonts w:asciiTheme="minorBidi" w:hAnsiTheme="minorBidi" w:cs="Arial"/>
          <w:sz w:val="16"/>
          <w:szCs w:val="16"/>
          <w:rtl/>
        </w:rPr>
        <w:t xml:space="preserve"> כשהוא מגיס מכניס הסממנין בצמר</w:t>
      </w:r>
      <w:r w:rsidR="000C654C">
        <w:rPr>
          <w:rFonts w:asciiTheme="minorBidi" w:hAnsiTheme="minorBidi" w:cs="Arial" w:hint="cs"/>
          <w:sz w:val="16"/>
          <w:szCs w:val="16"/>
          <w:rtl/>
        </w:rPr>
        <w:t xml:space="preserve">, </w:t>
      </w:r>
      <w:r w:rsidR="000C654C" w:rsidRPr="000C654C">
        <w:rPr>
          <w:rFonts w:asciiTheme="minorBidi" w:hAnsiTheme="minorBidi" w:cs="Arial" w:hint="cs"/>
          <w:b/>
          <w:bCs/>
          <w:sz w:val="16"/>
          <w:szCs w:val="16"/>
          <w:rtl/>
        </w:rPr>
        <w:t>רא"ש</w:t>
      </w:r>
      <w:r w:rsidR="000C654C" w:rsidRPr="000C654C">
        <w:rPr>
          <w:rFonts w:asciiTheme="minorBidi" w:hAnsiTheme="minorBidi" w:cs="Arial" w:hint="cs"/>
          <w:sz w:val="16"/>
          <w:szCs w:val="16"/>
          <w:rtl/>
        </w:rPr>
        <w:t xml:space="preserve"> (</w:t>
      </w:r>
      <w:r w:rsidR="000C654C">
        <w:rPr>
          <w:rFonts w:asciiTheme="minorBidi" w:hAnsiTheme="minorBidi" w:cs="Arial" w:hint="cs"/>
          <w:sz w:val="16"/>
          <w:szCs w:val="16"/>
          <w:rtl/>
        </w:rPr>
        <w:t xml:space="preserve">שבת </w:t>
      </w:r>
      <w:r w:rsidR="000C654C" w:rsidRPr="000C654C">
        <w:rPr>
          <w:rFonts w:asciiTheme="minorBidi" w:hAnsiTheme="minorBidi" w:cs="Arial" w:hint="cs"/>
          <w:sz w:val="16"/>
          <w:szCs w:val="16"/>
          <w:rtl/>
        </w:rPr>
        <w:t>פ"ג ס"י-יא)</w:t>
      </w:r>
      <w:r w:rsidR="00696C30">
        <w:rPr>
          <w:rFonts w:asciiTheme="minorBidi" w:hAnsiTheme="minorBidi" w:cs="Arial" w:hint="cs"/>
          <w:sz w:val="16"/>
          <w:szCs w:val="16"/>
          <w:rtl/>
        </w:rPr>
        <w:t>)</w:t>
      </w:r>
    </w:p>
    <w:p w14:paraId="12A8DB0D" w14:textId="503F7849" w:rsidR="00B94B03" w:rsidRPr="00434EE4" w:rsidRDefault="00AF6862" w:rsidP="00B94B03">
      <w:pPr>
        <w:rPr>
          <w:rFonts w:asciiTheme="minorBidi" w:hAnsiTheme="minorBidi"/>
          <w:u w:val="single"/>
          <w:rtl/>
        </w:rPr>
      </w:pPr>
      <w:r>
        <w:rPr>
          <w:rFonts w:asciiTheme="minorBidi" w:hAnsiTheme="minorBidi" w:hint="cs"/>
          <w:u w:val="single"/>
          <w:rtl/>
        </w:rPr>
        <w:t>מגיס</w:t>
      </w:r>
      <w:r w:rsidR="00C51042">
        <w:rPr>
          <w:rFonts w:asciiTheme="minorBidi" w:hAnsiTheme="minorBidi" w:hint="cs"/>
          <w:u w:val="single"/>
          <w:rtl/>
        </w:rPr>
        <w:t xml:space="preserve"> בסיר ע"ג האש</w:t>
      </w:r>
      <w:r w:rsidR="00B94B03" w:rsidRPr="00434EE4">
        <w:rPr>
          <w:rFonts w:asciiTheme="minorBidi" w:hAnsiTheme="minorBidi" w:hint="cs"/>
          <w:u w:val="single"/>
          <w:rtl/>
        </w:rPr>
        <w:t>:</w:t>
      </w:r>
    </w:p>
    <w:p w14:paraId="72E83BB7" w14:textId="157786D5" w:rsidR="00B94B03" w:rsidRPr="00050440" w:rsidRDefault="00B94B03" w:rsidP="00AF6862">
      <w:pPr>
        <w:pStyle w:val="aa"/>
        <w:numPr>
          <w:ilvl w:val="0"/>
          <w:numId w:val="32"/>
        </w:numPr>
        <w:rPr>
          <w:rFonts w:asciiTheme="minorBidi" w:hAnsiTheme="minorBidi"/>
        </w:rPr>
      </w:pPr>
      <w:r>
        <w:rPr>
          <w:rFonts w:asciiTheme="minorBidi" w:hAnsiTheme="minorBidi" w:cs="Arial" w:hint="cs"/>
          <w:rtl/>
        </w:rPr>
        <w:t xml:space="preserve">רא"ש </w:t>
      </w:r>
      <w:r>
        <w:rPr>
          <w:rFonts w:asciiTheme="minorBidi" w:hAnsiTheme="minorBidi" w:cs="Arial" w:hint="cs"/>
          <w:sz w:val="16"/>
          <w:szCs w:val="16"/>
          <w:rtl/>
        </w:rPr>
        <w:t>(פ"ג ס"י-יא)</w:t>
      </w:r>
      <w:r w:rsidR="00AF6862">
        <w:rPr>
          <w:rFonts w:asciiTheme="minorBidi" w:hAnsiTheme="minorBidi" w:cs="Arial" w:hint="cs"/>
          <w:rtl/>
        </w:rPr>
        <w:t>-</w:t>
      </w:r>
      <w:r w:rsidR="00696C30" w:rsidRPr="00696C30">
        <w:rPr>
          <w:rFonts w:asciiTheme="minorBidi" w:hAnsiTheme="minorBidi" w:cs="Arial"/>
          <w:rtl/>
        </w:rPr>
        <w:t xml:space="preserve"> </w:t>
      </w:r>
      <w:r w:rsidR="00696C30" w:rsidRPr="00203C12">
        <w:rPr>
          <w:rFonts w:asciiTheme="minorBidi" w:hAnsiTheme="minorBidi" w:cs="Arial"/>
          <w:rtl/>
        </w:rPr>
        <w:t>עד שלא הגיע למאכל בן דרוסאי כל המקרב בישולו</w:t>
      </w:r>
      <w:r w:rsidR="00696C30" w:rsidRPr="00203C12">
        <w:rPr>
          <w:rFonts w:asciiTheme="minorBidi" w:hAnsiTheme="minorBidi" w:cs="Arial" w:hint="cs"/>
          <w:rtl/>
        </w:rPr>
        <w:t xml:space="preserve"> </w:t>
      </w:r>
      <w:r w:rsidR="00406DF3">
        <w:rPr>
          <w:rFonts w:asciiTheme="minorBidi" w:hAnsiTheme="minorBidi" w:cs="Arial" w:hint="cs"/>
          <w:sz w:val="16"/>
          <w:szCs w:val="16"/>
          <w:rtl/>
        </w:rPr>
        <w:t xml:space="preserve">{כגון ע"י הגסה} </w:t>
      </w:r>
      <w:r w:rsidR="00696C30" w:rsidRPr="00203C12">
        <w:rPr>
          <w:rFonts w:asciiTheme="minorBidi" w:hAnsiTheme="minorBidi" w:cs="Arial" w:hint="cs"/>
          <w:rtl/>
        </w:rPr>
        <w:t>-</w:t>
      </w:r>
      <w:r w:rsidR="00696C30" w:rsidRPr="00203C12">
        <w:rPr>
          <w:rFonts w:asciiTheme="minorBidi" w:hAnsiTheme="minorBidi" w:cs="Arial"/>
          <w:rtl/>
        </w:rPr>
        <w:t xml:space="preserve"> חייב</w:t>
      </w:r>
      <w:r w:rsidR="00696C30">
        <w:rPr>
          <w:rFonts w:hint="cs"/>
          <w:rtl/>
        </w:rPr>
        <w:t>.</w:t>
      </w:r>
    </w:p>
    <w:p w14:paraId="0D42C66D" w14:textId="69BBC20A" w:rsidR="004068AD" w:rsidRPr="004068AD" w:rsidRDefault="004068AD" w:rsidP="004068AD">
      <w:pPr>
        <w:pStyle w:val="aa"/>
        <w:numPr>
          <w:ilvl w:val="0"/>
          <w:numId w:val="32"/>
        </w:numPr>
        <w:rPr>
          <w:rFonts w:asciiTheme="minorBidi" w:hAnsiTheme="minorBidi"/>
        </w:rPr>
      </w:pPr>
      <w:r w:rsidRPr="00AF6862">
        <w:rPr>
          <w:rFonts w:cs="Arial"/>
          <w:rtl/>
        </w:rPr>
        <w:t>רמב"ן</w:t>
      </w:r>
      <w:r>
        <w:rPr>
          <w:rStyle w:val="a9"/>
          <w:rFonts w:cs="Arial"/>
          <w:rtl/>
        </w:rPr>
        <w:footnoteReference w:id="2889"/>
      </w:r>
      <w:r w:rsidRPr="00AF6862">
        <w:rPr>
          <w:rFonts w:cs="Arial"/>
          <w:rtl/>
        </w:rPr>
        <w:t xml:space="preserve"> </w:t>
      </w:r>
      <w:r w:rsidRPr="00696C30">
        <w:rPr>
          <w:rFonts w:cs="Arial"/>
          <w:sz w:val="16"/>
          <w:szCs w:val="16"/>
          <w:rtl/>
        </w:rPr>
        <w:t xml:space="preserve">(יח: ד"ה והלא מגיס) </w:t>
      </w:r>
      <w:r w:rsidRPr="00AF6862">
        <w:rPr>
          <w:rFonts w:cs="Arial"/>
          <w:rtl/>
        </w:rPr>
        <w:t>ורשב"א</w:t>
      </w:r>
      <w:r>
        <w:rPr>
          <w:rStyle w:val="a9"/>
          <w:rFonts w:cs="Arial"/>
          <w:rtl/>
        </w:rPr>
        <w:footnoteReference w:id="2890"/>
      </w:r>
      <w:r w:rsidRPr="00AF6862">
        <w:rPr>
          <w:rFonts w:cs="Arial"/>
          <w:rtl/>
        </w:rPr>
        <w:t xml:space="preserve"> </w:t>
      </w:r>
      <w:r w:rsidRPr="004068AD">
        <w:rPr>
          <w:rFonts w:cs="Arial"/>
          <w:sz w:val="16"/>
          <w:szCs w:val="16"/>
          <w:rtl/>
        </w:rPr>
        <w:t>(שם ד"ה צמר ליורה)</w:t>
      </w:r>
      <w:r>
        <w:rPr>
          <w:rFonts w:cs="Arial" w:hint="cs"/>
          <w:rtl/>
        </w:rPr>
        <w:t xml:space="preserve">- </w:t>
      </w:r>
      <w:r w:rsidR="00BE24B0" w:rsidRPr="00696C30">
        <w:rPr>
          <w:rFonts w:asciiTheme="minorBidi" w:hAnsiTheme="minorBidi" w:cs="Arial"/>
          <w:rtl/>
        </w:rPr>
        <w:t>לא מיחייב אלא בהגסה ראשונה</w:t>
      </w:r>
      <w:r w:rsidR="00EB13E7">
        <w:rPr>
          <w:rFonts w:asciiTheme="minorBidi" w:hAnsiTheme="minorBidi" w:cs="Arial" w:hint="cs"/>
          <w:rtl/>
        </w:rPr>
        <w:t>,</w:t>
      </w:r>
      <w:r w:rsidR="00BE24B0" w:rsidRPr="00696C30">
        <w:rPr>
          <w:rFonts w:asciiTheme="minorBidi" w:hAnsiTheme="minorBidi" w:cs="Arial"/>
          <w:rtl/>
        </w:rPr>
        <w:t xml:space="preserve"> שאינו מתבשל מהרה אלא בהגסה זו</w:t>
      </w:r>
      <w:r w:rsidR="00EB13E7">
        <w:rPr>
          <w:rFonts w:asciiTheme="minorBidi" w:hAnsiTheme="minorBidi" w:cs="Arial" w:hint="cs"/>
          <w:rtl/>
        </w:rPr>
        <w:t>,</w:t>
      </w:r>
      <w:r w:rsidR="00BE24B0" w:rsidRPr="00696C30">
        <w:rPr>
          <w:rFonts w:asciiTheme="minorBidi" w:hAnsiTheme="minorBidi" w:cs="Arial"/>
          <w:rtl/>
        </w:rPr>
        <w:t xml:space="preserve"> שנמצא אף הוא מבשל</w:t>
      </w:r>
      <w:r w:rsidR="00BE24B0">
        <w:rPr>
          <w:rFonts w:asciiTheme="minorBidi" w:hAnsiTheme="minorBidi" w:cs="Arial" w:hint="cs"/>
          <w:rtl/>
        </w:rPr>
        <w:t>.</w:t>
      </w:r>
      <w:r w:rsidR="00EB13E7">
        <w:rPr>
          <w:rFonts w:asciiTheme="minorBidi" w:hAnsiTheme="minorBidi" w:cs="Arial" w:hint="cs"/>
          <w:rtl/>
        </w:rPr>
        <w:t>..</w:t>
      </w:r>
      <w:r w:rsidR="00BE24B0" w:rsidRPr="00696C30">
        <w:rPr>
          <w:rFonts w:asciiTheme="minorBidi" w:hAnsiTheme="minorBidi" w:cs="Arial"/>
          <w:rtl/>
        </w:rPr>
        <w:t xml:space="preserve"> אבל משהגיס</w:t>
      </w:r>
      <w:r w:rsidR="00BE24B0">
        <w:rPr>
          <w:rFonts w:asciiTheme="minorBidi" w:hAnsiTheme="minorBidi" w:cs="Arial" w:hint="cs"/>
          <w:rtl/>
        </w:rPr>
        <w:t>,</w:t>
      </w:r>
      <w:r w:rsidR="00BE24B0" w:rsidRPr="00696C30">
        <w:rPr>
          <w:rFonts w:asciiTheme="minorBidi" w:hAnsiTheme="minorBidi" w:cs="Arial"/>
          <w:rtl/>
        </w:rPr>
        <w:t xml:space="preserve"> דבלאו הכי מתבשל </w:t>
      </w:r>
      <w:r w:rsidR="00BE24B0">
        <w:rPr>
          <w:rFonts w:asciiTheme="minorBidi" w:hAnsiTheme="minorBidi" w:cs="Arial" w:hint="cs"/>
          <w:rtl/>
        </w:rPr>
        <w:t xml:space="preserve">- </w:t>
      </w:r>
      <w:r w:rsidR="00BE24B0" w:rsidRPr="00696C30">
        <w:rPr>
          <w:rFonts w:asciiTheme="minorBidi" w:hAnsiTheme="minorBidi" w:cs="Arial"/>
          <w:rtl/>
        </w:rPr>
        <w:t>אף המגיס פטור</w:t>
      </w:r>
      <w:r w:rsidR="00BE24B0">
        <w:rPr>
          <w:rFonts w:asciiTheme="minorBidi" w:hAnsiTheme="minorBidi" w:cs="Arial" w:hint="cs"/>
          <w:rtl/>
        </w:rPr>
        <w:t>,</w:t>
      </w:r>
      <w:r w:rsidR="00BE24B0" w:rsidRPr="00696C30">
        <w:rPr>
          <w:rFonts w:asciiTheme="minorBidi" w:hAnsiTheme="minorBidi" w:cs="Arial"/>
          <w:rtl/>
        </w:rPr>
        <w:t xml:space="preserve"> דמאי עביד</w:t>
      </w:r>
      <w:r w:rsidR="00BE24B0">
        <w:rPr>
          <w:rFonts w:cs="Arial" w:hint="cs"/>
          <w:sz w:val="16"/>
          <w:szCs w:val="16"/>
          <w:rtl/>
        </w:rPr>
        <w:t xml:space="preserve"> (ל' הרמב"ן)</w:t>
      </w:r>
      <w:r w:rsidR="00E61E7E" w:rsidRPr="00AF6862">
        <w:rPr>
          <w:rFonts w:cs="Arial"/>
          <w:rtl/>
        </w:rPr>
        <w:t xml:space="preserve">. </w:t>
      </w:r>
      <w:r w:rsidR="00EB13E7" w:rsidRPr="004068AD">
        <w:rPr>
          <w:rFonts w:cs="Arial"/>
          <w:rtl/>
        </w:rPr>
        <w:t>ו</w:t>
      </w:r>
      <w:r w:rsidR="00EB13E7">
        <w:rPr>
          <w:rFonts w:cs="Arial" w:hint="cs"/>
          <w:rtl/>
        </w:rPr>
        <w:t xml:space="preserve">מכל מקום </w:t>
      </w:r>
      <w:r w:rsidR="00EB13E7" w:rsidRPr="004068AD">
        <w:rPr>
          <w:rFonts w:cs="Arial"/>
          <w:rtl/>
        </w:rPr>
        <w:t>כל דבשיל כמאכל בן דרוסאי ליכא משום מגיס</w:t>
      </w:r>
      <w:r w:rsidR="00EB13E7">
        <w:rPr>
          <w:rFonts w:cs="Arial" w:hint="cs"/>
          <w:rtl/>
        </w:rPr>
        <w:t>.</w:t>
      </w:r>
    </w:p>
    <w:p w14:paraId="7A77887F" w14:textId="7C571D18" w:rsidR="00D17FE3" w:rsidRDefault="00D17FE3" w:rsidP="004068AD">
      <w:pPr>
        <w:pStyle w:val="aa"/>
        <w:numPr>
          <w:ilvl w:val="0"/>
          <w:numId w:val="32"/>
        </w:numPr>
        <w:rPr>
          <w:rFonts w:asciiTheme="minorBidi" w:hAnsiTheme="minorBidi"/>
        </w:rPr>
      </w:pPr>
      <w:r>
        <w:rPr>
          <w:rFonts w:cs="Arial" w:hint="cs"/>
          <w:rtl/>
        </w:rPr>
        <w:t xml:space="preserve">רמב"ם </w:t>
      </w:r>
      <w:r>
        <w:rPr>
          <w:rFonts w:cs="Arial" w:hint="cs"/>
          <w:sz w:val="16"/>
          <w:szCs w:val="16"/>
          <w:rtl/>
        </w:rPr>
        <w:t>(פ"ט ה"ד)</w:t>
      </w:r>
      <w:r>
        <w:rPr>
          <w:rFonts w:cs="Arial" w:hint="cs"/>
          <w:rtl/>
        </w:rPr>
        <w:t xml:space="preserve">- </w:t>
      </w:r>
      <w:r w:rsidRPr="00D17FE3">
        <w:rPr>
          <w:rFonts w:cs="Arial"/>
          <w:rtl/>
        </w:rPr>
        <w:t>אחד נתן את האור</w:t>
      </w:r>
      <w:r>
        <w:rPr>
          <w:rFonts w:cs="Arial" w:hint="cs"/>
          <w:rtl/>
        </w:rPr>
        <w:t>,</w:t>
      </w:r>
      <w:r w:rsidRPr="00D17FE3">
        <w:rPr>
          <w:rFonts w:cs="Arial"/>
          <w:rtl/>
        </w:rPr>
        <w:t xml:space="preserve"> ואחד נתן את העצים</w:t>
      </w:r>
      <w:r>
        <w:rPr>
          <w:rFonts w:cs="Arial" w:hint="cs"/>
          <w:rtl/>
        </w:rPr>
        <w:t>,</w:t>
      </w:r>
      <w:r w:rsidRPr="00D17FE3">
        <w:rPr>
          <w:rFonts w:cs="Arial"/>
          <w:rtl/>
        </w:rPr>
        <w:t xml:space="preserve"> ואחד נתן את הקדרה</w:t>
      </w:r>
      <w:r>
        <w:rPr>
          <w:rFonts w:cs="Arial" w:hint="cs"/>
          <w:rtl/>
        </w:rPr>
        <w:t>,</w:t>
      </w:r>
      <w:r w:rsidRPr="00D17FE3">
        <w:rPr>
          <w:rFonts w:cs="Arial"/>
          <w:rtl/>
        </w:rPr>
        <w:t xml:space="preserve"> ואחד נתן את המים</w:t>
      </w:r>
      <w:r>
        <w:rPr>
          <w:rFonts w:cs="Arial" w:hint="cs"/>
          <w:rtl/>
        </w:rPr>
        <w:t>,</w:t>
      </w:r>
      <w:r w:rsidRPr="00D17FE3">
        <w:rPr>
          <w:rFonts w:cs="Arial"/>
          <w:rtl/>
        </w:rPr>
        <w:t xml:space="preserve"> ואחד נתן את הבשר</w:t>
      </w:r>
      <w:r>
        <w:rPr>
          <w:rFonts w:cs="Arial" w:hint="cs"/>
          <w:rtl/>
        </w:rPr>
        <w:t>,</w:t>
      </w:r>
      <w:r w:rsidRPr="00D17FE3">
        <w:rPr>
          <w:rFonts w:cs="Arial"/>
          <w:rtl/>
        </w:rPr>
        <w:t xml:space="preserve"> ואחד נתן את התבלין</w:t>
      </w:r>
      <w:r>
        <w:rPr>
          <w:rFonts w:cs="Arial" w:hint="cs"/>
          <w:rtl/>
        </w:rPr>
        <w:t>,</w:t>
      </w:r>
      <w:r w:rsidRPr="00D17FE3">
        <w:rPr>
          <w:rFonts w:cs="Arial"/>
          <w:rtl/>
        </w:rPr>
        <w:t xml:space="preserve"> ובא אחר והגיס </w:t>
      </w:r>
      <w:r>
        <w:rPr>
          <w:rFonts w:cs="Arial" w:hint="cs"/>
          <w:rtl/>
        </w:rPr>
        <w:t xml:space="preserve">- </w:t>
      </w:r>
      <w:r w:rsidRPr="00D17FE3">
        <w:rPr>
          <w:rFonts w:cs="Arial"/>
          <w:rtl/>
        </w:rPr>
        <w:t>כולם חייבים משום מבשל, שכל העושה דבר מצרכי הבישול הרי זה מבשל</w:t>
      </w:r>
      <w:r>
        <w:rPr>
          <w:rFonts w:cs="Arial" w:hint="cs"/>
          <w:rtl/>
        </w:rPr>
        <w:t>.</w:t>
      </w:r>
      <w:r w:rsidRPr="00D17FE3">
        <w:rPr>
          <w:rFonts w:cs="Arial"/>
          <w:rtl/>
        </w:rPr>
        <w:t xml:space="preserve"> אבל אם שפת אחד את הקדרה תחילה</w:t>
      </w:r>
      <w:r>
        <w:rPr>
          <w:rFonts w:cs="Arial" w:hint="cs"/>
          <w:rtl/>
        </w:rPr>
        <w:t>,</w:t>
      </w:r>
      <w:r w:rsidRPr="00D17FE3">
        <w:rPr>
          <w:rFonts w:cs="Arial"/>
          <w:rtl/>
        </w:rPr>
        <w:t xml:space="preserve"> ובא אחר ונתן את המים</w:t>
      </w:r>
      <w:r>
        <w:rPr>
          <w:rFonts w:cs="Arial" w:hint="cs"/>
          <w:rtl/>
        </w:rPr>
        <w:t>,</w:t>
      </w:r>
      <w:r w:rsidRPr="00D17FE3">
        <w:rPr>
          <w:rFonts w:cs="Arial"/>
          <w:rtl/>
        </w:rPr>
        <w:t xml:space="preserve"> ובא אחר ונתן את הבשר</w:t>
      </w:r>
      <w:r>
        <w:rPr>
          <w:rFonts w:cs="Arial" w:hint="cs"/>
          <w:rtl/>
        </w:rPr>
        <w:t>,</w:t>
      </w:r>
      <w:r w:rsidRPr="00D17FE3">
        <w:rPr>
          <w:rFonts w:cs="Arial"/>
          <w:rtl/>
        </w:rPr>
        <w:t xml:space="preserve"> ובא אחר ונתן את התבלין</w:t>
      </w:r>
      <w:r>
        <w:rPr>
          <w:rFonts w:cs="Arial" w:hint="cs"/>
          <w:rtl/>
        </w:rPr>
        <w:t>,</w:t>
      </w:r>
      <w:r w:rsidRPr="00D17FE3">
        <w:rPr>
          <w:rFonts w:cs="Arial"/>
          <w:rtl/>
        </w:rPr>
        <w:t xml:space="preserve"> ובא אחר ונתן את האור</w:t>
      </w:r>
      <w:r>
        <w:rPr>
          <w:rFonts w:cs="Arial" w:hint="cs"/>
          <w:rtl/>
        </w:rPr>
        <w:t>,</w:t>
      </w:r>
      <w:r w:rsidRPr="00D17FE3">
        <w:rPr>
          <w:rFonts w:cs="Arial"/>
          <w:rtl/>
        </w:rPr>
        <w:t xml:space="preserve"> ובא אחר ונתן עצים על האור</w:t>
      </w:r>
      <w:r>
        <w:rPr>
          <w:rFonts w:cs="Arial" w:hint="cs"/>
          <w:rtl/>
        </w:rPr>
        <w:t>,</w:t>
      </w:r>
      <w:r w:rsidRPr="00D17FE3">
        <w:rPr>
          <w:rFonts w:cs="Arial"/>
          <w:rtl/>
        </w:rPr>
        <w:t xml:space="preserve"> ובא אחר והגיס</w:t>
      </w:r>
      <w:r>
        <w:rPr>
          <w:rFonts w:cs="Arial" w:hint="cs"/>
          <w:rtl/>
        </w:rPr>
        <w:t xml:space="preserve"> -</w:t>
      </w:r>
      <w:r w:rsidRPr="00D17FE3">
        <w:rPr>
          <w:rFonts w:cs="Arial"/>
          <w:rtl/>
        </w:rPr>
        <w:t xml:space="preserve"> שנים האחרונים בלבד חייבין משום מבשל. </w:t>
      </w:r>
    </w:p>
    <w:p w14:paraId="35040C45" w14:textId="152E7687" w:rsidR="00D17FE3" w:rsidRPr="00D17FE3" w:rsidRDefault="00D17FE3" w:rsidP="00D17FE3">
      <w:pPr>
        <w:ind w:left="360"/>
        <w:rPr>
          <w:rFonts w:asciiTheme="minorBidi" w:hAnsiTheme="minorBidi"/>
          <w:u w:val="dotted"/>
        </w:rPr>
      </w:pPr>
      <w:r w:rsidRPr="00D17FE3">
        <w:rPr>
          <w:rFonts w:asciiTheme="minorBidi" w:hAnsiTheme="minorBidi" w:hint="cs"/>
          <w:u w:val="dotted"/>
          <w:rtl/>
        </w:rPr>
        <w:t xml:space="preserve">האם מותר להוציא בכלי מאכל מהסיר כשהוא ע"ג האש: </w:t>
      </w:r>
    </w:p>
    <w:p w14:paraId="3F30926D" w14:textId="30DED504" w:rsidR="003B0265" w:rsidRPr="003B0265" w:rsidRDefault="00E61E7E" w:rsidP="003B0265">
      <w:pPr>
        <w:pStyle w:val="aa"/>
        <w:numPr>
          <w:ilvl w:val="0"/>
          <w:numId w:val="32"/>
        </w:numPr>
        <w:rPr>
          <w:rFonts w:asciiTheme="minorBidi" w:hAnsiTheme="minorBidi"/>
        </w:rPr>
      </w:pPr>
      <w:r w:rsidRPr="004068AD">
        <w:rPr>
          <w:rFonts w:cs="Arial"/>
          <w:rtl/>
        </w:rPr>
        <w:t xml:space="preserve">רמב"ם </w:t>
      </w:r>
      <w:r w:rsidR="004068AD">
        <w:rPr>
          <w:rFonts w:cs="Arial" w:hint="cs"/>
          <w:sz w:val="16"/>
          <w:szCs w:val="16"/>
          <w:rtl/>
        </w:rPr>
        <w:t>(פ"ג הי"א)</w:t>
      </w:r>
      <w:r w:rsidR="004068AD">
        <w:rPr>
          <w:rFonts w:cs="Arial" w:hint="cs"/>
          <w:rtl/>
        </w:rPr>
        <w:t xml:space="preserve">- </w:t>
      </w:r>
      <w:r w:rsidR="004068AD" w:rsidRPr="004068AD">
        <w:rPr>
          <w:rFonts w:cs="Arial"/>
          <w:rtl/>
        </w:rPr>
        <w:t>אסור להכניס מגריפה לקדרה בשבת והיא על האש להוציא</w:t>
      </w:r>
      <w:r w:rsidR="00EB13E7">
        <w:rPr>
          <w:rStyle w:val="a9"/>
          <w:rFonts w:cs="Arial"/>
          <w:rtl/>
        </w:rPr>
        <w:footnoteReference w:id="2891"/>
      </w:r>
      <w:r w:rsidR="004068AD" w:rsidRPr="004068AD">
        <w:rPr>
          <w:rFonts w:cs="Arial"/>
          <w:rtl/>
        </w:rPr>
        <w:t xml:space="preserve"> ממנה בשבת</w:t>
      </w:r>
      <w:r w:rsidR="003E5852">
        <w:rPr>
          <w:rFonts w:cs="Arial" w:hint="cs"/>
          <w:rtl/>
        </w:rPr>
        <w:t>,</w:t>
      </w:r>
      <w:r w:rsidR="004068AD" w:rsidRPr="004068AD">
        <w:rPr>
          <w:rFonts w:cs="Arial"/>
          <w:rtl/>
        </w:rPr>
        <w:t xml:space="preserve"> מפני שמגיס בה</w:t>
      </w:r>
      <w:r w:rsidR="003E5852">
        <w:rPr>
          <w:rFonts w:cs="Arial" w:hint="cs"/>
          <w:rtl/>
        </w:rPr>
        <w:t>,</w:t>
      </w:r>
      <w:r w:rsidR="004068AD" w:rsidRPr="004068AD">
        <w:rPr>
          <w:rFonts w:cs="Arial"/>
          <w:rtl/>
        </w:rPr>
        <w:t xml:space="preserve"> וזה מצרכי הבישול הוא</w:t>
      </w:r>
      <w:r w:rsidR="003E5852">
        <w:rPr>
          <w:rFonts w:cs="Arial" w:hint="cs"/>
          <w:rtl/>
        </w:rPr>
        <w:t>,</w:t>
      </w:r>
      <w:r w:rsidR="004068AD" w:rsidRPr="004068AD">
        <w:rPr>
          <w:rFonts w:cs="Arial"/>
          <w:rtl/>
        </w:rPr>
        <w:t xml:space="preserve"> ונמצא כמבשל בשבת</w:t>
      </w:r>
      <w:r w:rsidR="003B0265">
        <w:rPr>
          <w:rStyle w:val="a9"/>
          <w:rFonts w:cs="Arial"/>
          <w:rtl/>
        </w:rPr>
        <w:footnoteReference w:id="2892"/>
      </w:r>
      <w:r w:rsidR="004068AD">
        <w:rPr>
          <w:rFonts w:cs="Arial" w:hint="cs"/>
          <w:rtl/>
        </w:rPr>
        <w:t>.</w:t>
      </w:r>
      <w:r w:rsidR="004068AD" w:rsidRPr="004068AD">
        <w:rPr>
          <w:rFonts w:cs="Arial"/>
          <w:rtl/>
        </w:rPr>
        <w:t xml:space="preserve"> </w:t>
      </w:r>
    </w:p>
    <w:p w14:paraId="44B39F4A" w14:textId="24678ACF" w:rsidR="003B0265" w:rsidRDefault="00F45367" w:rsidP="003B0265">
      <w:pPr>
        <w:pStyle w:val="aa"/>
        <w:numPr>
          <w:ilvl w:val="0"/>
          <w:numId w:val="32"/>
        </w:numPr>
        <w:rPr>
          <w:rFonts w:cs="Arial"/>
        </w:rPr>
      </w:pPr>
      <w:r>
        <w:rPr>
          <w:rFonts w:cs="Arial" w:hint="cs"/>
          <w:rtl/>
        </w:rPr>
        <w:t xml:space="preserve">ראב"ד </w:t>
      </w:r>
      <w:r>
        <w:rPr>
          <w:rFonts w:cs="Arial" w:hint="cs"/>
          <w:sz w:val="16"/>
          <w:szCs w:val="16"/>
          <w:rtl/>
        </w:rPr>
        <w:t>(שם)</w:t>
      </w:r>
      <w:r>
        <w:rPr>
          <w:rFonts w:cs="Arial" w:hint="cs"/>
          <w:rtl/>
        </w:rPr>
        <w:t xml:space="preserve"> </w:t>
      </w:r>
      <w:r w:rsidR="003B0265" w:rsidRPr="007B5DAF">
        <w:rPr>
          <w:rFonts w:cs="Arial"/>
          <w:rtl/>
        </w:rPr>
        <w:t xml:space="preserve">רשב"א </w:t>
      </w:r>
      <w:r w:rsidR="003B0265" w:rsidRPr="00235DEE">
        <w:rPr>
          <w:rFonts w:asciiTheme="minorBidi" w:hAnsiTheme="minorBidi" w:cs="Arial"/>
          <w:sz w:val="16"/>
          <w:szCs w:val="16"/>
          <w:rtl/>
        </w:rPr>
        <w:t>(יח: סוד"ה צמר, לט. ד"ה גמרא)</w:t>
      </w:r>
      <w:r w:rsidR="003B0265">
        <w:rPr>
          <w:rFonts w:asciiTheme="minorBidi" w:hAnsiTheme="minorBidi" w:cs="Arial" w:hint="cs"/>
          <w:rtl/>
        </w:rPr>
        <w:t xml:space="preserve"> רא"ש </w:t>
      </w:r>
      <w:r w:rsidR="003B0265">
        <w:rPr>
          <w:rFonts w:asciiTheme="minorBidi" w:hAnsiTheme="minorBidi" w:cs="Arial" w:hint="cs"/>
          <w:sz w:val="16"/>
          <w:szCs w:val="16"/>
          <w:rtl/>
        </w:rPr>
        <w:t xml:space="preserve">(פ"ג ס"י-יא) </w:t>
      </w:r>
      <w:r w:rsidR="003B0265">
        <w:rPr>
          <w:rFonts w:asciiTheme="minorBidi" w:hAnsiTheme="minorBidi" w:cs="Arial" w:hint="cs"/>
          <w:rtl/>
        </w:rPr>
        <w:t xml:space="preserve">וריטב"א </w:t>
      </w:r>
      <w:r w:rsidR="003B0265">
        <w:rPr>
          <w:rFonts w:asciiTheme="minorBidi" w:hAnsiTheme="minorBidi" w:cs="Arial" w:hint="cs"/>
          <w:sz w:val="16"/>
          <w:szCs w:val="16"/>
          <w:rtl/>
        </w:rPr>
        <w:t>(לט. ד"ה כל שבא)</w:t>
      </w:r>
      <w:r w:rsidR="003B0265">
        <w:rPr>
          <w:rFonts w:asciiTheme="minorBidi" w:hAnsiTheme="minorBidi" w:cs="Arial" w:hint="cs"/>
          <w:rtl/>
        </w:rPr>
        <w:t xml:space="preserve">- </w:t>
      </w:r>
      <w:r w:rsidR="003B0265" w:rsidRPr="006C7C72">
        <w:rPr>
          <w:rFonts w:asciiTheme="minorBidi" w:hAnsiTheme="minorBidi" w:cs="Arial"/>
          <w:rtl/>
        </w:rPr>
        <w:t>כיון שהגיע למאכל בן דרוסאי תו ליכא משום מבשל</w:t>
      </w:r>
      <w:r>
        <w:rPr>
          <w:rFonts w:asciiTheme="minorBidi" w:hAnsiTheme="minorBidi" w:cs="Arial" w:hint="cs"/>
          <w:sz w:val="16"/>
          <w:szCs w:val="16"/>
          <w:rtl/>
        </w:rPr>
        <w:t xml:space="preserve"> (ל' הרשב"א)</w:t>
      </w:r>
      <w:r w:rsidR="003B0265">
        <w:rPr>
          <w:rFonts w:cs="Arial" w:hint="cs"/>
          <w:rtl/>
        </w:rPr>
        <w:t>.</w:t>
      </w:r>
      <w:r w:rsidR="003B0265" w:rsidRPr="003B0265">
        <w:rPr>
          <w:rFonts w:cs="Arial"/>
          <w:rtl/>
        </w:rPr>
        <w:t xml:space="preserve"> </w:t>
      </w:r>
      <w:r w:rsidR="003B0265">
        <w:rPr>
          <w:rFonts w:cs="Arial" w:hint="cs"/>
          <w:rtl/>
        </w:rPr>
        <w:t xml:space="preserve">הילכך </w:t>
      </w:r>
      <w:r w:rsidR="003B0265" w:rsidRPr="003B0265">
        <w:rPr>
          <w:rFonts w:cs="Arial"/>
          <w:rtl/>
        </w:rPr>
        <w:t xml:space="preserve">כיון שהגיע למאכל בן דרוסאי </w:t>
      </w:r>
      <w:r w:rsidR="003B0265" w:rsidRPr="003B0265">
        <w:rPr>
          <w:rFonts w:cs="Arial" w:hint="cs"/>
          <w:rtl/>
        </w:rPr>
        <w:t xml:space="preserve">- </w:t>
      </w:r>
      <w:r w:rsidR="003B0265" w:rsidRPr="003B0265">
        <w:rPr>
          <w:rFonts w:cs="Arial"/>
          <w:rtl/>
        </w:rPr>
        <w:t>שוב אין לגזור בהכנסת המגריפה</w:t>
      </w:r>
      <w:r w:rsidR="003B0265">
        <w:rPr>
          <w:rFonts w:cs="Arial" w:hint="cs"/>
          <w:sz w:val="16"/>
          <w:szCs w:val="16"/>
          <w:rtl/>
        </w:rPr>
        <w:t xml:space="preserve"> (ל' הב"י)</w:t>
      </w:r>
      <w:r w:rsidR="003B0265">
        <w:rPr>
          <w:rFonts w:cs="Arial" w:hint="cs"/>
          <w:rtl/>
        </w:rPr>
        <w:t>.</w:t>
      </w:r>
    </w:p>
    <w:p w14:paraId="681B99DC" w14:textId="2B197A05" w:rsidR="00C51042" w:rsidRPr="00C51042" w:rsidRDefault="00D17FE3" w:rsidP="00D17FE3">
      <w:pPr>
        <w:rPr>
          <w:rFonts w:asciiTheme="minorBidi" w:hAnsiTheme="minorBidi"/>
          <w:u w:val="dotted"/>
        </w:rPr>
      </w:pPr>
      <w:r>
        <w:rPr>
          <w:rFonts w:asciiTheme="minorBidi" w:hAnsiTheme="minorBidi" w:hint="cs"/>
          <w:u w:val="single"/>
          <w:rtl/>
        </w:rPr>
        <w:t xml:space="preserve">מגיס בסיר </w:t>
      </w:r>
      <w:r w:rsidRPr="00D17FE3">
        <w:rPr>
          <w:rFonts w:asciiTheme="minorBidi" w:hAnsiTheme="minorBidi" w:hint="cs"/>
          <w:u w:val="single"/>
          <w:rtl/>
        </w:rPr>
        <w:t>שלא ע"ג האש</w:t>
      </w:r>
      <w:r w:rsidRPr="00434EE4">
        <w:rPr>
          <w:rFonts w:asciiTheme="minorBidi" w:hAnsiTheme="minorBidi" w:hint="cs"/>
          <w:u w:val="single"/>
          <w:rtl/>
        </w:rPr>
        <w:t>:</w:t>
      </w:r>
    </w:p>
    <w:p w14:paraId="4ED0AD35" w14:textId="3BB74EC4" w:rsidR="00F45367" w:rsidRPr="00F45367" w:rsidRDefault="00E46855" w:rsidP="00C51042">
      <w:pPr>
        <w:pStyle w:val="aa"/>
        <w:numPr>
          <w:ilvl w:val="0"/>
          <w:numId w:val="32"/>
        </w:numPr>
        <w:rPr>
          <w:rFonts w:asciiTheme="minorBidi" w:hAnsiTheme="minorBidi"/>
        </w:rPr>
      </w:pPr>
      <w:r>
        <w:rPr>
          <w:rFonts w:cs="Arial" w:hint="cs"/>
          <w:rtl/>
        </w:rPr>
        <w:t xml:space="preserve">רא"ש </w:t>
      </w:r>
      <w:r>
        <w:rPr>
          <w:rFonts w:cs="Arial" w:hint="cs"/>
          <w:sz w:val="16"/>
          <w:szCs w:val="16"/>
          <w:rtl/>
        </w:rPr>
        <w:t xml:space="preserve">(שם וכן בפ"א סי' לד, ועיין בקו"נ [פ"א סי' לד אות ב]) </w:t>
      </w:r>
      <w:r>
        <w:rPr>
          <w:rFonts w:cs="Arial" w:hint="cs"/>
          <w:rtl/>
        </w:rPr>
        <w:t>ו</w:t>
      </w:r>
      <w:r w:rsidR="00C51042" w:rsidRPr="00AF6862">
        <w:rPr>
          <w:rFonts w:cs="Arial"/>
          <w:rtl/>
        </w:rPr>
        <w:t xml:space="preserve">ר"ן </w:t>
      </w:r>
      <w:r w:rsidR="00C51042" w:rsidRPr="00AF6862">
        <w:rPr>
          <w:rFonts w:cs="Arial"/>
          <w:sz w:val="16"/>
          <w:szCs w:val="16"/>
          <w:rtl/>
        </w:rPr>
        <w:t>(ו: ד"ה ומדאמר)</w:t>
      </w:r>
      <w:r w:rsidR="00C51042">
        <w:rPr>
          <w:rFonts w:cs="Arial" w:hint="cs"/>
          <w:rtl/>
        </w:rPr>
        <w:t>-</w:t>
      </w:r>
      <w:r w:rsidR="00C51042" w:rsidRPr="00AF6862">
        <w:rPr>
          <w:rFonts w:cs="Arial"/>
          <w:rtl/>
        </w:rPr>
        <w:t xml:space="preserve"> </w:t>
      </w:r>
      <w:r w:rsidR="00C51042" w:rsidRPr="00696C30">
        <w:rPr>
          <w:rFonts w:cs="Arial"/>
          <w:rtl/>
        </w:rPr>
        <w:t>מדאמר ביורה עקורה וטוחה ש"מ דאפי' בעקורה איכא משום מגיס ואיכא משום מבשל</w:t>
      </w:r>
      <w:r>
        <w:rPr>
          <w:rStyle w:val="a9"/>
          <w:rtl/>
        </w:rPr>
        <w:footnoteReference w:id="2893"/>
      </w:r>
      <w:r w:rsidR="00C51042">
        <w:rPr>
          <w:rFonts w:cs="Arial" w:hint="cs"/>
          <w:rtl/>
        </w:rPr>
        <w:t>,</w:t>
      </w:r>
      <w:r w:rsidR="00C51042" w:rsidRPr="00696C30">
        <w:rPr>
          <w:rFonts w:cs="Arial"/>
          <w:rtl/>
        </w:rPr>
        <w:t xml:space="preserve"> אבל כל שנתבשל כמאכל בן דרוסאי תו ליכא למיחש להכי</w:t>
      </w:r>
      <w:r w:rsidR="00C51042">
        <w:rPr>
          <w:rFonts w:cs="Arial" w:hint="cs"/>
          <w:rtl/>
        </w:rPr>
        <w:t>.</w:t>
      </w:r>
      <w:r w:rsidR="00C51042" w:rsidRPr="00696C30">
        <w:rPr>
          <w:rFonts w:cs="Arial"/>
          <w:rtl/>
        </w:rPr>
        <w:t xml:space="preserve"> ומיהו ה"מ בקדרה</w:t>
      </w:r>
      <w:r w:rsidR="00C51042">
        <w:rPr>
          <w:rFonts w:cs="Arial" w:hint="cs"/>
          <w:rtl/>
        </w:rPr>
        <w:t>,</w:t>
      </w:r>
      <w:r w:rsidR="00C51042" w:rsidRPr="00696C30">
        <w:rPr>
          <w:rFonts w:cs="Arial"/>
          <w:rtl/>
        </w:rPr>
        <w:t xml:space="preserve"> אבל בצמר ליורה לעולם אסור להגיס בו</w:t>
      </w:r>
      <w:r w:rsidR="00C51042">
        <w:rPr>
          <w:rFonts w:cs="Arial" w:hint="cs"/>
          <w:rtl/>
        </w:rPr>
        <w:t>,</w:t>
      </w:r>
      <w:r w:rsidR="00C51042" w:rsidRPr="00696C30">
        <w:rPr>
          <w:rFonts w:cs="Arial"/>
          <w:rtl/>
        </w:rPr>
        <w:t xml:space="preserve"> שאע"פ שקלטו העין דרך הצבעים להגיס בהם תמיד כדי שלא יחרכו</w:t>
      </w:r>
      <w:r w:rsidR="00C51042">
        <w:rPr>
          <w:rFonts w:cs="Arial" w:hint="cs"/>
          <w:rtl/>
        </w:rPr>
        <w:t>,</w:t>
      </w:r>
      <w:r w:rsidR="00C51042" w:rsidRPr="00696C30">
        <w:rPr>
          <w:rFonts w:cs="Arial"/>
          <w:rtl/>
        </w:rPr>
        <w:t xml:space="preserve"> והכי מוכח בירושלמי</w:t>
      </w:r>
      <w:r>
        <w:rPr>
          <w:rFonts w:cs="Arial" w:hint="cs"/>
          <w:sz w:val="16"/>
          <w:szCs w:val="16"/>
          <w:rtl/>
        </w:rPr>
        <w:t xml:space="preserve"> (ל' הר"ן)</w:t>
      </w:r>
      <w:r w:rsidR="001A2DB0">
        <w:rPr>
          <w:rStyle w:val="a9"/>
          <w:rFonts w:cs="Arial"/>
          <w:rtl/>
        </w:rPr>
        <w:footnoteReference w:id="2894"/>
      </w:r>
      <w:r w:rsidR="00C51042">
        <w:rPr>
          <w:rFonts w:cs="Arial" w:hint="cs"/>
          <w:rtl/>
        </w:rPr>
        <w:t>.</w:t>
      </w:r>
      <w:r w:rsidRPr="00E46855">
        <w:rPr>
          <w:rFonts w:asciiTheme="minorBidi" w:hAnsiTheme="minorBidi" w:hint="cs"/>
          <w:color w:val="E36C0A" w:themeColor="accent6" w:themeShade="BF"/>
          <w:rtl/>
        </w:rPr>
        <w:t xml:space="preserve"> </w:t>
      </w:r>
    </w:p>
    <w:p w14:paraId="2E5B02B5" w14:textId="42BE0C89" w:rsidR="00503C61" w:rsidRDefault="00503C61" w:rsidP="00C51042">
      <w:pPr>
        <w:pStyle w:val="aa"/>
        <w:numPr>
          <w:ilvl w:val="0"/>
          <w:numId w:val="32"/>
        </w:numPr>
        <w:rPr>
          <w:rFonts w:asciiTheme="minorBidi" w:hAnsiTheme="minorBidi"/>
        </w:rPr>
      </w:pPr>
      <w:r>
        <w:rPr>
          <w:rFonts w:hint="cs"/>
          <w:rtl/>
        </w:rPr>
        <w:t xml:space="preserve">רבינו גרשום </w:t>
      </w:r>
      <w:r>
        <w:rPr>
          <w:rFonts w:hint="cs"/>
          <w:sz w:val="16"/>
          <w:szCs w:val="16"/>
          <w:rtl/>
        </w:rPr>
        <w:t>(חולין קד:)</w:t>
      </w:r>
      <w:r>
        <w:rPr>
          <w:rFonts w:hint="cs"/>
          <w:rtl/>
        </w:rPr>
        <w:t xml:space="preserve"> רמב"ן</w:t>
      </w:r>
      <w:r w:rsidRPr="007F284E">
        <w:rPr>
          <w:rFonts w:hint="cs"/>
          <w:sz w:val="16"/>
          <w:szCs w:val="16"/>
          <w:rtl/>
        </w:rPr>
        <w:t xml:space="preserve"> (ע"ז עד: ד"ה ואע"פ)</w:t>
      </w:r>
      <w:r>
        <w:rPr>
          <w:rFonts w:hint="cs"/>
          <w:rtl/>
        </w:rPr>
        <w:t xml:space="preserve"> ורשב"א </w:t>
      </w:r>
      <w:r w:rsidRPr="007F284E">
        <w:rPr>
          <w:rFonts w:hint="cs"/>
          <w:sz w:val="16"/>
          <w:szCs w:val="16"/>
          <w:rtl/>
        </w:rPr>
        <w:t>(ע"ז עד:)</w:t>
      </w:r>
      <w:r w:rsidR="00F73501">
        <w:rPr>
          <w:rFonts w:hint="cs"/>
          <w:rtl/>
        </w:rPr>
        <w:t xml:space="preserve"> </w:t>
      </w:r>
      <w:r>
        <w:rPr>
          <w:rFonts w:hint="cs"/>
          <w:rtl/>
        </w:rPr>
        <w:t xml:space="preserve">- </w:t>
      </w:r>
      <w:r w:rsidRPr="007F284E">
        <w:rPr>
          <w:rFonts w:cs="Arial"/>
          <w:rtl/>
        </w:rPr>
        <w:t>למדנו לדברי הכל שאין בישול גמור אלא באור מהלך תחתיו</w:t>
      </w:r>
      <w:r w:rsidR="00F73501">
        <w:rPr>
          <w:rFonts w:cs="Arial" w:hint="cs"/>
          <w:rtl/>
        </w:rPr>
        <w:t>.</w:t>
      </w:r>
    </w:p>
    <w:p w14:paraId="01F4E89C" w14:textId="319816F5" w:rsidR="00E46855" w:rsidRDefault="00E46855" w:rsidP="00E46855">
      <w:pPr>
        <w:pStyle w:val="aa"/>
        <w:numPr>
          <w:ilvl w:val="0"/>
          <w:numId w:val="32"/>
        </w:numPr>
        <w:rPr>
          <w:rFonts w:cs="Arial"/>
        </w:rPr>
      </w:pPr>
      <w:r>
        <w:rPr>
          <w:rFonts w:cs="Arial" w:hint="cs"/>
          <w:rtl/>
        </w:rPr>
        <w:t>מהרי"ו</w:t>
      </w:r>
      <w:r w:rsidRPr="00E61E7E">
        <w:rPr>
          <w:rFonts w:cs="Arial"/>
          <w:rtl/>
        </w:rPr>
        <w:t xml:space="preserve"> </w:t>
      </w:r>
      <w:r w:rsidRPr="003B0265">
        <w:rPr>
          <w:rFonts w:cs="Arial"/>
          <w:sz w:val="16"/>
          <w:szCs w:val="16"/>
          <w:rtl/>
        </w:rPr>
        <w:t>(</w:t>
      </w:r>
      <w:r w:rsidRPr="00E46855">
        <w:rPr>
          <w:rFonts w:cs="Arial"/>
          <w:sz w:val="16"/>
          <w:szCs w:val="16"/>
          <w:rtl/>
        </w:rPr>
        <w:t>חידושי דינין והלכות למהר"י ווייל סימן ל</w:t>
      </w:r>
      <w:r>
        <w:rPr>
          <w:rFonts w:cs="Arial" w:hint="cs"/>
          <w:sz w:val="16"/>
          <w:szCs w:val="16"/>
          <w:rtl/>
        </w:rPr>
        <w:t>, הביאו הדרכ"מ [אות ז]</w:t>
      </w:r>
      <w:r w:rsidRPr="003B0265">
        <w:rPr>
          <w:rFonts w:cs="Arial"/>
          <w:sz w:val="16"/>
          <w:szCs w:val="16"/>
          <w:rtl/>
        </w:rPr>
        <w:t>)</w:t>
      </w:r>
      <w:r>
        <w:rPr>
          <w:rFonts w:cs="Arial" w:hint="cs"/>
          <w:rtl/>
        </w:rPr>
        <w:t>-</w:t>
      </w:r>
      <w:r w:rsidRPr="00E61E7E">
        <w:rPr>
          <w:rFonts w:cs="Arial"/>
          <w:rtl/>
        </w:rPr>
        <w:t xml:space="preserve"> </w:t>
      </w:r>
      <w:r w:rsidRPr="00E46855">
        <w:rPr>
          <w:rFonts w:cs="Arial"/>
          <w:rtl/>
        </w:rPr>
        <w:t xml:space="preserve">כשמשימין </w:t>
      </w:r>
      <w:r>
        <w:rPr>
          <w:rFonts w:cs="Arial" w:hint="cs"/>
          <w:sz w:val="16"/>
          <w:szCs w:val="16"/>
          <w:rtl/>
        </w:rPr>
        <w:t xml:space="preserve">{ר"ל כשמסירין} </w:t>
      </w:r>
      <w:r w:rsidRPr="00E46855">
        <w:rPr>
          <w:rFonts w:cs="Arial"/>
          <w:rtl/>
        </w:rPr>
        <w:t>קדירה מן האש להוציא המאכל ממנה</w:t>
      </w:r>
      <w:r>
        <w:rPr>
          <w:rStyle w:val="a9"/>
          <w:rtl/>
        </w:rPr>
        <w:footnoteReference w:id="2895"/>
      </w:r>
      <w:r w:rsidRPr="00E46855">
        <w:rPr>
          <w:rFonts w:cs="Arial"/>
          <w:rtl/>
        </w:rPr>
        <w:t xml:space="preserve"> </w:t>
      </w:r>
      <w:r>
        <w:rPr>
          <w:rFonts w:cs="Arial" w:hint="cs"/>
          <w:rtl/>
        </w:rPr>
        <w:t xml:space="preserve">- </w:t>
      </w:r>
      <w:r w:rsidRPr="00E46855">
        <w:rPr>
          <w:rFonts w:cs="Arial"/>
          <w:rtl/>
        </w:rPr>
        <w:t>אין להגיס בה בכף דהוי כמבשל</w:t>
      </w:r>
      <w:r>
        <w:rPr>
          <w:rFonts w:cs="Arial" w:hint="cs"/>
          <w:rtl/>
        </w:rPr>
        <w:t>,</w:t>
      </w:r>
      <w:r w:rsidRPr="00E46855">
        <w:rPr>
          <w:rFonts w:cs="Arial"/>
          <w:rtl/>
        </w:rPr>
        <w:t xml:space="preserve"> כדאמ' פ"ק דשבת גבי יורה עקורה וטוחה דאסור להגיס בה</w:t>
      </w:r>
      <w:r>
        <w:rPr>
          <w:rFonts w:cs="Arial" w:hint="cs"/>
          <w:rtl/>
        </w:rPr>
        <w:t>.</w:t>
      </w:r>
      <w:r w:rsidRPr="00E46855">
        <w:rPr>
          <w:rFonts w:cs="Arial"/>
          <w:rtl/>
        </w:rPr>
        <w:t xml:space="preserve"> וכן ראיתי נוהגין בבית מהר"י ז"ל</w:t>
      </w:r>
      <w:r>
        <w:rPr>
          <w:rFonts w:cs="Arial" w:hint="cs"/>
          <w:rtl/>
        </w:rPr>
        <w:t>.</w:t>
      </w:r>
      <w:r w:rsidRPr="003B0265">
        <w:rPr>
          <w:rFonts w:cs="Arial"/>
          <w:rtl/>
        </w:rPr>
        <w:t xml:space="preserve"> </w:t>
      </w:r>
      <w:r w:rsidR="00DA50F3" w:rsidRPr="00DA50F3">
        <w:rPr>
          <w:rFonts w:cs="Arial" w:hint="cs"/>
          <w:color w:val="00B0F0"/>
          <w:rtl/>
        </w:rPr>
        <w:t>(וכ"פ הרמ"א)</w:t>
      </w:r>
    </w:p>
    <w:p w14:paraId="5BF0520A"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2D8826D8" w14:textId="5EB1F3F4" w:rsidR="006A4BF8" w:rsidRPr="005275DF" w:rsidRDefault="006A4BF8" w:rsidP="00434A6A">
      <w:pPr>
        <w:tabs>
          <w:tab w:val="left" w:pos="2788"/>
        </w:tabs>
        <w:rPr>
          <w:rFonts w:asciiTheme="minorBidi" w:hAnsiTheme="minorBidi"/>
          <w:rtl/>
        </w:rPr>
      </w:pPr>
      <w:r w:rsidRPr="005275DF">
        <w:rPr>
          <w:rFonts w:asciiTheme="minorBidi" w:hAnsiTheme="minorBidi"/>
          <w:rtl/>
        </w:rPr>
        <w:t>האלפס והקדירה שהעבירן מרותחין מעל גבי האור, אם לא נתבשל כל צורכו אין מוציאין בכף מהם</w:t>
      </w:r>
      <w:r w:rsidR="00B94B03">
        <w:rPr>
          <w:rFonts w:asciiTheme="minorBidi" w:hAnsiTheme="minorBidi" w:hint="cs"/>
          <w:rtl/>
        </w:rPr>
        <w:t>,</w:t>
      </w:r>
      <w:r w:rsidRPr="005275DF">
        <w:rPr>
          <w:rFonts w:asciiTheme="minorBidi" w:hAnsiTheme="minorBidi"/>
          <w:rtl/>
        </w:rPr>
        <w:t xml:space="preserve"> שנמצא מגיס ואיכא משום מבשל</w:t>
      </w:r>
      <w:r w:rsidR="00B94B03">
        <w:rPr>
          <w:rFonts w:asciiTheme="minorBidi" w:hAnsiTheme="minorBidi" w:hint="cs"/>
          <w:rtl/>
        </w:rPr>
        <w:t>.</w:t>
      </w:r>
      <w:r w:rsidRPr="005275DF">
        <w:rPr>
          <w:rFonts w:asciiTheme="minorBidi" w:hAnsiTheme="minorBidi"/>
          <w:rtl/>
        </w:rPr>
        <w:t xml:space="preserve"> ואם נתבשל כל צרכו מותר</w:t>
      </w:r>
      <w:r w:rsidR="00B94B03">
        <w:rPr>
          <w:rFonts w:asciiTheme="minorBidi" w:hAnsiTheme="minorBidi" w:hint="cs"/>
          <w:rtl/>
        </w:rPr>
        <w:t>.</w:t>
      </w:r>
      <w:r w:rsidRPr="005275DF">
        <w:rPr>
          <w:rFonts w:asciiTheme="minorBidi" w:hAnsiTheme="minorBidi"/>
          <w:rtl/>
        </w:rPr>
        <w:t xml:space="preserve"> אבל צמר ליורה</w:t>
      </w:r>
      <w:r w:rsidR="00B94B03">
        <w:rPr>
          <w:rFonts w:asciiTheme="minorBidi" w:hAnsiTheme="minorBidi" w:hint="cs"/>
          <w:rtl/>
        </w:rPr>
        <w:t>,</w:t>
      </w:r>
      <w:r w:rsidRPr="005275DF">
        <w:rPr>
          <w:rFonts w:asciiTheme="minorBidi" w:hAnsiTheme="minorBidi"/>
          <w:rtl/>
        </w:rPr>
        <w:t xml:space="preserve"> אף על פי שקלט העין</w:t>
      </w:r>
      <w:r w:rsidR="00B94B03">
        <w:rPr>
          <w:rFonts w:asciiTheme="minorBidi" w:hAnsiTheme="minorBidi" w:hint="cs"/>
          <w:rtl/>
        </w:rPr>
        <w:t>,</w:t>
      </w:r>
      <w:r w:rsidRPr="005275DF">
        <w:rPr>
          <w:rFonts w:asciiTheme="minorBidi" w:hAnsiTheme="minorBidi"/>
          <w:rtl/>
        </w:rPr>
        <w:t xml:space="preserve"> אסור להגיס בו.</w:t>
      </w:r>
      <w:r w:rsidRPr="005275DF">
        <w:rPr>
          <w:rFonts w:asciiTheme="minorBidi" w:hAnsiTheme="minorBidi"/>
          <w:sz w:val="18"/>
          <w:szCs w:val="18"/>
          <w:rtl/>
        </w:rPr>
        <w:t xml:space="preserve"> הגה: ולכתחלה יש ליזהר אף בקדירה בכל ענין</w:t>
      </w:r>
      <w:r w:rsidRPr="005275DF">
        <w:rPr>
          <w:rStyle w:val="a9"/>
          <w:rFonts w:asciiTheme="minorBidi" w:hAnsiTheme="minorBidi"/>
          <w:sz w:val="18"/>
          <w:szCs w:val="18"/>
          <w:rtl/>
        </w:rPr>
        <w:footnoteReference w:id="2896"/>
      </w:r>
      <w:r w:rsidRPr="005275DF">
        <w:rPr>
          <w:rFonts w:asciiTheme="minorBidi" w:hAnsiTheme="minorBidi"/>
          <w:sz w:val="18"/>
          <w:szCs w:val="18"/>
          <w:rtl/>
        </w:rPr>
        <w:t xml:space="preserve"> (מהרי"ו). </w:t>
      </w:r>
    </w:p>
    <w:p w14:paraId="5B4704CF" w14:textId="77777777" w:rsidR="006A4BF8" w:rsidRPr="005275DF" w:rsidRDefault="006A4BF8" w:rsidP="00434A6A">
      <w:pPr>
        <w:tabs>
          <w:tab w:val="left" w:pos="2788"/>
        </w:tabs>
        <w:rPr>
          <w:rFonts w:asciiTheme="minorBidi" w:hAnsiTheme="minorBidi"/>
          <w:rtl/>
        </w:rPr>
      </w:pPr>
    </w:p>
    <w:p w14:paraId="4E9058F5"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יט: טיחת שמן ושום ע"ג צלי בעודו כנגד המדורה.</w:t>
      </w:r>
    </w:p>
    <w:p w14:paraId="4AEA598C" w14:textId="77777777" w:rsidR="005C67C9" w:rsidRDefault="005C67C9" w:rsidP="005C67C9">
      <w:pPr>
        <w:rPr>
          <w:rFonts w:asciiTheme="minorBidi" w:hAnsiTheme="minorBidi"/>
        </w:rPr>
      </w:pPr>
      <w:r>
        <w:rPr>
          <w:rFonts w:asciiTheme="minorBidi" w:hAnsiTheme="minorBidi"/>
          <w:b/>
          <w:bCs/>
          <w:rtl/>
        </w:rPr>
        <w:t xml:space="preserve">שבת </w:t>
      </w:r>
      <w:r>
        <w:rPr>
          <w:rFonts w:asciiTheme="minorBidi" w:hAnsiTheme="minorBidi"/>
          <w:b/>
          <w:bCs/>
          <w:sz w:val="16"/>
          <w:szCs w:val="16"/>
          <w:rtl/>
        </w:rPr>
        <w:t xml:space="preserve">(פ' שמנה שרצים) </w:t>
      </w:r>
      <w:r>
        <w:rPr>
          <w:rFonts w:asciiTheme="minorBidi" w:hAnsiTheme="minorBidi"/>
          <w:b/>
          <w:bCs/>
          <w:rtl/>
        </w:rPr>
        <w:t xml:space="preserve">קט ע"א: </w:t>
      </w:r>
      <w:r>
        <w:rPr>
          <w:rFonts w:asciiTheme="minorBidi" w:hAnsiTheme="minorBidi"/>
          <w:u w:val="single"/>
          <w:rtl/>
        </w:rPr>
        <w:t>אמר רב חסדא</w:t>
      </w:r>
      <w:r>
        <w:rPr>
          <w:rFonts w:asciiTheme="minorBidi" w:hAnsiTheme="minorBidi"/>
          <w:rtl/>
        </w:rPr>
        <w:t>: שריקא טויא</w:t>
      </w:r>
      <w:r>
        <w:rPr>
          <w:rStyle w:val="a9"/>
          <w:rFonts w:asciiTheme="minorBidi" w:hAnsiTheme="minorBidi"/>
          <w:rtl/>
        </w:rPr>
        <w:footnoteReference w:id="2897"/>
      </w:r>
      <w:r>
        <w:rPr>
          <w:rFonts w:asciiTheme="minorBidi" w:hAnsiTheme="minorBidi"/>
          <w:rtl/>
        </w:rPr>
        <w:t xml:space="preserve"> - שרי, פיעפועי ביעי</w:t>
      </w:r>
      <w:r>
        <w:rPr>
          <w:rStyle w:val="a9"/>
          <w:rFonts w:asciiTheme="minorBidi" w:hAnsiTheme="minorBidi"/>
          <w:rtl/>
        </w:rPr>
        <w:footnoteReference w:id="2898"/>
      </w:r>
      <w:r>
        <w:rPr>
          <w:rFonts w:asciiTheme="minorBidi" w:hAnsiTheme="minorBidi"/>
          <w:rtl/>
        </w:rPr>
        <w:t xml:space="preserve"> - אסור</w:t>
      </w:r>
      <w:r>
        <w:rPr>
          <w:rStyle w:val="a9"/>
          <w:rFonts w:asciiTheme="minorBidi" w:hAnsiTheme="minorBidi"/>
          <w:rtl/>
        </w:rPr>
        <w:footnoteReference w:id="2899"/>
      </w:r>
      <w:r>
        <w:rPr>
          <w:rFonts w:asciiTheme="minorBidi" w:hAnsiTheme="minorBidi"/>
          <w:rtl/>
        </w:rPr>
        <w:t>.</w:t>
      </w:r>
    </w:p>
    <w:p w14:paraId="1B7A1DCA" w14:textId="77777777" w:rsidR="005C67C9" w:rsidRDefault="005C67C9" w:rsidP="005C67C9">
      <w:pPr>
        <w:rPr>
          <w:rFonts w:asciiTheme="minorBidi" w:hAnsiTheme="minorBidi"/>
          <w:u w:val="single"/>
          <w:rtl/>
        </w:rPr>
      </w:pPr>
      <w:r>
        <w:rPr>
          <w:rFonts w:asciiTheme="minorBidi" w:hAnsiTheme="minorBidi"/>
          <w:u w:val="single"/>
          <w:rtl/>
        </w:rPr>
        <w:t>טיחת שמן ושום ע"ג צלי בעודו כנגד המדורה:</w:t>
      </w:r>
    </w:p>
    <w:p w14:paraId="36D57E43" w14:textId="3CF9D28D" w:rsidR="005C67C9" w:rsidRDefault="005C67C9" w:rsidP="00FF2D21">
      <w:pPr>
        <w:pStyle w:val="aa"/>
        <w:numPr>
          <w:ilvl w:val="0"/>
          <w:numId w:val="157"/>
        </w:numPr>
        <w:rPr>
          <w:rFonts w:asciiTheme="minorBidi" w:hAnsiTheme="minorBidi" w:cs="Arial"/>
          <w:rtl/>
        </w:rPr>
      </w:pPr>
      <w:r>
        <w:rPr>
          <w:rFonts w:asciiTheme="minorBidi" w:hAnsiTheme="minorBidi" w:cs="Arial"/>
          <w:rtl/>
        </w:rPr>
        <w:t xml:space="preserve">כל בו </w:t>
      </w:r>
      <w:r>
        <w:rPr>
          <w:rFonts w:asciiTheme="minorBidi" w:hAnsiTheme="minorBidi" w:cs="Arial"/>
          <w:sz w:val="16"/>
          <w:szCs w:val="16"/>
          <w:rtl/>
        </w:rPr>
        <w:t>(סי' לא לא:)</w:t>
      </w:r>
      <w:r>
        <w:rPr>
          <w:rFonts w:asciiTheme="minorBidi" w:hAnsiTheme="minorBidi" w:cs="Arial"/>
          <w:rtl/>
        </w:rPr>
        <w:t xml:space="preserve">- אסור לטוח שמן ושום על הצלי בעודו כנגד המדורה אפילו נצלה הצלי מבעוד יום דמכל מקום יתבשל השום והשמן. </w:t>
      </w:r>
      <w:r>
        <w:rPr>
          <w:color w:val="E36C0A" w:themeColor="accent6" w:themeShade="BF"/>
          <w:rtl/>
        </w:rPr>
        <w:t>(וכ"פ בשו"ע)</w:t>
      </w:r>
      <w:r>
        <w:rPr>
          <w:rFonts w:asciiTheme="minorBidi" w:hAnsiTheme="minorBidi" w:cs="Arial" w:hint="cs"/>
          <w:rtl/>
        </w:rPr>
        <w:t xml:space="preserve"> </w:t>
      </w:r>
    </w:p>
    <w:p w14:paraId="40A4CF17"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DA96AD1" w14:textId="0DF92062" w:rsidR="006A4BF8" w:rsidRDefault="006A4BF8" w:rsidP="00434A6A">
      <w:pPr>
        <w:tabs>
          <w:tab w:val="left" w:pos="2788"/>
        </w:tabs>
        <w:rPr>
          <w:rFonts w:asciiTheme="minorBidi" w:hAnsiTheme="minorBidi"/>
          <w:rtl/>
        </w:rPr>
      </w:pPr>
      <w:r w:rsidRPr="005275DF">
        <w:rPr>
          <w:rFonts w:asciiTheme="minorBidi" w:hAnsiTheme="minorBidi"/>
          <w:rtl/>
        </w:rPr>
        <w:t>אסור לטוח שמן ושום על הצלי בעודו כנגד המדורה אפילו נצלה הצלי מבעוד יום דמכל מקום יתבשל השום והשמן</w:t>
      </w:r>
      <w:r w:rsidRPr="005275DF">
        <w:rPr>
          <w:rStyle w:val="a9"/>
          <w:rFonts w:asciiTheme="minorBidi" w:hAnsiTheme="minorBidi"/>
          <w:rtl/>
        </w:rPr>
        <w:footnoteReference w:id="2900"/>
      </w:r>
      <w:r w:rsidRPr="005275DF">
        <w:rPr>
          <w:rFonts w:asciiTheme="minorBidi" w:hAnsiTheme="minorBidi"/>
          <w:rtl/>
        </w:rPr>
        <w:t>.</w:t>
      </w:r>
    </w:p>
    <w:p w14:paraId="48177D26" w14:textId="77777777" w:rsidR="006A4BF8" w:rsidRDefault="006A4BF8" w:rsidP="00434A6A">
      <w:pPr>
        <w:tabs>
          <w:tab w:val="left" w:pos="2788"/>
        </w:tabs>
        <w:rPr>
          <w:rFonts w:asciiTheme="minorBidi" w:hAnsiTheme="minorBidi"/>
          <w:rtl/>
        </w:rPr>
        <w:sectPr w:rsidR="006A4BF8" w:rsidSect="00BD29B1">
          <w:headerReference w:type="default" r:id="rId89"/>
          <w:footnotePr>
            <w:numRestart w:val="eachSect"/>
          </w:footnotePr>
          <w:pgSz w:w="11906" w:h="16838"/>
          <w:pgMar w:top="720" w:right="1134" w:bottom="720" w:left="1134" w:header="0" w:footer="0" w:gutter="0"/>
          <w:cols w:space="720"/>
          <w:bidi/>
          <w:rtlGutter/>
          <w:docGrid w:linePitch="360"/>
        </w:sectPr>
      </w:pPr>
    </w:p>
    <w:p w14:paraId="4828E582" w14:textId="77777777" w:rsidR="006A4BF8" w:rsidRPr="005275DF" w:rsidRDefault="006A4BF8" w:rsidP="00434A6A">
      <w:pPr>
        <w:pStyle w:val="1"/>
        <w:rPr>
          <w:rFonts w:asciiTheme="minorBidi" w:hAnsiTheme="minorBidi"/>
          <w:rtl/>
        </w:rPr>
      </w:pPr>
      <w:r w:rsidRPr="005275DF">
        <w:rPr>
          <w:rFonts w:asciiTheme="minorBidi" w:hAnsiTheme="minorBidi"/>
          <w:rtl/>
        </w:rPr>
        <w:t>סימן שיט: דין הבורר בשבת</w:t>
      </w:r>
      <w:r>
        <w:rPr>
          <w:rFonts w:asciiTheme="minorBidi" w:hAnsiTheme="minorBidi" w:hint="cs"/>
          <w:rtl/>
        </w:rPr>
        <w:t>, ובו יז' סעיפים</w:t>
      </w:r>
      <w:r w:rsidRPr="005275DF">
        <w:rPr>
          <w:rFonts w:asciiTheme="minorBidi" w:hAnsiTheme="minorBidi"/>
          <w:rtl/>
        </w:rPr>
        <w:t xml:space="preserve">. </w:t>
      </w:r>
    </w:p>
    <w:p w14:paraId="63F989BC"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א: רמות החיוב בברירה, ושיעור ברירה לאלתר.</w:t>
      </w:r>
    </w:p>
    <w:p w14:paraId="7725E582"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עד ע"א: </w:t>
      </w:r>
      <w:r w:rsidRPr="005275DF">
        <w:rPr>
          <w:rFonts w:asciiTheme="minorBidi" w:hAnsiTheme="minorBidi"/>
          <w:rtl/>
        </w:rPr>
        <w:t>תנו רבנן: היו לפניו</w:t>
      </w:r>
      <w:r w:rsidRPr="005275DF">
        <w:rPr>
          <w:rStyle w:val="a9"/>
          <w:rFonts w:asciiTheme="minorBidi" w:hAnsiTheme="minorBidi"/>
          <w:rtl/>
        </w:rPr>
        <w:footnoteReference w:id="2901"/>
      </w:r>
      <w:r w:rsidRPr="005275DF">
        <w:rPr>
          <w:rFonts w:asciiTheme="minorBidi" w:hAnsiTheme="minorBidi"/>
          <w:rtl/>
        </w:rPr>
        <w:t xml:space="preserve"> מיני אוכלין בורר ואוכל, בורר ומניח, ולא יברור, ואם בירר חייב חטאת. מאי קאמר?.... </w:t>
      </w:r>
      <w:r w:rsidRPr="005275DF">
        <w:rPr>
          <w:rFonts w:asciiTheme="minorBidi" w:hAnsiTheme="minorBidi"/>
          <w:u w:val="single"/>
          <w:rtl/>
        </w:rPr>
        <w:t>אמר אביי</w:t>
      </w:r>
      <w:r w:rsidRPr="005275DF">
        <w:rPr>
          <w:rFonts w:asciiTheme="minorBidi" w:hAnsiTheme="minorBidi"/>
          <w:rtl/>
        </w:rPr>
        <w:t>: בורר ואוכל לאלתר, ובורר ומניח לאלתר</w:t>
      </w:r>
      <w:r w:rsidRPr="005275DF">
        <w:rPr>
          <w:rStyle w:val="a9"/>
          <w:rFonts w:asciiTheme="minorBidi" w:hAnsiTheme="minorBidi"/>
          <w:rtl/>
        </w:rPr>
        <w:footnoteReference w:id="2902"/>
      </w:r>
      <w:r w:rsidRPr="005275DF">
        <w:rPr>
          <w:rFonts w:asciiTheme="minorBidi" w:hAnsiTheme="minorBidi"/>
          <w:rtl/>
        </w:rPr>
        <w:t xml:space="preserve">, ולבו ביום לא יברור, ואם בירר נעשה כבורר לאוצר וחייב חטאת. אמרוה רבנן קמיה דרבא, אמר להו: שפיר אמר נחמני. היו לפניו שני מיני אוכלין ובירר ואכל ובירר והניח. </w:t>
      </w:r>
      <w:r w:rsidRPr="005275DF">
        <w:rPr>
          <w:rFonts w:asciiTheme="minorBidi" w:hAnsiTheme="minorBidi"/>
          <w:u w:val="single"/>
          <w:rtl/>
        </w:rPr>
        <w:t>רב אשי מתני</w:t>
      </w:r>
      <w:r w:rsidRPr="005275DF">
        <w:rPr>
          <w:rFonts w:asciiTheme="minorBidi" w:hAnsiTheme="minorBidi"/>
          <w:rtl/>
        </w:rPr>
        <w:t xml:space="preserve">: פטור, </w:t>
      </w:r>
      <w:r w:rsidRPr="005275DF">
        <w:rPr>
          <w:rFonts w:asciiTheme="minorBidi" w:hAnsiTheme="minorBidi"/>
          <w:u w:val="single"/>
          <w:rtl/>
        </w:rPr>
        <w:t>רבי ירמיה מדיפתי מתני</w:t>
      </w:r>
      <w:r w:rsidRPr="005275DF">
        <w:rPr>
          <w:rFonts w:asciiTheme="minorBidi" w:hAnsiTheme="minorBidi"/>
          <w:rtl/>
        </w:rPr>
        <w:t>: חייב. רב אשי מתני פטור? והא תני</w:t>
      </w:r>
      <w:r w:rsidRPr="005275DF">
        <w:rPr>
          <w:rStyle w:val="a9"/>
          <w:rFonts w:asciiTheme="minorBidi" w:hAnsiTheme="minorBidi"/>
          <w:rtl/>
        </w:rPr>
        <w:footnoteReference w:id="2903"/>
      </w:r>
      <w:r w:rsidRPr="005275DF">
        <w:rPr>
          <w:rFonts w:asciiTheme="minorBidi" w:hAnsiTheme="minorBidi"/>
          <w:rtl/>
        </w:rPr>
        <w:t xml:space="preserve"> חייב! לא קשיא, הא בקנון</w:t>
      </w:r>
      <w:r w:rsidRPr="005275DF">
        <w:rPr>
          <w:rStyle w:val="a9"/>
          <w:rFonts w:asciiTheme="minorBidi" w:hAnsiTheme="minorBidi"/>
          <w:rtl/>
        </w:rPr>
        <w:footnoteReference w:id="2904"/>
      </w:r>
      <w:r w:rsidRPr="005275DF">
        <w:rPr>
          <w:rFonts w:asciiTheme="minorBidi" w:hAnsiTheme="minorBidi"/>
          <w:rtl/>
        </w:rPr>
        <w:t xml:space="preserve"> ותמחוי</w:t>
      </w:r>
      <w:r w:rsidRPr="005275DF">
        <w:rPr>
          <w:rStyle w:val="a9"/>
          <w:rFonts w:asciiTheme="minorBidi" w:hAnsiTheme="minorBidi"/>
          <w:rtl/>
        </w:rPr>
        <w:footnoteReference w:id="2905"/>
      </w:r>
      <w:r w:rsidRPr="005275DF">
        <w:rPr>
          <w:rFonts w:asciiTheme="minorBidi" w:hAnsiTheme="minorBidi"/>
          <w:rtl/>
        </w:rPr>
        <w:t xml:space="preserve">, הא בנפה וכברה. </w:t>
      </w:r>
    </w:p>
    <w:p w14:paraId="3A8933C5"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C93EF19"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הבורר אוכל מתוך פסולת או שהיו לפניו שני מיני אוכלים ובורר מין ממין אחר בנפה ובכברה חייב, בקנון ובתמחוי פטור אבל אסור, ואם ביררם</w:t>
      </w:r>
      <w:r w:rsidRPr="005275DF">
        <w:rPr>
          <w:rStyle w:val="a9"/>
          <w:rFonts w:asciiTheme="minorBidi" w:hAnsiTheme="minorBidi"/>
          <w:rtl/>
        </w:rPr>
        <w:footnoteReference w:id="2906"/>
      </w:r>
      <w:r w:rsidRPr="005275DF">
        <w:rPr>
          <w:rFonts w:asciiTheme="minorBidi" w:hAnsiTheme="minorBidi"/>
          <w:rtl/>
        </w:rPr>
        <w:t xml:space="preserve"> בידו כדי לאכול לאלתר מותר.</w:t>
      </w:r>
      <w:r w:rsidRPr="005275DF">
        <w:rPr>
          <w:rFonts w:asciiTheme="minorBidi" w:hAnsiTheme="minorBidi"/>
          <w:sz w:val="18"/>
          <w:szCs w:val="18"/>
          <w:rtl/>
        </w:rPr>
        <w:t xml:space="preserve"> הגה: וכל מה שבורר לצורך אותה סעודה שמיסב בה מיד מקרי לאלתר. ואפילו אחרים אוכלים עמו שרי (תוס'). ולכן מותר לברור הירק שקורין שלט"ן מן העלין המעופשין שבו</w:t>
      </w:r>
      <w:r w:rsidRPr="005275DF">
        <w:rPr>
          <w:rStyle w:val="a9"/>
          <w:rFonts w:asciiTheme="minorBidi" w:hAnsiTheme="minorBidi"/>
          <w:sz w:val="18"/>
          <w:szCs w:val="18"/>
          <w:rtl/>
        </w:rPr>
        <w:footnoteReference w:id="2907"/>
      </w:r>
      <w:r w:rsidRPr="005275DF">
        <w:rPr>
          <w:rFonts w:asciiTheme="minorBidi" w:hAnsiTheme="minorBidi"/>
          <w:sz w:val="18"/>
          <w:szCs w:val="18"/>
          <w:rtl/>
        </w:rPr>
        <w:t xml:space="preserve"> כל מה שצריך לאכול באותה סעודה (ב"י סי' שכ"א). </w:t>
      </w:r>
    </w:p>
    <w:p w14:paraId="12486674" w14:textId="77777777" w:rsidR="006A4BF8" w:rsidRPr="005275DF" w:rsidRDefault="006A4BF8" w:rsidP="00434A6A">
      <w:pPr>
        <w:tabs>
          <w:tab w:val="left" w:pos="2788"/>
        </w:tabs>
        <w:rPr>
          <w:rFonts w:asciiTheme="minorBidi" w:hAnsiTheme="minorBidi"/>
          <w:rtl/>
        </w:rPr>
      </w:pPr>
    </w:p>
    <w:p w14:paraId="7E8F37D8"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ב: הבורר בידו להניח.</w:t>
      </w:r>
    </w:p>
    <w:p w14:paraId="575E5327"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עד ע"א: </w:t>
      </w:r>
      <w:r w:rsidRPr="005275DF">
        <w:rPr>
          <w:rFonts w:asciiTheme="minorBidi" w:hAnsiTheme="minorBidi"/>
          <w:u w:val="single"/>
          <w:rtl/>
        </w:rPr>
        <w:t>אמר אביי</w:t>
      </w:r>
      <w:r w:rsidRPr="005275DF">
        <w:rPr>
          <w:rFonts w:asciiTheme="minorBidi" w:hAnsiTheme="minorBidi"/>
          <w:rtl/>
        </w:rPr>
        <w:t>..... ולבו ביום לא יברור, ואם בירר נעשה כבורר לאוצר וחייב חטאת.</w:t>
      </w:r>
    </w:p>
    <w:p w14:paraId="58A8D868"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6082F46E"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הבורר אוכל מתוך הפסולת בידו להניחו אפילו לבו ביום</w:t>
      </w:r>
      <w:r w:rsidRPr="005275DF">
        <w:rPr>
          <w:rStyle w:val="a9"/>
          <w:rFonts w:asciiTheme="minorBidi" w:hAnsiTheme="minorBidi"/>
          <w:rtl/>
        </w:rPr>
        <w:footnoteReference w:id="2908"/>
      </w:r>
      <w:r w:rsidRPr="005275DF">
        <w:rPr>
          <w:rFonts w:asciiTheme="minorBidi" w:hAnsiTheme="minorBidi"/>
          <w:rtl/>
        </w:rPr>
        <w:t xml:space="preserve"> נעשה כבורר לאוצר וחייב. </w:t>
      </w:r>
    </w:p>
    <w:p w14:paraId="1AE81A52" w14:textId="77777777" w:rsidR="006A4BF8" w:rsidRPr="005275DF" w:rsidRDefault="006A4BF8" w:rsidP="00434A6A">
      <w:pPr>
        <w:tabs>
          <w:tab w:val="left" w:pos="2788"/>
        </w:tabs>
        <w:rPr>
          <w:rFonts w:asciiTheme="minorBidi" w:hAnsiTheme="minorBidi"/>
          <w:rtl/>
        </w:rPr>
      </w:pPr>
    </w:p>
    <w:p w14:paraId="55468704"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ג: הבורר אוכל מתוך אוכל, וברירה במין אחד.</w:t>
      </w:r>
    </w:p>
    <w:p w14:paraId="10E8E2E8"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155A889"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היו לפניו שני מיני אוכלים מעורבים בורר אחד מאחר ומניח</w:t>
      </w:r>
      <w:r w:rsidRPr="005275DF">
        <w:rPr>
          <w:rStyle w:val="a9"/>
          <w:rFonts w:asciiTheme="minorBidi" w:hAnsiTheme="minorBidi"/>
          <w:rtl/>
        </w:rPr>
        <w:footnoteReference w:id="2909"/>
      </w:r>
      <w:r w:rsidRPr="005275DF">
        <w:rPr>
          <w:rFonts w:asciiTheme="minorBidi" w:hAnsiTheme="minorBidi"/>
          <w:rtl/>
        </w:rPr>
        <w:t xml:space="preserve"> </w:t>
      </w:r>
      <w:r w:rsidRPr="005275DF">
        <w:rPr>
          <w:rFonts w:asciiTheme="minorBidi" w:hAnsiTheme="minorBidi"/>
          <w:sz w:val="18"/>
          <w:szCs w:val="18"/>
          <w:rtl/>
        </w:rPr>
        <w:t>הגה: השני כדי</w:t>
      </w:r>
      <w:r w:rsidRPr="005275DF">
        <w:rPr>
          <w:rFonts w:asciiTheme="minorBidi" w:hAnsiTheme="minorBidi"/>
          <w:rtl/>
        </w:rPr>
        <w:t xml:space="preserve"> לאכול מיד. </w:t>
      </w:r>
      <w:r w:rsidRPr="005275DF">
        <w:rPr>
          <w:rFonts w:asciiTheme="minorBidi" w:hAnsiTheme="minorBidi"/>
          <w:sz w:val="18"/>
          <w:szCs w:val="18"/>
          <w:rtl/>
        </w:rPr>
        <w:t>הגה: ושני מיני דגים מיקרי שני מיני אוכלים ואסור לברור א' מחבירו אלא בידו כדי לאכלן מיד אף על פי שהחתיכות גדולות וכל אחת נכרת בפני עצמה. אבל כל שהוא מין א' אף על פי שבורר חתיכות גדולות מתוך קטנות לא מיקרי ברירה</w:t>
      </w:r>
      <w:r w:rsidRPr="005275DF">
        <w:rPr>
          <w:rStyle w:val="a9"/>
          <w:rFonts w:asciiTheme="minorBidi" w:hAnsiTheme="minorBidi"/>
          <w:sz w:val="18"/>
          <w:szCs w:val="18"/>
          <w:rtl/>
        </w:rPr>
        <w:footnoteReference w:id="2910"/>
      </w:r>
      <w:r w:rsidRPr="005275DF">
        <w:rPr>
          <w:rFonts w:asciiTheme="minorBidi" w:hAnsiTheme="minorBidi"/>
          <w:sz w:val="18"/>
          <w:szCs w:val="18"/>
          <w:rtl/>
        </w:rPr>
        <w:t xml:space="preserve">. ואפילו היו שני מינים ובורר משניהם ביחד הגדולות מתוך הקטנות או להיפך שרי הואיל ואינו בורר מין אחד מתוך חבירו (תרוה"ד סי' נ"ז). </w:t>
      </w:r>
      <w:r w:rsidRPr="005275DF">
        <w:rPr>
          <w:rFonts w:asciiTheme="minorBidi" w:hAnsiTheme="minorBidi"/>
          <w:rtl/>
        </w:rPr>
        <w:t>ואם בירר והניח לאחר זמן אפילו לבו ביום כגון שבירר שחרית לאכול בין הערבים</w:t>
      </w:r>
      <w:r w:rsidRPr="005275DF">
        <w:rPr>
          <w:rStyle w:val="a9"/>
          <w:rFonts w:asciiTheme="minorBidi" w:hAnsiTheme="minorBidi"/>
          <w:rtl/>
        </w:rPr>
        <w:footnoteReference w:id="2911"/>
      </w:r>
      <w:r w:rsidRPr="005275DF">
        <w:rPr>
          <w:rFonts w:asciiTheme="minorBidi" w:hAnsiTheme="minorBidi"/>
          <w:rtl/>
        </w:rPr>
        <w:t xml:space="preserve"> חייב. </w:t>
      </w:r>
    </w:p>
    <w:p w14:paraId="5E2F69D5" w14:textId="77777777" w:rsidR="006A4BF8" w:rsidRPr="005275DF" w:rsidRDefault="006A4BF8" w:rsidP="00434A6A">
      <w:pPr>
        <w:tabs>
          <w:tab w:val="left" w:pos="2788"/>
        </w:tabs>
        <w:rPr>
          <w:rFonts w:asciiTheme="minorBidi" w:hAnsiTheme="minorBidi"/>
          <w:rtl/>
        </w:rPr>
      </w:pPr>
    </w:p>
    <w:p w14:paraId="5BFBF6F4"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ד: הבורר פסולת מתוך אוכל.</w:t>
      </w:r>
    </w:p>
    <w:p w14:paraId="6C3DE207" w14:textId="77777777" w:rsidR="006A4BF8" w:rsidRPr="005275DF" w:rsidRDefault="006A4BF8" w:rsidP="00434A6A">
      <w:pPr>
        <w:rPr>
          <w:rFonts w:asciiTheme="minorBidi" w:hAnsiTheme="minorBidi"/>
          <w:rtl/>
        </w:rPr>
      </w:pPr>
      <w:r w:rsidRPr="005275DF">
        <w:rPr>
          <w:rFonts w:asciiTheme="minorBidi" w:hAnsiTheme="minorBidi"/>
          <w:b/>
          <w:bCs/>
          <w:rtl/>
        </w:rPr>
        <w:t xml:space="preserve">ביצה יד ע"ב: </w:t>
      </w:r>
      <w:r w:rsidRPr="005275DF">
        <w:rPr>
          <w:rFonts w:asciiTheme="minorBidi" w:hAnsiTheme="minorBidi"/>
          <w:u w:val="double"/>
          <w:rtl/>
        </w:rPr>
        <w:t>משנה:</w:t>
      </w:r>
      <w:r w:rsidRPr="005275DF">
        <w:rPr>
          <w:rFonts w:asciiTheme="minorBidi" w:hAnsiTheme="minorBidi"/>
          <w:rtl/>
        </w:rPr>
        <w:t xml:space="preserve"> הבורר קטניות ביום טוב </w:t>
      </w:r>
      <w:r w:rsidRPr="005275DF">
        <w:rPr>
          <w:rFonts w:asciiTheme="minorBidi" w:hAnsiTheme="minorBidi"/>
          <w:u w:val="single"/>
          <w:rtl/>
        </w:rPr>
        <w:t>בית שמאי אומרים</w:t>
      </w:r>
      <w:r w:rsidRPr="005275DF">
        <w:rPr>
          <w:rFonts w:asciiTheme="minorBidi" w:hAnsiTheme="minorBidi"/>
          <w:rtl/>
        </w:rPr>
        <w:t xml:space="preserve">: בורר אוכל ואוכל, </w:t>
      </w:r>
      <w:r w:rsidRPr="005275DF">
        <w:rPr>
          <w:rFonts w:asciiTheme="minorBidi" w:hAnsiTheme="minorBidi"/>
          <w:u w:val="single"/>
          <w:rtl/>
        </w:rPr>
        <w:t>ובית הלל אומרים</w:t>
      </w:r>
      <w:r w:rsidRPr="005275DF">
        <w:rPr>
          <w:rFonts w:asciiTheme="minorBidi" w:hAnsiTheme="minorBidi"/>
          <w:rtl/>
        </w:rPr>
        <w:t xml:space="preserve">: בורר כדרכו...      </w:t>
      </w:r>
      <w:r w:rsidRPr="005275DF">
        <w:rPr>
          <w:rFonts w:asciiTheme="minorBidi" w:hAnsiTheme="minorBidi"/>
          <w:u w:val="double"/>
          <w:rtl/>
        </w:rPr>
        <w:t>גמ':</w:t>
      </w:r>
      <w:r w:rsidRPr="005275DF">
        <w:rPr>
          <w:rFonts w:asciiTheme="minorBidi" w:hAnsiTheme="minorBidi"/>
          <w:rtl/>
        </w:rPr>
        <w:t xml:space="preserve"> תניא, </w:t>
      </w:r>
      <w:r w:rsidRPr="005275DF">
        <w:rPr>
          <w:rFonts w:asciiTheme="minorBidi" w:hAnsiTheme="minorBidi"/>
          <w:u w:val="single"/>
          <w:rtl/>
        </w:rPr>
        <w:t>אמר רבן גמליאל</w:t>
      </w:r>
      <w:r w:rsidRPr="005275DF">
        <w:rPr>
          <w:rFonts w:asciiTheme="minorBidi" w:hAnsiTheme="minorBidi"/>
          <w:rtl/>
        </w:rPr>
        <w:t>: במה דברים אמורים</w:t>
      </w:r>
      <w:r w:rsidRPr="005275DF">
        <w:rPr>
          <w:rStyle w:val="a9"/>
          <w:rFonts w:asciiTheme="minorBidi" w:hAnsiTheme="minorBidi"/>
          <w:rtl/>
        </w:rPr>
        <w:footnoteReference w:id="2912"/>
      </w:r>
      <w:r w:rsidRPr="005275DF">
        <w:rPr>
          <w:rFonts w:asciiTheme="minorBidi" w:hAnsiTheme="minorBidi"/>
          <w:rtl/>
        </w:rPr>
        <w:t xml:space="preserve"> - כשהאוכל מרובה על הפסולת, אבל פסולת מרובה על האוכל דברי הכל נוטל את האוכל ומניח את הפסולת. פסולת מרובה על האוכל מי איכא מאן דשרי</w:t>
      </w:r>
      <w:r w:rsidRPr="005275DF">
        <w:rPr>
          <w:rStyle w:val="a9"/>
          <w:rFonts w:asciiTheme="minorBidi" w:hAnsiTheme="minorBidi"/>
          <w:rtl/>
        </w:rPr>
        <w:footnoteReference w:id="2913"/>
      </w:r>
      <w:r w:rsidRPr="005275DF">
        <w:rPr>
          <w:rFonts w:asciiTheme="minorBidi" w:hAnsiTheme="minorBidi"/>
          <w:rtl/>
        </w:rPr>
        <w:t>? לא צריכא, דנפיש בטרחא וזוטר בשיעורא.</w:t>
      </w:r>
    </w:p>
    <w:p w14:paraId="00A72E2F"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28A37AFF"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הבורר פסולת מתוך אוכל אפילו בידו אחת חייב</w:t>
      </w:r>
      <w:r w:rsidRPr="005275DF">
        <w:rPr>
          <w:rStyle w:val="a9"/>
          <w:rFonts w:asciiTheme="minorBidi" w:hAnsiTheme="minorBidi"/>
          <w:rtl/>
        </w:rPr>
        <w:footnoteReference w:id="2914"/>
      </w:r>
      <w:r w:rsidRPr="005275DF">
        <w:rPr>
          <w:rFonts w:asciiTheme="minorBidi" w:hAnsiTheme="minorBidi"/>
          <w:rtl/>
        </w:rPr>
        <w:t xml:space="preserve">. </w:t>
      </w:r>
      <w:r w:rsidRPr="005275DF">
        <w:rPr>
          <w:rFonts w:asciiTheme="minorBidi" w:hAnsiTheme="minorBidi"/>
          <w:sz w:val="18"/>
          <w:szCs w:val="18"/>
          <w:rtl/>
        </w:rPr>
        <w:t>הגה: ואפילו האוכל מרובה ויש יותר טורח בברירת האוכל אפילו הכי לא יברר הפסולת אפילו כדי לאכול לאלתר (ב"י).</w:t>
      </w:r>
      <w:r w:rsidRPr="005275DF">
        <w:rPr>
          <w:rFonts w:asciiTheme="minorBidi" w:hAnsiTheme="minorBidi"/>
          <w:rtl/>
        </w:rPr>
        <w:t xml:space="preserve"> </w:t>
      </w:r>
    </w:p>
    <w:p w14:paraId="22B24BC7" w14:textId="77777777" w:rsidR="006A4BF8" w:rsidRPr="005275DF" w:rsidRDefault="006A4BF8" w:rsidP="00434A6A">
      <w:pPr>
        <w:tabs>
          <w:tab w:val="left" w:pos="2788"/>
        </w:tabs>
        <w:rPr>
          <w:rFonts w:asciiTheme="minorBidi" w:hAnsiTheme="minorBidi"/>
          <w:rtl/>
        </w:rPr>
      </w:pPr>
    </w:p>
    <w:p w14:paraId="2D11C6AE"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ה: הבורר תורמוסים.</w:t>
      </w:r>
    </w:p>
    <w:p w14:paraId="1DFFD7F1"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עד ע"א: </w:t>
      </w:r>
      <w:r w:rsidRPr="005275DF">
        <w:rPr>
          <w:rFonts w:asciiTheme="minorBidi" w:hAnsiTheme="minorBidi"/>
          <w:u w:val="single"/>
          <w:rtl/>
        </w:rPr>
        <w:t>חזקיה אמר</w:t>
      </w:r>
      <w:r w:rsidRPr="005275DF">
        <w:rPr>
          <w:rFonts w:asciiTheme="minorBidi" w:hAnsiTheme="minorBidi"/>
          <w:rtl/>
        </w:rPr>
        <w:t>: הבורר תורמוסים מתוך פסולת שלהן חייב. לימא קסבר חזקיה אוכל מתוך פסולת אסור! שאני תורמוסים דשלקיה ליה שבעא זימני, ואי לא שקלי ליה מסרח וכפסולת מתוך אוכל דמי.</w:t>
      </w:r>
    </w:p>
    <w:p w14:paraId="7353FE34"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84C0BD8"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הבורר תורמוסים מתוך פסולת שלהם חייב מפני שהפסולת שלהם ממתקת אותם כשישלקו אותו עמהם ונמצא כבורר פסולת מתוך אוכל וחייב. </w:t>
      </w:r>
    </w:p>
    <w:p w14:paraId="186F6085" w14:textId="77777777" w:rsidR="006A4BF8" w:rsidRPr="005275DF" w:rsidRDefault="006A4BF8" w:rsidP="00434A6A">
      <w:pPr>
        <w:tabs>
          <w:tab w:val="left" w:pos="2788"/>
        </w:tabs>
        <w:rPr>
          <w:rFonts w:asciiTheme="minorBidi" w:hAnsiTheme="minorBidi"/>
          <w:rtl/>
        </w:rPr>
      </w:pPr>
    </w:p>
    <w:p w14:paraId="03D69C52"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ו: מלילת מלילות.</w:t>
      </w:r>
    </w:p>
    <w:p w14:paraId="5B37ACA3" w14:textId="77777777" w:rsidR="006A4BF8" w:rsidRPr="005275DF" w:rsidRDefault="006A4BF8" w:rsidP="00434A6A">
      <w:pPr>
        <w:rPr>
          <w:rFonts w:asciiTheme="minorBidi" w:hAnsiTheme="minorBidi"/>
          <w:rtl/>
        </w:rPr>
      </w:pPr>
      <w:r w:rsidRPr="005275DF">
        <w:rPr>
          <w:rFonts w:asciiTheme="minorBidi" w:hAnsiTheme="minorBidi"/>
          <w:b/>
          <w:bCs/>
          <w:rtl/>
        </w:rPr>
        <w:t xml:space="preserve">ביצה יב ב: </w:t>
      </w:r>
      <w:r w:rsidRPr="005275DF">
        <w:rPr>
          <w:rFonts w:asciiTheme="minorBidi" w:hAnsiTheme="minorBidi"/>
          <w:rtl/>
        </w:rPr>
        <w:t>המולל מלילות</w:t>
      </w:r>
      <w:r w:rsidRPr="005275DF">
        <w:rPr>
          <w:rStyle w:val="a9"/>
          <w:rFonts w:asciiTheme="minorBidi" w:hAnsiTheme="minorBidi"/>
          <w:rtl/>
        </w:rPr>
        <w:footnoteReference w:id="2915"/>
      </w:r>
      <w:r w:rsidRPr="005275DF">
        <w:rPr>
          <w:rFonts w:asciiTheme="minorBidi" w:hAnsiTheme="minorBidi"/>
          <w:rtl/>
        </w:rPr>
        <w:t xml:space="preserve"> מערב שבת למחר מנפח מיד ליד</w:t>
      </w:r>
      <w:r w:rsidRPr="005275DF">
        <w:rPr>
          <w:rStyle w:val="a9"/>
          <w:rFonts w:asciiTheme="minorBidi" w:hAnsiTheme="minorBidi"/>
          <w:rtl/>
        </w:rPr>
        <w:footnoteReference w:id="2916"/>
      </w:r>
      <w:r w:rsidRPr="005275DF">
        <w:rPr>
          <w:rFonts w:asciiTheme="minorBidi" w:hAnsiTheme="minorBidi"/>
          <w:rtl/>
        </w:rPr>
        <w:t xml:space="preserve"> ואוכל, אבל לא בקנון ולא בתמחוי</w:t>
      </w:r>
      <w:r w:rsidRPr="005275DF">
        <w:rPr>
          <w:rStyle w:val="a9"/>
          <w:rFonts w:asciiTheme="minorBidi" w:hAnsiTheme="minorBidi"/>
          <w:rtl/>
        </w:rPr>
        <w:footnoteReference w:id="2917"/>
      </w:r>
      <w:r w:rsidRPr="005275DF">
        <w:rPr>
          <w:rFonts w:asciiTheme="minorBidi" w:hAnsiTheme="minorBidi"/>
          <w:rtl/>
        </w:rPr>
        <w:t xml:space="preserve">....  </w:t>
      </w:r>
      <w:r w:rsidRPr="005275DF">
        <w:rPr>
          <w:rFonts w:asciiTheme="minorBidi" w:hAnsiTheme="minorBidi"/>
          <w:sz w:val="16"/>
          <w:szCs w:val="16"/>
          <w:u w:val="double"/>
          <w:rtl/>
        </w:rPr>
        <w:t>(יג:)</w:t>
      </w:r>
      <w:r w:rsidRPr="005275DF">
        <w:rPr>
          <w:rFonts w:asciiTheme="minorBidi" w:hAnsiTheme="minorBidi"/>
          <w:sz w:val="16"/>
          <w:szCs w:val="16"/>
          <w:rtl/>
        </w:rPr>
        <w:t xml:space="preserve"> </w:t>
      </w:r>
      <w:r w:rsidRPr="005275DF">
        <w:rPr>
          <w:rFonts w:asciiTheme="minorBidi" w:hAnsiTheme="minorBidi"/>
          <w:rtl/>
        </w:rPr>
        <w:t>כיצד מולל? אביי משמיה דרב יוסף אמר: חדא אחדא</w:t>
      </w:r>
      <w:r w:rsidRPr="005275DF">
        <w:rPr>
          <w:rStyle w:val="a9"/>
          <w:rFonts w:asciiTheme="minorBidi" w:hAnsiTheme="minorBidi"/>
          <w:rtl/>
        </w:rPr>
        <w:footnoteReference w:id="2918"/>
      </w:r>
      <w:r w:rsidRPr="005275DF">
        <w:rPr>
          <w:rFonts w:asciiTheme="minorBidi" w:hAnsiTheme="minorBidi"/>
          <w:rtl/>
        </w:rPr>
        <w:t>, ורב אויא משמיה דרב יוסף אמר: חדא אתרתי</w:t>
      </w:r>
      <w:r w:rsidRPr="005275DF">
        <w:rPr>
          <w:rStyle w:val="a9"/>
          <w:rFonts w:asciiTheme="minorBidi" w:hAnsiTheme="minorBidi"/>
          <w:rtl/>
        </w:rPr>
        <w:footnoteReference w:id="2919"/>
      </w:r>
      <w:r w:rsidRPr="005275DF">
        <w:rPr>
          <w:rFonts w:asciiTheme="minorBidi" w:hAnsiTheme="minorBidi"/>
          <w:rtl/>
        </w:rPr>
        <w:t>. רבא אמר: כיון דמשני - אפילו חדא אכולהו נמי.</w:t>
      </w:r>
    </w:p>
    <w:p w14:paraId="01E6C18F"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קכח ע"א: </w:t>
      </w:r>
      <w:r w:rsidRPr="005275DF">
        <w:rPr>
          <w:rFonts w:asciiTheme="minorBidi" w:hAnsiTheme="minorBidi"/>
          <w:rtl/>
        </w:rPr>
        <w:t>חבילי סיאה אזוב וקורנית</w:t>
      </w:r>
      <w:r w:rsidRPr="005275DF">
        <w:rPr>
          <w:rStyle w:val="a9"/>
          <w:rFonts w:asciiTheme="minorBidi" w:hAnsiTheme="minorBidi"/>
          <w:rtl/>
        </w:rPr>
        <w:footnoteReference w:id="2920"/>
      </w:r>
      <w:r w:rsidRPr="005275DF">
        <w:rPr>
          <w:rFonts w:asciiTheme="minorBidi" w:hAnsiTheme="minorBidi"/>
          <w:rtl/>
        </w:rPr>
        <w:t xml:space="preserve"> הכניסן לעצים</w:t>
      </w:r>
      <w:r w:rsidRPr="005275DF">
        <w:rPr>
          <w:rStyle w:val="a9"/>
          <w:rFonts w:asciiTheme="minorBidi" w:hAnsiTheme="minorBidi"/>
          <w:rtl/>
        </w:rPr>
        <w:footnoteReference w:id="2921"/>
      </w:r>
      <w:r w:rsidRPr="005275DF">
        <w:rPr>
          <w:rFonts w:asciiTheme="minorBidi" w:hAnsiTheme="minorBidi"/>
          <w:rtl/>
        </w:rPr>
        <w:t xml:space="preserve"> - אין מסתפק מהן בשבת, למאכל בהמה - מסתפק מהן בשבת וקוטם ביד ואוכל ובלבד שלא יקטום בכלי</w:t>
      </w:r>
      <w:r w:rsidRPr="005275DF">
        <w:rPr>
          <w:rStyle w:val="a9"/>
          <w:rFonts w:asciiTheme="minorBidi" w:hAnsiTheme="minorBidi"/>
          <w:rtl/>
        </w:rPr>
        <w:footnoteReference w:id="2922"/>
      </w:r>
      <w:r w:rsidRPr="005275DF">
        <w:rPr>
          <w:rFonts w:asciiTheme="minorBidi" w:hAnsiTheme="minorBidi"/>
          <w:rtl/>
        </w:rPr>
        <w:t xml:space="preserve">, ומולל ואוכל ובלבד שלא ימלול בכלי הרבה </w:t>
      </w:r>
      <w:r w:rsidRPr="005275DF">
        <w:rPr>
          <w:rFonts w:asciiTheme="minorBidi" w:hAnsiTheme="minorBidi"/>
          <w:u w:val="single"/>
          <w:rtl/>
        </w:rPr>
        <w:t>דברי רבי יהודה.</w:t>
      </w:r>
      <w:r w:rsidRPr="005275DF">
        <w:rPr>
          <w:rFonts w:asciiTheme="minorBidi" w:hAnsiTheme="minorBidi"/>
          <w:rtl/>
        </w:rPr>
        <w:t xml:space="preserve"> </w:t>
      </w:r>
      <w:r w:rsidRPr="005275DF">
        <w:rPr>
          <w:rFonts w:asciiTheme="minorBidi" w:hAnsiTheme="minorBidi"/>
          <w:u w:val="single"/>
          <w:rtl/>
        </w:rPr>
        <w:t>וחכמים אומרים:</w:t>
      </w:r>
      <w:r w:rsidRPr="005275DF">
        <w:rPr>
          <w:rFonts w:asciiTheme="minorBidi" w:hAnsiTheme="minorBidi"/>
          <w:rtl/>
        </w:rPr>
        <w:t xml:space="preserve"> מולל בראשי אצבעותיו</w:t>
      </w:r>
      <w:r w:rsidRPr="005275DF">
        <w:rPr>
          <w:rStyle w:val="a9"/>
          <w:rFonts w:asciiTheme="minorBidi" w:hAnsiTheme="minorBidi"/>
          <w:rtl/>
        </w:rPr>
        <w:footnoteReference w:id="2923"/>
      </w:r>
      <w:r w:rsidRPr="005275DF">
        <w:rPr>
          <w:rFonts w:asciiTheme="minorBidi" w:hAnsiTheme="minorBidi"/>
          <w:rtl/>
        </w:rPr>
        <w:t xml:space="preserve"> ואוכל ובלבד שלא ימלול בידו הרבה כדרך שהוא עושה בחול.</w:t>
      </w:r>
    </w:p>
    <w:p w14:paraId="416AB215"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53EAE0A"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אין מוללין מלילות אלא מולל בשינוי מעט בראשי אצבעותיו. </w:t>
      </w:r>
      <w:r w:rsidRPr="005275DF">
        <w:rPr>
          <w:rFonts w:asciiTheme="minorBidi" w:hAnsiTheme="minorBidi"/>
          <w:sz w:val="18"/>
          <w:szCs w:val="18"/>
          <w:rtl/>
        </w:rPr>
        <w:t>הגה: ואף על פי שמפרק האוכל מתוך השבלים הואיל ואינו מפרק רק כלאחר יד כדי לאכול שרי. ויש מחמירין (מרדכי ור"ן), ולכן אסור לפרק האגוזים לוזים או אגוזים גדולים מתוך קליפתן הירוקה</w:t>
      </w:r>
      <w:r w:rsidRPr="005275DF">
        <w:rPr>
          <w:rStyle w:val="a9"/>
          <w:rFonts w:asciiTheme="minorBidi" w:hAnsiTheme="minorBidi"/>
          <w:sz w:val="18"/>
          <w:szCs w:val="18"/>
          <w:rtl/>
        </w:rPr>
        <w:footnoteReference w:id="2924"/>
      </w:r>
      <w:r w:rsidRPr="005275DF">
        <w:rPr>
          <w:rFonts w:asciiTheme="minorBidi" w:hAnsiTheme="minorBidi"/>
          <w:sz w:val="18"/>
          <w:szCs w:val="18"/>
          <w:rtl/>
        </w:rPr>
        <w:t xml:space="preserve"> (מהרי"ל), וטוב להחמיר מאחר דיכול לאכלן כך בלא פירוק. </w:t>
      </w:r>
    </w:p>
    <w:p w14:paraId="40A78A61" w14:textId="77777777" w:rsidR="006A4BF8" w:rsidRPr="005275DF" w:rsidRDefault="006A4BF8" w:rsidP="00434A6A">
      <w:pPr>
        <w:tabs>
          <w:tab w:val="left" w:pos="2788"/>
        </w:tabs>
        <w:rPr>
          <w:rFonts w:asciiTheme="minorBidi" w:hAnsiTheme="minorBidi"/>
          <w:rtl/>
        </w:rPr>
      </w:pPr>
    </w:p>
    <w:p w14:paraId="76746F6C"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ז: ניפוי מלילות.</w:t>
      </w:r>
    </w:p>
    <w:p w14:paraId="6BE3674F" w14:textId="77777777" w:rsidR="006A4BF8" w:rsidRPr="005275DF" w:rsidRDefault="006A4BF8" w:rsidP="00434A6A">
      <w:pPr>
        <w:rPr>
          <w:rFonts w:asciiTheme="minorBidi" w:hAnsiTheme="minorBidi"/>
          <w:rtl/>
        </w:rPr>
      </w:pPr>
      <w:r w:rsidRPr="005275DF">
        <w:rPr>
          <w:rFonts w:asciiTheme="minorBidi" w:hAnsiTheme="minorBidi"/>
          <w:b/>
          <w:bCs/>
          <w:rtl/>
        </w:rPr>
        <w:t xml:space="preserve">ביצה יב ב: </w:t>
      </w:r>
      <w:r w:rsidRPr="005275DF">
        <w:rPr>
          <w:rFonts w:asciiTheme="minorBidi" w:hAnsiTheme="minorBidi"/>
          <w:rtl/>
        </w:rPr>
        <w:t>המולל מלילות</w:t>
      </w:r>
      <w:r w:rsidRPr="005275DF">
        <w:rPr>
          <w:rStyle w:val="a9"/>
          <w:rFonts w:asciiTheme="minorBidi" w:hAnsiTheme="minorBidi"/>
          <w:rtl/>
        </w:rPr>
        <w:footnoteReference w:id="2925"/>
      </w:r>
      <w:r w:rsidRPr="005275DF">
        <w:rPr>
          <w:rFonts w:asciiTheme="minorBidi" w:hAnsiTheme="minorBidi"/>
          <w:rtl/>
        </w:rPr>
        <w:t xml:space="preserve"> מערב שבת למחר מנפח מיד ליד</w:t>
      </w:r>
      <w:r w:rsidRPr="005275DF">
        <w:rPr>
          <w:rStyle w:val="a9"/>
          <w:rFonts w:asciiTheme="minorBidi" w:hAnsiTheme="minorBidi"/>
          <w:rtl/>
        </w:rPr>
        <w:footnoteReference w:id="2926"/>
      </w:r>
      <w:r w:rsidRPr="005275DF">
        <w:rPr>
          <w:rFonts w:asciiTheme="minorBidi" w:hAnsiTheme="minorBidi"/>
          <w:rtl/>
        </w:rPr>
        <w:t xml:space="preserve"> ואוכל, אבל לא בקנון ולא בתמחוי</w:t>
      </w:r>
      <w:r w:rsidRPr="005275DF">
        <w:rPr>
          <w:rStyle w:val="a9"/>
          <w:rFonts w:asciiTheme="minorBidi" w:hAnsiTheme="minorBidi"/>
          <w:rtl/>
        </w:rPr>
        <w:footnoteReference w:id="2927"/>
      </w:r>
      <w:r w:rsidRPr="005275DF">
        <w:rPr>
          <w:rFonts w:asciiTheme="minorBidi" w:hAnsiTheme="minorBidi"/>
          <w:rtl/>
        </w:rPr>
        <w:t xml:space="preserve">.... </w:t>
      </w:r>
      <w:r w:rsidRPr="005275DF">
        <w:rPr>
          <w:rFonts w:asciiTheme="minorBidi" w:hAnsiTheme="minorBidi"/>
          <w:sz w:val="16"/>
          <w:szCs w:val="16"/>
          <w:u w:val="double"/>
          <w:rtl/>
        </w:rPr>
        <w:t>(יג:)</w:t>
      </w:r>
      <w:r w:rsidRPr="005275DF">
        <w:rPr>
          <w:rFonts w:asciiTheme="minorBidi" w:hAnsiTheme="minorBidi"/>
          <w:sz w:val="16"/>
          <w:szCs w:val="16"/>
          <w:rtl/>
        </w:rPr>
        <w:t xml:space="preserve"> </w:t>
      </w:r>
      <w:r w:rsidRPr="005275DF">
        <w:rPr>
          <w:rFonts w:asciiTheme="minorBidi" w:hAnsiTheme="minorBidi"/>
          <w:rtl/>
        </w:rPr>
        <w:t>כיצד מנפח</w:t>
      </w:r>
      <w:r w:rsidRPr="005275DF">
        <w:rPr>
          <w:rStyle w:val="a9"/>
          <w:rFonts w:asciiTheme="minorBidi" w:hAnsiTheme="minorBidi"/>
          <w:rtl/>
        </w:rPr>
        <w:footnoteReference w:id="2928"/>
      </w:r>
      <w:r w:rsidRPr="005275DF">
        <w:rPr>
          <w:rFonts w:asciiTheme="minorBidi" w:hAnsiTheme="minorBidi"/>
          <w:rtl/>
        </w:rPr>
        <w:t xml:space="preserve">? </w:t>
      </w:r>
      <w:r w:rsidRPr="005275DF">
        <w:rPr>
          <w:rFonts w:asciiTheme="minorBidi" w:hAnsiTheme="minorBidi"/>
          <w:u w:val="single"/>
          <w:rtl/>
        </w:rPr>
        <w:t>אמר רב אדא בר אהבה אמר רב</w:t>
      </w:r>
      <w:r w:rsidRPr="005275DF">
        <w:rPr>
          <w:rFonts w:asciiTheme="minorBidi" w:hAnsiTheme="minorBidi"/>
          <w:rtl/>
        </w:rPr>
        <w:t>: מנפח מקשרי אצבעותיו</w:t>
      </w:r>
      <w:r w:rsidRPr="005275DF">
        <w:rPr>
          <w:rStyle w:val="a9"/>
          <w:rFonts w:asciiTheme="minorBidi" w:hAnsiTheme="minorBidi"/>
          <w:rtl/>
        </w:rPr>
        <w:footnoteReference w:id="2929"/>
      </w:r>
      <w:r w:rsidRPr="005275DF">
        <w:rPr>
          <w:rFonts w:asciiTheme="minorBidi" w:hAnsiTheme="minorBidi"/>
          <w:rtl/>
        </w:rPr>
        <w:t xml:space="preserve"> ולמעלה. מחכו עלה במערבא: כיון דמשני - אפילו בכולה ידא נמי. </w:t>
      </w:r>
      <w:r w:rsidRPr="005275DF">
        <w:rPr>
          <w:rFonts w:asciiTheme="minorBidi" w:hAnsiTheme="minorBidi"/>
          <w:u w:val="single"/>
          <w:rtl/>
        </w:rPr>
        <w:t>אלא אמר רבי אלעזר</w:t>
      </w:r>
      <w:r w:rsidRPr="005275DF">
        <w:rPr>
          <w:rFonts w:asciiTheme="minorBidi" w:hAnsiTheme="minorBidi"/>
          <w:rtl/>
        </w:rPr>
        <w:t xml:space="preserve">: מנפח בידו אחת ובכל כחו. </w:t>
      </w:r>
      <w:r w:rsidRPr="005275DF">
        <w:rPr>
          <w:rFonts w:asciiTheme="minorBidi" w:hAnsiTheme="minorBidi"/>
          <w:sz w:val="16"/>
          <w:szCs w:val="16"/>
          <w:rtl/>
        </w:rPr>
        <w:t>(ופסקו רי"ף רמב"ם ר"ן והה"מ כרבי אלעזר)</w:t>
      </w:r>
    </w:p>
    <w:p w14:paraId="0DFF4341" w14:textId="77777777" w:rsidR="006A4BF8" w:rsidRPr="005275DF" w:rsidRDefault="006A4BF8" w:rsidP="00434A6A">
      <w:pPr>
        <w:rPr>
          <w:rFonts w:asciiTheme="minorBidi" w:hAnsiTheme="minorBidi"/>
          <w:rtl/>
        </w:rPr>
      </w:pPr>
      <w:r w:rsidRPr="005275DF">
        <w:rPr>
          <w:rFonts w:asciiTheme="minorBidi" w:hAnsiTheme="minorBidi"/>
          <w:b/>
          <w:bCs/>
          <w:rtl/>
        </w:rPr>
        <w:t xml:space="preserve">ביצה יג ב: </w:t>
      </w:r>
      <w:r w:rsidRPr="005275DF">
        <w:rPr>
          <w:rFonts w:asciiTheme="minorBidi" w:hAnsiTheme="minorBidi"/>
          <w:rtl/>
        </w:rPr>
        <w:t>תנן התם: המקלף שעורין</w:t>
      </w:r>
      <w:r w:rsidRPr="005275DF">
        <w:rPr>
          <w:rStyle w:val="a9"/>
          <w:rFonts w:asciiTheme="minorBidi" w:hAnsiTheme="minorBidi"/>
          <w:rtl/>
        </w:rPr>
        <w:footnoteReference w:id="2930"/>
      </w:r>
      <w:r w:rsidRPr="005275DF">
        <w:rPr>
          <w:rFonts w:asciiTheme="minorBidi" w:hAnsiTheme="minorBidi"/>
          <w:rtl/>
        </w:rPr>
        <w:t xml:space="preserve"> מקלף אחת אחת ואוכל</w:t>
      </w:r>
      <w:r w:rsidRPr="005275DF">
        <w:rPr>
          <w:rStyle w:val="a9"/>
          <w:rFonts w:asciiTheme="minorBidi" w:hAnsiTheme="minorBidi"/>
          <w:rtl/>
        </w:rPr>
        <w:footnoteReference w:id="2931"/>
      </w:r>
      <w:r w:rsidRPr="005275DF">
        <w:rPr>
          <w:rFonts w:asciiTheme="minorBidi" w:hAnsiTheme="minorBidi"/>
          <w:rtl/>
        </w:rPr>
        <w:t>, ואם קלף ונתן לתוך ידו חייב</w:t>
      </w:r>
      <w:r w:rsidRPr="005275DF">
        <w:rPr>
          <w:rStyle w:val="a9"/>
          <w:rFonts w:asciiTheme="minorBidi" w:hAnsiTheme="minorBidi"/>
          <w:rtl/>
        </w:rPr>
        <w:footnoteReference w:id="2932"/>
      </w:r>
      <w:r w:rsidRPr="005275DF">
        <w:rPr>
          <w:rFonts w:asciiTheme="minorBidi" w:hAnsiTheme="minorBidi"/>
          <w:rtl/>
        </w:rPr>
        <w:t xml:space="preserve">. </w:t>
      </w:r>
      <w:r w:rsidRPr="005275DF">
        <w:rPr>
          <w:rFonts w:asciiTheme="minorBidi" w:hAnsiTheme="minorBidi"/>
          <w:u w:val="single"/>
          <w:rtl/>
        </w:rPr>
        <w:t>אמר רבי אלעזר</w:t>
      </w:r>
      <w:r w:rsidRPr="005275DF">
        <w:rPr>
          <w:rFonts w:asciiTheme="minorBidi" w:hAnsiTheme="minorBidi"/>
          <w:rtl/>
        </w:rPr>
        <w:t>: וכן לשבת</w:t>
      </w:r>
      <w:r w:rsidRPr="005275DF">
        <w:rPr>
          <w:rStyle w:val="a9"/>
          <w:rFonts w:asciiTheme="minorBidi" w:hAnsiTheme="minorBidi"/>
          <w:rtl/>
        </w:rPr>
        <w:footnoteReference w:id="2933"/>
      </w:r>
      <w:r w:rsidRPr="005275DF">
        <w:rPr>
          <w:rFonts w:asciiTheme="minorBidi" w:hAnsiTheme="minorBidi"/>
          <w:rtl/>
        </w:rPr>
        <w:t>. איני? והא רב מקלפא ליה דביתהו כסי כסי</w:t>
      </w:r>
      <w:r w:rsidRPr="005275DF">
        <w:rPr>
          <w:rStyle w:val="a9"/>
          <w:rFonts w:asciiTheme="minorBidi" w:hAnsiTheme="minorBidi"/>
          <w:rtl/>
        </w:rPr>
        <w:footnoteReference w:id="2934"/>
      </w:r>
      <w:r w:rsidRPr="005275DF">
        <w:rPr>
          <w:rFonts w:asciiTheme="minorBidi" w:hAnsiTheme="minorBidi"/>
          <w:rtl/>
        </w:rPr>
        <w:t xml:space="preserve"> ורבי חייא מקלפא ליה דביתהו כסי כסי! אלא אי אתמר אסיפא אתמר: המולל מלילות של חטים מנפח על יד על יד ואוכל</w:t>
      </w:r>
      <w:r w:rsidRPr="005275DF">
        <w:rPr>
          <w:rStyle w:val="a9"/>
          <w:rFonts w:asciiTheme="minorBidi" w:hAnsiTheme="minorBidi"/>
          <w:rtl/>
        </w:rPr>
        <w:footnoteReference w:id="2935"/>
      </w:r>
      <w:r w:rsidRPr="005275DF">
        <w:rPr>
          <w:rFonts w:asciiTheme="minorBidi" w:hAnsiTheme="minorBidi"/>
          <w:rtl/>
        </w:rPr>
        <w:t xml:space="preserve"> ואם נפח ונתן לתוך חיקו</w:t>
      </w:r>
      <w:r w:rsidRPr="005275DF">
        <w:rPr>
          <w:rStyle w:val="a9"/>
          <w:rFonts w:asciiTheme="minorBidi" w:hAnsiTheme="minorBidi"/>
          <w:rtl/>
        </w:rPr>
        <w:footnoteReference w:id="2936"/>
      </w:r>
      <w:r w:rsidRPr="005275DF">
        <w:rPr>
          <w:rFonts w:asciiTheme="minorBidi" w:hAnsiTheme="minorBidi"/>
          <w:rtl/>
        </w:rPr>
        <w:t xml:space="preserve"> חייב. </w:t>
      </w:r>
      <w:r w:rsidRPr="005275DF">
        <w:rPr>
          <w:rFonts w:asciiTheme="minorBidi" w:hAnsiTheme="minorBidi"/>
          <w:u w:val="single"/>
          <w:rtl/>
        </w:rPr>
        <w:t>אמר רבי אלעזר</w:t>
      </w:r>
      <w:r w:rsidRPr="005275DF">
        <w:rPr>
          <w:rFonts w:asciiTheme="minorBidi" w:hAnsiTheme="minorBidi"/>
          <w:rtl/>
        </w:rPr>
        <w:t>: וכן לשבת.</w:t>
      </w:r>
    </w:p>
    <w:p w14:paraId="14C3CA57"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6362826"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היו לו מלילות מערב שבת לא ינפה בקנון </w:t>
      </w:r>
      <w:r w:rsidRPr="005275DF">
        <w:rPr>
          <w:rFonts w:asciiTheme="minorBidi" w:hAnsiTheme="minorBidi"/>
          <w:sz w:val="16"/>
          <w:szCs w:val="16"/>
          <w:rtl/>
        </w:rPr>
        <w:t>(פרש"י כלי שראשו אחד רחב והשני עשוי כמין מרזב, ונותנין הקטניות בראשו הרחב ומנענע האוכל ומתגלגל דרך המרזב והפסולת נשאר בכלי)</w:t>
      </w:r>
      <w:r w:rsidRPr="005275DF">
        <w:rPr>
          <w:rFonts w:asciiTheme="minorBidi" w:hAnsiTheme="minorBidi"/>
          <w:rtl/>
        </w:rPr>
        <w:t xml:space="preserve"> ותמחוי </w:t>
      </w:r>
      <w:r w:rsidRPr="005275DF">
        <w:rPr>
          <w:rFonts w:asciiTheme="minorBidi" w:hAnsiTheme="minorBidi"/>
          <w:sz w:val="16"/>
          <w:szCs w:val="16"/>
          <w:rtl/>
        </w:rPr>
        <w:t>(פי' קערה גדולה)</w:t>
      </w:r>
      <w:r w:rsidRPr="005275DF">
        <w:rPr>
          <w:rFonts w:asciiTheme="minorBidi" w:hAnsiTheme="minorBidi"/>
          <w:rtl/>
        </w:rPr>
        <w:t xml:space="preserve"> ולא בשתי ידיו אלא מנפה בידו אחת בכל כחו. </w:t>
      </w:r>
    </w:p>
    <w:p w14:paraId="302AED7E" w14:textId="77777777" w:rsidR="006A4BF8" w:rsidRPr="005275DF" w:rsidRDefault="006A4BF8" w:rsidP="00434A6A">
      <w:pPr>
        <w:tabs>
          <w:tab w:val="left" w:pos="2788"/>
        </w:tabs>
        <w:rPr>
          <w:rFonts w:asciiTheme="minorBidi" w:hAnsiTheme="minorBidi"/>
          <w:rtl/>
        </w:rPr>
      </w:pPr>
    </w:p>
    <w:p w14:paraId="79E5C71F"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ח: שריית כרשינין במים.</w:t>
      </w:r>
    </w:p>
    <w:p w14:paraId="7F14F3FB" w14:textId="77777777" w:rsidR="006A4BF8" w:rsidRPr="005275DF" w:rsidRDefault="006A4BF8" w:rsidP="00434A6A">
      <w:pPr>
        <w:rPr>
          <w:rFonts w:asciiTheme="minorBidi" w:hAnsiTheme="minorBidi"/>
          <w:rtl/>
        </w:rPr>
      </w:pPr>
      <w:r w:rsidRPr="005275DF">
        <w:rPr>
          <w:rFonts w:asciiTheme="minorBidi" w:hAnsiTheme="minorBidi"/>
          <w:b/>
          <w:bCs/>
          <w:rtl/>
        </w:rPr>
        <w:t>שבת קמ ע"א:</w:t>
      </w:r>
      <w:r w:rsidRPr="005275DF">
        <w:rPr>
          <w:rFonts w:asciiTheme="minorBidi" w:hAnsiTheme="minorBidi"/>
          <w:rtl/>
        </w:rPr>
        <w:t xml:space="preserve"> </w:t>
      </w:r>
      <w:r w:rsidRPr="005275DF">
        <w:rPr>
          <w:rFonts w:asciiTheme="minorBidi" w:hAnsiTheme="minorBidi"/>
          <w:u w:val="double"/>
          <w:rtl/>
        </w:rPr>
        <w:t>משנה:</w:t>
      </w:r>
      <w:r w:rsidRPr="005275DF">
        <w:rPr>
          <w:rFonts w:asciiTheme="minorBidi" w:hAnsiTheme="minorBidi"/>
          <w:rtl/>
        </w:rPr>
        <w:t xml:space="preserve"> אין שורין.... ואין שולין</w:t>
      </w:r>
      <w:r w:rsidRPr="005275DF">
        <w:rPr>
          <w:rStyle w:val="a9"/>
          <w:rFonts w:asciiTheme="minorBidi" w:hAnsiTheme="minorBidi"/>
          <w:rtl/>
        </w:rPr>
        <w:footnoteReference w:id="2937"/>
      </w:r>
      <w:r w:rsidRPr="005275DF">
        <w:rPr>
          <w:rFonts w:asciiTheme="minorBidi" w:hAnsiTheme="minorBidi"/>
          <w:rtl/>
        </w:rPr>
        <w:t xml:space="preserve"> את הכרשינין ולא שפין אותן אבל נותן לתוך הכברה או לתוך הכלכלה.</w:t>
      </w:r>
    </w:p>
    <w:p w14:paraId="61E0F0F9"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D8965FD"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אין שורין את הכרשינין </w:t>
      </w:r>
      <w:r w:rsidRPr="005275DF">
        <w:rPr>
          <w:rFonts w:asciiTheme="minorBidi" w:hAnsiTheme="minorBidi"/>
          <w:sz w:val="16"/>
          <w:szCs w:val="16"/>
          <w:rtl/>
        </w:rPr>
        <w:t>(פי' הערוך ויצ"ה בלע"ז)</w:t>
      </w:r>
      <w:r w:rsidRPr="005275DF">
        <w:rPr>
          <w:rFonts w:asciiTheme="minorBidi" w:hAnsiTheme="minorBidi"/>
          <w:rtl/>
        </w:rPr>
        <w:t xml:space="preserve"> דהיינו שמציף מים עליהם בכלי כדי להסיר הפסולת</w:t>
      </w:r>
      <w:r w:rsidRPr="005275DF">
        <w:rPr>
          <w:rStyle w:val="a9"/>
          <w:rFonts w:asciiTheme="minorBidi" w:hAnsiTheme="minorBidi"/>
          <w:rtl/>
        </w:rPr>
        <w:footnoteReference w:id="2938"/>
      </w:r>
      <w:r w:rsidRPr="005275DF">
        <w:rPr>
          <w:rFonts w:asciiTheme="minorBidi" w:hAnsiTheme="minorBidi"/>
          <w:rtl/>
        </w:rPr>
        <w:t xml:space="preserve"> ולא שפין אותן ביד כדי להסיר הפסולת דהוה ליה כבורר אבל נותנן בכברה אף על פי שנופל</w:t>
      </w:r>
      <w:r w:rsidRPr="005275DF">
        <w:rPr>
          <w:rStyle w:val="a9"/>
          <w:rFonts w:asciiTheme="minorBidi" w:hAnsiTheme="minorBidi"/>
          <w:rtl/>
        </w:rPr>
        <w:footnoteReference w:id="2939"/>
      </w:r>
      <w:r w:rsidRPr="005275DF">
        <w:rPr>
          <w:rFonts w:asciiTheme="minorBidi" w:hAnsiTheme="minorBidi"/>
          <w:rtl/>
        </w:rPr>
        <w:t xml:space="preserve"> הפסולת דרך נקבי הכברה.</w:t>
      </w:r>
    </w:p>
    <w:p w14:paraId="6B1A531B" w14:textId="77777777" w:rsidR="006A4BF8" w:rsidRPr="005275DF" w:rsidRDefault="006A4BF8" w:rsidP="00434A6A">
      <w:pPr>
        <w:tabs>
          <w:tab w:val="left" w:pos="2788"/>
        </w:tabs>
        <w:rPr>
          <w:rFonts w:asciiTheme="minorBidi" w:hAnsiTheme="minorBidi"/>
          <w:rtl/>
        </w:rPr>
      </w:pPr>
    </w:p>
    <w:p w14:paraId="6BF3157D"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ט:</w:t>
      </w:r>
      <w:r>
        <w:rPr>
          <w:rFonts w:asciiTheme="minorBidi" w:hAnsiTheme="minorBidi" w:cstheme="minorBidi" w:hint="cs"/>
          <w:rtl/>
        </w:rPr>
        <w:t xml:space="preserve"> נתנית מים במשמרת.</w:t>
      </w:r>
    </w:p>
    <w:p w14:paraId="678C3ECA"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קלז ע"ב: </w:t>
      </w:r>
      <w:r w:rsidRPr="005275DF">
        <w:rPr>
          <w:rFonts w:asciiTheme="minorBidi" w:hAnsiTheme="minorBidi"/>
          <w:u w:val="double"/>
          <w:rtl/>
        </w:rPr>
        <w:t>משנה:</w:t>
      </w:r>
      <w:r w:rsidRPr="005275DF">
        <w:rPr>
          <w:rFonts w:asciiTheme="minorBidi" w:hAnsiTheme="minorBidi"/>
          <w:rtl/>
        </w:rPr>
        <w:t xml:space="preserve"> </w:t>
      </w:r>
      <w:r w:rsidRPr="005275DF">
        <w:rPr>
          <w:rFonts w:asciiTheme="minorBidi" w:hAnsiTheme="minorBidi"/>
          <w:u w:val="single"/>
          <w:rtl/>
        </w:rPr>
        <w:t>רבי אליעזר אומר</w:t>
      </w:r>
      <w:r w:rsidRPr="005275DF">
        <w:rPr>
          <w:rFonts w:asciiTheme="minorBidi" w:hAnsiTheme="minorBidi"/>
          <w:rtl/>
        </w:rPr>
        <w:t>: תולין את המשמרת</w:t>
      </w:r>
      <w:r w:rsidRPr="005275DF">
        <w:rPr>
          <w:rStyle w:val="a9"/>
          <w:rFonts w:asciiTheme="minorBidi" w:hAnsiTheme="minorBidi"/>
          <w:rtl/>
        </w:rPr>
        <w:footnoteReference w:id="2940"/>
      </w:r>
      <w:r w:rsidRPr="005275DF">
        <w:rPr>
          <w:rFonts w:asciiTheme="minorBidi" w:hAnsiTheme="minorBidi"/>
          <w:rtl/>
        </w:rPr>
        <w:t xml:space="preserve"> ביום טוב, ונותנין לתלויה בשבת. </w:t>
      </w:r>
      <w:r w:rsidRPr="005275DF">
        <w:rPr>
          <w:rFonts w:asciiTheme="minorBidi" w:hAnsiTheme="minorBidi"/>
          <w:u w:val="single"/>
          <w:rtl/>
        </w:rPr>
        <w:t>וחכמים אומרים</w:t>
      </w:r>
      <w:r w:rsidRPr="005275DF">
        <w:rPr>
          <w:rFonts w:asciiTheme="minorBidi" w:hAnsiTheme="minorBidi"/>
          <w:rtl/>
        </w:rPr>
        <w:t>: אין תולין את המשמרת ביום טוב, ואין נותנין לתלויה בשבת, אבל נותנין לתלויה ביום טוב</w:t>
      </w:r>
      <w:r w:rsidRPr="005275DF">
        <w:rPr>
          <w:rStyle w:val="a9"/>
          <w:rFonts w:asciiTheme="minorBidi" w:hAnsiTheme="minorBidi"/>
          <w:rtl/>
        </w:rPr>
        <w:footnoteReference w:id="2941"/>
      </w:r>
      <w:r w:rsidRPr="005275DF">
        <w:rPr>
          <w:rFonts w:asciiTheme="minorBidi" w:hAnsiTheme="minorBidi"/>
          <w:rtl/>
        </w:rPr>
        <w:t xml:space="preserve">.          </w:t>
      </w:r>
      <w:r w:rsidRPr="005275DF">
        <w:rPr>
          <w:rFonts w:asciiTheme="minorBidi" w:hAnsiTheme="minorBidi"/>
          <w:u w:val="double"/>
          <w:rtl/>
        </w:rPr>
        <w:t>גמ':</w:t>
      </w:r>
      <w:r w:rsidRPr="005275DF">
        <w:rPr>
          <w:rFonts w:asciiTheme="minorBidi" w:hAnsiTheme="minorBidi"/>
          <w:rtl/>
        </w:rPr>
        <w:t xml:space="preserve"> איבעיא להו: תלה מאי? </w:t>
      </w:r>
      <w:r w:rsidRPr="005275DF">
        <w:rPr>
          <w:rFonts w:asciiTheme="minorBidi" w:hAnsiTheme="minorBidi"/>
          <w:u w:val="single"/>
          <w:rtl/>
        </w:rPr>
        <w:t>אמר רב יוסף</w:t>
      </w:r>
      <w:r w:rsidRPr="005275DF">
        <w:rPr>
          <w:rFonts w:asciiTheme="minorBidi" w:hAnsiTheme="minorBidi"/>
          <w:rtl/>
        </w:rPr>
        <w:t xml:space="preserve">: תלה חייב חטאת. </w:t>
      </w:r>
      <w:r w:rsidRPr="005275DF">
        <w:rPr>
          <w:rFonts w:asciiTheme="minorBidi" w:hAnsiTheme="minorBidi"/>
          <w:u w:val="single"/>
          <w:rtl/>
        </w:rPr>
        <w:t>אמר ליה אביי</w:t>
      </w:r>
      <w:r w:rsidRPr="005275DF">
        <w:rPr>
          <w:rFonts w:asciiTheme="minorBidi" w:hAnsiTheme="minorBidi"/>
          <w:rtl/>
        </w:rPr>
        <w:t>: אלא מעתה תלא כוזא בסיכתא</w:t>
      </w:r>
      <w:r w:rsidRPr="005275DF">
        <w:rPr>
          <w:rStyle w:val="a9"/>
          <w:rFonts w:asciiTheme="minorBidi" w:hAnsiTheme="minorBidi"/>
          <w:rtl/>
        </w:rPr>
        <w:footnoteReference w:id="2942"/>
      </w:r>
      <w:r w:rsidRPr="005275DF">
        <w:rPr>
          <w:rFonts w:asciiTheme="minorBidi" w:hAnsiTheme="minorBidi"/>
          <w:rtl/>
        </w:rPr>
        <w:t xml:space="preserve"> הכי נמי דמיחייב</w:t>
      </w:r>
      <w:r w:rsidRPr="005275DF">
        <w:rPr>
          <w:rStyle w:val="a9"/>
          <w:rFonts w:asciiTheme="minorBidi" w:hAnsiTheme="minorBidi"/>
          <w:rtl/>
        </w:rPr>
        <w:footnoteReference w:id="2943"/>
      </w:r>
      <w:r w:rsidRPr="005275DF">
        <w:rPr>
          <w:rFonts w:asciiTheme="minorBidi" w:hAnsiTheme="minorBidi"/>
          <w:rtl/>
        </w:rPr>
        <w:t xml:space="preserve">? </w:t>
      </w:r>
      <w:r w:rsidRPr="005275DF">
        <w:rPr>
          <w:rFonts w:asciiTheme="minorBidi" w:hAnsiTheme="minorBidi"/>
          <w:u w:val="single"/>
          <w:rtl/>
        </w:rPr>
        <w:t>אלא אמר אביי</w:t>
      </w:r>
      <w:r w:rsidRPr="005275DF">
        <w:rPr>
          <w:rFonts w:asciiTheme="minorBidi" w:hAnsiTheme="minorBidi"/>
          <w:rtl/>
        </w:rPr>
        <w:t>: מדרבנן היא</w:t>
      </w:r>
      <w:r w:rsidRPr="005275DF">
        <w:rPr>
          <w:rStyle w:val="a9"/>
          <w:rFonts w:asciiTheme="minorBidi" w:hAnsiTheme="minorBidi"/>
          <w:rtl/>
        </w:rPr>
        <w:footnoteReference w:id="2944"/>
      </w:r>
      <w:r w:rsidRPr="005275DF">
        <w:rPr>
          <w:rFonts w:asciiTheme="minorBidi" w:hAnsiTheme="minorBidi"/>
          <w:rtl/>
        </w:rPr>
        <w:t>, שלא יעשה כדרך שהוא עושה בחול.... איבעיא להו: שימר</w:t>
      </w:r>
      <w:r w:rsidRPr="005275DF">
        <w:rPr>
          <w:rStyle w:val="a9"/>
          <w:rFonts w:asciiTheme="minorBidi" w:hAnsiTheme="minorBidi"/>
          <w:rtl/>
        </w:rPr>
        <w:footnoteReference w:id="2945"/>
      </w:r>
      <w:r w:rsidRPr="005275DF">
        <w:rPr>
          <w:rFonts w:asciiTheme="minorBidi" w:hAnsiTheme="minorBidi"/>
          <w:rtl/>
        </w:rPr>
        <w:t xml:space="preserve"> מאי? </w:t>
      </w:r>
      <w:r w:rsidRPr="005275DF">
        <w:rPr>
          <w:rFonts w:asciiTheme="minorBidi" w:hAnsiTheme="minorBidi"/>
          <w:u w:val="single"/>
          <w:rtl/>
        </w:rPr>
        <w:t>אמר רב כהנא:</w:t>
      </w:r>
      <w:r w:rsidRPr="005275DF">
        <w:rPr>
          <w:rFonts w:asciiTheme="minorBidi" w:hAnsiTheme="minorBidi"/>
          <w:rtl/>
        </w:rPr>
        <w:t xml:space="preserve"> שימר - חייב חטאת.... משום מאי מתרינן ביה</w:t>
      </w:r>
      <w:r w:rsidRPr="005275DF">
        <w:rPr>
          <w:rStyle w:val="a9"/>
          <w:rFonts w:asciiTheme="minorBidi" w:hAnsiTheme="minorBidi"/>
          <w:rtl/>
        </w:rPr>
        <w:footnoteReference w:id="2946"/>
      </w:r>
      <w:r w:rsidRPr="005275DF">
        <w:rPr>
          <w:rFonts w:asciiTheme="minorBidi" w:hAnsiTheme="minorBidi"/>
          <w:rtl/>
        </w:rPr>
        <w:t xml:space="preserve">? </w:t>
      </w:r>
      <w:r w:rsidRPr="005275DF">
        <w:rPr>
          <w:rFonts w:asciiTheme="minorBidi" w:hAnsiTheme="minorBidi"/>
          <w:u w:val="single"/>
          <w:rtl/>
        </w:rPr>
        <w:t>רבה אמר</w:t>
      </w:r>
      <w:r w:rsidRPr="005275DF">
        <w:rPr>
          <w:rFonts w:asciiTheme="minorBidi" w:hAnsiTheme="minorBidi"/>
          <w:rtl/>
        </w:rPr>
        <w:t xml:space="preserve"> משום בורר</w:t>
      </w:r>
      <w:r w:rsidRPr="005275DF">
        <w:rPr>
          <w:rStyle w:val="a9"/>
          <w:rFonts w:asciiTheme="minorBidi" w:hAnsiTheme="minorBidi"/>
          <w:rtl/>
        </w:rPr>
        <w:footnoteReference w:id="2947"/>
      </w:r>
      <w:r w:rsidRPr="005275DF">
        <w:rPr>
          <w:rFonts w:asciiTheme="minorBidi" w:hAnsiTheme="minorBidi"/>
          <w:rtl/>
        </w:rPr>
        <w:t xml:space="preserve">. </w:t>
      </w:r>
      <w:r w:rsidRPr="005275DF">
        <w:rPr>
          <w:rFonts w:asciiTheme="minorBidi" w:hAnsiTheme="minorBidi"/>
          <w:u w:val="single"/>
          <w:rtl/>
        </w:rPr>
        <w:t>רבי זירא אמר</w:t>
      </w:r>
      <w:r w:rsidRPr="005275DF">
        <w:rPr>
          <w:rFonts w:asciiTheme="minorBidi" w:hAnsiTheme="minorBidi"/>
          <w:rtl/>
        </w:rPr>
        <w:t xml:space="preserve"> משום מרקד. </w:t>
      </w:r>
      <w:r w:rsidRPr="005275DF">
        <w:rPr>
          <w:rFonts w:asciiTheme="minorBidi" w:hAnsiTheme="minorBidi"/>
          <w:u w:val="single"/>
          <w:rtl/>
        </w:rPr>
        <w:t>אמר רבה:</w:t>
      </w:r>
      <w:r w:rsidRPr="005275DF">
        <w:rPr>
          <w:rFonts w:asciiTheme="minorBidi" w:hAnsiTheme="minorBidi"/>
          <w:rtl/>
        </w:rPr>
        <w:t xml:space="preserve"> כוותי דידי מסתברא</w:t>
      </w:r>
      <w:r w:rsidRPr="005275DF">
        <w:rPr>
          <w:rStyle w:val="a9"/>
          <w:rFonts w:asciiTheme="minorBidi" w:hAnsiTheme="minorBidi"/>
          <w:rtl/>
        </w:rPr>
        <w:footnoteReference w:id="2948"/>
      </w:r>
      <w:r w:rsidRPr="005275DF">
        <w:rPr>
          <w:rFonts w:asciiTheme="minorBidi" w:hAnsiTheme="minorBidi"/>
          <w:rtl/>
        </w:rPr>
        <w:t xml:space="preserve"> מה דרכו של בורר - נוטל אוכל ומניח הפסולת, אף הכא נמי נוטל את האוכל ומניח את הפסולת</w:t>
      </w:r>
      <w:r w:rsidRPr="005275DF">
        <w:rPr>
          <w:rStyle w:val="a9"/>
          <w:rFonts w:asciiTheme="minorBidi" w:hAnsiTheme="minorBidi"/>
          <w:rtl/>
        </w:rPr>
        <w:footnoteReference w:id="2949"/>
      </w:r>
      <w:r w:rsidRPr="005275DF">
        <w:rPr>
          <w:rFonts w:asciiTheme="minorBidi" w:hAnsiTheme="minorBidi"/>
          <w:rtl/>
        </w:rPr>
        <w:t xml:space="preserve">. </w:t>
      </w:r>
      <w:r w:rsidRPr="005275DF">
        <w:rPr>
          <w:rFonts w:asciiTheme="minorBidi" w:hAnsiTheme="minorBidi"/>
          <w:u w:val="single"/>
          <w:rtl/>
        </w:rPr>
        <w:t>אמר רבי זירא</w:t>
      </w:r>
      <w:r w:rsidRPr="005275DF">
        <w:rPr>
          <w:rFonts w:asciiTheme="minorBidi" w:hAnsiTheme="minorBidi"/>
          <w:rtl/>
        </w:rPr>
        <w:t xml:space="preserve">: כוותי דידי מסתברא, מה דרכו של מרקד - פסולת מלמעלה ואוכל מלמטה, אף הכא נמי פסולת מלמעלה ואוכל מלמטה. </w:t>
      </w:r>
      <w:r w:rsidRPr="005275DF">
        <w:rPr>
          <w:rFonts w:asciiTheme="minorBidi" w:hAnsiTheme="minorBidi"/>
          <w:sz w:val="16"/>
          <w:szCs w:val="16"/>
          <w:rtl/>
        </w:rPr>
        <w:t>(והרמב"ם (פ"ח הי"א) כ'- "הבורר שמרים מתוך המשקין הרי זה תולדת בורר או תולדת מרקד וחייב". ונראה שהוא פוסק כרבה והוא מפרש כדברי רש"י דלרבה באיזה מהם שהתרו בו הויא התראה, ב"י)</w:t>
      </w:r>
    </w:p>
    <w:p w14:paraId="0A51B842"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קלט ע"ב: </w:t>
      </w:r>
      <w:r w:rsidRPr="005275DF">
        <w:rPr>
          <w:rFonts w:asciiTheme="minorBidi" w:hAnsiTheme="minorBidi"/>
          <w:u w:val="double"/>
          <w:rtl/>
        </w:rPr>
        <w:t>משנה:</w:t>
      </w:r>
      <w:r w:rsidRPr="005275DF">
        <w:rPr>
          <w:rFonts w:asciiTheme="minorBidi" w:hAnsiTheme="minorBidi"/>
          <w:rtl/>
        </w:rPr>
        <w:t xml:space="preserve"> נותנין מים על גב השמרים בשביל שיצולו</w:t>
      </w:r>
      <w:r w:rsidRPr="005275DF">
        <w:rPr>
          <w:rStyle w:val="a9"/>
          <w:rFonts w:asciiTheme="minorBidi" w:hAnsiTheme="minorBidi"/>
          <w:rtl/>
        </w:rPr>
        <w:footnoteReference w:id="2950"/>
      </w:r>
      <w:r w:rsidRPr="005275DF">
        <w:rPr>
          <w:rFonts w:asciiTheme="minorBidi" w:hAnsiTheme="minorBidi"/>
          <w:rtl/>
        </w:rPr>
        <w:t>...</w:t>
      </w:r>
    </w:p>
    <w:p w14:paraId="7C166C87"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34E6BDC"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משמרת אפילו תלויה מערב שבת אסור ליתן בה שמרים אבל אם נתן בה שמרים מערב שבת מותר ליתן עליהם מים כדי שיחזרו צלולים לזוב. </w:t>
      </w:r>
    </w:p>
    <w:p w14:paraId="728C914A" w14:textId="77777777" w:rsidR="006A4BF8" w:rsidRPr="005275DF" w:rsidRDefault="006A4BF8" w:rsidP="00434A6A">
      <w:pPr>
        <w:tabs>
          <w:tab w:val="left" w:pos="2788"/>
        </w:tabs>
        <w:rPr>
          <w:rFonts w:asciiTheme="minorBidi" w:hAnsiTheme="minorBidi"/>
          <w:rtl/>
        </w:rPr>
      </w:pPr>
    </w:p>
    <w:p w14:paraId="15AEB0D5"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 סינון משקין.</w:t>
      </w:r>
    </w:p>
    <w:p w14:paraId="69C2A9FA"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קלט ע"ב: </w:t>
      </w:r>
      <w:r w:rsidRPr="005275DF">
        <w:rPr>
          <w:rFonts w:asciiTheme="minorBidi" w:hAnsiTheme="minorBidi"/>
          <w:u w:val="double"/>
          <w:rtl/>
        </w:rPr>
        <w:t>משנה:</w:t>
      </w:r>
      <w:r w:rsidRPr="005275DF">
        <w:rPr>
          <w:rFonts w:asciiTheme="minorBidi" w:hAnsiTheme="minorBidi"/>
          <w:rtl/>
        </w:rPr>
        <w:t xml:space="preserve"> נותנין מים על גב השמרים בשביל שיצולו. ומסננין את היין בסודרין, ובכפיפה מצרית....   </w:t>
      </w:r>
      <w:r w:rsidRPr="005275DF">
        <w:rPr>
          <w:rFonts w:asciiTheme="minorBidi" w:hAnsiTheme="minorBidi"/>
          <w:u w:val="double"/>
          <w:rtl/>
        </w:rPr>
        <w:t>גמ':</w:t>
      </w:r>
      <w:r w:rsidRPr="005275DF">
        <w:rPr>
          <w:rFonts w:asciiTheme="minorBidi" w:hAnsiTheme="minorBidi"/>
          <w:rtl/>
        </w:rPr>
        <w:t xml:space="preserve"> </w:t>
      </w:r>
      <w:r w:rsidRPr="005275DF">
        <w:rPr>
          <w:rFonts w:asciiTheme="minorBidi" w:hAnsiTheme="minorBidi"/>
          <w:u w:val="single"/>
          <w:rtl/>
        </w:rPr>
        <w:t>אמר זעירי</w:t>
      </w:r>
      <w:r w:rsidRPr="005275DF">
        <w:rPr>
          <w:rFonts w:asciiTheme="minorBidi" w:hAnsiTheme="minorBidi"/>
          <w:rtl/>
        </w:rPr>
        <w:t xml:space="preserve">: נותן אדם יין צלול ומים צלולין לתוך המשמרת בשבת ואינו חושש אבל עכורין לא. מיתיבי, </w:t>
      </w:r>
      <w:r w:rsidRPr="005275DF">
        <w:rPr>
          <w:rFonts w:asciiTheme="minorBidi" w:hAnsiTheme="minorBidi"/>
          <w:u w:val="single"/>
          <w:rtl/>
        </w:rPr>
        <w:t>רבן שמעון בן גמליאל אומר</w:t>
      </w:r>
      <w:r w:rsidRPr="005275DF">
        <w:rPr>
          <w:rFonts w:asciiTheme="minorBidi" w:hAnsiTheme="minorBidi"/>
          <w:rtl/>
        </w:rPr>
        <w:t>: טורד</w:t>
      </w:r>
      <w:r w:rsidRPr="005275DF">
        <w:rPr>
          <w:rStyle w:val="a9"/>
          <w:rFonts w:asciiTheme="minorBidi" w:hAnsiTheme="minorBidi"/>
          <w:rtl/>
        </w:rPr>
        <w:footnoteReference w:id="2951"/>
      </w:r>
      <w:r w:rsidRPr="005275DF">
        <w:rPr>
          <w:rFonts w:asciiTheme="minorBidi" w:hAnsiTheme="minorBidi"/>
          <w:rtl/>
        </w:rPr>
        <w:t xml:space="preserve"> אדם חבית של יין יינה ושמריה ונותן לתוך המשמרת בשבת ואינו חושש! </w:t>
      </w:r>
      <w:r w:rsidRPr="005275DF">
        <w:rPr>
          <w:rFonts w:asciiTheme="minorBidi" w:hAnsiTheme="minorBidi"/>
          <w:u w:val="single"/>
          <w:rtl/>
        </w:rPr>
        <w:t>תרגמה זעירי:</w:t>
      </w:r>
      <w:r w:rsidRPr="005275DF">
        <w:rPr>
          <w:rFonts w:asciiTheme="minorBidi" w:hAnsiTheme="minorBidi"/>
          <w:rtl/>
        </w:rPr>
        <w:t xml:space="preserve"> בין הגיתות שנו</w:t>
      </w:r>
      <w:r w:rsidRPr="005275DF">
        <w:rPr>
          <w:rStyle w:val="a9"/>
          <w:rFonts w:asciiTheme="minorBidi" w:hAnsiTheme="minorBidi"/>
          <w:rtl/>
        </w:rPr>
        <w:footnoteReference w:id="2952"/>
      </w:r>
      <w:r w:rsidRPr="005275DF">
        <w:rPr>
          <w:rFonts w:asciiTheme="minorBidi" w:hAnsiTheme="minorBidi"/>
          <w:rtl/>
        </w:rPr>
        <w:t xml:space="preserve">. </w:t>
      </w:r>
    </w:p>
    <w:p w14:paraId="60526C0C"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507E066"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יין או מים שהם צלולים</w:t>
      </w:r>
      <w:r w:rsidRPr="005275DF">
        <w:rPr>
          <w:rStyle w:val="a9"/>
          <w:rFonts w:asciiTheme="minorBidi" w:hAnsiTheme="minorBidi"/>
          <w:rtl/>
        </w:rPr>
        <w:footnoteReference w:id="2953"/>
      </w:r>
      <w:r w:rsidRPr="005275DF">
        <w:rPr>
          <w:rFonts w:asciiTheme="minorBidi" w:hAnsiTheme="minorBidi"/>
          <w:rtl/>
        </w:rPr>
        <w:t xml:space="preserve"> מותר לסננן במשמרת. </w:t>
      </w:r>
      <w:r w:rsidRPr="005275DF">
        <w:rPr>
          <w:rFonts w:asciiTheme="minorBidi" w:hAnsiTheme="minorBidi"/>
          <w:sz w:val="18"/>
          <w:szCs w:val="18"/>
          <w:rtl/>
        </w:rPr>
        <w:t>הגה: ואף על פי שיש בו קסמין דקין הואיל וראוין לשתות בלאו הכי</w:t>
      </w:r>
      <w:r w:rsidRPr="005275DF">
        <w:rPr>
          <w:rStyle w:val="a9"/>
          <w:rFonts w:asciiTheme="minorBidi" w:hAnsiTheme="minorBidi"/>
          <w:sz w:val="18"/>
          <w:szCs w:val="18"/>
          <w:rtl/>
        </w:rPr>
        <w:footnoteReference w:id="2954"/>
      </w:r>
      <w:r w:rsidRPr="005275DF">
        <w:rPr>
          <w:rFonts w:asciiTheme="minorBidi" w:hAnsiTheme="minorBidi"/>
          <w:sz w:val="18"/>
          <w:szCs w:val="18"/>
          <w:rtl/>
        </w:rPr>
        <w:t xml:space="preserve"> (סמ"ג).</w:t>
      </w:r>
      <w:r w:rsidRPr="005275DF">
        <w:rPr>
          <w:rFonts w:asciiTheme="minorBidi" w:hAnsiTheme="minorBidi"/>
          <w:rtl/>
        </w:rPr>
        <w:t xml:space="preserve"> אבל בסודר מים אסור משום ליבון ויין ושאר משקין מותר ואם הם עכורים</w:t>
      </w:r>
      <w:r w:rsidRPr="005275DF">
        <w:rPr>
          <w:rStyle w:val="a9"/>
          <w:rFonts w:asciiTheme="minorBidi" w:hAnsiTheme="minorBidi"/>
          <w:rtl/>
        </w:rPr>
        <w:footnoteReference w:id="2955"/>
      </w:r>
      <w:r w:rsidRPr="005275DF">
        <w:rPr>
          <w:rFonts w:asciiTheme="minorBidi" w:hAnsiTheme="minorBidi"/>
          <w:rtl/>
        </w:rPr>
        <w:t xml:space="preserve"> בין מים בין יין אסור לסננם. ולהרמב"ם</w:t>
      </w:r>
      <w:r w:rsidRPr="005275DF">
        <w:rPr>
          <w:rFonts w:asciiTheme="minorBidi" w:hAnsiTheme="minorBidi"/>
        </w:rPr>
        <w:t xml:space="preserve"> </w:t>
      </w:r>
      <w:r w:rsidRPr="005275DF">
        <w:rPr>
          <w:rFonts w:asciiTheme="minorBidi" w:hAnsiTheme="minorBidi"/>
          <w:rtl/>
        </w:rPr>
        <w:t>במשמרת אסור ואפילו מים ויין צלולים ואפילו בסודרים לא התירו אלא בצלולין אבל לא בעכורים</w:t>
      </w:r>
      <w:r w:rsidRPr="005275DF">
        <w:rPr>
          <w:rStyle w:val="a9"/>
          <w:rFonts w:asciiTheme="minorBidi" w:hAnsiTheme="minorBidi"/>
          <w:rtl/>
        </w:rPr>
        <w:footnoteReference w:id="2956"/>
      </w:r>
      <w:r w:rsidRPr="005275DF">
        <w:rPr>
          <w:rFonts w:asciiTheme="minorBidi" w:hAnsiTheme="minorBidi"/>
          <w:rtl/>
        </w:rPr>
        <w:t xml:space="preserve">. ויין מגתו כל זמן שהוא תוסס </w:t>
      </w:r>
      <w:r w:rsidRPr="005275DF">
        <w:rPr>
          <w:rFonts w:asciiTheme="minorBidi" w:hAnsiTheme="minorBidi"/>
          <w:sz w:val="18"/>
          <w:szCs w:val="18"/>
          <w:rtl/>
        </w:rPr>
        <w:t>(פי' שנראה כרותח)</w:t>
      </w:r>
      <w:r w:rsidRPr="005275DF">
        <w:rPr>
          <w:rFonts w:asciiTheme="minorBidi" w:hAnsiTheme="minorBidi"/>
          <w:rtl/>
        </w:rPr>
        <w:t xml:space="preserve"> טורף חבית בשמריה ונותן לתוך הסודר. </w:t>
      </w:r>
    </w:p>
    <w:p w14:paraId="7D6B426E" w14:textId="77777777" w:rsidR="006A4BF8" w:rsidRPr="005275DF" w:rsidRDefault="006A4BF8" w:rsidP="00434A6A">
      <w:pPr>
        <w:tabs>
          <w:tab w:val="left" w:pos="2788"/>
        </w:tabs>
        <w:rPr>
          <w:rFonts w:asciiTheme="minorBidi" w:hAnsiTheme="minorBidi"/>
          <w:color w:val="FF0000"/>
          <w:rtl/>
        </w:rPr>
      </w:pPr>
    </w:p>
    <w:p w14:paraId="16E0835A"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יא: סינון יין בסודר.</w:t>
      </w:r>
    </w:p>
    <w:p w14:paraId="3E1BE43E" w14:textId="77777777" w:rsidR="006A4BF8" w:rsidRPr="005275DF" w:rsidRDefault="006A4BF8" w:rsidP="00434A6A">
      <w:pPr>
        <w:rPr>
          <w:rFonts w:asciiTheme="minorBidi" w:hAnsiTheme="minorBidi"/>
        </w:rPr>
      </w:pPr>
      <w:r w:rsidRPr="005275DF">
        <w:rPr>
          <w:rFonts w:asciiTheme="minorBidi" w:hAnsiTheme="minorBidi"/>
          <w:b/>
          <w:bCs/>
          <w:rtl/>
        </w:rPr>
        <w:t xml:space="preserve">שבת קלט ע"ב: </w:t>
      </w:r>
      <w:r w:rsidRPr="005275DF">
        <w:rPr>
          <w:rFonts w:asciiTheme="minorBidi" w:hAnsiTheme="minorBidi"/>
          <w:rtl/>
        </w:rPr>
        <w:t>מסננין את היין</w:t>
      </w:r>
      <w:r w:rsidRPr="005275DF">
        <w:rPr>
          <w:rStyle w:val="a9"/>
          <w:rFonts w:asciiTheme="minorBidi" w:hAnsiTheme="minorBidi"/>
          <w:rtl/>
        </w:rPr>
        <w:footnoteReference w:id="2957"/>
      </w:r>
      <w:r w:rsidRPr="005275DF">
        <w:rPr>
          <w:rFonts w:asciiTheme="minorBidi" w:hAnsiTheme="minorBidi"/>
          <w:rtl/>
        </w:rPr>
        <w:t xml:space="preserve"> בסודרין. </w:t>
      </w:r>
      <w:r w:rsidRPr="005275DF">
        <w:rPr>
          <w:rFonts w:asciiTheme="minorBidi" w:hAnsiTheme="minorBidi"/>
          <w:u w:val="single"/>
          <w:rtl/>
        </w:rPr>
        <w:t>אמר רב שימי בר חייא:</w:t>
      </w:r>
      <w:r w:rsidRPr="005275DF">
        <w:rPr>
          <w:rFonts w:asciiTheme="minorBidi" w:hAnsiTheme="minorBidi"/>
          <w:rtl/>
        </w:rPr>
        <w:t xml:space="preserve"> ובלבד שלא יעשה גומא</w:t>
      </w:r>
      <w:r w:rsidRPr="005275DF">
        <w:rPr>
          <w:rStyle w:val="a9"/>
          <w:rFonts w:asciiTheme="minorBidi" w:hAnsiTheme="minorBidi"/>
          <w:rtl/>
        </w:rPr>
        <w:footnoteReference w:id="2958"/>
      </w:r>
      <w:r w:rsidRPr="005275DF">
        <w:rPr>
          <w:rFonts w:asciiTheme="minorBidi" w:hAnsiTheme="minorBidi"/>
          <w:rtl/>
        </w:rPr>
        <w:t>.</w:t>
      </w:r>
    </w:p>
    <w:p w14:paraId="4F10027A"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43BE800"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כשמסננין היין בסודר צריך</w:t>
      </w:r>
      <w:r w:rsidRPr="005275DF">
        <w:rPr>
          <w:rStyle w:val="a9"/>
          <w:rFonts w:asciiTheme="minorBidi" w:hAnsiTheme="minorBidi"/>
          <w:rtl/>
        </w:rPr>
        <w:footnoteReference w:id="2959"/>
      </w:r>
      <w:r w:rsidRPr="005275DF">
        <w:rPr>
          <w:rFonts w:asciiTheme="minorBidi" w:hAnsiTheme="minorBidi"/>
          <w:rtl/>
        </w:rPr>
        <w:t xml:space="preserve"> ליזהר שלא יעשה גומא [בסודר]</w:t>
      </w:r>
      <w:r w:rsidRPr="005275DF">
        <w:rPr>
          <w:rStyle w:val="a9"/>
          <w:rFonts w:asciiTheme="minorBidi" w:hAnsiTheme="minorBidi"/>
          <w:rtl/>
        </w:rPr>
        <w:footnoteReference w:id="2960"/>
      </w:r>
      <w:r w:rsidRPr="005275DF">
        <w:rPr>
          <w:rFonts w:asciiTheme="minorBidi" w:hAnsiTheme="minorBidi"/>
          <w:rtl/>
        </w:rPr>
        <w:t xml:space="preserve"> לקבל היין משום שינוי</w:t>
      </w:r>
      <w:r w:rsidRPr="005275DF">
        <w:rPr>
          <w:rStyle w:val="a9"/>
          <w:rFonts w:asciiTheme="minorBidi" w:hAnsiTheme="minorBidi"/>
          <w:rtl/>
        </w:rPr>
        <w:footnoteReference w:id="2961"/>
      </w:r>
      <w:r w:rsidRPr="005275DF">
        <w:rPr>
          <w:rFonts w:asciiTheme="minorBidi" w:hAnsiTheme="minorBidi"/>
          <w:rtl/>
        </w:rPr>
        <w:t xml:space="preserve">. </w:t>
      </w:r>
    </w:p>
    <w:p w14:paraId="79400E21" w14:textId="77777777" w:rsidR="006A4BF8" w:rsidRPr="005275DF" w:rsidRDefault="006A4BF8" w:rsidP="00434A6A">
      <w:pPr>
        <w:tabs>
          <w:tab w:val="left" w:pos="2788"/>
        </w:tabs>
        <w:rPr>
          <w:rFonts w:asciiTheme="minorBidi" w:hAnsiTheme="minorBidi"/>
          <w:rtl/>
        </w:rPr>
      </w:pPr>
    </w:p>
    <w:p w14:paraId="296B08CB"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יב: סינון יין בכפיפה מצרית.</w:t>
      </w:r>
    </w:p>
    <w:p w14:paraId="0A3D1084"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קלט ע"ב: </w:t>
      </w:r>
      <w:r w:rsidRPr="005275DF">
        <w:rPr>
          <w:rFonts w:asciiTheme="minorBidi" w:hAnsiTheme="minorBidi"/>
          <w:rtl/>
        </w:rPr>
        <w:t>ובכפיפה מצרית</w:t>
      </w:r>
      <w:r w:rsidRPr="005275DF">
        <w:rPr>
          <w:rStyle w:val="a9"/>
          <w:rFonts w:asciiTheme="minorBidi" w:hAnsiTheme="minorBidi"/>
          <w:rtl/>
        </w:rPr>
        <w:footnoteReference w:id="2962"/>
      </w:r>
      <w:r w:rsidRPr="005275DF">
        <w:rPr>
          <w:rFonts w:asciiTheme="minorBidi" w:hAnsiTheme="minorBidi"/>
          <w:rtl/>
        </w:rPr>
        <w:t xml:space="preserve">. </w:t>
      </w:r>
      <w:r w:rsidRPr="005275DF">
        <w:rPr>
          <w:rFonts w:asciiTheme="minorBidi" w:hAnsiTheme="minorBidi"/>
          <w:u w:val="single"/>
          <w:rtl/>
        </w:rPr>
        <w:t>אמר רב חייא בר אשי אמר רב</w:t>
      </w:r>
      <w:r w:rsidRPr="005275DF">
        <w:rPr>
          <w:rFonts w:asciiTheme="minorBidi" w:hAnsiTheme="minorBidi"/>
          <w:rtl/>
        </w:rPr>
        <w:t xml:space="preserve">: ובלבד שלא יגביה מקרקעיתו של כלי טפח. </w:t>
      </w:r>
    </w:p>
    <w:p w14:paraId="16A10669"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A7F95D4"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כל מקום שמותר לסנן יין בסודר מותר לסננו בכפיפה מצרית </w:t>
      </w:r>
      <w:r w:rsidRPr="005275DF">
        <w:rPr>
          <w:rFonts w:asciiTheme="minorBidi" w:hAnsiTheme="minorBidi"/>
          <w:sz w:val="16"/>
          <w:szCs w:val="16"/>
          <w:rtl/>
        </w:rPr>
        <w:t>(פי' קופה שעושין מן הגומא וממיני ערבה)</w:t>
      </w:r>
      <w:r w:rsidRPr="005275DF">
        <w:rPr>
          <w:rFonts w:asciiTheme="minorBidi" w:hAnsiTheme="minorBidi"/>
          <w:rtl/>
        </w:rPr>
        <w:t xml:space="preserve"> ויזהר שלא יגביה הכפיפה משולי הכלי טפח משום שינוי.</w:t>
      </w:r>
    </w:p>
    <w:p w14:paraId="4BA3BBE2" w14:textId="77777777" w:rsidR="006A4BF8" w:rsidRPr="005275DF" w:rsidRDefault="006A4BF8" w:rsidP="00434A6A">
      <w:pPr>
        <w:tabs>
          <w:tab w:val="left" w:pos="2788"/>
        </w:tabs>
        <w:rPr>
          <w:rFonts w:asciiTheme="minorBidi" w:hAnsiTheme="minorBidi"/>
          <w:rtl/>
        </w:rPr>
      </w:pPr>
    </w:p>
    <w:p w14:paraId="636BAD15"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יג: נתינת קסמים בפי כלי.</w:t>
      </w:r>
    </w:p>
    <w:p w14:paraId="34DBF29E"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קלט ע"ב: </w:t>
      </w:r>
      <w:r w:rsidRPr="005275DF">
        <w:rPr>
          <w:rFonts w:asciiTheme="minorBidi" w:hAnsiTheme="minorBidi"/>
          <w:u w:val="single"/>
          <w:rtl/>
        </w:rPr>
        <w:t>אמר רב פפא</w:t>
      </w:r>
      <w:r w:rsidRPr="005275DF">
        <w:rPr>
          <w:rFonts w:asciiTheme="minorBidi" w:hAnsiTheme="minorBidi"/>
          <w:rtl/>
        </w:rPr>
        <w:t>: לא ניהדק איניש צינייתא בפומיה דכוזני דחביתא</w:t>
      </w:r>
      <w:r w:rsidRPr="005275DF">
        <w:rPr>
          <w:rStyle w:val="a9"/>
          <w:rFonts w:asciiTheme="minorBidi" w:hAnsiTheme="minorBidi"/>
          <w:rtl/>
        </w:rPr>
        <w:footnoteReference w:id="2963"/>
      </w:r>
      <w:r w:rsidRPr="005275DF">
        <w:rPr>
          <w:rFonts w:asciiTheme="minorBidi" w:hAnsiTheme="minorBidi"/>
          <w:rtl/>
        </w:rPr>
        <w:t xml:space="preserve"> משום דמיחזי כמשמרת</w:t>
      </w:r>
      <w:r w:rsidRPr="005275DF">
        <w:rPr>
          <w:rStyle w:val="a9"/>
          <w:rFonts w:asciiTheme="minorBidi" w:hAnsiTheme="minorBidi"/>
          <w:rtl/>
        </w:rPr>
        <w:footnoteReference w:id="2964"/>
      </w:r>
      <w:r w:rsidRPr="005275DF">
        <w:rPr>
          <w:rFonts w:asciiTheme="minorBidi" w:hAnsiTheme="minorBidi"/>
          <w:rtl/>
        </w:rPr>
        <w:t>.</w:t>
      </w:r>
    </w:p>
    <w:p w14:paraId="74F77821"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4C876EF"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כלי שמערין </w:t>
      </w:r>
      <w:r w:rsidRPr="005275DF">
        <w:rPr>
          <w:rFonts w:asciiTheme="minorBidi" w:hAnsiTheme="minorBidi"/>
          <w:sz w:val="16"/>
          <w:szCs w:val="16"/>
          <w:rtl/>
        </w:rPr>
        <w:t xml:space="preserve">(פי' שמריקין) </w:t>
      </w:r>
      <w:r w:rsidRPr="005275DF">
        <w:rPr>
          <w:rFonts w:asciiTheme="minorBidi" w:hAnsiTheme="minorBidi"/>
          <w:rtl/>
        </w:rPr>
        <w:t>בו יין מהחבית לא יתן בפיו קשים וקסמים בחזקה</w:t>
      </w:r>
      <w:r w:rsidRPr="005275DF">
        <w:rPr>
          <w:rStyle w:val="a9"/>
          <w:rFonts w:asciiTheme="minorBidi" w:hAnsiTheme="minorBidi"/>
          <w:rtl/>
        </w:rPr>
        <w:footnoteReference w:id="2965"/>
      </w:r>
      <w:r w:rsidRPr="005275DF">
        <w:rPr>
          <w:rFonts w:asciiTheme="minorBidi" w:hAnsiTheme="minorBidi"/>
          <w:rtl/>
        </w:rPr>
        <w:t xml:space="preserve"> שאין לך מסננת גדולה מזה</w:t>
      </w:r>
      <w:r w:rsidRPr="005275DF">
        <w:rPr>
          <w:rStyle w:val="a9"/>
          <w:rFonts w:asciiTheme="minorBidi" w:hAnsiTheme="minorBidi"/>
          <w:rtl/>
        </w:rPr>
        <w:footnoteReference w:id="2966"/>
      </w:r>
      <w:r w:rsidRPr="005275DF">
        <w:rPr>
          <w:rFonts w:asciiTheme="minorBidi" w:hAnsiTheme="minorBidi"/>
          <w:rtl/>
        </w:rPr>
        <w:t xml:space="preserve">. </w:t>
      </w:r>
    </w:p>
    <w:p w14:paraId="5033AC30" w14:textId="77777777" w:rsidR="006A4BF8" w:rsidRPr="005275DF" w:rsidRDefault="006A4BF8" w:rsidP="00434A6A">
      <w:pPr>
        <w:tabs>
          <w:tab w:val="left" w:pos="2788"/>
        </w:tabs>
        <w:rPr>
          <w:rFonts w:asciiTheme="minorBidi" w:hAnsiTheme="minorBidi"/>
          <w:rtl/>
        </w:rPr>
      </w:pPr>
    </w:p>
    <w:p w14:paraId="6961863A"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יד: עירוי הטיפות האחרונות שבכלי.</w:t>
      </w:r>
    </w:p>
    <w:p w14:paraId="5D674246"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קלט ע"ב: </w:t>
      </w:r>
      <w:r w:rsidRPr="005275DF">
        <w:rPr>
          <w:rFonts w:asciiTheme="minorBidi" w:hAnsiTheme="minorBidi"/>
          <w:rtl/>
        </w:rPr>
        <w:t>דבי רב פפא שאפו שיכרא</w:t>
      </w:r>
      <w:r w:rsidRPr="005275DF">
        <w:rPr>
          <w:rStyle w:val="a9"/>
          <w:rFonts w:asciiTheme="minorBidi" w:hAnsiTheme="minorBidi"/>
          <w:rtl/>
        </w:rPr>
        <w:footnoteReference w:id="2967"/>
      </w:r>
      <w:r w:rsidRPr="005275DF">
        <w:rPr>
          <w:rFonts w:asciiTheme="minorBidi" w:hAnsiTheme="minorBidi"/>
          <w:rtl/>
        </w:rPr>
        <w:t xml:space="preserve"> ממנא למנא. </w:t>
      </w:r>
      <w:r w:rsidRPr="005275DF">
        <w:rPr>
          <w:rFonts w:asciiTheme="minorBidi" w:hAnsiTheme="minorBidi"/>
          <w:u w:val="single"/>
          <w:rtl/>
        </w:rPr>
        <w:t>אמר ליה רב אחא מדיפתי לרבינא</w:t>
      </w:r>
      <w:r w:rsidRPr="005275DF">
        <w:rPr>
          <w:rFonts w:asciiTheme="minorBidi" w:hAnsiTheme="minorBidi"/>
          <w:rtl/>
        </w:rPr>
        <w:t>: האיכא ניצוצות</w:t>
      </w:r>
      <w:r w:rsidRPr="005275DF">
        <w:rPr>
          <w:rStyle w:val="a9"/>
          <w:rFonts w:asciiTheme="minorBidi" w:hAnsiTheme="minorBidi"/>
          <w:rtl/>
        </w:rPr>
        <w:footnoteReference w:id="2968"/>
      </w:r>
      <w:r w:rsidRPr="005275DF">
        <w:rPr>
          <w:rFonts w:asciiTheme="minorBidi" w:hAnsiTheme="minorBidi"/>
          <w:rtl/>
        </w:rPr>
        <w:t>! ניצוצות לבי רב פפא לא חשיבי</w:t>
      </w:r>
      <w:r w:rsidRPr="005275DF">
        <w:rPr>
          <w:rStyle w:val="a9"/>
          <w:rFonts w:asciiTheme="minorBidi" w:hAnsiTheme="minorBidi"/>
          <w:rtl/>
        </w:rPr>
        <w:footnoteReference w:id="2969"/>
      </w:r>
      <w:r w:rsidRPr="005275DF">
        <w:rPr>
          <w:rFonts w:asciiTheme="minorBidi" w:hAnsiTheme="minorBidi"/>
          <w:rtl/>
        </w:rPr>
        <w:t>.</w:t>
      </w:r>
    </w:p>
    <w:p w14:paraId="5D666426"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C1CF526"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מותר לערות בנחת מכלי לחבירו</w:t>
      </w:r>
      <w:r w:rsidRPr="005275DF">
        <w:rPr>
          <w:rStyle w:val="a9"/>
          <w:rFonts w:asciiTheme="minorBidi" w:hAnsiTheme="minorBidi"/>
          <w:rtl/>
        </w:rPr>
        <w:footnoteReference w:id="2970"/>
      </w:r>
      <w:r w:rsidRPr="005275DF">
        <w:rPr>
          <w:rFonts w:asciiTheme="minorBidi" w:hAnsiTheme="minorBidi"/>
          <w:rtl/>
        </w:rPr>
        <w:t xml:space="preserve"> ובלבד שיזהר שכשיפסוק הקילוח ומתחילים לירד נצוצות קטנות הנישופות באחרונה מתוך הפסולת יפסיק ויניחם עם השמרים שאם לא יעשה כן הני ניצוצות מוכחי שהוא בורר. </w:t>
      </w:r>
      <w:r w:rsidRPr="005275DF">
        <w:rPr>
          <w:rFonts w:asciiTheme="minorBidi" w:hAnsiTheme="minorBidi"/>
          <w:sz w:val="18"/>
          <w:szCs w:val="18"/>
          <w:rtl/>
        </w:rPr>
        <w:t xml:space="preserve">הגה: מותר להגביה החבית על איזה דבר כדי שיקלח ממנו היין היטב (רוקח הל' יו"ט וב"י). </w:t>
      </w:r>
    </w:p>
    <w:p w14:paraId="3DF5897F" w14:textId="77777777" w:rsidR="006A4BF8" w:rsidRPr="005275DF" w:rsidRDefault="006A4BF8" w:rsidP="00434A6A">
      <w:pPr>
        <w:tabs>
          <w:tab w:val="left" w:pos="2788"/>
        </w:tabs>
        <w:rPr>
          <w:rFonts w:asciiTheme="minorBidi" w:hAnsiTheme="minorBidi"/>
          <w:rtl/>
        </w:rPr>
      </w:pPr>
    </w:p>
    <w:p w14:paraId="0FA8AD0C"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טו: נתינת ביצה במסננת של חרדל.</w:t>
      </w:r>
    </w:p>
    <w:p w14:paraId="55036C04"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קלט ע"ב: </w:t>
      </w:r>
      <w:r w:rsidRPr="005275DF">
        <w:rPr>
          <w:rFonts w:asciiTheme="minorBidi" w:hAnsiTheme="minorBidi"/>
          <w:u w:val="double"/>
          <w:rtl/>
        </w:rPr>
        <w:t>משנה:</w:t>
      </w:r>
      <w:r w:rsidRPr="005275DF">
        <w:rPr>
          <w:rFonts w:asciiTheme="minorBidi" w:hAnsiTheme="minorBidi"/>
          <w:rtl/>
        </w:rPr>
        <w:t xml:space="preserve"> נותנין... ונותנין ביצה במסננת</w:t>
      </w:r>
      <w:r w:rsidRPr="005275DF">
        <w:rPr>
          <w:rStyle w:val="a9"/>
          <w:rFonts w:asciiTheme="minorBidi" w:hAnsiTheme="minorBidi"/>
          <w:rtl/>
        </w:rPr>
        <w:footnoteReference w:id="2971"/>
      </w:r>
      <w:r w:rsidRPr="005275DF">
        <w:rPr>
          <w:rFonts w:asciiTheme="minorBidi" w:hAnsiTheme="minorBidi"/>
          <w:rtl/>
        </w:rPr>
        <w:t xml:space="preserve"> של חרדל....      </w:t>
      </w:r>
      <w:r w:rsidRPr="005275DF">
        <w:rPr>
          <w:rFonts w:asciiTheme="minorBidi" w:hAnsiTheme="minorBidi"/>
          <w:u w:val="double"/>
          <w:rtl/>
        </w:rPr>
        <w:t>גמ':</w:t>
      </w:r>
      <w:r w:rsidRPr="005275DF">
        <w:rPr>
          <w:rFonts w:asciiTheme="minorBidi" w:hAnsiTheme="minorBidi"/>
          <w:rtl/>
        </w:rPr>
        <w:t xml:space="preserve"> </w:t>
      </w:r>
      <w:r w:rsidRPr="005275DF">
        <w:rPr>
          <w:rFonts w:asciiTheme="minorBidi" w:hAnsiTheme="minorBidi"/>
          <w:u w:val="single"/>
          <w:rtl/>
        </w:rPr>
        <w:t>תני יעקב קרחה</w:t>
      </w:r>
      <w:r w:rsidRPr="005275DF">
        <w:rPr>
          <w:rFonts w:asciiTheme="minorBidi" w:hAnsiTheme="minorBidi"/>
          <w:rtl/>
        </w:rPr>
        <w:t>: לפי שאין עושין אותה אלא לגוון</w:t>
      </w:r>
      <w:r w:rsidRPr="005275DF">
        <w:rPr>
          <w:rStyle w:val="a9"/>
          <w:rFonts w:asciiTheme="minorBidi" w:hAnsiTheme="minorBidi"/>
          <w:rtl/>
        </w:rPr>
        <w:footnoteReference w:id="2972"/>
      </w:r>
      <w:r w:rsidRPr="005275DF">
        <w:rPr>
          <w:rFonts w:asciiTheme="minorBidi" w:hAnsiTheme="minorBidi"/>
          <w:rtl/>
        </w:rPr>
        <w:t>.</w:t>
      </w:r>
    </w:p>
    <w:p w14:paraId="12AFAD10"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88F0CE2"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מסננת שנתן בה חרדל</w:t>
      </w:r>
      <w:r w:rsidRPr="005275DF">
        <w:rPr>
          <w:rStyle w:val="a9"/>
          <w:rFonts w:asciiTheme="minorBidi" w:hAnsiTheme="minorBidi"/>
          <w:rtl/>
        </w:rPr>
        <w:footnoteReference w:id="2973"/>
      </w:r>
      <w:r w:rsidRPr="005275DF">
        <w:rPr>
          <w:rFonts w:asciiTheme="minorBidi" w:hAnsiTheme="minorBidi"/>
          <w:rtl/>
        </w:rPr>
        <w:t xml:space="preserve"> לסננו מותר ליתן בה ביצה אף על פי שהחלמון יורד למטה עם החרדל והחלבון נשאר למעלה. </w:t>
      </w:r>
    </w:p>
    <w:p w14:paraId="29CC423D" w14:textId="77777777" w:rsidR="006A4BF8" w:rsidRPr="005275DF" w:rsidRDefault="006A4BF8" w:rsidP="00434A6A">
      <w:pPr>
        <w:tabs>
          <w:tab w:val="left" w:pos="2788"/>
        </w:tabs>
        <w:rPr>
          <w:rFonts w:asciiTheme="minorBidi" w:hAnsiTheme="minorBidi"/>
          <w:rtl/>
        </w:rPr>
      </w:pPr>
    </w:p>
    <w:p w14:paraId="1C15DEE7"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טז: עיכוב הפסולת בעת הכניסה לפה.</w:t>
      </w:r>
    </w:p>
    <w:p w14:paraId="0E14F500"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507B380" w14:textId="77777777" w:rsidR="006A4BF8" w:rsidRPr="005275DF" w:rsidRDefault="006A4BF8" w:rsidP="00434A6A">
      <w:pPr>
        <w:tabs>
          <w:tab w:val="left" w:pos="2788"/>
        </w:tabs>
        <w:rPr>
          <w:rFonts w:asciiTheme="minorBidi" w:hAnsiTheme="minorBidi"/>
          <w:sz w:val="16"/>
          <w:szCs w:val="16"/>
          <w:rtl/>
        </w:rPr>
      </w:pPr>
      <w:r w:rsidRPr="005275DF">
        <w:rPr>
          <w:rFonts w:asciiTheme="minorBidi" w:hAnsiTheme="minorBidi"/>
          <w:rtl/>
        </w:rPr>
        <w:t>מים שיש בהם תולעים מותר לשתותן על ידי מפה בשבת דלא שייך בורר ומשמר אלא במתקן הענין קודם אכילה או שתיה אבל אם בשעת שתיה מעכב את הפסולת שלא יכנס לתוך פיו אין זה מעין מלאכה ומותר</w:t>
      </w:r>
      <w:r w:rsidRPr="005275DF">
        <w:rPr>
          <w:rStyle w:val="a9"/>
          <w:rFonts w:asciiTheme="minorBidi" w:hAnsiTheme="minorBidi"/>
          <w:rtl/>
        </w:rPr>
        <w:footnoteReference w:id="2974"/>
      </w:r>
      <w:r w:rsidRPr="005275DF">
        <w:rPr>
          <w:rFonts w:asciiTheme="minorBidi" w:hAnsiTheme="minorBidi"/>
          <w:rtl/>
        </w:rPr>
        <w:t xml:space="preserve">. </w:t>
      </w:r>
      <w:r w:rsidRPr="005275DF">
        <w:rPr>
          <w:rFonts w:asciiTheme="minorBidi" w:hAnsiTheme="minorBidi"/>
          <w:sz w:val="16"/>
          <w:szCs w:val="16"/>
          <w:rtl/>
        </w:rPr>
        <w:t>{רא"ש}</w:t>
      </w:r>
    </w:p>
    <w:p w14:paraId="237E1FAD" w14:textId="77777777" w:rsidR="006A4BF8" w:rsidRPr="005275DF" w:rsidRDefault="006A4BF8" w:rsidP="00434A6A">
      <w:pPr>
        <w:tabs>
          <w:tab w:val="left" w:pos="2788"/>
        </w:tabs>
        <w:rPr>
          <w:rFonts w:asciiTheme="minorBidi" w:hAnsiTheme="minorBidi"/>
          <w:rtl/>
        </w:rPr>
      </w:pPr>
    </w:p>
    <w:p w14:paraId="3891F216"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יז: מחבץ.</w:t>
      </w:r>
    </w:p>
    <w:p w14:paraId="5200FF59" w14:textId="77777777" w:rsidR="006A4BF8" w:rsidRPr="005275DF" w:rsidRDefault="006A4BF8" w:rsidP="00434A6A">
      <w:pPr>
        <w:rPr>
          <w:rFonts w:asciiTheme="minorBidi" w:hAnsiTheme="minorBidi"/>
          <w:rtl/>
        </w:rPr>
      </w:pPr>
      <w:r w:rsidRPr="005275DF">
        <w:rPr>
          <w:rFonts w:asciiTheme="minorBidi" w:hAnsiTheme="minorBidi"/>
          <w:b/>
          <w:bCs/>
          <w:rtl/>
        </w:rPr>
        <w:t xml:space="preserve">תוספתא </w:t>
      </w:r>
      <w:r w:rsidRPr="005275DF">
        <w:rPr>
          <w:rFonts w:asciiTheme="minorBidi" w:hAnsiTheme="minorBidi"/>
          <w:b/>
          <w:bCs/>
          <w:sz w:val="16"/>
          <w:szCs w:val="16"/>
          <w:rtl/>
        </w:rPr>
        <w:t xml:space="preserve">(ליברמן) </w:t>
      </w:r>
      <w:r w:rsidRPr="005275DF">
        <w:rPr>
          <w:rFonts w:asciiTheme="minorBidi" w:hAnsiTheme="minorBidi"/>
          <w:b/>
          <w:bCs/>
          <w:rtl/>
        </w:rPr>
        <w:t xml:space="preserve">שבת יב יד: </w:t>
      </w:r>
      <w:r w:rsidRPr="005275DF">
        <w:rPr>
          <w:rFonts w:asciiTheme="minorBidi" w:hAnsiTheme="minorBidi"/>
          <w:rtl/>
        </w:rPr>
        <w:t>נותנין שמשמין ואגוזין לתוך הדבש ובלבד שלא יחבץ</w:t>
      </w:r>
      <w:r w:rsidRPr="005275DF">
        <w:rPr>
          <w:rStyle w:val="a9"/>
          <w:rFonts w:asciiTheme="minorBidi" w:hAnsiTheme="minorBidi"/>
          <w:rtl/>
        </w:rPr>
        <w:footnoteReference w:id="2975"/>
      </w:r>
      <w:r w:rsidRPr="005275DF">
        <w:rPr>
          <w:rFonts w:asciiTheme="minorBidi" w:hAnsiTheme="minorBidi"/>
          <w:rtl/>
        </w:rPr>
        <w:t>.</w:t>
      </w:r>
    </w:p>
    <w:p w14:paraId="2B77D96A" w14:textId="77777777" w:rsidR="006A4BF8" w:rsidRPr="005275DF" w:rsidRDefault="006A4BF8" w:rsidP="00434A6A">
      <w:pPr>
        <w:rPr>
          <w:rFonts w:asciiTheme="minorBidi" w:hAnsiTheme="minorBidi"/>
          <w:rtl/>
        </w:rPr>
      </w:pPr>
      <w:r w:rsidRPr="005275DF">
        <w:rPr>
          <w:rFonts w:asciiTheme="minorBidi" w:hAnsiTheme="minorBidi"/>
          <w:b/>
          <w:bCs/>
          <w:rtl/>
        </w:rPr>
        <w:t xml:space="preserve">ירושלמי שבת פ"ז ה"ב: </w:t>
      </w:r>
      <w:r w:rsidRPr="005275DF">
        <w:rPr>
          <w:rFonts w:asciiTheme="minorBidi" w:hAnsiTheme="minorBidi"/>
          <w:rtl/>
        </w:rPr>
        <w:t xml:space="preserve">רקק והפריחתו הרוח חייב משום זורה וכל דבר שהוא מחוסר לרוח חייב משום זורה. </w:t>
      </w:r>
    </w:p>
    <w:p w14:paraId="2FDC89DB"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AA161F0"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המחבץ </w:t>
      </w:r>
      <w:r w:rsidRPr="005275DF">
        <w:rPr>
          <w:rFonts w:asciiTheme="minorBidi" w:hAnsiTheme="minorBidi"/>
          <w:sz w:val="16"/>
          <w:szCs w:val="16"/>
          <w:rtl/>
        </w:rPr>
        <w:t>(פי' שמוציא חמאה מן החלב)</w:t>
      </w:r>
      <w:r w:rsidRPr="005275DF">
        <w:rPr>
          <w:rFonts w:asciiTheme="minorBidi" w:hAnsiTheme="minorBidi"/>
          <w:rtl/>
        </w:rPr>
        <w:t xml:space="preserve"> תולדת בורר הוא לפיכך אף על פי שנותנים שומשמים ואגוזים לדבש לא יחבצם בידו</w:t>
      </w:r>
      <w:r w:rsidRPr="005275DF">
        <w:rPr>
          <w:rStyle w:val="a9"/>
          <w:rFonts w:asciiTheme="minorBidi" w:hAnsiTheme="minorBidi"/>
          <w:rtl/>
        </w:rPr>
        <w:footnoteReference w:id="2976"/>
      </w:r>
      <w:r w:rsidRPr="005275DF">
        <w:rPr>
          <w:rFonts w:asciiTheme="minorBidi" w:hAnsiTheme="minorBidi"/>
          <w:rtl/>
        </w:rPr>
        <w:t xml:space="preserve"> </w:t>
      </w:r>
      <w:r w:rsidRPr="005275DF">
        <w:rPr>
          <w:rFonts w:asciiTheme="minorBidi" w:hAnsiTheme="minorBidi"/>
          <w:sz w:val="18"/>
          <w:szCs w:val="18"/>
          <w:rtl/>
        </w:rPr>
        <w:t>(ע"ל סי' ש"מ סעיף י"א). הגה: הרוקק ברוח בשבת והרוח מפזר הרוק חייב משום זורה</w:t>
      </w:r>
      <w:r w:rsidRPr="005275DF">
        <w:rPr>
          <w:rStyle w:val="a9"/>
          <w:rFonts w:asciiTheme="minorBidi" w:hAnsiTheme="minorBidi"/>
          <w:sz w:val="18"/>
          <w:szCs w:val="18"/>
          <w:rtl/>
        </w:rPr>
        <w:footnoteReference w:id="2977"/>
      </w:r>
      <w:r w:rsidRPr="005275DF">
        <w:rPr>
          <w:rFonts w:asciiTheme="minorBidi" w:hAnsiTheme="minorBidi"/>
          <w:sz w:val="18"/>
          <w:szCs w:val="18"/>
          <w:rtl/>
        </w:rPr>
        <w:t xml:space="preserve"> (מהרי"ל בשם או"ז וירושלמי)</w:t>
      </w:r>
      <w:r w:rsidRPr="005275DF">
        <w:rPr>
          <w:rFonts w:asciiTheme="minorBidi" w:hAnsiTheme="minorBidi"/>
          <w:rtl/>
        </w:rPr>
        <w:t>.</w:t>
      </w:r>
    </w:p>
    <w:p w14:paraId="5C3703AF" w14:textId="77777777" w:rsidR="006A4BF8" w:rsidRPr="005275DF" w:rsidRDefault="006A4BF8" w:rsidP="00434A6A">
      <w:pPr>
        <w:tabs>
          <w:tab w:val="left" w:pos="2788"/>
        </w:tabs>
        <w:rPr>
          <w:rFonts w:asciiTheme="minorBidi" w:hAnsiTheme="minorBidi"/>
          <w:rtl/>
        </w:rPr>
      </w:pPr>
    </w:p>
    <w:p w14:paraId="45954610" w14:textId="77777777" w:rsidR="006A4BF8" w:rsidRPr="005275DF" w:rsidRDefault="006A4BF8" w:rsidP="00434A6A">
      <w:pPr>
        <w:tabs>
          <w:tab w:val="left" w:pos="2788"/>
        </w:tabs>
        <w:rPr>
          <w:rFonts w:asciiTheme="minorBidi" w:hAnsiTheme="minorBidi"/>
          <w:rtl/>
        </w:rPr>
      </w:pPr>
    </w:p>
    <w:p w14:paraId="0AADA676" w14:textId="77777777" w:rsidR="006A4BF8" w:rsidRPr="005275DF" w:rsidRDefault="006A4BF8" w:rsidP="00434A6A">
      <w:pPr>
        <w:tabs>
          <w:tab w:val="left" w:pos="2788"/>
        </w:tabs>
        <w:rPr>
          <w:rFonts w:asciiTheme="minorBidi" w:hAnsiTheme="minorBidi"/>
          <w:rtl/>
        </w:rPr>
      </w:pPr>
    </w:p>
    <w:p w14:paraId="42D7BDC1" w14:textId="77777777" w:rsidR="006A4BF8" w:rsidRPr="005275DF" w:rsidRDefault="006A4BF8" w:rsidP="00434A6A">
      <w:pPr>
        <w:tabs>
          <w:tab w:val="left" w:pos="2788"/>
        </w:tabs>
        <w:rPr>
          <w:rFonts w:asciiTheme="minorBidi" w:hAnsiTheme="minorBidi"/>
          <w:rtl/>
        </w:rPr>
      </w:pPr>
    </w:p>
    <w:p w14:paraId="69977A7D" w14:textId="77777777" w:rsidR="006A4BF8" w:rsidRPr="005275DF" w:rsidRDefault="006A4BF8" w:rsidP="00434A6A">
      <w:pPr>
        <w:tabs>
          <w:tab w:val="left" w:pos="2788"/>
        </w:tabs>
        <w:rPr>
          <w:rFonts w:asciiTheme="minorBidi" w:hAnsiTheme="minorBidi"/>
          <w:rtl/>
        </w:rPr>
      </w:pPr>
    </w:p>
    <w:p w14:paraId="73430465" w14:textId="77777777" w:rsidR="006A4BF8" w:rsidRDefault="006A4BF8" w:rsidP="00434A6A">
      <w:pPr>
        <w:pStyle w:val="1"/>
        <w:rPr>
          <w:rFonts w:asciiTheme="minorBidi" w:hAnsiTheme="minorBidi"/>
          <w:rtl/>
        </w:rPr>
        <w:sectPr w:rsidR="006A4BF8" w:rsidSect="00BD29B1">
          <w:headerReference w:type="default" r:id="rId90"/>
          <w:footnotePr>
            <w:numRestart w:val="eachSect"/>
          </w:footnotePr>
          <w:pgSz w:w="11906" w:h="16838"/>
          <w:pgMar w:top="720" w:right="1134" w:bottom="720" w:left="1134" w:header="0" w:footer="0" w:gutter="0"/>
          <w:cols w:space="720"/>
          <w:bidi/>
          <w:rtlGutter/>
          <w:docGrid w:linePitch="360"/>
        </w:sectPr>
      </w:pPr>
    </w:p>
    <w:p w14:paraId="6D0C819D" w14:textId="77777777" w:rsidR="006A4BF8" w:rsidRPr="005275DF" w:rsidRDefault="006A4BF8" w:rsidP="00434A6A">
      <w:pPr>
        <w:pStyle w:val="1"/>
        <w:rPr>
          <w:rFonts w:asciiTheme="minorBidi" w:hAnsiTheme="minorBidi"/>
          <w:rtl/>
        </w:rPr>
      </w:pPr>
      <w:r w:rsidRPr="005275DF">
        <w:rPr>
          <w:rFonts w:asciiTheme="minorBidi" w:hAnsiTheme="minorBidi"/>
          <w:rtl/>
        </w:rPr>
        <w:t>סימן שכ: דיני סחיטה בשבת</w:t>
      </w:r>
      <w:r>
        <w:rPr>
          <w:rFonts w:asciiTheme="minorBidi" w:hAnsiTheme="minorBidi" w:hint="cs"/>
          <w:rtl/>
        </w:rPr>
        <w:t>, ובו כ' סעיפים</w:t>
      </w:r>
      <w:r w:rsidRPr="005275DF">
        <w:rPr>
          <w:rFonts w:asciiTheme="minorBidi" w:hAnsiTheme="minorBidi"/>
          <w:rtl/>
        </w:rPr>
        <w:t xml:space="preserve">. </w:t>
      </w:r>
    </w:p>
    <w:p w14:paraId="2DAE6640"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א: סחיטת פירות ודין המשקין היוצאים מהן.</w:t>
      </w:r>
    </w:p>
    <w:p w14:paraId="7DFA80E4"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קמג ע"ב: </w:t>
      </w:r>
      <w:r w:rsidRPr="005275DF">
        <w:rPr>
          <w:rFonts w:asciiTheme="minorBidi" w:hAnsiTheme="minorBidi"/>
          <w:u w:val="double"/>
          <w:rtl/>
        </w:rPr>
        <w:t>משנה:</w:t>
      </w:r>
      <w:r w:rsidRPr="005275DF">
        <w:rPr>
          <w:rFonts w:asciiTheme="minorBidi" w:hAnsiTheme="minorBidi"/>
          <w:rtl/>
        </w:rPr>
        <w:t xml:space="preserve"> חבית... אין סוחטין את הפירות להוציא מהן משקין</w:t>
      </w:r>
      <w:r w:rsidRPr="005275DF">
        <w:rPr>
          <w:rStyle w:val="a9"/>
          <w:rFonts w:asciiTheme="minorBidi" w:hAnsiTheme="minorBidi"/>
          <w:rtl/>
        </w:rPr>
        <w:footnoteReference w:id="2978"/>
      </w:r>
      <w:r w:rsidRPr="005275DF">
        <w:rPr>
          <w:rFonts w:asciiTheme="minorBidi" w:hAnsiTheme="minorBidi"/>
          <w:rtl/>
        </w:rPr>
        <w:t xml:space="preserve"> ואם יצאו מעצמן אסורין</w:t>
      </w:r>
      <w:r w:rsidRPr="005275DF">
        <w:rPr>
          <w:rStyle w:val="a9"/>
          <w:rFonts w:asciiTheme="minorBidi" w:hAnsiTheme="minorBidi"/>
          <w:rtl/>
        </w:rPr>
        <w:footnoteReference w:id="2979"/>
      </w:r>
      <w:r w:rsidRPr="005275DF">
        <w:rPr>
          <w:rFonts w:asciiTheme="minorBidi" w:hAnsiTheme="minorBidi"/>
          <w:rtl/>
        </w:rPr>
        <w:t xml:space="preserve">, </w:t>
      </w:r>
      <w:r w:rsidRPr="005275DF">
        <w:rPr>
          <w:rFonts w:asciiTheme="minorBidi" w:hAnsiTheme="minorBidi"/>
          <w:u w:val="single"/>
          <w:rtl/>
        </w:rPr>
        <w:t>רבי יהודה אומר:</w:t>
      </w:r>
      <w:r w:rsidRPr="005275DF">
        <w:rPr>
          <w:rFonts w:asciiTheme="minorBidi" w:hAnsiTheme="minorBidi"/>
          <w:rtl/>
        </w:rPr>
        <w:t xml:space="preserve"> אם לאוכלין</w:t>
      </w:r>
      <w:r w:rsidRPr="005275DF">
        <w:rPr>
          <w:rStyle w:val="a9"/>
          <w:rFonts w:asciiTheme="minorBidi" w:hAnsiTheme="minorBidi"/>
          <w:rtl/>
        </w:rPr>
        <w:footnoteReference w:id="2980"/>
      </w:r>
      <w:r w:rsidRPr="005275DF">
        <w:rPr>
          <w:rFonts w:asciiTheme="minorBidi" w:hAnsiTheme="minorBidi"/>
          <w:rtl/>
        </w:rPr>
        <w:t xml:space="preserve"> - היוצא מהן מותר, ואם למשקין</w:t>
      </w:r>
      <w:r w:rsidRPr="005275DF">
        <w:rPr>
          <w:rStyle w:val="a9"/>
          <w:rFonts w:asciiTheme="minorBidi" w:hAnsiTheme="minorBidi"/>
          <w:rtl/>
        </w:rPr>
        <w:footnoteReference w:id="2981"/>
      </w:r>
      <w:r w:rsidRPr="005275DF">
        <w:rPr>
          <w:rFonts w:asciiTheme="minorBidi" w:hAnsiTheme="minorBidi"/>
          <w:rtl/>
        </w:rPr>
        <w:t xml:space="preserve"> - היוצא מהן אסור.        </w:t>
      </w:r>
      <w:r w:rsidRPr="005275DF">
        <w:rPr>
          <w:rFonts w:asciiTheme="minorBidi" w:hAnsiTheme="minorBidi"/>
          <w:u w:val="double"/>
          <w:rtl/>
        </w:rPr>
        <w:t>גמ':</w:t>
      </w:r>
      <w:r w:rsidRPr="005275DF">
        <w:rPr>
          <w:rFonts w:asciiTheme="minorBidi" w:hAnsiTheme="minorBidi"/>
          <w:rtl/>
        </w:rPr>
        <w:t xml:space="preserve"> </w:t>
      </w:r>
      <w:r w:rsidRPr="005275DF">
        <w:rPr>
          <w:rFonts w:asciiTheme="minorBidi" w:hAnsiTheme="minorBidi"/>
          <w:u w:val="single"/>
          <w:rtl/>
        </w:rPr>
        <w:t>אמר רב יהודה אמר שמואל</w:t>
      </w:r>
      <w:r w:rsidRPr="005275DF">
        <w:rPr>
          <w:rFonts w:asciiTheme="minorBidi" w:hAnsiTheme="minorBidi"/>
          <w:rtl/>
        </w:rPr>
        <w:t>: מודה היה רבי יהודה לחכמים בזיתים וענבים</w:t>
      </w:r>
      <w:r w:rsidRPr="005275DF">
        <w:rPr>
          <w:rStyle w:val="a9"/>
          <w:rFonts w:asciiTheme="minorBidi" w:hAnsiTheme="minorBidi"/>
          <w:rtl/>
        </w:rPr>
        <w:footnoteReference w:id="2982"/>
      </w:r>
      <w:r w:rsidRPr="005275DF">
        <w:rPr>
          <w:rFonts w:asciiTheme="minorBidi" w:hAnsiTheme="minorBidi"/>
          <w:rtl/>
        </w:rPr>
        <w:t xml:space="preserve">, מאי טעמא- כיון דלסחיטה נינהו יהיב דעתיה. </w:t>
      </w:r>
      <w:r w:rsidRPr="005275DF">
        <w:rPr>
          <w:rFonts w:asciiTheme="minorBidi" w:hAnsiTheme="minorBidi"/>
          <w:u w:val="single"/>
          <w:rtl/>
        </w:rPr>
        <w:t>ועולא אמר רב</w:t>
      </w:r>
      <w:r w:rsidRPr="005275DF">
        <w:rPr>
          <w:rFonts w:asciiTheme="minorBidi" w:hAnsiTheme="minorBidi"/>
          <w:rtl/>
        </w:rPr>
        <w:t>: חלוק היה רבי יהודה אף בזיתים וענבים</w:t>
      </w:r>
      <w:r w:rsidRPr="005275DF">
        <w:rPr>
          <w:rStyle w:val="a9"/>
          <w:rFonts w:asciiTheme="minorBidi" w:hAnsiTheme="minorBidi"/>
          <w:rtl/>
        </w:rPr>
        <w:footnoteReference w:id="2983"/>
      </w:r>
      <w:r w:rsidRPr="005275DF">
        <w:rPr>
          <w:rFonts w:asciiTheme="minorBidi" w:hAnsiTheme="minorBidi"/>
          <w:rtl/>
        </w:rPr>
        <w:t xml:space="preserve">. </w:t>
      </w:r>
      <w:r w:rsidRPr="005275DF">
        <w:rPr>
          <w:rFonts w:asciiTheme="minorBidi" w:hAnsiTheme="minorBidi"/>
          <w:u w:val="single"/>
          <w:rtl/>
        </w:rPr>
        <w:t>ורבי יוחנן אמר</w:t>
      </w:r>
      <w:r w:rsidRPr="005275DF">
        <w:rPr>
          <w:rFonts w:asciiTheme="minorBidi" w:hAnsiTheme="minorBidi"/>
          <w:rtl/>
        </w:rPr>
        <w:t xml:space="preserve">: הלכה כרבי יהודה בשאר פירות ואין הלכה כרבי יהודה בזיתים וענבים. </w:t>
      </w:r>
      <w:r w:rsidRPr="005275DF">
        <w:rPr>
          <w:rFonts w:asciiTheme="minorBidi" w:hAnsiTheme="minorBidi"/>
          <w:u w:val="single"/>
          <w:rtl/>
        </w:rPr>
        <w:t>אמר רבה אמר רב יהודה אמר שמואל</w:t>
      </w:r>
      <w:r w:rsidRPr="005275DF">
        <w:rPr>
          <w:rFonts w:asciiTheme="minorBidi" w:hAnsiTheme="minorBidi"/>
          <w:rtl/>
        </w:rPr>
        <w:t xml:space="preserve">: מודה היה רבי יהודה לחכמים בזיתים וענבים, ומודים חכמים לרבי יהודה בשאר פירות. </w:t>
      </w:r>
      <w:r w:rsidRPr="005275DF">
        <w:rPr>
          <w:rFonts w:asciiTheme="minorBidi" w:hAnsiTheme="minorBidi"/>
          <w:u w:val="single"/>
          <w:rtl/>
        </w:rPr>
        <w:t>אמר ליה רבי ירמיה לרבי אבא</w:t>
      </w:r>
      <w:r w:rsidRPr="005275DF">
        <w:rPr>
          <w:rFonts w:asciiTheme="minorBidi" w:hAnsiTheme="minorBidi"/>
          <w:rtl/>
        </w:rPr>
        <w:t xml:space="preserve">: אלא במאי פליגי? אמר ליה: לכי תשכח. </w:t>
      </w:r>
      <w:r w:rsidRPr="005275DF">
        <w:rPr>
          <w:rFonts w:asciiTheme="minorBidi" w:hAnsiTheme="minorBidi"/>
          <w:u w:val="single"/>
          <w:rtl/>
        </w:rPr>
        <w:t>אמר רב נחמן בר יצחק</w:t>
      </w:r>
      <w:r w:rsidRPr="005275DF">
        <w:rPr>
          <w:rFonts w:asciiTheme="minorBidi" w:hAnsiTheme="minorBidi"/>
          <w:rtl/>
        </w:rPr>
        <w:t>: מסתברא, בתותים ורמונים פליגי</w:t>
      </w:r>
      <w:r w:rsidRPr="005275DF">
        <w:rPr>
          <w:rStyle w:val="a9"/>
          <w:rFonts w:asciiTheme="minorBidi" w:hAnsiTheme="minorBidi"/>
          <w:rtl/>
        </w:rPr>
        <w:footnoteReference w:id="2984"/>
      </w:r>
      <w:r w:rsidRPr="005275DF">
        <w:rPr>
          <w:rFonts w:asciiTheme="minorBidi" w:hAnsiTheme="minorBidi"/>
          <w:rtl/>
        </w:rPr>
        <w:t xml:space="preserve"> דתניא זיתים שמשך</w:t>
      </w:r>
      <w:r w:rsidRPr="005275DF">
        <w:rPr>
          <w:rStyle w:val="a9"/>
          <w:rFonts w:asciiTheme="minorBidi" w:hAnsiTheme="minorBidi"/>
          <w:rtl/>
        </w:rPr>
        <w:footnoteReference w:id="2985"/>
      </w:r>
      <w:r w:rsidRPr="005275DF">
        <w:rPr>
          <w:rFonts w:asciiTheme="minorBidi" w:hAnsiTheme="minorBidi"/>
          <w:rtl/>
        </w:rPr>
        <w:t xml:space="preserve"> מהן שמן וענבים שמשך מהן יין והכניסן</w:t>
      </w:r>
      <w:r w:rsidRPr="005275DF">
        <w:rPr>
          <w:rStyle w:val="a9"/>
          <w:rFonts w:asciiTheme="minorBidi" w:hAnsiTheme="minorBidi"/>
          <w:rtl/>
        </w:rPr>
        <w:footnoteReference w:id="2986"/>
      </w:r>
      <w:r w:rsidRPr="005275DF">
        <w:rPr>
          <w:rFonts w:asciiTheme="minorBidi" w:hAnsiTheme="minorBidi"/>
          <w:rtl/>
        </w:rPr>
        <w:t xml:space="preserve"> בין לאוכל בין למשקין היוצא מהן אסור, תותים שמשך מהן מים ורמונים שמשך מהן יין והכניסן לאוכלין היוצא מהן מותר, למשקין ולסתם - היוצא מהן אסור, </w:t>
      </w:r>
      <w:r w:rsidRPr="005275DF">
        <w:rPr>
          <w:rFonts w:asciiTheme="minorBidi" w:hAnsiTheme="minorBidi"/>
          <w:u w:val="single"/>
          <w:rtl/>
        </w:rPr>
        <w:t>דברי רבי יהודה</w:t>
      </w:r>
      <w:r w:rsidRPr="005275DF">
        <w:rPr>
          <w:rFonts w:asciiTheme="minorBidi" w:hAnsiTheme="minorBidi"/>
          <w:rtl/>
        </w:rPr>
        <w:t xml:space="preserve">. </w:t>
      </w:r>
      <w:r w:rsidRPr="005275DF">
        <w:rPr>
          <w:rFonts w:asciiTheme="minorBidi" w:hAnsiTheme="minorBidi"/>
          <w:u w:val="single"/>
          <w:rtl/>
        </w:rPr>
        <w:t>וחכמים אומרים</w:t>
      </w:r>
      <w:r w:rsidRPr="005275DF">
        <w:rPr>
          <w:rStyle w:val="a9"/>
          <w:rFonts w:asciiTheme="minorBidi" w:hAnsiTheme="minorBidi"/>
          <w:rtl/>
        </w:rPr>
        <w:footnoteReference w:id="2987"/>
      </w:r>
      <w:r w:rsidRPr="005275DF">
        <w:rPr>
          <w:rFonts w:asciiTheme="minorBidi" w:hAnsiTheme="minorBidi"/>
          <w:rtl/>
        </w:rPr>
        <w:t xml:space="preserve">: בין לאוכלין בין למשקין - היוצא מהן אסור.... </w:t>
      </w:r>
      <w:r w:rsidRPr="005275DF">
        <w:rPr>
          <w:rFonts w:asciiTheme="minorBidi" w:hAnsiTheme="minorBidi"/>
          <w:sz w:val="16"/>
          <w:szCs w:val="16"/>
          <w:u w:val="double"/>
          <w:rtl/>
        </w:rPr>
        <w:t>(קמד.)</w:t>
      </w:r>
      <w:r w:rsidRPr="005275DF">
        <w:rPr>
          <w:rFonts w:asciiTheme="minorBidi" w:hAnsiTheme="minorBidi"/>
          <w:rtl/>
        </w:rPr>
        <w:t xml:space="preserve"> אשכחן רבי יהודה דמודי לרבנן בזיתים ובענבים. רבנן דמודו ליה לרבי יהודה בשאר פירות מנלן? דתניא: סוחטין בפגעין</w:t>
      </w:r>
      <w:r w:rsidRPr="005275DF">
        <w:rPr>
          <w:rStyle w:val="a9"/>
          <w:rFonts w:asciiTheme="minorBidi" w:hAnsiTheme="minorBidi"/>
          <w:rtl/>
        </w:rPr>
        <w:footnoteReference w:id="2988"/>
      </w:r>
      <w:r w:rsidRPr="005275DF">
        <w:rPr>
          <w:rFonts w:asciiTheme="minorBidi" w:hAnsiTheme="minorBidi"/>
          <w:rtl/>
        </w:rPr>
        <w:t xml:space="preserve"> ובפרישין</w:t>
      </w:r>
      <w:r w:rsidRPr="005275DF">
        <w:rPr>
          <w:rStyle w:val="a9"/>
          <w:rFonts w:asciiTheme="minorBidi" w:hAnsiTheme="minorBidi"/>
          <w:rtl/>
        </w:rPr>
        <w:footnoteReference w:id="2989"/>
      </w:r>
      <w:r w:rsidRPr="005275DF">
        <w:rPr>
          <w:rFonts w:asciiTheme="minorBidi" w:hAnsiTheme="minorBidi"/>
          <w:rtl/>
        </w:rPr>
        <w:t xml:space="preserve"> ובעוזרדין</w:t>
      </w:r>
      <w:r w:rsidRPr="005275DF">
        <w:rPr>
          <w:rStyle w:val="a9"/>
          <w:rFonts w:asciiTheme="minorBidi" w:hAnsiTheme="minorBidi"/>
          <w:rtl/>
        </w:rPr>
        <w:footnoteReference w:id="2990"/>
      </w:r>
      <w:r w:rsidRPr="005275DF">
        <w:rPr>
          <w:rFonts w:asciiTheme="minorBidi" w:hAnsiTheme="minorBidi"/>
          <w:rtl/>
        </w:rPr>
        <w:t>, אבל לא ברמונים</w:t>
      </w:r>
      <w:r w:rsidRPr="005275DF">
        <w:rPr>
          <w:rStyle w:val="a9"/>
          <w:rFonts w:asciiTheme="minorBidi" w:hAnsiTheme="minorBidi"/>
          <w:rtl/>
        </w:rPr>
        <w:footnoteReference w:id="2991"/>
      </w:r>
      <w:r w:rsidRPr="005275DF">
        <w:rPr>
          <w:rFonts w:asciiTheme="minorBidi" w:hAnsiTheme="minorBidi"/>
          <w:rtl/>
        </w:rPr>
        <w:t>. ושל בית מנשיא בר מנחם היו סוחטין ברמונים</w:t>
      </w:r>
      <w:r w:rsidRPr="005275DF">
        <w:rPr>
          <w:rStyle w:val="a9"/>
          <w:rFonts w:asciiTheme="minorBidi" w:hAnsiTheme="minorBidi"/>
          <w:rtl/>
        </w:rPr>
        <w:footnoteReference w:id="2992"/>
      </w:r>
      <w:r w:rsidRPr="005275DF">
        <w:rPr>
          <w:rFonts w:asciiTheme="minorBidi" w:hAnsiTheme="minorBidi"/>
          <w:rtl/>
        </w:rPr>
        <w:t xml:space="preserve">.... </w:t>
      </w:r>
      <w:r w:rsidRPr="005275DF">
        <w:rPr>
          <w:rFonts w:asciiTheme="minorBidi" w:hAnsiTheme="minorBidi"/>
          <w:u w:val="single"/>
          <w:rtl/>
        </w:rPr>
        <w:t>אמר רב נחמן</w:t>
      </w:r>
      <w:r w:rsidRPr="005275DF">
        <w:rPr>
          <w:rFonts w:asciiTheme="minorBidi" w:hAnsiTheme="minorBidi"/>
          <w:rtl/>
        </w:rPr>
        <w:t xml:space="preserve">: הלכה כשל בית מנשיא בר מנחם. </w:t>
      </w:r>
      <w:r w:rsidRPr="005275DF">
        <w:rPr>
          <w:rFonts w:asciiTheme="minorBidi" w:hAnsiTheme="minorBidi"/>
          <w:u w:val="single"/>
          <w:rtl/>
        </w:rPr>
        <w:t>אמר ליה רבא לרב נחמן</w:t>
      </w:r>
      <w:r w:rsidRPr="005275DF">
        <w:rPr>
          <w:rFonts w:asciiTheme="minorBidi" w:hAnsiTheme="minorBidi"/>
          <w:rtl/>
        </w:rPr>
        <w:t>: מנשיא בן מנחם תנא הוא</w:t>
      </w:r>
      <w:r w:rsidRPr="005275DF">
        <w:rPr>
          <w:rStyle w:val="a9"/>
          <w:rFonts w:asciiTheme="minorBidi" w:hAnsiTheme="minorBidi"/>
          <w:rtl/>
        </w:rPr>
        <w:footnoteReference w:id="2993"/>
      </w:r>
      <w:r w:rsidRPr="005275DF">
        <w:rPr>
          <w:rFonts w:asciiTheme="minorBidi" w:hAnsiTheme="minorBidi"/>
          <w:rtl/>
        </w:rPr>
        <w:t>?.... היינו טעמא</w:t>
      </w:r>
      <w:r w:rsidRPr="005275DF">
        <w:rPr>
          <w:rStyle w:val="a9"/>
          <w:rFonts w:asciiTheme="minorBidi" w:hAnsiTheme="minorBidi"/>
          <w:rtl/>
        </w:rPr>
        <w:footnoteReference w:id="2994"/>
      </w:r>
      <w:r w:rsidRPr="005275DF">
        <w:rPr>
          <w:rFonts w:asciiTheme="minorBidi" w:hAnsiTheme="minorBidi"/>
          <w:rtl/>
        </w:rPr>
        <w:t xml:space="preserve"> כדרב חסדא</w:t>
      </w:r>
      <w:r w:rsidRPr="005275DF">
        <w:rPr>
          <w:rStyle w:val="a9"/>
          <w:rFonts w:asciiTheme="minorBidi" w:hAnsiTheme="minorBidi"/>
          <w:rtl/>
        </w:rPr>
        <w:footnoteReference w:id="2995"/>
      </w:r>
      <w:r w:rsidRPr="005275DF">
        <w:rPr>
          <w:rFonts w:asciiTheme="minorBidi" w:hAnsiTheme="minorBidi"/>
          <w:rtl/>
        </w:rPr>
        <w:t>, דאמר רב חסדא: תרדין שסחטן ונתנן במקוה - פוסלין את המקוה בשינוי מראה</w:t>
      </w:r>
      <w:r w:rsidRPr="005275DF">
        <w:rPr>
          <w:rStyle w:val="a9"/>
          <w:rFonts w:asciiTheme="minorBidi" w:hAnsiTheme="minorBidi"/>
          <w:rtl/>
        </w:rPr>
        <w:footnoteReference w:id="2996"/>
      </w:r>
      <w:r w:rsidRPr="005275DF">
        <w:rPr>
          <w:rFonts w:asciiTheme="minorBidi" w:hAnsiTheme="minorBidi"/>
          <w:rtl/>
        </w:rPr>
        <w:t>. והא לאו בני סחיטה נינהו</w:t>
      </w:r>
      <w:r w:rsidRPr="005275DF">
        <w:rPr>
          <w:rStyle w:val="a9"/>
          <w:rFonts w:asciiTheme="minorBidi" w:hAnsiTheme="minorBidi"/>
          <w:rtl/>
        </w:rPr>
        <w:footnoteReference w:id="2997"/>
      </w:r>
      <w:r w:rsidRPr="005275DF">
        <w:rPr>
          <w:rFonts w:asciiTheme="minorBidi" w:hAnsiTheme="minorBidi"/>
          <w:rtl/>
        </w:rPr>
        <w:t xml:space="preserve">! אלא מאי אית לך למימר - כיון דאחשבינהו הוה להו משקה, הכא נמי, כיון דאחשבינהו - הוה להו משקה. </w:t>
      </w:r>
      <w:r w:rsidRPr="005275DF">
        <w:rPr>
          <w:rFonts w:asciiTheme="minorBidi" w:hAnsiTheme="minorBidi"/>
          <w:u w:val="single"/>
          <w:rtl/>
        </w:rPr>
        <w:t>רב פפא אמר</w:t>
      </w:r>
      <w:r w:rsidRPr="005275DF">
        <w:rPr>
          <w:rStyle w:val="a9"/>
          <w:rFonts w:asciiTheme="minorBidi" w:hAnsiTheme="minorBidi"/>
          <w:rtl/>
        </w:rPr>
        <w:footnoteReference w:id="2998"/>
      </w:r>
      <w:r w:rsidRPr="005275DF">
        <w:rPr>
          <w:rFonts w:asciiTheme="minorBidi" w:hAnsiTheme="minorBidi"/>
          <w:rtl/>
        </w:rPr>
        <w:t>: משום דהוי דבר שאין עושין ממנו מקוה לכתחילה, וכל דבר שאין עושין ממנו מקוה לכתחילה - פוסל את המקוה בשינוי מראה.</w:t>
      </w:r>
    </w:p>
    <w:p w14:paraId="562D0BFA"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931640B"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זיתים וענבים אסור לסחטן </w:t>
      </w:r>
      <w:r w:rsidRPr="005275DF">
        <w:rPr>
          <w:rFonts w:asciiTheme="minorBidi" w:hAnsiTheme="minorBidi"/>
          <w:sz w:val="16"/>
          <w:szCs w:val="16"/>
          <w:rtl/>
        </w:rPr>
        <w:t>(ע"ל סי' רנ"ב ס"ה)</w:t>
      </w:r>
      <w:r w:rsidRPr="005275DF">
        <w:rPr>
          <w:rFonts w:asciiTheme="minorBidi" w:hAnsiTheme="minorBidi"/>
          <w:rtl/>
        </w:rPr>
        <w:t xml:space="preserve"> ואם יצאו מעצמן אסורים אפילו לא היו עומדים אלא לאכילה. ותותים ורמונים אסור לסחטן ואם יצאו מעצמן אם עומדים לאכילה מותר ואם עומדים למשקים אסור. ושאר כל הפירות מותר לסחטן.</w:t>
      </w:r>
      <w:r w:rsidRPr="005275DF">
        <w:rPr>
          <w:rFonts w:asciiTheme="minorBidi" w:hAnsiTheme="minorBidi"/>
          <w:sz w:val="18"/>
          <w:szCs w:val="18"/>
          <w:rtl/>
        </w:rPr>
        <w:t xml:space="preserve"> הגה: ובמקום</w:t>
      </w:r>
      <w:r w:rsidRPr="005275DF">
        <w:rPr>
          <w:rStyle w:val="a9"/>
          <w:rFonts w:asciiTheme="minorBidi" w:hAnsiTheme="minorBidi"/>
          <w:sz w:val="18"/>
          <w:szCs w:val="18"/>
          <w:rtl/>
        </w:rPr>
        <w:footnoteReference w:id="2999"/>
      </w:r>
      <w:r w:rsidRPr="005275DF">
        <w:rPr>
          <w:rFonts w:asciiTheme="minorBidi" w:hAnsiTheme="minorBidi"/>
          <w:sz w:val="18"/>
          <w:szCs w:val="18"/>
          <w:rtl/>
        </w:rPr>
        <w:t xml:space="preserve"> שנהגו לסחוט איזה פירות לשתות מימיו מחמת צמא או תענוג דינו כתותים ורמונים אבל אם נהגו לסחטו לרפואה לבדו אין לחוש (ב"י). וכל זה דוקא לסחוט אסור אבל מותר למצוץ בפיו מן הענבים המשקה שבהן</w:t>
      </w:r>
      <w:r w:rsidRPr="005275DF">
        <w:rPr>
          <w:rStyle w:val="a9"/>
          <w:rFonts w:asciiTheme="minorBidi" w:hAnsiTheme="minorBidi"/>
          <w:sz w:val="18"/>
          <w:szCs w:val="18"/>
          <w:rtl/>
        </w:rPr>
        <w:footnoteReference w:id="3000"/>
      </w:r>
      <w:r w:rsidRPr="005275DF">
        <w:rPr>
          <w:rFonts w:asciiTheme="minorBidi" w:hAnsiTheme="minorBidi"/>
          <w:sz w:val="18"/>
          <w:szCs w:val="18"/>
          <w:rtl/>
        </w:rPr>
        <w:t xml:space="preserve"> וכ"ש בשאר דברים</w:t>
      </w:r>
      <w:r w:rsidRPr="005275DF">
        <w:rPr>
          <w:rStyle w:val="a9"/>
          <w:rFonts w:asciiTheme="minorBidi" w:hAnsiTheme="minorBidi"/>
          <w:sz w:val="18"/>
          <w:szCs w:val="18"/>
          <w:rtl/>
        </w:rPr>
        <w:footnoteReference w:id="3001"/>
      </w:r>
      <w:r w:rsidRPr="005275DF">
        <w:rPr>
          <w:rFonts w:asciiTheme="minorBidi" w:hAnsiTheme="minorBidi"/>
          <w:sz w:val="18"/>
          <w:szCs w:val="18"/>
          <w:rtl/>
        </w:rPr>
        <w:t xml:space="preserve"> (ב"י בשם שבה""ל). ויש אוסרין למצוץ בפה מענבים וכיוצא בהם</w:t>
      </w:r>
      <w:r w:rsidRPr="005275DF">
        <w:rPr>
          <w:rStyle w:val="a9"/>
          <w:rFonts w:asciiTheme="minorBidi" w:hAnsiTheme="minorBidi"/>
          <w:sz w:val="18"/>
          <w:szCs w:val="18"/>
          <w:rtl/>
        </w:rPr>
        <w:footnoteReference w:id="3002"/>
      </w:r>
      <w:r w:rsidRPr="005275DF">
        <w:rPr>
          <w:rFonts w:asciiTheme="minorBidi" w:hAnsiTheme="minorBidi"/>
          <w:sz w:val="18"/>
          <w:szCs w:val="18"/>
          <w:rtl/>
        </w:rPr>
        <w:t xml:space="preserve"> (הגה"מ בשם הרא"ם). </w:t>
      </w:r>
    </w:p>
    <w:p w14:paraId="16D7B4E4" w14:textId="77777777" w:rsidR="006A4BF8" w:rsidRPr="005275DF" w:rsidRDefault="006A4BF8" w:rsidP="00434A6A">
      <w:pPr>
        <w:tabs>
          <w:tab w:val="left" w:pos="2788"/>
        </w:tabs>
        <w:rPr>
          <w:rFonts w:asciiTheme="minorBidi" w:hAnsiTheme="minorBidi"/>
          <w:color w:val="FF0000"/>
          <w:sz w:val="28"/>
          <w:szCs w:val="28"/>
          <w:rtl/>
        </w:rPr>
      </w:pPr>
    </w:p>
    <w:p w14:paraId="6C435FD3"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ב: משקים היוצאים מזיתים וענבים בשבת.</w:t>
      </w:r>
    </w:p>
    <w:p w14:paraId="6FC0090D"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5282B0A" w14:textId="77777777" w:rsidR="006A4BF8" w:rsidRPr="005275DF" w:rsidRDefault="006A4BF8" w:rsidP="00434A6A">
      <w:pPr>
        <w:tabs>
          <w:tab w:val="left" w:pos="2788"/>
        </w:tabs>
        <w:rPr>
          <w:rFonts w:asciiTheme="minorBidi" w:hAnsiTheme="minorBidi"/>
          <w:sz w:val="16"/>
          <w:szCs w:val="16"/>
          <w:rtl/>
        </w:rPr>
      </w:pPr>
      <w:r w:rsidRPr="005275DF">
        <w:rPr>
          <w:rFonts w:asciiTheme="minorBidi" w:hAnsiTheme="minorBidi"/>
          <w:rtl/>
        </w:rPr>
        <w:t>זיתים וענבים שנתרסקו מערב שבת</w:t>
      </w:r>
      <w:r w:rsidRPr="005275DF">
        <w:rPr>
          <w:rStyle w:val="a9"/>
          <w:rFonts w:asciiTheme="minorBidi" w:hAnsiTheme="minorBidi"/>
          <w:rtl/>
        </w:rPr>
        <w:footnoteReference w:id="3003"/>
      </w:r>
      <w:r w:rsidRPr="005275DF">
        <w:rPr>
          <w:rFonts w:asciiTheme="minorBidi" w:hAnsiTheme="minorBidi"/>
          <w:rtl/>
        </w:rPr>
        <w:t xml:space="preserve"> משקים היוצאים מהם מותרין ואפילו אם לא נתרסקו מערב שבת אם יש יין בגיגית שהענבים בתוכה אף על פי שהענבים מתבקעים בשבת בגיגית מותר לשתותו בשבת שכל יין היוצא מהענבים מתבטל ביין שבגיגית</w:t>
      </w:r>
      <w:r w:rsidRPr="005275DF">
        <w:rPr>
          <w:rStyle w:val="a9"/>
          <w:rFonts w:asciiTheme="minorBidi" w:hAnsiTheme="minorBidi"/>
          <w:rtl/>
        </w:rPr>
        <w:footnoteReference w:id="3004"/>
      </w:r>
      <w:r w:rsidRPr="005275DF">
        <w:rPr>
          <w:rFonts w:asciiTheme="minorBidi" w:hAnsiTheme="minorBidi"/>
          <w:rtl/>
        </w:rPr>
        <w:t xml:space="preserve">. </w:t>
      </w:r>
      <w:r w:rsidRPr="005275DF">
        <w:rPr>
          <w:rFonts w:asciiTheme="minorBidi" w:hAnsiTheme="minorBidi"/>
          <w:sz w:val="16"/>
          <w:szCs w:val="16"/>
          <w:rtl/>
        </w:rPr>
        <w:t>{סה"ת סמ"ג סמ"ק ומרדכי}</w:t>
      </w:r>
    </w:p>
    <w:p w14:paraId="7005EEEB" w14:textId="77777777" w:rsidR="006A4BF8" w:rsidRPr="005275DF" w:rsidRDefault="006A4BF8" w:rsidP="00434A6A">
      <w:pPr>
        <w:tabs>
          <w:tab w:val="left" w:pos="2788"/>
        </w:tabs>
        <w:rPr>
          <w:rFonts w:asciiTheme="minorBidi" w:hAnsiTheme="minorBidi"/>
          <w:rtl/>
        </w:rPr>
      </w:pPr>
    </w:p>
    <w:p w14:paraId="2EABAAE1"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ג: יין שזב מחרצנים וזגים.</w:t>
      </w:r>
    </w:p>
    <w:p w14:paraId="0AC736CF"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78E581A"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חרצנים וזגים שנתן עליהם מים לעשות תמד מותר למשוך מהם ולשתותם ואפילו לא נתן מים והיין מתמצה וזב מאליו מותר לשתותו</w:t>
      </w:r>
      <w:r w:rsidRPr="005275DF">
        <w:rPr>
          <w:rStyle w:val="a9"/>
          <w:rFonts w:asciiTheme="minorBidi" w:hAnsiTheme="minorBidi"/>
          <w:rtl/>
        </w:rPr>
        <w:footnoteReference w:id="3005"/>
      </w:r>
      <w:r w:rsidRPr="005275DF">
        <w:rPr>
          <w:rFonts w:asciiTheme="minorBidi" w:hAnsiTheme="minorBidi"/>
          <w:rtl/>
        </w:rPr>
        <w:t xml:space="preserve">. </w:t>
      </w:r>
    </w:p>
    <w:p w14:paraId="4AD69A10" w14:textId="77777777" w:rsidR="006A4BF8" w:rsidRPr="005275DF" w:rsidRDefault="006A4BF8" w:rsidP="00434A6A">
      <w:pPr>
        <w:tabs>
          <w:tab w:val="left" w:pos="2788"/>
        </w:tabs>
        <w:rPr>
          <w:rFonts w:asciiTheme="minorBidi" w:hAnsiTheme="minorBidi"/>
          <w:rtl/>
        </w:rPr>
      </w:pPr>
    </w:p>
    <w:p w14:paraId="25E12FA1"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ד: סחיטת פירות לקדרה שיש בה תבשיל.</w:t>
      </w:r>
    </w:p>
    <w:p w14:paraId="4AED08D5"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קמד ע"ב: </w:t>
      </w:r>
      <w:r w:rsidRPr="005275DF">
        <w:rPr>
          <w:rFonts w:asciiTheme="minorBidi" w:hAnsiTheme="minorBidi"/>
          <w:u w:val="single"/>
          <w:rtl/>
        </w:rPr>
        <w:t>אמר רב יהודה אמר שמואל</w:t>
      </w:r>
      <w:r w:rsidRPr="005275DF">
        <w:rPr>
          <w:rFonts w:asciiTheme="minorBidi" w:hAnsiTheme="minorBidi"/>
          <w:rtl/>
        </w:rPr>
        <w:t>: סוחט אדם אשכול של ענבים לתוך הקדרה</w:t>
      </w:r>
      <w:r w:rsidRPr="005275DF">
        <w:rPr>
          <w:rStyle w:val="a9"/>
          <w:rFonts w:asciiTheme="minorBidi" w:hAnsiTheme="minorBidi"/>
          <w:rtl/>
        </w:rPr>
        <w:footnoteReference w:id="3006"/>
      </w:r>
      <w:r w:rsidRPr="005275DF">
        <w:rPr>
          <w:rFonts w:asciiTheme="minorBidi" w:hAnsiTheme="minorBidi"/>
          <w:rtl/>
        </w:rPr>
        <w:t xml:space="preserve"> אבל לא לתוך הקערה</w:t>
      </w:r>
      <w:r w:rsidRPr="005275DF">
        <w:rPr>
          <w:rStyle w:val="a9"/>
          <w:rFonts w:asciiTheme="minorBidi" w:hAnsiTheme="minorBidi"/>
          <w:rtl/>
        </w:rPr>
        <w:footnoteReference w:id="3007"/>
      </w:r>
      <w:r w:rsidRPr="005275DF">
        <w:rPr>
          <w:rFonts w:asciiTheme="minorBidi" w:hAnsiTheme="minorBidi"/>
          <w:rtl/>
        </w:rPr>
        <w:t xml:space="preserve">. </w:t>
      </w:r>
      <w:r w:rsidRPr="005275DF">
        <w:rPr>
          <w:rFonts w:asciiTheme="minorBidi" w:hAnsiTheme="minorBidi"/>
          <w:u w:val="single"/>
          <w:rtl/>
        </w:rPr>
        <w:t>אמר רב חסדא</w:t>
      </w:r>
      <w:r w:rsidRPr="005275DF">
        <w:rPr>
          <w:rFonts w:asciiTheme="minorBidi" w:hAnsiTheme="minorBidi"/>
          <w:rtl/>
        </w:rPr>
        <w:t xml:space="preserve">: מדברי רבינו נלמד חולב אדם עז לתוך הקדרה אבל לא לתוך הקערה....  </w:t>
      </w:r>
      <w:r w:rsidRPr="005275DF">
        <w:rPr>
          <w:rFonts w:asciiTheme="minorBidi" w:hAnsiTheme="minorBidi"/>
          <w:sz w:val="16"/>
          <w:szCs w:val="16"/>
          <w:u w:val="double"/>
          <w:rtl/>
        </w:rPr>
        <w:t>(קמה.)</w:t>
      </w:r>
      <w:r w:rsidRPr="005275DF">
        <w:rPr>
          <w:rFonts w:asciiTheme="minorBidi" w:hAnsiTheme="minorBidi"/>
          <w:rtl/>
        </w:rPr>
        <w:t xml:space="preserve"> כבשים</w:t>
      </w:r>
      <w:r w:rsidRPr="005275DF">
        <w:rPr>
          <w:rStyle w:val="a9"/>
          <w:rFonts w:asciiTheme="minorBidi" w:hAnsiTheme="minorBidi"/>
          <w:rtl/>
        </w:rPr>
        <w:footnoteReference w:id="3008"/>
      </w:r>
      <w:r w:rsidRPr="005275DF">
        <w:rPr>
          <w:rFonts w:asciiTheme="minorBidi" w:hAnsiTheme="minorBidi"/>
          <w:rtl/>
        </w:rPr>
        <w:t xml:space="preserve"> שסחטן, </w:t>
      </w:r>
      <w:r w:rsidRPr="005275DF">
        <w:rPr>
          <w:rFonts w:asciiTheme="minorBidi" w:hAnsiTheme="minorBidi"/>
          <w:u w:val="single"/>
          <w:rtl/>
        </w:rPr>
        <w:t>אמר רב</w:t>
      </w:r>
      <w:r w:rsidRPr="005275DF">
        <w:rPr>
          <w:rFonts w:asciiTheme="minorBidi" w:hAnsiTheme="minorBidi"/>
          <w:rtl/>
        </w:rPr>
        <w:t>: לגופן</w:t>
      </w:r>
      <w:r w:rsidRPr="005275DF">
        <w:rPr>
          <w:rStyle w:val="a9"/>
          <w:rFonts w:asciiTheme="minorBidi" w:hAnsiTheme="minorBidi"/>
          <w:rtl/>
        </w:rPr>
        <w:footnoteReference w:id="3009"/>
      </w:r>
      <w:r w:rsidRPr="005275DF">
        <w:rPr>
          <w:rFonts w:asciiTheme="minorBidi" w:hAnsiTheme="minorBidi"/>
          <w:rtl/>
        </w:rPr>
        <w:t xml:space="preserve"> מותר, למימיהן פטור</w:t>
      </w:r>
      <w:r w:rsidRPr="005275DF">
        <w:rPr>
          <w:rStyle w:val="a9"/>
          <w:rFonts w:asciiTheme="minorBidi" w:hAnsiTheme="minorBidi"/>
          <w:rtl/>
        </w:rPr>
        <w:footnoteReference w:id="3010"/>
      </w:r>
      <w:r w:rsidRPr="005275DF">
        <w:rPr>
          <w:rFonts w:asciiTheme="minorBidi" w:hAnsiTheme="minorBidi"/>
          <w:rtl/>
        </w:rPr>
        <w:t xml:space="preserve"> אבל אסור. ושלקות</w:t>
      </w:r>
      <w:r w:rsidRPr="005275DF">
        <w:rPr>
          <w:rStyle w:val="a9"/>
          <w:rFonts w:asciiTheme="minorBidi" w:hAnsiTheme="minorBidi"/>
          <w:rtl/>
        </w:rPr>
        <w:footnoteReference w:id="3011"/>
      </w:r>
      <w:r w:rsidRPr="005275DF">
        <w:rPr>
          <w:rFonts w:asciiTheme="minorBidi" w:hAnsiTheme="minorBidi"/>
          <w:rtl/>
        </w:rPr>
        <w:t xml:space="preserve"> בין לגופן בין למימיהן מותר. </w:t>
      </w:r>
      <w:r w:rsidRPr="005275DF">
        <w:rPr>
          <w:rFonts w:asciiTheme="minorBidi" w:hAnsiTheme="minorBidi"/>
          <w:u w:val="single"/>
          <w:rtl/>
        </w:rPr>
        <w:t>ושמואל אמר</w:t>
      </w:r>
      <w:r w:rsidRPr="005275DF">
        <w:rPr>
          <w:rFonts w:asciiTheme="minorBidi" w:hAnsiTheme="minorBidi"/>
          <w:rtl/>
        </w:rPr>
        <w:t>: אחד זה ואחד זה לגופן מותר, למימיהן פטור אבל אסור</w:t>
      </w:r>
      <w:r w:rsidRPr="005275DF">
        <w:rPr>
          <w:rStyle w:val="a9"/>
          <w:rFonts w:asciiTheme="minorBidi" w:hAnsiTheme="minorBidi"/>
          <w:rtl/>
        </w:rPr>
        <w:footnoteReference w:id="3012"/>
      </w:r>
      <w:r w:rsidRPr="005275DF">
        <w:rPr>
          <w:rFonts w:asciiTheme="minorBidi" w:hAnsiTheme="minorBidi"/>
          <w:rtl/>
        </w:rPr>
        <w:t xml:space="preserve">. </w:t>
      </w:r>
      <w:r w:rsidRPr="005275DF">
        <w:rPr>
          <w:rFonts w:asciiTheme="minorBidi" w:hAnsiTheme="minorBidi"/>
          <w:u w:val="single"/>
          <w:rtl/>
        </w:rPr>
        <w:t>רבי יוחנן אמר</w:t>
      </w:r>
      <w:r w:rsidRPr="005275DF">
        <w:rPr>
          <w:rFonts w:asciiTheme="minorBidi" w:hAnsiTheme="minorBidi"/>
          <w:rtl/>
        </w:rPr>
        <w:t>: אחד כבשים ואחד שלקות לגופן מותר, למימיהן חייב חטאת.</w:t>
      </w:r>
    </w:p>
    <w:p w14:paraId="5A05889D"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2156D829"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מותר לסחוט אשכול ענבים לתוך קדירה שיש בה תבשיל כדי לתקן האוכל דהוה ליה משקה הבא לאוכל וכאוכל דמי, אבל אם אין בה תבשיל אסור. </w:t>
      </w:r>
    </w:p>
    <w:p w14:paraId="1BAF70AB" w14:textId="77777777" w:rsidR="006A4BF8" w:rsidRPr="005275DF" w:rsidRDefault="006A4BF8" w:rsidP="00434A6A">
      <w:pPr>
        <w:tabs>
          <w:tab w:val="left" w:pos="2788"/>
        </w:tabs>
        <w:rPr>
          <w:rFonts w:asciiTheme="minorBidi" w:hAnsiTheme="minorBidi"/>
          <w:rtl/>
        </w:rPr>
      </w:pPr>
    </w:p>
    <w:p w14:paraId="34820672"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ה: סחיטת בוסר לקדרה שיש בה תבשיל.</w:t>
      </w:r>
    </w:p>
    <w:p w14:paraId="6CCFFDFB"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24F8843" w14:textId="77777777" w:rsidR="006A4BF8" w:rsidRPr="005275DF" w:rsidRDefault="006A4BF8" w:rsidP="00434A6A">
      <w:pPr>
        <w:tabs>
          <w:tab w:val="left" w:pos="2788"/>
        </w:tabs>
        <w:rPr>
          <w:rFonts w:asciiTheme="minorBidi" w:hAnsiTheme="minorBidi"/>
          <w:sz w:val="18"/>
          <w:szCs w:val="18"/>
          <w:rtl/>
        </w:rPr>
      </w:pPr>
      <w:r w:rsidRPr="005275DF">
        <w:rPr>
          <w:rFonts w:asciiTheme="minorBidi" w:hAnsiTheme="minorBidi"/>
          <w:rtl/>
        </w:rPr>
        <w:t xml:space="preserve">יש מי שאומר דהוא הדין לבוסר שמותר לסחטו לתוך האוכל, ור"ת אוסר בבוסר </w:t>
      </w:r>
      <w:r w:rsidRPr="005275DF">
        <w:rPr>
          <w:rFonts w:asciiTheme="minorBidi" w:hAnsiTheme="minorBidi"/>
          <w:sz w:val="18"/>
          <w:szCs w:val="18"/>
          <w:rtl/>
        </w:rPr>
        <w:t>הגה: הואיל ואינו ראוי לאכול</w:t>
      </w:r>
      <w:r w:rsidRPr="005275DF">
        <w:rPr>
          <w:rStyle w:val="a9"/>
          <w:rFonts w:asciiTheme="minorBidi" w:hAnsiTheme="minorBidi"/>
          <w:sz w:val="18"/>
          <w:szCs w:val="18"/>
          <w:rtl/>
        </w:rPr>
        <w:footnoteReference w:id="3013"/>
      </w:r>
      <w:r w:rsidRPr="005275DF">
        <w:rPr>
          <w:rFonts w:asciiTheme="minorBidi" w:hAnsiTheme="minorBidi"/>
          <w:sz w:val="18"/>
          <w:szCs w:val="18"/>
          <w:rtl/>
        </w:rPr>
        <w:t xml:space="preserve"> (טור). </w:t>
      </w:r>
    </w:p>
    <w:p w14:paraId="715A5B0B" w14:textId="77777777" w:rsidR="006A4BF8" w:rsidRPr="005275DF" w:rsidRDefault="006A4BF8" w:rsidP="00434A6A">
      <w:pPr>
        <w:tabs>
          <w:tab w:val="left" w:pos="2788"/>
        </w:tabs>
        <w:rPr>
          <w:rFonts w:asciiTheme="minorBidi" w:hAnsiTheme="minorBidi"/>
          <w:rtl/>
        </w:rPr>
      </w:pPr>
    </w:p>
    <w:p w14:paraId="326397C1"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ו: סחיטת לימון.</w:t>
      </w:r>
    </w:p>
    <w:p w14:paraId="40AB21BA"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039B357"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מותר לסחוט לימוניש</w:t>
      </w:r>
      <w:r w:rsidRPr="005275DF">
        <w:rPr>
          <w:rStyle w:val="a9"/>
          <w:rFonts w:asciiTheme="minorBidi" w:hAnsiTheme="minorBidi"/>
          <w:rtl/>
        </w:rPr>
        <w:footnoteReference w:id="3014"/>
      </w:r>
      <w:r w:rsidRPr="005275DF">
        <w:rPr>
          <w:rFonts w:asciiTheme="minorBidi" w:hAnsiTheme="minorBidi"/>
          <w:rtl/>
        </w:rPr>
        <w:t xml:space="preserve">. </w:t>
      </w:r>
    </w:p>
    <w:p w14:paraId="1AE054CD" w14:textId="77777777" w:rsidR="006A4BF8" w:rsidRPr="005275DF" w:rsidRDefault="006A4BF8" w:rsidP="00434A6A">
      <w:pPr>
        <w:tabs>
          <w:tab w:val="left" w:pos="2788"/>
        </w:tabs>
        <w:rPr>
          <w:rFonts w:asciiTheme="minorBidi" w:hAnsiTheme="minorBidi"/>
          <w:rtl/>
        </w:rPr>
      </w:pPr>
    </w:p>
    <w:p w14:paraId="2B2209BA"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ז: סחיטת כבשים ושלקות.</w:t>
      </w:r>
    </w:p>
    <w:p w14:paraId="53DBE276"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קמה ע"א: </w:t>
      </w:r>
      <w:r w:rsidRPr="005275DF">
        <w:rPr>
          <w:rFonts w:asciiTheme="minorBidi" w:hAnsiTheme="minorBidi"/>
          <w:rtl/>
        </w:rPr>
        <w:t>כבשים</w:t>
      </w:r>
      <w:r w:rsidRPr="005275DF">
        <w:rPr>
          <w:rStyle w:val="a9"/>
          <w:rFonts w:asciiTheme="minorBidi" w:hAnsiTheme="minorBidi"/>
          <w:rtl/>
        </w:rPr>
        <w:footnoteReference w:id="3015"/>
      </w:r>
      <w:r w:rsidRPr="005275DF">
        <w:rPr>
          <w:rFonts w:asciiTheme="minorBidi" w:hAnsiTheme="minorBidi"/>
          <w:rtl/>
        </w:rPr>
        <w:t xml:space="preserve"> שסחטן, </w:t>
      </w:r>
      <w:r w:rsidRPr="005275DF">
        <w:rPr>
          <w:rFonts w:asciiTheme="minorBidi" w:hAnsiTheme="minorBidi"/>
          <w:u w:val="single"/>
          <w:rtl/>
        </w:rPr>
        <w:t>אמר רב</w:t>
      </w:r>
      <w:r w:rsidRPr="005275DF">
        <w:rPr>
          <w:rFonts w:asciiTheme="minorBidi" w:hAnsiTheme="minorBidi"/>
          <w:rtl/>
        </w:rPr>
        <w:t>: לגופן</w:t>
      </w:r>
      <w:r w:rsidRPr="005275DF">
        <w:rPr>
          <w:rStyle w:val="a9"/>
          <w:rFonts w:asciiTheme="minorBidi" w:hAnsiTheme="minorBidi"/>
          <w:rtl/>
        </w:rPr>
        <w:footnoteReference w:id="3016"/>
      </w:r>
      <w:r w:rsidRPr="005275DF">
        <w:rPr>
          <w:rFonts w:asciiTheme="minorBidi" w:hAnsiTheme="minorBidi"/>
          <w:rtl/>
        </w:rPr>
        <w:t xml:space="preserve"> מותר, למימיהן פטור</w:t>
      </w:r>
      <w:r w:rsidRPr="005275DF">
        <w:rPr>
          <w:rStyle w:val="a9"/>
          <w:rFonts w:asciiTheme="minorBidi" w:hAnsiTheme="minorBidi"/>
          <w:rtl/>
        </w:rPr>
        <w:footnoteReference w:id="3017"/>
      </w:r>
      <w:r w:rsidRPr="005275DF">
        <w:rPr>
          <w:rFonts w:asciiTheme="minorBidi" w:hAnsiTheme="minorBidi"/>
          <w:rtl/>
        </w:rPr>
        <w:t xml:space="preserve"> אבל אסור. ושלקות</w:t>
      </w:r>
      <w:r w:rsidRPr="005275DF">
        <w:rPr>
          <w:rStyle w:val="a9"/>
          <w:rFonts w:asciiTheme="minorBidi" w:hAnsiTheme="minorBidi"/>
          <w:rtl/>
        </w:rPr>
        <w:footnoteReference w:id="3018"/>
      </w:r>
      <w:r w:rsidRPr="005275DF">
        <w:rPr>
          <w:rFonts w:asciiTheme="minorBidi" w:hAnsiTheme="minorBidi"/>
          <w:rtl/>
        </w:rPr>
        <w:t xml:space="preserve"> בין לגופן בין למימיהן מותר. </w:t>
      </w:r>
      <w:r w:rsidRPr="005275DF">
        <w:rPr>
          <w:rFonts w:asciiTheme="minorBidi" w:hAnsiTheme="minorBidi"/>
          <w:u w:val="single"/>
          <w:rtl/>
        </w:rPr>
        <w:t>ושמואל אמר</w:t>
      </w:r>
      <w:r w:rsidRPr="005275DF">
        <w:rPr>
          <w:rFonts w:asciiTheme="minorBidi" w:hAnsiTheme="minorBidi"/>
          <w:rtl/>
        </w:rPr>
        <w:t xml:space="preserve">: אחד זה ואחד זה לגופן מותר, למימיהן פטור אבל אסור. </w:t>
      </w:r>
      <w:r w:rsidRPr="005275DF">
        <w:rPr>
          <w:rFonts w:asciiTheme="minorBidi" w:hAnsiTheme="minorBidi"/>
          <w:u w:val="single"/>
          <w:rtl/>
        </w:rPr>
        <w:t>רבי יוחנן אמר</w:t>
      </w:r>
      <w:r w:rsidRPr="005275DF">
        <w:rPr>
          <w:rFonts w:asciiTheme="minorBidi" w:hAnsiTheme="minorBidi"/>
          <w:rtl/>
        </w:rPr>
        <w:t>: אחד כבשים ואחד שלקות לגופן מותר, למימיהן חייב חטאת.</w:t>
      </w:r>
    </w:p>
    <w:p w14:paraId="4B9174C9"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263A1C1C"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לסחוט כבשים </w:t>
      </w:r>
      <w:r w:rsidRPr="005275DF">
        <w:rPr>
          <w:rFonts w:asciiTheme="minorBidi" w:hAnsiTheme="minorBidi"/>
          <w:sz w:val="16"/>
          <w:szCs w:val="16"/>
          <w:rtl/>
        </w:rPr>
        <w:t>(פי' פירות ומיני ירקות המונחים בחומץ ובמלח כדי שלא ירקבו)</w:t>
      </w:r>
      <w:r w:rsidRPr="005275DF">
        <w:rPr>
          <w:rFonts w:asciiTheme="minorBidi" w:hAnsiTheme="minorBidi"/>
          <w:rtl/>
        </w:rPr>
        <w:t xml:space="preserve"> ושלקות אם לגופם שאין צריך למים ואינו סוחטן אלא לתקנם לאכילה אפילו סוחט לתוך קערה שאין בה אוכל מותר</w:t>
      </w:r>
      <w:r w:rsidRPr="005275DF">
        <w:rPr>
          <w:rStyle w:val="a9"/>
          <w:rFonts w:asciiTheme="minorBidi" w:hAnsiTheme="minorBidi"/>
          <w:rtl/>
        </w:rPr>
        <w:footnoteReference w:id="3019"/>
      </w:r>
      <w:r w:rsidRPr="005275DF">
        <w:rPr>
          <w:rFonts w:asciiTheme="minorBidi" w:hAnsiTheme="minorBidi"/>
          <w:rtl/>
        </w:rPr>
        <w:t>. ואם צריך למימיהן מותר לסחוט לתוך קדירה שיש בה אוכל</w:t>
      </w:r>
      <w:r w:rsidRPr="005275DF">
        <w:rPr>
          <w:rStyle w:val="a9"/>
          <w:rFonts w:asciiTheme="minorBidi" w:hAnsiTheme="minorBidi"/>
          <w:rtl/>
        </w:rPr>
        <w:footnoteReference w:id="3020"/>
      </w:r>
      <w:r w:rsidRPr="005275DF">
        <w:rPr>
          <w:rFonts w:asciiTheme="minorBidi" w:hAnsiTheme="minorBidi"/>
          <w:rtl/>
        </w:rPr>
        <w:t xml:space="preserve"> אבל אם אין בה אוכל אסור</w:t>
      </w:r>
      <w:r w:rsidRPr="005275DF">
        <w:rPr>
          <w:rStyle w:val="a9"/>
          <w:rFonts w:asciiTheme="minorBidi" w:hAnsiTheme="minorBidi"/>
          <w:rtl/>
        </w:rPr>
        <w:footnoteReference w:id="3021"/>
      </w:r>
      <w:r w:rsidRPr="005275DF">
        <w:rPr>
          <w:rFonts w:asciiTheme="minorBidi" w:hAnsiTheme="minorBidi"/>
          <w:rtl/>
        </w:rPr>
        <w:t>. ולרבנו חננאל כל שהוא צריך למימיהן חייב חטאת אפילו סחט לקדירה שיש בה אוכל.</w:t>
      </w:r>
      <w:r w:rsidRPr="005275DF">
        <w:rPr>
          <w:rFonts w:asciiTheme="minorBidi" w:hAnsiTheme="minorBidi"/>
          <w:sz w:val="18"/>
          <w:szCs w:val="18"/>
          <w:rtl/>
        </w:rPr>
        <w:t xml:space="preserve"> הגה: ולדבריו הסוחט אשכול לקדירה נמי אסור (טור).</w:t>
      </w:r>
      <w:r w:rsidRPr="005275DF">
        <w:rPr>
          <w:rFonts w:asciiTheme="minorBidi" w:hAnsiTheme="minorBidi"/>
          <w:rtl/>
        </w:rPr>
        <w:t xml:space="preserve"> </w:t>
      </w:r>
    </w:p>
    <w:p w14:paraId="1E5536E4" w14:textId="77777777" w:rsidR="006A4BF8" w:rsidRPr="005275DF" w:rsidRDefault="006A4BF8" w:rsidP="00434A6A">
      <w:pPr>
        <w:tabs>
          <w:tab w:val="left" w:pos="2788"/>
        </w:tabs>
        <w:rPr>
          <w:rFonts w:asciiTheme="minorBidi" w:hAnsiTheme="minorBidi"/>
          <w:rtl/>
        </w:rPr>
      </w:pPr>
    </w:p>
    <w:p w14:paraId="46277EB4"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ח: סחיטת דג.</w:t>
      </w:r>
    </w:p>
    <w:p w14:paraId="743489DE"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קמה ע"א: </w:t>
      </w:r>
      <w:r w:rsidRPr="005275DF">
        <w:rPr>
          <w:rFonts w:asciiTheme="minorBidi" w:hAnsiTheme="minorBidi"/>
          <w:u w:val="single"/>
          <w:rtl/>
        </w:rPr>
        <w:t>אמר רבי זירא אמר רב חייא בר אשי אמר רב</w:t>
      </w:r>
      <w:r w:rsidRPr="005275DF">
        <w:rPr>
          <w:rFonts w:asciiTheme="minorBidi" w:hAnsiTheme="minorBidi"/>
          <w:rtl/>
        </w:rPr>
        <w:t xml:space="preserve">: סוחט אדם אשכול של ענבים לתוך הקדרה, אבל לא לתוך הקערה. ודג לצירו - אפילו לתוך הקערה. יתיב רב דימי וקאמר לה להא שמעתא. </w:t>
      </w:r>
      <w:r w:rsidRPr="005275DF">
        <w:rPr>
          <w:rFonts w:asciiTheme="minorBidi" w:hAnsiTheme="minorBidi"/>
          <w:u w:val="single"/>
          <w:rtl/>
        </w:rPr>
        <w:t>אמר ליה אביי לרב דימי</w:t>
      </w:r>
      <w:r w:rsidRPr="005275DF">
        <w:rPr>
          <w:rFonts w:asciiTheme="minorBidi" w:hAnsiTheme="minorBidi"/>
          <w:rtl/>
        </w:rPr>
        <w:t xml:space="preserve">: אתון משמיה דרב מתניתון ולא קשיא לכו, אנן משמיה דשמואל מתנינן לה - וקשיא לן: מי אמר שמואל דג לצירו אפילו לתוך הקערה והאיתמר: כבשים שסחטן, </w:t>
      </w:r>
      <w:r w:rsidRPr="005275DF">
        <w:rPr>
          <w:rFonts w:asciiTheme="minorBidi" w:hAnsiTheme="minorBidi"/>
          <w:u w:val="single"/>
          <w:rtl/>
        </w:rPr>
        <w:t>אמר רב</w:t>
      </w:r>
      <w:r w:rsidRPr="005275DF">
        <w:rPr>
          <w:rFonts w:asciiTheme="minorBidi" w:hAnsiTheme="minorBidi"/>
          <w:rtl/>
        </w:rPr>
        <w:t xml:space="preserve">: לגופן- מותר, למימיהן- פטור, אבל אסור. ושלקות- בין לגופן בין למימיהן - מותר. </w:t>
      </w:r>
      <w:r w:rsidRPr="005275DF">
        <w:rPr>
          <w:rFonts w:asciiTheme="minorBidi" w:hAnsiTheme="minorBidi"/>
          <w:u w:val="single"/>
          <w:rtl/>
        </w:rPr>
        <w:t>ושמואל אמר</w:t>
      </w:r>
      <w:r w:rsidRPr="005275DF">
        <w:rPr>
          <w:rFonts w:asciiTheme="minorBidi" w:hAnsiTheme="minorBidi"/>
          <w:rtl/>
        </w:rPr>
        <w:t>: אחד כבשים ואחד שלקות, לגופן - מותר, למימיהן - פטור אבל אסור</w:t>
      </w:r>
      <w:r w:rsidRPr="005275DF">
        <w:rPr>
          <w:rStyle w:val="a9"/>
          <w:rFonts w:asciiTheme="minorBidi" w:hAnsiTheme="minorBidi"/>
          <w:rtl/>
        </w:rPr>
        <w:footnoteReference w:id="3022"/>
      </w:r>
      <w:r w:rsidRPr="005275DF">
        <w:rPr>
          <w:rFonts w:asciiTheme="minorBidi" w:hAnsiTheme="minorBidi"/>
          <w:rtl/>
        </w:rPr>
        <w:t>.</w:t>
      </w:r>
      <w:r w:rsidRPr="005275DF">
        <w:rPr>
          <w:rFonts w:asciiTheme="minorBidi" w:hAnsiTheme="minorBidi"/>
          <w:sz w:val="16"/>
          <w:szCs w:val="16"/>
          <w:rtl/>
        </w:rPr>
        <w:t xml:space="preserve"> (משמע דהסוחט דג לצירו דינו כסוחט שלקות למימיהן, ב"י)</w:t>
      </w:r>
    </w:p>
    <w:p w14:paraId="1E99F89F"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3E39FB1"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הסוחט דג לצירו</w:t>
      </w:r>
      <w:r w:rsidRPr="005275DF">
        <w:rPr>
          <w:rStyle w:val="a9"/>
          <w:rFonts w:asciiTheme="minorBidi" w:hAnsiTheme="minorBidi"/>
          <w:rtl/>
        </w:rPr>
        <w:footnoteReference w:id="3023"/>
      </w:r>
      <w:r w:rsidRPr="005275DF">
        <w:rPr>
          <w:rFonts w:asciiTheme="minorBidi" w:hAnsiTheme="minorBidi"/>
          <w:rtl/>
        </w:rPr>
        <w:t xml:space="preserve">, דינו כסוחט כבשים ושלקות למימיהן. </w:t>
      </w:r>
    </w:p>
    <w:p w14:paraId="1E71F80F" w14:textId="77777777" w:rsidR="006A4BF8" w:rsidRPr="005275DF" w:rsidRDefault="006A4BF8" w:rsidP="00434A6A">
      <w:pPr>
        <w:tabs>
          <w:tab w:val="left" w:pos="2788"/>
        </w:tabs>
        <w:rPr>
          <w:rFonts w:asciiTheme="minorBidi" w:hAnsiTheme="minorBidi"/>
          <w:rtl/>
        </w:rPr>
      </w:pPr>
    </w:p>
    <w:p w14:paraId="1546181E"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ט: ריסוק שלג וברד.</w:t>
      </w:r>
    </w:p>
    <w:p w14:paraId="11AF0F85" w14:textId="77777777" w:rsidR="00B97A52" w:rsidRDefault="00B97A52" w:rsidP="00B97A52">
      <w:pPr>
        <w:rPr>
          <w:rFonts w:asciiTheme="minorBidi" w:hAnsiTheme="minorBidi"/>
          <w:rtl/>
        </w:rPr>
      </w:pPr>
      <w:r w:rsidRPr="005275DF">
        <w:rPr>
          <w:rFonts w:asciiTheme="minorBidi" w:hAnsiTheme="minorBidi"/>
          <w:b/>
          <w:bCs/>
          <w:rtl/>
        </w:rPr>
        <w:t xml:space="preserve">שבת </w:t>
      </w:r>
      <w:r>
        <w:rPr>
          <w:rFonts w:asciiTheme="minorBidi" w:hAnsiTheme="minorBidi" w:hint="cs"/>
          <w:b/>
          <w:bCs/>
          <w:sz w:val="16"/>
          <w:szCs w:val="16"/>
          <w:rtl/>
        </w:rPr>
        <w:t xml:space="preserve">(פ' במה טומנין) </w:t>
      </w:r>
      <w:r w:rsidRPr="005275DF">
        <w:rPr>
          <w:rFonts w:asciiTheme="minorBidi" w:hAnsiTheme="minorBidi"/>
          <w:b/>
          <w:bCs/>
          <w:rtl/>
        </w:rPr>
        <w:t>נא ע"ב:</w:t>
      </w:r>
      <w:r w:rsidRPr="005275DF">
        <w:rPr>
          <w:rFonts w:asciiTheme="minorBidi" w:hAnsiTheme="minorBidi"/>
          <w:rtl/>
        </w:rPr>
        <w:t xml:space="preserve"> ואין מרזקין</w:t>
      </w:r>
      <w:r w:rsidRPr="005275DF">
        <w:rPr>
          <w:rStyle w:val="a9"/>
          <w:rFonts w:asciiTheme="minorBidi" w:hAnsiTheme="minorBidi"/>
          <w:rtl/>
        </w:rPr>
        <w:footnoteReference w:id="3024"/>
      </w:r>
      <w:r w:rsidRPr="005275DF">
        <w:rPr>
          <w:rFonts w:asciiTheme="minorBidi" w:hAnsiTheme="minorBidi"/>
          <w:rtl/>
        </w:rPr>
        <w:t xml:space="preserve"> לא את השלג ולא את הברד בשבת בשביל שיזובו מימיו, אבל נותן הוא לתוך הכוס</w:t>
      </w:r>
      <w:r w:rsidRPr="005275DF">
        <w:rPr>
          <w:rStyle w:val="a9"/>
          <w:rFonts w:asciiTheme="minorBidi" w:hAnsiTheme="minorBidi"/>
          <w:rtl/>
        </w:rPr>
        <w:footnoteReference w:id="3025"/>
      </w:r>
      <w:r w:rsidRPr="005275DF">
        <w:rPr>
          <w:rFonts w:asciiTheme="minorBidi" w:hAnsiTheme="minorBidi"/>
          <w:rtl/>
        </w:rPr>
        <w:t xml:space="preserve"> או לתוך הקערה ואינו חושש.</w:t>
      </w:r>
    </w:p>
    <w:p w14:paraId="03F32B6D" w14:textId="77777777" w:rsidR="00B97A52" w:rsidRDefault="00B97A52" w:rsidP="00B97A52">
      <w:pPr>
        <w:rPr>
          <w:rFonts w:asciiTheme="minorBidi" w:hAnsiTheme="minorBidi"/>
          <w:rtl/>
        </w:rPr>
      </w:pPr>
      <w:r w:rsidRPr="007330C2">
        <w:rPr>
          <w:rFonts w:asciiTheme="minorBidi" w:hAnsiTheme="minorBidi" w:cs="Arial" w:hint="cs"/>
          <w:b/>
          <w:bCs/>
          <w:rtl/>
        </w:rPr>
        <w:t>תוספתא שבת פ"ג הכ"ג:</w:t>
      </w:r>
      <w:r>
        <w:rPr>
          <w:rFonts w:asciiTheme="minorBidi" w:hAnsiTheme="minorBidi" w:cs="Arial" w:hint="cs"/>
          <w:rtl/>
        </w:rPr>
        <w:t xml:space="preserve"> </w:t>
      </w:r>
      <w:r w:rsidRPr="007330C2">
        <w:rPr>
          <w:rFonts w:asciiTheme="minorBidi" w:hAnsiTheme="minorBidi" w:cs="Arial"/>
          <w:rtl/>
        </w:rPr>
        <w:t>אין מרסקין את השלג שיזובו מימיו</w:t>
      </w:r>
      <w:r>
        <w:rPr>
          <w:rFonts w:asciiTheme="minorBidi" w:hAnsiTheme="minorBidi" w:cs="Arial" w:hint="cs"/>
          <w:rtl/>
        </w:rPr>
        <w:t>.</w:t>
      </w:r>
      <w:r w:rsidRPr="007330C2">
        <w:rPr>
          <w:rFonts w:asciiTheme="minorBidi" w:hAnsiTheme="minorBidi" w:cs="Arial"/>
          <w:rtl/>
        </w:rPr>
        <w:t xml:space="preserve"> אבל מרסק הוא לתוך הכוס או לתוך הקערה ואינו חושש</w:t>
      </w:r>
      <w:r>
        <w:rPr>
          <w:rFonts w:asciiTheme="minorBidi" w:hAnsiTheme="minorBidi" w:hint="cs"/>
          <w:rtl/>
        </w:rPr>
        <w:t>.</w:t>
      </w:r>
    </w:p>
    <w:p w14:paraId="22D59A5D" w14:textId="4B928BAC" w:rsidR="00B97A52" w:rsidRPr="00B97A52" w:rsidRDefault="00B97A52" w:rsidP="00B97A52">
      <w:pPr>
        <w:rPr>
          <w:rFonts w:asciiTheme="minorBidi" w:hAnsiTheme="minorBidi"/>
          <w:sz w:val="16"/>
          <w:szCs w:val="16"/>
          <w:u w:val="single"/>
          <w:rtl/>
        </w:rPr>
      </w:pPr>
      <w:r w:rsidRPr="00284861">
        <w:rPr>
          <w:rFonts w:asciiTheme="minorBidi" w:hAnsiTheme="minorBidi" w:hint="cs"/>
          <w:u w:val="single"/>
          <w:rtl/>
        </w:rPr>
        <w:t>משום מה אסור לרסק שלג או ברד:</w:t>
      </w:r>
      <w:r w:rsidRPr="00B97A52">
        <w:rPr>
          <w:rFonts w:asciiTheme="minorBidi" w:hAnsiTheme="minorBidi" w:hint="cs"/>
          <w:sz w:val="16"/>
          <w:szCs w:val="16"/>
          <w:rtl/>
        </w:rPr>
        <w:t xml:space="preserve"> (העותק מסימן שיח סע' </w:t>
      </w:r>
      <w:r>
        <w:rPr>
          <w:rFonts w:asciiTheme="minorBidi" w:hAnsiTheme="minorBidi" w:hint="cs"/>
          <w:sz w:val="16"/>
          <w:szCs w:val="16"/>
          <w:rtl/>
        </w:rPr>
        <w:t>ט</w:t>
      </w:r>
      <w:r w:rsidRPr="00B97A52">
        <w:rPr>
          <w:rFonts w:asciiTheme="minorBidi" w:hAnsiTheme="minorBidi" w:hint="cs"/>
          <w:sz w:val="16"/>
          <w:szCs w:val="16"/>
          <w:rtl/>
        </w:rPr>
        <w:t>ז)</w:t>
      </w:r>
    </w:p>
    <w:p w14:paraId="778FAA3D" w14:textId="77777777" w:rsidR="00B97A52" w:rsidRDefault="00B97A52" w:rsidP="00B97A52">
      <w:pPr>
        <w:pStyle w:val="aa"/>
        <w:numPr>
          <w:ilvl w:val="0"/>
          <w:numId w:val="32"/>
        </w:numPr>
        <w:rPr>
          <w:rFonts w:asciiTheme="minorBidi" w:hAnsiTheme="minorBidi"/>
        </w:rPr>
      </w:pPr>
      <w:r>
        <w:rPr>
          <w:rFonts w:asciiTheme="minorBidi" w:hAnsiTheme="minorBidi" w:hint="cs"/>
          <w:rtl/>
        </w:rPr>
        <w:t xml:space="preserve">רש"י </w:t>
      </w:r>
      <w:r>
        <w:rPr>
          <w:rFonts w:asciiTheme="minorBidi" w:hAnsiTheme="minorBidi" w:hint="cs"/>
          <w:sz w:val="16"/>
          <w:szCs w:val="16"/>
          <w:rtl/>
        </w:rPr>
        <w:t>(ד"ה בשביל שיזובו מימיו)</w:t>
      </w:r>
      <w:r>
        <w:rPr>
          <w:rFonts w:asciiTheme="minorBidi" w:hAnsiTheme="minorBidi" w:hint="cs"/>
          <w:rtl/>
        </w:rPr>
        <w:t xml:space="preserve">- </w:t>
      </w:r>
      <w:r w:rsidRPr="008C1C8E">
        <w:rPr>
          <w:rFonts w:asciiTheme="minorBidi" w:hAnsiTheme="minorBidi"/>
          <w:rtl/>
        </w:rPr>
        <w:t>משום דקא מוליד בשבת, ודמי למלאכה, שבורא המים האלו</w:t>
      </w:r>
      <w:r w:rsidRPr="005275DF">
        <w:rPr>
          <w:rStyle w:val="a9"/>
          <w:rFonts w:asciiTheme="minorBidi" w:hAnsiTheme="minorBidi"/>
          <w:rtl/>
        </w:rPr>
        <w:footnoteReference w:id="3026"/>
      </w:r>
      <w:r w:rsidRPr="00284861">
        <w:rPr>
          <w:rFonts w:asciiTheme="minorBidi" w:hAnsiTheme="minorBidi" w:hint="cs"/>
          <w:rtl/>
        </w:rPr>
        <w:t>.</w:t>
      </w:r>
    </w:p>
    <w:p w14:paraId="5D82D8CD" w14:textId="77777777" w:rsidR="00B97A52" w:rsidRDefault="00B97A52" w:rsidP="00B97A52">
      <w:pPr>
        <w:pStyle w:val="aa"/>
        <w:numPr>
          <w:ilvl w:val="0"/>
          <w:numId w:val="32"/>
        </w:numPr>
        <w:rPr>
          <w:rFonts w:asciiTheme="minorBidi" w:hAnsiTheme="minorBidi"/>
        </w:rPr>
      </w:pPr>
      <w:r>
        <w:rPr>
          <w:rFonts w:asciiTheme="minorBidi" w:hAnsiTheme="minorBidi" w:hint="cs"/>
          <w:rtl/>
        </w:rPr>
        <w:t xml:space="preserve">התרומה </w:t>
      </w:r>
      <w:r>
        <w:rPr>
          <w:rFonts w:asciiTheme="minorBidi" w:hAnsiTheme="minorBidi" w:hint="cs"/>
          <w:sz w:val="16"/>
          <w:szCs w:val="16"/>
          <w:rtl/>
        </w:rPr>
        <w:t>(סי' רלה)</w:t>
      </w:r>
      <w:r>
        <w:rPr>
          <w:rFonts w:asciiTheme="minorBidi" w:hAnsiTheme="minorBidi" w:hint="cs"/>
          <w:rtl/>
        </w:rPr>
        <w:t xml:space="preserve"> רא"ש </w:t>
      </w:r>
      <w:r>
        <w:rPr>
          <w:rFonts w:asciiTheme="minorBidi" w:hAnsiTheme="minorBidi" w:hint="cs"/>
          <w:sz w:val="16"/>
          <w:szCs w:val="16"/>
          <w:rtl/>
        </w:rPr>
        <w:t>(שבת פ"ד סי"ג)</w:t>
      </w:r>
      <w:r>
        <w:rPr>
          <w:rFonts w:asciiTheme="minorBidi" w:hAnsiTheme="minorBidi" w:hint="cs"/>
          <w:rtl/>
        </w:rPr>
        <w:t xml:space="preserve"> וטור- הוה ליה מוליד</w:t>
      </w:r>
      <w:r>
        <w:rPr>
          <w:rStyle w:val="a9"/>
          <w:rFonts w:asciiTheme="minorBidi" w:hAnsiTheme="minorBidi"/>
          <w:rtl/>
        </w:rPr>
        <w:footnoteReference w:id="3027"/>
      </w:r>
      <w:r>
        <w:rPr>
          <w:rFonts w:asciiTheme="minorBidi" w:hAnsiTheme="minorBidi" w:hint="cs"/>
          <w:rtl/>
        </w:rPr>
        <w:t>.</w:t>
      </w:r>
    </w:p>
    <w:p w14:paraId="7FC40703" w14:textId="77777777" w:rsidR="00B97A52" w:rsidRPr="00284861" w:rsidRDefault="00B97A52" w:rsidP="00B97A52">
      <w:pPr>
        <w:pStyle w:val="aa"/>
        <w:numPr>
          <w:ilvl w:val="0"/>
          <w:numId w:val="32"/>
        </w:numPr>
        <w:rPr>
          <w:rFonts w:asciiTheme="minorBidi" w:hAnsiTheme="minorBidi"/>
          <w:rtl/>
        </w:rPr>
      </w:pPr>
      <w:r>
        <w:rPr>
          <w:rFonts w:asciiTheme="minorBidi" w:hAnsiTheme="minorBidi" w:cs="Arial" w:hint="cs"/>
          <w:rtl/>
        </w:rPr>
        <w:t xml:space="preserve">רמב"ן </w:t>
      </w:r>
      <w:r>
        <w:rPr>
          <w:rFonts w:asciiTheme="minorBidi" w:hAnsiTheme="minorBidi" w:cs="Arial" w:hint="cs"/>
          <w:sz w:val="16"/>
          <w:szCs w:val="16"/>
          <w:rtl/>
        </w:rPr>
        <w:t>(נא:)</w:t>
      </w:r>
      <w:r>
        <w:rPr>
          <w:rFonts w:asciiTheme="minorBidi" w:hAnsiTheme="minorBidi" w:cs="Arial" w:hint="cs"/>
          <w:rtl/>
        </w:rPr>
        <w:t xml:space="preserve">- </w:t>
      </w:r>
      <w:r w:rsidRPr="00050F9B">
        <w:rPr>
          <w:rFonts w:asciiTheme="minorBidi" w:hAnsiTheme="minorBidi" w:cs="Arial"/>
          <w:rtl/>
        </w:rPr>
        <w:t>משום סרך מלאכה נגעו בה</w:t>
      </w:r>
      <w:r>
        <w:rPr>
          <w:rFonts w:asciiTheme="minorBidi" w:hAnsiTheme="minorBidi" w:hint="cs"/>
          <w:rtl/>
        </w:rPr>
        <w:t>.</w:t>
      </w:r>
    </w:p>
    <w:p w14:paraId="1E4DF66D" w14:textId="77777777" w:rsidR="00B97A52" w:rsidRPr="005841FA" w:rsidRDefault="00B97A52" w:rsidP="00B97A52">
      <w:pPr>
        <w:pStyle w:val="aa"/>
        <w:numPr>
          <w:ilvl w:val="0"/>
          <w:numId w:val="32"/>
        </w:numPr>
        <w:rPr>
          <w:rFonts w:asciiTheme="minorBidi" w:hAnsiTheme="minorBidi"/>
        </w:rPr>
      </w:pPr>
      <w:r>
        <w:rPr>
          <w:rFonts w:asciiTheme="minorBidi" w:hAnsiTheme="minorBidi" w:cs="Arial" w:hint="cs"/>
          <w:rtl/>
        </w:rPr>
        <w:t>רמב"ם</w:t>
      </w:r>
      <w:r>
        <w:rPr>
          <w:rStyle w:val="a9"/>
          <w:rFonts w:asciiTheme="minorBidi" w:hAnsiTheme="minorBidi" w:cs="Arial"/>
          <w:rtl/>
        </w:rPr>
        <w:footnoteReference w:id="3028"/>
      </w:r>
      <w:r>
        <w:rPr>
          <w:rFonts w:asciiTheme="minorBidi" w:hAnsiTheme="minorBidi" w:cs="Arial" w:hint="cs"/>
          <w:rtl/>
        </w:rPr>
        <w:t xml:space="preserve"> </w:t>
      </w:r>
      <w:r>
        <w:rPr>
          <w:rFonts w:asciiTheme="minorBidi" w:hAnsiTheme="minorBidi" w:cs="Arial" w:hint="cs"/>
          <w:sz w:val="16"/>
          <w:szCs w:val="16"/>
          <w:rtl/>
        </w:rPr>
        <w:t xml:space="preserve">(פכ"א הי"ג, וכ"כ הר"ן בשמו) </w:t>
      </w:r>
      <w:r>
        <w:rPr>
          <w:rFonts w:asciiTheme="minorBidi" w:hAnsiTheme="minorBidi" w:cs="Arial" w:hint="cs"/>
          <w:rtl/>
        </w:rPr>
        <w:t xml:space="preserve">ורשב"א </w:t>
      </w:r>
      <w:r>
        <w:rPr>
          <w:rFonts w:asciiTheme="minorBidi" w:hAnsiTheme="minorBidi" w:cs="Arial" w:hint="cs"/>
          <w:sz w:val="16"/>
          <w:szCs w:val="16"/>
          <w:rtl/>
        </w:rPr>
        <w:t>(נא:)</w:t>
      </w:r>
      <w:r>
        <w:rPr>
          <w:rFonts w:asciiTheme="minorBidi" w:hAnsiTheme="minorBidi" w:hint="cs"/>
          <w:rtl/>
        </w:rPr>
        <w:t xml:space="preserve">- </w:t>
      </w:r>
      <w:r w:rsidRPr="004F2FBF">
        <w:rPr>
          <w:rFonts w:asciiTheme="minorBidi" w:hAnsiTheme="minorBidi" w:cs="Arial"/>
          <w:rtl/>
        </w:rPr>
        <w:t>משום גזירת סחיטה דפירות העומדין למשקין נגעו בה מפני שהברד והשלג למימיהן הן עומדין</w:t>
      </w:r>
      <w:r>
        <w:rPr>
          <w:rFonts w:asciiTheme="minorBidi" w:hAnsiTheme="minorBidi" w:cs="Arial" w:hint="cs"/>
          <w:sz w:val="16"/>
          <w:szCs w:val="16"/>
          <w:rtl/>
        </w:rPr>
        <w:t xml:space="preserve"> (ל' הרשב"א)</w:t>
      </w:r>
      <w:r>
        <w:rPr>
          <w:rStyle w:val="a9"/>
          <w:rFonts w:asciiTheme="minorBidi" w:hAnsiTheme="minorBidi" w:cs="Arial"/>
          <w:rtl/>
        </w:rPr>
        <w:footnoteReference w:id="3029"/>
      </w:r>
      <w:r>
        <w:rPr>
          <w:rFonts w:asciiTheme="minorBidi" w:hAnsiTheme="minorBidi" w:cs="Arial" w:hint="cs"/>
          <w:rtl/>
        </w:rPr>
        <w:t>.</w:t>
      </w:r>
    </w:p>
    <w:p w14:paraId="3C551850"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6DC1EE1F" w14:textId="6083ED24" w:rsidR="006A4BF8" w:rsidRPr="005275DF" w:rsidRDefault="006A4BF8" w:rsidP="00434A6A">
      <w:pPr>
        <w:tabs>
          <w:tab w:val="left" w:pos="2788"/>
        </w:tabs>
        <w:rPr>
          <w:rFonts w:asciiTheme="minorBidi" w:hAnsiTheme="minorBidi"/>
          <w:rtl/>
        </w:rPr>
      </w:pPr>
      <w:r w:rsidRPr="005275DF">
        <w:rPr>
          <w:rFonts w:asciiTheme="minorBidi" w:hAnsiTheme="minorBidi"/>
          <w:rtl/>
        </w:rPr>
        <w:t>השלג והברד אין מרסקין אותם דהיינו לשברם לחתיכות דקות כדי שיזובו מימיו אבל נותן הוא</w:t>
      </w:r>
      <w:r w:rsidRPr="005275DF">
        <w:rPr>
          <w:rStyle w:val="a9"/>
          <w:rFonts w:asciiTheme="minorBidi" w:hAnsiTheme="minorBidi"/>
          <w:rtl/>
        </w:rPr>
        <w:footnoteReference w:id="3030"/>
      </w:r>
      <w:r w:rsidRPr="005275DF">
        <w:rPr>
          <w:rFonts w:asciiTheme="minorBidi" w:hAnsiTheme="minorBidi"/>
          <w:rtl/>
        </w:rPr>
        <w:t xml:space="preserve"> לתוך כוס של יין או </w:t>
      </w:r>
    </w:p>
    <w:p w14:paraId="43D91672" w14:textId="77777777" w:rsidR="006A4BF8" w:rsidRPr="005275DF" w:rsidRDefault="006A4BF8" w:rsidP="00434A6A">
      <w:pPr>
        <w:tabs>
          <w:tab w:val="left" w:pos="2788"/>
        </w:tabs>
        <w:rPr>
          <w:rFonts w:asciiTheme="minorBidi" w:hAnsiTheme="minorBidi"/>
          <w:rtl/>
        </w:rPr>
      </w:pPr>
    </w:p>
    <w:p w14:paraId="7A3EDE90"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 שבירת קרח כדי ליטול מים מתחתיו.</w:t>
      </w:r>
    </w:p>
    <w:p w14:paraId="58ED41A2"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20FBBF7E" w14:textId="77777777" w:rsidR="006A4BF8" w:rsidRPr="005275DF" w:rsidRDefault="006A4BF8" w:rsidP="00434A6A">
      <w:pPr>
        <w:tabs>
          <w:tab w:val="left" w:pos="2788"/>
        </w:tabs>
        <w:rPr>
          <w:rFonts w:asciiTheme="minorBidi" w:hAnsiTheme="minorBidi"/>
          <w:sz w:val="16"/>
          <w:szCs w:val="16"/>
          <w:rtl/>
        </w:rPr>
      </w:pPr>
      <w:r w:rsidRPr="005275DF">
        <w:rPr>
          <w:rFonts w:asciiTheme="minorBidi" w:hAnsiTheme="minorBidi"/>
          <w:rtl/>
        </w:rPr>
        <w:t>מותר לשבר הקרח כדי ליטול מים מתחתיו</w:t>
      </w:r>
      <w:r w:rsidRPr="005275DF">
        <w:rPr>
          <w:rStyle w:val="a9"/>
          <w:rFonts w:asciiTheme="minorBidi" w:hAnsiTheme="minorBidi"/>
          <w:rtl/>
        </w:rPr>
        <w:footnoteReference w:id="3031"/>
      </w:r>
      <w:r w:rsidRPr="005275DF">
        <w:rPr>
          <w:rFonts w:asciiTheme="minorBidi" w:hAnsiTheme="minorBidi"/>
          <w:rtl/>
        </w:rPr>
        <w:t xml:space="preserve">. </w:t>
      </w:r>
      <w:r w:rsidRPr="005275DF">
        <w:rPr>
          <w:rFonts w:asciiTheme="minorBidi" w:hAnsiTheme="minorBidi"/>
          <w:sz w:val="16"/>
          <w:szCs w:val="16"/>
          <w:rtl/>
        </w:rPr>
        <w:t>{ראבי"ה מרדכי ושבה"ל}</w:t>
      </w:r>
    </w:p>
    <w:p w14:paraId="74EDFDDE" w14:textId="77777777" w:rsidR="006A4BF8" w:rsidRPr="005275DF" w:rsidRDefault="006A4BF8" w:rsidP="00434A6A">
      <w:pPr>
        <w:tabs>
          <w:tab w:val="left" w:pos="2788"/>
        </w:tabs>
        <w:rPr>
          <w:rFonts w:asciiTheme="minorBidi" w:hAnsiTheme="minorBidi"/>
          <w:rtl/>
        </w:rPr>
      </w:pPr>
    </w:p>
    <w:p w14:paraId="69311738"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יא: נטילת ידים במים שיש בהם ברד.</w:t>
      </w:r>
    </w:p>
    <w:p w14:paraId="1B54BD00"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CE373EE" w14:textId="77777777" w:rsidR="006A4BF8" w:rsidRPr="005275DF" w:rsidRDefault="006A4BF8" w:rsidP="00434A6A">
      <w:pPr>
        <w:tabs>
          <w:tab w:val="left" w:pos="2788"/>
        </w:tabs>
        <w:rPr>
          <w:rFonts w:asciiTheme="minorBidi" w:hAnsiTheme="minorBidi"/>
          <w:sz w:val="16"/>
          <w:szCs w:val="16"/>
          <w:rtl/>
        </w:rPr>
      </w:pPr>
      <w:r w:rsidRPr="005275DF">
        <w:rPr>
          <w:rFonts w:asciiTheme="minorBidi" w:hAnsiTheme="minorBidi"/>
          <w:rtl/>
        </w:rPr>
        <w:t>צריך ליזהר בחורף שלא יטול ידיו במים שיש בהם שלג או ברד ואם יטול יזהר שלא ידחקם בין ידיו שלא יהא מרסק</w:t>
      </w:r>
      <w:r w:rsidRPr="005275DF">
        <w:rPr>
          <w:rStyle w:val="a9"/>
          <w:rFonts w:asciiTheme="minorBidi" w:hAnsiTheme="minorBidi"/>
          <w:rtl/>
        </w:rPr>
        <w:footnoteReference w:id="3032"/>
      </w:r>
      <w:r w:rsidRPr="005275DF">
        <w:rPr>
          <w:rFonts w:asciiTheme="minorBidi" w:hAnsiTheme="minorBidi"/>
          <w:rtl/>
        </w:rPr>
        <w:t xml:space="preserve">. </w:t>
      </w:r>
      <w:r w:rsidRPr="005275DF">
        <w:rPr>
          <w:rFonts w:asciiTheme="minorBidi" w:hAnsiTheme="minorBidi"/>
          <w:sz w:val="16"/>
          <w:szCs w:val="16"/>
          <w:rtl/>
        </w:rPr>
        <w:t>{תוס' ורא"ש ורי"ו}</w:t>
      </w:r>
    </w:p>
    <w:p w14:paraId="5CE33D83" w14:textId="77777777" w:rsidR="006A4BF8" w:rsidRPr="005275DF" w:rsidRDefault="006A4BF8" w:rsidP="00434A6A">
      <w:pPr>
        <w:tabs>
          <w:tab w:val="left" w:pos="2788"/>
        </w:tabs>
        <w:rPr>
          <w:rFonts w:asciiTheme="minorBidi" w:hAnsiTheme="minorBidi"/>
          <w:rtl/>
        </w:rPr>
      </w:pPr>
    </w:p>
    <w:p w14:paraId="14BBB272"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יב: שפשוף ידיים במלח.</w:t>
      </w:r>
    </w:p>
    <w:p w14:paraId="7FB96972"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70F36CC" w14:textId="77777777" w:rsidR="006A4BF8" w:rsidRPr="005275DF" w:rsidRDefault="006A4BF8" w:rsidP="00434A6A">
      <w:pPr>
        <w:tabs>
          <w:tab w:val="left" w:pos="2788"/>
        </w:tabs>
        <w:rPr>
          <w:rFonts w:asciiTheme="minorBidi" w:hAnsiTheme="minorBidi"/>
          <w:sz w:val="16"/>
          <w:szCs w:val="16"/>
          <w:rtl/>
        </w:rPr>
      </w:pPr>
      <w:r w:rsidRPr="005275DF">
        <w:rPr>
          <w:rFonts w:asciiTheme="minorBidi" w:hAnsiTheme="minorBidi"/>
          <w:rtl/>
        </w:rPr>
        <w:t>יש ליזהר שלא ישפשף ידיו במלח</w:t>
      </w:r>
      <w:r w:rsidRPr="005275DF">
        <w:rPr>
          <w:rStyle w:val="a9"/>
          <w:rFonts w:asciiTheme="minorBidi" w:hAnsiTheme="minorBidi"/>
          <w:rtl/>
        </w:rPr>
        <w:footnoteReference w:id="3033"/>
      </w:r>
      <w:r w:rsidRPr="005275DF">
        <w:rPr>
          <w:rFonts w:asciiTheme="minorBidi" w:hAnsiTheme="minorBidi"/>
          <w:rtl/>
        </w:rPr>
        <w:t xml:space="preserve">. </w:t>
      </w:r>
      <w:r w:rsidRPr="005275DF">
        <w:rPr>
          <w:rFonts w:asciiTheme="minorBidi" w:hAnsiTheme="minorBidi"/>
          <w:sz w:val="16"/>
          <w:szCs w:val="16"/>
          <w:rtl/>
        </w:rPr>
        <w:t>{סה"ת}</w:t>
      </w:r>
    </w:p>
    <w:p w14:paraId="6DB5F7AA" w14:textId="77777777" w:rsidR="006A4BF8" w:rsidRPr="005275DF" w:rsidRDefault="006A4BF8" w:rsidP="00434A6A">
      <w:pPr>
        <w:tabs>
          <w:tab w:val="left" w:pos="2788"/>
        </w:tabs>
        <w:rPr>
          <w:rFonts w:asciiTheme="minorBidi" w:hAnsiTheme="minorBidi"/>
          <w:rtl/>
        </w:rPr>
      </w:pPr>
    </w:p>
    <w:p w14:paraId="78EB2080"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יג: הליכה על שלג.</w:t>
      </w:r>
    </w:p>
    <w:p w14:paraId="6F4AD67E"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251393B1"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דורס שלג ברגליו ואינו חושש</w:t>
      </w:r>
      <w:r w:rsidRPr="005275DF">
        <w:rPr>
          <w:rStyle w:val="a9"/>
          <w:rFonts w:asciiTheme="minorBidi" w:hAnsiTheme="minorBidi"/>
          <w:rtl/>
        </w:rPr>
        <w:footnoteReference w:id="3034"/>
      </w:r>
      <w:r w:rsidRPr="005275DF">
        <w:rPr>
          <w:rFonts w:asciiTheme="minorBidi" w:hAnsiTheme="minorBidi"/>
          <w:rtl/>
        </w:rPr>
        <w:t xml:space="preserve">. </w:t>
      </w:r>
    </w:p>
    <w:p w14:paraId="7B15A0C6" w14:textId="77777777" w:rsidR="006A4BF8" w:rsidRPr="005275DF" w:rsidRDefault="006A4BF8" w:rsidP="00434A6A">
      <w:pPr>
        <w:tabs>
          <w:tab w:val="left" w:pos="2788"/>
        </w:tabs>
        <w:rPr>
          <w:rFonts w:asciiTheme="minorBidi" w:hAnsiTheme="minorBidi"/>
          <w:rtl/>
        </w:rPr>
      </w:pPr>
    </w:p>
    <w:p w14:paraId="07C5C3F8"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יד: הטלת מ"ר על שלג.</w:t>
      </w:r>
    </w:p>
    <w:p w14:paraId="48FBB445"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B3F973A"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הר"מ מרוטנבורג מתיר להטיל מי רגלים בשלג</w:t>
      </w:r>
      <w:r w:rsidRPr="005275DF">
        <w:rPr>
          <w:rStyle w:val="a9"/>
          <w:rFonts w:asciiTheme="minorBidi" w:hAnsiTheme="minorBidi"/>
          <w:rtl/>
        </w:rPr>
        <w:footnoteReference w:id="3035"/>
      </w:r>
      <w:r w:rsidRPr="005275DF">
        <w:rPr>
          <w:rFonts w:asciiTheme="minorBidi" w:hAnsiTheme="minorBidi"/>
          <w:rtl/>
        </w:rPr>
        <w:t>, והרא"ש היה נזהר</w:t>
      </w:r>
      <w:r w:rsidRPr="005275DF">
        <w:rPr>
          <w:rStyle w:val="a9"/>
          <w:rFonts w:asciiTheme="minorBidi" w:hAnsiTheme="minorBidi"/>
          <w:rtl/>
        </w:rPr>
        <w:footnoteReference w:id="3036"/>
      </w:r>
      <w:r w:rsidRPr="005275DF">
        <w:rPr>
          <w:rFonts w:asciiTheme="minorBidi" w:hAnsiTheme="minorBidi"/>
          <w:rtl/>
        </w:rPr>
        <w:t xml:space="preserve">. </w:t>
      </w:r>
    </w:p>
    <w:p w14:paraId="519975F1" w14:textId="77777777" w:rsidR="006A4BF8" w:rsidRPr="005275DF" w:rsidRDefault="006A4BF8" w:rsidP="00434A6A">
      <w:pPr>
        <w:tabs>
          <w:tab w:val="left" w:pos="2788"/>
        </w:tabs>
        <w:rPr>
          <w:rFonts w:asciiTheme="minorBidi" w:hAnsiTheme="minorBidi"/>
          <w:rtl/>
        </w:rPr>
      </w:pPr>
    </w:p>
    <w:p w14:paraId="074E91B8"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טו: פריסת סודר ע"ג חבית ועליו נותן דלי.</w:t>
      </w:r>
    </w:p>
    <w:p w14:paraId="6C38FA49" w14:textId="77777777" w:rsidR="006A4BF8" w:rsidRPr="005275DF" w:rsidRDefault="006A4BF8" w:rsidP="00434A6A">
      <w:pPr>
        <w:rPr>
          <w:rFonts w:asciiTheme="minorBidi" w:hAnsiTheme="minorBidi"/>
          <w:rtl/>
        </w:rPr>
      </w:pPr>
      <w:r w:rsidRPr="005275DF">
        <w:rPr>
          <w:rFonts w:asciiTheme="minorBidi" w:hAnsiTheme="minorBidi"/>
          <w:b/>
          <w:bCs/>
          <w:rtl/>
        </w:rPr>
        <w:t>שבת מח ע"א:</w:t>
      </w:r>
      <w:r w:rsidRPr="005275DF">
        <w:rPr>
          <w:rFonts w:asciiTheme="minorBidi" w:hAnsiTheme="minorBidi"/>
          <w:rtl/>
        </w:rPr>
        <w:t xml:space="preserve"> רבה ורבי זירא איקלעו לבי ריש גלותא, חזיוה לההוא עבדא... הדר חזייה דפרס דסתודר</w:t>
      </w:r>
      <w:r w:rsidRPr="005275DF">
        <w:rPr>
          <w:rStyle w:val="a9"/>
          <w:rFonts w:asciiTheme="minorBidi" w:hAnsiTheme="minorBidi"/>
          <w:rtl/>
        </w:rPr>
        <w:footnoteReference w:id="3037"/>
      </w:r>
      <w:r w:rsidRPr="005275DF">
        <w:rPr>
          <w:rFonts w:asciiTheme="minorBidi" w:hAnsiTheme="minorBidi"/>
          <w:rtl/>
        </w:rPr>
        <w:t xml:space="preserve"> אפומיה דכובא</w:t>
      </w:r>
      <w:r w:rsidRPr="005275DF">
        <w:rPr>
          <w:rStyle w:val="a9"/>
          <w:rFonts w:asciiTheme="minorBidi" w:hAnsiTheme="minorBidi"/>
          <w:rtl/>
        </w:rPr>
        <w:footnoteReference w:id="3038"/>
      </w:r>
      <w:r w:rsidRPr="005275DF">
        <w:rPr>
          <w:rFonts w:asciiTheme="minorBidi" w:hAnsiTheme="minorBidi"/>
          <w:rtl/>
        </w:rPr>
        <w:t xml:space="preserve"> ואנח נטלא</w:t>
      </w:r>
      <w:r w:rsidRPr="005275DF">
        <w:rPr>
          <w:rStyle w:val="a9"/>
          <w:rFonts w:asciiTheme="minorBidi" w:hAnsiTheme="minorBidi"/>
          <w:rtl/>
        </w:rPr>
        <w:footnoteReference w:id="3039"/>
      </w:r>
      <w:r w:rsidRPr="005275DF">
        <w:rPr>
          <w:rFonts w:asciiTheme="minorBidi" w:hAnsiTheme="minorBidi"/>
          <w:rtl/>
        </w:rPr>
        <w:t xml:space="preserve"> עילויה, נזהיה רבה. </w:t>
      </w:r>
      <w:r w:rsidRPr="005275DF">
        <w:rPr>
          <w:rFonts w:asciiTheme="minorBidi" w:hAnsiTheme="minorBidi"/>
          <w:u w:val="single"/>
          <w:rtl/>
        </w:rPr>
        <w:t>אמר ליה רבי זירא</w:t>
      </w:r>
      <w:r w:rsidRPr="005275DF">
        <w:rPr>
          <w:rFonts w:asciiTheme="minorBidi" w:hAnsiTheme="minorBidi"/>
          <w:rtl/>
        </w:rPr>
        <w:t xml:space="preserve">: אמאי? </w:t>
      </w:r>
      <w:r w:rsidRPr="005275DF">
        <w:rPr>
          <w:rFonts w:asciiTheme="minorBidi" w:hAnsiTheme="minorBidi"/>
          <w:u w:val="single"/>
          <w:rtl/>
        </w:rPr>
        <w:t>אמר ליה</w:t>
      </w:r>
      <w:r w:rsidRPr="005275DF">
        <w:rPr>
          <w:rFonts w:asciiTheme="minorBidi" w:hAnsiTheme="minorBidi"/>
          <w:rtl/>
        </w:rPr>
        <w:t>: השתא חזית. לסוף חזייה דקא מעצר ליה</w:t>
      </w:r>
      <w:r w:rsidRPr="005275DF">
        <w:rPr>
          <w:rStyle w:val="a9"/>
          <w:rFonts w:asciiTheme="minorBidi" w:hAnsiTheme="minorBidi"/>
          <w:rtl/>
        </w:rPr>
        <w:footnoteReference w:id="3040"/>
      </w:r>
      <w:r w:rsidRPr="005275DF">
        <w:rPr>
          <w:rFonts w:asciiTheme="minorBidi" w:hAnsiTheme="minorBidi"/>
          <w:rtl/>
        </w:rPr>
        <w:t>. אמר ליה: מאי שנא מפרונקא</w:t>
      </w:r>
      <w:r w:rsidRPr="005275DF">
        <w:rPr>
          <w:rStyle w:val="a9"/>
          <w:rFonts w:asciiTheme="minorBidi" w:hAnsiTheme="minorBidi"/>
          <w:rtl/>
        </w:rPr>
        <w:footnoteReference w:id="3041"/>
      </w:r>
      <w:r w:rsidRPr="005275DF">
        <w:rPr>
          <w:rFonts w:asciiTheme="minorBidi" w:hAnsiTheme="minorBidi"/>
          <w:rtl/>
        </w:rPr>
        <w:t>? אמר ליה: התם לא קפיד עילויה</w:t>
      </w:r>
      <w:r w:rsidRPr="005275DF">
        <w:rPr>
          <w:rStyle w:val="a9"/>
          <w:rFonts w:asciiTheme="minorBidi" w:hAnsiTheme="minorBidi"/>
          <w:rtl/>
        </w:rPr>
        <w:footnoteReference w:id="3042"/>
      </w:r>
      <w:r w:rsidRPr="005275DF">
        <w:rPr>
          <w:rFonts w:asciiTheme="minorBidi" w:hAnsiTheme="minorBidi"/>
          <w:rtl/>
        </w:rPr>
        <w:t>, הכא קפיד עילויה.</w:t>
      </w:r>
    </w:p>
    <w:p w14:paraId="60E6B66F"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DF19A2B"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אסור לפרוס סודר על פי החבית וליתן על גביו הכלי שדולים בו שמא</w:t>
      </w:r>
      <w:r w:rsidRPr="005275DF">
        <w:rPr>
          <w:rStyle w:val="a9"/>
          <w:rFonts w:asciiTheme="minorBidi" w:hAnsiTheme="minorBidi"/>
          <w:rtl/>
        </w:rPr>
        <w:footnoteReference w:id="3043"/>
      </w:r>
      <w:r w:rsidRPr="005275DF">
        <w:rPr>
          <w:rFonts w:asciiTheme="minorBidi" w:hAnsiTheme="minorBidi"/>
          <w:rtl/>
        </w:rPr>
        <w:t xml:space="preserve"> יבא לידי סחיטה, אבל בגד העשוי לפרוס עליו מותר שאינו חושש עליו לסוחטו. </w:t>
      </w:r>
    </w:p>
    <w:p w14:paraId="7EAD99D9" w14:textId="77777777" w:rsidR="006A4BF8" w:rsidRPr="005275DF" w:rsidRDefault="006A4BF8" w:rsidP="00434A6A">
      <w:pPr>
        <w:tabs>
          <w:tab w:val="left" w:pos="2788"/>
        </w:tabs>
        <w:rPr>
          <w:rFonts w:asciiTheme="minorBidi" w:hAnsiTheme="minorBidi"/>
          <w:rtl/>
        </w:rPr>
      </w:pPr>
    </w:p>
    <w:p w14:paraId="64F40E6B"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טז: הידוק מוכין בפי החבית.</w:t>
      </w:r>
    </w:p>
    <w:p w14:paraId="01DA10FE"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קמא ע"א: </w:t>
      </w:r>
      <w:r w:rsidRPr="005275DF">
        <w:rPr>
          <w:rFonts w:asciiTheme="minorBidi" w:hAnsiTheme="minorBidi"/>
          <w:u w:val="single"/>
          <w:rtl/>
        </w:rPr>
        <w:t>ואמר רבא:</w:t>
      </w:r>
      <w:r w:rsidRPr="005275DF">
        <w:rPr>
          <w:rFonts w:asciiTheme="minorBidi" w:hAnsiTheme="minorBidi"/>
          <w:rtl/>
        </w:rPr>
        <w:t xml:space="preserve"> לא ליהדוק איניש אודרא</w:t>
      </w:r>
      <w:r w:rsidRPr="005275DF">
        <w:rPr>
          <w:rStyle w:val="a9"/>
          <w:rFonts w:asciiTheme="minorBidi" w:hAnsiTheme="minorBidi"/>
          <w:rtl/>
        </w:rPr>
        <w:footnoteReference w:id="3044"/>
      </w:r>
      <w:r w:rsidRPr="005275DF">
        <w:rPr>
          <w:rFonts w:asciiTheme="minorBidi" w:hAnsiTheme="minorBidi"/>
          <w:rtl/>
        </w:rPr>
        <w:t xml:space="preserve"> בפומא דשישא</w:t>
      </w:r>
      <w:r w:rsidRPr="005275DF">
        <w:rPr>
          <w:rStyle w:val="a9"/>
          <w:rFonts w:asciiTheme="minorBidi" w:hAnsiTheme="minorBidi"/>
          <w:rtl/>
        </w:rPr>
        <w:footnoteReference w:id="3045"/>
      </w:r>
      <w:r w:rsidRPr="005275DF">
        <w:rPr>
          <w:rFonts w:asciiTheme="minorBidi" w:hAnsiTheme="minorBidi"/>
          <w:rtl/>
        </w:rPr>
        <w:t xml:space="preserve"> דילמא אתי לידי סחיטה.</w:t>
      </w:r>
    </w:p>
    <w:p w14:paraId="25CA85E4"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657F3659"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אסור להדק מוכין בפי פך שיש בו משקין</w:t>
      </w:r>
      <w:r w:rsidRPr="005275DF">
        <w:rPr>
          <w:rStyle w:val="a9"/>
          <w:rFonts w:asciiTheme="minorBidi" w:hAnsiTheme="minorBidi"/>
          <w:rtl/>
        </w:rPr>
        <w:footnoteReference w:id="3046"/>
      </w:r>
      <w:r w:rsidRPr="005275DF">
        <w:rPr>
          <w:rFonts w:asciiTheme="minorBidi" w:hAnsiTheme="minorBidi"/>
          <w:rtl/>
        </w:rPr>
        <w:t xml:space="preserve">, משום סחיטה. </w:t>
      </w:r>
    </w:p>
    <w:p w14:paraId="5C54DFDA" w14:textId="77777777" w:rsidR="006A4BF8" w:rsidRPr="005275DF" w:rsidRDefault="006A4BF8" w:rsidP="00434A6A">
      <w:pPr>
        <w:tabs>
          <w:tab w:val="left" w:pos="2788"/>
        </w:tabs>
        <w:rPr>
          <w:rFonts w:asciiTheme="minorBidi" w:hAnsiTheme="minorBidi"/>
          <w:rtl/>
        </w:rPr>
      </w:pPr>
    </w:p>
    <w:p w14:paraId="3F1CA123"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יז: קינוח בספוג.</w:t>
      </w:r>
    </w:p>
    <w:p w14:paraId="485E879E"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קמג ע"א: </w:t>
      </w:r>
      <w:r w:rsidRPr="005275DF">
        <w:rPr>
          <w:rFonts w:asciiTheme="minorBidi" w:hAnsiTheme="minorBidi"/>
          <w:u w:val="double"/>
          <w:rtl/>
        </w:rPr>
        <w:t>משנה:</w:t>
      </w:r>
      <w:r w:rsidRPr="005275DF">
        <w:rPr>
          <w:rFonts w:asciiTheme="minorBidi" w:hAnsiTheme="minorBidi"/>
          <w:rtl/>
        </w:rPr>
        <w:t xml:space="preserve"> בית שמאי.... ספוג, אם יש לו עור בית אחיזה - מקנחין בו</w:t>
      </w:r>
      <w:r w:rsidRPr="005275DF">
        <w:rPr>
          <w:rStyle w:val="a9"/>
          <w:rFonts w:asciiTheme="minorBidi" w:hAnsiTheme="minorBidi"/>
          <w:rtl/>
        </w:rPr>
        <w:footnoteReference w:id="3047"/>
      </w:r>
      <w:r w:rsidRPr="005275DF">
        <w:rPr>
          <w:rFonts w:asciiTheme="minorBidi" w:hAnsiTheme="minorBidi"/>
          <w:rtl/>
        </w:rPr>
        <w:t>, ואם לאו - אין מקנחין בו</w:t>
      </w:r>
      <w:r w:rsidRPr="005275DF">
        <w:rPr>
          <w:rStyle w:val="a9"/>
          <w:rFonts w:asciiTheme="minorBidi" w:hAnsiTheme="minorBidi"/>
          <w:rtl/>
        </w:rPr>
        <w:footnoteReference w:id="3048"/>
      </w:r>
      <w:r w:rsidRPr="005275DF">
        <w:rPr>
          <w:rFonts w:asciiTheme="minorBidi" w:hAnsiTheme="minorBidi"/>
          <w:rtl/>
        </w:rPr>
        <w:t xml:space="preserve">....  </w:t>
      </w:r>
      <w:r w:rsidRPr="005275DF">
        <w:rPr>
          <w:rFonts w:asciiTheme="minorBidi" w:hAnsiTheme="minorBidi"/>
          <w:u w:val="double"/>
          <w:rtl/>
        </w:rPr>
        <w:t>גמ':</w:t>
      </w:r>
      <w:r w:rsidRPr="005275DF">
        <w:rPr>
          <w:rFonts w:asciiTheme="minorBidi" w:hAnsiTheme="minorBidi"/>
          <w:rtl/>
        </w:rPr>
        <w:t xml:space="preserve"> אימא סיפא: ספוג, אם יש לו בית אחיזה - מקנחין בו, ואם לאו - אין מקנחין בו. אתאן לרבי יהודה דאמר דבר שאין מתכוין אסור! בהא אפילו רבי שמעון מודה, דאביי ורבא דאמרי תרוייהו: מודה רבי שמעון בפסיק רישיה ולא ימות.</w:t>
      </w:r>
    </w:p>
    <w:p w14:paraId="3B9EEEDE"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B3E7EC2"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ספוג אין מקנחין בו אלא אם כן יש בו בית אחיזה, גזירה</w:t>
      </w:r>
      <w:r w:rsidRPr="005275DF">
        <w:rPr>
          <w:rStyle w:val="a9"/>
          <w:rFonts w:asciiTheme="minorBidi" w:hAnsiTheme="minorBidi"/>
          <w:rtl/>
        </w:rPr>
        <w:footnoteReference w:id="3049"/>
      </w:r>
      <w:r w:rsidRPr="005275DF">
        <w:rPr>
          <w:rFonts w:asciiTheme="minorBidi" w:hAnsiTheme="minorBidi"/>
          <w:rtl/>
        </w:rPr>
        <w:t xml:space="preserve"> שמא יסחוט. </w:t>
      </w:r>
    </w:p>
    <w:p w14:paraId="0791B697" w14:textId="77777777" w:rsidR="006A4BF8" w:rsidRPr="005275DF" w:rsidRDefault="006A4BF8" w:rsidP="00434A6A">
      <w:pPr>
        <w:tabs>
          <w:tab w:val="left" w:pos="2788"/>
        </w:tabs>
        <w:rPr>
          <w:rFonts w:asciiTheme="minorBidi" w:hAnsiTheme="minorBidi"/>
          <w:rtl/>
        </w:rPr>
      </w:pPr>
    </w:p>
    <w:p w14:paraId="7C1677B9"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יח: סתימת חבית יין בפקק עם פשתן.</w:t>
      </w:r>
    </w:p>
    <w:p w14:paraId="04FBEF3E"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קיא ע"א: </w:t>
      </w:r>
      <w:r w:rsidRPr="005275DF">
        <w:rPr>
          <w:rFonts w:asciiTheme="minorBidi" w:hAnsiTheme="minorBidi"/>
          <w:u w:val="single"/>
          <w:rtl/>
        </w:rPr>
        <w:t>אמר רב שימי בר חייא משמיה דרב</w:t>
      </w:r>
      <w:r w:rsidRPr="005275DF">
        <w:rPr>
          <w:rFonts w:asciiTheme="minorBidi" w:hAnsiTheme="minorBidi"/>
          <w:rtl/>
        </w:rPr>
        <w:t>: האי מסוכרייא דנזייתא</w:t>
      </w:r>
      <w:r w:rsidRPr="005275DF">
        <w:rPr>
          <w:rStyle w:val="a9"/>
          <w:rFonts w:asciiTheme="minorBidi" w:hAnsiTheme="minorBidi"/>
          <w:rtl/>
        </w:rPr>
        <w:footnoteReference w:id="3050"/>
      </w:r>
      <w:r w:rsidRPr="005275DF">
        <w:rPr>
          <w:rFonts w:asciiTheme="minorBidi" w:hAnsiTheme="minorBidi"/>
          <w:rtl/>
        </w:rPr>
        <w:t xml:space="preserve"> אסור להדוקיה</w:t>
      </w:r>
      <w:r w:rsidRPr="005275DF">
        <w:rPr>
          <w:rStyle w:val="a9"/>
          <w:rFonts w:asciiTheme="minorBidi" w:hAnsiTheme="minorBidi"/>
          <w:rtl/>
        </w:rPr>
        <w:footnoteReference w:id="3051"/>
      </w:r>
      <w:r w:rsidRPr="005275DF">
        <w:rPr>
          <w:rFonts w:asciiTheme="minorBidi" w:hAnsiTheme="minorBidi"/>
          <w:rtl/>
        </w:rPr>
        <w:t xml:space="preserve"> ביומא טבא! בההיא אפילו רבי שמעון מודה, דאביי ורבא דאמרי תרווייהו: מודה רבי שמעון בפסיק רישיה ולא ימות.</w:t>
      </w:r>
    </w:p>
    <w:p w14:paraId="3DFEF519"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90D8FCD"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חבית שפקקו בפקק של פשתן לסתום נקב שבדפנה שמוציאין בו היין, יש מי שמתיר [להסירו</w:t>
      </w:r>
      <w:r w:rsidRPr="005275DF">
        <w:rPr>
          <w:rStyle w:val="a9"/>
          <w:rFonts w:asciiTheme="minorBidi" w:hAnsiTheme="minorBidi"/>
          <w:rtl/>
        </w:rPr>
        <w:footnoteReference w:id="3052"/>
      </w:r>
      <w:r w:rsidRPr="005275DF">
        <w:rPr>
          <w:rFonts w:asciiTheme="minorBidi" w:hAnsiTheme="minorBidi"/>
          <w:rtl/>
        </w:rPr>
        <w:t xml:space="preserve">] אף על פי שאי אפשר שלא יסחוט והוא שלא יהא תחתיו כלי דכיון שאינו נהנה בסחיטה זו הוי פסיק רישא </w:t>
      </w:r>
      <w:r w:rsidRPr="005275DF">
        <w:rPr>
          <w:rFonts w:asciiTheme="minorBidi" w:hAnsiTheme="minorBidi"/>
          <w:sz w:val="16"/>
          <w:szCs w:val="16"/>
          <w:rtl/>
        </w:rPr>
        <w:t>(פי' איסור נמשך בהכרח מדבר מה כמו המות הנמשך בהכרח מהתזת הראש)</w:t>
      </w:r>
      <w:r w:rsidRPr="005275DF">
        <w:rPr>
          <w:rFonts w:asciiTheme="minorBidi" w:hAnsiTheme="minorBidi"/>
          <w:rtl/>
        </w:rPr>
        <w:t xml:space="preserve"> דלא ניחא ליה ומותר</w:t>
      </w:r>
      <w:r w:rsidRPr="005275DF">
        <w:rPr>
          <w:rStyle w:val="a9"/>
          <w:rFonts w:asciiTheme="minorBidi" w:hAnsiTheme="minorBidi"/>
          <w:rtl/>
        </w:rPr>
        <w:footnoteReference w:id="3053"/>
      </w:r>
      <w:r w:rsidRPr="005275DF">
        <w:rPr>
          <w:rFonts w:asciiTheme="minorBidi" w:hAnsiTheme="minorBidi"/>
          <w:rtl/>
        </w:rPr>
        <w:t>. וחלקו עליו ואמרו דאף על גב דלא ניחא ליה כיון דפסיק רישא הוא אסור</w:t>
      </w:r>
      <w:r w:rsidRPr="005275DF">
        <w:rPr>
          <w:rStyle w:val="a9"/>
          <w:rFonts w:asciiTheme="minorBidi" w:hAnsiTheme="minorBidi"/>
          <w:rtl/>
        </w:rPr>
        <w:footnoteReference w:id="3054"/>
      </w:r>
      <w:r w:rsidRPr="005275DF">
        <w:rPr>
          <w:rFonts w:asciiTheme="minorBidi" w:hAnsiTheme="minorBidi"/>
          <w:rtl/>
        </w:rPr>
        <w:t xml:space="preserve">. והעולם נוהגים היתר בדבר ויש ללמד עליהם זכות דכיון שהברזא ארוכה חוץ לנעורת ואין יד מגעת לנעורת מותר מידי דהוי אספוג </w:t>
      </w:r>
      <w:r w:rsidRPr="005275DF">
        <w:rPr>
          <w:rFonts w:asciiTheme="minorBidi" w:hAnsiTheme="minorBidi"/>
          <w:sz w:val="16"/>
          <w:szCs w:val="16"/>
          <w:rtl/>
        </w:rPr>
        <w:t xml:space="preserve">(פירש הערוך ספוג הוא על ראש דג אחד גדול שבים, ובשעה שמרים ראשו להסתכל בעולם יורד אותו הספוג על עיניו ואינו רואה כלום ולולי זה לא היתה ספינה נצולת מפניו) </w:t>
      </w:r>
      <w:r w:rsidRPr="005275DF">
        <w:rPr>
          <w:rFonts w:asciiTheme="minorBidi" w:hAnsiTheme="minorBidi"/>
          <w:rtl/>
        </w:rPr>
        <w:t>שיש לו בית אחיזה, ולפי שאין טענה זו חזקה ויש לגמגם בה טוב להנהיגם שלא יהא כלי תחת החבית בשעה שפוקקים הנקב</w:t>
      </w:r>
      <w:r w:rsidRPr="005275DF">
        <w:rPr>
          <w:rStyle w:val="a9"/>
          <w:rFonts w:asciiTheme="minorBidi" w:hAnsiTheme="minorBidi"/>
          <w:rtl/>
        </w:rPr>
        <w:footnoteReference w:id="3055"/>
      </w:r>
      <w:r w:rsidRPr="005275DF">
        <w:rPr>
          <w:rFonts w:asciiTheme="minorBidi" w:hAnsiTheme="minorBidi"/>
          <w:rtl/>
        </w:rPr>
        <w:t xml:space="preserve"> </w:t>
      </w:r>
      <w:r w:rsidRPr="005275DF">
        <w:rPr>
          <w:rFonts w:asciiTheme="minorBidi" w:hAnsiTheme="minorBidi"/>
          <w:sz w:val="18"/>
          <w:szCs w:val="18"/>
          <w:rtl/>
        </w:rPr>
        <w:t>הגה: וע"ל סי' ש"א עוד מדיני סחיטה</w:t>
      </w:r>
      <w:r w:rsidRPr="005275DF">
        <w:rPr>
          <w:rFonts w:asciiTheme="minorBidi" w:hAnsiTheme="minorBidi"/>
          <w:rtl/>
        </w:rPr>
        <w:t xml:space="preserve">. </w:t>
      </w:r>
    </w:p>
    <w:p w14:paraId="318252D0" w14:textId="77777777" w:rsidR="006A4BF8" w:rsidRPr="005275DF" w:rsidRDefault="006A4BF8" w:rsidP="00434A6A">
      <w:pPr>
        <w:tabs>
          <w:tab w:val="left" w:pos="2788"/>
        </w:tabs>
        <w:rPr>
          <w:rFonts w:asciiTheme="minorBidi" w:hAnsiTheme="minorBidi"/>
          <w:rtl/>
        </w:rPr>
      </w:pPr>
    </w:p>
    <w:p w14:paraId="6FAFB40D"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יט: צביעה באוכלין.</w:t>
      </w:r>
    </w:p>
    <w:p w14:paraId="429B434B" w14:textId="77777777" w:rsidR="006A4BF8" w:rsidRPr="005275DF" w:rsidRDefault="006A4BF8" w:rsidP="00434A6A">
      <w:pPr>
        <w:rPr>
          <w:rFonts w:asciiTheme="minorBidi" w:hAnsiTheme="minorBidi"/>
          <w:sz w:val="16"/>
          <w:szCs w:val="16"/>
          <w:rtl/>
        </w:rPr>
      </w:pPr>
      <w:r w:rsidRPr="005275DF">
        <w:rPr>
          <w:rFonts w:asciiTheme="minorBidi" w:hAnsiTheme="minorBidi"/>
          <w:b/>
          <w:bCs/>
          <w:rtl/>
        </w:rPr>
        <w:t xml:space="preserve">שבת קלט ע"ב: </w:t>
      </w:r>
      <w:r w:rsidRPr="005275DF">
        <w:rPr>
          <w:rFonts w:asciiTheme="minorBidi" w:hAnsiTheme="minorBidi"/>
          <w:u w:val="double"/>
          <w:rtl/>
        </w:rPr>
        <w:t>משנה:</w:t>
      </w:r>
      <w:r w:rsidRPr="005275DF">
        <w:rPr>
          <w:rFonts w:asciiTheme="minorBidi" w:hAnsiTheme="minorBidi"/>
          <w:rtl/>
        </w:rPr>
        <w:t xml:space="preserve"> נותנין... ונותנין ביצה במסננת</w:t>
      </w:r>
      <w:r w:rsidRPr="005275DF">
        <w:rPr>
          <w:rStyle w:val="a9"/>
          <w:rFonts w:asciiTheme="minorBidi" w:hAnsiTheme="minorBidi"/>
          <w:rtl/>
        </w:rPr>
        <w:footnoteReference w:id="3056"/>
      </w:r>
      <w:r w:rsidRPr="005275DF">
        <w:rPr>
          <w:rFonts w:asciiTheme="minorBidi" w:hAnsiTheme="minorBidi"/>
          <w:rtl/>
        </w:rPr>
        <w:t xml:space="preserve"> של חרדל....      </w:t>
      </w:r>
      <w:r w:rsidRPr="005275DF">
        <w:rPr>
          <w:rFonts w:asciiTheme="minorBidi" w:hAnsiTheme="minorBidi"/>
          <w:u w:val="double"/>
          <w:rtl/>
        </w:rPr>
        <w:t>גמ':</w:t>
      </w:r>
      <w:r w:rsidRPr="005275DF">
        <w:rPr>
          <w:rFonts w:asciiTheme="minorBidi" w:hAnsiTheme="minorBidi"/>
          <w:rtl/>
        </w:rPr>
        <w:t xml:space="preserve"> </w:t>
      </w:r>
      <w:r w:rsidRPr="005275DF">
        <w:rPr>
          <w:rFonts w:asciiTheme="minorBidi" w:hAnsiTheme="minorBidi"/>
          <w:u w:val="single"/>
          <w:rtl/>
        </w:rPr>
        <w:t>תני יעקב קרחה</w:t>
      </w:r>
      <w:r w:rsidRPr="005275DF">
        <w:rPr>
          <w:rFonts w:asciiTheme="minorBidi" w:hAnsiTheme="minorBidi"/>
          <w:rtl/>
        </w:rPr>
        <w:t>: לפי שאין עושין אותה אלא לגוון</w:t>
      </w:r>
      <w:r w:rsidRPr="005275DF">
        <w:rPr>
          <w:rStyle w:val="a9"/>
          <w:rFonts w:asciiTheme="minorBidi" w:hAnsiTheme="minorBidi"/>
          <w:rtl/>
        </w:rPr>
        <w:footnoteReference w:id="3057"/>
      </w:r>
      <w:r w:rsidRPr="005275DF">
        <w:rPr>
          <w:rFonts w:asciiTheme="minorBidi" w:hAnsiTheme="minorBidi"/>
          <w:rtl/>
        </w:rPr>
        <w:t>.</w:t>
      </w:r>
      <w:r w:rsidRPr="005275DF">
        <w:rPr>
          <w:rFonts w:asciiTheme="minorBidi" w:hAnsiTheme="minorBidi"/>
          <w:sz w:val="16"/>
          <w:szCs w:val="16"/>
          <w:rtl/>
        </w:rPr>
        <w:t xml:space="preserve"> (ומכאן נתן הדרכ"מ ראיה לדברי הרא"ם שאין צביעה באוכלין, וכ"כ הגר"א) </w:t>
      </w:r>
    </w:p>
    <w:p w14:paraId="47EF86C9"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4B12B82B" w14:textId="77777777" w:rsidR="006A4BF8" w:rsidRPr="005275DF" w:rsidRDefault="006A4BF8" w:rsidP="00434A6A">
      <w:pPr>
        <w:tabs>
          <w:tab w:val="left" w:pos="2788"/>
        </w:tabs>
        <w:rPr>
          <w:rFonts w:asciiTheme="minorBidi" w:hAnsiTheme="minorBidi"/>
          <w:sz w:val="16"/>
          <w:szCs w:val="16"/>
          <w:rtl/>
        </w:rPr>
      </w:pPr>
      <w:r w:rsidRPr="005275DF">
        <w:rPr>
          <w:rFonts w:asciiTheme="minorBidi" w:hAnsiTheme="minorBidi"/>
          <w:rtl/>
        </w:rPr>
        <w:t xml:space="preserve">ליתן כרכום בתבשיל מותר ואין לחוש לו משום צובע דאין צביעה באוכלין. </w:t>
      </w:r>
      <w:r w:rsidRPr="005275DF">
        <w:rPr>
          <w:rFonts w:asciiTheme="minorBidi" w:hAnsiTheme="minorBidi"/>
          <w:sz w:val="16"/>
          <w:szCs w:val="16"/>
          <w:rtl/>
        </w:rPr>
        <w:t>{רא"ם}</w:t>
      </w:r>
    </w:p>
    <w:p w14:paraId="283019B9" w14:textId="77777777" w:rsidR="006A4BF8" w:rsidRPr="005275DF" w:rsidRDefault="006A4BF8" w:rsidP="00434A6A">
      <w:pPr>
        <w:tabs>
          <w:tab w:val="left" w:pos="2788"/>
        </w:tabs>
        <w:rPr>
          <w:rFonts w:asciiTheme="minorBidi" w:hAnsiTheme="minorBidi"/>
          <w:rtl/>
        </w:rPr>
      </w:pPr>
    </w:p>
    <w:p w14:paraId="5857885A"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 xml:space="preserve">סעיף כ: ניגוב ידיים צבועות בבגד. </w:t>
      </w:r>
    </w:p>
    <w:p w14:paraId="291ACAB1"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3DEB016" w14:textId="77777777" w:rsidR="006A4BF8" w:rsidRPr="005275DF" w:rsidRDefault="006A4BF8" w:rsidP="00434A6A">
      <w:pPr>
        <w:tabs>
          <w:tab w:val="left" w:pos="2788"/>
        </w:tabs>
        <w:rPr>
          <w:rFonts w:asciiTheme="minorBidi" w:hAnsiTheme="minorBidi"/>
          <w:sz w:val="16"/>
          <w:szCs w:val="16"/>
          <w:rtl/>
        </w:rPr>
      </w:pPr>
      <w:r w:rsidRPr="005275DF">
        <w:rPr>
          <w:rFonts w:asciiTheme="minorBidi" w:hAnsiTheme="minorBidi"/>
          <w:rtl/>
        </w:rPr>
        <w:t>יש מי שאומר</w:t>
      </w:r>
      <w:r w:rsidRPr="005275DF">
        <w:rPr>
          <w:rStyle w:val="a9"/>
          <w:rFonts w:asciiTheme="minorBidi" w:hAnsiTheme="minorBidi"/>
          <w:rtl/>
        </w:rPr>
        <w:footnoteReference w:id="3058"/>
      </w:r>
      <w:r w:rsidRPr="005275DF">
        <w:rPr>
          <w:rFonts w:asciiTheme="minorBidi" w:hAnsiTheme="minorBidi"/>
          <w:rtl/>
        </w:rPr>
        <w:t xml:space="preserve"> שהאוכל תותים או שאר פירות הצבועים צריך ליזהר שלא יגע בידיו צבועות בבגדיו או במפה</w:t>
      </w:r>
      <w:r w:rsidRPr="005275DF">
        <w:rPr>
          <w:rStyle w:val="a9"/>
          <w:rFonts w:asciiTheme="minorBidi" w:hAnsiTheme="minorBidi"/>
          <w:rtl/>
        </w:rPr>
        <w:footnoteReference w:id="3059"/>
      </w:r>
      <w:r w:rsidRPr="005275DF">
        <w:rPr>
          <w:rFonts w:asciiTheme="minorBidi" w:hAnsiTheme="minorBidi"/>
          <w:rtl/>
        </w:rPr>
        <w:t xml:space="preserve"> משום צובע</w:t>
      </w:r>
      <w:r w:rsidRPr="005275DF">
        <w:rPr>
          <w:rStyle w:val="a9"/>
          <w:rFonts w:asciiTheme="minorBidi" w:hAnsiTheme="minorBidi"/>
          <w:rtl/>
        </w:rPr>
        <w:footnoteReference w:id="3060"/>
      </w:r>
      <w:r w:rsidRPr="005275DF">
        <w:rPr>
          <w:rFonts w:asciiTheme="minorBidi" w:hAnsiTheme="minorBidi"/>
          <w:rtl/>
        </w:rPr>
        <w:t xml:space="preserve"> אבל אם צובע פתו במשקה הפירות לית לן בה דאין צביעה באוכלין. </w:t>
      </w:r>
      <w:r w:rsidRPr="005275DF">
        <w:rPr>
          <w:rFonts w:asciiTheme="minorBidi" w:hAnsiTheme="minorBidi"/>
          <w:sz w:val="16"/>
          <w:szCs w:val="16"/>
          <w:rtl/>
        </w:rPr>
        <w:t>{רא"ם}</w:t>
      </w:r>
    </w:p>
    <w:p w14:paraId="1115EFEC" w14:textId="77777777" w:rsidR="006A4BF8" w:rsidRPr="005275DF" w:rsidRDefault="006A4BF8" w:rsidP="00434A6A">
      <w:pPr>
        <w:tabs>
          <w:tab w:val="left" w:pos="2788"/>
        </w:tabs>
        <w:rPr>
          <w:rFonts w:asciiTheme="minorBidi" w:hAnsiTheme="minorBidi"/>
          <w:sz w:val="16"/>
          <w:szCs w:val="16"/>
          <w:rtl/>
        </w:rPr>
      </w:pPr>
    </w:p>
    <w:p w14:paraId="11A1DF7E" w14:textId="77777777" w:rsidR="006A4BF8" w:rsidRPr="005275DF" w:rsidRDefault="006A4BF8" w:rsidP="00434A6A">
      <w:pPr>
        <w:tabs>
          <w:tab w:val="left" w:pos="2788"/>
        </w:tabs>
        <w:rPr>
          <w:rFonts w:asciiTheme="minorBidi" w:hAnsiTheme="minorBidi"/>
          <w:sz w:val="16"/>
          <w:szCs w:val="16"/>
          <w:rtl/>
        </w:rPr>
      </w:pPr>
    </w:p>
    <w:p w14:paraId="0A07A571" w14:textId="77777777" w:rsidR="006A4BF8" w:rsidRPr="005275DF" w:rsidRDefault="006A4BF8" w:rsidP="00434A6A">
      <w:pPr>
        <w:tabs>
          <w:tab w:val="left" w:pos="2788"/>
        </w:tabs>
        <w:rPr>
          <w:rFonts w:asciiTheme="minorBidi" w:hAnsiTheme="minorBidi"/>
          <w:sz w:val="16"/>
          <w:szCs w:val="16"/>
          <w:rtl/>
        </w:rPr>
      </w:pPr>
    </w:p>
    <w:p w14:paraId="62628A29" w14:textId="77777777" w:rsidR="006A4BF8" w:rsidRPr="005275DF" w:rsidRDefault="006A4BF8" w:rsidP="00434A6A">
      <w:pPr>
        <w:tabs>
          <w:tab w:val="left" w:pos="2788"/>
        </w:tabs>
        <w:rPr>
          <w:rFonts w:asciiTheme="minorBidi" w:hAnsiTheme="minorBidi"/>
          <w:sz w:val="16"/>
          <w:szCs w:val="16"/>
          <w:rtl/>
        </w:rPr>
      </w:pPr>
    </w:p>
    <w:p w14:paraId="795B23E1" w14:textId="77777777" w:rsidR="006A4BF8" w:rsidRPr="005275DF" w:rsidRDefault="006A4BF8" w:rsidP="00434A6A">
      <w:pPr>
        <w:tabs>
          <w:tab w:val="left" w:pos="2788"/>
        </w:tabs>
        <w:rPr>
          <w:rFonts w:asciiTheme="minorBidi" w:hAnsiTheme="minorBidi"/>
          <w:sz w:val="16"/>
          <w:szCs w:val="16"/>
          <w:rtl/>
        </w:rPr>
      </w:pPr>
    </w:p>
    <w:p w14:paraId="387C588A" w14:textId="77777777" w:rsidR="006A4BF8" w:rsidRDefault="006A4BF8" w:rsidP="00434A6A">
      <w:pPr>
        <w:pStyle w:val="1"/>
        <w:rPr>
          <w:rFonts w:asciiTheme="minorBidi" w:hAnsiTheme="minorBidi"/>
          <w:rtl/>
        </w:rPr>
        <w:sectPr w:rsidR="006A4BF8" w:rsidSect="00BD29B1">
          <w:headerReference w:type="default" r:id="rId91"/>
          <w:footnotePr>
            <w:numRestart w:val="eachSect"/>
          </w:footnotePr>
          <w:pgSz w:w="11906" w:h="16838"/>
          <w:pgMar w:top="720" w:right="1134" w:bottom="720" w:left="1134" w:header="0" w:footer="0" w:gutter="0"/>
          <w:cols w:space="720"/>
          <w:bidi/>
          <w:rtlGutter/>
          <w:docGrid w:linePitch="360"/>
        </w:sectPr>
      </w:pPr>
    </w:p>
    <w:p w14:paraId="155D6BE5" w14:textId="77777777" w:rsidR="006A4BF8" w:rsidRPr="005275DF" w:rsidRDefault="006A4BF8" w:rsidP="00434A6A">
      <w:pPr>
        <w:pStyle w:val="1"/>
        <w:rPr>
          <w:rFonts w:asciiTheme="minorBidi" w:hAnsiTheme="minorBidi"/>
          <w:rtl/>
        </w:rPr>
      </w:pPr>
      <w:r w:rsidRPr="005275DF">
        <w:rPr>
          <w:rFonts w:asciiTheme="minorBidi" w:hAnsiTheme="minorBidi"/>
          <w:rtl/>
        </w:rPr>
        <w:t>סימן שכא: דיני תולש בשבת ודין טוחן ודיני תקוני מאכל או מעבד ולש</w:t>
      </w:r>
      <w:r>
        <w:rPr>
          <w:rFonts w:asciiTheme="minorBidi" w:hAnsiTheme="minorBidi" w:hint="cs"/>
          <w:rtl/>
        </w:rPr>
        <w:t>, ובו יט' סעיפים</w:t>
      </w:r>
      <w:r w:rsidRPr="005275DF">
        <w:rPr>
          <w:rFonts w:asciiTheme="minorBidi" w:hAnsiTheme="minorBidi"/>
          <w:rtl/>
        </w:rPr>
        <w:t xml:space="preserve">. </w:t>
      </w:r>
    </w:p>
    <w:p w14:paraId="3C00E7CA"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א: אכילת מיני עשבים.</w:t>
      </w:r>
    </w:p>
    <w:p w14:paraId="09C901AF"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קכח ע"א: </w:t>
      </w:r>
      <w:r w:rsidRPr="005275DF">
        <w:rPr>
          <w:rFonts w:asciiTheme="minorBidi" w:hAnsiTheme="minorBidi"/>
          <w:rtl/>
        </w:rPr>
        <w:t>חבילי סיאה אזוב וקורנית</w:t>
      </w:r>
      <w:r w:rsidRPr="005275DF">
        <w:rPr>
          <w:rStyle w:val="a9"/>
          <w:rFonts w:asciiTheme="minorBidi" w:hAnsiTheme="minorBidi"/>
          <w:rtl/>
        </w:rPr>
        <w:footnoteReference w:id="3061"/>
      </w:r>
      <w:r w:rsidRPr="005275DF">
        <w:rPr>
          <w:rFonts w:asciiTheme="minorBidi" w:hAnsiTheme="minorBidi"/>
          <w:rtl/>
        </w:rPr>
        <w:t xml:space="preserve"> הכניסן לעצים</w:t>
      </w:r>
      <w:r w:rsidRPr="005275DF">
        <w:rPr>
          <w:rStyle w:val="a9"/>
          <w:rFonts w:asciiTheme="minorBidi" w:hAnsiTheme="minorBidi"/>
          <w:rtl/>
        </w:rPr>
        <w:footnoteReference w:id="3062"/>
      </w:r>
      <w:r w:rsidRPr="005275DF">
        <w:rPr>
          <w:rFonts w:asciiTheme="minorBidi" w:hAnsiTheme="minorBidi"/>
          <w:rtl/>
        </w:rPr>
        <w:t xml:space="preserve"> - אין מסתפק מהן בשבת, למאכל בהמה - מסתפק מהן בשבת וקוטם ביד ואוכל ובלבד שלא יקטום בכלי</w:t>
      </w:r>
      <w:r w:rsidRPr="005275DF">
        <w:rPr>
          <w:rStyle w:val="a9"/>
          <w:rFonts w:asciiTheme="minorBidi" w:hAnsiTheme="minorBidi"/>
          <w:rtl/>
        </w:rPr>
        <w:footnoteReference w:id="3063"/>
      </w:r>
      <w:r w:rsidRPr="005275DF">
        <w:rPr>
          <w:rFonts w:asciiTheme="minorBidi" w:hAnsiTheme="minorBidi"/>
          <w:rtl/>
        </w:rPr>
        <w:t>, ומולל</w:t>
      </w:r>
      <w:r w:rsidRPr="005275DF">
        <w:rPr>
          <w:rStyle w:val="a9"/>
          <w:rFonts w:asciiTheme="minorBidi" w:hAnsiTheme="minorBidi"/>
          <w:rtl/>
        </w:rPr>
        <w:footnoteReference w:id="3064"/>
      </w:r>
      <w:r w:rsidRPr="005275DF">
        <w:rPr>
          <w:rFonts w:asciiTheme="minorBidi" w:hAnsiTheme="minorBidi"/>
          <w:rtl/>
        </w:rPr>
        <w:t xml:space="preserve"> ואוכל ובלבד שלא ימלול בכלי הרבה </w:t>
      </w:r>
      <w:r w:rsidRPr="005275DF">
        <w:rPr>
          <w:rFonts w:asciiTheme="minorBidi" w:hAnsiTheme="minorBidi"/>
          <w:u w:val="single"/>
          <w:rtl/>
        </w:rPr>
        <w:t>דברי רבי יהודה</w:t>
      </w:r>
      <w:r w:rsidRPr="005275DF">
        <w:rPr>
          <w:rFonts w:asciiTheme="minorBidi" w:hAnsiTheme="minorBidi"/>
          <w:rtl/>
        </w:rPr>
        <w:t xml:space="preserve">. </w:t>
      </w:r>
      <w:r w:rsidRPr="005275DF">
        <w:rPr>
          <w:rFonts w:asciiTheme="minorBidi" w:hAnsiTheme="minorBidi"/>
          <w:u w:val="single"/>
          <w:rtl/>
        </w:rPr>
        <w:t>וחכמים אומרים</w:t>
      </w:r>
      <w:r w:rsidRPr="005275DF">
        <w:rPr>
          <w:rFonts w:asciiTheme="minorBidi" w:hAnsiTheme="minorBidi"/>
          <w:rtl/>
        </w:rPr>
        <w:t>: מולל בראשי אצבעותיו</w:t>
      </w:r>
      <w:r w:rsidRPr="005275DF">
        <w:rPr>
          <w:rStyle w:val="a9"/>
          <w:rFonts w:asciiTheme="minorBidi" w:hAnsiTheme="minorBidi"/>
          <w:rtl/>
        </w:rPr>
        <w:footnoteReference w:id="3065"/>
      </w:r>
      <w:r w:rsidRPr="005275DF">
        <w:rPr>
          <w:rFonts w:asciiTheme="minorBidi" w:hAnsiTheme="minorBidi"/>
          <w:rtl/>
        </w:rPr>
        <w:t xml:space="preserve"> ואוכל ובלבד שלא ימלול בידו הרבה כדרך שהוא עושה בחול.</w:t>
      </w:r>
    </w:p>
    <w:p w14:paraId="7F524D1E"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3658118" w14:textId="77777777" w:rsidR="006A4BF8" w:rsidRPr="005275DF" w:rsidRDefault="006A4BF8" w:rsidP="00434A6A">
      <w:pPr>
        <w:rPr>
          <w:rFonts w:asciiTheme="minorBidi" w:hAnsiTheme="minorBidi"/>
          <w:rtl/>
        </w:rPr>
      </w:pPr>
      <w:r w:rsidRPr="005275DF">
        <w:rPr>
          <w:rFonts w:asciiTheme="minorBidi" w:hAnsiTheme="minorBidi"/>
          <w:rtl/>
        </w:rPr>
        <w:t xml:space="preserve">חבילי פיאה אזוב וקורנית </w:t>
      </w:r>
      <w:r w:rsidRPr="005275DF">
        <w:rPr>
          <w:rFonts w:asciiTheme="minorBidi" w:hAnsiTheme="minorBidi"/>
          <w:sz w:val="16"/>
          <w:szCs w:val="16"/>
          <w:rtl/>
        </w:rPr>
        <w:t>(פירוש מין עשב)</w:t>
      </w:r>
      <w:r w:rsidRPr="005275DF">
        <w:rPr>
          <w:rFonts w:asciiTheme="minorBidi" w:hAnsiTheme="minorBidi"/>
          <w:rtl/>
        </w:rPr>
        <w:t>, הכניסן לעצים אין מסתפקין מהם, הכניסן למאכל בהמה</w:t>
      </w:r>
      <w:r w:rsidRPr="005275DF">
        <w:rPr>
          <w:rStyle w:val="a9"/>
          <w:rFonts w:asciiTheme="minorBidi" w:hAnsiTheme="minorBidi"/>
          <w:rtl/>
        </w:rPr>
        <w:footnoteReference w:id="3066"/>
      </w:r>
      <w:r w:rsidRPr="005275DF">
        <w:rPr>
          <w:rFonts w:asciiTheme="minorBidi" w:hAnsiTheme="minorBidi"/>
          <w:rtl/>
        </w:rPr>
        <w:t xml:space="preserve"> קוטם ואוכל ביד אבל לא בכלי ומולל בראשי אצבעותיו. </w:t>
      </w:r>
    </w:p>
    <w:p w14:paraId="38163FAC" w14:textId="77777777" w:rsidR="006A4BF8" w:rsidRPr="005275DF" w:rsidRDefault="006A4BF8" w:rsidP="00434A6A">
      <w:pPr>
        <w:rPr>
          <w:rFonts w:asciiTheme="minorBidi" w:hAnsiTheme="minorBidi"/>
          <w:rtl/>
        </w:rPr>
      </w:pPr>
    </w:p>
    <w:p w14:paraId="48958E0A"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ב: עשיית מי מלח.</w:t>
      </w:r>
    </w:p>
    <w:p w14:paraId="2C76E655" w14:textId="77777777" w:rsidR="006A4BF8" w:rsidRPr="005275DF" w:rsidRDefault="006A4BF8" w:rsidP="00434A6A">
      <w:pPr>
        <w:rPr>
          <w:rFonts w:asciiTheme="minorBidi" w:hAnsiTheme="minorBidi"/>
          <w:sz w:val="16"/>
          <w:szCs w:val="16"/>
          <w:rtl/>
        </w:rPr>
      </w:pPr>
      <w:r w:rsidRPr="005275DF">
        <w:rPr>
          <w:rFonts w:asciiTheme="minorBidi" w:hAnsiTheme="minorBidi"/>
          <w:b/>
          <w:bCs/>
          <w:rtl/>
        </w:rPr>
        <w:t xml:space="preserve">שבת קח ע"א: </w:t>
      </w:r>
      <w:r w:rsidRPr="005275DF">
        <w:rPr>
          <w:rFonts w:asciiTheme="minorBidi" w:hAnsiTheme="minorBidi"/>
          <w:u w:val="double"/>
          <w:rtl/>
        </w:rPr>
        <w:t>משנה:</w:t>
      </w:r>
      <w:r w:rsidRPr="005275DF">
        <w:rPr>
          <w:rFonts w:asciiTheme="minorBidi" w:hAnsiTheme="minorBidi"/>
          <w:rtl/>
        </w:rPr>
        <w:t xml:space="preserve"> אין עושין הילמי בשבת אבל עושה הוא את מי המלח וטובל בהן פתו ונותן לתוך התבשיל. </w:t>
      </w:r>
      <w:r w:rsidRPr="005275DF">
        <w:rPr>
          <w:rFonts w:asciiTheme="minorBidi" w:hAnsiTheme="minorBidi"/>
          <w:u w:val="single"/>
          <w:rtl/>
        </w:rPr>
        <w:t>אמר רבי יוסי</w:t>
      </w:r>
      <w:r w:rsidRPr="005275DF">
        <w:rPr>
          <w:rFonts w:asciiTheme="minorBidi" w:hAnsiTheme="minorBidi"/>
          <w:rtl/>
        </w:rPr>
        <w:t>: והלא הוא הילמי בין מרובה ובין מועט</w:t>
      </w:r>
      <w:r w:rsidRPr="005275DF">
        <w:rPr>
          <w:rStyle w:val="a9"/>
          <w:rFonts w:asciiTheme="minorBidi" w:hAnsiTheme="minorBidi"/>
          <w:rtl/>
        </w:rPr>
        <w:footnoteReference w:id="3067"/>
      </w:r>
      <w:r w:rsidRPr="005275DF">
        <w:rPr>
          <w:rFonts w:asciiTheme="minorBidi" w:hAnsiTheme="minorBidi"/>
          <w:rtl/>
        </w:rPr>
        <w:t>! ואלו הן מי מלח המותרין- נותן שמן לכתחלה</w:t>
      </w:r>
      <w:r w:rsidRPr="005275DF">
        <w:rPr>
          <w:rStyle w:val="a9"/>
          <w:rFonts w:asciiTheme="minorBidi" w:hAnsiTheme="minorBidi"/>
          <w:rtl/>
        </w:rPr>
        <w:footnoteReference w:id="3068"/>
      </w:r>
      <w:r w:rsidRPr="005275DF">
        <w:rPr>
          <w:rFonts w:asciiTheme="minorBidi" w:hAnsiTheme="minorBidi"/>
          <w:rtl/>
        </w:rPr>
        <w:t xml:space="preserve"> לתוך המים או לתוך המלח.     </w:t>
      </w:r>
      <w:r w:rsidRPr="005275DF">
        <w:rPr>
          <w:rFonts w:asciiTheme="minorBidi" w:hAnsiTheme="minorBidi"/>
          <w:u w:val="double"/>
          <w:rtl/>
        </w:rPr>
        <w:t>גמ':</w:t>
      </w:r>
      <w:r w:rsidRPr="005275DF">
        <w:rPr>
          <w:rFonts w:asciiTheme="minorBidi" w:hAnsiTheme="minorBidi"/>
          <w:rtl/>
        </w:rPr>
        <w:t xml:space="preserve"> מאי קאמר</w:t>
      </w:r>
      <w:r w:rsidRPr="005275DF">
        <w:rPr>
          <w:rStyle w:val="a9"/>
          <w:rFonts w:asciiTheme="minorBidi" w:hAnsiTheme="minorBidi"/>
          <w:rtl/>
        </w:rPr>
        <w:footnoteReference w:id="3069"/>
      </w:r>
      <w:r w:rsidRPr="005275DF">
        <w:rPr>
          <w:rFonts w:asciiTheme="minorBidi" w:hAnsiTheme="minorBidi"/>
          <w:rtl/>
        </w:rPr>
        <w:t xml:space="preserve">? </w:t>
      </w:r>
      <w:r w:rsidRPr="005275DF">
        <w:rPr>
          <w:rFonts w:asciiTheme="minorBidi" w:hAnsiTheme="minorBidi"/>
          <w:u w:val="single"/>
          <w:rtl/>
        </w:rPr>
        <w:t>אמר רב יהודה אמר שמואל</w:t>
      </w:r>
      <w:r w:rsidRPr="005275DF">
        <w:rPr>
          <w:rFonts w:asciiTheme="minorBidi" w:hAnsiTheme="minorBidi"/>
          <w:rtl/>
        </w:rPr>
        <w:t xml:space="preserve"> הכי קאמר: אין עושין מי מלח מרובין אבל עושה הוא מי מלח מועטין. </w:t>
      </w:r>
      <w:r w:rsidRPr="005275DF">
        <w:rPr>
          <w:rFonts w:asciiTheme="minorBidi" w:hAnsiTheme="minorBidi"/>
          <w:sz w:val="16"/>
          <w:szCs w:val="16"/>
          <w:rtl/>
        </w:rPr>
        <w:t xml:space="preserve">(וכ' הב"י דאמרינן בפרק קמא דעירובין (יד:) דלית הלכתא כרבי יוסי, וכן פסקו הרי"ף </w:t>
      </w:r>
      <w:r w:rsidRPr="005275DF">
        <w:rPr>
          <w:rFonts w:asciiTheme="minorBidi" w:hAnsiTheme="minorBidi"/>
          <w:sz w:val="14"/>
          <w:szCs w:val="14"/>
          <w:rtl/>
        </w:rPr>
        <w:t>[לט.]</w:t>
      </w:r>
      <w:r w:rsidRPr="005275DF">
        <w:rPr>
          <w:rFonts w:asciiTheme="minorBidi" w:hAnsiTheme="minorBidi"/>
          <w:sz w:val="16"/>
          <w:szCs w:val="16"/>
          <w:rtl/>
        </w:rPr>
        <w:t xml:space="preserve"> הרמב"ם</w:t>
      </w:r>
      <w:r w:rsidRPr="005275DF">
        <w:rPr>
          <w:rFonts w:asciiTheme="minorBidi" w:hAnsiTheme="minorBidi"/>
          <w:sz w:val="14"/>
          <w:szCs w:val="14"/>
          <w:rtl/>
        </w:rPr>
        <w:t xml:space="preserve"> [פכ"ב ה"י]</w:t>
      </w:r>
      <w:r w:rsidRPr="005275DF">
        <w:rPr>
          <w:rFonts w:asciiTheme="minorBidi" w:hAnsiTheme="minorBidi"/>
          <w:sz w:val="16"/>
          <w:szCs w:val="16"/>
          <w:rtl/>
        </w:rPr>
        <w:t xml:space="preserve"> והרא"ש </w:t>
      </w:r>
      <w:r w:rsidRPr="005275DF">
        <w:rPr>
          <w:rFonts w:asciiTheme="minorBidi" w:hAnsiTheme="minorBidi"/>
          <w:sz w:val="14"/>
          <w:szCs w:val="14"/>
          <w:rtl/>
        </w:rPr>
        <w:t>[סי' ב]</w:t>
      </w:r>
      <w:r w:rsidRPr="005275DF">
        <w:rPr>
          <w:rFonts w:asciiTheme="minorBidi" w:hAnsiTheme="minorBidi"/>
          <w:sz w:val="16"/>
          <w:szCs w:val="16"/>
          <w:rtl/>
        </w:rPr>
        <w:t>)</w:t>
      </w:r>
    </w:p>
    <w:p w14:paraId="686F1668"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קח ע"ב: </w:t>
      </w:r>
      <w:r w:rsidRPr="005275DF">
        <w:rPr>
          <w:rFonts w:asciiTheme="minorBidi" w:hAnsiTheme="minorBidi"/>
          <w:u w:val="single"/>
          <w:rtl/>
        </w:rPr>
        <w:t>תני רבי יהודה בר חביבא</w:t>
      </w:r>
      <w:r w:rsidRPr="005275DF">
        <w:rPr>
          <w:rFonts w:asciiTheme="minorBidi" w:hAnsiTheme="minorBidi"/>
          <w:rtl/>
        </w:rPr>
        <w:t xml:space="preserve">: אין עושין מי מלח עזין. מאי מי מלח עזין? </w:t>
      </w:r>
      <w:r w:rsidRPr="005275DF">
        <w:rPr>
          <w:rFonts w:asciiTheme="minorBidi" w:hAnsiTheme="minorBidi"/>
          <w:u w:val="single"/>
          <w:rtl/>
        </w:rPr>
        <w:t>רבה ורב יוסף בר אבא דאמרי תרווייהו</w:t>
      </w:r>
      <w:r w:rsidRPr="005275DF">
        <w:rPr>
          <w:rFonts w:asciiTheme="minorBidi" w:hAnsiTheme="minorBidi"/>
          <w:rtl/>
        </w:rPr>
        <w:t xml:space="preserve">: כל שהביצה צפה בהן. וכמה? </w:t>
      </w:r>
      <w:r w:rsidRPr="005275DF">
        <w:rPr>
          <w:rFonts w:asciiTheme="minorBidi" w:hAnsiTheme="minorBidi"/>
          <w:u w:val="single"/>
          <w:rtl/>
        </w:rPr>
        <w:t>אמר אביי</w:t>
      </w:r>
      <w:r w:rsidRPr="005275DF">
        <w:rPr>
          <w:rFonts w:asciiTheme="minorBidi" w:hAnsiTheme="minorBidi"/>
          <w:rtl/>
        </w:rPr>
        <w:t xml:space="preserve">: תרי תילתי מילחא ותילתא מיא. למאי עבדי לה? </w:t>
      </w:r>
      <w:r w:rsidRPr="005275DF">
        <w:rPr>
          <w:rFonts w:asciiTheme="minorBidi" w:hAnsiTheme="minorBidi"/>
          <w:u w:val="single"/>
          <w:rtl/>
        </w:rPr>
        <w:t>אמר רבי אבהו</w:t>
      </w:r>
      <w:r w:rsidRPr="005275DF">
        <w:rPr>
          <w:rFonts w:asciiTheme="minorBidi" w:hAnsiTheme="minorBidi"/>
          <w:rtl/>
        </w:rPr>
        <w:t>: למורייסא</w:t>
      </w:r>
      <w:r w:rsidRPr="005275DF">
        <w:rPr>
          <w:rStyle w:val="a9"/>
          <w:rFonts w:asciiTheme="minorBidi" w:hAnsiTheme="minorBidi"/>
          <w:rtl/>
        </w:rPr>
        <w:footnoteReference w:id="3070"/>
      </w:r>
      <w:r w:rsidRPr="005275DF">
        <w:rPr>
          <w:rFonts w:asciiTheme="minorBidi" w:hAnsiTheme="minorBidi"/>
          <w:rtl/>
        </w:rPr>
        <w:t>.</w:t>
      </w:r>
    </w:p>
    <w:p w14:paraId="08BB7138"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9F3383B" w14:textId="77777777" w:rsidR="006A4BF8" w:rsidRPr="005275DF" w:rsidRDefault="006A4BF8" w:rsidP="00434A6A">
      <w:pPr>
        <w:rPr>
          <w:rFonts w:asciiTheme="minorBidi" w:hAnsiTheme="minorBidi"/>
          <w:rtl/>
        </w:rPr>
      </w:pPr>
      <w:r w:rsidRPr="005275DF">
        <w:rPr>
          <w:rFonts w:asciiTheme="minorBidi" w:hAnsiTheme="minorBidi"/>
          <w:rtl/>
        </w:rPr>
        <w:t>אין עושין מי מלח</w:t>
      </w:r>
      <w:r w:rsidRPr="005275DF">
        <w:rPr>
          <w:rStyle w:val="a9"/>
          <w:rFonts w:asciiTheme="minorBidi" w:hAnsiTheme="minorBidi"/>
          <w:rtl/>
        </w:rPr>
        <w:footnoteReference w:id="3071"/>
      </w:r>
      <w:r w:rsidRPr="005275DF">
        <w:rPr>
          <w:rFonts w:asciiTheme="minorBidi" w:hAnsiTheme="minorBidi"/>
          <w:rtl/>
        </w:rPr>
        <w:t xml:space="preserve"> הרבה ביחד לתת לתוך הכבשים משום דדמי לעיבוד אבל יכול לעשות ממנו מעט</w:t>
      </w:r>
      <w:r w:rsidRPr="005275DF">
        <w:rPr>
          <w:rStyle w:val="a9"/>
          <w:rFonts w:asciiTheme="minorBidi" w:hAnsiTheme="minorBidi"/>
          <w:rtl/>
        </w:rPr>
        <w:footnoteReference w:id="3072"/>
      </w:r>
      <w:r w:rsidRPr="005275DF">
        <w:rPr>
          <w:rFonts w:asciiTheme="minorBidi" w:hAnsiTheme="minorBidi"/>
          <w:rtl/>
        </w:rPr>
        <w:t xml:space="preserve"> לתת לתוך התבשיל ואם נתן לתוכו שני שלישי מלח אסור לעשות ממנו אפילו מעט. </w:t>
      </w:r>
    </w:p>
    <w:p w14:paraId="22C0DC78" w14:textId="77777777" w:rsidR="006A4BF8" w:rsidRPr="005275DF" w:rsidRDefault="006A4BF8" w:rsidP="00434A6A">
      <w:pPr>
        <w:rPr>
          <w:rFonts w:asciiTheme="minorBidi" w:hAnsiTheme="minorBidi"/>
          <w:rtl/>
        </w:rPr>
      </w:pPr>
    </w:p>
    <w:p w14:paraId="5BD6A170"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ג: מליחה וטיבול של אוכלין.</w:t>
      </w:r>
    </w:p>
    <w:p w14:paraId="53FC2838"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קח ע"ב: </w:t>
      </w:r>
      <w:r w:rsidRPr="005275DF">
        <w:rPr>
          <w:rFonts w:asciiTheme="minorBidi" w:hAnsiTheme="minorBidi"/>
          <w:u w:val="single"/>
          <w:rtl/>
        </w:rPr>
        <w:t>תני רבי יהודה בר חביבא</w:t>
      </w:r>
      <w:r w:rsidRPr="005275DF">
        <w:rPr>
          <w:rFonts w:asciiTheme="minorBidi" w:hAnsiTheme="minorBidi"/>
          <w:rtl/>
        </w:rPr>
        <w:t>: אין מולחין צנון וביצה</w:t>
      </w:r>
      <w:r w:rsidRPr="005275DF">
        <w:rPr>
          <w:rStyle w:val="a9"/>
          <w:rFonts w:asciiTheme="minorBidi" w:hAnsiTheme="minorBidi"/>
          <w:rtl/>
        </w:rPr>
        <w:footnoteReference w:id="3073"/>
      </w:r>
      <w:r w:rsidRPr="005275DF">
        <w:rPr>
          <w:rFonts w:asciiTheme="minorBidi" w:hAnsiTheme="minorBidi"/>
          <w:rtl/>
        </w:rPr>
        <w:t xml:space="preserve"> בשבת. </w:t>
      </w:r>
      <w:r w:rsidRPr="005275DF">
        <w:rPr>
          <w:rFonts w:asciiTheme="minorBidi" w:hAnsiTheme="minorBidi"/>
          <w:u w:val="single"/>
          <w:rtl/>
        </w:rPr>
        <w:t>רב חזקיה משמיה דאביי אמר</w:t>
      </w:r>
      <w:r w:rsidRPr="005275DF">
        <w:rPr>
          <w:rFonts w:asciiTheme="minorBidi" w:hAnsiTheme="minorBidi"/>
          <w:rtl/>
        </w:rPr>
        <w:t>: צנון - אסור, וביצה - מותרת</w:t>
      </w:r>
      <w:r w:rsidRPr="005275DF">
        <w:rPr>
          <w:rStyle w:val="a9"/>
          <w:rFonts w:asciiTheme="minorBidi" w:hAnsiTheme="minorBidi"/>
          <w:rtl/>
        </w:rPr>
        <w:footnoteReference w:id="3074"/>
      </w:r>
      <w:r w:rsidRPr="005275DF">
        <w:rPr>
          <w:rFonts w:asciiTheme="minorBidi" w:hAnsiTheme="minorBidi"/>
          <w:rtl/>
        </w:rPr>
        <w:t xml:space="preserve">. </w:t>
      </w:r>
      <w:r w:rsidRPr="005275DF">
        <w:rPr>
          <w:rFonts w:asciiTheme="minorBidi" w:hAnsiTheme="minorBidi"/>
          <w:u w:val="single"/>
          <w:rtl/>
        </w:rPr>
        <w:t>אמר רב נחמן</w:t>
      </w:r>
      <w:r w:rsidRPr="005275DF">
        <w:rPr>
          <w:rFonts w:asciiTheme="minorBidi" w:hAnsiTheme="minorBidi"/>
          <w:rtl/>
        </w:rPr>
        <w:t>: מריש הוה מלחנא פוגלא</w:t>
      </w:r>
      <w:r w:rsidRPr="005275DF">
        <w:rPr>
          <w:rStyle w:val="a9"/>
          <w:rFonts w:asciiTheme="minorBidi" w:hAnsiTheme="minorBidi"/>
          <w:rtl/>
        </w:rPr>
        <w:footnoteReference w:id="3075"/>
      </w:r>
      <w:r w:rsidRPr="005275DF">
        <w:rPr>
          <w:rFonts w:asciiTheme="minorBidi" w:hAnsiTheme="minorBidi"/>
          <w:rtl/>
        </w:rPr>
        <w:t>, אמינא: אפסודי קא מפסידנא ליה, דאמר שמואל: פוגלא חורפי מעלי. כיון דשמענא להא דכי אתא עולא ואמר: במערבא מלחי כישרי כישרי</w:t>
      </w:r>
      <w:r w:rsidRPr="005275DF">
        <w:rPr>
          <w:rStyle w:val="a9"/>
          <w:rFonts w:asciiTheme="minorBidi" w:hAnsiTheme="minorBidi"/>
          <w:rtl/>
        </w:rPr>
        <w:footnoteReference w:id="3076"/>
      </w:r>
      <w:r w:rsidRPr="005275DF">
        <w:rPr>
          <w:rFonts w:asciiTheme="minorBidi" w:hAnsiTheme="minorBidi"/>
          <w:rtl/>
        </w:rPr>
        <w:t>, ממלח - לא מלחנא</w:t>
      </w:r>
      <w:r w:rsidRPr="005275DF">
        <w:rPr>
          <w:rStyle w:val="a9"/>
          <w:rFonts w:asciiTheme="minorBidi" w:hAnsiTheme="minorBidi"/>
          <w:rtl/>
        </w:rPr>
        <w:footnoteReference w:id="3077"/>
      </w:r>
      <w:r w:rsidRPr="005275DF">
        <w:rPr>
          <w:rFonts w:asciiTheme="minorBidi" w:hAnsiTheme="minorBidi"/>
          <w:rtl/>
        </w:rPr>
        <w:t>, טבולי</w:t>
      </w:r>
      <w:r w:rsidRPr="005275DF">
        <w:rPr>
          <w:rStyle w:val="a9"/>
          <w:rFonts w:asciiTheme="minorBidi" w:hAnsiTheme="minorBidi"/>
          <w:rtl/>
        </w:rPr>
        <w:footnoteReference w:id="3078"/>
      </w:r>
      <w:r w:rsidRPr="005275DF">
        <w:rPr>
          <w:rFonts w:asciiTheme="minorBidi" w:hAnsiTheme="minorBidi"/>
          <w:rtl/>
        </w:rPr>
        <w:t xml:space="preserve"> - ודאי מטבילנא.</w:t>
      </w:r>
    </w:p>
    <w:p w14:paraId="0B9FC0B7"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עה ע"ב: </w:t>
      </w:r>
      <w:r w:rsidRPr="005275DF">
        <w:rPr>
          <w:rFonts w:asciiTheme="minorBidi" w:hAnsiTheme="minorBidi"/>
          <w:u w:val="single"/>
          <w:rtl/>
        </w:rPr>
        <w:t>אמר רבה בר רב הונא</w:t>
      </w:r>
      <w:r w:rsidRPr="005275DF">
        <w:rPr>
          <w:rFonts w:asciiTheme="minorBidi" w:hAnsiTheme="minorBidi"/>
          <w:rtl/>
        </w:rPr>
        <w:t xml:space="preserve">: האי מאן דמלח בישרא חייב משום מעבד. </w:t>
      </w:r>
      <w:r w:rsidRPr="005275DF">
        <w:rPr>
          <w:rFonts w:asciiTheme="minorBidi" w:hAnsiTheme="minorBidi"/>
          <w:u w:val="single"/>
          <w:rtl/>
        </w:rPr>
        <w:t>רבא אמר</w:t>
      </w:r>
      <w:r w:rsidRPr="005275DF">
        <w:rPr>
          <w:rFonts w:asciiTheme="minorBidi" w:hAnsiTheme="minorBidi"/>
          <w:rtl/>
        </w:rPr>
        <w:t xml:space="preserve">: אין עיבוד באוכלין. </w:t>
      </w:r>
      <w:r w:rsidRPr="005275DF">
        <w:rPr>
          <w:rFonts w:asciiTheme="minorBidi" w:hAnsiTheme="minorBidi"/>
          <w:u w:val="single"/>
          <w:rtl/>
        </w:rPr>
        <w:t>אמר רב אשי</w:t>
      </w:r>
      <w:r w:rsidRPr="005275DF">
        <w:rPr>
          <w:rFonts w:asciiTheme="minorBidi" w:hAnsiTheme="minorBidi"/>
          <w:rtl/>
        </w:rPr>
        <w:t>: ואפילו רבה בר רב הונא לא אמר אלא דקא בעי ליה לאורחא</w:t>
      </w:r>
      <w:r w:rsidRPr="005275DF">
        <w:rPr>
          <w:rStyle w:val="a9"/>
          <w:rFonts w:asciiTheme="minorBidi" w:hAnsiTheme="minorBidi"/>
          <w:rtl/>
        </w:rPr>
        <w:footnoteReference w:id="3079"/>
      </w:r>
      <w:r w:rsidRPr="005275DF">
        <w:rPr>
          <w:rFonts w:asciiTheme="minorBidi" w:hAnsiTheme="minorBidi"/>
          <w:rtl/>
        </w:rPr>
        <w:t xml:space="preserve">, אבל לביתא לא משוי איניש מיכליה עץ. </w:t>
      </w:r>
      <w:r w:rsidRPr="005275DF">
        <w:rPr>
          <w:rFonts w:asciiTheme="minorBidi" w:hAnsiTheme="minorBidi"/>
          <w:sz w:val="16"/>
          <w:szCs w:val="16"/>
          <w:rtl/>
        </w:rPr>
        <w:t>(ופסקו ר"ח רי"ף רמב"ם רא"ש ר"ן ריטב"א ומאירי כרבא דאין עיבוד באוכלין, וכ"כ הב"י בסי' תק, אבל מ"מ אסור למלוח מדרבנן)</w:t>
      </w:r>
    </w:p>
    <w:p w14:paraId="48049A22"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399DE7E" w14:textId="77777777" w:rsidR="006A4BF8" w:rsidRPr="005275DF" w:rsidRDefault="006A4BF8" w:rsidP="00434A6A">
      <w:pPr>
        <w:rPr>
          <w:rFonts w:asciiTheme="minorBidi" w:hAnsiTheme="minorBidi"/>
          <w:rtl/>
        </w:rPr>
      </w:pPr>
      <w:r w:rsidRPr="005275DF">
        <w:rPr>
          <w:rFonts w:asciiTheme="minorBidi" w:hAnsiTheme="minorBidi"/>
          <w:rtl/>
        </w:rPr>
        <w:t>אסור למלוח חתיכות צנון</w:t>
      </w:r>
      <w:r w:rsidRPr="005275DF">
        <w:rPr>
          <w:rStyle w:val="a9"/>
          <w:rFonts w:asciiTheme="minorBidi" w:hAnsiTheme="minorBidi"/>
          <w:rtl/>
        </w:rPr>
        <w:footnoteReference w:id="3080"/>
      </w:r>
      <w:r w:rsidRPr="005275DF">
        <w:rPr>
          <w:rFonts w:asciiTheme="minorBidi" w:hAnsiTheme="minorBidi"/>
          <w:rtl/>
        </w:rPr>
        <w:t xml:space="preserve"> ד' או ה' ביחד מפני שנראה ככובש כבשים והכובש אסור מפני שהוא כמבשל, אלא מטבל כל אחת לבדה ואוכלה</w:t>
      </w:r>
      <w:r w:rsidRPr="005275DF">
        <w:rPr>
          <w:rStyle w:val="a9"/>
          <w:rFonts w:asciiTheme="minorBidi" w:hAnsiTheme="minorBidi"/>
          <w:rtl/>
        </w:rPr>
        <w:footnoteReference w:id="3081"/>
      </w:r>
      <w:r w:rsidRPr="005275DF">
        <w:rPr>
          <w:rFonts w:asciiTheme="minorBidi" w:hAnsiTheme="minorBidi"/>
          <w:rtl/>
        </w:rPr>
        <w:t>, אבל ביצים מותר למולחן</w:t>
      </w:r>
      <w:r w:rsidRPr="005275DF">
        <w:rPr>
          <w:rStyle w:val="a9"/>
          <w:rFonts w:asciiTheme="minorBidi" w:hAnsiTheme="minorBidi"/>
          <w:rtl/>
        </w:rPr>
        <w:footnoteReference w:id="3082"/>
      </w:r>
      <w:r w:rsidRPr="005275DF">
        <w:rPr>
          <w:rFonts w:asciiTheme="minorBidi" w:hAnsiTheme="minorBidi"/>
          <w:rtl/>
        </w:rPr>
        <w:t xml:space="preserve">. </w:t>
      </w:r>
    </w:p>
    <w:p w14:paraId="3835E8F7" w14:textId="77777777" w:rsidR="006A4BF8" w:rsidRPr="005275DF" w:rsidRDefault="006A4BF8" w:rsidP="00434A6A">
      <w:pPr>
        <w:rPr>
          <w:rFonts w:asciiTheme="minorBidi" w:hAnsiTheme="minorBidi"/>
          <w:rtl/>
        </w:rPr>
      </w:pPr>
    </w:p>
    <w:p w14:paraId="07371550"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ד: טיבול מספר חתיכות ירק כדי לאוכלן מיד.</w:t>
      </w:r>
    </w:p>
    <w:p w14:paraId="478E3E79"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6FF71FD" w14:textId="77777777" w:rsidR="006A4BF8" w:rsidRPr="005275DF" w:rsidRDefault="006A4BF8" w:rsidP="00434A6A">
      <w:pPr>
        <w:rPr>
          <w:rFonts w:asciiTheme="minorBidi" w:hAnsiTheme="minorBidi"/>
          <w:sz w:val="16"/>
          <w:szCs w:val="16"/>
          <w:rtl/>
        </w:rPr>
      </w:pPr>
      <w:r w:rsidRPr="005275DF">
        <w:rPr>
          <w:rFonts w:asciiTheme="minorBidi" w:hAnsiTheme="minorBidi"/>
          <w:rtl/>
        </w:rPr>
        <w:t xml:space="preserve">יש מי שכתב שמותר לטבול כמה חתיכות צנון אחת לאחת לבדה ולהניחם יחד לפניו כדי לאכלם מיד זו אחר זו. </w:t>
      </w:r>
      <w:r w:rsidRPr="005275DF">
        <w:rPr>
          <w:rFonts w:asciiTheme="minorBidi" w:hAnsiTheme="minorBidi"/>
          <w:sz w:val="16"/>
          <w:szCs w:val="16"/>
          <w:rtl/>
        </w:rPr>
        <w:t>{תרוה"ד</w:t>
      </w:r>
      <w:r w:rsidRPr="005275DF">
        <w:rPr>
          <w:rStyle w:val="a9"/>
          <w:rFonts w:asciiTheme="minorBidi" w:hAnsiTheme="minorBidi"/>
          <w:rtl/>
        </w:rPr>
        <w:footnoteReference w:id="3083"/>
      </w:r>
      <w:r w:rsidRPr="005275DF">
        <w:rPr>
          <w:rFonts w:asciiTheme="minorBidi" w:hAnsiTheme="minorBidi"/>
          <w:sz w:val="16"/>
          <w:szCs w:val="16"/>
          <w:rtl/>
        </w:rPr>
        <w:t>}</w:t>
      </w:r>
    </w:p>
    <w:p w14:paraId="00C4BC13" w14:textId="77777777" w:rsidR="006A4BF8" w:rsidRPr="005275DF" w:rsidRDefault="006A4BF8" w:rsidP="00434A6A">
      <w:pPr>
        <w:rPr>
          <w:rFonts w:asciiTheme="minorBidi" w:hAnsiTheme="minorBidi"/>
          <w:rtl/>
        </w:rPr>
      </w:pPr>
    </w:p>
    <w:p w14:paraId="166FCB1E"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ה: מליחת בשר או ביצה מבושלים ע"מ להניחם.</w:t>
      </w:r>
    </w:p>
    <w:p w14:paraId="59D009CD"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עה ע"ב: </w:t>
      </w:r>
      <w:r w:rsidRPr="005275DF">
        <w:rPr>
          <w:rFonts w:asciiTheme="minorBidi" w:hAnsiTheme="minorBidi"/>
          <w:u w:val="single"/>
          <w:rtl/>
        </w:rPr>
        <w:t>אמר רבה בר רב הונא</w:t>
      </w:r>
      <w:r w:rsidRPr="005275DF">
        <w:rPr>
          <w:rFonts w:asciiTheme="minorBidi" w:hAnsiTheme="minorBidi"/>
          <w:rtl/>
        </w:rPr>
        <w:t xml:space="preserve">: האי מאן דמלח בישרא חייב משום מעבד. </w:t>
      </w:r>
      <w:r w:rsidRPr="005275DF">
        <w:rPr>
          <w:rFonts w:asciiTheme="minorBidi" w:hAnsiTheme="minorBidi"/>
          <w:u w:val="single"/>
          <w:rtl/>
        </w:rPr>
        <w:t>רבא אמר</w:t>
      </w:r>
      <w:r w:rsidRPr="005275DF">
        <w:rPr>
          <w:rFonts w:asciiTheme="minorBidi" w:hAnsiTheme="minorBidi"/>
          <w:rtl/>
        </w:rPr>
        <w:t xml:space="preserve">: אין עיבוד באוכלין. </w:t>
      </w:r>
      <w:r w:rsidRPr="005275DF">
        <w:rPr>
          <w:rFonts w:asciiTheme="minorBidi" w:hAnsiTheme="minorBidi"/>
          <w:u w:val="single"/>
          <w:rtl/>
        </w:rPr>
        <w:t>אמר רב אשי</w:t>
      </w:r>
      <w:r w:rsidRPr="005275DF">
        <w:rPr>
          <w:rFonts w:asciiTheme="minorBidi" w:hAnsiTheme="minorBidi"/>
          <w:rtl/>
        </w:rPr>
        <w:t>: ואפילו רבה בר רב הונא לא אמר אלא דקא בעי ליה לאורחא</w:t>
      </w:r>
      <w:r w:rsidRPr="005275DF">
        <w:rPr>
          <w:rStyle w:val="a9"/>
          <w:rFonts w:asciiTheme="minorBidi" w:hAnsiTheme="minorBidi"/>
          <w:rtl/>
        </w:rPr>
        <w:footnoteReference w:id="3084"/>
      </w:r>
      <w:r w:rsidRPr="005275DF">
        <w:rPr>
          <w:rFonts w:asciiTheme="minorBidi" w:hAnsiTheme="minorBidi"/>
          <w:rtl/>
        </w:rPr>
        <w:t xml:space="preserve">, אבל לביתא לא משוי איניש מיכליה עץ. </w:t>
      </w:r>
      <w:r w:rsidRPr="005275DF">
        <w:rPr>
          <w:rFonts w:asciiTheme="minorBidi" w:hAnsiTheme="minorBidi"/>
          <w:sz w:val="16"/>
          <w:szCs w:val="16"/>
          <w:rtl/>
        </w:rPr>
        <w:t>(ופסקו ר"ח רי"ף רמב"ם רא"ש ר"ן ריטב"א ומאירי כרבא דאין עיבוד באוכלין, וכ"כ הב"י בסי' תק, אבל מ"מ אסור למלוח מדרבנן)</w:t>
      </w:r>
    </w:p>
    <w:p w14:paraId="1D14E2E4" w14:textId="77777777" w:rsidR="006A4BF8" w:rsidRPr="005275DF" w:rsidRDefault="006A4BF8" w:rsidP="00434A6A">
      <w:pPr>
        <w:rPr>
          <w:rFonts w:asciiTheme="minorBidi" w:hAnsiTheme="minorBidi"/>
          <w:rtl/>
        </w:rPr>
      </w:pPr>
      <w:r w:rsidRPr="005275DF">
        <w:rPr>
          <w:rFonts w:asciiTheme="minorBidi" w:hAnsiTheme="minorBidi"/>
          <w:b/>
          <w:bCs/>
          <w:rtl/>
        </w:rPr>
        <w:t xml:space="preserve">ירושלמי שבת פ"ז ה"ב: </w:t>
      </w:r>
      <w:r w:rsidRPr="005275DF">
        <w:rPr>
          <w:rFonts w:asciiTheme="minorBidi" w:hAnsiTheme="minorBidi"/>
          <w:rtl/>
        </w:rPr>
        <w:t>רבי זעירא בשם רב הונא צנון טומנו במלח ובלבד שלא ישהא.</w:t>
      </w:r>
    </w:p>
    <w:p w14:paraId="3232C557"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60C96D8D" w14:textId="77777777" w:rsidR="006A4BF8" w:rsidRPr="005275DF" w:rsidRDefault="006A4BF8" w:rsidP="00434A6A">
      <w:pPr>
        <w:rPr>
          <w:rFonts w:asciiTheme="minorBidi" w:hAnsiTheme="minorBidi"/>
          <w:sz w:val="16"/>
          <w:szCs w:val="16"/>
          <w:rtl/>
        </w:rPr>
      </w:pPr>
      <w:r w:rsidRPr="005275DF">
        <w:rPr>
          <w:rFonts w:asciiTheme="minorBidi" w:hAnsiTheme="minorBidi"/>
          <w:rtl/>
        </w:rPr>
        <w:t xml:space="preserve">אסור למלוח בשר מבושל או ביצה מבושלת להניחה. </w:t>
      </w:r>
      <w:r w:rsidRPr="005275DF">
        <w:rPr>
          <w:rFonts w:asciiTheme="minorBidi" w:hAnsiTheme="minorBidi"/>
          <w:sz w:val="16"/>
          <w:szCs w:val="16"/>
          <w:rtl/>
        </w:rPr>
        <w:t>{תרוה"ד}</w:t>
      </w:r>
    </w:p>
    <w:p w14:paraId="514ECE7E" w14:textId="77777777" w:rsidR="006A4BF8" w:rsidRPr="005275DF" w:rsidRDefault="006A4BF8" w:rsidP="00434A6A">
      <w:pPr>
        <w:rPr>
          <w:rFonts w:asciiTheme="minorBidi" w:hAnsiTheme="minorBidi"/>
          <w:rtl/>
        </w:rPr>
      </w:pPr>
    </w:p>
    <w:p w14:paraId="5754973B"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ו: מליחת פולים ועדשים שנתבשלו בקליפתן.</w:t>
      </w:r>
    </w:p>
    <w:p w14:paraId="633A9C01"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A7FCFF1" w14:textId="77777777" w:rsidR="006A4BF8" w:rsidRPr="005275DF" w:rsidRDefault="006A4BF8" w:rsidP="00434A6A">
      <w:pPr>
        <w:rPr>
          <w:rFonts w:asciiTheme="minorBidi" w:hAnsiTheme="minorBidi"/>
          <w:sz w:val="16"/>
          <w:szCs w:val="16"/>
          <w:rtl/>
        </w:rPr>
      </w:pPr>
      <w:r w:rsidRPr="005275DF">
        <w:rPr>
          <w:rFonts w:asciiTheme="minorBidi" w:hAnsiTheme="minorBidi"/>
          <w:rtl/>
        </w:rPr>
        <w:t>אין למלוח ביחד הרבה פולים ועדשים שנתבשלו בקליפתן</w:t>
      </w:r>
      <w:r w:rsidRPr="005275DF">
        <w:rPr>
          <w:rStyle w:val="a9"/>
          <w:rFonts w:asciiTheme="minorBidi" w:hAnsiTheme="minorBidi"/>
          <w:rtl/>
        </w:rPr>
        <w:footnoteReference w:id="3085"/>
      </w:r>
      <w:r w:rsidRPr="005275DF">
        <w:rPr>
          <w:rFonts w:asciiTheme="minorBidi" w:hAnsiTheme="minorBidi"/>
          <w:rtl/>
        </w:rPr>
        <w:t xml:space="preserve">. </w:t>
      </w:r>
      <w:r w:rsidRPr="005275DF">
        <w:rPr>
          <w:rFonts w:asciiTheme="minorBidi" w:hAnsiTheme="minorBidi"/>
          <w:sz w:val="16"/>
          <w:szCs w:val="16"/>
          <w:rtl/>
        </w:rPr>
        <w:t>{ה"ר שמשון, הובא בסמ"ג ובגה"מ ובטור}</w:t>
      </w:r>
    </w:p>
    <w:p w14:paraId="74593ADF" w14:textId="77777777" w:rsidR="006A4BF8" w:rsidRPr="005275DF" w:rsidRDefault="006A4BF8" w:rsidP="00434A6A">
      <w:pPr>
        <w:rPr>
          <w:rFonts w:asciiTheme="minorBidi" w:hAnsiTheme="minorBidi"/>
          <w:rtl/>
        </w:rPr>
      </w:pPr>
    </w:p>
    <w:p w14:paraId="1E34738D"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ז: דיכת פלפלים.</w:t>
      </w:r>
    </w:p>
    <w:p w14:paraId="5D41A97C" w14:textId="77777777" w:rsidR="006A4BF8" w:rsidRPr="005275DF" w:rsidRDefault="006A4BF8" w:rsidP="00434A6A">
      <w:pPr>
        <w:rPr>
          <w:rFonts w:asciiTheme="minorBidi" w:hAnsiTheme="minorBidi"/>
          <w:sz w:val="16"/>
          <w:szCs w:val="16"/>
          <w:rtl/>
        </w:rPr>
      </w:pPr>
      <w:r w:rsidRPr="005275DF">
        <w:rPr>
          <w:rFonts w:asciiTheme="minorBidi" w:hAnsiTheme="minorBidi"/>
          <w:b/>
          <w:bCs/>
          <w:rtl/>
        </w:rPr>
        <w:t xml:space="preserve">שבת קמא ע"א: </w:t>
      </w:r>
      <w:r w:rsidRPr="005275DF">
        <w:rPr>
          <w:rFonts w:asciiTheme="minorBidi" w:hAnsiTheme="minorBidi"/>
          <w:u w:val="single"/>
          <w:rtl/>
        </w:rPr>
        <w:t>אמר רב יהודה</w:t>
      </w:r>
      <w:r w:rsidRPr="005275DF">
        <w:rPr>
          <w:rFonts w:asciiTheme="minorBidi" w:hAnsiTheme="minorBidi"/>
          <w:rtl/>
        </w:rPr>
        <w:t>: הני פלפלי מידק חדא חדא</w:t>
      </w:r>
      <w:r w:rsidRPr="005275DF">
        <w:rPr>
          <w:rStyle w:val="a9"/>
          <w:rFonts w:asciiTheme="minorBidi" w:hAnsiTheme="minorBidi"/>
          <w:rtl/>
        </w:rPr>
        <w:footnoteReference w:id="3086"/>
      </w:r>
      <w:r w:rsidRPr="005275DF">
        <w:rPr>
          <w:rFonts w:asciiTheme="minorBidi" w:hAnsiTheme="minorBidi"/>
          <w:rtl/>
        </w:rPr>
        <w:t xml:space="preserve"> בקתא דסכינא שרי, תרתי אסיר. </w:t>
      </w:r>
      <w:r w:rsidRPr="005275DF">
        <w:rPr>
          <w:rFonts w:asciiTheme="minorBidi" w:hAnsiTheme="minorBidi"/>
          <w:u w:val="single"/>
          <w:rtl/>
        </w:rPr>
        <w:t>רבא אמר</w:t>
      </w:r>
      <w:r w:rsidRPr="005275DF">
        <w:rPr>
          <w:rFonts w:asciiTheme="minorBidi" w:hAnsiTheme="minorBidi"/>
          <w:rtl/>
        </w:rPr>
        <w:t>: כיון דמשני</w:t>
      </w:r>
      <w:r w:rsidRPr="005275DF">
        <w:rPr>
          <w:rStyle w:val="a9"/>
          <w:rFonts w:asciiTheme="minorBidi" w:hAnsiTheme="minorBidi"/>
          <w:rtl/>
        </w:rPr>
        <w:footnoteReference w:id="3087"/>
      </w:r>
      <w:r w:rsidRPr="005275DF">
        <w:rPr>
          <w:rFonts w:asciiTheme="minorBidi" w:hAnsiTheme="minorBidi"/>
          <w:rtl/>
        </w:rPr>
        <w:t xml:space="preserve"> אפילו טובא נמי. </w:t>
      </w:r>
      <w:r w:rsidRPr="005275DF">
        <w:rPr>
          <w:rFonts w:asciiTheme="minorBidi" w:hAnsiTheme="minorBidi"/>
          <w:sz w:val="16"/>
          <w:szCs w:val="16"/>
          <w:rtl/>
        </w:rPr>
        <w:t>(והלכה כרבא דבתראה הוא, רמב"ם רמב"ן טור רי"ו ור"ן, ב"י)</w:t>
      </w:r>
    </w:p>
    <w:p w14:paraId="5900706C"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0E5B8DA" w14:textId="77777777" w:rsidR="006A4BF8" w:rsidRPr="005275DF" w:rsidRDefault="006A4BF8" w:rsidP="00434A6A">
      <w:pPr>
        <w:rPr>
          <w:rFonts w:asciiTheme="minorBidi" w:hAnsiTheme="minorBidi"/>
          <w:rtl/>
        </w:rPr>
      </w:pPr>
      <w:r w:rsidRPr="005275DF">
        <w:rPr>
          <w:rFonts w:asciiTheme="minorBidi" w:hAnsiTheme="minorBidi"/>
          <w:rtl/>
        </w:rPr>
        <w:t>מותר לדוך פלפלין אפילו הרבה יחד והוא שידוכם בקתא של סכין ובקערה</w:t>
      </w:r>
      <w:r w:rsidRPr="005275DF">
        <w:rPr>
          <w:rStyle w:val="a9"/>
          <w:rFonts w:asciiTheme="minorBidi" w:hAnsiTheme="minorBidi"/>
          <w:rtl/>
        </w:rPr>
        <w:footnoteReference w:id="3088"/>
      </w:r>
      <w:r w:rsidRPr="005275DF">
        <w:rPr>
          <w:rFonts w:asciiTheme="minorBidi" w:hAnsiTheme="minorBidi"/>
          <w:rtl/>
        </w:rPr>
        <w:t xml:space="preserve">. </w:t>
      </w:r>
    </w:p>
    <w:p w14:paraId="07F13FF7" w14:textId="77777777" w:rsidR="006A4BF8" w:rsidRPr="005275DF" w:rsidRDefault="006A4BF8" w:rsidP="00434A6A">
      <w:pPr>
        <w:rPr>
          <w:rFonts w:asciiTheme="minorBidi" w:hAnsiTheme="minorBidi"/>
          <w:rtl/>
        </w:rPr>
      </w:pPr>
    </w:p>
    <w:p w14:paraId="4D2FA61F"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ח: דיכת מלח.</w:t>
      </w:r>
    </w:p>
    <w:p w14:paraId="3804CBDE" w14:textId="77777777" w:rsidR="006A4BF8" w:rsidRPr="005275DF" w:rsidRDefault="006A4BF8" w:rsidP="00434A6A">
      <w:pPr>
        <w:rPr>
          <w:rFonts w:asciiTheme="minorBidi" w:hAnsiTheme="minorBidi"/>
          <w:sz w:val="16"/>
          <w:szCs w:val="16"/>
          <w:rtl/>
        </w:rPr>
      </w:pPr>
      <w:r w:rsidRPr="005275DF">
        <w:rPr>
          <w:rFonts w:asciiTheme="minorBidi" w:hAnsiTheme="minorBidi"/>
          <w:b/>
          <w:bCs/>
          <w:rtl/>
        </w:rPr>
        <w:t xml:space="preserve">תוספתא </w:t>
      </w:r>
      <w:r w:rsidRPr="005275DF">
        <w:rPr>
          <w:rFonts w:asciiTheme="minorBidi" w:hAnsiTheme="minorBidi"/>
          <w:b/>
          <w:bCs/>
          <w:sz w:val="16"/>
          <w:szCs w:val="16"/>
          <w:rtl/>
        </w:rPr>
        <w:t>(ליברמן)</w:t>
      </w:r>
      <w:r w:rsidRPr="005275DF">
        <w:rPr>
          <w:rFonts w:asciiTheme="minorBidi" w:hAnsiTheme="minorBidi"/>
          <w:b/>
          <w:bCs/>
          <w:rtl/>
        </w:rPr>
        <w:t xml:space="preserve"> שבת יד טו: </w:t>
      </w:r>
      <w:r w:rsidRPr="005275DF">
        <w:rPr>
          <w:rFonts w:asciiTheme="minorBidi" w:hAnsiTheme="minorBidi"/>
          <w:rtl/>
        </w:rPr>
        <w:t xml:space="preserve">אין כותשין את המלח במדוך של עץ אבל מרסק הוא ביד של סכין בעץ הפרוד ואינו חושש. </w:t>
      </w:r>
      <w:r w:rsidRPr="005275DF">
        <w:rPr>
          <w:rFonts w:asciiTheme="minorBidi" w:hAnsiTheme="minorBidi"/>
          <w:sz w:val="16"/>
          <w:szCs w:val="16"/>
          <w:rtl/>
        </w:rPr>
        <w:t>(והה"מ הביא תוספתא זו)</w:t>
      </w:r>
    </w:p>
    <w:p w14:paraId="2B0DC24A"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49E36507" w14:textId="77777777" w:rsidR="006A4BF8" w:rsidRPr="005275DF" w:rsidRDefault="006A4BF8" w:rsidP="00434A6A">
      <w:pPr>
        <w:rPr>
          <w:rFonts w:asciiTheme="minorBidi" w:hAnsiTheme="minorBidi"/>
          <w:rtl/>
        </w:rPr>
      </w:pPr>
      <w:r w:rsidRPr="005275DF">
        <w:rPr>
          <w:rFonts w:asciiTheme="minorBidi" w:hAnsiTheme="minorBidi"/>
          <w:rtl/>
        </w:rPr>
        <w:t xml:space="preserve">אין כותתין מלח במדוך של עץ אבל מרסק הוא ביד של סכין ובעץ הפרור ואינו חושש. </w:t>
      </w:r>
      <w:r w:rsidRPr="005275DF">
        <w:rPr>
          <w:rFonts w:asciiTheme="minorBidi" w:hAnsiTheme="minorBidi"/>
          <w:sz w:val="18"/>
          <w:szCs w:val="18"/>
          <w:rtl/>
        </w:rPr>
        <w:t>הגה: ודוקא מלח הגס</w:t>
      </w:r>
      <w:r w:rsidRPr="005275DF">
        <w:rPr>
          <w:rStyle w:val="a9"/>
          <w:rFonts w:asciiTheme="minorBidi" w:hAnsiTheme="minorBidi"/>
          <w:sz w:val="18"/>
          <w:szCs w:val="18"/>
          <w:rtl/>
        </w:rPr>
        <w:footnoteReference w:id="3089"/>
      </w:r>
      <w:r w:rsidRPr="005275DF">
        <w:rPr>
          <w:rFonts w:asciiTheme="minorBidi" w:hAnsiTheme="minorBidi"/>
          <w:sz w:val="18"/>
          <w:szCs w:val="18"/>
          <w:rtl/>
        </w:rPr>
        <w:t xml:space="preserve"> אבל מלח שהיה דק מתחלה ונתבשל ונעשה פתיתין מותר לחתכו בסכין כמו שחותך הפת</w:t>
      </w:r>
      <w:r w:rsidRPr="005275DF">
        <w:rPr>
          <w:rStyle w:val="a9"/>
          <w:rFonts w:asciiTheme="minorBidi" w:hAnsiTheme="minorBidi"/>
          <w:sz w:val="18"/>
          <w:szCs w:val="18"/>
          <w:rtl/>
        </w:rPr>
        <w:footnoteReference w:id="3090"/>
      </w:r>
      <w:r w:rsidRPr="005275DF">
        <w:rPr>
          <w:rFonts w:asciiTheme="minorBidi" w:hAnsiTheme="minorBidi"/>
          <w:sz w:val="18"/>
          <w:szCs w:val="18"/>
          <w:rtl/>
        </w:rPr>
        <w:t xml:space="preserve"> (כל בו). </w:t>
      </w:r>
    </w:p>
    <w:p w14:paraId="33A796B5" w14:textId="77777777" w:rsidR="006A4BF8" w:rsidRPr="005275DF" w:rsidRDefault="006A4BF8" w:rsidP="00434A6A">
      <w:pPr>
        <w:rPr>
          <w:rFonts w:asciiTheme="minorBidi" w:hAnsiTheme="minorBidi"/>
          <w:rtl/>
        </w:rPr>
      </w:pPr>
    </w:p>
    <w:p w14:paraId="3F4D7D70"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ט: חיתוך דק דק של בשר.</w:t>
      </w:r>
    </w:p>
    <w:p w14:paraId="06CEEEB1"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4BA7C162" w14:textId="77777777" w:rsidR="006A4BF8" w:rsidRPr="005275DF" w:rsidRDefault="006A4BF8" w:rsidP="00434A6A">
      <w:pPr>
        <w:rPr>
          <w:rFonts w:asciiTheme="minorBidi" w:hAnsiTheme="minorBidi"/>
          <w:rtl/>
        </w:rPr>
      </w:pPr>
      <w:r w:rsidRPr="005275DF">
        <w:rPr>
          <w:rFonts w:asciiTheme="minorBidi" w:hAnsiTheme="minorBidi"/>
          <w:rtl/>
        </w:rPr>
        <w:t xml:space="preserve">מותר לחתוך בשר מבושל או צלי דק דק בסכין. </w:t>
      </w:r>
      <w:r w:rsidRPr="005275DF">
        <w:rPr>
          <w:rFonts w:asciiTheme="minorBidi" w:hAnsiTheme="minorBidi"/>
          <w:sz w:val="18"/>
          <w:szCs w:val="18"/>
          <w:rtl/>
        </w:rPr>
        <w:t>הגה: אבל אסור לחתוך דק דק בשר חי לפני העופות דהואיל ואינן יכולין לאכלו בלא חיתוך קמשוי לה אוכל (תרוה"ד סי' נ"ו), ועיין לקמן סי' שכ"ד (ס"ז)</w:t>
      </w:r>
      <w:r w:rsidRPr="005275DF">
        <w:rPr>
          <w:rStyle w:val="a9"/>
          <w:rFonts w:asciiTheme="minorBidi" w:hAnsiTheme="minorBidi"/>
          <w:sz w:val="18"/>
          <w:szCs w:val="18"/>
          <w:rtl/>
        </w:rPr>
        <w:footnoteReference w:id="3091"/>
      </w:r>
      <w:r w:rsidRPr="005275DF">
        <w:rPr>
          <w:rFonts w:asciiTheme="minorBidi" w:hAnsiTheme="minorBidi"/>
          <w:sz w:val="18"/>
          <w:szCs w:val="18"/>
          <w:rtl/>
        </w:rPr>
        <w:t xml:space="preserve">. </w:t>
      </w:r>
    </w:p>
    <w:p w14:paraId="7DB2B892" w14:textId="77777777" w:rsidR="006A4BF8" w:rsidRPr="005275DF" w:rsidRDefault="006A4BF8" w:rsidP="00434A6A">
      <w:pPr>
        <w:rPr>
          <w:rFonts w:asciiTheme="minorBidi" w:hAnsiTheme="minorBidi"/>
          <w:rtl/>
        </w:rPr>
      </w:pPr>
    </w:p>
    <w:p w14:paraId="4C5FAF6D"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 גרירת גבינה.</w:t>
      </w:r>
    </w:p>
    <w:p w14:paraId="0DD9C224"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5F994E0" w14:textId="77777777" w:rsidR="006A4BF8" w:rsidRPr="005275DF" w:rsidRDefault="006A4BF8" w:rsidP="00434A6A">
      <w:pPr>
        <w:rPr>
          <w:rFonts w:asciiTheme="minorBidi" w:hAnsiTheme="minorBidi"/>
          <w:sz w:val="16"/>
          <w:szCs w:val="16"/>
          <w:rtl/>
        </w:rPr>
      </w:pPr>
      <w:r w:rsidRPr="005275DF">
        <w:rPr>
          <w:rFonts w:asciiTheme="minorBidi" w:hAnsiTheme="minorBidi"/>
          <w:rtl/>
        </w:rPr>
        <w:t>אסור לגרור</w:t>
      </w:r>
      <w:r w:rsidRPr="005275DF">
        <w:rPr>
          <w:rStyle w:val="a9"/>
          <w:rFonts w:asciiTheme="minorBidi" w:hAnsiTheme="minorBidi"/>
          <w:rtl/>
        </w:rPr>
        <w:footnoteReference w:id="3092"/>
      </w:r>
      <w:r w:rsidRPr="005275DF">
        <w:rPr>
          <w:rFonts w:asciiTheme="minorBidi" w:hAnsiTheme="minorBidi"/>
          <w:rtl/>
        </w:rPr>
        <w:t xml:space="preserve"> הגבינה בשבת</w:t>
      </w:r>
      <w:r w:rsidRPr="005275DF">
        <w:rPr>
          <w:rStyle w:val="a9"/>
          <w:rFonts w:asciiTheme="minorBidi" w:hAnsiTheme="minorBidi"/>
          <w:rtl/>
        </w:rPr>
        <w:footnoteReference w:id="3093"/>
      </w:r>
      <w:r w:rsidRPr="005275DF">
        <w:rPr>
          <w:rFonts w:asciiTheme="minorBidi" w:hAnsiTheme="minorBidi"/>
          <w:rtl/>
        </w:rPr>
        <w:t xml:space="preserve"> במורג חרוץ בעל פיפיות שקורין ראליי"ו</w:t>
      </w:r>
      <w:r w:rsidRPr="005275DF">
        <w:rPr>
          <w:rStyle w:val="a9"/>
          <w:rFonts w:asciiTheme="minorBidi" w:hAnsiTheme="minorBidi"/>
          <w:rtl/>
        </w:rPr>
        <w:footnoteReference w:id="3094"/>
      </w:r>
      <w:r w:rsidRPr="005275DF">
        <w:rPr>
          <w:rFonts w:asciiTheme="minorBidi" w:hAnsiTheme="minorBidi"/>
          <w:rtl/>
        </w:rPr>
        <w:t xml:space="preserve">. </w:t>
      </w:r>
      <w:r w:rsidRPr="005275DF">
        <w:rPr>
          <w:rFonts w:asciiTheme="minorBidi" w:hAnsiTheme="minorBidi"/>
          <w:sz w:val="16"/>
          <w:szCs w:val="16"/>
          <w:rtl/>
        </w:rPr>
        <w:t>{ריב"ש}</w:t>
      </w:r>
    </w:p>
    <w:p w14:paraId="02D13F41" w14:textId="77777777" w:rsidR="006A4BF8" w:rsidRPr="005275DF" w:rsidRDefault="006A4BF8" w:rsidP="00434A6A">
      <w:pPr>
        <w:rPr>
          <w:rFonts w:asciiTheme="minorBidi" w:hAnsiTheme="minorBidi"/>
          <w:rtl/>
        </w:rPr>
      </w:pPr>
    </w:p>
    <w:p w14:paraId="3074470E"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יא: שטיפת ירק/פרי תלוש.</w:t>
      </w:r>
    </w:p>
    <w:p w14:paraId="77D69E87"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F8CABF5" w14:textId="77777777" w:rsidR="006A4BF8" w:rsidRPr="005275DF" w:rsidRDefault="006A4BF8" w:rsidP="00434A6A">
      <w:pPr>
        <w:rPr>
          <w:rFonts w:asciiTheme="minorBidi" w:hAnsiTheme="minorBidi"/>
          <w:sz w:val="16"/>
          <w:szCs w:val="16"/>
          <w:rtl/>
        </w:rPr>
      </w:pPr>
      <w:r w:rsidRPr="005275DF">
        <w:rPr>
          <w:rFonts w:asciiTheme="minorBidi" w:hAnsiTheme="minorBidi"/>
          <w:rtl/>
        </w:rPr>
        <w:t>מותר להשקות את התלוש כדי שלא יכמוש</w:t>
      </w:r>
      <w:r w:rsidRPr="005275DF">
        <w:rPr>
          <w:rStyle w:val="a9"/>
          <w:rFonts w:asciiTheme="minorBidi" w:hAnsiTheme="minorBidi"/>
          <w:rtl/>
        </w:rPr>
        <w:footnoteReference w:id="3095"/>
      </w:r>
      <w:r w:rsidRPr="005275DF">
        <w:rPr>
          <w:rFonts w:asciiTheme="minorBidi" w:hAnsiTheme="minorBidi"/>
          <w:rtl/>
        </w:rPr>
        <w:t xml:space="preserve">. </w:t>
      </w:r>
      <w:r w:rsidRPr="005275DF">
        <w:rPr>
          <w:rFonts w:asciiTheme="minorBidi" w:hAnsiTheme="minorBidi"/>
          <w:sz w:val="16"/>
          <w:szCs w:val="16"/>
          <w:rtl/>
        </w:rPr>
        <w:t>{רשב"א}</w:t>
      </w:r>
    </w:p>
    <w:p w14:paraId="52ADCD37" w14:textId="77777777" w:rsidR="006A4BF8" w:rsidRPr="005275DF" w:rsidRDefault="006A4BF8" w:rsidP="00434A6A">
      <w:pPr>
        <w:rPr>
          <w:rFonts w:asciiTheme="minorBidi" w:hAnsiTheme="minorBidi"/>
          <w:rtl/>
        </w:rPr>
      </w:pPr>
    </w:p>
    <w:p w14:paraId="70A69084"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יב: חיתוך דק דק של ירק.</w:t>
      </w:r>
    </w:p>
    <w:p w14:paraId="41031A7A"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עד ע"ב: </w:t>
      </w:r>
      <w:r w:rsidRPr="005275DF">
        <w:rPr>
          <w:rFonts w:asciiTheme="minorBidi" w:hAnsiTheme="minorBidi"/>
          <w:u w:val="single"/>
          <w:rtl/>
        </w:rPr>
        <w:t>אמר רב פפא</w:t>
      </w:r>
      <w:r w:rsidRPr="005275DF">
        <w:rPr>
          <w:rFonts w:asciiTheme="minorBidi" w:hAnsiTheme="minorBidi"/>
          <w:rtl/>
        </w:rPr>
        <w:t>: האי מאן דפרים</w:t>
      </w:r>
      <w:r w:rsidRPr="005275DF">
        <w:rPr>
          <w:rStyle w:val="a9"/>
          <w:rFonts w:asciiTheme="minorBidi" w:hAnsiTheme="minorBidi"/>
          <w:rtl/>
        </w:rPr>
        <w:footnoteReference w:id="3096"/>
      </w:r>
      <w:r w:rsidRPr="005275DF">
        <w:rPr>
          <w:rFonts w:asciiTheme="minorBidi" w:hAnsiTheme="minorBidi"/>
          <w:rtl/>
        </w:rPr>
        <w:t xml:space="preserve"> סילקא חייב משום טוחן. </w:t>
      </w:r>
      <w:r w:rsidRPr="005275DF">
        <w:rPr>
          <w:rFonts w:asciiTheme="minorBidi" w:hAnsiTheme="minorBidi"/>
          <w:u w:val="single"/>
          <w:rtl/>
        </w:rPr>
        <w:t>אמר רב מנשה</w:t>
      </w:r>
      <w:r w:rsidRPr="005275DF">
        <w:rPr>
          <w:rFonts w:asciiTheme="minorBidi" w:hAnsiTheme="minorBidi"/>
          <w:rtl/>
        </w:rPr>
        <w:t>: האי מאן דסלית סילתי</w:t>
      </w:r>
      <w:r w:rsidRPr="005275DF">
        <w:rPr>
          <w:rStyle w:val="a9"/>
          <w:rFonts w:asciiTheme="minorBidi" w:hAnsiTheme="minorBidi"/>
          <w:rtl/>
        </w:rPr>
        <w:footnoteReference w:id="3097"/>
      </w:r>
      <w:r w:rsidRPr="005275DF">
        <w:rPr>
          <w:rFonts w:asciiTheme="minorBidi" w:hAnsiTheme="minorBidi"/>
          <w:rtl/>
        </w:rPr>
        <w:t xml:space="preserve"> חייב משום טוחן.</w:t>
      </w:r>
    </w:p>
    <w:p w14:paraId="34A5E33C" w14:textId="77777777" w:rsidR="006A4BF8" w:rsidRPr="005275DF" w:rsidRDefault="006A4BF8" w:rsidP="00434A6A">
      <w:pPr>
        <w:rPr>
          <w:rFonts w:asciiTheme="minorBidi" w:hAnsiTheme="minorBidi"/>
          <w:rtl/>
        </w:rPr>
      </w:pPr>
      <w:r w:rsidRPr="005275DF">
        <w:rPr>
          <w:rFonts w:asciiTheme="minorBidi" w:hAnsiTheme="minorBidi"/>
          <w:b/>
          <w:bCs/>
          <w:rtl/>
        </w:rPr>
        <w:t xml:space="preserve">תוספתא </w:t>
      </w:r>
      <w:r w:rsidRPr="005275DF">
        <w:rPr>
          <w:rFonts w:asciiTheme="minorBidi" w:hAnsiTheme="minorBidi"/>
          <w:b/>
          <w:bCs/>
          <w:sz w:val="16"/>
          <w:szCs w:val="16"/>
          <w:rtl/>
        </w:rPr>
        <w:t>(ליברמן)</w:t>
      </w:r>
      <w:r w:rsidRPr="005275DF">
        <w:rPr>
          <w:rFonts w:asciiTheme="minorBidi" w:hAnsiTheme="minorBidi"/>
          <w:b/>
          <w:bCs/>
          <w:rtl/>
        </w:rPr>
        <w:t xml:space="preserve"> שבת יד טז: </w:t>
      </w:r>
      <w:r w:rsidRPr="005275DF">
        <w:rPr>
          <w:rFonts w:asciiTheme="minorBidi" w:hAnsiTheme="minorBidi"/>
          <w:rtl/>
        </w:rPr>
        <w:t xml:space="preserve">אין מרסקין דבילה וגרוגרת וחרובין לפני זקנים בשבת אבל מרסק הוא ביד של סכין בעץ הפרוד ואינו חושש.... </w:t>
      </w:r>
      <w:r w:rsidRPr="005275DF">
        <w:rPr>
          <w:rFonts w:asciiTheme="minorBidi" w:hAnsiTheme="minorBidi"/>
          <w:u w:val="single"/>
          <w:rtl/>
        </w:rPr>
        <w:t>ר' דוסתיי בר' יניי אמ' משם ר' ליעזר</w:t>
      </w:r>
      <w:r w:rsidRPr="005275DF">
        <w:rPr>
          <w:rFonts w:asciiTheme="minorBidi" w:hAnsiTheme="minorBidi"/>
          <w:rtl/>
        </w:rPr>
        <w:t xml:space="preserve"> מוללין על המלול</w:t>
      </w:r>
      <w:r w:rsidRPr="005275DF">
        <w:rPr>
          <w:rStyle w:val="a9"/>
          <w:rFonts w:asciiTheme="minorBidi" w:hAnsiTheme="minorBidi"/>
          <w:rtl/>
        </w:rPr>
        <w:footnoteReference w:id="3098"/>
      </w:r>
      <w:r w:rsidRPr="005275DF">
        <w:rPr>
          <w:rFonts w:asciiTheme="minorBidi" w:hAnsiTheme="minorBidi"/>
          <w:rtl/>
        </w:rPr>
        <w:t xml:space="preserve"> ומציעין על המוצע ואופין על האפוי ומבשלין על המבושל.</w:t>
      </w:r>
    </w:p>
    <w:p w14:paraId="5B0B4E69"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BCBF546" w14:textId="77777777" w:rsidR="006A4BF8" w:rsidRPr="005275DF" w:rsidRDefault="006A4BF8" w:rsidP="00434A6A">
      <w:pPr>
        <w:rPr>
          <w:rFonts w:asciiTheme="minorBidi" w:hAnsiTheme="minorBidi"/>
          <w:rtl/>
        </w:rPr>
      </w:pPr>
      <w:r w:rsidRPr="005275DF">
        <w:rPr>
          <w:rFonts w:asciiTheme="minorBidi" w:hAnsiTheme="minorBidi"/>
          <w:rtl/>
        </w:rPr>
        <w:t>המחתך הירק דק דק</w:t>
      </w:r>
      <w:r w:rsidRPr="005275DF">
        <w:rPr>
          <w:rStyle w:val="a9"/>
          <w:rFonts w:asciiTheme="minorBidi" w:hAnsiTheme="minorBidi"/>
          <w:rtl/>
        </w:rPr>
        <w:footnoteReference w:id="3099"/>
      </w:r>
      <w:r w:rsidRPr="005275DF">
        <w:rPr>
          <w:rFonts w:asciiTheme="minorBidi" w:hAnsiTheme="minorBidi"/>
          <w:rtl/>
        </w:rPr>
        <w:t xml:space="preserve"> חייב משום טוחן. </w:t>
      </w:r>
      <w:r w:rsidRPr="005275DF">
        <w:rPr>
          <w:rFonts w:asciiTheme="minorBidi" w:hAnsiTheme="minorBidi"/>
          <w:sz w:val="18"/>
          <w:szCs w:val="18"/>
          <w:rtl/>
        </w:rPr>
        <w:t>הגה: וה"ה דאסור לחתוך</w:t>
      </w:r>
      <w:r w:rsidRPr="005275DF">
        <w:rPr>
          <w:rStyle w:val="a9"/>
          <w:rFonts w:asciiTheme="minorBidi" w:hAnsiTheme="minorBidi"/>
          <w:sz w:val="18"/>
          <w:szCs w:val="18"/>
          <w:rtl/>
        </w:rPr>
        <w:footnoteReference w:id="3100"/>
      </w:r>
      <w:r w:rsidRPr="005275DF">
        <w:rPr>
          <w:rFonts w:asciiTheme="minorBidi" w:hAnsiTheme="minorBidi"/>
          <w:sz w:val="18"/>
          <w:szCs w:val="18"/>
          <w:rtl/>
        </w:rPr>
        <w:t xml:space="preserve"> גרוגרות וחרובים לפני זקנים (ב"י בשם תוספתא). ודוקא פירות וכדומה לזה אסור אבל מותר לפרר לחם לפני התרנגולים דהואיל וכבר נטחן אין לחוש דאין טוחן אחר טוחן</w:t>
      </w:r>
      <w:r w:rsidRPr="005275DF">
        <w:rPr>
          <w:rStyle w:val="a9"/>
          <w:rFonts w:asciiTheme="minorBidi" w:hAnsiTheme="minorBidi"/>
          <w:sz w:val="18"/>
          <w:szCs w:val="18"/>
          <w:rtl/>
        </w:rPr>
        <w:footnoteReference w:id="3101"/>
      </w:r>
      <w:r w:rsidRPr="005275DF">
        <w:rPr>
          <w:rFonts w:asciiTheme="minorBidi" w:hAnsiTheme="minorBidi"/>
          <w:sz w:val="18"/>
          <w:szCs w:val="18"/>
          <w:rtl/>
        </w:rPr>
        <w:t>. וכל זה לא מיירי אלא בחותך ומניח אבל אם לאכלו מיד</w:t>
      </w:r>
      <w:r w:rsidRPr="005275DF">
        <w:rPr>
          <w:rStyle w:val="a9"/>
          <w:rFonts w:asciiTheme="minorBidi" w:hAnsiTheme="minorBidi"/>
          <w:sz w:val="18"/>
          <w:szCs w:val="18"/>
          <w:rtl/>
        </w:rPr>
        <w:footnoteReference w:id="3102"/>
      </w:r>
      <w:r w:rsidRPr="005275DF">
        <w:rPr>
          <w:rFonts w:asciiTheme="minorBidi" w:hAnsiTheme="minorBidi"/>
          <w:sz w:val="18"/>
          <w:szCs w:val="18"/>
          <w:rtl/>
        </w:rPr>
        <w:t xml:space="preserve"> הכל שרי מידי דהוי אבורר לאכול מיד דשרי (תשו' הרשב"א והר"ן) כדלעיל סי' שי"ט. </w:t>
      </w:r>
    </w:p>
    <w:p w14:paraId="3A8D642F" w14:textId="77777777" w:rsidR="006A4BF8" w:rsidRPr="005275DF" w:rsidRDefault="006A4BF8" w:rsidP="00434A6A">
      <w:pPr>
        <w:rPr>
          <w:rFonts w:asciiTheme="minorBidi" w:hAnsiTheme="minorBidi"/>
          <w:rtl/>
        </w:rPr>
      </w:pPr>
    </w:p>
    <w:p w14:paraId="5D492C2D"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יג: רדיית דבש מהכוורת.</w:t>
      </w:r>
    </w:p>
    <w:p w14:paraId="5B3090AA" w14:textId="77777777" w:rsidR="006A4BF8" w:rsidRPr="005275DF" w:rsidRDefault="006A4BF8" w:rsidP="00434A6A">
      <w:pPr>
        <w:rPr>
          <w:rFonts w:asciiTheme="minorBidi" w:hAnsiTheme="minorBidi"/>
          <w:sz w:val="16"/>
          <w:szCs w:val="16"/>
          <w:rtl/>
        </w:rPr>
      </w:pPr>
      <w:r w:rsidRPr="005275DF">
        <w:rPr>
          <w:rFonts w:asciiTheme="minorBidi" w:hAnsiTheme="minorBidi"/>
          <w:b/>
          <w:bCs/>
          <w:rtl/>
        </w:rPr>
        <w:t xml:space="preserve">שבת צה ע"א: </w:t>
      </w:r>
      <w:r w:rsidRPr="005275DF">
        <w:rPr>
          <w:rFonts w:asciiTheme="minorBidi" w:hAnsiTheme="minorBidi"/>
          <w:rtl/>
        </w:rPr>
        <w:t xml:space="preserve">תנו רבנן: החולב.... והרודה חלות דבש, שגג בשבת - חייב חטאת, הזיד ביום טוב - לוקה ארבעים, </w:t>
      </w:r>
      <w:r w:rsidRPr="005275DF">
        <w:rPr>
          <w:rFonts w:asciiTheme="minorBidi" w:hAnsiTheme="minorBidi"/>
          <w:u w:val="single"/>
          <w:rtl/>
        </w:rPr>
        <w:t>דברי רבי אליעזר</w:t>
      </w:r>
      <w:r w:rsidRPr="005275DF">
        <w:rPr>
          <w:rFonts w:asciiTheme="minorBidi" w:hAnsiTheme="minorBidi"/>
          <w:rtl/>
        </w:rPr>
        <w:t xml:space="preserve">. </w:t>
      </w:r>
      <w:r w:rsidRPr="005275DF">
        <w:rPr>
          <w:rFonts w:asciiTheme="minorBidi" w:hAnsiTheme="minorBidi"/>
          <w:u w:val="single"/>
          <w:rtl/>
        </w:rPr>
        <w:t>וחכמים אומרים</w:t>
      </w:r>
      <w:r w:rsidRPr="005275DF">
        <w:rPr>
          <w:rFonts w:asciiTheme="minorBidi" w:hAnsiTheme="minorBidi"/>
          <w:rtl/>
        </w:rPr>
        <w:t>: אחד זה ואחד זה אינו אלא משום שבות.</w:t>
      </w:r>
      <w:r w:rsidRPr="005275DF">
        <w:rPr>
          <w:rFonts w:asciiTheme="minorBidi" w:hAnsiTheme="minorBidi"/>
          <w:sz w:val="16"/>
          <w:szCs w:val="16"/>
          <w:rtl/>
        </w:rPr>
        <w:t xml:space="preserve"> (ופסק הרמב"ם כחכמים, ב"י)</w:t>
      </w:r>
    </w:p>
    <w:p w14:paraId="712AAD2F"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D42E5B4" w14:textId="77777777" w:rsidR="006A4BF8" w:rsidRPr="005275DF" w:rsidRDefault="006A4BF8" w:rsidP="00434A6A">
      <w:pPr>
        <w:rPr>
          <w:rFonts w:asciiTheme="minorBidi" w:hAnsiTheme="minorBidi"/>
          <w:rtl/>
        </w:rPr>
      </w:pPr>
      <w:r w:rsidRPr="005275DF">
        <w:rPr>
          <w:rFonts w:asciiTheme="minorBidi" w:hAnsiTheme="minorBidi"/>
          <w:rtl/>
        </w:rPr>
        <w:t xml:space="preserve">אסור לרדות חלות דבש מהכוורת </w:t>
      </w:r>
      <w:r w:rsidRPr="005275DF">
        <w:rPr>
          <w:rFonts w:asciiTheme="minorBidi" w:hAnsiTheme="minorBidi"/>
          <w:sz w:val="16"/>
          <w:szCs w:val="16"/>
          <w:rtl/>
        </w:rPr>
        <w:t xml:space="preserve">(פי' הקן שהדבורים עושים בו הדבש) </w:t>
      </w:r>
      <w:r w:rsidRPr="005275DF">
        <w:rPr>
          <w:rFonts w:asciiTheme="minorBidi" w:hAnsiTheme="minorBidi"/>
          <w:rtl/>
        </w:rPr>
        <w:t xml:space="preserve">מפני שדומה לתולש. </w:t>
      </w:r>
      <w:r w:rsidRPr="005275DF">
        <w:rPr>
          <w:rFonts w:asciiTheme="minorBidi" w:hAnsiTheme="minorBidi"/>
          <w:sz w:val="18"/>
          <w:szCs w:val="18"/>
          <w:rtl/>
        </w:rPr>
        <w:t>הגה: ודוקא אם דבוקין בכוורת (הה"מ</w:t>
      </w:r>
      <w:r w:rsidRPr="005275DF">
        <w:rPr>
          <w:rStyle w:val="a9"/>
          <w:rFonts w:asciiTheme="minorBidi" w:hAnsiTheme="minorBidi"/>
          <w:sz w:val="18"/>
          <w:szCs w:val="18"/>
          <w:rtl/>
        </w:rPr>
        <w:footnoteReference w:id="3103"/>
      </w:r>
      <w:r w:rsidRPr="005275DF">
        <w:rPr>
          <w:rFonts w:asciiTheme="minorBidi" w:hAnsiTheme="minorBidi"/>
          <w:sz w:val="18"/>
          <w:szCs w:val="18"/>
          <w:rtl/>
        </w:rPr>
        <w:t>), אבל אם נתלשו מבעוד יום</w:t>
      </w:r>
      <w:r w:rsidRPr="005275DF">
        <w:rPr>
          <w:rStyle w:val="a9"/>
          <w:rFonts w:asciiTheme="minorBidi" w:hAnsiTheme="minorBidi"/>
          <w:sz w:val="18"/>
          <w:szCs w:val="18"/>
          <w:rtl/>
        </w:rPr>
        <w:footnoteReference w:id="3104"/>
      </w:r>
      <w:r w:rsidRPr="005275DF">
        <w:rPr>
          <w:rFonts w:asciiTheme="minorBidi" w:hAnsiTheme="minorBidi"/>
          <w:sz w:val="18"/>
          <w:szCs w:val="18"/>
          <w:rtl/>
        </w:rPr>
        <w:t xml:space="preserve"> או שנתרסקו מבעוד יום והדבש צף בכוורת מותר לרדותו בשבת (ב"י). </w:t>
      </w:r>
    </w:p>
    <w:p w14:paraId="5A72E728" w14:textId="77777777" w:rsidR="006A4BF8" w:rsidRPr="005275DF" w:rsidRDefault="006A4BF8" w:rsidP="00434A6A">
      <w:pPr>
        <w:rPr>
          <w:rFonts w:asciiTheme="minorBidi" w:hAnsiTheme="minorBidi"/>
          <w:rtl/>
        </w:rPr>
      </w:pPr>
    </w:p>
    <w:p w14:paraId="051ACF4A"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יד: גיבול קמח קלי.</w:t>
      </w:r>
    </w:p>
    <w:p w14:paraId="708EF09E" w14:textId="77777777" w:rsidR="006A4BF8" w:rsidRPr="005275DF" w:rsidRDefault="006A4BF8" w:rsidP="00434A6A">
      <w:pPr>
        <w:rPr>
          <w:rFonts w:asciiTheme="minorBidi" w:hAnsiTheme="minorBidi"/>
          <w:sz w:val="16"/>
          <w:szCs w:val="16"/>
          <w:rtl/>
        </w:rPr>
      </w:pPr>
      <w:r w:rsidRPr="005275DF">
        <w:rPr>
          <w:rFonts w:asciiTheme="minorBidi" w:hAnsiTheme="minorBidi"/>
          <w:b/>
          <w:bCs/>
          <w:rtl/>
        </w:rPr>
        <w:t xml:space="preserve">שבת קנה ע"ב: </w:t>
      </w:r>
      <w:r w:rsidRPr="005275DF">
        <w:rPr>
          <w:rFonts w:asciiTheme="minorBidi" w:hAnsiTheme="minorBidi"/>
          <w:rtl/>
        </w:rPr>
        <w:t>תנו רבנן: אין גובלין את הקלי</w:t>
      </w:r>
      <w:r w:rsidRPr="005275DF">
        <w:rPr>
          <w:rStyle w:val="a9"/>
          <w:rFonts w:asciiTheme="minorBidi" w:hAnsiTheme="minorBidi"/>
          <w:rtl/>
        </w:rPr>
        <w:footnoteReference w:id="3105"/>
      </w:r>
      <w:r w:rsidRPr="005275DF">
        <w:rPr>
          <w:rFonts w:asciiTheme="minorBidi" w:hAnsiTheme="minorBidi"/>
          <w:rtl/>
        </w:rPr>
        <w:t xml:space="preserve"> ויש אומרים גובלין. מאן יש אומרים? </w:t>
      </w:r>
      <w:r w:rsidRPr="005275DF">
        <w:rPr>
          <w:rFonts w:asciiTheme="minorBidi" w:hAnsiTheme="minorBidi"/>
          <w:u w:val="single"/>
          <w:rtl/>
        </w:rPr>
        <w:t>אמר רב חסדא</w:t>
      </w:r>
      <w:r w:rsidRPr="005275DF">
        <w:rPr>
          <w:rFonts w:asciiTheme="minorBidi" w:hAnsiTheme="minorBidi"/>
          <w:rtl/>
        </w:rPr>
        <w:t>: רבי יוסי ברבי יהודה היא</w:t>
      </w:r>
      <w:r w:rsidRPr="005275DF">
        <w:rPr>
          <w:rStyle w:val="a9"/>
          <w:rFonts w:asciiTheme="minorBidi" w:hAnsiTheme="minorBidi"/>
          <w:rtl/>
        </w:rPr>
        <w:footnoteReference w:id="3106"/>
      </w:r>
      <w:r w:rsidRPr="005275DF">
        <w:rPr>
          <w:rFonts w:asciiTheme="minorBidi" w:hAnsiTheme="minorBidi"/>
          <w:rtl/>
        </w:rPr>
        <w:t xml:space="preserve">. והני מילי הוא דמשני. היכי משני? </w:t>
      </w:r>
      <w:r w:rsidRPr="005275DF">
        <w:rPr>
          <w:rFonts w:asciiTheme="minorBidi" w:hAnsiTheme="minorBidi"/>
          <w:u w:val="single"/>
          <w:rtl/>
        </w:rPr>
        <w:t>אמר רב חסדא</w:t>
      </w:r>
      <w:r w:rsidRPr="005275DF">
        <w:rPr>
          <w:rFonts w:asciiTheme="minorBidi" w:hAnsiTheme="minorBidi"/>
          <w:rtl/>
        </w:rPr>
        <w:t>: על יד על יד. ושוין שבוחשין</w:t>
      </w:r>
      <w:r w:rsidRPr="005275DF">
        <w:rPr>
          <w:rStyle w:val="a9"/>
          <w:rFonts w:asciiTheme="minorBidi" w:hAnsiTheme="minorBidi"/>
          <w:rtl/>
        </w:rPr>
        <w:footnoteReference w:id="3107"/>
      </w:r>
      <w:r w:rsidRPr="005275DF">
        <w:rPr>
          <w:rFonts w:asciiTheme="minorBidi" w:hAnsiTheme="minorBidi"/>
          <w:rtl/>
        </w:rPr>
        <w:t xml:space="preserve"> את השתית בשבת ושותים זיתום המצרי. והאמרת אין גובלין! לא קשיא, הא בעבה</w:t>
      </w:r>
      <w:r w:rsidRPr="005275DF">
        <w:rPr>
          <w:rStyle w:val="a9"/>
          <w:rFonts w:asciiTheme="minorBidi" w:hAnsiTheme="minorBidi"/>
          <w:rtl/>
        </w:rPr>
        <w:footnoteReference w:id="3108"/>
      </w:r>
      <w:r w:rsidRPr="005275DF">
        <w:rPr>
          <w:rFonts w:asciiTheme="minorBidi" w:hAnsiTheme="minorBidi"/>
          <w:rtl/>
        </w:rPr>
        <w:t xml:space="preserve">, הא ברכה. והני מילי הוא דמשני. היכי משני? </w:t>
      </w:r>
      <w:r w:rsidRPr="005275DF">
        <w:rPr>
          <w:rFonts w:asciiTheme="minorBidi" w:hAnsiTheme="minorBidi"/>
          <w:u w:val="single"/>
          <w:rtl/>
        </w:rPr>
        <w:t>אמר רב יוסף</w:t>
      </w:r>
      <w:r w:rsidRPr="005275DF">
        <w:rPr>
          <w:rFonts w:asciiTheme="minorBidi" w:hAnsiTheme="minorBidi"/>
          <w:rtl/>
        </w:rPr>
        <w:t>: בחול נותן את החומץ ואחר כך נותן את השתית, בשבת נותן את השתית ואחר כך נותן את החומץ.</w:t>
      </w:r>
      <w:r w:rsidRPr="005275DF">
        <w:rPr>
          <w:rFonts w:asciiTheme="minorBidi" w:hAnsiTheme="minorBidi"/>
          <w:sz w:val="16"/>
          <w:szCs w:val="16"/>
          <w:rtl/>
        </w:rPr>
        <w:t xml:space="preserve"> (ופסקו הרי"ף והרא"ש הלכה כר' יוסי בר יהודה משום דאמרו היכי משני וכו' אלמא דהלכתא כוותיה, אבל סה"ת פסק כרבי)</w:t>
      </w:r>
    </w:p>
    <w:tbl>
      <w:tblPr>
        <w:tblStyle w:val="ac"/>
        <w:bidiVisual/>
        <w:tblW w:w="0" w:type="auto"/>
        <w:tblLook w:val="04A0" w:firstRow="1" w:lastRow="0" w:firstColumn="1" w:lastColumn="0" w:noHBand="0" w:noVBand="1"/>
      </w:tblPr>
      <w:tblGrid>
        <w:gridCol w:w="2185"/>
        <w:gridCol w:w="2213"/>
        <w:gridCol w:w="2809"/>
        <w:gridCol w:w="2421"/>
      </w:tblGrid>
      <w:tr w:rsidR="006A4BF8" w:rsidRPr="005275DF" w14:paraId="106BA516" w14:textId="77777777" w:rsidTr="004445E4">
        <w:tc>
          <w:tcPr>
            <w:tcW w:w="2233" w:type="dxa"/>
          </w:tcPr>
          <w:p w14:paraId="36B1DA14" w14:textId="77777777" w:rsidR="006A4BF8" w:rsidRPr="005275DF" w:rsidRDefault="006A4BF8" w:rsidP="00434A6A">
            <w:pPr>
              <w:rPr>
                <w:rFonts w:asciiTheme="minorBidi" w:hAnsiTheme="minorBidi"/>
                <w:rtl/>
              </w:rPr>
            </w:pPr>
            <w:r w:rsidRPr="005275DF">
              <w:rPr>
                <w:rFonts w:asciiTheme="minorBidi" w:hAnsiTheme="minorBidi"/>
                <w:b/>
                <w:bCs/>
                <w:sz w:val="18"/>
                <w:szCs w:val="18"/>
                <w:rtl/>
              </w:rPr>
              <w:t>לר' יוסי בר יהודה</w:t>
            </w:r>
            <w:r w:rsidRPr="005275DF">
              <w:rPr>
                <w:rStyle w:val="a9"/>
                <w:rFonts w:asciiTheme="minorBidi" w:hAnsiTheme="minorBidi"/>
                <w:b/>
                <w:bCs/>
                <w:sz w:val="18"/>
                <w:szCs w:val="18"/>
                <w:rtl/>
              </w:rPr>
              <w:footnoteReference w:id="3109"/>
            </w:r>
            <w:r w:rsidRPr="005275DF">
              <w:rPr>
                <w:rFonts w:asciiTheme="minorBidi" w:hAnsiTheme="minorBidi"/>
                <w:b/>
                <w:bCs/>
                <w:sz w:val="18"/>
                <w:szCs w:val="18"/>
                <w:rtl/>
              </w:rPr>
              <w:t>:</w:t>
            </w:r>
          </w:p>
        </w:tc>
        <w:tc>
          <w:tcPr>
            <w:tcW w:w="2268" w:type="dxa"/>
          </w:tcPr>
          <w:p w14:paraId="600814B2" w14:textId="77777777" w:rsidR="006A4BF8" w:rsidRPr="005275DF" w:rsidRDefault="006A4BF8" w:rsidP="00434A6A">
            <w:pPr>
              <w:rPr>
                <w:rFonts w:asciiTheme="minorBidi" w:hAnsiTheme="minorBidi"/>
                <w:rtl/>
              </w:rPr>
            </w:pPr>
            <w:r w:rsidRPr="005275DF">
              <w:rPr>
                <w:rFonts w:asciiTheme="minorBidi" w:hAnsiTheme="minorBidi"/>
                <w:b/>
                <w:bCs/>
                <w:sz w:val="24"/>
                <w:szCs w:val="24"/>
                <w:rtl/>
              </w:rPr>
              <w:t>קלי</w:t>
            </w:r>
          </w:p>
        </w:tc>
        <w:tc>
          <w:tcPr>
            <w:tcW w:w="2875" w:type="dxa"/>
          </w:tcPr>
          <w:p w14:paraId="310ECBEE" w14:textId="77777777" w:rsidR="006A4BF8" w:rsidRPr="005275DF" w:rsidRDefault="006A4BF8" w:rsidP="00434A6A">
            <w:pPr>
              <w:rPr>
                <w:rFonts w:asciiTheme="minorBidi" w:hAnsiTheme="minorBidi"/>
                <w:b/>
                <w:bCs/>
                <w:sz w:val="24"/>
                <w:szCs w:val="24"/>
                <w:rtl/>
              </w:rPr>
            </w:pPr>
            <w:r w:rsidRPr="005275DF">
              <w:rPr>
                <w:rFonts w:asciiTheme="minorBidi" w:hAnsiTheme="minorBidi"/>
                <w:b/>
                <w:bCs/>
                <w:sz w:val="24"/>
                <w:szCs w:val="24"/>
                <w:rtl/>
              </w:rPr>
              <w:t>בלילה עבה של שתית</w:t>
            </w:r>
            <w:r w:rsidRPr="005275DF">
              <w:rPr>
                <w:rStyle w:val="a9"/>
                <w:rFonts w:asciiTheme="minorBidi" w:hAnsiTheme="minorBidi"/>
                <w:b/>
                <w:bCs/>
                <w:sz w:val="24"/>
                <w:szCs w:val="24"/>
                <w:rtl/>
              </w:rPr>
              <w:footnoteReference w:id="3110"/>
            </w:r>
          </w:p>
        </w:tc>
        <w:tc>
          <w:tcPr>
            <w:tcW w:w="2478" w:type="dxa"/>
          </w:tcPr>
          <w:p w14:paraId="1FB22615" w14:textId="77777777" w:rsidR="006A4BF8" w:rsidRPr="005275DF" w:rsidRDefault="006A4BF8" w:rsidP="00434A6A">
            <w:pPr>
              <w:rPr>
                <w:rFonts w:asciiTheme="minorBidi" w:hAnsiTheme="minorBidi"/>
                <w:rtl/>
              </w:rPr>
            </w:pPr>
            <w:r w:rsidRPr="005275DF">
              <w:rPr>
                <w:rFonts w:asciiTheme="minorBidi" w:hAnsiTheme="minorBidi"/>
                <w:b/>
                <w:bCs/>
                <w:sz w:val="24"/>
                <w:szCs w:val="24"/>
                <w:rtl/>
              </w:rPr>
              <w:t>בלילה רכה של שתית</w:t>
            </w:r>
          </w:p>
        </w:tc>
      </w:tr>
      <w:tr w:rsidR="006A4BF8" w:rsidRPr="005275DF" w14:paraId="17F305B7" w14:textId="77777777" w:rsidTr="004445E4">
        <w:tc>
          <w:tcPr>
            <w:tcW w:w="2233" w:type="dxa"/>
          </w:tcPr>
          <w:p w14:paraId="0CA8EBFA" w14:textId="77777777" w:rsidR="006A4BF8" w:rsidRPr="005275DF" w:rsidRDefault="006A4BF8" w:rsidP="00434A6A">
            <w:pPr>
              <w:rPr>
                <w:rFonts w:asciiTheme="minorBidi" w:hAnsiTheme="minorBidi"/>
                <w:rtl/>
              </w:rPr>
            </w:pPr>
            <w:r w:rsidRPr="005275DF">
              <w:rPr>
                <w:rFonts w:asciiTheme="minorBidi" w:hAnsiTheme="minorBidi"/>
                <w:rtl/>
              </w:rPr>
              <w:t>רמב"ם</w:t>
            </w:r>
            <w:r w:rsidRPr="005275DF">
              <w:rPr>
                <w:rFonts w:asciiTheme="minorBidi" w:hAnsiTheme="minorBidi"/>
                <w:color w:val="E36C0A" w:themeColor="accent6" w:themeShade="BF"/>
                <w:rtl/>
              </w:rPr>
              <w:t xml:space="preserve"> (וכ"פ בשו"ע)</w:t>
            </w:r>
          </w:p>
        </w:tc>
        <w:tc>
          <w:tcPr>
            <w:tcW w:w="2268" w:type="dxa"/>
          </w:tcPr>
          <w:p w14:paraId="47718506" w14:textId="77777777" w:rsidR="006A4BF8" w:rsidRPr="005275DF" w:rsidRDefault="006A4BF8" w:rsidP="00434A6A">
            <w:pPr>
              <w:rPr>
                <w:rFonts w:asciiTheme="minorBidi" w:hAnsiTheme="minorBidi"/>
                <w:rtl/>
              </w:rPr>
            </w:pPr>
            <w:r w:rsidRPr="005275DF">
              <w:rPr>
                <w:rFonts w:asciiTheme="minorBidi" w:hAnsiTheme="minorBidi"/>
                <w:rtl/>
              </w:rPr>
              <w:t>מותר לגבל מעט מעט</w:t>
            </w:r>
          </w:p>
        </w:tc>
        <w:tc>
          <w:tcPr>
            <w:tcW w:w="2875" w:type="dxa"/>
          </w:tcPr>
          <w:p w14:paraId="690921A7" w14:textId="77777777" w:rsidR="006A4BF8" w:rsidRPr="005275DF" w:rsidRDefault="006A4BF8" w:rsidP="00434A6A">
            <w:pPr>
              <w:rPr>
                <w:rFonts w:asciiTheme="minorBidi" w:hAnsiTheme="minorBidi"/>
                <w:rtl/>
              </w:rPr>
            </w:pPr>
            <w:r w:rsidRPr="005275DF">
              <w:rPr>
                <w:rFonts w:asciiTheme="minorBidi" w:hAnsiTheme="minorBidi"/>
                <w:rtl/>
              </w:rPr>
              <w:t>אסור לגבל כלל</w:t>
            </w:r>
          </w:p>
        </w:tc>
        <w:tc>
          <w:tcPr>
            <w:tcW w:w="2478" w:type="dxa"/>
            <w:vMerge w:val="restart"/>
          </w:tcPr>
          <w:p w14:paraId="1E5CE1C8" w14:textId="77777777" w:rsidR="006A4BF8" w:rsidRPr="005275DF" w:rsidRDefault="006A4BF8" w:rsidP="00434A6A">
            <w:pPr>
              <w:rPr>
                <w:rFonts w:asciiTheme="minorBidi" w:hAnsiTheme="minorBidi"/>
                <w:rtl/>
              </w:rPr>
            </w:pPr>
            <w:r w:rsidRPr="005275DF">
              <w:rPr>
                <w:rFonts w:asciiTheme="minorBidi" w:hAnsiTheme="minorBidi"/>
                <w:rtl/>
              </w:rPr>
              <w:t xml:space="preserve">מותר לגבל </w:t>
            </w:r>
            <w:r w:rsidRPr="005275DF">
              <w:rPr>
                <w:rFonts w:asciiTheme="minorBidi" w:hAnsiTheme="minorBidi"/>
                <w:sz w:val="16"/>
                <w:szCs w:val="16"/>
                <w:rtl/>
              </w:rPr>
              <w:t>(אפילו הרבה)</w:t>
            </w:r>
          </w:p>
          <w:p w14:paraId="6C4E6E86" w14:textId="77777777" w:rsidR="006A4BF8" w:rsidRPr="005275DF" w:rsidRDefault="006A4BF8" w:rsidP="00434A6A">
            <w:pPr>
              <w:rPr>
                <w:rFonts w:asciiTheme="minorBidi" w:hAnsiTheme="minorBidi"/>
                <w:rtl/>
              </w:rPr>
            </w:pPr>
            <w:r w:rsidRPr="005275DF">
              <w:rPr>
                <w:rFonts w:asciiTheme="minorBidi" w:hAnsiTheme="minorBidi"/>
                <w:rtl/>
              </w:rPr>
              <w:t>בשינוי סדר נתינת המים</w:t>
            </w:r>
          </w:p>
        </w:tc>
      </w:tr>
      <w:tr w:rsidR="006A4BF8" w:rsidRPr="005275DF" w14:paraId="319FB327" w14:textId="77777777" w:rsidTr="004445E4">
        <w:tc>
          <w:tcPr>
            <w:tcW w:w="2233" w:type="dxa"/>
          </w:tcPr>
          <w:p w14:paraId="612EFAD8" w14:textId="77777777" w:rsidR="006A4BF8" w:rsidRPr="005275DF" w:rsidRDefault="006A4BF8" w:rsidP="00434A6A">
            <w:pPr>
              <w:rPr>
                <w:rFonts w:asciiTheme="minorBidi" w:hAnsiTheme="minorBidi"/>
                <w:rtl/>
              </w:rPr>
            </w:pPr>
            <w:r w:rsidRPr="005275DF">
              <w:rPr>
                <w:rFonts w:asciiTheme="minorBidi" w:hAnsiTheme="minorBidi"/>
                <w:rtl/>
              </w:rPr>
              <w:t>רש"י רמב"ן רשב"א ור"ן</w:t>
            </w:r>
          </w:p>
        </w:tc>
        <w:tc>
          <w:tcPr>
            <w:tcW w:w="5143" w:type="dxa"/>
            <w:gridSpan w:val="2"/>
          </w:tcPr>
          <w:p w14:paraId="625A279A" w14:textId="77777777" w:rsidR="006A4BF8" w:rsidRPr="005275DF" w:rsidRDefault="006A4BF8" w:rsidP="00434A6A">
            <w:pPr>
              <w:rPr>
                <w:rFonts w:asciiTheme="minorBidi" w:hAnsiTheme="minorBidi"/>
                <w:rtl/>
              </w:rPr>
            </w:pPr>
            <w:r w:rsidRPr="005275DF">
              <w:rPr>
                <w:rFonts w:asciiTheme="minorBidi" w:hAnsiTheme="minorBidi"/>
                <w:rtl/>
              </w:rPr>
              <w:t xml:space="preserve">מותר לגבל מעט מעט </w:t>
            </w:r>
            <w:r w:rsidRPr="005275DF">
              <w:rPr>
                <w:rFonts w:asciiTheme="minorBidi" w:hAnsiTheme="minorBidi"/>
                <w:sz w:val="16"/>
                <w:szCs w:val="16"/>
                <w:rtl/>
              </w:rPr>
              <w:t>(או שישנה בסדר נתינת המים ויוכל לגבל הרבה)</w:t>
            </w:r>
          </w:p>
        </w:tc>
        <w:tc>
          <w:tcPr>
            <w:tcW w:w="2478" w:type="dxa"/>
            <w:vMerge/>
          </w:tcPr>
          <w:p w14:paraId="37AE37CE" w14:textId="77777777" w:rsidR="006A4BF8" w:rsidRPr="005275DF" w:rsidRDefault="006A4BF8" w:rsidP="00434A6A">
            <w:pPr>
              <w:rPr>
                <w:rFonts w:asciiTheme="minorBidi" w:hAnsiTheme="minorBidi"/>
                <w:rtl/>
              </w:rPr>
            </w:pPr>
          </w:p>
        </w:tc>
      </w:tr>
    </w:tbl>
    <w:p w14:paraId="56A8A66C" w14:textId="77777777" w:rsidR="006A4BF8" w:rsidRPr="005275DF" w:rsidRDefault="006A4BF8" w:rsidP="00434A6A">
      <w:pPr>
        <w:rPr>
          <w:rFonts w:asciiTheme="minorBidi" w:hAnsiTheme="minorBidi"/>
          <w:rtl/>
        </w:rPr>
      </w:pPr>
    </w:p>
    <w:p w14:paraId="2F2BB490"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ABAB65B" w14:textId="77777777" w:rsidR="006A4BF8" w:rsidRPr="005275DF" w:rsidRDefault="006A4BF8" w:rsidP="00434A6A">
      <w:pPr>
        <w:rPr>
          <w:rFonts w:asciiTheme="minorBidi" w:hAnsiTheme="minorBidi"/>
          <w:rtl/>
        </w:rPr>
      </w:pPr>
      <w:r w:rsidRPr="005275DF">
        <w:rPr>
          <w:rFonts w:asciiTheme="minorBidi" w:hAnsiTheme="minorBidi"/>
          <w:rtl/>
        </w:rPr>
        <w:t xml:space="preserve">אין מגבלין </w:t>
      </w:r>
      <w:r w:rsidRPr="005275DF">
        <w:rPr>
          <w:rFonts w:asciiTheme="minorBidi" w:hAnsiTheme="minorBidi"/>
          <w:sz w:val="16"/>
          <w:szCs w:val="16"/>
          <w:rtl/>
        </w:rPr>
        <w:t>(פי' נתינת מים בקמח נקרא גיבול)</w:t>
      </w:r>
      <w:r w:rsidRPr="005275DF">
        <w:rPr>
          <w:rFonts w:asciiTheme="minorBidi" w:hAnsiTheme="minorBidi"/>
          <w:rtl/>
        </w:rPr>
        <w:t xml:space="preserve"> קמח קלי הרבה שמא יבא ללוש קמח שאינו קלי</w:t>
      </w:r>
      <w:r w:rsidRPr="005275DF">
        <w:rPr>
          <w:rStyle w:val="a9"/>
          <w:rFonts w:asciiTheme="minorBidi" w:hAnsiTheme="minorBidi"/>
          <w:rtl/>
        </w:rPr>
        <w:footnoteReference w:id="3111"/>
      </w:r>
      <w:r w:rsidRPr="005275DF">
        <w:rPr>
          <w:rFonts w:asciiTheme="minorBidi" w:hAnsiTheme="minorBidi"/>
          <w:rtl/>
        </w:rPr>
        <w:t>, ומותר לגבל את הקלי מעט מעט</w:t>
      </w:r>
      <w:r w:rsidRPr="005275DF">
        <w:rPr>
          <w:rStyle w:val="a9"/>
          <w:rFonts w:asciiTheme="minorBidi" w:hAnsiTheme="minorBidi"/>
          <w:rtl/>
        </w:rPr>
        <w:footnoteReference w:id="3112"/>
      </w:r>
      <w:r w:rsidRPr="005275DF">
        <w:rPr>
          <w:rFonts w:asciiTheme="minorBidi" w:hAnsiTheme="minorBidi"/>
          <w:rtl/>
        </w:rPr>
        <w:t>, אבל תבואה שלא הביאה שליש שקלו אותה ואחר כך טחנו אותה טחינה גסה שהרי היא כחול</w:t>
      </w:r>
      <w:r w:rsidRPr="005275DF">
        <w:rPr>
          <w:rStyle w:val="a9"/>
          <w:rFonts w:asciiTheme="minorBidi" w:hAnsiTheme="minorBidi"/>
          <w:rtl/>
        </w:rPr>
        <w:footnoteReference w:id="3113"/>
      </w:r>
      <w:r w:rsidRPr="005275DF">
        <w:rPr>
          <w:rFonts w:asciiTheme="minorBidi" w:hAnsiTheme="minorBidi"/>
          <w:rtl/>
        </w:rPr>
        <w:t xml:space="preserve"> והיא הנקראת שתיתא מותר לגבל ממנה בחומץ וכיוצא בו הרבה בבת אחת, והוא שיהיה רך אבל קשה אסור מפני שנראה כלש, </w:t>
      </w:r>
      <w:r w:rsidRPr="005275DF">
        <w:rPr>
          <w:rFonts w:asciiTheme="minorBidi" w:hAnsiTheme="minorBidi"/>
          <w:sz w:val="18"/>
          <w:szCs w:val="18"/>
          <w:rtl/>
        </w:rPr>
        <w:t>הגה: ואפילו ברך</w:t>
      </w:r>
      <w:r w:rsidRPr="005275DF">
        <w:rPr>
          <w:rFonts w:asciiTheme="minorBidi" w:hAnsiTheme="minorBidi"/>
          <w:rtl/>
        </w:rPr>
        <w:t xml:space="preserve"> צריך לשנות, כיצד, נותן את השתיתא ואחר כך נותן את החומץ.  </w:t>
      </w:r>
    </w:p>
    <w:p w14:paraId="27F283D2" w14:textId="77777777" w:rsidR="006A4BF8" w:rsidRPr="005275DF" w:rsidRDefault="006A4BF8" w:rsidP="00434A6A">
      <w:pPr>
        <w:rPr>
          <w:rFonts w:asciiTheme="minorBidi" w:hAnsiTheme="minorBidi"/>
          <w:u w:val="single"/>
          <w:rtl/>
        </w:rPr>
      </w:pPr>
      <w:r w:rsidRPr="005275DF">
        <w:rPr>
          <w:rFonts w:asciiTheme="minorBidi" w:hAnsiTheme="minorBidi"/>
          <w:u w:val="single"/>
          <w:rtl/>
        </w:rPr>
        <w:t>האם שינוי בסדר נתינת החומרים מועיל בשבת אף כשאין דרך ידועה שבה נותנים את החומרים ביום חול:</w:t>
      </w:r>
    </w:p>
    <w:p w14:paraId="1DB7E310" w14:textId="77777777" w:rsidR="006A4BF8" w:rsidRPr="005275DF" w:rsidRDefault="006A4BF8" w:rsidP="00FF2D21">
      <w:pPr>
        <w:pStyle w:val="aa"/>
        <w:numPr>
          <w:ilvl w:val="0"/>
          <w:numId w:val="38"/>
        </w:numPr>
        <w:rPr>
          <w:rFonts w:asciiTheme="minorBidi" w:hAnsiTheme="minorBidi"/>
        </w:rPr>
      </w:pPr>
      <w:r w:rsidRPr="005275DF">
        <w:rPr>
          <w:rFonts w:asciiTheme="minorBidi" w:hAnsiTheme="minorBidi"/>
          <w:rtl/>
        </w:rPr>
        <w:t xml:space="preserve">ט"ז- לא מועיל, לכן אין לעשות אפי' בלילה רכה מדבר שהוא </w:t>
      </w:r>
      <w:r w:rsidRPr="005275DF">
        <w:rPr>
          <w:rFonts w:asciiTheme="minorBidi" w:hAnsiTheme="minorBidi"/>
          <w:color w:val="FF0000"/>
          <w:rtl/>
        </w:rPr>
        <w:t>לאו</w:t>
      </w:r>
      <w:r w:rsidRPr="005275DF">
        <w:rPr>
          <w:rFonts w:asciiTheme="minorBidi" w:hAnsiTheme="minorBidi"/>
          <w:rtl/>
        </w:rPr>
        <w:t xml:space="preserve"> בר גיבול </w:t>
      </w:r>
      <w:r w:rsidRPr="005275DF">
        <w:rPr>
          <w:rFonts w:asciiTheme="minorBidi" w:hAnsiTheme="minorBidi"/>
          <w:sz w:val="16"/>
          <w:szCs w:val="16"/>
          <w:rtl/>
        </w:rPr>
        <w:t>(כגון קמח שעושים מטחינת מצה אפויה)</w:t>
      </w:r>
      <w:r w:rsidRPr="005275DF">
        <w:rPr>
          <w:rFonts w:asciiTheme="minorBidi" w:hAnsiTheme="minorBidi"/>
          <w:rtl/>
        </w:rPr>
        <w:t xml:space="preserve">, ורק אם השנוי הוא גלוי לכל מועיל הפיכת סדר נתינתם. </w:t>
      </w:r>
      <w:r w:rsidRPr="005275DF">
        <w:rPr>
          <w:rFonts w:asciiTheme="minorBidi" w:hAnsiTheme="minorBidi"/>
          <w:color w:val="FF0000"/>
          <w:rtl/>
        </w:rPr>
        <w:t>וצל"ע שהרי יש עוד שינויים!?</w:t>
      </w:r>
    </w:p>
    <w:p w14:paraId="328E9323" w14:textId="77777777" w:rsidR="006A4BF8" w:rsidRPr="005275DF" w:rsidRDefault="006A4BF8" w:rsidP="00FF2D21">
      <w:pPr>
        <w:pStyle w:val="aa"/>
        <w:numPr>
          <w:ilvl w:val="0"/>
          <w:numId w:val="38"/>
        </w:numPr>
        <w:rPr>
          <w:rFonts w:asciiTheme="minorBidi" w:hAnsiTheme="minorBidi"/>
          <w:rtl/>
        </w:rPr>
      </w:pPr>
      <w:r w:rsidRPr="005275DF">
        <w:rPr>
          <w:rFonts w:asciiTheme="minorBidi" w:hAnsiTheme="minorBidi"/>
          <w:rtl/>
        </w:rPr>
        <w:t xml:space="preserve">או"ז </w:t>
      </w:r>
      <w:r w:rsidRPr="005275DF">
        <w:rPr>
          <w:rFonts w:asciiTheme="minorBidi" w:hAnsiTheme="minorBidi"/>
          <w:sz w:val="16"/>
          <w:szCs w:val="16"/>
          <w:rtl/>
        </w:rPr>
        <w:t>(סי' סא הביאו הב"י)</w:t>
      </w:r>
      <w:r w:rsidRPr="005275DF">
        <w:rPr>
          <w:rFonts w:asciiTheme="minorBidi" w:hAnsiTheme="minorBidi"/>
          <w:rtl/>
        </w:rPr>
        <w:t xml:space="preserve">- "אע"ג דבחול אין לנו מנהג קבוע איזה מהם ליתן תחלה מכל מקום סגי לן בהאי שינוי" </w:t>
      </w:r>
      <w:r w:rsidRPr="005275DF">
        <w:rPr>
          <w:rFonts w:asciiTheme="minorBidi" w:hAnsiTheme="minorBidi"/>
          <w:color w:val="FF0000"/>
          <w:rtl/>
        </w:rPr>
        <w:t>ונראה דבלילה עבה הואיל וחשובה לישה גמורה אין חילוק בין נותן המשקה תחלה או אחריו למאן דאמר דנתינת משקה זהו גיבולו</w:t>
      </w:r>
      <w:r w:rsidRPr="005275DF">
        <w:rPr>
          <w:rFonts w:asciiTheme="minorBidi" w:hAnsiTheme="minorBidi"/>
          <w:rtl/>
        </w:rPr>
        <w:t xml:space="preserve"> (וכן מסקנת החק יעקב </w:t>
      </w:r>
      <w:r w:rsidRPr="005275DF">
        <w:rPr>
          <w:rFonts w:asciiTheme="minorBidi" w:hAnsiTheme="minorBidi"/>
          <w:sz w:val="16"/>
          <w:szCs w:val="16"/>
          <w:rtl/>
        </w:rPr>
        <w:t>[סי' תעג סקכ"ו]</w:t>
      </w:r>
      <w:r w:rsidRPr="005275DF">
        <w:rPr>
          <w:rFonts w:asciiTheme="minorBidi" w:hAnsiTheme="minorBidi"/>
          <w:rtl/>
        </w:rPr>
        <w:t>)</w:t>
      </w:r>
      <w:r w:rsidRPr="005275DF">
        <w:rPr>
          <w:rFonts w:asciiTheme="minorBidi" w:hAnsiTheme="minorBidi"/>
          <w:sz w:val="16"/>
          <w:szCs w:val="16"/>
          <w:rtl/>
        </w:rPr>
        <w:t xml:space="preserve"> </w:t>
      </w:r>
    </w:p>
    <w:p w14:paraId="22AF73A4" w14:textId="77777777" w:rsidR="006A4BF8" w:rsidRPr="005275DF" w:rsidRDefault="006A4BF8" w:rsidP="00434A6A">
      <w:pPr>
        <w:rPr>
          <w:rFonts w:asciiTheme="minorBidi" w:hAnsiTheme="minorBidi"/>
          <w:rtl/>
        </w:rPr>
      </w:pPr>
    </w:p>
    <w:p w14:paraId="3FF430D2"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טו: ערבוב חרדל.</w:t>
      </w:r>
    </w:p>
    <w:p w14:paraId="1601C4C1"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קמ ע"א: </w:t>
      </w:r>
      <w:r w:rsidRPr="005275DF">
        <w:rPr>
          <w:rFonts w:asciiTheme="minorBidi" w:hAnsiTheme="minorBidi"/>
          <w:rtl/>
        </w:rPr>
        <w:t xml:space="preserve">חרדל שלשו מערב שבת למחר ממחו בין ביד בין בכלי ונותן לתוכו דבש ולא יטרוף אלא מערב. </w:t>
      </w:r>
    </w:p>
    <w:p w14:paraId="5CE5D922"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8C7CFF4" w14:textId="77777777" w:rsidR="006A4BF8" w:rsidRPr="005275DF" w:rsidRDefault="006A4BF8" w:rsidP="00434A6A">
      <w:pPr>
        <w:rPr>
          <w:rFonts w:asciiTheme="minorBidi" w:hAnsiTheme="minorBidi"/>
          <w:rtl/>
        </w:rPr>
      </w:pPr>
      <w:r w:rsidRPr="005275DF">
        <w:rPr>
          <w:rFonts w:asciiTheme="minorBidi" w:hAnsiTheme="minorBidi"/>
          <w:rtl/>
        </w:rPr>
        <w:t>חרדל שלשו</w:t>
      </w:r>
      <w:r w:rsidRPr="005275DF">
        <w:rPr>
          <w:rStyle w:val="a9"/>
          <w:rFonts w:asciiTheme="minorBidi" w:hAnsiTheme="minorBidi"/>
          <w:rtl/>
        </w:rPr>
        <w:footnoteReference w:id="3114"/>
      </w:r>
      <w:r w:rsidRPr="005275DF">
        <w:rPr>
          <w:rFonts w:asciiTheme="minorBidi" w:hAnsiTheme="minorBidi"/>
          <w:rtl/>
        </w:rPr>
        <w:t xml:space="preserve"> מערב שבת למחר יכול לערבו הן ביד הן בכלי ונותן לתוכו דבש ולא יטרוף לערבו בכח אלא מערבו מעט מעט. </w:t>
      </w:r>
    </w:p>
    <w:p w14:paraId="2481C558" w14:textId="77777777" w:rsidR="006A4BF8" w:rsidRPr="005275DF" w:rsidRDefault="006A4BF8" w:rsidP="00434A6A">
      <w:pPr>
        <w:rPr>
          <w:rFonts w:asciiTheme="minorBidi" w:hAnsiTheme="minorBidi"/>
          <w:rtl/>
        </w:rPr>
      </w:pPr>
    </w:p>
    <w:p w14:paraId="217C84A2"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טז: טריפת שחלים ושום.</w:t>
      </w:r>
    </w:p>
    <w:p w14:paraId="40F8EF27"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קנה ע"ב: </w:t>
      </w:r>
      <w:r w:rsidRPr="005275DF">
        <w:rPr>
          <w:rFonts w:asciiTheme="minorBidi" w:hAnsiTheme="minorBidi"/>
          <w:rtl/>
        </w:rPr>
        <w:t xml:space="preserve">אחד נותן את הקמח ואחד נותן לתוכו מים - האחרון חייב, </w:t>
      </w:r>
      <w:r w:rsidRPr="005275DF">
        <w:rPr>
          <w:rFonts w:asciiTheme="minorBidi" w:hAnsiTheme="minorBidi"/>
          <w:u w:val="single"/>
          <w:rtl/>
        </w:rPr>
        <w:t>דברי רבי</w:t>
      </w:r>
      <w:r w:rsidRPr="005275DF">
        <w:rPr>
          <w:rFonts w:asciiTheme="minorBidi" w:hAnsiTheme="minorBidi"/>
          <w:rtl/>
        </w:rPr>
        <w:t xml:space="preserve">. </w:t>
      </w:r>
      <w:r w:rsidRPr="005275DF">
        <w:rPr>
          <w:rFonts w:asciiTheme="minorBidi" w:hAnsiTheme="minorBidi"/>
          <w:u w:val="single"/>
          <w:rtl/>
        </w:rPr>
        <w:t>רבי יוסי בר יהודה אומר</w:t>
      </w:r>
      <w:r w:rsidRPr="005275DF">
        <w:rPr>
          <w:rFonts w:asciiTheme="minorBidi" w:hAnsiTheme="minorBidi"/>
          <w:rtl/>
        </w:rPr>
        <w:t xml:space="preserve">: אינו חייב עד שיגבל. </w:t>
      </w:r>
    </w:p>
    <w:p w14:paraId="28FB7CC4" w14:textId="77777777" w:rsidR="006A4BF8" w:rsidRPr="005275DF" w:rsidRDefault="006A4BF8" w:rsidP="00434A6A">
      <w:pPr>
        <w:rPr>
          <w:rFonts w:asciiTheme="minorBidi" w:hAnsiTheme="minorBidi"/>
          <w:rtl/>
        </w:rPr>
      </w:pPr>
      <w:r w:rsidRPr="005275DF">
        <w:rPr>
          <w:rFonts w:asciiTheme="minorBidi" w:hAnsiTheme="minorBidi"/>
          <w:b/>
          <w:bCs/>
          <w:rtl/>
        </w:rPr>
        <w:t xml:space="preserve">ירושלמי </w:t>
      </w:r>
      <w:r w:rsidRPr="005275DF">
        <w:rPr>
          <w:rFonts w:asciiTheme="minorBidi" w:hAnsiTheme="minorBidi"/>
          <w:b/>
          <w:bCs/>
          <w:sz w:val="16"/>
          <w:szCs w:val="16"/>
          <w:rtl/>
        </w:rPr>
        <w:t xml:space="preserve">(וילנא) </w:t>
      </w:r>
      <w:r w:rsidRPr="005275DF">
        <w:rPr>
          <w:rFonts w:asciiTheme="minorBidi" w:hAnsiTheme="minorBidi"/>
          <w:b/>
          <w:bCs/>
          <w:rtl/>
        </w:rPr>
        <w:t>שבת פ"ז ה"ב:</w:t>
      </w:r>
      <w:r w:rsidRPr="005275DF">
        <w:rPr>
          <w:rFonts w:asciiTheme="minorBidi" w:hAnsiTheme="minorBidi"/>
          <w:rtl/>
        </w:rPr>
        <w:t xml:space="preserve"> ההן דשחק תומא כד מפרך ברישייא משום דש. כד מברר בקליפייתיה משום בורר. כד שחיק במדוכתה משום טוחן. כד יהיב משקין משום דש.</w:t>
      </w:r>
    </w:p>
    <w:p w14:paraId="405328BE" w14:textId="77777777" w:rsidR="006A4BF8" w:rsidRPr="005275DF" w:rsidRDefault="006A4BF8" w:rsidP="00434A6A">
      <w:pPr>
        <w:rPr>
          <w:rFonts w:asciiTheme="minorBidi" w:hAnsiTheme="minorBidi"/>
          <w:rtl/>
        </w:rPr>
      </w:pPr>
      <w:r w:rsidRPr="005275DF">
        <w:rPr>
          <w:rFonts w:asciiTheme="minorBidi" w:hAnsiTheme="minorBidi"/>
          <w:b/>
          <w:bCs/>
          <w:rtl/>
        </w:rPr>
        <w:t xml:space="preserve">ביצה לב ע"ב: </w:t>
      </w:r>
      <w:r w:rsidRPr="005275DF">
        <w:rPr>
          <w:rFonts w:asciiTheme="minorBidi" w:hAnsiTheme="minorBidi"/>
          <w:u w:val="single"/>
          <w:rtl/>
        </w:rPr>
        <w:t>אמר ליה רבינא לרב אשי</w:t>
      </w:r>
      <w:r w:rsidRPr="005275DF">
        <w:rPr>
          <w:rFonts w:asciiTheme="minorBidi" w:hAnsiTheme="minorBidi"/>
          <w:rtl/>
        </w:rPr>
        <w:t>: אמר לן רב אחא מהוצל דמר שרקין ליה תנורא</w:t>
      </w:r>
      <w:r w:rsidRPr="005275DF">
        <w:rPr>
          <w:rStyle w:val="a9"/>
          <w:rFonts w:asciiTheme="minorBidi" w:hAnsiTheme="minorBidi"/>
          <w:rtl/>
        </w:rPr>
        <w:footnoteReference w:id="3115"/>
      </w:r>
      <w:r w:rsidRPr="005275DF">
        <w:rPr>
          <w:rFonts w:asciiTheme="minorBidi" w:hAnsiTheme="minorBidi"/>
          <w:rtl/>
        </w:rPr>
        <w:t xml:space="preserve"> ביומא טבא. אמר ליה: אנן ארקתא דפרת סמכינן</w:t>
      </w:r>
      <w:r w:rsidRPr="005275DF">
        <w:rPr>
          <w:rStyle w:val="a9"/>
          <w:rFonts w:asciiTheme="minorBidi" w:hAnsiTheme="minorBidi"/>
          <w:rtl/>
        </w:rPr>
        <w:footnoteReference w:id="3116"/>
      </w:r>
      <w:r w:rsidRPr="005275DF">
        <w:rPr>
          <w:rFonts w:asciiTheme="minorBidi" w:hAnsiTheme="minorBidi"/>
          <w:rtl/>
        </w:rPr>
        <w:t>, והני מילי הוא דצייריה מאתמול</w:t>
      </w:r>
      <w:r w:rsidRPr="005275DF">
        <w:rPr>
          <w:rStyle w:val="a9"/>
          <w:rFonts w:asciiTheme="minorBidi" w:hAnsiTheme="minorBidi"/>
          <w:rtl/>
        </w:rPr>
        <w:footnoteReference w:id="3117"/>
      </w:r>
      <w:r w:rsidRPr="005275DF">
        <w:rPr>
          <w:rFonts w:asciiTheme="minorBidi" w:hAnsiTheme="minorBidi"/>
          <w:rtl/>
        </w:rPr>
        <w:t xml:space="preserve">. </w:t>
      </w:r>
      <w:r w:rsidRPr="005275DF">
        <w:rPr>
          <w:rFonts w:asciiTheme="minorBidi" w:hAnsiTheme="minorBidi"/>
          <w:u w:val="single"/>
          <w:rtl/>
        </w:rPr>
        <w:t>אמר רבינא</w:t>
      </w:r>
      <w:r w:rsidRPr="005275DF">
        <w:rPr>
          <w:rFonts w:asciiTheme="minorBidi" w:hAnsiTheme="minorBidi"/>
          <w:rtl/>
        </w:rPr>
        <w:t>: וקטמא שרי</w:t>
      </w:r>
      <w:r w:rsidRPr="005275DF">
        <w:rPr>
          <w:rStyle w:val="a9"/>
          <w:rFonts w:asciiTheme="minorBidi" w:hAnsiTheme="minorBidi"/>
          <w:rtl/>
        </w:rPr>
        <w:footnoteReference w:id="3118"/>
      </w:r>
      <w:r w:rsidRPr="005275DF">
        <w:rPr>
          <w:rFonts w:asciiTheme="minorBidi" w:hAnsiTheme="minorBidi"/>
          <w:rtl/>
        </w:rPr>
        <w:t>.</w:t>
      </w:r>
    </w:p>
    <w:p w14:paraId="514ED039"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קמ ע"א: </w:t>
      </w:r>
      <w:r w:rsidRPr="005275DF">
        <w:rPr>
          <w:rFonts w:asciiTheme="minorBidi" w:hAnsiTheme="minorBidi"/>
          <w:u w:val="single"/>
          <w:rtl/>
        </w:rPr>
        <w:t>אמר ליה אביי</w:t>
      </w:r>
      <w:r w:rsidRPr="005275DF">
        <w:rPr>
          <w:rStyle w:val="a9"/>
          <w:rFonts w:asciiTheme="minorBidi" w:hAnsiTheme="minorBidi"/>
          <w:rtl/>
        </w:rPr>
        <w:footnoteReference w:id="3119"/>
      </w:r>
      <w:r w:rsidRPr="005275DF">
        <w:rPr>
          <w:rFonts w:asciiTheme="minorBidi" w:hAnsiTheme="minorBidi"/>
          <w:rtl/>
        </w:rPr>
        <w:t xml:space="preserve">: ודילמא עד כאן לא קאמר רבי יוסי אלא בקמח דבר גיבול הוא אבל דיו דלאו בר גיבול הוא אימא ליחייב!  לא סלקא דעתך, דתניא: אחד נותן את האפר ואחד נותן את המים האחרון חייב דברי רבי. רבי יוסי ברבי יהודה אומר עד שיגבל. ודילמא מאי אפר- עפר דבר גיבול הוא. והתניא אפר, והתניא עפר! מידי גבי הדדי תניא? </w:t>
      </w:r>
    </w:p>
    <w:p w14:paraId="10AC71BB"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קמ ע"א: </w:t>
      </w:r>
      <w:r w:rsidRPr="005275DF">
        <w:rPr>
          <w:rFonts w:asciiTheme="minorBidi" w:hAnsiTheme="minorBidi"/>
          <w:rtl/>
        </w:rPr>
        <w:t>חרדל שלשו מערב שבת למחר ממחו</w:t>
      </w:r>
      <w:r w:rsidRPr="005275DF">
        <w:rPr>
          <w:rStyle w:val="a9"/>
          <w:rFonts w:asciiTheme="minorBidi" w:hAnsiTheme="minorBidi"/>
          <w:rtl/>
        </w:rPr>
        <w:footnoteReference w:id="3120"/>
      </w:r>
      <w:r w:rsidRPr="005275DF">
        <w:rPr>
          <w:rFonts w:asciiTheme="minorBidi" w:hAnsiTheme="minorBidi"/>
          <w:rtl/>
        </w:rPr>
        <w:t xml:space="preserve"> בין ביד</w:t>
      </w:r>
      <w:r w:rsidRPr="005275DF">
        <w:rPr>
          <w:rStyle w:val="a9"/>
          <w:rFonts w:asciiTheme="minorBidi" w:hAnsiTheme="minorBidi"/>
          <w:rtl/>
        </w:rPr>
        <w:footnoteReference w:id="3121"/>
      </w:r>
      <w:r w:rsidRPr="005275DF">
        <w:rPr>
          <w:rFonts w:asciiTheme="minorBidi" w:hAnsiTheme="minorBidi"/>
          <w:rtl/>
        </w:rPr>
        <w:t xml:space="preserve"> בין בכלי</w:t>
      </w:r>
      <w:r w:rsidRPr="005275DF">
        <w:rPr>
          <w:rStyle w:val="a9"/>
          <w:rFonts w:asciiTheme="minorBidi" w:hAnsiTheme="minorBidi"/>
          <w:rtl/>
        </w:rPr>
        <w:footnoteReference w:id="3122"/>
      </w:r>
      <w:r w:rsidRPr="005275DF">
        <w:rPr>
          <w:rFonts w:asciiTheme="minorBidi" w:hAnsiTheme="minorBidi"/>
          <w:rtl/>
        </w:rPr>
        <w:t xml:space="preserve"> ונותן לתוכו דבש, ולא יטרוף</w:t>
      </w:r>
      <w:r w:rsidRPr="005275DF">
        <w:rPr>
          <w:rStyle w:val="a9"/>
          <w:rFonts w:asciiTheme="minorBidi" w:hAnsiTheme="minorBidi"/>
          <w:rtl/>
        </w:rPr>
        <w:footnoteReference w:id="3123"/>
      </w:r>
      <w:r w:rsidRPr="005275DF">
        <w:rPr>
          <w:rFonts w:asciiTheme="minorBidi" w:hAnsiTheme="minorBidi"/>
          <w:rtl/>
        </w:rPr>
        <w:t xml:space="preserve"> אלא מערב. שחליים ששחקן מערב שבת למחר נותן לתוכן שמן וחומץ וממשיך</w:t>
      </w:r>
      <w:r w:rsidRPr="005275DF">
        <w:rPr>
          <w:rStyle w:val="a9"/>
          <w:rFonts w:asciiTheme="minorBidi" w:hAnsiTheme="minorBidi"/>
          <w:rtl/>
        </w:rPr>
        <w:footnoteReference w:id="3124"/>
      </w:r>
      <w:r w:rsidRPr="005275DF">
        <w:rPr>
          <w:rFonts w:asciiTheme="minorBidi" w:hAnsiTheme="minorBidi"/>
          <w:rtl/>
        </w:rPr>
        <w:t xml:space="preserve"> לתוכן אמיתא</w:t>
      </w:r>
      <w:r w:rsidRPr="005275DF">
        <w:rPr>
          <w:rStyle w:val="a9"/>
          <w:rFonts w:asciiTheme="minorBidi" w:hAnsiTheme="minorBidi"/>
          <w:rtl/>
        </w:rPr>
        <w:footnoteReference w:id="3125"/>
      </w:r>
      <w:r w:rsidRPr="005275DF">
        <w:rPr>
          <w:rFonts w:asciiTheme="minorBidi" w:hAnsiTheme="minorBidi"/>
          <w:rtl/>
        </w:rPr>
        <w:t xml:space="preserve"> ולא יטרוף אלא מערב. שום שריסקו מערב שבת למחר נותן לתוכו פול וגריסין ולא ישחוק אלא מערב וממשיך את אמיתא לתוכן. </w:t>
      </w:r>
    </w:p>
    <w:p w14:paraId="72E6BA52"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886D699" w14:textId="77777777" w:rsidR="006A4BF8" w:rsidRPr="005275DF" w:rsidRDefault="006A4BF8" w:rsidP="00434A6A">
      <w:pPr>
        <w:rPr>
          <w:rFonts w:asciiTheme="minorBidi" w:hAnsiTheme="minorBidi"/>
          <w:sz w:val="18"/>
          <w:szCs w:val="18"/>
          <w:rtl/>
        </w:rPr>
      </w:pPr>
      <w:r w:rsidRPr="005275DF">
        <w:rPr>
          <w:rFonts w:asciiTheme="minorBidi" w:hAnsiTheme="minorBidi"/>
          <w:rtl/>
        </w:rPr>
        <w:t xml:space="preserve">שחלים </w:t>
      </w:r>
      <w:r w:rsidRPr="005275DF">
        <w:rPr>
          <w:rFonts w:asciiTheme="minorBidi" w:hAnsiTheme="minorBidi"/>
          <w:sz w:val="16"/>
          <w:szCs w:val="16"/>
          <w:rtl/>
        </w:rPr>
        <w:t xml:space="preserve">(פי' שחלים בערבי תכא לשא"ר ובלע"ז קרישין) </w:t>
      </w:r>
      <w:r w:rsidRPr="005275DF">
        <w:rPr>
          <w:rFonts w:asciiTheme="minorBidi" w:hAnsiTheme="minorBidi"/>
          <w:rtl/>
        </w:rPr>
        <w:t xml:space="preserve">שדכן מערב שבת למחר נותן יין וחומץ ולא יטרוף אלא מערב, וכן שום שדכו מערב שבת למחר נותן פול וגריסין ולא יטרוף אלא מערב. </w:t>
      </w:r>
      <w:r w:rsidRPr="005275DF">
        <w:rPr>
          <w:rFonts w:asciiTheme="minorBidi" w:hAnsiTheme="minorBidi"/>
          <w:sz w:val="18"/>
          <w:szCs w:val="18"/>
          <w:rtl/>
        </w:rPr>
        <w:t>הגה: וי"א דלא יערב בכף אלא ביד</w:t>
      </w:r>
      <w:r w:rsidRPr="005275DF">
        <w:rPr>
          <w:rStyle w:val="a9"/>
          <w:rFonts w:asciiTheme="minorBidi" w:hAnsiTheme="minorBidi"/>
          <w:sz w:val="18"/>
          <w:szCs w:val="18"/>
          <w:rtl/>
        </w:rPr>
        <w:footnoteReference w:id="3126"/>
      </w:r>
      <w:r w:rsidRPr="005275DF">
        <w:rPr>
          <w:rFonts w:asciiTheme="minorBidi" w:hAnsiTheme="minorBidi"/>
          <w:sz w:val="18"/>
          <w:szCs w:val="18"/>
          <w:rtl/>
        </w:rPr>
        <w:t xml:space="preserve"> (או"ז ומרדכי).</w:t>
      </w:r>
      <w:r w:rsidRPr="005275DF">
        <w:rPr>
          <w:rFonts w:asciiTheme="minorBidi" w:hAnsiTheme="minorBidi"/>
          <w:rtl/>
        </w:rPr>
        <w:t xml:space="preserve"> ויש אומרים דהא דשרי לערב משקה בחרדל</w:t>
      </w:r>
      <w:r w:rsidRPr="005275DF">
        <w:rPr>
          <w:rStyle w:val="a9"/>
          <w:rFonts w:asciiTheme="minorBidi" w:hAnsiTheme="minorBidi"/>
          <w:rtl/>
        </w:rPr>
        <w:footnoteReference w:id="3127"/>
      </w:r>
      <w:r w:rsidRPr="005275DF">
        <w:rPr>
          <w:rFonts w:asciiTheme="minorBidi" w:hAnsiTheme="minorBidi"/>
          <w:rtl/>
        </w:rPr>
        <w:t xml:space="preserve"> דוקא שנתנו מבעוד יום</w:t>
      </w:r>
      <w:r w:rsidRPr="005275DF">
        <w:rPr>
          <w:rStyle w:val="a9"/>
          <w:rFonts w:asciiTheme="minorBidi" w:hAnsiTheme="minorBidi"/>
          <w:rtl/>
        </w:rPr>
        <w:footnoteReference w:id="3128"/>
      </w:r>
      <w:r w:rsidRPr="005275DF">
        <w:rPr>
          <w:rFonts w:asciiTheme="minorBidi" w:hAnsiTheme="minorBidi"/>
          <w:rtl/>
        </w:rPr>
        <w:t xml:space="preserve"> אבל בשבת אסור לתת משקה בחרדל או בשום הכתושים משום לש.</w:t>
      </w:r>
      <w:r w:rsidRPr="005275DF">
        <w:rPr>
          <w:rFonts w:asciiTheme="minorBidi" w:hAnsiTheme="minorBidi"/>
          <w:sz w:val="18"/>
          <w:szCs w:val="18"/>
          <w:rtl/>
        </w:rPr>
        <w:t xml:space="preserve"> הגה: ואם נותן האוכל תחלה ואח"כ החומץ או היין ומערבו באצבעו שרי</w:t>
      </w:r>
      <w:r w:rsidRPr="005275DF">
        <w:rPr>
          <w:rStyle w:val="a9"/>
          <w:rFonts w:asciiTheme="minorBidi" w:hAnsiTheme="minorBidi"/>
          <w:sz w:val="18"/>
          <w:szCs w:val="18"/>
          <w:rtl/>
        </w:rPr>
        <w:footnoteReference w:id="3129"/>
      </w:r>
      <w:r w:rsidRPr="005275DF">
        <w:rPr>
          <w:rFonts w:asciiTheme="minorBidi" w:hAnsiTheme="minorBidi"/>
          <w:sz w:val="18"/>
          <w:szCs w:val="18"/>
          <w:rtl/>
        </w:rPr>
        <w:t xml:space="preserve"> דהוי שינוי כמו בשתיתא דלעיל וכן נוהגין להתיר ע"י שינוי  ומקום שדרכו לעשות כך בחול יתן בשבת החומץ תחלה ואח"כ האוכל. </w:t>
      </w:r>
    </w:p>
    <w:p w14:paraId="67D7D2DA" w14:textId="77777777" w:rsidR="006A4BF8" w:rsidRPr="005275DF" w:rsidRDefault="006A4BF8" w:rsidP="00434A6A">
      <w:pPr>
        <w:rPr>
          <w:rFonts w:asciiTheme="minorBidi" w:hAnsiTheme="minorBidi"/>
          <w:rtl/>
        </w:rPr>
      </w:pPr>
    </w:p>
    <w:p w14:paraId="5DC0D8B3"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יז: עשיית יינמולין ואלונתית.</w:t>
      </w:r>
    </w:p>
    <w:p w14:paraId="4A462D42"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קלט ע"ב: </w:t>
      </w:r>
      <w:r w:rsidRPr="005275DF">
        <w:rPr>
          <w:rFonts w:asciiTheme="minorBidi" w:hAnsiTheme="minorBidi"/>
          <w:u w:val="double"/>
          <w:rtl/>
        </w:rPr>
        <w:t>משנה:</w:t>
      </w:r>
      <w:r w:rsidRPr="005275DF">
        <w:rPr>
          <w:rFonts w:asciiTheme="minorBidi" w:hAnsiTheme="minorBidi"/>
          <w:rtl/>
        </w:rPr>
        <w:t xml:space="preserve"> נותנין מים... ועושין אנומלין בשבת. רבי יהודה אומר: בשבת - בכוס, ביום טוב - בלגין</w:t>
      </w:r>
      <w:r w:rsidRPr="005275DF">
        <w:rPr>
          <w:rStyle w:val="a9"/>
          <w:rFonts w:asciiTheme="minorBidi" w:hAnsiTheme="minorBidi"/>
          <w:rtl/>
        </w:rPr>
        <w:footnoteReference w:id="3130"/>
      </w:r>
      <w:r w:rsidRPr="005275DF">
        <w:rPr>
          <w:rFonts w:asciiTheme="minorBidi" w:hAnsiTheme="minorBidi"/>
          <w:rtl/>
        </w:rPr>
        <w:t xml:space="preserve">, ובמועד - בחבית. רבי צדוק אומר: הכל לפי האורחין.       </w:t>
      </w:r>
      <w:r w:rsidRPr="005275DF">
        <w:rPr>
          <w:rFonts w:asciiTheme="minorBidi" w:hAnsiTheme="minorBidi"/>
          <w:u w:val="double"/>
          <w:rtl/>
        </w:rPr>
        <w:t>גמ'</w:t>
      </w:r>
      <w:r w:rsidRPr="005275DF">
        <w:rPr>
          <w:rFonts w:asciiTheme="minorBidi" w:hAnsiTheme="minorBidi"/>
          <w:sz w:val="16"/>
          <w:szCs w:val="16"/>
          <w:u w:val="double"/>
          <w:rtl/>
        </w:rPr>
        <w:t>(קמ.)</w:t>
      </w:r>
      <w:r w:rsidRPr="005275DF">
        <w:rPr>
          <w:rFonts w:asciiTheme="minorBidi" w:hAnsiTheme="minorBidi"/>
          <w:u w:val="double"/>
          <w:rtl/>
        </w:rPr>
        <w:t>:</w:t>
      </w:r>
      <w:r w:rsidRPr="005275DF">
        <w:rPr>
          <w:rFonts w:asciiTheme="minorBidi" w:hAnsiTheme="minorBidi"/>
          <w:rtl/>
        </w:rPr>
        <w:t xml:space="preserve"> ועושין אנומלין בשבת. תנו רבנן: עושין אנומלין בשבת, ואין עושין אלונטית. ואיזו היא אנומלין ואיזו היא אלונטית? אנומלין - יין ודבש ופלפלין, אלונטית - יין ישן ומים צלולין ואפרסמון, דעבדי לבי מסותא למיקר. </w:t>
      </w:r>
    </w:p>
    <w:p w14:paraId="01431BD7"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68FB8F0" w14:textId="77777777" w:rsidR="006A4BF8" w:rsidRPr="005275DF" w:rsidRDefault="006A4BF8" w:rsidP="00434A6A">
      <w:pPr>
        <w:rPr>
          <w:rFonts w:asciiTheme="minorBidi" w:hAnsiTheme="minorBidi"/>
          <w:rtl/>
        </w:rPr>
      </w:pPr>
      <w:r w:rsidRPr="005275DF">
        <w:rPr>
          <w:rFonts w:asciiTheme="minorBidi" w:hAnsiTheme="minorBidi"/>
          <w:rtl/>
        </w:rPr>
        <w:t xml:space="preserve">מותר לעשות יינומלין שהוא יין ישן דבש ופלפלין מפני שהוא לשתיה, ואין עושין אלונתית שהוא יין ישן ומים צלולים ושמן אפרסמון שהוא לרפואה. </w:t>
      </w:r>
    </w:p>
    <w:p w14:paraId="6B6010C8" w14:textId="77777777" w:rsidR="006A4BF8" w:rsidRPr="005275DF" w:rsidRDefault="006A4BF8" w:rsidP="00434A6A">
      <w:pPr>
        <w:rPr>
          <w:rFonts w:asciiTheme="minorBidi" w:hAnsiTheme="minorBidi"/>
          <w:rtl/>
        </w:rPr>
      </w:pPr>
    </w:p>
    <w:p w14:paraId="5F70B035"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יח: שריית ושתיית חלתית.</w:t>
      </w:r>
    </w:p>
    <w:p w14:paraId="0124BC4C"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קמ ע"א: </w:t>
      </w:r>
      <w:r w:rsidRPr="005275DF">
        <w:rPr>
          <w:rFonts w:asciiTheme="minorBidi" w:hAnsiTheme="minorBidi"/>
          <w:u w:val="double"/>
          <w:rtl/>
        </w:rPr>
        <w:t>משנה:</w:t>
      </w:r>
      <w:r w:rsidRPr="005275DF">
        <w:rPr>
          <w:rFonts w:asciiTheme="minorBidi" w:hAnsiTheme="minorBidi"/>
          <w:rtl/>
        </w:rPr>
        <w:t xml:space="preserve"> אין שורין את החילתית</w:t>
      </w:r>
      <w:r w:rsidRPr="005275DF">
        <w:rPr>
          <w:rStyle w:val="a9"/>
          <w:rFonts w:asciiTheme="minorBidi" w:hAnsiTheme="minorBidi"/>
          <w:rtl/>
        </w:rPr>
        <w:footnoteReference w:id="3131"/>
      </w:r>
      <w:r w:rsidRPr="005275DF">
        <w:rPr>
          <w:rFonts w:asciiTheme="minorBidi" w:hAnsiTheme="minorBidi"/>
          <w:rtl/>
        </w:rPr>
        <w:t xml:space="preserve"> בפושרין אבל נותן</w:t>
      </w:r>
      <w:r w:rsidRPr="005275DF">
        <w:rPr>
          <w:rStyle w:val="a9"/>
          <w:rFonts w:asciiTheme="minorBidi" w:hAnsiTheme="minorBidi"/>
          <w:rtl/>
        </w:rPr>
        <w:footnoteReference w:id="3132"/>
      </w:r>
      <w:r w:rsidRPr="005275DF">
        <w:rPr>
          <w:rFonts w:asciiTheme="minorBidi" w:hAnsiTheme="minorBidi"/>
          <w:rtl/>
        </w:rPr>
        <w:t xml:space="preserve"> לתוך החומץ</w:t>
      </w:r>
      <w:r w:rsidRPr="005275DF">
        <w:rPr>
          <w:rStyle w:val="a9"/>
          <w:rFonts w:asciiTheme="minorBidi" w:hAnsiTheme="minorBidi"/>
          <w:rtl/>
        </w:rPr>
        <w:footnoteReference w:id="3133"/>
      </w:r>
      <w:r w:rsidRPr="005275DF">
        <w:rPr>
          <w:rFonts w:asciiTheme="minorBidi" w:hAnsiTheme="minorBidi"/>
          <w:rtl/>
        </w:rPr>
        <w:t xml:space="preserve">...     </w:t>
      </w:r>
      <w:r w:rsidRPr="005275DF">
        <w:rPr>
          <w:rFonts w:asciiTheme="minorBidi" w:hAnsiTheme="minorBidi"/>
          <w:u w:val="double"/>
          <w:rtl/>
        </w:rPr>
        <w:t>גמ':</w:t>
      </w:r>
      <w:r w:rsidRPr="005275DF">
        <w:rPr>
          <w:rFonts w:asciiTheme="minorBidi" w:hAnsiTheme="minorBidi"/>
          <w:rtl/>
        </w:rPr>
        <w:t xml:space="preserve"> בעא מיניה רבי יוחנן מרבי ינאי: מהו לשרות את החלתית בצונן? אמר ליה אסור. והא אנן תנן: אין שורין את החלתית בפושרין הא בצונן מותר! אמר ליה: אם כן</w:t>
      </w:r>
      <w:r w:rsidRPr="005275DF">
        <w:rPr>
          <w:rStyle w:val="a9"/>
          <w:rFonts w:asciiTheme="minorBidi" w:hAnsiTheme="minorBidi"/>
          <w:rtl/>
        </w:rPr>
        <w:footnoteReference w:id="3134"/>
      </w:r>
      <w:r w:rsidRPr="005275DF">
        <w:rPr>
          <w:rFonts w:asciiTheme="minorBidi" w:hAnsiTheme="minorBidi"/>
          <w:rtl/>
        </w:rPr>
        <w:t>, מה בין לי ולך? מתניתין יחידאה היא</w:t>
      </w:r>
      <w:r w:rsidRPr="005275DF">
        <w:rPr>
          <w:rStyle w:val="a9"/>
          <w:rFonts w:asciiTheme="minorBidi" w:hAnsiTheme="minorBidi"/>
          <w:rtl/>
        </w:rPr>
        <w:footnoteReference w:id="3135"/>
      </w:r>
      <w:r w:rsidRPr="005275DF">
        <w:rPr>
          <w:rFonts w:asciiTheme="minorBidi" w:hAnsiTheme="minorBidi"/>
          <w:rtl/>
        </w:rPr>
        <w:t>, דתניא: אין שורין את החלתית לא בחמין ולא בצונן, רבי יוסי אומר: בחמין- אסור, בצונן- מותר.... הכי קאמר רב שורה בצונן ומניח בחמה. כמאן דשרי</w:t>
      </w:r>
      <w:r w:rsidRPr="005275DF">
        <w:rPr>
          <w:rStyle w:val="a9"/>
          <w:rFonts w:asciiTheme="minorBidi" w:hAnsiTheme="minorBidi"/>
          <w:rtl/>
        </w:rPr>
        <w:footnoteReference w:id="3136"/>
      </w:r>
      <w:r w:rsidRPr="005275DF">
        <w:rPr>
          <w:rFonts w:asciiTheme="minorBidi" w:hAnsiTheme="minorBidi"/>
          <w:rtl/>
        </w:rPr>
        <w:t xml:space="preserve">? אפילו למאן דאסר, הני מילי היכא דלא אישתי כלל, אבל הכא כיון דאישתי חמשא ומעלי שבתא אי לא שתי בשבת מיסתכן.  </w:t>
      </w:r>
    </w:p>
    <w:p w14:paraId="79585751"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4D1AC8F8" w14:textId="77777777" w:rsidR="006A4BF8" w:rsidRPr="005275DF" w:rsidRDefault="006A4BF8" w:rsidP="00434A6A">
      <w:pPr>
        <w:rPr>
          <w:rFonts w:asciiTheme="minorBidi" w:hAnsiTheme="minorBidi"/>
          <w:rtl/>
        </w:rPr>
      </w:pPr>
      <w:r w:rsidRPr="005275DF">
        <w:rPr>
          <w:rFonts w:asciiTheme="minorBidi" w:hAnsiTheme="minorBidi"/>
          <w:rtl/>
        </w:rPr>
        <w:t>אין שורין את החלתית לא בפושרין ולא בצוננין שדרך לשרותו לרפואה אבל נותנו לתוך החומץ ומטבל בו פתו, היה שרוי מאתמול מותר (לשרותו) [לשתותו] בשבת</w:t>
      </w:r>
      <w:r w:rsidRPr="005275DF">
        <w:rPr>
          <w:rStyle w:val="a9"/>
          <w:rFonts w:asciiTheme="minorBidi" w:hAnsiTheme="minorBidi"/>
          <w:rtl/>
        </w:rPr>
        <w:footnoteReference w:id="3137"/>
      </w:r>
      <w:r w:rsidRPr="005275DF">
        <w:rPr>
          <w:rFonts w:asciiTheme="minorBidi" w:hAnsiTheme="minorBidi"/>
          <w:rtl/>
        </w:rPr>
        <w:t>. ואם שתה ממנו יום חמישי ויום ששי וצריך לשתות גם בשבת מותר שכך הוא דרך רפואתו לשתותו שלשה ימים זה אחר זה, הילכך מותר לשרותו בצונן וליתן בחמה</w:t>
      </w:r>
      <w:r w:rsidRPr="005275DF">
        <w:rPr>
          <w:rStyle w:val="a9"/>
          <w:rFonts w:asciiTheme="minorBidi" w:hAnsiTheme="minorBidi"/>
          <w:rtl/>
        </w:rPr>
        <w:footnoteReference w:id="3138"/>
      </w:r>
      <w:r w:rsidRPr="005275DF">
        <w:rPr>
          <w:rFonts w:asciiTheme="minorBidi" w:hAnsiTheme="minorBidi"/>
          <w:rtl/>
        </w:rPr>
        <w:t xml:space="preserve"> מפני שהוא סכנה אם לא ישתה ממנו. </w:t>
      </w:r>
    </w:p>
    <w:p w14:paraId="179CB1EE" w14:textId="77777777" w:rsidR="006A4BF8" w:rsidRPr="005275DF" w:rsidRDefault="006A4BF8" w:rsidP="00434A6A">
      <w:pPr>
        <w:rPr>
          <w:rFonts w:asciiTheme="minorBidi" w:hAnsiTheme="minorBidi"/>
          <w:rtl/>
        </w:rPr>
      </w:pPr>
    </w:p>
    <w:p w14:paraId="7162B726"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יט: שחיקת שום ובוסר.</w:t>
      </w:r>
    </w:p>
    <w:p w14:paraId="731915C7"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יז ע"ב: </w:t>
      </w:r>
      <w:r w:rsidRPr="005275DF">
        <w:rPr>
          <w:rFonts w:asciiTheme="minorBidi" w:hAnsiTheme="minorBidi"/>
          <w:rtl/>
        </w:rPr>
        <w:t xml:space="preserve">משנה. בית שמאי אומרים.... </w:t>
      </w:r>
      <w:r w:rsidRPr="005275DF">
        <w:rPr>
          <w:rFonts w:asciiTheme="minorBidi" w:hAnsiTheme="minorBidi"/>
          <w:sz w:val="16"/>
          <w:szCs w:val="16"/>
          <w:u w:val="double"/>
          <w:rtl/>
        </w:rPr>
        <w:t>(יח.)</w:t>
      </w:r>
      <w:r w:rsidRPr="005275DF">
        <w:rPr>
          <w:rFonts w:asciiTheme="minorBidi" w:hAnsiTheme="minorBidi"/>
          <w:sz w:val="16"/>
          <w:szCs w:val="16"/>
          <w:rtl/>
        </w:rPr>
        <w:t xml:space="preserve"> </w:t>
      </w:r>
      <w:r w:rsidRPr="005275DF">
        <w:rPr>
          <w:rFonts w:asciiTheme="minorBidi" w:hAnsiTheme="minorBidi"/>
          <w:rtl/>
        </w:rPr>
        <w:t xml:space="preserve">ושוין אלו ואלו שטוענין קורת בית הבד ועגולי הגת.    </w:t>
      </w:r>
      <w:r w:rsidRPr="005275DF">
        <w:rPr>
          <w:rFonts w:asciiTheme="minorBidi" w:hAnsiTheme="minorBidi"/>
          <w:u w:val="double"/>
          <w:rtl/>
        </w:rPr>
        <w:t>גמ'</w:t>
      </w:r>
      <w:r w:rsidRPr="005275DF">
        <w:rPr>
          <w:rFonts w:asciiTheme="minorBidi" w:hAnsiTheme="minorBidi"/>
          <w:sz w:val="16"/>
          <w:szCs w:val="16"/>
          <w:u w:val="double"/>
          <w:rtl/>
        </w:rPr>
        <w:t>(יט.)</w:t>
      </w:r>
      <w:r w:rsidRPr="005275DF">
        <w:rPr>
          <w:rFonts w:asciiTheme="minorBidi" w:hAnsiTheme="minorBidi"/>
          <w:u w:val="double"/>
          <w:rtl/>
        </w:rPr>
        <w:t>:</w:t>
      </w:r>
      <w:r w:rsidRPr="005275DF">
        <w:rPr>
          <w:rFonts w:asciiTheme="minorBidi" w:hAnsiTheme="minorBidi"/>
          <w:rtl/>
        </w:rPr>
        <w:t xml:space="preserve"> מאן תנא דכל מידי דאתי ממילא</w:t>
      </w:r>
      <w:r w:rsidRPr="005275DF">
        <w:rPr>
          <w:rStyle w:val="a9"/>
          <w:rFonts w:asciiTheme="minorBidi" w:hAnsiTheme="minorBidi"/>
          <w:rtl/>
        </w:rPr>
        <w:footnoteReference w:id="3139"/>
      </w:r>
      <w:r w:rsidRPr="005275DF">
        <w:rPr>
          <w:rFonts w:asciiTheme="minorBidi" w:hAnsiTheme="minorBidi"/>
          <w:rtl/>
        </w:rPr>
        <w:t xml:space="preserve"> שפיר דמי? </w:t>
      </w:r>
      <w:r w:rsidRPr="005275DF">
        <w:rPr>
          <w:rFonts w:asciiTheme="minorBidi" w:hAnsiTheme="minorBidi"/>
          <w:u w:val="single"/>
          <w:rtl/>
        </w:rPr>
        <w:t>אמר רבי יוסי ברבי חנינא</w:t>
      </w:r>
      <w:r w:rsidRPr="005275DF">
        <w:rPr>
          <w:rFonts w:asciiTheme="minorBidi" w:hAnsiTheme="minorBidi"/>
          <w:rtl/>
        </w:rPr>
        <w:t>: רבי ישמעאל היא. דתנן השום והבוסר</w:t>
      </w:r>
      <w:r w:rsidRPr="005275DF">
        <w:rPr>
          <w:rStyle w:val="a9"/>
          <w:rFonts w:asciiTheme="minorBidi" w:hAnsiTheme="minorBidi"/>
          <w:rtl/>
        </w:rPr>
        <w:footnoteReference w:id="3140"/>
      </w:r>
      <w:r w:rsidRPr="005275DF">
        <w:rPr>
          <w:rFonts w:asciiTheme="minorBidi" w:hAnsiTheme="minorBidi"/>
          <w:rtl/>
        </w:rPr>
        <w:t xml:space="preserve"> והמלילות</w:t>
      </w:r>
      <w:r w:rsidRPr="005275DF">
        <w:rPr>
          <w:rStyle w:val="a9"/>
          <w:rFonts w:asciiTheme="minorBidi" w:hAnsiTheme="minorBidi"/>
          <w:rtl/>
        </w:rPr>
        <w:footnoteReference w:id="3141"/>
      </w:r>
      <w:r w:rsidRPr="005275DF">
        <w:rPr>
          <w:rFonts w:asciiTheme="minorBidi" w:hAnsiTheme="minorBidi"/>
          <w:rtl/>
        </w:rPr>
        <w:t xml:space="preserve"> שרסקן מבעוד יום </w:t>
      </w:r>
      <w:r w:rsidRPr="005275DF">
        <w:rPr>
          <w:rFonts w:asciiTheme="minorBidi" w:hAnsiTheme="minorBidi"/>
          <w:u w:val="dotted"/>
          <w:rtl/>
        </w:rPr>
        <w:t>רבי ישמעאל אומר:</w:t>
      </w:r>
      <w:r w:rsidRPr="005275DF">
        <w:rPr>
          <w:rFonts w:asciiTheme="minorBidi" w:hAnsiTheme="minorBidi"/>
          <w:rtl/>
        </w:rPr>
        <w:t xml:space="preserve"> יגמור משתחשך, </w:t>
      </w:r>
      <w:r w:rsidRPr="005275DF">
        <w:rPr>
          <w:rFonts w:asciiTheme="minorBidi" w:hAnsiTheme="minorBidi"/>
          <w:u w:val="dotted"/>
          <w:rtl/>
        </w:rPr>
        <w:t>ורבי עקיבא אומר</w:t>
      </w:r>
      <w:r w:rsidRPr="005275DF">
        <w:rPr>
          <w:rFonts w:asciiTheme="minorBidi" w:hAnsiTheme="minorBidi"/>
          <w:rtl/>
        </w:rPr>
        <w:t xml:space="preserve">: לא יגמור. </w:t>
      </w:r>
      <w:r w:rsidRPr="005275DF">
        <w:rPr>
          <w:rFonts w:asciiTheme="minorBidi" w:hAnsiTheme="minorBidi"/>
          <w:u w:val="single"/>
          <w:rtl/>
        </w:rPr>
        <w:t>ורבי אלעזר אמר</w:t>
      </w:r>
      <w:r w:rsidRPr="005275DF">
        <w:rPr>
          <w:rStyle w:val="a9"/>
          <w:rFonts w:asciiTheme="minorBidi" w:hAnsiTheme="minorBidi"/>
          <w:u w:val="single"/>
          <w:rtl/>
        </w:rPr>
        <w:footnoteReference w:id="3142"/>
      </w:r>
      <w:r w:rsidRPr="005275DF">
        <w:rPr>
          <w:rFonts w:asciiTheme="minorBidi" w:hAnsiTheme="minorBidi"/>
          <w:rtl/>
        </w:rPr>
        <w:t>: רבי אלעזר היא</w:t>
      </w:r>
      <w:r w:rsidRPr="005275DF">
        <w:rPr>
          <w:rStyle w:val="a9"/>
          <w:rFonts w:asciiTheme="minorBidi" w:hAnsiTheme="minorBidi"/>
          <w:rtl/>
        </w:rPr>
        <w:footnoteReference w:id="3143"/>
      </w:r>
      <w:r w:rsidRPr="005275DF">
        <w:rPr>
          <w:rFonts w:asciiTheme="minorBidi" w:hAnsiTheme="minorBidi"/>
          <w:rtl/>
        </w:rPr>
        <w:t>. דתנן: חלות דבש</w:t>
      </w:r>
      <w:r w:rsidRPr="005275DF">
        <w:rPr>
          <w:rStyle w:val="a9"/>
          <w:rFonts w:asciiTheme="minorBidi" w:hAnsiTheme="minorBidi"/>
          <w:rtl/>
        </w:rPr>
        <w:footnoteReference w:id="3144"/>
      </w:r>
      <w:r w:rsidRPr="005275DF">
        <w:rPr>
          <w:rFonts w:asciiTheme="minorBidi" w:hAnsiTheme="minorBidi"/>
          <w:rtl/>
        </w:rPr>
        <w:t xml:space="preserve"> שריסקן</w:t>
      </w:r>
      <w:r w:rsidRPr="005275DF">
        <w:rPr>
          <w:rStyle w:val="a9"/>
          <w:rFonts w:asciiTheme="minorBidi" w:hAnsiTheme="minorBidi"/>
          <w:rtl/>
        </w:rPr>
        <w:footnoteReference w:id="3145"/>
      </w:r>
      <w:r w:rsidRPr="005275DF">
        <w:rPr>
          <w:rFonts w:asciiTheme="minorBidi" w:hAnsiTheme="minorBidi"/>
          <w:rtl/>
        </w:rPr>
        <w:t xml:space="preserve"> בערב שבת ויצאו מעצמן אסור</w:t>
      </w:r>
      <w:r w:rsidRPr="005275DF">
        <w:rPr>
          <w:rStyle w:val="a9"/>
          <w:rFonts w:asciiTheme="minorBidi" w:hAnsiTheme="minorBidi"/>
          <w:rtl/>
        </w:rPr>
        <w:footnoteReference w:id="3146"/>
      </w:r>
      <w:r w:rsidRPr="005275DF">
        <w:rPr>
          <w:rFonts w:asciiTheme="minorBidi" w:hAnsiTheme="minorBidi"/>
          <w:rtl/>
        </w:rPr>
        <w:t xml:space="preserve">, </w:t>
      </w:r>
      <w:r w:rsidRPr="005275DF">
        <w:rPr>
          <w:rFonts w:asciiTheme="minorBidi" w:hAnsiTheme="minorBidi"/>
          <w:u w:val="dotted"/>
          <w:rtl/>
        </w:rPr>
        <w:t>ורבי אלעזר</w:t>
      </w:r>
      <w:r w:rsidRPr="005275DF">
        <w:rPr>
          <w:rFonts w:asciiTheme="minorBidi" w:hAnsiTheme="minorBidi"/>
          <w:rtl/>
        </w:rPr>
        <w:t xml:space="preserve"> מתיר. ורבי יוסי בר חנינא מאי טעמא לא אמר כרבי אלעזר? אמר לך: התם הוא דמעיקרא אוכל ולבסוף אוכל, הכא</w:t>
      </w:r>
      <w:r w:rsidRPr="005275DF">
        <w:rPr>
          <w:rStyle w:val="a9"/>
          <w:rFonts w:asciiTheme="minorBidi" w:hAnsiTheme="minorBidi"/>
          <w:rtl/>
        </w:rPr>
        <w:footnoteReference w:id="3147"/>
      </w:r>
      <w:r w:rsidRPr="005275DF">
        <w:rPr>
          <w:rFonts w:asciiTheme="minorBidi" w:hAnsiTheme="minorBidi"/>
          <w:rtl/>
        </w:rPr>
        <w:t xml:space="preserve"> מעיקרא אוכל והשתא משקה...  ורבי אלעזר מאי טעמא לא אמר כרבי יוסי בר חנינא? אמר לך: לאו איתמר עלה, אמר רבה בר בר חנה</w:t>
      </w:r>
      <w:r w:rsidRPr="005275DF">
        <w:rPr>
          <w:rStyle w:val="a9"/>
          <w:rFonts w:asciiTheme="minorBidi" w:hAnsiTheme="minorBidi"/>
          <w:rtl/>
        </w:rPr>
        <w:footnoteReference w:id="3148"/>
      </w:r>
      <w:r w:rsidRPr="005275DF">
        <w:rPr>
          <w:rFonts w:asciiTheme="minorBidi" w:hAnsiTheme="minorBidi"/>
          <w:rtl/>
        </w:rPr>
        <w:t xml:space="preserve"> אמר רבי יוחנן: במחוסרין דיכה דכולי עלמא לא פליגי</w:t>
      </w:r>
      <w:r w:rsidRPr="005275DF">
        <w:rPr>
          <w:rStyle w:val="a9"/>
          <w:rFonts w:asciiTheme="minorBidi" w:hAnsiTheme="minorBidi"/>
          <w:rtl/>
        </w:rPr>
        <w:footnoteReference w:id="3149"/>
      </w:r>
      <w:r w:rsidRPr="005275DF">
        <w:rPr>
          <w:rFonts w:asciiTheme="minorBidi" w:hAnsiTheme="minorBidi"/>
          <w:rtl/>
        </w:rPr>
        <w:t>, כי פליגי במחוסרין שחיקה</w:t>
      </w:r>
      <w:r w:rsidRPr="005275DF">
        <w:rPr>
          <w:rStyle w:val="a9"/>
          <w:rFonts w:asciiTheme="minorBidi" w:hAnsiTheme="minorBidi"/>
          <w:rtl/>
        </w:rPr>
        <w:footnoteReference w:id="3150"/>
      </w:r>
      <w:r w:rsidRPr="005275DF">
        <w:rPr>
          <w:rFonts w:asciiTheme="minorBidi" w:hAnsiTheme="minorBidi"/>
          <w:rtl/>
        </w:rPr>
        <w:t xml:space="preserve">, והני נמי כמחוסרין דיכה דמו. הורה רבי יוסי בר חנינא כרבי ישמעאל. </w:t>
      </w:r>
    </w:p>
    <w:p w14:paraId="14BEBE38" w14:textId="77777777" w:rsidR="006A4BF8" w:rsidRPr="005275DF" w:rsidRDefault="006A4BF8" w:rsidP="00434A6A">
      <w:pPr>
        <w:rPr>
          <w:rFonts w:asciiTheme="minorBidi" w:hAnsiTheme="minorBidi"/>
          <w:rtl/>
        </w:rPr>
      </w:pPr>
      <w:r w:rsidRPr="005275DF">
        <w:rPr>
          <w:rFonts w:asciiTheme="minorBidi" w:hAnsiTheme="minorBidi"/>
          <w:b/>
          <w:bCs/>
          <w:rtl/>
        </w:rPr>
        <w:t xml:space="preserve">ירושלמי </w:t>
      </w:r>
      <w:r w:rsidRPr="005275DF">
        <w:rPr>
          <w:rFonts w:asciiTheme="minorBidi" w:hAnsiTheme="minorBidi"/>
          <w:b/>
          <w:bCs/>
          <w:sz w:val="16"/>
          <w:szCs w:val="16"/>
          <w:rtl/>
        </w:rPr>
        <w:t xml:space="preserve">(וילנא) </w:t>
      </w:r>
      <w:r w:rsidRPr="005275DF">
        <w:rPr>
          <w:rFonts w:asciiTheme="minorBidi" w:hAnsiTheme="minorBidi"/>
          <w:b/>
          <w:bCs/>
          <w:rtl/>
        </w:rPr>
        <w:t>שבת פ"ז ה"ב:</w:t>
      </w:r>
      <w:r w:rsidRPr="005275DF">
        <w:rPr>
          <w:rFonts w:asciiTheme="minorBidi" w:hAnsiTheme="minorBidi"/>
          <w:rtl/>
        </w:rPr>
        <w:t xml:space="preserve"> ההן דשחק תומא כד מפרך ברישייא</w:t>
      </w:r>
      <w:r w:rsidRPr="005275DF">
        <w:rPr>
          <w:rStyle w:val="a9"/>
          <w:rFonts w:asciiTheme="minorBidi" w:hAnsiTheme="minorBidi"/>
          <w:rtl/>
        </w:rPr>
        <w:footnoteReference w:id="3151"/>
      </w:r>
      <w:r w:rsidRPr="005275DF">
        <w:rPr>
          <w:rFonts w:asciiTheme="minorBidi" w:hAnsiTheme="minorBidi"/>
          <w:rtl/>
        </w:rPr>
        <w:t xml:space="preserve"> משום דש. כד מברר בקליפייתיה</w:t>
      </w:r>
      <w:r w:rsidRPr="005275DF">
        <w:rPr>
          <w:rStyle w:val="a9"/>
          <w:rFonts w:asciiTheme="minorBidi" w:hAnsiTheme="minorBidi"/>
          <w:rtl/>
        </w:rPr>
        <w:footnoteReference w:id="3152"/>
      </w:r>
      <w:r w:rsidRPr="005275DF">
        <w:rPr>
          <w:rFonts w:asciiTheme="minorBidi" w:hAnsiTheme="minorBidi"/>
          <w:rtl/>
        </w:rPr>
        <w:t xml:space="preserve"> משום בורר.</w:t>
      </w:r>
    </w:p>
    <w:p w14:paraId="16962574"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92782B9" w14:textId="77777777" w:rsidR="006A4BF8" w:rsidRPr="005275DF" w:rsidRDefault="006A4BF8" w:rsidP="00434A6A">
      <w:pPr>
        <w:rPr>
          <w:rFonts w:asciiTheme="minorBidi" w:hAnsiTheme="minorBidi"/>
          <w:rtl/>
        </w:rPr>
      </w:pPr>
      <w:r w:rsidRPr="005275DF">
        <w:rPr>
          <w:rFonts w:asciiTheme="minorBidi" w:hAnsiTheme="minorBidi"/>
          <w:rtl/>
        </w:rPr>
        <w:t>שום ובוסר ומלילות שריסקן מערב שבת אם מחוסרים דיכה אסור לגמור דיכתן בשבת, ואם אין מחוסרים אלא שחיקה מותר לגמור בשבת, לפיכך מותר לגמור שחיקת הריפות</w:t>
      </w:r>
      <w:r w:rsidRPr="005275DF">
        <w:rPr>
          <w:rStyle w:val="a9"/>
          <w:rFonts w:asciiTheme="minorBidi" w:hAnsiTheme="minorBidi"/>
          <w:rtl/>
        </w:rPr>
        <w:footnoteReference w:id="3153"/>
      </w:r>
      <w:r w:rsidRPr="005275DF">
        <w:rPr>
          <w:rFonts w:asciiTheme="minorBidi" w:hAnsiTheme="minorBidi"/>
          <w:rtl/>
        </w:rPr>
        <w:t xml:space="preserve"> בעץ פרור בקדירה בשבת אחר שמורידין אותה מעל האש</w:t>
      </w:r>
      <w:r w:rsidRPr="005275DF">
        <w:rPr>
          <w:rStyle w:val="a9"/>
          <w:rFonts w:asciiTheme="minorBidi" w:hAnsiTheme="minorBidi"/>
          <w:rtl/>
        </w:rPr>
        <w:footnoteReference w:id="3154"/>
      </w:r>
      <w:r w:rsidRPr="005275DF">
        <w:rPr>
          <w:rFonts w:asciiTheme="minorBidi" w:hAnsiTheme="minorBidi"/>
          <w:rtl/>
        </w:rPr>
        <w:t xml:space="preserve">. </w:t>
      </w:r>
      <w:r w:rsidRPr="005275DF">
        <w:rPr>
          <w:rFonts w:asciiTheme="minorBidi" w:hAnsiTheme="minorBidi"/>
          <w:sz w:val="18"/>
          <w:szCs w:val="18"/>
          <w:rtl/>
        </w:rPr>
        <w:t>הגה: ומותר להחליק האוכל בשבת ולא הוי בזה משום ממחק הואיל ואפשר לאכלו בלא זה</w:t>
      </w:r>
      <w:r w:rsidRPr="005275DF">
        <w:rPr>
          <w:rStyle w:val="a9"/>
          <w:rFonts w:asciiTheme="minorBidi" w:hAnsiTheme="minorBidi"/>
          <w:sz w:val="18"/>
          <w:szCs w:val="18"/>
          <w:rtl/>
        </w:rPr>
        <w:footnoteReference w:id="3155"/>
      </w:r>
      <w:r w:rsidRPr="005275DF">
        <w:rPr>
          <w:rFonts w:asciiTheme="minorBidi" w:hAnsiTheme="minorBidi"/>
          <w:sz w:val="18"/>
          <w:szCs w:val="18"/>
          <w:rtl/>
        </w:rPr>
        <w:t>, ומ"מ המחמיר במאכל של תפוחים וכדומה שדרכו בכך תע"ב (מרדכי). אסור  לקלוף שומים ובצלים כשקולף להניח</w:t>
      </w:r>
      <w:r w:rsidRPr="005275DF">
        <w:rPr>
          <w:rStyle w:val="a9"/>
          <w:rFonts w:asciiTheme="minorBidi" w:hAnsiTheme="minorBidi"/>
          <w:sz w:val="18"/>
          <w:szCs w:val="18"/>
          <w:rtl/>
        </w:rPr>
        <w:footnoteReference w:id="3156"/>
      </w:r>
      <w:r w:rsidRPr="005275DF">
        <w:rPr>
          <w:rFonts w:asciiTheme="minorBidi" w:hAnsiTheme="minorBidi"/>
          <w:sz w:val="18"/>
          <w:szCs w:val="18"/>
          <w:rtl/>
        </w:rPr>
        <w:t xml:space="preserve"> אבל לאכול לאלתר שרי ועי"ל סי' שיט (סמ"ג הגה"מ ב"י בשם סמ"ק תרוה"ד ורי"ו).</w:t>
      </w:r>
    </w:p>
    <w:p w14:paraId="2AD70881" w14:textId="77777777" w:rsidR="006A4BF8" w:rsidRPr="005275DF" w:rsidRDefault="006A4BF8" w:rsidP="00434A6A">
      <w:pPr>
        <w:rPr>
          <w:rFonts w:asciiTheme="minorBidi" w:hAnsiTheme="minorBidi"/>
          <w:rtl/>
        </w:rPr>
      </w:pPr>
    </w:p>
    <w:p w14:paraId="166E0625" w14:textId="77777777" w:rsidR="006A4BF8" w:rsidRPr="005275DF" w:rsidRDefault="006A4BF8" w:rsidP="00434A6A">
      <w:pPr>
        <w:rPr>
          <w:rFonts w:asciiTheme="minorBidi" w:hAnsiTheme="minorBidi"/>
          <w:rtl/>
        </w:rPr>
      </w:pPr>
    </w:p>
    <w:p w14:paraId="15EE85A5" w14:textId="77777777" w:rsidR="006A4BF8" w:rsidRPr="005275DF" w:rsidRDefault="006A4BF8" w:rsidP="00434A6A">
      <w:pPr>
        <w:rPr>
          <w:rFonts w:asciiTheme="minorBidi" w:hAnsiTheme="minorBidi"/>
          <w:rtl/>
        </w:rPr>
      </w:pPr>
    </w:p>
    <w:p w14:paraId="7A89DA5D" w14:textId="77777777" w:rsidR="006A4BF8" w:rsidRPr="005275DF" w:rsidRDefault="006A4BF8" w:rsidP="00434A6A">
      <w:pPr>
        <w:rPr>
          <w:rFonts w:asciiTheme="minorBidi" w:hAnsiTheme="minorBidi"/>
          <w:rtl/>
        </w:rPr>
      </w:pPr>
    </w:p>
    <w:p w14:paraId="158B104F" w14:textId="77777777" w:rsidR="006A4BF8" w:rsidRDefault="006A4BF8" w:rsidP="00434A6A">
      <w:pPr>
        <w:pStyle w:val="1"/>
        <w:rPr>
          <w:rFonts w:asciiTheme="minorBidi" w:hAnsiTheme="minorBidi"/>
          <w:rtl/>
        </w:rPr>
        <w:sectPr w:rsidR="006A4BF8" w:rsidSect="00BD29B1">
          <w:headerReference w:type="default" r:id="rId92"/>
          <w:footnotePr>
            <w:numRestart w:val="eachSect"/>
          </w:footnotePr>
          <w:pgSz w:w="11906" w:h="16838"/>
          <w:pgMar w:top="720" w:right="1134" w:bottom="720" w:left="1134" w:header="0" w:footer="0" w:gutter="0"/>
          <w:cols w:space="720"/>
          <w:bidi/>
          <w:rtlGutter/>
          <w:docGrid w:linePitch="360"/>
        </w:sectPr>
      </w:pPr>
    </w:p>
    <w:p w14:paraId="12FD572E" w14:textId="77777777" w:rsidR="006A4BF8" w:rsidRPr="005275DF" w:rsidRDefault="006A4BF8" w:rsidP="00434A6A">
      <w:pPr>
        <w:pStyle w:val="1"/>
        <w:rPr>
          <w:rFonts w:asciiTheme="minorBidi" w:hAnsiTheme="minorBidi"/>
          <w:rtl/>
        </w:rPr>
      </w:pPr>
      <w:r w:rsidRPr="005275DF">
        <w:rPr>
          <w:rFonts w:asciiTheme="minorBidi" w:hAnsiTheme="minorBidi"/>
          <w:rtl/>
        </w:rPr>
        <w:t xml:space="preserve">סימן שכב: דין נולד בשבת, ובו ו' סעיפים. </w:t>
      </w:r>
    </w:p>
    <w:p w14:paraId="1C064732"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א</w:t>
      </w:r>
    </w:p>
    <w:p w14:paraId="37E60795"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EBD9E5F" w14:textId="77777777" w:rsidR="006A4BF8" w:rsidRPr="005275DF" w:rsidRDefault="006A4BF8" w:rsidP="00434A6A">
      <w:pPr>
        <w:rPr>
          <w:rFonts w:asciiTheme="minorBidi" w:hAnsiTheme="minorBidi"/>
          <w:rtl/>
        </w:rPr>
      </w:pPr>
      <w:r w:rsidRPr="005275DF">
        <w:rPr>
          <w:rFonts w:asciiTheme="minorBidi" w:hAnsiTheme="minorBidi"/>
          <w:rtl/>
        </w:rPr>
        <w:t xml:space="preserve">ביצה שנולדה בשבת, אסור אפי' לטלטלה; ואפי' נתערבה באלף, כולן אסורות. ויכול לכוף עליה כלי, שלא תשבר, ובלבד שלא יגע בה. </w:t>
      </w:r>
    </w:p>
    <w:p w14:paraId="1B7161AE" w14:textId="77777777" w:rsidR="006A4BF8" w:rsidRPr="005275DF" w:rsidRDefault="006A4BF8" w:rsidP="00434A6A">
      <w:pPr>
        <w:pStyle w:val="2"/>
        <w:rPr>
          <w:rtl/>
        </w:rPr>
      </w:pPr>
      <w:r w:rsidRPr="005275DF">
        <w:rPr>
          <w:rtl/>
        </w:rPr>
        <w:t>סעיף ב</w:t>
      </w:r>
    </w:p>
    <w:p w14:paraId="67BD0868"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9F86076" w14:textId="77777777" w:rsidR="006A4BF8" w:rsidRPr="005275DF" w:rsidRDefault="006A4BF8" w:rsidP="00434A6A">
      <w:pPr>
        <w:rPr>
          <w:rFonts w:asciiTheme="minorBidi" w:hAnsiTheme="minorBidi"/>
          <w:rtl/>
        </w:rPr>
      </w:pPr>
      <w:r w:rsidRPr="005275DF">
        <w:rPr>
          <w:rFonts w:asciiTheme="minorBidi" w:hAnsiTheme="minorBidi"/>
          <w:rtl/>
        </w:rPr>
        <w:t xml:space="preserve">שבת שלאחר יום טוב, או לפניו, נולדה בזה, אסורה בזה. </w:t>
      </w:r>
    </w:p>
    <w:p w14:paraId="2899712D" w14:textId="77777777" w:rsidR="006A4BF8" w:rsidRPr="005275DF" w:rsidRDefault="006A4BF8" w:rsidP="00434A6A">
      <w:pPr>
        <w:pStyle w:val="2"/>
        <w:rPr>
          <w:rtl/>
        </w:rPr>
      </w:pPr>
      <w:r w:rsidRPr="005275DF">
        <w:rPr>
          <w:rtl/>
        </w:rPr>
        <w:t>סעיף ג</w:t>
      </w:r>
    </w:p>
    <w:p w14:paraId="21978AD0"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4DB521A2" w14:textId="77777777" w:rsidR="006A4BF8" w:rsidRPr="005275DF" w:rsidRDefault="006A4BF8" w:rsidP="00434A6A">
      <w:pPr>
        <w:rPr>
          <w:rFonts w:asciiTheme="minorBidi" w:hAnsiTheme="minorBidi"/>
          <w:rtl/>
        </w:rPr>
      </w:pPr>
      <w:r w:rsidRPr="005275DF">
        <w:rPr>
          <w:rFonts w:asciiTheme="minorBidi" w:hAnsiTheme="minorBidi"/>
          <w:rtl/>
        </w:rPr>
        <w:t xml:space="preserve">פירות שנשרו מן האילן בשבת, אסורים בו ביום ולערב מותרים מיד. </w:t>
      </w:r>
    </w:p>
    <w:p w14:paraId="38D8160C" w14:textId="77777777" w:rsidR="006A4BF8" w:rsidRPr="005275DF" w:rsidRDefault="006A4BF8" w:rsidP="00434A6A">
      <w:pPr>
        <w:pStyle w:val="2"/>
        <w:rPr>
          <w:rtl/>
        </w:rPr>
      </w:pPr>
      <w:r w:rsidRPr="005275DF">
        <w:rPr>
          <w:rtl/>
        </w:rPr>
        <w:t>סעיף ד</w:t>
      </w:r>
    </w:p>
    <w:p w14:paraId="54D2AE2A"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1705900" w14:textId="77777777" w:rsidR="006A4BF8" w:rsidRPr="005275DF" w:rsidRDefault="006A4BF8" w:rsidP="00434A6A">
      <w:pPr>
        <w:rPr>
          <w:rFonts w:asciiTheme="minorBidi" w:hAnsiTheme="minorBidi"/>
          <w:rtl/>
        </w:rPr>
      </w:pPr>
      <w:r w:rsidRPr="005275DF">
        <w:rPr>
          <w:rFonts w:asciiTheme="minorBidi" w:hAnsiTheme="minorBidi"/>
          <w:rtl/>
        </w:rPr>
        <w:t xml:space="preserve">אוכלי בהמה, אין בהם משום תיקון כלי; לפיכך מותר לקטום, אפילו בסכין, קש או תבן ולחצוץ בו שיניו;  אבל קיסם שאינו אוכל בהמה, אפילו ליטלו כדי לחצוץ בו שיניו, אסור. </w:t>
      </w:r>
    </w:p>
    <w:p w14:paraId="3E132360" w14:textId="77777777" w:rsidR="006A4BF8" w:rsidRPr="005275DF" w:rsidRDefault="006A4BF8" w:rsidP="00434A6A">
      <w:pPr>
        <w:pStyle w:val="2"/>
        <w:rPr>
          <w:rtl/>
        </w:rPr>
      </w:pPr>
      <w:r w:rsidRPr="005275DF">
        <w:rPr>
          <w:rtl/>
        </w:rPr>
        <w:t>סעיף ה</w:t>
      </w:r>
    </w:p>
    <w:p w14:paraId="7F40F390"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9CCC568" w14:textId="77777777" w:rsidR="006A4BF8" w:rsidRPr="005275DF" w:rsidRDefault="006A4BF8" w:rsidP="00434A6A">
      <w:pPr>
        <w:rPr>
          <w:rFonts w:asciiTheme="minorBidi" w:hAnsiTheme="minorBidi"/>
          <w:rtl/>
        </w:rPr>
      </w:pPr>
      <w:r w:rsidRPr="005275DF">
        <w:rPr>
          <w:rFonts w:asciiTheme="minorBidi" w:hAnsiTheme="minorBidi"/>
          <w:rtl/>
        </w:rPr>
        <w:t xml:space="preserve">מותר לטלטל עצי בשמים להריח בהם ולהניף בהם לחולה; ומוללו להריח בו, אחד קשים ואחד רכים. </w:t>
      </w:r>
    </w:p>
    <w:p w14:paraId="3FBE2EC7" w14:textId="77777777" w:rsidR="006A4BF8" w:rsidRPr="005275DF" w:rsidRDefault="006A4BF8" w:rsidP="00434A6A">
      <w:pPr>
        <w:pStyle w:val="2"/>
        <w:rPr>
          <w:rtl/>
        </w:rPr>
      </w:pPr>
      <w:r w:rsidRPr="005275DF">
        <w:rPr>
          <w:rtl/>
        </w:rPr>
        <w:t>סעיף ו</w:t>
      </w:r>
    </w:p>
    <w:p w14:paraId="7E1555D7"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38B193C" w14:textId="77777777" w:rsidR="006A4BF8" w:rsidRDefault="006A4BF8" w:rsidP="00434A6A">
      <w:pPr>
        <w:rPr>
          <w:rFonts w:asciiTheme="minorBidi" w:hAnsiTheme="minorBidi"/>
          <w:rtl/>
        </w:rPr>
      </w:pPr>
      <w:r w:rsidRPr="005275DF">
        <w:rPr>
          <w:rFonts w:asciiTheme="minorBidi" w:hAnsiTheme="minorBidi"/>
          <w:rtl/>
        </w:rPr>
        <w:t xml:space="preserve">המחלק לבני ביתו מנות בשבת, יכול להטיל גורל לומר: למי שיצא גורל פלוני יהיה חלק פלוני שלו; והוא שיהיו החלקים שוים, ואינם עושים אלא כדי להשוותם שלא להטיל קנאה ביניהם, אבל עם אחרים אסור כיון שמקפידין זה על זה יבואו לידי מדה ומשקל; אבל ליתן מנה גדולה כנגד מנה קטנה ולהטיל גורל עליהם, אפילו בבני ביתו ובחול, אסור משום קוביא. ויש אומרים דעם בניו ובני ביתו מותר להטיל גורל אפי' על מנה גדולה כנגד מנה קטנה, מפני שאין מקפידים. הגה: ואסור להטיל גורל בשבת, אפילו ע"י </w:t>
      </w:r>
      <w:r>
        <w:rPr>
          <w:rFonts w:asciiTheme="minorBidi" w:hAnsiTheme="minorBidi"/>
          <w:rtl/>
        </w:rPr>
        <w:t xml:space="preserve">גוי </w:t>
      </w:r>
      <w:r w:rsidRPr="005275DF">
        <w:rPr>
          <w:rFonts w:asciiTheme="minorBidi" w:hAnsiTheme="minorBidi"/>
          <w:rtl/>
        </w:rPr>
        <w:t>(מהרי"ל).</w:t>
      </w:r>
    </w:p>
    <w:p w14:paraId="5A53DDA6" w14:textId="77777777" w:rsidR="006A4BF8" w:rsidRDefault="006A4BF8" w:rsidP="00434A6A">
      <w:pPr>
        <w:rPr>
          <w:rFonts w:asciiTheme="minorBidi" w:hAnsiTheme="minorBidi"/>
          <w:rtl/>
        </w:rPr>
      </w:pPr>
    </w:p>
    <w:p w14:paraId="5E6B14C0" w14:textId="77777777" w:rsidR="006A4BF8" w:rsidRDefault="006A4BF8" w:rsidP="00434A6A">
      <w:pPr>
        <w:pStyle w:val="1"/>
        <w:rPr>
          <w:rtl/>
        </w:rPr>
        <w:sectPr w:rsidR="006A4BF8" w:rsidSect="00BD29B1">
          <w:headerReference w:type="default" r:id="rId93"/>
          <w:footnotePr>
            <w:numRestart w:val="eachSect"/>
          </w:footnotePr>
          <w:pgSz w:w="11906" w:h="16838"/>
          <w:pgMar w:top="720" w:right="1134" w:bottom="720" w:left="1134" w:header="0" w:footer="0" w:gutter="0"/>
          <w:cols w:space="720"/>
          <w:bidi/>
          <w:rtlGutter/>
          <w:docGrid w:linePitch="360"/>
        </w:sectPr>
      </w:pPr>
    </w:p>
    <w:p w14:paraId="4D07F5B9" w14:textId="77777777" w:rsidR="006A4BF8" w:rsidRPr="00F936FC" w:rsidRDefault="006A4BF8" w:rsidP="00434A6A">
      <w:pPr>
        <w:pStyle w:val="1"/>
        <w:rPr>
          <w:rtl/>
        </w:rPr>
      </w:pPr>
      <w:r>
        <w:rPr>
          <w:rFonts w:hint="cs"/>
          <w:rtl/>
        </w:rPr>
        <w:t xml:space="preserve">סימן שכג: </w:t>
      </w:r>
      <w:r w:rsidRPr="00F936FC">
        <w:rPr>
          <w:rFonts w:hint="cs"/>
          <w:rtl/>
        </w:rPr>
        <w:t>דיני</w:t>
      </w:r>
      <w:r w:rsidRPr="00F936FC">
        <w:rPr>
          <w:rtl/>
        </w:rPr>
        <w:t xml:space="preserve"> </w:t>
      </w:r>
      <w:r w:rsidRPr="00F936FC">
        <w:rPr>
          <w:rFonts w:hint="cs"/>
          <w:rtl/>
        </w:rPr>
        <w:t>השאלה</w:t>
      </w:r>
      <w:r w:rsidRPr="00F936FC">
        <w:rPr>
          <w:rtl/>
        </w:rPr>
        <w:t xml:space="preserve"> </w:t>
      </w:r>
      <w:r w:rsidRPr="00F936FC">
        <w:rPr>
          <w:rFonts w:hint="cs"/>
          <w:rtl/>
        </w:rPr>
        <w:t>וקנין</w:t>
      </w:r>
      <w:r w:rsidRPr="00F936FC">
        <w:rPr>
          <w:rtl/>
        </w:rPr>
        <w:t xml:space="preserve"> </w:t>
      </w:r>
      <w:r w:rsidRPr="00F936FC">
        <w:rPr>
          <w:rFonts w:hint="cs"/>
          <w:rtl/>
        </w:rPr>
        <w:t>צרכי</w:t>
      </w:r>
      <w:r w:rsidRPr="00F936FC">
        <w:rPr>
          <w:rtl/>
        </w:rPr>
        <w:t xml:space="preserve"> </w:t>
      </w:r>
      <w:r w:rsidRPr="00F936FC">
        <w:rPr>
          <w:rFonts w:hint="cs"/>
          <w:rtl/>
        </w:rPr>
        <w:t>שבת</w:t>
      </w:r>
      <w:r w:rsidRPr="00F936FC">
        <w:rPr>
          <w:rtl/>
        </w:rPr>
        <w:t xml:space="preserve"> </w:t>
      </w:r>
      <w:r w:rsidRPr="00F936FC">
        <w:rPr>
          <w:rFonts w:hint="cs"/>
          <w:rtl/>
        </w:rPr>
        <w:t>והדחת</w:t>
      </w:r>
      <w:r w:rsidRPr="00F936FC">
        <w:rPr>
          <w:rtl/>
        </w:rPr>
        <w:t xml:space="preserve"> </w:t>
      </w:r>
      <w:r w:rsidRPr="00F936FC">
        <w:rPr>
          <w:rFonts w:hint="cs"/>
          <w:rtl/>
        </w:rPr>
        <w:t>הכלים</w:t>
      </w:r>
      <w:r w:rsidRPr="00F936FC">
        <w:rPr>
          <w:rtl/>
        </w:rPr>
        <w:t xml:space="preserve"> </w:t>
      </w:r>
      <w:r w:rsidRPr="00F936FC">
        <w:rPr>
          <w:rFonts w:hint="cs"/>
          <w:rtl/>
        </w:rPr>
        <w:t>ותיקונן</w:t>
      </w:r>
      <w:r w:rsidRPr="00F936FC">
        <w:rPr>
          <w:rtl/>
        </w:rPr>
        <w:t xml:space="preserve"> </w:t>
      </w:r>
      <w:r w:rsidRPr="00F936FC">
        <w:rPr>
          <w:rFonts w:hint="cs"/>
          <w:rtl/>
        </w:rPr>
        <w:t>וטבילתן</w:t>
      </w:r>
      <w:r w:rsidRPr="00F936FC">
        <w:rPr>
          <w:rtl/>
        </w:rPr>
        <w:t xml:space="preserve"> </w:t>
      </w:r>
      <w:r w:rsidRPr="00F936FC">
        <w:rPr>
          <w:rFonts w:hint="cs"/>
          <w:rtl/>
        </w:rPr>
        <w:t>בשבת</w:t>
      </w:r>
      <w:r w:rsidRPr="00F936FC">
        <w:rPr>
          <w:rtl/>
        </w:rPr>
        <w:t xml:space="preserve">, </w:t>
      </w:r>
      <w:r w:rsidRPr="00F936FC">
        <w:rPr>
          <w:rFonts w:hint="cs"/>
          <w:rtl/>
        </w:rPr>
        <w:t>ובו</w:t>
      </w:r>
      <w:r w:rsidRPr="00F936FC">
        <w:rPr>
          <w:rtl/>
        </w:rPr>
        <w:t xml:space="preserve"> </w:t>
      </w:r>
      <w:r w:rsidRPr="00F936FC">
        <w:rPr>
          <w:rFonts w:hint="cs"/>
          <w:rtl/>
        </w:rPr>
        <w:t>י</w:t>
      </w:r>
      <w:r w:rsidRPr="00F936FC">
        <w:rPr>
          <w:rtl/>
        </w:rPr>
        <w:t xml:space="preserve">' </w:t>
      </w:r>
      <w:r w:rsidRPr="00F936FC">
        <w:rPr>
          <w:rFonts w:hint="cs"/>
          <w:rtl/>
        </w:rPr>
        <w:t>סעיפים</w:t>
      </w:r>
      <w:r w:rsidRPr="00F936FC">
        <w:rPr>
          <w:rtl/>
        </w:rPr>
        <w:t xml:space="preserve">. </w:t>
      </w:r>
    </w:p>
    <w:p w14:paraId="456A8A3B"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א</w:t>
      </w:r>
    </w:p>
    <w:p w14:paraId="2345D2FA" w14:textId="77777777" w:rsidR="006A4BF8" w:rsidRPr="00F936FC" w:rsidRDefault="006A4BF8" w:rsidP="00434A6A">
      <w:pPr>
        <w:rPr>
          <w:rFonts w:asciiTheme="minorBidi" w:hAnsiTheme="minorBidi"/>
          <w:rtl/>
        </w:rPr>
      </w:pPr>
      <w:r w:rsidRPr="00F936FC">
        <w:rPr>
          <w:rFonts w:asciiTheme="minorBidi" w:hAnsiTheme="minorBidi" w:cs="Arial" w:hint="cs"/>
          <w:rtl/>
        </w:rPr>
        <w:t>מותר</w:t>
      </w:r>
      <w:r w:rsidRPr="00F936FC">
        <w:rPr>
          <w:rFonts w:asciiTheme="minorBidi" w:hAnsiTheme="minorBidi" w:cs="Arial"/>
          <w:rtl/>
        </w:rPr>
        <w:t xml:space="preserve"> </w:t>
      </w:r>
      <w:r w:rsidRPr="00F936FC">
        <w:rPr>
          <w:rFonts w:asciiTheme="minorBidi" w:hAnsiTheme="minorBidi" w:cs="Arial" w:hint="cs"/>
          <w:rtl/>
        </w:rPr>
        <w:t>לומר</w:t>
      </w:r>
      <w:r w:rsidRPr="00F936FC">
        <w:rPr>
          <w:rFonts w:asciiTheme="minorBidi" w:hAnsiTheme="minorBidi" w:cs="Arial"/>
          <w:rtl/>
        </w:rPr>
        <w:t xml:space="preserve"> </w:t>
      </w:r>
      <w:r w:rsidRPr="00F936FC">
        <w:rPr>
          <w:rFonts w:asciiTheme="minorBidi" w:hAnsiTheme="minorBidi" w:cs="Arial" w:hint="cs"/>
          <w:rtl/>
        </w:rPr>
        <w:t>לחבירו</w:t>
      </w:r>
      <w:r w:rsidRPr="00F936FC">
        <w:rPr>
          <w:rFonts w:asciiTheme="minorBidi" w:hAnsiTheme="minorBidi" w:cs="Arial"/>
          <w:rtl/>
        </w:rPr>
        <w:t xml:space="preserve">: </w:t>
      </w:r>
      <w:r w:rsidRPr="00F936FC">
        <w:rPr>
          <w:rFonts w:asciiTheme="minorBidi" w:hAnsiTheme="minorBidi" w:cs="Arial" w:hint="cs"/>
          <w:rtl/>
        </w:rPr>
        <w:t>מלא</w:t>
      </w:r>
      <w:r w:rsidRPr="00F936FC">
        <w:rPr>
          <w:rFonts w:asciiTheme="minorBidi" w:hAnsiTheme="minorBidi" w:cs="Arial"/>
          <w:rtl/>
        </w:rPr>
        <w:t xml:space="preserve"> </w:t>
      </w:r>
      <w:r w:rsidRPr="00F936FC">
        <w:rPr>
          <w:rFonts w:asciiTheme="minorBidi" w:hAnsiTheme="minorBidi" w:cs="Arial" w:hint="cs"/>
          <w:rtl/>
        </w:rPr>
        <w:t>לי</w:t>
      </w:r>
      <w:r w:rsidRPr="00F936FC">
        <w:rPr>
          <w:rFonts w:asciiTheme="minorBidi" w:hAnsiTheme="minorBidi" w:cs="Arial"/>
          <w:rtl/>
        </w:rPr>
        <w:t xml:space="preserve"> </w:t>
      </w:r>
      <w:r w:rsidRPr="00F936FC">
        <w:rPr>
          <w:rFonts w:asciiTheme="minorBidi" w:hAnsiTheme="minorBidi" w:cs="Arial" w:hint="cs"/>
          <w:rtl/>
        </w:rPr>
        <w:t>כלי</w:t>
      </w:r>
      <w:r w:rsidRPr="00F936FC">
        <w:rPr>
          <w:rFonts w:asciiTheme="minorBidi" w:hAnsiTheme="minorBidi" w:cs="Arial"/>
          <w:rtl/>
        </w:rPr>
        <w:t xml:space="preserve"> </w:t>
      </w:r>
      <w:r w:rsidRPr="00F936FC">
        <w:rPr>
          <w:rFonts w:asciiTheme="minorBidi" w:hAnsiTheme="minorBidi" w:cs="Arial" w:hint="cs"/>
          <w:rtl/>
        </w:rPr>
        <w:t>זה</w:t>
      </w:r>
      <w:r w:rsidRPr="00F936FC">
        <w:rPr>
          <w:rFonts w:asciiTheme="minorBidi" w:hAnsiTheme="minorBidi" w:cs="Arial"/>
          <w:rtl/>
        </w:rPr>
        <w:t xml:space="preserve">, </w:t>
      </w:r>
      <w:r w:rsidRPr="00F936FC">
        <w:rPr>
          <w:rFonts w:asciiTheme="minorBidi" w:hAnsiTheme="minorBidi" w:cs="Arial" w:hint="cs"/>
          <w:rtl/>
        </w:rPr>
        <w:t>אפילו</w:t>
      </w:r>
      <w:r w:rsidRPr="00F936FC">
        <w:rPr>
          <w:rFonts w:asciiTheme="minorBidi" w:hAnsiTheme="minorBidi" w:cs="Arial"/>
          <w:rtl/>
        </w:rPr>
        <w:t xml:space="preserve"> </w:t>
      </w:r>
      <w:r w:rsidRPr="00F936FC">
        <w:rPr>
          <w:rFonts w:asciiTheme="minorBidi" w:hAnsiTheme="minorBidi" w:cs="Arial" w:hint="cs"/>
          <w:rtl/>
        </w:rPr>
        <w:t>הוא</w:t>
      </w:r>
      <w:r w:rsidRPr="00F936FC">
        <w:rPr>
          <w:rFonts w:asciiTheme="minorBidi" w:hAnsiTheme="minorBidi" w:cs="Arial"/>
          <w:rtl/>
        </w:rPr>
        <w:t xml:space="preserve"> </w:t>
      </w:r>
      <w:r w:rsidRPr="00F936FC">
        <w:rPr>
          <w:rFonts w:asciiTheme="minorBidi" w:hAnsiTheme="minorBidi" w:cs="Arial" w:hint="cs"/>
          <w:rtl/>
        </w:rPr>
        <w:t>מיוחד</w:t>
      </w:r>
      <w:r w:rsidRPr="00F936FC">
        <w:rPr>
          <w:rFonts w:asciiTheme="minorBidi" w:hAnsiTheme="minorBidi" w:cs="Arial"/>
          <w:rtl/>
        </w:rPr>
        <w:t xml:space="preserve"> </w:t>
      </w:r>
      <w:r w:rsidRPr="00F936FC">
        <w:rPr>
          <w:rFonts w:asciiTheme="minorBidi" w:hAnsiTheme="minorBidi" w:cs="Arial" w:hint="cs"/>
          <w:rtl/>
        </w:rPr>
        <w:t>למדה</w:t>
      </w:r>
      <w:r w:rsidRPr="00F936FC">
        <w:rPr>
          <w:rFonts w:asciiTheme="minorBidi" w:hAnsiTheme="minorBidi" w:cs="Arial"/>
          <w:rtl/>
        </w:rPr>
        <w:t xml:space="preserve">; </w:t>
      </w:r>
      <w:r w:rsidRPr="00F936FC">
        <w:rPr>
          <w:rFonts w:asciiTheme="minorBidi" w:hAnsiTheme="minorBidi" w:cs="Arial" w:hint="cs"/>
          <w:rtl/>
        </w:rPr>
        <w:t>וה</w:t>
      </w:r>
      <w:r w:rsidRPr="00F936FC">
        <w:rPr>
          <w:rFonts w:asciiTheme="minorBidi" w:hAnsiTheme="minorBidi" w:cs="Arial"/>
          <w:rtl/>
        </w:rPr>
        <w:t>"</w:t>
      </w:r>
      <w:r w:rsidRPr="00F936FC">
        <w:rPr>
          <w:rFonts w:asciiTheme="minorBidi" w:hAnsiTheme="minorBidi" w:cs="Arial" w:hint="cs"/>
          <w:rtl/>
        </w:rPr>
        <w:t>מ</w:t>
      </w:r>
      <w:r w:rsidRPr="00F936FC">
        <w:rPr>
          <w:rFonts w:asciiTheme="minorBidi" w:hAnsiTheme="minorBidi" w:cs="Arial"/>
          <w:rtl/>
        </w:rPr>
        <w:t xml:space="preserve"> </w:t>
      </w:r>
      <w:r w:rsidRPr="00F936FC">
        <w:rPr>
          <w:rFonts w:asciiTheme="minorBidi" w:hAnsiTheme="minorBidi" w:cs="Arial" w:hint="cs"/>
          <w:rtl/>
        </w:rPr>
        <w:t>כשנוטל</w:t>
      </w:r>
      <w:r w:rsidRPr="00F936FC">
        <w:rPr>
          <w:rFonts w:asciiTheme="minorBidi" w:hAnsiTheme="minorBidi" w:cs="Arial"/>
          <w:rtl/>
        </w:rPr>
        <w:t xml:space="preserve"> </w:t>
      </w:r>
      <w:r w:rsidRPr="00F936FC">
        <w:rPr>
          <w:rFonts w:asciiTheme="minorBidi" w:hAnsiTheme="minorBidi" w:cs="Arial" w:hint="cs"/>
          <w:rtl/>
        </w:rPr>
        <w:t>הלוקח</w:t>
      </w:r>
      <w:r w:rsidRPr="00F936FC">
        <w:rPr>
          <w:rFonts w:asciiTheme="minorBidi" w:hAnsiTheme="minorBidi" w:cs="Arial"/>
          <w:rtl/>
        </w:rPr>
        <w:t xml:space="preserve"> </w:t>
      </w:r>
      <w:r w:rsidRPr="00F936FC">
        <w:rPr>
          <w:rFonts w:asciiTheme="minorBidi" w:hAnsiTheme="minorBidi" w:cs="Arial" w:hint="cs"/>
          <w:rtl/>
        </w:rPr>
        <w:t>מדה</w:t>
      </w:r>
      <w:r w:rsidRPr="00F936FC">
        <w:rPr>
          <w:rFonts w:asciiTheme="minorBidi" w:hAnsiTheme="minorBidi" w:cs="Arial"/>
          <w:rtl/>
        </w:rPr>
        <w:t xml:space="preserve"> </w:t>
      </w:r>
      <w:r w:rsidRPr="00F936FC">
        <w:rPr>
          <w:rFonts w:asciiTheme="minorBidi" w:hAnsiTheme="minorBidi" w:cs="Arial" w:hint="cs"/>
          <w:rtl/>
        </w:rPr>
        <w:t>של</w:t>
      </w:r>
      <w:r w:rsidRPr="00F936FC">
        <w:rPr>
          <w:rFonts w:asciiTheme="minorBidi" w:hAnsiTheme="minorBidi" w:cs="Arial"/>
          <w:rtl/>
        </w:rPr>
        <w:t xml:space="preserve"> </w:t>
      </w:r>
      <w:r w:rsidRPr="00F936FC">
        <w:rPr>
          <w:rFonts w:asciiTheme="minorBidi" w:hAnsiTheme="minorBidi" w:cs="Arial" w:hint="cs"/>
          <w:rtl/>
        </w:rPr>
        <w:t>מוכר</w:t>
      </w:r>
      <w:r w:rsidRPr="00F936FC">
        <w:rPr>
          <w:rFonts w:asciiTheme="minorBidi" w:hAnsiTheme="minorBidi" w:cs="Arial"/>
          <w:rtl/>
        </w:rPr>
        <w:t xml:space="preserve"> </w:t>
      </w:r>
      <w:r w:rsidRPr="00F936FC">
        <w:rPr>
          <w:rFonts w:asciiTheme="minorBidi" w:hAnsiTheme="minorBidi" w:cs="Arial" w:hint="cs"/>
          <w:rtl/>
        </w:rPr>
        <w:t>ומוליכו</w:t>
      </w:r>
      <w:r w:rsidRPr="00F936FC">
        <w:rPr>
          <w:rFonts w:asciiTheme="minorBidi" w:hAnsiTheme="minorBidi" w:cs="Arial"/>
          <w:rtl/>
        </w:rPr>
        <w:t xml:space="preserve"> </w:t>
      </w:r>
      <w:r w:rsidRPr="00F936FC">
        <w:rPr>
          <w:rFonts w:asciiTheme="minorBidi" w:hAnsiTheme="minorBidi" w:cs="Arial" w:hint="cs"/>
          <w:rtl/>
        </w:rPr>
        <w:t>לביתו</w:t>
      </w:r>
      <w:r w:rsidRPr="00F936FC">
        <w:rPr>
          <w:rFonts w:asciiTheme="minorBidi" w:hAnsiTheme="minorBidi" w:cs="Arial"/>
          <w:rtl/>
        </w:rPr>
        <w:t xml:space="preserve">, </w:t>
      </w:r>
      <w:r w:rsidRPr="00F936FC">
        <w:rPr>
          <w:rFonts w:asciiTheme="minorBidi" w:hAnsiTheme="minorBidi" w:cs="Arial" w:hint="cs"/>
          <w:rtl/>
        </w:rPr>
        <w:t>וא</w:t>
      </w:r>
      <w:r w:rsidRPr="00F936FC">
        <w:rPr>
          <w:rFonts w:asciiTheme="minorBidi" w:hAnsiTheme="minorBidi" w:cs="Arial"/>
          <w:rtl/>
        </w:rPr>
        <w:t>"</w:t>
      </w:r>
      <w:r w:rsidRPr="00F936FC">
        <w:rPr>
          <w:rFonts w:asciiTheme="minorBidi" w:hAnsiTheme="minorBidi" w:cs="Arial" w:hint="cs"/>
          <w:rtl/>
        </w:rPr>
        <w:t>צ</w:t>
      </w:r>
      <w:r w:rsidRPr="00F936FC">
        <w:rPr>
          <w:rFonts w:asciiTheme="minorBidi" w:hAnsiTheme="minorBidi" w:cs="Arial"/>
          <w:rtl/>
        </w:rPr>
        <w:t xml:space="preserve"> </w:t>
      </w:r>
      <w:r w:rsidRPr="00F936FC">
        <w:rPr>
          <w:rFonts w:asciiTheme="minorBidi" w:hAnsiTheme="minorBidi" w:cs="Arial" w:hint="cs"/>
          <w:rtl/>
        </w:rPr>
        <w:t>לומר</w:t>
      </w:r>
      <w:r w:rsidRPr="00F936FC">
        <w:rPr>
          <w:rFonts w:asciiTheme="minorBidi" w:hAnsiTheme="minorBidi" w:cs="Arial"/>
          <w:rtl/>
        </w:rPr>
        <w:t xml:space="preserve"> </w:t>
      </w:r>
      <w:r w:rsidRPr="00F936FC">
        <w:rPr>
          <w:rFonts w:asciiTheme="minorBidi" w:hAnsiTheme="minorBidi" w:cs="Arial" w:hint="cs"/>
          <w:rtl/>
        </w:rPr>
        <w:t>אם</w:t>
      </w:r>
      <w:r w:rsidRPr="00F936FC">
        <w:rPr>
          <w:rFonts w:asciiTheme="minorBidi" w:hAnsiTheme="minorBidi" w:cs="Arial"/>
          <w:rtl/>
        </w:rPr>
        <w:t xml:space="preserve"> </w:t>
      </w:r>
      <w:r w:rsidRPr="00F936FC">
        <w:rPr>
          <w:rFonts w:asciiTheme="minorBidi" w:hAnsiTheme="minorBidi" w:cs="Arial" w:hint="cs"/>
          <w:rtl/>
        </w:rPr>
        <w:t>מביא</w:t>
      </w:r>
      <w:r w:rsidRPr="00F936FC">
        <w:rPr>
          <w:rFonts w:asciiTheme="minorBidi" w:hAnsiTheme="minorBidi" w:cs="Arial"/>
          <w:rtl/>
        </w:rPr>
        <w:t xml:space="preserve"> </w:t>
      </w:r>
      <w:r w:rsidRPr="00F936FC">
        <w:rPr>
          <w:rFonts w:asciiTheme="minorBidi" w:hAnsiTheme="minorBidi" w:cs="Arial" w:hint="cs"/>
          <w:rtl/>
        </w:rPr>
        <w:t>הלוקח</w:t>
      </w:r>
      <w:r w:rsidRPr="00F936FC">
        <w:rPr>
          <w:rFonts w:asciiTheme="minorBidi" w:hAnsiTheme="minorBidi" w:cs="Arial"/>
          <w:rtl/>
        </w:rPr>
        <w:t xml:space="preserve"> </w:t>
      </w:r>
      <w:r w:rsidRPr="00F936FC">
        <w:rPr>
          <w:rFonts w:asciiTheme="minorBidi" w:hAnsiTheme="minorBidi" w:cs="Arial" w:hint="cs"/>
          <w:rtl/>
        </w:rPr>
        <w:t>מתוך</w:t>
      </w:r>
      <w:r w:rsidRPr="00F936FC">
        <w:rPr>
          <w:rFonts w:asciiTheme="minorBidi" w:hAnsiTheme="minorBidi" w:cs="Arial"/>
          <w:rtl/>
        </w:rPr>
        <w:t xml:space="preserve"> </w:t>
      </w:r>
      <w:r w:rsidRPr="00F936FC">
        <w:rPr>
          <w:rFonts w:asciiTheme="minorBidi" w:hAnsiTheme="minorBidi" w:cs="Arial" w:hint="cs"/>
          <w:rtl/>
        </w:rPr>
        <w:t>ביתו</w:t>
      </w:r>
      <w:r w:rsidRPr="00F936FC">
        <w:rPr>
          <w:rFonts w:asciiTheme="minorBidi" w:hAnsiTheme="minorBidi" w:cs="Arial"/>
          <w:rtl/>
        </w:rPr>
        <w:t xml:space="preserve"> </w:t>
      </w:r>
      <w:r w:rsidRPr="00F936FC">
        <w:rPr>
          <w:rFonts w:asciiTheme="minorBidi" w:hAnsiTheme="minorBidi" w:cs="Arial" w:hint="cs"/>
          <w:rtl/>
        </w:rPr>
        <w:t>ואומר</w:t>
      </w:r>
      <w:r w:rsidRPr="00F936FC">
        <w:rPr>
          <w:rFonts w:asciiTheme="minorBidi" w:hAnsiTheme="minorBidi" w:cs="Arial"/>
          <w:rtl/>
        </w:rPr>
        <w:t xml:space="preserve"> </w:t>
      </w:r>
      <w:r w:rsidRPr="00F936FC">
        <w:rPr>
          <w:rFonts w:asciiTheme="minorBidi" w:hAnsiTheme="minorBidi" w:cs="Arial" w:hint="cs"/>
          <w:rtl/>
        </w:rPr>
        <w:t>לו</w:t>
      </w:r>
      <w:r w:rsidRPr="00F936FC">
        <w:rPr>
          <w:rFonts w:asciiTheme="minorBidi" w:hAnsiTheme="minorBidi" w:cs="Arial"/>
          <w:rtl/>
        </w:rPr>
        <w:t xml:space="preserve">: </w:t>
      </w:r>
      <w:r w:rsidRPr="00F936FC">
        <w:rPr>
          <w:rFonts w:asciiTheme="minorBidi" w:hAnsiTheme="minorBidi" w:cs="Arial" w:hint="cs"/>
          <w:rtl/>
        </w:rPr>
        <w:t>מלא</w:t>
      </w:r>
      <w:r w:rsidRPr="00F936FC">
        <w:rPr>
          <w:rFonts w:asciiTheme="minorBidi" w:hAnsiTheme="minorBidi" w:cs="Arial"/>
          <w:rtl/>
        </w:rPr>
        <w:t xml:space="preserve"> </w:t>
      </w:r>
      <w:r w:rsidRPr="00F936FC">
        <w:rPr>
          <w:rFonts w:asciiTheme="minorBidi" w:hAnsiTheme="minorBidi" w:cs="Arial" w:hint="cs"/>
          <w:rtl/>
        </w:rPr>
        <w:t>לי</w:t>
      </w:r>
      <w:r w:rsidRPr="00F936FC">
        <w:rPr>
          <w:rFonts w:asciiTheme="minorBidi" w:hAnsiTheme="minorBidi" w:cs="Arial"/>
          <w:rtl/>
        </w:rPr>
        <w:t xml:space="preserve"> </w:t>
      </w:r>
      <w:r w:rsidRPr="00F936FC">
        <w:rPr>
          <w:rFonts w:asciiTheme="minorBidi" w:hAnsiTheme="minorBidi" w:cs="Arial" w:hint="cs"/>
          <w:rtl/>
        </w:rPr>
        <w:t>כלי</w:t>
      </w:r>
      <w:r w:rsidRPr="00F936FC">
        <w:rPr>
          <w:rFonts w:asciiTheme="minorBidi" w:hAnsiTheme="minorBidi" w:cs="Arial"/>
          <w:rtl/>
        </w:rPr>
        <w:t xml:space="preserve"> </w:t>
      </w:r>
      <w:r w:rsidRPr="00F936FC">
        <w:rPr>
          <w:rFonts w:asciiTheme="minorBidi" w:hAnsiTheme="minorBidi" w:cs="Arial" w:hint="cs"/>
          <w:rtl/>
        </w:rPr>
        <w:t>זה</w:t>
      </w:r>
      <w:r w:rsidRPr="00F936FC">
        <w:rPr>
          <w:rFonts w:asciiTheme="minorBidi" w:hAnsiTheme="minorBidi" w:cs="Arial"/>
          <w:rtl/>
        </w:rPr>
        <w:t xml:space="preserve">, </w:t>
      </w:r>
      <w:r w:rsidRPr="00F936FC">
        <w:rPr>
          <w:rFonts w:asciiTheme="minorBidi" w:hAnsiTheme="minorBidi" w:cs="Arial" w:hint="cs"/>
          <w:rtl/>
        </w:rPr>
        <w:t>אבל</w:t>
      </w:r>
      <w:r w:rsidRPr="00F936FC">
        <w:rPr>
          <w:rFonts w:asciiTheme="minorBidi" w:hAnsiTheme="minorBidi" w:cs="Arial"/>
          <w:rtl/>
        </w:rPr>
        <w:t xml:space="preserve"> </w:t>
      </w:r>
      <w:r w:rsidRPr="00F936FC">
        <w:rPr>
          <w:rFonts w:asciiTheme="minorBidi" w:hAnsiTheme="minorBidi" w:cs="Arial" w:hint="cs"/>
          <w:rtl/>
        </w:rPr>
        <w:t>למדוד</w:t>
      </w:r>
      <w:r w:rsidRPr="00F936FC">
        <w:rPr>
          <w:rFonts w:asciiTheme="minorBidi" w:hAnsiTheme="minorBidi" w:cs="Arial"/>
          <w:rtl/>
        </w:rPr>
        <w:t xml:space="preserve"> </w:t>
      </w:r>
      <w:r w:rsidRPr="00F936FC">
        <w:rPr>
          <w:rFonts w:asciiTheme="minorBidi" w:hAnsiTheme="minorBidi" w:cs="Arial" w:hint="cs"/>
          <w:rtl/>
        </w:rPr>
        <w:t>בכלי</w:t>
      </w:r>
      <w:r w:rsidRPr="00F936FC">
        <w:rPr>
          <w:rFonts w:asciiTheme="minorBidi" w:hAnsiTheme="minorBidi" w:cs="Arial"/>
          <w:rtl/>
        </w:rPr>
        <w:t xml:space="preserve"> </w:t>
      </w:r>
      <w:r w:rsidRPr="00F936FC">
        <w:rPr>
          <w:rFonts w:asciiTheme="minorBidi" w:hAnsiTheme="minorBidi" w:cs="Arial" w:hint="cs"/>
          <w:rtl/>
        </w:rPr>
        <w:t>המיוחד</w:t>
      </w:r>
      <w:r w:rsidRPr="00F936FC">
        <w:rPr>
          <w:rFonts w:asciiTheme="minorBidi" w:hAnsiTheme="minorBidi" w:cs="Arial"/>
          <w:rtl/>
        </w:rPr>
        <w:t xml:space="preserve"> </w:t>
      </w:r>
      <w:r w:rsidRPr="00F936FC">
        <w:rPr>
          <w:rFonts w:asciiTheme="minorBidi" w:hAnsiTheme="minorBidi" w:cs="Arial" w:hint="cs"/>
          <w:rtl/>
        </w:rPr>
        <w:t>למדה</w:t>
      </w:r>
      <w:r w:rsidRPr="00F936FC">
        <w:rPr>
          <w:rFonts w:asciiTheme="minorBidi" w:hAnsiTheme="minorBidi" w:cs="Arial"/>
          <w:rtl/>
        </w:rPr>
        <w:t xml:space="preserve"> </w:t>
      </w:r>
      <w:r w:rsidRPr="00F936FC">
        <w:rPr>
          <w:rFonts w:asciiTheme="minorBidi" w:hAnsiTheme="minorBidi" w:cs="Arial" w:hint="cs"/>
          <w:rtl/>
        </w:rPr>
        <w:t>ולשפוך</w:t>
      </w:r>
      <w:r w:rsidRPr="00F936FC">
        <w:rPr>
          <w:rFonts w:asciiTheme="minorBidi" w:hAnsiTheme="minorBidi" w:cs="Arial"/>
          <w:rtl/>
        </w:rPr>
        <w:t xml:space="preserve"> </w:t>
      </w:r>
      <w:r w:rsidRPr="00F936FC">
        <w:rPr>
          <w:rFonts w:asciiTheme="minorBidi" w:hAnsiTheme="minorBidi" w:cs="Arial" w:hint="cs"/>
          <w:rtl/>
        </w:rPr>
        <w:t>לתוך</w:t>
      </w:r>
      <w:r w:rsidRPr="00F936FC">
        <w:rPr>
          <w:rFonts w:asciiTheme="minorBidi" w:hAnsiTheme="minorBidi" w:cs="Arial"/>
          <w:rtl/>
        </w:rPr>
        <w:t xml:space="preserve"> </w:t>
      </w:r>
      <w:r w:rsidRPr="00F936FC">
        <w:rPr>
          <w:rFonts w:asciiTheme="minorBidi" w:hAnsiTheme="minorBidi" w:cs="Arial" w:hint="cs"/>
          <w:rtl/>
        </w:rPr>
        <w:t>כליו</w:t>
      </w:r>
      <w:r w:rsidRPr="00F936FC">
        <w:rPr>
          <w:rFonts w:asciiTheme="minorBidi" w:hAnsiTheme="minorBidi" w:cs="Arial"/>
          <w:rtl/>
        </w:rPr>
        <w:t xml:space="preserve"> </w:t>
      </w:r>
      <w:r w:rsidRPr="00F936FC">
        <w:rPr>
          <w:rFonts w:asciiTheme="minorBidi" w:hAnsiTheme="minorBidi" w:cs="Arial" w:hint="cs"/>
          <w:rtl/>
        </w:rPr>
        <w:t>של</w:t>
      </w:r>
      <w:r w:rsidRPr="00F936FC">
        <w:rPr>
          <w:rFonts w:asciiTheme="minorBidi" w:hAnsiTheme="minorBidi" w:cs="Arial"/>
          <w:rtl/>
        </w:rPr>
        <w:t xml:space="preserve"> </w:t>
      </w:r>
      <w:r w:rsidRPr="00F936FC">
        <w:rPr>
          <w:rFonts w:asciiTheme="minorBidi" w:hAnsiTheme="minorBidi" w:cs="Arial" w:hint="cs"/>
          <w:rtl/>
        </w:rPr>
        <w:t>לוקח</w:t>
      </w:r>
      <w:r w:rsidRPr="00F936FC">
        <w:rPr>
          <w:rFonts w:asciiTheme="minorBidi" w:hAnsiTheme="minorBidi" w:cs="Arial"/>
          <w:rtl/>
        </w:rPr>
        <w:t xml:space="preserve">, </w:t>
      </w:r>
      <w:r w:rsidRPr="00F936FC">
        <w:rPr>
          <w:rFonts w:asciiTheme="minorBidi" w:hAnsiTheme="minorBidi" w:cs="Arial" w:hint="cs"/>
          <w:rtl/>
        </w:rPr>
        <w:t>אסור</w:t>
      </w:r>
      <w:r w:rsidRPr="00F936FC">
        <w:rPr>
          <w:rFonts w:asciiTheme="minorBidi" w:hAnsiTheme="minorBidi" w:cs="Arial"/>
          <w:rtl/>
        </w:rPr>
        <w:t xml:space="preserve">. </w:t>
      </w:r>
      <w:r w:rsidRPr="00F936FC">
        <w:rPr>
          <w:rFonts w:asciiTheme="minorBidi" w:hAnsiTheme="minorBidi" w:cs="Arial" w:hint="cs"/>
          <w:rtl/>
        </w:rPr>
        <w:t>הגה</w:t>
      </w:r>
      <w:r w:rsidRPr="00F936FC">
        <w:rPr>
          <w:rFonts w:asciiTheme="minorBidi" w:hAnsiTheme="minorBidi" w:cs="Arial"/>
          <w:rtl/>
        </w:rPr>
        <w:t xml:space="preserve">: </w:t>
      </w:r>
      <w:r w:rsidRPr="00F936FC">
        <w:rPr>
          <w:rFonts w:asciiTheme="minorBidi" w:hAnsiTheme="minorBidi" w:cs="Arial" w:hint="cs"/>
          <w:rtl/>
        </w:rPr>
        <w:t>ויש</w:t>
      </w:r>
      <w:r w:rsidRPr="00F936FC">
        <w:rPr>
          <w:rFonts w:asciiTheme="minorBidi" w:hAnsiTheme="minorBidi" w:cs="Arial"/>
          <w:rtl/>
        </w:rPr>
        <w:t xml:space="preserve"> </w:t>
      </w:r>
      <w:r w:rsidRPr="00F936FC">
        <w:rPr>
          <w:rFonts w:asciiTheme="minorBidi" w:hAnsiTheme="minorBidi" w:cs="Arial" w:hint="cs"/>
          <w:rtl/>
        </w:rPr>
        <w:t>מקילין</w:t>
      </w:r>
      <w:r w:rsidRPr="00F936FC">
        <w:rPr>
          <w:rFonts w:asciiTheme="minorBidi" w:hAnsiTheme="minorBidi" w:cs="Arial"/>
          <w:rtl/>
        </w:rPr>
        <w:t xml:space="preserve"> </w:t>
      </w:r>
      <w:r w:rsidRPr="00F936FC">
        <w:rPr>
          <w:rFonts w:asciiTheme="minorBidi" w:hAnsiTheme="minorBidi" w:cs="Arial" w:hint="cs"/>
          <w:rtl/>
        </w:rPr>
        <w:t>לומר</w:t>
      </w:r>
      <w:r w:rsidRPr="00F936FC">
        <w:rPr>
          <w:rFonts w:asciiTheme="minorBidi" w:hAnsiTheme="minorBidi" w:cs="Arial"/>
          <w:rtl/>
        </w:rPr>
        <w:t xml:space="preserve"> </w:t>
      </w:r>
      <w:r w:rsidRPr="00F936FC">
        <w:rPr>
          <w:rFonts w:asciiTheme="minorBidi" w:hAnsiTheme="minorBidi" w:cs="Arial" w:hint="cs"/>
          <w:rtl/>
        </w:rPr>
        <w:t>דכל</w:t>
      </w:r>
      <w:r w:rsidRPr="00F936FC">
        <w:rPr>
          <w:rFonts w:asciiTheme="minorBidi" w:hAnsiTheme="minorBidi" w:cs="Arial"/>
          <w:rtl/>
        </w:rPr>
        <w:t xml:space="preserve"> </w:t>
      </w:r>
      <w:r w:rsidRPr="00F936FC">
        <w:rPr>
          <w:rFonts w:asciiTheme="minorBidi" w:hAnsiTheme="minorBidi" w:cs="Arial" w:hint="cs"/>
          <w:rtl/>
        </w:rPr>
        <w:t>שאינו</w:t>
      </w:r>
      <w:r w:rsidRPr="00F936FC">
        <w:rPr>
          <w:rFonts w:asciiTheme="minorBidi" w:hAnsiTheme="minorBidi" w:cs="Arial"/>
          <w:rtl/>
        </w:rPr>
        <w:t xml:space="preserve"> </w:t>
      </w:r>
      <w:r w:rsidRPr="00F936FC">
        <w:rPr>
          <w:rFonts w:asciiTheme="minorBidi" w:hAnsiTheme="minorBidi" w:cs="Arial" w:hint="cs"/>
          <w:rtl/>
        </w:rPr>
        <w:t>מכוין</w:t>
      </w:r>
      <w:r w:rsidRPr="00F936FC">
        <w:rPr>
          <w:rFonts w:asciiTheme="minorBidi" w:hAnsiTheme="minorBidi" w:cs="Arial"/>
          <w:rtl/>
        </w:rPr>
        <w:t xml:space="preserve"> </w:t>
      </w:r>
      <w:r w:rsidRPr="00F936FC">
        <w:rPr>
          <w:rFonts w:asciiTheme="minorBidi" w:hAnsiTheme="minorBidi" w:cs="Arial" w:hint="cs"/>
          <w:rtl/>
        </w:rPr>
        <w:t>למדה</w:t>
      </w:r>
      <w:r w:rsidRPr="00F936FC">
        <w:rPr>
          <w:rFonts w:asciiTheme="minorBidi" w:hAnsiTheme="minorBidi" w:cs="Arial"/>
          <w:rtl/>
        </w:rPr>
        <w:t xml:space="preserve"> </w:t>
      </w:r>
      <w:r w:rsidRPr="00F936FC">
        <w:rPr>
          <w:rFonts w:asciiTheme="minorBidi" w:hAnsiTheme="minorBidi" w:cs="Arial" w:hint="cs"/>
          <w:rtl/>
        </w:rPr>
        <w:t>לגמרי</w:t>
      </w:r>
      <w:r w:rsidRPr="00F936FC">
        <w:rPr>
          <w:rFonts w:asciiTheme="minorBidi" w:hAnsiTheme="minorBidi" w:cs="Arial"/>
          <w:rtl/>
        </w:rPr>
        <w:t xml:space="preserve">, </w:t>
      </w:r>
      <w:r w:rsidRPr="00F936FC">
        <w:rPr>
          <w:rFonts w:asciiTheme="minorBidi" w:hAnsiTheme="minorBidi" w:cs="Arial" w:hint="cs"/>
          <w:rtl/>
        </w:rPr>
        <w:t>שממעט</w:t>
      </w:r>
      <w:r w:rsidRPr="00F936FC">
        <w:rPr>
          <w:rFonts w:asciiTheme="minorBidi" w:hAnsiTheme="minorBidi" w:cs="Arial"/>
          <w:rtl/>
        </w:rPr>
        <w:t xml:space="preserve"> </w:t>
      </w:r>
      <w:r w:rsidRPr="00F936FC">
        <w:rPr>
          <w:rFonts w:asciiTheme="minorBidi" w:hAnsiTheme="minorBidi" w:cs="Arial" w:hint="cs"/>
          <w:rtl/>
        </w:rPr>
        <w:t>או</w:t>
      </w:r>
      <w:r w:rsidRPr="00F936FC">
        <w:rPr>
          <w:rFonts w:asciiTheme="minorBidi" w:hAnsiTheme="minorBidi" w:cs="Arial"/>
          <w:rtl/>
        </w:rPr>
        <w:t xml:space="preserve"> </w:t>
      </w:r>
      <w:r w:rsidRPr="00F936FC">
        <w:rPr>
          <w:rFonts w:asciiTheme="minorBidi" w:hAnsiTheme="minorBidi" w:cs="Arial" w:hint="cs"/>
          <w:rtl/>
        </w:rPr>
        <w:t>מוסיף</w:t>
      </w:r>
      <w:r w:rsidRPr="00F936FC">
        <w:rPr>
          <w:rFonts w:asciiTheme="minorBidi" w:hAnsiTheme="minorBidi" w:cs="Arial"/>
          <w:rtl/>
        </w:rPr>
        <w:t xml:space="preserve"> </w:t>
      </w:r>
      <w:r w:rsidRPr="00F936FC">
        <w:rPr>
          <w:rFonts w:asciiTheme="minorBidi" w:hAnsiTheme="minorBidi" w:cs="Arial" w:hint="cs"/>
          <w:rtl/>
        </w:rPr>
        <w:t>מעט</w:t>
      </w:r>
      <w:r w:rsidRPr="00F936FC">
        <w:rPr>
          <w:rFonts w:asciiTheme="minorBidi" w:hAnsiTheme="minorBidi" w:cs="Arial"/>
          <w:rtl/>
        </w:rPr>
        <w:t xml:space="preserve">, </w:t>
      </w:r>
      <w:r w:rsidRPr="00F936FC">
        <w:rPr>
          <w:rFonts w:asciiTheme="minorBidi" w:hAnsiTheme="minorBidi" w:cs="Arial" w:hint="cs"/>
          <w:rtl/>
        </w:rPr>
        <w:t>שרי</w:t>
      </w:r>
      <w:r w:rsidRPr="00F936FC">
        <w:rPr>
          <w:rFonts w:asciiTheme="minorBidi" w:hAnsiTheme="minorBidi" w:cs="Arial"/>
          <w:rtl/>
        </w:rPr>
        <w:t xml:space="preserve"> (</w:t>
      </w:r>
      <w:r w:rsidRPr="00F936FC">
        <w:rPr>
          <w:rFonts w:asciiTheme="minorBidi" w:hAnsiTheme="minorBidi" w:cs="Arial" w:hint="cs"/>
          <w:rtl/>
        </w:rPr>
        <w:t>הגהות</w:t>
      </w:r>
      <w:r w:rsidRPr="00F936FC">
        <w:rPr>
          <w:rFonts w:asciiTheme="minorBidi" w:hAnsiTheme="minorBidi" w:cs="Arial"/>
          <w:rtl/>
        </w:rPr>
        <w:t xml:space="preserve"> </w:t>
      </w:r>
      <w:r w:rsidRPr="00F936FC">
        <w:rPr>
          <w:rFonts w:asciiTheme="minorBidi" w:hAnsiTheme="minorBidi" w:cs="Arial" w:hint="cs"/>
          <w:rtl/>
        </w:rPr>
        <w:t>אשירי</w:t>
      </w:r>
      <w:r w:rsidRPr="00F936FC">
        <w:rPr>
          <w:rFonts w:asciiTheme="minorBidi" w:hAnsiTheme="minorBidi" w:cs="Arial"/>
          <w:rtl/>
        </w:rPr>
        <w:t xml:space="preserve"> </w:t>
      </w:r>
      <w:r w:rsidRPr="00F936FC">
        <w:rPr>
          <w:rFonts w:asciiTheme="minorBidi" w:hAnsiTheme="minorBidi" w:cs="Arial" w:hint="cs"/>
          <w:rtl/>
        </w:rPr>
        <w:t>ומרדכי</w:t>
      </w:r>
      <w:r w:rsidRPr="00F936FC">
        <w:rPr>
          <w:rFonts w:asciiTheme="minorBidi" w:hAnsiTheme="minorBidi" w:cs="Arial"/>
          <w:rtl/>
        </w:rPr>
        <w:t xml:space="preserve"> </w:t>
      </w:r>
      <w:r w:rsidRPr="00F936FC">
        <w:rPr>
          <w:rFonts w:asciiTheme="minorBidi" w:hAnsiTheme="minorBidi" w:cs="Arial" w:hint="cs"/>
          <w:rtl/>
        </w:rPr>
        <w:t>פרק</w:t>
      </w:r>
      <w:r w:rsidRPr="00F936FC">
        <w:rPr>
          <w:rFonts w:asciiTheme="minorBidi" w:hAnsiTheme="minorBidi" w:cs="Arial"/>
          <w:rtl/>
        </w:rPr>
        <w:t xml:space="preserve"> </w:t>
      </w:r>
      <w:r w:rsidRPr="00F936FC">
        <w:rPr>
          <w:rFonts w:asciiTheme="minorBidi" w:hAnsiTheme="minorBidi" w:cs="Arial" w:hint="cs"/>
          <w:rtl/>
        </w:rPr>
        <w:t>אין</w:t>
      </w:r>
      <w:r w:rsidRPr="00F936FC">
        <w:rPr>
          <w:rFonts w:asciiTheme="minorBidi" w:hAnsiTheme="minorBidi" w:cs="Arial"/>
          <w:rtl/>
        </w:rPr>
        <w:t xml:space="preserve"> </w:t>
      </w:r>
      <w:r w:rsidRPr="00F936FC">
        <w:rPr>
          <w:rFonts w:asciiTheme="minorBidi" w:hAnsiTheme="minorBidi" w:cs="Arial" w:hint="cs"/>
          <w:rtl/>
        </w:rPr>
        <w:t>צדין</w:t>
      </w:r>
      <w:r w:rsidRPr="00F936FC">
        <w:rPr>
          <w:rFonts w:asciiTheme="minorBidi" w:hAnsiTheme="minorBidi" w:cs="Arial"/>
          <w:rtl/>
        </w:rPr>
        <w:t xml:space="preserve">). </w:t>
      </w:r>
      <w:r w:rsidRPr="00F936FC">
        <w:rPr>
          <w:rFonts w:asciiTheme="minorBidi" w:hAnsiTheme="minorBidi" w:cs="Arial" w:hint="cs"/>
          <w:rtl/>
        </w:rPr>
        <w:t>וכן</w:t>
      </w:r>
      <w:r w:rsidRPr="00F936FC">
        <w:rPr>
          <w:rFonts w:asciiTheme="minorBidi" w:hAnsiTheme="minorBidi" w:cs="Arial"/>
          <w:rtl/>
        </w:rPr>
        <w:t xml:space="preserve"> </w:t>
      </w:r>
      <w:r w:rsidRPr="00F936FC">
        <w:rPr>
          <w:rFonts w:asciiTheme="minorBidi" w:hAnsiTheme="minorBidi" w:cs="Arial" w:hint="cs"/>
          <w:rtl/>
        </w:rPr>
        <w:t>המנהג</w:t>
      </w:r>
      <w:r w:rsidRPr="00F936FC">
        <w:rPr>
          <w:rFonts w:asciiTheme="minorBidi" w:hAnsiTheme="minorBidi" w:cs="Arial"/>
          <w:rtl/>
        </w:rPr>
        <w:t xml:space="preserve"> </w:t>
      </w:r>
      <w:r w:rsidRPr="00F936FC">
        <w:rPr>
          <w:rFonts w:asciiTheme="minorBidi" w:hAnsiTheme="minorBidi" w:cs="Arial" w:hint="cs"/>
          <w:rtl/>
        </w:rPr>
        <w:t>פשוט</w:t>
      </w:r>
      <w:r w:rsidRPr="00F936FC">
        <w:rPr>
          <w:rFonts w:asciiTheme="minorBidi" w:hAnsiTheme="minorBidi" w:cs="Arial"/>
          <w:rtl/>
        </w:rPr>
        <w:t xml:space="preserve"> </w:t>
      </w:r>
      <w:r w:rsidRPr="00F936FC">
        <w:rPr>
          <w:rFonts w:asciiTheme="minorBidi" w:hAnsiTheme="minorBidi" w:cs="Arial" w:hint="cs"/>
          <w:rtl/>
        </w:rPr>
        <w:t>למדוד</w:t>
      </w:r>
      <w:r w:rsidRPr="00F936FC">
        <w:rPr>
          <w:rFonts w:asciiTheme="minorBidi" w:hAnsiTheme="minorBidi" w:cs="Arial"/>
          <w:rtl/>
        </w:rPr>
        <w:t xml:space="preserve"> </w:t>
      </w:r>
      <w:r w:rsidRPr="00F936FC">
        <w:rPr>
          <w:rFonts w:asciiTheme="minorBidi" w:hAnsiTheme="minorBidi" w:cs="Arial" w:hint="cs"/>
          <w:rtl/>
        </w:rPr>
        <w:t>בכלי</w:t>
      </w:r>
      <w:r w:rsidRPr="00F936FC">
        <w:rPr>
          <w:rFonts w:asciiTheme="minorBidi" w:hAnsiTheme="minorBidi" w:cs="Arial"/>
          <w:rtl/>
        </w:rPr>
        <w:t xml:space="preserve"> </w:t>
      </w:r>
      <w:r w:rsidRPr="00F936FC">
        <w:rPr>
          <w:rFonts w:asciiTheme="minorBidi" w:hAnsiTheme="minorBidi" w:cs="Arial" w:hint="cs"/>
          <w:rtl/>
        </w:rPr>
        <w:t>המיוחד</w:t>
      </w:r>
      <w:r w:rsidRPr="00F936FC">
        <w:rPr>
          <w:rFonts w:asciiTheme="minorBidi" w:hAnsiTheme="minorBidi" w:cs="Arial"/>
          <w:rtl/>
        </w:rPr>
        <w:t xml:space="preserve"> </w:t>
      </w:r>
      <w:r w:rsidRPr="00F936FC">
        <w:rPr>
          <w:rFonts w:asciiTheme="minorBidi" w:hAnsiTheme="minorBidi" w:cs="Arial" w:hint="cs"/>
          <w:rtl/>
        </w:rPr>
        <w:t>למדה</w:t>
      </w:r>
      <w:r w:rsidRPr="00F936FC">
        <w:rPr>
          <w:rFonts w:asciiTheme="minorBidi" w:hAnsiTheme="minorBidi" w:cs="Arial"/>
          <w:rtl/>
        </w:rPr>
        <w:t xml:space="preserve"> </w:t>
      </w:r>
      <w:r w:rsidRPr="00F936FC">
        <w:rPr>
          <w:rFonts w:asciiTheme="minorBidi" w:hAnsiTheme="minorBidi" w:cs="Arial" w:hint="cs"/>
          <w:rtl/>
        </w:rPr>
        <w:t>ולשפוך</w:t>
      </w:r>
      <w:r w:rsidRPr="00F936FC">
        <w:rPr>
          <w:rFonts w:asciiTheme="minorBidi" w:hAnsiTheme="minorBidi" w:cs="Arial"/>
          <w:rtl/>
        </w:rPr>
        <w:t xml:space="preserve"> </w:t>
      </w:r>
      <w:r w:rsidRPr="00F936FC">
        <w:rPr>
          <w:rFonts w:asciiTheme="minorBidi" w:hAnsiTheme="minorBidi" w:cs="Arial" w:hint="cs"/>
          <w:rtl/>
        </w:rPr>
        <w:t>לכליו</w:t>
      </w:r>
      <w:r w:rsidRPr="00F936FC">
        <w:rPr>
          <w:rFonts w:asciiTheme="minorBidi" w:hAnsiTheme="minorBidi" w:cs="Arial"/>
          <w:rtl/>
        </w:rPr>
        <w:t xml:space="preserve"> </w:t>
      </w:r>
      <w:r w:rsidRPr="00F936FC">
        <w:rPr>
          <w:rFonts w:asciiTheme="minorBidi" w:hAnsiTheme="minorBidi" w:cs="Arial" w:hint="cs"/>
          <w:rtl/>
        </w:rPr>
        <w:t>של</w:t>
      </w:r>
      <w:r w:rsidRPr="00F936FC">
        <w:rPr>
          <w:rFonts w:asciiTheme="minorBidi" w:hAnsiTheme="minorBidi" w:cs="Arial"/>
          <w:rtl/>
        </w:rPr>
        <w:t xml:space="preserve"> </w:t>
      </w:r>
      <w:r w:rsidRPr="00F936FC">
        <w:rPr>
          <w:rFonts w:asciiTheme="minorBidi" w:hAnsiTheme="minorBidi" w:cs="Arial" w:hint="cs"/>
          <w:rtl/>
        </w:rPr>
        <w:t>לוקח</w:t>
      </w:r>
      <w:r w:rsidRPr="00F936FC">
        <w:rPr>
          <w:rFonts w:asciiTheme="minorBidi" w:hAnsiTheme="minorBidi" w:cs="Arial"/>
          <w:rtl/>
        </w:rPr>
        <w:t xml:space="preserve">. </w:t>
      </w:r>
      <w:r w:rsidRPr="00F936FC">
        <w:rPr>
          <w:rFonts w:asciiTheme="minorBidi" w:hAnsiTheme="minorBidi" w:cs="Arial" w:hint="cs"/>
          <w:rtl/>
        </w:rPr>
        <w:t>ועוד</w:t>
      </w:r>
      <w:r w:rsidRPr="00F936FC">
        <w:rPr>
          <w:rFonts w:asciiTheme="minorBidi" w:hAnsiTheme="minorBidi" w:cs="Arial"/>
          <w:rtl/>
        </w:rPr>
        <w:t xml:space="preserve"> </w:t>
      </w:r>
      <w:r w:rsidRPr="00F936FC">
        <w:rPr>
          <w:rFonts w:asciiTheme="minorBidi" w:hAnsiTheme="minorBidi" w:cs="Arial" w:hint="cs"/>
          <w:rtl/>
        </w:rPr>
        <w:t>יתבאר</w:t>
      </w:r>
      <w:r w:rsidRPr="00F936FC">
        <w:rPr>
          <w:rFonts w:asciiTheme="minorBidi" w:hAnsiTheme="minorBidi" w:cs="Arial"/>
          <w:rtl/>
        </w:rPr>
        <w:t xml:space="preserve"> </w:t>
      </w:r>
      <w:r w:rsidRPr="00F936FC">
        <w:rPr>
          <w:rFonts w:asciiTheme="minorBidi" w:hAnsiTheme="minorBidi" w:cs="Arial" w:hint="cs"/>
          <w:rtl/>
        </w:rPr>
        <w:t>לך</w:t>
      </w:r>
      <w:r w:rsidRPr="00F936FC">
        <w:rPr>
          <w:rFonts w:asciiTheme="minorBidi" w:hAnsiTheme="minorBidi" w:cs="Arial"/>
          <w:rtl/>
        </w:rPr>
        <w:t xml:space="preserve"> </w:t>
      </w:r>
      <w:r w:rsidRPr="00F936FC">
        <w:rPr>
          <w:rFonts w:asciiTheme="minorBidi" w:hAnsiTheme="minorBidi" w:cs="Arial" w:hint="cs"/>
          <w:rtl/>
        </w:rPr>
        <w:t>בסמוך</w:t>
      </w:r>
      <w:r w:rsidRPr="00F936FC">
        <w:rPr>
          <w:rFonts w:asciiTheme="minorBidi" w:hAnsiTheme="minorBidi" w:cs="Arial"/>
          <w:rtl/>
        </w:rPr>
        <w:t xml:space="preserve"> </w:t>
      </w:r>
      <w:r w:rsidRPr="00F936FC">
        <w:rPr>
          <w:rFonts w:asciiTheme="minorBidi" w:hAnsiTheme="minorBidi" w:cs="Arial" w:hint="cs"/>
          <w:rtl/>
        </w:rPr>
        <w:t>טעם</w:t>
      </w:r>
      <w:r w:rsidRPr="00F936FC">
        <w:rPr>
          <w:rFonts w:asciiTheme="minorBidi" w:hAnsiTheme="minorBidi" w:cs="Arial"/>
          <w:rtl/>
        </w:rPr>
        <w:t xml:space="preserve"> </w:t>
      </w:r>
      <w:r w:rsidRPr="00F936FC">
        <w:rPr>
          <w:rFonts w:asciiTheme="minorBidi" w:hAnsiTheme="minorBidi" w:cs="Arial" w:hint="cs"/>
          <w:rtl/>
        </w:rPr>
        <w:t>המקילין</w:t>
      </w:r>
      <w:r w:rsidRPr="00F936FC">
        <w:rPr>
          <w:rFonts w:asciiTheme="minorBidi" w:hAnsiTheme="minorBidi" w:cs="Arial"/>
          <w:rtl/>
        </w:rPr>
        <w:t xml:space="preserve">. </w:t>
      </w:r>
      <w:r w:rsidRPr="00F936FC">
        <w:rPr>
          <w:rFonts w:asciiTheme="minorBidi" w:hAnsiTheme="minorBidi" w:cs="Arial" w:hint="cs"/>
          <w:rtl/>
        </w:rPr>
        <w:t>דין</w:t>
      </w:r>
      <w:r w:rsidRPr="00F936FC">
        <w:rPr>
          <w:rFonts w:asciiTheme="minorBidi" w:hAnsiTheme="minorBidi" w:cs="Arial"/>
          <w:rtl/>
        </w:rPr>
        <w:t xml:space="preserve"> </w:t>
      </w:r>
      <w:r w:rsidRPr="00F936FC">
        <w:rPr>
          <w:rFonts w:asciiTheme="minorBidi" w:hAnsiTheme="minorBidi" w:cs="Arial" w:hint="cs"/>
          <w:rtl/>
        </w:rPr>
        <w:t>הלואת</w:t>
      </w:r>
      <w:r w:rsidRPr="00F936FC">
        <w:rPr>
          <w:rFonts w:asciiTheme="minorBidi" w:hAnsiTheme="minorBidi" w:cs="Arial"/>
          <w:rtl/>
        </w:rPr>
        <w:t xml:space="preserve"> </w:t>
      </w:r>
      <w:r w:rsidRPr="00F936FC">
        <w:rPr>
          <w:rFonts w:asciiTheme="minorBidi" w:hAnsiTheme="minorBidi" w:cs="Arial" w:hint="cs"/>
          <w:rtl/>
        </w:rPr>
        <w:t>שבת</w:t>
      </w:r>
      <w:r w:rsidRPr="00F936FC">
        <w:rPr>
          <w:rFonts w:asciiTheme="minorBidi" w:hAnsiTheme="minorBidi" w:cs="Arial"/>
          <w:rtl/>
        </w:rPr>
        <w:t xml:space="preserve"> </w:t>
      </w:r>
      <w:r w:rsidRPr="00F936FC">
        <w:rPr>
          <w:rFonts w:asciiTheme="minorBidi" w:hAnsiTheme="minorBidi" w:cs="Arial" w:hint="cs"/>
          <w:rtl/>
        </w:rPr>
        <w:t>דינו</w:t>
      </w:r>
      <w:r w:rsidRPr="00F936FC">
        <w:rPr>
          <w:rFonts w:asciiTheme="minorBidi" w:hAnsiTheme="minorBidi" w:cs="Arial"/>
          <w:rtl/>
        </w:rPr>
        <w:t xml:space="preserve"> </w:t>
      </w:r>
      <w:r w:rsidRPr="00F936FC">
        <w:rPr>
          <w:rFonts w:asciiTheme="minorBidi" w:hAnsiTheme="minorBidi" w:cs="Arial" w:hint="cs"/>
          <w:rtl/>
        </w:rPr>
        <w:t>כמו</w:t>
      </w:r>
      <w:r w:rsidRPr="00F936FC">
        <w:rPr>
          <w:rFonts w:asciiTheme="minorBidi" w:hAnsiTheme="minorBidi" w:cs="Arial"/>
          <w:rtl/>
        </w:rPr>
        <w:t xml:space="preserve"> </w:t>
      </w:r>
      <w:r w:rsidRPr="00F936FC">
        <w:rPr>
          <w:rFonts w:asciiTheme="minorBidi" w:hAnsiTheme="minorBidi" w:cs="Arial" w:hint="cs"/>
          <w:rtl/>
        </w:rPr>
        <w:t>ביום</w:t>
      </w:r>
      <w:r w:rsidRPr="00F936FC">
        <w:rPr>
          <w:rFonts w:asciiTheme="minorBidi" w:hAnsiTheme="minorBidi" w:cs="Arial"/>
          <w:rtl/>
        </w:rPr>
        <w:t xml:space="preserve"> </w:t>
      </w:r>
      <w:r w:rsidRPr="00F936FC">
        <w:rPr>
          <w:rFonts w:asciiTheme="minorBidi" w:hAnsiTheme="minorBidi" w:cs="Arial" w:hint="cs"/>
          <w:rtl/>
        </w:rPr>
        <w:t>טוב</w:t>
      </w:r>
      <w:r w:rsidRPr="00F936FC">
        <w:rPr>
          <w:rFonts w:asciiTheme="minorBidi" w:hAnsiTheme="minorBidi" w:cs="Arial"/>
          <w:rtl/>
        </w:rPr>
        <w:t xml:space="preserve">, </w:t>
      </w:r>
      <w:r w:rsidRPr="00F936FC">
        <w:rPr>
          <w:rFonts w:asciiTheme="minorBidi" w:hAnsiTheme="minorBidi" w:cs="Arial" w:hint="cs"/>
          <w:rtl/>
        </w:rPr>
        <w:t>וע</w:t>
      </w:r>
      <w:r w:rsidRPr="00F936FC">
        <w:rPr>
          <w:rFonts w:asciiTheme="minorBidi" w:hAnsiTheme="minorBidi" w:cs="Arial"/>
          <w:rtl/>
        </w:rPr>
        <w:t>"</w:t>
      </w:r>
      <w:r w:rsidRPr="00F936FC">
        <w:rPr>
          <w:rFonts w:asciiTheme="minorBidi" w:hAnsiTheme="minorBidi" w:cs="Arial" w:hint="cs"/>
          <w:rtl/>
        </w:rPr>
        <w:t>ל</w:t>
      </w:r>
      <w:r w:rsidRPr="00F936FC">
        <w:rPr>
          <w:rFonts w:asciiTheme="minorBidi" w:hAnsiTheme="minorBidi" w:cs="Arial"/>
          <w:rtl/>
        </w:rPr>
        <w:t xml:space="preserve"> </w:t>
      </w:r>
      <w:r w:rsidRPr="00F936FC">
        <w:rPr>
          <w:rFonts w:asciiTheme="minorBidi" w:hAnsiTheme="minorBidi" w:cs="Arial" w:hint="cs"/>
          <w:rtl/>
        </w:rPr>
        <w:t>סי</w:t>
      </w:r>
      <w:r w:rsidRPr="00F936FC">
        <w:rPr>
          <w:rFonts w:asciiTheme="minorBidi" w:hAnsiTheme="minorBidi" w:cs="Arial"/>
          <w:rtl/>
        </w:rPr>
        <w:t xml:space="preserve">' </w:t>
      </w:r>
      <w:r w:rsidRPr="00F936FC">
        <w:rPr>
          <w:rFonts w:asciiTheme="minorBidi" w:hAnsiTheme="minorBidi" w:cs="Arial" w:hint="cs"/>
          <w:rtl/>
        </w:rPr>
        <w:t>תקל</w:t>
      </w:r>
      <w:r w:rsidRPr="00F936FC">
        <w:rPr>
          <w:rFonts w:asciiTheme="minorBidi" w:hAnsiTheme="minorBidi" w:cs="Arial"/>
          <w:rtl/>
        </w:rPr>
        <w:t>"</w:t>
      </w:r>
      <w:r w:rsidRPr="00F936FC">
        <w:rPr>
          <w:rFonts w:asciiTheme="minorBidi" w:hAnsiTheme="minorBidi" w:cs="Arial" w:hint="cs"/>
          <w:rtl/>
        </w:rPr>
        <w:t>ה</w:t>
      </w:r>
      <w:r w:rsidRPr="00F936FC">
        <w:rPr>
          <w:rFonts w:asciiTheme="minorBidi" w:hAnsiTheme="minorBidi" w:cs="Arial"/>
          <w:rtl/>
        </w:rPr>
        <w:t xml:space="preserve"> </w:t>
      </w:r>
      <w:r w:rsidRPr="00F936FC">
        <w:rPr>
          <w:rFonts w:asciiTheme="minorBidi" w:hAnsiTheme="minorBidi" w:cs="Arial" w:hint="cs"/>
          <w:rtl/>
        </w:rPr>
        <w:t>ולעיל</w:t>
      </w:r>
      <w:r w:rsidRPr="00F936FC">
        <w:rPr>
          <w:rFonts w:asciiTheme="minorBidi" w:hAnsiTheme="minorBidi" w:cs="Arial"/>
          <w:rtl/>
        </w:rPr>
        <w:t xml:space="preserve"> </w:t>
      </w:r>
      <w:r w:rsidRPr="00F936FC">
        <w:rPr>
          <w:rFonts w:asciiTheme="minorBidi" w:hAnsiTheme="minorBidi" w:cs="Arial" w:hint="cs"/>
          <w:rtl/>
        </w:rPr>
        <w:t>סי</w:t>
      </w:r>
      <w:r w:rsidRPr="00F936FC">
        <w:rPr>
          <w:rFonts w:asciiTheme="minorBidi" w:hAnsiTheme="minorBidi" w:cs="Arial"/>
          <w:rtl/>
        </w:rPr>
        <w:t xml:space="preserve">' </w:t>
      </w:r>
      <w:r w:rsidRPr="00F936FC">
        <w:rPr>
          <w:rFonts w:asciiTheme="minorBidi" w:hAnsiTheme="minorBidi" w:cs="Arial" w:hint="cs"/>
          <w:rtl/>
        </w:rPr>
        <w:t>ש</w:t>
      </w:r>
      <w:r w:rsidRPr="00F936FC">
        <w:rPr>
          <w:rFonts w:asciiTheme="minorBidi" w:hAnsiTheme="minorBidi" w:cs="Arial"/>
          <w:rtl/>
        </w:rPr>
        <w:t>"</w:t>
      </w:r>
      <w:r w:rsidRPr="00F936FC">
        <w:rPr>
          <w:rFonts w:asciiTheme="minorBidi" w:hAnsiTheme="minorBidi" w:cs="Arial" w:hint="cs"/>
          <w:rtl/>
        </w:rPr>
        <w:t>ז</w:t>
      </w:r>
      <w:r w:rsidRPr="00F936FC">
        <w:rPr>
          <w:rFonts w:asciiTheme="minorBidi" w:hAnsiTheme="minorBidi" w:cs="Arial"/>
          <w:rtl/>
        </w:rPr>
        <w:t xml:space="preserve"> </w:t>
      </w:r>
      <w:r w:rsidRPr="00F936FC">
        <w:rPr>
          <w:rFonts w:asciiTheme="minorBidi" w:hAnsiTheme="minorBidi" w:cs="Arial" w:hint="cs"/>
          <w:rtl/>
        </w:rPr>
        <w:t>סעיף</w:t>
      </w:r>
      <w:r w:rsidRPr="00F936FC">
        <w:rPr>
          <w:rFonts w:asciiTheme="minorBidi" w:hAnsiTheme="minorBidi" w:cs="Arial"/>
          <w:rtl/>
        </w:rPr>
        <w:t xml:space="preserve"> </w:t>
      </w:r>
      <w:r w:rsidRPr="00F936FC">
        <w:rPr>
          <w:rFonts w:asciiTheme="minorBidi" w:hAnsiTheme="minorBidi" w:cs="Arial" w:hint="cs"/>
          <w:rtl/>
        </w:rPr>
        <w:t>י</w:t>
      </w:r>
      <w:r w:rsidRPr="00F936FC">
        <w:rPr>
          <w:rFonts w:asciiTheme="minorBidi" w:hAnsiTheme="minorBidi" w:cs="Arial"/>
          <w:rtl/>
        </w:rPr>
        <w:t>"</w:t>
      </w:r>
      <w:r w:rsidRPr="00F936FC">
        <w:rPr>
          <w:rFonts w:asciiTheme="minorBidi" w:hAnsiTheme="minorBidi" w:cs="Arial" w:hint="cs"/>
          <w:rtl/>
        </w:rPr>
        <w:t>א</w:t>
      </w:r>
      <w:r w:rsidRPr="00F936FC">
        <w:rPr>
          <w:rFonts w:asciiTheme="minorBidi" w:hAnsiTheme="minorBidi" w:cs="Arial"/>
          <w:rtl/>
        </w:rPr>
        <w:t xml:space="preserve">. </w:t>
      </w:r>
    </w:p>
    <w:p w14:paraId="48BB769E"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ב</w:t>
      </w:r>
    </w:p>
    <w:p w14:paraId="5AC27545" w14:textId="77777777" w:rsidR="006A4BF8" w:rsidRPr="00F936FC" w:rsidRDefault="006A4BF8" w:rsidP="00434A6A">
      <w:pPr>
        <w:rPr>
          <w:rFonts w:asciiTheme="minorBidi" w:hAnsiTheme="minorBidi"/>
          <w:rtl/>
        </w:rPr>
      </w:pPr>
      <w:r w:rsidRPr="00F936FC">
        <w:rPr>
          <w:rFonts w:asciiTheme="minorBidi" w:hAnsiTheme="minorBidi" w:cs="Arial" w:hint="cs"/>
          <w:rtl/>
        </w:rPr>
        <w:t>מותר</w:t>
      </w:r>
      <w:r w:rsidRPr="00F936FC">
        <w:rPr>
          <w:rFonts w:asciiTheme="minorBidi" w:hAnsiTheme="minorBidi" w:cs="Arial"/>
          <w:rtl/>
        </w:rPr>
        <w:t xml:space="preserve"> </w:t>
      </w:r>
      <w:r w:rsidRPr="00F936FC">
        <w:rPr>
          <w:rFonts w:asciiTheme="minorBidi" w:hAnsiTheme="minorBidi" w:cs="Arial" w:hint="cs"/>
          <w:rtl/>
        </w:rPr>
        <w:t>לומר</w:t>
      </w:r>
      <w:r w:rsidRPr="00F936FC">
        <w:rPr>
          <w:rFonts w:asciiTheme="minorBidi" w:hAnsiTheme="minorBidi" w:cs="Arial"/>
          <w:rtl/>
        </w:rPr>
        <w:t xml:space="preserve"> </w:t>
      </w:r>
      <w:r w:rsidRPr="00F936FC">
        <w:rPr>
          <w:rFonts w:asciiTheme="minorBidi" w:hAnsiTheme="minorBidi" w:cs="Arial" w:hint="cs"/>
          <w:rtl/>
        </w:rPr>
        <w:t>לחבירו</w:t>
      </w:r>
      <w:r w:rsidRPr="00F936FC">
        <w:rPr>
          <w:rFonts w:asciiTheme="minorBidi" w:hAnsiTheme="minorBidi" w:cs="Arial"/>
          <w:rtl/>
        </w:rPr>
        <w:t xml:space="preserve">: </w:t>
      </w:r>
      <w:r w:rsidRPr="00F936FC">
        <w:rPr>
          <w:rFonts w:asciiTheme="minorBidi" w:hAnsiTheme="minorBidi" w:cs="Arial" w:hint="cs"/>
          <w:rtl/>
        </w:rPr>
        <w:t>מלא</w:t>
      </w:r>
      <w:r w:rsidRPr="00F936FC">
        <w:rPr>
          <w:rFonts w:asciiTheme="minorBidi" w:hAnsiTheme="minorBidi" w:cs="Arial"/>
          <w:rtl/>
        </w:rPr>
        <w:t xml:space="preserve"> </w:t>
      </w:r>
      <w:r w:rsidRPr="00F936FC">
        <w:rPr>
          <w:rFonts w:asciiTheme="minorBidi" w:hAnsiTheme="minorBidi" w:cs="Arial" w:hint="cs"/>
          <w:rtl/>
        </w:rPr>
        <w:t>לי</w:t>
      </w:r>
      <w:r w:rsidRPr="00F936FC">
        <w:rPr>
          <w:rFonts w:asciiTheme="minorBidi" w:hAnsiTheme="minorBidi" w:cs="Arial"/>
          <w:rtl/>
        </w:rPr>
        <w:t xml:space="preserve"> </w:t>
      </w:r>
      <w:r w:rsidRPr="00F936FC">
        <w:rPr>
          <w:rFonts w:asciiTheme="minorBidi" w:hAnsiTheme="minorBidi" w:cs="Arial" w:hint="cs"/>
          <w:rtl/>
        </w:rPr>
        <w:t>כלי</w:t>
      </w:r>
      <w:r w:rsidRPr="00F936FC">
        <w:rPr>
          <w:rFonts w:asciiTheme="minorBidi" w:hAnsiTheme="minorBidi" w:cs="Arial"/>
          <w:rtl/>
        </w:rPr>
        <w:t xml:space="preserve"> </w:t>
      </w:r>
      <w:r w:rsidRPr="00F936FC">
        <w:rPr>
          <w:rFonts w:asciiTheme="minorBidi" w:hAnsiTheme="minorBidi" w:cs="Arial" w:hint="cs"/>
          <w:rtl/>
        </w:rPr>
        <w:t>זה</w:t>
      </w:r>
      <w:r w:rsidRPr="00F936FC">
        <w:rPr>
          <w:rFonts w:asciiTheme="minorBidi" w:hAnsiTheme="minorBidi" w:cs="Arial"/>
          <w:rtl/>
        </w:rPr>
        <w:t xml:space="preserve"> </w:t>
      </w:r>
      <w:r w:rsidRPr="00F936FC">
        <w:rPr>
          <w:rFonts w:asciiTheme="minorBidi" w:hAnsiTheme="minorBidi" w:cs="Arial" w:hint="cs"/>
          <w:rtl/>
        </w:rPr>
        <w:t>ולמחר</w:t>
      </w:r>
      <w:r w:rsidRPr="00F936FC">
        <w:rPr>
          <w:rFonts w:asciiTheme="minorBidi" w:hAnsiTheme="minorBidi" w:cs="Arial"/>
          <w:rtl/>
        </w:rPr>
        <w:t xml:space="preserve"> </w:t>
      </w:r>
      <w:r w:rsidRPr="00F936FC">
        <w:rPr>
          <w:rFonts w:asciiTheme="minorBidi" w:hAnsiTheme="minorBidi" w:cs="Arial" w:hint="cs"/>
          <w:rtl/>
        </w:rPr>
        <w:t>נמדוד</w:t>
      </w:r>
      <w:r w:rsidRPr="00F936FC">
        <w:rPr>
          <w:rFonts w:asciiTheme="minorBidi" w:hAnsiTheme="minorBidi" w:cs="Arial"/>
          <w:rtl/>
        </w:rPr>
        <w:t xml:space="preserve"> </w:t>
      </w:r>
      <w:r w:rsidRPr="00F936FC">
        <w:rPr>
          <w:rFonts w:asciiTheme="minorBidi" w:hAnsiTheme="minorBidi" w:cs="Arial" w:hint="cs"/>
          <w:rtl/>
        </w:rPr>
        <w:t>אותו</w:t>
      </w:r>
      <w:r w:rsidRPr="00F936FC">
        <w:rPr>
          <w:rFonts w:asciiTheme="minorBidi" w:hAnsiTheme="minorBidi" w:cs="Arial"/>
          <w:rtl/>
        </w:rPr>
        <w:t>, (</w:t>
      </w:r>
      <w:r w:rsidRPr="00F936FC">
        <w:rPr>
          <w:rFonts w:asciiTheme="minorBidi" w:hAnsiTheme="minorBidi" w:cs="Arial" w:hint="cs"/>
          <w:rtl/>
        </w:rPr>
        <w:t>אבל</w:t>
      </w:r>
      <w:r w:rsidRPr="00F936FC">
        <w:rPr>
          <w:rFonts w:asciiTheme="minorBidi" w:hAnsiTheme="minorBidi" w:cs="Arial"/>
          <w:rtl/>
        </w:rPr>
        <w:t xml:space="preserve"> </w:t>
      </w:r>
      <w:r w:rsidRPr="00F936FC">
        <w:rPr>
          <w:rFonts w:asciiTheme="minorBidi" w:hAnsiTheme="minorBidi" w:cs="Arial" w:hint="cs"/>
          <w:rtl/>
        </w:rPr>
        <w:t>לא</w:t>
      </w:r>
      <w:r w:rsidRPr="00F936FC">
        <w:rPr>
          <w:rFonts w:asciiTheme="minorBidi" w:hAnsiTheme="minorBidi" w:cs="Arial"/>
          <w:rtl/>
        </w:rPr>
        <w:t xml:space="preserve"> </w:t>
      </w:r>
      <w:r w:rsidRPr="00F936FC">
        <w:rPr>
          <w:rFonts w:asciiTheme="minorBidi" w:hAnsiTheme="minorBidi" w:cs="Arial" w:hint="cs"/>
          <w:rtl/>
        </w:rPr>
        <w:t>יאמר</w:t>
      </w:r>
      <w:r w:rsidRPr="00F936FC">
        <w:rPr>
          <w:rFonts w:asciiTheme="minorBidi" w:hAnsiTheme="minorBidi" w:cs="Arial"/>
          <w:rtl/>
        </w:rPr>
        <w:t xml:space="preserve">: </w:t>
      </w:r>
      <w:r w:rsidRPr="00F936FC">
        <w:rPr>
          <w:rFonts w:asciiTheme="minorBidi" w:hAnsiTheme="minorBidi" w:cs="Arial" w:hint="cs"/>
          <w:rtl/>
        </w:rPr>
        <w:t>תן</w:t>
      </w:r>
      <w:r w:rsidRPr="00F936FC">
        <w:rPr>
          <w:rFonts w:asciiTheme="minorBidi" w:hAnsiTheme="minorBidi" w:cs="Arial"/>
          <w:rtl/>
        </w:rPr>
        <w:t xml:space="preserve"> </w:t>
      </w:r>
      <w:r w:rsidRPr="00F936FC">
        <w:rPr>
          <w:rFonts w:asciiTheme="minorBidi" w:hAnsiTheme="minorBidi" w:cs="Arial" w:hint="cs"/>
          <w:rtl/>
        </w:rPr>
        <w:t>לי</w:t>
      </w:r>
      <w:r w:rsidRPr="00F936FC">
        <w:rPr>
          <w:rFonts w:asciiTheme="minorBidi" w:hAnsiTheme="minorBidi" w:cs="Arial"/>
          <w:rtl/>
        </w:rPr>
        <w:t xml:space="preserve"> </w:t>
      </w:r>
      <w:r w:rsidRPr="00F936FC">
        <w:rPr>
          <w:rFonts w:asciiTheme="minorBidi" w:hAnsiTheme="minorBidi" w:cs="Arial" w:hint="cs"/>
          <w:rtl/>
        </w:rPr>
        <w:t>מדה</w:t>
      </w:r>
      <w:r w:rsidRPr="00F936FC">
        <w:rPr>
          <w:rFonts w:asciiTheme="minorBidi" w:hAnsiTheme="minorBidi" w:cs="Arial"/>
          <w:rtl/>
        </w:rPr>
        <w:t xml:space="preserve"> </w:t>
      </w:r>
      <w:r w:rsidRPr="00F936FC">
        <w:rPr>
          <w:rFonts w:asciiTheme="minorBidi" w:hAnsiTheme="minorBidi" w:cs="Arial" w:hint="cs"/>
          <w:rtl/>
        </w:rPr>
        <w:t>פלוני</w:t>
      </w:r>
      <w:r w:rsidRPr="00F936FC">
        <w:rPr>
          <w:rFonts w:asciiTheme="minorBidi" w:hAnsiTheme="minorBidi" w:cs="Arial"/>
          <w:rtl/>
        </w:rPr>
        <w:t>) (</w:t>
      </w:r>
      <w:r w:rsidRPr="00F936FC">
        <w:rPr>
          <w:rFonts w:asciiTheme="minorBidi" w:hAnsiTheme="minorBidi" w:cs="Arial" w:hint="cs"/>
          <w:rtl/>
        </w:rPr>
        <w:t>טור</w:t>
      </w:r>
      <w:r w:rsidRPr="00F936FC">
        <w:rPr>
          <w:rFonts w:asciiTheme="minorBidi" w:hAnsiTheme="minorBidi" w:cs="Arial"/>
          <w:rtl/>
        </w:rPr>
        <w:t xml:space="preserve">). </w:t>
      </w:r>
    </w:p>
    <w:p w14:paraId="7119CB27"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ג</w:t>
      </w:r>
    </w:p>
    <w:p w14:paraId="05939760" w14:textId="77777777" w:rsidR="006A4BF8" w:rsidRPr="00F936FC" w:rsidRDefault="006A4BF8" w:rsidP="00434A6A">
      <w:pPr>
        <w:rPr>
          <w:rFonts w:asciiTheme="minorBidi" w:hAnsiTheme="minorBidi"/>
          <w:rtl/>
        </w:rPr>
      </w:pPr>
      <w:r w:rsidRPr="00F936FC">
        <w:rPr>
          <w:rFonts w:asciiTheme="minorBidi" w:hAnsiTheme="minorBidi" w:cs="Arial" w:hint="cs"/>
          <w:rtl/>
        </w:rPr>
        <w:t>מותר</w:t>
      </w:r>
      <w:r w:rsidRPr="00F936FC">
        <w:rPr>
          <w:rFonts w:asciiTheme="minorBidi" w:hAnsiTheme="minorBidi" w:cs="Arial"/>
          <w:rtl/>
        </w:rPr>
        <w:t xml:space="preserve"> </w:t>
      </w:r>
      <w:r w:rsidRPr="00F936FC">
        <w:rPr>
          <w:rFonts w:asciiTheme="minorBidi" w:hAnsiTheme="minorBidi" w:cs="Arial" w:hint="cs"/>
          <w:rtl/>
        </w:rPr>
        <w:t>לומר</w:t>
      </w:r>
      <w:r w:rsidRPr="00F936FC">
        <w:rPr>
          <w:rFonts w:asciiTheme="minorBidi" w:hAnsiTheme="minorBidi" w:cs="Arial"/>
          <w:rtl/>
        </w:rPr>
        <w:t xml:space="preserve"> </w:t>
      </w:r>
      <w:r w:rsidRPr="00F936FC">
        <w:rPr>
          <w:rFonts w:asciiTheme="minorBidi" w:hAnsiTheme="minorBidi" w:cs="Arial" w:hint="cs"/>
          <w:rtl/>
        </w:rPr>
        <w:t>לחברו</w:t>
      </w:r>
      <w:r w:rsidRPr="00F936FC">
        <w:rPr>
          <w:rFonts w:asciiTheme="minorBidi" w:hAnsiTheme="minorBidi" w:cs="Arial"/>
          <w:rtl/>
        </w:rPr>
        <w:t xml:space="preserve">: </w:t>
      </w:r>
      <w:r w:rsidRPr="00F936FC">
        <w:rPr>
          <w:rFonts w:asciiTheme="minorBidi" w:hAnsiTheme="minorBidi" w:cs="Arial" w:hint="cs"/>
          <w:rtl/>
        </w:rPr>
        <w:t>תן</w:t>
      </w:r>
      <w:r w:rsidRPr="00F936FC">
        <w:rPr>
          <w:rFonts w:asciiTheme="minorBidi" w:hAnsiTheme="minorBidi" w:cs="Arial"/>
          <w:rtl/>
        </w:rPr>
        <w:t xml:space="preserve"> </w:t>
      </w:r>
      <w:r w:rsidRPr="00F936FC">
        <w:rPr>
          <w:rFonts w:asciiTheme="minorBidi" w:hAnsiTheme="minorBidi" w:cs="Arial" w:hint="cs"/>
          <w:rtl/>
        </w:rPr>
        <w:t>לי</w:t>
      </w:r>
      <w:r w:rsidRPr="00F936FC">
        <w:rPr>
          <w:rFonts w:asciiTheme="minorBidi" w:hAnsiTheme="minorBidi" w:cs="Arial"/>
          <w:rtl/>
        </w:rPr>
        <w:t xml:space="preserve"> </w:t>
      </w:r>
      <w:r w:rsidRPr="00F936FC">
        <w:rPr>
          <w:rFonts w:asciiTheme="minorBidi" w:hAnsiTheme="minorBidi" w:cs="Arial" w:hint="cs"/>
          <w:rtl/>
        </w:rPr>
        <w:t>ביצים</w:t>
      </w:r>
      <w:r w:rsidRPr="00F936FC">
        <w:rPr>
          <w:rFonts w:asciiTheme="minorBidi" w:hAnsiTheme="minorBidi" w:cs="Arial"/>
          <w:rtl/>
        </w:rPr>
        <w:t xml:space="preserve"> </w:t>
      </w:r>
      <w:r w:rsidRPr="00F936FC">
        <w:rPr>
          <w:rFonts w:asciiTheme="minorBidi" w:hAnsiTheme="minorBidi" w:cs="Arial" w:hint="cs"/>
          <w:rtl/>
        </w:rPr>
        <w:t>ואגוזים</w:t>
      </w:r>
      <w:r w:rsidRPr="00F936FC">
        <w:rPr>
          <w:rFonts w:asciiTheme="minorBidi" w:hAnsiTheme="minorBidi" w:cs="Arial"/>
          <w:rtl/>
        </w:rPr>
        <w:t xml:space="preserve"> </w:t>
      </w:r>
      <w:r w:rsidRPr="00F936FC">
        <w:rPr>
          <w:rFonts w:asciiTheme="minorBidi" w:hAnsiTheme="minorBidi" w:cs="Arial" w:hint="cs"/>
          <w:rtl/>
        </w:rPr>
        <w:t>במנין</w:t>
      </w:r>
      <w:r w:rsidRPr="00F936FC">
        <w:rPr>
          <w:rFonts w:asciiTheme="minorBidi" w:hAnsiTheme="minorBidi" w:cs="Arial"/>
          <w:rtl/>
        </w:rPr>
        <w:t xml:space="preserve">. </w:t>
      </w:r>
    </w:p>
    <w:p w14:paraId="0A22E943"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ד</w:t>
      </w:r>
    </w:p>
    <w:p w14:paraId="785B6955" w14:textId="77777777" w:rsidR="006A4BF8" w:rsidRPr="00F936FC" w:rsidRDefault="006A4BF8" w:rsidP="00434A6A">
      <w:pPr>
        <w:rPr>
          <w:rFonts w:asciiTheme="minorBidi" w:hAnsiTheme="minorBidi"/>
          <w:rtl/>
        </w:rPr>
      </w:pPr>
      <w:r w:rsidRPr="00F936FC">
        <w:rPr>
          <w:rFonts w:asciiTheme="minorBidi" w:hAnsiTheme="minorBidi" w:cs="Arial" w:hint="cs"/>
          <w:rtl/>
        </w:rPr>
        <w:t>מותר</w:t>
      </w:r>
      <w:r w:rsidRPr="00F936FC">
        <w:rPr>
          <w:rFonts w:asciiTheme="minorBidi" w:hAnsiTheme="minorBidi" w:cs="Arial"/>
          <w:rtl/>
        </w:rPr>
        <w:t xml:space="preserve"> </w:t>
      </w:r>
      <w:r w:rsidRPr="00F936FC">
        <w:rPr>
          <w:rFonts w:asciiTheme="minorBidi" w:hAnsiTheme="minorBidi" w:cs="Arial" w:hint="cs"/>
          <w:rtl/>
        </w:rPr>
        <w:t>לומר</w:t>
      </w:r>
      <w:r w:rsidRPr="00F936FC">
        <w:rPr>
          <w:rFonts w:asciiTheme="minorBidi" w:hAnsiTheme="minorBidi" w:cs="Arial"/>
          <w:rtl/>
        </w:rPr>
        <w:t xml:space="preserve"> </w:t>
      </w:r>
      <w:r w:rsidRPr="00F936FC">
        <w:rPr>
          <w:rFonts w:asciiTheme="minorBidi" w:hAnsiTheme="minorBidi" w:cs="Arial" w:hint="cs"/>
          <w:rtl/>
        </w:rPr>
        <w:t>לחנוני</w:t>
      </w:r>
      <w:r w:rsidRPr="00F936FC">
        <w:rPr>
          <w:rFonts w:asciiTheme="minorBidi" w:hAnsiTheme="minorBidi" w:cs="Arial"/>
          <w:rtl/>
        </w:rPr>
        <w:t xml:space="preserve">: </w:t>
      </w:r>
      <w:r w:rsidRPr="00F936FC">
        <w:rPr>
          <w:rFonts w:asciiTheme="minorBidi" w:hAnsiTheme="minorBidi" w:cs="Arial" w:hint="cs"/>
          <w:rtl/>
        </w:rPr>
        <w:t>תן</w:t>
      </w:r>
      <w:r w:rsidRPr="00F936FC">
        <w:rPr>
          <w:rFonts w:asciiTheme="minorBidi" w:hAnsiTheme="minorBidi" w:cs="Arial"/>
          <w:rtl/>
        </w:rPr>
        <w:t xml:space="preserve"> </w:t>
      </w:r>
      <w:r w:rsidRPr="00F936FC">
        <w:rPr>
          <w:rFonts w:asciiTheme="minorBidi" w:hAnsiTheme="minorBidi" w:cs="Arial" w:hint="cs"/>
          <w:rtl/>
        </w:rPr>
        <w:t>לי</w:t>
      </w:r>
      <w:r w:rsidRPr="00F936FC">
        <w:rPr>
          <w:rFonts w:asciiTheme="minorBidi" w:hAnsiTheme="minorBidi" w:cs="Arial"/>
          <w:rtl/>
        </w:rPr>
        <w:t xml:space="preserve"> </w:t>
      </w:r>
      <w:r w:rsidRPr="00F936FC">
        <w:rPr>
          <w:rFonts w:asciiTheme="minorBidi" w:hAnsiTheme="minorBidi" w:cs="Arial" w:hint="cs"/>
          <w:rtl/>
        </w:rPr>
        <w:t>ד</w:t>
      </w:r>
      <w:r w:rsidRPr="00F936FC">
        <w:rPr>
          <w:rFonts w:asciiTheme="minorBidi" w:hAnsiTheme="minorBidi" w:cs="Arial"/>
          <w:rtl/>
        </w:rPr>
        <w:t xml:space="preserve">' </w:t>
      </w:r>
      <w:r w:rsidRPr="00F936FC">
        <w:rPr>
          <w:rFonts w:asciiTheme="minorBidi" w:hAnsiTheme="minorBidi" w:cs="Arial" w:hint="cs"/>
          <w:rtl/>
        </w:rPr>
        <w:t>ביצים</w:t>
      </w:r>
      <w:r w:rsidRPr="00F936FC">
        <w:rPr>
          <w:rFonts w:asciiTheme="minorBidi" w:hAnsiTheme="minorBidi" w:cs="Arial"/>
          <w:rtl/>
        </w:rPr>
        <w:t xml:space="preserve"> </w:t>
      </w:r>
      <w:r w:rsidRPr="00F936FC">
        <w:rPr>
          <w:rFonts w:asciiTheme="minorBidi" w:hAnsiTheme="minorBidi" w:cs="Arial" w:hint="cs"/>
          <w:rtl/>
        </w:rPr>
        <w:t>וה</w:t>
      </w:r>
      <w:r w:rsidRPr="00F936FC">
        <w:rPr>
          <w:rFonts w:asciiTheme="minorBidi" w:hAnsiTheme="minorBidi" w:cs="Arial"/>
          <w:rtl/>
        </w:rPr>
        <w:t xml:space="preserve">' </w:t>
      </w:r>
      <w:r w:rsidRPr="00F936FC">
        <w:rPr>
          <w:rFonts w:asciiTheme="minorBidi" w:hAnsiTheme="minorBidi" w:cs="Arial" w:hint="cs"/>
          <w:rtl/>
        </w:rPr>
        <w:t>רמונים</w:t>
      </w:r>
      <w:r w:rsidRPr="00F936FC">
        <w:rPr>
          <w:rFonts w:asciiTheme="minorBidi" w:hAnsiTheme="minorBidi" w:cs="Arial"/>
          <w:rtl/>
        </w:rPr>
        <w:t xml:space="preserve">, </w:t>
      </w:r>
      <w:r w:rsidRPr="00F936FC">
        <w:rPr>
          <w:rFonts w:asciiTheme="minorBidi" w:hAnsiTheme="minorBidi" w:cs="Arial" w:hint="cs"/>
          <w:rtl/>
        </w:rPr>
        <w:t>ובלבד</w:t>
      </w:r>
      <w:r w:rsidRPr="00F936FC">
        <w:rPr>
          <w:rFonts w:asciiTheme="minorBidi" w:hAnsiTheme="minorBidi" w:cs="Arial"/>
          <w:rtl/>
        </w:rPr>
        <w:t xml:space="preserve"> </w:t>
      </w:r>
      <w:r w:rsidRPr="00F936FC">
        <w:rPr>
          <w:rFonts w:asciiTheme="minorBidi" w:hAnsiTheme="minorBidi" w:cs="Arial" w:hint="cs"/>
          <w:rtl/>
        </w:rPr>
        <w:t>שלא</w:t>
      </w:r>
      <w:r w:rsidRPr="00F936FC">
        <w:rPr>
          <w:rFonts w:asciiTheme="minorBidi" w:hAnsiTheme="minorBidi" w:cs="Arial"/>
          <w:rtl/>
        </w:rPr>
        <w:t xml:space="preserve"> </w:t>
      </w:r>
      <w:r w:rsidRPr="00F936FC">
        <w:rPr>
          <w:rFonts w:asciiTheme="minorBidi" w:hAnsiTheme="minorBidi" w:cs="Arial" w:hint="cs"/>
          <w:rtl/>
        </w:rPr>
        <w:t>יזכיר</w:t>
      </w:r>
      <w:r w:rsidRPr="00F936FC">
        <w:rPr>
          <w:rFonts w:asciiTheme="minorBidi" w:hAnsiTheme="minorBidi" w:cs="Arial"/>
          <w:rtl/>
        </w:rPr>
        <w:t xml:space="preserve"> </w:t>
      </w:r>
      <w:r w:rsidRPr="00F936FC">
        <w:rPr>
          <w:rFonts w:asciiTheme="minorBidi" w:hAnsiTheme="minorBidi" w:cs="Arial" w:hint="cs"/>
          <w:rtl/>
        </w:rPr>
        <w:t>לו</w:t>
      </w:r>
      <w:r w:rsidRPr="00F936FC">
        <w:rPr>
          <w:rFonts w:asciiTheme="minorBidi" w:hAnsiTheme="minorBidi" w:cs="Arial"/>
          <w:rtl/>
        </w:rPr>
        <w:t xml:space="preserve"> </w:t>
      </w:r>
      <w:r w:rsidRPr="00F936FC">
        <w:rPr>
          <w:rFonts w:asciiTheme="minorBidi" w:hAnsiTheme="minorBidi" w:cs="Arial" w:hint="cs"/>
          <w:rtl/>
        </w:rPr>
        <w:t>שם</w:t>
      </w:r>
      <w:r w:rsidRPr="00F936FC">
        <w:rPr>
          <w:rFonts w:asciiTheme="minorBidi" w:hAnsiTheme="minorBidi" w:cs="Arial"/>
          <w:rtl/>
        </w:rPr>
        <w:t xml:space="preserve"> </w:t>
      </w:r>
      <w:r w:rsidRPr="00F936FC">
        <w:rPr>
          <w:rFonts w:asciiTheme="minorBidi" w:hAnsiTheme="minorBidi" w:cs="Arial" w:hint="cs"/>
          <w:rtl/>
        </w:rPr>
        <w:t>דמים</w:t>
      </w:r>
      <w:r w:rsidRPr="00F936FC">
        <w:rPr>
          <w:rFonts w:asciiTheme="minorBidi" w:hAnsiTheme="minorBidi" w:cs="Arial"/>
          <w:rtl/>
        </w:rPr>
        <w:t xml:space="preserve"> </w:t>
      </w:r>
      <w:r w:rsidRPr="00F936FC">
        <w:rPr>
          <w:rFonts w:asciiTheme="minorBidi" w:hAnsiTheme="minorBidi" w:cs="Arial" w:hint="cs"/>
          <w:rtl/>
        </w:rPr>
        <w:t>ולא</w:t>
      </w:r>
      <w:r w:rsidRPr="00F936FC">
        <w:rPr>
          <w:rFonts w:asciiTheme="minorBidi" w:hAnsiTheme="minorBidi" w:cs="Arial"/>
          <w:rtl/>
        </w:rPr>
        <w:t xml:space="preserve"> </w:t>
      </w:r>
      <w:r w:rsidRPr="00F936FC">
        <w:rPr>
          <w:rFonts w:asciiTheme="minorBidi" w:hAnsiTheme="minorBidi" w:cs="Arial" w:hint="cs"/>
          <w:rtl/>
        </w:rPr>
        <w:t>סכום</w:t>
      </w:r>
      <w:r w:rsidRPr="00F936FC">
        <w:rPr>
          <w:rFonts w:asciiTheme="minorBidi" w:hAnsiTheme="minorBidi" w:cs="Arial"/>
          <w:rtl/>
        </w:rPr>
        <w:t xml:space="preserve"> </w:t>
      </w:r>
      <w:r w:rsidRPr="00F936FC">
        <w:rPr>
          <w:rFonts w:asciiTheme="minorBidi" w:hAnsiTheme="minorBidi" w:cs="Arial" w:hint="cs"/>
          <w:rtl/>
        </w:rPr>
        <w:t>מדה</w:t>
      </w:r>
      <w:r w:rsidRPr="00F936FC">
        <w:rPr>
          <w:rFonts w:asciiTheme="minorBidi" w:hAnsiTheme="minorBidi" w:cs="Arial"/>
          <w:rtl/>
        </w:rPr>
        <w:t xml:space="preserve"> </w:t>
      </w:r>
      <w:r w:rsidRPr="00F936FC">
        <w:rPr>
          <w:rFonts w:asciiTheme="minorBidi" w:hAnsiTheme="minorBidi" w:cs="Arial" w:hint="cs"/>
          <w:rtl/>
        </w:rPr>
        <w:t>ולא</w:t>
      </w:r>
      <w:r w:rsidRPr="00F936FC">
        <w:rPr>
          <w:rFonts w:asciiTheme="minorBidi" w:hAnsiTheme="minorBidi" w:cs="Arial"/>
          <w:rtl/>
        </w:rPr>
        <w:t xml:space="preserve"> </w:t>
      </w:r>
      <w:r w:rsidRPr="00F936FC">
        <w:rPr>
          <w:rFonts w:asciiTheme="minorBidi" w:hAnsiTheme="minorBidi" w:cs="Arial" w:hint="cs"/>
          <w:rtl/>
        </w:rPr>
        <w:t>סכום</w:t>
      </w:r>
      <w:r w:rsidRPr="00F936FC">
        <w:rPr>
          <w:rFonts w:asciiTheme="minorBidi" w:hAnsiTheme="minorBidi" w:cs="Arial"/>
          <w:rtl/>
        </w:rPr>
        <w:t xml:space="preserve"> </w:t>
      </w:r>
      <w:r w:rsidRPr="00F936FC">
        <w:rPr>
          <w:rFonts w:asciiTheme="minorBidi" w:hAnsiTheme="minorBidi" w:cs="Arial" w:hint="cs"/>
          <w:rtl/>
        </w:rPr>
        <w:t>מנין</w:t>
      </w:r>
      <w:r w:rsidRPr="00F936FC">
        <w:rPr>
          <w:rFonts w:asciiTheme="minorBidi" w:hAnsiTheme="minorBidi" w:cs="Arial"/>
          <w:rtl/>
        </w:rPr>
        <w:t xml:space="preserve">, </w:t>
      </w:r>
      <w:r w:rsidRPr="00F936FC">
        <w:rPr>
          <w:rFonts w:asciiTheme="minorBidi" w:hAnsiTheme="minorBidi" w:cs="Arial" w:hint="cs"/>
          <w:rtl/>
        </w:rPr>
        <w:t>לומר</w:t>
      </w:r>
      <w:r w:rsidRPr="00F936FC">
        <w:rPr>
          <w:rFonts w:asciiTheme="minorBidi" w:hAnsiTheme="minorBidi" w:cs="Arial"/>
          <w:rtl/>
        </w:rPr>
        <w:t xml:space="preserve">: </w:t>
      </w:r>
      <w:r w:rsidRPr="00F936FC">
        <w:rPr>
          <w:rFonts w:asciiTheme="minorBidi" w:hAnsiTheme="minorBidi" w:cs="Arial" w:hint="cs"/>
          <w:rtl/>
        </w:rPr>
        <w:t>הרי</w:t>
      </w:r>
      <w:r w:rsidRPr="00F936FC">
        <w:rPr>
          <w:rFonts w:asciiTheme="minorBidi" w:hAnsiTheme="minorBidi" w:cs="Arial"/>
          <w:rtl/>
        </w:rPr>
        <w:t xml:space="preserve"> </w:t>
      </w:r>
      <w:r w:rsidRPr="00F936FC">
        <w:rPr>
          <w:rFonts w:asciiTheme="minorBidi" w:hAnsiTheme="minorBidi" w:cs="Arial" w:hint="cs"/>
          <w:rtl/>
        </w:rPr>
        <w:t>שיש</w:t>
      </w:r>
      <w:r w:rsidRPr="00F936FC">
        <w:rPr>
          <w:rFonts w:asciiTheme="minorBidi" w:hAnsiTheme="minorBidi" w:cs="Arial"/>
          <w:rtl/>
        </w:rPr>
        <w:t xml:space="preserve"> </w:t>
      </w:r>
      <w:r w:rsidRPr="00F936FC">
        <w:rPr>
          <w:rFonts w:asciiTheme="minorBidi" w:hAnsiTheme="minorBidi" w:cs="Arial" w:hint="cs"/>
          <w:rtl/>
        </w:rPr>
        <w:t>לך</w:t>
      </w:r>
      <w:r w:rsidRPr="00F936FC">
        <w:rPr>
          <w:rFonts w:asciiTheme="minorBidi" w:hAnsiTheme="minorBidi" w:cs="Arial"/>
          <w:rtl/>
        </w:rPr>
        <w:t xml:space="preserve"> </w:t>
      </w:r>
      <w:r w:rsidRPr="00F936FC">
        <w:rPr>
          <w:rFonts w:asciiTheme="minorBidi" w:hAnsiTheme="minorBidi" w:cs="Arial" w:hint="cs"/>
          <w:rtl/>
        </w:rPr>
        <w:t>בידי</w:t>
      </w:r>
      <w:r w:rsidRPr="00F936FC">
        <w:rPr>
          <w:rFonts w:asciiTheme="minorBidi" w:hAnsiTheme="minorBidi" w:cs="Arial"/>
          <w:rtl/>
        </w:rPr>
        <w:t xml:space="preserve"> </w:t>
      </w:r>
      <w:r w:rsidRPr="00F936FC">
        <w:rPr>
          <w:rFonts w:asciiTheme="minorBidi" w:hAnsiTheme="minorBidi" w:cs="Arial" w:hint="cs"/>
          <w:rtl/>
        </w:rPr>
        <w:t>חמשים</w:t>
      </w:r>
      <w:r w:rsidRPr="00F936FC">
        <w:rPr>
          <w:rFonts w:asciiTheme="minorBidi" w:hAnsiTheme="minorBidi" w:cs="Arial"/>
          <w:rtl/>
        </w:rPr>
        <w:t xml:space="preserve"> </w:t>
      </w:r>
      <w:r w:rsidRPr="00F936FC">
        <w:rPr>
          <w:rFonts w:asciiTheme="minorBidi" w:hAnsiTheme="minorBidi" w:cs="Arial" w:hint="cs"/>
          <w:rtl/>
        </w:rPr>
        <w:t>אגוזים</w:t>
      </w:r>
      <w:r w:rsidRPr="00F936FC">
        <w:rPr>
          <w:rFonts w:asciiTheme="minorBidi" w:hAnsiTheme="minorBidi" w:cs="Arial"/>
          <w:rtl/>
        </w:rPr>
        <w:t xml:space="preserve"> </w:t>
      </w:r>
      <w:r w:rsidRPr="00F936FC">
        <w:rPr>
          <w:rFonts w:asciiTheme="minorBidi" w:hAnsiTheme="minorBidi" w:cs="Arial" w:hint="cs"/>
          <w:rtl/>
        </w:rPr>
        <w:t>תן</w:t>
      </w:r>
      <w:r w:rsidRPr="00F936FC">
        <w:rPr>
          <w:rFonts w:asciiTheme="minorBidi" w:hAnsiTheme="minorBidi" w:cs="Arial"/>
          <w:rtl/>
        </w:rPr>
        <w:t xml:space="preserve"> </w:t>
      </w:r>
      <w:r w:rsidRPr="00F936FC">
        <w:rPr>
          <w:rFonts w:asciiTheme="minorBidi" w:hAnsiTheme="minorBidi" w:cs="Arial" w:hint="cs"/>
          <w:rtl/>
        </w:rPr>
        <w:t>לי</w:t>
      </w:r>
      <w:r w:rsidRPr="00F936FC">
        <w:rPr>
          <w:rFonts w:asciiTheme="minorBidi" w:hAnsiTheme="minorBidi" w:cs="Arial"/>
          <w:rtl/>
        </w:rPr>
        <w:t xml:space="preserve"> </w:t>
      </w:r>
      <w:r w:rsidRPr="00F936FC">
        <w:rPr>
          <w:rFonts w:asciiTheme="minorBidi" w:hAnsiTheme="minorBidi" w:cs="Arial" w:hint="cs"/>
          <w:rtl/>
        </w:rPr>
        <w:t>חמשים</w:t>
      </w:r>
      <w:r w:rsidRPr="00F936FC">
        <w:rPr>
          <w:rFonts w:asciiTheme="minorBidi" w:hAnsiTheme="minorBidi" w:cs="Arial"/>
          <w:rtl/>
        </w:rPr>
        <w:t xml:space="preserve"> </w:t>
      </w:r>
      <w:r w:rsidRPr="00F936FC">
        <w:rPr>
          <w:rFonts w:asciiTheme="minorBidi" w:hAnsiTheme="minorBidi" w:cs="Arial" w:hint="cs"/>
          <w:rtl/>
        </w:rPr>
        <w:t>אחרים</w:t>
      </w:r>
      <w:r w:rsidRPr="00F936FC">
        <w:rPr>
          <w:rFonts w:asciiTheme="minorBidi" w:hAnsiTheme="minorBidi" w:cs="Arial"/>
          <w:rtl/>
        </w:rPr>
        <w:t xml:space="preserve"> </w:t>
      </w:r>
      <w:r w:rsidRPr="00F936FC">
        <w:rPr>
          <w:rFonts w:asciiTheme="minorBidi" w:hAnsiTheme="minorBidi" w:cs="Arial" w:hint="cs"/>
          <w:rtl/>
        </w:rPr>
        <w:t>והרי</w:t>
      </w:r>
      <w:r w:rsidRPr="00F936FC">
        <w:rPr>
          <w:rFonts w:asciiTheme="minorBidi" w:hAnsiTheme="minorBidi" w:cs="Arial"/>
          <w:rtl/>
        </w:rPr>
        <w:t xml:space="preserve"> </w:t>
      </w:r>
      <w:r w:rsidRPr="00F936FC">
        <w:rPr>
          <w:rFonts w:asciiTheme="minorBidi" w:hAnsiTheme="minorBidi" w:cs="Arial" w:hint="cs"/>
          <w:rtl/>
        </w:rPr>
        <w:t>יש</w:t>
      </w:r>
      <w:r w:rsidRPr="00F936FC">
        <w:rPr>
          <w:rFonts w:asciiTheme="minorBidi" w:hAnsiTheme="minorBidi" w:cs="Arial"/>
          <w:rtl/>
        </w:rPr>
        <w:t xml:space="preserve"> </w:t>
      </w:r>
      <w:r w:rsidRPr="00F936FC">
        <w:rPr>
          <w:rFonts w:asciiTheme="minorBidi" w:hAnsiTheme="minorBidi" w:cs="Arial" w:hint="cs"/>
          <w:rtl/>
        </w:rPr>
        <w:t>לך</w:t>
      </w:r>
      <w:r w:rsidRPr="00F936FC">
        <w:rPr>
          <w:rFonts w:asciiTheme="minorBidi" w:hAnsiTheme="minorBidi" w:cs="Arial"/>
          <w:rtl/>
        </w:rPr>
        <w:t xml:space="preserve"> </w:t>
      </w:r>
      <w:r w:rsidRPr="00F936FC">
        <w:rPr>
          <w:rFonts w:asciiTheme="minorBidi" w:hAnsiTheme="minorBidi" w:cs="Arial" w:hint="cs"/>
          <w:rtl/>
        </w:rPr>
        <w:t>בידי</w:t>
      </w:r>
      <w:r w:rsidRPr="00F936FC">
        <w:rPr>
          <w:rFonts w:asciiTheme="minorBidi" w:hAnsiTheme="minorBidi" w:cs="Arial"/>
          <w:rtl/>
        </w:rPr>
        <w:t xml:space="preserve"> </w:t>
      </w:r>
      <w:r w:rsidRPr="00F936FC">
        <w:rPr>
          <w:rFonts w:asciiTheme="minorBidi" w:hAnsiTheme="minorBidi" w:cs="Arial" w:hint="cs"/>
          <w:rtl/>
        </w:rPr>
        <w:t>מאה</w:t>
      </w:r>
      <w:r w:rsidRPr="00F936FC">
        <w:rPr>
          <w:rFonts w:asciiTheme="minorBidi" w:hAnsiTheme="minorBidi" w:cs="Arial"/>
          <w:rtl/>
        </w:rPr>
        <w:t xml:space="preserve">. </w:t>
      </w:r>
      <w:r w:rsidRPr="00F936FC">
        <w:rPr>
          <w:rFonts w:asciiTheme="minorBidi" w:hAnsiTheme="minorBidi" w:cs="Arial" w:hint="cs"/>
          <w:rtl/>
        </w:rPr>
        <w:t>הגה</w:t>
      </w:r>
      <w:r w:rsidRPr="00F936FC">
        <w:rPr>
          <w:rFonts w:asciiTheme="minorBidi" w:hAnsiTheme="minorBidi" w:cs="Arial"/>
          <w:rtl/>
        </w:rPr>
        <w:t xml:space="preserve">: </w:t>
      </w:r>
      <w:r w:rsidRPr="00F936FC">
        <w:rPr>
          <w:rFonts w:asciiTheme="minorBidi" w:hAnsiTheme="minorBidi" w:cs="Arial" w:hint="cs"/>
          <w:rtl/>
        </w:rPr>
        <w:t>וכן</w:t>
      </w:r>
      <w:r w:rsidRPr="00F936FC">
        <w:rPr>
          <w:rFonts w:asciiTheme="minorBidi" w:hAnsiTheme="minorBidi" w:cs="Arial"/>
          <w:rtl/>
        </w:rPr>
        <w:t xml:space="preserve"> </w:t>
      </w:r>
      <w:r w:rsidRPr="00F936FC">
        <w:rPr>
          <w:rFonts w:asciiTheme="minorBidi" w:hAnsiTheme="minorBidi" w:cs="Arial" w:hint="cs"/>
          <w:rtl/>
        </w:rPr>
        <w:t>בסכום</w:t>
      </w:r>
      <w:r w:rsidRPr="00F936FC">
        <w:rPr>
          <w:rFonts w:asciiTheme="minorBidi" w:hAnsiTheme="minorBidi" w:cs="Arial"/>
          <w:rtl/>
        </w:rPr>
        <w:t xml:space="preserve"> </w:t>
      </w:r>
      <w:r w:rsidRPr="00F936FC">
        <w:rPr>
          <w:rFonts w:asciiTheme="minorBidi" w:hAnsiTheme="minorBidi" w:cs="Arial" w:hint="cs"/>
          <w:rtl/>
        </w:rPr>
        <w:t>דמים</w:t>
      </w:r>
      <w:r w:rsidRPr="00F936FC">
        <w:rPr>
          <w:rFonts w:asciiTheme="minorBidi" w:hAnsiTheme="minorBidi" w:cs="Arial"/>
          <w:rtl/>
        </w:rPr>
        <w:t xml:space="preserve"> </w:t>
      </w:r>
      <w:r w:rsidRPr="00F936FC">
        <w:rPr>
          <w:rFonts w:asciiTheme="minorBidi" w:hAnsiTheme="minorBidi" w:cs="Arial" w:hint="cs"/>
          <w:rtl/>
        </w:rPr>
        <w:t>אינו</w:t>
      </w:r>
      <w:r w:rsidRPr="00F936FC">
        <w:rPr>
          <w:rFonts w:asciiTheme="minorBidi" w:hAnsiTheme="minorBidi" w:cs="Arial"/>
          <w:rtl/>
        </w:rPr>
        <w:t xml:space="preserve"> </w:t>
      </w:r>
      <w:r w:rsidRPr="00F936FC">
        <w:rPr>
          <w:rFonts w:asciiTheme="minorBidi" w:hAnsiTheme="minorBidi" w:cs="Arial" w:hint="cs"/>
          <w:rtl/>
        </w:rPr>
        <w:t>אסור</w:t>
      </w:r>
      <w:r w:rsidRPr="00F936FC">
        <w:rPr>
          <w:rFonts w:asciiTheme="minorBidi" w:hAnsiTheme="minorBidi" w:cs="Arial"/>
          <w:rtl/>
        </w:rPr>
        <w:t xml:space="preserve"> </w:t>
      </w:r>
      <w:r w:rsidRPr="00F936FC">
        <w:rPr>
          <w:rFonts w:asciiTheme="minorBidi" w:hAnsiTheme="minorBidi" w:cs="Arial" w:hint="cs"/>
          <w:rtl/>
        </w:rPr>
        <w:t>אלא</w:t>
      </w:r>
      <w:r w:rsidRPr="00F936FC">
        <w:rPr>
          <w:rFonts w:asciiTheme="minorBidi" w:hAnsiTheme="minorBidi" w:cs="Arial"/>
          <w:rtl/>
        </w:rPr>
        <w:t xml:space="preserve"> </w:t>
      </w:r>
      <w:r w:rsidRPr="00F936FC">
        <w:rPr>
          <w:rFonts w:asciiTheme="minorBidi" w:hAnsiTheme="minorBidi" w:cs="Arial" w:hint="cs"/>
          <w:rtl/>
        </w:rPr>
        <w:t>בכה</w:t>
      </w:r>
      <w:r w:rsidRPr="00F936FC">
        <w:rPr>
          <w:rFonts w:asciiTheme="minorBidi" w:hAnsiTheme="minorBidi" w:cs="Arial"/>
          <w:rtl/>
        </w:rPr>
        <w:t>"</w:t>
      </w:r>
      <w:r w:rsidRPr="00F936FC">
        <w:rPr>
          <w:rFonts w:asciiTheme="minorBidi" w:hAnsiTheme="minorBidi" w:cs="Arial" w:hint="cs"/>
          <w:rtl/>
        </w:rPr>
        <w:t>ג</w:t>
      </w:r>
      <w:r w:rsidRPr="00F936FC">
        <w:rPr>
          <w:rFonts w:asciiTheme="minorBidi" w:hAnsiTheme="minorBidi" w:cs="Arial"/>
          <w:rtl/>
        </w:rPr>
        <w:t xml:space="preserve"> </w:t>
      </w:r>
      <w:r w:rsidRPr="00F936FC">
        <w:rPr>
          <w:rFonts w:asciiTheme="minorBidi" w:hAnsiTheme="minorBidi" w:cs="Arial" w:hint="cs"/>
          <w:rtl/>
        </w:rPr>
        <w:t>שאומר</w:t>
      </w:r>
      <w:r w:rsidRPr="00F936FC">
        <w:rPr>
          <w:rFonts w:asciiTheme="minorBidi" w:hAnsiTheme="minorBidi" w:cs="Arial"/>
          <w:rtl/>
        </w:rPr>
        <w:t xml:space="preserve">: </w:t>
      </w:r>
      <w:r w:rsidRPr="00F936FC">
        <w:rPr>
          <w:rFonts w:asciiTheme="minorBidi" w:hAnsiTheme="minorBidi" w:cs="Arial" w:hint="cs"/>
          <w:rtl/>
        </w:rPr>
        <w:t>תן</w:t>
      </w:r>
      <w:r w:rsidRPr="00F936FC">
        <w:rPr>
          <w:rFonts w:asciiTheme="minorBidi" w:hAnsiTheme="minorBidi" w:cs="Arial"/>
          <w:rtl/>
        </w:rPr>
        <w:t xml:space="preserve"> </w:t>
      </w:r>
      <w:r w:rsidRPr="00F936FC">
        <w:rPr>
          <w:rFonts w:asciiTheme="minorBidi" w:hAnsiTheme="minorBidi" w:cs="Arial" w:hint="cs"/>
          <w:rtl/>
        </w:rPr>
        <w:t>לי</w:t>
      </w:r>
      <w:r w:rsidRPr="00F936FC">
        <w:rPr>
          <w:rFonts w:asciiTheme="minorBidi" w:hAnsiTheme="minorBidi" w:cs="Arial"/>
          <w:rtl/>
        </w:rPr>
        <w:t xml:space="preserve"> </w:t>
      </w:r>
      <w:r w:rsidRPr="00F936FC">
        <w:rPr>
          <w:rFonts w:asciiTheme="minorBidi" w:hAnsiTheme="minorBidi" w:cs="Arial" w:hint="cs"/>
          <w:rtl/>
        </w:rPr>
        <w:t>בכך</w:t>
      </w:r>
      <w:r w:rsidRPr="00F936FC">
        <w:rPr>
          <w:rFonts w:asciiTheme="minorBidi" w:hAnsiTheme="minorBidi" w:cs="Arial"/>
          <w:rtl/>
        </w:rPr>
        <w:t xml:space="preserve"> </w:t>
      </w:r>
      <w:r w:rsidRPr="00F936FC">
        <w:rPr>
          <w:rFonts w:asciiTheme="minorBidi" w:hAnsiTheme="minorBidi" w:cs="Arial" w:hint="cs"/>
          <w:rtl/>
        </w:rPr>
        <w:t>וכך</w:t>
      </w:r>
      <w:r w:rsidRPr="00F936FC">
        <w:rPr>
          <w:rFonts w:asciiTheme="minorBidi" w:hAnsiTheme="minorBidi" w:cs="Arial"/>
          <w:rtl/>
        </w:rPr>
        <w:t xml:space="preserve"> </w:t>
      </w:r>
      <w:r w:rsidRPr="00F936FC">
        <w:rPr>
          <w:rFonts w:asciiTheme="minorBidi" w:hAnsiTheme="minorBidi" w:cs="Arial" w:hint="cs"/>
          <w:rtl/>
        </w:rPr>
        <w:t>דמים</w:t>
      </w:r>
      <w:r w:rsidRPr="00F936FC">
        <w:rPr>
          <w:rFonts w:asciiTheme="minorBidi" w:hAnsiTheme="minorBidi" w:cs="Arial"/>
          <w:rtl/>
        </w:rPr>
        <w:t xml:space="preserve"> </w:t>
      </w:r>
      <w:r w:rsidRPr="00F936FC">
        <w:rPr>
          <w:rFonts w:asciiTheme="minorBidi" w:hAnsiTheme="minorBidi" w:cs="Arial" w:hint="cs"/>
          <w:rtl/>
        </w:rPr>
        <w:t>ויהיה</w:t>
      </w:r>
      <w:r w:rsidRPr="00F936FC">
        <w:rPr>
          <w:rFonts w:asciiTheme="minorBidi" w:hAnsiTheme="minorBidi" w:cs="Arial"/>
          <w:rtl/>
        </w:rPr>
        <w:t xml:space="preserve"> </w:t>
      </w:r>
      <w:r w:rsidRPr="00F936FC">
        <w:rPr>
          <w:rFonts w:asciiTheme="minorBidi" w:hAnsiTheme="minorBidi" w:cs="Arial" w:hint="cs"/>
          <w:rtl/>
        </w:rPr>
        <w:t>לך</w:t>
      </w:r>
      <w:r w:rsidRPr="00F936FC">
        <w:rPr>
          <w:rFonts w:asciiTheme="minorBidi" w:hAnsiTheme="minorBidi" w:cs="Arial"/>
          <w:rtl/>
        </w:rPr>
        <w:t xml:space="preserve"> </w:t>
      </w:r>
      <w:r w:rsidRPr="00F936FC">
        <w:rPr>
          <w:rFonts w:asciiTheme="minorBidi" w:hAnsiTheme="minorBidi" w:cs="Arial" w:hint="cs"/>
          <w:rtl/>
        </w:rPr>
        <w:t>בידי</w:t>
      </w:r>
      <w:r w:rsidRPr="00F936FC">
        <w:rPr>
          <w:rFonts w:asciiTheme="minorBidi" w:hAnsiTheme="minorBidi" w:cs="Arial"/>
          <w:rtl/>
        </w:rPr>
        <w:t xml:space="preserve"> </w:t>
      </w:r>
      <w:r w:rsidRPr="00F936FC">
        <w:rPr>
          <w:rFonts w:asciiTheme="minorBidi" w:hAnsiTheme="minorBidi" w:cs="Arial" w:hint="cs"/>
          <w:rtl/>
        </w:rPr>
        <w:t>כך</w:t>
      </w:r>
      <w:r w:rsidRPr="00F936FC">
        <w:rPr>
          <w:rFonts w:asciiTheme="minorBidi" w:hAnsiTheme="minorBidi" w:cs="Arial"/>
          <w:rtl/>
        </w:rPr>
        <w:t xml:space="preserve"> </w:t>
      </w:r>
      <w:r w:rsidRPr="00F936FC">
        <w:rPr>
          <w:rFonts w:asciiTheme="minorBidi" w:hAnsiTheme="minorBidi" w:cs="Arial" w:hint="cs"/>
          <w:rtl/>
        </w:rPr>
        <w:t>וכך</w:t>
      </w:r>
      <w:r w:rsidRPr="00F936FC">
        <w:rPr>
          <w:rFonts w:asciiTheme="minorBidi" w:hAnsiTheme="minorBidi" w:cs="Arial"/>
          <w:rtl/>
        </w:rPr>
        <w:t xml:space="preserve">, </w:t>
      </w:r>
      <w:r w:rsidRPr="00F936FC">
        <w:rPr>
          <w:rFonts w:asciiTheme="minorBidi" w:hAnsiTheme="minorBidi" w:cs="Arial" w:hint="cs"/>
          <w:rtl/>
        </w:rPr>
        <w:t>אבל</w:t>
      </w:r>
      <w:r w:rsidRPr="00F936FC">
        <w:rPr>
          <w:rFonts w:asciiTheme="minorBidi" w:hAnsiTheme="minorBidi" w:cs="Arial"/>
          <w:rtl/>
        </w:rPr>
        <w:t xml:space="preserve"> </w:t>
      </w:r>
      <w:r w:rsidRPr="00F936FC">
        <w:rPr>
          <w:rFonts w:asciiTheme="minorBidi" w:hAnsiTheme="minorBidi" w:cs="Arial" w:hint="cs"/>
          <w:rtl/>
        </w:rPr>
        <w:t>בלאו</w:t>
      </w:r>
      <w:r w:rsidRPr="00F936FC">
        <w:rPr>
          <w:rFonts w:asciiTheme="minorBidi" w:hAnsiTheme="minorBidi" w:cs="Arial"/>
          <w:rtl/>
        </w:rPr>
        <w:t xml:space="preserve"> </w:t>
      </w:r>
      <w:r w:rsidRPr="00F936FC">
        <w:rPr>
          <w:rFonts w:asciiTheme="minorBidi" w:hAnsiTheme="minorBidi" w:cs="Arial" w:hint="cs"/>
          <w:rtl/>
        </w:rPr>
        <w:t>הכי</w:t>
      </w:r>
      <w:r w:rsidRPr="00F936FC">
        <w:rPr>
          <w:rFonts w:asciiTheme="minorBidi" w:hAnsiTheme="minorBidi" w:cs="Arial"/>
          <w:rtl/>
        </w:rPr>
        <w:t xml:space="preserve">, </w:t>
      </w:r>
      <w:r w:rsidRPr="00F936FC">
        <w:rPr>
          <w:rFonts w:asciiTheme="minorBidi" w:hAnsiTheme="minorBidi" w:cs="Arial" w:hint="cs"/>
          <w:rtl/>
        </w:rPr>
        <w:t>שרי</w:t>
      </w:r>
      <w:r w:rsidRPr="00F936FC">
        <w:rPr>
          <w:rFonts w:asciiTheme="minorBidi" w:hAnsiTheme="minorBidi" w:cs="Arial"/>
          <w:rtl/>
        </w:rPr>
        <w:t xml:space="preserve">. </w:t>
      </w:r>
      <w:r w:rsidRPr="00F936FC">
        <w:rPr>
          <w:rFonts w:asciiTheme="minorBidi" w:hAnsiTheme="minorBidi" w:cs="Arial" w:hint="cs"/>
          <w:rtl/>
        </w:rPr>
        <w:t>וכן</w:t>
      </w:r>
      <w:r w:rsidRPr="00F936FC">
        <w:rPr>
          <w:rFonts w:asciiTheme="minorBidi" w:hAnsiTheme="minorBidi" w:cs="Arial"/>
          <w:rtl/>
        </w:rPr>
        <w:t xml:space="preserve"> </w:t>
      </w:r>
      <w:r w:rsidRPr="00F936FC">
        <w:rPr>
          <w:rFonts w:asciiTheme="minorBidi" w:hAnsiTheme="minorBidi" w:cs="Arial" w:hint="cs"/>
          <w:rtl/>
        </w:rPr>
        <w:t>בסכום</w:t>
      </w:r>
      <w:r w:rsidRPr="00F936FC">
        <w:rPr>
          <w:rFonts w:asciiTheme="minorBidi" w:hAnsiTheme="minorBidi" w:cs="Arial"/>
          <w:rtl/>
        </w:rPr>
        <w:t xml:space="preserve"> </w:t>
      </w:r>
      <w:r w:rsidRPr="00F936FC">
        <w:rPr>
          <w:rFonts w:asciiTheme="minorBidi" w:hAnsiTheme="minorBidi" w:cs="Arial" w:hint="cs"/>
          <w:rtl/>
        </w:rPr>
        <w:t>מדה</w:t>
      </w:r>
      <w:r w:rsidRPr="00F936FC">
        <w:rPr>
          <w:rFonts w:asciiTheme="minorBidi" w:hAnsiTheme="minorBidi" w:cs="Arial"/>
          <w:rtl/>
        </w:rPr>
        <w:t xml:space="preserve">, </w:t>
      </w:r>
      <w:r w:rsidRPr="00F936FC">
        <w:rPr>
          <w:rFonts w:asciiTheme="minorBidi" w:hAnsiTheme="minorBidi" w:cs="Arial" w:hint="cs"/>
          <w:rtl/>
        </w:rPr>
        <w:t>דוקא</w:t>
      </w:r>
      <w:r w:rsidRPr="00F936FC">
        <w:rPr>
          <w:rFonts w:asciiTheme="minorBidi" w:hAnsiTheme="minorBidi" w:cs="Arial"/>
          <w:rtl/>
        </w:rPr>
        <w:t xml:space="preserve"> </w:t>
      </w:r>
      <w:r w:rsidRPr="00F936FC">
        <w:rPr>
          <w:rFonts w:asciiTheme="minorBidi" w:hAnsiTheme="minorBidi" w:cs="Arial" w:hint="cs"/>
          <w:rtl/>
        </w:rPr>
        <w:t>בכה</w:t>
      </w:r>
      <w:r w:rsidRPr="00F936FC">
        <w:rPr>
          <w:rFonts w:asciiTheme="minorBidi" w:hAnsiTheme="minorBidi" w:cs="Arial"/>
          <w:rtl/>
        </w:rPr>
        <w:t>"</w:t>
      </w:r>
      <w:r w:rsidRPr="00F936FC">
        <w:rPr>
          <w:rFonts w:asciiTheme="minorBidi" w:hAnsiTheme="minorBidi" w:cs="Arial" w:hint="cs"/>
          <w:rtl/>
        </w:rPr>
        <w:t>ג</w:t>
      </w:r>
      <w:r w:rsidRPr="00F936FC">
        <w:rPr>
          <w:rFonts w:asciiTheme="minorBidi" w:hAnsiTheme="minorBidi" w:cs="Arial"/>
          <w:rtl/>
        </w:rPr>
        <w:t xml:space="preserve"> </w:t>
      </w:r>
      <w:r w:rsidRPr="00F936FC">
        <w:rPr>
          <w:rFonts w:asciiTheme="minorBidi" w:hAnsiTheme="minorBidi" w:cs="Arial" w:hint="cs"/>
          <w:rtl/>
        </w:rPr>
        <w:t>אסור</w:t>
      </w:r>
      <w:r w:rsidRPr="00F936FC">
        <w:rPr>
          <w:rFonts w:asciiTheme="minorBidi" w:hAnsiTheme="minorBidi" w:cs="Arial"/>
          <w:rtl/>
        </w:rPr>
        <w:t xml:space="preserve">, </w:t>
      </w:r>
      <w:r w:rsidRPr="00F936FC">
        <w:rPr>
          <w:rFonts w:asciiTheme="minorBidi" w:hAnsiTheme="minorBidi" w:cs="Arial" w:hint="cs"/>
          <w:rtl/>
        </w:rPr>
        <w:t>אבל</w:t>
      </w:r>
      <w:r w:rsidRPr="00F936FC">
        <w:rPr>
          <w:rFonts w:asciiTheme="minorBidi" w:hAnsiTheme="minorBidi" w:cs="Arial"/>
          <w:rtl/>
        </w:rPr>
        <w:t xml:space="preserve"> </w:t>
      </w:r>
      <w:r w:rsidRPr="00F936FC">
        <w:rPr>
          <w:rFonts w:asciiTheme="minorBidi" w:hAnsiTheme="minorBidi" w:cs="Arial" w:hint="cs"/>
          <w:rtl/>
        </w:rPr>
        <w:t>בלאו</w:t>
      </w:r>
      <w:r w:rsidRPr="00F936FC">
        <w:rPr>
          <w:rFonts w:asciiTheme="minorBidi" w:hAnsiTheme="minorBidi" w:cs="Arial"/>
          <w:rtl/>
        </w:rPr>
        <w:t xml:space="preserve"> </w:t>
      </w:r>
      <w:r w:rsidRPr="00F936FC">
        <w:rPr>
          <w:rFonts w:asciiTheme="minorBidi" w:hAnsiTheme="minorBidi" w:cs="Arial" w:hint="cs"/>
          <w:rtl/>
        </w:rPr>
        <w:t>הכי</w:t>
      </w:r>
      <w:r w:rsidRPr="00F936FC">
        <w:rPr>
          <w:rFonts w:asciiTheme="minorBidi" w:hAnsiTheme="minorBidi" w:cs="Arial"/>
          <w:rtl/>
        </w:rPr>
        <w:t xml:space="preserve">, </w:t>
      </w:r>
      <w:r w:rsidRPr="00F936FC">
        <w:rPr>
          <w:rFonts w:asciiTheme="minorBidi" w:hAnsiTheme="minorBidi" w:cs="Arial" w:hint="cs"/>
          <w:rtl/>
        </w:rPr>
        <w:t>שרי</w:t>
      </w:r>
      <w:r w:rsidRPr="00F936FC">
        <w:rPr>
          <w:rFonts w:asciiTheme="minorBidi" w:hAnsiTheme="minorBidi" w:cs="Arial"/>
          <w:rtl/>
        </w:rPr>
        <w:t xml:space="preserve">. </w:t>
      </w:r>
      <w:r w:rsidRPr="00F936FC">
        <w:rPr>
          <w:rFonts w:asciiTheme="minorBidi" w:hAnsiTheme="minorBidi" w:cs="Arial" w:hint="cs"/>
          <w:rtl/>
        </w:rPr>
        <w:t>ואף</w:t>
      </w:r>
      <w:r w:rsidRPr="00F936FC">
        <w:rPr>
          <w:rFonts w:asciiTheme="minorBidi" w:hAnsiTheme="minorBidi" w:cs="Arial"/>
          <w:rtl/>
        </w:rPr>
        <w:t xml:space="preserve"> </w:t>
      </w:r>
      <w:r w:rsidRPr="00F936FC">
        <w:rPr>
          <w:rFonts w:asciiTheme="minorBidi" w:hAnsiTheme="minorBidi" w:cs="Arial" w:hint="cs"/>
          <w:rtl/>
        </w:rPr>
        <w:t>על</w:t>
      </w:r>
      <w:r w:rsidRPr="00F936FC">
        <w:rPr>
          <w:rFonts w:asciiTheme="minorBidi" w:hAnsiTheme="minorBidi" w:cs="Arial"/>
          <w:rtl/>
        </w:rPr>
        <w:t xml:space="preserve"> </w:t>
      </w:r>
      <w:r w:rsidRPr="00F936FC">
        <w:rPr>
          <w:rFonts w:asciiTheme="minorBidi" w:hAnsiTheme="minorBidi" w:cs="Arial" w:hint="cs"/>
          <w:rtl/>
        </w:rPr>
        <w:t>גב</w:t>
      </w:r>
      <w:r w:rsidRPr="00F936FC">
        <w:rPr>
          <w:rFonts w:asciiTheme="minorBidi" w:hAnsiTheme="minorBidi" w:cs="Arial"/>
          <w:rtl/>
        </w:rPr>
        <w:t xml:space="preserve"> </w:t>
      </w:r>
      <w:r w:rsidRPr="00F936FC">
        <w:rPr>
          <w:rFonts w:asciiTheme="minorBidi" w:hAnsiTheme="minorBidi" w:cs="Arial" w:hint="cs"/>
          <w:rtl/>
        </w:rPr>
        <w:t>דאסור</w:t>
      </w:r>
      <w:r w:rsidRPr="00F936FC">
        <w:rPr>
          <w:rFonts w:asciiTheme="minorBidi" w:hAnsiTheme="minorBidi" w:cs="Arial"/>
          <w:rtl/>
        </w:rPr>
        <w:t xml:space="preserve"> </w:t>
      </w:r>
      <w:r w:rsidRPr="00F936FC">
        <w:rPr>
          <w:rFonts w:asciiTheme="minorBidi" w:hAnsiTheme="minorBidi" w:cs="Arial" w:hint="cs"/>
          <w:rtl/>
        </w:rPr>
        <w:t>להזכיר</w:t>
      </w:r>
      <w:r w:rsidRPr="00F936FC">
        <w:rPr>
          <w:rFonts w:asciiTheme="minorBidi" w:hAnsiTheme="minorBidi" w:cs="Arial"/>
          <w:rtl/>
        </w:rPr>
        <w:t xml:space="preserve"> </w:t>
      </w:r>
      <w:r w:rsidRPr="00F936FC">
        <w:rPr>
          <w:rFonts w:asciiTheme="minorBidi" w:hAnsiTheme="minorBidi" w:cs="Arial" w:hint="cs"/>
          <w:rtl/>
        </w:rPr>
        <w:t>דמים</w:t>
      </w:r>
      <w:r w:rsidRPr="00F936FC">
        <w:rPr>
          <w:rFonts w:asciiTheme="minorBidi" w:hAnsiTheme="minorBidi" w:cs="Arial"/>
          <w:rtl/>
        </w:rPr>
        <w:t xml:space="preserve"> </w:t>
      </w:r>
      <w:r w:rsidRPr="00F936FC">
        <w:rPr>
          <w:rFonts w:asciiTheme="minorBidi" w:hAnsiTheme="minorBidi" w:cs="Arial" w:hint="cs"/>
          <w:rtl/>
        </w:rPr>
        <w:t>כלל</w:t>
      </w:r>
      <w:r w:rsidRPr="00F936FC">
        <w:rPr>
          <w:rFonts w:asciiTheme="minorBidi" w:hAnsiTheme="minorBidi" w:cs="Arial"/>
          <w:rtl/>
        </w:rPr>
        <w:t xml:space="preserve">, </w:t>
      </w:r>
      <w:r w:rsidRPr="00F936FC">
        <w:rPr>
          <w:rFonts w:asciiTheme="minorBidi" w:hAnsiTheme="minorBidi" w:cs="Arial" w:hint="cs"/>
          <w:rtl/>
        </w:rPr>
        <w:t>היינו</w:t>
      </w:r>
      <w:r w:rsidRPr="00F936FC">
        <w:rPr>
          <w:rFonts w:asciiTheme="minorBidi" w:hAnsiTheme="minorBidi" w:cs="Arial"/>
          <w:rtl/>
        </w:rPr>
        <w:t xml:space="preserve"> </w:t>
      </w:r>
      <w:r w:rsidRPr="00F936FC">
        <w:rPr>
          <w:rFonts w:asciiTheme="minorBidi" w:hAnsiTheme="minorBidi" w:cs="Arial" w:hint="cs"/>
          <w:rtl/>
        </w:rPr>
        <w:t>בדבר</w:t>
      </w:r>
      <w:r w:rsidRPr="00F936FC">
        <w:rPr>
          <w:rFonts w:asciiTheme="minorBidi" w:hAnsiTheme="minorBidi" w:cs="Arial"/>
          <w:rtl/>
        </w:rPr>
        <w:t xml:space="preserve"> </w:t>
      </w:r>
      <w:r w:rsidRPr="00F936FC">
        <w:rPr>
          <w:rFonts w:asciiTheme="minorBidi" w:hAnsiTheme="minorBidi" w:cs="Arial" w:hint="cs"/>
          <w:rtl/>
        </w:rPr>
        <w:t>שאין</w:t>
      </w:r>
      <w:r w:rsidRPr="00F936FC">
        <w:rPr>
          <w:rFonts w:asciiTheme="minorBidi" w:hAnsiTheme="minorBidi" w:cs="Arial"/>
          <w:rtl/>
        </w:rPr>
        <w:t xml:space="preserve"> </w:t>
      </w:r>
      <w:r w:rsidRPr="00F936FC">
        <w:rPr>
          <w:rFonts w:asciiTheme="minorBidi" w:hAnsiTheme="minorBidi" w:cs="Arial" w:hint="cs"/>
          <w:rtl/>
        </w:rPr>
        <w:t>מקחו</w:t>
      </w:r>
      <w:r w:rsidRPr="00F936FC">
        <w:rPr>
          <w:rFonts w:asciiTheme="minorBidi" w:hAnsiTheme="minorBidi" w:cs="Arial"/>
          <w:rtl/>
        </w:rPr>
        <w:t xml:space="preserve"> </w:t>
      </w:r>
      <w:r w:rsidRPr="00F936FC">
        <w:rPr>
          <w:rFonts w:asciiTheme="minorBidi" w:hAnsiTheme="minorBidi" w:cs="Arial" w:hint="cs"/>
          <w:rtl/>
        </w:rPr>
        <w:t>ידוע</w:t>
      </w:r>
      <w:r w:rsidRPr="00F936FC">
        <w:rPr>
          <w:rFonts w:asciiTheme="minorBidi" w:hAnsiTheme="minorBidi" w:cs="Arial"/>
          <w:rtl/>
        </w:rPr>
        <w:t xml:space="preserve"> </w:t>
      </w:r>
      <w:r w:rsidRPr="00F936FC">
        <w:rPr>
          <w:rFonts w:asciiTheme="minorBidi" w:hAnsiTheme="minorBidi" w:cs="Arial" w:hint="cs"/>
          <w:rtl/>
        </w:rPr>
        <w:t>אבל</w:t>
      </w:r>
      <w:r w:rsidRPr="00F936FC">
        <w:rPr>
          <w:rFonts w:asciiTheme="minorBidi" w:hAnsiTheme="minorBidi" w:cs="Arial"/>
          <w:rtl/>
        </w:rPr>
        <w:t xml:space="preserve"> </w:t>
      </w:r>
      <w:r w:rsidRPr="00F936FC">
        <w:rPr>
          <w:rFonts w:asciiTheme="minorBidi" w:hAnsiTheme="minorBidi" w:cs="Arial" w:hint="cs"/>
          <w:rtl/>
        </w:rPr>
        <w:t>בדבר</w:t>
      </w:r>
      <w:r w:rsidRPr="00F936FC">
        <w:rPr>
          <w:rFonts w:asciiTheme="minorBidi" w:hAnsiTheme="minorBidi" w:cs="Arial"/>
          <w:rtl/>
        </w:rPr>
        <w:t xml:space="preserve"> </w:t>
      </w:r>
      <w:r w:rsidRPr="00F936FC">
        <w:rPr>
          <w:rFonts w:asciiTheme="minorBidi" w:hAnsiTheme="minorBidi" w:cs="Arial" w:hint="cs"/>
          <w:rtl/>
        </w:rPr>
        <w:t>שידוע</w:t>
      </w:r>
      <w:r w:rsidRPr="00F936FC">
        <w:rPr>
          <w:rFonts w:asciiTheme="minorBidi" w:hAnsiTheme="minorBidi" w:cs="Arial"/>
          <w:rtl/>
        </w:rPr>
        <w:t xml:space="preserve"> </w:t>
      </w:r>
      <w:r w:rsidRPr="00F936FC">
        <w:rPr>
          <w:rFonts w:asciiTheme="minorBidi" w:hAnsiTheme="minorBidi" w:cs="Arial" w:hint="cs"/>
          <w:rtl/>
        </w:rPr>
        <w:t>רק</w:t>
      </w:r>
      <w:r w:rsidRPr="00F936FC">
        <w:rPr>
          <w:rFonts w:asciiTheme="minorBidi" w:hAnsiTheme="minorBidi" w:cs="Arial"/>
          <w:rtl/>
        </w:rPr>
        <w:t xml:space="preserve"> </w:t>
      </w:r>
      <w:r w:rsidRPr="00F936FC">
        <w:rPr>
          <w:rFonts w:asciiTheme="minorBidi" w:hAnsiTheme="minorBidi" w:cs="Arial" w:hint="cs"/>
          <w:rtl/>
        </w:rPr>
        <w:t>שאומר</w:t>
      </w:r>
      <w:r w:rsidRPr="00F936FC">
        <w:rPr>
          <w:rFonts w:asciiTheme="minorBidi" w:hAnsiTheme="minorBidi" w:cs="Arial"/>
          <w:rtl/>
        </w:rPr>
        <w:t xml:space="preserve"> </w:t>
      </w:r>
      <w:r w:rsidRPr="00F936FC">
        <w:rPr>
          <w:rFonts w:asciiTheme="minorBidi" w:hAnsiTheme="minorBidi" w:cs="Arial" w:hint="cs"/>
          <w:rtl/>
        </w:rPr>
        <w:t>לו</w:t>
      </w:r>
      <w:r w:rsidRPr="00F936FC">
        <w:rPr>
          <w:rFonts w:asciiTheme="minorBidi" w:hAnsiTheme="minorBidi" w:cs="Arial"/>
          <w:rtl/>
        </w:rPr>
        <w:t xml:space="preserve"> </w:t>
      </w:r>
      <w:r w:rsidRPr="00F936FC">
        <w:rPr>
          <w:rFonts w:asciiTheme="minorBidi" w:hAnsiTheme="minorBidi" w:cs="Arial" w:hint="cs"/>
          <w:rtl/>
        </w:rPr>
        <w:t>כמה</w:t>
      </w:r>
      <w:r w:rsidRPr="00F936FC">
        <w:rPr>
          <w:rFonts w:asciiTheme="minorBidi" w:hAnsiTheme="minorBidi" w:cs="Arial"/>
          <w:rtl/>
        </w:rPr>
        <w:t xml:space="preserve"> </w:t>
      </w:r>
      <w:r w:rsidRPr="00F936FC">
        <w:rPr>
          <w:rFonts w:asciiTheme="minorBidi" w:hAnsiTheme="minorBidi" w:cs="Arial" w:hint="cs"/>
          <w:rtl/>
        </w:rPr>
        <w:t>צריך</w:t>
      </w:r>
      <w:r w:rsidRPr="00F936FC">
        <w:rPr>
          <w:rFonts w:asciiTheme="minorBidi" w:hAnsiTheme="minorBidi" w:cs="Arial"/>
          <w:rtl/>
        </w:rPr>
        <w:t xml:space="preserve">, </w:t>
      </w:r>
      <w:r w:rsidRPr="00F936FC">
        <w:rPr>
          <w:rFonts w:asciiTheme="minorBidi" w:hAnsiTheme="minorBidi" w:cs="Arial" w:hint="cs"/>
          <w:rtl/>
        </w:rPr>
        <w:t>שרי</w:t>
      </w:r>
      <w:r w:rsidRPr="00F936FC">
        <w:rPr>
          <w:rFonts w:asciiTheme="minorBidi" w:hAnsiTheme="minorBidi" w:cs="Arial"/>
          <w:rtl/>
        </w:rPr>
        <w:t xml:space="preserve"> </w:t>
      </w:r>
      <w:r w:rsidRPr="00F936FC">
        <w:rPr>
          <w:rFonts w:asciiTheme="minorBidi" w:hAnsiTheme="minorBidi" w:cs="Arial" w:hint="cs"/>
          <w:rtl/>
        </w:rPr>
        <w:t>אם</w:t>
      </w:r>
      <w:r w:rsidRPr="00F936FC">
        <w:rPr>
          <w:rFonts w:asciiTheme="minorBidi" w:hAnsiTheme="minorBidi" w:cs="Arial"/>
          <w:rtl/>
        </w:rPr>
        <w:t xml:space="preserve"> </w:t>
      </w:r>
      <w:r w:rsidRPr="00F936FC">
        <w:rPr>
          <w:rFonts w:asciiTheme="minorBidi" w:hAnsiTheme="minorBidi" w:cs="Arial" w:hint="cs"/>
          <w:rtl/>
        </w:rPr>
        <w:t>לא</w:t>
      </w:r>
      <w:r w:rsidRPr="00F936FC">
        <w:rPr>
          <w:rFonts w:asciiTheme="minorBidi" w:hAnsiTheme="minorBidi" w:cs="Arial"/>
          <w:rtl/>
        </w:rPr>
        <w:t xml:space="preserve"> </w:t>
      </w:r>
      <w:r w:rsidRPr="00F936FC">
        <w:rPr>
          <w:rFonts w:asciiTheme="minorBidi" w:hAnsiTheme="minorBidi" w:cs="Arial" w:hint="cs"/>
          <w:rtl/>
        </w:rPr>
        <w:t>שמזכיר</w:t>
      </w:r>
      <w:r w:rsidRPr="00F936FC">
        <w:rPr>
          <w:rFonts w:asciiTheme="minorBidi" w:hAnsiTheme="minorBidi" w:cs="Arial"/>
          <w:rtl/>
        </w:rPr>
        <w:t xml:space="preserve"> </w:t>
      </w:r>
      <w:r w:rsidRPr="00F936FC">
        <w:rPr>
          <w:rFonts w:asciiTheme="minorBidi" w:hAnsiTheme="minorBidi" w:cs="Arial" w:hint="cs"/>
          <w:rtl/>
        </w:rPr>
        <w:t>לו</w:t>
      </w:r>
      <w:r w:rsidRPr="00F936FC">
        <w:rPr>
          <w:rFonts w:asciiTheme="minorBidi" w:hAnsiTheme="minorBidi" w:cs="Arial"/>
          <w:rtl/>
        </w:rPr>
        <w:t xml:space="preserve"> </w:t>
      </w:r>
      <w:r w:rsidRPr="00F936FC">
        <w:rPr>
          <w:rFonts w:asciiTheme="minorBidi" w:hAnsiTheme="minorBidi" w:cs="Arial" w:hint="cs"/>
          <w:rtl/>
        </w:rPr>
        <w:t>סכום</w:t>
      </w:r>
      <w:r w:rsidRPr="00F936FC">
        <w:rPr>
          <w:rFonts w:asciiTheme="minorBidi" w:hAnsiTheme="minorBidi" w:cs="Arial"/>
          <w:rtl/>
        </w:rPr>
        <w:t xml:space="preserve"> (</w:t>
      </w:r>
      <w:r w:rsidRPr="00F936FC">
        <w:rPr>
          <w:rFonts w:asciiTheme="minorBidi" w:hAnsiTheme="minorBidi" w:cs="Arial" w:hint="cs"/>
          <w:rtl/>
        </w:rPr>
        <w:t>א</w:t>
      </w:r>
      <w:r w:rsidRPr="00F936FC">
        <w:rPr>
          <w:rFonts w:asciiTheme="minorBidi" w:hAnsiTheme="minorBidi" w:cs="Arial"/>
          <w:rtl/>
        </w:rPr>
        <w:t>"</w:t>
      </w:r>
      <w:r w:rsidRPr="00F936FC">
        <w:rPr>
          <w:rFonts w:asciiTheme="minorBidi" w:hAnsiTheme="minorBidi" w:cs="Arial" w:hint="cs"/>
          <w:rtl/>
        </w:rPr>
        <w:t>ז</w:t>
      </w:r>
      <w:r w:rsidRPr="00F936FC">
        <w:rPr>
          <w:rFonts w:asciiTheme="minorBidi" w:hAnsiTheme="minorBidi" w:cs="Arial"/>
          <w:rtl/>
        </w:rPr>
        <w:t xml:space="preserve"> </w:t>
      </w:r>
      <w:r w:rsidRPr="00F936FC">
        <w:rPr>
          <w:rFonts w:asciiTheme="minorBidi" w:hAnsiTheme="minorBidi" w:cs="Arial" w:hint="cs"/>
          <w:rtl/>
        </w:rPr>
        <w:t>והג</w:t>
      </w:r>
      <w:r w:rsidRPr="00F936FC">
        <w:rPr>
          <w:rFonts w:asciiTheme="minorBidi" w:hAnsiTheme="minorBidi" w:cs="Arial"/>
          <w:rtl/>
        </w:rPr>
        <w:t>"</w:t>
      </w:r>
      <w:r w:rsidRPr="00F936FC">
        <w:rPr>
          <w:rFonts w:asciiTheme="minorBidi" w:hAnsiTheme="minorBidi" w:cs="Arial" w:hint="cs"/>
          <w:rtl/>
        </w:rPr>
        <w:t>א</w:t>
      </w:r>
      <w:r w:rsidRPr="00F936FC">
        <w:rPr>
          <w:rFonts w:asciiTheme="minorBidi" w:hAnsiTheme="minorBidi" w:cs="Arial"/>
          <w:rtl/>
        </w:rPr>
        <w:t xml:space="preserve"> </w:t>
      </w:r>
      <w:r w:rsidRPr="00F936FC">
        <w:rPr>
          <w:rFonts w:asciiTheme="minorBidi" w:hAnsiTheme="minorBidi" w:cs="Arial" w:hint="cs"/>
          <w:rtl/>
        </w:rPr>
        <w:t>פ</w:t>
      </w:r>
      <w:r w:rsidRPr="00F936FC">
        <w:rPr>
          <w:rFonts w:asciiTheme="minorBidi" w:hAnsiTheme="minorBidi" w:cs="Arial"/>
          <w:rtl/>
        </w:rPr>
        <w:t xml:space="preserve">' </w:t>
      </w:r>
      <w:r w:rsidRPr="00F936FC">
        <w:rPr>
          <w:rFonts w:asciiTheme="minorBidi" w:hAnsiTheme="minorBidi" w:cs="Arial" w:hint="cs"/>
          <w:rtl/>
        </w:rPr>
        <w:t>אין</w:t>
      </w:r>
      <w:r w:rsidRPr="00F936FC">
        <w:rPr>
          <w:rFonts w:asciiTheme="minorBidi" w:hAnsiTheme="minorBidi" w:cs="Arial"/>
          <w:rtl/>
        </w:rPr>
        <w:t xml:space="preserve"> </w:t>
      </w:r>
      <w:r w:rsidRPr="00F936FC">
        <w:rPr>
          <w:rFonts w:asciiTheme="minorBidi" w:hAnsiTheme="minorBidi" w:cs="Arial" w:hint="cs"/>
          <w:rtl/>
        </w:rPr>
        <w:t>צדין</w:t>
      </w:r>
      <w:r w:rsidRPr="00F936FC">
        <w:rPr>
          <w:rFonts w:asciiTheme="minorBidi" w:hAnsiTheme="minorBidi" w:cs="Arial"/>
          <w:rtl/>
        </w:rPr>
        <w:t xml:space="preserve">) </w:t>
      </w:r>
      <w:r w:rsidRPr="00F936FC">
        <w:rPr>
          <w:rFonts w:asciiTheme="minorBidi" w:hAnsiTheme="minorBidi" w:cs="Arial" w:hint="cs"/>
          <w:rtl/>
        </w:rPr>
        <w:t>ואף</w:t>
      </w:r>
      <w:r w:rsidRPr="00F936FC">
        <w:rPr>
          <w:rFonts w:asciiTheme="minorBidi" w:hAnsiTheme="minorBidi" w:cs="Arial"/>
          <w:rtl/>
        </w:rPr>
        <w:t xml:space="preserve"> </w:t>
      </w:r>
      <w:r w:rsidRPr="00F936FC">
        <w:rPr>
          <w:rFonts w:asciiTheme="minorBidi" w:hAnsiTheme="minorBidi" w:cs="Arial" w:hint="cs"/>
          <w:rtl/>
        </w:rPr>
        <w:t>על</w:t>
      </w:r>
      <w:r w:rsidRPr="00F936FC">
        <w:rPr>
          <w:rFonts w:asciiTheme="minorBidi" w:hAnsiTheme="minorBidi" w:cs="Arial"/>
          <w:rtl/>
        </w:rPr>
        <w:t xml:space="preserve"> </w:t>
      </w:r>
      <w:r w:rsidRPr="00F936FC">
        <w:rPr>
          <w:rFonts w:asciiTheme="minorBidi" w:hAnsiTheme="minorBidi" w:cs="Arial" w:hint="cs"/>
          <w:rtl/>
        </w:rPr>
        <w:t>גב</w:t>
      </w:r>
      <w:r w:rsidRPr="00F936FC">
        <w:rPr>
          <w:rFonts w:asciiTheme="minorBidi" w:hAnsiTheme="minorBidi" w:cs="Arial"/>
          <w:rtl/>
        </w:rPr>
        <w:t xml:space="preserve"> </w:t>
      </w:r>
      <w:r w:rsidRPr="00F936FC">
        <w:rPr>
          <w:rFonts w:asciiTheme="minorBidi" w:hAnsiTheme="minorBidi" w:cs="Arial" w:hint="cs"/>
          <w:rtl/>
        </w:rPr>
        <w:t>שיש</w:t>
      </w:r>
      <w:r w:rsidRPr="00F936FC">
        <w:rPr>
          <w:rFonts w:asciiTheme="minorBidi" w:hAnsiTheme="minorBidi" w:cs="Arial"/>
          <w:rtl/>
        </w:rPr>
        <w:t xml:space="preserve"> </w:t>
      </w:r>
      <w:r w:rsidRPr="00F936FC">
        <w:rPr>
          <w:rFonts w:asciiTheme="minorBidi" w:hAnsiTheme="minorBidi" w:cs="Arial" w:hint="cs"/>
          <w:rtl/>
        </w:rPr>
        <w:t>מחמירין</w:t>
      </w:r>
      <w:r w:rsidRPr="00F936FC">
        <w:rPr>
          <w:rFonts w:asciiTheme="minorBidi" w:hAnsiTheme="minorBidi" w:cs="Arial"/>
          <w:rtl/>
        </w:rPr>
        <w:t xml:space="preserve"> </w:t>
      </w:r>
      <w:r w:rsidRPr="00F936FC">
        <w:rPr>
          <w:rFonts w:asciiTheme="minorBidi" w:hAnsiTheme="minorBidi" w:cs="Arial" w:hint="cs"/>
          <w:rtl/>
        </w:rPr>
        <w:t>בדבר</w:t>
      </w:r>
      <w:r w:rsidRPr="00F936FC">
        <w:rPr>
          <w:rFonts w:asciiTheme="minorBidi" w:hAnsiTheme="minorBidi" w:cs="Arial"/>
          <w:rtl/>
        </w:rPr>
        <w:t xml:space="preserve"> </w:t>
      </w:r>
      <w:r w:rsidRPr="00F936FC">
        <w:rPr>
          <w:rFonts w:asciiTheme="minorBidi" w:hAnsiTheme="minorBidi" w:cs="Arial" w:hint="cs"/>
          <w:rtl/>
        </w:rPr>
        <w:t>זה</w:t>
      </w:r>
      <w:r w:rsidRPr="00F936FC">
        <w:rPr>
          <w:rFonts w:asciiTheme="minorBidi" w:hAnsiTheme="minorBidi" w:cs="Arial"/>
          <w:rtl/>
        </w:rPr>
        <w:t xml:space="preserve">, </w:t>
      </w:r>
      <w:r w:rsidRPr="00F936FC">
        <w:rPr>
          <w:rFonts w:asciiTheme="minorBidi" w:hAnsiTheme="minorBidi" w:cs="Arial" w:hint="cs"/>
          <w:rtl/>
        </w:rPr>
        <w:t>כבר</w:t>
      </w:r>
      <w:r w:rsidRPr="00F936FC">
        <w:rPr>
          <w:rFonts w:asciiTheme="minorBidi" w:hAnsiTheme="minorBidi" w:cs="Arial"/>
          <w:rtl/>
        </w:rPr>
        <w:t xml:space="preserve"> </w:t>
      </w:r>
      <w:r w:rsidRPr="00F936FC">
        <w:rPr>
          <w:rFonts w:asciiTheme="minorBidi" w:hAnsiTheme="minorBidi" w:cs="Arial" w:hint="cs"/>
          <w:rtl/>
        </w:rPr>
        <w:t>פשט</w:t>
      </w:r>
      <w:r w:rsidRPr="00F936FC">
        <w:rPr>
          <w:rFonts w:asciiTheme="minorBidi" w:hAnsiTheme="minorBidi" w:cs="Arial"/>
          <w:rtl/>
        </w:rPr>
        <w:t xml:space="preserve"> </w:t>
      </w:r>
      <w:r w:rsidRPr="00F936FC">
        <w:rPr>
          <w:rFonts w:asciiTheme="minorBidi" w:hAnsiTheme="minorBidi" w:cs="Arial" w:hint="cs"/>
          <w:rtl/>
        </w:rPr>
        <w:t>המנהג</w:t>
      </w:r>
      <w:r w:rsidRPr="00F936FC">
        <w:rPr>
          <w:rFonts w:asciiTheme="minorBidi" w:hAnsiTheme="minorBidi" w:cs="Arial"/>
          <w:rtl/>
        </w:rPr>
        <w:t xml:space="preserve"> </w:t>
      </w:r>
      <w:r w:rsidRPr="00F936FC">
        <w:rPr>
          <w:rFonts w:asciiTheme="minorBidi" w:hAnsiTheme="minorBidi" w:cs="Arial" w:hint="cs"/>
          <w:rtl/>
        </w:rPr>
        <w:t>במדינות</w:t>
      </w:r>
      <w:r w:rsidRPr="00F936FC">
        <w:rPr>
          <w:rFonts w:asciiTheme="minorBidi" w:hAnsiTheme="minorBidi" w:cs="Arial"/>
          <w:rtl/>
        </w:rPr>
        <w:t xml:space="preserve"> </w:t>
      </w:r>
      <w:r w:rsidRPr="00F936FC">
        <w:rPr>
          <w:rFonts w:asciiTheme="minorBidi" w:hAnsiTheme="minorBidi" w:cs="Arial" w:hint="cs"/>
          <w:rtl/>
        </w:rPr>
        <w:t>אלו</w:t>
      </w:r>
      <w:r w:rsidRPr="00F936FC">
        <w:rPr>
          <w:rFonts w:asciiTheme="minorBidi" w:hAnsiTheme="minorBidi" w:cs="Arial"/>
          <w:rtl/>
        </w:rPr>
        <w:t xml:space="preserve"> </w:t>
      </w:r>
      <w:r w:rsidRPr="00F936FC">
        <w:rPr>
          <w:rFonts w:asciiTheme="minorBidi" w:hAnsiTheme="minorBidi" w:cs="Arial" w:hint="cs"/>
          <w:rtl/>
        </w:rPr>
        <w:t>להקל</w:t>
      </w:r>
      <w:r w:rsidRPr="00F936FC">
        <w:rPr>
          <w:rFonts w:asciiTheme="minorBidi" w:hAnsiTheme="minorBidi" w:cs="Arial"/>
          <w:rtl/>
        </w:rPr>
        <w:t xml:space="preserve">, </w:t>
      </w:r>
      <w:r w:rsidRPr="00F936FC">
        <w:rPr>
          <w:rFonts w:asciiTheme="minorBidi" w:hAnsiTheme="minorBidi" w:cs="Arial" w:hint="cs"/>
          <w:rtl/>
        </w:rPr>
        <w:t>וכסברא</w:t>
      </w:r>
      <w:r w:rsidRPr="00F936FC">
        <w:rPr>
          <w:rFonts w:asciiTheme="minorBidi" w:hAnsiTheme="minorBidi" w:cs="Arial"/>
          <w:rtl/>
        </w:rPr>
        <w:t xml:space="preserve"> </w:t>
      </w:r>
      <w:r w:rsidRPr="00F936FC">
        <w:rPr>
          <w:rFonts w:asciiTheme="minorBidi" w:hAnsiTheme="minorBidi" w:cs="Arial" w:hint="cs"/>
          <w:rtl/>
        </w:rPr>
        <w:t>הנזכרת</w:t>
      </w:r>
      <w:r w:rsidRPr="00F936FC">
        <w:rPr>
          <w:rFonts w:asciiTheme="minorBidi" w:hAnsiTheme="minorBidi" w:cs="Arial"/>
          <w:rtl/>
        </w:rPr>
        <w:t xml:space="preserve">. </w:t>
      </w:r>
    </w:p>
    <w:p w14:paraId="65E4D258"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ה</w:t>
      </w:r>
    </w:p>
    <w:p w14:paraId="16666C89" w14:textId="77777777" w:rsidR="006A4BF8" w:rsidRPr="00F936FC" w:rsidRDefault="006A4BF8" w:rsidP="00434A6A">
      <w:pPr>
        <w:rPr>
          <w:rFonts w:asciiTheme="minorBidi" w:hAnsiTheme="minorBidi"/>
          <w:rtl/>
        </w:rPr>
      </w:pPr>
      <w:r w:rsidRPr="00F936FC">
        <w:rPr>
          <w:rFonts w:asciiTheme="minorBidi" w:hAnsiTheme="minorBidi" w:cs="Arial" w:hint="cs"/>
          <w:rtl/>
        </w:rPr>
        <w:t>המביא</w:t>
      </w:r>
      <w:r w:rsidRPr="00F936FC">
        <w:rPr>
          <w:rFonts w:asciiTheme="minorBidi" w:hAnsiTheme="minorBidi" w:cs="Arial"/>
          <w:rtl/>
        </w:rPr>
        <w:t xml:space="preserve"> </w:t>
      </w:r>
      <w:r w:rsidRPr="00F936FC">
        <w:rPr>
          <w:rFonts w:asciiTheme="minorBidi" w:hAnsiTheme="minorBidi" w:cs="Arial" w:hint="cs"/>
          <w:rtl/>
        </w:rPr>
        <w:t>כדי</w:t>
      </w:r>
      <w:r w:rsidRPr="00F936FC">
        <w:rPr>
          <w:rFonts w:asciiTheme="minorBidi" w:hAnsiTheme="minorBidi" w:cs="Arial"/>
          <w:rtl/>
        </w:rPr>
        <w:t xml:space="preserve"> </w:t>
      </w:r>
      <w:r w:rsidRPr="00F936FC">
        <w:rPr>
          <w:rFonts w:asciiTheme="minorBidi" w:hAnsiTheme="minorBidi" w:cs="Arial" w:hint="cs"/>
          <w:rtl/>
        </w:rPr>
        <w:t>יין</w:t>
      </w:r>
      <w:r w:rsidRPr="00F936FC">
        <w:rPr>
          <w:rFonts w:asciiTheme="minorBidi" w:hAnsiTheme="minorBidi" w:cs="Arial"/>
          <w:rtl/>
        </w:rPr>
        <w:t xml:space="preserve"> </w:t>
      </w:r>
      <w:r w:rsidRPr="00F936FC">
        <w:rPr>
          <w:rFonts w:asciiTheme="minorBidi" w:hAnsiTheme="minorBidi" w:cs="Arial" w:hint="cs"/>
          <w:rtl/>
        </w:rPr>
        <w:t>ממקום</w:t>
      </w:r>
      <w:r w:rsidRPr="00F936FC">
        <w:rPr>
          <w:rFonts w:asciiTheme="minorBidi" w:hAnsiTheme="minorBidi" w:cs="Arial"/>
          <w:rtl/>
        </w:rPr>
        <w:t xml:space="preserve"> </w:t>
      </w:r>
      <w:r w:rsidRPr="00F936FC">
        <w:rPr>
          <w:rFonts w:asciiTheme="minorBidi" w:hAnsiTheme="minorBidi" w:cs="Arial" w:hint="cs"/>
          <w:rtl/>
        </w:rPr>
        <w:t>למקום</w:t>
      </w:r>
      <w:r w:rsidRPr="00F936FC">
        <w:rPr>
          <w:rFonts w:asciiTheme="minorBidi" w:hAnsiTheme="minorBidi" w:cs="Arial"/>
          <w:rtl/>
        </w:rPr>
        <w:t xml:space="preserve"> </w:t>
      </w:r>
      <w:r w:rsidRPr="00F936FC">
        <w:rPr>
          <w:rFonts w:asciiTheme="minorBidi" w:hAnsiTheme="minorBidi" w:cs="Arial" w:hint="cs"/>
          <w:rtl/>
        </w:rPr>
        <w:t>לא</w:t>
      </w:r>
      <w:r w:rsidRPr="00F936FC">
        <w:rPr>
          <w:rFonts w:asciiTheme="minorBidi" w:hAnsiTheme="minorBidi" w:cs="Arial"/>
          <w:rtl/>
        </w:rPr>
        <w:t xml:space="preserve"> </w:t>
      </w:r>
      <w:r w:rsidRPr="00F936FC">
        <w:rPr>
          <w:rFonts w:asciiTheme="minorBidi" w:hAnsiTheme="minorBidi" w:cs="Arial" w:hint="cs"/>
          <w:rtl/>
        </w:rPr>
        <w:t>יביאם</w:t>
      </w:r>
      <w:r w:rsidRPr="00F936FC">
        <w:rPr>
          <w:rFonts w:asciiTheme="minorBidi" w:hAnsiTheme="minorBidi" w:cs="Arial"/>
          <w:rtl/>
        </w:rPr>
        <w:t xml:space="preserve"> </w:t>
      </w:r>
      <w:r w:rsidRPr="00F936FC">
        <w:rPr>
          <w:rFonts w:asciiTheme="minorBidi" w:hAnsiTheme="minorBidi" w:cs="Arial" w:hint="cs"/>
          <w:rtl/>
        </w:rPr>
        <w:t>בסל</w:t>
      </w:r>
      <w:r w:rsidRPr="00F936FC">
        <w:rPr>
          <w:rFonts w:asciiTheme="minorBidi" w:hAnsiTheme="minorBidi" w:cs="Arial"/>
          <w:rtl/>
        </w:rPr>
        <w:t xml:space="preserve"> </w:t>
      </w:r>
      <w:r w:rsidRPr="00F936FC">
        <w:rPr>
          <w:rFonts w:asciiTheme="minorBidi" w:hAnsiTheme="minorBidi" w:cs="Arial" w:hint="cs"/>
          <w:rtl/>
        </w:rPr>
        <w:t>ובקופה</w:t>
      </w:r>
      <w:r w:rsidRPr="00F936FC">
        <w:rPr>
          <w:rFonts w:asciiTheme="minorBidi" w:hAnsiTheme="minorBidi" w:cs="Arial"/>
          <w:rtl/>
        </w:rPr>
        <w:t xml:space="preserve"> </w:t>
      </w:r>
      <w:r w:rsidRPr="00F936FC">
        <w:rPr>
          <w:rFonts w:asciiTheme="minorBidi" w:hAnsiTheme="minorBidi" w:cs="Arial" w:hint="cs"/>
          <w:rtl/>
        </w:rPr>
        <w:t>כדרך</w:t>
      </w:r>
      <w:r w:rsidRPr="00F936FC">
        <w:rPr>
          <w:rFonts w:asciiTheme="minorBidi" w:hAnsiTheme="minorBidi" w:cs="Arial"/>
          <w:rtl/>
        </w:rPr>
        <w:t xml:space="preserve"> </w:t>
      </w:r>
      <w:r w:rsidRPr="00F936FC">
        <w:rPr>
          <w:rFonts w:asciiTheme="minorBidi" w:hAnsiTheme="minorBidi" w:cs="Arial" w:hint="cs"/>
          <w:rtl/>
        </w:rPr>
        <w:t>חול</w:t>
      </w:r>
      <w:r w:rsidRPr="00F936FC">
        <w:rPr>
          <w:rFonts w:asciiTheme="minorBidi" w:hAnsiTheme="minorBidi" w:cs="Arial"/>
          <w:rtl/>
        </w:rPr>
        <w:t xml:space="preserve">, </w:t>
      </w:r>
      <w:r w:rsidRPr="00F936FC">
        <w:rPr>
          <w:rFonts w:asciiTheme="minorBidi" w:hAnsiTheme="minorBidi" w:cs="Arial" w:hint="cs"/>
          <w:rtl/>
        </w:rPr>
        <w:t>אלא</w:t>
      </w:r>
      <w:r w:rsidRPr="00F936FC">
        <w:rPr>
          <w:rFonts w:asciiTheme="minorBidi" w:hAnsiTheme="minorBidi" w:cs="Arial"/>
          <w:rtl/>
        </w:rPr>
        <w:t xml:space="preserve"> </w:t>
      </w:r>
      <w:r w:rsidRPr="00F936FC">
        <w:rPr>
          <w:rFonts w:asciiTheme="minorBidi" w:hAnsiTheme="minorBidi" w:cs="Arial" w:hint="cs"/>
          <w:rtl/>
        </w:rPr>
        <w:t>יביאם</w:t>
      </w:r>
      <w:r w:rsidRPr="00F936FC">
        <w:rPr>
          <w:rFonts w:asciiTheme="minorBidi" w:hAnsiTheme="minorBidi" w:cs="Arial"/>
          <w:rtl/>
        </w:rPr>
        <w:t xml:space="preserve"> </w:t>
      </w:r>
      <w:r w:rsidRPr="00F936FC">
        <w:rPr>
          <w:rFonts w:asciiTheme="minorBidi" w:hAnsiTheme="minorBidi" w:cs="Arial" w:hint="cs"/>
          <w:rtl/>
        </w:rPr>
        <w:t>לפניו</w:t>
      </w:r>
      <w:r w:rsidRPr="00F936FC">
        <w:rPr>
          <w:rFonts w:asciiTheme="minorBidi" w:hAnsiTheme="minorBidi" w:cs="Arial"/>
          <w:rtl/>
        </w:rPr>
        <w:t xml:space="preserve"> </w:t>
      </w:r>
      <w:r w:rsidRPr="00F936FC">
        <w:rPr>
          <w:rFonts w:asciiTheme="minorBidi" w:hAnsiTheme="minorBidi" w:cs="Arial" w:hint="cs"/>
          <w:rtl/>
        </w:rPr>
        <w:t>או</w:t>
      </w:r>
      <w:r w:rsidRPr="00F936FC">
        <w:rPr>
          <w:rFonts w:asciiTheme="minorBidi" w:hAnsiTheme="minorBidi" w:cs="Arial"/>
          <w:rtl/>
        </w:rPr>
        <w:t xml:space="preserve"> </w:t>
      </w:r>
      <w:r w:rsidRPr="00F936FC">
        <w:rPr>
          <w:rFonts w:asciiTheme="minorBidi" w:hAnsiTheme="minorBidi" w:cs="Arial" w:hint="cs"/>
          <w:rtl/>
        </w:rPr>
        <w:t>על</w:t>
      </w:r>
      <w:r w:rsidRPr="00F936FC">
        <w:rPr>
          <w:rFonts w:asciiTheme="minorBidi" w:hAnsiTheme="minorBidi" w:cs="Arial"/>
          <w:rtl/>
        </w:rPr>
        <w:t xml:space="preserve"> </w:t>
      </w:r>
      <w:r w:rsidRPr="00F936FC">
        <w:rPr>
          <w:rFonts w:asciiTheme="minorBidi" w:hAnsiTheme="minorBidi" w:cs="Arial" w:hint="cs"/>
          <w:rtl/>
        </w:rPr>
        <w:t>כתפו</w:t>
      </w:r>
      <w:r w:rsidRPr="00F936FC">
        <w:rPr>
          <w:rFonts w:asciiTheme="minorBidi" w:hAnsiTheme="minorBidi" w:cs="Arial"/>
          <w:rtl/>
        </w:rPr>
        <w:t xml:space="preserve"> </w:t>
      </w:r>
      <w:r w:rsidRPr="00F936FC">
        <w:rPr>
          <w:rFonts w:asciiTheme="minorBidi" w:hAnsiTheme="minorBidi" w:cs="Arial" w:hint="cs"/>
          <w:rtl/>
        </w:rPr>
        <w:t>וכיוצא</w:t>
      </w:r>
      <w:r w:rsidRPr="00F936FC">
        <w:rPr>
          <w:rFonts w:asciiTheme="minorBidi" w:hAnsiTheme="minorBidi" w:cs="Arial"/>
          <w:rtl/>
        </w:rPr>
        <w:t xml:space="preserve"> </w:t>
      </w:r>
      <w:r w:rsidRPr="00F936FC">
        <w:rPr>
          <w:rFonts w:asciiTheme="minorBidi" w:hAnsiTheme="minorBidi" w:cs="Arial" w:hint="cs"/>
          <w:rtl/>
        </w:rPr>
        <w:t>בזה</w:t>
      </w:r>
      <w:r w:rsidRPr="00F936FC">
        <w:rPr>
          <w:rFonts w:asciiTheme="minorBidi" w:hAnsiTheme="minorBidi" w:cs="Arial"/>
          <w:rtl/>
        </w:rPr>
        <w:t xml:space="preserve">, </w:t>
      </w:r>
      <w:r w:rsidRPr="00F936FC">
        <w:rPr>
          <w:rFonts w:asciiTheme="minorBidi" w:hAnsiTheme="minorBidi" w:cs="Arial" w:hint="cs"/>
          <w:rtl/>
        </w:rPr>
        <w:t>שישנה</w:t>
      </w:r>
      <w:r w:rsidRPr="00F936FC">
        <w:rPr>
          <w:rFonts w:asciiTheme="minorBidi" w:hAnsiTheme="minorBidi" w:cs="Arial"/>
          <w:rtl/>
        </w:rPr>
        <w:t xml:space="preserve"> </w:t>
      </w:r>
      <w:r w:rsidRPr="00F936FC">
        <w:rPr>
          <w:rFonts w:asciiTheme="minorBidi" w:hAnsiTheme="minorBidi" w:cs="Arial" w:hint="cs"/>
          <w:rtl/>
        </w:rPr>
        <w:t>מדרך</w:t>
      </w:r>
      <w:r w:rsidRPr="00F936FC">
        <w:rPr>
          <w:rFonts w:asciiTheme="minorBidi" w:hAnsiTheme="minorBidi" w:cs="Arial"/>
          <w:rtl/>
        </w:rPr>
        <w:t xml:space="preserve"> </w:t>
      </w:r>
      <w:r w:rsidRPr="00F936FC">
        <w:rPr>
          <w:rFonts w:asciiTheme="minorBidi" w:hAnsiTheme="minorBidi" w:cs="Arial" w:hint="cs"/>
          <w:rtl/>
        </w:rPr>
        <w:t>חול</w:t>
      </w:r>
      <w:r w:rsidRPr="00F936FC">
        <w:rPr>
          <w:rFonts w:asciiTheme="minorBidi" w:hAnsiTheme="minorBidi" w:cs="Arial"/>
          <w:rtl/>
        </w:rPr>
        <w:t xml:space="preserve"> </w:t>
      </w:r>
      <w:r w:rsidRPr="00F936FC">
        <w:rPr>
          <w:rFonts w:asciiTheme="minorBidi" w:hAnsiTheme="minorBidi" w:cs="Arial" w:hint="cs"/>
          <w:rtl/>
        </w:rPr>
        <w:t>אפי</w:t>
      </w:r>
      <w:r w:rsidRPr="00F936FC">
        <w:rPr>
          <w:rFonts w:asciiTheme="minorBidi" w:hAnsiTheme="minorBidi" w:cs="Arial"/>
          <w:rtl/>
        </w:rPr>
        <w:t xml:space="preserve">' </w:t>
      </w:r>
      <w:r w:rsidRPr="00F936FC">
        <w:rPr>
          <w:rFonts w:asciiTheme="minorBidi" w:hAnsiTheme="minorBidi" w:cs="Arial" w:hint="cs"/>
          <w:rtl/>
        </w:rPr>
        <w:t>אין</w:t>
      </w:r>
      <w:r w:rsidRPr="00F936FC">
        <w:rPr>
          <w:rFonts w:asciiTheme="minorBidi" w:hAnsiTheme="minorBidi" w:cs="Arial"/>
          <w:rtl/>
        </w:rPr>
        <w:t xml:space="preserve"> </w:t>
      </w:r>
      <w:r w:rsidRPr="00F936FC">
        <w:rPr>
          <w:rFonts w:asciiTheme="minorBidi" w:hAnsiTheme="minorBidi" w:cs="Arial" w:hint="cs"/>
          <w:rtl/>
        </w:rPr>
        <w:t>בשינוי</w:t>
      </w:r>
      <w:r w:rsidRPr="00F936FC">
        <w:rPr>
          <w:rFonts w:asciiTheme="minorBidi" w:hAnsiTheme="minorBidi" w:cs="Arial"/>
          <w:rtl/>
        </w:rPr>
        <w:t xml:space="preserve"> </w:t>
      </w:r>
      <w:r w:rsidRPr="00F936FC">
        <w:rPr>
          <w:rFonts w:asciiTheme="minorBidi" w:hAnsiTheme="minorBidi" w:cs="Arial" w:hint="cs"/>
          <w:rtl/>
        </w:rPr>
        <w:t>קלות</w:t>
      </w:r>
      <w:r w:rsidRPr="00F936FC">
        <w:rPr>
          <w:rFonts w:asciiTheme="minorBidi" w:hAnsiTheme="minorBidi" w:cs="Arial"/>
          <w:rtl/>
        </w:rPr>
        <w:t xml:space="preserve"> </w:t>
      </w:r>
      <w:r w:rsidRPr="00F936FC">
        <w:rPr>
          <w:rFonts w:asciiTheme="minorBidi" w:hAnsiTheme="minorBidi" w:cs="Arial" w:hint="cs"/>
          <w:rtl/>
        </w:rPr>
        <w:t>במשא</w:t>
      </w:r>
      <w:r w:rsidRPr="00F936FC">
        <w:rPr>
          <w:rFonts w:asciiTheme="minorBidi" w:hAnsiTheme="minorBidi" w:cs="Arial"/>
          <w:rtl/>
        </w:rPr>
        <w:t xml:space="preserve">; </w:t>
      </w:r>
      <w:r w:rsidRPr="00F936FC">
        <w:rPr>
          <w:rFonts w:asciiTheme="minorBidi" w:hAnsiTheme="minorBidi" w:cs="Arial" w:hint="cs"/>
          <w:rtl/>
        </w:rPr>
        <w:t>ואם</w:t>
      </w:r>
      <w:r w:rsidRPr="00F936FC">
        <w:rPr>
          <w:rFonts w:asciiTheme="minorBidi" w:hAnsiTheme="minorBidi" w:cs="Arial"/>
          <w:rtl/>
        </w:rPr>
        <w:t xml:space="preserve"> </w:t>
      </w:r>
      <w:r w:rsidRPr="00F936FC">
        <w:rPr>
          <w:rFonts w:asciiTheme="minorBidi" w:hAnsiTheme="minorBidi" w:cs="Arial" w:hint="cs"/>
          <w:rtl/>
        </w:rPr>
        <w:t>אי</w:t>
      </w:r>
      <w:r w:rsidRPr="00F936FC">
        <w:rPr>
          <w:rFonts w:asciiTheme="minorBidi" w:hAnsiTheme="minorBidi" w:cs="Arial"/>
          <w:rtl/>
        </w:rPr>
        <w:t xml:space="preserve"> </w:t>
      </w:r>
      <w:r w:rsidRPr="00F936FC">
        <w:rPr>
          <w:rFonts w:asciiTheme="minorBidi" w:hAnsiTheme="minorBidi" w:cs="Arial" w:hint="cs"/>
          <w:rtl/>
        </w:rPr>
        <w:t>אפשר</w:t>
      </w:r>
      <w:r w:rsidRPr="00F936FC">
        <w:rPr>
          <w:rFonts w:asciiTheme="minorBidi" w:hAnsiTheme="minorBidi" w:cs="Arial"/>
          <w:rtl/>
        </w:rPr>
        <w:t xml:space="preserve"> </w:t>
      </w:r>
      <w:r w:rsidRPr="00F936FC">
        <w:rPr>
          <w:rFonts w:asciiTheme="minorBidi" w:hAnsiTheme="minorBidi" w:cs="Arial" w:hint="cs"/>
          <w:rtl/>
        </w:rPr>
        <w:t>לו</w:t>
      </w:r>
      <w:r w:rsidRPr="00F936FC">
        <w:rPr>
          <w:rFonts w:asciiTheme="minorBidi" w:hAnsiTheme="minorBidi" w:cs="Arial"/>
          <w:rtl/>
        </w:rPr>
        <w:t xml:space="preserve"> </w:t>
      </w:r>
      <w:r w:rsidRPr="00F936FC">
        <w:rPr>
          <w:rFonts w:asciiTheme="minorBidi" w:hAnsiTheme="minorBidi" w:cs="Arial" w:hint="cs"/>
          <w:rtl/>
        </w:rPr>
        <w:t>לשנות</w:t>
      </w:r>
      <w:r w:rsidRPr="00F936FC">
        <w:rPr>
          <w:rFonts w:asciiTheme="minorBidi" w:hAnsiTheme="minorBidi" w:cs="Arial"/>
          <w:rtl/>
        </w:rPr>
        <w:t xml:space="preserve">, </w:t>
      </w:r>
      <w:r w:rsidRPr="00F936FC">
        <w:rPr>
          <w:rFonts w:asciiTheme="minorBidi" w:hAnsiTheme="minorBidi" w:cs="Arial" w:hint="cs"/>
          <w:rtl/>
        </w:rPr>
        <w:t>כגון</w:t>
      </w:r>
      <w:r w:rsidRPr="00F936FC">
        <w:rPr>
          <w:rFonts w:asciiTheme="minorBidi" w:hAnsiTheme="minorBidi" w:cs="Arial"/>
          <w:rtl/>
        </w:rPr>
        <w:t xml:space="preserve"> </w:t>
      </w:r>
      <w:r w:rsidRPr="00F936FC">
        <w:rPr>
          <w:rFonts w:asciiTheme="minorBidi" w:hAnsiTheme="minorBidi" w:cs="Arial" w:hint="cs"/>
          <w:rtl/>
        </w:rPr>
        <w:t>שזימן</w:t>
      </w:r>
      <w:r w:rsidRPr="00F936FC">
        <w:rPr>
          <w:rFonts w:asciiTheme="minorBidi" w:hAnsiTheme="minorBidi" w:cs="Arial"/>
          <w:rtl/>
        </w:rPr>
        <w:t xml:space="preserve"> </w:t>
      </w:r>
      <w:r w:rsidRPr="00F936FC">
        <w:rPr>
          <w:rFonts w:asciiTheme="minorBidi" w:hAnsiTheme="minorBidi" w:cs="Arial" w:hint="cs"/>
          <w:rtl/>
        </w:rPr>
        <w:t>אורחים</w:t>
      </w:r>
      <w:r w:rsidRPr="00F936FC">
        <w:rPr>
          <w:rFonts w:asciiTheme="minorBidi" w:hAnsiTheme="minorBidi" w:cs="Arial"/>
          <w:rtl/>
        </w:rPr>
        <w:t xml:space="preserve"> </w:t>
      </w:r>
      <w:r w:rsidRPr="00F936FC">
        <w:rPr>
          <w:rFonts w:asciiTheme="minorBidi" w:hAnsiTheme="minorBidi" w:cs="Arial" w:hint="cs"/>
          <w:rtl/>
        </w:rPr>
        <w:t>הרבה</w:t>
      </w:r>
      <w:r w:rsidRPr="00F936FC">
        <w:rPr>
          <w:rFonts w:asciiTheme="minorBidi" w:hAnsiTheme="minorBidi" w:cs="Arial"/>
          <w:rtl/>
        </w:rPr>
        <w:t xml:space="preserve"> </w:t>
      </w:r>
      <w:r w:rsidRPr="00F936FC">
        <w:rPr>
          <w:rFonts w:asciiTheme="minorBidi" w:hAnsiTheme="minorBidi" w:cs="Arial" w:hint="cs"/>
          <w:rtl/>
        </w:rPr>
        <w:t>וצריך</w:t>
      </w:r>
      <w:r w:rsidRPr="00F936FC">
        <w:rPr>
          <w:rFonts w:asciiTheme="minorBidi" w:hAnsiTheme="minorBidi" w:cs="Arial"/>
          <w:rtl/>
        </w:rPr>
        <w:t xml:space="preserve"> </w:t>
      </w:r>
      <w:r w:rsidRPr="00F936FC">
        <w:rPr>
          <w:rFonts w:asciiTheme="minorBidi" w:hAnsiTheme="minorBidi" w:cs="Arial" w:hint="cs"/>
          <w:rtl/>
        </w:rPr>
        <w:t>למהר</w:t>
      </w:r>
      <w:r w:rsidRPr="00F936FC">
        <w:rPr>
          <w:rFonts w:asciiTheme="minorBidi" w:hAnsiTheme="minorBidi" w:cs="Arial"/>
          <w:rtl/>
        </w:rPr>
        <w:t xml:space="preserve"> </w:t>
      </w:r>
      <w:r w:rsidRPr="00F936FC">
        <w:rPr>
          <w:rFonts w:asciiTheme="minorBidi" w:hAnsiTheme="minorBidi" w:cs="Arial" w:hint="cs"/>
          <w:rtl/>
        </w:rPr>
        <w:t>להביא</w:t>
      </w:r>
      <w:r w:rsidRPr="00F936FC">
        <w:rPr>
          <w:rFonts w:asciiTheme="minorBidi" w:hAnsiTheme="minorBidi" w:cs="Arial"/>
          <w:rtl/>
        </w:rPr>
        <w:t xml:space="preserve"> </w:t>
      </w:r>
      <w:r w:rsidRPr="00F936FC">
        <w:rPr>
          <w:rFonts w:asciiTheme="minorBidi" w:hAnsiTheme="minorBidi" w:cs="Arial" w:hint="cs"/>
          <w:rtl/>
        </w:rPr>
        <w:t>לפניהם</w:t>
      </w:r>
      <w:r w:rsidRPr="00F936FC">
        <w:rPr>
          <w:rFonts w:asciiTheme="minorBidi" w:hAnsiTheme="minorBidi" w:cs="Arial"/>
          <w:rtl/>
        </w:rPr>
        <w:t xml:space="preserve">, </w:t>
      </w:r>
      <w:r w:rsidRPr="00F936FC">
        <w:rPr>
          <w:rFonts w:asciiTheme="minorBidi" w:hAnsiTheme="minorBidi" w:cs="Arial" w:hint="cs"/>
          <w:rtl/>
        </w:rPr>
        <w:t>מותר</w:t>
      </w:r>
      <w:r w:rsidRPr="00F936FC">
        <w:rPr>
          <w:rFonts w:asciiTheme="minorBidi" w:hAnsiTheme="minorBidi" w:cs="Arial"/>
          <w:rtl/>
        </w:rPr>
        <w:t xml:space="preserve">. </w:t>
      </w:r>
      <w:r w:rsidRPr="00F936FC">
        <w:rPr>
          <w:rFonts w:asciiTheme="minorBidi" w:hAnsiTheme="minorBidi" w:cs="Arial" w:hint="cs"/>
          <w:rtl/>
        </w:rPr>
        <w:t>ויש</w:t>
      </w:r>
      <w:r w:rsidRPr="00F936FC">
        <w:rPr>
          <w:rFonts w:asciiTheme="minorBidi" w:hAnsiTheme="minorBidi" w:cs="Arial"/>
          <w:rtl/>
        </w:rPr>
        <w:t xml:space="preserve"> </w:t>
      </w:r>
      <w:r w:rsidRPr="00F936FC">
        <w:rPr>
          <w:rFonts w:asciiTheme="minorBidi" w:hAnsiTheme="minorBidi" w:cs="Arial" w:hint="cs"/>
          <w:rtl/>
        </w:rPr>
        <w:t>אומרים</w:t>
      </w:r>
      <w:r w:rsidRPr="00F936FC">
        <w:rPr>
          <w:rFonts w:asciiTheme="minorBidi" w:hAnsiTheme="minorBidi" w:cs="Arial"/>
          <w:rtl/>
        </w:rPr>
        <w:t xml:space="preserve"> </w:t>
      </w:r>
      <w:r w:rsidRPr="00F936FC">
        <w:rPr>
          <w:rFonts w:asciiTheme="minorBidi" w:hAnsiTheme="minorBidi" w:cs="Arial" w:hint="cs"/>
          <w:rtl/>
        </w:rPr>
        <w:t>דלמעט</w:t>
      </w:r>
      <w:r w:rsidRPr="00F936FC">
        <w:rPr>
          <w:rFonts w:asciiTheme="minorBidi" w:hAnsiTheme="minorBidi" w:cs="Arial"/>
          <w:rtl/>
        </w:rPr>
        <w:t xml:space="preserve"> </w:t>
      </w:r>
      <w:r w:rsidRPr="00F936FC">
        <w:rPr>
          <w:rFonts w:asciiTheme="minorBidi" w:hAnsiTheme="minorBidi" w:cs="Arial" w:hint="cs"/>
          <w:rtl/>
        </w:rPr>
        <w:t>בהילוך</w:t>
      </w:r>
      <w:r w:rsidRPr="00F936FC">
        <w:rPr>
          <w:rFonts w:asciiTheme="minorBidi" w:hAnsiTheme="minorBidi" w:cs="Arial"/>
          <w:rtl/>
        </w:rPr>
        <w:t xml:space="preserve"> </w:t>
      </w:r>
      <w:r w:rsidRPr="00F936FC">
        <w:rPr>
          <w:rFonts w:asciiTheme="minorBidi" w:hAnsiTheme="minorBidi" w:cs="Arial" w:hint="cs"/>
          <w:rtl/>
        </w:rPr>
        <w:t>עדיף</w:t>
      </w:r>
      <w:r w:rsidRPr="00F936FC">
        <w:rPr>
          <w:rFonts w:asciiTheme="minorBidi" w:hAnsiTheme="minorBidi" w:cs="Arial"/>
          <w:rtl/>
        </w:rPr>
        <w:t xml:space="preserve">, </w:t>
      </w:r>
      <w:r w:rsidRPr="00F936FC">
        <w:rPr>
          <w:rFonts w:asciiTheme="minorBidi" w:hAnsiTheme="minorBidi" w:cs="Arial" w:hint="cs"/>
          <w:rtl/>
        </w:rPr>
        <w:t>ויותר</w:t>
      </w:r>
      <w:r w:rsidRPr="00F936FC">
        <w:rPr>
          <w:rFonts w:asciiTheme="minorBidi" w:hAnsiTheme="minorBidi" w:cs="Arial"/>
          <w:rtl/>
        </w:rPr>
        <w:t xml:space="preserve"> </w:t>
      </w:r>
      <w:r w:rsidRPr="00F936FC">
        <w:rPr>
          <w:rFonts w:asciiTheme="minorBidi" w:hAnsiTheme="minorBidi" w:cs="Arial" w:hint="cs"/>
          <w:rtl/>
        </w:rPr>
        <w:t>טוב</w:t>
      </w:r>
      <w:r w:rsidRPr="00F936FC">
        <w:rPr>
          <w:rFonts w:asciiTheme="minorBidi" w:hAnsiTheme="minorBidi" w:cs="Arial"/>
          <w:rtl/>
        </w:rPr>
        <w:t xml:space="preserve"> </w:t>
      </w:r>
      <w:r w:rsidRPr="00F936FC">
        <w:rPr>
          <w:rFonts w:asciiTheme="minorBidi" w:hAnsiTheme="minorBidi" w:cs="Arial" w:hint="cs"/>
          <w:rtl/>
        </w:rPr>
        <w:t>להביאם</w:t>
      </w:r>
      <w:r w:rsidRPr="00F936FC">
        <w:rPr>
          <w:rFonts w:asciiTheme="minorBidi" w:hAnsiTheme="minorBidi" w:cs="Arial"/>
          <w:rtl/>
        </w:rPr>
        <w:t xml:space="preserve"> </w:t>
      </w:r>
      <w:r w:rsidRPr="00F936FC">
        <w:rPr>
          <w:rFonts w:asciiTheme="minorBidi" w:hAnsiTheme="minorBidi" w:cs="Arial" w:hint="cs"/>
          <w:rtl/>
        </w:rPr>
        <w:t>בסל</w:t>
      </w:r>
      <w:r w:rsidRPr="00F936FC">
        <w:rPr>
          <w:rFonts w:asciiTheme="minorBidi" w:hAnsiTheme="minorBidi" w:cs="Arial"/>
          <w:rtl/>
        </w:rPr>
        <w:t xml:space="preserve"> </w:t>
      </w:r>
      <w:r w:rsidRPr="00F936FC">
        <w:rPr>
          <w:rFonts w:asciiTheme="minorBidi" w:hAnsiTheme="minorBidi" w:cs="Arial" w:hint="cs"/>
          <w:rtl/>
        </w:rPr>
        <w:t>ובקופה</w:t>
      </w:r>
      <w:r w:rsidRPr="00F936FC">
        <w:rPr>
          <w:rFonts w:asciiTheme="minorBidi" w:hAnsiTheme="minorBidi" w:cs="Arial"/>
          <w:rtl/>
        </w:rPr>
        <w:t xml:space="preserve"> </w:t>
      </w:r>
      <w:r w:rsidRPr="00F936FC">
        <w:rPr>
          <w:rFonts w:asciiTheme="minorBidi" w:hAnsiTheme="minorBidi" w:cs="Arial" w:hint="cs"/>
          <w:rtl/>
        </w:rPr>
        <w:t>בפעם</w:t>
      </w:r>
      <w:r w:rsidRPr="00F936FC">
        <w:rPr>
          <w:rFonts w:asciiTheme="minorBidi" w:hAnsiTheme="minorBidi" w:cs="Arial"/>
          <w:rtl/>
        </w:rPr>
        <w:t xml:space="preserve"> </w:t>
      </w:r>
      <w:r w:rsidRPr="00F936FC">
        <w:rPr>
          <w:rFonts w:asciiTheme="minorBidi" w:hAnsiTheme="minorBidi" w:cs="Arial" w:hint="cs"/>
          <w:rtl/>
        </w:rPr>
        <w:t>א</w:t>
      </w:r>
      <w:r w:rsidRPr="00F936FC">
        <w:rPr>
          <w:rFonts w:asciiTheme="minorBidi" w:hAnsiTheme="minorBidi" w:cs="Arial"/>
          <w:rtl/>
        </w:rPr>
        <w:t xml:space="preserve">' </w:t>
      </w:r>
      <w:r w:rsidRPr="00F936FC">
        <w:rPr>
          <w:rFonts w:asciiTheme="minorBidi" w:hAnsiTheme="minorBidi" w:cs="Arial" w:hint="cs"/>
          <w:rtl/>
        </w:rPr>
        <w:t>מלהביאם</w:t>
      </w:r>
      <w:r w:rsidRPr="00F936FC">
        <w:rPr>
          <w:rFonts w:asciiTheme="minorBidi" w:hAnsiTheme="minorBidi" w:cs="Arial"/>
          <w:rtl/>
        </w:rPr>
        <w:t xml:space="preserve"> </w:t>
      </w:r>
      <w:r w:rsidRPr="00F936FC">
        <w:rPr>
          <w:rFonts w:asciiTheme="minorBidi" w:hAnsiTheme="minorBidi" w:cs="Arial" w:hint="cs"/>
          <w:rtl/>
        </w:rPr>
        <w:t>כל</w:t>
      </w:r>
      <w:r w:rsidRPr="00F936FC">
        <w:rPr>
          <w:rFonts w:asciiTheme="minorBidi" w:hAnsiTheme="minorBidi" w:cs="Arial"/>
          <w:rtl/>
        </w:rPr>
        <w:t xml:space="preserve"> </w:t>
      </w:r>
      <w:r w:rsidRPr="00F936FC">
        <w:rPr>
          <w:rFonts w:asciiTheme="minorBidi" w:hAnsiTheme="minorBidi" w:cs="Arial" w:hint="cs"/>
          <w:rtl/>
        </w:rPr>
        <w:t>אחת</w:t>
      </w:r>
      <w:r w:rsidRPr="00F936FC">
        <w:rPr>
          <w:rFonts w:asciiTheme="minorBidi" w:hAnsiTheme="minorBidi" w:cs="Arial"/>
          <w:rtl/>
        </w:rPr>
        <w:t xml:space="preserve"> </w:t>
      </w:r>
      <w:r w:rsidRPr="00F936FC">
        <w:rPr>
          <w:rFonts w:asciiTheme="minorBidi" w:hAnsiTheme="minorBidi" w:cs="Arial" w:hint="cs"/>
          <w:rtl/>
        </w:rPr>
        <w:t>ואחת</w:t>
      </w:r>
      <w:r w:rsidRPr="00F936FC">
        <w:rPr>
          <w:rFonts w:asciiTheme="minorBidi" w:hAnsiTheme="minorBidi" w:cs="Arial"/>
          <w:rtl/>
        </w:rPr>
        <w:t xml:space="preserve"> </w:t>
      </w:r>
      <w:r w:rsidRPr="00F936FC">
        <w:rPr>
          <w:rFonts w:asciiTheme="minorBidi" w:hAnsiTheme="minorBidi" w:cs="Arial" w:hint="cs"/>
          <w:rtl/>
        </w:rPr>
        <w:t>בפני</w:t>
      </w:r>
      <w:r w:rsidRPr="00F936FC">
        <w:rPr>
          <w:rFonts w:asciiTheme="minorBidi" w:hAnsiTheme="minorBidi" w:cs="Arial"/>
          <w:rtl/>
        </w:rPr>
        <w:t xml:space="preserve"> </w:t>
      </w:r>
      <w:r w:rsidRPr="00F936FC">
        <w:rPr>
          <w:rFonts w:asciiTheme="minorBidi" w:hAnsiTheme="minorBidi" w:cs="Arial" w:hint="cs"/>
          <w:rtl/>
        </w:rPr>
        <w:t>עצמה</w:t>
      </w:r>
      <w:r w:rsidRPr="00F936FC">
        <w:rPr>
          <w:rFonts w:asciiTheme="minorBidi" w:hAnsiTheme="minorBidi" w:cs="Arial"/>
          <w:rtl/>
        </w:rPr>
        <w:t xml:space="preserve">. </w:t>
      </w:r>
    </w:p>
    <w:p w14:paraId="725E9331"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ו</w:t>
      </w:r>
    </w:p>
    <w:p w14:paraId="3141AD52" w14:textId="77777777" w:rsidR="006A4BF8" w:rsidRPr="00F936FC" w:rsidRDefault="006A4BF8" w:rsidP="00434A6A">
      <w:pPr>
        <w:rPr>
          <w:rFonts w:asciiTheme="minorBidi" w:hAnsiTheme="minorBidi"/>
          <w:rtl/>
        </w:rPr>
      </w:pPr>
      <w:r w:rsidRPr="00F936FC">
        <w:rPr>
          <w:rFonts w:asciiTheme="minorBidi" w:hAnsiTheme="minorBidi" w:cs="Arial" w:hint="cs"/>
          <w:rtl/>
        </w:rPr>
        <w:t>מדיחים</w:t>
      </w:r>
      <w:r w:rsidRPr="00F936FC">
        <w:rPr>
          <w:rFonts w:asciiTheme="minorBidi" w:hAnsiTheme="minorBidi" w:cs="Arial"/>
          <w:rtl/>
        </w:rPr>
        <w:t xml:space="preserve"> </w:t>
      </w:r>
      <w:r w:rsidRPr="00F936FC">
        <w:rPr>
          <w:rFonts w:asciiTheme="minorBidi" w:hAnsiTheme="minorBidi" w:cs="Arial" w:hint="cs"/>
          <w:rtl/>
        </w:rPr>
        <w:t>כלים</w:t>
      </w:r>
      <w:r w:rsidRPr="00F936FC">
        <w:rPr>
          <w:rFonts w:asciiTheme="minorBidi" w:hAnsiTheme="minorBidi" w:cs="Arial"/>
          <w:rtl/>
        </w:rPr>
        <w:t xml:space="preserve"> </w:t>
      </w:r>
      <w:r w:rsidRPr="00F936FC">
        <w:rPr>
          <w:rFonts w:asciiTheme="minorBidi" w:hAnsiTheme="minorBidi" w:cs="Arial" w:hint="cs"/>
          <w:rtl/>
        </w:rPr>
        <w:t>לצורך</w:t>
      </w:r>
      <w:r w:rsidRPr="00F936FC">
        <w:rPr>
          <w:rFonts w:asciiTheme="minorBidi" w:hAnsiTheme="minorBidi" w:cs="Arial"/>
          <w:rtl/>
        </w:rPr>
        <w:t xml:space="preserve"> </w:t>
      </w:r>
      <w:r w:rsidRPr="00F936FC">
        <w:rPr>
          <w:rFonts w:asciiTheme="minorBidi" w:hAnsiTheme="minorBidi" w:cs="Arial" w:hint="cs"/>
          <w:rtl/>
        </w:rPr>
        <w:t>היום</w:t>
      </w:r>
      <w:r w:rsidRPr="00F936FC">
        <w:rPr>
          <w:rFonts w:asciiTheme="minorBidi" w:hAnsiTheme="minorBidi" w:cs="Arial"/>
          <w:rtl/>
        </w:rPr>
        <w:t xml:space="preserve">, </w:t>
      </w:r>
      <w:r w:rsidRPr="00F936FC">
        <w:rPr>
          <w:rFonts w:asciiTheme="minorBidi" w:hAnsiTheme="minorBidi" w:cs="Arial" w:hint="cs"/>
          <w:rtl/>
        </w:rPr>
        <w:t>כגון</w:t>
      </w:r>
      <w:r w:rsidRPr="00F936FC">
        <w:rPr>
          <w:rFonts w:asciiTheme="minorBidi" w:hAnsiTheme="minorBidi" w:cs="Arial"/>
          <w:rtl/>
        </w:rPr>
        <w:t xml:space="preserve"> </w:t>
      </w:r>
      <w:r w:rsidRPr="00F936FC">
        <w:rPr>
          <w:rFonts w:asciiTheme="minorBidi" w:hAnsiTheme="minorBidi" w:cs="Arial" w:hint="cs"/>
          <w:rtl/>
        </w:rPr>
        <w:t>שנשאר</w:t>
      </w:r>
      <w:r w:rsidRPr="00F936FC">
        <w:rPr>
          <w:rFonts w:asciiTheme="minorBidi" w:hAnsiTheme="minorBidi" w:cs="Arial"/>
          <w:rtl/>
        </w:rPr>
        <w:t xml:space="preserve"> </w:t>
      </w:r>
      <w:r w:rsidRPr="00F936FC">
        <w:rPr>
          <w:rFonts w:asciiTheme="minorBidi" w:hAnsiTheme="minorBidi" w:cs="Arial" w:hint="cs"/>
          <w:rtl/>
        </w:rPr>
        <w:t>לו</w:t>
      </w:r>
      <w:r w:rsidRPr="00F936FC">
        <w:rPr>
          <w:rFonts w:asciiTheme="minorBidi" w:hAnsiTheme="minorBidi" w:cs="Arial"/>
          <w:rtl/>
        </w:rPr>
        <w:t xml:space="preserve"> </w:t>
      </w:r>
      <w:r w:rsidRPr="00F936FC">
        <w:rPr>
          <w:rFonts w:asciiTheme="minorBidi" w:hAnsiTheme="minorBidi" w:cs="Arial" w:hint="cs"/>
          <w:rtl/>
        </w:rPr>
        <w:t>עדיין</w:t>
      </w:r>
      <w:r w:rsidRPr="00F936FC">
        <w:rPr>
          <w:rFonts w:asciiTheme="minorBidi" w:hAnsiTheme="minorBidi" w:cs="Arial"/>
          <w:rtl/>
        </w:rPr>
        <w:t xml:space="preserve"> </w:t>
      </w:r>
      <w:r w:rsidRPr="00F936FC">
        <w:rPr>
          <w:rFonts w:asciiTheme="minorBidi" w:hAnsiTheme="minorBidi" w:cs="Arial" w:hint="cs"/>
          <w:rtl/>
        </w:rPr>
        <w:t>סעודה</w:t>
      </w:r>
      <w:r w:rsidRPr="00F936FC">
        <w:rPr>
          <w:rFonts w:asciiTheme="minorBidi" w:hAnsiTheme="minorBidi" w:cs="Arial"/>
          <w:rtl/>
        </w:rPr>
        <w:t xml:space="preserve"> </w:t>
      </w:r>
      <w:r w:rsidRPr="00F936FC">
        <w:rPr>
          <w:rFonts w:asciiTheme="minorBidi" w:hAnsiTheme="minorBidi" w:cs="Arial" w:hint="cs"/>
          <w:rtl/>
        </w:rPr>
        <w:t>לאכול</w:t>
      </w:r>
      <w:r w:rsidRPr="00F936FC">
        <w:rPr>
          <w:rFonts w:asciiTheme="minorBidi" w:hAnsiTheme="minorBidi" w:cs="Arial"/>
          <w:rtl/>
        </w:rPr>
        <w:t xml:space="preserve">; </w:t>
      </w:r>
      <w:r w:rsidRPr="00F936FC">
        <w:rPr>
          <w:rFonts w:asciiTheme="minorBidi" w:hAnsiTheme="minorBidi" w:cs="Arial" w:hint="cs"/>
          <w:rtl/>
        </w:rPr>
        <w:t>אבל</w:t>
      </w:r>
      <w:r w:rsidRPr="00F936FC">
        <w:rPr>
          <w:rFonts w:asciiTheme="minorBidi" w:hAnsiTheme="minorBidi" w:cs="Arial"/>
          <w:rtl/>
        </w:rPr>
        <w:t xml:space="preserve"> </w:t>
      </w:r>
      <w:r w:rsidRPr="00F936FC">
        <w:rPr>
          <w:rFonts w:asciiTheme="minorBidi" w:hAnsiTheme="minorBidi" w:cs="Arial" w:hint="cs"/>
          <w:rtl/>
        </w:rPr>
        <w:t>לאחר</w:t>
      </w:r>
      <w:r w:rsidRPr="00F936FC">
        <w:rPr>
          <w:rFonts w:asciiTheme="minorBidi" w:hAnsiTheme="minorBidi" w:cs="Arial"/>
          <w:rtl/>
        </w:rPr>
        <w:t xml:space="preserve"> </w:t>
      </w:r>
      <w:r w:rsidRPr="00F936FC">
        <w:rPr>
          <w:rFonts w:asciiTheme="minorBidi" w:hAnsiTheme="minorBidi" w:cs="Arial" w:hint="cs"/>
          <w:rtl/>
        </w:rPr>
        <w:t>סעודה</w:t>
      </w:r>
      <w:r w:rsidRPr="00F936FC">
        <w:rPr>
          <w:rFonts w:asciiTheme="minorBidi" w:hAnsiTheme="minorBidi" w:cs="Arial"/>
          <w:rtl/>
        </w:rPr>
        <w:t xml:space="preserve"> </w:t>
      </w:r>
      <w:r w:rsidRPr="00F936FC">
        <w:rPr>
          <w:rFonts w:asciiTheme="minorBidi" w:hAnsiTheme="minorBidi" w:cs="Arial" w:hint="cs"/>
          <w:rtl/>
        </w:rPr>
        <w:t>שלישית</w:t>
      </w:r>
      <w:r w:rsidRPr="00F936FC">
        <w:rPr>
          <w:rFonts w:asciiTheme="minorBidi" w:hAnsiTheme="minorBidi" w:cs="Arial"/>
          <w:rtl/>
        </w:rPr>
        <w:t xml:space="preserve"> </w:t>
      </w:r>
      <w:r w:rsidRPr="00F936FC">
        <w:rPr>
          <w:rFonts w:asciiTheme="minorBidi" w:hAnsiTheme="minorBidi" w:cs="Arial" w:hint="cs"/>
          <w:rtl/>
        </w:rPr>
        <w:t>אין</w:t>
      </w:r>
      <w:r w:rsidRPr="00F936FC">
        <w:rPr>
          <w:rFonts w:asciiTheme="minorBidi" w:hAnsiTheme="minorBidi" w:cs="Arial"/>
          <w:rtl/>
        </w:rPr>
        <w:t xml:space="preserve"> </w:t>
      </w:r>
      <w:r w:rsidRPr="00F936FC">
        <w:rPr>
          <w:rFonts w:asciiTheme="minorBidi" w:hAnsiTheme="minorBidi" w:cs="Arial" w:hint="cs"/>
          <w:rtl/>
        </w:rPr>
        <w:t>מדיחין</w:t>
      </w:r>
      <w:r w:rsidRPr="00F936FC">
        <w:rPr>
          <w:rFonts w:asciiTheme="minorBidi" w:hAnsiTheme="minorBidi" w:cs="Arial"/>
          <w:rtl/>
        </w:rPr>
        <w:t xml:space="preserve">; </w:t>
      </w:r>
      <w:r w:rsidRPr="00F936FC">
        <w:rPr>
          <w:rFonts w:asciiTheme="minorBidi" w:hAnsiTheme="minorBidi" w:cs="Arial" w:hint="cs"/>
          <w:rtl/>
        </w:rPr>
        <w:t>וכלי</w:t>
      </w:r>
      <w:r w:rsidRPr="00F936FC">
        <w:rPr>
          <w:rFonts w:asciiTheme="minorBidi" w:hAnsiTheme="minorBidi" w:cs="Arial"/>
          <w:rtl/>
        </w:rPr>
        <w:t xml:space="preserve"> </w:t>
      </w:r>
      <w:r w:rsidRPr="00F936FC">
        <w:rPr>
          <w:rFonts w:asciiTheme="minorBidi" w:hAnsiTheme="minorBidi" w:cs="Arial" w:hint="cs"/>
          <w:rtl/>
        </w:rPr>
        <w:t>שתייה</w:t>
      </w:r>
      <w:r w:rsidRPr="00F936FC">
        <w:rPr>
          <w:rFonts w:asciiTheme="minorBidi" w:hAnsiTheme="minorBidi" w:cs="Arial"/>
          <w:rtl/>
        </w:rPr>
        <w:t xml:space="preserve">, </w:t>
      </w:r>
      <w:r w:rsidRPr="00F936FC">
        <w:rPr>
          <w:rFonts w:asciiTheme="minorBidi" w:hAnsiTheme="minorBidi" w:cs="Arial" w:hint="cs"/>
          <w:rtl/>
        </w:rPr>
        <w:t>מדיחין</w:t>
      </w:r>
      <w:r w:rsidRPr="00F936FC">
        <w:rPr>
          <w:rFonts w:asciiTheme="minorBidi" w:hAnsiTheme="minorBidi" w:cs="Arial"/>
          <w:rtl/>
        </w:rPr>
        <w:t xml:space="preserve"> </w:t>
      </w:r>
      <w:r w:rsidRPr="00F936FC">
        <w:rPr>
          <w:rFonts w:asciiTheme="minorBidi" w:hAnsiTheme="minorBidi" w:cs="Arial" w:hint="cs"/>
          <w:rtl/>
        </w:rPr>
        <w:t>כל</w:t>
      </w:r>
      <w:r w:rsidRPr="00F936FC">
        <w:rPr>
          <w:rFonts w:asciiTheme="minorBidi" w:hAnsiTheme="minorBidi" w:cs="Arial"/>
          <w:rtl/>
        </w:rPr>
        <w:t xml:space="preserve"> </w:t>
      </w:r>
      <w:r w:rsidRPr="00F936FC">
        <w:rPr>
          <w:rFonts w:asciiTheme="minorBidi" w:hAnsiTheme="minorBidi" w:cs="Arial" w:hint="cs"/>
          <w:rtl/>
        </w:rPr>
        <w:t>היום</w:t>
      </w:r>
      <w:r w:rsidRPr="00F936FC">
        <w:rPr>
          <w:rFonts w:asciiTheme="minorBidi" w:hAnsiTheme="minorBidi" w:cs="Arial"/>
          <w:rtl/>
        </w:rPr>
        <w:t xml:space="preserve"> </w:t>
      </w:r>
      <w:r w:rsidRPr="00F936FC">
        <w:rPr>
          <w:rFonts w:asciiTheme="minorBidi" w:hAnsiTheme="minorBidi" w:cs="Arial" w:hint="cs"/>
          <w:rtl/>
        </w:rPr>
        <w:t>שכל</w:t>
      </w:r>
      <w:r w:rsidRPr="00F936FC">
        <w:rPr>
          <w:rFonts w:asciiTheme="minorBidi" w:hAnsiTheme="minorBidi" w:cs="Arial"/>
          <w:rtl/>
        </w:rPr>
        <w:t xml:space="preserve"> </w:t>
      </w:r>
      <w:r w:rsidRPr="00F936FC">
        <w:rPr>
          <w:rFonts w:asciiTheme="minorBidi" w:hAnsiTheme="minorBidi" w:cs="Arial" w:hint="cs"/>
          <w:rtl/>
        </w:rPr>
        <w:t>היום</w:t>
      </w:r>
      <w:r w:rsidRPr="00F936FC">
        <w:rPr>
          <w:rFonts w:asciiTheme="minorBidi" w:hAnsiTheme="minorBidi" w:cs="Arial"/>
          <w:rtl/>
        </w:rPr>
        <w:t xml:space="preserve"> </w:t>
      </w:r>
      <w:r w:rsidRPr="00F936FC">
        <w:rPr>
          <w:rFonts w:asciiTheme="minorBidi" w:hAnsiTheme="minorBidi" w:cs="Arial" w:hint="cs"/>
          <w:rtl/>
        </w:rPr>
        <w:t>ראוי</w:t>
      </w:r>
      <w:r w:rsidRPr="00F936FC">
        <w:rPr>
          <w:rFonts w:asciiTheme="minorBidi" w:hAnsiTheme="minorBidi" w:cs="Arial"/>
          <w:rtl/>
        </w:rPr>
        <w:t xml:space="preserve"> </w:t>
      </w:r>
      <w:r w:rsidRPr="00F936FC">
        <w:rPr>
          <w:rFonts w:asciiTheme="minorBidi" w:hAnsiTheme="minorBidi" w:cs="Arial" w:hint="cs"/>
          <w:rtl/>
        </w:rPr>
        <w:t>לשתייה</w:t>
      </w:r>
      <w:r w:rsidRPr="00F936FC">
        <w:rPr>
          <w:rFonts w:asciiTheme="minorBidi" w:hAnsiTheme="minorBidi" w:cs="Arial"/>
          <w:rtl/>
        </w:rPr>
        <w:t xml:space="preserve">. </w:t>
      </w:r>
    </w:p>
    <w:p w14:paraId="3FA2F9A2"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ז</w:t>
      </w:r>
    </w:p>
    <w:p w14:paraId="6A4F8355" w14:textId="77777777" w:rsidR="006A4BF8" w:rsidRPr="00F936FC" w:rsidRDefault="006A4BF8" w:rsidP="00434A6A">
      <w:pPr>
        <w:rPr>
          <w:rFonts w:asciiTheme="minorBidi" w:hAnsiTheme="minorBidi"/>
          <w:rtl/>
        </w:rPr>
      </w:pPr>
      <w:r w:rsidRPr="00F936FC">
        <w:rPr>
          <w:rFonts w:asciiTheme="minorBidi" w:hAnsiTheme="minorBidi" w:cs="Arial" w:hint="cs"/>
          <w:rtl/>
        </w:rPr>
        <w:t>מותר</w:t>
      </w:r>
      <w:r w:rsidRPr="00F936FC">
        <w:rPr>
          <w:rFonts w:asciiTheme="minorBidi" w:hAnsiTheme="minorBidi" w:cs="Arial"/>
          <w:rtl/>
        </w:rPr>
        <w:t xml:space="preserve"> </w:t>
      </w:r>
      <w:r w:rsidRPr="00F936FC">
        <w:rPr>
          <w:rFonts w:asciiTheme="minorBidi" w:hAnsiTheme="minorBidi" w:cs="Arial" w:hint="cs"/>
          <w:rtl/>
        </w:rPr>
        <w:t>להטביל</w:t>
      </w:r>
      <w:r w:rsidRPr="00F936FC">
        <w:rPr>
          <w:rFonts w:asciiTheme="minorBidi" w:hAnsiTheme="minorBidi" w:cs="Arial"/>
          <w:rtl/>
        </w:rPr>
        <w:t xml:space="preserve"> </w:t>
      </w:r>
      <w:r w:rsidRPr="00F936FC">
        <w:rPr>
          <w:rFonts w:asciiTheme="minorBidi" w:hAnsiTheme="minorBidi" w:cs="Arial" w:hint="cs"/>
          <w:rtl/>
        </w:rPr>
        <w:t>כלי</w:t>
      </w:r>
      <w:r w:rsidRPr="00F936FC">
        <w:rPr>
          <w:rFonts w:asciiTheme="minorBidi" w:hAnsiTheme="minorBidi" w:cs="Arial"/>
          <w:rtl/>
        </w:rPr>
        <w:t xml:space="preserve"> </w:t>
      </w:r>
      <w:r w:rsidRPr="00F936FC">
        <w:rPr>
          <w:rFonts w:asciiTheme="minorBidi" w:hAnsiTheme="minorBidi" w:cs="Arial" w:hint="cs"/>
          <w:rtl/>
        </w:rPr>
        <w:t>חדש</w:t>
      </w:r>
      <w:r w:rsidRPr="00F936FC">
        <w:rPr>
          <w:rFonts w:asciiTheme="minorBidi" w:hAnsiTheme="minorBidi" w:cs="Arial"/>
          <w:rtl/>
        </w:rPr>
        <w:t xml:space="preserve"> </w:t>
      </w:r>
      <w:r w:rsidRPr="00F936FC">
        <w:rPr>
          <w:rFonts w:asciiTheme="minorBidi" w:hAnsiTheme="minorBidi" w:cs="Arial" w:hint="cs"/>
          <w:rtl/>
        </w:rPr>
        <w:t>הטעון</w:t>
      </w:r>
      <w:r w:rsidRPr="00F936FC">
        <w:rPr>
          <w:rFonts w:asciiTheme="minorBidi" w:hAnsiTheme="minorBidi" w:cs="Arial"/>
          <w:rtl/>
        </w:rPr>
        <w:t xml:space="preserve"> </w:t>
      </w:r>
      <w:r w:rsidRPr="00F936FC">
        <w:rPr>
          <w:rFonts w:asciiTheme="minorBidi" w:hAnsiTheme="minorBidi" w:cs="Arial" w:hint="cs"/>
          <w:rtl/>
        </w:rPr>
        <w:t>טבילה</w:t>
      </w:r>
      <w:r w:rsidRPr="00F936FC">
        <w:rPr>
          <w:rFonts w:asciiTheme="minorBidi" w:hAnsiTheme="minorBidi" w:cs="Arial"/>
          <w:rtl/>
        </w:rPr>
        <w:t xml:space="preserve">, </w:t>
      </w:r>
      <w:r w:rsidRPr="00F936FC">
        <w:rPr>
          <w:rFonts w:asciiTheme="minorBidi" w:hAnsiTheme="minorBidi" w:cs="Arial" w:hint="cs"/>
          <w:rtl/>
        </w:rPr>
        <w:t>ויש</w:t>
      </w:r>
      <w:r w:rsidRPr="00F936FC">
        <w:rPr>
          <w:rFonts w:asciiTheme="minorBidi" w:hAnsiTheme="minorBidi" w:cs="Arial"/>
          <w:rtl/>
        </w:rPr>
        <w:t xml:space="preserve"> </w:t>
      </w:r>
      <w:r w:rsidRPr="00F936FC">
        <w:rPr>
          <w:rFonts w:asciiTheme="minorBidi" w:hAnsiTheme="minorBidi" w:cs="Arial" w:hint="cs"/>
          <w:rtl/>
        </w:rPr>
        <w:t>אוסרים</w:t>
      </w:r>
      <w:r w:rsidRPr="00F936FC">
        <w:rPr>
          <w:rFonts w:asciiTheme="minorBidi" w:hAnsiTheme="minorBidi" w:cs="Arial"/>
          <w:rtl/>
        </w:rPr>
        <w:t xml:space="preserve">. </w:t>
      </w:r>
      <w:r w:rsidRPr="00F936FC">
        <w:rPr>
          <w:rFonts w:asciiTheme="minorBidi" w:hAnsiTheme="minorBidi" w:cs="Arial" w:hint="cs"/>
          <w:rtl/>
        </w:rPr>
        <w:t>וירא</w:t>
      </w:r>
      <w:r w:rsidRPr="00F936FC">
        <w:rPr>
          <w:rFonts w:asciiTheme="minorBidi" w:hAnsiTheme="minorBidi" w:cs="Arial"/>
          <w:rtl/>
        </w:rPr>
        <w:t xml:space="preserve"> </w:t>
      </w:r>
      <w:r w:rsidRPr="00F936FC">
        <w:rPr>
          <w:rFonts w:asciiTheme="minorBidi" w:hAnsiTheme="minorBidi" w:cs="Arial" w:hint="cs"/>
          <w:rtl/>
        </w:rPr>
        <w:t>שמים</w:t>
      </w:r>
      <w:r w:rsidRPr="00F936FC">
        <w:rPr>
          <w:rFonts w:asciiTheme="minorBidi" w:hAnsiTheme="minorBidi" w:cs="Arial"/>
          <w:rtl/>
        </w:rPr>
        <w:t xml:space="preserve"> </w:t>
      </w:r>
      <w:r w:rsidRPr="00F936FC">
        <w:rPr>
          <w:rFonts w:asciiTheme="minorBidi" w:hAnsiTheme="minorBidi" w:cs="Arial" w:hint="cs"/>
          <w:rtl/>
        </w:rPr>
        <w:t>יצא</w:t>
      </w:r>
      <w:r w:rsidRPr="00F936FC">
        <w:rPr>
          <w:rFonts w:asciiTheme="minorBidi" w:hAnsiTheme="minorBidi" w:cs="Arial"/>
          <w:rtl/>
        </w:rPr>
        <w:t xml:space="preserve"> </w:t>
      </w:r>
      <w:r w:rsidRPr="00F936FC">
        <w:rPr>
          <w:rFonts w:asciiTheme="minorBidi" w:hAnsiTheme="minorBidi" w:cs="Arial" w:hint="cs"/>
          <w:rtl/>
        </w:rPr>
        <w:t>את</w:t>
      </w:r>
      <w:r w:rsidRPr="00F936FC">
        <w:rPr>
          <w:rFonts w:asciiTheme="minorBidi" w:hAnsiTheme="minorBidi" w:cs="Arial"/>
          <w:rtl/>
        </w:rPr>
        <w:t xml:space="preserve"> </w:t>
      </w:r>
      <w:r w:rsidRPr="00F936FC">
        <w:rPr>
          <w:rFonts w:asciiTheme="minorBidi" w:hAnsiTheme="minorBidi" w:cs="Arial" w:hint="cs"/>
          <w:rtl/>
        </w:rPr>
        <w:t>כולם</w:t>
      </w:r>
      <w:r w:rsidRPr="00F936FC">
        <w:rPr>
          <w:rFonts w:asciiTheme="minorBidi" w:hAnsiTheme="minorBidi" w:cs="Arial"/>
          <w:rtl/>
        </w:rPr>
        <w:t xml:space="preserve"> </w:t>
      </w:r>
      <w:r w:rsidRPr="00F936FC">
        <w:rPr>
          <w:rFonts w:asciiTheme="minorBidi" w:hAnsiTheme="minorBidi" w:cs="Arial" w:hint="cs"/>
          <w:rtl/>
        </w:rPr>
        <w:t>ויתן</w:t>
      </w:r>
      <w:r w:rsidRPr="00F936FC">
        <w:rPr>
          <w:rFonts w:asciiTheme="minorBidi" w:hAnsiTheme="minorBidi" w:cs="Arial"/>
          <w:rtl/>
        </w:rPr>
        <w:t xml:space="preserve"> </w:t>
      </w:r>
      <w:r w:rsidRPr="00F936FC">
        <w:rPr>
          <w:rFonts w:asciiTheme="minorBidi" w:hAnsiTheme="minorBidi" w:cs="Arial" w:hint="cs"/>
          <w:rtl/>
        </w:rPr>
        <w:t>הכלי</w:t>
      </w:r>
      <w:r w:rsidRPr="00F936FC">
        <w:rPr>
          <w:rFonts w:asciiTheme="minorBidi" w:hAnsiTheme="minorBidi" w:cs="Arial"/>
          <w:rtl/>
        </w:rPr>
        <w:t xml:space="preserve"> </w:t>
      </w:r>
      <w:r w:rsidRPr="00F936FC">
        <w:rPr>
          <w:rFonts w:asciiTheme="minorBidi" w:hAnsiTheme="minorBidi" w:cs="Arial" w:hint="cs"/>
          <w:rtl/>
        </w:rPr>
        <w:t>ל</w:t>
      </w:r>
      <w:r>
        <w:rPr>
          <w:rFonts w:asciiTheme="minorBidi" w:hAnsiTheme="minorBidi" w:cs="Arial" w:hint="cs"/>
          <w:rtl/>
        </w:rPr>
        <w:t>גוי</w:t>
      </w:r>
      <w:r w:rsidRPr="00F936FC">
        <w:rPr>
          <w:rFonts w:asciiTheme="minorBidi" w:hAnsiTheme="minorBidi" w:cs="Arial"/>
          <w:rtl/>
        </w:rPr>
        <w:t xml:space="preserve"> </w:t>
      </w:r>
      <w:r w:rsidRPr="00F936FC">
        <w:rPr>
          <w:rFonts w:asciiTheme="minorBidi" w:hAnsiTheme="minorBidi" w:cs="Arial" w:hint="cs"/>
          <w:rtl/>
        </w:rPr>
        <w:t>במתנה</w:t>
      </w:r>
      <w:r w:rsidRPr="00F936FC">
        <w:rPr>
          <w:rFonts w:asciiTheme="minorBidi" w:hAnsiTheme="minorBidi" w:cs="Arial"/>
          <w:rtl/>
        </w:rPr>
        <w:t xml:space="preserve"> </w:t>
      </w:r>
      <w:r w:rsidRPr="00F936FC">
        <w:rPr>
          <w:rFonts w:asciiTheme="minorBidi" w:hAnsiTheme="minorBidi" w:cs="Arial" w:hint="cs"/>
          <w:rtl/>
        </w:rPr>
        <w:t>ויחזור</w:t>
      </w:r>
      <w:r w:rsidRPr="00F936FC">
        <w:rPr>
          <w:rFonts w:asciiTheme="minorBidi" w:hAnsiTheme="minorBidi" w:cs="Arial"/>
          <w:rtl/>
        </w:rPr>
        <w:t xml:space="preserve"> </w:t>
      </w:r>
      <w:r w:rsidRPr="00F936FC">
        <w:rPr>
          <w:rFonts w:asciiTheme="minorBidi" w:hAnsiTheme="minorBidi" w:cs="Arial" w:hint="cs"/>
          <w:rtl/>
        </w:rPr>
        <w:t>וישאלנו</w:t>
      </w:r>
      <w:r w:rsidRPr="00F936FC">
        <w:rPr>
          <w:rFonts w:asciiTheme="minorBidi" w:hAnsiTheme="minorBidi" w:cs="Arial"/>
          <w:rtl/>
        </w:rPr>
        <w:t xml:space="preserve"> </w:t>
      </w:r>
      <w:r w:rsidRPr="00F936FC">
        <w:rPr>
          <w:rFonts w:asciiTheme="minorBidi" w:hAnsiTheme="minorBidi" w:cs="Arial" w:hint="cs"/>
          <w:rtl/>
        </w:rPr>
        <w:t>ממנו</w:t>
      </w:r>
      <w:r w:rsidRPr="00F936FC">
        <w:rPr>
          <w:rFonts w:asciiTheme="minorBidi" w:hAnsiTheme="minorBidi" w:cs="Arial"/>
          <w:rtl/>
        </w:rPr>
        <w:t xml:space="preserve">, </w:t>
      </w:r>
      <w:r w:rsidRPr="00F936FC">
        <w:rPr>
          <w:rFonts w:asciiTheme="minorBidi" w:hAnsiTheme="minorBidi" w:cs="Arial" w:hint="cs"/>
          <w:rtl/>
        </w:rPr>
        <w:t>ואין</w:t>
      </w:r>
      <w:r w:rsidRPr="00F936FC">
        <w:rPr>
          <w:rFonts w:asciiTheme="minorBidi" w:hAnsiTheme="minorBidi" w:cs="Arial"/>
          <w:rtl/>
        </w:rPr>
        <w:t xml:space="preserve"> </w:t>
      </w:r>
      <w:r w:rsidRPr="00F936FC">
        <w:rPr>
          <w:rFonts w:asciiTheme="minorBidi" w:hAnsiTheme="minorBidi" w:cs="Arial" w:hint="cs"/>
          <w:rtl/>
        </w:rPr>
        <w:t>צריך</w:t>
      </w:r>
      <w:r w:rsidRPr="00F936FC">
        <w:rPr>
          <w:rFonts w:asciiTheme="minorBidi" w:hAnsiTheme="minorBidi" w:cs="Arial"/>
          <w:rtl/>
        </w:rPr>
        <w:t xml:space="preserve"> </w:t>
      </w:r>
      <w:r w:rsidRPr="00F936FC">
        <w:rPr>
          <w:rFonts w:asciiTheme="minorBidi" w:hAnsiTheme="minorBidi" w:cs="Arial" w:hint="cs"/>
          <w:rtl/>
        </w:rPr>
        <w:t>טבילה</w:t>
      </w:r>
      <w:r w:rsidRPr="00F936FC">
        <w:rPr>
          <w:rFonts w:asciiTheme="minorBidi" w:hAnsiTheme="minorBidi" w:cs="Arial"/>
          <w:rtl/>
        </w:rPr>
        <w:t xml:space="preserve">. </w:t>
      </w:r>
      <w:r w:rsidRPr="00F936FC">
        <w:rPr>
          <w:rFonts w:asciiTheme="minorBidi" w:hAnsiTheme="minorBidi" w:cs="Arial" w:hint="cs"/>
          <w:rtl/>
        </w:rPr>
        <w:t>הגה</w:t>
      </w:r>
      <w:r w:rsidRPr="00F936FC">
        <w:rPr>
          <w:rFonts w:asciiTheme="minorBidi" w:hAnsiTheme="minorBidi" w:cs="Arial"/>
          <w:rtl/>
        </w:rPr>
        <w:t xml:space="preserve">: </w:t>
      </w:r>
      <w:r w:rsidRPr="00F936FC">
        <w:rPr>
          <w:rFonts w:asciiTheme="minorBidi" w:hAnsiTheme="minorBidi" w:cs="Arial" w:hint="cs"/>
          <w:rtl/>
        </w:rPr>
        <w:t>ואם</w:t>
      </w:r>
      <w:r w:rsidRPr="00F936FC">
        <w:rPr>
          <w:rFonts w:asciiTheme="minorBidi" w:hAnsiTheme="minorBidi" w:cs="Arial"/>
          <w:rtl/>
        </w:rPr>
        <w:t xml:space="preserve"> </w:t>
      </w:r>
      <w:r w:rsidRPr="00F936FC">
        <w:rPr>
          <w:rFonts w:asciiTheme="minorBidi" w:hAnsiTheme="minorBidi" w:cs="Arial" w:hint="cs"/>
          <w:rtl/>
        </w:rPr>
        <w:t>הוא</w:t>
      </w:r>
      <w:r w:rsidRPr="00F936FC">
        <w:rPr>
          <w:rFonts w:asciiTheme="minorBidi" w:hAnsiTheme="minorBidi" w:cs="Arial"/>
          <w:rtl/>
        </w:rPr>
        <w:t xml:space="preserve"> </w:t>
      </w:r>
      <w:r w:rsidRPr="00F936FC">
        <w:rPr>
          <w:rFonts w:asciiTheme="minorBidi" w:hAnsiTheme="minorBidi" w:cs="Arial" w:hint="cs"/>
          <w:rtl/>
        </w:rPr>
        <w:t>כלי</w:t>
      </w:r>
      <w:r w:rsidRPr="00F936FC">
        <w:rPr>
          <w:rFonts w:asciiTheme="minorBidi" w:hAnsiTheme="minorBidi" w:cs="Arial"/>
          <w:rtl/>
        </w:rPr>
        <w:t xml:space="preserve"> </w:t>
      </w:r>
      <w:r w:rsidRPr="00F936FC">
        <w:rPr>
          <w:rFonts w:asciiTheme="minorBidi" w:hAnsiTheme="minorBidi" w:cs="Arial" w:hint="cs"/>
          <w:rtl/>
        </w:rPr>
        <w:t>שראוי</w:t>
      </w:r>
      <w:r w:rsidRPr="00F936FC">
        <w:rPr>
          <w:rFonts w:asciiTheme="minorBidi" w:hAnsiTheme="minorBidi" w:cs="Arial"/>
          <w:rtl/>
        </w:rPr>
        <w:t xml:space="preserve"> </w:t>
      </w:r>
      <w:r w:rsidRPr="00F936FC">
        <w:rPr>
          <w:rFonts w:asciiTheme="minorBidi" w:hAnsiTheme="minorBidi" w:cs="Arial" w:hint="cs"/>
          <w:rtl/>
        </w:rPr>
        <w:t>למלאות</w:t>
      </w:r>
      <w:r w:rsidRPr="00F936FC">
        <w:rPr>
          <w:rFonts w:asciiTheme="minorBidi" w:hAnsiTheme="minorBidi" w:cs="Arial"/>
          <w:rtl/>
        </w:rPr>
        <w:t xml:space="preserve"> </w:t>
      </w:r>
      <w:r w:rsidRPr="00F936FC">
        <w:rPr>
          <w:rFonts w:asciiTheme="minorBidi" w:hAnsiTheme="minorBidi" w:cs="Arial" w:hint="cs"/>
          <w:rtl/>
        </w:rPr>
        <w:t>בו</w:t>
      </w:r>
      <w:r w:rsidRPr="00F936FC">
        <w:rPr>
          <w:rFonts w:asciiTheme="minorBidi" w:hAnsiTheme="minorBidi" w:cs="Arial"/>
          <w:rtl/>
        </w:rPr>
        <w:t xml:space="preserve"> </w:t>
      </w:r>
      <w:r w:rsidRPr="00F936FC">
        <w:rPr>
          <w:rFonts w:asciiTheme="minorBidi" w:hAnsiTheme="minorBidi" w:cs="Arial" w:hint="cs"/>
          <w:rtl/>
        </w:rPr>
        <w:t>מים</w:t>
      </w:r>
      <w:r w:rsidRPr="00F936FC">
        <w:rPr>
          <w:rFonts w:asciiTheme="minorBidi" w:hAnsiTheme="minorBidi" w:cs="Arial"/>
          <w:rtl/>
        </w:rPr>
        <w:t xml:space="preserve">, </w:t>
      </w:r>
      <w:r w:rsidRPr="00F936FC">
        <w:rPr>
          <w:rFonts w:asciiTheme="minorBidi" w:hAnsiTheme="minorBidi" w:cs="Arial" w:hint="cs"/>
          <w:rtl/>
        </w:rPr>
        <w:t>ימלאנו</w:t>
      </w:r>
      <w:r w:rsidRPr="00F936FC">
        <w:rPr>
          <w:rFonts w:asciiTheme="minorBidi" w:hAnsiTheme="minorBidi" w:cs="Arial"/>
          <w:rtl/>
        </w:rPr>
        <w:t xml:space="preserve"> </w:t>
      </w:r>
      <w:r w:rsidRPr="00F936FC">
        <w:rPr>
          <w:rFonts w:asciiTheme="minorBidi" w:hAnsiTheme="minorBidi" w:cs="Arial" w:hint="cs"/>
          <w:rtl/>
        </w:rPr>
        <w:t>מים</w:t>
      </w:r>
      <w:r w:rsidRPr="00F936FC">
        <w:rPr>
          <w:rFonts w:asciiTheme="minorBidi" w:hAnsiTheme="minorBidi" w:cs="Arial"/>
          <w:rtl/>
        </w:rPr>
        <w:t xml:space="preserve"> </w:t>
      </w:r>
      <w:r w:rsidRPr="00F936FC">
        <w:rPr>
          <w:rFonts w:asciiTheme="minorBidi" w:hAnsiTheme="minorBidi" w:cs="Arial" w:hint="cs"/>
          <w:rtl/>
        </w:rPr>
        <w:t>מן</w:t>
      </w:r>
      <w:r w:rsidRPr="00F936FC">
        <w:rPr>
          <w:rFonts w:asciiTheme="minorBidi" w:hAnsiTheme="minorBidi" w:cs="Arial"/>
          <w:rtl/>
        </w:rPr>
        <w:t xml:space="preserve"> </w:t>
      </w:r>
      <w:r w:rsidRPr="00F936FC">
        <w:rPr>
          <w:rFonts w:asciiTheme="minorBidi" w:hAnsiTheme="minorBidi" w:cs="Arial" w:hint="cs"/>
          <w:rtl/>
        </w:rPr>
        <w:t>המקוה</w:t>
      </w:r>
      <w:r w:rsidRPr="00F936FC">
        <w:rPr>
          <w:rFonts w:asciiTheme="minorBidi" w:hAnsiTheme="minorBidi" w:cs="Arial"/>
          <w:rtl/>
        </w:rPr>
        <w:t xml:space="preserve"> </w:t>
      </w:r>
      <w:r w:rsidRPr="00F936FC">
        <w:rPr>
          <w:rFonts w:asciiTheme="minorBidi" w:hAnsiTheme="minorBidi" w:cs="Arial" w:hint="cs"/>
          <w:rtl/>
        </w:rPr>
        <w:t>ועלתה</w:t>
      </w:r>
      <w:r w:rsidRPr="00F936FC">
        <w:rPr>
          <w:rFonts w:asciiTheme="minorBidi" w:hAnsiTheme="minorBidi" w:cs="Arial"/>
          <w:rtl/>
        </w:rPr>
        <w:t xml:space="preserve"> </w:t>
      </w:r>
      <w:r w:rsidRPr="00F936FC">
        <w:rPr>
          <w:rFonts w:asciiTheme="minorBidi" w:hAnsiTheme="minorBidi" w:cs="Arial" w:hint="cs"/>
          <w:rtl/>
        </w:rPr>
        <w:t>לו</w:t>
      </w:r>
      <w:r w:rsidRPr="00F936FC">
        <w:rPr>
          <w:rFonts w:asciiTheme="minorBidi" w:hAnsiTheme="minorBidi" w:cs="Arial"/>
          <w:rtl/>
        </w:rPr>
        <w:t xml:space="preserve"> </w:t>
      </w:r>
      <w:r w:rsidRPr="00F936FC">
        <w:rPr>
          <w:rFonts w:asciiTheme="minorBidi" w:hAnsiTheme="minorBidi" w:cs="Arial" w:hint="cs"/>
          <w:rtl/>
        </w:rPr>
        <w:t>טבילה</w:t>
      </w:r>
      <w:r w:rsidRPr="00F936FC">
        <w:rPr>
          <w:rFonts w:asciiTheme="minorBidi" w:hAnsiTheme="minorBidi" w:cs="Arial"/>
          <w:rtl/>
        </w:rPr>
        <w:t xml:space="preserve"> (</w:t>
      </w:r>
      <w:r w:rsidRPr="00F936FC">
        <w:rPr>
          <w:rFonts w:asciiTheme="minorBidi" w:hAnsiTheme="minorBidi" w:cs="Arial" w:hint="cs"/>
          <w:rtl/>
        </w:rPr>
        <w:t>המגיד</w:t>
      </w:r>
      <w:r w:rsidRPr="00F936FC">
        <w:rPr>
          <w:rFonts w:asciiTheme="minorBidi" w:hAnsiTheme="minorBidi" w:cs="Arial"/>
          <w:rtl/>
        </w:rPr>
        <w:t xml:space="preserve"> </w:t>
      </w:r>
      <w:r w:rsidRPr="00F936FC">
        <w:rPr>
          <w:rFonts w:asciiTheme="minorBidi" w:hAnsiTheme="minorBidi" w:cs="Arial" w:hint="cs"/>
          <w:rtl/>
        </w:rPr>
        <w:t>פרק</w:t>
      </w:r>
      <w:r w:rsidRPr="00F936FC">
        <w:rPr>
          <w:rFonts w:asciiTheme="minorBidi" w:hAnsiTheme="minorBidi" w:cs="Arial"/>
          <w:rtl/>
        </w:rPr>
        <w:t xml:space="preserve"> </w:t>
      </w:r>
      <w:r w:rsidRPr="00F936FC">
        <w:rPr>
          <w:rFonts w:asciiTheme="minorBidi" w:hAnsiTheme="minorBidi" w:cs="Arial" w:hint="cs"/>
          <w:rtl/>
        </w:rPr>
        <w:t>ד</w:t>
      </w:r>
      <w:r w:rsidRPr="00F936FC">
        <w:rPr>
          <w:rFonts w:asciiTheme="minorBidi" w:hAnsiTheme="minorBidi" w:cs="Arial"/>
          <w:rtl/>
        </w:rPr>
        <w:t xml:space="preserve">' </w:t>
      </w:r>
      <w:r w:rsidRPr="00F936FC">
        <w:rPr>
          <w:rFonts w:asciiTheme="minorBidi" w:hAnsiTheme="minorBidi" w:cs="Arial" w:hint="cs"/>
          <w:rtl/>
        </w:rPr>
        <w:t>מהלכות</w:t>
      </w:r>
      <w:r w:rsidRPr="00F936FC">
        <w:rPr>
          <w:rFonts w:asciiTheme="minorBidi" w:hAnsiTheme="minorBidi" w:cs="Arial"/>
          <w:rtl/>
        </w:rPr>
        <w:t xml:space="preserve"> </w:t>
      </w:r>
      <w:r w:rsidRPr="00F936FC">
        <w:rPr>
          <w:rFonts w:asciiTheme="minorBidi" w:hAnsiTheme="minorBidi" w:cs="Arial" w:hint="cs"/>
          <w:rtl/>
        </w:rPr>
        <w:t>יום</w:t>
      </w:r>
      <w:r w:rsidRPr="00F936FC">
        <w:rPr>
          <w:rFonts w:asciiTheme="minorBidi" w:hAnsiTheme="minorBidi" w:cs="Arial"/>
          <w:rtl/>
        </w:rPr>
        <w:t xml:space="preserve"> </w:t>
      </w:r>
      <w:r w:rsidRPr="00F936FC">
        <w:rPr>
          <w:rFonts w:asciiTheme="minorBidi" w:hAnsiTheme="minorBidi" w:cs="Arial" w:hint="cs"/>
          <w:rtl/>
        </w:rPr>
        <w:t>טוב</w:t>
      </w:r>
      <w:r w:rsidRPr="00F936FC">
        <w:rPr>
          <w:rFonts w:asciiTheme="minorBidi" w:hAnsiTheme="minorBidi" w:cs="Arial"/>
          <w:rtl/>
        </w:rPr>
        <w:t xml:space="preserve"> </w:t>
      </w:r>
      <w:r w:rsidRPr="00F936FC">
        <w:rPr>
          <w:rFonts w:asciiTheme="minorBidi" w:hAnsiTheme="minorBidi" w:cs="Arial" w:hint="cs"/>
          <w:rtl/>
        </w:rPr>
        <w:t>והגהות</w:t>
      </w:r>
      <w:r w:rsidRPr="00F936FC">
        <w:rPr>
          <w:rFonts w:asciiTheme="minorBidi" w:hAnsiTheme="minorBidi" w:cs="Arial"/>
          <w:rtl/>
        </w:rPr>
        <w:t xml:space="preserve"> </w:t>
      </w:r>
      <w:r w:rsidRPr="00F936FC">
        <w:rPr>
          <w:rFonts w:asciiTheme="minorBidi" w:hAnsiTheme="minorBidi" w:cs="Arial" w:hint="cs"/>
          <w:rtl/>
        </w:rPr>
        <w:t>מיימוני</w:t>
      </w:r>
      <w:r w:rsidRPr="00F936FC">
        <w:rPr>
          <w:rFonts w:asciiTheme="minorBidi" w:hAnsiTheme="minorBidi" w:cs="Arial"/>
          <w:rtl/>
        </w:rPr>
        <w:t xml:space="preserve"> </w:t>
      </w:r>
      <w:r w:rsidRPr="00F936FC">
        <w:rPr>
          <w:rFonts w:asciiTheme="minorBidi" w:hAnsiTheme="minorBidi" w:cs="Arial" w:hint="cs"/>
          <w:rtl/>
        </w:rPr>
        <w:t>פרק</w:t>
      </w:r>
      <w:r w:rsidRPr="00F936FC">
        <w:rPr>
          <w:rFonts w:asciiTheme="minorBidi" w:hAnsiTheme="minorBidi" w:cs="Arial"/>
          <w:rtl/>
        </w:rPr>
        <w:t xml:space="preserve"> </w:t>
      </w:r>
      <w:r w:rsidRPr="00F936FC">
        <w:rPr>
          <w:rFonts w:asciiTheme="minorBidi" w:hAnsiTheme="minorBidi" w:cs="Arial" w:hint="cs"/>
          <w:rtl/>
        </w:rPr>
        <w:t>כ</w:t>
      </w:r>
      <w:r w:rsidRPr="00F936FC">
        <w:rPr>
          <w:rFonts w:asciiTheme="minorBidi" w:hAnsiTheme="minorBidi" w:cs="Arial"/>
          <w:rtl/>
        </w:rPr>
        <w:t>"</w:t>
      </w:r>
      <w:r w:rsidRPr="00F936FC">
        <w:rPr>
          <w:rFonts w:asciiTheme="minorBidi" w:hAnsiTheme="minorBidi" w:cs="Arial" w:hint="cs"/>
          <w:rtl/>
        </w:rPr>
        <w:t>ג</w:t>
      </w:r>
      <w:r w:rsidRPr="00F936FC">
        <w:rPr>
          <w:rFonts w:asciiTheme="minorBidi" w:hAnsiTheme="minorBidi" w:cs="Arial"/>
          <w:rtl/>
        </w:rPr>
        <w:t xml:space="preserve"> </w:t>
      </w:r>
      <w:r w:rsidRPr="00F936FC">
        <w:rPr>
          <w:rFonts w:asciiTheme="minorBidi" w:hAnsiTheme="minorBidi" w:cs="Arial" w:hint="cs"/>
          <w:rtl/>
        </w:rPr>
        <w:t>מהלכות</w:t>
      </w:r>
      <w:r w:rsidRPr="00F936FC">
        <w:rPr>
          <w:rFonts w:asciiTheme="minorBidi" w:hAnsiTheme="minorBidi" w:cs="Arial"/>
          <w:rtl/>
        </w:rPr>
        <w:t xml:space="preserve"> </w:t>
      </w:r>
      <w:r w:rsidRPr="00F936FC">
        <w:rPr>
          <w:rFonts w:asciiTheme="minorBidi" w:hAnsiTheme="minorBidi" w:cs="Arial" w:hint="cs"/>
          <w:rtl/>
        </w:rPr>
        <w:t>שבת</w:t>
      </w:r>
      <w:r w:rsidRPr="00F936FC">
        <w:rPr>
          <w:rFonts w:asciiTheme="minorBidi" w:hAnsiTheme="minorBidi" w:cs="Arial"/>
          <w:rtl/>
        </w:rPr>
        <w:t xml:space="preserve">). </w:t>
      </w:r>
    </w:p>
    <w:p w14:paraId="076E38A9"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ח</w:t>
      </w:r>
    </w:p>
    <w:p w14:paraId="2A806AA3" w14:textId="77777777" w:rsidR="006A4BF8" w:rsidRPr="00F936FC" w:rsidRDefault="006A4BF8" w:rsidP="00434A6A">
      <w:pPr>
        <w:rPr>
          <w:rFonts w:asciiTheme="minorBidi" w:hAnsiTheme="minorBidi"/>
          <w:rtl/>
        </w:rPr>
      </w:pPr>
      <w:r w:rsidRPr="00F936FC">
        <w:rPr>
          <w:rFonts w:asciiTheme="minorBidi" w:hAnsiTheme="minorBidi" w:cs="Arial" w:hint="cs"/>
          <w:rtl/>
        </w:rPr>
        <w:t>כוס</w:t>
      </w:r>
      <w:r w:rsidRPr="00F936FC">
        <w:rPr>
          <w:rFonts w:asciiTheme="minorBidi" w:hAnsiTheme="minorBidi" w:cs="Arial"/>
          <w:rtl/>
        </w:rPr>
        <w:t xml:space="preserve"> </w:t>
      </w:r>
      <w:r w:rsidRPr="00F936FC">
        <w:rPr>
          <w:rFonts w:asciiTheme="minorBidi" w:hAnsiTheme="minorBidi" w:cs="Arial" w:hint="cs"/>
          <w:rtl/>
        </w:rPr>
        <w:t>ששתה</w:t>
      </w:r>
      <w:r w:rsidRPr="00F936FC">
        <w:rPr>
          <w:rFonts w:asciiTheme="minorBidi" w:hAnsiTheme="minorBidi" w:cs="Arial"/>
          <w:rtl/>
        </w:rPr>
        <w:t xml:space="preserve"> </w:t>
      </w:r>
      <w:r w:rsidRPr="00F936FC">
        <w:rPr>
          <w:rFonts w:asciiTheme="minorBidi" w:hAnsiTheme="minorBidi" w:cs="Arial" w:hint="cs"/>
          <w:rtl/>
        </w:rPr>
        <w:t>בו</w:t>
      </w:r>
      <w:r w:rsidRPr="00F936FC">
        <w:rPr>
          <w:rFonts w:asciiTheme="minorBidi" w:hAnsiTheme="minorBidi" w:cs="Arial"/>
          <w:rtl/>
        </w:rPr>
        <w:t xml:space="preserve"> </w:t>
      </w:r>
      <w:r>
        <w:rPr>
          <w:rFonts w:asciiTheme="minorBidi" w:hAnsiTheme="minorBidi" w:cs="Arial" w:hint="cs"/>
          <w:rtl/>
        </w:rPr>
        <w:t>גוי</w:t>
      </w:r>
      <w:r w:rsidRPr="00F936FC">
        <w:rPr>
          <w:rFonts w:asciiTheme="minorBidi" w:hAnsiTheme="minorBidi" w:cs="Arial"/>
          <w:rtl/>
        </w:rPr>
        <w:t xml:space="preserve">, </w:t>
      </w:r>
      <w:r w:rsidRPr="00F936FC">
        <w:rPr>
          <w:rFonts w:asciiTheme="minorBidi" w:hAnsiTheme="minorBidi" w:cs="Arial" w:hint="cs"/>
          <w:rtl/>
        </w:rPr>
        <w:t>מותר</w:t>
      </w:r>
      <w:r w:rsidRPr="00F936FC">
        <w:rPr>
          <w:rFonts w:asciiTheme="minorBidi" w:hAnsiTheme="minorBidi" w:cs="Arial"/>
          <w:rtl/>
        </w:rPr>
        <w:t xml:space="preserve"> </w:t>
      </w:r>
      <w:r w:rsidRPr="00F936FC">
        <w:rPr>
          <w:rFonts w:asciiTheme="minorBidi" w:hAnsiTheme="minorBidi" w:cs="Arial" w:hint="cs"/>
          <w:rtl/>
        </w:rPr>
        <w:t>להדיחו</w:t>
      </w:r>
      <w:r w:rsidRPr="00F936FC">
        <w:rPr>
          <w:rFonts w:asciiTheme="minorBidi" w:hAnsiTheme="minorBidi" w:cs="Arial"/>
          <w:rtl/>
        </w:rPr>
        <w:t xml:space="preserve"> </w:t>
      </w:r>
      <w:r w:rsidRPr="00F936FC">
        <w:rPr>
          <w:rFonts w:asciiTheme="minorBidi" w:hAnsiTheme="minorBidi" w:cs="Arial" w:hint="cs"/>
          <w:rtl/>
        </w:rPr>
        <w:t>לדברי</w:t>
      </w:r>
      <w:r w:rsidRPr="00F936FC">
        <w:rPr>
          <w:rFonts w:asciiTheme="minorBidi" w:hAnsiTheme="minorBidi" w:cs="Arial"/>
          <w:rtl/>
        </w:rPr>
        <w:t xml:space="preserve"> </w:t>
      </w:r>
      <w:r w:rsidRPr="00F936FC">
        <w:rPr>
          <w:rFonts w:asciiTheme="minorBidi" w:hAnsiTheme="minorBidi" w:cs="Arial" w:hint="cs"/>
          <w:rtl/>
        </w:rPr>
        <w:t>הכל</w:t>
      </w:r>
      <w:r w:rsidRPr="00F936FC">
        <w:rPr>
          <w:rFonts w:asciiTheme="minorBidi" w:hAnsiTheme="minorBidi" w:cs="Arial"/>
          <w:rtl/>
        </w:rPr>
        <w:t xml:space="preserve">. </w:t>
      </w:r>
    </w:p>
    <w:p w14:paraId="1B87AE62"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ט</w:t>
      </w:r>
    </w:p>
    <w:p w14:paraId="3F399DCC" w14:textId="77777777" w:rsidR="006A4BF8" w:rsidRPr="00F936FC" w:rsidRDefault="006A4BF8" w:rsidP="00434A6A">
      <w:pPr>
        <w:rPr>
          <w:rFonts w:asciiTheme="minorBidi" w:hAnsiTheme="minorBidi"/>
          <w:rtl/>
        </w:rPr>
      </w:pPr>
      <w:r w:rsidRPr="00F936FC">
        <w:rPr>
          <w:rFonts w:asciiTheme="minorBidi" w:hAnsiTheme="minorBidi" w:cs="Arial" w:hint="cs"/>
          <w:rtl/>
        </w:rPr>
        <w:t>מותר</w:t>
      </w:r>
      <w:r w:rsidRPr="00F936FC">
        <w:rPr>
          <w:rFonts w:asciiTheme="minorBidi" w:hAnsiTheme="minorBidi" w:cs="Arial"/>
          <w:rtl/>
        </w:rPr>
        <w:t xml:space="preserve"> </w:t>
      </w:r>
      <w:r w:rsidRPr="00F936FC">
        <w:rPr>
          <w:rFonts w:asciiTheme="minorBidi" w:hAnsiTheme="minorBidi" w:cs="Arial" w:hint="cs"/>
          <w:rtl/>
        </w:rPr>
        <w:t>לשפשף</w:t>
      </w:r>
      <w:r w:rsidRPr="00F936FC">
        <w:rPr>
          <w:rFonts w:asciiTheme="minorBidi" w:hAnsiTheme="minorBidi" w:cs="Arial"/>
          <w:rtl/>
        </w:rPr>
        <w:t xml:space="preserve"> </w:t>
      </w:r>
      <w:r w:rsidRPr="00F936FC">
        <w:rPr>
          <w:rFonts w:asciiTheme="minorBidi" w:hAnsiTheme="minorBidi" w:cs="Arial" w:hint="cs"/>
          <w:rtl/>
        </w:rPr>
        <w:t>הכלים</w:t>
      </w:r>
      <w:r w:rsidRPr="00F936FC">
        <w:rPr>
          <w:rFonts w:asciiTheme="minorBidi" w:hAnsiTheme="minorBidi" w:cs="Arial"/>
          <w:rtl/>
        </w:rPr>
        <w:t xml:space="preserve"> </w:t>
      </w:r>
      <w:r w:rsidRPr="00F936FC">
        <w:rPr>
          <w:rFonts w:asciiTheme="minorBidi" w:hAnsiTheme="minorBidi" w:cs="Arial" w:hint="cs"/>
          <w:rtl/>
        </w:rPr>
        <w:t>בכל</w:t>
      </w:r>
      <w:r w:rsidRPr="00F936FC">
        <w:rPr>
          <w:rFonts w:asciiTheme="minorBidi" w:hAnsiTheme="minorBidi" w:cs="Arial"/>
          <w:rtl/>
        </w:rPr>
        <w:t xml:space="preserve"> </w:t>
      </w:r>
      <w:r w:rsidRPr="00F936FC">
        <w:rPr>
          <w:rFonts w:asciiTheme="minorBidi" w:hAnsiTheme="minorBidi" w:cs="Arial" w:hint="cs"/>
          <w:rtl/>
        </w:rPr>
        <w:t>דבר</w:t>
      </w:r>
      <w:r w:rsidRPr="00F936FC">
        <w:rPr>
          <w:rFonts w:asciiTheme="minorBidi" w:hAnsiTheme="minorBidi" w:cs="Arial"/>
          <w:rtl/>
        </w:rPr>
        <w:t xml:space="preserve">, </w:t>
      </w:r>
      <w:r w:rsidRPr="00F936FC">
        <w:rPr>
          <w:rFonts w:asciiTheme="minorBidi" w:hAnsiTheme="minorBidi" w:cs="Arial" w:hint="cs"/>
          <w:rtl/>
        </w:rPr>
        <w:t>חוץ</w:t>
      </w:r>
      <w:r w:rsidRPr="00F936FC">
        <w:rPr>
          <w:rFonts w:asciiTheme="minorBidi" w:hAnsiTheme="minorBidi" w:cs="Arial"/>
          <w:rtl/>
        </w:rPr>
        <w:t xml:space="preserve"> </w:t>
      </w:r>
      <w:r w:rsidRPr="00F936FC">
        <w:rPr>
          <w:rFonts w:asciiTheme="minorBidi" w:hAnsiTheme="minorBidi" w:cs="Arial" w:hint="cs"/>
          <w:rtl/>
        </w:rPr>
        <w:t>מכלי</w:t>
      </w:r>
      <w:r w:rsidRPr="00F936FC">
        <w:rPr>
          <w:rFonts w:asciiTheme="minorBidi" w:hAnsiTheme="minorBidi" w:cs="Arial"/>
          <w:rtl/>
        </w:rPr>
        <w:t xml:space="preserve"> </w:t>
      </w:r>
      <w:r w:rsidRPr="00F936FC">
        <w:rPr>
          <w:rFonts w:asciiTheme="minorBidi" w:hAnsiTheme="minorBidi" w:cs="Arial" w:hint="cs"/>
          <w:rtl/>
        </w:rPr>
        <w:t>כסף</w:t>
      </w:r>
      <w:r w:rsidRPr="00F936FC">
        <w:rPr>
          <w:rFonts w:asciiTheme="minorBidi" w:hAnsiTheme="minorBidi" w:cs="Arial"/>
          <w:rtl/>
        </w:rPr>
        <w:t xml:space="preserve"> </w:t>
      </w:r>
      <w:r w:rsidRPr="00F936FC">
        <w:rPr>
          <w:rFonts w:asciiTheme="minorBidi" w:hAnsiTheme="minorBidi" w:cs="Arial" w:hint="cs"/>
          <w:rtl/>
        </w:rPr>
        <w:t>בגרתקן</w:t>
      </w:r>
      <w:r w:rsidRPr="00F936FC">
        <w:rPr>
          <w:rFonts w:asciiTheme="minorBidi" w:hAnsiTheme="minorBidi" w:cs="Arial"/>
          <w:rtl/>
        </w:rPr>
        <w:t xml:space="preserve"> </w:t>
      </w:r>
      <w:r w:rsidRPr="00F936FC">
        <w:rPr>
          <w:rFonts w:asciiTheme="minorBidi" w:hAnsiTheme="minorBidi" w:cs="Arial" w:hint="cs"/>
          <w:rtl/>
        </w:rPr>
        <w:t>שהוא</w:t>
      </w:r>
      <w:r w:rsidRPr="00F936FC">
        <w:rPr>
          <w:rFonts w:asciiTheme="minorBidi" w:hAnsiTheme="minorBidi" w:cs="Arial"/>
          <w:rtl/>
        </w:rPr>
        <w:t xml:space="preserve"> </w:t>
      </w:r>
      <w:r w:rsidRPr="00F936FC">
        <w:rPr>
          <w:rFonts w:asciiTheme="minorBidi" w:hAnsiTheme="minorBidi" w:cs="Arial" w:hint="cs"/>
          <w:rtl/>
        </w:rPr>
        <w:t>שמרי</w:t>
      </w:r>
      <w:r w:rsidRPr="00F936FC">
        <w:rPr>
          <w:rFonts w:asciiTheme="minorBidi" w:hAnsiTheme="minorBidi" w:cs="Arial"/>
          <w:rtl/>
        </w:rPr>
        <w:t xml:space="preserve"> </w:t>
      </w:r>
      <w:r w:rsidRPr="00F936FC">
        <w:rPr>
          <w:rFonts w:asciiTheme="minorBidi" w:hAnsiTheme="minorBidi" w:cs="Arial" w:hint="cs"/>
          <w:rtl/>
        </w:rPr>
        <w:t>יין</w:t>
      </w:r>
      <w:r w:rsidRPr="00F936FC">
        <w:rPr>
          <w:rFonts w:asciiTheme="minorBidi" w:hAnsiTheme="minorBidi" w:cs="Arial"/>
          <w:rtl/>
        </w:rPr>
        <w:t xml:space="preserve"> </w:t>
      </w:r>
      <w:r w:rsidRPr="00F936FC">
        <w:rPr>
          <w:rFonts w:asciiTheme="minorBidi" w:hAnsiTheme="minorBidi" w:cs="Arial" w:hint="cs"/>
          <w:rtl/>
        </w:rPr>
        <w:t>כשנתייבשו</w:t>
      </w:r>
      <w:r w:rsidRPr="00F936FC">
        <w:rPr>
          <w:rFonts w:asciiTheme="minorBidi" w:hAnsiTheme="minorBidi" w:cs="Arial"/>
          <w:rtl/>
        </w:rPr>
        <w:t xml:space="preserve"> </w:t>
      </w:r>
      <w:r w:rsidRPr="00F936FC">
        <w:rPr>
          <w:rFonts w:asciiTheme="minorBidi" w:hAnsiTheme="minorBidi" w:cs="Arial" w:hint="cs"/>
          <w:rtl/>
        </w:rPr>
        <w:t>ונתקשו</w:t>
      </w:r>
      <w:r w:rsidRPr="00F936FC">
        <w:rPr>
          <w:rFonts w:asciiTheme="minorBidi" w:hAnsiTheme="minorBidi" w:cs="Arial"/>
          <w:rtl/>
        </w:rPr>
        <w:t xml:space="preserve">, </w:t>
      </w:r>
      <w:r w:rsidRPr="00F936FC">
        <w:rPr>
          <w:rFonts w:asciiTheme="minorBidi" w:hAnsiTheme="minorBidi" w:cs="Arial" w:hint="cs"/>
          <w:rtl/>
        </w:rPr>
        <w:t>מפני</w:t>
      </w:r>
      <w:r w:rsidRPr="00F936FC">
        <w:rPr>
          <w:rFonts w:asciiTheme="minorBidi" w:hAnsiTheme="minorBidi" w:cs="Arial"/>
          <w:rtl/>
        </w:rPr>
        <w:t xml:space="preserve"> </w:t>
      </w:r>
      <w:r w:rsidRPr="00F936FC">
        <w:rPr>
          <w:rFonts w:asciiTheme="minorBidi" w:hAnsiTheme="minorBidi" w:cs="Arial" w:hint="cs"/>
          <w:rtl/>
        </w:rPr>
        <w:t>שהוא</w:t>
      </w:r>
      <w:r w:rsidRPr="00F936FC">
        <w:rPr>
          <w:rFonts w:asciiTheme="minorBidi" w:hAnsiTheme="minorBidi" w:cs="Arial"/>
          <w:rtl/>
        </w:rPr>
        <w:t xml:space="preserve"> </w:t>
      </w:r>
      <w:r w:rsidRPr="00F936FC">
        <w:rPr>
          <w:rFonts w:asciiTheme="minorBidi" w:hAnsiTheme="minorBidi" w:cs="Arial" w:hint="cs"/>
          <w:rtl/>
        </w:rPr>
        <w:t>ממחק</w:t>
      </w:r>
      <w:r w:rsidRPr="00F936FC">
        <w:rPr>
          <w:rFonts w:asciiTheme="minorBidi" w:hAnsiTheme="minorBidi" w:cs="Arial"/>
          <w:rtl/>
        </w:rPr>
        <w:t xml:space="preserve"> </w:t>
      </w:r>
      <w:r w:rsidRPr="00F936FC">
        <w:rPr>
          <w:rFonts w:asciiTheme="minorBidi" w:hAnsiTheme="minorBidi" w:cs="Arial" w:hint="cs"/>
          <w:rtl/>
        </w:rPr>
        <w:t>לכלי</w:t>
      </w:r>
      <w:r w:rsidRPr="00F936FC">
        <w:rPr>
          <w:rFonts w:asciiTheme="minorBidi" w:hAnsiTheme="minorBidi" w:cs="Arial"/>
          <w:rtl/>
        </w:rPr>
        <w:t xml:space="preserve"> </w:t>
      </w:r>
      <w:r w:rsidRPr="00F936FC">
        <w:rPr>
          <w:rFonts w:asciiTheme="minorBidi" w:hAnsiTheme="minorBidi" w:cs="Arial" w:hint="cs"/>
          <w:rtl/>
        </w:rPr>
        <w:t>כסף</w:t>
      </w:r>
      <w:r w:rsidRPr="00F936FC">
        <w:rPr>
          <w:rFonts w:asciiTheme="minorBidi" w:hAnsiTheme="minorBidi" w:cs="Arial"/>
          <w:rtl/>
        </w:rPr>
        <w:t xml:space="preserve"> </w:t>
      </w:r>
      <w:r w:rsidRPr="00F936FC">
        <w:rPr>
          <w:rFonts w:asciiTheme="minorBidi" w:hAnsiTheme="minorBidi" w:cs="Arial" w:hint="cs"/>
          <w:rtl/>
        </w:rPr>
        <w:t>שהוא</w:t>
      </w:r>
      <w:r w:rsidRPr="00F936FC">
        <w:rPr>
          <w:rFonts w:asciiTheme="minorBidi" w:hAnsiTheme="minorBidi" w:cs="Arial"/>
          <w:rtl/>
        </w:rPr>
        <w:t xml:space="preserve"> </w:t>
      </w:r>
      <w:r w:rsidRPr="00F936FC">
        <w:rPr>
          <w:rFonts w:asciiTheme="minorBidi" w:hAnsiTheme="minorBidi" w:cs="Arial" w:hint="cs"/>
          <w:rtl/>
        </w:rPr>
        <w:t>רך</w:t>
      </w:r>
      <w:r w:rsidRPr="00F936FC">
        <w:rPr>
          <w:rFonts w:asciiTheme="minorBidi" w:hAnsiTheme="minorBidi" w:cs="Arial"/>
          <w:rtl/>
        </w:rPr>
        <w:t xml:space="preserve">. </w:t>
      </w:r>
    </w:p>
    <w:p w14:paraId="20677DCB"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י</w:t>
      </w:r>
    </w:p>
    <w:p w14:paraId="3D5190B0" w14:textId="77777777" w:rsidR="006A4BF8" w:rsidRDefault="006A4BF8" w:rsidP="00434A6A">
      <w:pPr>
        <w:rPr>
          <w:rFonts w:asciiTheme="minorBidi" w:hAnsiTheme="minorBidi"/>
          <w:rtl/>
        </w:rPr>
      </w:pPr>
      <w:r w:rsidRPr="00F936FC">
        <w:rPr>
          <w:rFonts w:asciiTheme="minorBidi" w:hAnsiTheme="minorBidi" w:cs="Arial" w:hint="cs"/>
          <w:rtl/>
        </w:rPr>
        <w:t>אין</w:t>
      </w:r>
      <w:r w:rsidRPr="00F936FC">
        <w:rPr>
          <w:rFonts w:asciiTheme="minorBidi" w:hAnsiTheme="minorBidi" w:cs="Arial"/>
          <w:rtl/>
        </w:rPr>
        <w:t xml:space="preserve"> </w:t>
      </w:r>
      <w:r w:rsidRPr="00F936FC">
        <w:rPr>
          <w:rFonts w:asciiTheme="minorBidi" w:hAnsiTheme="minorBidi" w:cs="Arial" w:hint="cs"/>
          <w:rtl/>
        </w:rPr>
        <w:t>חופפין</w:t>
      </w:r>
      <w:r w:rsidRPr="00F936FC">
        <w:rPr>
          <w:rFonts w:asciiTheme="minorBidi" w:hAnsiTheme="minorBidi" w:cs="Arial"/>
          <w:rtl/>
        </w:rPr>
        <w:t xml:space="preserve"> </w:t>
      </w:r>
      <w:r w:rsidRPr="00F936FC">
        <w:rPr>
          <w:rFonts w:asciiTheme="minorBidi" w:hAnsiTheme="minorBidi" w:cs="Arial" w:hint="cs"/>
          <w:rtl/>
        </w:rPr>
        <w:t>כלים</w:t>
      </w:r>
      <w:r w:rsidRPr="00F936FC">
        <w:rPr>
          <w:rFonts w:asciiTheme="minorBidi" w:hAnsiTheme="minorBidi" w:cs="Arial"/>
          <w:rtl/>
        </w:rPr>
        <w:t xml:space="preserve"> </w:t>
      </w:r>
      <w:r w:rsidRPr="00F936FC">
        <w:rPr>
          <w:rFonts w:asciiTheme="minorBidi" w:hAnsiTheme="minorBidi" w:cs="Arial" w:hint="cs"/>
          <w:rtl/>
        </w:rPr>
        <w:t>במלח</w:t>
      </w:r>
      <w:r w:rsidRPr="00F936FC">
        <w:rPr>
          <w:rFonts w:asciiTheme="minorBidi" w:hAnsiTheme="minorBidi" w:cs="Arial"/>
          <w:rtl/>
        </w:rPr>
        <w:t xml:space="preserve">, </w:t>
      </w:r>
      <w:r w:rsidRPr="00F936FC">
        <w:rPr>
          <w:rFonts w:asciiTheme="minorBidi" w:hAnsiTheme="minorBidi" w:cs="Arial" w:hint="cs"/>
          <w:rtl/>
        </w:rPr>
        <w:t>לפי</w:t>
      </w:r>
      <w:r w:rsidRPr="00F936FC">
        <w:rPr>
          <w:rFonts w:asciiTheme="minorBidi" w:hAnsiTheme="minorBidi" w:cs="Arial"/>
          <w:rtl/>
        </w:rPr>
        <w:t xml:space="preserve"> </w:t>
      </w:r>
      <w:r w:rsidRPr="00F936FC">
        <w:rPr>
          <w:rFonts w:asciiTheme="minorBidi" w:hAnsiTheme="minorBidi" w:cs="Arial" w:hint="cs"/>
          <w:rtl/>
        </w:rPr>
        <w:t>שהמלח</w:t>
      </w:r>
      <w:r w:rsidRPr="00F936FC">
        <w:rPr>
          <w:rFonts w:asciiTheme="minorBidi" w:hAnsiTheme="minorBidi" w:cs="Arial"/>
          <w:rtl/>
        </w:rPr>
        <w:t xml:space="preserve"> </w:t>
      </w:r>
      <w:r w:rsidRPr="00F936FC">
        <w:rPr>
          <w:rFonts w:asciiTheme="minorBidi" w:hAnsiTheme="minorBidi" w:cs="Arial" w:hint="cs"/>
          <w:rtl/>
        </w:rPr>
        <w:t>נמחה</w:t>
      </w:r>
      <w:r w:rsidRPr="00F936FC">
        <w:rPr>
          <w:rFonts w:asciiTheme="minorBidi" w:hAnsiTheme="minorBidi" w:cs="Arial"/>
          <w:rtl/>
        </w:rPr>
        <w:t xml:space="preserve"> </w:t>
      </w:r>
      <w:r w:rsidRPr="00F936FC">
        <w:rPr>
          <w:rFonts w:asciiTheme="minorBidi" w:hAnsiTheme="minorBidi" w:cs="Arial" w:hint="cs"/>
          <w:rtl/>
        </w:rPr>
        <w:t>כשחופף</w:t>
      </w:r>
      <w:r w:rsidRPr="00F936FC">
        <w:rPr>
          <w:rFonts w:asciiTheme="minorBidi" w:hAnsiTheme="minorBidi" w:cs="Arial"/>
          <w:rtl/>
        </w:rPr>
        <w:t xml:space="preserve"> </w:t>
      </w:r>
      <w:r w:rsidRPr="00F936FC">
        <w:rPr>
          <w:rFonts w:asciiTheme="minorBidi" w:hAnsiTheme="minorBidi" w:cs="Arial" w:hint="cs"/>
          <w:rtl/>
        </w:rPr>
        <w:t>בחזקה</w:t>
      </w:r>
      <w:r w:rsidRPr="00F936FC">
        <w:rPr>
          <w:rFonts w:asciiTheme="minorBidi" w:hAnsiTheme="minorBidi" w:cs="Arial"/>
          <w:rtl/>
        </w:rPr>
        <w:t>.</w:t>
      </w:r>
    </w:p>
    <w:p w14:paraId="7D2895C3" w14:textId="77777777" w:rsidR="006A4BF8" w:rsidRDefault="006A4BF8" w:rsidP="00434A6A">
      <w:pPr>
        <w:rPr>
          <w:rFonts w:asciiTheme="minorBidi" w:hAnsiTheme="minorBidi"/>
          <w:rtl/>
        </w:rPr>
      </w:pPr>
    </w:p>
    <w:p w14:paraId="19065446" w14:textId="77777777" w:rsidR="006A4BF8" w:rsidRDefault="006A4BF8" w:rsidP="00434A6A">
      <w:pPr>
        <w:pStyle w:val="1"/>
        <w:rPr>
          <w:rtl/>
        </w:rPr>
        <w:sectPr w:rsidR="006A4BF8" w:rsidSect="00BD29B1">
          <w:footnotePr>
            <w:numRestart w:val="eachSect"/>
          </w:footnotePr>
          <w:pgSz w:w="11906" w:h="16838"/>
          <w:pgMar w:top="720" w:right="1134" w:bottom="720" w:left="1134" w:header="0" w:footer="0" w:gutter="0"/>
          <w:cols w:space="720"/>
          <w:bidi/>
          <w:rtlGutter/>
          <w:docGrid w:linePitch="360"/>
        </w:sectPr>
      </w:pPr>
    </w:p>
    <w:p w14:paraId="22DBD3C7" w14:textId="77777777" w:rsidR="006A4BF8" w:rsidRPr="00F936FC" w:rsidRDefault="006A4BF8" w:rsidP="00434A6A">
      <w:pPr>
        <w:pStyle w:val="1"/>
        <w:rPr>
          <w:rtl/>
        </w:rPr>
      </w:pPr>
      <w:r>
        <w:rPr>
          <w:rFonts w:hint="cs"/>
          <w:rtl/>
        </w:rPr>
        <w:t xml:space="preserve">סימן שכד: </w:t>
      </w:r>
      <w:r w:rsidRPr="00F936FC">
        <w:rPr>
          <w:rFonts w:hint="cs"/>
          <w:rtl/>
        </w:rPr>
        <w:t>דיני</w:t>
      </w:r>
      <w:r w:rsidRPr="00F936FC">
        <w:rPr>
          <w:rtl/>
        </w:rPr>
        <w:t xml:space="preserve"> </w:t>
      </w:r>
      <w:r w:rsidRPr="00F936FC">
        <w:rPr>
          <w:rFonts w:hint="cs"/>
          <w:rtl/>
        </w:rPr>
        <w:t>הכנת</w:t>
      </w:r>
      <w:r w:rsidRPr="00F936FC">
        <w:rPr>
          <w:rtl/>
        </w:rPr>
        <w:t xml:space="preserve"> </w:t>
      </w:r>
      <w:r w:rsidRPr="00F936FC">
        <w:rPr>
          <w:rFonts w:hint="cs"/>
          <w:rtl/>
        </w:rPr>
        <w:t>מאכל</w:t>
      </w:r>
      <w:r w:rsidRPr="00F936FC">
        <w:rPr>
          <w:rtl/>
        </w:rPr>
        <w:t xml:space="preserve"> </w:t>
      </w:r>
      <w:r w:rsidRPr="00F936FC">
        <w:rPr>
          <w:rFonts w:hint="cs"/>
          <w:rtl/>
        </w:rPr>
        <w:t>לבהמה</w:t>
      </w:r>
      <w:r w:rsidRPr="00F936FC">
        <w:rPr>
          <w:rtl/>
        </w:rPr>
        <w:t xml:space="preserve"> </w:t>
      </w:r>
      <w:r w:rsidRPr="00F936FC">
        <w:rPr>
          <w:rFonts w:hint="cs"/>
          <w:rtl/>
        </w:rPr>
        <w:t>לשבת</w:t>
      </w:r>
      <w:r w:rsidRPr="00F936FC">
        <w:rPr>
          <w:rtl/>
        </w:rPr>
        <w:t xml:space="preserve">, </w:t>
      </w:r>
      <w:r w:rsidRPr="00F936FC">
        <w:rPr>
          <w:rFonts w:hint="cs"/>
          <w:rtl/>
        </w:rPr>
        <w:t>ובו</w:t>
      </w:r>
      <w:r w:rsidRPr="00F936FC">
        <w:rPr>
          <w:rtl/>
        </w:rPr>
        <w:t xml:space="preserve"> </w:t>
      </w:r>
      <w:r w:rsidRPr="00F936FC">
        <w:rPr>
          <w:rFonts w:hint="cs"/>
          <w:rtl/>
        </w:rPr>
        <w:t>ט</w:t>
      </w:r>
      <w:r w:rsidRPr="00F936FC">
        <w:rPr>
          <w:rtl/>
        </w:rPr>
        <w:t>"</w:t>
      </w:r>
      <w:r w:rsidRPr="00F936FC">
        <w:rPr>
          <w:rFonts w:hint="cs"/>
          <w:rtl/>
        </w:rPr>
        <w:t>ו</w:t>
      </w:r>
      <w:r w:rsidRPr="00F936FC">
        <w:rPr>
          <w:rtl/>
        </w:rPr>
        <w:t xml:space="preserve"> </w:t>
      </w:r>
      <w:r w:rsidRPr="00F936FC">
        <w:rPr>
          <w:rFonts w:hint="cs"/>
          <w:rtl/>
        </w:rPr>
        <w:t>סעיפים</w:t>
      </w:r>
      <w:r w:rsidRPr="00F936FC">
        <w:rPr>
          <w:rtl/>
        </w:rPr>
        <w:t xml:space="preserve">. </w:t>
      </w:r>
    </w:p>
    <w:p w14:paraId="665844AB"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א</w:t>
      </w:r>
    </w:p>
    <w:p w14:paraId="634F49FB" w14:textId="77777777" w:rsidR="006A4BF8" w:rsidRPr="00F936FC" w:rsidRDefault="006A4BF8" w:rsidP="00434A6A">
      <w:pPr>
        <w:rPr>
          <w:rFonts w:asciiTheme="minorBidi" w:hAnsiTheme="minorBidi"/>
          <w:rtl/>
        </w:rPr>
      </w:pPr>
      <w:r w:rsidRPr="00F936FC">
        <w:rPr>
          <w:rFonts w:asciiTheme="minorBidi" w:hAnsiTheme="minorBidi" w:cs="Arial" w:hint="cs"/>
          <w:rtl/>
        </w:rPr>
        <w:t>אין</w:t>
      </w:r>
      <w:r w:rsidRPr="00F936FC">
        <w:rPr>
          <w:rFonts w:asciiTheme="minorBidi" w:hAnsiTheme="minorBidi" w:cs="Arial"/>
          <w:rtl/>
        </w:rPr>
        <w:t xml:space="preserve"> </w:t>
      </w:r>
      <w:r w:rsidRPr="00F936FC">
        <w:rPr>
          <w:rFonts w:asciiTheme="minorBidi" w:hAnsiTheme="minorBidi" w:cs="Arial" w:hint="cs"/>
          <w:rtl/>
        </w:rPr>
        <w:t>כוברין</w:t>
      </w:r>
      <w:r w:rsidRPr="00F936FC">
        <w:rPr>
          <w:rFonts w:asciiTheme="minorBidi" w:hAnsiTheme="minorBidi" w:cs="Arial"/>
          <w:rtl/>
        </w:rPr>
        <w:t xml:space="preserve"> </w:t>
      </w:r>
      <w:r w:rsidRPr="00F936FC">
        <w:rPr>
          <w:rFonts w:asciiTheme="minorBidi" w:hAnsiTheme="minorBidi" w:cs="Arial" w:hint="cs"/>
          <w:rtl/>
        </w:rPr>
        <w:t>התבן</w:t>
      </w:r>
      <w:r w:rsidRPr="00F936FC">
        <w:rPr>
          <w:rFonts w:asciiTheme="minorBidi" w:hAnsiTheme="minorBidi" w:cs="Arial"/>
          <w:rtl/>
        </w:rPr>
        <w:t xml:space="preserve"> </w:t>
      </w:r>
      <w:r w:rsidRPr="00F936FC">
        <w:rPr>
          <w:rFonts w:asciiTheme="minorBidi" w:hAnsiTheme="minorBidi" w:cs="Arial" w:hint="cs"/>
          <w:rtl/>
        </w:rPr>
        <w:t>בכברה</w:t>
      </w:r>
      <w:r w:rsidRPr="00F936FC">
        <w:rPr>
          <w:rFonts w:asciiTheme="minorBidi" w:hAnsiTheme="minorBidi" w:cs="Arial"/>
          <w:rtl/>
        </w:rPr>
        <w:t xml:space="preserve"> </w:t>
      </w:r>
      <w:r w:rsidRPr="00F936FC">
        <w:rPr>
          <w:rFonts w:asciiTheme="minorBidi" w:hAnsiTheme="minorBidi" w:cs="Arial" w:hint="cs"/>
          <w:rtl/>
        </w:rPr>
        <w:t>שיפול</w:t>
      </w:r>
      <w:r w:rsidRPr="00F936FC">
        <w:rPr>
          <w:rFonts w:asciiTheme="minorBidi" w:hAnsiTheme="minorBidi" w:cs="Arial"/>
          <w:rtl/>
        </w:rPr>
        <w:t xml:space="preserve"> </w:t>
      </w:r>
      <w:r w:rsidRPr="00F936FC">
        <w:rPr>
          <w:rFonts w:asciiTheme="minorBidi" w:hAnsiTheme="minorBidi" w:cs="Arial" w:hint="cs"/>
          <w:rtl/>
        </w:rPr>
        <w:t>המוץ</w:t>
      </w:r>
      <w:r w:rsidRPr="00F936FC">
        <w:rPr>
          <w:rFonts w:asciiTheme="minorBidi" w:hAnsiTheme="minorBidi" w:cs="Arial"/>
          <w:rtl/>
        </w:rPr>
        <w:t xml:space="preserve"> </w:t>
      </w:r>
      <w:r w:rsidRPr="00F936FC">
        <w:rPr>
          <w:rFonts w:asciiTheme="minorBidi" w:hAnsiTheme="minorBidi" w:cs="Arial" w:hint="cs"/>
          <w:rtl/>
        </w:rPr>
        <w:t>לארץ</w:t>
      </w:r>
      <w:r w:rsidRPr="00F936FC">
        <w:rPr>
          <w:rFonts w:asciiTheme="minorBidi" w:hAnsiTheme="minorBidi" w:cs="Arial"/>
          <w:rtl/>
        </w:rPr>
        <w:t xml:space="preserve">, </w:t>
      </w:r>
      <w:r w:rsidRPr="00F936FC">
        <w:rPr>
          <w:rFonts w:asciiTheme="minorBidi" w:hAnsiTheme="minorBidi" w:cs="Arial" w:hint="cs"/>
          <w:rtl/>
        </w:rPr>
        <w:t>ולא</w:t>
      </w:r>
      <w:r w:rsidRPr="00F936FC">
        <w:rPr>
          <w:rFonts w:asciiTheme="minorBidi" w:hAnsiTheme="minorBidi" w:cs="Arial"/>
          <w:rtl/>
        </w:rPr>
        <w:t xml:space="preserve"> </w:t>
      </w:r>
      <w:r w:rsidRPr="00F936FC">
        <w:rPr>
          <w:rFonts w:asciiTheme="minorBidi" w:hAnsiTheme="minorBidi" w:cs="Arial" w:hint="cs"/>
          <w:rtl/>
        </w:rPr>
        <w:t>יניחנו</w:t>
      </w:r>
      <w:r w:rsidRPr="00F936FC">
        <w:rPr>
          <w:rFonts w:asciiTheme="minorBidi" w:hAnsiTheme="minorBidi" w:cs="Arial"/>
          <w:rtl/>
        </w:rPr>
        <w:t xml:space="preserve"> </w:t>
      </w:r>
      <w:r w:rsidRPr="00F936FC">
        <w:rPr>
          <w:rFonts w:asciiTheme="minorBidi" w:hAnsiTheme="minorBidi" w:cs="Arial" w:hint="cs"/>
          <w:rtl/>
        </w:rPr>
        <w:t>במקום</w:t>
      </w:r>
      <w:r w:rsidRPr="00F936FC">
        <w:rPr>
          <w:rFonts w:asciiTheme="minorBidi" w:hAnsiTheme="minorBidi" w:cs="Arial"/>
          <w:rtl/>
        </w:rPr>
        <w:t xml:space="preserve"> </w:t>
      </w:r>
      <w:r w:rsidRPr="00F936FC">
        <w:rPr>
          <w:rFonts w:asciiTheme="minorBidi" w:hAnsiTheme="minorBidi" w:cs="Arial" w:hint="cs"/>
          <w:rtl/>
        </w:rPr>
        <w:t>גבוה</w:t>
      </w:r>
      <w:r w:rsidRPr="00F936FC">
        <w:rPr>
          <w:rFonts w:asciiTheme="minorBidi" w:hAnsiTheme="minorBidi" w:cs="Arial"/>
          <w:rtl/>
        </w:rPr>
        <w:t xml:space="preserve"> </w:t>
      </w:r>
      <w:r w:rsidRPr="00F936FC">
        <w:rPr>
          <w:rFonts w:asciiTheme="minorBidi" w:hAnsiTheme="minorBidi" w:cs="Arial" w:hint="cs"/>
          <w:rtl/>
        </w:rPr>
        <w:t>כדי</w:t>
      </w:r>
      <w:r w:rsidRPr="00F936FC">
        <w:rPr>
          <w:rFonts w:asciiTheme="minorBidi" w:hAnsiTheme="minorBidi" w:cs="Arial"/>
          <w:rtl/>
        </w:rPr>
        <w:t xml:space="preserve"> </w:t>
      </w:r>
      <w:r w:rsidRPr="00F936FC">
        <w:rPr>
          <w:rFonts w:asciiTheme="minorBidi" w:hAnsiTheme="minorBidi" w:cs="Arial" w:hint="cs"/>
          <w:rtl/>
        </w:rPr>
        <w:t>שירד</w:t>
      </w:r>
      <w:r w:rsidRPr="00F936FC">
        <w:rPr>
          <w:rFonts w:asciiTheme="minorBidi" w:hAnsiTheme="minorBidi" w:cs="Arial"/>
          <w:rtl/>
        </w:rPr>
        <w:t xml:space="preserve"> </w:t>
      </w:r>
      <w:r w:rsidRPr="00F936FC">
        <w:rPr>
          <w:rFonts w:asciiTheme="minorBidi" w:hAnsiTheme="minorBidi" w:cs="Arial" w:hint="cs"/>
          <w:rtl/>
        </w:rPr>
        <w:t>המוץ</w:t>
      </w:r>
      <w:r w:rsidRPr="00F936FC">
        <w:rPr>
          <w:rFonts w:asciiTheme="minorBidi" w:hAnsiTheme="minorBidi" w:cs="Arial"/>
          <w:rtl/>
        </w:rPr>
        <w:t xml:space="preserve">; </w:t>
      </w:r>
      <w:r w:rsidRPr="00F936FC">
        <w:rPr>
          <w:rFonts w:asciiTheme="minorBidi" w:hAnsiTheme="minorBidi" w:cs="Arial" w:hint="cs"/>
          <w:rtl/>
        </w:rPr>
        <w:t>אבל</w:t>
      </w:r>
      <w:r w:rsidRPr="00F936FC">
        <w:rPr>
          <w:rFonts w:asciiTheme="minorBidi" w:hAnsiTheme="minorBidi" w:cs="Arial"/>
          <w:rtl/>
        </w:rPr>
        <w:t xml:space="preserve"> </w:t>
      </w:r>
      <w:r w:rsidRPr="00F936FC">
        <w:rPr>
          <w:rFonts w:asciiTheme="minorBidi" w:hAnsiTheme="minorBidi" w:cs="Arial" w:hint="cs"/>
          <w:rtl/>
        </w:rPr>
        <w:t>נוטל</w:t>
      </w:r>
      <w:r w:rsidRPr="00F936FC">
        <w:rPr>
          <w:rFonts w:asciiTheme="minorBidi" w:hAnsiTheme="minorBidi" w:cs="Arial"/>
          <w:rtl/>
        </w:rPr>
        <w:t xml:space="preserve"> </w:t>
      </w:r>
      <w:r w:rsidRPr="00F936FC">
        <w:rPr>
          <w:rFonts w:asciiTheme="minorBidi" w:hAnsiTheme="minorBidi" w:cs="Arial" w:hint="cs"/>
          <w:rtl/>
        </w:rPr>
        <w:t>בכברה</w:t>
      </w:r>
      <w:r w:rsidRPr="00F936FC">
        <w:rPr>
          <w:rFonts w:asciiTheme="minorBidi" w:hAnsiTheme="minorBidi" w:cs="Arial"/>
          <w:rtl/>
        </w:rPr>
        <w:t xml:space="preserve"> </w:t>
      </w:r>
      <w:r w:rsidRPr="00F936FC">
        <w:rPr>
          <w:rFonts w:asciiTheme="minorBidi" w:hAnsiTheme="minorBidi" w:cs="Arial" w:hint="cs"/>
          <w:rtl/>
        </w:rPr>
        <w:t>ונותן</w:t>
      </w:r>
      <w:r w:rsidRPr="00F936FC">
        <w:rPr>
          <w:rFonts w:asciiTheme="minorBidi" w:hAnsiTheme="minorBidi" w:cs="Arial"/>
          <w:rtl/>
        </w:rPr>
        <w:t xml:space="preserve"> </w:t>
      </w:r>
      <w:r w:rsidRPr="00F936FC">
        <w:rPr>
          <w:rFonts w:asciiTheme="minorBidi" w:hAnsiTheme="minorBidi" w:cs="Arial" w:hint="cs"/>
          <w:rtl/>
        </w:rPr>
        <w:t>לתוך</w:t>
      </w:r>
      <w:r w:rsidRPr="00F936FC">
        <w:rPr>
          <w:rFonts w:asciiTheme="minorBidi" w:hAnsiTheme="minorBidi" w:cs="Arial"/>
          <w:rtl/>
        </w:rPr>
        <w:t xml:space="preserve"> </w:t>
      </w:r>
      <w:r w:rsidRPr="00F936FC">
        <w:rPr>
          <w:rFonts w:asciiTheme="minorBidi" w:hAnsiTheme="minorBidi" w:cs="Arial" w:hint="cs"/>
          <w:rtl/>
        </w:rPr>
        <w:t>האבוס</w:t>
      </w:r>
      <w:r w:rsidRPr="00F936FC">
        <w:rPr>
          <w:rFonts w:asciiTheme="minorBidi" w:hAnsiTheme="minorBidi" w:cs="Arial"/>
          <w:rtl/>
        </w:rPr>
        <w:t xml:space="preserve"> </w:t>
      </w:r>
      <w:r w:rsidRPr="00F936FC">
        <w:rPr>
          <w:rFonts w:asciiTheme="minorBidi" w:hAnsiTheme="minorBidi" w:cs="Arial" w:hint="cs"/>
          <w:rtl/>
        </w:rPr>
        <w:t>אף</w:t>
      </w:r>
      <w:r w:rsidRPr="00F936FC">
        <w:rPr>
          <w:rFonts w:asciiTheme="minorBidi" w:hAnsiTheme="minorBidi" w:cs="Arial"/>
          <w:rtl/>
        </w:rPr>
        <w:t xml:space="preserve"> </w:t>
      </w:r>
      <w:r w:rsidRPr="00F936FC">
        <w:rPr>
          <w:rFonts w:asciiTheme="minorBidi" w:hAnsiTheme="minorBidi" w:cs="Arial" w:hint="cs"/>
          <w:rtl/>
        </w:rPr>
        <w:t>על</w:t>
      </w:r>
      <w:r w:rsidRPr="00F936FC">
        <w:rPr>
          <w:rFonts w:asciiTheme="minorBidi" w:hAnsiTheme="minorBidi" w:cs="Arial"/>
          <w:rtl/>
        </w:rPr>
        <w:t xml:space="preserve"> </w:t>
      </w:r>
      <w:r w:rsidRPr="00F936FC">
        <w:rPr>
          <w:rFonts w:asciiTheme="minorBidi" w:hAnsiTheme="minorBidi" w:cs="Arial" w:hint="cs"/>
          <w:rtl/>
        </w:rPr>
        <w:t>פי</w:t>
      </w:r>
      <w:r w:rsidRPr="00F936FC">
        <w:rPr>
          <w:rFonts w:asciiTheme="minorBidi" w:hAnsiTheme="minorBidi" w:cs="Arial"/>
          <w:rtl/>
        </w:rPr>
        <w:t xml:space="preserve"> </w:t>
      </w:r>
      <w:r w:rsidRPr="00F936FC">
        <w:rPr>
          <w:rFonts w:asciiTheme="minorBidi" w:hAnsiTheme="minorBidi" w:cs="Arial" w:hint="cs"/>
          <w:rtl/>
        </w:rPr>
        <w:t>שהמוץ</w:t>
      </w:r>
      <w:r w:rsidRPr="00F936FC">
        <w:rPr>
          <w:rFonts w:asciiTheme="minorBidi" w:hAnsiTheme="minorBidi" w:cs="Arial"/>
          <w:rtl/>
        </w:rPr>
        <w:t xml:space="preserve"> </w:t>
      </w:r>
      <w:r w:rsidRPr="00F936FC">
        <w:rPr>
          <w:rFonts w:asciiTheme="minorBidi" w:hAnsiTheme="minorBidi" w:cs="Arial" w:hint="cs"/>
          <w:rtl/>
        </w:rPr>
        <w:t>נופל</w:t>
      </w:r>
      <w:r w:rsidRPr="00F936FC">
        <w:rPr>
          <w:rFonts w:asciiTheme="minorBidi" w:hAnsiTheme="minorBidi" w:cs="Arial"/>
          <w:rtl/>
        </w:rPr>
        <w:t xml:space="preserve"> </w:t>
      </w:r>
      <w:r w:rsidRPr="00F936FC">
        <w:rPr>
          <w:rFonts w:asciiTheme="minorBidi" w:hAnsiTheme="minorBidi" w:cs="Arial" w:hint="cs"/>
          <w:rtl/>
        </w:rPr>
        <w:t>מאליו</w:t>
      </w:r>
      <w:r w:rsidRPr="00F936FC">
        <w:rPr>
          <w:rFonts w:asciiTheme="minorBidi" w:hAnsiTheme="minorBidi" w:cs="Arial"/>
          <w:rtl/>
        </w:rPr>
        <w:t xml:space="preserve">, </w:t>
      </w:r>
      <w:r w:rsidRPr="00F936FC">
        <w:rPr>
          <w:rFonts w:asciiTheme="minorBidi" w:hAnsiTheme="minorBidi" w:cs="Arial" w:hint="cs"/>
          <w:rtl/>
        </w:rPr>
        <w:t>מותר</w:t>
      </w:r>
      <w:r w:rsidRPr="00F936FC">
        <w:rPr>
          <w:rFonts w:asciiTheme="minorBidi" w:hAnsiTheme="minorBidi" w:cs="Arial"/>
          <w:rtl/>
        </w:rPr>
        <w:t xml:space="preserve"> </w:t>
      </w:r>
      <w:r w:rsidRPr="00F936FC">
        <w:rPr>
          <w:rFonts w:asciiTheme="minorBidi" w:hAnsiTheme="minorBidi" w:cs="Arial" w:hint="cs"/>
          <w:rtl/>
        </w:rPr>
        <w:t>כיון</w:t>
      </w:r>
      <w:r w:rsidRPr="00F936FC">
        <w:rPr>
          <w:rFonts w:asciiTheme="minorBidi" w:hAnsiTheme="minorBidi" w:cs="Arial"/>
          <w:rtl/>
        </w:rPr>
        <w:t xml:space="preserve"> </w:t>
      </w:r>
      <w:r w:rsidRPr="00F936FC">
        <w:rPr>
          <w:rFonts w:asciiTheme="minorBidi" w:hAnsiTheme="minorBidi" w:cs="Arial" w:hint="cs"/>
          <w:rtl/>
        </w:rPr>
        <w:t>שאינו</w:t>
      </w:r>
      <w:r w:rsidRPr="00F936FC">
        <w:rPr>
          <w:rFonts w:asciiTheme="minorBidi" w:hAnsiTheme="minorBidi" w:cs="Arial"/>
          <w:rtl/>
        </w:rPr>
        <w:t xml:space="preserve"> </w:t>
      </w:r>
      <w:r w:rsidRPr="00F936FC">
        <w:rPr>
          <w:rFonts w:asciiTheme="minorBidi" w:hAnsiTheme="minorBidi" w:cs="Arial" w:hint="cs"/>
          <w:rtl/>
        </w:rPr>
        <w:t>מכוין</w:t>
      </w:r>
      <w:r w:rsidRPr="00F936FC">
        <w:rPr>
          <w:rFonts w:asciiTheme="minorBidi" w:hAnsiTheme="minorBidi" w:cs="Arial"/>
          <w:rtl/>
        </w:rPr>
        <w:t xml:space="preserve">. </w:t>
      </w:r>
    </w:p>
    <w:p w14:paraId="73D617AB"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ב</w:t>
      </w:r>
    </w:p>
    <w:p w14:paraId="7756F421" w14:textId="77777777" w:rsidR="006A4BF8" w:rsidRPr="00F936FC" w:rsidRDefault="006A4BF8" w:rsidP="00434A6A">
      <w:pPr>
        <w:rPr>
          <w:rFonts w:asciiTheme="minorBidi" w:hAnsiTheme="minorBidi"/>
          <w:rtl/>
        </w:rPr>
      </w:pPr>
      <w:r w:rsidRPr="00F936FC">
        <w:rPr>
          <w:rFonts w:asciiTheme="minorBidi" w:hAnsiTheme="minorBidi" w:cs="Arial" w:hint="cs"/>
          <w:rtl/>
        </w:rPr>
        <w:t>לא</w:t>
      </w:r>
      <w:r w:rsidRPr="00F936FC">
        <w:rPr>
          <w:rFonts w:asciiTheme="minorBidi" w:hAnsiTheme="minorBidi" w:cs="Arial"/>
          <w:rtl/>
        </w:rPr>
        <w:t xml:space="preserve"> </w:t>
      </w:r>
      <w:r w:rsidRPr="00F936FC">
        <w:rPr>
          <w:rFonts w:asciiTheme="minorBidi" w:hAnsiTheme="minorBidi" w:cs="Arial" w:hint="cs"/>
          <w:rtl/>
        </w:rPr>
        <w:t>ימדוד</w:t>
      </w:r>
      <w:r w:rsidRPr="00F936FC">
        <w:rPr>
          <w:rFonts w:asciiTheme="minorBidi" w:hAnsiTheme="minorBidi" w:cs="Arial"/>
          <w:rtl/>
        </w:rPr>
        <w:t xml:space="preserve"> </w:t>
      </w:r>
      <w:r w:rsidRPr="00F936FC">
        <w:rPr>
          <w:rFonts w:asciiTheme="minorBidi" w:hAnsiTheme="minorBidi" w:cs="Arial" w:hint="cs"/>
          <w:rtl/>
        </w:rPr>
        <w:t>אדם</w:t>
      </w:r>
      <w:r w:rsidRPr="00F936FC">
        <w:rPr>
          <w:rFonts w:asciiTheme="minorBidi" w:hAnsiTheme="minorBidi" w:cs="Arial"/>
          <w:rtl/>
        </w:rPr>
        <w:t xml:space="preserve"> </w:t>
      </w:r>
      <w:r w:rsidRPr="00F936FC">
        <w:rPr>
          <w:rFonts w:asciiTheme="minorBidi" w:hAnsiTheme="minorBidi" w:cs="Arial" w:hint="cs"/>
          <w:rtl/>
        </w:rPr>
        <w:t>שעורים</w:t>
      </w:r>
      <w:r w:rsidRPr="00F936FC">
        <w:rPr>
          <w:rFonts w:asciiTheme="minorBidi" w:hAnsiTheme="minorBidi" w:cs="Arial"/>
          <w:rtl/>
        </w:rPr>
        <w:t xml:space="preserve"> </w:t>
      </w:r>
      <w:r w:rsidRPr="00F936FC">
        <w:rPr>
          <w:rFonts w:asciiTheme="minorBidi" w:hAnsiTheme="minorBidi" w:cs="Arial" w:hint="cs"/>
          <w:rtl/>
        </w:rPr>
        <w:t>לתת</w:t>
      </w:r>
      <w:r w:rsidRPr="00F936FC">
        <w:rPr>
          <w:rFonts w:asciiTheme="minorBidi" w:hAnsiTheme="minorBidi" w:cs="Arial"/>
          <w:rtl/>
        </w:rPr>
        <w:t xml:space="preserve"> </w:t>
      </w:r>
      <w:r w:rsidRPr="00F936FC">
        <w:rPr>
          <w:rFonts w:asciiTheme="minorBidi" w:hAnsiTheme="minorBidi" w:cs="Arial" w:hint="cs"/>
          <w:rtl/>
        </w:rPr>
        <w:t>לפני</w:t>
      </w:r>
      <w:r w:rsidRPr="00F936FC">
        <w:rPr>
          <w:rFonts w:asciiTheme="minorBidi" w:hAnsiTheme="minorBidi" w:cs="Arial"/>
          <w:rtl/>
        </w:rPr>
        <w:t xml:space="preserve"> </w:t>
      </w:r>
      <w:r w:rsidRPr="00F936FC">
        <w:rPr>
          <w:rFonts w:asciiTheme="minorBidi" w:hAnsiTheme="minorBidi" w:cs="Arial" w:hint="cs"/>
          <w:rtl/>
        </w:rPr>
        <w:t>בהמתו</w:t>
      </w:r>
      <w:r w:rsidRPr="00F936FC">
        <w:rPr>
          <w:rFonts w:asciiTheme="minorBidi" w:hAnsiTheme="minorBidi" w:cs="Arial"/>
          <w:rtl/>
        </w:rPr>
        <w:t xml:space="preserve">, </w:t>
      </w:r>
      <w:r w:rsidRPr="00F936FC">
        <w:rPr>
          <w:rFonts w:asciiTheme="minorBidi" w:hAnsiTheme="minorBidi" w:cs="Arial" w:hint="cs"/>
          <w:rtl/>
        </w:rPr>
        <w:t>אלא</w:t>
      </w:r>
      <w:r w:rsidRPr="00F936FC">
        <w:rPr>
          <w:rFonts w:asciiTheme="minorBidi" w:hAnsiTheme="minorBidi" w:cs="Arial"/>
          <w:rtl/>
        </w:rPr>
        <w:t xml:space="preserve"> </w:t>
      </w:r>
      <w:r w:rsidRPr="00F936FC">
        <w:rPr>
          <w:rFonts w:asciiTheme="minorBidi" w:hAnsiTheme="minorBidi" w:cs="Arial" w:hint="cs"/>
          <w:rtl/>
        </w:rPr>
        <w:t>משער</w:t>
      </w:r>
      <w:r w:rsidRPr="00F936FC">
        <w:rPr>
          <w:rFonts w:asciiTheme="minorBidi" w:hAnsiTheme="minorBidi" w:cs="Arial"/>
          <w:rtl/>
        </w:rPr>
        <w:t xml:space="preserve"> </w:t>
      </w:r>
      <w:r w:rsidRPr="00F936FC">
        <w:rPr>
          <w:rFonts w:asciiTheme="minorBidi" w:hAnsiTheme="minorBidi" w:cs="Arial" w:hint="cs"/>
          <w:rtl/>
        </w:rPr>
        <w:t>באומד</w:t>
      </w:r>
      <w:r w:rsidRPr="00F936FC">
        <w:rPr>
          <w:rFonts w:asciiTheme="minorBidi" w:hAnsiTheme="minorBidi" w:cs="Arial"/>
          <w:rtl/>
        </w:rPr>
        <w:t xml:space="preserve"> </w:t>
      </w:r>
      <w:r w:rsidRPr="00F936FC">
        <w:rPr>
          <w:rFonts w:asciiTheme="minorBidi" w:hAnsiTheme="minorBidi" w:cs="Arial" w:hint="cs"/>
          <w:rtl/>
        </w:rPr>
        <w:t>דעתו</w:t>
      </w:r>
      <w:r w:rsidRPr="00F936FC">
        <w:rPr>
          <w:rFonts w:asciiTheme="minorBidi" w:hAnsiTheme="minorBidi" w:cs="Arial"/>
          <w:rtl/>
        </w:rPr>
        <w:t xml:space="preserve">. </w:t>
      </w:r>
    </w:p>
    <w:p w14:paraId="5DE07D50"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ג</w:t>
      </w:r>
    </w:p>
    <w:p w14:paraId="0834527D" w14:textId="77777777" w:rsidR="006A4BF8" w:rsidRPr="00F936FC" w:rsidRDefault="006A4BF8" w:rsidP="00434A6A">
      <w:pPr>
        <w:rPr>
          <w:rFonts w:asciiTheme="minorBidi" w:hAnsiTheme="minorBidi"/>
          <w:rtl/>
        </w:rPr>
      </w:pPr>
      <w:r w:rsidRPr="00F936FC">
        <w:rPr>
          <w:rFonts w:asciiTheme="minorBidi" w:hAnsiTheme="minorBidi" w:cs="Arial" w:hint="cs"/>
          <w:rtl/>
        </w:rPr>
        <w:t>אין</w:t>
      </w:r>
      <w:r w:rsidRPr="00F936FC">
        <w:rPr>
          <w:rFonts w:asciiTheme="minorBidi" w:hAnsiTheme="minorBidi" w:cs="Arial"/>
          <w:rtl/>
        </w:rPr>
        <w:t xml:space="preserve"> </w:t>
      </w:r>
      <w:r w:rsidRPr="00F936FC">
        <w:rPr>
          <w:rFonts w:asciiTheme="minorBidi" w:hAnsiTheme="minorBidi" w:cs="Arial" w:hint="cs"/>
          <w:rtl/>
        </w:rPr>
        <w:t>גובלין</w:t>
      </w:r>
      <w:r w:rsidRPr="00F936FC">
        <w:rPr>
          <w:rFonts w:asciiTheme="minorBidi" w:hAnsiTheme="minorBidi" w:cs="Arial"/>
          <w:rtl/>
        </w:rPr>
        <w:t xml:space="preserve"> </w:t>
      </w:r>
      <w:r w:rsidRPr="00F936FC">
        <w:rPr>
          <w:rFonts w:asciiTheme="minorBidi" w:hAnsiTheme="minorBidi" w:cs="Arial" w:hint="cs"/>
          <w:rtl/>
        </w:rPr>
        <w:t>מורסן</w:t>
      </w:r>
      <w:r w:rsidRPr="00F936FC">
        <w:rPr>
          <w:rFonts w:asciiTheme="minorBidi" w:hAnsiTheme="minorBidi" w:cs="Arial"/>
          <w:rtl/>
        </w:rPr>
        <w:t xml:space="preserve"> </w:t>
      </w:r>
      <w:r w:rsidRPr="00F936FC">
        <w:rPr>
          <w:rFonts w:asciiTheme="minorBidi" w:hAnsiTheme="minorBidi" w:cs="Arial" w:hint="cs"/>
          <w:rtl/>
        </w:rPr>
        <w:t>לבהמה</w:t>
      </w:r>
      <w:r w:rsidRPr="00F936FC">
        <w:rPr>
          <w:rFonts w:asciiTheme="minorBidi" w:hAnsiTheme="minorBidi" w:cs="Arial"/>
          <w:rtl/>
        </w:rPr>
        <w:t xml:space="preserve"> </w:t>
      </w:r>
      <w:r w:rsidRPr="00F936FC">
        <w:rPr>
          <w:rFonts w:asciiTheme="minorBidi" w:hAnsiTheme="minorBidi" w:cs="Arial" w:hint="cs"/>
          <w:rtl/>
        </w:rPr>
        <w:t>או</w:t>
      </w:r>
      <w:r w:rsidRPr="00F936FC">
        <w:rPr>
          <w:rFonts w:asciiTheme="minorBidi" w:hAnsiTheme="minorBidi" w:cs="Arial"/>
          <w:rtl/>
        </w:rPr>
        <w:t xml:space="preserve"> </w:t>
      </w:r>
      <w:r w:rsidRPr="00F936FC">
        <w:rPr>
          <w:rFonts w:asciiTheme="minorBidi" w:hAnsiTheme="minorBidi" w:cs="Arial" w:hint="cs"/>
          <w:rtl/>
        </w:rPr>
        <w:t>לתרנגולים</w:t>
      </w:r>
      <w:r w:rsidRPr="00F936FC">
        <w:rPr>
          <w:rFonts w:asciiTheme="minorBidi" w:hAnsiTheme="minorBidi" w:cs="Arial"/>
          <w:rtl/>
        </w:rPr>
        <w:t xml:space="preserve">; </w:t>
      </w:r>
      <w:r w:rsidRPr="00F936FC">
        <w:rPr>
          <w:rFonts w:asciiTheme="minorBidi" w:hAnsiTheme="minorBidi" w:cs="Arial" w:hint="cs"/>
          <w:rtl/>
        </w:rPr>
        <w:t>אבל</w:t>
      </w:r>
      <w:r w:rsidRPr="00F936FC">
        <w:rPr>
          <w:rFonts w:asciiTheme="minorBidi" w:hAnsiTheme="minorBidi" w:cs="Arial"/>
          <w:rtl/>
        </w:rPr>
        <w:t xml:space="preserve"> </w:t>
      </w:r>
      <w:r w:rsidRPr="00F936FC">
        <w:rPr>
          <w:rFonts w:asciiTheme="minorBidi" w:hAnsiTheme="minorBidi" w:cs="Arial" w:hint="cs"/>
          <w:rtl/>
        </w:rPr>
        <w:t>נותנים</w:t>
      </w:r>
      <w:r w:rsidRPr="00F936FC">
        <w:rPr>
          <w:rFonts w:asciiTheme="minorBidi" w:hAnsiTheme="minorBidi" w:cs="Arial"/>
          <w:rtl/>
        </w:rPr>
        <w:t xml:space="preserve"> </w:t>
      </w:r>
      <w:r w:rsidRPr="00F936FC">
        <w:rPr>
          <w:rFonts w:asciiTheme="minorBidi" w:hAnsiTheme="minorBidi" w:cs="Arial" w:hint="cs"/>
          <w:rtl/>
        </w:rPr>
        <w:t>בו</w:t>
      </w:r>
      <w:r w:rsidRPr="00F936FC">
        <w:rPr>
          <w:rFonts w:asciiTheme="minorBidi" w:hAnsiTheme="minorBidi" w:cs="Arial"/>
          <w:rtl/>
        </w:rPr>
        <w:t xml:space="preserve"> </w:t>
      </w:r>
      <w:r w:rsidRPr="00F936FC">
        <w:rPr>
          <w:rFonts w:asciiTheme="minorBidi" w:hAnsiTheme="minorBidi" w:cs="Arial" w:hint="cs"/>
          <w:rtl/>
        </w:rPr>
        <w:t>מים</w:t>
      </w:r>
      <w:r w:rsidRPr="00F936FC">
        <w:rPr>
          <w:rFonts w:asciiTheme="minorBidi" w:hAnsiTheme="minorBidi" w:cs="Arial"/>
          <w:rtl/>
        </w:rPr>
        <w:t xml:space="preserve"> </w:t>
      </w:r>
      <w:r w:rsidRPr="00F936FC">
        <w:rPr>
          <w:rFonts w:asciiTheme="minorBidi" w:hAnsiTheme="minorBidi" w:cs="Arial" w:hint="cs"/>
          <w:rtl/>
        </w:rPr>
        <w:t>ומעביר</w:t>
      </w:r>
      <w:r w:rsidRPr="00F936FC">
        <w:rPr>
          <w:rFonts w:asciiTheme="minorBidi" w:hAnsiTheme="minorBidi" w:cs="Arial"/>
          <w:rtl/>
        </w:rPr>
        <w:t xml:space="preserve"> </w:t>
      </w:r>
      <w:r w:rsidRPr="00F936FC">
        <w:rPr>
          <w:rFonts w:asciiTheme="minorBidi" w:hAnsiTheme="minorBidi" w:cs="Arial" w:hint="cs"/>
          <w:rtl/>
        </w:rPr>
        <w:t>בו</w:t>
      </w:r>
      <w:r w:rsidRPr="00F936FC">
        <w:rPr>
          <w:rFonts w:asciiTheme="minorBidi" w:hAnsiTheme="minorBidi" w:cs="Arial"/>
          <w:rtl/>
        </w:rPr>
        <w:t xml:space="preserve"> </w:t>
      </w:r>
      <w:r w:rsidRPr="00F936FC">
        <w:rPr>
          <w:rFonts w:asciiTheme="minorBidi" w:hAnsiTheme="minorBidi" w:cs="Arial" w:hint="cs"/>
          <w:rtl/>
        </w:rPr>
        <w:t>תרווד</w:t>
      </w:r>
      <w:r w:rsidRPr="00F936FC">
        <w:rPr>
          <w:rFonts w:asciiTheme="minorBidi" w:hAnsiTheme="minorBidi" w:cs="Arial"/>
          <w:rtl/>
        </w:rPr>
        <w:t xml:space="preserve"> </w:t>
      </w:r>
      <w:r w:rsidRPr="00F936FC">
        <w:rPr>
          <w:rFonts w:asciiTheme="minorBidi" w:hAnsiTheme="minorBidi" w:cs="Arial" w:hint="cs"/>
          <w:rtl/>
        </w:rPr>
        <w:t>או</w:t>
      </w:r>
      <w:r w:rsidRPr="00F936FC">
        <w:rPr>
          <w:rFonts w:asciiTheme="minorBidi" w:hAnsiTheme="minorBidi" w:cs="Arial"/>
          <w:rtl/>
        </w:rPr>
        <w:t xml:space="preserve"> </w:t>
      </w:r>
      <w:r w:rsidRPr="00F936FC">
        <w:rPr>
          <w:rFonts w:asciiTheme="minorBidi" w:hAnsiTheme="minorBidi" w:cs="Arial" w:hint="cs"/>
          <w:rtl/>
        </w:rPr>
        <w:t>מקל</w:t>
      </w:r>
      <w:r w:rsidRPr="00F936FC">
        <w:rPr>
          <w:rFonts w:asciiTheme="minorBidi" w:hAnsiTheme="minorBidi" w:cs="Arial"/>
          <w:rtl/>
        </w:rPr>
        <w:t xml:space="preserve"> </w:t>
      </w:r>
      <w:r w:rsidRPr="00F936FC">
        <w:rPr>
          <w:rFonts w:asciiTheme="minorBidi" w:hAnsiTheme="minorBidi" w:cs="Arial" w:hint="cs"/>
          <w:rtl/>
        </w:rPr>
        <w:t>שתי</w:t>
      </w:r>
      <w:r w:rsidRPr="00F936FC">
        <w:rPr>
          <w:rFonts w:asciiTheme="minorBidi" w:hAnsiTheme="minorBidi" w:cs="Arial"/>
          <w:rtl/>
        </w:rPr>
        <w:t xml:space="preserve"> </w:t>
      </w:r>
      <w:r w:rsidRPr="00F936FC">
        <w:rPr>
          <w:rFonts w:asciiTheme="minorBidi" w:hAnsiTheme="minorBidi" w:cs="Arial" w:hint="cs"/>
          <w:rtl/>
        </w:rPr>
        <w:t>וערב</w:t>
      </w:r>
      <w:r w:rsidRPr="00F936FC">
        <w:rPr>
          <w:rFonts w:asciiTheme="minorBidi" w:hAnsiTheme="minorBidi" w:cs="Arial"/>
          <w:rtl/>
        </w:rPr>
        <w:t xml:space="preserve">, </w:t>
      </w:r>
      <w:r w:rsidRPr="00F936FC">
        <w:rPr>
          <w:rFonts w:asciiTheme="minorBidi" w:hAnsiTheme="minorBidi" w:cs="Arial" w:hint="cs"/>
          <w:rtl/>
        </w:rPr>
        <w:t>כיון</w:t>
      </w:r>
      <w:r w:rsidRPr="00F936FC">
        <w:rPr>
          <w:rFonts w:asciiTheme="minorBidi" w:hAnsiTheme="minorBidi" w:cs="Arial"/>
          <w:rtl/>
        </w:rPr>
        <w:t xml:space="preserve"> </w:t>
      </w:r>
      <w:r w:rsidRPr="00F936FC">
        <w:rPr>
          <w:rFonts w:asciiTheme="minorBidi" w:hAnsiTheme="minorBidi" w:cs="Arial" w:hint="cs"/>
          <w:rtl/>
        </w:rPr>
        <w:t>שאינו</w:t>
      </w:r>
      <w:r w:rsidRPr="00F936FC">
        <w:rPr>
          <w:rFonts w:asciiTheme="minorBidi" w:hAnsiTheme="minorBidi" w:cs="Arial"/>
          <w:rtl/>
        </w:rPr>
        <w:t xml:space="preserve"> </w:t>
      </w:r>
      <w:r w:rsidRPr="00F936FC">
        <w:rPr>
          <w:rFonts w:asciiTheme="minorBidi" w:hAnsiTheme="minorBidi" w:cs="Arial" w:hint="cs"/>
          <w:rtl/>
        </w:rPr>
        <w:t>ממרס</w:t>
      </w:r>
      <w:r w:rsidRPr="00F936FC">
        <w:rPr>
          <w:rFonts w:asciiTheme="minorBidi" w:hAnsiTheme="minorBidi" w:cs="Arial"/>
          <w:rtl/>
        </w:rPr>
        <w:t xml:space="preserve"> </w:t>
      </w:r>
      <w:r w:rsidRPr="00F936FC">
        <w:rPr>
          <w:rFonts w:asciiTheme="minorBidi" w:hAnsiTheme="minorBidi" w:cs="Arial" w:hint="cs"/>
          <w:rtl/>
        </w:rPr>
        <w:t>בידו</w:t>
      </w:r>
      <w:r w:rsidRPr="00F936FC">
        <w:rPr>
          <w:rFonts w:asciiTheme="minorBidi" w:hAnsiTheme="minorBidi" w:cs="Arial"/>
          <w:rtl/>
        </w:rPr>
        <w:t xml:space="preserve"> </w:t>
      </w:r>
      <w:r w:rsidRPr="00F936FC">
        <w:rPr>
          <w:rFonts w:asciiTheme="minorBidi" w:hAnsiTheme="minorBidi" w:cs="Arial" w:hint="cs"/>
          <w:rtl/>
        </w:rPr>
        <w:t>ולא</w:t>
      </w:r>
      <w:r w:rsidRPr="00F936FC">
        <w:rPr>
          <w:rFonts w:asciiTheme="minorBidi" w:hAnsiTheme="minorBidi" w:cs="Arial"/>
          <w:rtl/>
        </w:rPr>
        <w:t xml:space="preserve"> </w:t>
      </w:r>
      <w:r w:rsidRPr="00F936FC">
        <w:rPr>
          <w:rFonts w:asciiTheme="minorBidi" w:hAnsiTheme="minorBidi" w:cs="Arial" w:hint="cs"/>
          <w:rtl/>
        </w:rPr>
        <w:t>מסבב</w:t>
      </w:r>
      <w:r w:rsidRPr="00F936FC">
        <w:rPr>
          <w:rFonts w:asciiTheme="minorBidi" w:hAnsiTheme="minorBidi" w:cs="Arial"/>
          <w:rtl/>
        </w:rPr>
        <w:t xml:space="preserve"> </w:t>
      </w:r>
      <w:r w:rsidRPr="00F936FC">
        <w:rPr>
          <w:rFonts w:asciiTheme="minorBidi" w:hAnsiTheme="minorBidi" w:cs="Arial" w:hint="cs"/>
          <w:rtl/>
        </w:rPr>
        <w:t>התרווד</w:t>
      </w:r>
      <w:r w:rsidRPr="00F936FC">
        <w:rPr>
          <w:rFonts w:asciiTheme="minorBidi" w:hAnsiTheme="minorBidi" w:cs="Arial"/>
          <w:rtl/>
        </w:rPr>
        <w:t xml:space="preserve"> </w:t>
      </w:r>
      <w:r w:rsidRPr="00F936FC">
        <w:rPr>
          <w:rFonts w:asciiTheme="minorBidi" w:hAnsiTheme="minorBidi" w:cs="Arial" w:hint="cs"/>
          <w:rtl/>
        </w:rPr>
        <w:t>או</w:t>
      </w:r>
      <w:r w:rsidRPr="00F936FC">
        <w:rPr>
          <w:rFonts w:asciiTheme="minorBidi" w:hAnsiTheme="minorBidi" w:cs="Arial"/>
          <w:rtl/>
        </w:rPr>
        <w:t xml:space="preserve"> </w:t>
      </w:r>
      <w:r w:rsidRPr="00F936FC">
        <w:rPr>
          <w:rFonts w:asciiTheme="minorBidi" w:hAnsiTheme="minorBidi" w:cs="Arial" w:hint="cs"/>
          <w:rtl/>
        </w:rPr>
        <w:t>המקל</w:t>
      </w:r>
      <w:r w:rsidRPr="00F936FC">
        <w:rPr>
          <w:rFonts w:asciiTheme="minorBidi" w:hAnsiTheme="minorBidi" w:cs="Arial"/>
          <w:rtl/>
        </w:rPr>
        <w:t xml:space="preserve">, </w:t>
      </w:r>
      <w:r w:rsidRPr="00F936FC">
        <w:rPr>
          <w:rFonts w:asciiTheme="minorBidi" w:hAnsiTheme="minorBidi" w:cs="Arial" w:hint="cs"/>
          <w:rtl/>
        </w:rPr>
        <w:t>מותר</w:t>
      </w:r>
      <w:r w:rsidRPr="00F936FC">
        <w:rPr>
          <w:rFonts w:asciiTheme="minorBidi" w:hAnsiTheme="minorBidi" w:cs="Arial"/>
          <w:rtl/>
        </w:rPr>
        <w:t xml:space="preserve">. </w:t>
      </w:r>
      <w:r w:rsidRPr="00F936FC">
        <w:rPr>
          <w:rFonts w:asciiTheme="minorBidi" w:hAnsiTheme="minorBidi" w:cs="Arial" w:hint="cs"/>
          <w:rtl/>
        </w:rPr>
        <w:t>ומנערו</w:t>
      </w:r>
      <w:r w:rsidRPr="00F936FC">
        <w:rPr>
          <w:rFonts w:asciiTheme="minorBidi" w:hAnsiTheme="minorBidi" w:cs="Arial"/>
          <w:rtl/>
        </w:rPr>
        <w:t xml:space="preserve"> </w:t>
      </w:r>
      <w:r w:rsidRPr="00F936FC">
        <w:rPr>
          <w:rFonts w:asciiTheme="minorBidi" w:hAnsiTheme="minorBidi" w:cs="Arial" w:hint="cs"/>
          <w:rtl/>
        </w:rPr>
        <w:t>מכלי</w:t>
      </w:r>
      <w:r w:rsidRPr="00F936FC">
        <w:rPr>
          <w:rFonts w:asciiTheme="minorBidi" w:hAnsiTheme="minorBidi" w:cs="Arial"/>
          <w:rtl/>
        </w:rPr>
        <w:t xml:space="preserve"> </w:t>
      </w:r>
      <w:r w:rsidRPr="00F936FC">
        <w:rPr>
          <w:rFonts w:asciiTheme="minorBidi" w:hAnsiTheme="minorBidi" w:cs="Arial" w:hint="cs"/>
          <w:rtl/>
        </w:rPr>
        <w:t>אל</w:t>
      </w:r>
      <w:r w:rsidRPr="00F936FC">
        <w:rPr>
          <w:rFonts w:asciiTheme="minorBidi" w:hAnsiTheme="minorBidi" w:cs="Arial"/>
          <w:rtl/>
        </w:rPr>
        <w:t xml:space="preserve"> </w:t>
      </w:r>
      <w:r w:rsidRPr="00F936FC">
        <w:rPr>
          <w:rFonts w:asciiTheme="minorBidi" w:hAnsiTheme="minorBidi" w:cs="Arial" w:hint="cs"/>
          <w:rtl/>
        </w:rPr>
        <w:t>כלי</w:t>
      </w:r>
      <w:r w:rsidRPr="00F936FC">
        <w:rPr>
          <w:rFonts w:asciiTheme="minorBidi" w:hAnsiTheme="minorBidi" w:cs="Arial"/>
          <w:rtl/>
        </w:rPr>
        <w:t xml:space="preserve"> </w:t>
      </w:r>
      <w:r w:rsidRPr="00F936FC">
        <w:rPr>
          <w:rFonts w:asciiTheme="minorBidi" w:hAnsiTheme="minorBidi" w:cs="Arial" w:hint="cs"/>
          <w:rtl/>
        </w:rPr>
        <w:t>כדי</w:t>
      </w:r>
      <w:r w:rsidRPr="00F936FC">
        <w:rPr>
          <w:rFonts w:asciiTheme="minorBidi" w:hAnsiTheme="minorBidi" w:cs="Arial"/>
          <w:rtl/>
        </w:rPr>
        <w:t xml:space="preserve"> </w:t>
      </w:r>
      <w:r w:rsidRPr="00F936FC">
        <w:rPr>
          <w:rFonts w:asciiTheme="minorBidi" w:hAnsiTheme="minorBidi" w:cs="Arial" w:hint="cs"/>
          <w:rtl/>
        </w:rPr>
        <w:t>שיתערב</w:t>
      </w:r>
      <w:r w:rsidRPr="00F936FC">
        <w:rPr>
          <w:rFonts w:asciiTheme="minorBidi" w:hAnsiTheme="minorBidi" w:cs="Arial"/>
          <w:rtl/>
        </w:rPr>
        <w:t xml:space="preserve">; </w:t>
      </w:r>
      <w:r w:rsidRPr="00F936FC">
        <w:rPr>
          <w:rFonts w:asciiTheme="minorBidi" w:hAnsiTheme="minorBidi" w:cs="Arial" w:hint="cs"/>
          <w:rtl/>
        </w:rPr>
        <w:t>ומותר</w:t>
      </w:r>
      <w:r w:rsidRPr="00F936FC">
        <w:rPr>
          <w:rFonts w:asciiTheme="minorBidi" w:hAnsiTheme="minorBidi" w:cs="Arial"/>
          <w:rtl/>
        </w:rPr>
        <w:t xml:space="preserve"> </w:t>
      </w:r>
      <w:r w:rsidRPr="00F936FC">
        <w:rPr>
          <w:rFonts w:asciiTheme="minorBidi" w:hAnsiTheme="minorBidi" w:cs="Arial" w:hint="cs"/>
          <w:rtl/>
        </w:rPr>
        <w:t>לערב</w:t>
      </w:r>
      <w:r w:rsidRPr="00F936FC">
        <w:rPr>
          <w:rFonts w:asciiTheme="minorBidi" w:hAnsiTheme="minorBidi" w:cs="Arial"/>
          <w:rtl/>
        </w:rPr>
        <w:t xml:space="preserve"> </w:t>
      </w:r>
      <w:r w:rsidRPr="00F936FC">
        <w:rPr>
          <w:rFonts w:asciiTheme="minorBidi" w:hAnsiTheme="minorBidi" w:cs="Arial" w:hint="cs"/>
          <w:rtl/>
        </w:rPr>
        <w:t>המורסן</w:t>
      </w:r>
      <w:r w:rsidRPr="00F936FC">
        <w:rPr>
          <w:rFonts w:asciiTheme="minorBidi" w:hAnsiTheme="minorBidi" w:cs="Arial"/>
          <w:rtl/>
        </w:rPr>
        <w:t xml:space="preserve"> </w:t>
      </w:r>
      <w:r w:rsidRPr="00F936FC">
        <w:rPr>
          <w:rFonts w:asciiTheme="minorBidi" w:hAnsiTheme="minorBidi" w:cs="Arial" w:hint="cs"/>
          <w:rtl/>
        </w:rPr>
        <w:t>כדרכו</w:t>
      </w:r>
      <w:r w:rsidRPr="00F936FC">
        <w:rPr>
          <w:rFonts w:asciiTheme="minorBidi" w:hAnsiTheme="minorBidi" w:cs="Arial"/>
          <w:rtl/>
        </w:rPr>
        <w:t xml:space="preserve"> </w:t>
      </w:r>
      <w:r w:rsidRPr="00F936FC">
        <w:rPr>
          <w:rFonts w:asciiTheme="minorBidi" w:hAnsiTheme="minorBidi" w:cs="Arial" w:hint="cs"/>
          <w:rtl/>
        </w:rPr>
        <w:t>בכלי</w:t>
      </w:r>
      <w:r w:rsidRPr="00F936FC">
        <w:rPr>
          <w:rFonts w:asciiTheme="minorBidi" w:hAnsiTheme="minorBidi" w:cs="Arial"/>
          <w:rtl/>
        </w:rPr>
        <w:t xml:space="preserve"> </w:t>
      </w:r>
      <w:r w:rsidRPr="00F936FC">
        <w:rPr>
          <w:rFonts w:asciiTheme="minorBidi" w:hAnsiTheme="minorBidi" w:cs="Arial" w:hint="cs"/>
          <w:rtl/>
        </w:rPr>
        <w:t>אחד</w:t>
      </w:r>
      <w:r w:rsidRPr="00F936FC">
        <w:rPr>
          <w:rFonts w:asciiTheme="minorBidi" w:hAnsiTheme="minorBidi" w:cs="Arial"/>
          <w:rtl/>
        </w:rPr>
        <w:t xml:space="preserve">, </w:t>
      </w:r>
      <w:r w:rsidRPr="00F936FC">
        <w:rPr>
          <w:rFonts w:asciiTheme="minorBidi" w:hAnsiTheme="minorBidi" w:cs="Arial" w:hint="cs"/>
          <w:rtl/>
        </w:rPr>
        <w:t>ומחלק</w:t>
      </w:r>
      <w:r w:rsidRPr="00F936FC">
        <w:rPr>
          <w:rFonts w:asciiTheme="minorBidi" w:hAnsiTheme="minorBidi" w:cs="Arial"/>
          <w:rtl/>
        </w:rPr>
        <w:t xml:space="preserve"> </w:t>
      </w:r>
      <w:r w:rsidRPr="00F936FC">
        <w:rPr>
          <w:rFonts w:asciiTheme="minorBidi" w:hAnsiTheme="minorBidi" w:cs="Arial" w:hint="cs"/>
          <w:rtl/>
        </w:rPr>
        <w:t>אותו</w:t>
      </w:r>
      <w:r w:rsidRPr="00F936FC">
        <w:rPr>
          <w:rFonts w:asciiTheme="minorBidi" w:hAnsiTheme="minorBidi" w:cs="Arial"/>
          <w:rtl/>
        </w:rPr>
        <w:t xml:space="preserve"> </w:t>
      </w:r>
      <w:r w:rsidRPr="00F936FC">
        <w:rPr>
          <w:rFonts w:asciiTheme="minorBidi" w:hAnsiTheme="minorBidi" w:cs="Arial" w:hint="cs"/>
          <w:rtl/>
        </w:rPr>
        <w:t>בכלים</w:t>
      </w:r>
      <w:r w:rsidRPr="00F936FC">
        <w:rPr>
          <w:rFonts w:asciiTheme="minorBidi" w:hAnsiTheme="minorBidi" w:cs="Arial"/>
          <w:rtl/>
        </w:rPr>
        <w:t xml:space="preserve"> </w:t>
      </w:r>
      <w:r w:rsidRPr="00F936FC">
        <w:rPr>
          <w:rFonts w:asciiTheme="minorBidi" w:hAnsiTheme="minorBidi" w:cs="Arial" w:hint="cs"/>
          <w:rtl/>
        </w:rPr>
        <w:t>הרבה</w:t>
      </w:r>
      <w:r w:rsidRPr="00F936FC">
        <w:rPr>
          <w:rFonts w:asciiTheme="minorBidi" w:hAnsiTheme="minorBidi" w:cs="Arial"/>
          <w:rtl/>
        </w:rPr>
        <w:t xml:space="preserve"> </w:t>
      </w:r>
      <w:r w:rsidRPr="00F936FC">
        <w:rPr>
          <w:rFonts w:asciiTheme="minorBidi" w:hAnsiTheme="minorBidi" w:cs="Arial" w:hint="cs"/>
          <w:rtl/>
        </w:rPr>
        <w:t>ונותן</w:t>
      </w:r>
      <w:r w:rsidRPr="00F936FC">
        <w:rPr>
          <w:rFonts w:asciiTheme="minorBidi" w:hAnsiTheme="minorBidi" w:cs="Arial"/>
          <w:rtl/>
        </w:rPr>
        <w:t xml:space="preserve"> </w:t>
      </w:r>
      <w:r w:rsidRPr="00F936FC">
        <w:rPr>
          <w:rFonts w:asciiTheme="minorBidi" w:hAnsiTheme="minorBidi" w:cs="Arial" w:hint="cs"/>
          <w:rtl/>
        </w:rPr>
        <w:t>לפני</w:t>
      </w:r>
      <w:r w:rsidRPr="00F936FC">
        <w:rPr>
          <w:rFonts w:asciiTheme="minorBidi" w:hAnsiTheme="minorBidi" w:cs="Arial"/>
          <w:rtl/>
        </w:rPr>
        <w:t xml:space="preserve"> </w:t>
      </w:r>
      <w:r w:rsidRPr="00F936FC">
        <w:rPr>
          <w:rFonts w:asciiTheme="minorBidi" w:hAnsiTheme="minorBidi" w:cs="Arial" w:hint="cs"/>
          <w:rtl/>
        </w:rPr>
        <w:t>כל</w:t>
      </w:r>
      <w:r w:rsidRPr="00F936FC">
        <w:rPr>
          <w:rFonts w:asciiTheme="minorBidi" w:hAnsiTheme="minorBidi" w:cs="Arial"/>
          <w:rtl/>
        </w:rPr>
        <w:t xml:space="preserve"> </w:t>
      </w:r>
      <w:r w:rsidRPr="00F936FC">
        <w:rPr>
          <w:rFonts w:asciiTheme="minorBidi" w:hAnsiTheme="minorBidi" w:cs="Arial" w:hint="cs"/>
          <w:rtl/>
        </w:rPr>
        <w:t>בהמה</w:t>
      </w:r>
      <w:r w:rsidRPr="00F936FC">
        <w:rPr>
          <w:rFonts w:asciiTheme="minorBidi" w:hAnsiTheme="minorBidi" w:cs="Arial"/>
          <w:rtl/>
        </w:rPr>
        <w:t xml:space="preserve"> </w:t>
      </w:r>
      <w:r w:rsidRPr="00F936FC">
        <w:rPr>
          <w:rFonts w:asciiTheme="minorBidi" w:hAnsiTheme="minorBidi" w:cs="Arial" w:hint="cs"/>
          <w:rtl/>
        </w:rPr>
        <w:t>ובהמה</w:t>
      </w:r>
      <w:r w:rsidRPr="00F936FC">
        <w:rPr>
          <w:rFonts w:asciiTheme="minorBidi" w:hAnsiTheme="minorBidi" w:cs="Arial"/>
          <w:rtl/>
        </w:rPr>
        <w:t xml:space="preserve">; </w:t>
      </w:r>
      <w:r w:rsidRPr="00F936FC">
        <w:rPr>
          <w:rFonts w:asciiTheme="minorBidi" w:hAnsiTheme="minorBidi" w:cs="Arial" w:hint="cs"/>
          <w:rtl/>
        </w:rPr>
        <w:t>ומערב</w:t>
      </w:r>
      <w:r w:rsidRPr="00F936FC">
        <w:rPr>
          <w:rFonts w:asciiTheme="minorBidi" w:hAnsiTheme="minorBidi" w:cs="Arial"/>
          <w:rtl/>
        </w:rPr>
        <w:t xml:space="preserve"> </w:t>
      </w:r>
      <w:r w:rsidRPr="00F936FC">
        <w:rPr>
          <w:rFonts w:asciiTheme="minorBidi" w:hAnsiTheme="minorBidi" w:cs="Arial" w:hint="cs"/>
          <w:rtl/>
        </w:rPr>
        <w:t>בכלי</w:t>
      </w:r>
      <w:r w:rsidRPr="00F936FC">
        <w:rPr>
          <w:rFonts w:asciiTheme="minorBidi" w:hAnsiTheme="minorBidi" w:cs="Arial"/>
          <w:rtl/>
        </w:rPr>
        <w:t xml:space="preserve"> </w:t>
      </w:r>
      <w:r w:rsidRPr="00F936FC">
        <w:rPr>
          <w:rFonts w:asciiTheme="minorBidi" w:hAnsiTheme="minorBidi" w:cs="Arial" w:hint="cs"/>
          <w:rtl/>
        </w:rPr>
        <w:t>אחד</w:t>
      </w:r>
      <w:r w:rsidRPr="00F936FC">
        <w:rPr>
          <w:rFonts w:asciiTheme="minorBidi" w:hAnsiTheme="minorBidi" w:cs="Arial"/>
          <w:rtl/>
        </w:rPr>
        <w:t xml:space="preserve"> </w:t>
      </w:r>
      <w:r w:rsidRPr="00F936FC">
        <w:rPr>
          <w:rFonts w:asciiTheme="minorBidi" w:hAnsiTheme="minorBidi" w:cs="Arial" w:hint="cs"/>
          <w:rtl/>
        </w:rPr>
        <w:t>אפי</w:t>
      </w:r>
      <w:r w:rsidRPr="00F936FC">
        <w:rPr>
          <w:rFonts w:asciiTheme="minorBidi" w:hAnsiTheme="minorBidi" w:cs="Arial"/>
          <w:rtl/>
        </w:rPr>
        <w:t xml:space="preserve">' </w:t>
      </w:r>
      <w:r w:rsidRPr="00F936FC">
        <w:rPr>
          <w:rFonts w:asciiTheme="minorBidi" w:hAnsiTheme="minorBidi" w:cs="Arial" w:hint="cs"/>
          <w:rtl/>
        </w:rPr>
        <w:t>כור</w:t>
      </w:r>
      <w:r w:rsidRPr="00F936FC">
        <w:rPr>
          <w:rFonts w:asciiTheme="minorBidi" w:hAnsiTheme="minorBidi" w:cs="Arial"/>
          <w:rtl/>
        </w:rPr>
        <w:t xml:space="preserve"> </w:t>
      </w:r>
      <w:r w:rsidRPr="00F936FC">
        <w:rPr>
          <w:rFonts w:asciiTheme="minorBidi" w:hAnsiTheme="minorBidi" w:cs="Arial" w:hint="cs"/>
          <w:rtl/>
        </w:rPr>
        <w:t>ואפי</w:t>
      </w:r>
      <w:r w:rsidRPr="00F936FC">
        <w:rPr>
          <w:rFonts w:asciiTheme="minorBidi" w:hAnsiTheme="minorBidi" w:cs="Arial"/>
          <w:rtl/>
        </w:rPr>
        <w:t xml:space="preserve">' </w:t>
      </w:r>
      <w:r w:rsidRPr="00F936FC">
        <w:rPr>
          <w:rFonts w:asciiTheme="minorBidi" w:hAnsiTheme="minorBidi" w:cs="Arial" w:hint="cs"/>
          <w:rtl/>
        </w:rPr>
        <w:t>כורים</w:t>
      </w:r>
      <w:r w:rsidRPr="00F936FC">
        <w:rPr>
          <w:rFonts w:asciiTheme="minorBidi" w:hAnsiTheme="minorBidi" w:cs="Arial"/>
          <w:rtl/>
        </w:rPr>
        <w:t xml:space="preserve">. </w:t>
      </w:r>
      <w:r w:rsidRPr="00F936FC">
        <w:rPr>
          <w:rFonts w:asciiTheme="minorBidi" w:hAnsiTheme="minorBidi" w:cs="Arial" w:hint="cs"/>
          <w:rtl/>
        </w:rPr>
        <w:t>יש</w:t>
      </w:r>
      <w:r w:rsidRPr="00F936FC">
        <w:rPr>
          <w:rFonts w:asciiTheme="minorBidi" w:hAnsiTheme="minorBidi" w:cs="Arial"/>
          <w:rtl/>
        </w:rPr>
        <w:t xml:space="preserve"> </w:t>
      </w:r>
      <w:r w:rsidRPr="00F936FC">
        <w:rPr>
          <w:rFonts w:asciiTheme="minorBidi" w:hAnsiTheme="minorBidi" w:cs="Arial" w:hint="cs"/>
          <w:rtl/>
        </w:rPr>
        <w:t>אוסרים</w:t>
      </w:r>
      <w:r w:rsidRPr="00F936FC">
        <w:rPr>
          <w:rFonts w:asciiTheme="minorBidi" w:hAnsiTheme="minorBidi" w:cs="Arial"/>
          <w:rtl/>
        </w:rPr>
        <w:t xml:space="preserve"> </w:t>
      </w:r>
      <w:r w:rsidRPr="00F936FC">
        <w:rPr>
          <w:rFonts w:asciiTheme="minorBidi" w:hAnsiTheme="minorBidi" w:cs="Arial" w:hint="cs"/>
          <w:rtl/>
        </w:rPr>
        <w:t>ליתן</w:t>
      </w:r>
      <w:r w:rsidRPr="00F936FC">
        <w:rPr>
          <w:rFonts w:asciiTheme="minorBidi" w:hAnsiTheme="minorBidi" w:cs="Arial"/>
          <w:rtl/>
        </w:rPr>
        <w:t xml:space="preserve"> </w:t>
      </w:r>
      <w:r w:rsidRPr="00F936FC">
        <w:rPr>
          <w:rFonts w:asciiTheme="minorBidi" w:hAnsiTheme="minorBidi" w:cs="Arial" w:hint="cs"/>
          <w:rtl/>
        </w:rPr>
        <w:t>מים</w:t>
      </w:r>
      <w:r w:rsidRPr="00F936FC">
        <w:rPr>
          <w:rFonts w:asciiTheme="minorBidi" w:hAnsiTheme="minorBidi" w:cs="Arial"/>
          <w:rtl/>
        </w:rPr>
        <w:t xml:space="preserve"> </w:t>
      </w:r>
      <w:r w:rsidRPr="00F936FC">
        <w:rPr>
          <w:rFonts w:asciiTheme="minorBidi" w:hAnsiTheme="minorBidi" w:cs="Arial" w:hint="cs"/>
          <w:rtl/>
        </w:rPr>
        <w:t>על</w:t>
      </w:r>
      <w:r w:rsidRPr="00F936FC">
        <w:rPr>
          <w:rFonts w:asciiTheme="minorBidi" w:hAnsiTheme="minorBidi" w:cs="Arial"/>
          <w:rtl/>
        </w:rPr>
        <w:t xml:space="preserve"> </w:t>
      </w:r>
      <w:r w:rsidRPr="00F936FC">
        <w:rPr>
          <w:rFonts w:asciiTheme="minorBidi" w:hAnsiTheme="minorBidi" w:cs="Arial" w:hint="cs"/>
          <w:rtl/>
        </w:rPr>
        <w:t>גבי</w:t>
      </w:r>
      <w:r w:rsidRPr="00F936FC">
        <w:rPr>
          <w:rFonts w:asciiTheme="minorBidi" w:hAnsiTheme="minorBidi" w:cs="Arial"/>
          <w:rtl/>
        </w:rPr>
        <w:t xml:space="preserve"> </w:t>
      </w:r>
      <w:r w:rsidRPr="00F936FC">
        <w:rPr>
          <w:rFonts w:asciiTheme="minorBidi" w:hAnsiTheme="minorBidi" w:cs="Arial" w:hint="cs"/>
          <w:rtl/>
        </w:rPr>
        <w:t>מורסן</w:t>
      </w:r>
      <w:r w:rsidRPr="00F936FC">
        <w:rPr>
          <w:rFonts w:asciiTheme="minorBidi" w:hAnsiTheme="minorBidi" w:cs="Arial"/>
          <w:rtl/>
        </w:rPr>
        <w:t xml:space="preserve"> </w:t>
      </w:r>
      <w:r w:rsidRPr="00F936FC">
        <w:rPr>
          <w:rFonts w:asciiTheme="minorBidi" w:hAnsiTheme="minorBidi" w:cs="Arial" w:hint="cs"/>
          <w:rtl/>
        </w:rPr>
        <w:t>בשבת</w:t>
      </w:r>
      <w:r w:rsidRPr="00F936FC">
        <w:rPr>
          <w:rFonts w:asciiTheme="minorBidi" w:hAnsiTheme="minorBidi" w:cs="Arial"/>
          <w:rtl/>
        </w:rPr>
        <w:t xml:space="preserve">, </w:t>
      </w:r>
      <w:r w:rsidRPr="00F936FC">
        <w:rPr>
          <w:rFonts w:asciiTheme="minorBidi" w:hAnsiTheme="minorBidi" w:cs="Arial" w:hint="cs"/>
          <w:rtl/>
        </w:rPr>
        <w:t>ולא</w:t>
      </w:r>
      <w:r w:rsidRPr="00F936FC">
        <w:rPr>
          <w:rFonts w:asciiTheme="minorBidi" w:hAnsiTheme="minorBidi" w:cs="Arial"/>
          <w:rtl/>
        </w:rPr>
        <w:t xml:space="preserve"> </w:t>
      </w:r>
      <w:r w:rsidRPr="00F936FC">
        <w:rPr>
          <w:rFonts w:asciiTheme="minorBidi" w:hAnsiTheme="minorBidi" w:cs="Arial" w:hint="cs"/>
          <w:rtl/>
        </w:rPr>
        <w:t>אמרו</w:t>
      </w:r>
      <w:r w:rsidRPr="00F936FC">
        <w:rPr>
          <w:rFonts w:asciiTheme="minorBidi" w:hAnsiTheme="minorBidi" w:cs="Arial"/>
          <w:rtl/>
        </w:rPr>
        <w:t xml:space="preserve"> </w:t>
      </w:r>
      <w:r w:rsidRPr="00F936FC">
        <w:rPr>
          <w:rFonts w:asciiTheme="minorBidi" w:hAnsiTheme="minorBidi" w:cs="Arial" w:hint="cs"/>
          <w:rtl/>
        </w:rPr>
        <w:t>שמוליך</w:t>
      </w:r>
      <w:r w:rsidRPr="00F936FC">
        <w:rPr>
          <w:rFonts w:asciiTheme="minorBidi" w:hAnsiTheme="minorBidi" w:cs="Arial"/>
          <w:rtl/>
        </w:rPr>
        <w:t xml:space="preserve"> </w:t>
      </w:r>
      <w:r w:rsidRPr="00F936FC">
        <w:rPr>
          <w:rFonts w:asciiTheme="minorBidi" w:hAnsiTheme="minorBidi" w:cs="Arial" w:hint="cs"/>
          <w:rtl/>
        </w:rPr>
        <w:t>בו</w:t>
      </w:r>
      <w:r w:rsidRPr="00F936FC">
        <w:rPr>
          <w:rFonts w:asciiTheme="minorBidi" w:hAnsiTheme="minorBidi" w:cs="Arial"/>
          <w:rtl/>
        </w:rPr>
        <w:t xml:space="preserve"> </w:t>
      </w:r>
      <w:r w:rsidRPr="00F936FC">
        <w:rPr>
          <w:rFonts w:asciiTheme="minorBidi" w:hAnsiTheme="minorBidi" w:cs="Arial" w:hint="cs"/>
          <w:rtl/>
        </w:rPr>
        <w:t>שתי</w:t>
      </w:r>
      <w:r w:rsidRPr="00F936FC">
        <w:rPr>
          <w:rFonts w:asciiTheme="minorBidi" w:hAnsiTheme="minorBidi" w:cs="Arial"/>
          <w:rtl/>
        </w:rPr>
        <w:t xml:space="preserve"> </w:t>
      </w:r>
      <w:r w:rsidRPr="00F936FC">
        <w:rPr>
          <w:rFonts w:asciiTheme="minorBidi" w:hAnsiTheme="minorBidi" w:cs="Arial" w:hint="cs"/>
          <w:rtl/>
        </w:rPr>
        <w:t>וערב</w:t>
      </w:r>
      <w:r w:rsidRPr="00F936FC">
        <w:rPr>
          <w:rFonts w:asciiTheme="minorBidi" w:hAnsiTheme="minorBidi" w:cs="Arial"/>
          <w:rtl/>
        </w:rPr>
        <w:t xml:space="preserve"> </w:t>
      </w:r>
      <w:r w:rsidRPr="00F936FC">
        <w:rPr>
          <w:rFonts w:asciiTheme="minorBidi" w:hAnsiTheme="minorBidi" w:cs="Arial" w:hint="cs"/>
          <w:rtl/>
        </w:rPr>
        <w:t>אלא</w:t>
      </w:r>
      <w:r w:rsidRPr="00F936FC">
        <w:rPr>
          <w:rFonts w:asciiTheme="minorBidi" w:hAnsiTheme="minorBidi" w:cs="Arial"/>
          <w:rtl/>
        </w:rPr>
        <w:t xml:space="preserve"> </w:t>
      </w:r>
      <w:r w:rsidRPr="00F936FC">
        <w:rPr>
          <w:rFonts w:asciiTheme="minorBidi" w:hAnsiTheme="minorBidi" w:cs="Arial" w:hint="cs"/>
          <w:rtl/>
        </w:rPr>
        <w:t>כשהיו</w:t>
      </w:r>
      <w:r w:rsidRPr="00F936FC">
        <w:rPr>
          <w:rFonts w:asciiTheme="minorBidi" w:hAnsiTheme="minorBidi" w:cs="Arial"/>
          <w:rtl/>
        </w:rPr>
        <w:t xml:space="preserve"> </w:t>
      </w:r>
      <w:r w:rsidRPr="00F936FC">
        <w:rPr>
          <w:rFonts w:asciiTheme="minorBidi" w:hAnsiTheme="minorBidi" w:cs="Arial" w:hint="cs"/>
          <w:rtl/>
        </w:rPr>
        <w:t>המים</w:t>
      </w:r>
      <w:r w:rsidRPr="00F936FC">
        <w:rPr>
          <w:rFonts w:asciiTheme="minorBidi" w:hAnsiTheme="minorBidi" w:cs="Arial"/>
          <w:rtl/>
        </w:rPr>
        <w:t xml:space="preserve"> </w:t>
      </w:r>
      <w:r w:rsidRPr="00F936FC">
        <w:rPr>
          <w:rFonts w:asciiTheme="minorBidi" w:hAnsiTheme="minorBidi" w:cs="Arial" w:hint="cs"/>
          <w:rtl/>
        </w:rPr>
        <w:t>נתונים</w:t>
      </w:r>
      <w:r w:rsidRPr="00F936FC">
        <w:rPr>
          <w:rFonts w:asciiTheme="minorBidi" w:hAnsiTheme="minorBidi" w:cs="Arial"/>
          <w:rtl/>
        </w:rPr>
        <w:t xml:space="preserve"> </w:t>
      </w:r>
      <w:r w:rsidRPr="00F936FC">
        <w:rPr>
          <w:rFonts w:asciiTheme="minorBidi" w:hAnsiTheme="minorBidi" w:cs="Arial" w:hint="cs"/>
          <w:rtl/>
        </w:rPr>
        <w:t>עליו</w:t>
      </w:r>
      <w:r w:rsidRPr="00F936FC">
        <w:rPr>
          <w:rFonts w:asciiTheme="minorBidi" w:hAnsiTheme="minorBidi" w:cs="Arial"/>
          <w:rtl/>
        </w:rPr>
        <w:t xml:space="preserve"> </w:t>
      </w:r>
      <w:r w:rsidRPr="00F936FC">
        <w:rPr>
          <w:rFonts w:asciiTheme="minorBidi" w:hAnsiTheme="minorBidi" w:cs="Arial" w:hint="cs"/>
          <w:rtl/>
        </w:rPr>
        <w:t>מבעוד</w:t>
      </w:r>
      <w:r w:rsidRPr="00F936FC">
        <w:rPr>
          <w:rFonts w:asciiTheme="minorBidi" w:hAnsiTheme="minorBidi" w:cs="Arial"/>
          <w:rtl/>
        </w:rPr>
        <w:t xml:space="preserve"> </w:t>
      </w:r>
      <w:r w:rsidRPr="00F936FC">
        <w:rPr>
          <w:rFonts w:asciiTheme="minorBidi" w:hAnsiTheme="minorBidi" w:cs="Arial" w:hint="cs"/>
          <w:rtl/>
        </w:rPr>
        <w:t>יום</w:t>
      </w:r>
      <w:r w:rsidRPr="00F936FC">
        <w:rPr>
          <w:rFonts w:asciiTheme="minorBidi" w:hAnsiTheme="minorBidi" w:cs="Arial"/>
          <w:rtl/>
        </w:rPr>
        <w:t xml:space="preserve"> (</w:t>
      </w:r>
      <w:r w:rsidRPr="00F936FC">
        <w:rPr>
          <w:rFonts w:asciiTheme="minorBidi" w:hAnsiTheme="minorBidi" w:cs="Arial" w:hint="cs"/>
          <w:rtl/>
        </w:rPr>
        <w:t>וע</w:t>
      </w:r>
      <w:r w:rsidRPr="00F936FC">
        <w:rPr>
          <w:rFonts w:asciiTheme="minorBidi" w:hAnsiTheme="minorBidi" w:cs="Arial"/>
          <w:rtl/>
        </w:rPr>
        <w:t>"</w:t>
      </w:r>
      <w:r w:rsidRPr="00F936FC">
        <w:rPr>
          <w:rFonts w:asciiTheme="minorBidi" w:hAnsiTheme="minorBidi" w:cs="Arial" w:hint="cs"/>
          <w:rtl/>
        </w:rPr>
        <w:t>ל</w:t>
      </w:r>
      <w:r w:rsidRPr="00F936FC">
        <w:rPr>
          <w:rFonts w:asciiTheme="minorBidi" w:hAnsiTheme="minorBidi" w:cs="Arial"/>
          <w:rtl/>
        </w:rPr>
        <w:t xml:space="preserve"> </w:t>
      </w:r>
      <w:r w:rsidRPr="00F936FC">
        <w:rPr>
          <w:rFonts w:asciiTheme="minorBidi" w:hAnsiTheme="minorBidi" w:cs="Arial" w:hint="cs"/>
          <w:rtl/>
        </w:rPr>
        <w:t>סי</w:t>
      </w:r>
      <w:r w:rsidRPr="00F936FC">
        <w:rPr>
          <w:rFonts w:asciiTheme="minorBidi" w:hAnsiTheme="minorBidi" w:cs="Arial"/>
          <w:rtl/>
        </w:rPr>
        <w:t xml:space="preserve">' </w:t>
      </w:r>
      <w:r w:rsidRPr="00F936FC">
        <w:rPr>
          <w:rFonts w:asciiTheme="minorBidi" w:hAnsiTheme="minorBidi" w:cs="Arial" w:hint="cs"/>
          <w:rtl/>
        </w:rPr>
        <w:t>שכ</w:t>
      </w:r>
      <w:r w:rsidRPr="00F936FC">
        <w:rPr>
          <w:rFonts w:asciiTheme="minorBidi" w:hAnsiTheme="minorBidi" w:cs="Arial"/>
          <w:rtl/>
        </w:rPr>
        <w:t>"</w:t>
      </w:r>
      <w:r w:rsidRPr="00F936FC">
        <w:rPr>
          <w:rFonts w:asciiTheme="minorBidi" w:hAnsiTheme="minorBidi" w:cs="Arial" w:hint="cs"/>
          <w:rtl/>
        </w:rPr>
        <w:t>א</w:t>
      </w:r>
      <w:r w:rsidRPr="00F936FC">
        <w:rPr>
          <w:rFonts w:asciiTheme="minorBidi" w:hAnsiTheme="minorBidi" w:cs="Arial"/>
          <w:rtl/>
        </w:rPr>
        <w:t xml:space="preserve"> </w:t>
      </w:r>
      <w:r w:rsidRPr="00F936FC">
        <w:rPr>
          <w:rFonts w:asciiTheme="minorBidi" w:hAnsiTheme="minorBidi" w:cs="Arial" w:hint="cs"/>
          <w:rtl/>
        </w:rPr>
        <w:t>סי</w:t>
      </w:r>
      <w:r w:rsidRPr="00F936FC">
        <w:rPr>
          <w:rFonts w:asciiTheme="minorBidi" w:hAnsiTheme="minorBidi" w:cs="Arial"/>
          <w:rtl/>
        </w:rPr>
        <w:t>"</w:t>
      </w:r>
      <w:r w:rsidRPr="00F936FC">
        <w:rPr>
          <w:rFonts w:asciiTheme="minorBidi" w:hAnsiTheme="minorBidi" w:cs="Arial" w:hint="cs"/>
          <w:rtl/>
        </w:rPr>
        <w:t>ו</w:t>
      </w:r>
      <w:r w:rsidRPr="00F936FC">
        <w:rPr>
          <w:rFonts w:asciiTheme="minorBidi" w:hAnsiTheme="minorBidi" w:cs="Arial"/>
          <w:rtl/>
        </w:rPr>
        <w:t xml:space="preserve"> </w:t>
      </w:r>
      <w:r w:rsidRPr="00F936FC">
        <w:rPr>
          <w:rFonts w:asciiTheme="minorBidi" w:hAnsiTheme="minorBidi" w:cs="Arial" w:hint="cs"/>
          <w:rtl/>
        </w:rPr>
        <w:t>גבי</w:t>
      </w:r>
      <w:r w:rsidRPr="00F936FC">
        <w:rPr>
          <w:rFonts w:asciiTheme="minorBidi" w:hAnsiTheme="minorBidi" w:cs="Arial"/>
          <w:rtl/>
        </w:rPr>
        <w:t xml:space="preserve"> </w:t>
      </w:r>
      <w:r w:rsidRPr="00F936FC">
        <w:rPr>
          <w:rFonts w:asciiTheme="minorBidi" w:hAnsiTheme="minorBidi" w:cs="Arial" w:hint="cs"/>
          <w:rtl/>
        </w:rPr>
        <w:t>שום</w:t>
      </w:r>
      <w:r w:rsidRPr="00F936FC">
        <w:rPr>
          <w:rFonts w:asciiTheme="minorBidi" w:hAnsiTheme="minorBidi" w:cs="Arial"/>
          <w:rtl/>
        </w:rPr>
        <w:t xml:space="preserve"> </w:t>
      </w:r>
      <w:r w:rsidRPr="00F936FC">
        <w:rPr>
          <w:rFonts w:asciiTheme="minorBidi" w:hAnsiTheme="minorBidi" w:cs="Arial" w:hint="cs"/>
          <w:rtl/>
        </w:rPr>
        <w:t>וחרדל</w:t>
      </w:r>
      <w:r w:rsidRPr="00F936FC">
        <w:rPr>
          <w:rFonts w:asciiTheme="minorBidi" w:hAnsiTheme="minorBidi" w:cs="Arial"/>
          <w:rtl/>
        </w:rPr>
        <w:t xml:space="preserve"> </w:t>
      </w:r>
      <w:r w:rsidRPr="00F936FC">
        <w:rPr>
          <w:rFonts w:asciiTheme="minorBidi" w:hAnsiTheme="minorBidi" w:cs="Arial" w:hint="cs"/>
          <w:rtl/>
        </w:rPr>
        <w:t>כיצד</w:t>
      </w:r>
      <w:r w:rsidRPr="00F936FC">
        <w:rPr>
          <w:rFonts w:asciiTheme="minorBidi" w:hAnsiTheme="minorBidi" w:cs="Arial"/>
          <w:rtl/>
        </w:rPr>
        <w:t xml:space="preserve"> </w:t>
      </w:r>
      <w:r w:rsidRPr="00F936FC">
        <w:rPr>
          <w:rFonts w:asciiTheme="minorBidi" w:hAnsiTheme="minorBidi" w:cs="Arial" w:hint="cs"/>
          <w:rtl/>
        </w:rPr>
        <w:t>נוהגין</w:t>
      </w:r>
      <w:r w:rsidRPr="00F936FC">
        <w:rPr>
          <w:rFonts w:asciiTheme="minorBidi" w:hAnsiTheme="minorBidi" w:cs="Arial"/>
          <w:rtl/>
        </w:rPr>
        <w:t xml:space="preserve">). </w:t>
      </w:r>
    </w:p>
    <w:p w14:paraId="5A4D3284"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ד</w:t>
      </w:r>
    </w:p>
    <w:p w14:paraId="5E97D921" w14:textId="77777777" w:rsidR="006A4BF8" w:rsidRPr="00F936FC" w:rsidRDefault="006A4BF8" w:rsidP="00434A6A">
      <w:pPr>
        <w:rPr>
          <w:rFonts w:asciiTheme="minorBidi" w:hAnsiTheme="minorBidi"/>
          <w:rtl/>
        </w:rPr>
      </w:pPr>
      <w:r w:rsidRPr="00F936FC">
        <w:rPr>
          <w:rFonts w:asciiTheme="minorBidi" w:hAnsiTheme="minorBidi" w:cs="Arial" w:hint="cs"/>
          <w:rtl/>
        </w:rPr>
        <w:t>קשין</w:t>
      </w:r>
      <w:r w:rsidRPr="00F936FC">
        <w:rPr>
          <w:rFonts w:asciiTheme="minorBidi" w:hAnsiTheme="minorBidi" w:cs="Arial"/>
          <w:rtl/>
        </w:rPr>
        <w:t xml:space="preserve"> </w:t>
      </w:r>
      <w:r w:rsidRPr="00F936FC">
        <w:rPr>
          <w:rFonts w:asciiTheme="minorBidi" w:hAnsiTheme="minorBidi" w:cs="Arial" w:hint="cs"/>
          <w:rtl/>
        </w:rPr>
        <w:t>של</w:t>
      </w:r>
      <w:r w:rsidRPr="00F936FC">
        <w:rPr>
          <w:rFonts w:asciiTheme="minorBidi" w:hAnsiTheme="minorBidi" w:cs="Arial"/>
          <w:rtl/>
        </w:rPr>
        <w:t xml:space="preserve"> </w:t>
      </w:r>
      <w:r w:rsidRPr="00F936FC">
        <w:rPr>
          <w:rFonts w:asciiTheme="minorBidi" w:hAnsiTheme="minorBidi" w:cs="Arial" w:hint="cs"/>
          <w:rtl/>
        </w:rPr>
        <w:t>שבלים</w:t>
      </w:r>
      <w:r w:rsidRPr="00F936FC">
        <w:rPr>
          <w:rFonts w:asciiTheme="minorBidi" w:hAnsiTheme="minorBidi" w:cs="Arial"/>
          <w:rtl/>
        </w:rPr>
        <w:t xml:space="preserve"> </w:t>
      </w:r>
      <w:r w:rsidRPr="00F936FC">
        <w:rPr>
          <w:rFonts w:asciiTheme="minorBidi" w:hAnsiTheme="minorBidi" w:cs="Arial" w:hint="cs"/>
          <w:rtl/>
        </w:rPr>
        <w:t>שקושרים</w:t>
      </w:r>
      <w:r w:rsidRPr="00F936FC">
        <w:rPr>
          <w:rFonts w:asciiTheme="minorBidi" w:hAnsiTheme="minorBidi" w:cs="Arial"/>
          <w:rtl/>
        </w:rPr>
        <w:t xml:space="preserve"> </w:t>
      </w:r>
      <w:r w:rsidRPr="00F936FC">
        <w:rPr>
          <w:rFonts w:asciiTheme="minorBidi" w:hAnsiTheme="minorBidi" w:cs="Arial" w:hint="cs"/>
          <w:rtl/>
        </w:rPr>
        <w:t>בשנים</w:t>
      </w:r>
      <w:r w:rsidRPr="00F936FC">
        <w:rPr>
          <w:rFonts w:asciiTheme="minorBidi" w:hAnsiTheme="minorBidi" w:cs="Arial"/>
          <w:rtl/>
        </w:rPr>
        <w:t xml:space="preserve"> </w:t>
      </w:r>
      <w:r w:rsidRPr="00F936FC">
        <w:rPr>
          <w:rFonts w:asciiTheme="minorBidi" w:hAnsiTheme="minorBidi" w:cs="Arial" w:hint="cs"/>
          <w:rtl/>
        </w:rPr>
        <w:t>או</w:t>
      </w:r>
      <w:r w:rsidRPr="00F936FC">
        <w:rPr>
          <w:rFonts w:asciiTheme="minorBidi" w:hAnsiTheme="minorBidi" w:cs="Arial"/>
          <w:rtl/>
        </w:rPr>
        <w:t xml:space="preserve"> </w:t>
      </w:r>
      <w:r w:rsidRPr="00F936FC">
        <w:rPr>
          <w:rFonts w:asciiTheme="minorBidi" w:hAnsiTheme="minorBidi" w:cs="Arial" w:hint="cs"/>
          <w:rtl/>
        </w:rPr>
        <w:t>בג</w:t>
      </w:r>
      <w:r w:rsidRPr="00F936FC">
        <w:rPr>
          <w:rFonts w:asciiTheme="minorBidi" w:hAnsiTheme="minorBidi" w:cs="Arial"/>
          <w:rtl/>
        </w:rPr>
        <w:t xml:space="preserve">' </w:t>
      </w:r>
      <w:r w:rsidRPr="00F936FC">
        <w:rPr>
          <w:rFonts w:asciiTheme="minorBidi" w:hAnsiTheme="minorBidi" w:cs="Arial" w:hint="cs"/>
          <w:rtl/>
        </w:rPr>
        <w:t>מקומות</w:t>
      </w:r>
      <w:r w:rsidRPr="00F936FC">
        <w:rPr>
          <w:rFonts w:asciiTheme="minorBidi" w:hAnsiTheme="minorBidi" w:cs="Arial"/>
          <w:rtl/>
        </w:rPr>
        <w:t xml:space="preserve">, </w:t>
      </w:r>
      <w:r w:rsidRPr="00F936FC">
        <w:rPr>
          <w:rFonts w:asciiTheme="minorBidi" w:hAnsiTheme="minorBidi" w:cs="Arial" w:hint="cs"/>
          <w:rtl/>
        </w:rPr>
        <w:t>מותר</w:t>
      </w:r>
      <w:r w:rsidRPr="00F936FC">
        <w:rPr>
          <w:rFonts w:asciiTheme="minorBidi" w:hAnsiTheme="minorBidi" w:cs="Arial"/>
          <w:rtl/>
        </w:rPr>
        <w:t xml:space="preserve"> </w:t>
      </w:r>
      <w:r w:rsidRPr="00F936FC">
        <w:rPr>
          <w:rFonts w:asciiTheme="minorBidi" w:hAnsiTheme="minorBidi" w:cs="Arial" w:hint="cs"/>
          <w:rtl/>
        </w:rPr>
        <w:t>להתירן</w:t>
      </w:r>
      <w:r w:rsidRPr="00F936FC">
        <w:rPr>
          <w:rFonts w:asciiTheme="minorBidi" w:hAnsiTheme="minorBidi" w:cs="Arial"/>
          <w:rtl/>
        </w:rPr>
        <w:t xml:space="preserve"> </w:t>
      </w:r>
      <w:r w:rsidRPr="00F936FC">
        <w:rPr>
          <w:rFonts w:asciiTheme="minorBidi" w:hAnsiTheme="minorBidi" w:cs="Arial" w:hint="cs"/>
          <w:rtl/>
        </w:rPr>
        <w:t>כדי</w:t>
      </w:r>
      <w:r w:rsidRPr="00F936FC">
        <w:rPr>
          <w:rFonts w:asciiTheme="minorBidi" w:hAnsiTheme="minorBidi" w:cs="Arial"/>
          <w:rtl/>
        </w:rPr>
        <w:t xml:space="preserve"> </w:t>
      </w:r>
      <w:r w:rsidRPr="00F936FC">
        <w:rPr>
          <w:rFonts w:asciiTheme="minorBidi" w:hAnsiTheme="minorBidi" w:cs="Arial" w:hint="cs"/>
          <w:rtl/>
        </w:rPr>
        <w:t>שתאכל</w:t>
      </w:r>
      <w:r w:rsidRPr="00F936FC">
        <w:rPr>
          <w:rFonts w:asciiTheme="minorBidi" w:hAnsiTheme="minorBidi" w:cs="Arial"/>
          <w:rtl/>
        </w:rPr>
        <w:t xml:space="preserve"> </w:t>
      </w:r>
      <w:r w:rsidRPr="00F936FC">
        <w:rPr>
          <w:rFonts w:asciiTheme="minorBidi" w:hAnsiTheme="minorBidi" w:cs="Arial" w:hint="cs"/>
          <w:rtl/>
        </w:rPr>
        <w:t>מהן</w:t>
      </w:r>
      <w:r w:rsidRPr="00F936FC">
        <w:rPr>
          <w:rFonts w:asciiTheme="minorBidi" w:hAnsiTheme="minorBidi" w:cs="Arial"/>
          <w:rtl/>
        </w:rPr>
        <w:t xml:space="preserve"> </w:t>
      </w:r>
      <w:r w:rsidRPr="00F936FC">
        <w:rPr>
          <w:rFonts w:asciiTheme="minorBidi" w:hAnsiTheme="minorBidi" w:cs="Arial" w:hint="cs"/>
          <w:rtl/>
        </w:rPr>
        <w:t>הבהמה</w:t>
      </w:r>
      <w:r w:rsidRPr="00F936FC">
        <w:rPr>
          <w:rFonts w:asciiTheme="minorBidi" w:hAnsiTheme="minorBidi" w:cs="Arial"/>
          <w:rtl/>
        </w:rPr>
        <w:t xml:space="preserve">. </w:t>
      </w:r>
      <w:r w:rsidRPr="00F936FC">
        <w:rPr>
          <w:rFonts w:asciiTheme="minorBidi" w:hAnsiTheme="minorBidi" w:cs="Arial" w:hint="cs"/>
          <w:rtl/>
        </w:rPr>
        <w:t>הגה</w:t>
      </w:r>
      <w:r w:rsidRPr="00F936FC">
        <w:rPr>
          <w:rFonts w:asciiTheme="minorBidi" w:hAnsiTheme="minorBidi" w:cs="Arial"/>
          <w:rtl/>
        </w:rPr>
        <w:t xml:space="preserve">: </w:t>
      </w:r>
      <w:r w:rsidRPr="00F936FC">
        <w:rPr>
          <w:rFonts w:asciiTheme="minorBidi" w:hAnsiTheme="minorBidi" w:cs="Arial" w:hint="cs"/>
          <w:rtl/>
        </w:rPr>
        <w:t>וי</w:t>
      </w:r>
      <w:r w:rsidRPr="00F936FC">
        <w:rPr>
          <w:rFonts w:asciiTheme="minorBidi" w:hAnsiTheme="minorBidi" w:cs="Arial"/>
          <w:rtl/>
        </w:rPr>
        <w:t>"</w:t>
      </w:r>
      <w:r w:rsidRPr="00F936FC">
        <w:rPr>
          <w:rFonts w:asciiTheme="minorBidi" w:hAnsiTheme="minorBidi" w:cs="Arial" w:hint="cs"/>
          <w:rtl/>
        </w:rPr>
        <w:t>א</w:t>
      </w:r>
      <w:r w:rsidRPr="00F936FC">
        <w:rPr>
          <w:rFonts w:asciiTheme="minorBidi" w:hAnsiTheme="minorBidi" w:cs="Arial"/>
          <w:rtl/>
        </w:rPr>
        <w:t xml:space="preserve"> </w:t>
      </w:r>
      <w:r w:rsidRPr="00F936FC">
        <w:rPr>
          <w:rFonts w:asciiTheme="minorBidi" w:hAnsiTheme="minorBidi" w:cs="Arial" w:hint="cs"/>
          <w:rtl/>
        </w:rPr>
        <w:t>דלא</w:t>
      </w:r>
      <w:r w:rsidRPr="00F936FC">
        <w:rPr>
          <w:rFonts w:asciiTheme="minorBidi" w:hAnsiTheme="minorBidi" w:cs="Arial"/>
          <w:rtl/>
        </w:rPr>
        <w:t xml:space="preserve"> </w:t>
      </w:r>
      <w:r w:rsidRPr="00F936FC">
        <w:rPr>
          <w:rFonts w:asciiTheme="minorBidi" w:hAnsiTheme="minorBidi" w:cs="Arial" w:hint="cs"/>
          <w:rtl/>
        </w:rPr>
        <w:t>שרי</w:t>
      </w:r>
      <w:r w:rsidRPr="00F936FC">
        <w:rPr>
          <w:rFonts w:asciiTheme="minorBidi" w:hAnsiTheme="minorBidi" w:cs="Arial"/>
          <w:rtl/>
        </w:rPr>
        <w:t xml:space="preserve"> </w:t>
      </w:r>
      <w:r w:rsidRPr="00F936FC">
        <w:rPr>
          <w:rFonts w:asciiTheme="minorBidi" w:hAnsiTheme="minorBidi" w:cs="Arial" w:hint="cs"/>
          <w:rtl/>
        </w:rPr>
        <w:t>להתיר</w:t>
      </w:r>
      <w:r w:rsidRPr="00F936FC">
        <w:rPr>
          <w:rFonts w:asciiTheme="minorBidi" w:hAnsiTheme="minorBidi" w:cs="Arial"/>
          <w:rtl/>
        </w:rPr>
        <w:t xml:space="preserve"> </w:t>
      </w:r>
      <w:r w:rsidRPr="00F936FC">
        <w:rPr>
          <w:rFonts w:asciiTheme="minorBidi" w:hAnsiTheme="minorBidi" w:cs="Arial" w:hint="cs"/>
          <w:rtl/>
        </w:rPr>
        <w:t>רק</w:t>
      </w:r>
      <w:r w:rsidRPr="00F936FC">
        <w:rPr>
          <w:rFonts w:asciiTheme="minorBidi" w:hAnsiTheme="minorBidi" w:cs="Arial"/>
          <w:rtl/>
        </w:rPr>
        <w:t xml:space="preserve"> </w:t>
      </w:r>
      <w:r w:rsidRPr="00F936FC">
        <w:rPr>
          <w:rFonts w:asciiTheme="minorBidi" w:hAnsiTheme="minorBidi" w:cs="Arial" w:hint="cs"/>
          <w:rtl/>
        </w:rPr>
        <w:t>בקשר</w:t>
      </w:r>
      <w:r w:rsidRPr="00F936FC">
        <w:rPr>
          <w:rFonts w:asciiTheme="minorBidi" w:hAnsiTheme="minorBidi" w:cs="Arial"/>
          <w:rtl/>
        </w:rPr>
        <w:t xml:space="preserve"> </w:t>
      </w:r>
      <w:r w:rsidRPr="00F936FC">
        <w:rPr>
          <w:rFonts w:asciiTheme="minorBidi" w:hAnsiTheme="minorBidi" w:cs="Arial" w:hint="cs"/>
          <w:rtl/>
        </w:rPr>
        <w:t>שאינו</w:t>
      </w:r>
      <w:r w:rsidRPr="00F936FC">
        <w:rPr>
          <w:rFonts w:asciiTheme="minorBidi" w:hAnsiTheme="minorBidi" w:cs="Arial"/>
          <w:rtl/>
        </w:rPr>
        <w:t xml:space="preserve"> </w:t>
      </w:r>
      <w:r w:rsidRPr="00F936FC">
        <w:rPr>
          <w:rFonts w:asciiTheme="minorBidi" w:hAnsiTheme="minorBidi" w:cs="Arial" w:hint="cs"/>
          <w:rtl/>
        </w:rPr>
        <w:t>של</w:t>
      </w:r>
      <w:r w:rsidRPr="00F936FC">
        <w:rPr>
          <w:rFonts w:asciiTheme="minorBidi" w:hAnsiTheme="minorBidi" w:cs="Arial"/>
          <w:rtl/>
        </w:rPr>
        <w:t xml:space="preserve"> </w:t>
      </w:r>
      <w:r w:rsidRPr="00F936FC">
        <w:rPr>
          <w:rFonts w:asciiTheme="minorBidi" w:hAnsiTheme="minorBidi" w:cs="Arial" w:hint="cs"/>
          <w:rtl/>
        </w:rPr>
        <w:t>קיימא</w:t>
      </w:r>
      <w:r w:rsidRPr="00F936FC">
        <w:rPr>
          <w:rFonts w:asciiTheme="minorBidi" w:hAnsiTheme="minorBidi" w:cs="Arial"/>
          <w:rtl/>
        </w:rPr>
        <w:t xml:space="preserve"> (</w:t>
      </w:r>
      <w:r w:rsidRPr="00F936FC">
        <w:rPr>
          <w:rFonts w:asciiTheme="minorBidi" w:hAnsiTheme="minorBidi" w:cs="Arial" w:hint="cs"/>
          <w:rtl/>
        </w:rPr>
        <w:t>הגהות</w:t>
      </w:r>
      <w:r w:rsidRPr="00F936FC">
        <w:rPr>
          <w:rFonts w:asciiTheme="minorBidi" w:hAnsiTheme="minorBidi" w:cs="Arial"/>
          <w:rtl/>
        </w:rPr>
        <w:t xml:space="preserve"> </w:t>
      </w:r>
      <w:r w:rsidRPr="00F936FC">
        <w:rPr>
          <w:rFonts w:asciiTheme="minorBidi" w:hAnsiTheme="minorBidi" w:cs="Arial" w:hint="cs"/>
          <w:rtl/>
        </w:rPr>
        <w:t>אלפסי</w:t>
      </w:r>
      <w:r w:rsidRPr="00F936FC">
        <w:rPr>
          <w:rFonts w:asciiTheme="minorBidi" w:hAnsiTheme="minorBidi" w:cs="Arial"/>
          <w:rtl/>
        </w:rPr>
        <w:t xml:space="preserve">). </w:t>
      </w:r>
      <w:r w:rsidRPr="00F936FC">
        <w:rPr>
          <w:rFonts w:asciiTheme="minorBidi" w:hAnsiTheme="minorBidi" w:cs="Arial" w:hint="cs"/>
          <w:rtl/>
        </w:rPr>
        <w:t>אבל</w:t>
      </w:r>
      <w:r w:rsidRPr="00F936FC">
        <w:rPr>
          <w:rFonts w:asciiTheme="minorBidi" w:hAnsiTheme="minorBidi" w:cs="Arial"/>
          <w:rtl/>
        </w:rPr>
        <w:t xml:space="preserve"> </w:t>
      </w:r>
      <w:r w:rsidRPr="00F936FC">
        <w:rPr>
          <w:rFonts w:asciiTheme="minorBidi" w:hAnsiTheme="minorBidi" w:cs="Arial" w:hint="cs"/>
          <w:rtl/>
        </w:rPr>
        <w:t>אסור</w:t>
      </w:r>
      <w:r w:rsidRPr="00F936FC">
        <w:rPr>
          <w:rFonts w:asciiTheme="minorBidi" w:hAnsiTheme="minorBidi" w:cs="Arial"/>
          <w:rtl/>
        </w:rPr>
        <w:t xml:space="preserve"> </w:t>
      </w:r>
      <w:r w:rsidRPr="00F936FC">
        <w:rPr>
          <w:rFonts w:asciiTheme="minorBidi" w:hAnsiTheme="minorBidi" w:cs="Arial" w:hint="cs"/>
          <w:rtl/>
        </w:rPr>
        <w:t>לשפשף</w:t>
      </w:r>
      <w:r w:rsidRPr="00F936FC">
        <w:rPr>
          <w:rFonts w:asciiTheme="minorBidi" w:hAnsiTheme="minorBidi" w:cs="Arial"/>
          <w:rtl/>
        </w:rPr>
        <w:t xml:space="preserve"> </w:t>
      </w:r>
      <w:r w:rsidRPr="00F936FC">
        <w:rPr>
          <w:rFonts w:asciiTheme="minorBidi" w:hAnsiTheme="minorBidi" w:cs="Arial" w:hint="cs"/>
          <w:rtl/>
        </w:rPr>
        <w:t>בהם</w:t>
      </w:r>
      <w:r w:rsidRPr="00F936FC">
        <w:rPr>
          <w:rFonts w:asciiTheme="minorBidi" w:hAnsiTheme="minorBidi" w:cs="Arial"/>
          <w:rtl/>
        </w:rPr>
        <w:t xml:space="preserve"> </w:t>
      </w:r>
      <w:r w:rsidRPr="00F936FC">
        <w:rPr>
          <w:rFonts w:asciiTheme="minorBidi" w:hAnsiTheme="minorBidi" w:cs="Arial" w:hint="cs"/>
          <w:rtl/>
        </w:rPr>
        <w:t>בידים</w:t>
      </w:r>
      <w:r w:rsidRPr="00F936FC">
        <w:rPr>
          <w:rFonts w:asciiTheme="minorBidi" w:hAnsiTheme="minorBidi" w:cs="Arial"/>
          <w:rtl/>
        </w:rPr>
        <w:t xml:space="preserve"> </w:t>
      </w:r>
      <w:r w:rsidRPr="00F936FC">
        <w:rPr>
          <w:rFonts w:asciiTheme="minorBidi" w:hAnsiTheme="minorBidi" w:cs="Arial" w:hint="cs"/>
          <w:rtl/>
        </w:rPr>
        <w:t>כדרך</w:t>
      </w:r>
      <w:r w:rsidRPr="00F936FC">
        <w:rPr>
          <w:rFonts w:asciiTheme="minorBidi" w:hAnsiTheme="minorBidi" w:cs="Arial"/>
          <w:rtl/>
        </w:rPr>
        <w:t xml:space="preserve"> </w:t>
      </w:r>
      <w:r w:rsidRPr="00F936FC">
        <w:rPr>
          <w:rFonts w:asciiTheme="minorBidi" w:hAnsiTheme="minorBidi" w:cs="Arial" w:hint="cs"/>
          <w:rtl/>
        </w:rPr>
        <w:t>שעושים</w:t>
      </w:r>
      <w:r w:rsidRPr="00F936FC">
        <w:rPr>
          <w:rFonts w:asciiTheme="minorBidi" w:hAnsiTheme="minorBidi" w:cs="Arial"/>
          <w:rtl/>
        </w:rPr>
        <w:t xml:space="preserve"> </w:t>
      </w:r>
      <w:r w:rsidRPr="00F936FC">
        <w:rPr>
          <w:rFonts w:asciiTheme="minorBidi" w:hAnsiTheme="minorBidi" w:cs="Arial" w:hint="cs"/>
          <w:rtl/>
        </w:rPr>
        <w:t>באוכלי</w:t>
      </w:r>
      <w:r w:rsidRPr="00F936FC">
        <w:rPr>
          <w:rFonts w:asciiTheme="minorBidi" w:hAnsiTheme="minorBidi" w:cs="Arial"/>
          <w:rtl/>
        </w:rPr>
        <w:t xml:space="preserve"> </w:t>
      </w:r>
      <w:r w:rsidRPr="00F936FC">
        <w:rPr>
          <w:rFonts w:asciiTheme="minorBidi" w:hAnsiTheme="minorBidi" w:cs="Arial" w:hint="cs"/>
          <w:rtl/>
        </w:rPr>
        <w:t>בהמה</w:t>
      </w:r>
      <w:r w:rsidRPr="00F936FC">
        <w:rPr>
          <w:rFonts w:asciiTheme="minorBidi" w:hAnsiTheme="minorBidi" w:cs="Arial"/>
          <w:rtl/>
        </w:rPr>
        <w:t xml:space="preserve"> </w:t>
      </w:r>
      <w:r w:rsidRPr="00F936FC">
        <w:rPr>
          <w:rFonts w:asciiTheme="minorBidi" w:hAnsiTheme="minorBidi" w:cs="Arial" w:hint="cs"/>
          <w:rtl/>
        </w:rPr>
        <w:t>כדי</w:t>
      </w:r>
      <w:r w:rsidRPr="00F936FC">
        <w:rPr>
          <w:rFonts w:asciiTheme="minorBidi" w:hAnsiTheme="minorBidi" w:cs="Arial"/>
          <w:rtl/>
        </w:rPr>
        <w:t xml:space="preserve"> </w:t>
      </w:r>
      <w:r w:rsidRPr="00F936FC">
        <w:rPr>
          <w:rFonts w:asciiTheme="minorBidi" w:hAnsiTheme="minorBidi" w:cs="Arial" w:hint="cs"/>
          <w:rtl/>
        </w:rPr>
        <w:t>שיהו</w:t>
      </w:r>
      <w:r w:rsidRPr="00F936FC">
        <w:rPr>
          <w:rFonts w:asciiTheme="minorBidi" w:hAnsiTheme="minorBidi" w:cs="Arial"/>
          <w:rtl/>
        </w:rPr>
        <w:t xml:space="preserve"> </w:t>
      </w:r>
      <w:r w:rsidRPr="00F936FC">
        <w:rPr>
          <w:rFonts w:asciiTheme="minorBidi" w:hAnsiTheme="minorBidi" w:cs="Arial" w:hint="cs"/>
          <w:rtl/>
        </w:rPr>
        <w:t>נוחים</w:t>
      </w:r>
      <w:r w:rsidRPr="00F936FC">
        <w:rPr>
          <w:rFonts w:asciiTheme="minorBidi" w:hAnsiTheme="minorBidi" w:cs="Arial"/>
          <w:rtl/>
        </w:rPr>
        <w:t xml:space="preserve"> </w:t>
      </w:r>
      <w:r w:rsidRPr="00F936FC">
        <w:rPr>
          <w:rFonts w:asciiTheme="minorBidi" w:hAnsiTheme="minorBidi" w:cs="Arial" w:hint="cs"/>
          <w:rtl/>
        </w:rPr>
        <w:t>לאכלם</w:t>
      </w:r>
      <w:r w:rsidRPr="00F936FC">
        <w:rPr>
          <w:rFonts w:asciiTheme="minorBidi" w:hAnsiTheme="minorBidi" w:cs="Arial"/>
          <w:rtl/>
        </w:rPr>
        <w:t xml:space="preserve">, </w:t>
      </w:r>
      <w:r w:rsidRPr="00F936FC">
        <w:rPr>
          <w:rFonts w:asciiTheme="minorBidi" w:hAnsiTheme="minorBidi" w:cs="Arial" w:hint="cs"/>
          <w:rtl/>
        </w:rPr>
        <w:t>דשוויי</w:t>
      </w:r>
      <w:r w:rsidRPr="00F936FC">
        <w:rPr>
          <w:rFonts w:asciiTheme="minorBidi" w:hAnsiTheme="minorBidi" w:cs="Arial"/>
          <w:rtl/>
        </w:rPr>
        <w:t xml:space="preserve"> </w:t>
      </w:r>
      <w:r w:rsidRPr="00F936FC">
        <w:rPr>
          <w:rFonts w:asciiTheme="minorBidi" w:hAnsiTheme="minorBidi" w:cs="Arial" w:hint="cs"/>
          <w:rtl/>
        </w:rPr>
        <w:t>אוכל</w:t>
      </w:r>
      <w:r w:rsidRPr="00F936FC">
        <w:rPr>
          <w:rFonts w:asciiTheme="minorBidi" w:hAnsiTheme="minorBidi" w:cs="Arial"/>
          <w:rtl/>
        </w:rPr>
        <w:t xml:space="preserve"> </w:t>
      </w:r>
      <w:r w:rsidRPr="00F936FC">
        <w:rPr>
          <w:rFonts w:asciiTheme="minorBidi" w:hAnsiTheme="minorBidi" w:cs="Arial" w:hint="cs"/>
          <w:rtl/>
        </w:rPr>
        <w:t>בדבר</w:t>
      </w:r>
      <w:r w:rsidRPr="00F936FC">
        <w:rPr>
          <w:rFonts w:asciiTheme="minorBidi" w:hAnsiTheme="minorBidi" w:cs="Arial"/>
          <w:rtl/>
        </w:rPr>
        <w:t xml:space="preserve"> </w:t>
      </w:r>
      <w:r w:rsidRPr="00F936FC">
        <w:rPr>
          <w:rFonts w:asciiTheme="minorBidi" w:hAnsiTheme="minorBidi" w:cs="Arial" w:hint="cs"/>
          <w:rtl/>
        </w:rPr>
        <w:t>שאינו</w:t>
      </w:r>
      <w:r w:rsidRPr="00F936FC">
        <w:rPr>
          <w:rFonts w:asciiTheme="minorBidi" w:hAnsiTheme="minorBidi" w:cs="Arial"/>
          <w:rtl/>
        </w:rPr>
        <w:t xml:space="preserve"> </w:t>
      </w:r>
      <w:r w:rsidRPr="00F936FC">
        <w:rPr>
          <w:rFonts w:asciiTheme="minorBidi" w:hAnsiTheme="minorBidi" w:cs="Arial" w:hint="cs"/>
          <w:rtl/>
        </w:rPr>
        <w:t>אוכל</w:t>
      </w:r>
      <w:r w:rsidRPr="00F936FC">
        <w:rPr>
          <w:rFonts w:asciiTheme="minorBidi" w:hAnsiTheme="minorBidi" w:cs="Arial"/>
          <w:rtl/>
        </w:rPr>
        <w:t xml:space="preserve">, </w:t>
      </w:r>
      <w:r w:rsidRPr="00F936FC">
        <w:rPr>
          <w:rFonts w:asciiTheme="minorBidi" w:hAnsiTheme="minorBidi" w:cs="Arial" w:hint="cs"/>
          <w:rtl/>
        </w:rPr>
        <w:t>מותר</w:t>
      </w:r>
      <w:r w:rsidRPr="00F936FC">
        <w:rPr>
          <w:rFonts w:asciiTheme="minorBidi" w:hAnsiTheme="minorBidi" w:cs="Arial"/>
          <w:rtl/>
        </w:rPr>
        <w:t xml:space="preserve"> </w:t>
      </w:r>
      <w:r w:rsidRPr="00F936FC">
        <w:rPr>
          <w:rFonts w:asciiTheme="minorBidi" w:hAnsiTheme="minorBidi" w:cs="Arial" w:hint="cs"/>
          <w:rtl/>
        </w:rPr>
        <w:t>לעשותו</w:t>
      </w:r>
      <w:r w:rsidRPr="00F936FC">
        <w:rPr>
          <w:rFonts w:asciiTheme="minorBidi" w:hAnsiTheme="minorBidi" w:cs="Arial"/>
          <w:rtl/>
        </w:rPr>
        <w:t xml:space="preserve"> </w:t>
      </w:r>
      <w:r w:rsidRPr="00F936FC">
        <w:rPr>
          <w:rFonts w:asciiTheme="minorBidi" w:hAnsiTheme="minorBidi" w:cs="Arial" w:hint="cs"/>
          <w:rtl/>
        </w:rPr>
        <w:t>אוכל</w:t>
      </w:r>
      <w:r w:rsidRPr="00F936FC">
        <w:rPr>
          <w:rFonts w:asciiTheme="minorBidi" w:hAnsiTheme="minorBidi" w:cs="Arial"/>
          <w:rtl/>
        </w:rPr>
        <w:t xml:space="preserve">, </w:t>
      </w:r>
      <w:r w:rsidRPr="00F936FC">
        <w:rPr>
          <w:rFonts w:asciiTheme="minorBidi" w:hAnsiTheme="minorBidi" w:cs="Arial" w:hint="cs"/>
          <w:rtl/>
        </w:rPr>
        <w:t>אבל</w:t>
      </w:r>
      <w:r w:rsidRPr="00F936FC">
        <w:rPr>
          <w:rFonts w:asciiTheme="minorBidi" w:hAnsiTheme="minorBidi" w:cs="Arial"/>
          <w:rtl/>
        </w:rPr>
        <w:t xml:space="preserve"> </w:t>
      </w:r>
      <w:r w:rsidRPr="00F936FC">
        <w:rPr>
          <w:rFonts w:asciiTheme="minorBidi" w:hAnsiTheme="minorBidi" w:cs="Arial" w:hint="cs"/>
          <w:rtl/>
        </w:rPr>
        <w:t>מיטרח</w:t>
      </w:r>
      <w:r w:rsidRPr="00F936FC">
        <w:rPr>
          <w:rFonts w:asciiTheme="minorBidi" w:hAnsiTheme="minorBidi" w:cs="Arial"/>
          <w:rtl/>
        </w:rPr>
        <w:t xml:space="preserve"> </w:t>
      </w:r>
      <w:r w:rsidRPr="00F936FC">
        <w:rPr>
          <w:rFonts w:asciiTheme="minorBidi" w:hAnsiTheme="minorBidi" w:cs="Arial" w:hint="cs"/>
          <w:rtl/>
        </w:rPr>
        <w:t>באוכלא</w:t>
      </w:r>
      <w:r w:rsidRPr="00F936FC">
        <w:rPr>
          <w:rFonts w:asciiTheme="minorBidi" w:hAnsiTheme="minorBidi" w:cs="Arial"/>
          <w:rtl/>
        </w:rPr>
        <w:t xml:space="preserve"> </w:t>
      </w:r>
      <w:r w:rsidRPr="00F936FC">
        <w:rPr>
          <w:rFonts w:asciiTheme="minorBidi" w:hAnsiTheme="minorBidi" w:cs="Arial" w:hint="cs"/>
          <w:rtl/>
        </w:rPr>
        <w:t>בדבר</w:t>
      </w:r>
      <w:r w:rsidRPr="00F936FC">
        <w:rPr>
          <w:rFonts w:asciiTheme="minorBidi" w:hAnsiTheme="minorBidi" w:cs="Arial"/>
          <w:rtl/>
        </w:rPr>
        <w:t xml:space="preserve"> </w:t>
      </w:r>
      <w:r w:rsidRPr="00F936FC">
        <w:rPr>
          <w:rFonts w:asciiTheme="minorBidi" w:hAnsiTheme="minorBidi" w:cs="Arial" w:hint="cs"/>
          <w:rtl/>
        </w:rPr>
        <w:t>שהוא</w:t>
      </w:r>
      <w:r w:rsidRPr="00F936FC">
        <w:rPr>
          <w:rFonts w:asciiTheme="minorBidi" w:hAnsiTheme="minorBidi" w:cs="Arial"/>
          <w:rtl/>
        </w:rPr>
        <w:t xml:space="preserve"> </w:t>
      </w:r>
      <w:r w:rsidRPr="00F936FC">
        <w:rPr>
          <w:rFonts w:asciiTheme="minorBidi" w:hAnsiTheme="minorBidi" w:cs="Arial" w:hint="cs"/>
          <w:rtl/>
        </w:rPr>
        <w:t>ראוי</w:t>
      </w:r>
      <w:r w:rsidRPr="00F936FC">
        <w:rPr>
          <w:rFonts w:asciiTheme="minorBidi" w:hAnsiTheme="minorBidi" w:cs="Arial"/>
          <w:rtl/>
        </w:rPr>
        <w:t xml:space="preserve"> </w:t>
      </w:r>
      <w:r w:rsidRPr="00F936FC">
        <w:rPr>
          <w:rFonts w:asciiTheme="minorBidi" w:hAnsiTheme="minorBidi" w:cs="Arial" w:hint="cs"/>
          <w:rtl/>
        </w:rPr>
        <w:t>לאכילה</w:t>
      </w:r>
      <w:r w:rsidRPr="00F936FC">
        <w:rPr>
          <w:rFonts w:asciiTheme="minorBidi" w:hAnsiTheme="minorBidi" w:cs="Arial"/>
          <w:rtl/>
        </w:rPr>
        <w:t xml:space="preserve">, </w:t>
      </w:r>
      <w:r w:rsidRPr="00F936FC">
        <w:rPr>
          <w:rFonts w:asciiTheme="minorBidi" w:hAnsiTheme="minorBidi" w:cs="Arial" w:hint="cs"/>
          <w:rtl/>
        </w:rPr>
        <w:t>לא</w:t>
      </w:r>
      <w:r w:rsidRPr="00F936FC">
        <w:rPr>
          <w:rFonts w:asciiTheme="minorBidi" w:hAnsiTheme="minorBidi" w:cs="Arial"/>
          <w:rtl/>
        </w:rPr>
        <w:t xml:space="preserve"> </w:t>
      </w:r>
      <w:r w:rsidRPr="00F936FC">
        <w:rPr>
          <w:rFonts w:asciiTheme="minorBidi" w:hAnsiTheme="minorBidi" w:cs="Arial" w:hint="cs"/>
          <w:rtl/>
        </w:rPr>
        <w:t>טרחינן</w:t>
      </w:r>
      <w:r w:rsidRPr="00F936FC">
        <w:rPr>
          <w:rFonts w:asciiTheme="minorBidi" w:hAnsiTheme="minorBidi" w:cs="Arial"/>
          <w:rtl/>
        </w:rPr>
        <w:t xml:space="preserve"> </w:t>
      </w:r>
      <w:r w:rsidRPr="00F936FC">
        <w:rPr>
          <w:rFonts w:asciiTheme="minorBidi" w:hAnsiTheme="minorBidi" w:cs="Arial" w:hint="cs"/>
          <w:rtl/>
        </w:rPr>
        <w:t>ביה</w:t>
      </w:r>
      <w:r w:rsidRPr="00F936FC">
        <w:rPr>
          <w:rFonts w:asciiTheme="minorBidi" w:hAnsiTheme="minorBidi" w:cs="Arial"/>
          <w:rtl/>
        </w:rPr>
        <w:t xml:space="preserve"> </w:t>
      </w:r>
      <w:r w:rsidRPr="00F936FC">
        <w:rPr>
          <w:rFonts w:asciiTheme="minorBidi" w:hAnsiTheme="minorBidi" w:cs="Arial" w:hint="cs"/>
          <w:rtl/>
        </w:rPr>
        <w:t>להכשירו</w:t>
      </w:r>
      <w:r w:rsidRPr="00F936FC">
        <w:rPr>
          <w:rFonts w:asciiTheme="minorBidi" w:hAnsiTheme="minorBidi" w:cs="Arial"/>
          <w:rtl/>
        </w:rPr>
        <w:t xml:space="preserve"> </w:t>
      </w:r>
      <w:r w:rsidRPr="00F936FC">
        <w:rPr>
          <w:rFonts w:asciiTheme="minorBidi" w:hAnsiTheme="minorBidi" w:cs="Arial" w:hint="cs"/>
          <w:rtl/>
        </w:rPr>
        <w:t>ולתקנו</w:t>
      </w:r>
      <w:r w:rsidRPr="00F936FC">
        <w:rPr>
          <w:rFonts w:asciiTheme="minorBidi" w:hAnsiTheme="minorBidi" w:cs="Arial"/>
          <w:rtl/>
        </w:rPr>
        <w:t xml:space="preserve"> </w:t>
      </w:r>
      <w:r w:rsidRPr="00F936FC">
        <w:rPr>
          <w:rFonts w:asciiTheme="minorBidi" w:hAnsiTheme="minorBidi" w:cs="Arial" w:hint="cs"/>
          <w:rtl/>
        </w:rPr>
        <w:t>יותר</w:t>
      </w:r>
      <w:r w:rsidRPr="00F936FC">
        <w:rPr>
          <w:rFonts w:asciiTheme="minorBidi" w:hAnsiTheme="minorBidi" w:cs="Arial"/>
          <w:rtl/>
        </w:rPr>
        <w:t xml:space="preserve">. </w:t>
      </w:r>
    </w:p>
    <w:p w14:paraId="0271A567"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ה</w:t>
      </w:r>
    </w:p>
    <w:p w14:paraId="5CE30ECC" w14:textId="77777777" w:rsidR="006A4BF8" w:rsidRPr="00F936FC" w:rsidRDefault="006A4BF8" w:rsidP="00434A6A">
      <w:pPr>
        <w:rPr>
          <w:rFonts w:asciiTheme="minorBidi" w:hAnsiTheme="minorBidi"/>
          <w:rtl/>
        </w:rPr>
      </w:pPr>
      <w:r w:rsidRPr="00F936FC">
        <w:rPr>
          <w:rFonts w:asciiTheme="minorBidi" w:hAnsiTheme="minorBidi" w:cs="Arial" w:hint="cs"/>
          <w:rtl/>
        </w:rPr>
        <w:t>עצים</w:t>
      </w:r>
      <w:r w:rsidRPr="00F936FC">
        <w:rPr>
          <w:rFonts w:asciiTheme="minorBidi" w:hAnsiTheme="minorBidi" w:cs="Arial"/>
          <w:rtl/>
        </w:rPr>
        <w:t xml:space="preserve"> </w:t>
      </w:r>
      <w:r w:rsidRPr="00F936FC">
        <w:rPr>
          <w:rFonts w:asciiTheme="minorBidi" w:hAnsiTheme="minorBidi" w:cs="Arial" w:hint="cs"/>
          <w:rtl/>
        </w:rPr>
        <w:t>שקצצן</w:t>
      </w:r>
      <w:r w:rsidRPr="00F936FC">
        <w:rPr>
          <w:rFonts w:asciiTheme="minorBidi" w:hAnsiTheme="minorBidi" w:cs="Arial"/>
          <w:rtl/>
        </w:rPr>
        <w:t xml:space="preserve"> </w:t>
      </w:r>
      <w:r w:rsidRPr="00F936FC">
        <w:rPr>
          <w:rFonts w:asciiTheme="minorBidi" w:hAnsiTheme="minorBidi" w:cs="Arial" w:hint="cs"/>
          <w:rtl/>
        </w:rPr>
        <w:t>מן</w:t>
      </w:r>
      <w:r w:rsidRPr="00F936FC">
        <w:rPr>
          <w:rFonts w:asciiTheme="minorBidi" w:hAnsiTheme="minorBidi" w:cs="Arial"/>
          <w:rtl/>
        </w:rPr>
        <w:t xml:space="preserve"> </w:t>
      </w:r>
      <w:r w:rsidRPr="00F936FC">
        <w:rPr>
          <w:rFonts w:asciiTheme="minorBidi" w:hAnsiTheme="minorBidi" w:cs="Arial" w:hint="cs"/>
          <w:rtl/>
        </w:rPr>
        <w:t>האילן</w:t>
      </w:r>
      <w:r w:rsidRPr="00F936FC">
        <w:rPr>
          <w:rFonts w:asciiTheme="minorBidi" w:hAnsiTheme="minorBidi" w:cs="Arial"/>
          <w:rtl/>
        </w:rPr>
        <w:t xml:space="preserve">, </w:t>
      </w:r>
      <w:r w:rsidRPr="00F936FC">
        <w:rPr>
          <w:rFonts w:asciiTheme="minorBidi" w:hAnsiTheme="minorBidi" w:cs="Arial" w:hint="cs"/>
          <w:rtl/>
        </w:rPr>
        <w:t>ויש</w:t>
      </w:r>
      <w:r w:rsidRPr="00F936FC">
        <w:rPr>
          <w:rFonts w:asciiTheme="minorBidi" w:hAnsiTheme="minorBidi" w:cs="Arial"/>
          <w:rtl/>
        </w:rPr>
        <w:t xml:space="preserve"> </w:t>
      </w:r>
      <w:r w:rsidRPr="00F936FC">
        <w:rPr>
          <w:rFonts w:asciiTheme="minorBidi" w:hAnsiTheme="minorBidi" w:cs="Arial" w:hint="cs"/>
          <w:rtl/>
        </w:rPr>
        <w:t>מאכילים</w:t>
      </w:r>
      <w:r w:rsidRPr="00F936FC">
        <w:rPr>
          <w:rFonts w:asciiTheme="minorBidi" w:hAnsiTheme="minorBidi" w:cs="Arial"/>
          <w:rtl/>
        </w:rPr>
        <w:t xml:space="preserve"> </w:t>
      </w:r>
      <w:r w:rsidRPr="00F936FC">
        <w:rPr>
          <w:rFonts w:asciiTheme="minorBidi" w:hAnsiTheme="minorBidi" w:cs="Arial" w:hint="cs"/>
          <w:rtl/>
        </w:rPr>
        <w:t>אותם</w:t>
      </w:r>
      <w:r w:rsidRPr="00F936FC">
        <w:rPr>
          <w:rFonts w:asciiTheme="minorBidi" w:hAnsiTheme="minorBidi" w:cs="Arial"/>
          <w:rtl/>
        </w:rPr>
        <w:t xml:space="preserve"> </w:t>
      </w:r>
      <w:r w:rsidRPr="00F936FC">
        <w:rPr>
          <w:rFonts w:asciiTheme="minorBidi" w:hAnsiTheme="minorBidi" w:cs="Arial" w:hint="cs"/>
          <w:rtl/>
        </w:rPr>
        <w:t>לבהמה</w:t>
      </w:r>
      <w:r w:rsidRPr="00F936FC">
        <w:rPr>
          <w:rFonts w:asciiTheme="minorBidi" w:hAnsiTheme="minorBidi" w:cs="Arial"/>
          <w:rtl/>
        </w:rPr>
        <w:t xml:space="preserve"> </w:t>
      </w:r>
      <w:r w:rsidRPr="00F936FC">
        <w:rPr>
          <w:rFonts w:asciiTheme="minorBidi" w:hAnsiTheme="minorBidi" w:cs="Arial" w:hint="cs"/>
          <w:rtl/>
        </w:rPr>
        <w:t>בעודם</w:t>
      </w:r>
      <w:r w:rsidRPr="00F936FC">
        <w:rPr>
          <w:rFonts w:asciiTheme="minorBidi" w:hAnsiTheme="minorBidi" w:cs="Arial"/>
          <w:rtl/>
        </w:rPr>
        <w:t xml:space="preserve"> </w:t>
      </w:r>
      <w:r w:rsidRPr="00F936FC">
        <w:rPr>
          <w:rFonts w:asciiTheme="minorBidi" w:hAnsiTheme="minorBidi" w:cs="Arial" w:hint="cs"/>
          <w:rtl/>
        </w:rPr>
        <w:t>לחים</w:t>
      </w:r>
      <w:r w:rsidRPr="00F936FC">
        <w:rPr>
          <w:rFonts w:asciiTheme="minorBidi" w:hAnsiTheme="minorBidi" w:cs="Arial"/>
          <w:rtl/>
        </w:rPr>
        <w:t xml:space="preserve">, </w:t>
      </w:r>
      <w:r w:rsidRPr="00F936FC">
        <w:rPr>
          <w:rFonts w:asciiTheme="minorBidi" w:hAnsiTheme="minorBidi" w:cs="Arial" w:hint="cs"/>
          <w:rtl/>
        </w:rPr>
        <w:t>מתירין</w:t>
      </w:r>
      <w:r w:rsidRPr="00F936FC">
        <w:rPr>
          <w:rFonts w:asciiTheme="minorBidi" w:hAnsiTheme="minorBidi" w:cs="Arial"/>
          <w:rtl/>
        </w:rPr>
        <w:t xml:space="preserve"> </w:t>
      </w:r>
      <w:r w:rsidRPr="00F936FC">
        <w:rPr>
          <w:rFonts w:asciiTheme="minorBidi" w:hAnsiTheme="minorBidi" w:cs="Arial" w:hint="cs"/>
          <w:rtl/>
        </w:rPr>
        <w:t>ומפספסין</w:t>
      </w:r>
      <w:r w:rsidRPr="00F936FC">
        <w:rPr>
          <w:rFonts w:asciiTheme="minorBidi" w:hAnsiTheme="minorBidi" w:cs="Arial"/>
          <w:rtl/>
        </w:rPr>
        <w:t xml:space="preserve"> (</w:t>
      </w:r>
      <w:r w:rsidRPr="00F936FC">
        <w:rPr>
          <w:rFonts w:asciiTheme="minorBidi" w:hAnsiTheme="minorBidi" w:cs="Arial" w:hint="cs"/>
          <w:rtl/>
        </w:rPr>
        <w:t>לשון</w:t>
      </w:r>
      <w:r w:rsidRPr="00F936FC">
        <w:rPr>
          <w:rFonts w:asciiTheme="minorBidi" w:hAnsiTheme="minorBidi" w:cs="Arial"/>
          <w:rtl/>
        </w:rPr>
        <w:t xml:space="preserve"> </w:t>
      </w:r>
      <w:r w:rsidRPr="00F936FC">
        <w:rPr>
          <w:rFonts w:asciiTheme="minorBidi" w:hAnsiTheme="minorBidi" w:cs="Arial" w:hint="cs"/>
          <w:rtl/>
        </w:rPr>
        <w:t>שפשוף</w:t>
      </w:r>
      <w:r w:rsidRPr="00F936FC">
        <w:rPr>
          <w:rFonts w:asciiTheme="minorBidi" w:hAnsiTheme="minorBidi" w:cs="Arial"/>
          <w:rtl/>
        </w:rPr>
        <w:t xml:space="preserve">) </w:t>
      </w:r>
      <w:r w:rsidRPr="00F936FC">
        <w:rPr>
          <w:rFonts w:asciiTheme="minorBidi" w:hAnsiTheme="minorBidi" w:cs="Arial" w:hint="cs"/>
          <w:rtl/>
        </w:rPr>
        <w:t>בהם</w:t>
      </w:r>
      <w:r w:rsidRPr="00F936FC">
        <w:rPr>
          <w:rFonts w:asciiTheme="minorBidi" w:hAnsiTheme="minorBidi" w:cs="Arial"/>
          <w:rtl/>
        </w:rPr>
        <w:t xml:space="preserve"> </w:t>
      </w:r>
      <w:r w:rsidRPr="00F936FC">
        <w:rPr>
          <w:rFonts w:asciiTheme="minorBidi" w:hAnsiTheme="minorBidi" w:cs="Arial" w:hint="cs"/>
          <w:rtl/>
        </w:rPr>
        <w:t>להאכילם</w:t>
      </w:r>
      <w:r w:rsidRPr="00F936FC">
        <w:rPr>
          <w:rFonts w:asciiTheme="minorBidi" w:hAnsiTheme="minorBidi" w:cs="Arial"/>
          <w:rtl/>
        </w:rPr>
        <w:t xml:space="preserve">, </w:t>
      </w:r>
      <w:r w:rsidRPr="00F936FC">
        <w:rPr>
          <w:rFonts w:asciiTheme="minorBidi" w:hAnsiTheme="minorBidi" w:cs="Arial" w:hint="cs"/>
          <w:rtl/>
        </w:rPr>
        <w:t>שאינם</w:t>
      </w:r>
      <w:r w:rsidRPr="00F936FC">
        <w:rPr>
          <w:rFonts w:asciiTheme="minorBidi" w:hAnsiTheme="minorBidi" w:cs="Arial"/>
          <w:rtl/>
        </w:rPr>
        <w:t xml:space="preserve"> </w:t>
      </w:r>
      <w:r w:rsidRPr="00F936FC">
        <w:rPr>
          <w:rFonts w:asciiTheme="minorBidi" w:hAnsiTheme="minorBidi" w:cs="Arial" w:hint="cs"/>
          <w:rtl/>
        </w:rPr>
        <w:t>ראויים</w:t>
      </w:r>
      <w:r w:rsidRPr="00F936FC">
        <w:rPr>
          <w:rFonts w:asciiTheme="minorBidi" w:hAnsiTheme="minorBidi" w:cs="Arial"/>
          <w:rtl/>
        </w:rPr>
        <w:t xml:space="preserve"> </w:t>
      </w:r>
      <w:r w:rsidRPr="00F936FC">
        <w:rPr>
          <w:rFonts w:asciiTheme="minorBidi" w:hAnsiTheme="minorBidi" w:cs="Arial" w:hint="cs"/>
          <w:rtl/>
        </w:rPr>
        <w:t>בלא</w:t>
      </w:r>
      <w:r w:rsidRPr="00F936FC">
        <w:rPr>
          <w:rFonts w:asciiTheme="minorBidi" w:hAnsiTheme="minorBidi" w:cs="Arial"/>
          <w:rtl/>
        </w:rPr>
        <w:t xml:space="preserve"> </w:t>
      </w:r>
      <w:r w:rsidRPr="00F936FC">
        <w:rPr>
          <w:rFonts w:asciiTheme="minorBidi" w:hAnsiTheme="minorBidi" w:cs="Arial" w:hint="cs"/>
          <w:rtl/>
        </w:rPr>
        <w:t>שפשוף</w:t>
      </w:r>
      <w:r w:rsidRPr="00F936FC">
        <w:rPr>
          <w:rFonts w:asciiTheme="minorBidi" w:hAnsiTheme="minorBidi" w:cs="Arial"/>
          <w:rtl/>
        </w:rPr>
        <w:t xml:space="preserve">. </w:t>
      </w:r>
    </w:p>
    <w:p w14:paraId="0DBB92AA"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ו</w:t>
      </w:r>
    </w:p>
    <w:p w14:paraId="6FF6331C" w14:textId="77777777" w:rsidR="006A4BF8" w:rsidRPr="00F936FC" w:rsidRDefault="006A4BF8" w:rsidP="00434A6A">
      <w:pPr>
        <w:rPr>
          <w:rFonts w:asciiTheme="minorBidi" w:hAnsiTheme="minorBidi"/>
          <w:rtl/>
        </w:rPr>
      </w:pPr>
      <w:r w:rsidRPr="00F936FC">
        <w:rPr>
          <w:rFonts w:asciiTheme="minorBidi" w:hAnsiTheme="minorBidi" w:cs="Arial" w:hint="cs"/>
          <w:rtl/>
        </w:rPr>
        <w:t>מחתכין</w:t>
      </w:r>
      <w:r w:rsidRPr="00F936FC">
        <w:rPr>
          <w:rFonts w:asciiTheme="minorBidi" w:hAnsiTheme="minorBidi" w:cs="Arial"/>
          <w:rtl/>
        </w:rPr>
        <w:t xml:space="preserve"> </w:t>
      </w:r>
      <w:r w:rsidRPr="00F936FC">
        <w:rPr>
          <w:rFonts w:asciiTheme="minorBidi" w:hAnsiTheme="minorBidi" w:cs="Arial" w:hint="cs"/>
          <w:rtl/>
        </w:rPr>
        <w:t>דלועין</w:t>
      </w:r>
      <w:r w:rsidRPr="00F936FC">
        <w:rPr>
          <w:rFonts w:asciiTheme="minorBidi" w:hAnsiTheme="minorBidi" w:cs="Arial"/>
          <w:rtl/>
        </w:rPr>
        <w:t xml:space="preserve"> </w:t>
      </w:r>
      <w:r w:rsidRPr="00F936FC">
        <w:rPr>
          <w:rFonts w:asciiTheme="minorBidi" w:hAnsiTheme="minorBidi" w:cs="Arial" w:hint="cs"/>
          <w:rtl/>
        </w:rPr>
        <w:t>לפני</w:t>
      </w:r>
      <w:r w:rsidRPr="00F936FC">
        <w:rPr>
          <w:rFonts w:asciiTheme="minorBidi" w:hAnsiTheme="minorBidi" w:cs="Arial"/>
          <w:rtl/>
        </w:rPr>
        <w:t xml:space="preserve"> </w:t>
      </w:r>
      <w:r w:rsidRPr="00F936FC">
        <w:rPr>
          <w:rFonts w:asciiTheme="minorBidi" w:hAnsiTheme="minorBidi" w:cs="Arial" w:hint="cs"/>
          <w:rtl/>
        </w:rPr>
        <w:t>בהמה</w:t>
      </w:r>
      <w:r w:rsidRPr="00F936FC">
        <w:rPr>
          <w:rFonts w:asciiTheme="minorBidi" w:hAnsiTheme="minorBidi" w:cs="Arial"/>
          <w:rtl/>
        </w:rPr>
        <w:t xml:space="preserve">, </w:t>
      </w:r>
      <w:r w:rsidRPr="00F936FC">
        <w:rPr>
          <w:rFonts w:asciiTheme="minorBidi" w:hAnsiTheme="minorBidi" w:cs="Arial" w:hint="cs"/>
          <w:rtl/>
        </w:rPr>
        <w:t>והוא</w:t>
      </w:r>
      <w:r w:rsidRPr="00F936FC">
        <w:rPr>
          <w:rFonts w:asciiTheme="minorBidi" w:hAnsiTheme="minorBidi" w:cs="Arial"/>
          <w:rtl/>
        </w:rPr>
        <w:t xml:space="preserve"> </w:t>
      </w:r>
      <w:r w:rsidRPr="00F936FC">
        <w:rPr>
          <w:rFonts w:asciiTheme="minorBidi" w:hAnsiTheme="minorBidi" w:cs="Arial" w:hint="cs"/>
          <w:rtl/>
        </w:rPr>
        <w:t>שנתלשו</w:t>
      </w:r>
      <w:r w:rsidRPr="00F936FC">
        <w:rPr>
          <w:rFonts w:asciiTheme="minorBidi" w:hAnsiTheme="minorBidi" w:cs="Arial"/>
          <w:rtl/>
        </w:rPr>
        <w:t xml:space="preserve"> </w:t>
      </w:r>
      <w:r w:rsidRPr="00F936FC">
        <w:rPr>
          <w:rFonts w:asciiTheme="minorBidi" w:hAnsiTheme="minorBidi" w:cs="Arial" w:hint="cs"/>
          <w:rtl/>
        </w:rPr>
        <w:t>מאתמול</w:t>
      </w:r>
      <w:r w:rsidRPr="00F936FC">
        <w:rPr>
          <w:rFonts w:asciiTheme="minorBidi" w:hAnsiTheme="minorBidi" w:cs="Arial"/>
          <w:rtl/>
        </w:rPr>
        <w:t xml:space="preserve">. </w:t>
      </w:r>
    </w:p>
    <w:p w14:paraId="5313B195"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ז</w:t>
      </w:r>
    </w:p>
    <w:p w14:paraId="35907713" w14:textId="77777777" w:rsidR="006A4BF8" w:rsidRPr="00F936FC" w:rsidRDefault="006A4BF8" w:rsidP="00434A6A">
      <w:pPr>
        <w:rPr>
          <w:rFonts w:asciiTheme="minorBidi" w:hAnsiTheme="minorBidi"/>
          <w:rtl/>
        </w:rPr>
      </w:pPr>
      <w:r w:rsidRPr="00F936FC">
        <w:rPr>
          <w:rFonts w:asciiTheme="minorBidi" w:hAnsiTheme="minorBidi" w:cs="Arial" w:hint="cs"/>
          <w:rtl/>
        </w:rPr>
        <w:t>מחתכין</w:t>
      </w:r>
      <w:r w:rsidRPr="00F936FC">
        <w:rPr>
          <w:rFonts w:asciiTheme="minorBidi" w:hAnsiTheme="minorBidi" w:cs="Arial"/>
          <w:rtl/>
        </w:rPr>
        <w:t xml:space="preserve"> </w:t>
      </w:r>
      <w:r w:rsidRPr="00F936FC">
        <w:rPr>
          <w:rFonts w:asciiTheme="minorBidi" w:hAnsiTheme="minorBidi" w:cs="Arial" w:hint="cs"/>
          <w:rtl/>
        </w:rPr>
        <w:t>נבילה</w:t>
      </w:r>
      <w:r w:rsidRPr="00F936FC">
        <w:rPr>
          <w:rFonts w:asciiTheme="minorBidi" w:hAnsiTheme="minorBidi" w:cs="Arial"/>
          <w:rtl/>
        </w:rPr>
        <w:t xml:space="preserve"> </w:t>
      </w:r>
      <w:r w:rsidRPr="00F936FC">
        <w:rPr>
          <w:rFonts w:asciiTheme="minorBidi" w:hAnsiTheme="minorBidi" w:cs="Arial" w:hint="cs"/>
          <w:rtl/>
        </w:rPr>
        <w:t>לפני</w:t>
      </w:r>
      <w:r w:rsidRPr="00F936FC">
        <w:rPr>
          <w:rFonts w:asciiTheme="minorBidi" w:hAnsiTheme="minorBidi" w:cs="Arial"/>
          <w:rtl/>
        </w:rPr>
        <w:t xml:space="preserve"> </w:t>
      </w:r>
      <w:r w:rsidRPr="00F936FC">
        <w:rPr>
          <w:rFonts w:asciiTheme="minorBidi" w:hAnsiTheme="minorBidi" w:cs="Arial" w:hint="cs"/>
          <w:rtl/>
        </w:rPr>
        <w:t>הכלבים</w:t>
      </w:r>
      <w:r w:rsidRPr="00F936FC">
        <w:rPr>
          <w:rFonts w:asciiTheme="minorBidi" w:hAnsiTheme="minorBidi" w:cs="Arial"/>
          <w:rtl/>
        </w:rPr>
        <w:t xml:space="preserve"> </w:t>
      </w:r>
      <w:r w:rsidRPr="00F936FC">
        <w:rPr>
          <w:rFonts w:asciiTheme="minorBidi" w:hAnsiTheme="minorBidi" w:cs="Arial" w:hint="cs"/>
          <w:rtl/>
        </w:rPr>
        <w:t>אפי</w:t>
      </w:r>
      <w:r w:rsidRPr="00F936FC">
        <w:rPr>
          <w:rFonts w:asciiTheme="minorBidi" w:hAnsiTheme="minorBidi" w:cs="Arial"/>
          <w:rtl/>
        </w:rPr>
        <w:t xml:space="preserve">' </w:t>
      </w:r>
      <w:r w:rsidRPr="00F936FC">
        <w:rPr>
          <w:rFonts w:asciiTheme="minorBidi" w:hAnsiTheme="minorBidi" w:cs="Arial" w:hint="cs"/>
          <w:rtl/>
        </w:rPr>
        <w:t>נתנבלה</w:t>
      </w:r>
      <w:r w:rsidRPr="00F936FC">
        <w:rPr>
          <w:rFonts w:asciiTheme="minorBidi" w:hAnsiTheme="minorBidi" w:cs="Arial"/>
          <w:rtl/>
        </w:rPr>
        <w:t xml:space="preserve"> </w:t>
      </w:r>
      <w:r w:rsidRPr="00F936FC">
        <w:rPr>
          <w:rFonts w:asciiTheme="minorBidi" w:hAnsiTheme="minorBidi" w:cs="Arial" w:hint="cs"/>
          <w:rtl/>
        </w:rPr>
        <w:t>היום</w:t>
      </w:r>
      <w:r w:rsidRPr="00F936FC">
        <w:rPr>
          <w:rFonts w:asciiTheme="minorBidi" w:hAnsiTheme="minorBidi" w:cs="Arial"/>
          <w:rtl/>
        </w:rPr>
        <w:t xml:space="preserve">, </w:t>
      </w:r>
      <w:r w:rsidRPr="00F936FC">
        <w:rPr>
          <w:rFonts w:asciiTheme="minorBidi" w:hAnsiTheme="minorBidi" w:cs="Arial" w:hint="cs"/>
          <w:rtl/>
        </w:rPr>
        <w:t>בין</w:t>
      </w:r>
      <w:r w:rsidRPr="00F936FC">
        <w:rPr>
          <w:rFonts w:asciiTheme="minorBidi" w:hAnsiTheme="minorBidi" w:cs="Arial"/>
          <w:rtl/>
        </w:rPr>
        <w:t xml:space="preserve"> </w:t>
      </w:r>
      <w:r w:rsidRPr="00F936FC">
        <w:rPr>
          <w:rFonts w:asciiTheme="minorBidi" w:hAnsiTheme="minorBidi" w:cs="Arial" w:hint="cs"/>
          <w:rtl/>
        </w:rPr>
        <w:t>שהיתה</w:t>
      </w:r>
      <w:r w:rsidRPr="00F936FC">
        <w:rPr>
          <w:rFonts w:asciiTheme="minorBidi" w:hAnsiTheme="minorBidi" w:cs="Arial"/>
          <w:rtl/>
        </w:rPr>
        <w:t xml:space="preserve"> </w:t>
      </w:r>
      <w:r w:rsidRPr="00F936FC">
        <w:rPr>
          <w:rFonts w:asciiTheme="minorBidi" w:hAnsiTheme="minorBidi" w:cs="Arial" w:hint="cs"/>
          <w:rtl/>
        </w:rPr>
        <w:t>מסוכנת</w:t>
      </w:r>
      <w:r w:rsidRPr="00F936FC">
        <w:rPr>
          <w:rFonts w:asciiTheme="minorBidi" w:hAnsiTheme="minorBidi" w:cs="Arial"/>
          <w:rtl/>
        </w:rPr>
        <w:t xml:space="preserve"> </w:t>
      </w:r>
      <w:r w:rsidRPr="00F936FC">
        <w:rPr>
          <w:rFonts w:asciiTheme="minorBidi" w:hAnsiTheme="minorBidi" w:cs="Arial" w:hint="cs"/>
          <w:rtl/>
        </w:rPr>
        <w:t>בין</w:t>
      </w:r>
      <w:r w:rsidRPr="00F936FC">
        <w:rPr>
          <w:rFonts w:asciiTheme="minorBidi" w:hAnsiTheme="minorBidi" w:cs="Arial"/>
          <w:rtl/>
        </w:rPr>
        <w:t xml:space="preserve"> </w:t>
      </w:r>
      <w:r w:rsidRPr="00F936FC">
        <w:rPr>
          <w:rFonts w:asciiTheme="minorBidi" w:hAnsiTheme="minorBidi" w:cs="Arial" w:hint="cs"/>
          <w:rtl/>
        </w:rPr>
        <w:t>שהיתה</w:t>
      </w:r>
      <w:r w:rsidRPr="00F936FC">
        <w:rPr>
          <w:rFonts w:asciiTheme="minorBidi" w:hAnsiTheme="minorBidi" w:cs="Arial"/>
          <w:rtl/>
        </w:rPr>
        <w:t xml:space="preserve"> </w:t>
      </w:r>
      <w:r w:rsidRPr="00F936FC">
        <w:rPr>
          <w:rFonts w:asciiTheme="minorBidi" w:hAnsiTheme="minorBidi" w:cs="Arial" w:hint="cs"/>
          <w:rtl/>
        </w:rPr>
        <w:t>בריאה</w:t>
      </w:r>
      <w:r w:rsidRPr="00F936FC">
        <w:rPr>
          <w:rFonts w:asciiTheme="minorBidi" w:hAnsiTheme="minorBidi" w:cs="Arial"/>
          <w:rtl/>
        </w:rPr>
        <w:t xml:space="preserve">, </w:t>
      </w:r>
      <w:r w:rsidRPr="00F936FC">
        <w:rPr>
          <w:rFonts w:asciiTheme="minorBidi" w:hAnsiTheme="minorBidi" w:cs="Arial" w:hint="cs"/>
          <w:rtl/>
        </w:rPr>
        <w:t>והני</w:t>
      </w:r>
      <w:r w:rsidRPr="00F936FC">
        <w:rPr>
          <w:rFonts w:asciiTheme="minorBidi" w:hAnsiTheme="minorBidi" w:cs="Arial"/>
          <w:rtl/>
        </w:rPr>
        <w:t xml:space="preserve"> </w:t>
      </w:r>
      <w:r w:rsidRPr="00F936FC">
        <w:rPr>
          <w:rFonts w:asciiTheme="minorBidi" w:hAnsiTheme="minorBidi" w:cs="Arial" w:hint="cs"/>
          <w:rtl/>
        </w:rPr>
        <w:t>מילי</w:t>
      </w:r>
      <w:r w:rsidRPr="00F936FC">
        <w:rPr>
          <w:rFonts w:asciiTheme="minorBidi" w:hAnsiTheme="minorBidi" w:cs="Arial"/>
          <w:rtl/>
        </w:rPr>
        <w:t xml:space="preserve"> </w:t>
      </w:r>
      <w:r w:rsidRPr="00F936FC">
        <w:rPr>
          <w:rFonts w:asciiTheme="minorBidi" w:hAnsiTheme="minorBidi" w:cs="Arial" w:hint="cs"/>
          <w:rtl/>
        </w:rPr>
        <w:t>בנבילה</w:t>
      </w:r>
      <w:r w:rsidRPr="00F936FC">
        <w:rPr>
          <w:rFonts w:asciiTheme="minorBidi" w:hAnsiTheme="minorBidi" w:cs="Arial"/>
          <w:rtl/>
        </w:rPr>
        <w:t xml:space="preserve"> </w:t>
      </w:r>
      <w:r w:rsidRPr="00F936FC">
        <w:rPr>
          <w:rFonts w:asciiTheme="minorBidi" w:hAnsiTheme="minorBidi" w:cs="Arial" w:hint="cs"/>
          <w:rtl/>
        </w:rPr>
        <w:t>הקשה</w:t>
      </w:r>
      <w:r w:rsidRPr="00F936FC">
        <w:rPr>
          <w:rFonts w:asciiTheme="minorBidi" w:hAnsiTheme="minorBidi" w:cs="Arial"/>
          <w:rtl/>
        </w:rPr>
        <w:t xml:space="preserve"> </w:t>
      </w:r>
      <w:r w:rsidRPr="00F936FC">
        <w:rPr>
          <w:rFonts w:asciiTheme="minorBidi" w:hAnsiTheme="minorBidi" w:cs="Arial" w:hint="cs"/>
          <w:rtl/>
        </w:rPr>
        <w:t>שאי</w:t>
      </w:r>
      <w:r w:rsidRPr="00F936FC">
        <w:rPr>
          <w:rFonts w:asciiTheme="minorBidi" w:hAnsiTheme="minorBidi" w:cs="Arial"/>
          <w:rtl/>
        </w:rPr>
        <w:t xml:space="preserve"> </w:t>
      </w:r>
      <w:r w:rsidRPr="00F936FC">
        <w:rPr>
          <w:rFonts w:asciiTheme="minorBidi" w:hAnsiTheme="minorBidi" w:cs="Arial" w:hint="cs"/>
          <w:rtl/>
        </w:rPr>
        <w:t>אפשר</w:t>
      </w:r>
      <w:r w:rsidRPr="00F936FC">
        <w:rPr>
          <w:rFonts w:asciiTheme="minorBidi" w:hAnsiTheme="minorBidi" w:cs="Arial"/>
          <w:rtl/>
        </w:rPr>
        <w:t xml:space="preserve"> </w:t>
      </w:r>
      <w:r w:rsidRPr="00F936FC">
        <w:rPr>
          <w:rFonts w:asciiTheme="minorBidi" w:hAnsiTheme="minorBidi" w:cs="Arial" w:hint="cs"/>
          <w:rtl/>
        </w:rPr>
        <w:t>להם</w:t>
      </w:r>
      <w:r w:rsidRPr="00F936FC">
        <w:rPr>
          <w:rFonts w:asciiTheme="minorBidi" w:hAnsiTheme="minorBidi" w:cs="Arial"/>
          <w:rtl/>
        </w:rPr>
        <w:t xml:space="preserve"> </w:t>
      </w:r>
      <w:r w:rsidRPr="00F936FC">
        <w:rPr>
          <w:rFonts w:asciiTheme="minorBidi" w:hAnsiTheme="minorBidi" w:cs="Arial" w:hint="cs"/>
          <w:rtl/>
        </w:rPr>
        <w:t>לאכלה</w:t>
      </w:r>
      <w:r w:rsidRPr="00F936FC">
        <w:rPr>
          <w:rFonts w:asciiTheme="minorBidi" w:hAnsiTheme="minorBidi" w:cs="Arial"/>
          <w:rtl/>
        </w:rPr>
        <w:t xml:space="preserve"> </w:t>
      </w:r>
      <w:r w:rsidRPr="00F936FC">
        <w:rPr>
          <w:rFonts w:asciiTheme="minorBidi" w:hAnsiTheme="minorBidi" w:cs="Arial" w:hint="cs"/>
          <w:rtl/>
        </w:rPr>
        <w:t>בלא</w:t>
      </w:r>
      <w:r w:rsidRPr="00F936FC">
        <w:rPr>
          <w:rFonts w:asciiTheme="minorBidi" w:hAnsiTheme="minorBidi" w:cs="Arial"/>
          <w:rtl/>
        </w:rPr>
        <w:t xml:space="preserve"> </w:t>
      </w:r>
      <w:r w:rsidRPr="00F936FC">
        <w:rPr>
          <w:rFonts w:asciiTheme="minorBidi" w:hAnsiTheme="minorBidi" w:cs="Arial" w:hint="cs"/>
          <w:rtl/>
        </w:rPr>
        <w:t>חתיכה</w:t>
      </w:r>
      <w:r w:rsidRPr="00F936FC">
        <w:rPr>
          <w:rFonts w:asciiTheme="minorBidi" w:hAnsiTheme="minorBidi" w:cs="Arial"/>
          <w:rtl/>
        </w:rPr>
        <w:t xml:space="preserve">, </w:t>
      </w:r>
      <w:r w:rsidRPr="00F936FC">
        <w:rPr>
          <w:rFonts w:asciiTheme="minorBidi" w:hAnsiTheme="minorBidi" w:cs="Arial" w:hint="cs"/>
          <w:rtl/>
        </w:rPr>
        <w:t>אבל</w:t>
      </w:r>
      <w:r w:rsidRPr="00F936FC">
        <w:rPr>
          <w:rFonts w:asciiTheme="minorBidi" w:hAnsiTheme="minorBidi" w:cs="Arial"/>
          <w:rtl/>
        </w:rPr>
        <w:t xml:space="preserve"> </w:t>
      </w:r>
      <w:r w:rsidRPr="00F936FC">
        <w:rPr>
          <w:rFonts w:asciiTheme="minorBidi" w:hAnsiTheme="minorBidi" w:cs="Arial" w:hint="cs"/>
          <w:rtl/>
        </w:rPr>
        <w:t>אם</w:t>
      </w:r>
      <w:r w:rsidRPr="00F936FC">
        <w:rPr>
          <w:rFonts w:asciiTheme="minorBidi" w:hAnsiTheme="minorBidi" w:cs="Arial"/>
          <w:rtl/>
        </w:rPr>
        <w:t xml:space="preserve"> </w:t>
      </w:r>
      <w:r w:rsidRPr="00F936FC">
        <w:rPr>
          <w:rFonts w:asciiTheme="minorBidi" w:hAnsiTheme="minorBidi" w:cs="Arial" w:hint="cs"/>
          <w:rtl/>
        </w:rPr>
        <w:t>היתה</w:t>
      </w:r>
      <w:r w:rsidRPr="00F936FC">
        <w:rPr>
          <w:rFonts w:asciiTheme="minorBidi" w:hAnsiTheme="minorBidi" w:cs="Arial"/>
          <w:rtl/>
        </w:rPr>
        <w:t xml:space="preserve"> </w:t>
      </w:r>
      <w:r w:rsidRPr="00F936FC">
        <w:rPr>
          <w:rFonts w:asciiTheme="minorBidi" w:hAnsiTheme="minorBidi" w:cs="Arial" w:hint="cs"/>
          <w:rtl/>
        </w:rPr>
        <w:t>ראויה</w:t>
      </w:r>
      <w:r w:rsidRPr="00F936FC">
        <w:rPr>
          <w:rFonts w:asciiTheme="minorBidi" w:hAnsiTheme="minorBidi" w:cs="Arial"/>
          <w:rtl/>
        </w:rPr>
        <w:t xml:space="preserve"> </w:t>
      </w:r>
      <w:r w:rsidRPr="00F936FC">
        <w:rPr>
          <w:rFonts w:asciiTheme="minorBidi" w:hAnsiTheme="minorBidi" w:cs="Arial" w:hint="cs"/>
          <w:rtl/>
        </w:rPr>
        <w:t>להם</w:t>
      </w:r>
      <w:r w:rsidRPr="00F936FC">
        <w:rPr>
          <w:rFonts w:asciiTheme="minorBidi" w:hAnsiTheme="minorBidi" w:cs="Arial"/>
          <w:rtl/>
        </w:rPr>
        <w:t xml:space="preserve"> </w:t>
      </w:r>
      <w:r w:rsidRPr="00F936FC">
        <w:rPr>
          <w:rFonts w:asciiTheme="minorBidi" w:hAnsiTheme="minorBidi" w:cs="Arial" w:hint="cs"/>
          <w:rtl/>
        </w:rPr>
        <w:t>בלא</w:t>
      </w:r>
      <w:r w:rsidRPr="00F936FC">
        <w:rPr>
          <w:rFonts w:asciiTheme="minorBidi" w:hAnsiTheme="minorBidi" w:cs="Arial"/>
          <w:rtl/>
        </w:rPr>
        <w:t xml:space="preserve"> </w:t>
      </w:r>
      <w:r w:rsidRPr="00F936FC">
        <w:rPr>
          <w:rFonts w:asciiTheme="minorBidi" w:hAnsiTheme="minorBidi" w:cs="Arial" w:hint="cs"/>
          <w:rtl/>
        </w:rPr>
        <w:t>חתיכה</w:t>
      </w:r>
      <w:r w:rsidRPr="00F936FC">
        <w:rPr>
          <w:rFonts w:asciiTheme="minorBidi" w:hAnsiTheme="minorBidi" w:cs="Arial"/>
          <w:rtl/>
        </w:rPr>
        <w:t xml:space="preserve">, </w:t>
      </w:r>
      <w:r w:rsidRPr="00F936FC">
        <w:rPr>
          <w:rFonts w:asciiTheme="minorBidi" w:hAnsiTheme="minorBidi" w:cs="Arial" w:hint="cs"/>
          <w:rtl/>
        </w:rPr>
        <w:t>לא</w:t>
      </w:r>
      <w:r w:rsidRPr="00F936FC">
        <w:rPr>
          <w:rFonts w:asciiTheme="minorBidi" w:hAnsiTheme="minorBidi" w:cs="Arial"/>
          <w:rtl/>
        </w:rPr>
        <w:t xml:space="preserve">, </w:t>
      </w:r>
      <w:r w:rsidRPr="00F936FC">
        <w:rPr>
          <w:rFonts w:asciiTheme="minorBidi" w:hAnsiTheme="minorBidi" w:cs="Arial" w:hint="cs"/>
          <w:rtl/>
        </w:rPr>
        <w:t>דמיטרח</w:t>
      </w:r>
      <w:r w:rsidRPr="00F936FC">
        <w:rPr>
          <w:rFonts w:asciiTheme="minorBidi" w:hAnsiTheme="minorBidi" w:cs="Arial"/>
          <w:rtl/>
        </w:rPr>
        <w:t xml:space="preserve"> </w:t>
      </w:r>
      <w:r w:rsidRPr="00F936FC">
        <w:rPr>
          <w:rFonts w:asciiTheme="minorBidi" w:hAnsiTheme="minorBidi" w:cs="Arial" w:hint="cs"/>
          <w:rtl/>
        </w:rPr>
        <w:t>במה</w:t>
      </w:r>
      <w:r w:rsidRPr="00F936FC">
        <w:rPr>
          <w:rFonts w:asciiTheme="minorBidi" w:hAnsiTheme="minorBidi" w:cs="Arial"/>
          <w:rtl/>
        </w:rPr>
        <w:t xml:space="preserve"> </w:t>
      </w:r>
      <w:r w:rsidRPr="00F936FC">
        <w:rPr>
          <w:rFonts w:asciiTheme="minorBidi" w:hAnsiTheme="minorBidi" w:cs="Arial" w:hint="cs"/>
          <w:rtl/>
        </w:rPr>
        <w:t>שהוא</w:t>
      </w:r>
      <w:r w:rsidRPr="00F936FC">
        <w:rPr>
          <w:rFonts w:asciiTheme="minorBidi" w:hAnsiTheme="minorBidi" w:cs="Arial"/>
          <w:rtl/>
        </w:rPr>
        <w:t xml:space="preserve"> </w:t>
      </w:r>
      <w:r w:rsidRPr="00F936FC">
        <w:rPr>
          <w:rFonts w:asciiTheme="minorBidi" w:hAnsiTheme="minorBidi" w:cs="Arial" w:hint="cs"/>
          <w:rtl/>
        </w:rPr>
        <w:t>ראוי</w:t>
      </w:r>
      <w:r w:rsidRPr="00F936FC">
        <w:rPr>
          <w:rFonts w:asciiTheme="minorBidi" w:hAnsiTheme="minorBidi" w:cs="Arial"/>
          <w:rtl/>
        </w:rPr>
        <w:t xml:space="preserve"> </w:t>
      </w:r>
      <w:r w:rsidRPr="00F936FC">
        <w:rPr>
          <w:rFonts w:asciiTheme="minorBidi" w:hAnsiTheme="minorBidi" w:cs="Arial" w:hint="cs"/>
          <w:rtl/>
        </w:rPr>
        <w:t>לא</w:t>
      </w:r>
      <w:r w:rsidRPr="00F936FC">
        <w:rPr>
          <w:rFonts w:asciiTheme="minorBidi" w:hAnsiTheme="minorBidi" w:cs="Arial"/>
          <w:rtl/>
        </w:rPr>
        <w:t xml:space="preserve"> </w:t>
      </w:r>
      <w:r w:rsidRPr="00F936FC">
        <w:rPr>
          <w:rFonts w:asciiTheme="minorBidi" w:hAnsiTheme="minorBidi" w:cs="Arial" w:hint="cs"/>
          <w:rtl/>
        </w:rPr>
        <w:t>טרחינן</w:t>
      </w:r>
      <w:r w:rsidRPr="00F936FC">
        <w:rPr>
          <w:rFonts w:asciiTheme="minorBidi" w:hAnsiTheme="minorBidi" w:cs="Arial"/>
          <w:rtl/>
        </w:rPr>
        <w:t xml:space="preserve"> (</w:t>
      </w:r>
      <w:r w:rsidRPr="00F936FC">
        <w:rPr>
          <w:rFonts w:asciiTheme="minorBidi" w:hAnsiTheme="minorBidi" w:cs="Arial" w:hint="cs"/>
          <w:rtl/>
        </w:rPr>
        <w:t>וע</w:t>
      </w:r>
      <w:r w:rsidRPr="00F936FC">
        <w:rPr>
          <w:rFonts w:asciiTheme="minorBidi" w:hAnsiTheme="minorBidi" w:cs="Arial"/>
          <w:rtl/>
        </w:rPr>
        <w:t>"</w:t>
      </w:r>
      <w:r w:rsidRPr="00F936FC">
        <w:rPr>
          <w:rFonts w:asciiTheme="minorBidi" w:hAnsiTheme="minorBidi" w:cs="Arial" w:hint="cs"/>
          <w:rtl/>
        </w:rPr>
        <w:t>ל</w:t>
      </w:r>
      <w:r w:rsidRPr="00F936FC">
        <w:rPr>
          <w:rFonts w:asciiTheme="minorBidi" w:hAnsiTheme="minorBidi" w:cs="Arial"/>
          <w:rtl/>
        </w:rPr>
        <w:t xml:space="preserve"> </w:t>
      </w:r>
      <w:r w:rsidRPr="00F936FC">
        <w:rPr>
          <w:rFonts w:asciiTheme="minorBidi" w:hAnsiTheme="minorBidi" w:cs="Arial" w:hint="cs"/>
          <w:rtl/>
        </w:rPr>
        <w:t>סי</w:t>
      </w:r>
      <w:r w:rsidRPr="00F936FC">
        <w:rPr>
          <w:rFonts w:asciiTheme="minorBidi" w:hAnsiTheme="minorBidi" w:cs="Arial"/>
          <w:rtl/>
        </w:rPr>
        <w:t xml:space="preserve">' </w:t>
      </w:r>
      <w:r w:rsidRPr="00F936FC">
        <w:rPr>
          <w:rFonts w:asciiTheme="minorBidi" w:hAnsiTheme="minorBidi" w:cs="Arial" w:hint="cs"/>
          <w:rtl/>
        </w:rPr>
        <w:t>שכ</w:t>
      </w:r>
      <w:r w:rsidRPr="00F936FC">
        <w:rPr>
          <w:rFonts w:asciiTheme="minorBidi" w:hAnsiTheme="minorBidi" w:cs="Arial"/>
          <w:rtl/>
        </w:rPr>
        <w:t>"</w:t>
      </w:r>
      <w:r w:rsidRPr="00F936FC">
        <w:rPr>
          <w:rFonts w:asciiTheme="minorBidi" w:hAnsiTheme="minorBidi" w:cs="Arial" w:hint="cs"/>
          <w:rtl/>
        </w:rPr>
        <w:t>א</w:t>
      </w:r>
      <w:r w:rsidRPr="00F936FC">
        <w:rPr>
          <w:rFonts w:asciiTheme="minorBidi" w:hAnsiTheme="minorBidi" w:cs="Arial"/>
          <w:rtl/>
        </w:rPr>
        <w:t xml:space="preserve"> </w:t>
      </w:r>
      <w:r w:rsidRPr="00F936FC">
        <w:rPr>
          <w:rFonts w:asciiTheme="minorBidi" w:hAnsiTheme="minorBidi" w:cs="Arial" w:hint="cs"/>
          <w:rtl/>
        </w:rPr>
        <w:t>אם</w:t>
      </w:r>
      <w:r w:rsidRPr="00F936FC">
        <w:rPr>
          <w:rFonts w:asciiTheme="minorBidi" w:hAnsiTheme="minorBidi" w:cs="Arial"/>
          <w:rtl/>
        </w:rPr>
        <w:t xml:space="preserve"> </w:t>
      </w:r>
      <w:r w:rsidRPr="00F936FC">
        <w:rPr>
          <w:rFonts w:asciiTheme="minorBidi" w:hAnsiTheme="minorBidi" w:cs="Arial" w:hint="cs"/>
          <w:rtl/>
        </w:rPr>
        <w:t>מותר</w:t>
      </w:r>
      <w:r w:rsidRPr="00F936FC">
        <w:rPr>
          <w:rFonts w:asciiTheme="minorBidi" w:hAnsiTheme="minorBidi" w:cs="Arial"/>
          <w:rtl/>
        </w:rPr>
        <w:t xml:space="preserve"> </w:t>
      </w:r>
      <w:r w:rsidRPr="00F936FC">
        <w:rPr>
          <w:rFonts w:asciiTheme="minorBidi" w:hAnsiTheme="minorBidi" w:cs="Arial" w:hint="cs"/>
          <w:rtl/>
        </w:rPr>
        <w:t>לחתכו</w:t>
      </w:r>
      <w:r w:rsidRPr="00F936FC">
        <w:rPr>
          <w:rFonts w:asciiTheme="minorBidi" w:hAnsiTheme="minorBidi" w:cs="Arial"/>
          <w:rtl/>
        </w:rPr>
        <w:t xml:space="preserve"> </w:t>
      </w:r>
      <w:r w:rsidRPr="00F936FC">
        <w:rPr>
          <w:rFonts w:asciiTheme="minorBidi" w:hAnsiTheme="minorBidi" w:cs="Arial" w:hint="cs"/>
          <w:rtl/>
        </w:rPr>
        <w:t>דק</w:t>
      </w:r>
      <w:r w:rsidRPr="00F936FC">
        <w:rPr>
          <w:rFonts w:asciiTheme="minorBidi" w:hAnsiTheme="minorBidi" w:cs="Arial"/>
          <w:rtl/>
        </w:rPr>
        <w:t xml:space="preserve"> </w:t>
      </w:r>
      <w:r w:rsidRPr="00F936FC">
        <w:rPr>
          <w:rFonts w:asciiTheme="minorBidi" w:hAnsiTheme="minorBidi" w:cs="Arial" w:hint="cs"/>
          <w:rtl/>
        </w:rPr>
        <w:t>דק</w:t>
      </w:r>
      <w:r w:rsidRPr="00F936FC">
        <w:rPr>
          <w:rFonts w:asciiTheme="minorBidi" w:hAnsiTheme="minorBidi" w:cs="Arial"/>
          <w:rtl/>
        </w:rPr>
        <w:t xml:space="preserve"> </w:t>
      </w:r>
      <w:r w:rsidRPr="00F936FC">
        <w:rPr>
          <w:rFonts w:asciiTheme="minorBidi" w:hAnsiTheme="minorBidi" w:cs="Arial" w:hint="cs"/>
          <w:rtl/>
        </w:rPr>
        <w:t>לפני</w:t>
      </w:r>
      <w:r w:rsidRPr="00F936FC">
        <w:rPr>
          <w:rFonts w:asciiTheme="minorBidi" w:hAnsiTheme="minorBidi" w:cs="Arial"/>
          <w:rtl/>
        </w:rPr>
        <w:t xml:space="preserve"> </w:t>
      </w:r>
      <w:r w:rsidRPr="00F936FC">
        <w:rPr>
          <w:rFonts w:asciiTheme="minorBidi" w:hAnsiTheme="minorBidi" w:cs="Arial" w:hint="cs"/>
          <w:rtl/>
        </w:rPr>
        <w:t>עופות</w:t>
      </w:r>
      <w:r w:rsidRPr="00F936FC">
        <w:rPr>
          <w:rFonts w:asciiTheme="minorBidi" w:hAnsiTheme="minorBidi" w:cs="Arial"/>
          <w:rtl/>
        </w:rPr>
        <w:t xml:space="preserve">). </w:t>
      </w:r>
    </w:p>
    <w:p w14:paraId="0234D47F"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ח</w:t>
      </w:r>
    </w:p>
    <w:p w14:paraId="3FC8AF47" w14:textId="77777777" w:rsidR="006A4BF8" w:rsidRPr="00F936FC" w:rsidRDefault="006A4BF8" w:rsidP="00434A6A">
      <w:pPr>
        <w:rPr>
          <w:rFonts w:asciiTheme="minorBidi" w:hAnsiTheme="minorBidi"/>
          <w:rtl/>
        </w:rPr>
      </w:pPr>
      <w:r w:rsidRPr="00F936FC">
        <w:rPr>
          <w:rFonts w:asciiTheme="minorBidi" w:hAnsiTheme="minorBidi" w:cs="Arial" w:hint="cs"/>
          <w:rtl/>
        </w:rPr>
        <w:t>אין</w:t>
      </w:r>
      <w:r w:rsidRPr="00F936FC">
        <w:rPr>
          <w:rFonts w:asciiTheme="minorBidi" w:hAnsiTheme="minorBidi" w:cs="Arial"/>
          <w:rtl/>
        </w:rPr>
        <w:t xml:space="preserve"> </w:t>
      </w:r>
      <w:r w:rsidRPr="00F936FC">
        <w:rPr>
          <w:rFonts w:asciiTheme="minorBidi" w:hAnsiTheme="minorBidi" w:cs="Arial" w:hint="cs"/>
          <w:rtl/>
        </w:rPr>
        <w:t>חותכין</w:t>
      </w:r>
      <w:r w:rsidRPr="00F936FC">
        <w:rPr>
          <w:rFonts w:asciiTheme="minorBidi" w:hAnsiTheme="minorBidi" w:cs="Arial"/>
          <w:rtl/>
        </w:rPr>
        <w:t xml:space="preserve"> </w:t>
      </w:r>
      <w:r w:rsidRPr="00F936FC">
        <w:rPr>
          <w:rFonts w:asciiTheme="minorBidi" w:hAnsiTheme="minorBidi" w:cs="Arial" w:hint="cs"/>
          <w:rtl/>
        </w:rPr>
        <w:t>שחת</w:t>
      </w:r>
      <w:r w:rsidRPr="00F936FC">
        <w:rPr>
          <w:rFonts w:asciiTheme="minorBidi" w:hAnsiTheme="minorBidi" w:cs="Arial"/>
          <w:rtl/>
        </w:rPr>
        <w:t xml:space="preserve"> (</w:t>
      </w:r>
      <w:r w:rsidRPr="00F936FC">
        <w:rPr>
          <w:rFonts w:asciiTheme="minorBidi" w:hAnsiTheme="minorBidi" w:cs="Arial" w:hint="cs"/>
          <w:rtl/>
        </w:rPr>
        <w:t>פי</w:t>
      </w:r>
      <w:r w:rsidRPr="00F936FC">
        <w:rPr>
          <w:rFonts w:asciiTheme="minorBidi" w:hAnsiTheme="minorBidi" w:cs="Arial"/>
          <w:rtl/>
        </w:rPr>
        <w:t xml:space="preserve">' </w:t>
      </w:r>
      <w:r w:rsidRPr="00F936FC">
        <w:rPr>
          <w:rFonts w:asciiTheme="minorBidi" w:hAnsiTheme="minorBidi" w:cs="Arial" w:hint="cs"/>
          <w:rtl/>
        </w:rPr>
        <w:t>ירק</w:t>
      </w:r>
      <w:r w:rsidRPr="00F936FC">
        <w:rPr>
          <w:rFonts w:asciiTheme="minorBidi" w:hAnsiTheme="minorBidi" w:cs="Arial"/>
          <w:rtl/>
        </w:rPr>
        <w:t xml:space="preserve"> </w:t>
      </w:r>
      <w:r w:rsidRPr="00F936FC">
        <w:rPr>
          <w:rFonts w:asciiTheme="minorBidi" w:hAnsiTheme="minorBidi" w:cs="Arial" w:hint="cs"/>
          <w:rtl/>
        </w:rPr>
        <w:t>של</w:t>
      </w:r>
      <w:r w:rsidRPr="00F936FC">
        <w:rPr>
          <w:rFonts w:asciiTheme="minorBidi" w:hAnsiTheme="minorBidi" w:cs="Arial"/>
          <w:rtl/>
        </w:rPr>
        <w:t xml:space="preserve"> </w:t>
      </w:r>
      <w:r w:rsidRPr="00F936FC">
        <w:rPr>
          <w:rFonts w:asciiTheme="minorBidi" w:hAnsiTheme="minorBidi" w:cs="Arial" w:hint="cs"/>
          <w:rtl/>
        </w:rPr>
        <w:t>תבואה</w:t>
      </w:r>
      <w:r w:rsidRPr="00F936FC">
        <w:rPr>
          <w:rFonts w:asciiTheme="minorBidi" w:hAnsiTheme="minorBidi" w:cs="Arial"/>
          <w:rtl/>
        </w:rPr>
        <w:t xml:space="preserve"> </w:t>
      </w:r>
      <w:r w:rsidRPr="00F936FC">
        <w:rPr>
          <w:rFonts w:asciiTheme="minorBidi" w:hAnsiTheme="minorBidi" w:cs="Arial" w:hint="cs"/>
          <w:rtl/>
        </w:rPr>
        <w:t>שנקצר</w:t>
      </w:r>
      <w:r w:rsidRPr="00F936FC">
        <w:rPr>
          <w:rFonts w:asciiTheme="minorBidi" w:hAnsiTheme="minorBidi" w:cs="Arial"/>
          <w:rtl/>
        </w:rPr>
        <w:t xml:space="preserve"> </w:t>
      </w:r>
      <w:r w:rsidRPr="00F936FC">
        <w:rPr>
          <w:rFonts w:asciiTheme="minorBidi" w:hAnsiTheme="minorBidi" w:cs="Arial" w:hint="cs"/>
          <w:rtl/>
        </w:rPr>
        <w:t>טרם</w:t>
      </w:r>
      <w:r w:rsidRPr="00F936FC">
        <w:rPr>
          <w:rFonts w:asciiTheme="minorBidi" w:hAnsiTheme="minorBidi" w:cs="Arial"/>
          <w:rtl/>
        </w:rPr>
        <w:t xml:space="preserve"> </w:t>
      </w:r>
      <w:r w:rsidRPr="00F936FC">
        <w:rPr>
          <w:rFonts w:asciiTheme="minorBidi" w:hAnsiTheme="minorBidi" w:cs="Arial" w:hint="cs"/>
          <w:rtl/>
        </w:rPr>
        <w:t>נתבשלה</w:t>
      </w:r>
      <w:r w:rsidRPr="00F936FC">
        <w:rPr>
          <w:rFonts w:asciiTheme="minorBidi" w:hAnsiTheme="minorBidi" w:cs="Arial"/>
          <w:rtl/>
        </w:rPr>
        <w:t xml:space="preserve"> </w:t>
      </w:r>
      <w:r w:rsidRPr="00F936FC">
        <w:rPr>
          <w:rFonts w:asciiTheme="minorBidi" w:hAnsiTheme="minorBidi" w:cs="Arial" w:hint="cs"/>
          <w:rtl/>
        </w:rPr>
        <w:t>התבואה</w:t>
      </w:r>
      <w:r w:rsidRPr="00F936FC">
        <w:rPr>
          <w:rFonts w:asciiTheme="minorBidi" w:hAnsiTheme="minorBidi" w:cs="Arial"/>
          <w:rtl/>
        </w:rPr>
        <w:t xml:space="preserve">) </w:t>
      </w:r>
      <w:r w:rsidRPr="00F936FC">
        <w:rPr>
          <w:rFonts w:asciiTheme="minorBidi" w:hAnsiTheme="minorBidi" w:cs="Arial" w:hint="cs"/>
          <w:rtl/>
        </w:rPr>
        <w:t>וחרובין</w:t>
      </w:r>
      <w:r w:rsidRPr="00F936FC">
        <w:rPr>
          <w:rFonts w:asciiTheme="minorBidi" w:hAnsiTheme="minorBidi" w:cs="Arial"/>
          <w:rtl/>
        </w:rPr>
        <w:t xml:space="preserve"> </w:t>
      </w:r>
      <w:r w:rsidRPr="00F936FC">
        <w:rPr>
          <w:rFonts w:asciiTheme="minorBidi" w:hAnsiTheme="minorBidi" w:cs="Arial" w:hint="cs"/>
          <w:rtl/>
        </w:rPr>
        <w:t>לפני</w:t>
      </w:r>
      <w:r w:rsidRPr="00F936FC">
        <w:rPr>
          <w:rFonts w:asciiTheme="minorBidi" w:hAnsiTheme="minorBidi" w:cs="Arial"/>
          <w:rtl/>
        </w:rPr>
        <w:t xml:space="preserve"> </w:t>
      </w:r>
      <w:r w:rsidRPr="00F936FC">
        <w:rPr>
          <w:rFonts w:asciiTheme="minorBidi" w:hAnsiTheme="minorBidi" w:cs="Arial" w:hint="cs"/>
          <w:rtl/>
        </w:rPr>
        <w:t>הבהמה</w:t>
      </w:r>
      <w:r w:rsidRPr="00F936FC">
        <w:rPr>
          <w:rFonts w:asciiTheme="minorBidi" w:hAnsiTheme="minorBidi" w:cs="Arial"/>
          <w:rtl/>
        </w:rPr>
        <w:t xml:space="preserve">, </w:t>
      </w:r>
      <w:r w:rsidRPr="00F936FC">
        <w:rPr>
          <w:rFonts w:asciiTheme="minorBidi" w:hAnsiTheme="minorBidi" w:cs="Arial" w:hint="cs"/>
          <w:rtl/>
        </w:rPr>
        <w:t>בין</w:t>
      </w:r>
      <w:r w:rsidRPr="00F936FC">
        <w:rPr>
          <w:rFonts w:asciiTheme="minorBidi" w:hAnsiTheme="minorBidi" w:cs="Arial"/>
          <w:rtl/>
        </w:rPr>
        <w:t xml:space="preserve"> </w:t>
      </w:r>
      <w:r w:rsidRPr="00F936FC">
        <w:rPr>
          <w:rFonts w:asciiTheme="minorBidi" w:hAnsiTheme="minorBidi" w:cs="Arial" w:hint="cs"/>
          <w:rtl/>
        </w:rPr>
        <w:t>דקה</w:t>
      </w:r>
      <w:r w:rsidRPr="00F936FC">
        <w:rPr>
          <w:rFonts w:asciiTheme="minorBidi" w:hAnsiTheme="minorBidi" w:cs="Arial"/>
          <w:rtl/>
        </w:rPr>
        <w:t xml:space="preserve"> </w:t>
      </w:r>
      <w:r w:rsidRPr="00F936FC">
        <w:rPr>
          <w:rFonts w:asciiTheme="minorBidi" w:hAnsiTheme="minorBidi" w:cs="Arial" w:hint="cs"/>
          <w:rtl/>
        </w:rPr>
        <w:t>בין</w:t>
      </w:r>
      <w:r w:rsidRPr="00F936FC">
        <w:rPr>
          <w:rFonts w:asciiTheme="minorBidi" w:hAnsiTheme="minorBidi" w:cs="Arial"/>
          <w:rtl/>
        </w:rPr>
        <w:t xml:space="preserve"> </w:t>
      </w:r>
      <w:r w:rsidRPr="00F936FC">
        <w:rPr>
          <w:rFonts w:asciiTheme="minorBidi" w:hAnsiTheme="minorBidi" w:cs="Arial" w:hint="cs"/>
          <w:rtl/>
        </w:rPr>
        <w:t>גסה</w:t>
      </w:r>
      <w:r w:rsidRPr="00F936FC">
        <w:rPr>
          <w:rFonts w:asciiTheme="minorBidi" w:hAnsiTheme="minorBidi" w:cs="Arial"/>
          <w:rtl/>
        </w:rPr>
        <w:t xml:space="preserve">, </w:t>
      </w:r>
      <w:r w:rsidRPr="00F936FC">
        <w:rPr>
          <w:rFonts w:asciiTheme="minorBidi" w:hAnsiTheme="minorBidi" w:cs="Arial" w:hint="cs"/>
          <w:rtl/>
        </w:rPr>
        <w:t>משום</w:t>
      </w:r>
      <w:r w:rsidRPr="00F936FC">
        <w:rPr>
          <w:rFonts w:asciiTheme="minorBidi" w:hAnsiTheme="minorBidi" w:cs="Arial"/>
          <w:rtl/>
        </w:rPr>
        <w:t xml:space="preserve"> </w:t>
      </w:r>
      <w:r w:rsidRPr="00F936FC">
        <w:rPr>
          <w:rFonts w:asciiTheme="minorBidi" w:hAnsiTheme="minorBidi" w:cs="Arial" w:hint="cs"/>
          <w:rtl/>
        </w:rPr>
        <w:t>דבלא</w:t>
      </w:r>
      <w:r w:rsidRPr="00F936FC">
        <w:rPr>
          <w:rFonts w:asciiTheme="minorBidi" w:hAnsiTheme="minorBidi" w:cs="Arial"/>
          <w:rtl/>
        </w:rPr>
        <w:t xml:space="preserve"> </w:t>
      </w:r>
      <w:r w:rsidRPr="00F936FC">
        <w:rPr>
          <w:rFonts w:asciiTheme="minorBidi" w:hAnsiTheme="minorBidi" w:cs="Arial" w:hint="cs"/>
          <w:rtl/>
        </w:rPr>
        <w:t>חיתוך</w:t>
      </w:r>
      <w:r w:rsidRPr="00F936FC">
        <w:rPr>
          <w:rFonts w:asciiTheme="minorBidi" w:hAnsiTheme="minorBidi" w:cs="Arial"/>
          <w:rtl/>
        </w:rPr>
        <w:t xml:space="preserve"> </w:t>
      </w:r>
      <w:r w:rsidRPr="00F936FC">
        <w:rPr>
          <w:rFonts w:asciiTheme="minorBidi" w:hAnsiTheme="minorBidi" w:cs="Arial" w:hint="cs"/>
          <w:rtl/>
        </w:rPr>
        <w:t>נמי</w:t>
      </w:r>
      <w:r w:rsidRPr="00F936FC">
        <w:rPr>
          <w:rFonts w:asciiTheme="minorBidi" w:hAnsiTheme="minorBidi" w:cs="Arial"/>
          <w:rtl/>
        </w:rPr>
        <w:t xml:space="preserve"> </w:t>
      </w:r>
      <w:r w:rsidRPr="00F936FC">
        <w:rPr>
          <w:rFonts w:asciiTheme="minorBidi" w:hAnsiTheme="minorBidi" w:cs="Arial" w:hint="cs"/>
          <w:rtl/>
        </w:rPr>
        <w:t>חזי</w:t>
      </w:r>
      <w:r w:rsidRPr="00F936FC">
        <w:rPr>
          <w:rFonts w:asciiTheme="minorBidi" w:hAnsiTheme="minorBidi" w:cs="Arial"/>
          <w:rtl/>
        </w:rPr>
        <w:t xml:space="preserve"> </w:t>
      </w:r>
      <w:r w:rsidRPr="00F936FC">
        <w:rPr>
          <w:rFonts w:asciiTheme="minorBidi" w:hAnsiTheme="minorBidi" w:cs="Arial" w:hint="cs"/>
          <w:rtl/>
        </w:rPr>
        <w:t>לאכילה</w:t>
      </w:r>
      <w:r w:rsidRPr="00F936FC">
        <w:rPr>
          <w:rFonts w:asciiTheme="minorBidi" w:hAnsiTheme="minorBidi" w:cs="Arial"/>
          <w:rtl/>
        </w:rPr>
        <w:t xml:space="preserve">. </w:t>
      </w:r>
    </w:p>
    <w:p w14:paraId="10F917E8"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ט</w:t>
      </w:r>
    </w:p>
    <w:p w14:paraId="3F16D2FB" w14:textId="77777777" w:rsidR="006A4BF8" w:rsidRPr="00F936FC" w:rsidRDefault="006A4BF8" w:rsidP="00434A6A">
      <w:pPr>
        <w:rPr>
          <w:rFonts w:asciiTheme="minorBidi" w:hAnsiTheme="minorBidi"/>
          <w:rtl/>
        </w:rPr>
      </w:pPr>
      <w:r w:rsidRPr="00F936FC">
        <w:rPr>
          <w:rFonts w:asciiTheme="minorBidi" w:hAnsiTheme="minorBidi" w:cs="Arial" w:hint="cs"/>
          <w:rtl/>
        </w:rPr>
        <w:t>אין</w:t>
      </w:r>
      <w:r w:rsidRPr="00F936FC">
        <w:rPr>
          <w:rFonts w:asciiTheme="minorBidi" w:hAnsiTheme="minorBidi" w:cs="Arial"/>
          <w:rtl/>
        </w:rPr>
        <w:t xml:space="preserve"> </w:t>
      </w:r>
      <w:r w:rsidRPr="00F936FC">
        <w:rPr>
          <w:rFonts w:asciiTheme="minorBidi" w:hAnsiTheme="minorBidi" w:cs="Arial" w:hint="cs"/>
          <w:rtl/>
        </w:rPr>
        <w:t>אובסין</w:t>
      </w:r>
      <w:r w:rsidRPr="00F936FC">
        <w:rPr>
          <w:rFonts w:asciiTheme="minorBidi" w:hAnsiTheme="minorBidi" w:cs="Arial"/>
          <w:rtl/>
        </w:rPr>
        <w:t xml:space="preserve"> </w:t>
      </w:r>
      <w:r w:rsidRPr="00F936FC">
        <w:rPr>
          <w:rFonts w:asciiTheme="minorBidi" w:hAnsiTheme="minorBidi" w:cs="Arial" w:hint="cs"/>
          <w:rtl/>
        </w:rPr>
        <w:t>את</w:t>
      </w:r>
      <w:r w:rsidRPr="00F936FC">
        <w:rPr>
          <w:rFonts w:asciiTheme="minorBidi" w:hAnsiTheme="minorBidi" w:cs="Arial"/>
          <w:rtl/>
        </w:rPr>
        <w:t xml:space="preserve"> </w:t>
      </w:r>
      <w:r w:rsidRPr="00F936FC">
        <w:rPr>
          <w:rFonts w:asciiTheme="minorBidi" w:hAnsiTheme="minorBidi" w:cs="Arial" w:hint="cs"/>
          <w:rtl/>
        </w:rPr>
        <w:t>הגמל</w:t>
      </w:r>
      <w:r w:rsidRPr="00F936FC">
        <w:rPr>
          <w:rFonts w:asciiTheme="minorBidi" w:hAnsiTheme="minorBidi" w:cs="Arial"/>
          <w:rtl/>
        </w:rPr>
        <w:t xml:space="preserve">, </w:t>
      </w:r>
      <w:r w:rsidRPr="00F936FC">
        <w:rPr>
          <w:rFonts w:asciiTheme="minorBidi" w:hAnsiTheme="minorBidi" w:cs="Arial" w:hint="cs"/>
          <w:rtl/>
        </w:rPr>
        <w:t>דהיינו</w:t>
      </w:r>
      <w:r w:rsidRPr="00F936FC">
        <w:rPr>
          <w:rFonts w:asciiTheme="minorBidi" w:hAnsiTheme="minorBidi" w:cs="Arial"/>
          <w:rtl/>
        </w:rPr>
        <w:t xml:space="preserve"> </w:t>
      </w:r>
      <w:r w:rsidRPr="00F936FC">
        <w:rPr>
          <w:rFonts w:asciiTheme="minorBidi" w:hAnsiTheme="minorBidi" w:cs="Arial" w:hint="cs"/>
          <w:rtl/>
        </w:rPr>
        <w:t>שמאכילה</w:t>
      </w:r>
      <w:r w:rsidRPr="00F936FC">
        <w:rPr>
          <w:rFonts w:asciiTheme="minorBidi" w:hAnsiTheme="minorBidi" w:cs="Arial"/>
          <w:rtl/>
        </w:rPr>
        <w:t xml:space="preserve"> </w:t>
      </w:r>
      <w:r w:rsidRPr="00F936FC">
        <w:rPr>
          <w:rFonts w:asciiTheme="minorBidi" w:hAnsiTheme="minorBidi" w:cs="Arial" w:hint="cs"/>
          <w:rtl/>
        </w:rPr>
        <w:t>בידו</w:t>
      </w:r>
      <w:r w:rsidRPr="00F936FC">
        <w:rPr>
          <w:rFonts w:asciiTheme="minorBidi" w:hAnsiTheme="minorBidi" w:cs="Arial"/>
          <w:rtl/>
        </w:rPr>
        <w:t xml:space="preserve"> </w:t>
      </w:r>
      <w:r w:rsidRPr="00F936FC">
        <w:rPr>
          <w:rFonts w:asciiTheme="minorBidi" w:hAnsiTheme="minorBidi" w:cs="Arial" w:hint="cs"/>
          <w:rtl/>
        </w:rPr>
        <w:t>כל</w:t>
      </w:r>
      <w:r w:rsidRPr="00F936FC">
        <w:rPr>
          <w:rFonts w:asciiTheme="minorBidi" w:hAnsiTheme="minorBidi" w:cs="Arial"/>
          <w:rtl/>
        </w:rPr>
        <w:t xml:space="preserve"> </w:t>
      </w:r>
      <w:r w:rsidRPr="00F936FC">
        <w:rPr>
          <w:rFonts w:asciiTheme="minorBidi" w:hAnsiTheme="minorBidi" w:cs="Arial" w:hint="cs"/>
          <w:rtl/>
        </w:rPr>
        <w:t>כך</w:t>
      </w:r>
      <w:r w:rsidRPr="00F936FC">
        <w:rPr>
          <w:rFonts w:asciiTheme="minorBidi" w:hAnsiTheme="minorBidi" w:cs="Arial"/>
          <w:rtl/>
        </w:rPr>
        <w:t xml:space="preserve"> </w:t>
      </w:r>
      <w:r w:rsidRPr="00F936FC">
        <w:rPr>
          <w:rFonts w:asciiTheme="minorBidi" w:hAnsiTheme="minorBidi" w:cs="Arial" w:hint="cs"/>
          <w:rtl/>
        </w:rPr>
        <w:t>עד</w:t>
      </w:r>
      <w:r w:rsidRPr="00F936FC">
        <w:rPr>
          <w:rFonts w:asciiTheme="minorBidi" w:hAnsiTheme="minorBidi" w:cs="Arial"/>
          <w:rtl/>
        </w:rPr>
        <w:t xml:space="preserve"> </w:t>
      </w:r>
      <w:r w:rsidRPr="00F936FC">
        <w:rPr>
          <w:rFonts w:asciiTheme="minorBidi" w:hAnsiTheme="minorBidi" w:cs="Arial" w:hint="cs"/>
          <w:rtl/>
        </w:rPr>
        <w:t>שמרחיבין</w:t>
      </w:r>
      <w:r w:rsidRPr="00F936FC">
        <w:rPr>
          <w:rFonts w:asciiTheme="minorBidi" w:hAnsiTheme="minorBidi" w:cs="Arial"/>
          <w:rtl/>
        </w:rPr>
        <w:t xml:space="preserve"> </w:t>
      </w:r>
      <w:r w:rsidRPr="00F936FC">
        <w:rPr>
          <w:rFonts w:asciiTheme="minorBidi" w:hAnsiTheme="minorBidi" w:cs="Arial" w:hint="cs"/>
          <w:rtl/>
        </w:rPr>
        <w:t>בני</w:t>
      </w:r>
      <w:r w:rsidRPr="00F936FC">
        <w:rPr>
          <w:rFonts w:asciiTheme="minorBidi" w:hAnsiTheme="minorBidi" w:cs="Arial"/>
          <w:rtl/>
        </w:rPr>
        <w:t xml:space="preserve"> </w:t>
      </w:r>
      <w:r w:rsidRPr="00F936FC">
        <w:rPr>
          <w:rFonts w:asciiTheme="minorBidi" w:hAnsiTheme="minorBidi" w:cs="Arial" w:hint="cs"/>
          <w:rtl/>
        </w:rPr>
        <w:t>מעיה</w:t>
      </w:r>
      <w:r w:rsidRPr="00F936FC">
        <w:rPr>
          <w:rFonts w:asciiTheme="minorBidi" w:hAnsiTheme="minorBidi" w:cs="Arial"/>
          <w:rtl/>
        </w:rPr>
        <w:t xml:space="preserve"> </w:t>
      </w:r>
      <w:r w:rsidRPr="00F936FC">
        <w:rPr>
          <w:rFonts w:asciiTheme="minorBidi" w:hAnsiTheme="minorBidi" w:cs="Arial" w:hint="cs"/>
          <w:rtl/>
        </w:rPr>
        <w:t>כאבוס</w:t>
      </w:r>
      <w:r w:rsidRPr="00F936FC">
        <w:rPr>
          <w:rFonts w:asciiTheme="minorBidi" w:hAnsiTheme="minorBidi" w:cs="Arial"/>
          <w:rtl/>
        </w:rPr>
        <w:t xml:space="preserve">; </w:t>
      </w:r>
      <w:r w:rsidRPr="00F936FC">
        <w:rPr>
          <w:rFonts w:asciiTheme="minorBidi" w:hAnsiTheme="minorBidi" w:cs="Arial" w:hint="cs"/>
          <w:rtl/>
        </w:rPr>
        <w:t>ולא</w:t>
      </w:r>
      <w:r w:rsidRPr="00F936FC">
        <w:rPr>
          <w:rFonts w:asciiTheme="minorBidi" w:hAnsiTheme="minorBidi" w:cs="Arial"/>
          <w:rtl/>
        </w:rPr>
        <w:t xml:space="preserve"> </w:t>
      </w:r>
      <w:r w:rsidRPr="00F936FC">
        <w:rPr>
          <w:rFonts w:asciiTheme="minorBidi" w:hAnsiTheme="minorBidi" w:cs="Arial" w:hint="cs"/>
          <w:rtl/>
        </w:rPr>
        <w:t>דורסין</w:t>
      </w:r>
      <w:r w:rsidRPr="00F936FC">
        <w:rPr>
          <w:rFonts w:asciiTheme="minorBidi" w:hAnsiTheme="minorBidi" w:cs="Arial"/>
          <w:rtl/>
        </w:rPr>
        <w:t xml:space="preserve">, </w:t>
      </w:r>
      <w:r w:rsidRPr="00F936FC">
        <w:rPr>
          <w:rFonts w:asciiTheme="minorBidi" w:hAnsiTheme="minorBidi" w:cs="Arial" w:hint="cs"/>
          <w:rtl/>
        </w:rPr>
        <w:t>דהיינו</w:t>
      </w:r>
      <w:r w:rsidRPr="00F936FC">
        <w:rPr>
          <w:rFonts w:asciiTheme="minorBidi" w:hAnsiTheme="minorBidi" w:cs="Arial"/>
          <w:rtl/>
        </w:rPr>
        <w:t xml:space="preserve"> </w:t>
      </w:r>
      <w:r w:rsidRPr="00F936FC">
        <w:rPr>
          <w:rFonts w:asciiTheme="minorBidi" w:hAnsiTheme="minorBidi" w:cs="Arial" w:hint="cs"/>
          <w:rtl/>
        </w:rPr>
        <w:t>שדורס</w:t>
      </w:r>
      <w:r w:rsidRPr="00F936FC">
        <w:rPr>
          <w:rFonts w:asciiTheme="minorBidi" w:hAnsiTheme="minorBidi" w:cs="Arial"/>
          <w:rtl/>
        </w:rPr>
        <w:t xml:space="preserve"> </w:t>
      </w:r>
      <w:r w:rsidRPr="00F936FC">
        <w:rPr>
          <w:rFonts w:asciiTheme="minorBidi" w:hAnsiTheme="minorBidi" w:cs="Arial" w:hint="cs"/>
          <w:rtl/>
        </w:rPr>
        <w:t>לו</w:t>
      </w:r>
      <w:r w:rsidRPr="00F936FC">
        <w:rPr>
          <w:rFonts w:asciiTheme="minorBidi" w:hAnsiTheme="minorBidi" w:cs="Arial"/>
          <w:rtl/>
        </w:rPr>
        <w:t xml:space="preserve"> </w:t>
      </w:r>
      <w:r w:rsidRPr="00F936FC">
        <w:rPr>
          <w:rFonts w:asciiTheme="minorBidi" w:hAnsiTheme="minorBidi" w:cs="Arial" w:hint="cs"/>
          <w:rtl/>
        </w:rPr>
        <w:t>מאכל</w:t>
      </w:r>
      <w:r w:rsidRPr="00F936FC">
        <w:rPr>
          <w:rFonts w:asciiTheme="minorBidi" w:hAnsiTheme="minorBidi" w:cs="Arial"/>
          <w:rtl/>
        </w:rPr>
        <w:t xml:space="preserve"> </w:t>
      </w:r>
      <w:r w:rsidRPr="00F936FC">
        <w:rPr>
          <w:rFonts w:asciiTheme="minorBidi" w:hAnsiTheme="minorBidi" w:cs="Arial" w:hint="cs"/>
          <w:rtl/>
        </w:rPr>
        <w:t>בגרונו</w:t>
      </w:r>
      <w:r w:rsidRPr="00F936FC">
        <w:rPr>
          <w:rFonts w:asciiTheme="minorBidi" w:hAnsiTheme="minorBidi" w:cs="Arial"/>
          <w:rtl/>
        </w:rPr>
        <w:t xml:space="preserve"> </w:t>
      </w:r>
      <w:r w:rsidRPr="00F936FC">
        <w:rPr>
          <w:rFonts w:asciiTheme="minorBidi" w:hAnsiTheme="minorBidi" w:cs="Arial" w:hint="cs"/>
          <w:rtl/>
        </w:rPr>
        <w:t>למקום</w:t>
      </w:r>
      <w:r w:rsidRPr="00F936FC">
        <w:rPr>
          <w:rFonts w:asciiTheme="minorBidi" w:hAnsiTheme="minorBidi" w:cs="Arial"/>
          <w:rtl/>
        </w:rPr>
        <w:t xml:space="preserve"> </w:t>
      </w:r>
      <w:r w:rsidRPr="00F936FC">
        <w:rPr>
          <w:rFonts w:asciiTheme="minorBidi" w:hAnsiTheme="minorBidi" w:cs="Arial" w:hint="cs"/>
          <w:rtl/>
        </w:rPr>
        <w:t>שאינו</w:t>
      </w:r>
      <w:r w:rsidRPr="00F936FC">
        <w:rPr>
          <w:rFonts w:asciiTheme="minorBidi" w:hAnsiTheme="minorBidi" w:cs="Arial"/>
          <w:rtl/>
        </w:rPr>
        <w:t xml:space="preserve"> </w:t>
      </w:r>
      <w:r w:rsidRPr="00F936FC">
        <w:rPr>
          <w:rFonts w:asciiTheme="minorBidi" w:hAnsiTheme="minorBidi" w:cs="Arial" w:hint="cs"/>
          <w:rtl/>
        </w:rPr>
        <w:t>יכול</w:t>
      </w:r>
      <w:r w:rsidRPr="00F936FC">
        <w:rPr>
          <w:rFonts w:asciiTheme="minorBidi" w:hAnsiTheme="minorBidi" w:cs="Arial"/>
          <w:rtl/>
        </w:rPr>
        <w:t xml:space="preserve"> </w:t>
      </w:r>
      <w:r w:rsidRPr="00F936FC">
        <w:rPr>
          <w:rFonts w:asciiTheme="minorBidi" w:hAnsiTheme="minorBidi" w:cs="Arial" w:hint="cs"/>
          <w:rtl/>
        </w:rPr>
        <w:t>להחזירו</w:t>
      </w:r>
      <w:r w:rsidRPr="00F936FC">
        <w:rPr>
          <w:rFonts w:asciiTheme="minorBidi" w:hAnsiTheme="minorBidi" w:cs="Arial"/>
          <w:rtl/>
        </w:rPr>
        <w:t xml:space="preserve">, </w:t>
      </w:r>
      <w:r w:rsidRPr="00F936FC">
        <w:rPr>
          <w:rFonts w:asciiTheme="minorBidi" w:hAnsiTheme="minorBidi" w:cs="Arial" w:hint="cs"/>
          <w:rtl/>
        </w:rPr>
        <w:t>אבל</w:t>
      </w:r>
      <w:r w:rsidRPr="00F936FC">
        <w:rPr>
          <w:rFonts w:asciiTheme="minorBidi" w:hAnsiTheme="minorBidi" w:cs="Arial"/>
          <w:rtl/>
        </w:rPr>
        <w:t xml:space="preserve"> </w:t>
      </w:r>
      <w:r w:rsidRPr="00F936FC">
        <w:rPr>
          <w:rFonts w:asciiTheme="minorBidi" w:hAnsiTheme="minorBidi" w:cs="Arial" w:hint="cs"/>
          <w:rtl/>
        </w:rPr>
        <w:t>מלעיטין</w:t>
      </w:r>
      <w:r w:rsidRPr="00F936FC">
        <w:rPr>
          <w:rFonts w:asciiTheme="minorBidi" w:hAnsiTheme="minorBidi" w:cs="Arial"/>
          <w:rtl/>
        </w:rPr>
        <w:t xml:space="preserve">. </w:t>
      </w:r>
      <w:r w:rsidRPr="00F936FC">
        <w:rPr>
          <w:rFonts w:asciiTheme="minorBidi" w:hAnsiTheme="minorBidi" w:cs="Arial" w:hint="cs"/>
          <w:rtl/>
        </w:rPr>
        <w:t>אין</w:t>
      </w:r>
      <w:r w:rsidRPr="00F936FC">
        <w:rPr>
          <w:rFonts w:asciiTheme="minorBidi" w:hAnsiTheme="minorBidi" w:cs="Arial"/>
          <w:rtl/>
        </w:rPr>
        <w:t xml:space="preserve"> </w:t>
      </w:r>
      <w:r w:rsidRPr="00F936FC">
        <w:rPr>
          <w:rFonts w:asciiTheme="minorBidi" w:hAnsiTheme="minorBidi" w:cs="Arial" w:hint="cs"/>
          <w:rtl/>
        </w:rPr>
        <w:t>מאמירים</w:t>
      </w:r>
      <w:r w:rsidRPr="00F936FC">
        <w:rPr>
          <w:rFonts w:asciiTheme="minorBidi" w:hAnsiTheme="minorBidi" w:cs="Arial"/>
          <w:rtl/>
        </w:rPr>
        <w:t xml:space="preserve"> </w:t>
      </w:r>
      <w:r w:rsidRPr="00F936FC">
        <w:rPr>
          <w:rFonts w:asciiTheme="minorBidi" w:hAnsiTheme="minorBidi" w:cs="Arial" w:hint="cs"/>
          <w:rtl/>
        </w:rPr>
        <w:t>את</w:t>
      </w:r>
      <w:r w:rsidRPr="00F936FC">
        <w:rPr>
          <w:rFonts w:asciiTheme="minorBidi" w:hAnsiTheme="minorBidi" w:cs="Arial"/>
          <w:rtl/>
        </w:rPr>
        <w:t xml:space="preserve"> </w:t>
      </w:r>
      <w:r w:rsidRPr="00F936FC">
        <w:rPr>
          <w:rFonts w:asciiTheme="minorBidi" w:hAnsiTheme="minorBidi" w:cs="Arial" w:hint="cs"/>
          <w:rtl/>
        </w:rPr>
        <w:t>העגלים</w:t>
      </w:r>
      <w:r w:rsidRPr="00F936FC">
        <w:rPr>
          <w:rFonts w:asciiTheme="minorBidi" w:hAnsiTheme="minorBidi" w:cs="Arial"/>
          <w:rtl/>
        </w:rPr>
        <w:t xml:space="preserve">, </w:t>
      </w:r>
      <w:r w:rsidRPr="00F936FC">
        <w:rPr>
          <w:rFonts w:asciiTheme="minorBidi" w:hAnsiTheme="minorBidi" w:cs="Arial" w:hint="cs"/>
          <w:rtl/>
        </w:rPr>
        <w:t>אבל</w:t>
      </w:r>
      <w:r w:rsidRPr="00F936FC">
        <w:rPr>
          <w:rFonts w:asciiTheme="minorBidi" w:hAnsiTheme="minorBidi" w:cs="Arial"/>
          <w:rtl/>
        </w:rPr>
        <w:t xml:space="preserve"> </w:t>
      </w:r>
      <w:r w:rsidRPr="00F936FC">
        <w:rPr>
          <w:rFonts w:asciiTheme="minorBidi" w:hAnsiTheme="minorBidi" w:cs="Arial" w:hint="cs"/>
          <w:rtl/>
        </w:rPr>
        <w:t>מלעיטין</w:t>
      </w:r>
      <w:r w:rsidRPr="00F936FC">
        <w:rPr>
          <w:rFonts w:asciiTheme="minorBidi" w:hAnsiTheme="minorBidi" w:cs="Arial"/>
          <w:rtl/>
        </w:rPr>
        <w:t xml:space="preserve">; </w:t>
      </w:r>
      <w:r w:rsidRPr="00F936FC">
        <w:rPr>
          <w:rFonts w:asciiTheme="minorBidi" w:hAnsiTheme="minorBidi" w:cs="Arial" w:hint="cs"/>
          <w:rtl/>
        </w:rPr>
        <w:t>איזו</w:t>
      </w:r>
      <w:r w:rsidRPr="00F936FC">
        <w:rPr>
          <w:rFonts w:asciiTheme="minorBidi" w:hAnsiTheme="minorBidi" w:cs="Arial"/>
          <w:rtl/>
        </w:rPr>
        <w:t xml:space="preserve"> </w:t>
      </w:r>
      <w:r w:rsidRPr="00F936FC">
        <w:rPr>
          <w:rFonts w:asciiTheme="minorBidi" w:hAnsiTheme="minorBidi" w:cs="Arial" w:hint="cs"/>
          <w:rtl/>
        </w:rPr>
        <w:t>המראה</w:t>
      </w:r>
      <w:r w:rsidRPr="00F936FC">
        <w:rPr>
          <w:rFonts w:asciiTheme="minorBidi" w:hAnsiTheme="minorBidi" w:cs="Arial"/>
          <w:rtl/>
        </w:rPr>
        <w:t xml:space="preserve">, </w:t>
      </w:r>
      <w:r w:rsidRPr="00F936FC">
        <w:rPr>
          <w:rFonts w:asciiTheme="minorBidi" w:hAnsiTheme="minorBidi" w:cs="Arial" w:hint="cs"/>
          <w:rtl/>
        </w:rPr>
        <w:t>למקום</w:t>
      </w:r>
      <w:r w:rsidRPr="00F936FC">
        <w:rPr>
          <w:rFonts w:asciiTheme="minorBidi" w:hAnsiTheme="minorBidi" w:cs="Arial"/>
          <w:rtl/>
        </w:rPr>
        <w:t xml:space="preserve"> </w:t>
      </w:r>
      <w:r w:rsidRPr="00F936FC">
        <w:rPr>
          <w:rFonts w:asciiTheme="minorBidi" w:hAnsiTheme="minorBidi" w:cs="Arial" w:hint="cs"/>
          <w:rtl/>
        </w:rPr>
        <w:t>שאינה</w:t>
      </w:r>
      <w:r w:rsidRPr="00F936FC">
        <w:rPr>
          <w:rFonts w:asciiTheme="minorBidi" w:hAnsiTheme="minorBidi" w:cs="Arial"/>
          <w:rtl/>
        </w:rPr>
        <w:t xml:space="preserve"> </w:t>
      </w:r>
      <w:r w:rsidRPr="00F936FC">
        <w:rPr>
          <w:rFonts w:asciiTheme="minorBidi" w:hAnsiTheme="minorBidi" w:cs="Arial" w:hint="cs"/>
          <w:rtl/>
        </w:rPr>
        <w:t>יכולה</w:t>
      </w:r>
      <w:r w:rsidRPr="00F936FC">
        <w:rPr>
          <w:rFonts w:asciiTheme="minorBidi" w:hAnsiTheme="minorBidi" w:cs="Arial"/>
          <w:rtl/>
        </w:rPr>
        <w:t xml:space="preserve"> </w:t>
      </w:r>
      <w:r w:rsidRPr="00F936FC">
        <w:rPr>
          <w:rFonts w:asciiTheme="minorBidi" w:hAnsiTheme="minorBidi" w:cs="Arial" w:hint="cs"/>
          <w:rtl/>
        </w:rPr>
        <w:t>להחזיר</w:t>
      </w:r>
      <w:r w:rsidRPr="00F936FC">
        <w:rPr>
          <w:rFonts w:asciiTheme="minorBidi" w:hAnsiTheme="minorBidi" w:cs="Arial"/>
          <w:rtl/>
        </w:rPr>
        <w:t xml:space="preserve">; </w:t>
      </w:r>
      <w:r w:rsidRPr="00F936FC">
        <w:rPr>
          <w:rFonts w:asciiTheme="minorBidi" w:hAnsiTheme="minorBidi" w:cs="Arial" w:hint="cs"/>
          <w:rtl/>
        </w:rPr>
        <w:t>הלעטה</w:t>
      </w:r>
      <w:r w:rsidRPr="00F936FC">
        <w:rPr>
          <w:rFonts w:asciiTheme="minorBidi" w:hAnsiTheme="minorBidi" w:cs="Arial"/>
          <w:rtl/>
        </w:rPr>
        <w:t xml:space="preserve">, </w:t>
      </w:r>
      <w:r w:rsidRPr="00F936FC">
        <w:rPr>
          <w:rFonts w:asciiTheme="minorBidi" w:hAnsiTheme="minorBidi" w:cs="Arial" w:hint="cs"/>
          <w:rtl/>
        </w:rPr>
        <w:t>למקום</w:t>
      </w:r>
      <w:r w:rsidRPr="00F936FC">
        <w:rPr>
          <w:rFonts w:asciiTheme="minorBidi" w:hAnsiTheme="minorBidi" w:cs="Arial"/>
          <w:rtl/>
        </w:rPr>
        <w:t xml:space="preserve"> </w:t>
      </w:r>
      <w:r w:rsidRPr="00F936FC">
        <w:rPr>
          <w:rFonts w:asciiTheme="minorBidi" w:hAnsiTheme="minorBidi" w:cs="Arial" w:hint="cs"/>
          <w:rtl/>
        </w:rPr>
        <w:t>שהיא</w:t>
      </w:r>
      <w:r w:rsidRPr="00F936FC">
        <w:rPr>
          <w:rFonts w:asciiTheme="minorBidi" w:hAnsiTheme="minorBidi" w:cs="Arial"/>
          <w:rtl/>
        </w:rPr>
        <w:t xml:space="preserve"> </w:t>
      </w:r>
      <w:r w:rsidRPr="00F936FC">
        <w:rPr>
          <w:rFonts w:asciiTheme="minorBidi" w:hAnsiTheme="minorBidi" w:cs="Arial" w:hint="cs"/>
          <w:rtl/>
        </w:rPr>
        <w:t>יכולה</w:t>
      </w:r>
      <w:r w:rsidRPr="00F936FC">
        <w:rPr>
          <w:rFonts w:asciiTheme="minorBidi" w:hAnsiTheme="minorBidi" w:cs="Arial"/>
          <w:rtl/>
        </w:rPr>
        <w:t xml:space="preserve"> </w:t>
      </w:r>
      <w:r w:rsidRPr="00F936FC">
        <w:rPr>
          <w:rFonts w:asciiTheme="minorBidi" w:hAnsiTheme="minorBidi" w:cs="Arial" w:hint="cs"/>
          <w:rtl/>
        </w:rPr>
        <w:t>להחזיר</w:t>
      </w:r>
      <w:r w:rsidRPr="00F936FC">
        <w:rPr>
          <w:rFonts w:asciiTheme="minorBidi" w:hAnsiTheme="minorBidi" w:cs="Arial"/>
          <w:rtl/>
        </w:rPr>
        <w:t xml:space="preserve">. </w:t>
      </w:r>
      <w:r w:rsidRPr="00F936FC">
        <w:rPr>
          <w:rFonts w:asciiTheme="minorBidi" w:hAnsiTheme="minorBidi" w:cs="Arial" w:hint="cs"/>
          <w:rtl/>
        </w:rPr>
        <w:t>הגה</w:t>
      </w:r>
      <w:r w:rsidRPr="00F936FC">
        <w:rPr>
          <w:rFonts w:asciiTheme="minorBidi" w:hAnsiTheme="minorBidi" w:cs="Arial"/>
          <w:rtl/>
        </w:rPr>
        <w:t xml:space="preserve">: </w:t>
      </w:r>
      <w:r w:rsidRPr="00F936FC">
        <w:rPr>
          <w:rFonts w:asciiTheme="minorBidi" w:hAnsiTheme="minorBidi" w:cs="Arial" w:hint="cs"/>
          <w:rtl/>
        </w:rPr>
        <w:t>ודין</w:t>
      </w:r>
      <w:r w:rsidRPr="00F936FC">
        <w:rPr>
          <w:rFonts w:asciiTheme="minorBidi" w:hAnsiTheme="minorBidi" w:cs="Arial"/>
          <w:rtl/>
        </w:rPr>
        <w:t xml:space="preserve"> </w:t>
      </w:r>
      <w:r w:rsidRPr="00F936FC">
        <w:rPr>
          <w:rFonts w:asciiTheme="minorBidi" w:hAnsiTheme="minorBidi" w:cs="Arial" w:hint="cs"/>
          <w:rtl/>
        </w:rPr>
        <w:t>תרנגולים</w:t>
      </w:r>
      <w:r w:rsidRPr="00F936FC">
        <w:rPr>
          <w:rFonts w:asciiTheme="minorBidi" w:hAnsiTheme="minorBidi" w:cs="Arial"/>
          <w:rtl/>
        </w:rPr>
        <w:t xml:space="preserve"> </w:t>
      </w:r>
      <w:r w:rsidRPr="00F936FC">
        <w:rPr>
          <w:rFonts w:asciiTheme="minorBidi" w:hAnsiTheme="minorBidi" w:cs="Arial" w:hint="cs"/>
          <w:rtl/>
        </w:rPr>
        <w:t>ואווזים</w:t>
      </w:r>
      <w:r w:rsidRPr="00F936FC">
        <w:rPr>
          <w:rFonts w:asciiTheme="minorBidi" w:hAnsiTheme="minorBidi" w:cs="Arial"/>
          <w:rtl/>
        </w:rPr>
        <w:t xml:space="preserve"> </w:t>
      </w:r>
      <w:r w:rsidRPr="00F936FC">
        <w:rPr>
          <w:rFonts w:asciiTheme="minorBidi" w:hAnsiTheme="minorBidi" w:cs="Arial" w:hint="cs"/>
          <w:rtl/>
        </w:rPr>
        <w:t>כדין</w:t>
      </w:r>
      <w:r w:rsidRPr="00F936FC">
        <w:rPr>
          <w:rFonts w:asciiTheme="minorBidi" w:hAnsiTheme="minorBidi" w:cs="Arial"/>
          <w:rtl/>
        </w:rPr>
        <w:t xml:space="preserve"> </w:t>
      </w:r>
      <w:r w:rsidRPr="00F936FC">
        <w:rPr>
          <w:rFonts w:asciiTheme="minorBidi" w:hAnsiTheme="minorBidi" w:cs="Arial" w:hint="cs"/>
          <w:rtl/>
        </w:rPr>
        <w:t>עגלים</w:t>
      </w:r>
      <w:r w:rsidRPr="00F936FC">
        <w:rPr>
          <w:rFonts w:asciiTheme="minorBidi" w:hAnsiTheme="minorBidi" w:cs="Arial"/>
          <w:rtl/>
        </w:rPr>
        <w:t xml:space="preserve"> (</w:t>
      </w:r>
      <w:r w:rsidRPr="00F936FC">
        <w:rPr>
          <w:rFonts w:asciiTheme="minorBidi" w:hAnsiTheme="minorBidi" w:cs="Arial" w:hint="cs"/>
          <w:rtl/>
        </w:rPr>
        <w:t>מהרי</w:t>
      </w:r>
      <w:r w:rsidRPr="00F936FC">
        <w:rPr>
          <w:rFonts w:asciiTheme="minorBidi" w:hAnsiTheme="minorBidi" w:cs="Arial"/>
          <w:rtl/>
        </w:rPr>
        <w:t>"</w:t>
      </w:r>
      <w:r w:rsidRPr="00F936FC">
        <w:rPr>
          <w:rFonts w:asciiTheme="minorBidi" w:hAnsiTheme="minorBidi" w:cs="Arial" w:hint="cs"/>
          <w:rtl/>
        </w:rPr>
        <w:t>ל</w:t>
      </w:r>
      <w:r w:rsidRPr="00F936FC">
        <w:rPr>
          <w:rFonts w:asciiTheme="minorBidi" w:hAnsiTheme="minorBidi" w:cs="Arial"/>
          <w:rtl/>
        </w:rPr>
        <w:t xml:space="preserve">). </w:t>
      </w:r>
    </w:p>
    <w:p w14:paraId="69A8CDC2"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י</w:t>
      </w:r>
    </w:p>
    <w:p w14:paraId="0BEA7EDF" w14:textId="77777777" w:rsidR="006A4BF8" w:rsidRPr="00F936FC" w:rsidRDefault="006A4BF8" w:rsidP="00434A6A">
      <w:pPr>
        <w:rPr>
          <w:rFonts w:asciiTheme="minorBidi" w:hAnsiTheme="minorBidi"/>
          <w:rtl/>
        </w:rPr>
      </w:pPr>
      <w:r w:rsidRPr="00F936FC">
        <w:rPr>
          <w:rFonts w:asciiTheme="minorBidi" w:hAnsiTheme="minorBidi" w:cs="Arial" w:hint="cs"/>
          <w:rtl/>
        </w:rPr>
        <w:t>מותר</w:t>
      </w:r>
      <w:r w:rsidRPr="00F936FC">
        <w:rPr>
          <w:rFonts w:asciiTheme="minorBidi" w:hAnsiTheme="minorBidi" w:cs="Arial"/>
          <w:rtl/>
        </w:rPr>
        <w:t xml:space="preserve"> </w:t>
      </w:r>
      <w:r w:rsidRPr="00F936FC">
        <w:rPr>
          <w:rFonts w:asciiTheme="minorBidi" w:hAnsiTheme="minorBidi" w:cs="Arial" w:hint="cs"/>
          <w:rtl/>
        </w:rPr>
        <w:t>ליתן</w:t>
      </w:r>
      <w:r w:rsidRPr="00F936FC">
        <w:rPr>
          <w:rFonts w:asciiTheme="minorBidi" w:hAnsiTheme="minorBidi" w:cs="Arial"/>
          <w:rtl/>
        </w:rPr>
        <w:t xml:space="preserve"> </w:t>
      </w:r>
      <w:r w:rsidRPr="00F936FC">
        <w:rPr>
          <w:rFonts w:asciiTheme="minorBidi" w:hAnsiTheme="minorBidi" w:cs="Arial" w:hint="cs"/>
          <w:rtl/>
        </w:rPr>
        <w:t>מאכל</w:t>
      </w:r>
      <w:r w:rsidRPr="00F936FC">
        <w:rPr>
          <w:rFonts w:asciiTheme="minorBidi" w:hAnsiTheme="minorBidi" w:cs="Arial"/>
          <w:rtl/>
        </w:rPr>
        <w:t xml:space="preserve"> </w:t>
      </w:r>
      <w:r w:rsidRPr="00F936FC">
        <w:rPr>
          <w:rFonts w:asciiTheme="minorBidi" w:hAnsiTheme="minorBidi" w:cs="Arial" w:hint="cs"/>
          <w:rtl/>
        </w:rPr>
        <w:t>בפיהם</w:t>
      </w:r>
      <w:r w:rsidRPr="00F936FC">
        <w:rPr>
          <w:rFonts w:asciiTheme="minorBidi" w:hAnsiTheme="minorBidi" w:cs="Arial"/>
          <w:rtl/>
        </w:rPr>
        <w:t xml:space="preserve"> </w:t>
      </w:r>
      <w:r w:rsidRPr="00F936FC">
        <w:rPr>
          <w:rFonts w:asciiTheme="minorBidi" w:hAnsiTheme="minorBidi" w:cs="Arial" w:hint="cs"/>
          <w:rtl/>
        </w:rPr>
        <w:t>של</w:t>
      </w:r>
      <w:r w:rsidRPr="00F936FC">
        <w:rPr>
          <w:rFonts w:asciiTheme="minorBidi" w:hAnsiTheme="minorBidi" w:cs="Arial"/>
          <w:rtl/>
        </w:rPr>
        <w:t xml:space="preserve"> </w:t>
      </w:r>
      <w:r w:rsidRPr="00F936FC">
        <w:rPr>
          <w:rFonts w:asciiTheme="minorBidi" w:hAnsiTheme="minorBidi" w:cs="Arial" w:hint="cs"/>
          <w:rtl/>
        </w:rPr>
        <w:t>תרנגולים</w:t>
      </w:r>
      <w:r w:rsidRPr="00F936FC">
        <w:rPr>
          <w:rFonts w:asciiTheme="minorBidi" w:hAnsiTheme="minorBidi" w:cs="Arial"/>
          <w:rtl/>
        </w:rPr>
        <w:t xml:space="preserve">. </w:t>
      </w:r>
    </w:p>
    <w:p w14:paraId="3E11D9FF"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יא</w:t>
      </w:r>
    </w:p>
    <w:p w14:paraId="4DE4F330" w14:textId="77777777" w:rsidR="006A4BF8" w:rsidRPr="00F936FC" w:rsidRDefault="006A4BF8" w:rsidP="00434A6A">
      <w:pPr>
        <w:rPr>
          <w:rFonts w:asciiTheme="minorBidi" w:hAnsiTheme="minorBidi"/>
          <w:rtl/>
        </w:rPr>
      </w:pPr>
      <w:r w:rsidRPr="00F936FC">
        <w:rPr>
          <w:rFonts w:asciiTheme="minorBidi" w:hAnsiTheme="minorBidi" w:cs="Arial" w:hint="cs"/>
          <w:rtl/>
        </w:rPr>
        <w:t>אין</w:t>
      </w:r>
      <w:r w:rsidRPr="00F936FC">
        <w:rPr>
          <w:rFonts w:asciiTheme="minorBidi" w:hAnsiTheme="minorBidi" w:cs="Arial"/>
          <w:rtl/>
        </w:rPr>
        <w:t xml:space="preserve"> </w:t>
      </w:r>
      <w:r w:rsidRPr="00F936FC">
        <w:rPr>
          <w:rFonts w:asciiTheme="minorBidi" w:hAnsiTheme="minorBidi" w:cs="Arial" w:hint="cs"/>
          <w:rtl/>
        </w:rPr>
        <w:t>נותנין</w:t>
      </w:r>
      <w:r w:rsidRPr="00F936FC">
        <w:rPr>
          <w:rFonts w:asciiTheme="minorBidi" w:hAnsiTheme="minorBidi" w:cs="Arial"/>
          <w:rtl/>
        </w:rPr>
        <w:t xml:space="preserve"> </w:t>
      </w:r>
      <w:r w:rsidRPr="00F936FC">
        <w:rPr>
          <w:rFonts w:asciiTheme="minorBidi" w:hAnsiTheme="minorBidi" w:cs="Arial" w:hint="cs"/>
          <w:rtl/>
        </w:rPr>
        <w:t>מים</w:t>
      </w:r>
      <w:r w:rsidRPr="00F936FC">
        <w:rPr>
          <w:rFonts w:asciiTheme="minorBidi" w:hAnsiTheme="minorBidi" w:cs="Arial"/>
          <w:rtl/>
        </w:rPr>
        <w:t xml:space="preserve"> </w:t>
      </w:r>
      <w:r w:rsidRPr="00F936FC">
        <w:rPr>
          <w:rFonts w:asciiTheme="minorBidi" w:hAnsiTheme="minorBidi" w:cs="Arial" w:hint="cs"/>
          <w:rtl/>
        </w:rPr>
        <w:t>ולא</w:t>
      </w:r>
      <w:r w:rsidRPr="00F936FC">
        <w:rPr>
          <w:rFonts w:asciiTheme="minorBidi" w:hAnsiTheme="minorBidi" w:cs="Arial"/>
          <w:rtl/>
        </w:rPr>
        <w:t xml:space="preserve"> </w:t>
      </w:r>
      <w:r w:rsidRPr="00F936FC">
        <w:rPr>
          <w:rFonts w:asciiTheme="minorBidi" w:hAnsiTheme="minorBidi" w:cs="Arial" w:hint="cs"/>
          <w:rtl/>
        </w:rPr>
        <w:t>מזונות</w:t>
      </w:r>
      <w:r w:rsidRPr="00F936FC">
        <w:rPr>
          <w:rFonts w:asciiTheme="minorBidi" w:hAnsiTheme="minorBidi" w:cs="Arial"/>
          <w:rtl/>
        </w:rPr>
        <w:t xml:space="preserve"> </w:t>
      </w:r>
      <w:r w:rsidRPr="00F936FC">
        <w:rPr>
          <w:rFonts w:asciiTheme="minorBidi" w:hAnsiTheme="minorBidi" w:cs="Arial" w:hint="cs"/>
          <w:rtl/>
        </w:rPr>
        <w:t>לפני</w:t>
      </w:r>
      <w:r w:rsidRPr="00F936FC">
        <w:rPr>
          <w:rFonts w:asciiTheme="minorBidi" w:hAnsiTheme="minorBidi" w:cs="Arial"/>
          <w:rtl/>
        </w:rPr>
        <w:t xml:space="preserve"> </w:t>
      </w:r>
      <w:r w:rsidRPr="00F936FC">
        <w:rPr>
          <w:rFonts w:asciiTheme="minorBidi" w:hAnsiTheme="minorBidi" w:cs="Arial" w:hint="cs"/>
          <w:rtl/>
        </w:rPr>
        <w:t>דבורים</w:t>
      </w:r>
      <w:r w:rsidRPr="00F936FC">
        <w:rPr>
          <w:rFonts w:asciiTheme="minorBidi" w:hAnsiTheme="minorBidi" w:cs="Arial"/>
          <w:rtl/>
        </w:rPr>
        <w:t xml:space="preserve">, </w:t>
      </w:r>
      <w:r w:rsidRPr="00F936FC">
        <w:rPr>
          <w:rFonts w:asciiTheme="minorBidi" w:hAnsiTheme="minorBidi" w:cs="Arial" w:hint="cs"/>
          <w:rtl/>
        </w:rPr>
        <w:t>ולא</w:t>
      </w:r>
      <w:r w:rsidRPr="00F936FC">
        <w:rPr>
          <w:rFonts w:asciiTheme="minorBidi" w:hAnsiTheme="minorBidi" w:cs="Arial"/>
          <w:rtl/>
        </w:rPr>
        <w:t xml:space="preserve"> </w:t>
      </w:r>
      <w:r w:rsidRPr="00F936FC">
        <w:rPr>
          <w:rFonts w:asciiTheme="minorBidi" w:hAnsiTheme="minorBidi" w:cs="Arial" w:hint="cs"/>
          <w:rtl/>
        </w:rPr>
        <w:t>לפני</w:t>
      </w:r>
      <w:r w:rsidRPr="00F936FC">
        <w:rPr>
          <w:rFonts w:asciiTheme="minorBidi" w:hAnsiTheme="minorBidi" w:cs="Arial"/>
          <w:rtl/>
        </w:rPr>
        <w:t xml:space="preserve"> </w:t>
      </w:r>
      <w:r w:rsidRPr="00F936FC">
        <w:rPr>
          <w:rFonts w:asciiTheme="minorBidi" w:hAnsiTheme="minorBidi" w:cs="Arial" w:hint="cs"/>
          <w:rtl/>
        </w:rPr>
        <w:t>יוני</w:t>
      </w:r>
      <w:r w:rsidRPr="00F936FC">
        <w:rPr>
          <w:rFonts w:asciiTheme="minorBidi" w:hAnsiTheme="minorBidi" w:cs="Arial"/>
          <w:rtl/>
        </w:rPr>
        <w:t xml:space="preserve"> </w:t>
      </w:r>
      <w:r w:rsidRPr="00F936FC">
        <w:rPr>
          <w:rFonts w:asciiTheme="minorBidi" w:hAnsiTheme="minorBidi" w:cs="Arial" w:hint="cs"/>
          <w:rtl/>
        </w:rPr>
        <w:t>שובך</w:t>
      </w:r>
      <w:r w:rsidRPr="00F936FC">
        <w:rPr>
          <w:rFonts w:asciiTheme="minorBidi" w:hAnsiTheme="minorBidi" w:cs="Arial"/>
          <w:rtl/>
        </w:rPr>
        <w:t xml:space="preserve"> </w:t>
      </w:r>
      <w:r w:rsidRPr="00F936FC">
        <w:rPr>
          <w:rFonts w:asciiTheme="minorBidi" w:hAnsiTheme="minorBidi" w:cs="Arial" w:hint="cs"/>
          <w:rtl/>
        </w:rPr>
        <w:t>ויוני</w:t>
      </w:r>
      <w:r w:rsidRPr="00F936FC">
        <w:rPr>
          <w:rFonts w:asciiTheme="minorBidi" w:hAnsiTheme="minorBidi" w:cs="Arial"/>
          <w:rtl/>
        </w:rPr>
        <w:t xml:space="preserve"> </w:t>
      </w:r>
      <w:r w:rsidRPr="00F936FC">
        <w:rPr>
          <w:rFonts w:asciiTheme="minorBidi" w:hAnsiTheme="minorBidi" w:cs="Arial" w:hint="cs"/>
          <w:rtl/>
        </w:rPr>
        <w:t>עליה</w:t>
      </w:r>
      <w:r w:rsidRPr="00F936FC">
        <w:rPr>
          <w:rFonts w:asciiTheme="minorBidi" w:hAnsiTheme="minorBidi" w:cs="Arial"/>
          <w:rtl/>
        </w:rPr>
        <w:t xml:space="preserve">, </w:t>
      </w:r>
      <w:r w:rsidRPr="00F936FC">
        <w:rPr>
          <w:rFonts w:asciiTheme="minorBidi" w:hAnsiTheme="minorBidi" w:cs="Arial" w:hint="cs"/>
          <w:rtl/>
        </w:rPr>
        <w:t>ולא</w:t>
      </w:r>
      <w:r w:rsidRPr="00F936FC">
        <w:rPr>
          <w:rFonts w:asciiTheme="minorBidi" w:hAnsiTheme="minorBidi" w:cs="Arial"/>
          <w:rtl/>
        </w:rPr>
        <w:t xml:space="preserve"> </w:t>
      </w:r>
      <w:r w:rsidRPr="00F936FC">
        <w:rPr>
          <w:rFonts w:asciiTheme="minorBidi" w:hAnsiTheme="minorBidi" w:cs="Arial" w:hint="cs"/>
          <w:rtl/>
        </w:rPr>
        <w:t>לפני</w:t>
      </w:r>
      <w:r w:rsidRPr="00F936FC">
        <w:rPr>
          <w:rFonts w:asciiTheme="minorBidi" w:hAnsiTheme="minorBidi" w:cs="Arial"/>
          <w:rtl/>
        </w:rPr>
        <w:t xml:space="preserve"> </w:t>
      </w:r>
      <w:r w:rsidRPr="00F936FC">
        <w:rPr>
          <w:rFonts w:asciiTheme="minorBidi" w:hAnsiTheme="minorBidi" w:cs="Arial" w:hint="cs"/>
          <w:rtl/>
        </w:rPr>
        <w:t>חזיר</w:t>
      </w:r>
      <w:r w:rsidRPr="00F936FC">
        <w:rPr>
          <w:rFonts w:asciiTheme="minorBidi" w:hAnsiTheme="minorBidi" w:cs="Arial"/>
          <w:rtl/>
        </w:rPr>
        <w:t xml:space="preserve">; </w:t>
      </w:r>
      <w:r w:rsidRPr="00F936FC">
        <w:rPr>
          <w:rFonts w:asciiTheme="minorBidi" w:hAnsiTheme="minorBidi" w:cs="Arial" w:hint="cs"/>
          <w:rtl/>
        </w:rPr>
        <w:t>אבל</w:t>
      </w:r>
      <w:r w:rsidRPr="00F936FC">
        <w:rPr>
          <w:rFonts w:asciiTheme="minorBidi" w:hAnsiTheme="minorBidi" w:cs="Arial"/>
          <w:rtl/>
        </w:rPr>
        <w:t xml:space="preserve"> </w:t>
      </w:r>
      <w:r w:rsidRPr="00F936FC">
        <w:rPr>
          <w:rFonts w:asciiTheme="minorBidi" w:hAnsiTheme="minorBidi" w:cs="Arial" w:hint="cs"/>
          <w:rtl/>
        </w:rPr>
        <w:t>נותנין</w:t>
      </w:r>
      <w:r w:rsidRPr="00F936FC">
        <w:rPr>
          <w:rFonts w:asciiTheme="minorBidi" w:hAnsiTheme="minorBidi" w:cs="Arial"/>
          <w:rtl/>
        </w:rPr>
        <w:t xml:space="preserve"> </w:t>
      </w:r>
      <w:r w:rsidRPr="00F936FC">
        <w:rPr>
          <w:rFonts w:asciiTheme="minorBidi" w:hAnsiTheme="minorBidi" w:cs="Arial" w:hint="cs"/>
          <w:rtl/>
        </w:rPr>
        <w:t>לפני</w:t>
      </w:r>
      <w:r w:rsidRPr="00F936FC">
        <w:rPr>
          <w:rFonts w:asciiTheme="minorBidi" w:hAnsiTheme="minorBidi" w:cs="Arial"/>
          <w:rtl/>
        </w:rPr>
        <w:t xml:space="preserve"> </w:t>
      </w:r>
      <w:r w:rsidRPr="00F936FC">
        <w:rPr>
          <w:rFonts w:asciiTheme="minorBidi" w:hAnsiTheme="minorBidi" w:cs="Arial" w:hint="cs"/>
          <w:rtl/>
        </w:rPr>
        <w:t>אווזין</w:t>
      </w:r>
      <w:r w:rsidRPr="00F936FC">
        <w:rPr>
          <w:rFonts w:asciiTheme="minorBidi" w:hAnsiTheme="minorBidi" w:cs="Arial"/>
          <w:rtl/>
        </w:rPr>
        <w:t xml:space="preserve"> </w:t>
      </w:r>
      <w:r w:rsidRPr="00F936FC">
        <w:rPr>
          <w:rFonts w:asciiTheme="minorBidi" w:hAnsiTheme="minorBidi" w:cs="Arial" w:hint="cs"/>
          <w:rtl/>
        </w:rPr>
        <w:t>ותרנגולים</w:t>
      </w:r>
      <w:r w:rsidRPr="00F936FC">
        <w:rPr>
          <w:rFonts w:asciiTheme="minorBidi" w:hAnsiTheme="minorBidi" w:cs="Arial"/>
          <w:rtl/>
        </w:rPr>
        <w:t xml:space="preserve"> </w:t>
      </w:r>
      <w:r w:rsidRPr="00F936FC">
        <w:rPr>
          <w:rFonts w:asciiTheme="minorBidi" w:hAnsiTheme="minorBidi" w:cs="Arial" w:hint="cs"/>
          <w:rtl/>
        </w:rPr>
        <w:t>ויוני</w:t>
      </w:r>
      <w:r w:rsidRPr="00F936FC">
        <w:rPr>
          <w:rFonts w:asciiTheme="minorBidi" w:hAnsiTheme="minorBidi" w:cs="Arial"/>
          <w:rtl/>
        </w:rPr>
        <w:t xml:space="preserve"> </w:t>
      </w:r>
      <w:r w:rsidRPr="00F936FC">
        <w:rPr>
          <w:rFonts w:asciiTheme="minorBidi" w:hAnsiTheme="minorBidi" w:cs="Arial" w:hint="cs"/>
          <w:rtl/>
        </w:rPr>
        <w:t>בייתות</w:t>
      </w:r>
      <w:r w:rsidRPr="00F936FC">
        <w:rPr>
          <w:rFonts w:asciiTheme="minorBidi" w:hAnsiTheme="minorBidi" w:cs="Arial"/>
          <w:rtl/>
        </w:rPr>
        <w:t xml:space="preserve"> </w:t>
      </w:r>
      <w:r w:rsidRPr="00F936FC">
        <w:rPr>
          <w:rFonts w:asciiTheme="minorBidi" w:hAnsiTheme="minorBidi" w:cs="Arial" w:hint="cs"/>
          <w:rtl/>
        </w:rPr>
        <w:t>וכן</w:t>
      </w:r>
      <w:r w:rsidRPr="00F936FC">
        <w:rPr>
          <w:rFonts w:asciiTheme="minorBidi" w:hAnsiTheme="minorBidi" w:cs="Arial"/>
          <w:rtl/>
        </w:rPr>
        <w:t xml:space="preserve"> </w:t>
      </w:r>
      <w:r w:rsidRPr="00F936FC">
        <w:rPr>
          <w:rFonts w:asciiTheme="minorBidi" w:hAnsiTheme="minorBidi" w:cs="Arial" w:hint="cs"/>
          <w:rtl/>
        </w:rPr>
        <w:t>לפני</w:t>
      </w:r>
      <w:r w:rsidRPr="00F936FC">
        <w:rPr>
          <w:rFonts w:asciiTheme="minorBidi" w:hAnsiTheme="minorBidi" w:cs="Arial"/>
          <w:rtl/>
        </w:rPr>
        <w:t xml:space="preserve"> </w:t>
      </w:r>
      <w:r w:rsidRPr="00F936FC">
        <w:rPr>
          <w:rFonts w:asciiTheme="minorBidi" w:hAnsiTheme="minorBidi" w:cs="Arial" w:hint="cs"/>
          <w:rtl/>
        </w:rPr>
        <w:t>כלב</w:t>
      </w:r>
      <w:r w:rsidRPr="00F936FC">
        <w:rPr>
          <w:rFonts w:asciiTheme="minorBidi" w:hAnsiTheme="minorBidi" w:cs="Arial"/>
          <w:rtl/>
        </w:rPr>
        <w:t xml:space="preserve"> </w:t>
      </w:r>
      <w:r w:rsidRPr="00F936FC">
        <w:rPr>
          <w:rFonts w:asciiTheme="minorBidi" w:hAnsiTheme="minorBidi" w:cs="Arial" w:hint="cs"/>
          <w:rtl/>
        </w:rPr>
        <w:t>שמזונותיו</w:t>
      </w:r>
      <w:r w:rsidRPr="00F936FC">
        <w:rPr>
          <w:rFonts w:asciiTheme="minorBidi" w:hAnsiTheme="minorBidi" w:cs="Arial"/>
          <w:rtl/>
        </w:rPr>
        <w:t xml:space="preserve"> </w:t>
      </w:r>
      <w:r w:rsidRPr="00F936FC">
        <w:rPr>
          <w:rFonts w:asciiTheme="minorBidi" w:hAnsiTheme="minorBidi" w:cs="Arial" w:hint="cs"/>
          <w:rtl/>
        </w:rPr>
        <w:t>עליך</w:t>
      </w:r>
      <w:r w:rsidRPr="00F936FC">
        <w:rPr>
          <w:rFonts w:asciiTheme="minorBidi" w:hAnsiTheme="minorBidi" w:cs="Arial"/>
          <w:rtl/>
        </w:rPr>
        <w:t xml:space="preserve">. </w:t>
      </w:r>
    </w:p>
    <w:p w14:paraId="63525353"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יב</w:t>
      </w:r>
    </w:p>
    <w:p w14:paraId="68537DA7" w14:textId="77777777" w:rsidR="006A4BF8" w:rsidRPr="00F936FC" w:rsidRDefault="006A4BF8" w:rsidP="00434A6A">
      <w:pPr>
        <w:rPr>
          <w:rFonts w:asciiTheme="minorBidi" w:hAnsiTheme="minorBidi"/>
          <w:rtl/>
        </w:rPr>
      </w:pPr>
      <w:r w:rsidRPr="00F936FC">
        <w:rPr>
          <w:rFonts w:asciiTheme="minorBidi" w:hAnsiTheme="minorBidi" w:cs="Arial" w:hint="cs"/>
          <w:rtl/>
        </w:rPr>
        <w:t>מותר</w:t>
      </w:r>
      <w:r w:rsidRPr="00F936FC">
        <w:rPr>
          <w:rFonts w:asciiTheme="minorBidi" w:hAnsiTheme="minorBidi" w:cs="Arial"/>
          <w:rtl/>
        </w:rPr>
        <w:t xml:space="preserve"> </w:t>
      </w:r>
      <w:r w:rsidRPr="00F936FC">
        <w:rPr>
          <w:rFonts w:asciiTheme="minorBidi" w:hAnsiTheme="minorBidi" w:cs="Arial" w:hint="cs"/>
          <w:rtl/>
        </w:rPr>
        <w:t>להאכיל</w:t>
      </w:r>
      <w:r w:rsidRPr="00F936FC">
        <w:rPr>
          <w:rFonts w:asciiTheme="minorBidi" w:hAnsiTheme="minorBidi" w:cs="Arial"/>
          <w:rtl/>
        </w:rPr>
        <w:t xml:space="preserve"> </w:t>
      </w:r>
      <w:r w:rsidRPr="00F936FC">
        <w:rPr>
          <w:rFonts w:asciiTheme="minorBidi" w:hAnsiTheme="minorBidi" w:cs="Arial" w:hint="cs"/>
          <w:rtl/>
        </w:rPr>
        <w:t>תולעת</w:t>
      </w:r>
      <w:r w:rsidRPr="00F936FC">
        <w:rPr>
          <w:rFonts w:asciiTheme="minorBidi" w:hAnsiTheme="minorBidi" w:cs="Arial"/>
          <w:rtl/>
        </w:rPr>
        <w:t xml:space="preserve"> </w:t>
      </w:r>
      <w:r w:rsidRPr="00F936FC">
        <w:rPr>
          <w:rFonts w:asciiTheme="minorBidi" w:hAnsiTheme="minorBidi" w:cs="Arial" w:hint="cs"/>
          <w:rtl/>
        </w:rPr>
        <w:t>המשי</w:t>
      </w:r>
      <w:r w:rsidRPr="00F936FC">
        <w:rPr>
          <w:rFonts w:asciiTheme="minorBidi" w:hAnsiTheme="minorBidi" w:cs="Arial"/>
          <w:rtl/>
        </w:rPr>
        <w:t xml:space="preserve">. </w:t>
      </w:r>
    </w:p>
    <w:p w14:paraId="66085C16"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יג</w:t>
      </w:r>
    </w:p>
    <w:p w14:paraId="69C1B1D3" w14:textId="77777777" w:rsidR="006A4BF8" w:rsidRPr="00F936FC" w:rsidRDefault="006A4BF8" w:rsidP="00434A6A">
      <w:pPr>
        <w:rPr>
          <w:rFonts w:asciiTheme="minorBidi" w:hAnsiTheme="minorBidi"/>
          <w:rtl/>
        </w:rPr>
      </w:pPr>
      <w:r w:rsidRPr="00F936FC">
        <w:rPr>
          <w:rFonts w:asciiTheme="minorBidi" w:hAnsiTheme="minorBidi" w:cs="Arial" w:hint="cs"/>
          <w:rtl/>
        </w:rPr>
        <w:t>מעמיד</w:t>
      </w:r>
      <w:r w:rsidRPr="00F936FC">
        <w:rPr>
          <w:rFonts w:asciiTheme="minorBidi" w:hAnsiTheme="minorBidi" w:cs="Arial"/>
          <w:rtl/>
        </w:rPr>
        <w:t xml:space="preserve"> </w:t>
      </w:r>
      <w:r w:rsidRPr="00F936FC">
        <w:rPr>
          <w:rFonts w:asciiTheme="minorBidi" w:hAnsiTheme="minorBidi" w:cs="Arial" w:hint="cs"/>
          <w:rtl/>
        </w:rPr>
        <w:t>אדם</w:t>
      </w:r>
      <w:r w:rsidRPr="00F936FC">
        <w:rPr>
          <w:rFonts w:asciiTheme="minorBidi" w:hAnsiTheme="minorBidi" w:cs="Arial"/>
          <w:rtl/>
        </w:rPr>
        <w:t xml:space="preserve"> </w:t>
      </w:r>
      <w:r w:rsidRPr="00F936FC">
        <w:rPr>
          <w:rFonts w:asciiTheme="minorBidi" w:hAnsiTheme="minorBidi" w:cs="Arial" w:hint="cs"/>
          <w:rtl/>
        </w:rPr>
        <w:t>בהמתו</w:t>
      </w:r>
      <w:r w:rsidRPr="00F936FC">
        <w:rPr>
          <w:rFonts w:asciiTheme="minorBidi" w:hAnsiTheme="minorBidi" w:cs="Arial"/>
          <w:rtl/>
        </w:rPr>
        <w:t xml:space="preserve"> </w:t>
      </w:r>
      <w:r w:rsidRPr="00F936FC">
        <w:rPr>
          <w:rFonts w:asciiTheme="minorBidi" w:hAnsiTheme="minorBidi" w:cs="Arial" w:hint="cs"/>
          <w:rtl/>
        </w:rPr>
        <w:t>על</w:t>
      </w:r>
      <w:r w:rsidRPr="00F936FC">
        <w:rPr>
          <w:rFonts w:asciiTheme="minorBidi" w:hAnsiTheme="minorBidi" w:cs="Arial"/>
          <w:rtl/>
        </w:rPr>
        <w:t xml:space="preserve"> </w:t>
      </w:r>
      <w:r w:rsidRPr="00F936FC">
        <w:rPr>
          <w:rFonts w:asciiTheme="minorBidi" w:hAnsiTheme="minorBidi" w:cs="Arial" w:hint="cs"/>
          <w:rtl/>
        </w:rPr>
        <w:t>גבי</w:t>
      </w:r>
      <w:r w:rsidRPr="00F936FC">
        <w:rPr>
          <w:rFonts w:asciiTheme="minorBidi" w:hAnsiTheme="minorBidi" w:cs="Arial"/>
          <w:rtl/>
        </w:rPr>
        <w:t xml:space="preserve"> </w:t>
      </w:r>
      <w:r w:rsidRPr="00F936FC">
        <w:rPr>
          <w:rFonts w:asciiTheme="minorBidi" w:hAnsiTheme="minorBidi" w:cs="Arial" w:hint="cs"/>
          <w:rtl/>
        </w:rPr>
        <w:t>עשבים</w:t>
      </w:r>
      <w:r w:rsidRPr="00F936FC">
        <w:rPr>
          <w:rFonts w:asciiTheme="minorBidi" w:hAnsiTheme="minorBidi" w:cs="Arial"/>
          <w:rtl/>
        </w:rPr>
        <w:t xml:space="preserve"> </w:t>
      </w:r>
      <w:r w:rsidRPr="00F936FC">
        <w:rPr>
          <w:rFonts w:asciiTheme="minorBidi" w:hAnsiTheme="minorBidi" w:cs="Arial" w:hint="cs"/>
          <w:rtl/>
        </w:rPr>
        <w:t>מחוברים</w:t>
      </w:r>
      <w:r w:rsidRPr="00F936FC">
        <w:rPr>
          <w:rFonts w:asciiTheme="minorBidi" w:hAnsiTheme="minorBidi" w:cs="Arial"/>
          <w:rtl/>
        </w:rPr>
        <w:t xml:space="preserve">, </w:t>
      </w:r>
      <w:r w:rsidRPr="00F936FC">
        <w:rPr>
          <w:rFonts w:asciiTheme="minorBidi" w:hAnsiTheme="minorBidi" w:cs="Arial" w:hint="cs"/>
          <w:rtl/>
        </w:rPr>
        <w:t>ולא</w:t>
      </w:r>
      <w:r w:rsidRPr="00F936FC">
        <w:rPr>
          <w:rFonts w:asciiTheme="minorBidi" w:hAnsiTheme="minorBidi" w:cs="Arial"/>
          <w:rtl/>
        </w:rPr>
        <w:t xml:space="preserve"> </w:t>
      </w:r>
      <w:r w:rsidRPr="00F936FC">
        <w:rPr>
          <w:rFonts w:asciiTheme="minorBidi" w:hAnsiTheme="minorBidi" w:cs="Arial" w:hint="cs"/>
          <w:rtl/>
        </w:rPr>
        <w:t>חיישינן</w:t>
      </w:r>
      <w:r w:rsidRPr="00F936FC">
        <w:rPr>
          <w:rFonts w:asciiTheme="minorBidi" w:hAnsiTheme="minorBidi" w:cs="Arial"/>
          <w:rtl/>
        </w:rPr>
        <w:t xml:space="preserve"> </w:t>
      </w:r>
      <w:r w:rsidRPr="00F936FC">
        <w:rPr>
          <w:rFonts w:asciiTheme="minorBidi" w:hAnsiTheme="minorBidi" w:cs="Arial" w:hint="cs"/>
          <w:rtl/>
        </w:rPr>
        <w:t>שמא</w:t>
      </w:r>
      <w:r w:rsidRPr="00F936FC">
        <w:rPr>
          <w:rFonts w:asciiTheme="minorBidi" w:hAnsiTheme="minorBidi" w:cs="Arial"/>
          <w:rtl/>
        </w:rPr>
        <w:t xml:space="preserve"> </w:t>
      </w:r>
      <w:r w:rsidRPr="00F936FC">
        <w:rPr>
          <w:rFonts w:asciiTheme="minorBidi" w:hAnsiTheme="minorBidi" w:cs="Arial" w:hint="cs"/>
          <w:rtl/>
        </w:rPr>
        <w:t>יתלוש</w:t>
      </w:r>
      <w:r w:rsidRPr="00F936FC">
        <w:rPr>
          <w:rFonts w:asciiTheme="minorBidi" w:hAnsiTheme="minorBidi" w:cs="Arial"/>
          <w:rtl/>
        </w:rPr>
        <w:t xml:space="preserve"> </w:t>
      </w:r>
      <w:r w:rsidRPr="00F936FC">
        <w:rPr>
          <w:rFonts w:asciiTheme="minorBidi" w:hAnsiTheme="minorBidi" w:cs="Arial" w:hint="cs"/>
          <w:rtl/>
        </w:rPr>
        <w:t>מהם</w:t>
      </w:r>
      <w:r w:rsidRPr="00F936FC">
        <w:rPr>
          <w:rFonts w:asciiTheme="minorBidi" w:hAnsiTheme="minorBidi" w:cs="Arial"/>
          <w:rtl/>
        </w:rPr>
        <w:t xml:space="preserve">; </w:t>
      </w:r>
      <w:r w:rsidRPr="00F936FC">
        <w:rPr>
          <w:rFonts w:asciiTheme="minorBidi" w:hAnsiTheme="minorBidi" w:cs="Arial" w:hint="cs"/>
          <w:rtl/>
        </w:rPr>
        <w:t>אבל</w:t>
      </w:r>
      <w:r w:rsidRPr="00F936FC">
        <w:rPr>
          <w:rFonts w:asciiTheme="minorBidi" w:hAnsiTheme="minorBidi" w:cs="Arial"/>
          <w:rtl/>
        </w:rPr>
        <w:t xml:space="preserve"> </w:t>
      </w:r>
      <w:r w:rsidRPr="00F936FC">
        <w:rPr>
          <w:rFonts w:asciiTheme="minorBidi" w:hAnsiTheme="minorBidi" w:cs="Arial" w:hint="cs"/>
          <w:rtl/>
        </w:rPr>
        <w:t>לא</w:t>
      </w:r>
      <w:r w:rsidRPr="00F936FC">
        <w:rPr>
          <w:rFonts w:asciiTheme="minorBidi" w:hAnsiTheme="minorBidi" w:cs="Arial"/>
          <w:rtl/>
        </w:rPr>
        <w:t xml:space="preserve"> </w:t>
      </w:r>
      <w:r w:rsidRPr="00F936FC">
        <w:rPr>
          <w:rFonts w:asciiTheme="minorBidi" w:hAnsiTheme="minorBidi" w:cs="Arial" w:hint="cs"/>
          <w:rtl/>
        </w:rPr>
        <w:t>על</w:t>
      </w:r>
      <w:r w:rsidRPr="00F936FC">
        <w:rPr>
          <w:rFonts w:asciiTheme="minorBidi" w:hAnsiTheme="minorBidi" w:cs="Arial"/>
          <w:rtl/>
        </w:rPr>
        <w:t xml:space="preserve"> </w:t>
      </w:r>
      <w:r w:rsidRPr="00F936FC">
        <w:rPr>
          <w:rFonts w:asciiTheme="minorBidi" w:hAnsiTheme="minorBidi" w:cs="Arial" w:hint="cs"/>
          <w:rtl/>
        </w:rPr>
        <w:t>גבי</w:t>
      </w:r>
      <w:r w:rsidRPr="00F936FC">
        <w:rPr>
          <w:rFonts w:asciiTheme="minorBidi" w:hAnsiTheme="minorBidi" w:cs="Arial"/>
          <w:rtl/>
        </w:rPr>
        <w:t xml:space="preserve"> </w:t>
      </w:r>
      <w:r w:rsidRPr="00F936FC">
        <w:rPr>
          <w:rFonts w:asciiTheme="minorBidi" w:hAnsiTheme="minorBidi" w:cs="Arial" w:hint="cs"/>
          <w:rtl/>
        </w:rPr>
        <w:t>מוקצה</w:t>
      </w:r>
      <w:r w:rsidRPr="00F936FC">
        <w:rPr>
          <w:rFonts w:asciiTheme="minorBidi" w:hAnsiTheme="minorBidi" w:cs="Arial"/>
          <w:rtl/>
        </w:rPr>
        <w:t xml:space="preserve">, </w:t>
      </w:r>
      <w:r w:rsidRPr="00F936FC">
        <w:rPr>
          <w:rFonts w:asciiTheme="minorBidi" w:hAnsiTheme="minorBidi" w:cs="Arial" w:hint="cs"/>
          <w:rtl/>
        </w:rPr>
        <w:t>מפני</w:t>
      </w:r>
      <w:r w:rsidRPr="00F936FC">
        <w:rPr>
          <w:rFonts w:asciiTheme="minorBidi" w:hAnsiTheme="minorBidi" w:cs="Arial"/>
          <w:rtl/>
        </w:rPr>
        <w:t xml:space="preserve"> </w:t>
      </w:r>
      <w:r w:rsidRPr="00F936FC">
        <w:rPr>
          <w:rFonts w:asciiTheme="minorBidi" w:hAnsiTheme="minorBidi" w:cs="Arial" w:hint="cs"/>
          <w:rtl/>
        </w:rPr>
        <w:t>שאיסורו</w:t>
      </w:r>
      <w:r w:rsidRPr="00F936FC">
        <w:rPr>
          <w:rFonts w:asciiTheme="minorBidi" w:hAnsiTheme="minorBidi" w:cs="Arial"/>
          <w:rtl/>
        </w:rPr>
        <w:t xml:space="preserve"> </w:t>
      </w:r>
      <w:r w:rsidRPr="00F936FC">
        <w:rPr>
          <w:rFonts w:asciiTheme="minorBidi" w:hAnsiTheme="minorBidi" w:cs="Arial" w:hint="cs"/>
          <w:rtl/>
        </w:rPr>
        <w:t>קל</w:t>
      </w:r>
      <w:r w:rsidRPr="00F936FC">
        <w:rPr>
          <w:rFonts w:asciiTheme="minorBidi" w:hAnsiTheme="minorBidi" w:cs="Arial"/>
          <w:rtl/>
        </w:rPr>
        <w:t xml:space="preserve"> </w:t>
      </w:r>
      <w:r w:rsidRPr="00F936FC">
        <w:rPr>
          <w:rFonts w:asciiTheme="minorBidi" w:hAnsiTheme="minorBidi" w:cs="Arial" w:hint="cs"/>
          <w:rtl/>
        </w:rPr>
        <w:t>וחיישינן</w:t>
      </w:r>
      <w:r w:rsidRPr="00F936FC">
        <w:rPr>
          <w:rFonts w:asciiTheme="minorBidi" w:hAnsiTheme="minorBidi" w:cs="Arial"/>
          <w:rtl/>
        </w:rPr>
        <w:t xml:space="preserve"> </w:t>
      </w:r>
      <w:r w:rsidRPr="00F936FC">
        <w:rPr>
          <w:rFonts w:asciiTheme="minorBidi" w:hAnsiTheme="minorBidi" w:cs="Arial" w:hint="cs"/>
          <w:rtl/>
        </w:rPr>
        <w:t>שמא</w:t>
      </w:r>
      <w:r w:rsidRPr="00F936FC">
        <w:rPr>
          <w:rFonts w:asciiTheme="minorBidi" w:hAnsiTheme="minorBidi" w:cs="Arial"/>
          <w:rtl/>
        </w:rPr>
        <w:t xml:space="preserve"> </w:t>
      </w:r>
      <w:r w:rsidRPr="00F936FC">
        <w:rPr>
          <w:rFonts w:asciiTheme="minorBidi" w:hAnsiTheme="minorBidi" w:cs="Arial" w:hint="cs"/>
          <w:rtl/>
        </w:rPr>
        <w:t>יתן</w:t>
      </w:r>
      <w:r w:rsidRPr="00F936FC">
        <w:rPr>
          <w:rFonts w:asciiTheme="minorBidi" w:hAnsiTheme="minorBidi" w:cs="Arial"/>
          <w:rtl/>
        </w:rPr>
        <w:t xml:space="preserve"> </w:t>
      </w:r>
      <w:r w:rsidRPr="00F936FC">
        <w:rPr>
          <w:rFonts w:asciiTheme="minorBidi" w:hAnsiTheme="minorBidi" w:cs="Arial" w:hint="cs"/>
          <w:rtl/>
        </w:rPr>
        <w:t>לה</w:t>
      </w:r>
      <w:r w:rsidRPr="00F936FC">
        <w:rPr>
          <w:rFonts w:asciiTheme="minorBidi" w:hAnsiTheme="minorBidi" w:cs="Arial"/>
          <w:rtl/>
        </w:rPr>
        <w:t xml:space="preserve"> </w:t>
      </w:r>
      <w:r w:rsidRPr="00F936FC">
        <w:rPr>
          <w:rFonts w:asciiTheme="minorBidi" w:hAnsiTheme="minorBidi" w:cs="Arial" w:hint="cs"/>
          <w:rtl/>
        </w:rPr>
        <w:t>ממנו</w:t>
      </w:r>
      <w:r w:rsidRPr="00F936FC">
        <w:rPr>
          <w:rFonts w:asciiTheme="minorBidi" w:hAnsiTheme="minorBidi" w:cs="Arial"/>
          <w:rtl/>
        </w:rPr>
        <w:t xml:space="preserve"> </w:t>
      </w:r>
      <w:r w:rsidRPr="00F936FC">
        <w:rPr>
          <w:rFonts w:asciiTheme="minorBidi" w:hAnsiTheme="minorBidi" w:cs="Arial" w:hint="cs"/>
          <w:rtl/>
        </w:rPr>
        <w:t>בידים</w:t>
      </w:r>
      <w:r w:rsidRPr="00F936FC">
        <w:rPr>
          <w:rFonts w:asciiTheme="minorBidi" w:hAnsiTheme="minorBidi" w:cs="Arial"/>
          <w:rtl/>
        </w:rPr>
        <w:t xml:space="preserve">. </w:t>
      </w:r>
      <w:r w:rsidRPr="00F936FC">
        <w:rPr>
          <w:rFonts w:asciiTheme="minorBidi" w:hAnsiTheme="minorBidi" w:cs="Arial" w:hint="cs"/>
          <w:rtl/>
        </w:rPr>
        <w:t>ודוקא</w:t>
      </w:r>
      <w:r w:rsidRPr="00F936FC">
        <w:rPr>
          <w:rFonts w:asciiTheme="minorBidi" w:hAnsiTheme="minorBidi" w:cs="Arial"/>
          <w:rtl/>
        </w:rPr>
        <w:t xml:space="preserve"> </w:t>
      </w:r>
      <w:r w:rsidRPr="00F936FC">
        <w:rPr>
          <w:rFonts w:asciiTheme="minorBidi" w:hAnsiTheme="minorBidi" w:cs="Arial" w:hint="cs"/>
          <w:rtl/>
        </w:rPr>
        <w:t>להעמידה</w:t>
      </w:r>
      <w:r w:rsidRPr="00F936FC">
        <w:rPr>
          <w:rFonts w:asciiTheme="minorBidi" w:hAnsiTheme="minorBidi" w:cs="Arial"/>
          <w:rtl/>
        </w:rPr>
        <w:t xml:space="preserve"> </w:t>
      </w:r>
      <w:r w:rsidRPr="00F936FC">
        <w:rPr>
          <w:rFonts w:asciiTheme="minorBidi" w:hAnsiTheme="minorBidi" w:cs="Arial" w:hint="cs"/>
          <w:rtl/>
        </w:rPr>
        <w:t>על</w:t>
      </w:r>
      <w:r w:rsidRPr="00F936FC">
        <w:rPr>
          <w:rFonts w:asciiTheme="minorBidi" w:hAnsiTheme="minorBidi" w:cs="Arial"/>
          <w:rtl/>
        </w:rPr>
        <w:t xml:space="preserve"> </w:t>
      </w:r>
      <w:r w:rsidRPr="00F936FC">
        <w:rPr>
          <w:rFonts w:asciiTheme="minorBidi" w:hAnsiTheme="minorBidi" w:cs="Arial" w:hint="cs"/>
          <w:rtl/>
        </w:rPr>
        <w:t>גביו</w:t>
      </w:r>
      <w:r w:rsidRPr="00F936FC">
        <w:rPr>
          <w:rFonts w:asciiTheme="minorBidi" w:hAnsiTheme="minorBidi" w:cs="Arial"/>
          <w:rtl/>
        </w:rPr>
        <w:t xml:space="preserve"> </w:t>
      </w:r>
      <w:r w:rsidRPr="00F936FC">
        <w:rPr>
          <w:rFonts w:asciiTheme="minorBidi" w:hAnsiTheme="minorBidi" w:cs="Arial" w:hint="cs"/>
          <w:rtl/>
        </w:rPr>
        <w:t>ממש</w:t>
      </w:r>
      <w:r w:rsidRPr="00F936FC">
        <w:rPr>
          <w:rFonts w:asciiTheme="minorBidi" w:hAnsiTheme="minorBidi" w:cs="Arial"/>
          <w:rtl/>
        </w:rPr>
        <w:t xml:space="preserve">, </w:t>
      </w:r>
      <w:r w:rsidRPr="00F936FC">
        <w:rPr>
          <w:rFonts w:asciiTheme="minorBidi" w:hAnsiTheme="minorBidi" w:cs="Arial" w:hint="cs"/>
          <w:rtl/>
        </w:rPr>
        <w:t>אבל</w:t>
      </w:r>
      <w:r w:rsidRPr="00F936FC">
        <w:rPr>
          <w:rFonts w:asciiTheme="minorBidi" w:hAnsiTheme="minorBidi" w:cs="Arial"/>
          <w:rtl/>
        </w:rPr>
        <w:t xml:space="preserve"> </w:t>
      </w:r>
      <w:r w:rsidRPr="00F936FC">
        <w:rPr>
          <w:rFonts w:asciiTheme="minorBidi" w:hAnsiTheme="minorBidi" w:cs="Arial" w:hint="cs"/>
          <w:rtl/>
        </w:rPr>
        <w:t>לעמוד</w:t>
      </w:r>
      <w:r w:rsidRPr="00F936FC">
        <w:rPr>
          <w:rFonts w:asciiTheme="minorBidi" w:hAnsiTheme="minorBidi" w:cs="Arial"/>
          <w:rtl/>
        </w:rPr>
        <w:t xml:space="preserve"> </w:t>
      </w:r>
      <w:r w:rsidRPr="00F936FC">
        <w:rPr>
          <w:rFonts w:asciiTheme="minorBidi" w:hAnsiTheme="minorBidi" w:cs="Arial" w:hint="cs"/>
          <w:rtl/>
        </w:rPr>
        <w:t>בפניה</w:t>
      </w:r>
      <w:r w:rsidRPr="00F936FC">
        <w:rPr>
          <w:rFonts w:asciiTheme="minorBidi" w:hAnsiTheme="minorBidi" w:cs="Arial"/>
          <w:rtl/>
        </w:rPr>
        <w:t xml:space="preserve"> </w:t>
      </w:r>
      <w:r w:rsidRPr="00F936FC">
        <w:rPr>
          <w:rFonts w:asciiTheme="minorBidi" w:hAnsiTheme="minorBidi" w:cs="Arial" w:hint="cs"/>
          <w:rtl/>
        </w:rPr>
        <w:t>בענין</w:t>
      </w:r>
      <w:r w:rsidRPr="00F936FC">
        <w:rPr>
          <w:rFonts w:asciiTheme="minorBidi" w:hAnsiTheme="minorBidi" w:cs="Arial"/>
          <w:rtl/>
        </w:rPr>
        <w:t xml:space="preserve"> </w:t>
      </w:r>
      <w:r w:rsidRPr="00F936FC">
        <w:rPr>
          <w:rFonts w:asciiTheme="minorBidi" w:hAnsiTheme="minorBidi" w:cs="Arial" w:hint="cs"/>
          <w:rtl/>
        </w:rPr>
        <w:t>שלא</w:t>
      </w:r>
      <w:r w:rsidRPr="00F936FC">
        <w:rPr>
          <w:rFonts w:asciiTheme="minorBidi" w:hAnsiTheme="minorBidi" w:cs="Arial"/>
          <w:rtl/>
        </w:rPr>
        <w:t xml:space="preserve"> </w:t>
      </w:r>
      <w:r w:rsidRPr="00F936FC">
        <w:rPr>
          <w:rFonts w:asciiTheme="minorBidi" w:hAnsiTheme="minorBidi" w:cs="Arial" w:hint="cs"/>
          <w:rtl/>
        </w:rPr>
        <w:t>תוכל</w:t>
      </w:r>
      <w:r w:rsidRPr="00F936FC">
        <w:rPr>
          <w:rFonts w:asciiTheme="minorBidi" w:hAnsiTheme="minorBidi" w:cs="Arial"/>
          <w:rtl/>
        </w:rPr>
        <w:t xml:space="preserve"> </w:t>
      </w:r>
      <w:r w:rsidRPr="00F936FC">
        <w:rPr>
          <w:rFonts w:asciiTheme="minorBidi" w:hAnsiTheme="minorBidi" w:cs="Arial" w:hint="cs"/>
          <w:rtl/>
        </w:rPr>
        <w:t>להטות</w:t>
      </w:r>
      <w:r w:rsidRPr="00F936FC">
        <w:rPr>
          <w:rFonts w:asciiTheme="minorBidi" w:hAnsiTheme="minorBidi" w:cs="Arial"/>
          <w:rtl/>
        </w:rPr>
        <w:t xml:space="preserve"> </w:t>
      </w:r>
      <w:r w:rsidRPr="00F936FC">
        <w:rPr>
          <w:rFonts w:asciiTheme="minorBidi" w:hAnsiTheme="minorBidi" w:cs="Arial" w:hint="cs"/>
          <w:rtl/>
        </w:rPr>
        <w:t>אלא</w:t>
      </w:r>
      <w:r w:rsidRPr="00F936FC">
        <w:rPr>
          <w:rFonts w:asciiTheme="minorBidi" w:hAnsiTheme="minorBidi" w:cs="Arial"/>
          <w:rtl/>
        </w:rPr>
        <w:t xml:space="preserve"> </w:t>
      </w:r>
      <w:r w:rsidRPr="00F936FC">
        <w:rPr>
          <w:rFonts w:asciiTheme="minorBidi" w:hAnsiTheme="minorBidi" w:cs="Arial" w:hint="cs"/>
          <w:rtl/>
        </w:rPr>
        <w:t>דרך</w:t>
      </w:r>
      <w:r w:rsidRPr="00F936FC">
        <w:rPr>
          <w:rFonts w:asciiTheme="minorBidi" w:hAnsiTheme="minorBidi" w:cs="Arial"/>
          <w:rtl/>
        </w:rPr>
        <w:t xml:space="preserve"> </w:t>
      </w:r>
      <w:r w:rsidRPr="00F936FC">
        <w:rPr>
          <w:rFonts w:asciiTheme="minorBidi" w:hAnsiTheme="minorBidi" w:cs="Arial" w:hint="cs"/>
          <w:rtl/>
        </w:rPr>
        <w:t>שם</w:t>
      </w:r>
      <w:r w:rsidRPr="00F936FC">
        <w:rPr>
          <w:rFonts w:asciiTheme="minorBidi" w:hAnsiTheme="minorBidi" w:cs="Arial"/>
          <w:rtl/>
        </w:rPr>
        <w:t xml:space="preserve">, </w:t>
      </w:r>
      <w:r w:rsidRPr="00F936FC">
        <w:rPr>
          <w:rFonts w:asciiTheme="minorBidi" w:hAnsiTheme="minorBidi" w:cs="Arial" w:hint="cs"/>
          <w:rtl/>
        </w:rPr>
        <w:t>מותר</w:t>
      </w:r>
      <w:r w:rsidRPr="00F936FC">
        <w:rPr>
          <w:rFonts w:asciiTheme="minorBidi" w:hAnsiTheme="minorBidi" w:cs="Arial"/>
          <w:rtl/>
        </w:rPr>
        <w:t xml:space="preserve">. </w:t>
      </w:r>
    </w:p>
    <w:p w14:paraId="46CFD2D4"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יד</w:t>
      </w:r>
    </w:p>
    <w:p w14:paraId="2DD7ED6D" w14:textId="77777777" w:rsidR="006A4BF8" w:rsidRPr="00F936FC" w:rsidRDefault="006A4BF8" w:rsidP="00434A6A">
      <w:pPr>
        <w:rPr>
          <w:rFonts w:asciiTheme="minorBidi" w:hAnsiTheme="minorBidi"/>
          <w:rtl/>
        </w:rPr>
      </w:pPr>
      <w:r w:rsidRPr="00F936FC">
        <w:rPr>
          <w:rFonts w:asciiTheme="minorBidi" w:hAnsiTheme="minorBidi" w:cs="Arial" w:hint="cs"/>
          <w:rtl/>
        </w:rPr>
        <w:t>נוטלים</w:t>
      </w:r>
      <w:r w:rsidRPr="00F936FC">
        <w:rPr>
          <w:rFonts w:asciiTheme="minorBidi" w:hAnsiTheme="minorBidi" w:cs="Arial"/>
          <w:rtl/>
        </w:rPr>
        <w:t xml:space="preserve"> </w:t>
      </w:r>
      <w:r w:rsidRPr="00F936FC">
        <w:rPr>
          <w:rFonts w:asciiTheme="minorBidi" w:hAnsiTheme="minorBidi" w:cs="Arial" w:hint="cs"/>
          <w:rtl/>
        </w:rPr>
        <w:t>מאכל</w:t>
      </w:r>
      <w:r w:rsidRPr="00F936FC">
        <w:rPr>
          <w:rFonts w:asciiTheme="minorBidi" w:hAnsiTheme="minorBidi" w:cs="Arial"/>
          <w:rtl/>
        </w:rPr>
        <w:t xml:space="preserve"> </w:t>
      </w:r>
      <w:r w:rsidRPr="00F936FC">
        <w:rPr>
          <w:rFonts w:asciiTheme="minorBidi" w:hAnsiTheme="minorBidi" w:cs="Arial" w:hint="cs"/>
          <w:rtl/>
        </w:rPr>
        <w:t>מלפני</w:t>
      </w:r>
      <w:r w:rsidRPr="00F936FC">
        <w:rPr>
          <w:rFonts w:asciiTheme="minorBidi" w:hAnsiTheme="minorBidi" w:cs="Arial"/>
          <w:rtl/>
        </w:rPr>
        <w:t xml:space="preserve"> </w:t>
      </w:r>
      <w:r w:rsidRPr="00F936FC">
        <w:rPr>
          <w:rFonts w:asciiTheme="minorBidi" w:hAnsiTheme="minorBidi" w:cs="Arial" w:hint="cs"/>
          <w:rtl/>
        </w:rPr>
        <w:t>חמור</w:t>
      </w:r>
      <w:r w:rsidRPr="00F936FC">
        <w:rPr>
          <w:rFonts w:asciiTheme="minorBidi" w:hAnsiTheme="minorBidi" w:cs="Arial"/>
          <w:rtl/>
        </w:rPr>
        <w:t xml:space="preserve"> </w:t>
      </w:r>
      <w:r w:rsidRPr="00F936FC">
        <w:rPr>
          <w:rFonts w:asciiTheme="minorBidi" w:hAnsiTheme="minorBidi" w:cs="Arial" w:hint="cs"/>
          <w:rtl/>
        </w:rPr>
        <w:t>ונותנים</w:t>
      </w:r>
      <w:r w:rsidRPr="00F936FC">
        <w:rPr>
          <w:rFonts w:asciiTheme="minorBidi" w:hAnsiTheme="minorBidi" w:cs="Arial"/>
          <w:rtl/>
        </w:rPr>
        <w:t xml:space="preserve"> </w:t>
      </w:r>
      <w:r w:rsidRPr="00F936FC">
        <w:rPr>
          <w:rFonts w:asciiTheme="minorBidi" w:hAnsiTheme="minorBidi" w:cs="Arial" w:hint="cs"/>
          <w:rtl/>
        </w:rPr>
        <w:t>לפני</w:t>
      </w:r>
      <w:r w:rsidRPr="00F936FC">
        <w:rPr>
          <w:rFonts w:asciiTheme="minorBidi" w:hAnsiTheme="minorBidi" w:cs="Arial"/>
          <w:rtl/>
        </w:rPr>
        <w:t xml:space="preserve"> </w:t>
      </w:r>
      <w:r w:rsidRPr="00F936FC">
        <w:rPr>
          <w:rFonts w:asciiTheme="minorBidi" w:hAnsiTheme="minorBidi" w:cs="Arial" w:hint="cs"/>
          <w:rtl/>
        </w:rPr>
        <w:t>שור</w:t>
      </w:r>
      <w:r w:rsidRPr="00F936FC">
        <w:rPr>
          <w:rFonts w:asciiTheme="minorBidi" w:hAnsiTheme="minorBidi" w:cs="Arial"/>
          <w:rtl/>
        </w:rPr>
        <w:t xml:space="preserve">, </w:t>
      </w:r>
      <w:r w:rsidRPr="00F936FC">
        <w:rPr>
          <w:rFonts w:asciiTheme="minorBidi" w:hAnsiTheme="minorBidi" w:cs="Arial" w:hint="cs"/>
          <w:rtl/>
        </w:rPr>
        <w:t>אבל</w:t>
      </w:r>
      <w:r w:rsidRPr="00F936FC">
        <w:rPr>
          <w:rFonts w:asciiTheme="minorBidi" w:hAnsiTheme="minorBidi" w:cs="Arial"/>
          <w:rtl/>
        </w:rPr>
        <w:t xml:space="preserve"> </w:t>
      </w:r>
      <w:r w:rsidRPr="00F936FC">
        <w:rPr>
          <w:rFonts w:asciiTheme="minorBidi" w:hAnsiTheme="minorBidi" w:cs="Arial" w:hint="cs"/>
          <w:rtl/>
        </w:rPr>
        <w:t>אין</w:t>
      </w:r>
      <w:r w:rsidRPr="00F936FC">
        <w:rPr>
          <w:rFonts w:asciiTheme="minorBidi" w:hAnsiTheme="minorBidi" w:cs="Arial"/>
          <w:rtl/>
        </w:rPr>
        <w:t xml:space="preserve"> </w:t>
      </w:r>
      <w:r w:rsidRPr="00F936FC">
        <w:rPr>
          <w:rFonts w:asciiTheme="minorBidi" w:hAnsiTheme="minorBidi" w:cs="Arial" w:hint="cs"/>
          <w:rtl/>
        </w:rPr>
        <w:t>נוטלים</w:t>
      </w:r>
      <w:r w:rsidRPr="00F936FC">
        <w:rPr>
          <w:rFonts w:asciiTheme="minorBidi" w:hAnsiTheme="minorBidi" w:cs="Arial"/>
          <w:rtl/>
        </w:rPr>
        <w:t xml:space="preserve"> </w:t>
      </w:r>
      <w:r w:rsidRPr="00F936FC">
        <w:rPr>
          <w:rFonts w:asciiTheme="minorBidi" w:hAnsiTheme="minorBidi" w:cs="Arial" w:hint="cs"/>
          <w:rtl/>
        </w:rPr>
        <w:t>מלפני</w:t>
      </w:r>
      <w:r w:rsidRPr="00F936FC">
        <w:rPr>
          <w:rFonts w:asciiTheme="minorBidi" w:hAnsiTheme="minorBidi" w:cs="Arial"/>
          <w:rtl/>
        </w:rPr>
        <w:t xml:space="preserve"> </w:t>
      </w:r>
      <w:r w:rsidRPr="00F936FC">
        <w:rPr>
          <w:rFonts w:asciiTheme="minorBidi" w:hAnsiTheme="minorBidi" w:cs="Arial" w:hint="cs"/>
          <w:rtl/>
        </w:rPr>
        <w:t>שור</w:t>
      </w:r>
      <w:r w:rsidRPr="00F936FC">
        <w:rPr>
          <w:rFonts w:asciiTheme="minorBidi" w:hAnsiTheme="minorBidi" w:cs="Arial"/>
          <w:rtl/>
        </w:rPr>
        <w:t xml:space="preserve"> </w:t>
      </w:r>
      <w:r w:rsidRPr="00F936FC">
        <w:rPr>
          <w:rFonts w:asciiTheme="minorBidi" w:hAnsiTheme="minorBidi" w:cs="Arial" w:hint="cs"/>
          <w:rtl/>
        </w:rPr>
        <w:t>ליתן</w:t>
      </w:r>
      <w:r w:rsidRPr="00F936FC">
        <w:rPr>
          <w:rFonts w:asciiTheme="minorBidi" w:hAnsiTheme="minorBidi" w:cs="Arial"/>
          <w:rtl/>
        </w:rPr>
        <w:t xml:space="preserve"> </w:t>
      </w:r>
      <w:r w:rsidRPr="00F936FC">
        <w:rPr>
          <w:rFonts w:asciiTheme="minorBidi" w:hAnsiTheme="minorBidi" w:cs="Arial" w:hint="cs"/>
          <w:rtl/>
        </w:rPr>
        <w:t>לפני</w:t>
      </w:r>
      <w:r w:rsidRPr="00F936FC">
        <w:rPr>
          <w:rFonts w:asciiTheme="minorBidi" w:hAnsiTheme="minorBidi" w:cs="Arial"/>
          <w:rtl/>
        </w:rPr>
        <w:t xml:space="preserve"> </w:t>
      </w:r>
      <w:r w:rsidRPr="00F936FC">
        <w:rPr>
          <w:rFonts w:asciiTheme="minorBidi" w:hAnsiTheme="minorBidi" w:cs="Arial" w:hint="cs"/>
          <w:rtl/>
        </w:rPr>
        <w:t>חמור</w:t>
      </w:r>
      <w:r w:rsidRPr="00F936FC">
        <w:rPr>
          <w:rFonts w:asciiTheme="minorBidi" w:hAnsiTheme="minorBidi" w:cs="Arial"/>
          <w:rtl/>
        </w:rPr>
        <w:t xml:space="preserve"> </w:t>
      </w:r>
      <w:r w:rsidRPr="00F936FC">
        <w:rPr>
          <w:rFonts w:asciiTheme="minorBidi" w:hAnsiTheme="minorBidi" w:cs="Arial" w:hint="cs"/>
          <w:rtl/>
        </w:rPr>
        <w:t>מפני</w:t>
      </w:r>
      <w:r w:rsidRPr="00F936FC">
        <w:rPr>
          <w:rFonts w:asciiTheme="minorBidi" w:hAnsiTheme="minorBidi" w:cs="Arial"/>
          <w:rtl/>
        </w:rPr>
        <w:t xml:space="preserve"> </w:t>
      </w:r>
      <w:r w:rsidRPr="00F936FC">
        <w:rPr>
          <w:rFonts w:asciiTheme="minorBidi" w:hAnsiTheme="minorBidi" w:cs="Arial" w:hint="cs"/>
          <w:rtl/>
        </w:rPr>
        <w:t>שנמאס</w:t>
      </w:r>
      <w:r w:rsidRPr="00F936FC">
        <w:rPr>
          <w:rFonts w:asciiTheme="minorBidi" w:hAnsiTheme="minorBidi" w:cs="Arial"/>
          <w:rtl/>
        </w:rPr>
        <w:t xml:space="preserve"> </w:t>
      </w:r>
      <w:r w:rsidRPr="00F936FC">
        <w:rPr>
          <w:rFonts w:asciiTheme="minorBidi" w:hAnsiTheme="minorBidi" w:cs="Arial" w:hint="cs"/>
          <w:rtl/>
        </w:rPr>
        <w:t>ברירי</w:t>
      </w:r>
      <w:r w:rsidRPr="00F936FC">
        <w:rPr>
          <w:rFonts w:asciiTheme="minorBidi" w:hAnsiTheme="minorBidi" w:cs="Arial"/>
          <w:rtl/>
        </w:rPr>
        <w:t xml:space="preserve"> </w:t>
      </w:r>
      <w:r w:rsidRPr="00F936FC">
        <w:rPr>
          <w:rFonts w:asciiTheme="minorBidi" w:hAnsiTheme="minorBidi" w:cs="Arial" w:hint="cs"/>
          <w:rtl/>
        </w:rPr>
        <w:t>השור</w:t>
      </w:r>
      <w:r w:rsidRPr="00F936FC">
        <w:rPr>
          <w:rFonts w:asciiTheme="minorBidi" w:hAnsiTheme="minorBidi" w:cs="Arial"/>
          <w:rtl/>
        </w:rPr>
        <w:t xml:space="preserve"> </w:t>
      </w:r>
      <w:r w:rsidRPr="00F936FC">
        <w:rPr>
          <w:rFonts w:asciiTheme="minorBidi" w:hAnsiTheme="minorBidi" w:cs="Arial" w:hint="cs"/>
          <w:rtl/>
        </w:rPr>
        <w:t>ואינו</w:t>
      </w:r>
      <w:r w:rsidRPr="00F936FC">
        <w:rPr>
          <w:rFonts w:asciiTheme="minorBidi" w:hAnsiTheme="minorBidi" w:cs="Arial"/>
          <w:rtl/>
        </w:rPr>
        <w:t xml:space="preserve"> </w:t>
      </w:r>
      <w:r w:rsidRPr="00F936FC">
        <w:rPr>
          <w:rFonts w:asciiTheme="minorBidi" w:hAnsiTheme="minorBidi" w:cs="Arial" w:hint="cs"/>
          <w:rtl/>
        </w:rPr>
        <w:t>ראוי</w:t>
      </w:r>
      <w:r w:rsidRPr="00F936FC">
        <w:rPr>
          <w:rFonts w:asciiTheme="minorBidi" w:hAnsiTheme="minorBidi" w:cs="Arial"/>
          <w:rtl/>
        </w:rPr>
        <w:t xml:space="preserve"> </w:t>
      </w:r>
      <w:r w:rsidRPr="00F936FC">
        <w:rPr>
          <w:rFonts w:asciiTheme="minorBidi" w:hAnsiTheme="minorBidi" w:cs="Arial" w:hint="cs"/>
          <w:rtl/>
        </w:rPr>
        <w:t>עוד</w:t>
      </w:r>
      <w:r w:rsidRPr="00F936FC">
        <w:rPr>
          <w:rFonts w:asciiTheme="minorBidi" w:hAnsiTheme="minorBidi" w:cs="Arial"/>
          <w:rtl/>
        </w:rPr>
        <w:t xml:space="preserve"> </w:t>
      </w:r>
      <w:r w:rsidRPr="00F936FC">
        <w:rPr>
          <w:rFonts w:asciiTheme="minorBidi" w:hAnsiTheme="minorBidi" w:cs="Arial" w:hint="cs"/>
          <w:rtl/>
        </w:rPr>
        <w:t>לחמור</w:t>
      </w:r>
      <w:r w:rsidRPr="00F936FC">
        <w:rPr>
          <w:rFonts w:asciiTheme="minorBidi" w:hAnsiTheme="minorBidi" w:cs="Arial"/>
          <w:rtl/>
        </w:rPr>
        <w:t xml:space="preserve">. </w:t>
      </w:r>
      <w:r w:rsidRPr="00F936FC">
        <w:rPr>
          <w:rFonts w:asciiTheme="minorBidi" w:hAnsiTheme="minorBidi" w:cs="Arial" w:hint="cs"/>
          <w:rtl/>
        </w:rPr>
        <w:t>הגה</w:t>
      </w:r>
      <w:r w:rsidRPr="00F936FC">
        <w:rPr>
          <w:rFonts w:asciiTheme="minorBidi" w:hAnsiTheme="minorBidi" w:cs="Arial"/>
          <w:rtl/>
        </w:rPr>
        <w:t xml:space="preserve">: </w:t>
      </w:r>
      <w:r w:rsidRPr="00F936FC">
        <w:rPr>
          <w:rFonts w:asciiTheme="minorBidi" w:hAnsiTheme="minorBidi" w:cs="Arial" w:hint="cs"/>
          <w:rtl/>
        </w:rPr>
        <w:t>ויש</w:t>
      </w:r>
      <w:r w:rsidRPr="00F936FC">
        <w:rPr>
          <w:rFonts w:asciiTheme="minorBidi" w:hAnsiTheme="minorBidi" w:cs="Arial"/>
          <w:rtl/>
        </w:rPr>
        <w:t xml:space="preserve"> </w:t>
      </w:r>
      <w:r w:rsidRPr="00F936FC">
        <w:rPr>
          <w:rFonts w:asciiTheme="minorBidi" w:hAnsiTheme="minorBidi" w:cs="Arial" w:hint="cs"/>
          <w:rtl/>
        </w:rPr>
        <w:t>מחמירין</w:t>
      </w:r>
      <w:r w:rsidRPr="00F936FC">
        <w:rPr>
          <w:rFonts w:asciiTheme="minorBidi" w:hAnsiTheme="minorBidi" w:cs="Arial"/>
          <w:rtl/>
        </w:rPr>
        <w:t xml:space="preserve"> </w:t>
      </w:r>
      <w:r w:rsidRPr="00F936FC">
        <w:rPr>
          <w:rFonts w:asciiTheme="minorBidi" w:hAnsiTheme="minorBidi" w:cs="Arial" w:hint="cs"/>
          <w:rtl/>
        </w:rPr>
        <w:t>ג</w:t>
      </w:r>
      <w:r w:rsidRPr="00F936FC">
        <w:rPr>
          <w:rFonts w:asciiTheme="minorBidi" w:hAnsiTheme="minorBidi" w:cs="Arial"/>
          <w:rtl/>
        </w:rPr>
        <w:t>"</w:t>
      </w:r>
      <w:r w:rsidRPr="00F936FC">
        <w:rPr>
          <w:rFonts w:asciiTheme="minorBidi" w:hAnsiTheme="minorBidi" w:cs="Arial" w:hint="cs"/>
          <w:rtl/>
        </w:rPr>
        <w:t>כ</w:t>
      </w:r>
      <w:r w:rsidRPr="00F936FC">
        <w:rPr>
          <w:rFonts w:asciiTheme="minorBidi" w:hAnsiTheme="minorBidi" w:cs="Arial"/>
          <w:rtl/>
        </w:rPr>
        <w:t xml:space="preserve"> </w:t>
      </w:r>
      <w:r w:rsidRPr="00F936FC">
        <w:rPr>
          <w:rFonts w:asciiTheme="minorBidi" w:hAnsiTheme="minorBidi" w:cs="Arial" w:hint="cs"/>
          <w:rtl/>
        </w:rPr>
        <w:t>בשאר</w:t>
      </w:r>
      <w:r w:rsidRPr="00F936FC">
        <w:rPr>
          <w:rFonts w:asciiTheme="minorBidi" w:hAnsiTheme="minorBidi" w:cs="Arial"/>
          <w:rtl/>
        </w:rPr>
        <w:t xml:space="preserve"> </w:t>
      </w:r>
      <w:r w:rsidRPr="00F936FC">
        <w:rPr>
          <w:rFonts w:asciiTheme="minorBidi" w:hAnsiTheme="minorBidi" w:cs="Arial" w:hint="cs"/>
          <w:rtl/>
        </w:rPr>
        <w:t>מיני</w:t>
      </w:r>
      <w:r w:rsidRPr="00F936FC">
        <w:rPr>
          <w:rFonts w:asciiTheme="minorBidi" w:hAnsiTheme="minorBidi" w:cs="Arial"/>
          <w:rtl/>
        </w:rPr>
        <w:t xml:space="preserve"> </w:t>
      </w:r>
      <w:r w:rsidRPr="00F936FC">
        <w:rPr>
          <w:rFonts w:asciiTheme="minorBidi" w:hAnsiTheme="minorBidi" w:cs="Arial" w:hint="cs"/>
          <w:rtl/>
        </w:rPr>
        <w:t>בהמות</w:t>
      </w:r>
      <w:r w:rsidRPr="00F936FC">
        <w:rPr>
          <w:rFonts w:asciiTheme="minorBidi" w:hAnsiTheme="minorBidi" w:cs="Arial"/>
          <w:rtl/>
        </w:rPr>
        <w:t xml:space="preserve"> </w:t>
      </w:r>
      <w:r w:rsidRPr="00F936FC">
        <w:rPr>
          <w:rFonts w:asciiTheme="minorBidi" w:hAnsiTheme="minorBidi" w:cs="Arial" w:hint="cs"/>
          <w:rtl/>
        </w:rPr>
        <w:t>ליקח</w:t>
      </w:r>
      <w:r w:rsidRPr="00F936FC">
        <w:rPr>
          <w:rFonts w:asciiTheme="minorBidi" w:hAnsiTheme="minorBidi" w:cs="Arial"/>
          <w:rtl/>
        </w:rPr>
        <w:t xml:space="preserve"> </w:t>
      </w:r>
      <w:r w:rsidRPr="00F936FC">
        <w:rPr>
          <w:rFonts w:asciiTheme="minorBidi" w:hAnsiTheme="minorBidi" w:cs="Arial" w:hint="cs"/>
          <w:rtl/>
        </w:rPr>
        <w:t>מלפני</w:t>
      </w:r>
      <w:r w:rsidRPr="00F936FC">
        <w:rPr>
          <w:rFonts w:asciiTheme="minorBidi" w:hAnsiTheme="minorBidi" w:cs="Arial"/>
          <w:rtl/>
        </w:rPr>
        <w:t xml:space="preserve"> </w:t>
      </w:r>
      <w:r w:rsidRPr="00F936FC">
        <w:rPr>
          <w:rFonts w:asciiTheme="minorBidi" w:hAnsiTheme="minorBidi" w:cs="Arial" w:hint="cs"/>
          <w:rtl/>
        </w:rPr>
        <w:t>א</w:t>
      </w:r>
      <w:r w:rsidRPr="00F936FC">
        <w:rPr>
          <w:rFonts w:asciiTheme="minorBidi" w:hAnsiTheme="minorBidi" w:cs="Arial"/>
          <w:rtl/>
        </w:rPr>
        <w:t xml:space="preserve">' </w:t>
      </w:r>
      <w:r w:rsidRPr="00F936FC">
        <w:rPr>
          <w:rFonts w:asciiTheme="minorBidi" w:hAnsiTheme="minorBidi" w:cs="Arial" w:hint="cs"/>
          <w:rtl/>
        </w:rPr>
        <w:t>וליתן</w:t>
      </w:r>
      <w:r w:rsidRPr="00F936FC">
        <w:rPr>
          <w:rFonts w:asciiTheme="minorBidi" w:hAnsiTheme="minorBidi" w:cs="Arial"/>
          <w:rtl/>
        </w:rPr>
        <w:t xml:space="preserve"> </w:t>
      </w:r>
      <w:r w:rsidRPr="00F936FC">
        <w:rPr>
          <w:rFonts w:asciiTheme="minorBidi" w:hAnsiTheme="minorBidi" w:cs="Arial" w:hint="cs"/>
          <w:rtl/>
        </w:rPr>
        <w:t>לפני</w:t>
      </w:r>
      <w:r w:rsidRPr="00F936FC">
        <w:rPr>
          <w:rFonts w:asciiTheme="minorBidi" w:hAnsiTheme="minorBidi" w:cs="Arial"/>
          <w:rtl/>
        </w:rPr>
        <w:t xml:space="preserve"> </w:t>
      </w:r>
      <w:r w:rsidRPr="00F936FC">
        <w:rPr>
          <w:rFonts w:asciiTheme="minorBidi" w:hAnsiTheme="minorBidi" w:cs="Arial" w:hint="cs"/>
          <w:rtl/>
        </w:rPr>
        <w:t>אחרת</w:t>
      </w:r>
      <w:r w:rsidRPr="00F936FC">
        <w:rPr>
          <w:rFonts w:asciiTheme="minorBidi" w:hAnsiTheme="minorBidi" w:cs="Arial"/>
          <w:rtl/>
        </w:rPr>
        <w:t xml:space="preserve"> </w:t>
      </w:r>
      <w:r w:rsidRPr="00F936FC">
        <w:rPr>
          <w:rFonts w:asciiTheme="minorBidi" w:hAnsiTheme="minorBidi" w:cs="Arial" w:hint="cs"/>
          <w:rtl/>
        </w:rPr>
        <w:t>שאינה</w:t>
      </w:r>
      <w:r w:rsidRPr="00F936FC">
        <w:rPr>
          <w:rFonts w:asciiTheme="minorBidi" w:hAnsiTheme="minorBidi" w:cs="Arial"/>
          <w:rtl/>
        </w:rPr>
        <w:t xml:space="preserve"> </w:t>
      </w:r>
      <w:r w:rsidRPr="00F936FC">
        <w:rPr>
          <w:rFonts w:asciiTheme="minorBidi" w:hAnsiTheme="minorBidi" w:cs="Arial" w:hint="cs"/>
          <w:rtl/>
        </w:rPr>
        <w:t>מינה</w:t>
      </w:r>
      <w:r w:rsidRPr="00F936FC">
        <w:rPr>
          <w:rFonts w:asciiTheme="minorBidi" w:hAnsiTheme="minorBidi" w:cs="Arial"/>
          <w:rtl/>
        </w:rPr>
        <w:t xml:space="preserve"> (</w:t>
      </w:r>
      <w:r w:rsidRPr="00F936FC">
        <w:rPr>
          <w:rFonts w:asciiTheme="minorBidi" w:hAnsiTheme="minorBidi" w:cs="Arial" w:hint="cs"/>
          <w:rtl/>
        </w:rPr>
        <w:t>מרדכי</w:t>
      </w:r>
      <w:r w:rsidRPr="00F936FC">
        <w:rPr>
          <w:rFonts w:asciiTheme="minorBidi" w:hAnsiTheme="minorBidi" w:cs="Arial"/>
          <w:rtl/>
        </w:rPr>
        <w:t xml:space="preserve"> </w:t>
      </w:r>
      <w:r w:rsidRPr="00F936FC">
        <w:rPr>
          <w:rFonts w:asciiTheme="minorBidi" w:hAnsiTheme="minorBidi" w:cs="Arial" w:hint="cs"/>
          <w:rtl/>
        </w:rPr>
        <w:t>פ</w:t>
      </w:r>
      <w:r w:rsidRPr="00F936FC">
        <w:rPr>
          <w:rFonts w:asciiTheme="minorBidi" w:hAnsiTheme="minorBidi" w:cs="Arial"/>
          <w:rtl/>
        </w:rPr>
        <w:t xml:space="preserve">' </w:t>
      </w:r>
      <w:r w:rsidRPr="00F936FC">
        <w:rPr>
          <w:rFonts w:asciiTheme="minorBidi" w:hAnsiTheme="minorBidi" w:cs="Arial" w:hint="cs"/>
          <w:rtl/>
        </w:rPr>
        <w:t>תולין</w:t>
      </w:r>
      <w:r w:rsidRPr="00F936FC">
        <w:rPr>
          <w:rFonts w:asciiTheme="minorBidi" w:hAnsiTheme="minorBidi" w:cs="Arial"/>
          <w:rtl/>
        </w:rPr>
        <w:t xml:space="preserve"> </w:t>
      </w:r>
      <w:r w:rsidRPr="00F936FC">
        <w:rPr>
          <w:rFonts w:asciiTheme="minorBidi" w:hAnsiTheme="minorBidi" w:cs="Arial" w:hint="cs"/>
          <w:rtl/>
        </w:rPr>
        <w:t>וסמ</w:t>
      </w:r>
      <w:r w:rsidRPr="00F936FC">
        <w:rPr>
          <w:rFonts w:asciiTheme="minorBidi" w:hAnsiTheme="minorBidi" w:cs="Arial"/>
          <w:rtl/>
        </w:rPr>
        <w:t>"</w:t>
      </w:r>
      <w:r w:rsidRPr="00F936FC">
        <w:rPr>
          <w:rFonts w:asciiTheme="minorBidi" w:hAnsiTheme="minorBidi" w:cs="Arial" w:hint="cs"/>
          <w:rtl/>
        </w:rPr>
        <w:t>ג</w:t>
      </w:r>
      <w:r w:rsidRPr="00F936FC">
        <w:rPr>
          <w:rFonts w:asciiTheme="minorBidi" w:hAnsiTheme="minorBidi" w:cs="Arial"/>
          <w:rtl/>
        </w:rPr>
        <w:t xml:space="preserve"> </w:t>
      </w:r>
      <w:r w:rsidRPr="00F936FC">
        <w:rPr>
          <w:rFonts w:asciiTheme="minorBidi" w:hAnsiTheme="minorBidi" w:cs="Arial" w:hint="cs"/>
          <w:rtl/>
        </w:rPr>
        <w:t>וסה</w:t>
      </w:r>
      <w:r w:rsidRPr="00F936FC">
        <w:rPr>
          <w:rFonts w:asciiTheme="minorBidi" w:hAnsiTheme="minorBidi" w:cs="Arial"/>
          <w:rtl/>
        </w:rPr>
        <w:t>"</w:t>
      </w:r>
      <w:r w:rsidRPr="00F936FC">
        <w:rPr>
          <w:rFonts w:asciiTheme="minorBidi" w:hAnsiTheme="minorBidi" w:cs="Arial" w:hint="cs"/>
          <w:rtl/>
        </w:rPr>
        <w:t>ת</w:t>
      </w:r>
      <w:r w:rsidRPr="00F936FC">
        <w:rPr>
          <w:rFonts w:asciiTheme="minorBidi" w:hAnsiTheme="minorBidi" w:cs="Arial"/>
          <w:rtl/>
        </w:rPr>
        <w:t xml:space="preserve">). </w:t>
      </w:r>
    </w:p>
    <w:p w14:paraId="4FBC4357" w14:textId="77777777" w:rsidR="006A4BF8" w:rsidRPr="00F936FC" w:rsidRDefault="006A4BF8" w:rsidP="00434A6A">
      <w:pPr>
        <w:pStyle w:val="2"/>
        <w:rPr>
          <w:rtl/>
        </w:rPr>
      </w:pPr>
      <w:r w:rsidRPr="00F936FC">
        <w:rPr>
          <w:rFonts w:hint="cs"/>
          <w:rtl/>
        </w:rPr>
        <w:t>סעיף</w:t>
      </w:r>
      <w:r w:rsidRPr="00F936FC">
        <w:rPr>
          <w:rtl/>
        </w:rPr>
        <w:t xml:space="preserve"> </w:t>
      </w:r>
      <w:r w:rsidRPr="00F936FC">
        <w:rPr>
          <w:rFonts w:hint="cs"/>
          <w:rtl/>
        </w:rPr>
        <w:t>טו</w:t>
      </w:r>
    </w:p>
    <w:p w14:paraId="04704B28" w14:textId="77777777" w:rsidR="006A4BF8" w:rsidRDefault="006A4BF8" w:rsidP="00434A6A">
      <w:pPr>
        <w:rPr>
          <w:rFonts w:asciiTheme="minorBidi" w:hAnsiTheme="minorBidi"/>
          <w:rtl/>
        </w:rPr>
      </w:pPr>
      <w:r w:rsidRPr="00F936FC">
        <w:rPr>
          <w:rFonts w:asciiTheme="minorBidi" w:hAnsiTheme="minorBidi" w:cs="Arial" w:hint="cs"/>
          <w:rtl/>
        </w:rPr>
        <w:t>אסור</w:t>
      </w:r>
      <w:r w:rsidRPr="00F936FC">
        <w:rPr>
          <w:rFonts w:asciiTheme="minorBidi" w:hAnsiTheme="minorBidi" w:cs="Arial"/>
          <w:rtl/>
        </w:rPr>
        <w:t xml:space="preserve"> </w:t>
      </w:r>
      <w:r w:rsidRPr="00F936FC">
        <w:rPr>
          <w:rFonts w:asciiTheme="minorBidi" w:hAnsiTheme="minorBidi" w:cs="Arial" w:hint="cs"/>
          <w:rtl/>
        </w:rPr>
        <w:t>לגרוף</w:t>
      </w:r>
      <w:r w:rsidRPr="00F936FC">
        <w:rPr>
          <w:rFonts w:asciiTheme="minorBidi" w:hAnsiTheme="minorBidi" w:cs="Arial"/>
          <w:rtl/>
        </w:rPr>
        <w:t xml:space="preserve"> </w:t>
      </w:r>
      <w:r w:rsidRPr="00F936FC">
        <w:rPr>
          <w:rFonts w:asciiTheme="minorBidi" w:hAnsiTheme="minorBidi" w:cs="Arial" w:hint="cs"/>
          <w:rtl/>
        </w:rPr>
        <w:t>האבוס</w:t>
      </w:r>
      <w:r w:rsidRPr="00F936FC">
        <w:rPr>
          <w:rFonts w:asciiTheme="minorBidi" w:hAnsiTheme="minorBidi" w:cs="Arial"/>
          <w:rtl/>
        </w:rPr>
        <w:t xml:space="preserve"> </w:t>
      </w:r>
      <w:r w:rsidRPr="00F936FC">
        <w:rPr>
          <w:rFonts w:asciiTheme="minorBidi" w:hAnsiTheme="minorBidi" w:cs="Arial" w:hint="cs"/>
          <w:rtl/>
        </w:rPr>
        <w:t>לפני</w:t>
      </w:r>
      <w:r w:rsidRPr="00F936FC">
        <w:rPr>
          <w:rFonts w:asciiTheme="minorBidi" w:hAnsiTheme="minorBidi" w:cs="Arial"/>
          <w:rtl/>
        </w:rPr>
        <w:t xml:space="preserve"> </w:t>
      </w:r>
      <w:r w:rsidRPr="00F936FC">
        <w:rPr>
          <w:rFonts w:asciiTheme="minorBidi" w:hAnsiTheme="minorBidi" w:cs="Arial" w:hint="cs"/>
          <w:rtl/>
        </w:rPr>
        <w:t>שור</w:t>
      </w:r>
      <w:r w:rsidRPr="00F936FC">
        <w:rPr>
          <w:rFonts w:asciiTheme="minorBidi" w:hAnsiTheme="minorBidi" w:cs="Arial"/>
          <w:rtl/>
        </w:rPr>
        <w:t xml:space="preserve"> </w:t>
      </w:r>
      <w:r w:rsidRPr="00F936FC">
        <w:rPr>
          <w:rFonts w:asciiTheme="minorBidi" w:hAnsiTheme="minorBidi" w:cs="Arial" w:hint="cs"/>
          <w:rtl/>
        </w:rPr>
        <w:t>של</w:t>
      </w:r>
      <w:r w:rsidRPr="00F936FC">
        <w:rPr>
          <w:rFonts w:asciiTheme="minorBidi" w:hAnsiTheme="minorBidi" w:cs="Arial"/>
          <w:rtl/>
        </w:rPr>
        <w:t xml:space="preserve"> </w:t>
      </w:r>
      <w:r w:rsidRPr="00F936FC">
        <w:rPr>
          <w:rFonts w:asciiTheme="minorBidi" w:hAnsiTheme="minorBidi" w:cs="Arial" w:hint="cs"/>
          <w:rtl/>
        </w:rPr>
        <w:t>פטם</w:t>
      </w:r>
      <w:r w:rsidRPr="00F936FC">
        <w:rPr>
          <w:rFonts w:asciiTheme="minorBidi" w:hAnsiTheme="minorBidi" w:cs="Arial"/>
          <w:rtl/>
        </w:rPr>
        <w:t xml:space="preserve">, </w:t>
      </w:r>
      <w:r w:rsidRPr="00F936FC">
        <w:rPr>
          <w:rFonts w:asciiTheme="minorBidi" w:hAnsiTheme="minorBidi" w:cs="Arial" w:hint="cs"/>
          <w:rtl/>
        </w:rPr>
        <w:t>אפי</w:t>
      </w:r>
      <w:r w:rsidRPr="00F936FC">
        <w:rPr>
          <w:rFonts w:asciiTheme="minorBidi" w:hAnsiTheme="minorBidi" w:cs="Arial"/>
          <w:rtl/>
        </w:rPr>
        <w:t xml:space="preserve">' </w:t>
      </w:r>
      <w:r w:rsidRPr="00F936FC">
        <w:rPr>
          <w:rFonts w:asciiTheme="minorBidi" w:hAnsiTheme="minorBidi" w:cs="Arial" w:hint="cs"/>
          <w:rtl/>
        </w:rPr>
        <w:t>אבוס</w:t>
      </w:r>
      <w:r w:rsidRPr="00F936FC">
        <w:rPr>
          <w:rFonts w:asciiTheme="minorBidi" w:hAnsiTheme="minorBidi" w:cs="Arial"/>
          <w:rtl/>
        </w:rPr>
        <w:t xml:space="preserve"> </w:t>
      </w:r>
      <w:r w:rsidRPr="00F936FC">
        <w:rPr>
          <w:rFonts w:asciiTheme="minorBidi" w:hAnsiTheme="minorBidi" w:cs="Arial" w:hint="cs"/>
          <w:rtl/>
        </w:rPr>
        <w:t>של</w:t>
      </w:r>
      <w:r w:rsidRPr="00F936FC">
        <w:rPr>
          <w:rFonts w:asciiTheme="minorBidi" w:hAnsiTheme="minorBidi" w:cs="Arial"/>
          <w:rtl/>
        </w:rPr>
        <w:t xml:space="preserve"> </w:t>
      </w:r>
      <w:r w:rsidRPr="00F936FC">
        <w:rPr>
          <w:rFonts w:asciiTheme="minorBidi" w:hAnsiTheme="minorBidi" w:cs="Arial" w:hint="cs"/>
          <w:rtl/>
        </w:rPr>
        <w:t>כלי</w:t>
      </w:r>
      <w:r w:rsidRPr="00F936FC">
        <w:rPr>
          <w:rFonts w:asciiTheme="minorBidi" w:hAnsiTheme="minorBidi" w:cs="Arial"/>
          <w:rtl/>
        </w:rPr>
        <w:t xml:space="preserve">, </w:t>
      </w:r>
      <w:r w:rsidRPr="00F936FC">
        <w:rPr>
          <w:rFonts w:asciiTheme="minorBidi" w:hAnsiTheme="minorBidi" w:cs="Arial" w:hint="cs"/>
          <w:rtl/>
        </w:rPr>
        <w:t>גזירה</w:t>
      </w:r>
      <w:r w:rsidRPr="00F936FC">
        <w:rPr>
          <w:rFonts w:asciiTheme="minorBidi" w:hAnsiTheme="minorBidi" w:cs="Arial"/>
          <w:rtl/>
        </w:rPr>
        <w:t xml:space="preserve"> </w:t>
      </w:r>
      <w:r w:rsidRPr="00F936FC">
        <w:rPr>
          <w:rFonts w:asciiTheme="minorBidi" w:hAnsiTheme="minorBidi" w:cs="Arial" w:hint="cs"/>
          <w:rtl/>
        </w:rPr>
        <w:t>אטו</w:t>
      </w:r>
      <w:r w:rsidRPr="00F936FC">
        <w:rPr>
          <w:rFonts w:asciiTheme="minorBidi" w:hAnsiTheme="minorBidi" w:cs="Arial"/>
          <w:rtl/>
        </w:rPr>
        <w:t xml:space="preserve"> </w:t>
      </w:r>
      <w:r w:rsidRPr="00F936FC">
        <w:rPr>
          <w:rFonts w:asciiTheme="minorBidi" w:hAnsiTheme="minorBidi" w:cs="Arial" w:hint="cs"/>
          <w:rtl/>
        </w:rPr>
        <w:t>של</w:t>
      </w:r>
      <w:r w:rsidRPr="00F936FC">
        <w:rPr>
          <w:rFonts w:asciiTheme="minorBidi" w:hAnsiTheme="minorBidi" w:cs="Arial"/>
          <w:rtl/>
        </w:rPr>
        <w:t xml:space="preserve"> </w:t>
      </w:r>
      <w:r w:rsidRPr="00F936FC">
        <w:rPr>
          <w:rFonts w:asciiTheme="minorBidi" w:hAnsiTheme="minorBidi" w:cs="Arial" w:hint="cs"/>
          <w:rtl/>
        </w:rPr>
        <w:t>קרקע</w:t>
      </w:r>
      <w:r w:rsidRPr="00F936FC">
        <w:rPr>
          <w:rFonts w:asciiTheme="minorBidi" w:hAnsiTheme="minorBidi" w:cs="Arial"/>
          <w:rtl/>
        </w:rPr>
        <w:t xml:space="preserve"> </w:t>
      </w:r>
      <w:r w:rsidRPr="00F936FC">
        <w:rPr>
          <w:rFonts w:asciiTheme="minorBidi" w:hAnsiTheme="minorBidi" w:cs="Arial" w:hint="cs"/>
          <w:rtl/>
        </w:rPr>
        <w:t>דאתי</w:t>
      </w:r>
      <w:r w:rsidRPr="00F936FC">
        <w:rPr>
          <w:rFonts w:asciiTheme="minorBidi" w:hAnsiTheme="minorBidi" w:cs="Arial"/>
          <w:rtl/>
        </w:rPr>
        <w:t xml:space="preserve"> </w:t>
      </w:r>
      <w:r w:rsidRPr="00F936FC">
        <w:rPr>
          <w:rFonts w:asciiTheme="minorBidi" w:hAnsiTheme="minorBidi" w:cs="Arial" w:hint="cs"/>
          <w:rtl/>
        </w:rPr>
        <w:t>לאשווי</w:t>
      </w:r>
      <w:r w:rsidRPr="00F936FC">
        <w:rPr>
          <w:rFonts w:asciiTheme="minorBidi" w:hAnsiTheme="minorBidi" w:cs="Arial"/>
          <w:rtl/>
        </w:rPr>
        <w:t xml:space="preserve"> </w:t>
      </w:r>
      <w:r w:rsidRPr="00F936FC">
        <w:rPr>
          <w:rFonts w:asciiTheme="minorBidi" w:hAnsiTheme="minorBidi" w:cs="Arial" w:hint="cs"/>
          <w:rtl/>
        </w:rPr>
        <w:t>גומות</w:t>
      </w:r>
      <w:r w:rsidRPr="00F936FC">
        <w:rPr>
          <w:rFonts w:asciiTheme="minorBidi" w:hAnsiTheme="minorBidi" w:cs="Arial"/>
          <w:rtl/>
        </w:rPr>
        <w:t xml:space="preserve">; </w:t>
      </w:r>
      <w:r w:rsidRPr="00F936FC">
        <w:rPr>
          <w:rFonts w:asciiTheme="minorBidi" w:hAnsiTheme="minorBidi" w:cs="Arial" w:hint="cs"/>
          <w:rtl/>
        </w:rPr>
        <w:t>ואסור</w:t>
      </w:r>
      <w:r w:rsidRPr="00F936FC">
        <w:rPr>
          <w:rFonts w:asciiTheme="minorBidi" w:hAnsiTheme="minorBidi" w:cs="Arial"/>
          <w:rtl/>
        </w:rPr>
        <w:t xml:space="preserve"> </w:t>
      </w:r>
      <w:r w:rsidRPr="00F936FC">
        <w:rPr>
          <w:rFonts w:asciiTheme="minorBidi" w:hAnsiTheme="minorBidi" w:cs="Arial" w:hint="cs"/>
          <w:rtl/>
        </w:rPr>
        <w:t>גם</w:t>
      </w:r>
      <w:r w:rsidRPr="00F936FC">
        <w:rPr>
          <w:rFonts w:asciiTheme="minorBidi" w:hAnsiTheme="minorBidi" w:cs="Arial"/>
          <w:rtl/>
        </w:rPr>
        <w:t xml:space="preserve"> </w:t>
      </w:r>
      <w:r w:rsidRPr="00F936FC">
        <w:rPr>
          <w:rFonts w:asciiTheme="minorBidi" w:hAnsiTheme="minorBidi" w:cs="Arial" w:hint="cs"/>
          <w:rtl/>
        </w:rPr>
        <w:t>כן</w:t>
      </w:r>
      <w:r w:rsidRPr="00F936FC">
        <w:rPr>
          <w:rFonts w:asciiTheme="minorBidi" w:hAnsiTheme="minorBidi" w:cs="Arial"/>
          <w:rtl/>
        </w:rPr>
        <w:t xml:space="preserve"> </w:t>
      </w:r>
      <w:r w:rsidRPr="00F936FC">
        <w:rPr>
          <w:rFonts w:asciiTheme="minorBidi" w:hAnsiTheme="minorBidi" w:cs="Arial" w:hint="cs"/>
          <w:rtl/>
        </w:rPr>
        <w:t>לסלק</w:t>
      </w:r>
      <w:r w:rsidRPr="00F936FC">
        <w:rPr>
          <w:rFonts w:asciiTheme="minorBidi" w:hAnsiTheme="minorBidi" w:cs="Arial"/>
          <w:rtl/>
        </w:rPr>
        <w:t xml:space="preserve"> </w:t>
      </w:r>
      <w:r w:rsidRPr="00F936FC">
        <w:rPr>
          <w:rFonts w:asciiTheme="minorBidi" w:hAnsiTheme="minorBidi" w:cs="Arial" w:hint="cs"/>
          <w:rtl/>
        </w:rPr>
        <w:t>התבן</w:t>
      </w:r>
      <w:r w:rsidRPr="00F936FC">
        <w:rPr>
          <w:rFonts w:asciiTheme="minorBidi" w:hAnsiTheme="minorBidi" w:cs="Arial"/>
          <w:rtl/>
        </w:rPr>
        <w:t xml:space="preserve"> </w:t>
      </w:r>
      <w:r w:rsidRPr="00F936FC">
        <w:rPr>
          <w:rFonts w:asciiTheme="minorBidi" w:hAnsiTheme="minorBidi" w:cs="Arial" w:hint="cs"/>
          <w:rtl/>
        </w:rPr>
        <w:t>מלפניו</w:t>
      </w:r>
      <w:r w:rsidRPr="00F936FC">
        <w:rPr>
          <w:rFonts w:asciiTheme="minorBidi" w:hAnsiTheme="minorBidi" w:cs="Arial"/>
          <w:rtl/>
        </w:rPr>
        <w:t xml:space="preserve"> </w:t>
      </w:r>
      <w:r w:rsidRPr="00F936FC">
        <w:rPr>
          <w:rFonts w:asciiTheme="minorBidi" w:hAnsiTheme="minorBidi" w:cs="Arial" w:hint="cs"/>
          <w:rtl/>
        </w:rPr>
        <w:t>לצדדין</w:t>
      </w:r>
      <w:r w:rsidRPr="00F936FC">
        <w:rPr>
          <w:rFonts w:asciiTheme="minorBidi" w:hAnsiTheme="minorBidi" w:cs="Arial"/>
          <w:rtl/>
        </w:rPr>
        <w:t>.</w:t>
      </w:r>
    </w:p>
    <w:p w14:paraId="62FFFC3F" w14:textId="77777777" w:rsidR="006A4BF8" w:rsidRDefault="006A4BF8" w:rsidP="00434A6A">
      <w:pPr>
        <w:rPr>
          <w:rFonts w:asciiTheme="minorBidi" w:hAnsiTheme="minorBidi"/>
          <w:rtl/>
        </w:rPr>
      </w:pPr>
    </w:p>
    <w:p w14:paraId="117CD801" w14:textId="77777777" w:rsidR="006A4BF8" w:rsidRDefault="006A4BF8" w:rsidP="00434A6A">
      <w:pPr>
        <w:rPr>
          <w:rFonts w:asciiTheme="minorBidi" w:hAnsiTheme="minorBidi"/>
          <w:rtl/>
        </w:rPr>
      </w:pPr>
    </w:p>
    <w:p w14:paraId="7D774D0A" w14:textId="77777777" w:rsidR="006A4BF8" w:rsidRPr="005275DF" w:rsidRDefault="006A4BF8" w:rsidP="00434A6A">
      <w:pPr>
        <w:rPr>
          <w:rFonts w:asciiTheme="minorBidi" w:hAnsiTheme="minorBidi"/>
          <w:rtl/>
        </w:rPr>
      </w:pPr>
    </w:p>
    <w:p w14:paraId="64D37F0D" w14:textId="77777777" w:rsidR="006A4BF8" w:rsidRPr="005275DF" w:rsidRDefault="006A4BF8" w:rsidP="00434A6A">
      <w:pPr>
        <w:rPr>
          <w:rFonts w:asciiTheme="minorBidi" w:hAnsiTheme="minorBidi"/>
          <w:rtl/>
        </w:rPr>
      </w:pPr>
    </w:p>
    <w:p w14:paraId="20BE10D5" w14:textId="77777777" w:rsidR="006A4BF8" w:rsidRPr="005275DF" w:rsidRDefault="006A4BF8" w:rsidP="00434A6A">
      <w:pPr>
        <w:rPr>
          <w:rFonts w:asciiTheme="minorBidi" w:hAnsiTheme="minorBidi"/>
          <w:rtl/>
        </w:rPr>
      </w:pPr>
    </w:p>
    <w:p w14:paraId="36987F91" w14:textId="77777777" w:rsidR="006A4BF8" w:rsidRPr="005275DF" w:rsidRDefault="006A4BF8" w:rsidP="00434A6A">
      <w:pPr>
        <w:rPr>
          <w:rFonts w:asciiTheme="minorBidi" w:hAnsiTheme="minorBidi"/>
          <w:rtl/>
        </w:rPr>
      </w:pPr>
    </w:p>
    <w:p w14:paraId="13629C65" w14:textId="77777777" w:rsidR="006A4BF8" w:rsidRPr="005275DF" w:rsidRDefault="006A4BF8" w:rsidP="00434A6A">
      <w:pPr>
        <w:rPr>
          <w:rFonts w:asciiTheme="minorBidi" w:hAnsiTheme="minorBidi"/>
          <w:rtl/>
        </w:rPr>
      </w:pPr>
    </w:p>
    <w:p w14:paraId="49168371" w14:textId="77777777" w:rsidR="006A4BF8" w:rsidRPr="005275DF" w:rsidRDefault="006A4BF8" w:rsidP="00434A6A">
      <w:pPr>
        <w:rPr>
          <w:rFonts w:asciiTheme="minorBidi" w:hAnsiTheme="minorBidi"/>
          <w:rtl/>
        </w:rPr>
      </w:pPr>
    </w:p>
    <w:p w14:paraId="7FBD5B17" w14:textId="77777777" w:rsidR="006A4BF8" w:rsidRDefault="006A4BF8" w:rsidP="00434A6A">
      <w:pPr>
        <w:pStyle w:val="1"/>
        <w:rPr>
          <w:rFonts w:asciiTheme="minorBidi" w:hAnsiTheme="minorBidi"/>
          <w:rtl/>
        </w:rPr>
        <w:sectPr w:rsidR="006A4BF8" w:rsidSect="00BD29B1">
          <w:footnotePr>
            <w:numRestart w:val="eachSect"/>
          </w:footnotePr>
          <w:pgSz w:w="11906" w:h="16838"/>
          <w:pgMar w:top="720" w:right="1134" w:bottom="720" w:left="1134" w:header="0" w:footer="0" w:gutter="0"/>
          <w:cols w:space="720"/>
          <w:bidi/>
          <w:rtlGutter/>
          <w:docGrid w:linePitch="360"/>
        </w:sectPr>
      </w:pPr>
    </w:p>
    <w:p w14:paraId="1E5C87C7" w14:textId="77777777" w:rsidR="006A4BF8" w:rsidRPr="005275DF" w:rsidRDefault="006A4BF8" w:rsidP="00434A6A">
      <w:pPr>
        <w:pStyle w:val="1"/>
        <w:rPr>
          <w:rFonts w:asciiTheme="minorBidi" w:hAnsiTheme="minorBidi"/>
          <w:rtl/>
        </w:rPr>
      </w:pPr>
      <w:r w:rsidRPr="005275DF">
        <w:rPr>
          <w:rFonts w:asciiTheme="minorBidi" w:hAnsiTheme="minorBidi"/>
          <w:rtl/>
        </w:rPr>
        <w:t xml:space="preserve">סימן שכה: גוי שעשה מלאכה בעד ישראל, ובו ט"ז סעיפים. </w:t>
      </w:r>
    </w:p>
    <w:p w14:paraId="5ED1B209"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א</w:t>
      </w:r>
    </w:p>
    <w:p w14:paraId="2DA7EDD2"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E5B5002" w14:textId="77777777" w:rsidR="006A4BF8" w:rsidRPr="005275DF" w:rsidRDefault="006A4BF8" w:rsidP="00434A6A">
      <w:pPr>
        <w:rPr>
          <w:rFonts w:asciiTheme="minorBidi" w:hAnsiTheme="minorBidi"/>
          <w:rtl/>
        </w:rPr>
      </w:pPr>
      <w:r w:rsidRPr="005275DF">
        <w:rPr>
          <w:rFonts w:asciiTheme="minorBidi" w:hAnsiTheme="minorBidi"/>
          <w:rtl/>
        </w:rPr>
        <w:t xml:space="preserve">מותר לזמן </w:t>
      </w:r>
      <w:r>
        <w:rPr>
          <w:rFonts w:asciiTheme="minorBidi" w:hAnsiTheme="minorBidi"/>
          <w:rtl/>
        </w:rPr>
        <w:t>גוי</w:t>
      </w:r>
      <w:r w:rsidRPr="005275DF">
        <w:rPr>
          <w:rFonts w:asciiTheme="minorBidi" w:hAnsiTheme="minorBidi"/>
          <w:rtl/>
        </w:rPr>
        <w:t>, בשבת, ומותר ליתן מזונות לפניו בחצר, לאכלן, ואם נטלן ויצא, אין נזקקין לו. ודווקא שה</w:t>
      </w:r>
      <w:r>
        <w:rPr>
          <w:rFonts w:asciiTheme="minorBidi" w:hAnsiTheme="minorBidi"/>
          <w:rtl/>
        </w:rPr>
        <w:t xml:space="preserve">גוי </w:t>
      </w:r>
      <w:r w:rsidRPr="005275DF">
        <w:rPr>
          <w:rFonts w:asciiTheme="minorBidi" w:hAnsiTheme="minorBidi"/>
          <w:rtl/>
        </w:rPr>
        <w:t xml:space="preserve">בחצר, אבל אם עומד בחוץ ופשט ידו לפנים שידוע הוא שיוציאנו, או ליתן לו שאר חפצים שדרך להוציא, אסור אפילו אם עומד בפנים, אפילו אם החפצים של </w:t>
      </w:r>
      <w:r>
        <w:rPr>
          <w:rFonts w:asciiTheme="minorBidi" w:hAnsiTheme="minorBidi"/>
          <w:rtl/>
        </w:rPr>
        <w:t>גוי</w:t>
      </w:r>
      <w:r w:rsidRPr="005275DF">
        <w:rPr>
          <w:rFonts w:asciiTheme="minorBidi" w:hAnsiTheme="minorBidi"/>
          <w:rtl/>
        </w:rPr>
        <w:t xml:space="preserve">, שהרואה אינו יודע שהחפצים של </w:t>
      </w:r>
      <w:r>
        <w:rPr>
          <w:rFonts w:asciiTheme="minorBidi" w:hAnsiTheme="minorBidi"/>
          <w:rtl/>
        </w:rPr>
        <w:t>גוי</w:t>
      </w:r>
      <w:r w:rsidRPr="005275DF">
        <w:rPr>
          <w:rFonts w:asciiTheme="minorBidi" w:hAnsiTheme="minorBidi"/>
          <w:rtl/>
        </w:rPr>
        <w:t xml:space="preserve">. הגה: ואפילו בייחד לו מקום מבעוד יום, יש להחמיר (מרדכי פרק קמא דשבת). </w:t>
      </w:r>
    </w:p>
    <w:p w14:paraId="3019117A" w14:textId="77777777" w:rsidR="006A4BF8" w:rsidRPr="005275DF" w:rsidRDefault="006A4BF8" w:rsidP="00434A6A">
      <w:pPr>
        <w:rPr>
          <w:rFonts w:asciiTheme="minorBidi" w:hAnsiTheme="minorBidi"/>
          <w:rtl/>
        </w:rPr>
      </w:pPr>
    </w:p>
    <w:p w14:paraId="4CC04A5D" w14:textId="77777777" w:rsidR="006A4BF8" w:rsidRPr="005275DF" w:rsidRDefault="006A4BF8" w:rsidP="00434A6A">
      <w:pPr>
        <w:pStyle w:val="2"/>
        <w:rPr>
          <w:rtl/>
        </w:rPr>
      </w:pPr>
      <w:r w:rsidRPr="005275DF">
        <w:rPr>
          <w:rtl/>
        </w:rPr>
        <w:t>סעיף ב</w:t>
      </w:r>
    </w:p>
    <w:p w14:paraId="07F1B1D9"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E408010" w14:textId="77777777" w:rsidR="006A4BF8" w:rsidRPr="005275DF" w:rsidRDefault="006A4BF8" w:rsidP="00434A6A">
      <w:pPr>
        <w:rPr>
          <w:rFonts w:asciiTheme="minorBidi" w:hAnsiTheme="minorBidi"/>
          <w:rtl/>
        </w:rPr>
      </w:pPr>
      <w:r w:rsidRPr="005275DF">
        <w:rPr>
          <w:rFonts w:asciiTheme="minorBidi" w:hAnsiTheme="minorBidi"/>
          <w:rtl/>
        </w:rPr>
        <w:t>היכא דאיכא משום דרכי שלום, או ב</w:t>
      </w:r>
      <w:r>
        <w:rPr>
          <w:rFonts w:asciiTheme="minorBidi" w:hAnsiTheme="minorBidi"/>
          <w:rtl/>
        </w:rPr>
        <w:t xml:space="preserve">גוי </w:t>
      </w:r>
      <w:r w:rsidRPr="005275DF">
        <w:rPr>
          <w:rFonts w:asciiTheme="minorBidi" w:hAnsiTheme="minorBidi"/>
          <w:rtl/>
        </w:rPr>
        <w:t xml:space="preserve">אלם, מותר לתת לו או לשלוח לו ע"י </w:t>
      </w:r>
      <w:r>
        <w:rPr>
          <w:rFonts w:asciiTheme="minorBidi" w:hAnsiTheme="minorBidi"/>
          <w:rtl/>
        </w:rPr>
        <w:t>גוי</w:t>
      </w:r>
      <w:r w:rsidRPr="005275DF">
        <w:rPr>
          <w:rFonts w:asciiTheme="minorBidi" w:hAnsiTheme="minorBidi"/>
          <w:rtl/>
        </w:rPr>
        <w:t xml:space="preserve">. וה"ה לצורך מצוה, כגון להוציא חמץ מביתו בפסח (מרדכי). </w:t>
      </w:r>
    </w:p>
    <w:p w14:paraId="6B7DC26C" w14:textId="77777777" w:rsidR="006A4BF8" w:rsidRPr="005275DF" w:rsidRDefault="006A4BF8" w:rsidP="00434A6A">
      <w:pPr>
        <w:rPr>
          <w:rFonts w:asciiTheme="minorBidi" w:hAnsiTheme="minorBidi"/>
          <w:rtl/>
        </w:rPr>
      </w:pPr>
    </w:p>
    <w:p w14:paraId="5298968E" w14:textId="77777777" w:rsidR="006A4BF8" w:rsidRPr="005275DF" w:rsidRDefault="006A4BF8" w:rsidP="00434A6A">
      <w:pPr>
        <w:pStyle w:val="2"/>
        <w:rPr>
          <w:rtl/>
        </w:rPr>
      </w:pPr>
      <w:r w:rsidRPr="005275DF">
        <w:rPr>
          <w:rtl/>
        </w:rPr>
        <w:t>סעיף ג</w:t>
      </w:r>
    </w:p>
    <w:p w14:paraId="42D4A006"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20BE93B" w14:textId="77777777" w:rsidR="006A4BF8" w:rsidRPr="005275DF" w:rsidRDefault="006A4BF8" w:rsidP="00434A6A">
      <w:pPr>
        <w:rPr>
          <w:rFonts w:asciiTheme="minorBidi" w:hAnsiTheme="minorBidi"/>
          <w:rtl/>
        </w:rPr>
      </w:pPr>
      <w:r w:rsidRPr="005275DF">
        <w:rPr>
          <w:rFonts w:asciiTheme="minorBidi" w:hAnsiTheme="minorBidi"/>
          <w:rtl/>
        </w:rPr>
        <w:t>מותר להחליף משכון בשבת אם הוא מלבוש, ויוציאנו דרך מלבוש כי אין זה משא ומתן; וגם בישראל מותר בענין זה, אם הישראל צריך ללבשו. הגה: וטוב שה</w:t>
      </w:r>
      <w:r>
        <w:rPr>
          <w:rFonts w:asciiTheme="minorBidi" w:hAnsiTheme="minorBidi"/>
          <w:rtl/>
        </w:rPr>
        <w:t xml:space="preserve">גוי </w:t>
      </w:r>
      <w:r w:rsidRPr="005275DF">
        <w:rPr>
          <w:rFonts w:asciiTheme="minorBidi" w:hAnsiTheme="minorBidi"/>
          <w:rtl/>
        </w:rPr>
        <w:t xml:space="preserve">יקח המשכון עצמו ויניח אחר במקומו, ולא יגע בו הישראל, שלא יהא נראה כנושא ונותן (אגודה). וע"ל סי' ש"ז, בסופו, מדין </w:t>
      </w:r>
      <w:r>
        <w:rPr>
          <w:rFonts w:asciiTheme="minorBidi" w:hAnsiTheme="minorBidi"/>
          <w:rtl/>
        </w:rPr>
        <w:t xml:space="preserve">גוי </w:t>
      </w:r>
      <w:r w:rsidRPr="005275DF">
        <w:rPr>
          <w:rFonts w:asciiTheme="minorBidi" w:hAnsiTheme="minorBidi"/>
          <w:rtl/>
        </w:rPr>
        <w:t xml:space="preserve">המביא בשבת איזה דבר, אם מותר לקבלו. </w:t>
      </w:r>
    </w:p>
    <w:p w14:paraId="4DFF8195" w14:textId="77777777" w:rsidR="006A4BF8" w:rsidRPr="005275DF" w:rsidRDefault="006A4BF8" w:rsidP="00434A6A">
      <w:pPr>
        <w:rPr>
          <w:rFonts w:asciiTheme="minorBidi" w:hAnsiTheme="minorBidi"/>
          <w:rtl/>
        </w:rPr>
      </w:pPr>
    </w:p>
    <w:p w14:paraId="5E1B026D" w14:textId="77777777" w:rsidR="006A4BF8" w:rsidRPr="005275DF" w:rsidRDefault="006A4BF8" w:rsidP="00434A6A">
      <w:pPr>
        <w:pStyle w:val="2"/>
        <w:rPr>
          <w:rtl/>
        </w:rPr>
      </w:pPr>
      <w:r w:rsidRPr="005275DF">
        <w:rPr>
          <w:rtl/>
        </w:rPr>
        <w:t>סעיף ד</w:t>
      </w:r>
    </w:p>
    <w:p w14:paraId="4D38EC82"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BD61A0F" w14:textId="77777777" w:rsidR="006A4BF8" w:rsidRPr="005275DF" w:rsidRDefault="006A4BF8" w:rsidP="00434A6A">
      <w:pPr>
        <w:rPr>
          <w:rFonts w:asciiTheme="minorBidi" w:hAnsiTheme="minorBidi"/>
          <w:rtl/>
        </w:rPr>
      </w:pPr>
      <w:r w:rsidRPr="005275DF">
        <w:rPr>
          <w:rFonts w:asciiTheme="minorBidi" w:hAnsiTheme="minorBidi"/>
          <w:rtl/>
        </w:rPr>
        <w:t xml:space="preserve">פת שאפה </w:t>
      </w:r>
      <w:r>
        <w:rPr>
          <w:rFonts w:asciiTheme="minorBidi" w:hAnsiTheme="minorBidi"/>
          <w:rtl/>
        </w:rPr>
        <w:t xml:space="preserve">גוי </w:t>
      </w:r>
      <w:r w:rsidRPr="005275DF">
        <w:rPr>
          <w:rFonts w:asciiTheme="minorBidi" w:hAnsiTheme="minorBidi"/>
          <w:rtl/>
        </w:rPr>
        <w:t xml:space="preserve">לעצמו בשבת, יש אוסרים ויש מתירים; ובשעת הדחק או לצורך מצוה, כגון סעודת ברית מילה או לצורך ברכת המוציא, יש לסמוך על המתירים. הגה: אבל אסור ליתן לו מעות מערב שבת, ושיתן לו הפת בשבת, דאז אדעתא דישראל קא עביד (רבינו ירוחם ח"א). </w:t>
      </w:r>
    </w:p>
    <w:p w14:paraId="7FB27B53" w14:textId="77777777" w:rsidR="006A4BF8" w:rsidRPr="005275DF" w:rsidRDefault="006A4BF8" w:rsidP="00434A6A">
      <w:pPr>
        <w:rPr>
          <w:rFonts w:asciiTheme="minorBidi" w:hAnsiTheme="minorBidi"/>
          <w:rtl/>
        </w:rPr>
      </w:pPr>
    </w:p>
    <w:p w14:paraId="7D322319" w14:textId="77777777" w:rsidR="006A4BF8" w:rsidRPr="005275DF" w:rsidRDefault="006A4BF8" w:rsidP="00434A6A">
      <w:pPr>
        <w:pStyle w:val="2"/>
        <w:rPr>
          <w:rtl/>
        </w:rPr>
      </w:pPr>
      <w:r w:rsidRPr="005275DF">
        <w:rPr>
          <w:rtl/>
        </w:rPr>
        <w:t>סעיף ה</w:t>
      </w:r>
    </w:p>
    <w:p w14:paraId="07797158"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8FDE8CD" w14:textId="77777777" w:rsidR="006A4BF8" w:rsidRPr="005275DF" w:rsidRDefault="006A4BF8" w:rsidP="00434A6A">
      <w:pPr>
        <w:rPr>
          <w:rFonts w:asciiTheme="minorBidi" w:hAnsiTheme="minorBidi"/>
          <w:rtl/>
        </w:rPr>
      </w:pPr>
      <w:r>
        <w:rPr>
          <w:rFonts w:asciiTheme="minorBidi" w:hAnsiTheme="minorBidi"/>
          <w:rtl/>
        </w:rPr>
        <w:t xml:space="preserve">גוי </w:t>
      </w:r>
      <w:r w:rsidRPr="005275DF">
        <w:rPr>
          <w:rFonts w:asciiTheme="minorBidi" w:hAnsiTheme="minorBidi"/>
          <w:rtl/>
        </w:rPr>
        <w:t xml:space="preserve">שצד דגים או ליקט פירות לעצמו, אסורים לישראל; ואפי' ספק אם לקטן או צדן היום, אסורים בו ביום; אבל לערב מותרים מיד, אפי' אם ודאי לקטן וצדן היום. </w:t>
      </w:r>
    </w:p>
    <w:p w14:paraId="1FD8E448" w14:textId="77777777" w:rsidR="006A4BF8" w:rsidRPr="005275DF" w:rsidRDefault="006A4BF8" w:rsidP="00434A6A">
      <w:pPr>
        <w:rPr>
          <w:rFonts w:asciiTheme="minorBidi" w:hAnsiTheme="minorBidi"/>
          <w:rtl/>
        </w:rPr>
      </w:pPr>
    </w:p>
    <w:p w14:paraId="5EBA4F88" w14:textId="77777777" w:rsidR="006A4BF8" w:rsidRPr="005275DF" w:rsidRDefault="006A4BF8" w:rsidP="00434A6A">
      <w:pPr>
        <w:pStyle w:val="2"/>
        <w:rPr>
          <w:rtl/>
        </w:rPr>
      </w:pPr>
      <w:r w:rsidRPr="005275DF">
        <w:rPr>
          <w:rtl/>
        </w:rPr>
        <w:t>סעיף ו</w:t>
      </w:r>
    </w:p>
    <w:p w14:paraId="2C8A0925"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468DAA21" w14:textId="77777777" w:rsidR="006A4BF8" w:rsidRPr="005275DF" w:rsidRDefault="006A4BF8" w:rsidP="00434A6A">
      <w:pPr>
        <w:rPr>
          <w:rFonts w:asciiTheme="minorBidi" w:hAnsiTheme="minorBidi"/>
          <w:rtl/>
        </w:rPr>
      </w:pPr>
      <w:r w:rsidRPr="005275DF">
        <w:rPr>
          <w:rFonts w:asciiTheme="minorBidi" w:hAnsiTheme="minorBidi"/>
          <w:rtl/>
        </w:rPr>
        <w:t>אם ליקט וצד בשביל ישראל, או בשביל ישראל ו</w:t>
      </w:r>
      <w:r>
        <w:rPr>
          <w:rFonts w:asciiTheme="minorBidi" w:hAnsiTheme="minorBidi"/>
          <w:rtl/>
        </w:rPr>
        <w:t>גוי</w:t>
      </w:r>
      <w:r w:rsidRPr="005275DF">
        <w:rPr>
          <w:rFonts w:asciiTheme="minorBidi" w:hAnsiTheme="minorBidi"/>
          <w:rtl/>
        </w:rPr>
        <w:t xml:space="preserve">, צריך להמתין לערב בכדי שיעשו. </w:t>
      </w:r>
    </w:p>
    <w:p w14:paraId="43C49E16" w14:textId="77777777" w:rsidR="006A4BF8" w:rsidRPr="005275DF" w:rsidRDefault="006A4BF8" w:rsidP="00434A6A">
      <w:pPr>
        <w:rPr>
          <w:rFonts w:asciiTheme="minorBidi" w:hAnsiTheme="minorBidi"/>
          <w:rtl/>
        </w:rPr>
      </w:pPr>
    </w:p>
    <w:p w14:paraId="68F1939F" w14:textId="77777777" w:rsidR="006A4BF8" w:rsidRPr="005275DF" w:rsidRDefault="006A4BF8" w:rsidP="00434A6A">
      <w:pPr>
        <w:pStyle w:val="2"/>
        <w:rPr>
          <w:rtl/>
        </w:rPr>
      </w:pPr>
      <w:r w:rsidRPr="005275DF">
        <w:rPr>
          <w:rtl/>
        </w:rPr>
        <w:t>סעיף ז</w:t>
      </w:r>
    </w:p>
    <w:p w14:paraId="16B92E9B"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93D9CBD" w14:textId="77777777" w:rsidR="006A4BF8" w:rsidRPr="005275DF" w:rsidRDefault="006A4BF8" w:rsidP="00434A6A">
      <w:pPr>
        <w:rPr>
          <w:rFonts w:asciiTheme="minorBidi" w:hAnsiTheme="minorBidi"/>
          <w:rtl/>
        </w:rPr>
      </w:pPr>
      <w:r w:rsidRPr="005275DF">
        <w:rPr>
          <w:rFonts w:asciiTheme="minorBidi" w:hAnsiTheme="minorBidi"/>
          <w:rtl/>
        </w:rPr>
        <w:t xml:space="preserve">ספק אם ליקטן בשביל ישראל, או שידוע שליקטן בשביל ישראל ואין ידוע אם נלקטו היום אם לאו,  אסורים בו ביום, ולערב בכדי שיעשו; ויש אומרים דלערב מותר מיד. </w:t>
      </w:r>
    </w:p>
    <w:p w14:paraId="2BB2F3D9" w14:textId="77777777" w:rsidR="006A4BF8" w:rsidRPr="005275DF" w:rsidRDefault="006A4BF8" w:rsidP="00434A6A">
      <w:pPr>
        <w:rPr>
          <w:rFonts w:asciiTheme="minorBidi" w:hAnsiTheme="minorBidi"/>
          <w:rtl/>
        </w:rPr>
      </w:pPr>
    </w:p>
    <w:p w14:paraId="0B41A8F9" w14:textId="77777777" w:rsidR="006A4BF8" w:rsidRPr="005275DF" w:rsidRDefault="006A4BF8" w:rsidP="00434A6A">
      <w:pPr>
        <w:pStyle w:val="2"/>
        <w:rPr>
          <w:rtl/>
        </w:rPr>
      </w:pPr>
      <w:r w:rsidRPr="005275DF">
        <w:rPr>
          <w:rtl/>
        </w:rPr>
        <w:t>סעיף ח</w:t>
      </w:r>
    </w:p>
    <w:p w14:paraId="70FC0377"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F1DD01D" w14:textId="77777777" w:rsidR="006A4BF8" w:rsidRPr="005275DF" w:rsidRDefault="006A4BF8" w:rsidP="00434A6A">
      <w:pPr>
        <w:rPr>
          <w:rFonts w:asciiTheme="minorBidi" w:hAnsiTheme="minorBidi"/>
          <w:rtl/>
        </w:rPr>
      </w:pPr>
      <w:r w:rsidRPr="005275DF">
        <w:rPr>
          <w:rFonts w:asciiTheme="minorBidi" w:hAnsiTheme="minorBidi"/>
          <w:rtl/>
        </w:rPr>
        <w:t>דבר שאין בו חשש צידה ומחובר, אלא שהובא מחוץ לתחום, אם הביאו ה</w:t>
      </w:r>
      <w:r>
        <w:rPr>
          <w:rFonts w:asciiTheme="minorBidi" w:hAnsiTheme="minorBidi"/>
          <w:rtl/>
        </w:rPr>
        <w:t xml:space="preserve">גוי </w:t>
      </w:r>
      <w:r w:rsidRPr="005275DF">
        <w:rPr>
          <w:rFonts w:asciiTheme="minorBidi" w:hAnsiTheme="minorBidi"/>
          <w:rtl/>
        </w:rPr>
        <w:t>לעצמו, מותר אפילו בו ביום; ואם הביאו בשביל ישראל, מותר לטלטל אפילו מי שהובא בשבילו; אבל לאכול, אסור בו ביום למי שהובא בשבילו, ולערב בכדי שיעשו. הגה: וי"א דאין הלילה עולה מן החשבון, רק צריך להמתין ביום ראשון בכדי שיעשו (סמ"ק ומרדכי ס"פ כ"כ); ולאחרים, מותר בו ביום. וי"א דלמי שהובא בשבילו מותר לערב מיד, והא דשרי לישראל לטלטל, אפי' כשהביאו ה</w:t>
      </w:r>
      <w:r>
        <w:rPr>
          <w:rFonts w:asciiTheme="minorBidi" w:hAnsiTheme="minorBidi"/>
          <w:rtl/>
        </w:rPr>
        <w:t xml:space="preserve">גוי </w:t>
      </w:r>
      <w:r w:rsidRPr="005275DF">
        <w:rPr>
          <w:rFonts w:asciiTheme="minorBidi" w:hAnsiTheme="minorBidi"/>
          <w:rtl/>
        </w:rPr>
        <w:t xml:space="preserve">לעצמו, דוקא בתוך ד' אמות או בתוך העיר, אם היא מוקפת חומה; והוא שתהא מוקפת לדירה, דהיינו שישבה ולבסוף הוקפה, וסתם עיירות מוקפות לדירה; וסתם מבצרים אינם מוקפים לדירה (ועיין לקמן סימן ת"א). </w:t>
      </w:r>
    </w:p>
    <w:p w14:paraId="05C5A0F6" w14:textId="77777777" w:rsidR="006A4BF8" w:rsidRPr="005275DF" w:rsidRDefault="006A4BF8" w:rsidP="00434A6A">
      <w:pPr>
        <w:rPr>
          <w:rFonts w:asciiTheme="minorBidi" w:hAnsiTheme="minorBidi"/>
          <w:rtl/>
        </w:rPr>
      </w:pPr>
    </w:p>
    <w:p w14:paraId="09BCA83B" w14:textId="77777777" w:rsidR="006A4BF8" w:rsidRPr="005275DF" w:rsidRDefault="006A4BF8" w:rsidP="00434A6A">
      <w:pPr>
        <w:pStyle w:val="2"/>
        <w:rPr>
          <w:rtl/>
        </w:rPr>
      </w:pPr>
      <w:r w:rsidRPr="005275DF">
        <w:rPr>
          <w:rtl/>
        </w:rPr>
        <w:t>סעיף ט</w:t>
      </w:r>
    </w:p>
    <w:p w14:paraId="258E8F04"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69114D0A" w14:textId="77777777" w:rsidR="006A4BF8" w:rsidRPr="005275DF" w:rsidRDefault="006A4BF8" w:rsidP="00434A6A">
      <w:pPr>
        <w:rPr>
          <w:rFonts w:asciiTheme="minorBidi" w:hAnsiTheme="minorBidi"/>
          <w:rtl/>
        </w:rPr>
      </w:pPr>
      <w:r w:rsidRPr="005275DF">
        <w:rPr>
          <w:rFonts w:asciiTheme="minorBidi" w:hAnsiTheme="minorBidi"/>
          <w:rtl/>
        </w:rPr>
        <w:t>אם הוא ספק אם הובא מחוץ לתחום, אסור; ודוקא ב</w:t>
      </w:r>
      <w:r>
        <w:rPr>
          <w:rFonts w:asciiTheme="minorBidi" w:hAnsiTheme="minorBidi"/>
          <w:rtl/>
        </w:rPr>
        <w:t xml:space="preserve">גוי </w:t>
      </w:r>
      <w:r w:rsidRPr="005275DF">
        <w:rPr>
          <w:rFonts w:asciiTheme="minorBidi" w:hAnsiTheme="minorBidi"/>
          <w:rtl/>
        </w:rPr>
        <w:t xml:space="preserve">שאינו שרוי עמו בעיר, אבל </w:t>
      </w:r>
      <w:r>
        <w:rPr>
          <w:rFonts w:asciiTheme="minorBidi" w:hAnsiTheme="minorBidi"/>
          <w:rtl/>
        </w:rPr>
        <w:t xml:space="preserve">גוי </w:t>
      </w:r>
      <w:r w:rsidRPr="005275DF">
        <w:rPr>
          <w:rFonts w:asciiTheme="minorBidi" w:hAnsiTheme="minorBidi"/>
          <w:rtl/>
        </w:rPr>
        <w:t>השרוי עמו בעיר, ופירות המצויים בעיר, אין לחוש מספק; ואפילו אם יש ל</w:t>
      </w:r>
      <w:r>
        <w:rPr>
          <w:rFonts w:asciiTheme="minorBidi" w:hAnsiTheme="minorBidi"/>
          <w:rtl/>
        </w:rPr>
        <w:t>גוי</w:t>
      </w:r>
      <w:r w:rsidRPr="005275DF">
        <w:rPr>
          <w:rFonts w:asciiTheme="minorBidi" w:hAnsiTheme="minorBidi"/>
          <w:rtl/>
        </w:rPr>
        <w:t xml:space="preserve"> שני בתים, ואחד מהם בתוך התחום, תולין להקל ומותר לאכול אפילו למי שהובא בשבילו. </w:t>
      </w:r>
    </w:p>
    <w:p w14:paraId="57C56880" w14:textId="77777777" w:rsidR="006A4BF8" w:rsidRPr="005275DF" w:rsidRDefault="006A4BF8" w:rsidP="00434A6A">
      <w:pPr>
        <w:rPr>
          <w:rFonts w:asciiTheme="minorBidi" w:hAnsiTheme="minorBidi"/>
          <w:rtl/>
        </w:rPr>
      </w:pPr>
    </w:p>
    <w:p w14:paraId="4B46D79B" w14:textId="77777777" w:rsidR="006A4BF8" w:rsidRPr="005275DF" w:rsidRDefault="006A4BF8" w:rsidP="00434A6A">
      <w:pPr>
        <w:pStyle w:val="2"/>
        <w:rPr>
          <w:rtl/>
        </w:rPr>
      </w:pPr>
      <w:r w:rsidRPr="005275DF">
        <w:rPr>
          <w:rtl/>
        </w:rPr>
        <w:t>סעיף י</w:t>
      </w:r>
    </w:p>
    <w:p w14:paraId="77CA3EBB"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24D57B94" w14:textId="77777777" w:rsidR="006A4BF8" w:rsidRPr="005275DF" w:rsidRDefault="006A4BF8" w:rsidP="00434A6A">
      <w:pPr>
        <w:rPr>
          <w:rFonts w:asciiTheme="minorBidi" w:hAnsiTheme="minorBidi"/>
          <w:rtl/>
        </w:rPr>
      </w:pPr>
      <w:r>
        <w:rPr>
          <w:rFonts w:asciiTheme="minorBidi" w:hAnsiTheme="minorBidi"/>
          <w:rtl/>
        </w:rPr>
        <w:t xml:space="preserve">גוי </w:t>
      </w:r>
      <w:r w:rsidRPr="005275DF">
        <w:rPr>
          <w:rFonts w:asciiTheme="minorBidi" w:hAnsiTheme="minorBidi"/>
          <w:rtl/>
        </w:rPr>
        <w:t>שמילא מים לבהמתו מבור שהוא רשות היחיד, לרשות הרבים, מותר לישראל להשקות מהם בהמתו; והוא שאין ה</w:t>
      </w:r>
      <w:r>
        <w:rPr>
          <w:rFonts w:asciiTheme="minorBidi" w:hAnsiTheme="minorBidi"/>
          <w:rtl/>
        </w:rPr>
        <w:t xml:space="preserve">גוי </w:t>
      </w:r>
      <w:r w:rsidRPr="005275DF">
        <w:rPr>
          <w:rFonts w:asciiTheme="minorBidi" w:hAnsiTheme="minorBidi"/>
          <w:rtl/>
        </w:rPr>
        <w:t>מכירו, דליכא למיחש שמא ירבה בשבילו; ואם מילא לצורך בהמת ישראל, אסור בכל מיני תשמיש אפילו ישראל אחר; ואם מילא מבור רשות היחיד לכרמלית, מותר לאחר שלא מילא בשבילו. הגה: ויש מקילין ואומרים דאף אם הובא דרך רשות הרבים לצורך ישראל, מותר לאדם לשתות מהם  הואיל ואפשר לילך שם ולשתות (טור בשם ר"ת); ויש מתירין אף לכתחלה (כל בו); וכן נהגו היתר לומר אף לכתחלה ל</w:t>
      </w:r>
      <w:r>
        <w:rPr>
          <w:rFonts w:asciiTheme="minorBidi" w:hAnsiTheme="minorBidi"/>
          <w:rtl/>
        </w:rPr>
        <w:t xml:space="preserve">גוי </w:t>
      </w:r>
      <w:r w:rsidRPr="005275DF">
        <w:rPr>
          <w:rFonts w:asciiTheme="minorBidi" w:hAnsiTheme="minorBidi"/>
          <w:rtl/>
        </w:rPr>
        <w:t>להביא שכר, או שאר דברים, דרך כרמלית או בלא עירוב, ואף על פי שיש להחמיר בדבר מ"מ אין למחות ביד המקילין לצורך שבת ובשעת הדחק, דהא יש להקל באמירה ל</w:t>
      </w:r>
      <w:r>
        <w:rPr>
          <w:rFonts w:asciiTheme="minorBidi" w:hAnsiTheme="minorBidi"/>
          <w:rtl/>
        </w:rPr>
        <w:t xml:space="preserve">גוי </w:t>
      </w:r>
      <w:r w:rsidRPr="005275DF">
        <w:rPr>
          <w:rFonts w:asciiTheme="minorBidi" w:hAnsiTheme="minorBidi"/>
          <w:rtl/>
        </w:rPr>
        <w:t xml:space="preserve">לצורך, כמו שנתבאר סי' ש"ז וכל שכן בכהאי גוונא. </w:t>
      </w:r>
    </w:p>
    <w:p w14:paraId="2CF2A91E" w14:textId="77777777" w:rsidR="006A4BF8" w:rsidRPr="005275DF" w:rsidRDefault="006A4BF8" w:rsidP="00434A6A">
      <w:pPr>
        <w:rPr>
          <w:rFonts w:asciiTheme="minorBidi" w:hAnsiTheme="minorBidi"/>
          <w:rtl/>
        </w:rPr>
      </w:pPr>
    </w:p>
    <w:p w14:paraId="744EC142" w14:textId="77777777" w:rsidR="006A4BF8" w:rsidRPr="005275DF" w:rsidRDefault="006A4BF8" w:rsidP="00434A6A">
      <w:pPr>
        <w:pStyle w:val="2"/>
        <w:rPr>
          <w:rtl/>
        </w:rPr>
      </w:pPr>
      <w:r w:rsidRPr="005275DF">
        <w:rPr>
          <w:rtl/>
        </w:rPr>
        <w:t>סעיף יא</w:t>
      </w:r>
    </w:p>
    <w:p w14:paraId="0C58E742"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49AC8034" w14:textId="77777777" w:rsidR="006A4BF8" w:rsidRPr="005275DF" w:rsidRDefault="006A4BF8" w:rsidP="00434A6A">
      <w:pPr>
        <w:rPr>
          <w:rFonts w:asciiTheme="minorBidi" w:hAnsiTheme="minorBidi"/>
          <w:rtl/>
        </w:rPr>
      </w:pPr>
      <w:r w:rsidRPr="005275DF">
        <w:rPr>
          <w:rFonts w:asciiTheme="minorBidi" w:hAnsiTheme="minorBidi"/>
          <w:rtl/>
        </w:rPr>
        <w:t xml:space="preserve">ליקט </w:t>
      </w:r>
      <w:r>
        <w:rPr>
          <w:rFonts w:asciiTheme="minorBidi" w:hAnsiTheme="minorBidi"/>
          <w:rtl/>
        </w:rPr>
        <w:t xml:space="preserve">גוי </w:t>
      </w:r>
      <w:r w:rsidRPr="005275DF">
        <w:rPr>
          <w:rFonts w:asciiTheme="minorBidi" w:hAnsiTheme="minorBidi"/>
          <w:rtl/>
        </w:rPr>
        <w:t xml:space="preserve">עשבים לצורך בהמתו, אם אינו מכירו, מאכיל אחריו ישראל, שעומד בפניה בענין שלא תוכל לנטות אלא דרך שם; דאילו להעמידם עליהן, אסור דחיישינן שמא יטול בידו ויאכילנה, והם מוקצים.  אבל אם מכירו, אסור. וכן בכל דבר דאיכא למיחש שמא ירבה בשבילו; אבל בדבר דליכא למיחש שמא ירבה בשבילו, כגון שהדליק נר לעצמו או עשה כבש לירד בו, שבנר אחד ובכבש אחד יספיק לכל, אפי' מכירו, מותר. </w:t>
      </w:r>
    </w:p>
    <w:p w14:paraId="79BF31B0" w14:textId="77777777" w:rsidR="006A4BF8" w:rsidRPr="005275DF" w:rsidRDefault="006A4BF8" w:rsidP="00434A6A">
      <w:pPr>
        <w:rPr>
          <w:rFonts w:asciiTheme="minorBidi" w:hAnsiTheme="minorBidi"/>
          <w:rtl/>
        </w:rPr>
      </w:pPr>
    </w:p>
    <w:p w14:paraId="36E2353C" w14:textId="77777777" w:rsidR="006A4BF8" w:rsidRPr="005275DF" w:rsidRDefault="006A4BF8" w:rsidP="00434A6A">
      <w:pPr>
        <w:pStyle w:val="2"/>
        <w:rPr>
          <w:rtl/>
        </w:rPr>
      </w:pPr>
      <w:r w:rsidRPr="005275DF">
        <w:rPr>
          <w:rtl/>
        </w:rPr>
        <w:t>סעיף יב</w:t>
      </w:r>
    </w:p>
    <w:p w14:paraId="1F2101DC"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0511E33" w14:textId="77777777" w:rsidR="006A4BF8" w:rsidRPr="005275DF" w:rsidRDefault="006A4BF8" w:rsidP="00434A6A">
      <w:pPr>
        <w:rPr>
          <w:rFonts w:asciiTheme="minorBidi" w:hAnsiTheme="minorBidi"/>
          <w:rtl/>
        </w:rPr>
      </w:pPr>
      <w:r w:rsidRPr="005275DF">
        <w:rPr>
          <w:rFonts w:asciiTheme="minorBidi" w:hAnsiTheme="minorBidi"/>
          <w:rtl/>
        </w:rPr>
        <w:t>אף על פי שאינו מכירו, אם אומר בפירוש שלצורך ישראל הוא עושה, או אפילו אם אינו אומר כן, אם מעשיו מוכיחים שלצורך ישראל עושה, כגון שהדליק נר בבית שישראל בו והלך לו ה</w:t>
      </w:r>
      <w:r>
        <w:rPr>
          <w:rFonts w:asciiTheme="minorBidi" w:hAnsiTheme="minorBidi"/>
          <w:rtl/>
        </w:rPr>
        <w:t>גוי</w:t>
      </w:r>
      <w:r w:rsidRPr="005275DF">
        <w:rPr>
          <w:rFonts w:asciiTheme="minorBidi" w:hAnsiTheme="minorBidi"/>
          <w:rtl/>
        </w:rPr>
        <w:t xml:space="preserve">, אסור. </w:t>
      </w:r>
    </w:p>
    <w:p w14:paraId="53007D18" w14:textId="77777777" w:rsidR="006A4BF8" w:rsidRPr="005275DF" w:rsidRDefault="006A4BF8" w:rsidP="00434A6A">
      <w:pPr>
        <w:rPr>
          <w:rFonts w:asciiTheme="minorBidi" w:hAnsiTheme="minorBidi"/>
          <w:rtl/>
        </w:rPr>
      </w:pPr>
    </w:p>
    <w:p w14:paraId="54CBD124" w14:textId="77777777" w:rsidR="006A4BF8" w:rsidRPr="005275DF" w:rsidRDefault="006A4BF8" w:rsidP="00434A6A">
      <w:pPr>
        <w:pStyle w:val="2"/>
        <w:rPr>
          <w:rtl/>
        </w:rPr>
      </w:pPr>
      <w:r w:rsidRPr="005275DF">
        <w:rPr>
          <w:rtl/>
        </w:rPr>
        <w:t>סעיף יג</w:t>
      </w:r>
    </w:p>
    <w:p w14:paraId="2A234099"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2572045A" w14:textId="77777777" w:rsidR="006A4BF8" w:rsidRPr="005275DF" w:rsidRDefault="006A4BF8" w:rsidP="00434A6A">
      <w:pPr>
        <w:rPr>
          <w:rFonts w:asciiTheme="minorBidi" w:hAnsiTheme="minorBidi"/>
          <w:rtl/>
        </w:rPr>
      </w:pPr>
      <w:r w:rsidRPr="005275DF">
        <w:rPr>
          <w:rFonts w:asciiTheme="minorBidi" w:hAnsiTheme="minorBidi"/>
          <w:rtl/>
        </w:rPr>
        <w:t xml:space="preserve">אם ליקט </w:t>
      </w:r>
      <w:r>
        <w:rPr>
          <w:rFonts w:asciiTheme="minorBidi" w:hAnsiTheme="minorBidi"/>
          <w:rtl/>
        </w:rPr>
        <w:t xml:space="preserve">גוי </w:t>
      </w:r>
      <w:r w:rsidRPr="005275DF">
        <w:rPr>
          <w:rFonts w:asciiTheme="minorBidi" w:hAnsiTheme="minorBidi"/>
          <w:rtl/>
        </w:rPr>
        <w:t xml:space="preserve">והאכיל לבהמת ישראל, אין צריך למחות בידו, לפי שעה; אבל אם רגיל בכך, צריך למחות. </w:t>
      </w:r>
    </w:p>
    <w:p w14:paraId="221DB136" w14:textId="77777777" w:rsidR="006A4BF8" w:rsidRPr="005275DF" w:rsidRDefault="006A4BF8" w:rsidP="00434A6A">
      <w:pPr>
        <w:rPr>
          <w:rFonts w:asciiTheme="minorBidi" w:hAnsiTheme="minorBidi"/>
          <w:rtl/>
        </w:rPr>
      </w:pPr>
    </w:p>
    <w:p w14:paraId="68242727" w14:textId="77777777" w:rsidR="006A4BF8" w:rsidRPr="005275DF" w:rsidRDefault="006A4BF8" w:rsidP="00434A6A">
      <w:pPr>
        <w:pStyle w:val="2"/>
        <w:rPr>
          <w:rtl/>
        </w:rPr>
      </w:pPr>
      <w:r w:rsidRPr="005275DF">
        <w:rPr>
          <w:rtl/>
        </w:rPr>
        <w:t>סעיף יד</w:t>
      </w:r>
    </w:p>
    <w:p w14:paraId="4DFEE865"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472653BE" w14:textId="77777777" w:rsidR="006A4BF8" w:rsidRPr="005275DF" w:rsidRDefault="006A4BF8" w:rsidP="00434A6A">
      <w:pPr>
        <w:rPr>
          <w:rFonts w:asciiTheme="minorBidi" w:hAnsiTheme="minorBidi"/>
          <w:rtl/>
        </w:rPr>
      </w:pPr>
      <w:r w:rsidRPr="005275DF">
        <w:rPr>
          <w:rFonts w:asciiTheme="minorBidi" w:hAnsiTheme="minorBidi"/>
          <w:rtl/>
        </w:rPr>
        <w:t xml:space="preserve">עשה </w:t>
      </w:r>
      <w:r>
        <w:rPr>
          <w:rFonts w:asciiTheme="minorBidi" w:hAnsiTheme="minorBidi"/>
          <w:rtl/>
        </w:rPr>
        <w:t xml:space="preserve">גוי </w:t>
      </w:r>
      <w:r w:rsidRPr="005275DF">
        <w:rPr>
          <w:rFonts w:asciiTheme="minorBidi" w:hAnsiTheme="minorBidi"/>
          <w:rtl/>
        </w:rPr>
        <w:t xml:space="preserve">בשבת ארון או קבר לעצמו, מותר לישראל ליקבר בו; ואם עשאו בשביל ישראל, לא יקבר בו  עולמית. ודוקא שהקבר בפרהסיא, והארון על גביו, שהכל יודעים שנעשה לפלוני ישראל; אבל אם הוא בצנעה, מותר ליקבר בו לערב, בכדי שיעשו. ואפילו כשהוא בפרהסיא, אינו אסור אלא לאותו ישראל שנעשה בשבילו, אבל לישראל אחר, מותר; והוא שימתין בכדי שיעשו. </w:t>
      </w:r>
    </w:p>
    <w:p w14:paraId="24676CD4" w14:textId="77777777" w:rsidR="006A4BF8" w:rsidRPr="005275DF" w:rsidRDefault="006A4BF8" w:rsidP="00434A6A">
      <w:pPr>
        <w:rPr>
          <w:rFonts w:asciiTheme="minorBidi" w:hAnsiTheme="minorBidi"/>
          <w:rtl/>
        </w:rPr>
      </w:pPr>
    </w:p>
    <w:p w14:paraId="2EC6BB76" w14:textId="77777777" w:rsidR="006A4BF8" w:rsidRPr="005275DF" w:rsidRDefault="006A4BF8" w:rsidP="00434A6A">
      <w:pPr>
        <w:pStyle w:val="2"/>
        <w:rPr>
          <w:rtl/>
        </w:rPr>
      </w:pPr>
      <w:r w:rsidRPr="005275DF">
        <w:rPr>
          <w:rtl/>
        </w:rPr>
        <w:t>סעיף טו</w:t>
      </w:r>
    </w:p>
    <w:p w14:paraId="19126B6C"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2AFC1A2" w14:textId="77777777" w:rsidR="006A4BF8" w:rsidRPr="005275DF" w:rsidRDefault="006A4BF8" w:rsidP="00434A6A">
      <w:pPr>
        <w:rPr>
          <w:rFonts w:asciiTheme="minorBidi" w:hAnsiTheme="minorBidi"/>
          <w:rtl/>
        </w:rPr>
      </w:pPr>
      <w:r>
        <w:rPr>
          <w:rFonts w:asciiTheme="minorBidi" w:hAnsiTheme="minorBidi"/>
          <w:rtl/>
        </w:rPr>
        <w:t xml:space="preserve">גוי </w:t>
      </w:r>
      <w:r w:rsidRPr="005275DF">
        <w:rPr>
          <w:rFonts w:asciiTheme="minorBidi" w:hAnsiTheme="minorBidi"/>
          <w:rtl/>
        </w:rPr>
        <w:t xml:space="preserve">שהביא בשבת חלילין (פי' כלי נגון חלילים שקולם מעורר הבכי) לספוד בהם ישראל, לא יספוד בהם לא הוא ולא אחרים עד שימתין לערב בכדי שיבואו ממקום קרוב; ואם ידע בודאי שממקום פלוני הביאם בשבת, ימתין לערב כדי שיבואו מאותו מקום, ואח"כ מותרים בין לו ובין לאחרים; וה"מ כשהביאם דרך רשות הרבים, אבל אם לא הביאם אלא דרך כרמלית, כיון שלא נעשה בהם איסור תורה א"צ להמתין כדי שיבואו אלא מותרים לערב מיד. </w:t>
      </w:r>
    </w:p>
    <w:p w14:paraId="5BA454EB" w14:textId="77777777" w:rsidR="006A4BF8" w:rsidRPr="005275DF" w:rsidRDefault="006A4BF8" w:rsidP="00434A6A">
      <w:pPr>
        <w:rPr>
          <w:rFonts w:asciiTheme="minorBidi" w:hAnsiTheme="minorBidi"/>
          <w:rtl/>
        </w:rPr>
      </w:pPr>
    </w:p>
    <w:p w14:paraId="4A5A98F5" w14:textId="77777777" w:rsidR="006A4BF8" w:rsidRPr="005275DF" w:rsidRDefault="006A4BF8" w:rsidP="00434A6A">
      <w:pPr>
        <w:pStyle w:val="2"/>
        <w:rPr>
          <w:rtl/>
        </w:rPr>
      </w:pPr>
      <w:r w:rsidRPr="005275DF">
        <w:rPr>
          <w:rtl/>
        </w:rPr>
        <w:t>סעיף טז</w:t>
      </w:r>
    </w:p>
    <w:p w14:paraId="10AAC3D3"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22740CF" w14:textId="77777777" w:rsidR="006A4BF8" w:rsidRDefault="006A4BF8" w:rsidP="00434A6A">
      <w:pPr>
        <w:rPr>
          <w:rFonts w:asciiTheme="minorBidi" w:hAnsiTheme="minorBidi"/>
          <w:rtl/>
        </w:rPr>
      </w:pPr>
      <w:r w:rsidRPr="005275DF">
        <w:rPr>
          <w:rFonts w:asciiTheme="minorBidi" w:hAnsiTheme="minorBidi"/>
          <w:rtl/>
        </w:rPr>
        <w:t>ספק אם הובאו מחוץ לתחום או מתוך התחום, חוששין שמא מחוץ לתחום הובאו</w:t>
      </w:r>
      <w:r>
        <w:rPr>
          <w:rFonts w:asciiTheme="minorBidi" w:hAnsiTheme="minorBidi" w:hint="cs"/>
          <w:rtl/>
        </w:rPr>
        <w:t>.</w:t>
      </w:r>
    </w:p>
    <w:p w14:paraId="36EDFFCB" w14:textId="77777777" w:rsidR="006A4BF8" w:rsidRDefault="006A4BF8" w:rsidP="00434A6A">
      <w:pPr>
        <w:rPr>
          <w:rFonts w:asciiTheme="minorBidi" w:hAnsiTheme="minorBidi"/>
          <w:rtl/>
        </w:rPr>
      </w:pPr>
    </w:p>
    <w:p w14:paraId="637AEA3C" w14:textId="77777777" w:rsidR="006A4BF8" w:rsidRDefault="006A4BF8" w:rsidP="00434A6A">
      <w:pPr>
        <w:rPr>
          <w:rFonts w:asciiTheme="minorBidi" w:hAnsiTheme="minorBidi"/>
          <w:rtl/>
        </w:rPr>
      </w:pPr>
    </w:p>
    <w:p w14:paraId="7D78E852" w14:textId="77777777" w:rsidR="006A4BF8" w:rsidRDefault="006A4BF8" w:rsidP="00434A6A">
      <w:pPr>
        <w:pStyle w:val="1"/>
        <w:rPr>
          <w:rtl/>
        </w:rPr>
        <w:sectPr w:rsidR="006A4BF8" w:rsidSect="00BD29B1">
          <w:headerReference w:type="default" r:id="rId94"/>
          <w:footnotePr>
            <w:numRestart w:val="eachSect"/>
          </w:footnotePr>
          <w:pgSz w:w="11906" w:h="16838"/>
          <w:pgMar w:top="720" w:right="1134" w:bottom="720" w:left="1134" w:header="0" w:footer="0" w:gutter="0"/>
          <w:cols w:space="720"/>
          <w:bidi/>
          <w:rtlGutter/>
          <w:docGrid w:linePitch="360"/>
        </w:sectPr>
      </w:pPr>
    </w:p>
    <w:p w14:paraId="22757A8A" w14:textId="77777777" w:rsidR="006A4BF8" w:rsidRPr="00974030" w:rsidRDefault="006A4BF8" w:rsidP="00434A6A">
      <w:pPr>
        <w:pStyle w:val="1"/>
        <w:rPr>
          <w:rtl/>
        </w:rPr>
      </w:pPr>
      <w:r>
        <w:rPr>
          <w:rFonts w:hint="cs"/>
          <w:rtl/>
        </w:rPr>
        <w:t xml:space="preserve">סימן שכו: </w:t>
      </w:r>
      <w:r w:rsidRPr="00974030">
        <w:rPr>
          <w:rFonts w:hint="cs"/>
          <w:rtl/>
        </w:rPr>
        <w:t>דיני</w:t>
      </w:r>
      <w:r w:rsidRPr="00974030">
        <w:rPr>
          <w:rtl/>
        </w:rPr>
        <w:t xml:space="preserve"> </w:t>
      </w:r>
      <w:r w:rsidRPr="00974030">
        <w:rPr>
          <w:rFonts w:hint="cs"/>
          <w:rtl/>
        </w:rPr>
        <w:t>הכנת</w:t>
      </w:r>
      <w:r w:rsidRPr="00974030">
        <w:rPr>
          <w:rtl/>
        </w:rPr>
        <w:t xml:space="preserve"> </w:t>
      </w:r>
      <w:r w:rsidRPr="00974030">
        <w:rPr>
          <w:rFonts w:hint="cs"/>
          <w:rtl/>
        </w:rPr>
        <w:t>מאכל</w:t>
      </w:r>
      <w:r w:rsidRPr="00974030">
        <w:rPr>
          <w:rtl/>
        </w:rPr>
        <w:t xml:space="preserve"> </w:t>
      </w:r>
      <w:r w:rsidRPr="00974030">
        <w:rPr>
          <w:rFonts w:hint="cs"/>
          <w:rtl/>
        </w:rPr>
        <w:t>לבהמה</w:t>
      </w:r>
      <w:r w:rsidRPr="00974030">
        <w:rPr>
          <w:rtl/>
        </w:rPr>
        <w:t xml:space="preserve"> </w:t>
      </w:r>
      <w:r w:rsidRPr="00974030">
        <w:rPr>
          <w:rFonts w:hint="cs"/>
          <w:rtl/>
        </w:rPr>
        <w:t>לשבת</w:t>
      </w:r>
      <w:r w:rsidRPr="00974030">
        <w:rPr>
          <w:rtl/>
        </w:rPr>
        <w:t xml:space="preserve">, </w:t>
      </w:r>
      <w:r w:rsidRPr="00974030">
        <w:rPr>
          <w:rFonts w:hint="cs"/>
          <w:rtl/>
        </w:rPr>
        <w:t>ובו</w:t>
      </w:r>
      <w:r w:rsidRPr="00974030">
        <w:rPr>
          <w:rtl/>
        </w:rPr>
        <w:t xml:space="preserve"> </w:t>
      </w:r>
      <w:r w:rsidRPr="00974030">
        <w:rPr>
          <w:rFonts w:hint="cs"/>
          <w:rtl/>
        </w:rPr>
        <w:t>ט</w:t>
      </w:r>
      <w:r w:rsidRPr="00974030">
        <w:rPr>
          <w:rtl/>
        </w:rPr>
        <w:t>"</w:t>
      </w:r>
      <w:r w:rsidRPr="00974030">
        <w:rPr>
          <w:rFonts w:hint="cs"/>
          <w:rtl/>
        </w:rPr>
        <w:t>ו</w:t>
      </w:r>
      <w:r w:rsidRPr="00974030">
        <w:rPr>
          <w:rtl/>
        </w:rPr>
        <w:t xml:space="preserve"> </w:t>
      </w:r>
      <w:r w:rsidRPr="00974030">
        <w:rPr>
          <w:rFonts w:hint="cs"/>
          <w:rtl/>
        </w:rPr>
        <w:t>סעיפים</w:t>
      </w:r>
      <w:r w:rsidRPr="00974030">
        <w:rPr>
          <w:rtl/>
        </w:rPr>
        <w:t xml:space="preserve">. </w:t>
      </w:r>
    </w:p>
    <w:p w14:paraId="0FEAD794"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א</w:t>
      </w:r>
    </w:p>
    <w:p w14:paraId="3F5CFB45"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6D2049E0" w14:textId="77777777" w:rsidR="006A4BF8" w:rsidRPr="00974030" w:rsidRDefault="006A4BF8" w:rsidP="00434A6A">
      <w:pPr>
        <w:rPr>
          <w:rFonts w:asciiTheme="minorBidi" w:hAnsiTheme="minorBidi"/>
          <w:rtl/>
        </w:rPr>
      </w:pPr>
      <w:r w:rsidRPr="00974030">
        <w:rPr>
          <w:rFonts w:asciiTheme="minorBidi" w:hAnsiTheme="minorBidi" w:cs="Arial" w:hint="cs"/>
          <w:rtl/>
        </w:rPr>
        <w:t>אין</w:t>
      </w:r>
      <w:r w:rsidRPr="00974030">
        <w:rPr>
          <w:rFonts w:asciiTheme="minorBidi" w:hAnsiTheme="minorBidi" w:cs="Arial"/>
          <w:rtl/>
        </w:rPr>
        <w:t xml:space="preserve"> </w:t>
      </w:r>
      <w:r w:rsidRPr="00974030">
        <w:rPr>
          <w:rFonts w:asciiTheme="minorBidi" w:hAnsiTheme="minorBidi" w:cs="Arial" w:hint="cs"/>
          <w:rtl/>
        </w:rPr>
        <w:t>כוברין</w:t>
      </w:r>
      <w:r w:rsidRPr="00974030">
        <w:rPr>
          <w:rFonts w:asciiTheme="minorBidi" w:hAnsiTheme="minorBidi" w:cs="Arial"/>
          <w:rtl/>
        </w:rPr>
        <w:t xml:space="preserve"> </w:t>
      </w:r>
      <w:r w:rsidRPr="00974030">
        <w:rPr>
          <w:rFonts w:asciiTheme="minorBidi" w:hAnsiTheme="minorBidi" w:cs="Arial" w:hint="cs"/>
          <w:rtl/>
        </w:rPr>
        <w:t>התבן</w:t>
      </w:r>
      <w:r w:rsidRPr="00974030">
        <w:rPr>
          <w:rFonts w:asciiTheme="minorBidi" w:hAnsiTheme="minorBidi" w:cs="Arial"/>
          <w:rtl/>
        </w:rPr>
        <w:t xml:space="preserve"> </w:t>
      </w:r>
      <w:r w:rsidRPr="00974030">
        <w:rPr>
          <w:rFonts w:asciiTheme="minorBidi" w:hAnsiTheme="minorBidi" w:cs="Arial" w:hint="cs"/>
          <w:rtl/>
        </w:rPr>
        <w:t>בכברה</w:t>
      </w:r>
      <w:r w:rsidRPr="00974030">
        <w:rPr>
          <w:rFonts w:asciiTheme="minorBidi" w:hAnsiTheme="minorBidi" w:cs="Arial"/>
          <w:rtl/>
        </w:rPr>
        <w:t xml:space="preserve"> </w:t>
      </w:r>
      <w:r w:rsidRPr="00974030">
        <w:rPr>
          <w:rFonts w:asciiTheme="minorBidi" w:hAnsiTheme="minorBidi" w:cs="Arial" w:hint="cs"/>
          <w:rtl/>
        </w:rPr>
        <w:t>שיפול</w:t>
      </w:r>
      <w:r w:rsidRPr="00974030">
        <w:rPr>
          <w:rFonts w:asciiTheme="minorBidi" w:hAnsiTheme="minorBidi" w:cs="Arial"/>
          <w:rtl/>
        </w:rPr>
        <w:t xml:space="preserve"> </w:t>
      </w:r>
      <w:r w:rsidRPr="00974030">
        <w:rPr>
          <w:rFonts w:asciiTheme="minorBidi" w:hAnsiTheme="minorBidi" w:cs="Arial" w:hint="cs"/>
          <w:rtl/>
        </w:rPr>
        <w:t>המוץ</w:t>
      </w:r>
      <w:r w:rsidRPr="00974030">
        <w:rPr>
          <w:rFonts w:asciiTheme="minorBidi" w:hAnsiTheme="minorBidi" w:cs="Arial"/>
          <w:rtl/>
        </w:rPr>
        <w:t xml:space="preserve"> </w:t>
      </w:r>
      <w:r w:rsidRPr="00974030">
        <w:rPr>
          <w:rFonts w:asciiTheme="minorBidi" w:hAnsiTheme="minorBidi" w:cs="Arial" w:hint="cs"/>
          <w:rtl/>
        </w:rPr>
        <w:t>לארץ</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יניחנו</w:t>
      </w:r>
      <w:r w:rsidRPr="00974030">
        <w:rPr>
          <w:rFonts w:asciiTheme="minorBidi" w:hAnsiTheme="minorBidi" w:cs="Arial"/>
          <w:rtl/>
        </w:rPr>
        <w:t xml:space="preserve"> </w:t>
      </w:r>
      <w:r w:rsidRPr="00974030">
        <w:rPr>
          <w:rFonts w:asciiTheme="minorBidi" w:hAnsiTheme="minorBidi" w:cs="Arial" w:hint="cs"/>
          <w:rtl/>
        </w:rPr>
        <w:t>במקום</w:t>
      </w:r>
      <w:r w:rsidRPr="00974030">
        <w:rPr>
          <w:rFonts w:asciiTheme="minorBidi" w:hAnsiTheme="minorBidi" w:cs="Arial"/>
          <w:rtl/>
        </w:rPr>
        <w:t xml:space="preserve"> </w:t>
      </w:r>
      <w:r w:rsidRPr="00974030">
        <w:rPr>
          <w:rFonts w:asciiTheme="minorBidi" w:hAnsiTheme="minorBidi" w:cs="Arial" w:hint="cs"/>
          <w:rtl/>
        </w:rPr>
        <w:t>גבוה</w:t>
      </w:r>
      <w:r w:rsidRPr="00974030">
        <w:rPr>
          <w:rFonts w:asciiTheme="minorBidi" w:hAnsiTheme="minorBidi" w:cs="Arial"/>
          <w:rtl/>
        </w:rPr>
        <w:t xml:space="preserve"> </w:t>
      </w:r>
      <w:r w:rsidRPr="00974030">
        <w:rPr>
          <w:rFonts w:asciiTheme="minorBidi" w:hAnsiTheme="minorBidi" w:cs="Arial" w:hint="cs"/>
          <w:rtl/>
        </w:rPr>
        <w:t>כדי</w:t>
      </w:r>
      <w:r w:rsidRPr="00974030">
        <w:rPr>
          <w:rFonts w:asciiTheme="minorBidi" w:hAnsiTheme="minorBidi" w:cs="Arial"/>
          <w:rtl/>
        </w:rPr>
        <w:t xml:space="preserve"> </w:t>
      </w:r>
      <w:r w:rsidRPr="00974030">
        <w:rPr>
          <w:rFonts w:asciiTheme="minorBidi" w:hAnsiTheme="minorBidi" w:cs="Arial" w:hint="cs"/>
          <w:rtl/>
        </w:rPr>
        <w:t>שירד</w:t>
      </w:r>
      <w:r w:rsidRPr="00974030">
        <w:rPr>
          <w:rFonts w:asciiTheme="minorBidi" w:hAnsiTheme="minorBidi" w:cs="Arial"/>
          <w:rtl/>
        </w:rPr>
        <w:t xml:space="preserve"> </w:t>
      </w:r>
      <w:r w:rsidRPr="00974030">
        <w:rPr>
          <w:rFonts w:asciiTheme="minorBidi" w:hAnsiTheme="minorBidi" w:cs="Arial" w:hint="cs"/>
          <w:rtl/>
        </w:rPr>
        <w:t>המוץ</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נוטל</w:t>
      </w:r>
      <w:r w:rsidRPr="00974030">
        <w:rPr>
          <w:rFonts w:asciiTheme="minorBidi" w:hAnsiTheme="minorBidi" w:cs="Arial"/>
          <w:rtl/>
        </w:rPr>
        <w:t xml:space="preserve"> </w:t>
      </w:r>
      <w:r w:rsidRPr="00974030">
        <w:rPr>
          <w:rFonts w:asciiTheme="minorBidi" w:hAnsiTheme="minorBidi" w:cs="Arial" w:hint="cs"/>
          <w:rtl/>
        </w:rPr>
        <w:t>בכברה</w:t>
      </w:r>
      <w:r w:rsidRPr="00974030">
        <w:rPr>
          <w:rFonts w:asciiTheme="minorBidi" w:hAnsiTheme="minorBidi" w:cs="Arial"/>
          <w:rtl/>
        </w:rPr>
        <w:t xml:space="preserve"> </w:t>
      </w:r>
      <w:r w:rsidRPr="00974030">
        <w:rPr>
          <w:rFonts w:asciiTheme="minorBidi" w:hAnsiTheme="minorBidi" w:cs="Arial" w:hint="cs"/>
          <w:rtl/>
        </w:rPr>
        <w:t>ונותן</w:t>
      </w:r>
      <w:r w:rsidRPr="00974030">
        <w:rPr>
          <w:rFonts w:asciiTheme="minorBidi" w:hAnsiTheme="minorBidi" w:cs="Arial"/>
          <w:rtl/>
        </w:rPr>
        <w:t xml:space="preserve"> </w:t>
      </w:r>
      <w:r w:rsidRPr="00974030">
        <w:rPr>
          <w:rFonts w:asciiTheme="minorBidi" w:hAnsiTheme="minorBidi" w:cs="Arial" w:hint="cs"/>
          <w:rtl/>
        </w:rPr>
        <w:t>לתוך</w:t>
      </w:r>
      <w:r w:rsidRPr="00974030">
        <w:rPr>
          <w:rFonts w:asciiTheme="minorBidi" w:hAnsiTheme="minorBidi" w:cs="Arial"/>
          <w:rtl/>
        </w:rPr>
        <w:t xml:space="preserve"> </w:t>
      </w:r>
      <w:r w:rsidRPr="00974030">
        <w:rPr>
          <w:rFonts w:asciiTheme="minorBidi" w:hAnsiTheme="minorBidi" w:cs="Arial" w:hint="cs"/>
          <w:rtl/>
        </w:rPr>
        <w:t>האבוס</w:t>
      </w:r>
      <w:r w:rsidRPr="00974030">
        <w:rPr>
          <w:rFonts w:asciiTheme="minorBidi" w:hAnsiTheme="minorBidi" w:cs="Arial"/>
          <w:rtl/>
        </w:rPr>
        <w:t xml:space="preserve"> </w:t>
      </w:r>
      <w:r w:rsidRPr="00974030">
        <w:rPr>
          <w:rFonts w:asciiTheme="minorBidi" w:hAnsiTheme="minorBidi" w:cs="Arial" w:hint="cs"/>
          <w:rtl/>
        </w:rPr>
        <w:t>אף</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פי</w:t>
      </w:r>
      <w:r w:rsidRPr="00974030">
        <w:rPr>
          <w:rFonts w:asciiTheme="minorBidi" w:hAnsiTheme="minorBidi" w:cs="Arial"/>
          <w:rtl/>
        </w:rPr>
        <w:t xml:space="preserve"> </w:t>
      </w:r>
      <w:r w:rsidRPr="00974030">
        <w:rPr>
          <w:rFonts w:asciiTheme="minorBidi" w:hAnsiTheme="minorBidi" w:cs="Arial" w:hint="cs"/>
          <w:rtl/>
        </w:rPr>
        <w:t>שהמוץ</w:t>
      </w:r>
      <w:r w:rsidRPr="00974030">
        <w:rPr>
          <w:rFonts w:asciiTheme="minorBidi" w:hAnsiTheme="minorBidi" w:cs="Arial"/>
          <w:rtl/>
        </w:rPr>
        <w:t xml:space="preserve"> </w:t>
      </w:r>
      <w:r w:rsidRPr="00974030">
        <w:rPr>
          <w:rFonts w:asciiTheme="minorBidi" w:hAnsiTheme="minorBidi" w:cs="Arial" w:hint="cs"/>
          <w:rtl/>
        </w:rPr>
        <w:t>נופל</w:t>
      </w:r>
      <w:r w:rsidRPr="00974030">
        <w:rPr>
          <w:rFonts w:asciiTheme="minorBidi" w:hAnsiTheme="minorBidi" w:cs="Arial"/>
          <w:rtl/>
        </w:rPr>
        <w:t xml:space="preserve"> </w:t>
      </w:r>
      <w:r w:rsidRPr="00974030">
        <w:rPr>
          <w:rFonts w:asciiTheme="minorBidi" w:hAnsiTheme="minorBidi" w:cs="Arial" w:hint="cs"/>
          <w:rtl/>
        </w:rPr>
        <w:t>מאליו</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כיון</w:t>
      </w:r>
      <w:r w:rsidRPr="00974030">
        <w:rPr>
          <w:rFonts w:asciiTheme="minorBidi" w:hAnsiTheme="minorBidi" w:cs="Arial"/>
          <w:rtl/>
        </w:rPr>
        <w:t xml:space="preserve"> </w:t>
      </w:r>
      <w:r w:rsidRPr="00974030">
        <w:rPr>
          <w:rFonts w:asciiTheme="minorBidi" w:hAnsiTheme="minorBidi" w:cs="Arial" w:hint="cs"/>
          <w:rtl/>
        </w:rPr>
        <w:t>שאינו</w:t>
      </w:r>
      <w:r w:rsidRPr="00974030">
        <w:rPr>
          <w:rFonts w:asciiTheme="minorBidi" w:hAnsiTheme="minorBidi" w:cs="Arial"/>
          <w:rtl/>
        </w:rPr>
        <w:t xml:space="preserve"> </w:t>
      </w:r>
      <w:r w:rsidRPr="00974030">
        <w:rPr>
          <w:rFonts w:asciiTheme="minorBidi" w:hAnsiTheme="minorBidi" w:cs="Arial" w:hint="cs"/>
          <w:rtl/>
        </w:rPr>
        <w:t>מכוין</w:t>
      </w:r>
      <w:r w:rsidRPr="00974030">
        <w:rPr>
          <w:rFonts w:asciiTheme="minorBidi" w:hAnsiTheme="minorBidi" w:cs="Arial"/>
          <w:rtl/>
        </w:rPr>
        <w:t xml:space="preserve">. </w:t>
      </w:r>
    </w:p>
    <w:p w14:paraId="0ABEFEFA"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ב</w:t>
      </w:r>
    </w:p>
    <w:p w14:paraId="5C48862C"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65503F84" w14:textId="77777777" w:rsidR="006A4BF8" w:rsidRPr="00974030" w:rsidRDefault="006A4BF8" w:rsidP="00434A6A">
      <w:pPr>
        <w:rPr>
          <w:rFonts w:asciiTheme="minorBidi" w:hAnsiTheme="minorBidi"/>
          <w:rtl/>
        </w:rPr>
      </w:pP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ימדוד</w:t>
      </w:r>
      <w:r w:rsidRPr="00974030">
        <w:rPr>
          <w:rFonts w:asciiTheme="minorBidi" w:hAnsiTheme="minorBidi" w:cs="Arial"/>
          <w:rtl/>
        </w:rPr>
        <w:t xml:space="preserve"> </w:t>
      </w:r>
      <w:r w:rsidRPr="00974030">
        <w:rPr>
          <w:rFonts w:asciiTheme="minorBidi" w:hAnsiTheme="minorBidi" w:cs="Arial" w:hint="cs"/>
          <w:rtl/>
        </w:rPr>
        <w:t>אדם</w:t>
      </w:r>
      <w:r w:rsidRPr="00974030">
        <w:rPr>
          <w:rFonts w:asciiTheme="minorBidi" w:hAnsiTheme="minorBidi" w:cs="Arial"/>
          <w:rtl/>
        </w:rPr>
        <w:t xml:space="preserve"> </w:t>
      </w:r>
      <w:r w:rsidRPr="00974030">
        <w:rPr>
          <w:rFonts w:asciiTheme="minorBidi" w:hAnsiTheme="minorBidi" w:cs="Arial" w:hint="cs"/>
          <w:rtl/>
        </w:rPr>
        <w:t>שעורים</w:t>
      </w:r>
      <w:r w:rsidRPr="00974030">
        <w:rPr>
          <w:rFonts w:asciiTheme="minorBidi" w:hAnsiTheme="minorBidi" w:cs="Arial"/>
          <w:rtl/>
        </w:rPr>
        <w:t xml:space="preserve"> </w:t>
      </w:r>
      <w:r w:rsidRPr="00974030">
        <w:rPr>
          <w:rFonts w:asciiTheme="minorBidi" w:hAnsiTheme="minorBidi" w:cs="Arial" w:hint="cs"/>
          <w:rtl/>
        </w:rPr>
        <w:t>לתת</w:t>
      </w:r>
      <w:r w:rsidRPr="00974030">
        <w:rPr>
          <w:rFonts w:asciiTheme="minorBidi" w:hAnsiTheme="minorBidi" w:cs="Arial"/>
          <w:rtl/>
        </w:rPr>
        <w:t xml:space="preserve"> </w:t>
      </w:r>
      <w:r w:rsidRPr="00974030">
        <w:rPr>
          <w:rFonts w:asciiTheme="minorBidi" w:hAnsiTheme="minorBidi" w:cs="Arial" w:hint="cs"/>
          <w:rtl/>
        </w:rPr>
        <w:t>לפני</w:t>
      </w:r>
      <w:r w:rsidRPr="00974030">
        <w:rPr>
          <w:rFonts w:asciiTheme="minorBidi" w:hAnsiTheme="minorBidi" w:cs="Arial"/>
          <w:rtl/>
        </w:rPr>
        <w:t xml:space="preserve"> </w:t>
      </w:r>
      <w:r w:rsidRPr="00974030">
        <w:rPr>
          <w:rFonts w:asciiTheme="minorBidi" w:hAnsiTheme="minorBidi" w:cs="Arial" w:hint="cs"/>
          <w:rtl/>
        </w:rPr>
        <w:t>בהמתו</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משער</w:t>
      </w:r>
      <w:r w:rsidRPr="00974030">
        <w:rPr>
          <w:rFonts w:asciiTheme="minorBidi" w:hAnsiTheme="minorBidi" w:cs="Arial"/>
          <w:rtl/>
        </w:rPr>
        <w:t xml:space="preserve"> </w:t>
      </w:r>
      <w:r w:rsidRPr="00974030">
        <w:rPr>
          <w:rFonts w:asciiTheme="minorBidi" w:hAnsiTheme="minorBidi" w:cs="Arial" w:hint="cs"/>
          <w:rtl/>
        </w:rPr>
        <w:t>באומד</w:t>
      </w:r>
      <w:r w:rsidRPr="00974030">
        <w:rPr>
          <w:rFonts w:asciiTheme="minorBidi" w:hAnsiTheme="minorBidi" w:cs="Arial"/>
          <w:rtl/>
        </w:rPr>
        <w:t xml:space="preserve"> </w:t>
      </w:r>
      <w:r w:rsidRPr="00974030">
        <w:rPr>
          <w:rFonts w:asciiTheme="minorBidi" w:hAnsiTheme="minorBidi" w:cs="Arial" w:hint="cs"/>
          <w:rtl/>
        </w:rPr>
        <w:t>דעתו</w:t>
      </w:r>
      <w:r w:rsidRPr="00974030">
        <w:rPr>
          <w:rFonts w:asciiTheme="minorBidi" w:hAnsiTheme="minorBidi" w:cs="Arial"/>
          <w:rtl/>
        </w:rPr>
        <w:t xml:space="preserve">. </w:t>
      </w:r>
    </w:p>
    <w:p w14:paraId="52A19C9E"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ג</w:t>
      </w:r>
    </w:p>
    <w:p w14:paraId="1D02484B" w14:textId="77777777" w:rsidR="006A4BF8" w:rsidRPr="00974030" w:rsidRDefault="006A4BF8" w:rsidP="00434A6A">
      <w:pPr>
        <w:rPr>
          <w:rFonts w:asciiTheme="minorBidi" w:hAnsiTheme="minorBidi"/>
          <w:rtl/>
        </w:rPr>
      </w:pPr>
      <w:r w:rsidRPr="00974030">
        <w:rPr>
          <w:rFonts w:asciiTheme="minorBidi" w:hAnsiTheme="minorBidi" w:cs="Arial" w:hint="cs"/>
          <w:rtl/>
        </w:rPr>
        <w:t>אין</w:t>
      </w:r>
      <w:r w:rsidRPr="00974030">
        <w:rPr>
          <w:rFonts w:asciiTheme="minorBidi" w:hAnsiTheme="minorBidi" w:cs="Arial"/>
          <w:rtl/>
        </w:rPr>
        <w:t xml:space="preserve"> </w:t>
      </w:r>
      <w:r w:rsidRPr="00974030">
        <w:rPr>
          <w:rFonts w:asciiTheme="minorBidi" w:hAnsiTheme="minorBidi" w:cs="Arial" w:hint="cs"/>
          <w:rtl/>
        </w:rPr>
        <w:t>גובלין</w:t>
      </w:r>
      <w:r w:rsidRPr="00974030">
        <w:rPr>
          <w:rFonts w:asciiTheme="minorBidi" w:hAnsiTheme="minorBidi" w:cs="Arial"/>
          <w:rtl/>
        </w:rPr>
        <w:t xml:space="preserve"> </w:t>
      </w:r>
      <w:r w:rsidRPr="00974030">
        <w:rPr>
          <w:rFonts w:asciiTheme="minorBidi" w:hAnsiTheme="minorBidi" w:cs="Arial" w:hint="cs"/>
          <w:rtl/>
        </w:rPr>
        <w:t>מורסן</w:t>
      </w:r>
      <w:r w:rsidRPr="00974030">
        <w:rPr>
          <w:rFonts w:asciiTheme="minorBidi" w:hAnsiTheme="minorBidi" w:cs="Arial"/>
          <w:rtl/>
        </w:rPr>
        <w:t xml:space="preserve"> </w:t>
      </w:r>
      <w:r w:rsidRPr="00974030">
        <w:rPr>
          <w:rFonts w:asciiTheme="minorBidi" w:hAnsiTheme="minorBidi" w:cs="Arial" w:hint="cs"/>
          <w:rtl/>
        </w:rPr>
        <w:t>לבהמה</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לתרנגולים</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נותנים</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מים</w:t>
      </w:r>
      <w:r w:rsidRPr="00974030">
        <w:rPr>
          <w:rFonts w:asciiTheme="minorBidi" w:hAnsiTheme="minorBidi" w:cs="Arial"/>
          <w:rtl/>
        </w:rPr>
        <w:t xml:space="preserve"> </w:t>
      </w:r>
      <w:r w:rsidRPr="00974030">
        <w:rPr>
          <w:rFonts w:asciiTheme="minorBidi" w:hAnsiTheme="minorBidi" w:cs="Arial" w:hint="cs"/>
          <w:rtl/>
        </w:rPr>
        <w:t>ומעביר</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תרווד</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מקל</w:t>
      </w:r>
      <w:r w:rsidRPr="00974030">
        <w:rPr>
          <w:rFonts w:asciiTheme="minorBidi" w:hAnsiTheme="minorBidi" w:cs="Arial"/>
          <w:rtl/>
        </w:rPr>
        <w:t xml:space="preserve"> </w:t>
      </w:r>
      <w:r w:rsidRPr="00974030">
        <w:rPr>
          <w:rFonts w:asciiTheme="minorBidi" w:hAnsiTheme="minorBidi" w:cs="Arial" w:hint="cs"/>
          <w:rtl/>
        </w:rPr>
        <w:t>שתי</w:t>
      </w:r>
      <w:r w:rsidRPr="00974030">
        <w:rPr>
          <w:rFonts w:asciiTheme="minorBidi" w:hAnsiTheme="minorBidi" w:cs="Arial"/>
          <w:rtl/>
        </w:rPr>
        <w:t xml:space="preserve"> </w:t>
      </w:r>
      <w:r w:rsidRPr="00974030">
        <w:rPr>
          <w:rFonts w:asciiTheme="minorBidi" w:hAnsiTheme="minorBidi" w:cs="Arial" w:hint="cs"/>
          <w:rtl/>
        </w:rPr>
        <w:t>וערב</w:t>
      </w:r>
      <w:r w:rsidRPr="00974030">
        <w:rPr>
          <w:rFonts w:asciiTheme="minorBidi" w:hAnsiTheme="minorBidi" w:cs="Arial"/>
          <w:rtl/>
        </w:rPr>
        <w:t xml:space="preserve">, </w:t>
      </w:r>
      <w:r w:rsidRPr="00974030">
        <w:rPr>
          <w:rFonts w:asciiTheme="minorBidi" w:hAnsiTheme="minorBidi" w:cs="Arial" w:hint="cs"/>
          <w:rtl/>
        </w:rPr>
        <w:t>כיון</w:t>
      </w:r>
      <w:r w:rsidRPr="00974030">
        <w:rPr>
          <w:rFonts w:asciiTheme="minorBidi" w:hAnsiTheme="minorBidi" w:cs="Arial"/>
          <w:rtl/>
        </w:rPr>
        <w:t xml:space="preserve"> </w:t>
      </w:r>
      <w:r w:rsidRPr="00974030">
        <w:rPr>
          <w:rFonts w:asciiTheme="minorBidi" w:hAnsiTheme="minorBidi" w:cs="Arial" w:hint="cs"/>
          <w:rtl/>
        </w:rPr>
        <w:t>שאינו</w:t>
      </w:r>
      <w:r w:rsidRPr="00974030">
        <w:rPr>
          <w:rFonts w:asciiTheme="minorBidi" w:hAnsiTheme="minorBidi" w:cs="Arial"/>
          <w:rtl/>
        </w:rPr>
        <w:t xml:space="preserve"> </w:t>
      </w:r>
      <w:r w:rsidRPr="00974030">
        <w:rPr>
          <w:rFonts w:asciiTheme="minorBidi" w:hAnsiTheme="minorBidi" w:cs="Arial" w:hint="cs"/>
          <w:rtl/>
        </w:rPr>
        <w:t>ממרס</w:t>
      </w:r>
      <w:r w:rsidRPr="00974030">
        <w:rPr>
          <w:rFonts w:asciiTheme="minorBidi" w:hAnsiTheme="minorBidi" w:cs="Arial"/>
          <w:rtl/>
        </w:rPr>
        <w:t xml:space="preserve"> </w:t>
      </w:r>
      <w:r w:rsidRPr="00974030">
        <w:rPr>
          <w:rFonts w:asciiTheme="minorBidi" w:hAnsiTheme="minorBidi" w:cs="Arial" w:hint="cs"/>
          <w:rtl/>
        </w:rPr>
        <w:t>בידו</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מסבב</w:t>
      </w:r>
      <w:r w:rsidRPr="00974030">
        <w:rPr>
          <w:rFonts w:asciiTheme="minorBidi" w:hAnsiTheme="minorBidi" w:cs="Arial"/>
          <w:rtl/>
        </w:rPr>
        <w:t xml:space="preserve"> </w:t>
      </w:r>
      <w:r w:rsidRPr="00974030">
        <w:rPr>
          <w:rFonts w:asciiTheme="minorBidi" w:hAnsiTheme="minorBidi" w:cs="Arial" w:hint="cs"/>
          <w:rtl/>
        </w:rPr>
        <w:t>התרווד</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המקל</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ומנערו</w:t>
      </w:r>
      <w:r w:rsidRPr="00974030">
        <w:rPr>
          <w:rFonts w:asciiTheme="minorBidi" w:hAnsiTheme="minorBidi" w:cs="Arial"/>
          <w:rtl/>
        </w:rPr>
        <w:t xml:space="preserve"> </w:t>
      </w:r>
      <w:r w:rsidRPr="00974030">
        <w:rPr>
          <w:rFonts w:asciiTheme="minorBidi" w:hAnsiTheme="minorBidi" w:cs="Arial" w:hint="cs"/>
          <w:rtl/>
        </w:rPr>
        <w:t>מכלי</w:t>
      </w:r>
      <w:r w:rsidRPr="00974030">
        <w:rPr>
          <w:rFonts w:asciiTheme="minorBidi" w:hAnsiTheme="minorBidi" w:cs="Arial"/>
          <w:rtl/>
        </w:rPr>
        <w:t xml:space="preserve"> </w:t>
      </w:r>
      <w:r w:rsidRPr="00974030">
        <w:rPr>
          <w:rFonts w:asciiTheme="minorBidi" w:hAnsiTheme="minorBidi" w:cs="Arial" w:hint="cs"/>
          <w:rtl/>
        </w:rPr>
        <w:t>אל</w:t>
      </w:r>
      <w:r w:rsidRPr="00974030">
        <w:rPr>
          <w:rFonts w:asciiTheme="minorBidi" w:hAnsiTheme="minorBidi" w:cs="Arial"/>
          <w:rtl/>
        </w:rPr>
        <w:t xml:space="preserve"> </w:t>
      </w:r>
      <w:r w:rsidRPr="00974030">
        <w:rPr>
          <w:rFonts w:asciiTheme="minorBidi" w:hAnsiTheme="minorBidi" w:cs="Arial" w:hint="cs"/>
          <w:rtl/>
        </w:rPr>
        <w:t>כלי</w:t>
      </w:r>
      <w:r w:rsidRPr="00974030">
        <w:rPr>
          <w:rFonts w:asciiTheme="minorBidi" w:hAnsiTheme="minorBidi" w:cs="Arial"/>
          <w:rtl/>
        </w:rPr>
        <w:t xml:space="preserve"> </w:t>
      </w:r>
      <w:r w:rsidRPr="00974030">
        <w:rPr>
          <w:rFonts w:asciiTheme="minorBidi" w:hAnsiTheme="minorBidi" w:cs="Arial" w:hint="cs"/>
          <w:rtl/>
        </w:rPr>
        <w:t>כדי</w:t>
      </w:r>
      <w:r w:rsidRPr="00974030">
        <w:rPr>
          <w:rFonts w:asciiTheme="minorBidi" w:hAnsiTheme="minorBidi" w:cs="Arial"/>
          <w:rtl/>
        </w:rPr>
        <w:t xml:space="preserve"> </w:t>
      </w:r>
      <w:r w:rsidRPr="00974030">
        <w:rPr>
          <w:rFonts w:asciiTheme="minorBidi" w:hAnsiTheme="minorBidi" w:cs="Arial" w:hint="cs"/>
          <w:rtl/>
        </w:rPr>
        <w:t>שיתערב</w:t>
      </w:r>
      <w:r w:rsidRPr="00974030">
        <w:rPr>
          <w:rFonts w:asciiTheme="minorBidi" w:hAnsiTheme="minorBidi" w:cs="Arial"/>
          <w:rtl/>
        </w:rPr>
        <w:t xml:space="preserve">; </w:t>
      </w:r>
      <w:r w:rsidRPr="00974030">
        <w:rPr>
          <w:rFonts w:asciiTheme="minorBidi" w:hAnsiTheme="minorBidi" w:cs="Arial" w:hint="cs"/>
          <w:rtl/>
        </w:rPr>
        <w:t>ומותר</w:t>
      </w:r>
      <w:r w:rsidRPr="00974030">
        <w:rPr>
          <w:rFonts w:asciiTheme="minorBidi" w:hAnsiTheme="minorBidi" w:cs="Arial"/>
          <w:rtl/>
        </w:rPr>
        <w:t xml:space="preserve"> </w:t>
      </w:r>
      <w:r w:rsidRPr="00974030">
        <w:rPr>
          <w:rFonts w:asciiTheme="minorBidi" w:hAnsiTheme="minorBidi" w:cs="Arial" w:hint="cs"/>
          <w:rtl/>
        </w:rPr>
        <w:t>לערב</w:t>
      </w:r>
      <w:r w:rsidRPr="00974030">
        <w:rPr>
          <w:rFonts w:asciiTheme="minorBidi" w:hAnsiTheme="minorBidi" w:cs="Arial"/>
          <w:rtl/>
        </w:rPr>
        <w:t xml:space="preserve"> </w:t>
      </w:r>
      <w:r w:rsidRPr="00974030">
        <w:rPr>
          <w:rFonts w:asciiTheme="minorBidi" w:hAnsiTheme="minorBidi" w:cs="Arial" w:hint="cs"/>
          <w:rtl/>
        </w:rPr>
        <w:t>המורסן</w:t>
      </w:r>
      <w:r w:rsidRPr="00974030">
        <w:rPr>
          <w:rFonts w:asciiTheme="minorBidi" w:hAnsiTheme="minorBidi" w:cs="Arial"/>
          <w:rtl/>
        </w:rPr>
        <w:t xml:space="preserve"> </w:t>
      </w:r>
      <w:r w:rsidRPr="00974030">
        <w:rPr>
          <w:rFonts w:asciiTheme="minorBidi" w:hAnsiTheme="minorBidi" w:cs="Arial" w:hint="cs"/>
          <w:rtl/>
        </w:rPr>
        <w:t>כדרכו</w:t>
      </w:r>
      <w:r w:rsidRPr="00974030">
        <w:rPr>
          <w:rFonts w:asciiTheme="minorBidi" w:hAnsiTheme="minorBidi" w:cs="Arial"/>
          <w:rtl/>
        </w:rPr>
        <w:t xml:space="preserve"> </w:t>
      </w:r>
      <w:r w:rsidRPr="00974030">
        <w:rPr>
          <w:rFonts w:asciiTheme="minorBidi" w:hAnsiTheme="minorBidi" w:cs="Arial" w:hint="cs"/>
          <w:rtl/>
        </w:rPr>
        <w:t>בכלי</w:t>
      </w:r>
      <w:r w:rsidRPr="00974030">
        <w:rPr>
          <w:rFonts w:asciiTheme="minorBidi" w:hAnsiTheme="minorBidi" w:cs="Arial"/>
          <w:rtl/>
        </w:rPr>
        <w:t xml:space="preserve"> </w:t>
      </w:r>
      <w:r w:rsidRPr="00974030">
        <w:rPr>
          <w:rFonts w:asciiTheme="minorBidi" w:hAnsiTheme="minorBidi" w:cs="Arial" w:hint="cs"/>
          <w:rtl/>
        </w:rPr>
        <w:t>אחד</w:t>
      </w:r>
      <w:r w:rsidRPr="00974030">
        <w:rPr>
          <w:rFonts w:asciiTheme="minorBidi" w:hAnsiTheme="minorBidi" w:cs="Arial"/>
          <w:rtl/>
        </w:rPr>
        <w:t xml:space="preserve">, </w:t>
      </w:r>
      <w:r w:rsidRPr="00974030">
        <w:rPr>
          <w:rFonts w:asciiTheme="minorBidi" w:hAnsiTheme="minorBidi" w:cs="Arial" w:hint="cs"/>
          <w:rtl/>
        </w:rPr>
        <w:t>ומחלק</w:t>
      </w:r>
      <w:r w:rsidRPr="00974030">
        <w:rPr>
          <w:rFonts w:asciiTheme="minorBidi" w:hAnsiTheme="minorBidi" w:cs="Arial"/>
          <w:rtl/>
        </w:rPr>
        <w:t xml:space="preserve"> </w:t>
      </w:r>
      <w:r w:rsidRPr="00974030">
        <w:rPr>
          <w:rFonts w:asciiTheme="minorBidi" w:hAnsiTheme="minorBidi" w:cs="Arial" w:hint="cs"/>
          <w:rtl/>
        </w:rPr>
        <w:t>אותו</w:t>
      </w:r>
      <w:r w:rsidRPr="00974030">
        <w:rPr>
          <w:rFonts w:asciiTheme="minorBidi" w:hAnsiTheme="minorBidi" w:cs="Arial"/>
          <w:rtl/>
        </w:rPr>
        <w:t xml:space="preserve"> </w:t>
      </w:r>
      <w:r w:rsidRPr="00974030">
        <w:rPr>
          <w:rFonts w:asciiTheme="minorBidi" w:hAnsiTheme="minorBidi" w:cs="Arial" w:hint="cs"/>
          <w:rtl/>
        </w:rPr>
        <w:t>בכלים</w:t>
      </w:r>
      <w:r w:rsidRPr="00974030">
        <w:rPr>
          <w:rFonts w:asciiTheme="minorBidi" w:hAnsiTheme="minorBidi" w:cs="Arial"/>
          <w:rtl/>
        </w:rPr>
        <w:t xml:space="preserve"> </w:t>
      </w:r>
      <w:r w:rsidRPr="00974030">
        <w:rPr>
          <w:rFonts w:asciiTheme="minorBidi" w:hAnsiTheme="minorBidi" w:cs="Arial" w:hint="cs"/>
          <w:rtl/>
        </w:rPr>
        <w:t>הרבה</w:t>
      </w:r>
      <w:r w:rsidRPr="00974030">
        <w:rPr>
          <w:rFonts w:asciiTheme="minorBidi" w:hAnsiTheme="minorBidi" w:cs="Arial"/>
          <w:rtl/>
        </w:rPr>
        <w:t xml:space="preserve"> </w:t>
      </w:r>
      <w:r w:rsidRPr="00974030">
        <w:rPr>
          <w:rFonts w:asciiTheme="minorBidi" w:hAnsiTheme="minorBidi" w:cs="Arial" w:hint="cs"/>
          <w:rtl/>
        </w:rPr>
        <w:t>ונותן</w:t>
      </w:r>
      <w:r w:rsidRPr="00974030">
        <w:rPr>
          <w:rFonts w:asciiTheme="minorBidi" w:hAnsiTheme="minorBidi" w:cs="Arial"/>
          <w:rtl/>
        </w:rPr>
        <w:t xml:space="preserve"> </w:t>
      </w:r>
      <w:r w:rsidRPr="00974030">
        <w:rPr>
          <w:rFonts w:asciiTheme="minorBidi" w:hAnsiTheme="minorBidi" w:cs="Arial" w:hint="cs"/>
          <w:rtl/>
        </w:rPr>
        <w:t>לפני</w:t>
      </w:r>
      <w:r w:rsidRPr="00974030">
        <w:rPr>
          <w:rFonts w:asciiTheme="minorBidi" w:hAnsiTheme="minorBidi" w:cs="Arial"/>
          <w:rtl/>
        </w:rPr>
        <w:t xml:space="preserve"> </w:t>
      </w:r>
      <w:r w:rsidRPr="00974030">
        <w:rPr>
          <w:rFonts w:asciiTheme="minorBidi" w:hAnsiTheme="minorBidi" w:cs="Arial" w:hint="cs"/>
          <w:rtl/>
        </w:rPr>
        <w:t>כל</w:t>
      </w:r>
      <w:r w:rsidRPr="00974030">
        <w:rPr>
          <w:rFonts w:asciiTheme="minorBidi" w:hAnsiTheme="minorBidi" w:cs="Arial"/>
          <w:rtl/>
        </w:rPr>
        <w:t xml:space="preserve"> </w:t>
      </w:r>
      <w:r w:rsidRPr="00974030">
        <w:rPr>
          <w:rFonts w:asciiTheme="minorBidi" w:hAnsiTheme="minorBidi" w:cs="Arial" w:hint="cs"/>
          <w:rtl/>
        </w:rPr>
        <w:t>בהמה</w:t>
      </w:r>
      <w:r w:rsidRPr="00974030">
        <w:rPr>
          <w:rFonts w:asciiTheme="minorBidi" w:hAnsiTheme="minorBidi" w:cs="Arial"/>
          <w:rtl/>
        </w:rPr>
        <w:t xml:space="preserve"> </w:t>
      </w:r>
      <w:r w:rsidRPr="00974030">
        <w:rPr>
          <w:rFonts w:asciiTheme="minorBidi" w:hAnsiTheme="minorBidi" w:cs="Arial" w:hint="cs"/>
          <w:rtl/>
        </w:rPr>
        <w:t>ובהמה</w:t>
      </w:r>
      <w:r w:rsidRPr="00974030">
        <w:rPr>
          <w:rFonts w:asciiTheme="minorBidi" w:hAnsiTheme="minorBidi" w:cs="Arial"/>
          <w:rtl/>
        </w:rPr>
        <w:t xml:space="preserve">; </w:t>
      </w:r>
      <w:r w:rsidRPr="00974030">
        <w:rPr>
          <w:rFonts w:asciiTheme="minorBidi" w:hAnsiTheme="minorBidi" w:cs="Arial" w:hint="cs"/>
          <w:rtl/>
        </w:rPr>
        <w:t>ומערב</w:t>
      </w:r>
      <w:r w:rsidRPr="00974030">
        <w:rPr>
          <w:rFonts w:asciiTheme="minorBidi" w:hAnsiTheme="minorBidi" w:cs="Arial"/>
          <w:rtl/>
        </w:rPr>
        <w:t xml:space="preserve"> </w:t>
      </w:r>
      <w:r w:rsidRPr="00974030">
        <w:rPr>
          <w:rFonts w:asciiTheme="minorBidi" w:hAnsiTheme="minorBidi" w:cs="Arial" w:hint="cs"/>
          <w:rtl/>
        </w:rPr>
        <w:t>בכלי</w:t>
      </w:r>
      <w:r w:rsidRPr="00974030">
        <w:rPr>
          <w:rFonts w:asciiTheme="minorBidi" w:hAnsiTheme="minorBidi" w:cs="Arial"/>
          <w:rtl/>
        </w:rPr>
        <w:t xml:space="preserve"> </w:t>
      </w:r>
      <w:r w:rsidRPr="00974030">
        <w:rPr>
          <w:rFonts w:asciiTheme="minorBidi" w:hAnsiTheme="minorBidi" w:cs="Arial" w:hint="cs"/>
          <w:rtl/>
        </w:rPr>
        <w:t>אחד</w:t>
      </w:r>
      <w:r w:rsidRPr="00974030">
        <w:rPr>
          <w:rFonts w:asciiTheme="minorBidi" w:hAnsiTheme="minorBidi" w:cs="Arial"/>
          <w:rtl/>
        </w:rPr>
        <w:t xml:space="preserve"> </w:t>
      </w:r>
      <w:r w:rsidRPr="00974030">
        <w:rPr>
          <w:rFonts w:asciiTheme="minorBidi" w:hAnsiTheme="minorBidi" w:cs="Arial" w:hint="cs"/>
          <w:rtl/>
        </w:rPr>
        <w:t>אפי</w:t>
      </w:r>
      <w:r w:rsidRPr="00974030">
        <w:rPr>
          <w:rFonts w:asciiTheme="minorBidi" w:hAnsiTheme="minorBidi" w:cs="Arial"/>
          <w:rtl/>
        </w:rPr>
        <w:t xml:space="preserve">' </w:t>
      </w:r>
      <w:r w:rsidRPr="00974030">
        <w:rPr>
          <w:rFonts w:asciiTheme="minorBidi" w:hAnsiTheme="minorBidi" w:cs="Arial" w:hint="cs"/>
          <w:rtl/>
        </w:rPr>
        <w:t>כור</w:t>
      </w:r>
      <w:r w:rsidRPr="00974030">
        <w:rPr>
          <w:rFonts w:asciiTheme="minorBidi" w:hAnsiTheme="minorBidi" w:cs="Arial"/>
          <w:rtl/>
        </w:rPr>
        <w:t xml:space="preserve"> </w:t>
      </w:r>
      <w:r w:rsidRPr="00974030">
        <w:rPr>
          <w:rFonts w:asciiTheme="minorBidi" w:hAnsiTheme="minorBidi" w:cs="Arial" w:hint="cs"/>
          <w:rtl/>
        </w:rPr>
        <w:t>ואפי</w:t>
      </w:r>
      <w:r w:rsidRPr="00974030">
        <w:rPr>
          <w:rFonts w:asciiTheme="minorBidi" w:hAnsiTheme="minorBidi" w:cs="Arial"/>
          <w:rtl/>
        </w:rPr>
        <w:t xml:space="preserve">' </w:t>
      </w:r>
      <w:r w:rsidRPr="00974030">
        <w:rPr>
          <w:rFonts w:asciiTheme="minorBidi" w:hAnsiTheme="minorBidi" w:cs="Arial" w:hint="cs"/>
          <w:rtl/>
        </w:rPr>
        <w:t>כורים</w:t>
      </w:r>
      <w:r w:rsidRPr="00974030">
        <w:rPr>
          <w:rFonts w:asciiTheme="minorBidi" w:hAnsiTheme="minorBidi" w:cs="Arial"/>
          <w:rtl/>
        </w:rPr>
        <w:t xml:space="preserve">. </w:t>
      </w:r>
      <w:r w:rsidRPr="00974030">
        <w:rPr>
          <w:rFonts w:asciiTheme="minorBidi" w:hAnsiTheme="minorBidi" w:cs="Arial" w:hint="cs"/>
          <w:rtl/>
        </w:rPr>
        <w:t>יש</w:t>
      </w:r>
      <w:r w:rsidRPr="00974030">
        <w:rPr>
          <w:rFonts w:asciiTheme="minorBidi" w:hAnsiTheme="minorBidi" w:cs="Arial"/>
          <w:rtl/>
        </w:rPr>
        <w:t xml:space="preserve"> </w:t>
      </w:r>
      <w:r w:rsidRPr="00974030">
        <w:rPr>
          <w:rFonts w:asciiTheme="minorBidi" w:hAnsiTheme="minorBidi" w:cs="Arial" w:hint="cs"/>
          <w:rtl/>
        </w:rPr>
        <w:t>אוסרים</w:t>
      </w:r>
      <w:r w:rsidRPr="00974030">
        <w:rPr>
          <w:rFonts w:asciiTheme="minorBidi" w:hAnsiTheme="minorBidi" w:cs="Arial"/>
          <w:rtl/>
        </w:rPr>
        <w:t xml:space="preserve"> </w:t>
      </w:r>
      <w:r w:rsidRPr="00974030">
        <w:rPr>
          <w:rFonts w:asciiTheme="minorBidi" w:hAnsiTheme="minorBidi" w:cs="Arial" w:hint="cs"/>
          <w:rtl/>
        </w:rPr>
        <w:t>ליתן</w:t>
      </w:r>
      <w:r w:rsidRPr="00974030">
        <w:rPr>
          <w:rFonts w:asciiTheme="minorBidi" w:hAnsiTheme="minorBidi" w:cs="Arial"/>
          <w:rtl/>
        </w:rPr>
        <w:t xml:space="preserve"> </w:t>
      </w:r>
      <w:r w:rsidRPr="00974030">
        <w:rPr>
          <w:rFonts w:asciiTheme="minorBidi" w:hAnsiTheme="minorBidi" w:cs="Arial" w:hint="cs"/>
          <w:rtl/>
        </w:rPr>
        <w:t>מים</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גבי</w:t>
      </w:r>
      <w:r w:rsidRPr="00974030">
        <w:rPr>
          <w:rFonts w:asciiTheme="minorBidi" w:hAnsiTheme="minorBidi" w:cs="Arial"/>
          <w:rtl/>
        </w:rPr>
        <w:t xml:space="preserve"> </w:t>
      </w:r>
      <w:r w:rsidRPr="00974030">
        <w:rPr>
          <w:rFonts w:asciiTheme="minorBidi" w:hAnsiTheme="minorBidi" w:cs="Arial" w:hint="cs"/>
          <w:rtl/>
        </w:rPr>
        <w:t>מורסן</w:t>
      </w:r>
      <w:r w:rsidRPr="00974030">
        <w:rPr>
          <w:rFonts w:asciiTheme="minorBidi" w:hAnsiTheme="minorBidi" w:cs="Arial"/>
          <w:rtl/>
        </w:rPr>
        <w:t xml:space="preserve"> </w:t>
      </w:r>
      <w:r w:rsidRPr="00974030">
        <w:rPr>
          <w:rFonts w:asciiTheme="minorBidi" w:hAnsiTheme="minorBidi" w:cs="Arial" w:hint="cs"/>
          <w:rtl/>
        </w:rPr>
        <w:t>בשבת</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אמרו</w:t>
      </w:r>
      <w:r w:rsidRPr="00974030">
        <w:rPr>
          <w:rFonts w:asciiTheme="minorBidi" w:hAnsiTheme="minorBidi" w:cs="Arial"/>
          <w:rtl/>
        </w:rPr>
        <w:t xml:space="preserve"> </w:t>
      </w:r>
      <w:r w:rsidRPr="00974030">
        <w:rPr>
          <w:rFonts w:asciiTheme="minorBidi" w:hAnsiTheme="minorBidi" w:cs="Arial" w:hint="cs"/>
          <w:rtl/>
        </w:rPr>
        <w:t>שמוליך</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שתי</w:t>
      </w:r>
      <w:r w:rsidRPr="00974030">
        <w:rPr>
          <w:rFonts w:asciiTheme="minorBidi" w:hAnsiTheme="minorBidi" w:cs="Arial"/>
          <w:rtl/>
        </w:rPr>
        <w:t xml:space="preserve"> </w:t>
      </w:r>
      <w:r w:rsidRPr="00974030">
        <w:rPr>
          <w:rFonts w:asciiTheme="minorBidi" w:hAnsiTheme="minorBidi" w:cs="Arial" w:hint="cs"/>
          <w:rtl/>
        </w:rPr>
        <w:t>וערב</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כשהיו</w:t>
      </w:r>
      <w:r w:rsidRPr="00974030">
        <w:rPr>
          <w:rFonts w:asciiTheme="minorBidi" w:hAnsiTheme="minorBidi" w:cs="Arial"/>
          <w:rtl/>
        </w:rPr>
        <w:t xml:space="preserve"> </w:t>
      </w:r>
      <w:r w:rsidRPr="00974030">
        <w:rPr>
          <w:rFonts w:asciiTheme="minorBidi" w:hAnsiTheme="minorBidi" w:cs="Arial" w:hint="cs"/>
          <w:rtl/>
        </w:rPr>
        <w:t>המים</w:t>
      </w:r>
      <w:r w:rsidRPr="00974030">
        <w:rPr>
          <w:rFonts w:asciiTheme="minorBidi" w:hAnsiTheme="minorBidi" w:cs="Arial"/>
          <w:rtl/>
        </w:rPr>
        <w:t xml:space="preserve"> </w:t>
      </w:r>
      <w:r w:rsidRPr="00974030">
        <w:rPr>
          <w:rFonts w:asciiTheme="minorBidi" w:hAnsiTheme="minorBidi" w:cs="Arial" w:hint="cs"/>
          <w:rtl/>
        </w:rPr>
        <w:t>נתונים</w:t>
      </w:r>
      <w:r w:rsidRPr="00974030">
        <w:rPr>
          <w:rFonts w:asciiTheme="minorBidi" w:hAnsiTheme="minorBidi" w:cs="Arial"/>
          <w:rtl/>
        </w:rPr>
        <w:t xml:space="preserve"> </w:t>
      </w:r>
      <w:r w:rsidRPr="00974030">
        <w:rPr>
          <w:rFonts w:asciiTheme="minorBidi" w:hAnsiTheme="minorBidi" w:cs="Arial" w:hint="cs"/>
          <w:rtl/>
        </w:rPr>
        <w:t>עליו</w:t>
      </w:r>
      <w:r w:rsidRPr="00974030">
        <w:rPr>
          <w:rFonts w:asciiTheme="minorBidi" w:hAnsiTheme="minorBidi" w:cs="Arial"/>
          <w:rtl/>
        </w:rPr>
        <w:t xml:space="preserve"> </w:t>
      </w:r>
      <w:r w:rsidRPr="00974030">
        <w:rPr>
          <w:rFonts w:asciiTheme="minorBidi" w:hAnsiTheme="minorBidi" w:cs="Arial" w:hint="cs"/>
          <w:rtl/>
        </w:rPr>
        <w:t>מבעוד</w:t>
      </w:r>
      <w:r w:rsidRPr="00974030">
        <w:rPr>
          <w:rFonts w:asciiTheme="minorBidi" w:hAnsiTheme="minorBidi" w:cs="Arial"/>
          <w:rtl/>
        </w:rPr>
        <w:t xml:space="preserve"> </w:t>
      </w:r>
      <w:r w:rsidRPr="00974030">
        <w:rPr>
          <w:rFonts w:asciiTheme="minorBidi" w:hAnsiTheme="minorBidi" w:cs="Arial" w:hint="cs"/>
          <w:rtl/>
        </w:rPr>
        <w:t>יום</w:t>
      </w:r>
      <w:r w:rsidRPr="00974030">
        <w:rPr>
          <w:rFonts w:asciiTheme="minorBidi" w:hAnsiTheme="minorBidi" w:cs="Arial"/>
          <w:rtl/>
        </w:rPr>
        <w:t xml:space="preserve"> (</w:t>
      </w:r>
      <w:r w:rsidRPr="00974030">
        <w:rPr>
          <w:rFonts w:asciiTheme="minorBidi" w:hAnsiTheme="minorBidi" w:cs="Arial" w:hint="cs"/>
          <w:rtl/>
        </w:rPr>
        <w:t>וע</w:t>
      </w:r>
      <w:r w:rsidRPr="00974030">
        <w:rPr>
          <w:rFonts w:asciiTheme="minorBidi" w:hAnsiTheme="minorBidi" w:cs="Arial"/>
          <w:rtl/>
        </w:rPr>
        <w:t>"</w:t>
      </w:r>
      <w:r w:rsidRPr="00974030">
        <w:rPr>
          <w:rFonts w:asciiTheme="minorBidi" w:hAnsiTheme="minorBidi" w:cs="Arial" w:hint="cs"/>
          <w:rtl/>
        </w:rPr>
        <w:t>ל</w:t>
      </w:r>
      <w:r w:rsidRPr="00974030">
        <w:rPr>
          <w:rFonts w:asciiTheme="minorBidi" w:hAnsiTheme="minorBidi" w:cs="Arial"/>
          <w:rtl/>
        </w:rPr>
        <w:t xml:space="preserve"> </w:t>
      </w:r>
      <w:r w:rsidRPr="00974030">
        <w:rPr>
          <w:rFonts w:asciiTheme="minorBidi" w:hAnsiTheme="minorBidi" w:cs="Arial" w:hint="cs"/>
          <w:rtl/>
        </w:rPr>
        <w:t>סי</w:t>
      </w:r>
      <w:r w:rsidRPr="00974030">
        <w:rPr>
          <w:rFonts w:asciiTheme="minorBidi" w:hAnsiTheme="minorBidi" w:cs="Arial"/>
          <w:rtl/>
        </w:rPr>
        <w:t xml:space="preserve">' </w:t>
      </w:r>
      <w:r w:rsidRPr="00974030">
        <w:rPr>
          <w:rFonts w:asciiTheme="minorBidi" w:hAnsiTheme="minorBidi" w:cs="Arial" w:hint="cs"/>
          <w:rtl/>
        </w:rPr>
        <w:t>שכ</w:t>
      </w:r>
      <w:r w:rsidRPr="00974030">
        <w:rPr>
          <w:rFonts w:asciiTheme="minorBidi" w:hAnsiTheme="minorBidi" w:cs="Arial"/>
          <w:rtl/>
        </w:rPr>
        <w:t>"</w:t>
      </w:r>
      <w:r w:rsidRPr="00974030">
        <w:rPr>
          <w:rFonts w:asciiTheme="minorBidi" w:hAnsiTheme="minorBidi" w:cs="Arial" w:hint="cs"/>
          <w:rtl/>
        </w:rPr>
        <w:t>א</w:t>
      </w:r>
      <w:r w:rsidRPr="00974030">
        <w:rPr>
          <w:rFonts w:asciiTheme="minorBidi" w:hAnsiTheme="minorBidi" w:cs="Arial"/>
          <w:rtl/>
        </w:rPr>
        <w:t xml:space="preserve"> </w:t>
      </w:r>
      <w:r w:rsidRPr="00974030">
        <w:rPr>
          <w:rFonts w:asciiTheme="minorBidi" w:hAnsiTheme="minorBidi" w:cs="Arial" w:hint="cs"/>
          <w:rtl/>
        </w:rPr>
        <w:t>סי</w:t>
      </w:r>
      <w:r w:rsidRPr="00974030">
        <w:rPr>
          <w:rFonts w:asciiTheme="minorBidi" w:hAnsiTheme="minorBidi" w:cs="Arial"/>
          <w:rtl/>
        </w:rPr>
        <w:t>"</w:t>
      </w:r>
      <w:r w:rsidRPr="00974030">
        <w:rPr>
          <w:rFonts w:asciiTheme="minorBidi" w:hAnsiTheme="minorBidi" w:cs="Arial" w:hint="cs"/>
          <w:rtl/>
        </w:rPr>
        <w:t>ו</w:t>
      </w:r>
      <w:r w:rsidRPr="00974030">
        <w:rPr>
          <w:rFonts w:asciiTheme="minorBidi" w:hAnsiTheme="minorBidi" w:cs="Arial"/>
          <w:rtl/>
        </w:rPr>
        <w:t xml:space="preserve"> </w:t>
      </w:r>
      <w:r w:rsidRPr="00974030">
        <w:rPr>
          <w:rFonts w:asciiTheme="minorBidi" w:hAnsiTheme="minorBidi" w:cs="Arial" w:hint="cs"/>
          <w:rtl/>
        </w:rPr>
        <w:t>גבי</w:t>
      </w:r>
      <w:r w:rsidRPr="00974030">
        <w:rPr>
          <w:rFonts w:asciiTheme="minorBidi" w:hAnsiTheme="minorBidi" w:cs="Arial"/>
          <w:rtl/>
        </w:rPr>
        <w:t xml:space="preserve"> </w:t>
      </w:r>
      <w:r w:rsidRPr="00974030">
        <w:rPr>
          <w:rFonts w:asciiTheme="minorBidi" w:hAnsiTheme="minorBidi" w:cs="Arial" w:hint="cs"/>
          <w:rtl/>
        </w:rPr>
        <w:t>שום</w:t>
      </w:r>
      <w:r w:rsidRPr="00974030">
        <w:rPr>
          <w:rFonts w:asciiTheme="minorBidi" w:hAnsiTheme="minorBidi" w:cs="Arial"/>
          <w:rtl/>
        </w:rPr>
        <w:t xml:space="preserve"> </w:t>
      </w:r>
      <w:r w:rsidRPr="00974030">
        <w:rPr>
          <w:rFonts w:asciiTheme="minorBidi" w:hAnsiTheme="minorBidi" w:cs="Arial" w:hint="cs"/>
          <w:rtl/>
        </w:rPr>
        <w:t>וחרדל</w:t>
      </w:r>
      <w:r w:rsidRPr="00974030">
        <w:rPr>
          <w:rFonts w:asciiTheme="minorBidi" w:hAnsiTheme="minorBidi" w:cs="Arial"/>
          <w:rtl/>
        </w:rPr>
        <w:t xml:space="preserve"> </w:t>
      </w:r>
      <w:r w:rsidRPr="00974030">
        <w:rPr>
          <w:rFonts w:asciiTheme="minorBidi" w:hAnsiTheme="minorBidi" w:cs="Arial" w:hint="cs"/>
          <w:rtl/>
        </w:rPr>
        <w:t>כיצד</w:t>
      </w:r>
      <w:r w:rsidRPr="00974030">
        <w:rPr>
          <w:rFonts w:asciiTheme="minorBidi" w:hAnsiTheme="minorBidi" w:cs="Arial"/>
          <w:rtl/>
        </w:rPr>
        <w:t xml:space="preserve"> </w:t>
      </w:r>
      <w:r w:rsidRPr="00974030">
        <w:rPr>
          <w:rFonts w:asciiTheme="minorBidi" w:hAnsiTheme="minorBidi" w:cs="Arial" w:hint="cs"/>
          <w:rtl/>
        </w:rPr>
        <w:t>נוהגין</w:t>
      </w:r>
      <w:r w:rsidRPr="00974030">
        <w:rPr>
          <w:rFonts w:asciiTheme="minorBidi" w:hAnsiTheme="minorBidi" w:cs="Arial"/>
          <w:rtl/>
        </w:rPr>
        <w:t xml:space="preserve">). </w:t>
      </w:r>
    </w:p>
    <w:p w14:paraId="7B9C387D"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ד</w:t>
      </w:r>
    </w:p>
    <w:p w14:paraId="33300C0C" w14:textId="77777777" w:rsidR="006A4BF8" w:rsidRPr="00974030" w:rsidRDefault="006A4BF8" w:rsidP="00434A6A">
      <w:pPr>
        <w:rPr>
          <w:rFonts w:asciiTheme="minorBidi" w:hAnsiTheme="minorBidi"/>
          <w:rtl/>
        </w:rPr>
      </w:pPr>
      <w:r w:rsidRPr="00974030">
        <w:rPr>
          <w:rFonts w:asciiTheme="minorBidi" w:hAnsiTheme="minorBidi" w:cs="Arial" w:hint="cs"/>
          <w:rtl/>
        </w:rPr>
        <w:t>קשין</w:t>
      </w:r>
      <w:r w:rsidRPr="00974030">
        <w:rPr>
          <w:rFonts w:asciiTheme="minorBidi" w:hAnsiTheme="minorBidi" w:cs="Arial"/>
          <w:rtl/>
        </w:rPr>
        <w:t xml:space="preserve"> </w:t>
      </w:r>
      <w:r w:rsidRPr="00974030">
        <w:rPr>
          <w:rFonts w:asciiTheme="minorBidi" w:hAnsiTheme="minorBidi" w:cs="Arial" w:hint="cs"/>
          <w:rtl/>
        </w:rPr>
        <w:t>של</w:t>
      </w:r>
      <w:r w:rsidRPr="00974030">
        <w:rPr>
          <w:rFonts w:asciiTheme="minorBidi" w:hAnsiTheme="minorBidi" w:cs="Arial"/>
          <w:rtl/>
        </w:rPr>
        <w:t xml:space="preserve"> </w:t>
      </w:r>
      <w:r w:rsidRPr="00974030">
        <w:rPr>
          <w:rFonts w:asciiTheme="minorBidi" w:hAnsiTheme="minorBidi" w:cs="Arial" w:hint="cs"/>
          <w:rtl/>
        </w:rPr>
        <w:t>שבלים</w:t>
      </w:r>
      <w:r w:rsidRPr="00974030">
        <w:rPr>
          <w:rFonts w:asciiTheme="minorBidi" w:hAnsiTheme="minorBidi" w:cs="Arial"/>
          <w:rtl/>
        </w:rPr>
        <w:t xml:space="preserve"> </w:t>
      </w:r>
      <w:r w:rsidRPr="00974030">
        <w:rPr>
          <w:rFonts w:asciiTheme="minorBidi" w:hAnsiTheme="minorBidi" w:cs="Arial" w:hint="cs"/>
          <w:rtl/>
        </w:rPr>
        <w:t>שקושרים</w:t>
      </w:r>
      <w:r w:rsidRPr="00974030">
        <w:rPr>
          <w:rFonts w:asciiTheme="minorBidi" w:hAnsiTheme="minorBidi" w:cs="Arial"/>
          <w:rtl/>
        </w:rPr>
        <w:t xml:space="preserve"> </w:t>
      </w:r>
      <w:r w:rsidRPr="00974030">
        <w:rPr>
          <w:rFonts w:asciiTheme="minorBidi" w:hAnsiTheme="minorBidi" w:cs="Arial" w:hint="cs"/>
          <w:rtl/>
        </w:rPr>
        <w:t>בשנים</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בג</w:t>
      </w:r>
      <w:r w:rsidRPr="00974030">
        <w:rPr>
          <w:rFonts w:asciiTheme="minorBidi" w:hAnsiTheme="minorBidi" w:cs="Arial"/>
          <w:rtl/>
        </w:rPr>
        <w:t xml:space="preserve">' </w:t>
      </w:r>
      <w:r w:rsidRPr="00974030">
        <w:rPr>
          <w:rFonts w:asciiTheme="minorBidi" w:hAnsiTheme="minorBidi" w:cs="Arial" w:hint="cs"/>
          <w:rtl/>
        </w:rPr>
        <w:t>מקומות</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להתירן</w:t>
      </w:r>
      <w:r w:rsidRPr="00974030">
        <w:rPr>
          <w:rFonts w:asciiTheme="minorBidi" w:hAnsiTheme="minorBidi" w:cs="Arial"/>
          <w:rtl/>
        </w:rPr>
        <w:t xml:space="preserve"> </w:t>
      </w:r>
      <w:r w:rsidRPr="00974030">
        <w:rPr>
          <w:rFonts w:asciiTheme="minorBidi" w:hAnsiTheme="minorBidi" w:cs="Arial" w:hint="cs"/>
          <w:rtl/>
        </w:rPr>
        <w:t>כדי</w:t>
      </w:r>
      <w:r w:rsidRPr="00974030">
        <w:rPr>
          <w:rFonts w:asciiTheme="minorBidi" w:hAnsiTheme="minorBidi" w:cs="Arial"/>
          <w:rtl/>
        </w:rPr>
        <w:t xml:space="preserve"> </w:t>
      </w:r>
      <w:r w:rsidRPr="00974030">
        <w:rPr>
          <w:rFonts w:asciiTheme="minorBidi" w:hAnsiTheme="minorBidi" w:cs="Arial" w:hint="cs"/>
          <w:rtl/>
        </w:rPr>
        <w:t>שתאכל</w:t>
      </w:r>
      <w:r w:rsidRPr="00974030">
        <w:rPr>
          <w:rFonts w:asciiTheme="minorBidi" w:hAnsiTheme="minorBidi" w:cs="Arial"/>
          <w:rtl/>
        </w:rPr>
        <w:t xml:space="preserve"> </w:t>
      </w:r>
      <w:r w:rsidRPr="00974030">
        <w:rPr>
          <w:rFonts w:asciiTheme="minorBidi" w:hAnsiTheme="minorBidi" w:cs="Arial" w:hint="cs"/>
          <w:rtl/>
        </w:rPr>
        <w:t>מהן</w:t>
      </w:r>
      <w:r w:rsidRPr="00974030">
        <w:rPr>
          <w:rFonts w:asciiTheme="minorBidi" w:hAnsiTheme="minorBidi" w:cs="Arial"/>
          <w:rtl/>
        </w:rPr>
        <w:t xml:space="preserve"> </w:t>
      </w:r>
      <w:r w:rsidRPr="00974030">
        <w:rPr>
          <w:rFonts w:asciiTheme="minorBidi" w:hAnsiTheme="minorBidi" w:cs="Arial" w:hint="cs"/>
          <w:rtl/>
        </w:rPr>
        <w:t>הבהמה</w:t>
      </w:r>
      <w:r w:rsidRPr="00974030">
        <w:rPr>
          <w:rFonts w:asciiTheme="minorBidi" w:hAnsiTheme="minorBidi" w:cs="Arial"/>
          <w:rtl/>
        </w:rPr>
        <w:t xml:space="preserve">. </w:t>
      </w:r>
      <w:r w:rsidRPr="00974030">
        <w:rPr>
          <w:rFonts w:asciiTheme="minorBidi" w:hAnsiTheme="minorBidi" w:cs="Arial" w:hint="cs"/>
          <w:rtl/>
        </w:rPr>
        <w:t>הגה</w:t>
      </w:r>
      <w:r w:rsidRPr="00974030">
        <w:rPr>
          <w:rFonts w:asciiTheme="minorBidi" w:hAnsiTheme="minorBidi" w:cs="Arial"/>
          <w:rtl/>
        </w:rPr>
        <w:t xml:space="preserve">: </w:t>
      </w:r>
      <w:r w:rsidRPr="00974030">
        <w:rPr>
          <w:rFonts w:asciiTheme="minorBidi" w:hAnsiTheme="minorBidi" w:cs="Arial" w:hint="cs"/>
          <w:rtl/>
        </w:rPr>
        <w:t>וי</w:t>
      </w:r>
      <w:r w:rsidRPr="00974030">
        <w:rPr>
          <w:rFonts w:asciiTheme="minorBidi" w:hAnsiTheme="minorBidi" w:cs="Arial"/>
          <w:rtl/>
        </w:rPr>
        <w:t>"</w:t>
      </w:r>
      <w:r w:rsidRPr="00974030">
        <w:rPr>
          <w:rFonts w:asciiTheme="minorBidi" w:hAnsiTheme="minorBidi" w:cs="Arial" w:hint="cs"/>
          <w:rtl/>
        </w:rPr>
        <w:t>א</w:t>
      </w:r>
      <w:r w:rsidRPr="00974030">
        <w:rPr>
          <w:rFonts w:asciiTheme="minorBidi" w:hAnsiTheme="minorBidi" w:cs="Arial"/>
          <w:rtl/>
        </w:rPr>
        <w:t xml:space="preserve"> </w:t>
      </w:r>
      <w:r w:rsidRPr="00974030">
        <w:rPr>
          <w:rFonts w:asciiTheme="minorBidi" w:hAnsiTheme="minorBidi" w:cs="Arial" w:hint="cs"/>
          <w:rtl/>
        </w:rPr>
        <w:t>דלא</w:t>
      </w:r>
      <w:r w:rsidRPr="00974030">
        <w:rPr>
          <w:rFonts w:asciiTheme="minorBidi" w:hAnsiTheme="minorBidi" w:cs="Arial"/>
          <w:rtl/>
        </w:rPr>
        <w:t xml:space="preserve"> </w:t>
      </w:r>
      <w:r w:rsidRPr="00974030">
        <w:rPr>
          <w:rFonts w:asciiTheme="minorBidi" w:hAnsiTheme="minorBidi" w:cs="Arial" w:hint="cs"/>
          <w:rtl/>
        </w:rPr>
        <w:t>שרי</w:t>
      </w:r>
      <w:r w:rsidRPr="00974030">
        <w:rPr>
          <w:rFonts w:asciiTheme="minorBidi" w:hAnsiTheme="minorBidi" w:cs="Arial"/>
          <w:rtl/>
        </w:rPr>
        <w:t xml:space="preserve"> </w:t>
      </w:r>
      <w:r w:rsidRPr="00974030">
        <w:rPr>
          <w:rFonts w:asciiTheme="minorBidi" w:hAnsiTheme="minorBidi" w:cs="Arial" w:hint="cs"/>
          <w:rtl/>
        </w:rPr>
        <w:t>להתיר</w:t>
      </w:r>
      <w:r w:rsidRPr="00974030">
        <w:rPr>
          <w:rFonts w:asciiTheme="minorBidi" w:hAnsiTheme="minorBidi" w:cs="Arial"/>
          <w:rtl/>
        </w:rPr>
        <w:t xml:space="preserve"> </w:t>
      </w:r>
      <w:r w:rsidRPr="00974030">
        <w:rPr>
          <w:rFonts w:asciiTheme="minorBidi" w:hAnsiTheme="minorBidi" w:cs="Arial" w:hint="cs"/>
          <w:rtl/>
        </w:rPr>
        <w:t>רק</w:t>
      </w:r>
      <w:r w:rsidRPr="00974030">
        <w:rPr>
          <w:rFonts w:asciiTheme="minorBidi" w:hAnsiTheme="minorBidi" w:cs="Arial"/>
          <w:rtl/>
        </w:rPr>
        <w:t xml:space="preserve"> </w:t>
      </w:r>
      <w:r w:rsidRPr="00974030">
        <w:rPr>
          <w:rFonts w:asciiTheme="minorBidi" w:hAnsiTheme="minorBidi" w:cs="Arial" w:hint="cs"/>
          <w:rtl/>
        </w:rPr>
        <w:t>בקשר</w:t>
      </w:r>
      <w:r w:rsidRPr="00974030">
        <w:rPr>
          <w:rFonts w:asciiTheme="minorBidi" w:hAnsiTheme="minorBidi" w:cs="Arial"/>
          <w:rtl/>
        </w:rPr>
        <w:t xml:space="preserve"> </w:t>
      </w:r>
      <w:r w:rsidRPr="00974030">
        <w:rPr>
          <w:rFonts w:asciiTheme="minorBidi" w:hAnsiTheme="minorBidi" w:cs="Arial" w:hint="cs"/>
          <w:rtl/>
        </w:rPr>
        <w:t>שאינו</w:t>
      </w:r>
      <w:r w:rsidRPr="00974030">
        <w:rPr>
          <w:rFonts w:asciiTheme="minorBidi" w:hAnsiTheme="minorBidi" w:cs="Arial"/>
          <w:rtl/>
        </w:rPr>
        <w:t xml:space="preserve"> </w:t>
      </w:r>
      <w:r w:rsidRPr="00974030">
        <w:rPr>
          <w:rFonts w:asciiTheme="minorBidi" w:hAnsiTheme="minorBidi" w:cs="Arial" w:hint="cs"/>
          <w:rtl/>
        </w:rPr>
        <w:t>של</w:t>
      </w:r>
      <w:r w:rsidRPr="00974030">
        <w:rPr>
          <w:rFonts w:asciiTheme="minorBidi" w:hAnsiTheme="minorBidi" w:cs="Arial"/>
          <w:rtl/>
        </w:rPr>
        <w:t xml:space="preserve"> </w:t>
      </w:r>
      <w:r w:rsidRPr="00974030">
        <w:rPr>
          <w:rFonts w:asciiTheme="minorBidi" w:hAnsiTheme="minorBidi" w:cs="Arial" w:hint="cs"/>
          <w:rtl/>
        </w:rPr>
        <w:t>קיימא</w:t>
      </w:r>
      <w:r w:rsidRPr="00974030">
        <w:rPr>
          <w:rFonts w:asciiTheme="minorBidi" w:hAnsiTheme="minorBidi" w:cs="Arial"/>
          <w:rtl/>
        </w:rPr>
        <w:t xml:space="preserve"> (</w:t>
      </w:r>
      <w:r w:rsidRPr="00974030">
        <w:rPr>
          <w:rFonts w:asciiTheme="minorBidi" w:hAnsiTheme="minorBidi" w:cs="Arial" w:hint="cs"/>
          <w:rtl/>
        </w:rPr>
        <w:t>הגהות</w:t>
      </w:r>
      <w:r w:rsidRPr="00974030">
        <w:rPr>
          <w:rFonts w:asciiTheme="minorBidi" w:hAnsiTheme="minorBidi" w:cs="Arial"/>
          <w:rtl/>
        </w:rPr>
        <w:t xml:space="preserve"> </w:t>
      </w:r>
      <w:r w:rsidRPr="00974030">
        <w:rPr>
          <w:rFonts w:asciiTheme="minorBidi" w:hAnsiTheme="minorBidi" w:cs="Arial" w:hint="cs"/>
          <w:rtl/>
        </w:rPr>
        <w:t>אלפסי</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לשפשף</w:t>
      </w:r>
      <w:r w:rsidRPr="00974030">
        <w:rPr>
          <w:rFonts w:asciiTheme="minorBidi" w:hAnsiTheme="minorBidi" w:cs="Arial"/>
          <w:rtl/>
        </w:rPr>
        <w:t xml:space="preserve"> </w:t>
      </w:r>
      <w:r w:rsidRPr="00974030">
        <w:rPr>
          <w:rFonts w:asciiTheme="minorBidi" w:hAnsiTheme="minorBidi" w:cs="Arial" w:hint="cs"/>
          <w:rtl/>
        </w:rPr>
        <w:t>בהם</w:t>
      </w:r>
      <w:r w:rsidRPr="00974030">
        <w:rPr>
          <w:rFonts w:asciiTheme="minorBidi" w:hAnsiTheme="minorBidi" w:cs="Arial"/>
          <w:rtl/>
        </w:rPr>
        <w:t xml:space="preserve"> </w:t>
      </w:r>
      <w:r w:rsidRPr="00974030">
        <w:rPr>
          <w:rFonts w:asciiTheme="minorBidi" w:hAnsiTheme="minorBidi" w:cs="Arial" w:hint="cs"/>
          <w:rtl/>
        </w:rPr>
        <w:t>בידים</w:t>
      </w:r>
      <w:r w:rsidRPr="00974030">
        <w:rPr>
          <w:rFonts w:asciiTheme="minorBidi" w:hAnsiTheme="minorBidi" w:cs="Arial"/>
          <w:rtl/>
        </w:rPr>
        <w:t xml:space="preserve"> </w:t>
      </w:r>
      <w:r w:rsidRPr="00974030">
        <w:rPr>
          <w:rFonts w:asciiTheme="minorBidi" w:hAnsiTheme="minorBidi" w:cs="Arial" w:hint="cs"/>
          <w:rtl/>
        </w:rPr>
        <w:t>כדרך</w:t>
      </w:r>
      <w:r w:rsidRPr="00974030">
        <w:rPr>
          <w:rFonts w:asciiTheme="minorBidi" w:hAnsiTheme="minorBidi" w:cs="Arial"/>
          <w:rtl/>
        </w:rPr>
        <w:t xml:space="preserve"> </w:t>
      </w:r>
      <w:r w:rsidRPr="00974030">
        <w:rPr>
          <w:rFonts w:asciiTheme="minorBidi" w:hAnsiTheme="minorBidi" w:cs="Arial" w:hint="cs"/>
          <w:rtl/>
        </w:rPr>
        <w:t>שעושים</w:t>
      </w:r>
      <w:r w:rsidRPr="00974030">
        <w:rPr>
          <w:rFonts w:asciiTheme="minorBidi" w:hAnsiTheme="minorBidi" w:cs="Arial"/>
          <w:rtl/>
        </w:rPr>
        <w:t xml:space="preserve"> </w:t>
      </w:r>
      <w:r w:rsidRPr="00974030">
        <w:rPr>
          <w:rFonts w:asciiTheme="minorBidi" w:hAnsiTheme="minorBidi" w:cs="Arial" w:hint="cs"/>
          <w:rtl/>
        </w:rPr>
        <w:t>באוכלי</w:t>
      </w:r>
      <w:r w:rsidRPr="00974030">
        <w:rPr>
          <w:rFonts w:asciiTheme="minorBidi" w:hAnsiTheme="minorBidi" w:cs="Arial"/>
          <w:rtl/>
        </w:rPr>
        <w:t xml:space="preserve"> </w:t>
      </w:r>
      <w:r w:rsidRPr="00974030">
        <w:rPr>
          <w:rFonts w:asciiTheme="minorBidi" w:hAnsiTheme="minorBidi" w:cs="Arial" w:hint="cs"/>
          <w:rtl/>
        </w:rPr>
        <w:t>בהמה</w:t>
      </w:r>
      <w:r w:rsidRPr="00974030">
        <w:rPr>
          <w:rFonts w:asciiTheme="minorBidi" w:hAnsiTheme="minorBidi" w:cs="Arial"/>
          <w:rtl/>
        </w:rPr>
        <w:t xml:space="preserve"> </w:t>
      </w:r>
      <w:r w:rsidRPr="00974030">
        <w:rPr>
          <w:rFonts w:asciiTheme="minorBidi" w:hAnsiTheme="minorBidi" w:cs="Arial" w:hint="cs"/>
          <w:rtl/>
        </w:rPr>
        <w:t>כדי</w:t>
      </w:r>
      <w:r w:rsidRPr="00974030">
        <w:rPr>
          <w:rFonts w:asciiTheme="minorBidi" w:hAnsiTheme="minorBidi" w:cs="Arial"/>
          <w:rtl/>
        </w:rPr>
        <w:t xml:space="preserve"> </w:t>
      </w:r>
      <w:r w:rsidRPr="00974030">
        <w:rPr>
          <w:rFonts w:asciiTheme="minorBidi" w:hAnsiTheme="minorBidi" w:cs="Arial" w:hint="cs"/>
          <w:rtl/>
        </w:rPr>
        <w:t>שיהו</w:t>
      </w:r>
      <w:r w:rsidRPr="00974030">
        <w:rPr>
          <w:rFonts w:asciiTheme="minorBidi" w:hAnsiTheme="minorBidi" w:cs="Arial"/>
          <w:rtl/>
        </w:rPr>
        <w:t xml:space="preserve"> </w:t>
      </w:r>
      <w:r w:rsidRPr="00974030">
        <w:rPr>
          <w:rFonts w:asciiTheme="minorBidi" w:hAnsiTheme="minorBidi" w:cs="Arial" w:hint="cs"/>
          <w:rtl/>
        </w:rPr>
        <w:t>נוחים</w:t>
      </w:r>
      <w:r w:rsidRPr="00974030">
        <w:rPr>
          <w:rFonts w:asciiTheme="minorBidi" w:hAnsiTheme="minorBidi" w:cs="Arial"/>
          <w:rtl/>
        </w:rPr>
        <w:t xml:space="preserve"> </w:t>
      </w:r>
      <w:r w:rsidRPr="00974030">
        <w:rPr>
          <w:rFonts w:asciiTheme="minorBidi" w:hAnsiTheme="minorBidi" w:cs="Arial" w:hint="cs"/>
          <w:rtl/>
        </w:rPr>
        <w:t>לאכלם</w:t>
      </w:r>
      <w:r w:rsidRPr="00974030">
        <w:rPr>
          <w:rFonts w:asciiTheme="minorBidi" w:hAnsiTheme="minorBidi" w:cs="Arial"/>
          <w:rtl/>
        </w:rPr>
        <w:t xml:space="preserve">, </w:t>
      </w:r>
      <w:r w:rsidRPr="00974030">
        <w:rPr>
          <w:rFonts w:asciiTheme="minorBidi" w:hAnsiTheme="minorBidi" w:cs="Arial" w:hint="cs"/>
          <w:rtl/>
        </w:rPr>
        <w:t>דשוויי</w:t>
      </w:r>
      <w:r w:rsidRPr="00974030">
        <w:rPr>
          <w:rFonts w:asciiTheme="minorBidi" w:hAnsiTheme="minorBidi" w:cs="Arial"/>
          <w:rtl/>
        </w:rPr>
        <w:t xml:space="preserve"> </w:t>
      </w:r>
      <w:r w:rsidRPr="00974030">
        <w:rPr>
          <w:rFonts w:asciiTheme="minorBidi" w:hAnsiTheme="minorBidi" w:cs="Arial" w:hint="cs"/>
          <w:rtl/>
        </w:rPr>
        <w:t>אוכל</w:t>
      </w:r>
      <w:r w:rsidRPr="00974030">
        <w:rPr>
          <w:rFonts w:asciiTheme="minorBidi" w:hAnsiTheme="minorBidi" w:cs="Arial"/>
          <w:rtl/>
        </w:rPr>
        <w:t xml:space="preserve"> </w:t>
      </w:r>
      <w:r w:rsidRPr="00974030">
        <w:rPr>
          <w:rFonts w:asciiTheme="minorBidi" w:hAnsiTheme="minorBidi" w:cs="Arial" w:hint="cs"/>
          <w:rtl/>
        </w:rPr>
        <w:t>בדבר</w:t>
      </w:r>
      <w:r w:rsidRPr="00974030">
        <w:rPr>
          <w:rFonts w:asciiTheme="minorBidi" w:hAnsiTheme="minorBidi" w:cs="Arial"/>
          <w:rtl/>
        </w:rPr>
        <w:t xml:space="preserve"> </w:t>
      </w:r>
      <w:r w:rsidRPr="00974030">
        <w:rPr>
          <w:rFonts w:asciiTheme="minorBidi" w:hAnsiTheme="minorBidi" w:cs="Arial" w:hint="cs"/>
          <w:rtl/>
        </w:rPr>
        <w:t>שאינו</w:t>
      </w:r>
      <w:r w:rsidRPr="00974030">
        <w:rPr>
          <w:rFonts w:asciiTheme="minorBidi" w:hAnsiTheme="minorBidi" w:cs="Arial"/>
          <w:rtl/>
        </w:rPr>
        <w:t xml:space="preserve"> </w:t>
      </w:r>
      <w:r w:rsidRPr="00974030">
        <w:rPr>
          <w:rFonts w:asciiTheme="minorBidi" w:hAnsiTheme="minorBidi" w:cs="Arial" w:hint="cs"/>
          <w:rtl/>
        </w:rPr>
        <w:t>אוכל</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לעשותו</w:t>
      </w:r>
      <w:r w:rsidRPr="00974030">
        <w:rPr>
          <w:rFonts w:asciiTheme="minorBidi" w:hAnsiTheme="minorBidi" w:cs="Arial"/>
          <w:rtl/>
        </w:rPr>
        <w:t xml:space="preserve"> </w:t>
      </w:r>
      <w:r w:rsidRPr="00974030">
        <w:rPr>
          <w:rFonts w:asciiTheme="minorBidi" w:hAnsiTheme="minorBidi" w:cs="Arial" w:hint="cs"/>
          <w:rtl/>
        </w:rPr>
        <w:t>אוכל</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מיטרח</w:t>
      </w:r>
      <w:r w:rsidRPr="00974030">
        <w:rPr>
          <w:rFonts w:asciiTheme="minorBidi" w:hAnsiTheme="minorBidi" w:cs="Arial"/>
          <w:rtl/>
        </w:rPr>
        <w:t xml:space="preserve"> </w:t>
      </w:r>
      <w:r w:rsidRPr="00974030">
        <w:rPr>
          <w:rFonts w:asciiTheme="minorBidi" w:hAnsiTheme="minorBidi" w:cs="Arial" w:hint="cs"/>
          <w:rtl/>
        </w:rPr>
        <w:t>באוכלא</w:t>
      </w:r>
      <w:r w:rsidRPr="00974030">
        <w:rPr>
          <w:rFonts w:asciiTheme="minorBidi" w:hAnsiTheme="minorBidi" w:cs="Arial"/>
          <w:rtl/>
        </w:rPr>
        <w:t xml:space="preserve"> </w:t>
      </w:r>
      <w:r w:rsidRPr="00974030">
        <w:rPr>
          <w:rFonts w:asciiTheme="minorBidi" w:hAnsiTheme="minorBidi" w:cs="Arial" w:hint="cs"/>
          <w:rtl/>
        </w:rPr>
        <w:t>בדבר</w:t>
      </w:r>
      <w:r w:rsidRPr="00974030">
        <w:rPr>
          <w:rFonts w:asciiTheme="minorBidi" w:hAnsiTheme="minorBidi" w:cs="Arial"/>
          <w:rtl/>
        </w:rPr>
        <w:t xml:space="preserve"> </w:t>
      </w:r>
      <w:r w:rsidRPr="00974030">
        <w:rPr>
          <w:rFonts w:asciiTheme="minorBidi" w:hAnsiTheme="minorBidi" w:cs="Arial" w:hint="cs"/>
          <w:rtl/>
        </w:rPr>
        <w:t>שהוא</w:t>
      </w:r>
      <w:r w:rsidRPr="00974030">
        <w:rPr>
          <w:rFonts w:asciiTheme="minorBidi" w:hAnsiTheme="minorBidi" w:cs="Arial"/>
          <w:rtl/>
        </w:rPr>
        <w:t xml:space="preserve"> </w:t>
      </w:r>
      <w:r w:rsidRPr="00974030">
        <w:rPr>
          <w:rFonts w:asciiTheme="minorBidi" w:hAnsiTheme="minorBidi" w:cs="Arial" w:hint="cs"/>
          <w:rtl/>
        </w:rPr>
        <w:t>ראוי</w:t>
      </w:r>
      <w:r w:rsidRPr="00974030">
        <w:rPr>
          <w:rFonts w:asciiTheme="minorBidi" w:hAnsiTheme="minorBidi" w:cs="Arial"/>
          <w:rtl/>
        </w:rPr>
        <w:t xml:space="preserve"> </w:t>
      </w:r>
      <w:r w:rsidRPr="00974030">
        <w:rPr>
          <w:rFonts w:asciiTheme="minorBidi" w:hAnsiTheme="minorBidi" w:cs="Arial" w:hint="cs"/>
          <w:rtl/>
        </w:rPr>
        <w:t>לאכילה</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טרחינן</w:t>
      </w:r>
      <w:r w:rsidRPr="00974030">
        <w:rPr>
          <w:rFonts w:asciiTheme="minorBidi" w:hAnsiTheme="minorBidi" w:cs="Arial"/>
          <w:rtl/>
        </w:rPr>
        <w:t xml:space="preserve"> </w:t>
      </w:r>
      <w:r w:rsidRPr="00974030">
        <w:rPr>
          <w:rFonts w:asciiTheme="minorBidi" w:hAnsiTheme="minorBidi" w:cs="Arial" w:hint="cs"/>
          <w:rtl/>
        </w:rPr>
        <w:t>ביה</w:t>
      </w:r>
      <w:r w:rsidRPr="00974030">
        <w:rPr>
          <w:rFonts w:asciiTheme="minorBidi" w:hAnsiTheme="minorBidi" w:cs="Arial"/>
          <w:rtl/>
        </w:rPr>
        <w:t xml:space="preserve"> </w:t>
      </w:r>
      <w:r w:rsidRPr="00974030">
        <w:rPr>
          <w:rFonts w:asciiTheme="minorBidi" w:hAnsiTheme="minorBidi" w:cs="Arial" w:hint="cs"/>
          <w:rtl/>
        </w:rPr>
        <w:t>להכשירו</w:t>
      </w:r>
      <w:r w:rsidRPr="00974030">
        <w:rPr>
          <w:rFonts w:asciiTheme="minorBidi" w:hAnsiTheme="minorBidi" w:cs="Arial"/>
          <w:rtl/>
        </w:rPr>
        <w:t xml:space="preserve"> </w:t>
      </w:r>
      <w:r w:rsidRPr="00974030">
        <w:rPr>
          <w:rFonts w:asciiTheme="minorBidi" w:hAnsiTheme="minorBidi" w:cs="Arial" w:hint="cs"/>
          <w:rtl/>
        </w:rPr>
        <w:t>ולתקנו</w:t>
      </w:r>
      <w:r w:rsidRPr="00974030">
        <w:rPr>
          <w:rFonts w:asciiTheme="minorBidi" w:hAnsiTheme="minorBidi" w:cs="Arial"/>
          <w:rtl/>
        </w:rPr>
        <w:t xml:space="preserve"> </w:t>
      </w:r>
      <w:r w:rsidRPr="00974030">
        <w:rPr>
          <w:rFonts w:asciiTheme="minorBidi" w:hAnsiTheme="minorBidi" w:cs="Arial" w:hint="cs"/>
          <w:rtl/>
        </w:rPr>
        <w:t>יותר</w:t>
      </w:r>
      <w:r w:rsidRPr="00974030">
        <w:rPr>
          <w:rFonts w:asciiTheme="minorBidi" w:hAnsiTheme="minorBidi" w:cs="Arial"/>
          <w:rtl/>
        </w:rPr>
        <w:t xml:space="preserve">. </w:t>
      </w:r>
    </w:p>
    <w:p w14:paraId="554AECEB"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ה</w:t>
      </w:r>
    </w:p>
    <w:p w14:paraId="366FD4EE" w14:textId="77777777" w:rsidR="006A4BF8" w:rsidRPr="00974030" w:rsidRDefault="006A4BF8" w:rsidP="00434A6A">
      <w:pPr>
        <w:rPr>
          <w:rFonts w:asciiTheme="minorBidi" w:hAnsiTheme="minorBidi"/>
          <w:rtl/>
        </w:rPr>
      </w:pPr>
      <w:r w:rsidRPr="00974030">
        <w:rPr>
          <w:rFonts w:asciiTheme="minorBidi" w:hAnsiTheme="minorBidi" w:cs="Arial" w:hint="cs"/>
          <w:rtl/>
        </w:rPr>
        <w:t>עצים</w:t>
      </w:r>
      <w:r w:rsidRPr="00974030">
        <w:rPr>
          <w:rFonts w:asciiTheme="minorBidi" w:hAnsiTheme="minorBidi" w:cs="Arial"/>
          <w:rtl/>
        </w:rPr>
        <w:t xml:space="preserve"> </w:t>
      </w:r>
      <w:r w:rsidRPr="00974030">
        <w:rPr>
          <w:rFonts w:asciiTheme="minorBidi" w:hAnsiTheme="minorBidi" w:cs="Arial" w:hint="cs"/>
          <w:rtl/>
        </w:rPr>
        <w:t>שקצצן</w:t>
      </w:r>
      <w:r w:rsidRPr="00974030">
        <w:rPr>
          <w:rFonts w:asciiTheme="minorBidi" w:hAnsiTheme="minorBidi" w:cs="Arial"/>
          <w:rtl/>
        </w:rPr>
        <w:t xml:space="preserve"> </w:t>
      </w:r>
      <w:r w:rsidRPr="00974030">
        <w:rPr>
          <w:rFonts w:asciiTheme="minorBidi" w:hAnsiTheme="minorBidi" w:cs="Arial" w:hint="cs"/>
          <w:rtl/>
        </w:rPr>
        <w:t>מן</w:t>
      </w:r>
      <w:r w:rsidRPr="00974030">
        <w:rPr>
          <w:rFonts w:asciiTheme="minorBidi" w:hAnsiTheme="minorBidi" w:cs="Arial"/>
          <w:rtl/>
        </w:rPr>
        <w:t xml:space="preserve"> </w:t>
      </w:r>
      <w:r w:rsidRPr="00974030">
        <w:rPr>
          <w:rFonts w:asciiTheme="minorBidi" w:hAnsiTheme="minorBidi" w:cs="Arial" w:hint="cs"/>
          <w:rtl/>
        </w:rPr>
        <w:t>האילן</w:t>
      </w:r>
      <w:r w:rsidRPr="00974030">
        <w:rPr>
          <w:rFonts w:asciiTheme="minorBidi" w:hAnsiTheme="minorBidi" w:cs="Arial"/>
          <w:rtl/>
        </w:rPr>
        <w:t xml:space="preserve">, </w:t>
      </w:r>
      <w:r w:rsidRPr="00974030">
        <w:rPr>
          <w:rFonts w:asciiTheme="minorBidi" w:hAnsiTheme="minorBidi" w:cs="Arial" w:hint="cs"/>
          <w:rtl/>
        </w:rPr>
        <w:t>ויש</w:t>
      </w:r>
      <w:r w:rsidRPr="00974030">
        <w:rPr>
          <w:rFonts w:asciiTheme="minorBidi" w:hAnsiTheme="minorBidi" w:cs="Arial"/>
          <w:rtl/>
        </w:rPr>
        <w:t xml:space="preserve"> </w:t>
      </w:r>
      <w:r w:rsidRPr="00974030">
        <w:rPr>
          <w:rFonts w:asciiTheme="minorBidi" w:hAnsiTheme="minorBidi" w:cs="Arial" w:hint="cs"/>
          <w:rtl/>
        </w:rPr>
        <w:t>מאכילים</w:t>
      </w:r>
      <w:r w:rsidRPr="00974030">
        <w:rPr>
          <w:rFonts w:asciiTheme="minorBidi" w:hAnsiTheme="minorBidi" w:cs="Arial"/>
          <w:rtl/>
        </w:rPr>
        <w:t xml:space="preserve"> </w:t>
      </w:r>
      <w:r w:rsidRPr="00974030">
        <w:rPr>
          <w:rFonts w:asciiTheme="minorBidi" w:hAnsiTheme="minorBidi" w:cs="Arial" w:hint="cs"/>
          <w:rtl/>
        </w:rPr>
        <w:t>אותם</w:t>
      </w:r>
      <w:r w:rsidRPr="00974030">
        <w:rPr>
          <w:rFonts w:asciiTheme="minorBidi" w:hAnsiTheme="minorBidi" w:cs="Arial"/>
          <w:rtl/>
        </w:rPr>
        <w:t xml:space="preserve"> </w:t>
      </w:r>
      <w:r w:rsidRPr="00974030">
        <w:rPr>
          <w:rFonts w:asciiTheme="minorBidi" w:hAnsiTheme="minorBidi" w:cs="Arial" w:hint="cs"/>
          <w:rtl/>
        </w:rPr>
        <w:t>לבהמה</w:t>
      </w:r>
      <w:r w:rsidRPr="00974030">
        <w:rPr>
          <w:rFonts w:asciiTheme="minorBidi" w:hAnsiTheme="minorBidi" w:cs="Arial"/>
          <w:rtl/>
        </w:rPr>
        <w:t xml:space="preserve"> </w:t>
      </w:r>
      <w:r w:rsidRPr="00974030">
        <w:rPr>
          <w:rFonts w:asciiTheme="minorBidi" w:hAnsiTheme="minorBidi" w:cs="Arial" w:hint="cs"/>
          <w:rtl/>
        </w:rPr>
        <w:t>בעודם</w:t>
      </w:r>
      <w:r w:rsidRPr="00974030">
        <w:rPr>
          <w:rFonts w:asciiTheme="minorBidi" w:hAnsiTheme="minorBidi" w:cs="Arial"/>
          <w:rtl/>
        </w:rPr>
        <w:t xml:space="preserve"> </w:t>
      </w:r>
      <w:r w:rsidRPr="00974030">
        <w:rPr>
          <w:rFonts w:asciiTheme="minorBidi" w:hAnsiTheme="minorBidi" w:cs="Arial" w:hint="cs"/>
          <w:rtl/>
        </w:rPr>
        <w:t>לחים</w:t>
      </w:r>
      <w:r w:rsidRPr="00974030">
        <w:rPr>
          <w:rFonts w:asciiTheme="minorBidi" w:hAnsiTheme="minorBidi" w:cs="Arial"/>
          <w:rtl/>
        </w:rPr>
        <w:t xml:space="preserve">, </w:t>
      </w:r>
      <w:r w:rsidRPr="00974030">
        <w:rPr>
          <w:rFonts w:asciiTheme="minorBidi" w:hAnsiTheme="minorBidi" w:cs="Arial" w:hint="cs"/>
          <w:rtl/>
        </w:rPr>
        <w:t>מתירין</w:t>
      </w:r>
      <w:r w:rsidRPr="00974030">
        <w:rPr>
          <w:rFonts w:asciiTheme="minorBidi" w:hAnsiTheme="minorBidi" w:cs="Arial"/>
          <w:rtl/>
        </w:rPr>
        <w:t xml:space="preserve"> </w:t>
      </w:r>
      <w:r w:rsidRPr="00974030">
        <w:rPr>
          <w:rFonts w:asciiTheme="minorBidi" w:hAnsiTheme="minorBidi" w:cs="Arial" w:hint="cs"/>
          <w:rtl/>
        </w:rPr>
        <w:t>ומפספסין</w:t>
      </w:r>
      <w:r w:rsidRPr="00974030">
        <w:rPr>
          <w:rFonts w:asciiTheme="minorBidi" w:hAnsiTheme="minorBidi" w:cs="Arial"/>
          <w:rtl/>
        </w:rPr>
        <w:t xml:space="preserve"> (</w:t>
      </w:r>
      <w:r w:rsidRPr="00974030">
        <w:rPr>
          <w:rFonts w:asciiTheme="minorBidi" w:hAnsiTheme="minorBidi" w:cs="Arial" w:hint="cs"/>
          <w:rtl/>
        </w:rPr>
        <w:t>לשון</w:t>
      </w:r>
      <w:r w:rsidRPr="00974030">
        <w:rPr>
          <w:rFonts w:asciiTheme="minorBidi" w:hAnsiTheme="minorBidi" w:cs="Arial"/>
          <w:rtl/>
        </w:rPr>
        <w:t xml:space="preserve"> </w:t>
      </w:r>
      <w:r w:rsidRPr="00974030">
        <w:rPr>
          <w:rFonts w:asciiTheme="minorBidi" w:hAnsiTheme="minorBidi" w:cs="Arial" w:hint="cs"/>
          <w:rtl/>
        </w:rPr>
        <w:t>שפשוף</w:t>
      </w:r>
      <w:r w:rsidRPr="00974030">
        <w:rPr>
          <w:rFonts w:asciiTheme="minorBidi" w:hAnsiTheme="minorBidi" w:cs="Arial"/>
          <w:rtl/>
        </w:rPr>
        <w:t xml:space="preserve">) </w:t>
      </w:r>
      <w:r w:rsidRPr="00974030">
        <w:rPr>
          <w:rFonts w:asciiTheme="minorBidi" w:hAnsiTheme="minorBidi" w:cs="Arial" w:hint="cs"/>
          <w:rtl/>
        </w:rPr>
        <w:t>בהם</w:t>
      </w:r>
      <w:r w:rsidRPr="00974030">
        <w:rPr>
          <w:rFonts w:asciiTheme="minorBidi" w:hAnsiTheme="minorBidi" w:cs="Arial"/>
          <w:rtl/>
        </w:rPr>
        <w:t xml:space="preserve"> </w:t>
      </w:r>
      <w:r w:rsidRPr="00974030">
        <w:rPr>
          <w:rFonts w:asciiTheme="minorBidi" w:hAnsiTheme="minorBidi" w:cs="Arial" w:hint="cs"/>
          <w:rtl/>
        </w:rPr>
        <w:t>להאכילם</w:t>
      </w:r>
      <w:r w:rsidRPr="00974030">
        <w:rPr>
          <w:rFonts w:asciiTheme="minorBidi" w:hAnsiTheme="minorBidi" w:cs="Arial"/>
          <w:rtl/>
        </w:rPr>
        <w:t xml:space="preserve">, </w:t>
      </w:r>
      <w:r w:rsidRPr="00974030">
        <w:rPr>
          <w:rFonts w:asciiTheme="minorBidi" w:hAnsiTheme="minorBidi" w:cs="Arial" w:hint="cs"/>
          <w:rtl/>
        </w:rPr>
        <w:t>שאינם</w:t>
      </w:r>
      <w:r w:rsidRPr="00974030">
        <w:rPr>
          <w:rFonts w:asciiTheme="minorBidi" w:hAnsiTheme="minorBidi" w:cs="Arial"/>
          <w:rtl/>
        </w:rPr>
        <w:t xml:space="preserve"> </w:t>
      </w:r>
      <w:r w:rsidRPr="00974030">
        <w:rPr>
          <w:rFonts w:asciiTheme="minorBidi" w:hAnsiTheme="minorBidi" w:cs="Arial" w:hint="cs"/>
          <w:rtl/>
        </w:rPr>
        <w:t>ראויים</w:t>
      </w:r>
      <w:r w:rsidRPr="00974030">
        <w:rPr>
          <w:rFonts w:asciiTheme="minorBidi" w:hAnsiTheme="minorBidi" w:cs="Arial"/>
          <w:rtl/>
        </w:rPr>
        <w:t xml:space="preserve"> </w:t>
      </w:r>
      <w:r w:rsidRPr="00974030">
        <w:rPr>
          <w:rFonts w:asciiTheme="minorBidi" w:hAnsiTheme="minorBidi" w:cs="Arial" w:hint="cs"/>
          <w:rtl/>
        </w:rPr>
        <w:t>בלא</w:t>
      </w:r>
      <w:r w:rsidRPr="00974030">
        <w:rPr>
          <w:rFonts w:asciiTheme="minorBidi" w:hAnsiTheme="minorBidi" w:cs="Arial"/>
          <w:rtl/>
        </w:rPr>
        <w:t xml:space="preserve"> </w:t>
      </w:r>
      <w:r w:rsidRPr="00974030">
        <w:rPr>
          <w:rFonts w:asciiTheme="minorBidi" w:hAnsiTheme="minorBidi" w:cs="Arial" w:hint="cs"/>
          <w:rtl/>
        </w:rPr>
        <w:t>שפשוף</w:t>
      </w:r>
      <w:r w:rsidRPr="00974030">
        <w:rPr>
          <w:rFonts w:asciiTheme="minorBidi" w:hAnsiTheme="minorBidi" w:cs="Arial"/>
          <w:rtl/>
        </w:rPr>
        <w:t xml:space="preserve">. </w:t>
      </w:r>
    </w:p>
    <w:p w14:paraId="7B4874F7"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ו</w:t>
      </w:r>
    </w:p>
    <w:p w14:paraId="25BC2503" w14:textId="77777777" w:rsidR="006A4BF8" w:rsidRPr="00974030" w:rsidRDefault="006A4BF8" w:rsidP="00434A6A">
      <w:pPr>
        <w:rPr>
          <w:rFonts w:asciiTheme="minorBidi" w:hAnsiTheme="minorBidi"/>
          <w:rtl/>
        </w:rPr>
      </w:pPr>
      <w:r w:rsidRPr="00974030">
        <w:rPr>
          <w:rFonts w:asciiTheme="minorBidi" w:hAnsiTheme="minorBidi" w:cs="Arial" w:hint="cs"/>
          <w:rtl/>
        </w:rPr>
        <w:t>מחתכין</w:t>
      </w:r>
      <w:r w:rsidRPr="00974030">
        <w:rPr>
          <w:rFonts w:asciiTheme="minorBidi" w:hAnsiTheme="minorBidi" w:cs="Arial"/>
          <w:rtl/>
        </w:rPr>
        <w:t xml:space="preserve"> </w:t>
      </w:r>
      <w:r w:rsidRPr="00974030">
        <w:rPr>
          <w:rFonts w:asciiTheme="minorBidi" w:hAnsiTheme="minorBidi" w:cs="Arial" w:hint="cs"/>
          <w:rtl/>
        </w:rPr>
        <w:t>דלועין</w:t>
      </w:r>
      <w:r w:rsidRPr="00974030">
        <w:rPr>
          <w:rFonts w:asciiTheme="minorBidi" w:hAnsiTheme="minorBidi" w:cs="Arial"/>
          <w:rtl/>
        </w:rPr>
        <w:t xml:space="preserve"> </w:t>
      </w:r>
      <w:r w:rsidRPr="00974030">
        <w:rPr>
          <w:rFonts w:asciiTheme="minorBidi" w:hAnsiTheme="minorBidi" w:cs="Arial" w:hint="cs"/>
          <w:rtl/>
        </w:rPr>
        <w:t>לפני</w:t>
      </w:r>
      <w:r w:rsidRPr="00974030">
        <w:rPr>
          <w:rFonts w:asciiTheme="minorBidi" w:hAnsiTheme="minorBidi" w:cs="Arial"/>
          <w:rtl/>
        </w:rPr>
        <w:t xml:space="preserve"> </w:t>
      </w:r>
      <w:r w:rsidRPr="00974030">
        <w:rPr>
          <w:rFonts w:asciiTheme="minorBidi" w:hAnsiTheme="minorBidi" w:cs="Arial" w:hint="cs"/>
          <w:rtl/>
        </w:rPr>
        <w:t>בהמה</w:t>
      </w:r>
      <w:r w:rsidRPr="00974030">
        <w:rPr>
          <w:rFonts w:asciiTheme="minorBidi" w:hAnsiTheme="minorBidi" w:cs="Arial"/>
          <w:rtl/>
        </w:rPr>
        <w:t xml:space="preserve">, </w:t>
      </w:r>
      <w:r w:rsidRPr="00974030">
        <w:rPr>
          <w:rFonts w:asciiTheme="minorBidi" w:hAnsiTheme="minorBidi" w:cs="Arial" w:hint="cs"/>
          <w:rtl/>
        </w:rPr>
        <w:t>והוא</w:t>
      </w:r>
      <w:r w:rsidRPr="00974030">
        <w:rPr>
          <w:rFonts w:asciiTheme="minorBidi" w:hAnsiTheme="minorBidi" w:cs="Arial"/>
          <w:rtl/>
        </w:rPr>
        <w:t xml:space="preserve"> </w:t>
      </w:r>
      <w:r w:rsidRPr="00974030">
        <w:rPr>
          <w:rFonts w:asciiTheme="minorBidi" w:hAnsiTheme="minorBidi" w:cs="Arial" w:hint="cs"/>
          <w:rtl/>
        </w:rPr>
        <w:t>שנתלשו</w:t>
      </w:r>
      <w:r w:rsidRPr="00974030">
        <w:rPr>
          <w:rFonts w:asciiTheme="minorBidi" w:hAnsiTheme="minorBidi" w:cs="Arial"/>
          <w:rtl/>
        </w:rPr>
        <w:t xml:space="preserve"> </w:t>
      </w:r>
      <w:r w:rsidRPr="00974030">
        <w:rPr>
          <w:rFonts w:asciiTheme="minorBidi" w:hAnsiTheme="minorBidi" w:cs="Arial" w:hint="cs"/>
          <w:rtl/>
        </w:rPr>
        <w:t>מאתמול</w:t>
      </w:r>
      <w:r w:rsidRPr="00974030">
        <w:rPr>
          <w:rFonts w:asciiTheme="minorBidi" w:hAnsiTheme="minorBidi" w:cs="Arial"/>
          <w:rtl/>
        </w:rPr>
        <w:t xml:space="preserve">. </w:t>
      </w:r>
    </w:p>
    <w:p w14:paraId="3DE4B28A"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ז</w:t>
      </w:r>
    </w:p>
    <w:p w14:paraId="09A238CB" w14:textId="77777777" w:rsidR="006A4BF8" w:rsidRPr="00974030" w:rsidRDefault="006A4BF8" w:rsidP="00434A6A">
      <w:pPr>
        <w:rPr>
          <w:rFonts w:asciiTheme="minorBidi" w:hAnsiTheme="minorBidi"/>
          <w:rtl/>
        </w:rPr>
      </w:pPr>
      <w:r w:rsidRPr="00974030">
        <w:rPr>
          <w:rFonts w:asciiTheme="minorBidi" w:hAnsiTheme="minorBidi" w:cs="Arial" w:hint="cs"/>
          <w:rtl/>
        </w:rPr>
        <w:t>מחתכין</w:t>
      </w:r>
      <w:r w:rsidRPr="00974030">
        <w:rPr>
          <w:rFonts w:asciiTheme="minorBidi" w:hAnsiTheme="minorBidi" w:cs="Arial"/>
          <w:rtl/>
        </w:rPr>
        <w:t xml:space="preserve"> </w:t>
      </w:r>
      <w:r w:rsidRPr="00974030">
        <w:rPr>
          <w:rFonts w:asciiTheme="minorBidi" w:hAnsiTheme="minorBidi" w:cs="Arial" w:hint="cs"/>
          <w:rtl/>
        </w:rPr>
        <w:t>נבילה</w:t>
      </w:r>
      <w:r w:rsidRPr="00974030">
        <w:rPr>
          <w:rFonts w:asciiTheme="minorBidi" w:hAnsiTheme="minorBidi" w:cs="Arial"/>
          <w:rtl/>
        </w:rPr>
        <w:t xml:space="preserve"> </w:t>
      </w:r>
      <w:r w:rsidRPr="00974030">
        <w:rPr>
          <w:rFonts w:asciiTheme="minorBidi" w:hAnsiTheme="minorBidi" w:cs="Arial" w:hint="cs"/>
          <w:rtl/>
        </w:rPr>
        <w:t>לפני</w:t>
      </w:r>
      <w:r w:rsidRPr="00974030">
        <w:rPr>
          <w:rFonts w:asciiTheme="minorBidi" w:hAnsiTheme="minorBidi" w:cs="Arial"/>
          <w:rtl/>
        </w:rPr>
        <w:t xml:space="preserve"> </w:t>
      </w:r>
      <w:r w:rsidRPr="00974030">
        <w:rPr>
          <w:rFonts w:asciiTheme="minorBidi" w:hAnsiTheme="minorBidi" w:cs="Arial" w:hint="cs"/>
          <w:rtl/>
        </w:rPr>
        <w:t>הכלבים</w:t>
      </w:r>
      <w:r w:rsidRPr="00974030">
        <w:rPr>
          <w:rFonts w:asciiTheme="minorBidi" w:hAnsiTheme="minorBidi" w:cs="Arial"/>
          <w:rtl/>
        </w:rPr>
        <w:t xml:space="preserve"> </w:t>
      </w:r>
      <w:r w:rsidRPr="00974030">
        <w:rPr>
          <w:rFonts w:asciiTheme="minorBidi" w:hAnsiTheme="minorBidi" w:cs="Arial" w:hint="cs"/>
          <w:rtl/>
        </w:rPr>
        <w:t>אפי</w:t>
      </w:r>
      <w:r w:rsidRPr="00974030">
        <w:rPr>
          <w:rFonts w:asciiTheme="minorBidi" w:hAnsiTheme="minorBidi" w:cs="Arial"/>
          <w:rtl/>
        </w:rPr>
        <w:t xml:space="preserve">' </w:t>
      </w:r>
      <w:r w:rsidRPr="00974030">
        <w:rPr>
          <w:rFonts w:asciiTheme="minorBidi" w:hAnsiTheme="minorBidi" w:cs="Arial" w:hint="cs"/>
          <w:rtl/>
        </w:rPr>
        <w:t>נתנבלה</w:t>
      </w:r>
      <w:r w:rsidRPr="00974030">
        <w:rPr>
          <w:rFonts w:asciiTheme="minorBidi" w:hAnsiTheme="minorBidi" w:cs="Arial"/>
          <w:rtl/>
        </w:rPr>
        <w:t xml:space="preserve"> </w:t>
      </w:r>
      <w:r w:rsidRPr="00974030">
        <w:rPr>
          <w:rFonts w:asciiTheme="minorBidi" w:hAnsiTheme="minorBidi" w:cs="Arial" w:hint="cs"/>
          <w:rtl/>
        </w:rPr>
        <w:t>היום</w:t>
      </w:r>
      <w:r w:rsidRPr="00974030">
        <w:rPr>
          <w:rFonts w:asciiTheme="minorBidi" w:hAnsiTheme="minorBidi" w:cs="Arial"/>
          <w:rtl/>
        </w:rPr>
        <w:t xml:space="preserve">, </w:t>
      </w:r>
      <w:r w:rsidRPr="00974030">
        <w:rPr>
          <w:rFonts w:asciiTheme="minorBidi" w:hAnsiTheme="minorBidi" w:cs="Arial" w:hint="cs"/>
          <w:rtl/>
        </w:rPr>
        <w:t>בין</w:t>
      </w:r>
      <w:r w:rsidRPr="00974030">
        <w:rPr>
          <w:rFonts w:asciiTheme="minorBidi" w:hAnsiTheme="minorBidi" w:cs="Arial"/>
          <w:rtl/>
        </w:rPr>
        <w:t xml:space="preserve"> </w:t>
      </w:r>
      <w:r w:rsidRPr="00974030">
        <w:rPr>
          <w:rFonts w:asciiTheme="minorBidi" w:hAnsiTheme="minorBidi" w:cs="Arial" w:hint="cs"/>
          <w:rtl/>
        </w:rPr>
        <w:t>שהיתה</w:t>
      </w:r>
      <w:r w:rsidRPr="00974030">
        <w:rPr>
          <w:rFonts w:asciiTheme="minorBidi" w:hAnsiTheme="minorBidi" w:cs="Arial"/>
          <w:rtl/>
        </w:rPr>
        <w:t xml:space="preserve"> </w:t>
      </w:r>
      <w:r w:rsidRPr="00974030">
        <w:rPr>
          <w:rFonts w:asciiTheme="minorBidi" w:hAnsiTheme="minorBidi" w:cs="Arial" w:hint="cs"/>
          <w:rtl/>
        </w:rPr>
        <w:t>מסוכנת</w:t>
      </w:r>
      <w:r w:rsidRPr="00974030">
        <w:rPr>
          <w:rFonts w:asciiTheme="minorBidi" w:hAnsiTheme="minorBidi" w:cs="Arial"/>
          <w:rtl/>
        </w:rPr>
        <w:t xml:space="preserve"> </w:t>
      </w:r>
      <w:r w:rsidRPr="00974030">
        <w:rPr>
          <w:rFonts w:asciiTheme="minorBidi" w:hAnsiTheme="minorBidi" w:cs="Arial" w:hint="cs"/>
          <w:rtl/>
        </w:rPr>
        <w:t>בין</w:t>
      </w:r>
      <w:r w:rsidRPr="00974030">
        <w:rPr>
          <w:rFonts w:asciiTheme="minorBidi" w:hAnsiTheme="minorBidi" w:cs="Arial"/>
          <w:rtl/>
        </w:rPr>
        <w:t xml:space="preserve"> </w:t>
      </w:r>
      <w:r w:rsidRPr="00974030">
        <w:rPr>
          <w:rFonts w:asciiTheme="minorBidi" w:hAnsiTheme="minorBidi" w:cs="Arial" w:hint="cs"/>
          <w:rtl/>
        </w:rPr>
        <w:t>שהיתה</w:t>
      </w:r>
      <w:r w:rsidRPr="00974030">
        <w:rPr>
          <w:rFonts w:asciiTheme="minorBidi" w:hAnsiTheme="minorBidi" w:cs="Arial"/>
          <w:rtl/>
        </w:rPr>
        <w:t xml:space="preserve"> </w:t>
      </w:r>
      <w:r w:rsidRPr="00974030">
        <w:rPr>
          <w:rFonts w:asciiTheme="minorBidi" w:hAnsiTheme="minorBidi" w:cs="Arial" w:hint="cs"/>
          <w:rtl/>
        </w:rPr>
        <w:t>בריאה</w:t>
      </w:r>
      <w:r w:rsidRPr="00974030">
        <w:rPr>
          <w:rFonts w:asciiTheme="minorBidi" w:hAnsiTheme="minorBidi" w:cs="Arial"/>
          <w:rtl/>
        </w:rPr>
        <w:t xml:space="preserve">, </w:t>
      </w:r>
      <w:r w:rsidRPr="00974030">
        <w:rPr>
          <w:rFonts w:asciiTheme="minorBidi" w:hAnsiTheme="minorBidi" w:cs="Arial" w:hint="cs"/>
          <w:rtl/>
        </w:rPr>
        <w:t>והני</w:t>
      </w:r>
      <w:r w:rsidRPr="00974030">
        <w:rPr>
          <w:rFonts w:asciiTheme="minorBidi" w:hAnsiTheme="minorBidi" w:cs="Arial"/>
          <w:rtl/>
        </w:rPr>
        <w:t xml:space="preserve"> </w:t>
      </w:r>
      <w:r w:rsidRPr="00974030">
        <w:rPr>
          <w:rFonts w:asciiTheme="minorBidi" w:hAnsiTheme="minorBidi" w:cs="Arial" w:hint="cs"/>
          <w:rtl/>
        </w:rPr>
        <w:t>מילי</w:t>
      </w:r>
      <w:r w:rsidRPr="00974030">
        <w:rPr>
          <w:rFonts w:asciiTheme="minorBidi" w:hAnsiTheme="minorBidi" w:cs="Arial"/>
          <w:rtl/>
        </w:rPr>
        <w:t xml:space="preserve"> </w:t>
      </w:r>
      <w:r w:rsidRPr="00974030">
        <w:rPr>
          <w:rFonts w:asciiTheme="minorBidi" w:hAnsiTheme="minorBidi" w:cs="Arial" w:hint="cs"/>
          <w:rtl/>
        </w:rPr>
        <w:t>בנבילה</w:t>
      </w:r>
      <w:r w:rsidRPr="00974030">
        <w:rPr>
          <w:rFonts w:asciiTheme="minorBidi" w:hAnsiTheme="minorBidi" w:cs="Arial"/>
          <w:rtl/>
        </w:rPr>
        <w:t xml:space="preserve"> </w:t>
      </w:r>
      <w:r w:rsidRPr="00974030">
        <w:rPr>
          <w:rFonts w:asciiTheme="minorBidi" w:hAnsiTheme="minorBidi" w:cs="Arial" w:hint="cs"/>
          <w:rtl/>
        </w:rPr>
        <w:t>הקשה</w:t>
      </w:r>
      <w:r w:rsidRPr="00974030">
        <w:rPr>
          <w:rFonts w:asciiTheme="minorBidi" w:hAnsiTheme="minorBidi" w:cs="Arial"/>
          <w:rtl/>
        </w:rPr>
        <w:t xml:space="preserve"> </w:t>
      </w:r>
      <w:r w:rsidRPr="00974030">
        <w:rPr>
          <w:rFonts w:asciiTheme="minorBidi" w:hAnsiTheme="minorBidi" w:cs="Arial" w:hint="cs"/>
          <w:rtl/>
        </w:rPr>
        <w:t>שאי</w:t>
      </w:r>
      <w:r w:rsidRPr="00974030">
        <w:rPr>
          <w:rFonts w:asciiTheme="minorBidi" w:hAnsiTheme="minorBidi" w:cs="Arial"/>
          <w:rtl/>
        </w:rPr>
        <w:t xml:space="preserve"> </w:t>
      </w:r>
      <w:r w:rsidRPr="00974030">
        <w:rPr>
          <w:rFonts w:asciiTheme="minorBidi" w:hAnsiTheme="minorBidi" w:cs="Arial" w:hint="cs"/>
          <w:rtl/>
        </w:rPr>
        <w:t>אפשר</w:t>
      </w:r>
      <w:r w:rsidRPr="00974030">
        <w:rPr>
          <w:rFonts w:asciiTheme="minorBidi" w:hAnsiTheme="minorBidi" w:cs="Arial"/>
          <w:rtl/>
        </w:rPr>
        <w:t xml:space="preserve"> </w:t>
      </w:r>
      <w:r w:rsidRPr="00974030">
        <w:rPr>
          <w:rFonts w:asciiTheme="minorBidi" w:hAnsiTheme="minorBidi" w:cs="Arial" w:hint="cs"/>
          <w:rtl/>
        </w:rPr>
        <w:t>להם</w:t>
      </w:r>
      <w:r w:rsidRPr="00974030">
        <w:rPr>
          <w:rFonts w:asciiTheme="minorBidi" w:hAnsiTheme="minorBidi" w:cs="Arial"/>
          <w:rtl/>
        </w:rPr>
        <w:t xml:space="preserve"> </w:t>
      </w:r>
      <w:r w:rsidRPr="00974030">
        <w:rPr>
          <w:rFonts w:asciiTheme="minorBidi" w:hAnsiTheme="minorBidi" w:cs="Arial" w:hint="cs"/>
          <w:rtl/>
        </w:rPr>
        <w:t>לאכלה</w:t>
      </w:r>
      <w:r w:rsidRPr="00974030">
        <w:rPr>
          <w:rFonts w:asciiTheme="minorBidi" w:hAnsiTheme="minorBidi" w:cs="Arial"/>
          <w:rtl/>
        </w:rPr>
        <w:t xml:space="preserve"> </w:t>
      </w:r>
      <w:r w:rsidRPr="00974030">
        <w:rPr>
          <w:rFonts w:asciiTheme="minorBidi" w:hAnsiTheme="minorBidi" w:cs="Arial" w:hint="cs"/>
          <w:rtl/>
        </w:rPr>
        <w:t>בלא</w:t>
      </w:r>
      <w:r w:rsidRPr="00974030">
        <w:rPr>
          <w:rFonts w:asciiTheme="minorBidi" w:hAnsiTheme="minorBidi" w:cs="Arial"/>
          <w:rtl/>
        </w:rPr>
        <w:t xml:space="preserve"> </w:t>
      </w:r>
      <w:r w:rsidRPr="00974030">
        <w:rPr>
          <w:rFonts w:asciiTheme="minorBidi" w:hAnsiTheme="minorBidi" w:cs="Arial" w:hint="cs"/>
          <w:rtl/>
        </w:rPr>
        <w:t>חתיכה</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היתה</w:t>
      </w:r>
      <w:r w:rsidRPr="00974030">
        <w:rPr>
          <w:rFonts w:asciiTheme="minorBidi" w:hAnsiTheme="minorBidi" w:cs="Arial"/>
          <w:rtl/>
        </w:rPr>
        <w:t xml:space="preserve"> </w:t>
      </w:r>
      <w:r w:rsidRPr="00974030">
        <w:rPr>
          <w:rFonts w:asciiTheme="minorBidi" w:hAnsiTheme="minorBidi" w:cs="Arial" w:hint="cs"/>
          <w:rtl/>
        </w:rPr>
        <w:t>ראויה</w:t>
      </w:r>
      <w:r w:rsidRPr="00974030">
        <w:rPr>
          <w:rFonts w:asciiTheme="minorBidi" w:hAnsiTheme="minorBidi" w:cs="Arial"/>
          <w:rtl/>
        </w:rPr>
        <w:t xml:space="preserve"> </w:t>
      </w:r>
      <w:r w:rsidRPr="00974030">
        <w:rPr>
          <w:rFonts w:asciiTheme="minorBidi" w:hAnsiTheme="minorBidi" w:cs="Arial" w:hint="cs"/>
          <w:rtl/>
        </w:rPr>
        <w:t>להם</w:t>
      </w:r>
      <w:r w:rsidRPr="00974030">
        <w:rPr>
          <w:rFonts w:asciiTheme="minorBidi" w:hAnsiTheme="minorBidi" w:cs="Arial"/>
          <w:rtl/>
        </w:rPr>
        <w:t xml:space="preserve"> </w:t>
      </w:r>
      <w:r w:rsidRPr="00974030">
        <w:rPr>
          <w:rFonts w:asciiTheme="minorBidi" w:hAnsiTheme="minorBidi" w:cs="Arial" w:hint="cs"/>
          <w:rtl/>
        </w:rPr>
        <w:t>בלא</w:t>
      </w:r>
      <w:r w:rsidRPr="00974030">
        <w:rPr>
          <w:rFonts w:asciiTheme="minorBidi" w:hAnsiTheme="minorBidi" w:cs="Arial"/>
          <w:rtl/>
        </w:rPr>
        <w:t xml:space="preserve"> </w:t>
      </w:r>
      <w:r w:rsidRPr="00974030">
        <w:rPr>
          <w:rFonts w:asciiTheme="minorBidi" w:hAnsiTheme="minorBidi" w:cs="Arial" w:hint="cs"/>
          <w:rtl/>
        </w:rPr>
        <w:t>חתיכה</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דמיטרח</w:t>
      </w:r>
      <w:r w:rsidRPr="00974030">
        <w:rPr>
          <w:rFonts w:asciiTheme="minorBidi" w:hAnsiTheme="minorBidi" w:cs="Arial"/>
          <w:rtl/>
        </w:rPr>
        <w:t xml:space="preserve"> </w:t>
      </w:r>
      <w:r w:rsidRPr="00974030">
        <w:rPr>
          <w:rFonts w:asciiTheme="minorBidi" w:hAnsiTheme="minorBidi" w:cs="Arial" w:hint="cs"/>
          <w:rtl/>
        </w:rPr>
        <w:t>במה</w:t>
      </w:r>
      <w:r w:rsidRPr="00974030">
        <w:rPr>
          <w:rFonts w:asciiTheme="minorBidi" w:hAnsiTheme="minorBidi" w:cs="Arial"/>
          <w:rtl/>
        </w:rPr>
        <w:t xml:space="preserve"> </w:t>
      </w:r>
      <w:r w:rsidRPr="00974030">
        <w:rPr>
          <w:rFonts w:asciiTheme="minorBidi" w:hAnsiTheme="minorBidi" w:cs="Arial" w:hint="cs"/>
          <w:rtl/>
        </w:rPr>
        <w:t>שהוא</w:t>
      </w:r>
      <w:r w:rsidRPr="00974030">
        <w:rPr>
          <w:rFonts w:asciiTheme="minorBidi" w:hAnsiTheme="minorBidi" w:cs="Arial"/>
          <w:rtl/>
        </w:rPr>
        <w:t xml:space="preserve"> </w:t>
      </w:r>
      <w:r w:rsidRPr="00974030">
        <w:rPr>
          <w:rFonts w:asciiTheme="minorBidi" w:hAnsiTheme="minorBidi" w:cs="Arial" w:hint="cs"/>
          <w:rtl/>
        </w:rPr>
        <w:t>ראוי</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טרחינן</w:t>
      </w:r>
      <w:r w:rsidRPr="00974030">
        <w:rPr>
          <w:rFonts w:asciiTheme="minorBidi" w:hAnsiTheme="minorBidi" w:cs="Arial"/>
          <w:rtl/>
        </w:rPr>
        <w:t xml:space="preserve"> (</w:t>
      </w:r>
      <w:r w:rsidRPr="00974030">
        <w:rPr>
          <w:rFonts w:asciiTheme="minorBidi" w:hAnsiTheme="minorBidi" w:cs="Arial" w:hint="cs"/>
          <w:rtl/>
        </w:rPr>
        <w:t>וע</w:t>
      </w:r>
      <w:r w:rsidRPr="00974030">
        <w:rPr>
          <w:rFonts w:asciiTheme="minorBidi" w:hAnsiTheme="minorBidi" w:cs="Arial"/>
          <w:rtl/>
        </w:rPr>
        <w:t>"</w:t>
      </w:r>
      <w:r w:rsidRPr="00974030">
        <w:rPr>
          <w:rFonts w:asciiTheme="minorBidi" w:hAnsiTheme="minorBidi" w:cs="Arial" w:hint="cs"/>
          <w:rtl/>
        </w:rPr>
        <w:t>ל</w:t>
      </w:r>
      <w:r w:rsidRPr="00974030">
        <w:rPr>
          <w:rFonts w:asciiTheme="minorBidi" w:hAnsiTheme="minorBidi" w:cs="Arial"/>
          <w:rtl/>
        </w:rPr>
        <w:t xml:space="preserve"> </w:t>
      </w:r>
      <w:r w:rsidRPr="00974030">
        <w:rPr>
          <w:rFonts w:asciiTheme="minorBidi" w:hAnsiTheme="minorBidi" w:cs="Arial" w:hint="cs"/>
          <w:rtl/>
        </w:rPr>
        <w:t>סי</w:t>
      </w:r>
      <w:r w:rsidRPr="00974030">
        <w:rPr>
          <w:rFonts w:asciiTheme="minorBidi" w:hAnsiTheme="minorBidi" w:cs="Arial"/>
          <w:rtl/>
        </w:rPr>
        <w:t xml:space="preserve">' </w:t>
      </w:r>
      <w:r w:rsidRPr="00974030">
        <w:rPr>
          <w:rFonts w:asciiTheme="minorBidi" w:hAnsiTheme="minorBidi" w:cs="Arial" w:hint="cs"/>
          <w:rtl/>
        </w:rPr>
        <w:t>שכ</w:t>
      </w:r>
      <w:r w:rsidRPr="00974030">
        <w:rPr>
          <w:rFonts w:asciiTheme="minorBidi" w:hAnsiTheme="minorBidi" w:cs="Arial"/>
          <w:rtl/>
        </w:rPr>
        <w:t>"</w:t>
      </w:r>
      <w:r w:rsidRPr="00974030">
        <w:rPr>
          <w:rFonts w:asciiTheme="minorBidi" w:hAnsiTheme="minorBidi" w:cs="Arial" w:hint="cs"/>
          <w:rtl/>
        </w:rPr>
        <w:t>א</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לחתכו</w:t>
      </w:r>
      <w:r w:rsidRPr="00974030">
        <w:rPr>
          <w:rFonts w:asciiTheme="minorBidi" w:hAnsiTheme="minorBidi" w:cs="Arial"/>
          <w:rtl/>
        </w:rPr>
        <w:t xml:space="preserve"> </w:t>
      </w:r>
      <w:r w:rsidRPr="00974030">
        <w:rPr>
          <w:rFonts w:asciiTheme="minorBidi" w:hAnsiTheme="minorBidi" w:cs="Arial" w:hint="cs"/>
          <w:rtl/>
        </w:rPr>
        <w:t>דק</w:t>
      </w:r>
      <w:r w:rsidRPr="00974030">
        <w:rPr>
          <w:rFonts w:asciiTheme="minorBidi" w:hAnsiTheme="minorBidi" w:cs="Arial"/>
          <w:rtl/>
        </w:rPr>
        <w:t xml:space="preserve"> </w:t>
      </w:r>
      <w:r w:rsidRPr="00974030">
        <w:rPr>
          <w:rFonts w:asciiTheme="minorBidi" w:hAnsiTheme="minorBidi" w:cs="Arial" w:hint="cs"/>
          <w:rtl/>
        </w:rPr>
        <w:t>דק</w:t>
      </w:r>
      <w:r w:rsidRPr="00974030">
        <w:rPr>
          <w:rFonts w:asciiTheme="minorBidi" w:hAnsiTheme="minorBidi" w:cs="Arial"/>
          <w:rtl/>
        </w:rPr>
        <w:t xml:space="preserve"> </w:t>
      </w:r>
      <w:r w:rsidRPr="00974030">
        <w:rPr>
          <w:rFonts w:asciiTheme="minorBidi" w:hAnsiTheme="minorBidi" w:cs="Arial" w:hint="cs"/>
          <w:rtl/>
        </w:rPr>
        <w:t>לפני</w:t>
      </w:r>
      <w:r w:rsidRPr="00974030">
        <w:rPr>
          <w:rFonts w:asciiTheme="minorBidi" w:hAnsiTheme="minorBidi" w:cs="Arial"/>
          <w:rtl/>
        </w:rPr>
        <w:t xml:space="preserve"> </w:t>
      </w:r>
      <w:r w:rsidRPr="00974030">
        <w:rPr>
          <w:rFonts w:asciiTheme="minorBidi" w:hAnsiTheme="minorBidi" w:cs="Arial" w:hint="cs"/>
          <w:rtl/>
        </w:rPr>
        <w:t>עופות</w:t>
      </w:r>
      <w:r w:rsidRPr="00974030">
        <w:rPr>
          <w:rFonts w:asciiTheme="minorBidi" w:hAnsiTheme="minorBidi" w:cs="Arial"/>
          <w:rtl/>
        </w:rPr>
        <w:t xml:space="preserve">). </w:t>
      </w:r>
    </w:p>
    <w:p w14:paraId="2F69835D"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ח</w:t>
      </w:r>
    </w:p>
    <w:p w14:paraId="7DE1426D" w14:textId="77777777" w:rsidR="006A4BF8" w:rsidRPr="00974030" w:rsidRDefault="006A4BF8" w:rsidP="00434A6A">
      <w:pPr>
        <w:rPr>
          <w:rFonts w:asciiTheme="minorBidi" w:hAnsiTheme="minorBidi"/>
          <w:rtl/>
        </w:rPr>
      </w:pPr>
      <w:r w:rsidRPr="00974030">
        <w:rPr>
          <w:rFonts w:asciiTheme="minorBidi" w:hAnsiTheme="minorBidi" w:cs="Arial" w:hint="cs"/>
          <w:rtl/>
        </w:rPr>
        <w:t>אין</w:t>
      </w:r>
      <w:r w:rsidRPr="00974030">
        <w:rPr>
          <w:rFonts w:asciiTheme="minorBidi" w:hAnsiTheme="minorBidi" w:cs="Arial"/>
          <w:rtl/>
        </w:rPr>
        <w:t xml:space="preserve"> </w:t>
      </w:r>
      <w:r w:rsidRPr="00974030">
        <w:rPr>
          <w:rFonts w:asciiTheme="minorBidi" w:hAnsiTheme="minorBidi" w:cs="Arial" w:hint="cs"/>
          <w:rtl/>
        </w:rPr>
        <w:t>חותכין</w:t>
      </w:r>
      <w:r w:rsidRPr="00974030">
        <w:rPr>
          <w:rFonts w:asciiTheme="minorBidi" w:hAnsiTheme="minorBidi" w:cs="Arial"/>
          <w:rtl/>
        </w:rPr>
        <w:t xml:space="preserve"> </w:t>
      </w:r>
      <w:r w:rsidRPr="00974030">
        <w:rPr>
          <w:rFonts w:asciiTheme="minorBidi" w:hAnsiTheme="minorBidi" w:cs="Arial" w:hint="cs"/>
          <w:rtl/>
        </w:rPr>
        <w:t>שחת</w:t>
      </w:r>
      <w:r w:rsidRPr="00974030">
        <w:rPr>
          <w:rFonts w:asciiTheme="minorBidi" w:hAnsiTheme="minorBidi" w:cs="Arial"/>
          <w:rtl/>
        </w:rPr>
        <w:t xml:space="preserve"> (</w:t>
      </w:r>
      <w:r w:rsidRPr="00974030">
        <w:rPr>
          <w:rFonts w:asciiTheme="minorBidi" w:hAnsiTheme="minorBidi" w:cs="Arial" w:hint="cs"/>
          <w:rtl/>
        </w:rPr>
        <w:t>פי</w:t>
      </w:r>
      <w:r w:rsidRPr="00974030">
        <w:rPr>
          <w:rFonts w:asciiTheme="minorBidi" w:hAnsiTheme="minorBidi" w:cs="Arial"/>
          <w:rtl/>
        </w:rPr>
        <w:t xml:space="preserve">' </w:t>
      </w:r>
      <w:r w:rsidRPr="00974030">
        <w:rPr>
          <w:rFonts w:asciiTheme="minorBidi" w:hAnsiTheme="minorBidi" w:cs="Arial" w:hint="cs"/>
          <w:rtl/>
        </w:rPr>
        <w:t>ירק</w:t>
      </w:r>
      <w:r w:rsidRPr="00974030">
        <w:rPr>
          <w:rFonts w:asciiTheme="minorBidi" w:hAnsiTheme="minorBidi" w:cs="Arial"/>
          <w:rtl/>
        </w:rPr>
        <w:t xml:space="preserve"> </w:t>
      </w:r>
      <w:r w:rsidRPr="00974030">
        <w:rPr>
          <w:rFonts w:asciiTheme="minorBidi" w:hAnsiTheme="minorBidi" w:cs="Arial" w:hint="cs"/>
          <w:rtl/>
        </w:rPr>
        <w:t>של</w:t>
      </w:r>
      <w:r w:rsidRPr="00974030">
        <w:rPr>
          <w:rFonts w:asciiTheme="minorBidi" w:hAnsiTheme="minorBidi" w:cs="Arial"/>
          <w:rtl/>
        </w:rPr>
        <w:t xml:space="preserve"> </w:t>
      </w:r>
      <w:r w:rsidRPr="00974030">
        <w:rPr>
          <w:rFonts w:asciiTheme="minorBidi" w:hAnsiTheme="minorBidi" w:cs="Arial" w:hint="cs"/>
          <w:rtl/>
        </w:rPr>
        <w:t>תבואה</w:t>
      </w:r>
      <w:r w:rsidRPr="00974030">
        <w:rPr>
          <w:rFonts w:asciiTheme="minorBidi" w:hAnsiTheme="minorBidi" w:cs="Arial"/>
          <w:rtl/>
        </w:rPr>
        <w:t xml:space="preserve"> </w:t>
      </w:r>
      <w:r w:rsidRPr="00974030">
        <w:rPr>
          <w:rFonts w:asciiTheme="minorBidi" w:hAnsiTheme="minorBidi" w:cs="Arial" w:hint="cs"/>
          <w:rtl/>
        </w:rPr>
        <w:t>שנקצר</w:t>
      </w:r>
      <w:r w:rsidRPr="00974030">
        <w:rPr>
          <w:rFonts w:asciiTheme="minorBidi" w:hAnsiTheme="minorBidi" w:cs="Arial"/>
          <w:rtl/>
        </w:rPr>
        <w:t xml:space="preserve"> </w:t>
      </w:r>
      <w:r w:rsidRPr="00974030">
        <w:rPr>
          <w:rFonts w:asciiTheme="minorBidi" w:hAnsiTheme="minorBidi" w:cs="Arial" w:hint="cs"/>
          <w:rtl/>
        </w:rPr>
        <w:t>טרם</w:t>
      </w:r>
      <w:r w:rsidRPr="00974030">
        <w:rPr>
          <w:rFonts w:asciiTheme="minorBidi" w:hAnsiTheme="minorBidi" w:cs="Arial"/>
          <w:rtl/>
        </w:rPr>
        <w:t xml:space="preserve"> </w:t>
      </w:r>
      <w:r w:rsidRPr="00974030">
        <w:rPr>
          <w:rFonts w:asciiTheme="minorBidi" w:hAnsiTheme="minorBidi" w:cs="Arial" w:hint="cs"/>
          <w:rtl/>
        </w:rPr>
        <w:t>נתבשלה</w:t>
      </w:r>
      <w:r w:rsidRPr="00974030">
        <w:rPr>
          <w:rFonts w:asciiTheme="minorBidi" w:hAnsiTheme="minorBidi" w:cs="Arial"/>
          <w:rtl/>
        </w:rPr>
        <w:t xml:space="preserve"> </w:t>
      </w:r>
      <w:r w:rsidRPr="00974030">
        <w:rPr>
          <w:rFonts w:asciiTheme="minorBidi" w:hAnsiTheme="minorBidi" w:cs="Arial" w:hint="cs"/>
          <w:rtl/>
        </w:rPr>
        <w:t>התבואה</w:t>
      </w:r>
      <w:r w:rsidRPr="00974030">
        <w:rPr>
          <w:rFonts w:asciiTheme="minorBidi" w:hAnsiTheme="minorBidi" w:cs="Arial"/>
          <w:rtl/>
        </w:rPr>
        <w:t xml:space="preserve">) </w:t>
      </w:r>
      <w:r w:rsidRPr="00974030">
        <w:rPr>
          <w:rFonts w:asciiTheme="minorBidi" w:hAnsiTheme="minorBidi" w:cs="Arial" w:hint="cs"/>
          <w:rtl/>
        </w:rPr>
        <w:t>וחרובין</w:t>
      </w:r>
      <w:r w:rsidRPr="00974030">
        <w:rPr>
          <w:rFonts w:asciiTheme="minorBidi" w:hAnsiTheme="minorBidi" w:cs="Arial"/>
          <w:rtl/>
        </w:rPr>
        <w:t xml:space="preserve"> </w:t>
      </w:r>
      <w:r w:rsidRPr="00974030">
        <w:rPr>
          <w:rFonts w:asciiTheme="minorBidi" w:hAnsiTheme="minorBidi" w:cs="Arial" w:hint="cs"/>
          <w:rtl/>
        </w:rPr>
        <w:t>לפני</w:t>
      </w:r>
      <w:r w:rsidRPr="00974030">
        <w:rPr>
          <w:rFonts w:asciiTheme="minorBidi" w:hAnsiTheme="minorBidi" w:cs="Arial"/>
          <w:rtl/>
        </w:rPr>
        <w:t xml:space="preserve"> </w:t>
      </w:r>
      <w:r w:rsidRPr="00974030">
        <w:rPr>
          <w:rFonts w:asciiTheme="minorBidi" w:hAnsiTheme="minorBidi" w:cs="Arial" w:hint="cs"/>
          <w:rtl/>
        </w:rPr>
        <w:t>הבהמה</w:t>
      </w:r>
      <w:r w:rsidRPr="00974030">
        <w:rPr>
          <w:rFonts w:asciiTheme="minorBidi" w:hAnsiTheme="minorBidi" w:cs="Arial"/>
          <w:rtl/>
        </w:rPr>
        <w:t xml:space="preserve">, </w:t>
      </w:r>
      <w:r w:rsidRPr="00974030">
        <w:rPr>
          <w:rFonts w:asciiTheme="minorBidi" w:hAnsiTheme="minorBidi" w:cs="Arial" w:hint="cs"/>
          <w:rtl/>
        </w:rPr>
        <w:t>בין</w:t>
      </w:r>
      <w:r w:rsidRPr="00974030">
        <w:rPr>
          <w:rFonts w:asciiTheme="minorBidi" w:hAnsiTheme="minorBidi" w:cs="Arial"/>
          <w:rtl/>
        </w:rPr>
        <w:t xml:space="preserve"> </w:t>
      </w:r>
      <w:r w:rsidRPr="00974030">
        <w:rPr>
          <w:rFonts w:asciiTheme="minorBidi" w:hAnsiTheme="minorBidi" w:cs="Arial" w:hint="cs"/>
          <w:rtl/>
        </w:rPr>
        <w:t>דקה</w:t>
      </w:r>
      <w:r w:rsidRPr="00974030">
        <w:rPr>
          <w:rFonts w:asciiTheme="minorBidi" w:hAnsiTheme="minorBidi" w:cs="Arial"/>
          <w:rtl/>
        </w:rPr>
        <w:t xml:space="preserve"> </w:t>
      </w:r>
      <w:r w:rsidRPr="00974030">
        <w:rPr>
          <w:rFonts w:asciiTheme="minorBidi" w:hAnsiTheme="minorBidi" w:cs="Arial" w:hint="cs"/>
          <w:rtl/>
        </w:rPr>
        <w:t>בין</w:t>
      </w:r>
      <w:r w:rsidRPr="00974030">
        <w:rPr>
          <w:rFonts w:asciiTheme="minorBidi" w:hAnsiTheme="minorBidi" w:cs="Arial"/>
          <w:rtl/>
        </w:rPr>
        <w:t xml:space="preserve"> </w:t>
      </w:r>
      <w:r w:rsidRPr="00974030">
        <w:rPr>
          <w:rFonts w:asciiTheme="minorBidi" w:hAnsiTheme="minorBidi" w:cs="Arial" w:hint="cs"/>
          <w:rtl/>
        </w:rPr>
        <w:t>גסה</w:t>
      </w:r>
      <w:r w:rsidRPr="00974030">
        <w:rPr>
          <w:rFonts w:asciiTheme="minorBidi" w:hAnsiTheme="minorBidi" w:cs="Arial"/>
          <w:rtl/>
        </w:rPr>
        <w:t xml:space="preserve">, </w:t>
      </w:r>
      <w:r w:rsidRPr="00974030">
        <w:rPr>
          <w:rFonts w:asciiTheme="minorBidi" w:hAnsiTheme="minorBidi" w:cs="Arial" w:hint="cs"/>
          <w:rtl/>
        </w:rPr>
        <w:t>משום</w:t>
      </w:r>
      <w:r w:rsidRPr="00974030">
        <w:rPr>
          <w:rFonts w:asciiTheme="minorBidi" w:hAnsiTheme="minorBidi" w:cs="Arial"/>
          <w:rtl/>
        </w:rPr>
        <w:t xml:space="preserve"> </w:t>
      </w:r>
      <w:r w:rsidRPr="00974030">
        <w:rPr>
          <w:rFonts w:asciiTheme="minorBidi" w:hAnsiTheme="minorBidi" w:cs="Arial" w:hint="cs"/>
          <w:rtl/>
        </w:rPr>
        <w:t>דבלא</w:t>
      </w:r>
      <w:r w:rsidRPr="00974030">
        <w:rPr>
          <w:rFonts w:asciiTheme="minorBidi" w:hAnsiTheme="minorBidi" w:cs="Arial"/>
          <w:rtl/>
        </w:rPr>
        <w:t xml:space="preserve"> </w:t>
      </w:r>
      <w:r w:rsidRPr="00974030">
        <w:rPr>
          <w:rFonts w:asciiTheme="minorBidi" w:hAnsiTheme="minorBidi" w:cs="Arial" w:hint="cs"/>
          <w:rtl/>
        </w:rPr>
        <w:t>חיתוך</w:t>
      </w:r>
      <w:r w:rsidRPr="00974030">
        <w:rPr>
          <w:rFonts w:asciiTheme="minorBidi" w:hAnsiTheme="minorBidi" w:cs="Arial"/>
          <w:rtl/>
        </w:rPr>
        <w:t xml:space="preserve"> </w:t>
      </w:r>
      <w:r w:rsidRPr="00974030">
        <w:rPr>
          <w:rFonts w:asciiTheme="minorBidi" w:hAnsiTheme="minorBidi" w:cs="Arial" w:hint="cs"/>
          <w:rtl/>
        </w:rPr>
        <w:t>נמי</w:t>
      </w:r>
      <w:r w:rsidRPr="00974030">
        <w:rPr>
          <w:rFonts w:asciiTheme="minorBidi" w:hAnsiTheme="minorBidi" w:cs="Arial"/>
          <w:rtl/>
        </w:rPr>
        <w:t xml:space="preserve"> </w:t>
      </w:r>
      <w:r w:rsidRPr="00974030">
        <w:rPr>
          <w:rFonts w:asciiTheme="minorBidi" w:hAnsiTheme="minorBidi" w:cs="Arial" w:hint="cs"/>
          <w:rtl/>
        </w:rPr>
        <w:t>חזי</w:t>
      </w:r>
      <w:r w:rsidRPr="00974030">
        <w:rPr>
          <w:rFonts w:asciiTheme="minorBidi" w:hAnsiTheme="minorBidi" w:cs="Arial"/>
          <w:rtl/>
        </w:rPr>
        <w:t xml:space="preserve"> </w:t>
      </w:r>
      <w:r w:rsidRPr="00974030">
        <w:rPr>
          <w:rFonts w:asciiTheme="minorBidi" w:hAnsiTheme="minorBidi" w:cs="Arial" w:hint="cs"/>
          <w:rtl/>
        </w:rPr>
        <w:t>לאכילה</w:t>
      </w:r>
      <w:r w:rsidRPr="00974030">
        <w:rPr>
          <w:rFonts w:asciiTheme="minorBidi" w:hAnsiTheme="minorBidi" w:cs="Arial"/>
          <w:rtl/>
        </w:rPr>
        <w:t xml:space="preserve">. </w:t>
      </w:r>
    </w:p>
    <w:p w14:paraId="45BE3FEA"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ט</w:t>
      </w:r>
    </w:p>
    <w:p w14:paraId="2EA6D8A3" w14:textId="77777777" w:rsidR="006A4BF8" w:rsidRPr="00974030" w:rsidRDefault="006A4BF8" w:rsidP="00434A6A">
      <w:pPr>
        <w:rPr>
          <w:rFonts w:asciiTheme="minorBidi" w:hAnsiTheme="minorBidi"/>
          <w:rtl/>
        </w:rPr>
      </w:pPr>
      <w:r w:rsidRPr="00974030">
        <w:rPr>
          <w:rFonts w:asciiTheme="minorBidi" w:hAnsiTheme="minorBidi" w:cs="Arial" w:hint="cs"/>
          <w:rtl/>
        </w:rPr>
        <w:t>אין</w:t>
      </w:r>
      <w:r w:rsidRPr="00974030">
        <w:rPr>
          <w:rFonts w:asciiTheme="minorBidi" w:hAnsiTheme="minorBidi" w:cs="Arial"/>
          <w:rtl/>
        </w:rPr>
        <w:t xml:space="preserve"> </w:t>
      </w:r>
      <w:r w:rsidRPr="00974030">
        <w:rPr>
          <w:rFonts w:asciiTheme="minorBidi" w:hAnsiTheme="minorBidi" w:cs="Arial" w:hint="cs"/>
          <w:rtl/>
        </w:rPr>
        <w:t>אובסין</w:t>
      </w:r>
      <w:r w:rsidRPr="00974030">
        <w:rPr>
          <w:rFonts w:asciiTheme="minorBidi" w:hAnsiTheme="minorBidi" w:cs="Arial"/>
          <w:rtl/>
        </w:rPr>
        <w:t xml:space="preserve"> </w:t>
      </w:r>
      <w:r w:rsidRPr="00974030">
        <w:rPr>
          <w:rFonts w:asciiTheme="minorBidi" w:hAnsiTheme="minorBidi" w:cs="Arial" w:hint="cs"/>
          <w:rtl/>
        </w:rPr>
        <w:t>את</w:t>
      </w:r>
      <w:r w:rsidRPr="00974030">
        <w:rPr>
          <w:rFonts w:asciiTheme="minorBidi" w:hAnsiTheme="minorBidi" w:cs="Arial"/>
          <w:rtl/>
        </w:rPr>
        <w:t xml:space="preserve"> </w:t>
      </w:r>
      <w:r w:rsidRPr="00974030">
        <w:rPr>
          <w:rFonts w:asciiTheme="minorBidi" w:hAnsiTheme="minorBidi" w:cs="Arial" w:hint="cs"/>
          <w:rtl/>
        </w:rPr>
        <w:t>הגמל</w:t>
      </w:r>
      <w:r w:rsidRPr="00974030">
        <w:rPr>
          <w:rFonts w:asciiTheme="minorBidi" w:hAnsiTheme="minorBidi" w:cs="Arial"/>
          <w:rtl/>
        </w:rPr>
        <w:t xml:space="preserve">, </w:t>
      </w:r>
      <w:r w:rsidRPr="00974030">
        <w:rPr>
          <w:rFonts w:asciiTheme="minorBidi" w:hAnsiTheme="minorBidi" w:cs="Arial" w:hint="cs"/>
          <w:rtl/>
        </w:rPr>
        <w:t>דהיינו</w:t>
      </w:r>
      <w:r w:rsidRPr="00974030">
        <w:rPr>
          <w:rFonts w:asciiTheme="minorBidi" w:hAnsiTheme="minorBidi" w:cs="Arial"/>
          <w:rtl/>
        </w:rPr>
        <w:t xml:space="preserve"> </w:t>
      </w:r>
      <w:r w:rsidRPr="00974030">
        <w:rPr>
          <w:rFonts w:asciiTheme="minorBidi" w:hAnsiTheme="minorBidi" w:cs="Arial" w:hint="cs"/>
          <w:rtl/>
        </w:rPr>
        <w:t>שמאכילה</w:t>
      </w:r>
      <w:r w:rsidRPr="00974030">
        <w:rPr>
          <w:rFonts w:asciiTheme="minorBidi" w:hAnsiTheme="minorBidi" w:cs="Arial"/>
          <w:rtl/>
        </w:rPr>
        <w:t xml:space="preserve"> </w:t>
      </w:r>
      <w:r w:rsidRPr="00974030">
        <w:rPr>
          <w:rFonts w:asciiTheme="minorBidi" w:hAnsiTheme="minorBidi" w:cs="Arial" w:hint="cs"/>
          <w:rtl/>
        </w:rPr>
        <w:t>בידו</w:t>
      </w:r>
      <w:r w:rsidRPr="00974030">
        <w:rPr>
          <w:rFonts w:asciiTheme="minorBidi" w:hAnsiTheme="minorBidi" w:cs="Arial"/>
          <w:rtl/>
        </w:rPr>
        <w:t xml:space="preserve"> </w:t>
      </w:r>
      <w:r w:rsidRPr="00974030">
        <w:rPr>
          <w:rFonts w:asciiTheme="minorBidi" w:hAnsiTheme="minorBidi" w:cs="Arial" w:hint="cs"/>
          <w:rtl/>
        </w:rPr>
        <w:t>כל</w:t>
      </w:r>
      <w:r w:rsidRPr="00974030">
        <w:rPr>
          <w:rFonts w:asciiTheme="minorBidi" w:hAnsiTheme="minorBidi" w:cs="Arial"/>
          <w:rtl/>
        </w:rPr>
        <w:t xml:space="preserve"> </w:t>
      </w:r>
      <w:r w:rsidRPr="00974030">
        <w:rPr>
          <w:rFonts w:asciiTheme="minorBidi" w:hAnsiTheme="minorBidi" w:cs="Arial" w:hint="cs"/>
          <w:rtl/>
        </w:rPr>
        <w:t>כך</w:t>
      </w:r>
      <w:r w:rsidRPr="00974030">
        <w:rPr>
          <w:rFonts w:asciiTheme="minorBidi" w:hAnsiTheme="minorBidi" w:cs="Arial"/>
          <w:rtl/>
        </w:rPr>
        <w:t xml:space="preserve"> </w:t>
      </w:r>
      <w:r w:rsidRPr="00974030">
        <w:rPr>
          <w:rFonts w:asciiTheme="minorBidi" w:hAnsiTheme="minorBidi" w:cs="Arial" w:hint="cs"/>
          <w:rtl/>
        </w:rPr>
        <w:t>עד</w:t>
      </w:r>
      <w:r w:rsidRPr="00974030">
        <w:rPr>
          <w:rFonts w:asciiTheme="minorBidi" w:hAnsiTheme="minorBidi" w:cs="Arial"/>
          <w:rtl/>
        </w:rPr>
        <w:t xml:space="preserve"> </w:t>
      </w:r>
      <w:r w:rsidRPr="00974030">
        <w:rPr>
          <w:rFonts w:asciiTheme="minorBidi" w:hAnsiTheme="minorBidi" w:cs="Arial" w:hint="cs"/>
          <w:rtl/>
        </w:rPr>
        <w:t>שמרחיבין</w:t>
      </w:r>
      <w:r w:rsidRPr="00974030">
        <w:rPr>
          <w:rFonts w:asciiTheme="minorBidi" w:hAnsiTheme="minorBidi" w:cs="Arial"/>
          <w:rtl/>
        </w:rPr>
        <w:t xml:space="preserve"> </w:t>
      </w:r>
      <w:r w:rsidRPr="00974030">
        <w:rPr>
          <w:rFonts w:asciiTheme="minorBidi" w:hAnsiTheme="minorBidi" w:cs="Arial" w:hint="cs"/>
          <w:rtl/>
        </w:rPr>
        <w:t>בני</w:t>
      </w:r>
      <w:r w:rsidRPr="00974030">
        <w:rPr>
          <w:rFonts w:asciiTheme="minorBidi" w:hAnsiTheme="minorBidi" w:cs="Arial"/>
          <w:rtl/>
        </w:rPr>
        <w:t xml:space="preserve"> </w:t>
      </w:r>
      <w:r w:rsidRPr="00974030">
        <w:rPr>
          <w:rFonts w:asciiTheme="minorBidi" w:hAnsiTheme="minorBidi" w:cs="Arial" w:hint="cs"/>
          <w:rtl/>
        </w:rPr>
        <w:t>מעיה</w:t>
      </w:r>
      <w:r w:rsidRPr="00974030">
        <w:rPr>
          <w:rFonts w:asciiTheme="minorBidi" w:hAnsiTheme="minorBidi" w:cs="Arial"/>
          <w:rtl/>
        </w:rPr>
        <w:t xml:space="preserve"> </w:t>
      </w:r>
      <w:r w:rsidRPr="00974030">
        <w:rPr>
          <w:rFonts w:asciiTheme="minorBidi" w:hAnsiTheme="minorBidi" w:cs="Arial" w:hint="cs"/>
          <w:rtl/>
        </w:rPr>
        <w:t>כאבוס</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דורסין</w:t>
      </w:r>
      <w:r w:rsidRPr="00974030">
        <w:rPr>
          <w:rFonts w:asciiTheme="minorBidi" w:hAnsiTheme="minorBidi" w:cs="Arial"/>
          <w:rtl/>
        </w:rPr>
        <w:t xml:space="preserve">, </w:t>
      </w:r>
      <w:r w:rsidRPr="00974030">
        <w:rPr>
          <w:rFonts w:asciiTheme="minorBidi" w:hAnsiTheme="minorBidi" w:cs="Arial" w:hint="cs"/>
          <w:rtl/>
        </w:rPr>
        <w:t>דהיינו</w:t>
      </w:r>
      <w:r w:rsidRPr="00974030">
        <w:rPr>
          <w:rFonts w:asciiTheme="minorBidi" w:hAnsiTheme="minorBidi" w:cs="Arial"/>
          <w:rtl/>
        </w:rPr>
        <w:t xml:space="preserve"> </w:t>
      </w:r>
      <w:r w:rsidRPr="00974030">
        <w:rPr>
          <w:rFonts w:asciiTheme="minorBidi" w:hAnsiTheme="minorBidi" w:cs="Arial" w:hint="cs"/>
          <w:rtl/>
        </w:rPr>
        <w:t>שדורס</w:t>
      </w:r>
      <w:r w:rsidRPr="00974030">
        <w:rPr>
          <w:rFonts w:asciiTheme="minorBidi" w:hAnsiTheme="minorBidi" w:cs="Arial"/>
          <w:rtl/>
        </w:rPr>
        <w:t xml:space="preserve"> </w:t>
      </w:r>
      <w:r w:rsidRPr="00974030">
        <w:rPr>
          <w:rFonts w:asciiTheme="minorBidi" w:hAnsiTheme="minorBidi" w:cs="Arial" w:hint="cs"/>
          <w:rtl/>
        </w:rPr>
        <w:t>לו</w:t>
      </w:r>
      <w:r w:rsidRPr="00974030">
        <w:rPr>
          <w:rFonts w:asciiTheme="minorBidi" w:hAnsiTheme="minorBidi" w:cs="Arial"/>
          <w:rtl/>
        </w:rPr>
        <w:t xml:space="preserve"> </w:t>
      </w:r>
      <w:r w:rsidRPr="00974030">
        <w:rPr>
          <w:rFonts w:asciiTheme="minorBidi" w:hAnsiTheme="minorBidi" w:cs="Arial" w:hint="cs"/>
          <w:rtl/>
        </w:rPr>
        <w:t>מאכל</w:t>
      </w:r>
      <w:r w:rsidRPr="00974030">
        <w:rPr>
          <w:rFonts w:asciiTheme="minorBidi" w:hAnsiTheme="minorBidi" w:cs="Arial"/>
          <w:rtl/>
        </w:rPr>
        <w:t xml:space="preserve"> </w:t>
      </w:r>
      <w:r w:rsidRPr="00974030">
        <w:rPr>
          <w:rFonts w:asciiTheme="minorBidi" w:hAnsiTheme="minorBidi" w:cs="Arial" w:hint="cs"/>
          <w:rtl/>
        </w:rPr>
        <w:t>בגרונו</w:t>
      </w:r>
      <w:r w:rsidRPr="00974030">
        <w:rPr>
          <w:rFonts w:asciiTheme="minorBidi" w:hAnsiTheme="minorBidi" w:cs="Arial"/>
          <w:rtl/>
        </w:rPr>
        <w:t xml:space="preserve"> </w:t>
      </w:r>
      <w:r w:rsidRPr="00974030">
        <w:rPr>
          <w:rFonts w:asciiTheme="minorBidi" w:hAnsiTheme="minorBidi" w:cs="Arial" w:hint="cs"/>
          <w:rtl/>
        </w:rPr>
        <w:t>למקום</w:t>
      </w:r>
      <w:r w:rsidRPr="00974030">
        <w:rPr>
          <w:rFonts w:asciiTheme="minorBidi" w:hAnsiTheme="minorBidi" w:cs="Arial"/>
          <w:rtl/>
        </w:rPr>
        <w:t xml:space="preserve"> </w:t>
      </w:r>
      <w:r w:rsidRPr="00974030">
        <w:rPr>
          <w:rFonts w:asciiTheme="minorBidi" w:hAnsiTheme="minorBidi" w:cs="Arial" w:hint="cs"/>
          <w:rtl/>
        </w:rPr>
        <w:t>שאינו</w:t>
      </w:r>
      <w:r w:rsidRPr="00974030">
        <w:rPr>
          <w:rFonts w:asciiTheme="minorBidi" w:hAnsiTheme="minorBidi" w:cs="Arial"/>
          <w:rtl/>
        </w:rPr>
        <w:t xml:space="preserve"> </w:t>
      </w:r>
      <w:r w:rsidRPr="00974030">
        <w:rPr>
          <w:rFonts w:asciiTheme="minorBidi" w:hAnsiTheme="minorBidi" w:cs="Arial" w:hint="cs"/>
          <w:rtl/>
        </w:rPr>
        <w:t>יכול</w:t>
      </w:r>
      <w:r w:rsidRPr="00974030">
        <w:rPr>
          <w:rFonts w:asciiTheme="minorBidi" w:hAnsiTheme="minorBidi" w:cs="Arial"/>
          <w:rtl/>
        </w:rPr>
        <w:t xml:space="preserve"> </w:t>
      </w:r>
      <w:r w:rsidRPr="00974030">
        <w:rPr>
          <w:rFonts w:asciiTheme="minorBidi" w:hAnsiTheme="minorBidi" w:cs="Arial" w:hint="cs"/>
          <w:rtl/>
        </w:rPr>
        <w:t>להחזירו</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מלעיטין</w:t>
      </w:r>
      <w:r w:rsidRPr="00974030">
        <w:rPr>
          <w:rFonts w:asciiTheme="minorBidi" w:hAnsiTheme="minorBidi" w:cs="Arial"/>
          <w:rtl/>
        </w:rPr>
        <w:t xml:space="preserve">. </w:t>
      </w:r>
      <w:r w:rsidRPr="00974030">
        <w:rPr>
          <w:rFonts w:asciiTheme="minorBidi" w:hAnsiTheme="minorBidi" w:cs="Arial" w:hint="cs"/>
          <w:rtl/>
        </w:rPr>
        <w:t>אין</w:t>
      </w:r>
      <w:r w:rsidRPr="00974030">
        <w:rPr>
          <w:rFonts w:asciiTheme="minorBidi" w:hAnsiTheme="minorBidi" w:cs="Arial"/>
          <w:rtl/>
        </w:rPr>
        <w:t xml:space="preserve"> </w:t>
      </w:r>
      <w:r w:rsidRPr="00974030">
        <w:rPr>
          <w:rFonts w:asciiTheme="minorBidi" w:hAnsiTheme="minorBidi" w:cs="Arial" w:hint="cs"/>
          <w:rtl/>
        </w:rPr>
        <w:t>מאמירים</w:t>
      </w:r>
      <w:r w:rsidRPr="00974030">
        <w:rPr>
          <w:rFonts w:asciiTheme="minorBidi" w:hAnsiTheme="minorBidi" w:cs="Arial"/>
          <w:rtl/>
        </w:rPr>
        <w:t xml:space="preserve"> </w:t>
      </w:r>
      <w:r w:rsidRPr="00974030">
        <w:rPr>
          <w:rFonts w:asciiTheme="minorBidi" w:hAnsiTheme="minorBidi" w:cs="Arial" w:hint="cs"/>
          <w:rtl/>
        </w:rPr>
        <w:t>את</w:t>
      </w:r>
      <w:r w:rsidRPr="00974030">
        <w:rPr>
          <w:rFonts w:asciiTheme="minorBidi" w:hAnsiTheme="minorBidi" w:cs="Arial"/>
          <w:rtl/>
        </w:rPr>
        <w:t xml:space="preserve"> </w:t>
      </w:r>
      <w:r w:rsidRPr="00974030">
        <w:rPr>
          <w:rFonts w:asciiTheme="minorBidi" w:hAnsiTheme="minorBidi" w:cs="Arial" w:hint="cs"/>
          <w:rtl/>
        </w:rPr>
        <w:t>העגלים</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מלעיטין</w:t>
      </w:r>
      <w:r w:rsidRPr="00974030">
        <w:rPr>
          <w:rFonts w:asciiTheme="minorBidi" w:hAnsiTheme="minorBidi" w:cs="Arial"/>
          <w:rtl/>
        </w:rPr>
        <w:t xml:space="preserve">; </w:t>
      </w:r>
      <w:r w:rsidRPr="00974030">
        <w:rPr>
          <w:rFonts w:asciiTheme="minorBidi" w:hAnsiTheme="minorBidi" w:cs="Arial" w:hint="cs"/>
          <w:rtl/>
        </w:rPr>
        <w:t>איזו</w:t>
      </w:r>
      <w:r w:rsidRPr="00974030">
        <w:rPr>
          <w:rFonts w:asciiTheme="minorBidi" w:hAnsiTheme="minorBidi" w:cs="Arial"/>
          <w:rtl/>
        </w:rPr>
        <w:t xml:space="preserve"> </w:t>
      </w:r>
      <w:r w:rsidRPr="00974030">
        <w:rPr>
          <w:rFonts w:asciiTheme="minorBidi" w:hAnsiTheme="minorBidi" w:cs="Arial" w:hint="cs"/>
          <w:rtl/>
        </w:rPr>
        <w:t>המראה</w:t>
      </w:r>
      <w:r w:rsidRPr="00974030">
        <w:rPr>
          <w:rFonts w:asciiTheme="minorBidi" w:hAnsiTheme="minorBidi" w:cs="Arial"/>
          <w:rtl/>
        </w:rPr>
        <w:t xml:space="preserve">, </w:t>
      </w:r>
      <w:r w:rsidRPr="00974030">
        <w:rPr>
          <w:rFonts w:asciiTheme="minorBidi" w:hAnsiTheme="minorBidi" w:cs="Arial" w:hint="cs"/>
          <w:rtl/>
        </w:rPr>
        <w:t>למקום</w:t>
      </w:r>
      <w:r w:rsidRPr="00974030">
        <w:rPr>
          <w:rFonts w:asciiTheme="minorBidi" w:hAnsiTheme="minorBidi" w:cs="Arial"/>
          <w:rtl/>
        </w:rPr>
        <w:t xml:space="preserve"> </w:t>
      </w:r>
      <w:r w:rsidRPr="00974030">
        <w:rPr>
          <w:rFonts w:asciiTheme="minorBidi" w:hAnsiTheme="minorBidi" w:cs="Arial" w:hint="cs"/>
          <w:rtl/>
        </w:rPr>
        <w:t>שאינה</w:t>
      </w:r>
      <w:r w:rsidRPr="00974030">
        <w:rPr>
          <w:rFonts w:asciiTheme="minorBidi" w:hAnsiTheme="minorBidi" w:cs="Arial"/>
          <w:rtl/>
        </w:rPr>
        <w:t xml:space="preserve"> </w:t>
      </w:r>
      <w:r w:rsidRPr="00974030">
        <w:rPr>
          <w:rFonts w:asciiTheme="minorBidi" w:hAnsiTheme="minorBidi" w:cs="Arial" w:hint="cs"/>
          <w:rtl/>
        </w:rPr>
        <w:t>יכולה</w:t>
      </w:r>
      <w:r w:rsidRPr="00974030">
        <w:rPr>
          <w:rFonts w:asciiTheme="minorBidi" w:hAnsiTheme="minorBidi" w:cs="Arial"/>
          <w:rtl/>
        </w:rPr>
        <w:t xml:space="preserve"> </w:t>
      </w:r>
      <w:r w:rsidRPr="00974030">
        <w:rPr>
          <w:rFonts w:asciiTheme="minorBidi" w:hAnsiTheme="minorBidi" w:cs="Arial" w:hint="cs"/>
          <w:rtl/>
        </w:rPr>
        <w:t>להחזיר</w:t>
      </w:r>
      <w:r w:rsidRPr="00974030">
        <w:rPr>
          <w:rFonts w:asciiTheme="minorBidi" w:hAnsiTheme="minorBidi" w:cs="Arial"/>
          <w:rtl/>
        </w:rPr>
        <w:t xml:space="preserve">; </w:t>
      </w:r>
      <w:r w:rsidRPr="00974030">
        <w:rPr>
          <w:rFonts w:asciiTheme="minorBidi" w:hAnsiTheme="minorBidi" w:cs="Arial" w:hint="cs"/>
          <w:rtl/>
        </w:rPr>
        <w:t>הלעטה</w:t>
      </w:r>
      <w:r w:rsidRPr="00974030">
        <w:rPr>
          <w:rFonts w:asciiTheme="minorBidi" w:hAnsiTheme="minorBidi" w:cs="Arial"/>
          <w:rtl/>
        </w:rPr>
        <w:t xml:space="preserve">, </w:t>
      </w:r>
      <w:r w:rsidRPr="00974030">
        <w:rPr>
          <w:rFonts w:asciiTheme="minorBidi" w:hAnsiTheme="minorBidi" w:cs="Arial" w:hint="cs"/>
          <w:rtl/>
        </w:rPr>
        <w:t>למקום</w:t>
      </w:r>
      <w:r w:rsidRPr="00974030">
        <w:rPr>
          <w:rFonts w:asciiTheme="minorBidi" w:hAnsiTheme="minorBidi" w:cs="Arial"/>
          <w:rtl/>
        </w:rPr>
        <w:t xml:space="preserve"> </w:t>
      </w:r>
      <w:r w:rsidRPr="00974030">
        <w:rPr>
          <w:rFonts w:asciiTheme="minorBidi" w:hAnsiTheme="minorBidi" w:cs="Arial" w:hint="cs"/>
          <w:rtl/>
        </w:rPr>
        <w:t>שהיא</w:t>
      </w:r>
      <w:r w:rsidRPr="00974030">
        <w:rPr>
          <w:rFonts w:asciiTheme="minorBidi" w:hAnsiTheme="minorBidi" w:cs="Arial"/>
          <w:rtl/>
        </w:rPr>
        <w:t xml:space="preserve"> </w:t>
      </w:r>
      <w:r w:rsidRPr="00974030">
        <w:rPr>
          <w:rFonts w:asciiTheme="minorBidi" w:hAnsiTheme="minorBidi" w:cs="Arial" w:hint="cs"/>
          <w:rtl/>
        </w:rPr>
        <w:t>יכולה</w:t>
      </w:r>
      <w:r w:rsidRPr="00974030">
        <w:rPr>
          <w:rFonts w:asciiTheme="minorBidi" w:hAnsiTheme="minorBidi" w:cs="Arial"/>
          <w:rtl/>
        </w:rPr>
        <w:t xml:space="preserve"> </w:t>
      </w:r>
      <w:r w:rsidRPr="00974030">
        <w:rPr>
          <w:rFonts w:asciiTheme="minorBidi" w:hAnsiTheme="minorBidi" w:cs="Arial" w:hint="cs"/>
          <w:rtl/>
        </w:rPr>
        <w:t>להחזיר</w:t>
      </w:r>
      <w:r w:rsidRPr="00974030">
        <w:rPr>
          <w:rFonts w:asciiTheme="minorBidi" w:hAnsiTheme="minorBidi" w:cs="Arial"/>
          <w:rtl/>
        </w:rPr>
        <w:t xml:space="preserve">. </w:t>
      </w:r>
      <w:r w:rsidRPr="00974030">
        <w:rPr>
          <w:rFonts w:asciiTheme="minorBidi" w:hAnsiTheme="minorBidi" w:cs="Arial" w:hint="cs"/>
          <w:rtl/>
        </w:rPr>
        <w:t>הגה</w:t>
      </w:r>
      <w:r w:rsidRPr="00974030">
        <w:rPr>
          <w:rFonts w:asciiTheme="minorBidi" w:hAnsiTheme="minorBidi" w:cs="Arial"/>
          <w:rtl/>
        </w:rPr>
        <w:t xml:space="preserve">: </w:t>
      </w:r>
      <w:r w:rsidRPr="00974030">
        <w:rPr>
          <w:rFonts w:asciiTheme="minorBidi" w:hAnsiTheme="minorBidi" w:cs="Arial" w:hint="cs"/>
          <w:rtl/>
        </w:rPr>
        <w:t>ודין</w:t>
      </w:r>
      <w:r w:rsidRPr="00974030">
        <w:rPr>
          <w:rFonts w:asciiTheme="minorBidi" w:hAnsiTheme="minorBidi" w:cs="Arial"/>
          <w:rtl/>
        </w:rPr>
        <w:t xml:space="preserve"> </w:t>
      </w:r>
      <w:r w:rsidRPr="00974030">
        <w:rPr>
          <w:rFonts w:asciiTheme="minorBidi" w:hAnsiTheme="minorBidi" w:cs="Arial" w:hint="cs"/>
          <w:rtl/>
        </w:rPr>
        <w:t>תרנגולים</w:t>
      </w:r>
      <w:r w:rsidRPr="00974030">
        <w:rPr>
          <w:rFonts w:asciiTheme="minorBidi" w:hAnsiTheme="minorBidi" w:cs="Arial"/>
          <w:rtl/>
        </w:rPr>
        <w:t xml:space="preserve"> </w:t>
      </w:r>
      <w:r w:rsidRPr="00974030">
        <w:rPr>
          <w:rFonts w:asciiTheme="minorBidi" w:hAnsiTheme="minorBidi" w:cs="Arial" w:hint="cs"/>
          <w:rtl/>
        </w:rPr>
        <w:t>ואווזים</w:t>
      </w:r>
      <w:r w:rsidRPr="00974030">
        <w:rPr>
          <w:rFonts w:asciiTheme="minorBidi" w:hAnsiTheme="minorBidi" w:cs="Arial"/>
          <w:rtl/>
        </w:rPr>
        <w:t xml:space="preserve"> </w:t>
      </w:r>
      <w:r w:rsidRPr="00974030">
        <w:rPr>
          <w:rFonts w:asciiTheme="minorBidi" w:hAnsiTheme="minorBidi" w:cs="Arial" w:hint="cs"/>
          <w:rtl/>
        </w:rPr>
        <w:t>כדין</w:t>
      </w:r>
      <w:r w:rsidRPr="00974030">
        <w:rPr>
          <w:rFonts w:asciiTheme="minorBidi" w:hAnsiTheme="minorBidi" w:cs="Arial"/>
          <w:rtl/>
        </w:rPr>
        <w:t xml:space="preserve"> </w:t>
      </w:r>
      <w:r w:rsidRPr="00974030">
        <w:rPr>
          <w:rFonts w:asciiTheme="minorBidi" w:hAnsiTheme="minorBidi" w:cs="Arial" w:hint="cs"/>
          <w:rtl/>
        </w:rPr>
        <w:t>עגלים</w:t>
      </w:r>
      <w:r w:rsidRPr="00974030">
        <w:rPr>
          <w:rFonts w:asciiTheme="minorBidi" w:hAnsiTheme="minorBidi" w:cs="Arial"/>
          <w:rtl/>
        </w:rPr>
        <w:t xml:space="preserve"> (</w:t>
      </w:r>
      <w:r w:rsidRPr="00974030">
        <w:rPr>
          <w:rFonts w:asciiTheme="minorBidi" w:hAnsiTheme="minorBidi" w:cs="Arial" w:hint="cs"/>
          <w:rtl/>
        </w:rPr>
        <w:t>מהרי</w:t>
      </w:r>
      <w:r w:rsidRPr="00974030">
        <w:rPr>
          <w:rFonts w:asciiTheme="minorBidi" w:hAnsiTheme="minorBidi" w:cs="Arial"/>
          <w:rtl/>
        </w:rPr>
        <w:t>"</w:t>
      </w:r>
      <w:r w:rsidRPr="00974030">
        <w:rPr>
          <w:rFonts w:asciiTheme="minorBidi" w:hAnsiTheme="minorBidi" w:cs="Arial" w:hint="cs"/>
          <w:rtl/>
        </w:rPr>
        <w:t>ל</w:t>
      </w:r>
      <w:r w:rsidRPr="00974030">
        <w:rPr>
          <w:rFonts w:asciiTheme="minorBidi" w:hAnsiTheme="minorBidi" w:cs="Arial"/>
          <w:rtl/>
        </w:rPr>
        <w:t xml:space="preserve">). </w:t>
      </w:r>
    </w:p>
    <w:p w14:paraId="51D1BCE1"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י</w:t>
      </w:r>
    </w:p>
    <w:p w14:paraId="7647F181" w14:textId="77777777" w:rsidR="006A4BF8" w:rsidRPr="00974030" w:rsidRDefault="006A4BF8" w:rsidP="00434A6A">
      <w:pPr>
        <w:rPr>
          <w:rFonts w:asciiTheme="minorBidi" w:hAnsiTheme="minorBidi"/>
          <w:rtl/>
        </w:rPr>
      </w:pP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ליתן</w:t>
      </w:r>
      <w:r w:rsidRPr="00974030">
        <w:rPr>
          <w:rFonts w:asciiTheme="minorBidi" w:hAnsiTheme="minorBidi" w:cs="Arial"/>
          <w:rtl/>
        </w:rPr>
        <w:t xml:space="preserve"> </w:t>
      </w:r>
      <w:r w:rsidRPr="00974030">
        <w:rPr>
          <w:rFonts w:asciiTheme="minorBidi" w:hAnsiTheme="minorBidi" w:cs="Arial" w:hint="cs"/>
          <w:rtl/>
        </w:rPr>
        <w:t>מאכל</w:t>
      </w:r>
      <w:r w:rsidRPr="00974030">
        <w:rPr>
          <w:rFonts w:asciiTheme="minorBidi" w:hAnsiTheme="minorBidi" w:cs="Arial"/>
          <w:rtl/>
        </w:rPr>
        <w:t xml:space="preserve"> </w:t>
      </w:r>
      <w:r w:rsidRPr="00974030">
        <w:rPr>
          <w:rFonts w:asciiTheme="minorBidi" w:hAnsiTheme="minorBidi" w:cs="Arial" w:hint="cs"/>
          <w:rtl/>
        </w:rPr>
        <w:t>בפיהם</w:t>
      </w:r>
      <w:r w:rsidRPr="00974030">
        <w:rPr>
          <w:rFonts w:asciiTheme="minorBidi" w:hAnsiTheme="minorBidi" w:cs="Arial"/>
          <w:rtl/>
        </w:rPr>
        <w:t xml:space="preserve"> </w:t>
      </w:r>
      <w:r w:rsidRPr="00974030">
        <w:rPr>
          <w:rFonts w:asciiTheme="minorBidi" w:hAnsiTheme="minorBidi" w:cs="Arial" w:hint="cs"/>
          <w:rtl/>
        </w:rPr>
        <w:t>של</w:t>
      </w:r>
      <w:r w:rsidRPr="00974030">
        <w:rPr>
          <w:rFonts w:asciiTheme="minorBidi" w:hAnsiTheme="minorBidi" w:cs="Arial"/>
          <w:rtl/>
        </w:rPr>
        <w:t xml:space="preserve"> </w:t>
      </w:r>
      <w:r w:rsidRPr="00974030">
        <w:rPr>
          <w:rFonts w:asciiTheme="minorBidi" w:hAnsiTheme="minorBidi" w:cs="Arial" w:hint="cs"/>
          <w:rtl/>
        </w:rPr>
        <w:t>תרנגולים</w:t>
      </w:r>
      <w:r w:rsidRPr="00974030">
        <w:rPr>
          <w:rFonts w:asciiTheme="minorBidi" w:hAnsiTheme="minorBidi" w:cs="Arial"/>
          <w:rtl/>
        </w:rPr>
        <w:t xml:space="preserve">. </w:t>
      </w:r>
    </w:p>
    <w:p w14:paraId="4108E609"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יא</w:t>
      </w:r>
    </w:p>
    <w:p w14:paraId="0D6DD0FF" w14:textId="77777777" w:rsidR="006A4BF8" w:rsidRPr="00974030" w:rsidRDefault="006A4BF8" w:rsidP="00434A6A">
      <w:pPr>
        <w:rPr>
          <w:rFonts w:asciiTheme="minorBidi" w:hAnsiTheme="minorBidi"/>
          <w:rtl/>
        </w:rPr>
      </w:pPr>
      <w:r w:rsidRPr="00974030">
        <w:rPr>
          <w:rFonts w:asciiTheme="minorBidi" w:hAnsiTheme="minorBidi" w:cs="Arial" w:hint="cs"/>
          <w:rtl/>
        </w:rPr>
        <w:t>אין</w:t>
      </w:r>
      <w:r w:rsidRPr="00974030">
        <w:rPr>
          <w:rFonts w:asciiTheme="minorBidi" w:hAnsiTheme="minorBidi" w:cs="Arial"/>
          <w:rtl/>
        </w:rPr>
        <w:t xml:space="preserve"> </w:t>
      </w:r>
      <w:r w:rsidRPr="00974030">
        <w:rPr>
          <w:rFonts w:asciiTheme="minorBidi" w:hAnsiTheme="minorBidi" w:cs="Arial" w:hint="cs"/>
          <w:rtl/>
        </w:rPr>
        <w:t>נותנין</w:t>
      </w:r>
      <w:r w:rsidRPr="00974030">
        <w:rPr>
          <w:rFonts w:asciiTheme="minorBidi" w:hAnsiTheme="minorBidi" w:cs="Arial"/>
          <w:rtl/>
        </w:rPr>
        <w:t xml:space="preserve"> </w:t>
      </w:r>
      <w:r w:rsidRPr="00974030">
        <w:rPr>
          <w:rFonts w:asciiTheme="minorBidi" w:hAnsiTheme="minorBidi" w:cs="Arial" w:hint="cs"/>
          <w:rtl/>
        </w:rPr>
        <w:t>מים</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מזונות</w:t>
      </w:r>
      <w:r w:rsidRPr="00974030">
        <w:rPr>
          <w:rFonts w:asciiTheme="minorBidi" w:hAnsiTheme="minorBidi" w:cs="Arial"/>
          <w:rtl/>
        </w:rPr>
        <w:t xml:space="preserve"> </w:t>
      </w:r>
      <w:r w:rsidRPr="00974030">
        <w:rPr>
          <w:rFonts w:asciiTheme="minorBidi" w:hAnsiTheme="minorBidi" w:cs="Arial" w:hint="cs"/>
          <w:rtl/>
        </w:rPr>
        <w:t>לפני</w:t>
      </w:r>
      <w:r w:rsidRPr="00974030">
        <w:rPr>
          <w:rFonts w:asciiTheme="minorBidi" w:hAnsiTheme="minorBidi" w:cs="Arial"/>
          <w:rtl/>
        </w:rPr>
        <w:t xml:space="preserve"> </w:t>
      </w:r>
      <w:r w:rsidRPr="00974030">
        <w:rPr>
          <w:rFonts w:asciiTheme="minorBidi" w:hAnsiTheme="minorBidi" w:cs="Arial" w:hint="cs"/>
          <w:rtl/>
        </w:rPr>
        <w:t>דבורים</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לפני</w:t>
      </w:r>
      <w:r w:rsidRPr="00974030">
        <w:rPr>
          <w:rFonts w:asciiTheme="minorBidi" w:hAnsiTheme="minorBidi" w:cs="Arial"/>
          <w:rtl/>
        </w:rPr>
        <w:t xml:space="preserve"> </w:t>
      </w:r>
      <w:r w:rsidRPr="00974030">
        <w:rPr>
          <w:rFonts w:asciiTheme="minorBidi" w:hAnsiTheme="minorBidi" w:cs="Arial" w:hint="cs"/>
          <w:rtl/>
        </w:rPr>
        <w:t>יוני</w:t>
      </w:r>
      <w:r w:rsidRPr="00974030">
        <w:rPr>
          <w:rFonts w:asciiTheme="minorBidi" w:hAnsiTheme="minorBidi" w:cs="Arial"/>
          <w:rtl/>
        </w:rPr>
        <w:t xml:space="preserve"> </w:t>
      </w:r>
      <w:r w:rsidRPr="00974030">
        <w:rPr>
          <w:rFonts w:asciiTheme="minorBidi" w:hAnsiTheme="minorBidi" w:cs="Arial" w:hint="cs"/>
          <w:rtl/>
        </w:rPr>
        <w:t>שובך</w:t>
      </w:r>
      <w:r w:rsidRPr="00974030">
        <w:rPr>
          <w:rFonts w:asciiTheme="minorBidi" w:hAnsiTheme="minorBidi" w:cs="Arial"/>
          <w:rtl/>
        </w:rPr>
        <w:t xml:space="preserve"> </w:t>
      </w:r>
      <w:r w:rsidRPr="00974030">
        <w:rPr>
          <w:rFonts w:asciiTheme="minorBidi" w:hAnsiTheme="minorBidi" w:cs="Arial" w:hint="cs"/>
          <w:rtl/>
        </w:rPr>
        <w:t>ויוני</w:t>
      </w:r>
      <w:r w:rsidRPr="00974030">
        <w:rPr>
          <w:rFonts w:asciiTheme="minorBidi" w:hAnsiTheme="minorBidi" w:cs="Arial"/>
          <w:rtl/>
        </w:rPr>
        <w:t xml:space="preserve"> </w:t>
      </w:r>
      <w:r w:rsidRPr="00974030">
        <w:rPr>
          <w:rFonts w:asciiTheme="minorBidi" w:hAnsiTheme="minorBidi" w:cs="Arial" w:hint="cs"/>
          <w:rtl/>
        </w:rPr>
        <w:t>עליה</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לפני</w:t>
      </w:r>
      <w:r w:rsidRPr="00974030">
        <w:rPr>
          <w:rFonts w:asciiTheme="minorBidi" w:hAnsiTheme="minorBidi" w:cs="Arial"/>
          <w:rtl/>
        </w:rPr>
        <w:t xml:space="preserve"> </w:t>
      </w:r>
      <w:r w:rsidRPr="00974030">
        <w:rPr>
          <w:rFonts w:asciiTheme="minorBidi" w:hAnsiTheme="minorBidi" w:cs="Arial" w:hint="cs"/>
          <w:rtl/>
        </w:rPr>
        <w:t>חזיר</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נותנין</w:t>
      </w:r>
      <w:r w:rsidRPr="00974030">
        <w:rPr>
          <w:rFonts w:asciiTheme="minorBidi" w:hAnsiTheme="minorBidi" w:cs="Arial"/>
          <w:rtl/>
        </w:rPr>
        <w:t xml:space="preserve"> </w:t>
      </w:r>
      <w:r w:rsidRPr="00974030">
        <w:rPr>
          <w:rFonts w:asciiTheme="minorBidi" w:hAnsiTheme="minorBidi" w:cs="Arial" w:hint="cs"/>
          <w:rtl/>
        </w:rPr>
        <w:t>לפני</w:t>
      </w:r>
      <w:r w:rsidRPr="00974030">
        <w:rPr>
          <w:rFonts w:asciiTheme="minorBidi" w:hAnsiTheme="minorBidi" w:cs="Arial"/>
          <w:rtl/>
        </w:rPr>
        <w:t xml:space="preserve"> </w:t>
      </w:r>
      <w:r w:rsidRPr="00974030">
        <w:rPr>
          <w:rFonts w:asciiTheme="minorBidi" w:hAnsiTheme="minorBidi" w:cs="Arial" w:hint="cs"/>
          <w:rtl/>
        </w:rPr>
        <w:t>אווזין</w:t>
      </w:r>
      <w:r w:rsidRPr="00974030">
        <w:rPr>
          <w:rFonts w:asciiTheme="minorBidi" w:hAnsiTheme="minorBidi" w:cs="Arial"/>
          <w:rtl/>
        </w:rPr>
        <w:t xml:space="preserve"> </w:t>
      </w:r>
      <w:r w:rsidRPr="00974030">
        <w:rPr>
          <w:rFonts w:asciiTheme="minorBidi" w:hAnsiTheme="minorBidi" w:cs="Arial" w:hint="cs"/>
          <w:rtl/>
        </w:rPr>
        <w:t>ותרנגולים</w:t>
      </w:r>
      <w:r w:rsidRPr="00974030">
        <w:rPr>
          <w:rFonts w:asciiTheme="minorBidi" w:hAnsiTheme="minorBidi" w:cs="Arial"/>
          <w:rtl/>
        </w:rPr>
        <w:t xml:space="preserve"> </w:t>
      </w:r>
      <w:r w:rsidRPr="00974030">
        <w:rPr>
          <w:rFonts w:asciiTheme="minorBidi" w:hAnsiTheme="minorBidi" w:cs="Arial" w:hint="cs"/>
          <w:rtl/>
        </w:rPr>
        <w:t>ויוני</w:t>
      </w:r>
      <w:r w:rsidRPr="00974030">
        <w:rPr>
          <w:rFonts w:asciiTheme="minorBidi" w:hAnsiTheme="minorBidi" w:cs="Arial"/>
          <w:rtl/>
        </w:rPr>
        <w:t xml:space="preserve"> </w:t>
      </w:r>
      <w:r w:rsidRPr="00974030">
        <w:rPr>
          <w:rFonts w:asciiTheme="minorBidi" w:hAnsiTheme="minorBidi" w:cs="Arial" w:hint="cs"/>
          <w:rtl/>
        </w:rPr>
        <w:t>בייתות</w:t>
      </w:r>
      <w:r w:rsidRPr="00974030">
        <w:rPr>
          <w:rFonts w:asciiTheme="minorBidi" w:hAnsiTheme="minorBidi" w:cs="Arial"/>
          <w:rtl/>
        </w:rPr>
        <w:t xml:space="preserve"> </w:t>
      </w:r>
      <w:r w:rsidRPr="00974030">
        <w:rPr>
          <w:rFonts w:asciiTheme="minorBidi" w:hAnsiTheme="minorBidi" w:cs="Arial" w:hint="cs"/>
          <w:rtl/>
        </w:rPr>
        <w:t>וכן</w:t>
      </w:r>
      <w:r w:rsidRPr="00974030">
        <w:rPr>
          <w:rFonts w:asciiTheme="minorBidi" w:hAnsiTheme="minorBidi" w:cs="Arial"/>
          <w:rtl/>
        </w:rPr>
        <w:t xml:space="preserve"> </w:t>
      </w:r>
      <w:r w:rsidRPr="00974030">
        <w:rPr>
          <w:rFonts w:asciiTheme="minorBidi" w:hAnsiTheme="minorBidi" w:cs="Arial" w:hint="cs"/>
          <w:rtl/>
        </w:rPr>
        <w:t>לפני</w:t>
      </w:r>
      <w:r w:rsidRPr="00974030">
        <w:rPr>
          <w:rFonts w:asciiTheme="minorBidi" w:hAnsiTheme="minorBidi" w:cs="Arial"/>
          <w:rtl/>
        </w:rPr>
        <w:t xml:space="preserve"> </w:t>
      </w:r>
      <w:r w:rsidRPr="00974030">
        <w:rPr>
          <w:rFonts w:asciiTheme="minorBidi" w:hAnsiTheme="minorBidi" w:cs="Arial" w:hint="cs"/>
          <w:rtl/>
        </w:rPr>
        <w:t>כלב</w:t>
      </w:r>
      <w:r w:rsidRPr="00974030">
        <w:rPr>
          <w:rFonts w:asciiTheme="minorBidi" w:hAnsiTheme="minorBidi" w:cs="Arial"/>
          <w:rtl/>
        </w:rPr>
        <w:t xml:space="preserve"> </w:t>
      </w:r>
      <w:r w:rsidRPr="00974030">
        <w:rPr>
          <w:rFonts w:asciiTheme="minorBidi" w:hAnsiTheme="minorBidi" w:cs="Arial" w:hint="cs"/>
          <w:rtl/>
        </w:rPr>
        <w:t>שמזונותיו</w:t>
      </w:r>
      <w:r w:rsidRPr="00974030">
        <w:rPr>
          <w:rFonts w:asciiTheme="minorBidi" w:hAnsiTheme="minorBidi" w:cs="Arial"/>
          <w:rtl/>
        </w:rPr>
        <w:t xml:space="preserve"> </w:t>
      </w:r>
      <w:r w:rsidRPr="00974030">
        <w:rPr>
          <w:rFonts w:asciiTheme="minorBidi" w:hAnsiTheme="minorBidi" w:cs="Arial" w:hint="cs"/>
          <w:rtl/>
        </w:rPr>
        <w:t>עליך</w:t>
      </w:r>
      <w:r w:rsidRPr="00974030">
        <w:rPr>
          <w:rFonts w:asciiTheme="minorBidi" w:hAnsiTheme="minorBidi" w:cs="Arial"/>
          <w:rtl/>
        </w:rPr>
        <w:t xml:space="preserve">. </w:t>
      </w:r>
    </w:p>
    <w:p w14:paraId="48F7856D"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יב</w:t>
      </w:r>
    </w:p>
    <w:p w14:paraId="5AC688AD" w14:textId="77777777" w:rsidR="006A4BF8" w:rsidRPr="00974030" w:rsidRDefault="006A4BF8" w:rsidP="00434A6A">
      <w:pPr>
        <w:rPr>
          <w:rFonts w:asciiTheme="minorBidi" w:hAnsiTheme="minorBidi"/>
          <w:rtl/>
        </w:rPr>
      </w:pP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להאכיל</w:t>
      </w:r>
      <w:r w:rsidRPr="00974030">
        <w:rPr>
          <w:rFonts w:asciiTheme="minorBidi" w:hAnsiTheme="minorBidi" w:cs="Arial"/>
          <w:rtl/>
        </w:rPr>
        <w:t xml:space="preserve"> </w:t>
      </w:r>
      <w:r w:rsidRPr="00974030">
        <w:rPr>
          <w:rFonts w:asciiTheme="minorBidi" w:hAnsiTheme="minorBidi" w:cs="Arial" w:hint="cs"/>
          <w:rtl/>
        </w:rPr>
        <w:t>תולעת</w:t>
      </w:r>
      <w:r w:rsidRPr="00974030">
        <w:rPr>
          <w:rFonts w:asciiTheme="minorBidi" w:hAnsiTheme="minorBidi" w:cs="Arial"/>
          <w:rtl/>
        </w:rPr>
        <w:t xml:space="preserve"> </w:t>
      </w:r>
      <w:r w:rsidRPr="00974030">
        <w:rPr>
          <w:rFonts w:asciiTheme="minorBidi" w:hAnsiTheme="minorBidi" w:cs="Arial" w:hint="cs"/>
          <w:rtl/>
        </w:rPr>
        <w:t>המשי</w:t>
      </w:r>
      <w:r w:rsidRPr="00974030">
        <w:rPr>
          <w:rFonts w:asciiTheme="minorBidi" w:hAnsiTheme="minorBidi" w:cs="Arial"/>
          <w:rtl/>
        </w:rPr>
        <w:t xml:space="preserve">. </w:t>
      </w:r>
    </w:p>
    <w:p w14:paraId="0D764C23"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יג</w:t>
      </w:r>
    </w:p>
    <w:p w14:paraId="0E5394CA" w14:textId="77777777" w:rsidR="006A4BF8" w:rsidRPr="00974030" w:rsidRDefault="006A4BF8" w:rsidP="00434A6A">
      <w:pPr>
        <w:rPr>
          <w:rFonts w:asciiTheme="minorBidi" w:hAnsiTheme="minorBidi"/>
          <w:rtl/>
        </w:rPr>
      </w:pPr>
      <w:r w:rsidRPr="00974030">
        <w:rPr>
          <w:rFonts w:asciiTheme="minorBidi" w:hAnsiTheme="minorBidi" w:cs="Arial" w:hint="cs"/>
          <w:rtl/>
        </w:rPr>
        <w:t>מעמיד</w:t>
      </w:r>
      <w:r w:rsidRPr="00974030">
        <w:rPr>
          <w:rFonts w:asciiTheme="minorBidi" w:hAnsiTheme="minorBidi" w:cs="Arial"/>
          <w:rtl/>
        </w:rPr>
        <w:t xml:space="preserve"> </w:t>
      </w:r>
      <w:r w:rsidRPr="00974030">
        <w:rPr>
          <w:rFonts w:asciiTheme="minorBidi" w:hAnsiTheme="minorBidi" w:cs="Arial" w:hint="cs"/>
          <w:rtl/>
        </w:rPr>
        <w:t>אדם</w:t>
      </w:r>
      <w:r w:rsidRPr="00974030">
        <w:rPr>
          <w:rFonts w:asciiTheme="minorBidi" w:hAnsiTheme="minorBidi" w:cs="Arial"/>
          <w:rtl/>
        </w:rPr>
        <w:t xml:space="preserve"> </w:t>
      </w:r>
      <w:r w:rsidRPr="00974030">
        <w:rPr>
          <w:rFonts w:asciiTheme="minorBidi" w:hAnsiTheme="minorBidi" w:cs="Arial" w:hint="cs"/>
          <w:rtl/>
        </w:rPr>
        <w:t>בהמתו</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גבי</w:t>
      </w:r>
      <w:r w:rsidRPr="00974030">
        <w:rPr>
          <w:rFonts w:asciiTheme="minorBidi" w:hAnsiTheme="minorBidi" w:cs="Arial"/>
          <w:rtl/>
        </w:rPr>
        <w:t xml:space="preserve"> </w:t>
      </w:r>
      <w:r w:rsidRPr="00974030">
        <w:rPr>
          <w:rFonts w:asciiTheme="minorBidi" w:hAnsiTheme="minorBidi" w:cs="Arial" w:hint="cs"/>
          <w:rtl/>
        </w:rPr>
        <w:t>עשבים</w:t>
      </w:r>
      <w:r w:rsidRPr="00974030">
        <w:rPr>
          <w:rFonts w:asciiTheme="minorBidi" w:hAnsiTheme="minorBidi" w:cs="Arial"/>
          <w:rtl/>
        </w:rPr>
        <w:t xml:space="preserve"> </w:t>
      </w:r>
      <w:r w:rsidRPr="00974030">
        <w:rPr>
          <w:rFonts w:asciiTheme="minorBidi" w:hAnsiTheme="minorBidi" w:cs="Arial" w:hint="cs"/>
          <w:rtl/>
        </w:rPr>
        <w:t>מחוברים</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חיישינן</w:t>
      </w:r>
      <w:r w:rsidRPr="00974030">
        <w:rPr>
          <w:rFonts w:asciiTheme="minorBidi" w:hAnsiTheme="minorBidi" w:cs="Arial"/>
          <w:rtl/>
        </w:rPr>
        <w:t xml:space="preserve"> </w:t>
      </w:r>
      <w:r w:rsidRPr="00974030">
        <w:rPr>
          <w:rFonts w:asciiTheme="minorBidi" w:hAnsiTheme="minorBidi" w:cs="Arial" w:hint="cs"/>
          <w:rtl/>
        </w:rPr>
        <w:t>שמא</w:t>
      </w:r>
      <w:r w:rsidRPr="00974030">
        <w:rPr>
          <w:rFonts w:asciiTheme="minorBidi" w:hAnsiTheme="minorBidi" w:cs="Arial"/>
          <w:rtl/>
        </w:rPr>
        <w:t xml:space="preserve"> </w:t>
      </w:r>
      <w:r w:rsidRPr="00974030">
        <w:rPr>
          <w:rFonts w:asciiTheme="minorBidi" w:hAnsiTheme="minorBidi" w:cs="Arial" w:hint="cs"/>
          <w:rtl/>
        </w:rPr>
        <w:t>יתלוש</w:t>
      </w:r>
      <w:r w:rsidRPr="00974030">
        <w:rPr>
          <w:rFonts w:asciiTheme="minorBidi" w:hAnsiTheme="minorBidi" w:cs="Arial"/>
          <w:rtl/>
        </w:rPr>
        <w:t xml:space="preserve"> </w:t>
      </w:r>
      <w:r w:rsidRPr="00974030">
        <w:rPr>
          <w:rFonts w:asciiTheme="minorBidi" w:hAnsiTheme="minorBidi" w:cs="Arial" w:hint="cs"/>
          <w:rtl/>
        </w:rPr>
        <w:t>מהם</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גבי</w:t>
      </w:r>
      <w:r w:rsidRPr="00974030">
        <w:rPr>
          <w:rFonts w:asciiTheme="minorBidi" w:hAnsiTheme="minorBidi" w:cs="Arial"/>
          <w:rtl/>
        </w:rPr>
        <w:t xml:space="preserve"> </w:t>
      </w:r>
      <w:r w:rsidRPr="00974030">
        <w:rPr>
          <w:rFonts w:asciiTheme="minorBidi" w:hAnsiTheme="minorBidi" w:cs="Arial" w:hint="cs"/>
          <w:rtl/>
        </w:rPr>
        <w:t>מוקצה</w:t>
      </w:r>
      <w:r w:rsidRPr="00974030">
        <w:rPr>
          <w:rFonts w:asciiTheme="minorBidi" w:hAnsiTheme="minorBidi" w:cs="Arial"/>
          <w:rtl/>
        </w:rPr>
        <w:t xml:space="preserve">, </w:t>
      </w:r>
      <w:r w:rsidRPr="00974030">
        <w:rPr>
          <w:rFonts w:asciiTheme="minorBidi" w:hAnsiTheme="minorBidi" w:cs="Arial" w:hint="cs"/>
          <w:rtl/>
        </w:rPr>
        <w:t>מפני</w:t>
      </w:r>
      <w:r w:rsidRPr="00974030">
        <w:rPr>
          <w:rFonts w:asciiTheme="minorBidi" w:hAnsiTheme="minorBidi" w:cs="Arial"/>
          <w:rtl/>
        </w:rPr>
        <w:t xml:space="preserve"> </w:t>
      </w:r>
      <w:r w:rsidRPr="00974030">
        <w:rPr>
          <w:rFonts w:asciiTheme="minorBidi" w:hAnsiTheme="minorBidi" w:cs="Arial" w:hint="cs"/>
          <w:rtl/>
        </w:rPr>
        <w:t>שאיסורו</w:t>
      </w:r>
      <w:r w:rsidRPr="00974030">
        <w:rPr>
          <w:rFonts w:asciiTheme="minorBidi" w:hAnsiTheme="minorBidi" w:cs="Arial"/>
          <w:rtl/>
        </w:rPr>
        <w:t xml:space="preserve"> </w:t>
      </w:r>
      <w:r w:rsidRPr="00974030">
        <w:rPr>
          <w:rFonts w:asciiTheme="minorBidi" w:hAnsiTheme="minorBidi" w:cs="Arial" w:hint="cs"/>
          <w:rtl/>
        </w:rPr>
        <w:t>קל</w:t>
      </w:r>
      <w:r w:rsidRPr="00974030">
        <w:rPr>
          <w:rFonts w:asciiTheme="minorBidi" w:hAnsiTheme="minorBidi" w:cs="Arial"/>
          <w:rtl/>
        </w:rPr>
        <w:t xml:space="preserve"> </w:t>
      </w:r>
      <w:r w:rsidRPr="00974030">
        <w:rPr>
          <w:rFonts w:asciiTheme="minorBidi" w:hAnsiTheme="minorBidi" w:cs="Arial" w:hint="cs"/>
          <w:rtl/>
        </w:rPr>
        <w:t>וחיישינן</w:t>
      </w:r>
      <w:r w:rsidRPr="00974030">
        <w:rPr>
          <w:rFonts w:asciiTheme="minorBidi" w:hAnsiTheme="minorBidi" w:cs="Arial"/>
          <w:rtl/>
        </w:rPr>
        <w:t xml:space="preserve"> </w:t>
      </w:r>
      <w:r w:rsidRPr="00974030">
        <w:rPr>
          <w:rFonts w:asciiTheme="minorBidi" w:hAnsiTheme="minorBidi" w:cs="Arial" w:hint="cs"/>
          <w:rtl/>
        </w:rPr>
        <w:t>שמא</w:t>
      </w:r>
      <w:r w:rsidRPr="00974030">
        <w:rPr>
          <w:rFonts w:asciiTheme="minorBidi" w:hAnsiTheme="minorBidi" w:cs="Arial"/>
          <w:rtl/>
        </w:rPr>
        <w:t xml:space="preserve"> </w:t>
      </w:r>
      <w:r w:rsidRPr="00974030">
        <w:rPr>
          <w:rFonts w:asciiTheme="minorBidi" w:hAnsiTheme="minorBidi" w:cs="Arial" w:hint="cs"/>
          <w:rtl/>
        </w:rPr>
        <w:t>יתן</w:t>
      </w:r>
      <w:r w:rsidRPr="00974030">
        <w:rPr>
          <w:rFonts w:asciiTheme="minorBidi" w:hAnsiTheme="minorBidi" w:cs="Arial"/>
          <w:rtl/>
        </w:rPr>
        <w:t xml:space="preserve"> </w:t>
      </w:r>
      <w:r w:rsidRPr="00974030">
        <w:rPr>
          <w:rFonts w:asciiTheme="minorBidi" w:hAnsiTheme="minorBidi" w:cs="Arial" w:hint="cs"/>
          <w:rtl/>
        </w:rPr>
        <w:t>לה</w:t>
      </w:r>
      <w:r w:rsidRPr="00974030">
        <w:rPr>
          <w:rFonts w:asciiTheme="minorBidi" w:hAnsiTheme="minorBidi" w:cs="Arial"/>
          <w:rtl/>
        </w:rPr>
        <w:t xml:space="preserve"> </w:t>
      </w:r>
      <w:r w:rsidRPr="00974030">
        <w:rPr>
          <w:rFonts w:asciiTheme="minorBidi" w:hAnsiTheme="minorBidi" w:cs="Arial" w:hint="cs"/>
          <w:rtl/>
        </w:rPr>
        <w:t>ממנו</w:t>
      </w:r>
      <w:r w:rsidRPr="00974030">
        <w:rPr>
          <w:rFonts w:asciiTheme="minorBidi" w:hAnsiTheme="minorBidi" w:cs="Arial"/>
          <w:rtl/>
        </w:rPr>
        <w:t xml:space="preserve"> </w:t>
      </w:r>
      <w:r w:rsidRPr="00974030">
        <w:rPr>
          <w:rFonts w:asciiTheme="minorBidi" w:hAnsiTheme="minorBidi" w:cs="Arial" w:hint="cs"/>
          <w:rtl/>
        </w:rPr>
        <w:t>בידים</w:t>
      </w:r>
      <w:r w:rsidRPr="00974030">
        <w:rPr>
          <w:rFonts w:asciiTheme="minorBidi" w:hAnsiTheme="minorBidi" w:cs="Arial"/>
          <w:rtl/>
        </w:rPr>
        <w:t xml:space="preserve">. </w:t>
      </w:r>
      <w:r w:rsidRPr="00974030">
        <w:rPr>
          <w:rFonts w:asciiTheme="minorBidi" w:hAnsiTheme="minorBidi" w:cs="Arial" w:hint="cs"/>
          <w:rtl/>
        </w:rPr>
        <w:t>ודוקא</w:t>
      </w:r>
      <w:r w:rsidRPr="00974030">
        <w:rPr>
          <w:rFonts w:asciiTheme="minorBidi" w:hAnsiTheme="minorBidi" w:cs="Arial"/>
          <w:rtl/>
        </w:rPr>
        <w:t xml:space="preserve"> </w:t>
      </w:r>
      <w:r w:rsidRPr="00974030">
        <w:rPr>
          <w:rFonts w:asciiTheme="minorBidi" w:hAnsiTheme="minorBidi" w:cs="Arial" w:hint="cs"/>
          <w:rtl/>
        </w:rPr>
        <w:t>להעמידה</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גביו</w:t>
      </w:r>
      <w:r w:rsidRPr="00974030">
        <w:rPr>
          <w:rFonts w:asciiTheme="minorBidi" w:hAnsiTheme="minorBidi" w:cs="Arial"/>
          <w:rtl/>
        </w:rPr>
        <w:t xml:space="preserve"> </w:t>
      </w:r>
      <w:r w:rsidRPr="00974030">
        <w:rPr>
          <w:rFonts w:asciiTheme="minorBidi" w:hAnsiTheme="minorBidi" w:cs="Arial" w:hint="cs"/>
          <w:rtl/>
        </w:rPr>
        <w:t>ממש</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לעמוד</w:t>
      </w:r>
      <w:r w:rsidRPr="00974030">
        <w:rPr>
          <w:rFonts w:asciiTheme="minorBidi" w:hAnsiTheme="minorBidi" w:cs="Arial"/>
          <w:rtl/>
        </w:rPr>
        <w:t xml:space="preserve"> </w:t>
      </w:r>
      <w:r w:rsidRPr="00974030">
        <w:rPr>
          <w:rFonts w:asciiTheme="minorBidi" w:hAnsiTheme="minorBidi" w:cs="Arial" w:hint="cs"/>
          <w:rtl/>
        </w:rPr>
        <w:t>בפניה</w:t>
      </w:r>
      <w:r w:rsidRPr="00974030">
        <w:rPr>
          <w:rFonts w:asciiTheme="minorBidi" w:hAnsiTheme="minorBidi" w:cs="Arial"/>
          <w:rtl/>
        </w:rPr>
        <w:t xml:space="preserve"> </w:t>
      </w:r>
      <w:r w:rsidRPr="00974030">
        <w:rPr>
          <w:rFonts w:asciiTheme="minorBidi" w:hAnsiTheme="minorBidi" w:cs="Arial" w:hint="cs"/>
          <w:rtl/>
        </w:rPr>
        <w:t>בענין</w:t>
      </w:r>
      <w:r w:rsidRPr="00974030">
        <w:rPr>
          <w:rFonts w:asciiTheme="minorBidi" w:hAnsiTheme="minorBidi" w:cs="Arial"/>
          <w:rtl/>
        </w:rPr>
        <w:t xml:space="preserve"> </w:t>
      </w:r>
      <w:r w:rsidRPr="00974030">
        <w:rPr>
          <w:rFonts w:asciiTheme="minorBidi" w:hAnsiTheme="minorBidi" w:cs="Arial" w:hint="cs"/>
          <w:rtl/>
        </w:rPr>
        <w:t>שלא</w:t>
      </w:r>
      <w:r w:rsidRPr="00974030">
        <w:rPr>
          <w:rFonts w:asciiTheme="minorBidi" w:hAnsiTheme="minorBidi" w:cs="Arial"/>
          <w:rtl/>
        </w:rPr>
        <w:t xml:space="preserve"> </w:t>
      </w:r>
      <w:r w:rsidRPr="00974030">
        <w:rPr>
          <w:rFonts w:asciiTheme="minorBidi" w:hAnsiTheme="minorBidi" w:cs="Arial" w:hint="cs"/>
          <w:rtl/>
        </w:rPr>
        <w:t>תוכל</w:t>
      </w:r>
      <w:r w:rsidRPr="00974030">
        <w:rPr>
          <w:rFonts w:asciiTheme="minorBidi" w:hAnsiTheme="minorBidi" w:cs="Arial"/>
          <w:rtl/>
        </w:rPr>
        <w:t xml:space="preserve"> </w:t>
      </w:r>
      <w:r w:rsidRPr="00974030">
        <w:rPr>
          <w:rFonts w:asciiTheme="minorBidi" w:hAnsiTheme="minorBidi" w:cs="Arial" w:hint="cs"/>
          <w:rtl/>
        </w:rPr>
        <w:t>להטות</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דרך</w:t>
      </w:r>
      <w:r w:rsidRPr="00974030">
        <w:rPr>
          <w:rFonts w:asciiTheme="minorBidi" w:hAnsiTheme="minorBidi" w:cs="Arial"/>
          <w:rtl/>
        </w:rPr>
        <w:t xml:space="preserve"> </w:t>
      </w:r>
      <w:r w:rsidRPr="00974030">
        <w:rPr>
          <w:rFonts w:asciiTheme="minorBidi" w:hAnsiTheme="minorBidi" w:cs="Arial" w:hint="cs"/>
          <w:rtl/>
        </w:rPr>
        <w:t>שם</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p>
    <w:p w14:paraId="377FB418"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יד</w:t>
      </w:r>
    </w:p>
    <w:p w14:paraId="392CC4BA" w14:textId="77777777" w:rsidR="006A4BF8" w:rsidRPr="00974030" w:rsidRDefault="006A4BF8" w:rsidP="00434A6A">
      <w:pPr>
        <w:rPr>
          <w:rFonts w:asciiTheme="minorBidi" w:hAnsiTheme="minorBidi"/>
          <w:rtl/>
        </w:rPr>
      </w:pPr>
      <w:r w:rsidRPr="00974030">
        <w:rPr>
          <w:rFonts w:asciiTheme="minorBidi" w:hAnsiTheme="minorBidi" w:cs="Arial" w:hint="cs"/>
          <w:rtl/>
        </w:rPr>
        <w:t>נוטלים</w:t>
      </w:r>
      <w:r w:rsidRPr="00974030">
        <w:rPr>
          <w:rFonts w:asciiTheme="minorBidi" w:hAnsiTheme="minorBidi" w:cs="Arial"/>
          <w:rtl/>
        </w:rPr>
        <w:t xml:space="preserve"> </w:t>
      </w:r>
      <w:r w:rsidRPr="00974030">
        <w:rPr>
          <w:rFonts w:asciiTheme="minorBidi" w:hAnsiTheme="minorBidi" w:cs="Arial" w:hint="cs"/>
          <w:rtl/>
        </w:rPr>
        <w:t>מאכל</w:t>
      </w:r>
      <w:r w:rsidRPr="00974030">
        <w:rPr>
          <w:rFonts w:asciiTheme="minorBidi" w:hAnsiTheme="minorBidi" w:cs="Arial"/>
          <w:rtl/>
        </w:rPr>
        <w:t xml:space="preserve"> </w:t>
      </w:r>
      <w:r w:rsidRPr="00974030">
        <w:rPr>
          <w:rFonts w:asciiTheme="minorBidi" w:hAnsiTheme="minorBidi" w:cs="Arial" w:hint="cs"/>
          <w:rtl/>
        </w:rPr>
        <w:t>מלפני</w:t>
      </w:r>
      <w:r w:rsidRPr="00974030">
        <w:rPr>
          <w:rFonts w:asciiTheme="minorBidi" w:hAnsiTheme="minorBidi" w:cs="Arial"/>
          <w:rtl/>
        </w:rPr>
        <w:t xml:space="preserve"> </w:t>
      </w:r>
      <w:r w:rsidRPr="00974030">
        <w:rPr>
          <w:rFonts w:asciiTheme="minorBidi" w:hAnsiTheme="minorBidi" w:cs="Arial" w:hint="cs"/>
          <w:rtl/>
        </w:rPr>
        <w:t>חמור</w:t>
      </w:r>
      <w:r w:rsidRPr="00974030">
        <w:rPr>
          <w:rFonts w:asciiTheme="minorBidi" w:hAnsiTheme="minorBidi" w:cs="Arial"/>
          <w:rtl/>
        </w:rPr>
        <w:t xml:space="preserve"> </w:t>
      </w:r>
      <w:r w:rsidRPr="00974030">
        <w:rPr>
          <w:rFonts w:asciiTheme="minorBidi" w:hAnsiTheme="minorBidi" w:cs="Arial" w:hint="cs"/>
          <w:rtl/>
        </w:rPr>
        <w:t>ונותנים</w:t>
      </w:r>
      <w:r w:rsidRPr="00974030">
        <w:rPr>
          <w:rFonts w:asciiTheme="minorBidi" w:hAnsiTheme="minorBidi" w:cs="Arial"/>
          <w:rtl/>
        </w:rPr>
        <w:t xml:space="preserve"> </w:t>
      </w:r>
      <w:r w:rsidRPr="00974030">
        <w:rPr>
          <w:rFonts w:asciiTheme="minorBidi" w:hAnsiTheme="minorBidi" w:cs="Arial" w:hint="cs"/>
          <w:rtl/>
        </w:rPr>
        <w:t>לפני</w:t>
      </w:r>
      <w:r w:rsidRPr="00974030">
        <w:rPr>
          <w:rFonts w:asciiTheme="minorBidi" w:hAnsiTheme="minorBidi" w:cs="Arial"/>
          <w:rtl/>
        </w:rPr>
        <w:t xml:space="preserve"> </w:t>
      </w:r>
      <w:r w:rsidRPr="00974030">
        <w:rPr>
          <w:rFonts w:asciiTheme="minorBidi" w:hAnsiTheme="minorBidi" w:cs="Arial" w:hint="cs"/>
          <w:rtl/>
        </w:rPr>
        <w:t>שור</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אין</w:t>
      </w:r>
      <w:r w:rsidRPr="00974030">
        <w:rPr>
          <w:rFonts w:asciiTheme="minorBidi" w:hAnsiTheme="minorBidi" w:cs="Arial"/>
          <w:rtl/>
        </w:rPr>
        <w:t xml:space="preserve"> </w:t>
      </w:r>
      <w:r w:rsidRPr="00974030">
        <w:rPr>
          <w:rFonts w:asciiTheme="minorBidi" w:hAnsiTheme="minorBidi" w:cs="Arial" w:hint="cs"/>
          <w:rtl/>
        </w:rPr>
        <w:t>נוטלים</w:t>
      </w:r>
      <w:r w:rsidRPr="00974030">
        <w:rPr>
          <w:rFonts w:asciiTheme="minorBidi" w:hAnsiTheme="minorBidi" w:cs="Arial"/>
          <w:rtl/>
        </w:rPr>
        <w:t xml:space="preserve"> </w:t>
      </w:r>
      <w:r w:rsidRPr="00974030">
        <w:rPr>
          <w:rFonts w:asciiTheme="minorBidi" w:hAnsiTheme="minorBidi" w:cs="Arial" w:hint="cs"/>
          <w:rtl/>
        </w:rPr>
        <w:t>מלפני</w:t>
      </w:r>
      <w:r w:rsidRPr="00974030">
        <w:rPr>
          <w:rFonts w:asciiTheme="minorBidi" w:hAnsiTheme="minorBidi" w:cs="Arial"/>
          <w:rtl/>
        </w:rPr>
        <w:t xml:space="preserve"> </w:t>
      </w:r>
      <w:r w:rsidRPr="00974030">
        <w:rPr>
          <w:rFonts w:asciiTheme="minorBidi" w:hAnsiTheme="minorBidi" w:cs="Arial" w:hint="cs"/>
          <w:rtl/>
        </w:rPr>
        <w:t>שור</w:t>
      </w:r>
      <w:r w:rsidRPr="00974030">
        <w:rPr>
          <w:rFonts w:asciiTheme="minorBidi" w:hAnsiTheme="minorBidi" w:cs="Arial"/>
          <w:rtl/>
        </w:rPr>
        <w:t xml:space="preserve"> </w:t>
      </w:r>
      <w:r w:rsidRPr="00974030">
        <w:rPr>
          <w:rFonts w:asciiTheme="minorBidi" w:hAnsiTheme="minorBidi" w:cs="Arial" w:hint="cs"/>
          <w:rtl/>
        </w:rPr>
        <w:t>ליתן</w:t>
      </w:r>
      <w:r w:rsidRPr="00974030">
        <w:rPr>
          <w:rFonts w:asciiTheme="minorBidi" w:hAnsiTheme="minorBidi" w:cs="Arial"/>
          <w:rtl/>
        </w:rPr>
        <w:t xml:space="preserve"> </w:t>
      </w:r>
      <w:r w:rsidRPr="00974030">
        <w:rPr>
          <w:rFonts w:asciiTheme="minorBidi" w:hAnsiTheme="minorBidi" w:cs="Arial" w:hint="cs"/>
          <w:rtl/>
        </w:rPr>
        <w:t>לפני</w:t>
      </w:r>
      <w:r w:rsidRPr="00974030">
        <w:rPr>
          <w:rFonts w:asciiTheme="minorBidi" w:hAnsiTheme="minorBidi" w:cs="Arial"/>
          <w:rtl/>
        </w:rPr>
        <w:t xml:space="preserve"> </w:t>
      </w:r>
      <w:r w:rsidRPr="00974030">
        <w:rPr>
          <w:rFonts w:asciiTheme="minorBidi" w:hAnsiTheme="minorBidi" w:cs="Arial" w:hint="cs"/>
          <w:rtl/>
        </w:rPr>
        <w:t>חמור</w:t>
      </w:r>
      <w:r w:rsidRPr="00974030">
        <w:rPr>
          <w:rFonts w:asciiTheme="minorBidi" w:hAnsiTheme="minorBidi" w:cs="Arial"/>
          <w:rtl/>
        </w:rPr>
        <w:t xml:space="preserve"> </w:t>
      </w:r>
      <w:r w:rsidRPr="00974030">
        <w:rPr>
          <w:rFonts w:asciiTheme="minorBidi" w:hAnsiTheme="minorBidi" w:cs="Arial" w:hint="cs"/>
          <w:rtl/>
        </w:rPr>
        <w:t>מפני</w:t>
      </w:r>
      <w:r w:rsidRPr="00974030">
        <w:rPr>
          <w:rFonts w:asciiTheme="minorBidi" w:hAnsiTheme="minorBidi" w:cs="Arial"/>
          <w:rtl/>
        </w:rPr>
        <w:t xml:space="preserve"> </w:t>
      </w:r>
      <w:r w:rsidRPr="00974030">
        <w:rPr>
          <w:rFonts w:asciiTheme="minorBidi" w:hAnsiTheme="minorBidi" w:cs="Arial" w:hint="cs"/>
          <w:rtl/>
        </w:rPr>
        <w:t>שנמאס</w:t>
      </w:r>
      <w:r w:rsidRPr="00974030">
        <w:rPr>
          <w:rFonts w:asciiTheme="minorBidi" w:hAnsiTheme="minorBidi" w:cs="Arial"/>
          <w:rtl/>
        </w:rPr>
        <w:t xml:space="preserve"> </w:t>
      </w:r>
      <w:r w:rsidRPr="00974030">
        <w:rPr>
          <w:rFonts w:asciiTheme="minorBidi" w:hAnsiTheme="minorBidi" w:cs="Arial" w:hint="cs"/>
          <w:rtl/>
        </w:rPr>
        <w:t>ברירי</w:t>
      </w:r>
      <w:r w:rsidRPr="00974030">
        <w:rPr>
          <w:rFonts w:asciiTheme="minorBidi" w:hAnsiTheme="minorBidi" w:cs="Arial"/>
          <w:rtl/>
        </w:rPr>
        <w:t xml:space="preserve"> </w:t>
      </w:r>
      <w:r w:rsidRPr="00974030">
        <w:rPr>
          <w:rFonts w:asciiTheme="minorBidi" w:hAnsiTheme="minorBidi" w:cs="Arial" w:hint="cs"/>
          <w:rtl/>
        </w:rPr>
        <w:t>השור</w:t>
      </w:r>
      <w:r w:rsidRPr="00974030">
        <w:rPr>
          <w:rFonts w:asciiTheme="minorBidi" w:hAnsiTheme="minorBidi" w:cs="Arial"/>
          <w:rtl/>
        </w:rPr>
        <w:t xml:space="preserve"> </w:t>
      </w:r>
      <w:r w:rsidRPr="00974030">
        <w:rPr>
          <w:rFonts w:asciiTheme="minorBidi" w:hAnsiTheme="minorBidi" w:cs="Arial" w:hint="cs"/>
          <w:rtl/>
        </w:rPr>
        <w:t>ואינו</w:t>
      </w:r>
      <w:r w:rsidRPr="00974030">
        <w:rPr>
          <w:rFonts w:asciiTheme="minorBidi" w:hAnsiTheme="minorBidi" w:cs="Arial"/>
          <w:rtl/>
        </w:rPr>
        <w:t xml:space="preserve"> </w:t>
      </w:r>
      <w:r w:rsidRPr="00974030">
        <w:rPr>
          <w:rFonts w:asciiTheme="minorBidi" w:hAnsiTheme="minorBidi" w:cs="Arial" w:hint="cs"/>
          <w:rtl/>
        </w:rPr>
        <w:t>ראוי</w:t>
      </w:r>
      <w:r w:rsidRPr="00974030">
        <w:rPr>
          <w:rFonts w:asciiTheme="minorBidi" w:hAnsiTheme="minorBidi" w:cs="Arial"/>
          <w:rtl/>
        </w:rPr>
        <w:t xml:space="preserve"> </w:t>
      </w:r>
      <w:r w:rsidRPr="00974030">
        <w:rPr>
          <w:rFonts w:asciiTheme="minorBidi" w:hAnsiTheme="minorBidi" w:cs="Arial" w:hint="cs"/>
          <w:rtl/>
        </w:rPr>
        <w:t>עוד</w:t>
      </w:r>
      <w:r w:rsidRPr="00974030">
        <w:rPr>
          <w:rFonts w:asciiTheme="minorBidi" w:hAnsiTheme="minorBidi" w:cs="Arial"/>
          <w:rtl/>
        </w:rPr>
        <w:t xml:space="preserve"> </w:t>
      </w:r>
      <w:r w:rsidRPr="00974030">
        <w:rPr>
          <w:rFonts w:asciiTheme="minorBidi" w:hAnsiTheme="minorBidi" w:cs="Arial" w:hint="cs"/>
          <w:rtl/>
        </w:rPr>
        <w:t>לחמור</w:t>
      </w:r>
      <w:r w:rsidRPr="00974030">
        <w:rPr>
          <w:rFonts w:asciiTheme="minorBidi" w:hAnsiTheme="minorBidi" w:cs="Arial"/>
          <w:rtl/>
        </w:rPr>
        <w:t xml:space="preserve">. </w:t>
      </w:r>
      <w:r w:rsidRPr="00974030">
        <w:rPr>
          <w:rFonts w:asciiTheme="minorBidi" w:hAnsiTheme="minorBidi" w:cs="Arial" w:hint="cs"/>
          <w:rtl/>
        </w:rPr>
        <w:t>הגה</w:t>
      </w:r>
      <w:r w:rsidRPr="00974030">
        <w:rPr>
          <w:rFonts w:asciiTheme="minorBidi" w:hAnsiTheme="minorBidi" w:cs="Arial"/>
          <w:rtl/>
        </w:rPr>
        <w:t xml:space="preserve">: </w:t>
      </w:r>
      <w:r w:rsidRPr="00974030">
        <w:rPr>
          <w:rFonts w:asciiTheme="minorBidi" w:hAnsiTheme="minorBidi" w:cs="Arial" w:hint="cs"/>
          <w:rtl/>
        </w:rPr>
        <w:t>ויש</w:t>
      </w:r>
      <w:r w:rsidRPr="00974030">
        <w:rPr>
          <w:rFonts w:asciiTheme="minorBidi" w:hAnsiTheme="minorBidi" w:cs="Arial"/>
          <w:rtl/>
        </w:rPr>
        <w:t xml:space="preserve"> </w:t>
      </w:r>
      <w:r w:rsidRPr="00974030">
        <w:rPr>
          <w:rFonts w:asciiTheme="minorBidi" w:hAnsiTheme="minorBidi" w:cs="Arial" w:hint="cs"/>
          <w:rtl/>
        </w:rPr>
        <w:t>מחמירין</w:t>
      </w:r>
      <w:r w:rsidRPr="00974030">
        <w:rPr>
          <w:rFonts w:asciiTheme="minorBidi" w:hAnsiTheme="minorBidi" w:cs="Arial"/>
          <w:rtl/>
        </w:rPr>
        <w:t xml:space="preserve"> </w:t>
      </w:r>
      <w:r w:rsidRPr="00974030">
        <w:rPr>
          <w:rFonts w:asciiTheme="minorBidi" w:hAnsiTheme="minorBidi" w:cs="Arial" w:hint="cs"/>
          <w:rtl/>
        </w:rPr>
        <w:t>ג</w:t>
      </w:r>
      <w:r w:rsidRPr="00974030">
        <w:rPr>
          <w:rFonts w:asciiTheme="minorBidi" w:hAnsiTheme="minorBidi" w:cs="Arial"/>
          <w:rtl/>
        </w:rPr>
        <w:t>"</w:t>
      </w:r>
      <w:r w:rsidRPr="00974030">
        <w:rPr>
          <w:rFonts w:asciiTheme="minorBidi" w:hAnsiTheme="minorBidi" w:cs="Arial" w:hint="cs"/>
          <w:rtl/>
        </w:rPr>
        <w:t>כ</w:t>
      </w:r>
      <w:r w:rsidRPr="00974030">
        <w:rPr>
          <w:rFonts w:asciiTheme="minorBidi" w:hAnsiTheme="minorBidi" w:cs="Arial"/>
          <w:rtl/>
        </w:rPr>
        <w:t xml:space="preserve"> </w:t>
      </w:r>
      <w:r w:rsidRPr="00974030">
        <w:rPr>
          <w:rFonts w:asciiTheme="minorBidi" w:hAnsiTheme="minorBidi" w:cs="Arial" w:hint="cs"/>
          <w:rtl/>
        </w:rPr>
        <w:t>בשאר</w:t>
      </w:r>
      <w:r w:rsidRPr="00974030">
        <w:rPr>
          <w:rFonts w:asciiTheme="minorBidi" w:hAnsiTheme="minorBidi" w:cs="Arial"/>
          <w:rtl/>
        </w:rPr>
        <w:t xml:space="preserve"> </w:t>
      </w:r>
      <w:r w:rsidRPr="00974030">
        <w:rPr>
          <w:rFonts w:asciiTheme="minorBidi" w:hAnsiTheme="minorBidi" w:cs="Arial" w:hint="cs"/>
          <w:rtl/>
        </w:rPr>
        <w:t>מיני</w:t>
      </w:r>
      <w:r w:rsidRPr="00974030">
        <w:rPr>
          <w:rFonts w:asciiTheme="minorBidi" w:hAnsiTheme="minorBidi" w:cs="Arial"/>
          <w:rtl/>
        </w:rPr>
        <w:t xml:space="preserve"> </w:t>
      </w:r>
      <w:r w:rsidRPr="00974030">
        <w:rPr>
          <w:rFonts w:asciiTheme="minorBidi" w:hAnsiTheme="minorBidi" w:cs="Arial" w:hint="cs"/>
          <w:rtl/>
        </w:rPr>
        <w:t>בהמות</w:t>
      </w:r>
      <w:r w:rsidRPr="00974030">
        <w:rPr>
          <w:rFonts w:asciiTheme="minorBidi" w:hAnsiTheme="minorBidi" w:cs="Arial"/>
          <w:rtl/>
        </w:rPr>
        <w:t xml:space="preserve"> </w:t>
      </w:r>
      <w:r w:rsidRPr="00974030">
        <w:rPr>
          <w:rFonts w:asciiTheme="minorBidi" w:hAnsiTheme="minorBidi" w:cs="Arial" w:hint="cs"/>
          <w:rtl/>
        </w:rPr>
        <w:t>ליקח</w:t>
      </w:r>
      <w:r w:rsidRPr="00974030">
        <w:rPr>
          <w:rFonts w:asciiTheme="minorBidi" w:hAnsiTheme="minorBidi" w:cs="Arial"/>
          <w:rtl/>
        </w:rPr>
        <w:t xml:space="preserve"> </w:t>
      </w:r>
      <w:r w:rsidRPr="00974030">
        <w:rPr>
          <w:rFonts w:asciiTheme="minorBidi" w:hAnsiTheme="minorBidi" w:cs="Arial" w:hint="cs"/>
          <w:rtl/>
        </w:rPr>
        <w:t>מלפני</w:t>
      </w:r>
      <w:r w:rsidRPr="00974030">
        <w:rPr>
          <w:rFonts w:asciiTheme="minorBidi" w:hAnsiTheme="minorBidi" w:cs="Arial"/>
          <w:rtl/>
        </w:rPr>
        <w:t xml:space="preserve"> </w:t>
      </w:r>
      <w:r w:rsidRPr="00974030">
        <w:rPr>
          <w:rFonts w:asciiTheme="minorBidi" w:hAnsiTheme="minorBidi" w:cs="Arial" w:hint="cs"/>
          <w:rtl/>
        </w:rPr>
        <w:t>א</w:t>
      </w:r>
      <w:r w:rsidRPr="00974030">
        <w:rPr>
          <w:rFonts w:asciiTheme="minorBidi" w:hAnsiTheme="minorBidi" w:cs="Arial"/>
          <w:rtl/>
        </w:rPr>
        <w:t xml:space="preserve">' </w:t>
      </w:r>
      <w:r w:rsidRPr="00974030">
        <w:rPr>
          <w:rFonts w:asciiTheme="minorBidi" w:hAnsiTheme="minorBidi" w:cs="Arial" w:hint="cs"/>
          <w:rtl/>
        </w:rPr>
        <w:t>וליתן</w:t>
      </w:r>
      <w:r w:rsidRPr="00974030">
        <w:rPr>
          <w:rFonts w:asciiTheme="minorBidi" w:hAnsiTheme="minorBidi" w:cs="Arial"/>
          <w:rtl/>
        </w:rPr>
        <w:t xml:space="preserve"> </w:t>
      </w:r>
      <w:r w:rsidRPr="00974030">
        <w:rPr>
          <w:rFonts w:asciiTheme="minorBidi" w:hAnsiTheme="minorBidi" w:cs="Arial" w:hint="cs"/>
          <w:rtl/>
        </w:rPr>
        <w:t>לפני</w:t>
      </w:r>
      <w:r w:rsidRPr="00974030">
        <w:rPr>
          <w:rFonts w:asciiTheme="minorBidi" w:hAnsiTheme="minorBidi" w:cs="Arial"/>
          <w:rtl/>
        </w:rPr>
        <w:t xml:space="preserve"> </w:t>
      </w:r>
      <w:r w:rsidRPr="00974030">
        <w:rPr>
          <w:rFonts w:asciiTheme="minorBidi" w:hAnsiTheme="minorBidi" w:cs="Arial" w:hint="cs"/>
          <w:rtl/>
        </w:rPr>
        <w:t>אחרת</w:t>
      </w:r>
      <w:r w:rsidRPr="00974030">
        <w:rPr>
          <w:rFonts w:asciiTheme="minorBidi" w:hAnsiTheme="minorBidi" w:cs="Arial"/>
          <w:rtl/>
        </w:rPr>
        <w:t xml:space="preserve"> </w:t>
      </w:r>
      <w:r w:rsidRPr="00974030">
        <w:rPr>
          <w:rFonts w:asciiTheme="minorBidi" w:hAnsiTheme="minorBidi" w:cs="Arial" w:hint="cs"/>
          <w:rtl/>
        </w:rPr>
        <w:t>שאינה</w:t>
      </w:r>
      <w:r w:rsidRPr="00974030">
        <w:rPr>
          <w:rFonts w:asciiTheme="minorBidi" w:hAnsiTheme="minorBidi" w:cs="Arial"/>
          <w:rtl/>
        </w:rPr>
        <w:t xml:space="preserve"> </w:t>
      </w:r>
      <w:r w:rsidRPr="00974030">
        <w:rPr>
          <w:rFonts w:asciiTheme="minorBidi" w:hAnsiTheme="minorBidi" w:cs="Arial" w:hint="cs"/>
          <w:rtl/>
        </w:rPr>
        <w:t>מינה</w:t>
      </w:r>
      <w:r w:rsidRPr="00974030">
        <w:rPr>
          <w:rFonts w:asciiTheme="minorBidi" w:hAnsiTheme="minorBidi" w:cs="Arial"/>
          <w:rtl/>
        </w:rPr>
        <w:t xml:space="preserve"> (</w:t>
      </w:r>
      <w:r w:rsidRPr="00974030">
        <w:rPr>
          <w:rFonts w:asciiTheme="minorBidi" w:hAnsiTheme="minorBidi" w:cs="Arial" w:hint="cs"/>
          <w:rtl/>
        </w:rPr>
        <w:t>מרדכי</w:t>
      </w:r>
      <w:r w:rsidRPr="00974030">
        <w:rPr>
          <w:rFonts w:asciiTheme="minorBidi" w:hAnsiTheme="minorBidi" w:cs="Arial"/>
          <w:rtl/>
        </w:rPr>
        <w:t xml:space="preserve"> </w:t>
      </w:r>
      <w:r w:rsidRPr="00974030">
        <w:rPr>
          <w:rFonts w:asciiTheme="minorBidi" w:hAnsiTheme="minorBidi" w:cs="Arial" w:hint="cs"/>
          <w:rtl/>
        </w:rPr>
        <w:t>פ</w:t>
      </w:r>
      <w:r w:rsidRPr="00974030">
        <w:rPr>
          <w:rFonts w:asciiTheme="minorBidi" w:hAnsiTheme="minorBidi" w:cs="Arial"/>
          <w:rtl/>
        </w:rPr>
        <w:t xml:space="preserve">' </w:t>
      </w:r>
      <w:r w:rsidRPr="00974030">
        <w:rPr>
          <w:rFonts w:asciiTheme="minorBidi" w:hAnsiTheme="minorBidi" w:cs="Arial" w:hint="cs"/>
          <w:rtl/>
        </w:rPr>
        <w:t>תולין</w:t>
      </w:r>
      <w:r w:rsidRPr="00974030">
        <w:rPr>
          <w:rFonts w:asciiTheme="minorBidi" w:hAnsiTheme="minorBidi" w:cs="Arial"/>
          <w:rtl/>
        </w:rPr>
        <w:t xml:space="preserve"> </w:t>
      </w:r>
      <w:r w:rsidRPr="00974030">
        <w:rPr>
          <w:rFonts w:asciiTheme="minorBidi" w:hAnsiTheme="minorBidi" w:cs="Arial" w:hint="cs"/>
          <w:rtl/>
        </w:rPr>
        <w:t>וסמ</w:t>
      </w:r>
      <w:r w:rsidRPr="00974030">
        <w:rPr>
          <w:rFonts w:asciiTheme="minorBidi" w:hAnsiTheme="minorBidi" w:cs="Arial"/>
          <w:rtl/>
        </w:rPr>
        <w:t>"</w:t>
      </w:r>
      <w:r w:rsidRPr="00974030">
        <w:rPr>
          <w:rFonts w:asciiTheme="minorBidi" w:hAnsiTheme="minorBidi" w:cs="Arial" w:hint="cs"/>
          <w:rtl/>
        </w:rPr>
        <w:t>ג</w:t>
      </w:r>
      <w:r w:rsidRPr="00974030">
        <w:rPr>
          <w:rFonts w:asciiTheme="minorBidi" w:hAnsiTheme="minorBidi" w:cs="Arial"/>
          <w:rtl/>
        </w:rPr>
        <w:t xml:space="preserve"> </w:t>
      </w:r>
      <w:r w:rsidRPr="00974030">
        <w:rPr>
          <w:rFonts w:asciiTheme="minorBidi" w:hAnsiTheme="minorBidi" w:cs="Arial" w:hint="cs"/>
          <w:rtl/>
        </w:rPr>
        <w:t>וסה</w:t>
      </w:r>
      <w:r w:rsidRPr="00974030">
        <w:rPr>
          <w:rFonts w:asciiTheme="minorBidi" w:hAnsiTheme="minorBidi" w:cs="Arial"/>
          <w:rtl/>
        </w:rPr>
        <w:t>"</w:t>
      </w:r>
      <w:r w:rsidRPr="00974030">
        <w:rPr>
          <w:rFonts w:asciiTheme="minorBidi" w:hAnsiTheme="minorBidi" w:cs="Arial" w:hint="cs"/>
          <w:rtl/>
        </w:rPr>
        <w:t>ת</w:t>
      </w:r>
      <w:r w:rsidRPr="00974030">
        <w:rPr>
          <w:rFonts w:asciiTheme="minorBidi" w:hAnsiTheme="minorBidi" w:cs="Arial"/>
          <w:rtl/>
        </w:rPr>
        <w:t xml:space="preserve">). </w:t>
      </w:r>
    </w:p>
    <w:p w14:paraId="0583DC68"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טו</w:t>
      </w:r>
    </w:p>
    <w:p w14:paraId="2EAB242D" w14:textId="77777777" w:rsidR="006A4BF8" w:rsidRDefault="006A4BF8" w:rsidP="00434A6A">
      <w:pPr>
        <w:rPr>
          <w:rFonts w:asciiTheme="minorBidi" w:hAnsiTheme="minorBidi"/>
          <w:rtl/>
        </w:rPr>
      </w:pP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לגרוף</w:t>
      </w:r>
      <w:r w:rsidRPr="00974030">
        <w:rPr>
          <w:rFonts w:asciiTheme="minorBidi" w:hAnsiTheme="minorBidi" w:cs="Arial"/>
          <w:rtl/>
        </w:rPr>
        <w:t xml:space="preserve"> </w:t>
      </w:r>
      <w:r w:rsidRPr="00974030">
        <w:rPr>
          <w:rFonts w:asciiTheme="minorBidi" w:hAnsiTheme="minorBidi" w:cs="Arial" w:hint="cs"/>
          <w:rtl/>
        </w:rPr>
        <w:t>האבוס</w:t>
      </w:r>
      <w:r w:rsidRPr="00974030">
        <w:rPr>
          <w:rFonts w:asciiTheme="minorBidi" w:hAnsiTheme="minorBidi" w:cs="Arial"/>
          <w:rtl/>
        </w:rPr>
        <w:t xml:space="preserve"> </w:t>
      </w:r>
      <w:r w:rsidRPr="00974030">
        <w:rPr>
          <w:rFonts w:asciiTheme="minorBidi" w:hAnsiTheme="minorBidi" w:cs="Arial" w:hint="cs"/>
          <w:rtl/>
        </w:rPr>
        <w:t>לפני</w:t>
      </w:r>
      <w:r w:rsidRPr="00974030">
        <w:rPr>
          <w:rFonts w:asciiTheme="minorBidi" w:hAnsiTheme="minorBidi" w:cs="Arial"/>
          <w:rtl/>
        </w:rPr>
        <w:t xml:space="preserve"> </w:t>
      </w:r>
      <w:r w:rsidRPr="00974030">
        <w:rPr>
          <w:rFonts w:asciiTheme="minorBidi" w:hAnsiTheme="minorBidi" w:cs="Arial" w:hint="cs"/>
          <w:rtl/>
        </w:rPr>
        <w:t>שור</w:t>
      </w:r>
      <w:r w:rsidRPr="00974030">
        <w:rPr>
          <w:rFonts w:asciiTheme="minorBidi" w:hAnsiTheme="minorBidi" w:cs="Arial"/>
          <w:rtl/>
        </w:rPr>
        <w:t xml:space="preserve"> </w:t>
      </w:r>
      <w:r w:rsidRPr="00974030">
        <w:rPr>
          <w:rFonts w:asciiTheme="minorBidi" w:hAnsiTheme="minorBidi" w:cs="Arial" w:hint="cs"/>
          <w:rtl/>
        </w:rPr>
        <w:t>של</w:t>
      </w:r>
      <w:r w:rsidRPr="00974030">
        <w:rPr>
          <w:rFonts w:asciiTheme="minorBidi" w:hAnsiTheme="minorBidi" w:cs="Arial"/>
          <w:rtl/>
        </w:rPr>
        <w:t xml:space="preserve"> </w:t>
      </w:r>
      <w:r w:rsidRPr="00974030">
        <w:rPr>
          <w:rFonts w:asciiTheme="minorBidi" w:hAnsiTheme="minorBidi" w:cs="Arial" w:hint="cs"/>
          <w:rtl/>
        </w:rPr>
        <w:t>פטם</w:t>
      </w:r>
      <w:r w:rsidRPr="00974030">
        <w:rPr>
          <w:rFonts w:asciiTheme="minorBidi" w:hAnsiTheme="minorBidi" w:cs="Arial"/>
          <w:rtl/>
        </w:rPr>
        <w:t xml:space="preserve">, </w:t>
      </w:r>
      <w:r w:rsidRPr="00974030">
        <w:rPr>
          <w:rFonts w:asciiTheme="minorBidi" w:hAnsiTheme="minorBidi" w:cs="Arial" w:hint="cs"/>
          <w:rtl/>
        </w:rPr>
        <w:t>אפי</w:t>
      </w:r>
      <w:r w:rsidRPr="00974030">
        <w:rPr>
          <w:rFonts w:asciiTheme="minorBidi" w:hAnsiTheme="minorBidi" w:cs="Arial"/>
          <w:rtl/>
        </w:rPr>
        <w:t xml:space="preserve">' </w:t>
      </w:r>
      <w:r w:rsidRPr="00974030">
        <w:rPr>
          <w:rFonts w:asciiTheme="minorBidi" w:hAnsiTheme="minorBidi" w:cs="Arial" w:hint="cs"/>
          <w:rtl/>
        </w:rPr>
        <w:t>אבוס</w:t>
      </w:r>
      <w:r w:rsidRPr="00974030">
        <w:rPr>
          <w:rFonts w:asciiTheme="minorBidi" w:hAnsiTheme="minorBidi" w:cs="Arial"/>
          <w:rtl/>
        </w:rPr>
        <w:t xml:space="preserve"> </w:t>
      </w:r>
      <w:r w:rsidRPr="00974030">
        <w:rPr>
          <w:rFonts w:asciiTheme="minorBidi" w:hAnsiTheme="minorBidi" w:cs="Arial" w:hint="cs"/>
          <w:rtl/>
        </w:rPr>
        <w:t>של</w:t>
      </w:r>
      <w:r w:rsidRPr="00974030">
        <w:rPr>
          <w:rFonts w:asciiTheme="minorBidi" w:hAnsiTheme="minorBidi" w:cs="Arial"/>
          <w:rtl/>
        </w:rPr>
        <w:t xml:space="preserve"> </w:t>
      </w:r>
      <w:r w:rsidRPr="00974030">
        <w:rPr>
          <w:rFonts w:asciiTheme="minorBidi" w:hAnsiTheme="minorBidi" w:cs="Arial" w:hint="cs"/>
          <w:rtl/>
        </w:rPr>
        <w:t>כלי</w:t>
      </w:r>
      <w:r w:rsidRPr="00974030">
        <w:rPr>
          <w:rFonts w:asciiTheme="minorBidi" w:hAnsiTheme="minorBidi" w:cs="Arial"/>
          <w:rtl/>
        </w:rPr>
        <w:t xml:space="preserve">, </w:t>
      </w:r>
      <w:r w:rsidRPr="00974030">
        <w:rPr>
          <w:rFonts w:asciiTheme="minorBidi" w:hAnsiTheme="minorBidi" w:cs="Arial" w:hint="cs"/>
          <w:rtl/>
        </w:rPr>
        <w:t>גזירה</w:t>
      </w:r>
      <w:r w:rsidRPr="00974030">
        <w:rPr>
          <w:rFonts w:asciiTheme="minorBidi" w:hAnsiTheme="minorBidi" w:cs="Arial"/>
          <w:rtl/>
        </w:rPr>
        <w:t xml:space="preserve"> </w:t>
      </w:r>
      <w:r w:rsidRPr="00974030">
        <w:rPr>
          <w:rFonts w:asciiTheme="minorBidi" w:hAnsiTheme="minorBidi" w:cs="Arial" w:hint="cs"/>
          <w:rtl/>
        </w:rPr>
        <w:t>אטו</w:t>
      </w:r>
      <w:r w:rsidRPr="00974030">
        <w:rPr>
          <w:rFonts w:asciiTheme="minorBidi" w:hAnsiTheme="minorBidi" w:cs="Arial"/>
          <w:rtl/>
        </w:rPr>
        <w:t xml:space="preserve"> </w:t>
      </w:r>
      <w:r w:rsidRPr="00974030">
        <w:rPr>
          <w:rFonts w:asciiTheme="minorBidi" w:hAnsiTheme="minorBidi" w:cs="Arial" w:hint="cs"/>
          <w:rtl/>
        </w:rPr>
        <w:t>של</w:t>
      </w:r>
      <w:r w:rsidRPr="00974030">
        <w:rPr>
          <w:rFonts w:asciiTheme="minorBidi" w:hAnsiTheme="minorBidi" w:cs="Arial"/>
          <w:rtl/>
        </w:rPr>
        <w:t xml:space="preserve"> </w:t>
      </w:r>
      <w:r w:rsidRPr="00974030">
        <w:rPr>
          <w:rFonts w:asciiTheme="minorBidi" w:hAnsiTheme="minorBidi" w:cs="Arial" w:hint="cs"/>
          <w:rtl/>
        </w:rPr>
        <w:t>קרקע</w:t>
      </w:r>
      <w:r w:rsidRPr="00974030">
        <w:rPr>
          <w:rFonts w:asciiTheme="minorBidi" w:hAnsiTheme="minorBidi" w:cs="Arial"/>
          <w:rtl/>
        </w:rPr>
        <w:t xml:space="preserve"> </w:t>
      </w:r>
      <w:r w:rsidRPr="00974030">
        <w:rPr>
          <w:rFonts w:asciiTheme="minorBidi" w:hAnsiTheme="minorBidi" w:cs="Arial" w:hint="cs"/>
          <w:rtl/>
        </w:rPr>
        <w:t>דאתי</w:t>
      </w:r>
      <w:r w:rsidRPr="00974030">
        <w:rPr>
          <w:rFonts w:asciiTheme="minorBidi" w:hAnsiTheme="minorBidi" w:cs="Arial"/>
          <w:rtl/>
        </w:rPr>
        <w:t xml:space="preserve"> </w:t>
      </w:r>
      <w:r w:rsidRPr="00974030">
        <w:rPr>
          <w:rFonts w:asciiTheme="minorBidi" w:hAnsiTheme="minorBidi" w:cs="Arial" w:hint="cs"/>
          <w:rtl/>
        </w:rPr>
        <w:t>לאשווי</w:t>
      </w:r>
      <w:r w:rsidRPr="00974030">
        <w:rPr>
          <w:rFonts w:asciiTheme="minorBidi" w:hAnsiTheme="minorBidi" w:cs="Arial"/>
          <w:rtl/>
        </w:rPr>
        <w:t xml:space="preserve"> </w:t>
      </w:r>
      <w:r w:rsidRPr="00974030">
        <w:rPr>
          <w:rFonts w:asciiTheme="minorBidi" w:hAnsiTheme="minorBidi" w:cs="Arial" w:hint="cs"/>
          <w:rtl/>
        </w:rPr>
        <w:t>גומות</w:t>
      </w:r>
      <w:r w:rsidRPr="00974030">
        <w:rPr>
          <w:rFonts w:asciiTheme="minorBidi" w:hAnsiTheme="minorBidi" w:cs="Arial"/>
          <w:rtl/>
        </w:rPr>
        <w:t xml:space="preserve">; </w:t>
      </w:r>
      <w:r w:rsidRPr="00974030">
        <w:rPr>
          <w:rFonts w:asciiTheme="minorBidi" w:hAnsiTheme="minorBidi" w:cs="Arial" w:hint="cs"/>
          <w:rtl/>
        </w:rPr>
        <w:t>ואסור</w:t>
      </w:r>
      <w:r w:rsidRPr="00974030">
        <w:rPr>
          <w:rFonts w:asciiTheme="minorBidi" w:hAnsiTheme="minorBidi" w:cs="Arial"/>
          <w:rtl/>
        </w:rPr>
        <w:t xml:space="preserve"> </w:t>
      </w:r>
      <w:r w:rsidRPr="00974030">
        <w:rPr>
          <w:rFonts w:asciiTheme="minorBidi" w:hAnsiTheme="minorBidi" w:cs="Arial" w:hint="cs"/>
          <w:rtl/>
        </w:rPr>
        <w:t>גם</w:t>
      </w:r>
      <w:r w:rsidRPr="00974030">
        <w:rPr>
          <w:rFonts w:asciiTheme="minorBidi" w:hAnsiTheme="minorBidi" w:cs="Arial"/>
          <w:rtl/>
        </w:rPr>
        <w:t xml:space="preserve"> </w:t>
      </w:r>
      <w:r w:rsidRPr="00974030">
        <w:rPr>
          <w:rFonts w:asciiTheme="minorBidi" w:hAnsiTheme="minorBidi" w:cs="Arial" w:hint="cs"/>
          <w:rtl/>
        </w:rPr>
        <w:t>כן</w:t>
      </w:r>
      <w:r w:rsidRPr="00974030">
        <w:rPr>
          <w:rFonts w:asciiTheme="minorBidi" w:hAnsiTheme="minorBidi" w:cs="Arial"/>
          <w:rtl/>
        </w:rPr>
        <w:t xml:space="preserve"> </w:t>
      </w:r>
      <w:r w:rsidRPr="00974030">
        <w:rPr>
          <w:rFonts w:asciiTheme="minorBidi" w:hAnsiTheme="minorBidi" w:cs="Arial" w:hint="cs"/>
          <w:rtl/>
        </w:rPr>
        <w:t>לסלק</w:t>
      </w:r>
      <w:r w:rsidRPr="00974030">
        <w:rPr>
          <w:rFonts w:asciiTheme="minorBidi" w:hAnsiTheme="minorBidi" w:cs="Arial"/>
          <w:rtl/>
        </w:rPr>
        <w:t xml:space="preserve"> </w:t>
      </w:r>
      <w:r w:rsidRPr="00974030">
        <w:rPr>
          <w:rFonts w:asciiTheme="minorBidi" w:hAnsiTheme="minorBidi" w:cs="Arial" w:hint="cs"/>
          <w:rtl/>
        </w:rPr>
        <w:t>התבן</w:t>
      </w:r>
      <w:r w:rsidRPr="00974030">
        <w:rPr>
          <w:rFonts w:asciiTheme="minorBidi" w:hAnsiTheme="minorBidi" w:cs="Arial"/>
          <w:rtl/>
        </w:rPr>
        <w:t xml:space="preserve"> </w:t>
      </w:r>
      <w:r w:rsidRPr="00974030">
        <w:rPr>
          <w:rFonts w:asciiTheme="minorBidi" w:hAnsiTheme="minorBidi" w:cs="Arial" w:hint="cs"/>
          <w:rtl/>
        </w:rPr>
        <w:t>מלפניו</w:t>
      </w:r>
      <w:r w:rsidRPr="00974030">
        <w:rPr>
          <w:rFonts w:asciiTheme="minorBidi" w:hAnsiTheme="minorBidi" w:cs="Arial"/>
          <w:rtl/>
        </w:rPr>
        <w:t xml:space="preserve"> </w:t>
      </w:r>
      <w:r w:rsidRPr="00974030">
        <w:rPr>
          <w:rFonts w:asciiTheme="minorBidi" w:hAnsiTheme="minorBidi" w:cs="Arial" w:hint="cs"/>
          <w:rtl/>
        </w:rPr>
        <w:t>לצדדין</w:t>
      </w:r>
      <w:r w:rsidRPr="00974030">
        <w:rPr>
          <w:rFonts w:asciiTheme="minorBidi" w:hAnsiTheme="minorBidi" w:cs="Arial"/>
          <w:rtl/>
        </w:rPr>
        <w:t>.</w:t>
      </w:r>
    </w:p>
    <w:p w14:paraId="76979422" w14:textId="77777777" w:rsidR="006A4BF8" w:rsidRDefault="006A4BF8" w:rsidP="00434A6A">
      <w:pPr>
        <w:rPr>
          <w:rFonts w:asciiTheme="minorBidi" w:hAnsiTheme="minorBidi"/>
          <w:rtl/>
        </w:rPr>
      </w:pPr>
    </w:p>
    <w:p w14:paraId="301AC8A0" w14:textId="77777777" w:rsidR="006A4BF8" w:rsidRDefault="006A4BF8" w:rsidP="00434A6A">
      <w:pPr>
        <w:rPr>
          <w:rFonts w:asciiTheme="minorBidi" w:hAnsiTheme="minorBidi"/>
          <w:rtl/>
        </w:rPr>
      </w:pPr>
    </w:p>
    <w:p w14:paraId="0E8F67BD" w14:textId="77777777" w:rsidR="006A4BF8" w:rsidRDefault="006A4BF8" w:rsidP="00434A6A">
      <w:pPr>
        <w:rPr>
          <w:rFonts w:asciiTheme="minorBidi" w:hAnsiTheme="minorBidi"/>
          <w:rtl/>
        </w:rPr>
      </w:pPr>
    </w:p>
    <w:p w14:paraId="2E8B6752" w14:textId="77777777" w:rsidR="006A4BF8" w:rsidRDefault="006A4BF8" w:rsidP="00434A6A">
      <w:pPr>
        <w:pStyle w:val="1"/>
        <w:rPr>
          <w:rtl/>
        </w:rPr>
        <w:sectPr w:rsidR="006A4BF8" w:rsidSect="00BD29B1">
          <w:footnotePr>
            <w:numRestart w:val="eachSect"/>
          </w:footnotePr>
          <w:pgSz w:w="11906" w:h="16838"/>
          <w:pgMar w:top="720" w:right="1134" w:bottom="720" w:left="1134" w:header="0" w:footer="0" w:gutter="0"/>
          <w:cols w:space="720"/>
          <w:bidi/>
          <w:rtlGutter/>
          <w:docGrid w:linePitch="360"/>
        </w:sectPr>
      </w:pPr>
    </w:p>
    <w:p w14:paraId="35078E54" w14:textId="77777777" w:rsidR="006A4BF8" w:rsidRPr="00974030" w:rsidRDefault="006A4BF8" w:rsidP="00434A6A">
      <w:pPr>
        <w:pStyle w:val="1"/>
        <w:rPr>
          <w:rtl/>
        </w:rPr>
      </w:pPr>
      <w:r>
        <w:rPr>
          <w:rFonts w:hint="cs"/>
          <w:rtl/>
        </w:rPr>
        <w:t xml:space="preserve">סימן שכז: </w:t>
      </w:r>
      <w:r w:rsidRPr="00974030">
        <w:rPr>
          <w:rFonts w:hint="cs"/>
          <w:rtl/>
        </w:rPr>
        <w:t>דיני</w:t>
      </w:r>
      <w:r w:rsidRPr="00974030">
        <w:rPr>
          <w:rtl/>
        </w:rPr>
        <w:t xml:space="preserve"> </w:t>
      </w:r>
      <w:r w:rsidRPr="00974030">
        <w:rPr>
          <w:rFonts w:hint="cs"/>
          <w:rtl/>
        </w:rPr>
        <w:t>סיכה</w:t>
      </w:r>
      <w:r w:rsidRPr="00974030">
        <w:rPr>
          <w:rtl/>
        </w:rPr>
        <w:t xml:space="preserve"> </w:t>
      </w:r>
      <w:r w:rsidRPr="00974030">
        <w:rPr>
          <w:rFonts w:hint="cs"/>
          <w:rtl/>
        </w:rPr>
        <w:t>בשבת</w:t>
      </w:r>
      <w:r w:rsidRPr="00974030">
        <w:rPr>
          <w:rtl/>
        </w:rPr>
        <w:t xml:space="preserve">, </w:t>
      </w:r>
      <w:r w:rsidRPr="00974030">
        <w:rPr>
          <w:rFonts w:hint="cs"/>
          <w:rtl/>
        </w:rPr>
        <w:t>ובו</w:t>
      </w:r>
      <w:r w:rsidRPr="00974030">
        <w:rPr>
          <w:rtl/>
        </w:rPr>
        <w:t xml:space="preserve"> </w:t>
      </w:r>
      <w:r w:rsidRPr="00974030">
        <w:rPr>
          <w:rFonts w:hint="cs"/>
          <w:rtl/>
        </w:rPr>
        <w:t>ד</w:t>
      </w:r>
      <w:r w:rsidRPr="00974030">
        <w:rPr>
          <w:rtl/>
        </w:rPr>
        <w:t xml:space="preserve">' </w:t>
      </w:r>
      <w:r w:rsidRPr="00974030">
        <w:rPr>
          <w:rFonts w:hint="cs"/>
          <w:rtl/>
        </w:rPr>
        <w:t>סעיפים</w:t>
      </w:r>
      <w:r w:rsidRPr="00974030">
        <w:rPr>
          <w:rtl/>
        </w:rPr>
        <w:t xml:space="preserve">. </w:t>
      </w:r>
    </w:p>
    <w:p w14:paraId="7DEC08AD"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א</w:t>
      </w:r>
    </w:p>
    <w:p w14:paraId="6315BEB8" w14:textId="77777777" w:rsidR="006A4BF8" w:rsidRPr="00974030" w:rsidRDefault="006A4BF8" w:rsidP="00434A6A">
      <w:pPr>
        <w:rPr>
          <w:rFonts w:asciiTheme="minorBidi" w:hAnsiTheme="minorBidi"/>
          <w:rtl/>
        </w:rPr>
      </w:pPr>
      <w:r w:rsidRPr="00974030">
        <w:rPr>
          <w:rFonts w:asciiTheme="minorBidi" w:hAnsiTheme="minorBidi" w:cs="Arial" w:hint="cs"/>
          <w:rtl/>
        </w:rPr>
        <w:t>החושש</w:t>
      </w:r>
      <w:r w:rsidRPr="00974030">
        <w:rPr>
          <w:rFonts w:asciiTheme="minorBidi" w:hAnsiTheme="minorBidi" w:cs="Arial"/>
          <w:rtl/>
        </w:rPr>
        <w:t xml:space="preserve"> </w:t>
      </w:r>
      <w:r w:rsidRPr="00974030">
        <w:rPr>
          <w:rFonts w:asciiTheme="minorBidi" w:hAnsiTheme="minorBidi" w:cs="Arial" w:hint="cs"/>
          <w:rtl/>
        </w:rPr>
        <w:t>במתניו</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יסוך</w:t>
      </w:r>
      <w:r w:rsidRPr="00974030">
        <w:rPr>
          <w:rFonts w:asciiTheme="minorBidi" w:hAnsiTheme="minorBidi" w:cs="Arial"/>
          <w:rtl/>
        </w:rPr>
        <w:t xml:space="preserve"> </w:t>
      </w:r>
      <w:r w:rsidRPr="00974030">
        <w:rPr>
          <w:rFonts w:asciiTheme="minorBidi" w:hAnsiTheme="minorBidi" w:cs="Arial" w:hint="cs"/>
          <w:rtl/>
        </w:rPr>
        <w:t>שמן</w:t>
      </w:r>
      <w:r w:rsidRPr="00974030">
        <w:rPr>
          <w:rFonts w:asciiTheme="minorBidi" w:hAnsiTheme="minorBidi" w:cs="Arial"/>
          <w:rtl/>
        </w:rPr>
        <w:t xml:space="preserve"> </w:t>
      </w:r>
      <w:r w:rsidRPr="00974030">
        <w:rPr>
          <w:rFonts w:asciiTheme="minorBidi" w:hAnsiTheme="minorBidi" w:cs="Arial" w:hint="cs"/>
          <w:rtl/>
        </w:rPr>
        <w:t>וחומץ</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סך</w:t>
      </w:r>
      <w:r w:rsidRPr="00974030">
        <w:rPr>
          <w:rFonts w:asciiTheme="minorBidi" w:hAnsiTheme="minorBidi" w:cs="Arial"/>
          <w:rtl/>
        </w:rPr>
        <w:t xml:space="preserve"> </w:t>
      </w:r>
      <w:r w:rsidRPr="00974030">
        <w:rPr>
          <w:rFonts w:asciiTheme="minorBidi" w:hAnsiTheme="minorBidi" w:cs="Arial" w:hint="cs"/>
          <w:rtl/>
        </w:rPr>
        <w:t>הוא</w:t>
      </w:r>
      <w:r w:rsidRPr="00974030">
        <w:rPr>
          <w:rFonts w:asciiTheme="minorBidi" w:hAnsiTheme="minorBidi" w:cs="Arial"/>
          <w:rtl/>
        </w:rPr>
        <w:t xml:space="preserve"> </w:t>
      </w:r>
      <w:r w:rsidRPr="00974030">
        <w:rPr>
          <w:rFonts w:asciiTheme="minorBidi" w:hAnsiTheme="minorBidi" w:cs="Arial" w:hint="cs"/>
          <w:rtl/>
        </w:rPr>
        <w:t>שמן</w:t>
      </w:r>
      <w:r w:rsidRPr="00974030">
        <w:rPr>
          <w:rFonts w:asciiTheme="minorBidi" w:hAnsiTheme="minorBidi" w:cs="Arial"/>
          <w:rtl/>
        </w:rPr>
        <w:t xml:space="preserve"> </w:t>
      </w:r>
      <w:r w:rsidRPr="00974030">
        <w:rPr>
          <w:rFonts w:asciiTheme="minorBidi" w:hAnsiTheme="minorBidi" w:cs="Arial" w:hint="cs"/>
          <w:rtl/>
        </w:rPr>
        <w:t>לבדו</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בשמן</w:t>
      </w:r>
      <w:r w:rsidRPr="00974030">
        <w:rPr>
          <w:rFonts w:asciiTheme="minorBidi" w:hAnsiTheme="minorBidi" w:cs="Arial"/>
          <w:rtl/>
        </w:rPr>
        <w:t xml:space="preserve"> </w:t>
      </w:r>
      <w:r w:rsidRPr="00974030">
        <w:rPr>
          <w:rFonts w:asciiTheme="minorBidi" w:hAnsiTheme="minorBidi" w:cs="Arial" w:hint="cs"/>
          <w:rtl/>
        </w:rPr>
        <w:t>ורד</w:t>
      </w:r>
      <w:r w:rsidRPr="00974030">
        <w:rPr>
          <w:rFonts w:asciiTheme="minorBidi" w:hAnsiTheme="minorBidi" w:cs="Arial"/>
          <w:rtl/>
        </w:rPr>
        <w:t xml:space="preserve"> </w:t>
      </w:r>
      <w:r w:rsidRPr="00974030">
        <w:rPr>
          <w:rFonts w:asciiTheme="minorBidi" w:hAnsiTheme="minorBidi" w:cs="Arial" w:hint="cs"/>
          <w:rtl/>
        </w:rPr>
        <w:t>משום</w:t>
      </w:r>
      <w:r w:rsidRPr="00974030">
        <w:rPr>
          <w:rFonts w:asciiTheme="minorBidi" w:hAnsiTheme="minorBidi" w:cs="Arial"/>
          <w:rtl/>
        </w:rPr>
        <w:t xml:space="preserve"> </w:t>
      </w:r>
      <w:r w:rsidRPr="00974030">
        <w:rPr>
          <w:rFonts w:asciiTheme="minorBidi" w:hAnsiTheme="minorBidi" w:cs="Arial" w:hint="cs"/>
          <w:rtl/>
        </w:rPr>
        <w:t>דמוכחא</w:t>
      </w:r>
      <w:r w:rsidRPr="00974030">
        <w:rPr>
          <w:rFonts w:asciiTheme="minorBidi" w:hAnsiTheme="minorBidi" w:cs="Arial"/>
          <w:rtl/>
        </w:rPr>
        <w:t xml:space="preserve"> </w:t>
      </w:r>
      <w:r w:rsidRPr="00974030">
        <w:rPr>
          <w:rFonts w:asciiTheme="minorBidi" w:hAnsiTheme="minorBidi" w:cs="Arial" w:hint="cs"/>
          <w:rtl/>
        </w:rPr>
        <w:t>מלתא</w:t>
      </w:r>
      <w:r w:rsidRPr="00974030">
        <w:rPr>
          <w:rFonts w:asciiTheme="minorBidi" w:hAnsiTheme="minorBidi" w:cs="Arial"/>
          <w:rtl/>
        </w:rPr>
        <w:t xml:space="preserve"> </w:t>
      </w:r>
      <w:r w:rsidRPr="00974030">
        <w:rPr>
          <w:rFonts w:asciiTheme="minorBidi" w:hAnsiTheme="minorBidi" w:cs="Arial" w:hint="cs"/>
          <w:rtl/>
        </w:rPr>
        <w:t>דלרפואה</w:t>
      </w:r>
      <w:r w:rsidRPr="00974030">
        <w:rPr>
          <w:rFonts w:asciiTheme="minorBidi" w:hAnsiTheme="minorBidi" w:cs="Arial"/>
          <w:rtl/>
        </w:rPr>
        <w:t xml:space="preserve"> </w:t>
      </w:r>
      <w:r w:rsidRPr="00974030">
        <w:rPr>
          <w:rFonts w:asciiTheme="minorBidi" w:hAnsiTheme="minorBidi" w:cs="Arial" w:hint="cs"/>
          <w:rtl/>
        </w:rPr>
        <w:t>קא</w:t>
      </w:r>
      <w:r w:rsidRPr="00974030">
        <w:rPr>
          <w:rFonts w:asciiTheme="minorBidi" w:hAnsiTheme="minorBidi" w:cs="Arial"/>
          <w:rtl/>
        </w:rPr>
        <w:t xml:space="preserve"> </w:t>
      </w:r>
      <w:r w:rsidRPr="00974030">
        <w:rPr>
          <w:rFonts w:asciiTheme="minorBidi" w:hAnsiTheme="minorBidi" w:cs="Arial" w:hint="cs"/>
          <w:rtl/>
        </w:rPr>
        <w:t>עביד</w:t>
      </w:r>
      <w:r w:rsidRPr="00974030">
        <w:rPr>
          <w:rFonts w:asciiTheme="minorBidi" w:hAnsiTheme="minorBidi" w:cs="Arial"/>
          <w:rtl/>
        </w:rPr>
        <w:t xml:space="preserve">; </w:t>
      </w:r>
      <w:r w:rsidRPr="00974030">
        <w:rPr>
          <w:rFonts w:asciiTheme="minorBidi" w:hAnsiTheme="minorBidi" w:cs="Arial" w:hint="cs"/>
          <w:rtl/>
        </w:rPr>
        <w:t>ואם</w:t>
      </w:r>
      <w:r w:rsidRPr="00974030">
        <w:rPr>
          <w:rFonts w:asciiTheme="minorBidi" w:hAnsiTheme="minorBidi" w:cs="Arial"/>
          <w:rtl/>
        </w:rPr>
        <w:t xml:space="preserve"> </w:t>
      </w:r>
      <w:r w:rsidRPr="00974030">
        <w:rPr>
          <w:rFonts w:asciiTheme="minorBidi" w:hAnsiTheme="minorBidi" w:cs="Arial" w:hint="cs"/>
          <w:rtl/>
        </w:rPr>
        <w:t>הוא</w:t>
      </w:r>
      <w:r w:rsidRPr="00974030">
        <w:rPr>
          <w:rFonts w:asciiTheme="minorBidi" w:hAnsiTheme="minorBidi" w:cs="Arial"/>
          <w:rtl/>
        </w:rPr>
        <w:t xml:space="preserve"> </w:t>
      </w:r>
      <w:r w:rsidRPr="00974030">
        <w:rPr>
          <w:rFonts w:asciiTheme="minorBidi" w:hAnsiTheme="minorBidi" w:cs="Arial" w:hint="cs"/>
          <w:rtl/>
        </w:rPr>
        <w:t>מקום</w:t>
      </w:r>
      <w:r w:rsidRPr="00974030">
        <w:rPr>
          <w:rFonts w:asciiTheme="minorBidi" w:hAnsiTheme="minorBidi" w:cs="Arial"/>
          <w:rtl/>
        </w:rPr>
        <w:t xml:space="preserve"> </w:t>
      </w:r>
      <w:r w:rsidRPr="00974030">
        <w:rPr>
          <w:rFonts w:asciiTheme="minorBidi" w:hAnsiTheme="minorBidi" w:cs="Arial" w:hint="cs"/>
          <w:rtl/>
        </w:rPr>
        <w:t>שמצוי</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שמן</w:t>
      </w:r>
      <w:r w:rsidRPr="00974030">
        <w:rPr>
          <w:rFonts w:asciiTheme="minorBidi" w:hAnsiTheme="minorBidi" w:cs="Arial"/>
          <w:rtl/>
        </w:rPr>
        <w:t xml:space="preserve"> </w:t>
      </w:r>
      <w:r w:rsidRPr="00974030">
        <w:rPr>
          <w:rFonts w:asciiTheme="minorBidi" w:hAnsiTheme="minorBidi" w:cs="Arial" w:hint="cs"/>
          <w:rtl/>
        </w:rPr>
        <w:t>ורד</w:t>
      </w:r>
      <w:r w:rsidRPr="00974030">
        <w:rPr>
          <w:rFonts w:asciiTheme="minorBidi" w:hAnsiTheme="minorBidi" w:cs="Arial"/>
          <w:rtl/>
        </w:rPr>
        <w:t xml:space="preserve"> </w:t>
      </w:r>
      <w:r w:rsidRPr="00974030">
        <w:rPr>
          <w:rFonts w:asciiTheme="minorBidi" w:hAnsiTheme="minorBidi" w:cs="Arial" w:hint="cs"/>
          <w:rtl/>
        </w:rPr>
        <w:t>ודרך</w:t>
      </w:r>
      <w:r w:rsidRPr="00974030">
        <w:rPr>
          <w:rFonts w:asciiTheme="minorBidi" w:hAnsiTheme="minorBidi" w:cs="Arial"/>
          <w:rtl/>
        </w:rPr>
        <w:t xml:space="preserve"> </w:t>
      </w:r>
      <w:r w:rsidRPr="00974030">
        <w:rPr>
          <w:rFonts w:asciiTheme="minorBidi" w:hAnsiTheme="minorBidi" w:cs="Arial" w:hint="cs"/>
          <w:rtl/>
        </w:rPr>
        <w:t>בני</w:t>
      </w:r>
      <w:r w:rsidRPr="00974030">
        <w:rPr>
          <w:rFonts w:asciiTheme="minorBidi" w:hAnsiTheme="minorBidi" w:cs="Arial"/>
          <w:rtl/>
        </w:rPr>
        <w:t xml:space="preserve"> </w:t>
      </w:r>
      <w:r w:rsidRPr="00974030">
        <w:rPr>
          <w:rFonts w:asciiTheme="minorBidi" w:hAnsiTheme="minorBidi" w:cs="Arial" w:hint="cs"/>
          <w:rtl/>
        </w:rPr>
        <w:t>אדם</w:t>
      </w:r>
      <w:r w:rsidRPr="00974030">
        <w:rPr>
          <w:rFonts w:asciiTheme="minorBidi" w:hAnsiTheme="minorBidi" w:cs="Arial"/>
          <w:rtl/>
        </w:rPr>
        <w:t xml:space="preserve"> </w:t>
      </w:r>
      <w:r w:rsidRPr="00974030">
        <w:rPr>
          <w:rFonts w:asciiTheme="minorBidi" w:hAnsiTheme="minorBidi" w:cs="Arial" w:hint="cs"/>
          <w:rtl/>
        </w:rPr>
        <w:t>לסוכו</w:t>
      </w:r>
      <w:r w:rsidRPr="00974030">
        <w:rPr>
          <w:rFonts w:asciiTheme="minorBidi" w:hAnsiTheme="minorBidi" w:cs="Arial"/>
          <w:rtl/>
        </w:rPr>
        <w:t xml:space="preserve"> </w:t>
      </w:r>
      <w:r w:rsidRPr="00974030">
        <w:rPr>
          <w:rFonts w:asciiTheme="minorBidi" w:hAnsiTheme="minorBidi" w:cs="Arial" w:hint="cs"/>
          <w:rtl/>
        </w:rPr>
        <w:t>אפי</w:t>
      </w:r>
      <w:r w:rsidRPr="00974030">
        <w:rPr>
          <w:rFonts w:asciiTheme="minorBidi" w:hAnsiTheme="minorBidi" w:cs="Arial"/>
          <w:rtl/>
        </w:rPr>
        <w:t xml:space="preserve">' </w:t>
      </w:r>
      <w:r w:rsidRPr="00974030">
        <w:rPr>
          <w:rFonts w:asciiTheme="minorBidi" w:hAnsiTheme="minorBidi" w:cs="Arial" w:hint="cs"/>
          <w:rtl/>
        </w:rPr>
        <w:t>בלא</w:t>
      </w:r>
      <w:r w:rsidRPr="00974030">
        <w:rPr>
          <w:rFonts w:asciiTheme="minorBidi" w:hAnsiTheme="minorBidi" w:cs="Arial"/>
          <w:rtl/>
        </w:rPr>
        <w:t xml:space="preserve"> </w:t>
      </w:r>
      <w:r w:rsidRPr="00974030">
        <w:rPr>
          <w:rFonts w:asciiTheme="minorBidi" w:hAnsiTheme="minorBidi" w:cs="Arial" w:hint="cs"/>
          <w:rtl/>
        </w:rPr>
        <w:t>רפואה</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הגה</w:t>
      </w:r>
      <w:r w:rsidRPr="00974030">
        <w:rPr>
          <w:rFonts w:asciiTheme="minorBidi" w:hAnsiTheme="minorBidi" w:cs="Arial"/>
          <w:rtl/>
        </w:rPr>
        <w:t xml:space="preserve">: </w:t>
      </w:r>
      <w:r w:rsidRPr="00974030">
        <w:rPr>
          <w:rFonts w:asciiTheme="minorBidi" w:hAnsiTheme="minorBidi" w:cs="Arial" w:hint="cs"/>
          <w:rtl/>
        </w:rPr>
        <w:t>ובמקום</w:t>
      </w:r>
      <w:r w:rsidRPr="00974030">
        <w:rPr>
          <w:rFonts w:asciiTheme="minorBidi" w:hAnsiTheme="minorBidi" w:cs="Arial"/>
          <w:rtl/>
        </w:rPr>
        <w:t xml:space="preserve"> </w:t>
      </w:r>
      <w:r w:rsidRPr="00974030">
        <w:rPr>
          <w:rFonts w:asciiTheme="minorBidi" w:hAnsiTheme="minorBidi" w:cs="Arial" w:hint="cs"/>
          <w:rtl/>
        </w:rPr>
        <w:t>שאין</w:t>
      </w:r>
      <w:r w:rsidRPr="00974030">
        <w:rPr>
          <w:rFonts w:asciiTheme="minorBidi" w:hAnsiTheme="minorBidi" w:cs="Arial"/>
          <w:rtl/>
        </w:rPr>
        <w:t xml:space="preserve"> </w:t>
      </w:r>
      <w:r w:rsidRPr="00974030">
        <w:rPr>
          <w:rFonts w:asciiTheme="minorBidi" w:hAnsiTheme="minorBidi" w:cs="Arial" w:hint="cs"/>
          <w:rtl/>
        </w:rPr>
        <w:t>נוהגין</w:t>
      </w:r>
      <w:r w:rsidRPr="00974030">
        <w:rPr>
          <w:rFonts w:asciiTheme="minorBidi" w:hAnsiTheme="minorBidi" w:cs="Arial"/>
          <w:rtl/>
        </w:rPr>
        <w:t xml:space="preserve"> </w:t>
      </w:r>
      <w:r w:rsidRPr="00974030">
        <w:rPr>
          <w:rFonts w:asciiTheme="minorBidi" w:hAnsiTheme="minorBidi" w:cs="Arial" w:hint="cs"/>
          <w:rtl/>
        </w:rPr>
        <w:t>לסוך</w:t>
      </w:r>
      <w:r w:rsidRPr="00974030">
        <w:rPr>
          <w:rFonts w:asciiTheme="minorBidi" w:hAnsiTheme="minorBidi" w:cs="Arial"/>
          <w:rtl/>
        </w:rPr>
        <w:t xml:space="preserve"> </w:t>
      </w:r>
      <w:r w:rsidRPr="00974030">
        <w:rPr>
          <w:rFonts w:asciiTheme="minorBidi" w:hAnsiTheme="minorBidi" w:cs="Arial" w:hint="cs"/>
          <w:rtl/>
        </w:rPr>
        <w:t>בשמן</w:t>
      </w:r>
      <w:r w:rsidRPr="00974030">
        <w:rPr>
          <w:rFonts w:asciiTheme="minorBidi" w:hAnsiTheme="minorBidi" w:cs="Arial"/>
          <w:rtl/>
        </w:rPr>
        <w:t xml:space="preserve"> </w:t>
      </w:r>
      <w:r w:rsidRPr="00974030">
        <w:rPr>
          <w:rFonts w:asciiTheme="minorBidi" w:hAnsiTheme="minorBidi" w:cs="Arial" w:hint="cs"/>
          <w:rtl/>
        </w:rPr>
        <w:t>כי</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לרפואה</w:t>
      </w:r>
      <w:r w:rsidRPr="00974030">
        <w:rPr>
          <w:rFonts w:asciiTheme="minorBidi" w:hAnsiTheme="minorBidi" w:cs="Arial"/>
          <w:rtl/>
        </w:rPr>
        <w:t xml:space="preserve">, </w:t>
      </w:r>
      <w:r w:rsidRPr="00974030">
        <w:rPr>
          <w:rFonts w:asciiTheme="minorBidi" w:hAnsiTheme="minorBidi" w:cs="Arial" w:hint="cs"/>
          <w:rtl/>
        </w:rPr>
        <w:t>בכל</w:t>
      </w:r>
      <w:r w:rsidRPr="00974030">
        <w:rPr>
          <w:rFonts w:asciiTheme="minorBidi" w:hAnsiTheme="minorBidi" w:cs="Arial"/>
          <w:rtl/>
        </w:rPr>
        <w:t xml:space="preserve"> </w:t>
      </w:r>
      <w:r w:rsidRPr="00974030">
        <w:rPr>
          <w:rFonts w:asciiTheme="minorBidi" w:hAnsiTheme="minorBidi" w:cs="Arial" w:hint="cs"/>
          <w:rtl/>
        </w:rPr>
        <w:t>שמן</w:t>
      </w:r>
      <w:r w:rsidRPr="00974030">
        <w:rPr>
          <w:rFonts w:asciiTheme="minorBidi" w:hAnsiTheme="minorBidi" w:cs="Arial"/>
          <w:rtl/>
        </w:rPr>
        <w:t xml:space="preserve"> </w:t>
      </w: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בית</w:t>
      </w:r>
      <w:r w:rsidRPr="00974030">
        <w:rPr>
          <w:rFonts w:asciiTheme="minorBidi" w:hAnsiTheme="minorBidi" w:cs="Arial"/>
          <w:rtl/>
        </w:rPr>
        <w:t xml:space="preserve"> </w:t>
      </w:r>
      <w:r w:rsidRPr="00974030">
        <w:rPr>
          <w:rFonts w:asciiTheme="minorBidi" w:hAnsiTheme="minorBidi" w:cs="Arial" w:hint="cs"/>
          <w:rtl/>
        </w:rPr>
        <w:t>יוסף</w:t>
      </w:r>
      <w:r w:rsidRPr="00974030">
        <w:rPr>
          <w:rFonts w:asciiTheme="minorBidi" w:hAnsiTheme="minorBidi" w:cs="Arial"/>
          <w:rtl/>
        </w:rPr>
        <w:t xml:space="preserve">). </w:t>
      </w:r>
    </w:p>
    <w:p w14:paraId="54428C02"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ב</w:t>
      </w:r>
    </w:p>
    <w:p w14:paraId="18020989" w14:textId="77777777" w:rsidR="006A4BF8" w:rsidRPr="00974030" w:rsidRDefault="006A4BF8" w:rsidP="00434A6A">
      <w:pPr>
        <w:rPr>
          <w:rFonts w:asciiTheme="minorBidi" w:hAnsiTheme="minorBidi"/>
          <w:rtl/>
        </w:rPr>
      </w:pPr>
      <w:r w:rsidRPr="00974030">
        <w:rPr>
          <w:rFonts w:asciiTheme="minorBidi" w:hAnsiTheme="minorBidi" w:cs="Arial" w:hint="cs"/>
          <w:rtl/>
        </w:rPr>
        <w:t>סכין</w:t>
      </w:r>
      <w:r w:rsidRPr="00974030">
        <w:rPr>
          <w:rFonts w:asciiTheme="minorBidi" w:hAnsiTheme="minorBidi" w:cs="Arial"/>
          <w:rtl/>
        </w:rPr>
        <w:t xml:space="preserve"> </w:t>
      </w:r>
      <w:r w:rsidRPr="00974030">
        <w:rPr>
          <w:rFonts w:asciiTheme="minorBidi" w:hAnsiTheme="minorBidi" w:cs="Arial" w:hint="cs"/>
          <w:rtl/>
        </w:rPr>
        <w:t>וממשמשין</w:t>
      </w:r>
      <w:r w:rsidRPr="00974030">
        <w:rPr>
          <w:rFonts w:asciiTheme="minorBidi" w:hAnsiTheme="minorBidi" w:cs="Arial"/>
          <w:rtl/>
        </w:rPr>
        <w:t xml:space="preserve"> </w:t>
      </w:r>
      <w:r w:rsidRPr="00974030">
        <w:rPr>
          <w:rFonts w:asciiTheme="minorBidi" w:hAnsiTheme="minorBidi" w:cs="Arial" w:hint="cs"/>
          <w:rtl/>
        </w:rPr>
        <w:t>להנאתו</w:t>
      </w:r>
      <w:r w:rsidRPr="00974030">
        <w:rPr>
          <w:rFonts w:asciiTheme="minorBidi" w:hAnsiTheme="minorBidi" w:cs="Arial"/>
          <w:rtl/>
        </w:rPr>
        <w:t xml:space="preserve"> </w:t>
      </w:r>
      <w:r w:rsidRPr="00974030">
        <w:rPr>
          <w:rFonts w:asciiTheme="minorBidi" w:hAnsiTheme="minorBidi" w:cs="Arial" w:hint="cs"/>
          <w:rtl/>
        </w:rPr>
        <w:t>ע</w:t>
      </w:r>
      <w:r w:rsidRPr="00974030">
        <w:rPr>
          <w:rFonts w:asciiTheme="minorBidi" w:hAnsiTheme="minorBidi" w:cs="Arial"/>
          <w:rtl/>
        </w:rPr>
        <w:t>"</w:t>
      </w:r>
      <w:r w:rsidRPr="00974030">
        <w:rPr>
          <w:rFonts w:asciiTheme="minorBidi" w:hAnsiTheme="minorBidi" w:cs="Arial" w:hint="cs"/>
          <w:rtl/>
        </w:rPr>
        <w:t>י</w:t>
      </w:r>
      <w:r w:rsidRPr="00974030">
        <w:rPr>
          <w:rFonts w:asciiTheme="minorBidi" w:hAnsiTheme="minorBidi" w:cs="Arial"/>
          <w:rtl/>
        </w:rPr>
        <w:t xml:space="preserve"> </w:t>
      </w:r>
      <w:r w:rsidRPr="00974030">
        <w:rPr>
          <w:rFonts w:asciiTheme="minorBidi" w:hAnsiTheme="minorBidi" w:cs="Arial" w:hint="cs"/>
          <w:rtl/>
        </w:rPr>
        <w:t>שינוי</w:t>
      </w:r>
      <w:r w:rsidRPr="00974030">
        <w:rPr>
          <w:rFonts w:asciiTheme="minorBidi" w:hAnsiTheme="minorBidi" w:cs="Arial"/>
          <w:rtl/>
        </w:rPr>
        <w:t xml:space="preserve">, </w:t>
      </w:r>
      <w:r w:rsidRPr="00974030">
        <w:rPr>
          <w:rFonts w:asciiTheme="minorBidi" w:hAnsiTheme="minorBidi" w:cs="Arial" w:hint="cs"/>
          <w:rtl/>
        </w:rPr>
        <w:t>דהיינו</w:t>
      </w:r>
      <w:r w:rsidRPr="00974030">
        <w:rPr>
          <w:rFonts w:asciiTheme="minorBidi" w:hAnsiTheme="minorBidi" w:cs="Arial"/>
          <w:rtl/>
        </w:rPr>
        <w:t xml:space="preserve"> </w:t>
      </w:r>
      <w:r w:rsidRPr="00974030">
        <w:rPr>
          <w:rFonts w:asciiTheme="minorBidi" w:hAnsiTheme="minorBidi" w:cs="Arial" w:hint="cs"/>
          <w:rtl/>
        </w:rPr>
        <w:t>שסך</w:t>
      </w:r>
      <w:r w:rsidRPr="00974030">
        <w:rPr>
          <w:rFonts w:asciiTheme="minorBidi" w:hAnsiTheme="minorBidi" w:cs="Arial"/>
          <w:rtl/>
        </w:rPr>
        <w:t xml:space="preserve"> </w:t>
      </w:r>
      <w:r w:rsidRPr="00974030">
        <w:rPr>
          <w:rFonts w:asciiTheme="minorBidi" w:hAnsiTheme="minorBidi" w:cs="Arial" w:hint="cs"/>
          <w:rtl/>
        </w:rPr>
        <w:t>וממשמש</w:t>
      </w:r>
      <w:r w:rsidRPr="00974030">
        <w:rPr>
          <w:rFonts w:asciiTheme="minorBidi" w:hAnsiTheme="minorBidi" w:cs="Arial"/>
          <w:rtl/>
        </w:rPr>
        <w:t xml:space="preserve"> </w:t>
      </w:r>
      <w:r w:rsidRPr="00974030">
        <w:rPr>
          <w:rFonts w:asciiTheme="minorBidi" w:hAnsiTheme="minorBidi" w:cs="Arial" w:hint="cs"/>
          <w:rtl/>
        </w:rPr>
        <w:t>ביחד</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ימשמש</w:t>
      </w:r>
      <w:r w:rsidRPr="00974030">
        <w:rPr>
          <w:rFonts w:asciiTheme="minorBidi" w:hAnsiTheme="minorBidi" w:cs="Arial"/>
          <w:rtl/>
        </w:rPr>
        <w:t xml:space="preserve"> </w:t>
      </w:r>
      <w:r w:rsidRPr="00974030">
        <w:rPr>
          <w:rFonts w:asciiTheme="minorBidi" w:hAnsiTheme="minorBidi" w:cs="Arial" w:hint="cs"/>
          <w:rtl/>
        </w:rPr>
        <w:t>בכח</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ברפיון</w:t>
      </w:r>
      <w:r w:rsidRPr="00974030">
        <w:rPr>
          <w:rFonts w:asciiTheme="minorBidi" w:hAnsiTheme="minorBidi" w:cs="Arial"/>
          <w:rtl/>
        </w:rPr>
        <w:t xml:space="preserve"> </w:t>
      </w:r>
      <w:r w:rsidRPr="00974030">
        <w:rPr>
          <w:rFonts w:asciiTheme="minorBidi" w:hAnsiTheme="minorBidi" w:cs="Arial" w:hint="cs"/>
          <w:rtl/>
        </w:rPr>
        <w:t>ידים</w:t>
      </w:r>
      <w:r w:rsidRPr="00974030">
        <w:rPr>
          <w:rFonts w:asciiTheme="minorBidi" w:hAnsiTheme="minorBidi" w:cs="Arial"/>
          <w:rtl/>
        </w:rPr>
        <w:t xml:space="preserve">. </w:t>
      </w:r>
    </w:p>
    <w:p w14:paraId="21349A53"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ג</w:t>
      </w:r>
    </w:p>
    <w:p w14:paraId="7A11158D" w14:textId="77777777" w:rsidR="006A4BF8" w:rsidRPr="00974030" w:rsidRDefault="006A4BF8" w:rsidP="00434A6A">
      <w:pPr>
        <w:rPr>
          <w:rFonts w:asciiTheme="minorBidi" w:hAnsiTheme="minorBidi"/>
          <w:rtl/>
        </w:rPr>
      </w:pPr>
      <w:r w:rsidRPr="00974030">
        <w:rPr>
          <w:rFonts w:asciiTheme="minorBidi" w:hAnsiTheme="minorBidi" w:cs="Arial" w:hint="cs"/>
          <w:rtl/>
        </w:rPr>
        <w:t>אין</w:t>
      </w:r>
      <w:r w:rsidRPr="00974030">
        <w:rPr>
          <w:rFonts w:asciiTheme="minorBidi" w:hAnsiTheme="minorBidi" w:cs="Arial"/>
          <w:rtl/>
        </w:rPr>
        <w:t xml:space="preserve"> </w:t>
      </w:r>
      <w:r w:rsidRPr="00974030">
        <w:rPr>
          <w:rFonts w:asciiTheme="minorBidi" w:hAnsiTheme="minorBidi" w:cs="Arial" w:hint="cs"/>
          <w:rtl/>
        </w:rPr>
        <w:t>מגרדין</w:t>
      </w:r>
      <w:r w:rsidRPr="00974030">
        <w:rPr>
          <w:rFonts w:asciiTheme="minorBidi" w:hAnsiTheme="minorBidi" w:cs="Arial"/>
          <w:rtl/>
        </w:rPr>
        <w:t xml:space="preserve"> </w:t>
      </w:r>
      <w:r w:rsidRPr="00974030">
        <w:rPr>
          <w:rFonts w:asciiTheme="minorBidi" w:hAnsiTheme="minorBidi" w:cs="Arial" w:hint="cs"/>
          <w:rtl/>
        </w:rPr>
        <w:t>בכלי</w:t>
      </w:r>
      <w:r w:rsidRPr="00974030">
        <w:rPr>
          <w:rFonts w:asciiTheme="minorBidi" w:hAnsiTheme="minorBidi" w:cs="Arial"/>
          <w:rtl/>
        </w:rPr>
        <w:t xml:space="preserve"> </w:t>
      </w:r>
      <w:r w:rsidRPr="00974030">
        <w:rPr>
          <w:rFonts w:asciiTheme="minorBidi" w:hAnsiTheme="minorBidi" w:cs="Arial" w:hint="cs"/>
          <w:rtl/>
        </w:rPr>
        <w:t>העשוי</w:t>
      </w:r>
      <w:r w:rsidRPr="00974030">
        <w:rPr>
          <w:rFonts w:asciiTheme="minorBidi" w:hAnsiTheme="minorBidi" w:cs="Arial"/>
          <w:rtl/>
        </w:rPr>
        <w:t xml:space="preserve"> </w:t>
      </w:r>
      <w:r w:rsidRPr="00974030">
        <w:rPr>
          <w:rFonts w:asciiTheme="minorBidi" w:hAnsiTheme="minorBidi" w:cs="Arial" w:hint="cs"/>
          <w:rtl/>
        </w:rPr>
        <w:t>לכך</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כן</w:t>
      </w:r>
      <w:r w:rsidRPr="00974030">
        <w:rPr>
          <w:rFonts w:asciiTheme="minorBidi" w:hAnsiTheme="minorBidi" w:cs="Arial"/>
          <w:rtl/>
        </w:rPr>
        <w:t xml:space="preserve"> </w:t>
      </w:r>
      <w:r w:rsidRPr="00974030">
        <w:rPr>
          <w:rFonts w:asciiTheme="minorBidi" w:hAnsiTheme="minorBidi" w:cs="Arial" w:hint="cs"/>
          <w:rtl/>
        </w:rPr>
        <w:t>היו</w:t>
      </w:r>
      <w:r w:rsidRPr="00974030">
        <w:rPr>
          <w:rFonts w:asciiTheme="minorBidi" w:hAnsiTheme="minorBidi" w:cs="Arial"/>
          <w:rtl/>
        </w:rPr>
        <w:t xml:space="preserve"> </w:t>
      </w:r>
      <w:r w:rsidRPr="00974030">
        <w:rPr>
          <w:rFonts w:asciiTheme="minorBidi" w:hAnsiTheme="minorBidi" w:cs="Arial" w:hint="cs"/>
          <w:rtl/>
        </w:rPr>
        <w:t>ידיו</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רגליו</w:t>
      </w:r>
      <w:r w:rsidRPr="00974030">
        <w:rPr>
          <w:rFonts w:asciiTheme="minorBidi" w:hAnsiTheme="minorBidi" w:cs="Arial"/>
          <w:rtl/>
        </w:rPr>
        <w:t xml:space="preserve"> </w:t>
      </w:r>
      <w:r w:rsidRPr="00974030">
        <w:rPr>
          <w:rFonts w:asciiTheme="minorBidi" w:hAnsiTheme="minorBidi" w:cs="Arial" w:hint="cs"/>
          <w:rtl/>
        </w:rPr>
        <w:t>מטונפות</w:t>
      </w:r>
      <w:r w:rsidRPr="00974030">
        <w:rPr>
          <w:rFonts w:asciiTheme="minorBidi" w:hAnsiTheme="minorBidi" w:cs="Arial"/>
          <w:rtl/>
        </w:rPr>
        <w:t xml:space="preserve"> </w:t>
      </w:r>
      <w:r w:rsidRPr="00974030">
        <w:rPr>
          <w:rFonts w:asciiTheme="minorBidi" w:hAnsiTheme="minorBidi" w:cs="Arial" w:hint="cs"/>
          <w:rtl/>
        </w:rPr>
        <w:t>בטיט</w:t>
      </w:r>
      <w:r w:rsidRPr="00974030">
        <w:rPr>
          <w:rFonts w:asciiTheme="minorBidi" w:hAnsiTheme="minorBidi" w:cs="Arial"/>
          <w:rtl/>
        </w:rPr>
        <w:t xml:space="preserve"> </w:t>
      </w:r>
      <w:r w:rsidRPr="00974030">
        <w:rPr>
          <w:rFonts w:asciiTheme="minorBidi" w:hAnsiTheme="minorBidi" w:cs="Arial" w:hint="cs"/>
          <w:rtl/>
        </w:rPr>
        <w:t>וצואה</w:t>
      </w:r>
      <w:r w:rsidRPr="00974030">
        <w:rPr>
          <w:rFonts w:asciiTheme="minorBidi" w:hAnsiTheme="minorBidi" w:cs="Arial"/>
          <w:rtl/>
        </w:rPr>
        <w:t xml:space="preserve">. </w:t>
      </w:r>
    </w:p>
    <w:p w14:paraId="7C74B349"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ד</w:t>
      </w:r>
    </w:p>
    <w:p w14:paraId="240EFB78" w14:textId="77777777" w:rsidR="006A4BF8" w:rsidRPr="00974030" w:rsidRDefault="006A4BF8" w:rsidP="00434A6A">
      <w:pPr>
        <w:rPr>
          <w:rFonts w:asciiTheme="minorBidi" w:hAnsiTheme="minorBidi"/>
          <w:rtl/>
        </w:rPr>
        <w:sectPr w:rsidR="006A4BF8" w:rsidRPr="00974030" w:rsidSect="00BD29B1">
          <w:footnotePr>
            <w:numRestart w:val="eachSect"/>
          </w:footnotePr>
          <w:pgSz w:w="11906" w:h="16838"/>
          <w:pgMar w:top="720" w:right="1134" w:bottom="720" w:left="1134" w:header="0" w:footer="0" w:gutter="0"/>
          <w:cols w:space="720"/>
          <w:bidi/>
          <w:rtlGutter/>
          <w:docGrid w:linePitch="360"/>
        </w:sectPr>
      </w:pP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יסוך</w:t>
      </w:r>
      <w:r w:rsidRPr="00974030">
        <w:rPr>
          <w:rFonts w:asciiTheme="minorBidi" w:hAnsiTheme="minorBidi" w:cs="Arial"/>
          <w:rtl/>
        </w:rPr>
        <w:t xml:space="preserve"> </w:t>
      </w:r>
      <w:r w:rsidRPr="00974030">
        <w:rPr>
          <w:rFonts w:asciiTheme="minorBidi" w:hAnsiTheme="minorBidi" w:cs="Arial" w:hint="cs"/>
          <w:rtl/>
        </w:rPr>
        <w:t>רגלו</w:t>
      </w:r>
      <w:r w:rsidRPr="00974030">
        <w:rPr>
          <w:rFonts w:asciiTheme="minorBidi" w:hAnsiTheme="minorBidi" w:cs="Arial"/>
          <w:rtl/>
        </w:rPr>
        <w:t xml:space="preserve"> </w:t>
      </w:r>
      <w:r w:rsidRPr="00974030">
        <w:rPr>
          <w:rFonts w:asciiTheme="minorBidi" w:hAnsiTheme="minorBidi" w:cs="Arial" w:hint="cs"/>
          <w:rtl/>
        </w:rPr>
        <w:t>בשמן</w:t>
      </w:r>
      <w:r w:rsidRPr="00974030">
        <w:rPr>
          <w:rFonts w:asciiTheme="minorBidi" w:hAnsiTheme="minorBidi" w:cs="Arial"/>
          <w:rtl/>
        </w:rPr>
        <w:t xml:space="preserve"> </w:t>
      </w:r>
      <w:r w:rsidRPr="00974030">
        <w:rPr>
          <w:rFonts w:asciiTheme="minorBidi" w:hAnsiTheme="minorBidi" w:cs="Arial" w:hint="cs"/>
          <w:rtl/>
        </w:rPr>
        <w:t>והוא</w:t>
      </w:r>
      <w:r w:rsidRPr="00974030">
        <w:rPr>
          <w:rFonts w:asciiTheme="minorBidi" w:hAnsiTheme="minorBidi" w:cs="Arial"/>
          <w:rtl/>
        </w:rPr>
        <w:t xml:space="preserve"> </w:t>
      </w:r>
      <w:r w:rsidRPr="00974030">
        <w:rPr>
          <w:rFonts w:asciiTheme="minorBidi" w:hAnsiTheme="minorBidi" w:cs="Arial" w:hint="cs"/>
          <w:rtl/>
        </w:rPr>
        <w:t>בתוך</w:t>
      </w:r>
      <w:r w:rsidRPr="00974030">
        <w:rPr>
          <w:rFonts w:asciiTheme="minorBidi" w:hAnsiTheme="minorBidi" w:cs="Arial"/>
          <w:rtl/>
        </w:rPr>
        <w:t xml:space="preserve"> </w:t>
      </w:r>
      <w:r w:rsidRPr="00974030">
        <w:rPr>
          <w:rFonts w:asciiTheme="minorBidi" w:hAnsiTheme="minorBidi" w:cs="Arial" w:hint="cs"/>
          <w:rtl/>
        </w:rPr>
        <w:t>המנעל</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הסנדל</w:t>
      </w:r>
      <w:r w:rsidRPr="00974030">
        <w:rPr>
          <w:rFonts w:asciiTheme="minorBidi" w:hAnsiTheme="minorBidi" w:cs="Arial"/>
          <w:rtl/>
        </w:rPr>
        <w:t xml:space="preserve"> (</w:t>
      </w:r>
      <w:r w:rsidRPr="00974030">
        <w:rPr>
          <w:rFonts w:asciiTheme="minorBidi" w:hAnsiTheme="minorBidi" w:cs="Arial" w:hint="cs"/>
          <w:rtl/>
        </w:rPr>
        <w:t>החדשים</w:t>
      </w:r>
      <w:r w:rsidRPr="00974030">
        <w:rPr>
          <w:rFonts w:asciiTheme="minorBidi" w:hAnsiTheme="minorBidi" w:cs="Arial"/>
          <w:rtl/>
        </w:rPr>
        <w:t>) (</w:t>
      </w:r>
      <w:r w:rsidRPr="00974030">
        <w:rPr>
          <w:rFonts w:asciiTheme="minorBidi" w:hAnsiTheme="minorBidi" w:cs="Arial" w:hint="cs"/>
          <w:rtl/>
        </w:rPr>
        <w:t>מיימוני</w:t>
      </w:r>
      <w:r w:rsidRPr="00974030">
        <w:rPr>
          <w:rFonts w:asciiTheme="minorBidi" w:hAnsiTheme="minorBidi" w:cs="Arial"/>
          <w:rtl/>
        </w:rPr>
        <w:t xml:space="preserve"> </w:t>
      </w:r>
      <w:r w:rsidRPr="00974030">
        <w:rPr>
          <w:rFonts w:asciiTheme="minorBidi" w:hAnsiTheme="minorBidi" w:cs="Arial" w:hint="cs"/>
          <w:rtl/>
        </w:rPr>
        <w:t>פרק</w:t>
      </w:r>
      <w:r w:rsidRPr="00974030">
        <w:rPr>
          <w:rFonts w:asciiTheme="minorBidi" w:hAnsiTheme="minorBidi" w:cs="Arial"/>
          <w:rtl/>
        </w:rPr>
        <w:t xml:space="preserve"> </w:t>
      </w:r>
      <w:r w:rsidRPr="00974030">
        <w:rPr>
          <w:rFonts w:asciiTheme="minorBidi" w:hAnsiTheme="minorBidi" w:cs="Arial" w:hint="cs"/>
          <w:rtl/>
        </w:rPr>
        <w:t>כ</w:t>
      </w:r>
      <w:r w:rsidRPr="00974030">
        <w:rPr>
          <w:rFonts w:asciiTheme="minorBidi" w:hAnsiTheme="minorBidi" w:cs="Arial"/>
          <w:rtl/>
        </w:rPr>
        <w:t>"</w:t>
      </w:r>
      <w:r w:rsidRPr="00974030">
        <w:rPr>
          <w:rFonts w:asciiTheme="minorBidi" w:hAnsiTheme="minorBidi" w:cs="Arial" w:hint="cs"/>
          <w:rtl/>
        </w:rPr>
        <w:t>ג</w:t>
      </w:r>
      <w:r w:rsidRPr="00974030">
        <w:rPr>
          <w:rFonts w:asciiTheme="minorBidi" w:hAnsiTheme="minorBidi" w:cs="Arial"/>
          <w:rtl/>
        </w:rPr>
        <w:t xml:space="preserve">), </w:t>
      </w:r>
      <w:r w:rsidRPr="00974030">
        <w:rPr>
          <w:rFonts w:asciiTheme="minorBidi" w:hAnsiTheme="minorBidi" w:cs="Arial" w:hint="cs"/>
          <w:rtl/>
        </w:rPr>
        <w:t>מפני</w:t>
      </w:r>
      <w:r w:rsidRPr="00974030">
        <w:rPr>
          <w:rFonts w:asciiTheme="minorBidi" w:hAnsiTheme="minorBidi" w:cs="Arial"/>
          <w:rtl/>
        </w:rPr>
        <w:t xml:space="preserve"> </w:t>
      </w:r>
      <w:r w:rsidRPr="00974030">
        <w:rPr>
          <w:rFonts w:asciiTheme="minorBidi" w:hAnsiTheme="minorBidi" w:cs="Arial" w:hint="cs"/>
          <w:rtl/>
        </w:rPr>
        <w:t>שהעור</w:t>
      </w:r>
      <w:r w:rsidRPr="00974030">
        <w:rPr>
          <w:rFonts w:asciiTheme="minorBidi" w:hAnsiTheme="minorBidi" w:cs="Arial"/>
          <w:rtl/>
        </w:rPr>
        <w:t xml:space="preserve"> </w:t>
      </w:r>
      <w:r w:rsidRPr="00974030">
        <w:rPr>
          <w:rFonts w:asciiTheme="minorBidi" w:hAnsiTheme="minorBidi" w:cs="Arial" w:hint="cs"/>
          <w:rtl/>
        </w:rPr>
        <w:t>מתרכך</w:t>
      </w:r>
      <w:r w:rsidRPr="00974030">
        <w:rPr>
          <w:rFonts w:asciiTheme="minorBidi" w:hAnsiTheme="minorBidi" w:cs="Arial"/>
          <w:rtl/>
        </w:rPr>
        <w:t xml:space="preserve"> </w:t>
      </w:r>
      <w:r w:rsidRPr="00974030">
        <w:rPr>
          <w:rFonts w:asciiTheme="minorBidi" w:hAnsiTheme="minorBidi" w:cs="Arial" w:hint="cs"/>
          <w:rtl/>
        </w:rPr>
        <w:t>ודמי</w:t>
      </w:r>
      <w:r w:rsidRPr="00974030">
        <w:rPr>
          <w:rFonts w:asciiTheme="minorBidi" w:hAnsiTheme="minorBidi" w:cs="Arial"/>
          <w:rtl/>
        </w:rPr>
        <w:t xml:space="preserve"> </w:t>
      </w:r>
      <w:r w:rsidRPr="00974030">
        <w:rPr>
          <w:rFonts w:asciiTheme="minorBidi" w:hAnsiTheme="minorBidi" w:cs="Arial" w:hint="cs"/>
          <w:rtl/>
        </w:rPr>
        <w:t>לעיבוד</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סך</w:t>
      </w:r>
      <w:r w:rsidRPr="00974030">
        <w:rPr>
          <w:rFonts w:asciiTheme="minorBidi" w:hAnsiTheme="minorBidi" w:cs="Arial"/>
          <w:rtl/>
        </w:rPr>
        <w:t xml:space="preserve"> </w:t>
      </w:r>
      <w:r w:rsidRPr="00974030">
        <w:rPr>
          <w:rFonts w:asciiTheme="minorBidi" w:hAnsiTheme="minorBidi" w:cs="Arial" w:hint="cs"/>
          <w:rtl/>
        </w:rPr>
        <w:t>רגלו</w:t>
      </w:r>
      <w:r w:rsidRPr="00974030">
        <w:rPr>
          <w:rFonts w:asciiTheme="minorBidi" w:hAnsiTheme="minorBidi" w:cs="Arial"/>
          <w:rtl/>
        </w:rPr>
        <w:t xml:space="preserve"> </w:t>
      </w:r>
      <w:r w:rsidRPr="00974030">
        <w:rPr>
          <w:rFonts w:asciiTheme="minorBidi" w:hAnsiTheme="minorBidi" w:cs="Arial" w:hint="cs"/>
          <w:rtl/>
        </w:rPr>
        <w:t>ומניחו</w:t>
      </w:r>
      <w:r w:rsidRPr="00974030">
        <w:rPr>
          <w:rFonts w:asciiTheme="minorBidi" w:hAnsiTheme="minorBidi" w:cs="Arial"/>
          <w:rtl/>
        </w:rPr>
        <w:t xml:space="preserve"> </w:t>
      </w:r>
      <w:r w:rsidRPr="00974030">
        <w:rPr>
          <w:rFonts w:asciiTheme="minorBidi" w:hAnsiTheme="minorBidi" w:cs="Arial" w:hint="cs"/>
          <w:rtl/>
        </w:rPr>
        <w:t>במנעל</w:t>
      </w:r>
      <w:r w:rsidRPr="00974030">
        <w:rPr>
          <w:rFonts w:asciiTheme="minorBidi" w:hAnsiTheme="minorBidi" w:cs="Arial"/>
          <w:rtl/>
        </w:rPr>
        <w:t xml:space="preserve">, </w:t>
      </w:r>
      <w:r w:rsidRPr="00974030">
        <w:rPr>
          <w:rFonts w:asciiTheme="minorBidi" w:hAnsiTheme="minorBidi" w:cs="Arial" w:hint="cs"/>
          <w:rtl/>
        </w:rPr>
        <w:t>וסך</w:t>
      </w:r>
      <w:r w:rsidRPr="00974030">
        <w:rPr>
          <w:rFonts w:asciiTheme="minorBidi" w:hAnsiTheme="minorBidi" w:cs="Arial"/>
          <w:rtl/>
        </w:rPr>
        <w:t xml:space="preserve"> </w:t>
      </w:r>
      <w:r w:rsidRPr="00974030">
        <w:rPr>
          <w:rFonts w:asciiTheme="minorBidi" w:hAnsiTheme="minorBidi" w:cs="Arial" w:hint="cs"/>
          <w:rtl/>
        </w:rPr>
        <w:t>כל</w:t>
      </w:r>
      <w:r w:rsidRPr="00974030">
        <w:rPr>
          <w:rFonts w:asciiTheme="minorBidi" w:hAnsiTheme="minorBidi" w:cs="Arial"/>
          <w:rtl/>
        </w:rPr>
        <w:t xml:space="preserve"> </w:t>
      </w:r>
      <w:r w:rsidRPr="00974030">
        <w:rPr>
          <w:rFonts w:asciiTheme="minorBidi" w:hAnsiTheme="minorBidi" w:cs="Arial" w:hint="cs"/>
          <w:rtl/>
        </w:rPr>
        <w:t>גופו</w:t>
      </w:r>
      <w:r w:rsidRPr="00974030">
        <w:rPr>
          <w:rFonts w:asciiTheme="minorBidi" w:hAnsiTheme="minorBidi" w:cs="Arial"/>
          <w:rtl/>
        </w:rPr>
        <w:t xml:space="preserve"> </w:t>
      </w:r>
      <w:r w:rsidRPr="00974030">
        <w:rPr>
          <w:rFonts w:asciiTheme="minorBidi" w:hAnsiTheme="minorBidi" w:cs="Arial" w:hint="cs"/>
          <w:rtl/>
        </w:rPr>
        <w:t>ומתעגל</w:t>
      </w:r>
      <w:r w:rsidRPr="00974030">
        <w:rPr>
          <w:rFonts w:asciiTheme="minorBidi" w:hAnsiTheme="minorBidi" w:cs="Arial"/>
          <w:rtl/>
        </w:rPr>
        <w:t xml:space="preserve"> </w:t>
      </w:r>
      <w:r w:rsidRPr="00974030">
        <w:rPr>
          <w:rFonts w:asciiTheme="minorBidi" w:hAnsiTheme="minorBidi" w:cs="Arial" w:hint="cs"/>
          <w:rtl/>
        </w:rPr>
        <w:t>ע</w:t>
      </w:r>
      <w:r w:rsidRPr="00974030">
        <w:rPr>
          <w:rFonts w:asciiTheme="minorBidi" w:hAnsiTheme="minorBidi" w:cs="Arial"/>
          <w:rtl/>
        </w:rPr>
        <w:t>"</w:t>
      </w:r>
      <w:r w:rsidRPr="00974030">
        <w:rPr>
          <w:rFonts w:asciiTheme="minorBidi" w:hAnsiTheme="minorBidi" w:cs="Arial" w:hint="cs"/>
          <w:rtl/>
        </w:rPr>
        <w:t>ג</w:t>
      </w:r>
      <w:r w:rsidRPr="00974030">
        <w:rPr>
          <w:rFonts w:asciiTheme="minorBidi" w:hAnsiTheme="minorBidi" w:cs="Arial"/>
          <w:rtl/>
        </w:rPr>
        <w:t xml:space="preserve"> </w:t>
      </w:r>
      <w:r w:rsidRPr="00974030">
        <w:rPr>
          <w:rFonts w:asciiTheme="minorBidi" w:hAnsiTheme="minorBidi" w:cs="Arial" w:hint="cs"/>
          <w:rtl/>
        </w:rPr>
        <w:t>העור</w:t>
      </w:r>
      <w:r w:rsidRPr="00974030">
        <w:rPr>
          <w:rFonts w:asciiTheme="minorBidi" w:hAnsiTheme="minorBidi" w:cs="Arial"/>
          <w:rtl/>
        </w:rPr>
        <w:t xml:space="preserve">, </w:t>
      </w:r>
      <w:r w:rsidRPr="00974030">
        <w:rPr>
          <w:rFonts w:asciiTheme="minorBidi" w:hAnsiTheme="minorBidi" w:cs="Arial" w:hint="cs"/>
          <w:rtl/>
        </w:rPr>
        <w:t>והוא</w:t>
      </w:r>
      <w:r w:rsidRPr="00974030">
        <w:rPr>
          <w:rFonts w:asciiTheme="minorBidi" w:hAnsiTheme="minorBidi" w:cs="Arial"/>
          <w:rtl/>
        </w:rPr>
        <w:t xml:space="preserve"> </w:t>
      </w:r>
      <w:r w:rsidRPr="00974030">
        <w:rPr>
          <w:rFonts w:asciiTheme="minorBidi" w:hAnsiTheme="minorBidi" w:cs="Arial" w:hint="cs"/>
          <w:rtl/>
        </w:rPr>
        <w:t>שלא</w:t>
      </w:r>
      <w:r w:rsidRPr="00974030">
        <w:rPr>
          <w:rFonts w:asciiTheme="minorBidi" w:hAnsiTheme="minorBidi" w:cs="Arial"/>
          <w:rtl/>
        </w:rPr>
        <w:t xml:space="preserve"> </w:t>
      </w:r>
      <w:r w:rsidRPr="00974030">
        <w:rPr>
          <w:rFonts w:asciiTheme="minorBidi" w:hAnsiTheme="minorBidi" w:cs="Arial" w:hint="cs"/>
          <w:rtl/>
        </w:rPr>
        <w:t>יהא</w:t>
      </w:r>
      <w:r w:rsidRPr="00974030">
        <w:rPr>
          <w:rFonts w:asciiTheme="minorBidi" w:hAnsiTheme="minorBidi" w:cs="Arial"/>
          <w:rtl/>
        </w:rPr>
        <w:t xml:space="preserve"> </w:t>
      </w:r>
      <w:r w:rsidRPr="00974030">
        <w:rPr>
          <w:rFonts w:asciiTheme="minorBidi" w:hAnsiTheme="minorBidi" w:cs="Arial" w:hint="cs"/>
          <w:rtl/>
        </w:rPr>
        <w:t>בשמן</w:t>
      </w:r>
      <w:r w:rsidRPr="00974030">
        <w:rPr>
          <w:rFonts w:asciiTheme="minorBidi" w:hAnsiTheme="minorBidi" w:cs="Arial"/>
          <w:rtl/>
        </w:rPr>
        <w:t xml:space="preserve"> </w:t>
      </w:r>
      <w:r w:rsidRPr="00974030">
        <w:rPr>
          <w:rFonts w:asciiTheme="minorBidi" w:hAnsiTheme="minorBidi" w:cs="Arial" w:hint="cs"/>
          <w:rtl/>
        </w:rPr>
        <w:t>הנישוף</w:t>
      </w:r>
      <w:r w:rsidRPr="00974030">
        <w:rPr>
          <w:rFonts w:asciiTheme="minorBidi" w:hAnsiTheme="minorBidi" w:cs="Arial"/>
          <w:rtl/>
        </w:rPr>
        <w:t xml:space="preserve"> </w:t>
      </w:r>
      <w:r w:rsidRPr="00974030">
        <w:rPr>
          <w:rFonts w:asciiTheme="minorBidi" w:hAnsiTheme="minorBidi" w:cs="Arial" w:hint="cs"/>
          <w:rtl/>
        </w:rPr>
        <w:t>בגופו</w:t>
      </w:r>
      <w:r w:rsidRPr="00974030">
        <w:rPr>
          <w:rFonts w:asciiTheme="minorBidi" w:hAnsiTheme="minorBidi" w:cs="Arial"/>
          <w:rtl/>
        </w:rPr>
        <w:t xml:space="preserve"> </w:t>
      </w:r>
      <w:r w:rsidRPr="00974030">
        <w:rPr>
          <w:rFonts w:asciiTheme="minorBidi" w:hAnsiTheme="minorBidi" w:cs="Arial" w:hint="cs"/>
          <w:rtl/>
        </w:rPr>
        <w:t>שיעור</w:t>
      </w:r>
      <w:r w:rsidRPr="00974030">
        <w:rPr>
          <w:rFonts w:asciiTheme="minorBidi" w:hAnsiTheme="minorBidi" w:cs="Arial"/>
          <w:rtl/>
        </w:rPr>
        <w:t xml:space="preserve"> </w:t>
      </w:r>
      <w:r w:rsidRPr="00974030">
        <w:rPr>
          <w:rFonts w:asciiTheme="minorBidi" w:hAnsiTheme="minorBidi" w:cs="Arial" w:hint="cs"/>
          <w:rtl/>
        </w:rPr>
        <w:t>כדי</w:t>
      </w:r>
      <w:r w:rsidRPr="00974030">
        <w:rPr>
          <w:rFonts w:asciiTheme="minorBidi" w:hAnsiTheme="minorBidi" w:cs="Arial"/>
          <w:rtl/>
        </w:rPr>
        <w:t xml:space="preserve"> </w:t>
      </w:r>
      <w:r w:rsidRPr="00974030">
        <w:rPr>
          <w:rFonts w:asciiTheme="minorBidi" w:hAnsiTheme="minorBidi" w:cs="Arial" w:hint="cs"/>
          <w:rtl/>
        </w:rPr>
        <w:t>לעבדו</w:t>
      </w:r>
      <w:r w:rsidRPr="00974030">
        <w:rPr>
          <w:rFonts w:asciiTheme="minorBidi" w:hAnsiTheme="minorBidi" w:cs="Arial"/>
          <w:rtl/>
        </w:rPr>
        <w:t xml:space="preserve">, </w:t>
      </w:r>
      <w:r w:rsidRPr="00974030">
        <w:rPr>
          <w:rFonts w:asciiTheme="minorBidi" w:hAnsiTheme="minorBidi" w:cs="Arial" w:hint="cs"/>
          <w:rtl/>
        </w:rPr>
        <w:t>אפילו</w:t>
      </w:r>
      <w:r w:rsidRPr="00974030">
        <w:rPr>
          <w:rFonts w:asciiTheme="minorBidi" w:hAnsiTheme="minorBidi" w:cs="Arial"/>
          <w:rtl/>
        </w:rPr>
        <w:t xml:space="preserve"> </w:t>
      </w:r>
      <w:r w:rsidRPr="00974030">
        <w:rPr>
          <w:rFonts w:asciiTheme="minorBidi" w:hAnsiTheme="minorBidi" w:cs="Arial" w:hint="cs"/>
          <w:rtl/>
        </w:rPr>
        <w:t>יש</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כדי</w:t>
      </w:r>
      <w:r w:rsidRPr="00974030">
        <w:rPr>
          <w:rFonts w:asciiTheme="minorBidi" w:hAnsiTheme="minorBidi" w:cs="Arial"/>
          <w:rtl/>
        </w:rPr>
        <w:t xml:space="preserve"> </w:t>
      </w:r>
      <w:r w:rsidRPr="00974030">
        <w:rPr>
          <w:rFonts w:asciiTheme="minorBidi" w:hAnsiTheme="minorBidi" w:cs="Arial" w:hint="cs"/>
          <w:rtl/>
        </w:rPr>
        <w:t>לצחצחו</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והוא</w:t>
      </w:r>
      <w:r w:rsidRPr="00974030">
        <w:rPr>
          <w:rFonts w:asciiTheme="minorBidi" w:hAnsiTheme="minorBidi" w:cs="Arial"/>
          <w:rtl/>
        </w:rPr>
        <w:t xml:space="preserve"> </w:t>
      </w:r>
      <w:r w:rsidRPr="00974030">
        <w:rPr>
          <w:rFonts w:asciiTheme="minorBidi" w:hAnsiTheme="minorBidi" w:cs="Arial" w:hint="cs"/>
          <w:rtl/>
        </w:rPr>
        <w:t>שלא</w:t>
      </w:r>
      <w:r w:rsidRPr="00974030">
        <w:rPr>
          <w:rFonts w:asciiTheme="minorBidi" w:hAnsiTheme="minorBidi" w:cs="Arial"/>
          <w:rtl/>
        </w:rPr>
        <w:t xml:space="preserve"> </w:t>
      </w:r>
      <w:r w:rsidRPr="00974030">
        <w:rPr>
          <w:rFonts w:asciiTheme="minorBidi" w:hAnsiTheme="minorBidi" w:cs="Arial" w:hint="cs"/>
          <w:rtl/>
        </w:rPr>
        <w:t>יכוין</w:t>
      </w:r>
      <w:r w:rsidRPr="00974030">
        <w:rPr>
          <w:rFonts w:asciiTheme="minorBidi" w:hAnsiTheme="minorBidi" w:cs="Arial"/>
          <w:rtl/>
        </w:rPr>
        <w:t xml:space="preserve"> </w:t>
      </w:r>
      <w:r w:rsidRPr="00974030">
        <w:rPr>
          <w:rFonts w:asciiTheme="minorBidi" w:hAnsiTheme="minorBidi" w:cs="Arial" w:hint="cs"/>
          <w:rtl/>
        </w:rPr>
        <w:t>אפילו</w:t>
      </w:r>
      <w:r w:rsidRPr="00974030">
        <w:rPr>
          <w:rFonts w:asciiTheme="minorBidi" w:hAnsiTheme="minorBidi" w:cs="Arial"/>
          <w:rtl/>
        </w:rPr>
        <w:t xml:space="preserve"> </w:t>
      </w:r>
      <w:r w:rsidRPr="00974030">
        <w:rPr>
          <w:rFonts w:asciiTheme="minorBidi" w:hAnsiTheme="minorBidi" w:cs="Arial" w:hint="cs"/>
          <w:rtl/>
        </w:rPr>
        <w:t>לצחצחו</w:t>
      </w:r>
      <w:r>
        <w:rPr>
          <w:rFonts w:asciiTheme="minorBidi" w:hAnsiTheme="minorBidi" w:hint="cs"/>
          <w:rtl/>
        </w:rPr>
        <w:t>.</w:t>
      </w:r>
    </w:p>
    <w:p w14:paraId="6DD1FF7C" w14:textId="77777777" w:rsidR="006A4BF8" w:rsidRPr="005275DF" w:rsidRDefault="006A4BF8" w:rsidP="00434A6A">
      <w:pPr>
        <w:pStyle w:val="1"/>
        <w:rPr>
          <w:rFonts w:asciiTheme="minorBidi" w:hAnsiTheme="minorBidi"/>
          <w:rtl/>
        </w:rPr>
      </w:pPr>
      <w:r w:rsidRPr="005275DF">
        <w:rPr>
          <w:rFonts w:asciiTheme="minorBidi" w:hAnsiTheme="minorBidi"/>
          <w:rtl/>
        </w:rPr>
        <w:t>סימן שכח: דין חולה בשבת</w:t>
      </w:r>
      <w:r>
        <w:rPr>
          <w:rFonts w:asciiTheme="minorBidi" w:hAnsiTheme="minorBidi" w:hint="cs"/>
          <w:rtl/>
        </w:rPr>
        <w:t>, ובו מט' סעיפים</w:t>
      </w:r>
      <w:r w:rsidRPr="005275DF">
        <w:rPr>
          <w:rFonts w:asciiTheme="minorBidi" w:hAnsiTheme="minorBidi"/>
          <w:rtl/>
        </w:rPr>
        <w:t xml:space="preserve">. </w:t>
      </w:r>
    </w:p>
    <w:p w14:paraId="2C433088"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א: הרגשת מיחוש.</w:t>
      </w:r>
    </w:p>
    <w:p w14:paraId="4FFE3696"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6680F793" w14:textId="77777777" w:rsidR="006A4BF8" w:rsidRPr="005275DF" w:rsidRDefault="006A4BF8" w:rsidP="00434A6A">
      <w:pPr>
        <w:rPr>
          <w:rFonts w:asciiTheme="minorBidi" w:hAnsiTheme="minorBidi"/>
          <w:sz w:val="16"/>
          <w:szCs w:val="16"/>
          <w:rtl/>
        </w:rPr>
      </w:pPr>
      <w:r w:rsidRPr="005275DF">
        <w:rPr>
          <w:rFonts w:asciiTheme="minorBidi" w:hAnsiTheme="minorBidi"/>
          <w:rtl/>
        </w:rPr>
        <w:t>מי שיש לו מיחוש בעלמא והוא מתחזק והולך כבריא אסור לעשות לו שום רפואה ואפילו על ידי גוי, גזירה משום שחיקת סמנים</w:t>
      </w:r>
      <w:r w:rsidRPr="005275DF">
        <w:rPr>
          <w:rStyle w:val="a9"/>
          <w:rFonts w:asciiTheme="minorBidi" w:hAnsiTheme="minorBidi"/>
          <w:rtl/>
        </w:rPr>
        <w:footnoteReference w:id="3157"/>
      </w:r>
      <w:r w:rsidRPr="005275DF">
        <w:rPr>
          <w:rFonts w:asciiTheme="minorBidi" w:hAnsiTheme="minorBidi"/>
          <w:rtl/>
        </w:rPr>
        <w:t xml:space="preserve">. </w:t>
      </w:r>
      <w:r w:rsidRPr="005275DF">
        <w:rPr>
          <w:rFonts w:asciiTheme="minorBidi" w:hAnsiTheme="minorBidi"/>
          <w:sz w:val="16"/>
          <w:szCs w:val="16"/>
          <w:rtl/>
        </w:rPr>
        <w:t>{רשב"א ר"ן והה"מ}</w:t>
      </w:r>
    </w:p>
    <w:p w14:paraId="7CA6AF7F" w14:textId="77777777" w:rsidR="006A4BF8" w:rsidRPr="005275DF" w:rsidRDefault="006A4BF8" w:rsidP="00434A6A">
      <w:pPr>
        <w:rPr>
          <w:rFonts w:asciiTheme="minorBidi" w:hAnsiTheme="minorBidi"/>
          <w:rtl/>
        </w:rPr>
      </w:pPr>
    </w:p>
    <w:p w14:paraId="21A786F6"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ב: חולה שיש בו סכנה.</w:t>
      </w:r>
    </w:p>
    <w:p w14:paraId="32F14D88" w14:textId="77777777" w:rsidR="006A4BF8" w:rsidRPr="005275DF" w:rsidRDefault="006A4BF8" w:rsidP="00434A6A">
      <w:pPr>
        <w:rPr>
          <w:rFonts w:asciiTheme="minorBidi" w:hAnsiTheme="minorBidi"/>
          <w:rtl/>
        </w:rPr>
      </w:pPr>
      <w:r w:rsidRPr="005275DF">
        <w:rPr>
          <w:rFonts w:asciiTheme="minorBidi" w:hAnsiTheme="minorBidi"/>
          <w:b/>
          <w:bCs/>
          <w:rtl/>
        </w:rPr>
        <w:t xml:space="preserve">ירושלמי יומא פ"ח ה"ה: </w:t>
      </w:r>
      <w:r w:rsidRPr="005275DF">
        <w:rPr>
          <w:rFonts w:asciiTheme="minorBidi" w:hAnsiTheme="minorBidi"/>
          <w:rtl/>
        </w:rPr>
        <w:t>תני הזריז משובח והנשאל מגונה</w:t>
      </w:r>
      <w:r w:rsidRPr="005275DF">
        <w:rPr>
          <w:rStyle w:val="a9"/>
          <w:rFonts w:asciiTheme="minorBidi" w:hAnsiTheme="minorBidi"/>
          <w:rtl/>
        </w:rPr>
        <w:footnoteReference w:id="3158"/>
      </w:r>
      <w:r w:rsidRPr="005275DF">
        <w:rPr>
          <w:rFonts w:asciiTheme="minorBidi" w:hAnsiTheme="minorBidi"/>
          <w:rtl/>
        </w:rPr>
        <w:t xml:space="preserve"> והשואל הרי זה שופך דמים.</w:t>
      </w:r>
    </w:p>
    <w:p w14:paraId="6E381CCA"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9B56F09" w14:textId="77777777" w:rsidR="006A4BF8" w:rsidRPr="005275DF" w:rsidRDefault="006A4BF8" w:rsidP="00434A6A">
      <w:pPr>
        <w:rPr>
          <w:rFonts w:asciiTheme="minorBidi" w:hAnsiTheme="minorBidi"/>
          <w:rtl/>
        </w:rPr>
      </w:pPr>
      <w:r w:rsidRPr="005275DF">
        <w:rPr>
          <w:rFonts w:asciiTheme="minorBidi" w:hAnsiTheme="minorBidi"/>
          <w:rtl/>
        </w:rPr>
        <w:t>מי שיש לו חולי של סכנה</w:t>
      </w:r>
      <w:r w:rsidRPr="005275DF">
        <w:rPr>
          <w:rStyle w:val="a9"/>
          <w:rFonts w:asciiTheme="minorBidi" w:hAnsiTheme="minorBidi"/>
          <w:rtl/>
        </w:rPr>
        <w:footnoteReference w:id="3159"/>
      </w:r>
      <w:r w:rsidRPr="005275DF">
        <w:rPr>
          <w:rFonts w:asciiTheme="minorBidi" w:hAnsiTheme="minorBidi"/>
          <w:rtl/>
        </w:rPr>
        <w:t xml:space="preserve"> מצוה לחלל עליו את השבת והזריז הרי זה משובח והשואל הרי זה שופך דמים.  </w:t>
      </w:r>
    </w:p>
    <w:p w14:paraId="40719DA3" w14:textId="77777777" w:rsidR="006A4BF8" w:rsidRPr="005275DF" w:rsidRDefault="006A4BF8" w:rsidP="00434A6A">
      <w:pPr>
        <w:rPr>
          <w:rFonts w:asciiTheme="minorBidi" w:hAnsiTheme="minorBidi"/>
          <w:rtl/>
        </w:rPr>
      </w:pPr>
    </w:p>
    <w:p w14:paraId="61B9494F"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ג: מכה שבתוך חלל הגוף.</w:t>
      </w:r>
    </w:p>
    <w:p w14:paraId="1C3E4666" w14:textId="77777777" w:rsidR="006A4BF8" w:rsidRPr="005275DF" w:rsidRDefault="006A4BF8" w:rsidP="00434A6A">
      <w:pPr>
        <w:rPr>
          <w:rFonts w:asciiTheme="minorBidi" w:hAnsiTheme="minorBidi"/>
          <w:rtl/>
        </w:rPr>
      </w:pPr>
      <w:r w:rsidRPr="005275DF">
        <w:rPr>
          <w:rFonts w:asciiTheme="minorBidi" w:hAnsiTheme="minorBidi"/>
          <w:b/>
          <w:bCs/>
          <w:rtl/>
        </w:rPr>
        <w:t xml:space="preserve">עבודה זרה כח ע"א: </w:t>
      </w:r>
      <w:r w:rsidRPr="005275DF">
        <w:rPr>
          <w:rFonts w:asciiTheme="minorBidi" w:hAnsiTheme="minorBidi"/>
          <w:u w:val="single"/>
          <w:rtl/>
        </w:rPr>
        <w:t>דאמר רב אדא בר מתנה אמר רב</w:t>
      </w:r>
      <w:r w:rsidRPr="005275DF">
        <w:rPr>
          <w:rFonts w:asciiTheme="minorBidi" w:hAnsiTheme="minorBidi"/>
          <w:rtl/>
        </w:rPr>
        <w:t>: גב היד וגב הרגל הרי הן כמכה של חלל</w:t>
      </w:r>
      <w:r w:rsidRPr="005275DF">
        <w:rPr>
          <w:rStyle w:val="a9"/>
          <w:rFonts w:asciiTheme="minorBidi" w:hAnsiTheme="minorBidi"/>
          <w:rtl/>
        </w:rPr>
        <w:footnoteReference w:id="3160"/>
      </w:r>
      <w:r w:rsidRPr="005275DF">
        <w:rPr>
          <w:rFonts w:asciiTheme="minorBidi" w:hAnsiTheme="minorBidi"/>
          <w:rtl/>
        </w:rPr>
        <w:t xml:space="preserve"> ומחללין עליהן את השבת.... </w:t>
      </w:r>
      <w:r w:rsidRPr="005275DF">
        <w:rPr>
          <w:rFonts w:asciiTheme="minorBidi" w:hAnsiTheme="minorBidi"/>
          <w:u w:val="single"/>
          <w:rtl/>
        </w:rPr>
        <w:t>אמר רב שמן בר אבא אמר ר' יוחנן:</w:t>
      </w:r>
      <w:r w:rsidRPr="005275DF">
        <w:rPr>
          <w:rFonts w:asciiTheme="minorBidi" w:hAnsiTheme="minorBidi"/>
          <w:rtl/>
        </w:rPr>
        <w:t xml:space="preserve"> והאי אישתא צמירתא</w:t>
      </w:r>
      <w:r w:rsidRPr="005275DF">
        <w:rPr>
          <w:rStyle w:val="a9"/>
          <w:rFonts w:asciiTheme="minorBidi" w:hAnsiTheme="minorBidi"/>
          <w:rtl/>
        </w:rPr>
        <w:footnoteReference w:id="3161"/>
      </w:r>
      <w:r w:rsidRPr="005275DF">
        <w:rPr>
          <w:rFonts w:asciiTheme="minorBidi" w:hAnsiTheme="minorBidi"/>
          <w:rtl/>
        </w:rPr>
        <w:t xml:space="preserve"> כמכה של חלל דמי ומחללין עליה את השבת. מהיכן מכה של חלל? </w:t>
      </w:r>
      <w:r w:rsidRPr="005275DF">
        <w:rPr>
          <w:rFonts w:asciiTheme="minorBidi" w:hAnsiTheme="minorBidi"/>
          <w:u w:val="single"/>
          <w:rtl/>
        </w:rPr>
        <w:t>פירש רבי אמי:</w:t>
      </w:r>
      <w:r w:rsidRPr="005275DF">
        <w:rPr>
          <w:rFonts w:asciiTheme="minorBidi" w:hAnsiTheme="minorBidi"/>
          <w:rtl/>
        </w:rPr>
        <w:t xml:space="preserve"> מן השפה</w:t>
      </w:r>
      <w:r w:rsidRPr="005275DF">
        <w:rPr>
          <w:rStyle w:val="a9"/>
          <w:rFonts w:asciiTheme="minorBidi" w:hAnsiTheme="minorBidi"/>
          <w:rtl/>
        </w:rPr>
        <w:footnoteReference w:id="3162"/>
      </w:r>
      <w:r w:rsidRPr="005275DF">
        <w:rPr>
          <w:rFonts w:asciiTheme="minorBidi" w:hAnsiTheme="minorBidi"/>
          <w:rtl/>
        </w:rPr>
        <w:t xml:space="preserve"> ולפנים. </w:t>
      </w:r>
      <w:r w:rsidRPr="005275DF">
        <w:rPr>
          <w:rFonts w:asciiTheme="minorBidi" w:hAnsiTheme="minorBidi"/>
          <w:u w:val="single"/>
          <w:rtl/>
        </w:rPr>
        <w:t>בעי רבי אליעזר:</w:t>
      </w:r>
      <w:r w:rsidRPr="005275DF">
        <w:rPr>
          <w:rFonts w:asciiTheme="minorBidi" w:hAnsiTheme="minorBidi"/>
          <w:rtl/>
        </w:rPr>
        <w:t xml:space="preserve"> ככי</w:t>
      </w:r>
      <w:r w:rsidRPr="005275DF">
        <w:rPr>
          <w:rStyle w:val="a9"/>
          <w:rFonts w:asciiTheme="minorBidi" w:hAnsiTheme="minorBidi"/>
          <w:rtl/>
        </w:rPr>
        <w:footnoteReference w:id="3163"/>
      </w:r>
      <w:r w:rsidRPr="005275DF">
        <w:rPr>
          <w:rFonts w:asciiTheme="minorBidi" w:hAnsiTheme="minorBidi"/>
          <w:rtl/>
        </w:rPr>
        <w:t xml:space="preserve"> ושיני מאי? כיון דאקושי</w:t>
      </w:r>
      <w:r w:rsidRPr="005275DF">
        <w:rPr>
          <w:rStyle w:val="a9"/>
          <w:rFonts w:asciiTheme="minorBidi" w:hAnsiTheme="minorBidi"/>
          <w:rtl/>
        </w:rPr>
        <w:footnoteReference w:id="3164"/>
      </w:r>
      <w:r w:rsidRPr="005275DF">
        <w:rPr>
          <w:rFonts w:asciiTheme="minorBidi" w:hAnsiTheme="minorBidi"/>
          <w:rtl/>
        </w:rPr>
        <w:t xml:space="preserve"> נינהו כמכה דבראי דמו, או דלמא כיון דגואי קיימי כמכה של חלל דמו? </w:t>
      </w:r>
      <w:r w:rsidRPr="005275DF">
        <w:rPr>
          <w:rFonts w:asciiTheme="minorBidi" w:hAnsiTheme="minorBidi"/>
          <w:u w:val="single"/>
          <w:rtl/>
        </w:rPr>
        <w:t>אמר אביי</w:t>
      </w:r>
      <w:r w:rsidRPr="005275DF">
        <w:rPr>
          <w:rFonts w:asciiTheme="minorBidi" w:hAnsiTheme="minorBidi"/>
          <w:rtl/>
        </w:rPr>
        <w:t xml:space="preserve"> ת"ש: החושש בשיניו לא יגמע בהן את החומץ, חושש הוא דלא הא כאיב ליה טובא שפיר דמי. דלמא תנא היכא דכאיב ליה טובא חושש נמי קרי ליה. </w:t>
      </w:r>
      <w:r w:rsidRPr="005275DF">
        <w:rPr>
          <w:rFonts w:asciiTheme="minorBidi" w:hAnsiTheme="minorBidi"/>
          <w:sz w:val="16"/>
          <w:szCs w:val="16"/>
          <w:rtl/>
        </w:rPr>
        <w:t>(ואע"ג דלא איפשטה כ' הרא"ש דספק נפשות לקולא, וכן אפשר לפרש את ד' הר"ן</w:t>
      </w:r>
      <w:r w:rsidRPr="005275DF">
        <w:rPr>
          <w:rStyle w:val="a9"/>
          <w:rFonts w:asciiTheme="minorBidi" w:hAnsiTheme="minorBidi"/>
          <w:sz w:val="16"/>
          <w:szCs w:val="16"/>
          <w:rtl/>
        </w:rPr>
        <w:footnoteReference w:id="3165"/>
      </w:r>
      <w:r w:rsidRPr="005275DF">
        <w:rPr>
          <w:rFonts w:asciiTheme="minorBidi" w:hAnsiTheme="minorBidi"/>
          <w:sz w:val="16"/>
          <w:szCs w:val="16"/>
          <w:rtl/>
        </w:rPr>
        <w:t>. ומ"מ צ"ל דהאי בעיא בחולי אחר בשיניים דלאו צפדינא הוא דאילו בצפדינא לא הוה מיבעיא ליה דהא בהדיא תנן (פג.) החושש בפיו מטילין לתוכו סם בשבת מפני שהוא ספק נפשות ואוקימנא לה (פד.) בצפדינא שמתחיל בפה וגומר בבני מעים, ב"י)</w:t>
      </w:r>
    </w:p>
    <w:p w14:paraId="1C1F83B5" w14:textId="77777777" w:rsidR="006A4BF8" w:rsidRPr="005275DF" w:rsidRDefault="006A4BF8" w:rsidP="00434A6A">
      <w:pPr>
        <w:rPr>
          <w:rFonts w:asciiTheme="minorBidi" w:hAnsiTheme="minorBidi"/>
          <w:u w:val="single"/>
          <w:rtl/>
        </w:rPr>
      </w:pPr>
      <w:r w:rsidRPr="005275DF">
        <w:rPr>
          <w:rFonts w:asciiTheme="minorBidi" w:hAnsiTheme="minorBidi"/>
          <w:u w:val="single"/>
          <w:rtl/>
        </w:rPr>
        <w:t>אדם החושש בשינו ורוצה להוציא את השן – האם מותר להגיד לגוי שיוציא:</w:t>
      </w:r>
    </w:p>
    <w:p w14:paraId="000C89A1" w14:textId="77777777" w:rsidR="006A4BF8" w:rsidRPr="005275DF" w:rsidRDefault="006A4BF8" w:rsidP="00FF2D21">
      <w:pPr>
        <w:pStyle w:val="aa"/>
        <w:numPr>
          <w:ilvl w:val="0"/>
          <w:numId w:val="46"/>
        </w:numPr>
        <w:rPr>
          <w:rFonts w:asciiTheme="minorBidi" w:hAnsiTheme="minorBidi"/>
        </w:rPr>
      </w:pPr>
      <w:r w:rsidRPr="005275DF">
        <w:rPr>
          <w:rFonts w:asciiTheme="minorBidi" w:hAnsiTheme="minorBidi"/>
          <w:rtl/>
        </w:rPr>
        <w:t>א"ח</w:t>
      </w:r>
      <w:r w:rsidRPr="005275DF">
        <w:rPr>
          <w:rFonts w:asciiTheme="minorBidi" w:hAnsiTheme="minorBidi"/>
          <w:sz w:val="16"/>
          <w:szCs w:val="16"/>
          <w:rtl/>
        </w:rPr>
        <w:t xml:space="preserve"> (בשם הר' יהודה בר אבא מארי, הובא בב"י)</w:t>
      </w:r>
      <w:r w:rsidRPr="005275DF">
        <w:rPr>
          <w:rFonts w:asciiTheme="minorBidi" w:hAnsiTheme="minorBidi"/>
          <w:rtl/>
        </w:rPr>
        <w:t xml:space="preserve"> ואוה"ה- מותר.</w:t>
      </w:r>
      <w:r w:rsidRPr="005275DF">
        <w:rPr>
          <w:rFonts w:asciiTheme="minorBidi" w:hAnsiTheme="minorBidi"/>
          <w:color w:val="00B0F0"/>
          <w:rtl/>
        </w:rPr>
        <w:t xml:space="preserve"> (וכ"פ הרמ"א)</w:t>
      </w:r>
    </w:p>
    <w:p w14:paraId="7C0894EA" w14:textId="77777777" w:rsidR="006A4BF8" w:rsidRPr="005275DF" w:rsidRDefault="006A4BF8" w:rsidP="00FF2D21">
      <w:pPr>
        <w:pStyle w:val="aa"/>
        <w:numPr>
          <w:ilvl w:val="0"/>
          <w:numId w:val="46"/>
        </w:numPr>
        <w:rPr>
          <w:rFonts w:asciiTheme="minorBidi" w:hAnsiTheme="minorBidi"/>
          <w:rtl/>
        </w:rPr>
      </w:pPr>
      <w:r w:rsidRPr="005275DF">
        <w:rPr>
          <w:rFonts w:asciiTheme="minorBidi" w:hAnsiTheme="minorBidi"/>
          <w:rtl/>
        </w:rPr>
        <w:t>רש"ל- אסור, משום דמסייע הוא. (וכ"פ הב"ח והט"ז</w:t>
      </w:r>
      <w:r w:rsidRPr="005275DF">
        <w:rPr>
          <w:rStyle w:val="a9"/>
          <w:rFonts w:asciiTheme="minorBidi" w:hAnsiTheme="minorBidi"/>
          <w:rtl/>
        </w:rPr>
        <w:footnoteReference w:id="3166"/>
      </w:r>
      <w:r w:rsidRPr="005275DF">
        <w:rPr>
          <w:rFonts w:asciiTheme="minorBidi" w:hAnsiTheme="minorBidi"/>
          <w:rtl/>
        </w:rPr>
        <w:t>)</w:t>
      </w:r>
    </w:p>
    <w:p w14:paraId="7045D462"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41F1B980" w14:textId="77777777" w:rsidR="006A4BF8" w:rsidRPr="005275DF" w:rsidRDefault="006A4BF8" w:rsidP="00434A6A">
      <w:pPr>
        <w:rPr>
          <w:rFonts w:asciiTheme="minorBidi" w:hAnsiTheme="minorBidi"/>
          <w:rtl/>
        </w:rPr>
      </w:pPr>
      <w:r w:rsidRPr="005275DF">
        <w:rPr>
          <w:rFonts w:asciiTheme="minorBidi" w:hAnsiTheme="minorBidi"/>
          <w:rtl/>
        </w:rPr>
        <w:t>כל מכה של חלל דהיינו מהשינים ולפנים, ושינים עצמם בכלל</w:t>
      </w:r>
      <w:r w:rsidRPr="005275DF">
        <w:rPr>
          <w:rStyle w:val="a9"/>
          <w:rFonts w:asciiTheme="minorBidi" w:hAnsiTheme="minorBidi"/>
          <w:rtl/>
        </w:rPr>
        <w:footnoteReference w:id="3167"/>
      </w:r>
      <w:r w:rsidRPr="005275DF">
        <w:rPr>
          <w:rFonts w:asciiTheme="minorBidi" w:hAnsiTheme="minorBidi"/>
          <w:rtl/>
        </w:rPr>
        <w:t xml:space="preserve">, מחללין עליה את השבת, </w:t>
      </w:r>
      <w:r w:rsidRPr="005275DF">
        <w:rPr>
          <w:rStyle w:val="a9"/>
          <w:rFonts w:asciiTheme="minorBidi" w:hAnsiTheme="minorBidi"/>
          <w:rtl/>
        </w:rPr>
        <w:footnoteReference w:id="3168"/>
      </w:r>
      <w:r w:rsidRPr="005275DF">
        <w:rPr>
          <w:rFonts w:asciiTheme="minorBidi" w:hAnsiTheme="minorBidi"/>
          <w:rtl/>
        </w:rPr>
        <w:t xml:space="preserve">ודוקא שנתקלקל אחד מהאברים הפנימים מחמת מכה או בועה וכיוצא בזה אבל מיחושים אין נקראים מכה. </w:t>
      </w:r>
      <w:r w:rsidRPr="005275DF">
        <w:rPr>
          <w:rFonts w:asciiTheme="minorBidi" w:hAnsiTheme="minorBidi"/>
          <w:sz w:val="18"/>
          <w:szCs w:val="18"/>
          <w:rtl/>
        </w:rPr>
        <w:t>הגה: מיהו מי שחושש בשיניו ומצטער עליו</w:t>
      </w:r>
      <w:r w:rsidRPr="005275DF">
        <w:rPr>
          <w:rStyle w:val="a9"/>
          <w:rFonts w:asciiTheme="minorBidi" w:hAnsiTheme="minorBidi"/>
          <w:sz w:val="18"/>
          <w:szCs w:val="18"/>
          <w:rtl/>
        </w:rPr>
        <w:footnoteReference w:id="3169"/>
      </w:r>
      <w:r w:rsidRPr="005275DF">
        <w:rPr>
          <w:rFonts w:asciiTheme="minorBidi" w:hAnsiTheme="minorBidi"/>
          <w:sz w:val="18"/>
          <w:szCs w:val="18"/>
          <w:rtl/>
        </w:rPr>
        <w:t xml:space="preserve"> להוציאו אומר לגוי להוציאו</w:t>
      </w:r>
      <w:r w:rsidRPr="005275DF">
        <w:rPr>
          <w:rStyle w:val="a9"/>
          <w:rFonts w:asciiTheme="minorBidi" w:hAnsiTheme="minorBidi"/>
          <w:sz w:val="18"/>
          <w:szCs w:val="18"/>
          <w:rtl/>
        </w:rPr>
        <w:footnoteReference w:id="3170"/>
      </w:r>
      <w:r w:rsidRPr="005275DF">
        <w:rPr>
          <w:rFonts w:asciiTheme="minorBidi" w:hAnsiTheme="minorBidi"/>
          <w:sz w:val="18"/>
          <w:szCs w:val="18"/>
          <w:rtl/>
        </w:rPr>
        <w:t xml:space="preserve"> (ב"י בשם א"ח ואוה"ה).</w:t>
      </w:r>
      <w:r w:rsidRPr="005275DF">
        <w:rPr>
          <w:rFonts w:asciiTheme="minorBidi" w:hAnsiTheme="minorBidi"/>
          <w:rtl/>
        </w:rPr>
        <w:t xml:space="preserve"> </w:t>
      </w:r>
    </w:p>
    <w:p w14:paraId="71662DC0" w14:textId="77777777" w:rsidR="006A4BF8" w:rsidRPr="005275DF" w:rsidRDefault="006A4BF8" w:rsidP="00434A6A">
      <w:pPr>
        <w:rPr>
          <w:rFonts w:asciiTheme="minorBidi" w:hAnsiTheme="minorBidi"/>
          <w:rtl/>
        </w:rPr>
      </w:pPr>
    </w:p>
    <w:p w14:paraId="77F61F2D"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ד: הצרכת אומדן במכה של חלל.</w:t>
      </w:r>
    </w:p>
    <w:p w14:paraId="3816E813" w14:textId="77777777" w:rsidR="006A4BF8" w:rsidRPr="005275DF" w:rsidRDefault="006A4BF8" w:rsidP="00434A6A">
      <w:pPr>
        <w:rPr>
          <w:rFonts w:asciiTheme="minorBidi" w:hAnsiTheme="minorBidi"/>
          <w:rtl/>
        </w:rPr>
      </w:pPr>
      <w:r w:rsidRPr="005275DF">
        <w:rPr>
          <w:rFonts w:asciiTheme="minorBidi" w:hAnsiTheme="minorBidi"/>
          <w:b/>
          <w:bCs/>
          <w:rtl/>
        </w:rPr>
        <w:t xml:space="preserve">עבודה זרה כח ע"א: </w:t>
      </w:r>
      <w:r w:rsidRPr="005275DF">
        <w:rPr>
          <w:rFonts w:asciiTheme="minorBidi" w:hAnsiTheme="minorBidi"/>
          <w:rtl/>
        </w:rPr>
        <w:t>מכה של חלל אינה צריכה אומד</w:t>
      </w:r>
      <w:r w:rsidRPr="005275DF">
        <w:rPr>
          <w:rStyle w:val="a9"/>
          <w:rFonts w:asciiTheme="minorBidi" w:hAnsiTheme="minorBidi"/>
          <w:rtl/>
        </w:rPr>
        <w:footnoteReference w:id="3171"/>
      </w:r>
      <w:r w:rsidRPr="005275DF">
        <w:rPr>
          <w:rFonts w:asciiTheme="minorBidi" w:hAnsiTheme="minorBidi"/>
          <w:rtl/>
        </w:rPr>
        <w:t>.</w:t>
      </w:r>
    </w:p>
    <w:p w14:paraId="61D1FBF0"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קכט ע"א: </w:t>
      </w:r>
      <w:r w:rsidRPr="005275DF">
        <w:rPr>
          <w:rFonts w:asciiTheme="minorBidi" w:hAnsiTheme="minorBidi"/>
          <w:rtl/>
        </w:rPr>
        <w:t>כדרב עולא בריה דרב עילאי, דאמר: כל צרכי חולה נעשין על ידי ארמאי בשבת. וכדרב המנונא, דאמר רב המנונא: דבר שאין בו סכנה</w:t>
      </w:r>
      <w:r w:rsidRPr="005275DF">
        <w:rPr>
          <w:rStyle w:val="a9"/>
          <w:rFonts w:asciiTheme="minorBidi" w:hAnsiTheme="minorBidi"/>
          <w:rtl/>
        </w:rPr>
        <w:footnoteReference w:id="3172"/>
      </w:r>
      <w:r w:rsidRPr="005275DF">
        <w:rPr>
          <w:rFonts w:asciiTheme="minorBidi" w:hAnsiTheme="minorBidi"/>
          <w:rtl/>
        </w:rPr>
        <w:t xml:space="preserve"> - אומר לנכרי ועושה</w:t>
      </w:r>
      <w:r w:rsidRPr="005275DF">
        <w:rPr>
          <w:rStyle w:val="a9"/>
          <w:rFonts w:asciiTheme="minorBidi" w:hAnsiTheme="minorBidi"/>
          <w:rtl/>
        </w:rPr>
        <w:footnoteReference w:id="3173"/>
      </w:r>
      <w:r w:rsidRPr="005275DF">
        <w:rPr>
          <w:rFonts w:asciiTheme="minorBidi" w:hAnsiTheme="minorBidi"/>
          <w:rtl/>
        </w:rPr>
        <w:t>.</w:t>
      </w:r>
    </w:p>
    <w:p w14:paraId="4FBB1AA0" w14:textId="77777777" w:rsidR="006A4BF8" w:rsidRPr="005275DF" w:rsidRDefault="006A4BF8" w:rsidP="00434A6A">
      <w:pPr>
        <w:rPr>
          <w:rFonts w:asciiTheme="minorBidi" w:hAnsiTheme="minorBidi"/>
          <w:u w:val="single"/>
          <w:rtl/>
        </w:rPr>
      </w:pPr>
      <w:r w:rsidRPr="005275DF">
        <w:rPr>
          <w:rFonts w:asciiTheme="minorBidi" w:hAnsiTheme="minorBidi"/>
          <w:u w:val="single"/>
          <w:rtl/>
        </w:rPr>
        <w:t xml:space="preserve">האם עושים כל מלאכה </w:t>
      </w:r>
      <w:r w:rsidRPr="005275DF">
        <w:rPr>
          <w:rFonts w:asciiTheme="minorBidi" w:hAnsiTheme="minorBidi"/>
          <w:sz w:val="16"/>
          <w:szCs w:val="16"/>
          <w:u w:val="single"/>
          <w:rtl/>
        </w:rPr>
        <w:t>(דאו')</w:t>
      </w:r>
      <w:r w:rsidRPr="005275DF">
        <w:rPr>
          <w:rFonts w:asciiTheme="minorBidi" w:hAnsiTheme="minorBidi"/>
          <w:u w:val="single"/>
          <w:rtl/>
        </w:rPr>
        <w:t xml:space="preserve"> לחולה שיש בו סכנה:</w:t>
      </w:r>
    </w:p>
    <w:p w14:paraId="57F9504E" w14:textId="77777777" w:rsidR="006A4BF8" w:rsidRPr="005275DF" w:rsidRDefault="006A4BF8" w:rsidP="00FF2D21">
      <w:pPr>
        <w:pStyle w:val="aa"/>
        <w:numPr>
          <w:ilvl w:val="0"/>
          <w:numId w:val="78"/>
        </w:numPr>
        <w:rPr>
          <w:rFonts w:asciiTheme="minorBidi" w:hAnsiTheme="minorBidi"/>
          <w:rtl/>
        </w:rPr>
      </w:pPr>
      <w:r w:rsidRPr="005275DF">
        <w:rPr>
          <w:rFonts w:asciiTheme="minorBidi" w:hAnsiTheme="minorBidi"/>
          <w:rtl/>
        </w:rPr>
        <w:t xml:space="preserve">הה"מ- מותר לעשות כל מלאכה לחולה שיש בו סכנה ואע"פ שאם לא תעשה המלאכה לא תגרם סכנה לחייו. </w:t>
      </w:r>
      <w:r w:rsidRPr="005275DF">
        <w:rPr>
          <w:rFonts w:asciiTheme="minorBidi" w:hAnsiTheme="minorBidi"/>
          <w:color w:val="E36C0A" w:themeColor="accent6" w:themeShade="BF"/>
          <w:rtl/>
        </w:rPr>
        <w:t>(וכ"פ בשו"ע</w:t>
      </w:r>
      <w:r w:rsidRPr="005275DF">
        <w:rPr>
          <w:rStyle w:val="a9"/>
          <w:rFonts w:asciiTheme="minorBidi" w:hAnsiTheme="minorBidi"/>
          <w:rtl/>
        </w:rPr>
        <w:footnoteReference w:id="3174"/>
      </w:r>
      <w:r w:rsidRPr="005275DF">
        <w:rPr>
          <w:rFonts w:asciiTheme="minorBidi" w:hAnsiTheme="minorBidi"/>
          <w:color w:val="E36C0A" w:themeColor="accent6" w:themeShade="BF"/>
          <w:rtl/>
        </w:rPr>
        <w:t>)</w:t>
      </w:r>
    </w:p>
    <w:p w14:paraId="128A948F" w14:textId="77777777" w:rsidR="006A4BF8" w:rsidRPr="005275DF" w:rsidRDefault="006A4BF8" w:rsidP="00FF2D21">
      <w:pPr>
        <w:pStyle w:val="aa"/>
        <w:numPr>
          <w:ilvl w:val="0"/>
          <w:numId w:val="47"/>
        </w:numPr>
        <w:rPr>
          <w:rFonts w:asciiTheme="minorBidi" w:hAnsiTheme="minorBidi"/>
        </w:rPr>
      </w:pPr>
      <w:r w:rsidRPr="005275DF">
        <w:rPr>
          <w:rFonts w:asciiTheme="minorBidi" w:hAnsiTheme="minorBidi"/>
          <w:rtl/>
        </w:rPr>
        <w:t>רש"י</w:t>
      </w:r>
      <w:r w:rsidRPr="005275DF">
        <w:rPr>
          <w:rStyle w:val="a9"/>
          <w:rFonts w:asciiTheme="minorBidi" w:hAnsiTheme="minorBidi"/>
          <w:rtl/>
        </w:rPr>
        <w:footnoteReference w:id="3175"/>
      </w:r>
      <w:r w:rsidRPr="005275DF">
        <w:rPr>
          <w:rFonts w:asciiTheme="minorBidi" w:hAnsiTheme="minorBidi"/>
          <w:rtl/>
        </w:rPr>
        <w:t>- עושין רק מלאכה שאם היא לא תעשה יהיה סכנה לחייו, ואם יש מלאכה שצריכה לו אבל העדרותה לא תגרום סכנה לחייו תעשה ע"י גוי.</w:t>
      </w:r>
    </w:p>
    <w:p w14:paraId="6971EBB7"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26CCD68" w14:textId="77777777" w:rsidR="006A4BF8" w:rsidRPr="005275DF" w:rsidRDefault="006A4BF8" w:rsidP="00434A6A">
      <w:pPr>
        <w:rPr>
          <w:rFonts w:asciiTheme="minorBidi" w:hAnsiTheme="minorBidi"/>
          <w:sz w:val="16"/>
          <w:szCs w:val="16"/>
          <w:rtl/>
        </w:rPr>
      </w:pPr>
      <w:r w:rsidRPr="005275DF">
        <w:rPr>
          <w:rFonts w:asciiTheme="minorBidi" w:hAnsiTheme="minorBidi"/>
          <w:rtl/>
        </w:rPr>
        <w:t>מכה של חלל אינה צריכה אומד שאפילו אין שם בקיאים וחולה אינו אומר כלום עושים לו כל שרגילים לעשות לו בחול, אבל כשיודעים ומכירים באותו חולי שממתין ואין צריך חילול אסור לחלל עליו אף על פי שהיא מכה של חלל</w:t>
      </w:r>
      <w:r w:rsidRPr="005275DF">
        <w:rPr>
          <w:rStyle w:val="a9"/>
          <w:rFonts w:asciiTheme="minorBidi" w:hAnsiTheme="minorBidi"/>
          <w:rtl/>
        </w:rPr>
        <w:footnoteReference w:id="3176"/>
      </w:r>
      <w:r w:rsidRPr="005275DF">
        <w:rPr>
          <w:rFonts w:asciiTheme="minorBidi" w:hAnsiTheme="minorBidi"/>
          <w:rtl/>
        </w:rPr>
        <w:t xml:space="preserve">. </w:t>
      </w:r>
      <w:r w:rsidRPr="005275DF">
        <w:rPr>
          <w:rFonts w:asciiTheme="minorBidi" w:hAnsiTheme="minorBidi"/>
          <w:sz w:val="16"/>
          <w:szCs w:val="16"/>
          <w:rtl/>
        </w:rPr>
        <w:t>{רמב"ן}</w:t>
      </w:r>
    </w:p>
    <w:p w14:paraId="3310E746" w14:textId="77777777" w:rsidR="006A4BF8" w:rsidRPr="005275DF" w:rsidRDefault="006A4BF8" w:rsidP="00434A6A">
      <w:pPr>
        <w:rPr>
          <w:rFonts w:asciiTheme="minorBidi" w:hAnsiTheme="minorBidi"/>
          <w:rtl/>
        </w:rPr>
      </w:pPr>
    </w:p>
    <w:p w14:paraId="2A852FC3"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ה: חילול שבת על מכה שאינה של חלל.</w:t>
      </w:r>
    </w:p>
    <w:p w14:paraId="528622AE" w14:textId="77777777" w:rsidR="006A4BF8" w:rsidRPr="005275DF" w:rsidRDefault="006A4BF8" w:rsidP="00434A6A">
      <w:pPr>
        <w:rPr>
          <w:rFonts w:asciiTheme="minorBidi" w:hAnsiTheme="minorBidi"/>
          <w:rtl/>
        </w:rPr>
      </w:pPr>
      <w:r w:rsidRPr="005275DF">
        <w:rPr>
          <w:rFonts w:asciiTheme="minorBidi" w:hAnsiTheme="minorBidi"/>
          <w:b/>
          <w:bCs/>
          <w:rtl/>
        </w:rPr>
        <w:t xml:space="preserve">עבודה זרה כח ע"א: </w:t>
      </w:r>
      <w:r w:rsidRPr="005275DF">
        <w:rPr>
          <w:rFonts w:asciiTheme="minorBidi" w:hAnsiTheme="minorBidi"/>
          <w:u w:val="single"/>
          <w:rtl/>
        </w:rPr>
        <w:t>אמר רב זוטרא בר טוביה אמר רב</w:t>
      </w:r>
      <w:r w:rsidRPr="005275DF">
        <w:rPr>
          <w:rFonts w:asciiTheme="minorBidi" w:hAnsiTheme="minorBidi"/>
          <w:rtl/>
        </w:rPr>
        <w:t>: כל מכה שצריכה אומד</w:t>
      </w:r>
      <w:r w:rsidRPr="005275DF">
        <w:rPr>
          <w:rStyle w:val="a9"/>
          <w:rFonts w:asciiTheme="minorBidi" w:hAnsiTheme="minorBidi"/>
          <w:rtl/>
        </w:rPr>
        <w:footnoteReference w:id="3177"/>
      </w:r>
      <w:r w:rsidRPr="005275DF">
        <w:rPr>
          <w:rFonts w:asciiTheme="minorBidi" w:hAnsiTheme="minorBidi"/>
          <w:rtl/>
        </w:rPr>
        <w:t xml:space="preserve"> - מחללין עליה את השבת. </w:t>
      </w:r>
    </w:p>
    <w:p w14:paraId="7EED5B0D" w14:textId="77777777" w:rsidR="006A4BF8" w:rsidRPr="005275DF" w:rsidRDefault="006A4BF8" w:rsidP="00434A6A">
      <w:pPr>
        <w:rPr>
          <w:rFonts w:asciiTheme="minorBidi" w:hAnsiTheme="minorBidi"/>
          <w:rtl/>
        </w:rPr>
      </w:pPr>
      <w:r w:rsidRPr="005275DF">
        <w:rPr>
          <w:rFonts w:asciiTheme="minorBidi" w:hAnsiTheme="minorBidi"/>
          <w:b/>
          <w:bCs/>
          <w:rtl/>
        </w:rPr>
        <w:t xml:space="preserve">יומא פג ע"א: </w:t>
      </w:r>
      <w:r w:rsidRPr="005275DF">
        <w:rPr>
          <w:rFonts w:asciiTheme="minorBidi" w:hAnsiTheme="minorBidi"/>
          <w:u w:val="single"/>
          <w:rtl/>
        </w:rPr>
        <w:t>אמר רבי ינאי</w:t>
      </w:r>
      <w:r w:rsidRPr="005275DF">
        <w:rPr>
          <w:rFonts w:asciiTheme="minorBidi" w:hAnsiTheme="minorBidi"/>
          <w:rtl/>
        </w:rPr>
        <w:t>: חולה אומר צריך, ורופא אומר אינו צריך - שומעין לחולה, מאי טעמא - לב יודע מרת נפשו. פשיטא! מהו דתימא: רופא קים ליה טפי, קא משמע לן. רופא אומר צריך וחולה אומר אינו צריך - שומעין לרופא. מאי טעמא - תונבא</w:t>
      </w:r>
      <w:r w:rsidRPr="005275DF">
        <w:rPr>
          <w:rStyle w:val="a9"/>
          <w:rFonts w:asciiTheme="minorBidi" w:hAnsiTheme="minorBidi"/>
          <w:rtl/>
        </w:rPr>
        <w:footnoteReference w:id="3178"/>
      </w:r>
      <w:r w:rsidRPr="005275DF">
        <w:rPr>
          <w:rFonts w:asciiTheme="minorBidi" w:hAnsiTheme="minorBidi"/>
          <w:rtl/>
        </w:rPr>
        <w:t xml:space="preserve"> הוא דנקיט ליה.</w:t>
      </w:r>
    </w:p>
    <w:p w14:paraId="72CB0CDD" w14:textId="77777777" w:rsidR="006A4BF8" w:rsidRPr="005275DF" w:rsidRDefault="006A4BF8" w:rsidP="00434A6A">
      <w:pPr>
        <w:rPr>
          <w:rFonts w:asciiTheme="minorBidi" w:hAnsiTheme="minorBidi"/>
          <w:u w:val="single"/>
          <w:rtl/>
        </w:rPr>
      </w:pPr>
      <w:r w:rsidRPr="005275DF">
        <w:rPr>
          <w:rFonts w:asciiTheme="minorBidi" w:hAnsiTheme="minorBidi"/>
          <w:u w:val="single"/>
          <w:rtl/>
        </w:rPr>
        <w:t>מה הדין אם אין בחולה עתה סכנה אבל יוכל לבוא לידי סכנה:</w:t>
      </w:r>
    </w:p>
    <w:p w14:paraId="72B95FF6" w14:textId="77777777" w:rsidR="006A4BF8" w:rsidRPr="005275DF" w:rsidRDefault="006A4BF8" w:rsidP="00FF2D21">
      <w:pPr>
        <w:pStyle w:val="aa"/>
        <w:numPr>
          <w:ilvl w:val="0"/>
          <w:numId w:val="48"/>
        </w:numPr>
        <w:rPr>
          <w:rFonts w:asciiTheme="minorBidi" w:hAnsiTheme="minorBidi"/>
        </w:rPr>
      </w:pPr>
      <w:r w:rsidRPr="005275DF">
        <w:rPr>
          <w:rFonts w:asciiTheme="minorBidi" w:hAnsiTheme="minorBidi"/>
          <w:rtl/>
        </w:rPr>
        <w:t>מהרי"ל מהר"ש רדב"ז</w:t>
      </w:r>
      <w:r w:rsidRPr="005275DF">
        <w:rPr>
          <w:rFonts w:asciiTheme="minorBidi" w:hAnsiTheme="minorBidi"/>
          <w:sz w:val="16"/>
          <w:szCs w:val="16"/>
          <w:rtl/>
        </w:rPr>
        <w:t xml:space="preserve"> (ח"ד סי' קל)</w:t>
      </w:r>
      <w:r w:rsidRPr="005275DF">
        <w:rPr>
          <w:rFonts w:asciiTheme="minorBidi" w:hAnsiTheme="minorBidi"/>
          <w:rtl/>
        </w:rPr>
        <w:t>- אפי' אינו אומר שיסתכן רק שאומר שאפשר שיכבד עליו החולי נותנין לו שאנו חוששין שמא יסתכן. (וכ"פ הב"ח לבוש ומג"א</w:t>
      </w:r>
      <w:r w:rsidRPr="005275DF">
        <w:rPr>
          <w:rFonts w:asciiTheme="minorBidi" w:hAnsiTheme="minorBidi"/>
          <w:sz w:val="16"/>
          <w:szCs w:val="16"/>
          <w:rtl/>
        </w:rPr>
        <w:t xml:space="preserve"> [כאן סק"ה, ובסי' תריח סק"ב]</w:t>
      </w:r>
      <w:r w:rsidRPr="005275DF">
        <w:rPr>
          <w:rFonts w:asciiTheme="minorBidi" w:hAnsiTheme="minorBidi"/>
          <w:rtl/>
        </w:rPr>
        <w:t>)</w:t>
      </w:r>
    </w:p>
    <w:p w14:paraId="4CA34CF0" w14:textId="77777777" w:rsidR="006A4BF8" w:rsidRPr="005275DF" w:rsidRDefault="006A4BF8" w:rsidP="00FF2D21">
      <w:pPr>
        <w:pStyle w:val="aa"/>
        <w:numPr>
          <w:ilvl w:val="0"/>
          <w:numId w:val="48"/>
        </w:numPr>
        <w:rPr>
          <w:rFonts w:asciiTheme="minorBidi" w:hAnsiTheme="minorBidi"/>
          <w:rtl/>
        </w:rPr>
      </w:pPr>
      <w:r w:rsidRPr="005275DF">
        <w:rPr>
          <w:rFonts w:asciiTheme="minorBidi" w:hAnsiTheme="minorBidi"/>
          <w:rtl/>
        </w:rPr>
        <w:t>הגה' מרדכי</w:t>
      </w:r>
      <w:r w:rsidRPr="005275DF">
        <w:rPr>
          <w:rStyle w:val="a9"/>
          <w:rFonts w:asciiTheme="minorBidi" w:hAnsiTheme="minorBidi"/>
          <w:rtl/>
        </w:rPr>
        <w:footnoteReference w:id="3179"/>
      </w:r>
      <w:r w:rsidRPr="005275DF">
        <w:rPr>
          <w:rFonts w:asciiTheme="minorBidi" w:hAnsiTheme="minorBidi"/>
          <w:rtl/>
        </w:rPr>
        <w:t>- כל שיודע החולה שהוא שבת ואומר שצריך שאינו יכול לסבול מחמת החולי מחללין.</w:t>
      </w:r>
    </w:p>
    <w:p w14:paraId="2FCB74AC" w14:textId="77777777" w:rsidR="006A4BF8" w:rsidRPr="005275DF" w:rsidRDefault="006A4BF8" w:rsidP="00FF2D21">
      <w:pPr>
        <w:pStyle w:val="aa"/>
        <w:numPr>
          <w:ilvl w:val="0"/>
          <w:numId w:val="48"/>
        </w:numPr>
        <w:rPr>
          <w:rFonts w:asciiTheme="minorBidi" w:hAnsiTheme="minorBidi"/>
        </w:rPr>
      </w:pPr>
      <w:r w:rsidRPr="005275DF">
        <w:rPr>
          <w:rFonts w:asciiTheme="minorBidi" w:hAnsiTheme="minorBidi"/>
          <w:rtl/>
        </w:rPr>
        <w:t>רי"ו</w:t>
      </w:r>
      <w:r w:rsidRPr="005275DF">
        <w:rPr>
          <w:rFonts w:asciiTheme="minorBidi" w:hAnsiTheme="minorBidi"/>
          <w:sz w:val="16"/>
          <w:szCs w:val="16"/>
          <w:rtl/>
        </w:rPr>
        <w:t xml:space="preserve"> (ח"ט ני"ב עח ע"ב)</w:t>
      </w:r>
      <w:r w:rsidRPr="005275DF">
        <w:rPr>
          <w:rFonts w:asciiTheme="minorBidi" w:hAnsiTheme="minorBidi"/>
          <w:rtl/>
        </w:rPr>
        <w:t xml:space="preserve">- כל דבר שאין בו סכנה עתה אע"פ שיוכל לבוא לידי סכנה אין מחללין אלא שבות דרבנן. (וכ"פ העול"ש </w:t>
      </w:r>
      <w:r w:rsidRPr="005275DF">
        <w:rPr>
          <w:rFonts w:asciiTheme="minorBidi" w:hAnsiTheme="minorBidi"/>
          <w:sz w:val="16"/>
          <w:szCs w:val="16"/>
          <w:rtl/>
        </w:rPr>
        <w:t>[סק"ז]</w:t>
      </w:r>
      <w:r w:rsidRPr="005275DF">
        <w:rPr>
          <w:rFonts w:asciiTheme="minorBidi" w:hAnsiTheme="minorBidi"/>
          <w:rtl/>
        </w:rPr>
        <w:t xml:space="preserve">) </w:t>
      </w:r>
    </w:p>
    <w:p w14:paraId="2B47AA06"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7528337" w14:textId="77777777" w:rsidR="006A4BF8" w:rsidRPr="005275DF" w:rsidRDefault="006A4BF8" w:rsidP="00434A6A">
      <w:pPr>
        <w:rPr>
          <w:rFonts w:asciiTheme="minorBidi" w:hAnsiTheme="minorBidi"/>
          <w:rtl/>
        </w:rPr>
      </w:pPr>
      <w:r w:rsidRPr="005275DF">
        <w:rPr>
          <w:rFonts w:asciiTheme="minorBidi" w:hAnsiTheme="minorBidi"/>
          <w:rtl/>
        </w:rPr>
        <w:t xml:space="preserve">מכה שאינה של חלל נשאלין בבקי ובחולה, ואין מחללין עליו שבת עד שיאמר אחד מהם שהוא צריך לחילול או שיעשה אצל אחד מהם </w:t>
      </w:r>
      <w:r w:rsidRPr="005275DF">
        <w:rPr>
          <w:rStyle w:val="a9"/>
          <w:rFonts w:asciiTheme="minorBidi" w:hAnsiTheme="minorBidi"/>
          <w:rtl/>
        </w:rPr>
        <w:footnoteReference w:id="3180"/>
      </w:r>
      <w:r w:rsidRPr="005275DF">
        <w:rPr>
          <w:rFonts w:asciiTheme="minorBidi" w:hAnsiTheme="minorBidi"/>
          <w:rtl/>
        </w:rPr>
        <w:t>סכנת נפשות</w:t>
      </w:r>
      <w:r w:rsidRPr="005275DF">
        <w:rPr>
          <w:rStyle w:val="a9"/>
          <w:rFonts w:asciiTheme="minorBidi" w:hAnsiTheme="minorBidi"/>
          <w:rtl/>
        </w:rPr>
        <w:footnoteReference w:id="3181"/>
      </w:r>
      <w:r w:rsidRPr="005275DF">
        <w:rPr>
          <w:rFonts w:asciiTheme="minorBidi" w:hAnsiTheme="minorBidi"/>
          <w:rtl/>
        </w:rPr>
        <w:t>.</w:t>
      </w:r>
      <w:r w:rsidRPr="005275DF">
        <w:rPr>
          <w:rFonts w:asciiTheme="minorBidi" w:hAnsiTheme="minorBidi"/>
          <w:sz w:val="18"/>
          <w:szCs w:val="18"/>
          <w:rtl/>
        </w:rPr>
        <w:t xml:space="preserve"> הגה: ועיין לקמן סימן תרי"ח</w:t>
      </w:r>
      <w:r w:rsidRPr="005275DF">
        <w:rPr>
          <w:rFonts w:asciiTheme="minorBidi" w:hAnsiTheme="minorBidi"/>
          <w:rtl/>
        </w:rPr>
        <w:t xml:space="preserve">. </w:t>
      </w:r>
    </w:p>
    <w:p w14:paraId="3380C96C" w14:textId="77777777" w:rsidR="006A4BF8" w:rsidRPr="005275DF" w:rsidRDefault="006A4BF8" w:rsidP="00434A6A">
      <w:pPr>
        <w:rPr>
          <w:rFonts w:asciiTheme="minorBidi" w:hAnsiTheme="minorBidi"/>
          <w:rtl/>
        </w:rPr>
      </w:pPr>
    </w:p>
    <w:p w14:paraId="6EBBF233"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ו: מכות שונות שהן כמכה של חלל.</w:t>
      </w:r>
    </w:p>
    <w:p w14:paraId="3B4770AF" w14:textId="77777777" w:rsidR="006A4BF8" w:rsidRPr="005275DF" w:rsidRDefault="006A4BF8" w:rsidP="00434A6A">
      <w:pPr>
        <w:rPr>
          <w:rFonts w:asciiTheme="minorBidi" w:hAnsiTheme="minorBidi"/>
          <w:rtl/>
        </w:rPr>
      </w:pPr>
      <w:r w:rsidRPr="005275DF">
        <w:rPr>
          <w:rFonts w:asciiTheme="minorBidi" w:hAnsiTheme="minorBidi"/>
          <w:b/>
          <w:bCs/>
          <w:rtl/>
        </w:rPr>
        <w:t>שבת קט ע"א</w:t>
      </w:r>
      <w:r w:rsidRPr="005275DF">
        <w:rPr>
          <w:rStyle w:val="a9"/>
          <w:rFonts w:asciiTheme="minorBidi" w:hAnsiTheme="minorBidi"/>
          <w:b/>
          <w:bCs/>
          <w:rtl/>
        </w:rPr>
        <w:footnoteReference w:id="3182"/>
      </w:r>
      <w:r w:rsidRPr="005275DF">
        <w:rPr>
          <w:rFonts w:asciiTheme="minorBidi" w:hAnsiTheme="minorBidi"/>
          <w:b/>
          <w:bCs/>
          <w:rtl/>
        </w:rPr>
        <w:t>:</w:t>
      </w:r>
      <w:r w:rsidRPr="005275DF">
        <w:rPr>
          <w:rFonts w:asciiTheme="minorBidi" w:hAnsiTheme="minorBidi"/>
          <w:rtl/>
        </w:rPr>
        <w:t xml:space="preserve"> </w:t>
      </w:r>
      <w:r w:rsidRPr="005275DF">
        <w:rPr>
          <w:rFonts w:asciiTheme="minorBidi" w:hAnsiTheme="minorBidi"/>
          <w:u w:val="single"/>
          <w:rtl/>
        </w:rPr>
        <w:t>דאמר רב אדא בר מתנה אמר רב</w:t>
      </w:r>
      <w:r w:rsidRPr="005275DF">
        <w:rPr>
          <w:rFonts w:asciiTheme="minorBidi" w:hAnsiTheme="minorBidi"/>
          <w:rtl/>
        </w:rPr>
        <w:t>: גב היד וגב הרגל הרי הן כמכה של חלל ומחללין עליהן את השבת.</w:t>
      </w:r>
    </w:p>
    <w:p w14:paraId="3EBAC19E" w14:textId="77777777" w:rsidR="006A4BF8" w:rsidRPr="005275DF" w:rsidRDefault="006A4BF8" w:rsidP="00434A6A">
      <w:pPr>
        <w:rPr>
          <w:rFonts w:asciiTheme="minorBidi" w:hAnsiTheme="minorBidi"/>
          <w:rtl/>
        </w:rPr>
      </w:pPr>
      <w:r w:rsidRPr="005275DF">
        <w:rPr>
          <w:rFonts w:asciiTheme="minorBidi" w:hAnsiTheme="minorBidi"/>
          <w:b/>
          <w:bCs/>
          <w:rtl/>
        </w:rPr>
        <w:t xml:space="preserve">עבודה זרה יב ע"ב: </w:t>
      </w:r>
      <w:r w:rsidRPr="005275DF">
        <w:rPr>
          <w:rFonts w:asciiTheme="minorBidi" w:hAnsiTheme="minorBidi"/>
          <w:u w:val="single"/>
          <w:rtl/>
        </w:rPr>
        <w:t>דאמר רבי חנינא</w:t>
      </w:r>
      <w:r w:rsidRPr="005275DF">
        <w:rPr>
          <w:rFonts w:asciiTheme="minorBidi" w:hAnsiTheme="minorBidi"/>
          <w:rtl/>
        </w:rPr>
        <w:t>: הבולע נימא</w:t>
      </w:r>
      <w:r w:rsidRPr="005275DF">
        <w:rPr>
          <w:rStyle w:val="a9"/>
          <w:rFonts w:asciiTheme="minorBidi" w:hAnsiTheme="minorBidi"/>
          <w:rtl/>
        </w:rPr>
        <w:footnoteReference w:id="3183"/>
      </w:r>
      <w:r w:rsidRPr="005275DF">
        <w:rPr>
          <w:rFonts w:asciiTheme="minorBidi" w:hAnsiTheme="minorBidi"/>
          <w:rtl/>
        </w:rPr>
        <w:t xml:space="preserve"> של מים - מותר להחם לו חמין בשבת.</w:t>
      </w:r>
    </w:p>
    <w:p w14:paraId="1DA28E49" w14:textId="77777777" w:rsidR="006A4BF8" w:rsidRPr="005275DF" w:rsidRDefault="006A4BF8" w:rsidP="00434A6A">
      <w:pPr>
        <w:rPr>
          <w:rFonts w:asciiTheme="minorBidi" w:hAnsiTheme="minorBidi"/>
          <w:rtl/>
        </w:rPr>
      </w:pPr>
      <w:r w:rsidRPr="005275DF">
        <w:rPr>
          <w:rFonts w:asciiTheme="minorBidi" w:hAnsiTheme="minorBidi"/>
          <w:b/>
          <w:bCs/>
          <w:rtl/>
        </w:rPr>
        <w:t>יומא פג ע"ב:</w:t>
      </w:r>
      <w:r w:rsidRPr="005275DF">
        <w:rPr>
          <w:rFonts w:asciiTheme="minorBidi" w:hAnsiTheme="minorBidi"/>
          <w:rtl/>
        </w:rPr>
        <w:t xml:space="preserve"> דתניא: מי שנשכו נחש קורין לו רופא</w:t>
      </w:r>
      <w:r w:rsidRPr="005275DF">
        <w:rPr>
          <w:rStyle w:val="a9"/>
          <w:rFonts w:asciiTheme="minorBidi" w:hAnsiTheme="minorBidi"/>
          <w:rtl/>
        </w:rPr>
        <w:footnoteReference w:id="3184"/>
      </w:r>
      <w:r w:rsidRPr="005275DF">
        <w:rPr>
          <w:rFonts w:asciiTheme="minorBidi" w:hAnsiTheme="minorBidi"/>
          <w:rtl/>
        </w:rPr>
        <w:t xml:space="preserve"> ממקום למקום, ומקרעין לו את התרנגולת, וגוזזין לו את הכרישין... חמשה דברים נאמרו בכלב שוטה... דנכית</w:t>
      </w:r>
      <w:r w:rsidRPr="005275DF">
        <w:rPr>
          <w:rStyle w:val="a9"/>
          <w:rFonts w:asciiTheme="minorBidi" w:hAnsiTheme="minorBidi"/>
          <w:rtl/>
        </w:rPr>
        <w:footnoteReference w:id="3185"/>
      </w:r>
      <w:r w:rsidRPr="005275DF">
        <w:rPr>
          <w:rFonts w:asciiTheme="minorBidi" w:hAnsiTheme="minorBidi"/>
          <w:rtl/>
        </w:rPr>
        <w:t xml:space="preserve"> ליה - מיית.</w:t>
      </w:r>
    </w:p>
    <w:p w14:paraId="00394FBB"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1B457CE" w14:textId="77777777" w:rsidR="006A4BF8" w:rsidRPr="005275DF" w:rsidRDefault="006A4BF8" w:rsidP="00434A6A">
      <w:pPr>
        <w:rPr>
          <w:rFonts w:asciiTheme="minorBidi" w:hAnsiTheme="minorBidi"/>
          <w:rtl/>
        </w:rPr>
      </w:pPr>
      <w:r w:rsidRPr="005275DF">
        <w:rPr>
          <w:rFonts w:asciiTheme="minorBidi" w:hAnsiTheme="minorBidi"/>
          <w:rtl/>
        </w:rPr>
        <w:t xml:space="preserve">מכה שעל גב היד וגב הרגל וכן מי שבלע עלוקה וכן מי שנשכו כלב שוטה או אחד מזוחלי עפר הממיתים, אפילו ספק אם ממית אם לאו הרי הם כמכה של חלל. </w:t>
      </w:r>
    </w:p>
    <w:p w14:paraId="6E994D61" w14:textId="77777777" w:rsidR="006A4BF8" w:rsidRPr="005275DF" w:rsidRDefault="006A4BF8" w:rsidP="00434A6A">
      <w:pPr>
        <w:rPr>
          <w:rFonts w:asciiTheme="minorBidi" w:hAnsiTheme="minorBidi"/>
          <w:rtl/>
        </w:rPr>
      </w:pPr>
    </w:p>
    <w:p w14:paraId="0A3A7EC6"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ז: חולאים שונים שמחללין עליהם את השבת.</w:t>
      </w:r>
    </w:p>
    <w:p w14:paraId="011E2137" w14:textId="77777777" w:rsidR="006A4BF8" w:rsidRPr="005275DF" w:rsidRDefault="006A4BF8" w:rsidP="00434A6A">
      <w:pPr>
        <w:rPr>
          <w:rFonts w:asciiTheme="minorBidi" w:hAnsiTheme="minorBidi"/>
          <w:rtl/>
        </w:rPr>
      </w:pPr>
      <w:r w:rsidRPr="005275DF">
        <w:rPr>
          <w:rFonts w:asciiTheme="minorBidi" w:hAnsiTheme="minorBidi"/>
          <w:b/>
          <w:bCs/>
          <w:rtl/>
        </w:rPr>
        <w:t xml:space="preserve">עבודה זרה כח ע"א: </w:t>
      </w:r>
      <w:r w:rsidRPr="005275DF">
        <w:rPr>
          <w:rFonts w:asciiTheme="minorBidi" w:hAnsiTheme="minorBidi"/>
          <w:u w:val="single"/>
          <w:rtl/>
        </w:rPr>
        <w:t>אמר שמואל</w:t>
      </w:r>
      <w:r w:rsidRPr="005275DF">
        <w:rPr>
          <w:rFonts w:asciiTheme="minorBidi" w:hAnsiTheme="minorBidi"/>
          <w:rtl/>
        </w:rPr>
        <w:t>: האי פדעתא</w:t>
      </w:r>
      <w:r w:rsidRPr="005275DF">
        <w:rPr>
          <w:rStyle w:val="a9"/>
          <w:rFonts w:asciiTheme="minorBidi" w:hAnsiTheme="minorBidi"/>
          <w:rtl/>
        </w:rPr>
        <w:footnoteReference w:id="3186"/>
      </w:r>
      <w:r w:rsidRPr="005275DF">
        <w:rPr>
          <w:rFonts w:asciiTheme="minorBidi" w:hAnsiTheme="minorBidi"/>
          <w:rtl/>
        </w:rPr>
        <w:t xml:space="preserve"> סכנתא היא ומחללין עליה את השבת... </w:t>
      </w:r>
      <w:r w:rsidRPr="005275DF">
        <w:rPr>
          <w:rFonts w:asciiTheme="minorBidi" w:hAnsiTheme="minorBidi"/>
          <w:u w:val="single"/>
          <w:rtl/>
        </w:rPr>
        <w:t>אמר רב ספרא</w:t>
      </w:r>
      <w:r w:rsidRPr="005275DF">
        <w:rPr>
          <w:rFonts w:asciiTheme="minorBidi" w:hAnsiTheme="minorBidi"/>
          <w:rtl/>
        </w:rPr>
        <w:t>: האי עינבתא</w:t>
      </w:r>
      <w:r w:rsidRPr="005275DF">
        <w:rPr>
          <w:rStyle w:val="a9"/>
          <w:rFonts w:asciiTheme="minorBidi" w:hAnsiTheme="minorBidi"/>
          <w:rtl/>
        </w:rPr>
        <w:footnoteReference w:id="3187"/>
      </w:r>
      <w:r w:rsidRPr="005275DF">
        <w:rPr>
          <w:rFonts w:asciiTheme="minorBidi" w:hAnsiTheme="minorBidi"/>
          <w:rtl/>
        </w:rPr>
        <w:t xml:space="preserve"> פרוונקא דמלאכא דמותא היא.... </w:t>
      </w:r>
      <w:r w:rsidRPr="005275DF">
        <w:rPr>
          <w:rFonts w:asciiTheme="minorBidi" w:hAnsiTheme="minorBidi"/>
          <w:u w:val="single"/>
          <w:rtl/>
        </w:rPr>
        <w:t>אמר רבא:</w:t>
      </w:r>
      <w:r w:rsidRPr="005275DF">
        <w:rPr>
          <w:rFonts w:asciiTheme="minorBidi" w:hAnsiTheme="minorBidi"/>
          <w:rtl/>
        </w:rPr>
        <w:t xml:space="preserve"> האי סימטא</w:t>
      </w:r>
      <w:r w:rsidRPr="005275DF">
        <w:rPr>
          <w:rStyle w:val="a9"/>
          <w:rFonts w:asciiTheme="minorBidi" w:hAnsiTheme="minorBidi"/>
          <w:rtl/>
        </w:rPr>
        <w:footnoteReference w:id="3188"/>
      </w:r>
      <w:r w:rsidRPr="005275DF">
        <w:rPr>
          <w:rFonts w:asciiTheme="minorBidi" w:hAnsiTheme="minorBidi"/>
          <w:rtl/>
        </w:rPr>
        <w:t xml:space="preserve"> - פרוונקא דאשתא היא</w:t>
      </w:r>
      <w:r w:rsidRPr="005275DF">
        <w:rPr>
          <w:rStyle w:val="a9"/>
          <w:rFonts w:asciiTheme="minorBidi" w:hAnsiTheme="minorBidi"/>
          <w:rtl/>
        </w:rPr>
        <w:footnoteReference w:id="3189"/>
      </w:r>
      <w:r w:rsidRPr="005275DF">
        <w:rPr>
          <w:rFonts w:asciiTheme="minorBidi" w:hAnsiTheme="minorBidi"/>
          <w:rtl/>
        </w:rPr>
        <w:t xml:space="preserve">. </w:t>
      </w:r>
    </w:p>
    <w:p w14:paraId="7BECDFB1" w14:textId="77777777" w:rsidR="006A4BF8" w:rsidRPr="005275DF" w:rsidRDefault="006A4BF8" w:rsidP="00434A6A">
      <w:pPr>
        <w:rPr>
          <w:rFonts w:asciiTheme="minorBidi" w:hAnsiTheme="minorBidi"/>
          <w:rtl/>
        </w:rPr>
      </w:pPr>
      <w:r w:rsidRPr="005275DF">
        <w:rPr>
          <w:rFonts w:asciiTheme="minorBidi" w:hAnsiTheme="minorBidi"/>
          <w:b/>
          <w:bCs/>
          <w:rtl/>
        </w:rPr>
        <w:t xml:space="preserve">פסחים כה ע"ב: </w:t>
      </w:r>
      <w:r w:rsidRPr="005275DF">
        <w:rPr>
          <w:rFonts w:asciiTheme="minorBidi" w:hAnsiTheme="minorBidi"/>
          <w:rtl/>
        </w:rPr>
        <w:t>האי אישתא צמירתא</w:t>
      </w:r>
      <w:r w:rsidRPr="005275DF">
        <w:rPr>
          <w:rStyle w:val="a9"/>
          <w:rFonts w:asciiTheme="minorBidi" w:hAnsiTheme="minorBidi"/>
          <w:rtl/>
        </w:rPr>
        <w:footnoteReference w:id="3190"/>
      </w:r>
      <w:r w:rsidRPr="005275DF">
        <w:rPr>
          <w:rFonts w:asciiTheme="minorBidi" w:hAnsiTheme="minorBidi"/>
          <w:rtl/>
        </w:rPr>
        <w:t xml:space="preserve"> נמי כשעת הסכנה דמיא.</w:t>
      </w:r>
    </w:p>
    <w:p w14:paraId="494E89A7"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6503B6E3" w14:textId="77777777" w:rsidR="006A4BF8" w:rsidRPr="005275DF" w:rsidRDefault="006A4BF8" w:rsidP="00434A6A">
      <w:pPr>
        <w:rPr>
          <w:rFonts w:asciiTheme="minorBidi" w:hAnsiTheme="minorBidi"/>
          <w:sz w:val="16"/>
          <w:szCs w:val="16"/>
          <w:rtl/>
        </w:rPr>
      </w:pPr>
      <w:r w:rsidRPr="005275DF">
        <w:rPr>
          <w:rFonts w:asciiTheme="minorBidi" w:hAnsiTheme="minorBidi"/>
          <w:rtl/>
        </w:rPr>
        <w:t>מחללין שבת על כל מכה שנעשית מחמת ברזל ועל שחין הבא בפי הטבעת ועל סימטא והוא הנקרא פולונקר"ו בלע"ז ועל מי שיש בו קדחת חם ביותר</w:t>
      </w:r>
      <w:r w:rsidRPr="005275DF">
        <w:rPr>
          <w:rStyle w:val="a9"/>
          <w:rFonts w:asciiTheme="minorBidi" w:hAnsiTheme="minorBidi"/>
          <w:rtl/>
        </w:rPr>
        <w:footnoteReference w:id="3191"/>
      </w:r>
      <w:r w:rsidRPr="005275DF">
        <w:rPr>
          <w:rFonts w:asciiTheme="minorBidi" w:hAnsiTheme="minorBidi"/>
          <w:rtl/>
        </w:rPr>
        <w:t xml:space="preserve"> או עם סימור</w:t>
      </w:r>
      <w:r w:rsidRPr="005275DF">
        <w:rPr>
          <w:rStyle w:val="a9"/>
          <w:rFonts w:asciiTheme="minorBidi" w:hAnsiTheme="minorBidi"/>
          <w:rtl/>
        </w:rPr>
        <w:footnoteReference w:id="3192"/>
      </w:r>
      <w:r w:rsidRPr="005275DF">
        <w:rPr>
          <w:rFonts w:asciiTheme="minorBidi" w:hAnsiTheme="minorBidi"/>
          <w:rtl/>
        </w:rPr>
        <w:t xml:space="preserve">. </w:t>
      </w:r>
    </w:p>
    <w:p w14:paraId="5A8C1FE5" w14:textId="77777777" w:rsidR="006A4BF8" w:rsidRPr="005275DF" w:rsidRDefault="006A4BF8" w:rsidP="00434A6A">
      <w:pPr>
        <w:rPr>
          <w:rFonts w:asciiTheme="minorBidi" w:hAnsiTheme="minorBidi"/>
          <w:rtl/>
        </w:rPr>
      </w:pPr>
    </w:p>
    <w:p w14:paraId="4CB07094"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ח: מי שאחזו דם.</w:t>
      </w:r>
    </w:p>
    <w:p w14:paraId="27DBB62F"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2E8E970" w14:textId="77777777" w:rsidR="006A4BF8" w:rsidRPr="005275DF" w:rsidRDefault="006A4BF8" w:rsidP="00434A6A">
      <w:pPr>
        <w:rPr>
          <w:rFonts w:asciiTheme="minorBidi" w:hAnsiTheme="minorBidi"/>
          <w:rtl/>
        </w:rPr>
      </w:pPr>
      <w:r w:rsidRPr="005275DF">
        <w:rPr>
          <w:rFonts w:asciiTheme="minorBidi" w:hAnsiTheme="minorBidi"/>
          <w:rtl/>
        </w:rPr>
        <w:t xml:space="preserve">מי שאחזו דם מקיזין אותו אפילו הולך על רגליו ואפילו ביום הראשון. </w:t>
      </w:r>
      <w:r w:rsidRPr="005275DF">
        <w:rPr>
          <w:rFonts w:asciiTheme="minorBidi" w:hAnsiTheme="minorBidi"/>
          <w:sz w:val="16"/>
          <w:szCs w:val="16"/>
          <w:rtl/>
        </w:rPr>
        <w:t>{סמ"ג, הלכות קצובות, א"ח וה"ר שם טוב}</w:t>
      </w:r>
      <w:r w:rsidRPr="005275DF">
        <w:rPr>
          <w:rFonts w:asciiTheme="minorBidi" w:hAnsiTheme="minorBidi"/>
          <w:rtl/>
        </w:rPr>
        <w:t xml:space="preserve"> </w:t>
      </w:r>
    </w:p>
    <w:p w14:paraId="2C5048A7" w14:textId="77777777" w:rsidR="006A4BF8" w:rsidRPr="005275DF" w:rsidRDefault="006A4BF8" w:rsidP="00434A6A">
      <w:pPr>
        <w:rPr>
          <w:rFonts w:asciiTheme="minorBidi" w:hAnsiTheme="minorBidi"/>
          <w:rtl/>
        </w:rPr>
      </w:pPr>
    </w:p>
    <w:p w14:paraId="1EFFF5C7"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ט: החושש בעינו.</w:t>
      </w:r>
    </w:p>
    <w:p w14:paraId="5C84953A" w14:textId="77777777" w:rsidR="006A4BF8" w:rsidRPr="005275DF" w:rsidRDefault="006A4BF8" w:rsidP="00434A6A">
      <w:pPr>
        <w:rPr>
          <w:rFonts w:asciiTheme="minorBidi" w:hAnsiTheme="minorBidi"/>
          <w:rtl/>
        </w:rPr>
      </w:pPr>
      <w:r w:rsidRPr="005275DF">
        <w:rPr>
          <w:rFonts w:asciiTheme="minorBidi" w:hAnsiTheme="minorBidi"/>
          <w:b/>
          <w:bCs/>
          <w:rtl/>
        </w:rPr>
        <w:t xml:space="preserve">עבודה זרה כח ע"ב: </w:t>
      </w:r>
      <w:r w:rsidRPr="005275DF">
        <w:rPr>
          <w:rFonts w:asciiTheme="minorBidi" w:hAnsiTheme="minorBidi"/>
          <w:u w:val="single"/>
          <w:rtl/>
        </w:rPr>
        <w:t>רב יהודה</w:t>
      </w:r>
      <w:r w:rsidRPr="005275DF">
        <w:rPr>
          <w:rFonts w:asciiTheme="minorBidi" w:hAnsiTheme="minorBidi"/>
          <w:rtl/>
        </w:rPr>
        <w:t xml:space="preserve"> שרא למיכחל עינא בשבת... נפק מר שמואל ודרש: עין שמרדה מותר לכוחלה בשבת... כגון מאי</w:t>
      </w:r>
      <w:r w:rsidRPr="005275DF">
        <w:rPr>
          <w:rStyle w:val="a9"/>
          <w:rFonts w:asciiTheme="minorBidi" w:hAnsiTheme="minorBidi"/>
          <w:rtl/>
        </w:rPr>
        <w:footnoteReference w:id="3193"/>
      </w:r>
      <w:r w:rsidRPr="005275DF">
        <w:rPr>
          <w:rFonts w:asciiTheme="minorBidi" w:hAnsiTheme="minorBidi"/>
          <w:rtl/>
        </w:rPr>
        <w:t xml:space="preserve">? </w:t>
      </w:r>
      <w:r w:rsidRPr="005275DF">
        <w:rPr>
          <w:rFonts w:asciiTheme="minorBidi" w:hAnsiTheme="minorBidi"/>
          <w:u w:val="single"/>
          <w:rtl/>
        </w:rPr>
        <w:t>אמר רב יהודה</w:t>
      </w:r>
      <w:r w:rsidRPr="005275DF">
        <w:rPr>
          <w:rFonts w:asciiTheme="minorBidi" w:hAnsiTheme="minorBidi"/>
          <w:rtl/>
        </w:rPr>
        <w:t>: כגון רירא, דיצא</w:t>
      </w:r>
      <w:r w:rsidRPr="005275DF">
        <w:rPr>
          <w:rStyle w:val="a9"/>
          <w:rFonts w:asciiTheme="minorBidi" w:hAnsiTheme="minorBidi"/>
          <w:rtl/>
        </w:rPr>
        <w:footnoteReference w:id="3194"/>
      </w:r>
      <w:r w:rsidRPr="005275DF">
        <w:rPr>
          <w:rFonts w:asciiTheme="minorBidi" w:hAnsiTheme="minorBidi"/>
          <w:rtl/>
        </w:rPr>
        <w:t>, דמא, דימעתא, וקידחא ותחלת אוכלא, לאפוקי סוף אוכלא</w:t>
      </w:r>
      <w:r w:rsidRPr="005275DF">
        <w:rPr>
          <w:rStyle w:val="a9"/>
          <w:rFonts w:asciiTheme="minorBidi" w:hAnsiTheme="minorBidi"/>
          <w:rtl/>
        </w:rPr>
        <w:footnoteReference w:id="3195"/>
      </w:r>
      <w:r w:rsidRPr="005275DF">
        <w:rPr>
          <w:rFonts w:asciiTheme="minorBidi" w:hAnsiTheme="minorBidi"/>
          <w:rtl/>
        </w:rPr>
        <w:t xml:space="preserve"> ופצוחי עינא</w:t>
      </w:r>
      <w:r w:rsidRPr="005275DF">
        <w:rPr>
          <w:rStyle w:val="a9"/>
          <w:rFonts w:asciiTheme="minorBidi" w:hAnsiTheme="minorBidi"/>
          <w:rtl/>
        </w:rPr>
        <w:footnoteReference w:id="3196"/>
      </w:r>
      <w:r w:rsidRPr="005275DF">
        <w:rPr>
          <w:rFonts w:asciiTheme="minorBidi" w:hAnsiTheme="minorBidi"/>
          <w:rtl/>
        </w:rPr>
        <w:t xml:space="preserve"> דלא.</w:t>
      </w:r>
    </w:p>
    <w:p w14:paraId="655DCC47"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A72A372" w14:textId="77777777" w:rsidR="006A4BF8" w:rsidRPr="005275DF" w:rsidRDefault="006A4BF8" w:rsidP="00434A6A">
      <w:pPr>
        <w:rPr>
          <w:rFonts w:asciiTheme="minorBidi" w:hAnsiTheme="minorBidi"/>
          <w:rtl/>
        </w:rPr>
      </w:pPr>
      <w:r w:rsidRPr="005275DF">
        <w:rPr>
          <w:rFonts w:asciiTheme="minorBidi" w:hAnsiTheme="minorBidi"/>
          <w:rtl/>
        </w:rPr>
        <w:t>החושש בעיניו או בעינו ויש בו ציר או שהיו שותתות ממנו דמעות מחמת הכאב או שהיה שותת דם או שהיה בו רירא ותחלת אוכלא</w:t>
      </w:r>
      <w:r w:rsidRPr="005275DF">
        <w:rPr>
          <w:rFonts w:asciiTheme="minorBidi" w:hAnsiTheme="minorBidi"/>
          <w:sz w:val="16"/>
          <w:szCs w:val="16"/>
          <w:rtl/>
        </w:rPr>
        <w:t xml:space="preserve"> (פי' תחלת חולי)</w:t>
      </w:r>
      <w:r w:rsidRPr="005275DF">
        <w:rPr>
          <w:rFonts w:asciiTheme="minorBidi" w:hAnsiTheme="minorBidi"/>
          <w:rtl/>
        </w:rPr>
        <w:t xml:space="preserve"> מחללין עליו את השבת. </w:t>
      </w:r>
    </w:p>
    <w:p w14:paraId="7AF53C94" w14:textId="77777777" w:rsidR="006A4BF8" w:rsidRPr="005275DF" w:rsidRDefault="006A4BF8" w:rsidP="00434A6A">
      <w:pPr>
        <w:rPr>
          <w:rFonts w:asciiTheme="minorBidi" w:hAnsiTheme="minorBidi"/>
          <w:rtl/>
        </w:rPr>
      </w:pPr>
    </w:p>
    <w:p w14:paraId="2D21F6BF"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 אדם שאומר על חולי מסויים שהוא סכנה.</w:t>
      </w:r>
    </w:p>
    <w:p w14:paraId="0B03D655" w14:textId="77777777" w:rsidR="006A4BF8" w:rsidRPr="005275DF" w:rsidRDefault="006A4BF8" w:rsidP="00434A6A">
      <w:pPr>
        <w:rPr>
          <w:rFonts w:asciiTheme="minorBidi" w:hAnsiTheme="minorBidi"/>
          <w:rtl/>
        </w:rPr>
      </w:pPr>
      <w:r w:rsidRPr="005275DF">
        <w:rPr>
          <w:rFonts w:asciiTheme="minorBidi" w:hAnsiTheme="minorBidi"/>
          <w:b/>
          <w:bCs/>
          <w:rtl/>
        </w:rPr>
        <w:t xml:space="preserve">יומא פג ע"א: </w:t>
      </w:r>
      <w:r w:rsidRPr="005275DF">
        <w:rPr>
          <w:rFonts w:asciiTheme="minorBidi" w:hAnsiTheme="minorBidi"/>
          <w:u w:val="single"/>
          <w:rtl/>
        </w:rPr>
        <w:t>אמר רבי ינאי</w:t>
      </w:r>
      <w:r w:rsidRPr="005275DF">
        <w:rPr>
          <w:rFonts w:asciiTheme="minorBidi" w:hAnsiTheme="minorBidi"/>
          <w:rtl/>
        </w:rPr>
        <w:t>: חולה אומר צריך, ורופא אומר אינו צריך - שומעין לחולה, מאי טעמא - לב יודע מרת נפשו. פשיטא! מהו דתימא: רופא קים ליה טפי, קא משמע לן. רופא אומר צריך וחולה אומר אינו צריך - שומעין לרופא. מאי טעמא - תונבא</w:t>
      </w:r>
      <w:r w:rsidRPr="005275DF">
        <w:rPr>
          <w:rStyle w:val="a9"/>
          <w:rFonts w:asciiTheme="minorBidi" w:hAnsiTheme="minorBidi"/>
          <w:rtl/>
        </w:rPr>
        <w:footnoteReference w:id="3197"/>
      </w:r>
      <w:r w:rsidRPr="005275DF">
        <w:rPr>
          <w:rFonts w:asciiTheme="minorBidi" w:hAnsiTheme="minorBidi"/>
          <w:rtl/>
        </w:rPr>
        <w:t xml:space="preserve"> הוא דנקיט ליה.... </w:t>
      </w:r>
      <w:r w:rsidRPr="005275DF">
        <w:rPr>
          <w:rFonts w:asciiTheme="minorBidi" w:hAnsiTheme="minorBidi"/>
          <w:sz w:val="16"/>
          <w:szCs w:val="16"/>
          <w:u w:val="double"/>
          <w:rtl/>
        </w:rPr>
        <w:t>(פד:)</w:t>
      </w:r>
      <w:r w:rsidRPr="005275DF">
        <w:rPr>
          <w:rFonts w:asciiTheme="minorBidi" w:hAnsiTheme="minorBidi"/>
          <w:rtl/>
        </w:rPr>
        <w:t xml:space="preserve"> ואין עושין דברים הללו לא על ידי נכרים ולא על ידי כותיים, אלא על ידי גדולי ישראל. ואין אומרין- "יעשו דברים הללו" לא על פי נשים</w:t>
      </w:r>
      <w:r w:rsidRPr="005275DF">
        <w:rPr>
          <w:rStyle w:val="a9"/>
          <w:rFonts w:asciiTheme="minorBidi" w:hAnsiTheme="minorBidi"/>
          <w:rtl/>
        </w:rPr>
        <w:footnoteReference w:id="3198"/>
      </w:r>
      <w:r w:rsidRPr="005275DF">
        <w:rPr>
          <w:rFonts w:asciiTheme="minorBidi" w:hAnsiTheme="minorBidi"/>
          <w:rtl/>
        </w:rPr>
        <w:t xml:space="preserve"> ולא על פי כותיים, אבל מצטרפין לדעת אחרת</w:t>
      </w:r>
      <w:r w:rsidRPr="005275DF">
        <w:rPr>
          <w:rStyle w:val="a9"/>
          <w:rFonts w:asciiTheme="minorBidi" w:hAnsiTheme="minorBidi"/>
          <w:rtl/>
        </w:rPr>
        <w:footnoteReference w:id="3199"/>
      </w:r>
      <w:r w:rsidRPr="005275DF">
        <w:rPr>
          <w:rFonts w:asciiTheme="minorBidi" w:hAnsiTheme="minorBidi"/>
          <w:rtl/>
        </w:rPr>
        <w:t>.</w:t>
      </w:r>
    </w:p>
    <w:p w14:paraId="2D421F4C" w14:textId="77777777" w:rsidR="006A4BF8" w:rsidRPr="005275DF" w:rsidRDefault="006A4BF8" w:rsidP="00434A6A">
      <w:pPr>
        <w:rPr>
          <w:rFonts w:asciiTheme="minorBidi" w:hAnsiTheme="minorBidi"/>
          <w:u w:val="single"/>
          <w:rtl/>
        </w:rPr>
      </w:pPr>
      <w:r w:rsidRPr="005275DF">
        <w:rPr>
          <w:rFonts w:asciiTheme="minorBidi" w:hAnsiTheme="minorBidi"/>
          <w:u w:val="single"/>
          <w:rtl/>
        </w:rPr>
        <w:t>באומדנא דספק נפשות - בתר מי אזלינן:</w:t>
      </w:r>
    </w:p>
    <w:p w14:paraId="5CB764B9" w14:textId="77777777" w:rsidR="006A4BF8" w:rsidRPr="005275DF" w:rsidRDefault="006A4BF8" w:rsidP="00FF2D21">
      <w:pPr>
        <w:pStyle w:val="aa"/>
        <w:numPr>
          <w:ilvl w:val="0"/>
          <w:numId w:val="49"/>
        </w:numPr>
        <w:rPr>
          <w:rFonts w:asciiTheme="minorBidi" w:hAnsiTheme="minorBidi"/>
          <w:rtl/>
        </w:rPr>
      </w:pPr>
      <w:r w:rsidRPr="005275DF">
        <w:rPr>
          <w:rFonts w:asciiTheme="minorBidi" w:hAnsiTheme="minorBidi"/>
          <w:rtl/>
        </w:rPr>
        <w:t>רי"ף רמב"ן רא"ש רי"ו- אין הולכים אחר רוב דעות אלא ספק נפשות להקל.</w:t>
      </w:r>
      <w:r w:rsidRPr="005275DF">
        <w:rPr>
          <w:rFonts w:asciiTheme="minorBidi" w:hAnsiTheme="minorBidi"/>
          <w:color w:val="E36C0A" w:themeColor="accent6" w:themeShade="BF"/>
          <w:rtl/>
        </w:rPr>
        <w:t xml:space="preserve"> (וכ"פ בשו"ע</w:t>
      </w:r>
      <w:r w:rsidRPr="005275DF">
        <w:rPr>
          <w:rFonts w:asciiTheme="minorBidi" w:hAnsiTheme="minorBidi"/>
          <w:color w:val="E36C0A" w:themeColor="accent6" w:themeShade="BF"/>
          <w:sz w:val="16"/>
          <w:szCs w:val="16"/>
          <w:rtl/>
        </w:rPr>
        <w:t xml:space="preserve"> </w:t>
      </w:r>
      <w:r w:rsidRPr="005275DF">
        <w:rPr>
          <w:rFonts w:asciiTheme="minorBidi" w:hAnsiTheme="minorBidi"/>
          <w:sz w:val="16"/>
          <w:szCs w:val="16"/>
          <w:rtl/>
        </w:rPr>
        <w:t>[סי' תריח ס"ד]</w:t>
      </w:r>
      <w:r w:rsidRPr="005275DF">
        <w:rPr>
          <w:rFonts w:asciiTheme="minorBidi" w:hAnsiTheme="minorBidi"/>
          <w:color w:val="E36C0A" w:themeColor="accent6" w:themeShade="BF"/>
          <w:rtl/>
        </w:rPr>
        <w:t>)</w:t>
      </w:r>
    </w:p>
    <w:p w14:paraId="029FFD4E" w14:textId="77777777" w:rsidR="006A4BF8" w:rsidRPr="005275DF" w:rsidRDefault="006A4BF8" w:rsidP="00FF2D21">
      <w:pPr>
        <w:pStyle w:val="aa"/>
        <w:numPr>
          <w:ilvl w:val="0"/>
          <w:numId w:val="49"/>
        </w:numPr>
        <w:rPr>
          <w:rFonts w:asciiTheme="minorBidi" w:hAnsiTheme="minorBidi"/>
        </w:rPr>
      </w:pPr>
      <w:r w:rsidRPr="005275DF">
        <w:rPr>
          <w:rFonts w:asciiTheme="minorBidi" w:hAnsiTheme="minorBidi"/>
          <w:rtl/>
        </w:rPr>
        <w:t>שאילתות דרב אחאי רש"י רמב"ם</w:t>
      </w:r>
      <w:r w:rsidRPr="005275DF">
        <w:rPr>
          <w:rStyle w:val="a9"/>
          <w:rFonts w:asciiTheme="minorBidi" w:hAnsiTheme="minorBidi"/>
          <w:rtl/>
        </w:rPr>
        <w:footnoteReference w:id="3200"/>
      </w:r>
      <w:r w:rsidRPr="005275DF">
        <w:rPr>
          <w:rFonts w:asciiTheme="minorBidi" w:hAnsiTheme="minorBidi"/>
          <w:rtl/>
        </w:rPr>
        <w:t xml:space="preserve"> וסמ"ק- בתר רוב דעות.</w:t>
      </w:r>
    </w:p>
    <w:p w14:paraId="4EC5429F"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099AAD4" w14:textId="77777777" w:rsidR="006A4BF8" w:rsidRPr="005275DF" w:rsidRDefault="006A4BF8" w:rsidP="00434A6A">
      <w:pPr>
        <w:rPr>
          <w:rFonts w:asciiTheme="minorBidi" w:hAnsiTheme="minorBidi"/>
          <w:sz w:val="18"/>
          <w:szCs w:val="18"/>
          <w:rtl/>
        </w:rPr>
      </w:pPr>
      <w:r w:rsidRPr="005275DF">
        <w:rPr>
          <w:rFonts w:asciiTheme="minorBidi" w:hAnsiTheme="minorBidi"/>
          <w:rtl/>
        </w:rPr>
        <w:t>כל חולי שהרופאים אומרים שהוא סכנה אף על פי שהוא על הבשר מבחוץ מחללין עליו את השבת, ואם רופא אחד אומר צריך ורופא אחד אומר אינו צריך מחללין, ויש מי שאומר שאין צריך מומחה דכל בני אדם חשובים מומחין קצת וספק נפשות להקל</w:t>
      </w:r>
      <w:r w:rsidRPr="005275DF">
        <w:rPr>
          <w:rStyle w:val="a9"/>
          <w:rFonts w:asciiTheme="minorBidi" w:hAnsiTheme="minorBidi"/>
          <w:rtl/>
        </w:rPr>
        <w:footnoteReference w:id="3201"/>
      </w:r>
      <w:r w:rsidRPr="005275DF">
        <w:rPr>
          <w:rFonts w:asciiTheme="minorBidi" w:hAnsiTheme="minorBidi"/>
          <w:rtl/>
        </w:rPr>
        <w:t xml:space="preserve">. </w:t>
      </w:r>
      <w:r w:rsidRPr="005275DF">
        <w:rPr>
          <w:rFonts w:asciiTheme="minorBidi" w:hAnsiTheme="minorBidi"/>
          <w:sz w:val="18"/>
          <w:szCs w:val="18"/>
          <w:rtl/>
        </w:rPr>
        <w:t>הגה: וי"א דוקא ישראלים אבל סתם גוים שאינן רופאין לא מחזקינן אותם כבקיאים (אוה"ה). מי שרוצים לאנסו שיעבור עבירה גדולה אין מחללין עליו השבת כדי להצילו עיין לעיל סי' ש"ו</w:t>
      </w:r>
      <w:r w:rsidRPr="005275DF">
        <w:rPr>
          <w:rStyle w:val="a9"/>
          <w:rFonts w:asciiTheme="minorBidi" w:hAnsiTheme="minorBidi"/>
          <w:sz w:val="18"/>
          <w:szCs w:val="18"/>
          <w:rtl/>
        </w:rPr>
        <w:footnoteReference w:id="3202"/>
      </w:r>
      <w:r w:rsidRPr="005275DF">
        <w:rPr>
          <w:rFonts w:asciiTheme="minorBidi" w:hAnsiTheme="minorBidi"/>
          <w:sz w:val="18"/>
          <w:szCs w:val="18"/>
          <w:rtl/>
        </w:rPr>
        <w:t xml:space="preserve"> (ב"י בשם הרשב"א). </w:t>
      </w:r>
    </w:p>
    <w:p w14:paraId="223B4210" w14:textId="77777777" w:rsidR="006A4BF8" w:rsidRPr="005275DF" w:rsidRDefault="006A4BF8" w:rsidP="00434A6A">
      <w:pPr>
        <w:rPr>
          <w:rFonts w:asciiTheme="minorBidi" w:hAnsiTheme="minorBidi"/>
          <w:rtl/>
        </w:rPr>
      </w:pPr>
      <w:r w:rsidRPr="005275DF">
        <w:rPr>
          <w:rFonts w:asciiTheme="minorBidi" w:hAnsiTheme="minorBidi"/>
          <w:rtl/>
        </w:rPr>
        <w:t xml:space="preserve">- מג"א, (ו) רופא אחד אומר צריך - אם לא רצה החולה לקבל התרופה כופין אותו, חולה אומר צריך אני לתרופה פלונית ורופא אומר א"צ שומעין לחולה ואם הרופא אומר שאותו תרופה יזיקהו שומעין לרופא </w:t>
      </w:r>
      <w:r w:rsidRPr="005275DF">
        <w:rPr>
          <w:rFonts w:asciiTheme="minorBidi" w:hAnsiTheme="minorBidi"/>
          <w:sz w:val="16"/>
          <w:szCs w:val="16"/>
          <w:rtl/>
        </w:rPr>
        <w:t>(רדב"ז ח"א ס"ו, כנה"ג)</w:t>
      </w:r>
      <w:r w:rsidRPr="005275DF">
        <w:rPr>
          <w:rFonts w:asciiTheme="minorBidi" w:hAnsiTheme="minorBidi"/>
          <w:rtl/>
        </w:rPr>
        <w:t>.</w:t>
      </w:r>
    </w:p>
    <w:p w14:paraId="56621862" w14:textId="77777777" w:rsidR="006A4BF8" w:rsidRPr="005275DF" w:rsidRDefault="006A4BF8" w:rsidP="00434A6A">
      <w:pPr>
        <w:rPr>
          <w:rFonts w:asciiTheme="minorBidi" w:hAnsiTheme="minorBidi"/>
          <w:rtl/>
        </w:rPr>
      </w:pPr>
    </w:p>
    <w:p w14:paraId="0C4E5244"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יא: המתנה עם רפואת החולה ע"מ לא לחלל שבת.</w:t>
      </w:r>
    </w:p>
    <w:p w14:paraId="33B6B0A7" w14:textId="77777777" w:rsidR="006A4BF8" w:rsidRPr="005275DF" w:rsidRDefault="006A4BF8" w:rsidP="00434A6A">
      <w:pPr>
        <w:rPr>
          <w:rFonts w:asciiTheme="minorBidi" w:hAnsiTheme="minorBidi"/>
          <w:rtl/>
        </w:rPr>
      </w:pPr>
      <w:r w:rsidRPr="005275DF">
        <w:rPr>
          <w:rFonts w:asciiTheme="minorBidi" w:hAnsiTheme="minorBidi"/>
          <w:b/>
          <w:bCs/>
          <w:rtl/>
        </w:rPr>
        <w:t xml:space="preserve">יומא פג ע"א: </w:t>
      </w:r>
      <w:r w:rsidRPr="005275DF">
        <w:rPr>
          <w:rFonts w:asciiTheme="minorBidi" w:hAnsiTheme="minorBidi"/>
          <w:u w:val="double"/>
          <w:rtl/>
        </w:rPr>
        <w:t>משנה:</w:t>
      </w:r>
      <w:r w:rsidRPr="005275DF">
        <w:rPr>
          <w:rFonts w:asciiTheme="minorBidi" w:hAnsiTheme="minorBidi"/>
          <w:rtl/>
        </w:rPr>
        <w:t xml:space="preserve"> מי שאחזו... מפני שהוא ספק נפשות, וכל ספק נפשות דוחה את השבת...   </w:t>
      </w:r>
      <w:r w:rsidRPr="005275DF">
        <w:rPr>
          <w:rFonts w:asciiTheme="minorBidi" w:hAnsiTheme="minorBidi"/>
          <w:u w:val="double"/>
          <w:rtl/>
        </w:rPr>
        <w:t>גמ'</w:t>
      </w:r>
      <w:r w:rsidRPr="005275DF">
        <w:rPr>
          <w:rFonts w:asciiTheme="minorBidi" w:hAnsiTheme="minorBidi"/>
          <w:sz w:val="16"/>
          <w:szCs w:val="16"/>
          <w:u w:val="double"/>
          <w:rtl/>
        </w:rPr>
        <w:t xml:space="preserve"> (פד:):</w:t>
      </w:r>
      <w:r w:rsidRPr="005275DF">
        <w:rPr>
          <w:rFonts w:asciiTheme="minorBidi" w:hAnsiTheme="minorBidi"/>
          <w:rtl/>
        </w:rPr>
        <w:t xml:space="preserve"> למה לי תו למימר וכל ספק נפשות דוחה את השבת? </w:t>
      </w:r>
      <w:r w:rsidRPr="005275DF">
        <w:rPr>
          <w:rFonts w:asciiTheme="minorBidi" w:hAnsiTheme="minorBidi"/>
          <w:u w:val="single"/>
          <w:rtl/>
        </w:rPr>
        <w:t>אמר רב יהודה אמר רב</w:t>
      </w:r>
      <w:r w:rsidRPr="005275DF">
        <w:rPr>
          <w:rFonts w:asciiTheme="minorBidi" w:hAnsiTheme="minorBidi"/>
          <w:rtl/>
        </w:rPr>
        <w:t>: לא ספק שבת זו בלבד</w:t>
      </w:r>
      <w:r w:rsidRPr="005275DF">
        <w:rPr>
          <w:rStyle w:val="a9"/>
          <w:rFonts w:asciiTheme="minorBidi" w:hAnsiTheme="minorBidi"/>
          <w:rtl/>
        </w:rPr>
        <w:footnoteReference w:id="3203"/>
      </w:r>
      <w:r w:rsidRPr="005275DF">
        <w:rPr>
          <w:rFonts w:asciiTheme="minorBidi" w:hAnsiTheme="minorBidi"/>
          <w:rtl/>
        </w:rPr>
        <w:t xml:space="preserve"> אמרו אלא אפילו ספק שבת אחרת. היכי דמי? כגון דאמדוה</w:t>
      </w:r>
      <w:r w:rsidRPr="005275DF">
        <w:rPr>
          <w:rStyle w:val="a9"/>
          <w:rFonts w:asciiTheme="minorBidi" w:hAnsiTheme="minorBidi"/>
          <w:rtl/>
        </w:rPr>
        <w:footnoteReference w:id="3204"/>
      </w:r>
      <w:r w:rsidRPr="005275DF">
        <w:rPr>
          <w:rFonts w:asciiTheme="minorBidi" w:hAnsiTheme="minorBidi"/>
          <w:rtl/>
        </w:rPr>
        <w:t xml:space="preserve"> לתמניא יומי, ויומא קמא שבתא. מהו דתימא: ליעכב עד לאורתא כי היכי דלא ניחול עליה תרי שבתא, קא משמע לן.</w:t>
      </w:r>
    </w:p>
    <w:p w14:paraId="02A3C81E"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6040EB62" w14:textId="77777777" w:rsidR="006A4BF8" w:rsidRPr="005275DF" w:rsidRDefault="006A4BF8" w:rsidP="00434A6A">
      <w:pPr>
        <w:rPr>
          <w:rFonts w:asciiTheme="minorBidi" w:hAnsiTheme="minorBidi"/>
          <w:rtl/>
        </w:rPr>
      </w:pPr>
      <w:r w:rsidRPr="005275DF">
        <w:rPr>
          <w:rFonts w:asciiTheme="minorBidi" w:hAnsiTheme="minorBidi"/>
          <w:rtl/>
        </w:rPr>
        <w:t xml:space="preserve">חולה שיש בו סכנה שאמדוהו ביום שבת שצריך לעשות לו רפואה ידועה שיש בה מלאכת חילול שבת שמונה ימים אין אומרים נמתין עד הלילה ונמצא שלא לחלל עליו אלא שבת אחת אלא יעשו מיד אף על פי שמחללין עליו שתי שבתות. </w:t>
      </w:r>
      <w:r w:rsidRPr="005275DF">
        <w:rPr>
          <w:rFonts w:asciiTheme="minorBidi" w:hAnsiTheme="minorBidi"/>
          <w:sz w:val="18"/>
          <w:szCs w:val="18"/>
          <w:rtl/>
        </w:rPr>
        <w:t>(ולכבות הנר בשביל שישן ע"ל סימן רע"ח).</w:t>
      </w:r>
      <w:r w:rsidRPr="005275DF">
        <w:rPr>
          <w:rFonts w:asciiTheme="minorBidi" w:hAnsiTheme="minorBidi"/>
          <w:rtl/>
        </w:rPr>
        <w:t xml:space="preserve"> </w:t>
      </w:r>
    </w:p>
    <w:p w14:paraId="3592E931" w14:textId="77777777" w:rsidR="006A4BF8" w:rsidRPr="005275DF" w:rsidRDefault="006A4BF8" w:rsidP="00434A6A">
      <w:pPr>
        <w:rPr>
          <w:rFonts w:asciiTheme="minorBidi" w:hAnsiTheme="minorBidi"/>
          <w:rtl/>
        </w:rPr>
      </w:pPr>
    </w:p>
    <w:p w14:paraId="6008DE6E"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יב: ע"י מי מחללין את השבת בשעת הצורך.</w:t>
      </w:r>
    </w:p>
    <w:p w14:paraId="4F4A15CD" w14:textId="77777777" w:rsidR="006A4BF8" w:rsidRPr="005275DF" w:rsidRDefault="006A4BF8" w:rsidP="00434A6A">
      <w:pPr>
        <w:rPr>
          <w:rFonts w:asciiTheme="minorBidi" w:hAnsiTheme="minorBidi"/>
          <w:rtl/>
        </w:rPr>
      </w:pPr>
      <w:r w:rsidRPr="005275DF">
        <w:rPr>
          <w:rFonts w:asciiTheme="minorBidi" w:hAnsiTheme="minorBidi"/>
          <w:b/>
          <w:bCs/>
          <w:rtl/>
        </w:rPr>
        <w:t xml:space="preserve">יומא פג ע"א: </w:t>
      </w:r>
      <w:r w:rsidRPr="005275DF">
        <w:rPr>
          <w:rFonts w:asciiTheme="minorBidi" w:hAnsiTheme="minorBidi"/>
          <w:u w:val="single"/>
          <w:rtl/>
        </w:rPr>
        <w:t>אמר רבי ינאי</w:t>
      </w:r>
      <w:r w:rsidRPr="005275DF">
        <w:rPr>
          <w:rFonts w:asciiTheme="minorBidi" w:hAnsiTheme="minorBidi"/>
          <w:rtl/>
        </w:rPr>
        <w:t>: חולה אומר צריך, ורופא אומר אינו צריך - שומעין לחולה, מאי טעמא - לב יודע מרת נפשו. פשיטא! מהו דתימא: רופא קים ליה טפי, קא משמע לן. רופא אומר צריך וחולה אומר אינו צריך - שומעין לרופא. מאי טעמא - תונבא</w:t>
      </w:r>
      <w:r w:rsidRPr="005275DF">
        <w:rPr>
          <w:rStyle w:val="a9"/>
          <w:rFonts w:asciiTheme="minorBidi" w:hAnsiTheme="minorBidi"/>
          <w:rtl/>
        </w:rPr>
        <w:footnoteReference w:id="3205"/>
      </w:r>
      <w:r w:rsidRPr="005275DF">
        <w:rPr>
          <w:rFonts w:asciiTheme="minorBidi" w:hAnsiTheme="minorBidi"/>
          <w:rtl/>
        </w:rPr>
        <w:t xml:space="preserve"> הוא דנקיט ליה.... </w:t>
      </w:r>
      <w:r w:rsidRPr="005275DF">
        <w:rPr>
          <w:rFonts w:asciiTheme="minorBidi" w:hAnsiTheme="minorBidi"/>
          <w:sz w:val="16"/>
          <w:szCs w:val="16"/>
          <w:u w:val="double"/>
          <w:rtl/>
        </w:rPr>
        <w:t>(פד:)</w:t>
      </w:r>
      <w:r w:rsidRPr="005275DF">
        <w:rPr>
          <w:rFonts w:asciiTheme="minorBidi" w:hAnsiTheme="minorBidi"/>
          <w:rtl/>
        </w:rPr>
        <w:t xml:space="preserve"> </w:t>
      </w:r>
      <w:r w:rsidRPr="005275DF">
        <w:rPr>
          <w:rFonts w:asciiTheme="minorBidi" w:hAnsiTheme="minorBidi"/>
          <w:sz w:val="18"/>
          <w:szCs w:val="18"/>
          <w:rtl/>
        </w:rPr>
        <w:t xml:space="preserve"> </w:t>
      </w:r>
      <w:r w:rsidRPr="005275DF">
        <w:rPr>
          <w:rStyle w:val="a9"/>
          <w:rFonts w:asciiTheme="minorBidi" w:hAnsiTheme="minorBidi"/>
          <w:rtl/>
        </w:rPr>
        <w:footnoteReference w:id="3206"/>
      </w:r>
      <w:r w:rsidRPr="005275DF">
        <w:rPr>
          <w:rFonts w:asciiTheme="minorBidi" w:hAnsiTheme="minorBidi"/>
          <w:rtl/>
        </w:rPr>
        <w:t>ואין עושין דברים הללו לא על ידי גוים ולא על ידי קטנים</w:t>
      </w:r>
      <w:r w:rsidRPr="005275DF">
        <w:rPr>
          <w:rStyle w:val="a9"/>
          <w:rFonts w:asciiTheme="minorBidi" w:hAnsiTheme="minorBidi"/>
          <w:rtl/>
        </w:rPr>
        <w:footnoteReference w:id="3207"/>
      </w:r>
      <w:r w:rsidRPr="005275DF">
        <w:rPr>
          <w:rFonts w:asciiTheme="minorBidi" w:hAnsiTheme="minorBidi"/>
          <w:rtl/>
        </w:rPr>
        <w:t xml:space="preserve"> אלא על ידי גדולי ישראל</w:t>
      </w:r>
      <w:r w:rsidRPr="005275DF">
        <w:rPr>
          <w:rStyle w:val="a9"/>
          <w:rFonts w:asciiTheme="minorBidi" w:hAnsiTheme="minorBidi"/>
          <w:rtl/>
        </w:rPr>
        <w:footnoteReference w:id="3208"/>
      </w:r>
      <w:r w:rsidRPr="005275DF">
        <w:rPr>
          <w:rFonts w:asciiTheme="minorBidi" w:hAnsiTheme="minorBidi"/>
          <w:rtl/>
        </w:rPr>
        <w:t>, ואין אומרים לעשות דברים הללו על ידי נשים ולא על ידי כותיים מפני שמצטרפין לדעת אחרת.</w:t>
      </w:r>
    </w:p>
    <w:p w14:paraId="68332C44" w14:textId="77777777" w:rsidR="006A4BF8" w:rsidRPr="005275DF" w:rsidRDefault="006A4BF8" w:rsidP="00434A6A">
      <w:pPr>
        <w:rPr>
          <w:rFonts w:asciiTheme="minorBidi" w:hAnsiTheme="minorBidi"/>
          <w:rtl/>
        </w:rPr>
      </w:pPr>
      <w:r w:rsidRPr="005275DF">
        <w:rPr>
          <w:rFonts w:asciiTheme="minorBidi" w:hAnsiTheme="minorBidi"/>
          <w:rtl/>
        </w:rPr>
        <w:t>- ב"י, כ' רי"ו (ח"ט ני"ב ע"ג) שאם הנשים או הכותיים יעשו דברים אלו מעצמן אין מוחין בידם וכן אם אין אחרים שיעשו אלא הם, ופשוט הוא.</w:t>
      </w:r>
    </w:p>
    <w:p w14:paraId="0E3621E5" w14:textId="77777777" w:rsidR="006A4BF8" w:rsidRPr="005275DF" w:rsidRDefault="006A4BF8" w:rsidP="00434A6A">
      <w:pPr>
        <w:rPr>
          <w:rFonts w:asciiTheme="minorBidi" w:hAnsiTheme="minorBidi"/>
          <w:u w:val="single"/>
          <w:rtl/>
        </w:rPr>
      </w:pPr>
      <w:r w:rsidRPr="005275DF">
        <w:rPr>
          <w:rFonts w:asciiTheme="minorBidi" w:hAnsiTheme="minorBidi"/>
          <w:u w:val="single"/>
          <w:rtl/>
        </w:rPr>
        <w:t>האם צריך לשנות בשעת עשיית המלאכה לחולה כדי שהשבת תתחלל כמה שפחות:</w:t>
      </w:r>
    </w:p>
    <w:p w14:paraId="4DBF04F7" w14:textId="77777777" w:rsidR="006A4BF8" w:rsidRPr="005275DF" w:rsidRDefault="006A4BF8" w:rsidP="00FF2D21">
      <w:pPr>
        <w:pStyle w:val="aa"/>
        <w:numPr>
          <w:ilvl w:val="0"/>
          <w:numId w:val="50"/>
        </w:numPr>
        <w:rPr>
          <w:rFonts w:asciiTheme="minorBidi" w:hAnsiTheme="minorBidi"/>
          <w:rtl/>
        </w:rPr>
      </w:pPr>
      <w:r w:rsidRPr="005275DF">
        <w:rPr>
          <w:rFonts w:asciiTheme="minorBidi" w:hAnsiTheme="minorBidi"/>
          <w:rtl/>
        </w:rPr>
        <w:t>רמב"ם</w:t>
      </w:r>
      <w:r w:rsidRPr="005275DF">
        <w:rPr>
          <w:rFonts w:asciiTheme="minorBidi" w:hAnsiTheme="minorBidi"/>
          <w:sz w:val="16"/>
          <w:szCs w:val="16"/>
          <w:rtl/>
        </w:rPr>
        <w:t xml:space="preserve"> (להב' הה"מ)</w:t>
      </w:r>
      <w:r w:rsidRPr="005275DF">
        <w:rPr>
          <w:rFonts w:asciiTheme="minorBidi" w:hAnsiTheme="minorBidi"/>
          <w:rtl/>
        </w:rPr>
        <w:t xml:space="preserve">- ביולדת החמירו היכא דאפשר למיעבד למלאכה בשינוי בתנאי שלא יתאחרו צרכיה כלל בשינוי זה, אבל בשאר חולים לא החמירו. </w:t>
      </w:r>
      <w:r w:rsidRPr="005275DF">
        <w:rPr>
          <w:rFonts w:asciiTheme="minorBidi" w:hAnsiTheme="minorBidi"/>
          <w:color w:val="E36C0A" w:themeColor="accent6" w:themeShade="BF"/>
          <w:rtl/>
        </w:rPr>
        <w:t>(וכ"פ בשו"ע</w:t>
      </w:r>
      <w:r w:rsidRPr="005275DF">
        <w:rPr>
          <w:rStyle w:val="a9"/>
          <w:rFonts w:asciiTheme="minorBidi" w:hAnsiTheme="minorBidi"/>
          <w:rtl/>
        </w:rPr>
        <w:footnoteReference w:id="3209"/>
      </w:r>
      <w:r w:rsidRPr="005275DF">
        <w:rPr>
          <w:rFonts w:asciiTheme="minorBidi" w:hAnsiTheme="minorBidi"/>
          <w:color w:val="E36C0A" w:themeColor="accent6" w:themeShade="BF"/>
          <w:rtl/>
        </w:rPr>
        <w:t>)</w:t>
      </w:r>
    </w:p>
    <w:p w14:paraId="342E491B" w14:textId="77777777" w:rsidR="006A4BF8" w:rsidRPr="005275DF" w:rsidRDefault="006A4BF8" w:rsidP="00FF2D21">
      <w:pPr>
        <w:pStyle w:val="aa"/>
        <w:numPr>
          <w:ilvl w:val="0"/>
          <w:numId w:val="50"/>
        </w:numPr>
        <w:rPr>
          <w:rFonts w:asciiTheme="minorBidi" w:hAnsiTheme="minorBidi"/>
        </w:rPr>
      </w:pPr>
      <w:r w:rsidRPr="005275DF">
        <w:rPr>
          <w:rFonts w:asciiTheme="minorBidi" w:hAnsiTheme="minorBidi"/>
          <w:rtl/>
        </w:rPr>
        <w:t xml:space="preserve">רמב"ן ואו"ז- כל צרכי חולה אע"פ שיש בו סכנה היכא דאפשר למיעבד למלאכה בשינוי שלא יתחלל בה שבת משנין ואין מחללין והוא שלא יתאחרו צרכיו של חולה כלל בשינוי זה. </w:t>
      </w:r>
      <w:r w:rsidRPr="005275DF">
        <w:rPr>
          <w:rFonts w:asciiTheme="minorBidi" w:hAnsiTheme="minorBidi"/>
          <w:color w:val="00B0F0"/>
          <w:rtl/>
        </w:rPr>
        <w:t>(וכ"פ הרמ"א)</w:t>
      </w:r>
    </w:p>
    <w:p w14:paraId="6EB74E52" w14:textId="77777777" w:rsidR="006A4BF8" w:rsidRPr="005275DF" w:rsidRDefault="006A4BF8" w:rsidP="00434A6A">
      <w:pPr>
        <w:rPr>
          <w:rFonts w:asciiTheme="minorBidi" w:hAnsiTheme="minorBidi"/>
          <w:u w:val="single"/>
          <w:rtl/>
        </w:rPr>
      </w:pPr>
      <w:r w:rsidRPr="005275DF">
        <w:rPr>
          <w:rFonts w:asciiTheme="minorBidi" w:hAnsiTheme="minorBidi"/>
          <w:u w:val="single"/>
          <w:rtl/>
        </w:rPr>
        <w:t xml:space="preserve">מה הדין היכא דאפשר לעשות את המלאכות ע"י גוים </w:t>
      </w:r>
      <w:r w:rsidRPr="005275DF">
        <w:rPr>
          <w:rFonts w:asciiTheme="minorBidi" w:hAnsiTheme="minorBidi"/>
          <w:b/>
          <w:bCs/>
          <w:u w:val="single"/>
          <w:rtl/>
        </w:rPr>
        <w:t>בלי חשש</w:t>
      </w:r>
      <w:r w:rsidRPr="005275DF">
        <w:rPr>
          <w:rFonts w:asciiTheme="minorBidi" w:hAnsiTheme="minorBidi"/>
          <w:u w:val="single"/>
          <w:rtl/>
        </w:rPr>
        <w:t xml:space="preserve"> שיתעצלו וכדו':</w:t>
      </w:r>
    </w:p>
    <w:p w14:paraId="0944A4DE" w14:textId="77777777" w:rsidR="006A4BF8" w:rsidRPr="005275DF" w:rsidRDefault="006A4BF8" w:rsidP="00FF2D21">
      <w:pPr>
        <w:pStyle w:val="aa"/>
        <w:numPr>
          <w:ilvl w:val="0"/>
          <w:numId w:val="52"/>
        </w:numPr>
        <w:rPr>
          <w:rFonts w:asciiTheme="minorBidi" w:hAnsiTheme="minorBidi"/>
        </w:rPr>
      </w:pPr>
      <w:r w:rsidRPr="005275DF">
        <w:rPr>
          <w:rFonts w:asciiTheme="minorBidi" w:hAnsiTheme="minorBidi"/>
          <w:rtl/>
        </w:rPr>
        <w:t>תוס' ור"ן- אין עושים ע"י גוי, אלא מצווה</w:t>
      </w:r>
      <w:r w:rsidRPr="005275DF">
        <w:rPr>
          <w:rStyle w:val="a9"/>
          <w:rFonts w:asciiTheme="minorBidi" w:hAnsiTheme="minorBidi"/>
          <w:rtl/>
        </w:rPr>
        <w:footnoteReference w:id="3210"/>
      </w:r>
      <w:r w:rsidRPr="005275DF">
        <w:rPr>
          <w:rFonts w:asciiTheme="minorBidi" w:hAnsiTheme="minorBidi"/>
          <w:rtl/>
        </w:rPr>
        <w:t xml:space="preserve"> לעשות ע"י ישראל.</w:t>
      </w:r>
      <w:r w:rsidRPr="005275DF">
        <w:rPr>
          <w:rFonts w:asciiTheme="minorBidi" w:hAnsiTheme="minorBidi"/>
          <w:color w:val="E36C0A" w:themeColor="accent6" w:themeShade="BF"/>
          <w:rtl/>
        </w:rPr>
        <w:t xml:space="preserve"> (וכ"פ בשו"ע)</w:t>
      </w:r>
      <w:r w:rsidRPr="005275DF">
        <w:rPr>
          <w:rFonts w:asciiTheme="minorBidi" w:hAnsiTheme="minorBidi"/>
          <w:rtl/>
        </w:rPr>
        <w:t xml:space="preserve"> (וכ"פ הט"ז)</w:t>
      </w:r>
    </w:p>
    <w:p w14:paraId="29757C8A" w14:textId="77777777" w:rsidR="006A4BF8" w:rsidRPr="005275DF" w:rsidRDefault="006A4BF8" w:rsidP="00FF2D21">
      <w:pPr>
        <w:pStyle w:val="aa"/>
        <w:numPr>
          <w:ilvl w:val="0"/>
          <w:numId w:val="52"/>
        </w:numPr>
        <w:rPr>
          <w:rFonts w:asciiTheme="minorBidi" w:hAnsiTheme="minorBidi"/>
          <w:rtl/>
        </w:rPr>
      </w:pPr>
      <w:r w:rsidRPr="005275DF">
        <w:rPr>
          <w:rFonts w:asciiTheme="minorBidi" w:hAnsiTheme="minorBidi"/>
          <w:rtl/>
        </w:rPr>
        <w:t>ראבי"ה רי"ד ריא"ז ושלט"ג- כל היכא דאפשר בגוי בלא שיהוי עושין לו הכל על ידי גוי.</w:t>
      </w:r>
      <w:r w:rsidRPr="005275DF">
        <w:rPr>
          <w:rStyle w:val="a9"/>
          <w:rFonts w:asciiTheme="minorBidi" w:hAnsiTheme="minorBidi"/>
          <w:rtl/>
        </w:rPr>
        <w:t xml:space="preserve"> </w:t>
      </w:r>
      <w:r w:rsidRPr="005275DF">
        <w:rPr>
          <w:rFonts w:asciiTheme="minorBidi" w:hAnsiTheme="minorBidi"/>
          <w:color w:val="00B0F0"/>
          <w:rtl/>
        </w:rPr>
        <w:t>(וכ"פ הרמ"א</w:t>
      </w:r>
      <w:r w:rsidRPr="005275DF">
        <w:rPr>
          <w:rStyle w:val="a9"/>
          <w:rFonts w:asciiTheme="minorBidi" w:hAnsiTheme="minorBidi"/>
          <w:rtl/>
        </w:rPr>
        <w:footnoteReference w:id="3211"/>
      </w:r>
      <w:r w:rsidRPr="005275DF">
        <w:rPr>
          <w:rFonts w:asciiTheme="minorBidi" w:hAnsiTheme="minorBidi"/>
          <w:color w:val="00B0F0"/>
          <w:rtl/>
        </w:rPr>
        <w:t>)</w:t>
      </w:r>
    </w:p>
    <w:p w14:paraId="1B379433"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E3D28BE" w14:textId="77777777" w:rsidR="006A4BF8" w:rsidRPr="005275DF" w:rsidRDefault="006A4BF8" w:rsidP="00434A6A">
      <w:pPr>
        <w:rPr>
          <w:rFonts w:asciiTheme="minorBidi" w:hAnsiTheme="minorBidi"/>
          <w:sz w:val="18"/>
          <w:szCs w:val="18"/>
          <w:rtl/>
        </w:rPr>
      </w:pPr>
      <w:r w:rsidRPr="005275DF">
        <w:rPr>
          <w:rFonts w:asciiTheme="minorBidi" w:hAnsiTheme="minorBidi"/>
          <w:rtl/>
        </w:rPr>
        <w:t>כשמחללין שבת על חולה שיש בו סכנה משתדלין שלא לעשות על ידי גוים וכותים</w:t>
      </w:r>
      <w:r w:rsidRPr="005275DF">
        <w:rPr>
          <w:rStyle w:val="a9"/>
          <w:rFonts w:asciiTheme="minorBidi" w:hAnsiTheme="minorBidi"/>
          <w:rtl/>
        </w:rPr>
        <w:footnoteReference w:id="3212"/>
      </w:r>
      <w:r w:rsidRPr="005275DF">
        <w:rPr>
          <w:rFonts w:asciiTheme="minorBidi" w:hAnsiTheme="minorBidi"/>
          <w:rtl/>
        </w:rPr>
        <w:t xml:space="preserve"> וקטנים ונשים אלא על ידי ישראל גדולים ובני דעת. </w:t>
      </w:r>
      <w:r w:rsidRPr="005275DF">
        <w:rPr>
          <w:rFonts w:asciiTheme="minorBidi" w:hAnsiTheme="minorBidi"/>
          <w:sz w:val="18"/>
          <w:szCs w:val="18"/>
          <w:rtl/>
        </w:rPr>
        <w:t xml:space="preserve">הגה: וי"א דאם אפשר לעשות בלא דיחוי ובלא איחור ע"י שינוי עושה ע"י שינוי (או"ז), ואם אפשר לעשות ע"י גוי בלא איחור כלל עושין ע"י גוי וכן נוהגים, אבל במקום דיש לחוש שיתעצל הגוי אין לעשות ע"י הגוי </w:t>
      </w:r>
      <w:r w:rsidRPr="005275DF">
        <w:rPr>
          <w:rStyle w:val="a9"/>
          <w:rFonts w:asciiTheme="minorBidi" w:hAnsiTheme="minorBidi"/>
          <w:sz w:val="18"/>
          <w:szCs w:val="18"/>
          <w:rtl/>
        </w:rPr>
        <w:footnoteReference w:id="3213"/>
      </w:r>
      <w:r w:rsidRPr="005275DF">
        <w:rPr>
          <w:rFonts w:asciiTheme="minorBidi" w:hAnsiTheme="minorBidi"/>
          <w:sz w:val="18"/>
          <w:szCs w:val="18"/>
          <w:rtl/>
        </w:rPr>
        <w:t xml:space="preserve">(תוס' ור"ן). </w:t>
      </w:r>
    </w:p>
    <w:p w14:paraId="4B50CE0D" w14:textId="77777777" w:rsidR="006A4BF8" w:rsidRPr="005275DF" w:rsidRDefault="006A4BF8" w:rsidP="00434A6A">
      <w:pPr>
        <w:rPr>
          <w:rFonts w:asciiTheme="minorBidi" w:hAnsiTheme="minorBidi"/>
          <w:rtl/>
        </w:rPr>
      </w:pPr>
      <w:r w:rsidRPr="005275DF">
        <w:rPr>
          <w:rFonts w:asciiTheme="minorBidi" w:hAnsiTheme="minorBidi"/>
          <w:rtl/>
        </w:rPr>
        <w:t xml:space="preserve">צריך להשלים (יב[ג]) בע' תקו, ואולי הוא יותר שייך לסע' יד. </w:t>
      </w:r>
    </w:p>
    <w:p w14:paraId="75FD9812" w14:textId="77777777" w:rsidR="006A4BF8" w:rsidRPr="005275DF" w:rsidRDefault="006A4BF8" w:rsidP="00434A6A">
      <w:pPr>
        <w:rPr>
          <w:rFonts w:asciiTheme="minorBidi" w:hAnsiTheme="minorBidi"/>
          <w:rtl/>
        </w:rPr>
      </w:pPr>
    </w:p>
    <w:p w14:paraId="1CBFD218"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יג: הזריז לחלל שבת במקום סכנה ה"ז משובח.</w:t>
      </w:r>
    </w:p>
    <w:p w14:paraId="05EB9766" w14:textId="77777777" w:rsidR="006A4BF8" w:rsidRPr="005275DF" w:rsidRDefault="006A4BF8" w:rsidP="00434A6A">
      <w:pPr>
        <w:rPr>
          <w:rFonts w:asciiTheme="minorBidi" w:hAnsiTheme="minorBidi"/>
          <w:rtl/>
        </w:rPr>
      </w:pPr>
      <w:r w:rsidRPr="005275DF">
        <w:rPr>
          <w:rFonts w:asciiTheme="minorBidi" w:hAnsiTheme="minorBidi"/>
          <w:b/>
          <w:bCs/>
          <w:rtl/>
        </w:rPr>
        <w:t xml:space="preserve">יומא פד ע"ב: </w:t>
      </w:r>
      <w:r w:rsidRPr="005275DF">
        <w:rPr>
          <w:rFonts w:asciiTheme="minorBidi" w:hAnsiTheme="minorBidi"/>
          <w:rtl/>
        </w:rPr>
        <w:t>תנו רבנן: מפקחין פקוח</w:t>
      </w:r>
      <w:r w:rsidRPr="005275DF">
        <w:rPr>
          <w:rStyle w:val="a9"/>
          <w:rFonts w:asciiTheme="minorBidi" w:hAnsiTheme="minorBidi"/>
          <w:rtl/>
        </w:rPr>
        <w:footnoteReference w:id="3214"/>
      </w:r>
      <w:r w:rsidRPr="005275DF">
        <w:rPr>
          <w:rFonts w:asciiTheme="minorBidi" w:hAnsiTheme="minorBidi"/>
          <w:rtl/>
        </w:rPr>
        <w:t xml:space="preserve"> נפש בשבת והזריז הרי זה משובח ואין צריך ליטול רשות מבית דין. הא כיצד? ראה תינוק שנפל לים - פורש מצודה ומעלהו. והזריז הרי זה משובח ואין צריך ליטול רשות מבית דין - ואף על גב דקא צייד כוורי</w:t>
      </w:r>
      <w:r w:rsidRPr="005275DF">
        <w:rPr>
          <w:rStyle w:val="a9"/>
          <w:rFonts w:asciiTheme="minorBidi" w:hAnsiTheme="minorBidi"/>
          <w:rtl/>
        </w:rPr>
        <w:footnoteReference w:id="3215"/>
      </w:r>
      <w:r w:rsidRPr="005275DF">
        <w:rPr>
          <w:rFonts w:asciiTheme="minorBidi" w:hAnsiTheme="minorBidi"/>
          <w:rtl/>
        </w:rPr>
        <w:t>. ראה תינוק שנפל לבור - עוקר חוליא</w:t>
      </w:r>
      <w:r w:rsidRPr="005275DF">
        <w:rPr>
          <w:rStyle w:val="a9"/>
          <w:rFonts w:asciiTheme="minorBidi" w:hAnsiTheme="minorBidi"/>
          <w:rtl/>
        </w:rPr>
        <w:footnoteReference w:id="3216"/>
      </w:r>
      <w:r w:rsidRPr="005275DF">
        <w:rPr>
          <w:rFonts w:asciiTheme="minorBidi" w:hAnsiTheme="minorBidi"/>
          <w:rtl/>
        </w:rPr>
        <w:t xml:space="preserve"> ומעלהו. והזריז הרי זה משובח ואין צריך ליטול רשות מבית דין - אף על גב דמתקן דרגא. ראה שננעלה דלת בפני תינוק</w:t>
      </w:r>
      <w:r w:rsidRPr="005275DF">
        <w:rPr>
          <w:rStyle w:val="a9"/>
          <w:rFonts w:asciiTheme="minorBidi" w:hAnsiTheme="minorBidi"/>
          <w:rtl/>
        </w:rPr>
        <w:footnoteReference w:id="3217"/>
      </w:r>
      <w:r w:rsidRPr="005275DF">
        <w:rPr>
          <w:rFonts w:asciiTheme="minorBidi" w:hAnsiTheme="minorBidi"/>
          <w:rtl/>
        </w:rPr>
        <w:t xml:space="preserve"> - שוברה ומוציאו, והזריז הרי זה משובח ואין צריך ליטול רשות מבית דין - ואף על גב דקא מיכוין למיתבר בשיפי</w:t>
      </w:r>
      <w:r w:rsidRPr="005275DF">
        <w:rPr>
          <w:rStyle w:val="a9"/>
          <w:rFonts w:asciiTheme="minorBidi" w:hAnsiTheme="minorBidi"/>
          <w:rtl/>
        </w:rPr>
        <w:footnoteReference w:id="3218"/>
      </w:r>
      <w:r w:rsidRPr="005275DF">
        <w:rPr>
          <w:rFonts w:asciiTheme="minorBidi" w:hAnsiTheme="minorBidi"/>
          <w:rtl/>
        </w:rPr>
        <w:t>... וצריכא, דאי אשמועינן ים - משום דאדהכי והכי</w:t>
      </w:r>
      <w:r w:rsidRPr="005275DF">
        <w:rPr>
          <w:rStyle w:val="a9"/>
          <w:rFonts w:asciiTheme="minorBidi" w:hAnsiTheme="minorBidi"/>
          <w:rtl/>
        </w:rPr>
        <w:footnoteReference w:id="3219"/>
      </w:r>
      <w:r w:rsidRPr="005275DF">
        <w:rPr>
          <w:rFonts w:asciiTheme="minorBidi" w:hAnsiTheme="minorBidi"/>
          <w:rtl/>
        </w:rPr>
        <w:t xml:space="preserve"> אזל ליה, אבל בור דקא יתיב - אימא לא, צריכא. ואי אשמועינן בור - משום דקא מיבעית, אבל ננעלה דלת - אפשר דיתיב בהאי גיסא ומשביש ליה</w:t>
      </w:r>
      <w:r w:rsidRPr="005275DF">
        <w:rPr>
          <w:rStyle w:val="a9"/>
          <w:rFonts w:asciiTheme="minorBidi" w:hAnsiTheme="minorBidi"/>
          <w:rtl/>
        </w:rPr>
        <w:footnoteReference w:id="3220"/>
      </w:r>
      <w:r w:rsidRPr="005275DF">
        <w:rPr>
          <w:rFonts w:asciiTheme="minorBidi" w:hAnsiTheme="minorBidi"/>
          <w:rtl/>
        </w:rPr>
        <w:t xml:space="preserve"> באמגוזי, צריכא.</w:t>
      </w:r>
    </w:p>
    <w:p w14:paraId="3A1BCBC4" w14:textId="77777777" w:rsidR="006A4BF8" w:rsidRPr="005275DF" w:rsidRDefault="006A4BF8" w:rsidP="00434A6A">
      <w:pPr>
        <w:rPr>
          <w:rFonts w:asciiTheme="minorBidi" w:hAnsiTheme="minorBidi"/>
          <w:rtl/>
        </w:rPr>
      </w:pPr>
      <w:r w:rsidRPr="005275DF">
        <w:rPr>
          <w:rFonts w:asciiTheme="minorBidi" w:hAnsiTheme="minorBidi"/>
          <w:rtl/>
        </w:rPr>
        <w:t>- רמב"ם</w:t>
      </w:r>
      <w:r w:rsidRPr="005275DF">
        <w:rPr>
          <w:rFonts w:asciiTheme="minorBidi" w:hAnsiTheme="minorBidi"/>
          <w:sz w:val="16"/>
          <w:szCs w:val="16"/>
          <w:rtl/>
        </w:rPr>
        <w:t xml:space="preserve"> (פ"ב הט"ז)</w:t>
      </w:r>
      <w:r w:rsidRPr="005275DF">
        <w:rPr>
          <w:rFonts w:asciiTheme="minorBidi" w:hAnsiTheme="minorBidi"/>
          <w:rtl/>
        </w:rPr>
        <w:t>, "נתכוין להעלות דגים והעלה דגים ותינוק פטור אפילו לא שמע שטבע הואיל והעלה תינוק עם הדגים פטור".</w:t>
      </w:r>
    </w:p>
    <w:p w14:paraId="57650262"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9193DD2" w14:textId="77777777" w:rsidR="006A4BF8" w:rsidRPr="005275DF" w:rsidRDefault="006A4BF8" w:rsidP="00434A6A">
      <w:pPr>
        <w:rPr>
          <w:rFonts w:asciiTheme="minorBidi" w:hAnsiTheme="minorBidi"/>
          <w:rtl/>
        </w:rPr>
      </w:pPr>
      <w:r w:rsidRPr="005275DF">
        <w:rPr>
          <w:rFonts w:asciiTheme="minorBidi" w:hAnsiTheme="minorBidi"/>
          <w:rtl/>
        </w:rPr>
        <w:t>כל הזריז לחלל שבת בדבר שיש בו סכנה הרי זה משובח אפילו אם מתקן עמו דבר אחר כגון שפירש מצודה להעלות תינוק שנפל לנהר וצד עמו דגים וכן כל כיוצא בזה</w:t>
      </w:r>
      <w:r w:rsidRPr="005275DF">
        <w:rPr>
          <w:rStyle w:val="a9"/>
          <w:rFonts w:asciiTheme="minorBidi" w:hAnsiTheme="minorBidi"/>
          <w:rtl/>
        </w:rPr>
        <w:footnoteReference w:id="3221"/>
      </w:r>
      <w:r w:rsidRPr="005275DF">
        <w:rPr>
          <w:rFonts w:asciiTheme="minorBidi" w:hAnsiTheme="minorBidi"/>
          <w:rtl/>
        </w:rPr>
        <w:t xml:space="preserve">. </w:t>
      </w:r>
    </w:p>
    <w:p w14:paraId="3865816C" w14:textId="77777777" w:rsidR="006A4BF8" w:rsidRPr="005275DF" w:rsidRDefault="006A4BF8" w:rsidP="00434A6A">
      <w:pPr>
        <w:rPr>
          <w:rFonts w:asciiTheme="minorBidi" w:hAnsiTheme="minorBidi"/>
          <w:rtl/>
        </w:rPr>
      </w:pPr>
    </w:p>
    <w:p w14:paraId="2922E7CC"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יד: חולה שצריך בשר.</w:t>
      </w:r>
    </w:p>
    <w:p w14:paraId="3B23559A" w14:textId="77777777" w:rsidR="006A4BF8" w:rsidRPr="005275DF" w:rsidRDefault="006A4BF8" w:rsidP="00434A6A">
      <w:pPr>
        <w:rPr>
          <w:rFonts w:asciiTheme="minorBidi" w:hAnsiTheme="minorBidi"/>
          <w:u w:val="single"/>
          <w:rtl/>
        </w:rPr>
      </w:pPr>
      <w:r w:rsidRPr="005275DF">
        <w:rPr>
          <w:rFonts w:asciiTheme="minorBidi" w:hAnsiTheme="minorBidi"/>
          <w:u w:val="single"/>
          <w:rtl/>
        </w:rPr>
        <w:t>האם שבת דחויה או הותרה אצל חולה שיש בו סכנה:</w:t>
      </w:r>
    </w:p>
    <w:p w14:paraId="5597BC47" w14:textId="77777777" w:rsidR="006A4BF8" w:rsidRPr="005275DF" w:rsidRDefault="006A4BF8" w:rsidP="00FF2D21">
      <w:pPr>
        <w:pStyle w:val="aa"/>
        <w:numPr>
          <w:ilvl w:val="0"/>
          <w:numId w:val="53"/>
        </w:numPr>
        <w:rPr>
          <w:rFonts w:asciiTheme="minorBidi" w:hAnsiTheme="minorBidi"/>
        </w:rPr>
      </w:pPr>
      <w:r w:rsidRPr="005275DF">
        <w:rPr>
          <w:rFonts w:asciiTheme="minorBidi" w:hAnsiTheme="minorBidi"/>
          <w:rtl/>
        </w:rPr>
        <w:t xml:space="preserve">(רמב"ם </w:t>
      </w:r>
      <w:r w:rsidRPr="005275DF">
        <w:rPr>
          <w:rFonts w:asciiTheme="minorBidi" w:hAnsiTheme="minorBidi"/>
          <w:sz w:val="16"/>
          <w:szCs w:val="16"/>
          <w:rtl/>
        </w:rPr>
        <w:t>להב' הב"י</w:t>
      </w:r>
      <w:r w:rsidRPr="005275DF">
        <w:rPr>
          <w:rFonts w:asciiTheme="minorBidi" w:hAnsiTheme="minorBidi"/>
          <w:rtl/>
        </w:rPr>
        <w:t xml:space="preserve">) רשב"א </w:t>
      </w:r>
      <w:r w:rsidRPr="005275DF">
        <w:rPr>
          <w:rFonts w:asciiTheme="minorBidi" w:hAnsiTheme="minorBidi"/>
          <w:sz w:val="16"/>
          <w:szCs w:val="16"/>
          <w:rtl/>
        </w:rPr>
        <w:t xml:space="preserve">(ח"ז סי' שמג) </w:t>
      </w:r>
      <w:r w:rsidRPr="005275DF">
        <w:rPr>
          <w:rFonts w:asciiTheme="minorBidi" w:hAnsiTheme="minorBidi"/>
          <w:rtl/>
        </w:rPr>
        <w:t>ור"ן- שבת דחויה היא אצל חולה שיב"ס ולא הותרה.</w:t>
      </w:r>
    </w:p>
    <w:p w14:paraId="391EC6A3" w14:textId="77777777" w:rsidR="006A4BF8" w:rsidRPr="005275DF" w:rsidRDefault="006A4BF8" w:rsidP="00FF2D21">
      <w:pPr>
        <w:pStyle w:val="aa"/>
        <w:numPr>
          <w:ilvl w:val="0"/>
          <w:numId w:val="53"/>
        </w:numPr>
        <w:rPr>
          <w:rFonts w:asciiTheme="minorBidi" w:hAnsiTheme="minorBidi"/>
        </w:rPr>
      </w:pPr>
      <w:r w:rsidRPr="005275DF">
        <w:rPr>
          <w:rFonts w:asciiTheme="minorBidi" w:hAnsiTheme="minorBidi"/>
          <w:noProof/>
          <w:rtl/>
        </w:rPr>
        <mc:AlternateContent>
          <mc:Choice Requires="wps">
            <w:drawing>
              <wp:anchor distT="0" distB="0" distL="114300" distR="114300" simplePos="0" relativeHeight="251658240" behindDoc="0" locked="0" layoutInCell="1" allowOverlap="1" wp14:anchorId="3328C80E" wp14:editId="3E8F9DC6">
                <wp:simplePos x="0" y="0"/>
                <wp:positionH relativeFrom="column">
                  <wp:posOffset>4759738</wp:posOffset>
                </wp:positionH>
                <wp:positionV relativeFrom="paragraph">
                  <wp:posOffset>204025</wp:posOffset>
                </wp:positionV>
                <wp:extent cx="45719" cy="118266"/>
                <wp:effectExtent l="19050" t="0" r="31115" b="34290"/>
                <wp:wrapNone/>
                <wp:docPr id="13" name="Down Arrow 13"/>
                <wp:cNvGraphicFramePr/>
                <a:graphic xmlns:a="http://schemas.openxmlformats.org/drawingml/2006/main">
                  <a:graphicData uri="http://schemas.microsoft.com/office/word/2010/wordprocessingShape">
                    <wps:wsp>
                      <wps:cNvSpPr/>
                      <wps:spPr>
                        <a:xfrm>
                          <a:off x="0" y="0"/>
                          <a:ext cx="45719" cy="118266"/>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A694C5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3" o:spid="_x0000_s1026" type="#_x0000_t67" style="position:absolute;left:0;text-align:left;margin-left:374.8pt;margin-top:16.05pt;width:3.6pt;height:9.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" adj="17425" fillcolor="black [3200]" strokecolor="black [1600]" strokeweight="2pt"/>
            </w:pict>
          </mc:Fallback>
        </mc:AlternateContent>
      </w:r>
      <w:r w:rsidRPr="005275DF">
        <w:rPr>
          <w:rFonts w:asciiTheme="minorBidi" w:hAnsiTheme="minorBidi"/>
          <w:rtl/>
        </w:rPr>
        <w:t xml:space="preserve">מהר"ם </w:t>
      </w:r>
      <w:r w:rsidRPr="005275DF">
        <w:rPr>
          <w:rFonts w:asciiTheme="minorBidi" w:hAnsiTheme="minorBidi"/>
          <w:sz w:val="16"/>
          <w:szCs w:val="16"/>
          <w:rtl/>
        </w:rPr>
        <w:t>(סי' ר דפוס קרימונה)</w:t>
      </w:r>
      <w:r w:rsidRPr="005275DF">
        <w:rPr>
          <w:rFonts w:asciiTheme="minorBidi" w:hAnsiTheme="minorBidi"/>
          <w:rtl/>
        </w:rPr>
        <w:t>- שבת הותרה אצל חולה שיב"ס, לכן כל מלאכה מותרת כמו בחול. (וכ"כ המג"א</w:t>
      </w:r>
      <w:r w:rsidRPr="005275DF">
        <w:rPr>
          <w:rStyle w:val="a9"/>
          <w:rFonts w:asciiTheme="minorBidi" w:hAnsiTheme="minorBidi"/>
          <w:rtl/>
        </w:rPr>
        <w:footnoteReference w:id="3222"/>
      </w:r>
      <w:r w:rsidRPr="005275DF">
        <w:rPr>
          <w:rFonts w:asciiTheme="minorBidi" w:hAnsiTheme="minorBidi"/>
          <w:rtl/>
        </w:rPr>
        <w:t>)</w:t>
      </w:r>
    </w:p>
    <w:p w14:paraId="6CB722B2" w14:textId="77777777" w:rsidR="006A4BF8" w:rsidRPr="005275DF" w:rsidRDefault="006A4BF8" w:rsidP="00434A6A">
      <w:pPr>
        <w:rPr>
          <w:rFonts w:asciiTheme="minorBidi" w:hAnsiTheme="minorBidi"/>
          <w:u w:val="dotted"/>
          <w:rtl/>
        </w:rPr>
      </w:pPr>
      <w:r w:rsidRPr="005275DF">
        <w:rPr>
          <w:rFonts w:asciiTheme="minorBidi" w:hAnsiTheme="minorBidi"/>
          <w:u w:val="dotted"/>
          <w:rtl/>
        </w:rPr>
        <w:t>חולה שיש בו סכנה וצריך בשר - האם שוחטים בשבילו או שמאכילים אותו נבילה</w:t>
      </w:r>
      <w:r w:rsidRPr="005275DF">
        <w:rPr>
          <w:rStyle w:val="a9"/>
          <w:rFonts w:asciiTheme="minorBidi" w:hAnsiTheme="minorBidi"/>
          <w:u w:val="dotted"/>
          <w:rtl/>
        </w:rPr>
        <w:footnoteReference w:id="3223"/>
      </w:r>
      <w:r w:rsidRPr="005275DF">
        <w:rPr>
          <w:rFonts w:asciiTheme="minorBidi" w:hAnsiTheme="minorBidi"/>
          <w:u w:val="dotted"/>
          <w:rtl/>
        </w:rPr>
        <w:t xml:space="preserve">: </w:t>
      </w:r>
    </w:p>
    <w:p w14:paraId="48BAEB71" w14:textId="77777777" w:rsidR="006A4BF8" w:rsidRPr="005275DF" w:rsidRDefault="006A4BF8" w:rsidP="00FF2D21">
      <w:pPr>
        <w:pStyle w:val="aa"/>
        <w:numPr>
          <w:ilvl w:val="0"/>
          <w:numId w:val="53"/>
        </w:numPr>
        <w:rPr>
          <w:rFonts w:asciiTheme="minorBidi" w:hAnsiTheme="minorBidi"/>
        </w:rPr>
      </w:pPr>
      <w:r w:rsidRPr="005275DF">
        <w:rPr>
          <w:rFonts w:asciiTheme="minorBidi" w:hAnsiTheme="minorBidi"/>
          <w:rtl/>
        </w:rPr>
        <w:t xml:space="preserve">ראב"ד </w:t>
      </w:r>
      <w:r w:rsidRPr="005275DF">
        <w:rPr>
          <w:rFonts w:asciiTheme="minorBidi" w:hAnsiTheme="minorBidi"/>
          <w:sz w:val="16"/>
          <w:szCs w:val="16"/>
          <w:rtl/>
        </w:rPr>
        <w:t>(תשו' ופסקים סי' מט)</w:t>
      </w:r>
      <w:r w:rsidRPr="005275DF">
        <w:rPr>
          <w:rFonts w:asciiTheme="minorBidi" w:hAnsiTheme="minorBidi"/>
          <w:rtl/>
        </w:rPr>
        <w:t>- שוחטים, דאילו היה חול היינו מביאים לו נבלה? אלא מכיון ששבת הוא האיסור שעומד בפנינו הוא ששב היתר גמור ולא איסור נבילה</w:t>
      </w:r>
      <w:r w:rsidRPr="005275DF">
        <w:rPr>
          <w:rStyle w:val="a9"/>
          <w:rFonts w:asciiTheme="minorBidi" w:hAnsiTheme="minorBidi"/>
          <w:rtl/>
        </w:rPr>
        <w:footnoteReference w:id="3224"/>
      </w:r>
      <w:r w:rsidRPr="005275DF">
        <w:rPr>
          <w:rFonts w:asciiTheme="minorBidi" w:hAnsiTheme="minorBidi"/>
          <w:rtl/>
        </w:rPr>
        <w:t>.</w:t>
      </w:r>
    </w:p>
    <w:p w14:paraId="45E733BA" w14:textId="77777777" w:rsidR="006A4BF8" w:rsidRPr="005275DF" w:rsidRDefault="006A4BF8" w:rsidP="00FF2D21">
      <w:pPr>
        <w:pStyle w:val="aa"/>
        <w:numPr>
          <w:ilvl w:val="0"/>
          <w:numId w:val="53"/>
        </w:numPr>
        <w:rPr>
          <w:rFonts w:asciiTheme="minorBidi" w:hAnsiTheme="minorBidi"/>
        </w:rPr>
      </w:pPr>
      <w:r w:rsidRPr="005275DF">
        <w:rPr>
          <w:rFonts w:asciiTheme="minorBidi" w:hAnsiTheme="minorBidi"/>
          <w:rtl/>
        </w:rPr>
        <w:t xml:space="preserve">מהר"ם- שוחטים, כמו שביו"ט שוחטין </w:t>
      </w:r>
      <w:r w:rsidRPr="005275DF">
        <w:rPr>
          <w:rFonts w:asciiTheme="minorBidi" w:hAnsiTheme="minorBidi"/>
          <w:sz w:val="16"/>
          <w:szCs w:val="16"/>
          <w:rtl/>
        </w:rPr>
        <w:t>(אע"ג דאיכא עשה ולא תעשה)</w:t>
      </w:r>
      <w:r w:rsidRPr="005275DF">
        <w:rPr>
          <w:rFonts w:asciiTheme="minorBidi" w:hAnsiTheme="minorBidi"/>
          <w:rtl/>
        </w:rPr>
        <w:t xml:space="preserve"> ולא אומרים נאכל נבלה </w:t>
      </w:r>
      <w:r w:rsidRPr="005275DF">
        <w:rPr>
          <w:rFonts w:asciiTheme="minorBidi" w:hAnsiTheme="minorBidi"/>
          <w:sz w:val="16"/>
          <w:szCs w:val="16"/>
          <w:rtl/>
        </w:rPr>
        <w:t>(ונעבור בלאו)</w:t>
      </w:r>
      <w:r w:rsidRPr="005275DF">
        <w:rPr>
          <w:rFonts w:asciiTheme="minorBidi" w:hAnsiTheme="minorBidi"/>
          <w:rtl/>
        </w:rPr>
        <w:t xml:space="preserve"> דהותרה מלאכ' אוכל נפש ביו"ט, הכא נמי משום ששבת הותרה אצל חולה לא אמרינן נאכילו נבילה. (וכ"כ המג"א והגר"א)</w:t>
      </w:r>
    </w:p>
    <w:p w14:paraId="51B85311" w14:textId="77777777" w:rsidR="006A4BF8" w:rsidRPr="005275DF" w:rsidRDefault="006A4BF8" w:rsidP="00FF2D21">
      <w:pPr>
        <w:pStyle w:val="aa"/>
        <w:numPr>
          <w:ilvl w:val="0"/>
          <w:numId w:val="53"/>
        </w:numPr>
        <w:rPr>
          <w:rFonts w:asciiTheme="minorBidi" w:hAnsiTheme="minorBidi"/>
        </w:rPr>
      </w:pPr>
      <w:r w:rsidRPr="005275DF">
        <w:rPr>
          <w:rFonts w:asciiTheme="minorBidi" w:hAnsiTheme="minorBidi"/>
          <w:rtl/>
        </w:rPr>
        <w:t>רא"ש- שוחטים, משום</w:t>
      </w:r>
      <w:r w:rsidRPr="005275DF">
        <w:rPr>
          <w:rStyle w:val="a9"/>
          <w:rFonts w:asciiTheme="minorBidi" w:hAnsiTheme="minorBidi"/>
          <w:rtl/>
        </w:rPr>
        <w:footnoteReference w:id="3225"/>
      </w:r>
      <w:r w:rsidRPr="005275DF">
        <w:rPr>
          <w:rFonts w:asciiTheme="minorBidi" w:hAnsiTheme="minorBidi"/>
          <w:rtl/>
        </w:rPr>
        <w:t xml:space="preserve"> שאם ידע החולה שיאכילוהו דבר איסור נפשו קצה בו וימנע מלאכול ויסתכן בעצמו.</w:t>
      </w:r>
    </w:p>
    <w:p w14:paraId="27578D9E" w14:textId="77777777" w:rsidR="006A4BF8" w:rsidRPr="005275DF" w:rsidRDefault="006A4BF8" w:rsidP="00FF2D21">
      <w:pPr>
        <w:pStyle w:val="aa"/>
        <w:numPr>
          <w:ilvl w:val="0"/>
          <w:numId w:val="53"/>
        </w:numPr>
        <w:rPr>
          <w:rFonts w:asciiTheme="minorBidi" w:hAnsiTheme="minorBidi"/>
        </w:rPr>
      </w:pPr>
      <w:r w:rsidRPr="005275DF">
        <w:rPr>
          <w:rFonts w:asciiTheme="minorBidi" w:hAnsiTheme="minorBidi"/>
          <w:rtl/>
        </w:rPr>
        <w:t xml:space="preserve">ר"ן- שוחטים, משום דלגבי חולה אין איסור נבילה קל מאיסור שבת </w:t>
      </w:r>
      <w:r w:rsidRPr="005275DF">
        <w:rPr>
          <w:rFonts w:asciiTheme="minorBidi" w:hAnsiTheme="minorBidi"/>
          <w:sz w:val="16"/>
          <w:szCs w:val="16"/>
          <w:rtl/>
        </w:rPr>
        <w:t xml:space="preserve">(אע"ג דנבילה איסור לאו ושבת איסור סקילה) </w:t>
      </w:r>
      <w:r w:rsidRPr="005275DF">
        <w:rPr>
          <w:rFonts w:asciiTheme="minorBidi" w:hAnsiTheme="minorBidi"/>
          <w:rtl/>
        </w:rPr>
        <w:t>משום דבנבילה עובר בלאו על כל זית וזית שבה</w:t>
      </w:r>
      <w:r w:rsidRPr="005275DF">
        <w:rPr>
          <w:rStyle w:val="a9"/>
          <w:rFonts w:asciiTheme="minorBidi" w:hAnsiTheme="minorBidi"/>
          <w:rtl/>
        </w:rPr>
        <w:footnoteReference w:id="3226"/>
      </w:r>
      <w:r w:rsidRPr="005275DF">
        <w:rPr>
          <w:rFonts w:asciiTheme="minorBidi" w:hAnsiTheme="minorBidi"/>
          <w:rtl/>
        </w:rPr>
        <w:t xml:space="preserve">. </w:t>
      </w:r>
    </w:p>
    <w:p w14:paraId="64E0A317" w14:textId="77777777" w:rsidR="006A4BF8" w:rsidRPr="005275DF" w:rsidRDefault="006A4BF8" w:rsidP="00FF2D21">
      <w:pPr>
        <w:pStyle w:val="aa"/>
        <w:numPr>
          <w:ilvl w:val="0"/>
          <w:numId w:val="53"/>
        </w:numPr>
        <w:rPr>
          <w:rFonts w:asciiTheme="minorBidi" w:hAnsiTheme="minorBidi"/>
          <w:rtl/>
        </w:rPr>
      </w:pPr>
      <w:r w:rsidRPr="005275DF">
        <w:rPr>
          <w:rFonts w:asciiTheme="minorBidi" w:hAnsiTheme="minorBidi"/>
          <w:rtl/>
        </w:rPr>
        <w:t>רדב"ז- שוחטים, משום דילמא ידע שהיה נבלה ויקוץ בה ויסתכן, ומשום שאין דיחוי שבת מוטל על החולה אלא על כל ישראל העומדים עליו וכיון שכן אינן רשאים להאכילו בידים דבר איסור כדי להקל חילול שבת מעליהם שאין אומרים לאדם חטא כדי שיזכה חברך</w:t>
      </w:r>
      <w:r w:rsidRPr="005275DF">
        <w:rPr>
          <w:rStyle w:val="a9"/>
          <w:rFonts w:asciiTheme="minorBidi" w:hAnsiTheme="minorBidi"/>
          <w:rtl/>
        </w:rPr>
        <w:footnoteReference w:id="3227"/>
      </w:r>
      <w:r w:rsidRPr="005275DF">
        <w:rPr>
          <w:rFonts w:asciiTheme="minorBidi" w:hAnsiTheme="minorBidi"/>
          <w:rtl/>
        </w:rPr>
        <w:t xml:space="preserve">. </w:t>
      </w:r>
    </w:p>
    <w:p w14:paraId="18DD8824" w14:textId="77777777" w:rsidR="006A4BF8" w:rsidRPr="005275DF" w:rsidRDefault="006A4BF8" w:rsidP="00FF2D21">
      <w:pPr>
        <w:pStyle w:val="aa"/>
        <w:numPr>
          <w:ilvl w:val="0"/>
          <w:numId w:val="53"/>
        </w:numPr>
        <w:rPr>
          <w:rFonts w:asciiTheme="minorBidi" w:hAnsiTheme="minorBidi"/>
        </w:rPr>
      </w:pPr>
      <w:r w:rsidRPr="005275DF">
        <w:rPr>
          <w:rFonts w:asciiTheme="minorBidi" w:hAnsiTheme="minorBidi"/>
          <w:rtl/>
        </w:rPr>
        <w:t>רשב"א- מאכילין אותו נבילה, ומ"מ אם אין שם נבילה לא אמרינן לגוי לשחוט כיון שהיא דחויה אצלו שהרי שנינו בברייתא אין עושין דברים הללו לא על ידי גוים וכו'.</w:t>
      </w:r>
    </w:p>
    <w:p w14:paraId="05BC9E4E" w14:textId="77777777" w:rsidR="006A4BF8" w:rsidRPr="005275DF" w:rsidRDefault="006A4BF8" w:rsidP="00FF2D21">
      <w:pPr>
        <w:pStyle w:val="aa"/>
        <w:numPr>
          <w:ilvl w:val="0"/>
          <w:numId w:val="53"/>
        </w:numPr>
        <w:rPr>
          <w:rFonts w:asciiTheme="minorBidi" w:hAnsiTheme="minorBidi"/>
          <w:color w:val="FF0000"/>
        </w:rPr>
      </w:pPr>
      <w:r w:rsidRPr="005275DF">
        <w:rPr>
          <w:rFonts w:asciiTheme="minorBidi" w:hAnsiTheme="minorBidi"/>
          <w:color w:val="FF0000"/>
          <w:rtl/>
        </w:rPr>
        <w:t>צריך לעיין באו"ז סי' קח אות א בתשובות הריצב"א</w:t>
      </w:r>
    </w:p>
    <w:p w14:paraId="3011C5EB"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4E288F6" w14:textId="77777777" w:rsidR="006A4BF8" w:rsidRPr="005275DF" w:rsidRDefault="006A4BF8" w:rsidP="00434A6A">
      <w:pPr>
        <w:rPr>
          <w:rFonts w:asciiTheme="minorBidi" w:hAnsiTheme="minorBidi"/>
          <w:rtl/>
        </w:rPr>
      </w:pPr>
      <w:r w:rsidRPr="005275DF">
        <w:rPr>
          <w:rFonts w:asciiTheme="minorBidi" w:hAnsiTheme="minorBidi"/>
          <w:rtl/>
        </w:rPr>
        <w:t>היה חולה שיש בו סכנה צריך בשר שוחטים לו ואין אומרים נאכילנו נבילה</w:t>
      </w:r>
      <w:r w:rsidRPr="005275DF">
        <w:rPr>
          <w:rStyle w:val="a9"/>
          <w:rFonts w:asciiTheme="minorBidi" w:hAnsiTheme="minorBidi"/>
          <w:rtl/>
        </w:rPr>
        <w:footnoteReference w:id="3228"/>
      </w:r>
      <w:r w:rsidRPr="005275DF">
        <w:rPr>
          <w:rFonts w:asciiTheme="minorBidi" w:hAnsiTheme="minorBidi"/>
          <w:rtl/>
        </w:rPr>
        <w:t xml:space="preserve">, אבל אם היה החולה צריך לאכילה לאלתר והנבילה מוכנת מיד והשחיטה מתאחרת לו מאכילין אותו הנבילה. </w:t>
      </w:r>
    </w:p>
    <w:p w14:paraId="71AD0EDE" w14:textId="77777777" w:rsidR="006A4BF8" w:rsidRPr="005275DF" w:rsidRDefault="006A4BF8" w:rsidP="00434A6A">
      <w:pPr>
        <w:rPr>
          <w:rFonts w:asciiTheme="minorBidi" w:hAnsiTheme="minorBidi"/>
          <w:color w:val="FF0000"/>
          <w:rtl/>
        </w:rPr>
      </w:pPr>
      <w:r w:rsidRPr="005275DF">
        <w:rPr>
          <w:rFonts w:asciiTheme="minorBidi" w:hAnsiTheme="minorBidi"/>
          <w:color w:val="FF0000"/>
          <w:rtl/>
        </w:rPr>
        <w:t>וכתב המ"ב (סקל"ט) שאם החולה אומר שאינו קץ באכילת נבלה, ויש נבילה מזומנת לפניו - נחלקו האחרונים. אך לעניין קטן בודאי נראה דטוב יותר להאכילו נבלה, מלשחוט עבורו בשבת. ובציץ אליעזר (ח"ח סימן טו סקכ"ג) מובא טעם נוסף שמאכלות אסורות מטמטמים את הלב, ועלולים להזיק לנשמת האדם. וכ"כ הנצי"ב במרומי שדה. ולפ"ז גם עבור קטן יש לשחוט ולא להאכילו נבלה. אך עיין בנשמת אברהם (שכח, סקל"ט) שכתב בשם הגרש"ז אויערבך שבשביל זה ודאי אסור לחלל שבת.</w:t>
      </w:r>
    </w:p>
    <w:p w14:paraId="1720621F" w14:textId="77777777" w:rsidR="006A4BF8" w:rsidRPr="005275DF" w:rsidRDefault="006A4BF8" w:rsidP="00434A6A">
      <w:pPr>
        <w:rPr>
          <w:rFonts w:asciiTheme="minorBidi" w:hAnsiTheme="minorBidi"/>
          <w:rtl/>
        </w:rPr>
      </w:pPr>
    </w:p>
    <w:p w14:paraId="50610252"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טו: לא לחשוש מעשיית "סתם" מלאכה.</w:t>
      </w:r>
    </w:p>
    <w:p w14:paraId="34A2F36F" w14:textId="77777777" w:rsidR="006A4BF8" w:rsidRPr="005275DF" w:rsidRDefault="006A4BF8" w:rsidP="00434A6A">
      <w:pPr>
        <w:rPr>
          <w:rFonts w:asciiTheme="minorBidi" w:hAnsiTheme="minorBidi"/>
          <w:rtl/>
        </w:rPr>
      </w:pPr>
      <w:r w:rsidRPr="005275DF">
        <w:rPr>
          <w:rFonts w:asciiTheme="minorBidi" w:hAnsiTheme="minorBidi"/>
          <w:b/>
          <w:bCs/>
          <w:rtl/>
        </w:rPr>
        <w:t xml:space="preserve">מנחות סד ע"א: </w:t>
      </w:r>
      <w:r w:rsidRPr="005275DF">
        <w:rPr>
          <w:rFonts w:asciiTheme="minorBidi" w:hAnsiTheme="minorBidi"/>
          <w:u w:val="single"/>
          <w:rtl/>
        </w:rPr>
        <w:t>אמר רבה</w:t>
      </w:r>
      <w:r w:rsidRPr="005275DF">
        <w:rPr>
          <w:rFonts w:asciiTheme="minorBidi" w:hAnsiTheme="minorBidi"/>
          <w:rtl/>
        </w:rPr>
        <w:t>: חולה שאמדוהו לגרוגרת אחת</w:t>
      </w:r>
      <w:r w:rsidRPr="005275DF">
        <w:rPr>
          <w:rStyle w:val="a9"/>
          <w:rFonts w:asciiTheme="minorBidi" w:hAnsiTheme="minorBidi"/>
          <w:rtl/>
        </w:rPr>
        <w:footnoteReference w:id="3229"/>
      </w:r>
      <w:r w:rsidRPr="005275DF">
        <w:rPr>
          <w:rFonts w:asciiTheme="minorBidi" w:hAnsiTheme="minorBidi"/>
          <w:rtl/>
        </w:rPr>
        <w:t xml:space="preserve">, ורצו עשרה בני אדם והביאו עשרה גרוגרות בבת אחת - פטורין, אפילו בזה אחר זה, אפילו קדם והבריא בראשונה. </w:t>
      </w:r>
    </w:p>
    <w:p w14:paraId="6A61B586"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417DCB78" w14:textId="77777777" w:rsidR="006A4BF8" w:rsidRPr="005275DF" w:rsidRDefault="006A4BF8" w:rsidP="00434A6A">
      <w:pPr>
        <w:rPr>
          <w:rFonts w:asciiTheme="minorBidi" w:hAnsiTheme="minorBidi"/>
          <w:rtl/>
        </w:rPr>
      </w:pPr>
      <w:r w:rsidRPr="005275DF">
        <w:rPr>
          <w:rFonts w:asciiTheme="minorBidi" w:hAnsiTheme="minorBidi"/>
          <w:rtl/>
        </w:rPr>
        <w:t xml:space="preserve">אמדוהו </w:t>
      </w:r>
      <w:r w:rsidRPr="005275DF">
        <w:rPr>
          <w:rFonts w:asciiTheme="minorBidi" w:hAnsiTheme="minorBidi"/>
          <w:sz w:val="16"/>
          <w:szCs w:val="16"/>
          <w:rtl/>
        </w:rPr>
        <w:t xml:space="preserve">(פי' התבוננו במחלתו ושיערו) </w:t>
      </w:r>
      <w:r w:rsidRPr="005275DF">
        <w:rPr>
          <w:rFonts w:asciiTheme="minorBidi" w:hAnsiTheme="minorBidi"/>
          <w:rtl/>
        </w:rPr>
        <w:t xml:space="preserve">הרופאים שצריך גרוגרת אחת ורצו עשרה והביאו לו כל אחד גרוגרת כולם פטורים ויש להם שכר טוב מאת ה' אפילו הבריא בראשונה. </w:t>
      </w:r>
    </w:p>
    <w:p w14:paraId="11F382C1" w14:textId="77777777" w:rsidR="006A4BF8" w:rsidRPr="005275DF" w:rsidRDefault="006A4BF8" w:rsidP="00434A6A">
      <w:pPr>
        <w:rPr>
          <w:rFonts w:asciiTheme="minorBidi" w:hAnsiTheme="minorBidi"/>
          <w:rtl/>
        </w:rPr>
      </w:pPr>
    </w:p>
    <w:p w14:paraId="45EBD684"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טז: מיעוט במלאכות מתי שמתאפשר.</w:t>
      </w:r>
    </w:p>
    <w:p w14:paraId="03916CD5" w14:textId="77777777" w:rsidR="006A4BF8" w:rsidRPr="005275DF" w:rsidRDefault="006A4BF8" w:rsidP="00434A6A">
      <w:pPr>
        <w:rPr>
          <w:rFonts w:asciiTheme="minorBidi" w:hAnsiTheme="minorBidi"/>
          <w:rtl/>
        </w:rPr>
      </w:pPr>
      <w:r w:rsidRPr="005275DF">
        <w:rPr>
          <w:rFonts w:asciiTheme="minorBidi" w:hAnsiTheme="minorBidi"/>
          <w:b/>
          <w:bCs/>
          <w:rtl/>
        </w:rPr>
        <w:t xml:space="preserve">מנחות סד ע"א: </w:t>
      </w:r>
      <w:r w:rsidRPr="005275DF">
        <w:rPr>
          <w:rFonts w:asciiTheme="minorBidi" w:hAnsiTheme="minorBidi"/>
          <w:u w:val="single"/>
          <w:rtl/>
        </w:rPr>
        <w:t>בעי רבא</w:t>
      </w:r>
      <w:r w:rsidRPr="005275DF">
        <w:rPr>
          <w:rFonts w:asciiTheme="minorBidi" w:hAnsiTheme="minorBidi"/>
          <w:rtl/>
        </w:rPr>
        <w:t>: חולה שאמדוהו לשתי גרוגרות, ויש שתי גרוגרות בשתי עוקצין ושלש בעוקץ אחת הי מינייהו מייתינן? שתים מייתינן דחזו ליה, או דלמא שלש מייתינן דקא ממעטא קצירה? פשיטא שלש מייתינן...</w:t>
      </w:r>
    </w:p>
    <w:p w14:paraId="7D08E9E9"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A029B3C" w14:textId="77777777" w:rsidR="006A4BF8" w:rsidRPr="005275DF" w:rsidRDefault="006A4BF8" w:rsidP="00434A6A">
      <w:pPr>
        <w:rPr>
          <w:rFonts w:asciiTheme="minorBidi" w:hAnsiTheme="minorBidi"/>
          <w:sz w:val="18"/>
          <w:szCs w:val="18"/>
          <w:rtl/>
        </w:rPr>
      </w:pPr>
      <w:r w:rsidRPr="005275DF">
        <w:rPr>
          <w:rFonts w:asciiTheme="minorBidi" w:hAnsiTheme="minorBidi"/>
          <w:rtl/>
        </w:rPr>
        <w:t xml:space="preserve">אמדוהו לשתי גרוגרות ולא מצאו אלא שתי גרוגרות בשני עוקצין ושלש בעוקץ אחד כורתים העוקץ שיש בו שלש ואם היו שתים בעוקץ אחד ושלש בעוקץ אחד לא יכרתו אלא העוקץ שיש בו שנים. </w:t>
      </w:r>
      <w:r w:rsidRPr="005275DF">
        <w:rPr>
          <w:rFonts w:asciiTheme="minorBidi" w:hAnsiTheme="minorBidi"/>
          <w:sz w:val="18"/>
          <w:szCs w:val="18"/>
          <w:rtl/>
        </w:rPr>
        <w:t xml:space="preserve">הגה: ואם הדבר בהול אין מדקדקין בכך שלא יבא לידי דיחוי ועיכוב. (הגהות מרדכי פרק מפנין). </w:t>
      </w:r>
    </w:p>
    <w:p w14:paraId="310A35EC" w14:textId="77777777" w:rsidR="006A4BF8" w:rsidRPr="005275DF" w:rsidRDefault="006A4BF8" w:rsidP="00434A6A">
      <w:pPr>
        <w:rPr>
          <w:rFonts w:asciiTheme="minorBidi" w:hAnsiTheme="minorBidi"/>
          <w:rtl/>
        </w:rPr>
      </w:pPr>
    </w:p>
    <w:p w14:paraId="6FC37280"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יז: חולה שנפל למשכב / שאין בו סכנה.</w:t>
      </w:r>
    </w:p>
    <w:p w14:paraId="380C9B8D"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קכט ע"א: </w:t>
      </w:r>
      <w:r w:rsidRPr="005275DF">
        <w:rPr>
          <w:rFonts w:asciiTheme="minorBidi" w:hAnsiTheme="minorBidi"/>
          <w:rtl/>
        </w:rPr>
        <w:t>כדרב עולא בריה דרב עילאי, דאמר: כל צרכי חולה נעשין על ידי ארמאי בשבת. וכדרב המנונא, דאמר רב המנונא: דבר שאין בו סכנה</w:t>
      </w:r>
      <w:r w:rsidRPr="005275DF">
        <w:rPr>
          <w:rStyle w:val="a9"/>
          <w:rFonts w:asciiTheme="minorBidi" w:hAnsiTheme="minorBidi"/>
          <w:rtl/>
        </w:rPr>
        <w:footnoteReference w:id="3230"/>
      </w:r>
      <w:r w:rsidRPr="005275DF">
        <w:rPr>
          <w:rFonts w:asciiTheme="minorBidi" w:hAnsiTheme="minorBidi"/>
          <w:rtl/>
        </w:rPr>
        <w:t xml:space="preserve"> - אומר לנכרי ועושה</w:t>
      </w:r>
      <w:r w:rsidRPr="005275DF">
        <w:rPr>
          <w:rStyle w:val="a9"/>
          <w:rFonts w:asciiTheme="minorBidi" w:hAnsiTheme="minorBidi"/>
          <w:rtl/>
        </w:rPr>
        <w:footnoteReference w:id="3231"/>
      </w:r>
      <w:r w:rsidRPr="005275DF">
        <w:rPr>
          <w:rFonts w:asciiTheme="minorBidi" w:hAnsiTheme="minorBidi"/>
          <w:rtl/>
        </w:rPr>
        <w:t>.</w:t>
      </w:r>
    </w:p>
    <w:p w14:paraId="56B83E39" w14:textId="77777777" w:rsidR="006A4BF8" w:rsidRPr="005275DF" w:rsidRDefault="006A4BF8" w:rsidP="00434A6A">
      <w:pPr>
        <w:rPr>
          <w:rFonts w:asciiTheme="minorBidi" w:hAnsiTheme="minorBidi"/>
          <w:rtl/>
        </w:rPr>
      </w:pPr>
      <w:r w:rsidRPr="005275DF">
        <w:rPr>
          <w:rFonts w:asciiTheme="minorBidi" w:hAnsiTheme="minorBidi"/>
          <w:b/>
          <w:bCs/>
          <w:rtl/>
        </w:rPr>
        <w:t xml:space="preserve">ביצה כב ע"א: </w:t>
      </w:r>
      <w:r w:rsidRPr="005275DF">
        <w:rPr>
          <w:rFonts w:asciiTheme="minorBidi" w:hAnsiTheme="minorBidi"/>
          <w:u w:val="single"/>
          <w:rtl/>
        </w:rPr>
        <w:t>בעא מיניה רב אשי מאמימר</w:t>
      </w:r>
      <w:r w:rsidRPr="005275DF">
        <w:rPr>
          <w:rFonts w:asciiTheme="minorBidi" w:hAnsiTheme="minorBidi"/>
          <w:rtl/>
        </w:rPr>
        <w:t xml:space="preserve">: מהו לכחול את העין ביום טוב? היכא דאיכא סכנה כגון רירא דיצא דמא דמעתא וקדחתא ותחלת אוכלא לא מבעיא לי דאפילו בשבת שרי. כי קמבעיא לי סוף אוכלא ופצוחי עינא מאי? </w:t>
      </w:r>
      <w:r w:rsidRPr="005275DF">
        <w:rPr>
          <w:rFonts w:asciiTheme="minorBidi" w:hAnsiTheme="minorBidi"/>
          <w:u w:val="single"/>
          <w:rtl/>
        </w:rPr>
        <w:t>אמר ליה:</w:t>
      </w:r>
      <w:r w:rsidRPr="005275DF">
        <w:rPr>
          <w:rFonts w:asciiTheme="minorBidi" w:hAnsiTheme="minorBidi"/>
          <w:rtl/>
        </w:rPr>
        <w:t xml:space="preserve"> אסור... אמימר שרי למכחל עינא מנכרי בשבתא. איכא דאמרי: אמימר גופיה כחל עינא מנכרי בשבתא. אמר ליה רב אשי לאמימר... אבל מר - קא מסייע בהדיה, דקא עמיץ ופתח!... ושניי ליה: מסייע אין בו ממש.</w:t>
      </w:r>
    </w:p>
    <w:p w14:paraId="7537EDEA" w14:textId="77777777" w:rsidR="006A4BF8" w:rsidRPr="005275DF" w:rsidRDefault="006A4BF8" w:rsidP="00434A6A">
      <w:pPr>
        <w:rPr>
          <w:rFonts w:asciiTheme="minorBidi" w:hAnsiTheme="minorBidi"/>
          <w:rtl/>
        </w:rPr>
      </w:pPr>
      <w:r w:rsidRPr="005275DF">
        <w:rPr>
          <w:rFonts w:asciiTheme="minorBidi" w:hAnsiTheme="minorBidi"/>
          <w:b/>
          <w:bCs/>
          <w:rtl/>
        </w:rPr>
        <w:t xml:space="preserve">עבודה זרה כח ע"ב: </w:t>
      </w:r>
      <w:r w:rsidRPr="005275DF">
        <w:rPr>
          <w:rFonts w:asciiTheme="minorBidi" w:hAnsiTheme="minorBidi"/>
          <w:u w:val="single"/>
          <w:rtl/>
        </w:rPr>
        <w:t>אמר רב זוטרא בר טוביה אמר רב</w:t>
      </w:r>
      <w:r w:rsidRPr="005275DF">
        <w:rPr>
          <w:rFonts w:asciiTheme="minorBidi" w:hAnsiTheme="minorBidi"/>
          <w:rtl/>
        </w:rPr>
        <w:t>: עין שמרדה</w:t>
      </w:r>
      <w:r w:rsidRPr="005275DF">
        <w:rPr>
          <w:rStyle w:val="a9"/>
          <w:rFonts w:asciiTheme="minorBidi" w:hAnsiTheme="minorBidi"/>
          <w:rtl/>
        </w:rPr>
        <w:footnoteReference w:id="3232"/>
      </w:r>
      <w:r w:rsidRPr="005275DF">
        <w:rPr>
          <w:rFonts w:asciiTheme="minorBidi" w:hAnsiTheme="minorBidi"/>
          <w:rtl/>
        </w:rPr>
        <w:t xml:space="preserve"> - מותר לכוחלה בשבת. סבור מיניה: הני מילי הוא דשחקי סמנין מאתמול אבל משחק בשבת ואתויי דרך רשות הרבים לא</w:t>
      </w:r>
      <w:r w:rsidRPr="005275DF">
        <w:rPr>
          <w:rStyle w:val="a9"/>
          <w:rFonts w:asciiTheme="minorBidi" w:hAnsiTheme="minorBidi"/>
          <w:rtl/>
        </w:rPr>
        <w:footnoteReference w:id="3233"/>
      </w:r>
      <w:r w:rsidRPr="005275DF">
        <w:rPr>
          <w:rFonts w:asciiTheme="minorBidi" w:hAnsiTheme="minorBidi"/>
          <w:rtl/>
        </w:rPr>
        <w:t xml:space="preserve">. </w:t>
      </w:r>
      <w:r w:rsidRPr="005275DF">
        <w:rPr>
          <w:rFonts w:asciiTheme="minorBidi" w:hAnsiTheme="minorBidi"/>
          <w:u w:val="single"/>
          <w:rtl/>
        </w:rPr>
        <w:t>א"ל ההוא מרבנן ורבי יעקב שמיה</w:t>
      </w:r>
      <w:r w:rsidRPr="005275DF">
        <w:rPr>
          <w:rFonts w:asciiTheme="minorBidi" w:hAnsiTheme="minorBidi"/>
          <w:rtl/>
        </w:rPr>
        <w:t xml:space="preserve"> לדידי מיפרשא מיניה דרב יהודה: אפילו מישחק בשבת ואתויי דרך רשות הרבים מותר</w:t>
      </w:r>
      <w:r w:rsidRPr="005275DF">
        <w:rPr>
          <w:rStyle w:val="a9"/>
          <w:rFonts w:asciiTheme="minorBidi" w:hAnsiTheme="minorBidi"/>
          <w:rtl/>
        </w:rPr>
        <w:footnoteReference w:id="3234"/>
      </w:r>
      <w:r w:rsidRPr="005275DF">
        <w:rPr>
          <w:rFonts w:asciiTheme="minorBidi" w:hAnsiTheme="minorBidi"/>
          <w:rtl/>
        </w:rPr>
        <w:t>. רב יהודה שרא למיכחל עינא בשבת... נפק מר שמואל ודרש: עין שמרדה מותר לכוחלה בשבת; מאי טעמא? דשורייני דעינא באובנתא דליבא תלו.</w:t>
      </w:r>
    </w:p>
    <w:p w14:paraId="7DAF28B5" w14:textId="77777777" w:rsidR="006A4BF8" w:rsidRPr="005275DF" w:rsidRDefault="006A4BF8" w:rsidP="00434A6A">
      <w:pPr>
        <w:rPr>
          <w:rFonts w:asciiTheme="minorBidi" w:hAnsiTheme="minorBidi"/>
          <w:u w:val="single"/>
          <w:rtl/>
        </w:rPr>
      </w:pPr>
      <w:r w:rsidRPr="005275DF">
        <w:rPr>
          <w:rFonts w:asciiTheme="minorBidi" w:hAnsiTheme="minorBidi"/>
          <w:u w:val="single"/>
          <w:rtl/>
        </w:rPr>
        <w:t>מה מותר לעשות בשביל חולה שאין בו סכנה</w:t>
      </w:r>
      <w:r w:rsidRPr="005275DF">
        <w:rPr>
          <w:rStyle w:val="a9"/>
          <w:rFonts w:asciiTheme="minorBidi" w:hAnsiTheme="minorBidi"/>
          <w:u w:val="single"/>
          <w:rtl/>
        </w:rPr>
        <w:footnoteReference w:id="3235"/>
      </w:r>
      <w:r w:rsidRPr="005275DF">
        <w:rPr>
          <w:rFonts w:asciiTheme="minorBidi" w:hAnsiTheme="minorBidi"/>
          <w:u w:val="single"/>
          <w:rtl/>
        </w:rPr>
        <w:t>:</w:t>
      </w:r>
    </w:p>
    <w:p w14:paraId="43B9ADF3" w14:textId="77777777" w:rsidR="006A4BF8" w:rsidRPr="005275DF" w:rsidRDefault="006A4BF8" w:rsidP="00FF2D21">
      <w:pPr>
        <w:pStyle w:val="aa"/>
        <w:numPr>
          <w:ilvl w:val="0"/>
          <w:numId w:val="54"/>
        </w:numPr>
        <w:rPr>
          <w:rFonts w:asciiTheme="minorBidi" w:hAnsiTheme="minorBidi"/>
        </w:rPr>
      </w:pPr>
      <w:r w:rsidRPr="005275DF">
        <w:rPr>
          <w:rFonts w:asciiTheme="minorBidi" w:hAnsiTheme="minorBidi"/>
          <w:rtl/>
        </w:rPr>
        <w:t xml:space="preserve">רמב"ן רשב"א </w:t>
      </w:r>
      <w:r w:rsidRPr="005275DF">
        <w:rPr>
          <w:rFonts w:asciiTheme="minorBidi" w:hAnsiTheme="minorBidi"/>
          <w:sz w:val="16"/>
          <w:szCs w:val="16"/>
          <w:rtl/>
        </w:rPr>
        <w:t>(בחידו', הביאו הה"מ)</w:t>
      </w:r>
      <w:r w:rsidRPr="005275DF">
        <w:rPr>
          <w:rFonts w:asciiTheme="minorBidi" w:hAnsiTheme="minorBidi"/>
          <w:rtl/>
        </w:rPr>
        <w:t>- אם יש לו סכנת אבר כל שבות מותר</w:t>
      </w:r>
      <w:r w:rsidRPr="005275DF">
        <w:rPr>
          <w:rFonts w:asciiTheme="minorBidi" w:hAnsiTheme="minorBidi"/>
          <w:sz w:val="16"/>
          <w:szCs w:val="16"/>
          <w:rtl/>
        </w:rPr>
        <w:t xml:space="preserve"> (בין שבות דאמירה לגוי בין שבות הנעשה ע"י ישראל)</w:t>
      </w:r>
      <w:r w:rsidRPr="005275DF">
        <w:rPr>
          <w:rFonts w:asciiTheme="minorBidi" w:hAnsiTheme="minorBidi"/>
          <w:rtl/>
        </w:rPr>
        <w:t>, אבל אם אין לו סכנת אבר מותרת אמירה לגוי או שבות דאית ביה מעשה ע"י שינוי</w:t>
      </w:r>
      <w:r w:rsidRPr="005275DF">
        <w:rPr>
          <w:rStyle w:val="a9"/>
          <w:rFonts w:asciiTheme="minorBidi" w:hAnsiTheme="minorBidi"/>
          <w:rtl/>
        </w:rPr>
        <w:footnoteReference w:id="3236"/>
      </w:r>
      <w:r w:rsidRPr="005275DF">
        <w:rPr>
          <w:rFonts w:asciiTheme="minorBidi" w:hAnsiTheme="minorBidi"/>
          <w:rtl/>
        </w:rPr>
        <w:t xml:space="preserve">. </w:t>
      </w:r>
      <w:r w:rsidRPr="005275DF">
        <w:rPr>
          <w:rFonts w:asciiTheme="minorBidi" w:hAnsiTheme="minorBidi"/>
          <w:color w:val="E36C0A" w:themeColor="accent6" w:themeShade="BF"/>
          <w:rtl/>
        </w:rPr>
        <w:t>(וכ"פ בשו"ע</w:t>
      </w:r>
      <w:r w:rsidRPr="005275DF">
        <w:rPr>
          <w:rStyle w:val="a9"/>
          <w:rFonts w:asciiTheme="minorBidi" w:hAnsiTheme="minorBidi"/>
          <w:rtl/>
        </w:rPr>
        <w:footnoteReference w:id="3237"/>
      </w:r>
      <w:r w:rsidRPr="005275DF">
        <w:rPr>
          <w:rFonts w:asciiTheme="minorBidi" w:hAnsiTheme="minorBidi"/>
          <w:color w:val="E36C0A" w:themeColor="accent6" w:themeShade="BF"/>
          <w:rtl/>
        </w:rPr>
        <w:t>)</w:t>
      </w:r>
    </w:p>
    <w:p w14:paraId="45532968" w14:textId="77777777" w:rsidR="006A4BF8" w:rsidRPr="005275DF" w:rsidRDefault="006A4BF8" w:rsidP="00FF2D21">
      <w:pPr>
        <w:pStyle w:val="aa"/>
        <w:numPr>
          <w:ilvl w:val="0"/>
          <w:numId w:val="54"/>
        </w:numPr>
        <w:rPr>
          <w:rFonts w:asciiTheme="minorBidi" w:hAnsiTheme="minorBidi"/>
          <w:rtl/>
        </w:rPr>
      </w:pPr>
      <w:r w:rsidRPr="005275DF">
        <w:rPr>
          <w:rFonts w:asciiTheme="minorBidi" w:hAnsiTheme="minorBidi"/>
          <w:rtl/>
        </w:rPr>
        <w:t>(רמב"ם</w:t>
      </w:r>
      <w:r w:rsidRPr="005275DF">
        <w:rPr>
          <w:rFonts w:asciiTheme="minorBidi" w:hAnsiTheme="minorBidi"/>
          <w:sz w:val="16"/>
          <w:szCs w:val="16"/>
          <w:rtl/>
        </w:rPr>
        <w:t xml:space="preserve"> להב' הטור</w:t>
      </w:r>
      <w:r w:rsidRPr="005275DF">
        <w:rPr>
          <w:rFonts w:asciiTheme="minorBidi" w:hAnsiTheme="minorBidi"/>
          <w:rtl/>
        </w:rPr>
        <w:t>) רשב"א</w:t>
      </w:r>
      <w:r w:rsidRPr="005275DF">
        <w:rPr>
          <w:rStyle w:val="a9"/>
          <w:rFonts w:asciiTheme="minorBidi" w:hAnsiTheme="minorBidi"/>
          <w:rtl/>
        </w:rPr>
        <w:footnoteReference w:id="3238"/>
      </w:r>
      <w:r w:rsidRPr="005275DF">
        <w:rPr>
          <w:rFonts w:asciiTheme="minorBidi" w:hAnsiTheme="minorBidi"/>
          <w:sz w:val="16"/>
          <w:szCs w:val="16"/>
          <w:rtl/>
        </w:rPr>
        <w:t xml:space="preserve"> (בתשו' ח"ג סי' ערב)</w:t>
      </w:r>
      <w:r w:rsidRPr="005275DF">
        <w:rPr>
          <w:rFonts w:asciiTheme="minorBidi" w:hAnsiTheme="minorBidi"/>
          <w:rtl/>
        </w:rPr>
        <w:t xml:space="preserve">- בין שיש לו סכנת אבר ובין אין לו מותר לעשות כל שבות </w:t>
      </w:r>
      <w:r w:rsidRPr="005275DF">
        <w:rPr>
          <w:rFonts w:asciiTheme="minorBidi" w:hAnsiTheme="minorBidi"/>
          <w:sz w:val="16"/>
          <w:szCs w:val="16"/>
          <w:rtl/>
        </w:rPr>
        <w:t>(בין שבות דאמירה לגוי בין שבות הנעשה ע"י ישראל)</w:t>
      </w:r>
      <w:r w:rsidRPr="005275DF">
        <w:rPr>
          <w:rStyle w:val="a9"/>
          <w:rFonts w:asciiTheme="minorBidi" w:hAnsiTheme="minorBidi"/>
          <w:rtl/>
        </w:rPr>
        <w:footnoteReference w:id="3239"/>
      </w:r>
      <w:r w:rsidRPr="005275DF">
        <w:rPr>
          <w:rFonts w:asciiTheme="minorBidi" w:hAnsiTheme="minorBidi"/>
          <w:rtl/>
        </w:rPr>
        <w:t>. (וכ"פ הדרכ"מ)</w:t>
      </w:r>
    </w:p>
    <w:p w14:paraId="2268445D" w14:textId="77777777" w:rsidR="006A4BF8" w:rsidRPr="005275DF" w:rsidRDefault="006A4BF8" w:rsidP="00FF2D21">
      <w:pPr>
        <w:pStyle w:val="aa"/>
        <w:numPr>
          <w:ilvl w:val="0"/>
          <w:numId w:val="54"/>
        </w:numPr>
        <w:rPr>
          <w:rFonts w:asciiTheme="minorBidi" w:hAnsiTheme="minorBidi"/>
          <w:rtl/>
        </w:rPr>
      </w:pPr>
      <w:r w:rsidRPr="005275DF">
        <w:rPr>
          <w:rFonts w:asciiTheme="minorBidi" w:hAnsiTheme="minorBidi"/>
          <w:rtl/>
        </w:rPr>
        <w:t>(רמב"ם</w:t>
      </w:r>
      <w:r w:rsidRPr="005275DF">
        <w:rPr>
          <w:rFonts w:asciiTheme="minorBidi" w:hAnsiTheme="minorBidi"/>
          <w:sz w:val="16"/>
          <w:szCs w:val="16"/>
          <w:rtl/>
        </w:rPr>
        <w:t xml:space="preserve"> להב' הה"מ</w:t>
      </w:r>
      <w:r w:rsidRPr="005275DF">
        <w:rPr>
          <w:rStyle w:val="a9"/>
          <w:rFonts w:asciiTheme="minorBidi" w:hAnsiTheme="minorBidi"/>
          <w:sz w:val="16"/>
          <w:szCs w:val="16"/>
          <w:rtl/>
        </w:rPr>
        <w:footnoteReference w:id="3240"/>
      </w:r>
      <w:r w:rsidRPr="005275DF">
        <w:rPr>
          <w:rFonts w:asciiTheme="minorBidi" w:hAnsiTheme="minorBidi"/>
          <w:rtl/>
        </w:rPr>
        <w:t>)- בחולי שהוא כולל כל הגוף</w:t>
      </w:r>
      <w:r w:rsidRPr="005275DF">
        <w:rPr>
          <w:rStyle w:val="a9"/>
          <w:rFonts w:asciiTheme="minorBidi" w:hAnsiTheme="minorBidi"/>
          <w:rtl/>
        </w:rPr>
        <w:footnoteReference w:id="3241"/>
      </w:r>
      <w:r w:rsidRPr="005275DF">
        <w:rPr>
          <w:rFonts w:asciiTheme="minorBidi" w:hAnsiTheme="minorBidi"/>
          <w:rtl/>
        </w:rPr>
        <w:t xml:space="preserve"> כל שבות מותר </w:t>
      </w:r>
      <w:r w:rsidRPr="005275DF">
        <w:rPr>
          <w:rFonts w:asciiTheme="minorBidi" w:hAnsiTheme="minorBidi"/>
          <w:sz w:val="16"/>
          <w:szCs w:val="16"/>
          <w:rtl/>
        </w:rPr>
        <w:t xml:space="preserve">(בין שבות דאמירה לגוי בין שבות הנעשה ע"י ישראל) </w:t>
      </w:r>
      <w:r w:rsidRPr="005275DF">
        <w:rPr>
          <w:rFonts w:asciiTheme="minorBidi" w:hAnsiTheme="minorBidi"/>
          <w:rtl/>
        </w:rPr>
        <w:t>אבל בחולי באבר אחד</w:t>
      </w:r>
      <w:r w:rsidRPr="005275DF">
        <w:rPr>
          <w:rStyle w:val="a9"/>
          <w:rFonts w:asciiTheme="minorBidi" w:hAnsiTheme="minorBidi"/>
          <w:rtl/>
        </w:rPr>
        <w:footnoteReference w:id="3242"/>
      </w:r>
      <w:r w:rsidRPr="005275DF">
        <w:rPr>
          <w:rFonts w:asciiTheme="minorBidi" w:hAnsiTheme="minorBidi"/>
          <w:rtl/>
        </w:rPr>
        <w:t xml:space="preserve"> מותר רק שבות דאמירה לגוי</w:t>
      </w:r>
      <w:r w:rsidRPr="005275DF">
        <w:rPr>
          <w:rStyle w:val="a9"/>
          <w:rFonts w:asciiTheme="minorBidi" w:hAnsiTheme="minorBidi"/>
          <w:rtl/>
        </w:rPr>
        <w:footnoteReference w:id="3243"/>
      </w:r>
      <w:r w:rsidRPr="005275DF">
        <w:rPr>
          <w:rFonts w:asciiTheme="minorBidi" w:hAnsiTheme="minorBidi"/>
          <w:rtl/>
        </w:rPr>
        <w:t>.</w:t>
      </w:r>
    </w:p>
    <w:p w14:paraId="15136580" w14:textId="77777777" w:rsidR="006A4BF8" w:rsidRPr="005275DF" w:rsidRDefault="006A4BF8" w:rsidP="00FF2D21">
      <w:pPr>
        <w:pStyle w:val="aa"/>
        <w:numPr>
          <w:ilvl w:val="0"/>
          <w:numId w:val="54"/>
        </w:numPr>
        <w:rPr>
          <w:rFonts w:asciiTheme="minorBidi" w:hAnsiTheme="minorBidi"/>
        </w:rPr>
      </w:pPr>
      <w:r w:rsidRPr="005275DF">
        <w:rPr>
          <w:rFonts w:asciiTheme="minorBidi" w:hAnsiTheme="minorBidi"/>
          <w:rtl/>
        </w:rPr>
        <w:t>(רמב"ם</w:t>
      </w:r>
      <w:r w:rsidRPr="005275DF">
        <w:rPr>
          <w:rFonts w:asciiTheme="minorBidi" w:hAnsiTheme="minorBidi"/>
          <w:sz w:val="16"/>
          <w:szCs w:val="16"/>
          <w:rtl/>
        </w:rPr>
        <w:t xml:space="preserve"> להב' הב"י והט"ז</w:t>
      </w:r>
      <w:r w:rsidRPr="005275DF">
        <w:rPr>
          <w:rStyle w:val="a9"/>
          <w:rFonts w:asciiTheme="minorBidi" w:hAnsiTheme="minorBidi"/>
          <w:rtl/>
        </w:rPr>
        <w:footnoteReference w:id="3244"/>
      </w:r>
      <w:r w:rsidRPr="005275DF">
        <w:rPr>
          <w:rFonts w:asciiTheme="minorBidi" w:hAnsiTheme="minorBidi"/>
          <w:rtl/>
        </w:rPr>
        <w:t xml:space="preserve">)- חולה שאיב"ס שיש לו חולי כולל כל הגוף בין שאינו כולל, בין שיש בו סכנת אבר בין שאין בו, בכל גוונא לא התירו שבות הנעשה על ידי ישראל שיש בו עיקר מלאכה שהוא נסמך לה </w:t>
      </w:r>
      <w:r w:rsidRPr="005275DF">
        <w:rPr>
          <w:rFonts w:asciiTheme="minorBidi" w:hAnsiTheme="minorBidi"/>
          <w:sz w:val="16"/>
          <w:szCs w:val="16"/>
          <w:rtl/>
        </w:rPr>
        <w:t>(כגון כוחל שאסור מפני שהוא ככותב או לעשות שום רפואה בסם דאיכא למיחש משום שחיקת סממנין)</w:t>
      </w:r>
      <w:r w:rsidRPr="005275DF">
        <w:rPr>
          <w:rFonts w:asciiTheme="minorBidi" w:hAnsiTheme="minorBidi"/>
          <w:rtl/>
        </w:rPr>
        <w:t xml:space="preserve"> אבל שבות שאין לו עיקר מלאכה שהוא נסמך עליה </w:t>
      </w:r>
      <w:r w:rsidRPr="005275DF">
        <w:rPr>
          <w:rFonts w:asciiTheme="minorBidi" w:hAnsiTheme="minorBidi"/>
          <w:sz w:val="16"/>
          <w:szCs w:val="16"/>
          <w:rtl/>
        </w:rPr>
        <w:t>(כגון להעלות אזנים ואונקלי ולהחזיר את השבר</w:t>
      </w:r>
      <w:r w:rsidRPr="005275DF">
        <w:rPr>
          <w:rStyle w:val="a9"/>
          <w:rFonts w:asciiTheme="minorBidi" w:hAnsiTheme="minorBidi"/>
          <w:rtl/>
        </w:rPr>
        <w:footnoteReference w:id="3245"/>
      </w:r>
      <w:r w:rsidRPr="005275DF">
        <w:rPr>
          <w:rFonts w:asciiTheme="minorBidi" w:hAnsiTheme="minorBidi"/>
          <w:sz w:val="16"/>
          <w:szCs w:val="16"/>
          <w:rtl/>
        </w:rPr>
        <w:t>)</w:t>
      </w:r>
      <w:r w:rsidRPr="005275DF">
        <w:rPr>
          <w:rFonts w:asciiTheme="minorBidi" w:hAnsiTheme="minorBidi"/>
          <w:rtl/>
        </w:rPr>
        <w:t xml:space="preserve"> מותר אפילו על ידי ישראל. </w:t>
      </w:r>
    </w:p>
    <w:p w14:paraId="24299E71" w14:textId="77777777" w:rsidR="006A4BF8" w:rsidRPr="005275DF" w:rsidRDefault="006A4BF8" w:rsidP="00FF2D21">
      <w:pPr>
        <w:pStyle w:val="aa"/>
        <w:numPr>
          <w:ilvl w:val="0"/>
          <w:numId w:val="54"/>
        </w:numPr>
        <w:rPr>
          <w:rFonts w:asciiTheme="minorBidi" w:hAnsiTheme="minorBidi"/>
        </w:rPr>
      </w:pPr>
      <w:r w:rsidRPr="005275DF">
        <w:rPr>
          <w:rFonts w:asciiTheme="minorBidi" w:hAnsiTheme="minorBidi"/>
          <w:rtl/>
        </w:rPr>
        <w:t>ר"ן- היכא דאיכא סכנת אבר שרי אפילו שבות על ידי ישראל, אבל כשאין סכנת אבר שרי ביה רק אמירה לגוי.</w:t>
      </w:r>
    </w:p>
    <w:p w14:paraId="6BB01EB4" w14:textId="77777777" w:rsidR="006A4BF8" w:rsidRPr="005275DF" w:rsidRDefault="006A4BF8" w:rsidP="00434A6A">
      <w:pPr>
        <w:rPr>
          <w:rFonts w:asciiTheme="minorBidi" w:hAnsiTheme="minorBidi"/>
        </w:rPr>
      </w:pPr>
      <w:r w:rsidRPr="005275DF">
        <w:rPr>
          <w:rFonts w:asciiTheme="minorBidi" w:hAnsiTheme="minorBidi"/>
          <w:rtl/>
        </w:rPr>
        <w:t xml:space="preserve">- ר"ן </w:t>
      </w:r>
      <w:r w:rsidRPr="005275DF">
        <w:rPr>
          <w:rFonts w:asciiTheme="minorBidi" w:hAnsiTheme="minorBidi"/>
          <w:sz w:val="16"/>
          <w:szCs w:val="16"/>
          <w:rtl/>
        </w:rPr>
        <w:t>(שבת לט:, הובא בב"י)</w:t>
      </w:r>
      <w:r w:rsidRPr="005275DF">
        <w:rPr>
          <w:rFonts w:asciiTheme="minorBidi" w:hAnsiTheme="minorBidi"/>
          <w:rtl/>
        </w:rPr>
        <w:t xml:space="preserve">, הא דשרי ע"י גוי ה"מ בחולה שהוא נופל מחמת חליו למשכב אבל במיחוש שאדם מתחזק בו והולך כבריא לא, ולא עוד אפילו דברים שהם מותרים לבריאים אסורים לו כל היכא שמעשיו מוכיחין שלרפואה הוא מתכוין, וזו היא ששנינו </w:t>
      </w:r>
      <w:r w:rsidRPr="005275DF">
        <w:rPr>
          <w:rFonts w:asciiTheme="minorBidi" w:hAnsiTheme="minorBidi"/>
          <w:sz w:val="16"/>
          <w:szCs w:val="16"/>
          <w:rtl/>
        </w:rPr>
        <w:t xml:space="preserve">(קיא.) </w:t>
      </w:r>
      <w:r w:rsidRPr="005275DF">
        <w:rPr>
          <w:rFonts w:asciiTheme="minorBidi" w:hAnsiTheme="minorBidi"/>
          <w:rtl/>
        </w:rPr>
        <w:t xml:space="preserve">החושש בשיניו לא יגמע בהם את החומץ. (וכ"כ הרשב"א בשם הרמב"ן </w:t>
      </w:r>
      <w:r w:rsidRPr="005275DF">
        <w:rPr>
          <w:rFonts w:asciiTheme="minorBidi" w:hAnsiTheme="minorBidi"/>
          <w:sz w:val="16"/>
          <w:szCs w:val="16"/>
          <w:rtl/>
        </w:rPr>
        <w:t>(הובא במ"מ [פ"ב ה"י])</w:t>
      </w:r>
      <w:r w:rsidRPr="005275DF">
        <w:rPr>
          <w:rFonts w:asciiTheme="minorBidi" w:hAnsiTheme="minorBidi"/>
          <w:rtl/>
        </w:rPr>
        <w:t xml:space="preserve">, וכ"כ הרמב"ם </w:t>
      </w:r>
      <w:r w:rsidRPr="005275DF">
        <w:rPr>
          <w:rFonts w:asciiTheme="minorBidi" w:hAnsiTheme="minorBidi"/>
          <w:sz w:val="16"/>
          <w:szCs w:val="16"/>
          <w:rtl/>
        </w:rPr>
        <w:t>[פכ"א ה"כ – לא]</w:t>
      </w:r>
      <w:r w:rsidRPr="005275DF">
        <w:rPr>
          <w:rFonts w:asciiTheme="minorBidi" w:hAnsiTheme="minorBidi"/>
          <w:rtl/>
        </w:rPr>
        <w:t>).</w:t>
      </w:r>
    </w:p>
    <w:p w14:paraId="5E96CE6F"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A7A59A8" w14:textId="77777777" w:rsidR="006A4BF8" w:rsidRPr="005275DF" w:rsidRDefault="006A4BF8" w:rsidP="00434A6A">
      <w:pPr>
        <w:rPr>
          <w:rFonts w:asciiTheme="minorBidi" w:hAnsiTheme="minorBidi"/>
          <w:rtl/>
        </w:rPr>
      </w:pPr>
      <w:r w:rsidRPr="005275DF">
        <w:rPr>
          <w:rFonts w:asciiTheme="minorBidi" w:hAnsiTheme="minorBidi"/>
          <w:rtl/>
        </w:rPr>
        <w:t xml:space="preserve">חולה שנופל מחמת חליו למשכב ואין בו סכנה </w:t>
      </w:r>
      <w:r w:rsidRPr="005275DF">
        <w:rPr>
          <w:rFonts w:asciiTheme="minorBidi" w:hAnsiTheme="minorBidi"/>
          <w:sz w:val="18"/>
          <w:szCs w:val="18"/>
          <w:rtl/>
        </w:rPr>
        <w:t>הגה: או שיש לו מיחוש שמצטער וחלה ממנו כל גופו שאז אף על פי שהולך כנפל למשכב דמי (הה"מ פ"ב),</w:t>
      </w:r>
      <w:r w:rsidRPr="005275DF">
        <w:rPr>
          <w:rFonts w:asciiTheme="minorBidi" w:hAnsiTheme="minorBidi"/>
          <w:rtl/>
        </w:rPr>
        <w:t xml:space="preserve"> אומרים לגוי לעשות לו רפואה</w:t>
      </w:r>
      <w:r w:rsidRPr="005275DF">
        <w:rPr>
          <w:rStyle w:val="a9"/>
          <w:rFonts w:asciiTheme="minorBidi" w:hAnsiTheme="minorBidi"/>
          <w:rtl/>
        </w:rPr>
        <w:footnoteReference w:id="3246"/>
      </w:r>
      <w:r w:rsidRPr="005275DF">
        <w:rPr>
          <w:rFonts w:asciiTheme="minorBidi" w:hAnsiTheme="minorBidi"/>
          <w:rtl/>
        </w:rPr>
        <w:t xml:space="preserve"> אבל אין מחללין עליו את השבת באיסור דאורייתא אפילו יש בו סכנת אבר, ולחלל עליו ישראל באיסור דרבנן בידים יש מתירים אפילו אין בו סכנת אבר, ויש אומרים שאם יש בו סכנת אבר עושין ואם אין בו סכנת אבר אין עושין, ויש אומרים שאם אין בו סכנת אבר עושין בשינוי ואם יש בו סכנת אבר עושין בלא שינוי, ויש אומרים אפילו יש בו סכנת אבר אין עושין לו דבר שהוא נסמך למלאכה דאורייתא ודברים שאין בהם סמך מלאכה עושין אפילו אין בו סכנת אבר, ודברי הסברא השלישית נראין. </w:t>
      </w:r>
      <w:r w:rsidRPr="005275DF">
        <w:rPr>
          <w:rFonts w:asciiTheme="minorBidi" w:hAnsiTheme="minorBidi"/>
          <w:sz w:val="18"/>
          <w:szCs w:val="18"/>
          <w:rtl/>
        </w:rPr>
        <w:t>הגה: מותר לומר לגוי לעשות תבשיל לקטן שאין לו מה לאכול דסתם צרכי קטן כחולה שאין בו סכנה דמי</w:t>
      </w:r>
      <w:r w:rsidRPr="005275DF">
        <w:rPr>
          <w:rStyle w:val="a9"/>
          <w:rFonts w:asciiTheme="minorBidi" w:hAnsiTheme="minorBidi"/>
          <w:sz w:val="18"/>
          <w:szCs w:val="18"/>
          <w:rtl/>
        </w:rPr>
        <w:footnoteReference w:id="3247"/>
      </w:r>
      <w:r w:rsidRPr="005275DF">
        <w:rPr>
          <w:rFonts w:asciiTheme="minorBidi" w:hAnsiTheme="minorBidi"/>
          <w:sz w:val="18"/>
          <w:szCs w:val="18"/>
          <w:rtl/>
        </w:rPr>
        <w:t>. וכל שאסור לעשות ע"י ישראל אפי' ע"י החולה בעצמו אסור אבל כשעושה לו הגוי מותר לחולה</w:t>
      </w:r>
      <w:r w:rsidRPr="005275DF">
        <w:rPr>
          <w:rStyle w:val="a9"/>
          <w:rFonts w:asciiTheme="minorBidi" w:hAnsiTheme="minorBidi"/>
          <w:sz w:val="18"/>
          <w:szCs w:val="18"/>
          <w:rtl/>
        </w:rPr>
        <w:footnoteReference w:id="3248"/>
      </w:r>
      <w:r w:rsidRPr="005275DF">
        <w:rPr>
          <w:rFonts w:asciiTheme="minorBidi" w:hAnsiTheme="minorBidi"/>
          <w:sz w:val="18"/>
          <w:szCs w:val="18"/>
          <w:rtl/>
        </w:rPr>
        <w:t xml:space="preserve"> לסייעו קצת דמסייע אין בו ממש. (ב"י ביצה כב.).</w:t>
      </w:r>
      <w:r w:rsidRPr="005275DF">
        <w:rPr>
          <w:rFonts w:asciiTheme="minorBidi" w:hAnsiTheme="minorBidi"/>
          <w:rtl/>
        </w:rPr>
        <w:t xml:space="preserve"> </w:t>
      </w:r>
    </w:p>
    <w:p w14:paraId="22CE5A00" w14:textId="77777777" w:rsidR="006A4BF8" w:rsidRPr="005275DF" w:rsidRDefault="006A4BF8" w:rsidP="00434A6A">
      <w:pPr>
        <w:rPr>
          <w:rFonts w:asciiTheme="minorBidi" w:hAnsiTheme="minorBidi"/>
          <w:color w:val="FF0000"/>
          <w:rtl/>
        </w:rPr>
      </w:pPr>
      <w:r w:rsidRPr="005275DF">
        <w:rPr>
          <w:rFonts w:asciiTheme="minorBidi" w:hAnsiTheme="minorBidi"/>
          <w:color w:val="FF0000"/>
          <w:rtl/>
        </w:rPr>
        <w:t>אם יש זמן - לסכם סוגיית מסייע.</w:t>
      </w:r>
    </w:p>
    <w:p w14:paraId="615F6EEA" w14:textId="77777777" w:rsidR="006A4BF8" w:rsidRPr="005275DF" w:rsidRDefault="006A4BF8" w:rsidP="00434A6A">
      <w:pPr>
        <w:rPr>
          <w:rFonts w:asciiTheme="minorBidi" w:hAnsiTheme="minorBidi"/>
          <w:rtl/>
        </w:rPr>
      </w:pPr>
    </w:p>
    <w:p w14:paraId="252EFAB3"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יח: הקיז דם ונצטנן.</w:t>
      </w:r>
    </w:p>
    <w:p w14:paraId="165469E4"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קכט ע"א: </w:t>
      </w:r>
      <w:r w:rsidRPr="005275DF">
        <w:rPr>
          <w:rFonts w:asciiTheme="minorBidi" w:hAnsiTheme="minorBidi"/>
          <w:u w:val="single"/>
          <w:rtl/>
        </w:rPr>
        <w:t>אמר רב יהודה אמר שמואל</w:t>
      </w:r>
      <w:r w:rsidRPr="005275DF">
        <w:rPr>
          <w:rFonts w:asciiTheme="minorBidi" w:hAnsiTheme="minorBidi"/>
          <w:rtl/>
        </w:rPr>
        <w:t xml:space="preserve">: עושין מדורה לחיה בשבת. סבור מינה: לחיה אין, לחולה לא. בימות הגשמים אין, בימות החמה לא. איתמר </w:t>
      </w:r>
      <w:r w:rsidRPr="005275DF">
        <w:rPr>
          <w:rFonts w:asciiTheme="minorBidi" w:hAnsiTheme="minorBidi"/>
          <w:u w:val="single"/>
          <w:rtl/>
        </w:rPr>
        <w:t>אמר רב חייא בר אבין אמר שמואל</w:t>
      </w:r>
      <w:r w:rsidRPr="005275DF">
        <w:rPr>
          <w:rFonts w:asciiTheme="minorBidi" w:hAnsiTheme="minorBidi"/>
          <w:rtl/>
        </w:rPr>
        <w:t>: הקיז דם ונצטנן - עושין לו מדורה אפילו בתקופת תמוז. שמואל צלחו ליה תכתקא דשאגא</w:t>
      </w:r>
      <w:r w:rsidRPr="005275DF">
        <w:rPr>
          <w:rStyle w:val="a9"/>
          <w:rFonts w:asciiTheme="minorBidi" w:hAnsiTheme="minorBidi"/>
          <w:rtl/>
        </w:rPr>
        <w:footnoteReference w:id="3249"/>
      </w:r>
      <w:r w:rsidRPr="005275DF">
        <w:rPr>
          <w:rFonts w:asciiTheme="minorBidi" w:hAnsiTheme="minorBidi"/>
          <w:rtl/>
        </w:rPr>
        <w:t>, רב יהודה צלחו ליה פתורא דיונה</w:t>
      </w:r>
      <w:r w:rsidRPr="005275DF">
        <w:rPr>
          <w:rStyle w:val="a9"/>
          <w:rFonts w:asciiTheme="minorBidi" w:hAnsiTheme="minorBidi"/>
          <w:rtl/>
        </w:rPr>
        <w:footnoteReference w:id="3250"/>
      </w:r>
      <w:r w:rsidRPr="005275DF">
        <w:rPr>
          <w:rFonts w:asciiTheme="minorBidi" w:hAnsiTheme="minorBidi"/>
          <w:rtl/>
        </w:rPr>
        <w:t>, לרבה צלחו ליה שרשיפא</w:t>
      </w:r>
      <w:r w:rsidRPr="005275DF">
        <w:rPr>
          <w:rStyle w:val="a9"/>
          <w:rFonts w:asciiTheme="minorBidi" w:hAnsiTheme="minorBidi"/>
          <w:rtl/>
        </w:rPr>
        <w:footnoteReference w:id="3251"/>
      </w:r>
      <w:r w:rsidRPr="005275DF">
        <w:rPr>
          <w:rFonts w:asciiTheme="minorBidi" w:hAnsiTheme="minorBidi"/>
          <w:rtl/>
        </w:rPr>
        <w:t>.</w:t>
      </w:r>
    </w:p>
    <w:p w14:paraId="3F6F0088" w14:textId="77777777" w:rsidR="006A4BF8" w:rsidRPr="005275DF" w:rsidRDefault="006A4BF8" w:rsidP="00434A6A">
      <w:pPr>
        <w:rPr>
          <w:rFonts w:asciiTheme="minorBidi" w:hAnsiTheme="minorBidi"/>
          <w:rtl/>
        </w:rPr>
      </w:pPr>
      <w:r w:rsidRPr="005275DF">
        <w:rPr>
          <w:rFonts w:asciiTheme="minorBidi" w:hAnsiTheme="minorBidi"/>
          <w:u w:val="single"/>
          <w:rtl/>
        </w:rPr>
        <w:t>למי עושין מדורה מחמת חולשתו:</w:t>
      </w:r>
      <w:r w:rsidRPr="005275DF">
        <w:rPr>
          <w:rFonts w:asciiTheme="minorBidi" w:hAnsiTheme="minorBidi"/>
          <w:sz w:val="16"/>
          <w:szCs w:val="16"/>
          <w:rtl/>
        </w:rPr>
        <w:t xml:space="preserve">  (ב"י סי' של סע' ו)</w:t>
      </w:r>
    </w:p>
    <w:p w14:paraId="20743DCC" w14:textId="77777777" w:rsidR="006A4BF8" w:rsidRPr="005275DF" w:rsidRDefault="006A4BF8" w:rsidP="00FF2D21">
      <w:pPr>
        <w:pStyle w:val="aa"/>
        <w:numPr>
          <w:ilvl w:val="0"/>
          <w:numId w:val="55"/>
        </w:numPr>
        <w:rPr>
          <w:rFonts w:asciiTheme="minorBidi" w:hAnsiTheme="minorBidi"/>
          <w:rtl/>
        </w:rPr>
      </w:pPr>
      <w:r w:rsidRPr="005275DF">
        <w:rPr>
          <w:rFonts w:asciiTheme="minorBidi" w:hAnsiTheme="minorBidi"/>
          <w:rtl/>
        </w:rPr>
        <w:t>רמב"ם סמ"ג- לחיה ולמי שהקיז דם, אבל לחולה שאין בו סכנה- לא. (וכ"פ המג"א</w:t>
      </w:r>
      <w:r w:rsidRPr="005275DF">
        <w:rPr>
          <w:rFonts w:asciiTheme="minorBidi" w:hAnsiTheme="minorBidi"/>
          <w:sz w:val="16"/>
          <w:szCs w:val="16"/>
          <w:rtl/>
        </w:rPr>
        <w:t xml:space="preserve"> [כאן]</w:t>
      </w:r>
      <w:r w:rsidRPr="005275DF">
        <w:rPr>
          <w:rFonts w:asciiTheme="minorBidi" w:hAnsiTheme="minorBidi"/>
          <w:rtl/>
        </w:rPr>
        <w:t>)</w:t>
      </w:r>
    </w:p>
    <w:p w14:paraId="26736D2A" w14:textId="77777777" w:rsidR="006A4BF8" w:rsidRPr="005275DF" w:rsidRDefault="006A4BF8" w:rsidP="00FF2D21">
      <w:pPr>
        <w:pStyle w:val="aa"/>
        <w:numPr>
          <w:ilvl w:val="0"/>
          <w:numId w:val="55"/>
        </w:numPr>
        <w:rPr>
          <w:rFonts w:asciiTheme="minorBidi" w:hAnsiTheme="minorBidi"/>
        </w:rPr>
      </w:pPr>
      <w:r w:rsidRPr="005275DF">
        <w:rPr>
          <w:rFonts w:asciiTheme="minorBidi" w:hAnsiTheme="minorBidi"/>
          <w:rtl/>
        </w:rPr>
        <w:t xml:space="preserve">רי"ף רש"י ורא"ש- לכל חולה </w:t>
      </w:r>
      <w:r w:rsidRPr="005275DF">
        <w:rPr>
          <w:rFonts w:asciiTheme="minorBidi" w:hAnsiTheme="minorBidi"/>
          <w:sz w:val="16"/>
          <w:szCs w:val="16"/>
          <w:rtl/>
        </w:rPr>
        <w:t>(וחיה בכלל)</w:t>
      </w:r>
      <w:r w:rsidRPr="005275DF">
        <w:rPr>
          <w:rFonts w:asciiTheme="minorBidi" w:hAnsiTheme="minorBidi"/>
          <w:rtl/>
        </w:rPr>
        <w:t xml:space="preserve">, ולמי שהקיז דם. </w:t>
      </w:r>
    </w:p>
    <w:p w14:paraId="352FA49F"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FCB42B9" w14:textId="77777777" w:rsidR="006A4BF8" w:rsidRPr="005275DF" w:rsidRDefault="006A4BF8" w:rsidP="00434A6A">
      <w:pPr>
        <w:rPr>
          <w:rFonts w:asciiTheme="minorBidi" w:hAnsiTheme="minorBidi"/>
          <w:rtl/>
        </w:rPr>
      </w:pPr>
      <w:r w:rsidRPr="005275DF">
        <w:rPr>
          <w:rFonts w:asciiTheme="minorBidi" w:hAnsiTheme="minorBidi"/>
          <w:rtl/>
        </w:rPr>
        <w:t xml:space="preserve">הקיז דם ונצטנן עושים לו מדורה אפילו בתקופת תמוז. </w:t>
      </w:r>
    </w:p>
    <w:p w14:paraId="33CBA0AE" w14:textId="77777777" w:rsidR="006A4BF8" w:rsidRPr="005275DF" w:rsidRDefault="006A4BF8" w:rsidP="00434A6A">
      <w:pPr>
        <w:rPr>
          <w:rFonts w:asciiTheme="minorBidi" w:hAnsiTheme="minorBidi"/>
          <w:rtl/>
        </w:rPr>
      </w:pPr>
    </w:p>
    <w:p w14:paraId="25DFF53A"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יט: בישולי גויים לחולה שאיב"ס.</w:t>
      </w:r>
    </w:p>
    <w:p w14:paraId="1BCF6686"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קכט ע"א: </w:t>
      </w:r>
      <w:r w:rsidRPr="005275DF">
        <w:rPr>
          <w:rFonts w:asciiTheme="minorBidi" w:hAnsiTheme="minorBidi"/>
          <w:rtl/>
        </w:rPr>
        <w:t>כדרב עולא בריה דרב עילאי, דאמר: כל צרכי חולה נעשין על ידי ארמאי בשבת. וכדרב המנונא, דאמר רב המנונא: דבר שאין בו סכנה</w:t>
      </w:r>
      <w:r w:rsidRPr="005275DF">
        <w:rPr>
          <w:rStyle w:val="a9"/>
          <w:rFonts w:asciiTheme="minorBidi" w:hAnsiTheme="minorBidi"/>
          <w:rtl/>
        </w:rPr>
        <w:footnoteReference w:id="3252"/>
      </w:r>
      <w:r w:rsidRPr="005275DF">
        <w:rPr>
          <w:rFonts w:asciiTheme="minorBidi" w:hAnsiTheme="minorBidi"/>
          <w:rtl/>
        </w:rPr>
        <w:t xml:space="preserve"> - אומר לנכרי ועושה</w:t>
      </w:r>
      <w:r w:rsidRPr="005275DF">
        <w:rPr>
          <w:rStyle w:val="a9"/>
          <w:rFonts w:asciiTheme="minorBidi" w:hAnsiTheme="minorBidi"/>
          <w:rtl/>
        </w:rPr>
        <w:footnoteReference w:id="3253"/>
      </w:r>
      <w:r w:rsidRPr="005275DF">
        <w:rPr>
          <w:rFonts w:asciiTheme="minorBidi" w:hAnsiTheme="minorBidi"/>
          <w:rtl/>
        </w:rPr>
        <w:t>.</w:t>
      </w:r>
    </w:p>
    <w:p w14:paraId="7E9CDBD9"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62AB045F" w14:textId="77777777" w:rsidR="006A4BF8" w:rsidRPr="005275DF" w:rsidRDefault="006A4BF8" w:rsidP="00434A6A">
      <w:pPr>
        <w:rPr>
          <w:rFonts w:asciiTheme="minorBidi" w:hAnsiTheme="minorBidi"/>
          <w:rtl/>
        </w:rPr>
      </w:pPr>
      <w:r w:rsidRPr="005275DF">
        <w:rPr>
          <w:rFonts w:asciiTheme="minorBidi" w:hAnsiTheme="minorBidi"/>
          <w:rtl/>
        </w:rPr>
        <w:t>חולה שאין בו סכנה מותר בבישולי גויים</w:t>
      </w:r>
      <w:r w:rsidRPr="005275DF">
        <w:rPr>
          <w:rStyle w:val="a9"/>
          <w:rFonts w:asciiTheme="minorBidi" w:hAnsiTheme="minorBidi"/>
          <w:rtl/>
        </w:rPr>
        <w:footnoteReference w:id="3254"/>
      </w:r>
      <w:r w:rsidRPr="005275DF">
        <w:rPr>
          <w:rFonts w:asciiTheme="minorBidi" w:hAnsiTheme="minorBidi"/>
          <w:rtl/>
        </w:rPr>
        <w:t>.</w:t>
      </w:r>
    </w:p>
    <w:p w14:paraId="55D3AA1F" w14:textId="77777777" w:rsidR="006A4BF8" w:rsidRPr="005275DF" w:rsidRDefault="006A4BF8" w:rsidP="00434A6A">
      <w:pPr>
        <w:rPr>
          <w:rFonts w:asciiTheme="minorBidi" w:hAnsiTheme="minorBidi"/>
          <w:sz w:val="16"/>
          <w:szCs w:val="16"/>
          <w:rtl/>
        </w:rPr>
      </w:pPr>
      <w:r w:rsidRPr="005275DF">
        <w:rPr>
          <w:rFonts w:asciiTheme="minorBidi" w:hAnsiTheme="minorBidi"/>
          <w:u w:val="single"/>
          <w:rtl/>
        </w:rPr>
        <w:t>גוי שבישל בשבת לחולה – האם מותר לבריא במוצ"ש:</w:t>
      </w:r>
      <w:r w:rsidRPr="005275DF">
        <w:rPr>
          <w:rFonts w:asciiTheme="minorBidi" w:hAnsiTheme="minorBidi"/>
          <w:rtl/>
        </w:rPr>
        <w:t xml:space="preserve"> </w:t>
      </w:r>
      <w:r w:rsidRPr="005275DF">
        <w:rPr>
          <w:rFonts w:asciiTheme="minorBidi" w:hAnsiTheme="minorBidi"/>
          <w:sz w:val="16"/>
          <w:szCs w:val="16"/>
          <w:rtl/>
        </w:rPr>
        <w:t xml:space="preserve"> (ב"י כאן עמ' תקו, וב"י יו"ד סי' קיג סע' טז ד"ה וכתב הרשב"א)</w:t>
      </w:r>
    </w:p>
    <w:p w14:paraId="34323989" w14:textId="77777777" w:rsidR="006A4BF8" w:rsidRPr="005275DF" w:rsidRDefault="006A4BF8" w:rsidP="00FF2D21">
      <w:pPr>
        <w:pStyle w:val="aa"/>
        <w:numPr>
          <w:ilvl w:val="0"/>
          <w:numId w:val="56"/>
        </w:numPr>
        <w:rPr>
          <w:rFonts w:asciiTheme="minorBidi" w:hAnsiTheme="minorBidi"/>
        </w:rPr>
      </w:pPr>
      <w:r w:rsidRPr="005275DF">
        <w:rPr>
          <w:rFonts w:asciiTheme="minorBidi" w:hAnsiTheme="minorBidi"/>
          <w:rtl/>
        </w:rPr>
        <w:t>רא"ה</w:t>
      </w:r>
      <w:r w:rsidRPr="005275DF">
        <w:rPr>
          <w:rFonts w:asciiTheme="minorBidi" w:hAnsiTheme="minorBidi"/>
          <w:sz w:val="16"/>
          <w:szCs w:val="16"/>
          <w:rtl/>
        </w:rPr>
        <w:t xml:space="preserve"> (בדה"ב ב"ג ש"ז צד.)</w:t>
      </w:r>
      <w:r w:rsidRPr="005275DF">
        <w:rPr>
          <w:rFonts w:asciiTheme="minorBidi" w:hAnsiTheme="minorBidi"/>
          <w:rtl/>
        </w:rPr>
        <w:t>- מותר משום דאיכא היכרא</w:t>
      </w:r>
      <w:r w:rsidRPr="005275DF">
        <w:rPr>
          <w:rStyle w:val="a9"/>
          <w:rFonts w:asciiTheme="minorBidi" w:hAnsiTheme="minorBidi"/>
          <w:rtl/>
        </w:rPr>
        <w:footnoteReference w:id="3255"/>
      </w:r>
      <w:r w:rsidRPr="005275DF">
        <w:rPr>
          <w:rFonts w:asciiTheme="minorBidi" w:hAnsiTheme="minorBidi"/>
          <w:rtl/>
        </w:rPr>
        <w:t xml:space="preserve">. </w:t>
      </w:r>
      <w:r w:rsidRPr="005275DF">
        <w:rPr>
          <w:rFonts w:asciiTheme="minorBidi" w:hAnsiTheme="minorBidi"/>
          <w:color w:val="00B0F0"/>
          <w:rtl/>
        </w:rPr>
        <w:t>(וכ"פ הרמ"א</w:t>
      </w:r>
      <w:r w:rsidRPr="005275DF">
        <w:rPr>
          <w:rStyle w:val="a9"/>
          <w:rFonts w:asciiTheme="minorBidi" w:hAnsiTheme="minorBidi"/>
          <w:rtl/>
        </w:rPr>
        <w:footnoteReference w:id="3256"/>
      </w:r>
      <w:r w:rsidRPr="005275DF">
        <w:rPr>
          <w:rFonts w:asciiTheme="minorBidi" w:hAnsiTheme="minorBidi"/>
          <w:color w:val="00B0F0"/>
          <w:rtl/>
        </w:rPr>
        <w:t>)</w:t>
      </w:r>
      <w:r w:rsidRPr="005275DF">
        <w:rPr>
          <w:rFonts w:asciiTheme="minorBidi" w:hAnsiTheme="minorBidi"/>
          <w:rtl/>
        </w:rPr>
        <w:t xml:space="preserve"> (וכ"פ הש"ך</w:t>
      </w:r>
      <w:r w:rsidRPr="005275DF">
        <w:rPr>
          <w:rStyle w:val="a9"/>
          <w:rFonts w:asciiTheme="minorBidi" w:hAnsiTheme="minorBidi"/>
          <w:rtl/>
        </w:rPr>
        <w:footnoteReference w:id="3257"/>
      </w:r>
      <w:r w:rsidRPr="005275DF">
        <w:rPr>
          <w:rFonts w:asciiTheme="minorBidi" w:hAnsiTheme="minorBidi"/>
          <w:rtl/>
        </w:rPr>
        <w:t xml:space="preserve"> הגר"א</w:t>
      </w:r>
      <w:r w:rsidRPr="005275DF">
        <w:rPr>
          <w:rStyle w:val="a9"/>
          <w:rFonts w:asciiTheme="minorBidi" w:hAnsiTheme="minorBidi"/>
          <w:rtl/>
        </w:rPr>
        <w:footnoteReference w:id="3258"/>
      </w:r>
      <w:r w:rsidRPr="005275DF">
        <w:rPr>
          <w:rFonts w:asciiTheme="minorBidi" w:hAnsiTheme="minorBidi"/>
          <w:rtl/>
        </w:rPr>
        <w:t>)</w:t>
      </w:r>
    </w:p>
    <w:p w14:paraId="05D6012F" w14:textId="77777777" w:rsidR="006A4BF8" w:rsidRPr="005275DF" w:rsidRDefault="006A4BF8" w:rsidP="00FF2D21">
      <w:pPr>
        <w:pStyle w:val="aa"/>
        <w:numPr>
          <w:ilvl w:val="0"/>
          <w:numId w:val="56"/>
        </w:numPr>
        <w:rPr>
          <w:rFonts w:asciiTheme="minorBidi" w:hAnsiTheme="minorBidi"/>
          <w:rtl/>
        </w:rPr>
      </w:pPr>
      <w:r w:rsidRPr="005275DF">
        <w:rPr>
          <w:rFonts w:asciiTheme="minorBidi" w:hAnsiTheme="minorBidi"/>
          <w:rtl/>
        </w:rPr>
        <w:t>רשב"א</w:t>
      </w:r>
      <w:r w:rsidRPr="005275DF">
        <w:rPr>
          <w:rStyle w:val="a9"/>
          <w:rFonts w:asciiTheme="minorBidi" w:hAnsiTheme="minorBidi"/>
          <w:rtl/>
        </w:rPr>
        <w:footnoteReference w:id="3259"/>
      </w:r>
      <w:r w:rsidRPr="005275DF">
        <w:rPr>
          <w:rFonts w:asciiTheme="minorBidi" w:hAnsiTheme="minorBidi"/>
          <w:rtl/>
        </w:rPr>
        <w:t xml:space="preserve"> ור"ן</w:t>
      </w:r>
      <w:r w:rsidRPr="005275DF">
        <w:rPr>
          <w:rStyle w:val="a9"/>
          <w:rFonts w:asciiTheme="minorBidi" w:hAnsiTheme="minorBidi"/>
          <w:rtl/>
        </w:rPr>
        <w:footnoteReference w:id="3260"/>
      </w:r>
      <w:r w:rsidRPr="005275DF">
        <w:rPr>
          <w:rFonts w:asciiTheme="minorBidi" w:hAnsiTheme="minorBidi"/>
          <w:rtl/>
        </w:rPr>
        <w:t xml:space="preserve">- אסור, דרק בשבת לא רצו להחמיר דהואיל והותר מעשה שבת הותרו בישולי </w:t>
      </w:r>
      <w:r>
        <w:rPr>
          <w:rFonts w:asciiTheme="minorBidi" w:hAnsiTheme="minorBidi"/>
          <w:rtl/>
        </w:rPr>
        <w:t>גוי</w:t>
      </w:r>
      <w:r w:rsidRPr="005275DF">
        <w:rPr>
          <w:rFonts w:asciiTheme="minorBidi" w:hAnsiTheme="minorBidi"/>
          <w:rtl/>
        </w:rPr>
        <w:t>, ואפי' לחולה עצמו אסור במוצ"ש. (וכ"פ הלבוש</w:t>
      </w:r>
      <w:r w:rsidRPr="005275DF">
        <w:rPr>
          <w:rFonts w:asciiTheme="minorBidi" w:hAnsiTheme="minorBidi"/>
          <w:sz w:val="16"/>
          <w:szCs w:val="16"/>
          <w:rtl/>
        </w:rPr>
        <w:t xml:space="preserve"> [סי"ט]</w:t>
      </w:r>
      <w:r w:rsidRPr="005275DF">
        <w:rPr>
          <w:rFonts w:asciiTheme="minorBidi" w:hAnsiTheme="minorBidi"/>
          <w:rtl/>
        </w:rPr>
        <w:t xml:space="preserve"> ט"ז ומשב"ז)</w:t>
      </w:r>
    </w:p>
    <w:p w14:paraId="7DF81554" w14:textId="77777777" w:rsidR="006A4BF8" w:rsidRPr="005275DF" w:rsidRDefault="006A4BF8" w:rsidP="00434A6A">
      <w:pPr>
        <w:rPr>
          <w:rFonts w:asciiTheme="minorBidi" w:hAnsiTheme="minorBidi"/>
          <w:rtl/>
        </w:rPr>
      </w:pPr>
      <w:r w:rsidRPr="005275DF">
        <w:rPr>
          <w:rFonts w:asciiTheme="minorBidi" w:hAnsiTheme="minorBidi"/>
          <w:rtl/>
        </w:rPr>
        <w:t>ב"י:</w:t>
      </w:r>
    </w:p>
    <w:p w14:paraId="31572CA1" w14:textId="77777777" w:rsidR="006A4BF8" w:rsidRPr="005275DF" w:rsidRDefault="006A4BF8" w:rsidP="00FF2D21">
      <w:pPr>
        <w:pStyle w:val="aa"/>
        <w:numPr>
          <w:ilvl w:val="0"/>
          <w:numId w:val="57"/>
        </w:numPr>
        <w:rPr>
          <w:rFonts w:asciiTheme="minorBidi" w:hAnsiTheme="minorBidi"/>
        </w:rPr>
      </w:pPr>
      <w:r w:rsidRPr="005275DF">
        <w:rPr>
          <w:rFonts w:asciiTheme="minorBidi" w:hAnsiTheme="minorBidi"/>
          <w:rtl/>
        </w:rPr>
        <w:t>כתוב בהגה"מ (פכ"א הכ"ו אות א) לא יתן על גבי מכה דבר המושך ליחה ודם דהוי מפרק.</w:t>
      </w:r>
    </w:p>
    <w:p w14:paraId="7857F2BA" w14:textId="77777777" w:rsidR="006A4BF8" w:rsidRPr="005275DF" w:rsidRDefault="006A4BF8" w:rsidP="00FF2D21">
      <w:pPr>
        <w:pStyle w:val="aa"/>
        <w:numPr>
          <w:ilvl w:val="0"/>
          <w:numId w:val="57"/>
        </w:numPr>
        <w:rPr>
          <w:rFonts w:asciiTheme="minorBidi" w:hAnsiTheme="minorBidi"/>
          <w:rtl/>
        </w:rPr>
      </w:pPr>
      <w:r w:rsidRPr="005275DF">
        <w:rPr>
          <w:rFonts w:asciiTheme="minorBidi" w:hAnsiTheme="minorBidi"/>
          <w:rtl/>
        </w:rPr>
        <w:t>כתב המרדכי (סי' רמב) שרבינו שמשון משנץ התיר לכרוך צלצול בשבת למי שלקה באצבעו שהרי לא אסרו אלא גמי משום דמסי.</w:t>
      </w:r>
    </w:p>
    <w:p w14:paraId="6107CC65" w14:textId="77777777" w:rsidR="006A4BF8" w:rsidRPr="005275DF" w:rsidRDefault="006A4BF8" w:rsidP="00434A6A">
      <w:pPr>
        <w:rPr>
          <w:rFonts w:asciiTheme="minorBidi" w:hAnsiTheme="minorBidi"/>
          <w:rtl/>
        </w:rPr>
      </w:pPr>
    </w:p>
    <w:p w14:paraId="03391E3B"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כ: נתינת יין או רוק ע"ג העין.</w:t>
      </w:r>
    </w:p>
    <w:p w14:paraId="41496140"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קח ע"ב: </w:t>
      </w:r>
      <w:r w:rsidRPr="005275DF">
        <w:rPr>
          <w:rFonts w:asciiTheme="minorBidi" w:hAnsiTheme="minorBidi"/>
          <w:rtl/>
        </w:rPr>
        <w:t>חד אמר: יין בתוך העין</w:t>
      </w:r>
      <w:r w:rsidRPr="005275DF">
        <w:rPr>
          <w:rStyle w:val="a9"/>
          <w:rFonts w:asciiTheme="minorBidi" w:hAnsiTheme="minorBidi"/>
          <w:rtl/>
        </w:rPr>
        <w:footnoteReference w:id="3261"/>
      </w:r>
      <w:r w:rsidRPr="005275DF">
        <w:rPr>
          <w:rFonts w:asciiTheme="minorBidi" w:hAnsiTheme="minorBidi"/>
          <w:rtl/>
        </w:rPr>
        <w:t xml:space="preserve"> אסור, על גב העין</w:t>
      </w:r>
      <w:r w:rsidRPr="005275DF">
        <w:rPr>
          <w:rStyle w:val="a9"/>
          <w:rFonts w:asciiTheme="minorBidi" w:hAnsiTheme="minorBidi"/>
          <w:rtl/>
        </w:rPr>
        <w:footnoteReference w:id="3262"/>
      </w:r>
      <w:r w:rsidRPr="005275DF">
        <w:rPr>
          <w:rFonts w:asciiTheme="minorBidi" w:hAnsiTheme="minorBidi"/>
          <w:rtl/>
        </w:rPr>
        <w:t xml:space="preserve"> מותר, וחד אמר: רוק תפל</w:t>
      </w:r>
      <w:r w:rsidRPr="005275DF">
        <w:rPr>
          <w:rStyle w:val="a9"/>
          <w:rFonts w:asciiTheme="minorBidi" w:hAnsiTheme="minorBidi"/>
          <w:rtl/>
        </w:rPr>
        <w:footnoteReference w:id="3263"/>
      </w:r>
      <w:r w:rsidRPr="005275DF">
        <w:rPr>
          <w:rFonts w:asciiTheme="minorBidi" w:hAnsiTheme="minorBidi"/>
          <w:rtl/>
        </w:rPr>
        <w:t xml:space="preserve"> אפילו על גב העין אסור</w:t>
      </w:r>
      <w:r w:rsidRPr="005275DF">
        <w:rPr>
          <w:rStyle w:val="a9"/>
          <w:rFonts w:asciiTheme="minorBidi" w:hAnsiTheme="minorBidi"/>
          <w:rtl/>
        </w:rPr>
        <w:footnoteReference w:id="3264"/>
      </w:r>
      <w:r w:rsidRPr="005275DF">
        <w:rPr>
          <w:rFonts w:asciiTheme="minorBidi" w:hAnsiTheme="minorBidi"/>
          <w:rtl/>
        </w:rPr>
        <w:t>....  שורה אדם פיתו ביין ונותנו על גב העין בשבת.</w:t>
      </w:r>
    </w:p>
    <w:p w14:paraId="3724A759"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434DCAC" w14:textId="77777777" w:rsidR="006A4BF8" w:rsidRPr="005275DF" w:rsidRDefault="006A4BF8" w:rsidP="00434A6A">
      <w:pPr>
        <w:rPr>
          <w:rFonts w:asciiTheme="minorBidi" w:hAnsiTheme="minorBidi"/>
          <w:rtl/>
        </w:rPr>
      </w:pPr>
      <w:r w:rsidRPr="005275DF">
        <w:rPr>
          <w:rFonts w:asciiTheme="minorBidi" w:hAnsiTheme="minorBidi"/>
          <w:rtl/>
        </w:rPr>
        <w:t>אין נותנין יין לתוך העין, וליתנו על גביו אם פותח וסוגר העין אסור ואם אינו פותח וסוגר מותר</w:t>
      </w:r>
      <w:r w:rsidRPr="005275DF">
        <w:rPr>
          <w:rStyle w:val="a9"/>
          <w:rFonts w:asciiTheme="minorBidi" w:hAnsiTheme="minorBidi"/>
          <w:rtl/>
        </w:rPr>
        <w:footnoteReference w:id="3265"/>
      </w:r>
      <w:r w:rsidRPr="005275DF">
        <w:rPr>
          <w:rFonts w:asciiTheme="minorBidi" w:hAnsiTheme="minorBidi"/>
          <w:rtl/>
        </w:rPr>
        <w:t>. ורוק תפל אפילו על גביו אסור דמוכחא מלתא דלרפואה עביד</w:t>
      </w:r>
      <w:r w:rsidRPr="005275DF">
        <w:rPr>
          <w:rStyle w:val="a9"/>
          <w:rFonts w:asciiTheme="minorBidi" w:hAnsiTheme="minorBidi"/>
          <w:rtl/>
        </w:rPr>
        <w:footnoteReference w:id="3266"/>
      </w:r>
      <w:r w:rsidRPr="005275DF">
        <w:rPr>
          <w:rFonts w:asciiTheme="minorBidi" w:hAnsiTheme="minorBidi"/>
          <w:rtl/>
        </w:rPr>
        <w:t xml:space="preserve">. </w:t>
      </w:r>
    </w:p>
    <w:p w14:paraId="4B027612" w14:textId="77777777" w:rsidR="006A4BF8" w:rsidRPr="005275DF" w:rsidRDefault="006A4BF8" w:rsidP="00434A6A">
      <w:pPr>
        <w:rPr>
          <w:rFonts w:asciiTheme="minorBidi" w:hAnsiTheme="minorBidi"/>
          <w:rtl/>
        </w:rPr>
      </w:pPr>
      <w:r w:rsidRPr="005275DF">
        <w:rPr>
          <w:rFonts w:asciiTheme="minorBidi" w:hAnsiTheme="minorBidi"/>
          <w:rtl/>
        </w:rPr>
        <w:t>- רש"ל</w:t>
      </w:r>
      <w:r w:rsidRPr="005275DF">
        <w:rPr>
          <w:rFonts w:asciiTheme="minorBidi" w:hAnsiTheme="minorBidi"/>
          <w:sz w:val="16"/>
          <w:szCs w:val="16"/>
          <w:rtl/>
        </w:rPr>
        <w:t xml:space="preserve"> (הביאוהו הב"ח הט"ז והש"ך)</w:t>
      </w:r>
      <w:r w:rsidRPr="005275DF">
        <w:rPr>
          <w:rFonts w:asciiTheme="minorBidi" w:hAnsiTheme="minorBidi"/>
          <w:rtl/>
        </w:rPr>
        <w:t>, מי שלא יכול לפתוח העינים יכול ללחלחן ברוק תפל ואין זה חשיב רפואה אלא לפתוח עינים מכוין.</w:t>
      </w:r>
    </w:p>
    <w:p w14:paraId="3878643C" w14:textId="77777777" w:rsidR="006A4BF8" w:rsidRPr="005275DF" w:rsidRDefault="006A4BF8" w:rsidP="00434A6A">
      <w:pPr>
        <w:rPr>
          <w:rFonts w:asciiTheme="minorBidi" w:hAnsiTheme="minorBidi"/>
          <w:rtl/>
        </w:rPr>
      </w:pPr>
    </w:p>
    <w:p w14:paraId="7DAA2783"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כא: נתינת קילורין ע"ג העין.</w:t>
      </w:r>
    </w:p>
    <w:p w14:paraId="03BAC501"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יח ע"א: </w:t>
      </w:r>
      <w:r w:rsidRPr="005275DF">
        <w:rPr>
          <w:rFonts w:asciiTheme="minorBidi" w:hAnsiTheme="minorBidi"/>
          <w:rtl/>
        </w:rPr>
        <w:t>ומניחין קילור</w:t>
      </w:r>
      <w:r w:rsidRPr="005275DF">
        <w:rPr>
          <w:rStyle w:val="a9"/>
          <w:rFonts w:asciiTheme="minorBidi" w:hAnsiTheme="minorBidi"/>
          <w:rtl/>
        </w:rPr>
        <w:footnoteReference w:id="3267"/>
      </w:r>
      <w:r w:rsidRPr="005275DF">
        <w:rPr>
          <w:rFonts w:asciiTheme="minorBidi" w:hAnsiTheme="minorBidi"/>
          <w:rtl/>
        </w:rPr>
        <w:t xml:space="preserve"> על גבי העין (ערב שבת עם חשיכה</w:t>
      </w:r>
      <w:r w:rsidRPr="005275DF">
        <w:rPr>
          <w:rStyle w:val="a9"/>
          <w:rFonts w:asciiTheme="minorBidi" w:hAnsiTheme="minorBidi"/>
          <w:rtl/>
        </w:rPr>
        <w:footnoteReference w:id="3268"/>
      </w:r>
      <w:r w:rsidRPr="005275DF">
        <w:rPr>
          <w:rFonts w:asciiTheme="minorBidi" w:hAnsiTheme="minorBidi"/>
          <w:rtl/>
        </w:rPr>
        <w:t>), ואיספלנית</w:t>
      </w:r>
      <w:r w:rsidRPr="005275DF">
        <w:rPr>
          <w:rStyle w:val="a9"/>
          <w:rFonts w:asciiTheme="minorBidi" w:hAnsiTheme="minorBidi"/>
          <w:rtl/>
        </w:rPr>
        <w:footnoteReference w:id="3269"/>
      </w:r>
      <w:r w:rsidRPr="005275DF">
        <w:rPr>
          <w:rFonts w:asciiTheme="minorBidi" w:hAnsiTheme="minorBidi"/>
          <w:rtl/>
        </w:rPr>
        <w:t xml:space="preserve"> על גבי מכה ומתרפאת והולכת כל היום כולו.</w:t>
      </w:r>
    </w:p>
    <w:p w14:paraId="2F2466F2"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קח ע"ב: </w:t>
      </w:r>
      <w:r w:rsidRPr="005275DF">
        <w:rPr>
          <w:rFonts w:asciiTheme="minorBidi" w:hAnsiTheme="minorBidi"/>
          <w:u w:val="single"/>
          <w:rtl/>
        </w:rPr>
        <w:t>אמר מר עוקבא אמר שמואל</w:t>
      </w:r>
      <w:r w:rsidRPr="005275DF">
        <w:rPr>
          <w:rFonts w:asciiTheme="minorBidi" w:hAnsiTheme="minorBidi"/>
          <w:rtl/>
        </w:rPr>
        <w:t>: שורה</w:t>
      </w:r>
      <w:r w:rsidRPr="005275DF">
        <w:rPr>
          <w:rStyle w:val="a9"/>
          <w:rFonts w:asciiTheme="minorBidi" w:hAnsiTheme="minorBidi"/>
          <w:rtl/>
        </w:rPr>
        <w:footnoteReference w:id="3270"/>
      </w:r>
      <w:r w:rsidRPr="005275DF">
        <w:rPr>
          <w:rFonts w:asciiTheme="minorBidi" w:hAnsiTheme="minorBidi"/>
          <w:rtl/>
        </w:rPr>
        <w:t xml:space="preserve"> אדם קילורין</w:t>
      </w:r>
      <w:r w:rsidRPr="005275DF">
        <w:rPr>
          <w:rStyle w:val="a9"/>
          <w:rFonts w:asciiTheme="minorBidi" w:hAnsiTheme="minorBidi"/>
          <w:rtl/>
        </w:rPr>
        <w:footnoteReference w:id="3271"/>
      </w:r>
      <w:r w:rsidRPr="005275DF">
        <w:rPr>
          <w:rFonts w:asciiTheme="minorBidi" w:hAnsiTheme="minorBidi"/>
          <w:rtl/>
        </w:rPr>
        <w:t xml:space="preserve"> מערב שבת ונותן על גב עיניו</w:t>
      </w:r>
      <w:r w:rsidRPr="005275DF">
        <w:rPr>
          <w:rStyle w:val="a9"/>
          <w:rFonts w:asciiTheme="minorBidi" w:hAnsiTheme="minorBidi"/>
          <w:rtl/>
        </w:rPr>
        <w:footnoteReference w:id="3272"/>
      </w:r>
      <w:r w:rsidRPr="005275DF">
        <w:rPr>
          <w:rFonts w:asciiTheme="minorBidi" w:hAnsiTheme="minorBidi"/>
          <w:rtl/>
        </w:rPr>
        <w:t xml:space="preserve"> בשבת ואינו חושש. בר ליואי הוי קאי קמיה דמר עוקבא, חזייה דהוה מייץ ופתח, אמר ליה: כולי האי ודאי לא שרא</w:t>
      </w:r>
      <w:r w:rsidRPr="005275DF">
        <w:rPr>
          <w:rStyle w:val="a9"/>
          <w:rFonts w:asciiTheme="minorBidi" w:hAnsiTheme="minorBidi"/>
          <w:rtl/>
        </w:rPr>
        <w:footnoteReference w:id="3273"/>
      </w:r>
      <w:r w:rsidRPr="005275DF">
        <w:rPr>
          <w:rFonts w:asciiTheme="minorBidi" w:hAnsiTheme="minorBidi"/>
          <w:rtl/>
        </w:rPr>
        <w:t xml:space="preserve"> מר שמואל. </w:t>
      </w:r>
    </w:p>
    <w:p w14:paraId="228E1281" w14:textId="77777777" w:rsidR="006A4BF8" w:rsidRPr="005275DF" w:rsidRDefault="006A4BF8" w:rsidP="00434A6A">
      <w:pPr>
        <w:rPr>
          <w:rFonts w:asciiTheme="minorBidi" w:hAnsiTheme="minorBidi"/>
          <w:u w:val="single"/>
          <w:rtl/>
        </w:rPr>
      </w:pPr>
      <w:r w:rsidRPr="005275DF">
        <w:rPr>
          <w:rFonts w:asciiTheme="minorBidi" w:hAnsiTheme="minorBidi"/>
          <w:u w:val="single"/>
          <w:rtl/>
        </w:rPr>
        <w:t xml:space="preserve">מדוע בפרק קמא דשבת </w:t>
      </w:r>
      <w:r w:rsidRPr="005275DF">
        <w:rPr>
          <w:rFonts w:asciiTheme="minorBidi" w:hAnsiTheme="minorBidi"/>
          <w:sz w:val="16"/>
          <w:szCs w:val="16"/>
          <w:u w:val="single"/>
          <w:rtl/>
        </w:rPr>
        <w:t>(יח.)</w:t>
      </w:r>
      <w:r w:rsidRPr="005275DF">
        <w:rPr>
          <w:rFonts w:asciiTheme="minorBidi" w:hAnsiTheme="minorBidi"/>
          <w:u w:val="single"/>
          <w:rtl/>
        </w:rPr>
        <w:t xml:space="preserve"> משמע דאסור להניח קילור בשבת ע"ג העין ובפרק שמנה שרצים</w:t>
      </w:r>
      <w:r w:rsidRPr="005275DF">
        <w:rPr>
          <w:rFonts w:asciiTheme="minorBidi" w:hAnsiTheme="minorBidi"/>
          <w:sz w:val="16"/>
          <w:szCs w:val="16"/>
          <w:u w:val="single"/>
          <w:rtl/>
        </w:rPr>
        <w:t xml:space="preserve"> (קח:)</w:t>
      </w:r>
      <w:r w:rsidRPr="005275DF">
        <w:rPr>
          <w:rFonts w:asciiTheme="minorBidi" w:hAnsiTheme="minorBidi"/>
          <w:u w:val="single"/>
          <w:rtl/>
        </w:rPr>
        <w:t xml:space="preserve"> משמע דמותר:</w:t>
      </w:r>
    </w:p>
    <w:p w14:paraId="3F68A85E" w14:textId="77777777" w:rsidR="006A4BF8" w:rsidRPr="005275DF" w:rsidRDefault="006A4BF8" w:rsidP="00FF2D21">
      <w:pPr>
        <w:pStyle w:val="aa"/>
        <w:numPr>
          <w:ilvl w:val="0"/>
          <w:numId w:val="58"/>
        </w:numPr>
        <w:rPr>
          <w:rFonts w:asciiTheme="minorBidi" w:hAnsiTheme="minorBidi"/>
        </w:rPr>
      </w:pPr>
      <w:r w:rsidRPr="005275DF">
        <w:rPr>
          <w:rFonts w:asciiTheme="minorBidi" w:hAnsiTheme="minorBidi"/>
          <w:rtl/>
        </w:rPr>
        <w:t xml:space="preserve">רא"ש </w:t>
      </w:r>
      <w:r w:rsidRPr="005275DF">
        <w:rPr>
          <w:rFonts w:asciiTheme="minorBidi" w:hAnsiTheme="minorBidi"/>
          <w:sz w:val="16"/>
          <w:szCs w:val="16"/>
          <w:rtl/>
        </w:rPr>
        <w:t xml:space="preserve">(סי' לג) </w:t>
      </w:r>
      <w:r w:rsidRPr="005275DF">
        <w:rPr>
          <w:rFonts w:asciiTheme="minorBidi" w:hAnsiTheme="minorBidi"/>
          <w:rtl/>
        </w:rPr>
        <w:t>ר"ן</w:t>
      </w:r>
      <w:r w:rsidRPr="005275DF">
        <w:rPr>
          <w:rFonts w:asciiTheme="minorBidi" w:hAnsiTheme="minorBidi"/>
          <w:sz w:val="16"/>
          <w:szCs w:val="16"/>
          <w:rtl/>
        </w:rPr>
        <w:t xml:space="preserve"> (ו. ד"ה והאי קילור) </w:t>
      </w:r>
      <w:r w:rsidRPr="005275DF">
        <w:rPr>
          <w:rFonts w:asciiTheme="minorBidi" w:hAnsiTheme="minorBidi"/>
          <w:rtl/>
        </w:rPr>
        <w:t xml:space="preserve">וטור- בפ"ק דשבת מיירי בקילור שהוא עב דומיא דאספלנית הילכך דוקא מער"ש אבל בשבת אסור להניחו על העין משום גזירת שחיקת סממנין או גזירה שמא ימרח, אבל בפ' שמנה שרצים מיירי בקילור צלול דאף בשבת מותר להניחו ע"ג העין דכיון שהוא צלול אינו אלא כרוחץ עיניו וליכא למיגזר משום שחיקת סממנין. </w:t>
      </w:r>
      <w:r w:rsidRPr="005275DF">
        <w:rPr>
          <w:rFonts w:asciiTheme="minorBidi" w:hAnsiTheme="minorBidi"/>
          <w:color w:val="E36C0A" w:themeColor="accent6" w:themeShade="BF"/>
          <w:rtl/>
        </w:rPr>
        <w:t>(וכ"פ בשו"ע)</w:t>
      </w:r>
    </w:p>
    <w:p w14:paraId="2D0FFF42" w14:textId="77777777" w:rsidR="006A4BF8" w:rsidRPr="005275DF" w:rsidRDefault="006A4BF8" w:rsidP="00FF2D21">
      <w:pPr>
        <w:pStyle w:val="aa"/>
        <w:numPr>
          <w:ilvl w:val="0"/>
          <w:numId w:val="58"/>
        </w:numPr>
        <w:rPr>
          <w:rFonts w:asciiTheme="minorBidi" w:hAnsiTheme="minorBidi"/>
        </w:rPr>
      </w:pPr>
      <w:r w:rsidRPr="005275DF">
        <w:rPr>
          <w:rFonts w:asciiTheme="minorBidi" w:hAnsiTheme="minorBidi"/>
          <w:rtl/>
        </w:rPr>
        <w:t>תוס'</w:t>
      </w:r>
      <w:r w:rsidRPr="005275DF">
        <w:rPr>
          <w:rFonts w:asciiTheme="minorBidi" w:hAnsiTheme="minorBidi"/>
          <w:sz w:val="16"/>
          <w:szCs w:val="16"/>
          <w:rtl/>
        </w:rPr>
        <w:t xml:space="preserve"> (יח. ד"ה ומתרפאת)</w:t>
      </w:r>
      <w:r w:rsidRPr="005275DF">
        <w:rPr>
          <w:rFonts w:asciiTheme="minorBidi" w:hAnsiTheme="minorBidi"/>
          <w:rtl/>
        </w:rPr>
        <w:t>- בפ"ק דשבת מניח בעין לרפואה ולכן לא שרי אלא מער"ש, אבל בפ' שמנה שרצים מיירי באדם בריא שמניח תחת העין לתענוג וליכא למיחש לשחיקת סממנין שבת.</w:t>
      </w:r>
    </w:p>
    <w:p w14:paraId="59C04A09" w14:textId="77777777" w:rsidR="006A4BF8" w:rsidRPr="005275DF" w:rsidRDefault="006A4BF8" w:rsidP="00FF2D21">
      <w:pPr>
        <w:pStyle w:val="aa"/>
        <w:numPr>
          <w:ilvl w:val="0"/>
          <w:numId w:val="58"/>
        </w:numPr>
        <w:rPr>
          <w:rFonts w:asciiTheme="minorBidi" w:hAnsiTheme="minorBidi"/>
          <w:rtl/>
        </w:rPr>
      </w:pPr>
      <w:r w:rsidRPr="005275DF">
        <w:rPr>
          <w:rFonts w:asciiTheme="minorBidi" w:hAnsiTheme="minorBidi"/>
          <w:rtl/>
        </w:rPr>
        <w:t xml:space="preserve">סמ"ג </w:t>
      </w:r>
      <w:r w:rsidRPr="005275DF">
        <w:rPr>
          <w:rFonts w:asciiTheme="minorBidi" w:hAnsiTheme="minorBidi"/>
          <w:sz w:val="16"/>
          <w:szCs w:val="16"/>
          <w:rtl/>
        </w:rPr>
        <w:t>(לאוין סה יט:)</w:t>
      </w:r>
      <w:r w:rsidRPr="005275DF">
        <w:rPr>
          <w:rFonts w:asciiTheme="minorBidi" w:hAnsiTheme="minorBidi"/>
          <w:rtl/>
        </w:rPr>
        <w:t>- בפ"ק דשבת מיירי בנותן בתוך העין ממש ובפ' שמנה שרצים מיירי בנותן ע"ג העין.</w:t>
      </w:r>
    </w:p>
    <w:p w14:paraId="40E52AEA"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2AC1F36" w14:textId="77777777" w:rsidR="006A4BF8" w:rsidRPr="005275DF" w:rsidRDefault="006A4BF8" w:rsidP="00434A6A">
      <w:pPr>
        <w:rPr>
          <w:rFonts w:asciiTheme="minorBidi" w:hAnsiTheme="minorBidi"/>
          <w:rtl/>
        </w:rPr>
      </w:pPr>
      <w:r w:rsidRPr="005275DF">
        <w:rPr>
          <w:rFonts w:asciiTheme="minorBidi" w:hAnsiTheme="minorBidi"/>
          <w:rtl/>
        </w:rPr>
        <w:t>שורה אדם קילורין מערב שבת ונותן על גבי העין</w:t>
      </w:r>
      <w:r w:rsidRPr="005275DF">
        <w:rPr>
          <w:rStyle w:val="a9"/>
          <w:rFonts w:asciiTheme="minorBidi" w:hAnsiTheme="minorBidi"/>
          <w:rtl/>
        </w:rPr>
        <w:footnoteReference w:id="3274"/>
      </w:r>
      <w:r w:rsidRPr="005275DF">
        <w:rPr>
          <w:rFonts w:asciiTheme="minorBidi" w:hAnsiTheme="minorBidi"/>
          <w:rtl/>
        </w:rPr>
        <w:t xml:space="preserve"> שאינו נראה אלא כרוחץ, והוא דלא עמיץ ופתח, ולא חיישינן משום שחיקת סמנים דכיון שלא התירו לו לשרותן אלא מערב שבת איכא היכרא.  </w:t>
      </w:r>
    </w:p>
    <w:p w14:paraId="10362A0B" w14:textId="77777777" w:rsidR="006A4BF8" w:rsidRPr="005275DF" w:rsidRDefault="006A4BF8" w:rsidP="00434A6A">
      <w:pPr>
        <w:rPr>
          <w:rFonts w:asciiTheme="minorBidi" w:hAnsiTheme="minorBidi"/>
          <w:rtl/>
        </w:rPr>
      </w:pPr>
    </w:p>
    <w:p w14:paraId="08F7B028"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כב: העברת גלדי המכה, וסיכתה.</w:t>
      </w:r>
    </w:p>
    <w:p w14:paraId="212D9EF0"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נג ע"ב: </w:t>
      </w:r>
      <w:r w:rsidRPr="005275DF">
        <w:rPr>
          <w:rFonts w:asciiTheme="minorBidi" w:hAnsiTheme="minorBidi"/>
          <w:rtl/>
        </w:rPr>
        <w:t>תא שמע: סכין</w:t>
      </w:r>
      <w:r w:rsidRPr="005275DF">
        <w:rPr>
          <w:rStyle w:val="a9"/>
          <w:rFonts w:asciiTheme="minorBidi" w:hAnsiTheme="minorBidi"/>
          <w:rtl/>
        </w:rPr>
        <w:footnoteReference w:id="3275"/>
      </w:r>
      <w:r w:rsidRPr="005275DF">
        <w:rPr>
          <w:rFonts w:asciiTheme="minorBidi" w:hAnsiTheme="minorBidi"/>
          <w:rtl/>
        </w:rPr>
        <w:t xml:space="preserve"> ומפרכסין</w:t>
      </w:r>
      <w:r w:rsidRPr="005275DF">
        <w:rPr>
          <w:rStyle w:val="a9"/>
          <w:rFonts w:asciiTheme="minorBidi" w:hAnsiTheme="minorBidi"/>
          <w:rtl/>
        </w:rPr>
        <w:footnoteReference w:id="3276"/>
      </w:r>
      <w:r w:rsidRPr="005275DF">
        <w:rPr>
          <w:rFonts w:asciiTheme="minorBidi" w:hAnsiTheme="minorBidi"/>
          <w:rtl/>
        </w:rPr>
        <w:t xml:space="preserve"> לאדם ואין סכין ומפרכסין לבהמה. מאי לאו דאיכא מכה, ומשום צער? לא דגמר מכה</w:t>
      </w:r>
      <w:r w:rsidRPr="005275DF">
        <w:rPr>
          <w:rStyle w:val="a9"/>
          <w:rFonts w:asciiTheme="minorBidi" w:hAnsiTheme="minorBidi"/>
          <w:rtl/>
        </w:rPr>
        <w:footnoteReference w:id="3277"/>
      </w:r>
      <w:r w:rsidRPr="005275DF">
        <w:rPr>
          <w:rFonts w:asciiTheme="minorBidi" w:hAnsiTheme="minorBidi"/>
          <w:rtl/>
        </w:rPr>
        <w:t xml:space="preserve"> ומשום תענוג.</w:t>
      </w:r>
    </w:p>
    <w:p w14:paraId="6E371DB3"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קלד ע"ב: </w:t>
      </w:r>
      <w:r w:rsidRPr="005275DF">
        <w:rPr>
          <w:rFonts w:asciiTheme="minorBidi" w:hAnsiTheme="minorBidi"/>
          <w:u w:val="single"/>
          <w:rtl/>
        </w:rPr>
        <w:t>אמר רב:</w:t>
      </w:r>
      <w:r w:rsidRPr="005275DF">
        <w:rPr>
          <w:rFonts w:asciiTheme="minorBidi" w:hAnsiTheme="minorBidi"/>
          <w:rtl/>
        </w:rPr>
        <w:t xml:space="preserve"> אין מונעין חמין ושמן</w:t>
      </w:r>
      <w:r w:rsidRPr="005275DF">
        <w:rPr>
          <w:rStyle w:val="a9"/>
          <w:rFonts w:asciiTheme="minorBidi" w:hAnsiTheme="minorBidi"/>
          <w:rtl/>
        </w:rPr>
        <w:footnoteReference w:id="3278"/>
      </w:r>
      <w:r w:rsidRPr="005275DF">
        <w:rPr>
          <w:rFonts w:asciiTheme="minorBidi" w:hAnsiTheme="minorBidi"/>
          <w:rtl/>
        </w:rPr>
        <w:t xml:space="preserve"> מעל גבי מכה בשבת. </w:t>
      </w:r>
      <w:r w:rsidRPr="005275DF">
        <w:rPr>
          <w:rFonts w:asciiTheme="minorBidi" w:hAnsiTheme="minorBidi"/>
          <w:u w:val="single"/>
          <w:rtl/>
        </w:rPr>
        <w:t>ושמואל אמר:</w:t>
      </w:r>
      <w:r w:rsidRPr="005275DF">
        <w:rPr>
          <w:rFonts w:asciiTheme="minorBidi" w:hAnsiTheme="minorBidi"/>
          <w:rtl/>
        </w:rPr>
        <w:t xml:space="preserve"> נותן חוץ למכה</w:t>
      </w:r>
      <w:r w:rsidRPr="005275DF">
        <w:rPr>
          <w:rStyle w:val="a9"/>
          <w:rFonts w:asciiTheme="minorBidi" w:hAnsiTheme="minorBidi"/>
          <w:rtl/>
        </w:rPr>
        <w:footnoteReference w:id="3279"/>
      </w:r>
      <w:r w:rsidRPr="005275DF">
        <w:rPr>
          <w:rFonts w:asciiTheme="minorBidi" w:hAnsiTheme="minorBidi"/>
          <w:rtl/>
        </w:rPr>
        <w:t xml:space="preserve"> ושותת ויורד למכה.... אין נותנין שמן וחמין על גבי מוך ליתן על גבי מכה בשבת.</w:t>
      </w:r>
    </w:p>
    <w:p w14:paraId="537B44ED"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B101D54" w14:textId="77777777" w:rsidR="006A4BF8" w:rsidRPr="005275DF" w:rsidRDefault="006A4BF8" w:rsidP="00434A6A">
      <w:pPr>
        <w:rPr>
          <w:rFonts w:asciiTheme="minorBidi" w:hAnsiTheme="minorBidi"/>
          <w:rtl/>
        </w:rPr>
      </w:pPr>
      <w:r w:rsidRPr="005275DF">
        <w:rPr>
          <w:rFonts w:asciiTheme="minorBidi" w:hAnsiTheme="minorBidi"/>
          <w:rtl/>
        </w:rPr>
        <w:t xml:space="preserve">מעבירין גלדי המכה וסכין אותה בשמן אבל לא בחלב מפני שהוא נימוח ואפילו בגמר מכה </w:t>
      </w:r>
      <w:r w:rsidRPr="005275DF">
        <w:rPr>
          <w:rStyle w:val="a9"/>
          <w:rFonts w:asciiTheme="minorBidi" w:hAnsiTheme="minorBidi"/>
          <w:rtl/>
        </w:rPr>
        <w:footnoteReference w:id="3280"/>
      </w:r>
      <w:r w:rsidRPr="005275DF">
        <w:rPr>
          <w:rFonts w:asciiTheme="minorBidi" w:hAnsiTheme="minorBidi"/>
          <w:rtl/>
        </w:rPr>
        <w:t>דליכא אלא צערא שרי, אבל אין נותנין עליה שמן וחמין מעורבים יחד, ולא על גבי מוך ליתנו עליה</w:t>
      </w:r>
      <w:r w:rsidRPr="005275DF">
        <w:rPr>
          <w:rStyle w:val="a9"/>
          <w:rFonts w:asciiTheme="minorBidi" w:hAnsiTheme="minorBidi"/>
          <w:rtl/>
        </w:rPr>
        <w:footnoteReference w:id="3281"/>
      </w:r>
      <w:r w:rsidRPr="005275DF">
        <w:rPr>
          <w:rFonts w:asciiTheme="minorBidi" w:hAnsiTheme="minorBidi"/>
          <w:rtl/>
        </w:rPr>
        <w:t xml:space="preserve">, אבל נותן הוא חוץ למכה ושותת ויורד לתוכה. </w:t>
      </w:r>
    </w:p>
    <w:p w14:paraId="7441E233" w14:textId="77777777" w:rsidR="006A4BF8" w:rsidRPr="005275DF" w:rsidRDefault="006A4BF8" w:rsidP="00434A6A">
      <w:pPr>
        <w:rPr>
          <w:rFonts w:asciiTheme="minorBidi" w:hAnsiTheme="minorBidi"/>
          <w:rtl/>
        </w:rPr>
      </w:pPr>
    </w:p>
    <w:p w14:paraId="1E8FB1B2"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כג: נתינת בגדים ע"ג המכה כדי שלא תיסרט.</w:t>
      </w:r>
    </w:p>
    <w:p w14:paraId="09A0B430"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קלד ע"ב: </w:t>
      </w:r>
      <w:r w:rsidRPr="005275DF">
        <w:rPr>
          <w:rFonts w:asciiTheme="minorBidi" w:hAnsiTheme="minorBidi"/>
          <w:rtl/>
        </w:rPr>
        <w:t>תנו רבנן: נותנין על גבי המכה מוך יבש וספוג יבש</w:t>
      </w:r>
      <w:r w:rsidRPr="005275DF">
        <w:rPr>
          <w:rStyle w:val="a9"/>
          <w:rFonts w:asciiTheme="minorBidi" w:hAnsiTheme="minorBidi"/>
          <w:rtl/>
        </w:rPr>
        <w:footnoteReference w:id="3282"/>
      </w:r>
      <w:r w:rsidRPr="005275DF">
        <w:rPr>
          <w:rFonts w:asciiTheme="minorBidi" w:hAnsiTheme="minorBidi"/>
          <w:rtl/>
        </w:rPr>
        <w:t>, אבל לא גמי יבש ולא כתיתין יבשין</w:t>
      </w:r>
      <w:r w:rsidRPr="005275DF">
        <w:rPr>
          <w:rStyle w:val="a9"/>
          <w:rFonts w:asciiTheme="minorBidi" w:hAnsiTheme="minorBidi"/>
          <w:rtl/>
        </w:rPr>
        <w:footnoteReference w:id="3283"/>
      </w:r>
      <w:r w:rsidRPr="005275DF">
        <w:rPr>
          <w:rFonts w:asciiTheme="minorBidi" w:hAnsiTheme="minorBidi"/>
          <w:rtl/>
        </w:rPr>
        <w:t>. קשיא כתיתין אכתיתין</w:t>
      </w:r>
      <w:r w:rsidRPr="005275DF">
        <w:rPr>
          <w:rStyle w:val="a9"/>
          <w:rFonts w:asciiTheme="minorBidi" w:hAnsiTheme="minorBidi"/>
          <w:rtl/>
        </w:rPr>
        <w:footnoteReference w:id="3284"/>
      </w:r>
      <w:r w:rsidRPr="005275DF">
        <w:rPr>
          <w:rFonts w:asciiTheme="minorBidi" w:hAnsiTheme="minorBidi"/>
          <w:rtl/>
        </w:rPr>
        <w:t xml:space="preserve">! לא קשיא, הא בחדתי, הא בעתיקי, </w:t>
      </w:r>
      <w:r w:rsidRPr="005275DF">
        <w:rPr>
          <w:rFonts w:asciiTheme="minorBidi" w:hAnsiTheme="minorBidi"/>
          <w:u w:val="single"/>
          <w:rtl/>
        </w:rPr>
        <w:t>אמר אביי:</w:t>
      </w:r>
      <w:r w:rsidRPr="005275DF">
        <w:rPr>
          <w:rFonts w:asciiTheme="minorBidi" w:hAnsiTheme="minorBidi"/>
          <w:rtl/>
        </w:rPr>
        <w:t xml:space="preserve"> שמע מינה הני כתיתין מסו.</w:t>
      </w:r>
    </w:p>
    <w:p w14:paraId="752D4397" w14:textId="77777777" w:rsidR="006A4BF8" w:rsidRPr="005275DF" w:rsidRDefault="006A4BF8" w:rsidP="00434A6A">
      <w:pPr>
        <w:rPr>
          <w:rFonts w:asciiTheme="minorBidi" w:hAnsiTheme="minorBidi"/>
          <w:u w:val="single"/>
          <w:rtl/>
        </w:rPr>
      </w:pPr>
      <w:r w:rsidRPr="005275DF">
        <w:rPr>
          <w:rFonts w:asciiTheme="minorBidi" w:hAnsiTheme="minorBidi"/>
          <w:u w:val="single"/>
          <w:rtl/>
        </w:rPr>
        <w:t xml:space="preserve">אלו כתיתין מסו </w:t>
      </w:r>
      <w:r w:rsidRPr="005275DF">
        <w:rPr>
          <w:rFonts w:asciiTheme="minorBidi" w:hAnsiTheme="minorBidi"/>
          <w:sz w:val="16"/>
          <w:szCs w:val="16"/>
          <w:u w:val="single"/>
          <w:rtl/>
        </w:rPr>
        <w:t>(ולכן אסור ליתנם ע"ג המכה)</w:t>
      </w:r>
      <w:r w:rsidRPr="005275DF">
        <w:rPr>
          <w:rFonts w:asciiTheme="minorBidi" w:hAnsiTheme="minorBidi"/>
          <w:u w:val="single"/>
          <w:rtl/>
        </w:rPr>
        <w:t xml:space="preserve"> ואלו כתיתין לא מסו:</w:t>
      </w:r>
    </w:p>
    <w:p w14:paraId="6486F3DC" w14:textId="77777777" w:rsidR="006A4BF8" w:rsidRPr="005275DF" w:rsidRDefault="006A4BF8" w:rsidP="00FF2D21">
      <w:pPr>
        <w:pStyle w:val="aa"/>
        <w:numPr>
          <w:ilvl w:val="0"/>
          <w:numId w:val="59"/>
        </w:numPr>
        <w:rPr>
          <w:rFonts w:asciiTheme="minorBidi" w:hAnsiTheme="minorBidi"/>
          <w:rtl/>
        </w:rPr>
      </w:pPr>
      <w:r w:rsidRPr="005275DF">
        <w:rPr>
          <w:rFonts w:asciiTheme="minorBidi" w:hAnsiTheme="minorBidi"/>
          <w:rtl/>
        </w:rPr>
        <w:t>רא"ש</w:t>
      </w:r>
      <w:r w:rsidRPr="005275DF">
        <w:rPr>
          <w:rStyle w:val="a9"/>
          <w:rFonts w:asciiTheme="minorBidi" w:hAnsiTheme="minorBidi"/>
          <w:rtl/>
        </w:rPr>
        <w:footnoteReference w:id="3285"/>
      </w:r>
      <w:r w:rsidRPr="005275DF">
        <w:rPr>
          <w:rFonts w:asciiTheme="minorBidi" w:hAnsiTheme="minorBidi"/>
          <w:rtl/>
        </w:rPr>
        <w:t xml:space="preserve"> </w:t>
      </w:r>
      <w:r w:rsidRPr="005275DF">
        <w:rPr>
          <w:rFonts w:asciiTheme="minorBidi" w:hAnsiTheme="minorBidi"/>
          <w:sz w:val="16"/>
          <w:szCs w:val="16"/>
          <w:rtl/>
        </w:rPr>
        <w:t>(סי' ג)</w:t>
      </w:r>
      <w:r w:rsidRPr="005275DF">
        <w:rPr>
          <w:rFonts w:asciiTheme="minorBidi" w:hAnsiTheme="minorBidi"/>
          <w:rtl/>
        </w:rPr>
        <w:t xml:space="preserve"> וטור- חדתי לא מסו וכן ישנים שניתנו בעבר ע"ג המכה, אבל ישנים שלא ניתנו מעולם ע"ג המכה מסו.</w:t>
      </w:r>
      <w:r w:rsidRPr="005275DF">
        <w:rPr>
          <w:rFonts w:asciiTheme="minorBidi" w:hAnsiTheme="minorBidi"/>
          <w:color w:val="E36C0A" w:themeColor="accent6" w:themeShade="BF"/>
          <w:rtl/>
        </w:rPr>
        <w:t xml:space="preserve"> (וכ"פ בשו"ע)</w:t>
      </w:r>
      <w:r w:rsidRPr="005275DF">
        <w:rPr>
          <w:rFonts w:asciiTheme="minorBidi" w:hAnsiTheme="minorBidi"/>
          <w:rtl/>
        </w:rPr>
        <w:t xml:space="preserve"> </w:t>
      </w:r>
    </w:p>
    <w:p w14:paraId="28463071" w14:textId="77777777" w:rsidR="006A4BF8" w:rsidRPr="005275DF" w:rsidRDefault="006A4BF8" w:rsidP="00FF2D21">
      <w:pPr>
        <w:pStyle w:val="aa"/>
        <w:numPr>
          <w:ilvl w:val="0"/>
          <w:numId w:val="59"/>
        </w:numPr>
        <w:rPr>
          <w:rFonts w:asciiTheme="minorBidi" w:hAnsiTheme="minorBidi"/>
        </w:rPr>
      </w:pPr>
      <w:r w:rsidRPr="005275DF">
        <w:rPr>
          <w:rFonts w:asciiTheme="minorBidi" w:hAnsiTheme="minorBidi"/>
          <w:rtl/>
        </w:rPr>
        <w:t xml:space="preserve">רי"ף- עתיקי מסו חדתי לא מסו.  </w:t>
      </w:r>
    </w:p>
    <w:p w14:paraId="27BD19A6" w14:textId="77777777" w:rsidR="006A4BF8" w:rsidRPr="005275DF" w:rsidRDefault="006A4BF8" w:rsidP="00FF2D21">
      <w:pPr>
        <w:pStyle w:val="aa"/>
        <w:numPr>
          <w:ilvl w:val="0"/>
          <w:numId w:val="59"/>
        </w:numPr>
        <w:rPr>
          <w:rFonts w:asciiTheme="minorBidi" w:hAnsiTheme="minorBidi"/>
        </w:rPr>
      </w:pPr>
      <w:r w:rsidRPr="005275DF">
        <w:rPr>
          <w:rFonts w:asciiTheme="minorBidi" w:hAnsiTheme="minorBidi"/>
          <w:rtl/>
        </w:rPr>
        <w:t>רש"י- עתיקי לא מסו, אבל חדשים שלא היו ע"ג מכה מעולם- מסו.</w:t>
      </w:r>
    </w:p>
    <w:p w14:paraId="1C8DAA6E"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r w:rsidRPr="005275DF">
        <w:rPr>
          <w:rFonts w:asciiTheme="minorBidi" w:hAnsiTheme="minorBidi"/>
          <w:rtl/>
        </w:rPr>
        <w:t xml:space="preserve"> </w:t>
      </w:r>
    </w:p>
    <w:p w14:paraId="01D00F7D" w14:textId="77777777" w:rsidR="006A4BF8" w:rsidRPr="005275DF" w:rsidRDefault="006A4BF8" w:rsidP="00434A6A">
      <w:pPr>
        <w:rPr>
          <w:rFonts w:asciiTheme="minorBidi" w:hAnsiTheme="minorBidi"/>
          <w:rtl/>
        </w:rPr>
      </w:pPr>
      <w:r w:rsidRPr="005275DF">
        <w:rPr>
          <w:rFonts w:asciiTheme="minorBidi" w:hAnsiTheme="minorBidi"/>
          <w:rtl/>
        </w:rPr>
        <w:t>נותנין ספוג וחתיכות בגדים יבשים וחדשים שאינן לרפואה</w:t>
      </w:r>
      <w:r w:rsidRPr="005275DF">
        <w:rPr>
          <w:rStyle w:val="a9"/>
          <w:rFonts w:asciiTheme="minorBidi" w:hAnsiTheme="minorBidi"/>
          <w:rtl/>
        </w:rPr>
        <w:footnoteReference w:id="3286"/>
      </w:r>
      <w:r w:rsidRPr="005275DF">
        <w:rPr>
          <w:rFonts w:asciiTheme="minorBidi" w:hAnsiTheme="minorBidi"/>
          <w:rtl/>
        </w:rPr>
        <w:t xml:space="preserve"> אלא כדי שלא יסרטו הבגדים את המכה אבל לא ישנים שהם מרפאים, והני מילי ישנים שלא נתנו מעולם על המכה אבל אם היו כבר על המכה אפילו ישנים שרי דשוב אינם מרפאים. </w:t>
      </w:r>
    </w:p>
    <w:p w14:paraId="25EED380" w14:textId="77777777" w:rsidR="006A4BF8" w:rsidRPr="005275DF" w:rsidRDefault="006A4BF8" w:rsidP="00434A6A">
      <w:pPr>
        <w:rPr>
          <w:rFonts w:asciiTheme="minorBidi" w:hAnsiTheme="minorBidi"/>
          <w:rtl/>
        </w:rPr>
      </w:pPr>
    </w:p>
    <w:p w14:paraId="5634ABF8"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כד: נתינת עלה או גמי ע"ג המכה.</w:t>
      </w:r>
    </w:p>
    <w:p w14:paraId="3DB62B1A" w14:textId="77777777" w:rsidR="006A4BF8" w:rsidRPr="005275DF" w:rsidRDefault="006A4BF8" w:rsidP="00434A6A">
      <w:pPr>
        <w:rPr>
          <w:rFonts w:asciiTheme="minorBidi" w:hAnsiTheme="minorBidi"/>
          <w:sz w:val="16"/>
          <w:szCs w:val="16"/>
          <w:rtl/>
        </w:rPr>
      </w:pPr>
      <w:r w:rsidRPr="005275DF">
        <w:rPr>
          <w:rFonts w:asciiTheme="minorBidi" w:hAnsiTheme="minorBidi"/>
          <w:b/>
          <w:bCs/>
          <w:rtl/>
        </w:rPr>
        <w:t>ירושלמי</w:t>
      </w:r>
      <w:r w:rsidRPr="005275DF">
        <w:rPr>
          <w:rFonts w:asciiTheme="minorBidi" w:hAnsiTheme="minorBidi"/>
          <w:b/>
          <w:bCs/>
          <w:sz w:val="16"/>
          <w:szCs w:val="16"/>
          <w:rtl/>
        </w:rPr>
        <w:t xml:space="preserve"> (וילנא)</w:t>
      </w:r>
      <w:r w:rsidRPr="005275DF">
        <w:rPr>
          <w:rFonts w:asciiTheme="minorBidi" w:hAnsiTheme="minorBidi"/>
          <w:b/>
          <w:bCs/>
          <w:rtl/>
        </w:rPr>
        <w:t xml:space="preserve"> שבת פ"ו ה"ב:</w:t>
      </w:r>
      <w:r w:rsidRPr="005275DF">
        <w:rPr>
          <w:rFonts w:asciiTheme="minorBidi" w:hAnsiTheme="minorBidi"/>
          <w:rtl/>
        </w:rPr>
        <w:t xml:space="preserve"> </w:t>
      </w:r>
      <w:r w:rsidRPr="005275DF">
        <w:rPr>
          <w:rFonts w:asciiTheme="minorBidi" w:hAnsiTheme="minorBidi"/>
          <w:u w:val="single"/>
          <w:rtl/>
        </w:rPr>
        <w:t>רבי אבון בשם רבנין דתמן:</w:t>
      </w:r>
      <w:r w:rsidRPr="005275DF">
        <w:rPr>
          <w:rFonts w:asciiTheme="minorBidi" w:hAnsiTheme="minorBidi"/>
          <w:rtl/>
        </w:rPr>
        <w:t xml:space="preserve"> נותנין על גבי מכה בשבת שאינו אלא כמשמרה. </w:t>
      </w:r>
      <w:r w:rsidRPr="005275DF">
        <w:rPr>
          <w:rFonts w:asciiTheme="minorBidi" w:hAnsiTheme="minorBidi"/>
          <w:u w:val="single"/>
          <w:rtl/>
        </w:rPr>
        <w:t>אמר רבי תנחומא:</w:t>
      </w:r>
      <w:r w:rsidRPr="005275DF">
        <w:rPr>
          <w:rFonts w:asciiTheme="minorBidi" w:hAnsiTheme="minorBidi"/>
          <w:rtl/>
        </w:rPr>
        <w:t xml:space="preserve"> חוץ מעלי גפנים שהן לרפואה. </w:t>
      </w:r>
      <w:r w:rsidRPr="005275DF">
        <w:rPr>
          <w:rFonts w:asciiTheme="minorBidi" w:hAnsiTheme="minorBidi"/>
          <w:sz w:val="16"/>
          <w:szCs w:val="16"/>
          <w:rtl/>
        </w:rPr>
        <w:t>(וכ"פ הסמ"ג הביאוהו ההגה"מ)</w:t>
      </w:r>
    </w:p>
    <w:p w14:paraId="10A04E67" w14:textId="77777777" w:rsidR="006A4BF8" w:rsidRPr="005275DF" w:rsidRDefault="006A4BF8" w:rsidP="00434A6A">
      <w:pPr>
        <w:rPr>
          <w:rFonts w:asciiTheme="minorBidi" w:hAnsiTheme="minorBidi"/>
          <w:rtl/>
        </w:rPr>
      </w:pPr>
      <w:r w:rsidRPr="005275DF">
        <w:rPr>
          <w:rFonts w:asciiTheme="minorBidi" w:hAnsiTheme="minorBidi"/>
          <w:b/>
          <w:bCs/>
          <w:rtl/>
        </w:rPr>
        <w:t xml:space="preserve">ערובין קג ע"ב: </w:t>
      </w:r>
      <w:r w:rsidRPr="005275DF">
        <w:rPr>
          <w:rFonts w:asciiTheme="minorBidi" w:hAnsiTheme="minorBidi"/>
          <w:u w:val="double"/>
          <w:rtl/>
        </w:rPr>
        <w:t>משנה:</w:t>
      </w:r>
      <w:r w:rsidRPr="005275DF">
        <w:rPr>
          <w:rFonts w:asciiTheme="minorBidi" w:hAnsiTheme="minorBidi"/>
          <w:rtl/>
        </w:rPr>
        <w:t xml:space="preserve"> כהן שלקה באצבעו כורך עליה גמי במקדש אבל לא במדינה</w:t>
      </w:r>
      <w:r w:rsidRPr="005275DF">
        <w:rPr>
          <w:rStyle w:val="a9"/>
          <w:rFonts w:asciiTheme="minorBidi" w:hAnsiTheme="minorBidi"/>
          <w:rtl/>
        </w:rPr>
        <w:footnoteReference w:id="3287"/>
      </w:r>
      <w:r w:rsidRPr="005275DF">
        <w:rPr>
          <w:rFonts w:asciiTheme="minorBidi" w:hAnsiTheme="minorBidi"/>
          <w:rtl/>
        </w:rPr>
        <w:t>...</w:t>
      </w:r>
    </w:p>
    <w:p w14:paraId="70EC839B"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C81C85F" w14:textId="77777777" w:rsidR="006A4BF8" w:rsidRPr="005275DF" w:rsidRDefault="006A4BF8" w:rsidP="00434A6A">
      <w:pPr>
        <w:rPr>
          <w:rFonts w:asciiTheme="minorBidi" w:hAnsiTheme="minorBidi"/>
          <w:sz w:val="18"/>
          <w:szCs w:val="18"/>
          <w:rtl/>
        </w:rPr>
      </w:pPr>
      <w:r w:rsidRPr="005275DF">
        <w:rPr>
          <w:rFonts w:asciiTheme="minorBidi" w:hAnsiTheme="minorBidi"/>
          <w:rtl/>
        </w:rPr>
        <w:t>נותנים עלה על גב מכה בשבת שאינו אלא כמשמרה חוץ מעלי גפנים שהם לרפואה</w:t>
      </w:r>
      <w:r w:rsidRPr="005275DF">
        <w:rPr>
          <w:rStyle w:val="a9"/>
          <w:rFonts w:asciiTheme="minorBidi" w:hAnsiTheme="minorBidi"/>
          <w:rtl/>
        </w:rPr>
        <w:footnoteReference w:id="3288"/>
      </w:r>
      <w:r w:rsidRPr="005275DF">
        <w:rPr>
          <w:rFonts w:asciiTheme="minorBidi" w:hAnsiTheme="minorBidi"/>
          <w:rtl/>
        </w:rPr>
        <w:t xml:space="preserve">. </w:t>
      </w:r>
      <w:r w:rsidRPr="005275DF">
        <w:rPr>
          <w:rFonts w:asciiTheme="minorBidi" w:hAnsiTheme="minorBidi"/>
          <w:sz w:val="18"/>
          <w:szCs w:val="18"/>
          <w:rtl/>
        </w:rPr>
        <w:t xml:space="preserve">הגה: ואין נותנין גמי על המכה שהוא מרפא (טור). </w:t>
      </w:r>
    </w:p>
    <w:p w14:paraId="59F0B01D" w14:textId="77777777" w:rsidR="006A4BF8" w:rsidRPr="005275DF" w:rsidRDefault="006A4BF8" w:rsidP="00434A6A">
      <w:pPr>
        <w:rPr>
          <w:rFonts w:asciiTheme="minorBidi" w:hAnsiTheme="minorBidi"/>
          <w:rtl/>
        </w:rPr>
      </w:pPr>
    </w:p>
    <w:p w14:paraId="01A12CF1"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כה: הנחת/החזרת רטייה.</w:t>
      </w:r>
    </w:p>
    <w:p w14:paraId="1F45DC50" w14:textId="77777777" w:rsidR="006A4BF8" w:rsidRPr="005275DF" w:rsidRDefault="006A4BF8" w:rsidP="00434A6A">
      <w:pPr>
        <w:rPr>
          <w:rFonts w:asciiTheme="minorBidi" w:hAnsiTheme="minorBidi"/>
          <w:rtl/>
        </w:rPr>
      </w:pPr>
      <w:r w:rsidRPr="005275DF">
        <w:rPr>
          <w:rFonts w:asciiTheme="minorBidi" w:hAnsiTheme="minorBidi"/>
          <w:b/>
          <w:bCs/>
          <w:rtl/>
        </w:rPr>
        <w:t xml:space="preserve">ערובין קב ע"ב: </w:t>
      </w:r>
      <w:r w:rsidRPr="005275DF">
        <w:rPr>
          <w:rFonts w:asciiTheme="minorBidi" w:hAnsiTheme="minorBidi"/>
          <w:u w:val="double"/>
          <w:rtl/>
        </w:rPr>
        <w:t>משנה</w:t>
      </w:r>
      <w:r w:rsidRPr="005275DF">
        <w:rPr>
          <w:rFonts w:asciiTheme="minorBidi" w:hAnsiTheme="minorBidi"/>
          <w:rtl/>
        </w:rPr>
        <w:t>: מחזירין רטיה במקדש</w:t>
      </w:r>
      <w:r w:rsidRPr="005275DF">
        <w:rPr>
          <w:rStyle w:val="a9"/>
          <w:rFonts w:asciiTheme="minorBidi" w:hAnsiTheme="minorBidi"/>
          <w:rtl/>
        </w:rPr>
        <w:footnoteReference w:id="3289"/>
      </w:r>
      <w:r w:rsidRPr="005275DF">
        <w:rPr>
          <w:rFonts w:asciiTheme="minorBidi" w:hAnsiTheme="minorBidi"/>
          <w:rtl/>
        </w:rPr>
        <w:t xml:space="preserve"> אבל לא במדינה</w:t>
      </w:r>
      <w:r w:rsidRPr="005275DF">
        <w:rPr>
          <w:rStyle w:val="a9"/>
          <w:rFonts w:asciiTheme="minorBidi" w:hAnsiTheme="minorBidi"/>
          <w:rtl/>
        </w:rPr>
        <w:footnoteReference w:id="3290"/>
      </w:r>
      <w:r w:rsidRPr="005275DF">
        <w:rPr>
          <w:rFonts w:asciiTheme="minorBidi" w:hAnsiTheme="minorBidi"/>
          <w:rtl/>
        </w:rPr>
        <w:t>, אם בתחילה</w:t>
      </w:r>
      <w:r w:rsidRPr="005275DF">
        <w:rPr>
          <w:rStyle w:val="a9"/>
          <w:rFonts w:asciiTheme="minorBidi" w:hAnsiTheme="minorBidi"/>
          <w:rtl/>
        </w:rPr>
        <w:footnoteReference w:id="3291"/>
      </w:r>
      <w:r w:rsidRPr="005275DF">
        <w:rPr>
          <w:rFonts w:asciiTheme="minorBidi" w:hAnsiTheme="minorBidi"/>
          <w:rtl/>
        </w:rPr>
        <w:t xml:space="preserve"> כאן וכאן אסור</w:t>
      </w:r>
      <w:r w:rsidRPr="005275DF">
        <w:rPr>
          <w:rStyle w:val="a9"/>
          <w:rFonts w:asciiTheme="minorBidi" w:hAnsiTheme="minorBidi"/>
          <w:rtl/>
        </w:rPr>
        <w:footnoteReference w:id="3292"/>
      </w:r>
      <w:r w:rsidRPr="005275DF">
        <w:rPr>
          <w:rFonts w:asciiTheme="minorBidi" w:hAnsiTheme="minorBidi"/>
          <w:rtl/>
        </w:rPr>
        <w:t xml:space="preserve">.      </w:t>
      </w:r>
      <w:r w:rsidRPr="005275DF">
        <w:rPr>
          <w:rFonts w:asciiTheme="minorBidi" w:hAnsiTheme="minorBidi"/>
          <w:u w:val="double"/>
          <w:rtl/>
        </w:rPr>
        <w:t>גמ':</w:t>
      </w:r>
      <w:r w:rsidRPr="005275DF">
        <w:rPr>
          <w:rFonts w:asciiTheme="minorBidi" w:hAnsiTheme="minorBidi"/>
          <w:rtl/>
        </w:rPr>
        <w:t xml:space="preserve"> תנו רבנן: רטיה שפרשה</w:t>
      </w:r>
      <w:r w:rsidRPr="005275DF">
        <w:rPr>
          <w:rStyle w:val="a9"/>
          <w:rFonts w:asciiTheme="minorBidi" w:hAnsiTheme="minorBidi"/>
          <w:rtl/>
        </w:rPr>
        <w:footnoteReference w:id="3293"/>
      </w:r>
      <w:r w:rsidRPr="005275DF">
        <w:rPr>
          <w:rFonts w:asciiTheme="minorBidi" w:hAnsiTheme="minorBidi"/>
          <w:rtl/>
        </w:rPr>
        <w:t xml:space="preserve"> מעל גבי מכה מחזירין בשבת</w:t>
      </w:r>
      <w:r w:rsidRPr="005275DF">
        <w:rPr>
          <w:rStyle w:val="a9"/>
          <w:rFonts w:asciiTheme="minorBidi" w:hAnsiTheme="minorBidi"/>
          <w:rtl/>
        </w:rPr>
        <w:footnoteReference w:id="3294"/>
      </w:r>
      <w:r w:rsidRPr="005275DF">
        <w:rPr>
          <w:rFonts w:asciiTheme="minorBidi" w:hAnsiTheme="minorBidi"/>
          <w:rtl/>
        </w:rPr>
        <w:t xml:space="preserve">. </w:t>
      </w:r>
      <w:r w:rsidRPr="005275DF">
        <w:rPr>
          <w:rFonts w:asciiTheme="minorBidi" w:hAnsiTheme="minorBidi"/>
          <w:u w:val="single"/>
          <w:rtl/>
        </w:rPr>
        <w:t>רבי יהודה אומ</w:t>
      </w:r>
      <w:r w:rsidRPr="005275DF">
        <w:rPr>
          <w:rFonts w:asciiTheme="minorBidi" w:hAnsiTheme="minorBidi"/>
          <w:rtl/>
        </w:rPr>
        <w:t>ר</w:t>
      </w:r>
      <w:r w:rsidRPr="005275DF">
        <w:rPr>
          <w:rStyle w:val="a9"/>
          <w:rFonts w:asciiTheme="minorBidi" w:hAnsiTheme="minorBidi"/>
          <w:rtl/>
        </w:rPr>
        <w:footnoteReference w:id="3295"/>
      </w:r>
      <w:r w:rsidRPr="005275DF">
        <w:rPr>
          <w:rFonts w:asciiTheme="minorBidi" w:hAnsiTheme="minorBidi"/>
          <w:rtl/>
        </w:rPr>
        <w:t>: הוחלקה למטה דוחקה למעלה, למעלה דוחקה למטה. ומגלה מקצת הרטיה ומקנח פי המכה וחוזר ומגלה מקצת רטיה ומקנח פי המכה. ורטיה עצמה לא יקנח מפני שהוא ממרח</w:t>
      </w:r>
      <w:r w:rsidRPr="005275DF">
        <w:rPr>
          <w:rStyle w:val="a9"/>
          <w:rFonts w:asciiTheme="minorBidi" w:hAnsiTheme="minorBidi"/>
          <w:rtl/>
        </w:rPr>
        <w:footnoteReference w:id="3296"/>
      </w:r>
      <w:r w:rsidRPr="005275DF">
        <w:rPr>
          <w:rFonts w:asciiTheme="minorBidi" w:hAnsiTheme="minorBidi"/>
          <w:rtl/>
        </w:rPr>
        <w:t xml:space="preserve">, ואם מירח חייב חטאת. </w:t>
      </w:r>
      <w:r w:rsidRPr="005275DF">
        <w:rPr>
          <w:rFonts w:asciiTheme="minorBidi" w:hAnsiTheme="minorBidi"/>
          <w:u w:val="single"/>
          <w:rtl/>
        </w:rPr>
        <w:t>אמר רב יהודה אמר שמואל:</w:t>
      </w:r>
      <w:r w:rsidRPr="005275DF">
        <w:rPr>
          <w:rFonts w:asciiTheme="minorBidi" w:hAnsiTheme="minorBidi"/>
          <w:rtl/>
        </w:rPr>
        <w:t xml:space="preserve"> הלכה כרבי יהודה. </w:t>
      </w:r>
      <w:r w:rsidRPr="005275DF">
        <w:rPr>
          <w:rFonts w:asciiTheme="minorBidi" w:hAnsiTheme="minorBidi"/>
          <w:u w:val="single"/>
          <w:rtl/>
        </w:rPr>
        <w:t>אמר רב חסדא</w:t>
      </w:r>
      <w:r w:rsidRPr="005275DF">
        <w:rPr>
          <w:rFonts w:asciiTheme="minorBidi" w:hAnsiTheme="minorBidi"/>
          <w:rtl/>
        </w:rPr>
        <w:t>: לא שנו אלא שפירשה על גבי כלי</w:t>
      </w:r>
      <w:r w:rsidRPr="005275DF">
        <w:rPr>
          <w:rStyle w:val="a9"/>
          <w:rFonts w:asciiTheme="minorBidi" w:hAnsiTheme="minorBidi"/>
          <w:rtl/>
        </w:rPr>
        <w:footnoteReference w:id="3297"/>
      </w:r>
      <w:r w:rsidRPr="005275DF">
        <w:rPr>
          <w:rFonts w:asciiTheme="minorBidi" w:hAnsiTheme="minorBidi"/>
          <w:rtl/>
        </w:rPr>
        <w:t xml:space="preserve"> אבל פירשה על גבי קרקע</w:t>
      </w:r>
      <w:r w:rsidRPr="005275DF">
        <w:rPr>
          <w:rStyle w:val="a9"/>
          <w:rFonts w:asciiTheme="minorBidi" w:hAnsiTheme="minorBidi"/>
          <w:rtl/>
        </w:rPr>
        <w:footnoteReference w:id="3298"/>
      </w:r>
      <w:r w:rsidRPr="005275DF">
        <w:rPr>
          <w:rFonts w:asciiTheme="minorBidi" w:hAnsiTheme="minorBidi"/>
          <w:rtl/>
        </w:rPr>
        <w:t xml:space="preserve"> דברי הכל אסור. </w:t>
      </w:r>
      <w:r w:rsidRPr="005275DF">
        <w:rPr>
          <w:rFonts w:asciiTheme="minorBidi" w:hAnsiTheme="minorBidi"/>
          <w:u w:val="single"/>
          <w:rtl/>
        </w:rPr>
        <w:t>אמר מר בר רב אשי</w:t>
      </w:r>
      <w:r w:rsidRPr="005275DF">
        <w:rPr>
          <w:rFonts w:asciiTheme="minorBidi" w:hAnsiTheme="minorBidi"/>
          <w:rtl/>
        </w:rPr>
        <w:t>: הוה קאימנא קמיה אבא, נפלה ליה אבי סדיא</w:t>
      </w:r>
      <w:r w:rsidRPr="005275DF">
        <w:rPr>
          <w:rStyle w:val="a9"/>
          <w:rFonts w:asciiTheme="minorBidi" w:hAnsiTheme="minorBidi"/>
          <w:rtl/>
        </w:rPr>
        <w:footnoteReference w:id="3299"/>
      </w:r>
      <w:r w:rsidRPr="005275DF">
        <w:rPr>
          <w:rFonts w:asciiTheme="minorBidi" w:hAnsiTheme="minorBidi"/>
          <w:rtl/>
        </w:rPr>
        <w:t xml:space="preserve"> וקא מהדר ליה. אמינא ליה: לא סבר לה מר להא דאמר רב חסדא</w:t>
      </w:r>
      <w:r w:rsidRPr="005275DF">
        <w:rPr>
          <w:rStyle w:val="a9"/>
          <w:rFonts w:asciiTheme="minorBidi" w:hAnsiTheme="minorBidi"/>
          <w:rtl/>
        </w:rPr>
        <w:footnoteReference w:id="3300"/>
      </w:r>
      <w:r w:rsidRPr="005275DF">
        <w:rPr>
          <w:rFonts w:asciiTheme="minorBidi" w:hAnsiTheme="minorBidi"/>
          <w:rtl/>
        </w:rPr>
        <w:t>: מחלוקת שפירשה על גבי כלי, אבל פירשה על גבי קרקע אסור ואמר שמואל הלכה כרבי יהודה, אמר לי: לא שמיע לי</w:t>
      </w:r>
      <w:r w:rsidRPr="005275DF">
        <w:rPr>
          <w:rStyle w:val="a9"/>
          <w:rFonts w:asciiTheme="minorBidi" w:hAnsiTheme="minorBidi"/>
          <w:rtl/>
        </w:rPr>
        <w:footnoteReference w:id="3301"/>
      </w:r>
      <w:r w:rsidRPr="005275DF">
        <w:rPr>
          <w:rFonts w:asciiTheme="minorBidi" w:hAnsiTheme="minorBidi"/>
          <w:rtl/>
        </w:rPr>
        <w:t>. כלומר: לא סבירא לי.</w:t>
      </w:r>
    </w:p>
    <w:p w14:paraId="5621BCD5" w14:textId="77777777" w:rsidR="006A4BF8" w:rsidRPr="005275DF" w:rsidRDefault="006A4BF8" w:rsidP="00434A6A">
      <w:pPr>
        <w:rPr>
          <w:rFonts w:asciiTheme="minorBidi" w:hAnsiTheme="minorBidi"/>
          <w:u w:val="single"/>
          <w:rtl/>
        </w:rPr>
      </w:pPr>
      <w:r w:rsidRPr="005275DF">
        <w:rPr>
          <w:rFonts w:asciiTheme="minorBidi" w:hAnsiTheme="minorBidi"/>
          <w:u w:val="single"/>
          <w:rtl/>
        </w:rPr>
        <w:t>במה נחלקו ת"ק ור' יהודה, וכיצד נפסק:</w:t>
      </w:r>
    </w:p>
    <w:p w14:paraId="67561F91" w14:textId="77777777" w:rsidR="006A4BF8" w:rsidRPr="005275DF" w:rsidRDefault="006A4BF8" w:rsidP="00FF2D21">
      <w:pPr>
        <w:pStyle w:val="aa"/>
        <w:numPr>
          <w:ilvl w:val="0"/>
          <w:numId w:val="61"/>
        </w:numPr>
        <w:rPr>
          <w:rFonts w:asciiTheme="minorBidi" w:hAnsiTheme="minorBidi"/>
        </w:rPr>
      </w:pPr>
      <w:r w:rsidRPr="005275DF">
        <w:rPr>
          <w:rFonts w:asciiTheme="minorBidi" w:hAnsiTheme="minorBidi"/>
          <w:rtl/>
        </w:rPr>
        <w:t>רי"ף- במקרה שנפלה הרטייה ע"ג כלי, והלכה כת"ק.</w:t>
      </w:r>
    </w:p>
    <w:p w14:paraId="6E05DA49" w14:textId="77777777" w:rsidR="006A4BF8" w:rsidRPr="005275DF" w:rsidRDefault="006A4BF8" w:rsidP="00FF2D21">
      <w:pPr>
        <w:pStyle w:val="aa"/>
        <w:numPr>
          <w:ilvl w:val="0"/>
          <w:numId w:val="61"/>
        </w:numPr>
        <w:rPr>
          <w:rFonts w:asciiTheme="minorBidi" w:hAnsiTheme="minorBidi"/>
        </w:rPr>
      </w:pPr>
      <w:r w:rsidRPr="005275DF">
        <w:rPr>
          <w:rFonts w:asciiTheme="minorBidi" w:hAnsiTheme="minorBidi"/>
          <w:rtl/>
        </w:rPr>
        <w:t>רא"ש- במקרה שנפלה הרטייה ע"ג כלי, והלכה כת"ק, אי נמי- פליגי בנפל ע"ג הקרקע, והלכה כר' יהודה.</w:t>
      </w:r>
    </w:p>
    <w:p w14:paraId="71940FD6" w14:textId="77777777" w:rsidR="006A4BF8" w:rsidRPr="005275DF" w:rsidRDefault="006A4BF8" w:rsidP="00FF2D21">
      <w:pPr>
        <w:pStyle w:val="aa"/>
        <w:numPr>
          <w:ilvl w:val="0"/>
          <w:numId w:val="61"/>
        </w:numPr>
        <w:rPr>
          <w:rFonts w:asciiTheme="minorBidi" w:hAnsiTheme="minorBidi"/>
        </w:rPr>
      </w:pPr>
      <w:r w:rsidRPr="005275DF">
        <w:rPr>
          <w:rFonts w:asciiTheme="minorBidi" w:hAnsiTheme="minorBidi"/>
          <w:rtl/>
        </w:rPr>
        <w:t>העיטור- במקרה שנפלה הרטייה ע"ג הקרקע, והלכה כר' יהודה.</w:t>
      </w:r>
    </w:p>
    <w:p w14:paraId="5830858B" w14:textId="77777777" w:rsidR="006A4BF8" w:rsidRPr="005275DF" w:rsidRDefault="006A4BF8" w:rsidP="00FF2D21">
      <w:pPr>
        <w:pStyle w:val="aa"/>
        <w:numPr>
          <w:ilvl w:val="0"/>
          <w:numId w:val="61"/>
        </w:numPr>
        <w:rPr>
          <w:rFonts w:asciiTheme="minorBidi" w:hAnsiTheme="minorBidi"/>
          <w:rtl/>
        </w:rPr>
      </w:pPr>
      <w:r w:rsidRPr="005275DF">
        <w:rPr>
          <w:rFonts w:asciiTheme="minorBidi" w:hAnsiTheme="minorBidi"/>
          <w:noProof/>
          <w:rtl/>
        </w:rPr>
        <mc:AlternateContent>
          <mc:Choice Requires="wps">
            <w:drawing>
              <wp:anchor distT="0" distB="0" distL="114300" distR="114300" simplePos="0" relativeHeight="251658241" behindDoc="0" locked="0" layoutInCell="1" allowOverlap="1" wp14:anchorId="26A482DB" wp14:editId="103CE1CE">
                <wp:simplePos x="0" y="0"/>
                <wp:positionH relativeFrom="column">
                  <wp:posOffset>4920689</wp:posOffset>
                </wp:positionH>
                <wp:positionV relativeFrom="paragraph">
                  <wp:posOffset>178278</wp:posOffset>
                </wp:positionV>
                <wp:extent cx="71252" cy="142504"/>
                <wp:effectExtent l="19050" t="0" r="43180" b="29210"/>
                <wp:wrapNone/>
                <wp:docPr id="14" name="Down Arrow 14"/>
                <wp:cNvGraphicFramePr/>
                <a:graphic xmlns:a="http://schemas.openxmlformats.org/drawingml/2006/main">
                  <a:graphicData uri="http://schemas.microsoft.com/office/word/2010/wordprocessingShape">
                    <wps:wsp>
                      <wps:cNvSpPr/>
                      <wps:spPr>
                        <a:xfrm>
                          <a:off x="0" y="0"/>
                          <a:ext cx="71252" cy="142504"/>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51DDC6C1" id="Down Arrow 14" o:spid="_x0000_s1026" type="#_x0000_t67" style="position:absolute;left:0;text-align:left;margin-left:387.45pt;margin-top:14.05pt;width:5.6pt;height:1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" fillcolor="black [3200]" strokecolor="black [1600]" strokeweight="2pt"/>
            </w:pict>
          </mc:Fallback>
        </mc:AlternateContent>
      </w:r>
      <w:r w:rsidRPr="005275DF">
        <w:rPr>
          <w:rFonts w:asciiTheme="minorBidi" w:hAnsiTheme="minorBidi"/>
          <w:rtl/>
        </w:rPr>
        <w:t>ראב"ד</w:t>
      </w:r>
      <w:r w:rsidRPr="005275DF">
        <w:rPr>
          <w:rStyle w:val="a9"/>
          <w:rFonts w:asciiTheme="minorBidi" w:hAnsiTheme="minorBidi"/>
          <w:rtl/>
        </w:rPr>
        <w:footnoteReference w:id="3302"/>
      </w:r>
      <w:r w:rsidRPr="005275DF">
        <w:rPr>
          <w:rFonts w:asciiTheme="minorBidi" w:hAnsiTheme="minorBidi"/>
          <w:rtl/>
        </w:rPr>
        <w:t xml:space="preserve">- </w:t>
      </w:r>
      <w:r w:rsidRPr="005275DF">
        <w:rPr>
          <w:rStyle w:val="a9"/>
          <w:rFonts w:asciiTheme="minorBidi" w:hAnsiTheme="minorBidi"/>
          <w:rtl/>
        </w:rPr>
        <w:footnoteReference w:id="3303"/>
      </w:r>
      <w:r w:rsidRPr="005275DF">
        <w:rPr>
          <w:rFonts w:asciiTheme="minorBidi" w:hAnsiTheme="minorBidi"/>
          <w:rtl/>
        </w:rPr>
        <w:t>במקרה שנפלה הרטייה ע"ג הקרקע, והלכה כת"ק.</w:t>
      </w:r>
    </w:p>
    <w:p w14:paraId="588008A0" w14:textId="77777777" w:rsidR="006A4BF8" w:rsidRPr="005275DF" w:rsidRDefault="006A4BF8" w:rsidP="00434A6A">
      <w:pPr>
        <w:rPr>
          <w:rFonts w:asciiTheme="minorBidi" w:hAnsiTheme="minorBidi"/>
          <w:u w:val="single"/>
          <w:rtl/>
        </w:rPr>
      </w:pPr>
      <w:r w:rsidRPr="005275DF">
        <w:rPr>
          <w:rFonts w:asciiTheme="minorBidi" w:hAnsiTheme="minorBidi"/>
          <w:u w:val="single"/>
          <w:rtl/>
        </w:rPr>
        <w:t>האם מותר להחזיר רטייה במדינה:</w:t>
      </w:r>
    </w:p>
    <w:p w14:paraId="42D7C7E1" w14:textId="77777777" w:rsidR="006A4BF8" w:rsidRPr="005275DF" w:rsidRDefault="006A4BF8" w:rsidP="00FF2D21">
      <w:pPr>
        <w:pStyle w:val="aa"/>
        <w:numPr>
          <w:ilvl w:val="0"/>
          <w:numId w:val="60"/>
        </w:numPr>
        <w:rPr>
          <w:rFonts w:asciiTheme="minorBidi" w:hAnsiTheme="minorBidi"/>
        </w:rPr>
      </w:pPr>
      <w:r w:rsidRPr="005275DF">
        <w:rPr>
          <w:rFonts w:asciiTheme="minorBidi" w:hAnsiTheme="minorBidi"/>
          <w:rtl/>
        </w:rPr>
        <w:t>רי"ף רמב"ם רז"ה רא"ש ור"ן- מחזירין רק כשנפלה ע"ג כלי.</w:t>
      </w:r>
    </w:p>
    <w:p w14:paraId="6B1BCFD6" w14:textId="77777777" w:rsidR="006A4BF8" w:rsidRPr="005275DF" w:rsidRDefault="006A4BF8" w:rsidP="00FF2D21">
      <w:pPr>
        <w:pStyle w:val="aa"/>
        <w:numPr>
          <w:ilvl w:val="0"/>
          <w:numId w:val="60"/>
        </w:numPr>
        <w:rPr>
          <w:rFonts w:asciiTheme="minorBidi" w:hAnsiTheme="minorBidi"/>
        </w:rPr>
      </w:pPr>
      <w:r w:rsidRPr="005275DF">
        <w:rPr>
          <w:rFonts w:asciiTheme="minorBidi" w:hAnsiTheme="minorBidi"/>
          <w:noProof/>
          <w:rtl/>
        </w:rPr>
        <mc:AlternateContent>
          <mc:Choice Requires="wps">
            <w:drawing>
              <wp:anchor distT="0" distB="0" distL="114300" distR="114300" simplePos="0" relativeHeight="251658242" behindDoc="0" locked="0" layoutInCell="1" allowOverlap="1" wp14:anchorId="0AAF51F0" wp14:editId="02E71D36">
                <wp:simplePos x="0" y="0"/>
                <wp:positionH relativeFrom="column">
                  <wp:posOffset>4959985</wp:posOffset>
                </wp:positionH>
                <wp:positionV relativeFrom="paragraph">
                  <wp:posOffset>185420</wp:posOffset>
                </wp:positionV>
                <wp:extent cx="71120" cy="142240"/>
                <wp:effectExtent l="19050" t="0" r="43180" b="29210"/>
                <wp:wrapNone/>
                <wp:docPr id="15" name="Down Arrow 15"/>
                <wp:cNvGraphicFramePr/>
                <a:graphic xmlns:a="http://schemas.openxmlformats.org/drawingml/2006/main">
                  <a:graphicData uri="http://schemas.microsoft.com/office/word/2010/wordprocessingShape">
                    <wps:wsp>
                      <wps:cNvSpPr/>
                      <wps:spPr>
                        <a:xfrm>
                          <a:off x="0" y="0"/>
                          <a:ext cx="71120" cy="14224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1CD6800C" id="Down Arrow 15" o:spid="_x0000_s1026" type="#_x0000_t67" style="position:absolute;left:0;text-align:left;margin-left:390.55pt;margin-top:14.6pt;width:5.6pt;height:1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" fillcolor="black [3200]" strokecolor="black [1600]" strokeweight="2pt"/>
            </w:pict>
          </mc:Fallback>
        </mc:AlternateContent>
      </w:r>
      <w:r w:rsidRPr="005275DF">
        <w:rPr>
          <w:rFonts w:asciiTheme="minorBidi" w:hAnsiTheme="minorBidi"/>
          <w:rtl/>
        </w:rPr>
        <w:t xml:space="preserve">ראב"ד- מחזירין גם כשנפלה ע"ג הקרקע.  </w:t>
      </w:r>
    </w:p>
    <w:p w14:paraId="2501416D" w14:textId="77777777" w:rsidR="006A4BF8" w:rsidRPr="005275DF" w:rsidRDefault="006A4BF8" w:rsidP="00434A6A">
      <w:pPr>
        <w:rPr>
          <w:rFonts w:asciiTheme="minorBidi" w:hAnsiTheme="minorBidi"/>
          <w:u w:val="single"/>
          <w:rtl/>
        </w:rPr>
      </w:pPr>
      <w:r w:rsidRPr="005275DF">
        <w:rPr>
          <w:rFonts w:asciiTheme="minorBidi" w:hAnsiTheme="minorBidi"/>
          <w:u w:val="single"/>
          <w:rtl/>
        </w:rPr>
        <w:t>מה הדין אם הוציא את הרטייה בידו:</w:t>
      </w:r>
    </w:p>
    <w:p w14:paraId="3C37AFAA" w14:textId="77777777" w:rsidR="006A4BF8" w:rsidRPr="005275DF" w:rsidRDefault="006A4BF8" w:rsidP="00FF2D21">
      <w:pPr>
        <w:pStyle w:val="aa"/>
        <w:numPr>
          <w:ilvl w:val="0"/>
          <w:numId w:val="62"/>
        </w:numPr>
        <w:rPr>
          <w:rFonts w:asciiTheme="minorBidi" w:hAnsiTheme="minorBidi"/>
        </w:rPr>
      </w:pPr>
      <w:r w:rsidRPr="005275DF">
        <w:rPr>
          <w:rFonts w:asciiTheme="minorBidi" w:hAnsiTheme="minorBidi"/>
          <w:rtl/>
        </w:rPr>
        <w:t>(רי"ף</w:t>
      </w:r>
      <w:r w:rsidRPr="005275DF">
        <w:rPr>
          <w:rFonts w:asciiTheme="minorBidi" w:hAnsiTheme="minorBidi"/>
          <w:sz w:val="16"/>
          <w:szCs w:val="16"/>
          <w:rtl/>
        </w:rPr>
        <w:t xml:space="preserve"> להב' הרז"ה</w:t>
      </w:r>
      <w:r w:rsidRPr="005275DF">
        <w:rPr>
          <w:rFonts w:asciiTheme="minorBidi" w:hAnsiTheme="minorBidi"/>
          <w:rtl/>
        </w:rPr>
        <w:t xml:space="preserve">) רמב"ם </w:t>
      </w:r>
      <w:r w:rsidRPr="005275DF">
        <w:rPr>
          <w:rFonts w:asciiTheme="minorBidi" w:hAnsiTheme="minorBidi"/>
          <w:sz w:val="16"/>
          <w:szCs w:val="16"/>
          <w:rtl/>
        </w:rPr>
        <w:t xml:space="preserve">(בפהמ"ש ערובין פ"י מי"ג) </w:t>
      </w:r>
      <w:r w:rsidRPr="005275DF">
        <w:rPr>
          <w:rFonts w:asciiTheme="minorBidi" w:hAnsiTheme="minorBidi"/>
          <w:rtl/>
        </w:rPr>
        <w:t>רז"ה</w:t>
      </w:r>
      <w:r w:rsidRPr="005275DF">
        <w:rPr>
          <w:rFonts w:asciiTheme="minorBidi" w:hAnsiTheme="minorBidi"/>
          <w:sz w:val="16"/>
          <w:szCs w:val="16"/>
          <w:rtl/>
        </w:rPr>
        <w:t xml:space="preserve"> (לה.)</w:t>
      </w:r>
      <w:r w:rsidRPr="005275DF">
        <w:rPr>
          <w:rFonts w:asciiTheme="minorBidi" w:hAnsiTheme="minorBidi"/>
          <w:rtl/>
        </w:rPr>
        <w:t xml:space="preserve"> ורע"ב- אם לקחה בידו, כל זמן שהיא בידו, או אפילו נתנה ע"ג כלי ולא הניחה ע"ג קרקע, מותר להחזירה. (וכ"מ שפסק הב"י)</w:t>
      </w:r>
    </w:p>
    <w:p w14:paraId="3F5AE805" w14:textId="77777777" w:rsidR="006A4BF8" w:rsidRPr="005275DF" w:rsidRDefault="006A4BF8" w:rsidP="00FF2D21">
      <w:pPr>
        <w:pStyle w:val="aa"/>
        <w:numPr>
          <w:ilvl w:val="0"/>
          <w:numId w:val="62"/>
        </w:numPr>
        <w:rPr>
          <w:rFonts w:asciiTheme="minorBidi" w:hAnsiTheme="minorBidi"/>
        </w:rPr>
      </w:pPr>
      <w:r w:rsidRPr="005275DF">
        <w:rPr>
          <w:rFonts w:asciiTheme="minorBidi" w:hAnsiTheme="minorBidi"/>
          <w:rtl/>
        </w:rPr>
        <w:t>רש"י</w:t>
      </w:r>
      <w:r w:rsidRPr="005275DF">
        <w:rPr>
          <w:rStyle w:val="a9"/>
          <w:rFonts w:asciiTheme="minorBidi" w:hAnsiTheme="minorBidi"/>
          <w:rtl/>
        </w:rPr>
        <w:footnoteReference w:id="3304"/>
      </w:r>
      <w:r w:rsidRPr="005275DF">
        <w:rPr>
          <w:rFonts w:asciiTheme="minorBidi" w:hAnsiTheme="minorBidi"/>
          <w:rtl/>
        </w:rPr>
        <w:t xml:space="preserve"> העיטור</w:t>
      </w:r>
      <w:r w:rsidRPr="005275DF">
        <w:rPr>
          <w:rStyle w:val="a9"/>
          <w:rFonts w:asciiTheme="minorBidi" w:hAnsiTheme="minorBidi"/>
          <w:rtl/>
        </w:rPr>
        <w:footnoteReference w:id="3305"/>
      </w:r>
      <w:r w:rsidRPr="005275DF">
        <w:rPr>
          <w:rFonts w:asciiTheme="minorBidi" w:hAnsiTheme="minorBidi"/>
          <w:rtl/>
        </w:rPr>
        <w:t xml:space="preserve"> ושבה"ל</w:t>
      </w:r>
      <w:r w:rsidRPr="005275DF">
        <w:rPr>
          <w:rStyle w:val="a9"/>
          <w:rFonts w:asciiTheme="minorBidi" w:hAnsiTheme="minorBidi"/>
          <w:rtl/>
        </w:rPr>
        <w:footnoteReference w:id="3306"/>
      </w:r>
      <w:r w:rsidRPr="005275DF">
        <w:rPr>
          <w:rFonts w:asciiTheme="minorBidi" w:hAnsiTheme="minorBidi"/>
          <w:sz w:val="16"/>
          <w:szCs w:val="16"/>
          <w:rtl/>
        </w:rPr>
        <w:t xml:space="preserve"> (סי' קיז)</w:t>
      </w:r>
      <w:r w:rsidRPr="005275DF">
        <w:rPr>
          <w:rFonts w:asciiTheme="minorBidi" w:hAnsiTheme="minorBidi"/>
          <w:rtl/>
        </w:rPr>
        <w:t>- אם פירשה מאתמול או שהוציאה בשבת בכוונה לד"ה לא יחזיר אע"ג שהיא על כלי</w:t>
      </w:r>
      <w:r w:rsidRPr="005275DF">
        <w:rPr>
          <w:rStyle w:val="a9"/>
          <w:rFonts w:asciiTheme="minorBidi" w:hAnsiTheme="minorBidi"/>
          <w:rtl/>
        </w:rPr>
        <w:footnoteReference w:id="3307"/>
      </w:r>
      <w:r w:rsidRPr="005275DF">
        <w:rPr>
          <w:rFonts w:asciiTheme="minorBidi" w:hAnsiTheme="minorBidi"/>
          <w:rtl/>
        </w:rPr>
        <w:t>. (וכ"פ המג"א הגר"א ובאה"ט)</w:t>
      </w:r>
    </w:p>
    <w:p w14:paraId="1D83EACD"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68D36BEC" w14:textId="77777777" w:rsidR="006A4BF8" w:rsidRPr="005275DF" w:rsidRDefault="006A4BF8" w:rsidP="00434A6A">
      <w:pPr>
        <w:rPr>
          <w:rFonts w:asciiTheme="minorBidi" w:hAnsiTheme="minorBidi"/>
          <w:sz w:val="18"/>
          <w:szCs w:val="18"/>
          <w:rtl/>
        </w:rPr>
      </w:pPr>
      <w:r w:rsidRPr="005275DF">
        <w:rPr>
          <w:rFonts w:asciiTheme="minorBidi" w:hAnsiTheme="minorBidi"/>
          <w:rtl/>
        </w:rPr>
        <w:t>רטייה שנפלה מעל גבי המכה על גבי קרקע לא יחזירנה, נפלה על גבי כלי יחזירנה</w:t>
      </w:r>
      <w:r w:rsidRPr="005275DF">
        <w:rPr>
          <w:rStyle w:val="a9"/>
          <w:rFonts w:asciiTheme="minorBidi" w:hAnsiTheme="minorBidi"/>
          <w:rtl/>
        </w:rPr>
        <w:footnoteReference w:id="3308"/>
      </w:r>
      <w:r w:rsidRPr="005275DF">
        <w:rPr>
          <w:rFonts w:asciiTheme="minorBidi" w:hAnsiTheme="minorBidi"/>
          <w:rtl/>
        </w:rPr>
        <w:t xml:space="preserve"> ועל ידי גוי מותר להניחה אפילו בתחלה</w:t>
      </w:r>
      <w:r w:rsidRPr="005275DF">
        <w:rPr>
          <w:rStyle w:val="a9"/>
          <w:rFonts w:asciiTheme="minorBidi" w:hAnsiTheme="minorBidi"/>
          <w:rtl/>
        </w:rPr>
        <w:footnoteReference w:id="3309"/>
      </w:r>
      <w:r w:rsidRPr="005275DF">
        <w:rPr>
          <w:rFonts w:asciiTheme="minorBidi" w:hAnsiTheme="minorBidi"/>
          <w:rtl/>
        </w:rPr>
        <w:t xml:space="preserve">. </w:t>
      </w:r>
      <w:r w:rsidRPr="005275DF">
        <w:rPr>
          <w:rFonts w:asciiTheme="minorBidi" w:hAnsiTheme="minorBidi"/>
          <w:sz w:val="18"/>
          <w:szCs w:val="18"/>
          <w:rtl/>
        </w:rPr>
        <w:t>הגה: ומותר לומר לגוי לעשות רטייה על מכה או חבורה</w:t>
      </w:r>
      <w:r w:rsidRPr="005275DF">
        <w:rPr>
          <w:rStyle w:val="a9"/>
          <w:rFonts w:asciiTheme="minorBidi" w:hAnsiTheme="minorBidi"/>
          <w:sz w:val="18"/>
          <w:szCs w:val="18"/>
          <w:rtl/>
        </w:rPr>
        <w:footnoteReference w:id="3310"/>
      </w:r>
      <w:r w:rsidRPr="005275DF">
        <w:rPr>
          <w:rFonts w:asciiTheme="minorBidi" w:hAnsiTheme="minorBidi"/>
          <w:sz w:val="18"/>
          <w:szCs w:val="18"/>
          <w:rtl/>
        </w:rPr>
        <w:t xml:space="preserve"> (או"ה הארוך) ואסור ליתן עליה אפר מקלה דמרפא כי אם ע"י גוי</w:t>
      </w:r>
      <w:r w:rsidRPr="005275DF">
        <w:rPr>
          <w:rStyle w:val="a9"/>
          <w:rFonts w:asciiTheme="minorBidi" w:hAnsiTheme="minorBidi"/>
          <w:sz w:val="18"/>
          <w:szCs w:val="18"/>
          <w:rtl/>
        </w:rPr>
        <w:footnoteReference w:id="3311"/>
      </w:r>
      <w:r w:rsidRPr="005275DF">
        <w:rPr>
          <w:rFonts w:asciiTheme="minorBidi" w:hAnsiTheme="minorBidi"/>
          <w:sz w:val="18"/>
          <w:szCs w:val="18"/>
          <w:rtl/>
        </w:rPr>
        <w:t xml:space="preserve">. (מרדכי). </w:t>
      </w:r>
    </w:p>
    <w:p w14:paraId="11E03872" w14:textId="77777777" w:rsidR="006A4BF8" w:rsidRPr="005275DF" w:rsidRDefault="006A4BF8" w:rsidP="00434A6A">
      <w:pPr>
        <w:rPr>
          <w:rFonts w:asciiTheme="minorBidi" w:hAnsiTheme="minorBidi"/>
          <w:rtl/>
        </w:rPr>
      </w:pPr>
    </w:p>
    <w:p w14:paraId="61E21C9E"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כו: קינוח פי המכה.</w:t>
      </w:r>
    </w:p>
    <w:p w14:paraId="3A70C3DF" w14:textId="77777777" w:rsidR="006A4BF8" w:rsidRPr="005275DF" w:rsidRDefault="006A4BF8" w:rsidP="00434A6A">
      <w:pPr>
        <w:rPr>
          <w:rFonts w:asciiTheme="minorBidi" w:hAnsiTheme="minorBidi"/>
          <w:rtl/>
        </w:rPr>
      </w:pPr>
      <w:r w:rsidRPr="005275DF">
        <w:rPr>
          <w:rFonts w:asciiTheme="minorBidi" w:hAnsiTheme="minorBidi"/>
          <w:b/>
          <w:bCs/>
          <w:rtl/>
        </w:rPr>
        <w:t xml:space="preserve">ערובין קב ע"ב: </w:t>
      </w:r>
      <w:r w:rsidRPr="005275DF">
        <w:rPr>
          <w:rFonts w:asciiTheme="minorBidi" w:hAnsiTheme="minorBidi"/>
          <w:u w:val="single"/>
          <w:rtl/>
        </w:rPr>
        <w:t>רבי יהודה אומר</w:t>
      </w:r>
      <w:r w:rsidRPr="005275DF">
        <w:rPr>
          <w:rFonts w:asciiTheme="minorBidi" w:hAnsiTheme="minorBidi"/>
          <w:rtl/>
        </w:rPr>
        <w:t>.... ומגלה מקצת הרטיה ומקנח פי המכה וחוזר ומגלה מקצת רטיה ומקנח פי המכה. ורטיה עצמה לא יקנח מפני שהוא ממרח</w:t>
      </w:r>
      <w:r w:rsidRPr="005275DF">
        <w:rPr>
          <w:rStyle w:val="a9"/>
          <w:rFonts w:asciiTheme="minorBidi" w:hAnsiTheme="minorBidi"/>
          <w:rtl/>
        </w:rPr>
        <w:footnoteReference w:id="3312"/>
      </w:r>
      <w:r w:rsidRPr="005275DF">
        <w:rPr>
          <w:rFonts w:asciiTheme="minorBidi" w:hAnsiTheme="minorBidi"/>
          <w:rtl/>
        </w:rPr>
        <w:t>, ואם מירח חייב חטאת.</w:t>
      </w:r>
    </w:p>
    <w:p w14:paraId="13172020" w14:textId="77777777" w:rsidR="006A4BF8" w:rsidRPr="005275DF" w:rsidRDefault="006A4BF8" w:rsidP="00434A6A">
      <w:pPr>
        <w:rPr>
          <w:rFonts w:asciiTheme="minorBidi" w:hAnsiTheme="minorBidi"/>
          <w:rtl/>
        </w:rPr>
      </w:pPr>
      <w:r w:rsidRPr="005275DF">
        <w:rPr>
          <w:rFonts w:asciiTheme="minorBidi" w:hAnsiTheme="minorBidi"/>
          <w:b/>
          <w:bCs/>
          <w:rtl/>
        </w:rPr>
        <w:t xml:space="preserve">תוספתא שבת </w:t>
      </w:r>
      <w:r w:rsidRPr="005275DF">
        <w:rPr>
          <w:rFonts w:asciiTheme="minorBidi" w:hAnsiTheme="minorBidi"/>
          <w:b/>
          <w:bCs/>
          <w:sz w:val="16"/>
          <w:szCs w:val="16"/>
          <w:rtl/>
        </w:rPr>
        <w:t>(ליברמן)</w:t>
      </w:r>
      <w:r w:rsidRPr="005275DF">
        <w:rPr>
          <w:rFonts w:asciiTheme="minorBidi" w:hAnsiTheme="minorBidi"/>
          <w:b/>
          <w:bCs/>
          <w:rtl/>
        </w:rPr>
        <w:t xml:space="preserve"> פ"ה ה"ו:</w:t>
      </w:r>
      <w:r w:rsidRPr="005275DF">
        <w:rPr>
          <w:rFonts w:asciiTheme="minorBidi" w:hAnsiTheme="minorBidi"/>
          <w:rtl/>
        </w:rPr>
        <w:t xml:space="preserve"> </w:t>
      </w:r>
      <w:r w:rsidRPr="005275DF">
        <w:rPr>
          <w:rFonts w:asciiTheme="minorBidi" w:hAnsiTheme="minorBidi"/>
          <w:u w:val="single"/>
          <w:rtl/>
        </w:rPr>
        <w:t>ר' יודה אומר</w:t>
      </w:r>
      <w:r w:rsidRPr="005275DF">
        <w:rPr>
          <w:rFonts w:asciiTheme="minorBidi" w:hAnsiTheme="minorBidi"/>
          <w:rtl/>
        </w:rPr>
        <w:t>... מגלה מקצת אספלינית מכן ומקנח את המכה וחוזר ומגלה מקצת אספלונית מכן ומקנח את המכה, לא יקנח באספלונית מפני שבא לידי מרוח והממרח בשבת חייב חטאת.</w:t>
      </w:r>
    </w:p>
    <w:p w14:paraId="7938247E"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9DCF0CD" w14:textId="77777777" w:rsidR="006A4BF8" w:rsidRPr="005275DF" w:rsidRDefault="006A4BF8" w:rsidP="00434A6A">
      <w:pPr>
        <w:rPr>
          <w:rFonts w:asciiTheme="minorBidi" w:hAnsiTheme="minorBidi"/>
          <w:rtl/>
        </w:rPr>
      </w:pPr>
      <w:r w:rsidRPr="005275DF">
        <w:rPr>
          <w:rFonts w:asciiTheme="minorBidi" w:hAnsiTheme="minorBidi"/>
          <w:rtl/>
        </w:rPr>
        <w:t xml:space="preserve">מגלה קצת רטייה ומקנח פי המכה וחוזר ומגלה קצתה השני ומקנחה, ורטייה עצמה לא יקנח מפני שהוא ממרח. </w:t>
      </w:r>
    </w:p>
    <w:p w14:paraId="2C0EF291" w14:textId="77777777" w:rsidR="006A4BF8" w:rsidRPr="005275DF" w:rsidRDefault="006A4BF8" w:rsidP="00434A6A">
      <w:pPr>
        <w:rPr>
          <w:rFonts w:asciiTheme="minorBidi" w:hAnsiTheme="minorBidi"/>
          <w:rtl/>
        </w:rPr>
      </w:pPr>
    </w:p>
    <w:p w14:paraId="547C7586"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כז: נטינת רטיה ע"ג מכה שנתרפאה.</w:t>
      </w:r>
    </w:p>
    <w:p w14:paraId="45B56F25" w14:textId="77777777" w:rsidR="006A4BF8" w:rsidRPr="005275DF" w:rsidRDefault="006A4BF8" w:rsidP="00434A6A">
      <w:pPr>
        <w:rPr>
          <w:rFonts w:asciiTheme="minorBidi" w:hAnsiTheme="minorBidi"/>
          <w:rtl/>
        </w:rPr>
      </w:pPr>
      <w:r w:rsidRPr="005275DF">
        <w:rPr>
          <w:rFonts w:asciiTheme="minorBidi" w:hAnsiTheme="minorBidi"/>
          <w:b/>
          <w:bCs/>
          <w:rtl/>
        </w:rPr>
        <w:t xml:space="preserve">תוספתא שבת </w:t>
      </w:r>
      <w:r w:rsidRPr="005275DF">
        <w:rPr>
          <w:rFonts w:asciiTheme="minorBidi" w:hAnsiTheme="minorBidi"/>
          <w:b/>
          <w:bCs/>
          <w:sz w:val="16"/>
          <w:szCs w:val="16"/>
          <w:rtl/>
        </w:rPr>
        <w:t>(ליברמן)</w:t>
      </w:r>
      <w:r w:rsidRPr="005275DF">
        <w:rPr>
          <w:rFonts w:asciiTheme="minorBidi" w:hAnsiTheme="minorBidi"/>
          <w:b/>
          <w:bCs/>
          <w:rtl/>
        </w:rPr>
        <w:t xml:space="preserve"> פ"ה ה"ד:</w:t>
      </w:r>
      <w:r w:rsidRPr="005275DF">
        <w:rPr>
          <w:rFonts w:asciiTheme="minorBidi" w:hAnsiTheme="minorBidi"/>
          <w:rtl/>
        </w:rPr>
        <w:t xml:space="preserve"> יוצאין באיגד שעל גבי מכה וקושרו ומתירו בשבת, ואספלנית</w:t>
      </w:r>
      <w:r w:rsidRPr="005275DF">
        <w:rPr>
          <w:rStyle w:val="a9"/>
          <w:rFonts w:asciiTheme="minorBidi" w:hAnsiTheme="minorBidi"/>
          <w:rtl/>
        </w:rPr>
        <w:footnoteReference w:id="3313"/>
      </w:r>
      <w:r w:rsidRPr="005275DF">
        <w:rPr>
          <w:rFonts w:asciiTheme="minorBidi" w:hAnsiTheme="minorBidi"/>
          <w:rtl/>
        </w:rPr>
        <w:t xml:space="preserve"> שפרשה מן האגד מחזירה... </w:t>
      </w:r>
      <w:r w:rsidRPr="005275DF">
        <w:rPr>
          <w:rFonts w:asciiTheme="minorBidi" w:hAnsiTheme="minorBidi"/>
          <w:b/>
          <w:bCs/>
          <w:sz w:val="16"/>
          <w:szCs w:val="16"/>
          <w:u w:val="double"/>
          <w:rtl/>
        </w:rPr>
        <w:t>(ה"ה)</w:t>
      </w:r>
      <w:r w:rsidRPr="005275DF">
        <w:rPr>
          <w:rFonts w:asciiTheme="minorBidi" w:hAnsiTheme="minorBidi"/>
          <w:rtl/>
        </w:rPr>
        <w:t xml:space="preserve"> יוצאין באספלנית ובמלוגמא וברטייה שעל גבי המכה ואם נפל לא יחזיר ואין צריך לומר שלא יתן כתחלה בשבת ... </w:t>
      </w:r>
      <w:r w:rsidRPr="005275DF">
        <w:rPr>
          <w:rFonts w:asciiTheme="minorBidi" w:hAnsiTheme="minorBidi"/>
          <w:b/>
          <w:bCs/>
          <w:sz w:val="16"/>
          <w:szCs w:val="16"/>
          <w:u w:val="double"/>
          <w:rtl/>
        </w:rPr>
        <w:t>(ה"ו)</w:t>
      </w:r>
      <w:r w:rsidRPr="005275DF">
        <w:rPr>
          <w:rFonts w:asciiTheme="minorBidi" w:hAnsiTheme="minorBidi"/>
          <w:b/>
          <w:bCs/>
          <w:rtl/>
        </w:rPr>
        <w:t xml:space="preserve"> </w:t>
      </w:r>
      <w:r w:rsidRPr="005275DF">
        <w:rPr>
          <w:rFonts w:asciiTheme="minorBidi" w:hAnsiTheme="minorBidi"/>
          <w:u w:val="single"/>
          <w:rtl/>
        </w:rPr>
        <w:t>ר' יודה אומר</w:t>
      </w:r>
      <w:r w:rsidRPr="005275DF">
        <w:rPr>
          <w:rFonts w:asciiTheme="minorBidi" w:hAnsiTheme="minorBidi"/>
          <w:rtl/>
        </w:rPr>
        <w:t xml:space="preserve"> אם החליקה מלמטה מחליקה מלמעלה ואם החליקה מלמעלה מחליקה מלמטה. </w:t>
      </w:r>
      <w:r w:rsidRPr="005275DF">
        <w:rPr>
          <w:rFonts w:asciiTheme="minorBidi" w:hAnsiTheme="minorBidi"/>
          <w:sz w:val="18"/>
          <w:szCs w:val="18"/>
          <w:rtl/>
        </w:rPr>
        <w:t>(וכתבוה הרי"ף (ל:) והרא"ש (פ"ו סי' יח), והטור כ'- "אספלנית שפרשה מן האגד מחזירין אותה תחת האגד על פי המכה", וכ' על זה הב"י- דמדקדוק לשון הטור נראה דלאו בפירשה ממש היא אלא פירשה מע"ג המכה והוחלקה לצד אחר, וכדקתני רבי יהודה הוחלקה למטה דוחקה למעלה, והקשה דכיון דאסיקנא דאפילו פירשה ממש ע"ג כלי מותר להחזירה מכל שכן בהוחלקה דשרי לדחקה, וא"כ למה הוצרכו הפוסקים לכתוב תוספתא זו. ולכן השמיט הב"י הלכה זו ולא כתבה בשו"ע. אך הדרכ"מ (אות יג) כ' דנראה לו דקושיית הב"י אינה כלום דעיקר החידוש באספלנית שפירשה מן האגד דמאחר שיש עליו אגד אסור להחזירה ולהתיר האגוד שעליה ולכן קאמר כשפירשה מקצת שנוכל להחזירה שם בלא התרת האגד שרי, אבל אם פירשה לגמרי דאי אפשר להחזירה בלא התרת האגד אסור להתיר האגד ולהחזירה משא"כ גבי רטיה שאין עליו אגד ולכן מותר להחזירה כשלא נפלה ע"ג קרקע</w:t>
      </w:r>
      <w:r w:rsidRPr="005275DF">
        <w:rPr>
          <w:rStyle w:val="a9"/>
          <w:rFonts w:asciiTheme="minorBidi" w:hAnsiTheme="minorBidi"/>
          <w:sz w:val="18"/>
          <w:szCs w:val="18"/>
          <w:rtl/>
        </w:rPr>
        <w:footnoteReference w:id="3314"/>
      </w:r>
      <w:r w:rsidRPr="005275DF">
        <w:rPr>
          <w:rFonts w:asciiTheme="minorBidi" w:hAnsiTheme="minorBidi"/>
          <w:sz w:val="18"/>
          <w:szCs w:val="18"/>
          <w:rtl/>
        </w:rPr>
        <w:t>. והט"ז ג"כ חלק על מסקנת הב"י וכ' דהיו צריכים להשמיענו דין אספלנית משום דקא סלקא אדעתן דאסור להחזירה תחת האגד שמא יבא לאגדה אם יתקלקל האגד והוא אסור מדין קשר בשבת כי היכי דגזרינן משום שמא ימרח בנפלה ע"ג קרקע, וקמ"ל דשרי ולא חיישינן לזה</w:t>
      </w:r>
      <w:r w:rsidRPr="005275DF">
        <w:rPr>
          <w:rStyle w:val="a9"/>
          <w:rFonts w:asciiTheme="minorBidi" w:hAnsiTheme="minorBidi"/>
          <w:sz w:val="18"/>
          <w:szCs w:val="18"/>
          <w:rtl/>
        </w:rPr>
        <w:footnoteReference w:id="3315"/>
      </w:r>
      <w:r w:rsidRPr="005275DF">
        <w:rPr>
          <w:rFonts w:asciiTheme="minorBidi" w:hAnsiTheme="minorBidi"/>
          <w:sz w:val="18"/>
          <w:szCs w:val="18"/>
          <w:rtl/>
        </w:rPr>
        <w:t>)</w:t>
      </w:r>
    </w:p>
    <w:p w14:paraId="5C75B3A2" w14:textId="77777777" w:rsidR="006A4BF8" w:rsidRPr="005275DF" w:rsidRDefault="006A4BF8" w:rsidP="00434A6A">
      <w:pPr>
        <w:rPr>
          <w:rFonts w:asciiTheme="minorBidi" w:hAnsiTheme="minorBidi"/>
          <w:rtl/>
        </w:rPr>
      </w:pPr>
      <w:r w:rsidRPr="005275DF">
        <w:rPr>
          <w:rFonts w:asciiTheme="minorBidi" w:hAnsiTheme="minorBidi"/>
          <w:b/>
          <w:bCs/>
          <w:rtl/>
        </w:rPr>
        <w:t>ירושלמי</w:t>
      </w:r>
      <w:r w:rsidRPr="005275DF">
        <w:rPr>
          <w:rFonts w:asciiTheme="minorBidi" w:hAnsiTheme="minorBidi"/>
          <w:b/>
          <w:bCs/>
          <w:sz w:val="16"/>
          <w:szCs w:val="16"/>
          <w:rtl/>
        </w:rPr>
        <w:t xml:space="preserve"> (וילנא)</w:t>
      </w:r>
      <w:r w:rsidRPr="005275DF">
        <w:rPr>
          <w:rFonts w:asciiTheme="minorBidi" w:hAnsiTheme="minorBidi"/>
          <w:b/>
          <w:bCs/>
          <w:rtl/>
        </w:rPr>
        <w:t xml:space="preserve"> שבת פ"ו ה"ב:</w:t>
      </w:r>
      <w:r w:rsidRPr="005275DF">
        <w:rPr>
          <w:rFonts w:asciiTheme="minorBidi" w:hAnsiTheme="minorBidi"/>
          <w:rtl/>
        </w:rPr>
        <w:t xml:space="preserve"> ר' יוסי בי רבי בון בשם רבי יוסי מכה שנתרפאת נותנין עליה רטייה שאינה אלא כמשמרה.</w:t>
      </w:r>
    </w:p>
    <w:p w14:paraId="2A793BD9"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7F9C030" w14:textId="77777777" w:rsidR="006A4BF8" w:rsidRPr="005275DF" w:rsidRDefault="006A4BF8" w:rsidP="00434A6A">
      <w:pPr>
        <w:rPr>
          <w:rFonts w:asciiTheme="minorBidi" w:hAnsiTheme="minorBidi"/>
          <w:sz w:val="16"/>
          <w:szCs w:val="16"/>
          <w:rtl/>
        </w:rPr>
      </w:pPr>
      <w:r w:rsidRPr="005275DF">
        <w:rPr>
          <w:rFonts w:asciiTheme="minorBidi" w:hAnsiTheme="minorBidi"/>
          <w:rtl/>
        </w:rPr>
        <w:t>מכה שנתרפאה נותנין עליה רטייה שאינה אלא כמשמרה</w:t>
      </w:r>
      <w:r w:rsidRPr="005275DF">
        <w:rPr>
          <w:rStyle w:val="a9"/>
          <w:rFonts w:asciiTheme="minorBidi" w:hAnsiTheme="minorBidi"/>
          <w:rtl/>
        </w:rPr>
        <w:footnoteReference w:id="3316"/>
      </w:r>
      <w:r w:rsidRPr="005275DF">
        <w:rPr>
          <w:rFonts w:asciiTheme="minorBidi" w:hAnsiTheme="minorBidi"/>
          <w:rtl/>
        </w:rPr>
        <w:t xml:space="preserve">. </w:t>
      </w:r>
      <w:r w:rsidRPr="005275DF">
        <w:rPr>
          <w:rFonts w:asciiTheme="minorBidi" w:hAnsiTheme="minorBidi"/>
          <w:sz w:val="16"/>
          <w:szCs w:val="16"/>
          <w:rtl/>
        </w:rPr>
        <w:t>{סמ"ג}</w:t>
      </w:r>
    </w:p>
    <w:p w14:paraId="134EA870" w14:textId="77777777" w:rsidR="006A4BF8" w:rsidRPr="005275DF" w:rsidRDefault="006A4BF8" w:rsidP="00434A6A">
      <w:pPr>
        <w:rPr>
          <w:rFonts w:asciiTheme="minorBidi" w:hAnsiTheme="minorBidi"/>
          <w:rtl/>
        </w:rPr>
      </w:pPr>
    </w:p>
    <w:p w14:paraId="4BA0909A"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כח: המפיס מורסה.</w:t>
      </w:r>
    </w:p>
    <w:p w14:paraId="69D83B76" w14:textId="77777777" w:rsidR="006A4BF8" w:rsidRPr="005275DF" w:rsidRDefault="006A4BF8" w:rsidP="00434A6A">
      <w:pPr>
        <w:rPr>
          <w:rFonts w:asciiTheme="minorBidi" w:hAnsiTheme="minorBidi"/>
          <w:rtl/>
        </w:rPr>
      </w:pPr>
      <w:r w:rsidRPr="005275DF">
        <w:rPr>
          <w:rFonts w:asciiTheme="minorBidi" w:hAnsiTheme="minorBidi"/>
          <w:b/>
          <w:bCs/>
          <w:rtl/>
        </w:rPr>
        <w:t>משנה עדויות פ"ב מ"ה:</w:t>
      </w:r>
      <w:r w:rsidRPr="005275DF">
        <w:rPr>
          <w:rFonts w:asciiTheme="minorBidi" w:hAnsiTheme="minorBidi"/>
          <w:rtl/>
        </w:rPr>
        <w:t xml:space="preserve"> שלשה דברים אמרו לפני רבי ישמעאל ולא אמר בהם לא איסור והיתר ופירשן רבי יהושע בן מתיא המפיס מורסא בשבת אם לעשות לה פה</w:t>
      </w:r>
      <w:r w:rsidRPr="005275DF">
        <w:rPr>
          <w:rStyle w:val="a9"/>
          <w:rFonts w:asciiTheme="minorBidi" w:hAnsiTheme="minorBidi"/>
          <w:rtl/>
        </w:rPr>
        <w:footnoteReference w:id="3317"/>
      </w:r>
      <w:r w:rsidRPr="005275DF">
        <w:rPr>
          <w:rFonts w:asciiTheme="minorBidi" w:hAnsiTheme="minorBidi"/>
          <w:rtl/>
        </w:rPr>
        <w:t xml:space="preserve"> חייב ואם להוציא ממנו לחה פטור...</w:t>
      </w:r>
    </w:p>
    <w:p w14:paraId="276DFDB4"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קז ע"א: </w:t>
      </w:r>
      <w:r w:rsidRPr="005275DF">
        <w:rPr>
          <w:rFonts w:asciiTheme="minorBidi" w:hAnsiTheme="minorBidi"/>
          <w:u w:val="single"/>
          <w:rtl/>
        </w:rPr>
        <w:t>אמר שמואל</w:t>
      </w:r>
      <w:r w:rsidRPr="005275DF">
        <w:rPr>
          <w:rFonts w:asciiTheme="minorBidi" w:hAnsiTheme="minorBidi"/>
          <w:rtl/>
        </w:rPr>
        <w:t>: כל פטורי דשבת פטור אבל אסור, לבר מהני תלת דפטור ומותר... המפיס</w:t>
      </w:r>
      <w:r w:rsidRPr="005275DF">
        <w:rPr>
          <w:rStyle w:val="a9"/>
          <w:rFonts w:asciiTheme="minorBidi" w:hAnsiTheme="minorBidi"/>
          <w:rtl/>
        </w:rPr>
        <w:footnoteReference w:id="3318"/>
      </w:r>
      <w:r w:rsidRPr="005275DF">
        <w:rPr>
          <w:rFonts w:asciiTheme="minorBidi" w:hAnsiTheme="minorBidi"/>
          <w:rtl/>
        </w:rPr>
        <w:t xml:space="preserve"> מורסא בשבת, אם לעשות לה פה</w:t>
      </w:r>
      <w:r w:rsidRPr="005275DF">
        <w:rPr>
          <w:rStyle w:val="a9"/>
          <w:rFonts w:asciiTheme="minorBidi" w:hAnsiTheme="minorBidi"/>
          <w:rtl/>
        </w:rPr>
        <w:footnoteReference w:id="3319"/>
      </w:r>
      <w:r w:rsidRPr="005275DF">
        <w:rPr>
          <w:rFonts w:asciiTheme="minorBidi" w:hAnsiTheme="minorBidi"/>
          <w:rtl/>
        </w:rPr>
        <w:t xml:space="preserve"> - חייב</w:t>
      </w:r>
      <w:r w:rsidRPr="005275DF">
        <w:rPr>
          <w:rStyle w:val="a9"/>
          <w:rFonts w:asciiTheme="minorBidi" w:hAnsiTheme="minorBidi"/>
          <w:rtl/>
        </w:rPr>
        <w:footnoteReference w:id="3320"/>
      </w:r>
      <w:r w:rsidRPr="005275DF">
        <w:rPr>
          <w:rFonts w:asciiTheme="minorBidi" w:hAnsiTheme="minorBidi"/>
          <w:rtl/>
        </w:rPr>
        <w:t>, אם להוציא ממנה לחה</w:t>
      </w:r>
      <w:r w:rsidRPr="005275DF">
        <w:rPr>
          <w:rStyle w:val="a9"/>
          <w:rFonts w:asciiTheme="minorBidi" w:hAnsiTheme="minorBidi"/>
          <w:rtl/>
        </w:rPr>
        <w:footnoteReference w:id="3321"/>
      </w:r>
      <w:r w:rsidRPr="005275DF">
        <w:rPr>
          <w:rFonts w:asciiTheme="minorBidi" w:hAnsiTheme="minorBidi"/>
          <w:rtl/>
        </w:rPr>
        <w:t xml:space="preserve"> - פטור</w:t>
      </w:r>
      <w:r w:rsidRPr="005275DF">
        <w:rPr>
          <w:rStyle w:val="a9"/>
          <w:rFonts w:asciiTheme="minorBidi" w:hAnsiTheme="minorBidi"/>
          <w:rtl/>
        </w:rPr>
        <w:footnoteReference w:id="3322"/>
      </w:r>
      <w:r w:rsidRPr="005275DF">
        <w:rPr>
          <w:rFonts w:asciiTheme="minorBidi" w:hAnsiTheme="minorBidi"/>
          <w:rtl/>
        </w:rPr>
        <w:t xml:space="preserve">. </w:t>
      </w:r>
    </w:p>
    <w:p w14:paraId="41AAA214"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4A18C23D" w14:textId="77777777" w:rsidR="006A4BF8" w:rsidRPr="005275DF" w:rsidRDefault="006A4BF8" w:rsidP="00434A6A">
      <w:pPr>
        <w:rPr>
          <w:rFonts w:asciiTheme="minorBidi" w:hAnsiTheme="minorBidi"/>
          <w:rtl/>
        </w:rPr>
      </w:pPr>
      <w:r w:rsidRPr="005275DF">
        <w:rPr>
          <w:rStyle w:val="a9"/>
          <w:rFonts w:asciiTheme="minorBidi" w:hAnsiTheme="minorBidi"/>
          <w:rtl/>
        </w:rPr>
        <w:footnoteReference w:id="3323"/>
      </w:r>
      <w:r w:rsidRPr="005275DF">
        <w:rPr>
          <w:rFonts w:asciiTheme="minorBidi" w:hAnsiTheme="minorBidi"/>
          <w:rtl/>
        </w:rPr>
        <w:t>המפיס שחין בשבת כדי להרחיב פי המכה כדרך שהרופאים עושים שהם מתכוונים ברפואה להרחיב פי המכה הרי זה חייב משום מכה בפטיש שזו היא מלאכת הרופא, ואם הפיסה כדי להוציא ממנה הליחה שבה</w:t>
      </w:r>
      <w:r w:rsidRPr="005275DF">
        <w:rPr>
          <w:rStyle w:val="a9"/>
          <w:rFonts w:asciiTheme="minorBidi" w:hAnsiTheme="minorBidi"/>
          <w:rtl/>
        </w:rPr>
        <w:footnoteReference w:id="3324"/>
      </w:r>
      <w:r w:rsidRPr="005275DF">
        <w:rPr>
          <w:rFonts w:asciiTheme="minorBidi" w:hAnsiTheme="minorBidi"/>
          <w:rtl/>
        </w:rPr>
        <w:t xml:space="preserve"> הרי זה מותר</w:t>
      </w:r>
      <w:r w:rsidRPr="005275DF">
        <w:rPr>
          <w:rStyle w:val="a9"/>
          <w:rFonts w:asciiTheme="minorBidi" w:hAnsiTheme="minorBidi"/>
          <w:rtl/>
        </w:rPr>
        <w:footnoteReference w:id="3325"/>
      </w:r>
      <w:r w:rsidRPr="005275DF">
        <w:rPr>
          <w:rFonts w:asciiTheme="minorBidi" w:hAnsiTheme="minorBidi"/>
          <w:rtl/>
        </w:rPr>
        <w:t xml:space="preserve">. </w:t>
      </w:r>
    </w:p>
    <w:p w14:paraId="32E08A5C" w14:textId="77777777" w:rsidR="006A4BF8" w:rsidRPr="005275DF" w:rsidRDefault="006A4BF8" w:rsidP="00434A6A">
      <w:pPr>
        <w:rPr>
          <w:rFonts w:asciiTheme="minorBidi" w:hAnsiTheme="minorBidi"/>
          <w:b/>
          <w:bCs/>
          <w:rtl/>
        </w:rPr>
      </w:pPr>
      <w:r w:rsidRPr="005275DF">
        <w:rPr>
          <w:rFonts w:asciiTheme="minorBidi" w:hAnsiTheme="minorBidi"/>
          <w:b/>
          <w:bCs/>
          <w:rtl/>
        </w:rPr>
        <w:t>מג"א:</w:t>
      </w:r>
    </w:p>
    <w:p w14:paraId="6B28A9FC" w14:textId="77777777" w:rsidR="006A4BF8" w:rsidRPr="005275DF" w:rsidRDefault="006A4BF8" w:rsidP="00FF2D21">
      <w:pPr>
        <w:pStyle w:val="aa"/>
        <w:numPr>
          <w:ilvl w:val="0"/>
          <w:numId w:val="63"/>
        </w:numPr>
        <w:rPr>
          <w:rFonts w:asciiTheme="minorBidi" w:hAnsiTheme="minorBidi"/>
        </w:rPr>
      </w:pPr>
      <w:r w:rsidRPr="005275DF">
        <w:rPr>
          <w:rFonts w:asciiTheme="minorBidi" w:hAnsiTheme="minorBidi"/>
          <w:rtl/>
        </w:rPr>
        <w:t>(לב)- מותר ליטול הקוץ במחט</w:t>
      </w:r>
      <w:r w:rsidRPr="005275DF">
        <w:rPr>
          <w:rFonts w:asciiTheme="minorBidi" w:hAnsiTheme="minorBidi"/>
          <w:sz w:val="16"/>
          <w:szCs w:val="16"/>
          <w:rtl/>
        </w:rPr>
        <w:t xml:space="preserve"> (משנה עדויות פי"ז מ"ב ורמב"ם שבת פכ"ה ה"ח) </w:t>
      </w:r>
      <w:r w:rsidRPr="005275DF">
        <w:rPr>
          <w:rFonts w:asciiTheme="minorBidi" w:hAnsiTheme="minorBidi"/>
          <w:rtl/>
        </w:rPr>
        <w:t xml:space="preserve">ובלבד שיזהר שלא יוציא דם דעביד חבורה </w:t>
      </w:r>
      <w:r w:rsidRPr="005275DF">
        <w:rPr>
          <w:rFonts w:asciiTheme="minorBidi" w:hAnsiTheme="minorBidi"/>
          <w:sz w:val="16"/>
          <w:szCs w:val="16"/>
          <w:rtl/>
        </w:rPr>
        <w:t>(סנהדרין פד:)</w:t>
      </w:r>
      <w:r w:rsidRPr="005275DF">
        <w:rPr>
          <w:rFonts w:asciiTheme="minorBidi" w:hAnsiTheme="minorBidi"/>
          <w:rtl/>
        </w:rPr>
        <w:t>.</w:t>
      </w:r>
    </w:p>
    <w:p w14:paraId="120E1C17" w14:textId="77777777" w:rsidR="006A4BF8" w:rsidRPr="005275DF" w:rsidRDefault="006A4BF8" w:rsidP="00FF2D21">
      <w:pPr>
        <w:pStyle w:val="aa"/>
        <w:numPr>
          <w:ilvl w:val="0"/>
          <w:numId w:val="63"/>
        </w:numPr>
        <w:rPr>
          <w:rFonts w:asciiTheme="minorBidi" w:hAnsiTheme="minorBidi"/>
        </w:rPr>
      </w:pPr>
      <w:r w:rsidRPr="005275DF">
        <w:rPr>
          <w:rFonts w:asciiTheme="minorBidi" w:hAnsiTheme="minorBidi"/>
          <w:rtl/>
        </w:rPr>
        <w:t xml:space="preserve">(לג)- אותן שיש להן נקב בזרוע שקורין אפטורא אם נסתם הנקב קצת צ"ע אם מותר ליתן בתוכו קטנית שיפתח דהכא ודאי כוונתו שישאר פתוח או דלמא כיון שהיה פתוח כבר שרי </w:t>
      </w:r>
      <w:r w:rsidRPr="005275DF">
        <w:rPr>
          <w:rFonts w:asciiTheme="minorBidi" w:hAnsiTheme="minorBidi"/>
          <w:sz w:val="16"/>
          <w:szCs w:val="16"/>
          <w:rtl/>
        </w:rPr>
        <w:t>(וכמש"כ סי' שיד ס"ג)</w:t>
      </w:r>
      <w:r w:rsidRPr="005275DF">
        <w:rPr>
          <w:rFonts w:asciiTheme="minorBidi" w:hAnsiTheme="minorBidi"/>
          <w:rtl/>
        </w:rPr>
        <w:t>, וה"ה נקב שבמכה שכבר נפתח צ"ע כה"ג. ורטיה מותר ליתן על האפטורא</w:t>
      </w:r>
      <w:r w:rsidRPr="005275DF">
        <w:rPr>
          <w:rFonts w:asciiTheme="minorBidi" w:hAnsiTheme="minorBidi"/>
          <w:sz w:val="16"/>
          <w:szCs w:val="16"/>
          <w:rtl/>
        </w:rPr>
        <w:t xml:space="preserve"> (כמ"ש סע' כ"ז)</w:t>
      </w:r>
      <w:r w:rsidRPr="005275DF">
        <w:rPr>
          <w:rFonts w:asciiTheme="minorBidi" w:hAnsiTheme="minorBidi"/>
          <w:rtl/>
        </w:rPr>
        <w:t>. ומל' השו"ע משמע דאפי' יש בו נקב ובא להרחיבו אסור. ובספר ראב"ן משמע דאסור ליתן עליה רטיה אם יודע שמוציא דם כשמקנחה לא יקנחנה דפסיק רישיה הוא אבל מותר להחליף בגד אחר דאם לא יחליף יסריח דגדול כבוד הבריות כו'</w:t>
      </w:r>
      <w:r w:rsidRPr="005275DF">
        <w:rPr>
          <w:rFonts w:asciiTheme="minorBidi" w:hAnsiTheme="minorBidi"/>
          <w:sz w:val="16"/>
          <w:szCs w:val="16"/>
          <w:rtl/>
        </w:rPr>
        <w:t xml:space="preserve"> (וע' סי' יג ס"ג)</w:t>
      </w:r>
      <w:r w:rsidRPr="005275DF">
        <w:rPr>
          <w:rFonts w:asciiTheme="minorBidi" w:hAnsiTheme="minorBidi"/>
          <w:rtl/>
        </w:rPr>
        <w:t xml:space="preserve">, ועוד דאית להו צערא </w:t>
      </w:r>
      <w:r w:rsidRPr="005275DF">
        <w:rPr>
          <w:rFonts w:asciiTheme="minorBidi" w:hAnsiTheme="minorBidi"/>
          <w:sz w:val="16"/>
          <w:szCs w:val="16"/>
          <w:rtl/>
        </w:rPr>
        <w:t>(עסי' שיז ס"א בהג"ה וסק"ו, וע' שם בעירובין קג:)</w:t>
      </w:r>
      <w:r w:rsidRPr="005275DF">
        <w:rPr>
          <w:rFonts w:asciiTheme="minorBidi" w:hAnsiTheme="minorBidi"/>
          <w:rtl/>
        </w:rPr>
        <w:t xml:space="preserve">. ובסה"ת </w:t>
      </w:r>
      <w:r w:rsidRPr="005275DF">
        <w:rPr>
          <w:rFonts w:asciiTheme="minorBidi" w:hAnsiTheme="minorBidi"/>
          <w:sz w:val="16"/>
          <w:szCs w:val="16"/>
          <w:rtl/>
        </w:rPr>
        <w:t>(סי' רנד)</w:t>
      </w:r>
      <w:r w:rsidRPr="005275DF">
        <w:rPr>
          <w:rFonts w:asciiTheme="minorBidi" w:hAnsiTheme="minorBidi"/>
          <w:rtl/>
        </w:rPr>
        <w:t xml:space="preserve"> כ' מותר להוציא ליחה מכויה שלו שקורין קויטר"א בלע"ז ואע"פ שיש דם בתוך הכויה משום דמפקיד פקיד כמו מורסא, ובכנה"ג כ' בשם ספר הזכרונות </w:t>
      </w:r>
      <w:r w:rsidRPr="005275DF">
        <w:rPr>
          <w:rFonts w:asciiTheme="minorBidi" w:hAnsiTheme="minorBidi"/>
          <w:sz w:val="16"/>
          <w:szCs w:val="16"/>
          <w:rtl/>
        </w:rPr>
        <w:t xml:space="preserve">(דף נ"ב) </w:t>
      </w:r>
      <w:r w:rsidRPr="005275DF">
        <w:rPr>
          <w:rFonts w:asciiTheme="minorBidi" w:hAnsiTheme="minorBidi"/>
          <w:rtl/>
        </w:rPr>
        <w:t xml:space="preserve">דאסור להחליף הבגד או הנייר- שמושך ליחה, וגם יש לחוש שיצא הדם ויצבע הבגד </w:t>
      </w:r>
      <w:r w:rsidRPr="005275DF">
        <w:rPr>
          <w:rFonts w:asciiTheme="minorBidi" w:hAnsiTheme="minorBidi"/>
          <w:sz w:val="16"/>
          <w:szCs w:val="16"/>
          <w:rtl/>
        </w:rPr>
        <w:t>(עי"ל סמ"ח סקנ"ג מה שכתבתי)</w:t>
      </w:r>
      <w:r w:rsidRPr="005275DF">
        <w:rPr>
          <w:rFonts w:asciiTheme="minorBidi" w:hAnsiTheme="minorBidi"/>
          <w:rtl/>
        </w:rPr>
        <w:t xml:space="preserve">. ונ"ל דהכא שאני כיון שנקב בתוכה כ"ש שלא יניח צו"ק זאל"ב על המכה שאין בה נקב. </w:t>
      </w:r>
    </w:p>
    <w:p w14:paraId="4258556E" w14:textId="77777777" w:rsidR="006A4BF8" w:rsidRPr="005275DF" w:rsidRDefault="006A4BF8" w:rsidP="00FF2D21">
      <w:pPr>
        <w:pStyle w:val="aa"/>
        <w:numPr>
          <w:ilvl w:val="0"/>
          <w:numId w:val="63"/>
        </w:numPr>
        <w:rPr>
          <w:rFonts w:asciiTheme="minorBidi" w:hAnsiTheme="minorBidi"/>
          <w:rtl/>
        </w:rPr>
      </w:pPr>
      <w:r w:rsidRPr="005275DF">
        <w:rPr>
          <w:rFonts w:asciiTheme="minorBidi" w:hAnsiTheme="minorBidi"/>
          <w:rtl/>
        </w:rPr>
        <w:t>אסור לחוך שחין- שמוציא דם, ול"ד לליחה דהוא מפקיד פקיד.</w:t>
      </w:r>
    </w:p>
    <w:p w14:paraId="51D223D8" w14:textId="77777777" w:rsidR="006A4BF8" w:rsidRPr="005275DF" w:rsidRDefault="006A4BF8" w:rsidP="00434A6A">
      <w:pPr>
        <w:rPr>
          <w:rFonts w:asciiTheme="minorBidi" w:hAnsiTheme="minorBidi"/>
          <w:rtl/>
        </w:rPr>
      </w:pPr>
    </w:p>
    <w:p w14:paraId="05B5E8DE"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כט: צמיתת מכה ע"י יין או חומץ.</w:t>
      </w:r>
    </w:p>
    <w:p w14:paraId="2EB3467F"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קט ע"א: </w:t>
      </w:r>
      <w:r w:rsidRPr="005275DF">
        <w:rPr>
          <w:rFonts w:asciiTheme="minorBidi" w:hAnsiTheme="minorBidi"/>
          <w:u w:val="single"/>
          <w:rtl/>
        </w:rPr>
        <w:t>ואמר מר עוקבא</w:t>
      </w:r>
      <w:r w:rsidRPr="005275DF">
        <w:rPr>
          <w:rFonts w:asciiTheme="minorBidi" w:hAnsiTheme="minorBidi"/>
          <w:rtl/>
        </w:rPr>
        <w:t xml:space="preserve"> מי שנגפה</w:t>
      </w:r>
      <w:r w:rsidRPr="005275DF">
        <w:rPr>
          <w:rStyle w:val="a9"/>
          <w:rFonts w:asciiTheme="minorBidi" w:hAnsiTheme="minorBidi"/>
          <w:rtl/>
        </w:rPr>
        <w:footnoteReference w:id="3326"/>
      </w:r>
      <w:r w:rsidRPr="005275DF">
        <w:rPr>
          <w:rFonts w:asciiTheme="minorBidi" w:hAnsiTheme="minorBidi"/>
          <w:rtl/>
        </w:rPr>
        <w:t xml:space="preserve"> ידו או רגלו צומתה</w:t>
      </w:r>
      <w:r w:rsidRPr="005275DF">
        <w:rPr>
          <w:rStyle w:val="a9"/>
          <w:rFonts w:asciiTheme="minorBidi" w:hAnsiTheme="minorBidi"/>
          <w:rtl/>
        </w:rPr>
        <w:footnoteReference w:id="3327"/>
      </w:r>
      <w:r w:rsidRPr="005275DF">
        <w:rPr>
          <w:rFonts w:asciiTheme="minorBidi" w:hAnsiTheme="minorBidi"/>
          <w:rtl/>
        </w:rPr>
        <w:t xml:space="preserve"> ביין ואינו חושש. איבעיא להו: חלא מאי? </w:t>
      </w:r>
      <w:r w:rsidRPr="005275DF">
        <w:rPr>
          <w:rFonts w:asciiTheme="minorBidi" w:hAnsiTheme="minorBidi"/>
          <w:u w:val="single"/>
          <w:rtl/>
        </w:rPr>
        <w:t>אמר רב הלל לרב אשי</w:t>
      </w:r>
      <w:r w:rsidRPr="005275DF">
        <w:rPr>
          <w:rFonts w:asciiTheme="minorBidi" w:hAnsiTheme="minorBidi"/>
          <w:rtl/>
        </w:rPr>
        <w:t xml:space="preserve">: כי הוינא בי רב כהנא אמרי חלא לא. </w:t>
      </w:r>
      <w:r w:rsidRPr="005275DF">
        <w:rPr>
          <w:rFonts w:asciiTheme="minorBidi" w:hAnsiTheme="minorBidi"/>
          <w:u w:val="single"/>
          <w:rtl/>
        </w:rPr>
        <w:t>אמר רבא:</w:t>
      </w:r>
      <w:r w:rsidRPr="005275DF">
        <w:rPr>
          <w:rFonts w:asciiTheme="minorBidi" w:hAnsiTheme="minorBidi"/>
          <w:rtl/>
        </w:rPr>
        <w:t xml:space="preserve"> והני בני מחוזא כיון דמפנקי</w:t>
      </w:r>
      <w:r w:rsidRPr="005275DF">
        <w:rPr>
          <w:rStyle w:val="a9"/>
          <w:rFonts w:asciiTheme="minorBidi" w:hAnsiTheme="minorBidi"/>
          <w:rtl/>
        </w:rPr>
        <w:footnoteReference w:id="3328"/>
      </w:r>
      <w:r w:rsidRPr="005275DF">
        <w:rPr>
          <w:rFonts w:asciiTheme="minorBidi" w:hAnsiTheme="minorBidi"/>
          <w:rtl/>
        </w:rPr>
        <w:t xml:space="preserve"> אפילו חמרא נמי מסי להו. </w:t>
      </w:r>
    </w:p>
    <w:p w14:paraId="2EA4324E"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6C2AAEB4" w14:textId="77777777" w:rsidR="006A4BF8" w:rsidRPr="005275DF" w:rsidRDefault="006A4BF8" w:rsidP="00434A6A">
      <w:pPr>
        <w:rPr>
          <w:rFonts w:asciiTheme="minorBidi" w:hAnsiTheme="minorBidi"/>
          <w:rtl/>
        </w:rPr>
      </w:pPr>
      <w:r w:rsidRPr="005275DF">
        <w:rPr>
          <w:rStyle w:val="a9"/>
          <w:rFonts w:asciiTheme="minorBidi" w:hAnsiTheme="minorBidi"/>
          <w:rtl/>
        </w:rPr>
        <w:footnoteReference w:id="3329"/>
      </w:r>
      <w:r w:rsidRPr="005275DF">
        <w:rPr>
          <w:rFonts w:asciiTheme="minorBidi" w:hAnsiTheme="minorBidi"/>
          <w:rtl/>
        </w:rPr>
        <w:t>מי שנגפה ידו או רגלו צומתה ביין כדי להעמיד הדם אבל לא בחומץ מפני שהוא חזק ויש בו משום רפואה ואם הוא מעונג אף היין לו כמו החומץ ואסור</w:t>
      </w:r>
      <w:r w:rsidRPr="005275DF">
        <w:rPr>
          <w:rStyle w:val="a9"/>
          <w:rFonts w:asciiTheme="minorBidi" w:hAnsiTheme="minorBidi"/>
          <w:rtl/>
        </w:rPr>
        <w:footnoteReference w:id="3330"/>
      </w:r>
      <w:r w:rsidRPr="005275DF">
        <w:rPr>
          <w:rFonts w:asciiTheme="minorBidi" w:hAnsiTheme="minorBidi"/>
          <w:rtl/>
        </w:rPr>
        <w:t xml:space="preserve">. </w:t>
      </w:r>
    </w:p>
    <w:p w14:paraId="3C7D1D76" w14:textId="77777777" w:rsidR="006A4BF8" w:rsidRPr="005275DF" w:rsidRDefault="006A4BF8" w:rsidP="00434A6A">
      <w:pPr>
        <w:rPr>
          <w:rFonts w:asciiTheme="minorBidi" w:hAnsiTheme="minorBidi"/>
          <w:rtl/>
        </w:rPr>
      </w:pPr>
    </w:p>
    <w:p w14:paraId="26E00B44"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ל: שיפשוף נקע במים צוננים.</w:t>
      </w:r>
    </w:p>
    <w:p w14:paraId="7C1CE98B"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קמז ע"א: </w:t>
      </w:r>
      <w:r w:rsidRPr="005275DF">
        <w:rPr>
          <w:rFonts w:asciiTheme="minorBidi" w:hAnsiTheme="minorBidi"/>
          <w:u w:val="double"/>
          <w:rtl/>
        </w:rPr>
        <w:t>משנה:</w:t>
      </w:r>
      <w:r w:rsidRPr="005275DF">
        <w:rPr>
          <w:rFonts w:asciiTheme="minorBidi" w:hAnsiTheme="minorBidi"/>
          <w:rtl/>
        </w:rPr>
        <w:t xml:space="preserve"> הרוחץ... מי שנפרקה</w:t>
      </w:r>
      <w:r w:rsidRPr="005275DF">
        <w:rPr>
          <w:rStyle w:val="a9"/>
          <w:rFonts w:asciiTheme="minorBidi" w:hAnsiTheme="minorBidi"/>
          <w:rtl/>
        </w:rPr>
        <w:footnoteReference w:id="3331"/>
      </w:r>
      <w:r w:rsidRPr="005275DF">
        <w:rPr>
          <w:rFonts w:asciiTheme="minorBidi" w:hAnsiTheme="minorBidi"/>
          <w:rtl/>
        </w:rPr>
        <w:t xml:space="preserve"> ידו ורגלו לא יטרפם בצונן אבל רוחץ הוא כדרכו ואם נתרפא נתרפא.</w:t>
      </w:r>
    </w:p>
    <w:p w14:paraId="7C388263"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EEF0AC6" w14:textId="77777777" w:rsidR="006A4BF8" w:rsidRPr="005275DF" w:rsidRDefault="006A4BF8" w:rsidP="00434A6A">
      <w:pPr>
        <w:rPr>
          <w:rFonts w:asciiTheme="minorBidi" w:hAnsiTheme="minorBidi"/>
          <w:rtl/>
        </w:rPr>
      </w:pPr>
      <w:r w:rsidRPr="005275DF">
        <w:rPr>
          <w:rFonts w:asciiTheme="minorBidi" w:hAnsiTheme="minorBidi"/>
          <w:rtl/>
        </w:rPr>
        <w:t xml:space="preserve">מי שנשמט פרק ידו או רגלו ממקומו לא ישפשפנה הרבה בצונן שזהו רפואתו אלא רוחץ כדרכו ואם נתרפא נתרפא. </w:t>
      </w:r>
    </w:p>
    <w:p w14:paraId="537D1CAE" w14:textId="77777777" w:rsidR="006A4BF8" w:rsidRPr="005275DF" w:rsidRDefault="006A4BF8" w:rsidP="00434A6A">
      <w:pPr>
        <w:rPr>
          <w:rFonts w:asciiTheme="minorBidi" w:hAnsiTheme="minorBidi"/>
          <w:rtl/>
        </w:rPr>
      </w:pPr>
    </w:p>
    <w:p w14:paraId="01C21562"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לא: חיתוך ציפורן וציצין.</w:t>
      </w:r>
    </w:p>
    <w:p w14:paraId="0DBAFFBC" w14:textId="77777777" w:rsidR="006A4BF8" w:rsidRPr="005275DF" w:rsidRDefault="006A4BF8" w:rsidP="00434A6A">
      <w:pPr>
        <w:rPr>
          <w:rFonts w:asciiTheme="minorBidi" w:hAnsiTheme="minorBidi"/>
          <w:sz w:val="16"/>
          <w:szCs w:val="16"/>
          <w:rtl/>
        </w:rPr>
      </w:pPr>
      <w:r w:rsidRPr="005275DF">
        <w:rPr>
          <w:rFonts w:asciiTheme="minorBidi" w:hAnsiTheme="minorBidi"/>
          <w:b/>
          <w:bCs/>
          <w:rtl/>
        </w:rPr>
        <w:t xml:space="preserve">שבת צד ע"ב: </w:t>
      </w:r>
      <w:r w:rsidRPr="005275DF">
        <w:rPr>
          <w:rFonts w:asciiTheme="minorBidi" w:hAnsiTheme="minorBidi"/>
          <w:rtl/>
        </w:rPr>
        <w:t>תניא, רבי שמעון בן אלעזר אומר: צפורן שפירש רובה וציצין</w:t>
      </w:r>
      <w:r w:rsidRPr="005275DF">
        <w:rPr>
          <w:rStyle w:val="a9"/>
          <w:rFonts w:asciiTheme="minorBidi" w:hAnsiTheme="minorBidi"/>
          <w:rtl/>
        </w:rPr>
        <w:footnoteReference w:id="3332"/>
      </w:r>
      <w:r w:rsidRPr="005275DF">
        <w:rPr>
          <w:rFonts w:asciiTheme="minorBidi" w:hAnsiTheme="minorBidi"/>
          <w:rtl/>
        </w:rPr>
        <w:t xml:space="preserve"> שפרשו רובן</w:t>
      </w:r>
      <w:r w:rsidRPr="005275DF">
        <w:rPr>
          <w:rStyle w:val="a9"/>
          <w:rFonts w:asciiTheme="minorBidi" w:hAnsiTheme="minorBidi"/>
          <w:rtl/>
        </w:rPr>
        <w:footnoteReference w:id="3333"/>
      </w:r>
      <w:r w:rsidRPr="005275DF">
        <w:rPr>
          <w:rFonts w:asciiTheme="minorBidi" w:hAnsiTheme="minorBidi"/>
          <w:rtl/>
        </w:rPr>
        <w:t xml:space="preserve">.... ביד מותר, בכלי פטור אבל אסור. לא פירשו רובן, ביד פטור אבל אסור, בכלי חייב חטאת. </w:t>
      </w:r>
      <w:r w:rsidRPr="005275DF">
        <w:rPr>
          <w:rFonts w:asciiTheme="minorBidi" w:hAnsiTheme="minorBidi"/>
          <w:u w:val="single"/>
          <w:rtl/>
        </w:rPr>
        <w:t>אמר רב יהודה</w:t>
      </w:r>
      <w:r w:rsidRPr="005275DF">
        <w:rPr>
          <w:rFonts w:asciiTheme="minorBidi" w:hAnsiTheme="minorBidi"/>
          <w:rtl/>
        </w:rPr>
        <w:t xml:space="preserve">: הלכה כרבי שמעון בן אלעזר. </w:t>
      </w:r>
      <w:r w:rsidRPr="005275DF">
        <w:rPr>
          <w:rFonts w:asciiTheme="minorBidi" w:hAnsiTheme="minorBidi"/>
          <w:u w:val="single"/>
          <w:rtl/>
        </w:rPr>
        <w:t>אמר רבה בר בר חנה אמר רבי יוחנן</w:t>
      </w:r>
      <w:r w:rsidRPr="005275DF">
        <w:rPr>
          <w:rFonts w:asciiTheme="minorBidi" w:hAnsiTheme="minorBidi"/>
          <w:rtl/>
        </w:rPr>
        <w:t>: והוא שפרשו כלפי מעלה ומצערות אותו.</w:t>
      </w:r>
      <w:r w:rsidRPr="005275DF">
        <w:rPr>
          <w:rFonts w:asciiTheme="minorBidi" w:hAnsiTheme="minorBidi"/>
          <w:sz w:val="16"/>
          <w:szCs w:val="16"/>
          <w:rtl/>
        </w:rPr>
        <w:t xml:space="preserve"> </w:t>
      </w:r>
    </w:p>
    <w:p w14:paraId="3F26E00F"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16E7132" w14:textId="77777777" w:rsidR="006A4BF8" w:rsidRPr="005275DF" w:rsidRDefault="006A4BF8" w:rsidP="00434A6A">
      <w:pPr>
        <w:rPr>
          <w:rFonts w:asciiTheme="minorBidi" w:hAnsiTheme="minorBidi"/>
          <w:rtl/>
        </w:rPr>
      </w:pPr>
      <w:r w:rsidRPr="005275DF">
        <w:rPr>
          <w:rFonts w:asciiTheme="minorBidi" w:hAnsiTheme="minorBidi"/>
          <w:rtl/>
        </w:rPr>
        <w:t>צפורן שפרשה וציצין שהן כמין רצועות דקות שפרשו מעור האצבע סביב הצפורן אם פרשו רובן כלפי מעלה ומצערות אותו, להסירן ביד מותר</w:t>
      </w:r>
      <w:r w:rsidRPr="005275DF">
        <w:rPr>
          <w:rStyle w:val="a9"/>
          <w:rFonts w:asciiTheme="minorBidi" w:hAnsiTheme="minorBidi"/>
          <w:rtl/>
        </w:rPr>
        <w:footnoteReference w:id="3334"/>
      </w:r>
      <w:r w:rsidRPr="005275DF">
        <w:rPr>
          <w:rFonts w:asciiTheme="minorBidi" w:hAnsiTheme="minorBidi"/>
          <w:rtl/>
        </w:rPr>
        <w:t xml:space="preserve"> בכלי פטור אבל אסור, לא פרשו רובן ביד פטור אבל אסור בכלי חייב חטאת</w:t>
      </w:r>
      <w:r w:rsidRPr="005275DF">
        <w:rPr>
          <w:rStyle w:val="a9"/>
          <w:rFonts w:asciiTheme="minorBidi" w:hAnsiTheme="minorBidi"/>
          <w:rtl/>
        </w:rPr>
        <w:footnoteReference w:id="3335"/>
      </w:r>
      <w:r w:rsidRPr="005275DF">
        <w:rPr>
          <w:rFonts w:asciiTheme="minorBidi" w:hAnsiTheme="minorBidi"/>
          <w:rtl/>
        </w:rPr>
        <w:t>. ופירש רש"י כלפי מעלה כלפי ראשי אצבעותיו, ור"ת פירש דהיינו כלפי הגוף, וצריך לחוש לשני הפרושים</w:t>
      </w:r>
      <w:r w:rsidRPr="005275DF">
        <w:rPr>
          <w:rStyle w:val="a9"/>
          <w:rFonts w:asciiTheme="minorBidi" w:hAnsiTheme="minorBidi"/>
          <w:rtl/>
        </w:rPr>
        <w:footnoteReference w:id="3336"/>
      </w:r>
      <w:r w:rsidRPr="005275DF">
        <w:rPr>
          <w:rFonts w:asciiTheme="minorBidi" w:hAnsiTheme="minorBidi"/>
          <w:rtl/>
        </w:rPr>
        <w:t xml:space="preserve">. </w:t>
      </w:r>
    </w:p>
    <w:p w14:paraId="14F96B86" w14:textId="77777777" w:rsidR="006A4BF8" w:rsidRPr="005275DF" w:rsidRDefault="006A4BF8" w:rsidP="00434A6A">
      <w:pPr>
        <w:rPr>
          <w:rFonts w:asciiTheme="minorBidi" w:hAnsiTheme="minorBidi"/>
          <w:rtl/>
        </w:rPr>
      </w:pPr>
    </w:p>
    <w:p w14:paraId="3F9EBDC9"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לב: החושש בשיניו / בגרונו.</w:t>
      </w:r>
    </w:p>
    <w:p w14:paraId="47E39426"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קיא ע"א: </w:t>
      </w:r>
      <w:r w:rsidRPr="005275DF">
        <w:rPr>
          <w:rFonts w:asciiTheme="minorBidi" w:hAnsiTheme="minorBidi"/>
          <w:u w:val="double"/>
          <w:rtl/>
        </w:rPr>
        <w:t>משנה:</w:t>
      </w:r>
      <w:r w:rsidRPr="005275DF">
        <w:rPr>
          <w:rFonts w:asciiTheme="minorBidi" w:hAnsiTheme="minorBidi"/>
          <w:rtl/>
        </w:rPr>
        <w:t xml:space="preserve"> החושש בשיניו לא יגמע בהן את החומץ אבל מטבל הוא כדרכו ואם נתרפא נתרפא...     </w:t>
      </w:r>
      <w:r w:rsidRPr="005275DF">
        <w:rPr>
          <w:rFonts w:asciiTheme="minorBidi" w:hAnsiTheme="minorBidi"/>
          <w:u w:val="double"/>
          <w:rtl/>
        </w:rPr>
        <w:t>גמ':</w:t>
      </w:r>
      <w:r w:rsidRPr="005275DF">
        <w:rPr>
          <w:rFonts w:asciiTheme="minorBidi" w:hAnsiTheme="minorBidi"/>
          <w:rtl/>
        </w:rPr>
        <w:t xml:space="preserve"> לא יגמע בהן את החומץ. והתניא: לא יגמע ופולט אבל מגמע ובולע! </w:t>
      </w:r>
      <w:r w:rsidRPr="005275DF">
        <w:rPr>
          <w:rFonts w:asciiTheme="minorBidi" w:hAnsiTheme="minorBidi"/>
          <w:u w:val="single"/>
          <w:rtl/>
        </w:rPr>
        <w:t>אמר אביי</w:t>
      </w:r>
      <w:r w:rsidRPr="005275DF">
        <w:rPr>
          <w:rFonts w:asciiTheme="minorBidi" w:hAnsiTheme="minorBidi"/>
          <w:rtl/>
        </w:rPr>
        <w:t xml:space="preserve">: כי תנן נמי מתניתין - מגמע ופולט תנן. </w:t>
      </w:r>
    </w:p>
    <w:p w14:paraId="00B73E44" w14:textId="77777777" w:rsidR="006A4BF8" w:rsidRPr="005275DF" w:rsidRDefault="006A4BF8" w:rsidP="00434A6A">
      <w:pPr>
        <w:rPr>
          <w:rFonts w:asciiTheme="minorBidi" w:hAnsiTheme="minorBidi"/>
          <w:rtl/>
        </w:rPr>
      </w:pPr>
      <w:r w:rsidRPr="005275DF">
        <w:rPr>
          <w:rFonts w:asciiTheme="minorBidi" w:hAnsiTheme="minorBidi"/>
          <w:b/>
          <w:bCs/>
          <w:rtl/>
        </w:rPr>
        <w:t xml:space="preserve">ברכות לו ע"א: </w:t>
      </w:r>
      <w:r w:rsidRPr="005275DF">
        <w:rPr>
          <w:rFonts w:asciiTheme="minorBidi" w:hAnsiTheme="minorBidi"/>
          <w:rtl/>
        </w:rPr>
        <w:t>דתניא: החושש בגרונו - לא יערענו בשמן</w:t>
      </w:r>
      <w:r w:rsidRPr="005275DF">
        <w:rPr>
          <w:rStyle w:val="a9"/>
          <w:rFonts w:asciiTheme="minorBidi" w:hAnsiTheme="minorBidi"/>
          <w:rtl/>
        </w:rPr>
        <w:footnoteReference w:id="3337"/>
      </w:r>
      <w:r w:rsidRPr="005275DF">
        <w:rPr>
          <w:rFonts w:asciiTheme="minorBidi" w:hAnsiTheme="minorBidi"/>
          <w:rtl/>
        </w:rPr>
        <w:t xml:space="preserve"> תחלה</w:t>
      </w:r>
      <w:r w:rsidRPr="005275DF">
        <w:rPr>
          <w:rStyle w:val="a9"/>
          <w:rFonts w:asciiTheme="minorBidi" w:hAnsiTheme="minorBidi"/>
          <w:rtl/>
        </w:rPr>
        <w:footnoteReference w:id="3338"/>
      </w:r>
      <w:r w:rsidRPr="005275DF">
        <w:rPr>
          <w:rFonts w:asciiTheme="minorBidi" w:hAnsiTheme="minorBidi"/>
          <w:rtl/>
        </w:rPr>
        <w:t xml:space="preserve"> בשבת, אבל נותן שמן הרבה לתוך אניגרון</w:t>
      </w:r>
      <w:r w:rsidRPr="005275DF">
        <w:rPr>
          <w:rStyle w:val="a9"/>
          <w:rFonts w:asciiTheme="minorBidi" w:hAnsiTheme="minorBidi"/>
          <w:rtl/>
        </w:rPr>
        <w:footnoteReference w:id="3339"/>
      </w:r>
      <w:r w:rsidRPr="005275DF">
        <w:rPr>
          <w:rFonts w:asciiTheme="minorBidi" w:hAnsiTheme="minorBidi"/>
          <w:rtl/>
        </w:rPr>
        <w:t xml:space="preserve"> ובולע. </w:t>
      </w:r>
    </w:p>
    <w:p w14:paraId="10DC5C9F" w14:textId="77777777" w:rsidR="006A4BF8" w:rsidRPr="005275DF" w:rsidRDefault="006A4BF8" w:rsidP="00434A6A">
      <w:pPr>
        <w:rPr>
          <w:rFonts w:asciiTheme="minorBidi" w:hAnsiTheme="minorBidi"/>
          <w:u w:val="single"/>
          <w:rtl/>
        </w:rPr>
      </w:pPr>
      <w:r w:rsidRPr="005275DF">
        <w:rPr>
          <w:rFonts w:asciiTheme="minorBidi" w:hAnsiTheme="minorBidi"/>
          <w:u w:val="single"/>
          <w:rtl/>
        </w:rPr>
        <w:t>מאי- "לא יערענו בשמן תחלה":</w:t>
      </w:r>
    </w:p>
    <w:p w14:paraId="70D9EFCA" w14:textId="77777777" w:rsidR="006A4BF8" w:rsidRPr="005275DF" w:rsidRDefault="006A4BF8" w:rsidP="00FF2D21">
      <w:pPr>
        <w:pStyle w:val="aa"/>
        <w:numPr>
          <w:ilvl w:val="0"/>
          <w:numId w:val="64"/>
        </w:numPr>
        <w:rPr>
          <w:rFonts w:asciiTheme="minorBidi" w:hAnsiTheme="minorBidi"/>
          <w:rtl/>
        </w:rPr>
      </w:pPr>
      <w:r w:rsidRPr="005275DF">
        <w:rPr>
          <w:rFonts w:asciiTheme="minorBidi" w:hAnsiTheme="minorBidi"/>
          <w:rtl/>
        </w:rPr>
        <w:t>רמב"ם- החושש בגרונו לא יערענו בשמן אבל בולע הוא שמן הרבה</w:t>
      </w:r>
      <w:r w:rsidRPr="005275DF">
        <w:rPr>
          <w:rStyle w:val="a9"/>
          <w:rFonts w:asciiTheme="minorBidi" w:hAnsiTheme="minorBidi"/>
          <w:rtl/>
        </w:rPr>
        <w:footnoteReference w:id="3340"/>
      </w:r>
      <w:r w:rsidRPr="005275DF">
        <w:rPr>
          <w:rFonts w:asciiTheme="minorBidi" w:hAnsiTheme="minorBidi"/>
          <w:rtl/>
        </w:rPr>
        <w:t xml:space="preserve"> ואם נתרפא נתרפא</w:t>
      </w:r>
      <w:r w:rsidRPr="005275DF">
        <w:rPr>
          <w:rStyle w:val="a9"/>
          <w:rFonts w:asciiTheme="minorBidi" w:hAnsiTheme="minorBidi"/>
          <w:rtl/>
        </w:rPr>
        <w:footnoteReference w:id="3341"/>
      </w:r>
      <w:r w:rsidRPr="005275DF">
        <w:rPr>
          <w:rFonts w:asciiTheme="minorBidi" w:hAnsiTheme="minorBidi"/>
          <w:rtl/>
        </w:rPr>
        <w:t xml:space="preserve">. </w:t>
      </w:r>
      <w:r w:rsidRPr="005275DF">
        <w:rPr>
          <w:rFonts w:asciiTheme="minorBidi" w:hAnsiTheme="minorBidi"/>
          <w:color w:val="E36C0A" w:themeColor="accent6" w:themeShade="BF"/>
          <w:rtl/>
        </w:rPr>
        <w:t>(וכ"פ בשו"ע)</w:t>
      </w:r>
    </w:p>
    <w:p w14:paraId="73D10E48" w14:textId="77777777" w:rsidR="006A4BF8" w:rsidRPr="005275DF" w:rsidRDefault="006A4BF8" w:rsidP="00FF2D21">
      <w:pPr>
        <w:pStyle w:val="aa"/>
        <w:numPr>
          <w:ilvl w:val="0"/>
          <w:numId w:val="64"/>
        </w:numPr>
        <w:rPr>
          <w:rFonts w:asciiTheme="minorBidi" w:hAnsiTheme="minorBidi"/>
        </w:rPr>
      </w:pPr>
      <w:r w:rsidRPr="005275DF">
        <w:rPr>
          <w:rFonts w:asciiTheme="minorBidi" w:hAnsiTheme="minorBidi"/>
          <w:rtl/>
        </w:rPr>
        <w:t>רש"י- לכתחלה לא יתן השמן בפיו לשם ערעור אלא לשם בליעה ואם בא להשהותו ישהנו</w:t>
      </w:r>
      <w:r w:rsidRPr="005275DF">
        <w:rPr>
          <w:rStyle w:val="a9"/>
          <w:rFonts w:asciiTheme="minorBidi" w:hAnsiTheme="minorBidi"/>
          <w:rtl/>
        </w:rPr>
        <w:footnoteReference w:id="3342"/>
      </w:r>
      <w:r w:rsidRPr="005275DF">
        <w:rPr>
          <w:rFonts w:asciiTheme="minorBidi" w:hAnsiTheme="minorBidi"/>
          <w:rtl/>
        </w:rPr>
        <w:t xml:space="preserve">. </w:t>
      </w:r>
    </w:p>
    <w:p w14:paraId="361DC5FC" w14:textId="77777777" w:rsidR="006A4BF8" w:rsidRPr="005275DF" w:rsidRDefault="006A4BF8" w:rsidP="00FF2D21">
      <w:pPr>
        <w:pStyle w:val="aa"/>
        <w:numPr>
          <w:ilvl w:val="0"/>
          <w:numId w:val="64"/>
        </w:numPr>
        <w:rPr>
          <w:rFonts w:asciiTheme="minorBidi" w:hAnsiTheme="minorBidi"/>
        </w:rPr>
      </w:pPr>
      <w:r w:rsidRPr="005275DF">
        <w:rPr>
          <w:rFonts w:asciiTheme="minorBidi" w:hAnsiTheme="minorBidi"/>
          <w:rtl/>
        </w:rPr>
        <w:t xml:space="preserve">ר"י </w:t>
      </w:r>
      <w:r w:rsidRPr="005275DF">
        <w:rPr>
          <w:rFonts w:asciiTheme="minorBidi" w:hAnsiTheme="minorBidi"/>
          <w:sz w:val="16"/>
          <w:szCs w:val="16"/>
          <w:rtl/>
        </w:rPr>
        <w:t>(תוס' ד"ה לא)</w:t>
      </w:r>
      <w:r w:rsidRPr="005275DF">
        <w:rPr>
          <w:rFonts w:asciiTheme="minorBidi" w:hAnsiTheme="minorBidi"/>
          <w:rtl/>
        </w:rPr>
        <w:t>- לא יערענו אפילו בבליעה בלא שהייה משום דמוכחא מילתא דלרפואה קא מכוין.</w:t>
      </w:r>
    </w:p>
    <w:p w14:paraId="2F4128B1"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1C2E776" w14:textId="77777777" w:rsidR="006A4BF8" w:rsidRPr="005275DF" w:rsidRDefault="006A4BF8" w:rsidP="00434A6A">
      <w:pPr>
        <w:rPr>
          <w:rFonts w:asciiTheme="minorBidi" w:hAnsiTheme="minorBidi"/>
          <w:rtl/>
        </w:rPr>
      </w:pPr>
      <w:r w:rsidRPr="005275DF">
        <w:rPr>
          <w:rFonts w:asciiTheme="minorBidi" w:hAnsiTheme="minorBidi"/>
          <w:rtl/>
        </w:rPr>
        <w:t>החושש בשיניו לא יגמע בהם חומץ ויפלוט</w:t>
      </w:r>
      <w:r w:rsidRPr="005275DF">
        <w:rPr>
          <w:rStyle w:val="a9"/>
          <w:rFonts w:asciiTheme="minorBidi" w:hAnsiTheme="minorBidi"/>
          <w:rtl/>
        </w:rPr>
        <w:footnoteReference w:id="3343"/>
      </w:r>
      <w:r w:rsidRPr="005275DF">
        <w:rPr>
          <w:rFonts w:asciiTheme="minorBidi" w:hAnsiTheme="minorBidi"/>
          <w:rtl/>
        </w:rPr>
        <w:t xml:space="preserve"> אבל מגמע ובולע או מטבל בו כדרכו. החושש בגרונו לא יערענו בשמן אבל בולע הוא שמן</w:t>
      </w:r>
      <w:r w:rsidRPr="005275DF">
        <w:rPr>
          <w:rStyle w:val="a9"/>
          <w:rFonts w:asciiTheme="minorBidi" w:hAnsiTheme="minorBidi"/>
          <w:rtl/>
        </w:rPr>
        <w:footnoteReference w:id="3344"/>
      </w:r>
      <w:r w:rsidRPr="005275DF">
        <w:rPr>
          <w:rFonts w:asciiTheme="minorBidi" w:hAnsiTheme="minorBidi"/>
          <w:rtl/>
        </w:rPr>
        <w:t xml:space="preserve"> ואם נתרפא נתרפא. </w:t>
      </w:r>
    </w:p>
    <w:p w14:paraId="5D369FEA" w14:textId="77777777" w:rsidR="006A4BF8" w:rsidRPr="005275DF" w:rsidRDefault="006A4BF8" w:rsidP="00434A6A">
      <w:pPr>
        <w:rPr>
          <w:rFonts w:asciiTheme="minorBidi" w:hAnsiTheme="minorBidi"/>
          <w:rtl/>
        </w:rPr>
      </w:pPr>
      <w:r w:rsidRPr="005275DF">
        <w:rPr>
          <w:rFonts w:asciiTheme="minorBidi" w:hAnsiTheme="minorBidi"/>
          <w:rtl/>
        </w:rPr>
        <w:t>- ט"ז</w:t>
      </w:r>
      <w:r w:rsidRPr="005275DF">
        <w:rPr>
          <w:rFonts w:asciiTheme="minorBidi" w:hAnsiTheme="minorBidi"/>
          <w:sz w:val="16"/>
          <w:szCs w:val="16"/>
          <w:rtl/>
        </w:rPr>
        <w:t xml:space="preserve"> (סקכ"ד)</w:t>
      </w:r>
      <w:r w:rsidRPr="005275DF">
        <w:rPr>
          <w:rFonts w:asciiTheme="minorBidi" w:hAnsiTheme="minorBidi"/>
          <w:rtl/>
        </w:rPr>
        <w:t>, פשוט שלא מיירי כאן אלא במיחוש בעלמא אבל אם יש לו צער גדול מחמת הכאב ובשביל זה נחלש בשאר הגוף שרי לעשות כל הרפואות כדלעיל ס"ג.</w:t>
      </w:r>
    </w:p>
    <w:p w14:paraId="13A1AC34" w14:textId="77777777" w:rsidR="006A4BF8" w:rsidRPr="005275DF" w:rsidRDefault="006A4BF8" w:rsidP="00434A6A">
      <w:pPr>
        <w:rPr>
          <w:rFonts w:asciiTheme="minorBidi" w:hAnsiTheme="minorBidi"/>
          <w:rtl/>
        </w:rPr>
      </w:pPr>
    </w:p>
    <w:p w14:paraId="3C57F259"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לג: יניקה מבהמה.</w:t>
      </w:r>
    </w:p>
    <w:p w14:paraId="14F927A9" w14:textId="77777777" w:rsidR="006A4BF8" w:rsidRPr="005275DF" w:rsidRDefault="006A4BF8" w:rsidP="00434A6A">
      <w:pPr>
        <w:rPr>
          <w:rFonts w:asciiTheme="minorBidi" w:hAnsiTheme="minorBidi"/>
          <w:rtl/>
        </w:rPr>
      </w:pPr>
      <w:r w:rsidRPr="005275DF">
        <w:rPr>
          <w:rFonts w:asciiTheme="minorBidi" w:hAnsiTheme="minorBidi"/>
          <w:b/>
          <w:bCs/>
          <w:rtl/>
        </w:rPr>
        <w:t xml:space="preserve">כתובות ס ע"א: </w:t>
      </w:r>
      <w:r w:rsidRPr="005275DF">
        <w:rPr>
          <w:rFonts w:asciiTheme="minorBidi" w:hAnsiTheme="minorBidi"/>
          <w:rtl/>
        </w:rPr>
        <w:t xml:space="preserve">תניא, </w:t>
      </w:r>
      <w:r w:rsidRPr="005275DF">
        <w:rPr>
          <w:rFonts w:asciiTheme="minorBidi" w:hAnsiTheme="minorBidi"/>
          <w:u w:val="single"/>
          <w:rtl/>
        </w:rPr>
        <w:t>רבי מרינוס אומר</w:t>
      </w:r>
      <w:r w:rsidRPr="005275DF">
        <w:rPr>
          <w:rFonts w:asciiTheme="minorBidi" w:hAnsiTheme="minorBidi"/>
          <w:rtl/>
        </w:rPr>
        <w:t>: גונח יונק חלב בשבת. מאי טעמא? יונק מפרק</w:t>
      </w:r>
      <w:r w:rsidRPr="005275DF">
        <w:rPr>
          <w:rStyle w:val="a9"/>
          <w:rFonts w:asciiTheme="minorBidi" w:hAnsiTheme="minorBidi"/>
          <w:rtl/>
        </w:rPr>
        <w:footnoteReference w:id="3345"/>
      </w:r>
      <w:r w:rsidRPr="005275DF">
        <w:rPr>
          <w:rFonts w:asciiTheme="minorBidi" w:hAnsiTheme="minorBidi"/>
          <w:rtl/>
        </w:rPr>
        <w:t xml:space="preserve"> כלאחר יד ובמקום צערא לא גזרו רבנן. </w:t>
      </w:r>
      <w:r w:rsidRPr="005275DF">
        <w:rPr>
          <w:rFonts w:asciiTheme="minorBidi" w:hAnsiTheme="minorBidi"/>
          <w:u w:val="single"/>
          <w:rtl/>
        </w:rPr>
        <w:t>אמר רב יוסף</w:t>
      </w:r>
      <w:r w:rsidRPr="005275DF">
        <w:rPr>
          <w:rFonts w:asciiTheme="minorBidi" w:hAnsiTheme="minorBidi"/>
          <w:rtl/>
        </w:rPr>
        <w:t xml:space="preserve">: הלכה כרבי מרינוס. </w:t>
      </w:r>
    </w:p>
    <w:p w14:paraId="35734461" w14:textId="77777777" w:rsidR="006A4BF8" w:rsidRPr="005275DF" w:rsidRDefault="006A4BF8" w:rsidP="00434A6A">
      <w:pPr>
        <w:rPr>
          <w:rFonts w:asciiTheme="minorBidi" w:hAnsiTheme="minorBidi"/>
          <w:rtl/>
        </w:rPr>
      </w:pPr>
      <w:r w:rsidRPr="005275DF">
        <w:rPr>
          <w:rFonts w:asciiTheme="minorBidi" w:hAnsiTheme="minorBidi"/>
          <w:b/>
          <w:bCs/>
          <w:rtl/>
        </w:rPr>
        <w:t xml:space="preserve">יבמות קיד ע"א: </w:t>
      </w:r>
      <w:r w:rsidRPr="005275DF">
        <w:rPr>
          <w:rFonts w:asciiTheme="minorBidi" w:hAnsiTheme="minorBidi"/>
          <w:u w:val="single"/>
          <w:rtl/>
        </w:rPr>
        <w:t>אבא שאול אומר</w:t>
      </w:r>
      <w:r w:rsidRPr="005275DF">
        <w:rPr>
          <w:rFonts w:asciiTheme="minorBidi" w:hAnsiTheme="minorBidi"/>
          <w:rtl/>
        </w:rPr>
        <w:t xml:space="preserve">: נוהגין היינו שיונקים מבהמה טהורה ביום טוב. היכי דמי? אי דאיכא סכנה, אפילו בשבת נמי! ואי דליכא סכנה, אפילו ביום טוב אסור! לא צריכא דאיכא צערא, וקסבר: מפרק כלאחר יד הוא, שבת דאיסור סקילה - גזרו רבנן, יום טוב דאיסור לאו - לא גזרו ביה רבנן. </w:t>
      </w:r>
      <w:r w:rsidRPr="005275DF">
        <w:rPr>
          <w:rFonts w:asciiTheme="minorBidi" w:hAnsiTheme="minorBidi"/>
          <w:sz w:val="16"/>
          <w:szCs w:val="16"/>
          <w:rtl/>
        </w:rPr>
        <w:t>(ש"מ דגונח אע"ג דאית ליה צערא אסור ליה לינק מבהמה בשבת)</w:t>
      </w:r>
    </w:p>
    <w:p w14:paraId="221309BE" w14:textId="77777777" w:rsidR="006A4BF8" w:rsidRPr="005275DF" w:rsidRDefault="006A4BF8" w:rsidP="00434A6A">
      <w:pPr>
        <w:rPr>
          <w:rFonts w:asciiTheme="minorBidi" w:hAnsiTheme="minorBidi"/>
          <w:u w:val="single"/>
          <w:rtl/>
        </w:rPr>
      </w:pPr>
      <w:r w:rsidRPr="005275DF">
        <w:rPr>
          <w:rFonts w:asciiTheme="minorBidi" w:hAnsiTheme="minorBidi"/>
          <w:u w:val="single"/>
          <w:rtl/>
        </w:rPr>
        <w:t>איך מיישבים את הגמרות, והאם מותר לגונח לינק מבהמה בשבת:</w:t>
      </w:r>
    </w:p>
    <w:p w14:paraId="4F6982F5" w14:textId="77777777" w:rsidR="006A4BF8" w:rsidRPr="005275DF" w:rsidRDefault="006A4BF8" w:rsidP="00FF2D21">
      <w:pPr>
        <w:pStyle w:val="aa"/>
        <w:numPr>
          <w:ilvl w:val="0"/>
          <w:numId w:val="65"/>
        </w:numPr>
        <w:rPr>
          <w:rFonts w:asciiTheme="minorBidi" w:hAnsiTheme="minorBidi"/>
          <w:rtl/>
        </w:rPr>
      </w:pPr>
      <w:r w:rsidRPr="005275DF">
        <w:rPr>
          <w:rFonts w:asciiTheme="minorBidi" w:hAnsiTheme="minorBidi"/>
          <w:rtl/>
        </w:rPr>
        <w:t>רי"ף</w:t>
      </w:r>
      <w:r w:rsidRPr="005275DF">
        <w:rPr>
          <w:rFonts w:asciiTheme="minorBidi" w:hAnsiTheme="minorBidi"/>
          <w:sz w:val="16"/>
          <w:szCs w:val="16"/>
          <w:rtl/>
        </w:rPr>
        <w:t xml:space="preserve"> (שבת סא.)</w:t>
      </w:r>
      <w:r w:rsidRPr="005275DF">
        <w:rPr>
          <w:rFonts w:asciiTheme="minorBidi" w:hAnsiTheme="minorBidi"/>
          <w:rtl/>
        </w:rPr>
        <w:t xml:space="preserve"> ר"י </w:t>
      </w:r>
      <w:r w:rsidRPr="005275DF">
        <w:rPr>
          <w:rFonts w:asciiTheme="minorBidi" w:hAnsiTheme="minorBidi"/>
          <w:sz w:val="16"/>
          <w:szCs w:val="16"/>
          <w:rtl/>
        </w:rPr>
        <w:t>(יבמות ד"ה שבת)</w:t>
      </w:r>
      <w:r w:rsidRPr="005275DF">
        <w:rPr>
          <w:rFonts w:asciiTheme="minorBidi" w:hAnsiTheme="minorBidi"/>
          <w:rtl/>
        </w:rPr>
        <w:t xml:space="preserve"> ורא"ש</w:t>
      </w:r>
      <w:r w:rsidRPr="005275DF">
        <w:rPr>
          <w:rStyle w:val="a9"/>
          <w:rFonts w:asciiTheme="minorBidi" w:hAnsiTheme="minorBidi"/>
          <w:rtl/>
        </w:rPr>
        <w:footnoteReference w:id="3346"/>
      </w:r>
      <w:r w:rsidRPr="005275DF">
        <w:rPr>
          <w:rFonts w:asciiTheme="minorBidi" w:hAnsiTheme="minorBidi"/>
          <w:rtl/>
        </w:rPr>
        <w:t xml:space="preserve"> </w:t>
      </w:r>
      <w:r w:rsidRPr="005275DF">
        <w:rPr>
          <w:rFonts w:asciiTheme="minorBidi" w:hAnsiTheme="minorBidi"/>
          <w:sz w:val="16"/>
          <w:szCs w:val="16"/>
          <w:rtl/>
        </w:rPr>
        <w:t>(בתשו')</w:t>
      </w:r>
      <w:r w:rsidRPr="005275DF">
        <w:rPr>
          <w:rFonts w:asciiTheme="minorBidi" w:hAnsiTheme="minorBidi"/>
          <w:rtl/>
        </w:rPr>
        <w:t>- ההיא דאבא שאול לאו הלכתא היא דהרי פסק רב יוסף הלכה כר' מרינוס דאפילו בשבת במקום צערא לא גזרו ביה רבנן לכן מותר לינק בשבת.</w:t>
      </w:r>
      <w:r w:rsidRPr="005275DF">
        <w:rPr>
          <w:rFonts w:asciiTheme="minorBidi" w:hAnsiTheme="minorBidi"/>
          <w:color w:val="E36C0A" w:themeColor="accent6" w:themeShade="BF"/>
          <w:rtl/>
        </w:rPr>
        <w:t xml:space="preserve"> (וכ"פ בשו"ע)</w:t>
      </w:r>
      <w:r w:rsidRPr="005275DF">
        <w:rPr>
          <w:rFonts w:asciiTheme="minorBidi" w:hAnsiTheme="minorBidi"/>
          <w:rtl/>
        </w:rPr>
        <w:t xml:space="preserve"> </w:t>
      </w:r>
    </w:p>
    <w:p w14:paraId="1DD1CF0B" w14:textId="77777777" w:rsidR="006A4BF8" w:rsidRPr="005275DF" w:rsidRDefault="006A4BF8" w:rsidP="00FF2D21">
      <w:pPr>
        <w:pStyle w:val="aa"/>
        <w:numPr>
          <w:ilvl w:val="0"/>
          <w:numId w:val="65"/>
        </w:numPr>
        <w:rPr>
          <w:rFonts w:asciiTheme="minorBidi" w:hAnsiTheme="minorBidi"/>
          <w:rtl/>
        </w:rPr>
      </w:pPr>
      <w:r w:rsidRPr="005275DF">
        <w:rPr>
          <w:rFonts w:asciiTheme="minorBidi" w:hAnsiTheme="minorBidi"/>
          <w:rtl/>
        </w:rPr>
        <w:t>יש מפרשים</w:t>
      </w:r>
      <w:r w:rsidRPr="005275DF">
        <w:rPr>
          <w:rStyle w:val="a9"/>
          <w:rFonts w:asciiTheme="minorBidi" w:hAnsiTheme="minorBidi"/>
          <w:rtl/>
        </w:rPr>
        <w:footnoteReference w:id="3347"/>
      </w:r>
      <w:r w:rsidRPr="005275DF">
        <w:rPr>
          <w:rFonts w:asciiTheme="minorBidi" w:hAnsiTheme="minorBidi"/>
          <w:rtl/>
        </w:rPr>
        <w:t xml:space="preserve"> ר"ת </w:t>
      </w:r>
      <w:r w:rsidRPr="005275DF">
        <w:rPr>
          <w:rFonts w:asciiTheme="minorBidi" w:hAnsiTheme="minorBidi"/>
          <w:sz w:val="16"/>
          <w:szCs w:val="16"/>
          <w:rtl/>
        </w:rPr>
        <w:t>(יבמות ד"ה שבת)</w:t>
      </w:r>
      <w:r w:rsidRPr="005275DF">
        <w:rPr>
          <w:rFonts w:asciiTheme="minorBidi" w:hAnsiTheme="minorBidi"/>
          <w:rtl/>
        </w:rPr>
        <w:t xml:space="preserve"> סמ"ג </w:t>
      </w:r>
      <w:r w:rsidRPr="005275DF">
        <w:rPr>
          <w:rFonts w:asciiTheme="minorBidi" w:hAnsiTheme="minorBidi"/>
          <w:sz w:val="16"/>
          <w:szCs w:val="16"/>
          <w:rtl/>
        </w:rPr>
        <w:t>(לאוין סה)</w:t>
      </w:r>
      <w:r w:rsidRPr="005275DF">
        <w:rPr>
          <w:rFonts w:asciiTheme="minorBidi" w:hAnsiTheme="minorBidi"/>
          <w:rtl/>
        </w:rPr>
        <w:t xml:space="preserve"> וטור- ההיא דאבא שאול בצער של רעב היא ומשום הכי לא שרי אלא ביו"ט, וההיא דר' מרינוס בצער של חולי שאין בו סכנה היא ומשום הכי שרי אפילו בשבת.</w:t>
      </w:r>
    </w:p>
    <w:p w14:paraId="15008AE7"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0DD7258" w14:textId="77777777" w:rsidR="006A4BF8" w:rsidRPr="005275DF" w:rsidRDefault="006A4BF8" w:rsidP="00434A6A">
      <w:pPr>
        <w:rPr>
          <w:rFonts w:asciiTheme="minorBidi" w:hAnsiTheme="minorBidi"/>
          <w:rtl/>
        </w:rPr>
      </w:pPr>
      <w:r w:rsidRPr="005275DF">
        <w:rPr>
          <w:rFonts w:asciiTheme="minorBidi" w:hAnsiTheme="minorBidi"/>
          <w:rtl/>
        </w:rPr>
        <w:t>גונח מותר לינק חלב מהבהמה דבמקום צערא לא גזרו רבנן, וי"א שאם אין לו אלא צער של רעב אסור לינק מהבהמה בשבת</w:t>
      </w:r>
      <w:r w:rsidRPr="005275DF">
        <w:rPr>
          <w:rStyle w:val="a9"/>
          <w:rFonts w:asciiTheme="minorBidi" w:hAnsiTheme="minorBidi"/>
          <w:rtl/>
        </w:rPr>
        <w:footnoteReference w:id="3348"/>
      </w:r>
      <w:r w:rsidRPr="005275DF">
        <w:rPr>
          <w:rFonts w:asciiTheme="minorBidi" w:hAnsiTheme="minorBidi"/>
          <w:rtl/>
        </w:rPr>
        <w:t xml:space="preserve">. </w:t>
      </w:r>
    </w:p>
    <w:p w14:paraId="5A787D2C" w14:textId="77777777" w:rsidR="006A4BF8" w:rsidRPr="005275DF" w:rsidRDefault="006A4BF8" w:rsidP="00434A6A">
      <w:pPr>
        <w:rPr>
          <w:rFonts w:asciiTheme="minorBidi" w:hAnsiTheme="minorBidi"/>
          <w:rtl/>
        </w:rPr>
      </w:pPr>
      <w:r w:rsidRPr="005275DF">
        <w:rPr>
          <w:rFonts w:asciiTheme="minorBidi" w:hAnsiTheme="minorBidi"/>
          <w:rtl/>
        </w:rPr>
        <w:t>- מג"א (לט) וי"א שאם - צ"ע דאדרבה לסברא הראשונה אף בי"וט אסור משום רעבון, כמ"ש במלחמות (שבת סא.) דמשום תאות המאכל אין מתירין שבות, ולי"א משום רעבון ביו"ט שרי, ובשבת לכ"ע אסור.</w:t>
      </w:r>
    </w:p>
    <w:p w14:paraId="5B66EDB4" w14:textId="77777777" w:rsidR="006A4BF8" w:rsidRPr="005275DF" w:rsidRDefault="006A4BF8" w:rsidP="00434A6A">
      <w:pPr>
        <w:rPr>
          <w:rFonts w:asciiTheme="minorBidi" w:hAnsiTheme="minorBidi"/>
          <w:rtl/>
        </w:rPr>
      </w:pPr>
    </w:p>
    <w:p w14:paraId="16BA01BD"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לד-לה: הוצאה/קילוח חלב מדדי האשה.</w:t>
      </w:r>
    </w:p>
    <w:p w14:paraId="78E15FFC" w14:textId="77777777" w:rsidR="006A4BF8" w:rsidRPr="005275DF" w:rsidRDefault="006A4BF8" w:rsidP="00434A6A">
      <w:pPr>
        <w:rPr>
          <w:rFonts w:asciiTheme="minorBidi" w:hAnsiTheme="minorBidi"/>
          <w:rtl/>
        </w:rPr>
      </w:pPr>
      <w:r w:rsidRPr="005275DF">
        <w:rPr>
          <w:rFonts w:asciiTheme="minorBidi" w:hAnsiTheme="minorBidi"/>
          <w:b/>
          <w:bCs/>
          <w:rtl/>
        </w:rPr>
        <w:t>תוספתא</w:t>
      </w:r>
      <w:r w:rsidRPr="005275DF">
        <w:rPr>
          <w:rFonts w:asciiTheme="minorBidi" w:hAnsiTheme="minorBidi"/>
          <w:b/>
          <w:bCs/>
          <w:sz w:val="16"/>
          <w:szCs w:val="16"/>
          <w:rtl/>
        </w:rPr>
        <w:t xml:space="preserve"> (ליברמן)</w:t>
      </w:r>
      <w:r w:rsidRPr="005275DF">
        <w:rPr>
          <w:rFonts w:asciiTheme="minorBidi" w:hAnsiTheme="minorBidi"/>
          <w:b/>
          <w:bCs/>
          <w:rtl/>
        </w:rPr>
        <w:t xml:space="preserve"> פ"ט הכ"ב:</w:t>
      </w:r>
      <w:r w:rsidRPr="005275DF">
        <w:rPr>
          <w:rFonts w:asciiTheme="minorBidi" w:hAnsiTheme="minorBidi"/>
          <w:rtl/>
        </w:rPr>
        <w:t xml:space="preserve"> לא תקל</w:t>
      </w:r>
      <w:r w:rsidRPr="005275DF">
        <w:rPr>
          <w:rStyle w:val="a9"/>
          <w:rFonts w:asciiTheme="minorBidi" w:hAnsiTheme="minorBidi"/>
          <w:rtl/>
        </w:rPr>
        <w:footnoteReference w:id="3349"/>
      </w:r>
      <w:r w:rsidRPr="005275DF">
        <w:rPr>
          <w:rFonts w:asciiTheme="minorBidi" w:hAnsiTheme="minorBidi"/>
          <w:rtl/>
        </w:rPr>
        <w:t xml:space="preserve"> אשה מדדיה ותחלוב לתוך הכוס או לתוך הקערה ותניק את בנה</w:t>
      </w:r>
      <w:r w:rsidRPr="005275DF">
        <w:rPr>
          <w:rStyle w:val="a9"/>
          <w:rFonts w:asciiTheme="minorBidi" w:hAnsiTheme="minorBidi"/>
          <w:rtl/>
        </w:rPr>
        <w:footnoteReference w:id="3350"/>
      </w:r>
      <w:r w:rsidRPr="005275DF">
        <w:rPr>
          <w:rFonts w:asciiTheme="minorBidi" w:hAnsiTheme="minorBidi"/>
          <w:rtl/>
        </w:rPr>
        <w:t>.</w:t>
      </w:r>
      <w:r w:rsidRPr="005275DF">
        <w:rPr>
          <w:rFonts w:asciiTheme="minorBidi" w:hAnsiTheme="minorBidi"/>
          <w:sz w:val="16"/>
          <w:szCs w:val="16"/>
          <w:rtl/>
        </w:rPr>
        <w:t xml:space="preserve"> </w:t>
      </w:r>
    </w:p>
    <w:p w14:paraId="792C4CD1"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[לד]: </w:t>
      </w:r>
    </w:p>
    <w:p w14:paraId="338BDAF3" w14:textId="77777777" w:rsidR="006A4BF8" w:rsidRPr="005275DF" w:rsidRDefault="006A4BF8" w:rsidP="00434A6A">
      <w:pPr>
        <w:rPr>
          <w:rFonts w:asciiTheme="minorBidi" w:hAnsiTheme="minorBidi"/>
          <w:rtl/>
        </w:rPr>
      </w:pPr>
      <w:r w:rsidRPr="005275DF">
        <w:rPr>
          <w:rFonts w:asciiTheme="minorBidi" w:hAnsiTheme="minorBidi"/>
          <w:rtl/>
        </w:rPr>
        <w:t xml:space="preserve">לא תיקל אשה חלב מדדיה לתוך הכוס או לתוך הקדירה ותניק את בנה. </w:t>
      </w:r>
    </w:p>
    <w:p w14:paraId="175B5AD8" w14:textId="77777777" w:rsidR="006A4BF8" w:rsidRPr="005275DF" w:rsidRDefault="006A4BF8" w:rsidP="00434A6A">
      <w:pPr>
        <w:rPr>
          <w:rFonts w:asciiTheme="minorBidi" w:hAnsiTheme="minorBidi"/>
          <w:sz w:val="16"/>
          <w:szCs w:val="16"/>
          <w:rtl/>
        </w:rPr>
      </w:pPr>
      <w:r w:rsidRPr="005275DF">
        <w:rPr>
          <w:rFonts w:asciiTheme="minorBidi" w:hAnsiTheme="minorBidi"/>
          <w:u w:val="single"/>
          <w:rtl/>
        </w:rPr>
        <w:t>האם מותר לאשה לקלח חלב מדדיה ע"ג הקרקע:</w:t>
      </w:r>
      <w:r w:rsidRPr="005275DF">
        <w:rPr>
          <w:rFonts w:asciiTheme="minorBidi" w:hAnsiTheme="minorBidi"/>
          <w:sz w:val="16"/>
          <w:szCs w:val="16"/>
          <w:rtl/>
        </w:rPr>
        <w:t xml:space="preserve">   (ב"י סי' של דף תקיג ד"ה וכתב המרדכי) </w:t>
      </w:r>
    </w:p>
    <w:p w14:paraId="26B8DDA6" w14:textId="77777777" w:rsidR="006A4BF8" w:rsidRPr="005275DF" w:rsidRDefault="006A4BF8" w:rsidP="00FF2D21">
      <w:pPr>
        <w:pStyle w:val="aa"/>
        <w:numPr>
          <w:ilvl w:val="0"/>
          <w:numId w:val="66"/>
        </w:numPr>
        <w:rPr>
          <w:rFonts w:asciiTheme="minorBidi" w:hAnsiTheme="minorBidi"/>
          <w:rtl/>
        </w:rPr>
      </w:pPr>
      <w:r w:rsidRPr="005275DF">
        <w:rPr>
          <w:rFonts w:asciiTheme="minorBidi" w:hAnsiTheme="minorBidi"/>
          <w:rtl/>
        </w:rPr>
        <w:t>רוקח</w:t>
      </w:r>
      <w:r w:rsidRPr="005275DF">
        <w:rPr>
          <w:rStyle w:val="a9"/>
          <w:rFonts w:asciiTheme="minorBidi" w:hAnsiTheme="minorBidi"/>
          <w:rtl/>
        </w:rPr>
        <w:footnoteReference w:id="3351"/>
      </w:r>
      <w:r w:rsidRPr="005275DF">
        <w:rPr>
          <w:rFonts w:asciiTheme="minorBidi" w:hAnsiTheme="minorBidi"/>
          <w:rtl/>
        </w:rPr>
        <w:t xml:space="preserve"> </w:t>
      </w:r>
      <w:r w:rsidRPr="005275DF">
        <w:rPr>
          <w:rFonts w:asciiTheme="minorBidi" w:hAnsiTheme="minorBidi"/>
          <w:sz w:val="16"/>
          <w:szCs w:val="16"/>
          <w:rtl/>
        </w:rPr>
        <w:t>(סי' סא)</w:t>
      </w:r>
      <w:r w:rsidRPr="005275DF">
        <w:rPr>
          <w:rFonts w:asciiTheme="minorBidi" w:hAnsiTheme="minorBidi"/>
          <w:rtl/>
        </w:rPr>
        <w:t xml:space="preserve"> ואו"ז</w:t>
      </w:r>
      <w:r w:rsidRPr="005275DF">
        <w:rPr>
          <w:rStyle w:val="a9"/>
          <w:rFonts w:asciiTheme="minorBidi" w:hAnsiTheme="minorBidi"/>
          <w:rtl/>
        </w:rPr>
        <w:footnoteReference w:id="3352"/>
      </w:r>
      <w:r w:rsidRPr="005275DF">
        <w:rPr>
          <w:rFonts w:asciiTheme="minorBidi" w:hAnsiTheme="minorBidi"/>
          <w:rtl/>
        </w:rPr>
        <w:t xml:space="preserve"> </w:t>
      </w:r>
      <w:r w:rsidRPr="005275DF">
        <w:rPr>
          <w:rFonts w:asciiTheme="minorBidi" w:hAnsiTheme="minorBidi"/>
          <w:sz w:val="16"/>
          <w:szCs w:val="16"/>
          <w:rtl/>
        </w:rPr>
        <w:t>(סי' נח)</w:t>
      </w:r>
      <w:r w:rsidRPr="005275DF">
        <w:rPr>
          <w:rFonts w:asciiTheme="minorBidi" w:hAnsiTheme="minorBidi"/>
          <w:rtl/>
        </w:rPr>
        <w:t xml:space="preserve">- מותר, מדלא אמר לא תחלוב סתם </w:t>
      </w:r>
      <w:r w:rsidRPr="005275DF">
        <w:rPr>
          <w:rFonts w:asciiTheme="minorBidi" w:hAnsiTheme="minorBidi"/>
          <w:sz w:val="16"/>
          <w:szCs w:val="16"/>
          <w:rtl/>
        </w:rPr>
        <w:t>(רוקח)</w:t>
      </w:r>
      <w:r w:rsidRPr="005275DF">
        <w:rPr>
          <w:rFonts w:asciiTheme="minorBidi" w:hAnsiTheme="minorBidi"/>
          <w:rtl/>
        </w:rPr>
        <w:t xml:space="preserve">, ומכיון דלא מבעיא לה לחלב גופה אין זה מפרק ובמקום צערא לא גזור רבנן </w:t>
      </w:r>
      <w:r w:rsidRPr="005275DF">
        <w:rPr>
          <w:rFonts w:asciiTheme="minorBidi" w:hAnsiTheme="minorBidi"/>
          <w:sz w:val="16"/>
          <w:szCs w:val="16"/>
          <w:rtl/>
        </w:rPr>
        <w:t>(או"ז)</w:t>
      </w:r>
      <w:r w:rsidRPr="005275DF">
        <w:rPr>
          <w:rFonts w:asciiTheme="minorBidi" w:hAnsiTheme="minorBidi"/>
          <w:rtl/>
        </w:rPr>
        <w:t>.</w:t>
      </w:r>
      <w:r w:rsidRPr="005275DF">
        <w:rPr>
          <w:rFonts w:asciiTheme="minorBidi" w:hAnsiTheme="minorBidi"/>
          <w:color w:val="E36C0A" w:themeColor="accent6" w:themeShade="BF"/>
          <w:rtl/>
        </w:rPr>
        <w:t xml:space="preserve"> (וכ"פ בשו"ע </w:t>
      </w:r>
      <w:r w:rsidRPr="005275DF">
        <w:rPr>
          <w:rFonts w:asciiTheme="minorBidi" w:hAnsiTheme="minorBidi"/>
          <w:sz w:val="16"/>
          <w:szCs w:val="16"/>
          <w:rtl/>
        </w:rPr>
        <w:t>[סי' של סע' ח]</w:t>
      </w:r>
      <w:r w:rsidRPr="005275DF">
        <w:rPr>
          <w:rFonts w:asciiTheme="minorBidi" w:hAnsiTheme="minorBidi"/>
          <w:color w:val="E36C0A" w:themeColor="accent6" w:themeShade="BF"/>
          <w:rtl/>
        </w:rPr>
        <w:t>)</w:t>
      </w:r>
    </w:p>
    <w:p w14:paraId="1D1BE03B" w14:textId="77777777" w:rsidR="006A4BF8" w:rsidRPr="005275DF" w:rsidRDefault="006A4BF8" w:rsidP="00FF2D21">
      <w:pPr>
        <w:pStyle w:val="aa"/>
        <w:numPr>
          <w:ilvl w:val="0"/>
          <w:numId w:val="66"/>
        </w:numPr>
        <w:rPr>
          <w:rFonts w:asciiTheme="minorBidi" w:hAnsiTheme="minorBidi"/>
        </w:rPr>
      </w:pPr>
      <w:r w:rsidRPr="005275DF">
        <w:rPr>
          <w:rFonts w:asciiTheme="minorBidi" w:hAnsiTheme="minorBidi"/>
          <w:rtl/>
        </w:rPr>
        <w:t xml:space="preserve">(רב ניסים גאון </w:t>
      </w:r>
      <w:r w:rsidRPr="005275DF">
        <w:rPr>
          <w:rFonts w:asciiTheme="minorBidi" w:hAnsiTheme="minorBidi"/>
          <w:sz w:val="16"/>
          <w:szCs w:val="16"/>
          <w:rtl/>
        </w:rPr>
        <w:t>להב' המרדכי רמז שעא</w:t>
      </w:r>
      <w:r w:rsidRPr="005275DF">
        <w:rPr>
          <w:rFonts w:asciiTheme="minorBidi" w:hAnsiTheme="minorBidi"/>
          <w:rtl/>
        </w:rPr>
        <w:t>)- "אסור להקל לה ביד, דאין הדבר מותר אלא ביניקת התינוק בלבד".</w:t>
      </w:r>
    </w:p>
    <w:p w14:paraId="5175F061" w14:textId="77777777" w:rsidR="006A4BF8" w:rsidRPr="005275DF" w:rsidRDefault="006A4BF8" w:rsidP="00FF2D21">
      <w:pPr>
        <w:pStyle w:val="aa"/>
        <w:numPr>
          <w:ilvl w:val="0"/>
          <w:numId w:val="66"/>
        </w:numPr>
        <w:rPr>
          <w:rFonts w:asciiTheme="minorBidi" w:hAnsiTheme="minorBidi"/>
          <w:color w:val="FF0000"/>
          <w:rtl/>
        </w:rPr>
      </w:pPr>
      <w:r w:rsidRPr="005275DF">
        <w:rPr>
          <w:rFonts w:asciiTheme="minorBidi" w:hAnsiTheme="minorBidi"/>
          <w:color w:val="FF0000"/>
          <w:rtl/>
        </w:rPr>
        <w:t xml:space="preserve">(רב ניסים גאון </w:t>
      </w:r>
      <w:r w:rsidRPr="005275DF">
        <w:rPr>
          <w:rFonts w:asciiTheme="minorBidi" w:hAnsiTheme="minorBidi"/>
          <w:color w:val="FF0000"/>
          <w:sz w:val="16"/>
          <w:szCs w:val="16"/>
          <w:rtl/>
        </w:rPr>
        <w:t>להב' הא"ח סי' יז</w:t>
      </w:r>
      <w:r w:rsidRPr="005275DF">
        <w:rPr>
          <w:rFonts w:asciiTheme="minorBidi" w:hAnsiTheme="minorBidi"/>
          <w:color w:val="FF0000"/>
          <w:rtl/>
        </w:rPr>
        <w:t>)-</w:t>
      </w:r>
    </w:p>
    <w:p w14:paraId="349394E0"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[לה]: </w:t>
      </w:r>
    </w:p>
    <w:p w14:paraId="1CC334D6" w14:textId="77777777" w:rsidR="006A4BF8" w:rsidRPr="005275DF" w:rsidRDefault="006A4BF8" w:rsidP="00434A6A">
      <w:pPr>
        <w:rPr>
          <w:rFonts w:asciiTheme="minorBidi" w:hAnsiTheme="minorBidi"/>
          <w:rtl/>
        </w:rPr>
      </w:pPr>
      <w:r w:rsidRPr="005275DF">
        <w:rPr>
          <w:rFonts w:asciiTheme="minorBidi" w:hAnsiTheme="minorBidi"/>
          <w:rtl/>
        </w:rPr>
        <w:t xml:space="preserve">מותר לאשה לקלח מהחלב כדי שיאחוז התינוק הדד ויינק. </w:t>
      </w:r>
      <w:r w:rsidRPr="005275DF">
        <w:rPr>
          <w:rFonts w:asciiTheme="minorBidi" w:hAnsiTheme="minorBidi"/>
          <w:sz w:val="18"/>
          <w:szCs w:val="18"/>
          <w:rtl/>
        </w:rPr>
        <w:t>הגה: אבל אסור להתיז מחלבה על מי שנשף בו רוח רעה דלית בו סכנה</w:t>
      </w:r>
      <w:r w:rsidRPr="005275DF">
        <w:rPr>
          <w:rStyle w:val="a9"/>
          <w:rFonts w:asciiTheme="minorBidi" w:hAnsiTheme="minorBidi"/>
          <w:sz w:val="18"/>
          <w:szCs w:val="18"/>
          <w:rtl/>
        </w:rPr>
        <w:footnoteReference w:id="3353"/>
      </w:r>
      <w:r w:rsidRPr="005275DF">
        <w:rPr>
          <w:rFonts w:asciiTheme="minorBidi" w:hAnsiTheme="minorBidi"/>
          <w:sz w:val="18"/>
          <w:szCs w:val="18"/>
          <w:rtl/>
        </w:rPr>
        <w:t xml:space="preserve">. (ב"י בשם שבה"ל). </w:t>
      </w:r>
    </w:p>
    <w:p w14:paraId="07CEB8F5" w14:textId="77777777" w:rsidR="006A4BF8" w:rsidRPr="005275DF" w:rsidRDefault="006A4BF8" w:rsidP="00434A6A">
      <w:pPr>
        <w:rPr>
          <w:rFonts w:asciiTheme="minorBidi" w:hAnsiTheme="minorBidi"/>
          <w:rtl/>
        </w:rPr>
      </w:pPr>
    </w:p>
    <w:p w14:paraId="209A3FDC"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לו: לעיסת מצטיכי.</w:t>
      </w:r>
    </w:p>
    <w:p w14:paraId="58909EE1" w14:textId="77777777" w:rsidR="006A4BF8" w:rsidRPr="005275DF" w:rsidRDefault="006A4BF8" w:rsidP="00434A6A">
      <w:pPr>
        <w:rPr>
          <w:rFonts w:asciiTheme="minorBidi" w:hAnsiTheme="minorBidi"/>
          <w:rtl/>
        </w:rPr>
      </w:pPr>
      <w:r w:rsidRPr="005275DF">
        <w:rPr>
          <w:rFonts w:asciiTheme="minorBidi" w:hAnsiTheme="minorBidi"/>
          <w:b/>
          <w:bCs/>
          <w:rtl/>
        </w:rPr>
        <w:t>תוספתא</w:t>
      </w:r>
      <w:r w:rsidRPr="005275DF">
        <w:rPr>
          <w:rFonts w:asciiTheme="minorBidi" w:hAnsiTheme="minorBidi"/>
          <w:b/>
          <w:bCs/>
          <w:sz w:val="16"/>
          <w:szCs w:val="16"/>
          <w:rtl/>
        </w:rPr>
        <w:t xml:space="preserve"> (ליברמן)</w:t>
      </w:r>
      <w:r w:rsidRPr="005275DF">
        <w:rPr>
          <w:rFonts w:asciiTheme="minorBidi" w:hAnsiTheme="minorBidi"/>
          <w:b/>
          <w:bCs/>
          <w:rtl/>
        </w:rPr>
        <w:t xml:space="preserve"> פי"ב ה"ח:</w:t>
      </w:r>
      <w:r w:rsidRPr="005275DF">
        <w:rPr>
          <w:rFonts w:asciiTheme="minorBidi" w:hAnsiTheme="minorBidi"/>
          <w:rtl/>
        </w:rPr>
        <w:t xml:space="preserve"> אין לועסין מוסתכי בשבת, אימתי בזמן שמתכוין לרפואה, אם מפני ריח הפה הרי זה מותר, לא ישוף אדם סם יבש בשניו, אימתי בזמן שמתכוין לרפואה, אם מפני ריח הפח הרי זה מותר. </w:t>
      </w:r>
      <w:r w:rsidRPr="005275DF">
        <w:rPr>
          <w:rFonts w:asciiTheme="minorBidi" w:hAnsiTheme="minorBidi"/>
          <w:sz w:val="16"/>
          <w:szCs w:val="16"/>
          <w:rtl/>
        </w:rPr>
        <w:t>(וכתבוה הרי"ף הרמב"ם והרא"ש)</w:t>
      </w:r>
    </w:p>
    <w:p w14:paraId="3F2C1446"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912A8E9" w14:textId="77777777" w:rsidR="006A4BF8" w:rsidRPr="005275DF" w:rsidRDefault="006A4BF8" w:rsidP="00434A6A">
      <w:pPr>
        <w:rPr>
          <w:rFonts w:asciiTheme="minorBidi" w:hAnsiTheme="minorBidi"/>
          <w:sz w:val="16"/>
          <w:szCs w:val="16"/>
          <w:rtl/>
        </w:rPr>
      </w:pPr>
      <w:r w:rsidRPr="005275DF">
        <w:rPr>
          <w:rFonts w:asciiTheme="minorBidi" w:hAnsiTheme="minorBidi"/>
          <w:rtl/>
        </w:rPr>
        <w:t>אין לועסין מצטיכי</w:t>
      </w:r>
      <w:r w:rsidRPr="005275DF">
        <w:rPr>
          <w:rStyle w:val="a9"/>
          <w:rFonts w:asciiTheme="minorBidi" w:hAnsiTheme="minorBidi"/>
          <w:rtl/>
        </w:rPr>
        <w:footnoteReference w:id="3354"/>
      </w:r>
      <w:r w:rsidRPr="005275DF">
        <w:rPr>
          <w:rFonts w:asciiTheme="minorBidi" w:hAnsiTheme="minorBidi"/>
          <w:rtl/>
        </w:rPr>
        <w:t xml:space="preserve"> </w:t>
      </w:r>
      <w:r w:rsidRPr="005275DF">
        <w:rPr>
          <w:rFonts w:asciiTheme="minorBidi" w:hAnsiTheme="minorBidi"/>
          <w:sz w:val="16"/>
          <w:szCs w:val="16"/>
          <w:rtl/>
        </w:rPr>
        <w:t>(עסי' רט"ז ס"ג פירושו)</w:t>
      </w:r>
      <w:r w:rsidRPr="005275DF">
        <w:rPr>
          <w:rFonts w:asciiTheme="minorBidi" w:hAnsiTheme="minorBidi"/>
          <w:rtl/>
        </w:rPr>
        <w:t xml:space="preserve"> ולא שפין בו</w:t>
      </w:r>
      <w:r w:rsidRPr="005275DF">
        <w:rPr>
          <w:rStyle w:val="a9"/>
          <w:rFonts w:asciiTheme="minorBidi" w:hAnsiTheme="minorBidi"/>
          <w:rtl/>
        </w:rPr>
        <w:footnoteReference w:id="3355"/>
      </w:r>
      <w:r w:rsidRPr="005275DF">
        <w:rPr>
          <w:rFonts w:asciiTheme="minorBidi" w:hAnsiTheme="minorBidi"/>
          <w:rtl/>
        </w:rPr>
        <w:t xml:space="preserve"> השינים לרפואה ואם משום ריח הפה מותר. </w:t>
      </w:r>
    </w:p>
    <w:p w14:paraId="7BE6A033" w14:textId="77777777" w:rsidR="006A4BF8" w:rsidRPr="005275DF" w:rsidRDefault="006A4BF8" w:rsidP="00434A6A">
      <w:pPr>
        <w:rPr>
          <w:rFonts w:asciiTheme="minorBidi" w:hAnsiTheme="minorBidi"/>
          <w:rtl/>
        </w:rPr>
      </w:pPr>
    </w:p>
    <w:p w14:paraId="599CAF26"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לז: מאכל בריאים לחולה ומאכל חולים לבריא.</w:t>
      </w:r>
    </w:p>
    <w:p w14:paraId="6AF830ED"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קט ע"ב: </w:t>
      </w:r>
      <w:r w:rsidRPr="005275DF">
        <w:rPr>
          <w:rFonts w:asciiTheme="minorBidi" w:hAnsiTheme="minorBidi"/>
          <w:u w:val="double"/>
          <w:rtl/>
        </w:rPr>
        <w:t>משנה:</w:t>
      </w:r>
      <w:r w:rsidRPr="005275DF">
        <w:rPr>
          <w:rFonts w:asciiTheme="minorBidi" w:hAnsiTheme="minorBidi"/>
          <w:rtl/>
        </w:rPr>
        <w:t xml:space="preserve"> אין אוכלין איזביון בשבת לפי שאינו מאכל בריאים. אבל אוכל הוא את יועזר</w:t>
      </w:r>
      <w:r w:rsidRPr="005275DF">
        <w:rPr>
          <w:rStyle w:val="a9"/>
          <w:rFonts w:asciiTheme="minorBidi" w:hAnsiTheme="minorBidi"/>
          <w:rtl/>
        </w:rPr>
        <w:footnoteReference w:id="3356"/>
      </w:r>
      <w:r w:rsidRPr="005275DF">
        <w:rPr>
          <w:rFonts w:asciiTheme="minorBidi" w:hAnsiTheme="minorBidi"/>
          <w:rtl/>
        </w:rPr>
        <w:t xml:space="preserve"> ושותה אבוברואה. כל האוכלין אוכל אדם לרפואה וכל המשקין שותה חוץ ממי דקלים וכוס עיקרין מפני שהן לירוקה</w:t>
      </w:r>
      <w:r w:rsidRPr="005275DF">
        <w:rPr>
          <w:rStyle w:val="a9"/>
          <w:rFonts w:asciiTheme="minorBidi" w:hAnsiTheme="minorBidi"/>
          <w:rtl/>
        </w:rPr>
        <w:footnoteReference w:id="3357"/>
      </w:r>
      <w:r w:rsidRPr="005275DF">
        <w:rPr>
          <w:rFonts w:asciiTheme="minorBidi" w:hAnsiTheme="minorBidi"/>
          <w:rtl/>
        </w:rPr>
        <w:t>. אבל שותה הוא מי דקלים לצמאו</w:t>
      </w:r>
      <w:r w:rsidRPr="005275DF">
        <w:rPr>
          <w:rStyle w:val="a9"/>
          <w:rFonts w:asciiTheme="minorBidi" w:hAnsiTheme="minorBidi"/>
          <w:rtl/>
        </w:rPr>
        <w:footnoteReference w:id="3358"/>
      </w:r>
      <w:r w:rsidRPr="005275DF">
        <w:rPr>
          <w:rFonts w:asciiTheme="minorBidi" w:hAnsiTheme="minorBidi"/>
          <w:rtl/>
        </w:rPr>
        <w:t xml:space="preserve"> וסך שמן עיקרין שלא לרפואה.</w:t>
      </w:r>
    </w:p>
    <w:p w14:paraId="4E79D20F"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27C5AE6" w14:textId="77777777" w:rsidR="006A4BF8" w:rsidRPr="005275DF" w:rsidRDefault="006A4BF8" w:rsidP="00434A6A">
      <w:pPr>
        <w:rPr>
          <w:rFonts w:asciiTheme="minorBidi" w:hAnsiTheme="minorBidi"/>
          <w:rtl/>
        </w:rPr>
      </w:pPr>
      <w:r w:rsidRPr="005275DF">
        <w:rPr>
          <w:rFonts w:asciiTheme="minorBidi" w:hAnsiTheme="minorBidi"/>
          <w:rtl/>
        </w:rPr>
        <w:t>כל אוכלים ומשקים שהם מאכל בריאים מותר לאכלן ולשתותן אף על פי שהם קשים לקצת דברים</w:t>
      </w:r>
      <w:r w:rsidRPr="005275DF">
        <w:rPr>
          <w:rStyle w:val="a9"/>
          <w:rFonts w:asciiTheme="minorBidi" w:hAnsiTheme="minorBidi"/>
          <w:rtl/>
        </w:rPr>
        <w:footnoteReference w:id="3359"/>
      </w:r>
      <w:r w:rsidRPr="005275DF">
        <w:rPr>
          <w:rFonts w:asciiTheme="minorBidi" w:hAnsiTheme="minorBidi"/>
          <w:rtl/>
        </w:rPr>
        <w:t xml:space="preserve"> ומוכחא מלתא דלרפואה עביד אפילו הכי שרי, וכל שאינו מאכל ומשקה בריאים אסור לאכלו ולשתותו לרפואה,</w:t>
      </w:r>
      <w:r w:rsidRPr="005275DF">
        <w:rPr>
          <w:rFonts w:asciiTheme="minorBidi" w:hAnsiTheme="minorBidi"/>
          <w:sz w:val="18"/>
          <w:szCs w:val="18"/>
          <w:rtl/>
        </w:rPr>
        <w:t xml:space="preserve"> (ודוקא)</w:t>
      </w:r>
      <w:r w:rsidRPr="005275DF">
        <w:rPr>
          <w:rFonts w:asciiTheme="minorBidi" w:hAnsiTheme="minorBidi"/>
          <w:rtl/>
        </w:rPr>
        <w:t xml:space="preserve"> מי שיש לו מיחוש בעלמא והוא מתחזק והולך כבריא אבל אם אין לו שום מיחוש מותר</w:t>
      </w:r>
      <w:r w:rsidRPr="005275DF">
        <w:rPr>
          <w:rStyle w:val="a9"/>
          <w:rFonts w:asciiTheme="minorBidi" w:hAnsiTheme="minorBidi"/>
          <w:rtl/>
        </w:rPr>
        <w:footnoteReference w:id="3360"/>
      </w:r>
      <w:r w:rsidRPr="005275DF">
        <w:rPr>
          <w:rFonts w:asciiTheme="minorBidi" w:hAnsiTheme="minorBidi"/>
          <w:rtl/>
        </w:rPr>
        <w:t xml:space="preserve">. </w:t>
      </w:r>
      <w:r w:rsidRPr="005275DF">
        <w:rPr>
          <w:rFonts w:asciiTheme="minorBidi" w:hAnsiTheme="minorBidi"/>
          <w:sz w:val="18"/>
          <w:szCs w:val="18"/>
          <w:rtl/>
        </w:rPr>
        <w:t>הגה: וכן אם נפל למשכב</w:t>
      </w:r>
      <w:r w:rsidRPr="005275DF">
        <w:rPr>
          <w:rStyle w:val="a9"/>
          <w:rFonts w:asciiTheme="minorBidi" w:hAnsiTheme="minorBidi"/>
          <w:sz w:val="18"/>
          <w:szCs w:val="18"/>
          <w:rtl/>
        </w:rPr>
        <w:footnoteReference w:id="3361"/>
      </w:r>
      <w:r w:rsidRPr="005275DF">
        <w:rPr>
          <w:rFonts w:asciiTheme="minorBidi" w:hAnsiTheme="minorBidi"/>
          <w:sz w:val="18"/>
          <w:szCs w:val="18"/>
          <w:rtl/>
        </w:rPr>
        <w:t xml:space="preserve"> שרי</w:t>
      </w:r>
      <w:r w:rsidRPr="005275DF">
        <w:rPr>
          <w:rStyle w:val="a9"/>
          <w:rFonts w:asciiTheme="minorBidi" w:hAnsiTheme="minorBidi"/>
          <w:sz w:val="18"/>
          <w:szCs w:val="18"/>
          <w:rtl/>
        </w:rPr>
        <w:footnoteReference w:id="3362"/>
      </w:r>
      <w:r w:rsidRPr="005275DF">
        <w:rPr>
          <w:rFonts w:asciiTheme="minorBidi" w:hAnsiTheme="minorBidi"/>
          <w:sz w:val="18"/>
          <w:szCs w:val="18"/>
          <w:rtl/>
        </w:rPr>
        <w:t xml:space="preserve"> (ב"י). </w:t>
      </w:r>
    </w:p>
    <w:p w14:paraId="67B7EE09" w14:textId="77777777" w:rsidR="006A4BF8" w:rsidRPr="005275DF" w:rsidRDefault="006A4BF8" w:rsidP="00434A6A">
      <w:pPr>
        <w:rPr>
          <w:rFonts w:asciiTheme="minorBidi" w:hAnsiTheme="minorBidi"/>
          <w:u w:val="single"/>
          <w:rtl/>
        </w:rPr>
      </w:pPr>
      <w:r w:rsidRPr="005275DF">
        <w:rPr>
          <w:rFonts w:asciiTheme="minorBidi" w:hAnsiTheme="minorBidi"/>
          <w:u w:val="single"/>
          <w:rtl/>
        </w:rPr>
        <w:t>שאיפת טבק בשבת:</w:t>
      </w:r>
    </w:p>
    <w:p w14:paraId="1633D039" w14:textId="77777777" w:rsidR="006A4BF8" w:rsidRPr="005275DF" w:rsidRDefault="006A4BF8" w:rsidP="00FF2D21">
      <w:pPr>
        <w:pStyle w:val="aa"/>
        <w:numPr>
          <w:ilvl w:val="0"/>
          <w:numId w:val="67"/>
        </w:numPr>
        <w:rPr>
          <w:rFonts w:asciiTheme="minorBidi" w:hAnsiTheme="minorBidi"/>
          <w:rtl/>
        </w:rPr>
      </w:pPr>
      <w:r w:rsidRPr="005275DF">
        <w:rPr>
          <w:rFonts w:asciiTheme="minorBidi" w:hAnsiTheme="minorBidi"/>
          <w:rtl/>
        </w:rPr>
        <w:t xml:space="preserve">הלכות קטנות </w:t>
      </w:r>
      <w:r w:rsidRPr="005275DF">
        <w:rPr>
          <w:rFonts w:asciiTheme="minorBidi" w:hAnsiTheme="minorBidi"/>
          <w:sz w:val="16"/>
          <w:szCs w:val="16"/>
          <w:rtl/>
        </w:rPr>
        <w:t>(ח"א סי' קא הביאו הבאה"ט בסק"ל)</w:t>
      </w:r>
      <w:r w:rsidRPr="005275DF">
        <w:rPr>
          <w:rFonts w:asciiTheme="minorBidi" w:hAnsiTheme="minorBidi"/>
          <w:rtl/>
        </w:rPr>
        <w:t>- אין שום איסור בדבר לשאוף הטוטו"ן</w:t>
      </w:r>
      <w:r w:rsidRPr="005275DF">
        <w:rPr>
          <w:rFonts w:asciiTheme="minorBidi" w:hAnsiTheme="minorBidi"/>
          <w:sz w:val="16"/>
          <w:szCs w:val="16"/>
          <w:rtl/>
        </w:rPr>
        <w:t xml:space="preserve"> (שנו"פ / טאבק) </w:t>
      </w:r>
      <w:r w:rsidRPr="005275DF">
        <w:rPr>
          <w:rFonts w:asciiTheme="minorBidi" w:hAnsiTheme="minorBidi"/>
          <w:rtl/>
        </w:rPr>
        <w:t>בנחריו דלא מוכח שהוא לרפואה כיון שרגילים לעשות כן אפי' הם בריאים.</w:t>
      </w:r>
    </w:p>
    <w:p w14:paraId="5CC7E556" w14:textId="77777777" w:rsidR="006A4BF8" w:rsidRPr="005275DF" w:rsidRDefault="006A4BF8" w:rsidP="00434A6A">
      <w:pPr>
        <w:rPr>
          <w:rFonts w:asciiTheme="minorBidi" w:hAnsiTheme="minorBidi"/>
          <w:color w:val="FF0000"/>
          <w:rtl/>
        </w:rPr>
      </w:pPr>
      <w:r w:rsidRPr="005275DF">
        <w:rPr>
          <w:rFonts w:asciiTheme="minorBidi" w:hAnsiTheme="minorBidi"/>
          <w:color w:val="FF0000"/>
          <w:rtl/>
        </w:rPr>
        <w:t>ט"ז סקכ"ה</w:t>
      </w:r>
    </w:p>
    <w:p w14:paraId="7BB5EAC8" w14:textId="77777777" w:rsidR="006A4BF8" w:rsidRPr="005275DF" w:rsidRDefault="006A4BF8" w:rsidP="00434A6A">
      <w:pPr>
        <w:rPr>
          <w:rFonts w:asciiTheme="minorBidi" w:hAnsiTheme="minorBidi"/>
          <w:rtl/>
        </w:rPr>
      </w:pPr>
    </w:p>
    <w:p w14:paraId="0CFCF2FF"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לח: אכילת מאכלים שינעימו את הקול.</w:t>
      </w:r>
    </w:p>
    <w:p w14:paraId="5F02C952"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8F240D5" w14:textId="77777777" w:rsidR="006A4BF8" w:rsidRPr="005275DF" w:rsidRDefault="006A4BF8" w:rsidP="00434A6A">
      <w:pPr>
        <w:rPr>
          <w:rFonts w:asciiTheme="minorBidi" w:hAnsiTheme="minorBidi"/>
          <w:sz w:val="16"/>
          <w:szCs w:val="16"/>
          <w:rtl/>
        </w:rPr>
      </w:pPr>
      <w:r w:rsidRPr="005275DF">
        <w:rPr>
          <w:rFonts w:asciiTheme="minorBidi" w:hAnsiTheme="minorBidi"/>
          <w:rtl/>
        </w:rPr>
        <w:t xml:space="preserve">מותר לאכול שרפים מתוקים ולגמוע ביצה חיה כדי להנעים הקול. </w:t>
      </w:r>
      <w:r w:rsidRPr="005275DF">
        <w:rPr>
          <w:rFonts w:asciiTheme="minorBidi" w:hAnsiTheme="minorBidi"/>
          <w:sz w:val="16"/>
          <w:szCs w:val="16"/>
          <w:rtl/>
        </w:rPr>
        <w:t>{מרדכי}</w:t>
      </w:r>
    </w:p>
    <w:p w14:paraId="50ADF063" w14:textId="77777777" w:rsidR="006A4BF8" w:rsidRPr="005275DF" w:rsidRDefault="006A4BF8" w:rsidP="00434A6A">
      <w:pPr>
        <w:rPr>
          <w:rFonts w:asciiTheme="minorBidi" w:hAnsiTheme="minorBidi"/>
          <w:rtl/>
        </w:rPr>
      </w:pPr>
    </w:p>
    <w:p w14:paraId="3BEBEAF8"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לט: גרימת הקאה.</w:t>
      </w:r>
    </w:p>
    <w:p w14:paraId="64A2003C"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קמז ע"א: </w:t>
      </w:r>
      <w:r w:rsidRPr="005275DF">
        <w:rPr>
          <w:rFonts w:asciiTheme="minorBidi" w:hAnsiTheme="minorBidi"/>
          <w:u w:val="double"/>
          <w:rtl/>
        </w:rPr>
        <w:t>משנה</w:t>
      </w:r>
      <w:r w:rsidRPr="005275DF">
        <w:rPr>
          <w:rFonts w:asciiTheme="minorBidi" w:hAnsiTheme="minorBidi"/>
          <w:rtl/>
        </w:rPr>
        <w:t>: הרוחץ... ואין עושין אפיקטויזין</w:t>
      </w:r>
      <w:r w:rsidRPr="005275DF">
        <w:rPr>
          <w:rStyle w:val="a9"/>
          <w:rFonts w:asciiTheme="minorBidi" w:hAnsiTheme="minorBidi"/>
          <w:rtl/>
        </w:rPr>
        <w:footnoteReference w:id="3363"/>
      </w:r>
      <w:r w:rsidRPr="005275DF">
        <w:rPr>
          <w:rFonts w:asciiTheme="minorBidi" w:hAnsiTheme="minorBidi"/>
          <w:rtl/>
        </w:rPr>
        <w:t xml:space="preserve">... </w:t>
      </w:r>
      <w:r w:rsidRPr="005275DF">
        <w:rPr>
          <w:rFonts w:asciiTheme="minorBidi" w:hAnsiTheme="minorBidi"/>
          <w:u w:val="double"/>
          <w:rtl/>
        </w:rPr>
        <w:t xml:space="preserve">גמ' </w:t>
      </w:r>
      <w:r w:rsidRPr="005275DF">
        <w:rPr>
          <w:rFonts w:asciiTheme="minorBidi" w:hAnsiTheme="minorBidi"/>
          <w:sz w:val="16"/>
          <w:szCs w:val="16"/>
          <w:u w:val="double"/>
          <w:rtl/>
        </w:rPr>
        <w:t>(קמז:)</w:t>
      </w:r>
      <w:r w:rsidRPr="005275DF">
        <w:rPr>
          <w:rFonts w:asciiTheme="minorBidi" w:hAnsiTheme="minorBidi"/>
          <w:u w:val="double"/>
          <w:rtl/>
        </w:rPr>
        <w:t>:</w:t>
      </w:r>
      <w:r w:rsidRPr="005275DF">
        <w:rPr>
          <w:rFonts w:asciiTheme="minorBidi" w:hAnsiTheme="minorBidi"/>
          <w:rtl/>
        </w:rPr>
        <w:t xml:space="preserve"> </w:t>
      </w:r>
      <w:r w:rsidRPr="005275DF">
        <w:rPr>
          <w:rFonts w:asciiTheme="minorBidi" w:hAnsiTheme="minorBidi"/>
          <w:u w:val="single"/>
          <w:rtl/>
        </w:rPr>
        <w:t>אמר רבה בר בר חנה אמר רבי יוחנן</w:t>
      </w:r>
      <w:r w:rsidRPr="005275DF">
        <w:rPr>
          <w:rFonts w:asciiTheme="minorBidi" w:hAnsiTheme="minorBidi"/>
          <w:rtl/>
        </w:rPr>
        <w:t>: לא שנו אלא בסם</w:t>
      </w:r>
      <w:r w:rsidRPr="005275DF">
        <w:rPr>
          <w:rStyle w:val="a9"/>
          <w:rFonts w:asciiTheme="minorBidi" w:hAnsiTheme="minorBidi"/>
          <w:rtl/>
        </w:rPr>
        <w:footnoteReference w:id="3364"/>
      </w:r>
      <w:r w:rsidRPr="005275DF">
        <w:rPr>
          <w:rFonts w:asciiTheme="minorBidi" w:hAnsiTheme="minorBidi"/>
          <w:rtl/>
        </w:rPr>
        <w:t>, אבל ביד</w:t>
      </w:r>
      <w:r w:rsidRPr="005275DF">
        <w:rPr>
          <w:rStyle w:val="a9"/>
          <w:rFonts w:asciiTheme="minorBidi" w:hAnsiTheme="minorBidi"/>
          <w:rtl/>
        </w:rPr>
        <w:footnoteReference w:id="3365"/>
      </w:r>
      <w:r w:rsidRPr="005275DF">
        <w:rPr>
          <w:rFonts w:asciiTheme="minorBidi" w:hAnsiTheme="minorBidi"/>
          <w:rtl/>
        </w:rPr>
        <w:t xml:space="preserve"> - מותר. תניא, </w:t>
      </w:r>
      <w:r w:rsidRPr="005275DF">
        <w:rPr>
          <w:rFonts w:asciiTheme="minorBidi" w:hAnsiTheme="minorBidi"/>
          <w:u w:val="single"/>
          <w:rtl/>
        </w:rPr>
        <w:t>רבי נחמיה אומר</w:t>
      </w:r>
      <w:r w:rsidRPr="005275DF">
        <w:rPr>
          <w:rFonts w:asciiTheme="minorBidi" w:hAnsiTheme="minorBidi"/>
          <w:rtl/>
        </w:rPr>
        <w:t>: אף בחול אסור, מפני הפסד אוכלין</w:t>
      </w:r>
      <w:r w:rsidRPr="005275DF">
        <w:rPr>
          <w:rStyle w:val="a9"/>
          <w:rFonts w:asciiTheme="minorBidi" w:hAnsiTheme="minorBidi"/>
          <w:rtl/>
        </w:rPr>
        <w:footnoteReference w:id="3366"/>
      </w:r>
      <w:r w:rsidRPr="005275DF">
        <w:rPr>
          <w:rFonts w:asciiTheme="minorBidi" w:hAnsiTheme="minorBidi"/>
          <w:rtl/>
        </w:rPr>
        <w:t>.</w:t>
      </w:r>
    </w:p>
    <w:p w14:paraId="35EFFD53"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2D638D6" w14:textId="77777777" w:rsidR="006A4BF8" w:rsidRPr="005275DF" w:rsidRDefault="006A4BF8" w:rsidP="00434A6A">
      <w:pPr>
        <w:rPr>
          <w:rFonts w:asciiTheme="minorBidi" w:hAnsiTheme="minorBidi"/>
          <w:sz w:val="16"/>
          <w:szCs w:val="16"/>
          <w:rtl/>
        </w:rPr>
      </w:pPr>
      <w:r w:rsidRPr="005275DF">
        <w:rPr>
          <w:rFonts w:asciiTheme="minorBidi" w:hAnsiTheme="minorBidi"/>
          <w:rtl/>
        </w:rPr>
        <w:t>אין עושין אפיקטוזין</w:t>
      </w:r>
      <w:r w:rsidRPr="005275DF">
        <w:rPr>
          <w:rFonts w:asciiTheme="minorBidi" w:hAnsiTheme="minorBidi"/>
          <w:sz w:val="16"/>
          <w:szCs w:val="16"/>
          <w:rtl/>
        </w:rPr>
        <w:t xml:space="preserve"> (פי' הערוך אפיק טפי זון כלומר להוציא עודף המזון) </w:t>
      </w:r>
      <w:r w:rsidRPr="005275DF">
        <w:rPr>
          <w:rFonts w:asciiTheme="minorBidi" w:hAnsiTheme="minorBidi"/>
          <w:rtl/>
        </w:rPr>
        <w:t xml:space="preserve">דהיינו גרמת קיא אפילו בחול משום הפסד אוכלים, ואם מצטער מרוב מאכל בחול מותר אפילו בסם, ובשבת אסור בסם ומותר ביד. </w:t>
      </w:r>
      <w:r w:rsidRPr="005275DF">
        <w:rPr>
          <w:rFonts w:asciiTheme="minorBidi" w:hAnsiTheme="minorBidi"/>
          <w:sz w:val="16"/>
          <w:szCs w:val="16"/>
          <w:rtl/>
        </w:rPr>
        <w:t>{רי"ף ורא"ש}</w:t>
      </w:r>
    </w:p>
    <w:p w14:paraId="7F4F41DB" w14:textId="77777777" w:rsidR="006A4BF8" w:rsidRPr="005275DF" w:rsidRDefault="006A4BF8" w:rsidP="00434A6A">
      <w:pPr>
        <w:rPr>
          <w:rFonts w:asciiTheme="minorBidi" w:hAnsiTheme="minorBidi"/>
          <w:rtl/>
        </w:rPr>
      </w:pPr>
    </w:p>
    <w:p w14:paraId="1E9E5FC7"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 xml:space="preserve">סעיף מ: נתינת כוס חמה ע"ג החושש במעיו.  </w:t>
      </w:r>
    </w:p>
    <w:p w14:paraId="3CCD1A74"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סו ע"ב: </w:t>
      </w:r>
      <w:r w:rsidRPr="005275DF">
        <w:rPr>
          <w:rFonts w:asciiTheme="minorBidi" w:hAnsiTheme="minorBidi"/>
          <w:u w:val="single"/>
          <w:rtl/>
        </w:rPr>
        <w:t>אמר אבין בר הונא אמר רב חמא בר גוריא</w:t>
      </w:r>
      <w:r w:rsidRPr="005275DF">
        <w:rPr>
          <w:rFonts w:asciiTheme="minorBidi" w:hAnsiTheme="minorBidi"/>
          <w:rtl/>
        </w:rPr>
        <w:t>: סחופי כסא</w:t>
      </w:r>
      <w:r w:rsidRPr="005275DF">
        <w:rPr>
          <w:rStyle w:val="a9"/>
          <w:rFonts w:asciiTheme="minorBidi" w:hAnsiTheme="minorBidi"/>
          <w:rtl/>
        </w:rPr>
        <w:footnoteReference w:id="3367"/>
      </w:r>
      <w:r w:rsidRPr="005275DF">
        <w:rPr>
          <w:rFonts w:asciiTheme="minorBidi" w:hAnsiTheme="minorBidi"/>
          <w:rtl/>
        </w:rPr>
        <w:t xml:space="preserve"> אטיבורי בשבתא - שפיר דמי.</w:t>
      </w:r>
    </w:p>
    <w:p w14:paraId="237CA0B8"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F2E7EBE" w14:textId="77777777" w:rsidR="006A4BF8" w:rsidRPr="005275DF" w:rsidRDefault="006A4BF8" w:rsidP="00434A6A">
      <w:pPr>
        <w:rPr>
          <w:rFonts w:asciiTheme="minorBidi" w:hAnsiTheme="minorBidi"/>
          <w:rtl/>
        </w:rPr>
      </w:pPr>
      <w:r w:rsidRPr="005275DF">
        <w:rPr>
          <w:rFonts w:asciiTheme="minorBidi" w:hAnsiTheme="minorBidi"/>
          <w:rtl/>
        </w:rPr>
        <w:t>החושש במעיו מותר ליתן עליהם כוס שעירו ממנו חמין</w:t>
      </w:r>
      <w:r w:rsidRPr="005275DF">
        <w:rPr>
          <w:rStyle w:val="a9"/>
          <w:rFonts w:asciiTheme="minorBidi" w:hAnsiTheme="minorBidi"/>
          <w:rtl/>
        </w:rPr>
        <w:footnoteReference w:id="3368"/>
      </w:r>
      <w:r w:rsidRPr="005275DF">
        <w:rPr>
          <w:rFonts w:asciiTheme="minorBidi" w:hAnsiTheme="minorBidi"/>
          <w:rtl/>
        </w:rPr>
        <w:t xml:space="preserve"> אף על פי שעדיין יש בו הבל. </w:t>
      </w:r>
    </w:p>
    <w:p w14:paraId="35C13F4D" w14:textId="77777777" w:rsidR="006A4BF8" w:rsidRPr="005275DF" w:rsidRDefault="006A4BF8" w:rsidP="00434A6A">
      <w:pPr>
        <w:rPr>
          <w:rFonts w:asciiTheme="minorBidi" w:hAnsiTheme="minorBidi"/>
          <w:rtl/>
        </w:rPr>
      </w:pPr>
    </w:p>
    <w:p w14:paraId="51A6459D"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מא: סיכת ידיו ורגליו של שיכור.</w:t>
      </w:r>
    </w:p>
    <w:p w14:paraId="72C96D4D"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סו ע"ב: </w:t>
      </w:r>
      <w:r w:rsidRPr="005275DF">
        <w:rPr>
          <w:rFonts w:asciiTheme="minorBidi" w:hAnsiTheme="minorBidi"/>
          <w:u w:val="single"/>
          <w:rtl/>
        </w:rPr>
        <w:t>ואמר אבין בר הונא אמר רב חמא בר גוריא</w:t>
      </w:r>
      <w:r w:rsidRPr="005275DF">
        <w:rPr>
          <w:rFonts w:asciiTheme="minorBidi" w:hAnsiTheme="minorBidi"/>
          <w:rtl/>
        </w:rPr>
        <w:t>: מותר לסוך</w:t>
      </w:r>
      <w:r w:rsidRPr="005275DF">
        <w:rPr>
          <w:rStyle w:val="a9"/>
          <w:rFonts w:asciiTheme="minorBidi" w:hAnsiTheme="minorBidi"/>
          <w:rtl/>
        </w:rPr>
        <w:footnoteReference w:id="3369"/>
      </w:r>
      <w:r w:rsidRPr="005275DF">
        <w:rPr>
          <w:rFonts w:asciiTheme="minorBidi" w:hAnsiTheme="minorBidi"/>
          <w:rtl/>
        </w:rPr>
        <w:t xml:space="preserve"> שמן ומלח בשבת. כי הא דרב הונא מבי רב</w:t>
      </w:r>
      <w:r w:rsidRPr="005275DF">
        <w:rPr>
          <w:rStyle w:val="a9"/>
          <w:rFonts w:asciiTheme="minorBidi" w:hAnsiTheme="minorBidi"/>
          <w:rtl/>
        </w:rPr>
        <w:footnoteReference w:id="3370"/>
      </w:r>
      <w:r w:rsidRPr="005275DF">
        <w:rPr>
          <w:rFonts w:asciiTheme="minorBidi" w:hAnsiTheme="minorBidi"/>
          <w:rtl/>
        </w:rPr>
        <w:t>, ורב מבי רבי חייא, ורבי חייא מבי רבי; כי הוו מיבסמי</w:t>
      </w:r>
      <w:r w:rsidRPr="005275DF">
        <w:rPr>
          <w:rStyle w:val="a9"/>
          <w:rFonts w:asciiTheme="minorBidi" w:hAnsiTheme="minorBidi"/>
          <w:rtl/>
        </w:rPr>
        <w:footnoteReference w:id="3371"/>
      </w:r>
      <w:r w:rsidRPr="005275DF">
        <w:rPr>
          <w:rFonts w:asciiTheme="minorBidi" w:hAnsiTheme="minorBidi"/>
          <w:rtl/>
        </w:rPr>
        <w:t xml:space="preserve"> - מייתי משחא ומילחא, ושייפי להו לגוייתא דידייהו</w:t>
      </w:r>
      <w:r w:rsidRPr="005275DF">
        <w:rPr>
          <w:rStyle w:val="a9"/>
          <w:rFonts w:asciiTheme="minorBidi" w:hAnsiTheme="minorBidi"/>
          <w:rtl/>
        </w:rPr>
        <w:footnoteReference w:id="3372"/>
      </w:r>
      <w:r w:rsidRPr="005275DF">
        <w:rPr>
          <w:rFonts w:asciiTheme="minorBidi" w:hAnsiTheme="minorBidi"/>
          <w:rtl/>
        </w:rPr>
        <w:t xml:space="preserve"> וגוייתא דכרעייהו, ואמרי: כי היכי דציל</w:t>
      </w:r>
      <w:r w:rsidRPr="005275DF">
        <w:rPr>
          <w:rStyle w:val="a9"/>
          <w:rFonts w:asciiTheme="minorBidi" w:hAnsiTheme="minorBidi"/>
          <w:rtl/>
        </w:rPr>
        <w:footnoteReference w:id="3373"/>
      </w:r>
      <w:r w:rsidRPr="005275DF">
        <w:rPr>
          <w:rFonts w:asciiTheme="minorBidi" w:hAnsiTheme="minorBidi"/>
          <w:rtl/>
        </w:rPr>
        <w:t xml:space="preserve"> הא מישחא - ליציל חמריה דפלניא בר פלניתא.</w:t>
      </w:r>
    </w:p>
    <w:p w14:paraId="347317F0"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E6A1A7E" w14:textId="77777777" w:rsidR="006A4BF8" w:rsidRPr="005275DF" w:rsidRDefault="006A4BF8" w:rsidP="00434A6A">
      <w:pPr>
        <w:rPr>
          <w:rFonts w:asciiTheme="minorBidi" w:hAnsiTheme="minorBidi"/>
          <w:rtl/>
        </w:rPr>
      </w:pPr>
      <w:r w:rsidRPr="005275DF">
        <w:rPr>
          <w:rFonts w:asciiTheme="minorBidi" w:hAnsiTheme="minorBidi"/>
          <w:rtl/>
        </w:rPr>
        <w:t xml:space="preserve">מי שנשתכר שרפואתו לסוך כפות ידיו ורגליו בשמן </w:t>
      </w:r>
      <w:r w:rsidRPr="005275DF">
        <w:rPr>
          <w:rFonts w:asciiTheme="minorBidi" w:hAnsiTheme="minorBidi"/>
          <w:sz w:val="18"/>
          <w:szCs w:val="18"/>
          <w:rtl/>
        </w:rPr>
        <w:t>הגה: ומלח</w:t>
      </w:r>
      <w:r w:rsidRPr="005275DF">
        <w:rPr>
          <w:rFonts w:asciiTheme="minorBidi" w:hAnsiTheme="minorBidi"/>
          <w:rtl/>
        </w:rPr>
        <w:t xml:space="preserve"> מותר לסוכם בשבת</w:t>
      </w:r>
      <w:r w:rsidRPr="005275DF">
        <w:rPr>
          <w:rStyle w:val="a9"/>
          <w:rFonts w:asciiTheme="minorBidi" w:hAnsiTheme="minorBidi"/>
          <w:rtl/>
        </w:rPr>
        <w:footnoteReference w:id="3374"/>
      </w:r>
      <w:r w:rsidRPr="005275DF">
        <w:rPr>
          <w:rFonts w:asciiTheme="minorBidi" w:hAnsiTheme="minorBidi"/>
          <w:rtl/>
        </w:rPr>
        <w:t xml:space="preserve">. </w:t>
      </w:r>
    </w:p>
    <w:p w14:paraId="0787387B" w14:textId="77777777" w:rsidR="006A4BF8" w:rsidRPr="005275DF" w:rsidRDefault="006A4BF8" w:rsidP="00434A6A">
      <w:pPr>
        <w:rPr>
          <w:rFonts w:asciiTheme="minorBidi" w:hAnsiTheme="minorBidi"/>
          <w:rtl/>
        </w:rPr>
      </w:pPr>
    </w:p>
    <w:p w14:paraId="698E7EF4"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מב: אין מתעמלים ואין דוחקים כריסו של תינוק.</w:t>
      </w:r>
    </w:p>
    <w:p w14:paraId="1AA9404B"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קמז ע"א: </w:t>
      </w:r>
      <w:r w:rsidRPr="005275DF">
        <w:rPr>
          <w:rFonts w:asciiTheme="minorBidi" w:hAnsiTheme="minorBidi"/>
          <w:u w:val="double"/>
          <w:rtl/>
        </w:rPr>
        <w:t>משנה</w:t>
      </w:r>
      <w:r w:rsidRPr="005275DF">
        <w:rPr>
          <w:rFonts w:asciiTheme="minorBidi" w:hAnsiTheme="minorBidi"/>
          <w:rtl/>
        </w:rPr>
        <w:t>: הרוחץ... סכין וממשמשין, אבל לא מתעמלין</w:t>
      </w:r>
      <w:r w:rsidRPr="005275DF">
        <w:rPr>
          <w:rStyle w:val="a9"/>
          <w:rFonts w:asciiTheme="minorBidi" w:hAnsiTheme="minorBidi"/>
          <w:rtl/>
        </w:rPr>
        <w:footnoteReference w:id="3375"/>
      </w:r>
      <w:r w:rsidRPr="005275DF">
        <w:rPr>
          <w:rFonts w:asciiTheme="minorBidi" w:hAnsiTheme="minorBidi"/>
          <w:rtl/>
        </w:rPr>
        <w:t xml:space="preserve"> ולא מתגררין.</w:t>
      </w:r>
    </w:p>
    <w:p w14:paraId="6A143511"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2444B361" w14:textId="77777777" w:rsidR="006A4BF8" w:rsidRPr="005275DF" w:rsidRDefault="006A4BF8" w:rsidP="00434A6A">
      <w:pPr>
        <w:rPr>
          <w:rFonts w:asciiTheme="minorBidi" w:hAnsiTheme="minorBidi"/>
          <w:sz w:val="16"/>
          <w:szCs w:val="16"/>
          <w:rtl/>
        </w:rPr>
      </w:pPr>
      <w:r w:rsidRPr="005275DF">
        <w:rPr>
          <w:rFonts w:asciiTheme="minorBidi" w:hAnsiTheme="minorBidi"/>
          <w:rtl/>
        </w:rPr>
        <w:t>אין מתעמלים היינו שדורס על הגוף בכח כדי שייגע ויזיע, ואסור לדחוק כריסו של תינוק כדי להוציא הרעי</w:t>
      </w:r>
      <w:r w:rsidRPr="005275DF">
        <w:rPr>
          <w:rStyle w:val="a9"/>
          <w:rFonts w:asciiTheme="minorBidi" w:hAnsiTheme="minorBidi"/>
          <w:rtl/>
        </w:rPr>
        <w:footnoteReference w:id="3376"/>
      </w:r>
      <w:r w:rsidRPr="005275DF">
        <w:rPr>
          <w:rFonts w:asciiTheme="minorBidi" w:hAnsiTheme="minorBidi"/>
          <w:rtl/>
        </w:rPr>
        <w:t xml:space="preserve">. </w:t>
      </w:r>
      <w:r w:rsidRPr="005275DF">
        <w:rPr>
          <w:rFonts w:asciiTheme="minorBidi" w:hAnsiTheme="minorBidi"/>
          <w:sz w:val="16"/>
          <w:szCs w:val="16"/>
          <w:rtl/>
        </w:rPr>
        <w:t>{רמב"ם}</w:t>
      </w:r>
    </w:p>
    <w:p w14:paraId="7AA260C8" w14:textId="77777777" w:rsidR="006A4BF8" w:rsidRPr="005275DF" w:rsidRDefault="006A4BF8" w:rsidP="00434A6A">
      <w:pPr>
        <w:rPr>
          <w:rFonts w:asciiTheme="minorBidi" w:hAnsiTheme="minorBidi"/>
          <w:color w:val="FF0000"/>
          <w:rtl/>
        </w:rPr>
      </w:pPr>
      <w:r w:rsidRPr="005275DF">
        <w:rPr>
          <w:rFonts w:asciiTheme="minorBidi" w:hAnsiTheme="minorBidi"/>
          <w:color w:val="FF0000"/>
          <w:rtl/>
        </w:rPr>
        <w:t>- שלט"ג (הובא במג"א סקמ"ו), "דוקא לשפשף בנחת שרי ולא בכח לרש"י ולהטור (בסי' שכז), ולהרמב"ם אפי' בכח שרי אם אינו מכוין לבוא לידי זיעה. ומסופקני בשפשוף (עם שמן או בלי?) שעושים ליגיעי כח כדי להשיב כחן אליהם ולבטל מהם עיפותן צ"ע אם מקרי רפואה או תענוג ולפירש"י וטור פשיטא דאסור דהא אפילו לתענוג אסור" (והמג"א הפנה לסע' לז [סקמ"ג, דאפי' אדם בריא שמכוין לרפואה אסור אם אין רוב הבריאים עושים כן, א"א]).</w:t>
      </w:r>
    </w:p>
    <w:p w14:paraId="4267E2F9" w14:textId="77777777" w:rsidR="006A4BF8" w:rsidRPr="005275DF" w:rsidRDefault="006A4BF8" w:rsidP="00434A6A">
      <w:pPr>
        <w:rPr>
          <w:rFonts w:asciiTheme="minorBidi" w:hAnsiTheme="minorBidi"/>
          <w:color w:val="FF0000"/>
          <w:rtl/>
        </w:rPr>
      </w:pPr>
      <w:r w:rsidRPr="005275DF">
        <w:rPr>
          <w:rFonts w:asciiTheme="minorBidi" w:hAnsiTheme="minorBidi"/>
          <w:color w:val="FF0000"/>
          <w:rtl/>
        </w:rPr>
        <w:t>- ט"ז (כח) כדי שיגע ויזיע - בטו' כתוב שאסור לחולה ליגע עצמו בשבת כדי שיזיע מפני שהיא רפואה עכ"ל וק"ל כיון שאין כאן שייכות שחיקת סמנים היה לנו להתיר לחולה שאין בו סכנה ומ"ש מהא דסעיף שאח"ז שמותרים מטעם זה. ונ"ל דכיון שלפעמים מביאים הזיעה על החולה ג"כ ע"י סמנים חיישינן שיעשה רפואה האחרת משא"כ בסעיף שאח"ז שאין שייכו' רפואה לאותן הדברים ע"י שחיקת סמנים כלל לא גזרינן אלא דמ"מ קשה ע"ד הטור שהבי' לעיל ספיקא דהרא"ש ומדברי רמב"ם למד קולא קשה עליו מכאן דאסו' אפי' ע"י חולה עצמו וצ"ע ליישבו.</w:t>
      </w:r>
    </w:p>
    <w:p w14:paraId="267B5049" w14:textId="77777777" w:rsidR="006A4BF8" w:rsidRPr="005275DF" w:rsidRDefault="006A4BF8" w:rsidP="00434A6A">
      <w:pPr>
        <w:rPr>
          <w:rFonts w:asciiTheme="minorBidi" w:hAnsiTheme="minorBidi"/>
          <w:rtl/>
        </w:rPr>
      </w:pPr>
    </w:p>
    <w:p w14:paraId="63C3D496"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מג: כוס חמה על הטבור והעלאת אזנים ואונקלי.</w:t>
      </w:r>
    </w:p>
    <w:p w14:paraId="6ABF770D" w14:textId="77777777" w:rsidR="006A4BF8" w:rsidRPr="005275DF" w:rsidRDefault="006A4BF8" w:rsidP="00434A6A">
      <w:pPr>
        <w:rPr>
          <w:rFonts w:asciiTheme="minorBidi" w:hAnsiTheme="minorBidi"/>
          <w:rtl/>
        </w:rPr>
      </w:pPr>
      <w:r w:rsidRPr="005275DF">
        <w:rPr>
          <w:rFonts w:asciiTheme="minorBidi" w:hAnsiTheme="minorBidi"/>
          <w:b/>
          <w:bCs/>
          <w:rtl/>
        </w:rPr>
        <w:t xml:space="preserve">עבודה זרה כח ע"ב: </w:t>
      </w:r>
      <w:r w:rsidRPr="005275DF">
        <w:rPr>
          <w:rFonts w:asciiTheme="minorBidi" w:hAnsiTheme="minorBidi"/>
          <w:u w:val="single"/>
          <w:rtl/>
        </w:rPr>
        <w:t>אמר רבה בר זוטרא אמר רבי חנינא</w:t>
      </w:r>
      <w:r w:rsidRPr="005275DF">
        <w:rPr>
          <w:rFonts w:asciiTheme="minorBidi" w:hAnsiTheme="minorBidi"/>
          <w:rtl/>
        </w:rPr>
        <w:t>: מעלין אזנים</w:t>
      </w:r>
      <w:r w:rsidRPr="005275DF">
        <w:rPr>
          <w:rStyle w:val="a9"/>
          <w:rFonts w:asciiTheme="minorBidi" w:hAnsiTheme="minorBidi"/>
          <w:rtl/>
        </w:rPr>
        <w:footnoteReference w:id="3377"/>
      </w:r>
      <w:r w:rsidRPr="005275DF">
        <w:rPr>
          <w:rFonts w:asciiTheme="minorBidi" w:hAnsiTheme="minorBidi"/>
          <w:rtl/>
        </w:rPr>
        <w:t xml:space="preserve"> בשבת. </w:t>
      </w:r>
      <w:r w:rsidRPr="005275DF">
        <w:rPr>
          <w:rFonts w:asciiTheme="minorBidi" w:hAnsiTheme="minorBidi"/>
          <w:u w:val="single"/>
          <w:rtl/>
        </w:rPr>
        <w:t>תני רב שמואל בר יהודה</w:t>
      </w:r>
      <w:r w:rsidRPr="005275DF">
        <w:rPr>
          <w:rFonts w:asciiTheme="minorBidi" w:hAnsiTheme="minorBidi"/>
          <w:rtl/>
        </w:rPr>
        <w:t>: ביד אבל לא בסם</w:t>
      </w:r>
      <w:r w:rsidRPr="005275DF">
        <w:rPr>
          <w:rStyle w:val="a9"/>
          <w:rFonts w:asciiTheme="minorBidi" w:hAnsiTheme="minorBidi"/>
          <w:rtl/>
        </w:rPr>
        <w:footnoteReference w:id="3378"/>
      </w:r>
      <w:r w:rsidRPr="005275DF">
        <w:rPr>
          <w:rFonts w:asciiTheme="minorBidi" w:hAnsiTheme="minorBidi"/>
          <w:rtl/>
        </w:rPr>
        <w:t xml:space="preserve">. </w:t>
      </w:r>
      <w:r w:rsidRPr="005275DF">
        <w:rPr>
          <w:rFonts w:asciiTheme="minorBidi" w:hAnsiTheme="minorBidi"/>
          <w:u w:val="dotted"/>
          <w:rtl/>
        </w:rPr>
        <w:t>איכא דאמרי</w:t>
      </w:r>
      <w:r w:rsidRPr="005275DF">
        <w:rPr>
          <w:rFonts w:asciiTheme="minorBidi" w:hAnsiTheme="minorBidi"/>
          <w:rtl/>
        </w:rPr>
        <w:t>: בסם אבל לא ביד. מ"ט? מזריף זריף</w:t>
      </w:r>
      <w:r w:rsidRPr="005275DF">
        <w:rPr>
          <w:rStyle w:val="a9"/>
          <w:rFonts w:asciiTheme="minorBidi" w:hAnsiTheme="minorBidi"/>
          <w:rtl/>
        </w:rPr>
        <w:footnoteReference w:id="3379"/>
      </w:r>
      <w:r w:rsidRPr="005275DF">
        <w:rPr>
          <w:rFonts w:asciiTheme="minorBidi" w:hAnsiTheme="minorBidi"/>
          <w:rtl/>
        </w:rPr>
        <w:t>.</w:t>
      </w:r>
    </w:p>
    <w:p w14:paraId="4E471187" w14:textId="77777777" w:rsidR="006A4BF8" w:rsidRPr="005275DF" w:rsidRDefault="006A4BF8" w:rsidP="00434A6A">
      <w:pPr>
        <w:rPr>
          <w:rFonts w:asciiTheme="minorBidi" w:hAnsiTheme="minorBidi"/>
          <w:u w:val="single"/>
          <w:rtl/>
        </w:rPr>
      </w:pPr>
      <w:r w:rsidRPr="005275DF">
        <w:rPr>
          <w:rFonts w:asciiTheme="minorBidi" w:hAnsiTheme="minorBidi"/>
          <w:u w:val="single"/>
          <w:rtl/>
        </w:rPr>
        <w:t>כיצד נפסק:</w:t>
      </w:r>
    </w:p>
    <w:p w14:paraId="17783FC9" w14:textId="77777777" w:rsidR="006A4BF8" w:rsidRPr="005275DF" w:rsidRDefault="006A4BF8" w:rsidP="00FF2D21">
      <w:pPr>
        <w:pStyle w:val="aa"/>
        <w:numPr>
          <w:ilvl w:val="0"/>
          <w:numId w:val="67"/>
        </w:numPr>
        <w:rPr>
          <w:rFonts w:asciiTheme="minorBidi" w:hAnsiTheme="minorBidi"/>
        </w:rPr>
      </w:pPr>
      <w:r w:rsidRPr="005275DF">
        <w:rPr>
          <w:rFonts w:asciiTheme="minorBidi" w:hAnsiTheme="minorBidi"/>
          <w:rtl/>
        </w:rPr>
        <w:t xml:space="preserve">(רמב"ם </w:t>
      </w:r>
      <w:r w:rsidRPr="005275DF">
        <w:rPr>
          <w:rFonts w:asciiTheme="minorBidi" w:hAnsiTheme="minorBidi"/>
          <w:sz w:val="16"/>
          <w:szCs w:val="16"/>
          <w:rtl/>
        </w:rPr>
        <w:t>להב' הב"י</w:t>
      </w:r>
      <w:r w:rsidRPr="005275DF">
        <w:rPr>
          <w:rStyle w:val="a9"/>
          <w:rFonts w:asciiTheme="minorBidi" w:hAnsiTheme="minorBidi"/>
          <w:rtl/>
        </w:rPr>
        <w:footnoteReference w:id="3380"/>
      </w:r>
      <w:r w:rsidRPr="005275DF">
        <w:rPr>
          <w:rFonts w:asciiTheme="minorBidi" w:hAnsiTheme="minorBidi"/>
          <w:rtl/>
        </w:rPr>
        <w:t>)- בין ביד בין בכלי, כלישנא קמא</w:t>
      </w:r>
      <w:r w:rsidRPr="005275DF">
        <w:rPr>
          <w:rFonts w:asciiTheme="minorBidi" w:hAnsiTheme="minorBidi"/>
          <w:sz w:val="16"/>
          <w:szCs w:val="16"/>
          <w:rtl/>
        </w:rPr>
        <w:t xml:space="preserve"> (לפי גירסתו)</w:t>
      </w:r>
      <w:r w:rsidRPr="005275DF">
        <w:rPr>
          <w:rFonts w:asciiTheme="minorBidi" w:hAnsiTheme="minorBidi"/>
          <w:rtl/>
        </w:rPr>
        <w:t>.</w:t>
      </w:r>
    </w:p>
    <w:p w14:paraId="7B33D064" w14:textId="77777777" w:rsidR="006A4BF8" w:rsidRPr="005275DF" w:rsidRDefault="006A4BF8" w:rsidP="00FF2D21">
      <w:pPr>
        <w:pStyle w:val="aa"/>
        <w:numPr>
          <w:ilvl w:val="0"/>
          <w:numId w:val="67"/>
        </w:numPr>
        <w:rPr>
          <w:rFonts w:asciiTheme="minorBidi" w:hAnsiTheme="minorBidi"/>
        </w:rPr>
      </w:pPr>
      <w:r w:rsidRPr="005275DF">
        <w:rPr>
          <w:rFonts w:asciiTheme="minorBidi" w:hAnsiTheme="minorBidi"/>
          <w:rtl/>
        </w:rPr>
        <w:t xml:space="preserve">(רמב"ם </w:t>
      </w:r>
      <w:r w:rsidRPr="005275DF">
        <w:rPr>
          <w:rFonts w:asciiTheme="minorBidi" w:hAnsiTheme="minorBidi"/>
          <w:sz w:val="16"/>
          <w:szCs w:val="16"/>
          <w:rtl/>
        </w:rPr>
        <w:t>להב' הגר"א</w:t>
      </w:r>
      <w:r w:rsidRPr="005275DF">
        <w:rPr>
          <w:rStyle w:val="a9"/>
          <w:rFonts w:asciiTheme="minorBidi" w:hAnsiTheme="minorBidi"/>
          <w:rtl/>
        </w:rPr>
        <w:footnoteReference w:id="3381"/>
      </w:r>
      <w:r w:rsidRPr="005275DF">
        <w:rPr>
          <w:rFonts w:asciiTheme="minorBidi" w:hAnsiTheme="minorBidi"/>
          <w:rtl/>
        </w:rPr>
        <w:t>)- בין ביד בין בכלי, כלישנא בתרא</w:t>
      </w:r>
      <w:r w:rsidRPr="005275DF">
        <w:rPr>
          <w:rFonts w:asciiTheme="minorBidi" w:hAnsiTheme="minorBidi"/>
          <w:sz w:val="16"/>
          <w:szCs w:val="16"/>
          <w:rtl/>
        </w:rPr>
        <w:t xml:space="preserve"> (לפי גירסתו)</w:t>
      </w:r>
      <w:r w:rsidRPr="005275DF">
        <w:rPr>
          <w:rFonts w:asciiTheme="minorBidi" w:hAnsiTheme="minorBidi"/>
          <w:rtl/>
        </w:rPr>
        <w:t>.</w:t>
      </w:r>
    </w:p>
    <w:p w14:paraId="0DCE8C62" w14:textId="77777777" w:rsidR="006A4BF8" w:rsidRPr="005275DF" w:rsidRDefault="006A4BF8" w:rsidP="00FF2D21">
      <w:pPr>
        <w:pStyle w:val="aa"/>
        <w:numPr>
          <w:ilvl w:val="0"/>
          <w:numId w:val="67"/>
        </w:numPr>
        <w:rPr>
          <w:rFonts w:asciiTheme="minorBidi" w:hAnsiTheme="minorBidi"/>
        </w:rPr>
      </w:pPr>
      <w:r w:rsidRPr="005275DF">
        <w:rPr>
          <w:rFonts w:asciiTheme="minorBidi" w:hAnsiTheme="minorBidi"/>
          <w:rtl/>
        </w:rPr>
        <w:t xml:space="preserve">(רמב"ם </w:t>
      </w:r>
      <w:r w:rsidRPr="005275DF">
        <w:rPr>
          <w:rFonts w:asciiTheme="minorBidi" w:hAnsiTheme="minorBidi"/>
          <w:sz w:val="16"/>
          <w:szCs w:val="16"/>
          <w:rtl/>
        </w:rPr>
        <w:t>להב' הה"מ והר"ן</w:t>
      </w:r>
      <w:r w:rsidRPr="005275DF">
        <w:rPr>
          <w:rFonts w:asciiTheme="minorBidi" w:hAnsiTheme="minorBidi"/>
          <w:rtl/>
        </w:rPr>
        <w:t xml:space="preserve">)- ביד אבל לא בסם, כלישנא קמא. </w:t>
      </w:r>
    </w:p>
    <w:p w14:paraId="47EC4F69" w14:textId="77777777" w:rsidR="006A4BF8" w:rsidRPr="005275DF" w:rsidRDefault="006A4BF8" w:rsidP="00FF2D21">
      <w:pPr>
        <w:pStyle w:val="aa"/>
        <w:numPr>
          <w:ilvl w:val="0"/>
          <w:numId w:val="67"/>
        </w:numPr>
        <w:rPr>
          <w:rFonts w:asciiTheme="minorBidi" w:hAnsiTheme="minorBidi"/>
        </w:rPr>
      </w:pPr>
      <w:r w:rsidRPr="005275DF">
        <w:rPr>
          <w:rFonts w:asciiTheme="minorBidi" w:hAnsiTheme="minorBidi"/>
          <w:rtl/>
        </w:rPr>
        <w:t>רי"ו- בסם אבל לא ביד, כלישנא בתרא.</w:t>
      </w:r>
    </w:p>
    <w:p w14:paraId="4FAF57BE" w14:textId="77777777" w:rsidR="006A4BF8" w:rsidRPr="005275DF" w:rsidRDefault="006A4BF8" w:rsidP="00434A6A">
      <w:pPr>
        <w:rPr>
          <w:rFonts w:asciiTheme="minorBidi" w:hAnsiTheme="minorBidi"/>
          <w:rtl/>
        </w:rPr>
      </w:pPr>
      <w:r w:rsidRPr="005275DF">
        <w:rPr>
          <w:rFonts w:asciiTheme="minorBidi" w:hAnsiTheme="minorBidi"/>
          <w:b/>
          <w:bCs/>
          <w:rtl/>
        </w:rPr>
        <w:t xml:space="preserve">עבודה זרה כט ע"א: </w:t>
      </w:r>
      <w:r w:rsidRPr="005275DF">
        <w:rPr>
          <w:rFonts w:asciiTheme="minorBidi" w:hAnsiTheme="minorBidi"/>
          <w:u w:val="single"/>
          <w:rtl/>
        </w:rPr>
        <w:t>א"ר יהושע בן לוי</w:t>
      </w:r>
      <w:r w:rsidRPr="005275DF">
        <w:rPr>
          <w:rFonts w:asciiTheme="minorBidi" w:hAnsiTheme="minorBidi"/>
          <w:rtl/>
        </w:rPr>
        <w:t xml:space="preserve">: מעלין אונקלי בשבת. מאי אונקלי? </w:t>
      </w:r>
      <w:r w:rsidRPr="005275DF">
        <w:rPr>
          <w:rFonts w:asciiTheme="minorBidi" w:hAnsiTheme="minorBidi"/>
          <w:u w:val="single"/>
          <w:rtl/>
        </w:rPr>
        <w:t>אמר רבי אבא</w:t>
      </w:r>
      <w:r w:rsidRPr="005275DF">
        <w:rPr>
          <w:rFonts w:asciiTheme="minorBidi" w:hAnsiTheme="minorBidi"/>
          <w:rtl/>
        </w:rPr>
        <w:t>: איסתומכא דליבא</w:t>
      </w:r>
      <w:r w:rsidRPr="005275DF">
        <w:rPr>
          <w:rStyle w:val="a9"/>
          <w:rFonts w:asciiTheme="minorBidi" w:hAnsiTheme="minorBidi"/>
          <w:rtl/>
        </w:rPr>
        <w:footnoteReference w:id="3382"/>
      </w:r>
      <w:r w:rsidRPr="005275DF">
        <w:rPr>
          <w:rFonts w:asciiTheme="minorBidi" w:hAnsiTheme="minorBidi"/>
          <w:rtl/>
        </w:rPr>
        <w:t>.</w:t>
      </w:r>
    </w:p>
    <w:p w14:paraId="14C603BF"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B8A6333" w14:textId="77777777" w:rsidR="006A4BF8" w:rsidRPr="005275DF" w:rsidRDefault="006A4BF8" w:rsidP="00434A6A">
      <w:pPr>
        <w:rPr>
          <w:rFonts w:asciiTheme="minorBidi" w:hAnsiTheme="minorBidi"/>
          <w:rtl/>
        </w:rPr>
      </w:pPr>
      <w:r w:rsidRPr="005275DF">
        <w:rPr>
          <w:rFonts w:asciiTheme="minorBidi" w:hAnsiTheme="minorBidi"/>
          <w:rtl/>
        </w:rPr>
        <w:t xml:space="preserve">מותר לכפות כוס חם על הטבור ולהעלותו ולהעלות אזנים בין ביד בין בכלי ולהעלות אונקלי דהיינו תנוך שכנגד הלב שנכפף לצד פנים, שכל אחד מאלו אין עושים בסמנים כדי שנחוש לשחיקה </w:t>
      </w:r>
      <w:r w:rsidRPr="005275DF">
        <w:rPr>
          <w:rStyle w:val="a9"/>
          <w:rFonts w:asciiTheme="minorBidi" w:hAnsiTheme="minorBidi"/>
          <w:rtl/>
        </w:rPr>
        <w:footnoteReference w:id="3383"/>
      </w:r>
      <w:r w:rsidRPr="005275DF">
        <w:rPr>
          <w:rFonts w:asciiTheme="minorBidi" w:hAnsiTheme="minorBidi"/>
          <w:rtl/>
        </w:rPr>
        <w:t>ויש לו צער מהם</w:t>
      </w:r>
      <w:r w:rsidRPr="005275DF">
        <w:rPr>
          <w:rStyle w:val="a9"/>
          <w:rFonts w:asciiTheme="minorBidi" w:hAnsiTheme="minorBidi"/>
          <w:rtl/>
        </w:rPr>
        <w:footnoteReference w:id="3384"/>
      </w:r>
      <w:r w:rsidRPr="005275DF">
        <w:rPr>
          <w:rFonts w:asciiTheme="minorBidi" w:hAnsiTheme="minorBidi"/>
          <w:rtl/>
        </w:rPr>
        <w:t xml:space="preserve">. </w:t>
      </w:r>
    </w:p>
    <w:p w14:paraId="570C4077" w14:textId="77777777" w:rsidR="006A4BF8" w:rsidRPr="005275DF" w:rsidRDefault="006A4BF8" w:rsidP="00434A6A">
      <w:pPr>
        <w:rPr>
          <w:rFonts w:asciiTheme="minorBidi" w:hAnsiTheme="minorBidi"/>
          <w:rtl/>
        </w:rPr>
      </w:pPr>
    </w:p>
    <w:p w14:paraId="0C120421"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מד: רחיצה במי חמתן/טבריא/משרה ובים הגדול.</w:t>
      </w:r>
    </w:p>
    <w:p w14:paraId="2A3512DF"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קט ע"א: </w:t>
      </w:r>
      <w:r w:rsidRPr="005275DF">
        <w:rPr>
          <w:rFonts w:asciiTheme="minorBidi" w:hAnsiTheme="minorBidi"/>
          <w:rtl/>
        </w:rPr>
        <w:t>תנו רבנן: רוחצים במי גרר</w:t>
      </w:r>
      <w:r w:rsidRPr="005275DF">
        <w:rPr>
          <w:rStyle w:val="a9"/>
          <w:rFonts w:asciiTheme="minorBidi" w:hAnsiTheme="minorBidi"/>
          <w:rtl/>
        </w:rPr>
        <w:footnoteReference w:id="3385"/>
      </w:r>
      <w:r w:rsidRPr="005275DF">
        <w:rPr>
          <w:rFonts w:asciiTheme="minorBidi" w:hAnsiTheme="minorBidi"/>
          <w:rtl/>
        </w:rPr>
        <w:t xml:space="preserve"> במי חמתן במי עסיא ובמי טבריא, אבל לא בים הגדול ולא במי משרה</w:t>
      </w:r>
      <w:r w:rsidRPr="005275DF">
        <w:rPr>
          <w:rStyle w:val="a9"/>
          <w:rFonts w:asciiTheme="minorBidi" w:hAnsiTheme="minorBidi"/>
          <w:rtl/>
        </w:rPr>
        <w:footnoteReference w:id="3386"/>
      </w:r>
      <w:r w:rsidRPr="005275DF">
        <w:rPr>
          <w:rFonts w:asciiTheme="minorBidi" w:hAnsiTheme="minorBidi"/>
          <w:rtl/>
        </w:rPr>
        <w:t xml:space="preserve"> ולא בימה של סדום. ורמינהו: רוחצים במי טבריא ובים הגדול אבל לא במי משרה ולא בימה של סדום, קשיא ים הגדול אים הגדול! </w:t>
      </w:r>
      <w:r w:rsidRPr="005275DF">
        <w:rPr>
          <w:rFonts w:asciiTheme="minorBidi" w:hAnsiTheme="minorBidi"/>
          <w:u w:val="single"/>
          <w:rtl/>
        </w:rPr>
        <w:t>אלא אמר רב נחמן בר יצחק</w:t>
      </w:r>
      <w:r w:rsidRPr="005275DF">
        <w:rPr>
          <w:rFonts w:asciiTheme="minorBidi" w:hAnsiTheme="minorBidi"/>
          <w:rtl/>
        </w:rPr>
        <w:t>: לא קשיא, הא דאישתהי</w:t>
      </w:r>
      <w:r w:rsidRPr="005275DF">
        <w:rPr>
          <w:rStyle w:val="a9"/>
          <w:rFonts w:asciiTheme="minorBidi" w:hAnsiTheme="minorBidi"/>
          <w:rtl/>
        </w:rPr>
        <w:footnoteReference w:id="3387"/>
      </w:r>
      <w:r w:rsidRPr="005275DF">
        <w:rPr>
          <w:rFonts w:asciiTheme="minorBidi" w:hAnsiTheme="minorBidi"/>
          <w:rtl/>
        </w:rPr>
        <w:t>, הא דלא אישתהי</w:t>
      </w:r>
      <w:r w:rsidRPr="005275DF">
        <w:rPr>
          <w:rStyle w:val="a9"/>
          <w:rFonts w:asciiTheme="minorBidi" w:hAnsiTheme="minorBidi"/>
          <w:rtl/>
        </w:rPr>
        <w:footnoteReference w:id="3388"/>
      </w:r>
      <w:r w:rsidRPr="005275DF">
        <w:rPr>
          <w:rFonts w:asciiTheme="minorBidi" w:hAnsiTheme="minorBidi"/>
          <w:rtl/>
        </w:rPr>
        <w:t>. במאי אוקימתא לבתרייתא - דלא אישתהי, אי דלא אישתהי אפילו במי משרה נמי דהתניא: רוחצין במי טבריא ובמי משרה ובימה של סדום, ואף על פי שיש לו חטטים בראשו במה דברים אמורים שלא נשתהא</w:t>
      </w:r>
      <w:r w:rsidRPr="005275DF">
        <w:rPr>
          <w:rStyle w:val="a9"/>
          <w:rFonts w:asciiTheme="minorBidi" w:hAnsiTheme="minorBidi"/>
          <w:rtl/>
        </w:rPr>
        <w:footnoteReference w:id="3389"/>
      </w:r>
      <w:r w:rsidRPr="005275DF">
        <w:rPr>
          <w:rFonts w:asciiTheme="minorBidi" w:hAnsiTheme="minorBidi"/>
          <w:rtl/>
        </w:rPr>
        <w:t>, אבל נשתהא  אסור..... ים הגדול אים הגדול לא קשיא הא ביפין שבו</w:t>
      </w:r>
      <w:r w:rsidRPr="005275DF">
        <w:rPr>
          <w:rStyle w:val="a9"/>
          <w:rFonts w:asciiTheme="minorBidi" w:hAnsiTheme="minorBidi"/>
          <w:rtl/>
        </w:rPr>
        <w:footnoteReference w:id="3390"/>
      </w:r>
      <w:r w:rsidRPr="005275DF">
        <w:rPr>
          <w:rFonts w:asciiTheme="minorBidi" w:hAnsiTheme="minorBidi"/>
          <w:rtl/>
        </w:rPr>
        <w:t>, הא ברעים שבו</w:t>
      </w:r>
      <w:r w:rsidRPr="005275DF">
        <w:rPr>
          <w:rStyle w:val="a9"/>
          <w:rFonts w:asciiTheme="minorBidi" w:hAnsiTheme="minorBidi"/>
          <w:rtl/>
        </w:rPr>
        <w:footnoteReference w:id="3391"/>
      </w:r>
      <w:r w:rsidRPr="005275DF">
        <w:rPr>
          <w:rFonts w:asciiTheme="minorBidi" w:hAnsiTheme="minorBidi"/>
          <w:rtl/>
        </w:rPr>
        <w:t>. מי משרה אמי משרה נמי לא קשיא הא דאישתהי, הא דלא אישתהי.</w:t>
      </w:r>
    </w:p>
    <w:p w14:paraId="5121C748" w14:textId="77777777" w:rsidR="006A4BF8" w:rsidRPr="005275DF" w:rsidRDefault="006A4BF8" w:rsidP="00434A6A">
      <w:pPr>
        <w:rPr>
          <w:rFonts w:asciiTheme="minorBidi" w:hAnsiTheme="minorBidi"/>
          <w:u w:val="single"/>
          <w:rtl/>
        </w:rPr>
      </w:pPr>
      <w:r w:rsidRPr="005275DF">
        <w:rPr>
          <w:rFonts w:asciiTheme="minorBidi" w:hAnsiTheme="minorBidi"/>
          <w:u w:val="single"/>
          <w:rtl/>
        </w:rPr>
        <w:t>האם מותר ללרחוץ במים הרעים שבים הגדול בלי להשתהות שם:</w:t>
      </w:r>
    </w:p>
    <w:p w14:paraId="17E6FFEF" w14:textId="77777777" w:rsidR="006A4BF8" w:rsidRPr="005275DF" w:rsidRDefault="006A4BF8" w:rsidP="00FF2D21">
      <w:pPr>
        <w:pStyle w:val="aa"/>
        <w:numPr>
          <w:ilvl w:val="0"/>
          <w:numId w:val="68"/>
        </w:numPr>
        <w:rPr>
          <w:rFonts w:asciiTheme="minorBidi" w:hAnsiTheme="minorBidi"/>
        </w:rPr>
      </w:pPr>
      <w:r w:rsidRPr="005275DF">
        <w:rPr>
          <w:rFonts w:asciiTheme="minorBidi" w:hAnsiTheme="minorBidi"/>
          <w:rtl/>
        </w:rPr>
        <w:t xml:space="preserve">רש"י רמב"ם רמב"ן ר"ן והה"מ- מותר, דלא גריעי ממי משרה. </w:t>
      </w:r>
      <w:r w:rsidRPr="005275DF">
        <w:rPr>
          <w:rFonts w:asciiTheme="minorBidi" w:hAnsiTheme="minorBidi"/>
          <w:color w:val="E36C0A" w:themeColor="accent6" w:themeShade="BF"/>
          <w:rtl/>
        </w:rPr>
        <w:t>(וכ"פ בשו"ע)</w:t>
      </w:r>
    </w:p>
    <w:p w14:paraId="13F52115" w14:textId="77777777" w:rsidR="006A4BF8" w:rsidRPr="005275DF" w:rsidRDefault="006A4BF8" w:rsidP="00FF2D21">
      <w:pPr>
        <w:pStyle w:val="aa"/>
        <w:numPr>
          <w:ilvl w:val="0"/>
          <w:numId w:val="68"/>
        </w:numPr>
        <w:rPr>
          <w:rFonts w:asciiTheme="minorBidi" w:hAnsiTheme="minorBidi"/>
          <w:rtl/>
        </w:rPr>
      </w:pPr>
      <w:r w:rsidRPr="005275DF">
        <w:rPr>
          <w:rFonts w:asciiTheme="minorBidi" w:hAnsiTheme="minorBidi"/>
          <w:rtl/>
        </w:rPr>
        <w:t>רשב"א</w:t>
      </w:r>
      <w:r w:rsidRPr="005275DF">
        <w:rPr>
          <w:rFonts w:asciiTheme="minorBidi" w:hAnsiTheme="minorBidi"/>
          <w:sz w:val="16"/>
          <w:szCs w:val="16"/>
          <w:rtl/>
        </w:rPr>
        <w:t xml:space="preserve"> (חי' ד"ה בד"א בשלא)</w:t>
      </w:r>
      <w:r w:rsidRPr="005275DF">
        <w:rPr>
          <w:rFonts w:asciiTheme="minorBidi" w:hAnsiTheme="minorBidi"/>
          <w:rtl/>
        </w:rPr>
        <w:t>- אסור אפילו לא נשתהא.</w:t>
      </w:r>
    </w:p>
    <w:p w14:paraId="3E02F161"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1F2EC69" w14:textId="77777777" w:rsidR="006A4BF8" w:rsidRPr="005275DF" w:rsidRDefault="006A4BF8" w:rsidP="00434A6A">
      <w:pPr>
        <w:rPr>
          <w:rFonts w:asciiTheme="minorBidi" w:hAnsiTheme="minorBidi"/>
          <w:rtl/>
        </w:rPr>
      </w:pPr>
      <w:r w:rsidRPr="005275DF">
        <w:rPr>
          <w:rFonts w:asciiTheme="minorBidi" w:hAnsiTheme="minorBidi"/>
          <w:rtl/>
        </w:rPr>
        <w:t xml:space="preserve">רוחצין במי גרר, ובמי חמתן, ובמי טבריא, ובמים היפים שבים הגדול אף על פי שהם מלוחים שכן דרך לרחוץ בהם וליכא הוכחה דלרפואה קא עביד, אבל לא במים הרעים שבים הגדול ובמי משרה שהם מאוסין ואין דרך לרחוץ בהם אלא לרפואה, ודוקא ששוהה בהם אבל אם אינו שוהה בהם מותר שאינו נראה אלא  כמיקר. </w:t>
      </w:r>
    </w:p>
    <w:p w14:paraId="2F642747" w14:textId="77777777" w:rsidR="006A4BF8" w:rsidRPr="005275DF" w:rsidRDefault="006A4BF8" w:rsidP="00434A6A">
      <w:pPr>
        <w:rPr>
          <w:rFonts w:asciiTheme="minorBidi" w:hAnsiTheme="minorBidi"/>
          <w:rtl/>
        </w:rPr>
      </w:pPr>
      <w:r w:rsidRPr="005275DF">
        <w:rPr>
          <w:rFonts w:asciiTheme="minorBidi" w:hAnsiTheme="minorBidi"/>
          <w:rtl/>
        </w:rPr>
        <w:t xml:space="preserve">- מג"א, (מט) רוחצין כו' - אין רוחצין במים שמשלשלים ולא בטיט שטובעין בו וכו' מפני שכל אלו צער הם וכתיב וקראת לשבת עונג עכ"ל רמב"ם </w:t>
      </w:r>
      <w:r w:rsidRPr="005275DF">
        <w:rPr>
          <w:rFonts w:asciiTheme="minorBidi" w:hAnsiTheme="minorBidi"/>
          <w:sz w:val="16"/>
          <w:szCs w:val="16"/>
          <w:rtl/>
        </w:rPr>
        <w:t>(פכ"א הכ"ט)</w:t>
      </w:r>
      <w:r w:rsidRPr="005275DF">
        <w:rPr>
          <w:rFonts w:asciiTheme="minorBidi" w:hAnsiTheme="minorBidi"/>
          <w:rtl/>
        </w:rPr>
        <w:t xml:space="preserve">, וכ"כ הסמ"ג, ואם כן אסור לשתות משקה המשלשל דאין לך צער גדול מזה </w:t>
      </w:r>
      <w:r w:rsidRPr="005275DF">
        <w:rPr>
          <w:rFonts w:asciiTheme="minorBidi" w:hAnsiTheme="minorBidi"/>
          <w:sz w:val="16"/>
          <w:szCs w:val="16"/>
          <w:rtl/>
        </w:rPr>
        <w:t>(ועמ"ש סל"ז וסמ"ב)</w:t>
      </w:r>
      <w:r w:rsidRPr="005275DF">
        <w:rPr>
          <w:rFonts w:asciiTheme="minorBidi" w:hAnsiTheme="minorBidi"/>
          <w:rtl/>
        </w:rPr>
        <w:t>, ונ"ל דמקום שאין דרך לרחוץ בחמי טבריא אלא לרפואה אסור בשבת.</w:t>
      </w:r>
    </w:p>
    <w:p w14:paraId="30438BF0" w14:textId="77777777" w:rsidR="006A4BF8" w:rsidRPr="005275DF" w:rsidRDefault="006A4BF8" w:rsidP="00434A6A">
      <w:pPr>
        <w:rPr>
          <w:rFonts w:asciiTheme="minorBidi" w:hAnsiTheme="minorBidi"/>
          <w:rtl/>
        </w:rPr>
      </w:pPr>
    </w:p>
    <w:p w14:paraId="2A5C320F"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מה: לחישה לנחשים.</w:t>
      </w:r>
    </w:p>
    <w:p w14:paraId="2DF921F2" w14:textId="77777777" w:rsidR="006A4BF8" w:rsidRPr="005275DF" w:rsidRDefault="006A4BF8" w:rsidP="00434A6A">
      <w:pPr>
        <w:rPr>
          <w:rFonts w:asciiTheme="minorBidi" w:hAnsiTheme="minorBidi"/>
          <w:rtl/>
        </w:rPr>
      </w:pPr>
      <w:r w:rsidRPr="005275DF">
        <w:rPr>
          <w:rFonts w:asciiTheme="minorBidi" w:hAnsiTheme="minorBidi"/>
          <w:b/>
          <w:bCs/>
          <w:rtl/>
        </w:rPr>
        <w:t xml:space="preserve">סנהדרין קא ע"א: </w:t>
      </w:r>
      <w:r w:rsidRPr="005275DF">
        <w:rPr>
          <w:rFonts w:asciiTheme="minorBidi" w:hAnsiTheme="minorBidi"/>
          <w:rtl/>
        </w:rPr>
        <w:t>ולוחשין לחישת נחשים ועקרבים בשבת</w:t>
      </w:r>
      <w:r w:rsidRPr="005275DF">
        <w:rPr>
          <w:rStyle w:val="a9"/>
          <w:rFonts w:asciiTheme="minorBidi" w:hAnsiTheme="minorBidi"/>
          <w:rtl/>
        </w:rPr>
        <w:footnoteReference w:id="3392"/>
      </w:r>
      <w:r w:rsidRPr="005275DF">
        <w:rPr>
          <w:rFonts w:asciiTheme="minorBidi" w:hAnsiTheme="minorBidi"/>
          <w:rtl/>
        </w:rPr>
        <w:t>.</w:t>
      </w:r>
    </w:p>
    <w:p w14:paraId="4998191B"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6B07F2A1" w14:textId="77777777" w:rsidR="006A4BF8" w:rsidRPr="005275DF" w:rsidRDefault="006A4BF8" w:rsidP="00434A6A">
      <w:pPr>
        <w:rPr>
          <w:rFonts w:asciiTheme="minorBidi" w:hAnsiTheme="minorBidi"/>
          <w:rtl/>
        </w:rPr>
      </w:pPr>
      <w:r w:rsidRPr="005275DF">
        <w:rPr>
          <w:rFonts w:asciiTheme="minorBidi" w:hAnsiTheme="minorBidi"/>
          <w:rtl/>
        </w:rPr>
        <w:t xml:space="preserve">לוחשים על נחשים ועקרבים בשביל שלא יזיקו ואין בכך משום צידה. </w:t>
      </w:r>
    </w:p>
    <w:p w14:paraId="2AF3F1D1" w14:textId="77777777" w:rsidR="006A4BF8" w:rsidRPr="005275DF" w:rsidRDefault="006A4BF8" w:rsidP="00434A6A">
      <w:pPr>
        <w:rPr>
          <w:rFonts w:asciiTheme="minorBidi" w:hAnsiTheme="minorBidi"/>
          <w:rtl/>
        </w:rPr>
      </w:pPr>
    </w:p>
    <w:p w14:paraId="6B90A4FB"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מו: נתנית כלי ע"ג העין.</w:t>
      </w:r>
    </w:p>
    <w:p w14:paraId="27162B05" w14:textId="77777777" w:rsidR="006A4BF8" w:rsidRPr="005275DF" w:rsidRDefault="006A4BF8" w:rsidP="00434A6A">
      <w:pPr>
        <w:rPr>
          <w:rFonts w:asciiTheme="minorBidi" w:hAnsiTheme="minorBidi"/>
          <w:rtl/>
        </w:rPr>
      </w:pPr>
      <w:r w:rsidRPr="005275DF">
        <w:rPr>
          <w:rFonts w:asciiTheme="minorBidi" w:hAnsiTheme="minorBidi"/>
          <w:b/>
          <w:bCs/>
          <w:rtl/>
        </w:rPr>
        <w:t xml:space="preserve">סנהדרין קא ע"א: </w:t>
      </w:r>
      <w:r w:rsidRPr="005275DF">
        <w:rPr>
          <w:rFonts w:asciiTheme="minorBidi" w:hAnsiTheme="minorBidi"/>
          <w:rtl/>
        </w:rPr>
        <w:t>ומעבירין כלי על גב העין</w:t>
      </w:r>
      <w:r w:rsidRPr="005275DF">
        <w:rPr>
          <w:rStyle w:val="a9"/>
          <w:rFonts w:asciiTheme="minorBidi" w:hAnsiTheme="minorBidi"/>
          <w:rtl/>
        </w:rPr>
        <w:footnoteReference w:id="3393"/>
      </w:r>
      <w:r w:rsidRPr="005275DF">
        <w:rPr>
          <w:rFonts w:asciiTheme="minorBidi" w:hAnsiTheme="minorBidi"/>
          <w:rtl/>
        </w:rPr>
        <w:t xml:space="preserve"> בשבת. </w:t>
      </w:r>
      <w:r w:rsidRPr="005275DF">
        <w:rPr>
          <w:rFonts w:asciiTheme="minorBidi" w:hAnsiTheme="minorBidi"/>
          <w:u w:val="single"/>
          <w:rtl/>
        </w:rPr>
        <w:t>אמר רבן שמעון בן גמליאל</w:t>
      </w:r>
      <w:r w:rsidRPr="005275DF">
        <w:rPr>
          <w:rFonts w:asciiTheme="minorBidi" w:hAnsiTheme="minorBidi"/>
          <w:rtl/>
        </w:rPr>
        <w:t>: במה דברים אמורים - בכלי הניטל</w:t>
      </w:r>
      <w:r w:rsidRPr="005275DF">
        <w:rPr>
          <w:rStyle w:val="a9"/>
          <w:rFonts w:asciiTheme="minorBidi" w:hAnsiTheme="minorBidi"/>
          <w:rtl/>
        </w:rPr>
        <w:footnoteReference w:id="3394"/>
      </w:r>
      <w:r w:rsidRPr="005275DF">
        <w:rPr>
          <w:rFonts w:asciiTheme="minorBidi" w:hAnsiTheme="minorBidi"/>
          <w:rtl/>
        </w:rPr>
        <w:t>, אבל בכלי שאינו ניטל אסור.</w:t>
      </w:r>
    </w:p>
    <w:p w14:paraId="187D1FC8"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33901A4" w14:textId="77777777" w:rsidR="006A4BF8" w:rsidRPr="005275DF" w:rsidRDefault="006A4BF8" w:rsidP="00434A6A">
      <w:pPr>
        <w:rPr>
          <w:rFonts w:asciiTheme="minorBidi" w:hAnsiTheme="minorBidi"/>
          <w:rtl/>
        </w:rPr>
      </w:pPr>
      <w:r w:rsidRPr="005275DF">
        <w:rPr>
          <w:rFonts w:asciiTheme="minorBidi" w:hAnsiTheme="minorBidi"/>
          <w:rtl/>
        </w:rPr>
        <w:t>נותנין כלי על גבי העין להקר</w:t>
      </w:r>
      <w:r w:rsidRPr="005275DF">
        <w:rPr>
          <w:rStyle w:val="a9"/>
          <w:rFonts w:asciiTheme="minorBidi" w:hAnsiTheme="minorBidi"/>
          <w:rtl/>
        </w:rPr>
        <w:footnoteReference w:id="3395"/>
      </w:r>
      <w:r w:rsidRPr="005275DF">
        <w:rPr>
          <w:rFonts w:asciiTheme="minorBidi" w:hAnsiTheme="minorBidi"/>
          <w:rtl/>
        </w:rPr>
        <w:t xml:space="preserve"> והוא שיהא כלי הניטל בשבת. </w:t>
      </w:r>
    </w:p>
    <w:p w14:paraId="0D00BD15" w14:textId="77777777" w:rsidR="006A4BF8" w:rsidRPr="005275DF" w:rsidRDefault="006A4BF8" w:rsidP="00434A6A">
      <w:pPr>
        <w:rPr>
          <w:rFonts w:asciiTheme="minorBidi" w:hAnsiTheme="minorBidi"/>
          <w:rtl/>
        </w:rPr>
      </w:pPr>
    </w:p>
    <w:p w14:paraId="7062938F"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מז: החזרת עצם שיצאה ממקומה.</w:t>
      </w:r>
    </w:p>
    <w:p w14:paraId="10C3D95A"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קמז ע"א: </w:t>
      </w:r>
      <w:r w:rsidRPr="005275DF">
        <w:rPr>
          <w:rFonts w:asciiTheme="minorBidi" w:hAnsiTheme="minorBidi"/>
          <w:u w:val="double"/>
          <w:rtl/>
        </w:rPr>
        <w:t>משנה</w:t>
      </w:r>
      <w:r w:rsidRPr="005275DF">
        <w:rPr>
          <w:rFonts w:asciiTheme="minorBidi" w:hAnsiTheme="minorBidi"/>
          <w:rtl/>
        </w:rPr>
        <w:t>: הרוחץ... ואין מחזירין את השבר</w:t>
      </w:r>
      <w:r w:rsidRPr="005275DF">
        <w:rPr>
          <w:rStyle w:val="a9"/>
          <w:rFonts w:asciiTheme="minorBidi" w:hAnsiTheme="minorBidi"/>
          <w:rtl/>
        </w:rPr>
        <w:footnoteReference w:id="3396"/>
      </w:r>
      <w:r w:rsidRPr="005275DF">
        <w:rPr>
          <w:rFonts w:asciiTheme="minorBidi" w:hAnsiTheme="minorBidi"/>
          <w:rtl/>
        </w:rPr>
        <w:t xml:space="preserve">.    </w:t>
      </w:r>
      <w:r w:rsidRPr="005275DF">
        <w:rPr>
          <w:rFonts w:asciiTheme="minorBidi" w:hAnsiTheme="minorBidi"/>
          <w:u w:val="double"/>
          <w:rtl/>
        </w:rPr>
        <w:t>גמ'</w:t>
      </w:r>
      <w:r w:rsidRPr="005275DF">
        <w:rPr>
          <w:rFonts w:asciiTheme="minorBidi" w:hAnsiTheme="minorBidi"/>
          <w:sz w:val="16"/>
          <w:szCs w:val="16"/>
          <w:u w:val="double"/>
          <w:rtl/>
        </w:rPr>
        <w:t xml:space="preserve"> (קמז:)</w:t>
      </w:r>
      <w:r w:rsidRPr="005275DF">
        <w:rPr>
          <w:rFonts w:asciiTheme="minorBidi" w:hAnsiTheme="minorBidi"/>
          <w:u w:val="double"/>
          <w:rtl/>
        </w:rPr>
        <w:t>:</w:t>
      </w:r>
      <w:r w:rsidRPr="005275DF">
        <w:rPr>
          <w:rFonts w:asciiTheme="minorBidi" w:hAnsiTheme="minorBidi"/>
          <w:rtl/>
        </w:rPr>
        <w:t xml:space="preserve"> </w:t>
      </w:r>
      <w:r w:rsidRPr="005275DF">
        <w:rPr>
          <w:rFonts w:asciiTheme="minorBidi" w:hAnsiTheme="minorBidi"/>
          <w:u w:val="single"/>
          <w:rtl/>
        </w:rPr>
        <w:t>אמר רבי חנא בגדתאה אמר שמואל</w:t>
      </w:r>
      <w:r w:rsidRPr="005275DF">
        <w:rPr>
          <w:rFonts w:asciiTheme="minorBidi" w:hAnsiTheme="minorBidi"/>
          <w:rtl/>
        </w:rPr>
        <w:t>: הלכה מחזירין את השבר</w:t>
      </w:r>
      <w:r w:rsidRPr="005275DF">
        <w:rPr>
          <w:rStyle w:val="a9"/>
          <w:rFonts w:asciiTheme="minorBidi" w:hAnsiTheme="minorBidi"/>
          <w:rtl/>
        </w:rPr>
        <w:footnoteReference w:id="3397"/>
      </w:r>
      <w:r w:rsidRPr="005275DF">
        <w:rPr>
          <w:rFonts w:asciiTheme="minorBidi" w:hAnsiTheme="minorBidi"/>
          <w:rtl/>
        </w:rPr>
        <w:t xml:space="preserve">. </w:t>
      </w:r>
      <w:r w:rsidRPr="005275DF">
        <w:rPr>
          <w:rFonts w:asciiTheme="minorBidi" w:hAnsiTheme="minorBidi"/>
          <w:sz w:val="16"/>
          <w:szCs w:val="16"/>
          <w:rtl/>
        </w:rPr>
        <w:t>(ופסקו רי"ף רמב"ם ורא"ש כשמואל)</w:t>
      </w:r>
    </w:p>
    <w:p w14:paraId="447603AC"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E77BD3D" w14:textId="77777777" w:rsidR="006A4BF8" w:rsidRPr="005275DF" w:rsidRDefault="006A4BF8" w:rsidP="00434A6A">
      <w:pPr>
        <w:rPr>
          <w:rFonts w:asciiTheme="minorBidi" w:hAnsiTheme="minorBidi"/>
          <w:rtl/>
        </w:rPr>
      </w:pPr>
      <w:r w:rsidRPr="005275DF">
        <w:rPr>
          <w:rFonts w:asciiTheme="minorBidi" w:hAnsiTheme="minorBidi"/>
          <w:rtl/>
        </w:rPr>
        <w:t>עצם שיצא ממקומו מחזירין אותו</w:t>
      </w:r>
      <w:r w:rsidRPr="005275DF">
        <w:rPr>
          <w:rStyle w:val="a9"/>
          <w:rFonts w:asciiTheme="minorBidi" w:hAnsiTheme="minorBidi"/>
          <w:rtl/>
        </w:rPr>
        <w:footnoteReference w:id="3398"/>
      </w:r>
      <w:r w:rsidRPr="005275DF">
        <w:rPr>
          <w:rFonts w:asciiTheme="minorBidi" w:hAnsiTheme="minorBidi"/>
          <w:rtl/>
        </w:rPr>
        <w:t xml:space="preserve">. </w:t>
      </w:r>
    </w:p>
    <w:p w14:paraId="52A3D29B" w14:textId="77777777" w:rsidR="006A4BF8" w:rsidRPr="005275DF" w:rsidRDefault="006A4BF8" w:rsidP="00434A6A">
      <w:pPr>
        <w:rPr>
          <w:rFonts w:asciiTheme="minorBidi" w:hAnsiTheme="minorBidi"/>
          <w:rtl/>
        </w:rPr>
      </w:pPr>
    </w:p>
    <w:p w14:paraId="71D3717A"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מח: הוצאת דם ממכה והנחת בגד עליה.</w:t>
      </w:r>
    </w:p>
    <w:p w14:paraId="57B5481C" w14:textId="77777777" w:rsidR="006A4BF8" w:rsidRPr="005275DF" w:rsidRDefault="006A4BF8" w:rsidP="00434A6A">
      <w:pPr>
        <w:rPr>
          <w:rFonts w:asciiTheme="minorBidi" w:hAnsiTheme="minorBidi"/>
          <w:sz w:val="16"/>
          <w:szCs w:val="16"/>
          <w:rtl/>
        </w:rPr>
      </w:pPr>
      <w:r w:rsidRPr="005275DF">
        <w:rPr>
          <w:rFonts w:asciiTheme="minorBidi" w:hAnsiTheme="minorBidi"/>
          <w:u w:val="single"/>
          <w:rtl/>
        </w:rPr>
        <w:t xml:space="preserve">האם מותר לצבוע בדרך לכלוך </w:t>
      </w:r>
      <w:r w:rsidRPr="005275DF">
        <w:rPr>
          <w:rFonts w:asciiTheme="minorBidi" w:hAnsiTheme="minorBidi"/>
          <w:sz w:val="16"/>
          <w:szCs w:val="16"/>
          <w:u w:val="single"/>
          <w:rtl/>
        </w:rPr>
        <w:t>(כגון שנגב ידיו המלוכלכות במי תותים בבגד)</w:t>
      </w:r>
      <w:r w:rsidRPr="005275DF">
        <w:rPr>
          <w:rFonts w:asciiTheme="minorBidi" w:hAnsiTheme="minorBidi"/>
          <w:u w:val="single"/>
          <w:rtl/>
        </w:rPr>
        <w:t>:</w:t>
      </w:r>
      <w:r w:rsidRPr="005275DF">
        <w:rPr>
          <w:rFonts w:asciiTheme="minorBidi" w:hAnsiTheme="minorBidi"/>
          <w:rtl/>
        </w:rPr>
        <w:t xml:space="preserve">    </w:t>
      </w:r>
      <w:r w:rsidRPr="005275DF">
        <w:rPr>
          <w:rFonts w:asciiTheme="minorBidi" w:hAnsiTheme="minorBidi"/>
          <w:sz w:val="16"/>
          <w:szCs w:val="16"/>
          <w:rtl/>
        </w:rPr>
        <w:t>(הועתק מסי' שכ סע' כ)</w:t>
      </w:r>
    </w:p>
    <w:p w14:paraId="609C3E80" w14:textId="77777777" w:rsidR="006A4BF8" w:rsidRPr="005275DF" w:rsidRDefault="006A4BF8" w:rsidP="00FF2D21">
      <w:pPr>
        <w:pStyle w:val="aa"/>
        <w:numPr>
          <w:ilvl w:val="0"/>
          <w:numId w:val="36"/>
        </w:numPr>
        <w:rPr>
          <w:rFonts w:asciiTheme="minorBidi" w:hAnsiTheme="minorBidi"/>
        </w:rPr>
      </w:pPr>
      <w:r w:rsidRPr="005275DF">
        <w:rPr>
          <w:rFonts w:asciiTheme="minorBidi" w:hAnsiTheme="minorBidi"/>
          <w:rtl/>
        </w:rPr>
        <w:t xml:space="preserve">רא"ם- ראוי לכל בר ישראל שאוכל תותים או שאר פירות הצובעים שיזהר שלא יגע בידיו צבועות בבגדיו או במפה דהוה ליה תולדת צובע וכן אם יצא דם מן המכה אסור לתת עליה בגד. </w:t>
      </w:r>
      <w:r w:rsidRPr="005275DF">
        <w:rPr>
          <w:rFonts w:asciiTheme="minorBidi" w:hAnsiTheme="minorBidi"/>
          <w:color w:val="E36C0A" w:themeColor="accent6" w:themeShade="BF"/>
          <w:rtl/>
        </w:rPr>
        <w:t xml:space="preserve">(וכ"פ בשו"ע </w:t>
      </w:r>
      <w:r w:rsidRPr="005275DF">
        <w:rPr>
          <w:rFonts w:asciiTheme="minorBidi" w:hAnsiTheme="minorBidi"/>
          <w:sz w:val="16"/>
          <w:szCs w:val="16"/>
          <w:rtl/>
        </w:rPr>
        <w:t>[כאן ובסי' שכ]</w:t>
      </w:r>
      <w:r w:rsidRPr="005275DF">
        <w:rPr>
          <w:rFonts w:asciiTheme="minorBidi" w:hAnsiTheme="minorBidi"/>
          <w:color w:val="E36C0A" w:themeColor="accent6" w:themeShade="BF"/>
          <w:rtl/>
        </w:rPr>
        <w:t>)</w:t>
      </w:r>
      <w:r w:rsidRPr="005275DF">
        <w:rPr>
          <w:rFonts w:asciiTheme="minorBidi" w:hAnsiTheme="minorBidi"/>
          <w:rtl/>
        </w:rPr>
        <w:t xml:space="preserve"> (וכ"פ המג"א</w:t>
      </w:r>
      <w:r w:rsidRPr="005275DF">
        <w:rPr>
          <w:rStyle w:val="a9"/>
          <w:rFonts w:asciiTheme="minorBidi" w:hAnsiTheme="minorBidi"/>
          <w:rtl/>
        </w:rPr>
        <w:footnoteReference w:id="3399"/>
      </w:r>
      <w:r w:rsidRPr="005275DF">
        <w:rPr>
          <w:rFonts w:asciiTheme="minorBidi" w:hAnsiTheme="minorBidi"/>
          <w:rtl/>
        </w:rPr>
        <w:t xml:space="preserve">) </w:t>
      </w:r>
    </w:p>
    <w:p w14:paraId="651696A7" w14:textId="77777777" w:rsidR="006A4BF8" w:rsidRPr="005275DF" w:rsidRDefault="006A4BF8" w:rsidP="00FF2D21">
      <w:pPr>
        <w:pStyle w:val="aa"/>
        <w:numPr>
          <w:ilvl w:val="0"/>
          <w:numId w:val="36"/>
        </w:numPr>
        <w:rPr>
          <w:rFonts w:asciiTheme="minorBidi" w:hAnsiTheme="minorBidi"/>
        </w:rPr>
      </w:pPr>
      <w:r w:rsidRPr="005275DF">
        <w:rPr>
          <w:rFonts w:asciiTheme="minorBidi" w:hAnsiTheme="minorBidi"/>
          <w:rtl/>
        </w:rPr>
        <w:t xml:space="preserve">רדב"ז </w:t>
      </w:r>
      <w:r w:rsidRPr="005275DF">
        <w:rPr>
          <w:rFonts w:asciiTheme="minorBidi" w:hAnsiTheme="minorBidi"/>
          <w:sz w:val="16"/>
          <w:szCs w:val="16"/>
          <w:rtl/>
        </w:rPr>
        <w:t>(סי' קל"א)</w:t>
      </w:r>
      <w:r w:rsidRPr="005275DF">
        <w:rPr>
          <w:rFonts w:asciiTheme="minorBidi" w:hAnsiTheme="minorBidi"/>
          <w:rtl/>
        </w:rPr>
        <w:t xml:space="preserve"> וחכ"צ </w:t>
      </w:r>
      <w:r w:rsidRPr="005275DF">
        <w:rPr>
          <w:rFonts w:asciiTheme="minorBidi" w:hAnsiTheme="minorBidi"/>
          <w:sz w:val="16"/>
          <w:szCs w:val="16"/>
          <w:rtl/>
        </w:rPr>
        <w:t>(בתשו' כרך ב עמ' טו)</w:t>
      </w:r>
      <w:r w:rsidRPr="005275DF">
        <w:rPr>
          <w:rFonts w:asciiTheme="minorBidi" w:hAnsiTheme="minorBidi"/>
          <w:rtl/>
        </w:rPr>
        <w:t>- מותר כיון שהוא דרך לכלוך, וחומרא יתירה היא.</w:t>
      </w:r>
    </w:p>
    <w:p w14:paraId="2E9E82EC" w14:textId="77777777" w:rsidR="006A4BF8" w:rsidRPr="005275DF" w:rsidRDefault="006A4BF8" w:rsidP="00FF2D21">
      <w:pPr>
        <w:pStyle w:val="aa"/>
        <w:numPr>
          <w:ilvl w:val="0"/>
          <w:numId w:val="36"/>
        </w:numPr>
        <w:rPr>
          <w:rFonts w:asciiTheme="minorBidi" w:hAnsiTheme="minorBidi"/>
          <w:rtl/>
        </w:rPr>
      </w:pPr>
      <w:r w:rsidRPr="005275DF">
        <w:rPr>
          <w:rFonts w:asciiTheme="minorBidi" w:hAnsiTheme="minorBidi"/>
          <w:rtl/>
        </w:rPr>
        <w:t>א"ר- נראה להקל לקנח בבגד אדום, ואפילו בלבן כשאי אפשר בענין אחר.</w:t>
      </w:r>
    </w:p>
    <w:p w14:paraId="1211740D"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429DC1CE" w14:textId="77777777" w:rsidR="006A4BF8" w:rsidRPr="005275DF" w:rsidRDefault="006A4BF8" w:rsidP="00434A6A">
      <w:pPr>
        <w:rPr>
          <w:rFonts w:asciiTheme="minorBidi" w:hAnsiTheme="minorBidi"/>
          <w:rtl/>
        </w:rPr>
      </w:pPr>
      <w:r w:rsidRPr="005275DF">
        <w:rPr>
          <w:rFonts w:asciiTheme="minorBidi" w:hAnsiTheme="minorBidi"/>
          <w:rtl/>
        </w:rPr>
        <w:t>אסור להניח בגד על מכה שיוצא ממנו דם מפני שהדם יצבע אותו</w:t>
      </w:r>
      <w:r w:rsidRPr="005275DF">
        <w:rPr>
          <w:rStyle w:val="a9"/>
          <w:rFonts w:asciiTheme="minorBidi" w:hAnsiTheme="minorBidi"/>
          <w:rtl/>
        </w:rPr>
        <w:footnoteReference w:id="3400"/>
      </w:r>
      <w:r w:rsidRPr="005275DF">
        <w:rPr>
          <w:rFonts w:asciiTheme="minorBidi" w:hAnsiTheme="minorBidi"/>
          <w:rtl/>
        </w:rPr>
        <w:t>. ואסור להוציא דם מהמכה</w:t>
      </w:r>
      <w:r w:rsidRPr="005275DF">
        <w:rPr>
          <w:rStyle w:val="a9"/>
          <w:rFonts w:asciiTheme="minorBidi" w:hAnsiTheme="minorBidi"/>
          <w:rtl/>
        </w:rPr>
        <w:footnoteReference w:id="3401"/>
      </w:r>
      <w:r w:rsidRPr="005275DF">
        <w:rPr>
          <w:rFonts w:asciiTheme="minorBidi" w:hAnsiTheme="minorBidi"/>
          <w:rtl/>
        </w:rPr>
        <w:t>. לכך יש לרחוץ המכה במים או ביין תחלה להעביר דם שבמכה</w:t>
      </w:r>
      <w:r w:rsidRPr="005275DF">
        <w:rPr>
          <w:rStyle w:val="a9"/>
          <w:rFonts w:asciiTheme="minorBidi" w:hAnsiTheme="minorBidi"/>
          <w:rtl/>
        </w:rPr>
        <w:footnoteReference w:id="3402"/>
      </w:r>
      <w:r w:rsidRPr="005275DF">
        <w:rPr>
          <w:rFonts w:asciiTheme="minorBidi" w:hAnsiTheme="minorBidi"/>
          <w:rtl/>
        </w:rPr>
        <w:t>. וי"א</w:t>
      </w:r>
      <w:r w:rsidRPr="005275DF">
        <w:rPr>
          <w:rStyle w:val="a9"/>
          <w:rFonts w:asciiTheme="minorBidi" w:hAnsiTheme="minorBidi"/>
          <w:rtl/>
        </w:rPr>
        <w:footnoteReference w:id="3403"/>
      </w:r>
      <w:r w:rsidRPr="005275DF">
        <w:rPr>
          <w:rFonts w:asciiTheme="minorBidi" w:hAnsiTheme="minorBidi"/>
          <w:rtl/>
        </w:rPr>
        <w:t xml:space="preserve"> שכורך קורי עכביש על המכה</w:t>
      </w:r>
      <w:r w:rsidRPr="005275DF">
        <w:rPr>
          <w:rStyle w:val="a9"/>
          <w:rFonts w:asciiTheme="minorBidi" w:hAnsiTheme="minorBidi"/>
          <w:rtl/>
        </w:rPr>
        <w:footnoteReference w:id="3404"/>
      </w:r>
      <w:r w:rsidRPr="005275DF">
        <w:rPr>
          <w:rFonts w:asciiTheme="minorBidi" w:hAnsiTheme="minorBidi"/>
          <w:rtl/>
        </w:rPr>
        <w:t xml:space="preserve"> ומכסה בהם כל הדם וכל החבורה ואחר כך כורך עליו סמרטוט. </w:t>
      </w:r>
    </w:p>
    <w:p w14:paraId="3920E6AF" w14:textId="77777777" w:rsidR="006A4BF8" w:rsidRPr="005275DF" w:rsidRDefault="006A4BF8" w:rsidP="00434A6A">
      <w:pPr>
        <w:rPr>
          <w:rFonts w:asciiTheme="minorBidi" w:hAnsiTheme="minorBidi"/>
          <w:u w:val="single"/>
          <w:rtl/>
        </w:rPr>
      </w:pPr>
      <w:r w:rsidRPr="005275DF">
        <w:rPr>
          <w:rFonts w:asciiTheme="minorBidi" w:hAnsiTheme="minorBidi"/>
          <w:u w:val="single"/>
          <w:rtl/>
        </w:rPr>
        <w:t>על מה עובר אדם שמניח בגד כדי שימשוך דם מן המכה:</w:t>
      </w:r>
    </w:p>
    <w:p w14:paraId="3E3EA22A" w14:textId="77777777" w:rsidR="006A4BF8" w:rsidRPr="005275DF" w:rsidRDefault="006A4BF8" w:rsidP="00FF2D21">
      <w:pPr>
        <w:pStyle w:val="aa"/>
        <w:numPr>
          <w:ilvl w:val="0"/>
          <w:numId w:val="70"/>
        </w:numPr>
        <w:rPr>
          <w:rFonts w:asciiTheme="minorBidi" w:hAnsiTheme="minorBidi"/>
        </w:rPr>
      </w:pPr>
      <w:r w:rsidRPr="005275DF">
        <w:rPr>
          <w:rFonts w:asciiTheme="minorBidi" w:hAnsiTheme="minorBidi"/>
          <w:rtl/>
        </w:rPr>
        <w:t xml:space="preserve">רש"י </w:t>
      </w:r>
      <w:r w:rsidRPr="005275DF">
        <w:rPr>
          <w:rFonts w:asciiTheme="minorBidi" w:hAnsiTheme="minorBidi"/>
          <w:sz w:val="16"/>
          <w:szCs w:val="16"/>
          <w:rtl/>
        </w:rPr>
        <w:t>(להב' המג"א)</w:t>
      </w:r>
      <w:r w:rsidRPr="005275DF">
        <w:rPr>
          <w:rFonts w:asciiTheme="minorBidi" w:hAnsiTheme="minorBidi"/>
          <w:rtl/>
        </w:rPr>
        <w:t>- אם מהדקה בגמי הוי אב מלאכה</w:t>
      </w:r>
      <w:r w:rsidRPr="005275DF">
        <w:rPr>
          <w:rFonts w:asciiTheme="minorBidi" w:hAnsiTheme="minorBidi"/>
          <w:sz w:val="16"/>
          <w:szCs w:val="16"/>
          <w:rtl/>
        </w:rPr>
        <w:t xml:space="preserve"> (דהוא עביד מעשה)</w:t>
      </w:r>
      <w:r w:rsidRPr="005275DF">
        <w:rPr>
          <w:rFonts w:asciiTheme="minorBidi" w:hAnsiTheme="minorBidi"/>
          <w:rtl/>
        </w:rPr>
        <w:t>, אבל כשמניח עליה דבר המושך דם לא הוי אב מלאכה</w:t>
      </w:r>
      <w:r w:rsidRPr="005275DF">
        <w:rPr>
          <w:rFonts w:asciiTheme="minorBidi" w:hAnsiTheme="minorBidi"/>
          <w:sz w:val="16"/>
          <w:szCs w:val="16"/>
          <w:rtl/>
        </w:rPr>
        <w:t xml:space="preserve"> (דאיהו לא עביד מידי)</w:t>
      </w:r>
      <w:r w:rsidRPr="005275DF">
        <w:rPr>
          <w:rFonts w:asciiTheme="minorBidi" w:hAnsiTheme="minorBidi"/>
          <w:rtl/>
        </w:rPr>
        <w:t>.</w:t>
      </w:r>
    </w:p>
    <w:p w14:paraId="03DFEFE4" w14:textId="77777777" w:rsidR="006A4BF8" w:rsidRPr="005275DF" w:rsidRDefault="006A4BF8" w:rsidP="00FF2D21">
      <w:pPr>
        <w:pStyle w:val="aa"/>
        <w:numPr>
          <w:ilvl w:val="0"/>
          <w:numId w:val="70"/>
        </w:numPr>
        <w:rPr>
          <w:rFonts w:asciiTheme="minorBidi" w:hAnsiTheme="minorBidi"/>
          <w:rtl/>
        </w:rPr>
      </w:pPr>
      <w:r w:rsidRPr="005275DF">
        <w:rPr>
          <w:rFonts w:asciiTheme="minorBidi" w:hAnsiTheme="minorBidi"/>
          <w:rtl/>
        </w:rPr>
        <w:t>הגה"מ</w:t>
      </w:r>
      <w:r w:rsidRPr="005275DF">
        <w:rPr>
          <w:rFonts w:asciiTheme="minorBidi" w:hAnsiTheme="minorBidi"/>
          <w:sz w:val="16"/>
          <w:szCs w:val="16"/>
          <w:rtl/>
        </w:rPr>
        <w:t xml:space="preserve"> (פכ"א)</w:t>
      </w:r>
      <w:r w:rsidRPr="005275DF">
        <w:rPr>
          <w:rFonts w:asciiTheme="minorBidi" w:hAnsiTheme="minorBidi"/>
          <w:rtl/>
        </w:rPr>
        <w:t xml:space="preserve">- המניח דבר המושך דם וליחה הוי מפרק. </w:t>
      </w:r>
    </w:p>
    <w:p w14:paraId="4102AE02" w14:textId="77777777" w:rsidR="006A4BF8" w:rsidRPr="005275DF" w:rsidRDefault="006A4BF8" w:rsidP="00434A6A">
      <w:pPr>
        <w:rPr>
          <w:rFonts w:asciiTheme="minorBidi" w:hAnsiTheme="minorBidi"/>
          <w:u w:val="single"/>
          <w:rtl/>
        </w:rPr>
      </w:pPr>
      <w:r w:rsidRPr="005275DF">
        <w:rPr>
          <w:rFonts w:asciiTheme="minorBidi" w:hAnsiTheme="minorBidi"/>
          <w:u w:val="single"/>
          <w:rtl/>
        </w:rPr>
        <w:t xml:space="preserve">נתינת עלוקה ע"ג בשרו של חולה ע"מ שתוציא דם: </w:t>
      </w:r>
    </w:p>
    <w:p w14:paraId="1EDA54B3" w14:textId="77777777" w:rsidR="006A4BF8" w:rsidRPr="005275DF" w:rsidRDefault="006A4BF8" w:rsidP="00FF2D21">
      <w:pPr>
        <w:pStyle w:val="aa"/>
        <w:numPr>
          <w:ilvl w:val="0"/>
          <w:numId w:val="72"/>
        </w:numPr>
        <w:rPr>
          <w:rFonts w:asciiTheme="minorBidi" w:hAnsiTheme="minorBidi"/>
          <w:rtl/>
        </w:rPr>
      </w:pPr>
      <w:r w:rsidRPr="005275DF">
        <w:rPr>
          <w:rFonts w:asciiTheme="minorBidi" w:hAnsiTheme="minorBidi"/>
          <w:rtl/>
        </w:rPr>
        <w:t xml:space="preserve">מג"א </w:t>
      </w:r>
      <w:r w:rsidRPr="005275DF">
        <w:rPr>
          <w:rFonts w:asciiTheme="minorBidi" w:hAnsiTheme="minorBidi"/>
          <w:sz w:val="16"/>
          <w:szCs w:val="16"/>
          <w:rtl/>
        </w:rPr>
        <w:t>(סקנ"ג)</w:t>
      </w:r>
      <w:r w:rsidRPr="005275DF">
        <w:rPr>
          <w:rFonts w:asciiTheme="minorBidi" w:hAnsiTheme="minorBidi"/>
          <w:rtl/>
        </w:rPr>
        <w:t xml:space="preserve">- לפי דברי רש"י דאינו חייב אלא כשהמדק הבגד נראה דכ"ש דמותר כשמעמיד עלוקה שקורין ניגלין אצל חולה דשרי שבות, אבל בזבחים (יט.) משמע דכשנתכוין להוציא דם אפי' אין מהדקו הוי מלאכה, ובסנהדרין (עח.) שהשיך בו נחש ר"מ מחייב משום דהוי כתוקע סכין בבטנו ולא גרמא הוא שהרי כלי משחיתו בידו ע"כ ואפי' רבנן דפטרי היינו דס"ל דארס מעצמו מקיא אבל גבי עלוקא הוי כמו שעושה בידים. </w:t>
      </w:r>
    </w:p>
    <w:p w14:paraId="38F025ED" w14:textId="77777777" w:rsidR="006A4BF8" w:rsidRPr="005275DF" w:rsidRDefault="006A4BF8" w:rsidP="00434A6A">
      <w:pPr>
        <w:rPr>
          <w:rFonts w:asciiTheme="minorBidi" w:hAnsiTheme="minorBidi"/>
          <w:u w:val="single"/>
          <w:rtl/>
        </w:rPr>
      </w:pPr>
      <w:r w:rsidRPr="005275DF">
        <w:rPr>
          <w:rFonts w:asciiTheme="minorBidi" w:hAnsiTheme="minorBidi"/>
          <w:u w:val="single"/>
          <w:rtl/>
        </w:rPr>
        <w:t xml:space="preserve">מציצת דם בפיו: </w:t>
      </w:r>
    </w:p>
    <w:p w14:paraId="6FEBD933" w14:textId="77777777" w:rsidR="006A4BF8" w:rsidRPr="005275DF" w:rsidRDefault="006A4BF8" w:rsidP="00FF2D21">
      <w:pPr>
        <w:pStyle w:val="aa"/>
        <w:numPr>
          <w:ilvl w:val="0"/>
          <w:numId w:val="71"/>
        </w:numPr>
        <w:rPr>
          <w:rFonts w:asciiTheme="minorBidi" w:hAnsiTheme="minorBidi"/>
          <w:rtl/>
        </w:rPr>
      </w:pPr>
      <w:r w:rsidRPr="005275DF">
        <w:rPr>
          <w:rFonts w:asciiTheme="minorBidi" w:hAnsiTheme="minorBidi"/>
          <w:rtl/>
        </w:rPr>
        <w:t xml:space="preserve">מג"א </w:t>
      </w:r>
      <w:r w:rsidRPr="005275DF">
        <w:rPr>
          <w:rFonts w:asciiTheme="minorBidi" w:hAnsiTheme="minorBidi"/>
          <w:sz w:val="16"/>
          <w:szCs w:val="16"/>
          <w:rtl/>
        </w:rPr>
        <w:t>(סקנ"ג)</w:t>
      </w:r>
      <w:r w:rsidRPr="005275DF">
        <w:rPr>
          <w:rFonts w:asciiTheme="minorBidi" w:hAnsiTheme="minorBidi"/>
          <w:rtl/>
        </w:rPr>
        <w:t>- המוצץ דם בפיו אסור דהוי חבורה (רש"י</w:t>
      </w:r>
      <w:r w:rsidRPr="005275DF">
        <w:rPr>
          <w:rFonts w:asciiTheme="minorBidi" w:hAnsiTheme="minorBidi"/>
          <w:sz w:val="16"/>
          <w:szCs w:val="16"/>
          <w:rtl/>
        </w:rPr>
        <w:t xml:space="preserve"> קלג: ד"ה מהו</w:t>
      </w:r>
      <w:r w:rsidRPr="005275DF">
        <w:rPr>
          <w:rFonts w:asciiTheme="minorBidi" w:hAnsiTheme="minorBidi"/>
          <w:rtl/>
        </w:rPr>
        <w:t>), וא"כ אסור למצוץ דם שבין השינים ואפשר דהוי אב מלאכה.</w:t>
      </w:r>
    </w:p>
    <w:p w14:paraId="45F86D24" w14:textId="77777777" w:rsidR="006A4BF8" w:rsidRPr="005275DF" w:rsidRDefault="006A4BF8" w:rsidP="00434A6A">
      <w:pPr>
        <w:rPr>
          <w:rFonts w:asciiTheme="minorBidi" w:hAnsiTheme="minorBidi"/>
          <w:rtl/>
        </w:rPr>
      </w:pPr>
    </w:p>
    <w:p w14:paraId="667FE268"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מט: נתינת פתילה בפי הטבעת.</w:t>
      </w:r>
    </w:p>
    <w:p w14:paraId="531D91F0"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פא ע"א: </w:t>
      </w:r>
      <w:r w:rsidRPr="005275DF">
        <w:rPr>
          <w:rFonts w:asciiTheme="minorBidi" w:hAnsiTheme="minorBidi"/>
          <w:u w:val="single"/>
          <w:rtl/>
        </w:rPr>
        <w:t>אמר רבא:</w:t>
      </w:r>
      <w:r w:rsidRPr="005275DF">
        <w:rPr>
          <w:rFonts w:asciiTheme="minorBidi" w:hAnsiTheme="minorBidi"/>
          <w:rtl/>
        </w:rPr>
        <w:t xml:space="preserve"> אסור למשמש</w:t>
      </w:r>
      <w:r w:rsidRPr="005275DF">
        <w:rPr>
          <w:rStyle w:val="a9"/>
          <w:rFonts w:asciiTheme="minorBidi" w:hAnsiTheme="minorBidi"/>
          <w:rtl/>
        </w:rPr>
        <w:footnoteReference w:id="3405"/>
      </w:r>
      <w:r w:rsidRPr="005275DF">
        <w:rPr>
          <w:rFonts w:asciiTheme="minorBidi" w:hAnsiTheme="minorBidi"/>
          <w:rtl/>
        </w:rPr>
        <w:t xml:space="preserve"> בצרור בשבת כדרך שממשמש בחול. </w:t>
      </w:r>
      <w:r w:rsidRPr="005275DF">
        <w:rPr>
          <w:rFonts w:asciiTheme="minorBidi" w:hAnsiTheme="minorBidi"/>
          <w:u w:val="single"/>
          <w:rtl/>
        </w:rPr>
        <w:t>מתקיף לה מר זוטרא:</w:t>
      </w:r>
      <w:r w:rsidRPr="005275DF">
        <w:rPr>
          <w:rFonts w:asciiTheme="minorBidi" w:hAnsiTheme="minorBidi"/>
          <w:rtl/>
        </w:rPr>
        <w:t xml:space="preserve"> ליסתכן</w:t>
      </w:r>
      <w:r w:rsidRPr="005275DF">
        <w:rPr>
          <w:rStyle w:val="a9"/>
          <w:rFonts w:asciiTheme="minorBidi" w:hAnsiTheme="minorBidi"/>
          <w:rtl/>
        </w:rPr>
        <w:footnoteReference w:id="3406"/>
      </w:r>
      <w:r w:rsidRPr="005275DF">
        <w:rPr>
          <w:rFonts w:asciiTheme="minorBidi" w:hAnsiTheme="minorBidi"/>
          <w:rtl/>
        </w:rPr>
        <w:t>? כלאחר יד.</w:t>
      </w:r>
    </w:p>
    <w:p w14:paraId="30747C14"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FC8E793" w14:textId="77777777" w:rsidR="006A4BF8" w:rsidRPr="005275DF" w:rsidRDefault="006A4BF8" w:rsidP="00434A6A">
      <w:pPr>
        <w:rPr>
          <w:rFonts w:asciiTheme="minorBidi" w:hAnsiTheme="minorBidi"/>
          <w:rtl/>
        </w:rPr>
      </w:pPr>
      <w:r w:rsidRPr="005275DF">
        <w:rPr>
          <w:rFonts w:asciiTheme="minorBidi" w:hAnsiTheme="minorBidi"/>
          <w:rtl/>
        </w:rPr>
        <w:t>אסור לשום פתילה בפי הטבעת כדרך שנוהגים לעשות למי שהוא עצור, אלא אם כן ישים אותה בשינוי שיאחזנה בשתי אצבעותיו ויניחנה בנחת.</w:t>
      </w:r>
    </w:p>
    <w:p w14:paraId="5968EA36" w14:textId="77777777" w:rsidR="006A4BF8" w:rsidRPr="005275DF" w:rsidRDefault="006A4BF8" w:rsidP="00434A6A">
      <w:pPr>
        <w:rPr>
          <w:rFonts w:asciiTheme="minorBidi" w:hAnsiTheme="minorBidi"/>
          <w:rtl/>
        </w:rPr>
      </w:pPr>
    </w:p>
    <w:p w14:paraId="28EE048B" w14:textId="77777777" w:rsidR="006A4BF8" w:rsidRPr="005275DF" w:rsidRDefault="006A4BF8" w:rsidP="00434A6A">
      <w:pPr>
        <w:rPr>
          <w:rFonts w:asciiTheme="minorBidi" w:hAnsiTheme="minorBidi"/>
          <w:rtl/>
        </w:rPr>
      </w:pPr>
    </w:p>
    <w:p w14:paraId="4E3103B0" w14:textId="77777777" w:rsidR="006A4BF8" w:rsidRPr="005275DF" w:rsidRDefault="006A4BF8" w:rsidP="00434A6A">
      <w:pPr>
        <w:rPr>
          <w:rFonts w:asciiTheme="minorBidi" w:hAnsiTheme="minorBidi"/>
          <w:rtl/>
        </w:rPr>
      </w:pPr>
    </w:p>
    <w:p w14:paraId="496763CF" w14:textId="77777777" w:rsidR="006A4BF8" w:rsidRPr="005275DF" w:rsidRDefault="006A4BF8" w:rsidP="00434A6A">
      <w:pPr>
        <w:rPr>
          <w:rFonts w:asciiTheme="minorBidi" w:hAnsiTheme="minorBidi"/>
          <w:rtl/>
        </w:rPr>
      </w:pPr>
    </w:p>
    <w:p w14:paraId="1E6CD31E" w14:textId="77777777" w:rsidR="006A4BF8" w:rsidRPr="005275DF" w:rsidRDefault="006A4BF8" w:rsidP="00434A6A">
      <w:pPr>
        <w:rPr>
          <w:rFonts w:asciiTheme="minorBidi" w:hAnsiTheme="minorBidi"/>
          <w:rtl/>
        </w:rPr>
      </w:pPr>
    </w:p>
    <w:p w14:paraId="4FEBF459" w14:textId="77777777" w:rsidR="006A4BF8" w:rsidRDefault="006A4BF8" w:rsidP="00434A6A">
      <w:pPr>
        <w:pStyle w:val="1"/>
        <w:rPr>
          <w:rFonts w:asciiTheme="minorBidi" w:hAnsiTheme="minorBidi"/>
          <w:rtl/>
        </w:rPr>
        <w:sectPr w:rsidR="006A4BF8" w:rsidSect="00BD29B1">
          <w:headerReference w:type="default" r:id="rId95"/>
          <w:footnotePr>
            <w:numRestart w:val="eachSect"/>
          </w:footnotePr>
          <w:pgSz w:w="11906" w:h="16838"/>
          <w:pgMar w:top="720" w:right="1134" w:bottom="720" w:left="1134" w:header="0" w:footer="0" w:gutter="0"/>
          <w:cols w:space="720"/>
          <w:bidi/>
          <w:rtlGutter/>
          <w:docGrid w:linePitch="360"/>
        </w:sectPr>
      </w:pPr>
    </w:p>
    <w:p w14:paraId="2A09DAFE" w14:textId="77777777" w:rsidR="006A4BF8" w:rsidRPr="005275DF" w:rsidRDefault="006A4BF8" w:rsidP="00434A6A">
      <w:pPr>
        <w:pStyle w:val="1"/>
        <w:rPr>
          <w:rFonts w:asciiTheme="minorBidi" w:hAnsiTheme="minorBidi"/>
          <w:rtl/>
        </w:rPr>
      </w:pPr>
      <w:r w:rsidRPr="005275DF">
        <w:rPr>
          <w:rFonts w:asciiTheme="minorBidi" w:hAnsiTheme="minorBidi"/>
          <w:rtl/>
        </w:rPr>
        <w:t>סימן שכט: על מי מחללין שבת</w:t>
      </w:r>
      <w:r>
        <w:rPr>
          <w:rFonts w:asciiTheme="minorBidi" w:hAnsiTheme="minorBidi" w:hint="cs"/>
          <w:rtl/>
        </w:rPr>
        <w:t>, ובו ט' סעיפים</w:t>
      </w:r>
      <w:r w:rsidRPr="005275DF">
        <w:rPr>
          <w:rFonts w:asciiTheme="minorBidi" w:hAnsiTheme="minorBidi"/>
          <w:rtl/>
        </w:rPr>
        <w:t xml:space="preserve">. </w:t>
      </w:r>
    </w:p>
    <w:p w14:paraId="572301E3"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א: פיקוח נפש דוחה שבת.</w:t>
      </w:r>
    </w:p>
    <w:p w14:paraId="750C4378" w14:textId="77777777" w:rsidR="006A4BF8" w:rsidRPr="005275DF" w:rsidRDefault="006A4BF8" w:rsidP="00434A6A">
      <w:pPr>
        <w:rPr>
          <w:rFonts w:asciiTheme="minorBidi" w:hAnsiTheme="minorBidi"/>
          <w:rtl/>
        </w:rPr>
      </w:pPr>
      <w:r w:rsidRPr="005275DF">
        <w:rPr>
          <w:rFonts w:asciiTheme="minorBidi" w:hAnsiTheme="minorBidi"/>
          <w:b/>
          <w:bCs/>
          <w:rtl/>
        </w:rPr>
        <w:t xml:space="preserve">יומא פד ע"ב: </w:t>
      </w:r>
      <w:r w:rsidRPr="005275DF">
        <w:rPr>
          <w:rFonts w:asciiTheme="minorBidi" w:hAnsiTheme="minorBidi"/>
          <w:rtl/>
        </w:rPr>
        <w:t>תנו רבנן: מפקחין פקוח נפש בשבת והזריז הרי זה משובח, ואין צריך ליטול רשות מבית דין.... מכבין ומפסיקין מפני הדליקה</w:t>
      </w:r>
      <w:r w:rsidRPr="005275DF">
        <w:rPr>
          <w:rStyle w:val="a9"/>
          <w:rFonts w:asciiTheme="minorBidi" w:hAnsiTheme="minorBidi"/>
          <w:rtl/>
        </w:rPr>
        <w:footnoteReference w:id="3407"/>
      </w:r>
      <w:r w:rsidRPr="005275DF">
        <w:rPr>
          <w:rFonts w:asciiTheme="minorBidi" w:hAnsiTheme="minorBidi"/>
          <w:rtl/>
        </w:rPr>
        <w:t xml:space="preserve"> בשבת והזריז הרי זה משובח ואין צריך ליטול רשות מבית דין.... מכבין ומפסיקין למה לי? דאפילו לחצר אחרת</w:t>
      </w:r>
      <w:r w:rsidRPr="005275DF">
        <w:rPr>
          <w:rStyle w:val="a9"/>
          <w:rFonts w:asciiTheme="minorBidi" w:hAnsiTheme="minorBidi"/>
          <w:rtl/>
        </w:rPr>
        <w:footnoteReference w:id="3408"/>
      </w:r>
      <w:r w:rsidRPr="005275DF">
        <w:rPr>
          <w:rFonts w:asciiTheme="minorBidi" w:hAnsiTheme="minorBidi"/>
          <w:rtl/>
        </w:rPr>
        <w:t>.</w:t>
      </w:r>
    </w:p>
    <w:p w14:paraId="728542E9"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D64C945" w14:textId="77777777" w:rsidR="006A4BF8" w:rsidRPr="005275DF" w:rsidRDefault="006A4BF8" w:rsidP="00434A6A">
      <w:pPr>
        <w:rPr>
          <w:rFonts w:asciiTheme="minorBidi" w:hAnsiTheme="minorBidi"/>
          <w:rtl/>
        </w:rPr>
      </w:pPr>
      <w:r w:rsidRPr="005275DF">
        <w:rPr>
          <w:rFonts w:asciiTheme="minorBidi" w:hAnsiTheme="minorBidi"/>
          <w:rtl/>
        </w:rPr>
        <w:t>כל פקוח נפש דוחה שבת והזריז הרי זה משובח, אפילו נפלה דליקה בחצר אחרת וירא שתעבור לחצר זו ויבא לידי סכנה, מכבין כדי שלא תעבור</w:t>
      </w:r>
      <w:r w:rsidRPr="005275DF">
        <w:rPr>
          <w:rStyle w:val="a9"/>
          <w:rFonts w:asciiTheme="minorBidi" w:hAnsiTheme="minorBidi"/>
          <w:rtl/>
        </w:rPr>
        <w:footnoteReference w:id="3409"/>
      </w:r>
      <w:r w:rsidRPr="005275DF">
        <w:rPr>
          <w:rFonts w:asciiTheme="minorBidi" w:hAnsiTheme="minorBidi"/>
          <w:rtl/>
        </w:rPr>
        <w:t xml:space="preserve">. </w:t>
      </w:r>
    </w:p>
    <w:p w14:paraId="1E8A5A2C" w14:textId="77777777" w:rsidR="006A4BF8" w:rsidRPr="005275DF" w:rsidRDefault="006A4BF8" w:rsidP="00434A6A">
      <w:pPr>
        <w:rPr>
          <w:rFonts w:asciiTheme="minorBidi" w:hAnsiTheme="minorBidi"/>
          <w:rtl/>
        </w:rPr>
      </w:pPr>
    </w:p>
    <w:p w14:paraId="3CB2186F"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ב: אין הולכים בפקוח נפש אחר הרוב.</w:t>
      </w:r>
    </w:p>
    <w:p w14:paraId="17603AFC" w14:textId="77777777" w:rsidR="006A4BF8" w:rsidRPr="005275DF" w:rsidRDefault="006A4BF8" w:rsidP="00434A6A">
      <w:pPr>
        <w:rPr>
          <w:rFonts w:asciiTheme="minorBidi" w:hAnsiTheme="minorBidi"/>
          <w:rtl/>
        </w:rPr>
      </w:pPr>
      <w:r w:rsidRPr="005275DF">
        <w:rPr>
          <w:rFonts w:asciiTheme="minorBidi" w:hAnsiTheme="minorBidi"/>
          <w:b/>
          <w:bCs/>
          <w:rtl/>
        </w:rPr>
        <w:t xml:space="preserve">יומא פד ע"ב: </w:t>
      </w:r>
      <w:r w:rsidRPr="005275DF">
        <w:rPr>
          <w:rFonts w:asciiTheme="minorBidi" w:hAnsiTheme="minorBidi"/>
          <w:u w:val="single"/>
          <w:rtl/>
        </w:rPr>
        <w:t>אמר רב יוסף אמר רב יהודה אמר שמואל</w:t>
      </w:r>
      <w:r w:rsidRPr="005275DF">
        <w:rPr>
          <w:rFonts w:asciiTheme="minorBidi" w:hAnsiTheme="minorBidi"/>
          <w:rtl/>
        </w:rPr>
        <w:t>: לא הלכו בפקוח נפש אחר הרוב. היכי דמי? אי נימא דאיכא תשעה ישראל ונכרי אחד בינייהו- רובא ישראל נינהו! אי נמי פלגא ופלגא- ספק נפשות להקל. אלא דאיכא תשעה נכרים וישראל אחד - הא נמי פשיטא, דהוה ליה קבוע וכל קבוע כמחצה על מחצה דמי! לא צריכא דפרוש לחצר אחרת מהו דתימא כל דפריש מרובא פריש, קא משמע לן דלא הלכו בפקוח נפש אחר הרוב. איני? והאמר רבי אסי אמר רבי יוחנן: תשעה נכרים וישראל אחד, באותה חצר מפקחין, בחצר אחרת אין מפקחין! לא קשיא, הא דפרוש כולהו, הא דפרוש מקצתייהו</w:t>
      </w:r>
      <w:r w:rsidRPr="005275DF">
        <w:rPr>
          <w:rStyle w:val="a9"/>
          <w:rFonts w:asciiTheme="minorBidi" w:hAnsiTheme="minorBidi"/>
          <w:rtl/>
        </w:rPr>
        <w:footnoteReference w:id="3410"/>
      </w:r>
      <w:r w:rsidRPr="005275DF">
        <w:rPr>
          <w:rFonts w:asciiTheme="minorBidi" w:hAnsiTheme="minorBidi"/>
          <w:rtl/>
        </w:rPr>
        <w:t>.</w:t>
      </w:r>
    </w:p>
    <w:p w14:paraId="61C39529"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273E27E7" w14:textId="77777777" w:rsidR="006A4BF8" w:rsidRPr="005275DF" w:rsidRDefault="006A4BF8" w:rsidP="00434A6A">
      <w:pPr>
        <w:rPr>
          <w:rFonts w:asciiTheme="minorBidi" w:hAnsiTheme="minorBidi"/>
          <w:rtl/>
        </w:rPr>
      </w:pPr>
      <w:r w:rsidRPr="005275DF">
        <w:rPr>
          <w:rFonts w:asciiTheme="minorBidi" w:hAnsiTheme="minorBidi"/>
          <w:rtl/>
        </w:rPr>
        <w:t>אין הולכים בפקוח נפש אחר הרוב, אפילו היו תשעה גוים וישראל אחד בחצר, ופירש אחד</w:t>
      </w:r>
      <w:r w:rsidRPr="005275DF">
        <w:rPr>
          <w:rStyle w:val="a9"/>
          <w:rFonts w:asciiTheme="minorBidi" w:hAnsiTheme="minorBidi"/>
          <w:rtl/>
        </w:rPr>
        <w:footnoteReference w:id="3411"/>
      </w:r>
      <w:r w:rsidRPr="005275DF">
        <w:rPr>
          <w:rFonts w:asciiTheme="minorBidi" w:hAnsiTheme="minorBidi"/>
          <w:rtl/>
        </w:rPr>
        <w:t xml:space="preserve"> מהם לחצר אחרת ונפלה עליו שם מפולת, מפקחין, כיון שנשאר קביעות הראשון במקומו חשבינן ליה כמחצה על מחצה. אבל אם נעקרו כולם</w:t>
      </w:r>
      <w:r w:rsidRPr="005275DF">
        <w:rPr>
          <w:rStyle w:val="a9"/>
          <w:rFonts w:asciiTheme="minorBidi" w:hAnsiTheme="minorBidi"/>
          <w:rtl/>
        </w:rPr>
        <w:footnoteReference w:id="3412"/>
      </w:r>
      <w:r w:rsidRPr="005275DF">
        <w:rPr>
          <w:rFonts w:asciiTheme="minorBidi" w:hAnsiTheme="minorBidi"/>
          <w:rtl/>
        </w:rPr>
        <w:t xml:space="preserve"> ובשעת עקירתן פירש אחד מהם לחצר אחרת ונפל עליו אין מפקחין עליו, שכיון שנעקר קביעות הראשון ממקומו אמרינן כל דפריש מרובא פריש. </w:t>
      </w:r>
    </w:p>
    <w:p w14:paraId="168D92E0" w14:textId="77777777" w:rsidR="006A4BF8" w:rsidRPr="005275DF" w:rsidRDefault="006A4BF8" w:rsidP="00434A6A">
      <w:pPr>
        <w:rPr>
          <w:rFonts w:asciiTheme="minorBidi" w:hAnsiTheme="minorBidi"/>
          <w:rtl/>
        </w:rPr>
      </w:pPr>
    </w:p>
    <w:p w14:paraId="50485991"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ג: נפלה על אדם מפולת וספיקות אם לחלל.</w:t>
      </w:r>
    </w:p>
    <w:p w14:paraId="02A0E061" w14:textId="77777777" w:rsidR="006A4BF8" w:rsidRPr="005275DF" w:rsidRDefault="006A4BF8" w:rsidP="00434A6A">
      <w:pPr>
        <w:rPr>
          <w:rFonts w:asciiTheme="minorBidi" w:hAnsiTheme="minorBidi"/>
          <w:rtl/>
        </w:rPr>
      </w:pPr>
      <w:r w:rsidRPr="005275DF">
        <w:rPr>
          <w:rFonts w:asciiTheme="minorBidi" w:hAnsiTheme="minorBidi"/>
          <w:b/>
          <w:bCs/>
          <w:rtl/>
        </w:rPr>
        <w:t xml:space="preserve">יומא פג ע"א: </w:t>
      </w:r>
      <w:r w:rsidRPr="005275DF">
        <w:rPr>
          <w:rFonts w:asciiTheme="minorBidi" w:hAnsiTheme="minorBidi"/>
          <w:u w:val="double"/>
          <w:rtl/>
        </w:rPr>
        <w:t>משנה:</w:t>
      </w:r>
      <w:r w:rsidRPr="005275DF">
        <w:rPr>
          <w:rFonts w:asciiTheme="minorBidi" w:hAnsiTheme="minorBidi"/>
          <w:rtl/>
        </w:rPr>
        <w:t xml:space="preserve"> מי שאחזו... מי שנפלה עליו מפולת, ספק הוא שם ספק אינו שם, ספק חי ספק מת, ספק נכרי ספק ישראל - מפקחין עליו את הגל. מצאוהו חי - מפקחין, ואם מת - יניחוהו. </w:t>
      </w:r>
    </w:p>
    <w:p w14:paraId="70CC8E66"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27FE2DA" w14:textId="77777777" w:rsidR="006A4BF8" w:rsidRPr="005275DF" w:rsidRDefault="006A4BF8" w:rsidP="00434A6A">
      <w:pPr>
        <w:rPr>
          <w:rFonts w:asciiTheme="minorBidi" w:hAnsiTheme="minorBidi"/>
          <w:rtl/>
        </w:rPr>
      </w:pPr>
      <w:r w:rsidRPr="005275DF">
        <w:rPr>
          <w:rFonts w:asciiTheme="minorBidi" w:hAnsiTheme="minorBidi"/>
          <w:rtl/>
        </w:rPr>
        <w:t>מי שנפלה עליו מפולת, ספק חי ספק מת, ספק הוא שם ספק אינו שם, ואפילו אם תמצי לומר שהוא שם ספק גוי ספק ישראל מפקחין עליו אף על פי שיש בו כמה ספיקות</w:t>
      </w:r>
      <w:r w:rsidRPr="005275DF">
        <w:rPr>
          <w:rStyle w:val="a9"/>
          <w:rFonts w:asciiTheme="minorBidi" w:hAnsiTheme="minorBidi"/>
          <w:rtl/>
        </w:rPr>
        <w:footnoteReference w:id="3413"/>
      </w:r>
      <w:r w:rsidRPr="005275DF">
        <w:rPr>
          <w:rFonts w:asciiTheme="minorBidi" w:hAnsiTheme="minorBidi"/>
          <w:rtl/>
        </w:rPr>
        <w:t xml:space="preserve">. </w:t>
      </w:r>
    </w:p>
    <w:p w14:paraId="2F2EC972" w14:textId="77777777" w:rsidR="006A4BF8" w:rsidRPr="005275DF" w:rsidRDefault="006A4BF8" w:rsidP="00434A6A">
      <w:pPr>
        <w:rPr>
          <w:rFonts w:asciiTheme="minorBidi" w:hAnsiTheme="minorBidi"/>
          <w:u w:val="single"/>
          <w:rtl/>
        </w:rPr>
      </w:pPr>
      <w:r w:rsidRPr="005275DF">
        <w:rPr>
          <w:rFonts w:asciiTheme="minorBidi" w:hAnsiTheme="minorBidi"/>
          <w:u w:val="single"/>
          <w:rtl/>
        </w:rPr>
        <w:t>האם מחללין שבת על גוסס:</w:t>
      </w:r>
    </w:p>
    <w:p w14:paraId="30F2E4D2" w14:textId="77777777" w:rsidR="006A4BF8" w:rsidRPr="005275DF" w:rsidRDefault="006A4BF8" w:rsidP="00FF2D21">
      <w:pPr>
        <w:pStyle w:val="aa"/>
        <w:numPr>
          <w:ilvl w:val="0"/>
          <w:numId w:val="71"/>
        </w:numPr>
        <w:rPr>
          <w:rFonts w:asciiTheme="minorBidi" w:hAnsiTheme="minorBidi"/>
          <w:rtl/>
        </w:rPr>
      </w:pPr>
      <w:r w:rsidRPr="005275DF">
        <w:rPr>
          <w:rFonts w:asciiTheme="minorBidi" w:hAnsiTheme="minorBidi"/>
          <w:rtl/>
        </w:rPr>
        <w:t>שבות יעקב</w:t>
      </w:r>
      <w:r w:rsidRPr="005275DF">
        <w:rPr>
          <w:rFonts w:asciiTheme="minorBidi" w:hAnsiTheme="minorBidi"/>
          <w:sz w:val="16"/>
          <w:szCs w:val="16"/>
          <w:rtl/>
        </w:rPr>
        <w:t xml:space="preserve"> (ח"א סי' יג)</w:t>
      </w:r>
      <w:r w:rsidRPr="005275DF">
        <w:rPr>
          <w:rFonts w:asciiTheme="minorBidi" w:hAnsiTheme="minorBidi"/>
          <w:rtl/>
        </w:rPr>
        <w:t>- מחללין, משום דאפילו עבור חיי שעה מחללין.</w:t>
      </w:r>
    </w:p>
    <w:p w14:paraId="71410DEC" w14:textId="3A47F055" w:rsidR="006A4BF8" w:rsidRPr="005275DF" w:rsidRDefault="006A4BF8" w:rsidP="00FF2D21">
      <w:pPr>
        <w:pStyle w:val="aa"/>
        <w:numPr>
          <w:ilvl w:val="0"/>
          <w:numId w:val="71"/>
        </w:numPr>
        <w:rPr>
          <w:rFonts w:asciiTheme="minorBidi" w:hAnsiTheme="minorBidi"/>
        </w:rPr>
      </w:pPr>
      <w:r w:rsidRPr="005275DF">
        <w:rPr>
          <w:rFonts w:asciiTheme="minorBidi" w:hAnsiTheme="minorBidi"/>
          <w:rtl/>
        </w:rPr>
        <w:t xml:space="preserve">בית יעקב </w:t>
      </w:r>
      <w:r w:rsidRPr="005275DF">
        <w:rPr>
          <w:rFonts w:asciiTheme="minorBidi" w:hAnsiTheme="minorBidi"/>
          <w:sz w:val="16"/>
          <w:szCs w:val="16"/>
          <w:rtl/>
        </w:rPr>
        <w:t>(סי נט)</w:t>
      </w:r>
      <w:r w:rsidRPr="005275DF">
        <w:rPr>
          <w:rFonts w:asciiTheme="minorBidi" w:hAnsiTheme="minorBidi"/>
          <w:rtl/>
        </w:rPr>
        <w:t>- אין מחללין, אא"כ הרופא אומר שיוכל לרפ</w:t>
      </w:r>
      <w:r w:rsidR="00822AE2">
        <w:rPr>
          <w:rFonts w:asciiTheme="minorBidi" w:hAnsiTheme="minorBidi" w:hint="cs"/>
          <w:rtl/>
        </w:rPr>
        <w:t>א</w:t>
      </w:r>
      <w:r w:rsidRPr="005275DF">
        <w:rPr>
          <w:rFonts w:asciiTheme="minorBidi" w:hAnsiTheme="minorBidi"/>
          <w:rtl/>
        </w:rPr>
        <w:t>ותו לגמרי, אבל משום חיי שעה לא מחללין</w:t>
      </w:r>
      <w:r w:rsidRPr="005275DF">
        <w:rPr>
          <w:rStyle w:val="a9"/>
          <w:rFonts w:asciiTheme="minorBidi" w:hAnsiTheme="minorBidi"/>
          <w:rtl/>
        </w:rPr>
        <w:footnoteReference w:id="3414"/>
      </w:r>
      <w:r w:rsidRPr="005275DF">
        <w:rPr>
          <w:rFonts w:asciiTheme="minorBidi" w:hAnsiTheme="minorBidi"/>
          <w:rtl/>
        </w:rPr>
        <w:t>.</w:t>
      </w:r>
    </w:p>
    <w:p w14:paraId="67C01B6E" w14:textId="77777777" w:rsidR="006A4BF8" w:rsidRPr="005275DF" w:rsidRDefault="006A4BF8" w:rsidP="00434A6A">
      <w:pPr>
        <w:rPr>
          <w:rFonts w:asciiTheme="minorBidi" w:hAnsiTheme="minorBidi"/>
          <w:u w:val="single"/>
          <w:rtl/>
        </w:rPr>
      </w:pPr>
      <w:r w:rsidRPr="005275DF">
        <w:rPr>
          <w:rFonts w:asciiTheme="minorBidi" w:hAnsiTheme="minorBidi"/>
          <w:u w:val="single"/>
          <w:rtl/>
        </w:rPr>
        <w:t>הבא במחתרת ונפלה עליו מפולת:</w:t>
      </w:r>
    </w:p>
    <w:p w14:paraId="4FE93F2D" w14:textId="77777777" w:rsidR="006A4BF8" w:rsidRPr="005275DF" w:rsidRDefault="006A4BF8" w:rsidP="00FF2D21">
      <w:pPr>
        <w:pStyle w:val="aa"/>
        <w:numPr>
          <w:ilvl w:val="0"/>
          <w:numId w:val="71"/>
        </w:numPr>
        <w:rPr>
          <w:rFonts w:asciiTheme="minorBidi" w:hAnsiTheme="minorBidi"/>
          <w:rtl/>
        </w:rPr>
      </w:pPr>
      <w:r w:rsidRPr="005275DF">
        <w:rPr>
          <w:rFonts w:asciiTheme="minorBidi" w:hAnsiTheme="minorBidi"/>
          <w:rtl/>
        </w:rPr>
        <w:t xml:space="preserve">מג"א- איתא בסנהדרין </w:t>
      </w:r>
      <w:r w:rsidRPr="005275DF">
        <w:rPr>
          <w:rFonts w:asciiTheme="minorBidi" w:hAnsiTheme="minorBidi"/>
          <w:sz w:val="16"/>
          <w:szCs w:val="16"/>
          <w:rtl/>
        </w:rPr>
        <w:t xml:space="preserve">(עב:) </w:t>
      </w:r>
      <w:r w:rsidRPr="005275DF">
        <w:rPr>
          <w:rFonts w:asciiTheme="minorBidi" w:hAnsiTheme="minorBidi"/>
          <w:rtl/>
        </w:rPr>
        <w:t xml:space="preserve">הבא במחתרת בענין שמותר להורגו אם נפל עליו גל אין מפקחין עליו דגברא קטילא הוא </w:t>
      </w:r>
      <w:r w:rsidRPr="005275DF">
        <w:rPr>
          <w:rFonts w:asciiTheme="minorBidi" w:hAnsiTheme="minorBidi"/>
          <w:sz w:val="16"/>
          <w:szCs w:val="16"/>
          <w:rtl/>
        </w:rPr>
        <w:t>(וכ"כ הרמב"ם סוף הל' גניבה ועי' בחו"מ סי' תכה ס"א בהג"ה)</w:t>
      </w:r>
      <w:r w:rsidRPr="005275DF">
        <w:rPr>
          <w:rFonts w:asciiTheme="minorBidi" w:hAnsiTheme="minorBidi"/>
          <w:rtl/>
        </w:rPr>
        <w:t>.</w:t>
      </w:r>
    </w:p>
    <w:p w14:paraId="4229709F" w14:textId="77777777" w:rsidR="006A4BF8" w:rsidRPr="005275DF" w:rsidRDefault="006A4BF8" w:rsidP="00434A6A">
      <w:pPr>
        <w:rPr>
          <w:rFonts w:asciiTheme="minorBidi" w:hAnsiTheme="minorBidi"/>
          <w:rtl/>
        </w:rPr>
      </w:pPr>
    </w:p>
    <w:p w14:paraId="4AD26458"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ד: מצאוהו מרוצץ.</w:t>
      </w:r>
    </w:p>
    <w:p w14:paraId="046062FB" w14:textId="77777777" w:rsidR="006A4BF8" w:rsidRPr="005275DF" w:rsidRDefault="006A4BF8" w:rsidP="00434A6A">
      <w:pPr>
        <w:rPr>
          <w:rFonts w:asciiTheme="minorBidi" w:hAnsiTheme="minorBidi"/>
          <w:rtl/>
        </w:rPr>
      </w:pPr>
      <w:r w:rsidRPr="005275DF">
        <w:rPr>
          <w:rFonts w:asciiTheme="minorBidi" w:hAnsiTheme="minorBidi"/>
          <w:b/>
          <w:bCs/>
          <w:rtl/>
        </w:rPr>
        <w:t xml:space="preserve">יומא פה ע"א: </w:t>
      </w:r>
      <w:r w:rsidRPr="005275DF">
        <w:rPr>
          <w:rFonts w:asciiTheme="minorBidi" w:hAnsiTheme="minorBidi"/>
          <w:rtl/>
        </w:rPr>
        <w:t>מצאוהו חי מפקחין. מצאוהו חי פשיטא! לא צריכא, דאפילו לחיי שעה.... תנו רבנן: עד היכן הוא בודק</w:t>
      </w:r>
      <w:r w:rsidRPr="005275DF">
        <w:rPr>
          <w:rStyle w:val="a9"/>
          <w:rFonts w:asciiTheme="minorBidi" w:hAnsiTheme="minorBidi"/>
          <w:rtl/>
        </w:rPr>
        <w:footnoteReference w:id="3415"/>
      </w:r>
      <w:r w:rsidRPr="005275DF">
        <w:rPr>
          <w:rFonts w:asciiTheme="minorBidi" w:hAnsiTheme="minorBidi"/>
          <w:rtl/>
        </w:rPr>
        <w:t>? עד חוטמו</w:t>
      </w:r>
      <w:r w:rsidRPr="005275DF">
        <w:rPr>
          <w:rStyle w:val="a9"/>
          <w:rFonts w:asciiTheme="minorBidi" w:hAnsiTheme="minorBidi"/>
          <w:rtl/>
        </w:rPr>
        <w:footnoteReference w:id="3416"/>
      </w:r>
      <w:r w:rsidRPr="005275DF">
        <w:rPr>
          <w:rFonts w:asciiTheme="minorBidi" w:hAnsiTheme="minorBidi"/>
          <w:rtl/>
        </w:rPr>
        <w:t xml:space="preserve">, ויש אומרים: עד לבו.... </w:t>
      </w:r>
      <w:r w:rsidRPr="005275DF">
        <w:rPr>
          <w:rFonts w:asciiTheme="minorBidi" w:hAnsiTheme="minorBidi"/>
          <w:u w:val="single"/>
          <w:rtl/>
        </w:rPr>
        <w:t>אמר רב פפא</w:t>
      </w:r>
      <w:r w:rsidRPr="005275DF">
        <w:rPr>
          <w:rFonts w:asciiTheme="minorBidi" w:hAnsiTheme="minorBidi"/>
          <w:rtl/>
        </w:rPr>
        <w:t>: מחלוקת ממטה למעלה</w:t>
      </w:r>
      <w:r w:rsidRPr="005275DF">
        <w:rPr>
          <w:rStyle w:val="a9"/>
          <w:rFonts w:asciiTheme="minorBidi" w:hAnsiTheme="minorBidi"/>
          <w:rtl/>
        </w:rPr>
        <w:footnoteReference w:id="3417"/>
      </w:r>
      <w:r w:rsidRPr="005275DF">
        <w:rPr>
          <w:rFonts w:asciiTheme="minorBidi" w:hAnsiTheme="minorBidi"/>
          <w:rtl/>
        </w:rPr>
        <w:t>, אבל ממעלה למטה, כיון דבדק ליה עד חוטמו - שוב אינו צריך, דכתיב כל אשר נשמת רוח חיים באפיו.</w:t>
      </w:r>
    </w:p>
    <w:p w14:paraId="00C1F6F4" w14:textId="77777777" w:rsidR="006A4BF8" w:rsidRPr="005275DF" w:rsidRDefault="006A4BF8" w:rsidP="00434A6A">
      <w:pPr>
        <w:rPr>
          <w:rFonts w:asciiTheme="minorBidi" w:hAnsiTheme="minorBidi"/>
          <w:u w:val="single"/>
          <w:rtl/>
        </w:rPr>
      </w:pPr>
      <w:r w:rsidRPr="005275DF">
        <w:rPr>
          <w:rFonts w:asciiTheme="minorBidi" w:hAnsiTheme="minorBidi"/>
          <w:u w:val="single"/>
          <w:rtl/>
        </w:rPr>
        <w:t>כיצד נפסק</w:t>
      </w:r>
      <w:r w:rsidRPr="005275DF">
        <w:rPr>
          <w:rFonts w:asciiTheme="minorBidi" w:hAnsiTheme="minorBidi"/>
          <w:sz w:val="16"/>
          <w:szCs w:val="16"/>
          <w:u w:val="single"/>
          <w:rtl/>
        </w:rPr>
        <w:t xml:space="preserve"> (גבי צורת קביעת המוות)</w:t>
      </w:r>
      <w:r w:rsidRPr="005275DF">
        <w:rPr>
          <w:rFonts w:asciiTheme="minorBidi" w:hAnsiTheme="minorBidi"/>
          <w:u w:val="single"/>
          <w:rtl/>
        </w:rPr>
        <w:t>:</w:t>
      </w:r>
    </w:p>
    <w:p w14:paraId="2C2B91DC" w14:textId="77777777" w:rsidR="006A4BF8" w:rsidRPr="005275DF" w:rsidRDefault="006A4BF8" w:rsidP="00FF2D21">
      <w:pPr>
        <w:pStyle w:val="aa"/>
        <w:numPr>
          <w:ilvl w:val="0"/>
          <w:numId w:val="71"/>
        </w:numPr>
        <w:rPr>
          <w:rFonts w:asciiTheme="minorBidi" w:hAnsiTheme="minorBidi"/>
        </w:rPr>
      </w:pPr>
      <w:r w:rsidRPr="005275DF">
        <w:rPr>
          <w:rFonts w:asciiTheme="minorBidi" w:hAnsiTheme="minorBidi"/>
          <w:rtl/>
        </w:rPr>
        <w:t xml:space="preserve">רמב"ם </w:t>
      </w:r>
      <w:r w:rsidRPr="005275DF">
        <w:rPr>
          <w:rFonts w:asciiTheme="minorBidi" w:hAnsiTheme="minorBidi"/>
          <w:sz w:val="16"/>
          <w:szCs w:val="16"/>
          <w:rtl/>
        </w:rPr>
        <w:t>(פ"ב הי"ט)</w:t>
      </w:r>
      <w:r w:rsidRPr="005275DF">
        <w:rPr>
          <w:rFonts w:asciiTheme="minorBidi" w:hAnsiTheme="minorBidi"/>
          <w:rtl/>
        </w:rPr>
        <w:t>- בודק עד חוטמו, "דספק נפשות להקל"</w:t>
      </w:r>
      <w:r w:rsidRPr="005275DF">
        <w:rPr>
          <w:rStyle w:val="a9"/>
          <w:rFonts w:asciiTheme="minorBidi" w:hAnsiTheme="minorBidi"/>
          <w:rtl/>
        </w:rPr>
        <w:footnoteReference w:id="3418"/>
      </w:r>
      <w:r w:rsidRPr="005275DF">
        <w:rPr>
          <w:rFonts w:asciiTheme="minorBidi" w:hAnsiTheme="minorBidi"/>
          <w:rtl/>
        </w:rPr>
        <w:t>.</w:t>
      </w:r>
    </w:p>
    <w:p w14:paraId="1E8766A3" w14:textId="77777777" w:rsidR="006A4BF8" w:rsidRPr="005275DF" w:rsidRDefault="006A4BF8" w:rsidP="00FF2D21">
      <w:pPr>
        <w:pStyle w:val="aa"/>
        <w:numPr>
          <w:ilvl w:val="0"/>
          <w:numId w:val="71"/>
        </w:numPr>
        <w:rPr>
          <w:rFonts w:asciiTheme="minorBidi" w:hAnsiTheme="minorBidi"/>
          <w:rtl/>
        </w:rPr>
      </w:pPr>
      <w:r w:rsidRPr="005275DF">
        <w:rPr>
          <w:rFonts w:asciiTheme="minorBidi" w:hAnsiTheme="minorBidi"/>
          <w:rtl/>
        </w:rPr>
        <w:t>רי"ו</w:t>
      </w:r>
      <w:r w:rsidRPr="005275DF">
        <w:rPr>
          <w:rFonts w:asciiTheme="minorBidi" w:hAnsiTheme="minorBidi"/>
          <w:sz w:val="16"/>
          <w:szCs w:val="16"/>
          <w:rtl/>
        </w:rPr>
        <w:t xml:space="preserve"> (ני"ב ח"ט עח ע"ג)</w:t>
      </w:r>
      <w:r w:rsidRPr="005275DF">
        <w:rPr>
          <w:rFonts w:asciiTheme="minorBidi" w:hAnsiTheme="minorBidi"/>
          <w:rtl/>
        </w:rPr>
        <w:t>- בודק עד לבו, ואם אינו דופק לא ממשיך לפקח.</w:t>
      </w:r>
    </w:p>
    <w:p w14:paraId="4B7945A8"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6721657" w14:textId="77777777" w:rsidR="006A4BF8" w:rsidRPr="005275DF" w:rsidRDefault="006A4BF8" w:rsidP="00434A6A">
      <w:pPr>
        <w:rPr>
          <w:rFonts w:asciiTheme="minorBidi" w:hAnsiTheme="minorBidi"/>
          <w:rtl/>
        </w:rPr>
      </w:pPr>
      <w:r w:rsidRPr="005275DF">
        <w:rPr>
          <w:rFonts w:asciiTheme="minorBidi" w:hAnsiTheme="minorBidi"/>
          <w:rtl/>
        </w:rPr>
        <w:t xml:space="preserve">אפילו מצאוהו מרוצץ שאינו יכול לחיות אלא לפי שעה מפקחין ובודקין עד חוטמו, אם לא הרגישו בחוטמו חיות אז ודאי מת לא שנא פגעו בראשו תחלה לא שנא פגעו ברגליו תחלה. </w:t>
      </w:r>
    </w:p>
    <w:p w14:paraId="61CFAA5F" w14:textId="77777777" w:rsidR="006A4BF8" w:rsidRPr="005275DF" w:rsidRDefault="006A4BF8" w:rsidP="00434A6A">
      <w:pPr>
        <w:rPr>
          <w:rFonts w:asciiTheme="minorBidi" w:hAnsiTheme="minorBidi"/>
          <w:rtl/>
        </w:rPr>
      </w:pPr>
    </w:p>
    <w:p w14:paraId="76C7E323"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ה: מצא העליונים מתים.</w:t>
      </w:r>
    </w:p>
    <w:p w14:paraId="6D61B3BE" w14:textId="77777777" w:rsidR="006A4BF8" w:rsidRPr="005275DF" w:rsidRDefault="006A4BF8" w:rsidP="00434A6A">
      <w:pPr>
        <w:rPr>
          <w:rFonts w:asciiTheme="minorBidi" w:hAnsiTheme="minorBidi"/>
          <w:rtl/>
        </w:rPr>
      </w:pPr>
      <w:r w:rsidRPr="005275DF">
        <w:rPr>
          <w:rFonts w:asciiTheme="minorBidi" w:hAnsiTheme="minorBidi"/>
          <w:b/>
          <w:bCs/>
          <w:rtl/>
        </w:rPr>
        <w:t>יומא פה ע"א:</w:t>
      </w:r>
      <w:r w:rsidRPr="005275DF">
        <w:rPr>
          <w:rFonts w:asciiTheme="minorBidi" w:hAnsiTheme="minorBidi"/>
          <w:rtl/>
        </w:rPr>
        <w:t xml:space="preserve"> בדק ומצא עליונים מתים לא יאמר כבר מתו התחתונים. מעשה היה ומצאו עליונים מתים ותחתונים חיים.</w:t>
      </w:r>
    </w:p>
    <w:p w14:paraId="58396DF1"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2E3BA260" w14:textId="77777777" w:rsidR="006A4BF8" w:rsidRPr="005275DF" w:rsidRDefault="006A4BF8" w:rsidP="00434A6A">
      <w:pPr>
        <w:rPr>
          <w:rFonts w:asciiTheme="minorBidi" w:hAnsiTheme="minorBidi"/>
          <w:rtl/>
        </w:rPr>
      </w:pPr>
      <w:r w:rsidRPr="005275DF">
        <w:rPr>
          <w:rFonts w:asciiTheme="minorBidi" w:hAnsiTheme="minorBidi"/>
          <w:rtl/>
        </w:rPr>
        <w:t xml:space="preserve">מצא עליונים מתים, לא יאמר: כבר מתו תחתונים, אלא מפקח עליהם שמא עדיין הם חיים. </w:t>
      </w:r>
    </w:p>
    <w:p w14:paraId="40D0FEF6" w14:textId="77777777" w:rsidR="006A4BF8" w:rsidRPr="005275DF" w:rsidRDefault="006A4BF8" w:rsidP="00434A6A">
      <w:pPr>
        <w:rPr>
          <w:rFonts w:asciiTheme="minorBidi" w:hAnsiTheme="minorBidi"/>
          <w:rtl/>
        </w:rPr>
      </w:pPr>
    </w:p>
    <w:p w14:paraId="2CD20526"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ו: גויים שצרו על עיירות ישראל.</w:t>
      </w:r>
    </w:p>
    <w:p w14:paraId="101C5E38" w14:textId="77777777" w:rsidR="006A4BF8" w:rsidRPr="005275DF" w:rsidRDefault="006A4BF8" w:rsidP="00434A6A">
      <w:pPr>
        <w:rPr>
          <w:rFonts w:asciiTheme="minorBidi" w:hAnsiTheme="minorBidi"/>
          <w:rtl/>
        </w:rPr>
      </w:pPr>
      <w:r w:rsidRPr="005275DF">
        <w:rPr>
          <w:rFonts w:asciiTheme="minorBidi" w:hAnsiTheme="minorBidi"/>
          <w:b/>
          <w:bCs/>
          <w:rtl/>
        </w:rPr>
        <w:t xml:space="preserve">עירובין מה ע"א: </w:t>
      </w:r>
      <w:r w:rsidRPr="005275DF">
        <w:rPr>
          <w:rFonts w:asciiTheme="minorBidi" w:hAnsiTheme="minorBidi"/>
          <w:u w:val="single"/>
          <w:rtl/>
        </w:rPr>
        <w:t>אמר רב יהודה אמר רב:</w:t>
      </w:r>
      <w:r w:rsidRPr="005275DF">
        <w:rPr>
          <w:rFonts w:asciiTheme="minorBidi" w:hAnsiTheme="minorBidi"/>
          <w:rtl/>
        </w:rPr>
        <w:t xml:space="preserve"> נכרים שצרו על עיירות ישראל - אין יוצאין עליהם בכלי זיינן, ואין מחללין עליהן את השבת. תניא נמי הכי: נכרים שצרו וכו', במה דברים אמורים - כשבאו על עסקי ממון. אבל באו על עסקי נפשות - יוצאין עליהן בכלי זיינן, ומחללין עליהן את השבת. ובעיר הסמוכה לספר, אפילו לא באו על עסקי נפשות אלא על עסקי תבן וקש - יוצאין עליהן בכלי זיינן, ומחללין עליהן את השבת.</w:t>
      </w:r>
    </w:p>
    <w:p w14:paraId="2B5754E6"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060CB21" w14:textId="77777777" w:rsidR="006A4BF8" w:rsidRPr="005275DF" w:rsidRDefault="006A4BF8" w:rsidP="00434A6A">
      <w:pPr>
        <w:rPr>
          <w:rFonts w:asciiTheme="minorBidi" w:hAnsiTheme="minorBidi"/>
          <w:sz w:val="18"/>
          <w:szCs w:val="18"/>
          <w:rtl/>
        </w:rPr>
      </w:pPr>
      <w:r w:rsidRPr="005275DF">
        <w:rPr>
          <w:rFonts w:asciiTheme="minorBidi" w:hAnsiTheme="minorBidi"/>
          <w:rtl/>
        </w:rPr>
        <w:t>גויים שצרו על עיירות ישראל, אם באו על עסקי ממון אין מחללין עליהם את השבת, באו על עסקי נפשות, ואפילו סתם</w:t>
      </w:r>
      <w:r w:rsidRPr="005275DF">
        <w:rPr>
          <w:rStyle w:val="a9"/>
          <w:rFonts w:asciiTheme="minorBidi" w:hAnsiTheme="minorBidi"/>
          <w:rtl/>
        </w:rPr>
        <w:footnoteReference w:id="3419"/>
      </w:r>
      <w:r w:rsidRPr="005275DF">
        <w:rPr>
          <w:rFonts w:asciiTheme="minorBidi" w:hAnsiTheme="minorBidi"/>
          <w:rtl/>
        </w:rPr>
        <w:t xml:space="preserve">, יוצאים עליהם בכלי זיין ומחללין עליהם את השבת, ובעיר הסמוכה לספר אפילו לא באו אלא על עסקי תבן וקש מחללין עליהם את השבת. </w:t>
      </w:r>
      <w:r w:rsidRPr="005275DF">
        <w:rPr>
          <w:rFonts w:asciiTheme="minorBidi" w:hAnsiTheme="minorBidi"/>
          <w:sz w:val="18"/>
          <w:szCs w:val="18"/>
          <w:rtl/>
        </w:rPr>
        <w:t xml:space="preserve">הגה: ואפילו לא באו עדיין אלא רוצים לבא (או"ז). </w:t>
      </w:r>
    </w:p>
    <w:p w14:paraId="2C5D8715" w14:textId="77777777" w:rsidR="006A4BF8" w:rsidRPr="005275DF" w:rsidRDefault="006A4BF8" w:rsidP="00434A6A">
      <w:pPr>
        <w:rPr>
          <w:rFonts w:asciiTheme="minorBidi" w:hAnsiTheme="minorBidi"/>
          <w:rtl/>
        </w:rPr>
      </w:pPr>
    </w:p>
    <w:p w14:paraId="1B13FF28"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ז: גויים שבאו על עסקי ממון בזה"ז.</w:t>
      </w:r>
    </w:p>
    <w:p w14:paraId="693062CB"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04AE79B" w14:textId="6B9B004A" w:rsidR="006A4BF8" w:rsidRPr="005275DF" w:rsidRDefault="006A4BF8" w:rsidP="00434A6A">
      <w:pPr>
        <w:rPr>
          <w:rFonts w:asciiTheme="minorBidi" w:hAnsiTheme="minorBidi"/>
          <w:rtl/>
        </w:rPr>
      </w:pPr>
      <w:r w:rsidRPr="005275DF">
        <w:rPr>
          <w:rFonts w:asciiTheme="minorBidi" w:hAnsiTheme="minorBidi"/>
          <w:rtl/>
        </w:rPr>
        <w:t>יש מי שאומר</w:t>
      </w:r>
      <w:r w:rsidRPr="005275DF">
        <w:rPr>
          <w:rStyle w:val="a9"/>
          <w:rFonts w:asciiTheme="minorBidi" w:hAnsiTheme="minorBidi"/>
          <w:rtl/>
        </w:rPr>
        <w:footnoteReference w:id="3420"/>
      </w:r>
      <w:r w:rsidRPr="005275DF">
        <w:rPr>
          <w:rFonts w:asciiTheme="minorBidi" w:hAnsiTheme="minorBidi"/>
          <w:rtl/>
        </w:rPr>
        <w:t xml:space="preserve"> שבזמן הזה אפילו באו על עסקי ממון מחללין</w:t>
      </w:r>
      <w:r w:rsidRPr="005275DF">
        <w:rPr>
          <w:rStyle w:val="a9"/>
          <w:rFonts w:asciiTheme="minorBidi" w:hAnsiTheme="minorBidi"/>
          <w:rtl/>
        </w:rPr>
        <w:footnoteReference w:id="3421"/>
      </w:r>
      <w:r w:rsidRPr="005275DF">
        <w:rPr>
          <w:rFonts w:asciiTheme="minorBidi" w:hAnsiTheme="minorBidi"/>
          <w:rtl/>
        </w:rPr>
        <w:t xml:space="preserve"> שאם לא יניחנו</w:t>
      </w:r>
      <w:r w:rsidRPr="005275DF">
        <w:rPr>
          <w:rStyle w:val="a9"/>
          <w:rFonts w:asciiTheme="minorBidi" w:hAnsiTheme="minorBidi"/>
          <w:rtl/>
        </w:rPr>
        <w:footnoteReference w:id="3422"/>
      </w:r>
      <w:r w:rsidRPr="005275DF">
        <w:rPr>
          <w:rFonts w:asciiTheme="minorBidi" w:hAnsiTheme="minorBidi"/>
          <w:rtl/>
        </w:rPr>
        <w:t xml:space="preserve"> ישראל לשלול ולבוז ממונו יהרגנו והוי עסקי נפשות </w:t>
      </w:r>
      <w:r w:rsidRPr="005275DF">
        <w:rPr>
          <w:rFonts w:asciiTheme="minorBidi" w:hAnsiTheme="minorBidi"/>
          <w:sz w:val="18"/>
          <w:szCs w:val="18"/>
          <w:rtl/>
        </w:rPr>
        <w:t>הגה: ומ"מ הכל לפי הענין (פסקי מהר</w:t>
      </w:r>
      <w:r w:rsidR="00822AE2">
        <w:rPr>
          <w:rFonts w:asciiTheme="minorBidi" w:hAnsiTheme="minorBidi" w:hint="cs"/>
          <w:sz w:val="18"/>
          <w:szCs w:val="18"/>
          <w:rtl/>
        </w:rPr>
        <w:t>א"</w:t>
      </w:r>
      <w:r>
        <w:rPr>
          <w:rFonts w:asciiTheme="minorBidi" w:hAnsiTheme="minorBidi"/>
          <w:sz w:val="18"/>
          <w:szCs w:val="18"/>
          <w:rtl/>
        </w:rPr>
        <w:t xml:space="preserve">י </w:t>
      </w:r>
      <w:r w:rsidRPr="005275DF">
        <w:rPr>
          <w:rFonts w:asciiTheme="minorBidi" w:hAnsiTheme="minorBidi"/>
          <w:sz w:val="18"/>
          <w:szCs w:val="18"/>
          <w:rtl/>
        </w:rPr>
        <w:t>סי' קנ"ו).</w:t>
      </w:r>
      <w:r w:rsidRPr="005275DF">
        <w:rPr>
          <w:rFonts w:asciiTheme="minorBidi" w:hAnsiTheme="minorBidi"/>
          <w:rtl/>
        </w:rPr>
        <w:t xml:space="preserve"> </w:t>
      </w:r>
    </w:p>
    <w:p w14:paraId="54A3E153" w14:textId="77777777" w:rsidR="006A4BF8" w:rsidRPr="005275DF" w:rsidRDefault="006A4BF8" w:rsidP="00434A6A">
      <w:pPr>
        <w:rPr>
          <w:rFonts w:asciiTheme="minorBidi" w:hAnsiTheme="minorBidi"/>
          <w:rtl/>
        </w:rPr>
      </w:pPr>
    </w:p>
    <w:p w14:paraId="2E0819F3"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ח: חילול שבת כדי להציל מפגיעה.</w:t>
      </w:r>
    </w:p>
    <w:p w14:paraId="07D85D9E" w14:textId="77777777" w:rsidR="006A4BF8" w:rsidRPr="005275DF" w:rsidRDefault="006A4BF8" w:rsidP="00434A6A">
      <w:pPr>
        <w:rPr>
          <w:rFonts w:asciiTheme="minorBidi" w:hAnsiTheme="minorBidi"/>
          <w:rtl/>
        </w:rPr>
      </w:pPr>
      <w:r w:rsidRPr="005275DF">
        <w:rPr>
          <w:rFonts w:asciiTheme="minorBidi" w:hAnsiTheme="minorBidi"/>
          <w:b/>
          <w:bCs/>
          <w:rtl/>
        </w:rPr>
        <w:t xml:space="preserve">תענית יט ע"א: </w:t>
      </w:r>
      <w:r w:rsidRPr="005275DF">
        <w:rPr>
          <w:rFonts w:asciiTheme="minorBidi" w:hAnsiTheme="minorBidi"/>
          <w:rtl/>
        </w:rPr>
        <w:t xml:space="preserve">על אלו מתריעין בשבת: על עיר שהקיפוה נכרים, או נהר, ועל הספינה המיטרפת בים. </w:t>
      </w:r>
      <w:r w:rsidRPr="005275DF">
        <w:rPr>
          <w:rFonts w:asciiTheme="minorBidi" w:hAnsiTheme="minorBidi"/>
          <w:u w:val="single"/>
          <w:rtl/>
        </w:rPr>
        <w:t>רבי יוסי אומר</w:t>
      </w:r>
      <w:r w:rsidRPr="005275DF">
        <w:rPr>
          <w:rFonts w:asciiTheme="minorBidi" w:hAnsiTheme="minorBidi"/>
          <w:rtl/>
        </w:rPr>
        <w:t>: לעזרה ולא לצעקה</w:t>
      </w:r>
      <w:r w:rsidRPr="005275DF">
        <w:rPr>
          <w:rStyle w:val="a9"/>
          <w:rFonts w:asciiTheme="minorBidi" w:hAnsiTheme="minorBidi"/>
          <w:rtl/>
        </w:rPr>
        <w:footnoteReference w:id="3423"/>
      </w:r>
      <w:r w:rsidRPr="005275DF">
        <w:rPr>
          <w:rFonts w:asciiTheme="minorBidi" w:hAnsiTheme="minorBidi"/>
          <w:rtl/>
        </w:rPr>
        <w:t>.</w:t>
      </w:r>
    </w:p>
    <w:p w14:paraId="128C1DD0" w14:textId="77777777" w:rsidR="006A4BF8" w:rsidRPr="005275DF" w:rsidRDefault="006A4BF8" w:rsidP="00434A6A">
      <w:pPr>
        <w:rPr>
          <w:rFonts w:asciiTheme="minorBidi" w:hAnsiTheme="minorBidi"/>
          <w:rtl/>
        </w:rPr>
      </w:pPr>
      <w:r w:rsidRPr="005275DF">
        <w:rPr>
          <w:rFonts w:asciiTheme="minorBidi" w:hAnsiTheme="minorBidi"/>
          <w:b/>
          <w:bCs/>
          <w:rtl/>
        </w:rPr>
        <w:t xml:space="preserve">תוספתא </w:t>
      </w:r>
      <w:r w:rsidRPr="005275DF">
        <w:rPr>
          <w:rFonts w:asciiTheme="minorBidi" w:hAnsiTheme="minorBidi"/>
          <w:b/>
          <w:bCs/>
          <w:sz w:val="16"/>
          <w:szCs w:val="16"/>
          <w:rtl/>
        </w:rPr>
        <w:t>(ליברמן)</w:t>
      </w:r>
      <w:r w:rsidRPr="005275DF">
        <w:rPr>
          <w:rFonts w:asciiTheme="minorBidi" w:hAnsiTheme="minorBidi"/>
          <w:b/>
          <w:bCs/>
          <w:rtl/>
        </w:rPr>
        <w:t xml:space="preserve"> עירובין פ"ג ה"ח: </w:t>
      </w:r>
      <w:r w:rsidRPr="005275DF">
        <w:rPr>
          <w:rFonts w:asciiTheme="minorBidi" w:hAnsiTheme="minorBidi"/>
          <w:rtl/>
        </w:rPr>
        <w:t>עיר שהקיפוה גוים או נהר וכן ספינה המטורפת בים וכן היחיד שהיה נרדף מפני גוים ומפני ליסטים ומפני רוח רעה הרי אילו מחללין את השבת ומצילין את עצמן.</w:t>
      </w:r>
    </w:p>
    <w:p w14:paraId="24607CDF"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24A3355B" w14:textId="77777777" w:rsidR="006A4BF8" w:rsidRPr="005275DF" w:rsidRDefault="006A4BF8" w:rsidP="00434A6A">
      <w:pPr>
        <w:rPr>
          <w:rFonts w:asciiTheme="minorBidi" w:hAnsiTheme="minorBidi"/>
          <w:rtl/>
        </w:rPr>
      </w:pPr>
      <w:r w:rsidRPr="005275DF">
        <w:rPr>
          <w:rFonts w:asciiTheme="minorBidi" w:hAnsiTheme="minorBidi"/>
          <w:rtl/>
        </w:rPr>
        <w:t xml:space="preserve">הרואה ספינה שיש בה ישראל המטורפת בים, וכן נהר שוטף, </w:t>
      </w:r>
      <w:r w:rsidRPr="005275DF">
        <w:rPr>
          <w:rStyle w:val="a9"/>
          <w:rFonts w:asciiTheme="minorBidi" w:hAnsiTheme="minorBidi"/>
          <w:rtl/>
        </w:rPr>
        <w:footnoteReference w:id="3424"/>
      </w:r>
      <w:r w:rsidRPr="005275DF">
        <w:rPr>
          <w:rFonts w:asciiTheme="minorBidi" w:hAnsiTheme="minorBidi"/>
          <w:rtl/>
        </w:rPr>
        <w:t>וכן יחיד הנרדף מפני גוים</w:t>
      </w:r>
      <w:r w:rsidRPr="005275DF">
        <w:rPr>
          <w:rStyle w:val="a9"/>
          <w:rFonts w:asciiTheme="minorBidi" w:hAnsiTheme="minorBidi"/>
          <w:rtl/>
        </w:rPr>
        <w:footnoteReference w:id="3425"/>
      </w:r>
      <w:r w:rsidRPr="005275DF">
        <w:rPr>
          <w:rFonts w:asciiTheme="minorBidi" w:hAnsiTheme="minorBidi"/>
          <w:rtl/>
        </w:rPr>
        <w:t>, מצוה על כל אדם לחלל עליהם שבת כדי להצילם</w:t>
      </w:r>
      <w:r w:rsidRPr="005275DF">
        <w:rPr>
          <w:rStyle w:val="a9"/>
          <w:rFonts w:asciiTheme="minorBidi" w:hAnsiTheme="minorBidi"/>
          <w:rtl/>
        </w:rPr>
        <w:footnoteReference w:id="3426"/>
      </w:r>
      <w:r w:rsidRPr="005275DF">
        <w:rPr>
          <w:rFonts w:asciiTheme="minorBidi" w:hAnsiTheme="minorBidi"/>
          <w:rtl/>
        </w:rPr>
        <w:t>.</w:t>
      </w:r>
      <w:r w:rsidRPr="005275DF">
        <w:rPr>
          <w:rFonts w:asciiTheme="minorBidi" w:hAnsiTheme="minorBidi"/>
          <w:sz w:val="18"/>
          <w:szCs w:val="18"/>
          <w:rtl/>
        </w:rPr>
        <w:t xml:space="preserve"> הגה: וע"ל סוף סימן ש"ו מי שרוצים לאנסו אם מחללין עליו שבת</w:t>
      </w:r>
      <w:r w:rsidRPr="005275DF">
        <w:rPr>
          <w:rStyle w:val="a9"/>
          <w:rFonts w:asciiTheme="minorBidi" w:hAnsiTheme="minorBidi"/>
          <w:sz w:val="18"/>
          <w:szCs w:val="18"/>
          <w:rtl/>
        </w:rPr>
        <w:footnoteReference w:id="3427"/>
      </w:r>
      <w:r w:rsidRPr="005275DF">
        <w:rPr>
          <w:rFonts w:asciiTheme="minorBidi" w:hAnsiTheme="minorBidi"/>
          <w:sz w:val="18"/>
          <w:szCs w:val="18"/>
          <w:rtl/>
        </w:rPr>
        <w:t>.</w:t>
      </w:r>
      <w:r w:rsidRPr="005275DF">
        <w:rPr>
          <w:rFonts w:asciiTheme="minorBidi" w:hAnsiTheme="minorBidi"/>
          <w:rtl/>
        </w:rPr>
        <w:t xml:space="preserve"> </w:t>
      </w:r>
    </w:p>
    <w:p w14:paraId="24429C55" w14:textId="77777777" w:rsidR="006A4BF8" w:rsidRPr="005275DF" w:rsidRDefault="006A4BF8" w:rsidP="00434A6A">
      <w:pPr>
        <w:rPr>
          <w:rFonts w:asciiTheme="minorBidi" w:hAnsiTheme="minorBidi"/>
          <w:rtl/>
        </w:rPr>
      </w:pPr>
    </w:p>
    <w:p w14:paraId="2A742C2B"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ט: היוצאים להציל חוזרים בכלי זיינם למקומם.</w:t>
      </w:r>
    </w:p>
    <w:p w14:paraId="45CF2571" w14:textId="77777777" w:rsidR="006A4BF8" w:rsidRPr="005275DF" w:rsidRDefault="006A4BF8" w:rsidP="00434A6A">
      <w:pPr>
        <w:rPr>
          <w:rFonts w:asciiTheme="minorBidi" w:hAnsiTheme="minorBidi"/>
          <w:rtl/>
        </w:rPr>
      </w:pPr>
      <w:r w:rsidRPr="005275DF">
        <w:rPr>
          <w:rFonts w:asciiTheme="minorBidi" w:hAnsiTheme="minorBidi"/>
          <w:rtl/>
        </w:rPr>
        <w:t xml:space="preserve">כל היוצאין להציל חוזרין למקומן... </w:t>
      </w:r>
      <w:r w:rsidRPr="005275DF">
        <w:rPr>
          <w:rFonts w:asciiTheme="minorBidi" w:hAnsiTheme="minorBidi"/>
          <w:u w:val="single"/>
          <w:rtl/>
        </w:rPr>
        <w:t>אמר רב יהודה אמר רב</w:t>
      </w:r>
      <w:r w:rsidRPr="005275DF">
        <w:rPr>
          <w:rFonts w:asciiTheme="minorBidi" w:hAnsiTheme="minorBidi"/>
          <w:rtl/>
        </w:rPr>
        <w:t>: שחוזרין בכלי זיין למקומן. כדתניא: בראשונה היו מניחין כלי זיינן</w:t>
      </w:r>
      <w:r w:rsidRPr="005275DF">
        <w:rPr>
          <w:rStyle w:val="a9"/>
          <w:rFonts w:asciiTheme="minorBidi" w:hAnsiTheme="minorBidi"/>
          <w:rtl/>
        </w:rPr>
        <w:footnoteReference w:id="3428"/>
      </w:r>
      <w:r w:rsidRPr="005275DF">
        <w:rPr>
          <w:rFonts w:asciiTheme="minorBidi" w:hAnsiTheme="minorBidi"/>
          <w:rtl/>
        </w:rPr>
        <w:t xml:space="preserve"> בבית הסמוך לחומה, פעם אחת הכירו בהן אויבים</w:t>
      </w:r>
      <w:r w:rsidRPr="005275DF">
        <w:rPr>
          <w:rStyle w:val="a9"/>
          <w:rFonts w:asciiTheme="minorBidi" w:hAnsiTheme="minorBidi"/>
          <w:rtl/>
        </w:rPr>
        <w:footnoteReference w:id="3429"/>
      </w:r>
      <w:r w:rsidRPr="005275DF">
        <w:rPr>
          <w:rFonts w:asciiTheme="minorBidi" w:hAnsiTheme="minorBidi"/>
          <w:rtl/>
        </w:rPr>
        <w:t xml:space="preserve"> ורדפו אחריהם, ונכנסו</w:t>
      </w:r>
      <w:r w:rsidRPr="005275DF">
        <w:rPr>
          <w:rStyle w:val="a9"/>
          <w:rFonts w:asciiTheme="minorBidi" w:hAnsiTheme="minorBidi"/>
          <w:rtl/>
        </w:rPr>
        <w:footnoteReference w:id="3430"/>
      </w:r>
      <w:r w:rsidRPr="005275DF">
        <w:rPr>
          <w:rFonts w:asciiTheme="minorBidi" w:hAnsiTheme="minorBidi"/>
          <w:rtl/>
        </w:rPr>
        <w:t xml:space="preserve"> ליטול כלי זיינן, ונכנסו אויבים אחריהן. דחקו זה את זה, והרגו זה את זה יותר ממה שהרגו אויבים. באותה שעה התקינו שיהו חוזרין למקומן בכלי זיינן.</w:t>
      </w:r>
    </w:p>
    <w:p w14:paraId="36DC4641"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B7FFC29" w14:textId="77777777" w:rsidR="006A4BF8" w:rsidRPr="005275DF" w:rsidRDefault="006A4BF8" w:rsidP="00434A6A">
      <w:pPr>
        <w:rPr>
          <w:rFonts w:asciiTheme="minorBidi" w:hAnsiTheme="minorBidi"/>
          <w:rtl/>
        </w:rPr>
      </w:pPr>
      <w:r w:rsidRPr="005275DF">
        <w:rPr>
          <w:rFonts w:asciiTheme="minorBidi" w:hAnsiTheme="minorBidi"/>
          <w:rtl/>
        </w:rPr>
        <w:t>כל היוצאים להציל חוזרים בכלי זיינם למקומם.</w:t>
      </w:r>
    </w:p>
    <w:p w14:paraId="37F994DA" w14:textId="77777777" w:rsidR="006A4BF8" w:rsidRPr="005275DF" w:rsidRDefault="006A4BF8" w:rsidP="00434A6A">
      <w:pPr>
        <w:rPr>
          <w:rFonts w:asciiTheme="minorBidi" w:hAnsiTheme="minorBidi"/>
          <w:rtl/>
        </w:rPr>
      </w:pPr>
    </w:p>
    <w:p w14:paraId="7CD02E82" w14:textId="77777777" w:rsidR="006A4BF8" w:rsidRPr="005275DF" w:rsidRDefault="006A4BF8" w:rsidP="00434A6A">
      <w:pPr>
        <w:rPr>
          <w:rFonts w:asciiTheme="minorBidi" w:hAnsiTheme="minorBidi"/>
          <w:rtl/>
        </w:rPr>
      </w:pPr>
    </w:p>
    <w:p w14:paraId="59951DB9" w14:textId="77777777" w:rsidR="006A4BF8" w:rsidRPr="005275DF" w:rsidRDefault="006A4BF8" w:rsidP="00434A6A">
      <w:pPr>
        <w:rPr>
          <w:rFonts w:asciiTheme="minorBidi" w:hAnsiTheme="minorBidi"/>
          <w:rtl/>
        </w:rPr>
      </w:pPr>
    </w:p>
    <w:p w14:paraId="48A21CA5" w14:textId="77777777" w:rsidR="006A4BF8" w:rsidRPr="005275DF" w:rsidRDefault="006A4BF8" w:rsidP="00434A6A">
      <w:pPr>
        <w:rPr>
          <w:rFonts w:asciiTheme="minorBidi" w:hAnsiTheme="minorBidi"/>
          <w:rtl/>
        </w:rPr>
      </w:pPr>
    </w:p>
    <w:p w14:paraId="0E31C900" w14:textId="77777777" w:rsidR="006A4BF8" w:rsidRDefault="006A4BF8" w:rsidP="00434A6A">
      <w:pPr>
        <w:pStyle w:val="1"/>
        <w:rPr>
          <w:rFonts w:asciiTheme="minorBidi" w:hAnsiTheme="minorBidi"/>
          <w:rtl/>
        </w:rPr>
        <w:sectPr w:rsidR="006A4BF8" w:rsidSect="00BD29B1">
          <w:headerReference w:type="default" r:id="rId96"/>
          <w:footnotePr>
            <w:numRestart w:val="eachSect"/>
          </w:footnotePr>
          <w:pgSz w:w="11906" w:h="16838"/>
          <w:pgMar w:top="720" w:right="1134" w:bottom="720" w:left="1134" w:header="0" w:footer="0" w:gutter="0"/>
          <w:cols w:space="720"/>
          <w:bidi/>
          <w:rtlGutter/>
          <w:docGrid w:linePitch="360"/>
        </w:sectPr>
      </w:pPr>
    </w:p>
    <w:p w14:paraId="26F8BD6C" w14:textId="77777777" w:rsidR="006A4BF8" w:rsidRPr="005275DF" w:rsidRDefault="006A4BF8" w:rsidP="00434A6A">
      <w:pPr>
        <w:pStyle w:val="1"/>
        <w:rPr>
          <w:rFonts w:asciiTheme="minorBidi" w:hAnsiTheme="minorBidi"/>
          <w:rtl/>
        </w:rPr>
      </w:pPr>
      <w:r w:rsidRPr="005275DF">
        <w:rPr>
          <w:rFonts w:asciiTheme="minorBidi" w:hAnsiTheme="minorBidi"/>
          <w:rtl/>
        </w:rPr>
        <w:t>סימן של: דיני יולדת בשבת</w:t>
      </w:r>
      <w:r>
        <w:rPr>
          <w:rFonts w:asciiTheme="minorBidi" w:hAnsiTheme="minorBidi" w:hint="cs"/>
          <w:rtl/>
        </w:rPr>
        <w:t>, ובו יא' סעיפים</w:t>
      </w:r>
      <w:r w:rsidRPr="005275DF">
        <w:rPr>
          <w:rFonts w:asciiTheme="minorBidi" w:hAnsiTheme="minorBidi"/>
          <w:rtl/>
        </w:rPr>
        <w:t xml:space="preserve">. </w:t>
      </w:r>
    </w:p>
    <w:p w14:paraId="2F87A975"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א: חילול שבת על יולדת.</w:t>
      </w:r>
    </w:p>
    <w:p w14:paraId="027CC373"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קכח ע"ב: </w:t>
      </w:r>
      <w:r w:rsidRPr="005275DF">
        <w:rPr>
          <w:rFonts w:asciiTheme="minorBidi" w:hAnsiTheme="minorBidi"/>
          <w:u w:val="double"/>
          <w:rtl/>
        </w:rPr>
        <w:t>משנה</w:t>
      </w:r>
      <w:r w:rsidRPr="005275DF">
        <w:rPr>
          <w:rFonts w:asciiTheme="minorBidi" w:hAnsiTheme="minorBidi"/>
          <w:rtl/>
        </w:rPr>
        <w:t xml:space="preserve">: אין מילדין את הבהמה... ומילדין את האשה בשבת, וקורין לה חכמה ממקום למקום, ומחללין עליה את השבת וקושרין את הטיבור... </w:t>
      </w:r>
      <w:r w:rsidRPr="005275DF">
        <w:rPr>
          <w:rFonts w:asciiTheme="minorBidi" w:hAnsiTheme="minorBidi"/>
          <w:u w:val="double"/>
          <w:rtl/>
        </w:rPr>
        <w:t>גמ':</w:t>
      </w:r>
      <w:r w:rsidRPr="005275DF">
        <w:rPr>
          <w:rFonts w:asciiTheme="minorBidi" w:hAnsiTheme="minorBidi"/>
          <w:rtl/>
        </w:rPr>
        <w:t xml:space="preserve"> מכדי תנא ליה מילדין את האשה וקורין לה חכמה ממקום למקום- ומחללין עליה את השבת לאתויי מאי? לאתויי הא דתנו רבנן: אם היתה צריכה לנר - חבירתה מדלקת לה את הנר, ואם היתה צריכה לשמן - חבירתה מביאה לה שמן</w:t>
      </w:r>
      <w:r w:rsidRPr="005275DF">
        <w:rPr>
          <w:rStyle w:val="a9"/>
          <w:rFonts w:asciiTheme="minorBidi" w:hAnsiTheme="minorBidi"/>
          <w:rtl/>
        </w:rPr>
        <w:footnoteReference w:id="3431"/>
      </w:r>
      <w:r w:rsidRPr="005275DF">
        <w:rPr>
          <w:rFonts w:asciiTheme="minorBidi" w:hAnsiTheme="minorBidi"/>
          <w:rtl/>
        </w:rPr>
        <w:t xml:space="preserve"> ביד</w:t>
      </w:r>
      <w:r w:rsidRPr="005275DF">
        <w:rPr>
          <w:rStyle w:val="a9"/>
          <w:rFonts w:asciiTheme="minorBidi" w:hAnsiTheme="minorBidi"/>
          <w:rtl/>
        </w:rPr>
        <w:footnoteReference w:id="3432"/>
      </w:r>
      <w:r w:rsidRPr="005275DF">
        <w:rPr>
          <w:rFonts w:asciiTheme="minorBidi" w:hAnsiTheme="minorBidi"/>
          <w:rtl/>
        </w:rPr>
        <w:t>, ואם אינו ספק ביד - מביאה בשערה</w:t>
      </w:r>
      <w:r w:rsidRPr="005275DF">
        <w:rPr>
          <w:rStyle w:val="a9"/>
          <w:rFonts w:asciiTheme="minorBidi" w:hAnsiTheme="minorBidi"/>
          <w:rtl/>
        </w:rPr>
        <w:footnoteReference w:id="3433"/>
      </w:r>
      <w:r w:rsidRPr="005275DF">
        <w:rPr>
          <w:rFonts w:asciiTheme="minorBidi" w:hAnsiTheme="minorBidi"/>
          <w:rtl/>
        </w:rPr>
        <w:t xml:space="preserve">, ואם אינו ספק בשערה - מביאה לה בכלי. </w:t>
      </w:r>
      <w:r w:rsidRPr="005275DF">
        <w:rPr>
          <w:rFonts w:asciiTheme="minorBidi" w:hAnsiTheme="minorBidi"/>
          <w:u w:val="single"/>
          <w:rtl/>
        </w:rPr>
        <w:t>אמר מר</w:t>
      </w:r>
      <w:r w:rsidRPr="005275DF">
        <w:rPr>
          <w:rFonts w:asciiTheme="minorBidi" w:hAnsiTheme="minorBidi"/>
          <w:rtl/>
        </w:rPr>
        <w:t>: אם היתה צריכה לנר - חבירתה מדלקת לה את הנר. פשיטא</w:t>
      </w:r>
      <w:r w:rsidRPr="005275DF">
        <w:rPr>
          <w:rStyle w:val="a9"/>
          <w:rFonts w:asciiTheme="minorBidi" w:hAnsiTheme="minorBidi"/>
          <w:rtl/>
        </w:rPr>
        <w:footnoteReference w:id="3434"/>
      </w:r>
      <w:r w:rsidRPr="005275DF">
        <w:rPr>
          <w:rFonts w:asciiTheme="minorBidi" w:hAnsiTheme="minorBidi"/>
          <w:rtl/>
        </w:rPr>
        <w:t>! לא צריכא בסומא. מהו דתימא: כיון דלא חזיא אסור, קא משמע לן איתובי מיתבא דעתה, סברא אי איכא מידי חזיא חבירתה ועבדה לי. אם היתה צריכה לשמן וכו'. תיפוק ליה משום סחיטה</w:t>
      </w:r>
      <w:r w:rsidRPr="005275DF">
        <w:rPr>
          <w:rStyle w:val="a9"/>
          <w:rFonts w:asciiTheme="minorBidi" w:hAnsiTheme="minorBidi"/>
          <w:rtl/>
        </w:rPr>
        <w:footnoteReference w:id="3435"/>
      </w:r>
      <w:r w:rsidRPr="005275DF">
        <w:rPr>
          <w:rFonts w:asciiTheme="minorBidi" w:hAnsiTheme="minorBidi"/>
          <w:rtl/>
        </w:rPr>
        <w:t xml:space="preserve">! </w:t>
      </w:r>
      <w:r w:rsidRPr="005275DF">
        <w:rPr>
          <w:rFonts w:asciiTheme="minorBidi" w:hAnsiTheme="minorBidi"/>
          <w:u w:val="single"/>
          <w:rtl/>
        </w:rPr>
        <w:t>רבה ורב יוסף דאמרי תרוייהו:</w:t>
      </w:r>
      <w:r w:rsidRPr="005275DF">
        <w:rPr>
          <w:rFonts w:asciiTheme="minorBidi" w:hAnsiTheme="minorBidi"/>
          <w:rtl/>
        </w:rPr>
        <w:t xml:space="preserve"> אין סחיטה בשיער</w:t>
      </w:r>
      <w:r w:rsidRPr="005275DF">
        <w:rPr>
          <w:rStyle w:val="a9"/>
          <w:rFonts w:asciiTheme="minorBidi" w:hAnsiTheme="minorBidi"/>
          <w:rtl/>
        </w:rPr>
        <w:footnoteReference w:id="3436"/>
      </w:r>
      <w:r w:rsidRPr="005275DF">
        <w:rPr>
          <w:rFonts w:asciiTheme="minorBidi" w:hAnsiTheme="minorBidi"/>
          <w:rtl/>
        </w:rPr>
        <w:t xml:space="preserve">. </w:t>
      </w:r>
      <w:r w:rsidRPr="005275DF">
        <w:rPr>
          <w:rFonts w:asciiTheme="minorBidi" w:hAnsiTheme="minorBidi"/>
          <w:u w:val="single"/>
          <w:rtl/>
        </w:rPr>
        <w:t>רב אשי אמר:</w:t>
      </w:r>
      <w:r w:rsidRPr="005275DF">
        <w:rPr>
          <w:rFonts w:asciiTheme="minorBidi" w:hAnsiTheme="minorBidi"/>
          <w:rtl/>
        </w:rPr>
        <w:t xml:space="preserve"> אפילו תימא יש סחיטה בשיער - מביאה לה בכלי דרך שערה</w:t>
      </w:r>
      <w:r w:rsidRPr="005275DF">
        <w:rPr>
          <w:rStyle w:val="a9"/>
          <w:rFonts w:asciiTheme="minorBidi" w:hAnsiTheme="minorBidi"/>
          <w:rtl/>
        </w:rPr>
        <w:footnoteReference w:id="3437"/>
      </w:r>
      <w:r w:rsidRPr="005275DF">
        <w:rPr>
          <w:rFonts w:asciiTheme="minorBidi" w:hAnsiTheme="minorBidi"/>
          <w:rtl/>
        </w:rPr>
        <w:t xml:space="preserve">. דכמה דאפשר לשנויי - משנינן.  </w:t>
      </w:r>
    </w:p>
    <w:p w14:paraId="0762D35F"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55386A7" w14:textId="77777777" w:rsidR="006A4BF8" w:rsidRPr="005275DF" w:rsidRDefault="006A4BF8" w:rsidP="00434A6A">
      <w:pPr>
        <w:rPr>
          <w:rFonts w:asciiTheme="minorBidi" w:hAnsiTheme="minorBidi"/>
          <w:rtl/>
        </w:rPr>
      </w:pPr>
      <w:r w:rsidRPr="005275DF">
        <w:rPr>
          <w:rFonts w:asciiTheme="minorBidi" w:hAnsiTheme="minorBidi"/>
          <w:rtl/>
        </w:rPr>
        <w:t>יולדת היא כחולה שיש בו סכנה</w:t>
      </w:r>
      <w:r w:rsidRPr="005275DF">
        <w:rPr>
          <w:rStyle w:val="a9"/>
          <w:rFonts w:asciiTheme="minorBidi" w:hAnsiTheme="minorBidi"/>
          <w:rtl/>
        </w:rPr>
        <w:footnoteReference w:id="3438"/>
      </w:r>
      <w:r w:rsidRPr="005275DF">
        <w:rPr>
          <w:rFonts w:asciiTheme="minorBidi" w:hAnsiTheme="minorBidi"/>
          <w:rtl/>
        </w:rPr>
        <w:t xml:space="preserve"> ומחללין עליה השבת לכל מה שצריכה</w:t>
      </w:r>
      <w:r w:rsidRPr="005275DF">
        <w:rPr>
          <w:rStyle w:val="a9"/>
          <w:rFonts w:asciiTheme="minorBidi" w:hAnsiTheme="minorBidi"/>
          <w:rtl/>
        </w:rPr>
        <w:footnoteReference w:id="3439"/>
      </w:r>
      <w:r w:rsidRPr="005275DF">
        <w:rPr>
          <w:rFonts w:asciiTheme="minorBidi" w:hAnsiTheme="minorBidi"/>
          <w:rtl/>
        </w:rPr>
        <w:t>, קוראין לה חכמה ממקום למקום, ומילדין</w:t>
      </w:r>
      <w:r w:rsidRPr="005275DF">
        <w:rPr>
          <w:rFonts w:asciiTheme="minorBidi" w:hAnsiTheme="minorBidi"/>
          <w:sz w:val="18"/>
          <w:szCs w:val="18"/>
          <w:rtl/>
        </w:rPr>
        <w:t xml:space="preserve"> הגה: אותה</w:t>
      </w:r>
      <w:r w:rsidRPr="005275DF">
        <w:rPr>
          <w:rFonts w:asciiTheme="minorBidi" w:hAnsiTheme="minorBidi"/>
          <w:rtl/>
        </w:rPr>
        <w:t xml:space="preserve"> ומדליקין לה נר אפילו היא סומא</w:t>
      </w:r>
      <w:r w:rsidRPr="005275DF">
        <w:rPr>
          <w:rStyle w:val="a9"/>
          <w:rFonts w:asciiTheme="minorBidi" w:hAnsiTheme="minorBidi"/>
          <w:rtl/>
        </w:rPr>
        <w:footnoteReference w:id="3440"/>
      </w:r>
      <w:r w:rsidRPr="005275DF">
        <w:rPr>
          <w:rFonts w:asciiTheme="minorBidi" w:hAnsiTheme="minorBidi"/>
          <w:rtl/>
        </w:rPr>
        <w:t>, ומכל מקום בכל מה שיכולין לשנות משנין</w:t>
      </w:r>
      <w:r w:rsidRPr="005275DF">
        <w:rPr>
          <w:rStyle w:val="a9"/>
          <w:rFonts w:asciiTheme="minorBidi" w:hAnsiTheme="minorBidi"/>
          <w:rtl/>
        </w:rPr>
        <w:footnoteReference w:id="3441"/>
      </w:r>
      <w:r w:rsidRPr="005275DF">
        <w:rPr>
          <w:rFonts w:asciiTheme="minorBidi" w:hAnsiTheme="minorBidi"/>
          <w:rtl/>
        </w:rPr>
        <w:t xml:space="preserve">, כגון אם צריכים להביא לה כלי מביאו לה חברתה תלוי בשערה, וכן כל כיוצא בזה. </w:t>
      </w:r>
    </w:p>
    <w:p w14:paraId="2061ACC5" w14:textId="77777777" w:rsidR="006A4BF8" w:rsidRPr="005275DF" w:rsidRDefault="006A4BF8" w:rsidP="00434A6A">
      <w:pPr>
        <w:rPr>
          <w:rFonts w:asciiTheme="minorBidi" w:hAnsiTheme="minorBidi"/>
          <w:rtl/>
        </w:rPr>
      </w:pPr>
    </w:p>
    <w:p w14:paraId="5E2DD2B6"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ב: יולדת נכרית.</w:t>
      </w:r>
    </w:p>
    <w:p w14:paraId="1EF98575" w14:textId="77777777" w:rsidR="006A4BF8" w:rsidRPr="005275DF" w:rsidRDefault="006A4BF8" w:rsidP="00434A6A">
      <w:pPr>
        <w:rPr>
          <w:rFonts w:asciiTheme="minorBidi" w:hAnsiTheme="minorBidi"/>
          <w:rtl/>
        </w:rPr>
      </w:pPr>
      <w:r w:rsidRPr="005275DF">
        <w:rPr>
          <w:rFonts w:asciiTheme="minorBidi" w:hAnsiTheme="minorBidi"/>
          <w:b/>
          <w:bCs/>
          <w:rtl/>
        </w:rPr>
        <w:t xml:space="preserve">עבודה זרה כו ע"א: </w:t>
      </w:r>
      <w:r w:rsidRPr="005275DF">
        <w:rPr>
          <w:rFonts w:asciiTheme="minorBidi" w:hAnsiTheme="minorBidi"/>
          <w:u w:val="double"/>
          <w:rtl/>
        </w:rPr>
        <w:t>משנה</w:t>
      </w:r>
      <w:r w:rsidRPr="005275DF">
        <w:rPr>
          <w:rFonts w:asciiTheme="minorBidi" w:hAnsiTheme="minorBidi"/>
          <w:rtl/>
        </w:rPr>
        <w:t>: בת ישראל לא תיילד את העובדת כוכבים</w:t>
      </w:r>
      <w:r w:rsidRPr="005275DF">
        <w:rPr>
          <w:rStyle w:val="a9"/>
          <w:rFonts w:asciiTheme="minorBidi" w:hAnsiTheme="minorBidi"/>
          <w:rtl/>
        </w:rPr>
        <w:footnoteReference w:id="3442"/>
      </w:r>
      <w:r w:rsidRPr="005275DF">
        <w:rPr>
          <w:rFonts w:asciiTheme="minorBidi" w:hAnsiTheme="minorBidi"/>
          <w:rtl/>
        </w:rPr>
        <w:t xml:space="preserve">, מפני שמילדת בן לעבודת כוכבים...    </w:t>
      </w:r>
      <w:r w:rsidRPr="005275DF">
        <w:rPr>
          <w:rFonts w:asciiTheme="minorBidi" w:hAnsiTheme="minorBidi"/>
          <w:u w:val="double"/>
          <w:rtl/>
        </w:rPr>
        <w:t>גמ':</w:t>
      </w:r>
      <w:r w:rsidRPr="005275DF">
        <w:rPr>
          <w:rFonts w:asciiTheme="minorBidi" w:hAnsiTheme="minorBidi"/>
          <w:rtl/>
        </w:rPr>
        <w:t xml:space="preserve"> ורמינהו: יהודית מילדת עובדת כוכבים בשכר אבל לא בחנם! </w:t>
      </w:r>
      <w:r w:rsidRPr="005275DF">
        <w:rPr>
          <w:rFonts w:asciiTheme="minorBidi" w:hAnsiTheme="minorBidi"/>
          <w:u w:val="single"/>
          <w:rtl/>
        </w:rPr>
        <w:t>אמר רב יוסף</w:t>
      </w:r>
      <w:r w:rsidRPr="005275DF">
        <w:rPr>
          <w:rFonts w:asciiTheme="minorBidi" w:hAnsiTheme="minorBidi"/>
          <w:rtl/>
        </w:rPr>
        <w:t xml:space="preserve">: בשכר שרי משום איבה. </w:t>
      </w:r>
      <w:r w:rsidRPr="005275DF">
        <w:rPr>
          <w:rFonts w:asciiTheme="minorBidi" w:hAnsiTheme="minorBidi"/>
          <w:u w:val="single"/>
          <w:rtl/>
        </w:rPr>
        <w:t>סבר רב יוסף למימר</w:t>
      </w:r>
      <w:r w:rsidRPr="005275DF">
        <w:rPr>
          <w:rFonts w:asciiTheme="minorBidi" w:hAnsiTheme="minorBidi"/>
          <w:rtl/>
        </w:rPr>
        <w:t>: אולודי עובדת כוכבים בשבתא בשכר שרי</w:t>
      </w:r>
      <w:r w:rsidRPr="005275DF">
        <w:rPr>
          <w:rStyle w:val="a9"/>
          <w:rFonts w:asciiTheme="minorBidi" w:hAnsiTheme="minorBidi"/>
          <w:rtl/>
        </w:rPr>
        <w:footnoteReference w:id="3443"/>
      </w:r>
      <w:r w:rsidRPr="005275DF">
        <w:rPr>
          <w:rFonts w:asciiTheme="minorBidi" w:hAnsiTheme="minorBidi"/>
          <w:rtl/>
        </w:rPr>
        <w:t xml:space="preserve"> משום איבה, </w:t>
      </w:r>
      <w:r w:rsidRPr="005275DF">
        <w:rPr>
          <w:rFonts w:asciiTheme="minorBidi" w:hAnsiTheme="minorBidi"/>
          <w:u w:val="single"/>
          <w:rtl/>
        </w:rPr>
        <w:t>א"ל אביי</w:t>
      </w:r>
      <w:r w:rsidRPr="005275DF">
        <w:rPr>
          <w:rFonts w:asciiTheme="minorBidi" w:hAnsiTheme="minorBidi"/>
          <w:rtl/>
        </w:rPr>
        <w:t xml:space="preserve"> יכלה למימר לה: דידן דמינטרי שבתא מחללינן עלייהו דידכו דלא מינטרי שבתא לא מחללינן</w:t>
      </w:r>
      <w:r w:rsidRPr="005275DF">
        <w:rPr>
          <w:rStyle w:val="a9"/>
          <w:rFonts w:asciiTheme="minorBidi" w:hAnsiTheme="minorBidi"/>
          <w:rtl/>
        </w:rPr>
        <w:footnoteReference w:id="3444"/>
      </w:r>
      <w:r w:rsidRPr="005275DF">
        <w:rPr>
          <w:rFonts w:asciiTheme="minorBidi" w:hAnsiTheme="minorBidi"/>
          <w:rtl/>
        </w:rPr>
        <w:t>.</w:t>
      </w:r>
    </w:p>
    <w:p w14:paraId="65819E36"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89F6D1C" w14:textId="77777777" w:rsidR="006A4BF8" w:rsidRPr="005275DF" w:rsidRDefault="006A4BF8" w:rsidP="00434A6A">
      <w:pPr>
        <w:rPr>
          <w:rFonts w:asciiTheme="minorBidi" w:hAnsiTheme="minorBidi"/>
          <w:rtl/>
        </w:rPr>
      </w:pPr>
      <w:r w:rsidRPr="005275DF">
        <w:rPr>
          <w:rFonts w:asciiTheme="minorBidi" w:hAnsiTheme="minorBidi"/>
          <w:rtl/>
        </w:rPr>
        <w:t>נכרית</w:t>
      </w:r>
      <w:r w:rsidRPr="005275DF">
        <w:rPr>
          <w:rStyle w:val="a9"/>
          <w:rFonts w:asciiTheme="minorBidi" w:hAnsiTheme="minorBidi"/>
          <w:rtl/>
        </w:rPr>
        <w:footnoteReference w:id="3445"/>
      </w:r>
      <w:r w:rsidRPr="005275DF">
        <w:rPr>
          <w:rFonts w:asciiTheme="minorBidi" w:hAnsiTheme="minorBidi"/>
          <w:rtl/>
        </w:rPr>
        <w:t xml:space="preserve"> אין מילדין אותה בשבת</w:t>
      </w:r>
      <w:r w:rsidRPr="005275DF">
        <w:rPr>
          <w:rStyle w:val="a9"/>
          <w:rFonts w:asciiTheme="minorBidi" w:hAnsiTheme="minorBidi"/>
          <w:rtl/>
        </w:rPr>
        <w:footnoteReference w:id="3446"/>
      </w:r>
      <w:r w:rsidRPr="005275DF">
        <w:rPr>
          <w:rFonts w:asciiTheme="minorBidi" w:hAnsiTheme="minorBidi"/>
          <w:rtl/>
        </w:rPr>
        <w:t xml:space="preserve"> אפילו בדבר שאין בו חילול שבת</w:t>
      </w:r>
      <w:r w:rsidRPr="005275DF">
        <w:rPr>
          <w:rStyle w:val="a9"/>
          <w:rFonts w:asciiTheme="minorBidi" w:hAnsiTheme="minorBidi"/>
          <w:rtl/>
        </w:rPr>
        <w:footnoteReference w:id="3447"/>
      </w:r>
      <w:r w:rsidRPr="005275DF">
        <w:rPr>
          <w:rFonts w:asciiTheme="minorBidi" w:hAnsiTheme="minorBidi"/>
          <w:rtl/>
        </w:rPr>
        <w:t xml:space="preserve">. </w:t>
      </w:r>
    </w:p>
    <w:p w14:paraId="5729AFCD" w14:textId="77777777" w:rsidR="006A4BF8" w:rsidRPr="005275DF" w:rsidRDefault="006A4BF8" w:rsidP="00434A6A">
      <w:pPr>
        <w:rPr>
          <w:rFonts w:asciiTheme="minorBidi" w:hAnsiTheme="minorBidi"/>
          <w:rtl/>
        </w:rPr>
      </w:pPr>
    </w:p>
    <w:p w14:paraId="754A2323"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 xml:space="preserve">סעיף ג: מאימתי נקראת יולדת לחלל עליה שבת. </w:t>
      </w:r>
    </w:p>
    <w:p w14:paraId="3832E37C"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קכח ע"ב: </w:t>
      </w:r>
      <w:r w:rsidRPr="005275DF">
        <w:rPr>
          <w:rFonts w:asciiTheme="minorBidi" w:hAnsiTheme="minorBidi"/>
          <w:u w:val="single"/>
          <w:rtl/>
        </w:rPr>
        <w:t>אמר רב יהודה אמר שמואל</w:t>
      </w:r>
      <w:r w:rsidRPr="005275DF">
        <w:rPr>
          <w:rFonts w:asciiTheme="minorBidi" w:hAnsiTheme="minorBidi"/>
          <w:rtl/>
        </w:rPr>
        <w:t>: חיה, כל זמן שהקבר</w:t>
      </w:r>
      <w:r w:rsidRPr="005275DF">
        <w:rPr>
          <w:rStyle w:val="a9"/>
          <w:rFonts w:asciiTheme="minorBidi" w:hAnsiTheme="minorBidi"/>
          <w:rtl/>
        </w:rPr>
        <w:footnoteReference w:id="3448"/>
      </w:r>
      <w:r w:rsidRPr="005275DF">
        <w:rPr>
          <w:rFonts w:asciiTheme="minorBidi" w:hAnsiTheme="minorBidi"/>
          <w:rtl/>
        </w:rPr>
        <w:t xml:space="preserve"> פתוח, בין אמרה צריכה אני בין לא אמרה צריכה אני - מחללין עליה את השבת....  </w:t>
      </w:r>
      <w:r w:rsidRPr="005275DF">
        <w:rPr>
          <w:rFonts w:asciiTheme="minorBidi" w:hAnsiTheme="minorBidi"/>
          <w:sz w:val="16"/>
          <w:szCs w:val="16"/>
          <w:u w:val="double"/>
          <w:rtl/>
        </w:rPr>
        <w:t>(קכט.)</w:t>
      </w:r>
      <w:r w:rsidRPr="005275DF">
        <w:rPr>
          <w:rFonts w:asciiTheme="minorBidi" w:hAnsiTheme="minorBidi"/>
          <w:rtl/>
        </w:rPr>
        <w:t xml:space="preserve"> מאימתי פתיחת הקבר? </w:t>
      </w:r>
      <w:r w:rsidRPr="005275DF">
        <w:rPr>
          <w:rFonts w:asciiTheme="minorBidi" w:hAnsiTheme="minorBidi"/>
          <w:u w:val="single"/>
          <w:rtl/>
        </w:rPr>
        <w:t>אמר אביי</w:t>
      </w:r>
      <w:r w:rsidRPr="005275DF">
        <w:rPr>
          <w:rFonts w:asciiTheme="minorBidi" w:hAnsiTheme="minorBidi"/>
          <w:rtl/>
        </w:rPr>
        <w:t xml:space="preserve">: משעה שתשב על המשבר. </w:t>
      </w:r>
      <w:r w:rsidRPr="005275DF">
        <w:rPr>
          <w:rFonts w:asciiTheme="minorBidi" w:hAnsiTheme="minorBidi"/>
          <w:u w:val="single"/>
          <w:rtl/>
        </w:rPr>
        <w:t>רב הונא בריה דרב יהושע אמר</w:t>
      </w:r>
      <w:r w:rsidRPr="005275DF">
        <w:rPr>
          <w:rFonts w:asciiTheme="minorBidi" w:hAnsiTheme="minorBidi"/>
          <w:rtl/>
        </w:rPr>
        <w:t xml:space="preserve">: משעה שהדם שותת ויורד. </w:t>
      </w:r>
      <w:r w:rsidRPr="005275DF">
        <w:rPr>
          <w:rFonts w:asciiTheme="minorBidi" w:hAnsiTheme="minorBidi"/>
          <w:u w:val="single"/>
          <w:rtl/>
        </w:rPr>
        <w:t>ואמרי לה</w:t>
      </w:r>
      <w:r w:rsidRPr="005275DF">
        <w:rPr>
          <w:rFonts w:asciiTheme="minorBidi" w:hAnsiTheme="minorBidi"/>
          <w:rtl/>
        </w:rPr>
        <w:t>: משעה שחברותיה נושאות אותה באגפיה</w:t>
      </w:r>
      <w:r w:rsidRPr="005275DF">
        <w:rPr>
          <w:rStyle w:val="a9"/>
          <w:rFonts w:asciiTheme="minorBidi" w:hAnsiTheme="minorBidi"/>
          <w:rtl/>
        </w:rPr>
        <w:footnoteReference w:id="3449"/>
      </w:r>
      <w:r w:rsidRPr="005275DF">
        <w:rPr>
          <w:rFonts w:asciiTheme="minorBidi" w:hAnsiTheme="minorBidi"/>
          <w:rtl/>
        </w:rPr>
        <w:t>.</w:t>
      </w:r>
    </w:p>
    <w:p w14:paraId="134DE9EF" w14:textId="77777777" w:rsidR="006A4BF8" w:rsidRPr="005275DF" w:rsidRDefault="006A4BF8" w:rsidP="00434A6A">
      <w:pPr>
        <w:rPr>
          <w:rFonts w:asciiTheme="minorBidi" w:hAnsiTheme="minorBidi"/>
          <w:u w:val="single"/>
          <w:rtl/>
        </w:rPr>
      </w:pPr>
      <w:r w:rsidRPr="005275DF">
        <w:rPr>
          <w:rFonts w:asciiTheme="minorBidi" w:hAnsiTheme="minorBidi"/>
          <w:u w:val="single"/>
          <w:rtl/>
        </w:rPr>
        <w:t>כיצד נפסק:</w:t>
      </w:r>
    </w:p>
    <w:p w14:paraId="2F144028" w14:textId="77777777" w:rsidR="006A4BF8" w:rsidRPr="005275DF" w:rsidRDefault="006A4BF8" w:rsidP="00FF2D21">
      <w:pPr>
        <w:pStyle w:val="aa"/>
        <w:numPr>
          <w:ilvl w:val="0"/>
          <w:numId w:val="73"/>
        </w:numPr>
        <w:rPr>
          <w:rFonts w:asciiTheme="minorBidi" w:hAnsiTheme="minorBidi"/>
          <w:rtl/>
        </w:rPr>
      </w:pPr>
      <w:r w:rsidRPr="005275DF">
        <w:rPr>
          <w:rFonts w:asciiTheme="minorBidi" w:hAnsiTheme="minorBidi"/>
          <w:rtl/>
        </w:rPr>
        <w:t>רמב"ן- כיון דשיעורי לא תלו בהדדי ואית בנשי דלא יתבה על משבר כלל משום שהולד ממהר לצאת, לכן משעה שישבה על המשבר או ששותת הדם ויורד או שחברותיה נושאות אותה באגפיה הרי היא בחזקת מסוכנת ועושין לה.</w:t>
      </w:r>
      <w:r w:rsidRPr="005275DF">
        <w:rPr>
          <w:rFonts w:asciiTheme="minorBidi" w:hAnsiTheme="minorBidi"/>
          <w:color w:val="E36C0A" w:themeColor="accent6" w:themeShade="BF"/>
          <w:rtl/>
        </w:rPr>
        <w:t xml:space="preserve"> (וכ"פ בשו"ע)</w:t>
      </w:r>
    </w:p>
    <w:p w14:paraId="36EDF933" w14:textId="77777777" w:rsidR="006A4BF8" w:rsidRPr="005275DF" w:rsidRDefault="006A4BF8" w:rsidP="00FF2D21">
      <w:pPr>
        <w:pStyle w:val="aa"/>
        <w:numPr>
          <w:ilvl w:val="0"/>
          <w:numId w:val="73"/>
        </w:numPr>
        <w:rPr>
          <w:rFonts w:asciiTheme="minorBidi" w:hAnsiTheme="minorBidi"/>
          <w:rtl/>
        </w:rPr>
      </w:pPr>
      <w:r w:rsidRPr="005275DF">
        <w:rPr>
          <w:rFonts w:asciiTheme="minorBidi" w:hAnsiTheme="minorBidi"/>
          <w:rtl/>
        </w:rPr>
        <w:t xml:space="preserve">הרמב"ם </w:t>
      </w:r>
      <w:r w:rsidRPr="005275DF">
        <w:rPr>
          <w:rFonts w:asciiTheme="minorBidi" w:hAnsiTheme="minorBidi"/>
          <w:sz w:val="16"/>
          <w:szCs w:val="16"/>
          <w:rtl/>
        </w:rPr>
        <w:t xml:space="preserve">(פ"ב הי"ג) </w:t>
      </w:r>
      <w:r w:rsidRPr="005275DF">
        <w:rPr>
          <w:rFonts w:asciiTheme="minorBidi" w:hAnsiTheme="minorBidi"/>
          <w:rtl/>
        </w:rPr>
        <w:t xml:space="preserve">רא"ש </w:t>
      </w:r>
      <w:r w:rsidRPr="005275DF">
        <w:rPr>
          <w:rFonts w:asciiTheme="minorBidi" w:hAnsiTheme="minorBidi"/>
          <w:sz w:val="16"/>
          <w:szCs w:val="16"/>
          <w:rtl/>
        </w:rPr>
        <w:t xml:space="preserve">(סי' ה) </w:t>
      </w:r>
      <w:r w:rsidRPr="005275DF">
        <w:rPr>
          <w:rFonts w:asciiTheme="minorBidi" w:hAnsiTheme="minorBidi"/>
          <w:rtl/>
        </w:rPr>
        <w:t xml:space="preserve">ור"ן </w:t>
      </w:r>
      <w:r w:rsidRPr="005275DF">
        <w:rPr>
          <w:rFonts w:asciiTheme="minorBidi" w:hAnsiTheme="minorBidi"/>
          <w:sz w:val="16"/>
          <w:szCs w:val="16"/>
          <w:rtl/>
        </w:rPr>
        <w:t>(ד"ה אמר)</w:t>
      </w:r>
      <w:r w:rsidRPr="005275DF">
        <w:rPr>
          <w:rFonts w:asciiTheme="minorBidi" w:hAnsiTheme="minorBidi"/>
          <w:rtl/>
        </w:rPr>
        <w:t>- משעה שהדם שותת ויורד.</w:t>
      </w:r>
    </w:p>
    <w:p w14:paraId="627DFBFB" w14:textId="77777777" w:rsidR="006A4BF8" w:rsidRPr="005275DF" w:rsidRDefault="006A4BF8" w:rsidP="00FF2D21">
      <w:pPr>
        <w:pStyle w:val="aa"/>
        <w:numPr>
          <w:ilvl w:val="0"/>
          <w:numId w:val="73"/>
        </w:numPr>
        <w:rPr>
          <w:rFonts w:asciiTheme="minorBidi" w:hAnsiTheme="minorBidi"/>
        </w:rPr>
      </w:pPr>
      <w:r w:rsidRPr="005275DF">
        <w:rPr>
          <w:rFonts w:asciiTheme="minorBidi" w:hAnsiTheme="minorBidi"/>
          <w:rtl/>
        </w:rPr>
        <w:t xml:space="preserve">ר"ח ורי"ף </w:t>
      </w:r>
      <w:r w:rsidRPr="005275DF">
        <w:rPr>
          <w:rFonts w:asciiTheme="minorBidi" w:hAnsiTheme="minorBidi"/>
          <w:sz w:val="16"/>
          <w:szCs w:val="16"/>
          <w:rtl/>
        </w:rPr>
        <w:t>(נא:)</w:t>
      </w:r>
      <w:r w:rsidRPr="005275DF">
        <w:rPr>
          <w:rFonts w:asciiTheme="minorBidi" w:hAnsiTheme="minorBidi"/>
          <w:rtl/>
        </w:rPr>
        <w:t>- כאביי, היינו דלא מחללין עליה שבתא עד שיהא דם שותת ויורד ותשב על המשבר</w:t>
      </w:r>
      <w:r w:rsidRPr="005275DF">
        <w:rPr>
          <w:rStyle w:val="a9"/>
          <w:rFonts w:asciiTheme="minorBidi" w:hAnsiTheme="minorBidi"/>
          <w:rtl/>
        </w:rPr>
        <w:footnoteReference w:id="3450"/>
      </w:r>
      <w:r w:rsidRPr="005275DF">
        <w:rPr>
          <w:rFonts w:asciiTheme="minorBidi" w:hAnsiTheme="minorBidi"/>
          <w:rtl/>
        </w:rPr>
        <w:t xml:space="preserve"> </w:t>
      </w:r>
      <w:r w:rsidRPr="005275DF">
        <w:rPr>
          <w:rFonts w:asciiTheme="minorBidi" w:hAnsiTheme="minorBidi"/>
          <w:sz w:val="16"/>
          <w:szCs w:val="16"/>
          <w:rtl/>
        </w:rPr>
        <w:t>(דהא דאמר רב הונא "משעה שהדם שותת ויורד" הוא קודם "שתשב על המשבר" שאמר אביי</w:t>
      </w:r>
      <w:r w:rsidRPr="005275DF">
        <w:rPr>
          <w:rStyle w:val="a9"/>
          <w:rFonts w:asciiTheme="minorBidi" w:hAnsiTheme="minorBidi"/>
          <w:rtl/>
        </w:rPr>
        <w:footnoteReference w:id="3451"/>
      </w:r>
      <w:r w:rsidRPr="005275DF">
        <w:rPr>
          <w:rFonts w:asciiTheme="minorBidi" w:hAnsiTheme="minorBidi"/>
          <w:sz w:val="16"/>
          <w:szCs w:val="16"/>
          <w:rtl/>
        </w:rPr>
        <w:t>)</w:t>
      </w:r>
      <w:r w:rsidRPr="005275DF">
        <w:rPr>
          <w:rFonts w:asciiTheme="minorBidi" w:hAnsiTheme="minorBidi"/>
          <w:rtl/>
        </w:rPr>
        <w:t xml:space="preserve">. </w:t>
      </w:r>
    </w:p>
    <w:p w14:paraId="1638BFF3"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A28991B" w14:textId="77777777" w:rsidR="006A4BF8" w:rsidRPr="005275DF" w:rsidRDefault="006A4BF8" w:rsidP="00434A6A">
      <w:pPr>
        <w:rPr>
          <w:rFonts w:asciiTheme="minorBidi" w:hAnsiTheme="minorBidi"/>
          <w:rtl/>
        </w:rPr>
      </w:pPr>
      <w:r w:rsidRPr="005275DF">
        <w:rPr>
          <w:rFonts w:asciiTheme="minorBidi" w:hAnsiTheme="minorBidi"/>
          <w:rtl/>
        </w:rPr>
        <w:t>נקראת יולדת לחלל עליה שבת משתשב על המשבר או משעה שהדם שותת ויורד או משעה שחברותיה נושאות אותה בזרועותיה שאין בה כח להלוך, כיון שנראה אחד מאלו מחללין עליה את השבת</w:t>
      </w:r>
      <w:r w:rsidRPr="005275DF">
        <w:rPr>
          <w:rStyle w:val="a9"/>
          <w:rFonts w:asciiTheme="minorBidi" w:hAnsiTheme="minorBidi"/>
          <w:rtl/>
        </w:rPr>
        <w:footnoteReference w:id="3452"/>
      </w:r>
      <w:r w:rsidRPr="005275DF">
        <w:rPr>
          <w:rFonts w:asciiTheme="minorBidi" w:hAnsiTheme="minorBidi"/>
          <w:rtl/>
        </w:rPr>
        <w:t xml:space="preserve">. </w:t>
      </w:r>
    </w:p>
    <w:p w14:paraId="228673C2" w14:textId="77777777" w:rsidR="006A4BF8" w:rsidRPr="005275DF" w:rsidRDefault="006A4BF8" w:rsidP="00434A6A">
      <w:pPr>
        <w:rPr>
          <w:rFonts w:asciiTheme="minorBidi" w:hAnsiTheme="minorBidi"/>
          <w:rtl/>
        </w:rPr>
      </w:pPr>
    </w:p>
    <w:p w14:paraId="1B138FE1"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ד: עד אימתי מחללין עליה את השבת.</w:t>
      </w:r>
    </w:p>
    <w:p w14:paraId="58835945" w14:textId="77777777" w:rsidR="006A4BF8" w:rsidRPr="005275DF" w:rsidRDefault="006A4BF8" w:rsidP="00434A6A">
      <w:pPr>
        <w:rPr>
          <w:rFonts w:asciiTheme="minorBidi" w:hAnsiTheme="minorBidi"/>
          <w:sz w:val="16"/>
          <w:szCs w:val="16"/>
          <w:rtl/>
        </w:rPr>
      </w:pPr>
      <w:r w:rsidRPr="005275DF">
        <w:rPr>
          <w:rFonts w:asciiTheme="minorBidi" w:hAnsiTheme="minorBidi"/>
          <w:b/>
          <w:bCs/>
          <w:rtl/>
        </w:rPr>
        <w:t xml:space="preserve">שבת קכח ע"ב: </w:t>
      </w:r>
      <w:r w:rsidRPr="005275DF">
        <w:rPr>
          <w:rFonts w:asciiTheme="minorBidi" w:hAnsiTheme="minorBidi"/>
          <w:u w:val="dotted"/>
          <w:rtl/>
        </w:rPr>
        <w:t>אמר רב יהודה אמר שמואל</w:t>
      </w:r>
      <w:r w:rsidRPr="005275DF">
        <w:rPr>
          <w:rFonts w:asciiTheme="minorBidi" w:hAnsiTheme="minorBidi"/>
          <w:rtl/>
        </w:rPr>
        <w:t>: חיה, כל זמן שהקבר</w:t>
      </w:r>
      <w:r w:rsidRPr="005275DF">
        <w:rPr>
          <w:rStyle w:val="a9"/>
          <w:rFonts w:asciiTheme="minorBidi" w:hAnsiTheme="minorBidi"/>
          <w:rtl/>
        </w:rPr>
        <w:footnoteReference w:id="3453"/>
      </w:r>
      <w:r w:rsidRPr="005275DF">
        <w:rPr>
          <w:rFonts w:asciiTheme="minorBidi" w:hAnsiTheme="minorBidi"/>
          <w:rtl/>
        </w:rPr>
        <w:t xml:space="preserve"> פתוח, בין אמרה צריכה אני בין לא אמרה צריכה אני מחללין עליה את השבת. נסתם הקבר, בין אמרה צריכה אני בין לא אמרה צריכה אני אין מחללין עליה את השבת, </w:t>
      </w:r>
      <w:r w:rsidRPr="005275DF">
        <w:rPr>
          <w:rFonts w:asciiTheme="minorBidi" w:hAnsiTheme="minorBidi"/>
          <w:u w:val="single"/>
          <w:rtl/>
        </w:rPr>
        <w:t>רב אשי מתני הכי</w:t>
      </w:r>
      <w:r w:rsidRPr="005275DF">
        <w:rPr>
          <w:rFonts w:asciiTheme="minorBidi" w:hAnsiTheme="minorBidi"/>
          <w:rtl/>
        </w:rPr>
        <w:t xml:space="preserve">. </w:t>
      </w:r>
      <w:r w:rsidRPr="005275DF">
        <w:rPr>
          <w:rFonts w:asciiTheme="minorBidi" w:hAnsiTheme="minorBidi"/>
          <w:u w:val="single"/>
          <w:rtl/>
        </w:rPr>
        <w:t>מר זוטרא מתני הכי</w:t>
      </w:r>
      <w:r w:rsidRPr="005275DF">
        <w:rPr>
          <w:rFonts w:asciiTheme="minorBidi" w:hAnsiTheme="minorBidi"/>
          <w:rtl/>
        </w:rPr>
        <w:t xml:space="preserve">: </w:t>
      </w:r>
      <w:r w:rsidRPr="005275DF">
        <w:rPr>
          <w:rFonts w:asciiTheme="minorBidi" w:hAnsiTheme="minorBidi"/>
          <w:u w:val="dotted"/>
          <w:rtl/>
        </w:rPr>
        <w:t>אמר רב יהודה אמר שמואל:</w:t>
      </w:r>
      <w:r w:rsidRPr="005275DF">
        <w:rPr>
          <w:rFonts w:asciiTheme="minorBidi" w:hAnsiTheme="minorBidi"/>
          <w:rtl/>
        </w:rPr>
        <w:t xml:space="preserve"> חיה כל זמן שהקבר פתוח, בין אמרה צריכה אני ובין אמרה אין צריכה אני מחללין עליה את השבת. נסתם הקבר, אמרה צריכה אני מחללין עליה את השבת לא אמרה צריכה אני אין מחללין עליה את השבת. </w:t>
      </w:r>
      <w:r w:rsidRPr="005275DF">
        <w:rPr>
          <w:rFonts w:asciiTheme="minorBidi" w:hAnsiTheme="minorBidi"/>
          <w:u w:val="single"/>
          <w:rtl/>
        </w:rPr>
        <w:t>אמר ליה רבינא למרימר:</w:t>
      </w:r>
      <w:r w:rsidRPr="005275DF">
        <w:rPr>
          <w:rFonts w:asciiTheme="minorBidi" w:hAnsiTheme="minorBidi"/>
          <w:rtl/>
        </w:rPr>
        <w:t xml:space="preserve"> מר זוטרא מתני לקולא, ורב אשי מתני לחומרא, הלכתא כמאן? </w:t>
      </w:r>
      <w:r w:rsidRPr="005275DF">
        <w:rPr>
          <w:rFonts w:asciiTheme="minorBidi" w:hAnsiTheme="minorBidi"/>
          <w:u w:val="single"/>
          <w:rtl/>
        </w:rPr>
        <w:t>אמר ליה</w:t>
      </w:r>
      <w:r w:rsidRPr="005275DF">
        <w:rPr>
          <w:rFonts w:asciiTheme="minorBidi" w:hAnsiTheme="minorBidi"/>
          <w:rtl/>
        </w:rPr>
        <w:t xml:space="preserve">: הלכה כמר זוטרא, ספק נפשות להקל.... עד מתי פתיחת הקבר? </w:t>
      </w:r>
      <w:r w:rsidRPr="005275DF">
        <w:rPr>
          <w:rFonts w:asciiTheme="minorBidi" w:hAnsiTheme="minorBidi"/>
          <w:u w:val="single"/>
          <w:rtl/>
        </w:rPr>
        <w:t>אמר אביי:</w:t>
      </w:r>
      <w:r w:rsidRPr="005275DF">
        <w:rPr>
          <w:rFonts w:asciiTheme="minorBidi" w:hAnsiTheme="minorBidi"/>
          <w:rtl/>
        </w:rPr>
        <w:t xml:space="preserve"> שלשה ימים. </w:t>
      </w:r>
      <w:r w:rsidRPr="005275DF">
        <w:rPr>
          <w:rFonts w:asciiTheme="minorBidi" w:hAnsiTheme="minorBidi"/>
          <w:u w:val="single"/>
          <w:rtl/>
        </w:rPr>
        <w:t>רבא אמר משמיה דרב יהודה</w:t>
      </w:r>
      <w:r w:rsidRPr="005275DF">
        <w:rPr>
          <w:rFonts w:asciiTheme="minorBidi" w:hAnsiTheme="minorBidi"/>
          <w:rtl/>
        </w:rPr>
        <w:t xml:space="preserve">: שבעה, </w:t>
      </w:r>
      <w:r w:rsidRPr="005275DF">
        <w:rPr>
          <w:rFonts w:asciiTheme="minorBidi" w:hAnsiTheme="minorBidi"/>
          <w:u w:val="single"/>
          <w:rtl/>
        </w:rPr>
        <w:t>ואמרי לה</w:t>
      </w:r>
      <w:r w:rsidRPr="005275DF">
        <w:rPr>
          <w:rFonts w:asciiTheme="minorBidi" w:hAnsiTheme="minorBidi"/>
          <w:rtl/>
        </w:rPr>
        <w:t xml:space="preserve">: שלשים. </w:t>
      </w:r>
      <w:r w:rsidRPr="005275DF">
        <w:rPr>
          <w:rFonts w:asciiTheme="minorBidi" w:hAnsiTheme="minorBidi"/>
          <w:u w:val="single"/>
          <w:rtl/>
        </w:rPr>
        <w:t>אמרי נהרדעי</w:t>
      </w:r>
      <w:r w:rsidRPr="005275DF">
        <w:rPr>
          <w:rFonts w:asciiTheme="minorBidi" w:hAnsiTheme="minorBidi"/>
          <w:rtl/>
        </w:rPr>
        <w:t>: חיה שלשה, שבעה ושלשים. שלשה, בין אמרה צריכה אני ובין אמרה לא צריכה אני - מחללין עליה את השבת. שבעה, אמרה צריכה אני</w:t>
      </w:r>
      <w:r w:rsidRPr="005275DF">
        <w:rPr>
          <w:rStyle w:val="a9"/>
          <w:rFonts w:asciiTheme="minorBidi" w:hAnsiTheme="minorBidi"/>
          <w:rtl/>
        </w:rPr>
        <w:footnoteReference w:id="3454"/>
      </w:r>
      <w:r w:rsidRPr="005275DF">
        <w:rPr>
          <w:rFonts w:asciiTheme="minorBidi" w:hAnsiTheme="minorBidi"/>
          <w:rtl/>
        </w:rPr>
        <w:t xml:space="preserve"> - מחללין עליה את השבת, אמרה לא צריכה אני - אין מחללין עליה את השבת. שלשים, אפילו אמרה צריכה אני</w:t>
      </w:r>
      <w:r w:rsidRPr="005275DF">
        <w:rPr>
          <w:rStyle w:val="a9"/>
          <w:rFonts w:asciiTheme="minorBidi" w:hAnsiTheme="minorBidi"/>
          <w:rtl/>
        </w:rPr>
        <w:footnoteReference w:id="3455"/>
      </w:r>
      <w:r w:rsidRPr="005275DF">
        <w:rPr>
          <w:rFonts w:asciiTheme="minorBidi" w:hAnsiTheme="minorBidi"/>
          <w:rtl/>
        </w:rPr>
        <w:t xml:space="preserve"> - אין מחללין עליה את השבת</w:t>
      </w:r>
      <w:r w:rsidRPr="005275DF">
        <w:rPr>
          <w:rStyle w:val="a9"/>
          <w:rFonts w:asciiTheme="minorBidi" w:hAnsiTheme="minorBidi"/>
          <w:rtl/>
        </w:rPr>
        <w:footnoteReference w:id="3456"/>
      </w:r>
      <w:r w:rsidRPr="005275DF">
        <w:rPr>
          <w:rFonts w:asciiTheme="minorBidi" w:hAnsiTheme="minorBidi"/>
          <w:rtl/>
        </w:rPr>
        <w:t>, אבל עושין על ידי ארמאי</w:t>
      </w:r>
      <w:r w:rsidRPr="005275DF">
        <w:rPr>
          <w:rStyle w:val="a9"/>
          <w:rFonts w:asciiTheme="minorBidi" w:hAnsiTheme="minorBidi"/>
          <w:rtl/>
        </w:rPr>
        <w:footnoteReference w:id="3457"/>
      </w:r>
      <w:r w:rsidRPr="005275DF">
        <w:rPr>
          <w:rFonts w:asciiTheme="minorBidi" w:hAnsiTheme="minorBidi"/>
          <w:rtl/>
        </w:rPr>
        <w:t>.</w:t>
      </w:r>
      <w:r w:rsidRPr="005275DF">
        <w:rPr>
          <w:rFonts w:asciiTheme="minorBidi" w:hAnsiTheme="minorBidi"/>
          <w:sz w:val="16"/>
          <w:szCs w:val="16"/>
          <w:rtl/>
        </w:rPr>
        <w:t xml:space="preserve"> (והלכתא כדאמרי נהרדעי)</w:t>
      </w:r>
    </w:p>
    <w:p w14:paraId="42047E30" w14:textId="77777777" w:rsidR="006A4BF8" w:rsidRPr="005275DF" w:rsidRDefault="006A4BF8" w:rsidP="00434A6A">
      <w:pPr>
        <w:rPr>
          <w:rFonts w:asciiTheme="minorBidi" w:hAnsiTheme="minorBidi"/>
          <w:sz w:val="16"/>
          <w:szCs w:val="16"/>
          <w:rtl/>
        </w:rPr>
      </w:pPr>
      <w:r w:rsidRPr="005275DF">
        <w:rPr>
          <w:rFonts w:asciiTheme="minorBidi" w:hAnsiTheme="minorBidi"/>
          <w:u w:val="single"/>
          <w:rtl/>
        </w:rPr>
        <w:t>יולדת בתוך שלשה שאומרת שאינה צריכה</w:t>
      </w:r>
      <w:r w:rsidRPr="005275DF">
        <w:rPr>
          <w:rFonts w:asciiTheme="minorBidi" w:hAnsiTheme="minorBidi"/>
          <w:sz w:val="16"/>
          <w:szCs w:val="16"/>
          <w:u w:val="single"/>
          <w:rtl/>
        </w:rPr>
        <w:t xml:space="preserve"> (דבר שתלוי בחילול שבת)</w:t>
      </w:r>
      <w:r w:rsidRPr="005275DF">
        <w:rPr>
          <w:rFonts w:asciiTheme="minorBidi" w:hAnsiTheme="minorBidi"/>
          <w:u w:val="single"/>
          <w:rtl/>
        </w:rPr>
        <w:t xml:space="preserve"> ואין שם חכמה או רופא:</w:t>
      </w:r>
      <w:r w:rsidRPr="005275DF">
        <w:rPr>
          <w:rFonts w:asciiTheme="minorBidi" w:hAnsiTheme="minorBidi"/>
          <w:sz w:val="16"/>
          <w:szCs w:val="16"/>
          <w:rtl/>
        </w:rPr>
        <w:t xml:space="preserve">   (תוה"א, שער הסכנה)</w:t>
      </w:r>
    </w:p>
    <w:p w14:paraId="4169D446" w14:textId="77777777" w:rsidR="006A4BF8" w:rsidRPr="005275DF" w:rsidRDefault="006A4BF8" w:rsidP="00FF2D21">
      <w:pPr>
        <w:pStyle w:val="aa"/>
        <w:numPr>
          <w:ilvl w:val="0"/>
          <w:numId w:val="75"/>
        </w:numPr>
        <w:rPr>
          <w:rFonts w:asciiTheme="minorBidi" w:hAnsiTheme="minorBidi"/>
        </w:rPr>
      </w:pPr>
      <w:r w:rsidRPr="005275DF">
        <w:rPr>
          <w:rFonts w:asciiTheme="minorBidi" w:hAnsiTheme="minorBidi"/>
          <w:rtl/>
        </w:rPr>
        <w:t xml:space="preserve">רמב"ן </w:t>
      </w:r>
      <w:r w:rsidRPr="005275DF">
        <w:rPr>
          <w:rFonts w:asciiTheme="minorBidi" w:hAnsiTheme="minorBidi"/>
          <w:sz w:val="16"/>
          <w:szCs w:val="16"/>
          <w:rtl/>
        </w:rPr>
        <w:t xml:space="preserve">(תוה"א) </w:t>
      </w:r>
      <w:r w:rsidRPr="005275DF">
        <w:rPr>
          <w:rFonts w:asciiTheme="minorBidi" w:hAnsiTheme="minorBidi"/>
          <w:rtl/>
        </w:rPr>
        <w:t>רשב"א ור"ן- אם אלו דברים שידוע שעושין לכל חיה בחול- עושין אע"פ שאמרה איני צריכה שיחללו עלי את השבת ויכולה אני להמתין עד הערב, כיון שדבר זה עושין אותו בחול לכל חיה</w:t>
      </w:r>
      <w:r w:rsidRPr="005275DF">
        <w:rPr>
          <w:rStyle w:val="a9"/>
          <w:rFonts w:asciiTheme="minorBidi" w:hAnsiTheme="minorBidi"/>
          <w:rtl/>
        </w:rPr>
        <w:footnoteReference w:id="3458"/>
      </w:r>
      <w:r w:rsidRPr="005275DF">
        <w:rPr>
          <w:rFonts w:asciiTheme="minorBidi" w:hAnsiTheme="minorBidi"/>
          <w:rtl/>
        </w:rPr>
        <w:t xml:space="preserve"> וכולן צריכות לכך הרי היא בחזקת מסוכנת לשעתה לגבי מלאכה זו ומחללין עליה את השבת, ואין שומעין לה, דילמא תונבא</w:t>
      </w:r>
      <w:r w:rsidRPr="005275DF">
        <w:rPr>
          <w:rStyle w:val="a9"/>
          <w:rFonts w:asciiTheme="minorBidi" w:hAnsiTheme="minorBidi"/>
          <w:rtl/>
        </w:rPr>
        <w:footnoteReference w:id="3459"/>
      </w:r>
      <w:r w:rsidRPr="005275DF">
        <w:rPr>
          <w:rFonts w:asciiTheme="minorBidi" w:hAnsiTheme="minorBidi"/>
          <w:rtl/>
        </w:rPr>
        <w:t xml:space="preserve"> הוא דנקיט לה.</w:t>
      </w:r>
    </w:p>
    <w:p w14:paraId="14015D4B" w14:textId="77777777" w:rsidR="006A4BF8" w:rsidRPr="005275DF" w:rsidRDefault="006A4BF8" w:rsidP="00434A6A">
      <w:pPr>
        <w:rPr>
          <w:rFonts w:asciiTheme="minorBidi" w:hAnsiTheme="minorBidi"/>
          <w:sz w:val="16"/>
          <w:szCs w:val="16"/>
          <w:rtl/>
        </w:rPr>
      </w:pPr>
      <w:r w:rsidRPr="005275DF">
        <w:rPr>
          <w:rFonts w:asciiTheme="minorBidi" w:hAnsiTheme="minorBidi"/>
          <w:u w:val="single"/>
          <w:rtl/>
        </w:rPr>
        <w:t>יולדת בתוך שלשה שאומרת שאינה צריכה</w:t>
      </w:r>
      <w:r w:rsidRPr="005275DF">
        <w:rPr>
          <w:rFonts w:asciiTheme="minorBidi" w:hAnsiTheme="minorBidi"/>
          <w:sz w:val="16"/>
          <w:szCs w:val="16"/>
          <w:u w:val="single"/>
          <w:rtl/>
        </w:rPr>
        <w:t xml:space="preserve"> (מדורה וחמין)</w:t>
      </w:r>
      <w:r w:rsidRPr="005275DF">
        <w:rPr>
          <w:rFonts w:asciiTheme="minorBidi" w:hAnsiTheme="minorBidi"/>
          <w:u w:val="single"/>
          <w:rtl/>
        </w:rPr>
        <w:t xml:space="preserve"> והרופאים גם אומרים שאינה צריכה:</w:t>
      </w:r>
      <w:r w:rsidRPr="005275DF">
        <w:rPr>
          <w:rFonts w:asciiTheme="minorBidi" w:hAnsiTheme="minorBidi"/>
          <w:sz w:val="16"/>
          <w:szCs w:val="16"/>
          <w:rtl/>
        </w:rPr>
        <w:t xml:space="preserve">   (תוה"א, שער הסכנה)</w:t>
      </w:r>
    </w:p>
    <w:p w14:paraId="1364D440" w14:textId="77777777" w:rsidR="006A4BF8" w:rsidRPr="005275DF" w:rsidRDefault="006A4BF8" w:rsidP="00FF2D21">
      <w:pPr>
        <w:pStyle w:val="aa"/>
        <w:numPr>
          <w:ilvl w:val="0"/>
          <w:numId w:val="74"/>
        </w:numPr>
        <w:rPr>
          <w:rFonts w:asciiTheme="minorBidi" w:hAnsiTheme="minorBidi"/>
        </w:rPr>
      </w:pPr>
      <w:r w:rsidRPr="005275DF">
        <w:rPr>
          <w:rFonts w:asciiTheme="minorBidi" w:hAnsiTheme="minorBidi"/>
          <w:rtl/>
        </w:rPr>
        <w:t>רב אחאי גאון</w:t>
      </w:r>
      <w:r w:rsidRPr="005275DF">
        <w:rPr>
          <w:rFonts w:asciiTheme="minorBidi" w:hAnsiTheme="minorBidi"/>
          <w:sz w:val="16"/>
          <w:szCs w:val="16"/>
          <w:rtl/>
        </w:rPr>
        <w:t xml:space="preserve"> (שאילתות שמות שאיל' לח)</w:t>
      </w:r>
      <w:r w:rsidRPr="005275DF">
        <w:rPr>
          <w:rFonts w:asciiTheme="minorBidi" w:hAnsiTheme="minorBidi"/>
          <w:rtl/>
        </w:rPr>
        <w:t xml:space="preserve"> (ורשב"א </w:t>
      </w:r>
      <w:r w:rsidRPr="005275DF">
        <w:rPr>
          <w:rFonts w:asciiTheme="minorBidi" w:hAnsiTheme="minorBidi"/>
          <w:sz w:val="16"/>
          <w:szCs w:val="16"/>
          <w:rtl/>
        </w:rPr>
        <w:t>להב' הדרכ"מ</w:t>
      </w:r>
      <w:r w:rsidRPr="005275DF">
        <w:rPr>
          <w:rFonts w:asciiTheme="minorBidi" w:hAnsiTheme="minorBidi"/>
          <w:rtl/>
        </w:rPr>
        <w:t xml:space="preserve">)- כיון דאמור רבנן יולדת כל שלשה ימים הראשונים ההוא בריותא לאו בריותא הוא- עבדינן לה מדורה, ומחמין לה חמין ומבשלין לה בשולא, וכל צרכין דעבדין לה לחיה עבדינן לה. </w:t>
      </w:r>
    </w:p>
    <w:p w14:paraId="1E2F521A" w14:textId="77777777" w:rsidR="006A4BF8" w:rsidRPr="005275DF" w:rsidRDefault="006A4BF8" w:rsidP="00FF2D21">
      <w:pPr>
        <w:pStyle w:val="aa"/>
        <w:numPr>
          <w:ilvl w:val="0"/>
          <w:numId w:val="74"/>
        </w:numPr>
        <w:rPr>
          <w:rFonts w:asciiTheme="minorBidi" w:hAnsiTheme="minorBidi"/>
        </w:rPr>
      </w:pPr>
      <w:r w:rsidRPr="005275DF">
        <w:rPr>
          <w:rFonts w:asciiTheme="minorBidi" w:hAnsiTheme="minorBidi"/>
          <w:rtl/>
        </w:rPr>
        <w:t>רמב"ן ור"ן- לא עושין, שהרי יולדות הרבה שבחול אינן עושות מדורה וחמין בכל יום</w:t>
      </w:r>
      <w:r w:rsidRPr="005275DF">
        <w:rPr>
          <w:rStyle w:val="a9"/>
          <w:rFonts w:asciiTheme="minorBidi" w:hAnsiTheme="minorBidi"/>
          <w:rtl/>
        </w:rPr>
        <w:footnoteReference w:id="3460"/>
      </w:r>
      <w:r w:rsidRPr="005275DF">
        <w:rPr>
          <w:rFonts w:asciiTheme="minorBidi" w:hAnsiTheme="minorBidi"/>
          <w:rtl/>
        </w:rPr>
        <w:t xml:space="preserve">, לכן כשאמרה שאינה צריכה מחללין בלא רצונה רק על הדברים שידועים שכל חיה צריכה שיעשו בשבילה ביום חול. </w:t>
      </w:r>
    </w:p>
    <w:p w14:paraId="186D616D" w14:textId="77777777" w:rsidR="006A4BF8" w:rsidRPr="005275DF" w:rsidRDefault="006A4BF8" w:rsidP="00434A6A">
      <w:pPr>
        <w:rPr>
          <w:rFonts w:asciiTheme="minorBidi" w:hAnsiTheme="minorBidi"/>
          <w:rtl/>
        </w:rPr>
      </w:pPr>
      <w:r w:rsidRPr="005275DF">
        <w:rPr>
          <w:rFonts w:asciiTheme="minorBidi" w:hAnsiTheme="minorBidi"/>
          <w:u w:val="single"/>
          <w:rtl/>
        </w:rPr>
        <w:t xml:space="preserve">יולדת בתוך שלשה שאמרה שאינה צריכה שיבשלו לה בשבת אלא די לה במה שנשאר מער"ש: </w:t>
      </w:r>
    </w:p>
    <w:p w14:paraId="373F4BFE" w14:textId="77777777" w:rsidR="006A4BF8" w:rsidRPr="005275DF" w:rsidRDefault="006A4BF8" w:rsidP="00FF2D21">
      <w:pPr>
        <w:pStyle w:val="aa"/>
        <w:numPr>
          <w:ilvl w:val="0"/>
          <w:numId w:val="76"/>
        </w:numPr>
        <w:rPr>
          <w:rFonts w:asciiTheme="minorBidi" w:hAnsiTheme="minorBidi"/>
          <w:rtl/>
        </w:rPr>
      </w:pPr>
      <w:r w:rsidRPr="005275DF">
        <w:rPr>
          <w:rFonts w:asciiTheme="minorBidi" w:hAnsiTheme="minorBidi"/>
          <w:rtl/>
        </w:rPr>
        <w:t xml:space="preserve">רשב"א </w:t>
      </w:r>
      <w:r w:rsidRPr="005275DF">
        <w:rPr>
          <w:rFonts w:asciiTheme="minorBidi" w:hAnsiTheme="minorBidi"/>
          <w:sz w:val="16"/>
          <w:szCs w:val="16"/>
          <w:rtl/>
        </w:rPr>
        <w:t>(ח"ז סי' שמג)</w:t>
      </w:r>
      <w:r w:rsidRPr="005275DF">
        <w:rPr>
          <w:rFonts w:asciiTheme="minorBidi" w:hAnsiTheme="minorBidi"/>
          <w:rtl/>
        </w:rPr>
        <w:t>- כמסוכנת חושבין אותה ואפי' אמרה א"צ אנו אין שומעין לה ותונבא היא דנקיט לה וצריכא היא אלא שאינה מרגשת, ואם תאכל צונן או דברים שאין המסוכנת אוכלת אותם יביאנה לידי סכנה, לפיכך כל שאין לה דברים מחזקים ומאכלים בריאים מחללין עליה את השבת ואפי' אמרה אין צריכה אני, אבל כל שיש לה דברים בריאים ושאינה צריכה למאכלים אחרים אין מחללין, שהשבת דחויה היא אצל החולים ולא הותרה.</w:t>
      </w:r>
    </w:p>
    <w:p w14:paraId="12532E5C"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C264628" w14:textId="77777777" w:rsidR="006A4BF8" w:rsidRPr="005275DF" w:rsidRDefault="006A4BF8" w:rsidP="00434A6A">
      <w:pPr>
        <w:rPr>
          <w:rFonts w:asciiTheme="minorBidi" w:hAnsiTheme="minorBidi"/>
          <w:rtl/>
        </w:rPr>
      </w:pPr>
      <w:r w:rsidRPr="005275DF">
        <w:rPr>
          <w:rFonts w:asciiTheme="minorBidi" w:hAnsiTheme="minorBidi"/>
          <w:rtl/>
        </w:rPr>
        <w:t>כל שלשה ימים</w:t>
      </w:r>
      <w:r w:rsidRPr="005275DF">
        <w:rPr>
          <w:rStyle w:val="a9"/>
          <w:rFonts w:asciiTheme="minorBidi" w:hAnsiTheme="minorBidi"/>
          <w:rtl/>
        </w:rPr>
        <w:footnoteReference w:id="3461"/>
      </w:r>
      <w:r w:rsidRPr="005275DF">
        <w:rPr>
          <w:rFonts w:asciiTheme="minorBidi" w:hAnsiTheme="minorBidi"/>
          <w:rtl/>
        </w:rPr>
        <w:t xml:space="preserve"> הראשונים אפילו אמרה אינה צריכה</w:t>
      </w:r>
      <w:r w:rsidRPr="005275DF">
        <w:rPr>
          <w:rStyle w:val="a9"/>
          <w:rFonts w:asciiTheme="minorBidi" w:hAnsiTheme="minorBidi"/>
          <w:rtl/>
        </w:rPr>
        <w:footnoteReference w:id="3462"/>
      </w:r>
      <w:r w:rsidRPr="005275DF">
        <w:rPr>
          <w:rFonts w:asciiTheme="minorBidi" w:hAnsiTheme="minorBidi"/>
          <w:rtl/>
        </w:rPr>
        <w:t xml:space="preserve"> מחללין עליה את השבת, משלשה ועד שבעה אמרה אינה צריכה</w:t>
      </w:r>
      <w:r w:rsidRPr="005275DF">
        <w:rPr>
          <w:rStyle w:val="a9"/>
          <w:rFonts w:asciiTheme="minorBidi" w:hAnsiTheme="minorBidi"/>
          <w:rtl/>
        </w:rPr>
        <w:footnoteReference w:id="3463"/>
      </w:r>
      <w:r w:rsidRPr="005275DF">
        <w:rPr>
          <w:rFonts w:asciiTheme="minorBidi" w:hAnsiTheme="minorBidi"/>
          <w:rtl/>
        </w:rPr>
        <w:t xml:space="preserve"> אין מחללין, מכאן ואילך אפילו אמרה צריכה אני אין מחללין עליה אלא הרי היא עד שלשים יום כחולה שאין בו סכנה. </w:t>
      </w:r>
    </w:p>
    <w:p w14:paraId="035E31FE" w14:textId="77777777" w:rsidR="006A4BF8" w:rsidRPr="005275DF" w:rsidRDefault="006A4BF8" w:rsidP="00434A6A">
      <w:pPr>
        <w:rPr>
          <w:rFonts w:asciiTheme="minorBidi" w:hAnsiTheme="minorBidi"/>
          <w:rtl/>
        </w:rPr>
      </w:pPr>
    </w:p>
    <w:p w14:paraId="4FB09F5C"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ה: היושבת על המשבר ומתה.</w:t>
      </w:r>
    </w:p>
    <w:p w14:paraId="45DE6E34" w14:textId="77777777" w:rsidR="006A4BF8" w:rsidRPr="005275DF" w:rsidRDefault="006A4BF8" w:rsidP="00434A6A">
      <w:pPr>
        <w:rPr>
          <w:rFonts w:asciiTheme="minorBidi" w:hAnsiTheme="minorBidi"/>
          <w:sz w:val="16"/>
          <w:szCs w:val="16"/>
          <w:rtl/>
        </w:rPr>
      </w:pPr>
      <w:r w:rsidRPr="005275DF">
        <w:rPr>
          <w:rFonts w:asciiTheme="minorBidi" w:hAnsiTheme="minorBidi"/>
          <w:b/>
          <w:bCs/>
          <w:rtl/>
        </w:rPr>
        <w:t xml:space="preserve">ערכין ז ע"א: </w:t>
      </w:r>
      <w:r w:rsidRPr="005275DF">
        <w:rPr>
          <w:rFonts w:asciiTheme="minorBidi" w:hAnsiTheme="minorBidi"/>
          <w:u w:val="single"/>
          <w:rtl/>
        </w:rPr>
        <w:t>א"ר נחמן אמר שמואל</w:t>
      </w:r>
      <w:r w:rsidRPr="005275DF">
        <w:rPr>
          <w:rFonts w:asciiTheme="minorBidi" w:hAnsiTheme="minorBidi"/>
          <w:rtl/>
        </w:rPr>
        <w:t>: האשה שישבה על המשבר ומתה בשבת מביאין סכין ומקרעים את כריסה</w:t>
      </w:r>
      <w:r w:rsidRPr="005275DF">
        <w:rPr>
          <w:rStyle w:val="a9"/>
          <w:rFonts w:asciiTheme="minorBidi" w:hAnsiTheme="minorBidi"/>
          <w:rtl/>
        </w:rPr>
        <w:footnoteReference w:id="3464"/>
      </w:r>
      <w:r w:rsidRPr="005275DF">
        <w:rPr>
          <w:rFonts w:asciiTheme="minorBidi" w:hAnsiTheme="minorBidi"/>
          <w:rtl/>
        </w:rPr>
        <w:t xml:space="preserve"> ומוציאין את הוולד. פשיטא, מאי עביד? מחתך בבשר הוא</w:t>
      </w:r>
      <w:r w:rsidRPr="005275DF">
        <w:rPr>
          <w:rStyle w:val="a9"/>
          <w:rFonts w:asciiTheme="minorBidi" w:hAnsiTheme="minorBidi"/>
          <w:rtl/>
        </w:rPr>
        <w:footnoteReference w:id="3465"/>
      </w:r>
      <w:r w:rsidRPr="005275DF">
        <w:rPr>
          <w:rFonts w:asciiTheme="minorBidi" w:hAnsiTheme="minorBidi"/>
          <w:rtl/>
        </w:rPr>
        <w:t xml:space="preserve">! </w:t>
      </w:r>
      <w:r w:rsidRPr="005275DF">
        <w:rPr>
          <w:rFonts w:asciiTheme="minorBidi" w:hAnsiTheme="minorBidi"/>
          <w:u w:val="single"/>
          <w:rtl/>
        </w:rPr>
        <w:t>אמר רבה</w:t>
      </w:r>
      <w:r w:rsidRPr="005275DF">
        <w:rPr>
          <w:rFonts w:asciiTheme="minorBidi" w:hAnsiTheme="minorBidi"/>
          <w:rtl/>
        </w:rPr>
        <w:t xml:space="preserve">: לא נצרכה, להביא סכין דרך רשות הרבים. ומאי קמשמע לן? דמספיקא מחללינן שבתא, תנינא: מי שנפלה עליו מפולת, ספק הוא שם ספק אינו שם, ספק חי ספק מת, ספק גוי ספק ישראל - מפקחין עליו את הגל! מהו דתימא: התם הוא דהוה ליה חזקה דחיותא, אבל הכא דלא הוה ליה חזקה דחיותא מעיקרא אימא לא, קמ"ל. </w:t>
      </w:r>
      <w:r w:rsidRPr="005275DF">
        <w:rPr>
          <w:rFonts w:asciiTheme="minorBidi" w:hAnsiTheme="minorBidi"/>
          <w:sz w:val="16"/>
          <w:szCs w:val="16"/>
          <w:rtl/>
        </w:rPr>
        <w:t>(וכתבה הרמב"ם בפ"ב מהל' שבת הט"ו)</w:t>
      </w:r>
    </w:p>
    <w:p w14:paraId="01369C4F"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271726E4" w14:textId="77777777" w:rsidR="006A4BF8" w:rsidRPr="005275DF" w:rsidRDefault="006A4BF8" w:rsidP="00434A6A">
      <w:pPr>
        <w:rPr>
          <w:rFonts w:asciiTheme="minorBidi" w:hAnsiTheme="minorBidi"/>
          <w:rtl/>
        </w:rPr>
      </w:pPr>
      <w:r w:rsidRPr="005275DF">
        <w:rPr>
          <w:rFonts w:asciiTheme="minorBidi" w:hAnsiTheme="minorBidi"/>
          <w:rtl/>
        </w:rPr>
        <w:t xml:space="preserve">היושבת על המשבר ומתה מביאין סכין בשבת אפילו דרך רשות הרבים וקורעים בטנה ומוציאין הולד שמא ימצא חי. </w:t>
      </w:r>
      <w:r w:rsidRPr="005275DF">
        <w:rPr>
          <w:rFonts w:asciiTheme="minorBidi" w:hAnsiTheme="minorBidi"/>
          <w:sz w:val="18"/>
          <w:szCs w:val="18"/>
          <w:rtl/>
        </w:rPr>
        <w:t>הגה: ומה שאין נוהגין עכשיו כן אפילו בחול, משום דאין בקיאין להכיר במיתת האם</w:t>
      </w:r>
      <w:r w:rsidRPr="005275DF">
        <w:rPr>
          <w:rStyle w:val="a9"/>
          <w:rFonts w:asciiTheme="minorBidi" w:hAnsiTheme="minorBidi"/>
          <w:sz w:val="18"/>
          <w:szCs w:val="18"/>
          <w:rtl/>
        </w:rPr>
        <w:footnoteReference w:id="3466"/>
      </w:r>
      <w:r w:rsidRPr="005275DF">
        <w:rPr>
          <w:rFonts w:asciiTheme="minorBidi" w:hAnsiTheme="minorBidi"/>
          <w:sz w:val="18"/>
          <w:szCs w:val="18"/>
          <w:rtl/>
        </w:rPr>
        <w:t xml:space="preserve"> בקרוב כל כך שאפשר לולד לחיות (או"ה). </w:t>
      </w:r>
    </w:p>
    <w:p w14:paraId="3E3BC867" w14:textId="77777777" w:rsidR="006A4BF8" w:rsidRPr="005275DF" w:rsidRDefault="006A4BF8" w:rsidP="00434A6A">
      <w:pPr>
        <w:rPr>
          <w:rFonts w:asciiTheme="minorBidi" w:hAnsiTheme="minorBidi"/>
          <w:u w:val="single"/>
          <w:rtl/>
        </w:rPr>
      </w:pPr>
      <w:r w:rsidRPr="005275DF">
        <w:rPr>
          <w:rFonts w:asciiTheme="minorBidi" w:hAnsiTheme="minorBidi"/>
          <w:u w:val="single"/>
          <w:rtl/>
        </w:rPr>
        <w:t>האם קורעים את בטנה רק כשכבר נעקר הולד לצאת או לא:</w:t>
      </w:r>
    </w:p>
    <w:p w14:paraId="1683F904" w14:textId="77777777" w:rsidR="006A4BF8" w:rsidRPr="005275DF" w:rsidRDefault="006A4BF8" w:rsidP="00FF2D21">
      <w:pPr>
        <w:pStyle w:val="aa"/>
        <w:numPr>
          <w:ilvl w:val="0"/>
          <w:numId w:val="76"/>
        </w:numPr>
        <w:rPr>
          <w:rFonts w:asciiTheme="minorBidi" w:hAnsiTheme="minorBidi"/>
        </w:rPr>
      </w:pPr>
      <w:r w:rsidRPr="005275DF">
        <w:rPr>
          <w:rFonts w:asciiTheme="minorBidi" w:hAnsiTheme="minorBidi"/>
          <w:rtl/>
        </w:rPr>
        <w:t xml:space="preserve">רש"י (רמב"ם ושו"ע </w:t>
      </w:r>
      <w:r w:rsidRPr="005275DF">
        <w:rPr>
          <w:rFonts w:asciiTheme="minorBidi" w:hAnsiTheme="minorBidi"/>
          <w:sz w:val="16"/>
          <w:szCs w:val="16"/>
          <w:rtl/>
        </w:rPr>
        <w:t>להב' המג"א</w:t>
      </w:r>
      <w:r w:rsidRPr="005275DF">
        <w:rPr>
          <w:rFonts w:asciiTheme="minorBidi" w:hAnsiTheme="minorBidi"/>
          <w:rtl/>
        </w:rPr>
        <w:t xml:space="preserve">) ורמ"א </w:t>
      </w:r>
      <w:r w:rsidRPr="005275DF">
        <w:rPr>
          <w:rFonts w:asciiTheme="minorBidi" w:hAnsiTheme="minorBidi"/>
          <w:sz w:val="16"/>
          <w:szCs w:val="16"/>
          <w:rtl/>
        </w:rPr>
        <w:t>(תשו' סי' מ)</w:t>
      </w:r>
      <w:r w:rsidRPr="005275DF">
        <w:rPr>
          <w:rFonts w:asciiTheme="minorBidi" w:hAnsiTheme="minorBidi"/>
          <w:rtl/>
        </w:rPr>
        <w:t>- לעולם קורעים, דלפעמים יכול לחיות.</w:t>
      </w:r>
    </w:p>
    <w:p w14:paraId="5FF4C54D" w14:textId="77777777" w:rsidR="006A4BF8" w:rsidRPr="005275DF" w:rsidRDefault="006A4BF8" w:rsidP="00FF2D21">
      <w:pPr>
        <w:pStyle w:val="aa"/>
        <w:numPr>
          <w:ilvl w:val="0"/>
          <w:numId w:val="76"/>
        </w:numPr>
        <w:rPr>
          <w:rFonts w:asciiTheme="minorBidi" w:hAnsiTheme="minorBidi"/>
        </w:rPr>
      </w:pPr>
      <w:r w:rsidRPr="005275DF">
        <w:rPr>
          <w:rFonts w:asciiTheme="minorBidi" w:hAnsiTheme="minorBidi"/>
          <w:rtl/>
        </w:rPr>
        <w:t xml:space="preserve">תוס' </w:t>
      </w:r>
      <w:r w:rsidRPr="005275DF">
        <w:rPr>
          <w:rFonts w:asciiTheme="minorBidi" w:hAnsiTheme="minorBidi"/>
          <w:sz w:val="16"/>
          <w:szCs w:val="16"/>
          <w:rtl/>
        </w:rPr>
        <w:t xml:space="preserve">(נדה מד. ד"ה איהו) </w:t>
      </w:r>
      <w:r w:rsidRPr="005275DF">
        <w:rPr>
          <w:rFonts w:asciiTheme="minorBidi" w:hAnsiTheme="minorBidi"/>
          <w:rtl/>
        </w:rPr>
        <w:t xml:space="preserve">(רמב"ם ושו"ע </w:t>
      </w:r>
      <w:r w:rsidRPr="005275DF">
        <w:rPr>
          <w:rFonts w:asciiTheme="minorBidi" w:hAnsiTheme="minorBidi"/>
          <w:sz w:val="16"/>
          <w:szCs w:val="16"/>
          <w:rtl/>
        </w:rPr>
        <w:t>להב' החכמת שלמה</w:t>
      </w:r>
      <w:r w:rsidRPr="005275DF">
        <w:rPr>
          <w:rFonts w:asciiTheme="minorBidi" w:hAnsiTheme="minorBidi"/>
          <w:rtl/>
        </w:rPr>
        <w:t>) ומהר"א שטיין</w:t>
      </w:r>
      <w:r w:rsidRPr="005275DF">
        <w:rPr>
          <w:rStyle w:val="a9"/>
          <w:rFonts w:asciiTheme="minorBidi" w:hAnsiTheme="minorBidi"/>
          <w:rtl/>
        </w:rPr>
        <w:footnoteReference w:id="3467"/>
      </w:r>
      <w:r w:rsidRPr="005275DF">
        <w:rPr>
          <w:rFonts w:asciiTheme="minorBidi" w:hAnsiTheme="minorBidi"/>
          <w:rtl/>
        </w:rPr>
        <w:t>- רק אם נעקר לצאת.</w:t>
      </w:r>
    </w:p>
    <w:p w14:paraId="4C41F350" w14:textId="77777777" w:rsidR="006A4BF8" w:rsidRPr="005275DF" w:rsidRDefault="006A4BF8" w:rsidP="00434A6A">
      <w:pPr>
        <w:rPr>
          <w:rFonts w:asciiTheme="minorBidi" w:hAnsiTheme="minorBidi"/>
          <w:rtl/>
        </w:rPr>
      </w:pPr>
    </w:p>
    <w:p w14:paraId="192023D3"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ו: עשיית מדורה.</w:t>
      </w:r>
    </w:p>
    <w:p w14:paraId="010B0E61"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קכט ע"א: </w:t>
      </w:r>
      <w:r w:rsidRPr="005275DF">
        <w:rPr>
          <w:rFonts w:asciiTheme="minorBidi" w:hAnsiTheme="minorBidi"/>
          <w:u w:val="single"/>
          <w:rtl/>
        </w:rPr>
        <w:t>אמר רב יהודה אמר שמואל</w:t>
      </w:r>
      <w:r w:rsidRPr="005275DF">
        <w:rPr>
          <w:rFonts w:asciiTheme="minorBidi" w:hAnsiTheme="minorBidi"/>
          <w:rtl/>
        </w:rPr>
        <w:t xml:space="preserve">: עושין מדורה לחיה בשבת בימות הגשמים. סבור מינה: לחיה אין, לחולה לא. בימות הגשמים אין, בימות החמה לא. </w:t>
      </w:r>
      <w:r w:rsidRPr="005275DF">
        <w:rPr>
          <w:rStyle w:val="a9"/>
          <w:rFonts w:asciiTheme="minorBidi" w:hAnsiTheme="minorBidi"/>
          <w:rtl/>
        </w:rPr>
        <w:footnoteReference w:id="3468"/>
      </w:r>
      <w:r w:rsidRPr="005275DF">
        <w:rPr>
          <w:rFonts w:asciiTheme="minorBidi" w:hAnsiTheme="minorBidi"/>
          <w:sz w:val="16"/>
          <w:szCs w:val="16"/>
          <w:rtl/>
        </w:rPr>
        <w:t>(ולא היא, לא שנא חיה ולא שנא חולה, לא שנא בימות הגשמים ולא שנא בימות החמה מדאתמר)</w:t>
      </w:r>
      <w:r w:rsidRPr="005275DF">
        <w:rPr>
          <w:rFonts w:asciiTheme="minorBidi" w:hAnsiTheme="minorBidi"/>
          <w:sz w:val="14"/>
          <w:szCs w:val="14"/>
          <w:rtl/>
        </w:rPr>
        <w:t xml:space="preserve"> </w:t>
      </w:r>
      <w:r w:rsidRPr="005275DF">
        <w:rPr>
          <w:rFonts w:asciiTheme="minorBidi" w:hAnsiTheme="minorBidi"/>
          <w:rtl/>
        </w:rPr>
        <w:t xml:space="preserve">איתמר </w:t>
      </w:r>
      <w:r w:rsidRPr="005275DF">
        <w:rPr>
          <w:rFonts w:asciiTheme="minorBidi" w:hAnsiTheme="minorBidi"/>
          <w:u w:val="single"/>
          <w:rtl/>
        </w:rPr>
        <w:t>אמר רב חייא בר אבין אמר שמואל</w:t>
      </w:r>
      <w:r w:rsidRPr="005275DF">
        <w:rPr>
          <w:rFonts w:asciiTheme="minorBidi" w:hAnsiTheme="minorBidi"/>
          <w:rtl/>
        </w:rPr>
        <w:t>: הקיז דם</w:t>
      </w:r>
      <w:r w:rsidRPr="005275DF">
        <w:rPr>
          <w:rStyle w:val="a9"/>
          <w:rFonts w:asciiTheme="minorBidi" w:hAnsiTheme="minorBidi"/>
          <w:rtl/>
        </w:rPr>
        <w:footnoteReference w:id="3469"/>
      </w:r>
      <w:r w:rsidRPr="005275DF">
        <w:rPr>
          <w:rFonts w:asciiTheme="minorBidi" w:hAnsiTheme="minorBidi"/>
          <w:rtl/>
        </w:rPr>
        <w:t xml:space="preserve"> ונצטנן - עושין לו מדורה אפילו בתקופת תמוז. שמואל צלחו ליה תכתקא דשאגא, רב יהודה צלחו ליה פתורא דיונה, לרבה צלחו ליה שרשיפא. </w:t>
      </w:r>
      <w:r w:rsidRPr="005275DF">
        <w:rPr>
          <w:rFonts w:asciiTheme="minorBidi" w:hAnsiTheme="minorBidi"/>
          <w:u w:val="single"/>
          <w:rtl/>
        </w:rPr>
        <w:t>ואמר ליה אביי לרבה</w:t>
      </w:r>
      <w:r w:rsidRPr="005275DF">
        <w:rPr>
          <w:rFonts w:asciiTheme="minorBidi" w:hAnsiTheme="minorBidi"/>
          <w:rtl/>
        </w:rPr>
        <w:t xml:space="preserve">: והא קעבר מר משום בל תשחית! אמר ליה בל תשחית דגופאי עדיף לי. </w:t>
      </w:r>
    </w:p>
    <w:p w14:paraId="20333F9C" w14:textId="77777777" w:rsidR="006A4BF8" w:rsidRPr="005275DF" w:rsidRDefault="006A4BF8" w:rsidP="00434A6A">
      <w:pPr>
        <w:rPr>
          <w:rFonts w:asciiTheme="minorBidi" w:hAnsiTheme="minorBidi"/>
          <w:u w:val="single"/>
          <w:rtl/>
        </w:rPr>
      </w:pPr>
      <w:r w:rsidRPr="005275DF">
        <w:rPr>
          <w:rFonts w:asciiTheme="minorBidi" w:hAnsiTheme="minorBidi"/>
          <w:u w:val="single"/>
          <w:rtl/>
        </w:rPr>
        <w:t>כיצד נפסק:</w:t>
      </w:r>
    </w:p>
    <w:p w14:paraId="691C0921" w14:textId="77777777" w:rsidR="006A4BF8" w:rsidRPr="005275DF" w:rsidRDefault="006A4BF8" w:rsidP="00FF2D21">
      <w:pPr>
        <w:pStyle w:val="aa"/>
        <w:numPr>
          <w:ilvl w:val="0"/>
          <w:numId w:val="77"/>
        </w:numPr>
        <w:rPr>
          <w:rFonts w:asciiTheme="minorBidi" w:hAnsiTheme="minorBidi"/>
        </w:rPr>
      </w:pPr>
      <w:r w:rsidRPr="005275DF">
        <w:rPr>
          <w:rFonts w:asciiTheme="minorBidi" w:hAnsiTheme="minorBidi"/>
          <w:rtl/>
        </w:rPr>
        <w:t xml:space="preserve">רי"ף </w:t>
      </w:r>
      <w:r w:rsidRPr="005275DF">
        <w:rPr>
          <w:rFonts w:asciiTheme="minorBidi" w:hAnsiTheme="minorBidi"/>
          <w:sz w:val="16"/>
          <w:szCs w:val="16"/>
          <w:rtl/>
        </w:rPr>
        <w:t xml:space="preserve">(נב.) </w:t>
      </w:r>
      <w:r w:rsidRPr="005275DF">
        <w:rPr>
          <w:rFonts w:asciiTheme="minorBidi" w:hAnsiTheme="minorBidi"/>
          <w:rtl/>
        </w:rPr>
        <w:t xml:space="preserve">רש"י ורא"ש </w:t>
      </w:r>
      <w:r w:rsidRPr="005275DF">
        <w:rPr>
          <w:rFonts w:asciiTheme="minorBidi" w:hAnsiTheme="minorBidi"/>
          <w:sz w:val="16"/>
          <w:szCs w:val="16"/>
          <w:rtl/>
        </w:rPr>
        <w:t>(סי' ה)</w:t>
      </w:r>
      <w:r w:rsidRPr="005275DF">
        <w:rPr>
          <w:rFonts w:asciiTheme="minorBidi" w:hAnsiTheme="minorBidi"/>
          <w:rtl/>
        </w:rPr>
        <w:t xml:space="preserve">- לא שנא חיה לא שנא חולה לא שנא בימות החמה לא שנא בימות הגשמים עושין מדורה, מדאמר רבי חייא בר אבין הקיז דם ונצטנן עושין לו מדורה ואפילו בתקופת תמוז. </w:t>
      </w:r>
    </w:p>
    <w:p w14:paraId="73972AF0" w14:textId="77777777" w:rsidR="006A4BF8" w:rsidRPr="005275DF" w:rsidRDefault="006A4BF8" w:rsidP="00FF2D21">
      <w:pPr>
        <w:pStyle w:val="aa"/>
        <w:numPr>
          <w:ilvl w:val="0"/>
          <w:numId w:val="77"/>
        </w:numPr>
        <w:rPr>
          <w:rFonts w:asciiTheme="minorBidi" w:hAnsiTheme="minorBidi"/>
        </w:rPr>
      </w:pPr>
      <w:r w:rsidRPr="005275DF">
        <w:rPr>
          <w:rFonts w:asciiTheme="minorBidi" w:hAnsiTheme="minorBidi"/>
          <w:rtl/>
        </w:rPr>
        <w:t>רמב"ם</w:t>
      </w:r>
      <w:r w:rsidRPr="005275DF">
        <w:rPr>
          <w:rFonts w:asciiTheme="minorBidi" w:hAnsiTheme="minorBidi"/>
          <w:sz w:val="16"/>
          <w:szCs w:val="16"/>
          <w:rtl/>
        </w:rPr>
        <w:t xml:space="preserve"> (פ"ב הי"ד)</w:t>
      </w:r>
      <w:r w:rsidRPr="005275DF">
        <w:rPr>
          <w:rFonts w:asciiTheme="minorBidi" w:hAnsiTheme="minorBidi"/>
          <w:rtl/>
        </w:rPr>
        <w:t xml:space="preserve"> וסמ"ג </w:t>
      </w:r>
      <w:r w:rsidRPr="005275DF">
        <w:rPr>
          <w:rFonts w:asciiTheme="minorBidi" w:hAnsiTheme="minorBidi"/>
          <w:sz w:val="16"/>
          <w:szCs w:val="16"/>
          <w:rtl/>
        </w:rPr>
        <w:t>(לאוין סה כא ע"ג)</w:t>
      </w:r>
      <w:r w:rsidRPr="005275DF">
        <w:rPr>
          <w:rFonts w:asciiTheme="minorBidi" w:hAnsiTheme="minorBidi"/>
          <w:rtl/>
        </w:rPr>
        <w:t>- עושין מדורה לחיה אפילו בימות החמה מפני שהצנה קשה לחיה הרבה במקומות הקרים, אבל אין עושין מדורה לחולה</w:t>
      </w:r>
      <w:r w:rsidRPr="005275DF">
        <w:rPr>
          <w:rStyle w:val="a9"/>
          <w:rFonts w:asciiTheme="minorBidi" w:hAnsiTheme="minorBidi"/>
          <w:rtl/>
        </w:rPr>
        <w:footnoteReference w:id="3470"/>
      </w:r>
      <w:r w:rsidRPr="005275DF">
        <w:rPr>
          <w:rFonts w:asciiTheme="minorBidi" w:hAnsiTheme="minorBidi"/>
          <w:rtl/>
        </w:rPr>
        <w:t xml:space="preserve"> להתחמם בה, אך אם הקיז דם ונצטנן עושין לו מדורה אפילו בתקופת תמוז</w:t>
      </w:r>
      <w:r w:rsidRPr="005275DF">
        <w:rPr>
          <w:rStyle w:val="a9"/>
          <w:rFonts w:asciiTheme="minorBidi" w:hAnsiTheme="minorBidi"/>
          <w:rtl/>
        </w:rPr>
        <w:footnoteReference w:id="3471"/>
      </w:r>
      <w:r w:rsidRPr="005275DF">
        <w:rPr>
          <w:rFonts w:asciiTheme="minorBidi" w:hAnsiTheme="minorBidi"/>
          <w:rtl/>
        </w:rPr>
        <w:t xml:space="preserve">. </w:t>
      </w:r>
    </w:p>
    <w:p w14:paraId="09572995" w14:textId="77777777" w:rsidR="006A4BF8" w:rsidRPr="005275DF" w:rsidRDefault="006A4BF8" w:rsidP="00434A6A">
      <w:pPr>
        <w:rPr>
          <w:rFonts w:asciiTheme="minorBidi" w:hAnsiTheme="minorBidi"/>
          <w:u w:val="single"/>
        </w:rPr>
      </w:pPr>
      <w:r w:rsidRPr="005275DF">
        <w:rPr>
          <w:rFonts w:asciiTheme="minorBidi" w:hAnsiTheme="minorBidi"/>
          <w:u w:val="single"/>
          <w:rtl/>
        </w:rPr>
        <w:t>כמה זמן נקראת "יולדת" לעניין מדורה:</w:t>
      </w:r>
    </w:p>
    <w:p w14:paraId="6FE2FE49" w14:textId="77777777" w:rsidR="006A4BF8" w:rsidRPr="005275DF" w:rsidRDefault="006A4BF8" w:rsidP="00FF2D21">
      <w:pPr>
        <w:pStyle w:val="aa"/>
        <w:numPr>
          <w:ilvl w:val="0"/>
          <w:numId w:val="77"/>
        </w:numPr>
        <w:rPr>
          <w:rFonts w:asciiTheme="minorBidi" w:hAnsiTheme="minorBidi"/>
          <w:rtl/>
        </w:rPr>
      </w:pPr>
      <w:r w:rsidRPr="005275DF">
        <w:rPr>
          <w:rFonts w:asciiTheme="minorBidi" w:hAnsiTheme="minorBidi"/>
          <w:rtl/>
        </w:rPr>
        <w:t>ראב"ד</w:t>
      </w:r>
      <w:r w:rsidRPr="005275DF">
        <w:rPr>
          <w:rFonts w:asciiTheme="minorBidi" w:hAnsiTheme="minorBidi"/>
          <w:sz w:val="16"/>
          <w:szCs w:val="16"/>
          <w:rtl/>
        </w:rPr>
        <w:t xml:space="preserve"> (להב' הה"מ)</w:t>
      </w:r>
      <w:r w:rsidRPr="005275DF">
        <w:rPr>
          <w:rFonts w:asciiTheme="minorBidi" w:hAnsiTheme="minorBidi"/>
          <w:rtl/>
        </w:rPr>
        <w:t>- עושין מדורה לחיה כל שלשים דכל שלשים לענין מדורה יש בה סכנה.</w:t>
      </w:r>
      <w:r w:rsidRPr="005275DF">
        <w:rPr>
          <w:rFonts w:asciiTheme="minorBidi" w:hAnsiTheme="minorBidi"/>
          <w:color w:val="E36C0A" w:themeColor="accent6" w:themeShade="BF"/>
          <w:rtl/>
        </w:rPr>
        <w:t xml:space="preserve"> (וכ"פ בשו"ע)</w:t>
      </w:r>
    </w:p>
    <w:p w14:paraId="72422975"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6F3D5FEB" w14:textId="77777777" w:rsidR="006A4BF8" w:rsidRPr="005275DF" w:rsidRDefault="006A4BF8" w:rsidP="00434A6A">
      <w:pPr>
        <w:rPr>
          <w:rFonts w:asciiTheme="minorBidi" w:hAnsiTheme="minorBidi"/>
          <w:sz w:val="18"/>
          <w:szCs w:val="18"/>
          <w:rtl/>
        </w:rPr>
      </w:pPr>
      <w:r w:rsidRPr="005275DF">
        <w:rPr>
          <w:rFonts w:asciiTheme="minorBidi" w:hAnsiTheme="minorBidi"/>
          <w:rtl/>
        </w:rPr>
        <w:t>עושין</w:t>
      </w:r>
      <w:r w:rsidRPr="005275DF">
        <w:rPr>
          <w:rStyle w:val="a9"/>
          <w:rFonts w:asciiTheme="minorBidi" w:hAnsiTheme="minorBidi"/>
          <w:rtl/>
        </w:rPr>
        <w:footnoteReference w:id="3472"/>
      </w:r>
      <w:r w:rsidRPr="005275DF">
        <w:rPr>
          <w:rFonts w:asciiTheme="minorBidi" w:hAnsiTheme="minorBidi"/>
          <w:rtl/>
        </w:rPr>
        <w:t xml:space="preserve"> מדורה ליולדת כל שלשים יום ואפילו בתקופת תמוז. </w:t>
      </w:r>
      <w:r w:rsidRPr="005275DF">
        <w:rPr>
          <w:rFonts w:asciiTheme="minorBidi" w:hAnsiTheme="minorBidi"/>
          <w:sz w:val="18"/>
          <w:szCs w:val="18"/>
          <w:rtl/>
        </w:rPr>
        <w:t xml:space="preserve">הגה: ואם מותרים אחרים להתחמם כנגד המדורה ע"ל סי' רע"ו. </w:t>
      </w:r>
    </w:p>
    <w:p w14:paraId="2095A24D" w14:textId="77777777" w:rsidR="006A4BF8" w:rsidRPr="005275DF" w:rsidRDefault="006A4BF8" w:rsidP="00434A6A">
      <w:pPr>
        <w:rPr>
          <w:rFonts w:asciiTheme="minorBidi" w:hAnsiTheme="minorBidi"/>
          <w:rtl/>
        </w:rPr>
      </w:pPr>
    </w:p>
    <w:p w14:paraId="2780150D"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ז: עשיית כל צרכי הולד.</w:t>
      </w:r>
    </w:p>
    <w:p w14:paraId="77B46C96" w14:textId="77777777" w:rsidR="006A4BF8" w:rsidRPr="005275DF" w:rsidRDefault="006A4BF8" w:rsidP="00434A6A">
      <w:pPr>
        <w:rPr>
          <w:rFonts w:asciiTheme="minorBidi" w:hAnsiTheme="minorBidi"/>
          <w:rtl/>
        </w:rPr>
      </w:pPr>
      <w:r w:rsidRPr="005275DF">
        <w:rPr>
          <w:rFonts w:asciiTheme="minorBidi" w:hAnsiTheme="minorBidi"/>
          <w:b/>
          <w:bCs/>
          <w:rtl/>
        </w:rPr>
        <w:t>שבת קכח ע"ב:</w:t>
      </w:r>
      <w:r w:rsidRPr="005275DF">
        <w:rPr>
          <w:rFonts w:asciiTheme="minorBidi" w:hAnsiTheme="minorBidi"/>
          <w:rtl/>
        </w:rPr>
        <w:t xml:space="preserve"> </w:t>
      </w:r>
      <w:r w:rsidRPr="005275DF">
        <w:rPr>
          <w:rFonts w:asciiTheme="minorBidi" w:hAnsiTheme="minorBidi"/>
          <w:u w:val="double"/>
          <w:rtl/>
        </w:rPr>
        <w:t>משנה:</w:t>
      </w:r>
      <w:r w:rsidRPr="005275DF">
        <w:rPr>
          <w:rFonts w:asciiTheme="minorBidi" w:hAnsiTheme="minorBidi"/>
          <w:rtl/>
        </w:rPr>
        <w:t xml:space="preserve"> אין... ומילדין את האשה בשבת... וקושרין את הטיבור. </w:t>
      </w:r>
      <w:r w:rsidRPr="005275DF">
        <w:rPr>
          <w:rFonts w:asciiTheme="minorBidi" w:hAnsiTheme="minorBidi"/>
          <w:u w:val="single"/>
          <w:rtl/>
        </w:rPr>
        <w:t>רבי יוסי אומר</w:t>
      </w:r>
      <w:r w:rsidRPr="005275DF">
        <w:rPr>
          <w:rFonts w:asciiTheme="minorBidi" w:hAnsiTheme="minorBidi"/>
          <w:rtl/>
        </w:rPr>
        <w:t xml:space="preserve">: אף חותכין... </w:t>
      </w:r>
      <w:r w:rsidRPr="005275DF">
        <w:rPr>
          <w:rFonts w:asciiTheme="minorBidi" w:hAnsiTheme="minorBidi"/>
          <w:u w:val="double"/>
          <w:rtl/>
        </w:rPr>
        <w:t xml:space="preserve"> גמ'</w:t>
      </w:r>
      <w:r w:rsidRPr="005275DF">
        <w:rPr>
          <w:rFonts w:asciiTheme="minorBidi" w:hAnsiTheme="minorBidi"/>
          <w:sz w:val="16"/>
          <w:szCs w:val="16"/>
          <w:u w:val="double"/>
          <w:rtl/>
        </w:rPr>
        <w:t>(קכט:)</w:t>
      </w:r>
      <w:r w:rsidRPr="005275DF">
        <w:rPr>
          <w:rFonts w:asciiTheme="minorBidi" w:hAnsiTheme="minorBidi"/>
          <w:u w:val="double"/>
          <w:rtl/>
        </w:rPr>
        <w:t>:</w:t>
      </w:r>
      <w:r w:rsidRPr="005275DF">
        <w:rPr>
          <w:rFonts w:asciiTheme="minorBidi" w:hAnsiTheme="minorBidi"/>
          <w:rtl/>
        </w:rPr>
        <w:t xml:space="preserve"> וקושרין הטבור. תנו רבנן: קושרין הטבור, </w:t>
      </w:r>
      <w:r w:rsidRPr="005275DF">
        <w:rPr>
          <w:rFonts w:asciiTheme="minorBidi" w:hAnsiTheme="minorBidi"/>
          <w:u w:val="single"/>
          <w:rtl/>
        </w:rPr>
        <w:t>רבי יוסי אומר</w:t>
      </w:r>
      <w:r w:rsidRPr="005275DF">
        <w:rPr>
          <w:rFonts w:asciiTheme="minorBidi" w:hAnsiTheme="minorBidi"/>
          <w:rtl/>
        </w:rPr>
        <w:t xml:space="preserve">: אף חותכין, וטומנין השליא כדי שיחם הולד. </w:t>
      </w:r>
      <w:r w:rsidRPr="005275DF">
        <w:rPr>
          <w:rFonts w:asciiTheme="minorBidi" w:hAnsiTheme="minorBidi"/>
          <w:u w:val="single"/>
          <w:rtl/>
        </w:rPr>
        <w:t>אמר רבן שמעון בן גמליאל</w:t>
      </w:r>
      <w:r w:rsidRPr="005275DF">
        <w:rPr>
          <w:rFonts w:asciiTheme="minorBidi" w:hAnsiTheme="minorBidi"/>
          <w:rtl/>
        </w:rPr>
        <w:t xml:space="preserve">: בנות מלכים טומנות בספלים של שמן, בנות עשירים בספוגים של צמר, בנות עניים במוכין. </w:t>
      </w:r>
      <w:r w:rsidRPr="005275DF">
        <w:rPr>
          <w:rFonts w:asciiTheme="minorBidi" w:hAnsiTheme="minorBidi"/>
          <w:u w:val="single"/>
          <w:rtl/>
        </w:rPr>
        <w:t>אמר רב נחמן אמר רבה בר אבוה אמר רב:</w:t>
      </w:r>
      <w:r w:rsidRPr="005275DF">
        <w:rPr>
          <w:rFonts w:asciiTheme="minorBidi" w:hAnsiTheme="minorBidi"/>
          <w:rtl/>
        </w:rPr>
        <w:t xml:space="preserve"> הלכה כרבי יוסי. </w:t>
      </w:r>
      <w:r w:rsidRPr="005275DF">
        <w:rPr>
          <w:rFonts w:asciiTheme="minorBidi" w:hAnsiTheme="minorBidi"/>
          <w:u w:val="single"/>
          <w:rtl/>
        </w:rPr>
        <w:t>ואמר רב נחמן אמר רבה בר אבוה אמר רב</w:t>
      </w:r>
      <w:r w:rsidRPr="005275DF">
        <w:rPr>
          <w:rFonts w:asciiTheme="minorBidi" w:hAnsiTheme="minorBidi"/>
          <w:rtl/>
        </w:rPr>
        <w:t>: מודים חכמים לרבי יוסי בטבור של שני תינוקות</w:t>
      </w:r>
      <w:r w:rsidRPr="005275DF">
        <w:rPr>
          <w:rStyle w:val="a9"/>
          <w:rFonts w:asciiTheme="minorBidi" w:hAnsiTheme="minorBidi"/>
          <w:rtl/>
        </w:rPr>
        <w:footnoteReference w:id="3473"/>
      </w:r>
      <w:r w:rsidRPr="005275DF">
        <w:rPr>
          <w:rFonts w:asciiTheme="minorBidi" w:hAnsiTheme="minorBidi"/>
          <w:rtl/>
        </w:rPr>
        <w:t xml:space="preserve"> שחותכין, מאי טעמא - דמנתחי אהדדי</w:t>
      </w:r>
      <w:r w:rsidRPr="005275DF">
        <w:rPr>
          <w:rStyle w:val="a9"/>
          <w:rFonts w:asciiTheme="minorBidi" w:hAnsiTheme="minorBidi"/>
          <w:rtl/>
        </w:rPr>
        <w:footnoteReference w:id="3474"/>
      </w:r>
      <w:r w:rsidRPr="005275DF">
        <w:rPr>
          <w:rFonts w:asciiTheme="minorBidi" w:hAnsiTheme="minorBidi"/>
          <w:rtl/>
        </w:rPr>
        <w:t xml:space="preserve">. </w:t>
      </w:r>
      <w:r w:rsidRPr="005275DF">
        <w:rPr>
          <w:rFonts w:asciiTheme="minorBidi" w:hAnsiTheme="minorBidi"/>
          <w:b/>
          <w:bCs/>
          <w:rtl/>
        </w:rPr>
        <w:t xml:space="preserve"> </w:t>
      </w:r>
      <w:r w:rsidRPr="005275DF">
        <w:rPr>
          <w:rFonts w:asciiTheme="minorBidi" w:hAnsiTheme="minorBidi"/>
          <w:u w:val="single"/>
          <w:rtl/>
        </w:rPr>
        <w:t>ואמר רב נחמן אמר רבה בר אבוה אמר רב</w:t>
      </w:r>
      <w:r w:rsidRPr="005275DF">
        <w:rPr>
          <w:rFonts w:asciiTheme="minorBidi" w:hAnsiTheme="minorBidi"/>
          <w:rtl/>
        </w:rPr>
        <w:t>: כל האמור בפרשת תוכחה עושין לחיה בשבת, שנאמר ומולדותיך ביום הולדת אותך לא כרת שרך ובמים לא רחצת למשעי והמלח לא המלחת והחתל לא חתלת. ומולדותיך ביום הולדת - מכאן שמיילדים את הולד בשבת, לא כרת שרך - מכאן שחותכין הטבור בשבת, ובמים לא רחצת למשעי - מכאן שרוחצין הולד בשבת, והמלח לא המלחת - מכאן שמולחין</w:t>
      </w:r>
      <w:r w:rsidRPr="005275DF">
        <w:rPr>
          <w:rStyle w:val="a9"/>
          <w:rFonts w:asciiTheme="minorBidi" w:hAnsiTheme="minorBidi"/>
          <w:rtl/>
        </w:rPr>
        <w:footnoteReference w:id="3475"/>
      </w:r>
      <w:r w:rsidRPr="005275DF">
        <w:rPr>
          <w:rFonts w:asciiTheme="minorBidi" w:hAnsiTheme="minorBidi"/>
          <w:rtl/>
        </w:rPr>
        <w:t xml:space="preserve"> הולד בשבת, והחתל לא חתלת - מכאן שמלפפין הולד בשבת.</w:t>
      </w:r>
    </w:p>
    <w:p w14:paraId="5FB6A0AA" w14:textId="77777777" w:rsidR="006A4BF8" w:rsidRPr="005275DF" w:rsidRDefault="006A4BF8" w:rsidP="00434A6A">
      <w:pPr>
        <w:rPr>
          <w:rFonts w:asciiTheme="minorBidi" w:hAnsiTheme="minorBidi"/>
          <w:u w:val="single"/>
          <w:rtl/>
        </w:rPr>
      </w:pPr>
      <w:r w:rsidRPr="005275DF">
        <w:rPr>
          <w:rFonts w:asciiTheme="minorBidi" w:hAnsiTheme="minorBidi"/>
          <w:u w:val="single"/>
          <w:rtl/>
        </w:rPr>
        <w:t xml:space="preserve">כיצד נפסק </w:t>
      </w:r>
      <w:r w:rsidRPr="005275DF">
        <w:rPr>
          <w:rFonts w:asciiTheme="minorBidi" w:hAnsiTheme="minorBidi"/>
          <w:sz w:val="16"/>
          <w:szCs w:val="16"/>
          <w:u w:val="single"/>
          <w:rtl/>
        </w:rPr>
        <w:t>(גבי חתיכת הטבור)</w:t>
      </w:r>
      <w:r w:rsidRPr="005275DF">
        <w:rPr>
          <w:rFonts w:asciiTheme="minorBidi" w:hAnsiTheme="minorBidi"/>
          <w:u w:val="single"/>
          <w:rtl/>
        </w:rPr>
        <w:t>:</w:t>
      </w:r>
    </w:p>
    <w:p w14:paraId="7C3E826E" w14:textId="77777777" w:rsidR="006A4BF8" w:rsidRPr="005275DF" w:rsidRDefault="006A4BF8" w:rsidP="00FF2D21">
      <w:pPr>
        <w:pStyle w:val="aa"/>
        <w:numPr>
          <w:ilvl w:val="0"/>
          <w:numId w:val="77"/>
        </w:numPr>
        <w:rPr>
          <w:rFonts w:asciiTheme="minorBidi" w:hAnsiTheme="minorBidi"/>
        </w:rPr>
      </w:pPr>
      <w:r w:rsidRPr="005275DF">
        <w:rPr>
          <w:rFonts w:asciiTheme="minorBidi" w:hAnsiTheme="minorBidi"/>
          <w:rtl/>
        </w:rPr>
        <w:t>רי"ף</w:t>
      </w:r>
      <w:r w:rsidRPr="005275DF">
        <w:rPr>
          <w:rFonts w:asciiTheme="minorBidi" w:hAnsiTheme="minorBidi"/>
          <w:sz w:val="16"/>
          <w:szCs w:val="16"/>
          <w:rtl/>
        </w:rPr>
        <w:t xml:space="preserve"> (נב.)</w:t>
      </w:r>
      <w:r w:rsidRPr="005275DF">
        <w:rPr>
          <w:rFonts w:asciiTheme="minorBidi" w:hAnsiTheme="minorBidi"/>
          <w:rtl/>
        </w:rPr>
        <w:t xml:space="preserve"> הרמב"ם </w:t>
      </w:r>
      <w:r w:rsidRPr="005275DF">
        <w:rPr>
          <w:rFonts w:asciiTheme="minorBidi" w:hAnsiTheme="minorBidi"/>
          <w:sz w:val="16"/>
          <w:szCs w:val="16"/>
          <w:rtl/>
        </w:rPr>
        <w:t>(פ"ב הי"א)</w:t>
      </w:r>
      <w:r w:rsidRPr="005275DF">
        <w:rPr>
          <w:rFonts w:asciiTheme="minorBidi" w:hAnsiTheme="minorBidi"/>
          <w:rtl/>
        </w:rPr>
        <w:t xml:space="preserve"> (ורא"ש</w:t>
      </w:r>
      <w:r w:rsidRPr="005275DF">
        <w:rPr>
          <w:rFonts w:asciiTheme="minorBidi" w:hAnsiTheme="minorBidi"/>
          <w:sz w:val="16"/>
          <w:szCs w:val="16"/>
          <w:rtl/>
        </w:rPr>
        <w:t xml:space="preserve"> להב' הב"י</w:t>
      </w:r>
      <w:r w:rsidRPr="005275DF">
        <w:rPr>
          <w:rFonts w:asciiTheme="minorBidi" w:hAnsiTheme="minorBidi"/>
          <w:rtl/>
        </w:rPr>
        <w:t xml:space="preserve">)- כר' יוסי, דאפילו ביחיד חותכחים. </w:t>
      </w:r>
      <w:r w:rsidRPr="005275DF">
        <w:rPr>
          <w:rFonts w:asciiTheme="minorBidi" w:hAnsiTheme="minorBidi"/>
          <w:color w:val="E36C0A" w:themeColor="accent6" w:themeShade="BF"/>
          <w:rtl/>
        </w:rPr>
        <w:t>(וכ"פ השו"ע</w:t>
      </w:r>
      <w:r w:rsidRPr="005275DF">
        <w:rPr>
          <w:rStyle w:val="a9"/>
          <w:rFonts w:asciiTheme="minorBidi" w:hAnsiTheme="minorBidi"/>
          <w:rtl/>
        </w:rPr>
        <w:footnoteReference w:id="3476"/>
      </w:r>
      <w:r w:rsidRPr="005275DF">
        <w:rPr>
          <w:rFonts w:asciiTheme="minorBidi" w:hAnsiTheme="minorBidi"/>
          <w:color w:val="E36C0A" w:themeColor="accent6" w:themeShade="BF"/>
          <w:rtl/>
        </w:rPr>
        <w:t>)</w:t>
      </w:r>
    </w:p>
    <w:p w14:paraId="051EACA7" w14:textId="77777777" w:rsidR="006A4BF8" w:rsidRPr="005275DF" w:rsidRDefault="006A4BF8" w:rsidP="00FF2D21">
      <w:pPr>
        <w:pStyle w:val="aa"/>
        <w:numPr>
          <w:ilvl w:val="0"/>
          <w:numId w:val="77"/>
        </w:numPr>
        <w:rPr>
          <w:rFonts w:asciiTheme="minorBidi" w:hAnsiTheme="minorBidi"/>
        </w:rPr>
      </w:pPr>
      <w:r w:rsidRPr="005275DF">
        <w:rPr>
          <w:rFonts w:asciiTheme="minorBidi" w:hAnsiTheme="minorBidi"/>
          <w:rtl/>
        </w:rPr>
        <w:t>(רא"ש</w:t>
      </w:r>
      <w:r w:rsidRPr="005275DF">
        <w:rPr>
          <w:rFonts w:asciiTheme="minorBidi" w:hAnsiTheme="minorBidi"/>
          <w:sz w:val="16"/>
          <w:szCs w:val="16"/>
          <w:rtl/>
        </w:rPr>
        <w:t xml:space="preserve"> להב' הטור</w:t>
      </w:r>
      <w:r w:rsidRPr="005275DF">
        <w:rPr>
          <w:rFonts w:asciiTheme="minorBidi" w:hAnsiTheme="minorBidi"/>
          <w:rtl/>
        </w:rPr>
        <w:t>)- כחכמים, דאין חותכין אותו אלא אם כן הם תאומים וטבורם דבוקים זה בזה.</w:t>
      </w:r>
    </w:p>
    <w:p w14:paraId="04D22B5C"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DD60DBD" w14:textId="77777777" w:rsidR="006A4BF8" w:rsidRPr="005275DF" w:rsidRDefault="006A4BF8" w:rsidP="00434A6A">
      <w:pPr>
        <w:rPr>
          <w:rFonts w:asciiTheme="minorBidi" w:hAnsiTheme="minorBidi"/>
          <w:rtl/>
        </w:rPr>
      </w:pPr>
      <w:r w:rsidRPr="005275DF">
        <w:rPr>
          <w:rFonts w:asciiTheme="minorBidi" w:hAnsiTheme="minorBidi"/>
          <w:rtl/>
        </w:rPr>
        <w:t>הולד שנולד עושין לו כל צרכיו</w:t>
      </w:r>
      <w:r w:rsidRPr="005275DF">
        <w:rPr>
          <w:rStyle w:val="a9"/>
          <w:rFonts w:asciiTheme="minorBidi" w:hAnsiTheme="minorBidi"/>
          <w:rtl/>
        </w:rPr>
        <w:footnoteReference w:id="3477"/>
      </w:r>
      <w:r w:rsidRPr="005275DF">
        <w:rPr>
          <w:rFonts w:asciiTheme="minorBidi" w:hAnsiTheme="minorBidi"/>
          <w:rtl/>
        </w:rPr>
        <w:t xml:space="preserve"> ומרחיצין אותו ומולחין אותו וטומנין השליא כדי שיחם הולד וחותכים את הטבור, והני מילי בנולד לתשעה או לשבעה, אבל נולד לשמנה או ספק בן שבעה או בן שמנה אין מחללין עליו אלא אם כן גמרו שערו וצפרניו. </w:t>
      </w:r>
    </w:p>
    <w:p w14:paraId="67D9D0AB" w14:textId="77777777" w:rsidR="006A4BF8" w:rsidRPr="005275DF" w:rsidRDefault="006A4BF8" w:rsidP="00434A6A">
      <w:pPr>
        <w:rPr>
          <w:rFonts w:asciiTheme="minorBidi" w:hAnsiTheme="minorBidi"/>
          <w:rtl/>
        </w:rPr>
      </w:pPr>
    </w:p>
    <w:p w14:paraId="2A271520"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ח: נולד לשמנה וספק בן שבעה או שמנה.</w:t>
      </w:r>
    </w:p>
    <w:p w14:paraId="386240C5" w14:textId="77777777" w:rsidR="006A4BF8" w:rsidRPr="005275DF" w:rsidRDefault="006A4BF8" w:rsidP="00434A6A">
      <w:pPr>
        <w:rPr>
          <w:rFonts w:asciiTheme="minorBidi" w:hAnsiTheme="minorBidi"/>
          <w:sz w:val="16"/>
          <w:szCs w:val="16"/>
          <w:rtl/>
        </w:rPr>
      </w:pPr>
      <w:r w:rsidRPr="005275DF">
        <w:rPr>
          <w:rFonts w:asciiTheme="minorBidi" w:hAnsiTheme="minorBidi"/>
          <w:b/>
          <w:bCs/>
          <w:rtl/>
        </w:rPr>
        <w:t xml:space="preserve">שבת קלה ע"א: </w:t>
      </w:r>
      <w:r w:rsidRPr="005275DF">
        <w:rPr>
          <w:rFonts w:asciiTheme="minorBidi" w:hAnsiTheme="minorBidi"/>
          <w:u w:val="single"/>
          <w:rtl/>
        </w:rPr>
        <w:t>אמר מר</w:t>
      </w:r>
      <w:r w:rsidRPr="005275DF">
        <w:rPr>
          <w:rFonts w:asciiTheme="minorBidi" w:hAnsiTheme="minorBidi"/>
          <w:rtl/>
        </w:rPr>
        <w:t xml:space="preserve"> ולא ספק דוחה את השבת. לאתויי מאי? לאתויי הא דתנו רבנן: בן שבעה מחללין עליו את השבת, ובן שמנה אין מחללין עליו את השבת</w:t>
      </w:r>
      <w:r w:rsidRPr="005275DF">
        <w:rPr>
          <w:rStyle w:val="a9"/>
          <w:rFonts w:asciiTheme="minorBidi" w:hAnsiTheme="minorBidi"/>
          <w:rtl/>
        </w:rPr>
        <w:footnoteReference w:id="3478"/>
      </w:r>
      <w:r w:rsidRPr="005275DF">
        <w:rPr>
          <w:rFonts w:asciiTheme="minorBidi" w:hAnsiTheme="minorBidi"/>
          <w:rtl/>
        </w:rPr>
        <w:t>. ספק בן שבעה ספק בן שמונה - אין מחללין עליו את השבת</w:t>
      </w:r>
      <w:r w:rsidRPr="005275DF">
        <w:rPr>
          <w:rStyle w:val="a9"/>
          <w:rFonts w:asciiTheme="minorBidi" w:hAnsiTheme="minorBidi"/>
          <w:rtl/>
        </w:rPr>
        <w:footnoteReference w:id="3479"/>
      </w:r>
      <w:r w:rsidRPr="005275DF">
        <w:rPr>
          <w:rFonts w:asciiTheme="minorBidi" w:hAnsiTheme="minorBidi"/>
          <w:rtl/>
        </w:rPr>
        <w:t>. בן שמונה הרי הוא כאבן ואסור לטלטלו, אבל אמו שוחה ומניקתו מפני הסכנה</w:t>
      </w:r>
      <w:r w:rsidRPr="005275DF">
        <w:rPr>
          <w:rStyle w:val="a9"/>
          <w:rFonts w:asciiTheme="minorBidi" w:hAnsiTheme="minorBidi"/>
          <w:rtl/>
        </w:rPr>
        <w:footnoteReference w:id="3480"/>
      </w:r>
      <w:r w:rsidRPr="005275DF">
        <w:rPr>
          <w:rFonts w:asciiTheme="minorBidi" w:hAnsiTheme="minorBidi"/>
          <w:rtl/>
        </w:rPr>
        <w:t xml:space="preserve">. </w:t>
      </w:r>
      <w:r w:rsidRPr="005275DF">
        <w:rPr>
          <w:rFonts w:asciiTheme="minorBidi" w:hAnsiTheme="minorBidi"/>
          <w:sz w:val="16"/>
          <w:szCs w:val="16"/>
          <w:rtl/>
        </w:rPr>
        <w:t>(וכ' הב"י ע"פ התוס' והרא"ש</w:t>
      </w:r>
      <w:r w:rsidRPr="005275DF">
        <w:rPr>
          <w:rFonts w:asciiTheme="minorBidi" w:hAnsiTheme="minorBidi"/>
          <w:sz w:val="14"/>
          <w:szCs w:val="14"/>
          <w:rtl/>
        </w:rPr>
        <w:t xml:space="preserve"> </w:t>
      </w:r>
      <w:r w:rsidRPr="005275DF">
        <w:rPr>
          <w:rFonts w:asciiTheme="minorBidi" w:hAnsiTheme="minorBidi"/>
          <w:sz w:val="16"/>
          <w:szCs w:val="16"/>
          <w:rtl/>
        </w:rPr>
        <w:t>דכאן מדובר שלא גמרו שערו וציפרניו דאי גמרו שערו וציפרניו אפילו ידוע שהוא בן שמנה</w:t>
      </w:r>
      <w:r w:rsidRPr="005275DF">
        <w:rPr>
          <w:rFonts w:asciiTheme="minorBidi" w:hAnsiTheme="minorBidi"/>
          <w:sz w:val="14"/>
          <w:szCs w:val="14"/>
          <w:rtl/>
        </w:rPr>
        <w:t xml:space="preserve"> [כגון שפירש ממנה אחר שבעל] </w:t>
      </w:r>
      <w:r w:rsidRPr="005275DF">
        <w:rPr>
          <w:rFonts w:asciiTheme="minorBidi" w:hAnsiTheme="minorBidi"/>
          <w:sz w:val="16"/>
          <w:szCs w:val="16"/>
          <w:rtl/>
        </w:rPr>
        <w:t xml:space="preserve">מותר לטלטלו ולמולו בשבת דאשתהויי אשתהי) </w:t>
      </w:r>
    </w:p>
    <w:p w14:paraId="2C5B9EBC" w14:textId="77777777" w:rsidR="006A4BF8" w:rsidRPr="005275DF" w:rsidRDefault="006A4BF8" w:rsidP="00434A6A">
      <w:pPr>
        <w:rPr>
          <w:rFonts w:asciiTheme="minorBidi" w:hAnsiTheme="minorBidi"/>
          <w:rtl/>
        </w:rPr>
      </w:pPr>
      <w:r w:rsidRPr="005275DF">
        <w:rPr>
          <w:rFonts w:asciiTheme="minorBidi" w:hAnsiTheme="minorBidi"/>
          <w:b/>
          <w:bCs/>
          <w:rtl/>
        </w:rPr>
        <w:t xml:space="preserve">תוספתא </w:t>
      </w:r>
      <w:r w:rsidRPr="005275DF">
        <w:rPr>
          <w:rFonts w:asciiTheme="minorBidi" w:hAnsiTheme="minorBidi"/>
          <w:b/>
          <w:bCs/>
          <w:sz w:val="16"/>
          <w:szCs w:val="16"/>
          <w:rtl/>
        </w:rPr>
        <w:t xml:space="preserve">(ליברמן) </w:t>
      </w:r>
      <w:r w:rsidRPr="005275DF">
        <w:rPr>
          <w:rFonts w:asciiTheme="minorBidi" w:hAnsiTheme="minorBidi"/>
          <w:b/>
          <w:bCs/>
          <w:rtl/>
        </w:rPr>
        <w:t>פ"ט הכ"ב:</w:t>
      </w:r>
      <w:r w:rsidRPr="005275DF">
        <w:rPr>
          <w:rFonts w:asciiTheme="minorBidi" w:hAnsiTheme="minorBidi"/>
          <w:rtl/>
        </w:rPr>
        <w:t xml:space="preserve"> לא תקל אשה מדדיה ותחלוב לתוך הכוס או לתוך הקערה ותניק את בנה אין יונקין לא מן הנכרית ולא מבהמה טמאה ואם היה דבר של סכנה אין כל דבר עומד בפני פקוח נפש.</w:t>
      </w:r>
    </w:p>
    <w:p w14:paraId="51E54B9E" w14:textId="77777777" w:rsidR="006A4BF8" w:rsidRPr="005275DF" w:rsidRDefault="006A4BF8" w:rsidP="00434A6A">
      <w:pPr>
        <w:rPr>
          <w:rFonts w:asciiTheme="minorBidi" w:hAnsiTheme="minorBidi"/>
          <w:u w:val="single"/>
          <w:rtl/>
        </w:rPr>
      </w:pPr>
      <w:r w:rsidRPr="005275DF">
        <w:rPr>
          <w:rFonts w:asciiTheme="minorBidi" w:hAnsiTheme="minorBidi"/>
          <w:u w:val="single"/>
          <w:rtl/>
        </w:rPr>
        <w:t xml:space="preserve">מתי מותר לאשה להוציא חלב מדדיה שלא בשעת הנקת ולדה </w:t>
      </w:r>
      <w:r w:rsidRPr="005275DF">
        <w:rPr>
          <w:rFonts w:asciiTheme="minorBidi" w:hAnsiTheme="minorBidi"/>
          <w:sz w:val="16"/>
          <w:szCs w:val="16"/>
          <w:u w:val="single"/>
          <w:rtl/>
        </w:rPr>
        <w:t>(שנולד לתשעה או שבעה)</w:t>
      </w:r>
      <w:r w:rsidRPr="005275DF">
        <w:rPr>
          <w:rFonts w:asciiTheme="minorBidi" w:hAnsiTheme="minorBidi"/>
          <w:u w:val="single"/>
          <w:rtl/>
        </w:rPr>
        <w:t>:</w:t>
      </w:r>
    </w:p>
    <w:p w14:paraId="6492C483" w14:textId="77777777" w:rsidR="006A4BF8" w:rsidRPr="005275DF" w:rsidRDefault="006A4BF8" w:rsidP="00FF2D21">
      <w:pPr>
        <w:pStyle w:val="aa"/>
        <w:numPr>
          <w:ilvl w:val="0"/>
          <w:numId w:val="79"/>
        </w:numPr>
        <w:rPr>
          <w:rFonts w:asciiTheme="minorBidi" w:hAnsiTheme="minorBidi"/>
        </w:rPr>
      </w:pPr>
      <w:r w:rsidRPr="005275DF">
        <w:rPr>
          <w:rFonts w:asciiTheme="minorBidi" w:hAnsiTheme="minorBidi"/>
          <w:rtl/>
        </w:rPr>
        <w:t xml:space="preserve">תוס' </w:t>
      </w:r>
      <w:r w:rsidRPr="005275DF">
        <w:rPr>
          <w:rFonts w:asciiTheme="minorBidi" w:hAnsiTheme="minorBidi"/>
          <w:sz w:val="16"/>
          <w:szCs w:val="16"/>
          <w:rtl/>
        </w:rPr>
        <w:t>(שם ד"ה מפני)</w:t>
      </w:r>
      <w:r w:rsidRPr="005275DF">
        <w:rPr>
          <w:rFonts w:asciiTheme="minorBidi" w:hAnsiTheme="minorBidi"/>
          <w:rtl/>
        </w:rPr>
        <w:t xml:space="preserve"> רמב"ם</w:t>
      </w:r>
      <w:r w:rsidRPr="005275DF">
        <w:rPr>
          <w:rStyle w:val="a9"/>
          <w:rFonts w:asciiTheme="minorBidi" w:hAnsiTheme="minorBidi"/>
          <w:rtl/>
        </w:rPr>
        <w:footnoteReference w:id="3481"/>
      </w:r>
      <w:r w:rsidRPr="005275DF">
        <w:rPr>
          <w:rFonts w:asciiTheme="minorBidi" w:hAnsiTheme="minorBidi"/>
          <w:rtl/>
        </w:rPr>
        <w:t xml:space="preserve"> </w:t>
      </w:r>
      <w:r w:rsidRPr="005275DF">
        <w:rPr>
          <w:rFonts w:asciiTheme="minorBidi" w:hAnsiTheme="minorBidi"/>
          <w:sz w:val="16"/>
          <w:szCs w:val="16"/>
          <w:rtl/>
        </w:rPr>
        <w:t xml:space="preserve">(פ"א ה"ז) </w:t>
      </w:r>
      <w:r w:rsidRPr="005275DF">
        <w:rPr>
          <w:rFonts w:asciiTheme="minorBidi" w:hAnsiTheme="minorBidi"/>
          <w:rtl/>
        </w:rPr>
        <w:t xml:space="preserve">רא"ש ורי"ו </w:t>
      </w:r>
      <w:r w:rsidRPr="005275DF">
        <w:rPr>
          <w:rFonts w:asciiTheme="minorBidi" w:hAnsiTheme="minorBidi"/>
          <w:sz w:val="16"/>
          <w:szCs w:val="16"/>
          <w:rtl/>
        </w:rPr>
        <w:t>(ח"ט ני"ב ע"ט ע"ג)</w:t>
      </w:r>
      <w:r w:rsidRPr="005275DF">
        <w:rPr>
          <w:rFonts w:asciiTheme="minorBidi" w:hAnsiTheme="minorBidi"/>
          <w:rtl/>
        </w:rPr>
        <w:t xml:space="preserve">- לאו דוקא סכנה אלא בשביל צערא בעלמא מותר ולא עוד אלא אפילו לחלוב היא בעצמה ולהוציא החלב שרי מידי דהוה אמפיס מורסא דשרינן מלאכה שאינה צריכה לגופה משום צערא. </w:t>
      </w:r>
      <w:r w:rsidRPr="005275DF">
        <w:rPr>
          <w:rFonts w:asciiTheme="minorBidi" w:hAnsiTheme="minorBidi"/>
          <w:color w:val="E36C0A" w:themeColor="accent6" w:themeShade="BF"/>
          <w:rtl/>
        </w:rPr>
        <w:t>(וכ"פ השו"ע)</w:t>
      </w:r>
    </w:p>
    <w:p w14:paraId="6D89C6CE" w14:textId="77777777" w:rsidR="006A4BF8" w:rsidRPr="005275DF" w:rsidRDefault="006A4BF8" w:rsidP="00FF2D21">
      <w:pPr>
        <w:pStyle w:val="aa"/>
        <w:numPr>
          <w:ilvl w:val="0"/>
          <w:numId w:val="79"/>
        </w:numPr>
        <w:rPr>
          <w:rFonts w:asciiTheme="minorBidi" w:hAnsiTheme="minorBidi"/>
        </w:rPr>
      </w:pPr>
      <w:r w:rsidRPr="005275DF">
        <w:rPr>
          <w:rFonts w:asciiTheme="minorBidi" w:hAnsiTheme="minorBidi"/>
          <w:rtl/>
        </w:rPr>
        <w:t>רש"י- מפני הסכנה מפני שחלב הרבה בדדיה ומביאה לידי חולי.</w:t>
      </w:r>
    </w:p>
    <w:p w14:paraId="599CB848" w14:textId="77777777" w:rsidR="006A4BF8" w:rsidRPr="005275DF" w:rsidRDefault="006A4BF8" w:rsidP="00FF2D21">
      <w:pPr>
        <w:pStyle w:val="aa"/>
        <w:numPr>
          <w:ilvl w:val="0"/>
          <w:numId w:val="79"/>
        </w:numPr>
        <w:rPr>
          <w:rFonts w:asciiTheme="minorBidi" w:hAnsiTheme="minorBidi"/>
          <w:rtl/>
        </w:rPr>
      </w:pPr>
      <w:r w:rsidRPr="005275DF">
        <w:rPr>
          <w:rFonts w:asciiTheme="minorBidi" w:hAnsiTheme="minorBidi"/>
          <w:rtl/>
        </w:rPr>
        <w:t>רב ניסים גאון- אסור לאשה לחלוב מדדיה ביד בשבת להקל דלא שרי אלא ביניקת התינוק בלבד</w:t>
      </w:r>
      <w:r w:rsidRPr="005275DF">
        <w:rPr>
          <w:rStyle w:val="a9"/>
          <w:rFonts w:asciiTheme="minorBidi" w:hAnsiTheme="minorBidi"/>
          <w:rtl/>
        </w:rPr>
        <w:footnoteReference w:id="3482"/>
      </w:r>
      <w:r w:rsidRPr="005275DF">
        <w:rPr>
          <w:rFonts w:asciiTheme="minorBidi" w:hAnsiTheme="minorBidi"/>
          <w:rtl/>
        </w:rPr>
        <w:t xml:space="preserve">. </w:t>
      </w:r>
    </w:p>
    <w:p w14:paraId="6C568E47"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4F9D17C1" w14:textId="77777777" w:rsidR="006A4BF8" w:rsidRPr="005275DF" w:rsidRDefault="006A4BF8" w:rsidP="00434A6A">
      <w:pPr>
        <w:rPr>
          <w:rFonts w:asciiTheme="minorBidi" w:hAnsiTheme="minorBidi"/>
          <w:rtl/>
        </w:rPr>
      </w:pPr>
      <w:r w:rsidRPr="005275DF">
        <w:rPr>
          <w:rFonts w:asciiTheme="minorBidi" w:hAnsiTheme="minorBidi"/>
          <w:rtl/>
        </w:rPr>
        <w:t>נולד לשמנה או ספק בן שבעה או בן שמנה</w:t>
      </w:r>
      <w:r w:rsidRPr="005275DF">
        <w:rPr>
          <w:rStyle w:val="a9"/>
          <w:rFonts w:asciiTheme="minorBidi" w:hAnsiTheme="minorBidi"/>
          <w:rtl/>
        </w:rPr>
        <w:footnoteReference w:id="3483"/>
      </w:r>
      <w:r w:rsidRPr="005275DF">
        <w:rPr>
          <w:rFonts w:asciiTheme="minorBidi" w:hAnsiTheme="minorBidi"/>
          <w:rtl/>
        </w:rPr>
        <w:t>, שלא גמרו שערו וצפרניו, אסור לטלטלו אבל אמו שוחה עליו ומניקה מפני צער החלב שמצערה, וכן היא בעצמה יכולה להוציא בידה החלב המצער אותה</w:t>
      </w:r>
      <w:r w:rsidRPr="005275DF">
        <w:rPr>
          <w:rStyle w:val="a9"/>
          <w:rFonts w:asciiTheme="minorBidi" w:hAnsiTheme="minorBidi"/>
          <w:rtl/>
        </w:rPr>
        <w:footnoteReference w:id="3484"/>
      </w:r>
      <w:r w:rsidRPr="005275DF">
        <w:rPr>
          <w:rFonts w:asciiTheme="minorBidi" w:hAnsiTheme="minorBidi"/>
          <w:rtl/>
        </w:rPr>
        <w:t xml:space="preserve">. </w:t>
      </w:r>
    </w:p>
    <w:p w14:paraId="58A5188F" w14:textId="77777777" w:rsidR="006A4BF8" w:rsidRPr="005275DF" w:rsidRDefault="006A4BF8" w:rsidP="00434A6A">
      <w:pPr>
        <w:rPr>
          <w:rFonts w:asciiTheme="minorBidi" w:hAnsiTheme="minorBidi"/>
          <w:rtl/>
        </w:rPr>
      </w:pPr>
    </w:p>
    <w:p w14:paraId="50AC10CC"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ט: יישור אברי הולד.</w:t>
      </w:r>
    </w:p>
    <w:p w14:paraId="740D3CB2" w14:textId="77777777" w:rsidR="006A4BF8" w:rsidRPr="005275DF" w:rsidRDefault="006A4BF8" w:rsidP="00434A6A">
      <w:pPr>
        <w:rPr>
          <w:rFonts w:asciiTheme="minorBidi" w:hAnsiTheme="minorBidi"/>
          <w:rtl/>
        </w:rPr>
      </w:pPr>
      <w:r w:rsidRPr="005275DF">
        <w:rPr>
          <w:rFonts w:asciiTheme="minorBidi" w:hAnsiTheme="minorBidi"/>
          <w:b/>
          <w:bCs/>
          <w:rtl/>
        </w:rPr>
        <w:t>שבת קכט ע"ב:</w:t>
      </w:r>
      <w:r w:rsidRPr="005275DF">
        <w:rPr>
          <w:rFonts w:asciiTheme="minorBidi" w:hAnsiTheme="minorBidi"/>
          <w:rtl/>
        </w:rPr>
        <w:t xml:space="preserve"> </w:t>
      </w:r>
      <w:r w:rsidRPr="005275DF">
        <w:rPr>
          <w:rFonts w:asciiTheme="minorBidi" w:hAnsiTheme="minorBidi"/>
          <w:u w:val="single"/>
          <w:rtl/>
        </w:rPr>
        <w:t>ואמר רב נחמן אמר רבה בר אבוה אמר רב</w:t>
      </w:r>
      <w:r w:rsidRPr="005275DF">
        <w:rPr>
          <w:rFonts w:asciiTheme="minorBidi" w:hAnsiTheme="minorBidi"/>
          <w:rtl/>
        </w:rPr>
        <w:t>: כל האמור בפרשת תוכחה עושין לחיה בשבת... והחתל לא חתלת - מכאן שמלפפין הולד בשבת.</w:t>
      </w:r>
    </w:p>
    <w:p w14:paraId="3ADE69A8"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קמז ע"א: </w:t>
      </w:r>
      <w:r w:rsidRPr="005275DF">
        <w:rPr>
          <w:rFonts w:asciiTheme="minorBidi" w:hAnsiTheme="minorBidi"/>
          <w:u w:val="double"/>
          <w:rtl/>
        </w:rPr>
        <w:t>משנה:</w:t>
      </w:r>
      <w:r w:rsidRPr="005275DF">
        <w:rPr>
          <w:rFonts w:asciiTheme="minorBidi" w:hAnsiTheme="minorBidi"/>
          <w:rtl/>
        </w:rPr>
        <w:t xml:space="preserve"> הרוחץ... ואין מעצבין את הקטן</w:t>
      </w:r>
      <w:r w:rsidRPr="005275DF">
        <w:rPr>
          <w:rStyle w:val="a9"/>
          <w:rFonts w:asciiTheme="minorBidi" w:hAnsiTheme="minorBidi"/>
          <w:rtl/>
        </w:rPr>
        <w:footnoteReference w:id="3485"/>
      </w:r>
      <w:r w:rsidRPr="005275DF">
        <w:rPr>
          <w:rFonts w:asciiTheme="minorBidi" w:hAnsiTheme="minorBidi"/>
          <w:rtl/>
        </w:rPr>
        <w:t xml:space="preserve">...     </w:t>
      </w:r>
      <w:r w:rsidRPr="005275DF">
        <w:rPr>
          <w:rFonts w:asciiTheme="minorBidi" w:hAnsiTheme="minorBidi"/>
          <w:u w:val="double"/>
          <w:rtl/>
        </w:rPr>
        <w:t>גמ'</w:t>
      </w:r>
      <w:r w:rsidRPr="005275DF">
        <w:rPr>
          <w:rFonts w:asciiTheme="minorBidi" w:hAnsiTheme="minorBidi"/>
          <w:sz w:val="16"/>
          <w:szCs w:val="16"/>
          <w:u w:val="double"/>
          <w:rtl/>
        </w:rPr>
        <w:t>(קמז:)</w:t>
      </w:r>
      <w:r w:rsidRPr="005275DF">
        <w:rPr>
          <w:rFonts w:asciiTheme="minorBidi" w:hAnsiTheme="minorBidi"/>
          <w:u w:val="double"/>
          <w:rtl/>
        </w:rPr>
        <w:t>:</w:t>
      </w:r>
      <w:r w:rsidRPr="005275DF">
        <w:rPr>
          <w:rFonts w:asciiTheme="minorBidi" w:hAnsiTheme="minorBidi"/>
          <w:rtl/>
        </w:rPr>
        <w:t xml:space="preserve"> ואין מעצבין את הקטן. </w:t>
      </w:r>
      <w:r w:rsidRPr="005275DF">
        <w:rPr>
          <w:rFonts w:asciiTheme="minorBidi" w:hAnsiTheme="minorBidi"/>
          <w:u w:val="single"/>
          <w:rtl/>
        </w:rPr>
        <w:t>אמר רבה בר בר חנה אמר רבי יוחנן</w:t>
      </w:r>
      <w:r w:rsidRPr="005275DF">
        <w:rPr>
          <w:rFonts w:asciiTheme="minorBidi" w:hAnsiTheme="minorBidi"/>
          <w:rtl/>
        </w:rPr>
        <w:t>: לפופי</w:t>
      </w:r>
      <w:r w:rsidRPr="005275DF">
        <w:rPr>
          <w:rStyle w:val="a9"/>
          <w:rFonts w:asciiTheme="minorBidi" w:hAnsiTheme="minorBidi"/>
          <w:rtl/>
        </w:rPr>
        <w:footnoteReference w:id="3486"/>
      </w:r>
      <w:r w:rsidRPr="005275DF">
        <w:rPr>
          <w:rFonts w:asciiTheme="minorBidi" w:hAnsiTheme="minorBidi"/>
          <w:rtl/>
        </w:rPr>
        <w:t xml:space="preserve"> ינוקא בשבת שפיר דמי. והאנן תנן: אין מעצבין! התם בחומרי שדרה</w:t>
      </w:r>
      <w:r w:rsidRPr="005275DF">
        <w:rPr>
          <w:rStyle w:val="a9"/>
          <w:rFonts w:asciiTheme="minorBidi" w:hAnsiTheme="minorBidi"/>
          <w:rtl/>
        </w:rPr>
        <w:footnoteReference w:id="3487"/>
      </w:r>
      <w:r w:rsidRPr="005275DF">
        <w:rPr>
          <w:rFonts w:asciiTheme="minorBidi" w:hAnsiTheme="minorBidi"/>
          <w:rtl/>
        </w:rPr>
        <w:t xml:space="preserve">, דמיחזי כבונה. </w:t>
      </w:r>
    </w:p>
    <w:p w14:paraId="01882894" w14:textId="77777777" w:rsidR="006A4BF8" w:rsidRPr="005275DF" w:rsidRDefault="006A4BF8" w:rsidP="00434A6A">
      <w:pPr>
        <w:rPr>
          <w:rFonts w:asciiTheme="minorBidi" w:hAnsiTheme="minorBidi"/>
        </w:rPr>
      </w:pPr>
      <w:r w:rsidRPr="005275DF">
        <w:rPr>
          <w:rFonts w:asciiTheme="minorBidi" w:hAnsiTheme="minorBidi"/>
          <w:b/>
          <w:bCs/>
          <w:rtl/>
        </w:rPr>
        <w:t xml:space="preserve">שבת קכג ע"א: </w:t>
      </w:r>
      <w:r w:rsidRPr="005275DF">
        <w:rPr>
          <w:rFonts w:asciiTheme="minorBidi" w:hAnsiTheme="minorBidi"/>
          <w:rtl/>
        </w:rPr>
        <w:t>אסובי ינוקא</w:t>
      </w:r>
      <w:r w:rsidRPr="005275DF">
        <w:rPr>
          <w:rStyle w:val="a9"/>
          <w:rFonts w:asciiTheme="minorBidi" w:hAnsiTheme="minorBidi"/>
          <w:rtl/>
        </w:rPr>
        <w:footnoteReference w:id="3488"/>
      </w:r>
      <w:r w:rsidRPr="005275DF">
        <w:rPr>
          <w:rFonts w:asciiTheme="minorBidi" w:hAnsiTheme="minorBidi"/>
          <w:rtl/>
        </w:rPr>
        <w:t xml:space="preserve">, </w:t>
      </w:r>
      <w:r w:rsidRPr="005275DF">
        <w:rPr>
          <w:rFonts w:asciiTheme="minorBidi" w:hAnsiTheme="minorBidi"/>
          <w:u w:val="single"/>
          <w:rtl/>
        </w:rPr>
        <w:t>רב נחמן</w:t>
      </w:r>
      <w:r w:rsidRPr="005275DF">
        <w:rPr>
          <w:rFonts w:asciiTheme="minorBidi" w:hAnsiTheme="minorBidi"/>
          <w:rtl/>
        </w:rPr>
        <w:t xml:space="preserve"> אסיר</w:t>
      </w:r>
      <w:r w:rsidRPr="005275DF">
        <w:rPr>
          <w:rStyle w:val="a9"/>
          <w:rFonts w:asciiTheme="minorBidi" w:hAnsiTheme="minorBidi"/>
          <w:rtl/>
        </w:rPr>
        <w:footnoteReference w:id="3489"/>
      </w:r>
      <w:r w:rsidRPr="005275DF">
        <w:rPr>
          <w:rFonts w:asciiTheme="minorBidi" w:hAnsiTheme="minorBidi"/>
          <w:rtl/>
        </w:rPr>
        <w:t xml:space="preserve">, </w:t>
      </w:r>
      <w:r w:rsidRPr="005275DF">
        <w:rPr>
          <w:rFonts w:asciiTheme="minorBidi" w:hAnsiTheme="minorBidi"/>
          <w:u w:val="single"/>
          <w:rtl/>
        </w:rPr>
        <w:t>ורב ששת</w:t>
      </w:r>
      <w:r w:rsidRPr="005275DF">
        <w:rPr>
          <w:rFonts w:asciiTheme="minorBidi" w:hAnsiTheme="minorBidi"/>
          <w:rtl/>
        </w:rPr>
        <w:t xml:space="preserve"> שרי, </w:t>
      </w:r>
      <w:r w:rsidRPr="005275DF">
        <w:rPr>
          <w:rFonts w:asciiTheme="minorBidi" w:hAnsiTheme="minorBidi"/>
          <w:u w:val="single"/>
          <w:rtl/>
        </w:rPr>
        <w:t>אמר רב נחמן</w:t>
      </w:r>
      <w:r w:rsidRPr="005275DF">
        <w:rPr>
          <w:rFonts w:asciiTheme="minorBidi" w:hAnsiTheme="minorBidi"/>
          <w:rtl/>
        </w:rPr>
        <w:t>: מנא אמינא לה, דתנן אין עושין אפיקטויזין</w:t>
      </w:r>
      <w:r w:rsidRPr="005275DF">
        <w:rPr>
          <w:rStyle w:val="a9"/>
          <w:rFonts w:asciiTheme="minorBidi" w:hAnsiTheme="minorBidi"/>
          <w:rtl/>
        </w:rPr>
        <w:footnoteReference w:id="3490"/>
      </w:r>
      <w:r w:rsidRPr="005275DF">
        <w:rPr>
          <w:rFonts w:asciiTheme="minorBidi" w:hAnsiTheme="minorBidi"/>
          <w:rtl/>
        </w:rPr>
        <w:t xml:space="preserve"> בשבת. </w:t>
      </w:r>
      <w:r w:rsidRPr="005275DF">
        <w:rPr>
          <w:rFonts w:asciiTheme="minorBidi" w:hAnsiTheme="minorBidi"/>
          <w:u w:val="single"/>
          <w:rtl/>
        </w:rPr>
        <w:t>ורב ששת</w:t>
      </w:r>
      <w:r w:rsidRPr="005275DF">
        <w:rPr>
          <w:rFonts w:asciiTheme="minorBidi" w:hAnsiTheme="minorBidi"/>
          <w:rtl/>
        </w:rPr>
        <w:t>: התם לאו אורחיה, הכא אורחיה</w:t>
      </w:r>
      <w:r w:rsidRPr="005275DF">
        <w:rPr>
          <w:rStyle w:val="a9"/>
          <w:rFonts w:asciiTheme="minorBidi" w:hAnsiTheme="minorBidi"/>
          <w:rtl/>
        </w:rPr>
        <w:footnoteReference w:id="3491"/>
      </w:r>
      <w:r w:rsidRPr="005275DF">
        <w:rPr>
          <w:rFonts w:asciiTheme="minorBidi" w:hAnsiTheme="minorBidi"/>
          <w:rtl/>
        </w:rPr>
        <w:t xml:space="preserve">. </w:t>
      </w:r>
      <w:r w:rsidRPr="005275DF">
        <w:rPr>
          <w:rFonts w:asciiTheme="minorBidi" w:hAnsiTheme="minorBidi"/>
          <w:u w:val="single"/>
          <w:rtl/>
        </w:rPr>
        <w:t>אמר רב ששת</w:t>
      </w:r>
      <w:r w:rsidRPr="005275DF">
        <w:rPr>
          <w:rFonts w:asciiTheme="minorBidi" w:hAnsiTheme="minorBidi"/>
          <w:rtl/>
        </w:rPr>
        <w:t>: מנא אמינא לה - דתנן: מחט של יד ליטול בה את הקוץ</w:t>
      </w:r>
      <w:r w:rsidRPr="005275DF">
        <w:rPr>
          <w:rStyle w:val="a9"/>
          <w:rFonts w:asciiTheme="minorBidi" w:hAnsiTheme="minorBidi"/>
          <w:rtl/>
        </w:rPr>
        <w:footnoteReference w:id="3492"/>
      </w:r>
      <w:r w:rsidRPr="005275DF">
        <w:rPr>
          <w:rFonts w:asciiTheme="minorBidi" w:hAnsiTheme="minorBidi"/>
          <w:rtl/>
        </w:rPr>
        <w:t xml:space="preserve">. </w:t>
      </w:r>
      <w:r w:rsidRPr="005275DF">
        <w:rPr>
          <w:rFonts w:asciiTheme="minorBidi" w:hAnsiTheme="minorBidi"/>
          <w:u w:val="single"/>
          <w:rtl/>
        </w:rPr>
        <w:t>ורב נחמן</w:t>
      </w:r>
      <w:r w:rsidRPr="005275DF">
        <w:rPr>
          <w:rFonts w:asciiTheme="minorBidi" w:hAnsiTheme="minorBidi"/>
          <w:rtl/>
        </w:rPr>
        <w:t>: התם פקיד</w:t>
      </w:r>
      <w:r w:rsidRPr="005275DF">
        <w:rPr>
          <w:rStyle w:val="a9"/>
          <w:rFonts w:asciiTheme="minorBidi" w:hAnsiTheme="minorBidi"/>
          <w:rtl/>
        </w:rPr>
        <w:footnoteReference w:id="3493"/>
      </w:r>
      <w:r w:rsidRPr="005275DF">
        <w:rPr>
          <w:rFonts w:asciiTheme="minorBidi" w:hAnsiTheme="minorBidi"/>
          <w:rtl/>
        </w:rPr>
        <w:t>, הכא לא פקיד</w:t>
      </w:r>
      <w:r w:rsidRPr="005275DF">
        <w:rPr>
          <w:rStyle w:val="a9"/>
          <w:rFonts w:asciiTheme="minorBidi" w:hAnsiTheme="minorBidi"/>
          <w:rtl/>
        </w:rPr>
        <w:footnoteReference w:id="3494"/>
      </w:r>
      <w:r w:rsidRPr="005275DF">
        <w:rPr>
          <w:rFonts w:asciiTheme="minorBidi" w:hAnsiTheme="minorBidi"/>
          <w:rtl/>
        </w:rPr>
        <w:t xml:space="preserve">. </w:t>
      </w:r>
      <w:r w:rsidRPr="005275DF">
        <w:rPr>
          <w:rFonts w:asciiTheme="minorBidi" w:hAnsiTheme="minorBidi"/>
          <w:sz w:val="16"/>
          <w:szCs w:val="16"/>
          <w:rtl/>
        </w:rPr>
        <w:t>(ופסקו הרי"ף (מז:) והרא"ש (סי' ג) הלכה כרב ששת דשרי, דהרי קי"ל כרב נחמן בדיני וכרב ששת באיסורי)</w:t>
      </w:r>
    </w:p>
    <w:tbl>
      <w:tblPr>
        <w:tblStyle w:val="ac"/>
        <w:bidiVisual/>
        <w:tblW w:w="10491" w:type="dxa"/>
        <w:tblInd w:w="-319" w:type="dxa"/>
        <w:tblLook w:val="04A0" w:firstRow="1" w:lastRow="0" w:firstColumn="1" w:lastColumn="0" w:noHBand="0" w:noVBand="1"/>
      </w:tblPr>
      <w:tblGrid>
        <w:gridCol w:w="1560"/>
        <w:gridCol w:w="4110"/>
        <w:gridCol w:w="1701"/>
        <w:gridCol w:w="3120"/>
      </w:tblGrid>
      <w:tr w:rsidR="006A4BF8" w:rsidRPr="005275DF" w14:paraId="2FB81FD8" w14:textId="77777777" w:rsidTr="004445E4">
        <w:tc>
          <w:tcPr>
            <w:tcW w:w="1560" w:type="dxa"/>
          </w:tcPr>
          <w:p w14:paraId="5F89615F" w14:textId="77777777" w:rsidR="006A4BF8" w:rsidRPr="005275DF" w:rsidRDefault="006A4BF8" w:rsidP="00434A6A">
            <w:pPr>
              <w:rPr>
                <w:rFonts w:asciiTheme="minorBidi" w:hAnsiTheme="minorBidi"/>
                <w:b/>
                <w:bCs/>
                <w:rtl/>
              </w:rPr>
            </w:pPr>
          </w:p>
        </w:tc>
        <w:tc>
          <w:tcPr>
            <w:tcW w:w="4110" w:type="dxa"/>
          </w:tcPr>
          <w:p w14:paraId="34696EC7" w14:textId="77777777" w:rsidR="006A4BF8" w:rsidRPr="005275DF" w:rsidRDefault="006A4BF8" w:rsidP="00434A6A">
            <w:pPr>
              <w:rPr>
                <w:rFonts w:asciiTheme="minorBidi" w:hAnsiTheme="minorBidi"/>
                <w:b/>
                <w:bCs/>
                <w:rtl/>
              </w:rPr>
            </w:pPr>
            <w:r w:rsidRPr="005275DF">
              <w:rPr>
                <w:rFonts w:asciiTheme="minorBidi" w:hAnsiTheme="minorBidi"/>
                <w:b/>
                <w:bCs/>
                <w:rtl/>
              </w:rPr>
              <w:t>עיצוב הקטן</w:t>
            </w:r>
          </w:p>
        </w:tc>
        <w:tc>
          <w:tcPr>
            <w:tcW w:w="1701" w:type="dxa"/>
          </w:tcPr>
          <w:p w14:paraId="4BCB917F" w14:textId="77777777" w:rsidR="006A4BF8" w:rsidRPr="005275DF" w:rsidRDefault="006A4BF8" w:rsidP="00434A6A">
            <w:pPr>
              <w:rPr>
                <w:rFonts w:asciiTheme="minorBidi" w:hAnsiTheme="minorBidi"/>
                <w:b/>
                <w:bCs/>
                <w:rtl/>
              </w:rPr>
            </w:pPr>
            <w:r w:rsidRPr="005275DF">
              <w:rPr>
                <w:rFonts w:asciiTheme="minorBidi" w:hAnsiTheme="minorBidi"/>
                <w:b/>
                <w:bCs/>
                <w:rtl/>
              </w:rPr>
              <w:t>אסובי ינוקא</w:t>
            </w:r>
          </w:p>
        </w:tc>
        <w:tc>
          <w:tcPr>
            <w:tcW w:w="3120" w:type="dxa"/>
          </w:tcPr>
          <w:p w14:paraId="5B99A0BB" w14:textId="77777777" w:rsidR="006A4BF8" w:rsidRPr="005275DF" w:rsidRDefault="006A4BF8" w:rsidP="00434A6A">
            <w:pPr>
              <w:rPr>
                <w:rFonts w:asciiTheme="minorBidi" w:hAnsiTheme="minorBidi"/>
                <w:b/>
                <w:bCs/>
                <w:rtl/>
              </w:rPr>
            </w:pPr>
            <w:r w:rsidRPr="005275DF">
              <w:rPr>
                <w:rFonts w:asciiTheme="minorBidi" w:hAnsiTheme="minorBidi"/>
                <w:b/>
                <w:bCs/>
                <w:rtl/>
              </w:rPr>
              <w:t>לפופי ינוקא</w:t>
            </w:r>
          </w:p>
        </w:tc>
      </w:tr>
      <w:tr w:rsidR="006A4BF8" w:rsidRPr="005275DF" w14:paraId="164FA3D6" w14:textId="77777777" w:rsidTr="004445E4">
        <w:tc>
          <w:tcPr>
            <w:tcW w:w="1560" w:type="dxa"/>
          </w:tcPr>
          <w:p w14:paraId="45AA6940" w14:textId="77777777" w:rsidR="006A4BF8" w:rsidRPr="005275DF" w:rsidRDefault="006A4BF8" w:rsidP="00434A6A">
            <w:pPr>
              <w:rPr>
                <w:rFonts w:asciiTheme="minorBidi" w:hAnsiTheme="minorBidi"/>
                <w:b/>
                <w:bCs/>
                <w:rtl/>
              </w:rPr>
            </w:pPr>
            <w:r w:rsidRPr="005275DF">
              <w:rPr>
                <w:rFonts w:asciiTheme="minorBidi" w:hAnsiTheme="minorBidi"/>
                <w:b/>
                <w:bCs/>
                <w:rtl/>
              </w:rPr>
              <w:t xml:space="preserve">רש"י תוס' ור"ן </w:t>
            </w:r>
          </w:p>
          <w:p w14:paraId="3594968A" w14:textId="77777777" w:rsidR="006A4BF8" w:rsidRPr="005275DF" w:rsidRDefault="006A4BF8" w:rsidP="00434A6A">
            <w:pPr>
              <w:rPr>
                <w:rFonts w:asciiTheme="minorBidi" w:hAnsiTheme="minorBidi"/>
                <w:rtl/>
              </w:rPr>
            </w:pPr>
            <w:r w:rsidRPr="005275DF">
              <w:rPr>
                <w:rFonts w:asciiTheme="minorBidi" w:hAnsiTheme="minorBidi"/>
                <w:color w:val="E36C0A" w:themeColor="accent6" w:themeShade="BF"/>
                <w:rtl/>
              </w:rPr>
              <w:t>(וכ"פ השו"ע</w:t>
            </w:r>
            <w:r w:rsidRPr="005275DF">
              <w:rPr>
                <w:rStyle w:val="a9"/>
                <w:rFonts w:asciiTheme="minorBidi" w:hAnsiTheme="minorBidi"/>
                <w:rtl/>
              </w:rPr>
              <w:footnoteReference w:id="3495"/>
            </w:r>
            <w:r w:rsidRPr="005275DF">
              <w:rPr>
                <w:rFonts w:asciiTheme="minorBidi" w:hAnsiTheme="minorBidi"/>
                <w:color w:val="E36C0A" w:themeColor="accent6" w:themeShade="BF"/>
                <w:rtl/>
              </w:rPr>
              <w:t>)</w:t>
            </w:r>
          </w:p>
        </w:tc>
        <w:tc>
          <w:tcPr>
            <w:tcW w:w="4110" w:type="dxa"/>
          </w:tcPr>
          <w:p w14:paraId="20600141" w14:textId="77777777" w:rsidR="006A4BF8" w:rsidRPr="005275DF" w:rsidRDefault="006A4BF8" w:rsidP="00434A6A">
            <w:pPr>
              <w:rPr>
                <w:rFonts w:asciiTheme="minorBidi" w:hAnsiTheme="minorBidi"/>
                <w:rtl/>
              </w:rPr>
            </w:pPr>
            <w:r w:rsidRPr="005275DF">
              <w:rPr>
                <w:rFonts w:asciiTheme="minorBidi" w:hAnsiTheme="minorBidi"/>
                <w:rtl/>
              </w:rPr>
              <w:t>תיקון חוליות השדרה שנתפרקה אחת מהן</w:t>
            </w:r>
          </w:p>
          <w:p w14:paraId="1E1CDB47" w14:textId="77777777" w:rsidR="006A4BF8" w:rsidRPr="005275DF" w:rsidRDefault="006A4BF8" w:rsidP="00434A6A">
            <w:pPr>
              <w:rPr>
                <w:rFonts w:asciiTheme="minorBidi" w:hAnsiTheme="minorBidi"/>
                <w:rtl/>
              </w:rPr>
            </w:pPr>
            <w:r w:rsidRPr="005275DF">
              <w:rPr>
                <w:rFonts w:asciiTheme="minorBidi" w:hAnsiTheme="minorBidi"/>
                <w:u w:val="single"/>
                <w:rtl/>
              </w:rPr>
              <w:t>רש"י</w:t>
            </w:r>
            <w:r w:rsidRPr="005275DF">
              <w:rPr>
                <w:rFonts w:asciiTheme="minorBidi" w:hAnsiTheme="minorBidi"/>
                <w:rtl/>
              </w:rPr>
              <w:t>-</w:t>
            </w:r>
            <w:r w:rsidRPr="005275DF">
              <w:rPr>
                <w:rFonts w:asciiTheme="minorBidi" w:hAnsiTheme="minorBidi"/>
                <w:b/>
                <w:bCs/>
                <w:rtl/>
              </w:rPr>
              <w:t xml:space="preserve">שרי רק ביום הלידה, </w:t>
            </w:r>
            <w:r w:rsidRPr="005275DF">
              <w:rPr>
                <w:rFonts w:asciiTheme="minorBidi" w:hAnsiTheme="minorBidi"/>
                <w:u w:val="single"/>
                <w:rtl/>
              </w:rPr>
              <w:t>תוס'</w:t>
            </w:r>
            <w:r w:rsidRPr="005275DF">
              <w:rPr>
                <w:rFonts w:asciiTheme="minorBidi" w:hAnsiTheme="minorBidi"/>
                <w:rtl/>
              </w:rPr>
              <w:t>-</w:t>
            </w:r>
            <w:r w:rsidRPr="005275DF">
              <w:rPr>
                <w:rFonts w:asciiTheme="minorBidi" w:hAnsiTheme="minorBidi"/>
                <w:b/>
                <w:bCs/>
                <w:rtl/>
              </w:rPr>
              <w:t>אסור לעולם</w:t>
            </w:r>
            <w:r w:rsidRPr="005275DF">
              <w:rPr>
                <w:rStyle w:val="a9"/>
                <w:rFonts w:asciiTheme="minorBidi" w:hAnsiTheme="minorBidi"/>
                <w:sz w:val="18"/>
                <w:szCs w:val="18"/>
                <w:rtl/>
              </w:rPr>
              <w:footnoteReference w:id="3496"/>
            </w:r>
          </w:p>
        </w:tc>
        <w:tc>
          <w:tcPr>
            <w:tcW w:w="1701" w:type="dxa"/>
          </w:tcPr>
          <w:p w14:paraId="54150344" w14:textId="77777777" w:rsidR="006A4BF8" w:rsidRPr="005275DF" w:rsidRDefault="006A4BF8" w:rsidP="00434A6A">
            <w:pPr>
              <w:rPr>
                <w:rFonts w:asciiTheme="minorBidi" w:hAnsiTheme="minorBidi"/>
                <w:rtl/>
              </w:rPr>
            </w:pPr>
            <w:r w:rsidRPr="005275DF">
              <w:rPr>
                <w:rFonts w:asciiTheme="minorBidi" w:hAnsiTheme="minorBidi"/>
                <w:rtl/>
              </w:rPr>
              <w:t>סידור סדר אבריו</w:t>
            </w:r>
          </w:p>
          <w:p w14:paraId="452B24B0" w14:textId="77777777" w:rsidR="006A4BF8" w:rsidRPr="005275DF" w:rsidRDefault="006A4BF8" w:rsidP="00434A6A">
            <w:pPr>
              <w:rPr>
                <w:rFonts w:asciiTheme="minorBidi" w:hAnsiTheme="minorBidi"/>
                <w:rtl/>
              </w:rPr>
            </w:pPr>
            <w:r w:rsidRPr="005275DF">
              <w:rPr>
                <w:rFonts w:asciiTheme="minorBidi" w:hAnsiTheme="minorBidi"/>
                <w:b/>
                <w:bCs/>
                <w:rtl/>
              </w:rPr>
              <w:t>שרי לעולם</w:t>
            </w:r>
          </w:p>
        </w:tc>
        <w:tc>
          <w:tcPr>
            <w:tcW w:w="3120" w:type="dxa"/>
          </w:tcPr>
          <w:p w14:paraId="232B5DBD" w14:textId="77777777" w:rsidR="006A4BF8" w:rsidRPr="005275DF" w:rsidRDefault="006A4BF8" w:rsidP="00434A6A">
            <w:pPr>
              <w:rPr>
                <w:rFonts w:asciiTheme="minorBidi" w:hAnsiTheme="minorBidi"/>
                <w:rtl/>
              </w:rPr>
            </w:pPr>
            <w:r w:rsidRPr="005275DF">
              <w:rPr>
                <w:rFonts w:asciiTheme="minorBidi" w:hAnsiTheme="minorBidi"/>
                <w:rtl/>
              </w:rPr>
              <w:t>יישוב אבריו שלא יתעקמו</w:t>
            </w:r>
          </w:p>
          <w:p w14:paraId="51B7E16B" w14:textId="77777777" w:rsidR="006A4BF8" w:rsidRPr="005275DF" w:rsidRDefault="006A4BF8" w:rsidP="00434A6A">
            <w:pPr>
              <w:rPr>
                <w:rFonts w:asciiTheme="minorBidi" w:hAnsiTheme="minorBidi"/>
                <w:rtl/>
              </w:rPr>
            </w:pPr>
            <w:r w:rsidRPr="005275DF">
              <w:rPr>
                <w:rFonts w:asciiTheme="minorBidi" w:hAnsiTheme="minorBidi"/>
                <w:b/>
                <w:bCs/>
                <w:rtl/>
              </w:rPr>
              <w:t>שרי לעולם</w:t>
            </w:r>
          </w:p>
        </w:tc>
      </w:tr>
      <w:tr w:rsidR="006A4BF8" w:rsidRPr="005275DF" w14:paraId="7E60C983" w14:textId="77777777" w:rsidTr="004445E4">
        <w:tc>
          <w:tcPr>
            <w:tcW w:w="1560" w:type="dxa"/>
          </w:tcPr>
          <w:p w14:paraId="084CF3AE" w14:textId="77777777" w:rsidR="006A4BF8" w:rsidRPr="005275DF" w:rsidRDefault="006A4BF8" w:rsidP="00434A6A">
            <w:pPr>
              <w:rPr>
                <w:rFonts w:asciiTheme="minorBidi" w:hAnsiTheme="minorBidi"/>
                <w:b/>
                <w:bCs/>
                <w:rtl/>
              </w:rPr>
            </w:pPr>
            <w:r w:rsidRPr="005275DF">
              <w:rPr>
                <w:rFonts w:asciiTheme="minorBidi" w:hAnsiTheme="minorBidi"/>
                <w:b/>
                <w:bCs/>
                <w:rtl/>
              </w:rPr>
              <w:t>רא"ש</w:t>
            </w:r>
            <w:r w:rsidRPr="005275DF">
              <w:rPr>
                <w:rStyle w:val="a9"/>
                <w:rFonts w:asciiTheme="minorBidi" w:hAnsiTheme="minorBidi"/>
                <w:b/>
                <w:bCs/>
                <w:rtl/>
              </w:rPr>
              <w:footnoteReference w:id="3497"/>
            </w:r>
          </w:p>
        </w:tc>
        <w:tc>
          <w:tcPr>
            <w:tcW w:w="4110" w:type="dxa"/>
          </w:tcPr>
          <w:p w14:paraId="0B2D10C3" w14:textId="77777777" w:rsidR="006A4BF8" w:rsidRPr="005275DF" w:rsidRDefault="006A4BF8" w:rsidP="00434A6A">
            <w:pPr>
              <w:rPr>
                <w:rFonts w:asciiTheme="minorBidi" w:hAnsiTheme="minorBidi"/>
                <w:rtl/>
              </w:rPr>
            </w:pPr>
            <w:r w:rsidRPr="005275DF">
              <w:rPr>
                <w:rFonts w:asciiTheme="minorBidi" w:hAnsiTheme="minorBidi"/>
                <w:rtl/>
              </w:rPr>
              <w:t>תיקון חוליות השדרה שנתפרקה אחת מהן</w:t>
            </w:r>
          </w:p>
          <w:p w14:paraId="5AE8C54E" w14:textId="77777777" w:rsidR="006A4BF8" w:rsidRPr="005275DF" w:rsidRDefault="006A4BF8" w:rsidP="00434A6A">
            <w:pPr>
              <w:rPr>
                <w:rFonts w:asciiTheme="minorBidi" w:hAnsiTheme="minorBidi"/>
                <w:rtl/>
              </w:rPr>
            </w:pPr>
            <w:r w:rsidRPr="005275DF">
              <w:rPr>
                <w:rFonts w:asciiTheme="minorBidi" w:hAnsiTheme="minorBidi"/>
                <w:b/>
                <w:bCs/>
                <w:rtl/>
              </w:rPr>
              <w:t>שרי רק ביום הלידה</w:t>
            </w:r>
          </w:p>
        </w:tc>
        <w:tc>
          <w:tcPr>
            <w:tcW w:w="4821" w:type="dxa"/>
            <w:gridSpan w:val="2"/>
          </w:tcPr>
          <w:p w14:paraId="2EE63194" w14:textId="77777777" w:rsidR="006A4BF8" w:rsidRPr="005275DF" w:rsidRDefault="006A4BF8" w:rsidP="00434A6A">
            <w:pPr>
              <w:rPr>
                <w:rFonts w:asciiTheme="minorBidi" w:hAnsiTheme="minorBidi"/>
                <w:rtl/>
              </w:rPr>
            </w:pPr>
            <w:r w:rsidRPr="005275DF">
              <w:rPr>
                <w:rFonts w:asciiTheme="minorBidi" w:hAnsiTheme="minorBidi"/>
                <w:rtl/>
              </w:rPr>
              <w:t>שמחליקין לקטן סדר אבריו שמלפפין אותו וקושרין אותו בבגדים ליישר אבריו</w:t>
            </w:r>
          </w:p>
          <w:p w14:paraId="5008D85A" w14:textId="77777777" w:rsidR="006A4BF8" w:rsidRPr="005275DF" w:rsidRDefault="006A4BF8" w:rsidP="00434A6A">
            <w:pPr>
              <w:rPr>
                <w:rFonts w:asciiTheme="minorBidi" w:hAnsiTheme="minorBidi"/>
                <w:b/>
                <w:bCs/>
                <w:rtl/>
              </w:rPr>
            </w:pPr>
            <w:r w:rsidRPr="005275DF">
              <w:rPr>
                <w:rFonts w:asciiTheme="minorBidi" w:hAnsiTheme="minorBidi"/>
                <w:b/>
                <w:bCs/>
                <w:rtl/>
              </w:rPr>
              <w:t xml:space="preserve">שרי לעולם </w:t>
            </w:r>
          </w:p>
        </w:tc>
      </w:tr>
      <w:tr w:rsidR="006A4BF8" w:rsidRPr="005275DF" w14:paraId="5102E46D" w14:textId="77777777" w:rsidTr="004445E4">
        <w:tc>
          <w:tcPr>
            <w:tcW w:w="1560" w:type="dxa"/>
          </w:tcPr>
          <w:p w14:paraId="621F981B" w14:textId="77777777" w:rsidR="006A4BF8" w:rsidRPr="005275DF" w:rsidRDefault="006A4BF8" w:rsidP="00434A6A">
            <w:pPr>
              <w:rPr>
                <w:rFonts w:asciiTheme="minorBidi" w:hAnsiTheme="minorBidi"/>
                <w:b/>
                <w:bCs/>
                <w:sz w:val="16"/>
                <w:szCs w:val="16"/>
                <w:rtl/>
              </w:rPr>
            </w:pPr>
            <w:r w:rsidRPr="005275DF">
              <w:rPr>
                <w:rFonts w:asciiTheme="minorBidi" w:hAnsiTheme="minorBidi"/>
                <w:b/>
                <w:bCs/>
                <w:rtl/>
              </w:rPr>
              <w:t>(רא"ש</w:t>
            </w:r>
            <w:r w:rsidRPr="005275DF">
              <w:rPr>
                <w:rFonts w:asciiTheme="minorBidi" w:hAnsiTheme="minorBidi"/>
                <w:b/>
                <w:bCs/>
                <w:sz w:val="14"/>
                <w:szCs w:val="14"/>
                <w:rtl/>
              </w:rPr>
              <w:t xml:space="preserve"> להב' הטור ע"פ הב"ח</w:t>
            </w:r>
            <w:r w:rsidRPr="005275DF">
              <w:rPr>
                <w:rFonts w:asciiTheme="minorBidi" w:hAnsiTheme="minorBidi"/>
                <w:b/>
                <w:bCs/>
                <w:rtl/>
              </w:rPr>
              <w:t>) וטור</w:t>
            </w:r>
            <w:r w:rsidRPr="005275DF">
              <w:rPr>
                <w:rStyle w:val="a9"/>
                <w:rFonts w:asciiTheme="minorBidi" w:hAnsiTheme="minorBidi"/>
                <w:b/>
                <w:bCs/>
                <w:rtl/>
              </w:rPr>
              <w:footnoteReference w:id="3498"/>
            </w:r>
            <w:r w:rsidRPr="005275DF">
              <w:rPr>
                <w:rFonts w:asciiTheme="minorBidi" w:hAnsiTheme="minorBidi"/>
                <w:b/>
                <w:bCs/>
                <w:sz w:val="16"/>
                <w:szCs w:val="16"/>
                <w:rtl/>
              </w:rPr>
              <w:t xml:space="preserve"> </w:t>
            </w:r>
          </w:p>
        </w:tc>
        <w:tc>
          <w:tcPr>
            <w:tcW w:w="5811" w:type="dxa"/>
            <w:gridSpan w:val="2"/>
          </w:tcPr>
          <w:p w14:paraId="711B24D7" w14:textId="77777777" w:rsidR="006A4BF8" w:rsidRPr="005275DF" w:rsidRDefault="006A4BF8" w:rsidP="00434A6A">
            <w:pPr>
              <w:rPr>
                <w:rFonts w:asciiTheme="minorBidi" w:hAnsiTheme="minorBidi"/>
                <w:rtl/>
              </w:rPr>
            </w:pPr>
            <w:r w:rsidRPr="005275DF">
              <w:rPr>
                <w:rFonts w:asciiTheme="minorBidi" w:hAnsiTheme="minorBidi"/>
                <w:rtl/>
              </w:rPr>
              <w:t xml:space="preserve">שמיישרין איבריו </w:t>
            </w:r>
            <w:r w:rsidRPr="005275DF">
              <w:rPr>
                <w:rFonts w:asciiTheme="minorBidi" w:hAnsiTheme="minorBidi"/>
                <w:u w:val="single"/>
                <w:rtl/>
              </w:rPr>
              <w:t>שנתפרקו</w:t>
            </w:r>
            <w:r w:rsidRPr="005275DF">
              <w:rPr>
                <w:rFonts w:asciiTheme="minorBidi" w:hAnsiTheme="minorBidi"/>
                <w:rtl/>
              </w:rPr>
              <w:t xml:space="preserve"> מחמת צער הלידה</w:t>
            </w:r>
          </w:p>
          <w:p w14:paraId="39612E90" w14:textId="77777777" w:rsidR="006A4BF8" w:rsidRPr="005275DF" w:rsidRDefault="006A4BF8" w:rsidP="00434A6A">
            <w:pPr>
              <w:rPr>
                <w:rFonts w:asciiTheme="minorBidi" w:hAnsiTheme="minorBidi"/>
                <w:b/>
                <w:bCs/>
                <w:rtl/>
              </w:rPr>
            </w:pPr>
            <w:r w:rsidRPr="005275DF">
              <w:rPr>
                <w:rFonts w:asciiTheme="minorBidi" w:hAnsiTheme="minorBidi"/>
                <w:b/>
                <w:bCs/>
                <w:rtl/>
              </w:rPr>
              <w:t>שרי רק ביום הלידה</w:t>
            </w:r>
          </w:p>
        </w:tc>
        <w:tc>
          <w:tcPr>
            <w:tcW w:w="3120" w:type="dxa"/>
          </w:tcPr>
          <w:p w14:paraId="604417DD" w14:textId="77777777" w:rsidR="006A4BF8" w:rsidRPr="005275DF" w:rsidRDefault="006A4BF8" w:rsidP="00434A6A">
            <w:pPr>
              <w:rPr>
                <w:rFonts w:asciiTheme="minorBidi" w:hAnsiTheme="minorBidi"/>
                <w:rtl/>
              </w:rPr>
            </w:pPr>
            <w:r w:rsidRPr="005275DF">
              <w:rPr>
                <w:rFonts w:asciiTheme="minorBidi" w:hAnsiTheme="minorBidi"/>
                <w:rtl/>
              </w:rPr>
              <w:t xml:space="preserve">לכרכו בבגדיו שלא </w:t>
            </w:r>
            <w:r w:rsidRPr="005275DF">
              <w:rPr>
                <w:rFonts w:asciiTheme="minorBidi" w:hAnsiTheme="minorBidi"/>
                <w:u w:val="single"/>
                <w:rtl/>
              </w:rPr>
              <w:t>יתעקמו</w:t>
            </w:r>
            <w:r w:rsidRPr="005275DF">
              <w:rPr>
                <w:rFonts w:asciiTheme="minorBidi" w:hAnsiTheme="minorBidi"/>
                <w:rtl/>
              </w:rPr>
              <w:t xml:space="preserve"> איבריו</w:t>
            </w:r>
          </w:p>
          <w:p w14:paraId="2F54530D" w14:textId="77777777" w:rsidR="006A4BF8" w:rsidRPr="005275DF" w:rsidRDefault="006A4BF8" w:rsidP="00434A6A">
            <w:pPr>
              <w:rPr>
                <w:rFonts w:asciiTheme="minorBidi" w:hAnsiTheme="minorBidi"/>
                <w:rtl/>
              </w:rPr>
            </w:pPr>
            <w:r w:rsidRPr="005275DF">
              <w:rPr>
                <w:rFonts w:asciiTheme="minorBidi" w:hAnsiTheme="minorBidi"/>
                <w:b/>
                <w:bCs/>
                <w:rtl/>
              </w:rPr>
              <w:t>שרי לעולם</w:t>
            </w:r>
          </w:p>
        </w:tc>
      </w:tr>
    </w:tbl>
    <w:p w14:paraId="7702071B" w14:textId="77777777" w:rsidR="006A4BF8" w:rsidRPr="005275DF" w:rsidRDefault="006A4BF8" w:rsidP="00434A6A">
      <w:pPr>
        <w:rPr>
          <w:rFonts w:asciiTheme="minorBidi" w:hAnsiTheme="minorBidi"/>
          <w:rtl/>
        </w:rPr>
      </w:pPr>
    </w:p>
    <w:p w14:paraId="23D78B06"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EFD3488" w14:textId="77777777" w:rsidR="006A4BF8" w:rsidRPr="005275DF" w:rsidRDefault="006A4BF8" w:rsidP="00434A6A">
      <w:pPr>
        <w:rPr>
          <w:rFonts w:asciiTheme="minorBidi" w:hAnsiTheme="minorBidi"/>
          <w:rtl/>
        </w:rPr>
      </w:pPr>
      <w:r w:rsidRPr="005275DF">
        <w:rPr>
          <w:rFonts w:asciiTheme="minorBidi" w:hAnsiTheme="minorBidi"/>
          <w:rtl/>
        </w:rPr>
        <w:t>מיישרים</w:t>
      </w:r>
      <w:r w:rsidRPr="005275DF">
        <w:rPr>
          <w:rStyle w:val="a9"/>
          <w:rFonts w:asciiTheme="minorBidi" w:hAnsiTheme="minorBidi"/>
          <w:rtl/>
        </w:rPr>
        <w:footnoteReference w:id="3499"/>
      </w:r>
      <w:r w:rsidRPr="005275DF">
        <w:rPr>
          <w:rFonts w:asciiTheme="minorBidi" w:hAnsiTheme="minorBidi"/>
          <w:rtl/>
        </w:rPr>
        <w:t xml:space="preserve"> אברי הולד שנתפרקו מחמת צער הלידה</w:t>
      </w:r>
      <w:r w:rsidRPr="005275DF">
        <w:rPr>
          <w:rStyle w:val="a9"/>
          <w:rFonts w:asciiTheme="minorBidi" w:hAnsiTheme="minorBidi"/>
          <w:rtl/>
        </w:rPr>
        <w:footnoteReference w:id="3500"/>
      </w:r>
      <w:r w:rsidRPr="005275DF">
        <w:rPr>
          <w:rFonts w:asciiTheme="minorBidi" w:hAnsiTheme="minorBidi"/>
          <w:rtl/>
        </w:rPr>
        <w:t xml:space="preserve">. </w:t>
      </w:r>
    </w:p>
    <w:p w14:paraId="72D50697" w14:textId="77777777" w:rsidR="006A4BF8" w:rsidRPr="005275DF" w:rsidRDefault="006A4BF8" w:rsidP="00434A6A">
      <w:pPr>
        <w:rPr>
          <w:rFonts w:asciiTheme="minorBidi" w:hAnsiTheme="minorBidi"/>
          <w:rtl/>
        </w:rPr>
      </w:pPr>
    </w:p>
    <w:p w14:paraId="716AD01B"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 כריכת הולד בבגדיו.</w:t>
      </w:r>
    </w:p>
    <w:p w14:paraId="29BE8263"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קמז ע"ב: </w:t>
      </w:r>
      <w:r w:rsidRPr="005275DF">
        <w:rPr>
          <w:rFonts w:asciiTheme="minorBidi" w:hAnsiTheme="minorBidi"/>
          <w:u w:val="single"/>
          <w:rtl/>
        </w:rPr>
        <w:t>אמר רבה בר בר חנה אמר רבי יוחנן</w:t>
      </w:r>
      <w:r w:rsidRPr="005275DF">
        <w:rPr>
          <w:rFonts w:asciiTheme="minorBidi" w:hAnsiTheme="minorBidi"/>
          <w:rtl/>
        </w:rPr>
        <w:t>: לפופי</w:t>
      </w:r>
      <w:r w:rsidRPr="005275DF">
        <w:rPr>
          <w:rStyle w:val="a9"/>
          <w:rFonts w:asciiTheme="minorBidi" w:hAnsiTheme="minorBidi"/>
          <w:rtl/>
        </w:rPr>
        <w:footnoteReference w:id="3501"/>
      </w:r>
      <w:r w:rsidRPr="005275DF">
        <w:rPr>
          <w:rFonts w:asciiTheme="minorBidi" w:hAnsiTheme="minorBidi"/>
          <w:rtl/>
        </w:rPr>
        <w:t xml:space="preserve"> ינוקא בשבת שפיר דמי.</w:t>
      </w:r>
    </w:p>
    <w:p w14:paraId="0C9CDD12"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8D9AB7D" w14:textId="77777777" w:rsidR="006A4BF8" w:rsidRPr="005275DF" w:rsidRDefault="006A4BF8" w:rsidP="00434A6A">
      <w:pPr>
        <w:rPr>
          <w:rFonts w:asciiTheme="minorBidi" w:hAnsiTheme="minorBidi"/>
          <w:rtl/>
        </w:rPr>
      </w:pPr>
      <w:r w:rsidRPr="005275DF">
        <w:rPr>
          <w:rFonts w:asciiTheme="minorBidi" w:hAnsiTheme="minorBidi"/>
          <w:rtl/>
        </w:rPr>
        <w:t>מותר</w:t>
      </w:r>
      <w:r w:rsidRPr="005275DF">
        <w:rPr>
          <w:rStyle w:val="a9"/>
          <w:rFonts w:asciiTheme="minorBidi" w:hAnsiTheme="minorBidi"/>
          <w:rtl/>
        </w:rPr>
        <w:footnoteReference w:id="3502"/>
      </w:r>
      <w:r w:rsidRPr="005275DF">
        <w:rPr>
          <w:rFonts w:asciiTheme="minorBidi" w:hAnsiTheme="minorBidi"/>
          <w:rtl/>
        </w:rPr>
        <w:t xml:space="preserve"> לכרכו בבגדיו שלא יתעקמו איבריו. </w:t>
      </w:r>
    </w:p>
    <w:p w14:paraId="5194E434" w14:textId="77777777" w:rsidR="006A4BF8" w:rsidRPr="005275DF" w:rsidRDefault="006A4BF8" w:rsidP="00434A6A">
      <w:pPr>
        <w:rPr>
          <w:rFonts w:asciiTheme="minorBidi" w:hAnsiTheme="minorBidi"/>
          <w:rtl/>
        </w:rPr>
      </w:pPr>
    </w:p>
    <w:p w14:paraId="58037A3A"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יא: החזרת ערלת הגרון של הולד למקומה.</w:t>
      </w:r>
    </w:p>
    <w:p w14:paraId="1874ED06"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קכג ע"א: </w:t>
      </w:r>
      <w:r w:rsidRPr="005275DF">
        <w:rPr>
          <w:rFonts w:asciiTheme="minorBidi" w:hAnsiTheme="minorBidi"/>
          <w:rtl/>
        </w:rPr>
        <w:t>אסובי ינוקא</w:t>
      </w:r>
      <w:r w:rsidRPr="005275DF">
        <w:rPr>
          <w:rStyle w:val="a9"/>
          <w:rFonts w:asciiTheme="minorBidi" w:hAnsiTheme="minorBidi"/>
          <w:rtl/>
        </w:rPr>
        <w:footnoteReference w:id="3503"/>
      </w:r>
      <w:r w:rsidRPr="005275DF">
        <w:rPr>
          <w:rFonts w:asciiTheme="minorBidi" w:hAnsiTheme="minorBidi"/>
          <w:rtl/>
        </w:rPr>
        <w:t xml:space="preserve">, </w:t>
      </w:r>
      <w:r w:rsidRPr="005275DF">
        <w:rPr>
          <w:rFonts w:asciiTheme="minorBidi" w:hAnsiTheme="minorBidi"/>
          <w:u w:val="single"/>
          <w:rtl/>
        </w:rPr>
        <w:t>רב נחמן</w:t>
      </w:r>
      <w:r w:rsidRPr="005275DF">
        <w:rPr>
          <w:rFonts w:asciiTheme="minorBidi" w:hAnsiTheme="minorBidi"/>
          <w:rtl/>
        </w:rPr>
        <w:t xml:space="preserve"> אסיר, </w:t>
      </w:r>
      <w:r w:rsidRPr="005275DF">
        <w:rPr>
          <w:rFonts w:asciiTheme="minorBidi" w:hAnsiTheme="minorBidi"/>
          <w:u w:val="single"/>
          <w:rtl/>
        </w:rPr>
        <w:t>ורב ששת</w:t>
      </w:r>
      <w:r w:rsidRPr="005275DF">
        <w:rPr>
          <w:rFonts w:asciiTheme="minorBidi" w:hAnsiTheme="minorBidi"/>
          <w:rtl/>
        </w:rPr>
        <w:t xml:space="preserve"> שרי, </w:t>
      </w:r>
      <w:r w:rsidRPr="005275DF">
        <w:rPr>
          <w:rFonts w:asciiTheme="minorBidi" w:hAnsiTheme="minorBidi"/>
          <w:u w:val="single"/>
          <w:rtl/>
        </w:rPr>
        <w:t>אמר רב נחמן</w:t>
      </w:r>
      <w:r w:rsidRPr="005275DF">
        <w:rPr>
          <w:rFonts w:asciiTheme="minorBidi" w:hAnsiTheme="minorBidi"/>
          <w:rtl/>
        </w:rPr>
        <w:t>: מנא אמינא לה, דתנן אין עושין אפיקטויזין</w:t>
      </w:r>
      <w:r w:rsidRPr="005275DF">
        <w:rPr>
          <w:rStyle w:val="a9"/>
          <w:rFonts w:asciiTheme="minorBidi" w:hAnsiTheme="minorBidi"/>
          <w:rtl/>
        </w:rPr>
        <w:footnoteReference w:id="3504"/>
      </w:r>
      <w:r w:rsidRPr="005275DF">
        <w:rPr>
          <w:rFonts w:asciiTheme="minorBidi" w:hAnsiTheme="minorBidi"/>
          <w:rtl/>
        </w:rPr>
        <w:t xml:space="preserve"> בשבת. </w:t>
      </w:r>
      <w:r w:rsidRPr="005275DF">
        <w:rPr>
          <w:rFonts w:asciiTheme="minorBidi" w:hAnsiTheme="minorBidi"/>
          <w:u w:val="single"/>
          <w:rtl/>
        </w:rPr>
        <w:t>ורב ששת</w:t>
      </w:r>
      <w:r w:rsidRPr="005275DF">
        <w:rPr>
          <w:rFonts w:asciiTheme="minorBidi" w:hAnsiTheme="minorBidi"/>
          <w:rtl/>
        </w:rPr>
        <w:t>: התם לאו אורחיה, הכא אורחיה</w:t>
      </w:r>
      <w:r w:rsidRPr="005275DF">
        <w:rPr>
          <w:rStyle w:val="a9"/>
          <w:rFonts w:asciiTheme="minorBidi" w:hAnsiTheme="minorBidi"/>
          <w:rtl/>
        </w:rPr>
        <w:footnoteReference w:id="3505"/>
      </w:r>
      <w:r w:rsidRPr="005275DF">
        <w:rPr>
          <w:rFonts w:asciiTheme="minorBidi" w:hAnsiTheme="minorBidi"/>
          <w:rtl/>
        </w:rPr>
        <w:t xml:space="preserve">. </w:t>
      </w:r>
      <w:r w:rsidRPr="005275DF">
        <w:rPr>
          <w:rFonts w:asciiTheme="minorBidi" w:hAnsiTheme="minorBidi"/>
          <w:u w:val="single"/>
          <w:rtl/>
        </w:rPr>
        <w:t>אמר רב ששת</w:t>
      </w:r>
      <w:r w:rsidRPr="005275DF">
        <w:rPr>
          <w:rFonts w:asciiTheme="minorBidi" w:hAnsiTheme="minorBidi"/>
          <w:rtl/>
        </w:rPr>
        <w:t xml:space="preserve">: מנא אמינא לה - דתנן: מחט של יד ליטול בה את הקוץ. </w:t>
      </w:r>
      <w:r w:rsidRPr="005275DF">
        <w:rPr>
          <w:rFonts w:asciiTheme="minorBidi" w:hAnsiTheme="minorBidi"/>
          <w:u w:val="single"/>
          <w:rtl/>
        </w:rPr>
        <w:t>ורב נחמן</w:t>
      </w:r>
      <w:r w:rsidRPr="005275DF">
        <w:rPr>
          <w:rFonts w:asciiTheme="minorBidi" w:hAnsiTheme="minorBidi"/>
          <w:rtl/>
        </w:rPr>
        <w:t>: התם פקיד, הכא לא פקיד.</w:t>
      </w:r>
    </w:p>
    <w:p w14:paraId="58B5AC83"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4CA7F34F" w14:textId="77777777" w:rsidR="006A4BF8" w:rsidRPr="005275DF" w:rsidRDefault="006A4BF8" w:rsidP="00434A6A">
      <w:pPr>
        <w:rPr>
          <w:rFonts w:asciiTheme="minorBidi" w:hAnsiTheme="minorBidi"/>
          <w:rtl/>
        </w:rPr>
      </w:pPr>
      <w:r w:rsidRPr="005275DF">
        <w:rPr>
          <w:rFonts w:asciiTheme="minorBidi" w:hAnsiTheme="minorBidi"/>
          <w:rtl/>
        </w:rPr>
        <w:t>אם נפלה ערלת גרון הולד מותר לשום אצבע לתוך פיו ולסלק הערלה למקומה אף על פי שפעמים שמקיא</w:t>
      </w:r>
      <w:r w:rsidRPr="005275DF">
        <w:rPr>
          <w:rStyle w:val="a9"/>
          <w:rFonts w:asciiTheme="minorBidi" w:hAnsiTheme="minorBidi"/>
          <w:rtl/>
        </w:rPr>
        <w:footnoteReference w:id="3506"/>
      </w:r>
      <w:r w:rsidRPr="005275DF">
        <w:rPr>
          <w:rFonts w:asciiTheme="minorBidi" w:hAnsiTheme="minorBidi"/>
          <w:rtl/>
        </w:rPr>
        <w:t>.</w:t>
      </w:r>
    </w:p>
    <w:p w14:paraId="622DEFBE" w14:textId="77777777" w:rsidR="006A4BF8" w:rsidRPr="005275DF" w:rsidRDefault="006A4BF8" w:rsidP="00434A6A">
      <w:pPr>
        <w:rPr>
          <w:rFonts w:asciiTheme="minorBidi" w:hAnsiTheme="minorBidi"/>
          <w:rtl/>
        </w:rPr>
      </w:pPr>
    </w:p>
    <w:p w14:paraId="17534842" w14:textId="77777777" w:rsidR="006A4BF8" w:rsidRPr="005275DF" w:rsidRDefault="006A4BF8" w:rsidP="00434A6A">
      <w:pPr>
        <w:rPr>
          <w:rFonts w:asciiTheme="minorBidi" w:hAnsiTheme="minorBidi"/>
          <w:rtl/>
        </w:rPr>
      </w:pPr>
    </w:p>
    <w:p w14:paraId="7107C598" w14:textId="77777777" w:rsidR="006A4BF8" w:rsidRPr="005275DF" w:rsidRDefault="006A4BF8" w:rsidP="00434A6A">
      <w:pPr>
        <w:rPr>
          <w:rFonts w:asciiTheme="minorBidi" w:hAnsiTheme="minorBidi"/>
          <w:rtl/>
        </w:rPr>
      </w:pPr>
    </w:p>
    <w:p w14:paraId="52344C35" w14:textId="77777777" w:rsidR="006A4BF8" w:rsidRPr="005275DF" w:rsidRDefault="006A4BF8" w:rsidP="00434A6A">
      <w:pPr>
        <w:rPr>
          <w:rFonts w:asciiTheme="minorBidi" w:hAnsiTheme="minorBidi"/>
          <w:rtl/>
        </w:rPr>
      </w:pPr>
    </w:p>
    <w:p w14:paraId="3B5C6DFD" w14:textId="77777777" w:rsidR="006A4BF8" w:rsidRDefault="006A4BF8" w:rsidP="00434A6A">
      <w:pPr>
        <w:pStyle w:val="1"/>
        <w:rPr>
          <w:rFonts w:asciiTheme="minorBidi" w:hAnsiTheme="minorBidi"/>
          <w:rtl/>
        </w:rPr>
        <w:sectPr w:rsidR="006A4BF8" w:rsidSect="00BD29B1">
          <w:headerReference w:type="default" r:id="rId97"/>
          <w:footnotePr>
            <w:numRestart w:val="eachSect"/>
          </w:footnotePr>
          <w:pgSz w:w="11906" w:h="16838"/>
          <w:pgMar w:top="720" w:right="1134" w:bottom="720" w:left="1134" w:header="0" w:footer="0" w:gutter="0"/>
          <w:cols w:space="720"/>
          <w:bidi/>
          <w:rtlGutter/>
          <w:docGrid w:linePitch="360"/>
        </w:sectPr>
      </w:pPr>
    </w:p>
    <w:p w14:paraId="63F4497E" w14:textId="77777777" w:rsidR="006A4BF8" w:rsidRPr="005275DF" w:rsidRDefault="006A4BF8" w:rsidP="00434A6A">
      <w:pPr>
        <w:pStyle w:val="1"/>
        <w:rPr>
          <w:rFonts w:asciiTheme="minorBidi" w:hAnsiTheme="minorBidi"/>
          <w:rtl/>
        </w:rPr>
      </w:pPr>
      <w:r w:rsidRPr="005275DF">
        <w:rPr>
          <w:rFonts w:asciiTheme="minorBidi" w:hAnsiTheme="minorBidi"/>
          <w:rtl/>
        </w:rPr>
        <w:t xml:space="preserve">סימן שלא: דין מילה בשבת, ובו י' סעיפים. </w:t>
      </w:r>
    </w:p>
    <w:p w14:paraId="2DB444A9"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א: עשיית כל צרכי המילה.</w:t>
      </w:r>
    </w:p>
    <w:p w14:paraId="77BAD1B8"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קלג ע"א: </w:t>
      </w:r>
      <w:r w:rsidRPr="005275DF">
        <w:rPr>
          <w:rFonts w:asciiTheme="minorBidi" w:hAnsiTheme="minorBidi"/>
          <w:u w:val="double"/>
          <w:rtl/>
        </w:rPr>
        <w:t>משנה:</w:t>
      </w:r>
      <w:r w:rsidRPr="005275DF">
        <w:rPr>
          <w:rFonts w:asciiTheme="minorBidi" w:hAnsiTheme="minorBidi"/>
          <w:rtl/>
        </w:rPr>
        <w:t xml:space="preserve"> עושין כל צרכי מילה בשבת מוהלין</w:t>
      </w:r>
      <w:r w:rsidRPr="005275DF">
        <w:rPr>
          <w:rStyle w:val="a9"/>
          <w:rFonts w:asciiTheme="minorBidi" w:hAnsiTheme="minorBidi"/>
          <w:rtl/>
        </w:rPr>
        <w:footnoteReference w:id="3507"/>
      </w:r>
      <w:r w:rsidRPr="005275DF">
        <w:rPr>
          <w:rFonts w:asciiTheme="minorBidi" w:hAnsiTheme="minorBidi"/>
          <w:rtl/>
        </w:rPr>
        <w:t xml:space="preserve"> ופורעין</w:t>
      </w:r>
      <w:r w:rsidRPr="005275DF">
        <w:rPr>
          <w:rStyle w:val="a9"/>
          <w:rFonts w:asciiTheme="minorBidi" w:hAnsiTheme="minorBidi"/>
          <w:rtl/>
        </w:rPr>
        <w:footnoteReference w:id="3508"/>
      </w:r>
      <w:r w:rsidRPr="005275DF">
        <w:rPr>
          <w:rFonts w:asciiTheme="minorBidi" w:hAnsiTheme="minorBidi"/>
          <w:rtl/>
        </w:rPr>
        <w:t xml:space="preserve"> ומוצצין</w:t>
      </w:r>
      <w:r w:rsidRPr="005275DF">
        <w:rPr>
          <w:rStyle w:val="a9"/>
          <w:rFonts w:asciiTheme="minorBidi" w:hAnsiTheme="minorBidi"/>
          <w:rtl/>
        </w:rPr>
        <w:footnoteReference w:id="3509"/>
      </w:r>
      <w:r w:rsidRPr="005275DF">
        <w:rPr>
          <w:rFonts w:asciiTheme="minorBidi" w:hAnsiTheme="minorBidi"/>
          <w:rtl/>
        </w:rPr>
        <w:t>, ונותנין עליה איספלנית</w:t>
      </w:r>
      <w:r w:rsidRPr="005275DF">
        <w:rPr>
          <w:rStyle w:val="a9"/>
          <w:rFonts w:asciiTheme="minorBidi" w:hAnsiTheme="minorBidi"/>
          <w:rtl/>
        </w:rPr>
        <w:footnoteReference w:id="3510"/>
      </w:r>
      <w:r w:rsidRPr="005275DF">
        <w:rPr>
          <w:rFonts w:asciiTheme="minorBidi" w:hAnsiTheme="minorBidi"/>
          <w:rtl/>
        </w:rPr>
        <w:t xml:space="preserve"> וכמון. </w:t>
      </w:r>
    </w:p>
    <w:p w14:paraId="550C873D"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CAD11B0"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עושים כל צרכי מילה בשבת מוהלין ופורעין ומוצצין ונותנין עליו כמון. </w:t>
      </w:r>
    </w:p>
    <w:p w14:paraId="768C87AB" w14:textId="77777777" w:rsidR="006A4BF8" w:rsidRPr="005275DF" w:rsidRDefault="006A4BF8" w:rsidP="00434A6A">
      <w:pPr>
        <w:tabs>
          <w:tab w:val="left" w:pos="2788"/>
        </w:tabs>
        <w:rPr>
          <w:rFonts w:asciiTheme="minorBidi" w:hAnsiTheme="minorBidi"/>
        </w:rPr>
      </w:pPr>
    </w:p>
    <w:p w14:paraId="083D9932"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ב: חזרה על ציצין.</w:t>
      </w:r>
    </w:p>
    <w:p w14:paraId="3E2AC032"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קלג ע"ב: </w:t>
      </w:r>
      <w:r w:rsidRPr="005275DF">
        <w:rPr>
          <w:rFonts w:asciiTheme="minorBidi" w:hAnsiTheme="minorBidi"/>
          <w:rtl/>
        </w:rPr>
        <w:t>דתנו רבנן: המל</w:t>
      </w:r>
      <w:r w:rsidRPr="005275DF">
        <w:rPr>
          <w:rStyle w:val="a9"/>
          <w:rFonts w:asciiTheme="minorBidi" w:hAnsiTheme="minorBidi"/>
          <w:rtl/>
        </w:rPr>
        <w:footnoteReference w:id="3511"/>
      </w:r>
      <w:r w:rsidRPr="005275DF">
        <w:rPr>
          <w:rFonts w:asciiTheme="minorBidi" w:hAnsiTheme="minorBidi"/>
          <w:rtl/>
        </w:rPr>
        <w:t>, כל זמן שהוא עוסק במילה</w:t>
      </w:r>
      <w:r w:rsidRPr="005275DF">
        <w:rPr>
          <w:rStyle w:val="a9"/>
          <w:rFonts w:asciiTheme="minorBidi" w:hAnsiTheme="minorBidi"/>
          <w:rtl/>
        </w:rPr>
        <w:footnoteReference w:id="3512"/>
      </w:r>
      <w:r w:rsidRPr="005275DF">
        <w:rPr>
          <w:rFonts w:asciiTheme="minorBidi" w:hAnsiTheme="minorBidi"/>
          <w:rtl/>
        </w:rPr>
        <w:t>- חוזר בין על הציצין המעכבין</w:t>
      </w:r>
      <w:r w:rsidRPr="005275DF">
        <w:rPr>
          <w:rStyle w:val="a9"/>
          <w:rFonts w:asciiTheme="minorBidi" w:hAnsiTheme="minorBidi"/>
          <w:rtl/>
        </w:rPr>
        <w:footnoteReference w:id="3513"/>
      </w:r>
      <w:r w:rsidRPr="005275DF">
        <w:rPr>
          <w:rFonts w:asciiTheme="minorBidi" w:hAnsiTheme="minorBidi"/>
          <w:rtl/>
        </w:rPr>
        <w:t xml:space="preserve"> את המילה בין על הציצין שאין מעכבין את המילה. פירש, על ציצין המעכבין את המילה- חוזר</w:t>
      </w:r>
      <w:r w:rsidRPr="005275DF">
        <w:rPr>
          <w:rStyle w:val="a9"/>
          <w:rFonts w:asciiTheme="minorBidi" w:hAnsiTheme="minorBidi"/>
          <w:rtl/>
        </w:rPr>
        <w:footnoteReference w:id="3514"/>
      </w:r>
      <w:r w:rsidRPr="005275DF">
        <w:rPr>
          <w:rFonts w:asciiTheme="minorBidi" w:hAnsiTheme="minorBidi"/>
          <w:rtl/>
        </w:rPr>
        <w:t>, על ציצין שאין מעכבין את המילה- אינו חוזר</w:t>
      </w:r>
      <w:r w:rsidRPr="005275DF">
        <w:rPr>
          <w:rStyle w:val="a9"/>
          <w:rFonts w:asciiTheme="minorBidi" w:hAnsiTheme="minorBidi"/>
          <w:rtl/>
        </w:rPr>
        <w:footnoteReference w:id="3515"/>
      </w:r>
      <w:r w:rsidRPr="005275DF">
        <w:rPr>
          <w:rFonts w:asciiTheme="minorBidi" w:hAnsiTheme="minorBidi"/>
          <w:rtl/>
        </w:rPr>
        <w:t>.</w:t>
      </w:r>
    </w:p>
    <w:p w14:paraId="091C1E60" w14:textId="77777777" w:rsidR="006A4BF8" w:rsidRPr="005275DF" w:rsidRDefault="006A4BF8" w:rsidP="00434A6A">
      <w:pPr>
        <w:rPr>
          <w:rFonts w:asciiTheme="minorBidi" w:hAnsiTheme="minorBidi"/>
          <w:rtl/>
        </w:rPr>
      </w:pPr>
      <w:r w:rsidRPr="005275DF">
        <w:rPr>
          <w:rFonts w:asciiTheme="minorBidi" w:hAnsiTheme="minorBidi"/>
          <w:b/>
          <w:bCs/>
          <w:rtl/>
        </w:rPr>
        <w:t>שבת קלז ע"ב:</w:t>
      </w:r>
      <w:r w:rsidRPr="005275DF">
        <w:rPr>
          <w:rFonts w:asciiTheme="minorBidi" w:hAnsiTheme="minorBidi"/>
          <w:b/>
          <w:bCs/>
          <w:u w:val="double"/>
          <w:rtl/>
        </w:rPr>
        <w:t xml:space="preserve"> </w:t>
      </w:r>
      <w:r w:rsidRPr="005275DF">
        <w:rPr>
          <w:rFonts w:asciiTheme="minorBidi" w:hAnsiTheme="minorBidi"/>
          <w:u w:val="double"/>
          <w:rtl/>
        </w:rPr>
        <w:t>משנה</w:t>
      </w:r>
      <w:r w:rsidRPr="005275DF">
        <w:rPr>
          <w:rFonts w:asciiTheme="minorBidi" w:hAnsiTheme="minorBidi"/>
          <w:rtl/>
        </w:rPr>
        <w:t xml:space="preserve">: אלו הן ציצין המעכבין את המילה: בשר החופה את רוב העטרה אינו אוכל בתרומה... </w:t>
      </w:r>
      <w:r w:rsidRPr="005275DF">
        <w:rPr>
          <w:rFonts w:asciiTheme="minorBidi" w:hAnsiTheme="minorBidi"/>
          <w:u w:val="double"/>
          <w:rtl/>
        </w:rPr>
        <w:t>גמ':</w:t>
      </w:r>
      <w:r w:rsidRPr="005275DF">
        <w:rPr>
          <w:rFonts w:asciiTheme="minorBidi" w:hAnsiTheme="minorBidi"/>
          <w:rtl/>
        </w:rPr>
        <w:t xml:space="preserve"> </w:t>
      </w:r>
      <w:r w:rsidRPr="005275DF">
        <w:rPr>
          <w:rFonts w:asciiTheme="minorBidi" w:hAnsiTheme="minorBidi"/>
          <w:u w:val="single"/>
          <w:rtl/>
        </w:rPr>
        <w:t>אמר רבי אבינא אמר רבי ירמיה בר אבא אמר רב</w:t>
      </w:r>
      <w:r w:rsidRPr="005275DF">
        <w:rPr>
          <w:rFonts w:asciiTheme="minorBidi" w:hAnsiTheme="minorBidi"/>
          <w:rtl/>
        </w:rPr>
        <w:t>: בשר החופה את רוב גובהה</w:t>
      </w:r>
      <w:r w:rsidRPr="005275DF">
        <w:rPr>
          <w:rStyle w:val="a9"/>
          <w:rFonts w:asciiTheme="minorBidi" w:hAnsiTheme="minorBidi"/>
          <w:rtl/>
        </w:rPr>
        <w:footnoteReference w:id="3516"/>
      </w:r>
      <w:r w:rsidRPr="005275DF">
        <w:rPr>
          <w:rFonts w:asciiTheme="minorBidi" w:hAnsiTheme="minorBidi"/>
          <w:rtl/>
        </w:rPr>
        <w:t xml:space="preserve"> של עטרה.</w:t>
      </w:r>
    </w:p>
    <w:p w14:paraId="16C6050C"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45BC4B5E"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כל זמן שלא סילק ידו מן המילה חוזר אפילו על ציצין שאינם מעכבין, סילק ידו אינו חוזר אלא על ציצין המעכבין, ואלו הם המעכבין בשר החופה אפילו רוב גובה של עטרה במקום אחד. </w:t>
      </w:r>
    </w:p>
    <w:p w14:paraId="63A41CDA" w14:textId="77777777" w:rsidR="006A4BF8" w:rsidRPr="005275DF" w:rsidRDefault="006A4BF8" w:rsidP="00434A6A">
      <w:pPr>
        <w:tabs>
          <w:tab w:val="left" w:pos="2788"/>
        </w:tabs>
        <w:rPr>
          <w:rFonts w:asciiTheme="minorBidi" w:hAnsiTheme="minorBidi"/>
          <w:rtl/>
        </w:rPr>
      </w:pPr>
    </w:p>
    <w:p w14:paraId="29F3D0E1"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ג: בן שבעה, בן שמנה וספק בן שבעה או בן שמנה.</w:t>
      </w:r>
    </w:p>
    <w:p w14:paraId="09A120FB" w14:textId="77777777" w:rsidR="006A4BF8" w:rsidRPr="005275DF" w:rsidRDefault="006A4BF8" w:rsidP="00434A6A">
      <w:pPr>
        <w:rPr>
          <w:rFonts w:asciiTheme="minorBidi" w:hAnsiTheme="minorBidi"/>
          <w:color w:val="FF0000"/>
          <w:rtl/>
        </w:rPr>
      </w:pPr>
      <w:r w:rsidRPr="005275DF">
        <w:rPr>
          <w:rFonts w:asciiTheme="minorBidi" w:hAnsiTheme="minorBidi"/>
          <w:color w:val="FF0000"/>
          <w:rtl/>
        </w:rPr>
        <w:t>פה הפסקתי</w:t>
      </w:r>
    </w:p>
    <w:p w14:paraId="057AFD7A"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קלה ע"א: </w:t>
      </w:r>
      <w:r w:rsidRPr="005275DF">
        <w:rPr>
          <w:rFonts w:asciiTheme="minorBidi" w:hAnsiTheme="minorBidi"/>
          <w:u w:val="single"/>
          <w:rtl/>
        </w:rPr>
        <w:t>אמר מר</w:t>
      </w:r>
      <w:r w:rsidRPr="005275DF">
        <w:rPr>
          <w:rFonts w:asciiTheme="minorBidi" w:hAnsiTheme="minorBidi"/>
          <w:rtl/>
        </w:rPr>
        <w:t xml:space="preserve"> ולא ספק דוחה את השבת. לאתויי מאי? לאתויי הא דתנו רבנן: בן שבעה מחללין עליו את השבת, ובן שמנה אין מחללין עליו את השבת</w:t>
      </w:r>
      <w:r w:rsidRPr="005275DF">
        <w:rPr>
          <w:rStyle w:val="a9"/>
          <w:rFonts w:asciiTheme="minorBidi" w:hAnsiTheme="minorBidi"/>
          <w:rtl/>
        </w:rPr>
        <w:footnoteReference w:id="3517"/>
      </w:r>
      <w:r w:rsidRPr="005275DF">
        <w:rPr>
          <w:rFonts w:asciiTheme="minorBidi" w:hAnsiTheme="minorBidi"/>
          <w:rtl/>
        </w:rPr>
        <w:t xml:space="preserve">. ספק בן שבעה ספק בן שמונה - אין מחללין עליו את השבת. בן שמונה הרי הוא כאבן ואסור לטלטלו, אבל אמו שוחה ומניקתו מפני הסכנה...  </w:t>
      </w:r>
      <w:r w:rsidRPr="005275DF">
        <w:rPr>
          <w:rFonts w:asciiTheme="minorBidi" w:hAnsiTheme="minorBidi"/>
          <w:sz w:val="16"/>
          <w:szCs w:val="16"/>
          <w:u w:val="double"/>
          <w:rtl/>
        </w:rPr>
        <w:t>(קלה:)</w:t>
      </w:r>
      <w:r w:rsidRPr="005275DF">
        <w:rPr>
          <w:rFonts w:asciiTheme="minorBidi" w:hAnsiTheme="minorBidi"/>
          <w:rtl/>
        </w:rPr>
        <w:t xml:space="preserve"> תניא, </w:t>
      </w:r>
      <w:r w:rsidRPr="005275DF">
        <w:rPr>
          <w:rFonts w:asciiTheme="minorBidi" w:hAnsiTheme="minorBidi"/>
          <w:u w:val="single"/>
          <w:rtl/>
        </w:rPr>
        <w:t>רבן שמעון בן גמליאל אומר</w:t>
      </w:r>
      <w:r w:rsidRPr="005275DF">
        <w:rPr>
          <w:rFonts w:asciiTheme="minorBidi" w:hAnsiTheme="minorBidi"/>
          <w:rtl/>
        </w:rPr>
        <w:t>: כל ששהה שלשים יום באדם אינו נפל, שנאמר ופדויו מבן חדש</w:t>
      </w:r>
      <w:r w:rsidRPr="005275DF">
        <w:rPr>
          <w:rStyle w:val="a9"/>
          <w:rFonts w:asciiTheme="minorBidi" w:hAnsiTheme="minorBidi"/>
          <w:rtl/>
        </w:rPr>
        <w:footnoteReference w:id="3518"/>
      </w:r>
      <w:r w:rsidRPr="005275DF">
        <w:rPr>
          <w:rFonts w:asciiTheme="minorBidi" w:hAnsiTheme="minorBidi"/>
          <w:rtl/>
        </w:rPr>
        <w:t xml:space="preserve"> תפדה... הא לא שהה</w:t>
      </w:r>
      <w:r w:rsidRPr="005275DF">
        <w:rPr>
          <w:rStyle w:val="a9"/>
          <w:rFonts w:asciiTheme="minorBidi" w:hAnsiTheme="minorBidi"/>
          <w:rtl/>
        </w:rPr>
        <w:footnoteReference w:id="3519"/>
      </w:r>
      <w:r w:rsidRPr="005275DF">
        <w:rPr>
          <w:rFonts w:asciiTheme="minorBidi" w:hAnsiTheme="minorBidi"/>
          <w:rtl/>
        </w:rPr>
        <w:t xml:space="preserve"> ספיקא הוי, מימהל היכי מהלינן ליה</w:t>
      </w:r>
      <w:r w:rsidRPr="005275DF">
        <w:rPr>
          <w:rStyle w:val="a9"/>
          <w:rFonts w:asciiTheme="minorBidi" w:hAnsiTheme="minorBidi"/>
          <w:rtl/>
        </w:rPr>
        <w:footnoteReference w:id="3520"/>
      </w:r>
      <w:r w:rsidRPr="005275DF">
        <w:rPr>
          <w:rFonts w:asciiTheme="minorBidi" w:hAnsiTheme="minorBidi"/>
          <w:rtl/>
        </w:rPr>
        <w:t xml:space="preserve">? </w:t>
      </w:r>
      <w:r w:rsidRPr="005275DF">
        <w:rPr>
          <w:rFonts w:asciiTheme="minorBidi" w:hAnsiTheme="minorBidi"/>
          <w:u w:val="single"/>
          <w:rtl/>
        </w:rPr>
        <w:t>אמר רב אדא בר אהבה</w:t>
      </w:r>
      <w:r w:rsidRPr="005275DF">
        <w:rPr>
          <w:rFonts w:asciiTheme="minorBidi" w:hAnsiTheme="minorBidi"/>
          <w:rtl/>
        </w:rPr>
        <w:t>: מלין אותו ממה נפשך, אם חי הוא</w:t>
      </w:r>
      <w:r w:rsidRPr="005275DF">
        <w:rPr>
          <w:rStyle w:val="a9"/>
          <w:rFonts w:asciiTheme="minorBidi" w:hAnsiTheme="minorBidi"/>
          <w:rtl/>
        </w:rPr>
        <w:footnoteReference w:id="3521"/>
      </w:r>
      <w:r w:rsidRPr="005275DF">
        <w:rPr>
          <w:rFonts w:asciiTheme="minorBidi" w:hAnsiTheme="minorBidi"/>
          <w:rtl/>
        </w:rPr>
        <w:t xml:space="preserve"> שפיר קא מהיל, ואם לאו מחתך בבשר הוא</w:t>
      </w:r>
      <w:r w:rsidRPr="005275DF">
        <w:rPr>
          <w:rStyle w:val="a9"/>
          <w:rFonts w:asciiTheme="minorBidi" w:hAnsiTheme="minorBidi"/>
          <w:rtl/>
        </w:rPr>
        <w:footnoteReference w:id="3522"/>
      </w:r>
      <w:r w:rsidRPr="005275DF">
        <w:rPr>
          <w:rFonts w:asciiTheme="minorBidi" w:hAnsiTheme="minorBidi"/>
          <w:rtl/>
        </w:rPr>
        <w:t xml:space="preserve">. ואלא הא דתניא: ספק בן שבעה ספק בן שמונה אין מחללין עליו את השבת, אמאי? נימהליה ממה נפשך אם חי הוא שפיר קא מהיל ואם לאו מחתך בבשר הוא! </w:t>
      </w:r>
      <w:r w:rsidRPr="005275DF">
        <w:rPr>
          <w:rFonts w:asciiTheme="minorBidi" w:hAnsiTheme="minorBidi"/>
          <w:u w:val="single"/>
          <w:rtl/>
        </w:rPr>
        <w:t>אמר מר בריה דרבינא</w:t>
      </w:r>
      <w:r w:rsidRPr="005275DF">
        <w:rPr>
          <w:rFonts w:asciiTheme="minorBidi" w:hAnsiTheme="minorBidi"/>
          <w:rtl/>
        </w:rPr>
        <w:t xml:space="preserve">; אנא </w:t>
      </w:r>
      <w:r w:rsidRPr="005275DF">
        <w:rPr>
          <w:rFonts w:asciiTheme="minorBidi" w:hAnsiTheme="minorBidi"/>
          <w:u w:val="single"/>
          <w:rtl/>
        </w:rPr>
        <w:t>ורב נחומי בר זכריה</w:t>
      </w:r>
      <w:r w:rsidRPr="005275DF">
        <w:rPr>
          <w:rFonts w:asciiTheme="minorBidi" w:hAnsiTheme="minorBidi"/>
          <w:rtl/>
        </w:rPr>
        <w:t xml:space="preserve"> תרגימנא: מימהיל - הכי נמי מהלינן ליה, לא נצרכה אלא למכשירי מילה ואליבא דרבי אליעזר</w:t>
      </w:r>
      <w:r w:rsidRPr="005275DF">
        <w:rPr>
          <w:rStyle w:val="a9"/>
          <w:rFonts w:asciiTheme="minorBidi" w:hAnsiTheme="minorBidi"/>
          <w:rtl/>
        </w:rPr>
        <w:footnoteReference w:id="3523"/>
      </w:r>
      <w:r w:rsidRPr="005275DF">
        <w:rPr>
          <w:rFonts w:asciiTheme="minorBidi" w:hAnsiTheme="minorBidi"/>
          <w:rtl/>
        </w:rPr>
        <w:t>.</w:t>
      </w:r>
    </w:p>
    <w:p w14:paraId="5A5ADEF3" w14:textId="77777777" w:rsidR="006A4BF8" w:rsidRPr="005275DF" w:rsidRDefault="006A4BF8" w:rsidP="00434A6A">
      <w:pPr>
        <w:rPr>
          <w:rFonts w:asciiTheme="minorBidi" w:hAnsiTheme="minorBidi"/>
          <w:rtl/>
        </w:rPr>
      </w:pPr>
      <w:r w:rsidRPr="005275DF">
        <w:rPr>
          <w:rFonts w:asciiTheme="minorBidi" w:hAnsiTheme="minorBidi"/>
          <w:rtl/>
        </w:rPr>
        <w:t>והרי"ף (נד.) והרא"ש (סי' ה) כתבו ברייתא דספק בן שבעה ספק בן שמנה אין מחללין עליו את השבת ולא כתבו הא דרב אדא בר אהבה דמוהלין אותו ממה נפשך. וכתב הר"ן (שם ד"ה ונראה) (שנראה) [ונראה] שדעת הרי"ף שאין מוהלין ספיקות בשבת ולפיכך הביא ברייתא זו בהלכותיו סתם שאילו היתה דעתו דמהלינן ספיקות בשבת היה לו להביא לדרב אדא בר אהבה בהלכותיו והיה לו להשמיט ברייתא זו דכיון דלרב אדא בר אהבה לא מיתוקמא אלא במכשירי מילה ואליבא דרבי אליעזר ואנן לא קיימא לן כרבי אליעזר לא היה לו להרי"ף לכתבה אלא משמע דסבירא ליה דלא אמרינן ממה נפשך ומיתוקמא ברייתא כפשטה ולא צריך לאוקמה אליבא דרבי אליעזר עכ"ל: וכיוצא בזה הם דברי רבינו שכתב בטור יורה דעה סימן רס"ו (רא.) וזה לשונו כתב אדוני אבי ז"ל ספק בן שבעה ספק בן שמנה אין מחללין עליו שבת ואיני מבין דבריו דודאי מלין אותו ממה נפשך והא דקתני אין מחללין עליו השבת מוקי לה בגמרא במכשירין ואליבא דרבי אליעזר דשרי מכשירין בשאר מילה ובזה אין נפקותא לפסק הלכה דאפילו בודאי בן קיימא קיימא לן דאין מכשירין דוחין שבת עכ"ל: וכתב עוד (הטור שם) דאפילו לא גמרו שערו וציפרניו מלין אותו ממה נפשך כל שהוא ספק בן שבעה ספק בן שמנה ודלא כדמשמע מדברי הרמב"ם (מילה פ"א הי"ג) דמשמע שמצריך גמרו שערו וציפרניו: ותמיהני על הר"ן שפירש דלהרי"ף לא מהלינן ספיקות בשבת ומעשים בכל יום שמוהלים אותם וגם בימי חכמי התלמוד משמע שהיו מוהלים אותם מדאמרינן (קלו.) מימהל היכי מהלינן וכן יש לתמוה על מה שפירש רבינו (שם ביו"ד) בדברי הרא"ש: לכן נראה לומר דודאי כל שגמרו שערו וציפרניו מחללין עליו את השבת להרי"ף והרא"ש ואפילו הוא בן ח' ודאי ומה שכתבו ברייתא דקתני בן שבעה מחללין עליו את השבת בן שמנה אין מחללין עליו את השבת ספק בן שבעה ספק בן שמנה אין מחללין עליו את השבת בן שמנה הרי הוא כאבן ואסור לטלטלו סמכו על מה שכתבו בפרק הערל (יבמות פ:, רי"ף כה., רא"ש סי' ו) דאוקמוה להאי ברייתא התם בגמרא בשלא גמרו שערו וציפרניו ולפי זה צריך לומר דרב אדא לא הוה מפליג בין גמרו שערו וציפרניו ללא גמרו וכדהוה סלקא דעתך בפרק הערל (פ.) כי אקשינן ובן שמנה מי קא חיי וכדי ליישב מנהגא דעלמא דקא מהלי ספיקות איצטריך לשנויי דמהלינן להו ממה נפשך אבל למאי דאסיקנא בפרק הערל דהא דתניא דאין מחללין בשלא גמרו אבל אם גמרו מחללין ממילא נתיישב מנהג העולם דבגמרו הוא דמהלי וכדין עבדי ולא מטעם מה נפשך כדאמר רב אדא בר אהבה והשתא אתיא ברייתא כפשטה ולא צריכין לדחוקה ולאוקמה כרבי אליעזר כדאוקמה רב אדא: ואף על גב דלצאת לגמרי מתורת נפל לא סגי בגמרו שערו וציפרניו עד שישהה שלשים יום [כרבי שמעון בן גמליאל פרק רבי אליעזר, ופרק הערל] מכל מקום מאחר ששערו וציפרניו מוכיחין עליו דבן קיימא הוא מחזקינן ליה ברוב הנולדים שהם בני קיימא ומהלינן ליה כמו שאנו סומכים בכמה דברים על הרוב וכי לא גמרו כיון דלית ליה שום הוכחה איתרע ליה רובא ולא מהלינן ליה ואף על גב דאי נפל הוא אין כאן איסור תורה שהרי מחתך בשר בעלמא הוא לא רצו חכמים להתיר טלטול במקום שקרוב לודאי שאינו בן קיימא: ויש לתמוה על הר"ן שנראה שלא נזכר למה שכתב הרי"ף בפרק הערל (כה.) ולכן כתב סתם דלהרי"ף אין מוהלין ספיקות בשבת דמשמע דאפילו גמרו שערו וציפרניו נמי אין מוהלין שאילו נזכר למה שכתב בפרק הערל ה"ל לכתוב דבלא גמרו שערו וציפרניו הוא דאמר הרי"ף דלא מהלינן ספיקות אבל אם גמרו מוהלין: ויותר יש לתמוה על רבינו שלא פקח עיניו בדברי הרא"ש דבפרק רבי אליעזר דמילה (סי' ה) גופיה כתב אחר ברייתא זו וכל זה איירי שלא גמרו שערו וציפרניו אבל גמרו שערו וציפרניו אפילו שהוא ידוע שהוא בן שמנה כגון שפירש ממנה אחר שבעל מותר לטלטלו ולמולו בשבת דפסק הלכה בפרק הערל כמאן דאמר אשתהויי אשתהי עכ"ל: ועוד יש לתמוה עליו שסתם הדברים כאן לדעת עצמו ודלא כמאן שהרי בן שמנה וספק בן שבעה ספק בן שמנה שלא גמרו סימניהם לכולי עלמא אין מוהלים אותם בשבת והוא כתב כאן ואפילו ספק אם נולד לשבעה או לשמנה ולא גמרו שערו וציפרניו מלין אותו בשבת ולא הביא שום חולק על זה ואף על פי שיש לומר שסמך על מה שכתב בהלכות מילה סברת הרמב"ם וסברת הרא"ש מכל מקום גם בכאן הוה ליה להביאם ולא לסתום דבריו לדעת עצמו: ונמצא פסקן של דברים שאם גמרו שערו וציפרניו אפילו אם הוא בן שמנה ודאי מוהלין אותו לדעת הכל ואם לא גמרו אם הוא ספק בן שבעה ספק בן שמנה אין מוהלין אותו לדעת הרי"ף והרא"ש ואין צריך לומר אם הוא בן שמנה ודאי ואם הוא בן שבעה ודאי להרי"ף והרא"ש מוהלין וכדתניא בן שבעה מחללין עליו את השבת ואוקימנא להאי ברייתא בפרק הערל בשלא גמרו שערו וציפרניו ואף על פי שמדברי הרמב"ם בפרק א' מהלכות מילה (שם) נראה שאף על פי שהוא בן שבעה כל שלא גמרו שערו וציפרניו אין מוהלין אותו בשבת כי דייקת במילתיה שפיר תשכח דלדידיה נמי מוהלין אותו ויתבאר הדבר יפה בטור יורה דעה סימן רס"ו (רא. ד"ה לשון הרמב"ם):</w:t>
      </w:r>
    </w:p>
    <w:p w14:paraId="6B2801DE"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8DC8992"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בן שמנה אם נגמרו שערו וצפרניו מלין אותו בשבת ואם לא גמרו אפילו אם הוא ספק בן שבעה ספק בן שמנה אין מלין אותו בשבת, ואין צריך לומר בן שמנה ודאי, ואם הוא בן שבע ודאי אפילו לא גמרו שערו וצפרניו מלין אותו</w:t>
      </w:r>
      <w:r w:rsidRPr="005275DF">
        <w:rPr>
          <w:rFonts w:asciiTheme="minorBidi" w:hAnsiTheme="minorBidi"/>
          <w:sz w:val="18"/>
          <w:szCs w:val="18"/>
          <w:rtl/>
        </w:rPr>
        <w:t xml:space="preserve"> (ועיין ביו"ד סי' רסו)</w:t>
      </w:r>
      <w:r w:rsidRPr="005275DF">
        <w:rPr>
          <w:rFonts w:asciiTheme="minorBidi" w:hAnsiTheme="minorBidi"/>
          <w:rtl/>
        </w:rPr>
        <w:t>.</w:t>
      </w:r>
    </w:p>
    <w:p w14:paraId="3F96A3D8"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א"א</w:t>
      </w:r>
      <w:r w:rsidRPr="005275DF">
        <w:rPr>
          <w:rFonts w:asciiTheme="minorBidi" w:hAnsiTheme="minorBidi"/>
          <w:rtl/>
        </w:rPr>
        <w:tab/>
      </w:r>
    </w:p>
    <w:p w14:paraId="11186E69"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ד: מילה שלא בזמנה.</w:t>
      </w:r>
    </w:p>
    <w:p w14:paraId="71507CEC"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7D54E37"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מילה שלא בזמנה אינה דוחה שבת. </w:t>
      </w:r>
    </w:p>
    <w:p w14:paraId="0D265DCA" w14:textId="77777777" w:rsidR="006A4BF8" w:rsidRPr="005275DF" w:rsidRDefault="006A4BF8" w:rsidP="00434A6A">
      <w:pPr>
        <w:tabs>
          <w:tab w:val="left" w:pos="2788"/>
        </w:tabs>
        <w:rPr>
          <w:rFonts w:asciiTheme="minorBidi" w:hAnsiTheme="minorBidi"/>
          <w:rtl/>
        </w:rPr>
      </w:pPr>
    </w:p>
    <w:p w14:paraId="13E8BEA4"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ה: אלו שאין מילתן דוחה את השבת.</w:t>
      </w:r>
    </w:p>
    <w:p w14:paraId="62E64C27"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804654F"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אנדרוגינוס ונולד בין השמשות ונולד כשהוא מהול ויוצא דופן וכותית שילדה ואחר כך נתגיירה ומי שיש לו שתי ערלות אין מילתן דוחה שבת. </w:t>
      </w:r>
    </w:p>
    <w:p w14:paraId="1BAF6C2E" w14:textId="77777777" w:rsidR="006A4BF8" w:rsidRPr="005275DF" w:rsidRDefault="006A4BF8" w:rsidP="00434A6A">
      <w:pPr>
        <w:tabs>
          <w:tab w:val="left" w:pos="2788"/>
        </w:tabs>
        <w:rPr>
          <w:rFonts w:asciiTheme="minorBidi" w:hAnsiTheme="minorBidi"/>
          <w:rtl/>
        </w:rPr>
      </w:pPr>
    </w:p>
    <w:p w14:paraId="33D5EA71"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ו: מכשירי מילה.</w:t>
      </w:r>
    </w:p>
    <w:p w14:paraId="308FC0B3"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5E07017"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מכשירי מילה שאפשר לעשותם מערב שבת אינם דוחים את השבת; לפיכך אם לא הביא איזמל למילה מערב שבת לא יביאנו בשבת אפילו במקום שאין בו אלא איסור דרבנן שהעמידו חכמים דבריהם במקום כרת. ולומר לגוי לעשותם אם הוא דבר שאם עשהו ישראל אין בו איסור אלא מדרבנן אומר ל</w:t>
      </w:r>
      <w:r>
        <w:rPr>
          <w:rFonts w:asciiTheme="minorBidi" w:hAnsiTheme="minorBidi"/>
          <w:rtl/>
        </w:rPr>
        <w:t>גוי</w:t>
      </w:r>
      <w:r w:rsidRPr="005275DF">
        <w:rPr>
          <w:rFonts w:asciiTheme="minorBidi" w:hAnsiTheme="minorBidi"/>
          <w:rtl/>
        </w:rPr>
        <w:t xml:space="preserve"> ועושהו. ואם הוא דבר שאסור לישראל לעשותו מן התורה לא יאמר ל</w:t>
      </w:r>
      <w:r>
        <w:rPr>
          <w:rFonts w:asciiTheme="minorBidi" w:hAnsiTheme="minorBidi"/>
          <w:rtl/>
        </w:rPr>
        <w:t>גוי</w:t>
      </w:r>
      <w:r w:rsidRPr="005275DF">
        <w:rPr>
          <w:rFonts w:asciiTheme="minorBidi" w:hAnsiTheme="minorBidi"/>
          <w:rtl/>
        </w:rPr>
        <w:t xml:space="preserve"> לעשותו. </w:t>
      </w:r>
      <w:r w:rsidRPr="005275DF">
        <w:rPr>
          <w:rFonts w:asciiTheme="minorBidi" w:hAnsiTheme="minorBidi"/>
          <w:sz w:val="18"/>
          <w:szCs w:val="18"/>
          <w:rtl/>
        </w:rPr>
        <w:t>(ועיין לעיל סי' ש"ז)</w:t>
      </w:r>
      <w:r w:rsidRPr="005275DF">
        <w:rPr>
          <w:rFonts w:asciiTheme="minorBidi" w:hAnsiTheme="minorBidi"/>
          <w:rtl/>
        </w:rPr>
        <w:t xml:space="preserve">. </w:t>
      </w:r>
    </w:p>
    <w:p w14:paraId="5E38ECC2" w14:textId="77777777" w:rsidR="006A4BF8" w:rsidRPr="005275DF" w:rsidRDefault="006A4BF8" w:rsidP="00434A6A">
      <w:pPr>
        <w:tabs>
          <w:tab w:val="left" w:pos="2788"/>
        </w:tabs>
        <w:rPr>
          <w:rFonts w:asciiTheme="minorBidi" w:hAnsiTheme="minorBidi"/>
          <w:rtl/>
        </w:rPr>
      </w:pPr>
    </w:p>
    <w:p w14:paraId="48DFB67A"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ז: עשיית שינוי בדבר שלא היה אפשר לעשותו מע"ש.</w:t>
      </w:r>
    </w:p>
    <w:p w14:paraId="496844A8"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קלג ע"א: </w:t>
      </w:r>
      <w:r w:rsidRPr="005275DF">
        <w:rPr>
          <w:rFonts w:asciiTheme="minorBidi" w:hAnsiTheme="minorBidi"/>
          <w:u w:val="double"/>
          <w:rtl/>
        </w:rPr>
        <w:t>משנה:</w:t>
      </w:r>
      <w:r w:rsidRPr="005275DF">
        <w:rPr>
          <w:rFonts w:asciiTheme="minorBidi" w:hAnsiTheme="minorBidi"/>
          <w:rtl/>
        </w:rPr>
        <w:t xml:space="preserve"> עושין כל צרכי מילה בשבת מוהלין ופורעין ומוצצין, ונותנין עליה איספלנית וכמון. אם לא שחק מערב שבת - לועס בשיניו ונותן, אם לא טרף יין ושמן מערב שבת - ינתן זה בעצמו וזה בעצמו. ואין עושין לה חלוק לכתחילה, אבל כורך עליה סמרטוט. אם לא התקין מערב שבת - כורך על אצבעו ומביא, ואפילו מחצר אחרת.</w:t>
      </w:r>
    </w:p>
    <w:p w14:paraId="401EAECF" w14:textId="77777777" w:rsidR="006A4BF8" w:rsidRPr="005275DF" w:rsidRDefault="006A4BF8" w:rsidP="00434A6A">
      <w:pPr>
        <w:rPr>
          <w:rFonts w:asciiTheme="minorBidi" w:hAnsiTheme="minorBidi"/>
          <w:rtl/>
        </w:rPr>
      </w:pPr>
    </w:p>
    <w:p w14:paraId="74250381"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4B045091"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לא היה לו כמון שחוק מערב שבת לא ישחקנו אלא לועס בשיניו, אם לא עירב מאתמול יין ושמן ליתן עליה לא יערבם היום אלא יתן כל אחד לבדו. </w:t>
      </w:r>
    </w:p>
    <w:p w14:paraId="7F93A94F" w14:textId="77777777" w:rsidR="006A4BF8" w:rsidRPr="005275DF" w:rsidRDefault="006A4BF8" w:rsidP="00434A6A">
      <w:pPr>
        <w:tabs>
          <w:tab w:val="left" w:pos="2788"/>
        </w:tabs>
        <w:rPr>
          <w:rFonts w:asciiTheme="minorBidi" w:hAnsiTheme="minorBidi"/>
          <w:rtl/>
        </w:rPr>
      </w:pPr>
    </w:p>
    <w:p w14:paraId="5ED32559"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ח: עשיית חלוק כדי לכרוך על גיד הנימול.</w:t>
      </w:r>
    </w:p>
    <w:p w14:paraId="654CA5AA"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קלג ע"א: </w:t>
      </w:r>
      <w:r w:rsidRPr="005275DF">
        <w:rPr>
          <w:rFonts w:asciiTheme="minorBidi" w:hAnsiTheme="minorBidi"/>
          <w:u w:val="double"/>
          <w:rtl/>
        </w:rPr>
        <w:t>משנה:</w:t>
      </w:r>
      <w:r w:rsidRPr="005275DF">
        <w:rPr>
          <w:rFonts w:asciiTheme="minorBidi" w:hAnsiTheme="minorBidi"/>
          <w:rtl/>
        </w:rPr>
        <w:t xml:space="preserve"> עושין כל צרכי מילה... ואין עושין לה חלוק לכתחילה, אבל כורך עליה סמרטוט. אם לא התקין מערב שבת - כורך על אצבעו ומביא, ואפילו מחצר אחרת.</w:t>
      </w:r>
    </w:p>
    <w:p w14:paraId="487C5EE5" w14:textId="77777777" w:rsidR="006A4BF8" w:rsidRPr="005275DF" w:rsidRDefault="006A4BF8" w:rsidP="00434A6A">
      <w:pPr>
        <w:rPr>
          <w:rFonts w:asciiTheme="minorBidi" w:hAnsiTheme="minorBidi"/>
          <w:rtl/>
        </w:rPr>
      </w:pPr>
    </w:p>
    <w:p w14:paraId="665165DC"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BBD8DA0"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אין עושין לה חלוק אלא כורך עליה סמרטוט, ואם אין לו כורך על אצבעו דרך מלבוש לשנות מדרך הוצאה בחול ומביא דרך חצר אחרת אפילו לא נשתתפו יחד. </w:t>
      </w:r>
    </w:p>
    <w:p w14:paraId="11EF11C3" w14:textId="77777777" w:rsidR="006A4BF8" w:rsidRPr="005275DF" w:rsidRDefault="006A4BF8" w:rsidP="00434A6A">
      <w:pPr>
        <w:tabs>
          <w:tab w:val="left" w:pos="2788"/>
        </w:tabs>
        <w:rPr>
          <w:rFonts w:asciiTheme="minorBidi" w:hAnsiTheme="minorBidi"/>
          <w:rtl/>
        </w:rPr>
      </w:pPr>
    </w:p>
    <w:p w14:paraId="1B892921"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ט: רחיצת הנימול.</w:t>
      </w:r>
    </w:p>
    <w:p w14:paraId="77FB8ECF"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8A28168"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בזמן חכמי הגמ' אם לא היו רוחצים את הולד לפני המילה ולאחר המילה וביום שלישי למילה במים חמין היה מסוכן; לפיכך נזקקו לכתוב משפטו כשחל להיות בשבת; והאידנא לא נהגו ברחיצה כלל, ודינו לרחוץ בשבת, אם רצו, כדין רחיצת כל אדם. הגה: ובמדינות אלו נוהגים לרחצו לפני המילה בחמין שהוחמו מאתמול, ולאחר המילה במוצאי שבת. וכן אם היה יום ג' למילתו בשבת, ורואים שיש צורך לרחצו, מכינים חמין מבעוד יום ורוחצים אותו בשבת. וכל זה מן הסתם, אבל אם רואים שיש לחוש לסכנה אם לא ירחצו אותו אחר המילה, בודאי מותר לרחצו ולחלל עליו שבת מידי דהוי אשאר חולה שיש בו סכנה. </w:t>
      </w:r>
    </w:p>
    <w:p w14:paraId="5D4B1CF7" w14:textId="77777777" w:rsidR="006A4BF8" w:rsidRPr="005275DF" w:rsidRDefault="006A4BF8" w:rsidP="00434A6A">
      <w:pPr>
        <w:tabs>
          <w:tab w:val="left" w:pos="2788"/>
        </w:tabs>
        <w:rPr>
          <w:rFonts w:asciiTheme="minorBidi" w:hAnsiTheme="minorBidi"/>
          <w:rtl/>
        </w:rPr>
      </w:pPr>
    </w:p>
    <w:p w14:paraId="25A313B0"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 מילה בשבת ע"י אדם שלא מל לעולם.</w:t>
      </w:r>
    </w:p>
    <w:p w14:paraId="7C370640"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65F7B1BF" w14:textId="77777777" w:rsidR="006A4BF8" w:rsidRDefault="006A4BF8" w:rsidP="00434A6A">
      <w:pPr>
        <w:tabs>
          <w:tab w:val="left" w:pos="2788"/>
        </w:tabs>
        <w:rPr>
          <w:rFonts w:asciiTheme="minorBidi" w:hAnsiTheme="minorBidi"/>
          <w:rtl/>
        </w:rPr>
      </w:pPr>
      <w:r w:rsidRPr="005275DF">
        <w:rPr>
          <w:rFonts w:asciiTheme="minorBidi" w:hAnsiTheme="minorBidi"/>
          <w:rtl/>
        </w:rPr>
        <w:t>אדם שלא מל מעולם לא ימול בשבת, אבל אם מל כבר פעם אחת מותר למול בשבת אפילו אם הוא אבי הבן.</w:t>
      </w:r>
      <w:r w:rsidRPr="005275DF">
        <w:rPr>
          <w:rFonts w:asciiTheme="minorBidi" w:hAnsiTheme="minorBidi"/>
          <w:sz w:val="18"/>
          <w:szCs w:val="18"/>
          <w:rtl/>
        </w:rPr>
        <w:t xml:space="preserve"> הגה: ועיין עוד דיני מילה בטור יורה דעה סי' רס"ו.</w:t>
      </w:r>
    </w:p>
    <w:p w14:paraId="6A6AC6D3" w14:textId="77777777" w:rsidR="006A4BF8" w:rsidRDefault="006A4BF8" w:rsidP="00434A6A">
      <w:pPr>
        <w:tabs>
          <w:tab w:val="left" w:pos="2788"/>
        </w:tabs>
        <w:rPr>
          <w:rFonts w:asciiTheme="minorBidi" w:hAnsiTheme="minorBidi"/>
          <w:rtl/>
        </w:rPr>
      </w:pPr>
    </w:p>
    <w:p w14:paraId="1D5A6FB6" w14:textId="77777777" w:rsidR="006A4BF8" w:rsidRDefault="006A4BF8" w:rsidP="00434A6A">
      <w:pPr>
        <w:tabs>
          <w:tab w:val="left" w:pos="2788"/>
        </w:tabs>
        <w:rPr>
          <w:rFonts w:asciiTheme="minorBidi" w:hAnsiTheme="minorBidi"/>
          <w:rtl/>
        </w:rPr>
      </w:pPr>
    </w:p>
    <w:p w14:paraId="317C518A" w14:textId="77777777" w:rsidR="006A4BF8" w:rsidRDefault="006A4BF8" w:rsidP="00434A6A">
      <w:pPr>
        <w:pStyle w:val="1"/>
        <w:rPr>
          <w:rtl/>
        </w:rPr>
        <w:sectPr w:rsidR="006A4BF8" w:rsidSect="00BD29B1">
          <w:headerReference w:type="default" r:id="rId98"/>
          <w:footnotePr>
            <w:numRestart w:val="eachSect"/>
          </w:footnotePr>
          <w:pgSz w:w="11906" w:h="16838"/>
          <w:pgMar w:top="720" w:right="1134" w:bottom="720" w:left="1134" w:header="0" w:footer="0" w:gutter="0"/>
          <w:cols w:space="720"/>
          <w:bidi/>
          <w:rtlGutter/>
          <w:docGrid w:linePitch="360"/>
        </w:sectPr>
      </w:pPr>
    </w:p>
    <w:p w14:paraId="0950EC5C" w14:textId="77777777" w:rsidR="006A4BF8" w:rsidRPr="00974030" w:rsidRDefault="006A4BF8" w:rsidP="00434A6A">
      <w:pPr>
        <w:pStyle w:val="1"/>
        <w:rPr>
          <w:rtl/>
        </w:rPr>
      </w:pPr>
      <w:r>
        <w:rPr>
          <w:rFonts w:hint="cs"/>
          <w:rtl/>
        </w:rPr>
        <w:t xml:space="preserve">סימן שלב: </w:t>
      </w:r>
      <w:r w:rsidRPr="00974030">
        <w:rPr>
          <w:rFonts w:hint="cs"/>
          <w:rtl/>
        </w:rPr>
        <w:t>שלא</w:t>
      </w:r>
      <w:r w:rsidRPr="00974030">
        <w:rPr>
          <w:rtl/>
        </w:rPr>
        <w:t xml:space="preserve"> </w:t>
      </w:r>
      <w:r w:rsidRPr="00974030">
        <w:rPr>
          <w:rFonts w:hint="cs"/>
          <w:rtl/>
        </w:rPr>
        <w:t>לילד</w:t>
      </w:r>
      <w:r w:rsidRPr="00974030">
        <w:rPr>
          <w:rtl/>
        </w:rPr>
        <w:t xml:space="preserve"> </w:t>
      </w:r>
      <w:r w:rsidRPr="00974030">
        <w:rPr>
          <w:rFonts w:hint="cs"/>
          <w:rtl/>
        </w:rPr>
        <w:t>הבהמה</w:t>
      </w:r>
      <w:r w:rsidRPr="00974030">
        <w:rPr>
          <w:rtl/>
        </w:rPr>
        <w:t xml:space="preserve"> </w:t>
      </w:r>
      <w:r w:rsidRPr="00974030">
        <w:rPr>
          <w:rFonts w:hint="cs"/>
          <w:rtl/>
        </w:rPr>
        <w:t>בשבת</w:t>
      </w:r>
      <w:r w:rsidRPr="00974030">
        <w:rPr>
          <w:rtl/>
        </w:rPr>
        <w:t xml:space="preserve">, </w:t>
      </w:r>
      <w:r w:rsidRPr="00974030">
        <w:rPr>
          <w:rFonts w:hint="cs"/>
          <w:rtl/>
        </w:rPr>
        <w:t>ובו</w:t>
      </w:r>
      <w:r w:rsidRPr="00974030">
        <w:rPr>
          <w:rtl/>
        </w:rPr>
        <w:t xml:space="preserve"> </w:t>
      </w:r>
      <w:r w:rsidRPr="00974030">
        <w:rPr>
          <w:rFonts w:hint="cs"/>
          <w:rtl/>
        </w:rPr>
        <w:t>ד</w:t>
      </w:r>
      <w:r w:rsidRPr="00974030">
        <w:rPr>
          <w:rtl/>
        </w:rPr>
        <w:t xml:space="preserve">' </w:t>
      </w:r>
      <w:r w:rsidRPr="00974030">
        <w:rPr>
          <w:rFonts w:hint="cs"/>
          <w:rtl/>
        </w:rPr>
        <w:t>סעיפים</w:t>
      </w:r>
      <w:r w:rsidRPr="00974030">
        <w:rPr>
          <w:rtl/>
        </w:rPr>
        <w:t xml:space="preserve">. </w:t>
      </w:r>
    </w:p>
    <w:p w14:paraId="00883501"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א</w:t>
      </w:r>
    </w:p>
    <w:p w14:paraId="046627F5"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אין</w:t>
      </w:r>
      <w:r w:rsidRPr="00974030">
        <w:rPr>
          <w:rFonts w:asciiTheme="minorBidi" w:hAnsiTheme="minorBidi" w:cs="Arial"/>
          <w:rtl/>
        </w:rPr>
        <w:t xml:space="preserve"> </w:t>
      </w:r>
      <w:r w:rsidRPr="00974030">
        <w:rPr>
          <w:rFonts w:asciiTheme="minorBidi" w:hAnsiTheme="minorBidi" w:cs="Arial" w:hint="cs"/>
          <w:rtl/>
        </w:rPr>
        <w:t>מילדין</w:t>
      </w:r>
      <w:r w:rsidRPr="00974030">
        <w:rPr>
          <w:rFonts w:asciiTheme="minorBidi" w:hAnsiTheme="minorBidi" w:cs="Arial"/>
          <w:rtl/>
        </w:rPr>
        <w:t xml:space="preserve"> </w:t>
      </w:r>
      <w:r w:rsidRPr="00974030">
        <w:rPr>
          <w:rFonts w:asciiTheme="minorBidi" w:hAnsiTheme="minorBidi" w:cs="Arial" w:hint="cs"/>
          <w:rtl/>
        </w:rPr>
        <w:t>את</w:t>
      </w:r>
      <w:r w:rsidRPr="00974030">
        <w:rPr>
          <w:rFonts w:asciiTheme="minorBidi" w:hAnsiTheme="minorBidi" w:cs="Arial"/>
          <w:rtl/>
        </w:rPr>
        <w:t xml:space="preserve"> </w:t>
      </w:r>
      <w:r w:rsidRPr="00974030">
        <w:rPr>
          <w:rFonts w:asciiTheme="minorBidi" w:hAnsiTheme="minorBidi" w:cs="Arial" w:hint="cs"/>
          <w:rtl/>
        </w:rPr>
        <w:t>הבהמה</w:t>
      </w:r>
      <w:r w:rsidRPr="00974030">
        <w:rPr>
          <w:rFonts w:asciiTheme="minorBidi" w:hAnsiTheme="minorBidi" w:cs="Arial"/>
          <w:rtl/>
        </w:rPr>
        <w:t xml:space="preserve"> </w:t>
      </w:r>
      <w:r w:rsidRPr="00974030">
        <w:rPr>
          <w:rFonts w:asciiTheme="minorBidi" w:hAnsiTheme="minorBidi" w:cs="Arial" w:hint="cs"/>
          <w:rtl/>
        </w:rPr>
        <w:t>בשבת</w:t>
      </w:r>
      <w:r w:rsidRPr="00974030">
        <w:rPr>
          <w:rFonts w:asciiTheme="minorBidi" w:hAnsiTheme="minorBidi" w:cs="Arial"/>
          <w:rtl/>
        </w:rPr>
        <w:t xml:space="preserve">. </w:t>
      </w:r>
    </w:p>
    <w:p w14:paraId="5E178525"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ב</w:t>
      </w:r>
    </w:p>
    <w:p w14:paraId="475BC90C"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אין</w:t>
      </w:r>
      <w:r w:rsidRPr="00974030">
        <w:rPr>
          <w:rFonts w:asciiTheme="minorBidi" w:hAnsiTheme="minorBidi" w:cs="Arial"/>
          <w:rtl/>
        </w:rPr>
        <w:t xml:space="preserve"> </w:t>
      </w:r>
      <w:r w:rsidRPr="00974030">
        <w:rPr>
          <w:rFonts w:asciiTheme="minorBidi" w:hAnsiTheme="minorBidi" w:cs="Arial" w:hint="cs"/>
          <w:rtl/>
        </w:rPr>
        <w:t>מפרכסין</w:t>
      </w:r>
      <w:r w:rsidRPr="00974030">
        <w:rPr>
          <w:rFonts w:asciiTheme="minorBidi" w:hAnsiTheme="minorBidi" w:cs="Arial"/>
          <w:rtl/>
        </w:rPr>
        <w:t xml:space="preserve"> </w:t>
      </w:r>
      <w:r w:rsidRPr="00974030">
        <w:rPr>
          <w:rFonts w:asciiTheme="minorBidi" w:hAnsiTheme="minorBidi" w:cs="Arial" w:hint="cs"/>
          <w:rtl/>
        </w:rPr>
        <w:t>לבהמה</w:t>
      </w:r>
      <w:r w:rsidRPr="00974030">
        <w:rPr>
          <w:rFonts w:asciiTheme="minorBidi" w:hAnsiTheme="minorBidi" w:cs="Arial"/>
          <w:rtl/>
        </w:rPr>
        <w:t xml:space="preserve"> </w:t>
      </w:r>
      <w:r w:rsidRPr="00974030">
        <w:rPr>
          <w:rFonts w:asciiTheme="minorBidi" w:hAnsiTheme="minorBidi" w:cs="Arial" w:hint="cs"/>
          <w:rtl/>
        </w:rPr>
        <w:t>גלדי</w:t>
      </w:r>
      <w:r w:rsidRPr="00974030">
        <w:rPr>
          <w:rFonts w:asciiTheme="minorBidi" w:hAnsiTheme="minorBidi" w:cs="Arial"/>
          <w:rtl/>
        </w:rPr>
        <w:t xml:space="preserve"> </w:t>
      </w:r>
      <w:r w:rsidRPr="00974030">
        <w:rPr>
          <w:rFonts w:asciiTheme="minorBidi" w:hAnsiTheme="minorBidi" w:cs="Arial" w:hint="cs"/>
          <w:rtl/>
        </w:rPr>
        <w:t>מכה</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סכין</w:t>
      </w:r>
      <w:r w:rsidRPr="00974030">
        <w:rPr>
          <w:rFonts w:asciiTheme="minorBidi" w:hAnsiTheme="minorBidi" w:cs="Arial"/>
          <w:rtl/>
        </w:rPr>
        <w:t xml:space="preserve"> </w:t>
      </w:r>
      <w:r w:rsidRPr="00974030">
        <w:rPr>
          <w:rFonts w:asciiTheme="minorBidi" w:hAnsiTheme="minorBidi" w:cs="Arial" w:hint="cs"/>
          <w:rtl/>
        </w:rPr>
        <w:t>אותה</w:t>
      </w:r>
      <w:r w:rsidRPr="00974030">
        <w:rPr>
          <w:rFonts w:asciiTheme="minorBidi" w:hAnsiTheme="minorBidi" w:cs="Arial"/>
          <w:rtl/>
        </w:rPr>
        <w:t xml:space="preserve"> </w:t>
      </w:r>
      <w:r w:rsidRPr="00974030">
        <w:rPr>
          <w:rFonts w:asciiTheme="minorBidi" w:hAnsiTheme="minorBidi" w:cs="Arial" w:hint="cs"/>
          <w:rtl/>
        </w:rPr>
        <w:t>בשמן</w:t>
      </w:r>
      <w:r w:rsidRPr="00974030">
        <w:rPr>
          <w:rFonts w:asciiTheme="minorBidi" w:hAnsiTheme="minorBidi" w:cs="Arial"/>
          <w:rtl/>
        </w:rPr>
        <w:t xml:space="preserve">; </w:t>
      </w:r>
      <w:r w:rsidRPr="00974030">
        <w:rPr>
          <w:rFonts w:asciiTheme="minorBidi" w:hAnsiTheme="minorBidi" w:cs="Arial" w:hint="cs"/>
          <w:rtl/>
        </w:rPr>
        <w:t>וה</w:t>
      </w:r>
      <w:r w:rsidRPr="00974030">
        <w:rPr>
          <w:rFonts w:asciiTheme="minorBidi" w:hAnsiTheme="minorBidi" w:cs="Arial"/>
          <w:rtl/>
        </w:rPr>
        <w:t>"</w:t>
      </w:r>
      <w:r w:rsidRPr="00974030">
        <w:rPr>
          <w:rFonts w:asciiTheme="minorBidi" w:hAnsiTheme="minorBidi" w:cs="Arial" w:hint="cs"/>
          <w:rtl/>
        </w:rPr>
        <w:t>מ</w:t>
      </w:r>
      <w:r w:rsidRPr="00974030">
        <w:rPr>
          <w:rFonts w:asciiTheme="minorBidi" w:hAnsiTheme="minorBidi" w:cs="Arial"/>
          <w:rtl/>
        </w:rPr>
        <w:t xml:space="preserve"> </w:t>
      </w:r>
      <w:r w:rsidRPr="00974030">
        <w:rPr>
          <w:rFonts w:asciiTheme="minorBidi" w:hAnsiTheme="minorBidi" w:cs="Arial" w:hint="cs"/>
          <w:rtl/>
        </w:rPr>
        <w:t>בגמר</w:t>
      </w:r>
      <w:r w:rsidRPr="00974030">
        <w:rPr>
          <w:rFonts w:asciiTheme="minorBidi" w:hAnsiTheme="minorBidi" w:cs="Arial"/>
          <w:rtl/>
        </w:rPr>
        <w:t xml:space="preserve"> </w:t>
      </w:r>
      <w:r w:rsidRPr="00974030">
        <w:rPr>
          <w:rFonts w:asciiTheme="minorBidi" w:hAnsiTheme="minorBidi" w:cs="Arial" w:hint="cs"/>
          <w:rtl/>
        </w:rPr>
        <w:t>מכה</w:t>
      </w:r>
      <w:r w:rsidRPr="00974030">
        <w:rPr>
          <w:rFonts w:asciiTheme="minorBidi" w:hAnsiTheme="minorBidi" w:cs="Arial"/>
          <w:rtl/>
        </w:rPr>
        <w:t xml:space="preserve">, </w:t>
      </w:r>
      <w:r w:rsidRPr="00974030">
        <w:rPr>
          <w:rFonts w:asciiTheme="minorBidi" w:hAnsiTheme="minorBidi" w:cs="Arial" w:hint="cs"/>
          <w:rtl/>
        </w:rPr>
        <w:t>דליכא</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משום</w:t>
      </w:r>
      <w:r w:rsidRPr="00974030">
        <w:rPr>
          <w:rFonts w:asciiTheme="minorBidi" w:hAnsiTheme="minorBidi" w:cs="Arial"/>
          <w:rtl/>
        </w:rPr>
        <w:t xml:space="preserve"> </w:t>
      </w:r>
      <w:r w:rsidRPr="00974030">
        <w:rPr>
          <w:rFonts w:asciiTheme="minorBidi" w:hAnsiTheme="minorBidi" w:cs="Arial" w:hint="cs"/>
          <w:rtl/>
        </w:rPr>
        <w:t>תענוג</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בתחלת</w:t>
      </w:r>
      <w:r w:rsidRPr="00974030">
        <w:rPr>
          <w:rFonts w:asciiTheme="minorBidi" w:hAnsiTheme="minorBidi" w:cs="Arial"/>
          <w:rtl/>
        </w:rPr>
        <w:t xml:space="preserve"> </w:t>
      </w:r>
      <w:r w:rsidRPr="00974030">
        <w:rPr>
          <w:rFonts w:asciiTheme="minorBidi" w:hAnsiTheme="minorBidi" w:cs="Arial" w:hint="cs"/>
          <w:rtl/>
        </w:rPr>
        <w:t>מכה</w:t>
      </w:r>
      <w:r w:rsidRPr="00974030">
        <w:rPr>
          <w:rFonts w:asciiTheme="minorBidi" w:hAnsiTheme="minorBidi" w:cs="Arial"/>
          <w:rtl/>
        </w:rPr>
        <w:t xml:space="preserve">, </w:t>
      </w:r>
      <w:r w:rsidRPr="00974030">
        <w:rPr>
          <w:rFonts w:asciiTheme="minorBidi" w:hAnsiTheme="minorBidi" w:cs="Arial" w:hint="cs"/>
          <w:rtl/>
        </w:rPr>
        <w:t>דאיכא</w:t>
      </w:r>
      <w:r w:rsidRPr="00974030">
        <w:rPr>
          <w:rFonts w:asciiTheme="minorBidi" w:hAnsiTheme="minorBidi" w:cs="Arial"/>
          <w:rtl/>
        </w:rPr>
        <w:t xml:space="preserve"> </w:t>
      </w:r>
      <w:r w:rsidRPr="00974030">
        <w:rPr>
          <w:rFonts w:asciiTheme="minorBidi" w:hAnsiTheme="minorBidi" w:cs="Arial" w:hint="cs"/>
          <w:rtl/>
        </w:rPr>
        <w:t>צערא</w:t>
      </w:r>
      <w:r w:rsidRPr="00974030">
        <w:rPr>
          <w:rFonts w:asciiTheme="minorBidi" w:hAnsiTheme="minorBidi" w:cs="Arial"/>
          <w:rtl/>
        </w:rPr>
        <w:t xml:space="preserve">, </w:t>
      </w:r>
      <w:r w:rsidRPr="00974030">
        <w:rPr>
          <w:rFonts w:asciiTheme="minorBidi" w:hAnsiTheme="minorBidi" w:cs="Arial" w:hint="cs"/>
          <w:rtl/>
        </w:rPr>
        <w:t>שרי</w:t>
      </w:r>
      <w:r w:rsidRPr="00974030">
        <w:rPr>
          <w:rFonts w:asciiTheme="minorBidi" w:hAnsiTheme="minorBidi" w:cs="Arial"/>
          <w:rtl/>
        </w:rPr>
        <w:t xml:space="preserve">. </w:t>
      </w:r>
    </w:p>
    <w:p w14:paraId="273C9B77"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ג</w:t>
      </w:r>
    </w:p>
    <w:p w14:paraId="5B24F05B"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אכלה</w:t>
      </w:r>
      <w:r w:rsidRPr="00974030">
        <w:rPr>
          <w:rFonts w:asciiTheme="minorBidi" w:hAnsiTheme="minorBidi" w:cs="Arial"/>
          <w:rtl/>
        </w:rPr>
        <w:t xml:space="preserve"> </w:t>
      </w:r>
      <w:r w:rsidRPr="00974030">
        <w:rPr>
          <w:rFonts w:asciiTheme="minorBidi" w:hAnsiTheme="minorBidi" w:cs="Arial" w:hint="cs"/>
          <w:rtl/>
        </w:rPr>
        <w:t>כרשינין</w:t>
      </w:r>
      <w:r w:rsidRPr="00974030">
        <w:rPr>
          <w:rFonts w:asciiTheme="minorBidi" w:hAnsiTheme="minorBidi" w:cs="Arial"/>
          <w:rtl/>
        </w:rPr>
        <w:t xml:space="preserve"> </w:t>
      </w:r>
      <w:r w:rsidRPr="00974030">
        <w:rPr>
          <w:rFonts w:asciiTheme="minorBidi" w:hAnsiTheme="minorBidi" w:cs="Arial" w:hint="cs"/>
          <w:rtl/>
        </w:rPr>
        <w:t>הרבה</w:t>
      </w:r>
      <w:r w:rsidRPr="00974030">
        <w:rPr>
          <w:rFonts w:asciiTheme="minorBidi" w:hAnsiTheme="minorBidi" w:cs="Arial"/>
          <w:rtl/>
        </w:rPr>
        <w:t xml:space="preserve"> </w:t>
      </w:r>
      <w:r w:rsidRPr="00974030">
        <w:rPr>
          <w:rFonts w:asciiTheme="minorBidi" w:hAnsiTheme="minorBidi" w:cs="Arial" w:hint="cs"/>
          <w:rtl/>
        </w:rPr>
        <w:t>ומצטערת</w:t>
      </w:r>
      <w:r w:rsidRPr="00974030">
        <w:rPr>
          <w:rFonts w:asciiTheme="minorBidi" w:hAnsiTheme="minorBidi" w:cs="Arial"/>
          <w:rtl/>
        </w:rPr>
        <w:t xml:space="preserve">, </w:t>
      </w:r>
      <w:r w:rsidRPr="00974030">
        <w:rPr>
          <w:rFonts w:asciiTheme="minorBidi" w:hAnsiTheme="minorBidi" w:cs="Arial" w:hint="cs"/>
          <w:rtl/>
        </w:rPr>
        <w:t>יכול</w:t>
      </w:r>
      <w:r w:rsidRPr="00974030">
        <w:rPr>
          <w:rFonts w:asciiTheme="minorBidi" w:hAnsiTheme="minorBidi" w:cs="Arial"/>
          <w:rtl/>
        </w:rPr>
        <w:t xml:space="preserve"> </w:t>
      </w:r>
      <w:r w:rsidRPr="00974030">
        <w:rPr>
          <w:rFonts w:asciiTheme="minorBidi" w:hAnsiTheme="minorBidi" w:cs="Arial" w:hint="cs"/>
          <w:rtl/>
        </w:rPr>
        <w:t>להריצה</w:t>
      </w:r>
      <w:r w:rsidRPr="00974030">
        <w:rPr>
          <w:rFonts w:asciiTheme="minorBidi" w:hAnsiTheme="minorBidi" w:cs="Arial"/>
          <w:rtl/>
        </w:rPr>
        <w:t xml:space="preserve"> </w:t>
      </w:r>
      <w:r w:rsidRPr="00974030">
        <w:rPr>
          <w:rFonts w:asciiTheme="minorBidi" w:hAnsiTheme="minorBidi" w:cs="Arial" w:hint="cs"/>
          <w:rtl/>
        </w:rPr>
        <w:t>בחצר</w:t>
      </w:r>
      <w:r w:rsidRPr="00974030">
        <w:rPr>
          <w:rFonts w:asciiTheme="minorBidi" w:hAnsiTheme="minorBidi" w:cs="Arial"/>
          <w:rtl/>
        </w:rPr>
        <w:t xml:space="preserve"> </w:t>
      </w:r>
      <w:r w:rsidRPr="00974030">
        <w:rPr>
          <w:rFonts w:asciiTheme="minorBidi" w:hAnsiTheme="minorBidi" w:cs="Arial" w:hint="cs"/>
          <w:rtl/>
        </w:rPr>
        <w:t>כדי</w:t>
      </w:r>
      <w:r w:rsidRPr="00974030">
        <w:rPr>
          <w:rFonts w:asciiTheme="minorBidi" w:hAnsiTheme="minorBidi" w:cs="Arial"/>
          <w:rtl/>
        </w:rPr>
        <w:t xml:space="preserve"> </w:t>
      </w:r>
      <w:r w:rsidRPr="00974030">
        <w:rPr>
          <w:rFonts w:asciiTheme="minorBidi" w:hAnsiTheme="minorBidi" w:cs="Arial" w:hint="cs"/>
          <w:rtl/>
        </w:rPr>
        <w:t>שתייגע</w:t>
      </w:r>
      <w:r w:rsidRPr="00974030">
        <w:rPr>
          <w:rFonts w:asciiTheme="minorBidi" w:hAnsiTheme="minorBidi" w:cs="Arial"/>
          <w:rtl/>
        </w:rPr>
        <w:t xml:space="preserve"> </w:t>
      </w:r>
      <w:r w:rsidRPr="00974030">
        <w:rPr>
          <w:rFonts w:asciiTheme="minorBidi" w:hAnsiTheme="minorBidi" w:cs="Arial" w:hint="cs"/>
          <w:rtl/>
        </w:rPr>
        <w:t>ותתרפא</w:t>
      </w:r>
      <w:r w:rsidRPr="00974030">
        <w:rPr>
          <w:rFonts w:asciiTheme="minorBidi" w:hAnsiTheme="minorBidi" w:cs="Arial"/>
          <w:rtl/>
        </w:rPr>
        <w:t xml:space="preserve">. </w:t>
      </w:r>
    </w:p>
    <w:p w14:paraId="3325C1E1"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ד</w:t>
      </w:r>
    </w:p>
    <w:p w14:paraId="4A8BA104" w14:textId="77777777" w:rsidR="006A4BF8" w:rsidRDefault="006A4BF8" w:rsidP="00434A6A">
      <w:pPr>
        <w:tabs>
          <w:tab w:val="left" w:pos="2788"/>
        </w:tabs>
        <w:rPr>
          <w:rFonts w:asciiTheme="minorBidi" w:hAnsiTheme="minorBidi"/>
          <w:rtl/>
        </w:rPr>
      </w:pP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אחזה</w:t>
      </w:r>
      <w:r w:rsidRPr="00974030">
        <w:rPr>
          <w:rFonts w:asciiTheme="minorBidi" w:hAnsiTheme="minorBidi" w:cs="Arial"/>
          <w:rtl/>
        </w:rPr>
        <w:t xml:space="preserve"> </w:t>
      </w:r>
      <w:r w:rsidRPr="00974030">
        <w:rPr>
          <w:rFonts w:asciiTheme="minorBidi" w:hAnsiTheme="minorBidi" w:cs="Arial" w:hint="cs"/>
          <w:rtl/>
        </w:rPr>
        <w:t>דם</w:t>
      </w:r>
      <w:r w:rsidRPr="00974030">
        <w:rPr>
          <w:rFonts w:asciiTheme="minorBidi" w:hAnsiTheme="minorBidi" w:cs="Arial"/>
          <w:rtl/>
        </w:rPr>
        <w:t xml:space="preserve">, </w:t>
      </w:r>
      <w:r w:rsidRPr="00974030">
        <w:rPr>
          <w:rFonts w:asciiTheme="minorBidi" w:hAnsiTheme="minorBidi" w:cs="Arial" w:hint="cs"/>
          <w:rtl/>
        </w:rPr>
        <w:t>יכול</w:t>
      </w:r>
      <w:r w:rsidRPr="00974030">
        <w:rPr>
          <w:rFonts w:asciiTheme="minorBidi" w:hAnsiTheme="minorBidi" w:cs="Arial"/>
          <w:rtl/>
        </w:rPr>
        <w:t xml:space="preserve"> </w:t>
      </w:r>
      <w:r w:rsidRPr="00974030">
        <w:rPr>
          <w:rFonts w:asciiTheme="minorBidi" w:hAnsiTheme="minorBidi" w:cs="Arial" w:hint="cs"/>
          <w:rtl/>
        </w:rPr>
        <w:t>להעמידה</w:t>
      </w:r>
      <w:r w:rsidRPr="00974030">
        <w:rPr>
          <w:rFonts w:asciiTheme="minorBidi" w:hAnsiTheme="minorBidi" w:cs="Arial"/>
          <w:rtl/>
        </w:rPr>
        <w:t xml:space="preserve"> </w:t>
      </w:r>
      <w:r w:rsidRPr="00974030">
        <w:rPr>
          <w:rFonts w:asciiTheme="minorBidi" w:hAnsiTheme="minorBidi" w:cs="Arial" w:hint="cs"/>
          <w:rtl/>
        </w:rPr>
        <w:t>במים</w:t>
      </w:r>
      <w:r w:rsidRPr="00974030">
        <w:rPr>
          <w:rFonts w:asciiTheme="minorBidi" w:hAnsiTheme="minorBidi" w:cs="Arial"/>
          <w:rtl/>
        </w:rPr>
        <w:t xml:space="preserve"> </w:t>
      </w:r>
      <w:r w:rsidRPr="00974030">
        <w:rPr>
          <w:rFonts w:asciiTheme="minorBidi" w:hAnsiTheme="minorBidi" w:cs="Arial" w:hint="cs"/>
          <w:rtl/>
        </w:rPr>
        <w:t>כדי</w:t>
      </w:r>
      <w:r w:rsidRPr="00974030">
        <w:rPr>
          <w:rFonts w:asciiTheme="minorBidi" w:hAnsiTheme="minorBidi" w:cs="Arial"/>
          <w:rtl/>
        </w:rPr>
        <w:t xml:space="preserve"> </w:t>
      </w:r>
      <w:r w:rsidRPr="00974030">
        <w:rPr>
          <w:rFonts w:asciiTheme="minorBidi" w:hAnsiTheme="minorBidi" w:cs="Arial" w:hint="cs"/>
          <w:rtl/>
        </w:rPr>
        <w:t>שתצטנן</w:t>
      </w:r>
      <w:r w:rsidRPr="00974030">
        <w:rPr>
          <w:rFonts w:asciiTheme="minorBidi" w:hAnsiTheme="minorBidi" w:cs="Arial"/>
          <w:rtl/>
        </w:rPr>
        <w:t xml:space="preserve">; </w:t>
      </w:r>
      <w:r w:rsidRPr="00974030">
        <w:rPr>
          <w:rFonts w:asciiTheme="minorBidi" w:hAnsiTheme="minorBidi" w:cs="Arial" w:hint="cs"/>
          <w:rtl/>
        </w:rPr>
        <w:t>ואם</w:t>
      </w:r>
      <w:r w:rsidRPr="00974030">
        <w:rPr>
          <w:rFonts w:asciiTheme="minorBidi" w:hAnsiTheme="minorBidi" w:cs="Arial"/>
          <w:rtl/>
        </w:rPr>
        <w:t xml:space="preserve"> </w:t>
      </w:r>
      <w:r w:rsidRPr="00974030">
        <w:rPr>
          <w:rFonts w:asciiTheme="minorBidi" w:hAnsiTheme="minorBidi" w:cs="Arial" w:hint="cs"/>
          <w:rtl/>
        </w:rPr>
        <w:t>הוא</w:t>
      </w:r>
      <w:r w:rsidRPr="00974030">
        <w:rPr>
          <w:rFonts w:asciiTheme="minorBidi" w:hAnsiTheme="minorBidi" w:cs="Arial"/>
          <w:rtl/>
        </w:rPr>
        <w:t xml:space="preserve"> </w:t>
      </w:r>
      <w:r w:rsidRPr="00974030">
        <w:rPr>
          <w:rFonts w:asciiTheme="minorBidi" w:hAnsiTheme="minorBidi" w:cs="Arial" w:hint="cs"/>
          <w:rtl/>
        </w:rPr>
        <w:t>ספק</w:t>
      </w:r>
      <w:r w:rsidRPr="00974030">
        <w:rPr>
          <w:rFonts w:asciiTheme="minorBidi" w:hAnsiTheme="minorBidi" w:cs="Arial"/>
          <w:rtl/>
        </w:rPr>
        <w:t xml:space="preserve"> </w:t>
      </w:r>
      <w:r w:rsidRPr="00974030">
        <w:rPr>
          <w:rFonts w:asciiTheme="minorBidi" w:hAnsiTheme="minorBidi" w:cs="Arial" w:hint="cs"/>
          <w:rtl/>
        </w:rPr>
        <w:t>שאם</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יקיזו</w:t>
      </w:r>
      <w:r w:rsidRPr="00974030">
        <w:rPr>
          <w:rFonts w:asciiTheme="minorBidi" w:hAnsiTheme="minorBidi" w:cs="Arial"/>
          <w:rtl/>
        </w:rPr>
        <w:t xml:space="preserve"> </w:t>
      </w:r>
      <w:r w:rsidRPr="00974030">
        <w:rPr>
          <w:rFonts w:asciiTheme="minorBidi" w:hAnsiTheme="minorBidi" w:cs="Arial" w:hint="cs"/>
          <w:rtl/>
        </w:rPr>
        <w:t>לה</w:t>
      </w:r>
      <w:r w:rsidRPr="00974030">
        <w:rPr>
          <w:rFonts w:asciiTheme="minorBidi" w:hAnsiTheme="minorBidi" w:cs="Arial"/>
          <w:rtl/>
        </w:rPr>
        <w:t xml:space="preserve"> </w:t>
      </w:r>
      <w:r w:rsidRPr="00974030">
        <w:rPr>
          <w:rFonts w:asciiTheme="minorBidi" w:hAnsiTheme="minorBidi" w:cs="Arial" w:hint="cs"/>
          <w:rtl/>
        </w:rPr>
        <w:t>דם</w:t>
      </w:r>
      <w:r w:rsidRPr="00974030">
        <w:rPr>
          <w:rFonts w:asciiTheme="minorBidi" w:hAnsiTheme="minorBidi" w:cs="Arial"/>
          <w:rtl/>
        </w:rPr>
        <w:t xml:space="preserve"> </w:t>
      </w:r>
      <w:r w:rsidRPr="00974030">
        <w:rPr>
          <w:rFonts w:asciiTheme="minorBidi" w:hAnsiTheme="minorBidi" w:cs="Arial" w:hint="cs"/>
          <w:rtl/>
        </w:rPr>
        <w:t>תמות</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לומר</w:t>
      </w:r>
      <w:r w:rsidRPr="00974030">
        <w:rPr>
          <w:rFonts w:asciiTheme="minorBidi" w:hAnsiTheme="minorBidi" w:cs="Arial"/>
          <w:rtl/>
        </w:rPr>
        <w:t xml:space="preserve"> </w:t>
      </w:r>
      <w:r w:rsidRPr="00974030">
        <w:rPr>
          <w:rFonts w:asciiTheme="minorBidi" w:hAnsiTheme="minorBidi" w:cs="Arial" w:hint="cs"/>
          <w:rtl/>
        </w:rPr>
        <w:t>ל</w:t>
      </w:r>
      <w:r>
        <w:rPr>
          <w:rFonts w:asciiTheme="minorBidi" w:hAnsiTheme="minorBidi" w:cs="Arial" w:hint="cs"/>
          <w:rtl/>
        </w:rPr>
        <w:t>גוי</w:t>
      </w:r>
      <w:r w:rsidRPr="00974030">
        <w:rPr>
          <w:rFonts w:asciiTheme="minorBidi" w:hAnsiTheme="minorBidi" w:cs="Arial"/>
          <w:rtl/>
        </w:rPr>
        <w:t xml:space="preserve"> </w:t>
      </w:r>
      <w:r w:rsidRPr="00974030">
        <w:rPr>
          <w:rFonts w:asciiTheme="minorBidi" w:hAnsiTheme="minorBidi" w:cs="Arial" w:hint="cs"/>
          <w:rtl/>
        </w:rPr>
        <w:t>להקיזה</w:t>
      </w:r>
      <w:r w:rsidRPr="00974030">
        <w:rPr>
          <w:rFonts w:asciiTheme="minorBidi" w:hAnsiTheme="minorBidi" w:cs="Arial"/>
          <w:rtl/>
        </w:rPr>
        <w:t>.</w:t>
      </w:r>
    </w:p>
    <w:p w14:paraId="69ACECD8" w14:textId="77777777" w:rsidR="006A4BF8" w:rsidRDefault="006A4BF8" w:rsidP="00434A6A">
      <w:pPr>
        <w:tabs>
          <w:tab w:val="left" w:pos="2788"/>
        </w:tabs>
        <w:rPr>
          <w:rFonts w:asciiTheme="minorBidi" w:hAnsiTheme="minorBidi"/>
          <w:rtl/>
        </w:rPr>
      </w:pPr>
    </w:p>
    <w:p w14:paraId="2A0704DE" w14:textId="77777777" w:rsidR="006A4BF8" w:rsidRDefault="006A4BF8" w:rsidP="00434A6A">
      <w:pPr>
        <w:tabs>
          <w:tab w:val="left" w:pos="2788"/>
        </w:tabs>
        <w:rPr>
          <w:rFonts w:asciiTheme="minorBidi" w:hAnsiTheme="minorBidi"/>
          <w:rtl/>
        </w:rPr>
      </w:pPr>
    </w:p>
    <w:p w14:paraId="6A528FCA" w14:textId="77777777" w:rsidR="006A4BF8" w:rsidRDefault="006A4BF8" w:rsidP="00434A6A">
      <w:pPr>
        <w:pStyle w:val="1"/>
        <w:rPr>
          <w:rtl/>
        </w:rPr>
        <w:sectPr w:rsidR="006A4BF8" w:rsidSect="00BD29B1">
          <w:headerReference w:type="default" r:id="rId99"/>
          <w:footnotePr>
            <w:numRestart w:val="eachSect"/>
          </w:footnotePr>
          <w:pgSz w:w="11906" w:h="16838"/>
          <w:pgMar w:top="720" w:right="1134" w:bottom="720" w:left="1134" w:header="0" w:footer="0" w:gutter="0"/>
          <w:cols w:space="720"/>
          <w:bidi/>
          <w:rtlGutter/>
          <w:docGrid w:linePitch="360"/>
        </w:sectPr>
      </w:pPr>
    </w:p>
    <w:p w14:paraId="7C631BBC" w14:textId="77777777" w:rsidR="006A4BF8" w:rsidRPr="00974030" w:rsidRDefault="006A4BF8" w:rsidP="00434A6A">
      <w:pPr>
        <w:pStyle w:val="1"/>
        <w:rPr>
          <w:rtl/>
        </w:rPr>
      </w:pPr>
      <w:r>
        <w:rPr>
          <w:rFonts w:hint="cs"/>
          <w:rtl/>
        </w:rPr>
        <w:t xml:space="preserve">סימן שלג: </w:t>
      </w:r>
      <w:r w:rsidRPr="00974030">
        <w:rPr>
          <w:rFonts w:hint="cs"/>
          <w:rtl/>
        </w:rPr>
        <w:t>שלא</w:t>
      </w:r>
      <w:r w:rsidRPr="00974030">
        <w:rPr>
          <w:rtl/>
        </w:rPr>
        <w:t xml:space="preserve"> </w:t>
      </w:r>
      <w:r w:rsidRPr="00974030">
        <w:rPr>
          <w:rFonts w:hint="cs"/>
          <w:rtl/>
        </w:rPr>
        <w:t>לפנות</w:t>
      </w:r>
      <w:r w:rsidRPr="00974030">
        <w:rPr>
          <w:rtl/>
        </w:rPr>
        <w:t xml:space="preserve"> </w:t>
      </w:r>
      <w:r w:rsidRPr="00974030">
        <w:rPr>
          <w:rFonts w:hint="cs"/>
          <w:rtl/>
        </w:rPr>
        <w:t>אוצר</w:t>
      </w:r>
      <w:r w:rsidRPr="00974030">
        <w:rPr>
          <w:rtl/>
        </w:rPr>
        <w:t xml:space="preserve"> </w:t>
      </w:r>
      <w:r w:rsidRPr="00974030">
        <w:rPr>
          <w:rFonts w:hint="cs"/>
          <w:rtl/>
        </w:rPr>
        <w:t>בשבת</w:t>
      </w:r>
      <w:r w:rsidRPr="00974030">
        <w:rPr>
          <w:rtl/>
        </w:rPr>
        <w:t xml:space="preserve">, </w:t>
      </w:r>
      <w:r w:rsidRPr="00974030">
        <w:rPr>
          <w:rFonts w:hint="cs"/>
          <w:rtl/>
        </w:rPr>
        <w:t>ובו</w:t>
      </w:r>
      <w:r w:rsidRPr="00974030">
        <w:rPr>
          <w:rtl/>
        </w:rPr>
        <w:t xml:space="preserve"> </w:t>
      </w:r>
      <w:r w:rsidRPr="00974030">
        <w:rPr>
          <w:rFonts w:hint="cs"/>
          <w:rtl/>
        </w:rPr>
        <w:t>ג</w:t>
      </w:r>
      <w:r w:rsidRPr="00974030">
        <w:rPr>
          <w:rtl/>
        </w:rPr>
        <w:t xml:space="preserve">' </w:t>
      </w:r>
      <w:r w:rsidRPr="00974030">
        <w:rPr>
          <w:rFonts w:hint="cs"/>
          <w:rtl/>
        </w:rPr>
        <w:t>סעיפים</w:t>
      </w:r>
      <w:r w:rsidRPr="00974030">
        <w:rPr>
          <w:rtl/>
        </w:rPr>
        <w:t xml:space="preserve">. </w:t>
      </w:r>
    </w:p>
    <w:p w14:paraId="012BF5F5"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א</w:t>
      </w:r>
    </w:p>
    <w:p w14:paraId="0E8778D2"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אוצר</w:t>
      </w:r>
      <w:r w:rsidRPr="00974030">
        <w:rPr>
          <w:rFonts w:asciiTheme="minorBidi" w:hAnsiTheme="minorBidi" w:cs="Arial"/>
          <w:rtl/>
        </w:rPr>
        <w:t xml:space="preserve"> </w:t>
      </w:r>
      <w:r w:rsidRPr="00974030">
        <w:rPr>
          <w:rFonts w:asciiTheme="minorBidi" w:hAnsiTheme="minorBidi" w:cs="Arial" w:hint="cs"/>
          <w:rtl/>
        </w:rPr>
        <w:t>של</w:t>
      </w:r>
      <w:r w:rsidRPr="00974030">
        <w:rPr>
          <w:rFonts w:asciiTheme="minorBidi" w:hAnsiTheme="minorBidi" w:cs="Arial"/>
          <w:rtl/>
        </w:rPr>
        <w:t xml:space="preserve"> </w:t>
      </w:r>
      <w:r w:rsidRPr="00974030">
        <w:rPr>
          <w:rFonts w:asciiTheme="minorBidi" w:hAnsiTheme="minorBidi" w:cs="Arial" w:hint="cs"/>
          <w:rtl/>
        </w:rPr>
        <w:t>תבואה</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של</w:t>
      </w:r>
      <w:r w:rsidRPr="00974030">
        <w:rPr>
          <w:rFonts w:asciiTheme="minorBidi" w:hAnsiTheme="minorBidi" w:cs="Arial"/>
          <w:rtl/>
        </w:rPr>
        <w:t xml:space="preserve"> </w:t>
      </w:r>
      <w:r w:rsidRPr="00974030">
        <w:rPr>
          <w:rFonts w:asciiTheme="minorBidi" w:hAnsiTheme="minorBidi" w:cs="Arial" w:hint="cs"/>
          <w:rtl/>
        </w:rPr>
        <w:t>כדי</w:t>
      </w:r>
      <w:r w:rsidRPr="00974030">
        <w:rPr>
          <w:rFonts w:asciiTheme="minorBidi" w:hAnsiTheme="minorBidi" w:cs="Arial"/>
          <w:rtl/>
        </w:rPr>
        <w:t xml:space="preserve"> </w:t>
      </w:r>
      <w:r w:rsidRPr="00974030">
        <w:rPr>
          <w:rFonts w:asciiTheme="minorBidi" w:hAnsiTheme="minorBidi" w:cs="Arial" w:hint="cs"/>
          <w:rtl/>
        </w:rPr>
        <w:t>יין</w:t>
      </w:r>
      <w:r w:rsidRPr="00974030">
        <w:rPr>
          <w:rFonts w:asciiTheme="minorBidi" w:hAnsiTheme="minorBidi" w:cs="Arial"/>
          <w:rtl/>
        </w:rPr>
        <w:t xml:space="preserve">, </w:t>
      </w:r>
      <w:r w:rsidRPr="00974030">
        <w:rPr>
          <w:rFonts w:asciiTheme="minorBidi" w:hAnsiTheme="minorBidi" w:cs="Arial" w:hint="cs"/>
          <w:rtl/>
        </w:rPr>
        <w:t>אף</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פי</w:t>
      </w:r>
      <w:r w:rsidRPr="00974030">
        <w:rPr>
          <w:rFonts w:asciiTheme="minorBidi" w:hAnsiTheme="minorBidi" w:cs="Arial"/>
          <w:rtl/>
        </w:rPr>
        <w:t xml:space="preserve"> </w:t>
      </w:r>
      <w:r w:rsidRPr="00974030">
        <w:rPr>
          <w:rFonts w:asciiTheme="minorBidi" w:hAnsiTheme="minorBidi" w:cs="Arial" w:hint="cs"/>
          <w:rtl/>
        </w:rPr>
        <w:t>שמותר</w:t>
      </w:r>
      <w:r w:rsidRPr="00974030">
        <w:rPr>
          <w:rFonts w:asciiTheme="minorBidi" w:hAnsiTheme="minorBidi" w:cs="Arial"/>
          <w:rtl/>
        </w:rPr>
        <w:t xml:space="preserve"> </w:t>
      </w:r>
      <w:r w:rsidRPr="00974030">
        <w:rPr>
          <w:rFonts w:asciiTheme="minorBidi" w:hAnsiTheme="minorBidi" w:cs="Arial" w:hint="cs"/>
          <w:rtl/>
        </w:rPr>
        <w:t>להסתפק</w:t>
      </w:r>
      <w:r w:rsidRPr="00974030">
        <w:rPr>
          <w:rFonts w:asciiTheme="minorBidi" w:hAnsiTheme="minorBidi" w:cs="Arial"/>
          <w:rtl/>
        </w:rPr>
        <w:t xml:space="preserve"> </w:t>
      </w:r>
      <w:r w:rsidRPr="00974030">
        <w:rPr>
          <w:rFonts w:asciiTheme="minorBidi" w:hAnsiTheme="minorBidi" w:cs="Arial" w:hint="cs"/>
          <w:rtl/>
        </w:rPr>
        <w:t>ממנו</w:t>
      </w:r>
      <w:r w:rsidRPr="00974030">
        <w:rPr>
          <w:rFonts w:asciiTheme="minorBidi" w:hAnsiTheme="minorBidi" w:cs="Arial"/>
          <w:rtl/>
        </w:rPr>
        <w:t xml:space="preserve"> </w:t>
      </w: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להתחיל</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לפנותו</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לדבר</w:t>
      </w:r>
      <w:r w:rsidRPr="00974030">
        <w:rPr>
          <w:rFonts w:asciiTheme="minorBidi" w:hAnsiTheme="minorBidi" w:cs="Arial"/>
          <w:rtl/>
        </w:rPr>
        <w:t xml:space="preserve"> </w:t>
      </w:r>
      <w:r w:rsidRPr="00974030">
        <w:rPr>
          <w:rFonts w:asciiTheme="minorBidi" w:hAnsiTheme="minorBidi" w:cs="Arial" w:hint="cs"/>
          <w:rtl/>
        </w:rPr>
        <w:t>מצוה</w:t>
      </w:r>
      <w:r w:rsidRPr="00974030">
        <w:rPr>
          <w:rFonts w:asciiTheme="minorBidi" w:hAnsiTheme="minorBidi" w:cs="Arial"/>
          <w:rtl/>
        </w:rPr>
        <w:t xml:space="preserve">, </w:t>
      </w:r>
      <w:r w:rsidRPr="00974030">
        <w:rPr>
          <w:rFonts w:asciiTheme="minorBidi" w:hAnsiTheme="minorBidi" w:cs="Arial" w:hint="cs"/>
          <w:rtl/>
        </w:rPr>
        <w:t>כגון</w:t>
      </w:r>
      <w:r w:rsidRPr="00974030">
        <w:rPr>
          <w:rFonts w:asciiTheme="minorBidi" w:hAnsiTheme="minorBidi" w:cs="Arial"/>
          <w:rtl/>
        </w:rPr>
        <w:t xml:space="preserve"> </w:t>
      </w:r>
      <w:r w:rsidRPr="00974030">
        <w:rPr>
          <w:rFonts w:asciiTheme="minorBidi" w:hAnsiTheme="minorBidi" w:cs="Arial" w:hint="cs"/>
          <w:rtl/>
        </w:rPr>
        <w:t>שפינהו</w:t>
      </w:r>
      <w:r w:rsidRPr="00974030">
        <w:rPr>
          <w:rFonts w:asciiTheme="minorBidi" w:hAnsiTheme="minorBidi" w:cs="Arial"/>
          <w:rtl/>
        </w:rPr>
        <w:t xml:space="preserve"> </w:t>
      </w:r>
      <w:r w:rsidRPr="00974030">
        <w:rPr>
          <w:rFonts w:asciiTheme="minorBidi" w:hAnsiTheme="minorBidi" w:cs="Arial" w:hint="cs"/>
          <w:rtl/>
        </w:rPr>
        <w:t>להכנסת</w:t>
      </w:r>
      <w:r w:rsidRPr="00974030">
        <w:rPr>
          <w:rFonts w:asciiTheme="minorBidi" w:hAnsiTheme="minorBidi" w:cs="Arial"/>
          <w:rtl/>
        </w:rPr>
        <w:t xml:space="preserve"> </w:t>
      </w:r>
      <w:r w:rsidRPr="00974030">
        <w:rPr>
          <w:rFonts w:asciiTheme="minorBidi" w:hAnsiTheme="minorBidi" w:cs="Arial" w:hint="cs"/>
          <w:rtl/>
        </w:rPr>
        <w:t>אורחים</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לקבוע</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בית</w:t>
      </w:r>
      <w:r w:rsidRPr="00974030">
        <w:rPr>
          <w:rFonts w:asciiTheme="minorBidi" w:hAnsiTheme="minorBidi" w:cs="Arial"/>
          <w:rtl/>
        </w:rPr>
        <w:t xml:space="preserve"> </w:t>
      </w:r>
      <w:r w:rsidRPr="00974030">
        <w:rPr>
          <w:rFonts w:asciiTheme="minorBidi" w:hAnsiTheme="minorBidi" w:cs="Arial" w:hint="cs"/>
          <w:rtl/>
        </w:rPr>
        <w:t>המדרש</w:t>
      </w:r>
      <w:r w:rsidRPr="00974030">
        <w:rPr>
          <w:rFonts w:asciiTheme="minorBidi" w:hAnsiTheme="minorBidi" w:cs="Arial"/>
          <w:rtl/>
        </w:rPr>
        <w:t xml:space="preserve">. </w:t>
      </w:r>
      <w:r w:rsidRPr="00974030">
        <w:rPr>
          <w:rFonts w:asciiTheme="minorBidi" w:hAnsiTheme="minorBidi" w:cs="Arial" w:hint="cs"/>
          <w:rtl/>
        </w:rPr>
        <w:t>וכיצד</w:t>
      </w:r>
      <w:r w:rsidRPr="00974030">
        <w:rPr>
          <w:rFonts w:asciiTheme="minorBidi" w:hAnsiTheme="minorBidi" w:cs="Arial"/>
          <w:rtl/>
        </w:rPr>
        <w:t xml:space="preserve"> </w:t>
      </w:r>
      <w:r w:rsidRPr="00974030">
        <w:rPr>
          <w:rFonts w:asciiTheme="minorBidi" w:hAnsiTheme="minorBidi" w:cs="Arial" w:hint="cs"/>
          <w:rtl/>
        </w:rPr>
        <w:t>מפנהו</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היה</w:t>
      </w:r>
      <w:r w:rsidRPr="00974030">
        <w:rPr>
          <w:rFonts w:asciiTheme="minorBidi" w:hAnsiTheme="minorBidi" w:cs="Arial"/>
          <w:rtl/>
        </w:rPr>
        <w:t xml:space="preserve"> </w:t>
      </w:r>
      <w:r w:rsidRPr="00974030">
        <w:rPr>
          <w:rFonts w:asciiTheme="minorBidi" w:hAnsiTheme="minorBidi" w:cs="Arial" w:hint="cs"/>
          <w:rtl/>
        </w:rPr>
        <w:t>האוצר</w:t>
      </w:r>
      <w:r w:rsidRPr="00974030">
        <w:rPr>
          <w:rFonts w:asciiTheme="minorBidi" w:hAnsiTheme="minorBidi" w:cs="Arial"/>
          <w:rtl/>
        </w:rPr>
        <w:t xml:space="preserve"> </w:t>
      </w:r>
      <w:r w:rsidRPr="00974030">
        <w:rPr>
          <w:rFonts w:asciiTheme="minorBidi" w:hAnsiTheme="minorBidi" w:cs="Arial" w:hint="cs"/>
          <w:rtl/>
        </w:rPr>
        <w:t>גדול</w:t>
      </w:r>
      <w:r w:rsidRPr="00974030">
        <w:rPr>
          <w:rFonts w:asciiTheme="minorBidi" w:hAnsiTheme="minorBidi" w:cs="Arial"/>
          <w:rtl/>
        </w:rPr>
        <w:t xml:space="preserve"> </w:t>
      </w:r>
      <w:r w:rsidRPr="00974030">
        <w:rPr>
          <w:rFonts w:asciiTheme="minorBidi" w:hAnsiTheme="minorBidi" w:cs="Arial" w:hint="cs"/>
          <w:rtl/>
        </w:rPr>
        <w:t>מפנה</w:t>
      </w:r>
      <w:r w:rsidRPr="00974030">
        <w:rPr>
          <w:rFonts w:asciiTheme="minorBidi" w:hAnsiTheme="minorBidi" w:cs="Arial"/>
          <w:rtl/>
        </w:rPr>
        <w:t xml:space="preserve"> </w:t>
      </w:r>
      <w:r w:rsidRPr="00974030">
        <w:rPr>
          <w:rFonts w:asciiTheme="minorBidi" w:hAnsiTheme="minorBidi" w:cs="Arial" w:hint="cs"/>
          <w:rtl/>
        </w:rPr>
        <w:t>ממנו</w:t>
      </w:r>
      <w:r w:rsidRPr="00974030">
        <w:rPr>
          <w:rFonts w:asciiTheme="minorBidi" w:hAnsiTheme="minorBidi" w:cs="Arial"/>
          <w:rtl/>
        </w:rPr>
        <w:t xml:space="preserve"> </w:t>
      </w:r>
      <w:r w:rsidRPr="00974030">
        <w:rPr>
          <w:rFonts w:asciiTheme="minorBidi" w:hAnsiTheme="minorBidi" w:cs="Arial" w:hint="cs"/>
          <w:rtl/>
        </w:rPr>
        <w:t>חמשה</w:t>
      </w:r>
      <w:r w:rsidRPr="00974030">
        <w:rPr>
          <w:rFonts w:asciiTheme="minorBidi" w:hAnsiTheme="minorBidi" w:cs="Arial"/>
          <w:rtl/>
        </w:rPr>
        <w:t xml:space="preserve"> </w:t>
      </w:r>
      <w:r w:rsidRPr="00974030">
        <w:rPr>
          <w:rFonts w:asciiTheme="minorBidi" w:hAnsiTheme="minorBidi" w:cs="Arial" w:hint="cs"/>
          <w:rtl/>
        </w:rPr>
        <w:t>קופות</w:t>
      </w:r>
      <w:r w:rsidRPr="00974030">
        <w:rPr>
          <w:rFonts w:asciiTheme="minorBidi" w:hAnsiTheme="minorBidi" w:cs="Arial"/>
          <w:rtl/>
        </w:rPr>
        <w:t xml:space="preserve"> (</w:t>
      </w:r>
      <w:r w:rsidRPr="00974030">
        <w:rPr>
          <w:rFonts w:asciiTheme="minorBidi" w:hAnsiTheme="minorBidi" w:cs="Arial" w:hint="cs"/>
          <w:rtl/>
        </w:rPr>
        <w:t>שבכל</w:t>
      </w:r>
      <w:r w:rsidRPr="00974030">
        <w:rPr>
          <w:rFonts w:asciiTheme="minorBidi" w:hAnsiTheme="minorBidi" w:cs="Arial"/>
          <w:rtl/>
        </w:rPr>
        <w:t xml:space="preserve"> </w:t>
      </w:r>
      <w:r w:rsidRPr="00974030">
        <w:rPr>
          <w:rFonts w:asciiTheme="minorBidi" w:hAnsiTheme="minorBidi" w:cs="Arial" w:hint="cs"/>
          <w:rtl/>
        </w:rPr>
        <w:t>קופה</w:t>
      </w:r>
      <w:r w:rsidRPr="00974030">
        <w:rPr>
          <w:rFonts w:asciiTheme="minorBidi" w:hAnsiTheme="minorBidi" w:cs="Arial"/>
          <w:rtl/>
        </w:rPr>
        <w:t xml:space="preserve"> </w:t>
      </w:r>
      <w:r w:rsidRPr="00974030">
        <w:rPr>
          <w:rFonts w:asciiTheme="minorBidi" w:hAnsiTheme="minorBidi" w:cs="Arial" w:hint="cs"/>
          <w:rtl/>
        </w:rPr>
        <w:t>שלש</w:t>
      </w:r>
      <w:r w:rsidRPr="00974030">
        <w:rPr>
          <w:rFonts w:asciiTheme="minorBidi" w:hAnsiTheme="minorBidi" w:cs="Arial"/>
          <w:rtl/>
        </w:rPr>
        <w:t xml:space="preserve"> </w:t>
      </w:r>
      <w:r w:rsidRPr="00974030">
        <w:rPr>
          <w:rFonts w:asciiTheme="minorBidi" w:hAnsiTheme="minorBidi" w:cs="Arial" w:hint="cs"/>
          <w:rtl/>
        </w:rPr>
        <w:t>סאים</w:t>
      </w:r>
      <w:r w:rsidRPr="00974030">
        <w:rPr>
          <w:rFonts w:asciiTheme="minorBidi" w:hAnsiTheme="minorBidi" w:cs="Arial"/>
          <w:rtl/>
        </w:rPr>
        <w:t>) (</w:t>
      </w:r>
      <w:r w:rsidRPr="00974030">
        <w:rPr>
          <w:rFonts w:asciiTheme="minorBidi" w:hAnsiTheme="minorBidi" w:cs="Arial" w:hint="cs"/>
          <w:rtl/>
        </w:rPr>
        <w:t>הגהות</w:t>
      </w:r>
      <w:r w:rsidRPr="00974030">
        <w:rPr>
          <w:rFonts w:asciiTheme="minorBidi" w:hAnsiTheme="minorBidi" w:cs="Arial"/>
          <w:rtl/>
        </w:rPr>
        <w:t xml:space="preserve"> </w:t>
      </w:r>
      <w:r w:rsidRPr="00974030">
        <w:rPr>
          <w:rFonts w:asciiTheme="minorBidi" w:hAnsiTheme="minorBidi" w:cs="Arial" w:hint="cs"/>
          <w:rtl/>
        </w:rPr>
        <w:t>מרדכי</w:t>
      </w:r>
      <w:r w:rsidRPr="00974030">
        <w:rPr>
          <w:rFonts w:asciiTheme="minorBidi" w:hAnsiTheme="minorBidi" w:cs="Arial"/>
          <w:rtl/>
        </w:rPr>
        <w:t xml:space="preserve"> </w:t>
      </w:r>
      <w:r w:rsidRPr="00974030">
        <w:rPr>
          <w:rFonts w:asciiTheme="minorBidi" w:hAnsiTheme="minorBidi" w:cs="Arial" w:hint="cs"/>
          <w:rtl/>
        </w:rPr>
        <w:t>ור</w:t>
      </w:r>
      <w:r w:rsidRPr="00974030">
        <w:rPr>
          <w:rFonts w:asciiTheme="minorBidi" w:hAnsiTheme="minorBidi" w:cs="Arial"/>
          <w:rtl/>
        </w:rPr>
        <w:t>"</w:t>
      </w:r>
      <w:r w:rsidRPr="00974030">
        <w:rPr>
          <w:rFonts w:asciiTheme="minorBidi" w:hAnsiTheme="minorBidi" w:cs="Arial" w:hint="cs"/>
          <w:rtl/>
        </w:rPr>
        <w:t>ן</w:t>
      </w:r>
      <w:r w:rsidRPr="00974030">
        <w:rPr>
          <w:rFonts w:asciiTheme="minorBidi" w:hAnsiTheme="minorBidi" w:cs="Arial"/>
          <w:rtl/>
        </w:rPr>
        <w:t xml:space="preserve"> </w:t>
      </w:r>
      <w:r w:rsidRPr="00974030">
        <w:rPr>
          <w:rFonts w:asciiTheme="minorBidi" w:hAnsiTheme="minorBidi" w:cs="Arial" w:hint="cs"/>
          <w:rtl/>
        </w:rPr>
        <w:t>פרק</w:t>
      </w:r>
      <w:r w:rsidRPr="00974030">
        <w:rPr>
          <w:rFonts w:asciiTheme="minorBidi" w:hAnsiTheme="minorBidi" w:cs="Arial"/>
          <w:rtl/>
        </w:rPr>
        <w:t xml:space="preserve"> </w:t>
      </w:r>
      <w:r w:rsidRPr="00974030">
        <w:rPr>
          <w:rFonts w:asciiTheme="minorBidi" w:hAnsiTheme="minorBidi" w:cs="Arial" w:hint="cs"/>
          <w:rtl/>
        </w:rPr>
        <w:t>מפנין</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היה</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חמשה</w:t>
      </w:r>
      <w:r w:rsidRPr="00974030">
        <w:rPr>
          <w:rFonts w:asciiTheme="minorBidi" w:hAnsiTheme="minorBidi" w:cs="Arial"/>
          <w:rtl/>
        </w:rPr>
        <w:t xml:space="preserve"> </w:t>
      </w:r>
      <w:r w:rsidRPr="00974030">
        <w:rPr>
          <w:rFonts w:asciiTheme="minorBidi" w:hAnsiTheme="minorBidi" w:cs="Arial" w:hint="cs"/>
          <w:rtl/>
        </w:rPr>
        <w:t>קופות</w:t>
      </w:r>
      <w:r w:rsidRPr="00974030">
        <w:rPr>
          <w:rFonts w:asciiTheme="minorBidi" w:hAnsiTheme="minorBidi" w:cs="Arial"/>
          <w:rtl/>
        </w:rPr>
        <w:t xml:space="preserve">, </w:t>
      </w:r>
      <w:r w:rsidRPr="00974030">
        <w:rPr>
          <w:rFonts w:asciiTheme="minorBidi" w:hAnsiTheme="minorBidi" w:cs="Arial" w:hint="cs"/>
          <w:rtl/>
        </w:rPr>
        <w:t>מפנה</w:t>
      </w:r>
      <w:r w:rsidRPr="00974030">
        <w:rPr>
          <w:rFonts w:asciiTheme="minorBidi" w:hAnsiTheme="minorBidi" w:cs="Arial"/>
          <w:rtl/>
        </w:rPr>
        <w:t xml:space="preserve"> </w:t>
      </w:r>
      <w:r w:rsidRPr="00974030">
        <w:rPr>
          <w:rFonts w:asciiTheme="minorBidi" w:hAnsiTheme="minorBidi" w:cs="Arial" w:hint="cs"/>
          <w:rtl/>
        </w:rPr>
        <w:t>מהם</w:t>
      </w:r>
      <w:r w:rsidRPr="00974030">
        <w:rPr>
          <w:rFonts w:asciiTheme="minorBidi" w:hAnsiTheme="minorBidi" w:cs="Arial"/>
          <w:rtl/>
        </w:rPr>
        <w:t xml:space="preserve"> </w:t>
      </w:r>
      <w:r w:rsidRPr="00974030">
        <w:rPr>
          <w:rFonts w:asciiTheme="minorBidi" w:hAnsiTheme="minorBidi" w:cs="Arial" w:hint="cs"/>
          <w:rtl/>
        </w:rPr>
        <w:t>ארבעה</w:t>
      </w:r>
      <w:r w:rsidRPr="00974030">
        <w:rPr>
          <w:rFonts w:asciiTheme="minorBidi" w:hAnsiTheme="minorBidi" w:cs="Arial"/>
          <w:rtl/>
        </w:rPr>
        <w:t xml:space="preserve"> </w:t>
      </w:r>
      <w:r w:rsidRPr="00974030">
        <w:rPr>
          <w:rFonts w:asciiTheme="minorBidi" w:hAnsiTheme="minorBidi" w:cs="Arial" w:hint="cs"/>
          <w:rtl/>
        </w:rPr>
        <w:t>קופות</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כולו</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יפנה</w:t>
      </w:r>
      <w:r w:rsidRPr="00974030">
        <w:rPr>
          <w:rFonts w:asciiTheme="minorBidi" w:hAnsiTheme="minorBidi" w:cs="Arial"/>
          <w:rtl/>
        </w:rPr>
        <w:t xml:space="preserve"> </w:t>
      </w:r>
      <w:r w:rsidRPr="00974030">
        <w:rPr>
          <w:rFonts w:asciiTheme="minorBidi" w:hAnsiTheme="minorBidi" w:cs="Arial" w:hint="cs"/>
          <w:rtl/>
        </w:rPr>
        <w:t>שמא</w:t>
      </w:r>
      <w:r w:rsidRPr="00974030">
        <w:rPr>
          <w:rFonts w:asciiTheme="minorBidi" w:hAnsiTheme="minorBidi" w:cs="Arial"/>
          <w:rtl/>
        </w:rPr>
        <w:t xml:space="preserve"> </w:t>
      </w:r>
      <w:r w:rsidRPr="00974030">
        <w:rPr>
          <w:rFonts w:asciiTheme="minorBidi" w:hAnsiTheme="minorBidi" w:cs="Arial" w:hint="cs"/>
          <w:rtl/>
        </w:rPr>
        <w:t>יבא</w:t>
      </w:r>
      <w:r w:rsidRPr="00974030">
        <w:rPr>
          <w:rFonts w:asciiTheme="minorBidi" w:hAnsiTheme="minorBidi" w:cs="Arial"/>
          <w:rtl/>
        </w:rPr>
        <w:t xml:space="preserve"> </w:t>
      </w:r>
      <w:r w:rsidRPr="00974030">
        <w:rPr>
          <w:rFonts w:asciiTheme="minorBidi" w:hAnsiTheme="minorBidi" w:cs="Arial" w:hint="cs"/>
          <w:rtl/>
        </w:rPr>
        <w:t>להשוות</w:t>
      </w:r>
      <w:r w:rsidRPr="00974030">
        <w:rPr>
          <w:rFonts w:asciiTheme="minorBidi" w:hAnsiTheme="minorBidi" w:cs="Arial"/>
          <w:rtl/>
        </w:rPr>
        <w:t xml:space="preserve"> </w:t>
      </w:r>
      <w:r w:rsidRPr="00974030">
        <w:rPr>
          <w:rFonts w:asciiTheme="minorBidi" w:hAnsiTheme="minorBidi" w:cs="Arial" w:hint="cs"/>
          <w:rtl/>
        </w:rPr>
        <w:t>גומות</w:t>
      </w:r>
      <w:r w:rsidRPr="00974030">
        <w:rPr>
          <w:rFonts w:asciiTheme="minorBidi" w:hAnsiTheme="minorBidi" w:cs="Arial"/>
          <w:rtl/>
        </w:rPr>
        <w:t xml:space="preserve">. </w:t>
      </w:r>
      <w:r w:rsidRPr="00974030">
        <w:rPr>
          <w:rFonts w:asciiTheme="minorBidi" w:hAnsiTheme="minorBidi" w:cs="Arial" w:hint="cs"/>
          <w:rtl/>
        </w:rPr>
        <w:t>הגה</w:t>
      </w:r>
      <w:r w:rsidRPr="00974030">
        <w:rPr>
          <w:rFonts w:asciiTheme="minorBidi" w:hAnsiTheme="minorBidi" w:cs="Arial"/>
          <w:rtl/>
        </w:rPr>
        <w:t xml:space="preserve">: </w:t>
      </w:r>
      <w:r w:rsidRPr="00974030">
        <w:rPr>
          <w:rFonts w:asciiTheme="minorBidi" w:hAnsiTheme="minorBidi" w:cs="Arial" w:hint="cs"/>
          <w:rtl/>
        </w:rPr>
        <w:t>וכל</w:t>
      </w:r>
      <w:r w:rsidRPr="00974030">
        <w:rPr>
          <w:rFonts w:asciiTheme="minorBidi" w:hAnsiTheme="minorBidi" w:cs="Arial"/>
          <w:rtl/>
        </w:rPr>
        <w:t xml:space="preserve"> </w:t>
      </w:r>
      <w:r w:rsidRPr="00974030">
        <w:rPr>
          <w:rFonts w:asciiTheme="minorBidi" w:hAnsiTheme="minorBidi" w:cs="Arial" w:hint="cs"/>
          <w:rtl/>
        </w:rPr>
        <w:t>שבות</w:t>
      </w:r>
      <w:r w:rsidRPr="00974030">
        <w:rPr>
          <w:rFonts w:asciiTheme="minorBidi" w:hAnsiTheme="minorBidi" w:cs="Arial"/>
          <w:rtl/>
        </w:rPr>
        <w:t xml:space="preserve"> </w:t>
      </w:r>
      <w:r w:rsidRPr="00974030">
        <w:rPr>
          <w:rFonts w:asciiTheme="minorBidi" w:hAnsiTheme="minorBidi" w:cs="Arial" w:hint="cs"/>
          <w:rtl/>
        </w:rPr>
        <w:t>שהתירו</w:t>
      </w:r>
      <w:r w:rsidRPr="00974030">
        <w:rPr>
          <w:rFonts w:asciiTheme="minorBidi" w:hAnsiTheme="minorBidi" w:cs="Arial"/>
          <w:rtl/>
        </w:rPr>
        <w:t xml:space="preserve"> </w:t>
      </w:r>
      <w:r w:rsidRPr="00974030">
        <w:rPr>
          <w:rFonts w:asciiTheme="minorBidi" w:hAnsiTheme="minorBidi" w:cs="Arial" w:hint="cs"/>
          <w:rtl/>
        </w:rPr>
        <w:t>משום</w:t>
      </w:r>
      <w:r w:rsidRPr="00974030">
        <w:rPr>
          <w:rFonts w:asciiTheme="minorBidi" w:hAnsiTheme="minorBidi" w:cs="Arial"/>
          <w:rtl/>
        </w:rPr>
        <w:t xml:space="preserve"> </w:t>
      </w:r>
      <w:r w:rsidRPr="00974030">
        <w:rPr>
          <w:rFonts w:asciiTheme="minorBidi" w:hAnsiTheme="minorBidi" w:cs="Arial" w:hint="cs"/>
          <w:rtl/>
        </w:rPr>
        <w:t>צורך</w:t>
      </w:r>
      <w:r w:rsidRPr="00974030">
        <w:rPr>
          <w:rFonts w:asciiTheme="minorBidi" w:hAnsiTheme="minorBidi" w:cs="Arial"/>
          <w:rtl/>
        </w:rPr>
        <w:t xml:space="preserve"> </w:t>
      </w:r>
      <w:r w:rsidRPr="00974030">
        <w:rPr>
          <w:rFonts w:asciiTheme="minorBidi" w:hAnsiTheme="minorBidi" w:cs="Arial" w:hint="cs"/>
          <w:rtl/>
        </w:rPr>
        <w:t>מצוה</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ג</w:t>
      </w:r>
      <w:r w:rsidRPr="00974030">
        <w:rPr>
          <w:rFonts w:asciiTheme="minorBidi" w:hAnsiTheme="minorBidi" w:cs="Arial"/>
          <w:rtl/>
        </w:rPr>
        <w:t>"</w:t>
      </w:r>
      <w:r w:rsidRPr="00974030">
        <w:rPr>
          <w:rFonts w:asciiTheme="minorBidi" w:hAnsiTheme="minorBidi" w:cs="Arial" w:hint="cs"/>
          <w:rtl/>
        </w:rPr>
        <w:t>כ</w:t>
      </w:r>
      <w:r w:rsidRPr="00974030">
        <w:rPr>
          <w:rFonts w:asciiTheme="minorBidi" w:hAnsiTheme="minorBidi" w:cs="Arial"/>
          <w:rtl/>
        </w:rPr>
        <w:t xml:space="preserve"> </w:t>
      </w:r>
      <w:r w:rsidRPr="00974030">
        <w:rPr>
          <w:rFonts w:asciiTheme="minorBidi" w:hAnsiTheme="minorBidi" w:cs="Arial" w:hint="cs"/>
          <w:rtl/>
        </w:rPr>
        <w:t>לצורך</w:t>
      </w:r>
      <w:r w:rsidRPr="00974030">
        <w:rPr>
          <w:rFonts w:asciiTheme="minorBidi" w:hAnsiTheme="minorBidi" w:cs="Arial"/>
          <w:rtl/>
        </w:rPr>
        <w:t xml:space="preserve"> </w:t>
      </w:r>
      <w:r w:rsidRPr="00974030">
        <w:rPr>
          <w:rFonts w:asciiTheme="minorBidi" w:hAnsiTheme="minorBidi" w:cs="Arial" w:hint="cs"/>
          <w:rtl/>
        </w:rPr>
        <w:t>אורחים</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מקרי</w:t>
      </w:r>
      <w:r w:rsidRPr="00974030">
        <w:rPr>
          <w:rFonts w:asciiTheme="minorBidi" w:hAnsiTheme="minorBidi" w:cs="Arial"/>
          <w:rtl/>
        </w:rPr>
        <w:t xml:space="preserve"> </w:t>
      </w:r>
      <w:r w:rsidRPr="00974030">
        <w:rPr>
          <w:rFonts w:asciiTheme="minorBidi" w:hAnsiTheme="minorBidi" w:cs="Arial" w:hint="cs"/>
          <w:rtl/>
        </w:rPr>
        <w:t>אורחים</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שנתארחו</w:t>
      </w:r>
      <w:r w:rsidRPr="00974030">
        <w:rPr>
          <w:rFonts w:asciiTheme="minorBidi" w:hAnsiTheme="minorBidi" w:cs="Arial"/>
          <w:rtl/>
        </w:rPr>
        <w:t xml:space="preserve"> </w:t>
      </w:r>
      <w:r w:rsidRPr="00974030">
        <w:rPr>
          <w:rFonts w:asciiTheme="minorBidi" w:hAnsiTheme="minorBidi" w:cs="Arial" w:hint="cs"/>
          <w:rtl/>
        </w:rPr>
        <w:t>אצלו</w:t>
      </w:r>
      <w:r w:rsidRPr="00974030">
        <w:rPr>
          <w:rFonts w:asciiTheme="minorBidi" w:hAnsiTheme="minorBidi" w:cs="Arial"/>
          <w:rtl/>
        </w:rPr>
        <w:t xml:space="preserve"> </w:t>
      </w:r>
      <w:r w:rsidRPr="00974030">
        <w:rPr>
          <w:rFonts w:asciiTheme="minorBidi" w:hAnsiTheme="minorBidi" w:cs="Arial" w:hint="cs"/>
          <w:rtl/>
        </w:rPr>
        <w:t>בביתו</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שזימן</w:t>
      </w:r>
      <w:r w:rsidRPr="00974030">
        <w:rPr>
          <w:rFonts w:asciiTheme="minorBidi" w:hAnsiTheme="minorBidi" w:cs="Arial"/>
          <w:rtl/>
        </w:rPr>
        <w:t xml:space="preserve"> </w:t>
      </w:r>
      <w:r w:rsidRPr="00974030">
        <w:rPr>
          <w:rFonts w:asciiTheme="minorBidi" w:hAnsiTheme="minorBidi" w:cs="Arial" w:hint="cs"/>
          <w:rtl/>
        </w:rPr>
        <w:t>אורחים</w:t>
      </w:r>
      <w:r w:rsidRPr="00974030">
        <w:rPr>
          <w:rFonts w:asciiTheme="minorBidi" w:hAnsiTheme="minorBidi" w:cs="Arial"/>
          <w:rtl/>
        </w:rPr>
        <w:t xml:space="preserve"> </w:t>
      </w:r>
      <w:r w:rsidRPr="00974030">
        <w:rPr>
          <w:rFonts w:asciiTheme="minorBidi" w:hAnsiTheme="minorBidi" w:cs="Arial" w:hint="cs"/>
          <w:rtl/>
        </w:rPr>
        <w:t>שנתארחו</w:t>
      </w:r>
      <w:r w:rsidRPr="00974030">
        <w:rPr>
          <w:rFonts w:asciiTheme="minorBidi" w:hAnsiTheme="minorBidi" w:cs="Arial"/>
          <w:rtl/>
        </w:rPr>
        <w:t xml:space="preserve"> </w:t>
      </w:r>
      <w:r w:rsidRPr="00974030">
        <w:rPr>
          <w:rFonts w:asciiTheme="minorBidi" w:hAnsiTheme="minorBidi" w:cs="Arial" w:hint="cs"/>
          <w:rtl/>
        </w:rPr>
        <w:t>אצל</w:t>
      </w:r>
      <w:r w:rsidRPr="00974030">
        <w:rPr>
          <w:rFonts w:asciiTheme="minorBidi" w:hAnsiTheme="minorBidi" w:cs="Arial"/>
          <w:rtl/>
        </w:rPr>
        <w:t xml:space="preserve"> </w:t>
      </w:r>
      <w:r w:rsidRPr="00974030">
        <w:rPr>
          <w:rFonts w:asciiTheme="minorBidi" w:hAnsiTheme="minorBidi" w:cs="Arial" w:hint="cs"/>
          <w:rtl/>
        </w:rPr>
        <w:t>אחרים</w:t>
      </w:r>
      <w:r w:rsidRPr="00974030">
        <w:rPr>
          <w:rFonts w:asciiTheme="minorBidi" w:hAnsiTheme="minorBidi" w:cs="Arial"/>
          <w:rtl/>
        </w:rPr>
        <w:t xml:space="preserve"> (</w:t>
      </w:r>
      <w:r w:rsidRPr="00974030">
        <w:rPr>
          <w:rFonts w:asciiTheme="minorBidi" w:hAnsiTheme="minorBidi" w:cs="Arial" w:hint="cs"/>
          <w:rtl/>
        </w:rPr>
        <w:t>תרומת</w:t>
      </w:r>
      <w:r w:rsidRPr="00974030">
        <w:rPr>
          <w:rFonts w:asciiTheme="minorBidi" w:hAnsiTheme="minorBidi" w:cs="Arial"/>
          <w:rtl/>
        </w:rPr>
        <w:t xml:space="preserve"> </w:t>
      </w:r>
      <w:r w:rsidRPr="00974030">
        <w:rPr>
          <w:rFonts w:asciiTheme="minorBidi" w:hAnsiTheme="minorBidi" w:cs="Arial" w:hint="cs"/>
          <w:rtl/>
        </w:rPr>
        <w:t>הדשן</w:t>
      </w:r>
      <w:r w:rsidRPr="00974030">
        <w:rPr>
          <w:rFonts w:asciiTheme="minorBidi" w:hAnsiTheme="minorBidi" w:cs="Arial"/>
          <w:rtl/>
        </w:rPr>
        <w:t xml:space="preserve"> </w:t>
      </w:r>
      <w:r w:rsidRPr="00974030">
        <w:rPr>
          <w:rFonts w:asciiTheme="minorBidi" w:hAnsiTheme="minorBidi" w:cs="Arial" w:hint="cs"/>
          <w:rtl/>
        </w:rPr>
        <w:t>סי</w:t>
      </w:r>
      <w:r w:rsidRPr="00974030">
        <w:rPr>
          <w:rFonts w:asciiTheme="minorBidi" w:hAnsiTheme="minorBidi" w:cs="Arial"/>
          <w:rtl/>
        </w:rPr>
        <w:t xml:space="preserve">' </w:t>
      </w:r>
      <w:r w:rsidRPr="00974030">
        <w:rPr>
          <w:rFonts w:asciiTheme="minorBidi" w:hAnsiTheme="minorBidi" w:cs="Arial" w:hint="cs"/>
          <w:rtl/>
        </w:rPr>
        <w:t>ע</w:t>
      </w:r>
      <w:r w:rsidRPr="00974030">
        <w:rPr>
          <w:rFonts w:asciiTheme="minorBidi" w:hAnsiTheme="minorBidi" w:cs="Arial"/>
          <w:rtl/>
        </w:rPr>
        <w:t>"</w:t>
      </w:r>
      <w:r w:rsidRPr="00974030">
        <w:rPr>
          <w:rFonts w:asciiTheme="minorBidi" w:hAnsiTheme="minorBidi" w:cs="Arial" w:hint="cs"/>
          <w:rtl/>
        </w:rPr>
        <w:t>ב</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כשזימן</w:t>
      </w:r>
      <w:r w:rsidRPr="00974030">
        <w:rPr>
          <w:rFonts w:asciiTheme="minorBidi" w:hAnsiTheme="minorBidi" w:cs="Arial"/>
          <w:rtl/>
        </w:rPr>
        <w:t xml:space="preserve"> </w:t>
      </w:r>
      <w:r w:rsidRPr="00974030">
        <w:rPr>
          <w:rFonts w:asciiTheme="minorBidi" w:hAnsiTheme="minorBidi" w:cs="Arial" w:hint="cs"/>
          <w:rtl/>
        </w:rPr>
        <w:t>חבירו</w:t>
      </w:r>
      <w:r w:rsidRPr="00974030">
        <w:rPr>
          <w:rFonts w:asciiTheme="minorBidi" w:hAnsiTheme="minorBidi" w:cs="Arial"/>
          <w:rtl/>
        </w:rPr>
        <w:t xml:space="preserve"> </w:t>
      </w:r>
      <w:r w:rsidRPr="00974030">
        <w:rPr>
          <w:rFonts w:asciiTheme="minorBidi" w:hAnsiTheme="minorBidi" w:cs="Arial" w:hint="cs"/>
          <w:rtl/>
        </w:rPr>
        <w:t>לסעוד</w:t>
      </w:r>
      <w:r w:rsidRPr="00974030">
        <w:rPr>
          <w:rFonts w:asciiTheme="minorBidi" w:hAnsiTheme="minorBidi" w:cs="Arial"/>
          <w:rtl/>
        </w:rPr>
        <w:t xml:space="preserve"> </w:t>
      </w:r>
      <w:r w:rsidRPr="00974030">
        <w:rPr>
          <w:rFonts w:asciiTheme="minorBidi" w:hAnsiTheme="minorBidi" w:cs="Arial" w:hint="cs"/>
          <w:rtl/>
        </w:rPr>
        <w:t>אצלו</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מקרי</w:t>
      </w:r>
      <w:r w:rsidRPr="00974030">
        <w:rPr>
          <w:rFonts w:asciiTheme="minorBidi" w:hAnsiTheme="minorBidi" w:cs="Arial"/>
          <w:rtl/>
        </w:rPr>
        <w:t xml:space="preserve"> </w:t>
      </w:r>
      <w:r w:rsidRPr="00974030">
        <w:rPr>
          <w:rFonts w:asciiTheme="minorBidi" w:hAnsiTheme="minorBidi" w:cs="Arial" w:hint="cs"/>
          <w:rtl/>
        </w:rPr>
        <w:t>אורחים</w:t>
      </w:r>
      <w:r w:rsidRPr="00974030">
        <w:rPr>
          <w:rFonts w:asciiTheme="minorBidi" w:hAnsiTheme="minorBidi" w:cs="Arial"/>
          <w:rtl/>
        </w:rPr>
        <w:t xml:space="preserve"> </w:t>
      </w:r>
      <w:r w:rsidRPr="00974030">
        <w:rPr>
          <w:rFonts w:asciiTheme="minorBidi" w:hAnsiTheme="minorBidi" w:cs="Arial" w:hint="cs"/>
          <w:rtl/>
        </w:rPr>
        <w:t>ואינו</w:t>
      </w:r>
      <w:r w:rsidRPr="00974030">
        <w:rPr>
          <w:rFonts w:asciiTheme="minorBidi" w:hAnsiTheme="minorBidi" w:cs="Arial"/>
          <w:rtl/>
        </w:rPr>
        <w:t xml:space="preserve"> </w:t>
      </w:r>
      <w:r w:rsidRPr="00974030">
        <w:rPr>
          <w:rFonts w:asciiTheme="minorBidi" w:hAnsiTheme="minorBidi" w:cs="Arial" w:hint="cs"/>
          <w:rtl/>
        </w:rPr>
        <w:t>סעודת</w:t>
      </w:r>
      <w:r w:rsidRPr="00974030">
        <w:rPr>
          <w:rFonts w:asciiTheme="minorBidi" w:hAnsiTheme="minorBidi" w:cs="Arial"/>
          <w:rtl/>
        </w:rPr>
        <w:t xml:space="preserve"> </w:t>
      </w:r>
      <w:r w:rsidRPr="00974030">
        <w:rPr>
          <w:rFonts w:asciiTheme="minorBidi" w:hAnsiTheme="minorBidi" w:cs="Arial" w:hint="cs"/>
          <w:rtl/>
        </w:rPr>
        <w:t>מצוה</w:t>
      </w:r>
      <w:r w:rsidRPr="00974030">
        <w:rPr>
          <w:rFonts w:asciiTheme="minorBidi" w:hAnsiTheme="minorBidi" w:cs="Arial"/>
          <w:rtl/>
        </w:rPr>
        <w:t xml:space="preserve"> </w:t>
      </w:r>
      <w:r w:rsidRPr="00974030">
        <w:rPr>
          <w:rFonts w:asciiTheme="minorBidi" w:hAnsiTheme="minorBidi" w:cs="Arial" w:hint="cs"/>
          <w:rtl/>
        </w:rPr>
        <w:t>רק</w:t>
      </w:r>
      <w:r w:rsidRPr="00974030">
        <w:rPr>
          <w:rFonts w:asciiTheme="minorBidi" w:hAnsiTheme="minorBidi" w:cs="Arial"/>
          <w:rtl/>
        </w:rPr>
        <w:t xml:space="preserve"> </w:t>
      </w:r>
      <w:r w:rsidRPr="00974030">
        <w:rPr>
          <w:rFonts w:asciiTheme="minorBidi" w:hAnsiTheme="minorBidi" w:cs="Arial" w:hint="cs"/>
          <w:rtl/>
        </w:rPr>
        <w:t>סעודת</w:t>
      </w:r>
      <w:r w:rsidRPr="00974030">
        <w:rPr>
          <w:rFonts w:asciiTheme="minorBidi" w:hAnsiTheme="minorBidi" w:cs="Arial"/>
          <w:rtl/>
        </w:rPr>
        <w:t xml:space="preserve"> </w:t>
      </w:r>
      <w:r w:rsidRPr="00974030">
        <w:rPr>
          <w:rFonts w:asciiTheme="minorBidi" w:hAnsiTheme="minorBidi" w:cs="Arial" w:hint="cs"/>
          <w:rtl/>
        </w:rPr>
        <w:t>רשות</w:t>
      </w:r>
      <w:r w:rsidRPr="00974030">
        <w:rPr>
          <w:rFonts w:asciiTheme="minorBidi" w:hAnsiTheme="minorBidi" w:cs="Arial"/>
          <w:rtl/>
        </w:rPr>
        <w:t xml:space="preserve">. </w:t>
      </w:r>
    </w:p>
    <w:p w14:paraId="7E32C855"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ב</w:t>
      </w:r>
    </w:p>
    <w:p w14:paraId="7D3C6B7C"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כשמפנה</w:t>
      </w:r>
      <w:r w:rsidRPr="00974030">
        <w:rPr>
          <w:rFonts w:asciiTheme="minorBidi" w:hAnsiTheme="minorBidi" w:cs="Arial"/>
          <w:rtl/>
        </w:rPr>
        <w:t xml:space="preserve"> </w:t>
      </w:r>
      <w:r w:rsidRPr="00974030">
        <w:rPr>
          <w:rFonts w:asciiTheme="minorBidi" w:hAnsiTheme="minorBidi" w:cs="Arial" w:hint="cs"/>
          <w:rtl/>
        </w:rPr>
        <w:t>אלו</w:t>
      </w:r>
      <w:r w:rsidRPr="00974030">
        <w:rPr>
          <w:rFonts w:asciiTheme="minorBidi" w:hAnsiTheme="minorBidi" w:cs="Arial"/>
          <w:rtl/>
        </w:rPr>
        <w:t xml:space="preserve"> </w:t>
      </w:r>
      <w:r w:rsidRPr="00974030">
        <w:rPr>
          <w:rFonts w:asciiTheme="minorBidi" w:hAnsiTheme="minorBidi" w:cs="Arial" w:hint="cs"/>
          <w:rtl/>
        </w:rPr>
        <w:t>ארבעה</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חמשה</w:t>
      </w:r>
      <w:r w:rsidRPr="00974030">
        <w:rPr>
          <w:rFonts w:asciiTheme="minorBidi" w:hAnsiTheme="minorBidi" w:cs="Arial"/>
          <w:rtl/>
        </w:rPr>
        <w:t xml:space="preserve"> </w:t>
      </w:r>
      <w:r w:rsidRPr="00974030">
        <w:rPr>
          <w:rFonts w:asciiTheme="minorBidi" w:hAnsiTheme="minorBidi" w:cs="Arial" w:hint="cs"/>
          <w:rtl/>
        </w:rPr>
        <w:t>קופות</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יחלקם</w:t>
      </w:r>
      <w:r w:rsidRPr="00974030">
        <w:rPr>
          <w:rFonts w:asciiTheme="minorBidi" w:hAnsiTheme="minorBidi" w:cs="Arial"/>
          <w:rtl/>
        </w:rPr>
        <w:t xml:space="preserve"> </w:t>
      </w:r>
      <w:r w:rsidRPr="00974030">
        <w:rPr>
          <w:rFonts w:asciiTheme="minorBidi" w:hAnsiTheme="minorBidi" w:cs="Arial" w:hint="cs"/>
          <w:rtl/>
        </w:rPr>
        <w:t>בקופות</w:t>
      </w:r>
      <w:r w:rsidRPr="00974030">
        <w:rPr>
          <w:rFonts w:asciiTheme="minorBidi" w:hAnsiTheme="minorBidi" w:cs="Arial"/>
          <w:rtl/>
        </w:rPr>
        <w:t xml:space="preserve"> </w:t>
      </w:r>
      <w:r w:rsidRPr="00974030">
        <w:rPr>
          <w:rFonts w:asciiTheme="minorBidi" w:hAnsiTheme="minorBidi" w:cs="Arial" w:hint="cs"/>
          <w:rtl/>
        </w:rPr>
        <w:t>קטנות</w:t>
      </w:r>
      <w:r w:rsidRPr="00974030">
        <w:rPr>
          <w:rFonts w:asciiTheme="minorBidi" w:hAnsiTheme="minorBidi" w:cs="Arial"/>
          <w:rtl/>
        </w:rPr>
        <w:t xml:space="preserve"> </w:t>
      </w:r>
      <w:r w:rsidRPr="00974030">
        <w:rPr>
          <w:rFonts w:asciiTheme="minorBidi" w:hAnsiTheme="minorBidi" w:cs="Arial" w:hint="cs"/>
          <w:rtl/>
        </w:rPr>
        <w:t>להוליכם</w:t>
      </w:r>
      <w:r w:rsidRPr="00974030">
        <w:rPr>
          <w:rFonts w:asciiTheme="minorBidi" w:hAnsiTheme="minorBidi" w:cs="Arial"/>
          <w:rtl/>
        </w:rPr>
        <w:t xml:space="preserve"> </w:t>
      </w:r>
      <w:r w:rsidRPr="00974030">
        <w:rPr>
          <w:rFonts w:asciiTheme="minorBidi" w:hAnsiTheme="minorBidi" w:cs="Arial" w:hint="cs"/>
          <w:rtl/>
        </w:rPr>
        <w:t>בהרבה</w:t>
      </w:r>
      <w:r w:rsidRPr="00974030">
        <w:rPr>
          <w:rFonts w:asciiTheme="minorBidi" w:hAnsiTheme="minorBidi" w:cs="Arial"/>
          <w:rtl/>
        </w:rPr>
        <w:t xml:space="preserve"> </w:t>
      </w:r>
      <w:r w:rsidRPr="00974030">
        <w:rPr>
          <w:rFonts w:asciiTheme="minorBidi" w:hAnsiTheme="minorBidi" w:cs="Arial" w:hint="cs"/>
          <w:rtl/>
        </w:rPr>
        <w:t>פעמים</w:t>
      </w:r>
      <w:r w:rsidRPr="00974030">
        <w:rPr>
          <w:rFonts w:asciiTheme="minorBidi" w:hAnsiTheme="minorBidi" w:cs="Arial"/>
          <w:rtl/>
        </w:rPr>
        <w:t xml:space="preserve"> </w:t>
      </w:r>
      <w:r w:rsidRPr="00974030">
        <w:rPr>
          <w:rFonts w:asciiTheme="minorBidi" w:hAnsiTheme="minorBidi" w:cs="Arial" w:hint="cs"/>
          <w:rtl/>
        </w:rPr>
        <w:t>כדי</w:t>
      </w:r>
      <w:r w:rsidRPr="00974030">
        <w:rPr>
          <w:rFonts w:asciiTheme="minorBidi" w:hAnsiTheme="minorBidi" w:cs="Arial"/>
          <w:rtl/>
        </w:rPr>
        <w:t xml:space="preserve"> </w:t>
      </w:r>
      <w:r w:rsidRPr="00974030">
        <w:rPr>
          <w:rFonts w:asciiTheme="minorBidi" w:hAnsiTheme="minorBidi" w:cs="Arial" w:hint="cs"/>
          <w:rtl/>
        </w:rPr>
        <w:t>להקל</w:t>
      </w:r>
      <w:r w:rsidRPr="00974030">
        <w:rPr>
          <w:rFonts w:asciiTheme="minorBidi" w:hAnsiTheme="minorBidi" w:cs="Arial"/>
          <w:rtl/>
        </w:rPr>
        <w:t xml:space="preserve"> </w:t>
      </w:r>
      <w:r w:rsidRPr="00974030">
        <w:rPr>
          <w:rFonts w:asciiTheme="minorBidi" w:hAnsiTheme="minorBidi" w:cs="Arial" w:hint="cs"/>
          <w:rtl/>
        </w:rPr>
        <w:t>המשאוי</w:t>
      </w:r>
      <w:r w:rsidRPr="00974030">
        <w:rPr>
          <w:rFonts w:asciiTheme="minorBidi" w:hAnsiTheme="minorBidi" w:cs="Arial"/>
          <w:rtl/>
        </w:rPr>
        <w:t xml:space="preserve">, </w:t>
      </w:r>
      <w:r w:rsidRPr="00974030">
        <w:rPr>
          <w:rFonts w:asciiTheme="minorBidi" w:hAnsiTheme="minorBidi" w:cs="Arial" w:hint="cs"/>
          <w:rtl/>
        </w:rPr>
        <w:t>מפני</w:t>
      </w:r>
      <w:r w:rsidRPr="00974030">
        <w:rPr>
          <w:rFonts w:asciiTheme="minorBidi" w:hAnsiTheme="minorBidi" w:cs="Arial"/>
          <w:rtl/>
        </w:rPr>
        <w:t xml:space="preserve"> </w:t>
      </w:r>
      <w:r w:rsidRPr="00974030">
        <w:rPr>
          <w:rFonts w:asciiTheme="minorBidi" w:hAnsiTheme="minorBidi" w:cs="Arial" w:hint="cs"/>
          <w:rtl/>
        </w:rPr>
        <w:t>שמרבה</w:t>
      </w:r>
      <w:r w:rsidRPr="00974030">
        <w:rPr>
          <w:rFonts w:asciiTheme="minorBidi" w:hAnsiTheme="minorBidi" w:cs="Arial"/>
          <w:rtl/>
        </w:rPr>
        <w:t xml:space="preserve"> </w:t>
      </w:r>
      <w:r w:rsidRPr="00974030">
        <w:rPr>
          <w:rFonts w:asciiTheme="minorBidi" w:hAnsiTheme="minorBidi" w:cs="Arial" w:hint="cs"/>
          <w:rtl/>
        </w:rPr>
        <w:t>בהילוך</w:t>
      </w:r>
      <w:r w:rsidRPr="00974030">
        <w:rPr>
          <w:rFonts w:asciiTheme="minorBidi" w:hAnsiTheme="minorBidi" w:cs="Arial"/>
          <w:rtl/>
        </w:rPr>
        <w:t xml:space="preserve"> </w:t>
      </w:r>
      <w:r w:rsidRPr="00974030">
        <w:rPr>
          <w:rFonts w:asciiTheme="minorBidi" w:hAnsiTheme="minorBidi" w:cs="Arial" w:hint="cs"/>
          <w:rtl/>
        </w:rPr>
        <w:t>ואוושא</w:t>
      </w:r>
      <w:r w:rsidRPr="00974030">
        <w:rPr>
          <w:rFonts w:asciiTheme="minorBidi" w:hAnsiTheme="minorBidi" w:cs="Arial"/>
          <w:rtl/>
        </w:rPr>
        <w:t xml:space="preserve"> </w:t>
      </w:r>
      <w:r w:rsidRPr="00974030">
        <w:rPr>
          <w:rFonts w:asciiTheme="minorBidi" w:hAnsiTheme="minorBidi" w:cs="Arial" w:hint="cs"/>
          <w:rtl/>
        </w:rPr>
        <w:t>מלתא</w:t>
      </w:r>
      <w:r w:rsidRPr="00974030">
        <w:rPr>
          <w:rFonts w:asciiTheme="minorBidi" w:hAnsiTheme="minorBidi" w:cs="Arial"/>
          <w:rtl/>
        </w:rPr>
        <w:t xml:space="preserve"> </w:t>
      </w:r>
      <w:r w:rsidRPr="00974030">
        <w:rPr>
          <w:rFonts w:asciiTheme="minorBidi" w:hAnsiTheme="minorBidi" w:cs="Arial" w:hint="cs"/>
          <w:rtl/>
        </w:rPr>
        <w:t>טפי</w:t>
      </w:r>
      <w:r w:rsidRPr="00974030">
        <w:rPr>
          <w:rFonts w:asciiTheme="minorBidi" w:hAnsiTheme="minorBidi" w:cs="Arial"/>
          <w:rtl/>
        </w:rPr>
        <w:t xml:space="preserve">. </w:t>
      </w:r>
    </w:p>
    <w:p w14:paraId="11F46D5C"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ג</w:t>
      </w:r>
    </w:p>
    <w:p w14:paraId="691418E4" w14:textId="77777777" w:rsidR="006A4BF8" w:rsidRDefault="006A4BF8" w:rsidP="00434A6A">
      <w:pPr>
        <w:tabs>
          <w:tab w:val="left" w:pos="2788"/>
        </w:tabs>
        <w:rPr>
          <w:rFonts w:asciiTheme="minorBidi" w:hAnsiTheme="minorBidi" w:cs="Arial"/>
          <w:rtl/>
        </w:rPr>
      </w:pPr>
      <w:r w:rsidRPr="00974030">
        <w:rPr>
          <w:rFonts w:asciiTheme="minorBidi" w:hAnsiTheme="minorBidi" w:cs="Arial" w:hint="cs"/>
          <w:rtl/>
        </w:rPr>
        <w:t>אלו</w:t>
      </w:r>
      <w:r w:rsidRPr="00974030">
        <w:rPr>
          <w:rFonts w:asciiTheme="minorBidi" w:hAnsiTheme="minorBidi" w:cs="Arial"/>
          <w:rtl/>
        </w:rPr>
        <w:t xml:space="preserve"> </w:t>
      </w:r>
      <w:r w:rsidRPr="00974030">
        <w:rPr>
          <w:rFonts w:asciiTheme="minorBidi" w:hAnsiTheme="minorBidi" w:cs="Arial" w:hint="cs"/>
          <w:rtl/>
        </w:rPr>
        <w:t>ד</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ה</w:t>
      </w:r>
      <w:r w:rsidRPr="00974030">
        <w:rPr>
          <w:rFonts w:asciiTheme="minorBidi" w:hAnsiTheme="minorBidi" w:cs="Arial"/>
          <w:rtl/>
        </w:rPr>
        <w:t xml:space="preserve">' </w:t>
      </w:r>
      <w:r w:rsidRPr="00974030">
        <w:rPr>
          <w:rFonts w:asciiTheme="minorBidi" w:hAnsiTheme="minorBidi" w:cs="Arial" w:hint="cs"/>
          <w:rtl/>
        </w:rPr>
        <w:t>קופות</w:t>
      </w:r>
      <w:r w:rsidRPr="00974030">
        <w:rPr>
          <w:rFonts w:asciiTheme="minorBidi" w:hAnsiTheme="minorBidi" w:cs="Arial"/>
          <w:rtl/>
        </w:rPr>
        <w:t xml:space="preserve"> </w:t>
      </w:r>
      <w:r w:rsidRPr="00974030">
        <w:rPr>
          <w:rFonts w:asciiTheme="minorBidi" w:hAnsiTheme="minorBidi" w:cs="Arial" w:hint="cs"/>
          <w:rtl/>
        </w:rPr>
        <w:t>שמפנה</w:t>
      </w:r>
      <w:r w:rsidRPr="00974030">
        <w:rPr>
          <w:rFonts w:asciiTheme="minorBidi" w:hAnsiTheme="minorBidi" w:cs="Arial"/>
          <w:rtl/>
        </w:rPr>
        <w:t xml:space="preserve"> </w:t>
      </w:r>
      <w:r w:rsidRPr="00974030">
        <w:rPr>
          <w:rFonts w:asciiTheme="minorBidi" w:hAnsiTheme="minorBidi" w:cs="Arial" w:hint="cs"/>
          <w:rtl/>
        </w:rPr>
        <w:t>דהיינו</w:t>
      </w:r>
      <w:r w:rsidRPr="00974030">
        <w:rPr>
          <w:rFonts w:asciiTheme="minorBidi" w:hAnsiTheme="minorBidi" w:cs="Arial"/>
          <w:rtl/>
        </w:rPr>
        <w:t xml:space="preserve"> </w:t>
      </w:r>
      <w:r w:rsidRPr="00974030">
        <w:rPr>
          <w:rFonts w:asciiTheme="minorBidi" w:hAnsiTheme="minorBidi" w:cs="Arial" w:hint="cs"/>
          <w:rtl/>
        </w:rPr>
        <w:t>לאורח</w:t>
      </w:r>
      <w:r w:rsidRPr="00974030">
        <w:rPr>
          <w:rFonts w:asciiTheme="minorBidi" w:hAnsiTheme="minorBidi" w:cs="Arial"/>
          <w:rtl/>
        </w:rPr>
        <w:t xml:space="preserve"> </w:t>
      </w:r>
      <w:r w:rsidRPr="00974030">
        <w:rPr>
          <w:rFonts w:asciiTheme="minorBidi" w:hAnsiTheme="minorBidi" w:cs="Arial" w:hint="cs"/>
          <w:rtl/>
        </w:rPr>
        <w:t>א</w:t>
      </w:r>
      <w:r w:rsidRPr="00974030">
        <w:rPr>
          <w:rFonts w:asciiTheme="minorBidi" w:hAnsiTheme="minorBidi" w:cs="Arial"/>
          <w:rtl/>
        </w:rPr>
        <w:t xml:space="preserve">', </w:t>
      </w:r>
      <w:r w:rsidRPr="00974030">
        <w:rPr>
          <w:rFonts w:asciiTheme="minorBidi" w:hAnsiTheme="minorBidi" w:cs="Arial" w:hint="cs"/>
          <w:rtl/>
        </w:rPr>
        <w:t>ואם</w:t>
      </w:r>
      <w:r w:rsidRPr="00974030">
        <w:rPr>
          <w:rFonts w:asciiTheme="minorBidi" w:hAnsiTheme="minorBidi" w:cs="Arial"/>
          <w:rtl/>
        </w:rPr>
        <w:t xml:space="preserve"> </w:t>
      </w:r>
      <w:r w:rsidRPr="00974030">
        <w:rPr>
          <w:rFonts w:asciiTheme="minorBidi" w:hAnsiTheme="minorBidi" w:cs="Arial" w:hint="cs"/>
          <w:rtl/>
        </w:rPr>
        <w:t>באו</w:t>
      </w:r>
      <w:r w:rsidRPr="00974030">
        <w:rPr>
          <w:rFonts w:asciiTheme="minorBidi" w:hAnsiTheme="minorBidi" w:cs="Arial"/>
          <w:rtl/>
        </w:rPr>
        <w:t xml:space="preserve"> </w:t>
      </w:r>
      <w:r w:rsidRPr="00974030">
        <w:rPr>
          <w:rFonts w:asciiTheme="minorBidi" w:hAnsiTheme="minorBidi" w:cs="Arial" w:hint="cs"/>
          <w:rtl/>
        </w:rPr>
        <w:t>לו</w:t>
      </w:r>
      <w:r w:rsidRPr="00974030">
        <w:rPr>
          <w:rFonts w:asciiTheme="minorBidi" w:hAnsiTheme="minorBidi" w:cs="Arial"/>
          <w:rtl/>
        </w:rPr>
        <w:t xml:space="preserve"> </w:t>
      </w:r>
      <w:r w:rsidRPr="00974030">
        <w:rPr>
          <w:rFonts w:asciiTheme="minorBidi" w:hAnsiTheme="minorBidi" w:cs="Arial" w:hint="cs"/>
          <w:rtl/>
        </w:rPr>
        <w:t>הרבה</w:t>
      </w:r>
      <w:r w:rsidRPr="00974030">
        <w:rPr>
          <w:rFonts w:asciiTheme="minorBidi" w:hAnsiTheme="minorBidi" w:cs="Arial"/>
          <w:rtl/>
        </w:rPr>
        <w:t xml:space="preserve"> </w:t>
      </w:r>
      <w:r w:rsidRPr="00974030">
        <w:rPr>
          <w:rFonts w:asciiTheme="minorBidi" w:hAnsiTheme="minorBidi" w:cs="Arial" w:hint="cs"/>
          <w:rtl/>
        </w:rPr>
        <w:t>מפנה</w:t>
      </w:r>
      <w:r w:rsidRPr="00974030">
        <w:rPr>
          <w:rFonts w:asciiTheme="minorBidi" w:hAnsiTheme="minorBidi" w:cs="Arial"/>
          <w:rtl/>
        </w:rPr>
        <w:t xml:space="preserve"> </w:t>
      </w:r>
      <w:r w:rsidRPr="00974030">
        <w:rPr>
          <w:rFonts w:asciiTheme="minorBidi" w:hAnsiTheme="minorBidi" w:cs="Arial" w:hint="cs"/>
          <w:rtl/>
        </w:rPr>
        <w:t>כשיעור</w:t>
      </w:r>
      <w:r w:rsidRPr="00974030">
        <w:rPr>
          <w:rFonts w:asciiTheme="minorBidi" w:hAnsiTheme="minorBidi" w:cs="Arial"/>
          <w:rtl/>
        </w:rPr>
        <w:t xml:space="preserve"> </w:t>
      </w:r>
      <w:r w:rsidRPr="00974030">
        <w:rPr>
          <w:rFonts w:asciiTheme="minorBidi" w:hAnsiTheme="minorBidi" w:cs="Arial" w:hint="cs"/>
          <w:rtl/>
        </w:rPr>
        <w:t>הזה</w:t>
      </w:r>
      <w:r w:rsidRPr="00974030">
        <w:rPr>
          <w:rFonts w:asciiTheme="minorBidi" w:hAnsiTheme="minorBidi" w:cs="Arial"/>
          <w:rtl/>
        </w:rPr>
        <w:t xml:space="preserve"> </w:t>
      </w:r>
      <w:r w:rsidRPr="00974030">
        <w:rPr>
          <w:rFonts w:asciiTheme="minorBidi" w:hAnsiTheme="minorBidi" w:cs="Arial" w:hint="cs"/>
          <w:rtl/>
        </w:rPr>
        <w:t>לכל</w:t>
      </w:r>
      <w:r w:rsidRPr="00974030">
        <w:rPr>
          <w:rFonts w:asciiTheme="minorBidi" w:hAnsiTheme="minorBidi" w:cs="Arial"/>
          <w:rtl/>
        </w:rPr>
        <w:t xml:space="preserve"> </w:t>
      </w:r>
      <w:r w:rsidRPr="00974030">
        <w:rPr>
          <w:rFonts w:asciiTheme="minorBidi" w:hAnsiTheme="minorBidi" w:cs="Arial" w:hint="cs"/>
          <w:rtl/>
        </w:rPr>
        <w:t>אורח</w:t>
      </w:r>
      <w:r w:rsidRPr="00974030">
        <w:rPr>
          <w:rFonts w:asciiTheme="minorBidi" w:hAnsiTheme="minorBidi" w:cs="Arial"/>
          <w:rtl/>
        </w:rPr>
        <w:t xml:space="preserve"> </w:t>
      </w:r>
      <w:r w:rsidRPr="00974030">
        <w:rPr>
          <w:rFonts w:asciiTheme="minorBidi" w:hAnsiTheme="minorBidi" w:cs="Arial" w:hint="cs"/>
          <w:rtl/>
        </w:rPr>
        <w:t>ואורח</w:t>
      </w:r>
      <w:r w:rsidRPr="00974030">
        <w:rPr>
          <w:rFonts w:asciiTheme="minorBidi" w:hAnsiTheme="minorBidi" w:cs="Arial"/>
          <w:rtl/>
        </w:rPr>
        <w:t xml:space="preserve"> </w:t>
      </w:r>
      <w:r w:rsidRPr="00974030">
        <w:rPr>
          <w:rFonts w:asciiTheme="minorBidi" w:hAnsiTheme="minorBidi" w:cs="Arial" w:hint="cs"/>
          <w:rtl/>
        </w:rPr>
        <w:t>ובלבד</w:t>
      </w:r>
      <w:r w:rsidRPr="00974030">
        <w:rPr>
          <w:rFonts w:asciiTheme="minorBidi" w:hAnsiTheme="minorBidi" w:cs="Arial"/>
          <w:rtl/>
        </w:rPr>
        <w:t xml:space="preserve"> </w:t>
      </w:r>
      <w:r w:rsidRPr="00974030">
        <w:rPr>
          <w:rFonts w:asciiTheme="minorBidi" w:hAnsiTheme="minorBidi" w:cs="Arial" w:hint="cs"/>
          <w:rtl/>
        </w:rPr>
        <w:t>שלא</w:t>
      </w:r>
      <w:r w:rsidRPr="00974030">
        <w:rPr>
          <w:rFonts w:asciiTheme="minorBidi" w:hAnsiTheme="minorBidi" w:cs="Arial"/>
          <w:rtl/>
        </w:rPr>
        <w:t xml:space="preserve"> </w:t>
      </w:r>
      <w:r w:rsidRPr="00974030">
        <w:rPr>
          <w:rFonts w:asciiTheme="minorBidi" w:hAnsiTheme="minorBidi" w:cs="Arial" w:hint="cs"/>
          <w:rtl/>
        </w:rPr>
        <w:t>יפנה</w:t>
      </w:r>
      <w:r w:rsidRPr="00974030">
        <w:rPr>
          <w:rFonts w:asciiTheme="minorBidi" w:hAnsiTheme="minorBidi" w:cs="Arial"/>
          <w:rtl/>
        </w:rPr>
        <w:t xml:space="preserve"> </w:t>
      </w:r>
      <w:r w:rsidRPr="00974030">
        <w:rPr>
          <w:rFonts w:asciiTheme="minorBidi" w:hAnsiTheme="minorBidi" w:cs="Arial" w:hint="cs"/>
          <w:rtl/>
        </w:rPr>
        <w:t>א</w:t>
      </w:r>
      <w:r w:rsidRPr="00974030">
        <w:rPr>
          <w:rFonts w:asciiTheme="minorBidi" w:hAnsiTheme="minorBidi" w:cs="Arial"/>
          <w:rtl/>
        </w:rPr>
        <w:t xml:space="preserve">' </w:t>
      </w:r>
      <w:r w:rsidRPr="00974030">
        <w:rPr>
          <w:rFonts w:asciiTheme="minorBidi" w:hAnsiTheme="minorBidi" w:cs="Arial" w:hint="cs"/>
          <w:rtl/>
        </w:rPr>
        <w:t>לכולם</w:t>
      </w:r>
      <w:r w:rsidRPr="00974030">
        <w:rPr>
          <w:rFonts w:asciiTheme="minorBidi" w:hAnsiTheme="minorBidi" w:cs="Arial"/>
          <w:rtl/>
        </w:rPr>
        <w:t xml:space="preserve"> </w:t>
      </w:r>
      <w:r w:rsidRPr="00974030">
        <w:rPr>
          <w:rFonts w:asciiTheme="minorBidi" w:hAnsiTheme="minorBidi" w:cs="Arial" w:hint="cs"/>
          <w:rtl/>
        </w:rPr>
        <w:t>דאיכא</w:t>
      </w:r>
      <w:r w:rsidRPr="00974030">
        <w:rPr>
          <w:rFonts w:asciiTheme="minorBidi" w:hAnsiTheme="minorBidi" w:cs="Arial"/>
          <w:rtl/>
        </w:rPr>
        <w:t xml:space="preserve"> </w:t>
      </w:r>
      <w:r w:rsidRPr="00974030">
        <w:rPr>
          <w:rFonts w:asciiTheme="minorBidi" w:hAnsiTheme="minorBidi" w:cs="Arial" w:hint="cs"/>
          <w:rtl/>
        </w:rPr>
        <w:t>טרחא</w:t>
      </w:r>
      <w:r w:rsidRPr="00974030">
        <w:rPr>
          <w:rFonts w:asciiTheme="minorBidi" w:hAnsiTheme="minorBidi" w:cs="Arial"/>
          <w:rtl/>
        </w:rPr>
        <w:t xml:space="preserve"> </w:t>
      </w:r>
      <w:r w:rsidRPr="00974030">
        <w:rPr>
          <w:rFonts w:asciiTheme="minorBidi" w:hAnsiTheme="minorBidi" w:cs="Arial" w:hint="cs"/>
          <w:rtl/>
        </w:rPr>
        <w:t>יתירה</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כל</w:t>
      </w:r>
      <w:r w:rsidRPr="00974030">
        <w:rPr>
          <w:rFonts w:asciiTheme="minorBidi" w:hAnsiTheme="minorBidi" w:cs="Arial"/>
          <w:rtl/>
        </w:rPr>
        <w:t xml:space="preserve"> </w:t>
      </w:r>
      <w:r w:rsidRPr="00974030">
        <w:rPr>
          <w:rFonts w:asciiTheme="minorBidi" w:hAnsiTheme="minorBidi" w:cs="Arial" w:hint="cs"/>
          <w:rtl/>
        </w:rPr>
        <w:t>א</w:t>
      </w:r>
      <w:r w:rsidRPr="00974030">
        <w:rPr>
          <w:rFonts w:asciiTheme="minorBidi" w:hAnsiTheme="minorBidi" w:cs="Arial"/>
          <w:rtl/>
        </w:rPr>
        <w:t xml:space="preserve">' </w:t>
      </w:r>
      <w:r w:rsidRPr="00974030">
        <w:rPr>
          <w:rFonts w:asciiTheme="minorBidi" w:hAnsiTheme="minorBidi" w:cs="Arial" w:hint="cs"/>
          <w:rtl/>
        </w:rPr>
        <w:t>יפנה</w:t>
      </w:r>
      <w:r w:rsidRPr="00974030">
        <w:rPr>
          <w:rFonts w:asciiTheme="minorBidi" w:hAnsiTheme="minorBidi" w:cs="Arial"/>
          <w:rtl/>
        </w:rPr>
        <w:t xml:space="preserve"> </w:t>
      </w:r>
      <w:r w:rsidRPr="00974030">
        <w:rPr>
          <w:rFonts w:asciiTheme="minorBidi" w:hAnsiTheme="minorBidi" w:cs="Arial" w:hint="cs"/>
          <w:rtl/>
        </w:rPr>
        <w:t>לעצמו</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אחר</w:t>
      </w:r>
      <w:r w:rsidRPr="00974030">
        <w:rPr>
          <w:rFonts w:asciiTheme="minorBidi" w:hAnsiTheme="minorBidi" w:cs="Arial"/>
          <w:rtl/>
        </w:rPr>
        <w:t xml:space="preserve"> </w:t>
      </w:r>
      <w:r w:rsidRPr="00974030">
        <w:rPr>
          <w:rFonts w:asciiTheme="minorBidi" w:hAnsiTheme="minorBidi" w:cs="Arial" w:hint="cs"/>
          <w:rtl/>
        </w:rPr>
        <w:t>יפנה</w:t>
      </w:r>
      <w:r w:rsidRPr="00974030">
        <w:rPr>
          <w:rFonts w:asciiTheme="minorBidi" w:hAnsiTheme="minorBidi" w:cs="Arial"/>
          <w:rtl/>
        </w:rPr>
        <w:t xml:space="preserve"> </w:t>
      </w:r>
      <w:r w:rsidRPr="00974030">
        <w:rPr>
          <w:rFonts w:asciiTheme="minorBidi" w:hAnsiTheme="minorBidi" w:cs="Arial" w:hint="cs"/>
          <w:rtl/>
        </w:rPr>
        <w:t>בעדו</w:t>
      </w:r>
      <w:r w:rsidRPr="00974030">
        <w:rPr>
          <w:rFonts w:asciiTheme="minorBidi" w:hAnsiTheme="minorBidi" w:cs="Arial"/>
          <w:rtl/>
        </w:rPr>
        <w:t xml:space="preserve">. </w:t>
      </w:r>
      <w:r w:rsidRPr="00974030">
        <w:rPr>
          <w:rFonts w:asciiTheme="minorBidi" w:hAnsiTheme="minorBidi" w:cs="Arial" w:hint="cs"/>
          <w:rtl/>
        </w:rPr>
        <w:t>הגה</w:t>
      </w:r>
      <w:r w:rsidRPr="00974030">
        <w:rPr>
          <w:rFonts w:asciiTheme="minorBidi" w:hAnsiTheme="minorBidi" w:cs="Arial"/>
          <w:rtl/>
        </w:rPr>
        <w:t xml:space="preserve">: </w:t>
      </w:r>
      <w:r w:rsidRPr="00974030">
        <w:rPr>
          <w:rFonts w:asciiTheme="minorBidi" w:hAnsiTheme="minorBidi" w:cs="Arial" w:hint="cs"/>
          <w:rtl/>
        </w:rPr>
        <w:t>חביות</w:t>
      </w:r>
      <w:r w:rsidRPr="00974030">
        <w:rPr>
          <w:rFonts w:asciiTheme="minorBidi" w:hAnsiTheme="minorBidi" w:cs="Arial"/>
          <w:rtl/>
        </w:rPr>
        <w:t xml:space="preserve"> </w:t>
      </w:r>
      <w:r w:rsidRPr="00974030">
        <w:rPr>
          <w:rFonts w:asciiTheme="minorBidi" w:hAnsiTheme="minorBidi" w:cs="Arial" w:hint="cs"/>
          <w:rtl/>
        </w:rPr>
        <w:t>של</w:t>
      </w:r>
      <w:r w:rsidRPr="00974030">
        <w:rPr>
          <w:rFonts w:asciiTheme="minorBidi" w:hAnsiTheme="minorBidi" w:cs="Arial"/>
          <w:rtl/>
        </w:rPr>
        <w:t xml:space="preserve"> </w:t>
      </w:r>
      <w:r w:rsidRPr="00974030">
        <w:rPr>
          <w:rFonts w:asciiTheme="minorBidi" w:hAnsiTheme="minorBidi" w:cs="Arial" w:hint="cs"/>
          <w:rtl/>
        </w:rPr>
        <w:t>יין</w:t>
      </w:r>
      <w:r w:rsidRPr="00974030">
        <w:rPr>
          <w:rFonts w:asciiTheme="minorBidi" w:hAnsiTheme="minorBidi" w:cs="Arial"/>
          <w:rtl/>
        </w:rPr>
        <w:t xml:space="preserve"> </w:t>
      </w:r>
      <w:r w:rsidRPr="00974030">
        <w:rPr>
          <w:rFonts w:asciiTheme="minorBidi" w:hAnsiTheme="minorBidi" w:cs="Arial" w:hint="cs"/>
          <w:rtl/>
        </w:rPr>
        <w:t>שהובאו</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עגלה</w:t>
      </w:r>
      <w:r w:rsidRPr="00974030">
        <w:rPr>
          <w:rFonts w:asciiTheme="minorBidi" w:hAnsiTheme="minorBidi" w:cs="Arial"/>
          <w:rtl/>
        </w:rPr>
        <w:t xml:space="preserve"> </w:t>
      </w: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להורידן</w:t>
      </w:r>
      <w:r w:rsidRPr="00974030">
        <w:rPr>
          <w:rFonts w:asciiTheme="minorBidi" w:hAnsiTheme="minorBidi" w:cs="Arial"/>
          <w:rtl/>
        </w:rPr>
        <w:t xml:space="preserve"> </w:t>
      </w:r>
      <w:r w:rsidRPr="00974030">
        <w:rPr>
          <w:rFonts w:asciiTheme="minorBidi" w:hAnsiTheme="minorBidi" w:cs="Arial" w:hint="cs"/>
          <w:rtl/>
        </w:rPr>
        <w:t>בשבת</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לכבוד</w:t>
      </w:r>
      <w:r w:rsidRPr="00974030">
        <w:rPr>
          <w:rFonts w:asciiTheme="minorBidi" w:hAnsiTheme="minorBidi" w:cs="Arial"/>
          <w:rtl/>
        </w:rPr>
        <w:t xml:space="preserve"> </w:t>
      </w:r>
      <w:r w:rsidRPr="00974030">
        <w:rPr>
          <w:rFonts w:asciiTheme="minorBidi" w:hAnsiTheme="minorBidi" w:cs="Arial" w:hint="cs"/>
          <w:rtl/>
        </w:rPr>
        <w:t>אורחים</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לצורך</w:t>
      </w:r>
      <w:r w:rsidRPr="00974030">
        <w:rPr>
          <w:rFonts w:asciiTheme="minorBidi" w:hAnsiTheme="minorBidi" w:cs="Arial"/>
          <w:rtl/>
        </w:rPr>
        <w:t xml:space="preserve"> </w:t>
      </w:r>
      <w:r w:rsidRPr="00974030">
        <w:rPr>
          <w:rFonts w:asciiTheme="minorBidi" w:hAnsiTheme="minorBidi" w:cs="Arial" w:hint="cs"/>
          <w:rtl/>
        </w:rPr>
        <w:t>מצוה</w:t>
      </w:r>
      <w:r w:rsidRPr="00974030">
        <w:rPr>
          <w:rFonts w:asciiTheme="minorBidi" w:hAnsiTheme="minorBidi" w:cs="Arial"/>
          <w:rtl/>
        </w:rPr>
        <w:t xml:space="preserve"> </w:t>
      </w:r>
      <w:r w:rsidRPr="00974030">
        <w:rPr>
          <w:rFonts w:asciiTheme="minorBidi" w:hAnsiTheme="minorBidi" w:cs="Arial" w:hint="cs"/>
          <w:rtl/>
        </w:rPr>
        <w:t>דהוי</w:t>
      </w:r>
      <w:r w:rsidRPr="00974030">
        <w:rPr>
          <w:rFonts w:asciiTheme="minorBidi" w:hAnsiTheme="minorBidi" w:cs="Arial"/>
          <w:rtl/>
        </w:rPr>
        <w:t xml:space="preserve"> </w:t>
      </w:r>
      <w:r w:rsidRPr="00974030">
        <w:rPr>
          <w:rFonts w:asciiTheme="minorBidi" w:hAnsiTheme="minorBidi" w:cs="Arial" w:hint="cs"/>
          <w:rtl/>
        </w:rPr>
        <w:t>כמפנה</w:t>
      </w:r>
      <w:r w:rsidRPr="00974030">
        <w:rPr>
          <w:rFonts w:asciiTheme="minorBidi" w:hAnsiTheme="minorBidi" w:cs="Arial"/>
          <w:rtl/>
        </w:rPr>
        <w:t xml:space="preserve"> </w:t>
      </w:r>
      <w:r w:rsidRPr="00974030">
        <w:rPr>
          <w:rFonts w:asciiTheme="minorBidi" w:hAnsiTheme="minorBidi" w:cs="Arial" w:hint="cs"/>
          <w:rtl/>
        </w:rPr>
        <w:t>האוצר</w:t>
      </w:r>
      <w:r w:rsidRPr="00974030">
        <w:rPr>
          <w:rFonts w:asciiTheme="minorBidi" w:hAnsiTheme="minorBidi" w:cs="Arial"/>
          <w:rtl/>
        </w:rPr>
        <w:t>.</w:t>
      </w:r>
    </w:p>
    <w:p w14:paraId="430BE50E" w14:textId="77777777" w:rsidR="006A4BF8" w:rsidRDefault="006A4BF8" w:rsidP="00434A6A">
      <w:pPr>
        <w:tabs>
          <w:tab w:val="left" w:pos="2788"/>
        </w:tabs>
        <w:rPr>
          <w:rFonts w:asciiTheme="minorBidi" w:hAnsiTheme="minorBidi" w:cs="Arial"/>
          <w:rtl/>
        </w:rPr>
      </w:pPr>
    </w:p>
    <w:p w14:paraId="3A5F1816" w14:textId="77777777" w:rsidR="006A4BF8" w:rsidRDefault="006A4BF8" w:rsidP="00434A6A">
      <w:pPr>
        <w:tabs>
          <w:tab w:val="left" w:pos="2788"/>
        </w:tabs>
        <w:rPr>
          <w:rFonts w:asciiTheme="minorBidi" w:hAnsiTheme="minorBidi" w:cs="Arial"/>
          <w:rtl/>
        </w:rPr>
      </w:pPr>
    </w:p>
    <w:p w14:paraId="6D2BE133" w14:textId="77777777" w:rsidR="006A4BF8" w:rsidRDefault="006A4BF8" w:rsidP="00434A6A">
      <w:pPr>
        <w:pStyle w:val="1"/>
        <w:rPr>
          <w:rtl/>
        </w:rPr>
        <w:sectPr w:rsidR="006A4BF8" w:rsidSect="00BD29B1">
          <w:headerReference w:type="default" r:id="rId100"/>
          <w:footnotePr>
            <w:numRestart w:val="eachSect"/>
          </w:footnotePr>
          <w:pgSz w:w="11906" w:h="16838"/>
          <w:pgMar w:top="720" w:right="1134" w:bottom="720" w:left="1134" w:header="0" w:footer="0" w:gutter="0"/>
          <w:cols w:space="720"/>
          <w:bidi/>
          <w:rtlGutter/>
          <w:docGrid w:linePitch="360"/>
        </w:sectPr>
      </w:pPr>
    </w:p>
    <w:p w14:paraId="476B603B" w14:textId="77777777" w:rsidR="006A4BF8" w:rsidRPr="00974030" w:rsidRDefault="006A4BF8" w:rsidP="00434A6A">
      <w:pPr>
        <w:pStyle w:val="1"/>
        <w:rPr>
          <w:rtl/>
        </w:rPr>
      </w:pPr>
      <w:r>
        <w:rPr>
          <w:rFonts w:hint="cs"/>
          <w:rtl/>
        </w:rPr>
        <w:t xml:space="preserve">סימן שלד: </w:t>
      </w:r>
      <w:r w:rsidRPr="00974030">
        <w:rPr>
          <w:rFonts w:hint="cs"/>
          <w:rtl/>
        </w:rPr>
        <w:t>דיני</w:t>
      </w:r>
      <w:r w:rsidRPr="00974030">
        <w:rPr>
          <w:rtl/>
        </w:rPr>
        <w:t xml:space="preserve"> </w:t>
      </w:r>
      <w:r w:rsidRPr="00974030">
        <w:rPr>
          <w:rFonts w:hint="cs"/>
          <w:rtl/>
        </w:rPr>
        <w:t>דליקה</w:t>
      </w:r>
      <w:r w:rsidRPr="00974030">
        <w:rPr>
          <w:rtl/>
        </w:rPr>
        <w:t xml:space="preserve"> </w:t>
      </w:r>
      <w:r w:rsidRPr="00974030">
        <w:rPr>
          <w:rFonts w:hint="cs"/>
          <w:rtl/>
        </w:rPr>
        <w:t>בשבת</w:t>
      </w:r>
      <w:r w:rsidRPr="00974030">
        <w:rPr>
          <w:rtl/>
        </w:rPr>
        <w:t xml:space="preserve">, </w:t>
      </w:r>
      <w:r w:rsidRPr="00974030">
        <w:rPr>
          <w:rFonts w:hint="cs"/>
          <w:rtl/>
        </w:rPr>
        <w:t>ובו</w:t>
      </w:r>
      <w:r w:rsidRPr="00974030">
        <w:rPr>
          <w:rtl/>
        </w:rPr>
        <w:t xml:space="preserve"> </w:t>
      </w:r>
      <w:r w:rsidRPr="00974030">
        <w:rPr>
          <w:rFonts w:hint="cs"/>
          <w:rtl/>
        </w:rPr>
        <w:t>כ</w:t>
      </w:r>
      <w:r w:rsidRPr="00974030">
        <w:rPr>
          <w:rtl/>
        </w:rPr>
        <w:t>"</w:t>
      </w:r>
      <w:r w:rsidRPr="00974030">
        <w:rPr>
          <w:rFonts w:hint="cs"/>
          <w:rtl/>
        </w:rPr>
        <w:t>ז</w:t>
      </w:r>
      <w:r w:rsidRPr="00974030">
        <w:rPr>
          <w:rtl/>
        </w:rPr>
        <w:t xml:space="preserve"> </w:t>
      </w:r>
      <w:r w:rsidRPr="00974030">
        <w:rPr>
          <w:rFonts w:hint="cs"/>
          <w:rtl/>
        </w:rPr>
        <w:t>סעיפים</w:t>
      </w:r>
      <w:r w:rsidRPr="00974030">
        <w:rPr>
          <w:rtl/>
        </w:rPr>
        <w:t xml:space="preserve">. </w:t>
      </w:r>
    </w:p>
    <w:p w14:paraId="7D579743"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א</w:t>
      </w:r>
    </w:p>
    <w:p w14:paraId="2452F1C2"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נפלה</w:t>
      </w:r>
      <w:r w:rsidRPr="00974030">
        <w:rPr>
          <w:rFonts w:asciiTheme="minorBidi" w:hAnsiTheme="minorBidi" w:cs="Arial"/>
          <w:rtl/>
        </w:rPr>
        <w:t xml:space="preserve"> </w:t>
      </w:r>
      <w:r w:rsidRPr="00974030">
        <w:rPr>
          <w:rFonts w:asciiTheme="minorBidi" w:hAnsiTheme="minorBidi" w:cs="Arial" w:hint="cs"/>
          <w:rtl/>
        </w:rPr>
        <w:t>דליקה</w:t>
      </w:r>
      <w:r w:rsidRPr="00974030">
        <w:rPr>
          <w:rFonts w:asciiTheme="minorBidi" w:hAnsiTheme="minorBidi" w:cs="Arial"/>
          <w:rtl/>
        </w:rPr>
        <w:t xml:space="preserve"> </w:t>
      </w:r>
      <w:r w:rsidRPr="00974030">
        <w:rPr>
          <w:rFonts w:asciiTheme="minorBidi" w:hAnsiTheme="minorBidi" w:cs="Arial" w:hint="cs"/>
          <w:rtl/>
        </w:rPr>
        <w:t>בשבת</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הוא</w:t>
      </w:r>
      <w:r w:rsidRPr="00974030">
        <w:rPr>
          <w:rFonts w:asciiTheme="minorBidi" w:hAnsiTheme="minorBidi" w:cs="Arial"/>
          <w:rtl/>
        </w:rPr>
        <w:t xml:space="preserve"> </w:t>
      </w:r>
      <w:r w:rsidRPr="00974030">
        <w:rPr>
          <w:rFonts w:asciiTheme="minorBidi" w:hAnsiTheme="minorBidi" w:cs="Arial" w:hint="cs"/>
          <w:rtl/>
        </w:rPr>
        <w:t>בלילה</w:t>
      </w:r>
      <w:r w:rsidRPr="00974030">
        <w:rPr>
          <w:rFonts w:asciiTheme="minorBidi" w:hAnsiTheme="minorBidi" w:cs="Arial"/>
          <w:rtl/>
        </w:rPr>
        <w:t xml:space="preserve"> </w:t>
      </w:r>
      <w:r w:rsidRPr="00974030">
        <w:rPr>
          <w:rFonts w:asciiTheme="minorBidi" w:hAnsiTheme="minorBidi" w:cs="Arial" w:hint="cs"/>
          <w:rtl/>
        </w:rPr>
        <w:t>קודם</w:t>
      </w:r>
      <w:r w:rsidRPr="00974030">
        <w:rPr>
          <w:rFonts w:asciiTheme="minorBidi" w:hAnsiTheme="minorBidi" w:cs="Arial"/>
          <w:rtl/>
        </w:rPr>
        <w:t xml:space="preserve"> </w:t>
      </w:r>
      <w:r w:rsidRPr="00974030">
        <w:rPr>
          <w:rFonts w:asciiTheme="minorBidi" w:hAnsiTheme="minorBidi" w:cs="Arial" w:hint="cs"/>
          <w:rtl/>
        </w:rPr>
        <w:t>סעודה</w:t>
      </w:r>
      <w:r w:rsidRPr="00974030">
        <w:rPr>
          <w:rFonts w:asciiTheme="minorBidi" w:hAnsiTheme="minorBidi" w:cs="Arial"/>
          <w:rtl/>
        </w:rPr>
        <w:t xml:space="preserve">, </w:t>
      </w:r>
      <w:r w:rsidRPr="00974030">
        <w:rPr>
          <w:rFonts w:asciiTheme="minorBidi" w:hAnsiTheme="minorBidi" w:cs="Arial" w:hint="cs"/>
          <w:rtl/>
        </w:rPr>
        <w:t>יכול</w:t>
      </w:r>
      <w:r w:rsidRPr="00974030">
        <w:rPr>
          <w:rFonts w:asciiTheme="minorBidi" w:hAnsiTheme="minorBidi" w:cs="Arial"/>
          <w:rtl/>
        </w:rPr>
        <w:t xml:space="preserve"> </w:t>
      </w:r>
      <w:r w:rsidRPr="00974030">
        <w:rPr>
          <w:rFonts w:asciiTheme="minorBidi" w:hAnsiTheme="minorBidi" w:cs="Arial" w:hint="cs"/>
          <w:rtl/>
        </w:rPr>
        <w:t>להציל</w:t>
      </w:r>
      <w:r w:rsidRPr="00974030">
        <w:rPr>
          <w:rFonts w:asciiTheme="minorBidi" w:hAnsiTheme="minorBidi" w:cs="Arial"/>
          <w:rtl/>
        </w:rPr>
        <w:t xml:space="preserve"> </w:t>
      </w:r>
      <w:r w:rsidRPr="00974030">
        <w:rPr>
          <w:rFonts w:asciiTheme="minorBidi" w:hAnsiTheme="minorBidi" w:cs="Arial" w:hint="cs"/>
          <w:rtl/>
        </w:rPr>
        <w:t>כדי</w:t>
      </w:r>
      <w:r w:rsidRPr="00974030">
        <w:rPr>
          <w:rFonts w:asciiTheme="minorBidi" w:hAnsiTheme="minorBidi" w:cs="Arial"/>
          <w:rtl/>
        </w:rPr>
        <w:t xml:space="preserve"> </w:t>
      </w:r>
      <w:r w:rsidRPr="00974030">
        <w:rPr>
          <w:rFonts w:asciiTheme="minorBidi" w:hAnsiTheme="minorBidi" w:cs="Arial" w:hint="cs"/>
          <w:rtl/>
        </w:rPr>
        <w:t>מזון</w:t>
      </w:r>
      <w:r w:rsidRPr="00974030">
        <w:rPr>
          <w:rFonts w:asciiTheme="minorBidi" w:hAnsiTheme="minorBidi" w:cs="Arial"/>
          <w:rtl/>
        </w:rPr>
        <w:t xml:space="preserve"> </w:t>
      </w:r>
      <w:r w:rsidRPr="00974030">
        <w:rPr>
          <w:rFonts w:asciiTheme="minorBidi" w:hAnsiTheme="minorBidi" w:cs="Arial" w:hint="cs"/>
          <w:rtl/>
        </w:rPr>
        <w:t>שלש</w:t>
      </w:r>
      <w:r w:rsidRPr="00974030">
        <w:rPr>
          <w:rFonts w:asciiTheme="minorBidi" w:hAnsiTheme="minorBidi" w:cs="Arial"/>
          <w:rtl/>
        </w:rPr>
        <w:t xml:space="preserve"> </w:t>
      </w:r>
      <w:r w:rsidRPr="00974030">
        <w:rPr>
          <w:rFonts w:asciiTheme="minorBidi" w:hAnsiTheme="minorBidi" w:cs="Arial" w:hint="cs"/>
          <w:rtl/>
        </w:rPr>
        <w:t>סעודות</w:t>
      </w:r>
      <w:r w:rsidRPr="00974030">
        <w:rPr>
          <w:rFonts w:asciiTheme="minorBidi" w:hAnsiTheme="minorBidi" w:cs="Arial"/>
          <w:rtl/>
        </w:rPr>
        <w:t xml:space="preserve">, </w:t>
      </w:r>
      <w:r w:rsidRPr="00974030">
        <w:rPr>
          <w:rFonts w:asciiTheme="minorBidi" w:hAnsiTheme="minorBidi" w:cs="Arial" w:hint="cs"/>
          <w:rtl/>
        </w:rPr>
        <w:t>הראוי</w:t>
      </w:r>
      <w:r w:rsidRPr="00974030">
        <w:rPr>
          <w:rFonts w:asciiTheme="minorBidi" w:hAnsiTheme="minorBidi" w:cs="Arial"/>
          <w:rtl/>
        </w:rPr>
        <w:t xml:space="preserve"> </w:t>
      </w:r>
      <w:r w:rsidRPr="00974030">
        <w:rPr>
          <w:rFonts w:asciiTheme="minorBidi" w:hAnsiTheme="minorBidi" w:cs="Arial" w:hint="cs"/>
          <w:rtl/>
        </w:rPr>
        <w:t>לאדם</w:t>
      </w:r>
      <w:r w:rsidRPr="00974030">
        <w:rPr>
          <w:rFonts w:asciiTheme="minorBidi" w:hAnsiTheme="minorBidi" w:cs="Arial"/>
          <w:rtl/>
        </w:rPr>
        <w:t xml:space="preserve">, </w:t>
      </w:r>
      <w:r w:rsidRPr="00974030">
        <w:rPr>
          <w:rFonts w:asciiTheme="minorBidi" w:hAnsiTheme="minorBidi" w:cs="Arial" w:hint="cs"/>
          <w:rtl/>
        </w:rPr>
        <w:t>לאדם</w:t>
      </w:r>
      <w:r w:rsidRPr="00974030">
        <w:rPr>
          <w:rFonts w:asciiTheme="minorBidi" w:hAnsiTheme="minorBidi" w:cs="Arial"/>
          <w:rtl/>
        </w:rPr>
        <w:t xml:space="preserve">, </w:t>
      </w:r>
      <w:r w:rsidRPr="00974030">
        <w:rPr>
          <w:rFonts w:asciiTheme="minorBidi" w:hAnsiTheme="minorBidi" w:cs="Arial" w:hint="cs"/>
          <w:rtl/>
        </w:rPr>
        <w:t>והראוי</w:t>
      </w:r>
      <w:r w:rsidRPr="00974030">
        <w:rPr>
          <w:rFonts w:asciiTheme="minorBidi" w:hAnsiTheme="minorBidi" w:cs="Arial"/>
          <w:rtl/>
        </w:rPr>
        <w:t xml:space="preserve"> </w:t>
      </w:r>
      <w:r w:rsidRPr="00974030">
        <w:rPr>
          <w:rFonts w:asciiTheme="minorBidi" w:hAnsiTheme="minorBidi" w:cs="Arial" w:hint="cs"/>
          <w:rtl/>
        </w:rPr>
        <w:t>לבהמה</w:t>
      </w:r>
      <w:r w:rsidRPr="00974030">
        <w:rPr>
          <w:rFonts w:asciiTheme="minorBidi" w:hAnsiTheme="minorBidi" w:cs="Arial"/>
          <w:rtl/>
        </w:rPr>
        <w:t xml:space="preserve">, </w:t>
      </w:r>
      <w:r w:rsidRPr="00974030">
        <w:rPr>
          <w:rFonts w:asciiTheme="minorBidi" w:hAnsiTheme="minorBidi" w:cs="Arial" w:hint="cs"/>
          <w:rtl/>
        </w:rPr>
        <w:t>לבהמה</w:t>
      </w:r>
      <w:r w:rsidRPr="00974030">
        <w:rPr>
          <w:rFonts w:asciiTheme="minorBidi" w:hAnsiTheme="minorBidi" w:cs="Arial"/>
          <w:rtl/>
        </w:rPr>
        <w:t xml:space="preserve">; </w:t>
      </w:r>
      <w:r w:rsidRPr="00974030">
        <w:rPr>
          <w:rFonts w:asciiTheme="minorBidi" w:hAnsiTheme="minorBidi" w:cs="Arial" w:hint="cs"/>
          <w:rtl/>
        </w:rPr>
        <w:t>ובשחרית</w:t>
      </w:r>
      <w:r w:rsidRPr="00974030">
        <w:rPr>
          <w:rFonts w:asciiTheme="minorBidi" w:hAnsiTheme="minorBidi" w:cs="Arial"/>
          <w:rtl/>
        </w:rPr>
        <w:t xml:space="preserve">, </w:t>
      </w:r>
      <w:r w:rsidRPr="00974030">
        <w:rPr>
          <w:rFonts w:asciiTheme="minorBidi" w:hAnsiTheme="minorBidi" w:cs="Arial" w:hint="cs"/>
          <w:rtl/>
        </w:rPr>
        <w:t>מזון</w:t>
      </w:r>
      <w:r w:rsidRPr="00974030">
        <w:rPr>
          <w:rFonts w:asciiTheme="minorBidi" w:hAnsiTheme="minorBidi" w:cs="Arial"/>
          <w:rtl/>
        </w:rPr>
        <w:t xml:space="preserve"> </w:t>
      </w:r>
      <w:r w:rsidRPr="00974030">
        <w:rPr>
          <w:rFonts w:asciiTheme="minorBidi" w:hAnsiTheme="minorBidi" w:cs="Arial" w:hint="cs"/>
          <w:rtl/>
        </w:rPr>
        <w:t>שתי</w:t>
      </w:r>
      <w:r w:rsidRPr="00974030">
        <w:rPr>
          <w:rFonts w:asciiTheme="minorBidi" w:hAnsiTheme="minorBidi" w:cs="Arial"/>
          <w:rtl/>
        </w:rPr>
        <w:t xml:space="preserve"> </w:t>
      </w:r>
      <w:r w:rsidRPr="00974030">
        <w:rPr>
          <w:rFonts w:asciiTheme="minorBidi" w:hAnsiTheme="minorBidi" w:cs="Arial" w:hint="cs"/>
          <w:rtl/>
        </w:rPr>
        <w:t>סעודות</w:t>
      </w:r>
      <w:r w:rsidRPr="00974030">
        <w:rPr>
          <w:rFonts w:asciiTheme="minorBidi" w:hAnsiTheme="minorBidi" w:cs="Arial"/>
          <w:rtl/>
        </w:rPr>
        <w:t xml:space="preserve">; </w:t>
      </w:r>
      <w:r w:rsidRPr="00974030">
        <w:rPr>
          <w:rFonts w:asciiTheme="minorBidi" w:hAnsiTheme="minorBidi" w:cs="Arial" w:hint="cs"/>
          <w:rtl/>
        </w:rPr>
        <w:t>ובמנחה</w:t>
      </w:r>
      <w:r w:rsidRPr="00974030">
        <w:rPr>
          <w:rFonts w:asciiTheme="minorBidi" w:hAnsiTheme="minorBidi" w:cs="Arial"/>
          <w:rtl/>
        </w:rPr>
        <w:t xml:space="preserve">, </w:t>
      </w:r>
      <w:r w:rsidRPr="00974030">
        <w:rPr>
          <w:rFonts w:asciiTheme="minorBidi" w:hAnsiTheme="minorBidi" w:cs="Arial" w:hint="cs"/>
          <w:rtl/>
        </w:rPr>
        <w:t>מזון</w:t>
      </w:r>
      <w:r w:rsidRPr="00974030">
        <w:rPr>
          <w:rFonts w:asciiTheme="minorBidi" w:hAnsiTheme="minorBidi" w:cs="Arial"/>
          <w:rtl/>
        </w:rPr>
        <w:t xml:space="preserve"> </w:t>
      </w:r>
      <w:r w:rsidRPr="00974030">
        <w:rPr>
          <w:rFonts w:asciiTheme="minorBidi" w:hAnsiTheme="minorBidi" w:cs="Arial" w:hint="cs"/>
          <w:rtl/>
        </w:rPr>
        <w:t>סעודה</w:t>
      </w:r>
      <w:r w:rsidRPr="00974030">
        <w:rPr>
          <w:rFonts w:asciiTheme="minorBidi" w:hAnsiTheme="minorBidi" w:cs="Arial"/>
          <w:rtl/>
        </w:rPr>
        <w:t xml:space="preserve"> </w:t>
      </w:r>
      <w:r w:rsidRPr="00974030">
        <w:rPr>
          <w:rFonts w:asciiTheme="minorBidi" w:hAnsiTheme="minorBidi" w:cs="Arial" w:hint="cs"/>
          <w:rtl/>
        </w:rPr>
        <w:t>אחת</w:t>
      </w:r>
      <w:r w:rsidRPr="00974030">
        <w:rPr>
          <w:rFonts w:asciiTheme="minorBidi" w:hAnsiTheme="minorBidi" w:cs="Arial"/>
          <w:rtl/>
        </w:rPr>
        <w:t xml:space="preserve">. </w:t>
      </w:r>
      <w:r w:rsidRPr="00974030">
        <w:rPr>
          <w:rFonts w:asciiTheme="minorBidi" w:hAnsiTheme="minorBidi" w:cs="Arial" w:hint="cs"/>
          <w:rtl/>
        </w:rPr>
        <w:t>ודוקא</w:t>
      </w:r>
      <w:r w:rsidRPr="00974030">
        <w:rPr>
          <w:rFonts w:asciiTheme="minorBidi" w:hAnsiTheme="minorBidi" w:cs="Arial"/>
          <w:rtl/>
        </w:rPr>
        <w:t xml:space="preserve"> </w:t>
      </w:r>
      <w:r w:rsidRPr="00974030">
        <w:rPr>
          <w:rFonts w:asciiTheme="minorBidi" w:hAnsiTheme="minorBidi" w:cs="Arial" w:hint="cs"/>
          <w:rtl/>
        </w:rPr>
        <w:t>בני</w:t>
      </w:r>
      <w:r w:rsidRPr="00974030">
        <w:rPr>
          <w:rFonts w:asciiTheme="minorBidi" w:hAnsiTheme="minorBidi" w:cs="Arial"/>
          <w:rtl/>
        </w:rPr>
        <w:t xml:space="preserve"> </w:t>
      </w:r>
      <w:r w:rsidRPr="00974030">
        <w:rPr>
          <w:rFonts w:asciiTheme="minorBidi" w:hAnsiTheme="minorBidi" w:cs="Arial" w:hint="cs"/>
          <w:rtl/>
        </w:rPr>
        <w:t>הבית</w:t>
      </w:r>
      <w:r w:rsidRPr="00974030">
        <w:rPr>
          <w:rFonts w:asciiTheme="minorBidi" w:hAnsiTheme="minorBidi" w:cs="Arial"/>
          <w:rtl/>
        </w:rPr>
        <w:t xml:space="preserve"> </w:t>
      </w:r>
      <w:r w:rsidRPr="00974030">
        <w:rPr>
          <w:rFonts w:asciiTheme="minorBidi" w:hAnsiTheme="minorBidi" w:cs="Arial" w:hint="cs"/>
          <w:rtl/>
        </w:rPr>
        <w:t>שהדליקה</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יצילו</w:t>
      </w:r>
      <w:r w:rsidRPr="00974030">
        <w:rPr>
          <w:rFonts w:asciiTheme="minorBidi" w:hAnsiTheme="minorBidi" w:cs="Arial"/>
          <w:rtl/>
        </w:rPr>
        <w:t xml:space="preserve"> </w:t>
      </w:r>
      <w:r w:rsidRPr="00974030">
        <w:rPr>
          <w:rFonts w:asciiTheme="minorBidi" w:hAnsiTheme="minorBidi" w:cs="Arial" w:hint="cs"/>
          <w:rtl/>
        </w:rPr>
        <w:t>יותר</w:t>
      </w:r>
      <w:r w:rsidRPr="00974030">
        <w:rPr>
          <w:rFonts w:asciiTheme="minorBidi" w:hAnsiTheme="minorBidi" w:cs="Arial"/>
          <w:rtl/>
        </w:rPr>
        <w:t xml:space="preserve">, </w:t>
      </w:r>
      <w:r w:rsidRPr="00974030">
        <w:rPr>
          <w:rFonts w:asciiTheme="minorBidi" w:hAnsiTheme="minorBidi" w:cs="Arial" w:hint="cs"/>
          <w:rtl/>
        </w:rPr>
        <w:t>משום</w:t>
      </w:r>
      <w:r w:rsidRPr="00974030">
        <w:rPr>
          <w:rFonts w:asciiTheme="minorBidi" w:hAnsiTheme="minorBidi" w:cs="Arial"/>
          <w:rtl/>
        </w:rPr>
        <w:t xml:space="preserve"> </w:t>
      </w:r>
      <w:r w:rsidRPr="00974030">
        <w:rPr>
          <w:rFonts w:asciiTheme="minorBidi" w:hAnsiTheme="minorBidi" w:cs="Arial" w:hint="cs"/>
          <w:rtl/>
        </w:rPr>
        <w:t>דאיכא</w:t>
      </w:r>
      <w:r w:rsidRPr="00974030">
        <w:rPr>
          <w:rFonts w:asciiTheme="minorBidi" w:hAnsiTheme="minorBidi" w:cs="Arial"/>
          <w:rtl/>
        </w:rPr>
        <w:t xml:space="preserve"> </w:t>
      </w:r>
      <w:r w:rsidRPr="00974030">
        <w:rPr>
          <w:rFonts w:asciiTheme="minorBidi" w:hAnsiTheme="minorBidi" w:cs="Arial" w:hint="cs"/>
          <w:rtl/>
        </w:rPr>
        <w:t>למיחש</w:t>
      </w:r>
      <w:r w:rsidRPr="00974030">
        <w:rPr>
          <w:rFonts w:asciiTheme="minorBidi" w:hAnsiTheme="minorBidi" w:cs="Arial"/>
          <w:rtl/>
        </w:rPr>
        <w:t xml:space="preserve"> </w:t>
      </w:r>
      <w:r w:rsidRPr="00974030">
        <w:rPr>
          <w:rFonts w:asciiTheme="minorBidi" w:hAnsiTheme="minorBidi" w:cs="Arial" w:hint="cs"/>
          <w:rtl/>
        </w:rPr>
        <w:t>שמתוך</w:t>
      </w:r>
      <w:r w:rsidRPr="00974030">
        <w:rPr>
          <w:rFonts w:asciiTheme="minorBidi" w:hAnsiTheme="minorBidi" w:cs="Arial"/>
          <w:rtl/>
        </w:rPr>
        <w:t xml:space="preserve"> </w:t>
      </w:r>
      <w:r w:rsidRPr="00974030">
        <w:rPr>
          <w:rFonts w:asciiTheme="minorBidi" w:hAnsiTheme="minorBidi" w:cs="Arial" w:hint="cs"/>
          <w:rtl/>
        </w:rPr>
        <w:t>שטרודים</w:t>
      </w:r>
      <w:r w:rsidRPr="00974030">
        <w:rPr>
          <w:rFonts w:asciiTheme="minorBidi" w:hAnsiTheme="minorBidi" w:cs="Arial"/>
          <w:rtl/>
        </w:rPr>
        <w:t xml:space="preserve"> </w:t>
      </w:r>
      <w:r w:rsidRPr="00974030">
        <w:rPr>
          <w:rFonts w:asciiTheme="minorBidi" w:hAnsiTheme="minorBidi" w:cs="Arial" w:hint="cs"/>
          <w:rtl/>
        </w:rPr>
        <w:t>בהצלה</w:t>
      </w:r>
      <w:r w:rsidRPr="00974030">
        <w:rPr>
          <w:rFonts w:asciiTheme="minorBidi" w:hAnsiTheme="minorBidi" w:cs="Arial"/>
          <w:rtl/>
        </w:rPr>
        <w:t xml:space="preserve"> </w:t>
      </w:r>
      <w:r w:rsidRPr="00974030">
        <w:rPr>
          <w:rFonts w:asciiTheme="minorBidi" w:hAnsiTheme="minorBidi" w:cs="Arial" w:hint="cs"/>
          <w:rtl/>
        </w:rPr>
        <w:t>ישכחו</w:t>
      </w:r>
      <w:r w:rsidRPr="00974030">
        <w:rPr>
          <w:rFonts w:asciiTheme="minorBidi" w:hAnsiTheme="minorBidi" w:cs="Arial"/>
          <w:rtl/>
        </w:rPr>
        <w:t xml:space="preserve"> </w:t>
      </w:r>
      <w:r w:rsidRPr="00974030">
        <w:rPr>
          <w:rFonts w:asciiTheme="minorBidi" w:hAnsiTheme="minorBidi" w:cs="Arial" w:hint="cs"/>
          <w:rtl/>
        </w:rPr>
        <w:t>השבת</w:t>
      </w:r>
      <w:r w:rsidRPr="00974030">
        <w:rPr>
          <w:rFonts w:asciiTheme="minorBidi" w:hAnsiTheme="minorBidi" w:cs="Arial"/>
          <w:rtl/>
        </w:rPr>
        <w:t xml:space="preserve"> </w:t>
      </w:r>
      <w:r w:rsidRPr="00974030">
        <w:rPr>
          <w:rFonts w:asciiTheme="minorBidi" w:hAnsiTheme="minorBidi" w:cs="Arial" w:hint="cs"/>
          <w:rtl/>
        </w:rPr>
        <w:t>ויכבו</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בתים</w:t>
      </w:r>
      <w:r w:rsidRPr="00974030">
        <w:rPr>
          <w:rFonts w:asciiTheme="minorBidi" w:hAnsiTheme="minorBidi" w:cs="Arial"/>
          <w:rtl/>
        </w:rPr>
        <w:t xml:space="preserve"> </w:t>
      </w:r>
      <w:r w:rsidRPr="00974030">
        <w:rPr>
          <w:rFonts w:asciiTheme="minorBidi" w:hAnsiTheme="minorBidi" w:cs="Arial" w:hint="cs"/>
          <w:rtl/>
        </w:rPr>
        <w:t>הקרובים</w:t>
      </w:r>
      <w:r w:rsidRPr="00974030">
        <w:rPr>
          <w:rFonts w:asciiTheme="minorBidi" w:hAnsiTheme="minorBidi" w:cs="Arial"/>
          <w:rtl/>
        </w:rPr>
        <w:t xml:space="preserve"> </w:t>
      </w:r>
      <w:r w:rsidRPr="00974030">
        <w:rPr>
          <w:rFonts w:asciiTheme="minorBidi" w:hAnsiTheme="minorBidi" w:cs="Arial" w:hint="cs"/>
          <w:rtl/>
        </w:rPr>
        <w:t>ויראים</w:t>
      </w:r>
      <w:r w:rsidRPr="00974030">
        <w:rPr>
          <w:rFonts w:asciiTheme="minorBidi" w:hAnsiTheme="minorBidi" w:cs="Arial"/>
          <w:rtl/>
        </w:rPr>
        <w:t xml:space="preserve"> </w:t>
      </w:r>
      <w:r w:rsidRPr="00974030">
        <w:rPr>
          <w:rFonts w:asciiTheme="minorBidi" w:hAnsiTheme="minorBidi" w:cs="Arial" w:hint="cs"/>
          <w:rtl/>
        </w:rPr>
        <w:t>שתגיע</w:t>
      </w:r>
      <w:r w:rsidRPr="00974030">
        <w:rPr>
          <w:rFonts w:asciiTheme="minorBidi" w:hAnsiTheme="minorBidi" w:cs="Arial"/>
          <w:rtl/>
        </w:rPr>
        <w:t xml:space="preserve"> </w:t>
      </w:r>
      <w:r w:rsidRPr="00974030">
        <w:rPr>
          <w:rFonts w:asciiTheme="minorBidi" w:hAnsiTheme="minorBidi" w:cs="Arial" w:hint="cs"/>
          <w:rtl/>
        </w:rPr>
        <w:t>להם</w:t>
      </w:r>
      <w:r w:rsidRPr="00974030">
        <w:rPr>
          <w:rFonts w:asciiTheme="minorBidi" w:hAnsiTheme="minorBidi" w:cs="Arial"/>
          <w:rtl/>
        </w:rPr>
        <w:t xml:space="preserve"> </w:t>
      </w:r>
      <w:r w:rsidRPr="00974030">
        <w:rPr>
          <w:rFonts w:asciiTheme="minorBidi" w:hAnsiTheme="minorBidi" w:cs="Arial" w:hint="cs"/>
          <w:rtl/>
        </w:rPr>
        <w:t>הדליקה</w:t>
      </w:r>
      <w:r w:rsidRPr="00974030">
        <w:rPr>
          <w:rFonts w:asciiTheme="minorBidi" w:hAnsiTheme="minorBidi" w:cs="Arial"/>
          <w:rtl/>
        </w:rPr>
        <w:t xml:space="preserve">, </w:t>
      </w:r>
      <w:r w:rsidRPr="00974030">
        <w:rPr>
          <w:rFonts w:asciiTheme="minorBidi" w:hAnsiTheme="minorBidi" w:cs="Arial" w:hint="cs"/>
          <w:rtl/>
        </w:rPr>
        <w:t>יכולים</w:t>
      </w:r>
      <w:r w:rsidRPr="00974030">
        <w:rPr>
          <w:rFonts w:asciiTheme="minorBidi" w:hAnsiTheme="minorBidi" w:cs="Arial"/>
          <w:rtl/>
        </w:rPr>
        <w:t xml:space="preserve"> </w:t>
      </w:r>
      <w:r w:rsidRPr="00974030">
        <w:rPr>
          <w:rFonts w:asciiTheme="minorBidi" w:hAnsiTheme="minorBidi" w:cs="Arial" w:hint="cs"/>
          <w:rtl/>
        </w:rPr>
        <w:t>להציל</w:t>
      </w:r>
      <w:r w:rsidRPr="00974030">
        <w:rPr>
          <w:rFonts w:asciiTheme="minorBidi" w:hAnsiTheme="minorBidi" w:cs="Arial"/>
          <w:rtl/>
        </w:rPr>
        <w:t xml:space="preserve"> </w:t>
      </w:r>
      <w:r w:rsidRPr="00974030">
        <w:rPr>
          <w:rFonts w:asciiTheme="minorBidi" w:hAnsiTheme="minorBidi" w:cs="Arial" w:hint="cs"/>
          <w:rtl/>
        </w:rPr>
        <w:t>כל</w:t>
      </w:r>
      <w:r w:rsidRPr="00974030">
        <w:rPr>
          <w:rFonts w:asciiTheme="minorBidi" w:hAnsiTheme="minorBidi" w:cs="Arial"/>
          <w:rtl/>
        </w:rPr>
        <w:t xml:space="preserve"> </w:t>
      </w:r>
      <w:r w:rsidRPr="00974030">
        <w:rPr>
          <w:rFonts w:asciiTheme="minorBidi" w:hAnsiTheme="minorBidi" w:cs="Arial" w:hint="cs"/>
          <w:rtl/>
        </w:rPr>
        <w:t>מה</w:t>
      </w:r>
      <w:r w:rsidRPr="00974030">
        <w:rPr>
          <w:rFonts w:asciiTheme="minorBidi" w:hAnsiTheme="minorBidi" w:cs="Arial"/>
          <w:rtl/>
        </w:rPr>
        <w:t xml:space="preserve"> </w:t>
      </w:r>
      <w:r w:rsidRPr="00974030">
        <w:rPr>
          <w:rFonts w:asciiTheme="minorBidi" w:hAnsiTheme="minorBidi" w:cs="Arial" w:hint="cs"/>
          <w:rtl/>
        </w:rPr>
        <w:t>שירצו</w:t>
      </w:r>
      <w:r w:rsidRPr="00974030">
        <w:rPr>
          <w:rFonts w:asciiTheme="minorBidi" w:hAnsiTheme="minorBidi" w:cs="Arial"/>
          <w:rtl/>
        </w:rPr>
        <w:t xml:space="preserve">. </w:t>
      </w:r>
    </w:p>
    <w:p w14:paraId="1D11623D"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ב</w:t>
      </w:r>
    </w:p>
    <w:p w14:paraId="3EF291EE"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ויש</w:t>
      </w:r>
      <w:r w:rsidRPr="00974030">
        <w:rPr>
          <w:rFonts w:asciiTheme="minorBidi" w:hAnsiTheme="minorBidi" w:cs="Arial"/>
          <w:rtl/>
        </w:rPr>
        <w:t xml:space="preserve"> </w:t>
      </w:r>
      <w:r w:rsidRPr="00974030">
        <w:rPr>
          <w:rFonts w:asciiTheme="minorBidi" w:hAnsiTheme="minorBidi" w:cs="Arial" w:hint="cs"/>
          <w:rtl/>
        </w:rPr>
        <w:t>מתירים</w:t>
      </w:r>
      <w:r w:rsidRPr="00974030">
        <w:rPr>
          <w:rFonts w:asciiTheme="minorBidi" w:hAnsiTheme="minorBidi" w:cs="Arial"/>
          <w:rtl/>
        </w:rPr>
        <w:t xml:space="preserve"> </w:t>
      </w:r>
      <w:r w:rsidRPr="00974030">
        <w:rPr>
          <w:rFonts w:asciiTheme="minorBidi" w:hAnsiTheme="minorBidi" w:cs="Arial" w:hint="cs"/>
          <w:rtl/>
        </w:rPr>
        <w:t>לטלטל</w:t>
      </w:r>
      <w:r w:rsidRPr="00974030">
        <w:rPr>
          <w:rFonts w:asciiTheme="minorBidi" w:hAnsiTheme="minorBidi" w:cs="Arial"/>
          <w:rtl/>
        </w:rPr>
        <w:t xml:space="preserve"> </w:t>
      </w:r>
      <w:r w:rsidRPr="00974030">
        <w:rPr>
          <w:rFonts w:asciiTheme="minorBidi" w:hAnsiTheme="minorBidi" w:cs="Arial" w:hint="cs"/>
          <w:rtl/>
        </w:rPr>
        <w:t>מעות</w:t>
      </w:r>
      <w:r w:rsidRPr="00974030">
        <w:rPr>
          <w:rFonts w:asciiTheme="minorBidi" w:hAnsiTheme="minorBidi" w:cs="Arial"/>
          <w:rtl/>
        </w:rPr>
        <w:t xml:space="preserve"> </w:t>
      </w:r>
      <w:r w:rsidRPr="00974030">
        <w:rPr>
          <w:rFonts w:asciiTheme="minorBidi" w:hAnsiTheme="minorBidi" w:cs="Arial" w:hint="cs"/>
          <w:rtl/>
        </w:rPr>
        <w:t>ודברים</w:t>
      </w:r>
      <w:r w:rsidRPr="00974030">
        <w:rPr>
          <w:rFonts w:asciiTheme="minorBidi" w:hAnsiTheme="minorBidi" w:cs="Arial"/>
          <w:rtl/>
        </w:rPr>
        <w:t xml:space="preserve"> </w:t>
      </w:r>
      <w:r w:rsidRPr="00974030">
        <w:rPr>
          <w:rFonts w:asciiTheme="minorBidi" w:hAnsiTheme="minorBidi" w:cs="Arial" w:hint="cs"/>
          <w:rtl/>
        </w:rPr>
        <w:t>המוקצים</w:t>
      </w:r>
      <w:r w:rsidRPr="00974030">
        <w:rPr>
          <w:rFonts w:asciiTheme="minorBidi" w:hAnsiTheme="minorBidi" w:cs="Arial"/>
          <w:rtl/>
        </w:rPr>
        <w:t xml:space="preserve"> </w:t>
      </w:r>
      <w:r w:rsidRPr="00974030">
        <w:rPr>
          <w:rFonts w:asciiTheme="minorBidi" w:hAnsiTheme="minorBidi" w:cs="Arial" w:hint="cs"/>
          <w:rtl/>
        </w:rPr>
        <w:t>כדי</w:t>
      </w:r>
      <w:r w:rsidRPr="00974030">
        <w:rPr>
          <w:rFonts w:asciiTheme="minorBidi" w:hAnsiTheme="minorBidi" w:cs="Arial"/>
          <w:rtl/>
        </w:rPr>
        <w:t xml:space="preserve"> </w:t>
      </w:r>
      <w:r w:rsidRPr="00974030">
        <w:rPr>
          <w:rFonts w:asciiTheme="minorBidi" w:hAnsiTheme="minorBidi" w:cs="Arial" w:hint="cs"/>
          <w:rtl/>
        </w:rPr>
        <w:t>להצילם</w:t>
      </w:r>
      <w:r w:rsidRPr="00974030">
        <w:rPr>
          <w:rFonts w:asciiTheme="minorBidi" w:hAnsiTheme="minorBidi" w:cs="Arial"/>
          <w:rtl/>
        </w:rPr>
        <w:t xml:space="preserve"> </w:t>
      </w:r>
      <w:r w:rsidRPr="00974030">
        <w:rPr>
          <w:rFonts w:asciiTheme="minorBidi" w:hAnsiTheme="minorBidi" w:cs="Arial" w:hint="cs"/>
          <w:rtl/>
        </w:rPr>
        <w:t>מפני</w:t>
      </w:r>
      <w:r w:rsidRPr="00974030">
        <w:rPr>
          <w:rFonts w:asciiTheme="minorBidi" w:hAnsiTheme="minorBidi" w:cs="Arial"/>
          <w:rtl/>
        </w:rPr>
        <w:t xml:space="preserve"> </w:t>
      </w:r>
      <w:r w:rsidRPr="00974030">
        <w:rPr>
          <w:rFonts w:asciiTheme="minorBidi" w:hAnsiTheme="minorBidi" w:cs="Arial" w:hint="cs"/>
          <w:rtl/>
        </w:rPr>
        <w:t>הדליקה</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מאנסים</w:t>
      </w:r>
      <w:r w:rsidRPr="00974030">
        <w:rPr>
          <w:rFonts w:asciiTheme="minorBidi" w:hAnsiTheme="minorBidi" w:cs="Arial"/>
          <w:rtl/>
        </w:rPr>
        <w:t xml:space="preserve"> </w:t>
      </w:r>
      <w:r w:rsidRPr="00974030">
        <w:rPr>
          <w:rFonts w:asciiTheme="minorBidi" w:hAnsiTheme="minorBidi" w:cs="Arial" w:hint="cs"/>
          <w:rtl/>
        </w:rPr>
        <w:t>הבאים</w:t>
      </w:r>
      <w:r w:rsidRPr="00974030">
        <w:rPr>
          <w:rFonts w:asciiTheme="minorBidi" w:hAnsiTheme="minorBidi" w:cs="Arial"/>
          <w:rtl/>
        </w:rPr>
        <w:t xml:space="preserve"> </w:t>
      </w:r>
      <w:r w:rsidRPr="00974030">
        <w:rPr>
          <w:rFonts w:asciiTheme="minorBidi" w:hAnsiTheme="minorBidi" w:cs="Arial" w:hint="cs"/>
          <w:rtl/>
        </w:rPr>
        <w:t>לגזלם</w:t>
      </w:r>
      <w:r w:rsidRPr="00974030">
        <w:rPr>
          <w:rFonts w:asciiTheme="minorBidi" w:hAnsiTheme="minorBidi" w:cs="Arial"/>
          <w:rtl/>
        </w:rPr>
        <w:t xml:space="preserve">, </w:t>
      </w:r>
      <w:r w:rsidRPr="00974030">
        <w:rPr>
          <w:rFonts w:asciiTheme="minorBidi" w:hAnsiTheme="minorBidi" w:cs="Arial" w:hint="cs"/>
          <w:rtl/>
        </w:rPr>
        <w:t>דבמקום</w:t>
      </w:r>
      <w:r w:rsidRPr="00974030">
        <w:rPr>
          <w:rFonts w:asciiTheme="minorBidi" w:hAnsiTheme="minorBidi" w:cs="Arial"/>
          <w:rtl/>
        </w:rPr>
        <w:t xml:space="preserve"> </w:t>
      </w:r>
      <w:r w:rsidRPr="00974030">
        <w:rPr>
          <w:rFonts w:asciiTheme="minorBidi" w:hAnsiTheme="minorBidi" w:cs="Arial" w:hint="cs"/>
          <w:rtl/>
        </w:rPr>
        <w:t>פסידא</w:t>
      </w:r>
      <w:r w:rsidRPr="00974030">
        <w:rPr>
          <w:rFonts w:asciiTheme="minorBidi" w:hAnsiTheme="minorBidi" w:cs="Arial"/>
          <w:rtl/>
        </w:rPr>
        <w:t xml:space="preserve"> </w:t>
      </w:r>
      <w:r w:rsidRPr="00974030">
        <w:rPr>
          <w:rFonts w:asciiTheme="minorBidi" w:hAnsiTheme="minorBidi" w:cs="Arial" w:hint="cs"/>
          <w:rtl/>
        </w:rPr>
        <w:t>אין</w:t>
      </w:r>
      <w:r w:rsidRPr="00974030">
        <w:rPr>
          <w:rFonts w:asciiTheme="minorBidi" w:hAnsiTheme="minorBidi" w:cs="Arial"/>
          <w:rtl/>
        </w:rPr>
        <w:t xml:space="preserve"> </w:t>
      </w:r>
      <w:r w:rsidRPr="00974030">
        <w:rPr>
          <w:rFonts w:asciiTheme="minorBidi" w:hAnsiTheme="minorBidi" w:cs="Arial" w:hint="cs"/>
          <w:rtl/>
        </w:rPr>
        <w:t>לחוש</w:t>
      </w:r>
      <w:r w:rsidRPr="00974030">
        <w:rPr>
          <w:rFonts w:asciiTheme="minorBidi" w:hAnsiTheme="minorBidi" w:cs="Arial"/>
          <w:rtl/>
        </w:rPr>
        <w:t xml:space="preserve"> </w:t>
      </w:r>
      <w:r w:rsidRPr="00974030">
        <w:rPr>
          <w:rFonts w:asciiTheme="minorBidi" w:hAnsiTheme="minorBidi" w:cs="Arial" w:hint="cs"/>
          <w:rtl/>
        </w:rPr>
        <w:t>לאיסור</w:t>
      </w:r>
      <w:r w:rsidRPr="00974030">
        <w:rPr>
          <w:rFonts w:asciiTheme="minorBidi" w:hAnsiTheme="minorBidi" w:cs="Arial"/>
          <w:rtl/>
        </w:rPr>
        <w:t xml:space="preserve"> </w:t>
      </w:r>
      <w:r w:rsidRPr="00974030">
        <w:rPr>
          <w:rFonts w:asciiTheme="minorBidi" w:hAnsiTheme="minorBidi" w:cs="Arial" w:hint="cs"/>
          <w:rtl/>
        </w:rPr>
        <w:t>מוקצה</w:t>
      </w:r>
      <w:r w:rsidRPr="00974030">
        <w:rPr>
          <w:rFonts w:asciiTheme="minorBidi" w:hAnsiTheme="minorBidi" w:cs="Arial"/>
          <w:rtl/>
        </w:rPr>
        <w:t xml:space="preserve">. </w:t>
      </w:r>
      <w:r w:rsidRPr="00974030">
        <w:rPr>
          <w:rFonts w:asciiTheme="minorBidi" w:hAnsiTheme="minorBidi" w:cs="Arial" w:hint="cs"/>
          <w:rtl/>
        </w:rPr>
        <w:t>ויש</w:t>
      </w:r>
      <w:r w:rsidRPr="00974030">
        <w:rPr>
          <w:rFonts w:asciiTheme="minorBidi" w:hAnsiTheme="minorBidi" w:cs="Arial"/>
          <w:rtl/>
        </w:rPr>
        <w:t xml:space="preserve"> </w:t>
      </w:r>
      <w:r w:rsidRPr="00974030">
        <w:rPr>
          <w:rFonts w:asciiTheme="minorBidi" w:hAnsiTheme="minorBidi" w:cs="Arial" w:hint="cs"/>
          <w:rtl/>
        </w:rPr>
        <w:t>אוסרים</w:t>
      </w:r>
      <w:r w:rsidRPr="00974030">
        <w:rPr>
          <w:rFonts w:asciiTheme="minorBidi" w:hAnsiTheme="minorBidi" w:cs="Arial"/>
          <w:rtl/>
        </w:rPr>
        <w:t xml:space="preserve">, </w:t>
      </w:r>
      <w:r w:rsidRPr="00974030">
        <w:rPr>
          <w:rFonts w:asciiTheme="minorBidi" w:hAnsiTheme="minorBidi" w:cs="Arial" w:hint="cs"/>
          <w:rtl/>
        </w:rPr>
        <w:t>ואפילו</w:t>
      </w:r>
      <w:r w:rsidRPr="00974030">
        <w:rPr>
          <w:rFonts w:asciiTheme="minorBidi" w:hAnsiTheme="minorBidi" w:cs="Arial"/>
          <w:rtl/>
        </w:rPr>
        <w:t xml:space="preserve"> </w:t>
      </w:r>
      <w:r w:rsidRPr="00974030">
        <w:rPr>
          <w:rFonts w:asciiTheme="minorBidi" w:hAnsiTheme="minorBidi" w:cs="Arial" w:hint="cs"/>
          <w:rtl/>
        </w:rPr>
        <w:t>לומר</w:t>
      </w:r>
      <w:r w:rsidRPr="00974030">
        <w:rPr>
          <w:rFonts w:asciiTheme="minorBidi" w:hAnsiTheme="minorBidi" w:cs="Arial"/>
          <w:rtl/>
        </w:rPr>
        <w:t xml:space="preserve"> </w:t>
      </w:r>
      <w:r w:rsidRPr="00974030">
        <w:rPr>
          <w:rFonts w:asciiTheme="minorBidi" w:hAnsiTheme="minorBidi" w:cs="Arial" w:hint="cs"/>
          <w:rtl/>
        </w:rPr>
        <w:t>ל</w:t>
      </w:r>
      <w:r>
        <w:rPr>
          <w:rFonts w:asciiTheme="minorBidi" w:hAnsiTheme="minorBidi" w:cs="Arial" w:hint="cs"/>
          <w:rtl/>
        </w:rPr>
        <w:t>גוי</w:t>
      </w:r>
      <w:r w:rsidRPr="00974030">
        <w:rPr>
          <w:rFonts w:asciiTheme="minorBidi" w:hAnsiTheme="minorBidi" w:cs="Arial"/>
          <w:rtl/>
        </w:rPr>
        <w:t xml:space="preserve"> </w:t>
      </w:r>
      <w:r w:rsidRPr="00974030">
        <w:rPr>
          <w:rFonts w:asciiTheme="minorBidi" w:hAnsiTheme="minorBidi" w:cs="Arial" w:hint="cs"/>
          <w:rtl/>
        </w:rPr>
        <w:t>לטלטל</w:t>
      </w:r>
      <w:r w:rsidRPr="00974030">
        <w:rPr>
          <w:rFonts w:asciiTheme="minorBidi" w:hAnsiTheme="minorBidi" w:cs="Arial"/>
          <w:rtl/>
        </w:rPr>
        <w:t xml:space="preserve"> </w:t>
      </w:r>
      <w:r w:rsidRPr="00974030">
        <w:rPr>
          <w:rFonts w:asciiTheme="minorBidi" w:hAnsiTheme="minorBidi" w:cs="Arial" w:hint="cs"/>
          <w:rtl/>
        </w:rPr>
        <w:t>סחורה</w:t>
      </w:r>
      <w:r w:rsidRPr="00974030">
        <w:rPr>
          <w:rFonts w:asciiTheme="minorBidi" w:hAnsiTheme="minorBidi" w:cs="Arial"/>
          <w:rtl/>
        </w:rPr>
        <w:t xml:space="preserve"> </w:t>
      </w:r>
      <w:r w:rsidRPr="00974030">
        <w:rPr>
          <w:rFonts w:asciiTheme="minorBidi" w:hAnsiTheme="minorBidi" w:cs="Arial" w:hint="cs"/>
          <w:rtl/>
        </w:rPr>
        <w:t>הנפסדת</w:t>
      </w:r>
      <w:r w:rsidRPr="00974030">
        <w:rPr>
          <w:rFonts w:asciiTheme="minorBidi" w:hAnsiTheme="minorBidi" w:cs="Arial"/>
          <w:rtl/>
        </w:rPr>
        <w:t xml:space="preserve"> </w:t>
      </w:r>
      <w:r w:rsidRPr="00974030">
        <w:rPr>
          <w:rFonts w:asciiTheme="minorBidi" w:hAnsiTheme="minorBidi" w:cs="Arial" w:hint="cs"/>
          <w:rtl/>
        </w:rPr>
        <w:t>מחמת</w:t>
      </w:r>
      <w:r w:rsidRPr="00974030">
        <w:rPr>
          <w:rFonts w:asciiTheme="minorBidi" w:hAnsiTheme="minorBidi" w:cs="Arial"/>
          <w:rtl/>
        </w:rPr>
        <w:t xml:space="preserve"> </w:t>
      </w:r>
      <w:r w:rsidRPr="00974030">
        <w:rPr>
          <w:rFonts w:asciiTheme="minorBidi" w:hAnsiTheme="minorBidi" w:cs="Arial" w:hint="cs"/>
          <w:rtl/>
        </w:rPr>
        <w:t>גשמים</w:t>
      </w:r>
      <w:r w:rsidRPr="00974030">
        <w:rPr>
          <w:rFonts w:asciiTheme="minorBidi" w:hAnsiTheme="minorBidi" w:cs="Arial"/>
          <w:rtl/>
        </w:rPr>
        <w:t xml:space="preserve"> </w:t>
      </w:r>
      <w:r w:rsidRPr="00974030">
        <w:rPr>
          <w:rFonts w:asciiTheme="minorBidi" w:hAnsiTheme="minorBidi" w:cs="Arial" w:hint="cs"/>
          <w:rtl/>
        </w:rPr>
        <w:t>יש</w:t>
      </w:r>
      <w:r w:rsidRPr="00974030">
        <w:rPr>
          <w:rFonts w:asciiTheme="minorBidi" w:hAnsiTheme="minorBidi" w:cs="Arial"/>
          <w:rtl/>
        </w:rPr>
        <w:t xml:space="preserve"> </w:t>
      </w:r>
      <w:r w:rsidRPr="00974030">
        <w:rPr>
          <w:rFonts w:asciiTheme="minorBidi" w:hAnsiTheme="minorBidi" w:cs="Arial" w:hint="cs"/>
          <w:rtl/>
        </w:rPr>
        <w:t>מי</w:t>
      </w:r>
      <w:r w:rsidRPr="00974030">
        <w:rPr>
          <w:rFonts w:asciiTheme="minorBidi" w:hAnsiTheme="minorBidi" w:cs="Arial"/>
          <w:rtl/>
        </w:rPr>
        <w:t xml:space="preserve"> </w:t>
      </w:r>
      <w:r w:rsidRPr="00974030">
        <w:rPr>
          <w:rFonts w:asciiTheme="minorBidi" w:hAnsiTheme="minorBidi" w:cs="Arial" w:hint="cs"/>
          <w:rtl/>
        </w:rPr>
        <w:t>שאוסר</w:t>
      </w:r>
      <w:r w:rsidRPr="00974030">
        <w:rPr>
          <w:rFonts w:asciiTheme="minorBidi" w:hAnsiTheme="minorBidi" w:cs="Arial"/>
          <w:rtl/>
        </w:rPr>
        <w:t xml:space="preserve"> (</w:t>
      </w:r>
      <w:r w:rsidRPr="00974030">
        <w:rPr>
          <w:rFonts w:asciiTheme="minorBidi" w:hAnsiTheme="minorBidi" w:cs="Arial" w:hint="cs"/>
          <w:rtl/>
        </w:rPr>
        <w:t>וע</w:t>
      </w:r>
      <w:r w:rsidRPr="00974030">
        <w:rPr>
          <w:rFonts w:asciiTheme="minorBidi" w:hAnsiTheme="minorBidi" w:cs="Arial"/>
          <w:rtl/>
        </w:rPr>
        <w:t>"</w:t>
      </w:r>
      <w:r w:rsidRPr="00974030">
        <w:rPr>
          <w:rFonts w:asciiTheme="minorBidi" w:hAnsiTheme="minorBidi" w:cs="Arial" w:hint="cs"/>
          <w:rtl/>
        </w:rPr>
        <w:t>ל</w:t>
      </w:r>
      <w:r w:rsidRPr="00974030">
        <w:rPr>
          <w:rFonts w:asciiTheme="minorBidi" w:hAnsiTheme="minorBidi" w:cs="Arial"/>
          <w:rtl/>
        </w:rPr>
        <w:t xml:space="preserve"> </w:t>
      </w:r>
      <w:r w:rsidRPr="00974030">
        <w:rPr>
          <w:rFonts w:asciiTheme="minorBidi" w:hAnsiTheme="minorBidi" w:cs="Arial" w:hint="cs"/>
          <w:rtl/>
        </w:rPr>
        <w:t>סימן</w:t>
      </w:r>
      <w:r w:rsidRPr="00974030">
        <w:rPr>
          <w:rFonts w:asciiTheme="minorBidi" w:hAnsiTheme="minorBidi" w:cs="Arial"/>
          <w:rtl/>
        </w:rPr>
        <w:t xml:space="preserve"> </w:t>
      </w:r>
      <w:r w:rsidRPr="00974030">
        <w:rPr>
          <w:rFonts w:asciiTheme="minorBidi" w:hAnsiTheme="minorBidi" w:cs="Arial" w:hint="cs"/>
          <w:rtl/>
        </w:rPr>
        <w:t>ש</w:t>
      </w:r>
      <w:r w:rsidRPr="00974030">
        <w:rPr>
          <w:rFonts w:asciiTheme="minorBidi" w:hAnsiTheme="minorBidi" w:cs="Arial"/>
          <w:rtl/>
        </w:rPr>
        <w:t>"</w:t>
      </w:r>
      <w:r w:rsidRPr="00974030">
        <w:rPr>
          <w:rFonts w:asciiTheme="minorBidi" w:hAnsiTheme="minorBidi" w:cs="Arial" w:hint="cs"/>
          <w:rtl/>
        </w:rPr>
        <w:t>ז</w:t>
      </w:r>
      <w:r w:rsidRPr="00974030">
        <w:rPr>
          <w:rFonts w:asciiTheme="minorBidi" w:hAnsiTheme="minorBidi" w:cs="Arial"/>
          <w:rtl/>
        </w:rPr>
        <w:t xml:space="preserve"> </w:t>
      </w:r>
      <w:r w:rsidRPr="00974030">
        <w:rPr>
          <w:rFonts w:asciiTheme="minorBidi" w:hAnsiTheme="minorBidi" w:cs="Arial" w:hint="cs"/>
          <w:rtl/>
        </w:rPr>
        <w:t>סעיף</w:t>
      </w:r>
      <w:r w:rsidRPr="00974030">
        <w:rPr>
          <w:rFonts w:asciiTheme="minorBidi" w:hAnsiTheme="minorBidi" w:cs="Arial"/>
          <w:rtl/>
        </w:rPr>
        <w:t xml:space="preserve"> </w:t>
      </w:r>
      <w:r w:rsidRPr="00974030">
        <w:rPr>
          <w:rFonts w:asciiTheme="minorBidi" w:hAnsiTheme="minorBidi" w:cs="Arial" w:hint="cs"/>
          <w:rtl/>
        </w:rPr>
        <w:t>י</w:t>
      </w:r>
      <w:r w:rsidRPr="00974030">
        <w:rPr>
          <w:rFonts w:asciiTheme="minorBidi" w:hAnsiTheme="minorBidi" w:cs="Arial"/>
          <w:rtl/>
        </w:rPr>
        <w:t>"</w:t>
      </w:r>
      <w:r w:rsidRPr="00974030">
        <w:rPr>
          <w:rFonts w:asciiTheme="minorBidi" w:hAnsiTheme="minorBidi" w:cs="Arial" w:hint="cs"/>
          <w:rtl/>
        </w:rPr>
        <w:t>ט</w:t>
      </w:r>
      <w:r w:rsidRPr="00974030">
        <w:rPr>
          <w:rFonts w:asciiTheme="minorBidi" w:hAnsiTheme="minorBidi" w:cs="Arial"/>
          <w:rtl/>
        </w:rPr>
        <w:t xml:space="preserve">). </w:t>
      </w:r>
    </w:p>
    <w:p w14:paraId="7AD53425"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ג</w:t>
      </w:r>
    </w:p>
    <w:p w14:paraId="603E63BA"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הציל</w:t>
      </w:r>
      <w:r w:rsidRPr="00974030">
        <w:rPr>
          <w:rFonts w:asciiTheme="minorBidi" w:hAnsiTheme="minorBidi" w:cs="Arial"/>
          <w:rtl/>
        </w:rPr>
        <w:t xml:space="preserve"> </w:t>
      </w:r>
      <w:r w:rsidRPr="00974030">
        <w:rPr>
          <w:rFonts w:asciiTheme="minorBidi" w:hAnsiTheme="minorBidi" w:cs="Arial" w:hint="cs"/>
          <w:rtl/>
        </w:rPr>
        <w:t>פת</w:t>
      </w:r>
      <w:r w:rsidRPr="00974030">
        <w:rPr>
          <w:rFonts w:asciiTheme="minorBidi" w:hAnsiTheme="minorBidi" w:cs="Arial"/>
          <w:rtl/>
        </w:rPr>
        <w:t xml:space="preserve"> </w:t>
      </w:r>
      <w:r w:rsidRPr="00974030">
        <w:rPr>
          <w:rFonts w:asciiTheme="minorBidi" w:hAnsiTheme="minorBidi" w:cs="Arial" w:hint="cs"/>
          <w:rtl/>
        </w:rPr>
        <w:t>נקיה</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יציל</w:t>
      </w:r>
      <w:r w:rsidRPr="00974030">
        <w:rPr>
          <w:rFonts w:asciiTheme="minorBidi" w:hAnsiTheme="minorBidi" w:cs="Arial"/>
          <w:rtl/>
        </w:rPr>
        <w:t xml:space="preserve"> </w:t>
      </w:r>
      <w:r w:rsidRPr="00974030">
        <w:rPr>
          <w:rFonts w:asciiTheme="minorBidi" w:hAnsiTheme="minorBidi" w:cs="Arial" w:hint="cs"/>
          <w:rtl/>
        </w:rPr>
        <w:t>פת</w:t>
      </w:r>
      <w:r w:rsidRPr="00974030">
        <w:rPr>
          <w:rFonts w:asciiTheme="minorBidi" w:hAnsiTheme="minorBidi" w:cs="Arial"/>
          <w:rtl/>
        </w:rPr>
        <w:t xml:space="preserve"> </w:t>
      </w:r>
      <w:r w:rsidRPr="00974030">
        <w:rPr>
          <w:rFonts w:asciiTheme="minorBidi" w:hAnsiTheme="minorBidi" w:cs="Arial" w:hint="cs"/>
          <w:rtl/>
        </w:rPr>
        <w:t>הדראה</w:t>
      </w:r>
      <w:r w:rsidRPr="00974030">
        <w:rPr>
          <w:rFonts w:asciiTheme="minorBidi" w:hAnsiTheme="minorBidi" w:cs="Arial"/>
          <w:rtl/>
        </w:rPr>
        <w:t xml:space="preserve"> (</w:t>
      </w:r>
      <w:r w:rsidRPr="00974030">
        <w:rPr>
          <w:rFonts w:asciiTheme="minorBidi" w:hAnsiTheme="minorBidi" w:cs="Arial" w:hint="cs"/>
          <w:rtl/>
        </w:rPr>
        <w:t>פי</w:t>
      </w:r>
      <w:r w:rsidRPr="00974030">
        <w:rPr>
          <w:rFonts w:asciiTheme="minorBidi" w:hAnsiTheme="minorBidi" w:cs="Arial"/>
          <w:rtl/>
        </w:rPr>
        <w:t xml:space="preserve">' </w:t>
      </w:r>
      <w:r w:rsidRPr="00974030">
        <w:rPr>
          <w:rFonts w:asciiTheme="minorBidi" w:hAnsiTheme="minorBidi" w:cs="Arial" w:hint="cs"/>
          <w:rtl/>
        </w:rPr>
        <w:t>פת</w:t>
      </w:r>
      <w:r w:rsidRPr="00974030">
        <w:rPr>
          <w:rFonts w:asciiTheme="minorBidi" w:hAnsiTheme="minorBidi" w:cs="Arial"/>
          <w:rtl/>
        </w:rPr>
        <w:t xml:space="preserve"> </w:t>
      </w:r>
      <w:r w:rsidRPr="00974030">
        <w:rPr>
          <w:rFonts w:asciiTheme="minorBidi" w:hAnsiTheme="minorBidi" w:cs="Arial" w:hint="cs"/>
          <w:rtl/>
        </w:rPr>
        <w:t>שניטל</w:t>
      </w:r>
      <w:r w:rsidRPr="00974030">
        <w:rPr>
          <w:rFonts w:asciiTheme="minorBidi" w:hAnsiTheme="minorBidi" w:cs="Arial"/>
          <w:rtl/>
        </w:rPr>
        <w:t xml:space="preserve"> </w:t>
      </w:r>
      <w:r w:rsidRPr="00974030">
        <w:rPr>
          <w:rFonts w:asciiTheme="minorBidi" w:hAnsiTheme="minorBidi" w:cs="Arial" w:hint="cs"/>
          <w:rtl/>
        </w:rPr>
        <w:t>הדרה</w:t>
      </w:r>
      <w:r w:rsidRPr="00974030">
        <w:rPr>
          <w:rFonts w:asciiTheme="minorBidi" w:hAnsiTheme="minorBidi" w:cs="Arial"/>
          <w:rtl/>
        </w:rPr>
        <w:t xml:space="preserve"> </w:t>
      </w:r>
      <w:r w:rsidRPr="00974030">
        <w:rPr>
          <w:rFonts w:asciiTheme="minorBidi" w:hAnsiTheme="minorBidi" w:cs="Arial" w:hint="cs"/>
          <w:rtl/>
        </w:rPr>
        <w:t>דהיינו</w:t>
      </w:r>
      <w:r w:rsidRPr="00974030">
        <w:rPr>
          <w:rFonts w:asciiTheme="minorBidi" w:hAnsiTheme="minorBidi" w:cs="Arial"/>
          <w:rtl/>
        </w:rPr>
        <w:t xml:space="preserve"> </w:t>
      </w:r>
      <w:r w:rsidRPr="00974030">
        <w:rPr>
          <w:rFonts w:asciiTheme="minorBidi" w:hAnsiTheme="minorBidi" w:cs="Arial" w:hint="cs"/>
          <w:rtl/>
        </w:rPr>
        <w:t>פת</w:t>
      </w:r>
      <w:r w:rsidRPr="00974030">
        <w:rPr>
          <w:rFonts w:asciiTheme="minorBidi" w:hAnsiTheme="minorBidi" w:cs="Arial"/>
          <w:rtl/>
        </w:rPr>
        <w:t xml:space="preserve"> </w:t>
      </w:r>
      <w:r w:rsidRPr="00974030">
        <w:rPr>
          <w:rFonts w:asciiTheme="minorBidi" w:hAnsiTheme="minorBidi" w:cs="Arial" w:hint="cs"/>
          <w:rtl/>
        </w:rPr>
        <w:t>סובין</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איפכא</w:t>
      </w:r>
      <w:r w:rsidRPr="00974030">
        <w:rPr>
          <w:rFonts w:asciiTheme="minorBidi" w:hAnsiTheme="minorBidi" w:cs="Arial"/>
          <w:rtl/>
        </w:rPr>
        <w:t xml:space="preserve"> </w:t>
      </w:r>
      <w:r w:rsidRPr="00974030">
        <w:rPr>
          <w:rFonts w:asciiTheme="minorBidi" w:hAnsiTheme="minorBidi" w:cs="Arial" w:hint="cs"/>
          <w:rtl/>
        </w:rPr>
        <w:t>שרי</w:t>
      </w:r>
      <w:r w:rsidRPr="00974030">
        <w:rPr>
          <w:rFonts w:asciiTheme="minorBidi" w:hAnsiTheme="minorBidi" w:cs="Arial"/>
          <w:rtl/>
        </w:rPr>
        <w:t xml:space="preserve">. </w:t>
      </w:r>
    </w:p>
    <w:p w14:paraId="5484D32D"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ד</w:t>
      </w:r>
    </w:p>
    <w:p w14:paraId="06A641D0"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מצילין</w:t>
      </w:r>
      <w:r w:rsidRPr="00974030">
        <w:rPr>
          <w:rFonts w:asciiTheme="minorBidi" w:hAnsiTheme="minorBidi" w:cs="Arial"/>
          <w:rtl/>
        </w:rPr>
        <w:t xml:space="preserve"> </w:t>
      </w:r>
      <w:r w:rsidRPr="00974030">
        <w:rPr>
          <w:rFonts w:asciiTheme="minorBidi" w:hAnsiTheme="minorBidi" w:cs="Arial" w:hint="cs"/>
          <w:rtl/>
        </w:rPr>
        <w:t>מיה</w:t>
      </w:r>
      <w:r w:rsidRPr="00974030">
        <w:rPr>
          <w:rFonts w:asciiTheme="minorBidi" w:hAnsiTheme="minorBidi" w:cs="Arial"/>
          <w:rtl/>
        </w:rPr>
        <w:t>"</w:t>
      </w:r>
      <w:r w:rsidRPr="00974030">
        <w:rPr>
          <w:rFonts w:asciiTheme="minorBidi" w:hAnsiTheme="minorBidi" w:cs="Arial" w:hint="cs"/>
          <w:rtl/>
        </w:rPr>
        <w:t>כ</w:t>
      </w:r>
      <w:r w:rsidRPr="00974030">
        <w:rPr>
          <w:rFonts w:asciiTheme="minorBidi" w:hAnsiTheme="minorBidi" w:cs="Arial"/>
          <w:rtl/>
        </w:rPr>
        <w:t xml:space="preserve"> </w:t>
      </w:r>
      <w:r w:rsidRPr="00974030">
        <w:rPr>
          <w:rFonts w:asciiTheme="minorBidi" w:hAnsiTheme="minorBidi" w:cs="Arial" w:hint="cs"/>
          <w:rtl/>
        </w:rPr>
        <w:t>לשבת</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משבת</w:t>
      </w:r>
      <w:r w:rsidRPr="00974030">
        <w:rPr>
          <w:rFonts w:asciiTheme="minorBidi" w:hAnsiTheme="minorBidi" w:cs="Arial"/>
          <w:rtl/>
        </w:rPr>
        <w:t xml:space="preserve"> </w:t>
      </w:r>
      <w:r w:rsidRPr="00974030">
        <w:rPr>
          <w:rFonts w:asciiTheme="minorBidi" w:hAnsiTheme="minorBidi" w:cs="Arial" w:hint="cs"/>
          <w:rtl/>
        </w:rPr>
        <w:t>ליה</w:t>
      </w:r>
      <w:r w:rsidRPr="00974030">
        <w:rPr>
          <w:rFonts w:asciiTheme="minorBidi" w:hAnsiTheme="minorBidi" w:cs="Arial"/>
          <w:rtl/>
        </w:rPr>
        <w:t>"</w:t>
      </w:r>
      <w:r w:rsidRPr="00974030">
        <w:rPr>
          <w:rFonts w:asciiTheme="minorBidi" w:hAnsiTheme="minorBidi" w:cs="Arial" w:hint="cs"/>
          <w:rtl/>
        </w:rPr>
        <w:t>כ</w:t>
      </w:r>
      <w:r w:rsidRPr="00974030">
        <w:rPr>
          <w:rFonts w:asciiTheme="minorBidi" w:hAnsiTheme="minorBidi" w:cs="Arial"/>
          <w:rtl/>
        </w:rPr>
        <w:t xml:space="preserve"> </w:t>
      </w:r>
      <w:r w:rsidRPr="00974030">
        <w:rPr>
          <w:rFonts w:asciiTheme="minorBidi" w:hAnsiTheme="minorBidi" w:cs="Arial" w:hint="cs"/>
          <w:rtl/>
        </w:rPr>
        <w:t>ויו</w:t>
      </w:r>
      <w:r w:rsidRPr="00974030">
        <w:rPr>
          <w:rFonts w:asciiTheme="minorBidi" w:hAnsiTheme="minorBidi" w:cs="Arial"/>
          <w:rtl/>
        </w:rPr>
        <w:t>"</w:t>
      </w:r>
      <w:r w:rsidRPr="00974030">
        <w:rPr>
          <w:rFonts w:asciiTheme="minorBidi" w:hAnsiTheme="minorBidi" w:cs="Arial" w:hint="cs"/>
          <w:rtl/>
        </w:rPr>
        <w:t>ט</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לשבת</w:t>
      </w:r>
      <w:r w:rsidRPr="00974030">
        <w:rPr>
          <w:rFonts w:asciiTheme="minorBidi" w:hAnsiTheme="minorBidi" w:cs="Arial"/>
          <w:rtl/>
        </w:rPr>
        <w:t xml:space="preserve"> </w:t>
      </w:r>
      <w:r w:rsidRPr="00974030">
        <w:rPr>
          <w:rFonts w:asciiTheme="minorBidi" w:hAnsiTheme="minorBidi" w:cs="Arial" w:hint="cs"/>
          <w:rtl/>
        </w:rPr>
        <w:t>הבאה</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מיה</w:t>
      </w:r>
      <w:r w:rsidRPr="00974030">
        <w:rPr>
          <w:rFonts w:asciiTheme="minorBidi" w:hAnsiTheme="minorBidi" w:cs="Arial"/>
          <w:rtl/>
        </w:rPr>
        <w:t>"</w:t>
      </w:r>
      <w:r w:rsidRPr="00974030">
        <w:rPr>
          <w:rFonts w:asciiTheme="minorBidi" w:hAnsiTheme="minorBidi" w:cs="Arial" w:hint="cs"/>
          <w:rtl/>
        </w:rPr>
        <w:t>כ</w:t>
      </w:r>
      <w:r w:rsidRPr="00974030">
        <w:rPr>
          <w:rFonts w:asciiTheme="minorBidi" w:hAnsiTheme="minorBidi" w:cs="Arial"/>
          <w:rtl/>
        </w:rPr>
        <w:t xml:space="preserve"> </w:t>
      </w:r>
      <w:r w:rsidRPr="00974030">
        <w:rPr>
          <w:rFonts w:asciiTheme="minorBidi" w:hAnsiTheme="minorBidi" w:cs="Arial" w:hint="cs"/>
          <w:rtl/>
        </w:rPr>
        <w:t>למוצאי</w:t>
      </w:r>
      <w:r w:rsidRPr="00974030">
        <w:rPr>
          <w:rFonts w:asciiTheme="minorBidi" w:hAnsiTheme="minorBidi" w:cs="Arial"/>
          <w:rtl/>
        </w:rPr>
        <w:t xml:space="preserve"> </w:t>
      </w:r>
      <w:r w:rsidRPr="00974030">
        <w:rPr>
          <w:rFonts w:asciiTheme="minorBidi" w:hAnsiTheme="minorBidi" w:cs="Arial" w:hint="cs"/>
          <w:rtl/>
        </w:rPr>
        <w:t>יה</w:t>
      </w:r>
      <w:r w:rsidRPr="00974030">
        <w:rPr>
          <w:rFonts w:asciiTheme="minorBidi" w:hAnsiTheme="minorBidi" w:cs="Arial"/>
          <w:rtl/>
        </w:rPr>
        <w:t>"</w:t>
      </w:r>
      <w:r w:rsidRPr="00974030">
        <w:rPr>
          <w:rFonts w:asciiTheme="minorBidi" w:hAnsiTheme="minorBidi" w:cs="Arial" w:hint="cs"/>
          <w:rtl/>
        </w:rPr>
        <w:t>כ</w:t>
      </w:r>
      <w:r w:rsidRPr="00974030">
        <w:rPr>
          <w:rFonts w:asciiTheme="minorBidi" w:hAnsiTheme="minorBidi" w:cs="Arial"/>
          <w:rtl/>
        </w:rPr>
        <w:t xml:space="preserve"> </w:t>
      </w:r>
      <w:r w:rsidRPr="00974030">
        <w:rPr>
          <w:rFonts w:asciiTheme="minorBidi" w:hAnsiTheme="minorBidi" w:cs="Arial" w:hint="cs"/>
          <w:rtl/>
        </w:rPr>
        <w:t>מצילין</w:t>
      </w:r>
      <w:r w:rsidRPr="00974030">
        <w:rPr>
          <w:rFonts w:asciiTheme="minorBidi" w:hAnsiTheme="minorBidi" w:cs="Arial"/>
          <w:rtl/>
        </w:rPr>
        <w:t xml:space="preserve"> </w:t>
      </w:r>
      <w:r w:rsidRPr="00974030">
        <w:rPr>
          <w:rFonts w:asciiTheme="minorBidi" w:hAnsiTheme="minorBidi" w:cs="Arial" w:hint="cs"/>
          <w:rtl/>
        </w:rPr>
        <w:t>מזון</w:t>
      </w:r>
      <w:r w:rsidRPr="00974030">
        <w:rPr>
          <w:rFonts w:asciiTheme="minorBidi" w:hAnsiTheme="minorBidi" w:cs="Arial"/>
          <w:rtl/>
        </w:rPr>
        <w:t xml:space="preserve"> </w:t>
      </w:r>
      <w:r w:rsidRPr="00974030">
        <w:rPr>
          <w:rFonts w:asciiTheme="minorBidi" w:hAnsiTheme="minorBidi" w:cs="Arial" w:hint="cs"/>
          <w:rtl/>
        </w:rPr>
        <w:t>סעודה</w:t>
      </w:r>
      <w:r w:rsidRPr="00974030">
        <w:rPr>
          <w:rFonts w:asciiTheme="minorBidi" w:hAnsiTheme="minorBidi" w:cs="Arial"/>
          <w:rtl/>
        </w:rPr>
        <w:t xml:space="preserve"> </w:t>
      </w:r>
      <w:r w:rsidRPr="00974030">
        <w:rPr>
          <w:rFonts w:asciiTheme="minorBidi" w:hAnsiTheme="minorBidi" w:cs="Arial" w:hint="cs"/>
          <w:rtl/>
        </w:rPr>
        <w:t>אחת</w:t>
      </w:r>
      <w:r w:rsidRPr="00974030">
        <w:rPr>
          <w:rFonts w:asciiTheme="minorBidi" w:hAnsiTheme="minorBidi" w:cs="Arial"/>
          <w:rtl/>
        </w:rPr>
        <w:t xml:space="preserve">. </w:t>
      </w:r>
    </w:p>
    <w:p w14:paraId="33378196"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ה</w:t>
      </w:r>
    </w:p>
    <w:p w14:paraId="737313BB"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מצילין</w:t>
      </w:r>
      <w:r w:rsidRPr="00974030">
        <w:rPr>
          <w:rFonts w:asciiTheme="minorBidi" w:hAnsiTheme="minorBidi" w:cs="Arial"/>
          <w:rtl/>
        </w:rPr>
        <w:t xml:space="preserve"> </w:t>
      </w:r>
      <w:r w:rsidRPr="00974030">
        <w:rPr>
          <w:rFonts w:asciiTheme="minorBidi" w:hAnsiTheme="minorBidi" w:cs="Arial" w:hint="cs"/>
          <w:rtl/>
        </w:rPr>
        <w:t>לחולה</w:t>
      </w:r>
      <w:r w:rsidRPr="00974030">
        <w:rPr>
          <w:rFonts w:asciiTheme="minorBidi" w:hAnsiTheme="minorBidi" w:cs="Arial"/>
          <w:rtl/>
        </w:rPr>
        <w:t xml:space="preserve">, </w:t>
      </w:r>
      <w:r w:rsidRPr="00974030">
        <w:rPr>
          <w:rFonts w:asciiTheme="minorBidi" w:hAnsiTheme="minorBidi" w:cs="Arial" w:hint="cs"/>
          <w:rtl/>
        </w:rPr>
        <w:t>לזקן</w:t>
      </w:r>
      <w:r w:rsidRPr="00974030">
        <w:rPr>
          <w:rFonts w:asciiTheme="minorBidi" w:hAnsiTheme="minorBidi" w:cs="Arial"/>
          <w:rtl/>
        </w:rPr>
        <w:t xml:space="preserve"> </w:t>
      </w:r>
      <w:r w:rsidRPr="00974030">
        <w:rPr>
          <w:rFonts w:asciiTheme="minorBidi" w:hAnsiTheme="minorBidi" w:cs="Arial" w:hint="cs"/>
          <w:rtl/>
        </w:rPr>
        <w:t>ולרעבתן</w:t>
      </w:r>
      <w:r w:rsidRPr="00974030">
        <w:rPr>
          <w:rFonts w:asciiTheme="minorBidi" w:hAnsiTheme="minorBidi" w:cs="Arial"/>
          <w:rtl/>
        </w:rPr>
        <w:t xml:space="preserve">, </w:t>
      </w:r>
      <w:r w:rsidRPr="00974030">
        <w:rPr>
          <w:rFonts w:asciiTheme="minorBidi" w:hAnsiTheme="minorBidi" w:cs="Arial" w:hint="cs"/>
          <w:rtl/>
        </w:rPr>
        <w:t>כבינוני</w:t>
      </w:r>
      <w:r w:rsidRPr="00974030">
        <w:rPr>
          <w:rFonts w:asciiTheme="minorBidi" w:hAnsiTheme="minorBidi" w:cs="Arial"/>
          <w:rtl/>
        </w:rPr>
        <w:t xml:space="preserve">. </w:t>
      </w:r>
    </w:p>
    <w:p w14:paraId="20C8EEA3"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ו</w:t>
      </w:r>
    </w:p>
    <w:p w14:paraId="5777A6E0"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הא</w:t>
      </w:r>
      <w:r w:rsidRPr="00974030">
        <w:rPr>
          <w:rFonts w:asciiTheme="minorBidi" w:hAnsiTheme="minorBidi" w:cs="Arial"/>
          <w:rtl/>
        </w:rPr>
        <w:t xml:space="preserve"> </w:t>
      </w:r>
      <w:r w:rsidRPr="00974030">
        <w:rPr>
          <w:rFonts w:asciiTheme="minorBidi" w:hAnsiTheme="minorBidi" w:cs="Arial" w:hint="cs"/>
          <w:rtl/>
        </w:rPr>
        <w:t>דאין</w:t>
      </w:r>
      <w:r w:rsidRPr="00974030">
        <w:rPr>
          <w:rFonts w:asciiTheme="minorBidi" w:hAnsiTheme="minorBidi" w:cs="Arial"/>
          <w:rtl/>
        </w:rPr>
        <w:t xml:space="preserve"> </w:t>
      </w:r>
      <w:r w:rsidRPr="00974030">
        <w:rPr>
          <w:rFonts w:asciiTheme="minorBidi" w:hAnsiTheme="minorBidi" w:cs="Arial" w:hint="cs"/>
          <w:rtl/>
        </w:rPr>
        <w:t>מצילין</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מזון</w:t>
      </w:r>
      <w:r w:rsidRPr="00974030">
        <w:rPr>
          <w:rFonts w:asciiTheme="minorBidi" w:hAnsiTheme="minorBidi" w:cs="Arial"/>
          <w:rtl/>
        </w:rPr>
        <w:t xml:space="preserve"> </w:t>
      </w:r>
      <w:r w:rsidRPr="00974030">
        <w:rPr>
          <w:rFonts w:asciiTheme="minorBidi" w:hAnsiTheme="minorBidi" w:cs="Arial" w:hint="cs"/>
          <w:rtl/>
        </w:rPr>
        <w:t>ג</w:t>
      </w:r>
      <w:r w:rsidRPr="00974030">
        <w:rPr>
          <w:rFonts w:asciiTheme="minorBidi" w:hAnsiTheme="minorBidi" w:cs="Arial"/>
          <w:rtl/>
        </w:rPr>
        <w:t xml:space="preserve">' </w:t>
      </w:r>
      <w:r w:rsidRPr="00974030">
        <w:rPr>
          <w:rFonts w:asciiTheme="minorBidi" w:hAnsiTheme="minorBidi" w:cs="Arial" w:hint="cs"/>
          <w:rtl/>
        </w:rPr>
        <w:t>סעודות</w:t>
      </w:r>
      <w:r w:rsidRPr="00974030">
        <w:rPr>
          <w:rFonts w:asciiTheme="minorBidi" w:hAnsiTheme="minorBidi" w:cs="Arial"/>
          <w:rtl/>
        </w:rPr>
        <w:t xml:space="preserve"> </w:t>
      </w:r>
      <w:r w:rsidRPr="00974030">
        <w:rPr>
          <w:rFonts w:asciiTheme="minorBidi" w:hAnsiTheme="minorBidi" w:cs="Arial" w:hint="cs"/>
          <w:rtl/>
        </w:rPr>
        <w:t>היינו</w:t>
      </w:r>
      <w:r w:rsidRPr="00974030">
        <w:rPr>
          <w:rFonts w:asciiTheme="minorBidi" w:hAnsiTheme="minorBidi" w:cs="Arial"/>
          <w:rtl/>
        </w:rPr>
        <w:t xml:space="preserve"> </w:t>
      </w:r>
      <w:r w:rsidRPr="00974030">
        <w:rPr>
          <w:rFonts w:asciiTheme="minorBidi" w:hAnsiTheme="minorBidi" w:cs="Arial" w:hint="cs"/>
          <w:rtl/>
        </w:rPr>
        <w:t>דוקא</w:t>
      </w:r>
      <w:r w:rsidRPr="00974030">
        <w:rPr>
          <w:rFonts w:asciiTheme="minorBidi" w:hAnsiTheme="minorBidi" w:cs="Arial"/>
          <w:rtl/>
        </w:rPr>
        <w:t xml:space="preserve"> </w:t>
      </w:r>
      <w:r w:rsidRPr="00974030">
        <w:rPr>
          <w:rFonts w:asciiTheme="minorBidi" w:hAnsiTheme="minorBidi" w:cs="Arial" w:hint="cs"/>
          <w:rtl/>
        </w:rPr>
        <w:t>בשני</w:t>
      </w:r>
      <w:r w:rsidRPr="00974030">
        <w:rPr>
          <w:rFonts w:asciiTheme="minorBidi" w:hAnsiTheme="minorBidi" w:cs="Arial"/>
          <w:rtl/>
        </w:rPr>
        <w:t xml:space="preserve"> </w:t>
      </w:r>
      <w:r w:rsidRPr="00974030">
        <w:rPr>
          <w:rFonts w:asciiTheme="minorBidi" w:hAnsiTheme="minorBidi" w:cs="Arial" w:hint="cs"/>
          <w:rtl/>
        </w:rPr>
        <w:t>כלים</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בכלי</w:t>
      </w:r>
      <w:r w:rsidRPr="00974030">
        <w:rPr>
          <w:rFonts w:asciiTheme="minorBidi" w:hAnsiTheme="minorBidi" w:cs="Arial"/>
          <w:rtl/>
        </w:rPr>
        <w:t xml:space="preserve"> </w:t>
      </w:r>
      <w:r w:rsidRPr="00974030">
        <w:rPr>
          <w:rFonts w:asciiTheme="minorBidi" w:hAnsiTheme="minorBidi" w:cs="Arial" w:hint="cs"/>
          <w:rtl/>
        </w:rPr>
        <w:t>א</w:t>
      </w:r>
      <w:r w:rsidRPr="00974030">
        <w:rPr>
          <w:rFonts w:asciiTheme="minorBidi" w:hAnsiTheme="minorBidi" w:cs="Arial"/>
          <w:rtl/>
        </w:rPr>
        <w:t xml:space="preserve">' </w:t>
      </w:r>
      <w:r w:rsidRPr="00974030">
        <w:rPr>
          <w:rFonts w:asciiTheme="minorBidi" w:hAnsiTheme="minorBidi" w:cs="Arial" w:hint="cs"/>
          <w:rtl/>
        </w:rPr>
        <w:t>מצילין</w:t>
      </w:r>
      <w:r w:rsidRPr="00974030">
        <w:rPr>
          <w:rFonts w:asciiTheme="minorBidi" w:hAnsiTheme="minorBidi" w:cs="Arial"/>
          <w:rtl/>
        </w:rPr>
        <w:t xml:space="preserve"> </w:t>
      </w:r>
      <w:r w:rsidRPr="00974030">
        <w:rPr>
          <w:rFonts w:asciiTheme="minorBidi" w:hAnsiTheme="minorBidi" w:cs="Arial" w:hint="cs"/>
          <w:rtl/>
        </w:rPr>
        <w:t>אפי</w:t>
      </w:r>
      <w:r w:rsidRPr="00974030">
        <w:rPr>
          <w:rFonts w:asciiTheme="minorBidi" w:hAnsiTheme="minorBidi" w:cs="Arial"/>
          <w:rtl/>
        </w:rPr>
        <w:t xml:space="preserve">' </w:t>
      </w:r>
      <w:r w:rsidRPr="00974030">
        <w:rPr>
          <w:rFonts w:asciiTheme="minorBidi" w:hAnsiTheme="minorBidi" w:cs="Arial" w:hint="cs"/>
          <w:rtl/>
        </w:rPr>
        <w:t>יש</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מאה</w:t>
      </w:r>
      <w:r w:rsidRPr="00974030">
        <w:rPr>
          <w:rFonts w:asciiTheme="minorBidi" w:hAnsiTheme="minorBidi" w:cs="Arial"/>
          <w:rtl/>
        </w:rPr>
        <w:t xml:space="preserve"> </w:t>
      </w:r>
      <w:r w:rsidRPr="00974030">
        <w:rPr>
          <w:rFonts w:asciiTheme="minorBidi" w:hAnsiTheme="minorBidi" w:cs="Arial" w:hint="cs"/>
          <w:rtl/>
        </w:rPr>
        <w:t>סעודות</w:t>
      </w:r>
      <w:r w:rsidRPr="00974030">
        <w:rPr>
          <w:rFonts w:asciiTheme="minorBidi" w:hAnsiTheme="minorBidi" w:cs="Arial"/>
          <w:rtl/>
        </w:rPr>
        <w:t xml:space="preserve">, </w:t>
      </w:r>
      <w:r w:rsidRPr="00974030">
        <w:rPr>
          <w:rFonts w:asciiTheme="minorBidi" w:hAnsiTheme="minorBidi" w:cs="Arial" w:hint="cs"/>
          <w:rtl/>
        </w:rPr>
        <w:t>ואפי</w:t>
      </w:r>
      <w:r w:rsidRPr="00974030">
        <w:rPr>
          <w:rFonts w:asciiTheme="minorBidi" w:hAnsiTheme="minorBidi" w:cs="Arial"/>
          <w:rtl/>
        </w:rPr>
        <w:t xml:space="preserve">' </w:t>
      </w:r>
      <w:r w:rsidRPr="00974030">
        <w:rPr>
          <w:rFonts w:asciiTheme="minorBidi" w:hAnsiTheme="minorBidi" w:cs="Arial" w:hint="cs"/>
          <w:rtl/>
        </w:rPr>
        <w:t>פירש</w:t>
      </w:r>
      <w:r w:rsidRPr="00974030">
        <w:rPr>
          <w:rFonts w:asciiTheme="minorBidi" w:hAnsiTheme="minorBidi" w:cs="Arial"/>
          <w:rtl/>
        </w:rPr>
        <w:t xml:space="preserve"> </w:t>
      </w:r>
      <w:r w:rsidRPr="00974030">
        <w:rPr>
          <w:rFonts w:asciiTheme="minorBidi" w:hAnsiTheme="minorBidi" w:cs="Arial" w:hint="cs"/>
          <w:rtl/>
        </w:rPr>
        <w:t>טליתו</w:t>
      </w:r>
      <w:r w:rsidRPr="00974030">
        <w:rPr>
          <w:rFonts w:asciiTheme="minorBidi" w:hAnsiTheme="minorBidi" w:cs="Arial"/>
          <w:rtl/>
        </w:rPr>
        <w:t xml:space="preserve"> </w:t>
      </w:r>
      <w:r w:rsidRPr="00974030">
        <w:rPr>
          <w:rFonts w:asciiTheme="minorBidi" w:hAnsiTheme="minorBidi" w:cs="Arial" w:hint="cs"/>
          <w:rtl/>
        </w:rPr>
        <w:t>וקיפל</w:t>
      </w:r>
      <w:r w:rsidRPr="00974030">
        <w:rPr>
          <w:rFonts w:asciiTheme="minorBidi" w:hAnsiTheme="minorBidi" w:cs="Arial"/>
          <w:rtl/>
        </w:rPr>
        <w:t xml:space="preserve"> </w:t>
      </w:r>
      <w:r w:rsidRPr="00974030">
        <w:rPr>
          <w:rFonts w:asciiTheme="minorBidi" w:hAnsiTheme="minorBidi" w:cs="Arial" w:hint="cs"/>
          <w:rtl/>
        </w:rPr>
        <w:t>והביא</w:t>
      </w:r>
      <w:r w:rsidRPr="00974030">
        <w:rPr>
          <w:rFonts w:asciiTheme="minorBidi" w:hAnsiTheme="minorBidi" w:cs="Arial"/>
          <w:rtl/>
        </w:rPr>
        <w:t xml:space="preserve"> </w:t>
      </w:r>
      <w:r w:rsidRPr="00974030">
        <w:rPr>
          <w:rFonts w:asciiTheme="minorBidi" w:hAnsiTheme="minorBidi" w:cs="Arial" w:hint="cs"/>
          <w:rtl/>
        </w:rPr>
        <w:t>לתוכו</w:t>
      </w:r>
      <w:r w:rsidRPr="00974030">
        <w:rPr>
          <w:rFonts w:asciiTheme="minorBidi" w:hAnsiTheme="minorBidi" w:cs="Arial"/>
          <w:rtl/>
        </w:rPr>
        <w:t xml:space="preserve">, </w:t>
      </w:r>
      <w:r w:rsidRPr="00974030">
        <w:rPr>
          <w:rFonts w:asciiTheme="minorBidi" w:hAnsiTheme="minorBidi" w:cs="Arial" w:hint="cs"/>
          <w:rtl/>
        </w:rPr>
        <w:t>וחזר</w:t>
      </w:r>
      <w:r w:rsidRPr="00974030">
        <w:rPr>
          <w:rFonts w:asciiTheme="minorBidi" w:hAnsiTheme="minorBidi" w:cs="Arial"/>
          <w:rtl/>
        </w:rPr>
        <w:t xml:space="preserve"> </w:t>
      </w:r>
      <w:r w:rsidRPr="00974030">
        <w:rPr>
          <w:rFonts w:asciiTheme="minorBidi" w:hAnsiTheme="minorBidi" w:cs="Arial" w:hint="cs"/>
          <w:rtl/>
        </w:rPr>
        <w:t>וקיפל</w:t>
      </w:r>
      <w:r w:rsidRPr="00974030">
        <w:rPr>
          <w:rFonts w:asciiTheme="minorBidi" w:hAnsiTheme="minorBidi" w:cs="Arial"/>
          <w:rtl/>
        </w:rPr>
        <w:t xml:space="preserve"> </w:t>
      </w:r>
      <w:r w:rsidRPr="00974030">
        <w:rPr>
          <w:rFonts w:asciiTheme="minorBidi" w:hAnsiTheme="minorBidi" w:cs="Arial" w:hint="cs"/>
          <w:rtl/>
        </w:rPr>
        <w:t>והביא</w:t>
      </w:r>
      <w:r w:rsidRPr="00974030">
        <w:rPr>
          <w:rFonts w:asciiTheme="minorBidi" w:hAnsiTheme="minorBidi" w:cs="Arial"/>
          <w:rtl/>
        </w:rPr>
        <w:t xml:space="preserve"> </w:t>
      </w:r>
      <w:r w:rsidRPr="00974030">
        <w:rPr>
          <w:rFonts w:asciiTheme="minorBidi" w:hAnsiTheme="minorBidi" w:cs="Arial" w:hint="cs"/>
          <w:rtl/>
        </w:rPr>
        <w:t>לתוכו</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כיון</w:t>
      </w:r>
      <w:r w:rsidRPr="00974030">
        <w:rPr>
          <w:rFonts w:asciiTheme="minorBidi" w:hAnsiTheme="minorBidi" w:cs="Arial"/>
          <w:rtl/>
        </w:rPr>
        <w:t xml:space="preserve"> </w:t>
      </w:r>
      <w:r w:rsidRPr="00974030">
        <w:rPr>
          <w:rFonts w:asciiTheme="minorBidi" w:hAnsiTheme="minorBidi" w:cs="Arial" w:hint="cs"/>
          <w:rtl/>
        </w:rPr>
        <w:t>שמוציא</w:t>
      </w:r>
      <w:r w:rsidRPr="00974030">
        <w:rPr>
          <w:rFonts w:asciiTheme="minorBidi" w:hAnsiTheme="minorBidi" w:cs="Arial"/>
          <w:rtl/>
        </w:rPr>
        <w:t xml:space="preserve"> </w:t>
      </w:r>
      <w:r w:rsidRPr="00974030">
        <w:rPr>
          <w:rFonts w:asciiTheme="minorBidi" w:hAnsiTheme="minorBidi" w:cs="Arial" w:hint="cs"/>
          <w:rtl/>
        </w:rPr>
        <w:t>הכל</w:t>
      </w:r>
      <w:r w:rsidRPr="00974030">
        <w:rPr>
          <w:rFonts w:asciiTheme="minorBidi" w:hAnsiTheme="minorBidi" w:cs="Arial"/>
          <w:rtl/>
        </w:rPr>
        <w:t xml:space="preserve"> </w:t>
      </w:r>
      <w:r w:rsidRPr="00974030">
        <w:rPr>
          <w:rFonts w:asciiTheme="minorBidi" w:hAnsiTheme="minorBidi" w:cs="Arial" w:hint="cs"/>
          <w:rtl/>
        </w:rPr>
        <w:t>בפעם</w:t>
      </w:r>
      <w:r w:rsidRPr="00974030">
        <w:rPr>
          <w:rFonts w:asciiTheme="minorBidi" w:hAnsiTheme="minorBidi" w:cs="Arial"/>
          <w:rtl/>
        </w:rPr>
        <w:t xml:space="preserve"> </w:t>
      </w:r>
      <w:r w:rsidRPr="00974030">
        <w:rPr>
          <w:rFonts w:asciiTheme="minorBidi" w:hAnsiTheme="minorBidi" w:cs="Arial" w:hint="cs"/>
          <w:rtl/>
        </w:rPr>
        <w:t>אחת</w:t>
      </w:r>
      <w:r w:rsidRPr="00974030">
        <w:rPr>
          <w:rFonts w:asciiTheme="minorBidi" w:hAnsiTheme="minorBidi" w:cs="Arial"/>
          <w:rtl/>
        </w:rPr>
        <w:t xml:space="preserve">. </w:t>
      </w:r>
    </w:p>
    <w:p w14:paraId="2449BA0A"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ז</w:t>
      </w:r>
    </w:p>
    <w:p w14:paraId="3B72E33B"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להציל</w:t>
      </w:r>
      <w:r w:rsidRPr="00974030">
        <w:rPr>
          <w:rFonts w:asciiTheme="minorBidi" w:hAnsiTheme="minorBidi" w:cs="Arial"/>
          <w:rtl/>
        </w:rPr>
        <w:t xml:space="preserve"> </w:t>
      </w:r>
      <w:r w:rsidRPr="00974030">
        <w:rPr>
          <w:rFonts w:asciiTheme="minorBidi" w:hAnsiTheme="minorBidi" w:cs="Arial" w:hint="cs"/>
          <w:rtl/>
        </w:rPr>
        <w:t>כלי</w:t>
      </w:r>
      <w:r w:rsidRPr="00974030">
        <w:rPr>
          <w:rFonts w:asciiTheme="minorBidi" w:hAnsiTheme="minorBidi" w:cs="Arial"/>
          <w:rtl/>
        </w:rPr>
        <w:t xml:space="preserve"> </w:t>
      </w:r>
      <w:r w:rsidRPr="00974030">
        <w:rPr>
          <w:rFonts w:asciiTheme="minorBidi" w:hAnsiTheme="minorBidi" w:cs="Arial" w:hint="cs"/>
          <w:rtl/>
        </w:rPr>
        <w:t>תשמישו</w:t>
      </w:r>
      <w:r w:rsidRPr="00974030">
        <w:rPr>
          <w:rFonts w:asciiTheme="minorBidi" w:hAnsiTheme="minorBidi" w:cs="Arial"/>
          <w:rtl/>
        </w:rPr>
        <w:t xml:space="preserve"> </w:t>
      </w:r>
      <w:r w:rsidRPr="00974030">
        <w:rPr>
          <w:rFonts w:asciiTheme="minorBidi" w:hAnsiTheme="minorBidi" w:cs="Arial" w:hint="cs"/>
          <w:rtl/>
        </w:rPr>
        <w:t>הצריכים</w:t>
      </w:r>
      <w:r w:rsidRPr="00974030">
        <w:rPr>
          <w:rFonts w:asciiTheme="minorBidi" w:hAnsiTheme="minorBidi" w:cs="Arial"/>
          <w:rtl/>
        </w:rPr>
        <w:t xml:space="preserve"> </w:t>
      </w:r>
      <w:r w:rsidRPr="00974030">
        <w:rPr>
          <w:rFonts w:asciiTheme="minorBidi" w:hAnsiTheme="minorBidi" w:cs="Arial" w:hint="cs"/>
          <w:rtl/>
        </w:rPr>
        <w:t>לו</w:t>
      </w:r>
      <w:r w:rsidRPr="00974030">
        <w:rPr>
          <w:rFonts w:asciiTheme="minorBidi" w:hAnsiTheme="minorBidi" w:cs="Arial"/>
          <w:rtl/>
        </w:rPr>
        <w:t xml:space="preserve"> </w:t>
      </w:r>
      <w:r w:rsidRPr="00974030">
        <w:rPr>
          <w:rFonts w:asciiTheme="minorBidi" w:hAnsiTheme="minorBidi" w:cs="Arial" w:hint="cs"/>
          <w:rtl/>
        </w:rPr>
        <w:t>לאותו</w:t>
      </w:r>
      <w:r w:rsidRPr="00974030">
        <w:rPr>
          <w:rFonts w:asciiTheme="minorBidi" w:hAnsiTheme="minorBidi" w:cs="Arial"/>
          <w:rtl/>
        </w:rPr>
        <w:t xml:space="preserve"> </w:t>
      </w:r>
      <w:r w:rsidRPr="00974030">
        <w:rPr>
          <w:rFonts w:asciiTheme="minorBidi" w:hAnsiTheme="minorBidi" w:cs="Arial" w:hint="cs"/>
          <w:rtl/>
        </w:rPr>
        <w:t>היום</w:t>
      </w:r>
      <w:r w:rsidRPr="00974030">
        <w:rPr>
          <w:rFonts w:asciiTheme="minorBidi" w:hAnsiTheme="minorBidi" w:cs="Arial"/>
          <w:rtl/>
        </w:rPr>
        <w:t xml:space="preserve">, </w:t>
      </w:r>
      <w:r w:rsidRPr="00974030">
        <w:rPr>
          <w:rFonts w:asciiTheme="minorBidi" w:hAnsiTheme="minorBidi" w:cs="Arial" w:hint="cs"/>
          <w:rtl/>
        </w:rPr>
        <w:t>כגון</w:t>
      </w:r>
      <w:r w:rsidRPr="00974030">
        <w:rPr>
          <w:rFonts w:asciiTheme="minorBidi" w:hAnsiTheme="minorBidi" w:cs="Arial"/>
          <w:rtl/>
        </w:rPr>
        <w:t xml:space="preserve"> </w:t>
      </w:r>
      <w:r w:rsidRPr="00974030">
        <w:rPr>
          <w:rFonts w:asciiTheme="minorBidi" w:hAnsiTheme="minorBidi" w:cs="Arial" w:hint="cs"/>
          <w:rtl/>
        </w:rPr>
        <w:t>כוסות</w:t>
      </w:r>
      <w:r w:rsidRPr="00974030">
        <w:rPr>
          <w:rFonts w:asciiTheme="minorBidi" w:hAnsiTheme="minorBidi" w:cs="Arial"/>
          <w:rtl/>
        </w:rPr>
        <w:t xml:space="preserve"> </w:t>
      </w:r>
      <w:r w:rsidRPr="00974030">
        <w:rPr>
          <w:rFonts w:asciiTheme="minorBidi" w:hAnsiTheme="minorBidi" w:cs="Arial" w:hint="cs"/>
          <w:rtl/>
        </w:rPr>
        <w:t>וקיתוניות</w:t>
      </w:r>
      <w:r w:rsidRPr="00974030">
        <w:rPr>
          <w:rFonts w:asciiTheme="minorBidi" w:hAnsiTheme="minorBidi" w:cs="Arial"/>
          <w:rtl/>
        </w:rPr>
        <w:t xml:space="preserve">. </w:t>
      </w:r>
    </w:p>
    <w:p w14:paraId="418420DB"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ח</w:t>
      </w:r>
    </w:p>
    <w:p w14:paraId="04ED43E9"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ולובש</w:t>
      </w:r>
      <w:r w:rsidRPr="00974030">
        <w:rPr>
          <w:rFonts w:asciiTheme="minorBidi" w:hAnsiTheme="minorBidi" w:cs="Arial"/>
          <w:rtl/>
        </w:rPr>
        <w:t xml:space="preserve"> </w:t>
      </w:r>
      <w:r w:rsidRPr="00974030">
        <w:rPr>
          <w:rFonts w:asciiTheme="minorBidi" w:hAnsiTheme="minorBidi" w:cs="Arial" w:hint="cs"/>
          <w:rtl/>
        </w:rPr>
        <w:t>כל</w:t>
      </w:r>
      <w:r w:rsidRPr="00974030">
        <w:rPr>
          <w:rFonts w:asciiTheme="minorBidi" w:hAnsiTheme="minorBidi" w:cs="Arial"/>
          <w:rtl/>
        </w:rPr>
        <w:t xml:space="preserve"> </w:t>
      </w:r>
      <w:r w:rsidRPr="00974030">
        <w:rPr>
          <w:rFonts w:asciiTheme="minorBidi" w:hAnsiTheme="minorBidi" w:cs="Arial" w:hint="cs"/>
          <w:rtl/>
        </w:rPr>
        <w:t>מה</w:t>
      </w:r>
      <w:r w:rsidRPr="00974030">
        <w:rPr>
          <w:rFonts w:asciiTheme="minorBidi" w:hAnsiTheme="minorBidi" w:cs="Arial"/>
          <w:rtl/>
        </w:rPr>
        <w:t xml:space="preserve"> </w:t>
      </w:r>
      <w:r w:rsidRPr="00974030">
        <w:rPr>
          <w:rFonts w:asciiTheme="minorBidi" w:hAnsiTheme="minorBidi" w:cs="Arial" w:hint="cs"/>
          <w:rtl/>
        </w:rPr>
        <w:t>שיכול</w:t>
      </w:r>
      <w:r w:rsidRPr="00974030">
        <w:rPr>
          <w:rFonts w:asciiTheme="minorBidi" w:hAnsiTheme="minorBidi" w:cs="Arial"/>
          <w:rtl/>
        </w:rPr>
        <w:t xml:space="preserve"> </w:t>
      </w:r>
      <w:r w:rsidRPr="00974030">
        <w:rPr>
          <w:rFonts w:asciiTheme="minorBidi" w:hAnsiTheme="minorBidi" w:cs="Arial" w:hint="cs"/>
          <w:rtl/>
        </w:rPr>
        <w:t>ללבוש</w:t>
      </w:r>
      <w:r w:rsidRPr="00974030">
        <w:rPr>
          <w:rFonts w:asciiTheme="minorBidi" w:hAnsiTheme="minorBidi" w:cs="Arial"/>
          <w:rtl/>
        </w:rPr>
        <w:t xml:space="preserve">, </w:t>
      </w:r>
      <w:r w:rsidRPr="00974030">
        <w:rPr>
          <w:rFonts w:asciiTheme="minorBidi" w:hAnsiTheme="minorBidi" w:cs="Arial" w:hint="cs"/>
          <w:rtl/>
        </w:rPr>
        <w:t>ומוציא</w:t>
      </w:r>
      <w:r w:rsidRPr="00974030">
        <w:rPr>
          <w:rFonts w:asciiTheme="minorBidi" w:hAnsiTheme="minorBidi" w:cs="Arial"/>
          <w:rtl/>
        </w:rPr>
        <w:t xml:space="preserve">, </w:t>
      </w:r>
      <w:r w:rsidRPr="00974030">
        <w:rPr>
          <w:rFonts w:asciiTheme="minorBidi" w:hAnsiTheme="minorBidi" w:cs="Arial" w:hint="cs"/>
          <w:rtl/>
        </w:rPr>
        <w:t>ופושט</w:t>
      </w:r>
      <w:r w:rsidRPr="00974030">
        <w:rPr>
          <w:rFonts w:asciiTheme="minorBidi" w:hAnsiTheme="minorBidi" w:cs="Arial"/>
          <w:rtl/>
        </w:rPr>
        <w:t xml:space="preserve"> </w:t>
      </w:r>
      <w:r w:rsidRPr="00974030">
        <w:rPr>
          <w:rFonts w:asciiTheme="minorBidi" w:hAnsiTheme="minorBidi" w:cs="Arial" w:hint="cs"/>
          <w:rtl/>
        </w:rPr>
        <w:t>וחוזר</w:t>
      </w:r>
      <w:r w:rsidRPr="00974030">
        <w:rPr>
          <w:rFonts w:asciiTheme="minorBidi" w:hAnsiTheme="minorBidi" w:cs="Arial"/>
          <w:rtl/>
        </w:rPr>
        <w:t xml:space="preserve"> </w:t>
      </w:r>
      <w:r w:rsidRPr="00974030">
        <w:rPr>
          <w:rFonts w:asciiTheme="minorBidi" w:hAnsiTheme="minorBidi" w:cs="Arial" w:hint="cs"/>
          <w:rtl/>
        </w:rPr>
        <w:t>ולובש</w:t>
      </w:r>
      <w:r w:rsidRPr="00974030">
        <w:rPr>
          <w:rFonts w:asciiTheme="minorBidi" w:hAnsiTheme="minorBidi" w:cs="Arial"/>
          <w:rtl/>
        </w:rPr>
        <w:t xml:space="preserve">, </w:t>
      </w:r>
      <w:r w:rsidRPr="00974030">
        <w:rPr>
          <w:rFonts w:asciiTheme="minorBidi" w:hAnsiTheme="minorBidi" w:cs="Arial" w:hint="cs"/>
          <w:rtl/>
        </w:rPr>
        <w:t>ומוציא</w:t>
      </w:r>
      <w:r w:rsidRPr="00974030">
        <w:rPr>
          <w:rFonts w:asciiTheme="minorBidi" w:hAnsiTheme="minorBidi" w:cs="Arial"/>
          <w:rtl/>
        </w:rPr>
        <w:t xml:space="preserve"> </w:t>
      </w:r>
      <w:r w:rsidRPr="00974030">
        <w:rPr>
          <w:rFonts w:asciiTheme="minorBidi" w:hAnsiTheme="minorBidi" w:cs="Arial" w:hint="cs"/>
          <w:rtl/>
        </w:rPr>
        <w:t>ופושט</w:t>
      </w:r>
      <w:r w:rsidRPr="00974030">
        <w:rPr>
          <w:rFonts w:asciiTheme="minorBidi" w:hAnsiTheme="minorBidi" w:cs="Arial"/>
          <w:rtl/>
        </w:rPr>
        <w:t xml:space="preserve">. </w:t>
      </w:r>
      <w:r w:rsidRPr="00974030">
        <w:rPr>
          <w:rFonts w:asciiTheme="minorBidi" w:hAnsiTheme="minorBidi" w:cs="Arial" w:hint="cs"/>
          <w:rtl/>
        </w:rPr>
        <w:t>ויש</w:t>
      </w:r>
      <w:r w:rsidRPr="00974030">
        <w:rPr>
          <w:rFonts w:asciiTheme="minorBidi" w:hAnsiTheme="minorBidi" w:cs="Arial"/>
          <w:rtl/>
        </w:rPr>
        <w:t xml:space="preserve"> </w:t>
      </w:r>
      <w:r w:rsidRPr="00974030">
        <w:rPr>
          <w:rFonts w:asciiTheme="minorBidi" w:hAnsiTheme="minorBidi" w:cs="Arial" w:hint="cs"/>
          <w:rtl/>
        </w:rPr>
        <w:t>מי</w:t>
      </w:r>
      <w:r w:rsidRPr="00974030">
        <w:rPr>
          <w:rFonts w:asciiTheme="minorBidi" w:hAnsiTheme="minorBidi" w:cs="Arial"/>
          <w:rtl/>
        </w:rPr>
        <w:t xml:space="preserve"> </w:t>
      </w:r>
      <w:r w:rsidRPr="00974030">
        <w:rPr>
          <w:rFonts w:asciiTheme="minorBidi" w:hAnsiTheme="minorBidi" w:cs="Arial" w:hint="cs"/>
          <w:rtl/>
        </w:rPr>
        <w:t>שאומר</w:t>
      </w:r>
      <w:r w:rsidRPr="00974030">
        <w:rPr>
          <w:rFonts w:asciiTheme="minorBidi" w:hAnsiTheme="minorBidi" w:cs="Arial"/>
          <w:rtl/>
        </w:rPr>
        <w:t xml:space="preserve"> </w:t>
      </w:r>
      <w:r w:rsidRPr="00974030">
        <w:rPr>
          <w:rFonts w:asciiTheme="minorBidi" w:hAnsiTheme="minorBidi" w:cs="Arial" w:hint="cs"/>
          <w:rtl/>
        </w:rPr>
        <w:t>שאינו</w:t>
      </w:r>
      <w:r w:rsidRPr="00974030">
        <w:rPr>
          <w:rFonts w:asciiTheme="minorBidi" w:hAnsiTheme="minorBidi" w:cs="Arial"/>
          <w:rtl/>
        </w:rPr>
        <w:t xml:space="preserve"> </w:t>
      </w:r>
      <w:r w:rsidRPr="00974030">
        <w:rPr>
          <w:rFonts w:asciiTheme="minorBidi" w:hAnsiTheme="minorBidi" w:cs="Arial" w:hint="cs"/>
          <w:rtl/>
        </w:rPr>
        <w:t>לובש</w:t>
      </w:r>
      <w:r w:rsidRPr="00974030">
        <w:rPr>
          <w:rFonts w:asciiTheme="minorBidi" w:hAnsiTheme="minorBidi" w:cs="Arial"/>
          <w:rtl/>
        </w:rPr>
        <w:t xml:space="preserve"> </w:t>
      </w:r>
      <w:r w:rsidRPr="00974030">
        <w:rPr>
          <w:rFonts w:asciiTheme="minorBidi" w:hAnsiTheme="minorBidi" w:cs="Arial" w:hint="cs"/>
          <w:rtl/>
        </w:rPr>
        <w:t>ומוציא</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פעם</w:t>
      </w:r>
      <w:r w:rsidRPr="00974030">
        <w:rPr>
          <w:rFonts w:asciiTheme="minorBidi" w:hAnsiTheme="minorBidi" w:cs="Arial"/>
          <w:rtl/>
        </w:rPr>
        <w:t xml:space="preserve"> </w:t>
      </w:r>
      <w:r w:rsidRPr="00974030">
        <w:rPr>
          <w:rFonts w:asciiTheme="minorBidi" w:hAnsiTheme="minorBidi" w:cs="Arial" w:hint="cs"/>
          <w:rtl/>
        </w:rPr>
        <w:t>אחת</w:t>
      </w:r>
      <w:r w:rsidRPr="00974030">
        <w:rPr>
          <w:rFonts w:asciiTheme="minorBidi" w:hAnsiTheme="minorBidi" w:cs="Arial"/>
          <w:rtl/>
        </w:rPr>
        <w:t xml:space="preserve"> </w:t>
      </w:r>
      <w:r w:rsidRPr="00974030">
        <w:rPr>
          <w:rFonts w:asciiTheme="minorBidi" w:hAnsiTheme="minorBidi" w:cs="Arial" w:hint="cs"/>
          <w:rtl/>
        </w:rPr>
        <w:t>בלבד</w:t>
      </w:r>
      <w:r w:rsidRPr="00974030">
        <w:rPr>
          <w:rFonts w:asciiTheme="minorBidi" w:hAnsiTheme="minorBidi" w:cs="Arial"/>
          <w:rtl/>
        </w:rPr>
        <w:t xml:space="preserve">. </w:t>
      </w:r>
    </w:p>
    <w:p w14:paraId="1D52E6A9"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ט</w:t>
      </w:r>
    </w:p>
    <w:p w14:paraId="1067B0E6"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ואומר</w:t>
      </w:r>
      <w:r w:rsidRPr="00974030">
        <w:rPr>
          <w:rFonts w:asciiTheme="minorBidi" w:hAnsiTheme="minorBidi" w:cs="Arial"/>
          <w:rtl/>
        </w:rPr>
        <w:t xml:space="preserve"> </w:t>
      </w:r>
      <w:r w:rsidRPr="00974030">
        <w:rPr>
          <w:rFonts w:asciiTheme="minorBidi" w:hAnsiTheme="minorBidi" w:cs="Arial" w:hint="cs"/>
          <w:rtl/>
        </w:rPr>
        <w:t>לאחרים</w:t>
      </w:r>
      <w:r w:rsidRPr="00974030">
        <w:rPr>
          <w:rFonts w:asciiTheme="minorBidi" w:hAnsiTheme="minorBidi" w:cs="Arial"/>
          <w:rtl/>
        </w:rPr>
        <w:t xml:space="preserve">: </w:t>
      </w:r>
      <w:r w:rsidRPr="00974030">
        <w:rPr>
          <w:rFonts w:asciiTheme="minorBidi" w:hAnsiTheme="minorBidi" w:cs="Arial" w:hint="cs"/>
          <w:rtl/>
        </w:rPr>
        <w:t>בואו</w:t>
      </w:r>
      <w:r w:rsidRPr="00974030">
        <w:rPr>
          <w:rFonts w:asciiTheme="minorBidi" w:hAnsiTheme="minorBidi" w:cs="Arial"/>
          <w:rtl/>
        </w:rPr>
        <w:t xml:space="preserve"> </w:t>
      </w:r>
      <w:r w:rsidRPr="00974030">
        <w:rPr>
          <w:rFonts w:asciiTheme="minorBidi" w:hAnsiTheme="minorBidi" w:cs="Arial" w:hint="cs"/>
          <w:rtl/>
        </w:rPr>
        <w:t>והצילו</w:t>
      </w:r>
      <w:r w:rsidRPr="00974030">
        <w:rPr>
          <w:rFonts w:asciiTheme="minorBidi" w:hAnsiTheme="minorBidi" w:cs="Arial"/>
          <w:rtl/>
        </w:rPr>
        <w:t xml:space="preserve"> </w:t>
      </w:r>
      <w:r w:rsidRPr="00974030">
        <w:rPr>
          <w:rFonts w:asciiTheme="minorBidi" w:hAnsiTheme="minorBidi" w:cs="Arial" w:hint="cs"/>
          <w:rtl/>
        </w:rPr>
        <w:t>לכם</w:t>
      </w:r>
      <w:r w:rsidRPr="00974030">
        <w:rPr>
          <w:rFonts w:asciiTheme="minorBidi" w:hAnsiTheme="minorBidi" w:cs="Arial"/>
          <w:rtl/>
        </w:rPr>
        <w:t xml:space="preserve"> </w:t>
      </w:r>
      <w:r w:rsidRPr="00974030">
        <w:rPr>
          <w:rFonts w:asciiTheme="minorBidi" w:hAnsiTheme="minorBidi" w:cs="Arial" w:hint="cs"/>
          <w:rtl/>
        </w:rPr>
        <w:t>כל</w:t>
      </w:r>
      <w:r w:rsidRPr="00974030">
        <w:rPr>
          <w:rFonts w:asciiTheme="minorBidi" w:hAnsiTheme="minorBidi" w:cs="Arial"/>
          <w:rtl/>
        </w:rPr>
        <w:t xml:space="preserve"> </w:t>
      </w:r>
      <w:r w:rsidRPr="00974030">
        <w:rPr>
          <w:rFonts w:asciiTheme="minorBidi" w:hAnsiTheme="minorBidi" w:cs="Arial" w:hint="cs"/>
          <w:rtl/>
        </w:rPr>
        <w:t>אחד</w:t>
      </w:r>
      <w:r w:rsidRPr="00974030">
        <w:rPr>
          <w:rFonts w:asciiTheme="minorBidi" w:hAnsiTheme="minorBidi" w:cs="Arial"/>
          <w:rtl/>
        </w:rPr>
        <w:t xml:space="preserve"> </w:t>
      </w:r>
      <w:r w:rsidRPr="00974030">
        <w:rPr>
          <w:rFonts w:asciiTheme="minorBidi" w:hAnsiTheme="minorBidi" w:cs="Arial" w:hint="cs"/>
          <w:rtl/>
        </w:rPr>
        <w:t>מזון</w:t>
      </w:r>
      <w:r w:rsidRPr="00974030">
        <w:rPr>
          <w:rFonts w:asciiTheme="minorBidi" w:hAnsiTheme="minorBidi" w:cs="Arial"/>
          <w:rtl/>
        </w:rPr>
        <w:t xml:space="preserve"> </w:t>
      </w:r>
      <w:r w:rsidRPr="00974030">
        <w:rPr>
          <w:rFonts w:asciiTheme="minorBidi" w:hAnsiTheme="minorBidi" w:cs="Arial" w:hint="cs"/>
          <w:rtl/>
        </w:rPr>
        <w:t>שלש</w:t>
      </w:r>
      <w:r w:rsidRPr="00974030">
        <w:rPr>
          <w:rFonts w:asciiTheme="minorBidi" w:hAnsiTheme="minorBidi" w:cs="Arial"/>
          <w:rtl/>
        </w:rPr>
        <w:t xml:space="preserve"> </w:t>
      </w:r>
      <w:r w:rsidRPr="00974030">
        <w:rPr>
          <w:rFonts w:asciiTheme="minorBidi" w:hAnsiTheme="minorBidi" w:cs="Arial" w:hint="cs"/>
          <w:rtl/>
        </w:rPr>
        <w:t>סעודות</w:t>
      </w:r>
      <w:r w:rsidRPr="00974030">
        <w:rPr>
          <w:rFonts w:asciiTheme="minorBidi" w:hAnsiTheme="minorBidi" w:cs="Arial"/>
          <w:rtl/>
        </w:rPr>
        <w:t xml:space="preserve">, </w:t>
      </w:r>
      <w:r w:rsidRPr="00974030">
        <w:rPr>
          <w:rFonts w:asciiTheme="minorBidi" w:hAnsiTheme="minorBidi" w:cs="Arial" w:hint="cs"/>
          <w:rtl/>
        </w:rPr>
        <w:t>ויכולים</w:t>
      </w:r>
      <w:r w:rsidRPr="00974030">
        <w:rPr>
          <w:rFonts w:asciiTheme="minorBidi" w:hAnsiTheme="minorBidi" w:cs="Arial"/>
          <w:rtl/>
        </w:rPr>
        <w:t xml:space="preserve"> </w:t>
      </w:r>
      <w:r w:rsidRPr="00974030">
        <w:rPr>
          <w:rFonts w:asciiTheme="minorBidi" w:hAnsiTheme="minorBidi" w:cs="Arial" w:hint="cs"/>
          <w:rtl/>
        </w:rPr>
        <w:t>ללבוש</w:t>
      </w:r>
      <w:r w:rsidRPr="00974030">
        <w:rPr>
          <w:rFonts w:asciiTheme="minorBidi" w:hAnsiTheme="minorBidi" w:cs="Arial"/>
          <w:rtl/>
        </w:rPr>
        <w:t xml:space="preserve"> </w:t>
      </w:r>
      <w:r w:rsidRPr="00974030">
        <w:rPr>
          <w:rFonts w:asciiTheme="minorBidi" w:hAnsiTheme="minorBidi" w:cs="Arial" w:hint="cs"/>
          <w:rtl/>
        </w:rPr>
        <w:t>כל</w:t>
      </w:r>
      <w:r w:rsidRPr="00974030">
        <w:rPr>
          <w:rFonts w:asciiTheme="minorBidi" w:hAnsiTheme="minorBidi" w:cs="Arial"/>
          <w:rtl/>
        </w:rPr>
        <w:t xml:space="preserve"> </w:t>
      </w:r>
      <w:r w:rsidRPr="00974030">
        <w:rPr>
          <w:rFonts w:asciiTheme="minorBidi" w:hAnsiTheme="minorBidi" w:cs="Arial" w:hint="cs"/>
          <w:rtl/>
        </w:rPr>
        <w:t>מה</w:t>
      </w:r>
      <w:r w:rsidRPr="00974030">
        <w:rPr>
          <w:rFonts w:asciiTheme="minorBidi" w:hAnsiTheme="minorBidi" w:cs="Arial"/>
          <w:rtl/>
        </w:rPr>
        <w:t xml:space="preserve"> </w:t>
      </w:r>
      <w:r w:rsidRPr="00974030">
        <w:rPr>
          <w:rFonts w:asciiTheme="minorBidi" w:hAnsiTheme="minorBidi" w:cs="Arial" w:hint="cs"/>
          <w:rtl/>
        </w:rPr>
        <w:t>שיוכלו</w:t>
      </w:r>
      <w:r w:rsidRPr="00974030">
        <w:rPr>
          <w:rFonts w:asciiTheme="minorBidi" w:hAnsiTheme="minorBidi" w:cs="Arial"/>
          <w:rtl/>
        </w:rPr>
        <w:t xml:space="preserve"> </w:t>
      </w:r>
      <w:r w:rsidRPr="00974030">
        <w:rPr>
          <w:rFonts w:asciiTheme="minorBidi" w:hAnsiTheme="minorBidi" w:cs="Arial" w:hint="cs"/>
          <w:rtl/>
        </w:rPr>
        <w:t>ללבוש</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רוצים</w:t>
      </w:r>
      <w:r w:rsidRPr="00974030">
        <w:rPr>
          <w:rFonts w:asciiTheme="minorBidi" w:hAnsiTheme="minorBidi" w:cs="Arial"/>
          <w:rtl/>
        </w:rPr>
        <w:t xml:space="preserve">, </w:t>
      </w:r>
      <w:r w:rsidRPr="00974030">
        <w:rPr>
          <w:rFonts w:asciiTheme="minorBidi" w:hAnsiTheme="minorBidi" w:cs="Arial" w:hint="cs"/>
          <w:rtl/>
        </w:rPr>
        <w:t>זוכים</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מן</w:t>
      </w:r>
      <w:r w:rsidRPr="00974030">
        <w:rPr>
          <w:rFonts w:asciiTheme="minorBidi" w:hAnsiTheme="minorBidi" w:cs="Arial"/>
          <w:rtl/>
        </w:rPr>
        <w:t xml:space="preserve"> </w:t>
      </w:r>
      <w:r w:rsidRPr="00974030">
        <w:rPr>
          <w:rFonts w:asciiTheme="minorBidi" w:hAnsiTheme="minorBidi" w:cs="Arial" w:hint="cs"/>
          <w:rtl/>
        </w:rPr>
        <w:t>ההפקר</w:t>
      </w:r>
      <w:r w:rsidRPr="00974030">
        <w:rPr>
          <w:rFonts w:asciiTheme="minorBidi" w:hAnsiTheme="minorBidi" w:cs="Arial"/>
          <w:rtl/>
        </w:rPr>
        <w:t xml:space="preserve"> </w:t>
      </w:r>
      <w:r w:rsidRPr="00974030">
        <w:rPr>
          <w:rFonts w:asciiTheme="minorBidi" w:hAnsiTheme="minorBidi" w:cs="Arial" w:hint="cs"/>
          <w:rtl/>
        </w:rPr>
        <w:t>כיון</w:t>
      </w:r>
      <w:r w:rsidRPr="00974030">
        <w:rPr>
          <w:rFonts w:asciiTheme="minorBidi" w:hAnsiTheme="minorBidi" w:cs="Arial"/>
          <w:rtl/>
        </w:rPr>
        <w:t xml:space="preserve"> </w:t>
      </w:r>
      <w:r w:rsidRPr="00974030">
        <w:rPr>
          <w:rFonts w:asciiTheme="minorBidi" w:hAnsiTheme="minorBidi" w:cs="Arial" w:hint="cs"/>
          <w:rtl/>
        </w:rPr>
        <w:t>שאמר</w:t>
      </w:r>
      <w:r w:rsidRPr="00974030">
        <w:rPr>
          <w:rFonts w:asciiTheme="minorBidi" w:hAnsiTheme="minorBidi" w:cs="Arial"/>
          <w:rtl/>
        </w:rPr>
        <w:t xml:space="preserve"> </w:t>
      </w:r>
      <w:r w:rsidRPr="00974030">
        <w:rPr>
          <w:rFonts w:asciiTheme="minorBidi" w:hAnsiTheme="minorBidi" w:cs="Arial" w:hint="cs"/>
          <w:rtl/>
        </w:rPr>
        <w:t>הצילו</w:t>
      </w:r>
      <w:r w:rsidRPr="00974030">
        <w:rPr>
          <w:rFonts w:asciiTheme="minorBidi" w:hAnsiTheme="minorBidi" w:cs="Arial"/>
          <w:rtl/>
        </w:rPr>
        <w:t xml:space="preserve"> </w:t>
      </w:r>
      <w:r w:rsidRPr="00974030">
        <w:rPr>
          <w:rFonts w:asciiTheme="minorBidi" w:hAnsiTheme="minorBidi" w:cs="Arial" w:hint="cs"/>
          <w:rtl/>
        </w:rPr>
        <w:t>לכם</w:t>
      </w:r>
      <w:r w:rsidRPr="00974030">
        <w:rPr>
          <w:rFonts w:asciiTheme="minorBidi" w:hAnsiTheme="minorBidi" w:cs="Arial"/>
          <w:rtl/>
        </w:rPr>
        <w:t xml:space="preserve">; </w:t>
      </w:r>
      <w:r w:rsidRPr="00974030">
        <w:rPr>
          <w:rFonts w:asciiTheme="minorBidi" w:hAnsiTheme="minorBidi" w:cs="Arial" w:hint="cs"/>
          <w:rtl/>
        </w:rPr>
        <w:t>ואם</w:t>
      </w:r>
      <w:r w:rsidRPr="00974030">
        <w:rPr>
          <w:rFonts w:asciiTheme="minorBidi" w:hAnsiTheme="minorBidi" w:cs="Arial"/>
          <w:rtl/>
        </w:rPr>
        <w:t xml:space="preserve"> </w:t>
      </w:r>
      <w:r w:rsidRPr="00974030">
        <w:rPr>
          <w:rFonts w:asciiTheme="minorBidi" w:hAnsiTheme="minorBidi" w:cs="Arial" w:hint="cs"/>
          <w:rtl/>
        </w:rPr>
        <w:t>אינם</w:t>
      </w:r>
      <w:r w:rsidRPr="00974030">
        <w:rPr>
          <w:rFonts w:asciiTheme="minorBidi" w:hAnsiTheme="minorBidi" w:cs="Arial"/>
          <w:rtl/>
        </w:rPr>
        <w:t xml:space="preserve"> </w:t>
      </w:r>
      <w:r w:rsidRPr="00974030">
        <w:rPr>
          <w:rFonts w:asciiTheme="minorBidi" w:hAnsiTheme="minorBidi" w:cs="Arial" w:hint="cs"/>
          <w:rtl/>
        </w:rPr>
        <w:t>רוצים</w:t>
      </w:r>
      <w:r w:rsidRPr="00974030">
        <w:rPr>
          <w:rFonts w:asciiTheme="minorBidi" w:hAnsiTheme="minorBidi" w:cs="Arial"/>
          <w:rtl/>
        </w:rPr>
        <w:t xml:space="preserve"> </w:t>
      </w:r>
      <w:r w:rsidRPr="00974030">
        <w:rPr>
          <w:rFonts w:asciiTheme="minorBidi" w:hAnsiTheme="minorBidi" w:cs="Arial" w:hint="cs"/>
          <w:rtl/>
        </w:rPr>
        <w:t>לזכות</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רוצים</w:t>
      </w:r>
      <w:r w:rsidRPr="00974030">
        <w:rPr>
          <w:rFonts w:asciiTheme="minorBidi" w:hAnsiTheme="minorBidi" w:cs="Arial"/>
          <w:rtl/>
        </w:rPr>
        <w:t xml:space="preserve"> </w:t>
      </w:r>
      <w:r w:rsidRPr="00974030">
        <w:rPr>
          <w:rFonts w:asciiTheme="minorBidi" w:hAnsiTheme="minorBidi" w:cs="Arial" w:hint="cs"/>
          <w:rtl/>
        </w:rPr>
        <w:t>להחזירו</w:t>
      </w:r>
      <w:r w:rsidRPr="00974030">
        <w:rPr>
          <w:rFonts w:asciiTheme="minorBidi" w:hAnsiTheme="minorBidi" w:cs="Arial"/>
          <w:rtl/>
        </w:rPr>
        <w:t xml:space="preserve"> </w:t>
      </w:r>
      <w:r w:rsidRPr="00974030">
        <w:rPr>
          <w:rFonts w:asciiTheme="minorBidi" w:hAnsiTheme="minorBidi" w:cs="Arial" w:hint="cs"/>
          <w:rtl/>
        </w:rPr>
        <w:t>לקבל</w:t>
      </w:r>
      <w:r w:rsidRPr="00974030">
        <w:rPr>
          <w:rFonts w:asciiTheme="minorBidi" w:hAnsiTheme="minorBidi" w:cs="Arial"/>
          <w:rtl/>
        </w:rPr>
        <w:t xml:space="preserve"> </w:t>
      </w:r>
      <w:r w:rsidRPr="00974030">
        <w:rPr>
          <w:rFonts w:asciiTheme="minorBidi" w:hAnsiTheme="minorBidi" w:cs="Arial" w:hint="cs"/>
          <w:rtl/>
        </w:rPr>
        <w:t>שכר</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הצלתם</w:t>
      </w:r>
      <w:r w:rsidRPr="00974030">
        <w:rPr>
          <w:rFonts w:asciiTheme="minorBidi" w:hAnsiTheme="minorBidi" w:cs="Arial"/>
          <w:rtl/>
        </w:rPr>
        <w:t xml:space="preserve">, </w:t>
      </w:r>
      <w:r w:rsidRPr="00974030">
        <w:rPr>
          <w:rFonts w:asciiTheme="minorBidi" w:hAnsiTheme="minorBidi" w:cs="Arial" w:hint="cs"/>
          <w:rtl/>
        </w:rPr>
        <w:t>הרשות</w:t>
      </w:r>
      <w:r w:rsidRPr="00974030">
        <w:rPr>
          <w:rFonts w:asciiTheme="minorBidi" w:hAnsiTheme="minorBidi" w:cs="Arial"/>
          <w:rtl/>
        </w:rPr>
        <w:t xml:space="preserve"> </w:t>
      </w:r>
      <w:r w:rsidRPr="00974030">
        <w:rPr>
          <w:rFonts w:asciiTheme="minorBidi" w:hAnsiTheme="minorBidi" w:cs="Arial" w:hint="cs"/>
          <w:rtl/>
        </w:rPr>
        <w:t>בידם</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הוי</w:t>
      </w:r>
      <w:r w:rsidRPr="00974030">
        <w:rPr>
          <w:rFonts w:asciiTheme="minorBidi" w:hAnsiTheme="minorBidi" w:cs="Arial"/>
          <w:rtl/>
        </w:rPr>
        <w:t xml:space="preserve"> </w:t>
      </w:r>
      <w:r w:rsidRPr="00974030">
        <w:rPr>
          <w:rFonts w:asciiTheme="minorBidi" w:hAnsiTheme="minorBidi" w:cs="Arial" w:hint="cs"/>
          <w:rtl/>
        </w:rPr>
        <w:t>שכר</w:t>
      </w:r>
      <w:r w:rsidRPr="00974030">
        <w:rPr>
          <w:rFonts w:asciiTheme="minorBidi" w:hAnsiTheme="minorBidi" w:cs="Arial"/>
          <w:rtl/>
        </w:rPr>
        <w:t xml:space="preserve"> </w:t>
      </w:r>
      <w:r w:rsidRPr="00974030">
        <w:rPr>
          <w:rFonts w:asciiTheme="minorBidi" w:hAnsiTheme="minorBidi" w:cs="Arial" w:hint="cs"/>
          <w:rtl/>
        </w:rPr>
        <w:t>שבת</w:t>
      </w:r>
      <w:r w:rsidRPr="00974030">
        <w:rPr>
          <w:rFonts w:asciiTheme="minorBidi" w:hAnsiTheme="minorBidi" w:cs="Arial"/>
          <w:rtl/>
        </w:rPr>
        <w:t xml:space="preserve">. </w:t>
      </w:r>
    </w:p>
    <w:p w14:paraId="74FA1050"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י</w:t>
      </w:r>
    </w:p>
    <w:p w14:paraId="3850C613"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כל</w:t>
      </w:r>
      <w:r w:rsidRPr="00974030">
        <w:rPr>
          <w:rFonts w:asciiTheme="minorBidi" w:hAnsiTheme="minorBidi" w:cs="Arial"/>
          <w:rtl/>
        </w:rPr>
        <w:t xml:space="preserve"> </w:t>
      </w:r>
      <w:r w:rsidRPr="00974030">
        <w:rPr>
          <w:rFonts w:asciiTheme="minorBidi" w:hAnsiTheme="minorBidi" w:cs="Arial" w:hint="cs"/>
          <w:rtl/>
        </w:rPr>
        <w:t>הצלה</w:t>
      </w:r>
      <w:r w:rsidRPr="00974030">
        <w:rPr>
          <w:rFonts w:asciiTheme="minorBidi" w:hAnsiTheme="minorBidi" w:cs="Arial"/>
          <w:rtl/>
        </w:rPr>
        <w:t xml:space="preserve"> </w:t>
      </w:r>
      <w:r w:rsidRPr="00974030">
        <w:rPr>
          <w:rFonts w:asciiTheme="minorBidi" w:hAnsiTheme="minorBidi" w:cs="Arial" w:hint="cs"/>
          <w:rtl/>
        </w:rPr>
        <w:t>שאמרנו</w:t>
      </w:r>
      <w:r w:rsidRPr="00974030">
        <w:rPr>
          <w:rFonts w:asciiTheme="minorBidi" w:hAnsiTheme="minorBidi" w:cs="Arial"/>
          <w:rtl/>
        </w:rPr>
        <w:t xml:space="preserve"> </w:t>
      </w:r>
      <w:r w:rsidRPr="00974030">
        <w:rPr>
          <w:rFonts w:asciiTheme="minorBidi" w:hAnsiTheme="minorBidi" w:cs="Arial" w:hint="cs"/>
          <w:rtl/>
        </w:rPr>
        <w:t>אינה</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לחצר</w:t>
      </w:r>
      <w:r w:rsidRPr="00974030">
        <w:rPr>
          <w:rFonts w:asciiTheme="minorBidi" w:hAnsiTheme="minorBidi" w:cs="Arial"/>
          <w:rtl/>
        </w:rPr>
        <w:t xml:space="preserve"> </w:t>
      </w:r>
      <w:r w:rsidRPr="00974030">
        <w:rPr>
          <w:rFonts w:asciiTheme="minorBidi" w:hAnsiTheme="minorBidi" w:cs="Arial" w:hint="cs"/>
          <w:rtl/>
        </w:rPr>
        <w:t>אחרת</w:t>
      </w:r>
      <w:r w:rsidRPr="00974030">
        <w:rPr>
          <w:rFonts w:asciiTheme="minorBidi" w:hAnsiTheme="minorBidi" w:cs="Arial"/>
          <w:rtl/>
        </w:rPr>
        <w:t xml:space="preserve"> </w:t>
      </w:r>
      <w:r w:rsidRPr="00974030">
        <w:rPr>
          <w:rFonts w:asciiTheme="minorBidi" w:hAnsiTheme="minorBidi" w:cs="Arial" w:hint="cs"/>
          <w:rtl/>
        </w:rPr>
        <w:t>המעורבת</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לשאינה</w:t>
      </w:r>
      <w:r w:rsidRPr="00974030">
        <w:rPr>
          <w:rFonts w:asciiTheme="minorBidi" w:hAnsiTheme="minorBidi" w:cs="Arial"/>
          <w:rtl/>
        </w:rPr>
        <w:t xml:space="preserve"> </w:t>
      </w:r>
      <w:r w:rsidRPr="00974030">
        <w:rPr>
          <w:rFonts w:asciiTheme="minorBidi" w:hAnsiTheme="minorBidi" w:cs="Arial" w:hint="cs"/>
          <w:rtl/>
        </w:rPr>
        <w:t>מעורבת</w:t>
      </w:r>
      <w:r w:rsidRPr="00974030">
        <w:rPr>
          <w:rFonts w:asciiTheme="minorBidi" w:hAnsiTheme="minorBidi" w:cs="Arial"/>
          <w:rtl/>
        </w:rPr>
        <w:t xml:space="preserve">. </w:t>
      </w:r>
      <w:r w:rsidRPr="00974030">
        <w:rPr>
          <w:rFonts w:asciiTheme="minorBidi" w:hAnsiTheme="minorBidi" w:cs="Arial" w:hint="cs"/>
          <w:rtl/>
        </w:rPr>
        <w:t>הגה</w:t>
      </w:r>
      <w:r w:rsidRPr="00974030">
        <w:rPr>
          <w:rFonts w:asciiTheme="minorBidi" w:hAnsiTheme="minorBidi" w:cs="Arial"/>
          <w:rtl/>
        </w:rPr>
        <w:t xml:space="preserve">: </w:t>
      </w:r>
      <w:r w:rsidRPr="00974030">
        <w:rPr>
          <w:rFonts w:asciiTheme="minorBidi" w:hAnsiTheme="minorBidi" w:cs="Arial" w:hint="cs"/>
          <w:rtl/>
        </w:rPr>
        <w:t>ויש</w:t>
      </w:r>
      <w:r w:rsidRPr="00974030">
        <w:rPr>
          <w:rFonts w:asciiTheme="minorBidi" w:hAnsiTheme="minorBidi" w:cs="Arial"/>
          <w:rtl/>
        </w:rPr>
        <w:t xml:space="preserve"> </w:t>
      </w:r>
      <w:r w:rsidRPr="00974030">
        <w:rPr>
          <w:rFonts w:asciiTheme="minorBidi" w:hAnsiTheme="minorBidi" w:cs="Arial" w:hint="cs"/>
          <w:rtl/>
        </w:rPr>
        <w:t>מקילין</w:t>
      </w:r>
      <w:r w:rsidRPr="00974030">
        <w:rPr>
          <w:rFonts w:asciiTheme="minorBidi" w:hAnsiTheme="minorBidi" w:cs="Arial"/>
          <w:rtl/>
        </w:rPr>
        <w:t xml:space="preserve"> </w:t>
      </w:r>
      <w:r w:rsidRPr="00974030">
        <w:rPr>
          <w:rFonts w:asciiTheme="minorBidi" w:hAnsiTheme="minorBidi" w:cs="Arial" w:hint="cs"/>
          <w:rtl/>
        </w:rPr>
        <w:t>אף</w:t>
      </w:r>
      <w:r w:rsidRPr="00974030">
        <w:rPr>
          <w:rFonts w:asciiTheme="minorBidi" w:hAnsiTheme="minorBidi" w:cs="Arial"/>
          <w:rtl/>
        </w:rPr>
        <w:t xml:space="preserve"> </w:t>
      </w:r>
      <w:r w:rsidRPr="00974030">
        <w:rPr>
          <w:rFonts w:asciiTheme="minorBidi" w:hAnsiTheme="minorBidi" w:cs="Arial" w:hint="cs"/>
          <w:rtl/>
        </w:rPr>
        <w:t>לשאינה</w:t>
      </w:r>
      <w:r w:rsidRPr="00974030">
        <w:rPr>
          <w:rFonts w:asciiTheme="minorBidi" w:hAnsiTheme="minorBidi" w:cs="Arial"/>
          <w:rtl/>
        </w:rPr>
        <w:t xml:space="preserve"> </w:t>
      </w:r>
      <w:r w:rsidRPr="00974030">
        <w:rPr>
          <w:rFonts w:asciiTheme="minorBidi" w:hAnsiTheme="minorBidi" w:cs="Arial" w:hint="cs"/>
          <w:rtl/>
        </w:rPr>
        <w:t>מעורבת</w:t>
      </w:r>
      <w:r w:rsidRPr="00974030">
        <w:rPr>
          <w:rFonts w:asciiTheme="minorBidi" w:hAnsiTheme="minorBidi" w:cs="Arial"/>
          <w:rtl/>
        </w:rPr>
        <w:t xml:space="preserve"> (</w:t>
      </w:r>
      <w:r w:rsidRPr="00974030">
        <w:rPr>
          <w:rFonts w:asciiTheme="minorBidi" w:hAnsiTheme="minorBidi" w:cs="Arial" w:hint="cs"/>
          <w:rtl/>
        </w:rPr>
        <w:t>סמ</w:t>
      </w:r>
      <w:r w:rsidRPr="00974030">
        <w:rPr>
          <w:rFonts w:asciiTheme="minorBidi" w:hAnsiTheme="minorBidi" w:cs="Arial"/>
          <w:rtl/>
        </w:rPr>
        <w:t>"</w:t>
      </w:r>
      <w:r w:rsidRPr="00974030">
        <w:rPr>
          <w:rFonts w:asciiTheme="minorBidi" w:hAnsiTheme="minorBidi" w:cs="Arial" w:hint="cs"/>
          <w:rtl/>
        </w:rPr>
        <w:t>ג</w:t>
      </w:r>
      <w:r w:rsidRPr="00974030">
        <w:rPr>
          <w:rFonts w:asciiTheme="minorBidi" w:hAnsiTheme="minorBidi" w:cs="Arial"/>
          <w:rtl/>
        </w:rPr>
        <w:t xml:space="preserve"> </w:t>
      </w:r>
      <w:r w:rsidRPr="00974030">
        <w:rPr>
          <w:rFonts w:asciiTheme="minorBidi" w:hAnsiTheme="minorBidi" w:cs="Arial" w:hint="cs"/>
          <w:rtl/>
        </w:rPr>
        <w:t>והגהות</w:t>
      </w:r>
      <w:r w:rsidRPr="00974030">
        <w:rPr>
          <w:rFonts w:asciiTheme="minorBidi" w:hAnsiTheme="minorBidi" w:cs="Arial"/>
          <w:rtl/>
        </w:rPr>
        <w:t xml:space="preserve"> </w:t>
      </w:r>
      <w:r w:rsidRPr="00974030">
        <w:rPr>
          <w:rFonts w:asciiTheme="minorBidi" w:hAnsiTheme="minorBidi" w:cs="Arial" w:hint="cs"/>
          <w:rtl/>
        </w:rPr>
        <w:t>מרדכי</w:t>
      </w:r>
      <w:r w:rsidRPr="00974030">
        <w:rPr>
          <w:rFonts w:asciiTheme="minorBidi" w:hAnsiTheme="minorBidi" w:cs="Arial"/>
          <w:rtl/>
        </w:rPr>
        <w:t xml:space="preserve">). </w:t>
      </w:r>
    </w:p>
    <w:p w14:paraId="0DCB87DE"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יא</w:t>
      </w:r>
    </w:p>
    <w:p w14:paraId="542815A1"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יש</w:t>
      </w:r>
      <w:r w:rsidRPr="00974030">
        <w:rPr>
          <w:rFonts w:asciiTheme="minorBidi" w:hAnsiTheme="minorBidi" w:cs="Arial"/>
          <w:rtl/>
        </w:rPr>
        <w:t xml:space="preserve"> </w:t>
      </w:r>
      <w:r w:rsidRPr="00974030">
        <w:rPr>
          <w:rFonts w:asciiTheme="minorBidi" w:hAnsiTheme="minorBidi" w:cs="Arial" w:hint="cs"/>
          <w:rtl/>
        </w:rPr>
        <w:t>אומרים</w:t>
      </w:r>
      <w:r w:rsidRPr="00974030">
        <w:rPr>
          <w:rFonts w:asciiTheme="minorBidi" w:hAnsiTheme="minorBidi" w:cs="Arial"/>
          <w:rtl/>
        </w:rPr>
        <w:t xml:space="preserve"> </w:t>
      </w:r>
      <w:r w:rsidRPr="00974030">
        <w:rPr>
          <w:rFonts w:asciiTheme="minorBidi" w:hAnsiTheme="minorBidi" w:cs="Arial" w:hint="cs"/>
          <w:rtl/>
        </w:rPr>
        <w:t>דכל</w:t>
      </w:r>
      <w:r w:rsidRPr="00974030">
        <w:rPr>
          <w:rFonts w:asciiTheme="minorBidi" w:hAnsiTheme="minorBidi" w:cs="Arial"/>
          <w:rtl/>
        </w:rPr>
        <w:t xml:space="preserve"> </w:t>
      </w:r>
      <w:r w:rsidRPr="00974030">
        <w:rPr>
          <w:rFonts w:asciiTheme="minorBidi" w:hAnsiTheme="minorBidi" w:cs="Arial" w:hint="cs"/>
          <w:rtl/>
        </w:rPr>
        <w:t>הצלה</w:t>
      </w:r>
      <w:r w:rsidRPr="00974030">
        <w:rPr>
          <w:rFonts w:asciiTheme="minorBidi" w:hAnsiTheme="minorBidi" w:cs="Arial"/>
          <w:rtl/>
        </w:rPr>
        <w:t xml:space="preserve"> </w:t>
      </w:r>
      <w:r w:rsidRPr="00974030">
        <w:rPr>
          <w:rFonts w:asciiTheme="minorBidi" w:hAnsiTheme="minorBidi" w:cs="Arial" w:hint="cs"/>
          <w:rtl/>
        </w:rPr>
        <w:t>שאמרנו</w:t>
      </w:r>
      <w:r w:rsidRPr="00974030">
        <w:rPr>
          <w:rFonts w:asciiTheme="minorBidi" w:hAnsiTheme="minorBidi" w:cs="Arial"/>
          <w:rtl/>
        </w:rPr>
        <w:t xml:space="preserve"> </w:t>
      </w:r>
      <w:r w:rsidRPr="00974030">
        <w:rPr>
          <w:rFonts w:asciiTheme="minorBidi" w:hAnsiTheme="minorBidi" w:cs="Arial" w:hint="cs"/>
          <w:rtl/>
        </w:rPr>
        <w:t>היא</w:t>
      </w:r>
      <w:r w:rsidRPr="00974030">
        <w:rPr>
          <w:rFonts w:asciiTheme="minorBidi" w:hAnsiTheme="minorBidi" w:cs="Arial"/>
          <w:rtl/>
        </w:rPr>
        <w:t xml:space="preserve"> </w:t>
      </w:r>
      <w:r w:rsidRPr="00974030">
        <w:rPr>
          <w:rFonts w:asciiTheme="minorBidi" w:hAnsiTheme="minorBidi" w:cs="Arial" w:hint="cs"/>
          <w:rtl/>
        </w:rPr>
        <w:t>לחצר</w:t>
      </w:r>
      <w:r w:rsidRPr="00974030">
        <w:rPr>
          <w:rFonts w:asciiTheme="minorBidi" w:hAnsiTheme="minorBidi" w:cs="Arial"/>
          <w:rtl/>
        </w:rPr>
        <w:t xml:space="preserve"> </w:t>
      </w:r>
      <w:r w:rsidRPr="00974030">
        <w:rPr>
          <w:rFonts w:asciiTheme="minorBidi" w:hAnsiTheme="minorBidi" w:cs="Arial" w:hint="cs"/>
          <w:rtl/>
        </w:rPr>
        <w:t>ומבוי</w:t>
      </w:r>
      <w:r w:rsidRPr="00974030">
        <w:rPr>
          <w:rFonts w:asciiTheme="minorBidi" w:hAnsiTheme="minorBidi" w:cs="Arial"/>
          <w:rtl/>
        </w:rPr>
        <w:t xml:space="preserve"> </w:t>
      </w:r>
      <w:r w:rsidRPr="00974030">
        <w:rPr>
          <w:rFonts w:asciiTheme="minorBidi" w:hAnsiTheme="minorBidi" w:cs="Arial" w:hint="cs"/>
          <w:rtl/>
        </w:rPr>
        <w:t>הסמוכים</w:t>
      </w:r>
      <w:r w:rsidRPr="00974030">
        <w:rPr>
          <w:rFonts w:asciiTheme="minorBidi" w:hAnsiTheme="minorBidi" w:cs="Arial"/>
          <w:rtl/>
        </w:rPr>
        <w:t xml:space="preserve"> </w:t>
      </w:r>
      <w:r w:rsidRPr="00974030">
        <w:rPr>
          <w:rFonts w:asciiTheme="minorBidi" w:hAnsiTheme="minorBidi" w:cs="Arial" w:hint="cs"/>
          <w:rtl/>
        </w:rPr>
        <w:t>לרשות</w:t>
      </w:r>
      <w:r w:rsidRPr="00974030">
        <w:rPr>
          <w:rFonts w:asciiTheme="minorBidi" w:hAnsiTheme="minorBidi" w:cs="Arial"/>
          <w:rtl/>
        </w:rPr>
        <w:t xml:space="preserve"> </w:t>
      </w:r>
      <w:r w:rsidRPr="00974030">
        <w:rPr>
          <w:rFonts w:asciiTheme="minorBidi" w:hAnsiTheme="minorBidi" w:cs="Arial" w:hint="cs"/>
          <w:rtl/>
        </w:rPr>
        <w:t>הרבים</w:t>
      </w:r>
      <w:r w:rsidRPr="00974030">
        <w:rPr>
          <w:rFonts w:asciiTheme="minorBidi" w:hAnsiTheme="minorBidi" w:cs="Arial"/>
          <w:rtl/>
        </w:rPr>
        <w:t xml:space="preserve"> </w:t>
      </w:r>
      <w:r w:rsidRPr="00974030">
        <w:rPr>
          <w:rFonts w:asciiTheme="minorBidi" w:hAnsiTheme="minorBidi" w:cs="Arial" w:hint="cs"/>
          <w:rtl/>
        </w:rPr>
        <w:t>וגם</w:t>
      </w:r>
      <w:r w:rsidRPr="00974030">
        <w:rPr>
          <w:rFonts w:asciiTheme="minorBidi" w:hAnsiTheme="minorBidi" w:cs="Arial"/>
          <w:rtl/>
        </w:rPr>
        <w:t xml:space="preserve"> </w:t>
      </w:r>
      <w:r w:rsidRPr="00974030">
        <w:rPr>
          <w:rFonts w:asciiTheme="minorBidi" w:hAnsiTheme="minorBidi" w:cs="Arial" w:hint="cs"/>
          <w:rtl/>
        </w:rPr>
        <w:t>אינם</w:t>
      </w:r>
      <w:r w:rsidRPr="00974030">
        <w:rPr>
          <w:rFonts w:asciiTheme="minorBidi" w:hAnsiTheme="minorBidi" w:cs="Arial"/>
          <w:rtl/>
        </w:rPr>
        <w:t xml:space="preserve"> </w:t>
      </w:r>
      <w:r w:rsidRPr="00974030">
        <w:rPr>
          <w:rFonts w:asciiTheme="minorBidi" w:hAnsiTheme="minorBidi" w:cs="Arial" w:hint="cs"/>
          <w:rtl/>
        </w:rPr>
        <w:t>מקורים</w:t>
      </w:r>
      <w:r w:rsidRPr="00974030">
        <w:rPr>
          <w:rFonts w:asciiTheme="minorBidi" w:hAnsiTheme="minorBidi" w:cs="Arial"/>
          <w:rtl/>
        </w:rPr>
        <w:t xml:space="preserve">, </w:t>
      </w:r>
      <w:r w:rsidRPr="00974030">
        <w:rPr>
          <w:rFonts w:asciiTheme="minorBidi" w:hAnsiTheme="minorBidi" w:cs="Arial" w:hint="cs"/>
          <w:rtl/>
        </w:rPr>
        <w:t>דדמי</w:t>
      </w:r>
      <w:r w:rsidRPr="00974030">
        <w:rPr>
          <w:rFonts w:asciiTheme="minorBidi" w:hAnsiTheme="minorBidi" w:cs="Arial"/>
          <w:rtl/>
        </w:rPr>
        <w:t xml:space="preserve"> </w:t>
      </w:r>
      <w:r w:rsidRPr="00974030">
        <w:rPr>
          <w:rFonts w:asciiTheme="minorBidi" w:hAnsiTheme="minorBidi" w:cs="Arial" w:hint="cs"/>
          <w:rtl/>
        </w:rPr>
        <w:t>לרשות</w:t>
      </w:r>
      <w:r w:rsidRPr="00974030">
        <w:rPr>
          <w:rFonts w:asciiTheme="minorBidi" w:hAnsiTheme="minorBidi" w:cs="Arial"/>
          <w:rtl/>
        </w:rPr>
        <w:t xml:space="preserve"> </w:t>
      </w:r>
      <w:r w:rsidRPr="00974030">
        <w:rPr>
          <w:rFonts w:asciiTheme="minorBidi" w:hAnsiTheme="minorBidi" w:cs="Arial" w:hint="cs"/>
          <w:rtl/>
        </w:rPr>
        <w:t>הרבים</w:t>
      </w:r>
      <w:r w:rsidRPr="00974030">
        <w:rPr>
          <w:rFonts w:asciiTheme="minorBidi" w:hAnsiTheme="minorBidi" w:cs="Arial"/>
          <w:rtl/>
        </w:rPr>
        <w:t xml:space="preserve">; </w:t>
      </w:r>
      <w:r w:rsidRPr="00974030">
        <w:rPr>
          <w:rFonts w:asciiTheme="minorBidi" w:hAnsiTheme="minorBidi" w:cs="Arial" w:hint="cs"/>
          <w:rtl/>
        </w:rPr>
        <w:t>ומשום</w:t>
      </w:r>
      <w:r w:rsidRPr="00974030">
        <w:rPr>
          <w:rFonts w:asciiTheme="minorBidi" w:hAnsiTheme="minorBidi" w:cs="Arial"/>
          <w:rtl/>
        </w:rPr>
        <w:t xml:space="preserve"> </w:t>
      </w:r>
      <w:r w:rsidRPr="00974030">
        <w:rPr>
          <w:rFonts w:asciiTheme="minorBidi" w:hAnsiTheme="minorBidi" w:cs="Arial" w:hint="cs"/>
          <w:rtl/>
        </w:rPr>
        <w:t>הכי</w:t>
      </w:r>
      <w:r w:rsidRPr="00974030">
        <w:rPr>
          <w:rFonts w:asciiTheme="minorBidi" w:hAnsiTheme="minorBidi" w:cs="Arial"/>
          <w:rtl/>
        </w:rPr>
        <w:t xml:space="preserve"> </w:t>
      </w:r>
      <w:r w:rsidRPr="00974030">
        <w:rPr>
          <w:rFonts w:asciiTheme="minorBidi" w:hAnsiTheme="minorBidi" w:cs="Arial" w:hint="cs"/>
          <w:rtl/>
        </w:rPr>
        <w:t>אין</w:t>
      </w:r>
      <w:r w:rsidRPr="00974030">
        <w:rPr>
          <w:rFonts w:asciiTheme="minorBidi" w:hAnsiTheme="minorBidi" w:cs="Arial"/>
          <w:rtl/>
        </w:rPr>
        <w:t xml:space="preserve"> </w:t>
      </w:r>
      <w:r w:rsidRPr="00974030">
        <w:rPr>
          <w:rFonts w:asciiTheme="minorBidi" w:hAnsiTheme="minorBidi" w:cs="Arial" w:hint="cs"/>
          <w:rtl/>
        </w:rPr>
        <w:t>מתירין</w:t>
      </w:r>
      <w:r w:rsidRPr="00974030">
        <w:rPr>
          <w:rFonts w:asciiTheme="minorBidi" w:hAnsiTheme="minorBidi" w:cs="Arial"/>
          <w:rtl/>
        </w:rPr>
        <w:t xml:space="preserve"> </w:t>
      </w:r>
      <w:r w:rsidRPr="00974030">
        <w:rPr>
          <w:rFonts w:asciiTheme="minorBidi" w:hAnsiTheme="minorBidi" w:cs="Arial" w:hint="cs"/>
          <w:rtl/>
        </w:rPr>
        <w:t>להציל</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מזון</w:t>
      </w:r>
      <w:r w:rsidRPr="00974030">
        <w:rPr>
          <w:rFonts w:asciiTheme="minorBidi" w:hAnsiTheme="minorBidi" w:cs="Arial"/>
          <w:rtl/>
        </w:rPr>
        <w:t xml:space="preserve"> </w:t>
      </w:r>
      <w:r w:rsidRPr="00974030">
        <w:rPr>
          <w:rFonts w:asciiTheme="minorBidi" w:hAnsiTheme="minorBidi" w:cs="Arial" w:hint="cs"/>
          <w:rtl/>
        </w:rPr>
        <w:t>שלש</w:t>
      </w:r>
      <w:r w:rsidRPr="00974030">
        <w:rPr>
          <w:rFonts w:asciiTheme="minorBidi" w:hAnsiTheme="minorBidi" w:cs="Arial"/>
          <w:rtl/>
        </w:rPr>
        <w:t xml:space="preserve"> </w:t>
      </w:r>
      <w:r w:rsidRPr="00974030">
        <w:rPr>
          <w:rFonts w:asciiTheme="minorBidi" w:hAnsiTheme="minorBidi" w:cs="Arial" w:hint="cs"/>
          <w:rtl/>
        </w:rPr>
        <w:t>סעודות</w:t>
      </w:r>
      <w:r w:rsidRPr="00974030">
        <w:rPr>
          <w:rFonts w:asciiTheme="minorBidi" w:hAnsiTheme="minorBidi" w:cs="Arial"/>
          <w:rtl/>
        </w:rPr>
        <w:t xml:space="preserve"> </w:t>
      </w:r>
      <w:r w:rsidRPr="00974030">
        <w:rPr>
          <w:rFonts w:asciiTheme="minorBidi" w:hAnsiTheme="minorBidi" w:cs="Arial" w:hint="cs"/>
          <w:rtl/>
        </w:rPr>
        <w:t>וכלים</w:t>
      </w:r>
      <w:r w:rsidRPr="00974030">
        <w:rPr>
          <w:rFonts w:asciiTheme="minorBidi" w:hAnsiTheme="minorBidi" w:cs="Arial"/>
          <w:rtl/>
        </w:rPr>
        <w:t xml:space="preserve"> </w:t>
      </w:r>
      <w:r w:rsidRPr="00974030">
        <w:rPr>
          <w:rFonts w:asciiTheme="minorBidi" w:hAnsiTheme="minorBidi" w:cs="Arial" w:hint="cs"/>
          <w:rtl/>
        </w:rPr>
        <w:t>הצריכים</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לבית</w:t>
      </w:r>
      <w:r w:rsidRPr="00974030">
        <w:rPr>
          <w:rFonts w:asciiTheme="minorBidi" w:hAnsiTheme="minorBidi" w:cs="Arial"/>
          <w:rtl/>
        </w:rPr>
        <w:t xml:space="preserve"> </w:t>
      </w:r>
      <w:r w:rsidRPr="00974030">
        <w:rPr>
          <w:rFonts w:asciiTheme="minorBidi" w:hAnsiTheme="minorBidi" w:cs="Arial" w:hint="cs"/>
          <w:rtl/>
        </w:rPr>
        <w:t>אחר</w:t>
      </w:r>
      <w:r w:rsidRPr="00974030">
        <w:rPr>
          <w:rFonts w:asciiTheme="minorBidi" w:hAnsiTheme="minorBidi" w:cs="Arial"/>
          <w:rtl/>
        </w:rPr>
        <w:t xml:space="preserve"> </w:t>
      </w:r>
      <w:r w:rsidRPr="00974030">
        <w:rPr>
          <w:rFonts w:asciiTheme="minorBidi" w:hAnsiTheme="minorBidi" w:cs="Arial" w:hint="cs"/>
          <w:rtl/>
        </w:rPr>
        <w:t>שעירב</w:t>
      </w:r>
      <w:r w:rsidRPr="00974030">
        <w:rPr>
          <w:rFonts w:asciiTheme="minorBidi" w:hAnsiTheme="minorBidi" w:cs="Arial"/>
          <w:rtl/>
        </w:rPr>
        <w:t xml:space="preserve"> </w:t>
      </w:r>
      <w:r w:rsidRPr="00974030">
        <w:rPr>
          <w:rFonts w:asciiTheme="minorBidi" w:hAnsiTheme="minorBidi" w:cs="Arial" w:hint="cs"/>
          <w:rtl/>
        </w:rPr>
        <w:t>עמו</w:t>
      </w:r>
      <w:r w:rsidRPr="00974030">
        <w:rPr>
          <w:rFonts w:asciiTheme="minorBidi" w:hAnsiTheme="minorBidi" w:cs="Arial"/>
          <w:rtl/>
        </w:rPr>
        <w:t xml:space="preserve">, </w:t>
      </w:r>
      <w:r w:rsidRPr="00974030">
        <w:rPr>
          <w:rFonts w:asciiTheme="minorBidi" w:hAnsiTheme="minorBidi" w:cs="Arial" w:hint="cs"/>
          <w:rtl/>
        </w:rPr>
        <w:t>יכול</w:t>
      </w:r>
      <w:r w:rsidRPr="00974030">
        <w:rPr>
          <w:rFonts w:asciiTheme="minorBidi" w:hAnsiTheme="minorBidi" w:cs="Arial"/>
          <w:rtl/>
        </w:rPr>
        <w:t xml:space="preserve"> </w:t>
      </w:r>
      <w:r w:rsidRPr="00974030">
        <w:rPr>
          <w:rFonts w:asciiTheme="minorBidi" w:hAnsiTheme="minorBidi" w:cs="Arial" w:hint="cs"/>
          <w:rtl/>
        </w:rPr>
        <w:t>להוציא</w:t>
      </w:r>
      <w:r w:rsidRPr="00974030">
        <w:rPr>
          <w:rFonts w:asciiTheme="minorBidi" w:hAnsiTheme="minorBidi" w:cs="Arial"/>
          <w:rtl/>
        </w:rPr>
        <w:t xml:space="preserve"> </w:t>
      </w:r>
      <w:r w:rsidRPr="00974030">
        <w:rPr>
          <w:rFonts w:asciiTheme="minorBidi" w:hAnsiTheme="minorBidi" w:cs="Arial" w:hint="cs"/>
          <w:rtl/>
        </w:rPr>
        <w:t>כל</w:t>
      </w:r>
      <w:r w:rsidRPr="00974030">
        <w:rPr>
          <w:rFonts w:asciiTheme="minorBidi" w:hAnsiTheme="minorBidi" w:cs="Arial"/>
          <w:rtl/>
        </w:rPr>
        <w:t xml:space="preserve"> </w:t>
      </w:r>
      <w:r w:rsidRPr="00974030">
        <w:rPr>
          <w:rFonts w:asciiTheme="minorBidi" w:hAnsiTheme="minorBidi" w:cs="Arial" w:hint="cs"/>
          <w:rtl/>
        </w:rPr>
        <w:t>מה</w:t>
      </w:r>
      <w:r w:rsidRPr="00974030">
        <w:rPr>
          <w:rFonts w:asciiTheme="minorBidi" w:hAnsiTheme="minorBidi" w:cs="Arial"/>
          <w:rtl/>
        </w:rPr>
        <w:t xml:space="preserve"> </w:t>
      </w:r>
      <w:r w:rsidRPr="00974030">
        <w:rPr>
          <w:rFonts w:asciiTheme="minorBidi" w:hAnsiTheme="minorBidi" w:cs="Arial" w:hint="cs"/>
          <w:rtl/>
        </w:rPr>
        <w:t>שירצה</w:t>
      </w:r>
      <w:r w:rsidRPr="00974030">
        <w:rPr>
          <w:rFonts w:asciiTheme="minorBidi" w:hAnsiTheme="minorBidi" w:cs="Arial"/>
          <w:rtl/>
        </w:rPr>
        <w:t xml:space="preserve">; </w:t>
      </w:r>
      <w:r w:rsidRPr="00974030">
        <w:rPr>
          <w:rFonts w:asciiTheme="minorBidi" w:hAnsiTheme="minorBidi" w:cs="Arial" w:hint="cs"/>
          <w:rtl/>
        </w:rPr>
        <w:t>ואף</w:t>
      </w:r>
      <w:r w:rsidRPr="00974030">
        <w:rPr>
          <w:rFonts w:asciiTheme="minorBidi" w:hAnsiTheme="minorBidi" w:cs="Arial"/>
          <w:rtl/>
        </w:rPr>
        <w:t xml:space="preserve"> </w:t>
      </w:r>
      <w:r w:rsidRPr="00974030">
        <w:rPr>
          <w:rFonts w:asciiTheme="minorBidi" w:hAnsiTheme="minorBidi" w:cs="Arial" w:hint="cs"/>
          <w:rtl/>
        </w:rPr>
        <w:t>לחצר</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אמרו</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לחצר</w:t>
      </w:r>
      <w:r w:rsidRPr="00974030">
        <w:rPr>
          <w:rFonts w:asciiTheme="minorBidi" w:hAnsiTheme="minorBidi" w:cs="Arial"/>
          <w:rtl/>
        </w:rPr>
        <w:t xml:space="preserve"> </w:t>
      </w:r>
      <w:r w:rsidRPr="00974030">
        <w:rPr>
          <w:rFonts w:asciiTheme="minorBidi" w:hAnsiTheme="minorBidi" w:cs="Arial" w:hint="cs"/>
          <w:rtl/>
        </w:rPr>
        <w:t>חבירו</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לחצר</w:t>
      </w:r>
      <w:r w:rsidRPr="00974030">
        <w:rPr>
          <w:rFonts w:asciiTheme="minorBidi" w:hAnsiTheme="minorBidi" w:cs="Arial"/>
          <w:rtl/>
        </w:rPr>
        <w:t xml:space="preserve"> </w:t>
      </w:r>
      <w:r w:rsidRPr="00974030">
        <w:rPr>
          <w:rFonts w:asciiTheme="minorBidi" w:hAnsiTheme="minorBidi" w:cs="Arial" w:hint="cs"/>
          <w:rtl/>
        </w:rPr>
        <w:t>שלו</w:t>
      </w:r>
      <w:r w:rsidRPr="00974030">
        <w:rPr>
          <w:rFonts w:asciiTheme="minorBidi" w:hAnsiTheme="minorBidi" w:cs="Arial"/>
          <w:rtl/>
        </w:rPr>
        <w:t xml:space="preserve"> </w:t>
      </w:r>
      <w:r w:rsidRPr="00974030">
        <w:rPr>
          <w:rFonts w:asciiTheme="minorBidi" w:hAnsiTheme="minorBidi" w:cs="Arial" w:hint="cs"/>
          <w:rtl/>
        </w:rPr>
        <w:t>שאינה</w:t>
      </w:r>
      <w:r w:rsidRPr="00974030">
        <w:rPr>
          <w:rFonts w:asciiTheme="minorBidi" w:hAnsiTheme="minorBidi" w:cs="Arial"/>
          <w:rtl/>
        </w:rPr>
        <w:t xml:space="preserve"> </w:t>
      </w:r>
      <w:r w:rsidRPr="00974030">
        <w:rPr>
          <w:rFonts w:asciiTheme="minorBidi" w:hAnsiTheme="minorBidi" w:cs="Arial" w:hint="cs"/>
          <w:rtl/>
        </w:rPr>
        <w:t>צריכה</w:t>
      </w:r>
      <w:r w:rsidRPr="00974030">
        <w:rPr>
          <w:rFonts w:asciiTheme="minorBidi" w:hAnsiTheme="minorBidi" w:cs="Arial"/>
          <w:rtl/>
        </w:rPr>
        <w:t xml:space="preserve"> </w:t>
      </w:r>
      <w:r w:rsidRPr="00974030">
        <w:rPr>
          <w:rFonts w:asciiTheme="minorBidi" w:hAnsiTheme="minorBidi" w:cs="Arial" w:hint="cs"/>
          <w:rtl/>
        </w:rPr>
        <w:t>עירוב</w:t>
      </w:r>
      <w:r w:rsidRPr="00974030">
        <w:rPr>
          <w:rFonts w:asciiTheme="minorBidi" w:hAnsiTheme="minorBidi" w:cs="Arial"/>
          <w:rtl/>
        </w:rPr>
        <w:t xml:space="preserve">, </w:t>
      </w:r>
      <w:r w:rsidRPr="00974030">
        <w:rPr>
          <w:rFonts w:asciiTheme="minorBidi" w:hAnsiTheme="minorBidi" w:cs="Arial" w:hint="cs"/>
          <w:rtl/>
        </w:rPr>
        <w:t>יכול</w:t>
      </w:r>
      <w:r w:rsidRPr="00974030">
        <w:rPr>
          <w:rFonts w:asciiTheme="minorBidi" w:hAnsiTheme="minorBidi" w:cs="Arial"/>
          <w:rtl/>
        </w:rPr>
        <w:t xml:space="preserve"> </w:t>
      </w:r>
      <w:r w:rsidRPr="00974030">
        <w:rPr>
          <w:rFonts w:asciiTheme="minorBidi" w:hAnsiTheme="minorBidi" w:cs="Arial" w:hint="cs"/>
          <w:rtl/>
        </w:rPr>
        <w:t>להוציא</w:t>
      </w:r>
      <w:r w:rsidRPr="00974030">
        <w:rPr>
          <w:rFonts w:asciiTheme="minorBidi" w:hAnsiTheme="minorBidi" w:cs="Arial"/>
          <w:rtl/>
        </w:rPr>
        <w:t xml:space="preserve"> </w:t>
      </w:r>
      <w:r w:rsidRPr="00974030">
        <w:rPr>
          <w:rFonts w:asciiTheme="minorBidi" w:hAnsiTheme="minorBidi" w:cs="Arial" w:hint="cs"/>
          <w:rtl/>
        </w:rPr>
        <w:t>כל</w:t>
      </w:r>
      <w:r w:rsidRPr="00974030">
        <w:rPr>
          <w:rFonts w:asciiTheme="minorBidi" w:hAnsiTheme="minorBidi" w:cs="Arial"/>
          <w:rtl/>
        </w:rPr>
        <w:t xml:space="preserve"> </w:t>
      </w:r>
      <w:r w:rsidRPr="00974030">
        <w:rPr>
          <w:rFonts w:asciiTheme="minorBidi" w:hAnsiTheme="minorBidi" w:cs="Arial" w:hint="cs"/>
          <w:rtl/>
        </w:rPr>
        <w:t>מה</w:t>
      </w:r>
      <w:r w:rsidRPr="00974030">
        <w:rPr>
          <w:rFonts w:asciiTheme="minorBidi" w:hAnsiTheme="minorBidi" w:cs="Arial"/>
          <w:rtl/>
        </w:rPr>
        <w:t xml:space="preserve"> </w:t>
      </w:r>
      <w:r w:rsidRPr="00974030">
        <w:rPr>
          <w:rFonts w:asciiTheme="minorBidi" w:hAnsiTheme="minorBidi" w:cs="Arial" w:hint="cs"/>
          <w:rtl/>
        </w:rPr>
        <w:t>שירצה</w:t>
      </w:r>
      <w:r w:rsidRPr="00974030">
        <w:rPr>
          <w:rFonts w:asciiTheme="minorBidi" w:hAnsiTheme="minorBidi" w:cs="Arial"/>
          <w:rtl/>
        </w:rPr>
        <w:t xml:space="preserve">; </w:t>
      </w:r>
      <w:r w:rsidRPr="00974030">
        <w:rPr>
          <w:rFonts w:asciiTheme="minorBidi" w:hAnsiTheme="minorBidi" w:cs="Arial" w:hint="cs"/>
          <w:rtl/>
        </w:rPr>
        <w:t>ויש</w:t>
      </w:r>
      <w:r w:rsidRPr="00974030">
        <w:rPr>
          <w:rFonts w:asciiTheme="minorBidi" w:hAnsiTheme="minorBidi" w:cs="Arial"/>
          <w:rtl/>
        </w:rPr>
        <w:t xml:space="preserve"> </w:t>
      </w:r>
      <w:r w:rsidRPr="00974030">
        <w:rPr>
          <w:rFonts w:asciiTheme="minorBidi" w:hAnsiTheme="minorBidi" w:cs="Arial" w:hint="cs"/>
          <w:rtl/>
        </w:rPr>
        <w:t>אומרים</w:t>
      </w:r>
      <w:r w:rsidRPr="00974030">
        <w:rPr>
          <w:rFonts w:asciiTheme="minorBidi" w:hAnsiTheme="minorBidi" w:cs="Arial"/>
          <w:rtl/>
        </w:rPr>
        <w:t xml:space="preserve"> </w:t>
      </w:r>
      <w:r w:rsidRPr="00974030">
        <w:rPr>
          <w:rFonts w:asciiTheme="minorBidi" w:hAnsiTheme="minorBidi" w:cs="Arial" w:hint="cs"/>
          <w:rtl/>
        </w:rPr>
        <w:t>שאין</w:t>
      </w:r>
      <w:r w:rsidRPr="00974030">
        <w:rPr>
          <w:rFonts w:asciiTheme="minorBidi" w:hAnsiTheme="minorBidi" w:cs="Arial"/>
          <w:rtl/>
        </w:rPr>
        <w:t xml:space="preserve"> </w:t>
      </w:r>
      <w:r w:rsidRPr="00974030">
        <w:rPr>
          <w:rFonts w:asciiTheme="minorBidi" w:hAnsiTheme="minorBidi" w:cs="Arial" w:hint="cs"/>
          <w:rtl/>
        </w:rPr>
        <w:t>חילוק</w:t>
      </w:r>
      <w:r w:rsidRPr="00974030">
        <w:rPr>
          <w:rFonts w:asciiTheme="minorBidi" w:hAnsiTheme="minorBidi" w:cs="Arial"/>
          <w:rtl/>
        </w:rPr>
        <w:t xml:space="preserve">. </w:t>
      </w:r>
    </w:p>
    <w:p w14:paraId="20D2B45B"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יב</w:t>
      </w:r>
    </w:p>
    <w:p w14:paraId="4E5DCBFE"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כל</w:t>
      </w:r>
      <w:r w:rsidRPr="00974030">
        <w:rPr>
          <w:rFonts w:asciiTheme="minorBidi" w:hAnsiTheme="minorBidi" w:cs="Arial"/>
          <w:rtl/>
        </w:rPr>
        <w:t xml:space="preserve"> </w:t>
      </w:r>
      <w:r w:rsidRPr="00974030">
        <w:rPr>
          <w:rFonts w:asciiTheme="minorBidi" w:hAnsiTheme="minorBidi" w:cs="Arial" w:hint="cs"/>
          <w:rtl/>
        </w:rPr>
        <w:t>כתבי</w:t>
      </w:r>
      <w:r w:rsidRPr="00974030">
        <w:rPr>
          <w:rFonts w:asciiTheme="minorBidi" w:hAnsiTheme="minorBidi" w:cs="Arial"/>
          <w:rtl/>
        </w:rPr>
        <w:t xml:space="preserve"> </w:t>
      </w:r>
      <w:r w:rsidRPr="00974030">
        <w:rPr>
          <w:rFonts w:asciiTheme="minorBidi" w:hAnsiTheme="minorBidi" w:cs="Arial" w:hint="cs"/>
          <w:rtl/>
        </w:rPr>
        <w:t>הקדש</w:t>
      </w:r>
      <w:r w:rsidRPr="00974030">
        <w:rPr>
          <w:rFonts w:asciiTheme="minorBidi" w:hAnsiTheme="minorBidi" w:cs="Arial"/>
          <w:rtl/>
        </w:rPr>
        <w:t xml:space="preserve"> </w:t>
      </w:r>
      <w:r w:rsidRPr="00974030">
        <w:rPr>
          <w:rFonts w:asciiTheme="minorBidi" w:hAnsiTheme="minorBidi" w:cs="Arial" w:hint="cs"/>
          <w:rtl/>
        </w:rPr>
        <w:t>מצילין</w:t>
      </w:r>
      <w:r w:rsidRPr="00974030">
        <w:rPr>
          <w:rFonts w:asciiTheme="minorBidi" w:hAnsiTheme="minorBidi" w:cs="Arial"/>
          <w:rtl/>
        </w:rPr>
        <w:t xml:space="preserve"> </w:t>
      </w:r>
      <w:r w:rsidRPr="00974030">
        <w:rPr>
          <w:rFonts w:asciiTheme="minorBidi" w:hAnsiTheme="minorBidi" w:cs="Arial" w:hint="cs"/>
          <w:rtl/>
        </w:rPr>
        <w:t>האידנא</w:t>
      </w:r>
      <w:r w:rsidRPr="00974030">
        <w:rPr>
          <w:rFonts w:asciiTheme="minorBidi" w:hAnsiTheme="minorBidi" w:cs="Arial"/>
          <w:rtl/>
        </w:rPr>
        <w:t xml:space="preserve"> </w:t>
      </w:r>
      <w:r w:rsidRPr="00974030">
        <w:rPr>
          <w:rFonts w:asciiTheme="minorBidi" w:hAnsiTheme="minorBidi" w:cs="Arial" w:hint="cs"/>
          <w:rtl/>
        </w:rPr>
        <w:t>מפני</w:t>
      </w:r>
      <w:r w:rsidRPr="00974030">
        <w:rPr>
          <w:rFonts w:asciiTheme="minorBidi" w:hAnsiTheme="minorBidi" w:cs="Arial"/>
          <w:rtl/>
        </w:rPr>
        <w:t xml:space="preserve"> </w:t>
      </w:r>
      <w:r w:rsidRPr="00974030">
        <w:rPr>
          <w:rFonts w:asciiTheme="minorBidi" w:hAnsiTheme="minorBidi" w:cs="Arial" w:hint="cs"/>
          <w:rtl/>
        </w:rPr>
        <w:t>הדליקה</w:t>
      </w:r>
      <w:r w:rsidRPr="00974030">
        <w:rPr>
          <w:rFonts w:asciiTheme="minorBidi" w:hAnsiTheme="minorBidi" w:cs="Arial"/>
          <w:rtl/>
        </w:rPr>
        <w:t xml:space="preserve"> </w:t>
      </w:r>
      <w:r w:rsidRPr="00974030">
        <w:rPr>
          <w:rFonts w:asciiTheme="minorBidi" w:hAnsiTheme="minorBidi" w:cs="Arial" w:hint="cs"/>
          <w:rtl/>
        </w:rPr>
        <w:t>וקורין</w:t>
      </w:r>
      <w:r w:rsidRPr="00974030">
        <w:rPr>
          <w:rFonts w:asciiTheme="minorBidi" w:hAnsiTheme="minorBidi" w:cs="Arial"/>
          <w:rtl/>
        </w:rPr>
        <w:t xml:space="preserve"> </w:t>
      </w:r>
      <w:r w:rsidRPr="00974030">
        <w:rPr>
          <w:rFonts w:asciiTheme="minorBidi" w:hAnsiTheme="minorBidi" w:cs="Arial" w:hint="cs"/>
          <w:rtl/>
        </w:rPr>
        <w:t>בהם</w:t>
      </w:r>
      <w:r w:rsidRPr="00974030">
        <w:rPr>
          <w:rFonts w:asciiTheme="minorBidi" w:hAnsiTheme="minorBidi" w:cs="Arial"/>
          <w:rtl/>
        </w:rPr>
        <w:t xml:space="preserve">, </w:t>
      </w:r>
      <w:r w:rsidRPr="00974030">
        <w:rPr>
          <w:rFonts w:asciiTheme="minorBidi" w:hAnsiTheme="minorBidi" w:cs="Arial" w:hint="cs"/>
          <w:rtl/>
        </w:rPr>
        <w:t>אפי</w:t>
      </w:r>
      <w:r w:rsidRPr="00974030">
        <w:rPr>
          <w:rFonts w:asciiTheme="minorBidi" w:hAnsiTheme="minorBidi" w:cs="Arial"/>
          <w:rtl/>
        </w:rPr>
        <w:t xml:space="preserve">' </w:t>
      </w:r>
      <w:r w:rsidRPr="00974030">
        <w:rPr>
          <w:rFonts w:asciiTheme="minorBidi" w:hAnsiTheme="minorBidi" w:cs="Arial" w:hint="cs"/>
          <w:rtl/>
        </w:rPr>
        <w:t>כתובים</w:t>
      </w:r>
      <w:r w:rsidRPr="00974030">
        <w:rPr>
          <w:rFonts w:asciiTheme="minorBidi" w:hAnsiTheme="minorBidi" w:cs="Arial"/>
          <w:rtl/>
        </w:rPr>
        <w:t xml:space="preserve"> </w:t>
      </w:r>
      <w:r w:rsidRPr="00974030">
        <w:rPr>
          <w:rFonts w:asciiTheme="minorBidi" w:hAnsiTheme="minorBidi" w:cs="Arial" w:hint="cs"/>
          <w:rtl/>
        </w:rPr>
        <w:t>בכל</w:t>
      </w:r>
      <w:r w:rsidRPr="00974030">
        <w:rPr>
          <w:rFonts w:asciiTheme="minorBidi" w:hAnsiTheme="minorBidi" w:cs="Arial"/>
          <w:rtl/>
        </w:rPr>
        <w:t xml:space="preserve"> </w:t>
      </w:r>
      <w:r w:rsidRPr="00974030">
        <w:rPr>
          <w:rFonts w:asciiTheme="minorBidi" w:hAnsiTheme="minorBidi" w:cs="Arial" w:hint="cs"/>
          <w:rtl/>
        </w:rPr>
        <w:t>לשון</w:t>
      </w:r>
      <w:r w:rsidRPr="00974030">
        <w:rPr>
          <w:rFonts w:asciiTheme="minorBidi" w:hAnsiTheme="minorBidi" w:cs="Arial"/>
          <w:rtl/>
        </w:rPr>
        <w:t xml:space="preserve"> </w:t>
      </w:r>
      <w:r w:rsidRPr="00974030">
        <w:rPr>
          <w:rFonts w:asciiTheme="minorBidi" w:hAnsiTheme="minorBidi" w:cs="Arial" w:hint="cs"/>
          <w:rtl/>
        </w:rPr>
        <w:t>ואפי</w:t>
      </w:r>
      <w:r w:rsidRPr="00974030">
        <w:rPr>
          <w:rFonts w:asciiTheme="minorBidi" w:hAnsiTheme="minorBidi" w:cs="Arial"/>
          <w:rtl/>
        </w:rPr>
        <w:t xml:space="preserve">' </w:t>
      </w:r>
      <w:r w:rsidRPr="00974030">
        <w:rPr>
          <w:rFonts w:asciiTheme="minorBidi" w:hAnsiTheme="minorBidi" w:cs="Arial" w:hint="cs"/>
          <w:rtl/>
        </w:rPr>
        <w:t>כתובים</w:t>
      </w:r>
      <w:r w:rsidRPr="00974030">
        <w:rPr>
          <w:rFonts w:asciiTheme="minorBidi" w:hAnsiTheme="minorBidi" w:cs="Arial"/>
          <w:rtl/>
        </w:rPr>
        <w:t xml:space="preserve"> </w:t>
      </w:r>
      <w:r w:rsidRPr="00974030">
        <w:rPr>
          <w:rFonts w:asciiTheme="minorBidi" w:hAnsiTheme="minorBidi" w:cs="Arial" w:hint="cs"/>
          <w:rtl/>
        </w:rPr>
        <w:t>בסם</w:t>
      </w:r>
      <w:r w:rsidRPr="00974030">
        <w:rPr>
          <w:rFonts w:asciiTheme="minorBidi" w:hAnsiTheme="minorBidi" w:cs="Arial"/>
          <w:rtl/>
        </w:rPr>
        <w:t xml:space="preserve"> </w:t>
      </w:r>
      <w:r w:rsidRPr="00974030">
        <w:rPr>
          <w:rFonts w:asciiTheme="minorBidi" w:hAnsiTheme="minorBidi" w:cs="Arial" w:hint="cs"/>
          <w:rtl/>
        </w:rPr>
        <w:t>ובסיקרא</w:t>
      </w:r>
      <w:r w:rsidRPr="00974030">
        <w:rPr>
          <w:rFonts w:asciiTheme="minorBidi" w:hAnsiTheme="minorBidi" w:cs="Arial"/>
          <w:rtl/>
        </w:rPr>
        <w:t xml:space="preserve"> (</w:t>
      </w:r>
      <w:r w:rsidRPr="00974030">
        <w:rPr>
          <w:rFonts w:asciiTheme="minorBidi" w:hAnsiTheme="minorBidi" w:cs="Arial" w:hint="cs"/>
          <w:rtl/>
        </w:rPr>
        <w:t>פי</w:t>
      </w:r>
      <w:r w:rsidRPr="00974030">
        <w:rPr>
          <w:rFonts w:asciiTheme="minorBidi" w:hAnsiTheme="minorBidi" w:cs="Arial"/>
          <w:rtl/>
        </w:rPr>
        <w:t xml:space="preserve">' </w:t>
      </w:r>
      <w:r w:rsidRPr="00974030">
        <w:rPr>
          <w:rFonts w:asciiTheme="minorBidi" w:hAnsiTheme="minorBidi" w:cs="Arial" w:hint="cs"/>
          <w:rtl/>
        </w:rPr>
        <w:t>מיני</w:t>
      </w:r>
      <w:r w:rsidRPr="00974030">
        <w:rPr>
          <w:rFonts w:asciiTheme="minorBidi" w:hAnsiTheme="minorBidi" w:cs="Arial"/>
          <w:rtl/>
        </w:rPr>
        <w:t xml:space="preserve"> </w:t>
      </w:r>
      <w:r w:rsidRPr="00974030">
        <w:rPr>
          <w:rFonts w:asciiTheme="minorBidi" w:hAnsiTheme="minorBidi" w:cs="Arial" w:hint="cs"/>
          <w:rtl/>
        </w:rPr>
        <w:t>צבעונים</w:t>
      </w:r>
      <w:r w:rsidRPr="00974030">
        <w:rPr>
          <w:rFonts w:asciiTheme="minorBidi" w:hAnsiTheme="minorBidi" w:cs="Arial"/>
          <w:rtl/>
        </w:rPr>
        <w:t xml:space="preserve">) </w:t>
      </w:r>
      <w:r w:rsidRPr="00974030">
        <w:rPr>
          <w:rFonts w:asciiTheme="minorBidi" w:hAnsiTheme="minorBidi" w:cs="Arial" w:hint="cs"/>
          <w:rtl/>
        </w:rPr>
        <w:t>ובכל</w:t>
      </w:r>
      <w:r w:rsidRPr="00974030">
        <w:rPr>
          <w:rFonts w:asciiTheme="minorBidi" w:hAnsiTheme="minorBidi" w:cs="Arial"/>
          <w:rtl/>
        </w:rPr>
        <w:t xml:space="preserve"> </w:t>
      </w:r>
      <w:r w:rsidRPr="00974030">
        <w:rPr>
          <w:rFonts w:asciiTheme="minorBidi" w:hAnsiTheme="minorBidi" w:cs="Arial" w:hint="cs"/>
          <w:rtl/>
        </w:rPr>
        <w:t>דבר</w:t>
      </w:r>
      <w:r w:rsidRPr="00974030">
        <w:rPr>
          <w:rFonts w:asciiTheme="minorBidi" w:hAnsiTheme="minorBidi" w:cs="Arial"/>
          <w:rtl/>
        </w:rPr>
        <w:t xml:space="preserve">. </w:t>
      </w:r>
      <w:r w:rsidRPr="00974030">
        <w:rPr>
          <w:rFonts w:asciiTheme="minorBidi" w:hAnsiTheme="minorBidi" w:cs="Arial" w:hint="cs"/>
          <w:rtl/>
        </w:rPr>
        <w:t>וכן</w:t>
      </w:r>
      <w:r w:rsidRPr="00974030">
        <w:rPr>
          <w:rFonts w:asciiTheme="minorBidi" w:hAnsiTheme="minorBidi" w:cs="Arial"/>
          <w:rtl/>
        </w:rPr>
        <w:t xml:space="preserve"> </w:t>
      </w:r>
      <w:r w:rsidRPr="00974030">
        <w:rPr>
          <w:rFonts w:asciiTheme="minorBidi" w:hAnsiTheme="minorBidi" w:cs="Arial" w:hint="cs"/>
          <w:rtl/>
        </w:rPr>
        <w:t>מטבע</w:t>
      </w:r>
      <w:r w:rsidRPr="00974030">
        <w:rPr>
          <w:rFonts w:asciiTheme="minorBidi" w:hAnsiTheme="minorBidi" w:cs="Arial"/>
          <w:rtl/>
        </w:rPr>
        <w:t xml:space="preserve"> </w:t>
      </w:r>
      <w:r w:rsidRPr="00974030">
        <w:rPr>
          <w:rFonts w:asciiTheme="minorBidi" w:hAnsiTheme="minorBidi" w:cs="Arial" w:hint="cs"/>
          <w:rtl/>
        </w:rPr>
        <w:t>ברכות</w:t>
      </w:r>
      <w:r w:rsidRPr="00974030">
        <w:rPr>
          <w:rFonts w:asciiTheme="minorBidi" w:hAnsiTheme="minorBidi" w:cs="Arial"/>
          <w:rtl/>
        </w:rPr>
        <w:t xml:space="preserve"> </w:t>
      </w:r>
      <w:r w:rsidRPr="00974030">
        <w:rPr>
          <w:rFonts w:asciiTheme="minorBidi" w:hAnsiTheme="minorBidi" w:cs="Arial" w:hint="cs"/>
          <w:rtl/>
        </w:rPr>
        <w:t>שטבעו</w:t>
      </w:r>
      <w:r w:rsidRPr="00974030">
        <w:rPr>
          <w:rFonts w:asciiTheme="minorBidi" w:hAnsiTheme="minorBidi" w:cs="Arial"/>
          <w:rtl/>
        </w:rPr>
        <w:t xml:space="preserve"> </w:t>
      </w:r>
      <w:r w:rsidRPr="00974030">
        <w:rPr>
          <w:rFonts w:asciiTheme="minorBidi" w:hAnsiTheme="minorBidi" w:cs="Arial" w:hint="cs"/>
          <w:rtl/>
        </w:rPr>
        <w:t>חכמים</w:t>
      </w:r>
      <w:r w:rsidRPr="00974030">
        <w:rPr>
          <w:rFonts w:asciiTheme="minorBidi" w:hAnsiTheme="minorBidi" w:cs="Arial"/>
          <w:rtl/>
        </w:rPr>
        <w:t xml:space="preserve">, </w:t>
      </w:r>
      <w:r w:rsidRPr="00974030">
        <w:rPr>
          <w:rFonts w:asciiTheme="minorBidi" w:hAnsiTheme="minorBidi" w:cs="Arial" w:hint="cs"/>
          <w:rtl/>
        </w:rPr>
        <w:t>מצילין</w:t>
      </w:r>
      <w:r w:rsidRPr="00974030">
        <w:rPr>
          <w:rFonts w:asciiTheme="minorBidi" w:hAnsiTheme="minorBidi" w:cs="Arial"/>
          <w:rtl/>
        </w:rPr>
        <w:t xml:space="preserve"> </w:t>
      </w:r>
      <w:r w:rsidRPr="00974030">
        <w:rPr>
          <w:rFonts w:asciiTheme="minorBidi" w:hAnsiTheme="minorBidi" w:cs="Arial" w:hint="cs"/>
          <w:rtl/>
        </w:rPr>
        <w:t>אותם</w:t>
      </w:r>
      <w:r w:rsidRPr="00974030">
        <w:rPr>
          <w:rFonts w:asciiTheme="minorBidi" w:hAnsiTheme="minorBidi" w:cs="Arial"/>
          <w:rtl/>
        </w:rPr>
        <w:t xml:space="preserve"> </w:t>
      </w:r>
      <w:r w:rsidRPr="00974030">
        <w:rPr>
          <w:rFonts w:asciiTheme="minorBidi" w:hAnsiTheme="minorBidi" w:cs="Arial" w:hint="cs"/>
          <w:rtl/>
        </w:rPr>
        <w:t>מן</w:t>
      </w:r>
      <w:r w:rsidRPr="00974030">
        <w:rPr>
          <w:rFonts w:asciiTheme="minorBidi" w:hAnsiTheme="minorBidi" w:cs="Arial"/>
          <w:rtl/>
        </w:rPr>
        <w:t xml:space="preserve"> </w:t>
      </w:r>
      <w:r w:rsidRPr="00974030">
        <w:rPr>
          <w:rFonts w:asciiTheme="minorBidi" w:hAnsiTheme="minorBidi" w:cs="Arial" w:hint="cs"/>
          <w:rtl/>
        </w:rPr>
        <w:t>הדליקה</w:t>
      </w:r>
      <w:r w:rsidRPr="00974030">
        <w:rPr>
          <w:rFonts w:asciiTheme="minorBidi" w:hAnsiTheme="minorBidi" w:cs="Arial"/>
          <w:rtl/>
        </w:rPr>
        <w:t xml:space="preserve"> </w:t>
      </w:r>
      <w:r w:rsidRPr="00974030">
        <w:rPr>
          <w:rFonts w:asciiTheme="minorBidi" w:hAnsiTheme="minorBidi" w:cs="Arial" w:hint="cs"/>
          <w:rtl/>
        </w:rPr>
        <w:t>ומכל</w:t>
      </w:r>
      <w:r w:rsidRPr="00974030">
        <w:rPr>
          <w:rFonts w:asciiTheme="minorBidi" w:hAnsiTheme="minorBidi" w:cs="Arial"/>
          <w:rtl/>
        </w:rPr>
        <w:t xml:space="preserve"> </w:t>
      </w:r>
      <w:r w:rsidRPr="00974030">
        <w:rPr>
          <w:rFonts w:asciiTheme="minorBidi" w:hAnsiTheme="minorBidi" w:cs="Arial" w:hint="cs"/>
          <w:rtl/>
        </w:rPr>
        <w:t>מקום</w:t>
      </w:r>
      <w:r w:rsidRPr="00974030">
        <w:rPr>
          <w:rFonts w:asciiTheme="minorBidi" w:hAnsiTheme="minorBidi" w:cs="Arial"/>
          <w:rtl/>
        </w:rPr>
        <w:t xml:space="preserve"> </w:t>
      </w:r>
      <w:r w:rsidRPr="00974030">
        <w:rPr>
          <w:rFonts w:asciiTheme="minorBidi" w:hAnsiTheme="minorBidi" w:cs="Arial" w:hint="cs"/>
          <w:rtl/>
        </w:rPr>
        <w:t>התורפה</w:t>
      </w:r>
      <w:r w:rsidRPr="00974030">
        <w:rPr>
          <w:rFonts w:asciiTheme="minorBidi" w:hAnsiTheme="minorBidi" w:cs="Arial"/>
          <w:rtl/>
        </w:rPr>
        <w:t xml:space="preserve"> (</w:t>
      </w:r>
      <w:r w:rsidRPr="00974030">
        <w:rPr>
          <w:rFonts w:asciiTheme="minorBidi" w:hAnsiTheme="minorBidi" w:cs="Arial" w:hint="cs"/>
          <w:rtl/>
        </w:rPr>
        <w:t>פירוש</w:t>
      </w:r>
      <w:r w:rsidRPr="00974030">
        <w:rPr>
          <w:rFonts w:asciiTheme="minorBidi" w:hAnsiTheme="minorBidi" w:cs="Arial"/>
          <w:rtl/>
        </w:rPr>
        <w:t xml:space="preserve"> </w:t>
      </w:r>
      <w:r w:rsidRPr="00974030">
        <w:rPr>
          <w:rFonts w:asciiTheme="minorBidi" w:hAnsiTheme="minorBidi" w:cs="Arial" w:hint="cs"/>
          <w:rtl/>
        </w:rPr>
        <w:t>מקום</w:t>
      </w:r>
      <w:r w:rsidRPr="00974030">
        <w:rPr>
          <w:rFonts w:asciiTheme="minorBidi" w:hAnsiTheme="minorBidi" w:cs="Arial"/>
          <w:rtl/>
        </w:rPr>
        <w:t xml:space="preserve"> </w:t>
      </w:r>
      <w:r w:rsidRPr="00974030">
        <w:rPr>
          <w:rFonts w:asciiTheme="minorBidi" w:hAnsiTheme="minorBidi" w:cs="Arial" w:hint="cs"/>
          <w:rtl/>
        </w:rPr>
        <w:t>מגולה</w:t>
      </w:r>
      <w:r w:rsidRPr="00974030">
        <w:rPr>
          <w:rFonts w:asciiTheme="minorBidi" w:hAnsiTheme="minorBidi" w:cs="Arial"/>
          <w:rtl/>
        </w:rPr>
        <w:t xml:space="preserve"> </w:t>
      </w:r>
      <w:r w:rsidRPr="00974030">
        <w:rPr>
          <w:rFonts w:asciiTheme="minorBidi" w:hAnsiTheme="minorBidi" w:cs="Arial" w:hint="cs"/>
          <w:rtl/>
        </w:rPr>
        <w:t>והפקר</w:t>
      </w:r>
      <w:r w:rsidRPr="00974030">
        <w:rPr>
          <w:rFonts w:asciiTheme="minorBidi" w:hAnsiTheme="minorBidi" w:cs="Arial"/>
          <w:rtl/>
        </w:rPr>
        <w:t xml:space="preserve">); </w:t>
      </w:r>
      <w:r w:rsidRPr="00974030">
        <w:rPr>
          <w:rFonts w:asciiTheme="minorBidi" w:hAnsiTheme="minorBidi" w:cs="Arial" w:hint="cs"/>
          <w:rtl/>
        </w:rPr>
        <w:t>וכן</w:t>
      </w:r>
      <w:r w:rsidRPr="00974030">
        <w:rPr>
          <w:rFonts w:asciiTheme="minorBidi" w:hAnsiTheme="minorBidi" w:cs="Arial"/>
          <w:rtl/>
        </w:rPr>
        <w:t xml:space="preserve"> </w:t>
      </w:r>
      <w:r w:rsidRPr="00974030">
        <w:rPr>
          <w:rFonts w:asciiTheme="minorBidi" w:hAnsiTheme="minorBidi" w:cs="Arial" w:hint="cs"/>
          <w:rtl/>
        </w:rPr>
        <w:t>תרגום</w:t>
      </w:r>
      <w:r w:rsidRPr="00974030">
        <w:rPr>
          <w:rFonts w:asciiTheme="minorBidi" w:hAnsiTheme="minorBidi" w:cs="Arial"/>
          <w:rtl/>
        </w:rPr>
        <w:t xml:space="preserve"> </w:t>
      </w:r>
      <w:r w:rsidRPr="00974030">
        <w:rPr>
          <w:rFonts w:asciiTheme="minorBidi" w:hAnsiTheme="minorBidi" w:cs="Arial" w:hint="cs"/>
          <w:rtl/>
        </w:rPr>
        <w:t>שכתבו</w:t>
      </w:r>
      <w:r w:rsidRPr="00974030">
        <w:rPr>
          <w:rFonts w:asciiTheme="minorBidi" w:hAnsiTheme="minorBidi" w:cs="Arial"/>
          <w:rtl/>
        </w:rPr>
        <w:t xml:space="preserve"> </w:t>
      </w:r>
      <w:r w:rsidRPr="00974030">
        <w:rPr>
          <w:rFonts w:asciiTheme="minorBidi" w:hAnsiTheme="minorBidi" w:cs="Arial" w:hint="cs"/>
          <w:rtl/>
        </w:rPr>
        <w:t>עברי</w:t>
      </w:r>
      <w:r w:rsidRPr="00974030">
        <w:rPr>
          <w:rFonts w:asciiTheme="minorBidi" w:hAnsiTheme="minorBidi" w:cs="Arial"/>
          <w:rtl/>
        </w:rPr>
        <w:t xml:space="preserve">, </w:t>
      </w:r>
      <w:r w:rsidRPr="00974030">
        <w:rPr>
          <w:rFonts w:asciiTheme="minorBidi" w:hAnsiTheme="minorBidi" w:cs="Arial" w:hint="cs"/>
          <w:rtl/>
        </w:rPr>
        <w:t>כגון</w:t>
      </w:r>
      <w:r w:rsidRPr="00974030">
        <w:rPr>
          <w:rFonts w:asciiTheme="minorBidi" w:hAnsiTheme="minorBidi" w:cs="Arial"/>
          <w:rtl/>
        </w:rPr>
        <w:t xml:space="preserve"> </w:t>
      </w:r>
      <w:r w:rsidRPr="00974030">
        <w:rPr>
          <w:rFonts w:asciiTheme="minorBidi" w:hAnsiTheme="minorBidi" w:cs="Arial" w:hint="cs"/>
          <w:rtl/>
        </w:rPr>
        <w:t>יגר</w:t>
      </w:r>
      <w:r w:rsidRPr="00974030">
        <w:rPr>
          <w:rFonts w:asciiTheme="minorBidi" w:hAnsiTheme="minorBidi" w:cs="Arial"/>
          <w:rtl/>
        </w:rPr>
        <w:t xml:space="preserve"> </w:t>
      </w:r>
      <w:r w:rsidRPr="00974030">
        <w:rPr>
          <w:rFonts w:asciiTheme="minorBidi" w:hAnsiTheme="minorBidi" w:cs="Arial" w:hint="cs"/>
          <w:rtl/>
        </w:rPr>
        <w:t>שהדותא</w:t>
      </w:r>
      <w:r w:rsidRPr="00974030">
        <w:rPr>
          <w:rFonts w:asciiTheme="minorBidi" w:hAnsiTheme="minorBidi" w:cs="Arial"/>
          <w:rtl/>
        </w:rPr>
        <w:t xml:space="preserve"> </w:t>
      </w:r>
      <w:r w:rsidRPr="00974030">
        <w:rPr>
          <w:rFonts w:asciiTheme="minorBidi" w:hAnsiTheme="minorBidi" w:cs="Arial" w:hint="cs"/>
          <w:rtl/>
        </w:rPr>
        <w:t>וכדנא</w:t>
      </w:r>
      <w:r w:rsidRPr="00974030">
        <w:rPr>
          <w:rFonts w:asciiTheme="minorBidi" w:hAnsiTheme="minorBidi" w:cs="Arial"/>
          <w:rtl/>
        </w:rPr>
        <w:t xml:space="preserve"> </w:t>
      </w:r>
      <w:r w:rsidRPr="00974030">
        <w:rPr>
          <w:rFonts w:asciiTheme="minorBidi" w:hAnsiTheme="minorBidi" w:cs="Arial" w:hint="cs"/>
          <w:rtl/>
        </w:rPr>
        <w:t>תימרון</w:t>
      </w:r>
      <w:r w:rsidRPr="00974030">
        <w:rPr>
          <w:rFonts w:asciiTheme="minorBidi" w:hAnsiTheme="minorBidi" w:cs="Arial"/>
          <w:rtl/>
        </w:rPr>
        <w:t xml:space="preserve"> </w:t>
      </w:r>
      <w:r w:rsidRPr="00974030">
        <w:rPr>
          <w:rFonts w:asciiTheme="minorBidi" w:hAnsiTheme="minorBidi" w:cs="Arial" w:hint="cs"/>
          <w:rtl/>
        </w:rPr>
        <w:t>להון</w:t>
      </w:r>
      <w:r w:rsidRPr="00974030">
        <w:rPr>
          <w:rFonts w:asciiTheme="minorBidi" w:hAnsiTheme="minorBidi" w:cs="Arial"/>
          <w:rtl/>
        </w:rPr>
        <w:t xml:space="preserve">, </w:t>
      </w:r>
      <w:r w:rsidRPr="00974030">
        <w:rPr>
          <w:rFonts w:asciiTheme="minorBidi" w:hAnsiTheme="minorBidi" w:cs="Arial" w:hint="cs"/>
          <w:rtl/>
        </w:rPr>
        <w:t>ועברי</w:t>
      </w:r>
      <w:r w:rsidRPr="00974030">
        <w:rPr>
          <w:rFonts w:asciiTheme="minorBidi" w:hAnsiTheme="minorBidi" w:cs="Arial"/>
          <w:rtl/>
        </w:rPr>
        <w:t xml:space="preserve"> </w:t>
      </w:r>
      <w:r w:rsidRPr="00974030">
        <w:rPr>
          <w:rFonts w:asciiTheme="minorBidi" w:hAnsiTheme="minorBidi" w:cs="Arial" w:hint="cs"/>
          <w:rtl/>
        </w:rPr>
        <w:t>שכתבו</w:t>
      </w:r>
      <w:r w:rsidRPr="00974030">
        <w:rPr>
          <w:rFonts w:asciiTheme="minorBidi" w:hAnsiTheme="minorBidi" w:cs="Arial"/>
          <w:rtl/>
        </w:rPr>
        <w:t xml:space="preserve"> </w:t>
      </w:r>
      <w:r w:rsidRPr="00974030">
        <w:rPr>
          <w:rFonts w:asciiTheme="minorBidi" w:hAnsiTheme="minorBidi" w:cs="Arial" w:hint="cs"/>
          <w:rtl/>
        </w:rPr>
        <w:t>תרגום</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בלשון</w:t>
      </w:r>
      <w:r w:rsidRPr="00974030">
        <w:rPr>
          <w:rFonts w:asciiTheme="minorBidi" w:hAnsiTheme="minorBidi" w:cs="Arial"/>
          <w:rtl/>
        </w:rPr>
        <w:t xml:space="preserve"> </w:t>
      </w:r>
      <w:r w:rsidRPr="00974030">
        <w:rPr>
          <w:rFonts w:asciiTheme="minorBidi" w:hAnsiTheme="minorBidi" w:cs="Arial" w:hint="cs"/>
          <w:rtl/>
        </w:rPr>
        <w:t>אחר</w:t>
      </w:r>
      <w:r w:rsidRPr="00974030">
        <w:rPr>
          <w:rFonts w:asciiTheme="minorBidi" w:hAnsiTheme="minorBidi" w:cs="Arial"/>
          <w:rtl/>
        </w:rPr>
        <w:t xml:space="preserve"> </w:t>
      </w:r>
      <w:r w:rsidRPr="00974030">
        <w:rPr>
          <w:rFonts w:asciiTheme="minorBidi" w:hAnsiTheme="minorBidi" w:cs="Arial" w:hint="cs"/>
          <w:rtl/>
        </w:rPr>
        <w:t>שאותו</w:t>
      </w:r>
      <w:r w:rsidRPr="00974030">
        <w:rPr>
          <w:rFonts w:asciiTheme="minorBidi" w:hAnsiTheme="minorBidi" w:cs="Arial"/>
          <w:rtl/>
        </w:rPr>
        <w:t xml:space="preserve"> </w:t>
      </w:r>
      <w:r w:rsidRPr="00974030">
        <w:rPr>
          <w:rFonts w:asciiTheme="minorBidi" w:hAnsiTheme="minorBidi" w:cs="Arial" w:hint="cs"/>
          <w:rtl/>
        </w:rPr>
        <w:t>העם</w:t>
      </w:r>
      <w:r w:rsidRPr="00974030">
        <w:rPr>
          <w:rFonts w:asciiTheme="minorBidi" w:hAnsiTheme="minorBidi" w:cs="Arial"/>
          <w:rtl/>
        </w:rPr>
        <w:t xml:space="preserve"> </w:t>
      </w:r>
      <w:r w:rsidRPr="00974030">
        <w:rPr>
          <w:rFonts w:asciiTheme="minorBidi" w:hAnsiTheme="minorBidi" w:cs="Arial" w:hint="cs"/>
          <w:rtl/>
        </w:rPr>
        <w:t>בקיאים</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וכן</w:t>
      </w:r>
      <w:r w:rsidRPr="00974030">
        <w:rPr>
          <w:rFonts w:asciiTheme="minorBidi" w:hAnsiTheme="minorBidi" w:cs="Arial"/>
          <w:rtl/>
        </w:rPr>
        <w:t xml:space="preserve"> </w:t>
      </w:r>
      <w:r w:rsidRPr="00974030">
        <w:rPr>
          <w:rFonts w:asciiTheme="minorBidi" w:hAnsiTheme="minorBidi" w:cs="Arial" w:hint="cs"/>
          <w:rtl/>
        </w:rPr>
        <w:t>ספר</w:t>
      </w:r>
      <w:r w:rsidRPr="00974030">
        <w:rPr>
          <w:rFonts w:asciiTheme="minorBidi" w:hAnsiTheme="minorBidi" w:cs="Arial"/>
          <w:rtl/>
        </w:rPr>
        <w:t xml:space="preserve"> </w:t>
      </w:r>
      <w:r w:rsidRPr="00974030">
        <w:rPr>
          <w:rFonts w:asciiTheme="minorBidi" w:hAnsiTheme="minorBidi" w:cs="Arial" w:hint="cs"/>
          <w:rtl/>
        </w:rPr>
        <w:t>תורה</w:t>
      </w:r>
      <w:r w:rsidRPr="00974030">
        <w:rPr>
          <w:rFonts w:asciiTheme="minorBidi" w:hAnsiTheme="minorBidi" w:cs="Arial"/>
          <w:rtl/>
        </w:rPr>
        <w:t xml:space="preserve"> </w:t>
      </w:r>
      <w:r w:rsidRPr="00974030">
        <w:rPr>
          <w:rFonts w:asciiTheme="minorBidi" w:hAnsiTheme="minorBidi" w:cs="Arial" w:hint="cs"/>
          <w:rtl/>
        </w:rPr>
        <w:t>שיש</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ללקט</w:t>
      </w:r>
      <w:r w:rsidRPr="00974030">
        <w:rPr>
          <w:rFonts w:asciiTheme="minorBidi" w:hAnsiTheme="minorBidi" w:cs="Arial"/>
          <w:rtl/>
        </w:rPr>
        <w:t xml:space="preserve"> </w:t>
      </w:r>
      <w:r w:rsidRPr="00974030">
        <w:rPr>
          <w:rFonts w:asciiTheme="minorBidi" w:hAnsiTheme="minorBidi" w:cs="Arial" w:hint="cs"/>
          <w:rtl/>
        </w:rPr>
        <w:t>פ</w:t>
      </w:r>
      <w:r w:rsidRPr="00974030">
        <w:rPr>
          <w:rFonts w:asciiTheme="minorBidi" w:hAnsiTheme="minorBidi" w:cs="Arial"/>
          <w:rtl/>
        </w:rPr>
        <w:t>"</w:t>
      </w:r>
      <w:r w:rsidRPr="00974030">
        <w:rPr>
          <w:rFonts w:asciiTheme="minorBidi" w:hAnsiTheme="minorBidi" w:cs="Arial" w:hint="cs"/>
          <w:rtl/>
        </w:rPr>
        <w:t>ה</w:t>
      </w:r>
      <w:r w:rsidRPr="00974030">
        <w:rPr>
          <w:rFonts w:asciiTheme="minorBidi" w:hAnsiTheme="minorBidi" w:cs="Arial"/>
          <w:rtl/>
        </w:rPr>
        <w:t xml:space="preserve"> </w:t>
      </w:r>
      <w:r w:rsidRPr="00974030">
        <w:rPr>
          <w:rFonts w:asciiTheme="minorBidi" w:hAnsiTheme="minorBidi" w:cs="Arial" w:hint="cs"/>
          <w:rtl/>
        </w:rPr>
        <w:t>אותיות</w:t>
      </w:r>
      <w:r w:rsidRPr="00974030">
        <w:rPr>
          <w:rFonts w:asciiTheme="minorBidi" w:hAnsiTheme="minorBidi" w:cs="Arial"/>
          <w:rtl/>
        </w:rPr>
        <w:t xml:space="preserve"> </w:t>
      </w:r>
      <w:r w:rsidRPr="00974030">
        <w:rPr>
          <w:rFonts w:asciiTheme="minorBidi" w:hAnsiTheme="minorBidi" w:cs="Arial" w:hint="cs"/>
          <w:rtl/>
        </w:rPr>
        <w:t>מתוך</w:t>
      </w:r>
      <w:r w:rsidRPr="00974030">
        <w:rPr>
          <w:rFonts w:asciiTheme="minorBidi" w:hAnsiTheme="minorBidi" w:cs="Arial"/>
          <w:rtl/>
        </w:rPr>
        <w:t xml:space="preserve"> </w:t>
      </w:r>
      <w:r w:rsidRPr="00974030">
        <w:rPr>
          <w:rFonts w:asciiTheme="minorBidi" w:hAnsiTheme="minorBidi" w:cs="Arial" w:hint="cs"/>
          <w:rtl/>
        </w:rPr>
        <w:t>תיבות</w:t>
      </w:r>
      <w:r w:rsidRPr="00974030">
        <w:rPr>
          <w:rFonts w:asciiTheme="minorBidi" w:hAnsiTheme="minorBidi" w:cs="Arial"/>
          <w:rtl/>
        </w:rPr>
        <w:t xml:space="preserve"> </w:t>
      </w:r>
      <w:r w:rsidRPr="00974030">
        <w:rPr>
          <w:rFonts w:asciiTheme="minorBidi" w:hAnsiTheme="minorBidi" w:cs="Arial" w:hint="cs"/>
          <w:rtl/>
        </w:rPr>
        <w:t>שלמות</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שיש</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אזכרה</w:t>
      </w:r>
      <w:r w:rsidRPr="00974030">
        <w:rPr>
          <w:rFonts w:asciiTheme="minorBidi" w:hAnsiTheme="minorBidi" w:cs="Arial"/>
          <w:rtl/>
        </w:rPr>
        <w:t xml:space="preserve">, </w:t>
      </w:r>
      <w:r w:rsidRPr="00974030">
        <w:rPr>
          <w:rFonts w:asciiTheme="minorBidi" w:hAnsiTheme="minorBidi" w:cs="Arial" w:hint="cs"/>
          <w:rtl/>
        </w:rPr>
        <w:t>מצילין</w:t>
      </w:r>
      <w:r w:rsidRPr="00974030">
        <w:rPr>
          <w:rFonts w:asciiTheme="minorBidi" w:hAnsiTheme="minorBidi" w:cs="Arial"/>
          <w:rtl/>
        </w:rPr>
        <w:t xml:space="preserve"> </w:t>
      </w:r>
      <w:r w:rsidRPr="00974030">
        <w:rPr>
          <w:rFonts w:asciiTheme="minorBidi" w:hAnsiTheme="minorBidi" w:cs="Arial" w:hint="cs"/>
          <w:rtl/>
        </w:rPr>
        <w:t>אותה</w:t>
      </w:r>
      <w:r w:rsidRPr="00974030">
        <w:rPr>
          <w:rFonts w:asciiTheme="minorBidi" w:hAnsiTheme="minorBidi" w:cs="Arial"/>
          <w:rtl/>
        </w:rPr>
        <w:t xml:space="preserve">. </w:t>
      </w:r>
    </w:p>
    <w:p w14:paraId="7F67AD4E"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יג</w:t>
      </w:r>
    </w:p>
    <w:p w14:paraId="477087F7"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יש</w:t>
      </w:r>
      <w:r w:rsidRPr="00974030">
        <w:rPr>
          <w:rFonts w:asciiTheme="minorBidi" w:hAnsiTheme="minorBidi" w:cs="Arial"/>
          <w:rtl/>
        </w:rPr>
        <w:t xml:space="preserve"> </w:t>
      </w:r>
      <w:r w:rsidRPr="00974030">
        <w:rPr>
          <w:rFonts w:asciiTheme="minorBidi" w:hAnsiTheme="minorBidi" w:cs="Arial" w:hint="cs"/>
          <w:rtl/>
        </w:rPr>
        <w:t>מי</w:t>
      </w:r>
      <w:r w:rsidRPr="00974030">
        <w:rPr>
          <w:rFonts w:asciiTheme="minorBidi" w:hAnsiTheme="minorBidi" w:cs="Arial"/>
          <w:rtl/>
        </w:rPr>
        <w:t xml:space="preserve"> </w:t>
      </w:r>
      <w:r w:rsidRPr="00974030">
        <w:rPr>
          <w:rFonts w:asciiTheme="minorBidi" w:hAnsiTheme="minorBidi" w:cs="Arial" w:hint="cs"/>
          <w:rtl/>
        </w:rPr>
        <w:t>שאומר</w:t>
      </w:r>
      <w:r w:rsidRPr="00974030">
        <w:rPr>
          <w:rFonts w:asciiTheme="minorBidi" w:hAnsiTheme="minorBidi" w:cs="Arial"/>
          <w:rtl/>
        </w:rPr>
        <w:t xml:space="preserve"> </w:t>
      </w:r>
      <w:r w:rsidRPr="00974030">
        <w:rPr>
          <w:rFonts w:asciiTheme="minorBidi" w:hAnsiTheme="minorBidi" w:cs="Arial" w:hint="cs"/>
          <w:rtl/>
        </w:rPr>
        <w:t>דמגלת</w:t>
      </w:r>
      <w:r w:rsidRPr="00974030">
        <w:rPr>
          <w:rFonts w:asciiTheme="minorBidi" w:hAnsiTheme="minorBidi" w:cs="Arial"/>
          <w:rtl/>
        </w:rPr>
        <w:t xml:space="preserve"> </w:t>
      </w:r>
      <w:r w:rsidRPr="00974030">
        <w:rPr>
          <w:rFonts w:asciiTheme="minorBidi" w:hAnsiTheme="minorBidi" w:cs="Arial" w:hint="cs"/>
          <w:rtl/>
        </w:rPr>
        <w:t>אסתר</w:t>
      </w:r>
      <w:r w:rsidRPr="00974030">
        <w:rPr>
          <w:rFonts w:asciiTheme="minorBidi" w:hAnsiTheme="minorBidi" w:cs="Arial"/>
          <w:rtl/>
        </w:rPr>
        <w:t xml:space="preserve">, </w:t>
      </w:r>
      <w:r w:rsidRPr="00974030">
        <w:rPr>
          <w:rFonts w:asciiTheme="minorBidi" w:hAnsiTheme="minorBidi" w:cs="Arial" w:hint="cs"/>
          <w:rtl/>
        </w:rPr>
        <w:t>הואיל</w:t>
      </w:r>
      <w:r w:rsidRPr="00974030">
        <w:rPr>
          <w:rFonts w:asciiTheme="minorBidi" w:hAnsiTheme="minorBidi" w:cs="Arial"/>
          <w:rtl/>
        </w:rPr>
        <w:t xml:space="preserve"> </w:t>
      </w:r>
      <w:r w:rsidRPr="00974030">
        <w:rPr>
          <w:rFonts w:asciiTheme="minorBidi" w:hAnsiTheme="minorBidi" w:cs="Arial" w:hint="cs"/>
          <w:rtl/>
        </w:rPr>
        <w:t>ואין</w:t>
      </w:r>
      <w:r w:rsidRPr="00974030">
        <w:rPr>
          <w:rFonts w:asciiTheme="minorBidi" w:hAnsiTheme="minorBidi" w:cs="Arial"/>
          <w:rtl/>
        </w:rPr>
        <w:t xml:space="preserve"> </w:t>
      </w:r>
      <w:r w:rsidRPr="00974030">
        <w:rPr>
          <w:rFonts w:asciiTheme="minorBidi" w:hAnsiTheme="minorBidi" w:cs="Arial" w:hint="cs"/>
          <w:rtl/>
        </w:rPr>
        <w:t>בה</w:t>
      </w:r>
      <w:r w:rsidRPr="00974030">
        <w:rPr>
          <w:rFonts w:asciiTheme="minorBidi" w:hAnsiTheme="minorBidi" w:cs="Arial"/>
          <w:rtl/>
        </w:rPr>
        <w:t xml:space="preserve"> </w:t>
      </w:r>
      <w:r w:rsidRPr="00974030">
        <w:rPr>
          <w:rFonts w:asciiTheme="minorBidi" w:hAnsiTheme="minorBidi" w:cs="Arial" w:hint="cs"/>
          <w:rtl/>
        </w:rPr>
        <w:t>אזכרות</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אינה</w:t>
      </w:r>
      <w:r w:rsidRPr="00974030">
        <w:rPr>
          <w:rFonts w:asciiTheme="minorBidi" w:hAnsiTheme="minorBidi" w:cs="Arial"/>
          <w:rtl/>
        </w:rPr>
        <w:t xml:space="preserve"> </w:t>
      </w:r>
      <w:r w:rsidRPr="00974030">
        <w:rPr>
          <w:rFonts w:asciiTheme="minorBidi" w:hAnsiTheme="minorBidi" w:cs="Arial" w:hint="cs"/>
          <w:rtl/>
        </w:rPr>
        <w:t>כתובה</w:t>
      </w:r>
      <w:r w:rsidRPr="00974030">
        <w:rPr>
          <w:rFonts w:asciiTheme="minorBidi" w:hAnsiTheme="minorBidi" w:cs="Arial"/>
          <w:rtl/>
        </w:rPr>
        <w:t xml:space="preserve"> </w:t>
      </w:r>
      <w:r w:rsidRPr="00974030">
        <w:rPr>
          <w:rFonts w:asciiTheme="minorBidi" w:hAnsiTheme="minorBidi" w:cs="Arial" w:hint="cs"/>
          <w:rtl/>
        </w:rPr>
        <w:t>כמשפטה</w:t>
      </w:r>
      <w:r w:rsidRPr="00974030">
        <w:rPr>
          <w:rFonts w:asciiTheme="minorBidi" w:hAnsiTheme="minorBidi" w:cs="Arial"/>
          <w:rtl/>
        </w:rPr>
        <w:t xml:space="preserve"> </w:t>
      </w:r>
      <w:r w:rsidRPr="00974030">
        <w:rPr>
          <w:rFonts w:asciiTheme="minorBidi" w:hAnsiTheme="minorBidi" w:cs="Arial" w:hint="cs"/>
          <w:rtl/>
        </w:rPr>
        <w:t>אשורית</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העור</w:t>
      </w:r>
      <w:r w:rsidRPr="00974030">
        <w:rPr>
          <w:rFonts w:asciiTheme="minorBidi" w:hAnsiTheme="minorBidi" w:cs="Arial"/>
          <w:rtl/>
        </w:rPr>
        <w:t xml:space="preserve"> </w:t>
      </w:r>
      <w:r w:rsidRPr="00974030">
        <w:rPr>
          <w:rFonts w:asciiTheme="minorBidi" w:hAnsiTheme="minorBidi" w:cs="Arial" w:hint="cs"/>
          <w:rtl/>
        </w:rPr>
        <w:t>ובדיו</w:t>
      </w:r>
      <w:r w:rsidRPr="00974030">
        <w:rPr>
          <w:rFonts w:asciiTheme="minorBidi" w:hAnsiTheme="minorBidi" w:cs="Arial"/>
          <w:rtl/>
        </w:rPr>
        <w:t xml:space="preserve">, </w:t>
      </w:r>
      <w:r w:rsidRPr="00974030">
        <w:rPr>
          <w:rFonts w:asciiTheme="minorBidi" w:hAnsiTheme="minorBidi" w:cs="Arial" w:hint="cs"/>
          <w:rtl/>
        </w:rPr>
        <w:t>אין</w:t>
      </w:r>
      <w:r w:rsidRPr="00974030">
        <w:rPr>
          <w:rFonts w:asciiTheme="minorBidi" w:hAnsiTheme="minorBidi" w:cs="Arial"/>
          <w:rtl/>
        </w:rPr>
        <w:t xml:space="preserve"> </w:t>
      </w:r>
      <w:r w:rsidRPr="00974030">
        <w:rPr>
          <w:rFonts w:asciiTheme="minorBidi" w:hAnsiTheme="minorBidi" w:cs="Arial" w:hint="cs"/>
          <w:rtl/>
        </w:rPr>
        <w:t>בה</w:t>
      </w:r>
      <w:r w:rsidRPr="00974030">
        <w:rPr>
          <w:rFonts w:asciiTheme="minorBidi" w:hAnsiTheme="minorBidi" w:cs="Arial"/>
          <w:rtl/>
        </w:rPr>
        <w:t xml:space="preserve"> </w:t>
      </w:r>
      <w:r w:rsidRPr="00974030">
        <w:rPr>
          <w:rFonts w:asciiTheme="minorBidi" w:hAnsiTheme="minorBidi" w:cs="Arial" w:hint="cs"/>
          <w:rtl/>
        </w:rPr>
        <w:t>קדושה</w:t>
      </w:r>
      <w:r w:rsidRPr="00974030">
        <w:rPr>
          <w:rFonts w:asciiTheme="minorBidi" w:hAnsiTheme="minorBidi" w:cs="Arial"/>
          <w:rtl/>
        </w:rPr>
        <w:t xml:space="preserve"> </w:t>
      </w:r>
      <w:r w:rsidRPr="00974030">
        <w:rPr>
          <w:rFonts w:asciiTheme="minorBidi" w:hAnsiTheme="minorBidi" w:cs="Arial" w:hint="cs"/>
          <w:rtl/>
        </w:rPr>
        <w:t>להצילה</w:t>
      </w:r>
      <w:r w:rsidRPr="00974030">
        <w:rPr>
          <w:rFonts w:asciiTheme="minorBidi" w:hAnsiTheme="minorBidi" w:cs="Arial"/>
          <w:rtl/>
        </w:rPr>
        <w:t xml:space="preserve"> </w:t>
      </w:r>
      <w:r w:rsidRPr="00974030">
        <w:rPr>
          <w:rFonts w:asciiTheme="minorBidi" w:hAnsiTheme="minorBidi" w:cs="Arial" w:hint="cs"/>
          <w:rtl/>
        </w:rPr>
        <w:t>מפני</w:t>
      </w:r>
      <w:r w:rsidRPr="00974030">
        <w:rPr>
          <w:rFonts w:asciiTheme="minorBidi" w:hAnsiTheme="minorBidi" w:cs="Arial"/>
          <w:rtl/>
        </w:rPr>
        <w:t xml:space="preserve"> </w:t>
      </w:r>
      <w:r w:rsidRPr="00974030">
        <w:rPr>
          <w:rFonts w:asciiTheme="minorBidi" w:hAnsiTheme="minorBidi" w:cs="Arial" w:hint="cs"/>
          <w:rtl/>
        </w:rPr>
        <w:t>הדליקה</w:t>
      </w:r>
      <w:r w:rsidRPr="00974030">
        <w:rPr>
          <w:rFonts w:asciiTheme="minorBidi" w:hAnsiTheme="minorBidi" w:cs="Arial"/>
          <w:rtl/>
        </w:rPr>
        <w:t xml:space="preserve">. </w:t>
      </w:r>
    </w:p>
    <w:p w14:paraId="431CE7AC"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יד</w:t>
      </w:r>
    </w:p>
    <w:p w14:paraId="46F07C43"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הקמיעין</w:t>
      </w:r>
      <w:r w:rsidRPr="00974030">
        <w:rPr>
          <w:rFonts w:asciiTheme="minorBidi" w:hAnsiTheme="minorBidi" w:cs="Arial"/>
          <w:rtl/>
        </w:rPr>
        <w:t xml:space="preserve"> </w:t>
      </w:r>
      <w:r w:rsidRPr="00974030">
        <w:rPr>
          <w:rFonts w:asciiTheme="minorBidi" w:hAnsiTheme="minorBidi" w:cs="Arial" w:hint="cs"/>
          <w:rtl/>
        </w:rPr>
        <w:t>שיש</w:t>
      </w:r>
      <w:r w:rsidRPr="00974030">
        <w:rPr>
          <w:rFonts w:asciiTheme="minorBidi" w:hAnsiTheme="minorBidi" w:cs="Arial"/>
          <w:rtl/>
        </w:rPr>
        <w:t xml:space="preserve"> </w:t>
      </w:r>
      <w:r w:rsidRPr="00974030">
        <w:rPr>
          <w:rFonts w:asciiTheme="minorBidi" w:hAnsiTheme="minorBidi" w:cs="Arial" w:hint="cs"/>
          <w:rtl/>
        </w:rPr>
        <w:t>בהם</w:t>
      </w:r>
      <w:r w:rsidRPr="00974030">
        <w:rPr>
          <w:rFonts w:asciiTheme="minorBidi" w:hAnsiTheme="minorBidi" w:cs="Arial"/>
          <w:rtl/>
        </w:rPr>
        <w:t xml:space="preserve"> </w:t>
      </w:r>
      <w:r w:rsidRPr="00974030">
        <w:rPr>
          <w:rFonts w:asciiTheme="minorBidi" w:hAnsiTheme="minorBidi" w:cs="Arial" w:hint="cs"/>
          <w:rtl/>
        </w:rPr>
        <w:t>פסוקים</w:t>
      </w:r>
      <w:r w:rsidRPr="00974030">
        <w:rPr>
          <w:rFonts w:asciiTheme="minorBidi" w:hAnsiTheme="minorBidi" w:cs="Arial"/>
          <w:rtl/>
        </w:rPr>
        <w:t xml:space="preserve">, </w:t>
      </w:r>
      <w:r w:rsidRPr="00974030">
        <w:rPr>
          <w:rFonts w:asciiTheme="minorBidi" w:hAnsiTheme="minorBidi" w:cs="Arial" w:hint="cs"/>
          <w:rtl/>
        </w:rPr>
        <w:t>אין</w:t>
      </w:r>
      <w:r w:rsidRPr="00974030">
        <w:rPr>
          <w:rFonts w:asciiTheme="minorBidi" w:hAnsiTheme="minorBidi" w:cs="Arial"/>
          <w:rtl/>
        </w:rPr>
        <w:t xml:space="preserve"> </w:t>
      </w:r>
      <w:r w:rsidRPr="00974030">
        <w:rPr>
          <w:rFonts w:asciiTheme="minorBidi" w:hAnsiTheme="minorBidi" w:cs="Arial" w:hint="cs"/>
          <w:rtl/>
        </w:rPr>
        <w:t>מצילים</w:t>
      </w:r>
      <w:r w:rsidRPr="00974030">
        <w:rPr>
          <w:rFonts w:asciiTheme="minorBidi" w:hAnsiTheme="minorBidi" w:cs="Arial"/>
          <w:rtl/>
        </w:rPr>
        <w:t xml:space="preserve"> </w:t>
      </w:r>
      <w:r w:rsidRPr="00974030">
        <w:rPr>
          <w:rFonts w:asciiTheme="minorBidi" w:hAnsiTheme="minorBidi" w:cs="Arial" w:hint="cs"/>
          <w:rtl/>
        </w:rPr>
        <w:t>אותם</w:t>
      </w:r>
      <w:r w:rsidRPr="00974030">
        <w:rPr>
          <w:rFonts w:asciiTheme="minorBidi" w:hAnsiTheme="minorBidi" w:cs="Arial"/>
          <w:rtl/>
        </w:rPr>
        <w:t xml:space="preserve"> </w:t>
      </w:r>
      <w:r w:rsidRPr="00974030">
        <w:rPr>
          <w:rFonts w:asciiTheme="minorBidi" w:hAnsiTheme="minorBidi" w:cs="Arial" w:hint="cs"/>
          <w:rtl/>
        </w:rPr>
        <w:t>מפני</w:t>
      </w:r>
      <w:r w:rsidRPr="00974030">
        <w:rPr>
          <w:rFonts w:asciiTheme="minorBidi" w:hAnsiTheme="minorBidi" w:cs="Arial"/>
          <w:rtl/>
        </w:rPr>
        <w:t xml:space="preserve"> </w:t>
      </w:r>
      <w:r w:rsidRPr="00974030">
        <w:rPr>
          <w:rFonts w:asciiTheme="minorBidi" w:hAnsiTheme="minorBidi" w:cs="Arial" w:hint="cs"/>
          <w:rtl/>
        </w:rPr>
        <w:t>הדליקה</w:t>
      </w:r>
      <w:r w:rsidRPr="00974030">
        <w:rPr>
          <w:rFonts w:asciiTheme="minorBidi" w:hAnsiTheme="minorBidi" w:cs="Arial"/>
          <w:rtl/>
        </w:rPr>
        <w:t xml:space="preserve">; </w:t>
      </w:r>
      <w:r w:rsidRPr="00974030">
        <w:rPr>
          <w:rFonts w:asciiTheme="minorBidi" w:hAnsiTheme="minorBidi" w:cs="Arial" w:hint="cs"/>
          <w:rtl/>
        </w:rPr>
        <w:t>ויש</w:t>
      </w:r>
      <w:r w:rsidRPr="00974030">
        <w:rPr>
          <w:rFonts w:asciiTheme="minorBidi" w:hAnsiTheme="minorBidi" w:cs="Arial"/>
          <w:rtl/>
        </w:rPr>
        <w:t xml:space="preserve"> </w:t>
      </w:r>
      <w:r w:rsidRPr="00974030">
        <w:rPr>
          <w:rFonts w:asciiTheme="minorBidi" w:hAnsiTheme="minorBidi" w:cs="Arial" w:hint="cs"/>
          <w:rtl/>
        </w:rPr>
        <w:t>אומרים</w:t>
      </w:r>
      <w:r w:rsidRPr="00974030">
        <w:rPr>
          <w:rFonts w:asciiTheme="minorBidi" w:hAnsiTheme="minorBidi" w:cs="Arial"/>
          <w:rtl/>
        </w:rPr>
        <w:t xml:space="preserve"> </w:t>
      </w:r>
      <w:r w:rsidRPr="00974030">
        <w:rPr>
          <w:rFonts w:asciiTheme="minorBidi" w:hAnsiTheme="minorBidi" w:cs="Arial" w:hint="cs"/>
          <w:rtl/>
        </w:rPr>
        <w:t>שמצילים</w:t>
      </w:r>
      <w:r w:rsidRPr="00974030">
        <w:rPr>
          <w:rFonts w:asciiTheme="minorBidi" w:hAnsiTheme="minorBidi" w:cs="Arial"/>
          <w:rtl/>
        </w:rPr>
        <w:t xml:space="preserve">. </w:t>
      </w:r>
    </w:p>
    <w:p w14:paraId="12DBFAD2"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טו</w:t>
      </w:r>
    </w:p>
    <w:p w14:paraId="1C321405"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מצילים</w:t>
      </w:r>
      <w:r w:rsidRPr="00974030">
        <w:rPr>
          <w:rFonts w:asciiTheme="minorBidi" w:hAnsiTheme="minorBidi" w:cs="Arial"/>
          <w:rtl/>
        </w:rPr>
        <w:t xml:space="preserve"> </w:t>
      </w:r>
      <w:r w:rsidRPr="00974030">
        <w:rPr>
          <w:rFonts w:asciiTheme="minorBidi" w:hAnsiTheme="minorBidi" w:cs="Arial" w:hint="cs"/>
          <w:rtl/>
        </w:rPr>
        <w:t>תיק</w:t>
      </w:r>
      <w:r w:rsidRPr="00974030">
        <w:rPr>
          <w:rFonts w:asciiTheme="minorBidi" w:hAnsiTheme="minorBidi" w:cs="Arial"/>
          <w:rtl/>
        </w:rPr>
        <w:t xml:space="preserve"> </w:t>
      </w:r>
      <w:r w:rsidRPr="00974030">
        <w:rPr>
          <w:rFonts w:asciiTheme="minorBidi" w:hAnsiTheme="minorBidi" w:cs="Arial" w:hint="cs"/>
          <w:rtl/>
        </w:rPr>
        <w:t>הספר</w:t>
      </w:r>
      <w:r w:rsidRPr="00974030">
        <w:rPr>
          <w:rFonts w:asciiTheme="minorBidi" w:hAnsiTheme="minorBidi" w:cs="Arial"/>
          <w:rtl/>
        </w:rPr>
        <w:t xml:space="preserve"> </w:t>
      </w:r>
      <w:r w:rsidRPr="00974030">
        <w:rPr>
          <w:rFonts w:asciiTheme="minorBidi" w:hAnsiTheme="minorBidi" w:cs="Arial" w:hint="cs"/>
          <w:rtl/>
        </w:rPr>
        <w:t>עם</w:t>
      </w:r>
      <w:r w:rsidRPr="00974030">
        <w:rPr>
          <w:rFonts w:asciiTheme="minorBidi" w:hAnsiTheme="minorBidi" w:cs="Arial"/>
          <w:rtl/>
        </w:rPr>
        <w:t xml:space="preserve"> </w:t>
      </w:r>
      <w:r w:rsidRPr="00974030">
        <w:rPr>
          <w:rFonts w:asciiTheme="minorBidi" w:hAnsiTheme="minorBidi" w:cs="Arial" w:hint="cs"/>
          <w:rtl/>
        </w:rPr>
        <w:t>הספר</w:t>
      </w:r>
      <w:r w:rsidRPr="00974030">
        <w:rPr>
          <w:rFonts w:asciiTheme="minorBidi" w:hAnsiTheme="minorBidi" w:cs="Arial"/>
          <w:rtl/>
        </w:rPr>
        <w:t xml:space="preserve">, </w:t>
      </w:r>
      <w:r w:rsidRPr="00974030">
        <w:rPr>
          <w:rFonts w:asciiTheme="minorBidi" w:hAnsiTheme="minorBidi" w:cs="Arial" w:hint="cs"/>
          <w:rtl/>
        </w:rPr>
        <w:t>ותיק</w:t>
      </w:r>
      <w:r w:rsidRPr="00974030">
        <w:rPr>
          <w:rFonts w:asciiTheme="minorBidi" w:hAnsiTheme="minorBidi" w:cs="Arial"/>
          <w:rtl/>
        </w:rPr>
        <w:t xml:space="preserve"> </w:t>
      </w:r>
      <w:r w:rsidRPr="00974030">
        <w:rPr>
          <w:rFonts w:asciiTheme="minorBidi" w:hAnsiTheme="minorBidi" w:cs="Arial" w:hint="cs"/>
          <w:rtl/>
        </w:rPr>
        <w:t>התפילין</w:t>
      </w:r>
      <w:r w:rsidRPr="00974030">
        <w:rPr>
          <w:rFonts w:asciiTheme="minorBidi" w:hAnsiTheme="minorBidi" w:cs="Arial"/>
          <w:rtl/>
        </w:rPr>
        <w:t xml:space="preserve"> </w:t>
      </w:r>
      <w:r w:rsidRPr="00974030">
        <w:rPr>
          <w:rFonts w:asciiTheme="minorBidi" w:hAnsiTheme="minorBidi" w:cs="Arial" w:hint="cs"/>
          <w:rtl/>
        </w:rPr>
        <w:t>עם</w:t>
      </w:r>
      <w:r w:rsidRPr="00974030">
        <w:rPr>
          <w:rFonts w:asciiTheme="minorBidi" w:hAnsiTheme="minorBidi" w:cs="Arial"/>
          <w:rtl/>
        </w:rPr>
        <w:t xml:space="preserve"> </w:t>
      </w:r>
      <w:r w:rsidRPr="00974030">
        <w:rPr>
          <w:rFonts w:asciiTheme="minorBidi" w:hAnsiTheme="minorBidi" w:cs="Arial" w:hint="cs"/>
          <w:rtl/>
        </w:rPr>
        <w:t>התפילין</w:t>
      </w:r>
      <w:r w:rsidRPr="00974030">
        <w:rPr>
          <w:rFonts w:asciiTheme="minorBidi" w:hAnsiTheme="minorBidi" w:cs="Arial"/>
          <w:rtl/>
        </w:rPr>
        <w:t xml:space="preserve">, </w:t>
      </w:r>
      <w:r w:rsidRPr="00974030">
        <w:rPr>
          <w:rFonts w:asciiTheme="minorBidi" w:hAnsiTheme="minorBidi" w:cs="Arial" w:hint="cs"/>
          <w:rtl/>
        </w:rPr>
        <w:t>אף</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פי</w:t>
      </w:r>
      <w:r w:rsidRPr="00974030">
        <w:rPr>
          <w:rFonts w:asciiTheme="minorBidi" w:hAnsiTheme="minorBidi" w:cs="Arial"/>
          <w:rtl/>
        </w:rPr>
        <w:t xml:space="preserve"> </w:t>
      </w:r>
      <w:r w:rsidRPr="00974030">
        <w:rPr>
          <w:rFonts w:asciiTheme="minorBidi" w:hAnsiTheme="minorBidi" w:cs="Arial" w:hint="cs"/>
          <w:rtl/>
        </w:rPr>
        <w:t>שיש</w:t>
      </w:r>
      <w:r w:rsidRPr="00974030">
        <w:rPr>
          <w:rFonts w:asciiTheme="minorBidi" w:hAnsiTheme="minorBidi" w:cs="Arial"/>
          <w:rtl/>
        </w:rPr>
        <w:t xml:space="preserve"> </w:t>
      </w:r>
      <w:r w:rsidRPr="00974030">
        <w:rPr>
          <w:rFonts w:asciiTheme="minorBidi" w:hAnsiTheme="minorBidi" w:cs="Arial" w:hint="cs"/>
          <w:rtl/>
        </w:rPr>
        <w:t>בתוכן</w:t>
      </w:r>
      <w:r w:rsidRPr="00974030">
        <w:rPr>
          <w:rFonts w:asciiTheme="minorBidi" w:hAnsiTheme="minorBidi" w:cs="Arial"/>
          <w:rtl/>
        </w:rPr>
        <w:t xml:space="preserve"> </w:t>
      </w:r>
      <w:r w:rsidRPr="00974030">
        <w:rPr>
          <w:rFonts w:asciiTheme="minorBidi" w:hAnsiTheme="minorBidi" w:cs="Arial" w:hint="cs"/>
          <w:rtl/>
        </w:rPr>
        <w:t>מעות</w:t>
      </w:r>
      <w:r w:rsidRPr="00974030">
        <w:rPr>
          <w:rFonts w:asciiTheme="minorBidi" w:hAnsiTheme="minorBidi" w:cs="Arial"/>
          <w:rtl/>
        </w:rPr>
        <w:t xml:space="preserve">; </w:t>
      </w:r>
      <w:r w:rsidRPr="00974030">
        <w:rPr>
          <w:rFonts w:asciiTheme="minorBidi" w:hAnsiTheme="minorBidi" w:cs="Arial" w:hint="cs"/>
          <w:rtl/>
        </w:rPr>
        <w:t>והוא</w:t>
      </w:r>
      <w:r w:rsidRPr="00974030">
        <w:rPr>
          <w:rFonts w:asciiTheme="minorBidi" w:hAnsiTheme="minorBidi" w:cs="Arial"/>
          <w:rtl/>
        </w:rPr>
        <w:t xml:space="preserve"> </w:t>
      </w:r>
      <w:r w:rsidRPr="00974030">
        <w:rPr>
          <w:rFonts w:asciiTheme="minorBidi" w:hAnsiTheme="minorBidi" w:cs="Arial" w:hint="cs"/>
          <w:rtl/>
        </w:rPr>
        <w:t>הדין</w:t>
      </w:r>
      <w:r w:rsidRPr="00974030">
        <w:rPr>
          <w:rFonts w:asciiTheme="minorBidi" w:hAnsiTheme="minorBidi" w:cs="Arial"/>
          <w:rtl/>
        </w:rPr>
        <w:t xml:space="preserve"> </w:t>
      </w:r>
      <w:r w:rsidRPr="00974030">
        <w:rPr>
          <w:rFonts w:asciiTheme="minorBidi" w:hAnsiTheme="minorBidi" w:cs="Arial" w:hint="cs"/>
          <w:rtl/>
        </w:rPr>
        <w:t>לשאר</w:t>
      </w:r>
      <w:r w:rsidRPr="00974030">
        <w:rPr>
          <w:rFonts w:asciiTheme="minorBidi" w:hAnsiTheme="minorBidi" w:cs="Arial"/>
          <w:rtl/>
        </w:rPr>
        <w:t xml:space="preserve"> </w:t>
      </w:r>
      <w:r w:rsidRPr="00974030">
        <w:rPr>
          <w:rFonts w:asciiTheme="minorBidi" w:hAnsiTheme="minorBidi" w:cs="Arial" w:hint="cs"/>
          <w:rtl/>
        </w:rPr>
        <w:t>כתבי</w:t>
      </w:r>
      <w:r w:rsidRPr="00974030">
        <w:rPr>
          <w:rFonts w:asciiTheme="minorBidi" w:hAnsiTheme="minorBidi" w:cs="Arial"/>
          <w:rtl/>
        </w:rPr>
        <w:t xml:space="preserve"> </w:t>
      </w:r>
      <w:r w:rsidRPr="00974030">
        <w:rPr>
          <w:rFonts w:asciiTheme="minorBidi" w:hAnsiTheme="minorBidi" w:cs="Arial" w:hint="cs"/>
          <w:rtl/>
        </w:rPr>
        <w:t>הקודש</w:t>
      </w:r>
      <w:r w:rsidRPr="00974030">
        <w:rPr>
          <w:rFonts w:asciiTheme="minorBidi" w:hAnsiTheme="minorBidi" w:cs="Arial"/>
          <w:rtl/>
        </w:rPr>
        <w:t xml:space="preserve">. </w:t>
      </w:r>
    </w:p>
    <w:p w14:paraId="4836D377"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טז</w:t>
      </w:r>
    </w:p>
    <w:p w14:paraId="7A5B594A"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הניח</w:t>
      </w:r>
      <w:r w:rsidRPr="00974030">
        <w:rPr>
          <w:rFonts w:asciiTheme="minorBidi" w:hAnsiTheme="minorBidi" w:cs="Arial"/>
          <w:rtl/>
        </w:rPr>
        <w:t xml:space="preserve"> </w:t>
      </w:r>
      <w:r w:rsidRPr="00974030">
        <w:rPr>
          <w:rFonts w:asciiTheme="minorBidi" w:hAnsiTheme="minorBidi" w:cs="Arial" w:hint="cs"/>
          <w:rtl/>
        </w:rPr>
        <w:t>תפילין</w:t>
      </w:r>
      <w:r w:rsidRPr="00974030">
        <w:rPr>
          <w:rFonts w:asciiTheme="minorBidi" w:hAnsiTheme="minorBidi" w:cs="Arial"/>
          <w:rtl/>
        </w:rPr>
        <w:t xml:space="preserve"> </w:t>
      </w:r>
      <w:r w:rsidRPr="00974030">
        <w:rPr>
          <w:rFonts w:asciiTheme="minorBidi" w:hAnsiTheme="minorBidi" w:cs="Arial" w:hint="cs"/>
          <w:rtl/>
        </w:rPr>
        <w:t>בארנקי</w:t>
      </w:r>
      <w:r w:rsidRPr="00974030">
        <w:rPr>
          <w:rFonts w:asciiTheme="minorBidi" w:hAnsiTheme="minorBidi" w:cs="Arial"/>
          <w:rtl/>
        </w:rPr>
        <w:t xml:space="preserve"> (</w:t>
      </w:r>
      <w:r w:rsidRPr="00974030">
        <w:rPr>
          <w:rFonts w:asciiTheme="minorBidi" w:hAnsiTheme="minorBidi" w:cs="Arial" w:hint="cs"/>
          <w:rtl/>
        </w:rPr>
        <w:t>פי</w:t>
      </w:r>
      <w:r w:rsidRPr="00974030">
        <w:rPr>
          <w:rFonts w:asciiTheme="minorBidi" w:hAnsiTheme="minorBidi" w:cs="Arial"/>
          <w:rtl/>
        </w:rPr>
        <w:t xml:space="preserve">' </w:t>
      </w:r>
      <w:r w:rsidRPr="00974030">
        <w:rPr>
          <w:rFonts w:asciiTheme="minorBidi" w:hAnsiTheme="minorBidi" w:cs="Arial" w:hint="cs"/>
          <w:rtl/>
        </w:rPr>
        <w:t>כיס</w:t>
      </w:r>
      <w:r w:rsidRPr="00974030">
        <w:rPr>
          <w:rFonts w:asciiTheme="minorBidi" w:hAnsiTheme="minorBidi" w:cs="Arial"/>
          <w:rtl/>
        </w:rPr>
        <w:t xml:space="preserve">) </w:t>
      </w:r>
      <w:r w:rsidRPr="00974030">
        <w:rPr>
          <w:rFonts w:asciiTheme="minorBidi" w:hAnsiTheme="minorBidi" w:cs="Arial" w:hint="cs"/>
          <w:rtl/>
        </w:rPr>
        <w:t>מלא</w:t>
      </w:r>
      <w:r w:rsidRPr="00974030">
        <w:rPr>
          <w:rFonts w:asciiTheme="minorBidi" w:hAnsiTheme="minorBidi" w:cs="Arial"/>
          <w:rtl/>
        </w:rPr>
        <w:t xml:space="preserve"> </w:t>
      </w:r>
      <w:r w:rsidRPr="00974030">
        <w:rPr>
          <w:rFonts w:asciiTheme="minorBidi" w:hAnsiTheme="minorBidi" w:cs="Arial" w:hint="cs"/>
          <w:rtl/>
        </w:rPr>
        <w:t>מעות</w:t>
      </w:r>
      <w:r w:rsidRPr="00974030">
        <w:rPr>
          <w:rFonts w:asciiTheme="minorBidi" w:hAnsiTheme="minorBidi" w:cs="Arial"/>
          <w:rtl/>
        </w:rPr>
        <w:t xml:space="preserve">, </w:t>
      </w:r>
      <w:r w:rsidRPr="00974030">
        <w:rPr>
          <w:rFonts w:asciiTheme="minorBidi" w:hAnsiTheme="minorBidi" w:cs="Arial" w:hint="cs"/>
          <w:rtl/>
        </w:rPr>
        <w:t>יכול</w:t>
      </w:r>
      <w:r w:rsidRPr="00974030">
        <w:rPr>
          <w:rFonts w:asciiTheme="minorBidi" w:hAnsiTheme="minorBidi" w:cs="Arial"/>
          <w:rtl/>
        </w:rPr>
        <w:t xml:space="preserve"> </w:t>
      </w:r>
      <w:r w:rsidRPr="00974030">
        <w:rPr>
          <w:rFonts w:asciiTheme="minorBidi" w:hAnsiTheme="minorBidi" w:cs="Arial" w:hint="cs"/>
          <w:rtl/>
        </w:rPr>
        <w:t>להצילו</w:t>
      </w:r>
      <w:r w:rsidRPr="00974030">
        <w:rPr>
          <w:rFonts w:asciiTheme="minorBidi" w:hAnsiTheme="minorBidi" w:cs="Arial"/>
          <w:rtl/>
        </w:rPr>
        <w:t xml:space="preserve"> </w:t>
      </w:r>
      <w:r w:rsidRPr="00974030">
        <w:rPr>
          <w:rFonts w:asciiTheme="minorBidi" w:hAnsiTheme="minorBidi" w:cs="Arial" w:hint="cs"/>
          <w:rtl/>
        </w:rPr>
        <w:t>מפני</w:t>
      </w:r>
      <w:r w:rsidRPr="00974030">
        <w:rPr>
          <w:rFonts w:asciiTheme="minorBidi" w:hAnsiTheme="minorBidi" w:cs="Arial"/>
          <w:rtl/>
        </w:rPr>
        <w:t xml:space="preserve"> </w:t>
      </w:r>
      <w:r w:rsidRPr="00974030">
        <w:rPr>
          <w:rFonts w:asciiTheme="minorBidi" w:hAnsiTheme="minorBidi" w:cs="Arial" w:hint="cs"/>
          <w:rtl/>
        </w:rPr>
        <w:t>הדליקה</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מפני</w:t>
      </w:r>
      <w:r w:rsidRPr="00974030">
        <w:rPr>
          <w:rFonts w:asciiTheme="minorBidi" w:hAnsiTheme="minorBidi" w:cs="Arial"/>
          <w:rtl/>
        </w:rPr>
        <w:t xml:space="preserve"> </w:t>
      </w:r>
      <w:r w:rsidRPr="00974030">
        <w:rPr>
          <w:rFonts w:asciiTheme="minorBidi" w:hAnsiTheme="minorBidi" w:cs="Arial" w:hint="cs"/>
          <w:rtl/>
        </w:rPr>
        <w:t>הגנבים</w:t>
      </w:r>
      <w:r w:rsidRPr="00974030">
        <w:rPr>
          <w:rFonts w:asciiTheme="minorBidi" w:hAnsiTheme="minorBidi" w:cs="Arial"/>
          <w:rtl/>
        </w:rPr>
        <w:t xml:space="preserve"> </w:t>
      </w:r>
      <w:r w:rsidRPr="00974030">
        <w:rPr>
          <w:rFonts w:asciiTheme="minorBidi" w:hAnsiTheme="minorBidi" w:cs="Arial" w:hint="cs"/>
          <w:rtl/>
        </w:rPr>
        <w:t>והגזלנים</w:t>
      </w:r>
      <w:r w:rsidRPr="00974030">
        <w:rPr>
          <w:rFonts w:asciiTheme="minorBidi" w:hAnsiTheme="minorBidi" w:cs="Arial"/>
          <w:rtl/>
        </w:rPr>
        <w:t xml:space="preserve"> </w:t>
      </w:r>
      <w:r w:rsidRPr="00974030">
        <w:rPr>
          <w:rFonts w:asciiTheme="minorBidi" w:hAnsiTheme="minorBidi" w:cs="Arial" w:hint="cs"/>
          <w:rtl/>
        </w:rPr>
        <w:t>למקום</w:t>
      </w:r>
      <w:r w:rsidRPr="00974030">
        <w:rPr>
          <w:rFonts w:asciiTheme="minorBidi" w:hAnsiTheme="minorBidi" w:cs="Arial"/>
          <w:rtl/>
        </w:rPr>
        <w:t xml:space="preserve"> </w:t>
      </w:r>
      <w:r w:rsidRPr="00974030">
        <w:rPr>
          <w:rFonts w:asciiTheme="minorBidi" w:hAnsiTheme="minorBidi" w:cs="Arial" w:hint="cs"/>
          <w:rtl/>
        </w:rPr>
        <w:t>שיכול</w:t>
      </w:r>
      <w:r w:rsidRPr="00974030">
        <w:rPr>
          <w:rFonts w:asciiTheme="minorBidi" w:hAnsiTheme="minorBidi" w:cs="Arial"/>
          <w:rtl/>
        </w:rPr>
        <w:t xml:space="preserve"> </w:t>
      </w:r>
      <w:r w:rsidRPr="00974030">
        <w:rPr>
          <w:rFonts w:asciiTheme="minorBidi" w:hAnsiTheme="minorBidi" w:cs="Arial" w:hint="cs"/>
          <w:rtl/>
        </w:rPr>
        <w:t>להציל</w:t>
      </w:r>
      <w:r w:rsidRPr="00974030">
        <w:rPr>
          <w:rFonts w:asciiTheme="minorBidi" w:hAnsiTheme="minorBidi" w:cs="Arial"/>
          <w:rtl/>
        </w:rPr>
        <w:t xml:space="preserve"> </w:t>
      </w:r>
      <w:r w:rsidRPr="00974030">
        <w:rPr>
          <w:rFonts w:asciiTheme="minorBidi" w:hAnsiTheme="minorBidi" w:cs="Arial" w:hint="cs"/>
          <w:rtl/>
        </w:rPr>
        <w:t>התפילין</w:t>
      </w:r>
      <w:r w:rsidRPr="00974030">
        <w:rPr>
          <w:rFonts w:asciiTheme="minorBidi" w:hAnsiTheme="minorBidi" w:cs="Arial"/>
          <w:rtl/>
        </w:rPr>
        <w:t xml:space="preserve">. </w:t>
      </w:r>
      <w:r w:rsidRPr="00974030">
        <w:rPr>
          <w:rFonts w:asciiTheme="minorBidi" w:hAnsiTheme="minorBidi" w:cs="Arial" w:hint="cs"/>
          <w:rtl/>
        </w:rPr>
        <w:t>ויש</w:t>
      </w:r>
      <w:r w:rsidRPr="00974030">
        <w:rPr>
          <w:rFonts w:asciiTheme="minorBidi" w:hAnsiTheme="minorBidi" w:cs="Arial"/>
          <w:rtl/>
        </w:rPr>
        <w:t xml:space="preserve"> </w:t>
      </w:r>
      <w:r w:rsidRPr="00974030">
        <w:rPr>
          <w:rFonts w:asciiTheme="minorBidi" w:hAnsiTheme="minorBidi" w:cs="Arial" w:hint="cs"/>
          <w:rtl/>
        </w:rPr>
        <w:t>מי</w:t>
      </w:r>
      <w:r w:rsidRPr="00974030">
        <w:rPr>
          <w:rFonts w:asciiTheme="minorBidi" w:hAnsiTheme="minorBidi" w:cs="Arial"/>
          <w:rtl/>
        </w:rPr>
        <w:t xml:space="preserve"> </w:t>
      </w:r>
      <w:r w:rsidRPr="00974030">
        <w:rPr>
          <w:rFonts w:asciiTheme="minorBidi" w:hAnsiTheme="minorBidi" w:cs="Arial" w:hint="cs"/>
          <w:rtl/>
        </w:rPr>
        <w:t>שאומר</w:t>
      </w:r>
      <w:r w:rsidRPr="00974030">
        <w:rPr>
          <w:rFonts w:asciiTheme="minorBidi" w:hAnsiTheme="minorBidi" w:cs="Arial"/>
          <w:rtl/>
        </w:rPr>
        <w:t xml:space="preserve"> </w:t>
      </w:r>
      <w:r w:rsidRPr="00974030">
        <w:rPr>
          <w:rFonts w:asciiTheme="minorBidi" w:hAnsiTheme="minorBidi" w:cs="Arial" w:hint="cs"/>
          <w:rtl/>
        </w:rPr>
        <w:t>דהיינו</w:t>
      </w:r>
      <w:r w:rsidRPr="00974030">
        <w:rPr>
          <w:rFonts w:asciiTheme="minorBidi" w:hAnsiTheme="minorBidi" w:cs="Arial"/>
          <w:rtl/>
        </w:rPr>
        <w:t xml:space="preserve"> </w:t>
      </w:r>
      <w:r w:rsidRPr="00974030">
        <w:rPr>
          <w:rFonts w:asciiTheme="minorBidi" w:hAnsiTheme="minorBidi" w:cs="Arial" w:hint="cs"/>
          <w:rtl/>
        </w:rPr>
        <w:t>דוקא</w:t>
      </w:r>
      <w:r w:rsidRPr="00974030">
        <w:rPr>
          <w:rFonts w:asciiTheme="minorBidi" w:hAnsiTheme="minorBidi" w:cs="Arial"/>
          <w:rtl/>
        </w:rPr>
        <w:t xml:space="preserve"> </w:t>
      </w:r>
      <w:r w:rsidRPr="00974030">
        <w:rPr>
          <w:rFonts w:asciiTheme="minorBidi" w:hAnsiTheme="minorBidi" w:cs="Arial" w:hint="cs"/>
          <w:rtl/>
        </w:rPr>
        <w:t>כשהניחם</w:t>
      </w:r>
      <w:r w:rsidRPr="00974030">
        <w:rPr>
          <w:rFonts w:asciiTheme="minorBidi" w:hAnsiTheme="minorBidi" w:cs="Arial"/>
          <w:rtl/>
        </w:rPr>
        <w:t xml:space="preserve"> </w:t>
      </w:r>
      <w:r w:rsidRPr="00974030">
        <w:rPr>
          <w:rFonts w:asciiTheme="minorBidi" w:hAnsiTheme="minorBidi" w:cs="Arial" w:hint="cs"/>
          <w:rtl/>
        </w:rPr>
        <w:t>שם</w:t>
      </w:r>
      <w:r w:rsidRPr="00974030">
        <w:rPr>
          <w:rFonts w:asciiTheme="minorBidi" w:hAnsiTheme="minorBidi" w:cs="Arial"/>
          <w:rtl/>
        </w:rPr>
        <w:t xml:space="preserve"> </w:t>
      </w:r>
      <w:r w:rsidRPr="00974030">
        <w:rPr>
          <w:rFonts w:asciiTheme="minorBidi" w:hAnsiTheme="minorBidi" w:cs="Arial" w:hint="cs"/>
          <w:rtl/>
        </w:rPr>
        <w:t>מערב</w:t>
      </w:r>
      <w:r w:rsidRPr="00974030">
        <w:rPr>
          <w:rFonts w:asciiTheme="minorBidi" w:hAnsiTheme="minorBidi" w:cs="Arial"/>
          <w:rtl/>
        </w:rPr>
        <w:t xml:space="preserve"> </w:t>
      </w:r>
      <w:r w:rsidRPr="00974030">
        <w:rPr>
          <w:rFonts w:asciiTheme="minorBidi" w:hAnsiTheme="minorBidi" w:cs="Arial" w:hint="cs"/>
          <w:rtl/>
        </w:rPr>
        <w:t>שבת</w:t>
      </w:r>
      <w:r w:rsidRPr="00974030">
        <w:rPr>
          <w:rFonts w:asciiTheme="minorBidi" w:hAnsiTheme="minorBidi" w:cs="Arial"/>
          <w:rtl/>
        </w:rPr>
        <w:t xml:space="preserve">. </w:t>
      </w:r>
    </w:p>
    <w:p w14:paraId="1D7D5CA7"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יז</w:t>
      </w:r>
    </w:p>
    <w:p w14:paraId="6D583461"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יש</w:t>
      </w:r>
      <w:r w:rsidRPr="00974030">
        <w:rPr>
          <w:rFonts w:asciiTheme="minorBidi" w:hAnsiTheme="minorBidi" w:cs="Arial"/>
          <w:rtl/>
        </w:rPr>
        <w:t xml:space="preserve"> </w:t>
      </w:r>
      <w:r w:rsidRPr="00974030">
        <w:rPr>
          <w:rFonts w:asciiTheme="minorBidi" w:hAnsiTheme="minorBidi" w:cs="Arial" w:hint="cs"/>
          <w:rtl/>
        </w:rPr>
        <w:t>מתירים</w:t>
      </w:r>
      <w:r w:rsidRPr="00974030">
        <w:rPr>
          <w:rFonts w:asciiTheme="minorBidi" w:hAnsiTheme="minorBidi" w:cs="Arial"/>
          <w:rtl/>
        </w:rPr>
        <w:t xml:space="preserve"> </w:t>
      </w:r>
      <w:r w:rsidRPr="00974030">
        <w:rPr>
          <w:rFonts w:asciiTheme="minorBidi" w:hAnsiTheme="minorBidi" w:cs="Arial" w:hint="cs"/>
          <w:rtl/>
        </w:rPr>
        <w:t>להציל</w:t>
      </w:r>
      <w:r w:rsidRPr="00974030">
        <w:rPr>
          <w:rFonts w:asciiTheme="minorBidi" w:hAnsiTheme="minorBidi" w:cs="Arial"/>
          <w:rtl/>
        </w:rPr>
        <w:t xml:space="preserve"> </w:t>
      </w:r>
      <w:r w:rsidRPr="00974030">
        <w:rPr>
          <w:rFonts w:asciiTheme="minorBidi" w:hAnsiTheme="minorBidi" w:cs="Arial" w:hint="cs"/>
          <w:rtl/>
        </w:rPr>
        <w:t>דסקיא</w:t>
      </w:r>
      <w:r w:rsidRPr="00974030">
        <w:rPr>
          <w:rFonts w:asciiTheme="minorBidi" w:hAnsiTheme="minorBidi" w:cs="Arial"/>
          <w:rtl/>
        </w:rPr>
        <w:t xml:space="preserve"> </w:t>
      </w:r>
      <w:r w:rsidRPr="00974030">
        <w:rPr>
          <w:rFonts w:asciiTheme="minorBidi" w:hAnsiTheme="minorBidi" w:cs="Arial" w:hint="cs"/>
          <w:rtl/>
        </w:rPr>
        <w:t>מלאה</w:t>
      </w:r>
      <w:r w:rsidRPr="00974030">
        <w:rPr>
          <w:rFonts w:asciiTheme="minorBidi" w:hAnsiTheme="minorBidi" w:cs="Arial"/>
          <w:rtl/>
        </w:rPr>
        <w:t xml:space="preserve"> </w:t>
      </w:r>
      <w:r w:rsidRPr="00974030">
        <w:rPr>
          <w:rFonts w:asciiTheme="minorBidi" w:hAnsiTheme="minorBidi" w:cs="Arial" w:hint="cs"/>
          <w:rtl/>
        </w:rPr>
        <w:t>מעות</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ידי</w:t>
      </w:r>
      <w:r w:rsidRPr="00974030">
        <w:rPr>
          <w:rFonts w:asciiTheme="minorBidi" w:hAnsiTheme="minorBidi" w:cs="Arial"/>
          <w:rtl/>
        </w:rPr>
        <w:t xml:space="preserve"> </w:t>
      </w:r>
      <w:r w:rsidRPr="00974030">
        <w:rPr>
          <w:rFonts w:asciiTheme="minorBidi" w:hAnsiTheme="minorBidi" w:cs="Arial" w:hint="cs"/>
          <w:rtl/>
        </w:rPr>
        <w:t>ככר</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תינוק</w:t>
      </w:r>
      <w:r w:rsidRPr="00974030">
        <w:rPr>
          <w:rFonts w:asciiTheme="minorBidi" w:hAnsiTheme="minorBidi" w:cs="Arial"/>
          <w:rtl/>
        </w:rPr>
        <w:t xml:space="preserve">, </w:t>
      </w:r>
      <w:r w:rsidRPr="00974030">
        <w:rPr>
          <w:rFonts w:asciiTheme="minorBidi" w:hAnsiTheme="minorBidi" w:cs="Arial" w:hint="cs"/>
          <w:rtl/>
        </w:rPr>
        <w:t>מן</w:t>
      </w:r>
      <w:r w:rsidRPr="00974030">
        <w:rPr>
          <w:rFonts w:asciiTheme="minorBidi" w:hAnsiTheme="minorBidi" w:cs="Arial"/>
          <w:rtl/>
        </w:rPr>
        <w:t xml:space="preserve"> </w:t>
      </w:r>
      <w:r w:rsidRPr="00974030">
        <w:rPr>
          <w:rFonts w:asciiTheme="minorBidi" w:hAnsiTheme="minorBidi" w:cs="Arial" w:hint="cs"/>
          <w:rtl/>
        </w:rPr>
        <w:t>הדליקה</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מן</w:t>
      </w:r>
      <w:r w:rsidRPr="00974030">
        <w:rPr>
          <w:rFonts w:asciiTheme="minorBidi" w:hAnsiTheme="minorBidi" w:cs="Arial"/>
          <w:rtl/>
        </w:rPr>
        <w:t xml:space="preserve"> </w:t>
      </w:r>
      <w:r w:rsidRPr="00974030">
        <w:rPr>
          <w:rFonts w:asciiTheme="minorBidi" w:hAnsiTheme="minorBidi" w:cs="Arial" w:hint="cs"/>
          <w:rtl/>
        </w:rPr>
        <w:t>הגנבים</w:t>
      </w:r>
      <w:r w:rsidRPr="00974030">
        <w:rPr>
          <w:rFonts w:asciiTheme="minorBidi" w:hAnsiTheme="minorBidi" w:cs="Arial"/>
          <w:rtl/>
        </w:rPr>
        <w:t xml:space="preserve"> </w:t>
      </w:r>
      <w:r w:rsidRPr="00974030">
        <w:rPr>
          <w:rFonts w:asciiTheme="minorBidi" w:hAnsiTheme="minorBidi" w:cs="Arial" w:hint="cs"/>
          <w:rtl/>
        </w:rPr>
        <w:t>והגזלנים</w:t>
      </w:r>
      <w:r w:rsidRPr="00974030">
        <w:rPr>
          <w:rFonts w:asciiTheme="minorBidi" w:hAnsiTheme="minorBidi" w:cs="Arial"/>
          <w:rtl/>
        </w:rPr>
        <w:t xml:space="preserve">, </w:t>
      </w:r>
      <w:r w:rsidRPr="00974030">
        <w:rPr>
          <w:rFonts w:asciiTheme="minorBidi" w:hAnsiTheme="minorBidi" w:cs="Arial" w:hint="cs"/>
          <w:rtl/>
        </w:rPr>
        <w:t>ודוקא</w:t>
      </w:r>
      <w:r w:rsidRPr="00974030">
        <w:rPr>
          <w:rFonts w:asciiTheme="minorBidi" w:hAnsiTheme="minorBidi" w:cs="Arial"/>
          <w:rtl/>
        </w:rPr>
        <w:t xml:space="preserve"> </w:t>
      </w:r>
      <w:r w:rsidRPr="00974030">
        <w:rPr>
          <w:rFonts w:asciiTheme="minorBidi" w:hAnsiTheme="minorBidi" w:cs="Arial" w:hint="cs"/>
          <w:rtl/>
        </w:rPr>
        <w:t>לרה</w:t>
      </w:r>
      <w:r w:rsidRPr="00974030">
        <w:rPr>
          <w:rFonts w:asciiTheme="minorBidi" w:hAnsiTheme="minorBidi" w:cs="Arial"/>
          <w:rtl/>
        </w:rPr>
        <w:t>"</w:t>
      </w:r>
      <w:r w:rsidRPr="00974030">
        <w:rPr>
          <w:rFonts w:asciiTheme="minorBidi" w:hAnsiTheme="minorBidi" w:cs="Arial" w:hint="cs"/>
          <w:rtl/>
        </w:rPr>
        <w:t>י</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לחצר</w:t>
      </w:r>
      <w:r w:rsidRPr="00974030">
        <w:rPr>
          <w:rFonts w:asciiTheme="minorBidi" w:hAnsiTheme="minorBidi" w:cs="Arial"/>
          <w:rtl/>
        </w:rPr>
        <w:t xml:space="preserve"> </w:t>
      </w:r>
      <w:r w:rsidRPr="00974030">
        <w:rPr>
          <w:rFonts w:asciiTheme="minorBidi" w:hAnsiTheme="minorBidi" w:cs="Arial" w:hint="cs"/>
          <w:rtl/>
        </w:rPr>
        <w:t>שאינה</w:t>
      </w:r>
      <w:r w:rsidRPr="00974030">
        <w:rPr>
          <w:rFonts w:asciiTheme="minorBidi" w:hAnsiTheme="minorBidi" w:cs="Arial"/>
          <w:rtl/>
        </w:rPr>
        <w:t xml:space="preserve"> </w:t>
      </w:r>
      <w:r w:rsidRPr="00974030">
        <w:rPr>
          <w:rFonts w:asciiTheme="minorBidi" w:hAnsiTheme="minorBidi" w:cs="Arial" w:hint="cs"/>
          <w:rtl/>
        </w:rPr>
        <w:t>מעורבת</w:t>
      </w:r>
      <w:r w:rsidRPr="00974030">
        <w:rPr>
          <w:rFonts w:asciiTheme="minorBidi" w:hAnsiTheme="minorBidi" w:cs="Arial"/>
          <w:rtl/>
        </w:rPr>
        <w:t>. (</w:t>
      </w:r>
      <w:r w:rsidRPr="00974030">
        <w:rPr>
          <w:rFonts w:asciiTheme="minorBidi" w:hAnsiTheme="minorBidi" w:cs="Arial" w:hint="cs"/>
          <w:rtl/>
        </w:rPr>
        <w:t>מצילין</w:t>
      </w:r>
      <w:r w:rsidRPr="00974030">
        <w:rPr>
          <w:rFonts w:asciiTheme="minorBidi" w:hAnsiTheme="minorBidi" w:cs="Arial"/>
          <w:rtl/>
        </w:rPr>
        <w:t xml:space="preserve"> </w:t>
      </w:r>
      <w:r w:rsidRPr="00974030">
        <w:rPr>
          <w:rFonts w:asciiTheme="minorBidi" w:hAnsiTheme="minorBidi" w:cs="Arial" w:hint="cs"/>
          <w:rtl/>
        </w:rPr>
        <w:t>הספרים</w:t>
      </w:r>
      <w:r w:rsidRPr="00974030">
        <w:rPr>
          <w:rFonts w:asciiTheme="minorBidi" w:hAnsiTheme="minorBidi" w:cs="Arial"/>
          <w:rtl/>
        </w:rPr>
        <w:t xml:space="preserve"> </w:t>
      </w:r>
      <w:r w:rsidRPr="00974030">
        <w:rPr>
          <w:rFonts w:asciiTheme="minorBidi" w:hAnsiTheme="minorBidi" w:cs="Arial" w:hint="cs"/>
          <w:rtl/>
        </w:rPr>
        <w:t>אפילו</w:t>
      </w:r>
      <w:r w:rsidRPr="00974030">
        <w:rPr>
          <w:rFonts w:asciiTheme="minorBidi" w:hAnsiTheme="minorBidi" w:cs="Arial"/>
          <w:rtl/>
        </w:rPr>
        <w:t xml:space="preserve"> </w:t>
      </w:r>
      <w:r w:rsidRPr="00974030">
        <w:rPr>
          <w:rFonts w:asciiTheme="minorBidi" w:hAnsiTheme="minorBidi" w:cs="Arial" w:hint="cs"/>
          <w:rtl/>
        </w:rPr>
        <w:t>לחצר</w:t>
      </w:r>
      <w:r w:rsidRPr="00974030">
        <w:rPr>
          <w:rFonts w:asciiTheme="minorBidi" w:hAnsiTheme="minorBidi" w:cs="Arial"/>
          <w:rtl/>
        </w:rPr>
        <w:t xml:space="preserve"> </w:t>
      </w:r>
      <w:r w:rsidRPr="00974030">
        <w:rPr>
          <w:rFonts w:asciiTheme="minorBidi" w:hAnsiTheme="minorBidi" w:cs="Arial" w:hint="cs"/>
          <w:rtl/>
        </w:rPr>
        <w:t>שאינה</w:t>
      </w:r>
      <w:r w:rsidRPr="00974030">
        <w:rPr>
          <w:rFonts w:asciiTheme="minorBidi" w:hAnsiTheme="minorBidi" w:cs="Arial"/>
          <w:rtl/>
        </w:rPr>
        <w:t xml:space="preserve"> </w:t>
      </w:r>
      <w:r w:rsidRPr="00974030">
        <w:rPr>
          <w:rFonts w:asciiTheme="minorBidi" w:hAnsiTheme="minorBidi" w:cs="Arial" w:hint="cs"/>
          <w:rtl/>
        </w:rPr>
        <w:t>מעורבת</w:t>
      </w:r>
      <w:r w:rsidRPr="00974030">
        <w:rPr>
          <w:rFonts w:asciiTheme="minorBidi" w:hAnsiTheme="minorBidi" w:cs="Arial"/>
          <w:rtl/>
        </w:rPr>
        <w:t xml:space="preserve">) </w:t>
      </w:r>
      <w:r w:rsidRPr="00974030">
        <w:rPr>
          <w:rFonts w:asciiTheme="minorBidi" w:hAnsiTheme="minorBidi" w:cs="Arial" w:hint="cs"/>
          <w:rtl/>
        </w:rPr>
        <w:t>ולמבוי</w:t>
      </w:r>
      <w:r w:rsidRPr="00974030">
        <w:rPr>
          <w:rFonts w:asciiTheme="minorBidi" w:hAnsiTheme="minorBidi" w:cs="Arial"/>
          <w:rtl/>
        </w:rPr>
        <w:t xml:space="preserve"> (</w:t>
      </w:r>
      <w:r w:rsidRPr="00974030">
        <w:rPr>
          <w:rFonts w:asciiTheme="minorBidi" w:hAnsiTheme="minorBidi" w:cs="Arial" w:hint="cs"/>
          <w:rtl/>
        </w:rPr>
        <w:t>פי</w:t>
      </w:r>
      <w:r w:rsidRPr="00974030">
        <w:rPr>
          <w:rFonts w:asciiTheme="minorBidi" w:hAnsiTheme="minorBidi" w:cs="Arial"/>
          <w:rtl/>
        </w:rPr>
        <w:t xml:space="preserve">' </w:t>
      </w:r>
      <w:r w:rsidRPr="00974030">
        <w:rPr>
          <w:rFonts w:asciiTheme="minorBidi" w:hAnsiTheme="minorBidi" w:cs="Arial" w:hint="cs"/>
          <w:rtl/>
        </w:rPr>
        <w:t>מקום</w:t>
      </w:r>
      <w:r w:rsidRPr="00974030">
        <w:rPr>
          <w:rFonts w:asciiTheme="minorBidi" w:hAnsiTheme="minorBidi" w:cs="Arial"/>
          <w:rtl/>
        </w:rPr>
        <w:t xml:space="preserve"> </w:t>
      </w:r>
      <w:r w:rsidRPr="00974030">
        <w:rPr>
          <w:rFonts w:asciiTheme="minorBidi" w:hAnsiTheme="minorBidi" w:cs="Arial" w:hint="cs"/>
          <w:rtl/>
        </w:rPr>
        <w:t>שנכנסים</w:t>
      </w:r>
      <w:r w:rsidRPr="00974030">
        <w:rPr>
          <w:rFonts w:asciiTheme="minorBidi" w:hAnsiTheme="minorBidi" w:cs="Arial"/>
          <w:rtl/>
        </w:rPr>
        <w:t xml:space="preserve"> </w:t>
      </w:r>
      <w:r w:rsidRPr="00974030">
        <w:rPr>
          <w:rFonts w:asciiTheme="minorBidi" w:hAnsiTheme="minorBidi" w:cs="Arial" w:hint="cs"/>
          <w:rtl/>
        </w:rPr>
        <w:t>מהם</w:t>
      </w:r>
      <w:r w:rsidRPr="00974030">
        <w:rPr>
          <w:rFonts w:asciiTheme="minorBidi" w:hAnsiTheme="minorBidi" w:cs="Arial"/>
          <w:rtl/>
        </w:rPr>
        <w:t xml:space="preserve"> </w:t>
      </w:r>
      <w:r w:rsidRPr="00974030">
        <w:rPr>
          <w:rFonts w:asciiTheme="minorBidi" w:hAnsiTheme="minorBidi" w:cs="Arial" w:hint="cs"/>
          <w:rtl/>
        </w:rPr>
        <w:t>לחצרות</w:t>
      </w:r>
      <w:r w:rsidRPr="00974030">
        <w:rPr>
          <w:rFonts w:asciiTheme="minorBidi" w:hAnsiTheme="minorBidi" w:cs="Arial"/>
          <w:rtl/>
        </w:rPr>
        <w:t xml:space="preserve">) </w:t>
      </w:r>
      <w:r w:rsidRPr="00974030">
        <w:rPr>
          <w:rFonts w:asciiTheme="minorBidi" w:hAnsiTheme="minorBidi" w:cs="Arial" w:hint="cs"/>
          <w:rtl/>
        </w:rPr>
        <w:t>שלא</w:t>
      </w:r>
      <w:r w:rsidRPr="00974030">
        <w:rPr>
          <w:rFonts w:asciiTheme="minorBidi" w:hAnsiTheme="minorBidi" w:cs="Arial"/>
          <w:rtl/>
        </w:rPr>
        <w:t xml:space="preserve"> </w:t>
      </w:r>
      <w:r w:rsidRPr="00974030">
        <w:rPr>
          <w:rFonts w:asciiTheme="minorBidi" w:hAnsiTheme="minorBidi" w:cs="Arial" w:hint="cs"/>
          <w:rtl/>
        </w:rPr>
        <w:t>נשתתפו</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ובלבד</w:t>
      </w:r>
      <w:r w:rsidRPr="00974030">
        <w:rPr>
          <w:rFonts w:asciiTheme="minorBidi" w:hAnsiTheme="minorBidi" w:cs="Arial"/>
          <w:rtl/>
        </w:rPr>
        <w:t xml:space="preserve"> </w:t>
      </w:r>
      <w:r w:rsidRPr="00974030">
        <w:rPr>
          <w:rFonts w:asciiTheme="minorBidi" w:hAnsiTheme="minorBidi" w:cs="Arial" w:hint="cs"/>
          <w:rtl/>
        </w:rPr>
        <w:t>שיהיו</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שלשה</w:t>
      </w:r>
      <w:r w:rsidRPr="00974030">
        <w:rPr>
          <w:rFonts w:asciiTheme="minorBidi" w:hAnsiTheme="minorBidi" w:cs="Arial"/>
          <w:rtl/>
        </w:rPr>
        <w:t xml:space="preserve"> </w:t>
      </w:r>
      <w:r w:rsidRPr="00974030">
        <w:rPr>
          <w:rFonts w:asciiTheme="minorBidi" w:hAnsiTheme="minorBidi" w:cs="Arial" w:hint="cs"/>
          <w:rtl/>
        </w:rPr>
        <w:t>מחיצות</w:t>
      </w:r>
      <w:r w:rsidRPr="00974030">
        <w:rPr>
          <w:rFonts w:asciiTheme="minorBidi" w:hAnsiTheme="minorBidi" w:cs="Arial"/>
          <w:rtl/>
        </w:rPr>
        <w:t xml:space="preserve"> </w:t>
      </w:r>
      <w:r w:rsidRPr="00974030">
        <w:rPr>
          <w:rFonts w:asciiTheme="minorBidi" w:hAnsiTheme="minorBidi" w:cs="Arial" w:hint="cs"/>
          <w:rtl/>
        </w:rPr>
        <w:t>ולחי</w:t>
      </w:r>
      <w:r w:rsidRPr="00974030">
        <w:rPr>
          <w:rFonts w:asciiTheme="minorBidi" w:hAnsiTheme="minorBidi" w:cs="Arial"/>
          <w:rtl/>
        </w:rPr>
        <w:t xml:space="preserve">. </w:t>
      </w:r>
    </w:p>
    <w:p w14:paraId="6BDE528A"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יח</w:t>
      </w:r>
    </w:p>
    <w:p w14:paraId="4B116826"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כתבו</w:t>
      </w:r>
      <w:r w:rsidRPr="00974030">
        <w:rPr>
          <w:rFonts w:asciiTheme="minorBidi" w:hAnsiTheme="minorBidi" w:cs="Arial"/>
          <w:rtl/>
        </w:rPr>
        <w:t xml:space="preserve"> </w:t>
      </w:r>
      <w:r w:rsidRPr="00974030">
        <w:rPr>
          <w:rFonts w:asciiTheme="minorBidi" w:hAnsiTheme="minorBidi" w:cs="Arial" w:hint="cs"/>
          <w:rtl/>
        </w:rPr>
        <w:t>משם</w:t>
      </w:r>
      <w:r w:rsidRPr="00974030">
        <w:rPr>
          <w:rFonts w:asciiTheme="minorBidi" w:hAnsiTheme="minorBidi" w:cs="Arial"/>
          <w:rtl/>
        </w:rPr>
        <w:t xml:space="preserve"> </w:t>
      </w:r>
      <w:r w:rsidRPr="00974030">
        <w:rPr>
          <w:rFonts w:asciiTheme="minorBidi" w:hAnsiTheme="minorBidi" w:cs="Arial" w:hint="cs"/>
          <w:rtl/>
        </w:rPr>
        <w:t>גאון</w:t>
      </w:r>
      <w:r w:rsidRPr="00974030">
        <w:rPr>
          <w:rFonts w:asciiTheme="minorBidi" w:hAnsiTheme="minorBidi" w:cs="Arial"/>
          <w:rtl/>
        </w:rPr>
        <w:t xml:space="preserve">, </w:t>
      </w:r>
      <w:r w:rsidRPr="00974030">
        <w:rPr>
          <w:rFonts w:asciiTheme="minorBidi" w:hAnsiTheme="minorBidi" w:cs="Arial" w:hint="cs"/>
          <w:rtl/>
        </w:rPr>
        <w:t>שמותר</w:t>
      </w:r>
      <w:r w:rsidRPr="00974030">
        <w:rPr>
          <w:rFonts w:asciiTheme="minorBidi" w:hAnsiTheme="minorBidi" w:cs="Arial"/>
          <w:rtl/>
        </w:rPr>
        <w:t xml:space="preserve"> </w:t>
      </w:r>
      <w:r w:rsidRPr="00974030">
        <w:rPr>
          <w:rFonts w:asciiTheme="minorBidi" w:hAnsiTheme="minorBidi" w:cs="Arial" w:hint="cs"/>
          <w:rtl/>
        </w:rPr>
        <w:t>לומר</w:t>
      </w:r>
      <w:r w:rsidRPr="00974030">
        <w:rPr>
          <w:rFonts w:asciiTheme="minorBidi" w:hAnsiTheme="minorBidi" w:cs="Arial"/>
          <w:rtl/>
        </w:rPr>
        <w:t xml:space="preserve"> </w:t>
      </w:r>
      <w:r w:rsidRPr="00974030">
        <w:rPr>
          <w:rFonts w:asciiTheme="minorBidi" w:hAnsiTheme="minorBidi" w:cs="Arial" w:hint="cs"/>
          <w:rtl/>
        </w:rPr>
        <w:t>ל</w:t>
      </w:r>
      <w:r>
        <w:rPr>
          <w:rFonts w:asciiTheme="minorBidi" w:hAnsiTheme="minorBidi" w:cs="Arial" w:hint="cs"/>
          <w:rtl/>
        </w:rPr>
        <w:t>גוי</w:t>
      </w:r>
      <w:r w:rsidRPr="00974030">
        <w:rPr>
          <w:rFonts w:asciiTheme="minorBidi" w:hAnsiTheme="minorBidi" w:cs="Arial"/>
          <w:rtl/>
        </w:rPr>
        <w:t xml:space="preserve"> </w:t>
      </w:r>
      <w:r w:rsidRPr="00974030">
        <w:rPr>
          <w:rFonts w:asciiTheme="minorBidi" w:hAnsiTheme="minorBidi" w:cs="Arial" w:hint="cs"/>
          <w:rtl/>
        </w:rPr>
        <w:t>להציל</w:t>
      </w:r>
      <w:r w:rsidRPr="00974030">
        <w:rPr>
          <w:rFonts w:asciiTheme="minorBidi" w:hAnsiTheme="minorBidi" w:cs="Arial"/>
          <w:rtl/>
        </w:rPr>
        <w:t xml:space="preserve"> </w:t>
      </w:r>
      <w:r w:rsidRPr="00974030">
        <w:rPr>
          <w:rFonts w:asciiTheme="minorBidi" w:hAnsiTheme="minorBidi" w:cs="Arial" w:hint="cs"/>
          <w:rtl/>
        </w:rPr>
        <w:t>ספרים</w:t>
      </w:r>
      <w:r w:rsidRPr="00974030">
        <w:rPr>
          <w:rFonts w:asciiTheme="minorBidi" w:hAnsiTheme="minorBidi" w:cs="Arial"/>
          <w:rtl/>
        </w:rPr>
        <w:t xml:space="preserve"> </w:t>
      </w:r>
      <w:r w:rsidRPr="00974030">
        <w:rPr>
          <w:rFonts w:asciiTheme="minorBidi" w:hAnsiTheme="minorBidi" w:cs="Arial" w:hint="cs"/>
          <w:rtl/>
        </w:rPr>
        <w:t>מן</w:t>
      </w:r>
      <w:r w:rsidRPr="00974030">
        <w:rPr>
          <w:rFonts w:asciiTheme="minorBidi" w:hAnsiTheme="minorBidi" w:cs="Arial"/>
          <w:rtl/>
        </w:rPr>
        <w:t xml:space="preserve"> </w:t>
      </w:r>
      <w:r w:rsidRPr="00974030">
        <w:rPr>
          <w:rFonts w:asciiTheme="minorBidi" w:hAnsiTheme="minorBidi" w:cs="Arial" w:hint="cs"/>
          <w:rtl/>
        </w:rPr>
        <w:t>הדליקה</w:t>
      </w:r>
      <w:r w:rsidRPr="00974030">
        <w:rPr>
          <w:rFonts w:asciiTheme="minorBidi" w:hAnsiTheme="minorBidi" w:cs="Arial"/>
          <w:rtl/>
        </w:rPr>
        <w:t xml:space="preserve"> </w:t>
      </w:r>
      <w:r w:rsidRPr="00974030">
        <w:rPr>
          <w:rFonts w:asciiTheme="minorBidi" w:hAnsiTheme="minorBidi" w:cs="Arial" w:hint="cs"/>
          <w:rtl/>
        </w:rPr>
        <w:t>אפי</w:t>
      </w:r>
      <w:r w:rsidRPr="00974030">
        <w:rPr>
          <w:rFonts w:asciiTheme="minorBidi" w:hAnsiTheme="minorBidi" w:cs="Arial"/>
          <w:rtl/>
        </w:rPr>
        <w:t xml:space="preserve">' </w:t>
      </w:r>
      <w:r w:rsidRPr="00974030">
        <w:rPr>
          <w:rFonts w:asciiTheme="minorBidi" w:hAnsiTheme="minorBidi" w:cs="Arial" w:hint="cs"/>
          <w:rtl/>
        </w:rPr>
        <w:t>דרך</w:t>
      </w:r>
      <w:r w:rsidRPr="00974030">
        <w:rPr>
          <w:rFonts w:asciiTheme="minorBidi" w:hAnsiTheme="minorBidi" w:cs="Arial"/>
          <w:rtl/>
        </w:rPr>
        <w:t xml:space="preserve"> </w:t>
      </w:r>
      <w:r w:rsidRPr="00974030">
        <w:rPr>
          <w:rFonts w:asciiTheme="minorBidi" w:hAnsiTheme="minorBidi" w:cs="Arial" w:hint="cs"/>
          <w:rtl/>
        </w:rPr>
        <w:t>רשות</w:t>
      </w:r>
      <w:r w:rsidRPr="00974030">
        <w:rPr>
          <w:rFonts w:asciiTheme="minorBidi" w:hAnsiTheme="minorBidi" w:cs="Arial"/>
          <w:rtl/>
        </w:rPr>
        <w:t xml:space="preserve"> </w:t>
      </w:r>
      <w:r w:rsidRPr="00974030">
        <w:rPr>
          <w:rFonts w:asciiTheme="minorBidi" w:hAnsiTheme="minorBidi" w:cs="Arial" w:hint="cs"/>
          <w:rtl/>
        </w:rPr>
        <w:t>הרבים</w:t>
      </w:r>
      <w:r w:rsidRPr="00974030">
        <w:rPr>
          <w:rFonts w:asciiTheme="minorBidi" w:hAnsiTheme="minorBidi" w:cs="Arial"/>
          <w:rtl/>
        </w:rPr>
        <w:t xml:space="preserve">. </w:t>
      </w:r>
    </w:p>
    <w:p w14:paraId="75D568EC"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יט</w:t>
      </w:r>
    </w:p>
    <w:p w14:paraId="17270DE3"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כל</w:t>
      </w:r>
      <w:r w:rsidRPr="00974030">
        <w:rPr>
          <w:rFonts w:asciiTheme="minorBidi" w:hAnsiTheme="minorBidi" w:cs="Arial"/>
          <w:rtl/>
        </w:rPr>
        <w:t xml:space="preserve"> </w:t>
      </w:r>
      <w:r w:rsidRPr="00974030">
        <w:rPr>
          <w:rFonts w:asciiTheme="minorBidi" w:hAnsiTheme="minorBidi" w:cs="Arial" w:hint="cs"/>
          <w:rtl/>
        </w:rPr>
        <w:t>מה</w:t>
      </w:r>
      <w:r w:rsidRPr="00974030">
        <w:rPr>
          <w:rFonts w:asciiTheme="minorBidi" w:hAnsiTheme="minorBidi" w:cs="Arial"/>
          <w:rtl/>
        </w:rPr>
        <w:t xml:space="preserve"> </w:t>
      </w:r>
      <w:r w:rsidRPr="00974030">
        <w:rPr>
          <w:rFonts w:asciiTheme="minorBidi" w:hAnsiTheme="minorBidi" w:cs="Arial" w:hint="cs"/>
          <w:rtl/>
        </w:rPr>
        <w:t>שמותר</w:t>
      </w:r>
      <w:r w:rsidRPr="00974030">
        <w:rPr>
          <w:rFonts w:asciiTheme="minorBidi" w:hAnsiTheme="minorBidi" w:cs="Arial"/>
          <w:rtl/>
        </w:rPr>
        <w:t xml:space="preserve"> </w:t>
      </w:r>
      <w:r w:rsidRPr="00974030">
        <w:rPr>
          <w:rFonts w:asciiTheme="minorBidi" w:hAnsiTheme="minorBidi" w:cs="Arial" w:hint="cs"/>
          <w:rtl/>
        </w:rPr>
        <w:t>להציל</w:t>
      </w:r>
      <w:r w:rsidRPr="00974030">
        <w:rPr>
          <w:rFonts w:asciiTheme="minorBidi" w:hAnsiTheme="minorBidi" w:cs="Arial"/>
          <w:rtl/>
        </w:rPr>
        <w:t xml:space="preserve"> </w:t>
      </w:r>
      <w:r w:rsidRPr="00974030">
        <w:rPr>
          <w:rFonts w:asciiTheme="minorBidi" w:hAnsiTheme="minorBidi" w:cs="Arial" w:hint="cs"/>
          <w:rtl/>
        </w:rPr>
        <w:t>מפני</w:t>
      </w:r>
      <w:r w:rsidRPr="00974030">
        <w:rPr>
          <w:rFonts w:asciiTheme="minorBidi" w:hAnsiTheme="minorBidi" w:cs="Arial"/>
          <w:rtl/>
        </w:rPr>
        <w:t xml:space="preserve"> </w:t>
      </w:r>
      <w:r w:rsidRPr="00974030">
        <w:rPr>
          <w:rFonts w:asciiTheme="minorBidi" w:hAnsiTheme="minorBidi" w:cs="Arial" w:hint="cs"/>
          <w:rtl/>
        </w:rPr>
        <w:t>הדליקה</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להציל</w:t>
      </w:r>
      <w:r w:rsidRPr="00974030">
        <w:rPr>
          <w:rFonts w:asciiTheme="minorBidi" w:hAnsiTheme="minorBidi" w:cs="Arial"/>
          <w:rtl/>
        </w:rPr>
        <w:t xml:space="preserve"> </w:t>
      </w:r>
      <w:r w:rsidRPr="00974030">
        <w:rPr>
          <w:rFonts w:asciiTheme="minorBidi" w:hAnsiTheme="minorBidi" w:cs="Arial" w:hint="cs"/>
          <w:rtl/>
        </w:rPr>
        <w:t>ממים</w:t>
      </w:r>
      <w:r w:rsidRPr="00974030">
        <w:rPr>
          <w:rFonts w:asciiTheme="minorBidi" w:hAnsiTheme="minorBidi" w:cs="Arial"/>
          <w:rtl/>
        </w:rPr>
        <w:t xml:space="preserve"> </w:t>
      </w:r>
      <w:r w:rsidRPr="00974030">
        <w:rPr>
          <w:rFonts w:asciiTheme="minorBidi" w:hAnsiTheme="minorBidi" w:cs="Arial" w:hint="cs"/>
          <w:rtl/>
        </w:rPr>
        <w:t>ומשאר</w:t>
      </w:r>
      <w:r w:rsidRPr="00974030">
        <w:rPr>
          <w:rFonts w:asciiTheme="minorBidi" w:hAnsiTheme="minorBidi" w:cs="Arial"/>
          <w:rtl/>
        </w:rPr>
        <w:t xml:space="preserve"> </w:t>
      </w:r>
      <w:r w:rsidRPr="00974030">
        <w:rPr>
          <w:rFonts w:asciiTheme="minorBidi" w:hAnsiTheme="minorBidi" w:cs="Arial" w:hint="cs"/>
          <w:rtl/>
        </w:rPr>
        <w:t>דברים</w:t>
      </w:r>
      <w:r w:rsidRPr="00974030">
        <w:rPr>
          <w:rFonts w:asciiTheme="minorBidi" w:hAnsiTheme="minorBidi" w:cs="Arial"/>
          <w:rtl/>
        </w:rPr>
        <w:t xml:space="preserve"> </w:t>
      </w:r>
      <w:r w:rsidRPr="00974030">
        <w:rPr>
          <w:rFonts w:asciiTheme="minorBidi" w:hAnsiTheme="minorBidi" w:cs="Arial" w:hint="cs"/>
          <w:rtl/>
        </w:rPr>
        <w:t>המאבדים</w:t>
      </w:r>
      <w:r w:rsidRPr="00974030">
        <w:rPr>
          <w:rFonts w:asciiTheme="minorBidi" w:hAnsiTheme="minorBidi" w:cs="Arial"/>
          <w:rtl/>
        </w:rPr>
        <w:t xml:space="preserve">. </w:t>
      </w:r>
    </w:p>
    <w:p w14:paraId="504C8386"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כ</w:t>
      </w:r>
    </w:p>
    <w:p w14:paraId="225E7F27"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הגליונים</w:t>
      </w:r>
      <w:r w:rsidRPr="00974030">
        <w:rPr>
          <w:rFonts w:asciiTheme="minorBidi" w:hAnsiTheme="minorBidi" w:cs="Arial"/>
          <w:rtl/>
        </w:rPr>
        <w:t xml:space="preserve"> </w:t>
      </w:r>
      <w:r w:rsidRPr="00974030">
        <w:rPr>
          <w:rFonts w:asciiTheme="minorBidi" w:hAnsiTheme="minorBidi" w:cs="Arial" w:hint="cs"/>
          <w:rtl/>
        </w:rPr>
        <w:t>שלמעלה</w:t>
      </w:r>
      <w:r w:rsidRPr="00974030">
        <w:rPr>
          <w:rFonts w:asciiTheme="minorBidi" w:hAnsiTheme="minorBidi" w:cs="Arial"/>
          <w:rtl/>
        </w:rPr>
        <w:t xml:space="preserve"> </w:t>
      </w:r>
      <w:r w:rsidRPr="00974030">
        <w:rPr>
          <w:rFonts w:asciiTheme="minorBidi" w:hAnsiTheme="minorBidi" w:cs="Arial" w:hint="cs"/>
          <w:rtl/>
        </w:rPr>
        <w:t>ושלמטה</w:t>
      </w:r>
      <w:r w:rsidRPr="00974030">
        <w:rPr>
          <w:rFonts w:asciiTheme="minorBidi" w:hAnsiTheme="minorBidi" w:cs="Arial"/>
          <w:rtl/>
        </w:rPr>
        <w:t xml:space="preserve">, </w:t>
      </w:r>
      <w:r w:rsidRPr="00974030">
        <w:rPr>
          <w:rFonts w:asciiTheme="minorBidi" w:hAnsiTheme="minorBidi" w:cs="Arial" w:hint="cs"/>
          <w:rtl/>
        </w:rPr>
        <w:t>ושבין</w:t>
      </w:r>
      <w:r w:rsidRPr="00974030">
        <w:rPr>
          <w:rFonts w:asciiTheme="minorBidi" w:hAnsiTheme="minorBidi" w:cs="Arial"/>
          <w:rtl/>
        </w:rPr>
        <w:t xml:space="preserve"> </w:t>
      </w:r>
      <w:r w:rsidRPr="00974030">
        <w:rPr>
          <w:rFonts w:asciiTheme="minorBidi" w:hAnsiTheme="minorBidi" w:cs="Arial" w:hint="cs"/>
          <w:rtl/>
        </w:rPr>
        <w:t>פרשה</w:t>
      </w:r>
      <w:r w:rsidRPr="00974030">
        <w:rPr>
          <w:rFonts w:asciiTheme="minorBidi" w:hAnsiTheme="minorBidi" w:cs="Arial"/>
          <w:rtl/>
        </w:rPr>
        <w:t xml:space="preserve"> </w:t>
      </w:r>
      <w:r w:rsidRPr="00974030">
        <w:rPr>
          <w:rFonts w:asciiTheme="minorBidi" w:hAnsiTheme="minorBidi" w:cs="Arial" w:hint="cs"/>
          <w:rtl/>
        </w:rPr>
        <w:t>לפרשה</w:t>
      </w:r>
      <w:r w:rsidRPr="00974030">
        <w:rPr>
          <w:rFonts w:asciiTheme="minorBidi" w:hAnsiTheme="minorBidi" w:cs="Arial"/>
          <w:rtl/>
        </w:rPr>
        <w:t xml:space="preserve">, </w:t>
      </w:r>
      <w:r w:rsidRPr="00974030">
        <w:rPr>
          <w:rFonts w:asciiTheme="minorBidi" w:hAnsiTheme="minorBidi" w:cs="Arial" w:hint="cs"/>
          <w:rtl/>
        </w:rPr>
        <w:t>ושבין</w:t>
      </w:r>
      <w:r w:rsidRPr="00974030">
        <w:rPr>
          <w:rFonts w:asciiTheme="minorBidi" w:hAnsiTheme="minorBidi" w:cs="Arial"/>
          <w:rtl/>
        </w:rPr>
        <w:t xml:space="preserve"> </w:t>
      </w:r>
      <w:r w:rsidRPr="00974030">
        <w:rPr>
          <w:rFonts w:asciiTheme="minorBidi" w:hAnsiTheme="minorBidi" w:cs="Arial" w:hint="cs"/>
          <w:rtl/>
        </w:rPr>
        <w:t>דף</w:t>
      </w:r>
      <w:r w:rsidRPr="00974030">
        <w:rPr>
          <w:rFonts w:asciiTheme="minorBidi" w:hAnsiTheme="minorBidi" w:cs="Arial"/>
          <w:rtl/>
        </w:rPr>
        <w:t xml:space="preserve"> </w:t>
      </w:r>
      <w:r w:rsidRPr="00974030">
        <w:rPr>
          <w:rFonts w:asciiTheme="minorBidi" w:hAnsiTheme="minorBidi" w:cs="Arial" w:hint="cs"/>
          <w:rtl/>
        </w:rPr>
        <w:t>לדף</w:t>
      </w:r>
      <w:r w:rsidRPr="00974030">
        <w:rPr>
          <w:rFonts w:asciiTheme="minorBidi" w:hAnsiTheme="minorBidi" w:cs="Arial"/>
          <w:rtl/>
        </w:rPr>
        <w:t xml:space="preserve">, </w:t>
      </w:r>
      <w:r w:rsidRPr="00974030">
        <w:rPr>
          <w:rFonts w:asciiTheme="minorBidi" w:hAnsiTheme="minorBidi" w:cs="Arial" w:hint="cs"/>
          <w:rtl/>
        </w:rPr>
        <w:t>ושבתחלת</w:t>
      </w:r>
      <w:r w:rsidRPr="00974030">
        <w:rPr>
          <w:rFonts w:asciiTheme="minorBidi" w:hAnsiTheme="minorBidi" w:cs="Arial"/>
          <w:rtl/>
        </w:rPr>
        <w:t xml:space="preserve"> </w:t>
      </w:r>
      <w:r w:rsidRPr="00974030">
        <w:rPr>
          <w:rFonts w:asciiTheme="minorBidi" w:hAnsiTheme="minorBidi" w:cs="Arial" w:hint="cs"/>
          <w:rtl/>
        </w:rPr>
        <w:t>הספר</w:t>
      </w:r>
      <w:r w:rsidRPr="00974030">
        <w:rPr>
          <w:rFonts w:asciiTheme="minorBidi" w:hAnsiTheme="minorBidi" w:cs="Arial"/>
          <w:rtl/>
        </w:rPr>
        <w:t xml:space="preserve"> </w:t>
      </w:r>
      <w:r w:rsidRPr="00974030">
        <w:rPr>
          <w:rFonts w:asciiTheme="minorBidi" w:hAnsiTheme="minorBidi" w:cs="Arial" w:hint="cs"/>
          <w:rtl/>
        </w:rPr>
        <w:t>ושבסוף</w:t>
      </w:r>
      <w:r w:rsidRPr="00974030">
        <w:rPr>
          <w:rFonts w:asciiTheme="minorBidi" w:hAnsiTheme="minorBidi" w:cs="Arial"/>
          <w:rtl/>
        </w:rPr>
        <w:t xml:space="preserve"> </w:t>
      </w:r>
      <w:r w:rsidRPr="00974030">
        <w:rPr>
          <w:rFonts w:asciiTheme="minorBidi" w:hAnsiTheme="minorBidi" w:cs="Arial" w:hint="cs"/>
          <w:rtl/>
        </w:rPr>
        <w:t>הספר</w:t>
      </w:r>
      <w:r w:rsidRPr="00974030">
        <w:rPr>
          <w:rFonts w:asciiTheme="minorBidi" w:hAnsiTheme="minorBidi" w:cs="Arial"/>
          <w:rtl/>
        </w:rPr>
        <w:t xml:space="preserve"> </w:t>
      </w:r>
      <w:r w:rsidRPr="00974030">
        <w:rPr>
          <w:rFonts w:asciiTheme="minorBidi" w:hAnsiTheme="minorBidi" w:cs="Arial" w:hint="cs"/>
          <w:rtl/>
        </w:rPr>
        <w:t>אין</w:t>
      </w:r>
      <w:r w:rsidRPr="00974030">
        <w:rPr>
          <w:rFonts w:asciiTheme="minorBidi" w:hAnsiTheme="minorBidi" w:cs="Arial"/>
          <w:rtl/>
        </w:rPr>
        <w:t xml:space="preserve"> </w:t>
      </w:r>
      <w:r w:rsidRPr="00974030">
        <w:rPr>
          <w:rFonts w:asciiTheme="minorBidi" w:hAnsiTheme="minorBidi" w:cs="Arial" w:hint="cs"/>
          <w:rtl/>
        </w:rPr>
        <w:t>מצילין</w:t>
      </w:r>
      <w:r w:rsidRPr="00974030">
        <w:rPr>
          <w:rFonts w:asciiTheme="minorBidi" w:hAnsiTheme="minorBidi" w:cs="Arial"/>
          <w:rtl/>
        </w:rPr>
        <w:t xml:space="preserve"> </w:t>
      </w:r>
      <w:r w:rsidRPr="00974030">
        <w:rPr>
          <w:rFonts w:asciiTheme="minorBidi" w:hAnsiTheme="minorBidi" w:cs="Arial" w:hint="cs"/>
          <w:rtl/>
        </w:rPr>
        <w:t>אותם</w:t>
      </w:r>
      <w:r w:rsidRPr="00974030">
        <w:rPr>
          <w:rFonts w:asciiTheme="minorBidi" w:hAnsiTheme="minorBidi" w:cs="Arial"/>
          <w:rtl/>
        </w:rPr>
        <w:t xml:space="preserve">. </w:t>
      </w:r>
    </w:p>
    <w:p w14:paraId="1E40BBFC"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כא</w:t>
      </w:r>
    </w:p>
    <w:p w14:paraId="34786A98"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האפיקורסים</w:t>
      </w:r>
      <w:r w:rsidRPr="00974030">
        <w:rPr>
          <w:rFonts w:asciiTheme="minorBidi" w:hAnsiTheme="minorBidi" w:cs="Arial"/>
          <w:rtl/>
        </w:rPr>
        <w:t xml:space="preserve">, </w:t>
      </w:r>
      <w:r w:rsidRPr="00974030">
        <w:rPr>
          <w:rFonts w:asciiTheme="minorBidi" w:hAnsiTheme="minorBidi" w:cs="Arial" w:hint="cs"/>
          <w:rtl/>
        </w:rPr>
        <w:t>דהיינו</w:t>
      </w:r>
      <w:r w:rsidRPr="00974030">
        <w:rPr>
          <w:rFonts w:asciiTheme="minorBidi" w:hAnsiTheme="minorBidi" w:cs="Arial"/>
          <w:rtl/>
        </w:rPr>
        <w:t xml:space="preserve"> </w:t>
      </w:r>
      <w:r w:rsidRPr="00974030">
        <w:rPr>
          <w:rFonts w:asciiTheme="minorBidi" w:hAnsiTheme="minorBidi" w:cs="Arial" w:hint="cs"/>
          <w:rtl/>
        </w:rPr>
        <w:t>האדוקים</w:t>
      </w:r>
      <w:r w:rsidRPr="00974030">
        <w:rPr>
          <w:rFonts w:asciiTheme="minorBidi" w:hAnsiTheme="minorBidi" w:cs="Arial"/>
          <w:rtl/>
        </w:rPr>
        <w:t xml:space="preserve"> </w:t>
      </w:r>
      <w:r w:rsidRPr="00974030">
        <w:rPr>
          <w:rFonts w:asciiTheme="minorBidi" w:hAnsiTheme="minorBidi" w:cs="Arial" w:hint="cs"/>
          <w:rtl/>
        </w:rPr>
        <w:t>בעבודת</w:t>
      </w:r>
      <w:r w:rsidRPr="00974030">
        <w:rPr>
          <w:rFonts w:asciiTheme="minorBidi" w:hAnsiTheme="minorBidi" w:cs="Arial"/>
          <w:rtl/>
        </w:rPr>
        <w:t xml:space="preserve"> </w:t>
      </w:r>
      <w:r w:rsidRPr="00974030">
        <w:rPr>
          <w:rFonts w:asciiTheme="minorBidi" w:hAnsiTheme="minorBidi" w:cs="Arial" w:hint="cs"/>
          <w:rtl/>
        </w:rPr>
        <w:t>כוכבים</w:t>
      </w:r>
      <w:r w:rsidRPr="00974030">
        <w:rPr>
          <w:rFonts w:asciiTheme="minorBidi" w:hAnsiTheme="minorBidi" w:cs="Arial"/>
          <w:rtl/>
        </w:rPr>
        <w:t xml:space="preserve">, </w:t>
      </w:r>
      <w:r w:rsidRPr="00974030">
        <w:rPr>
          <w:rFonts w:asciiTheme="minorBidi" w:hAnsiTheme="minorBidi" w:cs="Arial" w:hint="cs"/>
          <w:rtl/>
        </w:rPr>
        <w:t>וכן</w:t>
      </w:r>
      <w:r w:rsidRPr="00974030">
        <w:rPr>
          <w:rFonts w:asciiTheme="minorBidi" w:hAnsiTheme="minorBidi" w:cs="Arial"/>
          <w:rtl/>
        </w:rPr>
        <w:t xml:space="preserve"> </w:t>
      </w:r>
      <w:r w:rsidRPr="00974030">
        <w:rPr>
          <w:rFonts w:asciiTheme="minorBidi" w:hAnsiTheme="minorBidi" w:cs="Arial" w:hint="cs"/>
          <w:rtl/>
        </w:rPr>
        <w:t>מומרים</w:t>
      </w:r>
      <w:r w:rsidRPr="00974030">
        <w:rPr>
          <w:rFonts w:asciiTheme="minorBidi" w:hAnsiTheme="minorBidi" w:cs="Arial"/>
          <w:rtl/>
        </w:rPr>
        <w:t xml:space="preserve"> </w:t>
      </w:r>
      <w:r w:rsidRPr="00974030">
        <w:rPr>
          <w:rFonts w:asciiTheme="minorBidi" w:hAnsiTheme="minorBidi" w:cs="Arial" w:hint="cs"/>
          <w:rtl/>
        </w:rPr>
        <w:t>לעבודת</w:t>
      </w:r>
      <w:r w:rsidRPr="00974030">
        <w:rPr>
          <w:rFonts w:asciiTheme="minorBidi" w:hAnsiTheme="minorBidi" w:cs="Arial"/>
          <w:rtl/>
        </w:rPr>
        <w:t xml:space="preserve"> </w:t>
      </w:r>
      <w:r w:rsidRPr="00974030">
        <w:rPr>
          <w:rFonts w:asciiTheme="minorBidi" w:hAnsiTheme="minorBidi" w:cs="Arial" w:hint="cs"/>
          <w:rtl/>
        </w:rPr>
        <w:t>כוכבים</w:t>
      </w:r>
      <w:r w:rsidRPr="00974030">
        <w:rPr>
          <w:rFonts w:asciiTheme="minorBidi" w:hAnsiTheme="minorBidi" w:cs="Arial"/>
          <w:rtl/>
        </w:rPr>
        <w:t xml:space="preserve"> </w:t>
      </w:r>
      <w:r w:rsidRPr="00974030">
        <w:rPr>
          <w:rFonts w:asciiTheme="minorBidi" w:hAnsiTheme="minorBidi" w:cs="Arial" w:hint="cs"/>
          <w:rtl/>
        </w:rPr>
        <w:t>שכתבו</w:t>
      </w:r>
      <w:r w:rsidRPr="00974030">
        <w:rPr>
          <w:rFonts w:asciiTheme="minorBidi" w:hAnsiTheme="minorBidi" w:cs="Arial"/>
          <w:rtl/>
        </w:rPr>
        <w:t xml:space="preserve"> </w:t>
      </w:r>
      <w:r w:rsidRPr="00974030">
        <w:rPr>
          <w:rFonts w:asciiTheme="minorBidi" w:hAnsiTheme="minorBidi" w:cs="Arial" w:hint="cs"/>
          <w:rtl/>
        </w:rPr>
        <w:t>להם</w:t>
      </w:r>
      <w:r w:rsidRPr="00974030">
        <w:rPr>
          <w:rFonts w:asciiTheme="minorBidi" w:hAnsiTheme="minorBidi" w:cs="Arial"/>
          <w:rtl/>
        </w:rPr>
        <w:t xml:space="preserve"> </w:t>
      </w:r>
      <w:r w:rsidRPr="00974030">
        <w:rPr>
          <w:rFonts w:asciiTheme="minorBidi" w:hAnsiTheme="minorBidi" w:cs="Arial" w:hint="cs"/>
          <w:rtl/>
        </w:rPr>
        <w:t>כתבי</w:t>
      </w:r>
      <w:r w:rsidRPr="00974030">
        <w:rPr>
          <w:rFonts w:asciiTheme="minorBidi" w:hAnsiTheme="minorBidi" w:cs="Arial"/>
          <w:rtl/>
        </w:rPr>
        <w:t xml:space="preserve"> </w:t>
      </w:r>
      <w:r w:rsidRPr="00974030">
        <w:rPr>
          <w:rFonts w:asciiTheme="minorBidi" w:hAnsiTheme="minorBidi" w:cs="Arial" w:hint="cs"/>
          <w:rtl/>
        </w:rPr>
        <w:t>הקודש</w:t>
      </w:r>
      <w:r w:rsidRPr="00974030">
        <w:rPr>
          <w:rFonts w:asciiTheme="minorBidi" w:hAnsiTheme="minorBidi" w:cs="Arial"/>
          <w:rtl/>
        </w:rPr>
        <w:t xml:space="preserve">, </w:t>
      </w:r>
      <w:r w:rsidRPr="00974030">
        <w:rPr>
          <w:rFonts w:asciiTheme="minorBidi" w:hAnsiTheme="minorBidi" w:cs="Arial" w:hint="cs"/>
          <w:rtl/>
        </w:rPr>
        <w:t>אין</w:t>
      </w:r>
      <w:r w:rsidRPr="00974030">
        <w:rPr>
          <w:rFonts w:asciiTheme="minorBidi" w:hAnsiTheme="minorBidi" w:cs="Arial"/>
          <w:rtl/>
        </w:rPr>
        <w:t xml:space="preserve"> </w:t>
      </w:r>
      <w:r w:rsidRPr="00974030">
        <w:rPr>
          <w:rFonts w:asciiTheme="minorBidi" w:hAnsiTheme="minorBidi" w:cs="Arial" w:hint="cs"/>
          <w:rtl/>
        </w:rPr>
        <w:t>מצילים</w:t>
      </w:r>
      <w:r w:rsidRPr="00974030">
        <w:rPr>
          <w:rFonts w:asciiTheme="minorBidi" w:hAnsiTheme="minorBidi" w:cs="Arial"/>
          <w:rtl/>
        </w:rPr>
        <w:t xml:space="preserve"> </w:t>
      </w:r>
      <w:r w:rsidRPr="00974030">
        <w:rPr>
          <w:rFonts w:asciiTheme="minorBidi" w:hAnsiTheme="minorBidi" w:cs="Arial" w:hint="cs"/>
          <w:rtl/>
        </w:rPr>
        <w:t>אותם</w:t>
      </w:r>
      <w:r w:rsidRPr="00974030">
        <w:rPr>
          <w:rFonts w:asciiTheme="minorBidi" w:hAnsiTheme="minorBidi" w:cs="Arial"/>
          <w:rtl/>
        </w:rPr>
        <w:t xml:space="preserve">; </w:t>
      </w:r>
      <w:r w:rsidRPr="00974030">
        <w:rPr>
          <w:rFonts w:asciiTheme="minorBidi" w:hAnsiTheme="minorBidi" w:cs="Arial" w:hint="cs"/>
          <w:rtl/>
        </w:rPr>
        <w:t>ואף</w:t>
      </w:r>
      <w:r w:rsidRPr="00974030">
        <w:rPr>
          <w:rFonts w:asciiTheme="minorBidi" w:hAnsiTheme="minorBidi" w:cs="Arial"/>
          <w:rtl/>
        </w:rPr>
        <w:t xml:space="preserve"> </w:t>
      </w:r>
      <w:r w:rsidRPr="00974030">
        <w:rPr>
          <w:rFonts w:asciiTheme="minorBidi" w:hAnsiTheme="minorBidi" w:cs="Arial" w:hint="cs"/>
          <w:rtl/>
        </w:rPr>
        <w:t>בחול</w:t>
      </w:r>
      <w:r w:rsidRPr="00974030">
        <w:rPr>
          <w:rFonts w:asciiTheme="minorBidi" w:hAnsiTheme="minorBidi" w:cs="Arial"/>
          <w:rtl/>
        </w:rPr>
        <w:t xml:space="preserve"> </w:t>
      </w:r>
      <w:r w:rsidRPr="00974030">
        <w:rPr>
          <w:rFonts w:asciiTheme="minorBidi" w:hAnsiTheme="minorBidi" w:cs="Arial" w:hint="cs"/>
          <w:rtl/>
        </w:rPr>
        <w:t>שורפן</w:t>
      </w:r>
      <w:r w:rsidRPr="00974030">
        <w:rPr>
          <w:rFonts w:asciiTheme="minorBidi" w:hAnsiTheme="minorBidi" w:cs="Arial"/>
          <w:rtl/>
        </w:rPr>
        <w:t xml:space="preserve"> </w:t>
      </w:r>
      <w:r w:rsidRPr="00974030">
        <w:rPr>
          <w:rFonts w:asciiTheme="minorBidi" w:hAnsiTheme="minorBidi" w:cs="Arial" w:hint="cs"/>
          <w:rtl/>
        </w:rPr>
        <w:t>עם</w:t>
      </w:r>
      <w:r w:rsidRPr="00974030">
        <w:rPr>
          <w:rFonts w:asciiTheme="minorBidi" w:hAnsiTheme="minorBidi" w:cs="Arial"/>
          <w:rtl/>
        </w:rPr>
        <w:t xml:space="preserve"> </w:t>
      </w:r>
      <w:r w:rsidRPr="00974030">
        <w:rPr>
          <w:rFonts w:asciiTheme="minorBidi" w:hAnsiTheme="minorBidi" w:cs="Arial" w:hint="cs"/>
          <w:rtl/>
        </w:rPr>
        <w:t>האזכרות</w:t>
      </w:r>
      <w:r w:rsidRPr="00974030">
        <w:rPr>
          <w:rFonts w:asciiTheme="minorBidi" w:hAnsiTheme="minorBidi" w:cs="Arial"/>
          <w:rtl/>
        </w:rPr>
        <w:t xml:space="preserve"> </w:t>
      </w:r>
      <w:r w:rsidRPr="00974030">
        <w:rPr>
          <w:rFonts w:asciiTheme="minorBidi" w:hAnsiTheme="minorBidi" w:cs="Arial" w:hint="cs"/>
          <w:rtl/>
        </w:rPr>
        <w:t>שבהן</w:t>
      </w:r>
      <w:r w:rsidRPr="00974030">
        <w:rPr>
          <w:rFonts w:asciiTheme="minorBidi" w:hAnsiTheme="minorBidi" w:cs="Arial"/>
          <w:rtl/>
        </w:rPr>
        <w:t xml:space="preserve">. </w:t>
      </w:r>
    </w:p>
    <w:p w14:paraId="0A9E1DF7"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כב</w:t>
      </w:r>
    </w:p>
    <w:p w14:paraId="6EF050EA"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תיבה</w:t>
      </w:r>
      <w:r w:rsidRPr="00974030">
        <w:rPr>
          <w:rFonts w:asciiTheme="minorBidi" w:hAnsiTheme="minorBidi" w:cs="Arial"/>
          <w:rtl/>
        </w:rPr>
        <w:t xml:space="preserve"> </w:t>
      </w:r>
      <w:r w:rsidRPr="00974030">
        <w:rPr>
          <w:rFonts w:asciiTheme="minorBidi" w:hAnsiTheme="minorBidi" w:cs="Arial" w:hint="cs"/>
          <w:rtl/>
        </w:rPr>
        <w:t>שאחז</w:t>
      </w:r>
      <w:r w:rsidRPr="00974030">
        <w:rPr>
          <w:rFonts w:asciiTheme="minorBidi" w:hAnsiTheme="minorBidi" w:cs="Arial"/>
          <w:rtl/>
        </w:rPr>
        <w:t xml:space="preserve"> </w:t>
      </w:r>
      <w:r w:rsidRPr="00974030">
        <w:rPr>
          <w:rFonts w:asciiTheme="minorBidi" w:hAnsiTheme="minorBidi" w:cs="Arial" w:hint="cs"/>
          <w:rtl/>
        </w:rPr>
        <w:t>בה</w:t>
      </w:r>
      <w:r w:rsidRPr="00974030">
        <w:rPr>
          <w:rFonts w:asciiTheme="minorBidi" w:hAnsiTheme="minorBidi" w:cs="Arial"/>
          <w:rtl/>
        </w:rPr>
        <w:t xml:space="preserve"> </w:t>
      </w:r>
      <w:r w:rsidRPr="00974030">
        <w:rPr>
          <w:rFonts w:asciiTheme="minorBidi" w:hAnsiTheme="minorBidi" w:cs="Arial" w:hint="cs"/>
          <w:rtl/>
        </w:rPr>
        <w:t>האור</w:t>
      </w:r>
      <w:r w:rsidRPr="00974030">
        <w:rPr>
          <w:rFonts w:asciiTheme="minorBidi" w:hAnsiTheme="minorBidi" w:cs="Arial"/>
          <w:rtl/>
        </w:rPr>
        <w:t xml:space="preserve">, </w:t>
      </w:r>
      <w:r w:rsidRPr="00974030">
        <w:rPr>
          <w:rFonts w:asciiTheme="minorBidi" w:hAnsiTheme="minorBidi" w:cs="Arial" w:hint="cs"/>
          <w:rtl/>
        </w:rPr>
        <w:t>יכול</w:t>
      </w:r>
      <w:r w:rsidRPr="00974030">
        <w:rPr>
          <w:rFonts w:asciiTheme="minorBidi" w:hAnsiTheme="minorBidi" w:cs="Arial"/>
          <w:rtl/>
        </w:rPr>
        <w:t xml:space="preserve"> </w:t>
      </w:r>
      <w:r w:rsidRPr="00974030">
        <w:rPr>
          <w:rFonts w:asciiTheme="minorBidi" w:hAnsiTheme="minorBidi" w:cs="Arial" w:hint="cs"/>
          <w:rtl/>
        </w:rPr>
        <w:t>לפרוס</w:t>
      </w:r>
      <w:r w:rsidRPr="00974030">
        <w:rPr>
          <w:rFonts w:asciiTheme="minorBidi" w:hAnsiTheme="minorBidi" w:cs="Arial"/>
          <w:rtl/>
        </w:rPr>
        <w:t xml:space="preserve"> </w:t>
      </w:r>
      <w:r w:rsidRPr="00974030">
        <w:rPr>
          <w:rFonts w:asciiTheme="minorBidi" w:hAnsiTheme="minorBidi" w:cs="Arial" w:hint="cs"/>
          <w:rtl/>
        </w:rPr>
        <w:t>עור</w:t>
      </w:r>
      <w:r w:rsidRPr="00974030">
        <w:rPr>
          <w:rFonts w:asciiTheme="minorBidi" w:hAnsiTheme="minorBidi" w:cs="Arial"/>
          <w:rtl/>
        </w:rPr>
        <w:t xml:space="preserve"> </w:t>
      </w:r>
      <w:r w:rsidRPr="00974030">
        <w:rPr>
          <w:rFonts w:asciiTheme="minorBidi" w:hAnsiTheme="minorBidi" w:cs="Arial" w:hint="cs"/>
          <w:rtl/>
        </w:rPr>
        <w:t>של</w:t>
      </w:r>
      <w:r w:rsidRPr="00974030">
        <w:rPr>
          <w:rFonts w:asciiTheme="minorBidi" w:hAnsiTheme="minorBidi" w:cs="Arial"/>
          <w:rtl/>
        </w:rPr>
        <w:t xml:space="preserve"> </w:t>
      </w:r>
      <w:r w:rsidRPr="00974030">
        <w:rPr>
          <w:rFonts w:asciiTheme="minorBidi" w:hAnsiTheme="minorBidi" w:cs="Arial" w:hint="cs"/>
          <w:rtl/>
        </w:rPr>
        <w:t>גדי</w:t>
      </w:r>
      <w:r w:rsidRPr="00974030">
        <w:rPr>
          <w:rFonts w:asciiTheme="minorBidi" w:hAnsiTheme="minorBidi" w:cs="Arial"/>
          <w:rtl/>
        </w:rPr>
        <w:t xml:space="preserve"> </w:t>
      </w:r>
      <w:r w:rsidRPr="00974030">
        <w:rPr>
          <w:rFonts w:asciiTheme="minorBidi" w:hAnsiTheme="minorBidi" w:cs="Arial" w:hint="cs"/>
          <w:rtl/>
        </w:rPr>
        <w:t>מצדה</w:t>
      </w:r>
      <w:r w:rsidRPr="00974030">
        <w:rPr>
          <w:rFonts w:asciiTheme="minorBidi" w:hAnsiTheme="minorBidi" w:cs="Arial"/>
          <w:rtl/>
        </w:rPr>
        <w:t xml:space="preserve"> </w:t>
      </w:r>
      <w:r w:rsidRPr="00974030">
        <w:rPr>
          <w:rFonts w:asciiTheme="minorBidi" w:hAnsiTheme="minorBidi" w:cs="Arial" w:hint="cs"/>
          <w:rtl/>
        </w:rPr>
        <w:t>האחר</w:t>
      </w:r>
      <w:r w:rsidRPr="00974030">
        <w:rPr>
          <w:rFonts w:asciiTheme="minorBidi" w:hAnsiTheme="minorBidi" w:cs="Arial"/>
          <w:rtl/>
        </w:rPr>
        <w:t xml:space="preserve"> </w:t>
      </w:r>
      <w:r w:rsidRPr="00974030">
        <w:rPr>
          <w:rFonts w:asciiTheme="minorBidi" w:hAnsiTheme="minorBidi" w:cs="Arial" w:hint="cs"/>
          <w:rtl/>
        </w:rPr>
        <w:t>שלא</w:t>
      </w:r>
      <w:r w:rsidRPr="00974030">
        <w:rPr>
          <w:rFonts w:asciiTheme="minorBidi" w:hAnsiTheme="minorBidi" w:cs="Arial"/>
          <w:rtl/>
        </w:rPr>
        <w:t xml:space="preserve"> </w:t>
      </w:r>
      <w:r w:rsidRPr="00974030">
        <w:rPr>
          <w:rFonts w:asciiTheme="minorBidi" w:hAnsiTheme="minorBidi" w:cs="Arial" w:hint="cs"/>
          <w:rtl/>
        </w:rPr>
        <w:t>תשרף</w:t>
      </w:r>
      <w:r w:rsidRPr="00974030">
        <w:rPr>
          <w:rFonts w:asciiTheme="minorBidi" w:hAnsiTheme="minorBidi" w:cs="Arial"/>
          <w:rtl/>
        </w:rPr>
        <w:t xml:space="preserve">; </w:t>
      </w:r>
      <w:r w:rsidRPr="00974030">
        <w:rPr>
          <w:rFonts w:asciiTheme="minorBidi" w:hAnsiTheme="minorBidi" w:cs="Arial" w:hint="cs"/>
          <w:rtl/>
        </w:rPr>
        <w:t>ועושים</w:t>
      </w:r>
      <w:r w:rsidRPr="00974030">
        <w:rPr>
          <w:rFonts w:asciiTheme="minorBidi" w:hAnsiTheme="minorBidi" w:cs="Arial"/>
          <w:rtl/>
        </w:rPr>
        <w:t xml:space="preserve"> </w:t>
      </w:r>
      <w:r w:rsidRPr="00974030">
        <w:rPr>
          <w:rFonts w:asciiTheme="minorBidi" w:hAnsiTheme="minorBidi" w:cs="Arial" w:hint="cs"/>
          <w:rtl/>
        </w:rPr>
        <w:t>מחיצה</w:t>
      </w:r>
      <w:r w:rsidRPr="00974030">
        <w:rPr>
          <w:rFonts w:asciiTheme="minorBidi" w:hAnsiTheme="minorBidi" w:cs="Arial"/>
          <w:rtl/>
        </w:rPr>
        <w:t xml:space="preserve"> </w:t>
      </w:r>
      <w:r w:rsidRPr="00974030">
        <w:rPr>
          <w:rFonts w:asciiTheme="minorBidi" w:hAnsiTheme="minorBidi" w:cs="Arial" w:hint="cs"/>
          <w:rtl/>
        </w:rPr>
        <w:t>בכל</w:t>
      </w:r>
      <w:r w:rsidRPr="00974030">
        <w:rPr>
          <w:rFonts w:asciiTheme="minorBidi" w:hAnsiTheme="minorBidi" w:cs="Arial"/>
          <w:rtl/>
        </w:rPr>
        <w:t xml:space="preserve"> </w:t>
      </w:r>
      <w:r w:rsidRPr="00974030">
        <w:rPr>
          <w:rFonts w:asciiTheme="minorBidi" w:hAnsiTheme="minorBidi" w:cs="Arial" w:hint="cs"/>
          <w:rtl/>
        </w:rPr>
        <w:t>הכלים</w:t>
      </w:r>
      <w:r w:rsidRPr="00974030">
        <w:rPr>
          <w:rFonts w:asciiTheme="minorBidi" w:hAnsiTheme="minorBidi" w:cs="Arial"/>
          <w:rtl/>
        </w:rPr>
        <w:t xml:space="preserve"> </w:t>
      </w:r>
      <w:r w:rsidRPr="00974030">
        <w:rPr>
          <w:rFonts w:asciiTheme="minorBidi" w:hAnsiTheme="minorBidi" w:cs="Arial" w:hint="cs"/>
          <w:rtl/>
        </w:rPr>
        <w:t>להפסיק</w:t>
      </w:r>
      <w:r w:rsidRPr="00974030">
        <w:rPr>
          <w:rFonts w:asciiTheme="minorBidi" w:hAnsiTheme="minorBidi" w:cs="Arial"/>
          <w:rtl/>
        </w:rPr>
        <w:t xml:space="preserve"> </w:t>
      </w:r>
      <w:r w:rsidRPr="00974030">
        <w:rPr>
          <w:rFonts w:asciiTheme="minorBidi" w:hAnsiTheme="minorBidi" w:cs="Arial" w:hint="cs"/>
          <w:rtl/>
        </w:rPr>
        <w:t>בין</w:t>
      </w:r>
      <w:r w:rsidRPr="00974030">
        <w:rPr>
          <w:rFonts w:asciiTheme="minorBidi" w:hAnsiTheme="minorBidi" w:cs="Arial"/>
          <w:rtl/>
        </w:rPr>
        <w:t xml:space="preserve"> </w:t>
      </w:r>
      <w:r w:rsidRPr="00974030">
        <w:rPr>
          <w:rFonts w:asciiTheme="minorBidi" w:hAnsiTheme="minorBidi" w:cs="Arial" w:hint="cs"/>
          <w:rtl/>
        </w:rPr>
        <w:t>הדליקה</w:t>
      </w:r>
      <w:r w:rsidRPr="00974030">
        <w:rPr>
          <w:rFonts w:asciiTheme="minorBidi" w:hAnsiTheme="minorBidi" w:cs="Arial"/>
          <w:rtl/>
        </w:rPr>
        <w:t xml:space="preserve">, </w:t>
      </w:r>
      <w:r w:rsidRPr="00974030">
        <w:rPr>
          <w:rFonts w:asciiTheme="minorBidi" w:hAnsiTheme="minorBidi" w:cs="Arial" w:hint="cs"/>
          <w:rtl/>
        </w:rPr>
        <w:t>אפילו</w:t>
      </w:r>
      <w:r w:rsidRPr="00974030">
        <w:rPr>
          <w:rFonts w:asciiTheme="minorBidi" w:hAnsiTheme="minorBidi" w:cs="Arial"/>
          <w:rtl/>
        </w:rPr>
        <w:t xml:space="preserve"> </w:t>
      </w:r>
      <w:r w:rsidRPr="00974030">
        <w:rPr>
          <w:rFonts w:asciiTheme="minorBidi" w:hAnsiTheme="minorBidi" w:cs="Arial" w:hint="cs"/>
          <w:rtl/>
        </w:rPr>
        <w:t>כלי</w:t>
      </w:r>
      <w:r w:rsidRPr="00974030">
        <w:rPr>
          <w:rFonts w:asciiTheme="minorBidi" w:hAnsiTheme="minorBidi" w:cs="Arial"/>
          <w:rtl/>
        </w:rPr>
        <w:t xml:space="preserve"> </w:t>
      </w:r>
      <w:r w:rsidRPr="00974030">
        <w:rPr>
          <w:rFonts w:asciiTheme="minorBidi" w:hAnsiTheme="minorBidi" w:cs="Arial" w:hint="cs"/>
          <w:rtl/>
        </w:rPr>
        <w:t>חרס</w:t>
      </w:r>
      <w:r w:rsidRPr="00974030">
        <w:rPr>
          <w:rFonts w:asciiTheme="minorBidi" w:hAnsiTheme="minorBidi" w:cs="Arial"/>
          <w:rtl/>
        </w:rPr>
        <w:t xml:space="preserve"> </w:t>
      </w:r>
      <w:r w:rsidRPr="00974030">
        <w:rPr>
          <w:rFonts w:asciiTheme="minorBidi" w:hAnsiTheme="minorBidi" w:cs="Arial" w:hint="cs"/>
          <w:rtl/>
        </w:rPr>
        <w:t>חדשים</w:t>
      </w:r>
      <w:r w:rsidRPr="00974030">
        <w:rPr>
          <w:rFonts w:asciiTheme="minorBidi" w:hAnsiTheme="minorBidi" w:cs="Arial"/>
          <w:rtl/>
        </w:rPr>
        <w:t xml:space="preserve"> </w:t>
      </w:r>
      <w:r w:rsidRPr="00974030">
        <w:rPr>
          <w:rFonts w:asciiTheme="minorBidi" w:hAnsiTheme="minorBidi" w:cs="Arial" w:hint="cs"/>
          <w:rtl/>
        </w:rPr>
        <w:t>מלאים</w:t>
      </w:r>
      <w:r w:rsidRPr="00974030">
        <w:rPr>
          <w:rFonts w:asciiTheme="minorBidi" w:hAnsiTheme="minorBidi" w:cs="Arial"/>
          <w:rtl/>
        </w:rPr>
        <w:t xml:space="preserve"> </w:t>
      </w:r>
      <w:r w:rsidRPr="00974030">
        <w:rPr>
          <w:rFonts w:asciiTheme="minorBidi" w:hAnsiTheme="minorBidi" w:cs="Arial" w:hint="cs"/>
          <w:rtl/>
        </w:rPr>
        <w:t>מים</w:t>
      </w:r>
      <w:r w:rsidRPr="00974030">
        <w:rPr>
          <w:rFonts w:asciiTheme="minorBidi" w:hAnsiTheme="minorBidi" w:cs="Arial"/>
          <w:rtl/>
        </w:rPr>
        <w:t xml:space="preserve"> </w:t>
      </w:r>
      <w:r w:rsidRPr="00974030">
        <w:rPr>
          <w:rFonts w:asciiTheme="minorBidi" w:hAnsiTheme="minorBidi" w:cs="Arial" w:hint="cs"/>
          <w:rtl/>
        </w:rPr>
        <w:t>שודאי</w:t>
      </w:r>
      <w:r w:rsidRPr="00974030">
        <w:rPr>
          <w:rFonts w:asciiTheme="minorBidi" w:hAnsiTheme="minorBidi" w:cs="Arial"/>
          <w:rtl/>
        </w:rPr>
        <w:t xml:space="preserve"> </w:t>
      </w:r>
      <w:r w:rsidRPr="00974030">
        <w:rPr>
          <w:rFonts w:asciiTheme="minorBidi" w:hAnsiTheme="minorBidi" w:cs="Arial" w:hint="cs"/>
          <w:rtl/>
        </w:rPr>
        <w:t>יתבקעו</w:t>
      </w:r>
      <w:r w:rsidRPr="00974030">
        <w:rPr>
          <w:rFonts w:asciiTheme="minorBidi" w:hAnsiTheme="minorBidi" w:cs="Arial"/>
          <w:rtl/>
        </w:rPr>
        <w:t xml:space="preserve"> </w:t>
      </w:r>
      <w:r w:rsidRPr="00974030">
        <w:rPr>
          <w:rFonts w:asciiTheme="minorBidi" w:hAnsiTheme="minorBidi" w:cs="Arial" w:hint="cs"/>
          <w:rtl/>
        </w:rPr>
        <w:t>כשתגיע</w:t>
      </w:r>
      <w:r w:rsidRPr="00974030">
        <w:rPr>
          <w:rFonts w:asciiTheme="minorBidi" w:hAnsiTheme="minorBidi" w:cs="Arial"/>
          <w:rtl/>
        </w:rPr>
        <w:t xml:space="preserve"> </w:t>
      </w:r>
      <w:r w:rsidRPr="00974030">
        <w:rPr>
          <w:rFonts w:asciiTheme="minorBidi" w:hAnsiTheme="minorBidi" w:cs="Arial" w:hint="cs"/>
          <w:rtl/>
        </w:rPr>
        <w:t>להם</w:t>
      </w:r>
      <w:r w:rsidRPr="00974030">
        <w:rPr>
          <w:rFonts w:asciiTheme="minorBidi" w:hAnsiTheme="minorBidi" w:cs="Arial"/>
          <w:rtl/>
        </w:rPr>
        <w:t xml:space="preserve"> </w:t>
      </w:r>
      <w:r w:rsidRPr="00974030">
        <w:rPr>
          <w:rFonts w:asciiTheme="minorBidi" w:hAnsiTheme="minorBidi" w:cs="Arial" w:hint="cs"/>
          <w:rtl/>
        </w:rPr>
        <w:t>הדליקה</w:t>
      </w:r>
      <w:r w:rsidRPr="00974030">
        <w:rPr>
          <w:rFonts w:asciiTheme="minorBidi" w:hAnsiTheme="minorBidi" w:cs="Arial"/>
          <w:rtl/>
        </w:rPr>
        <w:t xml:space="preserve">, </w:t>
      </w:r>
      <w:r w:rsidRPr="00974030">
        <w:rPr>
          <w:rFonts w:asciiTheme="minorBidi" w:hAnsiTheme="minorBidi" w:cs="Arial" w:hint="cs"/>
          <w:rtl/>
        </w:rPr>
        <w:t>דגרם</w:t>
      </w:r>
      <w:r w:rsidRPr="00974030">
        <w:rPr>
          <w:rFonts w:asciiTheme="minorBidi" w:hAnsiTheme="minorBidi" w:cs="Arial"/>
          <w:rtl/>
        </w:rPr>
        <w:t xml:space="preserve"> </w:t>
      </w:r>
      <w:r w:rsidRPr="00974030">
        <w:rPr>
          <w:rFonts w:asciiTheme="minorBidi" w:hAnsiTheme="minorBidi" w:cs="Arial" w:hint="cs"/>
          <w:rtl/>
        </w:rPr>
        <w:t>כיבוי</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הגה</w:t>
      </w:r>
      <w:r w:rsidRPr="00974030">
        <w:rPr>
          <w:rFonts w:asciiTheme="minorBidi" w:hAnsiTheme="minorBidi" w:cs="Arial"/>
          <w:rtl/>
        </w:rPr>
        <w:t xml:space="preserve">: </w:t>
      </w:r>
      <w:r w:rsidRPr="00974030">
        <w:rPr>
          <w:rFonts w:asciiTheme="minorBidi" w:hAnsiTheme="minorBidi" w:cs="Arial" w:hint="cs"/>
          <w:rtl/>
        </w:rPr>
        <w:t>במקום</w:t>
      </w:r>
      <w:r w:rsidRPr="00974030">
        <w:rPr>
          <w:rFonts w:asciiTheme="minorBidi" w:hAnsiTheme="minorBidi" w:cs="Arial"/>
          <w:rtl/>
        </w:rPr>
        <w:t xml:space="preserve"> </w:t>
      </w:r>
      <w:r w:rsidRPr="00974030">
        <w:rPr>
          <w:rFonts w:asciiTheme="minorBidi" w:hAnsiTheme="minorBidi" w:cs="Arial" w:hint="cs"/>
          <w:rtl/>
        </w:rPr>
        <w:t>פסידא</w:t>
      </w:r>
      <w:r w:rsidRPr="00974030">
        <w:rPr>
          <w:rFonts w:asciiTheme="minorBidi" w:hAnsiTheme="minorBidi" w:cs="Arial"/>
          <w:rtl/>
        </w:rPr>
        <w:t xml:space="preserve"> (</w:t>
      </w:r>
      <w:r w:rsidRPr="00974030">
        <w:rPr>
          <w:rFonts w:asciiTheme="minorBidi" w:hAnsiTheme="minorBidi" w:cs="Arial" w:hint="cs"/>
          <w:rtl/>
        </w:rPr>
        <w:t>מרדכי</w:t>
      </w:r>
      <w:r w:rsidRPr="00974030">
        <w:rPr>
          <w:rFonts w:asciiTheme="minorBidi" w:hAnsiTheme="minorBidi" w:cs="Arial"/>
          <w:rtl/>
        </w:rPr>
        <w:t xml:space="preserve"> </w:t>
      </w:r>
      <w:r w:rsidRPr="00974030">
        <w:rPr>
          <w:rFonts w:asciiTheme="minorBidi" w:hAnsiTheme="minorBidi" w:cs="Arial" w:hint="cs"/>
          <w:rtl/>
        </w:rPr>
        <w:t>פרק</w:t>
      </w:r>
      <w:r w:rsidRPr="00974030">
        <w:rPr>
          <w:rFonts w:asciiTheme="minorBidi" w:hAnsiTheme="minorBidi" w:cs="Arial"/>
          <w:rtl/>
        </w:rPr>
        <w:t xml:space="preserve"> </w:t>
      </w:r>
      <w:r w:rsidRPr="00974030">
        <w:rPr>
          <w:rFonts w:asciiTheme="minorBidi" w:hAnsiTheme="minorBidi" w:cs="Arial" w:hint="cs"/>
          <w:rtl/>
        </w:rPr>
        <w:t>כ</w:t>
      </w:r>
      <w:r w:rsidRPr="00974030">
        <w:rPr>
          <w:rFonts w:asciiTheme="minorBidi" w:hAnsiTheme="minorBidi" w:cs="Arial"/>
          <w:rtl/>
        </w:rPr>
        <w:t>"</w:t>
      </w:r>
      <w:r w:rsidRPr="00974030">
        <w:rPr>
          <w:rFonts w:asciiTheme="minorBidi" w:hAnsiTheme="minorBidi" w:cs="Arial" w:hint="cs"/>
          <w:rtl/>
        </w:rPr>
        <w:t>כ</w:t>
      </w:r>
      <w:r w:rsidRPr="00974030">
        <w:rPr>
          <w:rFonts w:asciiTheme="minorBidi" w:hAnsiTheme="minorBidi" w:cs="Arial"/>
          <w:rtl/>
        </w:rPr>
        <w:t xml:space="preserve">). </w:t>
      </w:r>
    </w:p>
    <w:p w14:paraId="145D0617"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כג</w:t>
      </w:r>
    </w:p>
    <w:p w14:paraId="4FBF552E"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טלית</w:t>
      </w:r>
      <w:r w:rsidRPr="00974030">
        <w:rPr>
          <w:rFonts w:asciiTheme="minorBidi" w:hAnsiTheme="minorBidi" w:cs="Arial"/>
          <w:rtl/>
        </w:rPr>
        <w:t xml:space="preserve"> </w:t>
      </w:r>
      <w:r w:rsidRPr="00974030">
        <w:rPr>
          <w:rFonts w:asciiTheme="minorBidi" w:hAnsiTheme="minorBidi" w:cs="Arial" w:hint="cs"/>
          <w:rtl/>
        </w:rPr>
        <w:t>שאחז</w:t>
      </w:r>
      <w:r w:rsidRPr="00974030">
        <w:rPr>
          <w:rFonts w:asciiTheme="minorBidi" w:hAnsiTheme="minorBidi" w:cs="Arial"/>
          <w:rtl/>
        </w:rPr>
        <w:t xml:space="preserve"> </w:t>
      </w:r>
      <w:r w:rsidRPr="00974030">
        <w:rPr>
          <w:rFonts w:asciiTheme="minorBidi" w:hAnsiTheme="minorBidi" w:cs="Arial" w:hint="cs"/>
          <w:rtl/>
        </w:rPr>
        <w:t>בה</w:t>
      </w:r>
      <w:r w:rsidRPr="00974030">
        <w:rPr>
          <w:rFonts w:asciiTheme="minorBidi" w:hAnsiTheme="minorBidi" w:cs="Arial"/>
          <w:rtl/>
        </w:rPr>
        <w:t xml:space="preserve"> </w:t>
      </w:r>
      <w:r w:rsidRPr="00974030">
        <w:rPr>
          <w:rFonts w:asciiTheme="minorBidi" w:hAnsiTheme="minorBidi" w:cs="Arial" w:hint="cs"/>
          <w:rtl/>
        </w:rPr>
        <w:t>האור</w:t>
      </w:r>
      <w:r w:rsidRPr="00974030">
        <w:rPr>
          <w:rFonts w:asciiTheme="minorBidi" w:hAnsiTheme="minorBidi" w:cs="Arial"/>
          <w:rtl/>
        </w:rPr>
        <w:t xml:space="preserve">, </w:t>
      </w:r>
      <w:r w:rsidRPr="00974030">
        <w:rPr>
          <w:rFonts w:asciiTheme="minorBidi" w:hAnsiTheme="minorBidi" w:cs="Arial" w:hint="cs"/>
          <w:rtl/>
        </w:rPr>
        <w:t>פושטה</w:t>
      </w:r>
      <w:r w:rsidRPr="00974030">
        <w:rPr>
          <w:rFonts w:asciiTheme="minorBidi" w:hAnsiTheme="minorBidi" w:cs="Arial"/>
          <w:rtl/>
        </w:rPr>
        <w:t xml:space="preserve"> </w:t>
      </w:r>
      <w:r w:rsidRPr="00974030">
        <w:rPr>
          <w:rFonts w:asciiTheme="minorBidi" w:hAnsiTheme="minorBidi" w:cs="Arial" w:hint="cs"/>
          <w:rtl/>
        </w:rPr>
        <w:t>ומתכסה</w:t>
      </w:r>
      <w:r w:rsidRPr="00974030">
        <w:rPr>
          <w:rFonts w:asciiTheme="minorBidi" w:hAnsiTheme="minorBidi" w:cs="Arial"/>
          <w:rtl/>
        </w:rPr>
        <w:t xml:space="preserve"> </w:t>
      </w:r>
      <w:r w:rsidRPr="00974030">
        <w:rPr>
          <w:rFonts w:asciiTheme="minorBidi" w:hAnsiTheme="minorBidi" w:cs="Arial" w:hint="cs"/>
          <w:rtl/>
        </w:rPr>
        <w:t>בה</w:t>
      </w:r>
      <w:r w:rsidRPr="00974030">
        <w:rPr>
          <w:rFonts w:asciiTheme="minorBidi" w:hAnsiTheme="minorBidi" w:cs="Arial"/>
          <w:rtl/>
        </w:rPr>
        <w:t xml:space="preserve"> </w:t>
      </w:r>
      <w:r w:rsidRPr="00974030">
        <w:rPr>
          <w:rFonts w:asciiTheme="minorBidi" w:hAnsiTheme="minorBidi" w:cs="Arial" w:hint="cs"/>
          <w:rtl/>
        </w:rPr>
        <w:t>ואינו</w:t>
      </w:r>
      <w:r w:rsidRPr="00974030">
        <w:rPr>
          <w:rFonts w:asciiTheme="minorBidi" w:hAnsiTheme="minorBidi" w:cs="Arial"/>
          <w:rtl/>
        </w:rPr>
        <w:t xml:space="preserve"> </w:t>
      </w:r>
      <w:r w:rsidRPr="00974030">
        <w:rPr>
          <w:rFonts w:asciiTheme="minorBidi" w:hAnsiTheme="minorBidi" w:cs="Arial" w:hint="cs"/>
          <w:rtl/>
        </w:rPr>
        <w:t>חושש</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תכבה</w:t>
      </w:r>
      <w:r w:rsidRPr="00974030">
        <w:rPr>
          <w:rFonts w:asciiTheme="minorBidi" w:hAnsiTheme="minorBidi" w:cs="Arial"/>
          <w:rtl/>
        </w:rPr>
        <w:t xml:space="preserve">; </w:t>
      </w:r>
      <w:r w:rsidRPr="00974030">
        <w:rPr>
          <w:rFonts w:asciiTheme="minorBidi" w:hAnsiTheme="minorBidi" w:cs="Arial" w:hint="cs"/>
          <w:rtl/>
        </w:rPr>
        <w:t>ויש</w:t>
      </w:r>
      <w:r w:rsidRPr="00974030">
        <w:rPr>
          <w:rFonts w:asciiTheme="minorBidi" w:hAnsiTheme="minorBidi" w:cs="Arial"/>
          <w:rtl/>
        </w:rPr>
        <w:t xml:space="preserve"> </w:t>
      </w:r>
      <w:r w:rsidRPr="00974030">
        <w:rPr>
          <w:rFonts w:asciiTheme="minorBidi" w:hAnsiTheme="minorBidi" w:cs="Arial" w:hint="cs"/>
          <w:rtl/>
        </w:rPr>
        <w:t>מי</w:t>
      </w:r>
      <w:r w:rsidRPr="00974030">
        <w:rPr>
          <w:rFonts w:asciiTheme="minorBidi" w:hAnsiTheme="minorBidi" w:cs="Arial"/>
          <w:rtl/>
        </w:rPr>
        <w:t xml:space="preserve"> </w:t>
      </w:r>
      <w:r w:rsidRPr="00974030">
        <w:rPr>
          <w:rFonts w:asciiTheme="minorBidi" w:hAnsiTheme="minorBidi" w:cs="Arial" w:hint="cs"/>
          <w:rtl/>
        </w:rPr>
        <w:t>שאומר</w:t>
      </w:r>
      <w:r w:rsidRPr="00974030">
        <w:rPr>
          <w:rFonts w:asciiTheme="minorBidi" w:hAnsiTheme="minorBidi" w:cs="Arial"/>
          <w:rtl/>
        </w:rPr>
        <w:t xml:space="preserve"> </w:t>
      </w:r>
      <w:r w:rsidRPr="00974030">
        <w:rPr>
          <w:rFonts w:asciiTheme="minorBidi" w:hAnsiTheme="minorBidi" w:cs="Arial" w:hint="cs"/>
          <w:rtl/>
        </w:rPr>
        <w:t>שצריך</w:t>
      </w:r>
      <w:r w:rsidRPr="00974030">
        <w:rPr>
          <w:rFonts w:asciiTheme="minorBidi" w:hAnsiTheme="minorBidi" w:cs="Arial"/>
          <w:rtl/>
        </w:rPr>
        <w:t xml:space="preserve"> </w:t>
      </w:r>
      <w:r w:rsidRPr="00974030">
        <w:rPr>
          <w:rFonts w:asciiTheme="minorBidi" w:hAnsiTheme="minorBidi" w:cs="Arial" w:hint="cs"/>
          <w:rtl/>
        </w:rPr>
        <w:t>שלא</w:t>
      </w:r>
      <w:r w:rsidRPr="00974030">
        <w:rPr>
          <w:rFonts w:asciiTheme="minorBidi" w:hAnsiTheme="minorBidi" w:cs="Arial"/>
          <w:rtl/>
        </w:rPr>
        <w:t xml:space="preserve"> </w:t>
      </w:r>
      <w:r w:rsidRPr="00974030">
        <w:rPr>
          <w:rFonts w:asciiTheme="minorBidi" w:hAnsiTheme="minorBidi" w:cs="Arial" w:hint="cs"/>
          <w:rtl/>
        </w:rPr>
        <w:t>יתכוין</w:t>
      </w:r>
      <w:r w:rsidRPr="00974030">
        <w:rPr>
          <w:rFonts w:asciiTheme="minorBidi" w:hAnsiTheme="minorBidi" w:cs="Arial"/>
          <w:rtl/>
        </w:rPr>
        <w:t xml:space="preserve"> </w:t>
      </w:r>
      <w:r w:rsidRPr="00974030">
        <w:rPr>
          <w:rFonts w:asciiTheme="minorBidi" w:hAnsiTheme="minorBidi" w:cs="Arial" w:hint="cs"/>
          <w:rtl/>
        </w:rPr>
        <w:t>לכך</w:t>
      </w:r>
      <w:r w:rsidRPr="00974030">
        <w:rPr>
          <w:rFonts w:asciiTheme="minorBidi" w:hAnsiTheme="minorBidi" w:cs="Arial"/>
          <w:rtl/>
        </w:rPr>
        <w:t xml:space="preserve">. </w:t>
      </w:r>
      <w:r w:rsidRPr="00974030">
        <w:rPr>
          <w:rFonts w:asciiTheme="minorBidi" w:hAnsiTheme="minorBidi" w:cs="Arial" w:hint="cs"/>
          <w:rtl/>
        </w:rPr>
        <w:t>הגה</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לכפות</w:t>
      </w:r>
      <w:r w:rsidRPr="00974030">
        <w:rPr>
          <w:rFonts w:asciiTheme="minorBidi" w:hAnsiTheme="minorBidi" w:cs="Arial"/>
          <w:rtl/>
        </w:rPr>
        <w:t xml:space="preserve"> </w:t>
      </w:r>
      <w:r w:rsidRPr="00974030">
        <w:rPr>
          <w:rFonts w:asciiTheme="minorBidi" w:hAnsiTheme="minorBidi" w:cs="Arial" w:hint="cs"/>
          <w:rtl/>
        </w:rPr>
        <w:t>קערה</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הנר</w:t>
      </w:r>
      <w:r w:rsidRPr="00974030">
        <w:rPr>
          <w:rFonts w:asciiTheme="minorBidi" w:hAnsiTheme="minorBidi" w:cs="Arial"/>
          <w:rtl/>
        </w:rPr>
        <w:t xml:space="preserve"> </w:t>
      </w:r>
      <w:r w:rsidRPr="00974030">
        <w:rPr>
          <w:rFonts w:asciiTheme="minorBidi" w:hAnsiTheme="minorBidi" w:cs="Arial" w:hint="cs"/>
          <w:rtl/>
        </w:rPr>
        <w:t>שלא</w:t>
      </w:r>
      <w:r w:rsidRPr="00974030">
        <w:rPr>
          <w:rFonts w:asciiTheme="minorBidi" w:hAnsiTheme="minorBidi" w:cs="Arial"/>
          <w:rtl/>
        </w:rPr>
        <w:t xml:space="preserve"> </w:t>
      </w:r>
      <w:r w:rsidRPr="00974030">
        <w:rPr>
          <w:rFonts w:asciiTheme="minorBidi" w:hAnsiTheme="minorBidi" w:cs="Arial" w:hint="cs"/>
          <w:rtl/>
        </w:rPr>
        <w:t>תאחוז</w:t>
      </w:r>
      <w:r w:rsidRPr="00974030">
        <w:rPr>
          <w:rFonts w:asciiTheme="minorBidi" w:hAnsiTheme="minorBidi" w:cs="Arial"/>
          <w:rtl/>
        </w:rPr>
        <w:t xml:space="preserve"> </w:t>
      </w:r>
      <w:r w:rsidRPr="00974030">
        <w:rPr>
          <w:rFonts w:asciiTheme="minorBidi" w:hAnsiTheme="minorBidi" w:cs="Arial" w:hint="cs"/>
          <w:rtl/>
        </w:rPr>
        <w:t>בקורה</w:t>
      </w:r>
      <w:r w:rsidRPr="00974030">
        <w:rPr>
          <w:rFonts w:asciiTheme="minorBidi" w:hAnsiTheme="minorBidi" w:cs="Arial"/>
          <w:rtl/>
        </w:rPr>
        <w:t xml:space="preserve"> (</w:t>
      </w:r>
      <w:r w:rsidRPr="00974030">
        <w:rPr>
          <w:rFonts w:asciiTheme="minorBidi" w:hAnsiTheme="minorBidi" w:cs="Arial" w:hint="cs"/>
          <w:rtl/>
        </w:rPr>
        <w:t>טור</w:t>
      </w:r>
      <w:r w:rsidRPr="00974030">
        <w:rPr>
          <w:rFonts w:asciiTheme="minorBidi" w:hAnsiTheme="minorBidi" w:cs="Arial"/>
          <w:rtl/>
        </w:rPr>
        <w:t xml:space="preserve"> </w:t>
      </w:r>
      <w:r w:rsidRPr="00974030">
        <w:rPr>
          <w:rFonts w:asciiTheme="minorBidi" w:hAnsiTheme="minorBidi" w:cs="Arial" w:hint="cs"/>
          <w:rtl/>
        </w:rPr>
        <w:t>ועיין</w:t>
      </w:r>
      <w:r w:rsidRPr="00974030">
        <w:rPr>
          <w:rFonts w:asciiTheme="minorBidi" w:hAnsiTheme="minorBidi" w:cs="Arial"/>
          <w:rtl/>
        </w:rPr>
        <w:t xml:space="preserve"> </w:t>
      </w:r>
      <w:r w:rsidRPr="00974030">
        <w:rPr>
          <w:rFonts w:asciiTheme="minorBidi" w:hAnsiTheme="minorBidi" w:cs="Arial" w:hint="cs"/>
          <w:rtl/>
        </w:rPr>
        <w:t>לעיל</w:t>
      </w:r>
      <w:r w:rsidRPr="00974030">
        <w:rPr>
          <w:rFonts w:asciiTheme="minorBidi" w:hAnsiTheme="minorBidi" w:cs="Arial"/>
          <w:rtl/>
        </w:rPr>
        <w:t xml:space="preserve"> </w:t>
      </w:r>
      <w:r w:rsidRPr="00974030">
        <w:rPr>
          <w:rFonts w:asciiTheme="minorBidi" w:hAnsiTheme="minorBidi" w:cs="Arial" w:hint="cs"/>
          <w:rtl/>
        </w:rPr>
        <w:t>סי</w:t>
      </w:r>
      <w:r w:rsidRPr="00974030">
        <w:rPr>
          <w:rFonts w:asciiTheme="minorBidi" w:hAnsiTheme="minorBidi" w:cs="Arial"/>
          <w:rtl/>
        </w:rPr>
        <w:t xml:space="preserve">' </w:t>
      </w:r>
      <w:r w:rsidRPr="00974030">
        <w:rPr>
          <w:rFonts w:asciiTheme="minorBidi" w:hAnsiTheme="minorBidi" w:cs="Arial" w:hint="cs"/>
          <w:rtl/>
        </w:rPr>
        <w:t>רע</w:t>
      </w:r>
      <w:r w:rsidRPr="00974030">
        <w:rPr>
          <w:rFonts w:asciiTheme="minorBidi" w:hAnsiTheme="minorBidi" w:cs="Arial"/>
          <w:rtl/>
        </w:rPr>
        <w:t>"</w:t>
      </w:r>
      <w:r w:rsidRPr="00974030">
        <w:rPr>
          <w:rFonts w:asciiTheme="minorBidi" w:hAnsiTheme="minorBidi" w:cs="Arial" w:hint="cs"/>
          <w:rtl/>
        </w:rPr>
        <w:t>ז</w:t>
      </w:r>
      <w:r w:rsidRPr="00974030">
        <w:rPr>
          <w:rFonts w:asciiTheme="minorBidi" w:hAnsiTheme="minorBidi" w:cs="Arial"/>
          <w:rtl/>
        </w:rPr>
        <w:t xml:space="preserve"> </w:t>
      </w:r>
      <w:r w:rsidRPr="00974030">
        <w:rPr>
          <w:rFonts w:asciiTheme="minorBidi" w:hAnsiTheme="minorBidi" w:cs="Arial" w:hint="cs"/>
          <w:rtl/>
        </w:rPr>
        <w:t>סעיף</w:t>
      </w:r>
      <w:r w:rsidRPr="00974030">
        <w:rPr>
          <w:rFonts w:asciiTheme="minorBidi" w:hAnsiTheme="minorBidi" w:cs="Arial"/>
          <w:rtl/>
        </w:rPr>
        <w:t xml:space="preserve"> </w:t>
      </w:r>
      <w:r w:rsidRPr="00974030">
        <w:rPr>
          <w:rFonts w:asciiTheme="minorBidi" w:hAnsiTheme="minorBidi" w:cs="Arial" w:hint="cs"/>
          <w:rtl/>
        </w:rPr>
        <w:t>ה</w:t>
      </w:r>
      <w:r w:rsidRPr="00974030">
        <w:rPr>
          <w:rFonts w:asciiTheme="minorBidi" w:hAnsiTheme="minorBidi" w:cs="Arial"/>
          <w:rtl/>
        </w:rPr>
        <w:t xml:space="preserve">'). </w:t>
      </w:r>
    </w:p>
    <w:p w14:paraId="7A33A1B8"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כד</w:t>
      </w:r>
    </w:p>
    <w:p w14:paraId="29D01225"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יש</w:t>
      </w:r>
      <w:r w:rsidRPr="00974030">
        <w:rPr>
          <w:rFonts w:asciiTheme="minorBidi" w:hAnsiTheme="minorBidi" w:cs="Arial"/>
          <w:rtl/>
        </w:rPr>
        <w:t xml:space="preserve"> </w:t>
      </w:r>
      <w:r w:rsidRPr="00974030">
        <w:rPr>
          <w:rFonts w:asciiTheme="minorBidi" w:hAnsiTheme="minorBidi" w:cs="Arial" w:hint="cs"/>
          <w:rtl/>
        </w:rPr>
        <w:t>אומרים</w:t>
      </w:r>
      <w:r w:rsidRPr="00974030">
        <w:rPr>
          <w:rFonts w:asciiTheme="minorBidi" w:hAnsiTheme="minorBidi" w:cs="Arial"/>
          <w:rtl/>
        </w:rPr>
        <w:t xml:space="preserve"> </w:t>
      </w:r>
      <w:r w:rsidRPr="00974030">
        <w:rPr>
          <w:rFonts w:asciiTheme="minorBidi" w:hAnsiTheme="minorBidi" w:cs="Arial" w:hint="cs"/>
          <w:rtl/>
        </w:rPr>
        <w:t>שאין</w:t>
      </w:r>
      <w:r w:rsidRPr="00974030">
        <w:rPr>
          <w:rFonts w:asciiTheme="minorBidi" w:hAnsiTheme="minorBidi" w:cs="Arial"/>
          <w:rtl/>
        </w:rPr>
        <w:t xml:space="preserve"> </w:t>
      </w:r>
      <w:r w:rsidRPr="00974030">
        <w:rPr>
          <w:rFonts w:asciiTheme="minorBidi" w:hAnsiTheme="minorBidi" w:cs="Arial" w:hint="cs"/>
          <w:rtl/>
        </w:rPr>
        <w:t>יכול</w:t>
      </w:r>
      <w:r w:rsidRPr="00974030">
        <w:rPr>
          <w:rFonts w:asciiTheme="minorBidi" w:hAnsiTheme="minorBidi" w:cs="Arial"/>
          <w:rtl/>
        </w:rPr>
        <w:t xml:space="preserve"> </w:t>
      </w:r>
      <w:r w:rsidRPr="00974030">
        <w:rPr>
          <w:rFonts w:asciiTheme="minorBidi" w:hAnsiTheme="minorBidi" w:cs="Arial" w:hint="cs"/>
          <w:rtl/>
        </w:rPr>
        <w:t>ליתן</w:t>
      </w:r>
      <w:r w:rsidRPr="00974030">
        <w:rPr>
          <w:rFonts w:asciiTheme="minorBidi" w:hAnsiTheme="minorBidi" w:cs="Arial"/>
          <w:rtl/>
        </w:rPr>
        <w:t xml:space="preserve"> </w:t>
      </w:r>
      <w:r w:rsidRPr="00974030">
        <w:rPr>
          <w:rFonts w:asciiTheme="minorBidi" w:hAnsiTheme="minorBidi" w:cs="Arial" w:hint="cs"/>
          <w:rtl/>
        </w:rPr>
        <w:t>עליו</w:t>
      </w:r>
      <w:r w:rsidRPr="00974030">
        <w:rPr>
          <w:rFonts w:asciiTheme="minorBidi" w:hAnsiTheme="minorBidi" w:cs="Arial"/>
          <w:rtl/>
        </w:rPr>
        <w:t xml:space="preserve"> </w:t>
      </w:r>
      <w:r w:rsidRPr="00974030">
        <w:rPr>
          <w:rFonts w:asciiTheme="minorBidi" w:hAnsiTheme="minorBidi" w:cs="Arial" w:hint="cs"/>
          <w:rtl/>
        </w:rPr>
        <w:t>משקין</w:t>
      </w:r>
      <w:r w:rsidRPr="00974030">
        <w:rPr>
          <w:rFonts w:asciiTheme="minorBidi" w:hAnsiTheme="minorBidi" w:cs="Arial"/>
          <w:rtl/>
        </w:rPr>
        <w:t xml:space="preserve"> </w:t>
      </w:r>
      <w:r w:rsidRPr="00974030">
        <w:rPr>
          <w:rFonts w:asciiTheme="minorBidi" w:hAnsiTheme="minorBidi" w:cs="Arial" w:hint="cs"/>
          <w:rtl/>
        </w:rPr>
        <w:t>כדי</w:t>
      </w:r>
      <w:r w:rsidRPr="00974030">
        <w:rPr>
          <w:rFonts w:asciiTheme="minorBidi" w:hAnsiTheme="minorBidi" w:cs="Arial"/>
          <w:rtl/>
        </w:rPr>
        <w:t xml:space="preserve"> </w:t>
      </w:r>
      <w:r w:rsidRPr="00974030">
        <w:rPr>
          <w:rFonts w:asciiTheme="minorBidi" w:hAnsiTheme="minorBidi" w:cs="Arial" w:hint="cs"/>
          <w:rtl/>
        </w:rPr>
        <w:t>שיכבה</w:t>
      </w:r>
      <w:r w:rsidRPr="00974030">
        <w:rPr>
          <w:rFonts w:asciiTheme="minorBidi" w:hAnsiTheme="minorBidi" w:cs="Arial"/>
          <w:rtl/>
        </w:rPr>
        <w:t xml:space="preserve"> </w:t>
      </w:r>
      <w:r w:rsidRPr="00974030">
        <w:rPr>
          <w:rFonts w:asciiTheme="minorBidi" w:hAnsiTheme="minorBidi" w:cs="Arial" w:hint="cs"/>
          <w:rtl/>
        </w:rPr>
        <w:t>כשיגיע</w:t>
      </w:r>
      <w:r w:rsidRPr="00974030">
        <w:rPr>
          <w:rFonts w:asciiTheme="minorBidi" w:hAnsiTheme="minorBidi" w:cs="Arial"/>
          <w:rtl/>
        </w:rPr>
        <w:t xml:space="preserve"> </w:t>
      </w:r>
      <w:r w:rsidRPr="00974030">
        <w:rPr>
          <w:rFonts w:asciiTheme="minorBidi" w:hAnsiTheme="minorBidi" w:cs="Arial" w:hint="cs"/>
          <w:rtl/>
        </w:rPr>
        <w:t>להם</w:t>
      </w:r>
      <w:r w:rsidRPr="00974030">
        <w:rPr>
          <w:rFonts w:asciiTheme="minorBidi" w:hAnsiTheme="minorBidi" w:cs="Arial"/>
          <w:rtl/>
        </w:rPr>
        <w:t xml:space="preserve">; </w:t>
      </w:r>
      <w:r w:rsidRPr="00974030">
        <w:rPr>
          <w:rFonts w:asciiTheme="minorBidi" w:hAnsiTheme="minorBidi" w:cs="Arial" w:hint="cs"/>
          <w:rtl/>
        </w:rPr>
        <w:t>ויש</w:t>
      </w:r>
      <w:r w:rsidRPr="00974030">
        <w:rPr>
          <w:rFonts w:asciiTheme="minorBidi" w:hAnsiTheme="minorBidi" w:cs="Arial"/>
          <w:rtl/>
        </w:rPr>
        <w:t xml:space="preserve"> </w:t>
      </w:r>
      <w:r w:rsidRPr="00974030">
        <w:rPr>
          <w:rFonts w:asciiTheme="minorBidi" w:hAnsiTheme="minorBidi" w:cs="Arial" w:hint="cs"/>
          <w:rtl/>
        </w:rPr>
        <w:t>אומרים</w:t>
      </w:r>
      <w:r w:rsidRPr="00974030">
        <w:rPr>
          <w:rFonts w:asciiTheme="minorBidi" w:hAnsiTheme="minorBidi" w:cs="Arial"/>
          <w:rtl/>
        </w:rPr>
        <w:t xml:space="preserve"> </w:t>
      </w:r>
      <w:r w:rsidRPr="00974030">
        <w:rPr>
          <w:rFonts w:asciiTheme="minorBidi" w:hAnsiTheme="minorBidi" w:cs="Arial" w:hint="cs"/>
          <w:rtl/>
        </w:rPr>
        <w:t>שמותר</w:t>
      </w:r>
      <w:r w:rsidRPr="00974030">
        <w:rPr>
          <w:rFonts w:asciiTheme="minorBidi" w:hAnsiTheme="minorBidi" w:cs="Arial"/>
          <w:rtl/>
        </w:rPr>
        <w:t xml:space="preserve"> </w:t>
      </w:r>
      <w:r w:rsidRPr="00974030">
        <w:rPr>
          <w:rFonts w:asciiTheme="minorBidi" w:hAnsiTheme="minorBidi" w:cs="Arial" w:hint="cs"/>
          <w:rtl/>
        </w:rPr>
        <w:t>לעשות</w:t>
      </w:r>
      <w:r w:rsidRPr="00974030">
        <w:rPr>
          <w:rFonts w:asciiTheme="minorBidi" w:hAnsiTheme="minorBidi" w:cs="Arial"/>
          <w:rtl/>
        </w:rPr>
        <w:t xml:space="preserve"> </w:t>
      </w:r>
      <w:r w:rsidRPr="00974030">
        <w:rPr>
          <w:rFonts w:asciiTheme="minorBidi" w:hAnsiTheme="minorBidi" w:cs="Arial" w:hint="cs"/>
          <w:rtl/>
        </w:rPr>
        <w:t>כן</w:t>
      </w:r>
      <w:r w:rsidRPr="00974030">
        <w:rPr>
          <w:rFonts w:asciiTheme="minorBidi" w:hAnsiTheme="minorBidi" w:cs="Arial"/>
          <w:rtl/>
        </w:rPr>
        <w:t xml:space="preserve"> </w:t>
      </w:r>
      <w:r w:rsidRPr="00974030">
        <w:rPr>
          <w:rFonts w:asciiTheme="minorBidi" w:hAnsiTheme="minorBidi" w:cs="Arial" w:hint="cs"/>
          <w:rtl/>
        </w:rPr>
        <w:t>בשאר</w:t>
      </w:r>
      <w:r w:rsidRPr="00974030">
        <w:rPr>
          <w:rFonts w:asciiTheme="minorBidi" w:hAnsiTheme="minorBidi" w:cs="Arial"/>
          <w:rtl/>
        </w:rPr>
        <w:t xml:space="preserve"> </w:t>
      </w:r>
      <w:r w:rsidRPr="00974030">
        <w:rPr>
          <w:rFonts w:asciiTheme="minorBidi" w:hAnsiTheme="minorBidi" w:cs="Arial" w:hint="cs"/>
          <w:rtl/>
        </w:rPr>
        <w:t>משקים</w:t>
      </w:r>
      <w:r w:rsidRPr="00974030">
        <w:rPr>
          <w:rFonts w:asciiTheme="minorBidi" w:hAnsiTheme="minorBidi" w:cs="Arial"/>
          <w:rtl/>
        </w:rPr>
        <w:t xml:space="preserve">, </w:t>
      </w:r>
      <w:r w:rsidRPr="00974030">
        <w:rPr>
          <w:rFonts w:asciiTheme="minorBidi" w:hAnsiTheme="minorBidi" w:cs="Arial" w:hint="cs"/>
          <w:rtl/>
        </w:rPr>
        <w:t>חוץ</w:t>
      </w:r>
      <w:r w:rsidRPr="00974030">
        <w:rPr>
          <w:rFonts w:asciiTheme="minorBidi" w:hAnsiTheme="minorBidi" w:cs="Arial"/>
          <w:rtl/>
        </w:rPr>
        <w:t xml:space="preserve"> </w:t>
      </w:r>
      <w:r w:rsidRPr="00974030">
        <w:rPr>
          <w:rFonts w:asciiTheme="minorBidi" w:hAnsiTheme="minorBidi" w:cs="Arial" w:hint="cs"/>
          <w:rtl/>
        </w:rPr>
        <w:t>מן</w:t>
      </w:r>
      <w:r w:rsidRPr="00974030">
        <w:rPr>
          <w:rFonts w:asciiTheme="minorBidi" w:hAnsiTheme="minorBidi" w:cs="Arial"/>
          <w:rtl/>
        </w:rPr>
        <w:t xml:space="preserve"> </w:t>
      </w:r>
      <w:r w:rsidRPr="00974030">
        <w:rPr>
          <w:rFonts w:asciiTheme="minorBidi" w:hAnsiTheme="minorBidi" w:cs="Arial" w:hint="cs"/>
          <w:rtl/>
        </w:rPr>
        <w:t>המים</w:t>
      </w:r>
      <w:r w:rsidRPr="00974030">
        <w:rPr>
          <w:rFonts w:asciiTheme="minorBidi" w:hAnsiTheme="minorBidi" w:cs="Arial"/>
          <w:rtl/>
        </w:rPr>
        <w:t xml:space="preserve">, </w:t>
      </w:r>
      <w:r w:rsidRPr="00974030">
        <w:rPr>
          <w:rFonts w:asciiTheme="minorBidi" w:hAnsiTheme="minorBidi" w:cs="Arial" w:hint="cs"/>
          <w:rtl/>
        </w:rPr>
        <w:t>משום</w:t>
      </w:r>
      <w:r w:rsidRPr="00974030">
        <w:rPr>
          <w:rFonts w:asciiTheme="minorBidi" w:hAnsiTheme="minorBidi" w:cs="Arial"/>
          <w:rtl/>
        </w:rPr>
        <w:t xml:space="preserve"> </w:t>
      </w:r>
      <w:r w:rsidRPr="00974030">
        <w:rPr>
          <w:rFonts w:asciiTheme="minorBidi" w:hAnsiTheme="minorBidi" w:cs="Arial" w:hint="cs"/>
          <w:rtl/>
        </w:rPr>
        <w:t>כיבוס</w:t>
      </w:r>
      <w:r w:rsidRPr="00974030">
        <w:rPr>
          <w:rFonts w:asciiTheme="minorBidi" w:hAnsiTheme="minorBidi" w:cs="Arial"/>
          <w:rtl/>
        </w:rPr>
        <w:t xml:space="preserve">; </w:t>
      </w:r>
      <w:r w:rsidRPr="00974030">
        <w:rPr>
          <w:rFonts w:asciiTheme="minorBidi" w:hAnsiTheme="minorBidi" w:cs="Arial" w:hint="cs"/>
          <w:rtl/>
        </w:rPr>
        <w:t>ויש</w:t>
      </w:r>
      <w:r w:rsidRPr="00974030">
        <w:rPr>
          <w:rFonts w:asciiTheme="minorBidi" w:hAnsiTheme="minorBidi" w:cs="Arial"/>
          <w:rtl/>
        </w:rPr>
        <w:t xml:space="preserve"> </w:t>
      </w:r>
      <w:r w:rsidRPr="00974030">
        <w:rPr>
          <w:rFonts w:asciiTheme="minorBidi" w:hAnsiTheme="minorBidi" w:cs="Arial" w:hint="cs"/>
          <w:rtl/>
        </w:rPr>
        <w:t>מתירים</w:t>
      </w:r>
      <w:r w:rsidRPr="00974030">
        <w:rPr>
          <w:rFonts w:asciiTheme="minorBidi" w:hAnsiTheme="minorBidi" w:cs="Arial"/>
          <w:rtl/>
        </w:rPr>
        <w:t xml:space="preserve"> </w:t>
      </w:r>
      <w:r w:rsidRPr="00974030">
        <w:rPr>
          <w:rFonts w:asciiTheme="minorBidi" w:hAnsiTheme="minorBidi" w:cs="Arial" w:hint="cs"/>
          <w:rtl/>
        </w:rPr>
        <w:t>אפילו</w:t>
      </w:r>
      <w:r w:rsidRPr="00974030">
        <w:rPr>
          <w:rFonts w:asciiTheme="minorBidi" w:hAnsiTheme="minorBidi" w:cs="Arial"/>
          <w:rtl/>
        </w:rPr>
        <w:t xml:space="preserve"> </w:t>
      </w:r>
      <w:r w:rsidRPr="00974030">
        <w:rPr>
          <w:rFonts w:asciiTheme="minorBidi" w:hAnsiTheme="minorBidi" w:cs="Arial" w:hint="cs"/>
          <w:rtl/>
        </w:rPr>
        <w:t>במים</w:t>
      </w:r>
      <w:r w:rsidRPr="00974030">
        <w:rPr>
          <w:rFonts w:asciiTheme="minorBidi" w:hAnsiTheme="minorBidi" w:cs="Arial"/>
          <w:rtl/>
        </w:rPr>
        <w:t xml:space="preserve">. </w:t>
      </w:r>
      <w:r w:rsidRPr="00974030">
        <w:rPr>
          <w:rFonts w:asciiTheme="minorBidi" w:hAnsiTheme="minorBidi" w:cs="Arial" w:hint="cs"/>
          <w:rtl/>
        </w:rPr>
        <w:t>ודברי</w:t>
      </w:r>
      <w:r w:rsidRPr="00974030">
        <w:rPr>
          <w:rFonts w:asciiTheme="minorBidi" w:hAnsiTheme="minorBidi" w:cs="Arial"/>
          <w:rtl/>
        </w:rPr>
        <w:t xml:space="preserve"> </w:t>
      </w:r>
      <w:r w:rsidRPr="00974030">
        <w:rPr>
          <w:rFonts w:asciiTheme="minorBidi" w:hAnsiTheme="minorBidi" w:cs="Arial" w:hint="cs"/>
          <w:rtl/>
        </w:rPr>
        <w:t>סברא</w:t>
      </w:r>
      <w:r w:rsidRPr="00974030">
        <w:rPr>
          <w:rFonts w:asciiTheme="minorBidi" w:hAnsiTheme="minorBidi" w:cs="Arial"/>
          <w:rtl/>
        </w:rPr>
        <w:t xml:space="preserve"> </w:t>
      </w:r>
      <w:r w:rsidRPr="00974030">
        <w:rPr>
          <w:rFonts w:asciiTheme="minorBidi" w:hAnsiTheme="minorBidi" w:cs="Arial" w:hint="cs"/>
          <w:rtl/>
        </w:rPr>
        <w:t>שנית</w:t>
      </w:r>
      <w:r w:rsidRPr="00974030">
        <w:rPr>
          <w:rFonts w:asciiTheme="minorBidi" w:hAnsiTheme="minorBidi" w:cs="Arial"/>
          <w:rtl/>
        </w:rPr>
        <w:t xml:space="preserve"> </w:t>
      </w:r>
      <w:r w:rsidRPr="00974030">
        <w:rPr>
          <w:rFonts w:asciiTheme="minorBidi" w:hAnsiTheme="minorBidi" w:cs="Arial" w:hint="cs"/>
          <w:rtl/>
        </w:rPr>
        <w:t>נראים</w:t>
      </w:r>
      <w:r w:rsidRPr="00974030">
        <w:rPr>
          <w:rFonts w:asciiTheme="minorBidi" w:hAnsiTheme="minorBidi" w:cs="Arial"/>
          <w:rtl/>
        </w:rPr>
        <w:t xml:space="preserve">: </w:t>
      </w:r>
    </w:p>
    <w:p w14:paraId="2E54EA7D"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כה</w:t>
      </w:r>
    </w:p>
    <w:p w14:paraId="0AB4771C" w14:textId="77777777" w:rsidR="006A4BF8" w:rsidRPr="00974030" w:rsidRDefault="006A4BF8" w:rsidP="00434A6A">
      <w:pPr>
        <w:tabs>
          <w:tab w:val="left" w:pos="2788"/>
        </w:tabs>
        <w:rPr>
          <w:rFonts w:asciiTheme="minorBidi" w:hAnsiTheme="minorBidi"/>
          <w:rtl/>
        </w:rPr>
      </w:pPr>
      <w:r>
        <w:rPr>
          <w:rFonts w:asciiTheme="minorBidi" w:hAnsiTheme="minorBidi" w:cs="Arial" w:hint="cs"/>
          <w:rtl/>
        </w:rPr>
        <w:t>גוי</w:t>
      </w:r>
      <w:r w:rsidRPr="00974030">
        <w:rPr>
          <w:rFonts w:asciiTheme="minorBidi" w:hAnsiTheme="minorBidi" w:cs="Arial"/>
          <w:rtl/>
        </w:rPr>
        <w:t xml:space="preserve"> </w:t>
      </w:r>
      <w:r w:rsidRPr="00974030">
        <w:rPr>
          <w:rFonts w:asciiTheme="minorBidi" w:hAnsiTheme="minorBidi" w:cs="Arial" w:hint="cs"/>
          <w:rtl/>
        </w:rPr>
        <w:t>שבא</w:t>
      </w:r>
      <w:r w:rsidRPr="00974030">
        <w:rPr>
          <w:rFonts w:asciiTheme="minorBidi" w:hAnsiTheme="minorBidi" w:cs="Arial"/>
          <w:rtl/>
        </w:rPr>
        <w:t xml:space="preserve"> </w:t>
      </w:r>
      <w:r w:rsidRPr="00974030">
        <w:rPr>
          <w:rFonts w:asciiTheme="minorBidi" w:hAnsiTheme="minorBidi" w:cs="Arial" w:hint="cs"/>
          <w:rtl/>
        </w:rPr>
        <w:t>לכבות</w:t>
      </w:r>
      <w:r w:rsidRPr="00974030">
        <w:rPr>
          <w:rFonts w:asciiTheme="minorBidi" w:hAnsiTheme="minorBidi" w:cs="Arial"/>
          <w:rtl/>
        </w:rPr>
        <w:t xml:space="preserve"> </w:t>
      </w:r>
      <w:r w:rsidRPr="00974030">
        <w:rPr>
          <w:rFonts w:asciiTheme="minorBidi" w:hAnsiTheme="minorBidi" w:cs="Arial" w:hint="cs"/>
          <w:rtl/>
        </w:rPr>
        <w:t>אין</w:t>
      </w:r>
      <w:r w:rsidRPr="00974030">
        <w:rPr>
          <w:rFonts w:asciiTheme="minorBidi" w:hAnsiTheme="minorBidi" w:cs="Arial"/>
          <w:rtl/>
        </w:rPr>
        <w:t xml:space="preserve"> </w:t>
      </w:r>
      <w:r w:rsidRPr="00974030">
        <w:rPr>
          <w:rFonts w:asciiTheme="minorBidi" w:hAnsiTheme="minorBidi" w:cs="Arial" w:hint="cs"/>
          <w:rtl/>
        </w:rPr>
        <w:t>צריך</w:t>
      </w:r>
      <w:r w:rsidRPr="00974030">
        <w:rPr>
          <w:rFonts w:asciiTheme="minorBidi" w:hAnsiTheme="minorBidi" w:cs="Arial"/>
          <w:rtl/>
        </w:rPr>
        <w:t xml:space="preserve"> </w:t>
      </w:r>
      <w:r w:rsidRPr="00974030">
        <w:rPr>
          <w:rFonts w:asciiTheme="minorBidi" w:hAnsiTheme="minorBidi" w:cs="Arial" w:hint="cs"/>
          <w:rtl/>
        </w:rPr>
        <w:t>למחות</w:t>
      </w:r>
      <w:r w:rsidRPr="00974030">
        <w:rPr>
          <w:rFonts w:asciiTheme="minorBidi" w:hAnsiTheme="minorBidi" w:cs="Arial"/>
          <w:rtl/>
        </w:rPr>
        <w:t xml:space="preserve"> </w:t>
      </w:r>
      <w:r w:rsidRPr="00974030">
        <w:rPr>
          <w:rFonts w:asciiTheme="minorBidi" w:hAnsiTheme="minorBidi" w:cs="Arial" w:hint="cs"/>
          <w:rtl/>
        </w:rPr>
        <w:t>בידו</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קטן</w:t>
      </w:r>
      <w:r w:rsidRPr="00974030">
        <w:rPr>
          <w:rFonts w:asciiTheme="minorBidi" w:hAnsiTheme="minorBidi" w:cs="Arial"/>
          <w:rtl/>
        </w:rPr>
        <w:t xml:space="preserve"> </w:t>
      </w:r>
      <w:r w:rsidRPr="00974030">
        <w:rPr>
          <w:rFonts w:asciiTheme="minorBidi" w:hAnsiTheme="minorBidi" w:cs="Arial" w:hint="cs"/>
          <w:rtl/>
        </w:rPr>
        <w:t>שבא</w:t>
      </w:r>
      <w:r w:rsidRPr="00974030">
        <w:rPr>
          <w:rFonts w:asciiTheme="minorBidi" w:hAnsiTheme="minorBidi" w:cs="Arial"/>
          <w:rtl/>
        </w:rPr>
        <w:t xml:space="preserve"> </w:t>
      </w:r>
      <w:r w:rsidRPr="00974030">
        <w:rPr>
          <w:rFonts w:asciiTheme="minorBidi" w:hAnsiTheme="minorBidi" w:cs="Arial" w:hint="cs"/>
          <w:rtl/>
        </w:rPr>
        <w:t>לכבות</w:t>
      </w:r>
      <w:r w:rsidRPr="00974030">
        <w:rPr>
          <w:rFonts w:asciiTheme="minorBidi" w:hAnsiTheme="minorBidi" w:cs="Arial"/>
          <w:rtl/>
        </w:rPr>
        <w:t xml:space="preserve"> </w:t>
      </w:r>
      <w:r w:rsidRPr="00974030">
        <w:rPr>
          <w:rFonts w:asciiTheme="minorBidi" w:hAnsiTheme="minorBidi" w:cs="Arial" w:hint="cs"/>
          <w:rtl/>
        </w:rPr>
        <w:t>צריך</w:t>
      </w:r>
      <w:r w:rsidRPr="00974030">
        <w:rPr>
          <w:rFonts w:asciiTheme="minorBidi" w:hAnsiTheme="minorBidi" w:cs="Arial"/>
          <w:rtl/>
        </w:rPr>
        <w:t xml:space="preserve"> </w:t>
      </w:r>
      <w:r w:rsidRPr="00974030">
        <w:rPr>
          <w:rFonts w:asciiTheme="minorBidi" w:hAnsiTheme="minorBidi" w:cs="Arial" w:hint="cs"/>
          <w:rtl/>
        </w:rPr>
        <w:t>למחות</w:t>
      </w:r>
      <w:r w:rsidRPr="00974030">
        <w:rPr>
          <w:rFonts w:asciiTheme="minorBidi" w:hAnsiTheme="minorBidi" w:cs="Arial"/>
          <w:rtl/>
        </w:rPr>
        <w:t xml:space="preserve"> </w:t>
      </w:r>
      <w:r w:rsidRPr="00974030">
        <w:rPr>
          <w:rFonts w:asciiTheme="minorBidi" w:hAnsiTheme="minorBidi" w:cs="Arial" w:hint="cs"/>
          <w:rtl/>
        </w:rPr>
        <w:t>בידו</w:t>
      </w:r>
      <w:r w:rsidRPr="00974030">
        <w:rPr>
          <w:rFonts w:asciiTheme="minorBidi" w:hAnsiTheme="minorBidi" w:cs="Arial"/>
          <w:rtl/>
        </w:rPr>
        <w:t xml:space="preserve">. </w:t>
      </w:r>
    </w:p>
    <w:p w14:paraId="484A1B67"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כו</w:t>
      </w:r>
    </w:p>
    <w:p w14:paraId="5E0A1B07"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יכול</w:t>
      </w:r>
      <w:r w:rsidRPr="00974030">
        <w:rPr>
          <w:rFonts w:asciiTheme="minorBidi" w:hAnsiTheme="minorBidi" w:cs="Arial"/>
          <w:rtl/>
        </w:rPr>
        <w:t xml:space="preserve"> </w:t>
      </w:r>
      <w:r w:rsidRPr="00974030">
        <w:rPr>
          <w:rFonts w:asciiTheme="minorBidi" w:hAnsiTheme="minorBidi" w:cs="Arial" w:hint="cs"/>
          <w:rtl/>
        </w:rPr>
        <w:t>לומר</w:t>
      </w:r>
      <w:r w:rsidRPr="00974030">
        <w:rPr>
          <w:rFonts w:asciiTheme="minorBidi" w:hAnsiTheme="minorBidi" w:cs="Arial"/>
          <w:rtl/>
        </w:rPr>
        <w:t xml:space="preserve"> </w:t>
      </w:r>
      <w:r w:rsidRPr="00974030">
        <w:rPr>
          <w:rFonts w:asciiTheme="minorBidi" w:hAnsiTheme="minorBidi" w:cs="Arial" w:hint="cs"/>
          <w:rtl/>
        </w:rPr>
        <w:t>בפני</w:t>
      </w:r>
      <w:r w:rsidRPr="00974030">
        <w:rPr>
          <w:rFonts w:asciiTheme="minorBidi" w:hAnsiTheme="minorBidi" w:cs="Arial"/>
          <w:rtl/>
        </w:rPr>
        <w:t xml:space="preserve"> </w:t>
      </w:r>
      <w:r>
        <w:rPr>
          <w:rFonts w:asciiTheme="minorBidi" w:hAnsiTheme="minorBidi" w:cs="Arial" w:hint="cs"/>
          <w:rtl/>
        </w:rPr>
        <w:t>גוי</w:t>
      </w:r>
      <w:r w:rsidRPr="00974030">
        <w:rPr>
          <w:rFonts w:asciiTheme="minorBidi" w:hAnsiTheme="minorBidi" w:cs="Arial"/>
          <w:rtl/>
        </w:rPr>
        <w:t xml:space="preserve">: </w:t>
      </w:r>
      <w:r w:rsidRPr="00974030">
        <w:rPr>
          <w:rFonts w:asciiTheme="minorBidi" w:hAnsiTheme="minorBidi" w:cs="Arial" w:hint="cs"/>
          <w:rtl/>
        </w:rPr>
        <w:t>כל</w:t>
      </w:r>
      <w:r w:rsidRPr="00974030">
        <w:rPr>
          <w:rFonts w:asciiTheme="minorBidi" w:hAnsiTheme="minorBidi" w:cs="Arial"/>
          <w:rtl/>
        </w:rPr>
        <w:t xml:space="preserve"> </w:t>
      </w:r>
      <w:r w:rsidRPr="00974030">
        <w:rPr>
          <w:rFonts w:asciiTheme="minorBidi" w:hAnsiTheme="minorBidi" w:cs="Arial" w:hint="cs"/>
          <w:rtl/>
        </w:rPr>
        <w:t>המכבה</w:t>
      </w:r>
      <w:r w:rsidRPr="00974030">
        <w:rPr>
          <w:rFonts w:asciiTheme="minorBidi" w:hAnsiTheme="minorBidi" w:cs="Arial"/>
          <w:rtl/>
        </w:rPr>
        <w:t xml:space="preserve"> </w:t>
      </w:r>
      <w:r w:rsidRPr="00974030">
        <w:rPr>
          <w:rFonts w:asciiTheme="minorBidi" w:hAnsiTheme="minorBidi" w:cs="Arial" w:hint="cs"/>
          <w:rtl/>
        </w:rPr>
        <w:t>אינו</w:t>
      </w:r>
      <w:r w:rsidRPr="00974030">
        <w:rPr>
          <w:rFonts w:asciiTheme="minorBidi" w:hAnsiTheme="minorBidi" w:cs="Arial"/>
          <w:rtl/>
        </w:rPr>
        <w:t xml:space="preserve"> </w:t>
      </w:r>
      <w:r w:rsidRPr="00974030">
        <w:rPr>
          <w:rFonts w:asciiTheme="minorBidi" w:hAnsiTheme="minorBidi" w:cs="Arial" w:hint="cs"/>
          <w:rtl/>
        </w:rPr>
        <w:t>מפסיד</w:t>
      </w:r>
      <w:r w:rsidRPr="00974030">
        <w:rPr>
          <w:rFonts w:asciiTheme="minorBidi" w:hAnsiTheme="minorBidi" w:cs="Arial"/>
          <w:rtl/>
        </w:rPr>
        <w:t xml:space="preserve">; </w:t>
      </w:r>
      <w:r w:rsidRPr="00974030">
        <w:rPr>
          <w:rFonts w:asciiTheme="minorBidi" w:hAnsiTheme="minorBidi" w:cs="Arial" w:hint="cs"/>
          <w:rtl/>
        </w:rPr>
        <w:t>אף</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אינו</w:t>
      </w:r>
      <w:r w:rsidRPr="00974030">
        <w:rPr>
          <w:rFonts w:asciiTheme="minorBidi" w:hAnsiTheme="minorBidi" w:cs="Arial"/>
          <w:rtl/>
        </w:rPr>
        <w:t xml:space="preserve"> </w:t>
      </w:r>
      <w:r w:rsidRPr="00974030">
        <w:rPr>
          <w:rFonts w:asciiTheme="minorBidi" w:hAnsiTheme="minorBidi" w:cs="Arial" w:hint="cs"/>
          <w:rtl/>
        </w:rPr>
        <w:t>מזומן</w:t>
      </w:r>
      <w:r w:rsidRPr="00974030">
        <w:rPr>
          <w:rFonts w:asciiTheme="minorBidi" w:hAnsiTheme="minorBidi" w:cs="Arial"/>
          <w:rtl/>
        </w:rPr>
        <w:t xml:space="preserve"> </w:t>
      </w:r>
      <w:r w:rsidRPr="00974030">
        <w:rPr>
          <w:rFonts w:asciiTheme="minorBidi" w:hAnsiTheme="minorBidi" w:cs="Arial" w:hint="cs"/>
          <w:rtl/>
        </w:rPr>
        <w:t>כאן</w:t>
      </w:r>
      <w:r w:rsidRPr="00974030">
        <w:rPr>
          <w:rFonts w:asciiTheme="minorBidi" w:hAnsiTheme="minorBidi" w:cs="Arial"/>
          <w:rtl/>
        </w:rPr>
        <w:t xml:space="preserve">, </w:t>
      </w:r>
      <w:r w:rsidRPr="00974030">
        <w:rPr>
          <w:rFonts w:asciiTheme="minorBidi" w:hAnsiTheme="minorBidi" w:cs="Arial" w:hint="cs"/>
          <w:rtl/>
        </w:rPr>
        <w:t>יכול</w:t>
      </w:r>
      <w:r w:rsidRPr="00974030">
        <w:rPr>
          <w:rFonts w:asciiTheme="minorBidi" w:hAnsiTheme="minorBidi" w:cs="Arial"/>
          <w:rtl/>
        </w:rPr>
        <w:t xml:space="preserve"> </w:t>
      </w:r>
      <w:r w:rsidRPr="00974030">
        <w:rPr>
          <w:rFonts w:asciiTheme="minorBidi" w:hAnsiTheme="minorBidi" w:cs="Arial" w:hint="cs"/>
          <w:rtl/>
        </w:rPr>
        <w:t>לקרותו</w:t>
      </w:r>
      <w:r w:rsidRPr="00974030">
        <w:rPr>
          <w:rFonts w:asciiTheme="minorBidi" w:hAnsiTheme="minorBidi" w:cs="Arial"/>
          <w:rtl/>
        </w:rPr>
        <w:t xml:space="preserve"> </w:t>
      </w:r>
      <w:r w:rsidRPr="00974030">
        <w:rPr>
          <w:rFonts w:asciiTheme="minorBidi" w:hAnsiTheme="minorBidi" w:cs="Arial" w:hint="cs"/>
          <w:rtl/>
        </w:rPr>
        <w:t>שיבא</w:t>
      </w:r>
      <w:r w:rsidRPr="00974030">
        <w:rPr>
          <w:rFonts w:asciiTheme="minorBidi" w:hAnsiTheme="minorBidi" w:cs="Arial"/>
          <w:rtl/>
        </w:rPr>
        <w:t xml:space="preserve">, </w:t>
      </w:r>
      <w:r w:rsidRPr="00974030">
        <w:rPr>
          <w:rFonts w:asciiTheme="minorBidi" w:hAnsiTheme="minorBidi" w:cs="Arial" w:hint="cs"/>
          <w:rtl/>
        </w:rPr>
        <w:t>אף</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פי</w:t>
      </w:r>
      <w:r w:rsidRPr="00974030">
        <w:rPr>
          <w:rFonts w:asciiTheme="minorBidi" w:hAnsiTheme="minorBidi" w:cs="Arial"/>
          <w:rtl/>
        </w:rPr>
        <w:t xml:space="preserve"> </w:t>
      </w:r>
      <w:r w:rsidRPr="00974030">
        <w:rPr>
          <w:rFonts w:asciiTheme="minorBidi" w:hAnsiTheme="minorBidi" w:cs="Arial" w:hint="cs"/>
          <w:rtl/>
        </w:rPr>
        <w:t>שודאי</w:t>
      </w:r>
      <w:r w:rsidRPr="00974030">
        <w:rPr>
          <w:rFonts w:asciiTheme="minorBidi" w:hAnsiTheme="minorBidi" w:cs="Arial"/>
          <w:rtl/>
        </w:rPr>
        <w:t xml:space="preserve"> </w:t>
      </w:r>
      <w:r w:rsidRPr="00974030">
        <w:rPr>
          <w:rFonts w:asciiTheme="minorBidi" w:hAnsiTheme="minorBidi" w:cs="Arial" w:hint="cs"/>
          <w:rtl/>
        </w:rPr>
        <w:t>יכבה</w:t>
      </w:r>
      <w:r w:rsidRPr="00974030">
        <w:rPr>
          <w:rFonts w:asciiTheme="minorBidi" w:hAnsiTheme="minorBidi" w:cs="Arial"/>
          <w:rtl/>
        </w:rPr>
        <w:t xml:space="preserve"> </w:t>
      </w:r>
      <w:r w:rsidRPr="00974030">
        <w:rPr>
          <w:rFonts w:asciiTheme="minorBidi" w:hAnsiTheme="minorBidi" w:cs="Arial" w:hint="cs"/>
          <w:rtl/>
        </w:rPr>
        <w:t>כשיבא</w:t>
      </w:r>
      <w:r w:rsidRPr="00974030">
        <w:rPr>
          <w:rFonts w:asciiTheme="minorBidi" w:hAnsiTheme="minorBidi" w:cs="Arial"/>
          <w:rtl/>
        </w:rPr>
        <w:t xml:space="preserve">. </w:t>
      </w:r>
      <w:r w:rsidRPr="00974030">
        <w:rPr>
          <w:rFonts w:asciiTheme="minorBidi" w:hAnsiTheme="minorBidi" w:cs="Arial" w:hint="cs"/>
          <w:rtl/>
        </w:rPr>
        <w:t>וכן</w:t>
      </w:r>
      <w:r w:rsidRPr="00974030">
        <w:rPr>
          <w:rFonts w:asciiTheme="minorBidi" w:hAnsiTheme="minorBidi" w:cs="Arial"/>
          <w:rtl/>
        </w:rPr>
        <w:t xml:space="preserve"> </w:t>
      </w:r>
      <w:r w:rsidRPr="00974030">
        <w:rPr>
          <w:rFonts w:asciiTheme="minorBidi" w:hAnsiTheme="minorBidi" w:cs="Arial" w:hint="cs"/>
          <w:rtl/>
        </w:rPr>
        <w:t>כל</w:t>
      </w:r>
      <w:r w:rsidRPr="00974030">
        <w:rPr>
          <w:rFonts w:asciiTheme="minorBidi" w:hAnsiTheme="minorBidi" w:cs="Arial"/>
          <w:rtl/>
        </w:rPr>
        <w:t xml:space="preserve"> </w:t>
      </w:r>
      <w:r w:rsidRPr="00974030">
        <w:rPr>
          <w:rFonts w:asciiTheme="minorBidi" w:hAnsiTheme="minorBidi" w:cs="Arial" w:hint="cs"/>
          <w:rtl/>
        </w:rPr>
        <w:t>כיוצא</w:t>
      </w:r>
      <w:r w:rsidRPr="00974030">
        <w:rPr>
          <w:rFonts w:asciiTheme="minorBidi" w:hAnsiTheme="minorBidi" w:cs="Arial"/>
          <w:rtl/>
        </w:rPr>
        <w:t xml:space="preserve"> </w:t>
      </w:r>
      <w:r w:rsidRPr="00974030">
        <w:rPr>
          <w:rFonts w:asciiTheme="minorBidi" w:hAnsiTheme="minorBidi" w:cs="Arial" w:hint="cs"/>
          <w:rtl/>
        </w:rPr>
        <w:t>בזה</w:t>
      </w:r>
      <w:r w:rsidRPr="00974030">
        <w:rPr>
          <w:rFonts w:asciiTheme="minorBidi" w:hAnsiTheme="minorBidi" w:cs="Arial"/>
          <w:rtl/>
        </w:rPr>
        <w:t xml:space="preserve"> </w:t>
      </w:r>
      <w:r w:rsidRPr="00974030">
        <w:rPr>
          <w:rFonts w:asciiTheme="minorBidi" w:hAnsiTheme="minorBidi" w:cs="Arial" w:hint="cs"/>
          <w:rtl/>
        </w:rPr>
        <w:t>בהיזק</w:t>
      </w:r>
      <w:r w:rsidRPr="00974030">
        <w:rPr>
          <w:rFonts w:asciiTheme="minorBidi" w:hAnsiTheme="minorBidi" w:cs="Arial"/>
          <w:rtl/>
        </w:rPr>
        <w:t xml:space="preserve"> </w:t>
      </w:r>
      <w:r w:rsidRPr="00974030">
        <w:rPr>
          <w:rFonts w:asciiTheme="minorBidi" w:hAnsiTheme="minorBidi" w:cs="Arial" w:hint="cs"/>
          <w:rtl/>
        </w:rPr>
        <w:t>הבא</w:t>
      </w:r>
      <w:r w:rsidRPr="00974030">
        <w:rPr>
          <w:rFonts w:asciiTheme="minorBidi" w:hAnsiTheme="minorBidi" w:cs="Arial"/>
          <w:rtl/>
        </w:rPr>
        <w:t xml:space="preserve"> </w:t>
      </w:r>
      <w:r w:rsidRPr="00974030">
        <w:rPr>
          <w:rFonts w:asciiTheme="minorBidi" w:hAnsiTheme="minorBidi" w:cs="Arial" w:hint="cs"/>
          <w:rtl/>
        </w:rPr>
        <w:t>פתאום</w:t>
      </w:r>
      <w:r w:rsidRPr="00974030">
        <w:rPr>
          <w:rFonts w:asciiTheme="minorBidi" w:hAnsiTheme="minorBidi" w:cs="Arial"/>
          <w:rtl/>
        </w:rPr>
        <w:t xml:space="preserve">, </w:t>
      </w:r>
      <w:r w:rsidRPr="00974030">
        <w:rPr>
          <w:rFonts w:asciiTheme="minorBidi" w:hAnsiTheme="minorBidi" w:cs="Arial" w:hint="cs"/>
          <w:rtl/>
        </w:rPr>
        <w:t>כגון</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נתרועעה</w:t>
      </w:r>
      <w:r w:rsidRPr="00974030">
        <w:rPr>
          <w:rFonts w:asciiTheme="minorBidi" w:hAnsiTheme="minorBidi" w:cs="Arial"/>
          <w:rtl/>
        </w:rPr>
        <w:t xml:space="preserve"> </w:t>
      </w:r>
      <w:r w:rsidRPr="00974030">
        <w:rPr>
          <w:rFonts w:asciiTheme="minorBidi" w:hAnsiTheme="minorBidi" w:cs="Arial" w:hint="cs"/>
          <w:rtl/>
        </w:rPr>
        <w:t>חבית</w:t>
      </w:r>
      <w:r w:rsidRPr="00974030">
        <w:rPr>
          <w:rFonts w:asciiTheme="minorBidi" w:hAnsiTheme="minorBidi" w:cs="Arial"/>
          <w:rtl/>
        </w:rPr>
        <w:t xml:space="preserve"> </w:t>
      </w:r>
      <w:r w:rsidRPr="00974030">
        <w:rPr>
          <w:rFonts w:asciiTheme="minorBidi" w:hAnsiTheme="minorBidi" w:cs="Arial" w:hint="cs"/>
          <w:rtl/>
        </w:rPr>
        <w:t>של</w:t>
      </w:r>
      <w:r w:rsidRPr="00974030">
        <w:rPr>
          <w:rFonts w:asciiTheme="minorBidi" w:hAnsiTheme="minorBidi" w:cs="Arial"/>
          <w:rtl/>
        </w:rPr>
        <w:t xml:space="preserve"> </w:t>
      </w:r>
      <w:r w:rsidRPr="00974030">
        <w:rPr>
          <w:rFonts w:asciiTheme="minorBidi" w:hAnsiTheme="minorBidi" w:cs="Arial" w:hint="cs"/>
          <w:rtl/>
        </w:rPr>
        <w:t>יין</w:t>
      </w:r>
      <w:r w:rsidRPr="00974030">
        <w:rPr>
          <w:rFonts w:asciiTheme="minorBidi" w:hAnsiTheme="minorBidi" w:cs="Arial"/>
          <w:rtl/>
        </w:rPr>
        <w:t xml:space="preserve">, </w:t>
      </w:r>
      <w:r w:rsidRPr="00974030">
        <w:rPr>
          <w:rFonts w:asciiTheme="minorBidi" w:hAnsiTheme="minorBidi" w:cs="Arial" w:hint="cs"/>
          <w:rtl/>
        </w:rPr>
        <w:t>יכול</w:t>
      </w:r>
      <w:r w:rsidRPr="00974030">
        <w:rPr>
          <w:rFonts w:asciiTheme="minorBidi" w:hAnsiTheme="minorBidi" w:cs="Arial"/>
          <w:rtl/>
        </w:rPr>
        <w:t xml:space="preserve"> </w:t>
      </w:r>
      <w:r w:rsidRPr="00974030">
        <w:rPr>
          <w:rFonts w:asciiTheme="minorBidi" w:hAnsiTheme="minorBidi" w:cs="Arial" w:hint="cs"/>
          <w:rtl/>
        </w:rPr>
        <w:t>לקרוא</w:t>
      </w:r>
      <w:r w:rsidRPr="00974030">
        <w:rPr>
          <w:rFonts w:asciiTheme="minorBidi" w:hAnsiTheme="minorBidi" w:cs="Arial"/>
          <w:rtl/>
        </w:rPr>
        <w:t xml:space="preserve"> </w:t>
      </w:r>
      <w:r>
        <w:rPr>
          <w:rFonts w:asciiTheme="minorBidi" w:hAnsiTheme="minorBidi" w:cs="Arial" w:hint="cs"/>
          <w:rtl/>
        </w:rPr>
        <w:t>גוי</w:t>
      </w:r>
      <w:r w:rsidRPr="00974030">
        <w:rPr>
          <w:rFonts w:asciiTheme="minorBidi" w:hAnsiTheme="minorBidi" w:cs="Arial"/>
          <w:rtl/>
        </w:rPr>
        <w:t xml:space="preserve"> </w:t>
      </w:r>
      <w:r w:rsidRPr="00974030">
        <w:rPr>
          <w:rFonts w:asciiTheme="minorBidi" w:hAnsiTheme="minorBidi" w:cs="Arial" w:hint="cs"/>
          <w:rtl/>
        </w:rPr>
        <w:t>אף</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פי</w:t>
      </w:r>
      <w:r w:rsidRPr="00974030">
        <w:rPr>
          <w:rFonts w:asciiTheme="minorBidi" w:hAnsiTheme="minorBidi" w:cs="Arial"/>
          <w:rtl/>
        </w:rPr>
        <w:t xml:space="preserve"> </w:t>
      </w:r>
      <w:r w:rsidRPr="00974030">
        <w:rPr>
          <w:rFonts w:asciiTheme="minorBidi" w:hAnsiTheme="minorBidi" w:cs="Arial" w:hint="cs"/>
          <w:rtl/>
        </w:rPr>
        <w:t>שודאי</w:t>
      </w:r>
      <w:r w:rsidRPr="00974030">
        <w:rPr>
          <w:rFonts w:asciiTheme="minorBidi" w:hAnsiTheme="minorBidi" w:cs="Arial"/>
          <w:rtl/>
        </w:rPr>
        <w:t xml:space="preserve"> </w:t>
      </w:r>
      <w:r w:rsidRPr="00974030">
        <w:rPr>
          <w:rFonts w:asciiTheme="minorBidi" w:hAnsiTheme="minorBidi" w:cs="Arial" w:hint="cs"/>
          <w:rtl/>
        </w:rPr>
        <w:t>יתקננה</w:t>
      </w:r>
      <w:r w:rsidRPr="00974030">
        <w:rPr>
          <w:rFonts w:asciiTheme="minorBidi" w:hAnsiTheme="minorBidi" w:cs="Arial"/>
          <w:rtl/>
        </w:rPr>
        <w:t xml:space="preserve"> </w:t>
      </w:r>
      <w:r w:rsidRPr="00974030">
        <w:rPr>
          <w:rFonts w:asciiTheme="minorBidi" w:hAnsiTheme="minorBidi" w:cs="Arial" w:hint="cs"/>
          <w:rtl/>
        </w:rPr>
        <w:t>כשיבא</w:t>
      </w:r>
      <w:r w:rsidRPr="00974030">
        <w:rPr>
          <w:rFonts w:asciiTheme="minorBidi" w:hAnsiTheme="minorBidi" w:cs="Arial"/>
          <w:rtl/>
        </w:rPr>
        <w:t xml:space="preserve">. </w:t>
      </w:r>
      <w:r w:rsidRPr="00974030">
        <w:rPr>
          <w:rFonts w:asciiTheme="minorBidi" w:hAnsiTheme="minorBidi" w:cs="Arial" w:hint="cs"/>
          <w:rtl/>
        </w:rPr>
        <w:t>הגה</w:t>
      </w:r>
      <w:r w:rsidRPr="00974030">
        <w:rPr>
          <w:rFonts w:asciiTheme="minorBidi" w:hAnsiTheme="minorBidi" w:cs="Arial"/>
          <w:rtl/>
        </w:rPr>
        <w:t xml:space="preserve">: </w:t>
      </w:r>
      <w:r w:rsidRPr="00974030">
        <w:rPr>
          <w:rFonts w:asciiTheme="minorBidi" w:hAnsiTheme="minorBidi" w:cs="Arial" w:hint="cs"/>
          <w:rtl/>
        </w:rPr>
        <w:t>וכל</w:t>
      </w:r>
      <w:r w:rsidRPr="00974030">
        <w:rPr>
          <w:rFonts w:asciiTheme="minorBidi" w:hAnsiTheme="minorBidi" w:cs="Arial"/>
          <w:rtl/>
        </w:rPr>
        <w:t xml:space="preserve"> </w:t>
      </w:r>
      <w:r w:rsidRPr="00974030">
        <w:rPr>
          <w:rFonts w:asciiTheme="minorBidi" w:hAnsiTheme="minorBidi" w:cs="Arial" w:hint="cs"/>
          <w:rtl/>
        </w:rPr>
        <w:t>הדינים</w:t>
      </w:r>
      <w:r w:rsidRPr="00974030">
        <w:rPr>
          <w:rFonts w:asciiTheme="minorBidi" w:hAnsiTheme="minorBidi" w:cs="Arial"/>
          <w:rtl/>
        </w:rPr>
        <w:t xml:space="preserve"> </w:t>
      </w:r>
      <w:r w:rsidRPr="00974030">
        <w:rPr>
          <w:rFonts w:asciiTheme="minorBidi" w:hAnsiTheme="minorBidi" w:cs="Arial" w:hint="cs"/>
          <w:rtl/>
        </w:rPr>
        <w:t>הנזכרים</w:t>
      </w:r>
      <w:r w:rsidRPr="00974030">
        <w:rPr>
          <w:rFonts w:asciiTheme="minorBidi" w:hAnsiTheme="minorBidi" w:cs="Arial"/>
          <w:rtl/>
        </w:rPr>
        <w:t xml:space="preserve"> </w:t>
      </w:r>
      <w:r w:rsidRPr="00974030">
        <w:rPr>
          <w:rFonts w:asciiTheme="minorBidi" w:hAnsiTheme="minorBidi" w:cs="Arial" w:hint="cs"/>
          <w:rtl/>
        </w:rPr>
        <w:t>בדיני</w:t>
      </w:r>
      <w:r w:rsidRPr="00974030">
        <w:rPr>
          <w:rFonts w:asciiTheme="minorBidi" w:hAnsiTheme="minorBidi" w:cs="Arial"/>
          <w:rtl/>
        </w:rPr>
        <w:t xml:space="preserve"> </w:t>
      </w:r>
      <w:r w:rsidRPr="00974030">
        <w:rPr>
          <w:rFonts w:asciiTheme="minorBidi" w:hAnsiTheme="minorBidi" w:cs="Arial" w:hint="cs"/>
          <w:rtl/>
        </w:rPr>
        <w:t>הדליקה</w:t>
      </w:r>
      <w:r w:rsidRPr="00974030">
        <w:rPr>
          <w:rFonts w:asciiTheme="minorBidi" w:hAnsiTheme="minorBidi" w:cs="Arial"/>
          <w:rtl/>
        </w:rPr>
        <w:t xml:space="preserve"> </w:t>
      </w:r>
      <w:r w:rsidRPr="00974030">
        <w:rPr>
          <w:rFonts w:asciiTheme="minorBidi" w:hAnsiTheme="minorBidi" w:cs="Arial" w:hint="cs"/>
          <w:rtl/>
        </w:rPr>
        <w:t>ה</w:t>
      </w:r>
      <w:r w:rsidRPr="00974030">
        <w:rPr>
          <w:rFonts w:asciiTheme="minorBidi" w:hAnsiTheme="minorBidi" w:cs="Arial"/>
          <w:rtl/>
        </w:rPr>
        <w:t>"</w:t>
      </w:r>
      <w:r w:rsidRPr="00974030">
        <w:rPr>
          <w:rFonts w:asciiTheme="minorBidi" w:hAnsiTheme="minorBidi" w:cs="Arial" w:hint="cs"/>
          <w:rtl/>
        </w:rPr>
        <w:t>מ</w:t>
      </w:r>
      <w:r w:rsidRPr="00974030">
        <w:rPr>
          <w:rFonts w:asciiTheme="minorBidi" w:hAnsiTheme="minorBidi" w:cs="Arial"/>
          <w:rtl/>
        </w:rPr>
        <w:t xml:space="preserve"> </w:t>
      </w:r>
      <w:r w:rsidRPr="00974030">
        <w:rPr>
          <w:rFonts w:asciiTheme="minorBidi" w:hAnsiTheme="minorBidi" w:cs="Arial" w:hint="cs"/>
          <w:rtl/>
        </w:rPr>
        <w:t>בימיהם</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בזמן</w:t>
      </w:r>
      <w:r w:rsidRPr="00974030">
        <w:rPr>
          <w:rFonts w:asciiTheme="minorBidi" w:hAnsiTheme="minorBidi" w:cs="Arial"/>
          <w:rtl/>
        </w:rPr>
        <w:t xml:space="preserve"> </w:t>
      </w:r>
      <w:r w:rsidRPr="00974030">
        <w:rPr>
          <w:rFonts w:asciiTheme="minorBidi" w:hAnsiTheme="minorBidi" w:cs="Arial" w:hint="cs"/>
          <w:rtl/>
        </w:rPr>
        <w:t>הזה</w:t>
      </w:r>
      <w:r w:rsidRPr="00974030">
        <w:rPr>
          <w:rFonts w:asciiTheme="minorBidi" w:hAnsiTheme="minorBidi" w:cs="Arial"/>
          <w:rtl/>
        </w:rPr>
        <w:t xml:space="preserve"> </w:t>
      </w:r>
      <w:r w:rsidRPr="00974030">
        <w:rPr>
          <w:rFonts w:asciiTheme="minorBidi" w:hAnsiTheme="minorBidi" w:cs="Arial" w:hint="cs"/>
          <w:rtl/>
        </w:rPr>
        <w:t>שאנו</w:t>
      </w:r>
      <w:r w:rsidRPr="00974030">
        <w:rPr>
          <w:rFonts w:asciiTheme="minorBidi" w:hAnsiTheme="minorBidi" w:cs="Arial"/>
          <w:rtl/>
        </w:rPr>
        <w:t xml:space="preserve"> </w:t>
      </w:r>
      <w:r w:rsidRPr="00974030">
        <w:rPr>
          <w:rFonts w:asciiTheme="minorBidi" w:hAnsiTheme="minorBidi" w:cs="Arial" w:hint="cs"/>
          <w:rtl/>
        </w:rPr>
        <w:t>שרויין</w:t>
      </w:r>
      <w:r w:rsidRPr="00974030">
        <w:rPr>
          <w:rFonts w:asciiTheme="minorBidi" w:hAnsiTheme="minorBidi" w:cs="Arial"/>
          <w:rtl/>
        </w:rPr>
        <w:t xml:space="preserve"> </w:t>
      </w:r>
      <w:r w:rsidRPr="00974030">
        <w:rPr>
          <w:rFonts w:asciiTheme="minorBidi" w:hAnsiTheme="minorBidi" w:cs="Arial" w:hint="cs"/>
          <w:rtl/>
        </w:rPr>
        <w:t>בין</w:t>
      </w:r>
      <w:r w:rsidRPr="00974030">
        <w:rPr>
          <w:rFonts w:asciiTheme="minorBidi" w:hAnsiTheme="minorBidi" w:cs="Arial"/>
          <w:rtl/>
        </w:rPr>
        <w:t xml:space="preserve"> </w:t>
      </w:r>
      <w:r>
        <w:rPr>
          <w:rFonts w:asciiTheme="minorBidi" w:hAnsiTheme="minorBidi" w:cs="Arial" w:hint="cs"/>
          <w:rtl/>
        </w:rPr>
        <w:t>גוים</w:t>
      </w:r>
      <w:r w:rsidRPr="00974030">
        <w:rPr>
          <w:rFonts w:asciiTheme="minorBidi" w:hAnsiTheme="minorBidi" w:cs="Arial"/>
          <w:rtl/>
        </w:rPr>
        <w:t xml:space="preserve"> </w:t>
      </w:r>
      <w:r w:rsidRPr="00974030">
        <w:rPr>
          <w:rFonts w:asciiTheme="minorBidi" w:hAnsiTheme="minorBidi" w:cs="Arial" w:hint="cs"/>
          <w:rtl/>
        </w:rPr>
        <w:t>והיא</w:t>
      </w:r>
      <w:r w:rsidRPr="00974030">
        <w:rPr>
          <w:rFonts w:asciiTheme="minorBidi" w:hAnsiTheme="minorBidi" w:cs="Arial"/>
          <w:rtl/>
        </w:rPr>
        <w:t xml:space="preserve"> </w:t>
      </w:r>
      <w:r w:rsidRPr="00974030">
        <w:rPr>
          <w:rFonts w:asciiTheme="minorBidi" w:hAnsiTheme="minorBidi" w:cs="Arial" w:hint="cs"/>
          <w:rtl/>
        </w:rPr>
        <w:t>חשש</w:t>
      </w:r>
      <w:r w:rsidRPr="00974030">
        <w:rPr>
          <w:rFonts w:asciiTheme="minorBidi" w:hAnsiTheme="minorBidi" w:cs="Arial"/>
          <w:rtl/>
        </w:rPr>
        <w:t xml:space="preserve"> </w:t>
      </w:r>
      <w:r w:rsidRPr="00974030">
        <w:rPr>
          <w:rFonts w:asciiTheme="minorBidi" w:hAnsiTheme="minorBidi" w:cs="Arial" w:hint="cs"/>
          <w:rtl/>
        </w:rPr>
        <w:t>סכנת</w:t>
      </w:r>
      <w:r w:rsidRPr="00974030">
        <w:rPr>
          <w:rFonts w:asciiTheme="minorBidi" w:hAnsiTheme="minorBidi" w:cs="Arial"/>
          <w:rtl/>
        </w:rPr>
        <w:t xml:space="preserve"> </w:t>
      </w:r>
      <w:r w:rsidRPr="00974030">
        <w:rPr>
          <w:rFonts w:asciiTheme="minorBidi" w:hAnsiTheme="minorBidi" w:cs="Arial" w:hint="cs"/>
          <w:rtl/>
        </w:rPr>
        <w:t>נפשות</w:t>
      </w:r>
      <w:r w:rsidRPr="00974030">
        <w:rPr>
          <w:rFonts w:asciiTheme="minorBidi" w:hAnsiTheme="minorBidi" w:cs="Arial"/>
          <w:rtl/>
        </w:rPr>
        <w:t xml:space="preserve">, </w:t>
      </w:r>
      <w:r w:rsidRPr="00974030">
        <w:rPr>
          <w:rFonts w:asciiTheme="minorBidi" w:hAnsiTheme="minorBidi" w:cs="Arial" w:hint="cs"/>
          <w:rtl/>
        </w:rPr>
        <w:t>כתבו</w:t>
      </w:r>
      <w:r w:rsidRPr="00974030">
        <w:rPr>
          <w:rFonts w:asciiTheme="minorBidi" w:hAnsiTheme="minorBidi" w:cs="Arial"/>
          <w:rtl/>
        </w:rPr>
        <w:t xml:space="preserve"> </w:t>
      </w:r>
      <w:r w:rsidRPr="00974030">
        <w:rPr>
          <w:rFonts w:asciiTheme="minorBidi" w:hAnsiTheme="minorBidi" w:cs="Arial" w:hint="cs"/>
          <w:rtl/>
        </w:rPr>
        <w:t>הראשונים</w:t>
      </w:r>
      <w:r w:rsidRPr="00974030">
        <w:rPr>
          <w:rFonts w:asciiTheme="minorBidi" w:hAnsiTheme="minorBidi" w:cs="Arial"/>
          <w:rtl/>
        </w:rPr>
        <w:t xml:space="preserve"> </w:t>
      </w:r>
      <w:r w:rsidRPr="00974030">
        <w:rPr>
          <w:rFonts w:asciiTheme="minorBidi" w:hAnsiTheme="minorBidi" w:cs="Arial" w:hint="cs"/>
          <w:rtl/>
        </w:rPr>
        <w:t>והאחרונים</w:t>
      </w:r>
      <w:r w:rsidRPr="00974030">
        <w:rPr>
          <w:rFonts w:asciiTheme="minorBidi" w:hAnsiTheme="minorBidi" w:cs="Arial"/>
          <w:rtl/>
        </w:rPr>
        <w:t xml:space="preserve"> </w:t>
      </w:r>
      <w:r w:rsidRPr="00974030">
        <w:rPr>
          <w:rFonts w:asciiTheme="minorBidi" w:hAnsiTheme="minorBidi" w:cs="Arial" w:hint="cs"/>
          <w:rtl/>
        </w:rPr>
        <w:t>ז</w:t>
      </w:r>
      <w:r w:rsidRPr="00974030">
        <w:rPr>
          <w:rFonts w:asciiTheme="minorBidi" w:hAnsiTheme="minorBidi" w:cs="Arial"/>
          <w:rtl/>
        </w:rPr>
        <w:t>"</w:t>
      </w:r>
      <w:r w:rsidRPr="00974030">
        <w:rPr>
          <w:rFonts w:asciiTheme="minorBidi" w:hAnsiTheme="minorBidi" w:cs="Arial" w:hint="cs"/>
          <w:rtl/>
        </w:rPr>
        <w:t>ל</w:t>
      </w:r>
      <w:r w:rsidRPr="00974030">
        <w:rPr>
          <w:rFonts w:asciiTheme="minorBidi" w:hAnsiTheme="minorBidi" w:cs="Arial"/>
          <w:rtl/>
        </w:rPr>
        <w:t xml:space="preserve"> </w:t>
      </w:r>
      <w:r w:rsidRPr="00974030">
        <w:rPr>
          <w:rFonts w:asciiTheme="minorBidi" w:hAnsiTheme="minorBidi" w:cs="Arial" w:hint="cs"/>
          <w:rtl/>
        </w:rPr>
        <w:t>שמותר</w:t>
      </w:r>
      <w:r w:rsidRPr="00974030">
        <w:rPr>
          <w:rFonts w:asciiTheme="minorBidi" w:hAnsiTheme="minorBidi" w:cs="Arial"/>
          <w:rtl/>
        </w:rPr>
        <w:t xml:space="preserve"> </w:t>
      </w:r>
      <w:r w:rsidRPr="00974030">
        <w:rPr>
          <w:rFonts w:asciiTheme="minorBidi" w:hAnsiTheme="minorBidi" w:cs="Arial" w:hint="cs"/>
          <w:rtl/>
        </w:rPr>
        <w:t>לכבות</w:t>
      </w:r>
      <w:r w:rsidRPr="00974030">
        <w:rPr>
          <w:rFonts w:asciiTheme="minorBidi" w:hAnsiTheme="minorBidi" w:cs="Arial"/>
          <w:rtl/>
        </w:rPr>
        <w:t xml:space="preserve"> </w:t>
      </w:r>
      <w:r w:rsidRPr="00974030">
        <w:rPr>
          <w:rFonts w:asciiTheme="minorBidi" w:hAnsiTheme="minorBidi" w:cs="Arial" w:hint="cs"/>
          <w:rtl/>
        </w:rPr>
        <w:t>דליקה</w:t>
      </w:r>
      <w:r w:rsidRPr="00974030">
        <w:rPr>
          <w:rFonts w:asciiTheme="minorBidi" w:hAnsiTheme="minorBidi" w:cs="Arial"/>
          <w:rtl/>
        </w:rPr>
        <w:t xml:space="preserve"> </w:t>
      </w:r>
      <w:r w:rsidRPr="00974030">
        <w:rPr>
          <w:rFonts w:asciiTheme="minorBidi" w:hAnsiTheme="minorBidi" w:cs="Arial" w:hint="cs"/>
          <w:rtl/>
        </w:rPr>
        <w:t>בשבת</w:t>
      </w:r>
      <w:r w:rsidRPr="00974030">
        <w:rPr>
          <w:rFonts w:asciiTheme="minorBidi" w:hAnsiTheme="minorBidi" w:cs="Arial"/>
          <w:rtl/>
        </w:rPr>
        <w:t xml:space="preserve"> </w:t>
      </w:r>
      <w:r w:rsidRPr="00974030">
        <w:rPr>
          <w:rFonts w:asciiTheme="minorBidi" w:hAnsiTheme="minorBidi" w:cs="Arial" w:hint="cs"/>
          <w:rtl/>
        </w:rPr>
        <w:t>משום</w:t>
      </w:r>
      <w:r w:rsidRPr="00974030">
        <w:rPr>
          <w:rFonts w:asciiTheme="minorBidi" w:hAnsiTheme="minorBidi" w:cs="Arial"/>
          <w:rtl/>
        </w:rPr>
        <w:t xml:space="preserve"> </w:t>
      </w:r>
      <w:r w:rsidRPr="00974030">
        <w:rPr>
          <w:rFonts w:asciiTheme="minorBidi" w:hAnsiTheme="minorBidi" w:cs="Arial" w:hint="cs"/>
          <w:rtl/>
        </w:rPr>
        <w:t>דיש</w:t>
      </w:r>
      <w:r w:rsidRPr="00974030">
        <w:rPr>
          <w:rFonts w:asciiTheme="minorBidi" w:hAnsiTheme="minorBidi" w:cs="Arial"/>
          <w:rtl/>
        </w:rPr>
        <w:t xml:space="preserve"> </w:t>
      </w:r>
      <w:r w:rsidRPr="00974030">
        <w:rPr>
          <w:rFonts w:asciiTheme="minorBidi" w:hAnsiTheme="minorBidi" w:cs="Arial" w:hint="cs"/>
          <w:rtl/>
        </w:rPr>
        <w:t>בה</w:t>
      </w:r>
      <w:r w:rsidRPr="00974030">
        <w:rPr>
          <w:rFonts w:asciiTheme="minorBidi" w:hAnsiTheme="minorBidi" w:cs="Arial"/>
          <w:rtl/>
        </w:rPr>
        <w:t xml:space="preserve"> </w:t>
      </w:r>
      <w:r w:rsidRPr="00974030">
        <w:rPr>
          <w:rFonts w:asciiTheme="minorBidi" w:hAnsiTheme="minorBidi" w:cs="Arial" w:hint="cs"/>
          <w:rtl/>
        </w:rPr>
        <w:t>סכנת</w:t>
      </w:r>
      <w:r w:rsidRPr="00974030">
        <w:rPr>
          <w:rFonts w:asciiTheme="minorBidi" w:hAnsiTheme="minorBidi" w:cs="Arial"/>
          <w:rtl/>
        </w:rPr>
        <w:t xml:space="preserve"> </w:t>
      </w:r>
      <w:r w:rsidRPr="00974030">
        <w:rPr>
          <w:rFonts w:asciiTheme="minorBidi" w:hAnsiTheme="minorBidi" w:cs="Arial" w:hint="cs"/>
          <w:rtl/>
        </w:rPr>
        <w:t>נפשות</w:t>
      </w:r>
      <w:r w:rsidRPr="00974030">
        <w:rPr>
          <w:rFonts w:asciiTheme="minorBidi" w:hAnsiTheme="minorBidi" w:cs="Arial"/>
          <w:rtl/>
        </w:rPr>
        <w:t xml:space="preserve"> </w:t>
      </w:r>
      <w:r w:rsidRPr="00974030">
        <w:rPr>
          <w:rFonts w:asciiTheme="minorBidi" w:hAnsiTheme="minorBidi" w:cs="Arial" w:hint="cs"/>
          <w:rtl/>
        </w:rPr>
        <w:t>והזריז</w:t>
      </w:r>
      <w:r w:rsidRPr="00974030">
        <w:rPr>
          <w:rFonts w:asciiTheme="minorBidi" w:hAnsiTheme="minorBidi" w:cs="Arial"/>
          <w:rtl/>
        </w:rPr>
        <w:t xml:space="preserve"> </w:t>
      </w:r>
      <w:r w:rsidRPr="00974030">
        <w:rPr>
          <w:rFonts w:asciiTheme="minorBidi" w:hAnsiTheme="minorBidi" w:cs="Arial" w:hint="cs"/>
          <w:rtl/>
        </w:rPr>
        <w:t>הרי</w:t>
      </w:r>
      <w:r w:rsidRPr="00974030">
        <w:rPr>
          <w:rFonts w:asciiTheme="minorBidi" w:hAnsiTheme="minorBidi" w:cs="Arial"/>
          <w:rtl/>
        </w:rPr>
        <w:t xml:space="preserve"> </w:t>
      </w:r>
      <w:r w:rsidRPr="00974030">
        <w:rPr>
          <w:rFonts w:asciiTheme="minorBidi" w:hAnsiTheme="minorBidi" w:cs="Arial" w:hint="cs"/>
          <w:rtl/>
        </w:rPr>
        <w:t>זה</w:t>
      </w:r>
      <w:r w:rsidRPr="00974030">
        <w:rPr>
          <w:rFonts w:asciiTheme="minorBidi" w:hAnsiTheme="minorBidi" w:cs="Arial"/>
          <w:rtl/>
        </w:rPr>
        <w:t xml:space="preserve"> </w:t>
      </w:r>
      <w:r w:rsidRPr="00974030">
        <w:rPr>
          <w:rFonts w:asciiTheme="minorBidi" w:hAnsiTheme="minorBidi" w:cs="Arial" w:hint="cs"/>
          <w:rtl/>
        </w:rPr>
        <w:t>משובח</w:t>
      </w:r>
      <w:r w:rsidRPr="00974030">
        <w:rPr>
          <w:rFonts w:asciiTheme="minorBidi" w:hAnsiTheme="minorBidi" w:cs="Arial"/>
          <w:rtl/>
        </w:rPr>
        <w:t xml:space="preserve">. </w:t>
      </w:r>
      <w:r w:rsidRPr="00974030">
        <w:rPr>
          <w:rFonts w:asciiTheme="minorBidi" w:hAnsiTheme="minorBidi" w:cs="Arial" w:hint="cs"/>
          <w:rtl/>
        </w:rPr>
        <w:t>ומ</w:t>
      </w:r>
      <w:r w:rsidRPr="00974030">
        <w:rPr>
          <w:rFonts w:asciiTheme="minorBidi" w:hAnsiTheme="minorBidi" w:cs="Arial"/>
          <w:rtl/>
        </w:rPr>
        <w:t>"</w:t>
      </w:r>
      <w:r w:rsidRPr="00974030">
        <w:rPr>
          <w:rFonts w:asciiTheme="minorBidi" w:hAnsiTheme="minorBidi" w:cs="Arial" w:hint="cs"/>
          <w:rtl/>
        </w:rPr>
        <w:t>מ</w:t>
      </w:r>
      <w:r w:rsidRPr="00974030">
        <w:rPr>
          <w:rFonts w:asciiTheme="minorBidi" w:hAnsiTheme="minorBidi" w:cs="Arial"/>
          <w:rtl/>
        </w:rPr>
        <w:t xml:space="preserve"> </w:t>
      </w:r>
      <w:r w:rsidRPr="00974030">
        <w:rPr>
          <w:rFonts w:asciiTheme="minorBidi" w:hAnsiTheme="minorBidi" w:cs="Arial" w:hint="cs"/>
          <w:rtl/>
        </w:rPr>
        <w:t>הכל</w:t>
      </w:r>
      <w:r w:rsidRPr="00974030">
        <w:rPr>
          <w:rFonts w:asciiTheme="minorBidi" w:hAnsiTheme="minorBidi" w:cs="Arial"/>
          <w:rtl/>
        </w:rPr>
        <w:t xml:space="preserve"> </w:t>
      </w:r>
      <w:r w:rsidRPr="00974030">
        <w:rPr>
          <w:rFonts w:asciiTheme="minorBidi" w:hAnsiTheme="minorBidi" w:cs="Arial" w:hint="cs"/>
          <w:rtl/>
        </w:rPr>
        <w:t>לפי</w:t>
      </w:r>
      <w:r w:rsidRPr="00974030">
        <w:rPr>
          <w:rFonts w:asciiTheme="minorBidi" w:hAnsiTheme="minorBidi" w:cs="Arial"/>
          <w:rtl/>
        </w:rPr>
        <w:t xml:space="preserve"> </w:t>
      </w:r>
      <w:r w:rsidRPr="00974030">
        <w:rPr>
          <w:rFonts w:asciiTheme="minorBidi" w:hAnsiTheme="minorBidi" w:cs="Arial" w:hint="cs"/>
          <w:rtl/>
        </w:rPr>
        <w:t>הענין</w:t>
      </w:r>
      <w:r w:rsidRPr="00974030">
        <w:rPr>
          <w:rFonts w:asciiTheme="minorBidi" w:hAnsiTheme="minorBidi" w:cs="Arial"/>
          <w:rtl/>
        </w:rPr>
        <w:t xml:space="preserve">, </w:t>
      </w:r>
      <w:r w:rsidRPr="00974030">
        <w:rPr>
          <w:rFonts w:asciiTheme="minorBidi" w:hAnsiTheme="minorBidi" w:cs="Arial" w:hint="cs"/>
          <w:rtl/>
        </w:rPr>
        <w:t>דאם</w:t>
      </w:r>
      <w:r w:rsidRPr="00974030">
        <w:rPr>
          <w:rFonts w:asciiTheme="minorBidi" w:hAnsiTheme="minorBidi" w:cs="Arial"/>
          <w:rtl/>
        </w:rPr>
        <w:t xml:space="preserve"> </w:t>
      </w:r>
      <w:r w:rsidRPr="00974030">
        <w:rPr>
          <w:rFonts w:asciiTheme="minorBidi" w:hAnsiTheme="minorBidi" w:cs="Arial" w:hint="cs"/>
          <w:rtl/>
        </w:rPr>
        <w:t>היו</w:t>
      </w:r>
      <w:r w:rsidRPr="00974030">
        <w:rPr>
          <w:rFonts w:asciiTheme="minorBidi" w:hAnsiTheme="minorBidi" w:cs="Arial"/>
          <w:rtl/>
        </w:rPr>
        <w:t xml:space="preserve"> </w:t>
      </w:r>
      <w:r w:rsidRPr="00974030">
        <w:rPr>
          <w:rFonts w:asciiTheme="minorBidi" w:hAnsiTheme="minorBidi" w:cs="Arial" w:hint="cs"/>
          <w:rtl/>
        </w:rPr>
        <w:t>בטוחים</w:t>
      </w:r>
      <w:r w:rsidRPr="00974030">
        <w:rPr>
          <w:rFonts w:asciiTheme="minorBidi" w:hAnsiTheme="minorBidi" w:cs="Arial"/>
          <w:rtl/>
        </w:rPr>
        <w:t xml:space="preserve"> </w:t>
      </w:r>
      <w:r w:rsidRPr="00974030">
        <w:rPr>
          <w:rFonts w:asciiTheme="minorBidi" w:hAnsiTheme="minorBidi" w:cs="Arial" w:hint="cs"/>
          <w:rtl/>
        </w:rPr>
        <w:t>ודאי</w:t>
      </w:r>
      <w:r w:rsidRPr="00974030">
        <w:rPr>
          <w:rFonts w:asciiTheme="minorBidi" w:hAnsiTheme="minorBidi" w:cs="Arial"/>
          <w:rtl/>
        </w:rPr>
        <w:t xml:space="preserve"> </w:t>
      </w:r>
      <w:r w:rsidRPr="00974030">
        <w:rPr>
          <w:rFonts w:asciiTheme="minorBidi" w:hAnsiTheme="minorBidi" w:cs="Arial" w:hint="cs"/>
          <w:rtl/>
        </w:rPr>
        <w:t>שלא</w:t>
      </w:r>
      <w:r w:rsidRPr="00974030">
        <w:rPr>
          <w:rFonts w:asciiTheme="minorBidi" w:hAnsiTheme="minorBidi" w:cs="Arial"/>
          <w:rtl/>
        </w:rPr>
        <w:t xml:space="preserve"> </w:t>
      </w:r>
      <w:r w:rsidRPr="00974030">
        <w:rPr>
          <w:rFonts w:asciiTheme="minorBidi" w:hAnsiTheme="minorBidi" w:cs="Arial" w:hint="cs"/>
          <w:rtl/>
        </w:rPr>
        <w:t>יהיה</w:t>
      </w:r>
      <w:r w:rsidRPr="00974030">
        <w:rPr>
          <w:rFonts w:asciiTheme="minorBidi" w:hAnsiTheme="minorBidi" w:cs="Arial"/>
          <w:rtl/>
        </w:rPr>
        <w:t xml:space="preserve"> </w:t>
      </w:r>
      <w:r w:rsidRPr="00974030">
        <w:rPr>
          <w:rFonts w:asciiTheme="minorBidi" w:hAnsiTheme="minorBidi" w:cs="Arial" w:hint="cs"/>
          <w:rtl/>
        </w:rPr>
        <w:t>להם</w:t>
      </w:r>
      <w:r w:rsidRPr="00974030">
        <w:rPr>
          <w:rFonts w:asciiTheme="minorBidi" w:hAnsiTheme="minorBidi" w:cs="Arial"/>
          <w:rtl/>
        </w:rPr>
        <w:t xml:space="preserve"> </w:t>
      </w:r>
      <w:r w:rsidRPr="00974030">
        <w:rPr>
          <w:rFonts w:asciiTheme="minorBidi" w:hAnsiTheme="minorBidi" w:cs="Arial" w:hint="cs"/>
          <w:rtl/>
        </w:rPr>
        <w:t>סכנה</w:t>
      </w:r>
      <w:r w:rsidRPr="00974030">
        <w:rPr>
          <w:rFonts w:asciiTheme="minorBidi" w:hAnsiTheme="minorBidi" w:cs="Arial"/>
          <w:rtl/>
        </w:rPr>
        <w:t xml:space="preserve"> </w:t>
      </w:r>
      <w:r w:rsidRPr="00974030">
        <w:rPr>
          <w:rFonts w:asciiTheme="minorBidi" w:hAnsiTheme="minorBidi" w:cs="Arial" w:hint="cs"/>
          <w:rtl/>
        </w:rPr>
        <w:t>בדבר</w:t>
      </w:r>
      <w:r w:rsidRPr="00974030">
        <w:rPr>
          <w:rFonts w:asciiTheme="minorBidi" w:hAnsiTheme="minorBidi" w:cs="Arial"/>
          <w:rtl/>
        </w:rPr>
        <w:t xml:space="preserve">, </w:t>
      </w: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לכבות</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בחשש</w:t>
      </w:r>
      <w:r w:rsidRPr="00974030">
        <w:rPr>
          <w:rFonts w:asciiTheme="minorBidi" w:hAnsiTheme="minorBidi" w:cs="Arial"/>
          <w:rtl/>
        </w:rPr>
        <w:t xml:space="preserve"> </w:t>
      </w:r>
      <w:r w:rsidRPr="00974030">
        <w:rPr>
          <w:rFonts w:asciiTheme="minorBidi" w:hAnsiTheme="minorBidi" w:cs="Arial" w:hint="cs"/>
          <w:rtl/>
        </w:rPr>
        <w:t>סכנת</w:t>
      </w:r>
      <w:r w:rsidRPr="00974030">
        <w:rPr>
          <w:rFonts w:asciiTheme="minorBidi" w:hAnsiTheme="minorBidi" w:cs="Arial"/>
          <w:rtl/>
        </w:rPr>
        <w:t xml:space="preserve"> </w:t>
      </w:r>
      <w:r w:rsidRPr="00974030">
        <w:rPr>
          <w:rFonts w:asciiTheme="minorBidi" w:hAnsiTheme="minorBidi" w:cs="Arial" w:hint="cs"/>
          <w:rtl/>
        </w:rPr>
        <w:t>ספק</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לכבות</w:t>
      </w:r>
      <w:r w:rsidRPr="00974030">
        <w:rPr>
          <w:rFonts w:asciiTheme="minorBidi" w:hAnsiTheme="minorBidi" w:cs="Arial"/>
          <w:rtl/>
        </w:rPr>
        <w:t xml:space="preserve"> </w:t>
      </w:r>
      <w:r w:rsidRPr="00974030">
        <w:rPr>
          <w:rFonts w:asciiTheme="minorBidi" w:hAnsiTheme="minorBidi" w:cs="Arial" w:hint="cs"/>
          <w:rtl/>
        </w:rPr>
        <w:t>אפילו</w:t>
      </w:r>
      <w:r w:rsidRPr="00974030">
        <w:rPr>
          <w:rFonts w:asciiTheme="minorBidi" w:hAnsiTheme="minorBidi" w:cs="Arial"/>
          <w:rtl/>
        </w:rPr>
        <w:t xml:space="preserve"> </w:t>
      </w:r>
      <w:r w:rsidRPr="00974030">
        <w:rPr>
          <w:rFonts w:asciiTheme="minorBidi" w:hAnsiTheme="minorBidi" w:cs="Arial" w:hint="cs"/>
          <w:rtl/>
        </w:rPr>
        <w:t>הדליקה</w:t>
      </w:r>
      <w:r w:rsidRPr="00974030">
        <w:rPr>
          <w:rFonts w:asciiTheme="minorBidi" w:hAnsiTheme="minorBidi" w:cs="Arial"/>
          <w:rtl/>
        </w:rPr>
        <w:t xml:space="preserve"> </w:t>
      </w:r>
      <w:r w:rsidRPr="00974030">
        <w:rPr>
          <w:rFonts w:asciiTheme="minorBidi" w:hAnsiTheme="minorBidi" w:cs="Arial" w:hint="cs"/>
          <w:rtl/>
        </w:rPr>
        <w:t>בביתו</w:t>
      </w:r>
      <w:r w:rsidRPr="00974030">
        <w:rPr>
          <w:rFonts w:asciiTheme="minorBidi" w:hAnsiTheme="minorBidi" w:cs="Arial"/>
          <w:rtl/>
        </w:rPr>
        <w:t xml:space="preserve"> </w:t>
      </w:r>
      <w:r w:rsidRPr="00974030">
        <w:rPr>
          <w:rFonts w:asciiTheme="minorBidi" w:hAnsiTheme="minorBidi" w:cs="Arial" w:hint="cs"/>
          <w:rtl/>
        </w:rPr>
        <w:t>של</w:t>
      </w:r>
      <w:r w:rsidRPr="00974030">
        <w:rPr>
          <w:rFonts w:asciiTheme="minorBidi" w:hAnsiTheme="minorBidi" w:cs="Arial"/>
          <w:rtl/>
        </w:rPr>
        <w:t xml:space="preserve"> </w:t>
      </w:r>
      <w:r w:rsidRPr="00974030">
        <w:rPr>
          <w:rFonts w:asciiTheme="minorBidi" w:hAnsiTheme="minorBidi" w:cs="Arial" w:hint="cs"/>
          <w:rtl/>
        </w:rPr>
        <w:t>גוי</w:t>
      </w:r>
      <w:r w:rsidRPr="00974030">
        <w:rPr>
          <w:rFonts w:asciiTheme="minorBidi" w:hAnsiTheme="minorBidi" w:cs="Arial"/>
          <w:rtl/>
        </w:rPr>
        <w:t xml:space="preserve">, </w:t>
      </w:r>
      <w:r w:rsidRPr="00974030">
        <w:rPr>
          <w:rFonts w:asciiTheme="minorBidi" w:hAnsiTheme="minorBidi" w:cs="Arial" w:hint="cs"/>
          <w:rtl/>
        </w:rPr>
        <w:t>וכן</w:t>
      </w:r>
      <w:r w:rsidRPr="00974030">
        <w:rPr>
          <w:rFonts w:asciiTheme="minorBidi" w:hAnsiTheme="minorBidi" w:cs="Arial"/>
          <w:rtl/>
        </w:rPr>
        <w:t xml:space="preserve"> </w:t>
      </w:r>
      <w:r w:rsidRPr="00974030">
        <w:rPr>
          <w:rFonts w:asciiTheme="minorBidi" w:hAnsiTheme="minorBidi" w:cs="Arial" w:hint="cs"/>
          <w:rtl/>
        </w:rPr>
        <w:t>נוהגין</w:t>
      </w:r>
      <w:r w:rsidRPr="00974030">
        <w:rPr>
          <w:rFonts w:asciiTheme="minorBidi" w:hAnsiTheme="minorBidi" w:cs="Arial"/>
          <w:rtl/>
        </w:rPr>
        <w:t xml:space="preserve"> (</w:t>
      </w:r>
      <w:r w:rsidRPr="00974030">
        <w:rPr>
          <w:rFonts w:asciiTheme="minorBidi" w:hAnsiTheme="minorBidi" w:cs="Arial" w:hint="cs"/>
          <w:rtl/>
        </w:rPr>
        <w:t>תרומת</w:t>
      </w:r>
      <w:r w:rsidRPr="00974030">
        <w:rPr>
          <w:rFonts w:asciiTheme="minorBidi" w:hAnsiTheme="minorBidi" w:cs="Arial"/>
          <w:rtl/>
        </w:rPr>
        <w:t xml:space="preserve"> </w:t>
      </w:r>
      <w:r w:rsidRPr="00974030">
        <w:rPr>
          <w:rFonts w:asciiTheme="minorBidi" w:hAnsiTheme="minorBidi" w:cs="Arial" w:hint="cs"/>
          <w:rtl/>
        </w:rPr>
        <w:t>הדשן</w:t>
      </w:r>
      <w:r w:rsidRPr="00974030">
        <w:rPr>
          <w:rFonts w:asciiTheme="minorBidi" w:hAnsiTheme="minorBidi" w:cs="Arial"/>
          <w:rtl/>
        </w:rPr>
        <w:t xml:space="preserve"> </w:t>
      </w:r>
      <w:r w:rsidRPr="00974030">
        <w:rPr>
          <w:rFonts w:asciiTheme="minorBidi" w:hAnsiTheme="minorBidi" w:cs="Arial" w:hint="cs"/>
          <w:rtl/>
        </w:rPr>
        <w:t>סימן</w:t>
      </w:r>
      <w:r w:rsidRPr="00974030">
        <w:rPr>
          <w:rFonts w:asciiTheme="minorBidi" w:hAnsiTheme="minorBidi" w:cs="Arial"/>
          <w:rtl/>
        </w:rPr>
        <w:t xml:space="preserve"> </w:t>
      </w:r>
      <w:r w:rsidRPr="00974030">
        <w:rPr>
          <w:rFonts w:asciiTheme="minorBidi" w:hAnsiTheme="minorBidi" w:cs="Arial" w:hint="cs"/>
          <w:rtl/>
        </w:rPr>
        <w:t>נ</w:t>
      </w:r>
      <w:r w:rsidRPr="00974030">
        <w:rPr>
          <w:rFonts w:asciiTheme="minorBidi" w:hAnsiTheme="minorBidi" w:cs="Arial"/>
          <w:rtl/>
        </w:rPr>
        <w:t>"</w:t>
      </w:r>
      <w:r w:rsidRPr="00974030">
        <w:rPr>
          <w:rFonts w:asciiTheme="minorBidi" w:hAnsiTheme="minorBidi" w:cs="Arial" w:hint="cs"/>
          <w:rtl/>
        </w:rPr>
        <w:t>ח</w:t>
      </w:r>
      <w:r w:rsidRPr="00974030">
        <w:rPr>
          <w:rFonts w:asciiTheme="minorBidi" w:hAnsiTheme="minorBidi" w:cs="Arial"/>
          <w:rtl/>
        </w:rPr>
        <w:t xml:space="preserve"> </w:t>
      </w:r>
      <w:r w:rsidRPr="00974030">
        <w:rPr>
          <w:rFonts w:asciiTheme="minorBidi" w:hAnsiTheme="minorBidi" w:cs="Arial" w:hint="cs"/>
          <w:rtl/>
        </w:rPr>
        <w:t>והגהות</w:t>
      </w:r>
      <w:r w:rsidRPr="00974030">
        <w:rPr>
          <w:rFonts w:asciiTheme="minorBidi" w:hAnsiTheme="minorBidi" w:cs="Arial"/>
          <w:rtl/>
        </w:rPr>
        <w:t xml:space="preserve"> </w:t>
      </w:r>
      <w:r w:rsidRPr="00974030">
        <w:rPr>
          <w:rFonts w:asciiTheme="minorBidi" w:hAnsiTheme="minorBidi" w:cs="Arial" w:hint="cs"/>
          <w:rtl/>
        </w:rPr>
        <w:t>אשירי</w:t>
      </w:r>
      <w:r w:rsidRPr="00974030">
        <w:rPr>
          <w:rFonts w:asciiTheme="minorBidi" w:hAnsiTheme="minorBidi" w:cs="Arial"/>
          <w:rtl/>
        </w:rPr>
        <w:t xml:space="preserve"> </w:t>
      </w:r>
      <w:r w:rsidRPr="00974030">
        <w:rPr>
          <w:rFonts w:asciiTheme="minorBidi" w:hAnsiTheme="minorBidi" w:cs="Arial" w:hint="cs"/>
          <w:rtl/>
        </w:rPr>
        <w:t>פרק</w:t>
      </w:r>
      <w:r w:rsidRPr="00974030">
        <w:rPr>
          <w:rFonts w:asciiTheme="minorBidi" w:hAnsiTheme="minorBidi" w:cs="Arial"/>
          <w:rtl/>
        </w:rPr>
        <w:t xml:space="preserve"> </w:t>
      </w:r>
      <w:r w:rsidRPr="00974030">
        <w:rPr>
          <w:rFonts w:asciiTheme="minorBidi" w:hAnsiTheme="minorBidi" w:cs="Arial" w:hint="cs"/>
          <w:rtl/>
        </w:rPr>
        <w:t>מי</w:t>
      </w:r>
      <w:r w:rsidRPr="00974030">
        <w:rPr>
          <w:rFonts w:asciiTheme="minorBidi" w:hAnsiTheme="minorBidi" w:cs="Arial"/>
          <w:rtl/>
        </w:rPr>
        <w:t xml:space="preserve"> </w:t>
      </w:r>
      <w:r w:rsidRPr="00974030">
        <w:rPr>
          <w:rFonts w:asciiTheme="minorBidi" w:hAnsiTheme="minorBidi" w:cs="Arial" w:hint="cs"/>
          <w:rtl/>
        </w:rPr>
        <w:t>שהוציאוהו</w:t>
      </w:r>
      <w:r w:rsidRPr="00974030">
        <w:rPr>
          <w:rFonts w:asciiTheme="minorBidi" w:hAnsiTheme="minorBidi" w:cs="Arial"/>
          <w:rtl/>
        </w:rPr>
        <w:t xml:space="preserve"> </w:t>
      </w:r>
      <w:r w:rsidRPr="00974030">
        <w:rPr>
          <w:rFonts w:asciiTheme="minorBidi" w:hAnsiTheme="minorBidi" w:cs="Arial" w:hint="cs"/>
          <w:rtl/>
        </w:rPr>
        <w:t>בשם</w:t>
      </w:r>
      <w:r w:rsidRPr="00974030">
        <w:rPr>
          <w:rFonts w:asciiTheme="minorBidi" w:hAnsiTheme="minorBidi" w:cs="Arial"/>
          <w:rtl/>
        </w:rPr>
        <w:t xml:space="preserve"> </w:t>
      </w:r>
      <w:r w:rsidRPr="00974030">
        <w:rPr>
          <w:rFonts w:asciiTheme="minorBidi" w:hAnsiTheme="minorBidi" w:cs="Arial" w:hint="cs"/>
          <w:rtl/>
        </w:rPr>
        <w:t>א</w:t>
      </w:r>
      <w:r w:rsidRPr="00974030">
        <w:rPr>
          <w:rFonts w:asciiTheme="minorBidi" w:hAnsiTheme="minorBidi" w:cs="Arial"/>
          <w:rtl/>
        </w:rPr>
        <w:t>"</w:t>
      </w:r>
      <w:r w:rsidRPr="00974030">
        <w:rPr>
          <w:rFonts w:asciiTheme="minorBidi" w:hAnsiTheme="minorBidi" w:cs="Arial" w:hint="cs"/>
          <w:rtl/>
        </w:rPr>
        <w:t>ז</w:t>
      </w:r>
      <w:r w:rsidRPr="00974030">
        <w:rPr>
          <w:rFonts w:asciiTheme="minorBidi" w:hAnsiTheme="minorBidi" w:cs="Arial"/>
          <w:rtl/>
        </w:rPr>
        <w:t xml:space="preserve">); </w:t>
      </w:r>
      <w:r w:rsidRPr="00974030">
        <w:rPr>
          <w:rFonts w:asciiTheme="minorBidi" w:hAnsiTheme="minorBidi" w:cs="Arial" w:hint="cs"/>
          <w:rtl/>
        </w:rPr>
        <w:t>ודוקא</w:t>
      </w:r>
      <w:r w:rsidRPr="00974030">
        <w:rPr>
          <w:rFonts w:asciiTheme="minorBidi" w:hAnsiTheme="minorBidi" w:cs="Arial"/>
          <w:rtl/>
        </w:rPr>
        <w:t xml:space="preserve"> </w:t>
      </w:r>
      <w:r w:rsidRPr="00974030">
        <w:rPr>
          <w:rFonts w:asciiTheme="minorBidi" w:hAnsiTheme="minorBidi" w:cs="Arial" w:hint="cs"/>
          <w:rtl/>
        </w:rPr>
        <w:t>לכבות</w:t>
      </w:r>
      <w:r w:rsidRPr="00974030">
        <w:rPr>
          <w:rFonts w:asciiTheme="minorBidi" w:hAnsiTheme="minorBidi" w:cs="Arial"/>
          <w:rtl/>
        </w:rPr>
        <w:t xml:space="preserve"> </w:t>
      </w:r>
      <w:r w:rsidRPr="00974030">
        <w:rPr>
          <w:rFonts w:asciiTheme="minorBidi" w:hAnsiTheme="minorBidi" w:cs="Arial" w:hint="cs"/>
          <w:rtl/>
        </w:rPr>
        <w:t>הדליקה</w:t>
      </w:r>
      <w:r w:rsidRPr="00974030">
        <w:rPr>
          <w:rFonts w:asciiTheme="minorBidi" w:hAnsiTheme="minorBidi" w:cs="Arial"/>
          <w:rtl/>
        </w:rPr>
        <w:t xml:space="preserve"> </w:t>
      </w:r>
      <w:r w:rsidRPr="00974030">
        <w:rPr>
          <w:rFonts w:asciiTheme="minorBidi" w:hAnsiTheme="minorBidi" w:cs="Arial" w:hint="cs"/>
          <w:rtl/>
        </w:rPr>
        <w:t>דהוי</w:t>
      </w:r>
      <w:r w:rsidRPr="00974030">
        <w:rPr>
          <w:rFonts w:asciiTheme="minorBidi" w:hAnsiTheme="minorBidi" w:cs="Arial"/>
          <w:rtl/>
        </w:rPr>
        <w:t xml:space="preserve"> </w:t>
      </w:r>
      <w:r w:rsidRPr="00974030">
        <w:rPr>
          <w:rFonts w:asciiTheme="minorBidi" w:hAnsiTheme="minorBidi" w:cs="Arial" w:hint="cs"/>
          <w:rtl/>
        </w:rPr>
        <w:t>מלאכה</w:t>
      </w:r>
      <w:r w:rsidRPr="00974030">
        <w:rPr>
          <w:rFonts w:asciiTheme="minorBidi" w:hAnsiTheme="minorBidi" w:cs="Arial"/>
          <w:rtl/>
        </w:rPr>
        <w:t xml:space="preserve"> </w:t>
      </w:r>
      <w:r w:rsidRPr="00974030">
        <w:rPr>
          <w:rFonts w:asciiTheme="minorBidi" w:hAnsiTheme="minorBidi" w:cs="Arial" w:hint="cs"/>
          <w:rtl/>
        </w:rPr>
        <w:t>שאינה</w:t>
      </w:r>
      <w:r w:rsidRPr="00974030">
        <w:rPr>
          <w:rFonts w:asciiTheme="minorBidi" w:hAnsiTheme="minorBidi" w:cs="Arial"/>
          <w:rtl/>
        </w:rPr>
        <w:t xml:space="preserve"> </w:t>
      </w:r>
      <w:r w:rsidRPr="00974030">
        <w:rPr>
          <w:rFonts w:asciiTheme="minorBidi" w:hAnsiTheme="minorBidi" w:cs="Arial" w:hint="cs"/>
          <w:rtl/>
        </w:rPr>
        <w:t>צריכה</w:t>
      </w:r>
      <w:r w:rsidRPr="00974030">
        <w:rPr>
          <w:rFonts w:asciiTheme="minorBidi" w:hAnsiTheme="minorBidi" w:cs="Arial"/>
          <w:rtl/>
        </w:rPr>
        <w:t xml:space="preserve"> </w:t>
      </w:r>
      <w:r w:rsidRPr="00974030">
        <w:rPr>
          <w:rFonts w:asciiTheme="minorBidi" w:hAnsiTheme="minorBidi" w:cs="Arial" w:hint="cs"/>
          <w:rtl/>
        </w:rPr>
        <w:t>לגופה</w:t>
      </w:r>
      <w:r w:rsidRPr="00974030">
        <w:rPr>
          <w:rFonts w:asciiTheme="minorBidi" w:hAnsiTheme="minorBidi" w:cs="Arial"/>
          <w:rtl/>
        </w:rPr>
        <w:t xml:space="preserve">, </w:t>
      </w:r>
      <w:r w:rsidRPr="00974030">
        <w:rPr>
          <w:rFonts w:asciiTheme="minorBidi" w:hAnsiTheme="minorBidi" w:cs="Arial" w:hint="cs"/>
          <w:rtl/>
        </w:rPr>
        <w:t>ויש</w:t>
      </w:r>
      <w:r w:rsidRPr="00974030">
        <w:rPr>
          <w:rFonts w:asciiTheme="minorBidi" w:hAnsiTheme="minorBidi" w:cs="Arial"/>
          <w:rtl/>
        </w:rPr>
        <w:t xml:space="preserve"> </w:t>
      </w:r>
      <w:r w:rsidRPr="00974030">
        <w:rPr>
          <w:rFonts w:asciiTheme="minorBidi" w:hAnsiTheme="minorBidi" w:cs="Arial" w:hint="cs"/>
          <w:rtl/>
        </w:rPr>
        <w:t>סכנה</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יכבה</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לחלל</w:t>
      </w:r>
      <w:r w:rsidRPr="00974030">
        <w:rPr>
          <w:rFonts w:asciiTheme="minorBidi" w:hAnsiTheme="minorBidi" w:cs="Arial"/>
          <w:rtl/>
        </w:rPr>
        <w:t xml:space="preserve"> </w:t>
      </w:r>
      <w:r w:rsidRPr="00974030">
        <w:rPr>
          <w:rFonts w:asciiTheme="minorBidi" w:hAnsiTheme="minorBidi" w:cs="Arial" w:hint="cs"/>
          <w:rtl/>
        </w:rPr>
        <w:t>שבת</w:t>
      </w:r>
      <w:r w:rsidRPr="00974030">
        <w:rPr>
          <w:rFonts w:asciiTheme="minorBidi" w:hAnsiTheme="minorBidi" w:cs="Arial"/>
          <w:rtl/>
        </w:rPr>
        <w:t xml:space="preserve"> </w:t>
      </w:r>
      <w:r w:rsidRPr="00974030">
        <w:rPr>
          <w:rFonts w:asciiTheme="minorBidi" w:hAnsiTheme="minorBidi" w:cs="Arial" w:hint="cs"/>
          <w:rtl/>
        </w:rPr>
        <w:t>כדי</w:t>
      </w:r>
      <w:r w:rsidRPr="00974030">
        <w:rPr>
          <w:rFonts w:asciiTheme="minorBidi" w:hAnsiTheme="minorBidi" w:cs="Arial"/>
          <w:rtl/>
        </w:rPr>
        <w:t xml:space="preserve"> </w:t>
      </w:r>
      <w:r w:rsidRPr="00974030">
        <w:rPr>
          <w:rFonts w:asciiTheme="minorBidi" w:hAnsiTheme="minorBidi" w:cs="Arial" w:hint="cs"/>
          <w:rtl/>
        </w:rPr>
        <w:t>להציל</w:t>
      </w:r>
      <w:r w:rsidRPr="00974030">
        <w:rPr>
          <w:rFonts w:asciiTheme="minorBidi" w:hAnsiTheme="minorBidi" w:cs="Arial"/>
          <w:rtl/>
        </w:rPr>
        <w:t xml:space="preserve"> (</w:t>
      </w:r>
      <w:r w:rsidRPr="00974030">
        <w:rPr>
          <w:rFonts w:asciiTheme="minorBidi" w:hAnsiTheme="minorBidi" w:cs="Arial" w:hint="cs"/>
          <w:rtl/>
        </w:rPr>
        <w:t>ממון</w:t>
      </w:r>
      <w:r w:rsidRPr="00974030">
        <w:rPr>
          <w:rFonts w:asciiTheme="minorBidi" w:hAnsiTheme="minorBidi" w:cs="Arial"/>
          <w:rtl/>
        </w:rPr>
        <w:t xml:space="preserve">), </w:t>
      </w:r>
      <w:r w:rsidRPr="00974030">
        <w:rPr>
          <w:rFonts w:asciiTheme="minorBidi" w:hAnsiTheme="minorBidi" w:cs="Arial" w:hint="cs"/>
          <w:rtl/>
        </w:rPr>
        <w:t>ואם</w:t>
      </w:r>
      <w:r w:rsidRPr="00974030">
        <w:rPr>
          <w:rFonts w:asciiTheme="minorBidi" w:hAnsiTheme="minorBidi" w:cs="Arial"/>
          <w:rtl/>
        </w:rPr>
        <w:t xml:space="preserve"> </w:t>
      </w:r>
      <w:r w:rsidRPr="00974030">
        <w:rPr>
          <w:rFonts w:asciiTheme="minorBidi" w:hAnsiTheme="minorBidi" w:cs="Arial" w:hint="cs"/>
          <w:rtl/>
        </w:rPr>
        <w:t>עבר</w:t>
      </w:r>
      <w:r w:rsidRPr="00974030">
        <w:rPr>
          <w:rFonts w:asciiTheme="minorBidi" w:hAnsiTheme="minorBidi" w:cs="Arial"/>
          <w:rtl/>
        </w:rPr>
        <w:t xml:space="preserve"> </w:t>
      </w:r>
      <w:r w:rsidRPr="00974030">
        <w:rPr>
          <w:rFonts w:asciiTheme="minorBidi" w:hAnsiTheme="minorBidi" w:cs="Arial" w:hint="cs"/>
          <w:rtl/>
        </w:rPr>
        <w:t>וחילל</w:t>
      </w:r>
      <w:r w:rsidRPr="00974030">
        <w:rPr>
          <w:rFonts w:asciiTheme="minorBidi" w:hAnsiTheme="minorBidi" w:cs="Arial"/>
          <w:rtl/>
        </w:rPr>
        <w:t xml:space="preserve"> </w:t>
      </w:r>
      <w:r w:rsidRPr="00974030">
        <w:rPr>
          <w:rFonts w:asciiTheme="minorBidi" w:hAnsiTheme="minorBidi" w:cs="Arial" w:hint="cs"/>
          <w:rtl/>
        </w:rPr>
        <w:t>צריך</w:t>
      </w:r>
      <w:r w:rsidRPr="00974030">
        <w:rPr>
          <w:rFonts w:asciiTheme="minorBidi" w:hAnsiTheme="minorBidi" w:cs="Arial"/>
          <w:rtl/>
        </w:rPr>
        <w:t xml:space="preserve"> </w:t>
      </w:r>
      <w:r w:rsidRPr="00974030">
        <w:rPr>
          <w:rFonts w:asciiTheme="minorBidi" w:hAnsiTheme="minorBidi" w:cs="Arial" w:hint="cs"/>
          <w:rtl/>
        </w:rPr>
        <w:t>להתענות</w:t>
      </w:r>
      <w:r w:rsidRPr="00974030">
        <w:rPr>
          <w:rFonts w:asciiTheme="minorBidi" w:hAnsiTheme="minorBidi" w:cs="Arial"/>
          <w:rtl/>
        </w:rPr>
        <w:t xml:space="preserve"> </w:t>
      </w:r>
      <w:r w:rsidRPr="00974030">
        <w:rPr>
          <w:rFonts w:asciiTheme="minorBidi" w:hAnsiTheme="minorBidi" w:cs="Arial" w:hint="cs"/>
          <w:rtl/>
        </w:rPr>
        <w:t>ארבעים</w:t>
      </w:r>
      <w:r w:rsidRPr="00974030">
        <w:rPr>
          <w:rFonts w:asciiTheme="minorBidi" w:hAnsiTheme="minorBidi" w:cs="Arial"/>
          <w:rtl/>
        </w:rPr>
        <w:t xml:space="preserve"> </w:t>
      </w:r>
      <w:r w:rsidRPr="00974030">
        <w:rPr>
          <w:rFonts w:asciiTheme="minorBidi" w:hAnsiTheme="minorBidi" w:cs="Arial" w:hint="cs"/>
          <w:rtl/>
        </w:rPr>
        <w:t>יום</w:t>
      </w:r>
      <w:r w:rsidRPr="00974030">
        <w:rPr>
          <w:rFonts w:asciiTheme="minorBidi" w:hAnsiTheme="minorBidi" w:cs="Arial"/>
          <w:rtl/>
        </w:rPr>
        <w:t xml:space="preserve"> </w:t>
      </w:r>
      <w:r w:rsidRPr="00974030">
        <w:rPr>
          <w:rFonts w:asciiTheme="minorBidi" w:hAnsiTheme="minorBidi" w:cs="Arial" w:hint="cs"/>
          <w:rtl/>
        </w:rPr>
        <w:t>שני</w:t>
      </w:r>
      <w:r w:rsidRPr="00974030">
        <w:rPr>
          <w:rFonts w:asciiTheme="minorBidi" w:hAnsiTheme="minorBidi" w:cs="Arial"/>
          <w:rtl/>
        </w:rPr>
        <w:t xml:space="preserve"> </w:t>
      </w:r>
      <w:r w:rsidRPr="00974030">
        <w:rPr>
          <w:rFonts w:asciiTheme="minorBidi" w:hAnsiTheme="minorBidi" w:cs="Arial" w:hint="cs"/>
          <w:rtl/>
        </w:rPr>
        <w:t>וחמישי</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ישתה</w:t>
      </w:r>
      <w:r w:rsidRPr="00974030">
        <w:rPr>
          <w:rFonts w:asciiTheme="minorBidi" w:hAnsiTheme="minorBidi" w:cs="Arial"/>
          <w:rtl/>
        </w:rPr>
        <w:t xml:space="preserve"> </w:t>
      </w:r>
      <w:r w:rsidRPr="00974030">
        <w:rPr>
          <w:rFonts w:asciiTheme="minorBidi" w:hAnsiTheme="minorBidi" w:cs="Arial" w:hint="cs"/>
          <w:rtl/>
        </w:rPr>
        <w:t>יין</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יאכל</w:t>
      </w:r>
      <w:r w:rsidRPr="00974030">
        <w:rPr>
          <w:rFonts w:asciiTheme="minorBidi" w:hAnsiTheme="minorBidi" w:cs="Arial"/>
          <w:rtl/>
        </w:rPr>
        <w:t xml:space="preserve"> </w:t>
      </w:r>
      <w:r w:rsidRPr="00974030">
        <w:rPr>
          <w:rFonts w:asciiTheme="minorBidi" w:hAnsiTheme="minorBidi" w:cs="Arial" w:hint="cs"/>
          <w:rtl/>
        </w:rPr>
        <w:t>בשר</w:t>
      </w:r>
      <w:r w:rsidRPr="00974030">
        <w:rPr>
          <w:rFonts w:asciiTheme="minorBidi" w:hAnsiTheme="minorBidi" w:cs="Arial"/>
          <w:rtl/>
        </w:rPr>
        <w:t xml:space="preserve">, </w:t>
      </w:r>
      <w:r w:rsidRPr="00974030">
        <w:rPr>
          <w:rFonts w:asciiTheme="minorBidi" w:hAnsiTheme="minorBidi" w:cs="Arial" w:hint="cs"/>
          <w:rtl/>
        </w:rPr>
        <w:t>ויתן</w:t>
      </w:r>
      <w:r w:rsidRPr="00974030">
        <w:rPr>
          <w:rFonts w:asciiTheme="minorBidi" w:hAnsiTheme="minorBidi" w:cs="Arial"/>
          <w:rtl/>
        </w:rPr>
        <w:t xml:space="preserve"> </w:t>
      </w:r>
      <w:r w:rsidRPr="00974030">
        <w:rPr>
          <w:rFonts w:asciiTheme="minorBidi" w:hAnsiTheme="minorBidi" w:cs="Arial" w:hint="cs"/>
          <w:rtl/>
        </w:rPr>
        <w:t>במקום</w:t>
      </w:r>
      <w:r w:rsidRPr="00974030">
        <w:rPr>
          <w:rFonts w:asciiTheme="minorBidi" w:hAnsiTheme="minorBidi" w:cs="Arial"/>
          <w:rtl/>
        </w:rPr>
        <w:t xml:space="preserve"> </w:t>
      </w:r>
      <w:r w:rsidRPr="00974030">
        <w:rPr>
          <w:rFonts w:asciiTheme="minorBidi" w:hAnsiTheme="minorBidi" w:cs="Arial" w:hint="cs"/>
          <w:rtl/>
        </w:rPr>
        <w:t>חטאת</w:t>
      </w:r>
      <w:r w:rsidRPr="00974030">
        <w:rPr>
          <w:rFonts w:asciiTheme="minorBidi" w:hAnsiTheme="minorBidi" w:cs="Arial"/>
          <w:rtl/>
        </w:rPr>
        <w:t xml:space="preserve"> </w:t>
      </w:r>
      <w:r w:rsidRPr="00974030">
        <w:rPr>
          <w:rFonts w:asciiTheme="minorBidi" w:hAnsiTheme="minorBidi" w:cs="Arial" w:hint="cs"/>
          <w:rtl/>
        </w:rPr>
        <w:t>י</w:t>
      </w:r>
      <w:r w:rsidRPr="00974030">
        <w:rPr>
          <w:rFonts w:asciiTheme="minorBidi" w:hAnsiTheme="minorBidi" w:cs="Arial"/>
          <w:rtl/>
        </w:rPr>
        <w:t>"</w:t>
      </w:r>
      <w:r w:rsidRPr="00974030">
        <w:rPr>
          <w:rFonts w:asciiTheme="minorBidi" w:hAnsiTheme="minorBidi" w:cs="Arial" w:hint="cs"/>
          <w:rtl/>
        </w:rPr>
        <w:t>ח</w:t>
      </w:r>
      <w:r w:rsidRPr="00974030">
        <w:rPr>
          <w:rFonts w:asciiTheme="minorBidi" w:hAnsiTheme="minorBidi" w:cs="Arial"/>
          <w:rtl/>
        </w:rPr>
        <w:t xml:space="preserve"> </w:t>
      </w:r>
      <w:r w:rsidRPr="00974030">
        <w:rPr>
          <w:rFonts w:asciiTheme="minorBidi" w:hAnsiTheme="minorBidi" w:cs="Arial" w:hint="cs"/>
          <w:rtl/>
        </w:rPr>
        <w:t>פשיטים</w:t>
      </w:r>
      <w:r w:rsidRPr="00974030">
        <w:rPr>
          <w:rFonts w:asciiTheme="minorBidi" w:hAnsiTheme="minorBidi" w:cs="Arial"/>
          <w:rtl/>
        </w:rPr>
        <w:t xml:space="preserve"> </w:t>
      </w:r>
      <w:r w:rsidRPr="00974030">
        <w:rPr>
          <w:rFonts w:asciiTheme="minorBidi" w:hAnsiTheme="minorBidi" w:cs="Arial" w:hint="cs"/>
          <w:rtl/>
        </w:rPr>
        <w:t>לצדקה</w:t>
      </w:r>
      <w:r w:rsidRPr="00974030">
        <w:rPr>
          <w:rFonts w:asciiTheme="minorBidi" w:hAnsiTheme="minorBidi" w:cs="Arial"/>
          <w:rtl/>
        </w:rPr>
        <w:t xml:space="preserve">; </w:t>
      </w:r>
      <w:r w:rsidRPr="00974030">
        <w:rPr>
          <w:rFonts w:asciiTheme="minorBidi" w:hAnsiTheme="minorBidi" w:cs="Arial" w:hint="cs"/>
          <w:rtl/>
        </w:rPr>
        <w:t>ואם</w:t>
      </w:r>
      <w:r w:rsidRPr="00974030">
        <w:rPr>
          <w:rFonts w:asciiTheme="minorBidi" w:hAnsiTheme="minorBidi" w:cs="Arial"/>
          <w:rtl/>
        </w:rPr>
        <w:t xml:space="preserve"> </w:t>
      </w:r>
      <w:r w:rsidRPr="00974030">
        <w:rPr>
          <w:rFonts w:asciiTheme="minorBidi" w:hAnsiTheme="minorBidi" w:cs="Arial" w:hint="cs"/>
          <w:rtl/>
        </w:rPr>
        <w:t>ירצה</w:t>
      </w:r>
      <w:r w:rsidRPr="00974030">
        <w:rPr>
          <w:rFonts w:asciiTheme="minorBidi" w:hAnsiTheme="minorBidi" w:cs="Arial"/>
          <w:rtl/>
        </w:rPr>
        <w:t xml:space="preserve"> </w:t>
      </w:r>
      <w:r w:rsidRPr="00974030">
        <w:rPr>
          <w:rFonts w:asciiTheme="minorBidi" w:hAnsiTheme="minorBidi" w:cs="Arial" w:hint="cs"/>
          <w:rtl/>
        </w:rPr>
        <w:t>לפדות</w:t>
      </w:r>
      <w:r w:rsidRPr="00974030">
        <w:rPr>
          <w:rFonts w:asciiTheme="minorBidi" w:hAnsiTheme="minorBidi" w:cs="Arial"/>
          <w:rtl/>
        </w:rPr>
        <w:t xml:space="preserve"> </w:t>
      </w:r>
      <w:r w:rsidRPr="00974030">
        <w:rPr>
          <w:rFonts w:asciiTheme="minorBidi" w:hAnsiTheme="minorBidi" w:cs="Arial" w:hint="cs"/>
          <w:rtl/>
        </w:rPr>
        <w:t>התענית</w:t>
      </w:r>
      <w:r w:rsidRPr="00974030">
        <w:rPr>
          <w:rFonts w:asciiTheme="minorBidi" w:hAnsiTheme="minorBidi" w:cs="Arial"/>
          <w:rtl/>
        </w:rPr>
        <w:t xml:space="preserve">, </w:t>
      </w:r>
      <w:r w:rsidRPr="00974030">
        <w:rPr>
          <w:rFonts w:asciiTheme="minorBidi" w:hAnsiTheme="minorBidi" w:cs="Arial" w:hint="cs"/>
          <w:rtl/>
        </w:rPr>
        <w:t>יתן</w:t>
      </w:r>
      <w:r w:rsidRPr="00974030">
        <w:rPr>
          <w:rFonts w:asciiTheme="minorBidi" w:hAnsiTheme="minorBidi" w:cs="Arial"/>
          <w:rtl/>
        </w:rPr>
        <w:t xml:space="preserve"> </w:t>
      </w:r>
      <w:r w:rsidRPr="00974030">
        <w:rPr>
          <w:rFonts w:asciiTheme="minorBidi" w:hAnsiTheme="minorBidi" w:cs="Arial" w:hint="cs"/>
          <w:rtl/>
        </w:rPr>
        <w:t>בעד</w:t>
      </w:r>
      <w:r w:rsidRPr="00974030">
        <w:rPr>
          <w:rFonts w:asciiTheme="minorBidi" w:hAnsiTheme="minorBidi" w:cs="Arial"/>
          <w:rtl/>
        </w:rPr>
        <w:t xml:space="preserve"> </w:t>
      </w:r>
      <w:r w:rsidRPr="00974030">
        <w:rPr>
          <w:rFonts w:asciiTheme="minorBidi" w:hAnsiTheme="minorBidi" w:cs="Arial" w:hint="cs"/>
          <w:rtl/>
        </w:rPr>
        <w:t>כל</w:t>
      </w:r>
      <w:r w:rsidRPr="00974030">
        <w:rPr>
          <w:rFonts w:asciiTheme="minorBidi" w:hAnsiTheme="minorBidi" w:cs="Arial"/>
          <w:rtl/>
        </w:rPr>
        <w:t xml:space="preserve"> </w:t>
      </w:r>
      <w:r w:rsidRPr="00974030">
        <w:rPr>
          <w:rFonts w:asciiTheme="minorBidi" w:hAnsiTheme="minorBidi" w:cs="Arial" w:hint="cs"/>
          <w:rtl/>
        </w:rPr>
        <w:t>יום</w:t>
      </w:r>
      <w:r w:rsidRPr="00974030">
        <w:rPr>
          <w:rFonts w:asciiTheme="minorBidi" w:hAnsiTheme="minorBidi" w:cs="Arial"/>
          <w:rtl/>
        </w:rPr>
        <w:t xml:space="preserve"> </w:t>
      </w:r>
      <w:r w:rsidRPr="00974030">
        <w:rPr>
          <w:rFonts w:asciiTheme="minorBidi" w:hAnsiTheme="minorBidi" w:cs="Arial" w:hint="cs"/>
          <w:rtl/>
        </w:rPr>
        <w:t>שנים</w:t>
      </w:r>
      <w:r w:rsidRPr="00974030">
        <w:rPr>
          <w:rFonts w:asciiTheme="minorBidi" w:hAnsiTheme="minorBidi" w:cs="Arial"/>
          <w:rtl/>
        </w:rPr>
        <w:t xml:space="preserve"> </w:t>
      </w:r>
      <w:r w:rsidRPr="00974030">
        <w:rPr>
          <w:rFonts w:asciiTheme="minorBidi" w:hAnsiTheme="minorBidi" w:cs="Arial" w:hint="cs"/>
          <w:rtl/>
        </w:rPr>
        <w:t>עשר</w:t>
      </w:r>
      <w:r w:rsidRPr="00974030">
        <w:rPr>
          <w:rFonts w:asciiTheme="minorBidi" w:hAnsiTheme="minorBidi" w:cs="Arial"/>
          <w:rtl/>
        </w:rPr>
        <w:t xml:space="preserve"> </w:t>
      </w:r>
      <w:r w:rsidRPr="00974030">
        <w:rPr>
          <w:rFonts w:asciiTheme="minorBidi" w:hAnsiTheme="minorBidi" w:cs="Arial" w:hint="cs"/>
          <w:rtl/>
        </w:rPr>
        <w:t>פשיטים</w:t>
      </w:r>
      <w:r w:rsidRPr="00974030">
        <w:rPr>
          <w:rFonts w:asciiTheme="minorBidi" w:hAnsiTheme="minorBidi" w:cs="Arial"/>
          <w:rtl/>
        </w:rPr>
        <w:t xml:space="preserve"> </w:t>
      </w:r>
      <w:r w:rsidRPr="00974030">
        <w:rPr>
          <w:rFonts w:asciiTheme="minorBidi" w:hAnsiTheme="minorBidi" w:cs="Arial" w:hint="cs"/>
          <w:rtl/>
        </w:rPr>
        <w:t>לצדקה</w:t>
      </w:r>
      <w:r w:rsidRPr="00974030">
        <w:rPr>
          <w:rFonts w:asciiTheme="minorBidi" w:hAnsiTheme="minorBidi" w:cs="Arial"/>
          <w:rtl/>
        </w:rPr>
        <w:t xml:space="preserve"> (</w:t>
      </w:r>
      <w:r w:rsidRPr="00974030">
        <w:rPr>
          <w:rFonts w:asciiTheme="minorBidi" w:hAnsiTheme="minorBidi" w:cs="Arial" w:hint="cs"/>
          <w:rtl/>
        </w:rPr>
        <w:t>פסקי</w:t>
      </w:r>
      <w:r w:rsidRPr="00974030">
        <w:rPr>
          <w:rFonts w:asciiTheme="minorBidi" w:hAnsiTheme="minorBidi" w:cs="Arial"/>
          <w:rtl/>
        </w:rPr>
        <w:t xml:space="preserve"> </w:t>
      </w:r>
      <w:r w:rsidRPr="00974030">
        <w:rPr>
          <w:rFonts w:asciiTheme="minorBidi" w:hAnsiTheme="minorBidi" w:cs="Arial" w:hint="cs"/>
          <w:rtl/>
        </w:rPr>
        <w:t>מהר</w:t>
      </w:r>
      <w:r>
        <w:rPr>
          <w:rFonts w:asciiTheme="minorBidi" w:hAnsiTheme="minorBidi" w:cs="Arial" w:hint="cs"/>
          <w:rtl/>
        </w:rPr>
        <w:t>גוי</w:t>
      </w:r>
      <w:r w:rsidRPr="00974030">
        <w:rPr>
          <w:rFonts w:asciiTheme="minorBidi" w:hAnsiTheme="minorBidi" w:cs="Arial"/>
          <w:rtl/>
        </w:rPr>
        <w:t xml:space="preserve"> </w:t>
      </w:r>
      <w:r w:rsidRPr="00974030">
        <w:rPr>
          <w:rFonts w:asciiTheme="minorBidi" w:hAnsiTheme="minorBidi" w:cs="Arial" w:hint="cs"/>
          <w:rtl/>
        </w:rPr>
        <w:t>סימן</w:t>
      </w:r>
      <w:r w:rsidRPr="00974030">
        <w:rPr>
          <w:rFonts w:asciiTheme="minorBidi" w:hAnsiTheme="minorBidi" w:cs="Arial"/>
          <w:rtl/>
        </w:rPr>
        <w:t xml:space="preserve"> </w:t>
      </w:r>
      <w:r w:rsidRPr="00974030">
        <w:rPr>
          <w:rFonts w:asciiTheme="minorBidi" w:hAnsiTheme="minorBidi" w:cs="Arial" w:hint="cs"/>
          <w:rtl/>
        </w:rPr>
        <w:t>ט</w:t>
      </w:r>
      <w:r w:rsidRPr="00974030">
        <w:rPr>
          <w:rFonts w:asciiTheme="minorBidi" w:hAnsiTheme="minorBidi" w:cs="Arial"/>
          <w:rtl/>
        </w:rPr>
        <w:t>' /</w:t>
      </w:r>
      <w:r w:rsidRPr="00974030">
        <w:rPr>
          <w:rFonts w:asciiTheme="minorBidi" w:hAnsiTheme="minorBidi" w:cs="Arial" w:hint="cs"/>
          <w:rtl/>
        </w:rPr>
        <w:t>ס</w:t>
      </w:r>
      <w:r w:rsidRPr="00974030">
        <w:rPr>
          <w:rFonts w:asciiTheme="minorBidi" w:hAnsiTheme="minorBidi" w:cs="Arial"/>
          <w:rtl/>
        </w:rPr>
        <w:t xml:space="preserve">'/). </w:t>
      </w:r>
      <w:r w:rsidRPr="00974030">
        <w:rPr>
          <w:rFonts w:asciiTheme="minorBidi" w:hAnsiTheme="minorBidi" w:cs="Arial" w:hint="cs"/>
          <w:rtl/>
        </w:rPr>
        <w:t>ועיין</w:t>
      </w:r>
      <w:r w:rsidRPr="00974030">
        <w:rPr>
          <w:rFonts w:asciiTheme="minorBidi" w:hAnsiTheme="minorBidi" w:cs="Arial"/>
          <w:rtl/>
        </w:rPr>
        <w:t xml:space="preserve"> </w:t>
      </w:r>
      <w:r w:rsidRPr="00974030">
        <w:rPr>
          <w:rFonts w:asciiTheme="minorBidi" w:hAnsiTheme="minorBidi" w:cs="Arial" w:hint="cs"/>
          <w:rtl/>
        </w:rPr>
        <w:t>בטור</w:t>
      </w:r>
      <w:r w:rsidRPr="00974030">
        <w:rPr>
          <w:rFonts w:asciiTheme="minorBidi" w:hAnsiTheme="minorBidi" w:cs="Arial"/>
          <w:rtl/>
        </w:rPr>
        <w:t xml:space="preserve"> </w:t>
      </w:r>
      <w:r w:rsidRPr="00974030">
        <w:rPr>
          <w:rFonts w:asciiTheme="minorBidi" w:hAnsiTheme="minorBidi" w:cs="Arial" w:hint="cs"/>
          <w:rtl/>
        </w:rPr>
        <w:t>י</w:t>
      </w:r>
      <w:r w:rsidRPr="00974030">
        <w:rPr>
          <w:rFonts w:asciiTheme="minorBidi" w:hAnsiTheme="minorBidi" w:cs="Arial"/>
          <w:rtl/>
        </w:rPr>
        <w:t>"</w:t>
      </w:r>
      <w:r w:rsidRPr="00974030">
        <w:rPr>
          <w:rFonts w:asciiTheme="minorBidi" w:hAnsiTheme="minorBidi" w:cs="Arial" w:hint="cs"/>
          <w:rtl/>
        </w:rPr>
        <w:t>ד</w:t>
      </w:r>
      <w:r w:rsidRPr="00974030">
        <w:rPr>
          <w:rFonts w:asciiTheme="minorBidi" w:hAnsiTheme="minorBidi" w:cs="Arial"/>
          <w:rtl/>
        </w:rPr>
        <w:t xml:space="preserve"> </w:t>
      </w:r>
      <w:r w:rsidRPr="00974030">
        <w:rPr>
          <w:rFonts w:asciiTheme="minorBidi" w:hAnsiTheme="minorBidi" w:cs="Arial" w:hint="cs"/>
          <w:rtl/>
        </w:rPr>
        <w:t>מהלכות</w:t>
      </w:r>
      <w:r w:rsidRPr="00974030">
        <w:rPr>
          <w:rFonts w:asciiTheme="minorBidi" w:hAnsiTheme="minorBidi" w:cs="Arial"/>
          <w:rtl/>
        </w:rPr>
        <w:t xml:space="preserve"> </w:t>
      </w:r>
      <w:r w:rsidRPr="00974030">
        <w:rPr>
          <w:rFonts w:asciiTheme="minorBidi" w:hAnsiTheme="minorBidi" w:cs="Arial" w:hint="cs"/>
          <w:rtl/>
        </w:rPr>
        <w:t>נדה</w:t>
      </w:r>
      <w:r w:rsidRPr="00974030">
        <w:rPr>
          <w:rFonts w:asciiTheme="minorBidi" w:hAnsiTheme="minorBidi" w:cs="Arial"/>
          <w:rtl/>
        </w:rPr>
        <w:t xml:space="preserve"> </w:t>
      </w:r>
      <w:r w:rsidRPr="00974030">
        <w:rPr>
          <w:rFonts w:asciiTheme="minorBidi" w:hAnsiTheme="minorBidi" w:cs="Arial" w:hint="cs"/>
          <w:rtl/>
        </w:rPr>
        <w:t>סימן</w:t>
      </w:r>
      <w:r w:rsidRPr="00974030">
        <w:rPr>
          <w:rFonts w:asciiTheme="minorBidi" w:hAnsiTheme="minorBidi" w:cs="Arial"/>
          <w:rtl/>
        </w:rPr>
        <w:t xml:space="preserve"> </w:t>
      </w:r>
      <w:r w:rsidRPr="00974030">
        <w:rPr>
          <w:rFonts w:asciiTheme="minorBidi" w:hAnsiTheme="minorBidi" w:cs="Arial" w:hint="cs"/>
          <w:rtl/>
        </w:rPr>
        <w:t>קפ</w:t>
      </w:r>
      <w:r w:rsidRPr="00974030">
        <w:rPr>
          <w:rFonts w:asciiTheme="minorBidi" w:hAnsiTheme="minorBidi" w:cs="Arial"/>
          <w:rtl/>
        </w:rPr>
        <w:t>"</w:t>
      </w:r>
      <w:r w:rsidRPr="00974030">
        <w:rPr>
          <w:rFonts w:asciiTheme="minorBidi" w:hAnsiTheme="minorBidi" w:cs="Arial" w:hint="cs"/>
          <w:rtl/>
        </w:rPr>
        <w:t>ה</w:t>
      </w:r>
      <w:r w:rsidRPr="00974030">
        <w:rPr>
          <w:rFonts w:asciiTheme="minorBidi" w:hAnsiTheme="minorBidi" w:cs="Arial"/>
          <w:rtl/>
        </w:rPr>
        <w:t xml:space="preserve">. </w:t>
      </w:r>
    </w:p>
    <w:p w14:paraId="44BBC8DD" w14:textId="77777777" w:rsidR="006A4BF8" w:rsidRDefault="006A4BF8" w:rsidP="00434A6A">
      <w:pPr>
        <w:pStyle w:val="2"/>
        <w:rPr>
          <w:rtl/>
        </w:rPr>
      </w:pPr>
      <w:r w:rsidRPr="00974030">
        <w:rPr>
          <w:rFonts w:hint="cs"/>
          <w:rtl/>
        </w:rPr>
        <w:t>סעיף</w:t>
      </w:r>
      <w:r w:rsidRPr="00974030">
        <w:rPr>
          <w:rtl/>
        </w:rPr>
        <w:t xml:space="preserve"> </w:t>
      </w:r>
      <w:r w:rsidRPr="00974030">
        <w:rPr>
          <w:rFonts w:hint="cs"/>
          <w:rtl/>
        </w:rPr>
        <w:t>כז</w:t>
      </w:r>
    </w:p>
    <w:p w14:paraId="7315A0A5" w14:textId="77777777" w:rsidR="006A4BF8" w:rsidRPr="000B09A5" w:rsidRDefault="006A4BF8" w:rsidP="00434A6A">
      <w:pPr>
        <w:rPr>
          <w:rtl/>
        </w:rPr>
      </w:pPr>
      <w:r w:rsidRPr="000B09A5">
        <w:rPr>
          <w:rFonts w:cs="Arial"/>
          <w:rtl/>
        </w:rPr>
        <w:t>רי"ף</w:t>
      </w:r>
      <w:r w:rsidRPr="000B09A5">
        <w:rPr>
          <w:rFonts w:cs="Arial"/>
          <w:sz w:val="16"/>
          <w:szCs w:val="16"/>
          <w:rtl/>
        </w:rPr>
        <w:t xml:space="preserve"> </w:t>
      </w:r>
      <w:r>
        <w:rPr>
          <w:rFonts w:cs="Arial" w:hint="cs"/>
          <w:sz w:val="16"/>
          <w:szCs w:val="16"/>
          <w:rtl/>
        </w:rPr>
        <w:t>(</w:t>
      </w:r>
      <w:r w:rsidRPr="000B09A5">
        <w:rPr>
          <w:rFonts w:cs="Arial"/>
          <w:sz w:val="16"/>
          <w:szCs w:val="16"/>
          <w:rtl/>
        </w:rPr>
        <w:t xml:space="preserve">שבת </w:t>
      </w:r>
      <w:r w:rsidRPr="000B09A5">
        <w:rPr>
          <w:rFonts w:cs="Arial" w:hint="cs"/>
          <w:sz w:val="16"/>
          <w:szCs w:val="16"/>
          <w:rtl/>
        </w:rPr>
        <w:t>כ:)</w:t>
      </w:r>
      <w:r>
        <w:rPr>
          <w:rFonts w:cs="Arial" w:hint="cs"/>
          <w:rtl/>
        </w:rPr>
        <w:t xml:space="preserve">- </w:t>
      </w:r>
      <w:r w:rsidRPr="000B09A5">
        <w:rPr>
          <w:rFonts w:cs="Arial"/>
          <w:rtl/>
        </w:rPr>
        <w:t xml:space="preserve">והיינו טעמא דרבי יהודה בן לקיש מתוך שאדם בהול על מתו אי לא שרית ליה טלטול דרבנן אתי לידי כבוי </w:t>
      </w:r>
      <w:r w:rsidRPr="000B09A5">
        <w:rPr>
          <w:rFonts w:cs="Arial"/>
          <w:color w:val="FF0000"/>
          <w:rtl/>
        </w:rPr>
        <w:t>דאורייתא</w:t>
      </w:r>
      <w:r>
        <w:rPr>
          <w:rStyle w:val="a9"/>
          <w:rFonts w:cs="Arial"/>
          <w:color w:val="FF0000"/>
          <w:rtl/>
        </w:rPr>
        <w:footnoteReference w:id="3524"/>
      </w:r>
      <w:r>
        <w:rPr>
          <w:rFonts w:hint="cs"/>
          <w:rtl/>
        </w:rPr>
        <w:t>.</w:t>
      </w:r>
    </w:p>
    <w:p w14:paraId="1FC0DC65" w14:textId="77777777" w:rsidR="006A4BF8" w:rsidRDefault="006A4BF8" w:rsidP="00434A6A">
      <w:pPr>
        <w:tabs>
          <w:tab w:val="left" w:pos="2788"/>
        </w:tabs>
        <w:rPr>
          <w:rFonts w:asciiTheme="minorBidi" w:hAnsiTheme="minorBidi"/>
          <w:rtl/>
        </w:rPr>
      </w:pPr>
      <w:r w:rsidRPr="00974030">
        <w:rPr>
          <w:rFonts w:asciiTheme="minorBidi" w:hAnsiTheme="minorBidi" w:cs="Arial" w:hint="cs"/>
          <w:rtl/>
        </w:rPr>
        <w:t>גחלת</w:t>
      </w:r>
      <w:r w:rsidRPr="00974030">
        <w:rPr>
          <w:rFonts w:asciiTheme="minorBidi" w:hAnsiTheme="minorBidi" w:cs="Arial"/>
          <w:rtl/>
        </w:rPr>
        <w:t xml:space="preserve"> </w:t>
      </w:r>
      <w:r w:rsidRPr="00974030">
        <w:rPr>
          <w:rFonts w:asciiTheme="minorBidi" w:hAnsiTheme="minorBidi" w:cs="Arial" w:hint="cs"/>
          <w:rtl/>
        </w:rPr>
        <w:t>המונחת</w:t>
      </w:r>
      <w:r w:rsidRPr="00974030">
        <w:rPr>
          <w:rFonts w:asciiTheme="minorBidi" w:hAnsiTheme="minorBidi" w:cs="Arial"/>
          <w:rtl/>
        </w:rPr>
        <w:t xml:space="preserve"> </w:t>
      </w:r>
      <w:r w:rsidRPr="00974030">
        <w:rPr>
          <w:rFonts w:asciiTheme="minorBidi" w:hAnsiTheme="minorBidi" w:cs="Arial" w:hint="cs"/>
          <w:rtl/>
        </w:rPr>
        <w:t>במקום</w:t>
      </w:r>
      <w:r w:rsidRPr="00974030">
        <w:rPr>
          <w:rFonts w:asciiTheme="minorBidi" w:hAnsiTheme="minorBidi" w:cs="Arial"/>
          <w:rtl/>
        </w:rPr>
        <w:t xml:space="preserve"> </w:t>
      </w:r>
      <w:r w:rsidRPr="00974030">
        <w:rPr>
          <w:rFonts w:asciiTheme="minorBidi" w:hAnsiTheme="minorBidi" w:cs="Arial" w:hint="cs"/>
          <w:rtl/>
        </w:rPr>
        <w:t>שרבים</w:t>
      </w:r>
      <w:r w:rsidRPr="00974030">
        <w:rPr>
          <w:rFonts w:asciiTheme="minorBidi" w:hAnsiTheme="minorBidi" w:cs="Arial"/>
          <w:rtl/>
        </w:rPr>
        <w:t xml:space="preserve"> </w:t>
      </w:r>
      <w:r w:rsidRPr="00974030">
        <w:rPr>
          <w:rFonts w:asciiTheme="minorBidi" w:hAnsiTheme="minorBidi" w:cs="Arial" w:hint="cs"/>
          <w:rtl/>
        </w:rPr>
        <w:t>ניזוקים</w:t>
      </w:r>
      <w:r w:rsidRPr="00974030">
        <w:rPr>
          <w:rFonts w:asciiTheme="minorBidi" w:hAnsiTheme="minorBidi" w:cs="Arial"/>
          <w:rtl/>
        </w:rPr>
        <w:t xml:space="preserve"> </w:t>
      </w:r>
      <w:r w:rsidRPr="00974030">
        <w:rPr>
          <w:rFonts w:asciiTheme="minorBidi" w:hAnsiTheme="minorBidi" w:cs="Arial" w:hint="cs"/>
          <w:rtl/>
        </w:rPr>
        <w:t>בה</w:t>
      </w:r>
      <w:r w:rsidRPr="00974030">
        <w:rPr>
          <w:rFonts w:asciiTheme="minorBidi" w:hAnsiTheme="minorBidi" w:cs="Arial"/>
          <w:rtl/>
        </w:rPr>
        <w:t xml:space="preserve"> </w:t>
      </w:r>
      <w:r w:rsidRPr="00974030">
        <w:rPr>
          <w:rFonts w:asciiTheme="minorBidi" w:hAnsiTheme="minorBidi" w:cs="Arial" w:hint="cs"/>
          <w:rtl/>
        </w:rPr>
        <w:t>יכול</w:t>
      </w:r>
      <w:r w:rsidRPr="00974030">
        <w:rPr>
          <w:rFonts w:asciiTheme="minorBidi" w:hAnsiTheme="minorBidi" w:cs="Arial"/>
          <w:rtl/>
        </w:rPr>
        <w:t xml:space="preserve"> </w:t>
      </w:r>
      <w:r w:rsidRPr="00974030">
        <w:rPr>
          <w:rFonts w:asciiTheme="minorBidi" w:hAnsiTheme="minorBidi" w:cs="Arial" w:hint="cs"/>
          <w:rtl/>
        </w:rPr>
        <w:t>לכבותה</w:t>
      </w:r>
      <w:r w:rsidRPr="00974030">
        <w:rPr>
          <w:rFonts w:asciiTheme="minorBidi" w:hAnsiTheme="minorBidi" w:cs="Arial"/>
          <w:rtl/>
        </w:rPr>
        <w:t xml:space="preserve">, </w:t>
      </w:r>
      <w:r w:rsidRPr="00974030">
        <w:rPr>
          <w:rFonts w:asciiTheme="minorBidi" w:hAnsiTheme="minorBidi" w:cs="Arial" w:hint="cs"/>
          <w:rtl/>
        </w:rPr>
        <w:t>בין</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היא</w:t>
      </w:r>
      <w:r w:rsidRPr="00974030">
        <w:rPr>
          <w:rFonts w:asciiTheme="minorBidi" w:hAnsiTheme="minorBidi" w:cs="Arial"/>
          <w:rtl/>
        </w:rPr>
        <w:t xml:space="preserve"> </w:t>
      </w:r>
      <w:r w:rsidRPr="00974030">
        <w:rPr>
          <w:rFonts w:asciiTheme="minorBidi" w:hAnsiTheme="minorBidi" w:cs="Arial" w:hint="cs"/>
          <w:rtl/>
        </w:rPr>
        <w:t>של</w:t>
      </w:r>
      <w:r w:rsidRPr="00974030">
        <w:rPr>
          <w:rFonts w:asciiTheme="minorBidi" w:hAnsiTheme="minorBidi" w:cs="Arial"/>
          <w:rtl/>
        </w:rPr>
        <w:t xml:space="preserve"> </w:t>
      </w:r>
      <w:r w:rsidRPr="00974030">
        <w:rPr>
          <w:rFonts w:asciiTheme="minorBidi" w:hAnsiTheme="minorBidi" w:cs="Arial" w:hint="cs"/>
          <w:rtl/>
        </w:rPr>
        <w:t>מתכת</w:t>
      </w:r>
      <w:r w:rsidRPr="00974030">
        <w:rPr>
          <w:rFonts w:asciiTheme="minorBidi" w:hAnsiTheme="minorBidi" w:cs="Arial"/>
          <w:rtl/>
        </w:rPr>
        <w:t xml:space="preserve"> </w:t>
      </w:r>
      <w:r w:rsidRPr="00974030">
        <w:rPr>
          <w:rFonts w:asciiTheme="minorBidi" w:hAnsiTheme="minorBidi" w:cs="Arial" w:hint="cs"/>
          <w:rtl/>
        </w:rPr>
        <w:t>בין</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היא</w:t>
      </w:r>
      <w:r w:rsidRPr="00974030">
        <w:rPr>
          <w:rFonts w:asciiTheme="minorBidi" w:hAnsiTheme="minorBidi" w:cs="Arial"/>
          <w:rtl/>
        </w:rPr>
        <w:t xml:space="preserve"> </w:t>
      </w:r>
      <w:r w:rsidRPr="00974030">
        <w:rPr>
          <w:rFonts w:asciiTheme="minorBidi" w:hAnsiTheme="minorBidi" w:cs="Arial" w:hint="cs"/>
          <w:rtl/>
        </w:rPr>
        <w:t>של</w:t>
      </w:r>
      <w:r w:rsidRPr="00974030">
        <w:rPr>
          <w:rFonts w:asciiTheme="minorBidi" w:hAnsiTheme="minorBidi" w:cs="Arial"/>
          <w:rtl/>
        </w:rPr>
        <w:t xml:space="preserve"> </w:t>
      </w:r>
      <w:r w:rsidRPr="00974030">
        <w:rPr>
          <w:rFonts w:asciiTheme="minorBidi" w:hAnsiTheme="minorBidi" w:cs="Arial" w:hint="cs"/>
          <w:rtl/>
        </w:rPr>
        <w:t>עץ</w:t>
      </w:r>
      <w:r w:rsidRPr="00974030">
        <w:rPr>
          <w:rFonts w:asciiTheme="minorBidi" w:hAnsiTheme="minorBidi" w:cs="Arial"/>
          <w:rtl/>
        </w:rPr>
        <w:t xml:space="preserve">, </w:t>
      </w:r>
      <w:r w:rsidRPr="00974030">
        <w:rPr>
          <w:rFonts w:asciiTheme="minorBidi" w:hAnsiTheme="minorBidi" w:cs="Arial" w:hint="cs"/>
          <w:rtl/>
        </w:rPr>
        <w:t>והרמב</w:t>
      </w:r>
      <w:r w:rsidRPr="00974030">
        <w:rPr>
          <w:rFonts w:asciiTheme="minorBidi" w:hAnsiTheme="minorBidi" w:cs="Arial"/>
          <w:rtl/>
        </w:rPr>
        <w:t>"</w:t>
      </w:r>
      <w:r w:rsidRPr="00974030">
        <w:rPr>
          <w:rFonts w:asciiTheme="minorBidi" w:hAnsiTheme="minorBidi" w:cs="Arial" w:hint="cs"/>
          <w:rtl/>
        </w:rPr>
        <w:t>ם</w:t>
      </w:r>
      <w:r w:rsidRPr="00974030">
        <w:rPr>
          <w:rFonts w:asciiTheme="minorBidi" w:hAnsiTheme="minorBidi" w:cs="Arial"/>
          <w:rtl/>
        </w:rPr>
        <w:t xml:space="preserve"> </w:t>
      </w:r>
      <w:r w:rsidRPr="00974030">
        <w:rPr>
          <w:rFonts w:asciiTheme="minorBidi" w:hAnsiTheme="minorBidi" w:cs="Arial" w:hint="cs"/>
          <w:rtl/>
        </w:rPr>
        <w:t>אוסר</w:t>
      </w:r>
      <w:r w:rsidRPr="00974030">
        <w:rPr>
          <w:rFonts w:asciiTheme="minorBidi" w:hAnsiTheme="minorBidi" w:cs="Arial"/>
          <w:rtl/>
        </w:rPr>
        <w:t xml:space="preserve"> </w:t>
      </w:r>
      <w:r w:rsidRPr="00974030">
        <w:rPr>
          <w:rFonts w:asciiTheme="minorBidi" w:hAnsiTheme="minorBidi" w:cs="Arial" w:hint="cs"/>
          <w:rtl/>
        </w:rPr>
        <w:t>בשל</w:t>
      </w:r>
      <w:r w:rsidRPr="00974030">
        <w:rPr>
          <w:rFonts w:asciiTheme="minorBidi" w:hAnsiTheme="minorBidi" w:cs="Arial"/>
          <w:rtl/>
        </w:rPr>
        <w:t xml:space="preserve"> </w:t>
      </w:r>
      <w:r w:rsidRPr="00974030">
        <w:rPr>
          <w:rFonts w:asciiTheme="minorBidi" w:hAnsiTheme="minorBidi" w:cs="Arial" w:hint="cs"/>
          <w:rtl/>
        </w:rPr>
        <w:t>עץ</w:t>
      </w:r>
      <w:r w:rsidRPr="00974030">
        <w:rPr>
          <w:rFonts w:asciiTheme="minorBidi" w:hAnsiTheme="minorBidi" w:cs="Arial"/>
          <w:rtl/>
        </w:rPr>
        <w:t>.</w:t>
      </w:r>
    </w:p>
    <w:p w14:paraId="44D3CB4F" w14:textId="77777777" w:rsidR="006A4BF8" w:rsidRDefault="006A4BF8" w:rsidP="00434A6A">
      <w:pPr>
        <w:tabs>
          <w:tab w:val="left" w:pos="2788"/>
        </w:tabs>
        <w:rPr>
          <w:rFonts w:asciiTheme="minorBidi" w:hAnsiTheme="minorBidi"/>
          <w:rtl/>
        </w:rPr>
      </w:pPr>
    </w:p>
    <w:p w14:paraId="0C2B6D85" w14:textId="77777777" w:rsidR="006A4BF8" w:rsidRDefault="006A4BF8" w:rsidP="00434A6A">
      <w:pPr>
        <w:tabs>
          <w:tab w:val="left" w:pos="2788"/>
        </w:tabs>
        <w:rPr>
          <w:rFonts w:asciiTheme="minorBidi" w:hAnsiTheme="minorBidi"/>
          <w:rtl/>
        </w:rPr>
      </w:pPr>
    </w:p>
    <w:p w14:paraId="7915364B" w14:textId="77777777" w:rsidR="006A4BF8" w:rsidRDefault="006A4BF8" w:rsidP="00434A6A">
      <w:pPr>
        <w:tabs>
          <w:tab w:val="left" w:pos="2788"/>
        </w:tabs>
        <w:rPr>
          <w:rFonts w:asciiTheme="minorBidi" w:hAnsiTheme="minorBidi"/>
          <w:rtl/>
        </w:rPr>
      </w:pPr>
    </w:p>
    <w:p w14:paraId="3DD0D72E" w14:textId="77777777" w:rsidR="006A4BF8" w:rsidRDefault="006A4BF8" w:rsidP="00434A6A">
      <w:pPr>
        <w:tabs>
          <w:tab w:val="left" w:pos="2788"/>
        </w:tabs>
        <w:rPr>
          <w:rFonts w:asciiTheme="minorBidi" w:hAnsiTheme="minorBidi"/>
          <w:rtl/>
        </w:rPr>
      </w:pPr>
    </w:p>
    <w:p w14:paraId="0FDBC3F9" w14:textId="77777777" w:rsidR="006A4BF8" w:rsidRDefault="006A4BF8" w:rsidP="00434A6A">
      <w:pPr>
        <w:pStyle w:val="1"/>
        <w:rPr>
          <w:rtl/>
        </w:rPr>
        <w:sectPr w:rsidR="006A4BF8" w:rsidSect="00BD29B1">
          <w:headerReference w:type="default" r:id="rId101"/>
          <w:footnotePr>
            <w:numRestart w:val="eachSect"/>
          </w:footnotePr>
          <w:pgSz w:w="11906" w:h="16838"/>
          <w:pgMar w:top="720" w:right="1134" w:bottom="720" w:left="1134" w:header="0" w:footer="0" w:gutter="0"/>
          <w:cols w:space="720"/>
          <w:bidi/>
          <w:rtlGutter/>
          <w:docGrid w:linePitch="360"/>
        </w:sectPr>
      </w:pPr>
    </w:p>
    <w:p w14:paraId="7CF9ED23" w14:textId="77777777" w:rsidR="006A4BF8" w:rsidRPr="00974030" w:rsidRDefault="006A4BF8" w:rsidP="00434A6A">
      <w:pPr>
        <w:pStyle w:val="1"/>
        <w:rPr>
          <w:rtl/>
        </w:rPr>
      </w:pPr>
      <w:r>
        <w:rPr>
          <w:rFonts w:hint="cs"/>
          <w:rtl/>
        </w:rPr>
        <w:t xml:space="preserve">סימן שלה: </w:t>
      </w:r>
      <w:r w:rsidRPr="00974030">
        <w:rPr>
          <w:rFonts w:hint="cs"/>
          <w:rtl/>
        </w:rPr>
        <w:t>דין</w:t>
      </w:r>
      <w:r w:rsidRPr="00974030">
        <w:rPr>
          <w:rtl/>
        </w:rPr>
        <w:t xml:space="preserve"> </w:t>
      </w:r>
      <w:r w:rsidRPr="00974030">
        <w:rPr>
          <w:rFonts w:hint="cs"/>
          <w:rtl/>
        </w:rPr>
        <w:t>חבית</w:t>
      </w:r>
      <w:r w:rsidRPr="00974030">
        <w:rPr>
          <w:rtl/>
        </w:rPr>
        <w:t xml:space="preserve"> </w:t>
      </w:r>
      <w:r w:rsidRPr="00974030">
        <w:rPr>
          <w:rFonts w:hint="cs"/>
          <w:rtl/>
        </w:rPr>
        <w:t>שנשברה</w:t>
      </w:r>
      <w:r w:rsidRPr="00974030">
        <w:rPr>
          <w:rtl/>
        </w:rPr>
        <w:t xml:space="preserve">, </w:t>
      </w:r>
      <w:r w:rsidRPr="00974030">
        <w:rPr>
          <w:rFonts w:hint="cs"/>
          <w:rtl/>
        </w:rPr>
        <w:t>ובו</w:t>
      </w:r>
      <w:r w:rsidRPr="00974030">
        <w:rPr>
          <w:rtl/>
        </w:rPr>
        <w:t xml:space="preserve"> </w:t>
      </w:r>
      <w:r w:rsidRPr="00974030">
        <w:rPr>
          <w:rFonts w:hint="cs"/>
          <w:rtl/>
        </w:rPr>
        <w:t>ה</w:t>
      </w:r>
      <w:r w:rsidRPr="00974030">
        <w:rPr>
          <w:rtl/>
        </w:rPr>
        <w:t xml:space="preserve">' </w:t>
      </w:r>
      <w:r w:rsidRPr="00974030">
        <w:rPr>
          <w:rFonts w:hint="cs"/>
          <w:rtl/>
        </w:rPr>
        <w:t>סעיפים</w:t>
      </w:r>
      <w:r w:rsidRPr="00974030">
        <w:rPr>
          <w:rtl/>
        </w:rPr>
        <w:t xml:space="preserve">. </w:t>
      </w:r>
    </w:p>
    <w:p w14:paraId="1B0B5513"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א</w:t>
      </w:r>
    </w:p>
    <w:p w14:paraId="1CCB6909"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חבית</w:t>
      </w:r>
      <w:r w:rsidRPr="00974030">
        <w:rPr>
          <w:rFonts w:asciiTheme="minorBidi" w:hAnsiTheme="minorBidi" w:cs="Arial"/>
          <w:rtl/>
        </w:rPr>
        <w:t xml:space="preserve"> </w:t>
      </w:r>
      <w:r w:rsidRPr="00974030">
        <w:rPr>
          <w:rFonts w:asciiTheme="minorBidi" w:hAnsiTheme="minorBidi" w:cs="Arial" w:hint="cs"/>
          <w:rtl/>
        </w:rPr>
        <w:t>שנשברה</w:t>
      </w:r>
      <w:r w:rsidRPr="00974030">
        <w:rPr>
          <w:rFonts w:asciiTheme="minorBidi" w:hAnsiTheme="minorBidi" w:cs="Arial"/>
          <w:rtl/>
        </w:rPr>
        <w:t xml:space="preserve">, </w:t>
      </w:r>
      <w:r w:rsidRPr="00974030">
        <w:rPr>
          <w:rFonts w:asciiTheme="minorBidi" w:hAnsiTheme="minorBidi" w:cs="Arial" w:hint="cs"/>
          <w:rtl/>
        </w:rPr>
        <w:t>מצילין</w:t>
      </w:r>
      <w:r w:rsidRPr="00974030">
        <w:rPr>
          <w:rFonts w:asciiTheme="minorBidi" w:hAnsiTheme="minorBidi" w:cs="Arial"/>
          <w:rtl/>
        </w:rPr>
        <w:t xml:space="preserve"> </w:t>
      </w:r>
      <w:r w:rsidRPr="00974030">
        <w:rPr>
          <w:rFonts w:asciiTheme="minorBidi" w:hAnsiTheme="minorBidi" w:cs="Arial" w:hint="cs"/>
          <w:rtl/>
        </w:rPr>
        <w:t>ממנה</w:t>
      </w:r>
      <w:r w:rsidRPr="00974030">
        <w:rPr>
          <w:rFonts w:asciiTheme="minorBidi" w:hAnsiTheme="minorBidi" w:cs="Arial"/>
          <w:rtl/>
        </w:rPr>
        <w:t xml:space="preserve"> </w:t>
      </w:r>
      <w:r w:rsidRPr="00974030">
        <w:rPr>
          <w:rFonts w:asciiTheme="minorBidi" w:hAnsiTheme="minorBidi" w:cs="Arial" w:hint="cs"/>
          <w:rtl/>
        </w:rPr>
        <w:t>מזון</w:t>
      </w:r>
      <w:r w:rsidRPr="00974030">
        <w:rPr>
          <w:rFonts w:asciiTheme="minorBidi" w:hAnsiTheme="minorBidi" w:cs="Arial"/>
          <w:rtl/>
        </w:rPr>
        <w:t xml:space="preserve"> </w:t>
      </w:r>
      <w:r w:rsidRPr="00974030">
        <w:rPr>
          <w:rFonts w:asciiTheme="minorBidi" w:hAnsiTheme="minorBidi" w:cs="Arial" w:hint="cs"/>
          <w:rtl/>
        </w:rPr>
        <w:t>שלש</w:t>
      </w:r>
      <w:r w:rsidRPr="00974030">
        <w:rPr>
          <w:rFonts w:asciiTheme="minorBidi" w:hAnsiTheme="minorBidi" w:cs="Arial"/>
          <w:rtl/>
        </w:rPr>
        <w:t xml:space="preserve"> </w:t>
      </w:r>
      <w:r w:rsidRPr="00974030">
        <w:rPr>
          <w:rFonts w:asciiTheme="minorBidi" w:hAnsiTheme="minorBidi" w:cs="Arial" w:hint="cs"/>
          <w:rtl/>
        </w:rPr>
        <w:t>סעודות</w:t>
      </w:r>
      <w:r w:rsidRPr="00974030">
        <w:rPr>
          <w:rFonts w:asciiTheme="minorBidi" w:hAnsiTheme="minorBidi" w:cs="Arial"/>
          <w:rtl/>
        </w:rPr>
        <w:t xml:space="preserve"> </w:t>
      </w:r>
      <w:r w:rsidRPr="00974030">
        <w:rPr>
          <w:rFonts w:asciiTheme="minorBidi" w:hAnsiTheme="minorBidi" w:cs="Arial" w:hint="cs"/>
          <w:rtl/>
        </w:rPr>
        <w:t>אפי</w:t>
      </w:r>
      <w:r w:rsidRPr="00974030">
        <w:rPr>
          <w:rFonts w:asciiTheme="minorBidi" w:hAnsiTheme="minorBidi" w:cs="Arial"/>
          <w:rtl/>
        </w:rPr>
        <w:t xml:space="preserve">' </w:t>
      </w:r>
      <w:r w:rsidRPr="00974030">
        <w:rPr>
          <w:rFonts w:asciiTheme="minorBidi" w:hAnsiTheme="minorBidi" w:cs="Arial" w:hint="cs"/>
          <w:rtl/>
        </w:rPr>
        <w:t>בכלים</w:t>
      </w:r>
      <w:r w:rsidRPr="00974030">
        <w:rPr>
          <w:rFonts w:asciiTheme="minorBidi" w:hAnsiTheme="minorBidi" w:cs="Arial"/>
          <w:rtl/>
        </w:rPr>
        <w:t xml:space="preserve"> </w:t>
      </w:r>
      <w:r w:rsidRPr="00974030">
        <w:rPr>
          <w:rFonts w:asciiTheme="minorBidi" w:hAnsiTheme="minorBidi" w:cs="Arial" w:hint="cs"/>
          <w:rtl/>
        </w:rPr>
        <w:t>הרבה</w:t>
      </w:r>
      <w:r w:rsidRPr="00974030">
        <w:rPr>
          <w:rFonts w:asciiTheme="minorBidi" w:hAnsiTheme="minorBidi" w:cs="Arial"/>
          <w:rtl/>
        </w:rPr>
        <w:t xml:space="preserve">, </w:t>
      </w:r>
      <w:r w:rsidRPr="00974030">
        <w:rPr>
          <w:rFonts w:asciiTheme="minorBidi" w:hAnsiTheme="minorBidi" w:cs="Arial" w:hint="cs"/>
          <w:rtl/>
        </w:rPr>
        <w:t>דאלו</w:t>
      </w:r>
      <w:r w:rsidRPr="00974030">
        <w:rPr>
          <w:rFonts w:asciiTheme="minorBidi" w:hAnsiTheme="minorBidi" w:cs="Arial"/>
          <w:rtl/>
        </w:rPr>
        <w:t xml:space="preserve"> </w:t>
      </w:r>
      <w:r w:rsidRPr="00974030">
        <w:rPr>
          <w:rFonts w:asciiTheme="minorBidi" w:hAnsiTheme="minorBidi" w:cs="Arial" w:hint="cs"/>
          <w:rtl/>
        </w:rPr>
        <w:t>בכלי</w:t>
      </w:r>
      <w:r w:rsidRPr="00974030">
        <w:rPr>
          <w:rFonts w:asciiTheme="minorBidi" w:hAnsiTheme="minorBidi" w:cs="Arial"/>
          <w:rtl/>
        </w:rPr>
        <w:t xml:space="preserve"> </w:t>
      </w:r>
      <w:r w:rsidRPr="00974030">
        <w:rPr>
          <w:rFonts w:asciiTheme="minorBidi" w:hAnsiTheme="minorBidi" w:cs="Arial" w:hint="cs"/>
          <w:rtl/>
        </w:rPr>
        <w:t>אחד</w:t>
      </w:r>
      <w:r w:rsidRPr="00974030">
        <w:rPr>
          <w:rFonts w:asciiTheme="minorBidi" w:hAnsiTheme="minorBidi" w:cs="Arial"/>
          <w:rtl/>
        </w:rPr>
        <w:t xml:space="preserve"> </w:t>
      </w:r>
      <w:r w:rsidRPr="00974030">
        <w:rPr>
          <w:rFonts w:asciiTheme="minorBidi" w:hAnsiTheme="minorBidi" w:cs="Arial" w:hint="cs"/>
          <w:rtl/>
        </w:rPr>
        <w:t>אפי</w:t>
      </w:r>
      <w:r w:rsidRPr="00974030">
        <w:rPr>
          <w:rFonts w:asciiTheme="minorBidi" w:hAnsiTheme="minorBidi" w:cs="Arial"/>
          <w:rtl/>
        </w:rPr>
        <w:t xml:space="preserve">' </w:t>
      </w:r>
      <w:r w:rsidRPr="00974030">
        <w:rPr>
          <w:rFonts w:asciiTheme="minorBidi" w:hAnsiTheme="minorBidi" w:cs="Arial" w:hint="cs"/>
          <w:rtl/>
        </w:rPr>
        <w:t>מחזיק</w:t>
      </w:r>
      <w:r w:rsidRPr="00974030">
        <w:rPr>
          <w:rFonts w:asciiTheme="minorBidi" w:hAnsiTheme="minorBidi" w:cs="Arial"/>
          <w:rtl/>
        </w:rPr>
        <w:t xml:space="preserve"> </w:t>
      </w:r>
      <w:r w:rsidRPr="00974030">
        <w:rPr>
          <w:rFonts w:asciiTheme="minorBidi" w:hAnsiTheme="minorBidi" w:cs="Arial" w:hint="cs"/>
          <w:rtl/>
        </w:rPr>
        <w:t>מאה</w:t>
      </w:r>
      <w:r w:rsidRPr="00974030">
        <w:rPr>
          <w:rFonts w:asciiTheme="minorBidi" w:hAnsiTheme="minorBidi" w:cs="Arial"/>
          <w:rtl/>
        </w:rPr>
        <w:t xml:space="preserve"> </w:t>
      </w:r>
      <w:r w:rsidRPr="00974030">
        <w:rPr>
          <w:rFonts w:asciiTheme="minorBidi" w:hAnsiTheme="minorBidi" w:cs="Arial" w:hint="cs"/>
          <w:rtl/>
        </w:rPr>
        <w:t>סעודות</w:t>
      </w:r>
      <w:r w:rsidRPr="00974030">
        <w:rPr>
          <w:rFonts w:asciiTheme="minorBidi" w:hAnsiTheme="minorBidi" w:cs="Arial"/>
          <w:rtl/>
        </w:rPr>
        <w:t xml:space="preserve"> </w:t>
      </w:r>
      <w:r w:rsidRPr="00974030">
        <w:rPr>
          <w:rFonts w:asciiTheme="minorBidi" w:hAnsiTheme="minorBidi" w:cs="Arial" w:hint="cs"/>
          <w:rtl/>
        </w:rPr>
        <w:t>מציל</w:t>
      </w:r>
      <w:r w:rsidRPr="00974030">
        <w:rPr>
          <w:rFonts w:asciiTheme="minorBidi" w:hAnsiTheme="minorBidi" w:cs="Arial"/>
          <w:rtl/>
        </w:rPr>
        <w:t xml:space="preserve">. </w:t>
      </w:r>
      <w:r w:rsidRPr="00974030">
        <w:rPr>
          <w:rFonts w:asciiTheme="minorBidi" w:hAnsiTheme="minorBidi" w:cs="Arial" w:hint="cs"/>
          <w:rtl/>
        </w:rPr>
        <w:t>ואומר</w:t>
      </w:r>
      <w:r w:rsidRPr="00974030">
        <w:rPr>
          <w:rFonts w:asciiTheme="minorBidi" w:hAnsiTheme="minorBidi" w:cs="Arial"/>
          <w:rtl/>
        </w:rPr>
        <w:t xml:space="preserve"> </w:t>
      </w:r>
      <w:r w:rsidRPr="00974030">
        <w:rPr>
          <w:rFonts w:asciiTheme="minorBidi" w:hAnsiTheme="minorBidi" w:cs="Arial" w:hint="cs"/>
          <w:rtl/>
        </w:rPr>
        <w:t>לאחרים</w:t>
      </w:r>
      <w:r w:rsidRPr="00974030">
        <w:rPr>
          <w:rFonts w:asciiTheme="minorBidi" w:hAnsiTheme="minorBidi" w:cs="Arial"/>
          <w:rtl/>
        </w:rPr>
        <w:t xml:space="preserve">: </w:t>
      </w:r>
      <w:r w:rsidRPr="00974030">
        <w:rPr>
          <w:rFonts w:asciiTheme="minorBidi" w:hAnsiTheme="minorBidi" w:cs="Arial" w:hint="cs"/>
          <w:rtl/>
        </w:rPr>
        <w:t>בואו</w:t>
      </w:r>
      <w:r w:rsidRPr="00974030">
        <w:rPr>
          <w:rFonts w:asciiTheme="minorBidi" w:hAnsiTheme="minorBidi" w:cs="Arial"/>
          <w:rtl/>
        </w:rPr>
        <w:t xml:space="preserve"> </w:t>
      </w:r>
      <w:r w:rsidRPr="00974030">
        <w:rPr>
          <w:rFonts w:asciiTheme="minorBidi" w:hAnsiTheme="minorBidi" w:cs="Arial" w:hint="cs"/>
          <w:rtl/>
        </w:rPr>
        <w:t>והצילו</w:t>
      </w:r>
      <w:r w:rsidRPr="00974030">
        <w:rPr>
          <w:rFonts w:asciiTheme="minorBidi" w:hAnsiTheme="minorBidi" w:cs="Arial"/>
          <w:rtl/>
        </w:rPr>
        <w:t xml:space="preserve"> </w:t>
      </w:r>
      <w:r w:rsidRPr="00974030">
        <w:rPr>
          <w:rFonts w:asciiTheme="minorBidi" w:hAnsiTheme="minorBidi" w:cs="Arial" w:hint="cs"/>
          <w:rtl/>
        </w:rPr>
        <w:t>לכם</w:t>
      </w:r>
      <w:r w:rsidRPr="00974030">
        <w:rPr>
          <w:rFonts w:asciiTheme="minorBidi" w:hAnsiTheme="minorBidi" w:cs="Arial"/>
          <w:rtl/>
        </w:rPr>
        <w:t xml:space="preserve">; </w:t>
      </w:r>
      <w:r w:rsidRPr="00974030">
        <w:rPr>
          <w:rFonts w:asciiTheme="minorBidi" w:hAnsiTheme="minorBidi" w:cs="Arial" w:hint="cs"/>
          <w:rtl/>
        </w:rPr>
        <w:t>ובלבד</w:t>
      </w:r>
      <w:r w:rsidRPr="00974030">
        <w:rPr>
          <w:rFonts w:asciiTheme="minorBidi" w:hAnsiTheme="minorBidi" w:cs="Arial"/>
          <w:rtl/>
        </w:rPr>
        <w:t xml:space="preserve"> </w:t>
      </w:r>
      <w:r w:rsidRPr="00974030">
        <w:rPr>
          <w:rFonts w:asciiTheme="minorBidi" w:hAnsiTheme="minorBidi" w:cs="Arial" w:hint="cs"/>
          <w:rtl/>
        </w:rPr>
        <w:t>שלא</w:t>
      </w:r>
      <w:r w:rsidRPr="00974030">
        <w:rPr>
          <w:rFonts w:asciiTheme="minorBidi" w:hAnsiTheme="minorBidi" w:cs="Arial"/>
          <w:rtl/>
        </w:rPr>
        <w:t xml:space="preserve"> </w:t>
      </w:r>
      <w:r w:rsidRPr="00974030">
        <w:rPr>
          <w:rFonts w:asciiTheme="minorBidi" w:hAnsiTheme="minorBidi" w:cs="Arial" w:hint="cs"/>
          <w:rtl/>
        </w:rPr>
        <w:t>יספוג</w:t>
      </w:r>
      <w:r w:rsidRPr="00974030">
        <w:rPr>
          <w:rFonts w:asciiTheme="minorBidi" w:hAnsiTheme="minorBidi" w:cs="Arial"/>
          <w:rtl/>
        </w:rPr>
        <w:t xml:space="preserve">, </w:t>
      </w:r>
      <w:r w:rsidRPr="00974030">
        <w:rPr>
          <w:rFonts w:asciiTheme="minorBidi" w:hAnsiTheme="minorBidi" w:cs="Arial" w:hint="cs"/>
          <w:rtl/>
        </w:rPr>
        <w:t>דהיינו</w:t>
      </w:r>
      <w:r w:rsidRPr="00974030">
        <w:rPr>
          <w:rFonts w:asciiTheme="minorBidi" w:hAnsiTheme="minorBidi" w:cs="Arial"/>
          <w:rtl/>
        </w:rPr>
        <w:t xml:space="preserve"> </w:t>
      </w:r>
      <w:r w:rsidRPr="00974030">
        <w:rPr>
          <w:rFonts w:asciiTheme="minorBidi" w:hAnsiTheme="minorBidi" w:cs="Arial" w:hint="cs"/>
          <w:rtl/>
        </w:rPr>
        <w:t>שלא</w:t>
      </w:r>
      <w:r w:rsidRPr="00974030">
        <w:rPr>
          <w:rFonts w:asciiTheme="minorBidi" w:hAnsiTheme="minorBidi" w:cs="Arial"/>
          <w:rtl/>
        </w:rPr>
        <w:t xml:space="preserve"> </w:t>
      </w:r>
      <w:r w:rsidRPr="00974030">
        <w:rPr>
          <w:rFonts w:asciiTheme="minorBidi" w:hAnsiTheme="minorBidi" w:cs="Arial" w:hint="cs"/>
          <w:rtl/>
        </w:rPr>
        <w:t>ישים</w:t>
      </w:r>
      <w:r w:rsidRPr="00974030">
        <w:rPr>
          <w:rFonts w:asciiTheme="minorBidi" w:hAnsiTheme="minorBidi" w:cs="Arial"/>
          <w:rtl/>
        </w:rPr>
        <w:t xml:space="preserve"> </w:t>
      </w:r>
      <w:r w:rsidRPr="00974030">
        <w:rPr>
          <w:rFonts w:asciiTheme="minorBidi" w:hAnsiTheme="minorBidi" w:cs="Arial" w:hint="cs"/>
          <w:rtl/>
        </w:rPr>
        <w:t>הספוג</w:t>
      </w:r>
      <w:r w:rsidRPr="00974030">
        <w:rPr>
          <w:rFonts w:asciiTheme="minorBidi" w:hAnsiTheme="minorBidi" w:cs="Arial"/>
          <w:rtl/>
        </w:rPr>
        <w:t xml:space="preserve"> </w:t>
      </w:r>
      <w:r w:rsidRPr="00974030">
        <w:rPr>
          <w:rFonts w:asciiTheme="minorBidi" w:hAnsiTheme="minorBidi" w:cs="Arial" w:hint="cs"/>
          <w:rtl/>
        </w:rPr>
        <w:t>במקום</w:t>
      </w:r>
      <w:r w:rsidRPr="00974030">
        <w:rPr>
          <w:rFonts w:asciiTheme="minorBidi" w:hAnsiTheme="minorBidi" w:cs="Arial"/>
          <w:rtl/>
        </w:rPr>
        <w:t xml:space="preserve"> </w:t>
      </w:r>
      <w:r w:rsidRPr="00974030">
        <w:rPr>
          <w:rFonts w:asciiTheme="minorBidi" w:hAnsiTheme="minorBidi" w:cs="Arial" w:hint="cs"/>
          <w:rtl/>
        </w:rPr>
        <w:t>היין</w:t>
      </w:r>
      <w:r w:rsidRPr="00974030">
        <w:rPr>
          <w:rFonts w:asciiTheme="minorBidi" w:hAnsiTheme="minorBidi" w:cs="Arial"/>
          <w:rtl/>
        </w:rPr>
        <w:t xml:space="preserve"> </w:t>
      </w:r>
      <w:r w:rsidRPr="00974030">
        <w:rPr>
          <w:rFonts w:asciiTheme="minorBidi" w:hAnsiTheme="minorBidi" w:cs="Arial" w:hint="cs"/>
          <w:rtl/>
        </w:rPr>
        <w:t>לחזור</w:t>
      </w:r>
      <w:r w:rsidRPr="00974030">
        <w:rPr>
          <w:rFonts w:asciiTheme="minorBidi" w:hAnsiTheme="minorBidi" w:cs="Arial"/>
          <w:rtl/>
        </w:rPr>
        <w:t xml:space="preserve"> </w:t>
      </w:r>
      <w:r w:rsidRPr="00974030">
        <w:rPr>
          <w:rFonts w:asciiTheme="minorBidi" w:hAnsiTheme="minorBidi" w:cs="Arial" w:hint="cs"/>
          <w:rtl/>
        </w:rPr>
        <w:t>ולהטיפו</w:t>
      </w:r>
      <w:r w:rsidRPr="00974030">
        <w:rPr>
          <w:rFonts w:asciiTheme="minorBidi" w:hAnsiTheme="minorBidi" w:cs="Arial"/>
          <w:rtl/>
        </w:rPr>
        <w:t xml:space="preserve">, </w:t>
      </w:r>
      <w:r w:rsidRPr="00974030">
        <w:rPr>
          <w:rFonts w:asciiTheme="minorBidi" w:hAnsiTheme="minorBidi" w:cs="Arial" w:hint="cs"/>
          <w:rtl/>
        </w:rPr>
        <w:t>גזירה</w:t>
      </w:r>
      <w:r w:rsidRPr="00974030">
        <w:rPr>
          <w:rFonts w:asciiTheme="minorBidi" w:hAnsiTheme="minorBidi" w:cs="Arial"/>
          <w:rtl/>
        </w:rPr>
        <w:t xml:space="preserve"> </w:t>
      </w:r>
      <w:r w:rsidRPr="00974030">
        <w:rPr>
          <w:rFonts w:asciiTheme="minorBidi" w:hAnsiTheme="minorBidi" w:cs="Arial" w:hint="cs"/>
          <w:rtl/>
        </w:rPr>
        <w:t>שמא</w:t>
      </w:r>
      <w:r w:rsidRPr="00974030">
        <w:rPr>
          <w:rFonts w:asciiTheme="minorBidi" w:hAnsiTheme="minorBidi" w:cs="Arial"/>
          <w:rtl/>
        </w:rPr>
        <w:t xml:space="preserve"> </w:t>
      </w:r>
      <w:r w:rsidRPr="00974030">
        <w:rPr>
          <w:rFonts w:asciiTheme="minorBidi" w:hAnsiTheme="minorBidi" w:cs="Arial" w:hint="cs"/>
          <w:rtl/>
        </w:rPr>
        <w:t>יסחוט</w:t>
      </w:r>
      <w:r w:rsidRPr="00974030">
        <w:rPr>
          <w:rFonts w:asciiTheme="minorBidi" w:hAnsiTheme="minorBidi" w:cs="Arial"/>
          <w:rtl/>
        </w:rPr>
        <w:t xml:space="preserve">. </w:t>
      </w:r>
      <w:r w:rsidRPr="00974030">
        <w:rPr>
          <w:rFonts w:asciiTheme="minorBidi" w:hAnsiTheme="minorBidi" w:cs="Arial" w:hint="cs"/>
          <w:rtl/>
        </w:rPr>
        <w:t>ואפילו</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יש</w:t>
      </w:r>
      <w:r w:rsidRPr="00974030">
        <w:rPr>
          <w:rFonts w:asciiTheme="minorBidi" w:hAnsiTheme="minorBidi" w:cs="Arial"/>
          <w:rtl/>
        </w:rPr>
        <w:t xml:space="preserve"> </w:t>
      </w:r>
      <w:r w:rsidRPr="00974030">
        <w:rPr>
          <w:rFonts w:asciiTheme="minorBidi" w:hAnsiTheme="minorBidi" w:cs="Arial" w:hint="cs"/>
          <w:rtl/>
        </w:rPr>
        <w:t>לו</w:t>
      </w:r>
      <w:r w:rsidRPr="00974030">
        <w:rPr>
          <w:rFonts w:asciiTheme="minorBidi" w:hAnsiTheme="minorBidi" w:cs="Arial"/>
          <w:rtl/>
        </w:rPr>
        <w:t xml:space="preserve"> </w:t>
      </w:r>
      <w:r w:rsidRPr="00974030">
        <w:rPr>
          <w:rFonts w:asciiTheme="minorBidi" w:hAnsiTheme="minorBidi" w:cs="Arial" w:hint="cs"/>
          <w:rtl/>
        </w:rPr>
        <w:t>בית</w:t>
      </w:r>
      <w:r w:rsidRPr="00974030">
        <w:rPr>
          <w:rFonts w:asciiTheme="minorBidi" w:hAnsiTheme="minorBidi" w:cs="Arial"/>
          <w:rtl/>
        </w:rPr>
        <w:t xml:space="preserve"> </w:t>
      </w:r>
      <w:r w:rsidRPr="00974030">
        <w:rPr>
          <w:rFonts w:asciiTheme="minorBidi" w:hAnsiTheme="minorBidi" w:cs="Arial" w:hint="cs"/>
          <w:rtl/>
        </w:rPr>
        <w:t>אחיזה</w:t>
      </w:r>
      <w:r w:rsidRPr="00974030">
        <w:rPr>
          <w:rFonts w:asciiTheme="minorBidi" w:hAnsiTheme="minorBidi" w:cs="Arial"/>
          <w:rtl/>
        </w:rPr>
        <w:t xml:space="preserve">, </w:t>
      </w:r>
      <w:r w:rsidRPr="00974030">
        <w:rPr>
          <w:rFonts w:asciiTheme="minorBidi" w:hAnsiTheme="minorBidi" w:cs="Arial" w:hint="cs"/>
          <w:rtl/>
        </w:rPr>
        <w:t>דליכ</w:t>
      </w:r>
      <w:r w:rsidRPr="00974030">
        <w:rPr>
          <w:rFonts w:asciiTheme="minorBidi" w:hAnsiTheme="minorBidi" w:cs="Arial"/>
          <w:rtl/>
        </w:rPr>
        <w:t xml:space="preserve">' </w:t>
      </w:r>
      <w:r w:rsidRPr="00974030">
        <w:rPr>
          <w:rFonts w:asciiTheme="minorBidi" w:hAnsiTheme="minorBidi" w:cs="Arial" w:hint="cs"/>
          <w:rtl/>
        </w:rPr>
        <w:t>חשש</w:t>
      </w:r>
      <w:r w:rsidRPr="00974030">
        <w:rPr>
          <w:rFonts w:asciiTheme="minorBidi" w:hAnsiTheme="minorBidi" w:cs="Arial"/>
          <w:rtl/>
        </w:rPr>
        <w:t xml:space="preserve"> </w:t>
      </w:r>
      <w:r w:rsidRPr="00974030">
        <w:rPr>
          <w:rFonts w:asciiTheme="minorBidi" w:hAnsiTheme="minorBidi" w:cs="Arial" w:hint="cs"/>
          <w:rtl/>
        </w:rPr>
        <w:t>סחיטה</w:t>
      </w:r>
      <w:r w:rsidRPr="00974030">
        <w:rPr>
          <w:rFonts w:asciiTheme="minorBidi" w:hAnsiTheme="minorBidi" w:cs="Arial"/>
          <w:rtl/>
        </w:rPr>
        <w:t xml:space="preserve">, </w:t>
      </w: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שלא</w:t>
      </w:r>
      <w:r w:rsidRPr="00974030">
        <w:rPr>
          <w:rFonts w:asciiTheme="minorBidi" w:hAnsiTheme="minorBidi" w:cs="Arial"/>
          <w:rtl/>
        </w:rPr>
        <w:t xml:space="preserve"> </w:t>
      </w:r>
      <w:r w:rsidRPr="00974030">
        <w:rPr>
          <w:rFonts w:asciiTheme="minorBidi" w:hAnsiTheme="minorBidi" w:cs="Arial" w:hint="cs"/>
          <w:rtl/>
        </w:rPr>
        <w:t>יעשה</w:t>
      </w:r>
      <w:r w:rsidRPr="00974030">
        <w:rPr>
          <w:rFonts w:asciiTheme="minorBidi" w:hAnsiTheme="minorBidi" w:cs="Arial"/>
          <w:rtl/>
        </w:rPr>
        <w:t xml:space="preserve"> </w:t>
      </w:r>
      <w:r w:rsidRPr="00974030">
        <w:rPr>
          <w:rFonts w:asciiTheme="minorBidi" w:hAnsiTheme="minorBidi" w:cs="Arial" w:hint="cs"/>
          <w:rtl/>
        </w:rPr>
        <w:t>כדרך</w:t>
      </w:r>
      <w:r w:rsidRPr="00974030">
        <w:rPr>
          <w:rFonts w:asciiTheme="minorBidi" w:hAnsiTheme="minorBidi" w:cs="Arial"/>
          <w:rtl/>
        </w:rPr>
        <w:t xml:space="preserve"> </w:t>
      </w:r>
      <w:r w:rsidRPr="00974030">
        <w:rPr>
          <w:rFonts w:asciiTheme="minorBidi" w:hAnsiTheme="minorBidi" w:cs="Arial" w:hint="cs"/>
          <w:rtl/>
        </w:rPr>
        <w:t>שהוא</w:t>
      </w:r>
      <w:r w:rsidRPr="00974030">
        <w:rPr>
          <w:rFonts w:asciiTheme="minorBidi" w:hAnsiTheme="minorBidi" w:cs="Arial"/>
          <w:rtl/>
        </w:rPr>
        <w:t xml:space="preserve"> </w:t>
      </w:r>
      <w:r w:rsidRPr="00974030">
        <w:rPr>
          <w:rFonts w:asciiTheme="minorBidi" w:hAnsiTheme="minorBidi" w:cs="Arial" w:hint="cs"/>
          <w:rtl/>
        </w:rPr>
        <w:t>עושה</w:t>
      </w:r>
      <w:r w:rsidRPr="00974030">
        <w:rPr>
          <w:rFonts w:asciiTheme="minorBidi" w:hAnsiTheme="minorBidi" w:cs="Arial"/>
          <w:rtl/>
        </w:rPr>
        <w:t xml:space="preserve"> </w:t>
      </w:r>
      <w:r w:rsidRPr="00974030">
        <w:rPr>
          <w:rFonts w:asciiTheme="minorBidi" w:hAnsiTheme="minorBidi" w:cs="Arial" w:hint="cs"/>
          <w:rtl/>
        </w:rPr>
        <w:t>בחול</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יטפח</w:t>
      </w:r>
      <w:r w:rsidRPr="00974030">
        <w:rPr>
          <w:rFonts w:asciiTheme="minorBidi" w:hAnsiTheme="minorBidi" w:cs="Arial"/>
          <w:rtl/>
        </w:rPr>
        <w:t xml:space="preserve"> </w:t>
      </w:r>
      <w:r w:rsidRPr="00974030">
        <w:rPr>
          <w:rFonts w:asciiTheme="minorBidi" w:hAnsiTheme="minorBidi" w:cs="Arial" w:hint="cs"/>
          <w:rtl/>
        </w:rPr>
        <w:t>בשמן</w:t>
      </w:r>
      <w:r w:rsidRPr="00974030">
        <w:rPr>
          <w:rFonts w:asciiTheme="minorBidi" w:hAnsiTheme="minorBidi" w:cs="Arial"/>
          <w:rtl/>
        </w:rPr>
        <w:t xml:space="preserve"> </w:t>
      </w:r>
      <w:r w:rsidRPr="00974030">
        <w:rPr>
          <w:rFonts w:asciiTheme="minorBidi" w:hAnsiTheme="minorBidi" w:cs="Arial" w:hint="cs"/>
          <w:rtl/>
        </w:rPr>
        <w:t>להכניס</w:t>
      </w:r>
      <w:r w:rsidRPr="00974030">
        <w:rPr>
          <w:rFonts w:asciiTheme="minorBidi" w:hAnsiTheme="minorBidi" w:cs="Arial"/>
          <w:rtl/>
        </w:rPr>
        <w:t xml:space="preserve"> </w:t>
      </w:r>
      <w:r w:rsidRPr="00974030">
        <w:rPr>
          <w:rFonts w:asciiTheme="minorBidi" w:hAnsiTheme="minorBidi" w:cs="Arial" w:hint="cs"/>
          <w:rtl/>
        </w:rPr>
        <w:t>ידו</w:t>
      </w:r>
      <w:r w:rsidRPr="00974030">
        <w:rPr>
          <w:rFonts w:asciiTheme="minorBidi" w:hAnsiTheme="minorBidi" w:cs="Arial"/>
          <w:rtl/>
        </w:rPr>
        <w:t xml:space="preserve"> </w:t>
      </w:r>
      <w:r w:rsidRPr="00974030">
        <w:rPr>
          <w:rFonts w:asciiTheme="minorBidi" w:hAnsiTheme="minorBidi" w:cs="Arial" w:hint="cs"/>
          <w:rtl/>
        </w:rPr>
        <w:t>ולקנחה</w:t>
      </w:r>
      <w:r w:rsidRPr="00974030">
        <w:rPr>
          <w:rFonts w:asciiTheme="minorBidi" w:hAnsiTheme="minorBidi" w:cs="Arial"/>
          <w:rtl/>
        </w:rPr>
        <w:t xml:space="preserve"> </w:t>
      </w:r>
      <w:r w:rsidRPr="00974030">
        <w:rPr>
          <w:rFonts w:asciiTheme="minorBidi" w:hAnsiTheme="minorBidi" w:cs="Arial" w:hint="cs"/>
          <w:rtl/>
        </w:rPr>
        <w:t>בשפת</w:t>
      </w:r>
      <w:r w:rsidRPr="00974030">
        <w:rPr>
          <w:rFonts w:asciiTheme="minorBidi" w:hAnsiTheme="minorBidi" w:cs="Arial"/>
          <w:rtl/>
        </w:rPr>
        <w:t xml:space="preserve"> </w:t>
      </w:r>
      <w:r w:rsidRPr="00974030">
        <w:rPr>
          <w:rFonts w:asciiTheme="minorBidi" w:hAnsiTheme="minorBidi" w:cs="Arial" w:hint="cs"/>
          <w:rtl/>
        </w:rPr>
        <w:t>הכלי</w:t>
      </w:r>
      <w:r w:rsidRPr="00974030">
        <w:rPr>
          <w:rFonts w:asciiTheme="minorBidi" w:hAnsiTheme="minorBidi" w:cs="Arial"/>
          <w:rtl/>
        </w:rPr>
        <w:t xml:space="preserve">. </w:t>
      </w:r>
      <w:r w:rsidRPr="00974030">
        <w:rPr>
          <w:rFonts w:asciiTheme="minorBidi" w:hAnsiTheme="minorBidi" w:cs="Arial" w:hint="cs"/>
          <w:rtl/>
        </w:rPr>
        <w:t>הגה</w:t>
      </w:r>
      <w:r w:rsidRPr="00974030">
        <w:rPr>
          <w:rFonts w:asciiTheme="minorBidi" w:hAnsiTheme="minorBidi" w:cs="Arial"/>
          <w:rtl/>
        </w:rPr>
        <w:t xml:space="preserve">: </w:t>
      </w:r>
      <w:r w:rsidRPr="00974030">
        <w:rPr>
          <w:rFonts w:asciiTheme="minorBidi" w:hAnsiTheme="minorBidi" w:cs="Arial" w:hint="cs"/>
          <w:rtl/>
        </w:rPr>
        <w:t>וי</w:t>
      </w:r>
      <w:r w:rsidRPr="00974030">
        <w:rPr>
          <w:rFonts w:asciiTheme="minorBidi" w:hAnsiTheme="minorBidi" w:cs="Arial"/>
          <w:rtl/>
        </w:rPr>
        <w:t>"</w:t>
      </w:r>
      <w:r w:rsidRPr="00974030">
        <w:rPr>
          <w:rFonts w:asciiTheme="minorBidi" w:hAnsiTheme="minorBidi" w:cs="Arial" w:hint="cs"/>
          <w:rtl/>
        </w:rPr>
        <w:t>א</w:t>
      </w:r>
      <w:r w:rsidRPr="00974030">
        <w:rPr>
          <w:rFonts w:asciiTheme="minorBidi" w:hAnsiTheme="minorBidi" w:cs="Arial"/>
          <w:rtl/>
        </w:rPr>
        <w:t xml:space="preserve"> </w:t>
      </w:r>
      <w:r w:rsidRPr="00974030">
        <w:rPr>
          <w:rFonts w:asciiTheme="minorBidi" w:hAnsiTheme="minorBidi" w:cs="Arial" w:hint="cs"/>
          <w:rtl/>
        </w:rPr>
        <w:t>דוקא</w:t>
      </w:r>
      <w:r w:rsidRPr="00974030">
        <w:rPr>
          <w:rFonts w:asciiTheme="minorBidi" w:hAnsiTheme="minorBidi" w:cs="Arial"/>
          <w:rtl/>
        </w:rPr>
        <w:t xml:space="preserve"> </w:t>
      </w:r>
      <w:r w:rsidRPr="00974030">
        <w:rPr>
          <w:rFonts w:asciiTheme="minorBidi" w:hAnsiTheme="minorBidi" w:cs="Arial" w:hint="cs"/>
          <w:rtl/>
        </w:rPr>
        <w:t>חבית</w:t>
      </w:r>
      <w:r w:rsidRPr="00974030">
        <w:rPr>
          <w:rFonts w:asciiTheme="minorBidi" w:hAnsiTheme="minorBidi" w:cs="Arial"/>
          <w:rtl/>
        </w:rPr>
        <w:t xml:space="preserve"> </w:t>
      </w:r>
      <w:r w:rsidRPr="00974030">
        <w:rPr>
          <w:rFonts w:asciiTheme="minorBidi" w:hAnsiTheme="minorBidi" w:cs="Arial" w:hint="cs"/>
          <w:rtl/>
        </w:rPr>
        <w:t>שנשברה</w:t>
      </w:r>
      <w:r w:rsidRPr="00974030">
        <w:rPr>
          <w:rFonts w:asciiTheme="minorBidi" w:hAnsiTheme="minorBidi" w:cs="Arial"/>
          <w:rtl/>
        </w:rPr>
        <w:t xml:space="preserve">, </w:t>
      </w:r>
      <w:r w:rsidRPr="00974030">
        <w:rPr>
          <w:rFonts w:asciiTheme="minorBidi" w:hAnsiTheme="minorBidi" w:cs="Arial" w:hint="cs"/>
          <w:rtl/>
        </w:rPr>
        <w:t>שבהול</w:t>
      </w:r>
      <w:r w:rsidRPr="00974030">
        <w:rPr>
          <w:rFonts w:asciiTheme="minorBidi" w:hAnsiTheme="minorBidi" w:cs="Arial"/>
          <w:rtl/>
        </w:rPr>
        <w:t xml:space="preserve"> </w:t>
      </w:r>
      <w:r w:rsidRPr="00974030">
        <w:rPr>
          <w:rFonts w:asciiTheme="minorBidi" w:hAnsiTheme="minorBidi" w:cs="Arial" w:hint="cs"/>
          <w:rtl/>
        </w:rPr>
        <w:t>ואם</w:t>
      </w:r>
      <w:r w:rsidRPr="00974030">
        <w:rPr>
          <w:rFonts w:asciiTheme="minorBidi" w:hAnsiTheme="minorBidi" w:cs="Arial"/>
          <w:rtl/>
        </w:rPr>
        <w:t xml:space="preserve"> </w:t>
      </w:r>
      <w:r w:rsidRPr="00974030">
        <w:rPr>
          <w:rFonts w:asciiTheme="minorBidi" w:hAnsiTheme="minorBidi" w:cs="Arial" w:hint="cs"/>
          <w:rtl/>
        </w:rPr>
        <w:t>יציל</w:t>
      </w:r>
      <w:r w:rsidRPr="00974030">
        <w:rPr>
          <w:rFonts w:asciiTheme="minorBidi" w:hAnsiTheme="minorBidi" w:cs="Arial"/>
          <w:rtl/>
        </w:rPr>
        <w:t xml:space="preserve"> </w:t>
      </w:r>
      <w:r w:rsidRPr="00974030">
        <w:rPr>
          <w:rFonts w:asciiTheme="minorBidi" w:hAnsiTheme="minorBidi" w:cs="Arial" w:hint="cs"/>
          <w:rtl/>
        </w:rPr>
        <w:t>חיישינן</w:t>
      </w:r>
      <w:r w:rsidRPr="00974030">
        <w:rPr>
          <w:rFonts w:asciiTheme="minorBidi" w:hAnsiTheme="minorBidi" w:cs="Arial"/>
          <w:rtl/>
        </w:rPr>
        <w:t xml:space="preserve"> </w:t>
      </w:r>
      <w:r w:rsidRPr="00974030">
        <w:rPr>
          <w:rFonts w:asciiTheme="minorBidi" w:hAnsiTheme="minorBidi" w:cs="Arial" w:hint="cs"/>
          <w:rtl/>
        </w:rPr>
        <w:t>שיתקננו</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נסדק</w:t>
      </w:r>
      <w:r w:rsidRPr="00974030">
        <w:rPr>
          <w:rFonts w:asciiTheme="minorBidi" w:hAnsiTheme="minorBidi" w:cs="Arial"/>
          <w:rtl/>
        </w:rPr>
        <w:t xml:space="preserve"> </w:t>
      </w:r>
      <w:r w:rsidRPr="00974030">
        <w:rPr>
          <w:rFonts w:asciiTheme="minorBidi" w:hAnsiTheme="minorBidi" w:cs="Arial" w:hint="cs"/>
          <w:rtl/>
        </w:rPr>
        <w:t>ועביד</w:t>
      </w:r>
      <w:r w:rsidRPr="00974030">
        <w:rPr>
          <w:rFonts w:asciiTheme="minorBidi" w:hAnsiTheme="minorBidi" w:cs="Arial"/>
          <w:rtl/>
        </w:rPr>
        <w:t xml:space="preserve"> </w:t>
      </w:r>
      <w:r w:rsidRPr="00974030">
        <w:rPr>
          <w:rFonts w:asciiTheme="minorBidi" w:hAnsiTheme="minorBidi" w:cs="Arial" w:hint="cs"/>
          <w:rtl/>
        </w:rPr>
        <w:t>טיף</w:t>
      </w:r>
      <w:r w:rsidRPr="00974030">
        <w:rPr>
          <w:rFonts w:asciiTheme="minorBidi" w:hAnsiTheme="minorBidi" w:cs="Arial"/>
          <w:rtl/>
        </w:rPr>
        <w:t xml:space="preserve"> </w:t>
      </w:r>
      <w:r w:rsidRPr="00974030">
        <w:rPr>
          <w:rFonts w:asciiTheme="minorBidi" w:hAnsiTheme="minorBidi" w:cs="Arial" w:hint="cs"/>
          <w:rtl/>
        </w:rPr>
        <w:t>טיף</w:t>
      </w:r>
      <w:r w:rsidRPr="00974030">
        <w:rPr>
          <w:rFonts w:asciiTheme="minorBidi" w:hAnsiTheme="minorBidi" w:cs="Arial"/>
          <w:rtl/>
        </w:rPr>
        <w:t xml:space="preserve">, </w:t>
      </w:r>
      <w:r w:rsidRPr="00974030">
        <w:rPr>
          <w:rFonts w:asciiTheme="minorBidi" w:hAnsiTheme="minorBidi" w:cs="Arial" w:hint="cs"/>
          <w:rtl/>
        </w:rPr>
        <w:t>שאינו</w:t>
      </w:r>
      <w:r w:rsidRPr="00974030">
        <w:rPr>
          <w:rFonts w:asciiTheme="minorBidi" w:hAnsiTheme="minorBidi" w:cs="Arial"/>
          <w:rtl/>
        </w:rPr>
        <w:t xml:space="preserve"> </w:t>
      </w:r>
      <w:r w:rsidRPr="00974030">
        <w:rPr>
          <w:rFonts w:asciiTheme="minorBidi" w:hAnsiTheme="minorBidi" w:cs="Arial" w:hint="cs"/>
          <w:rtl/>
        </w:rPr>
        <w:t>בהול</w:t>
      </w:r>
      <w:r w:rsidRPr="00974030">
        <w:rPr>
          <w:rFonts w:asciiTheme="minorBidi" w:hAnsiTheme="minorBidi" w:cs="Arial"/>
          <w:rtl/>
        </w:rPr>
        <w:t xml:space="preserve"> </w:t>
      </w:r>
      <w:r w:rsidRPr="00974030">
        <w:rPr>
          <w:rFonts w:asciiTheme="minorBidi" w:hAnsiTheme="minorBidi" w:cs="Arial" w:hint="cs"/>
          <w:rtl/>
        </w:rPr>
        <w:t>כל</w:t>
      </w:r>
      <w:r w:rsidRPr="00974030">
        <w:rPr>
          <w:rFonts w:asciiTheme="minorBidi" w:hAnsiTheme="minorBidi" w:cs="Arial"/>
          <w:rtl/>
        </w:rPr>
        <w:t xml:space="preserve"> </w:t>
      </w:r>
      <w:r w:rsidRPr="00974030">
        <w:rPr>
          <w:rFonts w:asciiTheme="minorBidi" w:hAnsiTheme="minorBidi" w:cs="Arial" w:hint="cs"/>
          <w:rtl/>
        </w:rPr>
        <w:t>כך</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להציל</w:t>
      </w:r>
      <w:r w:rsidRPr="00974030">
        <w:rPr>
          <w:rFonts w:asciiTheme="minorBidi" w:hAnsiTheme="minorBidi" w:cs="Arial"/>
          <w:rtl/>
        </w:rPr>
        <w:t xml:space="preserve"> </w:t>
      </w:r>
      <w:r w:rsidRPr="00974030">
        <w:rPr>
          <w:rFonts w:asciiTheme="minorBidi" w:hAnsiTheme="minorBidi" w:cs="Arial" w:hint="cs"/>
          <w:rtl/>
        </w:rPr>
        <w:t>בכלים</w:t>
      </w:r>
      <w:r w:rsidRPr="00974030">
        <w:rPr>
          <w:rFonts w:asciiTheme="minorBidi" w:hAnsiTheme="minorBidi" w:cs="Arial"/>
          <w:rtl/>
        </w:rPr>
        <w:t xml:space="preserve"> </w:t>
      </w:r>
      <w:r w:rsidRPr="00974030">
        <w:rPr>
          <w:rFonts w:asciiTheme="minorBidi" w:hAnsiTheme="minorBidi" w:cs="Arial" w:hint="cs"/>
          <w:rtl/>
        </w:rPr>
        <w:t>לקלוט</w:t>
      </w:r>
      <w:r w:rsidRPr="00974030">
        <w:rPr>
          <w:rFonts w:asciiTheme="minorBidi" w:hAnsiTheme="minorBidi" w:cs="Arial"/>
          <w:rtl/>
        </w:rPr>
        <w:t xml:space="preserve"> </w:t>
      </w:r>
      <w:r w:rsidRPr="00974030">
        <w:rPr>
          <w:rFonts w:asciiTheme="minorBidi" w:hAnsiTheme="minorBidi" w:cs="Arial" w:hint="cs"/>
          <w:rtl/>
        </w:rPr>
        <w:t>ולצרף</w:t>
      </w:r>
      <w:r w:rsidRPr="00974030">
        <w:rPr>
          <w:rFonts w:asciiTheme="minorBidi" w:hAnsiTheme="minorBidi" w:cs="Arial"/>
          <w:rtl/>
        </w:rPr>
        <w:t xml:space="preserve"> (</w:t>
      </w:r>
      <w:r w:rsidRPr="00974030">
        <w:rPr>
          <w:rFonts w:asciiTheme="minorBidi" w:hAnsiTheme="minorBidi" w:cs="Arial" w:hint="cs"/>
          <w:rtl/>
        </w:rPr>
        <w:t>הגהות</w:t>
      </w:r>
      <w:r w:rsidRPr="00974030">
        <w:rPr>
          <w:rFonts w:asciiTheme="minorBidi" w:hAnsiTheme="minorBidi" w:cs="Arial"/>
          <w:rtl/>
        </w:rPr>
        <w:t xml:space="preserve"> </w:t>
      </w:r>
      <w:r w:rsidRPr="00974030">
        <w:rPr>
          <w:rFonts w:asciiTheme="minorBidi" w:hAnsiTheme="minorBidi" w:cs="Arial" w:hint="cs"/>
          <w:rtl/>
        </w:rPr>
        <w:t>מרדכי</w:t>
      </w:r>
      <w:r w:rsidRPr="00974030">
        <w:rPr>
          <w:rFonts w:asciiTheme="minorBidi" w:hAnsiTheme="minorBidi" w:cs="Arial"/>
          <w:rtl/>
        </w:rPr>
        <w:t xml:space="preserve"> </w:t>
      </w:r>
      <w:r w:rsidRPr="00974030">
        <w:rPr>
          <w:rFonts w:asciiTheme="minorBidi" w:hAnsiTheme="minorBidi" w:cs="Arial" w:hint="cs"/>
          <w:rtl/>
        </w:rPr>
        <w:t>ותוס</w:t>
      </w:r>
      <w:r w:rsidRPr="00974030">
        <w:rPr>
          <w:rFonts w:asciiTheme="minorBidi" w:hAnsiTheme="minorBidi" w:cs="Arial"/>
          <w:rtl/>
        </w:rPr>
        <w:t xml:space="preserve">' </w:t>
      </w:r>
      <w:r w:rsidRPr="00974030">
        <w:rPr>
          <w:rFonts w:asciiTheme="minorBidi" w:hAnsiTheme="minorBidi" w:cs="Arial" w:hint="cs"/>
          <w:rtl/>
        </w:rPr>
        <w:t>פ</w:t>
      </w:r>
      <w:r w:rsidRPr="00974030">
        <w:rPr>
          <w:rFonts w:asciiTheme="minorBidi" w:hAnsiTheme="minorBidi" w:cs="Arial"/>
          <w:rtl/>
        </w:rPr>
        <w:t xml:space="preserve">' </w:t>
      </w:r>
      <w:r w:rsidRPr="00974030">
        <w:rPr>
          <w:rFonts w:asciiTheme="minorBidi" w:hAnsiTheme="minorBidi" w:cs="Arial" w:hint="cs"/>
          <w:rtl/>
        </w:rPr>
        <w:t>כ</w:t>
      </w:r>
      <w:r w:rsidRPr="00974030">
        <w:rPr>
          <w:rFonts w:asciiTheme="minorBidi" w:hAnsiTheme="minorBidi" w:cs="Arial"/>
          <w:rtl/>
        </w:rPr>
        <w:t>"</w:t>
      </w:r>
      <w:r w:rsidRPr="00974030">
        <w:rPr>
          <w:rFonts w:asciiTheme="minorBidi" w:hAnsiTheme="minorBidi" w:cs="Arial" w:hint="cs"/>
          <w:rtl/>
        </w:rPr>
        <w:t>ב</w:t>
      </w:r>
      <w:r w:rsidRPr="00974030">
        <w:rPr>
          <w:rFonts w:asciiTheme="minorBidi" w:hAnsiTheme="minorBidi" w:cs="Arial"/>
          <w:rtl/>
        </w:rPr>
        <w:t xml:space="preserve"> </w:t>
      </w:r>
      <w:r w:rsidRPr="00974030">
        <w:rPr>
          <w:rFonts w:asciiTheme="minorBidi" w:hAnsiTheme="minorBidi" w:cs="Arial" w:hint="cs"/>
          <w:rtl/>
        </w:rPr>
        <w:t>והגהות</w:t>
      </w:r>
      <w:r w:rsidRPr="00974030">
        <w:rPr>
          <w:rFonts w:asciiTheme="minorBidi" w:hAnsiTheme="minorBidi" w:cs="Arial"/>
          <w:rtl/>
        </w:rPr>
        <w:t xml:space="preserve"> </w:t>
      </w:r>
      <w:r w:rsidRPr="00974030">
        <w:rPr>
          <w:rFonts w:asciiTheme="minorBidi" w:hAnsiTheme="minorBidi" w:cs="Arial" w:hint="cs"/>
          <w:rtl/>
        </w:rPr>
        <w:t>מיימוני</w:t>
      </w:r>
      <w:r w:rsidRPr="00974030">
        <w:rPr>
          <w:rFonts w:asciiTheme="minorBidi" w:hAnsiTheme="minorBidi" w:cs="Arial"/>
          <w:rtl/>
        </w:rPr>
        <w:t xml:space="preserve"> </w:t>
      </w:r>
      <w:r w:rsidRPr="00974030">
        <w:rPr>
          <w:rFonts w:asciiTheme="minorBidi" w:hAnsiTheme="minorBidi" w:cs="Arial" w:hint="cs"/>
          <w:rtl/>
        </w:rPr>
        <w:t>פכ</w:t>
      </w:r>
      <w:r w:rsidRPr="00974030">
        <w:rPr>
          <w:rFonts w:asciiTheme="minorBidi" w:hAnsiTheme="minorBidi" w:cs="Arial"/>
          <w:rtl/>
        </w:rPr>
        <w:t>"</w:t>
      </w:r>
      <w:r w:rsidRPr="00974030">
        <w:rPr>
          <w:rFonts w:asciiTheme="minorBidi" w:hAnsiTheme="minorBidi" w:cs="Arial" w:hint="cs"/>
          <w:rtl/>
        </w:rPr>
        <w:t>ד</w:t>
      </w:r>
      <w:r w:rsidRPr="00974030">
        <w:rPr>
          <w:rFonts w:asciiTheme="minorBidi" w:hAnsiTheme="minorBidi" w:cs="Arial"/>
          <w:rtl/>
        </w:rPr>
        <w:t xml:space="preserve">). </w:t>
      </w:r>
      <w:r w:rsidRPr="00974030">
        <w:rPr>
          <w:rFonts w:asciiTheme="minorBidi" w:hAnsiTheme="minorBidi" w:cs="Arial" w:hint="cs"/>
          <w:rtl/>
        </w:rPr>
        <w:t>וי</w:t>
      </w:r>
      <w:r w:rsidRPr="00974030">
        <w:rPr>
          <w:rFonts w:asciiTheme="minorBidi" w:hAnsiTheme="minorBidi" w:cs="Arial"/>
          <w:rtl/>
        </w:rPr>
        <w:t>"</w:t>
      </w:r>
      <w:r w:rsidRPr="00974030">
        <w:rPr>
          <w:rFonts w:asciiTheme="minorBidi" w:hAnsiTheme="minorBidi" w:cs="Arial" w:hint="cs"/>
          <w:rtl/>
        </w:rPr>
        <w:t>א</w:t>
      </w:r>
      <w:r w:rsidRPr="00974030">
        <w:rPr>
          <w:rFonts w:asciiTheme="minorBidi" w:hAnsiTheme="minorBidi" w:cs="Arial"/>
          <w:rtl/>
        </w:rPr>
        <w:t xml:space="preserve"> </w:t>
      </w:r>
      <w:r w:rsidRPr="00974030">
        <w:rPr>
          <w:rFonts w:asciiTheme="minorBidi" w:hAnsiTheme="minorBidi" w:cs="Arial" w:hint="cs"/>
          <w:rtl/>
        </w:rPr>
        <w:t>דכל</w:t>
      </w:r>
      <w:r w:rsidRPr="00974030">
        <w:rPr>
          <w:rFonts w:asciiTheme="minorBidi" w:hAnsiTheme="minorBidi" w:cs="Arial"/>
          <w:rtl/>
        </w:rPr>
        <w:t xml:space="preserve"> </w:t>
      </w:r>
      <w:r w:rsidRPr="00974030">
        <w:rPr>
          <w:rFonts w:asciiTheme="minorBidi" w:hAnsiTheme="minorBidi" w:cs="Arial" w:hint="cs"/>
          <w:rtl/>
        </w:rPr>
        <w:t>זה</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מיירי</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להציל</w:t>
      </w:r>
      <w:r w:rsidRPr="00974030">
        <w:rPr>
          <w:rFonts w:asciiTheme="minorBidi" w:hAnsiTheme="minorBidi" w:cs="Arial"/>
          <w:rtl/>
        </w:rPr>
        <w:t xml:space="preserve"> </w:t>
      </w:r>
      <w:r w:rsidRPr="00974030">
        <w:rPr>
          <w:rFonts w:asciiTheme="minorBidi" w:hAnsiTheme="minorBidi" w:cs="Arial" w:hint="cs"/>
          <w:rtl/>
        </w:rPr>
        <w:t>מחצר</w:t>
      </w:r>
      <w:r w:rsidRPr="00974030">
        <w:rPr>
          <w:rFonts w:asciiTheme="minorBidi" w:hAnsiTheme="minorBidi" w:cs="Arial"/>
          <w:rtl/>
        </w:rPr>
        <w:t xml:space="preserve"> </w:t>
      </w:r>
      <w:r w:rsidRPr="00974030">
        <w:rPr>
          <w:rFonts w:asciiTheme="minorBidi" w:hAnsiTheme="minorBidi" w:cs="Arial" w:hint="cs"/>
          <w:rtl/>
        </w:rPr>
        <w:t>לחצר</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לבית</w:t>
      </w:r>
      <w:r w:rsidRPr="00974030">
        <w:rPr>
          <w:rFonts w:asciiTheme="minorBidi" w:hAnsiTheme="minorBidi" w:cs="Arial"/>
          <w:rtl/>
        </w:rPr>
        <w:t xml:space="preserve"> </w:t>
      </w:r>
      <w:r w:rsidRPr="00974030">
        <w:rPr>
          <w:rFonts w:asciiTheme="minorBidi" w:hAnsiTheme="minorBidi" w:cs="Arial" w:hint="cs"/>
          <w:rtl/>
        </w:rPr>
        <w:t>אחר</w:t>
      </w:r>
      <w:r w:rsidRPr="00974030">
        <w:rPr>
          <w:rFonts w:asciiTheme="minorBidi" w:hAnsiTheme="minorBidi" w:cs="Arial"/>
          <w:rtl/>
        </w:rPr>
        <w:t xml:space="preserve"> </w:t>
      </w:r>
      <w:r w:rsidRPr="00974030">
        <w:rPr>
          <w:rFonts w:asciiTheme="minorBidi" w:hAnsiTheme="minorBidi" w:cs="Arial" w:hint="cs"/>
          <w:rtl/>
        </w:rPr>
        <w:t>שעירב</w:t>
      </w:r>
      <w:r w:rsidRPr="00974030">
        <w:rPr>
          <w:rFonts w:asciiTheme="minorBidi" w:hAnsiTheme="minorBidi" w:cs="Arial"/>
          <w:rtl/>
        </w:rPr>
        <w:t xml:space="preserve"> </w:t>
      </w:r>
      <w:r w:rsidRPr="00974030">
        <w:rPr>
          <w:rFonts w:asciiTheme="minorBidi" w:hAnsiTheme="minorBidi" w:cs="Arial" w:hint="cs"/>
          <w:rtl/>
        </w:rPr>
        <w:t>עמו</w:t>
      </w:r>
      <w:r w:rsidRPr="00974030">
        <w:rPr>
          <w:rFonts w:asciiTheme="minorBidi" w:hAnsiTheme="minorBidi" w:cs="Arial"/>
          <w:rtl/>
        </w:rPr>
        <w:t xml:space="preserve"> </w:t>
      </w:r>
      <w:r w:rsidRPr="00974030">
        <w:rPr>
          <w:rFonts w:asciiTheme="minorBidi" w:hAnsiTheme="minorBidi" w:cs="Arial" w:hint="cs"/>
          <w:rtl/>
        </w:rPr>
        <w:t>מצילין</w:t>
      </w:r>
      <w:r w:rsidRPr="00974030">
        <w:rPr>
          <w:rFonts w:asciiTheme="minorBidi" w:hAnsiTheme="minorBidi" w:cs="Arial"/>
          <w:rtl/>
        </w:rPr>
        <w:t xml:space="preserve"> </w:t>
      </w:r>
      <w:r w:rsidRPr="00974030">
        <w:rPr>
          <w:rFonts w:asciiTheme="minorBidi" w:hAnsiTheme="minorBidi" w:cs="Arial" w:hint="cs"/>
          <w:rtl/>
        </w:rPr>
        <w:t>בכל</w:t>
      </w:r>
      <w:r w:rsidRPr="00974030">
        <w:rPr>
          <w:rFonts w:asciiTheme="minorBidi" w:hAnsiTheme="minorBidi" w:cs="Arial"/>
          <w:rtl/>
        </w:rPr>
        <w:t xml:space="preserve"> </w:t>
      </w:r>
      <w:r w:rsidRPr="00974030">
        <w:rPr>
          <w:rFonts w:asciiTheme="minorBidi" w:hAnsiTheme="minorBidi" w:cs="Arial" w:hint="cs"/>
          <w:rtl/>
        </w:rPr>
        <w:t>ענין</w:t>
      </w:r>
      <w:r w:rsidRPr="00974030">
        <w:rPr>
          <w:rFonts w:asciiTheme="minorBidi" w:hAnsiTheme="minorBidi" w:cs="Arial"/>
          <w:rtl/>
        </w:rPr>
        <w:t xml:space="preserve">, </w:t>
      </w:r>
      <w:r w:rsidRPr="00974030">
        <w:rPr>
          <w:rFonts w:asciiTheme="minorBidi" w:hAnsiTheme="minorBidi" w:cs="Arial" w:hint="cs"/>
          <w:rtl/>
        </w:rPr>
        <w:t>כמו</w:t>
      </w:r>
      <w:r w:rsidRPr="00974030">
        <w:rPr>
          <w:rFonts w:asciiTheme="minorBidi" w:hAnsiTheme="minorBidi" w:cs="Arial"/>
          <w:rtl/>
        </w:rPr>
        <w:t xml:space="preserve"> </w:t>
      </w:r>
      <w:r w:rsidRPr="00974030">
        <w:rPr>
          <w:rFonts w:asciiTheme="minorBidi" w:hAnsiTheme="minorBidi" w:cs="Arial" w:hint="cs"/>
          <w:rtl/>
        </w:rPr>
        <w:t>שנתבאר</w:t>
      </w:r>
      <w:r w:rsidRPr="00974030">
        <w:rPr>
          <w:rFonts w:asciiTheme="minorBidi" w:hAnsiTheme="minorBidi" w:cs="Arial"/>
          <w:rtl/>
        </w:rPr>
        <w:t xml:space="preserve"> </w:t>
      </w:r>
      <w:r w:rsidRPr="00974030">
        <w:rPr>
          <w:rFonts w:asciiTheme="minorBidi" w:hAnsiTheme="minorBidi" w:cs="Arial" w:hint="cs"/>
          <w:rtl/>
        </w:rPr>
        <w:t>לעיל</w:t>
      </w:r>
      <w:r w:rsidRPr="00974030">
        <w:rPr>
          <w:rFonts w:asciiTheme="minorBidi" w:hAnsiTheme="minorBidi" w:cs="Arial"/>
          <w:rtl/>
        </w:rPr>
        <w:t xml:space="preserve"> </w:t>
      </w:r>
      <w:r w:rsidRPr="00974030">
        <w:rPr>
          <w:rFonts w:asciiTheme="minorBidi" w:hAnsiTheme="minorBidi" w:cs="Arial" w:hint="cs"/>
          <w:rtl/>
        </w:rPr>
        <w:t>גבי</w:t>
      </w:r>
      <w:r w:rsidRPr="00974030">
        <w:rPr>
          <w:rFonts w:asciiTheme="minorBidi" w:hAnsiTheme="minorBidi" w:cs="Arial"/>
          <w:rtl/>
        </w:rPr>
        <w:t xml:space="preserve"> </w:t>
      </w:r>
      <w:r w:rsidRPr="00974030">
        <w:rPr>
          <w:rFonts w:asciiTheme="minorBidi" w:hAnsiTheme="minorBidi" w:cs="Arial" w:hint="cs"/>
          <w:rtl/>
        </w:rPr>
        <w:t>דליקה</w:t>
      </w:r>
      <w:r w:rsidRPr="00974030">
        <w:rPr>
          <w:rFonts w:asciiTheme="minorBidi" w:hAnsiTheme="minorBidi" w:cs="Arial"/>
          <w:rtl/>
        </w:rPr>
        <w:t xml:space="preserve"> (</w:t>
      </w:r>
      <w:r w:rsidRPr="00974030">
        <w:rPr>
          <w:rFonts w:asciiTheme="minorBidi" w:hAnsiTheme="minorBidi" w:cs="Arial" w:hint="cs"/>
          <w:rtl/>
        </w:rPr>
        <w:t>פסקי</w:t>
      </w:r>
      <w:r w:rsidRPr="00974030">
        <w:rPr>
          <w:rFonts w:asciiTheme="minorBidi" w:hAnsiTheme="minorBidi" w:cs="Arial"/>
          <w:rtl/>
        </w:rPr>
        <w:t xml:space="preserve"> </w:t>
      </w:r>
      <w:r w:rsidRPr="00974030">
        <w:rPr>
          <w:rFonts w:asciiTheme="minorBidi" w:hAnsiTheme="minorBidi" w:cs="Arial" w:hint="cs"/>
          <w:rtl/>
        </w:rPr>
        <w:t>מהר</w:t>
      </w:r>
      <w:r>
        <w:rPr>
          <w:rFonts w:asciiTheme="minorBidi" w:hAnsiTheme="minorBidi" w:cs="Arial" w:hint="cs"/>
          <w:rtl/>
        </w:rPr>
        <w:t>גוי</w:t>
      </w:r>
      <w:r w:rsidRPr="00974030">
        <w:rPr>
          <w:rFonts w:asciiTheme="minorBidi" w:hAnsiTheme="minorBidi" w:cs="Arial"/>
          <w:rtl/>
        </w:rPr>
        <w:t xml:space="preserve"> </w:t>
      </w:r>
      <w:r w:rsidRPr="00974030">
        <w:rPr>
          <w:rFonts w:asciiTheme="minorBidi" w:hAnsiTheme="minorBidi" w:cs="Arial" w:hint="cs"/>
          <w:rtl/>
        </w:rPr>
        <w:t>סי</w:t>
      </w:r>
      <w:r w:rsidRPr="00974030">
        <w:rPr>
          <w:rFonts w:asciiTheme="minorBidi" w:hAnsiTheme="minorBidi" w:cs="Arial"/>
          <w:rtl/>
        </w:rPr>
        <w:t xml:space="preserve">' </w:t>
      </w:r>
      <w:r w:rsidRPr="00974030">
        <w:rPr>
          <w:rFonts w:asciiTheme="minorBidi" w:hAnsiTheme="minorBidi" w:cs="Arial" w:hint="cs"/>
          <w:rtl/>
        </w:rPr>
        <w:t>קצ</w:t>
      </w:r>
      <w:r w:rsidRPr="00974030">
        <w:rPr>
          <w:rFonts w:asciiTheme="minorBidi" w:hAnsiTheme="minorBidi" w:cs="Arial"/>
          <w:rtl/>
        </w:rPr>
        <w:t>"</w:t>
      </w:r>
      <w:r w:rsidRPr="00974030">
        <w:rPr>
          <w:rFonts w:asciiTheme="minorBidi" w:hAnsiTheme="minorBidi" w:cs="Arial" w:hint="cs"/>
          <w:rtl/>
        </w:rPr>
        <w:t>ו</w:t>
      </w:r>
      <w:r w:rsidRPr="00974030">
        <w:rPr>
          <w:rFonts w:asciiTheme="minorBidi" w:hAnsiTheme="minorBidi" w:cs="Arial"/>
          <w:rtl/>
        </w:rPr>
        <w:t xml:space="preserve">). </w:t>
      </w:r>
    </w:p>
    <w:p w14:paraId="42893B69"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ב</w:t>
      </w:r>
    </w:p>
    <w:p w14:paraId="25B90D61"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נשברה</w:t>
      </w:r>
      <w:r w:rsidRPr="00974030">
        <w:rPr>
          <w:rFonts w:asciiTheme="minorBidi" w:hAnsiTheme="minorBidi" w:cs="Arial"/>
          <w:rtl/>
        </w:rPr>
        <w:t xml:space="preserve"> </w:t>
      </w:r>
      <w:r w:rsidRPr="00974030">
        <w:rPr>
          <w:rFonts w:asciiTheme="minorBidi" w:hAnsiTheme="minorBidi" w:cs="Arial" w:hint="cs"/>
          <w:rtl/>
        </w:rPr>
        <w:t>חבית</w:t>
      </w:r>
      <w:r w:rsidRPr="00974030">
        <w:rPr>
          <w:rFonts w:asciiTheme="minorBidi" w:hAnsiTheme="minorBidi" w:cs="Arial"/>
          <w:rtl/>
        </w:rPr>
        <w:t xml:space="preserve"> </w:t>
      </w:r>
      <w:r w:rsidRPr="00974030">
        <w:rPr>
          <w:rFonts w:asciiTheme="minorBidi" w:hAnsiTheme="minorBidi" w:cs="Arial" w:hint="cs"/>
          <w:rtl/>
        </w:rPr>
        <w:t>בראש</w:t>
      </w:r>
      <w:r w:rsidRPr="00974030">
        <w:rPr>
          <w:rFonts w:asciiTheme="minorBidi" w:hAnsiTheme="minorBidi" w:cs="Arial"/>
          <w:rtl/>
        </w:rPr>
        <w:t xml:space="preserve"> </w:t>
      </w:r>
      <w:r w:rsidRPr="00974030">
        <w:rPr>
          <w:rFonts w:asciiTheme="minorBidi" w:hAnsiTheme="minorBidi" w:cs="Arial" w:hint="cs"/>
          <w:rtl/>
        </w:rPr>
        <w:t>גגו</w:t>
      </w:r>
      <w:r w:rsidRPr="00974030">
        <w:rPr>
          <w:rFonts w:asciiTheme="minorBidi" w:hAnsiTheme="minorBidi" w:cs="Arial"/>
          <w:rtl/>
        </w:rPr>
        <w:t xml:space="preserve">, </w:t>
      </w:r>
      <w:r w:rsidRPr="00974030">
        <w:rPr>
          <w:rFonts w:asciiTheme="minorBidi" w:hAnsiTheme="minorBidi" w:cs="Arial" w:hint="cs"/>
          <w:rtl/>
        </w:rPr>
        <w:t>מביא</w:t>
      </w:r>
      <w:r w:rsidRPr="00974030">
        <w:rPr>
          <w:rFonts w:asciiTheme="minorBidi" w:hAnsiTheme="minorBidi" w:cs="Arial"/>
          <w:rtl/>
        </w:rPr>
        <w:t xml:space="preserve"> </w:t>
      </w:r>
      <w:r w:rsidRPr="00974030">
        <w:rPr>
          <w:rFonts w:asciiTheme="minorBidi" w:hAnsiTheme="minorBidi" w:cs="Arial" w:hint="cs"/>
          <w:rtl/>
        </w:rPr>
        <w:t>כלי</w:t>
      </w:r>
      <w:r w:rsidRPr="00974030">
        <w:rPr>
          <w:rFonts w:asciiTheme="minorBidi" w:hAnsiTheme="minorBidi" w:cs="Arial"/>
          <w:rtl/>
        </w:rPr>
        <w:t xml:space="preserve"> </w:t>
      </w:r>
      <w:r w:rsidRPr="00974030">
        <w:rPr>
          <w:rFonts w:asciiTheme="minorBidi" w:hAnsiTheme="minorBidi" w:cs="Arial" w:hint="cs"/>
          <w:rtl/>
        </w:rPr>
        <w:t>ומניח</w:t>
      </w:r>
      <w:r w:rsidRPr="00974030">
        <w:rPr>
          <w:rFonts w:asciiTheme="minorBidi" w:hAnsiTheme="minorBidi" w:cs="Arial"/>
          <w:rtl/>
        </w:rPr>
        <w:t xml:space="preserve"> </w:t>
      </w:r>
      <w:r w:rsidRPr="00974030">
        <w:rPr>
          <w:rFonts w:asciiTheme="minorBidi" w:hAnsiTheme="minorBidi" w:cs="Arial" w:hint="cs"/>
          <w:rtl/>
        </w:rPr>
        <w:t>תחתיה</w:t>
      </w:r>
      <w:r w:rsidRPr="00974030">
        <w:rPr>
          <w:rFonts w:asciiTheme="minorBidi" w:hAnsiTheme="minorBidi" w:cs="Arial"/>
          <w:rtl/>
        </w:rPr>
        <w:t xml:space="preserve">, </w:t>
      </w:r>
      <w:r w:rsidRPr="00974030">
        <w:rPr>
          <w:rFonts w:asciiTheme="minorBidi" w:hAnsiTheme="minorBidi" w:cs="Arial" w:hint="cs"/>
          <w:rtl/>
        </w:rPr>
        <w:t>ובלבד</w:t>
      </w:r>
      <w:r w:rsidRPr="00974030">
        <w:rPr>
          <w:rFonts w:asciiTheme="minorBidi" w:hAnsiTheme="minorBidi" w:cs="Arial"/>
          <w:rtl/>
        </w:rPr>
        <w:t xml:space="preserve"> </w:t>
      </w:r>
      <w:r w:rsidRPr="00974030">
        <w:rPr>
          <w:rFonts w:asciiTheme="minorBidi" w:hAnsiTheme="minorBidi" w:cs="Arial" w:hint="cs"/>
          <w:rtl/>
        </w:rPr>
        <w:t>שלא</w:t>
      </w:r>
      <w:r w:rsidRPr="00974030">
        <w:rPr>
          <w:rFonts w:asciiTheme="minorBidi" w:hAnsiTheme="minorBidi" w:cs="Arial"/>
          <w:rtl/>
        </w:rPr>
        <w:t xml:space="preserve"> </w:t>
      </w:r>
      <w:r w:rsidRPr="00974030">
        <w:rPr>
          <w:rFonts w:asciiTheme="minorBidi" w:hAnsiTheme="minorBidi" w:cs="Arial" w:hint="cs"/>
          <w:rtl/>
        </w:rPr>
        <w:t>יביא</w:t>
      </w:r>
      <w:r w:rsidRPr="00974030">
        <w:rPr>
          <w:rFonts w:asciiTheme="minorBidi" w:hAnsiTheme="minorBidi" w:cs="Arial"/>
          <w:rtl/>
        </w:rPr>
        <w:t xml:space="preserve"> </w:t>
      </w:r>
      <w:r w:rsidRPr="00974030">
        <w:rPr>
          <w:rFonts w:asciiTheme="minorBidi" w:hAnsiTheme="minorBidi" w:cs="Arial" w:hint="cs"/>
          <w:rtl/>
        </w:rPr>
        <w:t>כלי</w:t>
      </w:r>
      <w:r w:rsidRPr="00974030">
        <w:rPr>
          <w:rFonts w:asciiTheme="minorBidi" w:hAnsiTheme="minorBidi" w:cs="Arial"/>
          <w:rtl/>
        </w:rPr>
        <w:t xml:space="preserve"> </w:t>
      </w:r>
      <w:r w:rsidRPr="00974030">
        <w:rPr>
          <w:rFonts w:asciiTheme="minorBidi" w:hAnsiTheme="minorBidi" w:cs="Arial" w:hint="cs"/>
          <w:rtl/>
        </w:rPr>
        <w:t>אחר</w:t>
      </w:r>
      <w:r w:rsidRPr="00974030">
        <w:rPr>
          <w:rFonts w:asciiTheme="minorBidi" w:hAnsiTheme="minorBidi" w:cs="Arial"/>
          <w:rtl/>
        </w:rPr>
        <w:t xml:space="preserve"> </w:t>
      </w:r>
      <w:r w:rsidRPr="00974030">
        <w:rPr>
          <w:rFonts w:asciiTheme="minorBidi" w:hAnsiTheme="minorBidi" w:cs="Arial" w:hint="cs"/>
          <w:rtl/>
        </w:rPr>
        <w:t>ויקלוט</w:t>
      </w:r>
      <w:r w:rsidRPr="00974030">
        <w:rPr>
          <w:rFonts w:asciiTheme="minorBidi" w:hAnsiTheme="minorBidi" w:cs="Arial"/>
          <w:rtl/>
        </w:rPr>
        <w:t xml:space="preserve"> </w:t>
      </w:r>
      <w:r w:rsidRPr="00974030">
        <w:rPr>
          <w:rFonts w:asciiTheme="minorBidi" w:hAnsiTheme="minorBidi" w:cs="Arial" w:hint="cs"/>
          <w:rtl/>
        </w:rPr>
        <w:t>לקבל</w:t>
      </w:r>
      <w:r w:rsidRPr="00974030">
        <w:rPr>
          <w:rFonts w:asciiTheme="minorBidi" w:hAnsiTheme="minorBidi" w:cs="Arial"/>
          <w:rtl/>
        </w:rPr>
        <w:t xml:space="preserve"> </w:t>
      </w:r>
      <w:r w:rsidRPr="00974030">
        <w:rPr>
          <w:rFonts w:asciiTheme="minorBidi" w:hAnsiTheme="minorBidi" w:cs="Arial" w:hint="cs"/>
          <w:rtl/>
        </w:rPr>
        <w:t>מן</w:t>
      </w:r>
      <w:r w:rsidRPr="00974030">
        <w:rPr>
          <w:rFonts w:asciiTheme="minorBidi" w:hAnsiTheme="minorBidi" w:cs="Arial"/>
          <w:rtl/>
        </w:rPr>
        <w:t xml:space="preserve"> </w:t>
      </w:r>
      <w:r w:rsidRPr="00974030">
        <w:rPr>
          <w:rFonts w:asciiTheme="minorBidi" w:hAnsiTheme="minorBidi" w:cs="Arial" w:hint="cs"/>
          <w:rtl/>
        </w:rPr>
        <w:t>הקילוח</w:t>
      </w:r>
      <w:r w:rsidRPr="00974030">
        <w:rPr>
          <w:rFonts w:asciiTheme="minorBidi" w:hAnsiTheme="minorBidi" w:cs="Arial"/>
          <w:rtl/>
        </w:rPr>
        <w:t xml:space="preserve"> </w:t>
      </w:r>
      <w:r w:rsidRPr="00974030">
        <w:rPr>
          <w:rFonts w:asciiTheme="minorBidi" w:hAnsiTheme="minorBidi" w:cs="Arial" w:hint="cs"/>
          <w:rtl/>
        </w:rPr>
        <w:t>באויר</w:t>
      </w:r>
      <w:r w:rsidRPr="00974030">
        <w:rPr>
          <w:rFonts w:asciiTheme="minorBidi" w:hAnsiTheme="minorBidi" w:cs="Arial"/>
          <w:rtl/>
        </w:rPr>
        <w:t xml:space="preserve"> </w:t>
      </w:r>
      <w:r w:rsidRPr="00974030">
        <w:rPr>
          <w:rFonts w:asciiTheme="minorBidi" w:hAnsiTheme="minorBidi" w:cs="Arial" w:hint="cs"/>
          <w:rtl/>
        </w:rPr>
        <w:t>לאחר</w:t>
      </w:r>
      <w:r w:rsidRPr="00974030">
        <w:rPr>
          <w:rFonts w:asciiTheme="minorBidi" w:hAnsiTheme="minorBidi" w:cs="Arial"/>
          <w:rtl/>
        </w:rPr>
        <w:t xml:space="preserve"> </w:t>
      </w:r>
      <w:r w:rsidRPr="00974030">
        <w:rPr>
          <w:rFonts w:asciiTheme="minorBidi" w:hAnsiTheme="minorBidi" w:cs="Arial" w:hint="cs"/>
          <w:rtl/>
        </w:rPr>
        <w:t>שירד</w:t>
      </w:r>
      <w:r w:rsidRPr="00974030">
        <w:rPr>
          <w:rFonts w:asciiTheme="minorBidi" w:hAnsiTheme="minorBidi" w:cs="Arial"/>
          <w:rtl/>
        </w:rPr>
        <w:t xml:space="preserve"> </w:t>
      </w:r>
      <w:r w:rsidRPr="00974030">
        <w:rPr>
          <w:rFonts w:asciiTheme="minorBidi" w:hAnsiTheme="minorBidi" w:cs="Arial" w:hint="cs"/>
          <w:rtl/>
        </w:rPr>
        <w:t>מן</w:t>
      </w:r>
      <w:r w:rsidRPr="00974030">
        <w:rPr>
          <w:rFonts w:asciiTheme="minorBidi" w:hAnsiTheme="minorBidi" w:cs="Arial"/>
          <w:rtl/>
        </w:rPr>
        <w:t xml:space="preserve"> </w:t>
      </w:r>
      <w:r w:rsidRPr="00974030">
        <w:rPr>
          <w:rFonts w:asciiTheme="minorBidi" w:hAnsiTheme="minorBidi" w:cs="Arial" w:hint="cs"/>
          <w:rtl/>
        </w:rPr>
        <w:t>הגג</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יביא</w:t>
      </w:r>
      <w:r w:rsidRPr="00974030">
        <w:rPr>
          <w:rFonts w:asciiTheme="minorBidi" w:hAnsiTheme="minorBidi" w:cs="Arial"/>
          <w:rtl/>
        </w:rPr>
        <w:t xml:space="preserve"> </w:t>
      </w:r>
      <w:r w:rsidRPr="00974030">
        <w:rPr>
          <w:rFonts w:asciiTheme="minorBidi" w:hAnsiTheme="minorBidi" w:cs="Arial" w:hint="cs"/>
          <w:rtl/>
        </w:rPr>
        <w:t>כלי</w:t>
      </w:r>
      <w:r w:rsidRPr="00974030">
        <w:rPr>
          <w:rFonts w:asciiTheme="minorBidi" w:hAnsiTheme="minorBidi" w:cs="Arial"/>
          <w:rtl/>
        </w:rPr>
        <w:t xml:space="preserve"> </w:t>
      </w:r>
      <w:r w:rsidRPr="00974030">
        <w:rPr>
          <w:rFonts w:asciiTheme="minorBidi" w:hAnsiTheme="minorBidi" w:cs="Arial" w:hint="cs"/>
          <w:rtl/>
        </w:rPr>
        <w:t>אחר</w:t>
      </w:r>
      <w:r w:rsidRPr="00974030">
        <w:rPr>
          <w:rFonts w:asciiTheme="minorBidi" w:hAnsiTheme="minorBidi" w:cs="Arial"/>
          <w:rtl/>
        </w:rPr>
        <w:t xml:space="preserve"> </w:t>
      </w:r>
      <w:r w:rsidRPr="00974030">
        <w:rPr>
          <w:rFonts w:asciiTheme="minorBidi" w:hAnsiTheme="minorBidi" w:cs="Arial" w:hint="cs"/>
          <w:rtl/>
        </w:rPr>
        <w:t>ויצרף</w:t>
      </w:r>
      <w:r w:rsidRPr="00974030">
        <w:rPr>
          <w:rFonts w:asciiTheme="minorBidi" w:hAnsiTheme="minorBidi" w:cs="Arial"/>
          <w:rtl/>
        </w:rPr>
        <w:t xml:space="preserve"> </w:t>
      </w:r>
      <w:r w:rsidRPr="00974030">
        <w:rPr>
          <w:rFonts w:asciiTheme="minorBidi" w:hAnsiTheme="minorBidi" w:cs="Arial" w:hint="cs"/>
          <w:rtl/>
        </w:rPr>
        <w:t>אותו</w:t>
      </w:r>
      <w:r w:rsidRPr="00974030">
        <w:rPr>
          <w:rFonts w:asciiTheme="minorBidi" w:hAnsiTheme="minorBidi" w:cs="Arial"/>
          <w:rtl/>
        </w:rPr>
        <w:t xml:space="preserve"> </w:t>
      </w:r>
      <w:r w:rsidRPr="00974030">
        <w:rPr>
          <w:rFonts w:asciiTheme="minorBidi" w:hAnsiTheme="minorBidi" w:cs="Arial" w:hint="cs"/>
          <w:rtl/>
        </w:rPr>
        <w:t>לראש</w:t>
      </w:r>
      <w:r w:rsidRPr="00974030">
        <w:rPr>
          <w:rFonts w:asciiTheme="minorBidi" w:hAnsiTheme="minorBidi" w:cs="Arial"/>
          <w:rtl/>
        </w:rPr>
        <w:t xml:space="preserve"> </w:t>
      </w:r>
      <w:r w:rsidRPr="00974030">
        <w:rPr>
          <w:rFonts w:asciiTheme="minorBidi" w:hAnsiTheme="minorBidi" w:cs="Arial" w:hint="cs"/>
          <w:rtl/>
        </w:rPr>
        <w:t>הגג</w:t>
      </w:r>
      <w:r w:rsidRPr="00974030">
        <w:rPr>
          <w:rFonts w:asciiTheme="minorBidi" w:hAnsiTheme="minorBidi" w:cs="Arial"/>
          <w:rtl/>
        </w:rPr>
        <w:t xml:space="preserve">; </w:t>
      </w:r>
      <w:r w:rsidRPr="00974030">
        <w:rPr>
          <w:rFonts w:asciiTheme="minorBidi" w:hAnsiTheme="minorBidi" w:cs="Arial" w:hint="cs"/>
          <w:rtl/>
        </w:rPr>
        <w:t>ואם</w:t>
      </w:r>
      <w:r w:rsidRPr="00974030">
        <w:rPr>
          <w:rFonts w:asciiTheme="minorBidi" w:hAnsiTheme="minorBidi" w:cs="Arial"/>
          <w:rtl/>
        </w:rPr>
        <w:t xml:space="preserve"> </w:t>
      </w:r>
      <w:r w:rsidRPr="00974030">
        <w:rPr>
          <w:rFonts w:asciiTheme="minorBidi" w:hAnsiTheme="minorBidi" w:cs="Arial" w:hint="cs"/>
          <w:rtl/>
        </w:rPr>
        <w:t>מציל</w:t>
      </w:r>
      <w:r w:rsidRPr="00974030">
        <w:rPr>
          <w:rFonts w:asciiTheme="minorBidi" w:hAnsiTheme="minorBidi" w:cs="Arial"/>
          <w:rtl/>
        </w:rPr>
        <w:t xml:space="preserve"> </w:t>
      </w:r>
      <w:r w:rsidRPr="00974030">
        <w:rPr>
          <w:rFonts w:asciiTheme="minorBidi" w:hAnsiTheme="minorBidi" w:cs="Arial" w:hint="cs"/>
          <w:rtl/>
        </w:rPr>
        <w:t>בכלי</w:t>
      </w:r>
      <w:r w:rsidRPr="00974030">
        <w:rPr>
          <w:rFonts w:asciiTheme="minorBidi" w:hAnsiTheme="minorBidi" w:cs="Arial"/>
          <w:rtl/>
        </w:rPr>
        <w:t xml:space="preserve"> </w:t>
      </w:r>
      <w:r w:rsidRPr="00974030">
        <w:rPr>
          <w:rFonts w:asciiTheme="minorBidi" w:hAnsiTheme="minorBidi" w:cs="Arial" w:hint="cs"/>
          <w:rtl/>
        </w:rPr>
        <w:t>אחד</w:t>
      </w:r>
      <w:r w:rsidRPr="00974030">
        <w:rPr>
          <w:rFonts w:asciiTheme="minorBidi" w:hAnsiTheme="minorBidi" w:cs="Arial"/>
          <w:rtl/>
        </w:rPr>
        <w:t xml:space="preserve">, </w:t>
      </w:r>
      <w:r w:rsidRPr="00974030">
        <w:rPr>
          <w:rFonts w:asciiTheme="minorBidi" w:hAnsiTheme="minorBidi" w:cs="Arial" w:hint="cs"/>
          <w:rtl/>
        </w:rPr>
        <w:t>מציל</w:t>
      </w:r>
      <w:r w:rsidRPr="00974030">
        <w:rPr>
          <w:rFonts w:asciiTheme="minorBidi" w:hAnsiTheme="minorBidi" w:cs="Arial"/>
          <w:rtl/>
        </w:rPr>
        <w:t xml:space="preserve"> </w:t>
      </w:r>
      <w:r w:rsidRPr="00974030">
        <w:rPr>
          <w:rFonts w:asciiTheme="minorBidi" w:hAnsiTheme="minorBidi" w:cs="Arial" w:hint="cs"/>
          <w:rtl/>
        </w:rPr>
        <w:t>אפי</w:t>
      </w:r>
      <w:r w:rsidRPr="00974030">
        <w:rPr>
          <w:rFonts w:asciiTheme="minorBidi" w:hAnsiTheme="minorBidi" w:cs="Arial"/>
          <w:rtl/>
        </w:rPr>
        <w:t xml:space="preserve">' </w:t>
      </w:r>
      <w:r w:rsidRPr="00974030">
        <w:rPr>
          <w:rFonts w:asciiTheme="minorBidi" w:hAnsiTheme="minorBidi" w:cs="Arial" w:hint="cs"/>
          <w:rtl/>
        </w:rPr>
        <w:t>קולט</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מצרף</w:t>
      </w:r>
      <w:r w:rsidRPr="00974030">
        <w:rPr>
          <w:rFonts w:asciiTheme="minorBidi" w:hAnsiTheme="minorBidi" w:cs="Arial"/>
          <w:rtl/>
        </w:rPr>
        <w:t xml:space="preserve">. </w:t>
      </w:r>
    </w:p>
    <w:p w14:paraId="4742FABC"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ג</w:t>
      </w:r>
    </w:p>
    <w:p w14:paraId="6F99D67C"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נזדמנו</w:t>
      </w:r>
      <w:r w:rsidRPr="00974030">
        <w:rPr>
          <w:rFonts w:asciiTheme="minorBidi" w:hAnsiTheme="minorBidi" w:cs="Arial"/>
          <w:rtl/>
        </w:rPr>
        <w:t xml:space="preserve"> </w:t>
      </w:r>
      <w:r w:rsidRPr="00974030">
        <w:rPr>
          <w:rFonts w:asciiTheme="minorBidi" w:hAnsiTheme="minorBidi" w:cs="Arial" w:hint="cs"/>
          <w:rtl/>
        </w:rPr>
        <w:t>לו</w:t>
      </w:r>
      <w:r w:rsidRPr="00974030">
        <w:rPr>
          <w:rFonts w:asciiTheme="minorBidi" w:hAnsiTheme="minorBidi" w:cs="Arial"/>
          <w:rtl/>
        </w:rPr>
        <w:t xml:space="preserve"> </w:t>
      </w:r>
      <w:r w:rsidRPr="00974030">
        <w:rPr>
          <w:rFonts w:asciiTheme="minorBidi" w:hAnsiTheme="minorBidi" w:cs="Arial" w:hint="cs"/>
          <w:rtl/>
        </w:rPr>
        <w:t>אורחים</w:t>
      </w:r>
      <w:r w:rsidRPr="00974030">
        <w:rPr>
          <w:rFonts w:asciiTheme="minorBidi" w:hAnsiTheme="minorBidi" w:cs="Arial"/>
          <w:rtl/>
        </w:rPr>
        <w:t xml:space="preserve"> </w:t>
      </w:r>
      <w:r w:rsidRPr="00974030">
        <w:rPr>
          <w:rFonts w:asciiTheme="minorBidi" w:hAnsiTheme="minorBidi" w:cs="Arial" w:hint="cs"/>
          <w:rtl/>
        </w:rPr>
        <w:t>מביא</w:t>
      </w:r>
      <w:r w:rsidRPr="00974030">
        <w:rPr>
          <w:rFonts w:asciiTheme="minorBidi" w:hAnsiTheme="minorBidi" w:cs="Arial"/>
          <w:rtl/>
        </w:rPr>
        <w:t xml:space="preserve"> </w:t>
      </w:r>
      <w:r w:rsidRPr="00974030">
        <w:rPr>
          <w:rFonts w:asciiTheme="minorBidi" w:hAnsiTheme="minorBidi" w:cs="Arial" w:hint="cs"/>
          <w:rtl/>
        </w:rPr>
        <w:t>כלי</w:t>
      </w:r>
      <w:r w:rsidRPr="00974030">
        <w:rPr>
          <w:rFonts w:asciiTheme="minorBidi" w:hAnsiTheme="minorBidi" w:cs="Arial"/>
          <w:rtl/>
        </w:rPr>
        <w:t xml:space="preserve"> </w:t>
      </w:r>
      <w:r w:rsidRPr="00974030">
        <w:rPr>
          <w:rFonts w:asciiTheme="minorBidi" w:hAnsiTheme="minorBidi" w:cs="Arial" w:hint="cs"/>
          <w:rtl/>
        </w:rPr>
        <w:t>א</w:t>
      </w:r>
      <w:r w:rsidRPr="00974030">
        <w:rPr>
          <w:rFonts w:asciiTheme="minorBidi" w:hAnsiTheme="minorBidi" w:cs="Arial"/>
          <w:rtl/>
        </w:rPr>
        <w:t xml:space="preserve">' </w:t>
      </w:r>
      <w:r w:rsidRPr="00974030">
        <w:rPr>
          <w:rFonts w:asciiTheme="minorBidi" w:hAnsiTheme="minorBidi" w:cs="Arial" w:hint="cs"/>
          <w:rtl/>
        </w:rPr>
        <w:t>וקולט</w:t>
      </w:r>
      <w:r w:rsidRPr="00974030">
        <w:rPr>
          <w:rFonts w:asciiTheme="minorBidi" w:hAnsiTheme="minorBidi" w:cs="Arial"/>
          <w:rtl/>
        </w:rPr>
        <w:t xml:space="preserve">, </w:t>
      </w:r>
      <w:r w:rsidRPr="00974030">
        <w:rPr>
          <w:rFonts w:asciiTheme="minorBidi" w:hAnsiTheme="minorBidi" w:cs="Arial" w:hint="cs"/>
          <w:rtl/>
        </w:rPr>
        <w:t>כלי</w:t>
      </w:r>
      <w:r w:rsidRPr="00974030">
        <w:rPr>
          <w:rFonts w:asciiTheme="minorBidi" w:hAnsiTheme="minorBidi" w:cs="Arial"/>
          <w:rtl/>
        </w:rPr>
        <w:t xml:space="preserve"> </w:t>
      </w:r>
      <w:r w:rsidRPr="00974030">
        <w:rPr>
          <w:rFonts w:asciiTheme="minorBidi" w:hAnsiTheme="minorBidi" w:cs="Arial" w:hint="cs"/>
          <w:rtl/>
        </w:rPr>
        <w:t>א</w:t>
      </w:r>
      <w:r w:rsidRPr="00974030">
        <w:rPr>
          <w:rFonts w:asciiTheme="minorBidi" w:hAnsiTheme="minorBidi" w:cs="Arial"/>
          <w:rtl/>
        </w:rPr>
        <w:t xml:space="preserve">' </w:t>
      </w:r>
      <w:r w:rsidRPr="00974030">
        <w:rPr>
          <w:rFonts w:asciiTheme="minorBidi" w:hAnsiTheme="minorBidi" w:cs="Arial" w:hint="cs"/>
          <w:rtl/>
        </w:rPr>
        <w:t>ויצרף</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יקלוט</w:t>
      </w:r>
      <w:r w:rsidRPr="00974030">
        <w:rPr>
          <w:rFonts w:asciiTheme="minorBidi" w:hAnsiTheme="minorBidi" w:cs="Arial"/>
          <w:rtl/>
        </w:rPr>
        <w:t xml:space="preserve"> </w:t>
      </w:r>
      <w:r w:rsidRPr="00974030">
        <w:rPr>
          <w:rFonts w:asciiTheme="minorBidi" w:hAnsiTheme="minorBidi" w:cs="Arial" w:hint="cs"/>
          <w:rtl/>
        </w:rPr>
        <w:t>ויצרף</w:t>
      </w:r>
      <w:r w:rsidRPr="00974030">
        <w:rPr>
          <w:rFonts w:asciiTheme="minorBidi" w:hAnsiTheme="minorBidi" w:cs="Arial"/>
          <w:rtl/>
        </w:rPr>
        <w:t xml:space="preserve"> </w:t>
      </w:r>
      <w:r w:rsidRPr="00974030">
        <w:rPr>
          <w:rFonts w:asciiTheme="minorBidi" w:hAnsiTheme="minorBidi" w:cs="Arial" w:hint="cs"/>
          <w:rtl/>
        </w:rPr>
        <w:t>ואח</w:t>
      </w:r>
      <w:r w:rsidRPr="00974030">
        <w:rPr>
          <w:rFonts w:asciiTheme="minorBidi" w:hAnsiTheme="minorBidi" w:cs="Arial"/>
          <w:rtl/>
        </w:rPr>
        <w:t>"</w:t>
      </w:r>
      <w:r w:rsidRPr="00974030">
        <w:rPr>
          <w:rFonts w:asciiTheme="minorBidi" w:hAnsiTheme="minorBidi" w:cs="Arial" w:hint="cs"/>
          <w:rtl/>
        </w:rPr>
        <w:t>כ</w:t>
      </w:r>
      <w:r w:rsidRPr="00974030">
        <w:rPr>
          <w:rFonts w:asciiTheme="minorBidi" w:hAnsiTheme="minorBidi" w:cs="Arial"/>
          <w:rtl/>
        </w:rPr>
        <w:t xml:space="preserve"> </w:t>
      </w:r>
      <w:r w:rsidRPr="00974030">
        <w:rPr>
          <w:rFonts w:asciiTheme="minorBidi" w:hAnsiTheme="minorBidi" w:cs="Arial" w:hint="cs"/>
          <w:rtl/>
        </w:rPr>
        <w:t>יזמין</w:t>
      </w:r>
      <w:r w:rsidRPr="00974030">
        <w:rPr>
          <w:rFonts w:asciiTheme="minorBidi" w:hAnsiTheme="minorBidi" w:cs="Arial"/>
          <w:rtl/>
        </w:rPr>
        <w:t xml:space="preserve"> </w:t>
      </w:r>
      <w:r w:rsidRPr="00974030">
        <w:rPr>
          <w:rFonts w:asciiTheme="minorBidi" w:hAnsiTheme="minorBidi" w:cs="Arial" w:hint="cs"/>
          <w:rtl/>
        </w:rPr>
        <w:t>האורחים</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יערים</w:t>
      </w:r>
      <w:r w:rsidRPr="00974030">
        <w:rPr>
          <w:rFonts w:asciiTheme="minorBidi" w:hAnsiTheme="minorBidi" w:cs="Arial"/>
          <w:rtl/>
        </w:rPr>
        <w:t xml:space="preserve"> </w:t>
      </w:r>
      <w:r w:rsidRPr="00974030">
        <w:rPr>
          <w:rFonts w:asciiTheme="minorBidi" w:hAnsiTheme="minorBidi" w:cs="Arial" w:hint="cs"/>
          <w:rtl/>
        </w:rPr>
        <w:t>לזמן</w:t>
      </w:r>
      <w:r w:rsidRPr="00974030">
        <w:rPr>
          <w:rFonts w:asciiTheme="minorBidi" w:hAnsiTheme="minorBidi" w:cs="Arial"/>
          <w:rtl/>
        </w:rPr>
        <w:t xml:space="preserve"> </w:t>
      </w:r>
      <w:r w:rsidRPr="00974030">
        <w:rPr>
          <w:rFonts w:asciiTheme="minorBidi" w:hAnsiTheme="minorBidi" w:cs="Arial" w:hint="cs"/>
          <w:rtl/>
        </w:rPr>
        <w:t>אורחים</w:t>
      </w:r>
      <w:r w:rsidRPr="00974030">
        <w:rPr>
          <w:rFonts w:asciiTheme="minorBidi" w:hAnsiTheme="minorBidi" w:cs="Arial"/>
          <w:rtl/>
        </w:rPr>
        <w:t xml:space="preserve"> </w:t>
      </w:r>
      <w:r w:rsidRPr="00974030">
        <w:rPr>
          <w:rFonts w:asciiTheme="minorBidi" w:hAnsiTheme="minorBidi" w:cs="Arial" w:hint="cs"/>
          <w:rtl/>
        </w:rPr>
        <w:t>שאין</w:t>
      </w:r>
      <w:r w:rsidRPr="00974030">
        <w:rPr>
          <w:rFonts w:asciiTheme="minorBidi" w:hAnsiTheme="minorBidi" w:cs="Arial"/>
          <w:rtl/>
        </w:rPr>
        <w:t xml:space="preserve"> </w:t>
      </w:r>
      <w:r w:rsidRPr="00974030">
        <w:rPr>
          <w:rFonts w:asciiTheme="minorBidi" w:hAnsiTheme="minorBidi" w:cs="Arial" w:hint="cs"/>
          <w:rtl/>
        </w:rPr>
        <w:t>צריכים</w:t>
      </w:r>
      <w:r w:rsidRPr="00974030">
        <w:rPr>
          <w:rFonts w:asciiTheme="minorBidi" w:hAnsiTheme="minorBidi" w:cs="Arial"/>
          <w:rtl/>
        </w:rPr>
        <w:t xml:space="preserve"> </w:t>
      </w:r>
      <w:r w:rsidRPr="00974030">
        <w:rPr>
          <w:rFonts w:asciiTheme="minorBidi" w:hAnsiTheme="minorBidi" w:cs="Arial" w:hint="cs"/>
          <w:rtl/>
        </w:rPr>
        <w:t>לאכול</w:t>
      </w:r>
      <w:r w:rsidRPr="00974030">
        <w:rPr>
          <w:rFonts w:asciiTheme="minorBidi" w:hAnsiTheme="minorBidi" w:cs="Arial"/>
          <w:rtl/>
        </w:rPr>
        <w:t xml:space="preserve">. </w:t>
      </w:r>
      <w:r w:rsidRPr="00974030">
        <w:rPr>
          <w:rFonts w:asciiTheme="minorBidi" w:hAnsiTheme="minorBidi" w:cs="Arial" w:hint="cs"/>
          <w:rtl/>
        </w:rPr>
        <w:t>הגה</w:t>
      </w:r>
      <w:r w:rsidRPr="00974030">
        <w:rPr>
          <w:rFonts w:asciiTheme="minorBidi" w:hAnsiTheme="minorBidi" w:cs="Arial"/>
          <w:rtl/>
        </w:rPr>
        <w:t xml:space="preserve">: </w:t>
      </w:r>
      <w:r w:rsidRPr="00974030">
        <w:rPr>
          <w:rFonts w:asciiTheme="minorBidi" w:hAnsiTheme="minorBidi" w:cs="Arial" w:hint="cs"/>
          <w:rtl/>
        </w:rPr>
        <w:t>ומיהו</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עבר</w:t>
      </w:r>
      <w:r w:rsidRPr="00974030">
        <w:rPr>
          <w:rFonts w:asciiTheme="minorBidi" w:hAnsiTheme="minorBidi" w:cs="Arial"/>
          <w:rtl/>
        </w:rPr>
        <w:t xml:space="preserve"> </w:t>
      </w:r>
      <w:r w:rsidRPr="00974030">
        <w:rPr>
          <w:rFonts w:asciiTheme="minorBidi" w:hAnsiTheme="minorBidi" w:cs="Arial" w:hint="cs"/>
          <w:rtl/>
        </w:rPr>
        <w:t>ועשה</w:t>
      </w:r>
      <w:r w:rsidRPr="00974030">
        <w:rPr>
          <w:rFonts w:asciiTheme="minorBidi" w:hAnsiTheme="minorBidi" w:cs="Arial"/>
          <w:rtl/>
        </w:rPr>
        <w:t xml:space="preserve">, </w:t>
      </w:r>
      <w:r w:rsidRPr="00974030">
        <w:rPr>
          <w:rFonts w:asciiTheme="minorBidi" w:hAnsiTheme="minorBidi" w:cs="Arial" w:hint="cs"/>
          <w:rtl/>
        </w:rPr>
        <w:t>שקלט</w:t>
      </w:r>
      <w:r w:rsidRPr="00974030">
        <w:rPr>
          <w:rFonts w:asciiTheme="minorBidi" w:hAnsiTheme="minorBidi" w:cs="Arial"/>
          <w:rtl/>
        </w:rPr>
        <w:t xml:space="preserve"> </w:t>
      </w:r>
      <w:r w:rsidRPr="00974030">
        <w:rPr>
          <w:rFonts w:asciiTheme="minorBidi" w:hAnsiTheme="minorBidi" w:cs="Arial" w:hint="cs"/>
          <w:rtl/>
        </w:rPr>
        <w:t>ואח</w:t>
      </w:r>
      <w:r w:rsidRPr="00974030">
        <w:rPr>
          <w:rFonts w:asciiTheme="minorBidi" w:hAnsiTheme="minorBidi" w:cs="Arial"/>
          <w:rtl/>
        </w:rPr>
        <w:t>"</w:t>
      </w:r>
      <w:r w:rsidRPr="00974030">
        <w:rPr>
          <w:rFonts w:asciiTheme="minorBidi" w:hAnsiTheme="minorBidi" w:cs="Arial" w:hint="cs"/>
          <w:rtl/>
        </w:rPr>
        <w:t>כ</w:t>
      </w:r>
      <w:r w:rsidRPr="00974030">
        <w:rPr>
          <w:rFonts w:asciiTheme="minorBidi" w:hAnsiTheme="minorBidi" w:cs="Arial"/>
          <w:rtl/>
        </w:rPr>
        <w:t xml:space="preserve"> </w:t>
      </w:r>
      <w:r w:rsidRPr="00974030">
        <w:rPr>
          <w:rFonts w:asciiTheme="minorBidi" w:hAnsiTheme="minorBidi" w:cs="Arial" w:hint="cs"/>
          <w:rtl/>
        </w:rPr>
        <w:t>זימן</w:t>
      </w:r>
      <w:r w:rsidRPr="00974030">
        <w:rPr>
          <w:rFonts w:asciiTheme="minorBidi" w:hAnsiTheme="minorBidi" w:cs="Arial"/>
          <w:rtl/>
        </w:rPr>
        <w:t xml:space="preserve"> </w:t>
      </w:r>
      <w:r w:rsidRPr="00974030">
        <w:rPr>
          <w:rFonts w:asciiTheme="minorBidi" w:hAnsiTheme="minorBidi" w:cs="Arial" w:hint="cs"/>
          <w:rtl/>
        </w:rPr>
        <w:t>אורחים</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רמב</w:t>
      </w:r>
      <w:r w:rsidRPr="00974030">
        <w:rPr>
          <w:rFonts w:asciiTheme="minorBidi" w:hAnsiTheme="minorBidi" w:cs="Arial"/>
          <w:rtl/>
        </w:rPr>
        <w:t>"</w:t>
      </w:r>
      <w:r w:rsidRPr="00974030">
        <w:rPr>
          <w:rFonts w:asciiTheme="minorBidi" w:hAnsiTheme="minorBidi" w:cs="Arial" w:hint="cs"/>
          <w:rtl/>
        </w:rPr>
        <w:t>ם</w:t>
      </w:r>
      <w:r w:rsidRPr="00974030">
        <w:rPr>
          <w:rFonts w:asciiTheme="minorBidi" w:hAnsiTheme="minorBidi" w:cs="Arial"/>
          <w:rtl/>
        </w:rPr>
        <w:t xml:space="preserve"> </w:t>
      </w:r>
      <w:r w:rsidRPr="00974030">
        <w:rPr>
          <w:rFonts w:asciiTheme="minorBidi" w:hAnsiTheme="minorBidi" w:cs="Arial" w:hint="cs"/>
          <w:rtl/>
        </w:rPr>
        <w:t>והמגיד</w:t>
      </w:r>
      <w:r w:rsidRPr="00974030">
        <w:rPr>
          <w:rFonts w:asciiTheme="minorBidi" w:hAnsiTheme="minorBidi" w:cs="Arial"/>
          <w:rtl/>
        </w:rPr>
        <w:t xml:space="preserve"> </w:t>
      </w:r>
      <w:r w:rsidRPr="00974030">
        <w:rPr>
          <w:rFonts w:asciiTheme="minorBidi" w:hAnsiTheme="minorBidi" w:cs="Arial" w:hint="cs"/>
          <w:rtl/>
        </w:rPr>
        <w:t>פכ</w:t>
      </w:r>
      <w:r w:rsidRPr="00974030">
        <w:rPr>
          <w:rFonts w:asciiTheme="minorBidi" w:hAnsiTheme="minorBidi" w:cs="Arial"/>
          <w:rtl/>
        </w:rPr>
        <w:t>"</w:t>
      </w:r>
      <w:r w:rsidRPr="00974030">
        <w:rPr>
          <w:rFonts w:asciiTheme="minorBidi" w:hAnsiTheme="minorBidi" w:cs="Arial" w:hint="cs"/>
          <w:rtl/>
        </w:rPr>
        <w:t>ב</w:t>
      </w:r>
      <w:r w:rsidRPr="00974030">
        <w:rPr>
          <w:rFonts w:asciiTheme="minorBidi" w:hAnsiTheme="minorBidi" w:cs="Arial"/>
          <w:rtl/>
        </w:rPr>
        <w:t xml:space="preserve">). </w:t>
      </w:r>
    </w:p>
    <w:p w14:paraId="7BC64B3B"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ד</w:t>
      </w:r>
    </w:p>
    <w:p w14:paraId="0140FDC4"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יזוב</w:t>
      </w:r>
      <w:r w:rsidRPr="00974030">
        <w:rPr>
          <w:rFonts w:asciiTheme="minorBidi" w:hAnsiTheme="minorBidi" w:cs="Arial"/>
          <w:rtl/>
        </w:rPr>
        <w:t xml:space="preserve"> </w:t>
      </w:r>
      <w:r w:rsidRPr="00974030">
        <w:rPr>
          <w:rFonts w:asciiTheme="minorBidi" w:hAnsiTheme="minorBidi" w:cs="Arial" w:hint="cs"/>
          <w:rtl/>
        </w:rPr>
        <w:t>תירוש</w:t>
      </w:r>
      <w:r w:rsidRPr="00974030">
        <w:rPr>
          <w:rFonts w:asciiTheme="minorBidi" w:hAnsiTheme="minorBidi" w:cs="Arial"/>
          <w:rtl/>
        </w:rPr>
        <w:t xml:space="preserve"> </w:t>
      </w:r>
      <w:r w:rsidRPr="00974030">
        <w:rPr>
          <w:rFonts w:asciiTheme="minorBidi" w:hAnsiTheme="minorBidi" w:cs="Arial" w:hint="cs"/>
          <w:rtl/>
        </w:rPr>
        <w:t>מגיגית</w:t>
      </w:r>
      <w:r w:rsidRPr="00974030">
        <w:rPr>
          <w:rFonts w:asciiTheme="minorBidi" w:hAnsiTheme="minorBidi" w:cs="Arial"/>
          <w:rtl/>
        </w:rPr>
        <w:t xml:space="preserve"> </w:t>
      </w:r>
      <w:r w:rsidRPr="00974030">
        <w:rPr>
          <w:rFonts w:asciiTheme="minorBidi" w:hAnsiTheme="minorBidi" w:cs="Arial" w:hint="cs"/>
          <w:rtl/>
        </w:rPr>
        <w:t>של</w:t>
      </w:r>
      <w:r w:rsidRPr="00974030">
        <w:rPr>
          <w:rFonts w:asciiTheme="minorBidi" w:hAnsiTheme="minorBidi" w:cs="Arial"/>
          <w:rtl/>
        </w:rPr>
        <w:t xml:space="preserve"> </w:t>
      </w:r>
      <w:r w:rsidRPr="00974030">
        <w:rPr>
          <w:rFonts w:asciiTheme="minorBidi" w:hAnsiTheme="minorBidi" w:cs="Arial" w:hint="cs"/>
          <w:rtl/>
        </w:rPr>
        <w:t>ענבים</w:t>
      </w:r>
      <w:r w:rsidRPr="00974030">
        <w:rPr>
          <w:rFonts w:asciiTheme="minorBidi" w:hAnsiTheme="minorBidi" w:cs="Arial"/>
          <w:rtl/>
        </w:rPr>
        <w:t xml:space="preserve"> </w:t>
      </w:r>
      <w:r w:rsidRPr="00974030">
        <w:rPr>
          <w:rFonts w:asciiTheme="minorBidi" w:hAnsiTheme="minorBidi" w:cs="Arial" w:hint="cs"/>
          <w:rtl/>
        </w:rPr>
        <w:t>שעדיין</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נדרכו</w:t>
      </w:r>
      <w:r w:rsidRPr="00974030">
        <w:rPr>
          <w:rFonts w:asciiTheme="minorBidi" w:hAnsiTheme="minorBidi" w:cs="Arial"/>
          <w:rtl/>
        </w:rPr>
        <w:t xml:space="preserve">, </w:t>
      </w:r>
      <w:r w:rsidRPr="00974030">
        <w:rPr>
          <w:rFonts w:asciiTheme="minorBidi" w:hAnsiTheme="minorBidi" w:cs="Arial" w:hint="cs"/>
          <w:rtl/>
        </w:rPr>
        <w:t>שנמצא</w:t>
      </w:r>
      <w:r w:rsidRPr="00974030">
        <w:rPr>
          <w:rFonts w:asciiTheme="minorBidi" w:hAnsiTheme="minorBidi" w:cs="Arial"/>
          <w:rtl/>
        </w:rPr>
        <w:t xml:space="preserve"> </w:t>
      </w:r>
      <w:r w:rsidRPr="00974030">
        <w:rPr>
          <w:rFonts w:asciiTheme="minorBidi" w:hAnsiTheme="minorBidi" w:cs="Arial" w:hint="cs"/>
          <w:rtl/>
        </w:rPr>
        <w:t>אותו</w:t>
      </w:r>
      <w:r w:rsidRPr="00974030">
        <w:rPr>
          <w:rFonts w:asciiTheme="minorBidi" w:hAnsiTheme="minorBidi" w:cs="Arial"/>
          <w:rtl/>
        </w:rPr>
        <w:t xml:space="preserve"> </w:t>
      </w:r>
      <w:r w:rsidRPr="00974030">
        <w:rPr>
          <w:rFonts w:asciiTheme="minorBidi" w:hAnsiTheme="minorBidi" w:cs="Arial" w:hint="cs"/>
          <w:rtl/>
        </w:rPr>
        <w:t>הדלף</w:t>
      </w:r>
      <w:r w:rsidRPr="00974030">
        <w:rPr>
          <w:rFonts w:asciiTheme="minorBidi" w:hAnsiTheme="minorBidi" w:cs="Arial"/>
          <w:rtl/>
        </w:rPr>
        <w:t xml:space="preserve"> </w:t>
      </w:r>
      <w:r w:rsidRPr="00974030">
        <w:rPr>
          <w:rFonts w:asciiTheme="minorBidi" w:hAnsiTheme="minorBidi" w:cs="Arial" w:hint="cs"/>
          <w:rtl/>
        </w:rPr>
        <w:t>אינו</w:t>
      </w:r>
      <w:r w:rsidRPr="00974030">
        <w:rPr>
          <w:rFonts w:asciiTheme="minorBidi" w:hAnsiTheme="minorBidi" w:cs="Arial"/>
          <w:rtl/>
        </w:rPr>
        <w:t xml:space="preserve"> </w:t>
      </w:r>
      <w:r w:rsidRPr="00974030">
        <w:rPr>
          <w:rFonts w:asciiTheme="minorBidi" w:hAnsiTheme="minorBidi" w:cs="Arial" w:hint="cs"/>
          <w:rtl/>
        </w:rPr>
        <w:t>ראוי</w:t>
      </w:r>
      <w:r w:rsidRPr="00974030">
        <w:rPr>
          <w:rFonts w:asciiTheme="minorBidi" w:hAnsiTheme="minorBidi" w:cs="Arial"/>
          <w:rtl/>
        </w:rPr>
        <w:t xml:space="preserve">, </w:t>
      </w:r>
      <w:r w:rsidRPr="00974030">
        <w:rPr>
          <w:rFonts w:asciiTheme="minorBidi" w:hAnsiTheme="minorBidi" w:cs="Arial" w:hint="cs"/>
          <w:rtl/>
        </w:rPr>
        <w:t>שהרי</w:t>
      </w:r>
      <w:r w:rsidRPr="00974030">
        <w:rPr>
          <w:rFonts w:asciiTheme="minorBidi" w:hAnsiTheme="minorBidi" w:cs="Arial"/>
          <w:rtl/>
        </w:rPr>
        <w:t xml:space="preserve"> </w:t>
      </w:r>
      <w:r w:rsidRPr="00974030">
        <w:rPr>
          <w:rFonts w:asciiTheme="minorBidi" w:hAnsiTheme="minorBidi" w:cs="Arial" w:hint="cs"/>
          <w:rtl/>
        </w:rPr>
        <w:t>המשקין</w:t>
      </w:r>
      <w:r w:rsidRPr="00974030">
        <w:rPr>
          <w:rFonts w:asciiTheme="minorBidi" w:hAnsiTheme="minorBidi" w:cs="Arial"/>
          <w:rtl/>
        </w:rPr>
        <w:t xml:space="preserve"> </w:t>
      </w:r>
      <w:r w:rsidRPr="00974030">
        <w:rPr>
          <w:rFonts w:asciiTheme="minorBidi" w:hAnsiTheme="minorBidi" w:cs="Arial" w:hint="cs"/>
          <w:rtl/>
        </w:rPr>
        <w:t>שבו</w:t>
      </w:r>
      <w:r w:rsidRPr="00974030">
        <w:rPr>
          <w:rFonts w:asciiTheme="minorBidi" w:hAnsiTheme="minorBidi" w:cs="Arial"/>
          <w:rtl/>
        </w:rPr>
        <w:t xml:space="preserve"> </w:t>
      </w:r>
      <w:r w:rsidRPr="00974030">
        <w:rPr>
          <w:rFonts w:asciiTheme="minorBidi" w:hAnsiTheme="minorBidi" w:cs="Arial" w:hint="cs"/>
          <w:rtl/>
        </w:rPr>
        <w:t>אסורים</w:t>
      </w:r>
      <w:r w:rsidRPr="00974030">
        <w:rPr>
          <w:rFonts w:asciiTheme="minorBidi" w:hAnsiTheme="minorBidi" w:cs="Arial"/>
          <w:rtl/>
        </w:rPr>
        <w:t xml:space="preserve"> </w:t>
      </w:r>
      <w:r w:rsidRPr="00974030">
        <w:rPr>
          <w:rFonts w:asciiTheme="minorBidi" w:hAnsiTheme="minorBidi" w:cs="Arial" w:hint="cs"/>
          <w:rtl/>
        </w:rPr>
        <w:t>ואינו</w:t>
      </w:r>
      <w:r w:rsidRPr="00974030">
        <w:rPr>
          <w:rFonts w:asciiTheme="minorBidi" w:hAnsiTheme="minorBidi" w:cs="Arial"/>
          <w:rtl/>
        </w:rPr>
        <w:t xml:space="preserve"> </w:t>
      </w:r>
      <w:r w:rsidRPr="00974030">
        <w:rPr>
          <w:rFonts w:asciiTheme="minorBidi" w:hAnsiTheme="minorBidi" w:cs="Arial" w:hint="cs"/>
          <w:rtl/>
        </w:rPr>
        <w:t>רשאי</w:t>
      </w:r>
      <w:r w:rsidRPr="00974030">
        <w:rPr>
          <w:rFonts w:asciiTheme="minorBidi" w:hAnsiTheme="minorBidi" w:cs="Arial"/>
          <w:rtl/>
        </w:rPr>
        <w:t xml:space="preserve"> </w:t>
      </w:r>
      <w:r w:rsidRPr="00974030">
        <w:rPr>
          <w:rFonts w:asciiTheme="minorBidi" w:hAnsiTheme="minorBidi" w:cs="Arial" w:hint="cs"/>
          <w:rtl/>
        </w:rPr>
        <w:t>לשום</w:t>
      </w:r>
      <w:r w:rsidRPr="00974030">
        <w:rPr>
          <w:rFonts w:asciiTheme="minorBidi" w:hAnsiTheme="minorBidi" w:cs="Arial"/>
          <w:rtl/>
        </w:rPr>
        <w:t xml:space="preserve"> </w:t>
      </w:r>
      <w:r w:rsidRPr="00974030">
        <w:rPr>
          <w:rFonts w:asciiTheme="minorBidi" w:hAnsiTheme="minorBidi" w:cs="Arial" w:hint="cs"/>
          <w:rtl/>
        </w:rPr>
        <w:t>כלי</w:t>
      </w:r>
      <w:r w:rsidRPr="00974030">
        <w:rPr>
          <w:rFonts w:asciiTheme="minorBidi" w:hAnsiTheme="minorBidi" w:cs="Arial"/>
          <w:rtl/>
        </w:rPr>
        <w:t xml:space="preserve"> </w:t>
      </w:r>
      <w:r w:rsidRPr="00974030">
        <w:rPr>
          <w:rFonts w:asciiTheme="minorBidi" w:hAnsiTheme="minorBidi" w:cs="Arial" w:hint="cs"/>
          <w:rtl/>
        </w:rPr>
        <w:t>תחתיו</w:t>
      </w:r>
      <w:r w:rsidRPr="00974030">
        <w:rPr>
          <w:rFonts w:asciiTheme="minorBidi" w:hAnsiTheme="minorBidi" w:cs="Arial"/>
          <w:rtl/>
        </w:rPr>
        <w:t xml:space="preserve"> </w:t>
      </w:r>
      <w:r w:rsidRPr="00974030">
        <w:rPr>
          <w:rFonts w:asciiTheme="minorBidi" w:hAnsiTheme="minorBidi" w:cs="Arial" w:hint="cs"/>
          <w:rtl/>
        </w:rPr>
        <w:t>מפני</w:t>
      </w:r>
      <w:r w:rsidRPr="00974030">
        <w:rPr>
          <w:rFonts w:asciiTheme="minorBidi" w:hAnsiTheme="minorBidi" w:cs="Arial"/>
          <w:rtl/>
        </w:rPr>
        <w:t xml:space="preserve"> </w:t>
      </w:r>
      <w:r w:rsidRPr="00974030">
        <w:rPr>
          <w:rFonts w:asciiTheme="minorBidi" w:hAnsiTheme="minorBidi" w:cs="Arial" w:hint="cs"/>
          <w:rtl/>
        </w:rPr>
        <w:t>שמבטלו</w:t>
      </w:r>
      <w:r w:rsidRPr="00974030">
        <w:rPr>
          <w:rFonts w:asciiTheme="minorBidi" w:hAnsiTheme="minorBidi" w:cs="Arial"/>
          <w:rtl/>
        </w:rPr>
        <w:t xml:space="preserve"> </w:t>
      </w:r>
      <w:r w:rsidRPr="00974030">
        <w:rPr>
          <w:rFonts w:asciiTheme="minorBidi" w:hAnsiTheme="minorBidi" w:cs="Arial" w:hint="cs"/>
          <w:rtl/>
        </w:rPr>
        <w:t>מהיכנו</w:t>
      </w:r>
      <w:r w:rsidRPr="00974030">
        <w:rPr>
          <w:rFonts w:asciiTheme="minorBidi" w:hAnsiTheme="minorBidi" w:cs="Arial"/>
          <w:rtl/>
        </w:rPr>
        <w:t xml:space="preserve">; </w:t>
      </w:r>
      <w:r w:rsidRPr="00974030">
        <w:rPr>
          <w:rFonts w:asciiTheme="minorBidi" w:hAnsiTheme="minorBidi" w:cs="Arial" w:hint="cs"/>
          <w:rtl/>
        </w:rPr>
        <w:t>כיצד</w:t>
      </w:r>
      <w:r w:rsidRPr="00974030">
        <w:rPr>
          <w:rFonts w:asciiTheme="minorBidi" w:hAnsiTheme="minorBidi" w:cs="Arial"/>
          <w:rtl/>
        </w:rPr>
        <w:t xml:space="preserve"> </w:t>
      </w:r>
      <w:r w:rsidRPr="00974030">
        <w:rPr>
          <w:rFonts w:asciiTheme="minorBidi" w:hAnsiTheme="minorBidi" w:cs="Arial" w:hint="cs"/>
          <w:rtl/>
        </w:rPr>
        <w:t>יעשה</w:t>
      </w:r>
      <w:r w:rsidRPr="00974030">
        <w:rPr>
          <w:rFonts w:asciiTheme="minorBidi" w:hAnsiTheme="minorBidi" w:cs="Arial"/>
          <w:rtl/>
        </w:rPr>
        <w:t xml:space="preserve">, </w:t>
      </w:r>
      <w:r w:rsidRPr="00974030">
        <w:rPr>
          <w:rFonts w:asciiTheme="minorBidi" w:hAnsiTheme="minorBidi" w:cs="Arial" w:hint="cs"/>
          <w:rtl/>
        </w:rPr>
        <w:t>יניח</w:t>
      </w:r>
      <w:r w:rsidRPr="00974030">
        <w:rPr>
          <w:rFonts w:asciiTheme="minorBidi" w:hAnsiTheme="minorBidi" w:cs="Arial"/>
          <w:rtl/>
        </w:rPr>
        <w:t xml:space="preserve"> </w:t>
      </w:r>
      <w:r w:rsidRPr="00974030">
        <w:rPr>
          <w:rFonts w:asciiTheme="minorBidi" w:hAnsiTheme="minorBidi" w:cs="Arial" w:hint="cs"/>
          <w:rtl/>
        </w:rPr>
        <w:t>שם</w:t>
      </w:r>
      <w:r w:rsidRPr="00974030">
        <w:rPr>
          <w:rFonts w:asciiTheme="minorBidi" w:hAnsiTheme="minorBidi" w:cs="Arial"/>
          <w:rtl/>
        </w:rPr>
        <w:t xml:space="preserve"> </w:t>
      </w:r>
      <w:r w:rsidRPr="00974030">
        <w:rPr>
          <w:rFonts w:asciiTheme="minorBidi" w:hAnsiTheme="minorBidi" w:cs="Arial" w:hint="cs"/>
          <w:rtl/>
        </w:rPr>
        <w:t>מטתו</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שלחנו</w:t>
      </w:r>
      <w:r w:rsidRPr="00974030">
        <w:rPr>
          <w:rFonts w:asciiTheme="minorBidi" w:hAnsiTheme="minorBidi" w:cs="Arial"/>
          <w:rtl/>
        </w:rPr>
        <w:t xml:space="preserve">, </w:t>
      </w:r>
      <w:r w:rsidRPr="00974030">
        <w:rPr>
          <w:rFonts w:asciiTheme="minorBidi" w:hAnsiTheme="minorBidi" w:cs="Arial" w:hint="cs"/>
          <w:rtl/>
        </w:rPr>
        <w:t>ואז</w:t>
      </w:r>
      <w:r w:rsidRPr="00974030">
        <w:rPr>
          <w:rFonts w:asciiTheme="minorBidi" w:hAnsiTheme="minorBidi" w:cs="Arial"/>
          <w:rtl/>
        </w:rPr>
        <w:t xml:space="preserve"> </w:t>
      </w:r>
      <w:r w:rsidRPr="00974030">
        <w:rPr>
          <w:rFonts w:asciiTheme="minorBidi" w:hAnsiTheme="minorBidi" w:cs="Arial" w:hint="cs"/>
          <w:rtl/>
        </w:rPr>
        <w:t>יהיה</w:t>
      </w:r>
      <w:r w:rsidRPr="00974030">
        <w:rPr>
          <w:rFonts w:asciiTheme="minorBidi" w:hAnsiTheme="minorBidi" w:cs="Arial"/>
          <w:rtl/>
        </w:rPr>
        <w:t xml:space="preserve"> </w:t>
      </w:r>
      <w:r w:rsidRPr="00974030">
        <w:rPr>
          <w:rFonts w:asciiTheme="minorBidi" w:hAnsiTheme="minorBidi" w:cs="Arial" w:hint="cs"/>
          <w:rtl/>
        </w:rPr>
        <w:t>אותו</w:t>
      </w:r>
      <w:r w:rsidRPr="00974030">
        <w:rPr>
          <w:rFonts w:asciiTheme="minorBidi" w:hAnsiTheme="minorBidi" w:cs="Arial"/>
          <w:rtl/>
        </w:rPr>
        <w:t xml:space="preserve"> </w:t>
      </w:r>
      <w:r w:rsidRPr="00974030">
        <w:rPr>
          <w:rFonts w:asciiTheme="minorBidi" w:hAnsiTheme="minorBidi" w:cs="Arial" w:hint="cs"/>
          <w:rtl/>
        </w:rPr>
        <w:t>הדלף</w:t>
      </w:r>
      <w:r w:rsidRPr="00974030">
        <w:rPr>
          <w:rFonts w:asciiTheme="minorBidi" w:hAnsiTheme="minorBidi" w:cs="Arial"/>
          <w:rtl/>
        </w:rPr>
        <w:t xml:space="preserve"> </w:t>
      </w:r>
      <w:r w:rsidRPr="00974030">
        <w:rPr>
          <w:rFonts w:asciiTheme="minorBidi" w:hAnsiTheme="minorBidi" w:cs="Arial" w:hint="cs"/>
          <w:rtl/>
        </w:rPr>
        <w:t>לפניו</w:t>
      </w:r>
      <w:r w:rsidRPr="00974030">
        <w:rPr>
          <w:rFonts w:asciiTheme="minorBidi" w:hAnsiTheme="minorBidi" w:cs="Arial"/>
          <w:rtl/>
        </w:rPr>
        <w:t xml:space="preserve"> </w:t>
      </w:r>
      <w:r w:rsidRPr="00974030">
        <w:rPr>
          <w:rFonts w:asciiTheme="minorBidi" w:hAnsiTheme="minorBidi" w:cs="Arial" w:hint="cs"/>
          <w:rtl/>
        </w:rPr>
        <w:t>גרף</w:t>
      </w:r>
      <w:r w:rsidRPr="00974030">
        <w:rPr>
          <w:rFonts w:asciiTheme="minorBidi" w:hAnsiTheme="minorBidi" w:cs="Arial"/>
          <w:rtl/>
        </w:rPr>
        <w:t xml:space="preserve"> </w:t>
      </w:r>
      <w:r w:rsidRPr="00974030">
        <w:rPr>
          <w:rFonts w:asciiTheme="minorBidi" w:hAnsiTheme="minorBidi" w:cs="Arial" w:hint="cs"/>
          <w:rtl/>
        </w:rPr>
        <w:t>של</w:t>
      </w:r>
      <w:r w:rsidRPr="00974030">
        <w:rPr>
          <w:rFonts w:asciiTheme="minorBidi" w:hAnsiTheme="minorBidi" w:cs="Arial"/>
          <w:rtl/>
        </w:rPr>
        <w:t xml:space="preserve"> </w:t>
      </w:r>
      <w:r w:rsidRPr="00974030">
        <w:rPr>
          <w:rFonts w:asciiTheme="minorBidi" w:hAnsiTheme="minorBidi" w:cs="Arial" w:hint="cs"/>
          <w:rtl/>
        </w:rPr>
        <w:t>רעי</w:t>
      </w:r>
      <w:r w:rsidRPr="00974030">
        <w:rPr>
          <w:rFonts w:asciiTheme="minorBidi" w:hAnsiTheme="minorBidi" w:cs="Arial"/>
          <w:rtl/>
        </w:rPr>
        <w:t xml:space="preserve"> </w:t>
      </w:r>
      <w:r w:rsidRPr="00974030">
        <w:rPr>
          <w:rFonts w:asciiTheme="minorBidi" w:hAnsiTheme="minorBidi" w:cs="Arial" w:hint="cs"/>
          <w:rtl/>
        </w:rPr>
        <w:t>ויכול</w:t>
      </w:r>
      <w:r w:rsidRPr="00974030">
        <w:rPr>
          <w:rFonts w:asciiTheme="minorBidi" w:hAnsiTheme="minorBidi" w:cs="Arial"/>
          <w:rtl/>
        </w:rPr>
        <w:t xml:space="preserve"> </w:t>
      </w:r>
      <w:r w:rsidRPr="00974030">
        <w:rPr>
          <w:rFonts w:asciiTheme="minorBidi" w:hAnsiTheme="minorBidi" w:cs="Arial" w:hint="cs"/>
          <w:rtl/>
        </w:rPr>
        <w:t>להניח</w:t>
      </w:r>
      <w:r w:rsidRPr="00974030">
        <w:rPr>
          <w:rFonts w:asciiTheme="minorBidi" w:hAnsiTheme="minorBidi" w:cs="Arial"/>
          <w:rtl/>
        </w:rPr>
        <w:t xml:space="preserve"> </w:t>
      </w:r>
      <w:r w:rsidRPr="00974030">
        <w:rPr>
          <w:rFonts w:asciiTheme="minorBidi" w:hAnsiTheme="minorBidi" w:cs="Arial" w:hint="cs"/>
          <w:rtl/>
        </w:rPr>
        <w:t>שם</w:t>
      </w:r>
      <w:r w:rsidRPr="00974030">
        <w:rPr>
          <w:rFonts w:asciiTheme="minorBidi" w:hAnsiTheme="minorBidi" w:cs="Arial"/>
          <w:rtl/>
        </w:rPr>
        <w:t xml:space="preserve"> </w:t>
      </w:r>
      <w:r w:rsidRPr="00974030">
        <w:rPr>
          <w:rFonts w:asciiTheme="minorBidi" w:hAnsiTheme="minorBidi" w:cs="Arial" w:hint="cs"/>
          <w:rtl/>
        </w:rPr>
        <w:t>כלי</w:t>
      </w:r>
      <w:r w:rsidRPr="00974030">
        <w:rPr>
          <w:rFonts w:asciiTheme="minorBidi" w:hAnsiTheme="minorBidi" w:cs="Arial"/>
          <w:rtl/>
        </w:rPr>
        <w:t xml:space="preserve"> </w:t>
      </w:r>
      <w:r w:rsidRPr="00974030">
        <w:rPr>
          <w:rFonts w:asciiTheme="minorBidi" w:hAnsiTheme="minorBidi" w:cs="Arial" w:hint="cs"/>
          <w:rtl/>
        </w:rPr>
        <w:t>לקבל</w:t>
      </w:r>
      <w:r w:rsidRPr="00974030">
        <w:rPr>
          <w:rFonts w:asciiTheme="minorBidi" w:hAnsiTheme="minorBidi" w:cs="Arial"/>
          <w:rtl/>
        </w:rPr>
        <w:t xml:space="preserve"> </w:t>
      </w:r>
      <w:r w:rsidRPr="00974030">
        <w:rPr>
          <w:rFonts w:asciiTheme="minorBidi" w:hAnsiTheme="minorBidi" w:cs="Arial" w:hint="cs"/>
          <w:rtl/>
        </w:rPr>
        <w:t>הדלף</w:t>
      </w:r>
      <w:r w:rsidRPr="00974030">
        <w:rPr>
          <w:rFonts w:asciiTheme="minorBidi" w:hAnsiTheme="minorBidi" w:cs="Arial"/>
          <w:rtl/>
        </w:rPr>
        <w:t xml:space="preserve"> </w:t>
      </w:r>
      <w:r w:rsidRPr="00974030">
        <w:rPr>
          <w:rFonts w:asciiTheme="minorBidi" w:hAnsiTheme="minorBidi" w:cs="Arial" w:hint="cs"/>
          <w:rtl/>
        </w:rPr>
        <w:t>כדי</w:t>
      </w:r>
      <w:r w:rsidRPr="00974030">
        <w:rPr>
          <w:rFonts w:asciiTheme="minorBidi" w:hAnsiTheme="minorBidi" w:cs="Arial"/>
          <w:rtl/>
        </w:rPr>
        <w:t xml:space="preserve"> </w:t>
      </w:r>
      <w:r w:rsidRPr="00974030">
        <w:rPr>
          <w:rFonts w:asciiTheme="minorBidi" w:hAnsiTheme="minorBidi" w:cs="Arial" w:hint="cs"/>
          <w:rtl/>
        </w:rPr>
        <w:t>שלא</w:t>
      </w:r>
      <w:r w:rsidRPr="00974030">
        <w:rPr>
          <w:rFonts w:asciiTheme="minorBidi" w:hAnsiTheme="minorBidi" w:cs="Arial"/>
          <w:rtl/>
        </w:rPr>
        <w:t xml:space="preserve"> </w:t>
      </w:r>
      <w:r w:rsidRPr="00974030">
        <w:rPr>
          <w:rFonts w:asciiTheme="minorBidi" w:hAnsiTheme="minorBidi" w:cs="Arial" w:hint="cs"/>
          <w:rtl/>
        </w:rPr>
        <w:t>יעשה</w:t>
      </w:r>
      <w:r w:rsidRPr="00974030">
        <w:rPr>
          <w:rFonts w:asciiTheme="minorBidi" w:hAnsiTheme="minorBidi" w:cs="Arial"/>
          <w:rtl/>
        </w:rPr>
        <w:t xml:space="preserve"> </w:t>
      </w:r>
      <w:r w:rsidRPr="00974030">
        <w:rPr>
          <w:rFonts w:asciiTheme="minorBidi" w:hAnsiTheme="minorBidi" w:cs="Arial" w:hint="cs"/>
          <w:rtl/>
        </w:rPr>
        <w:t>שם</w:t>
      </w:r>
      <w:r w:rsidRPr="00974030">
        <w:rPr>
          <w:rFonts w:asciiTheme="minorBidi" w:hAnsiTheme="minorBidi" w:cs="Arial"/>
          <w:rtl/>
        </w:rPr>
        <w:t xml:space="preserve"> </w:t>
      </w:r>
      <w:r w:rsidRPr="00974030">
        <w:rPr>
          <w:rFonts w:asciiTheme="minorBidi" w:hAnsiTheme="minorBidi" w:cs="Arial" w:hint="cs"/>
          <w:rtl/>
        </w:rPr>
        <w:t>טיט</w:t>
      </w:r>
      <w:r w:rsidRPr="00974030">
        <w:rPr>
          <w:rFonts w:asciiTheme="minorBidi" w:hAnsiTheme="minorBidi" w:cs="Arial"/>
          <w:rtl/>
        </w:rPr>
        <w:t xml:space="preserve">, </w:t>
      </w:r>
      <w:r w:rsidRPr="00974030">
        <w:rPr>
          <w:rFonts w:asciiTheme="minorBidi" w:hAnsiTheme="minorBidi" w:cs="Arial" w:hint="cs"/>
          <w:rtl/>
        </w:rPr>
        <w:t>וכשיתמלא</w:t>
      </w:r>
      <w:r w:rsidRPr="00974030">
        <w:rPr>
          <w:rFonts w:asciiTheme="minorBidi" w:hAnsiTheme="minorBidi" w:cs="Arial"/>
          <w:rtl/>
        </w:rPr>
        <w:t xml:space="preserve"> </w:t>
      </w:r>
      <w:r w:rsidRPr="00974030">
        <w:rPr>
          <w:rFonts w:asciiTheme="minorBidi" w:hAnsiTheme="minorBidi" w:cs="Arial" w:hint="cs"/>
          <w:rtl/>
        </w:rPr>
        <w:t>הכלי</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יזרקנו</w:t>
      </w:r>
      <w:r w:rsidRPr="00974030">
        <w:rPr>
          <w:rFonts w:asciiTheme="minorBidi" w:hAnsiTheme="minorBidi" w:cs="Arial"/>
          <w:rtl/>
        </w:rPr>
        <w:t xml:space="preserve"> </w:t>
      </w:r>
      <w:r w:rsidRPr="00974030">
        <w:rPr>
          <w:rFonts w:asciiTheme="minorBidi" w:hAnsiTheme="minorBidi" w:cs="Arial" w:hint="cs"/>
          <w:rtl/>
        </w:rPr>
        <w:t>בכלי</w:t>
      </w:r>
      <w:r w:rsidRPr="00974030">
        <w:rPr>
          <w:rFonts w:asciiTheme="minorBidi" w:hAnsiTheme="minorBidi" w:cs="Arial"/>
          <w:rtl/>
        </w:rPr>
        <w:t xml:space="preserve"> </w:t>
      </w:r>
      <w:r w:rsidRPr="00974030">
        <w:rPr>
          <w:rFonts w:asciiTheme="minorBidi" w:hAnsiTheme="minorBidi" w:cs="Arial" w:hint="cs"/>
          <w:rtl/>
        </w:rPr>
        <w:t>אחר</w:t>
      </w:r>
      <w:r w:rsidRPr="00974030">
        <w:rPr>
          <w:rFonts w:asciiTheme="minorBidi" w:hAnsiTheme="minorBidi" w:cs="Arial"/>
          <w:rtl/>
        </w:rPr>
        <w:t xml:space="preserve">, </w:t>
      </w:r>
      <w:r w:rsidRPr="00974030">
        <w:rPr>
          <w:rFonts w:asciiTheme="minorBidi" w:hAnsiTheme="minorBidi" w:cs="Arial" w:hint="cs"/>
          <w:rtl/>
        </w:rPr>
        <w:t>שלא</w:t>
      </w:r>
      <w:r w:rsidRPr="00974030">
        <w:rPr>
          <w:rFonts w:asciiTheme="minorBidi" w:hAnsiTheme="minorBidi" w:cs="Arial"/>
          <w:rtl/>
        </w:rPr>
        <w:t xml:space="preserve"> </w:t>
      </w:r>
      <w:r w:rsidRPr="00974030">
        <w:rPr>
          <w:rFonts w:asciiTheme="minorBidi" w:hAnsiTheme="minorBidi" w:cs="Arial" w:hint="cs"/>
          <w:rtl/>
        </w:rPr>
        <w:t>יבטלנו</w:t>
      </w:r>
      <w:r w:rsidRPr="00974030">
        <w:rPr>
          <w:rFonts w:asciiTheme="minorBidi" w:hAnsiTheme="minorBidi" w:cs="Arial"/>
          <w:rtl/>
        </w:rPr>
        <w:t xml:space="preserve"> </w:t>
      </w:r>
      <w:r w:rsidRPr="00974030">
        <w:rPr>
          <w:rFonts w:asciiTheme="minorBidi" w:hAnsiTheme="minorBidi" w:cs="Arial" w:hint="cs"/>
          <w:rtl/>
        </w:rPr>
        <w:t>מהיכנו</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מריקו</w:t>
      </w:r>
      <w:r w:rsidRPr="00974030">
        <w:rPr>
          <w:rFonts w:asciiTheme="minorBidi" w:hAnsiTheme="minorBidi" w:cs="Arial"/>
          <w:rtl/>
        </w:rPr>
        <w:t xml:space="preserve"> </w:t>
      </w:r>
      <w:r w:rsidRPr="00974030">
        <w:rPr>
          <w:rFonts w:asciiTheme="minorBidi" w:hAnsiTheme="minorBidi" w:cs="Arial" w:hint="cs"/>
          <w:rtl/>
        </w:rPr>
        <w:t>בתוך</w:t>
      </w:r>
      <w:r w:rsidRPr="00974030">
        <w:rPr>
          <w:rFonts w:asciiTheme="minorBidi" w:hAnsiTheme="minorBidi" w:cs="Arial"/>
          <w:rtl/>
        </w:rPr>
        <w:t xml:space="preserve"> </w:t>
      </w:r>
      <w:r w:rsidRPr="00974030">
        <w:rPr>
          <w:rFonts w:asciiTheme="minorBidi" w:hAnsiTheme="minorBidi" w:cs="Arial" w:hint="cs"/>
          <w:rtl/>
        </w:rPr>
        <w:t>הגיגית</w:t>
      </w:r>
      <w:r w:rsidRPr="00974030">
        <w:rPr>
          <w:rFonts w:asciiTheme="minorBidi" w:hAnsiTheme="minorBidi" w:cs="Arial"/>
          <w:rtl/>
        </w:rPr>
        <w:t xml:space="preserve"> </w:t>
      </w:r>
      <w:r w:rsidRPr="00974030">
        <w:rPr>
          <w:rFonts w:asciiTheme="minorBidi" w:hAnsiTheme="minorBidi" w:cs="Arial" w:hint="cs"/>
          <w:rtl/>
        </w:rPr>
        <w:t>שזבו</w:t>
      </w:r>
      <w:r w:rsidRPr="00974030">
        <w:rPr>
          <w:rFonts w:asciiTheme="minorBidi" w:hAnsiTheme="minorBidi" w:cs="Arial"/>
          <w:rtl/>
        </w:rPr>
        <w:t xml:space="preserve"> </w:t>
      </w:r>
      <w:r w:rsidRPr="00974030">
        <w:rPr>
          <w:rFonts w:asciiTheme="minorBidi" w:hAnsiTheme="minorBidi" w:cs="Arial" w:hint="cs"/>
          <w:rtl/>
        </w:rPr>
        <w:t>המשקין</w:t>
      </w:r>
      <w:r w:rsidRPr="00974030">
        <w:rPr>
          <w:rFonts w:asciiTheme="minorBidi" w:hAnsiTheme="minorBidi" w:cs="Arial"/>
          <w:rtl/>
        </w:rPr>
        <w:t xml:space="preserve"> </w:t>
      </w:r>
      <w:r w:rsidRPr="00974030">
        <w:rPr>
          <w:rFonts w:asciiTheme="minorBidi" w:hAnsiTheme="minorBidi" w:cs="Arial" w:hint="cs"/>
          <w:rtl/>
        </w:rPr>
        <w:t>ממנו</w:t>
      </w:r>
      <w:r w:rsidRPr="00974030">
        <w:rPr>
          <w:rFonts w:asciiTheme="minorBidi" w:hAnsiTheme="minorBidi" w:cs="Arial"/>
          <w:rtl/>
        </w:rPr>
        <w:t xml:space="preserve">, </w:t>
      </w:r>
      <w:r w:rsidRPr="00974030">
        <w:rPr>
          <w:rFonts w:asciiTheme="minorBidi" w:hAnsiTheme="minorBidi" w:cs="Arial" w:hint="cs"/>
          <w:rtl/>
        </w:rPr>
        <w:t>שהיא</w:t>
      </w:r>
      <w:r w:rsidRPr="00974030">
        <w:rPr>
          <w:rFonts w:asciiTheme="minorBidi" w:hAnsiTheme="minorBidi" w:cs="Arial"/>
          <w:rtl/>
        </w:rPr>
        <w:t xml:space="preserve"> </w:t>
      </w:r>
      <w:r w:rsidRPr="00974030">
        <w:rPr>
          <w:rFonts w:asciiTheme="minorBidi" w:hAnsiTheme="minorBidi" w:cs="Arial" w:hint="cs"/>
          <w:rtl/>
        </w:rPr>
        <w:t>מבוטלת</w:t>
      </w:r>
      <w:r w:rsidRPr="00974030">
        <w:rPr>
          <w:rFonts w:asciiTheme="minorBidi" w:hAnsiTheme="minorBidi" w:cs="Arial"/>
          <w:rtl/>
        </w:rPr>
        <w:t xml:space="preserve"> </w:t>
      </w:r>
      <w:r w:rsidRPr="00974030">
        <w:rPr>
          <w:rFonts w:asciiTheme="minorBidi" w:hAnsiTheme="minorBidi" w:cs="Arial" w:hint="cs"/>
          <w:rtl/>
        </w:rPr>
        <w:t>מהיכנה</w:t>
      </w:r>
      <w:r w:rsidRPr="00974030">
        <w:rPr>
          <w:rFonts w:asciiTheme="minorBidi" w:hAnsiTheme="minorBidi" w:cs="Arial"/>
          <w:rtl/>
        </w:rPr>
        <w:t xml:space="preserve"> </w:t>
      </w:r>
      <w:r w:rsidRPr="00974030">
        <w:rPr>
          <w:rFonts w:asciiTheme="minorBidi" w:hAnsiTheme="minorBidi" w:cs="Arial" w:hint="cs"/>
          <w:rtl/>
        </w:rPr>
        <w:t>ע</w:t>
      </w:r>
      <w:r w:rsidRPr="00974030">
        <w:rPr>
          <w:rFonts w:asciiTheme="minorBidi" w:hAnsiTheme="minorBidi" w:cs="Arial"/>
          <w:rtl/>
        </w:rPr>
        <w:t>"</w:t>
      </w:r>
      <w:r w:rsidRPr="00974030">
        <w:rPr>
          <w:rFonts w:asciiTheme="minorBidi" w:hAnsiTheme="minorBidi" w:cs="Arial" w:hint="cs"/>
          <w:rtl/>
        </w:rPr>
        <w:t>י</w:t>
      </w:r>
      <w:r w:rsidRPr="00974030">
        <w:rPr>
          <w:rFonts w:asciiTheme="minorBidi" w:hAnsiTheme="minorBidi" w:cs="Arial"/>
          <w:rtl/>
        </w:rPr>
        <w:t xml:space="preserve"> </w:t>
      </w:r>
      <w:r w:rsidRPr="00974030">
        <w:rPr>
          <w:rFonts w:asciiTheme="minorBidi" w:hAnsiTheme="minorBidi" w:cs="Arial" w:hint="cs"/>
          <w:rtl/>
        </w:rPr>
        <w:t>משקין</w:t>
      </w:r>
      <w:r w:rsidRPr="00974030">
        <w:rPr>
          <w:rFonts w:asciiTheme="minorBidi" w:hAnsiTheme="minorBidi" w:cs="Arial"/>
          <w:rtl/>
        </w:rPr>
        <w:t xml:space="preserve"> </w:t>
      </w:r>
      <w:r w:rsidRPr="00974030">
        <w:rPr>
          <w:rFonts w:asciiTheme="minorBidi" w:hAnsiTheme="minorBidi" w:cs="Arial" w:hint="cs"/>
          <w:rtl/>
        </w:rPr>
        <w:t>שבה</w:t>
      </w:r>
      <w:r w:rsidRPr="00974030">
        <w:rPr>
          <w:rFonts w:asciiTheme="minorBidi" w:hAnsiTheme="minorBidi" w:cs="Arial"/>
          <w:rtl/>
        </w:rPr>
        <w:t xml:space="preserve"> </w:t>
      </w:r>
      <w:r w:rsidRPr="00974030">
        <w:rPr>
          <w:rFonts w:asciiTheme="minorBidi" w:hAnsiTheme="minorBidi" w:cs="Arial" w:hint="cs"/>
          <w:rtl/>
        </w:rPr>
        <w:t>משום</w:t>
      </w:r>
      <w:r w:rsidRPr="00974030">
        <w:rPr>
          <w:rFonts w:asciiTheme="minorBidi" w:hAnsiTheme="minorBidi" w:cs="Arial"/>
          <w:rtl/>
        </w:rPr>
        <w:t xml:space="preserve"> </w:t>
      </w:r>
      <w:r w:rsidRPr="00974030">
        <w:rPr>
          <w:rFonts w:asciiTheme="minorBidi" w:hAnsiTheme="minorBidi" w:cs="Arial" w:hint="cs"/>
          <w:rtl/>
        </w:rPr>
        <w:t>משקין</w:t>
      </w:r>
      <w:r w:rsidRPr="00974030">
        <w:rPr>
          <w:rFonts w:asciiTheme="minorBidi" w:hAnsiTheme="minorBidi" w:cs="Arial"/>
          <w:rtl/>
        </w:rPr>
        <w:t xml:space="preserve"> </w:t>
      </w:r>
      <w:r w:rsidRPr="00974030">
        <w:rPr>
          <w:rFonts w:asciiTheme="minorBidi" w:hAnsiTheme="minorBidi" w:cs="Arial" w:hint="cs"/>
          <w:rtl/>
        </w:rPr>
        <w:t>שזבו</w:t>
      </w:r>
      <w:r w:rsidRPr="00974030">
        <w:rPr>
          <w:rFonts w:asciiTheme="minorBidi" w:hAnsiTheme="minorBidi" w:cs="Arial"/>
          <w:rtl/>
        </w:rPr>
        <w:t xml:space="preserve">. </w:t>
      </w:r>
    </w:p>
    <w:p w14:paraId="3553E7E6"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ה</w:t>
      </w:r>
    </w:p>
    <w:p w14:paraId="6EF43606" w14:textId="77777777" w:rsidR="006A4BF8" w:rsidRDefault="006A4BF8" w:rsidP="00434A6A">
      <w:pPr>
        <w:tabs>
          <w:tab w:val="left" w:pos="2788"/>
        </w:tabs>
        <w:rPr>
          <w:rFonts w:asciiTheme="minorBidi" w:hAnsiTheme="minorBidi"/>
          <w:rtl/>
        </w:rPr>
      </w:pPr>
      <w:r w:rsidRPr="00974030">
        <w:rPr>
          <w:rFonts w:asciiTheme="minorBidi" w:hAnsiTheme="minorBidi" w:cs="Arial" w:hint="cs"/>
          <w:rtl/>
        </w:rPr>
        <w:t>נתפזרו</w:t>
      </w:r>
      <w:r w:rsidRPr="00974030">
        <w:rPr>
          <w:rFonts w:asciiTheme="minorBidi" w:hAnsiTheme="minorBidi" w:cs="Arial"/>
          <w:rtl/>
        </w:rPr>
        <w:t xml:space="preserve"> </w:t>
      </w:r>
      <w:r w:rsidRPr="00974030">
        <w:rPr>
          <w:rFonts w:asciiTheme="minorBidi" w:hAnsiTheme="minorBidi" w:cs="Arial" w:hint="cs"/>
          <w:rtl/>
        </w:rPr>
        <w:t>לו</w:t>
      </w:r>
      <w:r w:rsidRPr="00974030">
        <w:rPr>
          <w:rFonts w:asciiTheme="minorBidi" w:hAnsiTheme="minorBidi" w:cs="Arial"/>
          <w:rtl/>
        </w:rPr>
        <w:t xml:space="preserve"> </w:t>
      </w:r>
      <w:r w:rsidRPr="00974030">
        <w:rPr>
          <w:rFonts w:asciiTheme="minorBidi" w:hAnsiTheme="minorBidi" w:cs="Arial" w:hint="cs"/>
          <w:rtl/>
        </w:rPr>
        <w:t>פירות</w:t>
      </w:r>
      <w:r w:rsidRPr="00974030">
        <w:rPr>
          <w:rFonts w:asciiTheme="minorBidi" w:hAnsiTheme="minorBidi" w:cs="Arial"/>
          <w:rtl/>
        </w:rPr>
        <w:t xml:space="preserve"> </w:t>
      </w:r>
      <w:r w:rsidRPr="00974030">
        <w:rPr>
          <w:rFonts w:asciiTheme="minorBidi" w:hAnsiTheme="minorBidi" w:cs="Arial" w:hint="cs"/>
          <w:rtl/>
        </w:rPr>
        <w:t>בחצר</w:t>
      </w:r>
      <w:r w:rsidRPr="00974030">
        <w:rPr>
          <w:rFonts w:asciiTheme="minorBidi" w:hAnsiTheme="minorBidi" w:cs="Arial"/>
          <w:rtl/>
        </w:rPr>
        <w:t xml:space="preserve">, </w:t>
      </w:r>
      <w:r w:rsidRPr="00974030">
        <w:rPr>
          <w:rFonts w:asciiTheme="minorBidi" w:hAnsiTheme="minorBidi" w:cs="Arial" w:hint="cs"/>
          <w:rtl/>
        </w:rPr>
        <w:t>אחד</w:t>
      </w:r>
      <w:r w:rsidRPr="00974030">
        <w:rPr>
          <w:rFonts w:asciiTheme="minorBidi" w:hAnsiTheme="minorBidi" w:cs="Arial"/>
          <w:rtl/>
        </w:rPr>
        <w:t xml:space="preserve"> </w:t>
      </w:r>
      <w:r w:rsidRPr="00974030">
        <w:rPr>
          <w:rFonts w:asciiTheme="minorBidi" w:hAnsiTheme="minorBidi" w:cs="Arial" w:hint="cs"/>
          <w:rtl/>
        </w:rPr>
        <w:t>הנה</w:t>
      </w:r>
      <w:r w:rsidRPr="00974030">
        <w:rPr>
          <w:rFonts w:asciiTheme="minorBidi" w:hAnsiTheme="minorBidi" w:cs="Arial"/>
          <w:rtl/>
        </w:rPr>
        <w:t xml:space="preserve"> </w:t>
      </w:r>
      <w:r w:rsidRPr="00974030">
        <w:rPr>
          <w:rFonts w:asciiTheme="minorBidi" w:hAnsiTheme="minorBidi" w:cs="Arial" w:hint="cs"/>
          <w:rtl/>
        </w:rPr>
        <w:t>ואחד</w:t>
      </w:r>
      <w:r w:rsidRPr="00974030">
        <w:rPr>
          <w:rFonts w:asciiTheme="minorBidi" w:hAnsiTheme="minorBidi" w:cs="Arial"/>
          <w:rtl/>
        </w:rPr>
        <w:t xml:space="preserve"> </w:t>
      </w:r>
      <w:r w:rsidRPr="00974030">
        <w:rPr>
          <w:rFonts w:asciiTheme="minorBidi" w:hAnsiTheme="minorBidi" w:cs="Arial" w:hint="cs"/>
          <w:rtl/>
        </w:rPr>
        <w:t>הנה</w:t>
      </w:r>
      <w:r w:rsidRPr="00974030">
        <w:rPr>
          <w:rFonts w:asciiTheme="minorBidi" w:hAnsiTheme="minorBidi" w:cs="Arial"/>
          <w:rtl/>
        </w:rPr>
        <w:t xml:space="preserve">, </w:t>
      </w:r>
      <w:r w:rsidRPr="00974030">
        <w:rPr>
          <w:rFonts w:asciiTheme="minorBidi" w:hAnsiTheme="minorBidi" w:cs="Arial" w:hint="cs"/>
          <w:rtl/>
        </w:rPr>
        <w:t>מלקט</w:t>
      </w:r>
      <w:r w:rsidRPr="00974030">
        <w:rPr>
          <w:rFonts w:asciiTheme="minorBidi" w:hAnsiTheme="minorBidi" w:cs="Arial"/>
          <w:rtl/>
        </w:rPr>
        <w:t xml:space="preserve"> </w:t>
      </w:r>
      <w:r w:rsidRPr="00974030">
        <w:rPr>
          <w:rFonts w:asciiTheme="minorBidi" w:hAnsiTheme="minorBidi" w:cs="Arial" w:hint="cs"/>
          <w:rtl/>
        </w:rPr>
        <w:t>מעט</w:t>
      </w:r>
      <w:r w:rsidRPr="00974030">
        <w:rPr>
          <w:rFonts w:asciiTheme="minorBidi" w:hAnsiTheme="minorBidi" w:cs="Arial"/>
          <w:rtl/>
        </w:rPr>
        <w:t xml:space="preserve"> </w:t>
      </w:r>
      <w:r w:rsidRPr="00974030">
        <w:rPr>
          <w:rFonts w:asciiTheme="minorBidi" w:hAnsiTheme="minorBidi" w:cs="Arial" w:hint="cs"/>
          <w:rtl/>
        </w:rPr>
        <w:t>מעט</w:t>
      </w:r>
      <w:r w:rsidRPr="00974030">
        <w:rPr>
          <w:rFonts w:asciiTheme="minorBidi" w:hAnsiTheme="minorBidi" w:cs="Arial"/>
          <w:rtl/>
        </w:rPr>
        <w:t xml:space="preserve"> </w:t>
      </w:r>
      <w:r w:rsidRPr="00974030">
        <w:rPr>
          <w:rFonts w:asciiTheme="minorBidi" w:hAnsiTheme="minorBidi" w:cs="Arial" w:hint="cs"/>
          <w:rtl/>
        </w:rPr>
        <w:t>ואוכל</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יתן</w:t>
      </w:r>
      <w:r w:rsidRPr="00974030">
        <w:rPr>
          <w:rFonts w:asciiTheme="minorBidi" w:hAnsiTheme="minorBidi" w:cs="Arial"/>
          <w:rtl/>
        </w:rPr>
        <w:t xml:space="preserve"> </w:t>
      </w:r>
      <w:r w:rsidRPr="00974030">
        <w:rPr>
          <w:rFonts w:asciiTheme="minorBidi" w:hAnsiTheme="minorBidi" w:cs="Arial" w:hint="cs"/>
          <w:rtl/>
        </w:rPr>
        <w:t>לתוך</w:t>
      </w:r>
      <w:r w:rsidRPr="00974030">
        <w:rPr>
          <w:rFonts w:asciiTheme="minorBidi" w:hAnsiTheme="minorBidi" w:cs="Arial"/>
          <w:rtl/>
        </w:rPr>
        <w:t xml:space="preserve"> </w:t>
      </w:r>
      <w:r w:rsidRPr="00974030">
        <w:rPr>
          <w:rFonts w:asciiTheme="minorBidi" w:hAnsiTheme="minorBidi" w:cs="Arial" w:hint="cs"/>
          <w:rtl/>
        </w:rPr>
        <w:t>הסל</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לתוך</w:t>
      </w:r>
      <w:r w:rsidRPr="00974030">
        <w:rPr>
          <w:rFonts w:asciiTheme="minorBidi" w:hAnsiTheme="minorBidi" w:cs="Arial"/>
          <w:rtl/>
        </w:rPr>
        <w:t xml:space="preserve"> </w:t>
      </w:r>
      <w:r w:rsidRPr="00974030">
        <w:rPr>
          <w:rFonts w:asciiTheme="minorBidi" w:hAnsiTheme="minorBidi" w:cs="Arial" w:hint="cs"/>
          <w:rtl/>
        </w:rPr>
        <w:t>הקופה</w:t>
      </w:r>
      <w:r w:rsidRPr="00974030">
        <w:rPr>
          <w:rFonts w:asciiTheme="minorBidi" w:hAnsiTheme="minorBidi" w:cs="Arial"/>
          <w:rtl/>
        </w:rPr>
        <w:t xml:space="preserve">; </w:t>
      </w:r>
      <w:r w:rsidRPr="00974030">
        <w:rPr>
          <w:rFonts w:asciiTheme="minorBidi" w:hAnsiTheme="minorBidi" w:cs="Arial" w:hint="cs"/>
          <w:rtl/>
        </w:rPr>
        <w:t>ואם</w:t>
      </w:r>
      <w:r w:rsidRPr="00974030">
        <w:rPr>
          <w:rFonts w:asciiTheme="minorBidi" w:hAnsiTheme="minorBidi" w:cs="Arial"/>
          <w:rtl/>
        </w:rPr>
        <w:t xml:space="preserve"> </w:t>
      </w:r>
      <w:r w:rsidRPr="00974030">
        <w:rPr>
          <w:rFonts w:asciiTheme="minorBidi" w:hAnsiTheme="minorBidi" w:cs="Arial" w:hint="cs"/>
          <w:rtl/>
        </w:rPr>
        <w:t>נפלו</w:t>
      </w:r>
      <w:r w:rsidRPr="00974030">
        <w:rPr>
          <w:rFonts w:asciiTheme="minorBidi" w:hAnsiTheme="minorBidi" w:cs="Arial"/>
          <w:rtl/>
        </w:rPr>
        <w:t xml:space="preserve"> </w:t>
      </w:r>
      <w:r w:rsidRPr="00974030">
        <w:rPr>
          <w:rFonts w:asciiTheme="minorBidi" w:hAnsiTheme="minorBidi" w:cs="Arial" w:hint="cs"/>
          <w:rtl/>
        </w:rPr>
        <w:t>במקום</w:t>
      </w:r>
      <w:r w:rsidRPr="00974030">
        <w:rPr>
          <w:rFonts w:asciiTheme="minorBidi" w:hAnsiTheme="minorBidi" w:cs="Arial"/>
          <w:rtl/>
        </w:rPr>
        <w:t xml:space="preserve"> </w:t>
      </w:r>
      <w:r w:rsidRPr="00974030">
        <w:rPr>
          <w:rFonts w:asciiTheme="minorBidi" w:hAnsiTheme="minorBidi" w:cs="Arial" w:hint="cs"/>
          <w:rtl/>
        </w:rPr>
        <w:t>אחד</w:t>
      </w:r>
      <w:r w:rsidRPr="00974030">
        <w:rPr>
          <w:rFonts w:asciiTheme="minorBidi" w:hAnsiTheme="minorBidi" w:cs="Arial"/>
          <w:rtl/>
        </w:rPr>
        <w:t xml:space="preserve">, </w:t>
      </w:r>
      <w:r w:rsidRPr="00974030">
        <w:rPr>
          <w:rFonts w:asciiTheme="minorBidi" w:hAnsiTheme="minorBidi" w:cs="Arial" w:hint="cs"/>
          <w:rtl/>
        </w:rPr>
        <w:t>נותן</w:t>
      </w:r>
      <w:r w:rsidRPr="00974030">
        <w:rPr>
          <w:rFonts w:asciiTheme="minorBidi" w:hAnsiTheme="minorBidi" w:cs="Arial"/>
          <w:rtl/>
        </w:rPr>
        <w:t xml:space="preserve"> </w:t>
      </w:r>
      <w:r w:rsidRPr="00974030">
        <w:rPr>
          <w:rFonts w:asciiTheme="minorBidi" w:hAnsiTheme="minorBidi" w:cs="Arial" w:hint="cs"/>
          <w:rtl/>
        </w:rPr>
        <w:t>אפילו</w:t>
      </w:r>
      <w:r w:rsidRPr="00974030">
        <w:rPr>
          <w:rFonts w:asciiTheme="minorBidi" w:hAnsiTheme="minorBidi" w:cs="Arial"/>
          <w:rtl/>
        </w:rPr>
        <w:t xml:space="preserve"> </w:t>
      </w:r>
      <w:r w:rsidRPr="00974030">
        <w:rPr>
          <w:rFonts w:asciiTheme="minorBidi" w:hAnsiTheme="minorBidi" w:cs="Arial" w:hint="cs"/>
          <w:rtl/>
        </w:rPr>
        <w:t>לתוך</w:t>
      </w:r>
      <w:r w:rsidRPr="00974030">
        <w:rPr>
          <w:rFonts w:asciiTheme="minorBidi" w:hAnsiTheme="minorBidi" w:cs="Arial"/>
          <w:rtl/>
        </w:rPr>
        <w:t xml:space="preserve"> </w:t>
      </w:r>
      <w:r w:rsidRPr="00974030">
        <w:rPr>
          <w:rFonts w:asciiTheme="minorBidi" w:hAnsiTheme="minorBidi" w:cs="Arial" w:hint="cs"/>
          <w:rtl/>
        </w:rPr>
        <w:t>הסל</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כן</w:t>
      </w:r>
      <w:r w:rsidRPr="00974030">
        <w:rPr>
          <w:rFonts w:asciiTheme="minorBidi" w:hAnsiTheme="minorBidi" w:cs="Arial"/>
          <w:rtl/>
        </w:rPr>
        <w:t xml:space="preserve"> </w:t>
      </w:r>
      <w:r w:rsidRPr="00974030">
        <w:rPr>
          <w:rFonts w:asciiTheme="minorBidi" w:hAnsiTheme="minorBidi" w:cs="Arial" w:hint="cs"/>
          <w:rtl/>
        </w:rPr>
        <w:t>נפלו</w:t>
      </w:r>
      <w:r w:rsidRPr="00974030">
        <w:rPr>
          <w:rFonts w:asciiTheme="minorBidi" w:hAnsiTheme="minorBidi" w:cs="Arial"/>
          <w:rtl/>
        </w:rPr>
        <w:t xml:space="preserve"> </w:t>
      </w:r>
      <w:r w:rsidRPr="00974030">
        <w:rPr>
          <w:rFonts w:asciiTheme="minorBidi" w:hAnsiTheme="minorBidi" w:cs="Arial" w:hint="cs"/>
          <w:rtl/>
        </w:rPr>
        <w:t>לתוך</w:t>
      </w:r>
      <w:r w:rsidRPr="00974030">
        <w:rPr>
          <w:rFonts w:asciiTheme="minorBidi" w:hAnsiTheme="minorBidi" w:cs="Arial"/>
          <w:rtl/>
        </w:rPr>
        <w:t xml:space="preserve"> </w:t>
      </w:r>
      <w:r w:rsidRPr="00974030">
        <w:rPr>
          <w:rFonts w:asciiTheme="minorBidi" w:hAnsiTheme="minorBidi" w:cs="Arial" w:hint="cs"/>
          <w:rtl/>
        </w:rPr>
        <w:t>צרורות</w:t>
      </w:r>
      <w:r w:rsidRPr="00974030">
        <w:rPr>
          <w:rFonts w:asciiTheme="minorBidi" w:hAnsiTheme="minorBidi" w:cs="Arial"/>
          <w:rtl/>
        </w:rPr>
        <w:t xml:space="preserve"> </w:t>
      </w:r>
      <w:r w:rsidRPr="00974030">
        <w:rPr>
          <w:rFonts w:asciiTheme="minorBidi" w:hAnsiTheme="minorBidi" w:cs="Arial" w:hint="cs"/>
          <w:rtl/>
        </w:rPr>
        <w:t>ועפרורית</w:t>
      </w:r>
      <w:r w:rsidRPr="00974030">
        <w:rPr>
          <w:rFonts w:asciiTheme="minorBidi" w:hAnsiTheme="minorBidi" w:cs="Arial"/>
          <w:rtl/>
        </w:rPr>
        <w:t xml:space="preserve"> </w:t>
      </w:r>
      <w:r w:rsidRPr="00974030">
        <w:rPr>
          <w:rFonts w:asciiTheme="minorBidi" w:hAnsiTheme="minorBidi" w:cs="Arial" w:hint="cs"/>
          <w:rtl/>
        </w:rPr>
        <w:t>שבחצר</w:t>
      </w:r>
      <w:r w:rsidRPr="00974030">
        <w:rPr>
          <w:rFonts w:asciiTheme="minorBidi" w:hAnsiTheme="minorBidi" w:cs="Arial"/>
          <w:rtl/>
        </w:rPr>
        <w:t xml:space="preserve"> </w:t>
      </w:r>
      <w:r w:rsidRPr="00974030">
        <w:rPr>
          <w:rFonts w:asciiTheme="minorBidi" w:hAnsiTheme="minorBidi" w:cs="Arial" w:hint="cs"/>
          <w:rtl/>
        </w:rPr>
        <w:t>שאז</w:t>
      </w:r>
      <w:r w:rsidRPr="00974030">
        <w:rPr>
          <w:rFonts w:asciiTheme="minorBidi" w:hAnsiTheme="minorBidi" w:cs="Arial"/>
          <w:rtl/>
        </w:rPr>
        <w:t xml:space="preserve"> </w:t>
      </w:r>
      <w:r w:rsidRPr="00974030">
        <w:rPr>
          <w:rFonts w:asciiTheme="minorBidi" w:hAnsiTheme="minorBidi" w:cs="Arial" w:hint="cs"/>
          <w:rtl/>
        </w:rPr>
        <w:t>מלקט</w:t>
      </w:r>
      <w:r w:rsidRPr="00974030">
        <w:rPr>
          <w:rFonts w:asciiTheme="minorBidi" w:hAnsiTheme="minorBidi" w:cs="Arial"/>
          <w:rtl/>
        </w:rPr>
        <w:t xml:space="preserve"> </w:t>
      </w:r>
      <w:r w:rsidRPr="00974030">
        <w:rPr>
          <w:rFonts w:asciiTheme="minorBidi" w:hAnsiTheme="minorBidi" w:cs="Arial" w:hint="cs"/>
          <w:rtl/>
        </w:rPr>
        <w:t>אחד</w:t>
      </w:r>
      <w:r w:rsidRPr="00974030">
        <w:rPr>
          <w:rFonts w:asciiTheme="minorBidi" w:hAnsiTheme="minorBidi" w:cs="Arial"/>
          <w:rtl/>
        </w:rPr>
        <w:t xml:space="preserve"> </w:t>
      </w:r>
      <w:r w:rsidRPr="00974030">
        <w:rPr>
          <w:rFonts w:asciiTheme="minorBidi" w:hAnsiTheme="minorBidi" w:cs="Arial" w:hint="cs"/>
          <w:rtl/>
        </w:rPr>
        <w:t>אחד</w:t>
      </w:r>
      <w:r w:rsidRPr="00974030">
        <w:rPr>
          <w:rFonts w:asciiTheme="minorBidi" w:hAnsiTheme="minorBidi" w:cs="Arial"/>
          <w:rtl/>
        </w:rPr>
        <w:t xml:space="preserve"> </w:t>
      </w:r>
      <w:r w:rsidRPr="00974030">
        <w:rPr>
          <w:rFonts w:asciiTheme="minorBidi" w:hAnsiTheme="minorBidi" w:cs="Arial" w:hint="cs"/>
          <w:rtl/>
        </w:rPr>
        <w:t>ואוכל</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יתן</w:t>
      </w:r>
      <w:r w:rsidRPr="00974030">
        <w:rPr>
          <w:rFonts w:asciiTheme="minorBidi" w:hAnsiTheme="minorBidi" w:cs="Arial"/>
          <w:rtl/>
        </w:rPr>
        <w:t xml:space="preserve"> </w:t>
      </w:r>
      <w:r w:rsidRPr="00974030">
        <w:rPr>
          <w:rFonts w:asciiTheme="minorBidi" w:hAnsiTheme="minorBidi" w:cs="Arial" w:hint="cs"/>
          <w:rtl/>
        </w:rPr>
        <w:t>לתוך</w:t>
      </w:r>
      <w:r w:rsidRPr="00974030">
        <w:rPr>
          <w:rFonts w:asciiTheme="minorBidi" w:hAnsiTheme="minorBidi" w:cs="Arial"/>
          <w:rtl/>
        </w:rPr>
        <w:t xml:space="preserve"> </w:t>
      </w:r>
      <w:r w:rsidRPr="00974030">
        <w:rPr>
          <w:rFonts w:asciiTheme="minorBidi" w:hAnsiTheme="minorBidi" w:cs="Arial" w:hint="cs"/>
          <w:rtl/>
        </w:rPr>
        <w:t>הסל</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לתוך</w:t>
      </w:r>
      <w:r w:rsidRPr="00974030">
        <w:rPr>
          <w:rFonts w:asciiTheme="minorBidi" w:hAnsiTheme="minorBidi" w:cs="Arial"/>
          <w:rtl/>
        </w:rPr>
        <w:t xml:space="preserve"> </w:t>
      </w:r>
      <w:r w:rsidRPr="00974030">
        <w:rPr>
          <w:rFonts w:asciiTheme="minorBidi" w:hAnsiTheme="minorBidi" w:cs="Arial" w:hint="cs"/>
          <w:rtl/>
        </w:rPr>
        <w:t>הקופה</w:t>
      </w:r>
      <w:r w:rsidRPr="00974030">
        <w:rPr>
          <w:rFonts w:asciiTheme="minorBidi" w:hAnsiTheme="minorBidi" w:cs="Arial"/>
          <w:rtl/>
        </w:rPr>
        <w:t xml:space="preserve"> (</w:t>
      </w:r>
      <w:r w:rsidRPr="00974030">
        <w:rPr>
          <w:rFonts w:asciiTheme="minorBidi" w:hAnsiTheme="minorBidi" w:cs="Arial" w:hint="cs"/>
          <w:rtl/>
        </w:rPr>
        <w:t>וע</w:t>
      </w:r>
      <w:r w:rsidRPr="00974030">
        <w:rPr>
          <w:rFonts w:asciiTheme="minorBidi" w:hAnsiTheme="minorBidi" w:cs="Arial"/>
          <w:rtl/>
        </w:rPr>
        <w:t>"</w:t>
      </w:r>
      <w:r w:rsidRPr="00974030">
        <w:rPr>
          <w:rFonts w:asciiTheme="minorBidi" w:hAnsiTheme="minorBidi" w:cs="Arial" w:hint="cs"/>
          <w:rtl/>
        </w:rPr>
        <w:t>ל</w:t>
      </w:r>
      <w:r w:rsidRPr="00974030">
        <w:rPr>
          <w:rFonts w:asciiTheme="minorBidi" w:hAnsiTheme="minorBidi" w:cs="Arial"/>
          <w:rtl/>
        </w:rPr>
        <w:t xml:space="preserve"> </w:t>
      </w:r>
      <w:r w:rsidRPr="00974030">
        <w:rPr>
          <w:rFonts w:asciiTheme="minorBidi" w:hAnsiTheme="minorBidi" w:cs="Arial" w:hint="cs"/>
          <w:rtl/>
        </w:rPr>
        <w:t>סי</w:t>
      </w:r>
      <w:r w:rsidRPr="00974030">
        <w:rPr>
          <w:rFonts w:asciiTheme="minorBidi" w:hAnsiTheme="minorBidi" w:cs="Arial"/>
          <w:rtl/>
        </w:rPr>
        <w:t xml:space="preserve">' </w:t>
      </w:r>
      <w:r w:rsidRPr="00974030">
        <w:rPr>
          <w:rFonts w:asciiTheme="minorBidi" w:hAnsiTheme="minorBidi" w:cs="Arial" w:hint="cs"/>
          <w:rtl/>
        </w:rPr>
        <w:t>שי</w:t>
      </w:r>
      <w:r w:rsidRPr="00974030">
        <w:rPr>
          <w:rFonts w:asciiTheme="minorBidi" w:hAnsiTheme="minorBidi" w:cs="Arial"/>
          <w:rtl/>
        </w:rPr>
        <w:t>"</w:t>
      </w:r>
      <w:r w:rsidRPr="00974030">
        <w:rPr>
          <w:rFonts w:asciiTheme="minorBidi" w:hAnsiTheme="minorBidi" w:cs="Arial" w:hint="cs"/>
          <w:rtl/>
        </w:rPr>
        <w:t>ט</w:t>
      </w:r>
      <w:r w:rsidRPr="00974030">
        <w:rPr>
          <w:rFonts w:asciiTheme="minorBidi" w:hAnsiTheme="minorBidi" w:cs="Arial"/>
          <w:rtl/>
        </w:rPr>
        <w:t>).</w:t>
      </w:r>
    </w:p>
    <w:p w14:paraId="29C976DC" w14:textId="77777777" w:rsidR="006A4BF8" w:rsidRDefault="006A4BF8" w:rsidP="00434A6A">
      <w:pPr>
        <w:tabs>
          <w:tab w:val="left" w:pos="2788"/>
        </w:tabs>
        <w:rPr>
          <w:rFonts w:asciiTheme="minorBidi" w:hAnsiTheme="minorBidi"/>
          <w:rtl/>
        </w:rPr>
      </w:pPr>
    </w:p>
    <w:p w14:paraId="30E19CBB" w14:textId="77777777" w:rsidR="006A4BF8" w:rsidRDefault="006A4BF8" w:rsidP="00434A6A">
      <w:pPr>
        <w:tabs>
          <w:tab w:val="left" w:pos="2788"/>
        </w:tabs>
        <w:rPr>
          <w:rFonts w:asciiTheme="minorBidi" w:hAnsiTheme="minorBidi"/>
          <w:rtl/>
        </w:rPr>
      </w:pPr>
    </w:p>
    <w:p w14:paraId="5A467E5C" w14:textId="77777777" w:rsidR="006A4BF8" w:rsidRDefault="006A4BF8" w:rsidP="00434A6A">
      <w:pPr>
        <w:tabs>
          <w:tab w:val="left" w:pos="2788"/>
        </w:tabs>
        <w:rPr>
          <w:rFonts w:asciiTheme="minorBidi" w:hAnsiTheme="minorBidi"/>
          <w:rtl/>
        </w:rPr>
      </w:pPr>
    </w:p>
    <w:p w14:paraId="5D6A73C0" w14:textId="77777777" w:rsidR="006A4BF8" w:rsidRDefault="006A4BF8" w:rsidP="00434A6A">
      <w:pPr>
        <w:pStyle w:val="1"/>
        <w:rPr>
          <w:rtl/>
        </w:rPr>
        <w:sectPr w:rsidR="006A4BF8" w:rsidSect="00BD29B1">
          <w:headerReference w:type="default" r:id="rId102"/>
          <w:footnotePr>
            <w:numRestart w:val="eachSect"/>
          </w:footnotePr>
          <w:pgSz w:w="11906" w:h="16838"/>
          <w:pgMar w:top="720" w:right="1134" w:bottom="720" w:left="1134" w:header="0" w:footer="0" w:gutter="0"/>
          <w:cols w:space="720"/>
          <w:bidi/>
          <w:rtlGutter/>
          <w:docGrid w:linePitch="360"/>
        </w:sectPr>
      </w:pPr>
    </w:p>
    <w:p w14:paraId="57E76EE8" w14:textId="77777777" w:rsidR="006A4BF8" w:rsidRPr="00974030" w:rsidRDefault="006A4BF8" w:rsidP="00434A6A">
      <w:pPr>
        <w:pStyle w:val="1"/>
        <w:rPr>
          <w:rtl/>
        </w:rPr>
      </w:pPr>
      <w:r>
        <w:rPr>
          <w:rFonts w:hint="cs"/>
          <w:rtl/>
        </w:rPr>
        <w:t xml:space="preserve">סימן שלו: </w:t>
      </w:r>
      <w:r w:rsidRPr="00974030">
        <w:rPr>
          <w:rFonts w:hint="cs"/>
          <w:rtl/>
        </w:rPr>
        <w:t>אם</w:t>
      </w:r>
      <w:r w:rsidRPr="00974030">
        <w:rPr>
          <w:rtl/>
        </w:rPr>
        <w:t xml:space="preserve"> </w:t>
      </w:r>
      <w:r w:rsidRPr="00974030">
        <w:rPr>
          <w:rFonts w:hint="cs"/>
          <w:rtl/>
        </w:rPr>
        <w:t>מותר</w:t>
      </w:r>
      <w:r w:rsidRPr="00974030">
        <w:rPr>
          <w:rtl/>
        </w:rPr>
        <w:t xml:space="preserve"> </w:t>
      </w:r>
      <w:r w:rsidRPr="00974030">
        <w:rPr>
          <w:rFonts w:hint="cs"/>
          <w:rtl/>
        </w:rPr>
        <w:t>לילך</w:t>
      </w:r>
      <w:r w:rsidRPr="00974030">
        <w:rPr>
          <w:rtl/>
        </w:rPr>
        <w:t xml:space="preserve"> </w:t>
      </w:r>
      <w:r w:rsidRPr="00974030">
        <w:rPr>
          <w:rFonts w:hint="cs"/>
          <w:rtl/>
        </w:rPr>
        <w:t>על</w:t>
      </w:r>
      <w:r w:rsidRPr="00974030">
        <w:rPr>
          <w:rtl/>
        </w:rPr>
        <w:t xml:space="preserve"> </w:t>
      </w:r>
      <w:r w:rsidRPr="00974030">
        <w:rPr>
          <w:rFonts w:hint="cs"/>
          <w:rtl/>
        </w:rPr>
        <w:t>גבי</w:t>
      </w:r>
      <w:r w:rsidRPr="00974030">
        <w:rPr>
          <w:rtl/>
        </w:rPr>
        <w:t xml:space="preserve"> </w:t>
      </w:r>
      <w:r w:rsidRPr="00974030">
        <w:rPr>
          <w:rFonts w:hint="cs"/>
          <w:rtl/>
        </w:rPr>
        <w:t>העשבים</w:t>
      </w:r>
      <w:r w:rsidRPr="00974030">
        <w:rPr>
          <w:rtl/>
        </w:rPr>
        <w:t xml:space="preserve">, </w:t>
      </w:r>
      <w:r w:rsidRPr="00974030">
        <w:rPr>
          <w:rFonts w:hint="cs"/>
          <w:rtl/>
        </w:rPr>
        <w:t>וכן</w:t>
      </w:r>
      <w:r w:rsidRPr="00974030">
        <w:rPr>
          <w:rtl/>
        </w:rPr>
        <w:t xml:space="preserve"> </w:t>
      </w:r>
      <w:r w:rsidRPr="00974030">
        <w:rPr>
          <w:rFonts w:hint="cs"/>
          <w:rtl/>
        </w:rPr>
        <w:t>באילן</w:t>
      </w:r>
      <w:r w:rsidRPr="00974030">
        <w:rPr>
          <w:rtl/>
        </w:rPr>
        <w:t xml:space="preserve">, </w:t>
      </w:r>
      <w:r w:rsidRPr="00974030">
        <w:rPr>
          <w:rFonts w:hint="cs"/>
          <w:rtl/>
        </w:rPr>
        <w:t>ובו</w:t>
      </w:r>
      <w:r w:rsidRPr="00974030">
        <w:rPr>
          <w:rtl/>
        </w:rPr>
        <w:t xml:space="preserve"> </w:t>
      </w:r>
      <w:r w:rsidRPr="00974030">
        <w:rPr>
          <w:rFonts w:hint="cs"/>
          <w:rtl/>
        </w:rPr>
        <w:t>י</w:t>
      </w:r>
      <w:r w:rsidRPr="00974030">
        <w:rPr>
          <w:rtl/>
        </w:rPr>
        <w:t>"</w:t>
      </w:r>
      <w:r w:rsidRPr="00974030">
        <w:rPr>
          <w:rFonts w:hint="cs"/>
          <w:rtl/>
        </w:rPr>
        <w:t>ג</w:t>
      </w:r>
      <w:r w:rsidRPr="00974030">
        <w:rPr>
          <w:rtl/>
        </w:rPr>
        <w:t xml:space="preserve"> </w:t>
      </w:r>
      <w:r w:rsidRPr="00974030">
        <w:rPr>
          <w:rFonts w:hint="cs"/>
          <w:rtl/>
        </w:rPr>
        <w:t>סעיפים</w:t>
      </w:r>
      <w:r w:rsidRPr="00974030">
        <w:rPr>
          <w:rtl/>
        </w:rPr>
        <w:t xml:space="preserve">. </w:t>
      </w:r>
    </w:p>
    <w:p w14:paraId="6496922C"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א</w:t>
      </w:r>
    </w:p>
    <w:p w14:paraId="7F727E4B"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אין</w:t>
      </w:r>
      <w:r w:rsidRPr="00974030">
        <w:rPr>
          <w:rFonts w:asciiTheme="minorBidi" w:hAnsiTheme="minorBidi" w:cs="Arial"/>
          <w:rtl/>
        </w:rPr>
        <w:t xml:space="preserve"> </w:t>
      </w:r>
      <w:r w:rsidRPr="00974030">
        <w:rPr>
          <w:rFonts w:asciiTheme="minorBidi" w:hAnsiTheme="minorBidi" w:cs="Arial" w:hint="cs"/>
          <w:rtl/>
        </w:rPr>
        <w:t>עולים</w:t>
      </w:r>
      <w:r w:rsidRPr="00974030">
        <w:rPr>
          <w:rFonts w:asciiTheme="minorBidi" w:hAnsiTheme="minorBidi" w:cs="Arial"/>
          <w:rtl/>
        </w:rPr>
        <w:t xml:space="preserve"> </w:t>
      </w:r>
      <w:r w:rsidRPr="00974030">
        <w:rPr>
          <w:rFonts w:asciiTheme="minorBidi" w:hAnsiTheme="minorBidi" w:cs="Arial" w:hint="cs"/>
          <w:rtl/>
        </w:rPr>
        <w:t>באילן</w:t>
      </w:r>
      <w:r w:rsidRPr="00974030">
        <w:rPr>
          <w:rFonts w:asciiTheme="minorBidi" w:hAnsiTheme="minorBidi" w:cs="Arial"/>
          <w:rtl/>
        </w:rPr>
        <w:t xml:space="preserve">, </w:t>
      </w:r>
      <w:r w:rsidRPr="00974030">
        <w:rPr>
          <w:rFonts w:asciiTheme="minorBidi" w:hAnsiTheme="minorBidi" w:cs="Arial" w:hint="cs"/>
          <w:rtl/>
        </w:rPr>
        <w:t>בין</w:t>
      </w:r>
      <w:r w:rsidRPr="00974030">
        <w:rPr>
          <w:rFonts w:asciiTheme="minorBidi" w:hAnsiTheme="minorBidi" w:cs="Arial"/>
          <w:rtl/>
        </w:rPr>
        <w:t xml:space="preserve"> </w:t>
      </w:r>
      <w:r w:rsidRPr="00974030">
        <w:rPr>
          <w:rFonts w:asciiTheme="minorBidi" w:hAnsiTheme="minorBidi" w:cs="Arial" w:hint="cs"/>
          <w:rtl/>
        </w:rPr>
        <w:t>לח</w:t>
      </w:r>
      <w:r w:rsidRPr="00974030">
        <w:rPr>
          <w:rFonts w:asciiTheme="minorBidi" w:hAnsiTheme="minorBidi" w:cs="Arial"/>
          <w:rtl/>
        </w:rPr>
        <w:t xml:space="preserve"> </w:t>
      </w:r>
      <w:r w:rsidRPr="00974030">
        <w:rPr>
          <w:rFonts w:asciiTheme="minorBidi" w:hAnsiTheme="minorBidi" w:cs="Arial" w:hint="cs"/>
          <w:rtl/>
        </w:rPr>
        <w:t>בין</w:t>
      </w:r>
      <w:r w:rsidRPr="00974030">
        <w:rPr>
          <w:rFonts w:asciiTheme="minorBidi" w:hAnsiTheme="minorBidi" w:cs="Arial"/>
          <w:rtl/>
        </w:rPr>
        <w:t xml:space="preserve"> </w:t>
      </w:r>
      <w:r w:rsidRPr="00974030">
        <w:rPr>
          <w:rFonts w:asciiTheme="minorBidi" w:hAnsiTheme="minorBidi" w:cs="Arial" w:hint="cs"/>
          <w:rtl/>
        </w:rPr>
        <w:t>יבש</w:t>
      </w:r>
      <w:r w:rsidRPr="00974030">
        <w:rPr>
          <w:rFonts w:asciiTheme="minorBidi" w:hAnsiTheme="minorBidi" w:cs="Arial"/>
          <w:rtl/>
        </w:rPr>
        <w:t xml:space="preserve">, </w:t>
      </w:r>
      <w:r w:rsidRPr="00974030">
        <w:rPr>
          <w:rFonts w:asciiTheme="minorBidi" w:hAnsiTheme="minorBidi" w:cs="Arial" w:hint="cs"/>
          <w:rtl/>
        </w:rPr>
        <w:t>ואין</w:t>
      </w:r>
      <w:r w:rsidRPr="00974030">
        <w:rPr>
          <w:rFonts w:asciiTheme="minorBidi" w:hAnsiTheme="minorBidi" w:cs="Arial"/>
          <w:rtl/>
        </w:rPr>
        <w:t xml:space="preserve"> </w:t>
      </w:r>
      <w:r w:rsidRPr="00974030">
        <w:rPr>
          <w:rFonts w:asciiTheme="minorBidi" w:hAnsiTheme="minorBidi" w:cs="Arial" w:hint="cs"/>
          <w:rtl/>
        </w:rPr>
        <w:t>נתלים</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ואין</w:t>
      </w:r>
      <w:r w:rsidRPr="00974030">
        <w:rPr>
          <w:rFonts w:asciiTheme="minorBidi" w:hAnsiTheme="minorBidi" w:cs="Arial"/>
          <w:rtl/>
        </w:rPr>
        <w:t xml:space="preserve"> </w:t>
      </w:r>
      <w:r w:rsidRPr="00974030">
        <w:rPr>
          <w:rFonts w:asciiTheme="minorBidi" w:hAnsiTheme="minorBidi" w:cs="Arial" w:hint="cs"/>
          <w:rtl/>
        </w:rPr>
        <w:t>משתמשין</w:t>
      </w:r>
      <w:r w:rsidRPr="00974030">
        <w:rPr>
          <w:rFonts w:asciiTheme="minorBidi" w:hAnsiTheme="minorBidi" w:cs="Arial"/>
          <w:rtl/>
        </w:rPr>
        <w:t xml:space="preserve"> </w:t>
      </w:r>
      <w:r w:rsidRPr="00974030">
        <w:rPr>
          <w:rFonts w:asciiTheme="minorBidi" w:hAnsiTheme="minorBidi" w:cs="Arial" w:hint="cs"/>
          <w:rtl/>
        </w:rPr>
        <w:t>במחובר</w:t>
      </w:r>
      <w:r w:rsidRPr="00974030">
        <w:rPr>
          <w:rFonts w:asciiTheme="minorBidi" w:hAnsiTheme="minorBidi" w:cs="Arial"/>
          <w:rtl/>
        </w:rPr>
        <w:t xml:space="preserve"> </w:t>
      </w:r>
      <w:r w:rsidRPr="00974030">
        <w:rPr>
          <w:rFonts w:asciiTheme="minorBidi" w:hAnsiTheme="minorBidi" w:cs="Arial" w:hint="cs"/>
          <w:rtl/>
        </w:rPr>
        <w:t>לקרקע</w:t>
      </w:r>
      <w:r w:rsidRPr="00974030">
        <w:rPr>
          <w:rFonts w:asciiTheme="minorBidi" w:hAnsiTheme="minorBidi" w:cs="Arial"/>
          <w:rtl/>
        </w:rPr>
        <w:t xml:space="preserve"> </w:t>
      </w:r>
      <w:r w:rsidRPr="00974030">
        <w:rPr>
          <w:rFonts w:asciiTheme="minorBidi" w:hAnsiTheme="minorBidi" w:cs="Arial" w:hint="cs"/>
          <w:rtl/>
        </w:rPr>
        <w:t>כלל</w:t>
      </w:r>
      <w:r w:rsidRPr="00974030">
        <w:rPr>
          <w:rFonts w:asciiTheme="minorBidi" w:hAnsiTheme="minorBidi" w:cs="Arial"/>
          <w:rtl/>
        </w:rPr>
        <w:t xml:space="preserve">, </w:t>
      </w:r>
      <w:r w:rsidRPr="00974030">
        <w:rPr>
          <w:rFonts w:asciiTheme="minorBidi" w:hAnsiTheme="minorBidi" w:cs="Arial" w:hint="cs"/>
          <w:rtl/>
        </w:rPr>
        <w:t>גזרה</w:t>
      </w:r>
      <w:r w:rsidRPr="00974030">
        <w:rPr>
          <w:rFonts w:asciiTheme="minorBidi" w:hAnsiTheme="minorBidi" w:cs="Arial"/>
          <w:rtl/>
        </w:rPr>
        <w:t xml:space="preserve"> </w:t>
      </w:r>
      <w:r w:rsidRPr="00974030">
        <w:rPr>
          <w:rFonts w:asciiTheme="minorBidi" w:hAnsiTheme="minorBidi" w:cs="Arial" w:hint="cs"/>
          <w:rtl/>
        </w:rPr>
        <w:t>שמא</w:t>
      </w:r>
      <w:r w:rsidRPr="00974030">
        <w:rPr>
          <w:rFonts w:asciiTheme="minorBidi" w:hAnsiTheme="minorBidi" w:cs="Arial"/>
          <w:rtl/>
        </w:rPr>
        <w:t xml:space="preserve"> </w:t>
      </w:r>
      <w:r w:rsidRPr="00974030">
        <w:rPr>
          <w:rFonts w:asciiTheme="minorBidi" w:hAnsiTheme="minorBidi" w:cs="Arial" w:hint="cs"/>
          <w:rtl/>
        </w:rPr>
        <w:t>יעלה</w:t>
      </w:r>
      <w:r w:rsidRPr="00974030">
        <w:rPr>
          <w:rFonts w:asciiTheme="minorBidi" w:hAnsiTheme="minorBidi" w:cs="Arial"/>
          <w:rtl/>
        </w:rPr>
        <w:t xml:space="preserve"> </w:t>
      </w:r>
      <w:r w:rsidRPr="00974030">
        <w:rPr>
          <w:rFonts w:asciiTheme="minorBidi" w:hAnsiTheme="minorBidi" w:cs="Arial" w:hint="cs"/>
          <w:rtl/>
        </w:rPr>
        <w:t>ויתלוש</w:t>
      </w:r>
      <w:r w:rsidRPr="00974030">
        <w:rPr>
          <w:rFonts w:asciiTheme="minorBidi" w:hAnsiTheme="minorBidi" w:cs="Arial"/>
          <w:rtl/>
        </w:rPr>
        <w:t xml:space="preserve">. </w:t>
      </w:r>
      <w:r w:rsidRPr="00974030">
        <w:rPr>
          <w:rFonts w:asciiTheme="minorBidi" w:hAnsiTheme="minorBidi" w:cs="Arial" w:hint="cs"/>
          <w:rtl/>
        </w:rPr>
        <w:t>עלה</w:t>
      </w:r>
      <w:r w:rsidRPr="00974030">
        <w:rPr>
          <w:rFonts w:asciiTheme="minorBidi" w:hAnsiTheme="minorBidi" w:cs="Arial"/>
          <w:rtl/>
        </w:rPr>
        <w:t xml:space="preserve"> </w:t>
      </w:r>
      <w:r w:rsidRPr="00974030">
        <w:rPr>
          <w:rFonts w:asciiTheme="minorBidi" w:hAnsiTheme="minorBidi" w:cs="Arial" w:hint="cs"/>
          <w:rtl/>
        </w:rPr>
        <w:t>באילן</w:t>
      </w:r>
      <w:r w:rsidRPr="00974030">
        <w:rPr>
          <w:rFonts w:asciiTheme="minorBidi" w:hAnsiTheme="minorBidi" w:cs="Arial"/>
          <w:rtl/>
        </w:rPr>
        <w:t xml:space="preserve"> </w:t>
      </w:r>
      <w:r w:rsidRPr="00974030">
        <w:rPr>
          <w:rFonts w:asciiTheme="minorBidi" w:hAnsiTheme="minorBidi" w:cs="Arial" w:hint="cs"/>
          <w:rtl/>
        </w:rPr>
        <w:t>בשבת</w:t>
      </w:r>
      <w:r w:rsidRPr="00974030">
        <w:rPr>
          <w:rFonts w:asciiTheme="minorBidi" w:hAnsiTheme="minorBidi" w:cs="Arial"/>
          <w:rtl/>
        </w:rPr>
        <w:t xml:space="preserve">, </w:t>
      </w:r>
      <w:r w:rsidRPr="00974030">
        <w:rPr>
          <w:rFonts w:asciiTheme="minorBidi" w:hAnsiTheme="minorBidi" w:cs="Arial" w:hint="cs"/>
          <w:rtl/>
        </w:rPr>
        <w:t>בשוגג</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לירד</w:t>
      </w:r>
      <w:r w:rsidRPr="00974030">
        <w:rPr>
          <w:rFonts w:asciiTheme="minorBidi" w:hAnsiTheme="minorBidi" w:cs="Arial"/>
          <w:rtl/>
        </w:rPr>
        <w:t xml:space="preserve">; </w:t>
      </w:r>
      <w:r w:rsidRPr="00974030">
        <w:rPr>
          <w:rFonts w:asciiTheme="minorBidi" w:hAnsiTheme="minorBidi" w:cs="Arial" w:hint="cs"/>
          <w:rtl/>
        </w:rPr>
        <w:t>במזיד</w:t>
      </w:r>
      <w:r w:rsidRPr="00974030">
        <w:rPr>
          <w:rFonts w:asciiTheme="minorBidi" w:hAnsiTheme="minorBidi" w:cs="Arial"/>
          <w:rtl/>
        </w:rPr>
        <w:t xml:space="preserve">, </w:t>
      </w: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לירד</w:t>
      </w:r>
      <w:r w:rsidRPr="00974030">
        <w:rPr>
          <w:rFonts w:asciiTheme="minorBidi" w:hAnsiTheme="minorBidi" w:cs="Arial"/>
          <w:rtl/>
        </w:rPr>
        <w:t xml:space="preserve">. </w:t>
      </w:r>
      <w:r w:rsidRPr="00974030">
        <w:rPr>
          <w:rFonts w:asciiTheme="minorBidi" w:hAnsiTheme="minorBidi" w:cs="Arial" w:hint="cs"/>
          <w:rtl/>
        </w:rPr>
        <w:t>ואם</w:t>
      </w:r>
      <w:r w:rsidRPr="00974030">
        <w:rPr>
          <w:rFonts w:asciiTheme="minorBidi" w:hAnsiTheme="minorBidi" w:cs="Arial"/>
          <w:rtl/>
        </w:rPr>
        <w:t xml:space="preserve"> </w:t>
      </w:r>
      <w:r w:rsidRPr="00974030">
        <w:rPr>
          <w:rFonts w:asciiTheme="minorBidi" w:hAnsiTheme="minorBidi" w:cs="Arial" w:hint="cs"/>
          <w:rtl/>
        </w:rPr>
        <w:t>עלה</w:t>
      </w:r>
      <w:r w:rsidRPr="00974030">
        <w:rPr>
          <w:rFonts w:asciiTheme="minorBidi" w:hAnsiTheme="minorBidi" w:cs="Arial"/>
          <w:rtl/>
        </w:rPr>
        <w:t xml:space="preserve"> </w:t>
      </w:r>
      <w:r w:rsidRPr="00974030">
        <w:rPr>
          <w:rFonts w:asciiTheme="minorBidi" w:hAnsiTheme="minorBidi" w:cs="Arial" w:hint="cs"/>
          <w:rtl/>
        </w:rPr>
        <w:t>מבעוד</w:t>
      </w:r>
      <w:r w:rsidRPr="00974030">
        <w:rPr>
          <w:rFonts w:asciiTheme="minorBidi" w:hAnsiTheme="minorBidi" w:cs="Arial"/>
          <w:rtl/>
        </w:rPr>
        <w:t xml:space="preserve"> </w:t>
      </w:r>
      <w:r w:rsidRPr="00974030">
        <w:rPr>
          <w:rFonts w:asciiTheme="minorBidi" w:hAnsiTheme="minorBidi" w:cs="Arial" w:hint="cs"/>
          <w:rtl/>
        </w:rPr>
        <w:t>יום</w:t>
      </w:r>
      <w:r w:rsidRPr="00974030">
        <w:rPr>
          <w:rFonts w:asciiTheme="minorBidi" w:hAnsiTheme="minorBidi" w:cs="Arial"/>
          <w:rtl/>
        </w:rPr>
        <w:t xml:space="preserve">, </w:t>
      </w:r>
      <w:r w:rsidRPr="00974030">
        <w:rPr>
          <w:rFonts w:asciiTheme="minorBidi" w:hAnsiTheme="minorBidi" w:cs="Arial" w:hint="cs"/>
          <w:rtl/>
        </w:rPr>
        <w:t>בכל</w:t>
      </w:r>
      <w:r w:rsidRPr="00974030">
        <w:rPr>
          <w:rFonts w:asciiTheme="minorBidi" w:hAnsiTheme="minorBidi" w:cs="Arial"/>
          <w:rtl/>
        </w:rPr>
        <w:t xml:space="preserve"> </w:t>
      </w:r>
      <w:r w:rsidRPr="00974030">
        <w:rPr>
          <w:rFonts w:asciiTheme="minorBidi" w:hAnsiTheme="minorBidi" w:cs="Arial" w:hint="cs"/>
          <w:rtl/>
        </w:rPr>
        <w:t>גווני</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לירד</w:t>
      </w:r>
      <w:r w:rsidRPr="00974030">
        <w:rPr>
          <w:rFonts w:asciiTheme="minorBidi" w:hAnsiTheme="minorBidi" w:cs="Arial"/>
          <w:rtl/>
        </w:rPr>
        <w:t xml:space="preserve"> </w:t>
      </w:r>
      <w:r w:rsidRPr="00974030">
        <w:rPr>
          <w:rFonts w:asciiTheme="minorBidi" w:hAnsiTheme="minorBidi" w:cs="Arial" w:hint="cs"/>
          <w:rtl/>
        </w:rPr>
        <w:t>משחשכה</w:t>
      </w:r>
      <w:r w:rsidRPr="00974030">
        <w:rPr>
          <w:rFonts w:asciiTheme="minorBidi" w:hAnsiTheme="minorBidi" w:cs="Arial"/>
          <w:rtl/>
        </w:rPr>
        <w:t xml:space="preserve">. </w:t>
      </w:r>
      <w:r w:rsidRPr="00974030">
        <w:rPr>
          <w:rFonts w:asciiTheme="minorBidi" w:hAnsiTheme="minorBidi" w:cs="Arial" w:hint="cs"/>
          <w:rtl/>
        </w:rPr>
        <w:t>ויש</w:t>
      </w:r>
      <w:r w:rsidRPr="00974030">
        <w:rPr>
          <w:rFonts w:asciiTheme="minorBidi" w:hAnsiTheme="minorBidi" w:cs="Arial"/>
          <w:rtl/>
        </w:rPr>
        <w:t xml:space="preserve"> </w:t>
      </w:r>
      <w:r w:rsidRPr="00974030">
        <w:rPr>
          <w:rFonts w:asciiTheme="minorBidi" w:hAnsiTheme="minorBidi" w:cs="Arial" w:hint="cs"/>
          <w:rtl/>
        </w:rPr>
        <w:t>אומרים</w:t>
      </w:r>
      <w:r w:rsidRPr="00974030">
        <w:rPr>
          <w:rFonts w:asciiTheme="minorBidi" w:hAnsiTheme="minorBidi" w:cs="Arial"/>
          <w:rtl/>
        </w:rPr>
        <w:t xml:space="preserve"> </w:t>
      </w:r>
      <w:r w:rsidRPr="00974030">
        <w:rPr>
          <w:rFonts w:asciiTheme="minorBidi" w:hAnsiTheme="minorBidi" w:cs="Arial" w:hint="cs"/>
          <w:rtl/>
        </w:rPr>
        <w:t>דהני</w:t>
      </w:r>
      <w:r w:rsidRPr="00974030">
        <w:rPr>
          <w:rFonts w:asciiTheme="minorBidi" w:hAnsiTheme="minorBidi" w:cs="Arial"/>
          <w:rtl/>
        </w:rPr>
        <w:t xml:space="preserve"> </w:t>
      </w:r>
      <w:r w:rsidRPr="00974030">
        <w:rPr>
          <w:rFonts w:asciiTheme="minorBidi" w:hAnsiTheme="minorBidi" w:cs="Arial" w:hint="cs"/>
          <w:rtl/>
        </w:rPr>
        <w:t>מילי</w:t>
      </w:r>
      <w:r w:rsidRPr="00974030">
        <w:rPr>
          <w:rFonts w:asciiTheme="minorBidi" w:hAnsiTheme="minorBidi" w:cs="Arial"/>
          <w:rtl/>
        </w:rPr>
        <w:t xml:space="preserve"> </w:t>
      </w:r>
      <w:r w:rsidRPr="00974030">
        <w:rPr>
          <w:rFonts w:asciiTheme="minorBidi" w:hAnsiTheme="minorBidi" w:cs="Arial" w:hint="cs"/>
          <w:rtl/>
        </w:rPr>
        <w:t>כשהיה</w:t>
      </w:r>
      <w:r w:rsidRPr="00974030">
        <w:rPr>
          <w:rFonts w:asciiTheme="minorBidi" w:hAnsiTheme="minorBidi" w:cs="Arial"/>
          <w:rtl/>
        </w:rPr>
        <w:t xml:space="preserve"> </w:t>
      </w:r>
      <w:r w:rsidRPr="00974030">
        <w:rPr>
          <w:rFonts w:asciiTheme="minorBidi" w:hAnsiTheme="minorBidi" w:cs="Arial" w:hint="cs"/>
          <w:rtl/>
        </w:rPr>
        <w:t>דעתו</w:t>
      </w:r>
      <w:r w:rsidRPr="00974030">
        <w:rPr>
          <w:rFonts w:asciiTheme="minorBidi" w:hAnsiTheme="minorBidi" w:cs="Arial"/>
          <w:rtl/>
        </w:rPr>
        <w:t xml:space="preserve"> </w:t>
      </w:r>
      <w:r w:rsidRPr="00974030">
        <w:rPr>
          <w:rFonts w:asciiTheme="minorBidi" w:hAnsiTheme="minorBidi" w:cs="Arial" w:hint="cs"/>
          <w:rtl/>
        </w:rPr>
        <w:t>לירד</w:t>
      </w:r>
      <w:r w:rsidRPr="00974030">
        <w:rPr>
          <w:rFonts w:asciiTheme="minorBidi" w:hAnsiTheme="minorBidi" w:cs="Arial"/>
          <w:rtl/>
        </w:rPr>
        <w:t xml:space="preserve"> </w:t>
      </w:r>
      <w:r w:rsidRPr="00974030">
        <w:rPr>
          <w:rFonts w:asciiTheme="minorBidi" w:hAnsiTheme="minorBidi" w:cs="Arial" w:hint="cs"/>
          <w:rtl/>
        </w:rPr>
        <w:t>מבעוד</w:t>
      </w:r>
      <w:r w:rsidRPr="00974030">
        <w:rPr>
          <w:rFonts w:asciiTheme="minorBidi" w:hAnsiTheme="minorBidi" w:cs="Arial"/>
          <w:rtl/>
        </w:rPr>
        <w:t xml:space="preserve"> </w:t>
      </w:r>
      <w:r w:rsidRPr="00974030">
        <w:rPr>
          <w:rFonts w:asciiTheme="minorBidi" w:hAnsiTheme="minorBidi" w:cs="Arial" w:hint="cs"/>
          <w:rtl/>
        </w:rPr>
        <w:t>יום</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היה</w:t>
      </w:r>
      <w:r w:rsidRPr="00974030">
        <w:rPr>
          <w:rFonts w:asciiTheme="minorBidi" w:hAnsiTheme="minorBidi" w:cs="Arial"/>
          <w:rtl/>
        </w:rPr>
        <w:t xml:space="preserve"> </w:t>
      </w:r>
      <w:r w:rsidRPr="00974030">
        <w:rPr>
          <w:rFonts w:asciiTheme="minorBidi" w:hAnsiTheme="minorBidi" w:cs="Arial" w:hint="cs"/>
          <w:rtl/>
        </w:rPr>
        <w:t>דעתו</w:t>
      </w:r>
      <w:r w:rsidRPr="00974030">
        <w:rPr>
          <w:rFonts w:asciiTheme="minorBidi" w:hAnsiTheme="minorBidi" w:cs="Arial"/>
          <w:rtl/>
        </w:rPr>
        <w:t xml:space="preserve"> </w:t>
      </w:r>
      <w:r w:rsidRPr="00974030">
        <w:rPr>
          <w:rFonts w:asciiTheme="minorBidi" w:hAnsiTheme="minorBidi" w:cs="Arial" w:hint="cs"/>
          <w:rtl/>
        </w:rPr>
        <w:t>לירד</w:t>
      </w:r>
      <w:r w:rsidRPr="00974030">
        <w:rPr>
          <w:rFonts w:asciiTheme="minorBidi" w:hAnsiTheme="minorBidi" w:cs="Arial"/>
          <w:rtl/>
        </w:rPr>
        <w:t xml:space="preserve"> </w:t>
      </w:r>
      <w:r w:rsidRPr="00974030">
        <w:rPr>
          <w:rFonts w:asciiTheme="minorBidi" w:hAnsiTheme="minorBidi" w:cs="Arial" w:hint="cs"/>
          <w:rtl/>
        </w:rPr>
        <w:t>מבעוד</w:t>
      </w:r>
      <w:r w:rsidRPr="00974030">
        <w:rPr>
          <w:rFonts w:asciiTheme="minorBidi" w:hAnsiTheme="minorBidi" w:cs="Arial"/>
          <w:rtl/>
        </w:rPr>
        <w:t xml:space="preserve"> </w:t>
      </w:r>
      <w:r w:rsidRPr="00974030">
        <w:rPr>
          <w:rFonts w:asciiTheme="minorBidi" w:hAnsiTheme="minorBidi" w:cs="Arial" w:hint="cs"/>
          <w:rtl/>
        </w:rPr>
        <w:t>יום</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ירד</w:t>
      </w:r>
      <w:r w:rsidRPr="00974030">
        <w:rPr>
          <w:rFonts w:asciiTheme="minorBidi" w:hAnsiTheme="minorBidi" w:cs="Arial"/>
          <w:rtl/>
        </w:rPr>
        <w:t xml:space="preserve"> </w:t>
      </w:r>
      <w:r w:rsidRPr="00974030">
        <w:rPr>
          <w:rFonts w:asciiTheme="minorBidi" w:hAnsiTheme="minorBidi" w:cs="Arial" w:hint="cs"/>
          <w:rtl/>
        </w:rPr>
        <w:t>משחשכה</w:t>
      </w:r>
      <w:r w:rsidRPr="00974030">
        <w:rPr>
          <w:rFonts w:asciiTheme="minorBidi" w:hAnsiTheme="minorBidi" w:cs="Arial"/>
          <w:rtl/>
        </w:rPr>
        <w:t xml:space="preserve">, </w:t>
      </w:r>
      <w:r w:rsidRPr="00974030">
        <w:rPr>
          <w:rFonts w:asciiTheme="minorBidi" w:hAnsiTheme="minorBidi" w:cs="Arial" w:hint="cs"/>
          <w:rtl/>
        </w:rPr>
        <w:t>כיון</w:t>
      </w:r>
      <w:r w:rsidRPr="00974030">
        <w:rPr>
          <w:rFonts w:asciiTheme="minorBidi" w:hAnsiTheme="minorBidi" w:cs="Arial"/>
          <w:rtl/>
        </w:rPr>
        <w:t xml:space="preserve"> </w:t>
      </w:r>
      <w:r w:rsidRPr="00974030">
        <w:rPr>
          <w:rFonts w:asciiTheme="minorBidi" w:hAnsiTheme="minorBidi" w:cs="Arial" w:hint="cs"/>
          <w:rtl/>
        </w:rPr>
        <w:t>שהיה</w:t>
      </w:r>
      <w:r w:rsidRPr="00974030">
        <w:rPr>
          <w:rFonts w:asciiTheme="minorBidi" w:hAnsiTheme="minorBidi" w:cs="Arial"/>
          <w:rtl/>
        </w:rPr>
        <w:t xml:space="preserve"> </w:t>
      </w:r>
      <w:r w:rsidRPr="00974030">
        <w:rPr>
          <w:rFonts w:asciiTheme="minorBidi" w:hAnsiTheme="minorBidi" w:cs="Arial" w:hint="cs"/>
          <w:rtl/>
        </w:rPr>
        <w:t>דעתו</w:t>
      </w:r>
      <w:r w:rsidRPr="00974030">
        <w:rPr>
          <w:rFonts w:asciiTheme="minorBidi" w:hAnsiTheme="minorBidi" w:cs="Arial"/>
          <w:rtl/>
        </w:rPr>
        <w:t xml:space="preserve"> </w:t>
      </w:r>
      <w:r w:rsidRPr="00974030">
        <w:rPr>
          <w:rFonts w:asciiTheme="minorBidi" w:hAnsiTheme="minorBidi" w:cs="Arial" w:hint="cs"/>
          <w:rtl/>
        </w:rPr>
        <w:t>לישב</w:t>
      </w:r>
      <w:r w:rsidRPr="00974030">
        <w:rPr>
          <w:rFonts w:asciiTheme="minorBidi" w:hAnsiTheme="minorBidi" w:cs="Arial"/>
          <w:rtl/>
        </w:rPr>
        <w:t xml:space="preserve"> </w:t>
      </w:r>
      <w:r w:rsidRPr="00974030">
        <w:rPr>
          <w:rFonts w:asciiTheme="minorBidi" w:hAnsiTheme="minorBidi" w:cs="Arial" w:hint="cs"/>
          <w:rtl/>
        </w:rPr>
        <w:t>שם</w:t>
      </w:r>
      <w:r w:rsidRPr="00974030">
        <w:rPr>
          <w:rFonts w:asciiTheme="minorBidi" w:hAnsiTheme="minorBidi" w:cs="Arial"/>
          <w:rtl/>
        </w:rPr>
        <w:t xml:space="preserve"> </w:t>
      </w:r>
      <w:r w:rsidRPr="00974030">
        <w:rPr>
          <w:rFonts w:asciiTheme="minorBidi" w:hAnsiTheme="minorBidi" w:cs="Arial" w:hint="cs"/>
          <w:rtl/>
        </w:rPr>
        <w:t>באיסור</w:t>
      </w:r>
      <w:r w:rsidRPr="00974030">
        <w:rPr>
          <w:rFonts w:asciiTheme="minorBidi" w:hAnsiTheme="minorBidi" w:cs="Arial"/>
          <w:rtl/>
        </w:rPr>
        <w:t xml:space="preserve">. </w:t>
      </w:r>
      <w:r w:rsidRPr="00974030">
        <w:rPr>
          <w:rFonts w:asciiTheme="minorBidi" w:hAnsiTheme="minorBidi" w:cs="Arial" w:hint="cs"/>
          <w:rtl/>
        </w:rPr>
        <w:t>הגה</w:t>
      </w:r>
      <w:r w:rsidRPr="00974030">
        <w:rPr>
          <w:rFonts w:asciiTheme="minorBidi" w:hAnsiTheme="minorBidi" w:cs="Arial"/>
          <w:rtl/>
        </w:rPr>
        <w:t xml:space="preserve">: </w:t>
      </w:r>
      <w:r w:rsidRPr="00974030">
        <w:rPr>
          <w:rFonts w:asciiTheme="minorBidi" w:hAnsiTheme="minorBidi" w:cs="Arial" w:hint="cs"/>
          <w:rtl/>
        </w:rPr>
        <w:t>ודוקא</w:t>
      </w:r>
      <w:r w:rsidRPr="00974030">
        <w:rPr>
          <w:rFonts w:asciiTheme="minorBidi" w:hAnsiTheme="minorBidi" w:cs="Arial"/>
          <w:rtl/>
        </w:rPr>
        <w:t xml:space="preserve"> </w:t>
      </w:r>
      <w:r w:rsidRPr="00974030">
        <w:rPr>
          <w:rFonts w:asciiTheme="minorBidi" w:hAnsiTheme="minorBidi" w:cs="Arial" w:hint="cs"/>
          <w:rtl/>
        </w:rPr>
        <w:t>אדם</w:t>
      </w:r>
      <w:r w:rsidRPr="00974030">
        <w:rPr>
          <w:rFonts w:asciiTheme="minorBidi" w:hAnsiTheme="minorBidi" w:cs="Arial"/>
          <w:rtl/>
        </w:rPr>
        <w:t xml:space="preserve"> </w:t>
      </w:r>
      <w:r w:rsidRPr="00974030">
        <w:rPr>
          <w:rFonts w:asciiTheme="minorBidi" w:hAnsiTheme="minorBidi" w:cs="Arial" w:hint="cs"/>
          <w:rtl/>
        </w:rPr>
        <w:t>שעלה</w:t>
      </w:r>
      <w:r w:rsidRPr="00974030">
        <w:rPr>
          <w:rFonts w:asciiTheme="minorBidi" w:hAnsiTheme="minorBidi" w:cs="Arial"/>
          <w:rtl/>
        </w:rPr>
        <w:t xml:space="preserve"> </w:t>
      </w:r>
      <w:r w:rsidRPr="00974030">
        <w:rPr>
          <w:rFonts w:asciiTheme="minorBidi" w:hAnsiTheme="minorBidi" w:cs="Arial" w:hint="cs"/>
          <w:rtl/>
        </w:rPr>
        <w:t>שם</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הניח</w:t>
      </w:r>
      <w:r w:rsidRPr="00974030">
        <w:rPr>
          <w:rFonts w:asciiTheme="minorBidi" w:hAnsiTheme="minorBidi" w:cs="Arial"/>
          <w:rtl/>
        </w:rPr>
        <w:t xml:space="preserve"> </w:t>
      </w:r>
      <w:r w:rsidRPr="00974030">
        <w:rPr>
          <w:rFonts w:asciiTheme="minorBidi" w:hAnsiTheme="minorBidi" w:cs="Arial" w:hint="cs"/>
          <w:rtl/>
        </w:rPr>
        <w:t>שם</w:t>
      </w:r>
      <w:r w:rsidRPr="00974030">
        <w:rPr>
          <w:rFonts w:asciiTheme="minorBidi" w:hAnsiTheme="minorBidi" w:cs="Arial"/>
          <w:rtl/>
        </w:rPr>
        <w:t xml:space="preserve"> </w:t>
      </w:r>
      <w:r w:rsidRPr="00974030">
        <w:rPr>
          <w:rFonts w:asciiTheme="minorBidi" w:hAnsiTheme="minorBidi" w:cs="Arial" w:hint="cs"/>
          <w:rtl/>
        </w:rPr>
        <w:t>חפץ</w:t>
      </w:r>
      <w:r w:rsidRPr="00974030">
        <w:rPr>
          <w:rFonts w:asciiTheme="minorBidi" w:hAnsiTheme="minorBidi" w:cs="Arial"/>
          <w:rtl/>
        </w:rPr>
        <w:t xml:space="preserve"> </w:t>
      </w:r>
      <w:r w:rsidRPr="00974030">
        <w:rPr>
          <w:rFonts w:asciiTheme="minorBidi" w:hAnsiTheme="minorBidi" w:cs="Arial" w:hint="cs"/>
          <w:rtl/>
        </w:rPr>
        <w:t>מבעוד</w:t>
      </w:r>
      <w:r w:rsidRPr="00974030">
        <w:rPr>
          <w:rFonts w:asciiTheme="minorBidi" w:hAnsiTheme="minorBidi" w:cs="Arial"/>
          <w:rtl/>
        </w:rPr>
        <w:t xml:space="preserve"> </w:t>
      </w:r>
      <w:r w:rsidRPr="00974030">
        <w:rPr>
          <w:rFonts w:asciiTheme="minorBidi" w:hAnsiTheme="minorBidi" w:cs="Arial" w:hint="cs"/>
          <w:rtl/>
        </w:rPr>
        <w:t>יום</w:t>
      </w:r>
      <w:r w:rsidRPr="00974030">
        <w:rPr>
          <w:rFonts w:asciiTheme="minorBidi" w:hAnsiTheme="minorBidi" w:cs="Arial"/>
          <w:rtl/>
        </w:rPr>
        <w:t xml:space="preserve"> </w:t>
      </w: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ליטלו</w:t>
      </w:r>
      <w:r w:rsidRPr="00974030">
        <w:rPr>
          <w:rFonts w:asciiTheme="minorBidi" w:hAnsiTheme="minorBidi" w:cs="Arial"/>
          <w:rtl/>
        </w:rPr>
        <w:t xml:space="preserve"> </w:t>
      </w:r>
      <w:r w:rsidRPr="00974030">
        <w:rPr>
          <w:rFonts w:asciiTheme="minorBidi" w:hAnsiTheme="minorBidi" w:cs="Arial" w:hint="cs"/>
          <w:rtl/>
        </w:rPr>
        <w:t>משם</w:t>
      </w:r>
      <w:r w:rsidRPr="00974030">
        <w:rPr>
          <w:rFonts w:asciiTheme="minorBidi" w:hAnsiTheme="minorBidi" w:cs="Arial"/>
          <w:rtl/>
        </w:rPr>
        <w:t xml:space="preserve"> </w:t>
      </w:r>
      <w:r w:rsidRPr="00974030">
        <w:rPr>
          <w:rFonts w:asciiTheme="minorBidi" w:hAnsiTheme="minorBidi" w:cs="Arial" w:hint="cs"/>
          <w:rtl/>
        </w:rPr>
        <w:t>בשבת</w:t>
      </w:r>
      <w:r w:rsidRPr="00974030">
        <w:rPr>
          <w:rFonts w:asciiTheme="minorBidi" w:hAnsiTheme="minorBidi" w:cs="Arial"/>
          <w:rtl/>
        </w:rPr>
        <w:t xml:space="preserve"> (</w:t>
      </w:r>
      <w:r w:rsidRPr="00974030">
        <w:rPr>
          <w:rFonts w:asciiTheme="minorBidi" w:hAnsiTheme="minorBidi" w:cs="Arial" w:hint="cs"/>
          <w:rtl/>
        </w:rPr>
        <w:t>המגיד</w:t>
      </w:r>
      <w:r w:rsidRPr="00974030">
        <w:rPr>
          <w:rFonts w:asciiTheme="minorBidi" w:hAnsiTheme="minorBidi" w:cs="Arial"/>
          <w:rtl/>
        </w:rPr>
        <w:t xml:space="preserve"> </w:t>
      </w:r>
      <w:r w:rsidRPr="00974030">
        <w:rPr>
          <w:rFonts w:asciiTheme="minorBidi" w:hAnsiTheme="minorBidi" w:cs="Arial" w:hint="cs"/>
          <w:rtl/>
        </w:rPr>
        <w:t>פרק</w:t>
      </w:r>
      <w:r w:rsidRPr="00974030">
        <w:rPr>
          <w:rFonts w:asciiTheme="minorBidi" w:hAnsiTheme="minorBidi" w:cs="Arial"/>
          <w:rtl/>
        </w:rPr>
        <w:t xml:space="preserve"> </w:t>
      </w:r>
      <w:r w:rsidRPr="00974030">
        <w:rPr>
          <w:rFonts w:asciiTheme="minorBidi" w:hAnsiTheme="minorBidi" w:cs="Arial" w:hint="cs"/>
          <w:rtl/>
        </w:rPr>
        <w:t>כ</w:t>
      </w:r>
      <w:r w:rsidRPr="00974030">
        <w:rPr>
          <w:rFonts w:asciiTheme="minorBidi" w:hAnsiTheme="minorBidi" w:cs="Arial"/>
          <w:rtl/>
        </w:rPr>
        <w:t>"</w:t>
      </w:r>
      <w:r w:rsidRPr="00974030">
        <w:rPr>
          <w:rFonts w:asciiTheme="minorBidi" w:hAnsiTheme="minorBidi" w:cs="Arial" w:hint="cs"/>
          <w:rtl/>
        </w:rPr>
        <w:t>א</w:t>
      </w:r>
      <w:r w:rsidRPr="00974030">
        <w:rPr>
          <w:rFonts w:asciiTheme="minorBidi" w:hAnsiTheme="minorBidi" w:cs="Arial"/>
          <w:rtl/>
        </w:rPr>
        <w:t xml:space="preserve">). </w:t>
      </w:r>
      <w:r w:rsidRPr="00974030">
        <w:rPr>
          <w:rFonts w:asciiTheme="minorBidi" w:hAnsiTheme="minorBidi" w:cs="Arial" w:hint="cs"/>
          <w:rtl/>
        </w:rPr>
        <w:t>וכל</w:t>
      </w:r>
      <w:r w:rsidRPr="00974030">
        <w:rPr>
          <w:rFonts w:asciiTheme="minorBidi" w:hAnsiTheme="minorBidi" w:cs="Arial"/>
          <w:rtl/>
        </w:rPr>
        <w:t xml:space="preserve"> </w:t>
      </w:r>
      <w:r w:rsidRPr="00974030">
        <w:rPr>
          <w:rFonts w:asciiTheme="minorBidi" w:hAnsiTheme="minorBidi" w:cs="Arial" w:hint="cs"/>
          <w:rtl/>
        </w:rPr>
        <w:t>זה</w:t>
      </w:r>
      <w:r w:rsidRPr="00974030">
        <w:rPr>
          <w:rFonts w:asciiTheme="minorBidi" w:hAnsiTheme="minorBidi" w:cs="Arial"/>
          <w:rtl/>
        </w:rPr>
        <w:t xml:space="preserve"> </w:t>
      </w:r>
      <w:r w:rsidRPr="00974030">
        <w:rPr>
          <w:rFonts w:asciiTheme="minorBidi" w:hAnsiTheme="minorBidi" w:cs="Arial" w:hint="cs"/>
          <w:rtl/>
        </w:rPr>
        <w:t>באילן</w:t>
      </w:r>
      <w:r w:rsidRPr="00974030">
        <w:rPr>
          <w:rFonts w:asciiTheme="minorBidi" w:hAnsiTheme="minorBidi" w:cs="Arial"/>
          <w:rtl/>
        </w:rPr>
        <w:t xml:space="preserve"> </w:t>
      </w:r>
      <w:r w:rsidRPr="00974030">
        <w:rPr>
          <w:rFonts w:asciiTheme="minorBidi" w:hAnsiTheme="minorBidi" w:cs="Arial" w:hint="cs"/>
          <w:rtl/>
        </w:rPr>
        <w:t>וכיוצא</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קנים</w:t>
      </w:r>
      <w:r w:rsidRPr="00974030">
        <w:rPr>
          <w:rFonts w:asciiTheme="minorBidi" w:hAnsiTheme="minorBidi" w:cs="Arial"/>
          <w:rtl/>
        </w:rPr>
        <w:t xml:space="preserve"> </w:t>
      </w:r>
      <w:r w:rsidRPr="00974030">
        <w:rPr>
          <w:rFonts w:asciiTheme="minorBidi" w:hAnsiTheme="minorBidi" w:cs="Arial" w:hint="cs"/>
          <w:rtl/>
        </w:rPr>
        <w:t>הרכים</w:t>
      </w:r>
      <w:r w:rsidRPr="00974030">
        <w:rPr>
          <w:rFonts w:asciiTheme="minorBidi" w:hAnsiTheme="minorBidi" w:cs="Arial"/>
          <w:rtl/>
        </w:rPr>
        <w:t xml:space="preserve"> </w:t>
      </w:r>
      <w:r w:rsidRPr="00974030">
        <w:rPr>
          <w:rFonts w:asciiTheme="minorBidi" w:hAnsiTheme="minorBidi" w:cs="Arial" w:hint="cs"/>
          <w:rtl/>
        </w:rPr>
        <w:t>כירק</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להשתמש</w:t>
      </w:r>
      <w:r w:rsidRPr="00974030">
        <w:rPr>
          <w:rFonts w:asciiTheme="minorBidi" w:hAnsiTheme="minorBidi" w:cs="Arial"/>
          <w:rtl/>
        </w:rPr>
        <w:t xml:space="preserve"> </w:t>
      </w:r>
      <w:r w:rsidRPr="00974030">
        <w:rPr>
          <w:rFonts w:asciiTheme="minorBidi" w:hAnsiTheme="minorBidi" w:cs="Arial" w:hint="cs"/>
          <w:rtl/>
        </w:rPr>
        <w:t>בהם</w:t>
      </w:r>
      <w:r w:rsidRPr="00974030">
        <w:rPr>
          <w:rFonts w:asciiTheme="minorBidi" w:hAnsiTheme="minorBidi" w:cs="Arial"/>
          <w:rtl/>
        </w:rPr>
        <w:t xml:space="preserve"> </w:t>
      </w:r>
      <w:r w:rsidRPr="00974030">
        <w:rPr>
          <w:rFonts w:asciiTheme="minorBidi" w:hAnsiTheme="minorBidi" w:cs="Arial" w:hint="cs"/>
          <w:rtl/>
        </w:rPr>
        <w:t>אעפ</w:t>
      </w:r>
      <w:r w:rsidRPr="00974030">
        <w:rPr>
          <w:rFonts w:asciiTheme="minorBidi" w:hAnsiTheme="minorBidi" w:cs="Arial"/>
          <w:rtl/>
        </w:rPr>
        <w:t>"</w:t>
      </w:r>
      <w:r w:rsidRPr="00974030">
        <w:rPr>
          <w:rFonts w:asciiTheme="minorBidi" w:hAnsiTheme="minorBidi" w:cs="Arial" w:hint="cs"/>
          <w:rtl/>
        </w:rPr>
        <w:t>י</w:t>
      </w:r>
      <w:r w:rsidRPr="00974030">
        <w:rPr>
          <w:rFonts w:asciiTheme="minorBidi" w:hAnsiTheme="minorBidi" w:cs="Arial"/>
          <w:rtl/>
        </w:rPr>
        <w:t xml:space="preserve"> </w:t>
      </w:r>
      <w:r w:rsidRPr="00974030">
        <w:rPr>
          <w:rFonts w:asciiTheme="minorBidi" w:hAnsiTheme="minorBidi" w:cs="Arial" w:hint="cs"/>
          <w:rtl/>
        </w:rPr>
        <w:t>שמחוברים</w:t>
      </w:r>
      <w:r w:rsidRPr="00974030">
        <w:rPr>
          <w:rFonts w:asciiTheme="minorBidi" w:hAnsiTheme="minorBidi" w:cs="Arial"/>
          <w:rtl/>
        </w:rPr>
        <w:t xml:space="preserve"> </w:t>
      </w:r>
      <w:r w:rsidRPr="00974030">
        <w:rPr>
          <w:rFonts w:asciiTheme="minorBidi" w:hAnsiTheme="minorBidi" w:cs="Arial" w:hint="cs"/>
          <w:rtl/>
        </w:rPr>
        <w:t>בקרקע</w:t>
      </w:r>
      <w:r w:rsidRPr="00974030">
        <w:rPr>
          <w:rFonts w:asciiTheme="minorBidi" w:hAnsiTheme="minorBidi" w:cs="Arial"/>
          <w:rtl/>
        </w:rPr>
        <w:t xml:space="preserve">, </w:t>
      </w:r>
      <w:r w:rsidRPr="00974030">
        <w:rPr>
          <w:rFonts w:asciiTheme="minorBidi" w:hAnsiTheme="minorBidi" w:cs="Arial" w:hint="cs"/>
          <w:rtl/>
        </w:rPr>
        <w:t>דאין</w:t>
      </w:r>
      <w:r w:rsidRPr="00974030">
        <w:rPr>
          <w:rFonts w:asciiTheme="minorBidi" w:hAnsiTheme="minorBidi" w:cs="Arial"/>
          <w:rtl/>
        </w:rPr>
        <w:t xml:space="preserve"> </w:t>
      </w: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להשתמש</w:t>
      </w:r>
      <w:r w:rsidRPr="00974030">
        <w:rPr>
          <w:rFonts w:asciiTheme="minorBidi" w:hAnsiTheme="minorBidi" w:cs="Arial"/>
          <w:rtl/>
        </w:rPr>
        <w:t xml:space="preserve"> </w:t>
      </w:r>
      <w:r w:rsidRPr="00974030">
        <w:rPr>
          <w:rFonts w:asciiTheme="minorBidi" w:hAnsiTheme="minorBidi" w:cs="Arial" w:hint="cs"/>
          <w:rtl/>
        </w:rPr>
        <w:t>בירק</w:t>
      </w:r>
      <w:r w:rsidRPr="00974030">
        <w:rPr>
          <w:rFonts w:asciiTheme="minorBidi" w:hAnsiTheme="minorBidi" w:cs="Arial"/>
          <w:rtl/>
        </w:rPr>
        <w:t xml:space="preserve"> (</w:t>
      </w:r>
      <w:r w:rsidRPr="00974030">
        <w:rPr>
          <w:rFonts w:asciiTheme="minorBidi" w:hAnsiTheme="minorBidi" w:cs="Arial" w:hint="cs"/>
          <w:rtl/>
        </w:rPr>
        <w:t>הגהות</w:t>
      </w:r>
      <w:r w:rsidRPr="00974030">
        <w:rPr>
          <w:rFonts w:asciiTheme="minorBidi" w:hAnsiTheme="minorBidi" w:cs="Arial"/>
          <w:rtl/>
        </w:rPr>
        <w:t xml:space="preserve"> </w:t>
      </w:r>
      <w:r w:rsidRPr="00974030">
        <w:rPr>
          <w:rFonts w:asciiTheme="minorBidi" w:hAnsiTheme="minorBidi" w:cs="Arial" w:hint="cs"/>
          <w:rtl/>
        </w:rPr>
        <w:t>אשירי</w:t>
      </w:r>
      <w:r w:rsidRPr="00974030">
        <w:rPr>
          <w:rFonts w:asciiTheme="minorBidi" w:hAnsiTheme="minorBidi" w:cs="Arial"/>
          <w:rtl/>
        </w:rPr>
        <w:t xml:space="preserve"> </w:t>
      </w:r>
      <w:r w:rsidRPr="00974030">
        <w:rPr>
          <w:rFonts w:asciiTheme="minorBidi" w:hAnsiTheme="minorBidi" w:cs="Arial" w:hint="cs"/>
          <w:rtl/>
        </w:rPr>
        <w:t>פרק</w:t>
      </w:r>
      <w:r w:rsidRPr="00974030">
        <w:rPr>
          <w:rFonts w:asciiTheme="minorBidi" w:hAnsiTheme="minorBidi" w:cs="Arial"/>
          <w:rtl/>
        </w:rPr>
        <w:t xml:space="preserve"> </w:t>
      </w:r>
      <w:r w:rsidRPr="00974030">
        <w:rPr>
          <w:rFonts w:asciiTheme="minorBidi" w:hAnsiTheme="minorBidi" w:cs="Arial" w:hint="cs"/>
          <w:rtl/>
        </w:rPr>
        <w:t>בכל</w:t>
      </w:r>
      <w:r w:rsidRPr="00974030">
        <w:rPr>
          <w:rFonts w:asciiTheme="minorBidi" w:hAnsiTheme="minorBidi" w:cs="Arial"/>
          <w:rtl/>
        </w:rPr>
        <w:t xml:space="preserve"> </w:t>
      </w:r>
      <w:r w:rsidRPr="00974030">
        <w:rPr>
          <w:rFonts w:asciiTheme="minorBidi" w:hAnsiTheme="minorBidi" w:cs="Arial" w:hint="cs"/>
          <w:rtl/>
        </w:rPr>
        <w:t>מערבין</w:t>
      </w:r>
      <w:r w:rsidRPr="00974030">
        <w:rPr>
          <w:rFonts w:asciiTheme="minorBidi" w:hAnsiTheme="minorBidi" w:cs="Arial"/>
          <w:rtl/>
        </w:rPr>
        <w:t xml:space="preserve"> </w:t>
      </w:r>
      <w:r w:rsidRPr="00974030">
        <w:rPr>
          <w:rFonts w:asciiTheme="minorBidi" w:hAnsiTheme="minorBidi" w:cs="Arial" w:hint="cs"/>
          <w:rtl/>
        </w:rPr>
        <w:t>בשם</w:t>
      </w:r>
      <w:r w:rsidRPr="00974030">
        <w:rPr>
          <w:rFonts w:asciiTheme="minorBidi" w:hAnsiTheme="minorBidi" w:cs="Arial"/>
          <w:rtl/>
        </w:rPr>
        <w:t xml:space="preserve"> </w:t>
      </w:r>
      <w:r w:rsidRPr="00974030">
        <w:rPr>
          <w:rFonts w:asciiTheme="minorBidi" w:hAnsiTheme="minorBidi" w:cs="Arial" w:hint="cs"/>
          <w:rtl/>
        </w:rPr>
        <w:t>א</w:t>
      </w:r>
      <w:r w:rsidRPr="00974030">
        <w:rPr>
          <w:rFonts w:asciiTheme="minorBidi" w:hAnsiTheme="minorBidi" w:cs="Arial"/>
          <w:rtl/>
        </w:rPr>
        <w:t>"</w:t>
      </w:r>
      <w:r w:rsidRPr="00974030">
        <w:rPr>
          <w:rFonts w:asciiTheme="minorBidi" w:hAnsiTheme="minorBidi" w:cs="Arial" w:hint="cs"/>
          <w:rtl/>
        </w:rPr>
        <w:t>ז</w:t>
      </w:r>
      <w:r w:rsidRPr="00974030">
        <w:rPr>
          <w:rFonts w:asciiTheme="minorBidi" w:hAnsiTheme="minorBidi" w:cs="Arial"/>
          <w:rtl/>
        </w:rPr>
        <w:t xml:space="preserve"> </w:t>
      </w:r>
      <w:r w:rsidRPr="00974030">
        <w:rPr>
          <w:rFonts w:asciiTheme="minorBidi" w:hAnsiTheme="minorBidi" w:cs="Arial" w:hint="cs"/>
          <w:rtl/>
        </w:rPr>
        <w:t>וב</w:t>
      </w:r>
      <w:r w:rsidRPr="00974030">
        <w:rPr>
          <w:rFonts w:asciiTheme="minorBidi" w:hAnsiTheme="minorBidi" w:cs="Arial"/>
          <w:rtl/>
        </w:rPr>
        <w:t>"</w:t>
      </w:r>
      <w:r w:rsidRPr="00974030">
        <w:rPr>
          <w:rFonts w:asciiTheme="minorBidi" w:hAnsiTheme="minorBidi" w:cs="Arial" w:hint="cs"/>
          <w:rtl/>
        </w:rPr>
        <w:t>י</w:t>
      </w:r>
      <w:r w:rsidRPr="00974030">
        <w:rPr>
          <w:rFonts w:asciiTheme="minorBidi" w:hAnsiTheme="minorBidi" w:cs="Arial"/>
          <w:rtl/>
        </w:rPr>
        <w:t xml:space="preserve">). </w:t>
      </w:r>
    </w:p>
    <w:p w14:paraId="6663FB0E"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ב</w:t>
      </w:r>
    </w:p>
    <w:p w14:paraId="24A33303"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שרשי</w:t>
      </w:r>
      <w:r w:rsidRPr="00974030">
        <w:rPr>
          <w:rFonts w:asciiTheme="minorBidi" w:hAnsiTheme="minorBidi" w:cs="Arial"/>
          <w:rtl/>
        </w:rPr>
        <w:t xml:space="preserve"> </w:t>
      </w:r>
      <w:r w:rsidRPr="00974030">
        <w:rPr>
          <w:rFonts w:asciiTheme="minorBidi" w:hAnsiTheme="minorBidi" w:cs="Arial" w:hint="cs"/>
          <w:rtl/>
        </w:rPr>
        <w:t>אילן</w:t>
      </w:r>
      <w:r w:rsidRPr="00974030">
        <w:rPr>
          <w:rFonts w:asciiTheme="minorBidi" w:hAnsiTheme="minorBidi" w:cs="Arial"/>
          <w:rtl/>
        </w:rPr>
        <w:t xml:space="preserve"> </w:t>
      </w:r>
      <w:r w:rsidRPr="00974030">
        <w:rPr>
          <w:rFonts w:asciiTheme="minorBidi" w:hAnsiTheme="minorBidi" w:cs="Arial" w:hint="cs"/>
          <w:rtl/>
        </w:rPr>
        <w:t>הגבוהים</w:t>
      </w:r>
      <w:r w:rsidRPr="00974030">
        <w:rPr>
          <w:rFonts w:asciiTheme="minorBidi" w:hAnsiTheme="minorBidi" w:cs="Arial"/>
          <w:rtl/>
        </w:rPr>
        <w:t xml:space="preserve"> </w:t>
      </w:r>
      <w:r w:rsidRPr="00974030">
        <w:rPr>
          <w:rFonts w:asciiTheme="minorBidi" w:hAnsiTheme="minorBidi" w:cs="Arial" w:hint="cs"/>
          <w:rtl/>
        </w:rPr>
        <w:t>מן</w:t>
      </w:r>
      <w:r w:rsidRPr="00974030">
        <w:rPr>
          <w:rFonts w:asciiTheme="minorBidi" w:hAnsiTheme="minorBidi" w:cs="Arial"/>
          <w:rtl/>
        </w:rPr>
        <w:t xml:space="preserve"> </w:t>
      </w:r>
      <w:r w:rsidRPr="00974030">
        <w:rPr>
          <w:rFonts w:asciiTheme="minorBidi" w:hAnsiTheme="minorBidi" w:cs="Arial" w:hint="cs"/>
          <w:rtl/>
        </w:rPr>
        <w:t>הארץ</w:t>
      </w:r>
      <w:r w:rsidRPr="00974030">
        <w:rPr>
          <w:rFonts w:asciiTheme="minorBidi" w:hAnsiTheme="minorBidi" w:cs="Arial"/>
          <w:rtl/>
        </w:rPr>
        <w:t xml:space="preserve"> </w:t>
      </w:r>
      <w:r w:rsidRPr="00974030">
        <w:rPr>
          <w:rFonts w:asciiTheme="minorBidi" w:hAnsiTheme="minorBidi" w:cs="Arial" w:hint="cs"/>
          <w:rtl/>
        </w:rPr>
        <w:t>ג</w:t>
      </w:r>
      <w:r w:rsidRPr="00974030">
        <w:rPr>
          <w:rFonts w:asciiTheme="minorBidi" w:hAnsiTheme="minorBidi" w:cs="Arial"/>
          <w:rtl/>
        </w:rPr>
        <w:t xml:space="preserve">' </w:t>
      </w:r>
      <w:r w:rsidRPr="00974030">
        <w:rPr>
          <w:rFonts w:asciiTheme="minorBidi" w:hAnsiTheme="minorBidi" w:cs="Arial" w:hint="cs"/>
          <w:rtl/>
        </w:rPr>
        <w:t>טפחים</w:t>
      </w:r>
      <w:r w:rsidRPr="00974030">
        <w:rPr>
          <w:rFonts w:asciiTheme="minorBidi" w:hAnsiTheme="minorBidi" w:cs="Arial"/>
          <w:rtl/>
        </w:rPr>
        <w:t xml:space="preserve">, </w:t>
      </w: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להשתמש</w:t>
      </w:r>
      <w:r w:rsidRPr="00974030">
        <w:rPr>
          <w:rFonts w:asciiTheme="minorBidi" w:hAnsiTheme="minorBidi" w:cs="Arial"/>
          <w:rtl/>
        </w:rPr>
        <w:t xml:space="preserve"> </w:t>
      </w:r>
      <w:r w:rsidRPr="00974030">
        <w:rPr>
          <w:rFonts w:asciiTheme="minorBidi" w:hAnsiTheme="minorBidi" w:cs="Arial" w:hint="cs"/>
          <w:rtl/>
        </w:rPr>
        <w:t>בהם</w:t>
      </w:r>
      <w:r w:rsidRPr="00974030">
        <w:rPr>
          <w:rFonts w:asciiTheme="minorBidi" w:hAnsiTheme="minorBidi" w:cs="Arial"/>
          <w:rtl/>
        </w:rPr>
        <w:t xml:space="preserve">; </w:t>
      </w:r>
      <w:r w:rsidRPr="00974030">
        <w:rPr>
          <w:rFonts w:asciiTheme="minorBidi" w:hAnsiTheme="minorBidi" w:cs="Arial" w:hint="cs"/>
          <w:rtl/>
        </w:rPr>
        <w:t>פחות</w:t>
      </w:r>
      <w:r w:rsidRPr="00974030">
        <w:rPr>
          <w:rFonts w:asciiTheme="minorBidi" w:hAnsiTheme="minorBidi" w:cs="Arial"/>
          <w:rtl/>
        </w:rPr>
        <w:t xml:space="preserve"> </w:t>
      </w:r>
      <w:r w:rsidRPr="00974030">
        <w:rPr>
          <w:rFonts w:asciiTheme="minorBidi" w:hAnsiTheme="minorBidi" w:cs="Arial" w:hint="cs"/>
          <w:rtl/>
        </w:rPr>
        <w:t>מכאן</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להשתמש</w:t>
      </w:r>
      <w:r w:rsidRPr="00974030">
        <w:rPr>
          <w:rFonts w:asciiTheme="minorBidi" w:hAnsiTheme="minorBidi" w:cs="Arial"/>
          <w:rtl/>
        </w:rPr>
        <w:t xml:space="preserve"> </w:t>
      </w:r>
      <w:r w:rsidRPr="00974030">
        <w:rPr>
          <w:rFonts w:asciiTheme="minorBidi" w:hAnsiTheme="minorBidi" w:cs="Arial" w:hint="cs"/>
          <w:rtl/>
        </w:rPr>
        <w:t>בהם</w:t>
      </w:r>
      <w:r w:rsidRPr="00974030">
        <w:rPr>
          <w:rFonts w:asciiTheme="minorBidi" w:hAnsiTheme="minorBidi" w:cs="Arial"/>
          <w:rtl/>
        </w:rPr>
        <w:t xml:space="preserve"> </w:t>
      </w:r>
      <w:r w:rsidRPr="00974030">
        <w:rPr>
          <w:rFonts w:asciiTheme="minorBidi" w:hAnsiTheme="minorBidi" w:cs="Arial" w:hint="cs"/>
          <w:rtl/>
        </w:rPr>
        <w:t>דכקרקע</w:t>
      </w:r>
      <w:r w:rsidRPr="00974030">
        <w:rPr>
          <w:rFonts w:asciiTheme="minorBidi" w:hAnsiTheme="minorBidi" w:cs="Arial"/>
          <w:rtl/>
        </w:rPr>
        <w:t xml:space="preserve"> </w:t>
      </w:r>
      <w:r w:rsidRPr="00974030">
        <w:rPr>
          <w:rFonts w:asciiTheme="minorBidi" w:hAnsiTheme="minorBidi" w:cs="Arial" w:hint="cs"/>
          <w:rtl/>
        </w:rPr>
        <w:t>חשיבי</w:t>
      </w:r>
      <w:r w:rsidRPr="00974030">
        <w:rPr>
          <w:rFonts w:asciiTheme="minorBidi" w:hAnsiTheme="minorBidi" w:cs="Arial"/>
          <w:rtl/>
        </w:rPr>
        <w:t xml:space="preserve">. </w:t>
      </w:r>
      <w:r w:rsidRPr="00974030">
        <w:rPr>
          <w:rFonts w:asciiTheme="minorBidi" w:hAnsiTheme="minorBidi" w:cs="Arial" w:hint="cs"/>
          <w:rtl/>
        </w:rPr>
        <w:t>ואם</w:t>
      </w:r>
      <w:r w:rsidRPr="00974030">
        <w:rPr>
          <w:rFonts w:asciiTheme="minorBidi" w:hAnsiTheme="minorBidi" w:cs="Arial"/>
          <w:rtl/>
        </w:rPr>
        <w:t xml:space="preserve"> </w:t>
      </w:r>
      <w:r w:rsidRPr="00974030">
        <w:rPr>
          <w:rFonts w:asciiTheme="minorBidi" w:hAnsiTheme="minorBidi" w:cs="Arial" w:hint="cs"/>
          <w:rtl/>
        </w:rPr>
        <w:t>באים</w:t>
      </w:r>
      <w:r w:rsidRPr="00974030">
        <w:rPr>
          <w:rFonts w:asciiTheme="minorBidi" w:hAnsiTheme="minorBidi" w:cs="Arial"/>
          <w:rtl/>
        </w:rPr>
        <w:t xml:space="preserve"> </w:t>
      </w:r>
      <w:r w:rsidRPr="00974030">
        <w:rPr>
          <w:rFonts w:asciiTheme="minorBidi" w:hAnsiTheme="minorBidi" w:cs="Arial" w:hint="cs"/>
          <w:rtl/>
        </w:rPr>
        <w:t>מלמעלה</w:t>
      </w:r>
      <w:r w:rsidRPr="00974030">
        <w:rPr>
          <w:rFonts w:asciiTheme="minorBidi" w:hAnsiTheme="minorBidi" w:cs="Arial"/>
          <w:rtl/>
        </w:rPr>
        <w:t xml:space="preserve"> </w:t>
      </w:r>
      <w:r w:rsidRPr="00974030">
        <w:rPr>
          <w:rFonts w:asciiTheme="minorBidi" w:hAnsiTheme="minorBidi" w:cs="Arial" w:hint="cs"/>
          <w:rtl/>
        </w:rPr>
        <w:t>ויורדים</w:t>
      </w:r>
      <w:r w:rsidRPr="00974030">
        <w:rPr>
          <w:rFonts w:asciiTheme="minorBidi" w:hAnsiTheme="minorBidi" w:cs="Arial"/>
          <w:rtl/>
        </w:rPr>
        <w:t xml:space="preserve"> </w:t>
      </w:r>
      <w:r w:rsidRPr="00974030">
        <w:rPr>
          <w:rFonts w:asciiTheme="minorBidi" w:hAnsiTheme="minorBidi" w:cs="Arial" w:hint="cs"/>
          <w:rtl/>
        </w:rPr>
        <w:t>למטה</w:t>
      </w:r>
      <w:r w:rsidRPr="00974030">
        <w:rPr>
          <w:rFonts w:asciiTheme="minorBidi" w:hAnsiTheme="minorBidi" w:cs="Arial"/>
          <w:rtl/>
        </w:rPr>
        <w:t xml:space="preserve"> </w:t>
      </w:r>
      <w:r w:rsidRPr="00974030">
        <w:rPr>
          <w:rFonts w:asciiTheme="minorBidi" w:hAnsiTheme="minorBidi" w:cs="Arial" w:hint="cs"/>
          <w:rtl/>
        </w:rPr>
        <w:t>במקום</w:t>
      </w:r>
      <w:r w:rsidRPr="00974030">
        <w:rPr>
          <w:rFonts w:asciiTheme="minorBidi" w:hAnsiTheme="minorBidi" w:cs="Arial"/>
          <w:rtl/>
        </w:rPr>
        <w:t xml:space="preserve"> </w:t>
      </w:r>
      <w:r w:rsidRPr="00974030">
        <w:rPr>
          <w:rFonts w:asciiTheme="minorBidi" w:hAnsiTheme="minorBidi" w:cs="Arial" w:hint="cs"/>
          <w:rtl/>
        </w:rPr>
        <w:t>שגבוהים</w:t>
      </w:r>
      <w:r w:rsidRPr="00974030">
        <w:rPr>
          <w:rFonts w:asciiTheme="minorBidi" w:hAnsiTheme="minorBidi" w:cs="Arial"/>
          <w:rtl/>
        </w:rPr>
        <w:t xml:space="preserve"> </w:t>
      </w:r>
      <w:r w:rsidRPr="00974030">
        <w:rPr>
          <w:rFonts w:asciiTheme="minorBidi" w:hAnsiTheme="minorBidi" w:cs="Arial" w:hint="cs"/>
          <w:rtl/>
        </w:rPr>
        <w:t>שלשה</w:t>
      </w:r>
      <w:r w:rsidRPr="00974030">
        <w:rPr>
          <w:rFonts w:asciiTheme="minorBidi" w:hAnsiTheme="minorBidi" w:cs="Arial"/>
          <w:rtl/>
        </w:rPr>
        <w:t xml:space="preserve">, </w:t>
      </w:r>
      <w:r w:rsidRPr="00974030">
        <w:rPr>
          <w:rFonts w:asciiTheme="minorBidi" w:hAnsiTheme="minorBidi" w:cs="Arial" w:hint="cs"/>
          <w:rtl/>
        </w:rPr>
        <w:t>אסורים</w:t>
      </w:r>
      <w:r w:rsidRPr="00974030">
        <w:rPr>
          <w:rFonts w:asciiTheme="minorBidi" w:hAnsiTheme="minorBidi" w:cs="Arial"/>
          <w:rtl/>
        </w:rPr>
        <w:t xml:space="preserve">; </w:t>
      </w:r>
      <w:r w:rsidRPr="00974030">
        <w:rPr>
          <w:rFonts w:asciiTheme="minorBidi" w:hAnsiTheme="minorBidi" w:cs="Arial" w:hint="cs"/>
          <w:rtl/>
        </w:rPr>
        <w:t>ובמקום</w:t>
      </w:r>
      <w:r w:rsidRPr="00974030">
        <w:rPr>
          <w:rFonts w:asciiTheme="minorBidi" w:hAnsiTheme="minorBidi" w:cs="Arial"/>
          <w:rtl/>
        </w:rPr>
        <w:t xml:space="preserve"> </w:t>
      </w:r>
      <w:r w:rsidRPr="00974030">
        <w:rPr>
          <w:rFonts w:asciiTheme="minorBidi" w:hAnsiTheme="minorBidi" w:cs="Arial" w:hint="cs"/>
          <w:rtl/>
        </w:rPr>
        <w:t>שאין</w:t>
      </w:r>
      <w:r w:rsidRPr="00974030">
        <w:rPr>
          <w:rFonts w:asciiTheme="minorBidi" w:hAnsiTheme="minorBidi" w:cs="Arial"/>
          <w:rtl/>
        </w:rPr>
        <w:t xml:space="preserve"> </w:t>
      </w:r>
      <w:r w:rsidRPr="00974030">
        <w:rPr>
          <w:rFonts w:asciiTheme="minorBidi" w:hAnsiTheme="minorBidi" w:cs="Arial" w:hint="cs"/>
          <w:rtl/>
        </w:rPr>
        <w:t>גבוהים</w:t>
      </w:r>
      <w:r w:rsidRPr="00974030">
        <w:rPr>
          <w:rFonts w:asciiTheme="minorBidi" w:hAnsiTheme="minorBidi" w:cs="Arial"/>
          <w:rtl/>
        </w:rPr>
        <w:t xml:space="preserve"> </w:t>
      </w:r>
      <w:r w:rsidRPr="00974030">
        <w:rPr>
          <w:rFonts w:asciiTheme="minorBidi" w:hAnsiTheme="minorBidi" w:cs="Arial" w:hint="cs"/>
          <w:rtl/>
        </w:rPr>
        <w:t>שלשה</w:t>
      </w:r>
      <w:r w:rsidRPr="00974030">
        <w:rPr>
          <w:rFonts w:asciiTheme="minorBidi" w:hAnsiTheme="minorBidi" w:cs="Arial"/>
          <w:rtl/>
        </w:rPr>
        <w:t xml:space="preserve">, </w:t>
      </w:r>
      <w:r w:rsidRPr="00974030">
        <w:rPr>
          <w:rFonts w:asciiTheme="minorBidi" w:hAnsiTheme="minorBidi" w:cs="Arial" w:hint="cs"/>
          <w:rtl/>
        </w:rPr>
        <w:t>מותרים</w:t>
      </w:r>
      <w:r w:rsidRPr="00974030">
        <w:rPr>
          <w:rFonts w:asciiTheme="minorBidi" w:hAnsiTheme="minorBidi" w:cs="Arial"/>
          <w:rtl/>
        </w:rPr>
        <w:t xml:space="preserve">. </w:t>
      </w:r>
      <w:r w:rsidRPr="00974030">
        <w:rPr>
          <w:rFonts w:asciiTheme="minorBidi" w:hAnsiTheme="minorBidi" w:cs="Arial" w:hint="cs"/>
          <w:rtl/>
        </w:rPr>
        <w:t>היו</w:t>
      </w:r>
      <w:r w:rsidRPr="00974030">
        <w:rPr>
          <w:rFonts w:asciiTheme="minorBidi" w:hAnsiTheme="minorBidi" w:cs="Arial"/>
          <w:rtl/>
        </w:rPr>
        <w:t xml:space="preserve"> </w:t>
      </w:r>
      <w:r w:rsidRPr="00974030">
        <w:rPr>
          <w:rFonts w:asciiTheme="minorBidi" w:hAnsiTheme="minorBidi" w:cs="Arial" w:hint="cs"/>
          <w:rtl/>
        </w:rPr>
        <w:t>גבוהים</w:t>
      </w:r>
      <w:r w:rsidRPr="00974030">
        <w:rPr>
          <w:rFonts w:asciiTheme="minorBidi" w:hAnsiTheme="minorBidi" w:cs="Arial"/>
          <w:rtl/>
        </w:rPr>
        <w:t xml:space="preserve"> </w:t>
      </w:r>
      <w:r w:rsidRPr="00974030">
        <w:rPr>
          <w:rFonts w:asciiTheme="minorBidi" w:hAnsiTheme="minorBidi" w:cs="Arial" w:hint="cs"/>
          <w:rtl/>
        </w:rPr>
        <w:t>שלשה</w:t>
      </w:r>
      <w:r w:rsidRPr="00974030">
        <w:rPr>
          <w:rFonts w:asciiTheme="minorBidi" w:hAnsiTheme="minorBidi" w:cs="Arial"/>
          <w:rtl/>
        </w:rPr>
        <w:t xml:space="preserve"> </w:t>
      </w:r>
      <w:r w:rsidRPr="00974030">
        <w:rPr>
          <w:rFonts w:asciiTheme="minorBidi" w:hAnsiTheme="minorBidi" w:cs="Arial" w:hint="cs"/>
          <w:rtl/>
        </w:rPr>
        <w:t>וחלל</w:t>
      </w:r>
      <w:r w:rsidRPr="00974030">
        <w:rPr>
          <w:rFonts w:asciiTheme="minorBidi" w:hAnsiTheme="minorBidi" w:cs="Arial"/>
          <w:rtl/>
        </w:rPr>
        <w:t xml:space="preserve"> </w:t>
      </w:r>
      <w:r w:rsidRPr="00974030">
        <w:rPr>
          <w:rFonts w:asciiTheme="minorBidi" w:hAnsiTheme="minorBidi" w:cs="Arial" w:hint="cs"/>
          <w:rtl/>
        </w:rPr>
        <w:t>תחתיהם</w:t>
      </w:r>
      <w:r w:rsidRPr="00974030">
        <w:rPr>
          <w:rFonts w:asciiTheme="minorBidi" w:hAnsiTheme="minorBidi" w:cs="Arial"/>
          <w:rtl/>
        </w:rPr>
        <w:t xml:space="preserve">, </w:t>
      </w:r>
      <w:r w:rsidRPr="00974030">
        <w:rPr>
          <w:rFonts w:asciiTheme="minorBidi" w:hAnsiTheme="minorBidi" w:cs="Arial" w:hint="cs"/>
          <w:rtl/>
        </w:rPr>
        <w:t>אף</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פי</w:t>
      </w:r>
      <w:r w:rsidRPr="00974030">
        <w:rPr>
          <w:rFonts w:asciiTheme="minorBidi" w:hAnsiTheme="minorBidi" w:cs="Arial"/>
          <w:rtl/>
        </w:rPr>
        <w:t xml:space="preserve"> </w:t>
      </w:r>
      <w:r w:rsidRPr="00974030">
        <w:rPr>
          <w:rFonts w:asciiTheme="minorBidi" w:hAnsiTheme="minorBidi" w:cs="Arial" w:hint="cs"/>
          <w:rtl/>
        </w:rPr>
        <w:t>שמצד</w:t>
      </w:r>
      <w:r w:rsidRPr="00974030">
        <w:rPr>
          <w:rFonts w:asciiTheme="minorBidi" w:hAnsiTheme="minorBidi" w:cs="Arial"/>
          <w:rtl/>
        </w:rPr>
        <w:t xml:space="preserve"> </w:t>
      </w:r>
      <w:r w:rsidRPr="00974030">
        <w:rPr>
          <w:rFonts w:asciiTheme="minorBidi" w:hAnsiTheme="minorBidi" w:cs="Arial" w:hint="cs"/>
          <w:rtl/>
        </w:rPr>
        <w:t>אחד</w:t>
      </w:r>
      <w:r w:rsidRPr="00974030">
        <w:rPr>
          <w:rFonts w:asciiTheme="minorBidi" w:hAnsiTheme="minorBidi" w:cs="Arial"/>
          <w:rtl/>
        </w:rPr>
        <w:t xml:space="preserve"> </w:t>
      </w:r>
      <w:r w:rsidRPr="00974030">
        <w:rPr>
          <w:rFonts w:asciiTheme="minorBidi" w:hAnsiTheme="minorBidi" w:cs="Arial" w:hint="cs"/>
          <w:rtl/>
        </w:rPr>
        <w:t>אין</w:t>
      </w:r>
      <w:r w:rsidRPr="00974030">
        <w:rPr>
          <w:rFonts w:asciiTheme="minorBidi" w:hAnsiTheme="minorBidi" w:cs="Arial"/>
          <w:rtl/>
        </w:rPr>
        <w:t xml:space="preserve"> </w:t>
      </w:r>
      <w:r w:rsidRPr="00974030">
        <w:rPr>
          <w:rFonts w:asciiTheme="minorBidi" w:hAnsiTheme="minorBidi" w:cs="Arial" w:hint="cs"/>
          <w:rtl/>
        </w:rPr>
        <w:t>חלל</w:t>
      </w:r>
      <w:r w:rsidRPr="00974030">
        <w:rPr>
          <w:rFonts w:asciiTheme="minorBidi" w:hAnsiTheme="minorBidi" w:cs="Arial"/>
          <w:rtl/>
        </w:rPr>
        <w:t xml:space="preserve"> </w:t>
      </w:r>
      <w:r w:rsidRPr="00974030">
        <w:rPr>
          <w:rFonts w:asciiTheme="minorBidi" w:hAnsiTheme="minorBidi" w:cs="Arial" w:hint="cs"/>
          <w:rtl/>
        </w:rPr>
        <w:t>תחתיהם</w:t>
      </w:r>
      <w:r w:rsidRPr="00974030">
        <w:rPr>
          <w:rFonts w:asciiTheme="minorBidi" w:hAnsiTheme="minorBidi" w:cs="Arial"/>
          <w:rtl/>
        </w:rPr>
        <w:t xml:space="preserve"> </w:t>
      </w:r>
      <w:r w:rsidRPr="00974030">
        <w:rPr>
          <w:rFonts w:asciiTheme="minorBidi" w:hAnsiTheme="minorBidi" w:cs="Arial" w:hint="cs"/>
          <w:rtl/>
        </w:rPr>
        <w:t>והרי</w:t>
      </w:r>
      <w:r w:rsidRPr="00974030">
        <w:rPr>
          <w:rFonts w:asciiTheme="minorBidi" w:hAnsiTheme="minorBidi" w:cs="Arial"/>
          <w:rtl/>
        </w:rPr>
        <w:t xml:space="preserve"> </w:t>
      </w:r>
      <w:r w:rsidRPr="00974030">
        <w:rPr>
          <w:rFonts w:asciiTheme="minorBidi" w:hAnsiTheme="minorBidi" w:cs="Arial" w:hint="cs"/>
          <w:rtl/>
        </w:rPr>
        <w:t>הן</w:t>
      </w:r>
      <w:r w:rsidRPr="00974030">
        <w:rPr>
          <w:rFonts w:asciiTheme="minorBidi" w:hAnsiTheme="minorBidi" w:cs="Arial"/>
          <w:rtl/>
        </w:rPr>
        <w:t xml:space="preserve"> </w:t>
      </w:r>
      <w:r w:rsidRPr="00974030">
        <w:rPr>
          <w:rFonts w:asciiTheme="minorBidi" w:hAnsiTheme="minorBidi" w:cs="Arial" w:hint="cs"/>
          <w:rtl/>
        </w:rPr>
        <w:t>שוים</w:t>
      </w:r>
      <w:r w:rsidRPr="00974030">
        <w:rPr>
          <w:rFonts w:asciiTheme="minorBidi" w:hAnsiTheme="minorBidi" w:cs="Arial"/>
          <w:rtl/>
        </w:rPr>
        <w:t xml:space="preserve"> </w:t>
      </w:r>
      <w:r w:rsidRPr="00974030">
        <w:rPr>
          <w:rFonts w:asciiTheme="minorBidi" w:hAnsiTheme="minorBidi" w:cs="Arial" w:hint="cs"/>
          <w:rtl/>
        </w:rPr>
        <w:t>לארץ</w:t>
      </w:r>
      <w:r w:rsidRPr="00974030">
        <w:rPr>
          <w:rFonts w:asciiTheme="minorBidi" w:hAnsiTheme="minorBidi" w:cs="Arial"/>
          <w:rtl/>
        </w:rPr>
        <w:t xml:space="preserve">, </w:t>
      </w: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לישב</w:t>
      </w:r>
      <w:r w:rsidRPr="00974030">
        <w:rPr>
          <w:rFonts w:asciiTheme="minorBidi" w:hAnsiTheme="minorBidi" w:cs="Arial"/>
          <w:rtl/>
        </w:rPr>
        <w:t xml:space="preserve"> </w:t>
      </w:r>
      <w:r w:rsidRPr="00974030">
        <w:rPr>
          <w:rFonts w:asciiTheme="minorBidi" w:hAnsiTheme="minorBidi" w:cs="Arial" w:hint="cs"/>
          <w:rtl/>
        </w:rPr>
        <w:t>אפי</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צד</w:t>
      </w:r>
      <w:r w:rsidRPr="00974030">
        <w:rPr>
          <w:rFonts w:asciiTheme="minorBidi" w:hAnsiTheme="minorBidi" w:cs="Arial"/>
          <w:rtl/>
        </w:rPr>
        <w:t xml:space="preserve"> </w:t>
      </w:r>
      <w:r w:rsidRPr="00974030">
        <w:rPr>
          <w:rFonts w:asciiTheme="minorBidi" w:hAnsiTheme="minorBidi" w:cs="Arial" w:hint="cs"/>
          <w:rtl/>
        </w:rPr>
        <w:t>השוה</w:t>
      </w:r>
      <w:r w:rsidRPr="00974030">
        <w:rPr>
          <w:rFonts w:asciiTheme="minorBidi" w:hAnsiTheme="minorBidi" w:cs="Arial"/>
          <w:rtl/>
        </w:rPr>
        <w:t xml:space="preserve"> </w:t>
      </w:r>
      <w:r w:rsidRPr="00974030">
        <w:rPr>
          <w:rFonts w:asciiTheme="minorBidi" w:hAnsiTheme="minorBidi" w:cs="Arial" w:hint="cs"/>
          <w:rtl/>
        </w:rPr>
        <w:t>לארץ</w:t>
      </w:r>
      <w:r w:rsidRPr="00974030">
        <w:rPr>
          <w:rFonts w:asciiTheme="minorBidi" w:hAnsiTheme="minorBidi" w:cs="Arial"/>
          <w:rtl/>
        </w:rPr>
        <w:t xml:space="preserve">. </w:t>
      </w:r>
    </w:p>
    <w:p w14:paraId="23E8B549"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ג</w:t>
      </w:r>
    </w:p>
    <w:p w14:paraId="317F7807"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לילך</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גבי</w:t>
      </w:r>
      <w:r w:rsidRPr="00974030">
        <w:rPr>
          <w:rFonts w:asciiTheme="minorBidi" w:hAnsiTheme="minorBidi" w:cs="Arial"/>
          <w:rtl/>
        </w:rPr>
        <w:t xml:space="preserve"> </w:t>
      </w:r>
      <w:r w:rsidRPr="00974030">
        <w:rPr>
          <w:rFonts w:asciiTheme="minorBidi" w:hAnsiTheme="minorBidi" w:cs="Arial" w:hint="cs"/>
          <w:rtl/>
        </w:rPr>
        <w:t>עשבים</w:t>
      </w:r>
      <w:r w:rsidRPr="00974030">
        <w:rPr>
          <w:rFonts w:asciiTheme="minorBidi" w:hAnsiTheme="minorBidi" w:cs="Arial"/>
          <w:rtl/>
        </w:rPr>
        <w:t xml:space="preserve">, </w:t>
      </w:r>
      <w:r w:rsidRPr="00974030">
        <w:rPr>
          <w:rFonts w:asciiTheme="minorBidi" w:hAnsiTheme="minorBidi" w:cs="Arial" w:hint="cs"/>
          <w:rtl/>
        </w:rPr>
        <w:t>בין</w:t>
      </w:r>
      <w:r w:rsidRPr="00974030">
        <w:rPr>
          <w:rFonts w:asciiTheme="minorBidi" w:hAnsiTheme="minorBidi" w:cs="Arial"/>
          <w:rtl/>
        </w:rPr>
        <w:t xml:space="preserve"> </w:t>
      </w:r>
      <w:r w:rsidRPr="00974030">
        <w:rPr>
          <w:rFonts w:asciiTheme="minorBidi" w:hAnsiTheme="minorBidi" w:cs="Arial" w:hint="cs"/>
          <w:rtl/>
        </w:rPr>
        <w:t>לחים</w:t>
      </w:r>
      <w:r w:rsidRPr="00974030">
        <w:rPr>
          <w:rFonts w:asciiTheme="minorBidi" w:hAnsiTheme="minorBidi" w:cs="Arial"/>
          <w:rtl/>
        </w:rPr>
        <w:t xml:space="preserve"> </w:t>
      </w:r>
      <w:r w:rsidRPr="00974030">
        <w:rPr>
          <w:rFonts w:asciiTheme="minorBidi" w:hAnsiTheme="minorBidi" w:cs="Arial" w:hint="cs"/>
          <w:rtl/>
        </w:rPr>
        <w:t>בין</w:t>
      </w:r>
      <w:r w:rsidRPr="00974030">
        <w:rPr>
          <w:rFonts w:asciiTheme="minorBidi" w:hAnsiTheme="minorBidi" w:cs="Arial"/>
          <w:rtl/>
        </w:rPr>
        <w:t xml:space="preserve"> </w:t>
      </w:r>
      <w:r w:rsidRPr="00974030">
        <w:rPr>
          <w:rFonts w:asciiTheme="minorBidi" w:hAnsiTheme="minorBidi" w:cs="Arial" w:hint="cs"/>
          <w:rtl/>
        </w:rPr>
        <w:t>יבשים</w:t>
      </w:r>
      <w:r w:rsidRPr="00974030">
        <w:rPr>
          <w:rFonts w:asciiTheme="minorBidi" w:hAnsiTheme="minorBidi" w:cs="Arial"/>
          <w:rtl/>
        </w:rPr>
        <w:t xml:space="preserve">, </w:t>
      </w:r>
      <w:r w:rsidRPr="00974030">
        <w:rPr>
          <w:rFonts w:asciiTheme="minorBidi" w:hAnsiTheme="minorBidi" w:cs="Arial" w:hint="cs"/>
          <w:rtl/>
        </w:rPr>
        <w:t>כיון</w:t>
      </w:r>
      <w:r w:rsidRPr="00974030">
        <w:rPr>
          <w:rFonts w:asciiTheme="minorBidi" w:hAnsiTheme="minorBidi" w:cs="Arial"/>
          <w:rtl/>
        </w:rPr>
        <w:t xml:space="preserve"> </w:t>
      </w:r>
      <w:r w:rsidRPr="00974030">
        <w:rPr>
          <w:rFonts w:asciiTheme="minorBidi" w:hAnsiTheme="minorBidi" w:cs="Arial" w:hint="cs"/>
          <w:rtl/>
        </w:rPr>
        <w:t>שאינו</w:t>
      </w:r>
      <w:r w:rsidRPr="00974030">
        <w:rPr>
          <w:rFonts w:asciiTheme="minorBidi" w:hAnsiTheme="minorBidi" w:cs="Arial"/>
          <w:rtl/>
        </w:rPr>
        <w:t xml:space="preserve"> </w:t>
      </w:r>
      <w:r w:rsidRPr="00974030">
        <w:rPr>
          <w:rFonts w:asciiTheme="minorBidi" w:hAnsiTheme="minorBidi" w:cs="Arial" w:hint="cs"/>
          <w:rtl/>
        </w:rPr>
        <w:t>מתכוין</w:t>
      </w:r>
      <w:r w:rsidRPr="00974030">
        <w:rPr>
          <w:rFonts w:asciiTheme="minorBidi" w:hAnsiTheme="minorBidi" w:cs="Arial"/>
          <w:rtl/>
        </w:rPr>
        <w:t xml:space="preserve"> </w:t>
      </w:r>
      <w:r w:rsidRPr="00974030">
        <w:rPr>
          <w:rFonts w:asciiTheme="minorBidi" w:hAnsiTheme="minorBidi" w:cs="Arial" w:hint="cs"/>
          <w:rtl/>
        </w:rPr>
        <w:t>לתלוש</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האוכלים</w:t>
      </w:r>
      <w:r w:rsidRPr="00974030">
        <w:rPr>
          <w:rFonts w:asciiTheme="minorBidi" w:hAnsiTheme="minorBidi" w:cs="Arial"/>
          <w:rtl/>
        </w:rPr>
        <w:t xml:space="preserve"> </w:t>
      </w:r>
      <w:r w:rsidRPr="00974030">
        <w:rPr>
          <w:rFonts w:asciiTheme="minorBidi" w:hAnsiTheme="minorBidi" w:cs="Arial" w:hint="cs"/>
          <w:rtl/>
        </w:rPr>
        <w:t>בגנות</w:t>
      </w:r>
      <w:r w:rsidRPr="00974030">
        <w:rPr>
          <w:rFonts w:asciiTheme="minorBidi" w:hAnsiTheme="minorBidi" w:cs="Arial"/>
          <w:rtl/>
        </w:rPr>
        <w:t xml:space="preserve">, </w:t>
      </w:r>
      <w:r w:rsidRPr="00974030">
        <w:rPr>
          <w:rFonts w:asciiTheme="minorBidi" w:hAnsiTheme="minorBidi" w:cs="Arial" w:hint="cs"/>
          <w:rtl/>
        </w:rPr>
        <w:t>אסורים</w:t>
      </w:r>
      <w:r w:rsidRPr="00974030">
        <w:rPr>
          <w:rFonts w:asciiTheme="minorBidi" w:hAnsiTheme="minorBidi" w:cs="Arial"/>
          <w:rtl/>
        </w:rPr>
        <w:t xml:space="preserve"> </w:t>
      </w:r>
      <w:r w:rsidRPr="00974030">
        <w:rPr>
          <w:rFonts w:asciiTheme="minorBidi" w:hAnsiTheme="minorBidi" w:cs="Arial" w:hint="cs"/>
          <w:rtl/>
        </w:rPr>
        <w:t>ליטול</w:t>
      </w:r>
      <w:r w:rsidRPr="00974030">
        <w:rPr>
          <w:rFonts w:asciiTheme="minorBidi" w:hAnsiTheme="minorBidi" w:cs="Arial"/>
          <w:rtl/>
        </w:rPr>
        <w:t xml:space="preserve"> </w:t>
      </w:r>
      <w:r w:rsidRPr="00974030">
        <w:rPr>
          <w:rFonts w:asciiTheme="minorBidi" w:hAnsiTheme="minorBidi" w:cs="Arial" w:hint="cs"/>
          <w:rtl/>
        </w:rPr>
        <w:t>ידיהם</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העשבים</w:t>
      </w:r>
      <w:r w:rsidRPr="00974030">
        <w:rPr>
          <w:rFonts w:asciiTheme="minorBidi" w:hAnsiTheme="minorBidi" w:cs="Arial"/>
          <w:rtl/>
        </w:rPr>
        <w:t xml:space="preserve"> </w:t>
      </w:r>
      <w:r w:rsidRPr="00974030">
        <w:rPr>
          <w:rFonts w:asciiTheme="minorBidi" w:hAnsiTheme="minorBidi" w:cs="Arial" w:hint="cs"/>
          <w:rtl/>
        </w:rPr>
        <w:t>שמשקים</w:t>
      </w:r>
      <w:r w:rsidRPr="00974030">
        <w:rPr>
          <w:rFonts w:asciiTheme="minorBidi" w:hAnsiTheme="minorBidi" w:cs="Arial"/>
          <w:rtl/>
        </w:rPr>
        <w:t xml:space="preserve"> </w:t>
      </w:r>
      <w:r w:rsidRPr="00974030">
        <w:rPr>
          <w:rFonts w:asciiTheme="minorBidi" w:hAnsiTheme="minorBidi" w:cs="Arial" w:hint="cs"/>
          <w:rtl/>
        </w:rPr>
        <w:t>אותם</w:t>
      </w:r>
      <w:r w:rsidRPr="00974030">
        <w:rPr>
          <w:rFonts w:asciiTheme="minorBidi" w:hAnsiTheme="minorBidi" w:cs="Arial"/>
          <w:rtl/>
        </w:rPr>
        <w:t xml:space="preserve">, </w:t>
      </w:r>
      <w:r w:rsidRPr="00974030">
        <w:rPr>
          <w:rFonts w:asciiTheme="minorBidi" w:hAnsiTheme="minorBidi" w:cs="Arial" w:hint="cs"/>
          <w:rtl/>
        </w:rPr>
        <w:t>אף</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פי</w:t>
      </w:r>
      <w:r w:rsidRPr="00974030">
        <w:rPr>
          <w:rFonts w:asciiTheme="minorBidi" w:hAnsiTheme="minorBidi" w:cs="Arial"/>
          <w:rtl/>
        </w:rPr>
        <w:t xml:space="preserve"> </w:t>
      </w:r>
      <w:r w:rsidRPr="00974030">
        <w:rPr>
          <w:rFonts w:asciiTheme="minorBidi" w:hAnsiTheme="minorBidi" w:cs="Arial" w:hint="cs"/>
          <w:rtl/>
        </w:rPr>
        <w:t>שאינם</w:t>
      </w:r>
      <w:r w:rsidRPr="00974030">
        <w:rPr>
          <w:rFonts w:asciiTheme="minorBidi" w:hAnsiTheme="minorBidi" w:cs="Arial"/>
          <w:rtl/>
        </w:rPr>
        <w:t xml:space="preserve"> </w:t>
      </w:r>
      <w:r w:rsidRPr="00974030">
        <w:rPr>
          <w:rFonts w:asciiTheme="minorBidi" w:hAnsiTheme="minorBidi" w:cs="Arial" w:hint="cs"/>
          <w:rtl/>
        </w:rPr>
        <w:t>מכוונים</w:t>
      </w:r>
      <w:r w:rsidRPr="00974030">
        <w:rPr>
          <w:rFonts w:asciiTheme="minorBidi" w:hAnsiTheme="minorBidi" w:cs="Arial"/>
          <w:rtl/>
        </w:rPr>
        <w:t xml:space="preserve">, </w:t>
      </w:r>
      <w:r w:rsidRPr="00974030">
        <w:rPr>
          <w:rFonts w:asciiTheme="minorBidi" w:hAnsiTheme="minorBidi" w:cs="Arial" w:hint="cs"/>
          <w:rtl/>
        </w:rPr>
        <w:t>פסיק</w:t>
      </w:r>
      <w:r w:rsidRPr="00974030">
        <w:rPr>
          <w:rFonts w:asciiTheme="minorBidi" w:hAnsiTheme="minorBidi" w:cs="Arial"/>
          <w:rtl/>
        </w:rPr>
        <w:t xml:space="preserve"> </w:t>
      </w:r>
      <w:r w:rsidRPr="00974030">
        <w:rPr>
          <w:rFonts w:asciiTheme="minorBidi" w:hAnsiTheme="minorBidi" w:cs="Arial" w:hint="cs"/>
          <w:rtl/>
        </w:rPr>
        <w:t>רישיה</w:t>
      </w:r>
      <w:r w:rsidRPr="00974030">
        <w:rPr>
          <w:rFonts w:asciiTheme="minorBidi" w:hAnsiTheme="minorBidi" w:cs="Arial"/>
          <w:rtl/>
        </w:rPr>
        <w:t xml:space="preserve"> </w:t>
      </w:r>
      <w:r w:rsidRPr="00974030">
        <w:rPr>
          <w:rFonts w:asciiTheme="minorBidi" w:hAnsiTheme="minorBidi" w:cs="Arial" w:hint="cs"/>
          <w:rtl/>
        </w:rPr>
        <w:t>הוא</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להטיל</w:t>
      </w:r>
      <w:r w:rsidRPr="00974030">
        <w:rPr>
          <w:rFonts w:asciiTheme="minorBidi" w:hAnsiTheme="minorBidi" w:cs="Arial"/>
          <w:rtl/>
        </w:rPr>
        <w:t xml:space="preserve"> </w:t>
      </w:r>
      <w:r w:rsidRPr="00974030">
        <w:rPr>
          <w:rFonts w:asciiTheme="minorBidi" w:hAnsiTheme="minorBidi" w:cs="Arial" w:hint="cs"/>
          <w:rtl/>
        </w:rPr>
        <w:t>בהם</w:t>
      </w:r>
      <w:r w:rsidRPr="00974030">
        <w:rPr>
          <w:rFonts w:asciiTheme="minorBidi" w:hAnsiTheme="minorBidi" w:cs="Arial"/>
          <w:rtl/>
        </w:rPr>
        <w:t xml:space="preserve"> </w:t>
      </w:r>
      <w:r w:rsidRPr="00974030">
        <w:rPr>
          <w:rFonts w:asciiTheme="minorBidi" w:hAnsiTheme="minorBidi" w:cs="Arial" w:hint="cs"/>
          <w:rtl/>
        </w:rPr>
        <w:t>מי</w:t>
      </w:r>
      <w:r w:rsidRPr="00974030">
        <w:rPr>
          <w:rFonts w:asciiTheme="minorBidi" w:hAnsiTheme="minorBidi" w:cs="Arial"/>
          <w:rtl/>
        </w:rPr>
        <w:t xml:space="preserve"> </w:t>
      </w:r>
      <w:r w:rsidRPr="00974030">
        <w:rPr>
          <w:rFonts w:asciiTheme="minorBidi" w:hAnsiTheme="minorBidi" w:cs="Arial" w:hint="cs"/>
          <w:rtl/>
        </w:rPr>
        <w:t>רגלים</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שאר</w:t>
      </w:r>
      <w:r w:rsidRPr="00974030">
        <w:rPr>
          <w:rFonts w:asciiTheme="minorBidi" w:hAnsiTheme="minorBidi" w:cs="Arial"/>
          <w:rtl/>
        </w:rPr>
        <w:t xml:space="preserve"> </w:t>
      </w:r>
      <w:r w:rsidRPr="00974030">
        <w:rPr>
          <w:rFonts w:asciiTheme="minorBidi" w:hAnsiTheme="minorBidi" w:cs="Arial" w:hint="cs"/>
          <w:rtl/>
        </w:rPr>
        <w:t>משקין</w:t>
      </w:r>
      <w:r w:rsidRPr="00974030">
        <w:rPr>
          <w:rFonts w:asciiTheme="minorBidi" w:hAnsiTheme="minorBidi" w:cs="Arial"/>
          <w:rtl/>
        </w:rPr>
        <w:t xml:space="preserve"> </w:t>
      </w:r>
      <w:r w:rsidRPr="00974030">
        <w:rPr>
          <w:rFonts w:asciiTheme="minorBidi" w:hAnsiTheme="minorBidi" w:cs="Arial" w:hint="cs"/>
          <w:rtl/>
        </w:rPr>
        <w:t>שאינם</w:t>
      </w:r>
      <w:r w:rsidRPr="00974030">
        <w:rPr>
          <w:rFonts w:asciiTheme="minorBidi" w:hAnsiTheme="minorBidi" w:cs="Arial"/>
          <w:rtl/>
        </w:rPr>
        <w:t xml:space="preserve"> </w:t>
      </w:r>
      <w:r w:rsidRPr="00974030">
        <w:rPr>
          <w:rFonts w:asciiTheme="minorBidi" w:hAnsiTheme="minorBidi" w:cs="Arial" w:hint="cs"/>
          <w:rtl/>
        </w:rPr>
        <w:t>מצמיחין</w:t>
      </w:r>
      <w:r w:rsidRPr="00974030">
        <w:rPr>
          <w:rFonts w:asciiTheme="minorBidi" w:hAnsiTheme="minorBidi" w:cs="Arial"/>
          <w:rtl/>
        </w:rPr>
        <w:t xml:space="preserve">. </w:t>
      </w:r>
      <w:r w:rsidRPr="00974030">
        <w:rPr>
          <w:rFonts w:asciiTheme="minorBidi" w:hAnsiTheme="minorBidi" w:cs="Arial" w:hint="cs"/>
          <w:rtl/>
        </w:rPr>
        <w:t>הגה</w:t>
      </w:r>
      <w:r w:rsidRPr="00974030">
        <w:rPr>
          <w:rFonts w:asciiTheme="minorBidi" w:hAnsiTheme="minorBidi" w:cs="Arial"/>
          <w:rtl/>
        </w:rPr>
        <w:t xml:space="preserve">: </w:t>
      </w:r>
      <w:r w:rsidRPr="00974030">
        <w:rPr>
          <w:rFonts w:asciiTheme="minorBidi" w:hAnsiTheme="minorBidi" w:cs="Arial" w:hint="cs"/>
          <w:rtl/>
        </w:rPr>
        <w:t>ולכן</w:t>
      </w:r>
      <w:r w:rsidRPr="00974030">
        <w:rPr>
          <w:rFonts w:asciiTheme="minorBidi" w:hAnsiTheme="minorBidi" w:cs="Arial"/>
          <w:rtl/>
        </w:rPr>
        <w:t xml:space="preserve"> </w:t>
      </w:r>
      <w:r w:rsidRPr="00974030">
        <w:rPr>
          <w:rFonts w:asciiTheme="minorBidi" w:hAnsiTheme="minorBidi" w:cs="Arial" w:hint="cs"/>
          <w:rtl/>
        </w:rPr>
        <w:t>טוב</w:t>
      </w:r>
      <w:r w:rsidRPr="00974030">
        <w:rPr>
          <w:rFonts w:asciiTheme="minorBidi" w:hAnsiTheme="minorBidi" w:cs="Arial"/>
          <w:rtl/>
        </w:rPr>
        <w:t xml:space="preserve"> </w:t>
      </w:r>
      <w:r w:rsidRPr="00974030">
        <w:rPr>
          <w:rFonts w:asciiTheme="minorBidi" w:hAnsiTheme="minorBidi" w:cs="Arial" w:hint="cs"/>
          <w:rtl/>
        </w:rPr>
        <w:t>להחמיר</w:t>
      </w:r>
      <w:r w:rsidRPr="00974030">
        <w:rPr>
          <w:rFonts w:asciiTheme="minorBidi" w:hAnsiTheme="minorBidi" w:cs="Arial"/>
          <w:rtl/>
        </w:rPr>
        <w:t xml:space="preserve"> </w:t>
      </w:r>
      <w:r w:rsidRPr="00974030">
        <w:rPr>
          <w:rFonts w:asciiTheme="minorBidi" w:hAnsiTheme="minorBidi" w:cs="Arial" w:hint="cs"/>
          <w:rtl/>
        </w:rPr>
        <w:t>שלא</w:t>
      </w:r>
      <w:r w:rsidRPr="00974030">
        <w:rPr>
          <w:rFonts w:asciiTheme="minorBidi" w:hAnsiTheme="minorBidi" w:cs="Arial"/>
          <w:rtl/>
        </w:rPr>
        <w:t xml:space="preserve"> </w:t>
      </w:r>
      <w:r w:rsidRPr="00974030">
        <w:rPr>
          <w:rFonts w:asciiTheme="minorBidi" w:hAnsiTheme="minorBidi" w:cs="Arial" w:hint="cs"/>
          <w:rtl/>
        </w:rPr>
        <w:t>לאכול</w:t>
      </w:r>
      <w:r w:rsidRPr="00974030">
        <w:rPr>
          <w:rFonts w:asciiTheme="minorBidi" w:hAnsiTheme="minorBidi" w:cs="Arial"/>
          <w:rtl/>
        </w:rPr>
        <w:t xml:space="preserve"> </w:t>
      </w:r>
      <w:r w:rsidRPr="00974030">
        <w:rPr>
          <w:rFonts w:asciiTheme="minorBidi" w:hAnsiTheme="minorBidi" w:cs="Arial" w:hint="cs"/>
          <w:rtl/>
        </w:rPr>
        <w:t>בגנות</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ישתמש</w:t>
      </w:r>
      <w:r w:rsidRPr="00974030">
        <w:rPr>
          <w:rFonts w:asciiTheme="minorBidi" w:hAnsiTheme="minorBidi" w:cs="Arial"/>
          <w:rtl/>
        </w:rPr>
        <w:t xml:space="preserve"> </w:t>
      </w:r>
      <w:r w:rsidRPr="00974030">
        <w:rPr>
          <w:rFonts w:asciiTheme="minorBidi" w:hAnsiTheme="minorBidi" w:cs="Arial" w:hint="cs"/>
          <w:rtl/>
        </w:rPr>
        <w:t>שם</w:t>
      </w:r>
      <w:r w:rsidRPr="00974030">
        <w:rPr>
          <w:rFonts w:asciiTheme="minorBidi" w:hAnsiTheme="minorBidi" w:cs="Arial"/>
          <w:rtl/>
        </w:rPr>
        <w:t xml:space="preserve"> </w:t>
      </w:r>
      <w:r w:rsidRPr="00974030">
        <w:rPr>
          <w:rFonts w:asciiTheme="minorBidi" w:hAnsiTheme="minorBidi" w:cs="Arial" w:hint="cs"/>
          <w:rtl/>
        </w:rPr>
        <w:t>עם</w:t>
      </w:r>
      <w:r w:rsidRPr="00974030">
        <w:rPr>
          <w:rFonts w:asciiTheme="minorBidi" w:hAnsiTheme="minorBidi" w:cs="Arial"/>
          <w:rtl/>
        </w:rPr>
        <w:t xml:space="preserve"> </w:t>
      </w:r>
      <w:r w:rsidRPr="00974030">
        <w:rPr>
          <w:rFonts w:asciiTheme="minorBidi" w:hAnsiTheme="minorBidi" w:cs="Arial" w:hint="cs"/>
          <w:rtl/>
        </w:rPr>
        <w:t>מים</w:t>
      </w:r>
      <w:r w:rsidRPr="00974030">
        <w:rPr>
          <w:rFonts w:asciiTheme="minorBidi" w:hAnsiTheme="minorBidi" w:cs="Arial"/>
          <w:rtl/>
        </w:rPr>
        <w:t xml:space="preserve">, </w:t>
      </w:r>
      <w:r w:rsidRPr="00974030">
        <w:rPr>
          <w:rFonts w:asciiTheme="minorBidi" w:hAnsiTheme="minorBidi" w:cs="Arial" w:hint="cs"/>
          <w:rtl/>
        </w:rPr>
        <w:t>דבקושי</w:t>
      </w:r>
      <w:r w:rsidRPr="00974030">
        <w:rPr>
          <w:rFonts w:asciiTheme="minorBidi" w:hAnsiTheme="minorBidi" w:cs="Arial"/>
          <w:rtl/>
        </w:rPr>
        <w:t xml:space="preserve"> </w:t>
      </w:r>
      <w:r w:rsidRPr="00974030">
        <w:rPr>
          <w:rFonts w:asciiTheme="minorBidi" w:hAnsiTheme="minorBidi" w:cs="Arial" w:hint="cs"/>
          <w:rtl/>
        </w:rPr>
        <w:t>יש</w:t>
      </w:r>
      <w:r w:rsidRPr="00974030">
        <w:rPr>
          <w:rFonts w:asciiTheme="minorBidi" w:hAnsiTheme="minorBidi" w:cs="Arial"/>
          <w:rtl/>
        </w:rPr>
        <w:t xml:space="preserve"> </w:t>
      </w:r>
      <w:r w:rsidRPr="00974030">
        <w:rPr>
          <w:rFonts w:asciiTheme="minorBidi" w:hAnsiTheme="minorBidi" w:cs="Arial" w:hint="cs"/>
          <w:rtl/>
        </w:rPr>
        <w:t>ליזהר</w:t>
      </w:r>
      <w:r w:rsidRPr="00974030">
        <w:rPr>
          <w:rFonts w:asciiTheme="minorBidi" w:hAnsiTheme="minorBidi" w:cs="Arial"/>
          <w:rtl/>
        </w:rPr>
        <w:t xml:space="preserve"> </w:t>
      </w:r>
      <w:r w:rsidRPr="00974030">
        <w:rPr>
          <w:rFonts w:asciiTheme="minorBidi" w:hAnsiTheme="minorBidi" w:cs="Arial" w:hint="cs"/>
          <w:rtl/>
        </w:rPr>
        <w:t>שלא</w:t>
      </w:r>
      <w:r w:rsidRPr="00974030">
        <w:rPr>
          <w:rFonts w:asciiTheme="minorBidi" w:hAnsiTheme="minorBidi" w:cs="Arial"/>
          <w:rtl/>
        </w:rPr>
        <w:t xml:space="preserve"> </w:t>
      </w:r>
      <w:r w:rsidRPr="00974030">
        <w:rPr>
          <w:rFonts w:asciiTheme="minorBidi" w:hAnsiTheme="minorBidi" w:cs="Arial" w:hint="cs"/>
          <w:rtl/>
        </w:rPr>
        <w:t>יפלו</w:t>
      </w:r>
      <w:r w:rsidRPr="00974030">
        <w:rPr>
          <w:rFonts w:asciiTheme="minorBidi" w:hAnsiTheme="minorBidi" w:cs="Arial"/>
          <w:rtl/>
        </w:rPr>
        <w:t xml:space="preserve"> </w:t>
      </w:r>
      <w:r w:rsidRPr="00974030">
        <w:rPr>
          <w:rFonts w:asciiTheme="minorBidi" w:hAnsiTheme="minorBidi" w:cs="Arial" w:hint="cs"/>
          <w:rtl/>
        </w:rPr>
        <w:t>שם</w:t>
      </w:r>
      <w:r w:rsidRPr="00974030">
        <w:rPr>
          <w:rFonts w:asciiTheme="minorBidi" w:hAnsiTheme="minorBidi" w:cs="Arial"/>
          <w:rtl/>
        </w:rPr>
        <w:t xml:space="preserve"> </w:t>
      </w:r>
      <w:r w:rsidRPr="00974030">
        <w:rPr>
          <w:rFonts w:asciiTheme="minorBidi" w:hAnsiTheme="minorBidi" w:cs="Arial" w:hint="cs"/>
          <w:rtl/>
        </w:rPr>
        <w:t>מים</w:t>
      </w:r>
      <w:r w:rsidRPr="00974030">
        <w:rPr>
          <w:rFonts w:asciiTheme="minorBidi" w:hAnsiTheme="minorBidi" w:cs="Arial"/>
          <w:rtl/>
        </w:rPr>
        <w:t xml:space="preserve"> (</w:t>
      </w:r>
      <w:r w:rsidRPr="00974030">
        <w:rPr>
          <w:rFonts w:asciiTheme="minorBidi" w:hAnsiTheme="minorBidi" w:cs="Arial" w:hint="cs"/>
          <w:rtl/>
        </w:rPr>
        <w:t>ב</w:t>
      </w:r>
      <w:r w:rsidRPr="00974030">
        <w:rPr>
          <w:rFonts w:asciiTheme="minorBidi" w:hAnsiTheme="minorBidi" w:cs="Arial"/>
          <w:rtl/>
        </w:rPr>
        <w:t>"</w:t>
      </w:r>
      <w:r w:rsidRPr="00974030">
        <w:rPr>
          <w:rFonts w:asciiTheme="minorBidi" w:hAnsiTheme="minorBidi" w:cs="Arial" w:hint="cs"/>
          <w:rtl/>
        </w:rPr>
        <w:t>י</w:t>
      </w:r>
      <w:r w:rsidRPr="00974030">
        <w:rPr>
          <w:rFonts w:asciiTheme="minorBidi" w:hAnsiTheme="minorBidi" w:cs="Arial"/>
          <w:rtl/>
        </w:rPr>
        <w:t xml:space="preserve"> </w:t>
      </w:r>
      <w:r w:rsidRPr="00974030">
        <w:rPr>
          <w:rFonts w:asciiTheme="minorBidi" w:hAnsiTheme="minorBidi" w:cs="Arial" w:hint="cs"/>
          <w:rtl/>
        </w:rPr>
        <w:t>בשם</w:t>
      </w:r>
      <w:r w:rsidRPr="00974030">
        <w:rPr>
          <w:rFonts w:asciiTheme="minorBidi" w:hAnsiTheme="minorBidi" w:cs="Arial"/>
          <w:rtl/>
        </w:rPr>
        <w:t xml:space="preserve"> </w:t>
      </w:r>
      <w:r w:rsidRPr="00974030">
        <w:rPr>
          <w:rFonts w:asciiTheme="minorBidi" w:hAnsiTheme="minorBidi" w:cs="Arial" w:hint="cs"/>
          <w:rtl/>
        </w:rPr>
        <w:t>סה</w:t>
      </w:r>
      <w:r w:rsidRPr="00974030">
        <w:rPr>
          <w:rFonts w:asciiTheme="minorBidi" w:hAnsiTheme="minorBidi" w:cs="Arial"/>
          <w:rtl/>
        </w:rPr>
        <w:t>"</w:t>
      </w:r>
      <w:r w:rsidRPr="00974030">
        <w:rPr>
          <w:rFonts w:asciiTheme="minorBidi" w:hAnsiTheme="minorBidi" w:cs="Arial" w:hint="cs"/>
          <w:rtl/>
        </w:rPr>
        <w:t>ת</w:t>
      </w:r>
      <w:r w:rsidRPr="00974030">
        <w:rPr>
          <w:rFonts w:asciiTheme="minorBidi" w:hAnsiTheme="minorBidi" w:cs="Arial"/>
          <w:rtl/>
        </w:rPr>
        <w:t xml:space="preserve">). </w:t>
      </w:r>
    </w:p>
    <w:p w14:paraId="022C7B77"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ד</w:t>
      </w:r>
    </w:p>
    <w:p w14:paraId="7F892C50"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יש</w:t>
      </w:r>
      <w:r w:rsidRPr="00974030">
        <w:rPr>
          <w:rFonts w:asciiTheme="minorBidi" w:hAnsiTheme="minorBidi" w:cs="Arial"/>
          <w:rtl/>
        </w:rPr>
        <w:t xml:space="preserve"> </w:t>
      </w:r>
      <w:r w:rsidRPr="00974030">
        <w:rPr>
          <w:rFonts w:asciiTheme="minorBidi" w:hAnsiTheme="minorBidi" w:cs="Arial" w:hint="cs"/>
          <w:rtl/>
        </w:rPr>
        <w:t>ליזהר</w:t>
      </w:r>
      <w:r w:rsidRPr="00974030">
        <w:rPr>
          <w:rFonts w:asciiTheme="minorBidi" w:hAnsiTheme="minorBidi" w:cs="Arial"/>
          <w:rtl/>
        </w:rPr>
        <w:t xml:space="preserve"> </w:t>
      </w:r>
      <w:r w:rsidRPr="00974030">
        <w:rPr>
          <w:rFonts w:asciiTheme="minorBidi" w:hAnsiTheme="minorBidi" w:cs="Arial" w:hint="cs"/>
          <w:rtl/>
        </w:rPr>
        <w:t>מלהשליך</w:t>
      </w:r>
      <w:r w:rsidRPr="00974030">
        <w:rPr>
          <w:rFonts w:asciiTheme="minorBidi" w:hAnsiTheme="minorBidi" w:cs="Arial"/>
          <w:rtl/>
        </w:rPr>
        <w:t xml:space="preserve"> </w:t>
      </w:r>
      <w:r w:rsidRPr="00974030">
        <w:rPr>
          <w:rFonts w:asciiTheme="minorBidi" w:hAnsiTheme="minorBidi" w:cs="Arial" w:hint="cs"/>
          <w:rtl/>
        </w:rPr>
        <w:t>זרעים</w:t>
      </w:r>
      <w:r w:rsidRPr="00974030">
        <w:rPr>
          <w:rFonts w:asciiTheme="minorBidi" w:hAnsiTheme="minorBidi" w:cs="Arial"/>
          <w:rtl/>
        </w:rPr>
        <w:t xml:space="preserve"> </w:t>
      </w:r>
      <w:r w:rsidRPr="00974030">
        <w:rPr>
          <w:rFonts w:asciiTheme="minorBidi" w:hAnsiTheme="minorBidi" w:cs="Arial" w:hint="cs"/>
          <w:rtl/>
        </w:rPr>
        <w:t>במקום</w:t>
      </w:r>
      <w:r w:rsidRPr="00974030">
        <w:rPr>
          <w:rFonts w:asciiTheme="minorBidi" w:hAnsiTheme="minorBidi" w:cs="Arial"/>
          <w:rtl/>
        </w:rPr>
        <w:t xml:space="preserve"> </w:t>
      </w:r>
      <w:r w:rsidRPr="00974030">
        <w:rPr>
          <w:rFonts w:asciiTheme="minorBidi" w:hAnsiTheme="minorBidi" w:cs="Arial" w:hint="cs"/>
          <w:rtl/>
        </w:rPr>
        <w:t>ירידת</w:t>
      </w:r>
      <w:r w:rsidRPr="00974030">
        <w:rPr>
          <w:rFonts w:asciiTheme="minorBidi" w:hAnsiTheme="minorBidi" w:cs="Arial"/>
          <w:rtl/>
        </w:rPr>
        <w:t xml:space="preserve"> </w:t>
      </w:r>
      <w:r w:rsidRPr="00974030">
        <w:rPr>
          <w:rFonts w:asciiTheme="minorBidi" w:hAnsiTheme="minorBidi" w:cs="Arial" w:hint="cs"/>
          <w:rtl/>
        </w:rPr>
        <w:t>גשמים</w:t>
      </w:r>
      <w:r w:rsidRPr="00974030">
        <w:rPr>
          <w:rFonts w:asciiTheme="minorBidi" w:hAnsiTheme="minorBidi" w:cs="Arial"/>
          <w:rtl/>
        </w:rPr>
        <w:t xml:space="preserve">, </w:t>
      </w:r>
      <w:r w:rsidRPr="00974030">
        <w:rPr>
          <w:rFonts w:asciiTheme="minorBidi" w:hAnsiTheme="minorBidi" w:cs="Arial" w:hint="cs"/>
          <w:rtl/>
        </w:rPr>
        <w:t>שסופן</w:t>
      </w:r>
      <w:r w:rsidRPr="00974030">
        <w:rPr>
          <w:rFonts w:asciiTheme="minorBidi" w:hAnsiTheme="minorBidi" w:cs="Arial"/>
          <w:rtl/>
        </w:rPr>
        <w:t xml:space="preserve"> </w:t>
      </w:r>
      <w:r w:rsidRPr="00974030">
        <w:rPr>
          <w:rFonts w:asciiTheme="minorBidi" w:hAnsiTheme="minorBidi" w:cs="Arial" w:hint="cs"/>
          <w:rtl/>
        </w:rPr>
        <w:t>להצמיח</w:t>
      </w:r>
      <w:r w:rsidRPr="00974030">
        <w:rPr>
          <w:rFonts w:asciiTheme="minorBidi" w:hAnsiTheme="minorBidi" w:cs="Arial"/>
          <w:rtl/>
        </w:rPr>
        <w:t xml:space="preserve">; </w:t>
      </w:r>
      <w:r w:rsidRPr="00974030">
        <w:rPr>
          <w:rFonts w:asciiTheme="minorBidi" w:hAnsiTheme="minorBidi" w:cs="Arial" w:hint="cs"/>
          <w:rtl/>
        </w:rPr>
        <w:t>ואם</w:t>
      </w:r>
      <w:r w:rsidRPr="00974030">
        <w:rPr>
          <w:rFonts w:asciiTheme="minorBidi" w:hAnsiTheme="minorBidi" w:cs="Arial"/>
          <w:rtl/>
        </w:rPr>
        <w:t xml:space="preserve"> </w:t>
      </w:r>
      <w:r w:rsidRPr="00974030">
        <w:rPr>
          <w:rFonts w:asciiTheme="minorBidi" w:hAnsiTheme="minorBidi" w:cs="Arial" w:hint="cs"/>
          <w:rtl/>
        </w:rPr>
        <w:t>ישליך</w:t>
      </w:r>
      <w:r w:rsidRPr="00974030">
        <w:rPr>
          <w:rFonts w:asciiTheme="minorBidi" w:hAnsiTheme="minorBidi" w:cs="Arial"/>
          <w:rtl/>
        </w:rPr>
        <w:t xml:space="preserve"> </w:t>
      </w:r>
      <w:r w:rsidRPr="00974030">
        <w:rPr>
          <w:rFonts w:asciiTheme="minorBidi" w:hAnsiTheme="minorBidi" w:cs="Arial" w:hint="cs"/>
          <w:rtl/>
        </w:rPr>
        <w:t>לתרנגולים</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ישליך</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כשיעור</w:t>
      </w:r>
      <w:r w:rsidRPr="00974030">
        <w:rPr>
          <w:rFonts w:asciiTheme="minorBidi" w:hAnsiTheme="minorBidi" w:cs="Arial"/>
          <w:rtl/>
        </w:rPr>
        <w:t xml:space="preserve"> </w:t>
      </w:r>
      <w:r w:rsidRPr="00974030">
        <w:rPr>
          <w:rFonts w:asciiTheme="minorBidi" w:hAnsiTheme="minorBidi" w:cs="Arial" w:hint="cs"/>
          <w:rtl/>
        </w:rPr>
        <w:t>שיאכלו</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ביום</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ליומים</w:t>
      </w:r>
      <w:r w:rsidRPr="00974030">
        <w:rPr>
          <w:rFonts w:asciiTheme="minorBidi" w:hAnsiTheme="minorBidi" w:cs="Arial"/>
          <w:rtl/>
        </w:rPr>
        <w:t xml:space="preserve">; </w:t>
      </w:r>
      <w:r w:rsidRPr="00974030">
        <w:rPr>
          <w:rFonts w:asciiTheme="minorBidi" w:hAnsiTheme="minorBidi" w:cs="Arial" w:hint="cs"/>
          <w:rtl/>
        </w:rPr>
        <w:t>ואם</w:t>
      </w:r>
      <w:r w:rsidRPr="00974030">
        <w:rPr>
          <w:rFonts w:asciiTheme="minorBidi" w:hAnsiTheme="minorBidi" w:cs="Arial"/>
          <w:rtl/>
        </w:rPr>
        <w:t xml:space="preserve"> </w:t>
      </w:r>
      <w:r w:rsidRPr="00974030">
        <w:rPr>
          <w:rFonts w:asciiTheme="minorBidi" w:hAnsiTheme="minorBidi" w:cs="Arial" w:hint="cs"/>
          <w:rtl/>
        </w:rPr>
        <w:t>הוא</w:t>
      </w:r>
      <w:r w:rsidRPr="00974030">
        <w:rPr>
          <w:rFonts w:asciiTheme="minorBidi" w:hAnsiTheme="minorBidi" w:cs="Arial"/>
          <w:rtl/>
        </w:rPr>
        <w:t xml:space="preserve"> </w:t>
      </w:r>
      <w:r w:rsidRPr="00974030">
        <w:rPr>
          <w:rFonts w:asciiTheme="minorBidi" w:hAnsiTheme="minorBidi" w:cs="Arial" w:hint="cs"/>
          <w:rtl/>
        </w:rPr>
        <w:t>במקום</w:t>
      </w:r>
      <w:r w:rsidRPr="00974030">
        <w:rPr>
          <w:rFonts w:asciiTheme="minorBidi" w:hAnsiTheme="minorBidi" w:cs="Arial"/>
          <w:rtl/>
        </w:rPr>
        <w:t xml:space="preserve"> </w:t>
      </w:r>
      <w:r w:rsidRPr="00974030">
        <w:rPr>
          <w:rFonts w:asciiTheme="minorBidi" w:hAnsiTheme="minorBidi" w:cs="Arial" w:hint="cs"/>
          <w:rtl/>
        </w:rPr>
        <w:t>דריסת</w:t>
      </w:r>
      <w:r w:rsidRPr="00974030">
        <w:rPr>
          <w:rFonts w:asciiTheme="minorBidi" w:hAnsiTheme="minorBidi" w:cs="Arial"/>
          <w:rtl/>
        </w:rPr>
        <w:t xml:space="preserve"> </w:t>
      </w:r>
      <w:r w:rsidRPr="00974030">
        <w:rPr>
          <w:rFonts w:asciiTheme="minorBidi" w:hAnsiTheme="minorBidi" w:cs="Arial" w:hint="cs"/>
          <w:rtl/>
        </w:rPr>
        <w:t>רגלי</w:t>
      </w:r>
      <w:r w:rsidRPr="00974030">
        <w:rPr>
          <w:rFonts w:asciiTheme="minorBidi" w:hAnsiTheme="minorBidi" w:cs="Arial"/>
          <w:rtl/>
        </w:rPr>
        <w:t xml:space="preserve"> </w:t>
      </w:r>
      <w:r w:rsidRPr="00974030">
        <w:rPr>
          <w:rFonts w:asciiTheme="minorBidi" w:hAnsiTheme="minorBidi" w:cs="Arial" w:hint="cs"/>
          <w:rtl/>
        </w:rPr>
        <w:t>אדם</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שאין</w:t>
      </w:r>
      <w:r w:rsidRPr="00974030">
        <w:rPr>
          <w:rFonts w:asciiTheme="minorBidi" w:hAnsiTheme="minorBidi" w:cs="Arial"/>
          <w:rtl/>
        </w:rPr>
        <w:t xml:space="preserve"> </w:t>
      </w:r>
      <w:r w:rsidRPr="00974030">
        <w:rPr>
          <w:rFonts w:asciiTheme="minorBidi" w:hAnsiTheme="minorBidi" w:cs="Arial" w:hint="cs"/>
          <w:rtl/>
        </w:rPr>
        <w:t>סופו</w:t>
      </w:r>
      <w:r w:rsidRPr="00974030">
        <w:rPr>
          <w:rFonts w:asciiTheme="minorBidi" w:hAnsiTheme="minorBidi" w:cs="Arial"/>
          <w:rtl/>
        </w:rPr>
        <w:t xml:space="preserve"> </w:t>
      </w:r>
      <w:r w:rsidRPr="00974030">
        <w:rPr>
          <w:rFonts w:asciiTheme="minorBidi" w:hAnsiTheme="minorBidi" w:cs="Arial" w:hint="cs"/>
          <w:rtl/>
        </w:rPr>
        <w:t>לצמוח</w:t>
      </w:r>
      <w:r w:rsidRPr="00974030">
        <w:rPr>
          <w:rFonts w:asciiTheme="minorBidi" w:hAnsiTheme="minorBidi" w:cs="Arial"/>
          <w:rtl/>
        </w:rPr>
        <w:t xml:space="preserve">. </w:t>
      </w:r>
    </w:p>
    <w:p w14:paraId="4C760016"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ה</w:t>
      </w:r>
    </w:p>
    <w:p w14:paraId="65EE22AF"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עשבים</w:t>
      </w:r>
      <w:r w:rsidRPr="00974030">
        <w:rPr>
          <w:rFonts w:asciiTheme="minorBidi" w:hAnsiTheme="minorBidi" w:cs="Arial"/>
          <w:rtl/>
        </w:rPr>
        <w:t xml:space="preserve"> </w:t>
      </w:r>
      <w:r w:rsidRPr="00974030">
        <w:rPr>
          <w:rFonts w:asciiTheme="minorBidi" w:hAnsiTheme="minorBidi" w:cs="Arial" w:hint="cs"/>
          <w:rtl/>
        </w:rPr>
        <w:t>שעלו</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אוזן</w:t>
      </w:r>
      <w:r w:rsidRPr="00974030">
        <w:rPr>
          <w:rFonts w:asciiTheme="minorBidi" w:hAnsiTheme="minorBidi" w:cs="Arial"/>
          <w:rtl/>
        </w:rPr>
        <w:t xml:space="preserve"> </w:t>
      </w:r>
      <w:r w:rsidRPr="00974030">
        <w:rPr>
          <w:rFonts w:asciiTheme="minorBidi" w:hAnsiTheme="minorBidi" w:cs="Arial" w:hint="cs"/>
          <w:rtl/>
        </w:rPr>
        <w:t>הכלי</w:t>
      </w:r>
      <w:r w:rsidRPr="00974030">
        <w:rPr>
          <w:rFonts w:asciiTheme="minorBidi" w:hAnsiTheme="minorBidi" w:cs="Arial"/>
          <w:rtl/>
        </w:rPr>
        <w:t xml:space="preserve">, </w:t>
      </w:r>
      <w:r w:rsidRPr="00974030">
        <w:rPr>
          <w:rFonts w:asciiTheme="minorBidi" w:hAnsiTheme="minorBidi" w:cs="Arial" w:hint="cs"/>
          <w:rtl/>
        </w:rPr>
        <w:t>מלחות</w:t>
      </w:r>
      <w:r w:rsidRPr="00974030">
        <w:rPr>
          <w:rFonts w:asciiTheme="minorBidi" w:hAnsiTheme="minorBidi" w:cs="Arial"/>
          <w:rtl/>
        </w:rPr>
        <w:t xml:space="preserve"> </w:t>
      </w:r>
      <w:r w:rsidRPr="00974030">
        <w:rPr>
          <w:rFonts w:asciiTheme="minorBidi" w:hAnsiTheme="minorBidi" w:cs="Arial" w:hint="cs"/>
          <w:rtl/>
        </w:rPr>
        <w:t>הכלי</w:t>
      </w:r>
      <w:r w:rsidRPr="00974030">
        <w:rPr>
          <w:rFonts w:asciiTheme="minorBidi" w:hAnsiTheme="minorBidi" w:cs="Arial"/>
          <w:rtl/>
        </w:rPr>
        <w:t xml:space="preserve">, </w:t>
      </w:r>
      <w:r w:rsidRPr="00974030">
        <w:rPr>
          <w:rFonts w:asciiTheme="minorBidi" w:hAnsiTheme="minorBidi" w:cs="Arial" w:hint="cs"/>
          <w:rtl/>
        </w:rPr>
        <w:t>חשובים</w:t>
      </w:r>
      <w:r w:rsidRPr="00974030">
        <w:rPr>
          <w:rFonts w:asciiTheme="minorBidi" w:hAnsiTheme="minorBidi" w:cs="Arial"/>
          <w:rtl/>
        </w:rPr>
        <w:t xml:space="preserve"> </w:t>
      </w:r>
      <w:r w:rsidRPr="00974030">
        <w:rPr>
          <w:rFonts w:asciiTheme="minorBidi" w:hAnsiTheme="minorBidi" w:cs="Arial" w:hint="cs"/>
          <w:rtl/>
        </w:rPr>
        <w:t>כמחוברים</w:t>
      </w:r>
      <w:r w:rsidRPr="00974030">
        <w:rPr>
          <w:rFonts w:asciiTheme="minorBidi" w:hAnsiTheme="minorBidi" w:cs="Arial"/>
          <w:rtl/>
        </w:rPr>
        <w:t xml:space="preserve"> </w:t>
      </w:r>
      <w:r w:rsidRPr="00974030">
        <w:rPr>
          <w:rFonts w:asciiTheme="minorBidi" w:hAnsiTheme="minorBidi" w:cs="Arial" w:hint="cs"/>
          <w:rtl/>
        </w:rPr>
        <w:t>לקרקע</w:t>
      </w:r>
      <w:r w:rsidRPr="00974030">
        <w:rPr>
          <w:rFonts w:asciiTheme="minorBidi" w:hAnsiTheme="minorBidi" w:cs="Arial"/>
          <w:rtl/>
        </w:rPr>
        <w:t xml:space="preserve"> </w:t>
      </w:r>
      <w:r w:rsidRPr="00974030">
        <w:rPr>
          <w:rFonts w:asciiTheme="minorBidi" w:hAnsiTheme="minorBidi" w:cs="Arial" w:hint="cs"/>
          <w:rtl/>
        </w:rPr>
        <w:t>והתולשן</w:t>
      </w:r>
      <w:r w:rsidRPr="00974030">
        <w:rPr>
          <w:rFonts w:asciiTheme="minorBidi" w:hAnsiTheme="minorBidi" w:cs="Arial"/>
          <w:rtl/>
        </w:rPr>
        <w:t xml:space="preserve">, </w:t>
      </w:r>
      <w:r w:rsidRPr="00974030">
        <w:rPr>
          <w:rFonts w:asciiTheme="minorBidi" w:hAnsiTheme="minorBidi" w:cs="Arial" w:hint="cs"/>
          <w:rtl/>
        </w:rPr>
        <w:t>חייב</w:t>
      </w:r>
      <w:r w:rsidRPr="00974030">
        <w:rPr>
          <w:rFonts w:asciiTheme="minorBidi" w:hAnsiTheme="minorBidi" w:cs="Arial"/>
          <w:rtl/>
        </w:rPr>
        <w:t xml:space="preserve">. </w:t>
      </w:r>
    </w:p>
    <w:p w14:paraId="7BB5737B"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ו</w:t>
      </w:r>
    </w:p>
    <w:p w14:paraId="7B1C22B3"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עשבים</w:t>
      </w:r>
      <w:r w:rsidRPr="00974030">
        <w:rPr>
          <w:rFonts w:asciiTheme="minorBidi" w:hAnsiTheme="minorBidi" w:cs="Arial"/>
          <w:rtl/>
        </w:rPr>
        <w:t xml:space="preserve"> </w:t>
      </w:r>
      <w:r w:rsidRPr="00974030">
        <w:rPr>
          <w:rFonts w:asciiTheme="minorBidi" w:hAnsiTheme="minorBidi" w:cs="Arial" w:hint="cs"/>
          <w:rtl/>
        </w:rPr>
        <w:t>שתחבן</w:t>
      </w:r>
      <w:r w:rsidRPr="00974030">
        <w:rPr>
          <w:rFonts w:asciiTheme="minorBidi" w:hAnsiTheme="minorBidi" w:cs="Arial"/>
          <w:rtl/>
        </w:rPr>
        <w:t xml:space="preserve"> </w:t>
      </w:r>
      <w:r w:rsidRPr="00974030">
        <w:rPr>
          <w:rFonts w:asciiTheme="minorBidi" w:hAnsiTheme="minorBidi" w:cs="Arial" w:hint="cs"/>
          <w:rtl/>
        </w:rPr>
        <w:t>בעפר</w:t>
      </w:r>
      <w:r w:rsidRPr="00974030">
        <w:rPr>
          <w:rFonts w:asciiTheme="minorBidi" w:hAnsiTheme="minorBidi" w:cs="Arial"/>
          <w:rtl/>
        </w:rPr>
        <w:t xml:space="preserve"> </w:t>
      </w:r>
      <w:r w:rsidRPr="00974030">
        <w:rPr>
          <w:rFonts w:asciiTheme="minorBidi" w:hAnsiTheme="minorBidi" w:cs="Arial" w:hint="cs"/>
          <w:rtl/>
        </w:rPr>
        <w:t>מבעוד</w:t>
      </w:r>
      <w:r w:rsidRPr="00974030">
        <w:rPr>
          <w:rFonts w:asciiTheme="minorBidi" w:hAnsiTheme="minorBidi" w:cs="Arial"/>
          <w:rtl/>
        </w:rPr>
        <w:t xml:space="preserve"> </w:t>
      </w:r>
      <w:r w:rsidRPr="00974030">
        <w:rPr>
          <w:rFonts w:asciiTheme="minorBidi" w:hAnsiTheme="minorBidi" w:cs="Arial" w:hint="cs"/>
          <w:rtl/>
        </w:rPr>
        <w:t>יום</w:t>
      </w:r>
      <w:r w:rsidRPr="00974030">
        <w:rPr>
          <w:rFonts w:asciiTheme="minorBidi" w:hAnsiTheme="minorBidi" w:cs="Arial"/>
          <w:rtl/>
        </w:rPr>
        <w:t xml:space="preserve"> </w:t>
      </w:r>
      <w:r w:rsidRPr="00974030">
        <w:rPr>
          <w:rFonts w:asciiTheme="minorBidi" w:hAnsiTheme="minorBidi" w:cs="Arial" w:hint="cs"/>
          <w:rtl/>
        </w:rPr>
        <w:t>כדי</w:t>
      </w:r>
      <w:r w:rsidRPr="00974030">
        <w:rPr>
          <w:rFonts w:asciiTheme="minorBidi" w:hAnsiTheme="minorBidi" w:cs="Arial"/>
          <w:rtl/>
        </w:rPr>
        <w:t xml:space="preserve"> </w:t>
      </w:r>
      <w:r w:rsidRPr="00974030">
        <w:rPr>
          <w:rFonts w:asciiTheme="minorBidi" w:hAnsiTheme="minorBidi" w:cs="Arial" w:hint="cs"/>
          <w:rtl/>
        </w:rPr>
        <w:t>שיהיו</w:t>
      </w:r>
      <w:r w:rsidRPr="00974030">
        <w:rPr>
          <w:rFonts w:asciiTheme="minorBidi" w:hAnsiTheme="minorBidi" w:cs="Arial"/>
          <w:rtl/>
        </w:rPr>
        <w:t xml:space="preserve"> </w:t>
      </w:r>
      <w:r w:rsidRPr="00974030">
        <w:rPr>
          <w:rFonts w:asciiTheme="minorBidi" w:hAnsiTheme="minorBidi" w:cs="Arial" w:hint="cs"/>
          <w:rtl/>
        </w:rPr>
        <w:t>לחים</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לאחוז</w:t>
      </w:r>
      <w:r w:rsidRPr="00974030">
        <w:rPr>
          <w:rFonts w:asciiTheme="minorBidi" w:hAnsiTheme="minorBidi" w:cs="Arial"/>
          <w:rtl/>
        </w:rPr>
        <w:t xml:space="preserve"> </w:t>
      </w:r>
      <w:r w:rsidRPr="00974030">
        <w:rPr>
          <w:rFonts w:asciiTheme="minorBidi" w:hAnsiTheme="minorBidi" w:cs="Arial" w:hint="cs"/>
          <w:rtl/>
        </w:rPr>
        <w:t>בעלים</w:t>
      </w:r>
      <w:r w:rsidRPr="00974030">
        <w:rPr>
          <w:rFonts w:asciiTheme="minorBidi" w:hAnsiTheme="minorBidi" w:cs="Arial"/>
          <w:rtl/>
        </w:rPr>
        <w:t xml:space="preserve"> </w:t>
      </w:r>
      <w:r w:rsidRPr="00974030">
        <w:rPr>
          <w:rFonts w:asciiTheme="minorBidi" w:hAnsiTheme="minorBidi" w:cs="Arial" w:hint="cs"/>
          <w:rtl/>
        </w:rPr>
        <w:t>ולהוציאן</w:t>
      </w:r>
      <w:r w:rsidRPr="00974030">
        <w:rPr>
          <w:rFonts w:asciiTheme="minorBidi" w:hAnsiTheme="minorBidi" w:cs="Arial"/>
          <w:rtl/>
        </w:rPr>
        <w:t xml:space="preserve">; </w:t>
      </w:r>
      <w:r w:rsidRPr="00974030">
        <w:rPr>
          <w:rFonts w:asciiTheme="minorBidi" w:hAnsiTheme="minorBidi" w:cs="Arial" w:hint="cs"/>
          <w:rtl/>
        </w:rPr>
        <w:t>והוא</w:t>
      </w:r>
      <w:r w:rsidRPr="00974030">
        <w:rPr>
          <w:rFonts w:asciiTheme="minorBidi" w:hAnsiTheme="minorBidi" w:cs="Arial"/>
          <w:rtl/>
        </w:rPr>
        <w:t xml:space="preserve"> </w:t>
      </w:r>
      <w:r w:rsidRPr="00974030">
        <w:rPr>
          <w:rFonts w:asciiTheme="minorBidi" w:hAnsiTheme="minorBidi" w:cs="Arial" w:hint="cs"/>
          <w:rtl/>
        </w:rPr>
        <w:t>שלא</w:t>
      </w:r>
      <w:r w:rsidRPr="00974030">
        <w:rPr>
          <w:rFonts w:asciiTheme="minorBidi" w:hAnsiTheme="minorBidi" w:cs="Arial"/>
          <w:rtl/>
        </w:rPr>
        <w:t xml:space="preserve"> </w:t>
      </w:r>
      <w:r w:rsidRPr="00974030">
        <w:rPr>
          <w:rFonts w:asciiTheme="minorBidi" w:hAnsiTheme="minorBidi" w:cs="Arial" w:hint="cs"/>
          <w:rtl/>
        </w:rPr>
        <w:t>השרישו</w:t>
      </w:r>
      <w:r w:rsidRPr="00974030">
        <w:rPr>
          <w:rFonts w:asciiTheme="minorBidi" w:hAnsiTheme="minorBidi" w:cs="Arial"/>
          <w:rtl/>
        </w:rPr>
        <w:t xml:space="preserve"> </w:t>
      </w:r>
      <w:r w:rsidRPr="00974030">
        <w:rPr>
          <w:rFonts w:asciiTheme="minorBidi" w:hAnsiTheme="minorBidi" w:cs="Arial" w:hint="cs"/>
          <w:rtl/>
        </w:rPr>
        <w:t>וגם</w:t>
      </w:r>
      <w:r w:rsidRPr="00974030">
        <w:rPr>
          <w:rFonts w:asciiTheme="minorBidi" w:hAnsiTheme="minorBidi" w:cs="Arial"/>
          <w:rtl/>
        </w:rPr>
        <w:t xml:space="preserve"> </w:t>
      </w:r>
      <w:r w:rsidRPr="00974030">
        <w:rPr>
          <w:rFonts w:asciiTheme="minorBidi" w:hAnsiTheme="minorBidi" w:cs="Arial" w:hint="cs"/>
          <w:rtl/>
        </w:rPr>
        <w:t>צריך</w:t>
      </w:r>
      <w:r w:rsidRPr="00974030">
        <w:rPr>
          <w:rFonts w:asciiTheme="minorBidi" w:hAnsiTheme="minorBidi" w:cs="Arial"/>
          <w:rtl/>
        </w:rPr>
        <w:t xml:space="preserve"> </w:t>
      </w:r>
      <w:r w:rsidRPr="00974030">
        <w:rPr>
          <w:rFonts w:asciiTheme="minorBidi" w:hAnsiTheme="minorBidi" w:cs="Arial" w:hint="cs"/>
          <w:rtl/>
        </w:rPr>
        <w:t>שאינו</w:t>
      </w:r>
      <w:r w:rsidRPr="00974030">
        <w:rPr>
          <w:rFonts w:asciiTheme="minorBidi" w:hAnsiTheme="minorBidi" w:cs="Arial"/>
          <w:rtl/>
        </w:rPr>
        <w:t xml:space="preserve"> </w:t>
      </w:r>
      <w:r w:rsidRPr="00974030">
        <w:rPr>
          <w:rFonts w:asciiTheme="minorBidi" w:hAnsiTheme="minorBidi" w:cs="Arial" w:hint="cs"/>
          <w:rtl/>
        </w:rPr>
        <w:t>רוצה</w:t>
      </w:r>
      <w:r w:rsidRPr="00974030">
        <w:rPr>
          <w:rFonts w:asciiTheme="minorBidi" w:hAnsiTheme="minorBidi" w:cs="Arial"/>
          <w:rtl/>
        </w:rPr>
        <w:t xml:space="preserve"> </w:t>
      </w:r>
      <w:r w:rsidRPr="00974030">
        <w:rPr>
          <w:rFonts w:asciiTheme="minorBidi" w:hAnsiTheme="minorBidi" w:cs="Arial" w:hint="cs"/>
          <w:rtl/>
        </w:rPr>
        <w:t>בהשרשתן</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נתכוין</w:t>
      </w:r>
      <w:r w:rsidRPr="00974030">
        <w:rPr>
          <w:rFonts w:asciiTheme="minorBidi" w:hAnsiTheme="minorBidi" w:cs="Arial"/>
          <w:rtl/>
        </w:rPr>
        <w:t xml:space="preserve"> </w:t>
      </w:r>
      <w:r w:rsidRPr="00974030">
        <w:rPr>
          <w:rFonts w:asciiTheme="minorBidi" w:hAnsiTheme="minorBidi" w:cs="Arial" w:hint="cs"/>
          <w:rtl/>
        </w:rPr>
        <w:t>לזריעה</w:t>
      </w:r>
      <w:r w:rsidRPr="00974030">
        <w:rPr>
          <w:rFonts w:asciiTheme="minorBidi" w:hAnsiTheme="minorBidi" w:cs="Arial"/>
          <w:rtl/>
        </w:rPr>
        <w:t xml:space="preserve">, </w:t>
      </w:r>
      <w:r w:rsidRPr="00974030">
        <w:rPr>
          <w:rFonts w:asciiTheme="minorBidi" w:hAnsiTheme="minorBidi" w:cs="Arial" w:hint="cs"/>
          <w:rtl/>
        </w:rPr>
        <w:t>אסור</w:t>
      </w:r>
      <w:r w:rsidRPr="00974030">
        <w:rPr>
          <w:rFonts w:asciiTheme="minorBidi" w:hAnsiTheme="minorBidi" w:cs="Arial"/>
          <w:rtl/>
        </w:rPr>
        <w:t xml:space="preserve">. </w:t>
      </w:r>
    </w:p>
    <w:p w14:paraId="016C3853"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ז</w:t>
      </w:r>
    </w:p>
    <w:p w14:paraId="2FB96F0B"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לתלוש</w:t>
      </w:r>
      <w:r w:rsidRPr="00974030">
        <w:rPr>
          <w:rFonts w:asciiTheme="minorBidi" w:hAnsiTheme="minorBidi" w:cs="Arial"/>
          <w:rtl/>
        </w:rPr>
        <w:t xml:space="preserve"> </w:t>
      </w:r>
      <w:r w:rsidRPr="00974030">
        <w:rPr>
          <w:rFonts w:asciiTheme="minorBidi" w:hAnsiTheme="minorBidi" w:cs="Arial" w:hint="cs"/>
          <w:rtl/>
        </w:rPr>
        <w:t>אפילו</w:t>
      </w:r>
      <w:r w:rsidRPr="00974030">
        <w:rPr>
          <w:rFonts w:asciiTheme="minorBidi" w:hAnsiTheme="minorBidi" w:cs="Arial"/>
          <w:rtl/>
        </w:rPr>
        <w:t xml:space="preserve"> </w:t>
      </w:r>
      <w:r w:rsidRPr="00974030">
        <w:rPr>
          <w:rFonts w:asciiTheme="minorBidi" w:hAnsiTheme="minorBidi" w:cs="Arial" w:hint="cs"/>
          <w:rtl/>
        </w:rPr>
        <w:t>מעציץ</w:t>
      </w:r>
      <w:r w:rsidRPr="00974030">
        <w:rPr>
          <w:rFonts w:asciiTheme="minorBidi" w:hAnsiTheme="minorBidi" w:cs="Arial"/>
          <w:rtl/>
        </w:rPr>
        <w:t xml:space="preserve"> </w:t>
      </w:r>
      <w:r w:rsidRPr="00974030">
        <w:rPr>
          <w:rFonts w:asciiTheme="minorBidi" w:hAnsiTheme="minorBidi" w:cs="Arial" w:hint="cs"/>
          <w:rtl/>
        </w:rPr>
        <w:t>שאינו</w:t>
      </w:r>
      <w:r w:rsidRPr="00974030">
        <w:rPr>
          <w:rFonts w:asciiTheme="minorBidi" w:hAnsiTheme="minorBidi" w:cs="Arial"/>
          <w:rtl/>
        </w:rPr>
        <w:t xml:space="preserve"> </w:t>
      </w:r>
      <w:r w:rsidRPr="00974030">
        <w:rPr>
          <w:rFonts w:asciiTheme="minorBidi" w:hAnsiTheme="minorBidi" w:cs="Arial" w:hint="cs"/>
          <w:rtl/>
        </w:rPr>
        <w:t>נקוב</w:t>
      </w:r>
      <w:r w:rsidRPr="00974030">
        <w:rPr>
          <w:rFonts w:asciiTheme="minorBidi" w:hAnsiTheme="minorBidi" w:cs="Arial"/>
          <w:rtl/>
        </w:rPr>
        <w:t xml:space="preserve">. </w:t>
      </w:r>
    </w:p>
    <w:p w14:paraId="77E5B6E3"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ח</w:t>
      </w:r>
    </w:p>
    <w:p w14:paraId="42A60927"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עציץ</w:t>
      </w:r>
      <w:r w:rsidRPr="00974030">
        <w:rPr>
          <w:rFonts w:asciiTheme="minorBidi" w:hAnsiTheme="minorBidi" w:cs="Arial"/>
          <w:rtl/>
        </w:rPr>
        <w:t xml:space="preserve"> (</w:t>
      </w:r>
      <w:r w:rsidRPr="00974030">
        <w:rPr>
          <w:rFonts w:asciiTheme="minorBidi" w:hAnsiTheme="minorBidi" w:cs="Arial" w:hint="cs"/>
          <w:rtl/>
        </w:rPr>
        <w:t>פי</w:t>
      </w:r>
      <w:r w:rsidRPr="00974030">
        <w:rPr>
          <w:rFonts w:asciiTheme="minorBidi" w:hAnsiTheme="minorBidi" w:cs="Arial"/>
          <w:rtl/>
        </w:rPr>
        <w:t xml:space="preserve">' </w:t>
      </w:r>
      <w:r w:rsidRPr="00974030">
        <w:rPr>
          <w:rFonts w:asciiTheme="minorBidi" w:hAnsiTheme="minorBidi" w:cs="Arial" w:hint="cs"/>
          <w:rtl/>
        </w:rPr>
        <w:t>חצי</w:t>
      </w:r>
      <w:r w:rsidRPr="00974030">
        <w:rPr>
          <w:rFonts w:asciiTheme="minorBidi" w:hAnsiTheme="minorBidi" w:cs="Arial"/>
          <w:rtl/>
        </w:rPr>
        <w:t xml:space="preserve"> </w:t>
      </w:r>
      <w:r w:rsidRPr="00974030">
        <w:rPr>
          <w:rFonts w:asciiTheme="minorBidi" w:hAnsiTheme="minorBidi" w:cs="Arial" w:hint="cs"/>
          <w:rtl/>
        </w:rPr>
        <w:t>כד</w:t>
      </w:r>
      <w:r w:rsidRPr="00974030">
        <w:rPr>
          <w:rFonts w:asciiTheme="minorBidi" w:hAnsiTheme="minorBidi" w:cs="Arial"/>
          <w:rtl/>
        </w:rPr>
        <w:t xml:space="preserve"> </w:t>
      </w:r>
      <w:r w:rsidRPr="00974030">
        <w:rPr>
          <w:rFonts w:asciiTheme="minorBidi" w:hAnsiTheme="minorBidi" w:cs="Arial" w:hint="cs"/>
          <w:rtl/>
        </w:rPr>
        <w:t>שזורעים</w:t>
      </w:r>
      <w:r w:rsidRPr="00974030">
        <w:rPr>
          <w:rFonts w:asciiTheme="minorBidi" w:hAnsiTheme="minorBidi" w:cs="Arial"/>
          <w:rtl/>
        </w:rPr>
        <w:t xml:space="preserve"> </w:t>
      </w:r>
      <w:r w:rsidRPr="00974030">
        <w:rPr>
          <w:rFonts w:asciiTheme="minorBidi" w:hAnsiTheme="minorBidi" w:cs="Arial" w:hint="cs"/>
          <w:rtl/>
        </w:rPr>
        <w:t>שם</w:t>
      </w:r>
      <w:r w:rsidRPr="00974030">
        <w:rPr>
          <w:rFonts w:asciiTheme="minorBidi" w:hAnsiTheme="minorBidi" w:cs="Arial"/>
          <w:rtl/>
        </w:rPr>
        <w:t xml:space="preserve"> </w:t>
      </w:r>
      <w:r w:rsidRPr="00974030">
        <w:rPr>
          <w:rFonts w:asciiTheme="minorBidi" w:hAnsiTheme="minorBidi" w:cs="Arial" w:hint="cs"/>
          <w:rtl/>
        </w:rPr>
        <w:t>עשבים</w:t>
      </w:r>
      <w:r w:rsidRPr="00974030">
        <w:rPr>
          <w:rFonts w:asciiTheme="minorBidi" w:hAnsiTheme="minorBidi" w:cs="Arial"/>
          <w:rtl/>
        </w:rPr>
        <w:t>) (</w:t>
      </w:r>
      <w:r w:rsidRPr="00974030">
        <w:rPr>
          <w:rFonts w:asciiTheme="minorBidi" w:hAnsiTheme="minorBidi" w:cs="Arial" w:hint="cs"/>
          <w:rtl/>
        </w:rPr>
        <w:t>ערוך</w:t>
      </w:r>
      <w:r w:rsidRPr="00974030">
        <w:rPr>
          <w:rFonts w:asciiTheme="minorBidi" w:hAnsiTheme="minorBidi" w:cs="Arial"/>
          <w:rtl/>
        </w:rPr>
        <w:t xml:space="preserve">), </w:t>
      </w:r>
      <w:r w:rsidRPr="00974030">
        <w:rPr>
          <w:rFonts w:asciiTheme="minorBidi" w:hAnsiTheme="minorBidi" w:cs="Arial" w:hint="cs"/>
          <w:rtl/>
        </w:rPr>
        <w:t>אפילו</w:t>
      </w:r>
      <w:r w:rsidRPr="00974030">
        <w:rPr>
          <w:rFonts w:asciiTheme="minorBidi" w:hAnsiTheme="minorBidi" w:cs="Arial"/>
          <w:rtl/>
        </w:rPr>
        <w:t xml:space="preserve"> </w:t>
      </w:r>
      <w:r w:rsidRPr="00974030">
        <w:rPr>
          <w:rFonts w:asciiTheme="minorBidi" w:hAnsiTheme="minorBidi" w:cs="Arial" w:hint="cs"/>
          <w:rtl/>
        </w:rPr>
        <w:t>אינו</w:t>
      </w:r>
      <w:r w:rsidRPr="00974030">
        <w:rPr>
          <w:rFonts w:asciiTheme="minorBidi" w:hAnsiTheme="minorBidi" w:cs="Arial"/>
          <w:rtl/>
        </w:rPr>
        <w:t xml:space="preserve"> </w:t>
      </w:r>
      <w:r w:rsidRPr="00974030">
        <w:rPr>
          <w:rFonts w:asciiTheme="minorBidi" w:hAnsiTheme="minorBidi" w:cs="Arial" w:hint="cs"/>
          <w:rtl/>
        </w:rPr>
        <w:t>נקוב</w:t>
      </w:r>
      <w:r w:rsidRPr="00974030">
        <w:rPr>
          <w:rFonts w:asciiTheme="minorBidi" w:hAnsiTheme="minorBidi" w:cs="Arial"/>
          <w:rtl/>
        </w:rPr>
        <w:t xml:space="preserve">, </w:t>
      </w:r>
      <w:r w:rsidRPr="00974030">
        <w:rPr>
          <w:rFonts w:asciiTheme="minorBidi" w:hAnsiTheme="minorBidi" w:cs="Arial" w:hint="cs"/>
          <w:rtl/>
        </w:rPr>
        <w:t>יש</w:t>
      </w:r>
      <w:r w:rsidRPr="00974030">
        <w:rPr>
          <w:rFonts w:asciiTheme="minorBidi" w:hAnsiTheme="minorBidi" w:cs="Arial"/>
          <w:rtl/>
        </w:rPr>
        <w:t xml:space="preserve"> </w:t>
      </w:r>
      <w:r w:rsidRPr="00974030">
        <w:rPr>
          <w:rFonts w:asciiTheme="minorBidi" w:hAnsiTheme="minorBidi" w:cs="Arial" w:hint="cs"/>
          <w:rtl/>
        </w:rPr>
        <w:t>ליזהר</w:t>
      </w:r>
      <w:r w:rsidRPr="00974030">
        <w:rPr>
          <w:rFonts w:asciiTheme="minorBidi" w:hAnsiTheme="minorBidi" w:cs="Arial"/>
          <w:rtl/>
        </w:rPr>
        <w:t xml:space="preserve"> </w:t>
      </w:r>
      <w:r w:rsidRPr="00974030">
        <w:rPr>
          <w:rFonts w:asciiTheme="minorBidi" w:hAnsiTheme="minorBidi" w:cs="Arial" w:hint="cs"/>
          <w:rtl/>
        </w:rPr>
        <w:t>מליטלו</w:t>
      </w:r>
      <w:r w:rsidRPr="00974030">
        <w:rPr>
          <w:rFonts w:asciiTheme="minorBidi" w:hAnsiTheme="minorBidi" w:cs="Arial"/>
          <w:rtl/>
        </w:rPr>
        <w:t xml:space="preserve"> </w:t>
      </w:r>
      <w:r w:rsidRPr="00974030">
        <w:rPr>
          <w:rFonts w:asciiTheme="minorBidi" w:hAnsiTheme="minorBidi" w:cs="Arial" w:hint="cs"/>
          <w:rtl/>
        </w:rPr>
        <w:t>מעל</w:t>
      </w:r>
      <w:r w:rsidRPr="00974030">
        <w:rPr>
          <w:rFonts w:asciiTheme="minorBidi" w:hAnsiTheme="minorBidi" w:cs="Arial"/>
          <w:rtl/>
        </w:rPr>
        <w:t xml:space="preserve"> </w:t>
      </w:r>
      <w:r w:rsidRPr="00974030">
        <w:rPr>
          <w:rFonts w:asciiTheme="minorBidi" w:hAnsiTheme="minorBidi" w:cs="Arial" w:hint="cs"/>
          <w:rtl/>
        </w:rPr>
        <w:t>גבי</w:t>
      </w:r>
      <w:r w:rsidRPr="00974030">
        <w:rPr>
          <w:rFonts w:asciiTheme="minorBidi" w:hAnsiTheme="minorBidi" w:cs="Arial"/>
          <w:rtl/>
        </w:rPr>
        <w:t xml:space="preserve"> </w:t>
      </w:r>
      <w:r w:rsidRPr="00974030">
        <w:rPr>
          <w:rFonts w:asciiTheme="minorBidi" w:hAnsiTheme="minorBidi" w:cs="Arial" w:hint="cs"/>
          <w:rtl/>
        </w:rPr>
        <w:t>קרקע</w:t>
      </w:r>
      <w:r w:rsidRPr="00974030">
        <w:rPr>
          <w:rFonts w:asciiTheme="minorBidi" w:hAnsiTheme="minorBidi" w:cs="Arial"/>
          <w:rtl/>
        </w:rPr>
        <w:t xml:space="preserve"> </w:t>
      </w:r>
      <w:r w:rsidRPr="00974030">
        <w:rPr>
          <w:rFonts w:asciiTheme="minorBidi" w:hAnsiTheme="minorBidi" w:cs="Arial" w:hint="cs"/>
          <w:rtl/>
        </w:rPr>
        <w:t>ולהניחו</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גבי</w:t>
      </w:r>
      <w:r w:rsidRPr="00974030">
        <w:rPr>
          <w:rFonts w:asciiTheme="minorBidi" w:hAnsiTheme="minorBidi" w:cs="Arial"/>
          <w:rtl/>
        </w:rPr>
        <w:t xml:space="preserve"> </w:t>
      </w:r>
      <w:r w:rsidRPr="00974030">
        <w:rPr>
          <w:rFonts w:asciiTheme="minorBidi" w:hAnsiTheme="minorBidi" w:cs="Arial" w:hint="cs"/>
          <w:rtl/>
        </w:rPr>
        <w:t>יתדות</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איפכא</w:t>
      </w:r>
      <w:r w:rsidRPr="00974030">
        <w:rPr>
          <w:rFonts w:asciiTheme="minorBidi" w:hAnsiTheme="minorBidi" w:cs="Arial"/>
          <w:rtl/>
        </w:rPr>
        <w:t xml:space="preserve">, </w:t>
      </w:r>
      <w:r w:rsidRPr="00974030">
        <w:rPr>
          <w:rFonts w:asciiTheme="minorBidi" w:hAnsiTheme="minorBidi" w:cs="Arial" w:hint="cs"/>
          <w:rtl/>
        </w:rPr>
        <w:t>בין</w:t>
      </w:r>
      <w:r w:rsidRPr="00974030">
        <w:rPr>
          <w:rFonts w:asciiTheme="minorBidi" w:hAnsiTheme="minorBidi" w:cs="Arial"/>
          <w:rtl/>
        </w:rPr>
        <w:t xml:space="preserve"> </w:t>
      </w:r>
      <w:r w:rsidRPr="00974030">
        <w:rPr>
          <w:rFonts w:asciiTheme="minorBidi" w:hAnsiTheme="minorBidi" w:cs="Arial" w:hint="cs"/>
          <w:rtl/>
        </w:rPr>
        <w:t>שהוא</w:t>
      </w:r>
      <w:r w:rsidRPr="00974030">
        <w:rPr>
          <w:rFonts w:asciiTheme="minorBidi" w:hAnsiTheme="minorBidi" w:cs="Arial"/>
          <w:rtl/>
        </w:rPr>
        <w:t xml:space="preserve"> </w:t>
      </w:r>
      <w:r w:rsidRPr="00974030">
        <w:rPr>
          <w:rFonts w:asciiTheme="minorBidi" w:hAnsiTheme="minorBidi" w:cs="Arial" w:hint="cs"/>
          <w:rtl/>
        </w:rPr>
        <w:t>של</w:t>
      </w:r>
      <w:r w:rsidRPr="00974030">
        <w:rPr>
          <w:rFonts w:asciiTheme="minorBidi" w:hAnsiTheme="minorBidi" w:cs="Arial"/>
          <w:rtl/>
        </w:rPr>
        <w:t xml:space="preserve"> </w:t>
      </w:r>
      <w:r w:rsidRPr="00974030">
        <w:rPr>
          <w:rFonts w:asciiTheme="minorBidi" w:hAnsiTheme="minorBidi" w:cs="Arial" w:hint="cs"/>
          <w:rtl/>
        </w:rPr>
        <w:t>עץ</w:t>
      </w:r>
      <w:r w:rsidRPr="00974030">
        <w:rPr>
          <w:rFonts w:asciiTheme="minorBidi" w:hAnsiTheme="minorBidi" w:cs="Arial"/>
          <w:rtl/>
        </w:rPr>
        <w:t xml:space="preserve"> </w:t>
      </w:r>
      <w:r w:rsidRPr="00974030">
        <w:rPr>
          <w:rFonts w:asciiTheme="minorBidi" w:hAnsiTheme="minorBidi" w:cs="Arial" w:hint="cs"/>
          <w:rtl/>
        </w:rPr>
        <w:t>בין</w:t>
      </w:r>
      <w:r w:rsidRPr="00974030">
        <w:rPr>
          <w:rFonts w:asciiTheme="minorBidi" w:hAnsiTheme="minorBidi" w:cs="Arial"/>
          <w:rtl/>
        </w:rPr>
        <w:t xml:space="preserve"> </w:t>
      </w:r>
      <w:r w:rsidRPr="00974030">
        <w:rPr>
          <w:rFonts w:asciiTheme="minorBidi" w:hAnsiTheme="minorBidi" w:cs="Arial" w:hint="cs"/>
          <w:rtl/>
        </w:rPr>
        <w:t>של</w:t>
      </w:r>
      <w:r w:rsidRPr="00974030">
        <w:rPr>
          <w:rFonts w:asciiTheme="minorBidi" w:hAnsiTheme="minorBidi" w:cs="Arial"/>
          <w:rtl/>
        </w:rPr>
        <w:t xml:space="preserve"> </w:t>
      </w:r>
      <w:r w:rsidRPr="00974030">
        <w:rPr>
          <w:rFonts w:asciiTheme="minorBidi" w:hAnsiTheme="minorBidi" w:cs="Arial" w:hint="cs"/>
          <w:rtl/>
        </w:rPr>
        <w:t>חרס</w:t>
      </w:r>
      <w:r w:rsidRPr="00974030">
        <w:rPr>
          <w:rFonts w:asciiTheme="minorBidi" w:hAnsiTheme="minorBidi" w:cs="Arial"/>
          <w:rtl/>
        </w:rPr>
        <w:t xml:space="preserve">. </w:t>
      </w:r>
      <w:r w:rsidRPr="00974030">
        <w:rPr>
          <w:rFonts w:asciiTheme="minorBidi" w:hAnsiTheme="minorBidi" w:cs="Arial" w:hint="cs"/>
          <w:rtl/>
        </w:rPr>
        <w:t>הגה</w:t>
      </w:r>
      <w:r w:rsidRPr="00974030">
        <w:rPr>
          <w:rFonts w:asciiTheme="minorBidi" w:hAnsiTheme="minorBidi" w:cs="Arial"/>
          <w:rtl/>
        </w:rPr>
        <w:t xml:space="preserve">: </w:t>
      </w:r>
      <w:r w:rsidRPr="00974030">
        <w:rPr>
          <w:rFonts w:asciiTheme="minorBidi" w:hAnsiTheme="minorBidi" w:cs="Arial" w:hint="cs"/>
          <w:rtl/>
        </w:rPr>
        <w:t>יחור</w:t>
      </w:r>
      <w:r w:rsidRPr="00974030">
        <w:rPr>
          <w:rFonts w:asciiTheme="minorBidi" w:hAnsiTheme="minorBidi" w:cs="Arial"/>
          <w:rtl/>
        </w:rPr>
        <w:t xml:space="preserve"> </w:t>
      </w:r>
      <w:r w:rsidRPr="00974030">
        <w:rPr>
          <w:rFonts w:asciiTheme="minorBidi" w:hAnsiTheme="minorBidi" w:cs="Arial" w:hint="cs"/>
          <w:rtl/>
        </w:rPr>
        <w:t>של</w:t>
      </w:r>
      <w:r w:rsidRPr="00974030">
        <w:rPr>
          <w:rFonts w:asciiTheme="minorBidi" w:hAnsiTheme="minorBidi" w:cs="Arial"/>
          <w:rtl/>
        </w:rPr>
        <w:t xml:space="preserve"> </w:t>
      </w:r>
      <w:r w:rsidRPr="00974030">
        <w:rPr>
          <w:rFonts w:asciiTheme="minorBidi" w:hAnsiTheme="minorBidi" w:cs="Arial" w:hint="cs"/>
          <w:rtl/>
        </w:rPr>
        <w:t>אילן</w:t>
      </w:r>
      <w:r w:rsidRPr="00974030">
        <w:rPr>
          <w:rFonts w:asciiTheme="minorBidi" w:hAnsiTheme="minorBidi" w:cs="Arial"/>
          <w:rtl/>
        </w:rPr>
        <w:t xml:space="preserve"> </w:t>
      </w:r>
      <w:r w:rsidRPr="00974030">
        <w:rPr>
          <w:rFonts w:asciiTheme="minorBidi" w:hAnsiTheme="minorBidi" w:cs="Arial" w:hint="cs"/>
          <w:rtl/>
        </w:rPr>
        <w:t>שנפשח</w:t>
      </w:r>
      <w:r w:rsidRPr="00974030">
        <w:rPr>
          <w:rFonts w:asciiTheme="minorBidi" w:hAnsiTheme="minorBidi" w:cs="Arial"/>
          <w:rtl/>
        </w:rPr>
        <w:t xml:space="preserve"> </w:t>
      </w:r>
      <w:r w:rsidRPr="00974030">
        <w:rPr>
          <w:rFonts w:asciiTheme="minorBidi" w:hAnsiTheme="minorBidi" w:cs="Arial" w:hint="cs"/>
          <w:rtl/>
        </w:rPr>
        <w:t>מערב</w:t>
      </w:r>
      <w:r w:rsidRPr="00974030">
        <w:rPr>
          <w:rFonts w:asciiTheme="minorBidi" w:hAnsiTheme="minorBidi" w:cs="Arial"/>
          <w:rtl/>
        </w:rPr>
        <w:t xml:space="preserve"> </w:t>
      </w:r>
      <w:r w:rsidRPr="00974030">
        <w:rPr>
          <w:rFonts w:asciiTheme="minorBidi" w:hAnsiTheme="minorBidi" w:cs="Arial" w:hint="cs"/>
          <w:rtl/>
        </w:rPr>
        <w:t>שבת</w:t>
      </w:r>
      <w:r w:rsidRPr="00974030">
        <w:rPr>
          <w:rFonts w:asciiTheme="minorBidi" w:hAnsiTheme="minorBidi" w:cs="Arial"/>
          <w:rtl/>
        </w:rPr>
        <w:t xml:space="preserve"> </w:t>
      </w:r>
      <w:r w:rsidRPr="00974030">
        <w:rPr>
          <w:rFonts w:asciiTheme="minorBidi" w:hAnsiTheme="minorBidi" w:cs="Arial" w:hint="cs"/>
          <w:rtl/>
        </w:rPr>
        <w:t>מן</w:t>
      </w:r>
      <w:r w:rsidRPr="00974030">
        <w:rPr>
          <w:rFonts w:asciiTheme="minorBidi" w:hAnsiTheme="minorBidi" w:cs="Arial"/>
          <w:rtl/>
        </w:rPr>
        <w:t xml:space="preserve"> </w:t>
      </w:r>
      <w:r w:rsidRPr="00974030">
        <w:rPr>
          <w:rFonts w:asciiTheme="minorBidi" w:hAnsiTheme="minorBidi" w:cs="Arial" w:hint="cs"/>
          <w:rtl/>
        </w:rPr>
        <w:t>האילן</w:t>
      </w:r>
      <w:r w:rsidRPr="00974030">
        <w:rPr>
          <w:rFonts w:asciiTheme="minorBidi" w:hAnsiTheme="minorBidi" w:cs="Arial"/>
          <w:rtl/>
        </w:rPr>
        <w:t xml:space="preserve">, </w:t>
      </w:r>
      <w:r w:rsidRPr="00974030">
        <w:rPr>
          <w:rFonts w:asciiTheme="minorBidi" w:hAnsiTheme="minorBidi" w:cs="Arial" w:hint="cs"/>
          <w:rtl/>
        </w:rPr>
        <w:t>ובו</w:t>
      </w:r>
      <w:r w:rsidRPr="00974030">
        <w:rPr>
          <w:rFonts w:asciiTheme="minorBidi" w:hAnsiTheme="minorBidi" w:cs="Arial"/>
          <w:rtl/>
        </w:rPr>
        <w:t xml:space="preserve"> </w:t>
      </w:r>
      <w:r w:rsidRPr="00974030">
        <w:rPr>
          <w:rFonts w:asciiTheme="minorBidi" w:hAnsiTheme="minorBidi" w:cs="Arial" w:hint="cs"/>
          <w:rtl/>
        </w:rPr>
        <w:t>פירות</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לתלוש</w:t>
      </w:r>
      <w:r w:rsidRPr="00974030">
        <w:rPr>
          <w:rFonts w:asciiTheme="minorBidi" w:hAnsiTheme="minorBidi" w:cs="Arial"/>
          <w:rtl/>
        </w:rPr>
        <w:t xml:space="preserve"> </w:t>
      </w:r>
      <w:r w:rsidRPr="00974030">
        <w:rPr>
          <w:rFonts w:asciiTheme="minorBidi" w:hAnsiTheme="minorBidi" w:cs="Arial" w:hint="cs"/>
          <w:rtl/>
        </w:rPr>
        <w:t>הפירות</w:t>
      </w:r>
      <w:r w:rsidRPr="00974030">
        <w:rPr>
          <w:rFonts w:asciiTheme="minorBidi" w:hAnsiTheme="minorBidi" w:cs="Arial"/>
          <w:rtl/>
        </w:rPr>
        <w:t xml:space="preserve"> </w:t>
      </w:r>
      <w:r w:rsidRPr="00974030">
        <w:rPr>
          <w:rFonts w:asciiTheme="minorBidi" w:hAnsiTheme="minorBidi" w:cs="Arial" w:hint="cs"/>
          <w:rtl/>
        </w:rPr>
        <w:t>ממנו</w:t>
      </w:r>
      <w:r w:rsidRPr="00974030">
        <w:rPr>
          <w:rFonts w:asciiTheme="minorBidi" w:hAnsiTheme="minorBidi" w:cs="Arial"/>
          <w:rtl/>
        </w:rPr>
        <w:t xml:space="preserve"> </w:t>
      </w:r>
      <w:r w:rsidRPr="00974030">
        <w:rPr>
          <w:rFonts w:asciiTheme="minorBidi" w:hAnsiTheme="minorBidi" w:cs="Arial" w:hint="cs"/>
          <w:rtl/>
        </w:rPr>
        <w:t>בשבת</w:t>
      </w:r>
      <w:r w:rsidRPr="00974030">
        <w:rPr>
          <w:rFonts w:asciiTheme="minorBidi" w:hAnsiTheme="minorBidi" w:cs="Arial"/>
          <w:rtl/>
        </w:rPr>
        <w:t xml:space="preserve"> (</w:t>
      </w:r>
      <w:r w:rsidRPr="00974030">
        <w:rPr>
          <w:rFonts w:asciiTheme="minorBidi" w:hAnsiTheme="minorBidi" w:cs="Arial" w:hint="cs"/>
          <w:rtl/>
        </w:rPr>
        <w:t>רבינו</w:t>
      </w:r>
      <w:r w:rsidRPr="00974030">
        <w:rPr>
          <w:rFonts w:asciiTheme="minorBidi" w:hAnsiTheme="minorBidi" w:cs="Arial"/>
          <w:rtl/>
        </w:rPr>
        <w:t xml:space="preserve"> </w:t>
      </w:r>
      <w:r w:rsidRPr="00974030">
        <w:rPr>
          <w:rFonts w:asciiTheme="minorBidi" w:hAnsiTheme="minorBidi" w:cs="Arial" w:hint="cs"/>
          <w:rtl/>
        </w:rPr>
        <w:t>ירוחם</w:t>
      </w:r>
      <w:r w:rsidRPr="00974030">
        <w:rPr>
          <w:rFonts w:asciiTheme="minorBidi" w:hAnsiTheme="minorBidi" w:cs="Arial"/>
          <w:rtl/>
        </w:rPr>
        <w:t xml:space="preserve"> </w:t>
      </w:r>
      <w:r w:rsidRPr="00974030">
        <w:rPr>
          <w:rFonts w:asciiTheme="minorBidi" w:hAnsiTheme="minorBidi" w:cs="Arial" w:hint="cs"/>
          <w:rtl/>
        </w:rPr>
        <w:t>ני</w:t>
      </w:r>
      <w:r w:rsidRPr="00974030">
        <w:rPr>
          <w:rFonts w:asciiTheme="minorBidi" w:hAnsiTheme="minorBidi" w:cs="Arial"/>
          <w:rtl/>
        </w:rPr>
        <w:t>"</w:t>
      </w:r>
      <w:r w:rsidRPr="00974030">
        <w:rPr>
          <w:rFonts w:asciiTheme="minorBidi" w:hAnsiTheme="minorBidi" w:cs="Arial" w:hint="cs"/>
          <w:rtl/>
        </w:rPr>
        <w:t>ב</w:t>
      </w:r>
      <w:r w:rsidRPr="00974030">
        <w:rPr>
          <w:rFonts w:asciiTheme="minorBidi" w:hAnsiTheme="minorBidi" w:cs="Arial"/>
          <w:rtl/>
        </w:rPr>
        <w:t xml:space="preserve"> </w:t>
      </w:r>
      <w:r w:rsidRPr="00974030">
        <w:rPr>
          <w:rFonts w:asciiTheme="minorBidi" w:hAnsiTheme="minorBidi" w:cs="Arial" w:hint="cs"/>
          <w:rtl/>
        </w:rPr>
        <w:t>ח</w:t>
      </w:r>
      <w:r w:rsidRPr="00974030">
        <w:rPr>
          <w:rFonts w:asciiTheme="minorBidi" w:hAnsiTheme="minorBidi" w:cs="Arial"/>
          <w:rtl/>
        </w:rPr>
        <w:t>"</w:t>
      </w:r>
      <w:r w:rsidRPr="00974030">
        <w:rPr>
          <w:rFonts w:asciiTheme="minorBidi" w:hAnsiTheme="minorBidi" w:cs="Arial" w:hint="cs"/>
          <w:rtl/>
        </w:rPr>
        <w:t>ב</w:t>
      </w:r>
      <w:r w:rsidRPr="00974030">
        <w:rPr>
          <w:rFonts w:asciiTheme="minorBidi" w:hAnsiTheme="minorBidi" w:cs="Arial"/>
          <w:rtl/>
        </w:rPr>
        <w:t xml:space="preserve"> /</w:t>
      </w:r>
      <w:r w:rsidRPr="00974030">
        <w:rPr>
          <w:rFonts w:asciiTheme="minorBidi" w:hAnsiTheme="minorBidi" w:cs="Arial" w:hint="cs"/>
          <w:rtl/>
        </w:rPr>
        <w:t>ח</w:t>
      </w:r>
      <w:r w:rsidRPr="00974030">
        <w:rPr>
          <w:rFonts w:asciiTheme="minorBidi" w:hAnsiTheme="minorBidi" w:cs="Arial"/>
          <w:rtl/>
        </w:rPr>
        <w:t>"</w:t>
      </w:r>
      <w:r w:rsidRPr="00974030">
        <w:rPr>
          <w:rFonts w:asciiTheme="minorBidi" w:hAnsiTheme="minorBidi" w:cs="Arial" w:hint="cs"/>
          <w:rtl/>
        </w:rPr>
        <w:t>ח</w:t>
      </w:r>
      <w:r w:rsidRPr="00974030">
        <w:rPr>
          <w:rFonts w:asciiTheme="minorBidi" w:hAnsiTheme="minorBidi" w:cs="Arial"/>
          <w:rtl/>
        </w:rPr>
        <w:t xml:space="preserve">/). </w:t>
      </w:r>
    </w:p>
    <w:p w14:paraId="76BA07F0"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ט</w:t>
      </w:r>
    </w:p>
    <w:p w14:paraId="59CF7C2B"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צנור</w:t>
      </w:r>
      <w:r w:rsidRPr="00974030">
        <w:rPr>
          <w:rFonts w:asciiTheme="minorBidi" w:hAnsiTheme="minorBidi" w:cs="Arial"/>
          <w:rtl/>
        </w:rPr>
        <w:t xml:space="preserve"> </w:t>
      </w:r>
      <w:r w:rsidRPr="00974030">
        <w:rPr>
          <w:rFonts w:asciiTheme="minorBidi" w:hAnsiTheme="minorBidi" w:cs="Arial" w:hint="cs"/>
          <w:rtl/>
        </w:rPr>
        <w:t>המקלח</w:t>
      </w:r>
      <w:r w:rsidRPr="00974030">
        <w:rPr>
          <w:rFonts w:asciiTheme="minorBidi" w:hAnsiTheme="minorBidi" w:cs="Arial"/>
          <w:rtl/>
        </w:rPr>
        <w:t xml:space="preserve"> </w:t>
      </w:r>
      <w:r w:rsidRPr="00974030">
        <w:rPr>
          <w:rFonts w:asciiTheme="minorBidi" w:hAnsiTheme="minorBidi" w:cs="Arial" w:hint="cs"/>
          <w:rtl/>
        </w:rPr>
        <w:t>מים</w:t>
      </w:r>
      <w:r w:rsidRPr="00974030">
        <w:rPr>
          <w:rFonts w:asciiTheme="minorBidi" w:hAnsiTheme="minorBidi" w:cs="Arial"/>
          <w:rtl/>
        </w:rPr>
        <w:t xml:space="preserve"> </w:t>
      </w:r>
      <w:r w:rsidRPr="00974030">
        <w:rPr>
          <w:rFonts w:asciiTheme="minorBidi" w:hAnsiTheme="minorBidi" w:cs="Arial" w:hint="cs"/>
          <w:rtl/>
        </w:rPr>
        <w:t>מן</w:t>
      </w:r>
      <w:r w:rsidRPr="00974030">
        <w:rPr>
          <w:rFonts w:asciiTheme="minorBidi" w:hAnsiTheme="minorBidi" w:cs="Arial"/>
          <w:rtl/>
        </w:rPr>
        <w:t xml:space="preserve"> </w:t>
      </w:r>
      <w:r w:rsidRPr="00974030">
        <w:rPr>
          <w:rFonts w:asciiTheme="minorBidi" w:hAnsiTheme="minorBidi" w:cs="Arial" w:hint="cs"/>
          <w:rtl/>
        </w:rPr>
        <w:t>הגג</w:t>
      </w:r>
      <w:r w:rsidRPr="00974030">
        <w:rPr>
          <w:rFonts w:asciiTheme="minorBidi" w:hAnsiTheme="minorBidi" w:cs="Arial"/>
          <w:rtl/>
        </w:rPr>
        <w:t xml:space="preserve"> </w:t>
      </w:r>
      <w:r w:rsidRPr="00974030">
        <w:rPr>
          <w:rFonts w:asciiTheme="minorBidi" w:hAnsiTheme="minorBidi" w:cs="Arial" w:hint="cs"/>
          <w:rtl/>
        </w:rPr>
        <w:t>שעלו</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קשים</w:t>
      </w:r>
      <w:r w:rsidRPr="00974030">
        <w:rPr>
          <w:rFonts w:asciiTheme="minorBidi" w:hAnsiTheme="minorBidi" w:cs="Arial"/>
          <w:rtl/>
        </w:rPr>
        <w:t xml:space="preserve"> </w:t>
      </w:r>
      <w:r w:rsidRPr="00974030">
        <w:rPr>
          <w:rFonts w:asciiTheme="minorBidi" w:hAnsiTheme="minorBidi" w:cs="Arial" w:hint="cs"/>
          <w:rtl/>
        </w:rPr>
        <w:t>ועשבים</w:t>
      </w:r>
      <w:r w:rsidRPr="00974030">
        <w:rPr>
          <w:rFonts w:asciiTheme="minorBidi" w:hAnsiTheme="minorBidi" w:cs="Arial"/>
          <w:rtl/>
        </w:rPr>
        <w:t xml:space="preserve"> </w:t>
      </w:r>
      <w:r w:rsidRPr="00974030">
        <w:rPr>
          <w:rFonts w:asciiTheme="minorBidi" w:hAnsiTheme="minorBidi" w:cs="Arial" w:hint="cs"/>
          <w:rtl/>
        </w:rPr>
        <w:t>שסותמים</w:t>
      </w:r>
      <w:r w:rsidRPr="00974030">
        <w:rPr>
          <w:rFonts w:asciiTheme="minorBidi" w:hAnsiTheme="minorBidi" w:cs="Arial"/>
          <w:rtl/>
        </w:rPr>
        <w:t xml:space="preserve"> </w:t>
      </w:r>
      <w:r w:rsidRPr="00974030">
        <w:rPr>
          <w:rFonts w:asciiTheme="minorBidi" w:hAnsiTheme="minorBidi" w:cs="Arial" w:hint="cs"/>
          <w:rtl/>
        </w:rPr>
        <w:t>ומעכבים</w:t>
      </w:r>
      <w:r w:rsidRPr="00974030">
        <w:rPr>
          <w:rFonts w:asciiTheme="minorBidi" w:hAnsiTheme="minorBidi" w:cs="Arial"/>
          <w:rtl/>
        </w:rPr>
        <w:t xml:space="preserve"> </w:t>
      </w:r>
      <w:r w:rsidRPr="00974030">
        <w:rPr>
          <w:rFonts w:asciiTheme="minorBidi" w:hAnsiTheme="minorBidi" w:cs="Arial" w:hint="cs"/>
          <w:rtl/>
        </w:rPr>
        <w:t>קילוחו</w:t>
      </w:r>
      <w:r w:rsidRPr="00974030">
        <w:rPr>
          <w:rFonts w:asciiTheme="minorBidi" w:hAnsiTheme="minorBidi" w:cs="Arial"/>
          <w:rtl/>
        </w:rPr>
        <w:t xml:space="preserve"> </w:t>
      </w:r>
      <w:r w:rsidRPr="00974030">
        <w:rPr>
          <w:rFonts w:asciiTheme="minorBidi" w:hAnsiTheme="minorBidi" w:cs="Arial" w:hint="cs"/>
          <w:rtl/>
        </w:rPr>
        <w:t>ומימיו</w:t>
      </w:r>
      <w:r w:rsidRPr="00974030">
        <w:rPr>
          <w:rFonts w:asciiTheme="minorBidi" w:hAnsiTheme="minorBidi" w:cs="Arial"/>
          <w:rtl/>
        </w:rPr>
        <w:t xml:space="preserve"> </w:t>
      </w:r>
      <w:r w:rsidRPr="00974030">
        <w:rPr>
          <w:rFonts w:asciiTheme="minorBidi" w:hAnsiTheme="minorBidi" w:cs="Arial" w:hint="cs"/>
          <w:rtl/>
        </w:rPr>
        <w:t>יוצאים</w:t>
      </w:r>
      <w:r w:rsidRPr="00974030">
        <w:rPr>
          <w:rFonts w:asciiTheme="minorBidi" w:hAnsiTheme="minorBidi" w:cs="Arial"/>
          <w:rtl/>
        </w:rPr>
        <w:t xml:space="preserve"> </w:t>
      </w:r>
      <w:r w:rsidRPr="00974030">
        <w:rPr>
          <w:rFonts w:asciiTheme="minorBidi" w:hAnsiTheme="minorBidi" w:cs="Arial" w:hint="cs"/>
          <w:rtl/>
        </w:rPr>
        <w:t>ומתפשטים</w:t>
      </w:r>
      <w:r w:rsidRPr="00974030">
        <w:rPr>
          <w:rFonts w:asciiTheme="minorBidi" w:hAnsiTheme="minorBidi" w:cs="Arial"/>
          <w:rtl/>
        </w:rPr>
        <w:t xml:space="preserve"> </w:t>
      </w:r>
      <w:r w:rsidRPr="00974030">
        <w:rPr>
          <w:rFonts w:asciiTheme="minorBidi" w:hAnsiTheme="minorBidi" w:cs="Arial" w:hint="cs"/>
          <w:rtl/>
        </w:rPr>
        <w:t>בגג</w:t>
      </w:r>
      <w:r w:rsidRPr="00974030">
        <w:rPr>
          <w:rFonts w:asciiTheme="minorBidi" w:hAnsiTheme="minorBidi" w:cs="Arial"/>
          <w:rtl/>
        </w:rPr>
        <w:t xml:space="preserve"> </w:t>
      </w:r>
      <w:r w:rsidRPr="00974030">
        <w:rPr>
          <w:rFonts w:asciiTheme="minorBidi" w:hAnsiTheme="minorBidi" w:cs="Arial" w:hint="cs"/>
          <w:rtl/>
        </w:rPr>
        <w:t>ודולפים</w:t>
      </w:r>
      <w:r w:rsidRPr="00974030">
        <w:rPr>
          <w:rFonts w:asciiTheme="minorBidi" w:hAnsiTheme="minorBidi" w:cs="Arial"/>
          <w:rtl/>
        </w:rPr>
        <w:t xml:space="preserve"> </w:t>
      </w:r>
      <w:r w:rsidRPr="00974030">
        <w:rPr>
          <w:rFonts w:asciiTheme="minorBidi" w:hAnsiTheme="minorBidi" w:cs="Arial" w:hint="cs"/>
          <w:rtl/>
        </w:rPr>
        <w:t>לבית</w:t>
      </w:r>
      <w:r w:rsidRPr="00974030">
        <w:rPr>
          <w:rFonts w:asciiTheme="minorBidi" w:hAnsiTheme="minorBidi" w:cs="Arial"/>
          <w:rtl/>
        </w:rPr>
        <w:t xml:space="preserve">, </w:t>
      </w:r>
      <w:r w:rsidRPr="00974030">
        <w:rPr>
          <w:rFonts w:asciiTheme="minorBidi" w:hAnsiTheme="minorBidi" w:cs="Arial" w:hint="cs"/>
          <w:rtl/>
        </w:rPr>
        <w:t>ממעכן</w:t>
      </w:r>
      <w:r w:rsidRPr="00974030">
        <w:rPr>
          <w:rFonts w:asciiTheme="minorBidi" w:hAnsiTheme="minorBidi" w:cs="Arial"/>
          <w:rtl/>
        </w:rPr>
        <w:t xml:space="preserve"> </w:t>
      </w:r>
      <w:r w:rsidRPr="00974030">
        <w:rPr>
          <w:rFonts w:asciiTheme="minorBidi" w:hAnsiTheme="minorBidi" w:cs="Arial" w:hint="cs"/>
          <w:rtl/>
        </w:rPr>
        <w:t>ברגלו</w:t>
      </w:r>
      <w:r w:rsidRPr="00974030">
        <w:rPr>
          <w:rFonts w:asciiTheme="minorBidi" w:hAnsiTheme="minorBidi" w:cs="Arial"/>
          <w:rtl/>
        </w:rPr>
        <w:t xml:space="preserve"> </w:t>
      </w:r>
      <w:r w:rsidRPr="00974030">
        <w:rPr>
          <w:rFonts w:asciiTheme="minorBidi" w:hAnsiTheme="minorBidi" w:cs="Arial" w:hint="cs"/>
          <w:rtl/>
        </w:rPr>
        <w:t>בצנעה</w:t>
      </w:r>
      <w:r w:rsidRPr="00974030">
        <w:rPr>
          <w:rFonts w:asciiTheme="minorBidi" w:hAnsiTheme="minorBidi" w:cs="Arial"/>
          <w:rtl/>
        </w:rPr>
        <w:t xml:space="preserve">, </w:t>
      </w:r>
      <w:r w:rsidRPr="00974030">
        <w:rPr>
          <w:rFonts w:asciiTheme="minorBidi" w:hAnsiTheme="minorBidi" w:cs="Arial" w:hint="cs"/>
          <w:rtl/>
        </w:rPr>
        <w:t>דכיון</w:t>
      </w:r>
      <w:r w:rsidRPr="00974030">
        <w:rPr>
          <w:rFonts w:asciiTheme="minorBidi" w:hAnsiTheme="minorBidi" w:cs="Arial"/>
          <w:rtl/>
        </w:rPr>
        <w:t xml:space="preserve"> </w:t>
      </w:r>
      <w:r w:rsidRPr="00974030">
        <w:rPr>
          <w:rFonts w:asciiTheme="minorBidi" w:hAnsiTheme="minorBidi" w:cs="Arial" w:hint="cs"/>
          <w:rtl/>
        </w:rPr>
        <w:t>דמתקן</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ידי</w:t>
      </w:r>
      <w:r w:rsidRPr="00974030">
        <w:rPr>
          <w:rFonts w:asciiTheme="minorBidi" w:hAnsiTheme="minorBidi" w:cs="Arial"/>
          <w:rtl/>
        </w:rPr>
        <w:t xml:space="preserve"> </w:t>
      </w:r>
      <w:r w:rsidRPr="00974030">
        <w:rPr>
          <w:rFonts w:asciiTheme="minorBidi" w:hAnsiTheme="minorBidi" w:cs="Arial" w:hint="cs"/>
          <w:rtl/>
        </w:rPr>
        <w:t>שינוי</w:t>
      </w:r>
      <w:r w:rsidRPr="00974030">
        <w:rPr>
          <w:rFonts w:asciiTheme="minorBidi" w:hAnsiTheme="minorBidi" w:cs="Arial"/>
          <w:rtl/>
        </w:rPr>
        <w:t xml:space="preserve"> </w:t>
      </w:r>
      <w:r w:rsidRPr="00974030">
        <w:rPr>
          <w:rFonts w:asciiTheme="minorBidi" w:hAnsiTheme="minorBidi" w:cs="Arial" w:hint="cs"/>
          <w:rtl/>
        </w:rPr>
        <w:t>הוא</w:t>
      </w:r>
      <w:r w:rsidRPr="00974030">
        <w:rPr>
          <w:rFonts w:asciiTheme="minorBidi" w:hAnsiTheme="minorBidi" w:cs="Arial"/>
          <w:rtl/>
        </w:rPr>
        <w:t xml:space="preserve">, </w:t>
      </w:r>
      <w:r w:rsidRPr="00974030">
        <w:rPr>
          <w:rFonts w:asciiTheme="minorBidi" w:hAnsiTheme="minorBidi" w:cs="Arial" w:hint="cs"/>
          <w:rtl/>
        </w:rPr>
        <w:t>שאינו</w:t>
      </w:r>
      <w:r w:rsidRPr="00974030">
        <w:rPr>
          <w:rFonts w:asciiTheme="minorBidi" w:hAnsiTheme="minorBidi" w:cs="Arial"/>
          <w:rtl/>
        </w:rPr>
        <w:t xml:space="preserve"> </w:t>
      </w:r>
      <w:r w:rsidRPr="00974030">
        <w:rPr>
          <w:rFonts w:asciiTheme="minorBidi" w:hAnsiTheme="minorBidi" w:cs="Arial" w:hint="cs"/>
          <w:rtl/>
        </w:rPr>
        <w:t>עושה</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ברגליו</w:t>
      </w:r>
      <w:r w:rsidRPr="00974030">
        <w:rPr>
          <w:rFonts w:asciiTheme="minorBidi" w:hAnsiTheme="minorBidi" w:cs="Arial"/>
          <w:rtl/>
        </w:rPr>
        <w:t xml:space="preserve">, </w:t>
      </w:r>
      <w:r w:rsidRPr="00974030">
        <w:rPr>
          <w:rFonts w:asciiTheme="minorBidi" w:hAnsiTheme="minorBidi" w:cs="Arial" w:hint="cs"/>
          <w:rtl/>
        </w:rPr>
        <w:t>במקום</w:t>
      </w:r>
      <w:r w:rsidRPr="00974030">
        <w:rPr>
          <w:rFonts w:asciiTheme="minorBidi" w:hAnsiTheme="minorBidi" w:cs="Arial"/>
          <w:rtl/>
        </w:rPr>
        <w:t xml:space="preserve"> </w:t>
      </w:r>
      <w:r w:rsidRPr="00974030">
        <w:rPr>
          <w:rFonts w:asciiTheme="minorBidi" w:hAnsiTheme="minorBidi" w:cs="Arial" w:hint="cs"/>
          <w:rtl/>
        </w:rPr>
        <w:t>פסידא</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גזרו</w:t>
      </w:r>
      <w:r w:rsidRPr="00974030">
        <w:rPr>
          <w:rFonts w:asciiTheme="minorBidi" w:hAnsiTheme="minorBidi" w:cs="Arial"/>
          <w:rtl/>
        </w:rPr>
        <w:t xml:space="preserve"> </w:t>
      </w:r>
      <w:r w:rsidRPr="00974030">
        <w:rPr>
          <w:rFonts w:asciiTheme="minorBidi" w:hAnsiTheme="minorBidi" w:cs="Arial" w:hint="cs"/>
          <w:rtl/>
        </w:rPr>
        <w:t>רבנן</w:t>
      </w:r>
      <w:r w:rsidRPr="00974030">
        <w:rPr>
          <w:rFonts w:asciiTheme="minorBidi" w:hAnsiTheme="minorBidi" w:cs="Arial"/>
          <w:rtl/>
        </w:rPr>
        <w:t xml:space="preserve">. </w:t>
      </w:r>
    </w:p>
    <w:p w14:paraId="07DB72BD"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י</w:t>
      </w:r>
    </w:p>
    <w:p w14:paraId="08CD6C78"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הדס</w:t>
      </w:r>
      <w:r w:rsidRPr="00974030">
        <w:rPr>
          <w:rFonts w:asciiTheme="minorBidi" w:hAnsiTheme="minorBidi" w:cs="Arial"/>
          <w:rtl/>
        </w:rPr>
        <w:t xml:space="preserve"> </w:t>
      </w:r>
      <w:r w:rsidRPr="00974030">
        <w:rPr>
          <w:rFonts w:asciiTheme="minorBidi" w:hAnsiTheme="minorBidi" w:cs="Arial" w:hint="cs"/>
          <w:rtl/>
        </w:rPr>
        <w:t>מחובר</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להריח</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אתרוג</w:t>
      </w:r>
      <w:r w:rsidRPr="00974030">
        <w:rPr>
          <w:rFonts w:asciiTheme="minorBidi" w:hAnsiTheme="minorBidi" w:cs="Arial"/>
          <w:rtl/>
        </w:rPr>
        <w:t xml:space="preserve"> </w:t>
      </w:r>
      <w:r w:rsidRPr="00974030">
        <w:rPr>
          <w:rFonts w:asciiTheme="minorBidi" w:hAnsiTheme="minorBidi" w:cs="Arial" w:hint="cs"/>
          <w:rtl/>
        </w:rPr>
        <w:t>ותפוח</w:t>
      </w:r>
      <w:r w:rsidRPr="00974030">
        <w:rPr>
          <w:rFonts w:asciiTheme="minorBidi" w:hAnsiTheme="minorBidi" w:cs="Arial"/>
          <w:rtl/>
        </w:rPr>
        <w:t xml:space="preserve"> </w:t>
      </w:r>
      <w:r w:rsidRPr="00974030">
        <w:rPr>
          <w:rFonts w:asciiTheme="minorBidi" w:hAnsiTheme="minorBidi" w:cs="Arial" w:hint="cs"/>
          <w:rtl/>
        </w:rPr>
        <w:t>וכל</w:t>
      </w:r>
      <w:r w:rsidRPr="00974030">
        <w:rPr>
          <w:rFonts w:asciiTheme="minorBidi" w:hAnsiTheme="minorBidi" w:cs="Arial"/>
          <w:rtl/>
        </w:rPr>
        <w:t xml:space="preserve"> </w:t>
      </w:r>
      <w:r w:rsidRPr="00974030">
        <w:rPr>
          <w:rFonts w:asciiTheme="minorBidi" w:hAnsiTheme="minorBidi" w:cs="Arial" w:hint="cs"/>
          <w:rtl/>
        </w:rPr>
        <w:t>דבר</w:t>
      </w:r>
      <w:r w:rsidRPr="00974030">
        <w:rPr>
          <w:rFonts w:asciiTheme="minorBidi" w:hAnsiTheme="minorBidi" w:cs="Arial"/>
          <w:rtl/>
        </w:rPr>
        <w:t xml:space="preserve"> </w:t>
      </w:r>
      <w:r w:rsidRPr="00974030">
        <w:rPr>
          <w:rFonts w:asciiTheme="minorBidi" w:hAnsiTheme="minorBidi" w:cs="Arial" w:hint="cs"/>
          <w:rtl/>
        </w:rPr>
        <w:t>הראוי</w:t>
      </w:r>
      <w:r w:rsidRPr="00974030">
        <w:rPr>
          <w:rFonts w:asciiTheme="minorBidi" w:hAnsiTheme="minorBidi" w:cs="Arial"/>
          <w:rtl/>
        </w:rPr>
        <w:t xml:space="preserve"> </w:t>
      </w:r>
      <w:r w:rsidRPr="00974030">
        <w:rPr>
          <w:rFonts w:asciiTheme="minorBidi" w:hAnsiTheme="minorBidi" w:cs="Arial" w:hint="cs"/>
          <w:rtl/>
        </w:rPr>
        <w:t>לאכילה</w:t>
      </w:r>
      <w:r w:rsidRPr="00974030">
        <w:rPr>
          <w:rFonts w:asciiTheme="minorBidi" w:hAnsiTheme="minorBidi" w:cs="Arial"/>
          <w:rtl/>
        </w:rPr>
        <w:t xml:space="preserve">, </w:t>
      </w: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להריח</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במחובר</w:t>
      </w:r>
      <w:r w:rsidRPr="00974030">
        <w:rPr>
          <w:rFonts w:asciiTheme="minorBidi" w:hAnsiTheme="minorBidi" w:cs="Arial"/>
          <w:rtl/>
        </w:rPr>
        <w:t xml:space="preserve"> </w:t>
      </w:r>
      <w:r w:rsidRPr="00974030">
        <w:rPr>
          <w:rFonts w:asciiTheme="minorBidi" w:hAnsiTheme="minorBidi" w:cs="Arial" w:hint="cs"/>
          <w:rtl/>
        </w:rPr>
        <w:t>שמא</w:t>
      </w:r>
      <w:r w:rsidRPr="00974030">
        <w:rPr>
          <w:rFonts w:asciiTheme="minorBidi" w:hAnsiTheme="minorBidi" w:cs="Arial"/>
          <w:rtl/>
        </w:rPr>
        <w:t xml:space="preserve"> </w:t>
      </w:r>
      <w:r w:rsidRPr="00974030">
        <w:rPr>
          <w:rFonts w:asciiTheme="minorBidi" w:hAnsiTheme="minorBidi" w:cs="Arial" w:hint="cs"/>
          <w:rtl/>
        </w:rPr>
        <w:t>יקוץ</w:t>
      </w:r>
      <w:r w:rsidRPr="00974030">
        <w:rPr>
          <w:rFonts w:asciiTheme="minorBidi" w:hAnsiTheme="minorBidi" w:cs="Arial"/>
          <w:rtl/>
        </w:rPr>
        <w:t xml:space="preserve"> </w:t>
      </w:r>
      <w:r w:rsidRPr="00974030">
        <w:rPr>
          <w:rFonts w:asciiTheme="minorBidi" w:hAnsiTheme="minorBidi" w:cs="Arial" w:hint="cs"/>
          <w:rtl/>
        </w:rPr>
        <w:t>אותו</w:t>
      </w:r>
      <w:r w:rsidRPr="00974030">
        <w:rPr>
          <w:rFonts w:asciiTheme="minorBidi" w:hAnsiTheme="minorBidi" w:cs="Arial"/>
          <w:rtl/>
        </w:rPr>
        <w:t xml:space="preserve"> </w:t>
      </w:r>
      <w:r w:rsidRPr="00974030">
        <w:rPr>
          <w:rFonts w:asciiTheme="minorBidi" w:hAnsiTheme="minorBidi" w:cs="Arial" w:hint="cs"/>
          <w:rtl/>
        </w:rPr>
        <w:t>לאכלו</w:t>
      </w:r>
      <w:r w:rsidRPr="00974030">
        <w:rPr>
          <w:rFonts w:asciiTheme="minorBidi" w:hAnsiTheme="minorBidi" w:cs="Arial"/>
          <w:rtl/>
        </w:rPr>
        <w:t xml:space="preserve">. </w:t>
      </w:r>
    </w:p>
    <w:p w14:paraId="4BC6E6B9"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יא</w:t>
      </w:r>
    </w:p>
    <w:p w14:paraId="288E2AB7"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השורה</w:t>
      </w:r>
      <w:r w:rsidRPr="00974030">
        <w:rPr>
          <w:rFonts w:asciiTheme="minorBidi" w:hAnsiTheme="minorBidi" w:cs="Arial"/>
          <w:rtl/>
        </w:rPr>
        <w:t xml:space="preserve"> </w:t>
      </w:r>
      <w:r w:rsidRPr="00974030">
        <w:rPr>
          <w:rFonts w:asciiTheme="minorBidi" w:hAnsiTheme="minorBidi" w:cs="Arial" w:hint="cs"/>
          <w:rtl/>
        </w:rPr>
        <w:t>חטים</w:t>
      </w:r>
      <w:r w:rsidRPr="00974030">
        <w:rPr>
          <w:rFonts w:asciiTheme="minorBidi" w:hAnsiTheme="minorBidi" w:cs="Arial"/>
          <w:rtl/>
        </w:rPr>
        <w:t xml:space="preserve"> </w:t>
      </w:r>
      <w:r w:rsidRPr="00974030">
        <w:rPr>
          <w:rFonts w:asciiTheme="minorBidi" w:hAnsiTheme="minorBidi" w:cs="Arial" w:hint="cs"/>
          <w:rtl/>
        </w:rPr>
        <w:t>ושעורים</w:t>
      </w:r>
      <w:r w:rsidRPr="00974030">
        <w:rPr>
          <w:rFonts w:asciiTheme="minorBidi" w:hAnsiTheme="minorBidi" w:cs="Arial"/>
          <w:rtl/>
        </w:rPr>
        <w:t xml:space="preserve"> </w:t>
      </w:r>
      <w:r w:rsidRPr="00974030">
        <w:rPr>
          <w:rFonts w:asciiTheme="minorBidi" w:hAnsiTheme="minorBidi" w:cs="Arial" w:hint="cs"/>
          <w:rtl/>
        </w:rPr>
        <w:t>וכיוצא</w:t>
      </w:r>
      <w:r w:rsidRPr="00974030">
        <w:rPr>
          <w:rFonts w:asciiTheme="minorBidi" w:hAnsiTheme="minorBidi" w:cs="Arial"/>
          <w:rtl/>
        </w:rPr>
        <w:t xml:space="preserve"> </w:t>
      </w:r>
      <w:r w:rsidRPr="00974030">
        <w:rPr>
          <w:rFonts w:asciiTheme="minorBidi" w:hAnsiTheme="minorBidi" w:cs="Arial" w:hint="cs"/>
          <w:rtl/>
        </w:rPr>
        <w:t>בהם</w:t>
      </w:r>
      <w:r w:rsidRPr="00974030">
        <w:rPr>
          <w:rFonts w:asciiTheme="minorBidi" w:hAnsiTheme="minorBidi" w:cs="Arial"/>
          <w:rtl/>
        </w:rPr>
        <w:t xml:space="preserve"> </w:t>
      </w:r>
      <w:r w:rsidRPr="00974030">
        <w:rPr>
          <w:rFonts w:asciiTheme="minorBidi" w:hAnsiTheme="minorBidi" w:cs="Arial" w:hint="cs"/>
          <w:rtl/>
        </w:rPr>
        <w:t>במים</w:t>
      </w:r>
      <w:r w:rsidRPr="00974030">
        <w:rPr>
          <w:rFonts w:asciiTheme="minorBidi" w:hAnsiTheme="minorBidi" w:cs="Arial"/>
          <w:rtl/>
        </w:rPr>
        <w:t xml:space="preserve">, </w:t>
      </w:r>
      <w:r w:rsidRPr="00974030">
        <w:rPr>
          <w:rFonts w:asciiTheme="minorBidi" w:hAnsiTheme="minorBidi" w:cs="Arial" w:hint="cs"/>
          <w:rtl/>
        </w:rPr>
        <w:t>ה</w:t>
      </w:r>
      <w:r w:rsidRPr="00974030">
        <w:rPr>
          <w:rFonts w:asciiTheme="minorBidi" w:hAnsiTheme="minorBidi" w:cs="Arial"/>
          <w:rtl/>
        </w:rPr>
        <w:t>"</w:t>
      </w:r>
      <w:r w:rsidRPr="00974030">
        <w:rPr>
          <w:rFonts w:asciiTheme="minorBidi" w:hAnsiTheme="minorBidi" w:cs="Arial" w:hint="cs"/>
          <w:rtl/>
        </w:rPr>
        <w:t>ז</w:t>
      </w:r>
      <w:r w:rsidRPr="00974030">
        <w:rPr>
          <w:rFonts w:asciiTheme="minorBidi" w:hAnsiTheme="minorBidi" w:cs="Arial"/>
          <w:rtl/>
        </w:rPr>
        <w:t xml:space="preserve"> </w:t>
      </w:r>
      <w:r w:rsidRPr="00974030">
        <w:rPr>
          <w:rFonts w:asciiTheme="minorBidi" w:hAnsiTheme="minorBidi" w:cs="Arial" w:hint="cs"/>
          <w:rtl/>
        </w:rPr>
        <w:t>תולדת</w:t>
      </w:r>
      <w:r w:rsidRPr="00974030">
        <w:rPr>
          <w:rFonts w:asciiTheme="minorBidi" w:hAnsiTheme="minorBidi" w:cs="Arial"/>
          <w:rtl/>
        </w:rPr>
        <w:t xml:space="preserve"> </w:t>
      </w:r>
      <w:r w:rsidRPr="00974030">
        <w:rPr>
          <w:rFonts w:asciiTheme="minorBidi" w:hAnsiTheme="minorBidi" w:cs="Arial" w:hint="cs"/>
          <w:rtl/>
        </w:rPr>
        <w:t>זורע</w:t>
      </w:r>
      <w:r w:rsidRPr="00974030">
        <w:rPr>
          <w:rFonts w:asciiTheme="minorBidi" w:hAnsiTheme="minorBidi" w:cs="Arial"/>
          <w:rtl/>
        </w:rPr>
        <w:t xml:space="preserve"> </w:t>
      </w:r>
      <w:r w:rsidRPr="00974030">
        <w:rPr>
          <w:rFonts w:asciiTheme="minorBidi" w:hAnsiTheme="minorBidi" w:cs="Arial" w:hint="cs"/>
          <w:rtl/>
        </w:rPr>
        <w:t>וחייב</w:t>
      </w:r>
      <w:r w:rsidRPr="00974030">
        <w:rPr>
          <w:rFonts w:asciiTheme="minorBidi" w:hAnsiTheme="minorBidi" w:cs="Arial"/>
          <w:rtl/>
        </w:rPr>
        <w:t xml:space="preserve"> </w:t>
      </w:r>
      <w:r w:rsidRPr="00974030">
        <w:rPr>
          <w:rFonts w:asciiTheme="minorBidi" w:hAnsiTheme="minorBidi" w:cs="Arial" w:hint="cs"/>
          <w:rtl/>
        </w:rPr>
        <w:t>בכל</w:t>
      </w:r>
      <w:r w:rsidRPr="00974030">
        <w:rPr>
          <w:rFonts w:asciiTheme="minorBidi" w:hAnsiTheme="minorBidi" w:cs="Arial"/>
          <w:rtl/>
        </w:rPr>
        <w:t xml:space="preserve"> </w:t>
      </w:r>
      <w:r w:rsidRPr="00974030">
        <w:rPr>
          <w:rFonts w:asciiTheme="minorBidi" w:hAnsiTheme="minorBidi" w:cs="Arial" w:hint="cs"/>
          <w:rtl/>
        </w:rPr>
        <w:t>שהוא</w:t>
      </w:r>
      <w:r w:rsidRPr="00974030">
        <w:rPr>
          <w:rFonts w:asciiTheme="minorBidi" w:hAnsiTheme="minorBidi" w:cs="Arial"/>
          <w:rtl/>
        </w:rPr>
        <w:t xml:space="preserve">. </w:t>
      </w:r>
      <w:r w:rsidRPr="00974030">
        <w:rPr>
          <w:rFonts w:asciiTheme="minorBidi" w:hAnsiTheme="minorBidi" w:cs="Arial" w:hint="cs"/>
          <w:rtl/>
        </w:rPr>
        <w:t>הגה</w:t>
      </w:r>
      <w:r w:rsidRPr="00974030">
        <w:rPr>
          <w:rFonts w:asciiTheme="minorBidi" w:hAnsiTheme="minorBidi" w:cs="Arial"/>
          <w:rtl/>
        </w:rPr>
        <w:t xml:space="preserve">: </w:t>
      </w:r>
      <w:r w:rsidRPr="00974030">
        <w:rPr>
          <w:rFonts w:asciiTheme="minorBidi" w:hAnsiTheme="minorBidi" w:cs="Arial" w:hint="cs"/>
          <w:rtl/>
        </w:rPr>
        <w:t>ומותר</w:t>
      </w:r>
      <w:r w:rsidRPr="00974030">
        <w:rPr>
          <w:rFonts w:asciiTheme="minorBidi" w:hAnsiTheme="minorBidi" w:cs="Arial"/>
          <w:rtl/>
        </w:rPr>
        <w:t xml:space="preserve"> </w:t>
      </w:r>
      <w:r w:rsidRPr="00974030">
        <w:rPr>
          <w:rFonts w:asciiTheme="minorBidi" w:hAnsiTheme="minorBidi" w:cs="Arial" w:hint="cs"/>
          <w:rtl/>
        </w:rPr>
        <w:t>להעמיד</w:t>
      </w:r>
      <w:r w:rsidRPr="00974030">
        <w:rPr>
          <w:rFonts w:asciiTheme="minorBidi" w:hAnsiTheme="minorBidi" w:cs="Arial"/>
          <w:rtl/>
        </w:rPr>
        <w:t xml:space="preserve"> </w:t>
      </w:r>
      <w:r w:rsidRPr="00974030">
        <w:rPr>
          <w:rFonts w:asciiTheme="minorBidi" w:hAnsiTheme="minorBidi" w:cs="Arial" w:hint="cs"/>
          <w:rtl/>
        </w:rPr>
        <w:t>ענפי</w:t>
      </w:r>
      <w:r w:rsidRPr="00974030">
        <w:rPr>
          <w:rFonts w:asciiTheme="minorBidi" w:hAnsiTheme="minorBidi" w:cs="Arial"/>
          <w:rtl/>
        </w:rPr>
        <w:t xml:space="preserve"> </w:t>
      </w:r>
      <w:r w:rsidRPr="00974030">
        <w:rPr>
          <w:rFonts w:asciiTheme="minorBidi" w:hAnsiTheme="minorBidi" w:cs="Arial" w:hint="cs"/>
          <w:rtl/>
        </w:rPr>
        <w:t>אילנות</w:t>
      </w:r>
      <w:r w:rsidRPr="00974030">
        <w:rPr>
          <w:rFonts w:asciiTheme="minorBidi" w:hAnsiTheme="minorBidi" w:cs="Arial"/>
          <w:rtl/>
        </w:rPr>
        <w:t xml:space="preserve"> </w:t>
      </w:r>
      <w:r w:rsidRPr="00974030">
        <w:rPr>
          <w:rFonts w:asciiTheme="minorBidi" w:hAnsiTheme="minorBidi" w:cs="Arial" w:hint="cs"/>
          <w:rtl/>
        </w:rPr>
        <w:t>במים</w:t>
      </w:r>
      <w:r w:rsidRPr="00974030">
        <w:rPr>
          <w:rFonts w:asciiTheme="minorBidi" w:hAnsiTheme="minorBidi" w:cs="Arial"/>
          <w:rtl/>
        </w:rPr>
        <w:t xml:space="preserve"> </w:t>
      </w:r>
      <w:r w:rsidRPr="00974030">
        <w:rPr>
          <w:rFonts w:asciiTheme="minorBidi" w:hAnsiTheme="minorBidi" w:cs="Arial" w:hint="cs"/>
          <w:rtl/>
        </w:rPr>
        <w:t>בשבת</w:t>
      </w:r>
      <w:r w:rsidRPr="00974030">
        <w:rPr>
          <w:rFonts w:asciiTheme="minorBidi" w:hAnsiTheme="minorBidi" w:cs="Arial"/>
          <w:rtl/>
        </w:rPr>
        <w:t xml:space="preserve">, </w:t>
      </w:r>
      <w:r w:rsidRPr="00974030">
        <w:rPr>
          <w:rFonts w:asciiTheme="minorBidi" w:hAnsiTheme="minorBidi" w:cs="Arial" w:hint="cs"/>
          <w:rtl/>
        </w:rPr>
        <w:t>ובלבד</w:t>
      </w:r>
      <w:r w:rsidRPr="00974030">
        <w:rPr>
          <w:rFonts w:asciiTheme="minorBidi" w:hAnsiTheme="minorBidi" w:cs="Arial"/>
          <w:rtl/>
        </w:rPr>
        <w:t xml:space="preserve"> </w:t>
      </w:r>
      <w:r w:rsidRPr="00974030">
        <w:rPr>
          <w:rFonts w:asciiTheme="minorBidi" w:hAnsiTheme="minorBidi" w:cs="Arial" w:hint="cs"/>
          <w:rtl/>
        </w:rPr>
        <w:t>שלא</w:t>
      </w:r>
      <w:r w:rsidRPr="00974030">
        <w:rPr>
          <w:rFonts w:asciiTheme="minorBidi" w:hAnsiTheme="minorBidi" w:cs="Arial"/>
          <w:rtl/>
        </w:rPr>
        <w:t xml:space="preserve"> </w:t>
      </w:r>
      <w:r w:rsidRPr="00974030">
        <w:rPr>
          <w:rFonts w:asciiTheme="minorBidi" w:hAnsiTheme="minorBidi" w:cs="Arial" w:hint="cs"/>
          <w:rtl/>
        </w:rPr>
        <w:t>יהיו</w:t>
      </w:r>
      <w:r w:rsidRPr="00974030">
        <w:rPr>
          <w:rFonts w:asciiTheme="minorBidi" w:hAnsiTheme="minorBidi" w:cs="Arial"/>
          <w:rtl/>
        </w:rPr>
        <w:t xml:space="preserve"> </w:t>
      </w:r>
      <w:r w:rsidRPr="00974030">
        <w:rPr>
          <w:rFonts w:asciiTheme="minorBidi" w:hAnsiTheme="minorBidi" w:cs="Arial" w:hint="cs"/>
          <w:rtl/>
        </w:rPr>
        <w:t>בהם</w:t>
      </w:r>
      <w:r w:rsidRPr="00974030">
        <w:rPr>
          <w:rFonts w:asciiTheme="minorBidi" w:hAnsiTheme="minorBidi" w:cs="Arial"/>
          <w:rtl/>
        </w:rPr>
        <w:t xml:space="preserve"> </w:t>
      </w:r>
      <w:r w:rsidRPr="00974030">
        <w:rPr>
          <w:rFonts w:asciiTheme="minorBidi" w:hAnsiTheme="minorBidi" w:cs="Arial" w:hint="cs"/>
          <w:rtl/>
        </w:rPr>
        <w:t>פרחים</w:t>
      </w:r>
      <w:r w:rsidRPr="00974030">
        <w:rPr>
          <w:rFonts w:asciiTheme="minorBidi" w:hAnsiTheme="minorBidi" w:cs="Arial"/>
          <w:rtl/>
        </w:rPr>
        <w:t xml:space="preserve"> </w:t>
      </w:r>
      <w:r w:rsidRPr="00974030">
        <w:rPr>
          <w:rFonts w:asciiTheme="minorBidi" w:hAnsiTheme="minorBidi" w:cs="Arial" w:hint="cs"/>
          <w:rtl/>
        </w:rPr>
        <w:t>ושושנים</w:t>
      </w:r>
      <w:r w:rsidRPr="00974030">
        <w:rPr>
          <w:rFonts w:asciiTheme="minorBidi" w:hAnsiTheme="minorBidi" w:cs="Arial"/>
          <w:rtl/>
        </w:rPr>
        <w:t xml:space="preserve"> </w:t>
      </w:r>
      <w:r w:rsidRPr="00974030">
        <w:rPr>
          <w:rFonts w:asciiTheme="minorBidi" w:hAnsiTheme="minorBidi" w:cs="Arial" w:hint="cs"/>
          <w:rtl/>
        </w:rPr>
        <w:t>שהם</w:t>
      </w:r>
      <w:r w:rsidRPr="00974030">
        <w:rPr>
          <w:rFonts w:asciiTheme="minorBidi" w:hAnsiTheme="minorBidi" w:cs="Arial"/>
          <w:rtl/>
        </w:rPr>
        <w:t xml:space="preserve"> </w:t>
      </w:r>
      <w:r w:rsidRPr="00974030">
        <w:rPr>
          <w:rFonts w:asciiTheme="minorBidi" w:hAnsiTheme="minorBidi" w:cs="Arial" w:hint="cs"/>
          <w:rtl/>
        </w:rPr>
        <w:t>נפתחים</w:t>
      </w:r>
      <w:r w:rsidRPr="00974030">
        <w:rPr>
          <w:rFonts w:asciiTheme="minorBidi" w:hAnsiTheme="minorBidi" w:cs="Arial"/>
          <w:rtl/>
        </w:rPr>
        <w:t xml:space="preserve"> </w:t>
      </w:r>
      <w:r w:rsidRPr="00974030">
        <w:rPr>
          <w:rFonts w:asciiTheme="minorBidi" w:hAnsiTheme="minorBidi" w:cs="Arial" w:hint="cs"/>
          <w:rtl/>
        </w:rPr>
        <w:t>מלחלוחית</w:t>
      </w:r>
      <w:r w:rsidRPr="00974030">
        <w:rPr>
          <w:rFonts w:asciiTheme="minorBidi" w:hAnsiTheme="minorBidi" w:cs="Arial"/>
          <w:rtl/>
        </w:rPr>
        <w:t xml:space="preserve"> </w:t>
      </w:r>
      <w:r w:rsidRPr="00974030">
        <w:rPr>
          <w:rFonts w:asciiTheme="minorBidi" w:hAnsiTheme="minorBidi" w:cs="Arial" w:hint="cs"/>
          <w:rtl/>
        </w:rPr>
        <w:t>המים</w:t>
      </w:r>
      <w:r w:rsidRPr="00974030">
        <w:rPr>
          <w:rFonts w:asciiTheme="minorBidi" w:hAnsiTheme="minorBidi" w:cs="Arial"/>
          <w:rtl/>
        </w:rPr>
        <w:t xml:space="preserve"> (</w:t>
      </w:r>
      <w:r w:rsidRPr="00974030">
        <w:rPr>
          <w:rFonts w:asciiTheme="minorBidi" w:hAnsiTheme="minorBidi" w:cs="Arial" w:hint="cs"/>
          <w:rtl/>
        </w:rPr>
        <w:t>מהרי</w:t>
      </w:r>
      <w:r w:rsidRPr="00974030">
        <w:rPr>
          <w:rFonts w:asciiTheme="minorBidi" w:hAnsiTheme="minorBidi" w:cs="Arial"/>
          <w:rtl/>
        </w:rPr>
        <w:t>"</w:t>
      </w:r>
      <w:r w:rsidRPr="00974030">
        <w:rPr>
          <w:rFonts w:asciiTheme="minorBidi" w:hAnsiTheme="minorBidi" w:cs="Arial" w:hint="cs"/>
          <w:rtl/>
        </w:rPr>
        <w:t>ל</w:t>
      </w:r>
      <w:r w:rsidRPr="00974030">
        <w:rPr>
          <w:rFonts w:asciiTheme="minorBidi" w:hAnsiTheme="minorBidi" w:cs="Arial"/>
          <w:rtl/>
        </w:rPr>
        <w:t xml:space="preserve">). </w:t>
      </w:r>
      <w:r w:rsidRPr="00974030">
        <w:rPr>
          <w:rFonts w:asciiTheme="minorBidi" w:hAnsiTheme="minorBidi" w:cs="Arial" w:hint="cs"/>
          <w:rtl/>
        </w:rPr>
        <w:t>ועיין</w:t>
      </w:r>
      <w:r w:rsidRPr="00974030">
        <w:rPr>
          <w:rFonts w:asciiTheme="minorBidi" w:hAnsiTheme="minorBidi" w:cs="Arial"/>
          <w:rtl/>
        </w:rPr>
        <w:t xml:space="preserve"> </w:t>
      </w:r>
      <w:r w:rsidRPr="00974030">
        <w:rPr>
          <w:rFonts w:asciiTheme="minorBidi" w:hAnsiTheme="minorBidi" w:cs="Arial" w:hint="cs"/>
          <w:rtl/>
        </w:rPr>
        <w:t>לקמן</w:t>
      </w:r>
      <w:r w:rsidRPr="00974030">
        <w:rPr>
          <w:rFonts w:asciiTheme="minorBidi" w:hAnsiTheme="minorBidi" w:cs="Arial"/>
          <w:rtl/>
        </w:rPr>
        <w:t xml:space="preserve"> </w:t>
      </w:r>
      <w:r w:rsidRPr="00974030">
        <w:rPr>
          <w:rFonts w:asciiTheme="minorBidi" w:hAnsiTheme="minorBidi" w:cs="Arial" w:hint="cs"/>
          <w:rtl/>
        </w:rPr>
        <w:t>סימן</w:t>
      </w:r>
      <w:r w:rsidRPr="00974030">
        <w:rPr>
          <w:rFonts w:asciiTheme="minorBidi" w:hAnsiTheme="minorBidi" w:cs="Arial"/>
          <w:rtl/>
        </w:rPr>
        <w:t xml:space="preserve"> </w:t>
      </w:r>
      <w:r w:rsidRPr="00974030">
        <w:rPr>
          <w:rFonts w:asciiTheme="minorBidi" w:hAnsiTheme="minorBidi" w:cs="Arial" w:hint="cs"/>
          <w:rtl/>
        </w:rPr>
        <w:t>תרנ</w:t>
      </w:r>
      <w:r w:rsidRPr="00974030">
        <w:rPr>
          <w:rFonts w:asciiTheme="minorBidi" w:hAnsiTheme="minorBidi" w:cs="Arial"/>
          <w:rtl/>
        </w:rPr>
        <w:t>"</w:t>
      </w:r>
      <w:r w:rsidRPr="00974030">
        <w:rPr>
          <w:rFonts w:asciiTheme="minorBidi" w:hAnsiTheme="minorBidi" w:cs="Arial" w:hint="cs"/>
          <w:rtl/>
        </w:rPr>
        <w:t>ד</w:t>
      </w:r>
      <w:r w:rsidRPr="00974030">
        <w:rPr>
          <w:rFonts w:asciiTheme="minorBidi" w:hAnsiTheme="minorBidi" w:cs="Arial"/>
          <w:rtl/>
        </w:rPr>
        <w:t xml:space="preserve">. </w:t>
      </w:r>
    </w:p>
    <w:p w14:paraId="71096A58"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יב</w:t>
      </w:r>
    </w:p>
    <w:p w14:paraId="1141B732"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תאנים</w:t>
      </w:r>
      <w:r w:rsidRPr="00974030">
        <w:rPr>
          <w:rFonts w:asciiTheme="minorBidi" w:hAnsiTheme="minorBidi" w:cs="Arial"/>
          <w:rtl/>
        </w:rPr>
        <w:t xml:space="preserve"> </w:t>
      </w:r>
      <w:r w:rsidRPr="00974030">
        <w:rPr>
          <w:rFonts w:asciiTheme="minorBidi" w:hAnsiTheme="minorBidi" w:cs="Arial" w:hint="cs"/>
          <w:rtl/>
        </w:rPr>
        <w:t>שיבשו</w:t>
      </w:r>
      <w:r w:rsidRPr="00974030">
        <w:rPr>
          <w:rFonts w:asciiTheme="minorBidi" w:hAnsiTheme="minorBidi" w:cs="Arial"/>
          <w:rtl/>
        </w:rPr>
        <w:t xml:space="preserve"> </w:t>
      </w:r>
      <w:r w:rsidRPr="00974030">
        <w:rPr>
          <w:rFonts w:asciiTheme="minorBidi" w:hAnsiTheme="minorBidi" w:cs="Arial" w:hint="cs"/>
          <w:rtl/>
        </w:rPr>
        <w:t>באיביהן</w:t>
      </w:r>
      <w:r w:rsidRPr="00974030">
        <w:rPr>
          <w:rFonts w:asciiTheme="minorBidi" w:hAnsiTheme="minorBidi" w:cs="Arial"/>
          <w:rtl/>
        </w:rPr>
        <w:t xml:space="preserve">, </w:t>
      </w:r>
      <w:r w:rsidRPr="00974030">
        <w:rPr>
          <w:rFonts w:asciiTheme="minorBidi" w:hAnsiTheme="minorBidi" w:cs="Arial" w:hint="cs"/>
          <w:rtl/>
        </w:rPr>
        <w:t>וכן</w:t>
      </w:r>
      <w:r w:rsidRPr="00974030">
        <w:rPr>
          <w:rFonts w:asciiTheme="minorBidi" w:hAnsiTheme="minorBidi" w:cs="Arial"/>
          <w:rtl/>
        </w:rPr>
        <w:t xml:space="preserve"> </w:t>
      </w:r>
      <w:r w:rsidRPr="00974030">
        <w:rPr>
          <w:rFonts w:asciiTheme="minorBidi" w:hAnsiTheme="minorBidi" w:cs="Arial" w:hint="cs"/>
          <w:rtl/>
        </w:rPr>
        <w:t>אילן</w:t>
      </w:r>
      <w:r w:rsidRPr="00974030">
        <w:rPr>
          <w:rFonts w:asciiTheme="minorBidi" w:hAnsiTheme="minorBidi" w:cs="Arial"/>
          <w:rtl/>
        </w:rPr>
        <w:t xml:space="preserve"> </w:t>
      </w:r>
      <w:r w:rsidRPr="00974030">
        <w:rPr>
          <w:rFonts w:asciiTheme="minorBidi" w:hAnsiTheme="minorBidi" w:cs="Arial" w:hint="cs"/>
          <w:rtl/>
        </w:rPr>
        <w:t>שיבשו</w:t>
      </w:r>
      <w:r w:rsidRPr="00974030">
        <w:rPr>
          <w:rFonts w:asciiTheme="minorBidi" w:hAnsiTheme="minorBidi" w:cs="Arial"/>
          <w:rtl/>
        </w:rPr>
        <w:t xml:space="preserve"> </w:t>
      </w:r>
      <w:r w:rsidRPr="00974030">
        <w:rPr>
          <w:rFonts w:asciiTheme="minorBidi" w:hAnsiTheme="minorBidi" w:cs="Arial" w:hint="cs"/>
          <w:rtl/>
        </w:rPr>
        <w:t>פירותיו</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התולש</w:t>
      </w:r>
      <w:r w:rsidRPr="00974030">
        <w:rPr>
          <w:rFonts w:asciiTheme="minorBidi" w:hAnsiTheme="minorBidi" w:cs="Arial"/>
          <w:rtl/>
        </w:rPr>
        <w:t xml:space="preserve"> </w:t>
      </w:r>
      <w:r w:rsidRPr="00974030">
        <w:rPr>
          <w:rFonts w:asciiTheme="minorBidi" w:hAnsiTheme="minorBidi" w:cs="Arial" w:hint="cs"/>
          <w:rtl/>
        </w:rPr>
        <w:t>מהם</w:t>
      </w:r>
      <w:r w:rsidRPr="00974030">
        <w:rPr>
          <w:rFonts w:asciiTheme="minorBidi" w:hAnsiTheme="minorBidi" w:cs="Arial"/>
          <w:rtl/>
        </w:rPr>
        <w:t xml:space="preserve"> </w:t>
      </w:r>
      <w:r w:rsidRPr="00974030">
        <w:rPr>
          <w:rFonts w:asciiTheme="minorBidi" w:hAnsiTheme="minorBidi" w:cs="Arial" w:hint="cs"/>
          <w:rtl/>
        </w:rPr>
        <w:t>בשבת</w:t>
      </w:r>
      <w:r w:rsidRPr="00974030">
        <w:rPr>
          <w:rFonts w:asciiTheme="minorBidi" w:hAnsiTheme="minorBidi" w:cs="Arial"/>
          <w:rtl/>
        </w:rPr>
        <w:t xml:space="preserve"> </w:t>
      </w:r>
      <w:r w:rsidRPr="00974030">
        <w:rPr>
          <w:rFonts w:asciiTheme="minorBidi" w:hAnsiTheme="minorBidi" w:cs="Arial" w:hint="cs"/>
          <w:rtl/>
        </w:rPr>
        <w:t>חייב</w:t>
      </w:r>
      <w:r w:rsidRPr="00974030">
        <w:rPr>
          <w:rFonts w:asciiTheme="minorBidi" w:hAnsiTheme="minorBidi" w:cs="Arial"/>
          <w:rtl/>
        </w:rPr>
        <w:t xml:space="preserve">, </w:t>
      </w:r>
      <w:r w:rsidRPr="00974030">
        <w:rPr>
          <w:rFonts w:asciiTheme="minorBidi" w:hAnsiTheme="minorBidi" w:cs="Arial" w:hint="cs"/>
          <w:rtl/>
        </w:rPr>
        <w:t>אף</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פי</w:t>
      </w:r>
      <w:r w:rsidRPr="00974030">
        <w:rPr>
          <w:rFonts w:asciiTheme="minorBidi" w:hAnsiTheme="minorBidi" w:cs="Arial"/>
          <w:rtl/>
        </w:rPr>
        <w:t xml:space="preserve"> </w:t>
      </w:r>
      <w:r w:rsidRPr="00974030">
        <w:rPr>
          <w:rFonts w:asciiTheme="minorBidi" w:hAnsiTheme="minorBidi" w:cs="Arial" w:hint="cs"/>
          <w:rtl/>
        </w:rPr>
        <w:t>שהם</w:t>
      </w:r>
      <w:r w:rsidRPr="00974030">
        <w:rPr>
          <w:rFonts w:asciiTheme="minorBidi" w:hAnsiTheme="minorBidi" w:cs="Arial"/>
          <w:rtl/>
        </w:rPr>
        <w:t xml:space="preserve"> </w:t>
      </w:r>
      <w:r w:rsidRPr="00974030">
        <w:rPr>
          <w:rFonts w:asciiTheme="minorBidi" w:hAnsiTheme="minorBidi" w:cs="Arial" w:hint="cs"/>
          <w:rtl/>
        </w:rPr>
        <w:t>כעקורים</w:t>
      </w:r>
      <w:r w:rsidRPr="00974030">
        <w:rPr>
          <w:rFonts w:asciiTheme="minorBidi" w:hAnsiTheme="minorBidi" w:cs="Arial"/>
          <w:rtl/>
        </w:rPr>
        <w:t xml:space="preserve"> </w:t>
      </w:r>
      <w:r w:rsidRPr="00974030">
        <w:rPr>
          <w:rFonts w:asciiTheme="minorBidi" w:hAnsiTheme="minorBidi" w:cs="Arial" w:hint="cs"/>
          <w:rtl/>
        </w:rPr>
        <w:t>לענין</w:t>
      </w:r>
      <w:r w:rsidRPr="00974030">
        <w:rPr>
          <w:rFonts w:asciiTheme="minorBidi" w:hAnsiTheme="minorBidi" w:cs="Arial"/>
          <w:rtl/>
        </w:rPr>
        <w:t xml:space="preserve"> </w:t>
      </w:r>
      <w:r w:rsidRPr="00974030">
        <w:rPr>
          <w:rFonts w:asciiTheme="minorBidi" w:hAnsiTheme="minorBidi" w:cs="Arial" w:hint="cs"/>
          <w:rtl/>
        </w:rPr>
        <w:t>טומאה</w:t>
      </w:r>
      <w:r w:rsidRPr="00974030">
        <w:rPr>
          <w:rFonts w:asciiTheme="minorBidi" w:hAnsiTheme="minorBidi" w:cs="Arial"/>
          <w:rtl/>
        </w:rPr>
        <w:t xml:space="preserve">. </w:t>
      </w:r>
    </w:p>
    <w:p w14:paraId="211DAB25"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יג</w:t>
      </w:r>
    </w:p>
    <w:p w14:paraId="0A3B63D7" w14:textId="77777777" w:rsidR="006A4BF8" w:rsidRDefault="006A4BF8" w:rsidP="00434A6A">
      <w:pPr>
        <w:tabs>
          <w:tab w:val="left" w:pos="2788"/>
        </w:tabs>
        <w:rPr>
          <w:rFonts w:asciiTheme="minorBidi" w:hAnsiTheme="minorBidi"/>
          <w:rtl/>
        </w:rPr>
      </w:pP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להשתמש</w:t>
      </w:r>
      <w:r w:rsidRPr="00974030">
        <w:rPr>
          <w:rFonts w:asciiTheme="minorBidi" w:hAnsiTheme="minorBidi" w:cs="Arial"/>
          <w:rtl/>
        </w:rPr>
        <w:t xml:space="preserve"> </w:t>
      </w:r>
      <w:r w:rsidRPr="00974030">
        <w:rPr>
          <w:rFonts w:asciiTheme="minorBidi" w:hAnsiTheme="minorBidi" w:cs="Arial" w:hint="cs"/>
          <w:rtl/>
        </w:rPr>
        <w:t>בצדדי</w:t>
      </w:r>
      <w:r w:rsidRPr="00974030">
        <w:rPr>
          <w:rFonts w:asciiTheme="minorBidi" w:hAnsiTheme="minorBidi" w:cs="Arial"/>
          <w:rtl/>
        </w:rPr>
        <w:t xml:space="preserve"> </w:t>
      </w:r>
      <w:r w:rsidRPr="00974030">
        <w:rPr>
          <w:rFonts w:asciiTheme="minorBidi" w:hAnsiTheme="minorBidi" w:cs="Arial" w:hint="cs"/>
          <w:rtl/>
        </w:rPr>
        <w:t>האילן</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בצדי</w:t>
      </w:r>
      <w:r w:rsidRPr="00974030">
        <w:rPr>
          <w:rFonts w:asciiTheme="minorBidi" w:hAnsiTheme="minorBidi" w:cs="Arial"/>
          <w:rtl/>
        </w:rPr>
        <w:t xml:space="preserve"> </w:t>
      </w:r>
      <w:r w:rsidRPr="00974030">
        <w:rPr>
          <w:rFonts w:asciiTheme="minorBidi" w:hAnsiTheme="minorBidi" w:cs="Arial" w:hint="cs"/>
          <w:rtl/>
        </w:rPr>
        <w:t>צדדין</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לפיכך</w:t>
      </w:r>
      <w:r w:rsidRPr="00974030">
        <w:rPr>
          <w:rFonts w:asciiTheme="minorBidi" w:hAnsiTheme="minorBidi" w:cs="Arial"/>
          <w:rtl/>
        </w:rPr>
        <w:t xml:space="preserve"> </w:t>
      </w: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לסמוך</w:t>
      </w:r>
      <w:r w:rsidRPr="00974030">
        <w:rPr>
          <w:rFonts w:asciiTheme="minorBidi" w:hAnsiTheme="minorBidi" w:cs="Arial"/>
          <w:rtl/>
        </w:rPr>
        <w:t xml:space="preserve"> </w:t>
      </w:r>
      <w:r w:rsidRPr="00974030">
        <w:rPr>
          <w:rFonts w:asciiTheme="minorBidi" w:hAnsiTheme="minorBidi" w:cs="Arial" w:hint="cs"/>
          <w:rtl/>
        </w:rPr>
        <w:t>הסולם</w:t>
      </w:r>
      <w:r w:rsidRPr="00974030">
        <w:rPr>
          <w:rFonts w:asciiTheme="minorBidi" w:hAnsiTheme="minorBidi" w:cs="Arial"/>
          <w:rtl/>
        </w:rPr>
        <w:t xml:space="preserve"> </w:t>
      </w:r>
      <w:r w:rsidRPr="00974030">
        <w:rPr>
          <w:rFonts w:asciiTheme="minorBidi" w:hAnsiTheme="minorBidi" w:cs="Arial" w:hint="cs"/>
          <w:rtl/>
        </w:rPr>
        <w:t>לצדי</w:t>
      </w:r>
      <w:r w:rsidRPr="00974030">
        <w:rPr>
          <w:rFonts w:asciiTheme="minorBidi" w:hAnsiTheme="minorBidi" w:cs="Arial"/>
          <w:rtl/>
        </w:rPr>
        <w:t xml:space="preserve"> </w:t>
      </w:r>
      <w:r w:rsidRPr="00974030">
        <w:rPr>
          <w:rFonts w:asciiTheme="minorBidi" w:hAnsiTheme="minorBidi" w:cs="Arial" w:hint="cs"/>
          <w:rtl/>
        </w:rPr>
        <w:t>האילן</w:t>
      </w:r>
      <w:r w:rsidRPr="00974030">
        <w:rPr>
          <w:rFonts w:asciiTheme="minorBidi" w:hAnsiTheme="minorBidi" w:cs="Arial"/>
          <w:rtl/>
        </w:rPr>
        <w:t xml:space="preserve"> </w:t>
      </w:r>
      <w:r w:rsidRPr="00974030">
        <w:rPr>
          <w:rFonts w:asciiTheme="minorBidi" w:hAnsiTheme="minorBidi" w:cs="Arial" w:hint="cs"/>
          <w:rtl/>
        </w:rPr>
        <w:t>דכי</w:t>
      </w:r>
      <w:r w:rsidRPr="00974030">
        <w:rPr>
          <w:rFonts w:asciiTheme="minorBidi" w:hAnsiTheme="minorBidi" w:cs="Arial"/>
          <w:rtl/>
        </w:rPr>
        <w:t xml:space="preserve"> </w:t>
      </w:r>
      <w:r w:rsidRPr="00974030">
        <w:rPr>
          <w:rFonts w:asciiTheme="minorBidi" w:hAnsiTheme="minorBidi" w:cs="Arial" w:hint="cs"/>
          <w:rtl/>
        </w:rPr>
        <w:t>סליק</w:t>
      </w:r>
      <w:r w:rsidRPr="00974030">
        <w:rPr>
          <w:rFonts w:asciiTheme="minorBidi" w:hAnsiTheme="minorBidi" w:cs="Arial"/>
          <w:rtl/>
        </w:rPr>
        <w:t xml:space="preserve"> </w:t>
      </w:r>
      <w:r w:rsidRPr="00974030">
        <w:rPr>
          <w:rFonts w:asciiTheme="minorBidi" w:hAnsiTheme="minorBidi" w:cs="Arial" w:hint="cs"/>
          <w:rtl/>
        </w:rPr>
        <w:t>ביה</w:t>
      </w:r>
      <w:r w:rsidRPr="00974030">
        <w:rPr>
          <w:rFonts w:asciiTheme="minorBidi" w:hAnsiTheme="minorBidi" w:cs="Arial"/>
          <w:rtl/>
        </w:rPr>
        <w:t xml:space="preserve"> </w:t>
      </w:r>
      <w:r w:rsidRPr="00974030">
        <w:rPr>
          <w:rFonts w:asciiTheme="minorBidi" w:hAnsiTheme="minorBidi" w:cs="Arial" w:hint="cs"/>
          <w:rtl/>
        </w:rPr>
        <w:t>משתמש</w:t>
      </w:r>
      <w:r w:rsidRPr="00974030">
        <w:rPr>
          <w:rFonts w:asciiTheme="minorBidi" w:hAnsiTheme="minorBidi" w:cs="Arial"/>
          <w:rtl/>
        </w:rPr>
        <w:t xml:space="preserve"> </w:t>
      </w:r>
      <w:r w:rsidRPr="00974030">
        <w:rPr>
          <w:rFonts w:asciiTheme="minorBidi" w:hAnsiTheme="minorBidi" w:cs="Arial" w:hint="cs"/>
          <w:rtl/>
        </w:rPr>
        <w:t>בצדדין</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יש</w:t>
      </w:r>
      <w:r w:rsidRPr="00974030">
        <w:rPr>
          <w:rFonts w:asciiTheme="minorBidi" w:hAnsiTheme="minorBidi" w:cs="Arial"/>
          <w:rtl/>
        </w:rPr>
        <w:t xml:space="preserve"> </w:t>
      </w:r>
      <w:r w:rsidRPr="00974030">
        <w:rPr>
          <w:rFonts w:asciiTheme="minorBidi" w:hAnsiTheme="minorBidi" w:cs="Arial" w:hint="cs"/>
          <w:rtl/>
        </w:rPr>
        <w:t>יתד</w:t>
      </w:r>
      <w:r w:rsidRPr="00974030">
        <w:rPr>
          <w:rFonts w:asciiTheme="minorBidi" w:hAnsiTheme="minorBidi" w:cs="Arial"/>
          <w:rtl/>
        </w:rPr>
        <w:t xml:space="preserve"> </w:t>
      </w:r>
      <w:r w:rsidRPr="00974030">
        <w:rPr>
          <w:rFonts w:asciiTheme="minorBidi" w:hAnsiTheme="minorBidi" w:cs="Arial" w:hint="cs"/>
          <w:rtl/>
        </w:rPr>
        <w:t>תקועה</w:t>
      </w:r>
      <w:r w:rsidRPr="00974030">
        <w:rPr>
          <w:rFonts w:asciiTheme="minorBidi" w:hAnsiTheme="minorBidi" w:cs="Arial"/>
          <w:rtl/>
        </w:rPr>
        <w:t xml:space="preserve"> </w:t>
      </w:r>
      <w:r w:rsidRPr="00974030">
        <w:rPr>
          <w:rFonts w:asciiTheme="minorBidi" w:hAnsiTheme="minorBidi" w:cs="Arial" w:hint="cs"/>
          <w:rtl/>
        </w:rPr>
        <w:t>בצדי</w:t>
      </w:r>
      <w:r w:rsidRPr="00974030">
        <w:rPr>
          <w:rFonts w:asciiTheme="minorBidi" w:hAnsiTheme="minorBidi" w:cs="Arial"/>
          <w:rtl/>
        </w:rPr>
        <w:t xml:space="preserve"> </w:t>
      </w:r>
      <w:r w:rsidRPr="00974030">
        <w:rPr>
          <w:rFonts w:asciiTheme="minorBidi" w:hAnsiTheme="minorBidi" w:cs="Arial" w:hint="cs"/>
          <w:rtl/>
        </w:rPr>
        <w:t>האילן</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לסמוך</w:t>
      </w:r>
      <w:r w:rsidRPr="00974030">
        <w:rPr>
          <w:rFonts w:asciiTheme="minorBidi" w:hAnsiTheme="minorBidi" w:cs="Arial"/>
          <w:rtl/>
        </w:rPr>
        <w:t xml:space="preserve"> </w:t>
      </w:r>
      <w:r w:rsidRPr="00974030">
        <w:rPr>
          <w:rFonts w:asciiTheme="minorBidi" w:hAnsiTheme="minorBidi" w:cs="Arial" w:hint="cs"/>
          <w:rtl/>
        </w:rPr>
        <w:t>סולם</w:t>
      </w:r>
      <w:r w:rsidRPr="00974030">
        <w:rPr>
          <w:rFonts w:asciiTheme="minorBidi" w:hAnsiTheme="minorBidi" w:cs="Arial"/>
          <w:rtl/>
        </w:rPr>
        <w:t xml:space="preserve"> </w:t>
      </w:r>
      <w:r w:rsidRPr="00974030">
        <w:rPr>
          <w:rFonts w:asciiTheme="minorBidi" w:hAnsiTheme="minorBidi" w:cs="Arial" w:hint="cs"/>
          <w:rtl/>
        </w:rPr>
        <w:t>עליו</w:t>
      </w:r>
      <w:r w:rsidRPr="00974030">
        <w:rPr>
          <w:rFonts w:asciiTheme="minorBidi" w:hAnsiTheme="minorBidi" w:cs="Arial"/>
          <w:rtl/>
        </w:rPr>
        <w:t xml:space="preserve">, </w:t>
      </w:r>
      <w:r w:rsidRPr="00974030">
        <w:rPr>
          <w:rFonts w:asciiTheme="minorBidi" w:hAnsiTheme="minorBidi" w:cs="Arial" w:hint="cs"/>
          <w:rtl/>
        </w:rPr>
        <w:t>דהוה</w:t>
      </w:r>
      <w:r w:rsidRPr="00974030">
        <w:rPr>
          <w:rFonts w:asciiTheme="minorBidi" w:hAnsiTheme="minorBidi" w:cs="Arial"/>
          <w:rtl/>
        </w:rPr>
        <w:t xml:space="preserve"> </w:t>
      </w:r>
      <w:r w:rsidRPr="00974030">
        <w:rPr>
          <w:rFonts w:asciiTheme="minorBidi" w:hAnsiTheme="minorBidi" w:cs="Arial" w:hint="cs"/>
          <w:rtl/>
        </w:rPr>
        <w:t>לה</w:t>
      </w:r>
      <w:r w:rsidRPr="00974030">
        <w:rPr>
          <w:rFonts w:asciiTheme="minorBidi" w:hAnsiTheme="minorBidi" w:cs="Arial"/>
          <w:rtl/>
        </w:rPr>
        <w:t xml:space="preserve"> </w:t>
      </w:r>
      <w:r w:rsidRPr="00974030">
        <w:rPr>
          <w:rFonts w:asciiTheme="minorBidi" w:hAnsiTheme="minorBidi" w:cs="Arial" w:hint="cs"/>
          <w:rtl/>
        </w:rPr>
        <w:t>יתד</w:t>
      </w:r>
      <w:r w:rsidRPr="00974030">
        <w:rPr>
          <w:rFonts w:asciiTheme="minorBidi" w:hAnsiTheme="minorBidi" w:cs="Arial"/>
          <w:rtl/>
        </w:rPr>
        <w:t xml:space="preserve"> </w:t>
      </w:r>
      <w:r w:rsidRPr="00974030">
        <w:rPr>
          <w:rFonts w:asciiTheme="minorBidi" w:hAnsiTheme="minorBidi" w:cs="Arial" w:hint="cs"/>
          <w:rtl/>
        </w:rPr>
        <w:t>צדדין</w:t>
      </w:r>
      <w:r w:rsidRPr="00974030">
        <w:rPr>
          <w:rFonts w:asciiTheme="minorBidi" w:hAnsiTheme="minorBidi" w:cs="Arial"/>
          <w:rtl/>
        </w:rPr>
        <w:t xml:space="preserve">, </w:t>
      </w:r>
      <w:r w:rsidRPr="00974030">
        <w:rPr>
          <w:rFonts w:asciiTheme="minorBidi" w:hAnsiTheme="minorBidi" w:cs="Arial" w:hint="cs"/>
          <w:rtl/>
        </w:rPr>
        <w:t>וסולם</w:t>
      </w:r>
      <w:r w:rsidRPr="00974030">
        <w:rPr>
          <w:rFonts w:asciiTheme="minorBidi" w:hAnsiTheme="minorBidi" w:cs="Arial"/>
          <w:rtl/>
        </w:rPr>
        <w:t xml:space="preserve"> </w:t>
      </w:r>
      <w:r w:rsidRPr="00974030">
        <w:rPr>
          <w:rFonts w:asciiTheme="minorBidi" w:hAnsiTheme="minorBidi" w:cs="Arial" w:hint="cs"/>
          <w:rtl/>
        </w:rPr>
        <w:t>צדי</w:t>
      </w:r>
      <w:r w:rsidRPr="00974030">
        <w:rPr>
          <w:rFonts w:asciiTheme="minorBidi" w:hAnsiTheme="minorBidi" w:cs="Arial"/>
          <w:rtl/>
        </w:rPr>
        <w:t xml:space="preserve"> </w:t>
      </w:r>
      <w:r w:rsidRPr="00974030">
        <w:rPr>
          <w:rFonts w:asciiTheme="minorBidi" w:hAnsiTheme="minorBidi" w:cs="Arial" w:hint="cs"/>
          <w:rtl/>
        </w:rPr>
        <w:t>צדדין</w:t>
      </w:r>
      <w:r w:rsidRPr="00974030">
        <w:rPr>
          <w:rFonts w:asciiTheme="minorBidi" w:hAnsiTheme="minorBidi" w:cs="Arial"/>
          <w:rtl/>
        </w:rPr>
        <w:t xml:space="preserve">. </w:t>
      </w:r>
      <w:r w:rsidRPr="00974030">
        <w:rPr>
          <w:rFonts w:asciiTheme="minorBidi" w:hAnsiTheme="minorBidi" w:cs="Arial" w:hint="cs"/>
          <w:rtl/>
        </w:rPr>
        <w:t>ואם</w:t>
      </w:r>
      <w:r w:rsidRPr="00974030">
        <w:rPr>
          <w:rFonts w:asciiTheme="minorBidi" w:hAnsiTheme="minorBidi" w:cs="Arial"/>
          <w:rtl/>
        </w:rPr>
        <w:t xml:space="preserve"> </w:t>
      </w:r>
      <w:r w:rsidRPr="00974030">
        <w:rPr>
          <w:rFonts w:asciiTheme="minorBidi" w:hAnsiTheme="minorBidi" w:cs="Arial" w:hint="cs"/>
          <w:rtl/>
        </w:rPr>
        <w:t>נעץ</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יתד</w:t>
      </w:r>
      <w:r w:rsidRPr="00974030">
        <w:rPr>
          <w:rFonts w:asciiTheme="minorBidi" w:hAnsiTheme="minorBidi" w:cs="Arial"/>
          <w:rtl/>
        </w:rPr>
        <w:t xml:space="preserve"> </w:t>
      </w:r>
      <w:r w:rsidRPr="00974030">
        <w:rPr>
          <w:rFonts w:asciiTheme="minorBidi" w:hAnsiTheme="minorBidi" w:cs="Arial" w:hint="cs"/>
          <w:rtl/>
        </w:rPr>
        <w:t>ותולה</w:t>
      </w:r>
      <w:r w:rsidRPr="00974030">
        <w:rPr>
          <w:rFonts w:asciiTheme="minorBidi" w:hAnsiTheme="minorBidi" w:cs="Arial"/>
          <w:rtl/>
        </w:rPr>
        <w:t xml:space="preserve"> </w:t>
      </w:r>
      <w:r w:rsidRPr="00974030">
        <w:rPr>
          <w:rFonts w:asciiTheme="minorBidi" w:hAnsiTheme="minorBidi" w:cs="Arial" w:hint="cs"/>
          <w:rtl/>
        </w:rPr>
        <w:t>בו</w:t>
      </w:r>
      <w:r w:rsidRPr="00974030">
        <w:rPr>
          <w:rFonts w:asciiTheme="minorBidi" w:hAnsiTheme="minorBidi" w:cs="Arial"/>
          <w:rtl/>
        </w:rPr>
        <w:t xml:space="preserve"> </w:t>
      </w:r>
      <w:r w:rsidRPr="00974030">
        <w:rPr>
          <w:rFonts w:asciiTheme="minorBidi" w:hAnsiTheme="minorBidi" w:cs="Arial" w:hint="cs"/>
          <w:rtl/>
        </w:rPr>
        <w:t>כלכלה</w:t>
      </w:r>
      <w:r w:rsidRPr="00974030">
        <w:rPr>
          <w:rFonts w:asciiTheme="minorBidi" w:hAnsiTheme="minorBidi" w:cs="Arial"/>
          <w:rtl/>
        </w:rPr>
        <w:t xml:space="preserve">, </w:t>
      </w:r>
      <w:r w:rsidRPr="00974030">
        <w:rPr>
          <w:rFonts w:asciiTheme="minorBidi" w:hAnsiTheme="minorBidi" w:cs="Arial" w:hint="cs"/>
          <w:rtl/>
        </w:rPr>
        <w:t>היתד</w:t>
      </w:r>
      <w:r w:rsidRPr="00974030">
        <w:rPr>
          <w:rFonts w:asciiTheme="minorBidi" w:hAnsiTheme="minorBidi" w:cs="Arial"/>
          <w:rtl/>
        </w:rPr>
        <w:t xml:space="preserve"> </w:t>
      </w:r>
      <w:r w:rsidRPr="00974030">
        <w:rPr>
          <w:rFonts w:asciiTheme="minorBidi" w:hAnsiTheme="minorBidi" w:cs="Arial" w:hint="cs"/>
          <w:rtl/>
        </w:rPr>
        <w:t>נקרא</w:t>
      </w:r>
      <w:r w:rsidRPr="00974030">
        <w:rPr>
          <w:rFonts w:asciiTheme="minorBidi" w:hAnsiTheme="minorBidi" w:cs="Arial"/>
          <w:rtl/>
        </w:rPr>
        <w:t xml:space="preserve"> </w:t>
      </w:r>
      <w:r w:rsidRPr="00974030">
        <w:rPr>
          <w:rFonts w:asciiTheme="minorBidi" w:hAnsiTheme="minorBidi" w:cs="Arial" w:hint="cs"/>
          <w:rtl/>
        </w:rPr>
        <w:t>צדדין</w:t>
      </w:r>
      <w:r w:rsidRPr="00974030">
        <w:rPr>
          <w:rFonts w:asciiTheme="minorBidi" w:hAnsiTheme="minorBidi" w:cs="Arial"/>
          <w:rtl/>
        </w:rPr>
        <w:t xml:space="preserve"> </w:t>
      </w:r>
      <w:r w:rsidRPr="00974030">
        <w:rPr>
          <w:rFonts w:asciiTheme="minorBidi" w:hAnsiTheme="minorBidi" w:cs="Arial" w:hint="cs"/>
          <w:rtl/>
        </w:rPr>
        <w:t>והכלכלה</w:t>
      </w:r>
      <w:r w:rsidRPr="00974030">
        <w:rPr>
          <w:rFonts w:asciiTheme="minorBidi" w:hAnsiTheme="minorBidi" w:cs="Arial"/>
          <w:rtl/>
        </w:rPr>
        <w:t xml:space="preserve"> </w:t>
      </w:r>
      <w:r w:rsidRPr="00974030">
        <w:rPr>
          <w:rFonts w:asciiTheme="minorBidi" w:hAnsiTheme="minorBidi" w:cs="Arial" w:hint="cs"/>
          <w:rtl/>
        </w:rPr>
        <w:t>כצדי</w:t>
      </w:r>
      <w:r w:rsidRPr="00974030">
        <w:rPr>
          <w:rFonts w:asciiTheme="minorBidi" w:hAnsiTheme="minorBidi" w:cs="Arial"/>
          <w:rtl/>
        </w:rPr>
        <w:t xml:space="preserve"> </w:t>
      </w:r>
      <w:r w:rsidRPr="00974030">
        <w:rPr>
          <w:rFonts w:asciiTheme="minorBidi" w:hAnsiTheme="minorBidi" w:cs="Arial" w:hint="cs"/>
          <w:rtl/>
        </w:rPr>
        <w:t>צדדין</w:t>
      </w:r>
      <w:r w:rsidRPr="00974030">
        <w:rPr>
          <w:rFonts w:asciiTheme="minorBidi" w:hAnsiTheme="minorBidi" w:cs="Arial"/>
          <w:rtl/>
        </w:rPr>
        <w:t xml:space="preserve">. </w:t>
      </w:r>
      <w:r w:rsidRPr="00974030">
        <w:rPr>
          <w:rFonts w:asciiTheme="minorBidi" w:hAnsiTheme="minorBidi" w:cs="Arial" w:hint="cs"/>
          <w:rtl/>
        </w:rPr>
        <w:t>הגה</w:t>
      </w:r>
      <w:r w:rsidRPr="00974030">
        <w:rPr>
          <w:rFonts w:asciiTheme="minorBidi" w:hAnsiTheme="minorBidi" w:cs="Arial"/>
          <w:rtl/>
        </w:rPr>
        <w:t xml:space="preserve">: </w:t>
      </w:r>
      <w:r w:rsidRPr="00974030">
        <w:rPr>
          <w:rFonts w:asciiTheme="minorBidi" w:hAnsiTheme="minorBidi" w:cs="Arial" w:hint="cs"/>
          <w:rtl/>
        </w:rPr>
        <w:t>ומותר</w:t>
      </w:r>
      <w:r w:rsidRPr="00974030">
        <w:rPr>
          <w:rFonts w:asciiTheme="minorBidi" w:hAnsiTheme="minorBidi" w:cs="Arial"/>
          <w:rtl/>
        </w:rPr>
        <w:t xml:space="preserve"> </w:t>
      </w:r>
      <w:r w:rsidRPr="00974030">
        <w:rPr>
          <w:rFonts w:asciiTheme="minorBidi" w:hAnsiTheme="minorBidi" w:cs="Arial" w:hint="cs"/>
          <w:rtl/>
        </w:rPr>
        <w:t>ליגע</w:t>
      </w:r>
      <w:r w:rsidRPr="00974030">
        <w:rPr>
          <w:rFonts w:asciiTheme="minorBidi" w:hAnsiTheme="minorBidi" w:cs="Arial"/>
          <w:rtl/>
        </w:rPr>
        <w:t xml:space="preserve"> </w:t>
      </w:r>
      <w:r w:rsidRPr="00974030">
        <w:rPr>
          <w:rFonts w:asciiTheme="minorBidi" w:hAnsiTheme="minorBidi" w:cs="Arial" w:hint="cs"/>
          <w:rtl/>
        </w:rPr>
        <w:t>באילן</w:t>
      </w:r>
      <w:r w:rsidRPr="00974030">
        <w:rPr>
          <w:rFonts w:asciiTheme="minorBidi" w:hAnsiTheme="minorBidi" w:cs="Arial"/>
          <w:rtl/>
        </w:rPr>
        <w:t xml:space="preserve">, </w:t>
      </w:r>
      <w:r w:rsidRPr="00974030">
        <w:rPr>
          <w:rFonts w:asciiTheme="minorBidi" w:hAnsiTheme="minorBidi" w:cs="Arial" w:hint="cs"/>
          <w:rtl/>
        </w:rPr>
        <w:t>ובלבד</w:t>
      </w:r>
      <w:r w:rsidRPr="00974030">
        <w:rPr>
          <w:rFonts w:asciiTheme="minorBidi" w:hAnsiTheme="minorBidi" w:cs="Arial"/>
          <w:rtl/>
        </w:rPr>
        <w:t xml:space="preserve"> </w:t>
      </w:r>
      <w:r w:rsidRPr="00974030">
        <w:rPr>
          <w:rFonts w:asciiTheme="minorBidi" w:hAnsiTheme="minorBidi" w:cs="Arial" w:hint="cs"/>
          <w:rtl/>
        </w:rPr>
        <w:t>שלא</w:t>
      </w:r>
      <w:r w:rsidRPr="00974030">
        <w:rPr>
          <w:rFonts w:asciiTheme="minorBidi" w:hAnsiTheme="minorBidi" w:cs="Arial"/>
          <w:rtl/>
        </w:rPr>
        <w:t xml:space="preserve"> </w:t>
      </w:r>
      <w:r w:rsidRPr="00974030">
        <w:rPr>
          <w:rFonts w:asciiTheme="minorBidi" w:hAnsiTheme="minorBidi" w:cs="Arial" w:hint="cs"/>
          <w:rtl/>
        </w:rPr>
        <w:t>ינידנו</w:t>
      </w:r>
      <w:r w:rsidRPr="00974030">
        <w:rPr>
          <w:rFonts w:asciiTheme="minorBidi" w:hAnsiTheme="minorBidi" w:cs="Arial"/>
          <w:rtl/>
        </w:rPr>
        <w:t xml:space="preserve"> (</w:t>
      </w:r>
      <w:r w:rsidRPr="00974030">
        <w:rPr>
          <w:rFonts w:asciiTheme="minorBidi" w:hAnsiTheme="minorBidi" w:cs="Arial" w:hint="cs"/>
          <w:rtl/>
        </w:rPr>
        <w:t>ב</w:t>
      </w:r>
      <w:r w:rsidRPr="00974030">
        <w:rPr>
          <w:rFonts w:asciiTheme="minorBidi" w:hAnsiTheme="minorBidi" w:cs="Arial"/>
          <w:rtl/>
        </w:rPr>
        <w:t>"</w:t>
      </w:r>
      <w:r w:rsidRPr="00974030">
        <w:rPr>
          <w:rFonts w:asciiTheme="minorBidi" w:hAnsiTheme="minorBidi" w:cs="Arial" w:hint="cs"/>
          <w:rtl/>
        </w:rPr>
        <w:t>י</w:t>
      </w:r>
      <w:r w:rsidRPr="00974030">
        <w:rPr>
          <w:rFonts w:asciiTheme="minorBidi" w:hAnsiTheme="minorBidi" w:cs="Arial"/>
          <w:rtl/>
        </w:rPr>
        <w:t xml:space="preserve"> </w:t>
      </w:r>
      <w:r w:rsidRPr="00974030">
        <w:rPr>
          <w:rFonts w:asciiTheme="minorBidi" w:hAnsiTheme="minorBidi" w:cs="Arial" w:hint="cs"/>
          <w:rtl/>
        </w:rPr>
        <w:t>בשם</w:t>
      </w:r>
      <w:r w:rsidRPr="00974030">
        <w:rPr>
          <w:rFonts w:asciiTheme="minorBidi" w:hAnsiTheme="minorBidi" w:cs="Arial"/>
          <w:rtl/>
        </w:rPr>
        <w:t xml:space="preserve"> </w:t>
      </w:r>
      <w:r w:rsidRPr="00974030">
        <w:rPr>
          <w:rFonts w:asciiTheme="minorBidi" w:hAnsiTheme="minorBidi" w:cs="Arial" w:hint="cs"/>
          <w:rtl/>
        </w:rPr>
        <w:t>אורחות</w:t>
      </w:r>
      <w:r w:rsidRPr="00974030">
        <w:rPr>
          <w:rFonts w:asciiTheme="minorBidi" w:hAnsiTheme="minorBidi" w:cs="Arial"/>
          <w:rtl/>
        </w:rPr>
        <w:t xml:space="preserve"> </w:t>
      </w:r>
      <w:r w:rsidRPr="00974030">
        <w:rPr>
          <w:rFonts w:asciiTheme="minorBidi" w:hAnsiTheme="minorBidi" w:cs="Arial" w:hint="cs"/>
          <w:rtl/>
        </w:rPr>
        <w:t>חיים</w:t>
      </w:r>
      <w:r w:rsidRPr="00974030">
        <w:rPr>
          <w:rFonts w:asciiTheme="minorBidi" w:hAnsiTheme="minorBidi" w:cs="Arial"/>
          <w:rtl/>
        </w:rPr>
        <w:t xml:space="preserve">). </w:t>
      </w:r>
      <w:r w:rsidRPr="00974030">
        <w:rPr>
          <w:rFonts w:asciiTheme="minorBidi" w:hAnsiTheme="minorBidi" w:cs="Arial" w:hint="cs"/>
          <w:rtl/>
        </w:rPr>
        <w:t>בור</w:t>
      </w:r>
      <w:r w:rsidRPr="00974030">
        <w:rPr>
          <w:rFonts w:asciiTheme="minorBidi" w:hAnsiTheme="minorBidi" w:cs="Arial"/>
          <w:rtl/>
        </w:rPr>
        <w:t xml:space="preserve"> </w:t>
      </w:r>
      <w:r w:rsidRPr="00974030">
        <w:rPr>
          <w:rFonts w:asciiTheme="minorBidi" w:hAnsiTheme="minorBidi" w:cs="Arial" w:hint="cs"/>
          <w:rtl/>
        </w:rPr>
        <w:t>עמוק</w:t>
      </w:r>
      <w:r w:rsidRPr="00974030">
        <w:rPr>
          <w:rFonts w:asciiTheme="minorBidi" w:hAnsiTheme="minorBidi" w:cs="Arial"/>
          <w:rtl/>
        </w:rPr>
        <w:t xml:space="preserve">, </w:t>
      </w:r>
      <w:r w:rsidRPr="00974030">
        <w:rPr>
          <w:rFonts w:asciiTheme="minorBidi" w:hAnsiTheme="minorBidi" w:cs="Arial" w:hint="cs"/>
          <w:rtl/>
        </w:rPr>
        <w:t>אפי</w:t>
      </w:r>
      <w:r w:rsidRPr="00974030">
        <w:rPr>
          <w:rFonts w:asciiTheme="minorBidi" w:hAnsiTheme="minorBidi" w:cs="Arial"/>
          <w:rtl/>
        </w:rPr>
        <w:t xml:space="preserve">' </w:t>
      </w:r>
      <w:r w:rsidRPr="00974030">
        <w:rPr>
          <w:rFonts w:asciiTheme="minorBidi" w:hAnsiTheme="minorBidi" w:cs="Arial" w:hint="cs"/>
          <w:rtl/>
        </w:rPr>
        <w:t>מאה</w:t>
      </w:r>
      <w:r w:rsidRPr="00974030">
        <w:rPr>
          <w:rFonts w:asciiTheme="minorBidi" w:hAnsiTheme="minorBidi" w:cs="Arial"/>
          <w:rtl/>
        </w:rPr>
        <w:t xml:space="preserve"> </w:t>
      </w:r>
      <w:r w:rsidRPr="00974030">
        <w:rPr>
          <w:rFonts w:asciiTheme="minorBidi" w:hAnsiTheme="minorBidi" w:cs="Arial" w:hint="cs"/>
          <w:rtl/>
        </w:rPr>
        <w:t>אמות</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לירד</w:t>
      </w:r>
      <w:r w:rsidRPr="00974030">
        <w:rPr>
          <w:rFonts w:asciiTheme="minorBidi" w:hAnsiTheme="minorBidi" w:cs="Arial"/>
          <w:rtl/>
        </w:rPr>
        <w:t xml:space="preserve"> </w:t>
      </w:r>
      <w:r w:rsidRPr="00974030">
        <w:rPr>
          <w:rFonts w:asciiTheme="minorBidi" w:hAnsiTheme="minorBidi" w:cs="Arial" w:hint="cs"/>
          <w:rtl/>
        </w:rPr>
        <w:t>ולעלות</w:t>
      </w:r>
      <w:r w:rsidRPr="00974030">
        <w:rPr>
          <w:rFonts w:asciiTheme="minorBidi" w:hAnsiTheme="minorBidi" w:cs="Arial"/>
          <w:rtl/>
        </w:rPr>
        <w:t xml:space="preserve"> </w:t>
      </w:r>
      <w:r w:rsidRPr="00974030">
        <w:rPr>
          <w:rFonts w:asciiTheme="minorBidi" w:hAnsiTheme="minorBidi" w:cs="Arial" w:hint="cs"/>
          <w:rtl/>
        </w:rPr>
        <w:t>ומטפס</w:t>
      </w:r>
      <w:r w:rsidRPr="00974030">
        <w:rPr>
          <w:rFonts w:asciiTheme="minorBidi" w:hAnsiTheme="minorBidi" w:cs="Arial"/>
          <w:rtl/>
        </w:rPr>
        <w:t xml:space="preserve"> </w:t>
      </w:r>
      <w:r w:rsidRPr="00974030">
        <w:rPr>
          <w:rFonts w:asciiTheme="minorBidi" w:hAnsiTheme="minorBidi" w:cs="Arial" w:hint="cs"/>
          <w:rtl/>
        </w:rPr>
        <w:t>ויורד</w:t>
      </w:r>
      <w:r w:rsidRPr="00974030">
        <w:rPr>
          <w:rFonts w:asciiTheme="minorBidi" w:hAnsiTheme="minorBidi" w:cs="Arial"/>
          <w:rtl/>
        </w:rPr>
        <w:t xml:space="preserve"> </w:t>
      </w:r>
      <w:r w:rsidRPr="00974030">
        <w:rPr>
          <w:rFonts w:asciiTheme="minorBidi" w:hAnsiTheme="minorBidi" w:cs="Arial" w:hint="cs"/>
          <w:rtl/>
        </w:rPr>
        <w:t>ומטפס</w:t>
      </w:r>
      <w:r w:rsidRPr="00974030">
        <w:rPr>
          <w:rFonts w:asciiTheme="minorBidi" w:hAnsiTheme="minorBidi" w:cs="Arial"/>
          <w:rtl/>
        </w:rPr>
        <w:t xml:space="preserve"> </w:t>
      </w:r>
      <w:r w:rsidRPr="00974030">
        <w:rPr>
          <w:rFonts w:asciiTheme="minorBidi" w:hAnsiTheme="minorBidi" w:cs="Arial" w:hint="cs"/>
          <w:rtl/>
        </w:rPr>
        <w:t>ועולה</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חיישינן</w:t>
      </w:r>
      <w:r w:rsidRPr="00974030">
        <w:rPr>
          <w:rFonts w:asciiTheme="minorBidi" w:hAnsiTheme="minorBidi" w:cs="Arial"/>
          <w:rtl/>
        </w:rPr>
        <w:t xml:space="preserve"> </w:t>
      </w:r>
      <w:r w:rsidRPr="00974030">
        <w:rPr>
          <w:rFonts w:asciiTheme="minorBidi" w:hAnsiTheme="minorBidi" w:cs="Arial" w:hint="cs"/>
          <w:rtl/>
        </w:rPr>
        <w:t>שמא</w:t>
      </w:r>
      <w:r w:rsidRPr="00974030">
        <w:rPr>
          <w:rFonts w:asciiTheme="minorBidi" w:hAnsiTheme="minorBidi" w:cs="Arial"/>
          <w:rtl/>
        </w:rPr>
        <w:t xml:space="preserve"> </w:t>
      </w:r>
      <w:r w:rsidRPr="00974030">
        <w:rPr>
          <w:rFonts w:asciiTheme="minorBidi" w:hAnsiTheme="minorBidi" w:cs="Arial" w:hint="cs"/>
          <w:rtl/>
        </w:rPr>
        <w:t>יעקור</w:t>
      </w:r>
      <w:r w:rsidRPr="00974030">
        <w:rPr>
          <w:rFonts w:asciiTheme="minorBidi" w:hAnsiTheme="minorBidi" w:cs="Arial"/>
          <w:rtl/>
        </w:rPr>
        <w:t xml:space="preserve"> </w:t>
      </w:r>
      <w:r w:rsidRPr="00974030">
        <w:rPr>
          <w:rFonts w:asciiTheme="minorBidi" w:hAnsiTheme="minorBidi" w:cs="Arial" w:hint="cs"/>
          <w:rtl/>
        </w:rPr>
        <w:t>קרקע</w:t>
      </w:r>
      <w:r w:rsidRPr="00974030">
        <w:rPr>
          <w:rFonts w:asciiTheme="minorBidi" w:hAnsiTheme="minorBidi" w:cs="Arial"/>
          <w:rtl/>
        </w:rPr>
        <w:t xml:space="preserve"> </w:t>
      </w:r>
      <w:r w:rsidRPr="00974030">
        <w:rPr>
          <w:rFonts w:asciiTheme="minorBidi" w:hAnsiTheme="minorBidi" w:cs="Arial" w:hint="cs"/>
          <w:rtl/>
        </w:rPr>
        <w:t>בירידתו</w:t>
      </w:r>
      <w:r w:rsidRPr="00974030">
        <w:rPr>
          <w:rFonts w:asciiTheme="minorBidi" w:hAnsiTheme="minorBidi" w:cs="Arial"/>
          <w:rtl/>
        </w:rPr>
        <w:t xml:space="preserve"> </w:t>
      </w:r>
      <w:r w:rsidRPr="00974030">
        <w:rPr>
          <w:rFonts w:asciiTheme="minorBidi" w:hAnsiTheme="minorBidi" w:cs="Arial" w:hint="cs"/>
          <w:rtl/>
        </w:rPr>
        <w:t>ועלייתו</w:t>
      </w:r>
      <w:r w:rsidRPr="00974030">
        <w:rPr>
          <w:rFonts w:asciiTheme="minorBidi" w:hAnsiTheme="minorBidi" w:cs="Arial"/>
          <w:rtl/>
        </w:rPr>
        <w:t xml:space="preserve"> (</w:t>
      </w:r>
      <w:r w:rsidRPr="00974030">
        <w:rPr>
          <w:rFonts w:asciiTheme="minorBidi" w:hAnsiTheme="minorBidi" w:cs="Arial" w:hint="cs"/>
          <w:rtl/>
        </w:rPr>
        <w:t>טור</w:t>
      </w:r>
      <w:r w:rsidRPr="00974030">
        <w:rPr>
          <w:rFonts w:asciiTheme="minorBidi" w:hAnsiTheme="minorBidi" w:cs="Arial"/>
          <w:rtl/>
        </w:rPr>
        <w:t>).</w:t>
      </w:r>
    </w:p>
    <w:p w14:paraId="2371E7D4" w14:textId="77777777" w:rsidR="006A4BF8" w:rsidRDefault="006A4BF8" w:rsidP="00434A6A">
      <w:pPr>
        <w:tabs>
          <w:tab w:val="left" w:pos="2788"/>
        </w:tabs>
        <w:rPr>
          <w:rFonts w:asciiTheme="minorBidi" w:hAnsiTheme="minorBidi"/>
          <w:rtl/>
        </w:rPr>
      </w:pPr>
    </w:p>
    <w:p w14:paraId="63D776BF" w14:textId="77777777" w:rsidR="006A4BF8" w:rsidRDefault="006A4BF8" w:rsidP="00434A6A">
      <w:pPr>
        <w:tabs>
          <w:tab w:val="left" w:pos="2788"/>
        </w:tabs>
        <w:rPr>
          <w:rFonts w:asciiTheme="minorBidi" w:hAnsiTheme="minorBidi"/>
          <w:rtl/>
        </w:rPr>
      </w:pPr>
    </w:p>
    <w:p w14:paraId="5BF36935" w14:textId="77777777" w:rsidR="006A4BF8" w:rsidRPr="005275DF" w:rsidRDefault="006A4BF8" w:rsidP="00434A6A">
      <w:pPr>
        <w:tabs>
          <w:tab w:val="left" w:pos="2788"/>
        </w:tabs>
        <w:rPr>
          <w:rFonts w:asciiTheme="minorBidi" w:hAnsiTheme="minorBidi"/>
        </w:rPr>
      </w:pPr>
    </w:p>
    <w:p w14:paraId="2417FEB5" w14:textId="77777777" w:rsidR="006A4BF8" w:rsidRPr="005275DF" w:rsidRDefault="006A4BF8" w:rsidP="00434A6A">
      <w:pPr>
        <w:rPr>
          <w:rFonts w:asciiTheme="minorBidi" w:hAnsiTheme="minorBidi"/>
        </w:rPr>
      </w:pPr>
    </w:p>
    <w:p w14:paraId="4793212C" w14:textId="77777777" w:rsidR="006A4BF8" w:rsidRPr="005275DF" w:rsidRDefault="006A4BF8" w:rsidP="00434A6A">
      <w:pPr>
        <w:tabs>
          <w:tab w:val="left" w:pos="2788"/>
        </w:tabs>
        <w:rPr>
          <w:rFonts w:asciiTheme="minorBidi" w:hAnsiTheme="minorBidi"/>
          <w:rtl/>
        </w:rPr>
      </w:pPr>
    </w:p>
    <w:p w14:paraId="726C7065" w14:textId="77777777" w:rsidR="006A4BF8" w:rsidRPr="005275DF" w:rsidRDefault="006A4BF8" w:rsidP="00434A6A">
      <w:pPr>
        <w:tabs>
          <w:tab w:val="left" w:pos="2788"/>
        </w:tabs>
        <w:rPr>
          <w:rFonts w:asciiTheme="minorBidi" w:hAnsiTheme="minorBidi"/>
          <w:rtl/>
        </w:rPr>
      </w:pPr>
    </w:p>
    <w:p w14:paraId="4520C39C" w14:textId="77777777" w:rsidR="006A4BF8" w:rsidRPr="005275DF" w:rsidRDefault="006A4BF8" w:rsidP="00434A6A">
      <w:pPr>
        <w:tabs>
          <w:tab w:val="left" w:pos="2788"/>
        </w:tabs>
        <w:rPr>
          <w:rFonts w:asciiTheme="minorBidi" w:hAnsiTheme="minorBidi"/>
          <w:rtl/>
        </w:rPr>
      </w:pPr>
    </w:p>
    <w:p w14:paraId="14FD0753" w14:textId="77777777" w:rsidR="006A4BF8" w:rsidRPr="005275DF" w:rsidRDefault="006A4BF8" w:rsidP="00434A6A">
      <w:pPr>
        <w:tabs>
          <w:tab w:val="left" w:pos="2788"/>
        </w:tabs>
        <w:rPr>
          <w:rFonts w:asciiTheme="minorBidi" w:hAnsiTheme="minorBidi"/>
          <w:rtl/>
        </w:rPr>
      </w:pPr>
    </w:p>
    <w:p w14:paraId="4A0EB1DA" w14:textId="77777777" w:rsidR="006A4BF8" w:rsidRPr="005275DF" w:rsidRDefault="006A4BF8" w:rsidP="00434A6A">
      <w:pPr>
        <w:tabs>
          <w:tab w:val="left" w:pos="2788"/>
        </w:tabs>
        <w:rPr>
          <w:rFonts w:asciiTheme="minorBidi" w:hAnsiTheme="minorBidi"/>
          <w:rtl/>
        </w:rPr>
      </w:pPr>
    </w:p>
    <w:p w14:paraId="30C9C29A" w14:textId="77777777" w:rsidR="006A4BF8" w:rsidRPr="005275DF" w:rsidRDefault="006A4BF8" w:rsidP="00434A6A">
      <w:pPr>
        <w:tabs>
          <w:tab w:val="left" w:pos="2788"/>
        </w:tabs>
        <w:rPr>
          <w:rFonts w:asciiTheme="minorBidi" w:hAnsiTheme="minorBidi"/>
          <w:rtl/>
        </w:rPr>
      </w:pPr>
    </w:p>
    <w:p w14:paraId="473B4F95" w14:textId="77777777" w:rsidR="006A4BF8" w:rsidRDefault="006A4BF8" w:rsidP="00434A6A">
      <w:pPr>
        <w:pStyle w:val="1"/>
        <w:rPr>
          <w:rFonts w:asciiTheme="minorBidi" w:hAnsiTheme="minorBidi"/>
          <w:rtl/>
        </w:rPr>
        <w:sectPr w:rsidR="006A4BF8" w:rsidSect="00BD29B1">
          <w:headerReference w:type="default" r:id="rId103"/>
          <w:footnotePr>
            <w:numRestart w:val="eachSect"/>
          </w:footnotePr>
          <w:pgSz w:w="11906" w:h="16838"/>
          <w:pgMar w:top="720" w:right="1134" w:bottom="720" w:left="1134" w:header="0" w:footer="0" w:gutter="0"/>
          <w:cols w:space="720"/>
          <w:bidi/>
          <w:rtlGutter/>
          <w:docGrid w:linePitch="360"/>
        </w:sectPr>
      </w:pPr>
    </w:p>
    <w:p w14:paraId="4968E577" w14:textId="77777777" w:rsidR="006A4BF8" w:rsidRPr="005275DF" w:rsidRDefault="006A4BF8" w:rsidP="00434A6A">
      <w:pPr>
        <w:pStyle w:val="1"/>
        <w:rPr>
          <w:rFonts w:asciiTheme="minorBidi" w:hAnsiTheme="minorBidi"/>
          <w:rtl/>
        </w:rPr>
      </w:pPr>
      <w:r w:rsidRPr="005275DF">
        <w:rPr>
          <w:rFonts w:asciiTheme="minorBidi" w:hAnsiTheme="minorBidi"/>
          <w:rtl/>
        </w:rPr>
        <w:t>סימן שלז: דין כבוד הבית ודבר שאינו מתכוין</w:t>
      </w:r>
      <w:r>
        <w:rPr>
          <w:rFonts w:asciiTheme="minorBidi" w:hAnsiTheme="minorBidi" w:hint="cs"/>
          <w:rtl/>
        </w:rPr>
        <w:t>, ובו ד' סעיפים</w:t>
      </w:r>
      <w:r w:rsidRPr="005275DF">
        <w:rPr>
          <w:rFonts w:asciiTheme="minorBidi" w:hAnsiTheme="minorBidi"/>
          <w:rtl/>
        </w:rPr>
        <w:t xml:space="preserve">. </w:t>
      </w:r>
    </w:p>
    <w:p w14:paraId="5837D401"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א: דבר שאינו מתכוין, גרירת ספסל וריבוץ הבית.</w:t>
      </w:r>
    </w:p>
    <w:p w14:paraId="70CD1908" w14:textId="77777777" w:rsidR="006A4BF8" w:rsidRPr="005275DF" w:rsidRDefault="006A4BF8" w:rsidP="00434A6A">
      <w:pPr>
        <w:rPr>
          <w:rFonts w:asciiTheme="minorBidi" w:hAnsiTheme="minorBidi"/>
          <w:sz w:val="16"/>
          <w:szCs w:val="16"/>
          <w:rtl/>
        </w:rPr>
      </w:pPr>
      <w:r w:rsidRPr="005275DF">
        <w:rPr>
          <w:rFonts w:asciiTheme="minorBidi" w:hAnsiTheme="minorBidi"/>
          <w:b/>
          <w:bCs/>
          <w:rtl/>
        </w:rPr>
        <w:t>שבת כב ע"א:</w:t>
      </w:r>
      <w:r w:rsidRPr="005275DF">
        <w:rPr>
          <w:rFonts w:asciiTheme="minorBidi" w:hAnsiTheme="minorBidi"/>
          <w:rtl/>
        </w:rPr>
        <w:t xml:space="preserve"> </w:t>
      </w:r>
      <w:r w:rsidRPr="005275DF">
        <w:rPr>
          <w:rFonts w:asciiTheme="minorBidi" w:hAnsiTheme="minorBidi"/>
          <w:u w:val="single"/>
          <w:rtl/>
        </w:rPr>
        <w:t>רב אמר</w:t>
      </w:r>
      <w:r w:rsidRPr="005275DF">
        <w:rPr>
          <w:rFonts w:asciiTheme="minorBidi" w:hAnsiTheme="minorBidi"/>
          <w:rtl/>
        </w:rPr>
        <w:t xml:space="preserve">: אין הלכה כרבי שמעון בגרירה, </w:t>
      </w:r>
      <w:r w:rsidRPr="005275DF">
        <w:rPr>
          <w:rFonts w:asciiTheme="minorBidi" w:hAnsiTheme="minorBidi"/>
          <w:u w:val="single"/>
          <w:rtl/>
        </w:rPr>
        <w:t>ושמואל אמר</w:t>
      </w:r>
      <w:r w:rsidRPr="005275DF">
        <w:rPr>
          <w:rFonts w:asciiTheme="minorBidi" w:hAnsiTheme="minorBidi"/>
          <w:rtl/>
        </w:rPr>
        <w:t xml:space="preserve">: הלכה כרבי שמעון בגרירה. </w:t>
      </w:r>
      <w:r w:rsidRPr="005275DF">
        <w:rPr>
          <w:rFonts w:asciiTheme="minorBidi" w:hAnsiTheme="minorBidi"/>
          <w:u w:val="single"/>
          <w:rtl/>
        </w:rPr>
        <w:t>אמר אביי</w:t>
      </w:r>
      <w:r w:rsidRPr="005275DF">
        <w:rPr>
          <w:rFonts w:asciiTheme="minorBidi" w:hAnsiTheme="minorBidi"/>
          <w:rtl/>
        </w:rPr>
        <w:t xml:space="preserve">: כל מילי דמר עביד כרב, לבר מהני תלת דעביד כשמואל: מדליקין מנר לנר, ומתירין מבגד לבגד, והלכה כרבי שמעון בגרירה. דתניא: רבי שמעון אומר: גורר אדם מטה כסא וספסל ובלבד שלא יתכוין לעשות חריץ. </w:t>
      </w:r>
      <w:r w:rsidRPr="005275DF">
        <w:rPr>
          <w:rFonts w:asciiTheme="minorBidi" w:hAnsiTheme="minorBidi"/>
          <w:sz w:val="16"/>
          <w:szCs w:val="16"/>
          <w:rtl/>
        </w:rPr>
        <w:t>(מסקנא דגמרא דהלכה כר"ש בדבר שאינו מתכוין, ב"י)</w:t>
      </w:r>
    </w:p>
    <w:p w14:paraId="07462C9D" w14:textId="77777777" w:rsidR="006A4BF8" w:rsidRPr="005275DF" w:rsidRDefault="006A4BF8" w:rsidP="00434A6A">
      <w:pPr>
        <w:rPr>
          <w:rFonts w:asciiTheme="minorBidi" w:hAnsiTheme="minorBidi"/>
          <w:rtl/>
        </w:rPr>
      </w:pPr>
      <w:r w:rsidRPr="005275DF">
        <w:rPr>
          <w:rFonts w:asciiTheme="minorBidi" w:hAnsiTheme="minorBidi"/>
          <w:b/>
          <w:bCs/>
          <w:rtl/>
        </w:rPr>
        <w:t>שבת כט ע"ב:</w:t>
      </w:r>
      <w:r w:rsidRPr="005275DF">
        <w:rPr>
          <w:rFonts w:asciiTheme="minorBidi" w:hAnsiTheme="minorBidi"/>
          <w:rtl/>
        </w:rPr>
        <w:t xml:space="preserve"> ריש כנישתא דבצרה גרר ספסלא לעילא מרבי ירמיה רבה, אמר ליה: כמאן - כרבי שמעון? אימר דאמר רבי שמעון בגדולים, דלא אפשר, בקטנים מי אמר? ופליגא דעולא, דאמר עולא: מחלוקת - בקטנים</w:t>
      </w:r>
      <w:r w:rsidRPr="005275DF">
        <w:rPr>
          <w:rStyle w:val="a9"/>
          <w:rFonts w:asciiTheme="minorBidi" w:hAnsiTheme="minorBidi"/>
          <w:rtl/>
        </w:rPr>
        <w:footnoteReference w:id="3525"/>
      </w:r>
      <w:r w:rsidRPr="005275DF">
        <w:rPr>
          <w:rFonts w:asciiTheme="minorBidi" w:hAnsiTheme="minorBidi"/>
          <w:rtl/>
        </w:rPr>
        <w:t xml:space="preserve">, אבל בגדולים - דברי הכל מותר.... תיובתא דרבי ירמיה רבה! תיובתא. </w:t>
      </w:r>
    </w:p>
    <w:p w14:paraId="08A3B124" w14:textId="77777777" w:rsidR="006A4BF8" w:rsidRPr="005275DF" w:rsidRDefault="006A4BF8" w:rsidP="00434A6A">
      <w:pPr>
        <w:rPr>
          <w:rFonts w:asciiTheme="minorBidi" w:hAnsiTheme="minorBidi"/>
          <w:rtl/>
        </w:rPr>
      </w:pPr>
      <w:r w:rsidRPr="005275DF">
        <w:rPr>
          <w:rFonts w:asciiTheme="minorBidi" w:hAnsiTheme="minorBidi"/>
          <w:b/>
          <w:bCs/>
          <w:rtl/>
        </w:rPr>
        <w:t>שבת מו ע"ב:</w:t>
      </w:r>
      <w:r w:rsidRPr="005275DF">
        <w:rPr>
          <w:rFonts w:asciiTheme="minorBidi" w:hAnsiTheme="minorBidi"/>
          <w:rtl/>
        </w:rPr>
        <w:t xml:space="preserve"> כל היכא דכי מיכוין איכא איסורא דרבנן</w:t>
      </w:r>
      <w:r w:rsidRPr="005275DF">
        <w:rPr>
          <w:rStyle w:val="a9"/>
          <w:rFonts w:asciiTheme="minorBidi" w:hAnsiTheme="minorBidi"/>
          <w:rtl/>
        </w:rPr>
        <w:footnoteReference w:id="3526"/>
      </w:r>
      <w:r w:rsidRPr="005275DF">
        <w:rPr>
          <w:rFonts w:asciiTheme="minorBidi" w:hAnsiTheme="minorBidi"/>
          <w:rtl/>
        </w:rPr>
        <w:t xml:space="preserve"> - כי לא מיכוין שרי רבי שמעון לכתחילה. </w:t>
      </w:r>
    </w:p>
    <w:p w14:paraId="0ACF5C44" w14:textId="77777777" w:rsidR="006A4BF8" w:rsidRPr="005275DF" w:rsidRDefault="006A4BF8" w:rsidP="00434A6A">
      <w:pPr>
        <w:rPr>
          <w:rFonts w:asciiTheme="minorBidi" w:hAnsiTheme="minorBidi"/>
          <w:rtl/>
        </w:rPr>
      </w:pPr>
      <w:r w:rsidRPr="005275DF">
        <w:rPr>
          <w:rFonts w:asciiTheme="minorBidi" w:hAnsiTheme="minorBidi"/>
          <w:b/>
          <w:bCs/>
          <w:rtl/>
        </w:rPr>
        <w:t>שבת קג ע"א:</w:t>
      </w:r>
      <w:r w:rsidRPr="005275DF">
        <w:rPr>
          <w:rFonts w:asciiTheme="minorBidi" w:hAnsiTheme="minorBidi"/>
          <w:rtl/>
        </w:rPr>
        <w:t xml:space="preserve"> אביי ורבא דאמרי תרוייהו: מודה רבי שמעון בפסיק רישיה ולא ימות.</w:t>
      </w:r>
    </w:p>
    <w:p w14:paraId="50135A4B" w14:textId="77777777" w:rsidR="006A4BF8" w:rsidRPr="005275DF" w:rsidRDefault="006A4BF8" w:rsidP="00434A6A">
      <w:pPr>
        <w:rPr>
          <w:rFonts w:asciiTheme="minorBidi" w:hAnsiTheme="minorBidi"/>
          <w:rtl/>
        </w:rPr>
      </w:pPr>
      <w:r w:rsidRPr="005275DF">
        <w:rPr>
          <w:rFonts w:asciiTheme="minorBidi" w:hAnsiTheme="minorBidi"/>
          <w:b/>
          <w:bCs/>
          <w:rtl/>
        </w:rPr>
        <w:t>שבת צה ע"א:</w:t>
      </w:r>
      <w:r w:rsidRPr="005275DF">
        <w:rPr>
          <w:rFonts w:asciiTheme="minorBidi" w:hAnsiTheme="minorBidi"/>
          <w:rtl/>
        </w:rPr>
        <w:t xml:space="preserve"> אמימר שרא זילחא</w:t>
      </w:r>
      <w:r w:rsidRPr="005275DF">
        <w:rPr>
          <w:rStyle w:val="a9"/>
          <w:rFonts w:asciiTheme="minorBidi" w:hAnsiTheme="minorBidi"/>
          <w:rtl/>
        </w:rPr>
        <w:footnoteReference w:id="3527"/>
      </w:r>
      <w:r w:rsidRPr="005275DF">
        <w:rPr>
          <w:rFonts w:asciiTheme="minorBidi" w:hAnsiTheme="minorBidi"/>
          <w:rtl/>
        </w:rPr>
        <w:t xml:space="preserve"> במחוזא, אמר: טעמא מאי אמור רבנן - דילמא אתי לאשויי גומות, הכא ליכא גומות. רבא תוספאה אשכחיה לרבינא דקא מצטער מהבלא</w:t>
      </w:r>
      <w:r w:rsidRPr="005275DF">
        <w:rPr>
          <w:rStyle w:val="a9"/>
          <w:rFonts w:asciiTheme="minorBidi" w:hAnsiTheme="minorBidi"/>
          <w:rtl/>
        </w:rPr>
        <w:footnoteReference w:id="3528"/>
      </w:r>
      <w:r w:rsidRPr="005275DF">
        <w:rPr>
          <w:rFonts w:asciiTheme="minorBidi" w:hAnsiTheme="minorBidi"/>
          <w:rtl/>
        </w:rPr>
        <w:t>, ואמרי לה מר קשישא בריה דרבא אשכחיה לרב אשי דקא מצטער מהבלא, אמר ליה: לא סבר לה מר להא דתניא: הרוצה לרבץ את ביתו בשבת מביא עריבה מלאה מים ורוחץ פניו בזוית זו, ידיו בזוית זו, רגליו בזוית זו, ונמצא הבית מתרבץ מאליו. אמר ליה: לאו אדעתאי. תנא: אשה חכמה מרבצת ביתה בשבת. והאידנא דסבירא לן כרבי שמעון - שרי אפילו לכתחלה.</w:t>
      </w:r>
    </w:p>
    <w:p w14:paraId="117BD4ED"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6A44E3B"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דבר שאין מתכוין מותר והוא שלא יהא פסיק רישיה, הילכך גורר אדם מטה כסא וספסל בין גדולים</w:t>
      </w:r>
      <w:r w:rsidRPr="005275DF">
        <w:rPr>
          <w:rStyle w:val="a9"/>
          <w:rFonts w:asciiTheme="minorBidi" w:hAnsiTheme="minorBidi"/>
          <w:rtl/>
        </w:rPr>
        <w:footnoteReference w:id="3529"/>
      </w:r>
      <w:r w:rsidRPr="005275DF">
        <w:rPr>
          <w:rFonts w:asciiTheme="minorBidi" w:hAnsiTheme="minorBidi"/>
          <w:rtl/>
        </w:rPr>
        <w:t xml:space="preserve"> בין קטנים ובלבד שלא יתכוין לעשות חריץ, ומותר לרבץ הבית כיון שאינו מתכוין להשוות גומות אלא שלא יעלה האבק. </w:t>
      </w:r>
    </w:p>
    <w:p w14:paraId="785A07DE" w14:textId="77777777" w:rsidR="006A4BF8" w:rsidRPr="005275DF" w:rsidRDefault="006A4BF8" w:rsidP="00434A6A">
      <w:pPr>
        <w:tabs>
          <w:tab w:val="left" w:pos="2788"/>
        </w:tabs>
        <w:rPr>
          <w:rFonts w:asciiTheme="minorBidi" w:hAnsiTheme="minorBidi"/>
          <w:rtl/>
        </w:rPr>
      </w:pPr>
    </w:p>
    <w:p w14:paraId="30ECD911"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ב: כיבוד הבית.</w:t>
      </w:r>
    </w:p>
    <w:p w14:paraId="0950401D" w14:textId="77777777" w:rsidR="006A4BF8" w:rsidRPr="005275DF" w:rsidRDefault="006A4BF8" w:rsidP="00434A6A">
      <w:pPr>
        <w:rPr>
          <w:rFonts w:asciiTheme="minorBidi" w:hAnsiTheme="minorBidi"/>
          <w:sz w:val="16"/>
          <w:szCs w:val="16"/>
          <w:rtl/>
        </w:rPr>
      </w:pPr>
      <w:r w:rsidRPr="005275DF">
        <w:rPr>
          <w:rFonts w:asciiTheme="minorBidi" w:hAnsiTheme="minorBidi"/>
          <w:b/>
          <w:bCs/>
          <w:rtl/>
        </w:rPr>
        <w:t xml:space="preserve">ביצה כב ע"ב: </w:t>
      </w:r>
      <w:r w:rsidRPr="005275DF">
        <w:rPr>
          <w:rFonts w:asciiTheme="minorBidi" w:hAnsiTheme="minorBidi"/>
          <w:u w:val="double"/>
          <w:rtl/>
        </w:rPr>
        <w:t>משנה:</w:t>
      </w:r>
      <w:r w:rsidRPr="005275DF">
        <w:rPr>
          <w:rFonts w:asciiTheme="minorBidi" w:hAnsiTheme="minorBidi"/>
          <w:rtl/>
        </w:rPr>
        <w:t xml:space="preserve"> אף הוא אמר שלשה דברים להקל: מכבדין בית המטות, ומניחין את המוגמר ביום טוב, ועושין גדי מקולס בלילי פסחים. וחכמים אוסרין. </w:t>
      </w:r>
      <w:r w:rsidRPr="005275DF">
        <w:rPr>
          <w:rFonts w:asciiTheme="minorBidi" w:hAnsiTheme="minorBidi"/>
          <w:sz w:val="16"/>
          <w:szCs w:val="16"/>
          <w:rtl/>
        </w:rPr>
        <w:t>(וכ' הרי"ף מאן חכמים - ר' יהודה, ולא קיי"ל כוותיהו)</w:t>
      </w:r>
    </w:p>
    <w:p w14:paraId="66B85154" w14:textId="77777777" w:rsidR="006A4BF8" w:rsidRPr="005275DF" w:rsidRDefault="006A4BF8" w:rsidP="00434A6A">
      <w:pPr>
        <w:rPr>
          <w:rFonts w:asciiTheme="minorBidi" w:hAnsiTheme="minorBidi"/>
          <w:sz w:val="16"/>
          <w:szCs w:val="16"/>
          <w:rtl/>
        </w:rPr>
      </w:pPr>
      <w:r w:rsidRPr="005275DF">
        <w:rPr>
          <w:rFonts w:asciiTheme="minorBidi" w:hAnsiTheme="minorBidi"/>
          <w:b/>
          <w:bCs/>
          <w:rtl/>
        </w:rPr>
        <w:t xml:space="preserve">שבת קכד ע"ב: </w:t>
      </w:r>
      <w:r w:rsidRPr="005275DF">
        <w:rPr>
          <w:rFonts w:asciiTheme="minorBidi" w:hAnsiTheme="minorBidi"/>
          <w:u w:val="single"/>
          <w:rtl/>
        </w:rPr>
        <w:t>אמר רבי אבא אמר רבי חייא בר אשי אמר רב</w:t>
      </w:r>
      <w:r w:rsidRPr="005275DF">
        <w:rPr>
          <w:rFonts w:asciiTheme="minorBidi" w:hAnsiTheme="minorBidi"/>
          <w:rtl/>
        </w:rPr>
        <w:t xml:space="preserve">: מכבדות של מילתא - מותר לטלטלן בשבת, אבל של תמרה - לא... לעולם מחמה לצל, אימא: וכן אמר רבי אלעזר. </w:t>
      </w:r>
      <w:r w:rsidRPr="005275DF">
        <w:rPr>
          <w:rFonts w:asciiTheme="minorBidi" w:hAnsiTheme="minorBidi"/>
          <w:sz w:val="16"/>
          <w:szCs w:val="16"/>
          <w:rtl/>
        </w:rPr>
        <w:t>(ובהא תליא פלוגתא של הרי"ף וסיעתו ור"י וסיעתו, דהרי"ף סובר דהאידנא דקיי"ל כר"ש יוצא שמכבדות של תמרה הן כלי שמלאכתו להיתר ולכן מותר לכבד בשבת, אך לד' ר"י אסור אף לר"ש משום שמזיז עפר ממקומו)</w:t>
      </w:r>
    </w:p>
    <w:p w14:paraId="75E52F81" w14:textId="77777777" w:rsidR="006A4BF8" w:rsidRPr="005275DF" w:rsidRDefault="006A4BF8" w:rsidP="00434A6A">
      <w:pPr>
        <w:rPr>
          <w:rFonts w:asciiTheme="minorBidi" w:hAnsiTheme="minorBidi"/>
          <w:u w:val="single"/>
          <w:rtl/>
        </w:rPr>
      </w:pPr>
      <w:r w:rsidRPr="005275DF">
        <w:rPr>
          <w:rFonts w:asciiTheme="minorBidi" w:hAnsiTheme="minorBidi"/>
          <w:u w:val="single"/>
          <w:rtl/>
        </w:rPr>
        <w:t>משום מה אסור לכבת את הבית בשבת:</w:t>
      </w:r>
    </w:p>
    <w:p w14:paraId="745C4C30" w14:textId="77777777" w:rsidR="006A4BF8" w:rsidRPr="005275DF" w:rsidRDefault="006A4BF8" w:rsidP="00FF2D21">
      <w:pPr>
        <w:pStyle w:val="aa"/>
        <w:numPr>
          <w:ilvl w:val="0"/>
          <w:numId w:val="35"/>
        </w:numPr>
        <w:rPr>
          <w:rFonts w:asciiTheme="minorBidi" w:hAnsiTheme="minorBidi"/>
        </w:rPr>
      </w:pPr>
      <w:r w:rsidRPr="005275DF">
        <w:rPr>
          <w:rFonts w:asciiTheme="minorBidi" w:hAnsiTheme="minorBidi"/>
          <w:rtl/>
        </w:rPr>
        <w:t>רש"י (ר"י</w:t>
      </w:r>
      <w:r w:rsidRPr="005275DF">
        <w:rPr>
          <w:rFonts w:asciiTheme="minorBidi" w:hAnsiTheme="minorBidi"/>
          <w:sz w:val="16"/>
          <w:szCs w:val="16"/>
          <w:rtl/>
        </w:rPr>
        <w:t xml:space="preserve"> להב' המג"א</w:t>
      </w:r>
      <w:r w:rsidRPr="005275DF">
        <w:rPr>
          <w:rFonts w:asciiTheme="minorBidi" w:hAnsiTheme="minorBidi"/>
          <w:rtl/>
        </w:rPr>
        <w:t>) ראב"ד רמב"ם וסה"ת- משום אשוויי גומות.</w:t>
      </w:r>
    </w:p>
    <w:p w14:paraId="13E3D609" w14:textId="77777777" w:rsidR="006A4BF8" w:rsidRPr="005275DF" w:rsidRDefault="006A4BF8" w:rsidP="00FF2D21">
      <w:pPr>
        <w:pStyle w:val="aa"/>
        <w:numPr>
          <w:ilvl w:val="0"/>
          <w:numId w:val="35"/>
        </w:numPr>
        <w:rPr>
          <w:rFonts w:asciiTheme="minorBidi" w:hAnsiTheme="minorBidi"/>
        </w:rPr>
      </w:pPr>
      <w:r w:rsidRPr="005275DF">
        <w:rPr>
          <w:rFonts w:asciiTheme="minorBidi" w:hAnsiTheme="minorBidi"/>
          <w:rtl/>
        </w:rPr>
        <w:t>(ר"י</w:t>
      </w:r>
      <w:r w:rsidRPr="005275DF">
        <w:rPr>
          <w:rFonts w:asciiTheme="minorBidi" w:hAnsiTheme="minorBidi"/>
          <w:sz w:val="16"/>
          <w:szCs w:val="16"/>
          <w:rtl/>
        </w:rPr>
        <w:t xml:space="preserve"> להב' המרדכי [סי' תנג] והגר"א [סק"ט]</w:t>
      </w:r>
      <w:r w:rsidRPr="005275DF">
        <w:rPr>
          <w:rFonts w:asciiTheme="minorBidi" w:hAnsiTheme="minorBidi"/>
          <w:rtl/>
        </w:rPr>
        <w:t>) (רא"ש</w:t>
      </w:r>
      <w:r w:rsidRPr="005275DF">
        <w:rPr>
          <w:rFonts w:asciiTheme="minorBidi" w:hAnsiTheme="minorBidi"/>
          <w:sz w:val="16"/>
          <w:szCs w:val="16"/>
          <w:rtl/>
        </w:rPr>
        <w:t xml:space="preserve"> להב' הגר"א [סק"ט]</w:t>
      </w:r>
      <w:r w:rsidRPr="005275DF">
        <w:rPr>
          <w:rFonts w:asciiTheme="minorBidi" w:hAnsiTheme="minorBidi"/>
          <w:rtl/>
        </w:rPr>
        <w:t xml:space="preserve">)- משום שמזיז עפר ממקומו </w:t>
      </w:r>
      <w:r w:rsidRPr="005275DF">
        <w:rPr>
          <w:rFonts w:asciiTheme="minorBidi" w:hAnsiTheme="minorBidi"/>
          <w:sz w:val="16"/>
          <w:szCs w:val="16"/>
          <w:rtl/>
        </w:rPr>
        <w:t>(היינו משום טלטול)</w:t>
      </w:r>
      <w:r w:rsidRPr="005275DF">
        <w:rPr>
          <w:rFonts w:asciiTheme="minorBidi" w:hAnsiTheme="minorBidi"/>
          <w:rtl/>
        </w:rPr>
        <w:t>.</w:t>
      </w:r>
    </w:p>
    <w:p w14:paraId="2696CFD8" w14:textId="77777777" w:rsidR="006A4BF8" w:rsidRPr="005275DF" w:rsidRDefault="006A4BF8" w:rsidP="00FF2D21">
      <w:pPr>
        <w:pStyle w:val="aa"/>
        <w:numPr>
          <w:ilvl w:val="0"/>
          <w:numId w:val="35"/>
        </w:numPr>
        <w:rPr>
          <w:rFonts w:asciiTheme="minorBidi" w:hAnsiTheme="minorBidi"/>
        </w:rPr>
      </w:pPr>
      <w:r w:rsidRPr="005275DF">
        <w:rPr>
          <w:rFonts w:asciiTheme="minorBidi" w:hAnsiTheme="minorBidi"/>
          <w:rtl/>
        </w:rPr>
        <w:t>י"א</w:t>
      </w:r>
      <w:r w:rsidRPr="005275DF">
        <w:rPr>
          <w:rFonts w:asciiTheme="minorBidi" w:hAnsiTheme="minorBidi"/>
          <w:sz w:val="16"/>
          <w:szCs w:val="16"/>
          <w:rtl/>
        </w:rPr>
        <w:t xml:space="preserve"> (הובא בשלט"ג לו. אות ו)</w:t>
      </w:r>
      <w:r w:rsidRPr="005275DF">
        <w:rPr>
          <w:rFonts w:asciiTheme="minorBidi" w:hAnsiTheme="minorBidi"/>
          <w:rtl/>
        </w:rPr>
        <w:t>- משום ששובר את קסמי המכבדות בפסיק רישא</w:t>
      </w:r>
      <w:r w:rsidRPr="005275DF">
        <w:rPr>
          <w:rStyle w:val="a9"/>
          <w:rFonts w:asciiTheme="minorBidi" w:hAnsiTheme="minorBidi"/>
          <w:rtl/>
        </w:rPr>
        <w:footnoteReference w:id="3530"/>
      </w:r>
      <w:r w:rsidRPr="005275DF">
        <w:rPr>
          <w:rFonts w:asciiTheme="minorBidi" w:hAnsiTheme="minorBidi"/>
          <w:rtl/>
        </w:rPr>
        <w:t>.</w:t>
      </w:r>
    </w:p>
    <w:p w14:paraId="5F4829C3"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6E770BD5"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אסור לכבד הבית אלא אם כן הקרקע מרוצף, ויש מתירין אפילו אינו מרוצף. </w:t>
      </w:r>
      <w:r w:rsidRPr="005275DF">
        <w:rPr>
          <w:rFonts w:asciiTheme="minorBidi" w:hAnsiTheme="minorBidi"/>
          <w:sz w:val="18"/>
          <w:szCs w:val="18"/>
          <w:rtl/>
        </w:rPr>
        <w:t>הגה: ויש מחמירין אפילו במרוצף (טור בשם ר"י, ומרדכי ורי"ו וסמ"ג וסה"ת), וכן נוהגין ואין לשנות. מיהו על ידי גוי מותר</w:t>
      </w:r>
      <w:r w:rsidRPr="005275DF">
        <w:rPr>
          <w:rStyle w:val="a9"/>
          <w:rFonts w:asciiTheme="minorBidi" w:hAnsiTheme="minorBidi"/>
          <w:sz w:val="18"/>
          <w:szCs w:val="18"/>
          <w:rtl/>
        </w:rPr>
        <w:footnoteReference w:id="3531"/>
      </w:r>
      <w:r w:rsidRPr="005275DF">
        <w:rPr>
          <w:rFonts w:asciiTheme="minorBidi" w:hAnsiTheme="minorBidi"/>
          <w:sz w:val="18"/>
          <w:szCs w:val="18"/>
          <w:rtl/>
        </w:rPr>
        <w:t xml:space="preserve"> (רי"ו), וכן על ידי בגד או מטלית</w:t>
      </w:r>
      <w:r w:rsidRPr="005275DF">
        <w:rPr>
          <w:rStyle w:val="a9"/>
          <w:rFonts w:asciiTheme="minorBidi" w:hAnsiTheme="minorBidi"/>
          <w:sz w:val="18"/>
          <w:szCs w:val="18"/>
          <w:rtl/>
        </w:rPr>
        <w:footnoteReference w:id="3532"/>
      </w:r>
      <w:r w:rsidRPr="005275DF">
        <w:rPr>
          <w:rFonts w:asciiTheme="minorBidi" w:hAnsiTheme="minorBidi"/>
          <w:sz w:val="18"/>
          <w:szCs w:val="18"/>
          <w:rtl/>
        </w:rPr>
        <w:t xml:space="preserve"> או כנף אווז הקלים ואינו משווה גומות (אגור). ואסור לכבד הבגדים על ידי מכבדות העשויים מקסמים שלא ישתברו קסמיהם</w:t>
      </w:r>
      <w:r w:rsidRPr="005275DF">
        <w:rPr>
          <w:rStyle w:val="a9"/>
          <w:rFonts w:asciiTheme="minorBidi" w:hAnsiTheme="minorBidi"/>
          <w:sz w:val="18"/>
          <w:szCs w:val="18"/>
          <w:rtl/>
        </w:rPr>
        <w:footnoteReference w:id="3533"/>
      </w:r>
      <w:r w:rsidRPr="005275DF">
        <w:rPr>
          <w:rFonts w:asciiTheme="minorBidi" w:hAnsiTheme="minorBidi"/>
          <w:sz w:val="18"/>
          <w:szCs w:val="18"/>
          <w:rtl/>
        </w:rPr>
        <w:t xml:space="preserve"> (שלט"ג).</w:t>
      </w:r>
      <w:r w:rsidRPr="005275DF">
        <w:rPr>
          <w:rFonts w:asciiTheme="minorBidi" w:hAnsiTheme="minorBidi"/>
          <w:rtl/>
        </w:rPr>
        <w:t xml:space="preserve"> </w:t>
      </w:r>
    </w:p>
    <w:p w14:paraId="680DDD18" w14:textId="77777777" w:rsidR="006A4BF8" w:rsidRPr="005275DF" w:rsidRDefault="006A4BF8" w:rsidP="00434A6A">
      <w:pPr>
        <w:tabs>
          <w:tab w:val="left" w:pos="2788"/>
        </w:tabs>
        <w:rPr>
          <w:rFonts w:asciiTheme="minorBidi" w:hAnsiTheme="minorBidi"/>
          <w:rtl/>
        </w:rPr>
      </w:pPr>
    </w:p>
    <w:p w14:paraId="76E7BF27"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ג: הדחת קרקע מרוצפת.</w:t>
      </w:r>
    </w:p>
    <w:p w14:paraId="339D286A" w14:textId="77777777" w:rsidR="006A4BF8" w:rsidRPr="005275DF" w:rsidRDefault="006A4BF8" w:rsidP="00434A6A">
      <w:pPr>
        <w:rPr>
          <w:rFonts w:asciiTheme="minorBidi" w:hAnsiTheme="minorBidi"/>
          <w:rtl/>
        </w:rPr>
      </w:pPr>
      <w:r w:rsidRPr="005275DF">
        <w:rPr>
          <w:rFonts w:asciiTheme="minorBidi" w:hAnsiTheme="minorBidi"/>
          <w:b/>
          <w:bCs/>
          <w:rtl/>
        </w:rPr>
        <w:t>שבת מ ע"ב</w:t>
      </w:r>
      <w:r w:rsidRPr="005275DF">
        <w:rPr>
          <w:rStyle w:val="a9"/>
          <w:rFonts w:asciiTheme="minorBidi" w:hAnsiTheme="minorBidi"/>
          <w:b/>
          <w:bCs/>
          <w:rtl/>
        </w:rPr>
        <w:footnoteReference w:id="3534"/>
      </w:r>
      <w:r w:rsidRPr="005275DF">
        <w:rPr>
          <w:rFonts w:asciiTheme="minorBidi" w:hAnsiTheme="minorBidi"/>
          <w:b/>
          <w:bCs/>
          <w:rtl/>
        </w:rPr>
        <w:t xml:space="preserve">: </w:t>
      </w:r>
      <w:r w:rsidRPr="005275DF">
        <w:rPr>
          <w:rFonts w:asciiTheme="minorBidi" w:hAnsiTheme="minorBidi"/>
          <w:rtl/>
        </w:rPr>
        <w:t>מעשה בתלמידו של רבי מאיר שנכנס אחריו לבית המרחץ, ובקש להדיח קרקע. ואמר לו: אין מדיחין</w:t>
      </w:r>
      <w:r w:rsidRPr="005275DF">
        <w:rPr>
          <w:rStyle w:val="a9"/>
          <w:rFonts w:asciiTheme="minorBidi" w:hAnsiTheme="minorBidi"/>
          <w:rtl/>
        </w:rPr>
        <w:footnoteReference w:id="3535"/>
      </w:r>
      <w:r w:rsidRPr="005275DF">
        <w:rPr>
          <w:rFonts w:asciiTheme="minorBidi" w:hAnsiTheme="minorBidi"/>
          <w:rtl/>
        </w:rPr>
        <w:t>...</w:t>
      </w:r>
    </w:p>
    <w:p w14:paraId="2F243E0E" w14:textId="77777777" w:rsidR="006A4BF8" w:rsidRPr="005275DF" w:rsidRDefault="006A4BF8" w:rsidP="00434A6A">
      <w:pPr>
        <w:rPr>
          <w:rFonts w:asciiTheme="minorBidi" w:hAnsiTheme="minorBidi"/>
          <w:rtl/>
        </w:rPr>
      </w:pPr>
      <w:r w:rsidRPr="005275DF">
        <w:rPr>
          <w:rFonts w:asciiTheme="minorBidi" w:hAnsiTheme="minorBidi"/>
          <w:b/>
          <w:bCs/>
          <w:rtl/>
        </w:rPr>
        <w:t xml:space="preserve">תוספתא </w:t>
      </w:r>
      <w:r w:rsidRPr="005275DF">
        <w:rPr>
          <w:rFonts w:asciiTheme="minorBidi" w:hAnsiTheme="minorBidi"/>
          <w:b/>
          <w:bCs/>
          <w:sz w:val="16"/>
          <w:szCs w:val="16"/>
          <w:rtl/>
        </w:rPr>
        <w:t xml:space="preserve">(ליברמן) </w:t>
      </w:r>
      <w:r w:rsidRPr="005275DF">
        <w:rPr>
          <w:rFonts w:asciiTheme="minorBidi" w:hAnsiTheme="minorBidi"/>
          <w:b/>
          <w:bCs/>
          <w:rtl/>
        </w:rPr>
        <w:t xml:space="preserve">שבת טז יד: </w:t>
      </w:r>
      <w:r w:rsidRPr="005275DF">
        <w:rPr>
          <w:rFonts w:asciiTheme="minorBidi" w:hAnsiTheme="minorBidi"/>
          <w:rtl/>
        </w:rPr>
        <w:t>אין... לא יתן אדן שמן על גבי טבלה של שיש להתעגל עליה לפי שאין סכין ואין נופחין ואין מדיחין את הקרקע ביום טוב ואין צריך לומר בשבת.</w:t>
      </w:r>
    </w:p>
    <w:p w14:paraId="1C6D66DF"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2C102CF0"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אין סכין את הקרקע ולא מדיחים אותו</w:t>
      </w:r>
      <w:r w:rsidRPr="005275DF">
        <w:rPr>
          <w:rStyle w:val="a9"/>
          <w:rFonts w:asciiTheme="minorBidi" w:hAnsiTheme="minorBidi"/>
          <w:rtl/>
        </w:rPr>
        <w:footnoteReference w:id="3536"/>
      </w:r>
      <w:r w:rsidRPr="005275DF">
        <w:rPr>
          <w:rFonts w:asciiTheme="minorBidi" w:hAnsiTheme="minorBidi"/>
          <w:rtl/>
        </w:rPr>
        <w:t xml:space="preserve"> אפילו הוא מרוצף</w:t>
      </w:r>
      <w:r w:rsidRPr="005275DF">
        <w:rPr>
          <w:rStyle w:val="a9"/>
          <w:rFonts w:asciiTheme="minorBidi" w:hAnsiTheme="minorBidi"/>
          <w:rtl/>
        </w:rPr>
        <w:footnoteReference w:id="3537"/>
      </w:r>
      <w:r w:rsidRPr="005275DF">
        <w:rPr>
          <w:rFonts w:asciiTheme="minorBidi" w:hAnsiTheme="minorBidi"/>
          <w:rtl/>
        </w:rPr>
        <w:t xml:space="preserve">. </w:t>
      </w:r>
    </w:p>
    <w:p w14:paraId="0398C84F" w14:textId="77777777" w:rsidR="006A4BF8" w:rsidRPr="005275DF" w:rsidRDefault="006A4BF8" w:rsidP="00434A6A">
      <w:pPr>
        <w:tabs>
          <w:tab w:val="left" w:pos="2788"/>
        </w:tabs>
        <w:rPr>
          <w:rFonts w:asciiTheme="minorBidi" w:hAnsiTheme="minorBidi"/>
          <w:rtl/>
        </w:rPr>
      </w:pPr>
    </w:p>
    <w:p w14:paraId="17493F5D"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ד: צידוד חבית</w:t>
      </w:r>
      <w:r w:rsidRPr="005275DF">
        <w:rPr>
          <w:rFonts w:asciiTheme="minorBidi" w:hAnsiTheme="minorBidi" w:cstheme="minorBidi"/>
          <w:sz w:val="22"/>
          <w:szCs w:val="22"/>
          <w:rtl/>
        </w:rPr>
        <w:t xml:space="preserve"> (או חפץ כבד אחר)</w:t>
      </w:r>
      <w:r w:rsidRPr="005275DF">
        <w:rPr>
          <w:rFonts w:asciiTheme="minorBidi" w:hAnsiTheme="minorBidi" w:cstheme="minorBidi"/>
          <w:rtl/>
        </w:rPr>
        <w:t xml:space="preserve"> על הארץ.</w:t>
      </w:r>
    </w:p>
    <w:p w14:paraId="7010A341"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קמא ע"א: </w:t>
      </w:r>
      <w:r w:rsidRPr="005275DF">
        <w:rPr>
          <w:rFonts w:asciiTheme="minorBidi" w:hAnsiTheme="minorBidi"/>
          <w:u w:val="single"/>
          <w:rtl/>
        </w:rPr>
        <w:t>ואמר רבא:</w:t>
      </w:r>
      <w:r w:rsidRPr="005275DF">
        <w:rPr>
          <w:rFonts w:asciiTheme="minorBidi" w:hAnsiTheme="minorBidi"/>
          <w:rtl/>
        </w:rPr>
        <w:t xml:space="preserve"> לא ליצדד איניש כובא, דילמא אתי לאשוויי גומות.</w:t>
      </w:r>
    </w:p>
    <w:p w14:paraId="4953F7F6"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55C823E"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אסור לצדד חבית על הארץ דכיון שהיא כבידה יבא להשוות גומות ודאי</w:t>
      </w:r>
      <w:r w:rsidRPr="005275DF">
        <w:rPr>
          <w:rStyle w:val="a9"/>
          <w:rFonts w:asciiTheme="minorBidi" w:hAnsiTheme="minorBidi"/>
          <w:rtl/>
        </w:rPr>
        <w:footnoteReference w:id="3538"/>
      </w:r>
      <w:r w:rsidRPr="005275DF">
        <w:rPr>
          <w:rFonts w:asciiTheme="minorBidi" w:hAnsiTheme="minorBidi"/>
          <w:rtl/>
        </w:rPr>
        <w:t xml:space="preserve"> והוי פסיק רישיה.</w:t>
      </w:r>
    </w:p>
    <w:p w14:paraId="38FD5140" w14:textId="77777777" w:rsidR="006A4BF8" w:rsidRDefault="006A4BF8" w:rsidP="00434A6A">
      <w:pPr>
        <w:tabs>
          <w:tab w:val="left" w:pos="2788"/>
        </w:tabs>
        <w:rPr>
          <w:rFonts w:asciiTheme="minorBidi" w:hAnsiTheme="minorBidi"/>
          <w:rtl/>
        </w:rPr>
      </w:pPr>
      <w:r w:rsidRPr="005275DF">
        <w:rPr>
          <w:rFonts w:asciiTheme="minorBidi" w:hAnsiTheme="minorBidi"/>
          <w:rtl/>
        </w:rPr>
        <w:t xml:space="preserve">- מג"א, (ז) אסור לצדד - ולא יכריע חבית וישפוך ממנה אלא מגביה אותה מן הארץ ושופך דאל"כ מחפיר הוא מן הארץ (בה"ג </w:t>
      </w:r>
      <w:r w:rsidRPr="005275DF">
        <w:rPr>
          <w:rFonts w:asciiTheme="minorBidi" w:hAnsiTheme="minorBidi"/>
          <w:sz w:val="16"/>
          <w:szCs w:val="16"/>
          <w:rtl/>
        </w:rPr>
        <w:t>[סי' ז עמ' קמג]</w:t>
      </w:r>
      <w:r w:rsidRPr="005275DF">
        <w:rPr>
          <w:rFonts w:asciiTheme="minorBidi" w:hAnsiTheme="minorBidi"/>
          <w:rtl/>
        </w:rPr>
        <w:t>).</w:t>
      </w:r>
    </w:p>
    <w:p w14:paraId="6922DE16" w14:textId="77777777" w:rsidR="006A4BF8" w:rsidRDefault="006A4BF8" w:rsidP="00434A6A">
      <w:pPr>
        <w:tabs>
          <w:tab w:val="left" w:pos="2788"/>
        </w:tabs>
        <w:rPr>
          <w:rFonts w:asciiTheme="minorBidi" w:hAnsiTheme="minorBidi"/>
          <w:rtl/>
        </w:rPr>
      </w:pPr>
    </w:p>
    <w:p w14:paraId="79AEEA06" w14:textId="77777777" w:rsidR="006A4BF8" w:rsidRDefault="006A4BF8" w:rsidP="00434A6A">
      <w:pPr>
        <w:tabs>
          <w:tab w:val="left" w:pos="2788"/>
        </w:tabs>
        <w:rPr>
          <w:rFonts w:asciiTheme="minorBidi" w:hAnsiTheme="minorBidi" w:cs="Arial"/>
          <w:rtl/>
        </w:rPr>
        <w:sectPr w:rsidR="006A4BF8" w:rsidSect="00BD29B1">
          <w:headerReference w:type="default" r:id="rId104"/>
          <w:footnotePr>
            <w:numRestart w:val="eachSect"/>
          </w:footnotePr>
          <w:pgSz w:w="11906" w:h="16838"/>
          <w:pgMar w:top="720" w:right="1134" w:bottom="720" w:left="1134" w:header="0" w:footer="0" w:gutter="0"/>
          <w:cols w:space="720"/>
          <w:bidi/>
          <w:rtlGutter/>
          <w:docGrid w:linePitch="360"/>
        </w:sectPr>
      </w:pPr>
    </w:p>
    <w:p w14:paraId="4654E7EF" w14:textId="77777777" w:rsidR="006A4BF8" w:rsidRPr="00974030" w:rsidRDefault="006A4BF8" w:rsidP="00434A6A">
      <w:pPr>
        <w:pStyle w:val="1"/>
        <w:rPr>
          <w:rtl/>
        </w:rPr>
      </w:pPr>
      <w:r>
        <w:rPr>
          <w:rFonts w:hint="cs"/>
          <w:rtl/>
        </w:rPr>
        <w:t xml:space="preserve">סימן שלח: </w:t>
      </w:r>
      <w:r w:rsidRPr="00974030">
        <w:rPr>
          <w:rFonts w:hint="cs"/>
          <w:rtl/>
        </w:rPr>
        <w:t>דברים</w:t>
      </w:r>
      <w:r w:rsidRPr="00974030">
        <w:rPr>
          <w:rtl/>
        </w:rPr>
        <w:t xml:space="preserve"> </w:t>
      </w:r>
      <w:r w:rsidRPr="00974030">
        <w:rPr>
          <w:rFonts w:hint="cs"/>
          <w:rtl/>
        </w:rPr>
        <w:t>האסורים</w:t>
      </w:r>
      <w:r w:rsidRPr="00974030">
        <w:rPr>
          <w:rtl/>
        </w:rPr>
        <w:t xml:space="preserve"> </w:t>
      </w:r>
      <w:r w:rsidRPr="00974030">
        <w:rPr>
          <w:rFonts w:hint="cs"/>
          <w:rtl/>
        </w:rPr>
        <w:t>בשבת</w:t>
      </w:r>
      <w:r w:rsidRPr="00974030">
        <w:rPr>
          <w:rtl/>
        </w:rPr>
        <w:t xml:space="preserve"> </w:t>
      </w:r>
      <w:r w:rsidRPr="00974030">
        <w:rPr>
          <w:rFonts w:hint="cs"/>
          <w:rtl/>
        </w:rPr>
        <w:t>משום</w:t>
      </w:r>
      <w:r w:rsidRPr="00974030">
        <w:rPr>
          <w:rtl/>
        </w:rPr>
        <w:t xml:space="preserve"> </w:t>
      </w:r>
      <w:r w:rsidRPr="00974030">
        <w:rPr>
          <w:rFonts w:hint="cs"/>
          <w:rtl/>
        </w:rPr>
        <w:t>השמעת</w:t>
      </w:r>
      <w:r w:rsidRPr="00974030">
        <w:rPr>
          <w:rtl/>
        </w:rPr>
        <w:t xml:space="preserve"> </w:t>
      </w:r>
      <w:r w:rsidRPr="00974030">
        <w:rPr>
          <w:rFonts w:hint="cs"/>
          <w:rtl/>
        </w:rPr>
        <w:t>קול</w:t>
      </w:r>
      <w:r w:rsidRPr="00974030">
        <w:rPr>
          <w:rtl/>
        </w:rPr>
        <w:t xml:space="preserve">, </w:t>
      </w:r>
      <w:r w:rsidRPr="00974030">
        <w:rPr>
          <w:rFonts w:hint="cs"/>
          <w:rtl/>
        </w:rPr>
        <w:t>ובו</w:t>
      </w:r>
      <w:r w:rsidRPr="00974030">
        <w:rPr>
          <w:rtl/>
        </w:rPr>
        <w:t xml:space="preserve"> </w:t>
      </w:r>
      <w:r w:rsidRPr="00974030">
        <w:rPr>
          <w:rFonts w:hint="cs"/>
          <w:rtl/>
        </w:rPr>
        <w:t>ח</w:t>
      </w:r>
      <w:r w:rsidRPr="00974030">
        <w:rPr>
          <w:rtl/>
        </w:rPr>
        <w:t xml:space="preserve">' </w:t>
      </w:r>
      <w:r w:rsidRPr="00974030">
        <w:rPr>
          <w:rFonts w:hint="cs"/>
          <w:rtl/>
        </w:rPr>
        <w:t>סעיפים</w:t>
      </w:r>
      <w:r w:rsidRPr="00974030">
        <w:rPr>
          <w:rtl/>
        </w:rPr>
        <w:t xml:space="preserve">. </w:t>
      </w:r>
    </w:p>
    <w:p w14:paraId="42528A20"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א</w:t>
      </w:r>
    </w:p>
    <w:p w14:paraId="7389C058"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השמעת</w:t>
      </w:r>
      <w:r w:rsidRPr="00974030">
        <w:rPr>
          <w:rFonts w:asciiTheme="minorBidi" w:hAnsiTheme="minorBidi" w:cs="Arial"/>
          <w:rtl/>
        </w:rPr>
        <w:t xml:space="preserve"> </w:t>
      </w:r>
      <w:r w:rsidRPr="00974030">
        <w:rPr>
          <w:rFonts w:asciiTheme="minorBidi" w:hAnsiTheme="minorBidi" w:cs="Arial" w:hint="cs"/>
          <w:rtl/>
        </w:rPr>
        <w:t>קול</w:t>
      </w:r>
      <w:r w:rsidRPr="00974030">
        <w:rPr>
          <w:rFonts w:asciiTheme="minorBidi" w:hAnsiTheme="minorBidi" w:cs="Arial"/>
          <w:rtl/>
        </w:rPr>
        <w:t xml:space="preserve"> </w:t>
      </w:r>
      <w:r w:rsidRPr="00974030">
        <w:rPr>
          <w:rFonts w:asciiTheme="minorBidi" w:hAnsiTheme="minorBidi" w:cs="Arial" w:hint="cs"/>
          <w:rtl/>
        </w:rPr>
        <w:t>בכלי</w:t>
      </w:r>
      <w:r w:rsidRPr="00974030">
        <w:rPr>
          <w:rFonts w:asciiTheme="minorBidi" w:hAnsiTheme="minorBidi" w:cs="Arial"/>
          <w:rtl/>
        </w:rPr>
        <w:t xml:space="preserve"> </w:t>
      </w:r>
      <w:r w:rsidRPr="00974030">
        <w:rPr>
          <w:rFonts w:asciiTheme="minorBidi" w:hAnsiTheme="minorBidi" w:cs="Arial" w:hint="cs"/>
          <w:rtl/>
        </w:rPr>
        <w:t>שיר</w:t>
      </w:r>
      <w:r w:rsidRPr="00974030">
        <w:rPr>
          <w:rFonts w:asciiTheme="minorBidi" w:hAnsiTheme="minorBidi" w:cs="Arial"/>
          <w:rtl/>
        </w:rPr>
        <w:t xml:space="preserve">, </w:t>
      </w: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להקיש</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הדלת</w:t>
      </w:r>
      <w:r w:rsidRPr="00974030">
        <w:rPr>
          <w:rFonts w:asciiTheme="minorBidi" w:hAnsiTheme="minorBidi" w:cs="Arial"/>
          <w:rtl/>
        </w:rPr>
        <w:t xml:space="preserve"> </w:t>
      </w:r>
      <w:r w:rsidRPr="00974030">
        <w:rPr>
          <w:rFonts w:asciiTheme="minorBidi" w:hAnsiTheme="minorBidi" w:cs="Arial" w:hint="cs"/>
          <w:rtl/>
        </w:rPr>
        <w:t>וכיוצא</w:t>
      </w:r>
      <w:r w:rsidRPr="00974030">
        <w:rPr>
          <w:rFonts w:asciiTheme="minorBidi" w:hAnsiTheme="minorBidi" w:cs="Arial"/>
          <w:rtl/>
        </w:rPr>
        <w:t xml:space="preserve"> </w:t>
      </w:r>
      <w:r w:rsidRPr="00974030">
        <w:rPr>
          <w:rFonts w:asciiTheme="minorBidi" w:hAnsiTheme="minorBidi" w:cs="Arial" w:hint="cs"/>
          <w:rtl/>
        </w:rPr>
        <w:t>בזה</w:t>
      </w:r>
      <w:r w:rsidRPr="00974030">
        <w:rPr>
          <w:rFonts w:asciiTheme="minorBidi" w:hAnsiTheme="minorBidi" w:cs="Arial"/>
          <w:rtl/>
        </w:rPr>
        <w:t xml:space="preserve">, </w:t>
      </w:r>
      <w:r w:rsidRPr="00974030">
        <w:rPr>
          <w:rFonts w:asciiTheme="minorBidi" w:hAnsiTheme="minorBidi" w:cs="Arial" w:hint="cs"/>
          <w:rtl/>
        </w:rPr>
        <w:t>כשאינו</w:t>
      </w:r>
      <w:r w:rsidRPr="00974030">
        <w:rPr>
          <w:rFonts w:asciiTheme="minorBidi" w:hAnsiTheme="minorBidi" w:cs="Arial"/>
          <w:rtl/>
        </w:rPr>
        <w:t xml:space="preserve"> </w:t>
      </w:r>
      <w:r w:rsidRPr="00974030">
        <w:rPr>
          <w:rFonts w:asciiTheme="minorBidi" w:hAnsiTheme="minorBidi" w:cs="Arial" w:hint="cs"/>
          <w:rtl/>
        </w:rPr>
        <w:t>דרך</w:t>
      </w:r>
      <w:r w:rsidRPr="00974030">
        <w:rPr>
          <w:rFonts w:asciiTheme="minorBidi" w:hAnsiTheme="minorBidi" w:cs="Arial"/>
          <w:rtl/>
        </w:rPr>
        <w:t xml:space="preserve"> </w:t>
      </w:r>
      <w:r w:rsidRPr="00974030">
        <w:rPr>
          <w:rFonts w:asciiTheme="minorBidi" w:hAnsiTheme="minorBidi" w:cs="Arial" w:hint="cs"/>
          <w:rtl/>
        </w:rPr>
        <w:t>שיר</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הגה</w:t>
      </w:r>
      <w:r w:rsidRPr="00974030">
        <w:rPr>
          <w:rFonts w:asciiTheme="minorBidi" w:hAnsiTheme="minorBidi" w:cs="Arial"/>
          <w:rtl/>
        </w:rPr>
        <w:t xml:space="preserve">: </w:t>
      </w:r>
      <w:r w:rsidRPr="00974030">
        <w:rPr>
          <w:rFonts w:asciiTheme="minorBidi" w:hAnsiTheme="minorBidi" w:cs="Arial" w:hint="cs"/>
          <w:rtl/>
        </w:rPr>
        <w:t>וכן</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עביד</w:t>
      </w:r>
      <w:r w:rsidRPr="00974030">
        <w:rPr>
          <w:rFonts w:asciiTheme="minorBidi" w:hAnsiTheme="minorBidi" w:cs="Arial"/>
          <w:rtl/>
        </w:rPr>
        <w:t xml:space="preserve"> </w:t>
      </w:r>
      <w:r w:rsidRPr="00974030">
        <w:rPr>
          <w:rFonts w:asciiTheme="minorBidi" w:hAnsiTheme="minorBidi" w:cs="Arial" w:hint="cs"/>
          <w:rtl/>
        </w:rPr>
        <w:t>מעשה</w:t>
      </w:r>
      <w:r w:rsidRPr="00974030">
        <w:rPr>
          <w:rFonts w:asciiTheme="minorBidi" w:hAnsiTheme="minorBidi" w:cs="Arial"/>
          <w:rtl/>
        </w:rPr>
        <w:t xml:space="preserve">, </w:t>
      </w:r>
      <w:r w:rsidRPr="00974030">
        <w:rPr>
          <w:rFonts w:asciiTheme="minorBidi" w:hAnsiTheme="minorBidi" w:cs="Arial" w:hint="cs"/>
          <w:rtl/>
        </w:rPr>
        <w:t>שרי</w:t>
      </w:r>
      <w:r w:rsidRPr="00974030">
        <w:rPr>
          <w:rFonts w:asciiTheme="minorBidi" w:hAnsiTheme="minorBidi" w:cs="Arial"/>
          <w:rtl/>
        </w:rPr>
        <w:t xml:space="preserve">. </w:t>
      </w:r>
      <w:r w:rsidRPr="00974030">
        <w:rPr>
          <w:rFonts w:asciiTheme="minorBidi" w:hAnsiTheme="minorBidi" w:cs="Arial" w:hint="cs"/>
          <w:rtl/>
        </w:rPr>
        <w:t>ולכן</w:t>
      </w:r>
      <w:r w:rsidRPr="00974030">
        <w:rPr>
          <w:rFonts w:asciiTheme="minorBidi" w:hAnsiTheme="minorBidi" w:cs="Arial"/>
          <w:rtl/>
        </w:rPr>
        <w:t xml:space="preserve"> </w:t>
      </w:r>
      <w:r w:rsidRPr="00974030">
        <w:rPr>
          <w:rFonts w:asciiTheme="minorBidi" w:hAnsiTheme="minorBidi" w:cs="Arial" w:hint="cs"/>
          <w:rtl/>
        </w:rPr>
        <w:t>אלו</w:t>
      </w:r>
      <w:r w:rsidRPr="00974030">
        <w:rPr>
          <w:rFonts w:asciiTheme="minorBidi" w:hAnsiTheme="minorBidi" w:cs="Arial"/>
          <w:rtl/>
        </w:rPr>
        <w:t xml:space="preserve"> </w:t>
      </w:r>
      <w:r w:rsidRPr="00974030">
        <w:rPr>
          <w:rFonts w:asciiTheme="minorBidi" w:hAnsiTheme="minorBidi" w:cs="Arial" w:hint="cs"/>
          <w:rtl/>
        </w:rPr>
        <w:t>שקורין</w:t>
      </w:r>
      <w:r w:rsidRPr="00974030">
        <w:rPr>
          <w:rFonts w:asciiTheme="minorBidi" w:hAnsiTheme="minorBidi" w:cs="Arial"/>
          <w:rtl/>
        </w:rPr>
        <w:t xml:space="preserve"> </w:t>
      </w:r>
      <w:r w:rsidRPr="00974030">
        <w:rPr>
          <w:rFonts w:asciiTheme="minorBidi" w:hAnsiTheme="minorBidi" w:cs="Arial" w:hint="cs"/>
          <w:rtl/>
        </w:rPr>
        <w:t>לחבריהם</w:t>
      </w:r>
      <w:r w:rsidRPr="00974030">
        <w:rPr>
          <w:rFonts w:asciiTheme="minorBidi" w:hAnsiTheme="minorBidi" w:cs="Arial"/>
          <w:rtl/>
        </w:rPr>
        <w:t xml:space="preserve"> </w:t>
      </w:r>
      <w:r w:rsidRPr="00974030">
        <w:rPr>
          <w:rFonts w:asciiTheme="minorBidi" w:hAnsiTheme="minorBidi" w:cs="Arial" w:hint="cs"/>
          <w:rtl/>
        </w:rPr>
        <w:t>ומצפצפים</w:t>
      </w:r>
      <w:r w:rsidRPr="00974030">
        <w:rPr>
          <w:rFonts w:asciiTheme="minorBidi" w:hAnsiTheme="minorBidi" w:cs="Arial"/>
          <w:rtl/>
        </w:rPr>
        <w:t xml:space="preserve"> </w:t>
      </w:r>
      <w:r w:rsidRPr="00974030">
        <w:rPr>
          <w:rFonts w:asciiTheme="minorBidi" w:hAnsiTheme="minorBidi" w:cs="Arial" w:hint="cs"/>
          <w:rtl/>
        </w:rPr>
        <w:t>בפיהם</w:t>
      </w:r>
      <w:r w:rsidRPr="00974030">
        <w:rPr>
          <w:rFonts w:asciiTheme="minorBidi" w:hAnsiTheme="minorBidi" w:cs="Arial"/>
          <w:rtl/>
        </w:rPr>
        <w:t xml:space="preserve"> </w:t>
      </w:r>
      <w:r w:rsidRPr="00974030">
        <w:rPr>
          <w:rFonts w:asciiTheme="minorBidi" w:hAnsiTheme="minorBidi" w:cs="Arial" w:hint="cs"/>
          <w:rtl/>
        </w:rPr>
        <w:t>כמו</w:t>
      </w:r>
      <w:r w:rsidRPr="00974030">
        <w:rPr>
          <w:rFonts w:asciiTheme="minorBidi" w:hAnsiTheme="minorBidi" w:cs="Arial"/>
          <w:rtl/>
        </w:rPr>
        <w:t xml:space="preserve"> </w:t>
      </w:r>
      <w:r w:rsidRPr="00974030">
        <w:rPr>
          <w:rFonts w:asciiTheme="minorBidi" w:hAnsiTheme="minorBidi" w:cs="Arial" w:hint="cs"/>
          <w:rtl/>
        </w:rPr>
        <w:t>צפור</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לעשותו</w:t>
      </w:r>
      <w:r w:rsidRPr="00974030">
        <w:rPr>
          <w:rFonts w:asciiTheme="minorBidi" w:hAnsiTheme="minorBidi" w:cs="Arial"/>
          <w:rtl/>
        </w:rPr>
        <w:t xml:space="preserve"> </w:t>
      </w:r>
      <w:r w:rsidRPr="00974030">
        <w:rPr>
          <w:rFonts w:asciiTheme="minorBidi" w:hAnsiTheme="minorBidi" w:cs="Arial" w:hint="cs"/>
          <w:rtl/>
        </w:rPr>
        <w:t>בשבת</w:t>
      </w:r>
      <w:r w:rsidRPr="00974030">
        <w:rPr>
          <w:rFonts w:asciiTheme="minorBidi" w:hAnsiTheme="minorBidi" w:cs="Arial"/>
          <w:rtl/>
        </w:rPr>
        <w:t xml:space="preserve"> (</w:t>
      </w:r>
      <w:r w:rsidRPr="00974030">
        <w:rPr>
          <w:rFonts w:asciiTheme="minorBidi" w:hAnsiTheme="minorBidi" w:cs="Arial" w:hint="cs"/>
          <w:rtl/>
        </w:rPr>
        <w:t>הגהות</w:t>
      </w:r>
      <w:r w:rsidRPr="00974030">
        <w:rPr>
          <w:rFonts w:asciiTheme="minorBidi" w:hAnsiTheme="minorBidi" w:cs="Arial"/>
          <w:rtl/>
        </w:rPr>
        <w:t xml:space="preserve"> </w:t>
      </w:r>
      <w:r w:rsidRPr="00974030">
        <w:rPr>
          <w:rFonts w:asciiTheme="minorBidi" w:hAnsiTheme="minorBidi" w:cs="Arial" w:hint="cs"/>
          <w:rtl/>
        </w:rPr>
        <w:t>אלפסי</w:t>
      </w:r>
      <w:r w:rsidRPr="00974030">
        <w:rPr>
          <w:rFonts w:asciiTheme="minorBidi" w:hAnsiTheme="minorBidi" w:cs="Arial"/>
          <w:rtl/>
        </w:rPr>
        <w:t xml:space="preserve">). </w:t>
      </w:r>
      <w:r w:rsidRPr="00974030">
        <w:rPr>
          <w:rFonts w:asciiTheme="minorBidi" w:hAnsiTheme="minorBidi" w:cs="Arial" w:hint="cs"/>
          <w:rtl/>
        </w:rPr>
        <w:t>ואסור</w:t>
      </w:r>
      <w:r w:rsidRPr="00974030">
        <w:rPr>
          <w:rFonts w:asciiTheme="minorBidi" w:hAnsiTheme="minorBidi" w:cs="Arial"/>
          <w:rtl/>
        </w:rPr>
        <w:t xml:space="preserve"> </w:t>
      </w:r>
      <w:r w:rsidRPr="00974030">
        <w:rPr>
          <w:rFonts w:asciiTheme="minorBidi" w:hAnsiTheme="minorBidi" w:cs="Arial" w:hint="cs"/>
          <w:rtl/>
        </w:rPr>
        <w:t>להכות</w:t>
      </w:r>
      <w:r w:rsidRPr="00974030">
        <w:rPr>
          <w:rFonts w:asciiTheme="minorBidi" w:hAnsiTheme="minorBidi" w:cs="Arial"/>
          <w:rtl/>
        </w:rPr>
        <w:t xml:space="preserve"> </w:t>
      </w:r>
      <w:r w:rsidRPr="00974030">
        <w:rPr>
          <w:rFonts w:asciiTheme="minorBidi" w:hAnsiTheme="minorBidi" w:cs="Arial" w:hint="cs"/>
          <w:rtl/>
        </w:rPr>
        <w:t>בשבת</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הדלת</w:t>
      </w:r>
      <w:r w:rsidRPr="00974030">
        <w:rPr>
          <w:rFonts w:asciiTheme="minorBidi" w:hAnsiTheme="minorBidi" w:cs="Arial"/>
          <w:rtl/>
        </w:rPr>
        <w:t xml:space="preserve"> </w:t>
      </w:r>
      <w:r w:rsidRPr="00974030">
        <w:rPr>
          <w:rFonts w:asciiTheme="minorBidi" w:hAnsiTheme="minorBidi" w:cs="Arial" w:hint="cs"/>
          <w:rtl/>
        </w:rPr>
        <w:t>בטבעת</w:t>
      </w:r>
      <w:r w:rsidRPr="00974030">
        <w:rPr>
          <w:rFonts w:asciiTheme="minorBidi" w:hAnsiTheme="minorBidi" w:cs="Arial"/>
          <w:rtl/>
        </w:rPr>
        <w:t xml:space="preserve"> </w:t>
      </w:r>
      <w:r w:rsidRPr="00974030">
        <w:rPr>
          <w:rFonts w:asciiTheme="minorBidi" w:hAnsiTheme="minorBidi" w:cs="Arial" w:hint="cs"/>
          <w:rtl/>
        </w:rPr>
        <w:t>הקבוע</w:t>
      </w:r>
      <w:r w:rsidRPr="00974030">
        <w:rPr>
          <w:rFonts w:asciiTheme="minorBidi" w:hAnsiTheme="minorBidi" w:cs="Arial"/>
          <w:rtl/>
        </w:rPr>
        <w:t xml:space="preserve"> </w:t>
      </w:r>
      <w:r w:rsidRPr="00974030">
        <w:rPr>
          <w:rFonts w:asciiTheme="minorBidi" w:hAnsiTheme="minorBidi" w:cs="Arial" w:hint="cs"/>
          <w:rtl/>
        </w:rPr>
        <w:t>בדלת</w:t>
      </w:r>
      <w:r w:rsidRPr="00974030">
        <w:rPr>
          <w:rFonts w:asciiTheme="minorBidi" w:hAnsiTheme="minorBidi" w:cs="Arial"/>
          <w:rtl/>
        </w:rPr>
        <w:t xml:space="preserve">, </w:t>
      </w:r>
      <w:r w:rsidRPr="00974030">
        <w:rPr>
          <w:rFonts w:asciiTheme="minorBidi" w:hAnsiTheme="minorBidi" w:cs="Arial" w:hint="cs"/>
          <w:rtl/>
        </w:rPr>
        <w:t>אף</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פי</w:t>
      </w:r>
      <w:r w:rsidRPr="00974030">
        <w:rPr>
          <w:rFonts w:asciiTheme="minorBidi" w:hAnsiTheme="minorBidi" w:cs="Arial"/>
          <w:rtl/>
        </w:rPr>
        <w:t xml:space="preserve"> </w:t>
      </w:r>
      <w:r w:rsidRPr="00974030">
        <w:rPr>
          <w:rFonts w:asciiTheme="minorBidi" w:hAnsiTheme="minorBidi" w:cs="Arial" w:hint="cs"/>
          <w:rtl/>
        </w:rPr>
        <w:t>שאינו</w:t>
      </w:r>
      <w:r w:rsidRPr="00974030">
        <w:rPr>
          <w:rFonts w:asciiTheme="minorBidi" w:hAnsiTheme="minorBidi" w:cs="Arial"/>
          <w:rtl/>
        </w:rPr>
        <w:t xml:space="preserve"> </w:t>
      </w:r>
      <w:r w:rsidRPr="00974030">
        <w:rPr>
          <w:rFonts w:asciiTheme="minorBidi" w:hAnsiTheme="minorBidi" w:cs="Arial" w:hint="cs"/>
          <w:rtl/>
        </w:rPr>
        <w:t>מכוין</w:t>
      </w:r>
      <w:r w:rsidRPr="00974030">
        <w:rPr>
          <w:rFonts w:asciiTheme="minorBidi" w:hAnsiTheme="minorBidi" w:cs="Arial"/>
          <w:rtl/>
        </w:rPr>
        <w:t xml:space="preserve"> </w:t>
      </w:r>
      <w:r w:rsidRPr="00974030">
        <w:rPr>
          <w:rFonts w:asciiTheme="minorBidi" w:hAnsiTheme="minorBidi" w:cs="Arial" w:hint="cs"/>
          <w:rtl/>
        </w:rPr>
        <w:t>לשיר</w:t>
      </w:r>
      <w:r w:rsidRPr="00974030">
        <w:rPr>
          <w:rFonts w:asciiTheme="minorBidi" w:hAnsiTheme="minorBidi" w:cs="Arial"/>
          <w:rtl/>
        </w:rPr>
        <w:t xml:space="preserve">, </w:t>
      </w:r>
      <w:r w:rsidRPr="00974030">
        <w:rPr>
          <w:rFonts w:asciiTheme="minorBidi" w:hAnsiTheme="minorBidi" w:cs="Arial" w:hint="cs"/>
          <w:rtl/>
        </w:rPr>
        <w:t>מ</w:t>
      </w:r>
      <w:r w:rsidRPr="00974030">
        <w:rPr>
          <w:rFonts w:asciiTheme="minorBidi" w:hAnsiTheme="minorBidi" w:cs="Arial"/>
          <w:rtl/>
        </w:rPr>
        <w:t>"</w:t>
      </w:r>
      <w:r w:rsidRPr="00974030">
        <w:rPr>
          <w:rFonts w:asciiTheme="minorBidi" w:hAnsiTheme="minorBidi" w:cs="Arial" w:hint="cs"/>
          <w:rtl/>
        </w:rPr>
        <w:t>מ</w:t>
      </w:r>
      <w:r w:rsidRPr="00974030">
        <w:rPr>
          <w:rFonts w:asciiTheme="minorBidi" w:hAnsiTheme="minorBidi" w:cs="Arial"/>
          <w:rtl/>
        </w:rPr>
        <w:t xml:space="preserve"> </w:t>
      </w:r>
      <w:r w:rsidRPr="00974030">
        <w:rPr>
          <w:rFonts w:asciiTheme="minorBidi" w:hAnsiTheme="minorBidi" w:cs="Arial" w:hint="cs"/>
          <w:rtl/>
        </w:rPr>
        <w:t>הואיל</w:t>
      </w:r>
      <w:r w:rsidRPr="00974030">
        <w:rPr>
          <w:rFonts w:asciiTheme="minorBidi" w:hAnsiTheme="minorBidi" w:cs="Arial"/>
          <w:rtl/>
        </w:rPr>
        <w:t xml:space="preserve"> </w:t>
      </w:r>
      <w:r w:rsidRPr="00974030">
        <w:rPr>
          <w:rFonts w:asciiTheme="minorBidi" w:hAnsiTheme="minorBidi" w:cs="Arial" w:hint="cs"/>
          <w:rtl/>
        </w:rPr>
        <w:t>והכלי</w:t>
      </w:r>
      <w:r w:rsidRPr="00974030">
        <w:rPr>
          <w:rFonts w:asciiTheme="minorBidi" w:hAnsiTheme="minorBidi" w:cs="Arial"/>
          <w:rtl/>
        </w:rPr>
        <w:t xml:space="preserve"> </w:t>
      </w:r>
      <w:r w:rsidRPr="00974030">
        <w:rPr>
          <w:rFonts w:asciiTheme="minorBidi" w:hAnsiTheme="minorBidi" w:cs="Arial" w:hint="cs"/>
          <w:rtl/>
        </w:rPr>
        <w:t>מיוחד</w:t>
      </w:r>
      <w:r w:rsidRPr="00974030">
        <w:rPr>
          <w:rFonts w:asciiTheme="minorBidi" w:hAnsiTheme="minorBidi" w:cs="Arial"/>
          <w:rtl/>
        </w:rPr>
        <w:t xml:space="preserve"> </w:t>
      </w:r>
      <w:r w:rsidRPr="00974030">
        <w:rPr>
          <w:rFonts w:asciiTheme="minorBidi" w:hAnsiTheme="minorBidi" w:cs="Arial" w:hint="cs"/>
          <w:rtl/>
        </w:rPr>
        <w:t>לכך</w:t>
      </w:r>
      <w:r w:rsidRPr="00974030">
        <w:rPr>
          <w:rFonts w:asciiTheme="minorBidi" w:hAnsiTheme="minorBidi" w:cs="Arial"/>
          <w:rtl/>
        </w:rPr>
        <w:t xml:space="preserve">, </w:t>
      </w: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ולכן</w:t>
      </w:r>
      <w:r w:rsidRPr="00974030">
        <w:rPr>
          <w:rFonts w:asciiTheme="minorBidi" w:hAnsiTheme="minorBidi" w:cs="Arial"/>
          <w:rtl/>
        </w:rPr>
        <w:t xml:space="preserve"> </w:t>
      </w: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לשמש</w:t>
      </w:r>
      <w:r w:rsidRPr="00974030">
        <w:rPr>
          <w:rFonts w:asciiTheme="minorBidi" w:hAnsiTheme="minorBidi" w:cs="Arial"/>
          <w:rtl/>
        </w:rPr>
        <w:t xml:space="preserve"> </w:t>
      </w:r>
      <w:r w:rsidRPr="00974030">
        <w:rPr>
          <w:rFonts w:asciiTheme="minorBidi" w:hAnsiTheme="minorBidi" w:cs="Arial" w:hint="cs"/>
          <w:rtl/>
        </w:rPr>
        <w:t>להכות</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הדלת</w:t>
      </w:r>
      <w:r w:rsidRPr="00974030">
        <w:rPr>
          <w:rFonts w:asciiTheme="minorBidi" w:hAnsiTheme="minorBidi" w:cs="Arial"/>
          <w:rtl/>
        </w:rPr>
        <w:t xml:space="preserve"> </w:t>
      </w:r>
      <w:r w:rsidRPr="00974030">
        <w:rPr>
          <w:rFonts w:asciiTheme="minorBidi" w:hAnsiTheme="minorBidi" w:cs="Arial" w:hint="cs"/>
          <w:rtl/>
        </w:rPr>
        <w:t>לקרוא</w:t>
      </w:r>
      <w:r w:rsidRPr="00974030">
        <w:rPr>
          <w:rFonts w:asciiTheme="minorBidi" w:hAnsiTheme="minorBidi" w:cs="Arial"/>
          <w:rtl/>
        </w:rPr>
        <w:t xml:space="preserve"> </w:t>
      </w:r>
      <w:r w:rsidRPr="00974030">
        <w:rPr>
          <w:rFonts w:asciiTheme="minorBidi" w:hAnsiTheme="minorBidi" w:cs="Arial" w:hint="cs"/>
          <w:rtl/>
        </w:rPr>
        <w:t>לבית</w:t>
      </w:r>
      <w:r w:rsidRPr="00974030">
        <w:rPr>
          <w:rFonts w:asciiTheme="minorBidi" w:hAnsiTheme="minorBidi" w:cs="Arial"/>
          <w:rtl/>
        </w:rPr>
        <w:t xml:space="preserve"> </w:t>
      </w:r>
      <w:r w:rsidRPr="00974030">
        <w:rPr>
          <w:rFonts w:asciiTheme="minorBidi" w:hAnsiTheme="minorBidi" w:cs="Arial" w:hint="cs"/>
          <w:rtl/>
        </w:rPr>
        <w:t>הכנסת</w:t>
      </w:r>
      <w:r w:rsidRPr="00974030">
        <w:rPr>
          <w:rFonts w:asciiTheme="minorBidi" w:hAnsiTheme="minorBidi" w:cs="Arial"/>
          <w:rtl/>
        </w:rPr>
        <w:t xml:space="preserve"> </w:t>
      </w:r>
      <w:r w:rsidRPr="00974030">
        <w:rPr>
          <w:rFonts w:asciiTheme="minorBidi" w:hAnsiTheme="minorBidi" w:cs="Arial" w:hint="cs"/>
          <w:rtl/>
        </w:rPr>
        <w:t>ע</w:t>
      </w:r>
      <w:r w:rsidRPr="00974030">
        <w:rPr>
          <w:rFonts w:asciiTheme="minorBidi" w:hAnsiTheme="minorBidi" w:cs="Arial"/>
          <w:rtl/>
        </w:rPr>
        <w:t>"</w:t>
      </w:r>
      <w:r w:rsidRPr="00974030">
        <w:rPr>
          <w:rFonts w:asciiTheme="minorBidi" w:hAnsiTheme="minorBidi" w:cs="Arial" w:hint="cs"/>
          <w:rtl/>
        </w:rPr>
        <w:t>י</w:t>
      </w:r>
      <w:r w:rsidRPr="00974030">
        <w:rPr>
          <w:rFonts w:asciiTheme="minorBidi" w:hAnsiTheme="minorBidi" w:cs="Arial"/>
          <w:rtl/>
        </w:rPr>
        <w:t xml:space="preserve"> </w:t>
      </w:r>
      <w:r w:rsidRPr="00974030">
        <w:rPr>
          <w:rFonts w:asciiTheme="minorBidi" w:hAnsiTheme="minorBidi" w:cs="Arial" w:hint="cs"/>
          <w:rtl/>
        </w:rPr>
        <w:t>הכלי</w:t>
      </w:r>
      <w:r w:rsidRPr="00974030">
        <w:rPr>
          <w:rFonts w:asciiTheme="minorBidi" w:hAnsiTheme="minorBidi" w:cs="Arial"/>
          <w:rtl/>
        </w:rPr>
        <w:t xml:space="preserve"> </w:t>
      </w:r>
      <w:r w:rsidRPr="00974030">
        <w:rPr>
          <w:rFonts w:asciiTheme="minorBidi" w:hAnsiTheme="minorBidi" w:cs="Arial" w:hint="cs"/>
          <w:rtl/>
        </w:rPr>
        <w:t>המיוחד</w:t>
      </w:r>
      <w:r w:rsidRPr="00974030">
        <w:rPr>
          <w:rFonts w:asciiTheme="minorBidi" w:hAnsiTheme="minorBidi" w:cs="Arial"/>
          <w:rtl/>
        </w:rPr>
        <w:t xml:space="preserve"> </w:t>
      </w:r>
      <w:r w:rsidRPr="00974030">
        <w:rPr>
          <w:rFonts w:asciiTheme="minorBidi" w:hAnsiTheme="minorBidi" w:cs="Arial" w:hint="cs"/>
          <w:rtl/>
        </w:rPr>
        <w:t>לכך</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מכה</w:t>
      </w:r>
      <w:r w:rsidRPr="00974030">
        <w:rPr>
          <w:rFonts w:asciiTheme="minorBidi" w:hAnsiTheme="minorBidi" w:cs="Arial"/>
          <w:rtl/>
        </w:rPr>
        <w:t xml:space="preserve"> </w:t>
      </w:r>
      <w:r w:rsidRPr="00974030">
        <w:rPr>
          <w:rFonts w:asciiTheme="minorBidi" w:hAnsiTheme="minorBidi" w:cs="Arial" w:hint="cs"/>
          <w:rtl/>
        </w:rPr>
        <w:t>בידו</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הדלת</w:t>
      </w:r>
      <w:r w:rsidRPr="00974030">
        <w:rPr>
          <w:rFonts w:asciiTheme="minorBidi" w:hAnsiTheme="minorBidi" w:cs="Arial"/>
          <w:rtl/>
        </w:rPr>
        <w:t xml:space="preserve"> (</w:t>
      </w:r>
      <w:r w:rsidRPr="00974030">
        <w:rPr>
          <w:rFonts w:asciiTheme="minorBidi" w:hAnsiTheme="minorBidi" w:cs="Arial" w:hint="cs"/>
          <w:rtl/>
        </w:rPr>
        <w:t>אגור</w:t>
      </w:r>
      <w:r w:rsidRPr="00974030">
        <w:rPr>
          <w:rFonts w:asciiTheme="minorBidi" w:hAnsiTheme="minorBidi" w:cs="Arial"/>
          <w:rtl/>
        </w:rPr>
        <w:t xml:space="preserve"> </w:t>
      </w:r>
      <w:r w:rsidRPr="00974030">
        <w:rPr>
          <w:rFonts w:asciiTheme="minorBidi" w:hAnsiTheme="minorBidi" w:cs="Arial" w:hint="cs"/>
          <w:rtl/>
        </w:rPr>
        <w:t>וב</w:t>
      </w:r>
      <w:r w:rsidRPr="00974030">
        <w:rPr>
          <w:rFonts w:asciiTheme="minorBidi" w:hAnsiTheme="minorBidi" w:cs="Arial"/>
          <w:rtl/>
        </w:rPr>
        <w:t>"</w:t>
      </w:r>
      <w:r w:rsidRPr="00974030">
        <w:rPr>
          <w:rFonts w:asciiTheme="minorBidi" w:hAnsiTheme="minorBidi" w:cs="Arial" w:hint="cs"/>
          <w:rtl/>
        </w:rPr>
        <w:t>י</w:t>
      </w:r>
      <w:r w:rsidRPr="00974030">
        <w:rPr>
          <w:rFonts w:asciiTheme="minorBidi" w:hAnsiTheme="minorBidi" w:cs="Arial"/>
          <w:rtl/>
        </w:rPr>
        <w:t xml:space="preserve"> </w:t>
      </w:r>
      <w:r w:rsidRPr="00974030">
        <w:rPr>
          <w:rFonts w:asciiTheme="minorBidi" w:hAnsiTheme="minorBidi" w:cs="Arial" w:hint="cs"/>
          <w:rtl/>
        </w:rPr>
        <w:t>בשם</w:t>
      </w:r>
      <w:r w:rsidRPr="00974030">
        <w:rPr>
          <w:rFonts w:asciiTheme="minorBidi" w:hAnsiTheme="minorBidi" w:cs="Arial"/>
          <w:rtl/>
        </w:rPr>
        <w:t xml:space="preserve"> </w:t>
      </w:r>
      <w:r w:rsidRPr="00974030">
        <w:rPr>
          <w:rFonts w:asciiTheme="minorBidi" w:hAnsiTheme="minorBidi" w:cs="Arial" w:hint="cs"/>
          <w:rtl/>
        </w:rPr>
        <w:t>פסקי</w:t>
      </w:r>
      <w:r w:rsidRPr="00974030">
        <w:rPr>
          <w:rFonts w:asciiTheme="minorBidi" w:hAnsiTheme="minorBidi" w:cs="Arial"/>
          <w:rtl/>
        </w:rPr>
        <w:t xml:space="preserve"> </w:t>
      </w:r>
      <w:r w:rsidRPr="00974030">
        <w:rPr>
          <w:rFonts w:asciiTheme="minorBidi" w:hAnsiTheme="minorBidi" w:cs="Arial" w:hint="cs"/>
          <w:rtl/>
        </w:rPr>
        <w:t>תוספות</w:t>
      </w:r>
      <w:r w:rsidRPr="00974030">
        <w:rPr>
          <w:rFonts w:asciiTheme="minorBidi" w:hAnsiTheme="minorBidi" w:cs="Arial"/>
          <w:rtl/>
        </w:rPr>
        <w:t xml:space="preserve"> </w:t>
      </w:r>
      <w:r w:rsidRPr="00974030">
        <w:rPr>
          <w:rFonts w:asciiTheme="minorBidi" w:hAnsiTheme="minorBidi" w:cs="Arial" w:hint="cs"/>
          <w:rtl/>
        </w:rPr>
        <w:t>דעירובין</w:t>
      </w:r>
      <w:r w:rsidRPr="00974030">
        <w:rPr>
          <w:rFonts w:asciiTheme="minorBidi" w:hAnsiTheme="minorBidi" w:cs="Arial"/>
          <w:rtl/>
        </w:rPr>
        <w:t xml:space="preserve">). </w:t>
      </w:r>
    </w:p>
    <w:p w14:paraId="06A4DE31"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ב</w:t>
      </w:r>
    </w:p>
    <w:p w14:paraId="7DECB8C4"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יש</w:t>
      </w:r>
      <w:r w:rsidRPr="00974030">
        <w:rPr>
          <w:rFonts w:asciiTheme="minorBidi" w:hAnsiTheme="minorBidi" w:cs="Arial"/>
          <w:rtl/>
        </w:rPr>
        <w:t xml:space="preserve"> </w:t>
      </w:r>
      <w:r w:rsidRPr="00974030">
        <w:rPr>
          <w:rFonts w:asciiTheme="minorBidi" w:hAnsiTheme="minorBidi" w:cs="Arial" w:hint="cs"/>
          <w:rtl/>
        </w:rPr>
        <w:t>מתירים</w:t>
      </w:r>
      <w:r w:rsidRPr="00974030">
        <w:rPr>
          <w:rFonts w:asciiTheme="minorBidi" w:hAnsiTheme="minorBidi" w:cs="Arial"/>
          <w:rtl/>
        </w:rPr>
        <w:t xml:space="preserve"> </w:t>
      </w:r>
      <w:r w:rsidRPr="00974030">
        <w:rPr>
          <w:rFonts w:asciiTheme="minorBidi" w:hAnsiTheme="minorBidi" w:cs="Arial" w:hint="cs"/>
          <w:rtl/>
        </w:rPr>
        <w:t>לומר</w:t>
      </w:r>
      <w:r w:rsidRPr="00974030">
        <w:rPr>
          <w:rFonts w:asciiTheme="minorBidi" w:hAnsiTheme="minorBidi" w:cs="Arial"/>
          <w:rtl/>
        </w:rPr>
        <w:t xml:space="preserve"> </w:t>
      </w:r>
      <w:r w:rsidRPr="00974030">
        <w:rPr>
          <w:rFonts w:asciiTheme="minorBidi" w:hAnsiTheme="minorBidi" w:cs="Arial" w:hint="cs"/>
          <w:rtl/>
        </w:rPr>
        <w:t>ל</w:t>
      </w:r>
      <w:r>
        <w:rPr>
          <w:rFonts w:asciiTheme="minorBidi" w:hAnsiTheme="minorBidi" w:cs="Arial" w:hint="cs"/>
          <w:rtl/>
        </w:rPr>
        <w:t>גוי</w:t>
      </w:r>
      <w:r w:rsidRPr="00974030">
        <w:rPr>
          <w:rFonts w:asciiTheme="minorBidi" w:hAnsiTheme="minorBidi" w:cs="Arial"/>
          <w:rtl/>
        </w:rPr>
        <w:t xml:space="preserve"> </w:t>
      </w:r>
      <w:r w:rsidRPr="00974030">
        <w:rPr>
          <w:rFonts w:asciiTheme="minorBidi" w:hAnsiTheme="minorBidi" w:cs="Arial" w:hint="cs"/>
          <w:rtl/>
        </w:rPr>
        <w:t>לנגן</w:t>
      </w:r>
      <w:r w:rsidRPr="00974030">
        <w:rPr>
          <w:rFonts w:asciiTheme="minorBidi" w:hAnsiTheme="minorBidi" w:cs="Arial"/>
          <w:rtl/>
        </w:rPr>
        <w:t xml:space="preserve"> </w:t>
      </w:r>
      <w:r w:rsidRPr="00974030">
        <w:rPr>
          <w:rFonts w:asciiTheme="minorBidi" w:hAnsiTheme="minorBidi" w:cs="Arial" w:hint="cs"/>
          <w:rtl/>
        </w:rPr>
        <w:t>בכלי</w:t>
      </w:r>
      <w:r w:rsidRPr="00974030">
        <w:rPr>
          <w:rFonts w:asciiTheme="minorBidi" w:hAnsiTheme="minorBidi" w:cs="Arial"/>
          <w:rtl/>
        </w:rPr>
        <w:t xml:space="preserve"> </w:t>
      </w:r>
      <w:r w:rsidRPr="00974030">
        <w:rPr>
          <w:rFonts w:asciiTheme="minorBidi" w:hAnsiTheme="minorBidi" w:cs="Arial" w:hint="cs"/>
          <w:rtl/>
        </w:rPr>
        <w:t>שיר</w:t>
      </w:r>
      <w:r w:rsidRPr="00974030">
        <w:rPr>
          <w:rFonts w:asciiTheme="minorBidi" w:hAnsiTheme="minorBidi" w:cs="Arial"/>
          <w:rtl/>
        </w:rPr>
        <w:t xml:space="preserve"> </w:t>
      </w:r>
      <w:r w:rsidRPr="00974030">
        <w:rPr>
          <w:rFonts w:asciiTheme="minorBidi" w:hAnsiTheme="minorBidi" w:cs="Arial" w:hint="cs"/>
          <w:rtl/>
        </w:rPr>
        <w:t>בחופות</w:t>
      </w:r>
      <w:r w:rsidRPr="00974030">
        <w:rPr>
          <w:rFonts w:asciiTheme="minorBidi" w:hAnsiTheme="minorBidi" w:cs="Arial"/>
          <w:rtl/>
        </w:rPr>
        <w:t xml:space="preserve">. </w:t>
      </w:r>
      <w:r w:rsidRPr="00974030">
        <w:rPr>
          <w:rFonts w:asciiTheme="minorBidi" w:hAnsiTheme="minorBidi" w:cs="Arial" w:hint="cs"/>
          <w:rtl/>
        </w:rPr>
        <w:t>הגה</w:t>
      </w:r>
      <w:r w:rsidRPr="00974030">
        <w:rPr>
          <w:rFonts w:asciiTheme="minorBidi" w:hAnsiTheme="minorBidi" w:cs="Arial"/>
          <w:rtl/>
        </w:rPr>
        <w:t xml:space="preserve">: </w:t>
      </w:r>
      <w:r w:rsidRPr="00974030">
        <w:rPr>
          <w:rFonts w:asciiTheme="minorBidi" w:hAnsiTheme="minorBidi" w:cs="Arial" w:hint="cs"/>
          <w:rtl/>
        </w:rPr>
        <w:t>ואפי</w:t>
      </w:r>
      <w:r w:rsidRPr="00974030">
        <w:rPr>
          <w:rFonts w:asciiTheme="minorBidi" w:hAnsiTheme="minorBidi" w:cs="Arial"/>
          <w:rtl/>
        </w:rPr>
        <w:t xml:space="preserve">' </w:t>
      </w:r>
      <w:r w:rsidRPr="00974030">
        <w:rPr>
          <w:rFonts w:asciiTheme="minorBidi" w:hAnsiTheme="minorBidi" w:cs="Arial" w:hint="cs"/>
          <w:rtl/>
        </w:rPr>
        <w:t>לומר</w:t>
      </w:r>
      <w:r w:rsidRPr="00974030">
        <w:rPr>
          <w:rFonts w:asciiTheme="minorBidi" w:hAnsiTheme="minorBidi" w:cs="Arial"/>
          <w:rtl/>
        </w:rPr>
        <w:t xml:space="preserve"> </w:t>
      </w:r>
      <w:r w:rsidRPr="00974030">
        <w:rPr>
          <w:rFonts w:asciiTheme="minorBidi" w:hAnsiTheme="minorBidi" w:cs="Arial" w:hint="cs"/>
          <w:rtl/>
        </w:rPr>
        <w:t>ל</w:t>
      </w:r>
      <w:r>
        <w:rPr>
          <w:rFonts w:asciiTheme="minorBidi" w:hAnsiTheme="minorBidi" w:cs="Arial" w:hint="cs"/>
          <w:rtl/>
        </w:rPr>
        <w:t>גוי</w:t>
      </w:r>
      <w:r w:rsidRPr="00974030">
        <w:rPr>
          <w:rFonts w:asciiTheme="minorBidi" w:hAnsiTheme="minorBidi" w:cs="Arial"/>
          <w:rtl/>
        </w:rPr>
        <w:t xml:space="preserve"> </w:t>
      </w:r>
      <w:r w:rsidRPr="00974030">
        <w:rPr>
          <w:rFonts w:asciiTheme="minorBidi" w:hAnsiTheme="minorBidi" w:cs="Arial" w:hint="cs"/>
          <w:rtl/>
        </w:rPr>
        <w:t>לתקן</w:t>
      </w:r>
      <w:r w:rsidRPr="00974030">
        <w:rPr>
          <w:rFonts w:asciiTheme="minorBidi" w:hAnsiTheme="minorBidi" w:cs="Arial"/>
          <w:rtl/>
        </w:rPr>
        <w:t xml:space="preserve"> </w:t>
      </w:r>
      <w:r w:rsidRPr="00974030">
        <w:rPr>
          <w:rFonts w:asciiTheme="minorBidi" w:hAnsiTheme="minorBidi" w:cs="Arial" w:hint="cs"/>
          <w:rtl/>
        </w:rPr>
        <w:t>הכלי</w:t>
      </w:r>
      <w:r w:rsidRPr="00974030">
        <w:rPr>
          <w:rFonts w:asciiTheme="minorBidi" w:hAnsiTheme="minorBidi" w:cs="Arial"/>
          <w:rtl/>
        </w:rPr>
        <w:t xml:space="preserve"> </w:t>
      </w:r>
      <w:r w:rsidRPr="00974030">
        <w:rPr>
          <w:rFonts w:asciiTheme="minorBidi" w:hAnsiTheme="minorBidi" w:cs="Arial" w:hint="cs"/>
          <w:rtl/>
        </w:rPr>
        <w:t>שיר</w:t>
      </w:r>
      <w:r w:rsidRPr="00974030">
        <w:rPr>
          <w:rFonts w:asciiTheme="minorBidi" w:hAnsiTheme="minorBidi" w:cs="Arial"/>
          <w:rtl/>
        </w:rPr>
        <w:t xml:space="preserve">, </w:t>
      </w:r>
      <w:r w:rsidRPr="00974030">
        <w:rPr>
          <w:rFonts w:asciiTheme="minorBidi" w:hAnsiTheme="minorBidi" w:cs="Arial" w:hint="cs"/>
          <w:rtl/>
        </w:rPr>
        <w:t>שרי</w:t>
      </w:r>
      <w:r w:rsidRPr="00974030">
        <w:rPr>
          <w:rFonts w:asciiTheme="minorBidi" w:hAnsiTheme="minorBidi" w:cs="Arial"/>
          <w:rtl/>
        </w:rPr>
        <w:t xml:space="preserve"> </w:t>
      </w:r>
      <w:r w:rsidRPr="00974030">
        <w:rPr>
          <w:rFonts w:asciiTheme="minorBidi" w:hAnsiTheme="minorBidi" w:cs="Arial" w:hint="cs"/>
          <w:rtl/>
        </w:rPr>
        <w:t>משום</w:t>
      </w:r>
      <w:r w:rsidRPr="00974030">
        <w:rPr>
          <w:rFonts w:asciiTheme="minorBidi" w:hAnsiTheme="minorBidi" w:cs="Arial"/>
          <w:rtl/>
        </w:rPr>
        <w:t xml:space="preserve"> </w:t>
      </w:r>
      <w:r w:rsidRPr="00974030">
        <w:rPr>
          <w:rFonts w:asciiTheme="minorBidi" w:hAnsiTheme="minorBidi" w:cs="Arial" w:hint="cs"/>
          <w:rtl/>
        </w:rPr>
        <w:t>כבוד</w:t>
      </w:r>
      <w:r w:rsidRPr="00974030">
        <w:rPr>
          <w:rFonts w:asciiTheme="minorBidi" w:hAnsiTheme="minorBidi" w:cs="Arial"/>
          <w:rtl/>
        </w:rPr>
        <w:t xml:space="preserve"> </w:t>
      </w:r>
      <w:r w:rsidRPr="00974030">
        <w:rPr>
          <w:rFonts w:asciiTheme="minorBidi" w:hAnsiTheme="minorBidi" w:cs="Arial" w:hint="cs"/>
          <w:rtl/>
        </w:rPr>
        <w:t>חתן</w:t>
      </w:r>
      <w:r w:rsidRPr="00974030">
        <w:rPr>
          <w:rFonts w:asciiTheme="minorBidi" w:hAnsiTheme="minorBidi" w:cs="Arial"/>
          <w:rtl/>
        </w:rPr>
        <w:t xml:space="preserve"> </w:t>
      </w:r>
      <w:r w:rsidRPr="00974030">
        <w:rPr>
          <w:rFonts w:asciiTheme="minorBidi" w:hAnsiTheme="minorBidi" w:cs="Arial" w:hint="cs"/>
          <w:rtl/>
        </w:rPr>
        <w:t>וכלה</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בלא</w:t>
      </w:r>
      <w:r w:rsidRPr="00974030">
        <w:rPr>
          <w:rFonts w:asciiTheme="minorBidi" w:hAnsiTheme="minorBidi" w:cs="Arial"/>
          <w:rtl/>
        </w:rPr>
        <w:t>"</w:t>
      </w:r>
      <w:r w:rsidRPr="00974030">
        <w:rPr>
          <w:rFonts w:asciiTheme="minorBidi" w:hAnsiTheme="minorBidi" w:cs="Arial" w:hint="cs"/>
          <w:rtl/>
        </w:rPr>
        <w:t>ה</w:t>
      </w:r>
      <w:r w:rsidRPr="00974030">
        <w:rPr>
          <w:rFonts w:asciiTheme="minorBidi" w:hAnsiTheme="minorBidi" w:cs="Arial"/>
          <w:rtl/>
        </w:rPr>
        <w:t xml:space="preserve">, </w:t>
      </w: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מרדכי</w:t>
      </w:r>
      <w:r w:rsidRPr="00974030">
        <w:rPr>
          <w:rFonts w:asciiTheme="minorBidi" w:hAnsiTheme="minorBidi" w:cs="Arial"/>
          <w:rtl/>
        </w:rPr>
        <w:t xml:space="preserve"> </w:t>
      </w:r>
      <w:r w:rsidRPr="00974030">
        <w:rPr>
          <w:rFonts w:asciiTheme="minorBidi" w:hAnsiTheme="minorBidi" w:cs="Arial" w:hint="cs"/>
          <w:rtl/>
        </w:rPr>
        <w:t>פרק</w:t>
      </w:r>
      <w:r w:rsidRPr="00974030">
        <w:rPr>
          <w:rFonts w:asciiTheme="minorBidi" w:hAnsiTheme="minorBidi" w:cs="Arial"/>
          <w:rtl/>
        </w:rPr>
        <w:t xml:space="preserve"> </w:t>
      </w:r>
      <w:r w:rsidRPr="00974030">
        <w:rPr>
          <w:rFonts w:asciiTheme="minorBidi" w:hAnsiTheme="minorBidi" w:cs="Arial" w:hint="cs"/>
          <w:rtl/>
        </w:rPr>
        <w:t>משילין</w:t>
      </w:r>
      <w:r w:rsidRPr="00974030">
        <w:rPr>
          <w:rFonts w:asciiTheme="minorBidi" w:hAnsiTheme="minorBidi" w:cs="Arial"/>
          <w:rtl/>
        </w:rPr>
        <w:t xml:space="preserve">). </w:t>
      </w:r>
      <w:r w:rsidRPr="00974030">
        <w:rPr>
          <w:rFonts w:asciiTheme="minorBidi" w:hAnsiTheme="minorBidi" w:cs="Arial" w:hint="cs"/>
          <w:rtl/>
        </w:rPr>
        <w:t>ומיהו</w:t>
      </w:r>
      <w:r w:rsidRPr="00974030">
        <w:rPr>
          <w:rFonts w:asciiTheme="minorBidi" w:hAnsiTheme="minorBidi" w:cs="Arial"/>
          <w:rtl/>
        </w:rPr>
        <w:t xml:space="preserve"> </w:t>
      </w:r>
      <w:r w:rsidRPr="00974030">
        <w:rPr>
          <w:rFonts w:asciiTheme="minorBidi" w:hAnsiTheme="minorBidi" w:cs="Arial" w:hint="cs"/>
          <w:rtl/>
        </w:rPr>
        <w:t>בזמן</w:t>
      </w:r>
      <w:r w:rsidRPr="00974030">
        <w:rPr>
          <w:rFonts w:asciiTheme="minorBidi" w:hAnsiTheme="minorBidi" w:cs="Arial"/>
          <w:rtl/>
        </w:rPr>
        <w:t xml:space="preserve"> </w:t>
      </w:r>
      <w:r w:rsidRPr="00974030">
        <w:rPr>
          <w:rFonts w:asciiTheme="minorBidi" w:hAnsiTheme="minorBidi" w:cs="Arial" w:hint="cs"/>
          <w:rtl/>
        </w:rPr>
        <w:t>הזה</w:t>
      </w:r>
      <w:r w:rsidRPr="00974030">
        <w:rPr>
          <w:rFonts w:asciiTheme="minorBidi" w:hAnsiTheme="minorBidi" w:cs="Arial"/>
          <w:rtl/>
        </w:rPr>
        <w:t xml:space="preserve"> </w:t>
      </w:r>
      <w:r w:rsidRPr="00974030">
        <w:rPr>
          <w:rFonts w:asciiTheme="minorBidi" w:hAnsiTheme="minorBidi" w:cs="Arial" w:hint="cs"/>
          <w:rtl/>
        </w:rPr>
        <w:t>נהגו</w:t>
      </w:r>
      <w:r w:rsidRPr="00974030">
        <w:rPr>
          <w:rFonts w:asciiTheme="minorBidi" w:hAnsiTheme="minorBidi" w:cs="Arial"/>
          <w:rtl/>
        </w:rPr>
        <w:t xml:space="preserve"> </w:t>
      </w:r>
      <w:r w:rsidRPr="00974030">
        <w:rPr>
          <w:rFonts w:asciiTheme="minorBidi" w:hAnsiTheme="minorBidi" w:cs="Arial" w:hint="cs"/>
          <w:rtl/>
        </w:rPr>
        <w:t>להקל</w:t>
      </w:r>
      <w:r w:rsidRPr="00974030">
        <w:rPr>
          <w:rFonts w:asciiTheme="minorBidi" w:hAnsiTheme="minorBidi" w:cs="Arial"/>
          <w:rtl/>
        </w:rPr>
        <w:t xml:space="preserve">, </w:t>
      </w:r>
      <w:r w:rsidRPr="00974030">
        <w:rPr>
          <w:rFonts w:asciiTheme="minorBidi" w:hAnsiTheme="minorBidi" w:cs="Arial" w:hint="cs"/>
          <w:rtl/>
        </w:rPr>
        <w:t>מטעם</w:t>
      </w:r>
      <w:r w:rsidRPr="00974030">
        <w:rPr>
          <w:rFonts w:asciiTheme="minorBidi" w:hAnsiTheme="minorBidi" w:cs="Arial"/>
          <w:rtl/>
        </w:rPr>
        <w:t xml:space="preserve"> </w:t>
      </w:r>
      <w:r w:rsidRPr="00974030">
        <w:rPr>
          <w:rFonts w:asciiTheme="minorBidi" w:hAnsiTheme="minorBidi" w:cs="Arial" w:hint="cs"/>
          <w:rtl/>
        </w:rPr>
        <w:t>שיתבאר</w:t>
      </w:r>
      <w:r w:rsidRPr="00974030">
        <w:rPr>
          <w:rFonts w:asciiTheme="minorBidi" w:hAnsiTheme="minorBidi" w:cs="Arial"/>
          <w:rtl/>
        </w:rPr>
        <w:t xml:space="preserve"> </w:t>
      </w:r>
      <w:r w:rsidRPr="00974030">
        <w:rPr>
          <w:rFonts w:asciiTheme="minorBidi" w:hAnsiTheme="minorBidi" w:cs="Arial" w:hint="cs"/>
          <w:rtl/>
        </w:rPr>
        <w:t>בסי</w:t>
      </w:r>
      <w:r w:rsidRPr="00974030">
        <w:rPr>
          <w:rFonts w:asciiTheme="minorBidi" w:hAnsiTheme="minorBidi" w:cs="Arial"/>
          <w:rtl/>
        </w:rPr>
        <w:t xml:space="preserve">' </w:t>
      </w:r>
      <w:r w:rsidRPr="00974030">
        <w:rPr>
          <w:rFonts w:asciiTheme="minorBidi" w:hAnsiTheme="minorBidi" w:cs="Arial" w:hint="cs"/>
          <w:rtl/>
        </w:rPr>
        <w:t>שאחר</w:t>
      </w:r>
      <w:r w:rsidRPr="00974030">
        <w:rPr>
          <w:rFonts w:asciiTheme="minorBidi" w:hAnsiTheme="minorBidi" w:cs="Arial"/>
          <w:rtl/>
        </w:rPr>
        <w:t xml:space="preserve"> </w:t>
      </w:r>
      <w:r w:rsidRPr="00974030">
        <w:rPr>
          <w:rFonts w:asciiTheme="minorBidi" w:hAnsiTheme="minorBidi" w:cs="Arial" w:hint="cs"/>
          <w:rtl/>
        </w:rPr>
        <w:t>זה</w:t>
      </w:r>
      <w:r w:rsidRPr="00974030">
        <w:rPr>
          <w:rFonts w:asciiTheme="minorBidi" w:hAnsiTheme="minorBidi" w:cs="Arial"/>
          <w:rtl/>
        </w:rPr>
        <w:t xml:space="preserve"> </w:t>
      </w:r>
      <w:r w:rsidRPr="00974030">
        <w:rPr>
          <w:rFonts w:asciiTheme="minorBidi" w:hAnsiTheme="minorBidi" w:cs="Arial" w:hint="cs"/>
          <w:rtl/>
        </w:rPr>
        <w:t>לענין</w:t>
      </w:r>
      <w:r w:rsidRPr="00974030">
        <w:rPr>
          <w:rFonts w:asciiTheme="minorBidi" w:hAnsiTheme="minorBidi" w:cs="Arial"/>
          <w:rtl/>
        </w:rPr>
        <w:t xml:space="preserve"> </w:t>
      </w:r>
      <w:r w:rsidRPr="00974030">
        <w:rPr>
          <w:rFonts w:asciiTheme="minorBidi" w:hAnsiTheme="minorBidi" w:cs="Arial" w:hint="cs"/>
          <w:rtl/>
        </w:rPr>
        <w:t>טפוח</w:t>
      </w:r>
      <w:r w:rsidRPr="00974030">
        <w:rPr>
          <w:rFonts w:asciiTheme="minorBidi" w:hAnsiTheme="minorBidi" w:cs="Arial"/>
          <w:rtl/>
        </w:rPr>
        <w:t xml:space="preserve"> </w:t>
      </w:r>
      <w:r w:rsidRPr="00974030">
        <w:rPr>
          <w:rFonts w:asciiTheme="minorBidi" w:hAnsiTheme="minorBidi" w:cs="Arial" w:hint="cs"/>
          <w:rtl/>
        </w:rPr>
        <w:t>ורקוד</w:t>
      </w:r>
      <w:r w:rsidRPr="00974030">
        <w:rPr>
          <w:rFonts w:asciiTheme="minorBidi" w:hAnsiTheme="minorBidi" w:cs="Arial"/>
          <w:rtl/>
        </w:rPr>
        <w:t xml:space="preserve">. </w:t>
      </w:r>
    </w:p>
    <w:p w14:paraId="7D793587"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ג</w:t>
      </w:r>
    </w:p>
    <w:p w14:paraId="2E0785D6"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זוג</w:t>
      </w:r>
      <w:r w:rsidRPr="00974030">
        <w:rPr>
          <w:rFonts w:asciiTheme="minorBidi" w:hAnsiTheme="minorBidi" w:cs="Arial"/>
          <w:rtl/>
        </w:rPr>
        <w:t xml:space="preserve"> </w:t>
      </w:r>
      <w:r w:rsidRPr="00974030">
        <w:rPr>
          <w:rFonts w:asciiTheme="minorBidi" w:hAnsiTheme="minorBidi" w:cs="Arial" w:hint="cs"/>
          <w:rtl/>
        </w:rPr>
        <w:t>המקשקש</w:t>
      </w:r>
      <w:r w:rsidRPr="00974030">
        <w:rPr>
          <w:rFonts w:asciiTheme="minorBidi" w:hAnsiTheme="minorBidi" w:cs="Arial"/>
          <w:rtl/>
        </w:rPr>
        <w:t xml:space="preserve"> </w:t>
      </w:r>
      <w:r w:rsidRPr="00974030">
        <w:rPr>
          <w:rFonts w:asciiTheme="minorBidi" w:hAnsiTheme="minorBidi" w:cs="Arial" w:hint="cs"/>
          <w:rtl/>
        </w:rPr>
        <w:t>לשעות</w:t>
      </w:r>
      <w:r w:rsidRPr="00974030">
        <w:rPr>
          <w:rFonts w:asciiTheme="minorBidi" w:hAnsiTheme="minorBidi" w:cs="Arial"/>
          <w:rtl/>
        </w:rPr>
        <w:t xml:space="preserve">, </w:t>
      </w:r>
      <w:r w:rsidRPr="00974030">
        <w:rPr>
          <w:rFonts w:asciiTheme="minorBidi" w:hAnsiTheme="minorBidi" w:cs="Arial" w:hint="cs"/>
          <w:rtl/>
        </w:rPr>
        <w:t>עשוי</w:t>
      </w:r>
      <w:r w:rsidRPr="00974030">
        <w:rPr>
          <w:rFonts w:asciiTheme="minorBidi" w:hAnsiTheme="minorBidi" w:cs="Arial"/>
          <w:rtl/>
        </w:rPr>
        <w:t xml:space="preserve"> </w:t>
      </w:r>
      <w:r w:rsidRPr="00974030">
        <w:rPr>
          <w:rFonts w:asciiTheme="minorBidi" w:hAnsiTheme="minorBidi" w:cs="Arial" w:hint="cs"/>
          <w:rtl/>
        </w:rPr>
        <w:t>ע</w:t>
      </w:r>
      <w:r w:rsidRPr="00974030">
        <w:rPr>
          <w:rFonts w:asciiTheme="minorBidi" w:hAnsiTheme="minorBidi" w:cs="Arial"/>
          <w:rtl/>
        </w:rPr>
        <w:t>"</w:t>
      </w:r>
      <w:r w:rsidRPr="00974030">
        <w:rPr>
          <w:rFonts w:asciiTheme="minorBidi" w:hAnsiTheme="minorBidi" w:cs="Arial" w:hint="cs"/>
          <w:rtl/>
        </w:rPr>
        <w:t>י</w:t>
      </w:r>
      <w:r w:rsidRPr="00974030">
        <w:rPr>
          <w:rFonts w:asciiTheme="minorBidi" w:hAnsiTheme="minorBidi" w:cs="Arial"/>
          <w:rtl/>
        </w:rPr>
        <w:t xml:space="preserve"> </w:t>
      </w:r>
      <w:r w:rsidRPr="00974030">
        <w:rPr>
          <w:rFonts w:asciiTheme="minorBidi" w:hAnsiTheme="minorBidi" w:cs="Arial" w:hint="cs"/>
          <w:rtl/>
        </w:rPr>
        <w:t>משקלות</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לערכו</w:t>
      </w:r>
      <w:r w:rsidRPr="00974030">
        <w:rPr>
          <w:rFonts w:asciiTheme="minorBidi" w:hAnsiTheme="minorBidi" w:cs="Arial"/>
          <w:rtl/>
        </w:rPr>
        <w:t xml:space="preserve"> </w:t>
      </w:r>
      <w:r w:rsidRPr="00974030">
        <w:rPr>
          <w:rFonts w:asciiTheme="minorBidi" w:hAnsiTheme="minorBidi" w:cs="Arial" w:hint="cs"/>
          <w:rtl/>
        </w:rPr>
        <w:t>ולהכינו</w:t>
      </w:r>
      <w:r w:rsidRPr="00974030">
        <w:rPr>
          <w:rFonts w:asciiTheme="minorBidi" w:hAnsiTheme="minorBidi" w:cs="Arial"/>
          <w:rtl/>
        </w:rPr>
        <w:t xml:space="preserve"> </w:t>
      </w:r>
      <w:r w:rsidRPr="00974030">
        <w:rPr>
          <w:rFonts w:asciiTheme="minorBidi" w:hAnsiTheme="minorBidi" w:cs="Arial" w:hint="cs"/>
          <w:rtl/>
        </w:rPr>
        <w:t>מבעוד</w:t>
      </w:r>
      <w:r w:rsidRPr="00974030">
        <w:rPr>
          <w:rFonts w:asciiTheme="minorBidi" w:hAnsiTheme="minorBidi" w:cs="Arial"/>
          <w:rtl/>
        </w:rPr>
        <w:t xml:space="preserve"> </w:t>
      </w:r>
      <w:r w:rsidRPr="00974030">
        <w:rPr>
          <w:rFonts w:asciiTheme="minorBidi" w:hAnsiTheme="minorBidi" w:cs="Arial" w:hint="cs"/>
          <w:rtl/>
        </w:rPr>
        <w:t>יום</w:t>
      </w:r>
      <w:r w:rsidRPr="00974030">
        <w:rPr>
          <w:rFonts w:asciiTheme="minorBidi" w:hAnsiTheme="minorBidi" w:cs="Arial"/>
          <w:rtl/>
        </w:rPr>
        <w:t xml:space="preserve"> </w:t>
      </w:r>
      <w:r w:rsidRPr="00974030">
        <w:rPr>
          <w:rFonts w:asciiTheme="minorBidi" w:hAnsiTheme="minorBidi" w:cs="Arial" w:hint="cs"/>
          <w:rtl/>
        </w:rPr>
        <w:t>כדי</w:t>
      </w:r>
      <w:r w:rsidRPr="00974030">
        <w:rPr>
          <w:rFonts w:asciiTheme="minorBidi" w:hAnsiTheme="minorBidi" w:cs="Arial"/>
          <w:rtl/>
        </w:rPr>
        <w:t xml:space="preserve"> </w:t>
      </w:r>
      <w:r w:rsidRPr="00974030">
        <w:rPr>
          <w:rFonts w:asciiTheme="minorBidi" w:hAnsiTheme="minorBidi" w:cs="Arial" w:hint="cs"/>
          <w:rtl/>
        </w:rPr>
        <w:t>שילך</w:t>
      </w:r>
      <w:r w:rsidRPr="00974030">
        <w:rPr>
          <w:rFonts w:asciiTheme="minorBidi" w:hAnsiTheme="minorBidi" w:cs="Arial"/>
          <w:rtl/>
        </w:rPr>
        <w:t xml:space="preserve"> </w:t>
      </w:r>
      <w:r w:rsidRPr="00974030">
        <w:rPr>
          <w:rFonts w:asciiTheme="minorBidi" w:hAnsiTheme="minorBidi" w:cs="Arial" w:hint="cs"/>
          <w:rtl/>
        </w:rPr>
        <w:t>ויקשקש</w:t>
      </w:r>
      <w:r w:rsidRPr="00974030">
        <w:rPr>
          <w:rFonts w:asciiTheme="minorBidi" w:hAnsiTheme="minorBidi" w:cs="Arial"/>
          <w:rtl/>
        </w:rPr>
        <w:t xml:space="preserve"> </w:t>
      </w:r>
      <w:r w:rsidRPr="00974030">
        <w:rPr>
          <w:rFonts w:asciiTheme="minorBidi" w:hAnsiTheme="minorBidi" w:cs="Arial" w:hint="cs"/>
          <w:rtl/>
        </w:rPr>
        <w:t>כל</w:t>
      </w:r>
      <w:r w:rsidRPr="00974030">
        <w:rPr>
          <w:rFonts w:asciiTheme="minorBidi" w:hAnsiTheme="minorBidi" w:cs="Arial"/>
          <w:rtl/>
        </w:rPr>
        <w:t xml:space="preserve"> </w:t>
      </w:r>
      <w:r w:rsidRPr="00974030">
        <w:rPr>
          <w:rFonts w:asciiTheme="minorBidi" w:hAnsiTheme="minorBidi" w:cs="Arial" w:hint="cs"/>
          <w:rtl/>
        </w:rPr>
        <w:t>השבת</w:t>
      </w:r>
      <w:r w:rsidRPr="00974030">
        <w:rPr>
          <w:rFonts w:asciiTheme="minorBidi" w:hAnsiTheme="minorBidi" w:cs="Arial"/>
          <w:rtl/>
        </w:rPr>
        <w:t xml:space="preserve">. </w:t>
      </w:r>
    </w:p>
    <w:p w14:paraId="71A63E14"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ד</w:t>
      </w:r>
    </w:p>
    <w:p w14:paraId="11A86F38"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המשמר</w:t>
      </w:r>
      <w:r w:rsidRPr="00974030">
        <w:rPr>
          <w:rFonts w:asciiTheme="minorBidi" w:hAnsiTheme="minorBidi" w:cs="Arial"/>
          <w:rtl/>
        </w:rPr>
        <w:t xml:space="preserve"> </w:t>
      </w:r>
      <w:r w:rsidRPr="00974030">
        <w:rPr>
          <w:rFonts w:asciiTheme="minorBidi" w:hAnsiTheme="minorBidi" w:cs="Arial" w:hint="cs"/>
          <w:rtl/>
        </w:rPr>
        <w:t>פירותיו</w:t>
      </w:r>
      <w:r w:rsidRPr="00974030">
        <w:rPr>
          <w:rFonts w:asciiTheme="minorBidi" w:hAnsiTheme="minorBidi" w:cs="Arial"/>
          <w:rtl/>
        </w:rPr>
        <w:t xml:space="preserve"> </w:t>
      </w:r>
      <w:r w:rsidRPr="00974030">
        <w:rPr>
          <w:rFonts w:asciiTheme="minorBidi" w:hAnsiTheme="minorBidi" w:cs="Arial" w:hint="cs"/>
          <w:rtl/>
        </w:rPr>
        <w:t>וזרעיו</w:t>
      </w:r>
      <w:r w:rsidRPr="00974030">
        <w:rPr>
          <w:rFonts w:asciiTheme="minorBidi" w:hAnsiTheme="minorBidi" w:cs="Arial"/>
          <w:rtl/>
        </w:rPr>
        <w:t xml:space="preserve"> </w:t>
      </w:r>
      <w:r w:rsidRPr="00974030">
        <w:rPr>
          <w:rFonts w:asciiTheme="minorBidi" w:hAnsiTheme="minorBidi" w:cs="Arial" w:hint="cs"/>
          <w:rtl/>
        </w:rPr>
        <w:t>מפני</w:t>
      </w:r>
      <w:r w:rsidRPr="00974030">
        <w:rPr>
          <w:rFonts w:asciiTheme="minorBidi" w:hAnsiTheme="minorBidi" w:cs="Arial"/>
          <w:rtl/>
        </w:rPr>
        <w:t xml:space="preserve"> </w:t>
      </w:r>
      <w:r w:rsidRPr="00974030">
        <w:rPr>
          <w:rFonts w:asciiTheme="minorBidi" w:hAnsiTheme="minorBidi" w:cs="Arial" w:hint="cs"/>
          <w:rtl/>
        </w:rPr>
        <w:t>חיה</w:t>
      </w:r>
      <w:r w:rsidRPr="00974030">
        <w:rPr>
          <w:rFonts w:asciiTheme="minorBidi" w:hAnsiTheme="minorBidi" w:cs="Arial"/>
          <w:rtl/>
        </w:rPr>
        <w:t xml:space="preserve"> </w:t>
      </w:r>
      <w:r w:rsidRPr="00974030">
        <w:rPr>
          <w:rFonts w:asciiTheme="minorBidi" w:hAnsiTheme="minorBidi" w:cs="Arial" w:hint="cs"/>
          <w:rtl/>
        </w:rPr>
        <w:t>ועוף</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יספוק</w:t>
      </w:r>
      <w:r w:rsidRPr="00974030">
        <w:rPr>
          <w:rFonts w:asciiTheme="minorBidi" w:hAnsiTheme="minorBidi" w:cs="Arial"/>
          <w:rtl/>
        </w:rPr>
        <w:t xml:space="preserve"> </w:t>
      </w:r>
      <w:r w:rsidRPr="00974030">
        <w:rPr>
          <w:rFonts w:asciiTheme="minorBidi" w:hAnsiTheme="minorBidi" w:cs="Arial" w:hint="cs"/>
          <w:rtl/>
        </w:rPr>
        <w:t>כף</w:t>
      </w:r>
      <w:r w:rsidRPr="00974030">
        <w:rPr>
          <w:rFonts w:asciiTheme="minorBidi" w:hAnsiTheme="minorBidi" w:cs="Arial"/>
          <w:rtl/>
        </w:rPr>
        <w:t xml:space="preserve"> </w:t>
      </w:r>
      <w:r w:rsidRPr="00974030">
        <w:rPr>
          <w:rFonts w:asciiTheme="minorBidi" w:hAnsiTheme="minorBidi" w:cs="Arial" w:hint="cs"/>
          <w:rtl/>
        </w:rPr>
        <w:t>אל</w:t>
      </w:r>
      <w:r w:rsidRPr="00974030">
        <w:rPr>
          <w:rFonts w:asciiTheme="minorBidi" w:hAnsiTheme="minorBidi" w:cs="Arial"/>
          <w:rtl/>
        </w:rPr>
        <w:t xml:space="preserve"> </w:t>
      </w:r>
      <w:r w:rsidRPr="00974030">
        <w:rPr>
          <w:rFonts w:asciiTheme="minorBidi" w:hAnsiTheme="minorBidi" w:cs="Arial" w:hint="cs"/>
          <w:rtl/>
        </w:rPr>
        <w:t>כף</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יטפח</w:t>
      </w:r>
      <w:r w:rsidRPr="00974030">
        <w:rPr>
          <w:rFonts w:asciiTheme="minorBidi" w:hAnsiTheme="minorBidi" w:cs="Arial"/>
          <w:rtl/>
        </w:rPr>
        <w:t xml:space="preserve"> </w:t>
      </w:r>
      <w:r w:rsidRPr="00974030">
        <w:rPr>
          <w:rFonts w:asciiTheme="minorBidi" w:hAnsiTheme="minorBidi" w:cs="Arial" w:hint="cs"/>
          <w:rtl/>
        </w:rPr>
        <w:t>כפיו</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ירכו</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ירקד</w:t>
      </w:r>
      <w:r w:rsidRPr="00974030">
        <w:rPr>
          <w:rFonts w:asciiTheme="minorBidi" w:hAnsiTheme="minorBidi" w:cs="Arial"/>
          <w:rtl/>
        </w:rPr>
        <w:t xml:space="preserve"> </w:t>
      </w:r>
      <w:r w:rsidRPr="00974030">
        <w:rPr>
          <w:rFonts w:asciiTheme="minorBidi" w:hAnsiTheme="minorBidi" w:cs="Arial" w:hint="cs"/>
          <w:rtl/>
        </w:rPr>
        <w:t>להבריחם</w:t>
      </w:r>
      <w:r w:rsidRPr="00974030">
        <w:rPr>
          <w:rFonts w:asciiTheme="minorBidi" w:hAnsiTheme="minorBidi" w:cs="Arial"/>
          <w:rtl/>
        </w:rPr>
        <w:t xml:space="preserve">, </w:t>
      </w:r>
      <w:r w:rsidRPr="00974030">
        <w:rPr>
          <w:rFonts w:asciiTheme="minorBidi" w:hAnsiTheme="minorBidi" w:cs="Arial" w:hint="cs"/>
          <w:rtl/>
        </w:rPr>
        <w:t>גזירה</w:t>
      </w:r>
      <w:r w:rsidRPr="00974030">
        <w:rPr>
          <w:rFonts w:asciiTheme="minorBidi" w:hAnsiTheme="minorBidi" w:cs="Arial"/>
          <w:rtl/>
        </w:rPr>
        <w:t xml:space="preserve"> </w:t>
      </w:r>
      <w:r w:rsidRPr="00974030">
        <w:rPr>
          <w:rFonts w:asciiTheme="minorBidi" w:hAnsiTheme="minorBidi" w:cs="Arial" w:hint="cs"/>
          <w:rtl/>
        </w:rPr>
        <w:t>שמא</w:t>
      </w:r>
      <w:r w:rsidRPr="00974030">
        <w:rPr>
          <w:rFonts w:asciiTheme="minorBidi" w:hAnsiTheme="minorBidi" w:cs="Arial"/>
          <w:rtl/>
        </w:rPr>
        <w:t xml:space="preserve"> </w:t>
      </w:r>
      <w:r w:rsidRPr="00974030">
        <w:rPr>
          <w:rFonts w:asciiTheme="minorBidi" w:hAnsiTheme="minorBidi" w:cs="Arial" w:hint="cs"/>
          <w:rtl/>
        </w:rPr>
        <w:t>יטול</w:t>
      </w:r>
      <w:r w:rsidRPr="00974030">
        <w:rPr>
          <w:rFonts w:asciiTheme="minorBidi" w:hAnsiTheme="minorBidi" w:cs="Arial"/>
          <w:rtl/>
        </w:rPr>
        <w:t xml:space="preserve"> </w:t>
      </w:r>
      <w:r w:rsidRPr="00974030">
        <w:rPr>
          <w:rFonts w:asciiTheme="minorBidi" w:hAnsiTheme="minorBidi" w:cs="Arial" w:hint="cs"/>
          <w:rtl/>
        </w:rPr>
        <w:t>צרור</w:t>
      </w:r>
      <w:r w:rsidRPr="00974030">
        <w:rPr>
          <w:rFonts w:asciiTheme="minorBidi" w:hAnsiTheme="minorBidi" w:cs="Arial"/>
          <w:rtl/>
        </w:rPr>
        <w:t xml:space="preserve"> </w:t>
      </w:r>
      <w:r w:rsidRPr="00974030">
        <w:rPr>
          <w:rFonts w:asciiTheme="minorBidi" w:hAnsiTheme="minorBidi" w:cs="Arial" w:hint="cs"/>
          <w:rtl/>
        </w:rPr>
        <w:t>ויזרוק</w:t>
      </w:r>
      <w:r w:rsidRPr="00974030">
        <w:rPr>
          <w:rFonts w:asciiTheme="minorBidi" w:hAnsiTheme="minorBidi" w:cs="Arial"/>
          <w:rtl/>
        </w:rPr>
        <w:t xml:space="preserve"> </w:t>
      </w:r>
      <w:r w:rsidRPr="00974030">
        <w:rPr>
          <w:rFonts w:asciiTheme="minorBidi" w:hAnsiTheme="minorBidi" w:cs="Arial" w:hint="cs"/>
          <w:rtl/>
        </w:rPr>
        <w:t>להם</w:t>
      </w:r>
      <w:r w:rsidRPr="00974030">
        <w:rPr>
          <w:rFonts w:asciiTheme="minorBidi" w:hAnsiTheme="minorBidi" w:cs="Arial"/>
          <w:rtl/>
        </w:rPr>
        <w:t xml:space="preserve">. </w:t>
      </w:r>
    </w:p>
    <w:p w14:paraId="05BF64D4"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ה</w:t>
      </w:r>
    </w:p>
    <w:p w14:paraId="1A8BD64F"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אין</w:t>
      </w:r>
      <w:r w:rsidRPr="00974030">
        <w:rPr>
          <w:rFonts w:asciiTheme="minorBidi" w:hAnsiTheme="minorBidi" w:cs="Arial"/>
          <w:rtl/>
        </w:rPr>
        <w:t xml:space="preserve"> </w:t>
      </w:r>
      <w:r w:rsidRPr="00974030">
        <w:rPr>
          <w:rFonts w:asciiTheme="minorBidi" w:hAnsiTheme="minorBidi" w:cs="Arial" w:hint="cs"/>
          <w:rtl/>
        </w:rPr>
        <w:t>שוחקים</w:t>
      </w:r>
      <w:r w:rsidRPr="00974030">
        <w:rPr>
          <w:rFonts w:asciiTheme="minorBidi" w:hAnsiTheme="minorBidi" w:cs="Arial"/>
          <w:rtl/>
        </w:rPr>
        <w:t xml:space="preserve"> </w:t>
      </w:r>
      <w:r w:rsidRPr="00974030">
        <w:rPr>
          <w:rFonts w:asciiTheme="minorBidi" w:hAnsiTheme="minorBidi" w:cs="Arial" w:hint="cs"/>
          <w:rtl/>
        </w:rPr>
        <w:t>באגוזים</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בתפוחים</w:t>
      </w:r>
      <w:r w:rsidRPr="00974030">
        <w:rPr>
          <w:rFonts w:asciiTheme="minorBidi" w:hAnsiTheme="minorBidi" w:cs="Arial"/>
          <w:rtl/>
        </w:rPr>
        <w:t xml:space="preserve"> </w:t>
      </w:r>
      <w:r w:rsidRPr="00974030">
        <w:rPr>
          <w:rFonts w:asciiTheme="minorBidi" w:hAnsiTheme="minorBidi" w:cs="Arial" w:hint="cs"/>
          <w:rtl/>
        </w:rPr>
        <w:t>וכיוצא</w:t>
      </w:r>
      <w:r w:rsidRPr="00974030">
        <w:rPr>
          <w:rFonts w:asciiTheme="minorBidi" w:hAnsiTheme="minorBidi" w:cs="Arial"/>
          <w:rtl/>
        </w:rPr>
        <w:t xml:space="preserve"> </w:t>
      </w:r>
      <w:r w:rsidRPr="00974030">
        <w:rPr>
          <w:rFonts w:asciiTheme="minorBidi" w:hAnsiTheme="minorBidi" w:cs="Arial" w:hint="cs"/>
          <w:rtl/>
        </w:rPr>
        <w:t>בהן</w:t>
      </w:r>
      <w:r w:rsidRPr="00974030">
        <w:rPr>
          <w:rFonts w:asciiTheme="minorBidi" w:hAnsiTheme="minorBidi" w:cs="Arial"/>
          <w:rtl/>
        </w:rPr>
        <w:t xml:space="preserve">, </w:t>
      </w:r>
      <w:r w:rsidRPr="00974030">
        <w:rPr>
          <w:rFonts w:asciiTheme="minorBidi" w:hAnsiTheme="minorBidi" w:cs="Arial" w:hint="cs"/>
          <w:rtl/>
        </w:rPr>
        <w:t>משום</w:t>
      </w:r>
      <w:r w:rsidRPr="00974030">
        <w:rPr>
          <w:rFonts w:asciiTheme="minorBidi" w:hAnsiTheme="minorBidi" w:cs="Arial"/>
          <w:rtl/>
        </w:rPr>
        <w:t xml:space="preserve"> </w:t>
      </w:r>
      <w:r w:rsidRPr="00974030">
        <w:rPr>
          <w:rFonts w:asciiTheme="minorBidi" w:hAnsiTheme="minorBidi" w:cs="Arial" w:hint="cs"/>
          <w:rtl/>
        </w:rPr>
        <w:t>אשווי</w:t>
      </w:r>
      <w:r w:rsidRPr="00974030">
        <w:rPr>
          <w:rFonts w:asciiTheme="minorBidi" w:hAnsiTheme="minorBidi" w:cs="Arial"/>
          <w:rtl/>
        </w:rPr>
        <w:t xml:space="preserve"> </w:t>
      </w:r>
      <w:r w:rsidRPr="00974030">
        <w:rPr>
          <w:rFonts w:asciiTheme="minorBidi" w:hAnsiTheme="minorBidi" w:cs="Arial" w:hint="cs"/>
          <w:rtl/>
        </w:rPr>
        <w:t>גומות</w:t>
      </w:r>
      <w:r w:rsidRPr="00974030">
        <w:rPr>
          <w:rFonts w:asciiTheme="minorBidi" w:hAnsiTheme="minorBidi" w:cs="Arial"/>
          <w:rtl/>
        </w:rPr>
        <w:t xml:space="preserve">. </w:t>
      </w:r>
      <w:r w:rsidRPr="00974030">
        <w:rPr>
          <w:rFonts w:asciiTheme="minorBidi" w:hAnsiTheme="minorBidi" w:cs="Arial" w:hint="cs"/>
          <w:rtl/>
        </w:rPr>
        <w:t>הגה</w:t>
      </w:r>
      <w:r w:rsidRPr="00974030">
        <w:rPr>
          <w:rFonts w:asciiTheme="minorBidi" w:hAnsiTheme="minorBidi" w:cs="Arial"/>
          <w:rtl/>
        </w:rPr>
        <w:t xml:space="preserve">: </w:t>
      </w:r>
      <w:r w:rsidRPr="00974030">
        <w:rPr>
          <w:rFonts w:asciiTheme="minorBidi" w:hAnsiTheme="minorBidi" w:cs="Arial" w:hint="cs"/>
          <w:rtl/>
        </w:rPr>
        <w:t>ודוקא</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גבי</w:t>
      </w:r>
      <w:r w:rsidRPr="00974030">
        <w:rPr>
          <w:rFonts w:asciiTheme="minorBidi" w:hAnsiTheme="minorBidi" w:cs="Arial"/>
          <w:rtl/>
        </w:rPr>
        <w:t xml:space="preserve"> </w:t>
      </w:r>
      <w:r w:rsidRPr="00974030">
        <w:rPr>
          <w:rFonts w:asciiTheme="minorBidi" w:hAnsiTheme="minorBidi" w:cs="Arial" w:hint="cs"/>
          <w:rtl/>
        </w:rPr>
        <w:t>קרקע</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גבי</w:t>
      </w:r>
      <w:r w:rsidRPr="00974030">
        <w:rPr>
          <w:rFonts w:asciiTheme="minorBidi" w:hAnsiTheme="minorBidi" w:cs="Arial"/>
          <w:rtl/>
        </w:rPr>
        <w:t xml:space="preserve"> </w:t>
      </w:r>
      <w:r w:rsidRPr="00974030">
        <w:rPr>
          <w:rFonts w:asciiTheme="minorBidi" w:hAnsiTheme="minorBidi" w:cs="Arial" w:hint="cs"/>
          <w:rtl/>
        </w:rPr>
        <w:t>שלחן</w:t>
      </w:r>
      <w:r w:rsidRPr="00974030">
        <w:rPr>
          <w:rFonts w:asciiTheme="minorBidi" w:hAnsiTheme="minorBidi" w:cs="Arial"/>
          <w:rtl/>
        </w:rPr>
        <w:t xml:space="preserve"> </w:t>
      </w:r>
      <w:r w:rsidRPr="00974030">
        <w:rPr>
          <w:rFonts w:asciiTheme="minorBidi" w:hAnsiTheme="minorBidi" w:cs="Arial" w:hint="cs"/>
          <w:rtl/>
        </w:rPr>
        <w:t>שרי</w:t>
      </w:r>
      <w:r w:rsidRPr="00974030">
        <w:rPr>
          <w:rFonts w:asciiTheme="minorBidi" w:hAnsiTheme="minorBidi" w:cs="Arial"/>
          <w:rtl/>
        </w:rPr>
        <w:t xml:space="preserve"> </w:t>
      </w:r>
      <w:r w:rsidRPr="00974030">
        <w:rPr>
          <w:rFonts w:asciiTheme="minorBidi" w:hAnsiTheme="minorBidi" w:cs="Arial" w:hint="cs"/>
          <w:rtl/>
        </w:rPr>
        <w:t>דליכא</w:t>
      </w:r>
      <w:r w:rsidRPr="00974030">
        <w:rPr>
          <w:rFonts w:asciiTheme="minorBidi" w:hAnsiTheme="minorBidi" w:cs="Arial"/>
          <w:rtl/>
        </w:rPr>
        <w:t xml:space="preserve"> </w:t>
      </w:r>
      <w:r w:rsidRPr="00974030">
        <w:rPr>
          <w:rFonts w:asciiTheme="minorBidi" w:hAnsiTheme="minorBidi" w:cs="Arial" w:hint="cs"/>
          <w:rtl/>
        </w:rPr>
        <w:t>למגזר</w:t>
      </w:r>
      <w:r w:rsidRPr="00974030">
        <w:rPr>
          <w:rFonts w:asciiTheme="minorBidi" w:hAnsiTheme="minorBidi" w:cs="Arial"/>
          <w:rtl/>
        </w:rPr>
        <w:t xml:space="preserve"> </w:t>
      </w:r>
      <w:r w:rsidRPr="00974030">
        <w:rPr>
          <w:rFonts w:asciiTheme="minorBidi" w:hAnsiTheme="minorBidi" w:cs="Arial" w:hint="cs"/>
          <w:rtl/>
        </w:rPr>
        <w:t>שם</w:t>
      </w:r>
      <w:r w:rsidRPr="00974030">
        <w:rPr>
          <w:rFonts w:asciiTheme="minorBidi" w:hAnsiTheme="minorBidi" w:cs="Arial"/>
          <w:rtl/>
        </w:rPr>
        <w:t xml:space="preserve"> </w:t>
      </w:r>
      <w:r w:rsidRPr="00974030">
        <w:rPr>
          <w:rFonts w:asciiTheme="minorBidi" w:hAnsiTheme="minorBidi" w:cs="Arial" w:hint="cs"/>
          <w:rtl/>
        </w:rPr>
        <w:t>משום</w:t>
      </w:r>
      <w:r w:rsidRPr="00974030">
        <w:rPr>
          <w:rFonts w:asciiTheme="minorBidi" w:hAnsiTheme="minorBidi" w:cs="Arial"/>
          <w:rtl/>
        </w:rPr>
        <w:t xml:space="preserve"> </w:t>
      </w:r>
      <w:r w:rsidRPr="00974030">
        <w:rPr>
          <w:rFonts w:asciiTheme="minorBidi" w:hAnsiTheme="minorBidi" w:cs="Arial" w:hint="cs"/>
          <w:rtl/>
        </w:rPr>
        <w:t>גומות</w:t>
      </w:r>
      <w:r w:rsidRPr="00974030">
        <w:rPr>
          <w:rFonts w:asciiTheme="minorBidi" w:hAnsiTheme="minorBidi" w:cs="Arial"/>
          <w:rtl/>
        </w:rPr>
        <w:t xml:space="preserve"> (</w:t>
      </w:r>
      <w:r w:rsidRPr="00974030">
        <w:rPr>
          <w:rFonts w:asciiTheme="minorBidi" w:hAnsiTheme="minorBidi" w:cs="Arial" w:hint="cs"/>
          <w:rtl/>
        </w:rPr>
        <w:t>רבינו</w:t>
      </w:r>
      <w:r w:rsidRPr="00974030">
        <w:rPr>
          <w:rFonts w:asciiTheme="minorBidi" w:hAnsiTheme="minorBidi" w:cs="Arial"/>
          <w:rtl/>
        </w:rPr>
        <w:t xml:space="preserve"> </w:t>
      </w:r>
      <w:r w:rsidRPr="00974030">
        <w:rPr>
          <w:rFonts w:asciiTheme="minorBidi" w:hAnsiTheme="minorBidi" w:cs="Arial" w:hint="cs"/>
          <w:rtl/>
        </w:rPr>
        <w:t>ירוחם</w:t>
      </w:r>
      <w:r w:rsidRPr="00974030">
        <w:rPr>
          <w:rFonts w:asciiTheme="minorBidi" w:hAnsiTheme="minorBidi" w:cs="Arial"/>
          <w:rtl/>
        </w:rPr>
        <w:t xml:space="preserve"> </w:t>
      </w:r>
      <w:r w:rsidRPr="00974030">
        <w:rPr>
          <w:rFonts w:asciiTheme="minorBidi" w:hAnsiTheme="minorBidi" w:cs="Arial" w:hint="cs"/>
          <w:rtl/>
        </w:rPr>
        <w:t>ח</w:t>
      </w:r>
      <w:r w:rsidRPr="00974030">
        <w:rPr>
          <w:rFonts w:asciiTheme="minorBidi" w:hAnsiTheme="minorBidi" w:cs="Arial"/>
          <w:rtl/>
        </w:rPr>
        <w:t>"</w:t>
      </w:r>
      <w:r w:rsidRPr="00974030">
        <w:rPr>
          <w:rFonts w:asciiTheme="minorBidi" w:hAnsiTheme="minorBidi" w:cs="Arial" w:hint="cs"/>
          <w:rtl/>
        </w:rPr>
        <w:t>ז</w:t>
      </w:r>
      <w:r w:rsidRPr="00974030">
        <w:rPr>
          <w:rFonts w:asciiTheme="minorBidi" w:hAnsiTheme="minorBidi" w:cs="Arial"/>
          <w:rtl/>
        </w:rPr>
        <w:t xml:space="preserve">). </w:t>
      </w:r>
      <w:r w:rsidRPr="00974030">
        <w:rPr>
          <w:rFonts w:asciiTheme="minorBidi" w:hAnsiTheme="minorBidi" w:cs="Arial" w:hint="cs"/>
          <w:rtl/>
        </w:rPr>
        <w:t>ומותר</w:t>
      </w:r>
      <w:r w:rsidRPr="00974030">
        <w:rPr>
          <w:rFonts w:asciiTheme="minorBidi" w:hAnsiTheme="minorBidi" w:cs="Arial"/>
          <w:rtl/>
        </w:rPr>
        <w:t xml:space="preserve"> </w:t>
      </w:r>
      <w:r w:rsidRPr="00974030">
        <w:rPr>
          <w:rFonts w:asciiTheme="minorBidi" w:hAnsiTheme="minorBidi" w:cs="Arial" w:hint="cs"/>
          <w:rtl/>
        </w:rPr>
        <w:t>לשחוק</w:t>
      </w:r>
      <w:r w:rsidRPr="00974030">
        <w:rPr>
          <w:rFonts w:asciiTheme="minorBidi" w:hAnsiTheme="minorBidi" w:cs="Arial"/>
          <w:rtl/>
        </w:rPr>
        <w:t xml:space="preserve"> </w:t>
      </w:r>
      <w:r w:rsidRPr="00974030">
        <w:rPr>
          <w:rFonts w:asciiTheme="minorBidi" w:hAnsiTheme="minorBidi" w:cs="Arial" w:hint="cs"/>
          <w:rtl/>
        </w:rPr>
        <w:t>בעצמות</w:t>
      </w:r>
      <w:r w:rsidRPr="00974030">
        <w:rPr>
          <w:rFonts w:asciiTheme="minorBidi" w:hAnsiTheme="minorBidi" w:cs="Arial"/>
          <w:rtl/>
        </w:rPr>
        <w:t xml:space="preserve"> </w:t>
      </w:r>
      <w:r w:rsidRPr="00974030">
        <w:rPr>
          <w:rFonts w:asciiTheme="minorBidi" w:hAnsiTheme="minorBidi" w:cs="Arial" w:hint="cs"/>
          <w:rtl/>
        </w:rPr>
        <w:t>שקורין</w:t>
      </w:r>
      <w:r w:rsidRPr="00974030">
        <w:rPr>
          <w:rFonts w:asciiTheme="minorBidi" w:hAnsiTheme="minorBidi" w:cs="Arial"/>
          <w:rtl/>
        </w:rPr>
        <w:t xml:space="preserve"> </w:t>
      </w:r>
      <w:r w:rsidRPr="00974030">
        <w:rPr>
          <w:rFonts w:asciiTheme="minorBidi" w:hAnsiTheme="minorBidi" w:cs="Arial" w:hint="cs"/>
          <w:rtl/>
        </w:rPr>
        <w:t>טשי</w:t>
      </w:r>
      <w:r w:rsidRPr="00974030">
        <w:rPr>
          <w:rFonts w:asciiTheme="minorBidi" w:hAnsiTheme="minorBidi" w:cs="Arial"/>
          <w:rtl/>
        </w:rPr>
        <w:t>"</w:t>
      </w:r>
      <w:r w:rsidRPr="00974030">
        <w:rPr>
          <w:rFonts w:asciiTheme="minorBidi" w:hAnsiTheme="minorBidi" w:cs="Arial" w:hint="cs"/>
          <w:rtl/>
        </w:rPr>
        <w:t>ך</w:t>
      </w:r>
      <w:r w:rsidRPr="00974030">
        <w:rPr>
          <w:rFonts w:asciiTheme="minorBidi" w:hAnsiTheme="minorBidi" w:cs="Arial"/>
          <w:rtl/>
        </w:rPr>
        <w:t xml:space="preserve">, </w:t>
      </w:r>
      <w:r w:rsidRPr="00974030">
        <w:rPr>
          <w:rFonts w:asciiTheme="minorBidi" w:hAnsiTheme="minorBidi" w:cs="Arial" w:hint="cs"/>
          <w:rtl/>
        </w:rPr>
        <w:t>אף</w:t>
      </w:r>
      <w:r w:rsidRPr="00974030">
        <w:rPr>
          <w:rFonts w:asciiTheme="minorBidi" w:hAnsiTheme="minorBidi" w:cs="Arial"/>
          <w:rtl/>
        </w:rPr>
        <w:t xml:space="preserve"> </w:t>
      </w:r>
      <w:r w:rsidRPr="00974030">
        <w:rPr>
          <w:rFonts w:asciiTheme="minorBidi" w:hAnsiTheme="minorBidi" w:cs="Arial" w:hint="cs"/>
          <w:rtl/>
        </w:rPr>
        <w:t>על</w:t>
      </w:r>
      <w:r w:rsidRPr="00974030">
        <w:rPr>
          <w:rFonts w:asciiTheme="minorBidi" w:hAnsiTheme="minorBidi" w:cs="Arial"/>
          <w:rtl/>
        </w:rPr>
        <w:t xml:space="preserve"> </w:t>
      </w:r>
      <w:r w:rsidRPr="00974030">
        <w:rPr>
          <w:rFonts w:asciiTheme="minorBidi" w:hAnsiTheme="minorBidi" w:cs="Arial" w:hint="cs"/>
          <w:rtl/>
        </w:rPr>
        <w:t>פי</w:t>
      </w:r>
      <w:r w:rsidRPr="00974030">
        <w:rPr>
          <w:rFonts w:asciiTheme="minorBidi" w:hAnsiTheme="minorBidi" w:cs="Arial"/>
          <w:rtl/>
        </w:rPr>
        <w:t xml:space="preserve"> </w:t>
      </w:r>
      <w:r w:rsidRPr="00974030">
        <w:rPr>
          <w:rFonts w:asciiTheme="minorBidi" w:hAnsiTheme="minorBidi" w:cs="Arial" w:hint="cs"/>
          <w:rtl/>
        </w:rPr>
        <w:t>שמשמיעים</w:t>
      </w:r>
      <w:r w:rsidRPr="00974030">
        <w:rPr>
          <w:rFonts w:asciiTheme="minorBidi" w:hAnsiTheme="minorBidi" w:cs="Arial"/>
          <w:rtl/>
        </w:rPr>
        <w:t xml:space="preserve"> </w:t>
      </w:r>
      <w:r w:rsidRPr="00974030">
        <w:rPr>
          <w:rFonts w:asciiTheme="minorBidi" w:hAnsiTheme="minorBidi" w:cs="Arial" w:hint="cs"/>
          <w:rtl/>
        </w:rPr>
        <w:t>קול</w:t>
      </w:r>
      <w:r w:rsidRPr="00974030">
        <w:rPr>
          <w:rFonts w:asciiTheme="minorBidi" w:hAnsiTheme="minorBidi" w:cs="Arial"/>
          <w:rtl/>
        </w:rPr>
        <w:t xml:space="preserve">, </w:t>
      </w:r>
      <w:r w:rsidRPr="00974030">
        <w:rPr>
          <w:rFonts w:asciiTheme="minorBidi" w:hAnsiTheme="minorBidi" w:cs="Arial" w:hint="cs"/>
          <w:rtl/>
        </w:rPr>
        <w:t>הואיל</w:t>
      </w:r>
      <w:r w:rsidRPr="00974030">
        <w:rPr>
          <w:rFonts w:asciiTheme="minorBidi" w:hAnsiTheme="minorBidi" w:cs="Arial"/>
          <w:rtl/>
        </w:rPr>
        <w:t xml:space="preserve"> </w:t>
      </w:r>
      <w:r w:rsidRPr="00974030">
        <w:rPr>
          <w:rFonts w:asciiTheme="minorBidi" w:hAnsiTheme="minorBidi" w:cs="Arial" w:hint="cs"/>
          <w:rtl/>
        </w:rPr>
        <w:t>ואינן</w:t>
      </w:r>
      <w:r w:rsidRPr="00974030">
        <w:rPr>
          <w:rFonts w:asciiTheme="minorBidi" w:hAnsiTheme="minorBidi" w:cs="Arial"/>
          <w:rtl/>
        </w:rPr>
        <w:t xml:space="preserve"> </w:t>
      </w:r>
      <w:r w:rsidRPr="00974030">
        <w:rPr>
          <w:rFonts w:asciiTheme="minorBidi" w:hAnsiTheme="minorBidi" w:cs="Arial" w:hint="cs"/>
          <w:rtl/>
        </w:rPr>
        <w:t>מכוונין</w:t>
      </w:r>
      <w:r w:rsidRPr="00974030">
        <w:rPr>
          <w:rFonts w:asciiTheme="minorBidi" w:hAnsiTheme="minorBidi" w:cs="Arial"/>
          <w:rtl/>
        </w:rPr>
        <w:t xml:space="preserve"> </w:t>
      </w:r>
      <w:r w:rsidRPr="00974030">
        <w:rPr>
          <w:rFonts w:asciiTheme="minorBidi" w:hAnsiTheme="minorBidi" w:cs="Arial" w:hint="cs"/>
          <w:rtl/>
        </w:rPr>
        <w:t>לשיר</w:t>
      </w:r>
      <w:r w:rsidRPr="00974030">
        <w:rPr>
          <w:rFonts w:asciiTheme="minorBidi" w:hAnsiTheme="minorBidi" w:cs="Arial"/>
          <w:rtl/>
        </w:rPr>
        <w:t xml:space="preserve"> (</w:t>
      </w:r>
      <w:r w:rsidRPr="00974030">
        <w:rPr>
          <w:rFonts w:asciiTheme="minorBidi" w:hAnsiTheme="minorBidi" w:cs="Arial" w:hint="cs"/>
          <w:rtl/>
        </w:rPr>
        <w:t>הגהות</w:t>
      </w:r>
      <w:r w:rsidRPr="00974030">
        <w:rPr>
          <w:rFonts w:asciiTheme="minorBidi" w:hAnsiTheme="minorBidi" w:cs="Arial"/>
          <w:rtl/>
        </w:rPr>
        <w:t xml:space="preserve"> </w:t>
      </w:r>
      <w:r w:rsidRPr="00974030">
        <w:rPr>
          <w:rFonts w:asciiTheme="minorBidi" w:hAnsiTheme="minorBidi" w:cs="Arial" w:hint="cs"/>
          <w:rtl/>
        </w:rPr>
        <w:t>אלפסי</w:t>
      </w:r>
      <w:r w:rsidRPr="00974030">
        <w:rPr>
          <w:rFonts w:asciiTheme="minorBidi" w:hAnsiTheme="minorBidi" w:cs="Arial"/>
          <w:rtl/>
        </w:rPr>
        <w:t xml:space="preserve"> </w:t>
      </w:r>
      <w:r w:rsidRPr="00974030">
        <w:rPr>
          <w:rFonts w:asciiTheme="minorBidi" w:hAnsiTheme="minorBidi" w:cs="Arial" w:hint="cs"/>
          <w:rtl/>
        </w:rPr>
        <w:t>סוף</w:t>
      </w:r>
      <w:r w:rsidRPr="00974030">
        <w:rPr>
          <w:rFonts w:asciiTheme="minorBidi" w:hAnsiTheme="minorBidi" w:cs="Arial"/>
          <w:rtl/>
        </w:rPr>
        <w:t xml:space="preserve"> </w:t>
      </w:r>
      <w:r w:rsidRPr="00974030">
        <w:rPr>
          <w:rFonts w:asciiTheme="minorBidi" w:hAnsiTheme="minorBidi" w:cs="Arial" w:hint="cs"/>
          <w:rtl/>
        </w:rPr>
        <w:t>עירובין</w:t>
      </w:r>
      <w:r w:rsidRPr="00974030">
        <w:rPr>
          <w:rFonts w:asciiTheme="minorBidi" w:hAnsiTheme="minorBidi" w:cs="Arial"/>
          <w:rtl/>
        </w:rPr>
        <w:t xml:space="preserve">). </w:t>
      </w:r>
      <w:r w:rsidRPr="00974030">
        <w:rPr>
          <w:rFonts w:asciiTheme="minorBidi" w:hAnsiTheme="minorBidi" w:cs="Arial" w:hint="cs"/>
          <w:rtl/>
        </w:rPr>
        <w:t>וכל</w:t>
      </w:r>
      <w:r w:rsidRPr="00974030">
        <w:rPr>
          <w:rFonts w:asciiTheme="minorBidi" w:hAnsiTheme="minorBidi" w:cs="Arial"/>
          <w:rtl/>
        </w:rPr>
        <w:t xml:space="preserve"> </w:t>
      </w:r>
      <w:r w:rsidRPr="00974030">
        <w:rPr>
          <w:rFonts w:asciiTheme="minorBidi" w:hAnsiTheme="minorBidi" w:cs="Arial" w:hint="cs"/>
          <w:rtl/>
        </w:rPr>
        <w:t>זה</w:t>
      </w:r>
      <w:r w:rsidRPr="00974030">
        <w:rPr>
          <w:rFonts w:asciiTheme="minorBidi" w:hAnsiTheme="minorBidi" w:cs="Arial"/>
          <w:rtl/>
        </w:rPr>
        <w:t xml:space="preserve"> </w:t>
      </w:r>
      <w:r w:rsidRPr="00974030">
        <w:rPr>
          <w:rFonts w:asciiTheme="minorBidi" w:hAnsiTheme="minorBidi" w:cs="Arial" w:hint="cs"/>
          <w:rtl/>
        </w:rPr>
        <w:t>בשוחק</w:t>
      </w:r>
      <w:r w:rsidRPr="00974030">
        <w:rPr>
          <w:rFonts w:asciiTheme="minorBidi" w:hAnsiTheme="minorBidi" w:cs="Arial"/>
          <w:rtl/>
        </w:rPr>
        <w:t xml:space="preserve"> </w:t>
      </w:r>
      <w:r w:rsidRPr="00974030">
        <w:rPr>
          <w:rFonts w:asciiTheme="minorBidi" w:hAnsiTheme="minorBidi" w:cs="Arial" w:hint="cs"/>
          <w:rtl/>
        </w:rPr>
        <w:t>דרך</w:t>
      </w:r>
      <w:r w:rsidRPr="00974030">
        <w:rPr>
          <w:rFonts w:asciiTheme="minorBidi" w:hAnsiTheme="minorBidi" w:cs="Arial"/>
          <w:rtl/>
        </w:rPr>
        <w:t xml:space="preserve"> </w:t>
      </w:r>
      <w:r w:rsidRPr="00974030">
        <w:rPr>
          <w:rFonts w:asciiTheme="minorBidi" w:hAnsiTheme="minorBidi" w:cs="Arial" w:hint="cs"/>
          <w:rtl/>
        </w:rPr>
        <w:t>צחוק</w:t>
      </w:r>
      <w:r w:rsidRPr="00974030">
        <w:rPr>
          <w:rFonts w:asciiTheme="minorBidi" w:hAnsiTheme="minorBidi" w:cs="Arial"/>
          <w:rtl/>
        </w:rPr>
        <w:t xml:space="preserve"> </w:t>
      </w:r>
      <w:r w:rsidRPr="00974030">
        <w:rPr>
          <w:rFonts w:asciiTheme="minorBidi" w:hAnsiTheme="minorBidi" w:cs="Arial" w:hint="cs"/>
          <w:rtl/>
        </w:rPr>
        <w:t>בעלמא</w:t>
      </w:r>
      <w:r w:rsidRPr="00974030">
        <w:rPr>
          <w:rFonts w:asciiTheme="minorBidi" w:hAnsiTheme="minorBidi" w:cs="Arial"/>
          <w:rtl/>
        </w:rPr>
        <w:t xml:space="preserve"> (</w:t>
      </w:r>
      <w:r w:rsidRPr="00974030">
        <w:rPr>
          <w:rFonts w:asciiTheme="minorBidi" w:hAnsiTheme="minorBidi" w:cs="Arial" w:hint="cs"/>
          <w:rtl/>
        </w:rPr>
        <w:t>ב</w:t>
      </w:r>
      <w:r w:rsidRPr="00974030">
        <w:rPr>
          <w:rFonts w:asciiTheme="minorBidi" w:hAnsiTheme="minorBidi" w:cs="Arial"/>
          <w:rtl/>
        </w:rPr>
        <w:t>"</w:t>
      </w:r>
      <w:r w:rsidRPr="00974030">
        <w:rPr>
          <w:rFonts w:asciiTheme="minorBidi" w:hAnsiTheme="minorBidi" w:cs="Arial" w:hint="cs"/>
          <w:rtl/>
        </w:rPr>
        <w:t>י</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בשוחק</w:t>
      </w:r>
      <w:r w:rsidRPr="00974030">
        <w:rPr>
          <w:rFonts w:asciiTheme="minorBidi" w:hAnsiTheme="minorBidi" w:cs="Arial"/>
          <w:rtl/>
        </w:rPr>
        <w:t xml:space="preserve"> </w:t>
      </w:r>
      <w:r w:rsidRPr="00974030">
        <w:rPr>
          <w:rFonts w:asciiTheme="minorBidi" w:hAnsiTheme="minorBidi" w:cs="Arial" w:hint="cs"/>
          <w:rtl/>
        </w:rPr>
        <w:t>כדי</w:t>
      </w:r>
      <w:r w:rsidRPr="00974030">
        <w:rPr>
          <w:rFonts w:asciiTheme="minorBidi" w:hAnsiTheme="minorBidi" w:cs="Arial"/>
          <w:rtl/>
        </w:rPr>
        <w:t xml:space="preserve"> </w:t>
      </w:r>
      <w:r w:rsidRPr="00974030">
        <w:rPr>
          <w:rFonts w:asciiTheme="minorBidi" w:hAnsiTheme="minorBidi" w:cs="Arial" w:hint="cs"/>
          <w:rtl/>
        </w:rPr>
        <w:t>להרויח</w:t>
      </w:r>
      <w:r w:rsidRPr="00974030">
        <w:rPr>
          <w:rFonts w:asciiTheme="minorBidi" w:hAnsiTheme="minorBidi" w:cs="Arial"/>
          <w:rtl/>
        </w:rPr>
        <w:t xml:space="preserve">, </w:t>
      </w: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אפי</w:t>
      </w:r>
      <w:r w:rsidRPr="00974030">
        <w:rPr>
          <w:rFonts w:asciiTheme="minorBidi" w:hAnsiTheme="minorBidi" w:cs="Arial"/>
          <w:rtl/>
        </w:rPr>
        <w:t xml:space="preserve">' </w:t>
      </w:r>
      <w:r w:rsidRPr="00974030">
        <w:rPr>
          <w:rFonts w:asciiTheme="minorBidi" w:hAnsiTheme="minorBidi" w:cs="Arial" w:hint="cs"/>
          <w:rtl/>
        </w:rPr>
        <w:t>שוחק</w:t>
      </w:r>
      <w:r w:rsidRPr="00974030">
        <w:rPr>
          <w:rFonts w:asciiTheme="minorBidi" w:hAnsiTheme="minorBidi" w:cs="Arial"/>
          <w:rtl/>
        </w:rPr>
        <w:t xml:space="preserve"> </w:t>
      </w:r>
      <w:r w:rsidRPr="00974030">
        <w:rPr>
          <w:rFonts w:asciiTheme="minorBidi" w:hAnsiTheme="minorBidi" w:cs="Arial" w:hint="cs"/>
          <w:rtl/>
        </w:rPr>
        <w:t>בתם</w:t>
      </w:r>
      <w:r w:rsidRPr="00974030">
        <w:rPr>
          <w:rFonts w:asciiTheme="minorBidi" w:hAnsiTheme="minorBidi" w:cs="Arial"/>
          <w:rtl/>
        </w:rPr>
        <w:t xml:space="preserve"> </w:t>
      </w:r>
      <w:r w:rsidRPr="00974030">
        <w:rPr>
          <w:rFonts w:asciiTheme="minorBidi" w:hAnsiTheme="minorBidi" w:cs="Arial" w:hint="cs"/>
          <w:rtl/>
        </w:rPr>
        <w:t>ובחסר</w:t>
      </w:r>
      <w:r w:rsidRPr="00974030">
        <w:rPr>
          <w:rFonts w:asciiTheme="minorBidi" w:hAnsiTheme="minorBidi" w:cs="Arial"/>
          <w:rtl/>
        </w:rPr>
        <w:t xml:space="preserve">, </w:t>
      </w:r>
      <w:r w:rsidRPr="00974030">
        <w:rPr>
          <w:rFonts w:asciiTheme="minorBidi" w:hAnsiTheme="minorBidi" w:cs="Arial" w:hint="cs"/>
          <w:rtl/>
        </w:rPr>
        <w:t>דהוי</w:t>
      </w:r>
      <w:r w:rsidRPr="00974030">
        <w:rPr>
          <w:rFonts w:asciiTheme="minorBidi" w:hAnsiTheme="minorBidi" w:cs="Arial"/>
          <w:rtl/>
        </w:rPr>
        <w:t xml:space="preserve"> </w:t>
      </w:r>
      <w:r w:rsidRPr="00974030">
        <w:rPr>
          <w:rFonts w:asciiTheme="minorBidi" w:hAnsiTheme="minorBidi" w:cs="Arial" w:hint="cs"/>
          <w:rtl/>
        </w:rPr>
        <w:t>כמקח</w:t>
      </w:r>
      <w:r w:rsidRPr="00974030">
        <w:rPr>
          <w:rFonts w:asciiTheme="minorBidi" w:hAnsiTheme="minorBidi" w:cs="Arial"/>
          <w:rtl/>
        </w:rPr>
        <w:t xml:space="preserve"> </w:t>
      </w:r>
      <w:r w:rsidRPr="00974030">
        <w:rPr>
          <w:rFonts w:asciiTheme="minorBidi" w:hAnsiTheme="minorBidi" w:cs="Arial" w:hint="cs"/>
          <w:rtl/>
        </w:rPr>
        <w:t>וממכר</w:t>
      </w:r>
      <w:r w:rsidRPr="00974030">
        <w:rPr>
          <w:rFonts w:asciiTheme="minorBidi" w:hAnsiTheme="minorBidi" w:cs="Arial"/>
          <w:rtl/>
        </w:rPr>
        <w:t xml:space="preserve"> (</w:t>
      </w:r>
      <w:r w:rsidRPr="00974030">
        <w:rPr>
          <w:rFonts w:asciiTheme="minorBidi" w:hAnsiTheme="minorBidi" w:cs="Arial" w:hint="cs"/>
          <w:rtl/>
        </w:rPr>
        <w:t>אגור</w:t>
      </w:r>
      <w:r w:rsidRPr="00974030">
        <w:rPr>
          <w:rFonts w:asciiTheme="minorBidi" w:hAnsiTheme="minorBidi" w:cs="Arial"/>
          <w:rtl/>
        </w:rPr>
        <w:t xml:space="preserve"> </w:t>
      </w:r>
      <w:r w:rsidRPr="00974030">
        <w:rPr>
          <w:rFonts w:asciiTheme="minorBidi" w:hAnsiTheme="minorBidi" w:cs="Arial" w:hint="cs"/>
          <w:rtl/>
        </w:rPr>
        <w:t>ורמב</w:t>
      </w:r>
      <w:r w:rsidRPr="00974030">
        <w:rPr>
          <w:rFonts w:asciiTheme="minorBidi" w:hAnsiTheme="minorBidi" w:cs="Arial"/>
          <w:rtl/>
        </w:rPr>
        <w:t>"</w:t>
      </w:r>
      <w:r w:rsidRPr="00974030">
        <w:rPr>
          <w:rFonts w:asciiTheme="minorBidi" w:hAnsiTheme="minorBidi" w:cs="Arial" w:hint="cs"/>
          <w:rtl/>
        </w:rPr>
        <w:t>ם</w:t>
      </w:r>
      <w:r w:rsidRPr="00974030">
        <w:rPr>
          <w:rFonts w:asciiTheme="minorBidi" w:hAnsiTheme="minorBidi" w:cs="Arial"/>
          <w:rtl/>
        </w:rPr>
        <w:t xml:space="preserve"> </w:t>
      </w:r>
      <w:r w:rsidRPr="00974030">
        <w:rPr>
          <w:rFonts w:asciiTheme="minorBidi" w:hAnsiTheme="minorBidi" w:cs="Arial" w:hint="cs"/>
          <w:rtl/>
        </w:rPr>
        <w:t>פכ</w:t>
      </w:r>
      <w:r w:rsidRPr="00974030">
        <w:rPr>
          <w:rFonts w:asciiTheme="minorBidi" w:hAnsiTheme="minorBidi" w:cs="Arial"/>
          <w:rtl/>
        </w:rPr>
        <w:t>"</w:t>
      </w:r>
      <w:r w:rsidRPr="00974030">
        <w:rPr>
          <w:rFonts w:asciiTheme="minorBidi" w:hAnsiTheme="minorBidi" w:cs="Arial" w:hint="cs"/>
          <w:rtl/>
        </w:rPr>
        <w:t>ג</w:t>
      </w:r>
      <w:r w:rsidRPr="00974030">
        <w:rPr>
          <w:rFonts w:asciiTheme="minorBidi" w:hAnsiTheme="minorBidi" w:cs="Arial"/>
          <w:rtl/>
        </w:rPr>
        <w:t xml:space="preserve">). </w:t>
      </w:r>
      <w:r w:rsidRPr="00974030">
        <w:rPr>
          <w:rFonts w:asciiTheme="minorBidi" w:hAnsiTheme="minorBidi" w:cs="Arial" w:hint="cs"/>
          <w:rtl/>
        </w:rPr>
        <w:t>ומ</w:t>
      </w:r>
      <w:r w:rsidRPr="00974030">
        <w:rPr>
          <w:rFonts w:asciiTheme="minorBidi" w:hAnsiTheme="minorBidi" w:cs="Arial"/>
          <w:rtl/>
        </w:rPr>
        <w:t>"</w:t>
      </w:r>
      <w:r w:rsidRPr="00974030">
        <w:rPr>
          <w:rFonts w:asciiTheme="minorBidi" w:hAnsiTheme="minorBidi" w:cs="Arial" w:hint="cs"/>
          <w:rtl/>
        </w:rPr>
        <w:t>מ</w:t>
      </w:r>
      <w:r w:rsidRPr="00974030">
        <w:rPr>
          <w:rFonts w:asciiTheme="minorBidi" w:hAnsiTheme="minorBidi" w:cs="Arial"/>
          <w:rtl/>
        </w:rPr>
        <w:t xml:space="preserve"> </w:t>
      </w:r>
      <w:r w:rsidRPr="00974030">
        <w:rPr>
          <w:rFonts w:asciiTheme="minorBidi" w:hAnsiTheme="minorBidi" w:cs="Arial" w:hint="cs"/>
          <w:rtl/>
        </w:rPr>
        <w:t>אין</w:t>
      </w:r>
      <w:r w:rsidRPr="00974030">
        <w:rPr>
          <w:rFonts w:asciiTheme="minorBidi" w:hAnsiTheme="minorBidi" w:cs="Arial"/>
          <w:rtl/>
        </w:rPr>
        <w:t xml:space="preserve"> </w:t>
      </w:r>
      <w:r w:rsidRPr="00974030">
        <w:rPr>
          <w:rFonts w:asciiTheme="minorBidi" w:hAnsiTheme="minorBidi" w:cs="Arial" w:hint="cs"/>
          <w:rtl/>
        </w:rPr>
        <w:t>למחות</w:t>
      </w:r>
      <w:r w:rsidRPr="00974030">
        <w:rPr>
          <w:rFonts w:asciiTheme="minorBidi" w:hAnsiTheme="minorBidi" w:cs="Arial"/>
          <w:rtl/>
        </w:rPr>
        <w:t xml:space="preserve"> </w:t>
      </w:r>
      <w:r w:rsidRPr="00974030">
        <w:rPr>
          <w:rFonts w:asciiTheme="minorBidi" w:hAnsiTheme="minorBidi" w:cs="Arial" w:hint="cs"/>
          <w:rtl/>
        </w:rPr>
        <w:t>בנשים</w:t>
      </w:r>
      <w:r w:rsidRPr="00974030">
        <w:rPr>
          <w:rFonts w:asciiTheme="minorBidi" w:hAnsiTheme="minorBidi" w:cs="Arial"/>
          <w:rtl/>
        </w:rPr>
        <w:t xml:space="preserve"> </w:t>
      </w:r>
      <w:r w:rsidRPr="00974030">
        <w:rPr>
          <w:rFonts w:asciiTheme="minorBidi" w:hAnsiTheme="minorBidi" w:cs="Arial" w:hint="cs"/>
          <w:rtl/>
        </w:rPr>
        <w:t>וקטנים</w:t>
      </w:r>
      <w:r w:rsidRPr="00974030">
        <w:rPr>
          <w:rFonts w:asciiTheme="minorBidi" w:hAnsiTheme="minorBidi" w:cs="Arial"/>
          <w:rtl/>
        </w:rPr>
        <w:t xml:space="preserve">, </w:t>
      </w:r>
      <w:r w:rsidRPr="00974030">
        <w:rPr>
          <w:rFonts w:asciiTheme="minorBidi" w:hAnsiTheme="minorBidi" w:cs="Arial" w:hint="cs"/>
          <w:rtl/>
        </w:rPr>
        <w:t>דמוטב</w:t>
      </w:r>
      <w:r w:rsidRPr="00974030">
        <w:rPr>
          <w:rFonts w:asciiTheme="minorBidi" w:hAnsiTheme="minorBidi" w:cs="Arial"/>
          <w:rtl/>
        </w:rPr>
        <w:t xml:space="preserve"> </w:t>
      </w:r>
      <w:r w:rsidRPr="00974030">
        <w:rPr>
          <w:rFonts w:asciiTheme="minorBidi" w:hAnsiTheme="minorBidi" w:cs="Arial" w:hint="cs"/>
          <w:rtl/>
        </w:rPr>
        <w:t>שיהיו</w:t>
      </w:r>
      <w:r w:rsidRPr="00974030">
        <w:rPr>
          <w:rFonts w:asciiTheme="minorBidi" w:hAnsiTheme="minorBidi" w:cs="Arial"/>
          <w:rtl/>
        </w:rPr>
        <w:t xml:space="preserve"> </w:t>
      </w:r>
      <w:r w:rsidRPr="00974030">
        <w:rPr>
          <w:rFonts w:asciiTheme="minorBidi" w:hAnsiTheme="minorBidi" w:cs="Arial" w:hint="cs"/>
          <w:rtl/>
        </w:rPr>
        <w:t>שוגגין</w:t>
      </w:r>
      <w:r w:rsidRPr="00974030">
        <w:rPr>
          <w:rFonts w:asciiTheme="minorBidi" w:hAnsiTheme="minorBidi" w:cs="Arial"/>
          <w:rtl/>
        </w:rPr>
        <w:t xml:space="preserve"> </w:t>
      </w:r>
      <w:r w:rsidRPr="00974030">
        <w:rPr>
          <w:rFonts w:asciiTheme="minorBidi" w:hAnsiTheme="minorBidi" w:cs="Arial" w:hint="cs"/>
          <w:rtl/>
        </w:rPr>
        <w:t>ואל</w:t>
      </w:r>
      <w:r w:rsidRPr="00974030">
        <w:rPr>
          <w:rFonts w:asciiTheme="minorBidi" w:hAnsiTheme="minorBidi" w:cs="Arial"/>
          <w:rtl/>
        </w:rPr>
        <w:t xml:space="preserve"> </w:t>
      </w:r>
      <w:r w:rsidRPr="00974030">
        <w:rPr>
          <w:rFonts w:asciiTheme="minorBidi" w:hAnsiTheme="minorBidi" w:cs="Arial" w:hint="cs"/>
          <w:rtl/>
        </w:rPr>
        <w:t>יהיו</w:t>
      </w:r>
      <w:r w:rsidRPr="00974030">
        <w:rPr>
          <w:rFonts w:asciiTheme="minorBidi" w:hAnsiTheme="minorBidi" w:cs="Arial"/>
          <w:rtl/>
        </w:rPr>
        <w:t xml:space="preserve"> </w:t>
      </w:r>
      <w:r w:rsidRPr="00974030">
        <w:rPr>
          <w:rFonts w:asciiTheme="minorBidi" w:hAnsiTheme="minorBidi" w:cs="Arial" w:hint="cs"/>
          <w:rtl/>
        </w:rPr>
        <w:t>מזידין</w:t>
      </w:r>
      <w:r w:rsidRPr="00974030">
        <w:rPr>
          <w:rFonts w:asciiTheme="minorBidi" w:hAnsiTheme="minorBidi" w:cs="Arial"/>
          <w:rtl/>
        </w:rPr>
        <w:t xml:space="preserve"> (</w:t>
      </w:r>
      <w:r w:rsidRPr="00974030">
        <w:rPr>
          <w:rFonts w:asciiTheme="minorBidi" w:hAnsiTheme="minorBidi" w:cs="Arial" w:hint="cs"/>
          <w:rtl/>
        </w:rPr>
        <w:t>תוס</w:t>
      </w:r>
      <w:r w:rsidRPr="00974030">
        <w:rPr>
          <w:rFonts w:asciiTheme="minorBidi" w:hAnsiTheme="minorBidi" w:cs="Arial"/>
          <w:rtl/>
        </w:rPr>
        <w:t xml:space="preserve">' </w:t>
      </w:r>
      <w:r w:rsidRPr="00974030">
        <w:rPr>
          <w:rFonts w:asciiTheme="minorBidi" w:hAnsiTheme="minorBidi" w:cs="Arial" w:hint="cs"/>
          <w:rtl/>
        </w:rPr>
        <w:t>וסמ</w:t>
      </w:r>
      <w:r w:rsidRPr="00974030">
        <w:rPr>
          <w:rFonts w:asciiTheme="minorBidi" w:hAnsiTheme="minorBidi" w:cs="Arial"/>
          <w:rtl/>
        </w:rPr>
        <w:t>"</w:t>
      </w:r>
      <w:r w:rsidRPr="00974030">
        <w:rPr>
          <w:rFonts w:asciiTheme="minorBidi" w:hAnsiTheme="minorBidi" w:cs="Arial" w:hint="cs"/>
          <w:rtl/>
        </w:rPr>
        <w:t>ג</w:t>
      </w:r>
      <w:r w:rsidRPr="00974030">
        <w:rPr>
          <w:rFonts w:asciiTheme="minorBidi" w:hAnsiTheme="minorBidi" w:cs="Arial"/>
          <w:rtl/>
        </w:rPr>
        <w:t xml:space="preserve"> </w:t>
      </w:r>
      <w:r w:rsidRPr="00974030">
        <w:rPr>
          <w:rFonts w:asciiTheme="minorBidi" w:hAnsiTheme="minorBidi" w:cs="Arial" w:hint="cs"/>
          <w:rtl/>
        </w:rPr>
        <w:t>והגהות</w:t>
      </w:r>
      <w:r w:rsidRPr="00974030">
        <w:rPr>
          <w:rFonts w:asciiTheme="minorBidi" w:hAnsiTheme="minorBidi" w:cs="Arial"/>
          <w:rtl/>
        </w:rPr>
        <w:t xml:space="preserve"> </w:t>
      </w:r>
      <w:r w:rsidRPr="00974030">
        <w:rPr>
          <w:rFonts w:asciiTheme="minorBidi" w:hAnsiTheme="minorBidi" w:cs="Arial" w:hint="cs"/>
          <w:rtl/>
        </w:rPr>
        <w:t>מיימוני</w:t>
      </w:r>
      <w:r w:rsidRPr="00974030">
        <w:rPr>
          <w:rFonts w:asciiTheme="minorBidi" w:hAnsiTheme="minorBidi" w:cs="Arial"/>
          <w:rtl/>
        </w:rPr>
        <w:t xml:space="preserve"> </w:t>
      </w:r>
      <w:r w:rsidRPr="00974030">
        <w:rPr>
          <w:rFonts w:asciiTheme="minorBidi" w:hAnsiTheme="minorBidi" w:cs="Arial" w:hint="cs"/>
          <w:rtl/>
        </w:rPr>
        <w:t>פכ</w:t>
      </w:r>
      <w:r w:rsidRPr="00974030">
        <w:rPr>
          <w:rFonts w:asciiTheme="minorBidi" w:hAnsiTheme="minorBidi" w:cs="Arial"/>
          <w:rtl/>
        </w:rPr>
        <w:t>"</w:t>
      </w:r>
      <w:r w:rsidRPr="00974030">
        <w:rPr>
          <w:rFonts w:asciiTheme="minorBidi" w:hAnsiTheme="minorBidi" w:cs="Arial" w:hint="cs"/>
          <w:rtl/>
        </w:rPr>
        <w:t>א</w:t>
      </w:r>
      <w:r w:rsidRPr="00974030">
        <w:rPr>
          <w:rFonts w:asciiTheme="minorBidi" w:hAnsiTheme="minorBidi" w:cs="Arial"/>
          <w:rtl/>
        </w:rPr>
        <w:t xml:space="preserve">). </w:t>
      </w:r>
      <w:r w:rsidRPr="00974030">
        <w:rPr>
          <w:rFonts w:asciiTheme="minorBidi" w:hAnsiTheme="minorBidi" w:cs="Arial" w:hint="cs"/>
          <w:rtl/>
        </w:rPr>
        <w:t>ולשחוק</w:t>
      </w:r>
      <w:r w:rsidRPr="00974030">
        <w:rPr>
          <w:rFonts w:asciiTheme="minorBidi" w:hAnsiTheme="minorBidi" w:cs="Arial"/>
          <w:rtl/>
        </w:rPr>
        <w:t xml:space="preserve"> </w:t>
      </w:r>
      <w:r w:rsidRPr="00974030">
        <w:rPr>
          <w:rFonts w:asciiTheme="minorBidi" w:hAnsiTheme="minorBidi" w:cs="Arial" w:hint="cs"/>
          <w:rtl/>
        </w:rPr>
        <w:t>בכדור</w:t>
      </w:r>
      <w:r w:rsidRPr="00974030">
        <w:rPr>
          <w:rFonts w:asciiTheme="minorBidi" w:hAnsiTheme="minorBidi" w:cs="Arial"/>
          <w:rtl/>
        </w:rPr>
        <w:t xml:space="preserve">, </w:t>
      </w:r>
      <w:r w:rsidRPr="00974030">
        <w:rPr>
          <w:rFonts w:asciiTheme="minorBidi" w:hAnsiTheme="minorBidi" w:cs="Arial" w:hint="cs"/>
          <w:rtl/>
        </w:rPr>
        <w:t>ע</w:t>
      </w:r>
      <w:r w:rsidRPr="00974030">
        <w:rPr>
          <w:rFonts w:asciiTheme="minorBidi" w:hAnsiTheme="minorBidi" w:cs="Arial"/>
          <w:rtl/>
        </w:rPr>
        <w:t>"</w:t>
      </w:r>
      <w:r w:rsidRPr="00974030">
        <w:rPr>
          <w:rFonts w:asciiTheme="minorBidi" w:hAnsiTheme="minorBidi" w:cs="Arial" w:hint="cs"/>
          <w:rtl/>
        </w:rPr>
        <w:t>ל</w:t>
      </w:r>
      <w:r w:rsidRPr="00974030">
        <w:rPr>
          <w:rFonts w:asciiTheme="minorBidi" w:hAnsiTheme="minorBidi" w:cs="Arial"/>
          <w:rtl/>
        </w:rPr>
        <w:t xml:space="preserve"> </w:t>
      </w:r>
      <w:r w:rsidRPr="00974030">
        <w:rPr>
          <w:rFonts w:asciiTheme="minorBidi" w:hAnsiTheme="minorBidi" w:cs="Arial" w:hint="cs"/>
          <w:rtl/>
        </w:rPr>
        <w:t>סי</w:t>
      </w:r>
      <w:r w:rsidRPr="00974030">
        <w:rPr>
          <w:rFonts w:asciiTheme="minorBidi" w:hAnsiTheme="minorBidi" w:cs="Arial"/>
          <w:rtl/>
        </w:rPr>
        <w:t xml:space="preserve">' </w:t>
      </w:r>
      <w:r w:rsidRPr="00974030">
        <w:rPr>
          <w:rFonts w:asciiTheme="minorBidi" w:hAnsiTheme="minorBidi" w:cs="Arial" w:hint="cs"/>
          <w:rtl/>
        </w:rPr>
        <w:t>ש</w:t>
      </w:r>
      <w:r w:rsidRPr="00974030">
        <w:rPr>
          <w:rFonts w:asciiTheme="minorBidi" w:hAnsiTheme="minorBidi" w:cs="Arial"/>
          <w:rtl/>
        </w:rPr>
        <w:t>"</w:t>
      </w:r>
      <w:r w:rsidRPr="00974030">
        <w:rPr>
          <w:rFonts w:asciiTheme="minorBidi" w:hAnsiTheme="minorBidi" w:cs="Arial" w:hint="cs"/>
          <w:rtl/>
        </w:rPr>
        <w:t>ח</w:t>
      </w:r>
      <w:r w:rsidRPr="00974030">
        <w:rPr>
          <w:rFonts w:asciiTheme="minorBidi" w:hAnsiTheme="minorBidi" w:cs="Arial"/>
          <w:rtl/>
        </w:rPr>
        <w:t xml:space="preserve"> </w:t>
      </w:r>
      <w:r w:rsidRPr="00974030">
        <w:rPr>
          <w:rFonts w:asciiTheme="minorBidi" w:hAnsiTheme="minorBidi" w:cs="Arial" w:hint="cs"/>
          <w:rtl/>
        </w:rPr>
        <w:t>סעיף</w:t>
      </w:r>
      <w:r w:rsidRPr="00974030">
        <w:rPr>
          <w:rFonts w:asciiTheme="minorBidi" w:hAnsiTheme="minorBidi" w:cs="Arial"/>
          <w:rtl/>
        </w:rPr>
        <w:t xml:space="preserve"> </w:t>
      </w:r>
      <w:r w:rsidRPr="00974030">
        <w:rPr>
          <w:rFonts w:asciiTheme="minorBidi" w:hAnsiTheme="minorBidi" w:cs="Arial" w:hint="cs"/>
          <w:rtl/>
        </w:rPr>
        <w:t>מ</w:t>
      </w:r>
      <w:r w:rsidRPr="00974030">
        <w:rPr>
          <w:rFonts w:asciiTheme="minorBidi" w:hAnsiTheme="minorBidi" w:cs="Arial"/>
          <w:rtl/>
        </w:rPr>
        <w:t>"</w:t>
      </w:r>
      <w:r w:rsidRPr="00974030">
        <w:rPr>
          <w:rFonts w:asciiTheme="minorBidi" w:hAnsiTheme="minorBidi" w:cs="Arial" w:hint="cs"/>
          <w:rtl/>
        </w:rPr>
        <w:t>ה</w:t>
      </w:r>
      <w:r w:rsidRPr="00974030">
        <w:rPr>
          <w:rFonts w:asciiTheme="minorBidi" w:hAnsiTheme="minorBidi" w:cs="Arial"/>
          <w:rtl/>
        </w:rPr>
        <w:t xml:space="preserve">. </w:t>
      </w:r>
    </w:p>
    <w:p w14:paraId="01A95E82"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ו</w:t>
      </w:r>
    </w:p>
    <w:p w14:paraId="599B517B"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לשאוב</w:t>
      </w:r>
      <w:r w:rsidRPr="00974030">
        <w:rPr>
          <w:rFonts w:asciiTheme="minorBidi" w:hAnsiTheme="minorBidi" w:cs="Arial"/>
          <w:rtl/>
        </w:rPr>
        <w:t xml:space="preserve"> </w:t>
      </w:r>
      <w:r w:rsidRPr="00974030">
        <w:rPr>
          <w:rFonts w:asciiTheme="minorBidi" w:hAnsiTheme="minorBidi" w:cs="Arial" w:hint="cs"/>
          <w:rtl/>
        </w:rPr>
        <w:t>מים</w:t>
      </w:r>
      <w:r w:rsidRPr="00974030">
        <w:rPr>
          <w:rFonts w:asciiTheme="minorBidi" w:hAnsiTheme="minorBidi" w:cs="Arial"/>
          <w:rtl/>
        </w:rPr>
        <w:t xml:space="preserve"> </w:t>
      </w:r>
      <w:r w:rsidRPr="00974030">
        <w:rPr>
          <w:rFonts w:asciiTheme="minorBidi" w:hAnsiTheme="minorBidi" w:cs="Arial" w:hint="cs"/>
          <w:rtl/>
        </w:rPr>
        <w:t>בגלגל</w:t>
      </w:r>
      <w:r w:rsidRPr="00974030">
        <w:rPr>
          <w:rFonts w:asciiTheme="minorBidi" w:hAnsiTheme="minorBidi" w:cs="Arial"/>
          <w:rtl/>
        </w:rPr>
        <w:t xml:space="preserve">, </w:t>
      </w:r>
      <w:r w:rsidRPr="00974030">
        <w:rPr>
          <w:rFonts w:asciiTheme="minorBidi" w:hAnsiTheme="minorBidi" w:cs="Arial" w:hint="cs"/>
          <w:rtl/>
        </w:rPr>
        <w:t>גזירה</w:t>
      </w:r>
      <w:r w:rsidRPr="00974030">
        <w:rPr>
          <w:rFonts w:asciiTheme="minorBidi" w:hAnsiTheme="minorBidi" w:cs="Arial"/>
          <w:rtl/>
        </w:rPr>
        <w:t xml:space="preserve"> </w:t>
      </w:r>
      <w:r w:rsidRPr="00974030">
        <w:rPr>
          <w:rFonts w:asciiTheme="minorBidi" w:hAnsiTheme="minorBidi" w:cs="Arial" w:hint="cs"/>
          <w:rtl/>
        </w:rPr>
        <w:t>שמא</w:t>
      </w:r>
      <w:r w:rsidRPr="00974030">
        <w:rPr>
          <w:rFonts w:asciiTheme="minorBidi" w:hAnsiTheme="minorBidi" w:cs="Arial"/>
          <w:rtl/>
        </w:rPr>
        <w:t xml:space="preserve"> </w:t>
      </w:r>
      <w:r w:rsidRPr="00974030">
        <w:rPr>
          <w:rFonts w:asciiTheme="minorBidi" w:hAnsiTheme="minorBidi" w:cs="Arial" w:hint="cs"/>
          <w:rtl/>
        </w:rPr>
        <w:t>ימלא</w:t>
      </w:r>
      <w:r w:rsidRPr="00974030">
        <w:rPr>
          <w:rFonts w:asciiTheme="minorBidi" w:hAnsiTheme="minorBidi" w:cs="Arial"/>
          <w:rtl/>
        </w:rPr>
        <w:t xml:space="preserve"> </w:t>
      </w:r>
      <w:r w:rsidRPr="00974030">
        <w:rPr>
          <w:rFonts w:asciiTheme="minorBidi" w:hAnsiTheme="minorBidi" w:cs="Arial" w:hint="cs"/>
          <w:rtl/>
        </w:rPr>
        <w:t>לגנתו</w:t>
      </w:r>
      <w:r w:rsidRPr="00974030">
        <w:rPr>
          <w:rFonts w:asciiTheme="minorBidi" w:hAnsiTheme="minorBidi" w:cs="Arial"/>
          <w:rtl/>
        </w:rPr>
        <w:t xml:space="preserve"> </w:t>
      </w:r>
      <w:r w:rsidRPr="00974030">
        <w:rPr>
          <w:rFonts w:asciiTheme="minorBidi" w:hAnsiTheme="minorBidi" w:cs="Arial" w:hint="cs"/>
          <w:rtl/>
        </w:rPr>
        <w:t>וחורבתו</w:t>
      </w:r>
      <w:r w:rsidRPr="00974030">
        <w:rPr>
          <w:rFonts w:asciiTheme="minorBidi" w:hAnsiTheme="minorBidi" w:cs="Arial"/>
          <w:rtl/>
        </w:rPr>
        <w:t xml:space="preserve"> </w:t>
      </w:r>
      <w:r w:rsidRPr="00974030">
        <w:rPr>
          <w:rFonts w:asciiTheme="minorBidi" w:hAnsiTheme="minorBidi" w:cs="Arial" w:hint="cs"/>
          <w:rtl/>
        </w:rPr>
        <w:t>או</w:t>
      </w:r>
      <w:r w:rsidRPr="00974030">
        <w:rPr>
          <w:rFonts w:asciiTheme="minorBidi" w:hAnsiTheme="minorBidi" w:cs="Arial"/>
          <w:rtl/>
        </w:rPr>
        <w:t xml:space="preserve"> </w:t>
      </w:r>
      <w:r w:rsidRPr="00974030">
        <w:rPr>
          <w:rFonts w:asciiTheme="minorBidi" w:hAnsiTheme="minorBidi" w:cs="Arial" w:hint="cs"/>
          <w:rtl/>
        </w:rPr>
        <w:t>למשרה</w:t>
      </w:r>
      <w:r w:rsidRPr="00974030">
        <w:rPr>
          <w:rFonts w:asciiTheme="minorBidi" w:hAnsiTheme="minorBidi" w:cs="Arial"/>
          <w:rtl/>
        </w:rPr>
        <w:t xml:space="preserve"> </w:t>
      </w:r>
      <w:r w:rsidRPr="00974030">
        <w:rPr>
          <w:rFonts w:asciiTheme="minorBidi" w:hAnsiTheme="minorBidi" w:cs="Arial" w:hint="cs"/>
          <w:rtl/>
        </w:rPr>
        <w:t>של</w:t>
      </w:r>
      <w:r w:rsidRPr="00974030">
        <w:rPr>
          <w:rFonts w:asciiTheme="minorBidi" w:hAnsiTheme="minorBidi" w:cs="Arial"/>
          <w:rtl/>
        </w:rPr>
        <w:t xml:space="preserve"> </w:t>
      </w:r>
      <w:r w:rsidRPr="00974030">
        <w:rPr>
          <w:rFonts w:asciiTheme="minorBidi" w:hAnsiTheme="minorBidi" w:cs="Arial" w:hint="cs"/>
          <w:rtl/>
        </w:rPr>
        <w:t>פשתן</w:t>
      </w:r>
      <w:r w:rsidRPr="00974030">
        <w:rPr>
          <w:rFonts w:asciiTheme="minorBidi" w:hAnsiTheme="minorBidi" w:cs="Arial"/>
          <w:rtl/>
        </w:rPr>
        <w:t xml:space="preserve">. </w:t>
      </w:r>
      <w:r w:rsidRPr="00974030">
        <w:rPr>
          <w:rFonts w:asciiTheme="minorBidi" w:hAnsiTheme="minorBidi" w:cs="Arial" w:hint="cs"/>
          <w:rtl/>
        </w:rPr>
        <w:t>לפיכך</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היה</w:t>
      </w:r>
      <w:r w:rsidRPr="00974030">
        <w:rPr>
          <w:rFonts w:asciiTheme="minorBidi" w:hAnsiTheme="minorBidi" w:cs="Arial"/>
          <w:rtl/>
        </w:rPr>
        <w:t xml:space="preserve"> </w:t>
      </w:r>
      <w:r w:rsidRPr="00974030">
        <w:rPr>
          <w:rFonts w:asciiTheme="minorBidi" w:hAnsiTheme="minorBidi" w:cs="Arial" w:hint="cs"/>
          <w:rtl/>
        </w:rPr>
        <w:t>שם</w:t>
      </w:r>
      <w:r w:rsidRPr="00974030">
        <w:rPr>
          <w:rFonts w:asciiTheme="minorBidi" w:hAnsiTheme="minorBidi" w:cs="Arial"/>
          <w:rtl/>
        </w:rPr>
        <w:t xml:space="preserve"> </w:t>
      </w:r>
      <w:r w:rsidRPr="00974030">
        <w:rPr>
          <w:rFonts w:asciiTheme="minorBidi" w:hAnsiTheme="minorBidi" w:cs="Arial" w:hint="cs"/>
          <w:rtl/>
        </w:rPr>
        <w:t>לא</w:t>
      </w:r>
      <w:r w:rsidRPr="00974030">
        <w:rPr>
          <w:rFonts w:asciiTheme="minorBidi" w:hAnsiTheme="minorBidi" w:cs="Arial"/>
          <w:rtl/>
        </w:rPr>
        <w:t xml:space="preserve"> </w:t>
      </w:r>
      <w:r w:rsidRPr="00974030">
        <w:rPr>
          <w:rFonts w:asciiTheme="minorBidi" w:hAnsiTheme="minorBidi" w:cs="Arial" w:hint="cs"/>
          <w:rtl/>
        </w:rPr>
        <w:t>גינה</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חורבה</w:t>
      </w:r>
      <w:r w:rsidRPr="00974030">
        <w:rPr>
          <w:rFonts w:asciiTheme="minorBidi" w:hAnsiTheme="minorBidi" w:cs="Arial"/>
          <w:rtl/>
        </w:rPr>
        <w:t xml:space="preserve">, </w:t>
      </w:r>
      <w:r w:rsidRPr="00974030">
        <w:rPr>
          <w:rFonts w:asciiTheme="minorBidi" w:hAnsiTheme="minorBidi" w:cs="Arial" w:hint="cs"/>
          <w:rtl/>
        </w:rPr>
        <w:t>ולא</w:t>
      </w:r>
      <w:r w:rsidRPr="00974030">
        <w:rPr>
          <w:rFonts w:asciiTheme="minorBidi" w:hAnsiTheme="minorBidi" w:cs="Arial"/>
          <w:rtl/>
        </w:rPr>
        <w:t xml:space="preserve"> </w:t>
      </w:r>
      <w:r w:rsidRPr="00974030">
        <w:rPr>
          <w:rFonts w:asciiTheme="minorBidi" w:hAnsiTheme="minorBidi" w:cs="Arial" w:hint="cs"/>
          <w:rtl/>
        </w:rPr>
        <w:t>בריכה</w:t>
      </w:r>
      <w:r w:rsidRPr="00974030">
        <w:rPr>
          <w:rFonts w:asciiTheme="minorBidi" w:hAnsiTheme="minorBidi" w:cs="Arial"/>
          <w:rtl/>
        </w:rPr>
        <w:t xml:space="preserve"> </w:t>
      </w:r>
      <w:r w:rsidRPr="00974030">
        <w:rPr>
          <w:rFonts w:asciiTheme="minorBidi" w:hAnsiTheme="minorBidi" w:cs="Arial" w:hint="cs"/>
          <w:rtl/>
        </w:rPr>
        <w:t>לשרות</w:t>
      </w:r>
      <w:r w:rsidRPr="00974030">
        <w:rPr>
          <w:rFonts w:asciiTheme="minorBidi" w:hAnsiTheme="minorBidi" w:cs="Arial"/>
          <w:rtl/>
        </w:rPr>
        <w:t xml:space="preserve"> </w:t>
      </w:r>
      <w:r w:rsidRPr="00974030">
        <w:rPr>
          <w:rFonts w:asciiTheme="minorBidi" w:hAnsiTheme="minorBidi" w:cs="Arial" w:hint="cs"/>
          <w:rtl/>
        </w:rPr>
        <w:t>בה</w:t>
      </w:r>
      <w:r w:rsidRPr="00974030">
        <w:rPr>
          <w:rFonts w:asciiTheme="minorBidi" w:hAnsiTheme="minorBidi" w:cs="Arial"/>
          <w:rtl/>
        </w:rPr>
        <w:t xml:space="preserve"> </w:t>
      </w:r>
      <w:r w:rsidRPr="00974030">
        <w:rPr>
          <w:rFonts w:asciiTheme="minorBidi" w:hAnsiTheme="minorBidi" w:cs="Arial" w:hint="cs"/>
          <w:rtl/>
        </w:rPr>
        <w:t>פשתן</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ויש</w:t>
      </w:r>
      <w:r w:rsidRPr="00974030">
        <w:rPr>
          <w:rFonts w:asciiTheme="minorBidi" w:hAnsiTheme="minorBidi" w:cs="Arial"/>
          <w:rtl/>
        </w:rPr>
        <w:t xml:space="preserve"> </w:t>
      </w:r>
      <w:r w:rsidRPr="00974030">
        <w:rPr>
          <w:rFonts w:asciiTheme="minorBidi" w:hAnsiTheme="minorBidi" w:cs="Arial" w:hint="cs"/>
          <w:rtl/>
        </w:rPr>
        <w:t>אומרים</w:t>
      </w:r>
      <w:r w:rsidRPr="00974030">
        <w:rPr>
          <w:rFonts w:asciiTheme="minorBidi" w:hAnsiTheme="minorBidi" w:cs="Arial"/>
          <w:rtl/>
        </w:rPr>
        <w:t xml:space="preserve"> </w:t>
      </w:r>
      <w:r w:rsidRPr="00974030">
        <w:rPr>
          <w:rFonts w:asciiTheme="minorBidi" w:hAnsiTheme="minorBidi" w:cs="Arial" w:hint="cs"/>
          <w:rtl/>
        </w:rPr>
        <w:t>שלא</w:t>
      </w:r>
      <w:r w:rsidRPr="00974030">
        <w:rPr>
          <w:rFonts w:asciiTheme="minorBidi" w:hAnsiTheme="minorBidi" w:cs="Arial"/>
          <w:rtl/>
        </w:rPr>
        <w:t xml:space="preserve"> </w:t>
      </w:r>
      <w:r w:rsidRPr="00974030">
        <w:rPr>
          <w:rFonts w:asciiTheme="minorBidi" w:hAnsiTheme="minorBidi" w:cs="Arial" w:hint="cs"/>
          <w:rtl/>
        </w:rPr>
        <w:t>אסרו</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בגלגל</w:t>
      </w:r>
      <w:r w:rsidRPr="00974030">
        <w:rPr>
          <w:rFonts w:asciiTheme="minorBidi" w:hAnsiTheme="minorBidi" w:cs="Arial"/>
          <w:rtl/>
        </w:rPr>
        <w:t xml:space="preserve"> </w:t>
      </w:r>
      <w:r w:rsidRPr="00974030">
        <w:rPr>
          <w:rFonts w:asciiTheme="minorBidi" w:hAnsiTheme="minorBidi" w:cs="Arial" w:hint="cs"/>
          <w:rtl/>
        </w:rPr>
        <w:t>גדול</w:t>
      </w:r>
      <w:r w:rsidRPr="00974030">
        <w:rPr>
          <w:rFonts w:asciiTheme="minorBidi" w:hAnsiTheme="minorBidi" w:cs="Arial"/>
          <w:rtl/>
        </w:rPr>
        <w:t xml:space="preserve"> </w:t>
      </w:r>
      <w:r w:rsidRPr="00974030">
        <w:rPr>
          <w:rFonts w:asciiTheme="minorBidi" w:hAnsiTheme="minorBidi" w:cs="Arial" w:hint="cs"/>
          <w:rtl/>
        </w:rPr>
        <w:t>שמוציא</w:t>
      </w:r>
      <w:r w:rsidRPr="00974030">
        <w:rPr>
          <w:rFonts w:asciiTheme="minorBidi" w:hAnsiTheme="minorBidi" w:cs="Arial"/>
          <w:rtl/>
        </w:rPr>
        <w:t xml:space="preserve"> </w:t>
      </w:r>
      <w:r w:rsidRPr="00974030">
        <w:rPr>
          <w:rFonts w:asciiTheme="minorBidi" w:hAnsiTheme="minorBidi" w:cs="Arial" w:hint="cs"/>
          <w:rtl/>
        </w:rPr>
        <w:t>מים</w:t>
      </w:r>
      <w:r w:rsidRPr="00974030">
        <w:rPr>
          <w:rFonts w:asciiTheme="minorBidi" w:hAnsiTheme="minorBidi" w:cs="Arial"/>
          <w:rtl/>
        </w:rPr>
        <w:t xml:space="preserve"> </w:t>
      </w:r>
      <w:r w:rsidRPr="00974030">
        <w:rPr>
          <w:rFonts w:asciiTheme="minorBidi" w:hAnsiTheme="minorBidi" w:cs="Arial" w:hint="cs"/>
          <w:rtl/>
        </w:rPr>
        <w:t>הרבה</w:t>
      </w:r>
      <w:r w:rsidRPr="00974030">
        <w:rPr>
          <w:rFonts w:asciiTheme="minorBidi" w:hAnsiTheme="minorBidi" w:cs="Arial"/>
          <w:rtl/>
        </w:rPr>
        <w:t xml:space="preserve"> </w:t>
      </w:r>
      <w:r w:rsidRPr="00974030">
        <w:rPr>
          <w:rFonts w:asciiTheme="minorBidi" w:hAnsiTheme="minorBidi" w:cs="Arial" w:hint="cs"/>
          <w:rtl/>
        </w:rPr>
        <w:t>ביחד</w:t>
      </w:r>
      <w:r w:rsidRPr="00974030">
        <w:rPr>
          <w:rFonts w:asciiTheme="minorBidi" w:hAnsiTheme="minorBidi" w:cs="Arial"/>
          <w:rtl/>
        </w:rPr>
        <w:t xml:space="preserve"> </w:t>
      </w:r>
      <w:r w:rsidRPr="00974030">
        <w:rPr>
          <w:rFonts w:asciiTheme="minorBidi" w:hAnsiTheme="minorBidi" w:cs="Arial" w:hint="cs"/>
          <w:rtl/>
        </w:rPr>
        <w:t>בלא</w:t>
      </w:r>
      <w:r w:rsidRPr="00974030">
        <w:rPr>
          <w:rFonts w:asciiTheme="minorBidi" w:hAnsiTheme="minorBidi" w:cs="Arial"/>
          <w:rtl/>
        </w:rPr>
        <w:t xml:space="preserve"> </w:t>
      </w:r>
      <w:r w:rsidRPr="00974030">
        <w:rPr>
          <w:rFonts w:asciiTheme="minorBidi" w:hAnsiTheme="minorBidi" w:cs="Arial" w:hint="cs"/>
          <w:rtl/>
        </w:rPr>
        <w:t>טורח</w:t>
      </w:r>
      <w:r w:rsidRPr="00974030">
        <w:rPr>
          <w:rFonts w:asciiTheme="minorBidi" w:hAnsiTheme="minorBidi" w:cs="Arial"/>
          <w:rtl/>
        </w:rPr>
        <w:t xml:space="preserve">, </w:t>
      </w:r>
      <w:r w:rsidRPr="00974030">
        <w:rPr>
          <w:rFonts w:asciiTheme="minorBidi" w:hAnsiTheme="minorBidi" w:cs="Arial" w:hint="cs"/>
          <w:rtl/>
        </w:rPr>
        <w:t>והם</w:t>
      </w:r>
      <w:r w:rsidRPr="00974030">
        <w:rPr>
          <w:rFonts w:asciiTheme="minorBidi" w:hAnsiTheme="minorBidi" w:cs="Arial"/>
          <w:rtl/>
        </w:rPr>
        <w:t xml:space="preserve"> </w:t>
      </w:r>
      <w:r w:rsidRPr="00974030">
        <w:rPr>
          <w:rFonts w:asciiTheme="minorBidi" w:hAnsiTheme="minorBidi" w:cs="Arial" w:hint="cs"/>
          <w:rtl/>
        </w:rPr>
        <w:t>גלגלים</w:t>
      </w:r>
      <w:r w:rsidRPr="00974030">
        <w:rPr>
          <w:rFonts w:asciiTheme="minorBidi" w:hAnsiTheme="minorBidi" w:cs="Arial"/>
          <w:rtl/>
        </w:rPr>
        <w:t xml:space="preserve"> </w:t>
      </w:r>
      <w:r w:rsidRPr="00974030">
        <w:rPr>
          <w:rFonts w:asciiTheme="minorBidi" w:hAnsiTheme="minorBidi" w:cs="Arial" w:hint="cs"/>
          <w:rtl/>
        </w:rPr>
        <w:t>הקבועים</w:t>
      </w:r>
      <w:r w:rsidRPr="00974030">
        <w:rPr>
          <w:rFonts w:asciiTheme="minorBidi" w:hAnsiTheme="minorBidi" w:cs="Arial"/>
          <w:rtl/>
        </w:rPr>
        <w:t xml:space="preserve"> </w:t>
      </w:r>
      <w:r w:rsidRPr="00974030">
        <w:rPr>
          <w:rFonts w:asciiTheme="minorBidi" w:hAnsiTheme="minorBidi" w:cs="Arial" w:hint="cs"/>
          <w:rtl/>
        </w:rPr>
        <w:t>בהם</w:t>
      </w:r>
      <w:r w:rsidRPr="00974030">
        <w:rPr>
          <w:rFonts w:asciiTheme="minorBidi" w:hAnsiTheme="minorBidi" w:cs="Arial"/>
          <w:rtl/>
        </w:rPr>
        <w:t xml:space="preserve"> </w:t>
      </w:r>
      <w:r w:rsidRPr="00974030">
        <w:rPr>
          <w:rFonts w:asciiTheme="minorBidi" w:hAnsiTheme="minorBidi" w:cs="Arial" w:hint="cs"/>
          <w:rtl/>
        </w:rPr>
        <w:t>דליים</w:t>
      </w:r>
      <w:r w:rsidRPr="00974030">
        <w:rPr>
          <w:rFonts w:asciiTheme="minorBidi" w:hAnsiTheme="minorBidi" w:cs="Arial"/>
          <w:rtl/>
        </w:rPr>
        <w:t xml:space="preserve"> </w:t>
      </w:r>
      <w:r w:rsidRPr="00974030">
        <w:rPr>
          <w:rFonts w:asciiTheme="minorBidi" w:hAnsiTheme="minorBidi" w:cs="Arial" w:hint="cs"/>
          <w:rtl/>
        </w:rPr>
        <w:t>הרבה</w:t>
      </w:r>
      <w:r w:rsidRPr="00974030">
        <w:rPr>
          <w:rFonts w:asciiTheme="minorBidi" w:hAnsiTheme="minorBidi" w:cs="Arial"/>
          <w:rtl/>
        </w:rPr>
        <w:t xml:space="preserve"> </w:t>
      </w:r>
      <w:r w:rsidRPr="00974030">
        <w:rPr>
          <w:rFonts w:asciiTheme="minorBidi" w:hAnsiTheme="minorBidi" w:cs="Arial" w:hint="cs"/>
          <w:rtl/>
        </w:rPr>
        <w:t>סביב</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גלגלים</w:t>
      </w:r>
      <w:r w:rsidRPr="00974030">
        <w:rPr>
          <w:rFonts w:asciiTheme="minorBidi" w:hAnsiTheme="minorBidi" w:cs="Arial"/>
          <w:rtl/>
        </w:rPr>
        <w:t xml:space="preserve"> </w:t>
      </w:r>
      <w:r w:rsidRPr="00974030">
        <w:rPr>
          <w:rFonts w:asciiTheme="minorBidi" w:hAnsiTheme="minorBidi" w:cs="Arial" w:hint="cs"/>
          <w:rtl/>
        </w:rPr>
        <w:t>שלנו</w:t>
      </w:r>
      <w:r w:rsidRPr="00974030">
        <w:rPr>
          <w:rFonts w:asciiTheme="minorBidi" w:hAnsiTheme="minorBidi" w:cs="Arial"/>
          <w:rtl/>
        </w:rPr>
        <w:t xml:space="preserve"> </w:t>
      </w:r>
      <w:r w:rsidRPr="00974030">
        <w:rPr>
          <w:rFonts w:asciiTheme="minorBidi" w:hAnsiTheme="minorBidi" w:cs="Arial" w:hint="cs"/>
          <w:rtl/>
        </w:rPr>
        <w:t>שאין</w:t>
      </w:r>
      <w:r w:rsidRPr="00974030">
        <w:rPr>
          <w:rFonts w:asciiTheme="minorBidi" w:hAnsiTheme="minorBidi" w:cs="Arial"/>
          <w:rtl/>
        </w:rPr>
        <w:t xml:space="preserve"> </w:t>
      </w:r>
      <w:r w:rsidRPr="00974030">
        <w:rPr>
          <w:rFonts w:asciiTheme="minorBidi" w:hAnsiTheme="minorBidi" w:cs="Arial" w:hint="cs"/>
          <w:rtl/>
        </w:rPr>
        <w:t>ממלאים</w:t>
      </w:r>
      <w:r w:rsidRPr="00974030">
        <w:rPr>
          <w:rFonts w:asciiTheme="minorBidi" w:hAnsiTheme="minorBidi" w:cs="Arial"/>
          <w:rtl/>
        </w:rPr>
        <w:t xml:space="preserve"> </w:t>
      </w:r>
      <w:r w:rsidRPr="00974030">
        <w:rPr>
          <w:rFonts w:asciiTheme="minorBidi" w:hAnsiTheme="minorBidi" w:cs="Arial" w:hint="cs"/>
          <w:rtl/>
        </w:rPr>
        <w:t>בהם</w:t>
      </w:r>
      <w:r w:rsidRPr="00974030">
        <w:rPr>
          <w:rFonts w:asciiTheme="minorBidi" w:hAnsiTheme="minorBidi" w:cs="Arial"/>
          <w:rtl/>
        </w:rPr>
        <w:t xml:space="preserve"> </w:t>
      </w:r>
      <w:r w:rsidRPr="00974030">
        <w:rPr>
          <w:rFonts w:asciiTheme="minorBidi" w:hAnsiTheme="minorBidi" w:cs="Arial" w:hint="cs"/>
          <w:rtl/>
        </w:rPr>
        <w:t>אלא</w:t>
      </w:r>
      <w:r w:rsidRPr="00974030">
        <w:rPr>
          <w:rFonts w:asciiTheme="minorBidi" w:hAnsiTheme="minorBidi" w:cs="Arial"/>
          <w:rtl/>
        </w:rPr>
        <w:t xml:space="preserve"> </w:t>
      </w:r>
      <w:r w:rsidRPr="00974030">
        <w:rPr>
          <w:rFonts w:asciiTheme="minorBidi" w:hAnsiTheme="minorBidi" w:cs="Arial" w:hint="cs"/>
          <w:rtl/>
        </w:rPr>
        <w:t>מעט</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דליכא</w:t>
      </w:r>
      <w:r w:rsidRPr="00974030">
        <w:rPr>
          <w:rFonts w:asciiTheme="minorBidi" w:hAnsiTheme="minorBidi" w:cs="Arial"/>
          <w:rtl/>
        </w:rPr>
        <w:t xml:space="preserve"> </w:t>
      </w:r>
      <w:r w:rsidRPr="00974030">
        <w:rPr>
          <w:rFonts w:asciiTheme="minorBidi" w:hAnsiTheme="minorBidi" w:cs="Arial" w:hint="cs"/>
          <w:rtl/>
        </w:rPr>
        <w:t>למיחש</w:t>
      </w:r>
      <w:r w:rsidRPr="00974030">
        <w:rPr>
          <w:rFonts w:asciiTheme="minorBidi" w:hAnsiTheme="minorBidi" w:cs="Arial"/>
          <w:rtl/>
        </w:rPr>
        <w:t xml:space="preserve"> </w:t>
      </w:r>
      <w:r w:rsidRPr="00974030">
        <w:rPr>
          <w:rFonts w:asciiTheme="minorBidi" w:hAnsiTheme="minorBidi" w:cs="Arial" w:hint="cs"/>
          <w:rtl/>
        </w:rPr>
        <w:t>למידי</w:t>
      </w:r>
      <w:r w:rsidRPr="00974030">
        <w:rPr>
          <w:rFonts w:asciiTheme="minorBidi" w:hAnsiTheme="minorBidi" w:cs="Arial"/>
          <w:rtl/>
        </w:rPr>
        <w:t xml:space="preserve">. </w:t>
      </w:r>
    </w:p>
    <w:p w14:paraId="3691B4A0"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ז</w:t>
      </w:r>
    </w:p>
    <w:p w14:paraId="0ECB345F" w14:textId="77777777" w:rsidR="006A4BF8" w:rsidRPr="00974030" w:rsidRDefault="006A4BF8" w:rsidP="00434A6A">
      <w:pPr>
        <w:tabs>
          <w:tab w:val="left" w:pos="2788"/>
        </w:tabs>
        <w:rPr>
          <w:rFonts w:asciiTheme="minorBidi" w:hAnsiTheme="minorBidi"/>
          <w:rtl/>
        </w:rPr>
      </w:pPr>
      <w:r w:rsidRPr="00974030">
        <w:rPr>
          <w:rFonts w:asciiTheme="minorBidi" w:hAnsiTheme="minorBidi" w:cs="Arial" w:hint="cs"/>
          <w:rtl/>
        </w:rPr>
        <w:t>מי</w:t>
      </w:r>
      <w:r w:rsidRPr="00974030">
        <w:rPr>
          <w:rFonts w:asciiTheme="minorBidi" w:hAnsiTheme="minorBidi" w:cs="Arial"/>
          <w:rtl/>
        </w:rPr>
        <w:t xml:space="preserve"> </w:t>
      </w:r>
      <w:r w:rsidRPr="00974030">
        <w:rPr>
          <w:rFonts w:asciiTheme="minorBidi" w:hAnsiTheme="minorBidi" w:cs="Arial" w:hint="cs"/>
          <w:rtl/>
        </w:rPr>
        <w:t>שיש</w:t>
      </w:r>
      <w:r w:rsidRPr="00974030">
        <w:rPr>
          <w:rFonts w:asciiTheme="minorBidi" w:hAnsiTheme="minorBidi" w:cs="Arial"/>
          <w:rtl/>
        </w:rPr>
        <w:t xml:space="preserve"> </w:t>
      </w:r>
      <w:r w:rsidRPr="00974030">
        <w:rPr>
          <w:rFonts w:asciiTheme="minorBidi" w:hAnsiTheme="minorBidi" w:cs="Arial" w:hint="cs"/>
          <w:rtl/>
        </w:rPr>
        <w:t>לו</w:t>
      </w:r>
      <w:r w:rsidRPr="00974030">
        <w:rPr>
          <w:rFonts w:asciiTheme="minorBidi" w:hAnsiTheme="minorBidi" w:cs="Arial"/>
          <w:rtl/>
        </w:rPr>
        <w:t xml:space="preserve"> </w:t>
      </w:r>
      <w:r w:rsidRPr="00974030">
        <w:rPr>
          <w:rFonts w:asciiTheme="minorBidi" w:hAnsiTheme="minorBidi" w:cs="Arial" w:hint="cs"/>
          <w:rtl/>
        </w:rPr>
        <w:t>פירות</w:t>
      </w:r>
      <w:r w:rsidRPr="00974030">
        <w:rPr>
          <w:rFonts w:asciiTheme="minorBidi" w:hAnsiTheme="minorBidi" w:cs="Arial"/>
          <w:rtl/>
        </w:rPr>
        <w:t xml:space="preserve"> </w:t>
      </w:r>
      <w:r w:rsidRPr="00974030">
        <w:rPr>
          <w:rFonts w:asciiTheme="minorBidi" w:hAnsiTheme="minorBidi" w:cs="Arial" w:hint="cs"/>
          <w:rtl/>
        </w:rPr>
        <w:t>בראש</w:t>
      </w:r>
      <w:r w:rsidRPr="00974030">
        <w:rPr>
          <w:rFonts w:asciiTheme="minorBidi" w:hAnsiTheme="minorBidi" w:cs="Arial"/>
          <w:rtl/>
        </w:rPr>
        <w:t xml:space="preserve"> </w:t>
      </w:r>
      <w:r w:rsidRPr="00974030">
        <w:rPr>
          <w:rFonts w:asciiTheme="minorBidi" w:hAnsiTheme="minorBidi" w:cs="Arial" w:hint="cs"/>
          <w:rtl/>
        </w:rPr>
        <w:t>הגג</w:t>
      </w:r>
      <w:r w:rsidRPr="00974030">
        <w:rPr>
          <w:rFonts w:asciiTheme="minorBidi" w:hAnsiTheme="minorBidi" w:cs="Arial"/>
          <w:rtl/>
        </w:rPr>
        <w:t xml:space="preserve"> </w:t>
      </w:r>
      <w:r w:rsidRPr="00974030">
        <w:rPr>
          <w:rFonts w:asciiTheme="minorBidi" w:hAnsiTheme="minorBidi" w:cs="Arial" w:hint="cs"/>
          <w:rtl/>
        </w:rPr>
        <w:t>ורואה</w:t>
      </w:r>
      <w:r w:rsidRPr="00974030">
        <w:rPr>
          <w:rFonts w:asciiTheme="minorBidi" w:hAnsiTheme="minorBidi" w:cs="Arial"/>
          <w:rtl/>
        </w:rPr>
        <w:t xml:space="preserve"> </w:t>
      </w:r>
      <w:r w:rsidRPr="00974030">
        <w:rPr>
          <w:rFonts w:asciiTheme="minorBidi" w:hAnsiTheme="minorBidi" w:cs="Arial" w:hint="cs"/>
          <w:rtl/>
        </w:rPr>
        <w:t>מטר</w:t>
      </w:r>
      <w:r w:rsidRPr="00974030">
        <w:rPr>
          <w:rFonts w:asciiTheme="minorBidi" w:hAnsiTheme="minorBidi" w:cs="Arial"/>
          <w:rtl/>
        </w:rPr>
        <w:t xml:space="preserve"> </w:t>
      </w:r>
      <w:r w:rsidRPr="00974030">
        <w:rPr>
          <w:rFonts w:asciiTheme="minorBidi" w:hAnsiTheme="minorBidi" w:cs="Arial" w:hint="cs"/>
          <w:rtl/>
        </w:rPr>
        <w:t>שבא</w:t>
      </w:r>
      <w:r w:rsidRPr="00974030">
        <w:rPr>
          <w:rFonts w:asciiTheme="minorBidi" w:hAnsiTheme="minorBidi" w:cs="Arial"/>
          <w:rtl/>
        </w:rPr>
        <w:t xml:space="preserve">, </w:t>
      </w: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לשלשלם</w:t>
      </w:r>
      <w:r w:rsidRPr="00974030">
        <w:rPr>
          <w:rFonts w:asciiTheme="minorBidi" w:hAnsiTheme="minorBidi" w:cs="Arial"/>
          <w:rtl/>
        </w:rPr>
        <w:t xml:space="preserve"> </w:t>
      </w:r>
      <w:r w:rsidRPr="00974030">
        <w:rPr>
          <w:rFonts w:asciiTheme="minorBidi" w:hAnsiTheme="minorBidi" w:cs="Arial" w:hint="cs"/>
          <w:rtl/>
        </w:rPr>
        <w:t>בשבת</w:t>
      </w:r>
      <w:r w:rsidRPr="00974030">
        <w:rPr>
          <w:rFonts w:asciiTheme="minorBidi" w:hAnsiTheme="minorBidi" w:cs="Arial"/>
          <w:rtl/>
        </w:rPr>
        <w:t xml:space="preserve"> </w:t>
      </w:r>
      <w:r w:rsidRPr="00974030">
        <w:rPr>
          <w:rFonts w:asciiTheme="minorBidi" w:hAnsiTheme="minorBidi" w:cs="Arial" w:hint="cs"/>
          <w:rtl/>
        </w:rPr>
        <w:t>דרך</w:t>
      </w:r>
      <w:r w:rsidRPr="00974030">
        <w:rPr>
          <w:rFonts w:asciiTheme="minorBidi" w:hAnsiTheme="minorBidi" w:cs="Arial"/>
          <w:rtl/>
        </w:rPr>
        <w:t xml:space="preserve"> </w:t>
      </w:r>
      <w:r w:rsidRPr="00974030">
        <w:rPr>
          <w:rFonts w:asciiTheme="minorBidi" w:hAnsiTheme="minorBidi" w:cs="Arial" w:hint="cs"/>
          <w:rtl/>
        </w:rPr>
        <w:t>ארובה</w:t>
      </w:r>
      <w:r w:rsidRPr="00974030">
        <w:rPr>
          <w:rFonts w:asciiTheme="minorBidi" w:hAnsiTheme="minorBidi" w:cs="Arial"/>
          <w:rtl/>
        </w:rPr>
        <w:t xml:space="preserve"> </w:t>
      </w:r>
      <w:r w:rsidRPr="00974030">
        <w:rPr>
          <w:rFonts w:asciiTheme="minorBidi" w:hAnsiTheme="minorBidi" w:cs="Arial" w:hint="cs"/>
          <w:rtl/>
        </w:rPr>
        <w:t>שבגג</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לכסותן</w:t>
      </w:r>
      <w:r w:rsidRPr="00974030">
        <w:rPr>
          <w:rFonts w:asciiTheme="minorBidi" w:hAnsiTheme="minorBidi" w:cs="Arial"/>
          <w:rtl/>
        </w:rPr>
        <w:t xml:space="preserve">. </w:t>
      </w:r>
      <w:r w:rsidRPr="00974030">
        <w:rPr>
          <w:rFonts w:asciiTheme="minorBidi" w:hAnsiTheme="minorBidi" w:cs="Arial" w:hint="cs"/>
          <w:rtl/>
        </w:rPr>
        <w:t>ואפי</w:t>
      </w:r>
      <w:r w:rsidRPr="00974030">
        <w:rPr>
          <w:rFonts w:asciiTheme="minorBidi" w:hAnsiTheme="minorBidi" w:cs="Arial"/>
          <w:rtl/>
        </w:rPr>
        <w:t xml:space="preserve">' </w:t>
      </w:r>
      <w:r w:rsidRPr="00974030">
        <w:rPr>
          <w:rFonts w:asciiTheme="minorBidi" w:hAnsiTheme="minorBidi" w:cs="Arial" w:hint="cs"/>
          <w:rtl/>
        </w:rPr>
        <w:t>לבנים</w:t>
      </w:r>
      <w:r w:rsidRPr="00974030">
        <w:rPr>
          <w:rFonts w:asciiTheme="minorBidi" w:hAnsiTheme="minorBidi" w:cs="Arial"/>
          <w:rtl/>
        </w:rPr>
        <w:t xml:space="preserve">, </w:t>
      </w:r>
      <w:r w:rsidRPr="00974030">
        <w:rPr>
          <w:rFonts w:asciiTheme="minorBidi" w:hAnsiTheme="minorBidi" w:cs="Arial" w:hint="cs"/>
          <w:rtl/>
        </w:rPr>
        <w:t>שהם</w:t>
      </w:r>
      <w:r w:rsidRPr="00974030">
        <w:rPr>
          <w:rFonts w:asciiTheme="minorBidi" w:hAnsiTheme="minorBidi" w:cs="Arial"/>
          <w:rtl/>
        </w:rPr>
        <w:t xml:space="preserve"> </w:t>
      </w:r>
      <w:r w:rsidRPr="00974030">
        <w:rPr>
          <w:rFonts w:asciiTheme="minorBidi" w:hAnsiTheme="minorBidi" w:cs="Arial" w:hint="cs"/>
          <w:rtl/>
        </w:rPr>
        <w:t>מוקצים</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לכסותן</w:t>
      </w:r>
      <w:r w:rsidRPr="00974030">
        <w:rPr>
          <w:rFonts w:asciiTheme="minorBidi" w:hAnsiTheme="minorBidi" w:cs="Arial"/>
          <w:rtl/>
        </w:rPr>
        <w:t xml:space="preserve"> </w:t>
      </w:r>
      <w:r w:rsidRPr="00974030">
        <w:rPr>
          <w:rFonts w:asciiTheme="minorBidi" w:hAnsiTheme="minorBidi" w:cs="Arial" w:hint="cs"/>
          <w:rtl/>
        </w:rPr>
        <w:t>מפני</w:t>
      </w:r>
      <w:r w:rsidRPr="00974030">
        <w:rPr>
          <w:rFonts w:asciiTheme="minorBidi" w:hAnsiTheme="minorBidi" w:cs="Arial"/>
          <w:rtl/>
        </w:rPr>
        <w:t xml:space="preserve"> </w:t>
      </w:r>
      <w:r w:rsidRPr="00974030">
        <w:rPr>
          <w:rFonts w:asciiTheme="minorBidi" w:hAnsiTheme="minorBidi" w:cs="Arial" w:hint="cs"/>
          <w:rtl/>
        </w:rPr>
        <w:t>הדלף</w:t>
      </w:r>
      <w:r w:rsidRPr="00974030">
        <w:rPr>
          <w:rFonts w:asciiTheme="minorBidi" w:hAnsiTheme="minorBidi" w:cs="Arial"/>
          <w:rtl/>
        </w:rPr>
        <w:t xml:space="preserve">. </w:t>
      </w:r>
    </w:p>
    <w:p w14:paraId="24A4D69D" w14:textId="77777777" w:rsidR="006A4BF8" w:rsidRPr="00974030" w:rsidRDefault="006A4BF8" w:rsidP="00434A6A">
      <w:pPr>
        <w:pStyle w:val="2"/>
        <w:rPr>
          <w:rtl/>
        </w:rPr>
      </w:pPr>
      <w:r w:rsidRPr="00974030">
        <w:rPr>
          <w:rFonts w:hint="cs"/>
          <w:rtl/>
        </w:rPr>
        <w:t>סעיף</w:t>
      </w:r>
      <w:r w:rsidRPr="00974030">
        <w:rPr>
          <w:rtl/>
        </w:rPr>
        <w:t xml:space="preserve"> </w:t>
      </w:r>
      <w:r w:rsidRPr="00974030">
        <w:rPr>
          <w:rFonts w:hint="cs"/>
          <w:rtl/>
        </w:rPr>
        <w:t>ח</w:t>
      </w:r>
    </w:p>
    <w:p w14:paraId="62C9FE0E" w14:textId="77777777" w:rsidR="006A4BF8" w:rsidRPr="005275DF" w:rsidRDefault="006A4BF8" w:rsidP="00434A6A">
      <w:pPr>
        <w:tabs>
          <w:tab w:val="left" w:pos="2788"/>
        </w:tabs>
        <w:rPr>
          <w:rFonts w:asciiTheme="minorBidi" w:hAnsiTheme="minorBidi"/>
          <w:rtl/>
        </w:rPr>
      </w:pP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ליתן</w:t>
      </w:r>
      <w:r w:rsidRPr="00974030">
        <w:rPr>
          <w:rFonts w:asciiTheme="minorBidi" w:hAnsiTheme="minorBidi" w:cs="Arial"/>
          <w:rtl/>
        </w:rPr>
        <w:t xml:space="preserve"> </w:t>
      </w:r>
      <w:r w:rsidRPr="00974030">
        <w:rPr>
          <w:rFonts w:asciiTheme="minorBidi" w:hAnsiTheme="minorBidi" w:cs="Arial" w:hint="cs"/>
          <w:rtl/>
        </w:rPr>
        <w:t>כלי</w:t>
      </w:r>
      <w:r w:rsidRPr="00974030">
        <w:rPr>
          <w:rFonts w:asciiTheme="minorBidi" w:hAnsiTheme="minorBidi" w:cs="Arial"/>
          <w:rtl/>
        </w:rPr>
        <w:t xml:space="preserve"> </w:t>
      </w:r>
      <w:r w:rsidRPr="00974030">
        <w:rPr>
          <w:rFonts w:asciiTheme="minorBidi" w:hAnsiTheme="minorBidi" w:cs="Arial" w:hint="cs"/>
          <w:rtl/>
        </w:rPr>
        <w:t>תחת</w:t>
      </w:r>
      <w:r w:rsidRPr="00974030">
        <w:rPr>
          <w:rFonts w:asciiTheme="minorBidi" w:hAnsiTheme="minorBidi" w:cs="Arial"/>
          <w:rtl/>
        </w:rPr>
        <w:t xml:space="preserve"> </w:t>
      </w:r>
      <w:r w:rsidRPr="00974030">
        <w:rPr>
          <w:rFonts w:asciiTheme="minorBidi" w:hAnsiTheme="minorBidi" w:cs="Arial" w:hint="cs"/>
          <w:rtl/>
        </w:rPr>
        <w:t>הדלף</w:t>
      </w:r>
      <w:r w:rsidRPr="00974030">
        <w:rPr>
          <w:rFonts w:asciiTheme="minorBidi" w:hAnsiTheme="minorBidi" w:cs="Arial"/>
          <w:rtl/>
        </w:rPr>
        <w:t xml:space="preserve"> </w:t>
      </w:r>
      <w:r w:rsidRPr="00974030">
        <w:rPr>
          <w:rFonts w:asciiTheme="minorBidi" w:hAnsiTheme="minorBidi" w:cs="Arial" w:hint="cs"/>
          <w:rtl/>
        </w:rPr>
        <w:t>בשבת</w:t>
      </w:r>
      <w:r w:rsidRPr="00974030">
        <w:rPr>
          <w:rFonts w:asciiTheme="minorBidi" w:hAnsiTheme="minorBidi" w:cs="Arial"/>
          <w:rtl/>
        </w:rPr>
        <w:t xml:space="preserve">, </w:t>
      </w:r>
      <w:r w:rsidRPr="00974030">
        <w:rPr>
          <w:rFonts w:asciiTheme="minorBidi" w:hAnsiTheme="minorBidi" w:cs="Arial" w:hint="cs"/>
          <w:rtl/>
        </w:rPr>
        <w:t>ואם</w:t>
      </w:r>
      <w:r w:rsidRPr="00974030">
        <w:rPr>
          <w:rFonts w:asciiTheme="minorBidi" w:hAnsiTheme="minorBidi" w:cs="Arial"/>
          <w:rtl/>
        </w:rPr>
        <w:t xml:space="preserve"> </w:t>
      </w:r>
      <w:r w:rsidRPr="00974030">
        <w:rPr>
          <w:rFonts w:asciiTheme="minorBidi" w:hAnsiTheme="minorBidi" w:cs="Arial" w:hint="cs"/>
          <w:rtl/>
        </w:rPr>
        <w:t>נתמלא</w:t>
      </w:r>
      <w:r w:rsidRPr="00974030">
        <w:rPr>
          <w:rFonts w:asciiTheme="minorBidi" w:hAnsiTheme="minorBidi" w:cs="Arial"/>
          <w:rtl/>
        </w:rPr>
        <w:t xml:space="preserve"> </w:t>
      </w:r>
      <w:r w:rsidRPr="00974030">
        <w:rPr>
          <w:rFonts w:asciiTheme="minorBidi" w:hAnsiTheme="minorBidi" w:cs="Arial" w:hint="cs"/>
          <w:rtl/>
        </w:rPr>
        <w:t>שופכו</w:t>
      </w:r>
      <w:r w:rsidRPr="00974030">
        <w:rPr>
          <w:rFonts w:asciiTheme="minorBidi" w:hAnsiTheme="minorBidi" w:cs="Arial"/>
          <w:rtl/>
        </w:rPr>
        <w:t xml:space="preserve"> </w:t>
      </w:r>
      <w:r w:rsidRPr="00974030">
        <w:rPr>
          <w:rFonts w:asciiTheme="minorBidi" w:hAnsiTheme="minorBidi" w:cs="Arial" w:hint="cs"/>
          <w:rtl/>
        </w:rPr>
        <w:t>ומחזירו</w:t>
      </w:r>
      <w:r w:rsidRPr="00974030">
        <w:rPr>
          <w:rFonts w:asciiTheme="minorBidi" w:hAnsiTheme="minorBidi" w:cs="Arial"/>
          <w:rtl/>
        </w:rPr>
        <w:t xml:space="preserve"> </w:t>
      </w:r>
      <w:r w:rsidRPr="00974030">
        <w:rPr>
          <w:rFonts w:asciiTheme="minorBidi" w:hAnsiTheme="minorBidi" w:cs="Arial" w:hint="cs"/>
          <w:rtl/>
        </w:rPr>
        <w:t>למקומו</w:t>
      </w:r>
      <w:r w:rsidRPr="00974030">
        <w:rPr>
          <w:rFonts w:asciiTheme="minorBidi" w:hAnsiTheme="minorBidi" w:cs="Arial"/>
          <w:rtl/>
        </w:rPr>
        <w:t xml:space="preserve">; </w:t>
      </w:r>
      <w:r w:rsidRPr="00974030">
        <w:rPr>
          <w:rFonts w:asciiTheme="minorBidi" w:hAnsiTheme="minorBidi" w:cs="Arial" w:hint="cs"/>
          <w:rtl/>
        </w:rPr>
        <w:t>והוא</w:t>
      </w:r>
      <w:r w:rsidRPr="00974030">
        <w:rPr>
          <w:rFonts w:asciiTheme="minorBidi" w:hAnsiTheme="minorBidi" w:cs="Arial"/>
          <w:rtl/>
        </w:rPr>
        <w:t xml:space="preserve"> </w:t>
      </w:r>
      <w:r w:rsidRPr="00974030">
        <w:rPr>
          <w:rFonts w:asciiTheme="minorBidi" w:hAnsiTheme="minorBidi" w:cs="Arial" w:hint="cs"/>
          <w:rtl/>
        </w:rPr>
        <w:t>שיהא</w:t>
      </w:r>
      <w:r w:rsidRPr="00974030">
        <w:rPr>
          <w:rFonts w:asciiTheme="minorBidi" w:hAnsiTheme="minorBidi" w:cs="Arial"/>
          <w:rtl/>
        </w:rPr>
        <w:t xml:space="preserve"> </w:t>
      </w:r>
      <w:r w:rsidRPr="00974030">
        <w:rPr>
          <w:rFonts w:asciiTheme="minorBidi" w:hAnsiTheme="minorBidi" w:cs="Arial" w:hint="cs"/>
          <w:rtl/>
        </w:rPr>
        <w:t>הדלף</w:t>
      </w:r>
      <w:r w:rsidRPr="00974030">
        <w:rPr>
          <w:rFonts w:asciiTheme="minorBidi" w:hAnsiTheme="minorBidi" w:cs="Arial"/>
          <w:rtl/>
        </w:rPr>
        <w:t xml:space="preserve"> </w:t>
      </w:r>
      <w:r w:rsidRPr="00974030">
        <w:rPr>
          <w:rFonts w:asciiTheme="minorBidi" w:hAnsiTheme="minorBidi" w:cs="Arial" w:hint="cs"/>
          <w:rtl/>
        </w:rPr>
        <w:t>ראוי</w:t>
      </w:r>
      <w:r w:rsidRPr="00974030">
        <w:rPr>
          <w:rFonts w:asciiTheme="minorBidi" w:hAnsiTheme="minorBidi" w:cs="Arial"/>
          <w:rtl/>
        </w:rPr>
        <w:t xml:space="preserve"> </w:t>
      </w:r>
      <w:r w:rsidRPr="00974030">
        <w:rPr>
          <w:rFonts w:asciiTheme="minorBidi" w:hAnsiTheme="minorBidi" w:cs="Arial" w:hint="cs"/>
          <w:rtl/>
        </w:rPr>
        <w:t>לרחיצה</w:t>
      </w:r>
      <w:r w:rsidRPr="00974030">
        <w:rPr>
          <w:rFonts w:asciiTheme="minorBidi" w:hAnsiTheme="minorBidi" w:cs="Arial"/>
          <w:rtl/>
        </w:rPr>
        <w:t xml:space="preserve">, </w:t>
      </w:r>
      <w:r w:rsidRPr="00974030">
        <w:rPr>
          <w:rFonts w:asciiTheme="minorBidi" w:hAnsiTheme="minorBidi" w:cs="Arial" w:hint="cs"/>
          <w:rtl/>
        </w:rPr>
        <w:t>אבל</w:t>
      </w:r>
      <w:r w:rsidRPr="00974030">
        <w:rPr>
          <w:rFonts w:asciiTheme="minorBidi" w:hAnsiTheme="minorBidi" w:cs="Arial"/>
          <w:rtl/>
        </w:rPr>
        <w:t xml:space="preserve"> </w:t>
      </w:r>
      <w:r w:rsidRPr="00974030">
        <w:rPr>
          <w:rFonts w:asciiTheme="minorBidi" w:hAnsiTheme="minorBidi" w:cs="Arial" w:hint="cs"/>
          <w:rtl/>
        </w:rPr>
        <w:t>אם</w:t>
      </w:r>
      <w:r w:rsidRPr="00974030">
        <w:rPr>
          <w:rFonts w:asciiTheme="minorBidi" w:hAnsiTheme="minorBidi" w:cs="Arial"/>
          <w:rtl/>
        </w:rPr>
        <w:t xml:space="preserve"> </w:t>
      </w:r>
      <w:r w:rsidRPr="00974030">
        <w:rPr>
          <w:rFonts w:asciiTheme="minorBidi" w:hAnsiTheme="minorBidi" w:cs="Arial" w:hint="cs"/>
          <w:rtl/>
        </w:rPr>
        <w:t>אינו</w:t>
      </w:r>
      <w:r w:rsidRPr="00974030">
        <w:rPr>
          <w:rFonts w:asciiTheme="minorBidi" w:hAnsiTheme="minorBidi" w:cs="Arial"/>
          <w:rtl/>
        </w:rPr>
        <w:t xml:space="preserve"> </w:t>
      </w:r>
      <w:r w:rsidRPr="00974030">
        <w:rPr>
          <w:rFonts w:asciiTheme="minorBidi" w:hAnsiTheme="minorBidi" w:cs="Arial" w:hint="cs"/>
          <w:rtl/>
        </w:rPr>
        <w:t>ראוי</w:t>
      </w:r>
      <w:r w:rsidRPr="00974030">
        <w:rPr>
          <w:rFonts w:asciiTheme="minorBidi" w:hAnsiTheme="minorBidi" w:cs="Arial"/>
          <w:rtl/>
        </w:rPr>
        <w:t xml:space="preserve">, </w:t>
      </w:r>
      <w:r w:rsidRPr="00974030">
        <w:rPr>
          <w:rFonts w:asciiTheme="minorBidi" w:hAnsiTheme="minorBidi" w:cs="Arial" w:hint="cs"/>
          <w:rtl/>
        </w:rPr>
        <w:t>אסור</w:t>
      </w:r>
      <w:r w:rsidRPr="00974030">
        <w:rPr>
          <w:rFonts w:asciiTheme="minorBidi" w:hAnsiTheme="minorBidi" w:cs="Arial"/>
          <w:rtl/>
        </w:rPr>
        <w:t xml:space="preserve">, </w:t>
      </w:r>
      <w:r w:rsidRPr="00974030">
        <w:rPr>
          <w:rFonts w:asciiTheme="minorBidi" w:hAnsiTheme="minorBidi" w:cs="Arial" w:hint="cs"/>
          <w:rtl/>
        </w:rPr>
        <w:t>משום</w:t>
      </w:r>
      <w:r w:rsidRPr="00974030">
        <w:rPr>
          <w:rFonts w:asciiTheme="minorBidi" w:hAnsiTheme="minorBidi" w:cs="Arial"/>
          <w:rtl/>
        </w:rPr>
        <w:t xml:space="preserve"> </w:t>
      </w:r>
      <w:r w:rsidRPr="00974030">
        <w:rPr>
          <w:rFonts w:asciiTheme="minorBidi" w:hAnsiTheme="minorBidi" w:cs="Arial" w:hint="cs"/>
          <w:rtl/>
        </w:rPr>
        <w:t>שאין</w:t>
      </w:r>
      <w:r w:rsidRPr="00974030">
        <w:rPr>
          <w:rFonts w:asciiTheme="minorBidi" w:hAnsiTheme="minorBidi" w:cs="Arial"/>
          <w:rtl/>
        </w:rPr>
        <w:t xml:space="preserve"> </w:t>
      </w:r>
      <w:r w:rsidRPr="00974030">
        <w:rPr>
          <w:rFonts w:asciiTheme="minorBidi" w:hAnsiTheme="minorBidi" w:cs="Arial" w:hint="cs"/>
          <w:rtl/>
        </w:rPr>
        <w:t>עושין</w:t>
      </w:r>
      <w:r w:rsidRPr="00974030">
        <w:rPr>
          <w:rFonts w:asciiTheme="minorBidi" w:hAnsiTheme="minorBidi" w:cs="Arial"/>
          <w:rtl/>
        </w:rPr>
        <w:t xml:space="preserve"> </w:t>
      </w:r>
      <w:r w:rsidRPr="00974030">
        <w:rPr>
          <w:rFonts w:asciiTheme="minorBidi" w:hAnsiTheme="minorBidi" w:cs="Arial" w:hint="cs"/>
          <w:rtl/>
        </w:rPr>
        <w:t>גרף</w:t>
      </w:r>
      <w:r w:rsidRPr="00974030">
        <w:rPr>
          <w:rFonts w:asciiTheme="minorBidi" w:hAnsiTheme="minorBidi" w:cs="Arial"/>
          <w:rtl/>
        </w:rPr>
        <w:t xml:space="preserve"> </w:t>
      </w:r>
      <w:r w:rsidRPr="00974030">
        <w:rPr>
          <w:rFonts w:asciiTheme="minorBidi" w:hAnsiTheme="minorBidi" w:cs="Arial" w:hint="cs"/>
          <w:rtl/>
        </w:rPr>
        <w:t>של</w:t>
      </w:r>
      <w:r w:rsidRPr="00974030">
        <w:rPr>
          <w:rFonts w:asciiTheme="minorBidi" w:hAnsiTheme="minorBidi" w:cs="Arial"/>
          <w:rtl/>
        </w:rPr>
        <w:t xml:space="preserve"> </w:t>
      </w:r>
      <w:r w:rsidRPr="00974030">
        <w:rPr>
          <w:rFonts w:asciiTheme="minorBidi" w:hAnsiTheme="minorBidi" w:cs="Arial" w:hint="cs"/>
          <w:rtl/>
        </w:rPr>
        <w:t>רעי</w:t>
      </w:r>
      <w:r w:rsidRPr="00974030">
        <w:rPr>
          <w:rFonts w:asciiTheme="minorBidi" w:hAnsiTheme="minorBidi" w:cs="Arial"/>
          <w:rtl/>
        </w:rPr>
        <w:t xml:space="preserve"> </w:t>
      </w:r>
      <w:r w:rsidRPr="00974030">
        <w:rPr>
          <w:rFonts w:asciiTheme="minorBidi" w:hAnsiTheme="minorBidi" w:cs="Arial" w:hint="cs"/>
          <w:rtl/>
        </w:rPr>
        <w:t>לכתחלה</w:t>
      </w:r>
      <w:r w:rsidRPr="00974030">
        <w:rPr>
          <w:rFonts w:asciiTheme="minorBidi" w:hAnsiTheme="minorBidi" w:cs="Arial"/>
          <w:rtl/>
        </w:rPr>
        <w:t xml:space="preserve">. </w:t>
      </w:r>
      <w:r w:rsidRPr="00974030">
        <w:rPr>
          <w:rFonts w:asciiTheme="minorBidi" w:hAnsiTheme="minorBidi" w:cs="Arial" w:hint="cs"/>
          <w:rtl/>
        </w:rPr>
        <w:t>ואם</w:t>
      </w:r>
      <w:r w:rsidRPr="00974030">
        <w:rPr>
          <w:rFonts w:asciiTheme="minorBidi" w:hAnsiTheme="minorBidi" w:cs="Arial"/>
          <w:rtl/>
        </w:rPr>
        <w:t xml:space="preserve"> </w:t>
      </w:r>
      <w:r w:rsidRPr="00974030">
        <w:rPr>
          <w:rFonts w:asciiTheme="minorBidi" w:hAnsiTheme="minorBidi" w:cs="Arial" w:hint="cs"/>
          <w:rtl/>
        </w:rPr>
        <w:t>נתן</w:t>
      </w:r>
      <w:r w:rsidRPr="00974030">
        <w:rPr>
          <w:rFonts w:asciiTheme="minorBidi" w:hAnsiTheme="minorBidi" w:cs="Arial"/>
          <w:rtl/>
        </w:rPr>
        <w:t xml:space="preserve"> </w:t>
      </w:r>
      <w:r w:rsidRPr="00974030">
        <w:rPr>
          <w:rFonts w:asciiTheme="minorBidi" w:hAnsiTheme="minorBidi" w:cs="Arial" w:hint="cs"/>
          <w:rtl/>
        </w:rPr>
        <w:t>כלי</w:t>
      </w:r>
      <w:r w:rsidRPr="00974030">
        <w:rPr>
          <w:rFonts w:asciiTheme="minorBidi" w:hAnsiTheme="minorBidi" w:cs="Arial"/>
          <w:rtl/>
        </w:rPr>
        <w:t xml:space="preserve"> </w:t>
      </w:r>
      <w:r w:rsidRPr="00974030">
        <w:rPr>
          <w:rFonts w:asciiTheme="minorBidi" w:hAnsiTheme="minorBidi" w:cs="Arial" w:hint="cs"/>
          <w:rtl/>
        </w:rPr>
        <w:t>תחת</w:t>
      </w:r>
      <w:r w:rsidRPr="00974030">
        <w:rPr>
          <w:rFonts w:asciiTheme="minorBidi" w:hAnsiTheme="minorBidi" w:cs="Arial"/>
          <w:rtl/>
        </w:rPr>
        <w:t xml:space="preserve"> </w:t>
      </w:r>
      <w:r w:rsidRPr="00974030">
        <w:rPr>
          <w:rFonts w:asciiTheme="minorBidi" w:hAnsiTheme="minorBidi" w:cs="Arial" w:hint="cs"/>
          <w:rtl/>
        </w:rPr>
        <w:t>דלף</w:t>
      </w:r>
      <w:r w:rsidRPr="00974030">
        <w:rPr>
          <w:rFonts w:asciiTheme="minorBidi" w:hAnsiTheme="minorBidi" w:cs="Arial"/>
          <w:rtl/>
        </w:rPr>
        <w:t xml:space="preserve"> </w:t>
      </w:r>
      <w:r w:rsidRPr="00974030">
        <w:rPr>
          <w:rFonts w:asciiTheme="minorBidi" w:hAnsiTheme="minorBidi" w:cs="Arial" w:hint="cs"/>
          <w:rtl/>
        </w:rPr>
        <w:t>שאינו</w:t>
      </w:r>
      <w:r w:rsidRPr="00974030">
        <w:rPr>
          <w:rFonts w:asciiTheme="minorBidi" w:hAnsiTheme="minorBidi" w:cs="Arial"/>
          <w:rtl/>
        </w:rPr>
        <w:t xml:space="preserve"> </w:t>
      </w:r>
      <w:r w:rsidRPr="00974030">
        <w:rPr>
          <w:rFonts w:asciiTheme="minorBidi" w:hAnsiTheme="minorBidi" w:cs="Arial" w:hint="cs"/>
          <w:rtl/>
        </w:rPr>
        <w:t>ראוי</w:t>
      </w:r>
      <w:r w:rsidRPr="00974030">
        <w:rPr>
          <w:rFonts w:asciiTheme="minorBidi" w:hAnsiTheme="minorBidi" w:cs="Arial"/>
          <w:rtl/>
        </w:rPr>
        <w:t xml:space="preserve"> </w:t>
      </w:r>
      <w:r w:rsidRPr="00974030">
        <w:rPr>
          <w:rFonts w:asciiTheme="minorBidi" w:hAnsiTheme="minorBidi" w:cs="Arial" w:hint="cs"/>
          <w:rtl/>
        </w:rPr>
        <w:t>לרחיצה</w:t>
      </w:r>
      <w:r w:rsidRPr="00974030">
        <w:rPr>
          <w:rFonts w:asciiTheme="minorBidi" w:hAnsiTheme="minorBidi" w:cs="Arial"/>
          <w:rtl/>
        </w:rPr>
        <w:t xml:space="preserve">, </w:t>
      </w:r>
      <w:r w:rsidRPr="00974030">
        <w:rPr>
          <w:rFonts w:asciiTheme="minorBidi" w:hAnsiTheme="minorBidi" w:cs="Arial" w:hint="cs"/>
          <w:rtl/>
        </w:rPr>
        <w:t>מותר</w:t>
      </w:r>
      <w:r w:rsidRPr="00974030">
        <w:rPr>
          <w:rFonts w:asciiTheme="minorBidi" w:hAnsiTheme="minorBidi" w:cs="Arial"/>
          <w:rtl/>
        </w:rPr>
        <w:t xml:space="preserve"> </w:t>
      </w:r>
      <w:r w:rsidRPr="00974030">
        <w:rPr>
          <w:rFonts w:asciiTheme="minorBidi" w:hAnsiTheme="minorBidi" w:cs="Arial" w:hint="cs"/>
          <w:rtl/>
        </w:rPr>
        <w:t>לטלטלו</w:t>
      </w:r>
      <w:r w:rsidRPr="00974030">
        <w:rPr>
          <w:rFonts w:asciiTheme="minorBidi" w:hAnsiTheme="minorBidi" w:cs="Arial"/>
          <w:rtl/>
        </w:rPr>
        <w:t xml:space="preserve"> </w:t>
      </w:r>
      <w:r w:rsidRPr="00974030">
        <w:rPr>
          <w:rFonts w:asciiTheme="minorBidi" w:hAnsiTheme="minorBidi" w:cs="Arial" w:hint="cs"/>
          <w:rtl/>
        </w:rPr>
        <w:t>במים</w:t>
      </w:r>
      <w:r w:rsidRPr="00974030">
        <w:rPr>
          <w:rFonts w:asciiTheme="minorBidi" w:hAnsiTheme="minorBidi" w:cs="Arial"/>
          <w:rtl/>
        </w:rPr>
        <w:t xml:space="preserve"> </w:t>
      </w:r>
      <w:r w:rsidRPr="00974030">
        <w:rPr>
          <w:rFonts w:asciiTheme="minorBidi" w:hAnsiTheme="minorBidi" w:cs="Arial" w:hint="cs"/>
          <w:rtl/>
        </w:rPr>
        <w:t>המאוסים</w:t>
      </w:r>
      <w:r w:rsidRPr="00974030">
        <w:rPr>
          <w:rFonts w:asciiTheme="minorBidi" w:hAnsiTheme="minorBidi" w:cs="Arial"/>
          <w:rtl/>
        </w:rPr>
        <w:t xml:space="preserve"> </w:t>
      </w:r>
      <w:r w:rsidRPr="00974030">
        <w:rPr>
          <w:rFonts w:asciiTheme="minorBidi" w:hAnsiTheme="minorBidi" w:cs="Arial" w:hint="cs"/>
          <w:rtl/>
        </w:rPr>
        <w:t>שבו</w:t>
      </w:r>
      <w:r w:rsidRPr="00974030">
        <w:rPr>
          <w:rFonts w:asciiTheme="minorBidi" w:hAnsiTheme="minorBidi" w:cs="Arial"/>
          <w:rtl/>
        </w:rPr>
        <w:t>.</w:t>
      </w:r>
    </w:p>
    <w:p w14:paraId="7A2441B0" w14:textId="77777777" w:rsidR="006A4BF8" w:rsidRPr="005275DF" w:rsidRDefault="006A4BF8" w:rsidP="00434A6A">
      <w:pPr>
        <w:tabs>
          <w:tab w:val="left" w:pos="2788"/>
        </w:tabs>
        <w:rPr>
          <w:rFonts w:asciiTheme="minorBidi" w:hAnsiTheme="minorBidi"/>
          <w:rtl/>
        </w:rPr>
      </w:pPr>
    </w:p>
    <w:p w14:paraId="5BF8FEA3" w14:textId="77777777" w:rsidR="006A4BF8" w:rsidRPr="005275DF" w:rsidRDefault="006A4BF8" w:rsidP="00434A6A">
      <w:pPr>
        <w:tabs>
          <w:tab w:val="left" w:pos="2788"/>
        </w:tabs>
        <w:rPr>
          <w:rFonts w:asciiTheme="minorBidi" w:hAnsiTheme="minorBidi"/>
          <w:rtl/>
        </w:rPr>
      </w:pPr>
    </w:p>
    <w:p w14:paraId="7A4D9D3C" w14:textId="77777777" w:rsidR="006A4BF8" w:rsidRPr="005275DF" w:rsidRDefault="006A4BF8" w:rsidP="00434A6A">
      <w:pPr>
        <w:tabs>
          <w:tab w:val="left" w:pos="2788"/>
        </w:tabs>
        <w:rPr>
          <w:rFonts w:asciiTheme="minorBidi" w:hAnsiTheme="minorBidi"/>
          <w:rtl/>
        </w:rPr>
      </w:pPr>
    </w:p>
    <w:p w14:paraId="0E9607D4" w14:textId="77777777" w:rsidR="006A4BF8" w:rsidRPr="005275DF" w:rsidRDefault="006A4BF8" w:rsidP="00434A6A">
      <w:pPr>
        <w:tabs>
          <w:tab w:val="left" w:pos="2788"/>
        </w:tabs>
        <w:rPr>
          <w:rFonts w:asciiTheme="minorBidi" w:hAnsiTheme="minorBidi"/>
          <w:rtl/>
        </w:rPr>
      </w:pPr>
    </w:p>
    <w:p w14:paraId="2CB6FB67" w14:textId="77777777" w:rsidR="006A4BF8" w:rsidRPr="005275DF" w:rsidRDefault="006A4BF8" w:rsidP="00434A6A">
      <w:pPr>
        <w:tabs>
          <w:tab w:val="left" w:pos="2788"/>
        </w:tabs>
        <w:rPr>
          <w:rFonts w:asciiTheme="minorBidi" w:hAnsiTheme="minorBidi"/>
          <w:rtl/>
        </w:rPr>
      </w:pPr>
    </w:p>
    <w:p w14:paraId="02D7586B" w14:textId="77777777" w:rsidR="006A4BF8" w:rsidRDefault="006A4BF8" w:rsidP="00434A6A">
      <w:pPr>
        <w:pStyle w:val="1"/>
        <w:rPr>
          <w:rFonts w:asciiTheme="minorBidi" w:hAnsiTheme="minorBidi"/>
          <w:rtl/>
        </w:rPr>
        <w:sectPr w:rsidR="006A4BF8" w:rsidSect="00BD29B1">
          <w:headerReference w:type="default" r:id="rId105"/>
          <w:footnotePr>
            <w:numRestart w:val="eachSect"/>
          </w:footnotePr>
          <w:pgSz w:w="11906" w:h="16838"/>
          <w:pgMar w:top="720" w:right="1134" w:bottom="720" w:left="1134" w:header="0" w:footer="0" w:gutter="0"/>
          <w:cols w:space="720"/>
          <w:bidi/>
          <w:rtlGutter/>
          <w:docGrid w:linePitch="360"/>
        </w:sectPr>
      </w:pPr>
    </w:p>
    <w:p w14:paraId="1A67A49D" w14:textId="77777777" w:rsidR="006A4BF8" w:rsidRPr="005275DF" w:rsidRDefault="006A4BF8" w:rsidP="00434A6A">
      <w:pPr>
        <w:pStyle w:val="1"/>
        <w:rPr>
          <w:rFonts w:asciiTheme="minorBidi" w:hAnsiTheme="minorBidi"/>
          <w:rtl/>
        </w:rPr>
      </w:pPr>
      <w:r w:rsidRPr="005275DF">
        <w:rPr>
          <w:rFonts w:asciiTheme="minorBidi" w:hAnsiTheme="minorBidi"/>
          <w:rtl/>
        </w:rPr>
        <w:t xml:space="preserve">סימן שלט: כמה דינים פרטיים הנוהגין בשבת, ובו ז' סעיפים. </w:t>
      </w:r>
    </w:p>
    <w:p w14:paraId="1522E72B"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א</w:t>
      </w:r>
    </w:p>
    <w:p w14:paraId="770B15B7"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אין רוכבין על גבי בהמה. (וע"ל סי' ש"ה סי"ח מדין הליכת קרון). </w:t>
      </w:r>
    </w:p>
    <w:p w14:paraId="7F4CF70D" w14:textId="77777777" w:rsidR="006A4BF8" w:rsidRPr="005275DF" w:rsidRDefault="006A4BF8" w:rsidP="00434A6A">
      <w:pPr>
        <w:pStyle w:val="2"/>
        <w:rPr>
          <w:rtl/>
        </w:rPr>
      </w:pPr>
      <w:r w:rsidRPr="005275DF">
        <w:rPr>
          <w:rtl/>
        </w:rPr>
        <w:t>סעיף ב</w:t>
      </w:r>
    </w:p>
    <w:p w14:paraId="46AEAB61"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אין שטין על פני המים, אפילו בבריכה שבחצר, מפני שכשהמים נעקרים ויוצאים חוץ לבריכה דמי לנהר.  ואם יש לה שפה סביב, מותר, דכיון דאפילו נעקרו המים השפה מחזרת אותם למקומם הוי ליה ככלי וליכא למגזר ביה שמא יעשה חבית של שייטין. </w:t>
      </w:r>
    </w:p>
    <w:p w14:paraId="35F1733E" w14:textId="77777777" w:rsidR="006A4BF8" w:rsidRPr="005275DF" w:rsidRDefault="006A4BF8" w:rsidP="00434A6A">
      <w:pPr>
        <w:pStyle w:val="2"/>
        <w:rPr>
          <w:rtl/>
        </w:rPr>
      </w:pPr>
      <w:r w:rsidRPr="005275DF">
        <w:rPr>
          <w:rtl/>
        </w:rPr>
        <w:t>סעיף ג</w:t>
      </w:r>
    </w:p>
    <w:p w14:paraId="0ADEE48C"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 אין מטפחין להכות כף אל כף, ולא מספקין להכות כף על ירך, ולא מרקדין, גזירה שמא יתקן כלי שיר. ואפי' להכות באצבע על הקרקע, או על הלוח, או אחת כנגד אחת כדרך המשוררים, או לקשקש באגוז לתינוק, או לשחק בו בזוג כדי שישתוק, כל זה וכיוצא בו אסור, גזירה שמא יתקן כלי שיר; ולספק כלאחר יד, מותר. הגה: והא דמספקין ומרקדין האידנא ולא מחינן בהו משום  דמוטב שיהיו שוגגין וכו'. וי"א דבזמן הזה הכל שרי, דאין אנו בקיאין בעשיית כלי שיר וליכא למגזר שמא יתקן כלי שיר דמלתא דלא שכיח הוא ואפשר שעל זה נהגו להקל בכל (תוספות ריש פרק המביא כדי יין). </w:t>
      </w:r>
    </w:p>
    <w:p w14:paraId="23F28C3A" w14:textId="77777777" w:rsidR="006A4BF8" w:rsidRPr="005275DF" w:rsidRDefault="006A4BF8" w:rsidP="00434A6A">
      <w:pPr>
        <w:pStyle w:val="2"/>
        <w:rPr>
          <w:rtl/>
        </w:rPr>
      </w:pPr>
      <w:r w:rsidRPr="005275DF">
        <w:rPr>
          <w:rtl/>
        </w:rPr>
        <w:t>סעיף ד</w:t>
      </w:r>
    </w:p>
    <w:p w14:paraId="2AFA5DD8"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 אין דנין. הגה: ולכן אסור לתפוס ולהכניס לבית הסוהר מי שנתחייב איזה עונש כדי שלא יברח, וכל שכן שאסור להלקותו דהוי בכלל דין;  ואם יברח, אין עלינו כלום (ב"י סוף סימן רס"ג בשם שבולי הלקט). ולא מקדשין. הגה: ויש מתירין לקדש היכא דאין לו אשה ובנים (ר"ת). ואפשר דה"ה הכניסה לחופה שרי (סמ"ג) ואף על גב דלא קי"ל הכי, מ"מ סומכין על זה בשעת הדחק, גם כי גדול כבוד הבריות; כמו שרגילין שלפעמים שלא היו יכולים להשוות עם הנדוניא ביום ו' עד הלילה, דעושין החופה והקידושין בליל שבת, הואיל וכבר הכינו לסעודה ולנשואין והוי ביוש לכלה ולחתן אם לא יכנוס אז; ומ"מ לכתחלה יש ליזהר שלא יבא לידי כך. (ועיין בטור אבן העזר סימן ס"ג /ס"ד/) ולא חולצין, ולא מיבמין, ואין כונסין, ולא מקדישים,  ולא מעריכין, ולא מחרימין, ולא מפרישין תרומות ומעשרות. אין פודין הבן, ואין מגרשין אלא אם כן הוא גט שכיב מרע (דתקיף ליה עלמא); וכולם, אם נעשו שוגגין, או מזידין, או מוטעין, מה שעשו עשוי. </w:t>
      </w:r>
    </w:p>
    <w:p w14:paraId="61EEF9F7" w14:textId="77777777" w:rsidR="006A4BF8" w:rsidRPr="005275DF" w:rsidRDefault="006A4BF8" w:rsidP="00434A6A">
      <w:pPr>
        <w:pStyle w:val="2"/>
        <w:rPr>
          <w:rtl/>
        </w:rPr>
      </w:pPr>
      <w:r w:rsidRPr="005275DF">
        <w:rPr>
          <w:rtl/>
        </w:rPr>
        <w:t>סעיף ה</w:t>
      </w:r>
    </w:p>
    <w:p w14:paraId="27F8520C"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 הכונס את האלמנה לא יבא עליה ביאה ראשונה, לא בשבת ולא בי"ט (וע"ל סי' ר"פ). </w:t>
      </w:r>
    </w:p>
    <w:p w14:paraId="7C705D9D" w14:textId="77777777" w:rsidR="006A4BF8" w:rsidRPr="005275DF" w:rsidRDefault="006A4BF8" w:rsidP="00434A6A">
      <w:pPr>
        <w:pStyle w:val="2"/>
        <w:rPr>
          <w:rtl/>
        </w:rPr>
      </w:pPr>
      <w:r w:rsidRPr="005275DF">
        <w:rPr>
          <w:rtl/>
        </w:rPr>
        <w:t>סעיף ו</w:t>
      </w:r>
    </w:p>
    <w:p w14:paraId="7DC44645"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 אסור לאדם להשיט במים דבר להוליכו מאצלו או להביאו אצלו; ולכן קסמים שעל פני המים אסור להפצילן לכאן ולכאן כדי לנקות המים שיהיו יפים. </w:t>
      </w:r>
    </w:p>
    <w:p w14:paraId="6DC8B72E" w14:textId="77777777" w:rsidR="006A4BF8" w:rsidRPr="005275DF" w:rsidRDefault="006A4BF8" w:rsidP="00434A6A">
      <w:pPr>
        <w:pStyle w:val="2"/>
        <w:rPr>
          <w:rtl/>
        </w:rPr>
      </w:pPr>
      <w:r w:rsidRPr="005275DF">
        <w:rPr>
          <w:rtl/>
        </w:rPr>
        <w:t>סעיף ז</w:t>
      </w:r>
    </w:p>
    <w:p w14:paraId="48285220"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 ספינה, אם היא יושבת בקרקע הים ואינה שטה כלל, מותר ליכנס בה; ואם היא קשורה כמנהג הספינות העומדות בנמל, אף על פי שהיא שטה על פני המים, מותר ליכנס בה.</w:t>
      </w:r>
    </w:p>
    <w:p w14:paraId="4DE37D8D" w14:textId="77777777" w:rsidR="006A4BF8" w:rsidRPr="005275DF" w:rsidRDefault="006A4BF8" w:rsidP="00434A6A">
      <w:pPr>
        <w:tabs>
          <w:tab w:val="left" w:pos="2788"/>
        </w:tabs>
        <w:rPr>
          <w:rFonts w:asciiTheme="minorBidi" w:hAnsiTheme="minorBidi"/>
          <w:rtl/>
        </w:rPr>
      </w:pPr>
    </w:p>
    <w:p w14:paraId="2B546197" w14:textId="77777777" w:rsidR="006A4BF8" w:rsidRPr="005275DF" w:rsidRDefault="006A4BF8" w:rsidP="00434A6A">
      <w:pPr>
        <w:tabs>
          <w:tab w:val="left" w:pos="2788"/>
        </w:tabs>
        <w:rPr>
          <w:rFonts w:asciiTheme="minorBidi" w:hAnsiTheme="minorBidi"/>
          <w:rtl/>
        </w:rPr>
      </w:pPr>
    </w:p>
    <w:p w14:paraId="5F30AFC0" w14:textId="77777777" w:rsidR="006A4BF8" w:rsidRPr="005275DF" w:rsidRDefault="006A4BF8" w:rsidP="00434A6A">
      <w:pPr>
        <w:tabs>
          <w:tab w:val="left" w:pos="2788"/>
        </w:tabs>
        <w:rPr>
          <w:rFonts w:asciiTheme="minorBidi" w:hAnsiTheme="minorBidi"/>
          <w:rtl/>
        </w:rPr>
      </w:pPr>
    </w:p>
    <w:p w14:paraId="69D3470B" w14:textId="77777777" w:rsidR="006A4BF8" w:rsidRPr="005275DF" w:rsidRDefault="006A4BF8" w:rsidP="00434A6A">
      <w:pPr>
        <w:tabs>
          <w:tab w:val="left" w:pos="2788"/>
        </w:tabs>
        <w:rPr>
          <w:rFonts w:asciiTheme="minorBidi" w:hAnsiTheme="minorBidi"/>
          <w:rtl/>
        </w:rPr>
      </w:pPr>
    </w:p>
    <w:p w14:paraId="69595938" w14:textId="77777777" w:rsidR="006A4BF8" w:rsidRDefault="006A4BF8" w:rsidP="00434A6A">
      <w:pPr>
        <w:pStyle w:val="1"/>
        <w:rPr>
          <w:rFonts w:asciiTheme="minorBidi" w:hAnsiTheme="minorBidi"/>
          <w:rtl/>
        </w:rPr>
        <w:sectPr w:rsidR="006A4BF8" w:rsidSect="00BD29B1">
          <w:headerReference w:type="default" r:id="rId106"/>
          <w:footnotePr>
            <w:numRestart w:val="eachSect"/>
          </w:footnotePr>
          <w:pgSz w:w="11906" w:h="16838"/>
          <w:pgMar w:top="720" w:right="1134" w:bottom="720" w:left="1134" w:header="0" w:footer="0" w:gutter="0"/>
          <w:cols w:space="720"/>
          <w:bidi/>
          <w:rtlGutter/>
          <w:docGrid w:linePitch="360"/>
        </w:sectPr>
      </w:pPr>
    </w:p>
    <w:p w14:paraId="23C0AC96" w14:textId="77777777" w:rsidR="006A4BF8" w:rsidRPr="005275DF" w:rsidRDefault="006A4BF8" w:rsidP="00434A6A">
      <w:pPr>
        <w:pStyle w:val="1"/>
        <w:rPr>
          <w:rFonts w:asciiTheme="minorBidi" w:hAnsiTheme="minorBidi"/>
          <w:rtl/>
        </w:rPr>
      </w:pPr>
      <w:r w:rsidRPr="005275DF">
        <w:rPr>
          <w:rFonts w:asciiTheme="minorBidi" w:hAnsiTheme="minorBidi"/>
          <w:rtl/>
        </w:rPr>
        <w:t>סימן שמ: כמה דינין מדברים האסורים בשבת כעין תולדות מאבות</w:t>
      </w:r>
      <w:r>
        <w:rPr>
          <w:rFonts w:asciiTheme="minorBidi" w:hAnsiTheme="minorBidi" w:hint="cs"/>
          <w:rtl/>
        </w:rPr>
        <w:t>, ובו יד' סעיפים</w:t>
      </w:r>
      <w:r w:rsidRPr="005275DF">
        <w:rPr>
          <w:rFonts w:asciiTheme="minorBidi" w:hAnsiTheme="minorBidi"/>
          <w:rtl/>
        </w:rPr>
        <w:t xml:space="preserve">. </w:t>
      </w:r>
    </w:p>
    <w:p w14:paraId="31A9B7E8"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א: נטילת שער או ציפורן.</w:t>
      </w:r>
    </w:p>
    <w:p w14:paraId="570108B6"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צד ע"ב: </w:t>
      </w:r>
      <w:r w:rsidRPr="005275DF">
        <w:rPr>
          <w:rFonts w:asciiTheme="minorBidi" w:hAnsiTheme="minorBidi"/>
          <w:u w:val="double"/>
          <w:rtl/>
        </w:rPr>
        <w:t>משנה:</w:t>
      </w:r>
      <w:r w:rsidRPr="005275DF">
        <w:rPr>
          <w:rFonts w:asciiTheme="minorBidi" w:hAnsiTheme="minorBidi"/>
          <w:rtl/>
        </w:rPr>
        <w:t xml:space="preserve"> הנוטל צפרניו זו בזו או בשיניו וכן שערו וכן שפמו וכן זקנו... </w:t>
      </w:r>
      <w:r w:rsidRPr="005275DF">
        <w:rPr>
          <w:rFonts w:asciiTheme="minorBidi" w:hAnsiTheme="minorBidi"/>
          <w:u w:val="single"/>
          <w:rtl/>
        </w:rPr>
        <w:t>רבי אליעזר</w:t>
      </w:r>
      <w:r w:rsidRPr="005275DF">
        <w:rPr>
          <w:rFonts w:asciiTheme="minorBidi" w:hAnsiTheme="minorBidi"/>
          <w:rtl/>
        </w:rPr>
        <w:t xml:space="preserve"> מחייב, </w:t>
      </w:r>
      <w:r w:rsidRPr="005275DF">
        <w:rPr>
          <w:rFonts w:asciiTheme="minorBidi" w:hAnsiTheme="minorBidi"/>
          <w:u w:val="single"/>
          <w:rtl/>
        </w:rPr>
        <w:t>וחכמים</w:t>
      </w:r>
      <w:r w:rsidRPr="005275DF">
        <w:rPr>
          <w:rFonts w:asciiTheme="minorBidi" w:hAnsiTheme="minorBidi"/>
          <w:rtl/>
        </w:rPr>
        <w:t xml:space="preserve"> אוסרין משום שבות</w:t>
      </w:r>
      <w:r w:rsidRPr="005275DF">
        <w:rPr>
          <w:rStyle w:val="a9"/>
          <w:rFonts w:asciiTheme="minorBidi" w:hAnsiTheme="minorBidi"/>
          <w:rtl/>
        </w:rPr>
        <w:footnoteReference w:id="3539"/>
      </w:r>
      <w:r w:rsidRPr="005275DF">
        <w:rPr>
          <w:rFonts w:asciiTheme="minorBidi" w:hAnsiTheme="minorBidi"/>
          <w:rtl/>
        </w:rPr>
        <w:t xml:space="preserve">.       </w:t>
      </w:r>
      <w:r w:rsidRPr="005275DF">
        <w:rPr>
          <w:rFonts w:asciiTheme="minorBidi" w:hAnsiTheme="minorBidi"/>
          <w:u w:val="double"/>
          <w:rtl/>
        </w:rPr>
        <w:t>גמ':</w:t>
      </w:r>
      <w:r w:rsidRPr="005275DF">
        <w:rPr>
          <w:rFonts w:asciiTheme="minorBidi" w:hAnsiTheme="minorBidi"/>
          <w:rtl/>
        </w:rPr>
        <w:t xml:space="preserve"> </w:t>
      </w:r>
      <w:r w:rsidRPr="005275DF">
        <w:rPr>
          <w:rFonts w:asciiTheme="minorBidi" w:hAnsiTheme="minorBidi"/>
          <w:u w:val="single"/>
          <w:rtl/>
        </w:rPr>
        <w:t>אמר רבי אלעזר</w:t>
      </w:r>
      <w:r w:rsidRPr="005275DF">
        <w:rPr>
          <w:rFonts w:asciiTheme="minorBidi" w:hAnsiTheme="minorBidi"/>
          <w:rtl/>
        </w:rPr>
        <w:t xml:space="preserve">: מחלוקת ביד אבל בכלי חייב... </w:t>
      </w:r>
      <w:r w:rsidRPr="005275DF">
        <w:rPr>
          <w:rFonts w:asciiTheme="minorBidi" w:hAnsiTheme="minorBidi"/>
          <w:u w:val="single"/>
          <w:rtl/>
        </w:rPr>
        <w:t>ואמר רבי אלעזר</w:t>
      </w:r>
      <w:r w:rsidRPr="005275DF">
        <w:rPr>
          <w:rFonts w:asciiTheme="minorBidi" w:hAnsiTheme="minorBidi"/>
          <w:rtl/>
        </w:rPr>
        <w:t xml:space="preserve">: מחלוקת לעצמו אבל לחבירו דברי הכל פטור.... הנוטל מלא פי הזוג בשבת חייב, וכמה מלא פי הזוג - שתים, </w:t>
      </w:r>
      <w:r w:rsidRPr="005275DF">
        <w:rPr>
          <w:rFonts w:asciiTheme="minorBidi" w:hAnsiTheme="minorBidi"/>
          <w:u w:val="single"/>
          <w:rtl/>
        </w:rPr>
        <w:t>רבי אליעזר אומר</w:t>
      </w:r>
      <w:r w:rsidRPr="005275DF">
        <w:rPr>
          <w:rFonts w:asciiTheme="minorBidi" w:hAnsiTheme="minorBidi"/>
          <w:rtl/>
        </w:rPr>
        <w:t>: אחת. ומודים חכמים לרבי אליעזר במלקט לבנות מתוך שחורות שאפילו אחת חייב</w:t>
      </w:r>
      <w:r w:rsidRPr="005275DF">
        <w:rPr>
          <w:rStyle w:val="a9"/>
          <w:rFonts w:asciiTheme="minorBidi" w:hAnsiTheme="minorBidi"/>
          <w:rtl/>
        </w:rPr>
        <w:footnoteReference w:id="3540"/>
      </w:r>
      <w:r w:rsidRPr="005275DF">
        <w:rPr>
          <w:rFonts w:asciiTheme="minorBidi" w:hAnsiTheme="minorBidi"/>
          <w:rtl/>
        </w:rPr>
        <w:t>, ודבר זה אף בחול אסור משום שנאמר לא ילבש גבר שמלת אשה.</w:t>
      </w:r>
    </w:p>
    <w:p w14:paraId="5DB80841"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8219328"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אסור ליטול שערו או צפרניו בין ביד בין בכלי בין לעצמו בין לאחרים וחייב על שתי</w:t>
      </w:r>
      <w:r w:rsidRPr="005275DF">
        <w:rPr>
          <w:rStyle w:val="a9"/>
          <w:rFonts w:asciiTheme="minorBidi" w:hAnsiTheme="minorBidi"/>
          <w:rtl/>
        </w:rPr>
        <w:footnoteReference w:id="3541"/>
      </w:r>
      <w:r w:rsidRPr="005275DF">
        <w:rPr>
          <w:rFonts w:asciiTheme="minorBidi" w:hAnsiTheme="minorBidi"/>
          <w:rtl/>
        </w:rPr>
        <w:t xml:space="preserve"> שערות, ומלקט לבנות מתוך שחורות אפילו באחת חייב, ודבר זה אפילו בחול אסור משום לא ילבש גבר שמלת אשה </w:t>
      </w:r>
      <w:r w:rsidRPr="005275DF">
        <w:rPr>
          <w:rFonts w:asciiTheme="minorBidi" w:hAnsiTheme="minorBidi"/>
          <w:sz w:val="16"/>
          <w:szCs w:val="16"/>
          <w:rtl/>
        </w:rPr>
        <w:t>(דברים כב, ה)</w:t>
      </w:r>
      <w:r w:rsidRPr="005275DF">
        <w:rPr>
          <w:rFonts w:asciiTheme="minorBidi" w:hAnsiTheme="minorBidi"/>
          <w:sz w:val="18"/>
          <w:szCs w:val="18"/>
          <w:rtl/>
        </w:rPr>
        <w:t xml:space="preserve"> הגה: ועיין לעיל סוף סימן ש"ג דין סריקה וחפיפה. </w:t>
      </w:r>
    </w:p>
    <w:p w14:paraId="3B1754CD" w14:textId="77777777" w:rsidR="006A4BF8" w:rsidRPr="005275DF" w:rsidRDefault="006A4BF8" w:rsidP="00434A6A">
      <w:pPr>
        <w:tabs>
          <w:tab w:val="left" w:pos="2788"/>
        </w:tabs>
        <w:rPr>
          <w:rFonts w:asciiTheme="minorBidi" w:hAnsiTheme="minorBidi"/>
          <w:rtl/>
        </w:rPr>
      </w:pPr>
    </w:p>
    <w:p w14:paraId="091D0C46"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ב: חתיכת יבלת.</w:t>
      </w:r>
    </w:p>
    <w:p w14:paraId="3EDCFAB7"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E8B1759" w14:textId="77777777" w:rsidR="006A4BF8" w:rsidRPr="005275DF" w:rsidRDefault="006A4BF8" w:rsidP="00434A6A">
      <w:pPr>
        <w:tabs>
          <w:tab w:val="left" w:pos="2788"/>
        </w:tabs>
        <w:rPr>
          <w:rFonts w:asciiTheme="minorBidi" w:hAnsiTheme="minorBidi"/>
          <w:sz w:val="16"/>
          <w:szCs w:val="16"/>
          <w:rtl/>
        </w:rPr>
      </w:pPr>
      <w:r w:rsidRPr="005275DF">
        <w:rPr>
          <w:rFonts w:asciiTheme="minorBidi" w:hAnsiTheme="minorBidi"/>
          <w:rtl/>
        </w:rPr>
        <w:t xml:space="preserve">אסור לחתוך יבלת מגופו בין ביד בין בכלי בין לו בין לאחר. </w:t>
      </w:r>
    </w:p>
    <w:p w14:paraId="4799CEAE" w14:textId="77777777" w:rsidR="006A4BF8" w:rsidRPr="005275DF" w:rsidRDefault="006A4BF8" w:rsidP="00434A6A">
      <w:pPr>
        <w:rPr>
          <w:rFonts w:asciiTheme="minorBidi" w:hAnsiTheme="minorBidi"/>
          <w:u w:val="single"/>
          <w:rtl/>
        </w:rPr>
      </w:pPr>
      <w:r w:rsidRPr="005275DF">
        <w:rPr>
          <w:rFonts w:asciiTheme="minorBidi" w:hAnsiTheme="minorBidi"/>
          <w:u w:val="single"/>
          <w:rtl/>
        </w:rPr>
        <w:t xml:space="preserve">הגוזז צמר או שיער בין מן החי בין מן המת בין בהמה בין חיה חייב – מהו שיעור החיוב: </w:t>
      </w:r>
    </w:p>
    <w:p w14:paraId="729AB290" w14:textId="77777777" w:rsidR="006A4BF8" w:rsidRPr="005275DF" w:rsidRDefault="006A4BF8" w:rsidP="00FF2D21">
      <w:pPr>
        <w:pStyle w:val="aa"/>
        <w:numPr>
          <w:ilvl w:val="0"/>
          <w:numId w:val="39"/>
        </w:numPr>
        <w:spacing w:after="0"/>
        <w:rPr>
          <w:rFonts w:asciiTheme="minorBidi" w:hAnsiTheme="minorBidi"/>
          <w:rtl/>
        </w:rPr>
      </w:pPr>
      <w:r w:rsidRPr="005275DF">
        <w:rPr>
          <w:rFonts w:asciiTheme="minorBidi" w:hAnsiTheme="minorBidi"/>
          <w:rtl/>
        </w:rPr>
        <w:t>רמב"ם- כשגזז ויש אפשרות לטוות ממנו חוט שאורכו ארבעה טפחים.</w:t>
      </w:r>
    </w:p>
    <w:p w14:paraId="33C137D9" w14:textId="77777777" w:rsidR="006A4BF8" w:rsidRPr="005275DF" w:rsidRDefault="006A4BF8" w:rsidP="00FF2D21">
      <w:pPr>
        <w:pStyle w:val="aa"/>
        <w:numPr>
          <w:ilvl w:val="0"/>
          <w:numId w:val="39"/>
        </w:numPr>
        <w:spacing w:after="0"/>
        <w:rPr>
          <w:rFonts w:asciiTheme="minorBidi" w:hAnsiTheme="minorBidi"/>
          <w:rtl/>
        </w:rPr>
      </w:pPr>
      <w:r w:rsidRPr="005275DF">
        <w:rPr>
          <w:rFonts w:asciiTheme="minorBidi" w:hAnsiTheme="minorBidi"/>
          <w:rtl/>
        </w:rPr>
        <w:t>רש"י- כשגזז ויש אפשרות לטוות ממנו חוט שאורכו שני טפחים.</w:t>
      </w:r>
    </w:p>
    <w:p w14:paraId="16884B4A" w14:textId="77777777" w:rsidR="006A4BF8" w:rsidRPr="005275DF" w:rsidRDefault="006A4BF8" w:rsidP="00434A6A">
      <w:pPr>
        <w:spacing w:after="0" w:line="240" w:lineRule="auto"/>
        <w:rPr>
          <w:rFonts w:asciiTheme="minorBidi" w:hAnsiTheme="minorBidi"/>
          <w:rtl/>
        </w:rPr>
      </w:pPr>
    </w:p>
    <w:p w14:paraId="05BD05FE" w14:textId="77777777" w:rsidR="006A4BF8" w:rsidRPr="005275DF" w:rsidRDefault="006A4BF8" w:rsidP="00434A6A">
      <w:pPr>
        <w:rPr>
          <w:rFonts w:asciiTheme="minorBidi" w:hAnsiTheme="minorBidi"/>
          <w:rtl/>
        </w:rPr>
      </w:pPr>
      <w:r w:rsidRPr="005275DF">
        <w:rPr>
          <w:rFonts w:asciiTheme="minorBidi" w:hAnsiTheme="minorBidi"/>
          <w:b/>
          <w:bCs/>
          <w:rtl/>
        </w:rPr>
        <w:t xml:space="preserve">ירושלמי </w:t>
      </w:r>
      <w:r w:rsidRPr="005275DF">
        <w:rPr>
          <w:rFonts w:asciiTheme="minorBidi" w:hAnsiTheme="minorBidi"/>
          <w:b/>
          <w:bCs/>
          <w:sz w:val="16"/>
          <w:szCs w:val="16"/>
          <w:rtl/>
        </w:rPr>
        <w:t xml:space="preserve">(וילנא) </w:t>
      </w:r>
      <w:r w:rsidRPr="005275DF">
        <w:rPr>
          <w:rFonts w:asciiTheme="minorBidi" w:hAnsiTheme="minorBidi"/>
          <w:b/>
          <w:bCs/>
          <w:rtl/>
        </w:rPr>
        <w:t xml:space="preserve">שבת פ"ז ה"ב: </w:t>
      </w:r>
      <w:r w:rsidRPr="005275DF">
        <w:rPr>
          <w:rFonts w:asciiTheme="minorBidi" w:hAnsiTheme="minorBidi"/>
          <w:rtl/>
        </w:rPr>
        <w:t xml:space="preserve">תני תלש מן המיתה חייב תלישתה זו היא גיזתה. </w:t>
      </w:r>
    </w:p>
    <w:p w14:paraId="3F9B85EA" w14:textId="77777777" w:rsidR="006A4BF8" w:rsidRPr="005275DF" w:rsidRDefault="006A4BF8" w:rsidP="00434A6A">
      <w:pPr>
        <w:rPr>
          <w:rFonts w:asciiTheme="minorBidi" w:hAnsiTheme="minorBidi"/>
          <w:u w:val="single"/>
          <w:rtl/>
        </w:rPr>
      </w:pPr>
      <w:r w:rsidRPr="005275DF">
        <w:rPr>
          <w:rFonts w:asciiTheme="minorBidi" w:hAnsiTheme="minorBidi"/>
          <w:u w:val="single"/>
          <w:rtl/>
        </w:rPr>
        <w:t>מה הדין התולש מן המת</w:t>
      </w:r>
      <w:r w:rsidRPr="005275DF">
        <w:rPr>
          <w:rStyle w:val="a9"/>
          <w:rFonts w:asciiTheme="minorBidi" w:hAnsiTheme="minorBidi"/>
          <w:u w:val="single"/>
          <w:rtl/>
        </w:rPr>
        <w:footnoteReference w:id="3542"/>
      </w:r>
      <w:r w:rsidRPr="005275DF">
        <w:rPr>
          <w:rFonts w:asciiTheme="minorBidi" w:hAnsiTheme="minorBidi"/>
          <w:u w:val="single"/>
          <w:rtl/>
        </w:rPr>
        <w:t>:</w:t>
      </w:r>
    </w:p>
    <w:p w14:paraId="4C6D3507" w14:textId="77777777" w:rsidR="006A4BF8" w:rsidRPr="005275DF" w:rsidRDefault="006A4BF8" w:rsidP="00FF2D21">
      <w:pPr>
        <w:pStyle w:val="aa"/>
        <w:numPr>
          <w:ilvl w:val="0"/>
          <w:numId w:val="40"/>
        </w:numPr>
        <w:rPr>
          <w:rFonts w:asciiTheme="minorBidi" w:hAnsiTheme="minorBidi"/>
        </w:rPr>
      </w:pPr>
      <w:r w:rsidRPr="005275DF">
        <w:rPr>
          <w:rFonts w:asciiTheme="minorBidi" w:hAnsiTheme="minorBidi"/>
          <w:rtl/>
        </w:rPr>
        <w:t>מג"א ויד אהרון- פטור.</w:t>
      </w:r>
    </w:p>
    <w:p w14:paraId="14983147" w14:textId="77777777" w:rsidR="006A4BF8" w:rsidRPr="005275DF" w:rsidRDefault="006A4BF8" w:rsidP="00FF2D21">
      <w:pPr>
        <w:pStyle w:val="aa"/>
        <w:numPr>
          <w:ilvl w:val="0"/>
          <w:numId w:val="40"/>
        </w:numPr>
        <w:rPr>
          <w:rFonts w:asciiTheme="minorBidi" w:hAnsiTheme="minorBidi"/>
          <w:rtl/>
        </w:rPr>
      </w:pPr>
      <w:r w:rsidRPr="005275DF">
        <w:rPr>
          <w:rFonts w:asciiTheme="minorBidi" w:hAnsiTheme="minorBidi"/>
          <w:rtl/>
        </w:rPr>
        <w:t>ט"ז ומ"ב- חייב.</w:t>
      </w:r>
    </w:p>
    <w:p w14:paraId="2DA71B34" w14:textId="77777777" w:rsidR="006A4BF8" w:rsidRPr="005275DF" w:rsidRDefault="006A4BF8" w:rsidP="00434A6A">
      <w:pPr>
        <w:tabs>
          <w:tab w:val="left" w:pos="2788"/>
        </w:tabs>
        <w:rPr>
          <w:rFonts w:asciiTheme="minorBidi" w:hAnsiTheme="minorBidi"/>
          <w:rtl/>
        </w:rPr>
      </w:pPr>
    </w:p>
    <w:p w14:paraId="7ECB6C62"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ג: מחיקת דיו, ואכילת עוגה שיש ע"ג כתב.</w:t>
      </w:r>
    </w:p>
    <w:p w14:paraId="5D09EB47"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עה ע"ב: </w:t>
      </w:r>
      <w:r w:rsidRPr="005275DF">
        <w:rPr>
          <w:rFonts w:asciiTheme="minorBidi" w:hAnsiTheme="minorBidi"/>
          <w:rtl/>
        </w:rPr>
        <w:t xml:space="preserve">תנו רבנן: כתב אות אחת גדולה ויש במקומה לכתוב שתים - פטור, מחק אות גדולה ויש במקומה לכתוב שתים - חייב. </w:t>
      </w:r>
      <w:r w:rsidRPr="005275DF">
        <w:rPr>
          <w:rFonts w:asciiTheme="minorBidi" w:hAnsiTheme="minorBidi"/>
          <w:u w:val="single"/>
          <w:rtl/>
        </w:rPr>
        <w:t>אמר רבי מנחם ברבי יוסי</w:t>
      </w:r>
      <w:r w:rsidRPr="005275DF">
        <w:rPr>
          <w:rFonts w:asciiTheme="minorBidi" w:hAnsiTheme="minorBidi"/>
          <w:rtl/>
        </w:rPr>
        <w:t>: וזה חומר במוחק מבכותב.</w:t>
      </w:r>
    </w:p>
    <w:p w14:paraId="6093F069" w14:textId="77777777" w:rsidR="006A4BF8" w:rsidRPr="005275DF" w:rsidRDefault="006A4BF8" w:rsidP="00434A6A">
      <w:pPr>
        <w:rPr>
          <w:rFonts w:asciiTheme="minorBidi" w:hAnsiTheme="minorBidi"/>
          <w:sz w:val="16"/>
          <w:szCs w:val="16"/>
          <w:rtl/>
        </w:rPr>
      </w:pPr>
      <w:r w:rsidRPr="005275DF">
        <w:rPr>
          <w:rFonts w:asciiTheme="minorBidi" w:hAnsiTheme="minorBidi"/>
          <w:b/>
          <w:bCs/>
          <w:rtl/>
        </w:rPr>
        <w:t>תוספתא</w:t>
      </w:r>
      <w:r w:rsidRPr="005275DF">
        <w:rPr>
          <w:rFonts w:asciiTheme="minorBidi" w:hAnsiTheme="minorBidi"/>
          <w:b/>
          <w:bCs/>
          <w:sz w:val="16"/>
          <w:szCs w:val="16"/>
          <w:rtl/>
        </w:rPr>
        <w:t xml:space="preserve"> (ליברמן) </w:t>
      </w:r>
      <w:r w:rsidRPr="005275DF">
        <w:rPr>
          <w:rFonts w:asciiTheme="minorBidi" w:hAnsiTheme="minorBidi"/>
          <w:b/>
          <w:bCs/>
          <w:rtl/>
        </w:rPr>
        <w:t xml:space="preserve">שבת יא יא: </w:t>
      </w:r>
      <w:r w:rsidRPr="005275DF">
        <w:rPr>
          <w:rFonts w:asciiTheme="minorBidi" w:hAnsiTheme="minorBidi"/>
          <w:rtl/>
        </w:rPr>
        <w:t xml:space="preserve">נפלה דיו על גבי ספר ומחקה שעוה על גבי פנקס ומחקו אם יש במקומה כדי לכתוב שתי אותות חייב. </w:t>
      </w:r>
      <w:r w:rsidRPr="005275DF">
        <w:rPr>
          <w:rFonts w:asciiTheme="minorBidi" w:hAnsiTheme="minorBidi"/>
          <w:sz w:val="16"/>
          <w:szCs w:val="16"/>
          <w:rtl/>
        </w:rPr>
        <w:t>(וכ"פ הרמב"ם והרא"ש)</w:t>
      </w:r>
    </w:p>
    <w:p w14:paraId="267AE262"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34B9534"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המוחק דיו שעל הקלף או שעוה שעל הפנקס</w:t>
      </w:r>
      <w:r w:rsidRPr="005275DF">
        <w:rPr>
          <w:rStyle w:val="a9"/>
          <w:rFonts w:asciiTheme="minorBidi" w:hAnsiTheme="minorBidi"/>
          <w:rtl/>
        </w:rPr>
        <w:footnoteReference w:id="3543"/>
      </w:r>
      <w:r w:rsidRPr="005275DF">
        <w:rPr>
          <w:rFonts w:asciiTheme="minorBidi" w:hAnsiTheme="minorBidi"/>
          <w:rtl/>
        </w:rPr>
        <w:t xml:space="preserve"> אם יש במקומו כדי לכתוב ב' אותיות חייב</w:t>
      </w:r>
      <w:r w:rsidRPr="005275DF">
        <w:rPr>
          <w:rStyle w:val="a9"/>
          <w:rFonts w:asciiTheme="minorBidi" w:hAnsiTheme="minorBidi"/>
          <w:rtl/>
        </w:rPr>
        <w:footnoteReference w:id="3544"/>
      </w:r>
      <w:r w:rsidRPr="005275DF">
        <w:rPr>
          <w:rFonts w:asciiTheme="minorBidi" w:hAnsiTheme="minorBidi"/>
          <w:rtl/>
        </w:rPr>
        <w:t xml:space="preserve">. </w:t>
      </w:r>
      <w:r w:rsidRPr="005275DF">
        <w:rPr>
          <w:rFonts w:asciiTheme="minorBidi" w:hAnsiTheme="minorBidi"/>
          <w:sz w:val="18"/>
          <w:szCs w:val="18"/>
          <w:rtl/>
        </w:rPr>
        <w:t>הגה: אסור</w:t>
      </w:r>
      <w:r w:rsidRPr="005275DF">
        <w:rPr>
          <w:rStyle w:val="a9"/>
          <w:rFonts w:asciiTheme="minorBidi" w:hAnsiTheme="minorBidi"/>
          <w:sz w:val="18"/>
          <w:szCs w:val="18"/>
          <w:rtl/>
        </w:rPr>
        <w:footnoteReference w:id="3545"/>
      </w:r>
      <w:r w:rsidRPr="005275DF">
        <w:rPr>
          <w:rFonts w:asciiTheme="minorBidi" w:hAnsiTheme="minorBidi"/>
          <w:sz w:val="18"/>
          <w:szCs w:val="18"/>
          <w:rtl/>
        </w:rPr>
        <w:t xml:space="preserve"> לשבר עוגה שכתב עליה כמין אותיות אף על פי שאינו מכוין רק לאכילה דהוי מוחק. (מרדכי בשם מהר"ם).</w:t>
      </w:r>
      <w:r w:rsidRPr="005275DF">
        <w:rPr>
          <w:rFonts w:asciiTheme="minorBidi" w:hAnsiTheme="minorBidi"/>
          <w:rtl/>
        </w:rPr>
        <w:t xml:space="preserve">  </w:t>
      </w:r>
    </w:p>
    <w:p w14:paraId="15A7D04C" w14:textId="77777777" w:rsidR="006A4BF8" w:rsidRPr="005275DF" w:rsidRDefault="006A4BF8" w:rsidP="00434A6A">
      <w:pPr>
        <w:rPr>
          <w:rFonts w:asciiTheme="minorBidi" w:hAnsiTheme="minorBidi"/>
          <w:u w:val="single"/>
          <w:rtl/>
        </w:rPr>
      </w:pPr>
      <w:r w:rsidRPr="005275DF">
        <w:rPr>
          <w:rFonts w:asciiTheme="minorBidi" w:hAnsiTheme="minorBidi"/>
          <w:u w:val="single"/>
          <w:rtl/>
        </w:rPr>
        <w:t>האם מותר לאכול עוגה שכתב עליה אותיות:</w:t>
      </w:r>
    </w:p>
    <w:p w14:paraId="61EEB65E" w14:textId="77777777" w:rsidR="006A4BF8" w:rsidRPr="005275DF" w:rsidRDefault="006A4BF8" w:rsidP="00FF2D21">
      <w:pPr>
        <w:pStyle w:val="aa"/>
        <w:numPr>
          <w:ilvl w:val="0"/>
          <w:numId w:val="42"/>
        </w:numPr>
        <w:spacing w:after="0"/>
        <w:rPr>
          <w:rFonts w:asciiTheme="minorBidi" w:hAnsiTheme="minorBidi"/>
        </w:rPr>
      </w:pPr>
      <w:r w:rsidRPr="005275DF">
        <w:rPr>
          <w:rFonts w:asciiTheme="minorBidi" w:hAnsiTheme="minorBidi"/>
          <w:rtl/>
        </w:rPr>
        <w:t>מרדכי בשם מהר"ם- לקטן מותר</w:t>
      </w:r>
      <w:r w:rsidRPr="005275DF">
        <w:rPr>
          <w:rStyle w:val="a9"/>
          <w:rFonts w:asciiTheme="minorBidi" w:hAnsiTheme="minorBidi"/>
          <w:rtl/>
        </w:rPr>
        <w:footnoteReference w:id="3546"/>
      </w:r>
      <w:r w:rsidRPr="005275DF">
        <w:rPr>
          <w:rFonts w:asciiTheme="minorBidi" w:hAnsiTheme="minorBidi"/>
          <w:rtl/>
        </w:rPr>
        <w:t xml:space="preserve">, לגדול אסור מדרבנן אע"פ שאינו מכוין אלא רק לאכילה. </w:t>
      </w:r>
      <w:r w:rsidRPr="005275DF">
        <w:rPr>
          <w:rFonts w:asciiTheme="minorBidi" w:hAnsiTheme="minorBidi"/>
          <w:color w:val="00B0F0"/>
          <w:rtl/>
        </w:rPr>
        <w:t>(וכעז"פ</w:t>
      </w:r>
      <w:r w:rsidRPr="005275DF">
        <w:rPr>
          <w:rStyle w:val="a9"/>
          <w:rFonts w:asciiTheme="minorBidi" w:hAnsiTheme="minorBidi"/>
          <w:rtl/>
        </w:rPr>
        <w:footnoteReference w:id="3547"/>
      </w:r>
      <w:r w:rsidRPr="005275DF">
        <w:rPr>
          <w:rFonts w:asciiTheme="minorBidi" w:hAnsiTheme="minorBidi"/>
          <w:color w:val="00B0F0"/>
          <w:rtl/>
        </w:rPr>
        <w:t xml:space="preserve"> הרמ"א)</w:t>
      </w:r>
    </w:p>
    <w:p w14:paraId="1DD72E49" w14:textId="77777777" w:rsidR="006A4BF8" w:rsidRPr="005275DF" w:rsidRDefault="006A4BF8" w:rsidP="00FF2D21">
      <w:pPr>
        <w:pStyle w:val="af1"/>
        <w:numPr>
          <w:ilvl w:val="0"/>
          <w:numId w:val="42"/>
        </w:numPr>
        <w:spacing w:line="276" w:lineRule="auto"/>
        <w:jc w:val="left"/>
        <w:rPr>
          <w:rFonts w:asciiTheme="minorBidi" w:hAnsiTheme="minorBidi" w:cstheme="minorBidi"/>
          <w:sz w:val="22"/>
          <w:szCs w:val="22"/>
        </w:rPr>
      </w:pPr>
      <w:r w:rsidRPr="005275DF">
        <w:rPr>
          <w:rFonts w:asciiTheme="minorBidi" w:hAnsiTheme="minorBidi" w:cstheme="minorBidi"/>
          <w:sz w:val="22"/>
          <w:szCs w:val="22"/>
          <w:rtl/>
        </w:rPr>
        <w:t>דגמ"ר כרם שלמה ונזירות שמשון</w:t>
      </w:r>
      <w:r w:rsidRPr="005275DF">
        <w:rPr>
          <w:rStyle w:val="a9"/>
          <w:rFonts w:asciiTheme="minorBidi" w:hAnsiTheme="minorBidi" w:cstheme="minorBidi"/>
          <w:sz w:val="22"/>
          <w:szCs w:val="22"/>
          <w:rtl/>
        </w:rPr>
        <w:footnoteReference w:id="3548"/>
      </w:r>
      <w:r w:rsidRPr="005275DF">
        <w:rPr>
          <w:rFonts w:asciiTheme="minorBidi" w:hAnsiTheme="minorBidi" w:cstheme="minorBidi"/>
          <w:sz w:val="22"/>
          <w:szCs w:val="22"/>
          <w:rtl/>
        </w:rPr>
        <w:t>- מותר לגמרי</w:t>
      </w:r>
      <w:r w:rsidRPr="005275DF">
        <w:rPr>
          <w:rStyle w:val="a9"/>
          <w:rFonts w:asciiTheme="minorBidi" w:hAnsiTheme="minorBidi" w:cstheme="minorBidi"/>
          <w:sz w:val="22"/>
          <w:szCs w:val="22"/>
          <w:rtl/>
        </w:rPr>
        <w:footnoteReference w:id="3549"/>
      </w:r>
      <w:r w:rsidRPr="005275DF">
        <w:rPr>
          <w:rFonts w:asciiTheme="minorBidi" w:hAnsiTheme="minorBidi" w:cstheme="minorBidi"/>
          <w:sz w:val="22"/>
          <w:szCs w:val="22"/>
          <w:rtl/>
        </w:rPr>
        <w:t xml:space="preserve">. </w:t>
      </w:r>
    </w:p>
    <w:p w14:paraId="63175CD7" w14:textId="77777777" w:rsidR="006A4BF8" w:rsidRPr="005275DF" w:rsidRDefault="006A4BF8" w:rsidP="00FF2D21">
      <w:pPr>
        <w:pStyle w:val="aa"/>
        <w:numPr>
          <w:ilvl w:val="0"/>
          <w:numId w:val="42"/>
        </w:numPr>
        <w:spacing w:after="0"/>
        <w:rPr>
          <w:rFonts w:asciiTheme="minorBidi" w:hAnsiTheme="minorBidi"/>
          <w:rtl/>
        </w:rPr>
      </w:pPr>
      <w:r w:rsidRPr="005275DF">
        <w:rPr>
          <w:rFonts w:asciiTheme="minorBidi" w:hAnsiTheme="minorBidi"/>
          <w:rtl/>
        </w:rPr>
        <w:t>כנה"ג בשם ר"ש הלוי- כשכותבין על העוגות אותיות מדבר אחר אסור, אבל כשהכתיבה היא מהעוגה עצמה בדפוס או בידים שרי</w:t>
      </w:r>
      <w:r w:rsidRPr="005275DF">
        <w:rPr>
          <w:rStyle w:val="a9"/>
          <w:rFonts w:asciiTheme="minorBidi" w:hAnsiTheme="minorBidi"/>
          <w:rtl/>
        </w:rPr>
        <w:footnoteReference w:id="3550"/>
      </w:r>
      <w:r w:rsidRPr="005275DF">
        <w:rPr>
          <w:rFonts w:asciiTheme="minorBidi" w:hAnsiTheme="minorBidi"/>
          <w:rtl/>
        </w:rPr>
        <w:t>.</w:t>
      </w:r>
    </w:p>
    <w:p w14:paraId="12519866" w14:textId="77777777" w:rsidR="006A4BF8" w:rsidRPr="005275DF" w:rsidRDefault="006A4BF8" w:rsidP="00FF2D21">
      <w:pPr>
        <w:pStyle w:val="af1"/>
        <w:numPr>
          <w:ilvl w:val="0"/>
          <w:numId w:val="42"/>
        </w:numPr>
        <w:spacing w:line="276" w:lineRule="auto"/>
        <w:jc w:val="left"/>
        <w:rPr>
          <w:rFonts w:asciiTheme="minorBidi" w:hAnsiTheme="minorBidi" w:cstheme="minorBidi"/>
          <w:sz w:val="22"/>
          <w:szCs w:val="22"/>
        </w:rPr>
      </w:pPr>
      <w:r w:rsidRPr="005275DF">
        <w:rPr>
          <w:rFonts w:asciiTheme="minorBidi" w:hAnsiTheme="minorBidi" w:cstheme="minorBidi"/>
          <w:sz w:val="22"/>
          <w:szCs w:val="22"/>
          <w:rtl/>
        </w:rPr>
        <w:t>אגודה- אם כותב במי פירות מותר דלא הוי מוחק</w:t>
      </w:r>
      <w:r w:rsidRPr="005275DF">
        <w:rPr>
          <w:rStyle w:val="a9"/>
          <w:rFonts w:asciiTheme="minorBidi" w:hAnsiTheme="minorBidi" w:cstheme="minorBidi"/>
          <w:sz w:val="22"/>
          <w:szCs w:val="22"/>
          <w:rtl/>
        </w:rPr>
        <w:footnoteReference w:id="3551"/>
      </w:r>
      <w:r w:rsidRPr="005275DF">
        <w:rPr>
          <w:rFonts w:asciiTheme="minorBidi" w:hAnsiTheme="minorBidi" w:cstheme="minorBidi"/>
          <w:sz w:val="22"/>
          <w:szCs w:val="22"/>
          <w:rtl/>
        </w:rPr>
        <w:t xml:space="preserve">. </w:t>
      </w:r>
    </w:p>
    <w:p w14:paraId="5F5030EF" w14:textId="77777777" w:rsidR="006A4BF8" w:rsidRPr="005275DF" w:rsidRDefault="006A4BF8" w:rsidP="00FF2D21">
      <w:pPr>
        <w:pStyle w:val="af1"/>
        <w:numPr>
          <w:ilvl w:val="1"/>
          <w:numId w:val="42"/>
        </w:numPr>
        <w:spacing w:line="276" w:lineRule="auto"/>
        <w:jc w:val="left"/>
        <w:rPr>
          <w:rFonts w:asciiTheme="minorBidi" w:hAnsiTheme="minorBidi" w:cstheme="minorBidi"/>
          <w:sz w:val="22"/>
          <w:szCs w:val="22"/>
        </w:rPr>
      </w:pPr>
      <w:r w:rsidRPr="005275DF">
        <w:rPr>
          <w:rFonts w:asciiTheme="minorBidi" w:hAnsiTheme="minorBidi" w:cstheme="minorBidi"/>
          <w:sz w:val="22"/>
          <w:szCs w:val="22"/>
          <w:rtl/>
        </w:rPr>
        <w:t>מ"ב</w:t>
      </w:r>
      <w:r w:rsidRPr="005275DF">
        <w:rPr>
          <w:rFonts w:asciiTheme="minorBidi" w:hAnsiTheme="minorBidi" w:cstheme="minorBidi"/>
          <w:sz w:val="16"/>
          <w:szCs w:val="16"/>
          <w:rtl/>
        </w:rPr>
        <w:t xml:space="preserve"> (סקט"ו וסקי"ז)</w:t>
      </w:r>
      <w:r w:rsidRPr="005275DF">
        <w:rPr>
          <w:rFonts w:asciiTheme="minorBidi" w:hAnsiTheme="minorBidi" w:cstheme="minorBidi"/>
          <w:sz w:val="22"/>
          <w:szCs w:val="22"/>
          <w:rtl/>
        </w:rPr>
        <w:t>- כשהכתיבה היא מהעוגה עצמה בדפוס או בידים שרי</w:t>
      </w:r>
      <w:r w:rsidRPr="005275DF">
        <w:rPr>
          <w:rStyle w:val="a9"/>
          <w:rFonts w:asciiTheme="minorBidi" w:hAnsiTheme="minorBidi" w:cstheme="minorBidi"/>
          <w:sz w:val="22"/>
          <w:szCs w:val="22"/>
          <w:rtl/>
        </w:rPr>
        <w:footnoteReference w:id="3552"/>
      </w:r>
      <w:r w:rsidRPr="005275DF">
        <w:rPr>
          <w:rFonts w:asciiTheme="minorBidi" w:hAnsiTheme="minorBidi" w:cstheme="minorBidi"/>
          <w:sz w:val="22"/>
          <w:szCs w:val="22"/>
          <w:rtl/>
        </w:rPr>
        <w:t>. וכן אם כתב האותיות בדבש המעורב במים או שאר מי פירות ג"כ אין להחמיר, ואפי' אם הכתב מעל העוגה וגם אינו ממי פירות יש להקל כאשר אינו שובר במקום האותיות בידו רק בפיו דרך אכילה. (וכ"פ שש"כ)</w:t>
      </w:r>
    </w:p>
    <w:p w14:paraId="22721D4A" w14:textId="77777777" w:rsidR="006A4BF8" w:rsidRPr="005275DF" w:rsidRDefault="006A4BF8" w:rsidP="00FF2D21">
      <w:pPr>
        <w:pStyle w:val="af1"/>
        <w:numPr>
          <w:ilvl w:val="0"/>
          <w:numId w:val="41"/>
        </w:numPr>
        <w:spacing w:after="240" w:line="276" w:lineRule="auto"/>
        <w:jc w:val="left"/>
        <w:rPr>
          <w:rFonts w:asciiTheme="minorBidi" w:hAnsiTheme="minorBidi" w:cstheme="minorBidi"/>
          <w:sz w:val="22"/>
          <w:szCs w:val="22"/>
          <w:rtl/>
        </w:rPr>
      </w:pPr>
      <w:r w:rsidRPr="005275DF">
        <w:rPr>
          <w:rFonts w:asciiTheme="minorBidi" w:hAnsiTheme="minorBidi" w:cstheme="minorBidi"/>
          <w:sz w:val="22"/>
          <w:szCs w:val="22"/>
          <w:rtl/>
        </w:rPr>
        <w:t xml:space="preserve">יבי"א </w:t>
      </w:r>
      <w:r w:rsidRPr="005275DF">
        <w:rPr>
          <w:rFonts w:asciiTheme="minorBidi" w:hAnsiTheme="minorBidi" w:cstheme="minorBidi"/>
          <w:sz w:val="16"/>
          <w:szCs w:val="16"/>
          <w:rtl/>
        </w:rPr>
        <w:t>(ח"ד, לח, וכ"כ בלוי"ח (סי' קיט</w:t>
      </w:r>
      <w:r>
        <w:rPr>
          <w:rFonts w:asciiTheme="minorBidi" w:hAnsiTheme="minorBidi" w:cstheme="minorBidi" w:hint="cs"/>
          <w:sz w:val="16"/>
          <w:szCs w:val="16"/>
          <w:rtl/>
        </w:rPr>
        <w:t>)</w:t>
      </w:r>
      <w:r w:rsidRPr="005275DF">
        <w:rPr>
          <w:rFonts w:asciiTheme="minorBidi" w:hAnsiTheme="minorBidi" w:cstheme="minorBidi"/>
          <w:sz w:val="16"/>
          <w:szCs w:val="16"/>
          <w:rtl/>
        </w:rPr>
        <w:t>)</w:t>
      </w:r>
      <w:r w:rsidRPr="005275DF">
        <w:rPr>
          <w:rFonts w:asciiTheme="minorBidi" w:hAnsiTheme="minorBidi" w:cstheme="minorBidi"/>
          <w:sz w:val="22"/>
          <w:szCs w:val="22"/>
          <w:rtl/>
        </w:rPr>
        <w:t xml:space="preserve">- מעיקר הדין גם אם כתב על העוגה מקרם וכיו"ב - מותר לשבר ביד </w:t>
      </w:r>
      <w:r w:rsidRPr="005275DF">
        <w:rPr>
          <w:rFonts w:asciiTheme="minorBidi" w:hAnsiTheme="minorBidi" w:cstheme="minorBidi"/>
          <w:sz w:val="16"/>
          <w:szCs w:val="16"/>
          <w:rtl/>
        </w:rPr>
        <w:t>(והמחמיר לשברה בפה - תע"ב)</w:t>
      </w:r>
      <w:r w:rsidRPr="005275DF">
        <w:rPr>
          <w:rFonts w:asciiTheme="minorBidi" w:hAnsiTheme="minorBidi" w:cstheme="minorBidi"/>
          <w:sz w:val="22"/>
          <w:szCs w:val="22"/>
          <w:rtl/>
        </w:rPr>
        <w:t>, אך כשנעשה מגוף העיסה יש להקל בפשיטות</w:t>
      </w:r>
      <w:r w:rsidRPr="005275DF">
        <w:rPr>
          <w:rStyle w:val="a9"/>
          <w:rFonts w:asciiTheme="minorBidi" w:hAnsiTheme="minorBidi" w:cstheme="minorBidi"/>
          <w:sz w:val="22"/>
          <w:szCs w:val="22"/>
          <w:rtl/>
        </w:rPr>
        <w:footnoteReference w:id="3553"/>
      </w:r>
      <w:r w:rsidRPr="005275DF">
        <w:rPr>
          <w:rFonts w:asciiTheme="minorBidi" w:hAnsiTheme="minorBidi" w:cstheme="minorBidi"/>
          <w:sz w:val="22"/>
          <w:szCs w:val="22"/>
          <w:rtl/>
        </w:rPr>
        <w:t xml:space="preserve"> </w:t>
      </w:r>
      <w:r w:rsidRPr="005275DF">
        <w:rPr>
          <w:rFonts w:asciiTheme="minorBidi" w:hAnsiTheme="minorBidi" w:cstheme="minorBidi"/>
          <w:sz w:val="16"/>
          <w:szCs w:val="16"/>
          <w:rtl/>
        </w:rPr>
        <w:t>(וכ"ש אם כתבו על דבר המאכל באותיות לועזיות שי"א שאין בכתיבתם איסור תורה)</w:t>
      </w:r>
      <w:r w:rsidRPr="005275DF">
        <w:rPr>
          <w:rFonts w:asciiTheme="minorBidi" w:hAnsiTheme="minorBidi" w:cstheme="minorBidi"/>
          <w:sz w:val="22"/>
          <w:szCs w:val="22"/>
          <w:rtl/>
        </w:rPr>
        <w:t>.</w:t>
      </w:r>
    </w:p>
    <w:p w14:paraId="0EDA58E8" w14:textId="77777777" w:rsidR="006A4BF8" w:rsidRPr="005275DF" w:rsidRDefault="006A4BF8" w:rsidP="00434A6A">
      <w:pPr>
        <w:tabs>
          <w:tab w:val="left" w:pos="2788"/>
        </w:tabs>
        <w:rPr>
          <w:rFonts w:asciiTheme="minorBidi" w:hAnsiTheme="minorBidi"/>
          <w:u w:val="single"/>
          <w:rtl/>
        </w:rPr>
      </w:pPr>
      <w:r w:rsidRPr="005275DF">
        <w:rPr>
          <w:rFonts w:asciiTheme="minorBidi" w:hAnsiTheme="minorBidi"/>
          <w:u w:val="single"/>
          <w:rtl/>
        </w:rPr>
        <w:t>האם מותר לפתוח ספר שעל צידי דפיו יש כיתוב:</w:t>
      </w:r>
    </w:p>
    <w:p w14:paraId="69917885" w14:textId="77777777" w:rsidR="006A4BF8" w:rsidRPr="005275DF" w:rsidRDefault="006A4BF8" w:rsidP="00FF2D21">
      <w:pPr>
        <w:pStyle w:val="aa"/>
        <w:numPr>
          <w:ilvl w:val="0"/>
          <w:numId w:val="43"/>
        </w:numPr>
        <w:tabs>
          <w:tab w:val="left" w:pos="2788"/>
        </w:tabs>
        <w:rPr>
          <w:rFonts w:asciiTheme="minorBidi" w:hAnsiTheme="minorBidi"/>
        </w:rPr>
      </w:pPr>
      <w:r w:rsidRPr="005275DF">
        <w:rPr>
          <w:rFonts w:asciiTheme="minorBidi" w:hAnsiTheme="minorBidi"/>
          <w:rtl/>
        </w:rPr>
        <w:t>רמ"א</w:t>
      </w:r>
      <w:r w:rsidRPr="005275DF">
        <w:rPr>
          <w:rFonts w:asciiTheme="minorBidi" w:hAnsiTheme="minorBidi"/>
          <w:sz w:val="16"/>
          <w:szCs w:val="16"/>
          <w:rtl/>
        </w:rPr>
        <w:t xml:space="preserve"> (בתשו' סי' קיט)</w:t>
      </w:r>
      <w:r w:rsidRPr="005275DF">
        <w:rPr>
          <w:rFonts w:asciiTheme="minorBidi" w:hAnsiTheme="minorBidi"/>
          <w:rtl/>
        </w:rPr>
        <w:t xml:space="preserve"> ט"ז חוות יאיר</w:t>
      </w:r>
      <w:r w:rsidRPr="005275DF">
        <w:rPr>
          <w:rFonts w:asciiTheme="minorBidi" w:hAnsiTheme="minorBidi"/>
          <w:sz w:val="16"/>
          <w:szCs w:val="16"/>
          <w:rtl/>
        </w:rPr>
        <w:t xml:space="preserve"> (סי' טז)</w:t>
      </w:r>
      <w:r w:rsidRPr="005275DF">
        <w:rPr>
          <w:rFonts w:asciiTheme="minorBidi" w:hAnsiTheme="minorBidi"/>
          <w:rtl/>
        </w:rPr>
        <w:t>- מותר לפותחו ולנועלו דכיון דעשוי לנעול ולפתוח ליכא משום מוחק</w:t>
      </w:r>
      <w:r w:rsidRPr="005275DF">
        <w:rPr>
          <w:rStyle w:val="a9"/>
          <w:rFonts w:asciiTheme="minorBidi" w:hAnsiTheme="minorBidi"/>
          <w:rtl/>
        </w:rPr>
        <w:footnoteReference w:id="3554"/>
      </w:r>
      <w:r w:rsidRPr="005275DF">
        <w:rPr>
          <w:rFonts w:asciiTheme="minorBidi" w:hAnsiTheme="minorBidi"/>
          <w:rtl/>
        </w:rPr>
        <w:t>.</w:t>
      </w:r>
    </w:p>
    <w:p w14:paraId="0CC98805" w14:textId="77777777" w:rsidR="006A4BF8" w:rsidRPr="005275DF" w:rsidRDefault="006A4BF8" w:rsidP="00FF2D21">
      <w:pPr>
        <w:pStyle w:val="aa"/>
        <w:numPr>
          <w:ilvl w:val="0"/>
          <w:numId w:val="43"/>
        </w:numPr>
        <w:tabs>
          <w:tab w:val="left" w:pos="2788"/>
        </w:tabs>
        <w:rPr>
          <w:rFonts w:asciiTheme="minorBidi" w:hAnsiTheme="minorBidi"/>
        </w:rPr>
      </w:pPr>
      <w:r w:rsidRPr="005275DF">
        <w:rPr>
          <w:rFonts w:asciiTheme="minorBidi" w:hAnsiTheme="minorBidi"/>
          <w:rtl/>
        </w:rPr>
        <w:t>לבוש</w:t>
      </w:r>
      <w:r w:rsidRPr="005275DF">
        <w:rPr>
          <w:rFonts w:asciiTheme="minorBidi" w:hAnsiTheme="minorBidi"/>
          <w:sz w:val="16"/>
          <w:szCs w:val="16"/>
          <w:rtl/>
        </w:rPr>
        <w:t xml:space="preserve"> (ס"ד)</w:t>
      </w:r>
      <w:r w:rsidRPr="005275DF">
        <w:rPr>
          <w:rFonts w:asciiTheme="minorBidi" w:hAnsiTheme="minorBidi"/>
          <w:rtl/>
        </w:rPr>
        <w:t xml:space="preserve"> ומג"א- קרוב אני לומר שחייבים עליו חטאת</w:t>
      </w:r>
      <w:r w:rsidRPr="005275DF">
        <w:rPr>
          <w:rFonts w:asciiTheme="minorBidi" w:hAnsiTheme="minorBidi"/>
          <w:sz w:val="16"/>
          <w:szCs w:val="16"/>
          <w:rtl/>
        </w:rPr>
        <w:t xml:space="preserve"> (לשון הלבוש)</w:t>
      </w:r>
      <w:r w:rsidRPr="005275DF">
        <w:rPr>
          <w:rFonts w:asciiTheme="minorBidi" w:hAnsiTheme="minorBidi"/>
          <w:rtl/>
        </w:rPr>
        <w:t>.</w:t>
      </w:r>
    </w:p>
    <w:p w14:paraId="2A73EB67" w14:textId="77777777" w:rsidR="006A4BF8" w:rsidRPr="005275DF" w:rsidRDefault="006A4BF8" w:rsidP="00434A6A">
      <w:pPr>
        <w:tabs>
          <w:tab w:val="left" w:pos="2788"/>
        </w:tabs>
        <w:rPr>
          <w:rFonts w:asciiTheme="minorBidi" w:hAnsiTheme="minorBidi"/>
          <w:rtl/>
        </w:rPr>
      </w:pPr>
    </w:p>
    <w:p w14:paraId="3C1AA21D"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ד: כתיבה שאינה מתקיימת, וכתיבה באויר.</w:t>
      </w:r>
    </w:p>
    <w:p w14:paraId="64CA0840"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35AB77A9" w14:textId="77777777" w:rsidR="006A4BF8" w:rsidRPr="005275DF" w:rsidRDefault="006A4BF8" w:rsidP="00434A6A">
      <w:pPr>
        <w:tabs>
          <w:tab w:val="left" w:pos="2788"/>
        </w:tabs>
        <w:rPr>
          <w:rFonts w:asciiTheme="minorBidi" w:hAnsiTheme="minorBidi"/>
          <w:sz w:val="18"/>
          <w:szCs w:val="18"/>
          <w:rtl/>
        </w:rPr>
      </w:pPr>
      <w:r w:rsidRPr="005275DF">
        <w:rPr>
          <w:rFonts w:asciiTheme="minorBidi" w:hAnsiTheme="minorBidi"/>
          <w:rtl/>
        </w:rPr>
        <w:t>יש ליזהר שלא לכתוב באצבעו במשקין על השלחן</w:t>
      </w:r>
      <w:r w:rsidRPr="005275DF">
        <w:rPr>
          <w:rStyle w:val="a9"/>
          <w:rFonts w:asciiTheme="minorBidi" w:hAnsiTheme="minorBidi"/>
          <w:rtl/>
        </w:rPr>
        <w:footnoteReference w:id="3555"/>
      </w:r>
      <w:r w:rsidRPr="005275DF">
        <w:rPr>
          <w:rFonts w:asciiTheme="minorBidi" w:hAnsiTheme="minorBidi"/>
          <w:rtl/>
        </w:rPr>
        <w:t xml:space="preserve"> או באפר</w:t>
      </w:r>
      <w:r w:rsidRPr="005275DF">
        <w:rPr>
          <w:rStyle w:val="a9"/>
          <w:rFonts w:asciiTheme="minorBidi" w:hAnsiTheme="minorBidi"/>
          <w:rtl/>
        </w:rPr>
        <w:footnoteReference w:id="3556"/>
      </w:r>
      <w:r w:rsidRPr="005275DF">
        <w:rPr>
          <w:rFonts w:asciiTheme="minorBidi" w:hAnsiTheme="minorBidi"/>
          <w:rtl/>
        </w:rPr>
        <w:t xml:space="preserve"> </w:t>
      </w:r>
      <w:r w:rsidRPr="005275DF">
        <w:rPr>
          <w:rFonts w:asciiTheme="minorBidi" w:hAnsiTheme="minorBidi"/>
          <w:sz w:val="18"/>
          <w:szCs w:val="18"/>
          <w:rtl/>
        </w:rPr>
        <w:t>הגה: אבל מותר לרשום באויר כמין אותיות</w:t>
      </w:r>
      <w:r w:rsidRPr="005275DF">
        <w:rPr>
          <w:rStyle w:val="a9"/>
          <w:rFonts w:asciiTheme="minorBidi" w:hAnsiTheme="minorBidi"/>
          <w:sz w:val="18"/>
          <w:szCs w:val="18"/>
          <w:rtl/>
        </w:rPr>
        <w:footnoteReference w:id="3557"/>
      </w:r>
      <w:r w:rsidRPr="005275DF">
        <w:rPr>
          <w:rFonts w:asciiTheme="minorBidi" w:hAnsiTheme="minorBidi"/>
          <w:sz w:val="18"/>
          <w:szCs w:val="18"/>
          <w:rtl/>
        </w:rPr>
        <w:t xml:space="preserve"> (תרוה"ד סי' ס"ג).</w:t>
      </w:r>
    </w:p>
    <w:p w14:paraId="0E1A6444"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רמב"ם</w:t>
      </w:r>
      <w:r w:rsidRPr="005275DF">
        <w:rPr>
          <w:rFonts w:asciiTheme="minorBidi" w:hAnsiTheme="minorBidi"/>
          <w:sz w:val="16"/>
          <w:szCs w:val="16"/>
          <w:rtl/>
        </w:rPr>
        <w:t xml:space="preserve"> (פי"א, הביאו המג"א סק"ז)</w:t>
      </w:r>
      <w:r w:rsidRPr="005275DF">
        <w:rPr>
          <w:rFonts w:asciiTheme="minorBidi" w:hAnsiTheme="minorBidi"/>
          <w:rtl/>
        </w:rPr>
        <w:t>: הכותב בדיו על עלי ירקות ועל כל דבר שאינו עומד פטור עד שיכתוב דבר העומד על דבר העומד וכן המוחק</w:t>
      </w:r>
      <w:r w:rsidRPr="005275DF">
        <w:rPr>
          <w:rFonts w:asciiTheme="minorBidi" w:hAnsiTheme="minorBidi"/>
          <w:sz w:val="16"/>
          <w:szCs w:val="16"/>
          <w:rtl/>
        </w:rPr>
        <w:t xml:space="preserve"> (הל' טו)</w:t>
      </w:r>
      <w:r w:rsidRPr="005275DF">
        <w:rPr>
          <w:rFonts w:asciiTheme="minorBidi" w:hAnsiTheme="minorBidi"/>
          <w:rtl/>
        </w:rPr>
        <w:t>.  הכותב על בשרו חייב מפני שהוא עור אף על פי שחמימות בשרו מעברת הכתב לאחר זמן ה"ז דומה לכתב שנמחק אבל המסרט על בשרו צורת כתב פטור הקורע על העור כתבנית כתב חייב הרושם על העור כתבנית כתב פטור, המעביר דיו ע"ג סיקרא חייב ב' משום כותב ומשום מוחק דיו ע"ג דיו או סיקרא ע"ג דיו פטור</w:t>
      </w:r>
      <w:r w:rsidRPr="005275DF">
        <w:rPr>
          <w:rFonts w:asciiTheme="minorBidi" w:hAnsiTheme="minorBidi"/>
          <w:sz w:val="16"/>
          <w:szCs w:val="16"/>
          <w:rtl/>
        </w:rPr>
        <w:t xml:space="preserve"> (הל' טז)</w:t>
      </w:r>
      <w:r w:rsidRPr="005275DF">
        <w:rPr>
          <w:rFonts w:asciiTheme="minorBidi" w:hAnsiTheme="minorBidi"/>
          <w:rtl/>
        </w:rPr>
        <w:t xml:space="preserve">.  הרושם רשמים וצורות בכותל ובשטר וכיוצא בהן כדרך שהציירים רושמים ה"ז חייב משום כותב, וכן המוחקה המשרטט חייב </w:t>
      </w:r>
      <w:r w:rsidRPr="005275DF">
        <w:rPr>
          <w:rFonts w:asciiTheme="minorBidi" w:hAnsiTheme="minorBidi"/>
          <w:sz w:val="16"/>
          <w:szCs w:val="16"/>
          <w:rtl/>
        </w:rPr>
        <w:t>(הל' יז)</w:t>
      </w:r>
      <w:r w:rsidRPr="005275DF">
        <w:rPr>
          <w:rFonts w:asciiTheme="minorBidi" w:hAnsiTheme="minorBidi"/>
          <w:rtl/>
        </w:rPr>
        <w:t xml:space="preserve">.  הכותב ע"מ לקלקל העור חייב שאין חיובו על מקום הכתב אלא על הכתב אבל המוחק ע"מ לקלקל פטור </w:t>
      </w:r>
      <w:r w:rsidRPr="005275DF">
        <w:rPr>
          <w:rFonts w:asciiTheme="minorBidi" w:hAnsiTheme="minorBidi"/>
          <w:sz w:val="16"/>
          <w:szCs w:val="16"/>
          <w:rtl/>
        </w:rPr>
        <w:t>(הל' ט)</w:t>
      </w:r>
      <w:r w:rsidRPr="005275DF">
        <w:rPr>
          <w:rFonts w:asciiTheme="minorBidi" w:hAnsiTheme="minorBidi"/>
          <w:rtl/>
        </w:rPr>
        <w:t xml:space="preserve">.  כתב אות א' סמוך לכתב כתב ע"ג כתב נתכוין לכתוב חי"ת וכתב ב' זייני"ן חייב כ' ב' אותיות שאין נהגין זה עם זה פטור </w:t>
      </w:r>
      <w:r w:rsidRPr="005275DF">
        <w:rPr>
          <w:rFonts w:asciiTheme="minorBidi" w:hAnsiTheme="minorBidi"/>
          <w:sz w:val="16"/>
          <w:szCs w:val="16"/>
          <w:rtl/>
        </w:rPr>
        <w:t>(הל' יא)</w:t>
      </w:r>
      <w:r w:rsidRPr="005275DF">
        <w:rPr>
          <w:rFonts w:asciiTheme="minorBidi" w:hAnsiTheme="minorBidi"/>
          <w:rtl/>
        </w:rPr>
        <w:t xml:space="preserve">.  כתב אות א' במגילה זו וכתב אות שניה במגילה אחרת חייב שבזמן שמקרבן נהגין זע"ז ואינן מחוסרין מעשה לקריבתן כתב נוטריקן אות א' פטור המגיה אות א' כגון שנוטל גג החי"ת ונעשה ב' זיינין חייב </w:t>
      </w:r>
      <w:r w:rsidRPr="005275DF">
        <w:rPr>
          <w:rFonts w:asciiTheme="minorBidi" w:hAnsiTheme="minorBidi"/>
          <w:sz w:val="16"/>
          <w:szCs w:val="16"/>
          <w:rtl/>
        </w:rPr>
        <w:t>(הל' יג)</w:t>
      </w:r>
      <w:r w:rsidRPr="005275DF">
        <w:rPr>
          <w:rFonts w:asciiTheme="minorBidi" w:hAnsiTheme="minorBidi"/>
          <w:rtl/>
        </w:rPr>
        <w:t xml:space="preserve">.  כתב בשמאלו או אטר שכתב בימינו פטור השולט בב' ידיו חייב בשתיהן קטן אוחז בקולמוס וגדול אוחז בידו וכותב חייב גדול אוחז בקולמוס וקטן אוחז בידו וכותב פטור </w:t>
      </w:r>
      <w:r w:rsidRPr="005275DF">
        <w:rPr>
          <w:rFonts w:asciiTheme="minorBidi" w:hAnsiTheme="minorBidi"/>
          <w:sz w:val="16"/>
          <w:szCs w:val="16"/>
          <w:rtl/>
        </w:rPr>
        <w:t>(הל' יד)</w:t>
      </w:r>
      <w:r w:rsidRPr="005275DF">
        <w:rPr>
          <w:rFonts w:asciiTheme="minorBidi" w:hAnsiTheme="minorBidi"/>
          <w:rtl/>
        </w:rPr>
        <w:t>.</w:t>
      </w:r>
    </w:p>
    <w:p w14:paraId="25853E53" w14:textId="77777777" w:rsidR="006A4BF8" w:rsidRPr="005275DF" w:rsidRDefault="006A4BF8" w:rsidP="00434A6A">
      <w:pPr>
        <w:tabs>
          <w:tab w:val="left" w:pos="2788"/>
        </w:tabs>
        <w:rPr>
          <w:rFonts w:asciiTheme="minorBidi" w:hAnsiTheme="minorBidi"/>
          <w:rtl/>
        </w:rPr>
      </w:pPr>
    </w:p>
    <w:p w14:paraId="03B4C3C8"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ה: עשיית רושם בצד הדף לסימון.</w:t>
      </w:r>
    </w:p>
    <w:p w14:paraId="48C78A06" w14:textId="77777777" w:rsidR="006A4BF8" w:rsidRPr="005275DF" w:rsidRDefault="006A4BF8" w:rsidP="00434A6A">
      <w:pPr>
        <w:rPr>
          <w:rFonts w:asciiTheme="minorBidi" w:hAnsiTheme="minorBidi"/>
          <w:rtl/>
        </w:rPr>
      </w:pPr>
      <w:r w:rsidRPr="005275DF">
        <w:rPr>
          <w:rFonts w:asciiTheme="minorBidi" w:hAnsiTheme="minorBidi"/>
          <w:b/>
          <w:bCs/>
          <w:rtl/>
        </w:rPr>
        <w:t>שבת קג ע"א:</w:t>
      </w:r>
      <w:r w:rsidRPr="005275DF">
        <w:rPr>
          <w:rFonts w:asciiTheme="minorBidi" w:hAnsiTheme="minorBidi"/>
          <w:rtl/>
        </w:rPr>
        <w:t xml:space="preserve"> </w:t>
      </w:r>
      <w:r w:rsidRPr="005275DF">
        <w:rPr>
          <w:rFonts w:asciiTheme="minorBidi" w:hAnsiTheme="minorBidi"/>
          <w:u w:val="double"/>
          <w:rtl/>
        </w:rPr>
        <w:t>משנה:</w:t>
      </w:r>
      <w:r w:rsidRPr="005275DF">
        <w:rPr>
          <w:rFonts w:asciiTheme="minorBidi" w:hAnsiTheme="minorBidi"/>
          <w:rtl/>
        </w:rPr>
        <w:t xml:space="preserve"> הכותב... </w:t>
      </w:r>
      <w:r w:rsidRPr="005275DF">
        <w:rPr>
          <w:rFonts w:asciiTheme="minorBidi" w:hAnsiTheme="minorBidi"/>
          <w:u w:val="single"/>
          <w:rtl/>
        </w:rPr>
        <w:t>אמר רבי יוסי</w:t>
      </w:r>
      <w:r w:rsidRPr="005275DF">
        <w:rPr>
          <w:rFonts w:asciiTheme="minorBidi" w:hAnsiTheme="minorBidi"/>
          <w:rtl/>
        </w:rPr>
        <w:t>: לא חייבו שתי אותיות אלא משום רושם</w:t>
      </w:r>
      <w:r w:rsidRPr="005275DF">
        <w:rPr>
          <w:rStyle w:val="a9"/>
          <w:rFonts w:asciiTheme="minorBidi" w:hAnsiTheme="minorBidi"/>
          <w:rtl/>
        </w:rPr>
        <w:footnoteReference w:id="3558"/>
      </w:r>
      <w:r w:rsidRPr="005275DF">
        <w:rPr>
          <w:rFonts w:asciiTheme="minorBidi" w:hAnsiTheme="minorBidi"/>
          <w:rtl/>
        </w:rPr>
        <w:t>, שכך כותבין על קרשי המשכן, לידע איזו בן זוגו.</w:t>
      </w:r>
    </w:p>
    <w:p w14:paraId="2A06F521" w14:textId="77777777" w:rsidR="006A4BF8" w:rsidRPr="005275DF" w:rsidRDefault="006A4BF8" w:rsidP="00434A6A">
      <w:pPr>
        <w:rPr>
          <w:rFonts w:asciiTheme="minorBidi" w:hAnsiTheme="minorBidi"/>
          <w:u w:val="single"/>
          <w:rtl/>
        </w:rPr>
      </w:pPr>
      <w:r w:rsidRPr="005275DF">
        <w:rPr>
          <w:rFonts w:asciiTheme="minorBidi" w:hAnsiTheme="minorBidi"/>
          <w:u w:val="single"/>
          <w:rtl/>
        </w:rPr>
        <w:t>האם מותר לעשות רושם בצד הדף לצורך סימון:</w:t>
      </w:r>
    </w:p>
    <w:p w14:paraId="67F6AA82" w14:textId="77777777" w:rsidR="006A4BF8" w:rsidRPr="005275DF" w:rsidRDefault="006A4BF8" w:rsidP="00FF2D21">
      <w:pPr>
        <w:pStyle w:val="aa"/>
        <w:numPr>
          <w:ilvl w:val="0"/>
          <w:numId w:val="44"/>
        </w:numPr>
        <w:rPr>
          <w:rFonts w:asciiTheme="minorBidi" w:hAnsiTheme="minorBidi"/>
          <w:rtl/>
        </w:rPr>
      </w:pPr>
      <w:r w:rsidRPr="005275DF">
        <w:rPr>
          <w:rFonts w:asciiTheme="minorBidi" w:hAnsiTheme="minorBidi"/>
          <w:rtl/>
        </w:rPr>
        <w:t>טור- מותר</w:t>
      </w:r>
      <w:r w:rsidRPr="005275DF">
        <w:rPr>
          <w:rStyle w:val="a9"/>
          <w:rFonts w:asciiTheme="minorBidi" w:hAnsiTheme="minorBidi"/>
          <w:rtl/>
        </w:rPr>
        <w:footnoteReference w:id="3559"/>
      </w:r>
      <w:r w:rsidRPr="005275DF">
        <w:rPr>
          <w:rFonts w:asciiTheme="minorBidi" w:hAnsiTheme="minorBidi"/>
          <w:rtl/>
        </w:rPr>
        <w:t xml:space="preserve">. </w:t>
      </w:r>
      <w:r w:rsidRPr="005275DF">
        <w:rPr>
          <w:rFonts w:asciiTheme="minorBidi" w:hAnsiTheme="minorBidi"/>
          <w:color w:val="E36C0A" w:themeColor="accent6" w:themeShade="BF"/>
          <w:rtl/>
        </w:rPr>
        <w:t>(וכ"פ בשו"ע)</w:t>
      </w:r>
    </w:p>
    <w:p w14:paraId="7CF82DEA" w14:textId="77777777" w:rsidR="006A4BF8" w:rsidRPr="005275DF" w:rsidRDefault="006A4BF8" w:rsidP="00FF2D21">
      <w:pPr>
        <w:pStyle w:val="aa"/>
        <w:numPr>
          <w:ilvl w:val="0"/>
          <w:numId w:val="44"/>
        </w:numPr>
        <w:rPr>
          <w:rFonts w:asciiTheme="minorBidi" w:hAnsiTheme="minorBidi"/>
        </w:rPr>
      </w:pPr>
      <w:r w:rsidRPr="005275DF">
        <w:rPr>
          <w:rFonts w:asciiTheme="minorBidi" w:hAnsiTheme="minorBidi"/>
          <w:rtl/>
        </w:rPr>
        <w:t xml:space="preserve">או"ז סמ"ק ופסקי תוס' </w:t>
      </w:r>
      <w:r w:rsidRPr="005275DF">
        <w:rPr>
          <w:rFonts w:asciiTheme="minorBidi" w:hAnsiTheme="minorBidi"/>
          <w:sz w:val="16"/>
          <w:szCs w:val="16"/>
          <w:rtl/>
        </w:rPr>
        <w:t>(שבת אות שנ)</w:t>
      </w:r>
      <w:r w:rsidRPr="005275DF">
        <w:rPr>
          <w:rFonts w:asciiTheme="minorBidi" w:hAnsiTheme="minorBidi"/>
          <w:rtl/>
        </w:rPr>
        <w:t>- אסור. (וכ"פ הב"ח מג"א ברכ"י והבא"ח)</w:t>
      </w:r>
    </w:p>
    <w:p w14:paraId="58067167"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A395EF4"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מותר לרשום בצפורן על הספר</w:t>
      </w:r>
      <w:r w:rsidRPr="005275DF">
        <w:rPr>
          <w:rStyle w:val="a9"/>
          <w:rFonts w:asciiTheme="minorBidi" w:hAnsiTheme="minorBidi"/>
          <w:rtl/>
        </w:rPr>
        <w:footnoteReference w:id="3560"/>
      </w:r>
      <w:r w:rsidRPr="005275DF">
        <w:rPr>
          <w:rFonts w:asciiTheme="minorBidi" w:hAnsiTheme="minorBidi"/>
          <w:rtl/>
        </w:rPr>
        <w:t xml:space="preserve"> כמו שרושמין לסימן שאין זה דבר המתקיים</w:t>
      </w:r>
      <w:r w:rsidRPr="005275DF">
        <w:rPr>
          <w:rStyle w:val="a9"/>
          <w:rFonts w:asciiTheme="minorBidi" w:hAnsiTheme="minorBidi"/>
          <w:rtl/>
        </w:rPr>
        <w:footnoteReference w:id="3561"/>
      </w:r>
      <w:r w:rsidRPr="005275DF">
        <w:rPr>
          <w:rFonts w:asciiTheme="minorBidi" w:hAnsiTheme="minorBidi"/>
          <w:rtl/>
        </w:rPr>
        <w:t xml:space="preserve">. </w:t>
      </w:r>
    </w:p>
    <w:p w14:paraId="55FC64A5" w14:textId="77777777" w:rsidR="006A4BF8" w:rsidRPr="005275DF" w:rsidRDefault="006A4BF8" w:rsidP="00434A6A">
      <w:pPr>
        <w:tabs>
          <w:tab w:val="left" w:pos="2788"/>
        </w:tabs>
        <w:rPr>
          <w:rFonts w:asciiTheme="minorBidi" w:hAnsiTheme="minorBidi"/>
          <w:color w:val="FF0000"/>
          <w:rtl/>
        </w:rPr>
      </w:pPr>
      <w:r w:rsidRPr="005275DF">
        <w:rPr>
          <w:rFonts w:asciiTheme="minorBidi" w:hAnsiTheme="minorBidi"/>
          <w:color w:val="FF0000"/>
          <w:rtl/>
        </w:rPr>
        <w:t>- מג"א, (י) שאין זה וכו' - משמע בגיטין דף כ' שאם תוחב אותיות של כסף ע"ג בגד מקרי כתב ע"ש וא"כ אפשר דאסור לעשותו בשבת כת' בהג"מ פ"א מס"ת הא דאיתא בסימן ש"ז סי"א כותבין בשבת פי' בכתב גלחות דאינו אלא שבות דגזרו על שלהם אטו שלנו וכ"מ קצת מל' רמ"א שם, פי' שאומר ל</w:t>
      </w:r>
      <w:r>
        <w:rPr>
          <w:rFonts w:asciiTheme="minorBidi" w:hAnsiTheme="minorBidi"/>
          <w:color w:val="FF0000"/>
          <w:rtl/>
        </w:rPr>
        <w:t>גוי</w:t>
      </w:r>
      <w:r w:rsidRPr="005275DF">
        <w:rPr>
          <w:rFonts w:asciiTheme="minorBidi" w:hAnsiTheme="minorBidi"/>
          <w:color w:val="FF0000"/>
          <w:rtl/>
        </w:rPr>
        <w:t xml:space="preserve"> לכתוב דהוי שבות דשבות ובספ"ז כתב דכתיבה דקה שאנו כותבין שטרי הדיוטות אינו חשוב כתב דאפי' אם האות חסר זיון לא חשיב כ' לענין שבת החמור' כ"ש הכא דקאמרינן בהבונה הא דבעי זיוני עכ"ל ותמהני דהרמב"ם כ' דהכותב בכל כ' ובכל לשון חייב ואפי' משני סמניות ופי' המ"מ אפי' אינן אותיות ידועות רק סי' בעלמא כגון נוני"ן הפוכין גבי ויהי בנסוע עכ"ל והא דבעי זיוני היינו בכתב אשורית דכ"ז שלא זיינן לא נגמרה מלאכתן ואפשר דבכתיבה דקה נמי פטור כיון שהוא נלקח מכתב אשורית אבל בכתב </w:t>
      </w:r>
      <w:r>
        <w:rPr>
          <w:rFonts w:asciiTheme="minorBidi" w:hAnsiTheme="minorBidi"/>
          <w:color w:val="FF0000"/>
          <w:rtl/>
        </w:rPr>
        <w:t>גוי</w:t>
      </w:r>
      <w:r w:rsidRPr="005275DF">
        <w:rPr>
          <w:rFonts w:asciiTheme="minorBidi" w:hAnsiTheme="minorBidi"/>
          <w:color w:val="FF0000"/>
          <w:rtl/>
        </w:rPr>
        <w:t xml:space="preserve"> כיון שהוא כתב שלהן למה לא יתחייב וכ"כ הרב"י בא"ע סימן קכ"ו לענין גט גם בתו' בגיטין דף ח' וס"פ מרובה איתא בהדיא דהוי דאורייתא ואפשר דפליג על הרמב"ם וע' בש"ג בענין הזיונין שהאריך.</w:t>
      </w:r>
    </w:p>
    <w:p w14:paraId="4EADFC03" w14:textId="77777777" w:rsidR="006A4BF8" w:rsidRPr="005275DF" w:rsidRDefault="006A4BF8" w:rsidP="00434A6A">
      <w:pPr>
        <w:tabs>
          <w:tab w:val="left" w:pos="2788"/>
        </w:tabs>
        <w:rPr>
          <w:rFonts w:asciiTheme="minorBidi" w:hAnsiTheme="minorBidi"/>
          <w:rtl/>
        </w:rPr>
      </w:pPr>
    </w:p>
    <w:p w14:paraId="03A9D26A"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ו: מתיחת חוט תפירה.</w:t>
      </w:r>
    </w:p>
    <w:p w14:paraId="24F9DF63"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עה ע"א: </w:t>
      </w:r>
      <w:r w:rsidRPr="005275DF">
        <w:rPr>
          <w:rFonts w:asciiTheme="minorBidi" w:hAnsiTheme="minorBidi"/>
          <w:u w:val="single"/>
          <w:rtl/>
        </w:rPr>
        <w:t>אמר רב זוטרא בר טוביה אמר רב:</w:t>
      </w:r>
      <w:r w:rsidRPr="005275DF">
        <w:rPr>
          <w:rFonts w:asciiTheme="minorBidi" w:hAnsiTheme="minorBidi"/>
          <w:rtl/>
        </w:rPr>
        <w:t xml:space="preserve"> המותח חוט של תפירה בשבת - חייב חטאת.</w:t>
      </w:r>
    </w:p>
    <w:p w14:paraId="0F434A0E"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237CA69F"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 xml:space="preserve">חוט של תפירה שנפתח אסור למתחו משום תופר. </w:t>
      </w:r>
    </w:p>
    <w:p w14:paraId="23E21387" w14:textId="77777777" w:rsidR="006A4BF8" w:rsidRPr="005275DF" w:rsidRDefault="006A4BF8" w:rsidP="00434A6A">
      <w:pPr>
        <w:tabs>
          <w:tab w:val="left" w:pos="2788"/>
        </w:tabs>
        <w:rPr>
          <w:rFonts w:asciiTheme="minorBidi" w:hAnsiTheme="minorBidi"/>
          <w:rtl/>
        </w:rPr>
      </w:pPr>
    </w:p>
    <w:p w14:paraId="3313EEEC"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ז: הידוק החבלים שבבתי ידיים.</w:t>
      </w:r>
    </w:p>
    <w:p w14:paraId="1EC1A2C9" w14:textId="77777777" w:rsidR="006A4BF8" w:rsidRPr="005275DF" w:rsidRDefault="006A4BF8" w:rsidP="00434A6A">
      <w:pPr>
        <w:rPr>
          <w:rFonts w:asciiTheme="minorBidi" w:hAnsiTheme="minorBidi"/>
          <w:u w:val="single"/>
          <w:rtl/>
        </w:rPr>
      </w:pPr>
      <w:r w:rsidRPr="005275DF">
        <w:rPr>
          <w:rFonts w:asciiTheme="minorBidi" w:hAnsiTheme="minorBidi"/>
          <w:u w:val="single"/>
          <w:rtl/>
        </w:rPr>
        <w:t xml:space="preserve">האם מותר להדק את החבלים שבבתי ידיים </w:t>
      </w:r>
      <w:r w:rsidRPr="005275DF">
        <w:rPr>
          <w:rFonts w:asciiTheme="minorBidi" w:hAnsiTheme="minorBidi"/>
          <w:sz w:val="16"/>
          <w:szCs w:val="16"/>
          <w:u w:val="single"/>
          <w:rtl/>
        </w:rPr>
        <w:t>(שניתנו שם כדי להדק את השרוול ליד ולהרפותו)</w:t>
      </w:r>
      <w:r w:rsidRPr="005275DF">
        <w:rPr>
          <w:rFonts w:asciiTheme="minorBidi" w:hAnsiTheme="minorBidi"/>
          <w:u w:val="single"/>
          <w:rtl/>
        </w:rPr>
        <w:t>:</w:t>
      </w:r>
    </w:p>
    <w:p w14:paraId="058EC4B3" w14:textId="77777777" w:rsidR="006A4BF8" w:rsidRPr="005275DF" w:rsidRDefault="006A4BF8" w:rsidP="00FF2D21">
      <w:pPr>
        <w:pStyle w:val="aa"/>
        <w:numPr>
          <w:ilvl w:val="0"/>
          <w:numId w:val="45"/>
        </w:numPr>
        <w:rPr>
          <w:rFonts w:asciiTheme="minorBidi" w:hAnsiTheme="minorBidi"/>
        </w:rPr>
      </w:pPr>
      <w:r w:rsidRPr="005275DF">
        <w:rPr>
          <w:rFonts w:asciiTheme="minorBidi" w:hAnsiTheme="minorBidi"/>
          <w:rtl/>
        </w:rPr>
        <w:t>ספר הנייר</w:t>
      </w:r>
      <w:r w:rsidRPr="005275DF">
        <w:rPr>
          <w:rStyle w:val="a9"/>
          <w:rFonts w:asciiTheme="minorBidi" w:hAnsiTheme="minorBidi"/>
          <w:rtl/>
        </w:rPr>
        <w:footnoteReference w:id="3562"/>
      </w:r>
      <w:r w:rsidRPr="005275DF">
        <w:rPr>
          <w:rFonts w:asciiTheme="minorBidi" w:hAnsiTheme="minorBidi"/>
          <w:rtl/>
        </w:rPr>
        <w:t xml:space="preserve"> ריא"ז הגה"מ בשם סמ"ק ה"ר פרץ ומרדכי- אסור למותחו בשבת אע"פ שהוכנס מער"ש אא"כ יהו הנקבים שהחוט בהן רחבים קצת ומתוקנין בתפירה בעיגול. </w:t>
      </w:r>
    </w:p>
    <w:p w14:paraId="511CCC09" w14:textId="77777777" w:rsidR="006A4BF8" w:rsidRPr="005275DF" w:rsidRDefault="006A4BF8" w:rsidP="00FF2D21">
      <w:pPr>
        <w:pStyle w:val="aa"/>
        <w:numPr>
          <w:ilvl w:val="0"/>
          <w:numId w:val="45"/>
        </w:numPr>
        <w:rPr>
          <w:rFonts w:asciiTheme="minorBidi" w:hAnsiTheme="minorBidi"/>
        </w:rPr>
      </w:pPr>
      <w:r w:rsidRPr="005275DF">
        <w:rPr>
          <w:rFonts w:asciiTheme="minorBidi" w:hAnsiTheme="minorBidi"/>
          <w:rtl/>
        </w:rPr>
        <w:t xml:space="preserve">ראבי"ה </w:t>
      </w:r>
      <w:r w:rsidRPr="005275DF">
        <w:rPr>
          <w:rFonts w:asciiTheme="minorBidi" w:hAnsiTheme="minorBidi"/>
          <w:sz w:val="16"/>
          <w:szCs w:val="16"/>
          <w:rtl/>
        </w:rPr>
        <w:t xml:space="preserve">(סי' רו) </w:t>
      </w:r>
      <w:r w:rsidRPr="005275DF">
        <w:rPr>
          <w:rFonts w:asciiTheme="minorBidi" w:hAnsiTheme="minorBidi"/>
          <w:rtl/>
        </w:rPr>
        <w:t xml:space="preserve">או"ז ר"ן </w:t>
      </w:r>
      <w:r w:rsidRPr="005275DF">
        <w:rPr>
          <w:rFonts w:asciiTheme="minorBidi" w:hAnsiTheme="minorBidi"/>
          <w:sz w:val="16"/>
          <w:szCs w:val="16"/>
          <w:rtl/>
        </w:rPr>
        <w:t>(בחידו')</w:t>
      </w:r>
      <w:r w:rsidRPr="005275DF">
        <w:rPr>
          <w:rFonts w:asciiTheme="minorBidi" w:hAnsiTheme="minorBidi"/>
          <w:rtl/>
        </w:rPr>
        <w:t xml:space="preserve"> ומאירי- מותר למותחו שהרי עשוי הוא להדק ולהרחיב לשעה ולאו בגד תפור מיקרי וכן נמי כל תפירה שאינה מחברת זה בזה שהוא מותר למתוח החוט.</w:t>
      </w:r>
    </w:p>
    <w:p w14:paraId="58CC5A46" w14:textId="77777777" w:rsidR="006A4BF8" w:rsidRPr="005275DF" w:rsidRDefault="006A4BF8" w:rsidP="00FF2D21">
      <w:pPr>
        <w:pStyle w:val="aa"/>
        <w:numPr>
          <w:ilvl w:val="0"/>
          <w:numId w:val="45"/>
        </w:numPr>
        <w:rPr>
          <w:rFonts w:asciiTheme="minorBidi" w:hAnsiTheme="minorBidi"/>
        </w:rPr>
      </w:pPr>
      <w:r w:rsidRPr="005275DF">
        <w:rPr>
          <w:rFonts w:asciiTheme="minorBidi" w:hAnsiTheme="minorBidi"/>
          <w:rtl/>
        </w:rPr>
        <w:t xml:space="preserve">ה"ר ישעיה </w:t>
      </w:r>
      <w:r w:rsidRPr="005275DF">
        <w:rPr>
          <w:rFonts w:asciiTheme="minorBidi" w:hAnsiTheme="minorBidi"/>
          <w:sz w:val="16"/>
          <w:szCs w:val="16"/>
          <w:rtl/>
        </w:rPr>
        <w:t>(בפסקי רי"ד, הובא בשבה"ל)</w:t>
      </w:r>
      <w:r w:rsidRPr="005275DF">
        <w:rPr>
          <w:rFonts w:asciiTheme="minorBidi" w:hAnsiTheme="minorBidi"/>
          <w:rtl/>
        </w:rPr>
        <w:t>- בין אם היה הפתיל מושם בנקבים מער"ש ומהדקו בשבת בין אם הכניסו בנקבים בשבת אין בו משום תופר דתופר לא הוי אלא שרוצה בקיומו שיהא מהודק תמיד</w:t>
      </w:r>
      <w:r w:rsidRPr="005275DF">
        <w:rPr>
          <w:rStyle w:val="a9"/>
          <w:rFonts w:asciiTheme="minorBidi" w:hAnsiTheme="minorBidi"/>
          <w:rtl/>
        </w:rPr>
        <w:footnoteReference w:id="3563"/>
      </w:r>
      <w:r w:rsidRPr="005275DF">
        <w:rPr>
          <w:rFonts w:asciiTheme="minorBidi" w:hAnsiTheme="minorBidi"/>
          <w:rtl/>
        </w:rPr>
        <w:t>.</w:t>
      </w:r>
    </w:p>
    <w:p w14:paraId="32B00393" w14:textId="77777777" w:rsidR="006A4BF8" w:rsidRPr="005275DF" w:rsidRDefault="006A4BF8" w:rsidP="00FF2D21">
      <w:pPr>
        <w:pStyle w:val="aa"/>
        <w:numPr>
          <w:ilvl w:val="0"/>
          <w:numId w:val="45"/>
        </w:numPr>
        <w:rPr>
          <w:rFonts w:asciiTheme="minorBidi" w:hAnsiTheme="minorBidi"/>
        </w:rPr>
      </w:pPr>
      <w:r w:rsidRPr="005275DF">
        <w:rPr>
          <w:rFonts w:asciiTheme="minorBidi" w:hAnsiTheme="minorBidi"/>
          <w:rtl/>
        </w:rPr>
        <w:t>ריבב"ן- אינו יכול לפשוט ולא ללבוש בתי ידיו אא"כ מרחיבן שרי, אבל להכניס המחטין בנקבי בתי ידיו נראה כתופר ואסור.</w:t>
      </w:r>
    </w:p>
    <w:p w14:paraId="2585F792" w14:textId="77777777" w:rsidR="006A4BF8" w:rsidRPr="005275DF" w:rsidRDefault="006A4BF8" w:rsidP="00FF2D21">
      <w:pPr>
        <w:pStyle w:val="aa"/>
        <w:numPr>
          <w:ilvl w:val="0"/>
          <w:numId w:val="45"/>
        </w:numPr>
        <w:rPr>
          <w:rFonts w:asciiTheme="minorBidi" w:hAnsiTheme="minorBidi"/>
          <w:rtl/>
        </w:rPr>
      </w:pPr>
      <w:r w:rsidRPr="005275DF">
        <w:rPr>
          <w:rFonts w:asciiTheme="minorBidi" w:hAnsiTheme="minorBidi"/>
          <w:rtl/>
        </w:rPr>
        <w:t>יראים</w:t>
      </w:r>
      <w:r w:rsidRPr="005275DF">
        <w:rPr>
          <w:rFonts w:asciiTheme="minorBidi" w:hAnsiTheme="minorBidi"/>
          <w:sz w:val="16"/>
          <w:szCs w:val="16"/>
          <w:rtl/>
        </w:rPr>
        <w:t xml:space="preserve"> (סי' רעד קלז:)</w:t>
      </w:r>
      <w:r w:rsidRPr="005275DF">
        <w:rPr>
          <w:rFonts w:asciiTheme="minorBidi" w:hAnsiTheme="minorBidi"/>
          <w:rtl/>
        </w:rPr>
        <w:t>- אסור וחושש אני להם מחטאת ואינו דומה למתיחת חבלים או רצועות שמהדקין בצוארו ששם סופו להרפותן ולהוציא ראשו, ואם חבלי בגדיהם מהודקים שאינו יכול לצאת אלא בהרפותו מותר כחבילי הדקי צואר, ואם חבילי הדקי צואר רחבים שמוציאן בעודם מהודקים ונמלך פעמים להניחם כך אסור להדקן כחוט של תפירה. (וכ"פ החי"א</w:t>
      </w:r>
      <w:r w:rsidRPr="005275DF">
        <w:rPr>
          <w:rFonts w:asciiTheme="minorBidi" w:hAnsiTheme="minorBidi"/>
          <w:sz w:val="16"/>
          <w:szCs w:val="16"/>
          <w:rtl/>
        </w:rPr>
        <w:t xml:space="preserve"> [חלק ב-ג כלל כח סע' ב]</w:t>
      </w:r>
      <w:r w:rsidRPr="005275DF">
        <w:rPr>
          <w:rFonts w:asciiTheme="minorBidi" w:hAnsiTheme="minorBidi"/>
          <w:rtl/>
        </w:rPr>
        <w:t>)</w:t>
      </w:r>
    </w:p>
    <w:p w14:paraId="1F77555D"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4012828A"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אותם שמהדקים הבגדים סביב זרועותיהם על ידי החוט שמותחין אותו ומתהדק אסור למתחו אלא אם כן יהיו הנקבים רחבים קצת ומתוקנים בתפירה בעיגול</w:t>
      </w:r>
      <w:r w:rsidRPr="005275DF">
        <w:rPr>
          <w:rStyle w:val="a9"/>
          <w:rFonts w:asciiTheme="minorBidi" w:hAnsiTheme="minorBidi"/>
          <w:rtl/>
        </w:rPr>
        <w:footnoteReference w:id="3564"/>
      </w:r>
      <w:r w:rsidRPr="005275DF">
        <w:rPr>
          <w:rFonts w:asciiTheme="minorBidi" w:hAnsiTheme="minorBidi"/>
          <w:rtl/>
        </w:rPr>
        <w:t xml:space="preserve">. </w:t>
      </w:r>
    </w:p>
    <w:p w14:paraId="2126B2FD" w14:textId="77777777" w:rsidR="006A4BF8" w:rsidRPr="005275DF" w:rsidRDefault="006A4BF8" w:rsidP="00434A6A">
      <w:pPr>
        <w:tabs>
          <w:tab w:val="left" w:pos="2788"/>
        </w:tabs>
        <w:rPr>
          <w:rFonts w:asciiTheme="minorBidi" w:hAnsiTheme="minorBidi"/>
          <w:rtl/>
        </w:rPr>
      </w:pPr>
    </w:p>
    <w:p w14:paraId="64AD58FE"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ח: נתינת מוכין בכרית.</w:t>
      </w:r>
    </w:p>
    <w:p w14:paraId="693BF43E"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מח ע"א: </w:t>
      </w:r>
      <w:r w:rsidRPr="005275DF">
        <w:rPr>
          <w:rFonts w:asciiTheme="minorBidi" w:hAnsiTheme="minorBidi"/>
          <w:rtl/>
        </w:rPr>
        <w:t>רב חסדא שרא לאהדורי אודרא לבי סדיא</w:t>
      </w:r>
      <w:r w:rsidRPr="005275DF">
        <w:rPr>
          <w:rStyle w:val="a9"/>
          <w:rFonts w:asciiTheme="minorBidi" w:hAnsiTheme="minorBidi"/>
          <w:rtl/>
        </w:rPr>
        <w:footnoteReference w:id="3565"/>
      </w:r>
      <w:r w:rsidRPr="005275DF">
        <w:rPr>
          <w:rFonts w:asciiTheme="minorBidi" w:hAnsiTheme="minorBidi"/>
          <w:rtl/>
        </w:rPr>
        <w:t xml:space="preserve"> בשבתא. איתיביה רב חנן בר חסדא לרב חסדא: מתירין בית הצואר בשבת אבל לא פותחין, ואין נותנין את המוכין לא לתוך הכר ולא לתוך הכסת ביום טוב, ואין צריך לומר בשבת! לא קשיא הא בחדתי</w:t>
      </w:r>
      <w:r w:rsidRPr="005275DF">
        <w:rPr>
          <w:rStyle w:val="a9"/>
          <w:rFonts w:asciiTheme="minorBidi" w:hAnsiTheme="minorBidi"/>
          <w:rtl/>
        </w:rPr>
        <w:footnoteReference w:id="3566"/>
      </w:r>
      <w:r w:rsidRPr="005275DF">
        <w:rPr>
          <w:rFonts w:asciiTheme="minorBidi" w:hAnsiTheme="minorBidi"/>
          <w:rtl/>
        </w:rPr>
        <w:t>, הא בעתיקי</w:t>
      </w:r>
      <w:r w:rsidRPr="005275DF">
        <w:rPr>
          <w:rStyle w:val="a9"/>
          <w:rFonts w:asciiTheme="minorBidi" w:hAnsiTheme="minorBidi"/>
          <w:rtl/>
        </w:rPr>
        <w:footnoteReference w:id="3567"/>
      </w:r>
      <w:r w:rsidRPr="005275DF">
        <w:rPr>
          <w:rFonts w:asciiTheme="minorBidi" w:hAnsiTheme="minorBidi"/>
          <w:rtl/>
        </w:rPr>
        <w:t>. תניא נמי הכי: אין נותנין את המוכין לא לתוך הכר ולא לתוך הכסת ביום טוב, ואין צריך לומר בשבת. נשרו - מחזירין אותן בשבת, ואין צריך לומר ביום טוב.</w:t>
      </w:r>
    </w:p>
    <w:p w14:paraId="3C15E4E9"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2EFB982F"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מוכין שנפלו מן הכסת מותר להחזירן אבל אסור ליתנם בתחלה בכסת</w:t>
      </w:r>
      <w:r w:rsidRPr="005275DF">
        <w:rPr>
          <w:rStyle w:val="a9"/>
          <w:rFonts w:asciiTheme="minorBidi" w:hAnsiTheme="minorBidi"/>
          <w:rtl/>
        </w:rPr>
        <w:footnoteReference w:id="3568"/>
      </w:r>
      <w:r w:rsidRPr="005275DF">
        <w:rPr>
          <w:rFonts w:asciiTheme="minorBidi" w:hAnsiTheme="minorBidi"/>
          <w:rtl/>
        </w:rPr>
        <w:t xml:space="preserve">. </w:t>
      </w:r>
    </w:p>
    <w:p w14:paraId="050A1F3D" w14:textId="77777777" w:rsidR="006A4BF8" w:rsidRPr="005275DF" w:rsidRDefault="006A4BF8" w:rsidP="00434A6A">
      <w:pPr>
        <w:tabs>
          <w:tab w:val="left" w:pos="2788"/>
        </w:tabs>
        <w:rPr>
          <w:rFonts w:asciiTheme="minorBidi" w:hAnsiTheme="minorBidi"/>
          <w:rtl/>
        </w:rPr>
      </w:pPr>
    </w:p>
    <w:p w14:paraId="705D2AAB"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ט: קיבוץ דבר כלשהוא ממקום גידולו.</w:t>
      </w:r>
    </w:p>
    <w:p w14:paraId="413AD536" w14:textId="77777777" w:rsidR="006A4BF8" w:rsidRPr="005275DF" w:rsidRDefault="006A4BF8" w:rsidP="00434A6A">
      <w:pPr>
        <w:rPr>
          <w:rFonts w:asciiTheme="minorBidi" w:hAnsiTheme="minorBidi"/>
          <w:rtl/>
        </w:rPr>
      </w:pPr>
      <w:r w:rsidRPr="005275DF">
        <w:rPr>
          <w:rFonts w:asciiTheme="minorBidi" w:hAnsiTheme="minorBidi"/>
          <w:b/>
          <w:bCs/>
          <w:rtl/>
        </w:rPr>
        <w:t xml:space="preserve">שבת עג ע"ב: </w:t>
      </w:r>
      <w:r w:rsidRPr="005275DF">
        <w:rPr>
          <w:rFonts w:asciiTheme="minorBidi" w:hAnsiTheme="minorBidi"/>
          <w:u w:val="single"/>
          <w:rtl/>
        </w:rPr>
        <w:t>אמר רבה</w:t>
      </w:r>
      <w:r w:rsidRPr="005275DF">
        <w:rPr>
          <w:rStyle w:val="a9"/>
          <w:rFonts w:asciiTheme="minorBidi" w:hAnsiTheme="minorBidi"/>
          <w:u w:val="single"/>
          <w:rtl/>
        </w:rPr>
        <w:footnoteReference w:id="3569"/>
      </w:r>
      <w:r w:rsidRPr="005275DF">
        <w:rPr>
          <w:rFonts w:asciiTheme="minorBidi" w:hAnsiTheme="minorBidi"/>
          <w:u w:val="single"/>
          <w:rtl/>
        </w:rPr>
        <w:t>:</w:t>
      </w:r>
      <w:r w:rsidRPr="005275DF">
        <w:rPr>
          <w:rFonts w:asciiTheme="minorBidi" w:hAnsiTheme="minorBidi"/>
          <w:rtl/>
        </w:rPr>
        <w:t xml:space="preserve"> האי מאן דכניף מילחא ממלחתא</w:t>
      </w:r>
      <w:r w:rsidRPr="005275DF">
        <w:rPr>
          <w:rStyle w:val="a9"/>
          <w:rFonts w:asciiTheme="minorBidi" w:hAnsiTheme="minorBidi"/>
          <w:rtl/>
        </w:rPr>
        <w:footnoteReference w:id="3570"/>
      </w:r>
      <w:r w:rsidRPr="005275DF">
        <w:rPr>
          <w:rFonts w:asciiTheme="minorBidi" w:hAnsiTheme="minorBidi"/>
          <w:rtl/>
        </w:rPr>
        <w:t xml:space="preserve"> חייב משום מעמר</w:t>
      </w:r>
      <w:r w:rsidRPr="005275DF">
        <w:rPr>
          <w:rStyle w:val="a9"/>
          <w:rFonts w:asciiTheme="minorBidi" w:hAnsiTheme="minorBidi"/>
          <w:rtl/>
        </w:rPr>
        <w:footnoteReference w:id="3571"/>
      </w:r>
      <w:r w:rsidRPr="005275DF">
        <w:rPr>
          <w:rFonts w:asciiTheme="minorBidi" w:hAnsiTheme="minorBidi"/>
          <w:rtl/>
        </w:rPr>
        <w:t xml:space="preserve">. </w:t>
      </w:r>
      <w:r w:rsidRPr="005275DF">
        <w:rPr>
          <w:rFonts w:asciiTheme="minorBidi" w:hAnsiTheme="minorBidi"/>
          <w:u w:val="single"/>
          <w:rtl/>
        </w:rPr>
        <w:t>אביי אמר:</w:t>
      </w:r>
      <w:r w:rsidRPr="005275DF">
        <w:rPr>
          <w:rFonts w:asciiTheme="minorBidi" w:hAnsiTheme="minorBidi"/>
          <w:rtl/>
        </w:rPr>
        <w:t xml:space="preserve"> אין עימור אלא בגידולי קרקע. </w:t>
      </w:r>
      <w:r w:rsidRPr="005275DF">
        <w:rPr>
          <w:rFonts w:asciiTheme="minorBidi" w:hAnsiTheme="minorBidi"/>
          <w:sz w:val="16"/>
          <w:szCs w:val="16"/>
          <w:rtl/>
        </w:rPr>
        <w:t>(ופסקו הרמב"ם והרא"ש כאביי, וכ' הטור שמחלוקת אביי ורבה היא על חיוב מדאו' אבל מ"מ אסור מדרבנן)</w:t>
      </w:r>
    </w:p>
    <w:p w14:paraId="09125276"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EF2242E"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אסור לקבץ מלח ממשרפות המלח שדומה למעמר</w:t>
      </w:r>
      <w:r w:rsidRPr="005275DF">
        <w:rPr>
          <w:rStyle w:val="a9"/>
          <w:rFonts w:asciiTheme="minorBidi" w:hAnsiTheme="minorBidi"/>
          <w:rtl/>
        </w:rPr>
        <w:footnoteReference w:id="3572"/>
      </w:r>
      <w:r w:rsidRPr="005275DF">
        <w:rPr>
          <w:rFonts w:asciiTheme="minorBidi" w:hAnsiTheme="minorBidi"/>
          <w:rtl/>
        </w:rPr>
        <w:t xml:space="preserve"> וכן אסור לקבץ כל דבר ממקום גידולו. </w:t>
      </w:r>
    </w:p>
    <w:p w14:paraId="4A62ABBD" w14:textId="77777777" w:rsidR="006A4BF8" w:rsidRPr="005275DF" w:rsidRDefault="006A4BF8" w:rsidP="00434A6A">
      <w:pPr>
        <w:tabs>
          <w:tab w:val="left" w:pos="2788"/>
        </w:tabs>
        <w:rPr>
          <w:rFonts w:asciiTheme="minorBidi" w:hAnsiTheme="minorBidi"/>
          <w:rtl/>
        </w:rPr>
      </w:pPr>
    </w:p>
    <w:p w14:paraId="46633FE3"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 תולדת מעמר.</w:t>
      </w:r>
    </w:p>
    <w:p w14:paraId="6896B337"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78663751" w14:textId="77777777" w:rsidR="006A4BF8" w:rsidRPr="005275DF" w:rsidRDefault="006A4BF8" w:rsidP="00434A6A">
      <w:pPr>
        <w:tabs>
          <w:tab w:val="left" w:pos="2788"/>
        </w:tabs>
        <w:rPr>
          <w:rFonts w:asciiTheme="minorBidi" w:hAnsiTheme="minorBidi"/>
          <w:sz w:val="16"/>
          <w:szCs w:val="16"/>
          <w:rtl/>
        </w:rPr>
      </w:pPr>
      <w:r w:rsidRPr="005275DF">
        <w:rPr>
          <w:rFonts w:asciiTheme="minorBidi" w:hAnsiTheme="minorBidi"/>
          <w:rtl/>
        </w:rPr>
        <w:t>המקבץ דבילה ועשה ממנה עיגול או שנקב תאנים והכניס החבל בהם עד שנתקבצו גוף אחד הרי זה תולדת מעמר</w:t>
      </w:r>
      <w:r w:rsidRPr="005275DF">
        <w:rPr>
          <w:rStyle w:val="a9"/>
          <w:rFonts w:asciiTheme="minorBidi" w:hAnsiTheme="minorBidi"/>
          <w:rtl/>
        </w:rPr>
        <w:footnoteReference w:id="3573"/>
      </w:r>
      <w:r w:rsidRPr="005275DF">
        <w:rPr>
          <w:rFonts w:asciiTheme="minorBidi" w:hAnsiTheme="minorBidi"/>
          <w:rtl/>
        </w:rPr>
        <w:t xml:space="preserve"> וחייב</w:t>
      </w:r>
      <w:r w:rsidRPr="005275DF">
        <w:rPr>
          <w:rStyle w:val="a9"/>
          <w:rFonts w:asciiTheme="minorBidi" w:hAnsiTheme="minorBidi"/>
          <w:rtl/>
        </w:rPr>
        <w:footnoteReference w:id="3574"/>
      </w:r>
      <w:r w:rsidRPr="005275DF">
        <w:rPr>
          <w:rFonts w:asciiTheme="minorBidi" w:hAnsiTheme="minorBidi"/>
          <w:rtl/>
        </w:rPr>
        <w:t xml:space="preserve"> וכן כל כיוצא בזה. </w:t>
      </w:r>
      <w:r w:rsidRPr="005275DF">
        <w:rPr>
          <w:rFonts w:asciiTheme="minorBidi" w:hAnsiTheme="minorBidi"/>
          <w:sz w:val="16"/>
          <w:szCs w:val="16"/>
          <w:rtl/>
        </w:rPr>
        <w:t>{רמב"ם}</w:t>
      </w:r>
    </w:p>
    <w:p w14:paraId="046525AD" w14:textId="77777777" w:rsidR="006A4BF8" w:rsidRPr="005275DF" w:rsidRDefault="006A4BF8" w:rsidP="00434A6A">
      <w:pPr>
        <w:tabs>
          <w:tab w:val="left" w:pos="2788"/>
        </w:tabs>
        <w:rPr>
          <w:rFonts w:asciiTheme="minorBidi" w:hAnsiTheme="minorBidi"/>
          <w:rtl/>
        </w:rPr>
      </w:pPr>
    </w:p>
    <w:p w14:paraId="37630C14"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יא: חיבוץ.</w:t>
      </w:r>
    </w:p>
    <w:p w14:paraId="6DD337E0" w14:textId="77777777" w:rsidR="006A4BF8" w:rsidRPr="005275DF" w:rsidRDefault="006A4BF8" w:rsidP="00434A6A">
      <w:pPr>
        <w:rPr>
          <w:rFonts w:asciiTheme="minorBidi" w:hAnsiTheme="minorBidi"/>
          <w:rtl/>
        </w:rPr>
      </w:pPr>
      <w:r w:rsidRPr="005275DF">
        <w:rPr>
          <w:rFonts w:asciiTheme="minorBidi" w:hAnsiTheme="minorBidi"/>
          <w:b/>
          <w:bCs/>
          <w:rtl/>
        </w:rPr>
        <w:t xml:space="preserve">תוספתא </w:t>
      </w:r>
      <w:r w:rsidRPr="005275DF">
        <w:rPr>
          <w:rFonts w:asciiTheme="minorBidi" w:hAnsiTheme="minorBidi"/>
          <w:b/>
          <w:bCs/>
          <w:sz w:val="16"/>
          <w:szCs w:val="16"/>
          <w:rtl/>
        </w:rPr>
        <w:t xml:space="preserve">(ליברמן) </w:t>
      </w:r>
      <w:r w:rsidRPr="005275DF">
        <w:rPr>
          <w:rFonts w:asciiTheme="minorBidi" w:hAnsiTheme="minorBidi"/>
          <w:b/>
          <w:bCs/>
          <w:rtl/>
        </w:rPr>
        <w:t xml:space="preserve">שבת יב יד: </w:t>
      </w:r>
      <w:r w:rsidRPr="005275DF">
        <w:rPr>
          <w:rFonts w:asciiTheme="minorBidi" w:hAnsiTheme="minorBidi"/>
          <w:rtl/>
        </w:rPr>
        <w:t>נותנין שמשמין ואגוזין לתוך הדבש ובלבד שלא יחבץ.</w:t>
      </w:r>
    </w:p>
    <w:p w14:paraId="5B1379B2"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15307C1B"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אף על פי שנותנים שומשמין ואגוזים לדבש לא יחבצם בידו</w:t>
      </w:r>
      <w:r w:rsidRPr="005275DF">
        <w:rPr>
          <w:rStyle w:val="a9"/>
          <w:rFonts w:asciiTheme="minorBidi" w:hAnsiTheme="minorBidi"/>
          <w:rtl/>
        </w:rPr>
        <w:footnoteReference w:id="3575"/>
      </w:r>
      <w:r w:rsidRPr="005275DF">
        <w:rPr>
          <w:rFonts w:asciiTheme="minorBidi" w:hAnsiTheme="minorBidi"/>
          <w:rtl/>
        </w:rPr>
        <w:t xml:space="preserve">. </w:t>
      </w:r>
    </w:p>
    <w:p w14:paraId="0015D481" w14:textId="77777777" w:rsidR="006A4BF8" w:rsidRPr="005275DF" w:rsidRDefault="006A4BF8" w:rsidP="00434A6A">
      <w:pPr>
        <w:tabs>
          <w:tab w:val="left" w:pos="2788"/>
        </w:tabs>
        <w:rPr>
          <w:rFonts w:asciiTheme="minorBidi" w:hAnsiTheme="minorBidi"/>
          <w:rtl/>
        </w:rPr>
      </w:pPr>
    </w:p>
    <w:p w14:paraId="60861148"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יב: נתנית זרעי פשתן וכיוצא בהן במים.</w:t>
      </w:r>
    </w:p>
    <w:p w14:paraId="1251EEBF" w14:textId="77777777" w:rsidR="006A4BF8" w:rsidRPr="005275DF" w:rsidRDefault="006A4BF8" w:rsidP="00434A6A">
      <w:pPr>
        <w:rPr>
          <w:rFonts w:asciiTheme="minorBidi" w:hAnsiTheme="minorBidi"/>
          <w:rtl/>
        </w:rPr>
      </w:pPr>
      <w:r w:rsidRPr="005275DF">
        <w:rPr>
          <w:rFonts w:asciiTheme="minorBidi" w:hAnsiTheme="minorBidi"/>
          <w:b/>
          <w:bCs/>
          <w:rtl/>
        </w:rPr>
        <w:t xml:space="preserve">זבחים צד ע"ב: </w:t>
      </w:r>
      <w:r w:rsidRPr="005275DF">
        <w:rPr>
          <w:rFonts w:asciiTheme="minorBidi" w:hAnsiTheme="minorBidi"/>
          <w:u w:val="single"/>
          <w:rtl/>
        </w:rPr>
        <w:t>דאמר רבא</w:t>
      </w:r>
      <w:r w:rsidRPr="005275DF">
        <w:rPr>
          <w:rFonts w:asciiTheme="minorBidi" w:hAnsiTheme="minorBidi"/>
          <w:rtl/>
        </w:rPr>
        <w:t>: זרק סודר למים - חייב, זרק פשתן למים - חייב. בשלמא סודר עביד כיבוס, אלא זרע פשתן מ"ט? וכ"ת משום דמקדח</w:t>
      </w:r>
      <w:r w:rsidRPr="005275DF">
        <w:rPr>
          <w:rStyle w:val="a9"/>
          <w:rFonts w:asciiTheme="minorBidi" w:hAnsiTheme="minorBidi"/>
          <w:rtl/>
        </w:rPr>
        <w:footnoteReference w:id="3576"/>
      </w:r>
      <w:r w:rsidRPr="005275DF">
        <w:rPr>
          <w:rFonts w:asciiTheme="minorBidi" w:hAnsiTheme="minorBidi"/>
          <w:rtl/>
        </w:rPr>
        <w:t>, אי הכי חיטי ושערי נמי! הנך אית להו רירי</w:t>
      </w:r>
      <w:r w:rsidRPr="005275DF">
        <w:rPr>
          <w:rStyle w:val="a9"/>
          <w:rFonts w:asciiTheme="minorBidi" w:hAnsiTheme="minorBidi"/>
          <w:rtl/>
        </w:rPr>
        <w:footnoteReference w:id="3577"/>
      </w:r>
      <w:r w:rsidRPr="005275DF">
        <w:rPr>
          <w:rFonts w:asciiTheme="minorBidi" w:hAnsiTheme="minorBidi"/>
          <w:rtl/>
        </w:rPr>
        <w:t>. א"ה שלחים נמי</w:t>
      </w:r>
      <w:r w:rsidRPr="005275DF">
        <w:rPr>
          <w:rStyle w:val="a9"/>
          <w:rFonts w:asciiTheme="minorBidi" w:hAnsiTheme="minorBidi"/>
          <w:rtl/>
        </w:rPr>
        <w:footnoteReference w:id="3578"/>
      </w:r>
      <w:r w:rsidRPr="005275DF">
        <w:rPr>
          <w:rFonts w:asciiTheme="minorBidi" w:hAnsiTheme="minorBidi"/>
          <w:rtl/>
        </w:rPr>
        <w:t>! התם קעביד לישה</w:t>
      </w:r>
      <w:r w:rsidRPr="005275DF">
        <w:rPr>
          <w:rStyle w:val="a9"/>
          <w:rFonts w:asciiTheme="minorBidi" w:hAnsiTheme="minorBidi"/>
          <w:rtl/>
        </w:rPr>
        <w:footnoteReference w:id="3579"/>
      </w:r>
      <w:r w:rsidRPr="005275DF">
        <w:rPr>
          <w:rFonts w:asciiTheme="minorBidi" w:hAnsiTheme="minorBidi"/>
          <w:rtl/>
        </w:rPr>
        <w:t>.</w:t>
      </w:r>
    </w:p>
    <w:p w14:paraId="6C40D29A"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0DDC4726"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הנותן זרע פשתן או שומשמין וכיוצא בהם</w:t>
      </w:r>
      <w:r w:rsidRPr="005275DF">
        <w:rPr>
          <w:rStyle w:val="a9"/>
          <w:rFonts w:asciiTheme="minorBidi" w:hAnsiTheme="minorBidi"/>
          <w:rtl/>
        </w:rPr>
        <w:footnoteReference w:id="3580"/>
      </w:r>
      <w:r w:rsidRPr="005275DF">
        <w:rPr>
          <w:rFonts w:asciiTheme="minorBidi" w:hAnsiTheme="minorBidi"/>
          <w:rtl/>
        </w:rPr>
        <w:t xml:space="preserve"> במים חייב משום לש מפני שמתערבים ונתלים זה בזה. </w:t>
      </w:r>
    </w:p>
    <w:p w14:paraId="56A2312E" w14:textId="77777777" w:rsidR="006A4BF8" w:rsidRPr="005275DF" w:rsidRDefault="006A4BF8" w:rsidP="00434A6A">
      <w:pPr>
        <w:tabs>
          <w:tab w:val="left" w:pos="2788"/>
        </w:tabs>
        <w:rPr>
          <w:rFonts w:asciiTheme="minorBidi" w:hAnsiTheme="minorBidi"/>
          <w:rtl/>
        </w:rPr>
      </w:pPr>
    </w:p>
    <w:p w14:paraId="27458A47"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יג: שבירת חרס וקריעת נייר.</w:t>
      </w:r>
    </w:p>
    <w:p w14:paraId="31D69418" w14:textId="77777777" w:rsidR="006A4BF8" w:rsidRPr="005275DF" w:rsidRDefault="006A4BF8" w:rsidP="00434A6A">
      <w:pPr>
        <w:rPr>
          <w:rFonts w:asciiTheme="minorBidi" w:hAnsiTheme="minorBidi"/>
          <w:rtl/>
        </w:rPr>
      </w:pPr>
      <w:r w:rsidRPr="005275DF">
        <w:rPr>
          <w:rFonts w:asciiTheme="minorBidi" w:hAnsiTheme="minorBidi"/>
          <w:b/>
          <w:bCs/>
          <w:rtl/>
        </w:rPr>
        <w:t xml:space="preserve">ביצה לב ע"ב: </w:t>
      </w:r>
      <w:r w:rsidRPr="005275DF">
        <w:rPr>
          <w:rFonts w:asciiTheme="minorBidi" w:hAnsiTheme="minorBidi"/>
          <w:u w:val="double"/>
          <w:rtl/>
        </w:rPr>
        <w:t>משנה:</w:t>
      </w:r>
      <w:r w:rsidRPr="005275DF">
        <w:rPr>
          <w:rFonts w:asciiTheme="minorBidi" w:hAnsiTheme="minorBidi"/>
          <w:rtl/>
        </w:rPr>
        <w:t xml:space="preserve"> אין שוברין את החרס</w:t>
      </w:r>
      <w:r w:rsidRPr="005275DF">
        <w:rPr>
          <w:rStyle w:val="a9"/>
          <w:rFonts w:asciiTheme="minorBidi" w:hAnsiTheme="minorBidi"/>
          <w:rtl/>
        </w:rPr>
        <w:footnoteReference w:id="3581"/>
      </w:r>
      <w:r w:rsidRPr="005275DF">
        <w:rPr>
          <w:rFonts w:asciiTheme="minorBidi" w:hAnsiTheme="minorBidi"/>
          <w:rtl/>
        </w:rPr>
        <w:t xml:space="preserve"> ואין חותכין הנייר לצלות בו מליח....     </w:t>
      </w:r>
      <w:r w:rsidRPr="005275DF">
        <w:rPr>
          <w:rFonts w:asciiTheme="minorBidi" w:hAnsiTheme="minorBidi"/>
          <w:u w:val="double"/>
          <w:rtl/>
        </w:rPr>
        <w:t>גמ':</w:t>
      </w:r>
      <w:r w:rsidRPr="005275DF">
        <w:rPr>
          <w:rFonts w:asciiTheme="minorBidi" w:hAnsiTheme="minorBidi"/>
          <w:rtl/>
        </w:rPr>
        <w:t xml:space="preserve"> מאי טעמא? משום דקא מתקן מנא.</w:t>
      </w:r>
    </w:p>
    <w:p w14:paraId="0FFC2F71"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58B4C9E8" w14:textId="77777777" w:rsidR="006A4BF8" w:rsidRPr="005275DF" w:rsidRDefault="006A4BF8" w:rsidP="00434A6A">
      <w:pPr>
        <w:tabs>
          <w:tab w:val="left" w:pos="2788"/>
        </w:tabs>
        <w:rPr>
          <w:rFonts w:asciiTheme="minorBidi" w:hAnsiTheme="minorBidi"/>
          <w:rtl/>
        </w:rPr>
      </w:pPr>
      <w:r w:rsidRPr="005275DF">
        <w:rPr>
          <w:rFonts w:asciiTheme="minorBidi" w:hAnsiTheme="minorBidi"/>
          <w:rtl/>
        </w:rPr>
        <w:t>אין שוברים החרס</w:t>
      </w:r>
      <w:r w:rsidRPr="005275DF">
        <w:rPr>
          <w:rStyle w:val="a9"/>
          <w:rFonts w:asciiTheme="minorBidi" w:hAnsiTheme="minorBidi"/>
          <w:rtl/>
        </w:rPr>
        <w:footnoteReference w:id="3582"/>
      </w:r>
      <w:r w:rsidRPr="005275DF">
        <w:rPr>
          <w:rFonts w:asciiTheme="minorBidi" w:hAnsiTheme="minorBidi"/>
          <w:rtl/>
        </w:rPr>
        <w:t xml:space="preserve"> ואין קורעין הנייר</w:t>
      </w:r>
      <w:r w:rsidRPr="005275DF">
        <w:rPr>
          <w:rStyle w:val="a9"/>
          <w:rFonts w:asciiTheme="minorBidi" w:hAnsiTheme="minorBidi"/>
          <w:rtl/>
        </w:rPr>
        <w:footnoteReference w:id="3583"/>
      </w:r>
      <w:r w:rsidRPr="005275DF">
        <w:rPr>
          <w:rFonts w:asciiTheme="minorBidi" w:hAnsiTheme="minorBidi"/>
          <w:rtl/>
        </w:rPr>
        <w:t xml:space="preserve"> מפני שהוא כמתקן כלי. </w:t>
      </w:r>
      <w:r w:rsidRPr="005275DF">
        <w:rPr>
          <w:rFonts w:asciiTheme="minorBidi" w:hAnsiTheme="minorBidi"/>
          <w:sz w:val="16"/>
          <w:szCs w:val="16"/>
          <w:rtl/>
        </w:rPr>
        <w:t>{רמב"ם}</w:t>
      </w:r>
      <w:r w:rsidRPr="005275DF">
        <w:rPr>
          <w:rFonts w:asciiTheme="minorBidi" w:hAnsiTheme="minorBidi"/>
          <w:rtl/>
        </w:rPr>
        <w:t xml:space="preserve"> </w:t>
      </w:r>
    </w:p>
    <w:p w14:paraId="2AB2AA8A" w14:textId="77777777" w:rsidR="006A4BF8" w:rsidRPr="005275DF" w:rsidRDefault="006A4BF8" w:rsidP="00434A6A">
      <w:pPr>
        <w:tabs>
          <w:tab w:val="left" w:pos="2788"/>
        </w:tabs>
        <w:rPr>
          <w:rFonts w:asciiTheme="minorBidi" w:hAnsiTheme="minorBidi"/>
          <w:rtl/>
        </w:rPr>
      </w:pPr>
    </w:p>
    <w:p w14:paraId="23454122" w14:textId="77777777" w:rsidR="006A4BF8" w:rsidRPr="005275DF" w:rsidRDefault="006A4BF8" w:rsidP="00434A6A">
      <w:pPr>
        <w:pStyle w:val="2"/>
        <w:rPr>
          <w:rFonts w:asciiTheme="minorBidi" w:hAnsiTheme="minorBidi" w:cstheme="minorBidi"/>
          <w:rtl/>
        </w:rPr>
      </w:pPr>
      <w:r w:rsidRPr="005275DF">
        <w:rPr>
          <w:rFonts w:asciiTheme="minorBidi" w:hAnsiTheme="minorBidi" w:cstheme="minorBidi"/>
          <w:rtl/>
        </w:rPr>
        <w:t>סעיף יד: הדבקה או פירוק של ניירות/עורות דבוקים.</w:t>
      </w:r>
    </w:p>
    <w:p w14:paraId="32E07664"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682AA747" w14:textId="77777777" w:rsidR="006A4BF8" w:rsidRDefault="006A4BF8" w:rsidP="00434A6A">
      <w:pPr>
        <w:tabs>
          <w:tab w:val="left" w:pos="2788"/>
        </w:tabs>
        <w:rPr>
          <w:rFonts w:asciiTheme="minorBidi" w:hAnsiTheme="minorBidi"/>
          <w:rtl/>
        </w:rPr>
      </w:pPr>
      <w:r w:rsidRPr="005275DF">
        <w:rPr>
          <w:rFonts w:asciiTheme="minorBidi" w:hAnsiTheme="minorBidi"/>
          <w:rtl/>
        </w:rPr>
        <w:t>המדבק ניירות או עורות בקולן של סופרים וכיוצא בו הרי זה תולדת תופר וחייב, וכן המפרק ניירות דבוקים או עורות דבוקים ולא נתכוין לקלקל בלבד</w:t>
      </w:r>
      <w:r w:rsidRPr="005275DF">
        <w:rPr>
          <w:rStyle w:val="a9"/>
          <w:rFonts w:asciiTheme="minorBidi" w:hAnsiTheme="minorBidi"/>
          <w:rtl/>
        </w:rPr>
        <w:footnoteReference w:id="3584"/>
      </w:r>
      <w:r w:rsidRPr="005275DF">
        <w:rPr>
          <w:rFonts w:asciiTheme="minorBidi" w:hAnsiTheme="minorBidi"/>
          <w:rtl/>
        </w:rPr>
        <w:t xml:space="preserve"> הרי זה תולדת קורע וחייב</w:t>
      </w:r>
      <w:r w:rsidRPr="005275DF">
        <w:rPr>
          <w:rStyle w:val="a9"/>
          <w:rFonts w:asciiTheme="minorBidi" w:hAnsiTheme="minorBidi"/>
          <w:rtl/>
        </w:rPr>
        <w:footnoteReference w:id="3585"/>
      </w:r>
      <w:r w:rsidRPr="005275DF">
        <w:rPr>
          <w:rFonts w:asciiTheme="minorBidi" w:hAnsiTheme="minorBidi"/>
          <w:rtl/>
        </w:rPr>
        <w:t>.</w:t>
      </w:r>
    </w:p>
    <w:p w14:paraId="47603D89" w14:textId="77777777" w:rsidR="006A4BF8" w:rsidRDefault="006A4BF8" w:rsidP="00434A6A">
      <w:pPr>
        <w:pStyle w:val="1"/>
        <w:rPr>
          <w:rtl/>
        </w:rPr>
        <w:sectPr w:rsidR="006A4BF8" w:rsidSect="00BD29B1">
          <w:headerReference w:type="default" r:id="rId107"/>
          <w:footnotePr>
            <w:numRestart w:val="eachSect"/>
          </w:footnotePr>
          <w:pgSz w:w="11906" w:h="16838"/>
          <w:pgMar w:top="720" w:right="1134" w:bottom="720" w:left="1134" w:header="0" w:footer="0" w:gutter="0"/>
          <w:cols w:space="720"/>
          <w:bidi/>
          <w:rtlGutter/>
          <w:docGrid w:linePitch="360"/>
        </w:sectPr>
      </w:pPr>
    </w:p>
    <w:p w14:paraId="52259C71" w14:textId="77777777" w:rsidR="006A4BF8" w:rsidRPr="00506702" w:rsidRDefault="006A4BF8" w:rsidP="00434A6A">
      <w:pPr>
        <w:pStyle w:val="1"/>
        <w:rPr>
          <w:rtl/>
        </w:rPr>
      </w:pPr>
      <w:r>
        <w:rPr>
          <w:rFonts w:hint="cs"/>
          <w:rtl/>
        </w:rPr>
        <w:t xml:space="preserve">סימן שמא: </w:t>
      </w:r>
      <w:r w:rsidRPr="00506702">
        <w:rPr>
          <w:rFonts w:hint="cs"/>
          <w:rtl/>
        </w:rPr>
        <w:t>היתר</w:t>
      </w:r>
      <w:r w:rsidRPr="00506702">
        <w:rPr>
          <w:rtl/>
        </w:rPr>
        <w:t xml:space="preserve"> </w:t>
      </w:r>
      <w:r w:rsidRPr="00506702">
        <w:rPr>
          <w:rFonts w:hint="cs"/>
          <w:rtl/>
        </w:rPr>
        <w:t>נדרים</w:t>
      </w:r>
      <w:r w:rsidRPr="00506702">
        <w:rPr>
          <w:rtl/>
        </w:rPr>
        <w:t xml:space="preserve"> </w:t>
      </w:r>
      <w:r w:rsidRPr="00506702">
        <w:rPr>
          <w:rFonts w:hint="cs"/>
          <w:rtl/>
        </w:rPr>
        <w:t>בשבת</w:t>
      </w:r>
      <w:r w:rsidRPr="00506702">
        <w:rPr>
          <w:rtl/>
        </w:rPr>
        <w:t xml:space="preserve">, </w:t>
      </w:r>
      <w:r w:rsidRPr="00506702">
        <w:rPr>
          <w:rFonts w:hint="cs"/>
          <w:rtl/>
        </w:rPr>
        <w:t>ובו</w:t>
      </w:r>
      <w:r w:rsidRPr="00506702">
        <w:rPr>
          <w:rtl/>
        </w:rPr>
        <w:t xml:space="preserve"> </w:t>
      </w:r>
      <w:r w:rsidRPr="00506702">
        <w:rPr>
          <w:rFonts w:hint="cs"/>
          <w:rtl/>
        </w:rPr>
        <w:t>ג</w:t>
      </w:r>
      <w:r w:rsidRPr="00506702">
        <w:rPr>
          <w:rtl/>
        </w:rPr>
        <w:t xml:space="preserve">' </w:t>
      </w:r>
      <w:r w:rsidRPr="00506702">
        <w:rPr>
          <w:rFonts w:hint="cs"/>
          <w:rtl/>
        </w:rPr>
        <w:t>סעיפים</w:t>
      </w:r>
      <w:r w:rsidRPr="00506702">
        <w:rPr>
          <w:rtl/>
        </w:rPr>
        <w:t xml:space="preserve">. </w:t>
      </w:r>
    </w:p>
    <w:p w14:paraId="07EF7591" w14:textId="77777777" w:rsidR="006A4BF8" w:rsidRPr="00506702" w:rsidRDefault="006A4BF8" w:rsidP="00434A6A">
      <w:pPr>
        <w:pStyle w:val="2"/>
        <w:rPr>
          <w:rtl/>
        </w:rPr>
      </w:pPr>
      <w:r w:rsidRPr="00506702">
        <w:rPr>
          <w:rFonts w:hint="cs"/>
          <w:rtl/>
        </w:rPr>
        <w:t>סעיף</w:t>
      </w:r>
      <w:r w:rsidRPr="00506702">
        <w:rPr>
          <w:rtl/>
        </w:rPr>
        <w:t xml:space="preserve"> </w:t>
      </w:r>
      <w:r w:rsidRPr="00506702">
        <w:rPr>
          <w:rFonts w:hint="cs"/>
          <w:rtl/>
        </w:rPr>
        <w:t>א</w:t>
      </w:r>
    </w:p>
    <w:p w14:paraId="087DFF57" w14:textId="77777777" w:rsidR="006A4BF8" w:rsidRPr="00506702" w:rsidRDefault="006A4BF8" w:rsidP="00434A6A">
      <w:pPr>
        <w:tabs>
          <w:tab w:val="left" w:pos="2788"/>
        </w:tabs>
        <w:rPr>
          <w:rFonts w:asciiTheme="minorBidi" w:hAnsiTheme="minorBidi"/>
          <w:rtl/>
        </w:rPr>
      </w:pPr>
      <w:r w:rsidRPr="00506702">
        <w:rPr>
          <w:rFonts w:asciiTheme="minorBidi" w:hAnsiTheme="minorBidi" w:cs="Arial" w:hint="cs"/>
          <w:rtl/>
        </w:rPr>
        <w:t>מתירים</w:t>
      </w:r>
      <w:r w:rsidRPr="00506702">
        <w:rPr>
          <w:rFonts w:asciiTheme="minorBidi" w:hAnsiTheme="minorBidi" w:cs="Arial"/>
          <w:rtl/>
        </w:rPr>
        <w:t xml:space="preserve"> </w:t>
      </w:r>
      <w:r w:rsidRPr="00506702">
        <w:rPr>
          <w:rFonts w:asciiTheme="minorBidi" w:hAnsiTheme="minorBidi" w:cs="Arial" w:hint="cs"/>
          <w:rtl/>
        </w:rPr>
        <w:t>נדרים</w:t>
      </w:r>
      <w:r w:rsidRPr="00506702">
        <w:rPr>
          <w:rFonts w:asciiTheme="minorBidi" w:hAnsiTheme="minorBidi" w:cs="Arial"/>
          <w:rtl/>
        </w:rPr>
        <w:t xml:space="preserve"> </w:t>
      </w:r>
      <w:r w:rsidRPr="00506702">
        <w:rPr>
          <w:rFonts w:asciiTheme="minorBidi" w:hAnsiTheme="minorBidi" w:cs="Arial" w:hint="cs"/>
          <w:rtl/>
        </w:rPr>
        <w:t>בשבת</w:t>
      </w:r>
      <w:r w:rsidRPr="00506702">
        <w:rPr>
          <w:rFonts w:asciiTheme="minorBidi" w:hAnsiTheme="minorBidi" w:cs="Arial"/>
          <w:rtl/>
        </w:rPr>
        <w:t xml:space="preserve"> </w:t>
      </w:r>
      <w:r w:rsidRPr="00506702">
        <w:rPr>
          <w:rFonts w:asciiTheme="minorBidi" w:hAnsiTheme="minorBidi" w:cs="Arial" w:hint="cs"/>
          <w:rtl/>
        </w:rPr>
        <w:t>אם</w:t>
      </w:r>
      <w:r w:rsidRPr="00506702">
        <w:rPr>
          <w:rFonts w:asciiTheme="minorBidi" w:hAnsiTheme="minorBidi" w:cs="Arial"/>
          <w:rtl/>
        </w:rPr>
        <w:t xml:space="preserve"> </w:t>
      </w:r>
      <w:r w:rsidRPr="00506702">
        <w:rPr>
          <w:rFonts w:asciiTheme="minorBidi" w:hAnsiTheme="minorBidi" w:cs="Arial" w:hint="cs"/>
          <w:rtl/>
        </w:rPr>
        <w:t>הם</w:t>
      </w:r>
      <w:r w:rsidRPr="00506702">
        <w:rPr>
          <w:rFonts w:asciiTheme="minorBidi" w:hAnsiTheme="minorBidi" w:cs="Arial"/>
          <w:rtl/>
        </w:rPr>
        <w:t xml:space="preserve"> </w:t>
      </w:r>
      <w:r w:rsidRPr="00506702">
        <w:rPr>
          <w:rFonts w:asciiTheme="minorBidi" w:hAnsiTheme="minorBidi" w:cs="Arial" w:hint="cs"/>
          <w:rtl/>
        </w:rPr>
        <w:t>לצורך</w:t>
      </w:r>
      <w:r w:rsidRPr="00506702">
        <w:rPr>
          <w:rFonts w:asciiTheme="minorBidi" w:hAnsiTheme="minorBidi" w:cs="Arial"/>
          <w:rtl/>
        </w:rPr>
        <w:t xml:space="preserve"> </w:t>
      </w:r>
      <w:r w:rsidRPr="00506702">
        <w:rPr>
          <w:rFonts w:asciiTheme="minorBidi" w:hAnsiTheme="minorBidi" w:cs="Arial" w:hint="cs"/>
          <w:rtl/>
        </w:rPr>
        <w:t>השבת</w:t>
      </w:r>
      <w:r w:rsidRPr="00506702">
        <w:rPr>
          <w:rFonts w:asciiTheme="minorBidi" w:hAnsiTheme="minorBidi" w:cs="Arial"/>
          <w:rtl/>
        </w:rPr>
        <w:t xml:space="preserve">, </w:t>
      </w:r>
      <w:r w:rsidRPr="00506702">
        <w:rPr>
          <w:rFonts w:asciiTheme="minorBidi" w:hAnsiTheme="minorBidi" w:cs="Arial" w:hint="cs"/>
          <w:rtl/>
        </w:rPr>
        <w:t>כגון</w:t>
      </w:r>
      <w:r w:rsidRPr="00506702">
        <w:rPr>
          <w:rFonts w:asciiTheme="minorBidi" w:hAnsiTheme="minorBidi" w:cs="Arial"/>
          <w:rtl/>
        </w:rPr>
        <w:t xml:space="preserve"> </w:t>
      </w:r>
      <w:r w:rsidRPr="00506702">
        <w:rPr>
          <w:rFonts w:asciiTheme="minorBidi" w:hAnsiTheme="minorBidi" w:cs="Arial" w:hint="cs"/>
          <w:rtl/>
        </w:rPr>
        <w:t>שנדר</w:t>
      </w:r>
      <w:r w:rsidRPr="00506702">
        <w:rPr>
          <w:rFonts w:asciiTheme="minorBidi" w:hAnsiTheme="minorBidi" w:cs="Arial"/>
          <w:rtl/>
        </w:rPr>
        <w:t xml:space="preserve"> </w:t>
      </w:r>
      <w:r w:rsidRPr="00506702">
        <w:rPr>
          <w:rFonts w:asciiTheme="minorBidi" w:hAnsiTheme="minorBidi" w:cs="Arial" w:hint="cs"/>
          <w:rtl/>
        </w:rPr>
        <w:t>שלא</w:t>
      </w:r>
      <w:r w:rsidRPr="00506702">
        <w:rPr>
          <w:rFonts w:asciiTheme="minorBidi" w:hAnsiTheme="minorBidi" w:cs="Arial"/>
          <w:rtl/>
        </w:rPr>
        <w:t xml:space="preserve"> </w:t>
      </w:r>
      <w:r w:rsidRPr="00506702">
        <w:rPr>
          <w:rFonts w:asciiTheme="minorBidi" w:hAnsiTheme="minorBidi" w:cs="Arial" w:hint="cs"/>
          <w:rtl/>
        </w:rPr>
        <w:t>לאכול</w:t>
      </w:r>
      <w:r w:rsidRPr="00506702">
        <w:rPr>
          <w:rFonts w:asciiTheme="minorBidi" w:hAnsiTheme="minorBidi" w:cs="Arial"/>
          <w:rtl/>
        </w:rPr>
        <w:t xml:space="preserve"> </w:t>
      </w:r>
      <w:r w:rsidRPr="00506702">
        <w:rPr>
          <w:rFonts w:asciiTheme="minorBidi" w:hAnsiTheme="minorBidi" w:cs="Arial" w:hint="cs"/>
          <w:rtl/>
        </w:rPr>
        <w:t>או</w:t>
      </w:r>
      <w:r w:rsidRPr="00506702">
        <w:rPr>
          <w:rFonts w:asciiTheme="minorBidi" w:hAnsiTheme="minorBidi" w:cs="Arial"/>
          <w:rtl/>
        </w:rPr>
        <w:t xml:space="preserve"> </w:t>
      </w:r>
      <w:r w:rsidRPr="00506702">
        <w:rPr>
          <w:rFonts w:asciiTheme="minorBidi" w:hAnsiTheme="minorBidi" w:cs="Arial" w:hint="cs"/>
          <w:rtl/>
        </w:rPr>
        <w:t>שלא</w:t>
      </w:r>
      <w:r w:rsidRPr="00506702">
        <w:rPr>
          <w:rFonts w:asciiTheme="minorBidi" w:hAnsiTheme="minorBidi" w:cs="Arial"/>
          <w:rtl/>
        </w:rPr>
        <w:t xml:space="preserve"> </w:t>
      </w:r>
      <w:r w:rsidRPr="00506702">
        <w:rPr>
          <w:rFonts w:asciiTheme="minorBidi" w:hAnsiTheme="minorBidi" w:cs="Arial" w:hint="cs"/>
          <w:rtl/>
        </w:rPr>
        <w:t>לשתות</w:t>
      </w:r>
      <w:r w:rsidRPr="00506702">
        <w:rPr>
          <w:rFonts w:asciiTheme="minorBidi" w:hAnsiTheme="minorBidi" w:cs="Arial"/>
          <w:rtl/>
        </w:rPr>
        <w:t xml:space="preserve">, </w:t>
      </w:r>
      <w:r w:rsidRPr="00506702">
        <w:rPr>
          <w:rFonts w:asciiTheme="minorBidi" w:hAnsiTheme="minorBidi" w:cs="Arial" w:hint="cs"/>
          <w:rtl/>
        </w:rPr>
        <w:t>אף</w:t>
      </w:r>
      <w:r w:rsidRPr="00506702">
        <w:rPr>
          <w:rFonts w:asciiTheme="minorBidi" w:hAnsiTheme="minorBidi" w:cs="Arial"/>
          <w:rtl/>
        </w:rPr>
        <w:t xml:space="preserve"> </w:t>
      </w:r>
      <w:r w:rsidRPr="00506702">
        <w:rPr>
          <w:rFonts w:asciiTheme="minorBidi" w:hAnsiTheme="minorBidi" w:cs="Arial" w:hint="cs"/>
          <w:rtl/>
        </w:rPr>
        <w:t>על</w:t>
      </w:r>
      <w:r w:rsidRPr="00506702">
        <w:rPr>
          <w:rFonts w:asciiTheme="minorBidi" w:hAnsiTheme="minorBidi" w:cs="Arial"/>
          <w:rtl/>
        </w:rPr>
        <w:t xml:space="preserve"> </w:t>
      </w:r>
      <w:r w:rsidRPr="00506702">
        <w:rPr>
          <w:rFonts w:asciiTheme="minorBidi" w:hAnsiTheme="minorBidi" w:cs="Arial" w:hint="cs"/>
          <w:rtl/>
        </w:rPr>
        <w:t>פי</w:t>
      </w:r>
      <w:r w:rsidRPr="00506702">
        <w:rPr>
          <w:rFonts w:asciiTheme="minorBidi" w:hAnsiTheme="minorBidi" w:cs="Arial"/>
          <w:rtl/>
        </w:rPr>
        <w:t xml:space="preserve"> </w:t>
      </w:r>
      <w:r w:rsidRPr="00506702">
        <w:rPr>
          <w:rFonts w:asciiTheme="minorBidi" w:hAnsiTheme="minorBidi" w:cs="Arial" w:hint="cs"/>
          <w:rtl/>
        </w:rPr>
        <w:t>שהיה</w:t>
      </w:r>
      <w:r w:rsidRPr="00506702">
        <w:rPr>
          <w:rFonts w:asciiTheme="minorBidi" w:hAnsiTheme="minorBidi" w:cs="Arial"/>
          <w:rtl/>
        </w:rPr>
        <w:t xml:space="preserve"> </w:t>
      </w:r>
      <w:r w:rsidRPr="00506702">
        <w:rPr>
          <w:rFonts w:asciiTheme="minorBidi" w:hAnsiTheme="minorBidi" w:cs="Arial" w:hint="cs"/>
          <w:rtl/>
        </w:rPr>
        <w:t>לו</w:t>
      </w:r>
      <w:r w:rsidRPr="00506702">
        <w:rPr>
          <w:rFonts w:asciiTheme="minorBidi" w:hAnsiTheme="minorBidi" w:cs="Arial"/>
          <w:rtl/>
        </w:rPr>
        <w:t xml:space="preserve"> </w:t>
      </w:r>
      <w:r w:rsidRPr="00506702">
        <w:rPr>
          <w:rFonts w:asciiTheme="minorBidi" w:hAnsiTheme="minorBidi" w:cs="Arial" w:hint="cs"/>
          <w:rtl/>
        </w:rPr>
        <w:t>פנאי</w:t>
      </w:r>
      <w:r w:rsidRPr="00506702">
        <w:rPr>
          <w:rFonts w:asciiTheme="minorBidi" w:hAnsiTheme="minorBidi" w:cs="Arial"/>
          <w:rtl/>
        </w:rPr>
        <w:t xml:space="preserve"> </w:t>
      </w:r>
      <w:r w:rsidRPr="00506702">
        <w:rPr>
          <w:rFonts w:asciiTheme="minorBidi" w:hAnsiTheme="minorBidi" w:cs="Arial" w:hint="cs"/>
          <w:rtl/>
        </w:rPr>
        <w:t>להתירם</w:t>
      </w:r>
      <w:r w:rsidRPr="00506702">
        <w:rPr>
          <w:rFonts w:asciiTheme="minorBidi" w:hAnsiTheme="minorBidi" w:cs="Arial"/>
          <w:rtl/>
        </w:rPr>
        <w:t xml:space="preserve"> </w:t>
      </w:r>
      <w:r w:rsidRPr="00506702">
        <w:rPr>
          <w:rFonts w:asciiTheme="minorBidi" w:hAnsiTheme="minorBidi" w:cs="Arial" w:hint="cs"/>
          <w:rtl/>
        </w:rPr>
        <w:t>קודם</w:t>
      </w:r>
      <w:r w:rsidRPr="00506702">
        <w:rPr>
          <w:rFonts w:asciiTheme="minorBidi" w:hAnsiTheme="minorBidi" w:cs="Arial"/>
          <w:rtl/>
        </w:rPr>
        <w:t xml:space="preserve"> </w:t>
      </w:r>
      <w:r w:rsidRPr="00506702">
        <w:rPr>
          <w:rFonts w:asciiTheme="minorBidi" w:hAnsiTheme="minorBidi" w:cs="Arial" w:hint="cs"/>
          <w:rtl/>
        </w:rPr>
        <w:t>השבת</w:t>
      </w:r>
      <w:r w:rsidRPr="00506702">
        <w:rPr>
          <w:rFonts w:asciiTheme="minorBidi" w:hAnsiTheme="minorBidi" w:cs="Arial"/>
          <w:rtl/>
        </w:rPr>
        <w:t xml:space="preserve">; </w:t>
      </w:r>
      <w:r w:rsidRPr="00506702">
        <w:rPr>
          <w:rFonts w:asciiTheme="minorBidi" w:hAnsiTheme="minorBidi" w:cs="Arial" w:hint="cs"/>
          <w:rtl/>
        </w:rPr>
        <w:t>אבל</w:t>
      </w:r>
      <w:r w:rsidRPr="00506702">
        <w:rPr>
          <w:rFonts w:asciiTheme="minorBidi" w:hAnsiTheme="minorBidi" w:cs="Arial"/>
          <w:rtl/>
        </w:rPr>
        <w:t xml:space="preserve"> </w:t>
      </w:r>
      <w:r w:rsidRPr="00506702">
        <w:rPr>
          <w:rFonts w:asciiTheme="minorBidi" w:hAnsiTheme="minorBidi" w:cs="Arial" w:hint="cs"/>
          <w:rtl/>
        </w:rPr>
        <w:t>הבעל</w:t>
      </w:r>
      <w:r w:rsidRPr="00506702">
        <w:rPr>
          <w:rFonts w:asciiTheme="minorBidi" w:hAnsiTheme="minorBidi" w:cs="Arial"/>
          <w:rtl/>
        </w:rPr>
        <w:t xml:space="preserve"> </w:t>
      </w:r>
      <w:r w:rsidRPr="00506702">
        <w:rPr>
          <w:rFonts w:asciiTheme="minorBidi" w:hAnsiTheme="minorBidi" w:cs="Arial" w:hint="cs"/>
          <w:rtl/>
        </w:rPr>
        <w:t>יכול</w:t>
      </w:r>
      <w:r w:rsidRPr="00506702">
        <w:rPr>
          <w:rFonts w:asciiTheme="minorBidi" w:hAnsiTheme="minorBidi" w:cs="Arial"/>
          <w:rtl/>
        </w:rPr>
        <w:t xml:space="preserve"> </w:t>
      </w:r>
      <w:r w:rsidRPr="00506702">
        <w:rPr>
          <w:rFonts w:asciiTheme="minorBidi" w:hAnsiTheme="minorBidi" w:cs="Arial" w:hint="cs"/>
          <w:rtl/>
        </w:rPr>
        <w:t>להפר</w:t>
      </w:r>
      <w:r w:rsidRPr="00506702">
        <w:rPr>
          <w:rFonts w:asciiTheme="minorBidi" w:hAnsiTheme="minorBidi" w:cs="Arial"/>
          <w:rtl/>
        </w:rPr>
        <w:t xml:space="preserve"> </w:t>
      </w:r>
      <w:r w:rsidRPr="00506702">
        <w:rPr>
          <w:rFonts w:asciiTheme="minorBidi" w:hAnsiTheme="minorBidi" w:cs="Arial" w:hint="cs"/>
          <w:rtl/>
        </w:rPr>
        <w:t>נדרי</w:t>
      </w:r>
      <w:r w:rsidRPr="00506702">
        <w:rPr>
          <w:rFonts w:asciiTheme="minorBidi" w:hAnsiTheme="minorBidi" w:cs="Arial"/>
          <w:rtl/>
        </w:rPr>
        <w:t xml:space="preserve"> </w:t>
      </w:r>
      <w:r w:rsidRPr="00506702">
        <w:rPr>
          <w:rFonts w:asciiTheme="minorBidi" w:hAnsiTheme="minorBidi" w:cs="Arial" w:hint="cs"/>
          <w:rtl/>
        </w:rPr>
        <w:t>אשתו</w:t>
      </w:r>
      <w:r w:rsidRPr="00506702">
        <w:rPr>
          <w:rFonts w:asciiTheme="minorBidi" w:hAnsiTheme="minorBidi" w:cs="Arial"/>
          <w:rtl/>
        </w:rPr>
        <w:t xml:space="preserve"> </w:t>
      </w:r>
      <w:r w:rsidRPr="00506702">
        <w:rPr>
          <w:rFonts w:asciiTheme="minorBidi" w:hAnsiTheme="minorBidi" w:cs="Arial" w:hint="cs"/>
          <w:rtl/>
        </w:rPr>
        <w:t>אפי</w:t>
      </w:r>
      <w:r w:rsidRPr="00506702">
        <w:rPr>
          <w:rFonts w:asciiTheme="minorBidi" w:hAnsiTheme="minorBidi" w:cs="Arial"/>
          <w:rtl/>
        </w:rPr>
        <w:t xml:space="preserve">' </w:t>
      </w:r>
      <w:r w:rsidRPr="00506702">
        <w:rPr>
          <w:rFonts w:asciiTheme="minorBidi" w:hAnsiTheme="minorBidi" w:cs="Arial" w:hint="cs"/>
          <w:rtl/>
        </w:rPr>
        <w:t>שאינם</w:t>
      </w:r>
      <w:r w:rsidRPr="00506702">
        <w:rPr>
          <w:rFonts w:asciiTheme="minorBidi" w:hAnsiTheme="minorBidi" w:cs="Arial"/>
          <w:rtl/>
        </w:rPr>
        <w:t xml:space="preserve"> </w:t>
      </w:r>
      <w:r w:rsidRPr="00506702">
        <w:rPr>
          <w:rFonts w:asciiTheme="minorBidi" w:hAnsiTheme="minorBidi" w:cs="Arial" w:hint="cs"/>
          <w:rtl/>
        </w:rPr>
        <w:t>לצורך</w:t>
      </w:r>
      <w:r w:rsidRPr="00506702">
        <w:rPr>
          <w:rFonts w:asciiTheme="minorBidi" w:hAnsiTheme="minorBidi" w:cs="Arial"/>
          <w:rtl/>
        </w:rPr>
        <w:t xml:space="preserve"> </w:t>
      </w:r>
      <w:r w:rsidRPr="00506702">
        <w:rPr>
          <w:rFonts w:asciiTheme="minorBidi" w:hAnsiTheme="minorBidi" w:cs="Arial" w:hint="cs"/>
          <w:rtl/>
        </w:rPr>
        <w:t>השבת</w:t>
      </w:r>
      <w:r w:rsidRPr="00506702">
        <w:rPr>
          <w:rFonts w:asciiTheme="minorBidi" w:hAnsiTheme="minorBidi" w:cs="Arial"/>
          <w:rtl/>
        </w:rPr>
        <w:t xml:space="preserve">, </w:t>
      </w:r>
      <w:r w:rsidRPr="00506702">
        <w:rPr>
          <w:rFonts w:asciiTheme="minorBidi" w:hAnsiTheme="minorBidi" w:cs="Arial" w:hint="cs"/>
          <w:rtl/>
        </w:rPr>
        <w:t>מפני</w:t>
      </w:r>
      <w:r w:rsidRPr="00506702">
        <w:rPr>
          <w:rFonts w:asciiTheme="minorBidi" w:hAnsiTheme="minorBidi" w:cs="Arial"/>
          <w:rtl/>
        </w:rPr>
        <w:t xml:space="preserve"> </w:t>
      </w:r>
      <w:r w:rsidRPr="00506702">
        <w:rPr>
          <w:rFonts w:asciiTheme="minorBidi" w:hAnsiTheme="minorBidi" w:cs="Arial" w:hint="cs"/>
          <w:rtl/>
        </w:rPr>
        <w:t>שאם</w:t>
      </w:r>
      <w:r w:rsidRPr="00506702">
        <w:rPr>
          <w:rFonts w:asciiTheme="minorBidi" w:hAnsiTheme="minorBidi" w:cs="Arial"/>
          <w:rtl/>
        </w:rPr>
        <w:t xml:space="preserve"> </w:t>
      </w:r>
      <w:r w:rsidRPr="00506702">
        <w:rPr>
          <w:rFonts w:asciiTheme="minorBidi" w:hAnsiTheme="minorBidi" w:cs="Arial" w:hint="cs"/>
          <w:rtl/>
        </w:rPr>
        <w:t>לא</w:t>
      </w:r>
      <w:r w:rsidRPr="00506702">
        <w:rPr>
          <w:rFonts w:asciiTheme="minorBidi" w:hAnsiTheme="minorBidi" w:cs="Arial"/>
          <w:rtl/>
        </w:rPr>
        <w:t xml:space="preserve"> </w:t>
      </w:r>
      <w:r w:rsidRPr="00506702">
        <w:rPr>
          <w:rFonts w:asciiTheme="minorBidi" w:hAnsiTheme="minorBidi" w:cs="Arial" w:hint="cs"/>
          <w:rtl/>
        </w:rPr>
        <w:t>יפר</w:t>
      </w:r>
      <w:r w:rsidRPr="00506702">
        <w:rPr>
          <w:rFonts w:asciiTheme="minorBidi" w:hAnsiTheme="minorBidi" w:cs="Arial"/>
          <w:rtl/>
        </w:rPr>
        <w:t xml:space="preserve"> </w:t>
      </w:r>
      <w:r w:rsidRPr="00506702">
        <w:rPr>
          <w:rFonts w:asciiTheme="minorBidi" w:hAnsiTheme="minorBidi" w:cs="Arial" w:hint="cs"/>
          <w:rtl/>
        </w:rPr>
        <w:t>לה</w:t>
      </w:r>
      <w:r w:rsidRPr="00506702">
        <w:rPr>
          <w:rFonts w:asciiTheme="minorBidi" w:hAnsiTheme="minorBidi" w:cs="Arial"/>
          <w:rtl/>
        </w:rPr>
        <w:t xml:space="preserve"> </w:t>
      </w:r>
      <w:r w:rsidRPr="00506702">
        <w:rPr>
          <w:rFonts w:asciiTheme="minorBidi" w:hAnsiTheme="minorBidi" w:cs="Arial" w:hint="cs"/>
          <w:rtl/>
        </w:rPr>
        <w:t>היום</w:t>
      </w:r>
      <w:r w:rsidRPr="00506702">
        <w:rPr>
          <w:rFonts w:asciiTheme="minorBidi" w:hAnsiTheme="minorBidi" w:cs="Arial"/>
          <w:rtl/>
        </w:rPr>
        <w:t xml:space="preserve"> </w:t>
      </w:r>
      <w:r w:rsidRPr="00506702">
        <w:rPr>
          <w:rFonts w:asciiTheme="minorBidi" w:hAnsiTheme="minorBidi" w:cs="Arial" w:hint="cs"/>
          <w:rtl/>
        </w:rPr>
        <w:t>לא</w:t>
      </w:r>
      <w:r w:rsidRPr="00506702">
        <w:rPr>
          <w:rFonts w:asciiTheme="minorBidi" w:hAnsiTheme="minorBidi" w:cs="Arial"/>
          <w:rtl/>
        </w:rPr>
        <w:t xml:space="preserve"> </w:t>
      </w:r>
      <w:r w:rsidRPr="00506702">
        <w:rPr>
          <w:rFonts w:asciiTheme="minorBidi" w:hAnsiTheme="minorBidi" w:cs="Arial" w:hint="cs"/>
          <w:rtl/>
        </w:rPr>
        <w:t>יוכל</w:t>
      </w:r>
      <w:r w:rsidRPr="00506702">
        <w:rPr>
          <w:rFonts w:asciiTheme="minorBidi" w:hAnsiTheme="minorBidi" w:cs="Arial"/>
          <w:rtl/>
        </w:rPr>
        <w:t xml:space="preserve"> </w:t>
      </w:r>
      <w:r w:rsidRPr="00506702">
        <w:rPr>
          <w:rFonts w:asciiTheme="minorBidi" w:hAnsiTheme="minorBidi" w:cs="Arial" w:hint="cs"/>
          <w:rtl/>
        </w:rPr>
        <w:t>עוד</w:t>
      </w:r>
      <w:r w:rsidRPr="00506702">
        <w:rPr>
          <w:rFonts w:asciiTheme="minorBidi" w:hAnsiTheme="minorBidi" w:cs="Arial"/>
          <w:rtl/>
        </w:rPr>
        <w:t xml:space="preserve"> </w:t>
      </w:r>
      <w:r w:rsidRPr="00506702">
        <w:rPr>
          <w:rFonts w:asciiTheme="minorBidi" w:hAnsiTheme="minorBidi" w:cs="Arial" w:hint="cs"/>
          <w:rtl/>
        </w:rPr>
        <w:t>להפירם</w:t>
      </w:r>
      <w:r w:rsidRPr="00506702">
        <w:rPr>
          <w:rFonts w:asciiTheme="minorBidi" w:hAnsiTheme="minorBidi" w:cs="Arial"/>
          <w:rtl/>
        </w:rPr>
        <w:t xml:space="preserve">. </w:t>
      </w:r>
    </w:p>
    <w:p w14:paraId="64B960E7" w14:textId="77777777" w:rsidR="006A4BF8" w:rsidRPr="00506702" w:rsidRDefault="006A4BF8" w:rsidP="00434A6A">
      <w:pPr>
        <w:pStyle w:val="2"/>
        <w:rPr>
          <w:rtl/>
        </w:rPr>
      </w:pPr>
      <w:r w:rsidRPr="00506702">
        <w:rPr>
          <w:rFonts w:hint="cs"/>
          <w:rtl/>
        </w:rPr>
        <w:t>סעיף</w:t>
      </w:r>
      <w:r w:rsidRPr="00506702">
        <w:rPr>
          <w:rtl/>
        </w:rPr>
        <w:t xml:space="preserve"> </w:t>
      </w:r>
      <w:r w:rsidRPr="00506702">
        <w:rPr>
          <w:rFonts w:hint="cs"/>
          <w:rtl/>
        </w:rPr>
        <w:t>ב</w:t>
      </w:r>
    </w:p>
    <w:p w14:paraId="36C775E1" w14:textId="77777777" w:rsidR="006A4BF8" w:rsidRPr="00506702" w:rsidRDefault="006A4BF8" w:rsidP="00434A6A">
      <w:pPr>
        <w:tabs>
          <w:tab w:val="left" w:pos="2788"/>
        </w:tabs>
        <w:rPr>
          <w:rFonts w:asciiTheme="minorBidi" w:hAnsiTheme="minorBidi"/>
          <w:rtl/>
        </w:rPr>
      </w:pPr>
      <w:r w:rsidRPr="00506702">
        <w:rPr>
          <w:rFonts w:asciiTheme="minorBidi" w:hAnsiTheme="minorBidi" w:cs="Arial" w:hint="cs"/>
          <w:rtl/>
        </w:rPr>
        <w:t>מי</w:t>
      </w:r>
      <w:r w:rsidRPr="00506702">
        <w:rPr>
          <w:rFonts w:asciiTheme="minorBidi" w:hAnsiTheme="minorBidi" w:cs="Arial"/>
          <w:rtl/>
        </w:rPr>
        <w:t xml:space="preserve"> </w:t>
      </w:r>
      <w:r w:rsidRPr="00506702">
        <w:rPr>
          <w:rFonts w:asciiTheme="minorBidi" w:hAnsiTheme="minorBidi" w:cs="Arial" w:hint="cs"/>
          <w:rtl/>
        </w:rPr>
        <w:t>שנשבע</w:t>
      </w:r>
      <w:r w:rsidRPr="00506702">
        <w:rPr>
          <w:rFonts w:asciiTheme="minorBidi" w:hAnsiTheme="minorBidi" w:cs="Arial"/>
          <w:rtl/>
        </w:rPr>
        <w:t xml:space="preserve"> </w:t>
      </w:r>
      <w:r w:rsidRPr="00506702">
        <w:rPr>
          <w:rFonts w:asciiTheme="minorBidi" w:hAnsiTheme="minorBidi" w:cs="Arial" w:hint="cs"/>
          <w:rtl/>
        </w:rPr>
        <w:t>לעשות</w:t>
      </w:r>
      <w:r w:rsidRPr="00506702">
        <w:rPr>
          <w:rFonts w:asciiTheme="minorBidi" w:hAnsiTheme="minorBidi" w:cs="Arial"/>
          <w:rtl/>
        </w:rPr>
        <w:t xml:space="preserve"> </w:t>
      </w:r>
      <w:r w:rsidRPr="00506702">
        <w:rPr>
          <w:rFonts w:asciiTheme="minorBidi" w:hAnsiTheme="minorBidi" w:cs="Arial" w:hint="cs"/>
          <w:rtl/>
        </w:rPr>
        <w:t>מלאכה</w:t>
      </w:r>
      <w:r w:rsidRPr="00506702">
        <w:rPr>
          <w:rFonts w:asciiTheme="minorBidi" w:hAnsiTheme="minorBidi" w:cs="Arial"/>
          <w:rtl/>
        </w:rPr>
        <w:t xml:space="preserve"> </w:t>
      </w:r>
      <w:r w:rsidRPr="00506702">
        <w:rPr>
          <w:rFonts w:asciiTheme="minorBidi" w:hAnsiTheme="minorBidi" w:cs="Arial" w:hint="cs"/>
          <w:rtl/>
        </w:rPr>
        <w:t>פלונית</w:t>
      </w:r>
      <w:r w:rsidRPr="00506702">
        <w:rPr>
          <w:rFonts w:asciiTheme="minorBidi" w:hAnsiTheme="minorBidi" w:cs="Arial"/>
          <w:rtl/>
        </w:rPr>
        <w:t xml:space="preserve"> </w:t>
      </w:r>
      <w:r w:rsidRPr="00506702">
        <w:rPr>
          <w:rFonts w:asciiTheme="minorBidi" w:hAnsiTheme="minorBidi" w:cs="Arial" w:hint="cs"/>
          <w:rtl/>
        </w:rPr>
        <w:t>עד</w:t>
      </w:r>
      <w:r w:rsidRPr="00506702">
        <w:rPr>
          <w:rFonts w:asciiTheme="minorBidi" w:hAnsiTheme="minorBidi" w:cs="Arial"/>
          <w:rtl/>
        </w:rPr>
        <w:t xml:space="preserve"> </w:t>
      </w:r>
      <w:r w:rsidRPr="00506702">
        <w:rPr>
          <w:rFonts w:asciiTheme="minorBidi" w:hAnsiTheme="minorBidi" w:cs="Arial" w:hint="cs"/>
          <w:rtl/>
        </w:rPr>
        <w:t>זמן</w:t>
      </w:r>
      <w:r w:rsidRPr="00506702">
        <w:rPr>
          <w:rFonts w:asciiTheme="minorBidi" w:hAnsiTheme="minorBidi" w:cs="Arial"/>
          <w:rtl/>
        </w:rPr>
        <w:t xml:space="preserve"> </w:t>
      </w:r>
      <w:r w:rsidRPr="00506702">
        <w:rPr>
          <w:rFonts w:asciiTheme="minorBidi" w:hAnsiTheme="minorBidi" w:cs="Arial" w:hint="cs"/>
          <w:rtl/>
        </w:rPr>
        <w:t>פלוני</w:t>
      </w:r>
      <w:r w:rsidRPr="00506702">
        <w:rPr>
          <w:rFonts w:asciiTheme="minorBidi" w:hAnsiTheme="minorBidi" w:cs="Arial"/>
          <w:rtl/>
        </w:rPr>
        <w:t xml:space="preserve">, </w:t>
      </w:r>
      <w:r w:rsidRPr="00506702">
        <w:rPr>
          <w:rFonts w:asciiTheme="minorBidi" w:hAnsiTheme="minorBidi" w:cs="Arial" w:hint="cs"/>
          <w:rtl/>
        </w:rPr>
        <w:t>ולא</w:t>
      </w:r>
      <w:r w:rsidRPr="00506702">
        <w:rPr>
          <w:rFonts w:asciiTheme="minorBidi" w:hAnsiTheme="minorBidi" w:cs="Arial"/>
          <w:rtl/>
        </w:rPr>
        <w:t xml:space="preserve"> </w:t>
      </w:r>
      <w:r w:rsidRPr="00506702">
        <w:rPr>
          <w:rFonts w:asciiTheme="minorBidi" w:hAnsiTheme="minorBidi" w:cs="Arial" w:hint="cs"/>
          <w:rtl/>
        </w:rPr>
        <w:t>נזדמן</w:t>
      </w:r>
      <w:r w:rsidRPr="00506702">
        <w:rPr>
          <w:rFonts w:asciiTheme="minorBidi" w:hAnsiTheme="minorBidi" w:cs="Arial"/>
          <w:rtl/>
        </w:rPr>
        <w:t xml:space="preserve"> </w:t>
      </w:r>
      <w:r w:rsidRPr="00506702">
        <w:rPr>
          <w:rFonts w:asciiTheme="minorBidi" w:hAnsiTheme="minorBidi" w:cs="Arial" w:hint="cs"/>
          <w:rtl/>
        </w:rPr>
        <w:t>לו</w:t>
      </w:r>
      <w:r w:rsidRPr="00506702">
        <w:rPr>
          <w:rFonts w:asciiTheme="minorBidi" w:hAnsiTheme="minorBidi" w:cs="Arial"/>
          <w:rtl/>
        </w:rPr>
        <w:t xml:space="preserve"> </w:t>
      </w:r>
      <w:r w:rsidRPr="00506702">
        <w:rPr>
          <w:rFonts w:asciiTheme="minorBidi" w:hAnsiTheme="minorBidi" w:cs="Arial" w:hint="cs"/>
          <w:rtl/>
        </w:rPr>
        <w:t>לעשותה</w:t>
      </w:r>
      <w:r w:rsidRPr="00506702">
        <w:rPr>
          <w:rFonts w:asciiTheme="minorBidi" w:hAnsiTheme="minorBidi" w:cs="Arial"/>
          <w:rtl/>
        </w:rPr>
        <w:t xml:space="preserve"> </w:t>
      </w:r>
      <w:r w:rsidRPr="00506702">
        <w:rPr>
          <w:rFonts w:asciiTheme="minorBidi" w:hAnsiTheme="minorBidi" w:cs="Arial" w:hint="cs"/>
          <w:rtl/>
        </w:rPr>
        <w:t>עד</w:t>
      </w:r>
      <w:r w:rsidRPr="00506702">
        <w:rPr>
          <w:rFonts w:asciiTheme="minorBidi" w:hAnsiTheme="minorBidi" w:cs="Arial"/>
          <w:rtl/>
        </w:rPr>
        <w:t xml:space="preserve"> </w:t>
      </w:r>
      <w:r w:rsidRPr="00506702">
        <w:rPr>
          <w:rFonts w:asciiTheme="minorBidi" w:hAnsiTheme="minorBidi" w:cs="Arial" w:hint="cs"/>
          <w:rtl/>
        </w:rPr>
        <w:t>יום</w:t>
      </w:r>
      <w:r w:rsidRPr="00506702">
        <w:rPr>
          <w:rFonts w:asciiTheme="minorBidi" w:hAnsiTheme="minorBidi" w:cs="Arial"/>
          <w:rtl/>
        </w:rPr>
        <w:t xml:space="preserve"> </w:t>
      </w:r>
      <w:r w:rsidRPr="00506702">
        <w:rPr>
          <w:rFonts w:asciiTheme="minorBidi" w:hAnsiTheme="minorBidi" w:cs="Arial" w:hint="cs"/>
          <w:rtl/>
        </w:rPr>
        <w:t>האחרון</w:t>
      </w:r>
      <w:r w:rsidRPr="00506702">
        <w:rPr>
          <w:rFonts w:asciiTheme="minorBidi" w:hAnsiTheme="minorBidi" w:cs="Arial"/>
          <w:rtl/>
        </w:rPr>
        <w:t xml:space="preserve"> </w:t>
      </w:r>
      <w:r w:rsidRPr="00506702">
        <w:rPr>
          <w:rFonts w:asciiTheme="minorBidi" w:hAnsiTheme="minorBidi" w:cs="Arial" w:hint="cs"/>
          <w:rtl/>
        </w:rPr>
        <w:t>של</w:t>
      </w:r>
      <w:r w:rsidRPr="00506702">
        <w:rPr>
          <w:rFonts w:asciiTheme="minorBidi" w:hAnsiTheme="minorBidi" w:cs="Arial"/>
          <w:rtl/>
        </w:rPr>
        <w:t xml:space="preserve"> </w:t>
      </w:r>
      <w:r w:rsidRPr="00506702">
        <w:rPr>
          <w:rFonts w:asciiTheme="minorBidi" w:hAnsiTheme="minorBidi" w:cs="Arial" w:hint="cs"/>
          <w:rtl/>
        </w:rPr>
        <w:t>אותו</w:t>
      </w:r>
      <w:r w:rsidRPr="00506702">
        <w:rPr>
          <w:rFonts w:asciiTheme="minorBidi" w:hAnsiTheme="minorBidi" w:cs="Arial"/>
          <w:rtl/>
        </w:rPr>
        <w:t xml:space="preserve"> </w:t>
      </w:r>
      <w:r w:rsidRPr="00506702">
        <w:rPr>
          <w:rFonts w:asciiTheme="minorBidi" w:hAnsiTheme="minorBidi" w:cs="Arial" w:hint="cs"/>
          <w:rtl/>
        </w:rPr>
        <w:t>זמן</w:t>
      </w:r>
      <w:r w:rsidRPr="00506702">
        <w:rPr>
          <w:rFonts w:asciiTheme="minorBidi" w:hAnsiTheme="minorBidi" w:cs="Arial"/>
          <w:rtl/>
        </w:rPr>
        <w:t xml:space="preserve"> </w:t>
      </w:r>
      <w:r w:rsidRPr="00506702">
        <w:rPr>
          <w:rFonts w:asciiTheme="minorBidi" w:hAnsiTheme="minorBidi" w:cs="Arial" w:hint="cs"/>
          <w:rtl/>
        </w:rPr>
        <w:t>ואותו</w:t>
      </w:r>
      <w:r w:rsidRPr="00506702">
        <w:rPr>
          <w:rFonts w:asciiTheme="minorBidi" w:hAnsiTheme="minorBidi" w:cs="Arial"/>
          <w:rtl/>
        </w:rPr>
        <w:t xml:space="preserve"> </w:t>
      </w:r>
      <w:r w:rsidRPr="00506702">
        <w:rPr>
          <w:rFonts w:asciiTheme="minorBidi" w:hAnsiTheme="minorBidi" w:cs="Arial" w:hint="cs"/>
          <w:rtl/>
        </w:rPr>
        <w:t>יום</w:t>
      </w:r>
      <w:r w:rsidRPr="00506702">
        <w:rPr>
          <w:rFonts w:asciiTheme="minorBidi" w:hAnsiTheme="minorBidi" w:cs="Arial"/>
          <w:rtl/>
        </w:rPr>
        <w:t xml:space="preserve"> </w:t>
      </w:r>
      <w:r w:rsidRPr="00506702">
        <w:rPr>
          <w:rFonts w:asciiTheme="minorBidi" w:hAnsiTheme="minorBidi" w:cs="Arial" w:hint="cs"/>
          <w:rtl/>
        </w:rPr>
        <w:t>בא</w:t>
      </w:r>
      <w:r w:rsidRPr="00506702">
        <w:rPr>
          <w:rFonts w:asciiTheme="minorBidi" w:hAnsiTheme="minorBidi" w:cs="Arial"/>
          <w:rtl/>
        </w:rPr>
        <w:t xml:space="preserve"> </w:t>
      </w:r>
      <w:r w:rsidRPr="00506702">
        <w:rPr>
          <w:rFonts w:asciiTheme="minorBidi" w:hAnsiTheme="minorBidi" w:cs="Arial" w:hint="cs"/>
          <w:rtl/>
        </w:rPr>
        <w:t>בשבת</w:t>
      </w:r>
      <w:r w:rsidRPr="00506702">
        <w:rPr>
          <w:rFonts w:asciiTheme="minorBidi" w:hAnsiTheme="minorBidi" w:cs="Arial"/>
          <w:rtl/>
        </w:rPr>
        <w:t xml:space="preserve">, </w:t>
      </w:r>
      <w:r w:rsidRPr="00506702">
        <w:rPr>
          <w:rFonts w:asciiTheme="minorBidi" w:hAnsiTheme="minorBidi" w:cs="Arial" w:hint="cs"/>
          <w:rtl/>
        </w:rPr>
        <w:t>ויש</w:t>
      </w:r>
      <w:r w:rsidRPr="00506702">
        <w:rPr>
          <w:rFonts w:asciiTheme="minorBidi" w:hAnsiTheme="minorBidi" w:cs="Arial"/>
          <w:rtl/>
        </w:rPr>
        <w:t xml:space="preserve"> </w:t>
      </w:r>
      <w:r w:rsidRPr="00506702">
        <w:rPr>
          <w:rFonts w:asciiTheme="minorBidi" w:hAnsiTheme="minorBidi" w:cs="Arial" w:hint="cs"/>
          <w:rtl/>
        </w:rPr>
        <w:t>לו</w:t>
      </w:r>
      <w:r w:rsidRPr="00506702">
        <w:rPr>
          <w:rFonts w:asciiTheme="minorBidi" w:hAnsiTheme="minorBidi" w:cs="Arial"/>
          <w:rtl/>
        </w:rPr>
        <w:t xml:space="preserve"> </w:t>
      </w:r>
      <w:r w:rsidRPr="00506702">
        <w:rPr>
          <w:rFonts w:asciiTheme="minorBidi" w:hAnsiTheme="minorBidi" w:cs="Arial" w:hint="cs"/>
          <w:rtl/>
        </w:rPr>
        <w:t>פתחים</w:t>
      </w:r>
      <w:r w:rsidRPr="00506702">
        <w:rPr>
          <w:rFonts w:asciiTheme="minorBidi" w:hAnsiTheme="minorBidi" w:cs="Arial"/>
          <w:rtl/>
        </w:rPr>
        <w:t xml:space="preserve"> </w:t>
      </w:r>
      <w:r w:rsidRPr="00506702">
        <w:rPr>
          <w:rFonts w:asciiTheme="minorBidi" w:hAnsiTheme="minorBidi" w:cs="Arial" w:hint="cs"/>
          <w:rtl/>
        </w:rPr>
        <w:t>להתיר</w:t>
      </w:r>
      <w:r w:rsidRPr="00506702">
        <w:rPr>
          <w:rFonts w:asciiTheme="minorBidi" w:hAnsiTheme="minorBidi" w:cs="Arial"/>
          <w:rtl/>
        </w:rPr>
        <w:t xml:space="preserve"> </w:t>
      </w:r>
      <w:r w:rsidRPr="00506702">
        <w:rPr>
          <w:rFonts w:asciiTheme="minorBidi" w:hAnsiTheme="minorBidi" w:cs="Arial" w:hint="cs"/>
          <w:rtl/>
        </w:rPr>
        <w:t>נדרו</w:t>
      </w:r>
      <w:r w:rsidRPr="00506702">
        <w:rPr>
          <w:rFonts w:asciiTheme="minorBidi" w:hAnsiTheme="minorBidi" w:cs="Arial"/>
          <w:rtl/>
        </w:rPr>
        <w:t xml:space="preserve">, </w:t>
      </w:r>
      <w:r w:rsidRPr="00506702">
        <w:rPr>
          <w:rFonts w:asciiTheme="minorBidi" w:hAnsiTheme="minorBidi" w:cs="Arial" w:hint="cs"/>
          <w:rtl/>
        </w:rPr>
        <w:t>נשאלין</w:t>
      </w:r>
      <w:r w:rsidRPr="00506702">
        <w:rPr>
          <w:rFonts w:asciiTheme="minorBidi" w:hAnsiTheme="minorBidi" w:cs="Arial"/>
          <w:rtl/>
        </w:rPr>
        <w:t xml:space="preserve"> </w:t>
      </w:r>
      <w:r w:rsidRPr="00506702">
        <w:rPr>
          <w:rFonts w:asciiTheme="minorBidi" w:hAnsiTheme="minorBidi" w:cs="Arial" w:hint="cs"/>
          <w:rtl/>
        </w:rPr>
        <w:t>אפילו</w:t>
      </w:r>
      <w:r w:rsidRPr="00506702">
        <w:rPr>
          <w:rFonts w:asciiTheme="minorBidi" w:hAnsiTheme="minorBidi" w:cs="Arial"/>
          <w:rtl/>
        </w:rPr>
        <w:t xml:space="preserve"> </w:t>
      </w:r>
      <w:r w:rsidRPr="00506702">
        <w:rPr>
          <w:rFonts w:asciiTheme="minorBidi" w:hAnsiTheme="minorBidi" w:cs="Arial" w:hint="cs"/>
          <w:rtl/>
        </w:rPr>
        <w:t>בשבת</w:t>
      </w:r>
      <w:r w:rsidRPr="00506702">
        <w:rPr>
          <w:rFonts w:asciiTheme="minorBidi" w:hAnsiTheme="minorBidi" w:cs="Arial"/>
          <w:rtl/>
        </w:rPr>
        <w:t xml:space="preserve">. </w:t>
      </w:r>
    </w:p>
    <w:p w14:paraId="1D020B29" w14:textId="77777777" w:rsidR="006A4BF8" w:rsidRPr="00506702" w:rsidRDefault="006A4BF8" w:rsidP="00434A6A">
      <w:pPr>
        <w:pStyle w:val="2"/>
        <w:rPr>
          <w:rtl/>
        </w:rPr>
      </w:pPr>
      <w:r w:rsidRPr="00506702">
        <w:rPr>
          <w:rFonts w:hint="cs"/>
          <w:rtl/>
        </w:rPr>
        <w:t>סעיף</w:t>
      </w:r>
      <w:r w:rsidRPr="00506702">
        <w:rPr>
          <w:rtl/>
        </w:rPr>
        <w:t xml:space="preserve"> </w:t>
      </w:r>
      <w:r w:rsidRPr="00506702">
        <w:rPr>
          <w:rFonts w:hint="cs"/>
          <w:rtl/>
        </w:rPr>
        <w:t>ג</w:t>
      </w:r>
    </w:p>
    <w:p w14:paraId="7272F63D" w14:textId="77777777" w:rsidR="006A4BF8" w:rsidRDefault="006A4BF8" w:rsidP="00434A6A">
      <w:pPr>
        <w:tabs>
          <w:tab w:val="left" w:pos="2788"/>
        </w:tabs>
        <w:rPr>
          <w:rFonts w:asciiTheme="minorBidi" w:hAnsiTheme="minorBidi"/>
          <w:rtl/>
        </w:rPr>
      </w:pPr>
      <w:r w:rsidRPr="00506702">
        <w:rPr>
          <w:rFonts w:asciiTheme="minorBidi" w:hAnsiTheme="minorBidi" w:cs="Arial" w:hint="cs"/>
          <w:rtl/>
        </w:rPr>
        <w:t>נהגו</w:t>
      </w:r>
      <w:r w:rsidRPr="00506702">
        <w:rPr>
          <w:rFonts w:asciiTheme="minorBidi" w:hAnsiTheme="minorBidi" w:cs="Arial"/>
          <w:rtl/>
        </w:rPr>
        <w:t xml:space="preserve"> </w:t>
      </w:r>
      <w:r w:rsidRPr="00506702">
        <w:rPr>
          <w:rFonts w:asciiTheme="minorBidi" w:hAnsiTheme="minorBidi" w:cs="Arial" w:hint="cs"/>
          <w:rtl/>
        </w:rPr>
        <w:t>להתיר</w:t>
      </w:r>
      <w:r w:rsidRPr="00506702">
        <w:rPr>
          <w:rFonts w:asciiTheme="minorBidi" w:hAnsiTheme="minorBidi" w:cs="Arial"/>
          <w:rtl/>
        </w:rPr>
        <w:t xml:space="preserve"> </w:t>
      </w:r>
      <w:r w:rsidRPr="00506702">
        <w:rPr>
          <w:rFonts w:asciiTheme="minorBidi" w:hAnsiTheme="minorBidi" w:cs="Arial" w:hint="cs"/>
          <w:rtl/>
        </w:rPr>
        <w:t>חרמי</w:t>
      </w:r>
      <w:r w:rsidRPr="00506702">
        <w:rPr>
          <w:rFonts w:asciiTheme="minorBidi" w:hAnsiTheme="minorBidi" w:cs="Arial"/>
          <w:rtl/>
        </w:rPr>
        <w:t xml:space="preserve"> </w:t>
      </w:r>
      <w:r w:rsidRPr="00506702">
        <w:rPr>
          <w:rFonts w:asciiTheme="minorBidi" w:hAnsiTheme="minorBidi" w:cs="Arial" w:hint="cs"/>
          <w:rtl/>
        </w:rPr>
        <w:t>הקהל</w:t>
      </w:r>
      <w:r w:rsidRPr="00506702">
        <w:rPr>
          <w:rFonts w:asciiTheme="minorBidi" w:hAnsiTheme="minorBidi" w:cs="Arial"/>
          <w:rtl/>
        </w:rPr>
        <w:t xml:space="preserve"> </w:t>
      </w:r>
      <w:r w:rsidRPr="00506702">
        <w:rPr>
          <w:rFonts w:asciiTheme="minorBidi" w:hAnsiTheme="minorBidi" w:cs="Arial" w:hint="cs"/>
          <w:rtl/>
        </w:rPr>
        <w:t>בשבת</w:t>
      </w:r>
      <w:r w:rsidRPr="00506702">
        <w:rPr>
          <w:rFonts w:asciiTheme="minorBidi" w:hAnsiTheme="minorBidi" w:cs="Arial"/>
          <w:rtl/>
        </w:rPr>
        <w:t xml:space="preserve"> </w:t>
      </w:r>
      <w:r w:rsidRPr="00506702">
        <w:rPr>
          <w:rFonts w:asciiTheme="minorBidi" w:hAnsiTheme="minorBidi" w:cs="Arial" w:hint="cs"/>
          <w:rtl/>
        </w:rPr>
        <w:t>אף</w:t>
      </w:r>
      <w:r w:rsidRPr="00506702">
        <w:rPr>
          <w:rFonts w:asciiTheme="minorBidi" w:hAnsiTheme="minorBidi" w:cs="Arial"/>
          <w:rtl/>
        </w:rPr>
        <w:t xml:space="preserve"> </w:t>
      </w:r>
      <w:r w:rsidRPr="00506702">
        <w:rPr>
          <w:rFonts w:asciiTheme="minorBidi" w:hAnsiTheme="minorBidi" w:cs="Arial" w:hint="cs"/>
          <w:rtl/>
        </w:rPr>
        <w:t>על</w:t>
      </w:r>
      <w:r w:rsidRPr="00506702">
        <w:rPr>
          <w:rFonts w:asciiTheme="minorBidi" w:hAnsiTheme="minorBidi" w:cs="Arial"/>
          <w:rtl/>
        </w:rPr>
        <w:t xml:space="preserve"> </w:t>
      </w:r>
      <w:r w:rsidRPr="00506702">
        <w:rPr>
          <w:rFonts w:asciiTheme="minorBidi" w:hAnsiTheme="minorBidi" w:cs="Arial" w:hint="cs"/>
          <w:rtl/>
        </w:rPr>
        <w:t>פי</w:t>
      </w:r>
      <w:r w:rsidRPr="00506702">
        <w:rPr>
          <w:rFonts w:asciiTheme="minorBidi" w:hAnsiTheme="minorBidi" w:cs="Arial"/>
          <w:rtl/>
        </w:rPr>
        <w:t xml:space="preserve"> </w:t>
      </w:r>
      <w:r w:rsidRPr="00506702">
        <w:rPr>
          <w:rFonts w:asciiTheme="minorBidi" w:hAnsiTheme="minorBidi" w:cs="Arial" w:hint="cs"/>
          <w:rtl/>
        </w:rPr>
        <w:t>שאינם</w:t>
      </w:r>
      <w:r w:rsidRPr="00506702">
        <w:rPr>
          <w:rFonts w:asciiTheme="minorBidi" w:hAnsiTheme="minorBidi" w:cs="Arial"/>
          <w:rtl/>
        </w:rPr>
        <w:t xml:space="preserve"> </w:t>
      </w:r>
      <w:r w:rsidRPr="00506702">
        <w:rPr>
          <w:rFonts w:asciiTheme="minorBidi" w:hAnsiTheme="minorBidi" w:cs="Arial" w:hint="cs"/>
          <w:rtl/>
        </w:rPr>
        <w:t>לצורך</w:t>
      </w:r>
      <w:r w:rsidRPr="00506702">
        <w:rPr>
          <w:rFonts w:asciiTheme="minorBidi" w:hAnsiTheme="minorBidi" w:cs="Arial"/>
          <w:rtl/>
        </w:rPr>
        <w:t xml:space="preserve"> </w:t>
      </w:r>
      <w:r w:rsidRPr="00506702">
        <w:rPr>
          <w:rFonts w:asciiTheme="minorBidi" w:hAnsiTheme="minorBidi" w:cs="Arial" w:hint="cs"/>
          <w:rtl/>
        </w:rPr>
        <w:t>השבת</w:t>
      </w:r>
      <w:r w:rsidRPr="00506702">
        <w:rPr>
          <w:rFonts w:asciiTheme="minorBidi" w:hAnsiTheme="minorBidi" w:cs="Arial"/>
          <w:rtl/>
        </w:rPr>
        <w:t xml:space="preserve"> (</w:t>
      </w:r>
      <w:r w:rsidRPr="00506702">
        <w:rPr>
          <w:rFonts w:asciiTheme="minorBidi" w:hAnsiTheme="minorBidi" w:cs="Arial" w:hint="cs"/>
          <w:rtl/>
        </w:rPr>
        <w:t>וע</w:t>
      </w:r>
      <w:r w:rsidRPr="00506702">
        <w:rPr>
          <w:rFonts w:asciiTheme="minorBidi" w:hAnsiTheme="minorBidi" w:cs="Arial"/>
          <w:rtl/>
        </w:rPr>
        <w:t>"</w:t>
      </w:r>
      <w:r w:rsidRPr="00506702">
        <w:rPr>
          <w:rFonts w:asciiTheme="minorBidi" w:hAnsiTheme="minorBidi" w:cs="Arial" w:hint="cs"/>
          <w:rtl/>
        </w:rPr>
        <w:t>ל</w:t>
      </w:r>
      <w:r w:rsidRPr="00506702">
        <w:rPr>
          <w:rFonts w:asciiTheme="minorBidi" w:hAnsiTheme="minorBidi" w:cs="Arial"/>
          <w:rtl/>
        </w:rPr>
        <w:t xml:space="preserve"> </w:t>
      </w:r>
      <w:r w:rsidRPr="00506702">
        <w:rPr>
          <w:rFonts w:asciiTheme="minorBidi" w:hAnsiTheme="minorBidi" w:cs="Arial" w:hint="cs"/>
          <w:rtl/>
        </w:rPr>
        <w:t>ס</w:t>
      </w:r>
      <w:r w:rsidRPr="00506702">
        <w:rPr>
          <w:rFonts w:asciiTheme="minorBidi" w:hAnsiTheme="minorBidi" w:cs="Arial"/>
          <w:rtl/>
        </w:rPr>
        <w:t>"</w:t>
      </w:r>
      <w:r w:rsidRPr="00506702">
        <w:rPr>
          <w:rFonts w:asciiTheme="minorBidi" w:hAnsiTheme="minorBidi" w:cs="Arial" w:hint="cs"/>
          <w:rtl/>
        </w:rPr>
        <w:t>ס</w:t>
      </w:r>
      <w:r w:rsidRPr="00506702">
        <w:rPr>
          <w:rFonts w:asciiTheme="minorBidi" w:hAnsiTheme="minorBidi" w:cs="Arial"/>
          <w:rtl/>
        </w:rPr>
        <w:t xml:space="preserve"> </w:t>
      </w:r>
      <w:r w:rsidRPr="00506702">
        <w:rPr>
          <w:rFonts w:asciiTheme="minorBidi" w:hAnsiTheme="minorBidi" w:cs="Arial" w:hint="cs"/>
          <w:rtl/>
        </w:rPr>
        <w:t>ש</w:t>
      </w:r>
      <w:r w:rsidRPr="00506702">
        <w:rPr>
          <w:rFonts w:asciiTheme="minorBidi" w:hAnsiTheme="minorBidi" w:cs="Arial"/>
          <w:rtl/>
        </w:rPr>
        <w:t>"</w:t>
      </w:r>
      <w:r w:rsidRPr="00506702">
        <w:rPr>
          <w:rFonts w:asciiTheme="minorBidi" w:hAnsiTheme="minorBidi" w:cs="Arial" w:hint="cs"/>
          <w:rtl/>
        </w:rPr>
        <w:t>ו</w:t>
      </w:r>
      <w:r w:rsidRPr="00506702">
        <w:rPr>
          <w:rFonts w:asciiTheme="minorBidi" w:hAnsiTheme="minorBidi" w:cs="Arial"/>
          <w:rtl/>
        </w:rPr>
        <w:t>).</w:t>
      </w:r>
    </w:p>
    <w:p w14:paraId="3F5D73E7" w14:textId="77777777" w:rsidR="006A4BF8" w:rsidRDefault="006A4BF8" w:rsidP="00434A6A">
      <w:pPr>
        <w:tabs>
          <w:tab w:val="left" w:pos="2788"/>
        </w:tabs>
        <w:rPr>
          <w:rFonts w:asciiTheme="minorBidi" w:hAnsiTheme="minorBidi"/>
          <w:rtl/>
        </w:rPr>
      </w:pPr>
    </w:p>
    <w:p w14:paraId="7F343490" w14:textId="77777777" w:rsidR="006A4BF8" w:rsidRDefault="006A4BF8" w:rsidP="00434A6A">
      <w:pPr>
        <w:tabs>
          <w:tab w:val="left" w:pos="2788"/>
        </w:tabs>
        <w:rPr>
          <w:rFonts w:asciiTheme="minorBidi" w:hAnsiTheme="minorBidi"/>
          <w:rtl/>
        </w:rPr>
      </w:pPr>
    </w:p>
    <w:p w14:paraId="10D17BBD" w14:textId="77777777" w:rsidR="006A4BF8" w:rsidRDefault="006A4BF8" w:rsidP="00434A6A">
      <w:pPr>
        <w:tabs>
          <w:tab w:val="left" w:pos="2788"/>
        </w:tabs>
        <w:rPr>
          <w:rFonts w:asciiTheme="minorBidi" w:hAnsiTheme="minorBidi"/>
          <w:rtl/>
        </w:rPr>
      </w:pPr>
    </w:p>
    <w:p w14:paraId="4F84CC37" w14:textId="77777777" w:rsidR="006A4BF8" w:rsidRDefault="006A4BF8" w:rsidP="00434A6A">
      <w:pPr>
        <w:pStyle w:val="1"/>
        <w:rPr>
          <w:rtl/>
        </w:rPr>
        <w:sectPr w:rsidR="006A4BF8" w:rsidSect="00BD29B1">
          <w:headerReference w:type="default" r:id="rId108"/>
          <w:footnotePr>
            <w:numRestart w:val="eachSect"/>
          </w:footnotePr>
          <w:pgSz w:w="11906" w:h="16838"/>
          <w:pgMar w:top="720" w:right="1134" w:bottom="720" w:left="1134" w:header="0" w:footer="0" w:gutter="0"/>
          <w:cols w:space="720"/>
          <w:bidi/>
          <w:rtlGutter/>
          <w:docGrid w:linePitch="360"/>
        </w:sectPr>
      </w:pPr>
    </w:p>
    <w:p w14:paraId="349B298E" w14:textId="77777777" w:rsidR="006A4BF8" w:rsidRPr="00506702" w:rsidRDefault="006A4BF8" w:rsidP="00434A6A">
      <w:pPr>
        <w:pStyle w:val="1"/>
        <w:rPr>
          <w:rtl/>
        </w:rPr>
      </w:pPr>
      <w:r>
        <w:rPr>
          <w:rFonts w:hint="cs"/>
          <w:rtl/>
        </w:rPr>
        <w:t xml:space="preserve">סימן שמב: </w:t>
      </w:r>
      <w:r w:rsidRPr="00506702">
        <w:rPr>
          <w:rFonts w:hint="cs"/>
          <w:rtl/>
        </w:rPr>
        <w:t>בין</w:t>
      </w:r>
      <w:r w:rsidRPr="00506702">
        <w:rPr>
          <w:rtl/>
        </w:rPr>
        <w:t xml:space="preserve"> </w:t>
      </w:r>
      <w:r w:rsidRPr="00506702">
        <w:rPr>
          <w:rFonts w:hint="cs"/>
          <w:rtl/>
        </w:rPr>
        <w:t>השמשות</w:t>
      </w:r>
      <w:r w:rsidRPr="00506702">
        <w:rPr>
          <w:rtl/>
        </w:rPr>
        <w:t xml:space="preserve"> </w:t>
      </w:r>
      <w:r w:rsidRPr="00506702">
        <w:rPr>
          <w:rFonts w:hint="cs"/>
          <w:rtl/>
        </w:rPr>
        <w:t>מותר</w:t>
      </w:r>
      <w:r w:rsidRPr="00506702">
        <w:rPr>
          <w:rtl/>
        </w:rPr>
        <w:t xml:space="preserve"> </w:t>
      </w:r>
      <w:r w:rsidRPr="00506702">
        <w:rPr>
          <w:rFonts w:hint="cs"/>
          <w:rtl/>
        </w:rPr>
        <w:t>לעשות</w:t>
      </w:r>
      <w:r w:rsidRPr="00506702">
        <w:rPr>
          <w:rtl/>
        </w:rPr>
        <w:t xml:space="preserve"> </w:t>
      </w:r>
      <w:r w:rsidRPr="00506702">
        <w:rPr>
          <w:rFonts w:hint="cs"/>
          <w:rtl/>
        </w:rPr>
        <w:t>דברים</w:t>
      </w:r>
      <w:r w:rsidRPr="00506702">
        <w:rPr>
          <w:rtl/>
        </w:rPr>
        <w:t xml:space="preserve"> </w:t>
      </w:r>
      <w:r w:rsidRPr="00506702">
        <w:rPr>
          <w:rFonts w:hint="cs"/>
          <w:rtl/>
        </w:rPr>
        <w:t>שאסרו</w:t>
      </w:r>
      <w:r w:rsidRPr="00506702">
        <w:rPr>
          <w:rtl/>
        </w:rPr>
        <w:t xml:space="preserve"> </w:t>
      </w:r>
      <w:r w:rsidRPr="00506702">
        <w:rPr>
          <w:rFonts w:hint="cs"/>
          <w:rtl/>
        </w:rPr>
        <w:t>חז</w:t>
      </w:r>
      <w:r w:rsidRPr="00506702">
        <w:rPr>
          <w:rtl/>
        </w:rPr>
        <w:t>"</w:t>
      </w:r>
      <w:r w:rsidRPr="00506702">
        <w:rPr>
          <w:rFonts w:hint="cs"/>
          <w:rtl/>
        </w:rPr>
        <w:t>ל</w:t>
      </w:r>
      <w:r w:rsidRPr="00506702">
        <w:rPr>
          <w:rtl/>
        </w:rPr>
        <w:t xml:space="preserve"> </w:t>
      </w:r>
      <w:r w:rsidRPr="00506702">
        <w:rPr>
          <w:rFonts w:hint="cs"/>
          <w:rtl/>
        </w:rPr>
        <w:t>משום</w:t>
      </w:r>
      <w:r w:rsidRPr="00506702">
        <w:rPr>
          <w:rtl/>
        </w:rPr>
        <w:t xml:space="preserve"> </w:t>
      </w:r>
      <w:r w:rsidRPr="00506702">
        <w:rPr>
          <w:rFonts w:hint="cs"/>
          <w:rtl/>
        </w:rPr>
        <w:t>גזירה</w:t>
      </w:r>
      <w:r w:rsidRPr="00506702">
        <w:rPr>
          <w:rtl/>
        </w:rPr>
        <w:t xml:space="preserve">, </w:t>
      </w:r>
      <w:r w:rsidRPr="00506702">
        <w:rPr>
          <w:rFonts w:hint="cs"/>
          <w:rtl/>
        </w:rPr>
        <w:t>ובו</w:t>
      </w:r>
      <w:r w:rsidRPr="00506702">
        <w:rPr>
          <w:rtl/>
        </w:rPr>
        <w:t xml:space="preserve"> </w:t>
      </w:r>
      <w:r w:rsidRPr="00506702">
        <w:rPr>
          <w:rFonts w:hint="cs"/>
          <w:rtl/>
        </w:rPr>
        <w:t>סעיף</w:t>
      </w:r>
      <w:r w:rsidRPr="00506702">
        <w:rPr>
          <w:rtl/>
        </w:rPr>
        <w:t xml:space="preserve"> </w:t>
      </w:r>
      <w:r w:rsidRPr="00506702">
        <w:rPr>
          <w:rFonts w:hint="cs"/>
          <w:rtl/>
        </w:rPr>
        <w:t>אחד</w:t>
      </w:r>
      <w:r w:rsidRPr="00506702">
        <w:rPr>
          <w:rtl/>
        </w:rPr>
        <w:t xml:space="preserve">. </w:t>
      </w:r>
    </w:p>
    <w:p w14:paraId="3F9602AE" w14:textId="77777777" w:rsidR="006A4BF8" w:rsidRPr="00506702" w:rsidRDefault="006A4BF8" w:rsidP="00434A6A">
      <w:pPr>
        <w:pStyle w:val="2"/>
        <w:rPr>
          <w:rtl/>
        </w:rPr>
      </w:pPr>
      <w:r w:rsidRPr="00506702">
        <w:rPr>
          <w:rFonts w:hint="cs"/>
          <w:rtl/>
        </w:rPr>
        <w:t>סעיף</w:t>
      </w:r>
      <w:r w:rsidRPr="00506702">
        <w:rPr>
          <w:rtl/>
        </w:rPr>
        <w:t xml:space="preserve"> </w:t>
      </w:r>
      <w:r w:rsidRPr="00506702">
        <w:rPr>
          <w:rFonts w:hint="cs"/>
          <w:rtl/>
        </w:rPr>
        <w:t>א</w:t>
      </w:r>
    </w:p>
    <w:p w14:paraId="78F19BBC" w14:textId="77777777" w:rsidR="006A4BF8" w:rsidRDefault="006A4BF8" w:rsidP="00434A6A">
      <w:pPr>
        <w:tabs>
          <w:tab w:val="left" w:pos="2788"/>
        </w:tabs>
        <w:rPr>
          <w:rFonts w:asciiTheme="minorBidi" w:hAnsiTheme="minorBidi"/>
          <w:rtl/>
        </w:rPr>
      </w:pPr>
      <w:r w:rsidRPr="00506702">
        <w:rPr>
          <w:rFonts w:asciiTheme="minorBidi" w:hAnsiTheme="minorBidi" w:cs="Arial" w:hint="cs"/>
          <w:rtl/>
        </w:rPr>
        <w:t>כל</w:t>
      </w:r>
      <w:r w:rsidRPr="00506702">
        <w:rPr>
          <w:rFonts w:asciiTheme="minorBidi" w:hAnsiTheme="minorBidi" w:cs="Arial"/>
          <w:rtl/>
        </w:rPr>
        <w:t xml:space="preserve"> </w:t>
      </w:r>
      <w:r w:rsidRPr="00506702">
        <w:rPr>
          <w:rFonts w:asciiTheme="minorBidi" w:hAnsiTheme="minorBidi" w:cs="Arial" w:hint="cs"/>
          <w:rtl/>
        </w:rPr>
        <w:t>הדברים</w:t>
      </w:r>
      <w:r w:rsidRPr="00506702">
        <w:rPr>
          <w:rFonts w:asciiTheme="minorBidi" w:hAnsiTheme="minorBidi" w:cs="Arial"/>
          <w:rtl/>
        </w:rPr>
        <w:t xml:space="preserve"> </w:t>
      </w:r>
      <w:r w:rsidRPr="00506702">
        <w:rPr>
          <w:rFonts w:asciiTheme="minorBidi" w:hAnsiTheme="minorBidi" w:cs="Arial" w:hint="cs"/>
          <w:rtl/>
        </w:rPr>
        <w:t>שהם</w:t>
      </w:r>
      <w:r w:rsidRPr="00506702">
        <w:rPr>
          <w:rFonts w:asciiTheme="minorBidi" w:hAnsiTheme="minorBidi" w:cs="Arial"/>
          <w:rtl/>
        </w:rPr>
        <w:t xml:space="preserve"> </w:t>
      </w:r>
      <w:r w:rsidRPr="00506702">
        <w:rPr>
          <w:rFonts w:asciiTheme="minorBidi" w:hAnsiTheme="minorBidi" w:cs="Arial" w:hint="cs"/>
          <w:rtl/>
        </w:rPr>
        <w:t>אסורים</w:t>
      </w:r>
      <w:r w:rsidRPr="00506702">
        <w:rPr>
          <w:rFonts w:asciiTheme="minorBidi" w:hAnsiTheme="minorBidi" w:cs="Arial"/>
          <w:rtl/>
        </w:rPr>
        <w:t xml:space="preserve"> </w:t>
      </w:r>
      <w:r w:rsidRPr="00506702">
        <w:rPr>
          <w:rFonts w:asciiTheme="minorBidi" w:hAnsiTheme="minorBidi" w:cs="Arial" w:hint="cs"/>
          <w:rtl/>
        </w:rPr>
        <w:t>מדברי</w:t>
      </w:r>
      <w:r w:rsidRPr="00506702">
        <w:rPr>
          <w:rFonts w:asciiTheme="minorBidi" w:hAnsiTheme="minorBidi" w:cs="Arial"/>
          <w:rtl/>
        </w:rPr>
        <w:t xml:space="preserve"> </w:t>
      </w:r>
      <w:r w:rsidRPr="00506702">
        <w:rPr>
          <w:rFonts w:asciiTheme="minorBidi" w:hAnsiTheme="minorBidi" w:cs="Arial" w:hint="cs"/>
          <w:rtl/>
        </w:rPr>
        <w:t>סופרים</w:t>
      </w:r>
      <w:r w:rsidRPr="00506702">
        <w:rPr>
          <w:rFonts w:asciiTheme="minorBidi" w:hAnsiTheme="minorBidi" w:cs="Arial"/>
          <w:rtl/>
        </w:rPr>
        <w:t xml:space="preserve"> </w:t>
      </w:r>
      <w:r w:rsidRPr="00506702">
        <w:rPr>
          <w:rFonts w:asciiTheme="minorBidi" w:hAnsiTheme="minorBidi" w:cs="Arial" w:hint="cs"/>
          <w:rtl/>
        </w:rPr>
        <w:t>לא</w:t>
      </w:r>
      <w:r w:rsidRPr="00506702">
        <w:rPr>
          <w:rFonts w:asciiTheme="minorBidi" w:hAnsiTheme="minorBidi" w:cs="Arial"/>
          <w:rtl/>
        </w:rPr>
        <w:t xml:space="preserve"> </w:t>
      </w:r>
      <w:r w:rsidRPr="00506702">
        <w:rPr>
          <w:rFonts w:asciiTheme="minorBidi" w:hAnsiTheme="minorBidi" w:cs="Arial" w:hint="cs"/>
          <w:rtl/>
        </w:rPr>
        <w:t>גזרו</w:t>
      </w:r>
      <w:r w:rsidRPr="00506702">
        <w:rPr>
          <w:rFonts w:asciiTheme="minorBidi" w:hAnsiTheme="minorBidi" w:cs="Arial"/>
          <w:rtl/>
        </w:rPr>
        <w:t xml:space="preserve"> </w:t>
      </w:r>
      <w:r w:rsidRPr="00506702">
        <w:rPr>
          <w:rFonts w:asciiTheme="minorBidi" w:hAnsiTheme="minorBidi" w:cs="Arial" w:hint="cs"/>
          <w:rtl/>
        </w:rPr>
        <w:t>עליהם</w:t>
      </w:r>
      <w:r w:rsidRPr="00506702">
        <w:rPr>
          <w:rFonts w:asciiTheme="minorBidi" w:hAnsiTheme="minorBidi" w:cs="Arial"/>
          <w:rtl/>
        </w:rPr>
        <w:t xml:space="preserve"> </w:t>
      </w:r>
      <w:r w:rsidRPr="00506702">
        <w:rPr>
          <w:rFonts w:asciiTheme="minorBidi" w:hAnsiTheme="minorBidi" w:cs="Arial" w:hint="cs"/>
          <w:rtl/>
        </w:rPr>
        <w:t>בין</w:t>
      </w:r>
      <w:r w:rsidRPr="00506702">
        <w:rPr>
          <w:rFonts w:asciiTheme="minorBidi" w:hAnsiTheme="minorBidi" w:cs="Arial"/>
          <w:rtl/>
        </w:rPr>
        <w:t xml:space="preserve"> </w:t>
      </w:r>
      <w:r w:rsidRPr="00506702">
        <w:rPr>
          <w:rFonts w:asciiTheme="minorBidi" w:hAnsiTheme="minorBidi" w:cs="Arial" w:hint="cs"/>
          <w:rtl/>
        </w:rPr>
        <w:t>השמשות</w:t>
      </w:r>
      <w:r w:rsidRPr="00506702">
        <w:rPr>
          <w:rFonts w:asciiTheme="minorBidi" w:hAnsiTheme="minorBidi" w:cs="Arial"/>
          <w:rtl/>
        </w:rPr>
        <w:t>, (</w:t>
      </w:r>
      <w:r w:rsidRPr="00506702">
        <w:rPr>
          <w:rFonts w:asciiTheme="minorBidi" w:hAnsiTheme="minorBidi" w:cs="Arial" w:hint="cs"/>
          <w:rtl/>
        </w:rPr>
        <w:t>וע</w:t>
      </w:r>
      <w:r w:rsidRPr="00506702">
        <w:rPr>
          <w:rFonts w:asciiTheme="minorBidi" w:hAnsiTheme="minorBidi" w:cs="Arial"/>
          <w:rtl/>
        </w:rPr>
        <w:t>"</w:t>
      </w:r>
      <w:r w:rsidRPr="00506702">
        <w:rPr>
          <w:rFonts w:asciiTheme="minorBidi" w:hAnsiTheme="minorBidi" w:cs="Arial" w:hint="cs"/>
          <w:rtl/>
        </w:rPr>
        <w:t>ל</w:t>
      </w:r>
      <w:r w:rsidRPr="00506702">
        <w:rPr>
          <w:rFonts w:asciiTheme="minorBidi" w:hAnsiTheme="minorBidi" w:cs="Arial"/>
          <w:rtl/>
        </w:rPr>
        <w:t xml:space="preserve"> </w:t>
      </w:r>
      <w:r w:rsidRPr="00506702">
        <w:rPr>
          <w:rFonts w:asciiTheme="minorBidi" w:hAnsiTheme="minorBidi" w:cs="Arial" w:hint="cs"/>
          <w:rtl/>
        </w:rPr>
        <w:t>סי</w:t>
      </w:r>
      <w:r w:rsidRPr="00506702">
        <w:rPr>
          <w:rFonts w:asciiTheme="minorBidi" w:hAnsiTheme="minorBidi" w:cs="Arial"/>
          <w:rtl/>
        </w:rPr>
        <w:t xml:space="preserve">' </w:t>
      </w:r>
      <w:r w:rsidRPr="00506702">
        <w:rPr>
          <w:rFonts w:asciiTheme="minorBidi" w:hAnsiTheme="minorBidi" w:cs="Arial" w:hint="cs"/>
          <w:rtl/>
        </w:rPr>
        <w:t>רס</w:t>
      </w:r>
      <w:r w:rsidRPr="00506702">
        <w:rPr>
          <w:rFonts w:asciiTheme="minorBidi" w:hAnsiTheme="minorBidi" w:cs="Arial"/>
          <w:rtl/>
        </w:rPr>
        <w:t>"</w:t>
      </w:r>
      <w:r w:rsidRPr="00506702">
        <w:rPr>
          <w:rFonts w:asciiTheme="minorBidi" w:hAnsiTheme="minorBidi" w:cs="Arial" w:hint="cs"/>
          <w:rtl/>
        </w:rPr>
        <w:t>א</w:t>
      </w:r>
      <w:r w:rsidRPr="00506702">
        <w:rPr>
          <w:rFonts w:asciiTheme="minorBidi" w:hAnsiTheme="minorBidi" w:cs="Arial"/>
          <w:rtl/>
        </w:rPr>
        <w:t xml:space="preserve"> </w:t>
      </w:r>
      <w:r w:rsidRPr="00506702">
        <w:rPr>
          <w:rFonts w:asciiTheme="minorBidi" w:hAnsiTheme="minorBidi" w:cs="Arial" w:hint="cs"/>
          <w:rtl/>
        </w:rPr>
        <w:t>וס</w:t>
      </w:r>
      <w:r w:rsidRPr="00506702">
        <w:rPr>
          <w:rFonts w:asciiTheme="minorBidi" w:hAnsiTheme="minorBidi" w:cs="Arial"/>
          <w:rtl/>
        </w:rPr>
        <w:t>"</w:t>
      </w:r>
      <w:r w:rsidRPr="00506702">
        <w:rPr>
          <w:rFonts w:asciiTheme="minorBidi" w:hAnsiTheme="minorBidi" w:cs="Arial" w:hint="cs"/>
          <w:rtl/>
        </w:rPr>
        <w:t>ס</w:t>
      </w:r>
      <w:r w:rsidRPr="00506702">
        <w:rPr>
          <w:rFonts w:asciiTheme="minorBidi" w:hAnsiTheme="minorBidi" w:cs="Arial"/>
          <w:rtl/>
        </w:rPr>
        <w:t xml:space="preserve"> </w:t>
      </w:r>
      <w:r w:rsidRPr="00506702">
        <w:rPr>
          <w:rFonts w:asciiTheme="minorBidi" w:hAnsiTheme="minorBidi" w:cs="Arial" w:hint="cs"/>
          <w:rtl/>
        </w:rPr>
        <w:t>ש</w:t>
      </w:r>
      <w:r w:rsidRPr="00506702">
        <w:rPr>
          <w:rFonts w:asciiTheme="minorBidi" w:hAnsiTheme="minorBidi" w:cs="Arial"/>
          <w:rtl/>
        </w:rPr>
        <w:t>"</w:t>
      </w:r>
      <w:r w:rsidRPr="00506702">
        <w:rPr>
          <w:rFonts w:asciiTheme="minorBidi" w:hAnsiTheme="minorBidi" w:cs="Arial" w:hint="cs"/>
          <w:rtl/>
        </w:rPr>
        <w:t>ז</w:t>
      </w:r>
      <w:r w:rsidRPr="00506702">
        <w:rPr>
          <w:rFonts w:asciiTheme="minorBidi" w:hAnsiTheme="minorBidi" w:cs="Arial"/>
          <w:rtl/>
        </w:rPr>
        <w:t xml:space="preserve">), </w:t>
      </w:r>
      <w:r w:rsidRPr="00506702">
        <w:rPr>
          <w:rFonts w:asciiTheme="minorBidi" w:hAnsiTheme="minorBidi" w:cs="Arial" w:hint="cs"/>
          <w:rtl/>
        </w:rPr>
        <w:t>והוא</w:t>
      </w:r>
      <w:r w:rsidRPr="00506702">
        <w:rPr>
          <w:rFonts w:asciiTheme="minorBidi" w:hAnsiTheme="minorBidi" w:cs="Arial"/>
          <w:rtl/>
        </w:rPr>
        <w:t xml:space="preserve"> </w:t>
      </w:r>
      <w:r w:rsidRPr="00506702">
        <w:rPr>
          <w:rFonts w:asciiTheme="minorBidi" w:hAnsiTheme="minorBidi" w:cs="Arial" w:hint="cs"/>
          <w:rtl/>
        </w:rPr>
        <w:t>שיהא</w:t>
      </w:r>
      <w:r w:rsidRPr="00506702">
        <w:rPr>
          <w:rFonts w:asciiTheme="minorBidi" w:hAnsiTheme="minorBidi" w:cs="Arial"/>
          <w:rtl/>
        </w:rPr>
        <w:t xml:space="preserve"> </w:t>
      </w:r>
      <w:r w:rsidRPr="00506702">
        <w:rPr>
          <w:rFonts w:asciiTheme="minorBidi" w:hAnsiTheme="minorBidi" w:cs="Arial" w:hint="cs"/>
          <w:rtl/>
        </w:rPr>
        <w:t>שם</w:t>
      </w:r>
      <w:r w:rsidRPr="00506702">
        <w:rPr>
          <w:rFonts w:asciiTheme="minorBidi" w:hAnsiTheme="minorBidi" w:cs="Arial"/>
          <w:rtl/>
        </w:rPr>
        <w:t xml:space="preserve"> </w:t>
      </w:r>
      <w:r w:rsidRPr="00506702">
        <w:rPr>
          <w:rFonts w:asciiTheme="minorBidi" w:hAnsiTheme="minorBidi" w:cs="Arial" w:hint="cs"/>
          <w:rtl/>
        </w:rPr>
        <w:t>דבר</w:t>
      </w:r>
      <w:r w:rsidRPr="00506702">
        <w:rPr>
          <w:rFonts w:asciiTheme="minorBidi" w:hAnsiTheme="minorBidi" w:cs="Arial"/>
          <w:rtl/>
        </w:rPr>
        <w:t xml:space="preserve"> </w:t>
      </w:r>
      <w:r w:rsidRPr="00506702">
        <w:rPr>
          <w:rFonts w:asciiTheme="minorBidi" w:hAnsiTheme="minorBidi" w:cs="Arial" w:hint="cs"/>
          <w:rtl/>
        </w:rPr>
        <w:t>מצוה</w:t>
      </w:r>
      <w:r w:rsidRPr="00506702">
        <w:rPr>
          <w:rFonts w:asciiTheme="minorBidi" w:hAnsiTheme="minorBidi" w:cs="Arial"/>
          <w:rtl/>
        </w:rPr>
        <w:t xml:space="preserve"> </w:t>
      </w:r>
      <w:r w:rsidRPr="00506702">
        <w:rPr>
          <w:rFonts w:asciiTheme="minorBidi" w:hAnsiTheme="minorBidi" w:cs="Arial" w:hint="cs"/>
          <w:rtl/>
        </w:rPr>
        <w:t>או</w:t>
      </w:r>
      <w:r w:rsidRPr="00506702">
        <w:rPr>
          <w:rFonts w:asciiTheme="minorBidi" w:hAnsiTheme="minorBidi" w:cs="Arial"/>
          <w:rtl/>
        </w:rPr>
        <w:t xml:space="preserve"> </w:t>
      </w:r>
      <w:r w:rsidRPr="00506702">
        <w:rPr>
          <w:rFonts w:asciiTheme="minorBidi" w:hAnsiTheme="minorBidi" w:cs="Arial" w:hint="cs"/>
          <w:rtl/>
        </w:rPr>
        <w:t>דוחק</w:t>
      </w:r>
      <w:r w:rsidRPr="00506702">
        <w:rPr>
          <w:rFonts w:asciiTheme="minorBidi" w:hAnsiTheme="minorBidi" w:cs="Arial"/>
          <w:rtl/>
        </w:rPr>
        <w:t xml:space="preserve">, </w:t>
      </w:r>
      <w:r w:rsidRPr="00506702">
        <w:rPr>
          <w:rFonts w:asciiTheme="minorBidi" w:hAnsiTheme="minorBidi" w:cs="Arial" w:hint="cs"/>
          <w:rtl/>
        </w:rPr>
        <w:t>כיצד</w:t>
      </w:r>
      <w:r w:rsidRPr="00506702">
        <w:rPr>
          <w:rFonts w:asciiTheme="minorBidi" w:hAnsiTheme="minorBidi" w:cs="Arial"/>
          <w:rtl/>
        </w:rPr>
        <w:t xml:space="preserve">, </w:t>
      </w:r>
      <w:r w:rsidRPr="00506702">
        <w:rPr>
          <w:rFonts w:asciiTheme="minorBidi" w:hAnsiTheme="minorBidi" w:cs="Arial" w:hint="cs"/>
          <w:rtl/>
        </w:rPr>
        <w:t>מותר</w:t>
      </w:r>
      <w:r w:rsidRPr="00506702">
        <w:rPr>
          <w:rFonts w:asciiTheme="minorBidi" w:hAnsiTheme="minorBidi" w:cs="Arial"/>
          <w:rtl/>
        </w:rPr>
        <w:t xml:space="preserve"> </w:t>
      </w:r>
      <w:r w:rsidRPr="00506702">
        <w:rPr>
          <w:rFonts w:asciiTheme="minorBidi" w:hAnsiTheme="minorBidi" w:cs="Arial" w:hint="cs"/>
          <w:rtl/>
        </w:rPr>
        <w:t>לו</w:t>
      </w:r>
      <w:r w:rsidRPr="00506702">
        <w:rPr>
          <w:rFonts w:asciiTheme="minorBidi" w:hAnsiTheme="minorBidi" w:cs="Arial"/>
          <w:rtl/>
        </w:rPr>
        <w:t xml:space="preserve"> </w:t>
      </w:r>
      <w:r w:rsidRPr="00506702">
        <w:rPr>
          <w:rFonts w:asciiTheme="minorBidi" w:hAnsiTheme="minorBidi" w:cs="Arial" w:hint="cs"/>
          <w:rtl/>
        </w:rPr>
        <w:t>בין</w:t>
      </w:r>
      <w:r w:rsidRPr="00506702">
        <w:rPr>
          <w:rFonts w:asciiTheme="minorBidi" w:hAnsiTheme="minorBidi" w:cs="Arial"/>
          <w:rtl/>
        </w:rPr>
        <w:t xml:space="preserve"> </w:t>
      </w:r>
      <w:r w:rsidRPr="00506702">
        <w:rPr>
          <w:rFonts w:asciiTheme="minorBidi" w:hAnsiTheme="minorBidi" w:cs="Arial" w:hint="cs"/>
          <w:rtl/>
        </w:rPr>
        <w:t>השמשות</w:t>
      </w:r>
      <w:r w:rsidRPr="00506702">
        <w:rPr>
          <w:rFonts w:asciiTheme="minorBidi" w:hAnsiTheme="minorBidi" w:cs="Arial"/>
          <w:rtl/>
        </w:rPr>
        <w:t xml:space="preserve"> </w:t>
      </w:r>
      <w:r w:rsidRPr="00506702">
        <w:rPr>
          <w:rFonts w:asciiTheme="minorBidi" w:hAnsiTheme="minorBidi" w:cs="Arial" w:hint="cs"/>
          <w:rtl/>
        </w:rPr>
        <w:t>לעלות</w:t>
      </w:r>
      <w:r w:rsidRPr="00506702">
        <w:rPr>
          <w:rFonts w:asciiTheme="minorBidi" w:hAnsiTheme="minorBidi" w:cs="Arial"/>
          <w:rtl/>
        </w:rPr>
        <w:t xml:space="preserve"> </w:t>
      </w:r>
      <w:r w:rsidRPr="00506702">
        <w:rPr>
          <w:rFonts w:asciiTheme="minorBidi" w:hAnsiTheme="minorBidi" w:cs="Arial" w:hint="cs"/>
          <w:rtl/>
        </w:rPr>
        <w:t>באילן</w:t>
      </w:r>
      <w:r w:rsidRPr="00506702">
        <w:rPr>
          <w:rFonts w:asciiTheme="minorBidi" w:hAnsiTheme="minorBidi" w:cs="Arial"/>
          <w:rtl/>
        </w:rPr>
        <w:t xml:space="preserve">, </w:t>
      </w:r>
      <w:r w:rsidRPr="00506702">
        <w:rPr>
          <w:rFonts w:asciiTheme="minorBidi" w:hAnsiTheme="minorBidi" w:cs="Arial" w:hint="cs"/>
          <w:rtl/>
        </w:rPr>
        <w:t>או</w:t>
      </w:r>
      <w:r w:rsidRPr="00506702">
        <w:rPr>
          <w:rFonts w:asciiTheme="minorBidi" w:hAnsiTheme="minorBidi" w:cs="Arial"/>
          <w:rtl/>
        </w:rPr>
        <w:t xml:space="preserve"> </w:t>
      </w:r>
      <w:r w:rsidRPr="00506702">
        <w:rPr>
          <w:rFonts w:asciiTheme="minorBidi" w:hAnsiTheme="minorBidi" w:cs="Arial" w:hint="cs"/>
          <w:rtl/>
        </w:rPr>
        <w:t>לשוט</w:t>
      </w:r>
      <w:r w:rsidRPr="00506702">
        <w:rPr>
          <w:rFonts w:asciiTheme="minorBidi" w:hAnsiTheme="minorBidi" w:cs="Arial"/>
          <w:rtl/>
        </w:rPr>
        <w:t xml:space="preserve"> </w:t>
      </w:r>
      <w:r w:rsidRPr="00506702">
        <w:rPr>
          <w:rFonts w:asciiTheme="minorBidi" w:hAnsiTheme="minorBidi" w:cs="Arial" w:hint="cs"/>
          <w:rtl/>
        </w:rPr>
        <w:t>על</w:t>
      </w:r>
      <w:r w:rsidRPr="00506702">
        <w:rPr>
          <w:rFonts w:asciiTheme="minorBidi" w:hAnsiTheme="minorBidi" w:cs="Arial"/>
          <w:rtl/>
        </w:rPr>
        <w:t xml:space="preserve"> </w:t>
      </w:r>
      <w:r w:rsidRPr="00506702">
        <w:rPr>
          <w:rFonts w:asciiTheme="minorBidi" w:hAnsiTheme="minorBidi" w:cs="Arial" w:hint="cs"/>
          <w:rtl/>
        </w:rPr>
        <w:t>פני</w:t>
      </w:r>
      <w:r w:rsidRPr="00506702">
        <w:rPr>
          <w:rFonts w:asciiTheme="minorBidi" w:hAnsiTheme="minorBidi" w:cs="Arial"/>
          <w:rtl/>
        </w:rPr>
        <w:t xml:space="preserve"> </w:t>
      </w:r>
      <w:r w:rsidRPr="00506702">
        <w:rPr>
          <w:rFonts w:asciiTheme="minorBidi" w:hAnsiTheme="minorBidi" w:cs="Arial" w:hint="cs"/>
          <w:rtl/>
        </w:rPr>
        <w:t>המים</w:t>
      </w:r>
      <w:r w:rsidRPr="00506702">
        <w:rPr>
          <w:rFonts w:asciiTheme="minorBidi" w:hAnsiTheme="minorBidi" w:cs="Arial"/>
          <w:rtl/>
        </w:rPr>
        <w:t xml:space="preserve"> </w:t>
      </w:r>
      <w:r w:rsidRPr="00506702">
        <w:rPr>
          <w:rFonts w:asciiTheme="minorBidi" w:hAnsiTheme="minorBidi" w:cs="Arial" w:hint="cs"/>
          <w:rtl/>
        </w:rPr>
        <w:t>להביא</w:t>
      </w:r>
      <w:r w:rsidRPr="00506702">
        <w:rPr>
          <w:rFonts w:asciiTheme="minorBidi" w:hAnsiTheme="minorBidi" w:cs="Arial"/>
          <w:rtl/>
        </w:rPr>
        <w:t xml:space="preserve"> </w:t>
      </w:r>
      <w:r w:rsidRPr="00506702">
        <w:rPr>
          <w:rFonts w:asciiTheme="minorBidi" w:hAnsiTheme="minorBidi" w:cs="Arial" w:hint="cs"/>
          <w:rtl/>
        </w:rPr>
        <w:t>לולב</w:t>
      </w:r>
      <w:r w:rsidRPr="00506702">
        <w:rPr>
          <w:rFonts w:asciiTheme="minorBidi" w:hAnsiTheme="minorBidi" w:cs="Arial"/>
          <w:rtl/>
        </w:rPr>
        <w:t xml:space="preserve"> </w:t>
      </w:r>
      <w:r w:rsidRPr="00506702">
        <w:rPr>
          <w:rFonts w:asciiTheme="minorBidi" w:hAnsiTheme="minorBidi" w:cs="Arial" w:hint="cs"/>
          <w:rtl/>
        </w:rPr>
        <w:t>או</w:t>
      </w:r>
      <w:r w:rsidRPr="00506702">
        <w:rPr>
          <w:rFonts w:asciiTheme="minorBidi" w:hAnsiTheme="minorBidi" w:cs="Arial"/>
          <w:rtl/>
        </w:rPr>
        <w:t xml:space="preserve"> </w:t>
      </w:r>
      <w:r w:rsidRPr="00506702">
        <w:rPr>
          <w:rFonts w:asciiTheme="minorBidi" w:hAnsiTheme="minorBidi" w:cs="Arial" w:hint="cs"/>
          <w:rtl/>
        </w:rPr>
        <w:t>שופר</w:t>
      </w:r>
      <w:r w:rsidRPr="00506702">
        <w:rPr>
          <w:rFonts w:asciiTheme="minorBidi" w:hAnsiTheme="minorBidi" w:cs="Arial"/>
          <w:rtl/>
        </w:rPr>
        <w:t xml:space="preserve">, </w:t>
      </w:r>
      <w:r w:rsidRPr="00506702">
        <w:rPr>
          <w:rFonts w:asciiTheme="minorBidi" w:hAnsiTheme="minorBidi" w:cs="Arial" w:hint="cs"/>
          <w:rtl/>
        </w:rPr>
        <w:t>וכן</w:t>
      </w:r>
      <w:r w:rsidRPr="00506702">
        <w:rPr>
          <w:rFonts w:asciiTheme="minorBidi" w:hAnsiTheme="minorBidi" w:cs="Arial"/>
          <w:rtl/>
        </w:rPr>
        <w:t xml:space="preserve"> </w:t>
      </w:r>
      <w:r w:rsidRPr="00506702">
        <w:rPr>
          <w:rFonts w:asciiTheme="minorBidi" w:hAnsiTheme="minorBidi" w:cs="Arial" w:hint="cs"/>
          <w:rtl/>
        </w:rPr>
        <w:t>מוריד</w:t>
      </w:r>
      <w:r w:rsidRPr="00506702">
        <w:rPr>
          <w:rFonts w:asciiTheme="minorBidi" w:hAnsiTheme="minorBidi" w:cs="Arial"/>
          <w:rtl/>
        </w:rPr>
        <w:t xml:space="preserve"> </w:t>
      </w:r>
      <w:r w:rsidRPr="00506702">
        <w:rPr>
          <w:rFonts w:asciiTheme="minorBidi" w:hAnsiTheme="minorBidi" w:cs="Arial" w:hint="cs"/>
          <w:rtl/>
        </w:rPr>
        <w:t>מהאילן</w:t>
      </w:r>
      <w:r w:rsidRPr="00506702">
        <w:rPr>
          <w:rFonts w:asciiTheme="minorBidi" w:hAnsiTheme="minorBidi" w:cs="Arial"/>
          <w:rtl/>
        </w:rPr>
        <w:t xml:space="preserve"> </w:t>
      </w:r>
      <w:r w:rsidRPr="00506702">
        <w:rPr>
          <w:rFonts w:asciiTheme="minorBidi" w:hAnsiTheme="minorBidi" w:cs="Arial" w:hint="cs"/>
          <w:rtl/>
        </w:rPr>
        <w:t>או</w:t>
      </w:r>
      <w:r w:rsidRPr="00506702">
        <w:rPr>
          <w:rFonts w:asciiTheme="minorBidi" w:hAnsiTheme="minorBidi" w:cs="Arial"/>
          <w:rtl/>
        </w:rPr>
        <w:t xml:space="preserve"> </w:t>
      </w:r>
      <w:r w:rsidRPr="00506702">
        <w:rPr>
          <w:rFonts w:asciiTheme="minorBidi" w:hAnsiTheme="minorBidi" w:cs="Arial" w:hint="cs"/>
          <w:rtl/>
        </w:rPr>
        <w:t>מוציא</w:t>
      </w:r>
      <w:r w:rsidRPr="00506702">
        <w:rPr>
          <w:rFonts w:asciiTheme="minorBidi" w:hAnsiTheme="minorBidi" w:cs="Arial"/>
          <w:rtl/>
        </w:rPr>
        <w:t xml:space="preserve"> </w:t>
      </w:r>
      <w:r w:rsidRPr="00506702">
        <w:rPr>
          <w:rFonts w:asciiTheme="minorBidi" w:hAnsiTheme="minorBidi" w:cs="Arial" w:hint="cs"/>
          <w:rtl/>
        </w:rPr>
        <w:t>מהכרמלית</w:t>
      </w:r>
      <w:r w:rsidRPr="00506702">
        <w:rPr>
          <w:rFonts w:asciiTheme="minorBidi" w:hAnsiTheme="minorBidi" w:cs="Arial"/>
          <w:rtl/>
        </w:rPr>
        <w:t xml:space="preserve"> </w:t>
      </w:r>
      <w:r w:rsidRPr="00506702">
        <w:rPr>
          <w:rFonts w:asciiTheme="minorBidi" w:hAnsiTheme="minorBidi" w:cs="Arial" w:hint="cs"/>
          <w:rtl/>
        </w:rPr>
        <w:t>עירוב</w:t>
      </w:r>
      <w:r w:rsidRPr="00506702">
        <w:rPr>
          <w:rFonts w:asciiTheme="minorBidi" w:hAnsiTheme="minorBidi" w:cs="Arial"/>
          <w:rtl/>
        </w:rPr>
        <w:t xml:space="preserve"> </w:t>
      </w:r>
      <w:r w:rsidRPr="00506702">
        <w:rPr>
          <w:rFonts w:asciiTheme="minorBidi" w:hAnsiTheme="minorBidi" w:cs="Arial" w:hint="cs"/>
          <w:rtl/>
        </w:rPr>
        <w:t>שעשה</w:t>
      </w:r>
      <w:r w:rsidRPr="00506702">
        <w:rPr>
          <w:rFonts w:asciiTheme="minorBidi" w:hAnsiTheme="minorBidi" w:cs="Arial"/>
          <w:rtl/>
        </w:rPr>
        <w:t xml:space="preserve">, </w:t>
      </w:r>
      <w:r w:rsidRPr="00506702">
        <w:rPr>
          <w:rFonts w:asciiTheme="minorBidi" w:hAnsiTheme="minorBidi" w:cs="Arial" w:hint="cs"/>
          <w:rtl/>
        </w:rPr>
        <w:t>וכן</w:t>
      </w:r>
      <w:r w:rsidRPr="00506702">
        <w:rPr>
          <w:rFonts w:asciiTheme="minorBidi" w:hAnsiTheme="minorBidi" w:cs="Arial"/>
          <w:rtl/>
        </w:rPr>
        <w:t xml:space="preserve"> </w:t>
      </w:r>
      <w:r w:rsidRPr="00506702">
        <w:rPr>
          <w:rFonts w:asciiTheme="minorBidi" w:hAnsiTheme="minorBidi" w:cs="Arial" w:hint="cs"/>
          <w:rtl/>
        </w:rPr>
        <w:t>אם</w:t>
      </w:r>
      <w:r w:rsidRPr="00506702">
        <w:rPr>
          <w:rFonts w:asciiTheme="minorBidi" w:hAnsiTheme="minorBidi" w:cs="Arial"/>
          <w:rtl/>
        </w:rPr>
        <w:t xml:space="preserve"> </w:t>
      </w:r>
      <w:r w:rsidRPr="00506702">
        <w:rPr>
          <w:rFonts w:asciiTheme="minorBidi" w:hAnsiTheme="minorBidi" w:cs="Arial" w:hint="cs"/>
          <w:rtl/>
        </w:rPr>
        <w:t>היה</w:t>
      </w:r>
      <w:r w:rsidRPr="00506702">
        <w:rPr>
          <w:rFonts w:asciiTheme="minorBidi" w:hAnsiTheme="minorBidi" w:cs="Arial"/>
          <w:rtl/>
        </w:rPr>
        <w:t xml:space="preserve"> </w:t>
      </w:r>
      <w:r w:rsidRPr="00506702">
        <w:rPr>
          <w:rFonts w:asciiTheme="minorBidi" w:hAnsiTheme="minorBidi" w:cs="Arial" w:hint="cs"/>
          <w:rtl/>
        </w:rPr>
        <w:t>טרוד</w:t>
      </w:r>
      <w:r w:rsidRPr="00506702">
        <w:rPr>
          <w:rFonts w:asciiTheme="minorBidi" w:hAnsiTheme="minorBidi" w:cs="Arial"/>
          <w:rtl/>
        </w:rPr>
        <w:t xml:space="preserve"> </w:t>
      </w:r>
      <w:r w:rsidRPr="00506702">
        <w:rPr>
          <w:rFonts w:asciiTheme="minorBidi" w:hAnsiTheme="minorBidi" w:cs="Arial" w:hint="cs"/>
          <w:rtl/>
        </w:rPr>
        <w:t>ונחפז</w:t>
      </w:r>
      <w:r w:rsidRPr="00506702">
        <w:rPr>
          <w:rFonts w:asciiTheme="minorBidi" w:hAnsiTheme="minorBidi" w:cs="Arial"/>
          <w:rtl/>
        </w:rPr>
        <w:t xml:space="preserve"> </w:t>
      </w:r>
      <w:r w:rsidRPr="00506702">
        <w:rPr>
          <w:rFonts w:asciiTheme="minorBidi" w:hAnsiTheme="minorBidi" w:cs="Arial" w:hint="cs"/>
          <w:rtl/>
        </w:rPr>
        <w:t>לדבר</w:t>
      </w:r>
      <w:r w:rsidRPr="00506702">
        <w:rPr>
          <w:rFonts w:asciiTheme="minorBidi" w:hAnsiTheme="minorBidi" w:cs="Arial"/>
          <w:rtl/>
        </w:rPr>
        <w:t xml:space="preserve"> </w:t>
      </w:r>
      <w:r w:rsidRPr="00506702">
        <w:rPr>
          <w:rFonts w:asciiTheme="minorBidi" w:hAnsiTheme="minorBidi" w:cs="Arial" w:hint="cs"/>
          <w:rtl/>
        </w:rPr>
        <w:t>שהוא</w:t>
      </w:r>
      <w:r w:rsidRPr="00506702">
        <w:rPr>
          <w:rFonts w:asciiTheme="minorBidi" w:hAnsiTheme="minorBidi" w:cs="Arial"/>
          <w:rtl/>
        </w:rPr>
        <w:t xml:space="preserve"> </w:t>
      </w:r>
      <w:r w:rsidRPr="00506702">
        <w:rPr>
          <w:rFonts w:asciiTheme="minorBidi" w:hAnsiTheme="minorBidi" w:cs="Arial" w:hint="cs"/>
          <w:rtl/>
        </w:rPr>
        <w:t>משום</w:t>
      </w:r>
      <w:r w:rsidRPr="00506702">
        <w:rPr>
          <w:rFonts w:asciiTheme="minorBidi" w:hAnsiTheme="minorBidi" w:cs="Arial"/>
          <w:rtl/>
        </w:rPr>
        <w:t xml:space="preserve"> </w:t>
      </w:r>
      <w:r w:rsidRPr="00506702">
        <w:rPr>
          <w:rFonts w:asciiTheme="minorBidi" w:hAnsiTheme="minorBidi" w:cs="Arial" w:hint="cs"/>
          <w:rtl/>
        </w:rPr>
        <w:t>שבות</w:t>
      </w:r>
      <w:r w:rsidRPr="00506702">
        <w:rPr>
          <w:rFonts w:asciiTheme="minorBidi" w:hAnsiTheme="minorBidi" w:cs="Arial"/>
          <w:rtl/>
        </w:rPr>
        <w:t xml:space="preserve">, </w:t>
      </w:r>
      <w:r w:rsidRPr="00506702">
        <w:rPr>
          <w:rFonts w:asciiTheme="minorBidi" w:hAnsiTheme="minorBidi" w:cs="Arial" w:hint="cs"/>
          <w:rtl/>
        </w:rPr>
        <w:t>מותר</w:t>
      </w:r>
      <w:r w:rsidRPr="00506702">
        <w:rPr>
          <w:rFonts w:asciiTheme="minorBidi" w:hAnsiTheme="minorBidi" w:cs="Arial"/>
          <w:rtl/>
        </w:rPr>
        <w:t xml:space="preserve"> </w:t>
      </w:r>
      <w:r w:rsidRPr="00506702">
        <w:rPr>
          <w:rFonts w:asciiTheme="minorBidi" w:hAnsiTheme="minorBidi" w:cs="Arial" w:hint="cs"/>
          <w:rtl/>
        </w:rPr>
        <w:t>בין</w:t>
      </w:r>
      <w:r w:rsidRPr="00506702">
        <w:rPr>
          <w:rFonts w:asciiTheme="minorBidi" w:hAnsiTheme="minorBidi" w:cs="Arial"/>
          <w:rtl/>
        </w:rPr>
        <w:t xml:space="preserve"> </w:t>
      </w:r>
      <w:r w:rsidRPr="00506702">
        <w:rPr>
          <w:rFonts w:asciiTheme="minorBidi" w:hAnsiTheme="minorBidi" w:cs="Arial" w:hint="cs"/>
          <w:rtl/>
        </w:rPr>
        <w:t>השמשות</w:t>
      </w:r>
      <w:r w:rsidRPr="00506702">
        <w:rPr>
          <w:rFonts w:asciiTheme="minorBidi" w:hAnsiTheme="minorBidi" w:cs="Arial"/>
          <w:rtl/>
        </w:rPr>
        <w:t xml:space="preserve">; </w:t>
      </w:r>
      <w:r w:rsidRPr="00506702">
        <w:rPr>
          <w:rFonts w:asciiTheme="minorBidi" w:hAnsiTheme="minorBidi" w:cs="Arial" w:hint="cs"/>
          <w:rtl/>
        </w:rPr>
        <w:t>ומטעם</w:t>
      </w:r>
      <w:r w:rsidRPr="00506702">
        <w:rPr>
          <w:rFonts w:asciiTheme="minorBidi" w:hAnsiTheme="minorBidi" w:cs="Arial"/>
          <w:rtl/>
        </w:rPr>
        <w:t xml:space="preserve"> </w:t>
      </w:r>
      <w:r w:rsidRPr="00506702">
        <w:rPr>
          <w:rFonts w:asciiTheme="minorBidi" w:hAnsiTheme="minorBidi" w:cs="Arial" w:hint="cs"/>
          <w:rtl/>
        </w:rPr>
        <w:t>זה</w:t>
      </w:r>
      <w:r w:rsidRPr="00506702">
        <w:rPr>
          <w:rFonts w:asciiTheme="minorBidi" w:hAnsiTheme="minorBidi" w:cs="Arial"/>
          <w:rtl/>
        </w:rPr>
        <w:t xml:space="preserve"> </w:t>
      </w:r>
      <w:r w:rsidRPr="00506702">
        <w:rPr>
          <w:rFonts w:asciiTheme="minorBidi" w:hAnsiTheme="minorBidi" w:cs="Arial" w:hint="cs"/>
          <w:rtl/>
        </w:rPr>
        <w:t>מותר</w:t>
      </w:r>
      <w:r w:rsidRPr="00506702">
        <w:rPr>
          <w:rFonts w:asciiTheme="minorBidi" w:hAnsiTheme="minorBidi" w:cs="Arial"/>
          <w:rtl/>
        </w:rPr>
        <w:t xml:space="preserve"> </w:t>
      </w:r>
      <w:r w:rsidRPr="00506702">
        <w:rPr>
          <w:rFonts w:asciiTheme="minorBidi" w:hAnsiTheme="minorBidi" w:cs="Arial" w:hint="cs"/>
          <w:rtl/>
        </w:rPr>
        <w:t>לומר</w:t>
      </w:r>
      <w:r w:rsidRPr="00506702">
        <w:rPr>
          <w:rFonts w:asciiTheme="minorBidi" w:hAnsiTheme="minorBidi" w:cs="Arial"/>
          <w:rtl/>
        </w:rPr>
        <w:t xml:space="preserve"> </w:t>
      </w:r>
      <w:r w:rsidRPr="00506702">
        <w:rPr>
          <w:rFonts w:asciiTheme="minorBidi" w:hAnsiTheme="minorBidi" w:cs="Arial" w:hint="cs"/>
          <w:rtl/>
        </w:rPr>
        <w:t>בין</w:t>
      </w:r>
      <w:r w:rsidRPr="00506702">
        <w:rPr>
          <w:rFonts w:asciiTheme="minorBidi" w:hAnsiTheme="minorBidi" w:cs="Arial"/>
          <w:rtl/>
        </w:rPr>
        <w:t xml:space="preserve"> </w:t>
      </w:r>
      <w:r w:rsidRPr="00506702">
        <w:rPr>
          <w:rFonts w:asciiTheme="minorBidi" w:hAnsiTheme="minorBidi" w:cs="Arial" w:hint="cs"/>
          <w:rtl/>
        </w:rPr>
        <w:t>השמשות</w:t>
      </w:r>
      <w:r w:rsidRPr="00506702">
        <w:rPr>
          <w:rFonts w:asciiTheme="minorBidi" w:hAnsiTheme="minorBidi" w:cs="Arial"/>
          <w:rtl/>
        </w:rPr>
        <w:t xml:space="preserve"> </w:t>
      </w:r>
      <w:r w:rsidRPr="00506702">
        <w:rPr>
          <w:rFonts w:asciiTheme="minorBidi" w:hAnsiTheme="minorBidi" w:cs="Arial" w:hint="cs"/>
          <w:rtl/>
        </w:rPr>
        <w:t>ל</w:t>
      </w:r>
      <w:r>
        <w:rPr>
          <w:rFonts w:asciiTheme="minorBidi" w:hAnsiTheme="minorBidi" w:cs="Arial" w:hint="cs"/>
          <w:rtl/>
        </w:rPr>
        <w:t>גוי</w:t>
      </w:r>
      <w:r w:rsidRPr="00506702">
        <w:rPr>
          <w:rFonts w:asciiTheme="minorBidi" w:hAnsiTheme="minorBidi" w:cs="Arial"/>
          <w:rtl/>
        </w:rPr>
        <w:t xml:space="preserve"> </w:t>
      </w:r>
      <w:r w:rsidRPr="00506702">
        <w:rPr>
          <w:rFonts w:asciiTheme="minorBidi" w:hAnsiTheme="minorBidi" w:cs="Arial" w:hint="cs"/>
          <w:rtl/>
        </w:rPr>
        <w:t>להדליק</w:t>
      </w:r>
      <w:r w:rsidRPr="00506702">
        <w:rPr>
          <w:rFonts w:asciiTheme="minorBidi" w:hAnsiTheme="minorBidi" w:cs="Arial"/>
          <w:rtl/>
        </w:rPr>
        <w:t xml:space="preserve"> </w:t>
      </w:r>
      <w:r w:rsidRPr="00506702">
        <w:rPr>
          <w:rFonts w:asciiTheme="minorBidi" w:hAnsiTheme="minorBidi" w:cs="Arial" w:hint="cs"/>
          <w:rtl/>
        </w:rPr>
        <w:t>לו</w:t>
      </w:r>
      <w:r w:rsidRPr="00506702">
        <w:rPr>
          <w:rFonts w:asciiTheme="minorBidi" w:hAnsiTheme="minorBidi" w:cs="Arial"/>
          <w:rtl/>
        </w:rPr>
        <w:t xml:space="preserve"> </w:t>
      </w:r>
      <w:r w:rsidRPr="00506702">
        <w:rPr>
          <w:rFonts w:asciiTheme="minorBidi" w:hAnsiTheme="minorBidi" w:cs="Arial" w:hint="cs"/>
          <w:rtl/>
        </w:rPr>
        <w:t>נר</w:t>
      </w:r>
      <w:r w:rsidRPr="00506702">
        <w:rPr>
          <w:rFonts w:asciiTheme="minorBidi" w:hAnsiTheme="minorBidi" w:cs="Arial"/>
          <w:rtl/>
        </w:rPr>
        <w:t xml:space="preserve"> </w:t>
      </w:r>
      <w:r w:rsidRPr="00506702">
        <w:rPr>
          <w:rFonts w:asciiTheme="minorBidi" w:hAnsiTheme="minorBidi" w:cs="Arial" w:hint="cs"/>
          <w:rtl/>
        </w:rPr>
        <w:t>לשבת</w:t>
      </w:r>
      <w:r w:rsidRPr="00506702">
        <w:rPr>
          <w:rFonts w:asciiTheme="minorBidi" w:hAnsiTheme="minorBidi" w:cs="Arial"/>
          <w:rtl/>
        </w:rPr>
        <w:t>.</w:t>
      </w:r>
    </w:p>
    <w:p w14:paraId="67F062EC" w14:textId="77777777" w:rsidR="006A4BF8" w:rsidRDefault="006A4BF8" w:rsidP="00434A6A">
      <w:pPr>
        <w:tabs>
          <w:tab w:val="left" w:pos="2788"/>
        </w:tabs>
        <w:rPr>
          <w:rFonts w:asciiTheme="minorBidi" w:hAnsiTheme="minorBidi"/>
          <w:rtl/>
        </w:rPr>
      </w:pPr>
    </w:p>
    <w:p w14:paraId="0C0FD9AB" w14:textId="77777777" w:rsidR="006A4BF8" w:rsidRDefault="006A4BF8" w:rsidP="00434A6A">
      <w:pPr>
        <w:tabs>
          <w:tab w:val="left" w:pos="2788"/>
        </w:tabs>
        <w:rPr>
          <w:rFonts w:asciiTheme="minorBidi" w:hAnsiTheme="minorBidi"/>
          <w:rtl/>
        </w:rPr>
      </w:pPr>
    </w:p>
    <w:p w14:paraId="571E381B" w14:textId="77777777" w:rsidR="006A4BF8" w:rsidRDefault="006A4BF8" w:rsidP="00434A6A">
      <w:pPr>
        <w:tabs>
          <w:tab w:val="left" w:pos="2788"/>
        </w:tabs>
        <w:rPr>
          <w:rFonts w:asciiTheme="minorBidi" w:hAnsiTheme="minorBidi"/>
          <w:rtl/>
        </w:rPr>
      </w:pPr>
    </w:p>
    <w:p w14:paraId="3D5B4C7C" w14:textId="77777777" w:rsidR="006A4BF8" w:rsidRDefault="006A4BF8" w:rsidP="00434A6A">
      <w:pPr>
        <w:pStyle w:val="1"/>
        <w:rPr>
          <w:rtl/>
        </w:rPr>
        <w:sectPr w:rsidR="006A4BF8" w:rsidSect="00BD29B1">
          <w:headerReference w:type="default" r:id="rId109"/>
          <w:footnotePr>
            <w:numRestart w:val="eachSect"/>
          </w:footnotePr>
          <w:pgSz w:w="11906" w:h="16838"/>
          <w:pgMar w:top="720" w:right="1134" w:bottom="720" w:left="1134" w:header="0" w:footer="0" w:gutter="0"/>
          <w:cols w:space="720"/>
          <w:bidi/>
          <w:rtlGutter/>
          <w:docGrid w:linePitch="360"/>
        </w:sectPr>
      </w:pPr>
    </w:p>
    <w:p w14:paraId="7292015E" w14:textId="77777777" w:rsidR="006A4BF8" w:rsidRPr="00506702" w:rsidRDefault="006A4BF8" w:rsidP="00434A6A">
      <w:pPr>
        <w:pStyle w:val="1"/>
        <w:rPr>
          <w:rtl/>
        </w:rPr>
      </w:pPr>
      <w:r>
        <w:rPr>
          <w:rFonts w:hint="cs"/>
          <w:rtl/>
        </w:rPr>
        <w:t xml:space="preserve">סימן שמג: </w:t>
      </w:r>
      <w:r w:rsidRPr="00506702">
        <w:rPr>
          <w:rFonts w:hint="cs"/>
          <w:rtl/>
        </w:rPr>
        <w:t>דיני</w:t>
      </w:r>
      <w:r w:rsidRPr="00506702">
        <w:rPr>
          <w:rtl/>
        </w:rPr>
        <w:t xml:space="preserve"> </w:t>
      </w:r>
      <w:r w:rsidRPr="00506702">
        <w:rPr>
          <w:rFonts w:hint="cs"/>
          <w:rtl/>
        </w:rPr>
        <w:t>קטן</w:t>
      </w:r>
      <w:r w:rsidRPr="00506702">
        <w:rPr>
          <w:rtl/>
        </w:rPr>
        <w:t xml:space="preserve"> </w:t>
      </w:r>
      <w:r w:rsidRPr="00506702">
        <w:rPr>
          <w:rFonts w:hint="cs"/>
          <w:rtl/>
        </w:rPr>
        <w:t>בשבת</w:t>
      </w:r>
      <w:r w:rsidRPr="00506702">
        <w:rPr>
          <w:rtl/>
        </w:rPr>
        <w:t xml:space="preserve">, </w:t>
      </w:r>
      <w:r w:rsidRPr="00506702">
        <w:rPr>
          <w:rFonts w:hint="cs"/>
          <w:rtl/>
        </w:rPr>
        <w:t>ובו</w:t>
      </w:r>
      <w:r w:rsidRPr="00506702">
        <w:rPr>
          <w:rtl/>
        </w:rPr>
        <w:t xml:space="preserve"> </w:t>
      </w:r>
      <w:r w:rsidRPr="00506702">
        <w:rPr>
          <w:rFonts w:hint="cs"/>
          <w:rtl/>
        </w:rPr>
        <w:t>סעיף</w:t>
      </w:r>
      <w:r w:rsidRPr="00506702">
        <w:rPr>
          <w:rtl/>
        </w:rPr>
        <w:t xml:space="preserve"> </w:t>
      </w:r>
      <w:r w:rsidRPr="00506702">
        <w:rPr>
          <w:rFonts w:hint="cs"/>
          <w:rtl/>
        </w:rPr>
        <w:t>אחד</w:t>
      </w:r>
      <w:r w:rsidRPr="00506702">
        <w:rPr>
          <w:rtl/>
        </w:rPr>
        <w:t xml:space="preserve">. </w:t>
      </w:r>
    </w:p>
    <w:p w14:paraId="664B688F" w14:textId="77777777" w:rsidR="006A4BF8" w:rsidRPr="00506702" w:rsidRDefault="006A4BF8" w:rsidP="00434A6A">
      <w:pPr>
        <w:pStyle w:val="2"/>
        <w:rPr>
          <w:rtl/>
        </w:rPr>
      </w:pPr>
      <w:r w:rsidRPr="00506702">
        <w:rPr>
          <w:rFonts w:hint="cs"/>
          <w:rtl/>
        </w:rPr>
        <w:t>סעיף</w:t>
      </w:r>
      <w:r w:rsidRPr="00506702">
        <w:rPr>
          <w:rtl/>
        </w:rPr>
        <w:t xml:space="preserve"> </w:t>
      </w:r>
      <w:r w:rsidRPr="00506702">
        <w:rPr>
          <w:rFonts w:hint="cs"/>
          <w:rtl/>
        </w:rPr>
        <w:t>א</w:t>
      </w:r>
    </w:p>
    <w:p w14:paraId="75F72810" w14:textId="77777777" w:rsidR="006A4BF8" w:rsidRPr="005275DF" w:rsidRDefault="006A4BF8" w:rsidP="00434A6A">
      <w:pPr>
        <w:rPr>
          <w:rFonts w:asciiTheme="minorBidi" w:hAnsiTheme="minorBidi"/>
          <w:rtl/>
        </w:rPr>
      </w:pPr>
      <w:r w:rsidRPr="005275DF">
        <w:rPr>
          <w:rFonts w:asciiTheme="minorBidi" w:hAnsiTheme="minorBidi"/>
          <w:b/>
          <w:bCs/>
          <w:sz w:val="32"/>
          <w:szCs w:val="28"/>
          <w:u w:val="single"/>
          <w:rtl/>
        </w:rPr>
        <w:t xml:space="preserve">שו"ע: </w:t>
      </w:r>
    </w:p>
    <w:p w14:paraId="25C8E028" w14:textId="77777777" w:rsidR="006A4BF8" w:rsidRDefault="006A4BF8" w:rsidP="00434A6A">
      <w:pPr>
        <w:tabs>
          <w:tab w:val="left" w:pos="2788"/>
        </w:tabs>
        <w:rPr>
          <w:rFonts w:asciiTheme="minorBidi" w:hAnsiTheme="minorBidi"/>
          <w:rtl/>
        </w:rPr>
      </w:pPr>
      <w:r w:rsidRPr="00506702">
        <w:rPr>
          <w:rFonts w:asciiTheme="minorBidi" w:hAnsiTheme="minorBidi" w:cs="Arial" w:hint="cs"/>
          <w:rtl/>
        </w:rPr>
        <w:t>קטן</w:t>
      </w:r>
      <w:r w:rsidRPr="00506702">
        <w:rPr>
          <w:rFonts w:asciiTheme="minorBidi" w:hAnsiTheme="minorBidi" w:cs="Arial"/>
          <w:rtl/>
        </w:rPr>
        <w:t xml:space="preserve"> </w:t>
      </w:r>
      <w:r w:rsidRPr="00506702">
        <w:rPr>
          <w:rFonts w:asciiTheme="minorBidi" w:hAnsiTheme="minorBidi" w:cs="Arial" w:hint="cs"/>
          <w:rtl/>
        </w:rPr>
        <w:t>אוכל</w:t>
      </w:r>
      <w:r w:rsidRPr="00506702">
        <w:rPr>
          <w:rFonts w:asciiTheme="minorBidi" w:hAnsiTheme="minorBidi" w:cs="Arial"/>
          <w:rtl/>
        </w:rPr>
        <w:t xml:space="preserve"> </w:t>
      </w:r>
      <w:r w:rsidRPr="00506702">
        <w:rPr>
          <w:rFonts w:asciiTheme="minorBidi" w:hAnsiTheme="minorBidi" w:cs="Arial" w:hint="cs"/>
          <w:rtl/>
        </w:rPr>
        <w:t>נבלות</w:t>
      </w:r>
      <w:r w:rsidRPr="00506702">
        <w:rPr>
          <w:rFonts w:asciiTheme="minorBidi" w:hAnsiTheme="minorBidi" w:cs="Arial"/>
          <w:rtl/>
        </w:rPr>
        <w:t xml:space="preserve"> </w:t>
      </w:r>
      <w:r w:rsidRPr="00506702">
        <w:rPr>
          <w:rFonts w:asciiTheme="minorBidi" w:hAnsiTheme="minorBidi" w:cs="Arial" w:hint="cs"/>
          <w:rtl/>
        </w:rPr>
        <w:t>אין</w:t>
      </w:r>
      <w:r w:rsidRPr="00506702">
        <w:rPr>
          <w:rFonts w:asciiTheme="minorBidi" w:hAnsiTheme="minorBidi" w:cs="Arial"/>
          <w:rtl/>
        </w:rPr>
        <w:t xml:space="preserve"> </w:t>
      </w:r>
      <w:r w:rsidRPr="00506702">
        <w:rPr>
          <w:rFonts w:asciiTheme="minorBidi" w:hAnsiTheme="minorBidi" w:cs="Arial" w:hint="cs"/>
          <w:rtl/>
        </w:rPr>
        <w:t>ב</w:t>
      </w:r>
      <w:r w:rsidRPr="00506702">
        <w:rPr>
          <w:rFonts w:asciiTheme="minorBidi" w:hAnsiTheme="minorBidi" w:cs="Arial"/>
          <w:rtl/>
        </w:rPr>
        <w:t>"</w:t>
      </w:r>
      <w:r w:rsidRPr="00506702">
        <w:rPr>
          <w:rFonts w:asciiTheme="minorBidi" w:hAnsiTheme="minorBidi" w:cs="Arial" w:hint="cs"/>
          <w:rtl/>
        </w:rPr>
        <w:t>ד</w:t>
      </w:r>
      <w:r w:rsidRPr="00506702">
        <w:rPr>
          <w:rFonts w:asciiTheme="minorBidi" w:hAnsiTheme="minorBidi" w:cs="Arial"/>
          <w:rtl/>
        </w:rPr>
        <w:t xml:space="preserve"> </w:t>
      </w:r>
      <w:r w:rsidRPr="00506702">
        <w:rPr>
          <w:rFonts w:asciiTheme="minorBidi" w:hAnsiTheme="minorBidi" w:cs="Arial" w:hint="cs"/>
          <w:rtl/>
        </w:rPr>
        <w:t>מצווין</w:t>
      </w:r>
      <w:r w:rsidRPr="00506702">
        <w:rPr>
          <w:rFonts w:asciiTheme="minorBidi" w:hAnsiTheme="minorBidi" w:cs="Arial"/>
          <w:rtl/>
        </w:rPr>
        <w:t xml:space="preserve"> </w:t>
      </w:r>
      <w:r w:rsidRPr="00506702">
        <w:rPr>
          <w:rFonts w:asciiTheme="minorBidi" w:hAnsiTheme="minorBidi" w:cs="Arial" w:hint="cs"/>
          <w:rtl/>
        </w:rPr>
        <w:t>להפרישו</w:t>
      </w:r>
      <w:r w:rsidRPr="00506702">
        <w:rPr>
          <w:rFonts w:asciiTheme="minorBidi" w:hAnsiTheme="minorBidi" w:cs="Arial"/>
          <w:rtl/>
        </w:rPr>
        <w:t xml:space="preserve">, </w:t>
      </w:r>
      <w:r w:rsidRPr="00506702">
        <w:rPr>
          <w:rFonts w:asciiTheme="minorBidi" w:hAnsiTheme="minorBidi" w:cs="Arial" w:hint="cs"/>
          <w:rtl/>
        </w:rPr>
        <w:t>אבל</w:t>
      </w:r>
      <w:r w:rsidRPr="00506702">
        <w:rPr>
          <w:rFonts w:asciiTheme="minorBidi" w:hAnsiTheme="minorBidi" w:cs="Arial"/>
          <w:rtl/>
        </w:rPr>
        <w:t xml:space="preserve"> </w:t>
      </w:r>
      <w:r w:rsidRPr="00506702">
        <w:rPr>
          <w:rFonts w:asciiTheme="minorBidi" w:hAnsiTheme="minorBidi" w:cs="Arial" w:hint="cs"/>
          <w:rtl/>
        </w:rPr>
        <w:t>אביו</w:t>
      </w:r>
      <w:r w:rsidRPr="00506702">
        <w:rPr>
          <w:rFonts w:asciiTheme="minorBidi" w:hAnsiTheme="minorBidi" w:cs="Arial"/>
          <w:rtl/>
        </w:rPr>
        <w:t xml:space="preserve"> </w:t>
      </w:r>
      <w:r w:rsidRPr="00506702">
        <w:rPr>
          <w:rFonts w:asciiTheme="minorBidi" w:hAnsiTheme="minorBidi" w:cs="Arial" w:hint="cs"/>
          <w:rtl/>
        </w:rPr>
        <w:t>מצווה</w:t>
      </w:r>
      <w:r w:rsidRPr="00506702">
        <w:rPr>
          <w:rFonts w:asciiTheme="minorBidi" w:hAnsiTheme="minorBidi" w:cs="Arial"/>
          <w:rtl/>
        </w:rPr>
        <w:t xml:space="preserve"> </w:t>
      </w:r>
      <w:r w:rsidRPr="00506702">
        <w:rPr>
          <w:rFonts w:asciiTheme="minorBidi" w:hAnsiTheme="minorBidi" w:cs="Arial" w:hint="cs"/>
          <w:rtl/>
        </w:rPr>
        <w:t>לגעור</w:t>
      </w:r>
      <w:r w:rsidRPr="00506702">
        <w:rPr>
          <w:rFonts w:asciiTheme="minorBidi" w:hAnsiTheme="minorBidi" w:cs="Arial"/>
          <w:rtl/>
        </w:rPr>
        <w:t xml:space="preserve"> </w:t>
      </w:r>
      <w:r w:rsidRPr="00506702">
        <w:rPr>
          <w:rFonts w:asciiTheme="minorBidi" w:hAnsiTheme="minorBidi" w:cs="Arial" w:hint="cs"/>
          <w:rtl/>
        </w:rPr>
        <w:t>בו</w:t>
      </w:r>
      <w:r w:rsidRPr="00506702">
        <w:rPr>
          <w:rFonts w:asciiTheme="minorBidi" w:hAnsiTheme="minorBidi" w:cs="Arial"/>
          <w:rtl/>
        </w:rPr>
        <w:t xml:space="preserve"> </w:t>
      </w:r>
      <w:r w:rsidRPr="00506702">
        <w:rPr>
          <w:rFonts w:asciiTheme="minorBidi" w:hAnsiTheme="minorBidi" w:cs="Arial" w:hint="cs"/>
          <w:rtl/>
        </w:rPr>
        <w:t>להפרישו</w:t>
      </w:r>
      <w:r w:rsidRPr="00506702">
        <w:rPr>
          <w:rFonts w:asciiTheme="minorBidi" w:hAnsiTheme="minorBidi" w:cs="Arial"/>
          <w:rtl/>
        </w:rPr>
        <w:t xml:space="preserve"> (</w:t>
      </w:r>
      <w:r w:rsidRPr="00506702">
        <w:rPr>
          <w:rFonts w:asciiTheme="minorBidi" w:hAnsiTheme="minorBidi" w:cs="Arial" w:hint="cs"/>
          <w:rtl/>
        </w:rPr>
        <w:t>מאיסור</w:t>
      </w:r>
      <w:r w:rsidRPr="00506702">
        <w:rPr>
          <w:rFonts w:asciiTheme="minorBidi" w:hAnsiTheme="minorBidi" w:cs="Arial"/>
          <w:rtl/>
        </w:rPr>
        <w:t xml:space="preserve"> </w:t>
      </w:r>
      <w:r w:rsidRPr="00506702">
        <w:rPr>
          <w:rFonts w:asciiTheme="minorBidi" w:hAnsiTheme="minorBidi" w:cs="Arial" w:hint="cs"/>
          <w:rtl/>
        </w:rPr>
        <w:t>דאורייתא</w:t>
      </w:r>
      <w:r w:rsidRPr="00506702">
        <w:rPr>
          <w:rFonts w:asciiTheme="minorBidi" w:hAnsiTheme="minorBidi" w:cs="Arial"/>
          <w:rtl/>
        </w:rPr>
        <w:t xml:space="preserve">); </w:t>
      </w:r>
      <w:r w:rsidRPr="00506702">
        <w:rPr>
          <w:rFonts w:asciiTheme="minorBidi" w:hAnsiTheme="minorBidi" w:cs="Arial" w:hint="cs"/>
          <w:rtl/>
        </w:rPr>
        <w:t>ולהאכילו</w:t>
      </w:r>
      <w:r w:rsidRPr="00506702">
        <w:rPr>
          <w:rFonts w:asciiTheme="minorBidi" w:hAnsiTheme="minorBidi" w:cs="Arial"/>
          <w:rtl/>
        </w:rPr>
        <w:t xml:space="preserve"> </w:t>
      </w:r>
      <w:r w:rsidRPr="00506702">
        <w:rPr>
          <w:rFonts w:asciiTheme="minorBidi" w:hAnsiTheme="minorBidi" w:cs="Arial" w:hint="cs"/>
          <w:rtl/>
        </w:rPr>
        <w:t>בידים</w:t>
      </w:r>
      <w:r w:rsidRPr="00506702">
        <w:rPr>
          <w:rFonts w:asciiTheme="minorBidi" w:hAnsiTheme="minorBidi" w:cs="Arial"/>
          <w:rtl/>
        </w:rPr>
        <w:t xml:space="preserve">, </w:t>
      </w:r>
      <w:r w:rsidRPr="00506702">
        <w:rPr>
          <w:rFonts w:asciiTheme="minorBidi" w:hAnsiTheme="minorBidi" w:cs="Arial" w:hint="cs"/>
          <w:rtl/>
        </w:rPr>
        <w:t>אסור</w:t>
      </w:r>
      <w:r w:rsidRPr="00506702">
        <w:rPr>
          <w:rFonts w:asciiTheme="minorBidi" w:hAnsiTheme="minorBidi" w:cs="Arial"/>
          <w:rtl/>
        </w:rPr>
        <w:t xml:space="preserve"> </w:t>
      </w:r>
      <w:r w:rsidRPr="00506702">
        <w:rPr>
          <w:rFonts w:asciiTheme="minorBidi" w:hAnsiTheme="minorBidi" w:cs="Arial" w:hint="cs"/>
          <w:rtl/>
        </w:rPr>
        <w:t>אפילו</w:t>
      </w:r>
      <w:r w:rsidRPr="00506702">
        <w:rPr>
          <w:rFonts w:asciiTheme="minorBidi" w:hAnsiTheme="minorBidi" w:cs="Arial"/>
          <w:rtl/>
        </w:rPr>
        <w:t xml:space="preserve"> </w:t>
      </w:r>
      <w:r w:rsidRPr="00506702">
        <w:rPr>
          <w:rFonts w:asciiTheme="minorBidi" w:hAnsiTheme="minorBidi" w:cs="Arial" w:hint="cs"/>
          <w:rtl/>
        </w:rPr>
        <w:t>דברים</w:t>
      </w:r>
      <w:r w:rsidRPr="00506702">
        <w:rPr>
          <w:rFonts w:asciiTheme="minorBidi" w:hAnsiTheme="minorBidi" w:cs="Arial"/>
          <w:rtl/>
        </w:rPr>
        <w:t xml:space="preserve"> </w:t>
      </w:r>
      <w:r w:rsidRPr="00506702">
        <w:rPr>
          <w:rFonts w:asciiTheme="minorBidi" w:hAnsiTheme="minorBidi" w:cs="Arial" w:hint="cs"/>
          <w:rtl/>
        </w:rPr>
        <w:t>שאסורים</w:t>
      </w:r>
      <w:r w:rsidRPr="00506702">
        <w:rPr>
          <w:rFonts w:asciiTheme="minorBidi" w:hAnsiTheme="minorBidi" w:cs="Arial"/>
          <w:rtl/>
        </w:rPr>
        <w:t xml:space="preserve"> </w:t>
      </w:r>
      <w:r w:rsidRPr="00506702">
        <w:rPr>
          <w:rFonts w:asciiTheme="minorBidi" w:hAnsiTheme="minorBidi" w:cs="Arial" w:hint="cs"/>
          <w:rtl/>
        </w:rPr>
        <w:t>מדברי</w:t>
      </w:r>
      <w:r w:rsidRPr="00506702">
        <w:rPr>
          <w:rFonts w:asciiTheme="minorBidi" w:hAnsiTheme="minorBidi" w:cs="Arial"/>
          <w:rtl/>
        </w:rPr>
        <w:t xml:space="preserve"> </w:t>
      </w:r>
      <w:r w:rsidRPr="00506702">
        <w:rPr>
          <w:rFonts w:asciiTheme="minorBidi" w:hAnsiTheme="minorBidi" w:cs="Arial" w:hint="cs"/>
          <w:rtl/>
        </w:rPr>
        <w:t>סופרים</w:t>
      </w:r>
      <w:r w:rsidRPr="00506702">
        <w:rPr>
          <w:rFonts w:asciiTheme="minorBidi" w:hAnsiTheme="minorBidi" w:cs="Arial"/>
          <w:rtl/>
        </w:rPr>
        <w:t xml:space="preserve">; </w:t>
      </w:r>
      <w:r w:rsidRPr="00506702">
        <w:rPr>
          <w:rFonts w:asciiTheme="minorBidi" w:hAnsiTheme="minorBidi" w:cs="Arial" w:hint="cs"/>
          <w:rtl/>
        </w:rPr>
        <w:t>וכן</w:t>
      </w:r>
      <w:r w:rsidRPr="00506702">
        <w:rPr>
          <w:rFonts w:asciiTheme="minorBidi" w:hAnsiTheme="minorBidi" w:cs="Arial"/>
          <w:rtl/>
        </w:rPr>
        <w:t xml:space="preserve"> </w:t>
      </w:r>
      <w:r w:rsidRPr="00506702">
        <w:rPr>
          <w:rFonts w:asciiTheme="minorBidi" w:hAnsiTheme="minorBidi" w:cs="Arial" w:hint="cs"/>
          <w:rtl/>
        </w:rPr>
        <w:t>אסור</w:t>
      </w:r>
      <w:r w:rsidRPr="00506702">
        <w:rPr>
          <w:rFonts w:asciiTheme="minorBidi" w:hAnsiTheme="minorBidi" w:cs="Arial"/>
          <w:rtl/>
        </w:rPr>
        <w:t xml:space="preserve"> </w:t>
      </w:r>
      <w:r w:rsidRPr="00506702">
        <w:rPr>
          <w:rFonts w:asciiTheme="minorBidi" w:hAnsiTheme="minorBidi" w:cs="Arial" w:hint="cs"/>
          <w:rtl/>
        </w:rPr>
        <w:t>להרגילו</w:t>
      </w:r>
      <w:r w:rsidRPr="00506702">
        <w:rPr>
          <w:rFonts w:asciiTheme="minorBidi" w:hAnsiTheme="minorBidi" w:cs="Arial"/>
          <w:rtl/>
        </w:rPr>
        <w:t xml:space="preserve"> </w:t>
      </w:r>
      <w:r w:rsidRPr="00506702">
        <w:rPr>
          <w:rFonts w:asciiTheme="minorBidi" w:hAnsiTheme="minorBidi" w:cs="Arial" w:hint="cs"/>
          <w:rtl/>
        </w:rPr>
        <w:t>בחילול</w:t>
      </w:r>
      <w:r w:rsidRPr="00506702">
        <w:rPr>
          <w:rFonts w:asciiTheme="minorBidi" w:hAnsiTheme="minorBidi" w:cs="Arial"/>
          <w:rtl/>
        </w:rPr>
        <w:t xml:space="preserve"> </w:t>
      </w:r>
      <w:r w:rsidRPr="00506702">
        <w:rPr>
          <w:rFonts w:asciiTheme="minorBidi" w:hAnsiTheme="minorBidi" w:cs="Arial" w:hint="cs"/>
          <w:rtl/>
        </w:rPr>
        <w:t>שבת</w:t>
      </w:r>
      <w:r w:rsidRPr="00506702">
        <w:rPr>
          <w:rFonts w:asciiTheme="minorBidi" w:hAnsiTheme="minorBidi" w:cs="Arial"/>
          <w:rtl/>
        </w:rPr>
        <w:t xml:space="preserve"> </w:t>
      </w:r>
      <w:r w:rsidRPr="00506702">
        <w:rPr>
          <w:rFonts w:asciiTheme="minorBidi" w:hAnsiTheme="minorBidi" w:cs="Arial" w:hint="cs"/>
          <w:rtl/>
        </w:rPr>
        <w:t>ומועד</w:t>
      </w:r>
      <w:r w:rsidRPr="00506702">
        <w:rPr>
          <w:rFonts w:asciiTheme="minorBidi" w:hAnsiTheme="minorBidi" w:cs="Arial"/>
          <w:rtl/>
        </w:rPr>
        <w:t xml:space="preserve"> </w:t>
      </w:r>
      <w:r w:rsidRPr="00506702">
        <w:rPr>
          <w:rFonts w:asciiTheme="minorBidi" w:hAnsiTheme="minorBidi" w:cs="Arial" w:hint="cs"/>
          <w:rtl/>
        </w:rPr>
        <w:t>ואפי</w:t>
      </w:r>
      <w:r w:rsidRPr="00506702">
        <w:rPr>
          <w:rFonts w:asciiTheme="minorBidi" w:hAnsiTheme="minorBidi" w:cs="Arial"/>
          <w:rtl/>
        </w:rPr>
        <w:t xml:space="preserve">' </w:t>
      </w:r>
      <w:r w:rsidRPr="00506702">
        <w:rPr>
          <w:rFonts w:asciiTheme="minorBidi" w:hAnsiTheme="minorBidi" w:cs="Arial" w:hint="cs"/>
          <w:rtl/>
        </w:rPr>
        <w:t>בדברים</w:t>
      </w:r>
      <w:r w:rsidRPr="00506702">
        <w:rPr>
          <w:rFonts w:asciiTheme="minorBidi" w:hAnsiTheme="minorBidi" w:cs="Arial"/>
          <w:rtl/>
        </w:rPr>
        <w:t xml:space="preserve"> </w:t>
      </w:r>
      <w:r w:rsidRPr="00506702">
        <w:rPr>
          <w:rFonts w:asciiTheme="minorBidi" w:hAnsiTheme="minorBidi" w:cs="Arial" w:hint="cs"/>
          <w:rtl/>
        </w:rPr>
        <w:t>שהם</w:t>
      </w:r>
      <w:r w:rsidRPr="00506702">
        <w:rPr>
          <w:rFonts w:asciiTheme="minorBidi" w:hAnsiTheme="minorBidi" w:cs="Arial"/>
          <w:rtl/>
        </w:rPr>
        <w:t xml:space="preserve"> </w:t>
      </w:r>
      <w:r w:rsidRPr="00506702">
        <w:rPr>
          <w:rFonts w:asciiTheme="minorBidi" w:hAnsiTheme="minorBidi" w:cs="Arial" w:hint="cs"/>
          <w:rtl/>
        </w:rPr>
        <w:t>משום</w:t>
      </w:r>
      <w:r w:rsidRPr="00506702">
        <w:rPr>
          <w:rFonts w:asciiTheme="minorBidi" w:hAnsiTheme="minorBidi" w:cs="Arial"/>
          <w:rtl/>
        </w:rPr>
        <w:t xml:space="preserve"> </w:t>
      </w:r>
      <w:r w:rsidRPr="00506702">
        <w:rPr>
          <w:rFonts w:asciiTheme="minorBidi" w:hAnsiTheme="minorBidi" w:cs="Arial" w:hint="cs"/>
          <w:rtl/>
        </w:rPr>
        <w:t>שבות</w:t>
      </w:r>
      <w:r w:rsidRPr="00506702">
        <w:rPr>
          <w:rFonts w:asciiTheme="minorBidi" w:hAnsiTheme="minorBidi" w:cs="Arial"/>
          <w:rtl/>
        </w:rPr>
        <w:t xml:space="preserve">. </w:t>
      </w:r>
      <w:r w:rsidRPr="00506702">
        <w:rPr>
          <w:rFonts w:asciiTheme="minorBidi" w:hAnsiTheme="minorBidi" w:cs="Arial" w:hint="cs"/>
          <w:rtl/>
        </w:rPr>
        <w:t>הגה</w:t>
      </w:r>
      <w:r w:rsidRPr="00506702">
        <w:rPr>
          <w:rFonts w:asciiTheme="minorBidi" w:hAnsiTheme="minorBidi" w:cs="Arial"/>
          <w:rtl/>
        </w:rPr>
        <w:t xml:space="preserve">: </w:t>
      </w:r>
      <w:r w:rsidRPr="00506702">
        <w:rPr>
          <w:rFonts w:asciiTheme="minorBidi" w:hAnsiTheme="minorBidi" w:cs="Arial" w:hint="cs"/>
          <w:rtl/>
        </w:rPr>
        <w:t>וי</w:t>
      </w:r>
      <w:r w:rsidRPr="00506702">
        <w:rPr>
          <w:rFonts w:asciiTheme="minorBidi" w:hAnsiTheme="minorBidi" w:cs="Arial"/>
          <w:rtl/>
        </w:rPr>
        <w:t>"</w:t>
      </w:r>
      <w:r w:rsidRPr="00506702">
        <w:rPr>
          <w:rFonts w:asciiTheme="minorBidi" w:hAnsiTheme="minorBidi" w:cs="Arial" w:hint="cs"/>
          <w:rtl/>
        </w:rPr>
        <w:t>א</w:t>
      </w:r>
      <w:r w:rsidRPr="00506702">
        <w:rPr>
          <w:rFonts w:asciiTheme="minorBidi" w:hAnsiTheme="minorBidi" w:cs="Arial"/>
          <w:rtl/>
        </w:rPr>
        <w:t xml:space="preserve"> </w:t>
      </w:r>
      <w:r w:rsidRPr="00506702">
        <w:rPr>
          <w:rFonts w:asciiTheme="minorBidi" w:hAnsiTheme="minorBidi" w:cs="Arial" w:hint="cs"/>
          <w:rtl/>
        </w:rPr>
        <w:t>דכל</w:t>
      </w:r>
      <w:r w:rsidRPr="00506702">
        <w:rPr>
          <w:rFonts w:asciiTheme="minorBidi" w:hAnsiTheme="minorBidi" w:cs="Arial"/>
          <w:rtl/>
        </w:rPr>
        <w:t xml:space="preserve"> </w:t>
      </w:r>
      <w:r w:rsidRPr="00506702">
        <w:rPr>
          <w:rFonts w:asciiTheme="minorBidi" w:hAnsiTheme="minorBidi" w:cs="Arial" w:hint="cs"/>
          <w:rtl/>
        </w:rPr>
        <w:t>זה</w:t>
      </w:r>
      <w:r w:rsidRPr="00506702">
        <w:rPr>
          <w:rFonts w:asciiTheme="minorBidi" w:hAnsiTheme="minorBidi" w:cs="Arial"/>
          <w:rtl/>
        </w:rPr>
        <w:t xml:space="preserve"> </w:t>
      </w:r>
      <w:r w:rsidRPr="00506702">
        <w:rPr>
          <w:rFonts w:asciiTheme="minorBidi" w:hAnsiTheme="minorBidi" w:cs="Arial" w:hint="cs"/>
          <w:rtl/>
        </w:rPr>
        <w:t>בקטן</w:t>
      </w:r>
      <w:r w:rsidRPr="00506702">
        <w:rPr>
          <w:rFonts w:asciiTheme="minorBidi" w:hAnsiTheme="minorBidi" w:cs="Arial"/>
          <w:rtl/>
        </w:rPr>
        <w:t xml:space="preserve"> </w:t>
      </w:r>
      <w:r w:rsidRPr="00506702">
        <w:rPr>
          <w:rFonts w:asciiTheme="minorBidi" w:hAnsiTheme="minorBidi" w:cs="Arial" w:hint="cs"/>
          <w:rtl/>
        </w:rPr>
        <w:t>דלא</w:t>
      </w:r>
      <w:r w:rsidRPr="00506702">
        <w:rPr>
          <w:rFonts w:asciiTheme="minorBidi" w:hAnsiTheme="minorBidi" w:cs="Arial"/>
          <w:rtl/>
        </w:rPr>
        <w:t xml:space="preserve"> </w:t>
      </w:r>
      <w:r w:rsidRPr="00506702">
        <w:rPr>
          <w:rFonts w:asciiTheme="minorBidi" w:hAnsiTheme="minorBidi" w:cs="Arial" w:hint="cs"/>
          <w:rtl/>
        </w:rPr>
        <w:t>הגיע</w:t>
      </w:r>
      <w:r w:rsidRPr="00506702">
        <w:rPr>
          <w:rFonts w:asciiTheme="minorBidi" w:hAnsiTheme="minorBidi" w:cs="Arial"/>
          <w:rtl/>
        </w:rPr>
        <w:t xml:space="preserve"> </w:t>
      </w:r>
      <w:r w:rsidRPr="00506702">
        <w:rPr>
          <w:rFonts w:asciiTheme="minorBidi" w:hAnsiTheme="minorBidi" w:cs="Arial" w:hint="cs"/>
          <w:rtl/>
        </w:rPr>
        <w:t>לחינוך</w:t>
      </w:r>
      <w:r w:rsidRPr="00506702">
        <w:rPr>
          <w:rFonts w:asciiTheme="minorBidi" w:hAnsiTheme="minorBidi" w:cs="Arial"/>
          <w:rtl/>
        </w:rPr>
        <w:t xml:space="preserve">, </w:t>
      </w:r>
      <w:r w:rsidRPr="00506702">
        <w:rPr>
          <w:rFonts w:asciiTheme="minorBidi" w:hAnsiTheme="minorBidi" w:cs="Arial" w:hint="cs"/>
          <w:rtl/>
        </w:rPr>
        <w:t>אבל</w:t>
      </w:r>
      <w:r w:rsidRPr="00506702">
        <w:rPr>
          <w:rFonts w:asciiTheme="minorBidi" w:hAnsiTheme="minorBidi" w:cs="Arial"/>
          <w:rtl/>
        </w:rPr>
        <w:t xml:space="preserve"> </w:t>
      </w:r>
      <w:r w:rsidRPr="00506702">
        <w:rPr>
          <w:rFonts w:asciiTheme="minorBidi" w:hAnsiTheme="minorBidi" w:cs="Arial" w:hint="cs"/>
          <w:rtl/>
        </w:rPr>
        <w:t>הגיע</w:t>
      </w:r>
      <w:r w:rsidRPr="00506702">
        <w:rPr>
          <w:rFonts w:asciiTheme="minorBidi" w:hAnsiTheme="minorBidi" w:cs="Arial"/>
          <w:rtl/>
        </w:rPr>
        <w:t xml:space="preserve"> </w:t>
      </w:r>
      <w:r w:rsidRPr="00506702">
        <w:rPr>
          <w:rFonts w:asciiTheme="minorBidi" w:hAnsiTheme="minorBidi" w:cs="Arial" w:hint="cs"/>
          <w:rtl/>
        </w:rPr>
        <w:t>לחינוך</w:t>
      </w:r>
      <w:r w:rsidRPr="00506702">
        <w:rPr>
          <w:rFonts w:asciiTheme="minorBidi" w:hAnsiTheme="minorBidi" w:cs="Arial"/>
          <w:rtl/>
        </w:rPr>
        <w:t xml:space="preserve"> </w:t>
      </w:r>
      <w:r w:rsidRPr="00506702">
        <w:rPr>
          <w:rFonts w:asciiTheme="minorBidi" w:hAnsiTheme="minorBidi" w:cs="Arial" w:hint="cs"/>
          <w:rtl/>
        </w:rPr>
        <w:t>צריכים</w:t>
      </w:r>
      <w:r w:rsidRPr="00506702">
        <w:rPr>
          <w:rFonts w:asciiTheme="minorBidi" w:hAnsiTheme="minorBidi" w:cs="Arial"/>
          <w:rtl/>
        </w:rPr>
        <w:t xml:space="preserve"> </w:t>
      </w:r>
      <w:r w:rsidRPr="00506702">
        <w:rPr>
          <w:rFonts w:asciiTheme="minorBidi" w:hAnsiTheme="minorBidi" w:cs="Arial" w:hint="cs"/>
          <w:rtl/>
        </w:rPr>
        <w:t>להפרישו</w:t>
      </w:r>
      <w:r w:rsidRPr="00506702">
        <w:rPr>
          <w:rFonts w:asciiTheme="minorBidi" w:hAnsiTheme="minorBidi" w:cs="Arial"/>
          <w:rtl/>
        </w:rPr>
        <w:t xml:space="preserve"> (</w:t>
      </w:r>
      <w:r w:rsidRPr="00506702">
        <w:rPr>
          <w:rFonts w:asciiTheme="minorBidi" w:hAnsiTheme="minorBidi" w:cs="Arial" w:hint="cs"/>
          <w:rtl/>
        </w:rPr>
        <w:t>תוס</w:t>
      </w:r>
      <w:r w:rsidRPr="00506702">
        <w:rPr>
          <w:rFonts w:asciiTheme="minorBidi" w:hAnsiTheme="minorBidi" w:cs="Arial"/>
          <w:rtl/>
        </w:rPr>
        <w:t xml:space="preserve">' </w:t>
      </w:r>
      <w:r w:rsidRPr="00506702">
        <w:rPr>
          <w:rFonts w:asciiTheme="minorBidi" w:hAnsiTheme="minorBidi" w:cs="Arial" w:hint="cs"/>
          <w:rtl/>
        </w:rPr>
        <w:t>פרק</w:t>
      </w:r>
      <w:r w:rsidRPr="00506702">
        <w:rPr>
          <w:rFonts w:asciiTheme="minorBidi" w:hAnsiTheme="minorBidi" w:cs="Arial"/>
          <w:rtl/>
        </w:rPr>
        <w:t xml:space="preserve"> </w:t>
      </w:r>
      <w:r w:rsidRPr="00506702">
        <w:rPr>
          <w:rFonts w:asciiTheme="minorBidi" w:hAnsiTheme="minorBidi" w:cs="Arial" w:hint="cs"/>
          <w:rtl/>
        </w:rPr>
        <w:t>כ</w:t>
      </w:r>
      <w:r w:rsidRPr="00506702">
        <w:rPr>
          <w:rFonts w:asciiTheme="minorBidi" w:hAnsiTheme="minorBidi" w:cs="Arial"/>
          <w:rtl/>
        </w:rPr>
        <w:t>"</w:t>
      </w:r>
      <w:r w:rsidRPr="00506702">
        <w:rPr>
          <w:rFonts w:asciiTheme="minorBidi" w:hAnsiTheme="minorBidi" w:cs="Arial" w:hint="cs"/>
          <w:rtl/>
        </w:rPr>
        <w:t>כ</w:t>
      </w:r>
      <w:r w:rsidRPr="00506702">
        <w:rPr>
          <w:rFonts w:asciiTheme="minorBidi" w:hAnsiTheme="minorBidi" w:cs="Arial"/>
          <w:rtl/>
        </w:rPr>
        <w:t xml:space="preserve">). </w:t>
      </w:r>
      <w:r w:rsidRPr="00506702">
        <w:rPr>
          <w:rFonts w:asciiTheme="minorBidi" w:hAnsiTheme="minorBidi" w:cs="Arial" w:hint="cs"/>
          <w:rtl/>
        </w:rPr>
        <w:t>וי</w:t>
      </w:r>
      <w:r w:rsidRPr="00506702">
        <w:rPr>
          <w:rFonts w:asciiTheme="minorBidi" w:hAnsiTheme="minorBidi" w:cs="Arial"/>
          <w:rtl/>
        </w:rPr>
        <w:t>"</w:t>
      </w:r>
      <w:r w:rsidRPr="00506702">
        <w:rPr>
          <w:rFonts w:asciiTheme="minorBidi" w:hAnsiTheme="minorBidi" w:cs="Arial" w:hint="cs"/>
          <w:rtl/>
        </w:rPr>
        <w:t>א</w:t>
      </w:r>
      <w:r w:rsidRPr="00506702">
        <w:rPr>
          <w:rFonts w:asciiTheme="minorBidi" w:hAnsiTheme="minorBidi" w:cs="Arial"/>
          <w:rtl/>
        </w:rPr>
        <w:t xml:space="preserve"> </w:t>
      </w:r>
      <w:r w:rsidRPr="00506702">
        <w:rPr>
          <w:rFonts w:asciiTheme="minorBidi" w:hAnsiTheme="minorBidi" w:cs="Arial" w:hint="cs"/>
          <w:rtl/>
        </w:rPr>
        <w:t>דלא</w:t>
      </w:r>
      <w:r w:rsidRPr="00506702">
        <w:rPr>
          <w:rFonts w:asciiTheme="minorBidi" w:hAnsiTheme="minorBidi" w:cs="Arial"/>
          <w:rtl/>
        </w:rPr>
        <w:t xml:space="preserve"> </w:t>
      </w:r>
      <w:r w:rsidRPr="00506702">
        <w:rPr>
          <w:rFonts w:asciiTheme="minorBidi" w:hAnsiTheme="minorBidi" w:cs="Arial" w:hint="cs"/>
          <w:rtl/>
        </w:rPr>
        <w:t>שייך</w:t>
      </w:r>
      <w:r w:rsidRPr="00506702">
        <w:rPr>
          <w:rFonts w:asciiTheme="minorBidi" w:hAnsiTheme="minorBidi" w:cs="Arial"/>
          <w:rtl/>
        </w:rPr>
        <w:t xml:space="preserve"> </w:t>
      </w:r>
      <w:r w:rsidRPr="00506702">
        <w:rPr>
          <w:rFonts w:asciiTheme="minorBidi" w:hAnsiTheme="minorBidi" w:cs="Arial" w:hint="cs"/>
          <w:rtl/>
        </w:rPr>
        <w:t>חינוך</w:t>
      </w:r>
      <w:r w:rsidRPr="00506702">
        <w:rPr>
          <w:rFonts w:asciiTheme="minorBidi" w:hAnsiTheme="minorBidi" w:cs="Arial"/>
          <w:rtl/>
        </w:rPr>
        <w:t xml:space="preserve"> </w:t>
      </w:r>
      <w:r w:rsidRPr="00506702">
        <w:rPr>
          <w:rFonts w:asciiTheme="minorBidi" w:hAnsiTheme="minorBidi" w:cs="Arial" w:hint="cs"/>
          <w:rtl/>
        </w:rPr>
        <w:t>לבית</w:t>
      </w:r>
      <w:r w:rsidRPr="00506702">
        <w:rPr>
          <w:rFonts w:asciiTheme="minorBidi" w:hAnsiTheme="minorBidi" w:cs="Arial"/>
          <w:rtl/>
        </w:rPr>
        <w:t xml:space="preserve"> </w:t>
      </w:r>
      <w:r w:rsidRPr="00506702">
        <w:rPr>
          <w:rFonts w:asciiTheme="minorBidi" w:hAnsiTheme="minorBidi" w:cs="Arial" w:hint="cs"/>
          <w:rtl/>
        </w:rPr>
        <w:t>דין</w:t>
      </w:r>
      <w:r w:rsidRPr="00506702">
        <w:rPr>
          <w:rFonts w:asciiTheme="minorBidi" w:hAnsiTheme="minorBidi" w:cs="Arial"/>
          <w:rtl/>
        </w:rPr>
        <w:t xml:space="preserve">, </w:t>
      </w:r>
      <w:r w:rsidRPr="00506702">
        <w:rPr>
          <w:rFonts w:asciiTheme="minorBidi" w:hAnsiTheme="minorBidi" w:cs="Arial" w:hint="cs"/>
          <w:rtl/>
        </w:rPr>
        <w:t>אלא</w:t>
      </w:r>
      <w:r w:rsidRPr="00506702">
        <w:rPr>
          <w:rFonts w:asciiTheme="minorBidi" w:hAnsiTheme="minorBidi" w:cs="Arial"/>
          <w:rtl/>
        </w:rPr>
        <w:t xml:space="preserve"> </w:t>
      </w:r>
      <w:r w:rsidRPr="00506702">
        <w:rPr>
          <w:rFonts w:asciiTheme="minorBidi" w:hAnsiTheme="minorBidi" w:cs="Arial" w:hint="cs"/>
          <w:rtl/>
        </w:rPr>
        <w:t>לאב</w:t>
      </w:r>
      <w:r w:rsidRPr="00506702">
        <w:rPr>
          <w:rFonts w:asciiTheme="minorBidi" w:hAnsiTheme="minorBidi" w:cs="Arial"/>
          <w:rtl/>
        </w:rPr>
        <w:t xml:space="preserve"> </w:t>
      </w:r>
      <w:r w:rsidRPr="00506702">
        <w:rPr>
          <w:rFonts w:asciiTheme="minorBidi" w:hAnsiTheme="minorBidi" w:cs="Arial" w:hint="cs"/>
          <w:rtl/>
        </w:rPr>
        <w:t>בלבד</w:t>
      </w:r>
      <w:r w:rsidRPr="00506702">
        <w:rPr>
          <w:rFonts w:asciiTheme="minorBidi" w:hAnsiTheme="minorBidi" w:cs="Arial"/>
          <w:rtl/>
        </w:rPr>
        <w:t xml:space="preserve"> (</w:t>
      </w:r>
      <w:r w:rsidRPr="00506702">
        <w:rPr>
          <w:rFonts w:asciiTheme="minorBidi" w:hAnsiTheme="minorBidi" w:cs="Arial" w:hint="cs"/>
          <w:rtl/>
        </w:rPr>
        <w:t>ב</w:t>
      </w:r>
      <w:r w:rsidRPr="00506702">
        <w:rPr>
          <w:rFonts w:asciiTheme="minorBidi" w:hAnsiTheme="minorBidi" w:cs="Arial"/>
          <w:rtl/>
        </w:rPr>
        <w:t>"</w:t>
      </w:r>
      <w:r w:rsidRPr="00506702">
        <w:rPr>
          <w:rFonts w:asciiTheme="minorBidi" w:hAnsiTheme="minorBidi" w:cs="Arial" w:hint="cs"/>
          <w:rtl/>
        </w:rPr>
        <w:t>י</w:t>
      </w:r>
      <w:r w:rsidRPr="00506702">
        <w:rPr>
          <w:rFonts w:asciiTheme="minorBidi" w:hAnsiTheme="minorBidi" w:cs="Arial"/>
          <w:rtl/>
        </w:rPr>
        <w:t xml:space="preserve">), </w:t>
      </w:r>
      <w:r w:rsidRPr="00506702">
        <w:rPr>
          <w:rFonts w:asciiTheme="minorBidi" w:hAnsiTheme="minorBidi" w:cs="Arial" w:hint="cs"/>
          <w:rtl/>
        </w:rPr>
        <w:t>וקטן</w:t>
      </w:r>
      <w:r w:rsidRPr="00506702">
        <w:rPr>
          <w:rFonts w:asciiTheme="minorBidi" w:hAnsiTheme="minorBidi" w:cs="Arial"/>
          <w:rtl/>
        </w:rPr>
        <w:t xml:space="preserve"> </w:t>
      </w:r>
      <w:r w:rsidRPr="00506702">
        <w:rPr>
          <w:rFonts w:asciiTheme="minorBidi" w:hAnsiTheme="minorBidi" w:cs="Arial" w:hint="cs"/>
          <w:rtl/>
        </w:rPr>
        <w:t>שהכה</w:t>
      </w:r>
      <w:r w:rsidRPr="00506702">
        <w:rPr>
          <w:rFonts w:asciiTheme="minorBidi" w:hAnsiTheme="minorBidi" w:cs="Arial"/>
          <w:rtl/>
        </w:rPr>
        <w:t xml:space="preserve"> </w:t>
      </w:r>
      <w:r w:rsidRPr="00506702">
        <w:rPr>
          <w:rFonts w:asciiTheme="minorBidi" w:hAnsiTheme="minorBidi" w:cs="Arial" w:hint="cs"/>
          <w:rtl/>
        </w:rPr>
        <w:t>את</w:t>
      </w:r>
      <w:r w:rsidRPr="00506702">
        <w:rPr>
          <w:rFonts w:asciiTheme="minorBidi" w:hAnsiTheme="minorBidi" w:cs="Arial"/>
          <w:rtl/>
        </w:rPr>
        <w:t xml:space="preserve"> </w:t>
      </w:r>
      <w:r w:rsidRPr="00506702">
        <w:rPr>
          <w:rFonts w:asciiTheme="minorBidi" w:hAnsiTheme="minorBidi" w:cs="Arial" w:hint="cs"/>
          <w:rtl/>
        </w:rPr>
        <w:t>אביו</w:t>
      </w:r>
      <w:r w:rsidRPr="00506702">
        <w:rPr>
          <w:rFonts w:asciiTheme="minorBidi" w:hAnsiTheme="minorBidi" w:cs="Arial"/>
          <w:rtl/>
        </w:rPr>
        <w:t xml:space="preserve"> </w:t>
      </w:r>
      <w:r w:rsidRPr="00506702">
        <w:rPr>
          <w:rFonts w:asciiTheme="minorBidi" w:hAnsiTheme="minorBidi" w:cs="Arial" w:hint="cs"/>
          <w:rtl/>
        </w:rPr>
        <w:t>או</w:t>
      </w:r>
      <w:r w:rsidRPr="00506702">
        <w:rPr>
          <w:rFonts w:asciiTheme="minorBidi" w:hAnsiTheme="minorBidi" w:cs="Arial"/>
          <w:rtl/>
        </w:rPr>
        <w:t xml:space="preserve"> </w:t>
      </w:r>
      <w:r w:rsidRPr="00506702">
        <w:rPr>
          <w:rFonts w:asciiTheme="minorBidi" w:hAnsiTheme="minorBidi" w:cs="Arial" w:hint="cs"/>
          <w:rtl/>
        </w:rPr>
        <w:t>עבר</w:t>
      </w:r>
      <w:r w:rsidRPr="00506702">
        <w:rPr>
          <w:rFonts w:asciiTheme="minorBidi" w:hAnsiTheme="minorBidi" w:cs="Arial"/>
          <w:rtl/>
        </w:rPr>
        <w:t xml:space="preserve"> </w:t>
      </w:r>
      <w:r w:rsidRPr="00506702">
        <w:rPr>
          <w:rFonts w:asciiTheme="minorBidi" w:hAnsiTheme="minorBidi" w:cs="Arial" w:hint="cs"/>
          <w:rtl/>
        </w:rPr>
        <w:t>שאר</w:t>
      </w:r>
      <w:r w:rsidRPr="00506702">
        <w:rPr>
          <w:rFonts w:asciiTheme="minorBidi" w:hAnsiTheme="minorBidi" w:cs="Arial"/>
          <w:rtl/>
        </w:rPr>
        <w:t xml:space="preserve"> </w:t>
      </w:r>
      <w:r w:rsidRPr="00506702">
        <w:rPr>
          <w:rFonts w:asciiTheme="minorBidi" w:hAnsiTheme="minorBidi" w:cs="Arial" w:hint="cs"/>
          <w:rtl/>
        </w:rPr>
        <w:t>עבירות</w:t>
      </w:r>
      <w:r w:rsidRPr="00506702">
        <w:rPr>
          <w:rFonts w:asciiTheme="minorBidi" w:hAnsiTheme="minorBidi" w:cs="Arial"/>
          <w:rtl/>
        </w:rPr>
        <w:t xml:space="preserve"> </w:t>
      </w:r>
      <w:r w:rsidRPr="00506702">
        <w:rPr>
          <w:rFonts w:asciiTheme="minorBidi" w:hAnsiTheme="minorBidi" w:cs="Arial" w:hint="cs"/>
          <w:rtl/>
        </w:rPr>
        <w:t>בקטנותו</w:t>
      </w:r>
      <w:r w:rsidRPr="00506702">
        <w:rPr>
          <w:rFonts w:asciiTheme="minorBidi" w:hAnsiTheme="minorBidi" w:cs="Arial"/>
          <w:rtl/>
        </w:rPr>
        <w:t xml:space="preserve">, </w:t>
      </w:r>
      <w:r w:rsidRPr="00506702">
        <w:rPr>
          <w:rFonts w:asciiTheme="minorBidi" w:hAnsiTheme="minorBidi" w:cs="Arial" w:hint="cs"/>
          <w:rtl/>
        </w:rPr>
        <w:t>אף</w:t>
      </w:r>
      <w:r w:rsidRPr="00506702">
        <w:rPr>
          <w:rFonts w:asciiTheme="minorBidi" w:hAnsiTheme="minorBidi" w:cs="Arial"/>
          <w:rtl/>
        </w:rPr>
        <w:t xml:space="preserve"> </w:t>
      </w:r>
      <w:r w:rsidRPr="00506702">
        <w:rPr>
          <w:rFonts w:asciiTheme="minorBidi" w:hAnsiTheme="minorBidi" w:cs="Arial" w:hint="cs"/>
          <w:rtl/>
        </w:rPr>
        <w:t>על</w:t>
      </w:r>
      <w:r w:rsidRPr="00506702">
        <w:rPr>
          <w:rFonts w:asciiTheme="minorBidi" w:hAnsiTheme="minorBidi" w:cs="Arial"/>
          <w:rtl/>
        </w:rPr>
        <w:t xml:space="preserve"> </w:t>
      </w:r>
      <w:r w:rsidRPr="00506702">
        <w:rPr>
          <w:rFonts w:asciiTheme="minorBidi" w:hAnsiTheme="minorBidi" w:cs="Arial" w:hint="cs"/>
          <w:rtl/>
        </w:rPr>
        <w:t>פי</w:t>
      </w:r>
      <w:r w:rsidRPr="00506702">
        <w:rPr>
          <w:rFonts w:asciiTheme="minorBidi" w:hAnsiTheme="minorBidi" w:cs="Arial"/>
          <w:rtl/>
        </w:rPr>
        <w:t xml:space="preserve"> </w:t>
      </w:r>
      <w:r w:rsidRPr="00506702">
        <w:rPr>
          <w:rFonts w:asciiTheme="minorBidi" w:hAnsiTheme="minorBidi" w:cs="Arial" w:hint="cs"/>
          <w:rtl/>
        </w:rPr>
        <w:t>שא</w:t>
      </w:r>
      <w:r w:rsidRPr="00506702">
        <w:rPr>
          <w:rFonts w:asciiTheme="minorBidi" w:hAnsiTheme="minorBidi" w:cs="Arial"/>
          <w:rtl/>
        </w:rPr>
        <w:t>"</w:t>
      </w:r>
      <w:r w:rsidRPr="00506702">
        <w:rPr>
          <w:rFonts w:asciiTheme="minorBidi" w:hAnsiTheme="minorBidi" w:cs="Arial" w:hint="cs"/>
          <w:rtl/>
        </w:rPr>
        <w:t>צ</w:t>
      </w:r>
      <w:r w:rsidRPr="00506702">
        <w:rPr>
          <w:rFonts w:asciiTheme="minorBidi" w:hAnsiTheme="minorBidi" w:cs="Arial"/>
          <w:rtl/>
        </w:rPr>
        <w:t xml:space="preserve"> </w:t>
      </w:r>
      <w:r w:rsidRPr="00506702">
        <w:rPr>
          <w:rFonts w:asciiTheme="minorBidi" w:hAnsiTheme="minorBidi" w:cs="Arial" w:hint="cs"/>
          <w:rtl/>
        </w:rPr>
        <w:t>תשובה</w:t>
      </w:r>
      <w:r w:rsidRPr="00506702">
        <w:rPr>
          <w:rFonts w:asciiTheme="minorBidi" w:hAnsiTheme="minorBidi" w:cs="Arial"/>
          <w:rtl/>
        </w:rPr>
        <w:t xml:space="preserve"> </w:t>
      </w:r>
      <w:r w:rsidRPr="00506702">
        <w:rPr>
          <w:rFonts w:asciiTheme="minorBidi" w:hAnsiTheme="minorBidi" w:cs="Arial" w:hint="cs"/>
          <w:rtl/>
        </w:rPr>
        <w:t>כשיגדל</w:t>
      </w:r>
      <w:r w:rsidRPr="00506702">
        <w:rPr>
          <w:rFonts w:asciiTheme="minorBidi" w:hAnsiTheme="minorBidi" w:cs="Arial"/>
          <w:rtl/>
        </w:rPr>
        <w:t xml:space="preserve">, </w:t>
      </w:r>
      <w:r w:rsidRPr="00506702">
        <w:rPr>
          <w:rFonts w:asciiTheme="minorBidi" w:hAnsiTheme="minorBidi" w:cs="Arial" w:hint="cs"/>
          <w:rtl/>
        </w:rPr>
        <w:t>מ</w:t>
      </w:r>
      <w:r w:rsidRPr="00506702">
        <w:rPr>
          <w:rFonts w:asciiTheme="minorBidi" w:hAnsiTheme="minorBidi" w:cs="Arial"/>
          <w:rtl/>
        </w:rPr>
        <w:t>"</w:t>
      </w:r>
      <w:r w:rsidRPr="00506702">
        <w:rPr>
          <w:rFonts w:asciiTheme="minorBidi" w:hAnsiTheme="minorBidi" w:cs="Arial" w:hint="cs"/>
          <w:rtl/>
        </w:rPr>
        <w:t>מ</w:t>
      </w:r>
      <w:r w:rsidRPr="00506702">
        <w:rPr>
          <w:rFonts w:asciiTheme="minorBidi" w:hAnsiTheme="minorBidi" w:cs="Arial"/>
          <w:rtl/>
        </w:rPr>
        <w:t xml:space="preserve"> </w:t>
      </w:r>
      <w:r w:rsidRPr="00506702">
        <w:rPr>
          <w:rFonts w:asciiTheme="minorBidi" w:hAnsiTheme="minorBidi" w:cs="Arial" w:hint="cs"/>
          <w:rtl/>
        </w:rPr>
        <w:t>טוב</w:t>
      </w:r>
      <w:r w:rsidRPr="00506702">
        <w:rPr>
          <w:rFonts w:asciiTheme="minorBidi" w:hAnsiTheme="minorBidi" w:cs="Arial"/>
          <w:rtl/>
        </w:rPr>
        <w:t xml:space="preserve"> </w:t>
      </w:r>
      <w:r w:rsidRPr="00506702">
        <w:rPr>
          <w:rFonts w:asciiTheme="minorBidi" w:hAnsiTheme="minorBidi" w:cs="Arial" w:hint="cs"/>
          <w:rtl/>
        </w:rPr>
        <w:t>לו</w:t>
      </w:r>
      <w:r w:rsidRPr="00506702">
        <w:rPr>
          <w:rFonts w:asciiTheme="minorBidi" w:hAnsiTheme="minorBidi" w:cs="Arial"/>
          <w:rtl/>
        </w:rPr>
        <w:t xml:space="preserve"> </w:t>
      </w:r>
      <w:r w:rsidRPr="00506702">
        <w:rPr>
          <w:rFonts w:asciiTheme="minorBidi" w:hAnsiTheme="minorBidi" w:cs="Arial" w:hint="cs"/>
          <w:rtl/>
        </w:rPr>
        <w:t>שיקבל</w:t>
      </w:r>
      <w:r w:rsidRPr="00506702">
        <w:rPr>
          <w:rFonts w:asciiTheme="minorBidi" w:hAnsiTheme="minorBidi" w:cs="Arial"/>
          <w:rtl/>
        </w:rPr>
        <w:t xml:space="preserve"> </w:t>
      </w:r>
      <w:r w:rsidRPr="00506702">
        <w:rPr>
          <w:rFonts w:asciiTheme="minorBidi" w:hAnsiTheme="minorBidi" w:cs="Arial" w:hint="cs"/>
          <w:rtl/>
        </w:rPr>
        <w:t>על</w:t>
      </w:r>
      <w:r w:rsidRPr="00506702">
        <w:rPr>
          <w:rFonts w:asciiTheme="minorBidi" w:hAnsiTheme="minorBidi" w:cs="Arial"/>
          <w:rtl/>
        </w:rPr>
        <w:t xml:space="preserve"> </w:t>
      </w:r>
      <w:r w:rsidRPr="00506702">
        <w:rPr>
          <w:rFonts w:asciiTheme="minorBidi" w:hAnsiTheme="minorBidi" w:cs="Arial" w:hint="cs"/>
          <w:rtl/>
        </w:rPr>
        <w:t>עצמו</w:t>
      </w:r>
      <w:r w:rsidRPr="00506702">
        <w:rPr>
          <w:rFonts w:asciiTheme="minorBidi" w:hAnsiTheme="minorBidi" w:cs="Arial"/>
          <w:rtl/>
        </w:rPr>
        <w:t xml:space="preserve"> </w:t>
      </w:r>
      <w:r w:rsidRPr="00506702">
        <w:rPr>
          <w:rFonts w:asciiTheme="minorBidi" w:hAnsiTheme="minorBidi" w:cs="Arial" w:hint="cs"/>
          <w:rtl/>
        </w:rPr>
        <w:t>איזה</w:t>
      </w:r>
      <w:r w:rsidRPr="00506702">
        <w:rPr>
          <w:rFonts w:asciiTheme="minorBidi" w:hAnsiTheme="minorBidi" w:cs="Arial"/>
          <w:rtl/>
        </w:rPr>
        <w:t xml:space="preserve"> </w:t>
      </w:r>
      <w:r w:rsidRPr="00506702">
        <w:rPr>
          <w:rFonts w:asciiTheme="minorBidi" w:hAnsiTheme="minorBidi" w:cs="Arial" w:hint="cs"/>
          <w:rtl/>
        </w:rPr>
        <w:t>דבר</w:t>
      </w:r>
      <w:r w:rsidRPr="00506702">
        <w:rPr>
          <w:rFonts w:asciiTheme="minorBidi" w:hAnsiTheme="minorBidi" w:cs="Arial"/>
          <w:rtl/>
        </w:rPr>
        <w:t xml:space="preserve"> </w:t>
      </w:r>
      <w:r w:rsidRPr="00506702">
        <w:rPr>
          <w:rFonts w:asciiTheme="minorBidi" w:hAnsiTheme="minorBidi" w:cs="Arial" w:hint="cs"/>
          <w:rtl/>
        </w:rPr>
        <w:t>לתשובה</w:t>
      </w:r>
      <w:r w:rsidRPr="00506702">
        <w:rPr>
          <w:rFonts w:asciiTheme="minorBidi" w:hAnsiTheme="minorBidi" w:cs="Arial"/>
          <w:rtl/>
        </w:rPr>
        <w:t xml:space="preserve"> </w:t>
      </w:r>
      <w:r w:rsidRPr="00506702">
        <w:rPr>
          <w:rFonts w:asciiTheme="minorBidi" w:hAnsiTheme="minorBidi" w:cs="Arial" w:hint="cs"/>
          <w:rtl/>
        </w:rPr>
        <w:t>ולכפרה</w:t>
      </w:r>
      <w:r w:rsidRPr="00506702">
        <w:rPr>
          <w:rFonts w:asciiTheme="minorBidi" w:hAnsiTheme="minorBidi" w:cs="Arial"/>
          <w:rtl/>
        </w:rPr>
        <w:t xml:space="preserve">, </w:t>
      </w:r>
      <w:r w:rsidRPr="00506702">
        <w:rPr>
          <w:rFonts w:asciiTheme="minorBidi" w:hAnsiTheme="minorBidi" w:cs="Arial" w:hint="cs"/>
          <w:rtl/>
        </w:rPr>
        <w:t>אף</w:t>
      </w:r>
      <w:r w:rsidRPr="00506702">
        <w:rPr>
          <w:rFonts w:asciiTheme="minorBidi" w:hAnsiTheme="minorBidi" w:cs="Arial"/>
          <w:rtl/>
        </w:rPr>
        <w:t xml:space="preserve"> </w:t>
      </w:r>
      <w:r w:rsidRPr="00506702">
        <w:rPr>
          <w:rFonts w:asciiTheme="minorBidi" w:hAnsiTheme="minorBidi" w:cs="Arial" w:hint="cs"/>
          <w:rtl/>
        </w:rPr>
        <w:t>על</w:t>
      </w:r>
      <w:r w:rsidRPr="00506702">
        <w:rPr>
          <w:rFonts w:asciiTheme="minorBidi" w:hAnsiTheme="minorBidi" w:cs="Arial"/>
          <w:rtl/>
        </w:rPr>
        <w:t xml:space="preserve"> </w:t>
      </w:r>
      <w:r w:rsidRPr="00506702">
        <w:rPr>
          <w:rFonts w:asciiTheme="minorBidi" w:hAnsiTheme="minorBidi" w:cs="Arial" w:hint="cs"/>
          <w:rtl/>
        </w:rPr>
        <w:t>פי</w:t>
      </w:r>
      <w:r w:rsidRPr="00506702">
        <w:rPr>
          <w:rFonts w:asciiTheme="minorBidi" w:hAnsiTheme="minorBidi" w:cs="Arial"/>
          <w:rtl/>
        </w:rPr>
        <w:t xml:space="preserve"> </w:t>
      </w:r>
      <w:r w:rsidRPr="00506702">
        <w:rPr>
          <w:rFonts w:asciiTheme="minorBidi" w:hAnsiTheme="minorBidi" w:cs="Arial" w:hint="cs"/>
          <w:rtl/>
        </w:rPr>
        <w:t>שעבר</w:t>
      </w:r>
      <w:r w:rsidRPr="00506702">
        <w:rPr>
          <w:rFonts w:asciiTheme="minorBidi" w:hAnsiTheme="minorBidi" w:cs="Arial"/>
          <w:rtl/>
        </w:rPr>
        <w:t xml:space="preserve"> </w:t>
      </w:r>
      <w:r w:rsidRPr="00506702">
        <w:rPr>
          <w:rFonts w:asciiTheme="minorBidi" w:hAnsiTheme="minorBidi" w:cs="Arial" w:hint="cs"/>
          <w:rtl/>
        </w:rPr>
        <w:t>קודם</w:t>
      </w:r>
      <w:r w:rsidRPr="00506702">
        <w:rPr>
          <w:rFonts w:asciiTheme="minorBidi" w:hAnsiTheme="minorBidi" w:cs="Arial"/>
          <w:rtl/>
        </w:rPr>
        <w:t xml:space="preserve"> </w:t>
      </w:r>
      <w:r w:rsidRPr="00506702">
        <w:rPr>
          <w:rFonts w:asciiTheme="minorBidi" w:hAnsiTheme="minorBidi" w:cs="Arial" w:hint="cs"/>
          <w:rtl/>
        </w:rPr>
        <w:t>שנעשה</w:t>
      </w:r>
      <w:r w:rsidRPr="00506702">
        <w:rPr>
          <w:rFonts w:asciiTheme="minorBidi" w:hAnsiTheme="minorBidi" w:cs="Arial"/>
          <w:rtl/>
        </w:rPr>
        <w:t xml:space="preserve"> </w:t>
      </w:r>
      <w:r w:rsidRPr="00506702">
        <w:rPr>
          <w:rFonts w:asciiTheme="minorBidi" w:hAnsiTheme="minorBidi" w:cs="Arial" w:hint="cs"/>
          <w:rtl/>
        </w:rPr>
        <w:t>בר</w:t>
      </w:r>
      <w:r w:rsidRPr="00506702">
        <w:rPr>
          <w:rFonts w:asciiTheme="minorBidi" w:hAnsiTheme="minorBidi" w:cs="Arial"/>
          <w:rtl/>
        </w:rPr>
        <w:t xml:space="preserve"> </w:t>
      </w:r>
      <w:r w:rsidRPr="00506702">
        <w:rPr>
          <w:rFonts w:asciiTheme="minorBidi" w:hAnsiTheme="minorBidi" w:cs="Arial" w:hint="cs"/>
          <w:rtl/>
        </w:rPr>
        <w:t>עונשין</w:t>
      </w:r>
      <w:r w:rsidRPr="00506702">
        <w:rPr>
          <w:rFonts w:asciiTheme="minorBidi" w:hAnsiTheme="minorBidi" w:cs="Arial"/>
          <w:rtl/>
        </w:rPr>
        <w:t xml:space="preserve"> (</w:t>
      </w:r>
      <w:r w:rsidRPr="00506702">
        <w:rPr>
          <w:rFonts w:asciiTheme="minorBidi" w:hAnsiTheme="minorBidi" w:cs="Arial" w:hint="cs"/>
          <w:rtl/>
        </w:rPr>
        <w:t>פסקי</w:t>
      </w:r>
      <w:r w:rsidRPr="00506702">
        <w:rPr>
          <w:rFonts w:asciiTheme="minorBidi" w:hAnsiTheme="minorBidi" w:cs="Arial"/>
          <w:rtl/>
        </w:rPr>
        <w:t xml:space="preserve"> </w:t>
      </w:r>
      <w:r w:rsidRPr="00506702">
        <w:rPr>
          <w:rFonts w:asciiTheme="minorBidi" w:hAnsiTheme="minorBidi" w:cs="Arial" w:hint="cs"/>
          <w:rtl/>
        </w:rPr>
        <w:t>מהר</w:t>
      </w:r>
      <w:r>
        <w:rPr>
          <w:rFonts w:asciiTheme="minorBidi" w:hAnsiTheme="minorBidi" w:cs="Arial" w:hint="cs"/>
          <w:rtl/>
        </w:rPr>
        <w:t>גוי</w:t>
      </w:r>
      <w:r w:rsidRPr="00506702">
        <w:rPr>
          <w:rFonts w:asciiTheme="minorBidi" w:hAnsiTheme="minorBidi" w:cs="Arial"/>
          <w:rtl/>
        </w:rPr>
        <w:t xml:space="preserve"> </w:t>
      </w:r>
      <w:r w:rsidRPr="00506702">
        <w:rPr>
          <w:rFonts w:asciiTheme="minorBidi" w:hAnsiTheme="minorBidi" w:cs="Arial" w:hint="cs"/>
          <w:rtl/>
        </w:rPr>
        <w:t>סי</w:t>
      </w:r>
      <w:r w:rsidRPr="00506702">
        <w:rPr>
          <w:rFonts w:asciiTheme="minorBidi" w:hAnsiTheme="minorBidi" w:cs="Arial"/>
          <w:rtl/>
        </w:rPr>
        <w:t xml:space="preserve">' </w:t>
      </w:r>
      <w:r w:rsidRPr="00506702">
        <w:rPr>
          <w:rFonts w:asciiTheme="minorBidi" w:hAnsiTheme="minorBidi" w:cs="Arial" w:hint="cs"/>
          <w:rtl/>
        </w:rPr>
        <w:t>ס</w:t>
      </w:r>
      <w:r w:rsidRPr="00506702">
        <w:rPr>
          <w:rFonts w:asciiTheme="minorBidi" w:hAnsiTheme="minorBidi" w:cs="Arial"/>
          <w:rtl/>
        </w:rPr>
        <w:t>"</w:t>
      </w:r>
      <w:r w:rsidRPr="00506702">
        <w:rPr>
          <w:rFonts w:asciiTheme="minorBidi" w:hAnsiTheme="minorBidi" w:cs="Arial" w:hint="cs"/>
          <w:rtl/>
        </w:rPr>
        <w:t>ב</w:t>
      </w:r>
      <w:r w:rsidRPr="00506702">
        <w:rPr>
          <w:rFonts w:asciiTheme="minorBidi" w:hAnsiTheme="minorBidi" w:cs="Arial"/>
          <w:rtl/>
        </w:rPr>
        <w:t>).</w:t>
      </w:r>
    </w:p>
    <w:p w14:paraId="264C1934" w14:textId="77777777" w:rsidR="006A4BF8" w:rsidRDefault="006A4BF8" w:rsidP="00434A6A">
      <w:pPr>
        <w:tabs>
          <w:tab w:val="left" w:pos="2788"/>
        </w:tabs>
        <w:rPr>
          <w:rFonts w:asciiTheme="minorBidi" w:hAnsiTheme="minorBidi"/>
          <w:rtl/>
        </w:rPr>
      </w:pPr>
    </w:p>
    <w:p w14:paraId="506F9BFC" w14:textId="77777777" w:rsidR="006A4BF8" w:rsidRDefault="006A4BF8" w:rsidP="00434A6A">
      <w:pPr>
        <w:tabs>
          <w:tab w:val="left" w:pos="2788"/>
        </w:tabs>
        <w:rPr>
          <w:rFonts w:asciiTheme="minorBidi" w:hAnsiTheme="minorBidi"/>
          <w:rtl/>
        </w:rPr>
      </w:pPr>
    </w:p>
    <w:p w14:paraId="64BFDFF2" w14:textId="77777777" w:rsidR="006A4BF8" w:rsidRDefault="006A4BF8" w:rsidP="00434A6A">
      <w:pPr>
        <w:pStyle w:val="1"/>
        <w:rPr>
          <w:rtl/>
        </w:rPr>
        <w:sectPr w:rsidR="006A4BF8" w:rsidSect="00BD29B1">
          <w:headerReference w:type="default" r:id="rId110"/>
          <w:footnotePr>
            <w:numRestart w:val="eachSect"/>
          </w:footnotePr>
          <w:pgSz w:w="11906" w:h="16838"/>
          <w:pgMar w:top="720" w:right="1134" w:bottom="720" w:left="1134" w:header="0" w:footer="0" w:gutter="0"/>
          <w:cols w:space="720"/>
          <w:bidi/>
          <w:rtlGutter/>
          <w:docGrid w:linePitch="360"/>
        </w:sectPr>
      </w:pPr>
    </w:p>
    <w:p w14:paraId="2FFF391B" w14:textId="77777777" w:rsidR="006A4BF8" w:rsidRPr="00506702" w:rsidRDefault="006A4BF8" w:rsidP="00434A6A">
      <w:pPr>
        <w:pStyle w:val="1"/>
        <w:rPr>
          <w:rtl/>
        </w:rPr>
      </w:pPr>
      <w:r>
        <w:rPr>
          <w:rFonts w:hint="cs"/>
          <w:rtl/>
        </w:rPr>
        <w:t xml:space="preserve">סימן שדמ: </w:t>
      </w:r>
      <w:r w:rsidRPr="00506702">
        <w:rPr>
          <w:rFonts w:hint="cs"/>
          <w:rtl/>
        </w:rPr>
        <w:t>דין</w:t>
      </w:r>
      <w:r w:rsidRPr="00506702">
        <w:rPr>
          <w:rtl/>
        </w:rPr>
        <w:t xml:space="preserve"> </w:t>
      </w:r>
      <w:r w:rsidRPr="00506702">
        <w:rPr>
          <w:rFonts w:hint="cs"/>
          <w:rtl/>
        </w:rPr>
        <w:t>ההולך</w:t>
      </w:r>
      <w:r w:rsidRPr="00506702">
        <w:rPr>
          <w:rtl/>
        </w:rPr>
        <w:t xml:space="preserve"> </w:t>
      </w:r>
      <w:r w:rsidRPr="00506702">
        <w:rPr>
          <w:rFonts w:hint="cs"/>
          <w:rtl/>
        </w:rPr>
        <w:t>במדבר</w:t>
      </w:r>
      <w:r w:rsidRPr="00506702">
        <w:rPr>
          <w:rtl/>
        </w:rPr>
        <w:t xml:space="preserve"> </w:t>
      </w:r>
      <w:r w:rsidRPr="00506702">
        <w:rPr>
          <w:rFonts w:hint="cs"/>
          <w:rtl/>
        </w:rPr>
        <w:t>בשבת</w:t>
      </w:r>
      <w:r w:rsidRPr="00506702">
        <w:rPr>
          <w:rtl/>
        </w:rPr>
        <w:t xml:space="preserve">, </w:t>
      </w:r>
      <w:r w:rsidRPr="00506702">
        <w:rPr>
          <w:rFonts w:hint="cs"/>
          <w:rtl/>
        </w:rPr>
        <w:t>ובו</w:t>
      </w:r>
      <w:r w:rsidRPr="00506702">
        <w:rPr>
          <w:rtl/>
        </w:rPr>
        <w:t xml:space="preserve"> </w:t>
      </w:r>
      <w:r w:rsidRPr="00506702">
        <w:rPr>
          <w:rFonts w:hint="cs"/>
          <w:rtl/>
        </w:rPr>
        <w:t>ב</w:t>
      </w:r>
      <w:r w:rsidRPr="00506702">
        <w:rPr>
          <w:rtl/>
        </w:rPr>
        <w:t xml:space="preserve">' </w:t>
      </w:r>
      <w:r w:rsidRPr="00506702">
        <w:rPr>
          <w:rFonts w:hint="cs"/>
          <w:rtl/>
        </w:rPr>
        <w:t>סעיפים</w:t>
      </w:r>
      <w:r w:rsidRPr="00506702">
        <w:rPr>
          <w:rtl/>
        </w:rPr>
        <w:t xml:space="preserve">. </w:t>
      </w:r>
    </w:p>
    <w:p w14:paraId="6D3E93C0" w14:textId="77777777" w:rsidR="006A4BF8" w:rsidRPr="00506702" w:rsidRDefault="006A4BF8" w:rsidP="00434A6A">
      <w:pPr>
        <w:pStyle w:val="2"/>
        <w:rPr>
          <w:rtl/>
        </w:rPr>
      </w:pPr>
      <w:r w:rsidRPr="00506702">
        <w:rPr>
          <w:rFonts w:hint="cs"/>
          <w:rtl/>
        </w:rPr>
        <w:t>סעיף</w:t>
      </w:r>
      <w:r w:rsidRPr="00506702">
        <w:rPr>
          <w:rtl/>
        </w:rPr>
        <w:t xml:space="preserve"> </w:t>
      </w:r>
      <w:r w:rsidRPr="00506702">
        <w:rPr>
          <w:rFonts w:hint="cs"/>
          <w:rtl/>
        </w:rPr>
        <w:t>א</w:t>
      </w:r>
    </w:p>
    <w:p w14:paraId="14B72FE1" w14:textId="77777777" w:rsidR="006A4BF8" w:rsidRPr="00506702" w:rsidRDefault="006A4BF8" w:rsidP="00434A6A">
      <w:pPr>
        <w:tabs>
          <w:tab w:val="left" w:pos="2788"/>
        </w:tabs>
        <w:rPr>
          <w:rFonts w:asciiTheme="minorBidi" w:hAnsiTheme="minorBidi"/>
          <w:rtl/>
        </w:rPr>
      </w:pPr>
      <w:r w:rsidRPr="00506702">
        <w:rPr>
          <w:rFonts w:asciiTheme="minorBidi" w:hAnsiTheme="minorBidi" w:cs="Arial" w:hint="cs"/>
          <w:rtl/>
        </w:rPr>
        <w:t>ההולך</w:t>
      </w:r>
      <w:r w:rsidRPr="00506702">
        <w:rPr>
          <w:rFonts w:asciiTheme="minorBidi" w:hAnsiTheme="minorBidi" w:cs="Arial"/>
          <w:rtl/>
        </w:rPr>
        <w:t xml:space="preserve"> </w:t>
      </w:r>
      <w:r w:rsidRPr="00506702">
        <w:rPr>
          <w:rFonts w:asciiTheme="minorBidi" w:hAnsiTheme="minorBidi" w:cs="Arial" w:hint="cs"/>
          <w:rtl/>
        </w:rPr>
        <w:t>במדבר</w:t>
      </w:r>
      <w:r w:rsidRPr="00506702">
        <w:rPr>
          <w:rFonts w:asciiTheme="minorBidi" w:hAnsiTheme="minorBidi" w:cs="Arial"/>
          <w:rtl/>
        </w:rPr>
        <w:t xml:space="preserve"> </w:t>
      </w:r>
      <w:r w:rsidRPr="00506702">
        <w:rPr>
          <w:rFonts w:asciiTheme="minorBidi" w:hAnsiTheme="minorBidi" w:cs="Arial" w:hint="cs"/>
          <w:rtl/>
        </w:rPr>
        <w:t>ואינו</w:t>
      </w:r>
      <w:r w:rsidRPr="00506702">
        <w:rPr>
          <w:rFonts w:asciiTheme="minorBidi" w:hAnsiTheme="minorBidi" w:cs="Arial"/>
          <w:rtl/>
        </w:rPr>
        <w:t xml:space="preserve"> </w:t>
      </w:r>
      <w:r w:rsidRPr="00506702">
        <w:rPr>
          <w:rFonts w:asciiTheme="minorBidi" w:hAnsiTheme="minorBidi" w:cs="Arial" w:hint="cs"/>
          <w:rtl/>
        </w:rPr>
        <w:t>יודע</w:t>
      </w:r>
      <w:r w:rsidRPr="00506702">
        <w:rPr>
          <w:rFonts w:asciiTheme="minorBidi" w:hAnsiTheme="minorBidi" w:cs="Arial"/>
          <w:rtl/>
        </w:rPr>
        <w:t xml:space="preserve"> </w:t>
      </w:r>
      <w:r w:rsidRPr="00506702">
        <w:rPr>
          <w:rFonts w:asciiTheme="minorBidi" w:hAnsiTheme="minorBidi" w:cs="Arial" w:hint="cs"/>
          <w:rtl/>
        </w:rPr>
        <w:t>מתי</w:t>
      </w:r>
      <w:r w:rsidRPr="00506702">
        <w:rPr>
          <w:rFonts w:asciiTheme="minorBidi" w:hAnsiTheme="minorBidi" w:cs="Arial"/>
          <w:rtl/>
        </w:rPr>
        <w:t xml:space="preserve"> </w:t>
      </w:r>
      <w:r w:rsidRPr="00506702">
        <w:rPr>
          <w:rFonts w:asciiTheme="minorBidi" w:hAnsiTheme="minorBidi" w:cs="Arial" w:hint="cs"/>
          <w:rtl/>
        </w:rPr>
        <w:t>הוא</w:t>
      </w:r>
      <w:r w:rsidRPr="00506702">
        <w:rPr>
          <w:rFonts w:asciiTheme="minorBidi" w:hAnsiTheme="minorBidi" w:cs="Arial"/>
          <w:rtl/>
        </w:rPr>
        <w:t xml:space="preserve"> </w:t>
      </w:r>
      <w:r w:rsidRPr="00506702">
        <w:rPr>
          <w:rFonts w:asciiTheme="minorBidi" w:hAnsiTheme="minorBidi" w:cs="Arial" w:hint="cs"/>
          <w:rtl/>
        </w:rPr>
        <w:t>שבת</w:t>
      </w:r>
      <w:r w:rsidRPr="00506702">
        <w:rPr>
          <w:rFonts w:asciiTheme="minorBidi" w:hAnsiTheme="minorBidi" w:cs="Arial"/>
          <w:rtl/>
        </w:rPr>
        <w:t xml:space="preserve">, </w:t>
      </w:r>
      <w:r w:rsidRPr="00506702">
        <w:rPr>
          <w:rFonts w:asciiTheme="minorBidi" w:hAnsiTheme="minorBidi" w:cs="Arial" w:hint="cs"/>
          <w:rtl/>
        </w:rPr>
        <w:t>מונה</w:t>
      </w:r>
      <w:r w:rsidRPr="00506702">
        <w:rPr>
          <w:rFonts w:asciiTheme="minorBidi" w:hAnsiTheme="minorBidi" w:cs="Arial"/>
          <w:rtl/>
        </w:rPr>
        <w:t xml:space="preserve"> </w:t>
      </w:r>
      <w:r w:rsidRPr="00506702">
        <w:rPr>
          <w:rFonts w:asciiTheme="minorBidi" w:hAnsiTheme="minorBidi" w:cs="Arial" w:hint="cs"/>
          <w:rtl/>
        </w:rPr>
        <w:t>שבעה</w:t>
      </w:r>
      <w:r w:rsidRPr="00506702">
        <w:rPr>
          <w:rFonts w:asciiTheme="minorBidi" w:hAnsiTheme="minorBidi" w:cs="Arial"/>
          <w:rtl/>
        </w:rPr>
        <w:t xml:space="preserve"> </w:t>
      </w:r>
      <w:r w:rsidRPr="00506702">
        <w:rPr>
          <w:rFonts w:asciiTheme="minorBidi" w:hAnsiTheme="minorBidi" w:cs="Arial" w:hint="cs"/>
          <w:rtl/>
        </w:rPr>
        <w:t>ימים</w:t>
      </w:r>
      <w:r w:rsidRPr="00506702">
        <w:rPr>
          <w:rFonts w:asciiTheme="minorBidi" w:hAnsiTheme="minorBidi" w:cs="Arial"/>
          <w:rtl/>
        </w:rPr>
        <w:t xml:space="preserve"> </w:t>
      </w:r>
      <w:r w:rsidRPr="00506702">
        <w:rPr>
          <w:rFonts w:asciiTheme="minorBidi" w:hAnsiTheme="minorBidi" w:cs="Arial" w:hint="cs"/>
          <w:rtl/>
        </w:rPr>
        <w:t>מיום</w:t>
      </w:r>
      <w:r w:rsidRPr="00506702">
        <w:rPr>
          <w:rFonts w:asciiTheme="minorBidi" w:hAnsiTheme="minorBidi" w:cs="Arial"/>
          <w:rtl/>
        </w:rPr>
        <w:t xml:space="preserve"> </w:t>
      </w:r>
      <w:r w:rsidRPr="00506702">
        <w:rPr>
          <w:rFonts w:asciiTheme="minorBidi" w:hAnsiTheme="minorBidi" w:cs="Arial" w:hint="cs"/>
          <w:rtl/>
        </w:rPr>
        <w:t>שנתן</w:t>
      </w:r>
      <w:r w:rsidRPr="00506702">
        <w:rPr>
          <w:rFonts w:asciiTheme="minorBidi" w:hAnsiTheme="minorBidi" w:cs="Arial"/>
          <w:rtl/>
        </w:rPr>
        <w:t xml:space="preserve"> </w:t>
      </w:r>
      <w:r w:rsidRPr="00506702">
        <w:rPr>
          <w:rFonts w:asciiTheme="minorBidi" w:hAnsiTheme="minorBidi" w:cs="Arial" w:hint="cs"/>
          <w:rtl/>
        </w:rPr>
        <w:t>אל</w:t>
      </w:r>
      <w:r w:rsidRPr="00506702">
        <w:rPr>
          <w:rFonts w:asciiTheme="minorBidi" w:hAnsiTheme="minorBidi" w:cs="Arial"/>
          <w:rtl/>
        </w:rPr>
        <w:t xml:space="preserve"> </w:t>
      </w:r>
      <w:r w:rsidRPr="00506702">
        <w:rPr>
          <w:rFonts w:asciiTheme="minorBidi" w:hAnsiTheme="minorBidi" w:cs="Arial" w:hint="cs"/>
          <w:rtl/>
        </w:rPr>
        <w:t>לבו</w:t>
      </w:r>
      <w:r w:rsidRPr="00506702">
        <w:rPr>
          <w:rFonts w:asciiTheme="minorBidi" w:hAnsiTheme="minorBidi" w:cs="Arial"/>
          <w:rtl/>
        </w:rPr>
        <w:t xml:space="preserve"> </w:t>
      </w:r>
      <w:r w:rsidRPr="00506702">
        <w:rPr>
          <w:rFonts w:asciiTheme="minorBidi" w:hAnsiTheme="minorBidi" w:cs="Arial" w:hint="cs"/>
          <w:rtl/>
        </w:rPr>
        <w:t>שכחתו</w:t>
      </w:r>
      <w:r w:rsidRPr="00506702">
        <w:rPr>
          <w:rFonts w:asciiTheme="minorBidi" w:hAnsiTheme="minorBidi" w:cs="Arial"/>
          <w:rtl/>
        </w:rPr>
        <w:t xml:space="preserve"> </w:t>
      </w:r>
      <w:r w:rsidRPr="00506702">
        <w:rPr>
          <w:rFonts w:asciiTheme="minorBidi" w:hAnsiTheme="minorBidi" w:cs="Arial" w:hint="cs"/>
          <w:rtl/>
        </w:rPr>
        <w:t>ומקדש</w:t>
      </w:r>
      <w:r w:rsidRPr="00506702">
        <w:rPr>
          <w:rFonts w:asciiTheme="minorBidi" w:hAnsiTheme="minorBidi" w:cs="Arial"/>
          <w:rtl/>
        </w:rPr>
        <w:t xml:space="preserve"> </w:t>
      </w:r>
      <w:r w:rsidRPr="00506702">
        <w:rPr>
          <w:rFonts w:asciiTheme="minorBidi" w:hAnsiTheme="minorBidi" w:cs="Arial" w:hint="cs"/>
          <w:rtl/>
        </w:rPr>
        <w:t>השביעי</w:t>
      </w:r>
      <w:r w:rsidRPr="00506702">
        <w:rPr>
          <w:rFonts w:asciiTheme="minorBidi" w:hAnsiTheme="minorBidi" w:cs="Arial"/>
          <w:rtl/>
        </w:rPr>
        <w:t xml:space="preserve"> </w:t>
      </w:r>
      <w:r w:rsidRPr="00506702">
        <w:rPr>
          <w:rFonts w:asciiTheme="minorBidi" w:hAnsiTheme="minorBidi" w:cs="Arial" w:hint="cs"/>
          <w:rtl/>
        </w:rPr>
        <w:t>בקידוש</w:t>
      </w:r>
      <w:r w:rsidRPr="00506702">
        <w:rPr>
          <w:rFonts w:asciiTheme="minorBidi" w:hAnsiTheme="minorBidi" w:cs="Arial"/>
          <w:rtl/>
        </w:rPr>
        <w:t xml:space="preserve"> </w:t>
      </w:r>
      <w:r w:rsidRPr="00506702">
        <w:rPr>
          <w:rFonts w:asciiTheme="minorBidi" w:hAnsiTheme="minorBidi" w:cs="Arial" w:hint="cs"/>
          <w:rtl/>
        </w:rPr>
        <w:t>והבדלה</w:t>
      </w:r>
      <w:r w:rsidRPr="00506702">
        <w:rPr>
          <w:rFonts w:asciiTheme="minorBidi" w:hAnsiTheme="minorBidi" w:cs="Arial"/>
          <w:rtl/>
        </w:rPr>
        <w:t xml:space="preserve">. </w:t>
      </w:r>
      <w:r w:rsidRPr="00506702">
        <w:rPr>
          <w:rFonts w:asciiTheme="minorBidi" w:hAnsiTheme="minorBidi" w:cs="Arial" w:hint="cs"/>
          <w:rtl/>
        </w:rPr>
        <w:t>ואם</w:t>
      </w:r>
      <w:r w:rsidRPr="00506702">
        <w:rPr>
          <w:rFonts w:asciiTheme="minorBidi" w:hAnsiTheme="minorBidi" w:cs="Arial"/>
          <w:rtl/>
        </w:rPr>
        <w:t xml:space="preserve"> </w:t>
      </w:r>
      <w:r w:rsidRPr="00506702">
        <w:rPr>
          <w:rFonts w:asciiTheme="minorBidi" w:hAnsiTheme="minorBidi" w:cs="Arial" w:hint="cs"/>
          <w:rtl/>
        </w:rPr>
        <w:t>יש</w:t>
      </w:r>
      <w:r w:rsidRPr="00506702">
        <w:rPr>
          <w:rFonts w:asciiTheme="minorBidi" w:hAnsiTheme="minorBidi" w:cs="Arial"/>
          <w:rtl/>
        </w:rPr>
        <w:t xml:space="preserve"> </w:t>
      </w:r>
      <w:r w:rsidRPr="00506702">
        <w:rPr>
          <w:rFonts w:asciiTheme="minorBidi" w:hAnsiTheme="minorBidi" w:cs="Arial" w:hint="cs"/>
          <w:rtl/>
        </w:rPr>
        <w:t>לו</w:t>
      </w:r>
      <w:r w:rsidRPr="00506702">
        <w:rPr>
          <w:rFonts w:asciiTheme="minorBidi" w:hAnsiTheme="minorBidi" w:cs="Arial"/>
          <w:rtl/>
        </w:rPr>
        <w:t xml:space="preserve"> </w:t>
      </w:r>
      <w:r w:rsidRPr="00506702">
        <w:rPr>
          <w:rFonts w:asciiTheme="minorBidi" w:hAnsiTheme="minorBidi" w:cs="Arial" w:hint="cs"/>
          <w:rtl/>
        </w:rPr>
        <w:t>ממה</w:t>
      </w:r>
      <w:r w:rsidRPr="00506702">
        <w:rPr>
          <w:rFonts w:asciiTheme="minorBidi" w:hAnsiTheme="minorBidi" w:cs="Arial"/>
          <w:rtl/>
        </w:rPr>
        <w:t xml:space="preserve"> </w:t>
      </w:r>
      <w:r w:rsidRPr="00506702">
        <w:rPr>
          <w:rFonts w:asciiTheme="minorBidi" w:hAnsiTheme="minorBidi" w:cs="Arial" w:hint="cs"/>
          <w:rtl/>
        </w:rPr>
        <w:t>להתפרנס</w:t>
      </w:r>
      <w:r w:rsidRPr="00506702">
        <w:rPr>
          <w:rFonts w:asciiTheme="minorBidi" w:hAnsiTheme="minorBidi" w:cs="Arial"/>
          <w:rtl/>
        </w:rPr>
        <w:t xml:space="preserve">, </w:t>
      </w:r>
      <w:r w:rsidRPr="00506702">
        <w:rPr>
          <w:rFonts w:asciiTheme="minorBidi" w:hAnsiTheme="minorBidi" w:cs="Arial" w:hint="cs"/>
          <w:rtl/>
        </w:rPr>
        <w:t>אסור</w:t>
      </w:r>
      <w:r w:rsidRPr="00506702">
        <w:rPr>
          <w:rFonts w:asciiTheme="minorBidi" w:hAnsiTheme="minorBidi" w:cs="Arial"/>
          <w:rtl/>
        </w:rPr>
        <w:t xml:space="preserve"> </w:t>
      </w:r>
      <w:r w:rsidRPr="00506702">
        <w:rPr>
          <w:rFonts w:asciiTheme="minorBidi" w:hAnsiTheme="minorBidi" w:cs="Arial" w:hint="cs"/>
          <w:rtl/>
        </w:rPr>
        <w:t>לו</w:t>
      </w:r>
      <w:r w:rsidRPr="00506702">
        <w:rPr>
          <w:rFonts w:asciiTheme="minorBidi" w:hAnsiTheme="minorBidi" w:cs="Arial"/>
          <w:rtl/>
        </w:rPr>
        <w:t xml:space="preserve"> </w:t>
      </w:r>
      <w:r w:rsidRPr="00506702">
        <w:rPr>
          <w:rFonts w:asciiTheme="minorBidi" w:hAnsiTheme="minorBidi" w:cs="Arial" w:hint="cs"/>
          <w:rtl/>
        </w:rPr>
        <w:t>לעשות</w:t>
      </w:r>
      <w:r w:rsidRPr="00506702">
        <w:rPr>
          <w:rFonts w:asciiTheme="minorBidi" w:hAnsiTheme="minorBidi" w:cs="Arial"/>
          <w:rtl/>
        </w:rPr>
        <w:t xml:space="preserve"> </w:t>
      </w:r>
      <w:r w:rsidRPr="00506702">
        <w:rPr>
          <w:rFonts w:asciiTheme="minorBidi" w:hAnsiTheme="minorBidi" w:cs="Arial" w:hint="cs"/>
          <w:rtl/>
        </w:rPr>
        <w:t>מלאכה</w:t>
      </w:r>
      <w:r w:rsidRPr="00506702">
        <w:rPr>
          <w:rFonts w:asciiTheme="minorBidi" w:hAnsiTheme="minorBidi" w:cs="Arial"/>
          <w:rtl/>
        </w:rPr>
        <w:t xml:space="preserve"> </w:t>
      </w:r>
      <w:r w:rsidRPr="00506702">
        <w:rPr>
          <w:rFonts w:asciiTheme="minorBidi" w:hAnsiTheme="minorBidi" w:cs="Arial" w:hint="cs"/>
          <w:rtl/>
        </w:rPr>
        <w:t>כלל</w:t>
      </w:r>
      <w:r w:rsidRPr="00506702">
        <w:rPr>
          <w:rFonts w:asciiTheme="minorBidi" w:hAnsiTheme="minorBidi" w:cs="Arial"/>
          <w:rtl/>
        </w:rPr>
        <w:t xml:space="preserve"> </w:t>
      </w:r>
      <w:r w:rsidRPr="00506702">
        <w:rPr>
          <w:rFonts w:asciiTheme="minorBidi" w:hAnsiTheme="minorBidi" w:cs="Arial" w:hint="cs"/>
          <w:rtl/>
        </w:rPr>
        <w:t>עד</w:t>
      </w:r>
      <w:r w:rsidRPr="00506702">
        <w:rPr>
          <w:rFonts w:asciiTheme="minorBidi" w:hAnsiTheme="minorBidi" w:cs="Arial"/>
          <w:rtl/>
        </w:rPr>
        <w:t xml:space="preserve"> </w:t>
      </w:r>
      <w:r w:rsidRPr="00506702">
        <w:rPr>
          <w:rFonts w:asciiTheme="minorBidi" w:hAnsiTheme="minorBidi" w:cs="Arial" w:hint="cs"/>
          <w:rtl/>
        </w:rPr>
        <w:t>שיכלה</w:t>
      </w:r>
      <w:r w:rsidRPr="00506702">
        <w:rPr>
          <w:rFonts w:asciiTheme="minorBidi" w:hAnsiTheme="minorBidi" w:cs="Arial"/>
          <w:rtl/>
        </w:rPr>
        <w:t xml:space="preserve"> </w:t>
      </w:r>
      <w:r w:rsidRPr="00506702">
        <w:rPr>
          <w:rFonts w:asciiTheme="minorBidi" w:hAnsiTheme="minorBidi" w:cs="Arial" w:hint="cs"/>
          <w:rtl/>
        </w:rPr>
        <w:t>מה</w:t>
      </w:r>
      <w:r w:rsidRPr="00506702">
        <w:rPr>
          <w:rFonts w:asciiTheme="minorBidi" w:hAnsiTheme="minorBidi" w:cs="Arial"/>
          <w:rtl/>
        </w:rPr>
        <w:t xml:space="preserve"> </w:t>
      </w:r>
      <w:r w:rsidRPr="00506702">
        <w:rPr>
          <w:rFonts w:asciiTheme="minorBidi" w:hAnsiTheme="minorBidi" w:cs="Arial" w:hint="cs"/>
          <w:rtl/>
        </w:rPr>
        <w:t>שיש</w:t>
      </w:r>
      <w:r w:rsidRPr="00506702">
        <w:rPr>
          <w:rFonts w:asciiTheme="minorBidi" w:hAnsiTheme="minorBidi" w:cs="Arial"/>
          <w:rtl/>
        </w:rPr>
        <w:t xml:space="preserve"> </w:t>
      </w:r>
      <w:r w:rsidRPr="00506702">
        <w:rPr>
          <w:rFonts w:asciiTheme="minorBidi" w:hAnsiTheme="minorBidi" w:cs="Arial" w:hint="cs"/>
          <w:rtl/>
        </w:rPr>
        <w:t>לו</w:t>
      </w:r>
      <w:r w:rsidRPr="00506702">
        <w:rPr>
          <w:rFonts w:asciiTheme="minorBidi" w:hAnsiTheme="minorBidi" w:cs="Arial"/>
          <w:rtl/>
        </w:rPr>
        <w:t xml:space="preserve"> </w:t>
      </w:r>
      <w:r w:rsidRPr="00506702">
        <w:rPr>
          <w:rFonts w:asciiTheme="minorBidi" w:hAnsiTheme="minorBidi" w:cs="Arial" w:hint="cs"/>
          <w:rtl/>
        </w:rPr>
        <w:t>ואז</w:t>
      </w:r>
      <w:r w:rsidRPr="00506702">
        <w:rPr>
          <w:rFonts w:asciiTheme="minorBidi" w:hAnsiTheme="minorBidi" w:cs="Arial"/>
          <w:rtl/>
        </w:rPr>
        <w:t xml:space="preserve"> </w:t>
      </w:r>
      <w:r w:rsidRPr="00506702">
        <w:rPr>
          <w:rFonts w:asciiTheme="minorBidi" w:hAnsiTheme="minorBidi" w:cs="Arial" w:hint="cs"/>
          <w:rtl/>
        </w:rPr>
        <w:t>יעשה</w:t>
      </w:r>
      <w:r w:rsidRPr="00506702">
        <w:rPr>
          <w:rFonts w:asciiTheme="minorBidi" w:hAnsiTheme="minorBidi" w:cs="Arial"/>
          <w:rtl/>
        </w:rPr>
        <w:t xml:space="preserve"> </w:t>
      </w:r>
      <w:r w:rsidRPr="00506702">
        <w:rPr>
          <w:rFonts w:asciiTheme="minorBidi" w:hAnsiTheme="minorBidi" w:cs="Arial" w:hint="cs"/>
          <w:rtl/>
        </w:rPr>
        <w:t>מלאכה</w:t>
      </w:r>
      <w:r w:rsidRPr="00506702">
        <w:rPr>
          <w:rFonts w:asciiTheme="minorBidi" w:hAnsiTheme="minorBidi" w:cs="Arial"/>
          <w:rtl/>
        </w:rPr>
        <w:t xml:space="preserve"> </w:t>
      </w:r>
      <w:r w:rsidRPr="00506702">
        <w:rPr>
          <w:rFonts w:asciiTheme="minorBidi" w:hAnsiTheme="minorBidi" w:cs="Arial" w:hint="cs"/>
          <w:rtl/>
        </w:rPr>
        <w:t>בכל</w:t>
      </w:r>
      <w:r w:rsidRPr="00506702">
        <w:rPr>
          <w:rFonts w:asciiTheme="minorBidi" w:hAnsiTheme="minorBidi" w:cs="Arial"/>
          <w:rtl/>
        </w:rPr>
        <w:t xml:space="preserve"> </w:t>
      </w:r>
      <w:r w:rsidRPr="00506702">
        <w:rPr>
          <w:rFonts w:asciiTheme="minorBidi" w:hAnsiTheme="minorBidi" w:cs="Arial" w:hint="cs"/>
          <w:rtl/>
        </w:rPr>
        <w:t>יום</w:t>
      </w:r>
      <w:r w:rsidRPr="00506702">
        <w:rPr>
          <w:rFonts w:asciiTheme="minorBidi" w:hAnsiTheme="minorBidi" w:cs="Arial"/>
          <w:rtl/>
        </w:rPr>
        <w:t xml:space="preserve">, </w:t>
      </w:r>
      <w:r w:rsidRPr="00506702">
        <w:rPr>
          <w:rFonts w:asciiTheme="minorBidi" w:hAnsiTheme="minorBidi" w:cs="Arial" w:hint="cs"/>
          <w:rtl/>
        </w:rPr>
        <w:t>אפילו</w:t>
      </w:r>
      <w:r w:rsidRPr="00506702">
        <w:rPr>
          <w:rFonts w:asciiTheme="minorBidi" w:hAnsiTheme="minorBidi" w:cs="Arial"/>
          <w:rtl/>
        </w:rPr>
        <w:t xml:space="preserve"> </w:t>
      </w:r>
      <w:r w:rsidRPr="00506702">
        <w:rPr>
          <w:rFonts w:asciiTheme="minorBidi" w:hAnsiTheme="minorBidi" w:cs="Arial" w:hint="cs"/>
          <w:rtl/>
        </w:rPr>
        <w:t>ביום</w:t>
      </w:r>
      <w:r w:rsidRPr="00506702">
        <w:rPr>
          <w:rFonts w:asciiTheme="minorBidi" w:hAnsiTheme="minorBidi" w:cs="Arial"/>
          <w:rtl/>
        </w:rPr>
        <w:t xml:space="preserve"> </w:t>
      </w:r>
      <w:r w:rsidRPr="00506702">
        <w:rPr>
          <w:rFonts w:asciiTheme="minorBidi" w:hAnsiTheme="minorBidi" w:cs="Arial" w:hint="cs"/>
          <w:rtl/>
        </w:rPr>
        <w:t>שמקדש</w:t>
      </w:r>
      <w:r w:rsidRPr="00506702">
        <w:rPr>
          <w:rFonts w:asciiTheme="minorBidi" w:hAnsiTheme="minorBidi" w:cs="Arial"/>
          <w:rtl/>
        </w:rPr>
        <w:t xml:space="preserve"> </w:t>
      </w:r>
      <w:r w:rsidRPr="00506702">
        <w:rPr>
          <w:rFonts w:asciiTheme="minorBidi" w:hAnsiTheme="minorBidi" w:cs="Arial" w:hint="cs"/>
          <w:rtl/>
        </w:rPr>
        <w:t>בו</w:t>
      </w:r>
      <w:r w:rsidRPr="00506702">
        <w:rPr>
          <w:rFonts w:asciiTheme="minorBidi" w:hAnsiTheme="minorBidi" w:cs="Arial"/>
          <w:rtl/>
        </w:rPr>
        <w:t xml:space="preserve">, </w:t>
      </w:r>
      <w:r w:rsidRPr="00506702">
        <w:rPr>
          <w:rFonts w:asciiTheme="minorBidi" w:hAnsiTheme="minorBidi" w:cs="Arial" w:hint="cs"/>
          <w:rtl/>
        </w:rPr>
        <w:t>כדי</w:t>
      </w:r>
      <w:r w:rsidRPr="00506702">
        <w:rPr>
          <w:rFonts w:asciiTheme="minorBidi" w:hAnsiTheme="minorBidi" w:cs="Arial"/>
          <w:rtl/>
        </w:rPr>
        <w:t xml:space="preserve"> </w:t>
      </w:r>
      <w:r w:rsidRPr="00506702">
        <w:rPr>
          <w:rFonts w:asciiTheme="minorBidi" w:hAnsiTheme="minorBidi" w:cs="Arial" w:hint="cs"/>
          <w:rtl/>
        </w:rPr>
        <w:t>פרנסתו</w:t>
      </w:r>
      <w:r w:rsidRPr="00506702">
        <w:rPr>
          <w:rFonts w:asciiTheme="minorBidi" w:hAnsiTheme="minorBidi" w:cs="Arial"/>
          <w:rtl/>
        </w:rPr>
        <w:t xml:space="preserve"> </w:t>
      </w:r>
      <w:r w:rsidRPr="00506702">
        <w:rPr>
          <w:rFonts w:asciiTheme="minorBidi" w:hAnsiTheme="minorBidi" w:cs="Arial" w:hint="cs"/>
          <w:rtl/>
        </w:rPr>
        <w:t>מצומצמת</w:t>
      </w:r>
      <w:r w:rsidRPr="00506702">
        <w:rPr>
          <w:rFonts w:asciiTheme="minorBidi" w:hAnsiTheme="minorBidi" w:cs="Arial"/>
          <w:rtl/>
        </w:rPr>
        <w:t xml:space="preserve">. </w:t>
      </w:r>
      <w:r w:rsidRPr="00506702">
        <w:rPr>
          <w:rFonts w:asciiTheme="minorBidi" w:hAnsiTheme="minorBidi" w:cs="Arial" w:hint="cs"/>
          <w:rtl/>
        </w:rPr>
        <w:t>ומותר</w:t>
      </w:r>
      <w:r w:rsidRPr="00506702">
        <w:rPr>
          <w:rFonts w:asciiTheme="minorBidi" w:hAnsiTheme="minorBidi" w:cs="Arial"/>
          <w:rtl/>
        </w:rPr>
        <w:t xml:space="preserve"> </w:t>
      </w:r>
      <w:r w:rsidRPr="00506702">
        <w:rPr>
          <w:rFonts w:asciiTheme="minorBidi" w:hAnsiTheme="minorBidi" w:cs="Arial" w:hint="cs"/>
          <w:rtl/>
        </w:rPr>
        <w:t>לילך</w:t>
      </w:r>
      <w:r w:rsidRPr="00506702">
        <w:rPr>
          <w:rFonts w:asciiTheme="minorBidi" w:hAnsiTheme="minorBidi" w:cs="Arial"/>
          <w:rtl/>
        </w:rPr>
        <w:t xml:space="preserve"> </w:t>
      </w:r>
      <w:r w:rsidRPr="00506702">
        <w:rPr>
          <w:rFonts w:asciiTheme="minorBidi" w:hAnsiTheme="minorBidi" w:cs="Arial" w:hint="cs"/>
          <w:rtl/>
        </w:rPr>
        <w:t>בו</w:t>
      </w:r>
      <w:r w:rsidRPr="00506702">
        <w:rPr>
          <w:rFonts w:asciiTheme="minorBidi" w:hAnsiTheme="minorBidi" w:cs="Arial"/>
          <w:rtl/>
        </w:rPr>
        <w:t xml:space="preserve"> </w:t>
      </w:r>
      <w:r w:rsidRPr="00506702">
        <w:rPr>
          <w:rFonts w:asciiTheme="minorBidi" w:hAnsiTheme="minorBidi" w:cs="Arial" w:hint="cs"/>
          <w:rtl/>
        </w:rPr>
        <w:t>בכל</w:t>
      </w:r>
      <w:r w:rsidRPr="00506702">
        <w:rPr>
          <w:rFonts w:asciiTheme="minorBidi" w:hAnsiTheme="minorBidi" w:cs="Arial"/>
          <w:rtl/>
        </w:rPr>
        <w:t xml:space="preserve"> </w:t>
      </w:r>
      <w:r w:rsidRPr="00506702">
        <w:rPr>
          <w:rFonts w:asciiTheme="minorBidi" w:hAnsiTheme="minorBidi" w:cs="Arial" w:hint="cs"/>
          <w:rtl/>
        </w:rPr>
        <w:t>יום</w:t>
      </w:r>
      <w:r w:rsidRPr="00506702">
        <w:rPr>
          <w:rFonts w:asciiTheme="minorBidi" w:hAnsiTheme="minorBidi" w:cs="Arial"/>
          <w:rtl/>
        </w:rPr>
        <w:t xml:space="preserve">, </w:t>
      </w:r>
      <w:r w:rsidRPr="00506702">
        <w:rPr>
          <w:rFonts w:asciiTheme="minorBidi" w:hAnsiTheme="minorBidi" w:cs="Arial" w:hint="cs"/>
          <w:rtl/>
        </w:rPr>
        <w:t>אפי</w:t>
      </w:r>
      <w:r w:rsidRPr="00506702">
        <w:rPr>
          <w:rFonts w:asciiTheme="minorBidi" w:hAnsiTheme="minorBidi" w:cs="Arial"/>
          <w:rtl/>
        </w:rPr>
        <w:t xml:space="preserve">' </w:t>
      </w:r>
      <w:r w:rsidRPr="00506702">
        <w:rPr>
          <w:rFonts w:asciiTheme="minorBidi" w:hAnsiTheme="minorBidi" w:cs="Arial" w:hint="cs"/>
          <w:rtl/>
        </w:rPr>
        <w:t>ביום</w:t>
      </w:r>
      <w:r w:rsidRPr="00506702">
        <w:rPr>
          <w:rFonts w:asciiTheme="minorBidi" w:hAnsiTheme="minorBidi" w:cs="Arial"/>
          <w:rtl/>
        </w:rPr>
        <w:t xml:space="preserve"> </w:t>
      </w:r>
      <w:r w:rsidRPr="00506702">
        <w:rPr>
          <w:rFonts w:asciiTheme="minorBidi" w:hAnsiTheme="minorBidi" w:cs="Arial" w:hint="cs"/>
          <w:rtl/>
        </w:rPr>
        <w:t>שמקדש</w:t>
      </w:r>
      <w:r w:rsidRPr="00506702">
        <w:rPr>
          <w:rFonts w:asciiTheme="minorBidi" w:hAnsiTheme="minorBidi" w:cs="Arial"/>
          <w:rtl/>
        </w:rPr>
        <w:t xml:space="preserve"> </w:t>
      </w:r>
      <w:r w:rsidRPr="00506702">
        <w:rPr>
          <w:rFonts w:asciiTheme="minorBidi" w:hAnsiTheme="minorBidi" w:cs="Arial" w:hint="cs"/>
          <w:rtl/>
        </w:rPr>
        <w:t>בו</w:t>
      </w:r>
      <w:r w:rsidRPr="00506702">
        <w:rPr>
          <w:rFonts w:asciiTheme="minorBidi" w:hAnsiTheme="minorBidi" w:cs="Arial"/>
          <w:rtl/>
        </w:rPr>
        <w:t xml:space="preserve">. </w:t>
      </w:r>
    </w:p>
    <w:p w14:paraId="52B4796B" w14:textId="77777777" w:rsidR="006A4BF8" w:rsidRPr="00506702" w:rsidRDefault="006A4BF8" w:rsidP="00434A6A">
      <w:pPr>
        <w:pStyle w:val="2"/>
        <w:rPr>
          <w:rtl/>
        </w:rPr>
      </w:pPr>
      <w:r w:rsidRPr="00506702">
        <w:rPr>
          <w:rFonts w:hint="cs"/>
          <w:rtl/>
        </w:rPr>
        <w:t>סעיף</w:t>
      </w:r>
      <w:r w:rsidRPr="00506702">
        <w:rPr>
          <w:rtl/>
        </w:rPr>
        <w:t xml:space="preserve"> </w:t>
      </w:r>
      <w:r w:rsidRPr="00506702">
        <w:rPr>
          <w:rFonts w:hint="cs"/>
          <w:rtl/>
        </w:rPr>
        <w:t>ב</w:t>
      </w:r>
    </w:p>
    <w:p w14:paraId="70A2DDED" w14:textId="77777777" w:rsidR="006A4BF8" w:rsidRPr="005275DF" w:rsidRDefault="006A4BF8" w:rsidP="00434A6A">
      <w:pPr>
        <w:tabs>
          <w:tab w:val="left" w:pos="2788"/>
        </w:tabs>
        <w:rPr>
          <w:rFonts w:asciiTheme="minorBidi" w:hAnsiTheme="minorBidi"/>
        </w:rPr>
      </w:pPr>
      <w:r w:rsidRPr="00506702">
        <w:rPr>
          <w:rFonts w:asciiTheme="minorBidi" w:hAnsiTheme="minorBidi" w:cs="Arial" w:hint="cs"/>
          <w:rtl/>
        </w:rPr>
        <w:t>היה</w:t>
      </w:r>
      <w:r w:rsidRPr="00506702">
        <w:rPr>
          <w:rFonts w:asciiTheme="minorBidi" w:hAnsiTheme="minorBidi" w:cs="Arial"/>
          <w:rtl/>
        </w:rPr>
        <w:t xml:space="preserve"> </w:t>
      </w:r>
      <w:r w:rsidRPr="00506702">
        <w:rPr>
          <w:rFonts w:asciiTheme="minorBidi" w:hAnsiTheme="minorBidi" w:cs="Arial" w:hint="cs"/>
          <w:rtl/>
        </w:rPr>
        <w:t>יודע</w:t>
      </w:r>
      <w:r w:rsidRPr="00506702">
        <w:rPr>
          <w:rFonts w:asciiTheme="minorBidi" w:hAnsiTheme="minorBidi" w:cs="Arial"/>
          <w:rtl/>
        </w:rPr>
        <w:t xml:space="preserve"> </w:t>
      </w:r>
      <w:r w:rsidRPr="00506702">
        <w:rPr>
          <w:rFonts w:asciiTheme="minorBidi" w:hAnsiTheme="minorBidi" w:cs="Arial" w:hint="cs"/>
          <w:rtl/>
        </w:rPr>
        <w:t>מנין</w:t>
      </w:r>
      <w:r w:rsidRPr="00506702">
        <w:rPr>
          <w:rFonts w:asciiTheme="minorBidi" w:hAnsiTheme="minorBidi" w:cs="Arial"/>
          <w:rtl/>
        </w:rPr>
        <w:t xml:space="preserve"> </w:t>
      </w:r>
      <w:r w:rsidRPr="00506702">
        <w:rPr>
          <w:rFonts w:asciiTheme="minorBidi" w:hAnsiTheme="minorBidi" w:cs="Arial" w:hint="cs"/>
          <w:rtl/>
        </w:rPr>
        <w:t>יום</w:t>
      </w:r>
      <w:r w:rsidRPr="00506702">
        <w:rPr>
          <w:rFonts w:asciiTheme="minorBidi" w:hAnsiTheme="minorBidi" w:cs="Arial"/>
          <w:rtl/>
        </w:rPr>
        <w:t xml:space="preserve"> </w:t>
      </w:r>
      <w:r w:rsidRPr="00506702">
        <w:rPr>
          <w:rFonts w:asciiTheme="minorBidi" w:hAnsiTheme="minorBidi" w:cs="Arial" w:hint="cs"/>
          <w:rtl/>
        </w:rPr>
        <w:t>שיצא</w:t>
      </w:r>
      <w:r w:rsidRPr="00506702">
        <w:rPr>
          <w:rFonts w:asciiTheme="minorBidi" w:hAnsiTheme="minorBidi" w:cs="Arial"/>
          <w:rtl/>
        </w:rPr>
        <w:t xml:space="preserve"> </w:t>
      </w:r>
      <w:r w:rsidRPr="00506702">
        <w:rPr>
          <w:rFonts w:asciiTheme="minorBidi" w:hAnsiTheme="minorBidi" w:cs="Arial" w:hint="cs"/>
          <w:rtl/>
        </w:rPr>
        <w:t>בו</w:t>
      </w:r>
      <w:r w:rsidRPr="00506702">
        <w:rPr>
          <w:rFonts w:asciiTheme="minorBidi" w:hAnsiTheme="minorBidi" w:cs="Arial"/>
          <w:rtl/>
        </w:rPr>
        <w:t xml:space="preserve">, </w:t>
      </w:r>
      <w:r w:rsidRPr="00506702">
        <w:rPr>
          <w:rFonts w:asciiTheme="minorBidi" w:hAnsiTheme="minorBidi" w:cs="Arial" w:hint="cs"/>
          <w:rtl/>
        </w:rPr>
        <w:t>כגון</w:t>
      </w:r>
      <w:r w:rsidRPr="00506702">
        <w:rPr>
          <w:rFonts w:asciiTheme="minorBidi" w:hAnsiTheme="minorBidi" w:cs="Arial"/>
          <w:rtl/>
        </w:rPr>
        <w:t xml:space="preserve"> </w:t>
      </w:r>
      <w:r w:rsidRPr="00506702">
        <w:rPr>
          <w:rFonts w:asciiTheme="minorBidi" w:hAnsiTheme="minorBidi" w:cs="Arial" w:hint="cs"/>
          <w:rtl/>
        </w:rPr>
        <w:t>שיודע</w:t>
      </w:r>
      <w:r w:rsidRPr="00506702">
        <w:rPr>
          <w:rFonts w:asciiTheme="minorBidi" w:hAnsiTheme="minorBidi" w:cs="Arial"/>
          <w:rtl/>
        </w:rPr>
        <w:t xml:space="preserve"> </w:t>
      </w:r>
      <w:r w:rsidRPr="00506702">
        <w:rPr>
          <w:rFonts w:asciiTheme="minorBidi" w:hAnsiTheme="minorBidi" w:cs="Arial" w:hint="cs"/>
          <w:rtl/>
        </w:rPr>
        <w:t>שהיום</w:t>
      </w:r>
      <w:r w:rsidRPr="00506702">
        <w:rPr>
          <w:rFonts w:asciiTheme="minorBidi" w:hAnsiTheme="minorBidi" w:cs="Arial"/>
          <w:rtl/>
        </w:rPr>
        <w:t xml:space="preserve"> </w:t>
      </w:r>
      <w:r w:rsidRPr="00506702">
        <w:rPr>
          <w:rFonts w:asciiTheme="minorBidi" w:hAnsiTheme="minorBidi" w:cs="Arial" w:hint="cs"/>
          <w:rtl/>
        </w:rPr>
        <w:t>יום</w:t>
      </w:r>
      <w:r w:rsidRPr="00506702">
        <w:rPr>
          <w:rFonts w:asciiTheme="minorBidi" w:hAnsiTheme="minorBidi" w:cs="Arial"/>
          <w:rtl/>
        </w:rPr>
        <w:t xml:space="preserve"> </w:t>
      </w:r>
      <w:r w:rsidRPr="00506702">
        <w:rPr>
          <w:rFonts w:asciiTheme="minorBidi" w:hAnsiTheme="minorBidi" w:cs="Arial" w:hint="cs"/>
          <w:rtl/>
        </w:rPr>
        <w:t>רביעי</w:t>
      </w:r>
      <w:r w:rsidRPr="00506702">
        <w:rPr>
          <w:rFonts w:asciiTheme="minorBidi" w:hAnsiTheme="minorBidi" w:cs="Arial"/>
          <w:rtl/>
        </w:rPr>
        <w:t xml:space="preserve"> </w:t>
      </w:r>
      <w:r w:rsidRPr="00506702">
        <w:rPr>
          <w:rFonts w:asciiTheme="minorBidi" w:hAnsiTheme="minorBidi" w:cs="Arial" w:hint="cs"/>
          <w:rtl/>
        </w:rPr>
        <w:t>או</w:t>
      </w:r>
      <w:r w:rsidRPr="00506702">
        <w:rPr>
          <w:rFonts w:asciiTheme="minorBidi" w:hAnsiTheme="minorBidi" w:cs="Arial"/>
          <w:rtl/>
        </w:rPr>
        <w:t xml:space="preserve"> </w:t>
      </w:r>
      <w:r w:rsidRPr="00506702">
        <w:rPr>
          <w:rFonts w:asciiTheme="minorBidi" w:hAnsiTheme="minorBidi" w:cs="Arial" w:hint="cs"/>
          <w:rtl/>
        </w:rPr>
        <w:t>יום</w:t>
      </w:r>
      <w:r w:rsidRPr="00506702">
        <w:rPr>
          <w:rFonts w:asciiTheme="minorBidi" w:hAnsiTheme="minorBidi" w:cs="Arial"/>
          <w:rtl/>
        </w:rPr>
        <w:t xml:space="preserve"> </w:t>
      </w:r>
      <w:r w:rsidRPr="00506702">
        <w:rPr>
          <w:rFonts w:asciiTheme="minorBidi" w:hAnsiTheme="minorBidi" w:cs="Arial" w:hint="cs"/>
          <w:rtl/>
        </w:rPr>
        <w:t>חמישי</w:t>
      </w:r>
      <w:r w:rsidRPr="00506702">
        <w:rPr>
          <w:rFonts w:asciiTheme="minorBidi" w:hAnsiTheme="minorBidi" w:cs="Arial"/>
          <w:rtl/>
        </w:rPr>
        <w:t xml:space="preserve"> </w:t>
      </w:r>
      <w:r w:rsidRPr="00506702">
        <w:rPr>
          <w:rFonts w:asciiTheme="minorBidi" w:hAnsiTheme="minorBidi" w:cs="Arial" w:hint="cs"/>
          <w:rtl/>
        </w:rPr>
        <w:t>ליציאתו</w:t>
      </w:r>
      <w:r w:rsidRPr="00506702">
        <w:rPr>
          <w:rFonts w:asciiTheme="minorBidi" w:hAnsiTheme="minorBidi" w:cs="Arial"/>
          <w:rtl/>
        </w:rPr>
        <w:t xml:space="preserve"> </w:t>
      </w:r>
      <w:r w:rsidRPr="00506702">
        <w:rPr>
          <w:rFonts w:asciiTheme="minorBidi" w:hAnsiTheme="minorBidi" w:cs="Arial" w:hint="cs"/>
          <w:rtl/>
        </w:rPr>
        <w:t>אבל</w:t>
      </w:r>
      <w:r w:rsidRPr="00506702">
        <w:rPr>
          <w:rFonts w:asciiTheme="minorBidi" w:hAnsiTheme="minorBidi" w:cs="Arial"/>
          <w:rtl/>
        </w:rPr>
        <w:t xml:space="preserve"> </w:t>
      </w:r>
      <w:r w:rsidRPr="00506702">
        <w:rPr>
          <w:rFonts w:asciiTheme="minorBidi" w:hAnsiTheme="minorBidi" w:cs="Arial" w:hint="cs"/>
          <w:rtl/>
        </w:rPr>
        <w:t>אינו</w:t>
      </w:r>
      <w:r w:rsidRPr="00506702">
        <w:rPr>
          <w:rFonts w:asciiTheme="minorBidi" w:hAnsiTheme="minorBidi" w:cs="Arial"/>
          <w:rtl/>
        </w:rPr>
        <w:t xml:space="preserve"> </w:t>
      </w:r>
      <w:r w:rsidRPr="00506702">
        <w:rPr>
          <w:rFonts w:asciiTheme="minorBidi" w:hAnsiTheme="minorBidi" w:cs="Arial" w:hint="cs"/>
          <w:rtl/>
        </w:rPr>
        <w:t>יודע</w:t>
      </w:r>
      <w:r w:rsidRPr="00506702">
        <w:rPr>
          <w:rFonts w:asciiTheme="minorBidi" w:hAnsiTheme="minorBidi" w:cs="Arial"/>
          <w:rtl/>
        </w:rPr>
        <w:t xml:space="preserve"> </w:t>
      </w:r>
      <w:r w:rsidRPr="00506702">
        <w:rPr>
          <w:rFonts w:asciiTheme="minorBidi" w:hAnsiTheme="minorBidi" w:cs="Arial" w:hint="cs"/>
          <w:rtl/>
        </w:rPr>
        <w:t>באיזה</w:t>
      </w:r>
      <w:r w:rsidRPr="00506702">
        <w:rPr>
          <w:rFonts w:asciiTheme="minorBidi" w:hAnsiTheme="minorBidi" w:cs="Arial"/>
          <w:rtl/>
        </w:rPr>
        <w:t xml:space="preserve"> </w:t>
      </w:r>
      <w:r w:rsidRPr="00506702">
        <w:rPr>
          <w:rFonts w:asciiTheme="minorBidi" w:hAnsiTheme="minorBidi" w:cs="Arial" w:hint="cs"/>
          <w:rtl/>
        </w:rPr>
        <w:t>יום</w:t>
      </w:r>
      <w:r w:rsidRPr="00506702">
        <w:rPr>
          <w:rFonts w:asciiTheme="minorBidi" w:hAnsiTheme="minorBidi" w:cs="Arial"/>
          <w:rtl/>
        </w:rPr>
        <w:t xml:space="preserve"> </w:t>
      </w:r>
      <w:r w:rsidRPr="00506702">
        <w:rPr>
          <w:rFonts w:asciiTheme="minorBidi" w:hAnsiTheme="minorBidi" w:cs="Arial" w:hint="cs"/>
          <w:rtl/>
        </w:rPr>
        <w:t>יצא</w:t>
      </w:r>
      <w:r w:rsidRPr="00506702">
        <w:rPr>
          <w:rFonts w:asciiTheme="minorBidi" w:hAnsiTheme="minorBidi" w:cs="Arial"/>
          <w:rtl/>
        </w:rPr>
        <w:t xml:space="preserve">, </w:t>
      </w:r>
      <w:r w:rsidRPr="00506702">
        <w:rPr>
          <w:rFonts w:asciiTheme="minorBidi" w:hAnsiTheme="minorBidi" w:cs="Arial" w:hint="cs"/>
          <w:rtl/>
        </w:rPr>
        <w:t>מותר</w:t>
      </w:r>
      <w:r w:rsidRPr="00506702">
        <w:rPr>
          <w:rFonts w:asciiTheme="minorBidi" w:hAnsiTheme="minorBidi" w:cs="Arial"/>
          <w:rtl/>
        </w:rPr>
        <w:t xml:space="preserve"> </w:t>
      </w:r>
      <w:r w:rsidRPr="00506702">
        <w:rPr>
          <w:rFonts w:asciiTheme="minorBidi" w:hAnsiTheme="minorBidi" w:cs="Arial" w:hint="cs"/>
          <w:rtl/>
        </w:rPr>
        <w:t>לעשות</w:t>
      </w:r>
      <w:r w:rsidRPr="00506702">
        <w:rPr>
          <w:rFonts w:asciiTheme="minorBidi" w:hAnsiTheme="minorBidi" w:cs="Arial"/>
          <w:rtl/>
        </w:rPr>
        <w:t xml:space="preserve"> </w:t>
      </w:r>
      <w:r w:rsidRPr="00506702">
        <w:rPr>
          <w:rFonts w:asciiTheme="minorBidi" w:hAnsiTheme="minorBidi" w:cs="Arial" w:hint="cs"/>
          <w:rtl/>
        </w:rPr>
        <w:t>מלאכה</w:t>
      </w:r>
      <w:r w:rsidRPr="00506702">
        <w:rPr>
          <w:rFonts w:asciiTheme="minorBidi" w:hAnsiTheme="minorBidi" w:cs="Arial"/>
          <w:rtl/>
        </w:rPr>
        <w:t xml:space="preserve"> </w:t>
      </w:r>
      <w:r w:rsidRPr="00506702">
        <w:rPr>
          <w:rFonts w:asciiTheme="minorBidi" w:hAnsiTheme="minorBidi" w:cs="Arial" w:hint="cs"/>
          <w:rtl/>
        </w:rPr>
        <w:t>כל</w:t>
      </w:r>
      <w:r w:rsidRPr="00506702">
        <w:rPr>
          <w:rFonts w:asciiTheme="minorBidi" w:hAnsiTheme="minorBidi" w:cs="Arial"/>
          <w:rtl/>
        </w:rPr>
        <w:t xml:space="preserve"> </w:t>
      </w:r>
      <w:r w:rsidRPr="00506702">
        <w:rPr>
          <w:rFonts w:asciiTheme="minorBidi" w:hAnsiTheme="minorBidi" w:cs="Arial" w:hint="cs"/>
          <w:rtl/>
        </w:rPr>
        <w:t>מה</w:t>
      </w:r>
      <w:r w:rsidRPr="00506702">
        <w:rPr>
          <w:rFonts w:asciiTheme="minorBidi" w:hAnsiTheme="minorBidi" w:cs="Arial"/>
          <w:rtl/>
        </w:rPr>
        <w:t xml:space="preserve"> </w:t>
      </w:r>
      <w:r w:rsidRPr="00506702">
        <w:rPr>
          <w:rFonts w:asciiTheme="minorBidi" w:hAnsiTheme="minorBidi" w:cs="Arial" w:hint="cs"/>
          <w:rtl/>
        </w:rPr>
        <w:t>שירצה</w:t>
      </w:r>
      <w:r w:rsidRPr="00506702">
        <w:rPr>
          <w:rFonts w:asciiTheme="minorBidi" w:hAnsiTheme="minorBidi" w:cs="Arial"/>
          <w:rtl/>
        </w:rPr>
        <w:t xml:space="preserve"> </w:t>
      </w:r>
      <w:r w:rsidRPr="00506702">
        <w:rPr>
          <w:rFonts w:asciiTheme="minorBidi" w:hAnsiTheme="minorBidi" w:cs="Arial" w:hint="cs"/>
          <w:rtl/>
        </w:rPr>
        <w:t>ביום</w:t>
      </w:r>
      <w:r w:rsidRPr="00506702">
        <w:rPr>
          <w:rFonts w:asciiTheme="minorBidi" w:hAnsiTheme="minorBidi" w:cs="Arial"/>
          <w:rtl/>
        </w:rPr>
        <w:t xml:space="preserve"> </w:t>
      </w:r>
      <w:r w:rsidRPr="00506702">
        <w:rPr>
          <w:rFonts w:asciiTheme="minorBidi" w:hAnsiTheme="minorBidi" w:cs="Arial" w:hint="cs"/>
          <w:rtl/>
        </w:rPr>
        <w:t>שמיני</w:t>
      </w:r>
      <w:r w:rsidRPr="00506702">
        <w:rPr>
          <w:rFonts w:asciiTheme="minorBidi" w:hAnsiTheme="minorBidi" w:cs="Arial"/>
          <w:rtl/>
        </w:rPr>
        <w:t xml:space="preserve"> </w:t>
      </w:r>
      <w:r w:rsidRPr="00506702">
        <w:rPr>
          <w:rFonts w:asciiTheme="minorBidi" w:hAnsiTheme="minorBidi" w:cs="Arial" w:hint="cs"/>
          <w:rtl/>
        </w:rPr>
        <w:t>ליציאתו</w:t>
      </w:r>
      <w:r w:rsidRPr="00506702">
        <w:rPr>
          <w:rFonts w:asciiTheme="minorBidi" w:hAnsiTheme="minorBidi" w:cs="Arial"/>
          <w:rtl/>
        </w:rPr>
        <w:t xml:space="preserve"> </w:t>
      </w:r>
      <w:r w:rsidRPr="00506702">
        <w:rPr>
          <w:rFonts w:asciiTheme="minorBidi" w:hAnsiTheme="minorBidi" w:cs="Arial" w:hint="cs"/>
          <w:rtl/>
        </w:rPr>
        <w:t>שביום</w:t>
      </w:r>
      <w:r w:rsidRPr="00506702">
        <w:rPr>
          <w:rFonts w:asciiTheme="minorBidi" w:hAnsiTheme="minorBidi" w:cs="Arial"/>
          <w:rtl/>
        </w:rPr>
        <w:t xml:space="preserve"> </w:t>
      </w:r>
      <w:r w:rsidRPr="00506702">
        <w:rPr>
          <w:rFonts w:asciiTheme="minorBidi" w:hAnsiTheme="minorBidi" w:cs="Arial" w:hint="cs"/>
          <w:rtl/>
        </w:rPr>
        <w:t>כזה</w:t>
      </w:r>
      <w:r w:rsidRPr="00506702">
        <w:rPr>
          <w:rFonts w:asciiTheme="minorBidi" w:hAnsiTheme="minorBidi" w:cs="Arial"/>
          <w:rtl/>
        </w:rPr>
        <w:t xml:space="preserve"> </w:t>
      </w:r>
      <w:r w:rsidRPr="00506702">
        <w:rPr>
          <w:rFonts w:asciiTheme="minorBidi" w:hAnsiTheme="minorBidi" w:cs="Arial" w:hint="cs"/>
          <w:rtl/>
        </w:rPr>
        <w:t>יצא</w:t>
      </w:r>
      <w:r w:rsidRPr="00506702">
        <w:rPr>
          <w:rFonts w:asciiTheme="minorBidi" w:hAnsiTheme="minorBidi" w:cs="Arial"/>
          <w:rtl/>
        </w:rPr>
        <w:t xml:space="preserve"> </w:t>
      </w:r>
      <w:r w:rsidRPr="00506702">
        <w:rPr>
          <w:rFonts w:asciiTheme="minorBidi" w:hAnsiTheme="minorBidi" w:cs="Arial" w:hint="cs"/>
          <w:rtl/>
        </w:rPr>
        <w:t>מביתו</w:t>
      </w:r>
      <w:r w:rsidRPr="00506702">
        <w:rPr>
          <w:rFonts w:asciiTheme="minorBidi" w:hAnsiTheme="minorBidi" w:cs="Arial"/>
          <w:rtl/>
        </w:rPr>
        <w:t xml:space="preserve">, </w:t>
      </w:r>
      <w:r w:rsidRPr="00506702">
        <w:rPr>
          <w:rFonts w:asciiTheme="minorBidi" w:hAnsiTheme="minorBidi" w:cs="Arial" w:hint="cs"/>
          <w:rtl/>
        </w:rPr>
        <w:t>דבודאי</w:t>
      </w:r>
      <w:r w:rsidRPr="00506702">
        <w:rPr>
          <w:rFonts w:asciiTheme="minorBidi" w:hAnsiTheme="minorBidi" w:cs="Arial"/>
          <w:rtl/>
        </w:rPr>
        <w:t xml:space="preserve"> </w:t>
      </w:r>
      <w:r w:rsidRPr="00506702">
        <w:rPr>
          <w:rFonts w:asciiTheme="minorBidi" w:hAnsiTheme="minorBidi" w:cs="Arial" w:hint="cs"/>
          <w:rtl/>
        </w:rPr>
        <w:t>לא</w:t>
      </w:r>
      <w:r w:rsidRPr="00506702">
        <w:rPr>
          <w:rFonts w:asciiTheme="minorBidi" w:hAnsiTheme="minorBidi" w:cs="Arial"/>
          <w:rtl/>
        </w:rPr>
        <w:t xml:space="preserve"> </w:t>
      </w:r>
      <w:r w:rsidRPr="00506702">
        <w:rPr>
          <w:rFonts w:asciiTheme="minorBidi" w:hAnsiTheme="minorBidi" w:cs="Arial" w:hint="cs"/>
          <w:rtl/>
        </w:rPr>
        <w:t>יצא</w:t>
      </w:r>
      <w:r w:rsidRPr="00506702">
        <w:rPr>
          <w:rFonts w:asciiTheme="minorBidi" w:hAnsiTheme="minorBidi" w:cs="Arial"/>
          <w:rtl/>
        </w:rPr>
        <w:t xml:space="preserve"> </w:t>
      </w:r>
      <w:r w:rsidRPr="00506702">
        <w:rPr>
          <w:rFonts w:asciiTheme="minorBidi" w:hAnsiTheme="minorBidi" w:cs="Arial" w:hint="cs"/>
          <w:rtl/>
        </w:rPr>
        <w:t>בשבת</w:t>
      </w:r>
      <w:r w:rsidRPr="00506702">
        <w:rPr>
          <w:rFonts w:asciiTheme="minorBidi" w:hAnsiTheme="minorBidi" w:cs="Arial"/>
          <w:rtl/>
        </w:rPr>
        <w:t xml:space="preserve">; </w:t>
      </w:r>
      <w:r w:rsidRPr="00506702">
        <w:rPr>
          <w:rFonts w:asciiTheme="minorBidi" w:hAnsiTheme="minorBidi" w:cs="Arial" w:hint="cs"/>
          <w:rtl/>
        </w:rPr>
        <w:t>וכן</w:t>
      </w:r>
      <w:r w:rsidRPr="00506702">
        <w:rPr>
          <w:rFonts w:asciiTheme="minorBidi" w:hAnsiTheme="minorBidi" w:cs="Arial"/>
          <w:rtl/>
        </w:rPr>
        <w:t xml:space="preserve"> </w:t>
      </w:r>
      <w:r w:rsidRPr="00506702">
        <w:rPr>
          <w:rFonts w:asciiTheme="minorBidi" w:hAnsiTheme="minorBidi" w:cs="Arial" w:hint="cs"/>
          <w:rtl/>
        </w:rPr>
        <w:t>ביום</w:t>
      </w:r>
      <w:r w:rsidRPr="00506702">
        <w:rPr>
          <w:rFonts w:asciiTheme="minorBidi" w:hAnsiTheme="minorBidi" w:cs="Arial"/>
          <w:rtl/>
        </w:rPr>
        <w:t xml:space="preserve"> </w:t>
      </w:r>
      <w:r w:rsidRPr="00506702">
        <w:rPr>
          <w:rFonts w:asciiTheme="minorBidi" w:hAnsiTheme="minorBidi" w:cs="Arial" w:hint="cs"/>
          <w:rtl/>
        </w:rPr>
        <w:t>ט</w:t>
      </w:r>
      <w:r w:rsidRPr="00506702">
        <w:rPr>
          <w:rFonts w:asciiTheme="minorBidi" w:hAnsiTheme="minorBidi" w:cs="Arial"/>
          <w:rtl/>
        </w:rPr>
        <w:t>"</w:t>
      </w:r>
      <w:r w:rsidRPr="00506702">
        <w:rPr>
          <w:rFonts w:asciiTheme="minorBidi" w:hAnsiTheme="minorBidi" w:cs="Arial" w:hint="cs"/>
          <w:rtl/>
        </w:rPr>
        <w:t>ו</w:t>
      </w:r>
      <w:r w:rsidRPr="00506702">
        <w:rPr>
          <w:rFonts w:asciiTheme="minorBidi" w:hAnsiTheme="minorBidi" w:cs="Arial"/>
          <w:rtl/>
        </w:rPr>
        <w:t xml:space="preserve">, </w:t>
      </w:r>
      <w:r w:rsidRPr="00506702">
        <w:rPr>
          <w:rFonts w:asciiTheme="minorBidi" w:hAnsiTheme="minorBidi" w:cs="Arial" w:hint="cs"/>
          <w:rtl/>
        </w:rPr>
        <w:t>וביום</w:t>
      </w:r>
      <w:r w:rsidRPr="00506702">
        <w:rPr>
          <w:rFonts w:asciiTheme="minorBidi" w:hAnsiTheme="minorBidi" w:cs="Arial"/>
          <w:rtl/>
        </w:rPr>
        <w:t xml:space="preserve"> </w:t>
      </w:r>
      <w:r w:rsidRPr="00506702">
        <w:rPr>
          <w:rFonts w:asciiTheme="minorBidi" w:hAnsiTheme="minorBidi" w:cs="Arial" w:hint="cs"/>
          <w:rtl/>
        </w:rPr>
        <w:t>כ</w:t>
      </w:r>
      <w:r w:rsidRPr="00506702">
        <w:rPr>
          <w:rFonts w:asciiTheme="minorBidi" w:hAnsiTheme="minorBidi" w:cs="Arial"/>
          <w:rtl/>
        </w:rPr>
        <w:t>"</w:t>
      </w:r>
      <w:r w:rsidRPr="00506702">
        <w:rPr>
          <w:rFonts w:asciiTheme="minorBidi" w:hAnsiTheme="minorBidi" w:cs="Arial" w:hint="cs"/>
          <w:rtl/>
        </w:rPr>
        <w:t>ב</w:t>
      </w:r>
      <w:r w:rsidRPr="00506702">
        <w:rPr>
          <w:rFonts w:asciiTheme="minorBidi" w:hAnsiTheme="minorBidi" w:cs="Arial"/>
          <w:rtl/>
        </w:rPr>
        <w:t xml:space="preserve">, </w:t>
      </w:r>
      <w:r w:rsidRPr="00506702">
        <w:rPr>
          <w:rFonts w:asciiTheme="minorBidi" w:hAnsiTheme="minorBidi" w:cs="Arial" w:hint="cs"/>
          <w:rtl/>
        </w:rPr>
        <w:t>וכן</w:t>
      </w:r>
      <w:r w:rsidRPr="00506702">
        <w:rPr>
          <w:rFonts w:asciiTheme="minorBidi" w:hAnsiTheme="minorBidi" w:cs="Arial"/>
          <w:rtl/>
        </w:rPr>
        <w:t xml:space="preserve"> </w:t>
      </w:r>
      <w:r w:rsidRPr="00506702">
        <w:rPr>
          <w:rFonts w:asciiTheme="minorBidi" w:hAnsiTheme="minorBidi" w:cs="Arial" w:hint="cs"/>
          <w:rtl/>
        </w:rPr>
        <w:t>לעולם</w:t>
      </w:r>
      <w:r w:rsidRPr="00506702">
        <w:rPr>
          <w:rFonts w:asciiTheme="minorBidi" w:hAnsiTheme="minorBidi" w:cs="Arial"/>
          <w:rtl/>
        </w:rPr>
        <w:t>.</w:t>
      </w:r>
    </w:p>
    <w:p w14:paraId="295BF6CA" w14:textId="77777777" w:rsidR="006A4BF8" w:rsidRPr="006A4BF8" w:rsidRDefault="006A4BF8" w:rsidP="00434A6A">
      <w:pPr>
        <w:tabs>
          <w:tab w:val="left" w:pos="2788"/>
        </w:tabs>
        <w:rPr>
          <w:rFonts w:asciiTheme="minorBidi" w:hAnsiTheme="minorBidi"/>
          <w:rtl/>
        </w:rPr>
      </w:pPr>
    </w:p>
    <w:p w14:paraId="4E283ABA" w14:textId="77777777" w:rsidR="006A4BF8" w:rsidRDefault="006A4BF8" w:rsidP="00434A6A">
      <w:pPr>
        <w:rPr>
          <w:rFonts w:asciiTheme="minorBidi" w:hAnsiTheme="minorBidi"/>
          <w:rtl/>
        </w:rPr>
      </w:pPr>
    </w:p>
    <w:p w14:paraId="5C74C708" w14:textId="77777777" w:rsidR="006A4BF8" w:rsidRDefault="006A4BF8" w:rsidP="00434A6A">
      <w:pPr>
        <w:rPr>
          <w:rFonts w:asciiTheme="minorBidi" w:hAnsiTheme="minorBidi"/>
          <w:rtl/>
        </w:rPr>
      </w:pPr>
    </w:p>
    <w:p w14:paraId="22B4FD7E" w14:textId="401C97DD" w:rsidR="00506702" w:rsidRPr="005275DF" w:rsidRDefault="00506702" w:rsidP="00434A6A">
      <w:pPr>
        <w:rPr>
          <w:rFonts w:asciiTheme="minorBidi" w:hAnsiTheme="minorBidi"/>
        </w:rPr>
      </w:pPr>
    </w:p>
    <w:sectPr w:rsidR="00506702" w:rsidRPr="005275DF" w:rsidSect="00BD29B1">
      <w:headerReference w:type="default" r:id="rId111"/>
      <w:footnotePr>
        <w:numRestart w:val="eachSect"/>
      </w:footnotePr>
      <w:pgSz w:w="11906" w:h="16838"/>
      <w:pgMar w:top="720" w:right="1134" w:bottom="720" w:left="1134" w:header="0" w:footer="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BF248" w14:textId="77777777" w:rsidR="00276F6C" w:rsidRDefault="00276F6C" w:rsidP="00F22D40">
      <w:pPr>
        <w:spacing w:after="0" w:line="240" w:lineRule="auto"/>
      </w:pPr>
      <w:r>
        <w:separator/>
      </w:r>
    </w:p>
  </w:endnote>
  <w:endnote w:type="continuationSeparator" w:id="0">
    <w:p w14:paraId="68A7FCE9" w14:textId="77777777" w:rsidR="00276F6C" w:rsidRDefault="00276F6C" w:rsidP="00F22D40">
      <w:pPr>
        <w:spacing w:after="0" w:line="240" w:lineRule="auto"/>
      </w:pPr>
      <w:r>
        <w:continuationSeparator/>
      </w:r>
    </w:p>
  </w:endnote>
  <w:endnote w:type="continuationNotice" w:id="1">
    <w:p w14:paraId="4970E079" w14:textId="77777777" w:rsidR="00276F6C" w:rsidRDefault="00276F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67696328"/>
      <w:docPartObj>
        <w:docPartGallery w:val="Page Numbers (Bottom of Page)"/>
        <w:docPartUnique/>
      </w:docPartObj>
    </w:sdtPr>
    <w:sdtEndPr>
      <w:rPr>
        <w:cs/>
      </w:rPr>
    </w:sdtEndPr>
    <w:sdtContent>
      <w:p w14:paraId="31C72A70" w14:textId="77777777" w:rsidR="004B2E7C" w:rsidRDefault="004B2E7C">
        <w:pPr>
          <w:pStyle w:val="a5"/>
          <w:jc w:val="center"/>
          <w:rPr>
            <w:rtl/>
            <w:cs/>
          </w:rPr>
        </w:pPr>
        <w:r>
          <w:fldChar w:fldCharType="begin"/>
        </w:r>
        <w:r>
          <w:rPr>
            <w:rtl/>
            <w:cs/>
          </w:rPr>
          <w:instrText>PAGE   \* MERGEFORMAT</w:instrText>
        </w:r>
        <w:r>
          <w:fldChar w:fldCharType="separate"/>
        </w:r>
        <w:r w:rsidRPr="00A947D6">
          <w:rPr>
            <w:noProof/>
            <w:rtl/>
            <w:lang w:val="he-IL"/>
          </w:rPr>
          <w:t>158</w:t>
        </w:r>
        <w:r>
          <w:fldChar w:fldCharType="end"/>
        </w:r>
      </w:p>
    </w:sdtContent>
  </w:sdt>
  <w:p w14:paraId="40B3D3D1" w14:textId="77777777" w:rsidR="004B2E7C" w:rsidRDefault="004B2E7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7155582"/>
      <w:docPartObj>
        <w:docPartGallery w:val="Page Numbers (Bottom of Page)"/>
        <w:docPartUnique/>
      </w:docPartObj>
    </w:sdtPr>
    <w:sdtEndPr/>
    <w:sdtContent>
      <w:p w14:paraId="69D9C1C8" w14:textId="39460823" w:rsidR="00726F1A" w:rsidRDefault="00726F1A">
        <w:pPr>
          <w:pStyle w:val="a5"/>
          <w:jc w:val="center"/>
        </w:pPr>
        <w:r>
          <w:fldChar w:fldCharType="begin"/>
        </w:r>
        <w:r>
          <w:instrText>PAGE   \* MERGEFORMAT</w:instrText>
        </w:r>
        <w:r>
          <w:fldChar w:fldCharType="separate"/>
        </w:r>
        <w:r>
          <w:rPr>
            <w:rtl/>
            <w:lang w:val="he-IL"/>
          </w:rPr>
          <w:t>2</w:t>
        </w:r>
        <w:r>
          <w:fldChar w:fldCharType="end"/>
        </w:r>
      </w:p>
    </w:sdtContent>
  </w:sdt>
  <w:p w14:paraId="6A51FC59" w14:textId="77777777" w:rsidR="00726F1A" w:rsidRDefault="00726F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E862F" w14:textId="77777777" w:rsidR="00276F6C" w:rsidRDefault="00276F6C" w:rsidP="00F22D40">
      <w:pPr>
        <w:spacing w:after="0" w:line="240" w:lineRule="auto"/>
      </w:pPr>
      <w:r>
        <w:separator/>
      </w:r>
    </w:p>
  </w:footnote>
  <w:footnote w:type="continuationSeparator" w:id="0">
    <w:p w14:paraId="62D65FBF" w14:textId="77777777" w:rsidR="00276F6C" w:rsidRDefault="00276F6C" w:rsidP="00F22D40">
      <w:pPr>
        <w:spacing w:after="0" w:line="240" w:lineRule="auto"/>
      </w:pPr>
      <w:r>
        <w:continuationSeparator/>
      </w:r>
    </w:p>
  </w:footnote>
  <w:footnote w:type="continuationNotice" w:id="1">
    <w:p w14:paraId="61FA3E72" w14:textId="77777777" w:rsidR="00276F6C" w:rsidRDefault="00276F6C">
      <w:pPr>
        <w:spacing w:after="0" w:line="240" w:lineRule="auto"/>
      </w:pPr>
    </w:p>
  </w:footnote>
  <w:footnote w:id="2">
    <w:p w14:paraId="175E5F86" w14:textId="77777777" w:rsidR="00E9422A" w:rsidRDefault="00E9422A" w:rsidP="00E9422A">
      <w:pPr>
        <w:pStyle w:val="a7"/>
        <w:rPr>
          <w:rtl/>
        </w:rPr>
      </w:pPr>
      <w:r>
        <w:rPr>
          <w:rStyle w:val="a9"/>
        </w:rPr>
        <w:footnoteRef/>
      </w:r>
      <w:r>
        <w:rPr>
          <w:rtl/>
        </w:rPr>
        <w:t xml:space="preserve"> </w:t>
      </w:r>
      <w:r>
        <w:rPr>
          <w:rFonts w:hint="cs"/>
          <w:rtl/>
        </w:rPr>
        <w:t>אך קצרה, כיון שהכל כבר מלוקט ומסודר לפנינו.</w:t>
      </w:r>
    </w:p>
  </w:footnote>
  <w:footnote w:id="3">
    <w:p w14:paraId="1A836888" w14:textId="77777777" w:rsidR="00E9422A" w:rsidRDefault="00E9422A" w:rsidP="00E9422A">
      <w:pPr>
        <w:pStyle w:val="a7"/>
      </w:pPr>
      <w:r>
        <w:rPr>
          <w:rStyle w:val="a9"/>
        </w:rPr>
        <w:footnoteRef/>
      </w:r>
      <w:r>
        <w:rPr>
          <w:rtl/>
        </w:rPr>
        <w:t xml:space="preserve"> </w:t>
      </w:r>
      <w:r>
        <w:rPr>
          <w:rFonts w:hint="cs"/>
          <w:rtl/>
        </w:rPr>
        <w:t>בין להכנת שיעור, ובין כדי לענות על שאלה.</w:t>
      </w:r>
    </w:p>
  </w:footnote>
  <w:footnote w:id="4">
    <w:p w14:paraId="3E4DDC82" w14:textId="7983333C" w:rsidR="00E9422A" w:rsidRDefault="00E9422A" w:rsidP="00E9422A">
      <w:pPr>
        <w:pStyle w:val="a7"/>
        <w:rPr>
          <w:rtl/>
        </w:rPr>
      </w:pPr>
      <w:r>
        <w:rPr>
          <w:rStyle w:val="a9"/>
        </w:rPr>
        <w:footnoteRef/>
      </w:r>
      <w:r>
        <w:rPr>
          <w:rtl/>
        </w:rPr>
        <w:t xml:space="preserve"> </w:t>
      </w:r>
      <w:r>
        <w:rPr>
          <w:rFonts w:hint="cs"/>
          <w:rtl/>
        </w:rPr>
        <w:t xml:space="preserve">וזאת ע"י לימוד החלק העליון של הספר, ללא ההערות המובאות בתחתית העמוד. </w:t>
      </w:r>
    </w:p>
  </w:footnote>
  <w:footnote w:id="5">
    <w:p w14:paraId="4C113C6B" w14:textId="77777777" w:rsidR="00E9422A" w:rsidRDefault="00E9422A" w:rsidP="00E9422A">
      <w:pPr>
        <w:pStyle w:val="a7"/>
      </w:pPr>
      <w:r>
        <w:rPr>
          <w:rStyle w:val="a9"/>
        </w:rPr>
        <w:footnoteRef/>
      </w:r>
      <w:r>
        <w:rPr>
          <w:rtl/>
        </w:rPr>
        <w:t xml:space="preserve"> </w:t>
      </w:r>
      <w:r>
        <w:rPr>
          <w:rFonts w:hint="cs"/>
          <w:rtl/>
        </w:rPr>
        <w:t>למשל, כשהטור העתיק את לשון הרמב"ם - הבאתי את לשון הרמב"ם וציינתי שזו לשון הרמב"ם. וכמובן שאם יש הבדל מהותי בין הגירסאות - ציינתיו.</w:t>
      </w:r>
    </w:p>
  </w:footnote>
  <w:footnote w:id="6">
    <w:p w14:paraId="4C47C2DE" w14:textId="77777777" w:rsidR="00E9422A" w:rsidRDefault="00E9422A" w:rsidP="00E9422A">
      <w:pPr>
        <w:pStyle w:val="a7"/>
      </w:pPr>
      <w:r>
        <w:rPr>
          <w:rStyle w:val="a9"/>
        </w:rPr>
        <w:footnoteRef/>
      </w:r>
      <w:r>
        <w:rPr>
          <w:rtl/>
        </w:rPr>
        <w:t xml:space="preserve"> </w:t>
      </w:r>
      <w:r>
        <w:rPr>
          <w:rFonts w:hint="cs"/>
          <w:rtl/>
        </w:rPr>
        <w:t>תחת הכותרת העיקרית מובאת הדעה העיקרית, ובהערות מובאות שאר הלשונות.</w:t>
      </w:r>
    </w:p>
  </w:footnote>
  <w:footnote w:id="7">
    <w:p w14:paraId="32C00CF9" w14:textId="77777777" w:rsidR="004B2E7C" w:rsidRDefault="004B2E7C" w:rsidP="00285819">
      <w:pPr>
        <w:pStyle w:val="a7"/>
      </w:pPr>
      <w:r>
        <w:rPr>
          <w:rStyle w:val="a9"/>
        </w:rPr>
        <w:footnoteRef/>
      </w:r>
      <w:r>
        <w:rPr>
          <w:rtl/>
        </w:rPr>
        <w:t xml:space="preserve"> </w:t>
      </w:r>
      <w:r>
        <w:rPr>
          <w:rFonts w:cs="Arial"/>
          <w:rtl/>
        </w:rPr>
        <w:t>מדה כנגד מדה שכשם שהוא מפזר מעות בלא שיעור לצורך שבת כן יתנו לו נחלה בלא שיעור</w:t>
      </w:r>
      <w:r>
        <w:rPr>
          <w:rFonts w:cs="Arial" w:hint="cs"/>
          <w:rtl/>
        </w:rPr>
        <w:t>, מהר"י אבוהב (הביאו הב"י).</w:t>
      </w:r>
    </w:p>
  </w:footnote>
  <w:footnote w:id="8">
    <w:p w14:paraId="0CBE81E1" w14:textId="77777777" w:rsidR="004B2E7C" w:rsidRDefault="004B2E7C" w:rsidP="00285819">
      <w:pPr>
        <w:pStyle w:val="a7"/>
      </w:pPr>
      <w:r>
        <w:rPr>
          <w:rStyle w:val="a9"/>
        </w:rPr>
        <w:footnoteRef/>
      </w:r>
      <w:r>
        <w:rPr>
          <w:rtl/>
        </w:rPr>
        <w:t xml:space="preserve"> </w:t>
      </w:r>
      <w:r>
        <w:rPr>
          <w:rFonts w:cs="Arial"/>
          <w:rtl/>
        </w:rPr>
        <w:t>לפי שמקבל עליו עול שבת מעבירין ממנו עול מלכיות</w:t>
      </w:r>
      <w:r>
        <w:rPr>
          <w:rFonts w:cs="Arial" w:hint="cs"/>
          <w:rtl/>
        </w:rPr>
        <w:t>, מהר"י אבוהב (הביאו הב"י).</w:t>
      </w:r>
    </w:p>
  </w:footnote>
  <w:footnote w:id="9">
    <w:p w14:paraId="03894AEA" w14:textId="77777777" w:rsidR="004B2E7C" w:rsidRDefault="004B2E7C" w:rsidP="00285819">
      <w:pPr>
        <w:pStyle w:val="a7"/>
        <w:rPr>
          <w:rtl/>
        </w:rPr>
      </w:pPr>
      <w:r>
        <w:rPr>
          <w:rStyle w:val="a9"/>
        </w:rPr>
        <w:footnoteRef/>
      </w:r>
      <w:r>
        <w:rPr>
          <w:rtl/>
        </w:rPr>
        <w:t xml:space="preserve"> </w:t>
      </w:r>
      <w:r>
        <w:rPr>
          <w:rFonts w:cs="Arial"/>
          <w:rtl/>
        </w:rPr>
        <w:t>כדי שיוכל למלאת חפצו מכל עונג שירצה</w:t>
      </w:r>
      <w:r>
        <w:rPr>
          <w:rFonts w:hint="cs"/>
          <w:rtl/>
        </w:rPr>
        <w:t>,</w:t>
      </w:r>
      <w:r w:rsidRPr="002F4111">
        <w:rPr>
          <w:rFonts w:cs="Arial" w:hint="cs"/>
          <w:rtl/>
        </w:rPr>
        <w:t xml:space="preserve"> </w:t>
      </w:r>
      <w:r>
        <w:rPr>
          <w:rFonts w:cs="Arial" w:hint="cs"/>
          <w:rtl/>
        </w:rPr>
        <w:t>מהר"י אבוהב (הביאו הב"י).</w:t>
      </w:r>
    </w:p>
  </w:footnote>
  <w:footnote w:id="10">
    <w:p w14:paraId="450BB2FF" w14:textId="77777777" w:rsidR="004B2E7C" w:rsidRDefault="004B2E7C" w:rsidP="00285819">
      <w:pPr>
        <w:pStyle w:val="a7"/>
        <w:rPr>
          <w:rtl/>
        </w:rPr>
      </w:pPr>
      <w:r>
        <w:rPr>
          <w:rStyle w:val="a9"/>
        </w:rPr>
        <w:footnoteRef/>
      </w:r>
      <w:r>
        <w:rPr>
          <w:rtl/>
        </w:rPr>
        <w:t xml:space="preserve"> </w:t>
      </w:r>
      <w:r>
        <w:rPr>
          <w:rFonts w:cs="Arial"/>
          <w:rtl/>
        </w:rPr>
        <w:t>מפני ששבת שקולה כנגד כל המצות (ירושלמי נדרים סוף פ"ג) שהיא מורה השגחה וחידוש העולם ותורה מן השמים וכיון שהוא שומר שבת ודאי הע"ז שעובד אינו מפני שמאמין בה ולכן יש לו תוחלת מחילה ע"י תשובה משא"כ בעובד ע"ז לפי שעולה בדעתו שיש בה ממש שהוא רחוק לשוב בתשובה כנ"ל</w:t>
      </w:r>
      <w:r>
        <w:rPr>
          <w:rFonts w:hint="cs"/>
          <w:rtl/>
        </w:rPr>
        <w:t>, ב"י.</w:t>
      </w:r>
    </w:p>
  </w:footnote>
  <w:footnote w:id="11">
    <w:p w14:paraId="6CDEBF1E" w14:textId="77777777" w:rsidR="004B2E7C" w:rsidRDefault="004B2E7C" w:rsidP="00285819">
      <w:pPr>
        <w:pStyle w:val="a7"/>
        <w:rPr>
          <w:rtl/>
        </w:rPr>
      </w:pPr>
      <w:r>
        <w:rPr>
          <w:rStyle w:val="a9"/>
        </w:rPr>
        <w:footnoteRef/>
      </w:r>
      <w:r>
        <w:rPr>
          <w:rtl/>
        </w:rPr>
        <w:t xml:space="preserve"> </w:t>
      </w:r>
      <w:r>
        <w:rPr>
          <w:rFonts w:cs="Arial"/>
          <w:rtl/>
        </w:rPr>
        <w:t>וכתב מהר"י אבוהב שאם עמלק לא היה נלחם בישראל לא היה שום עם ולשון נלחם בהם לפי שהיו יראים מן הניסים שעשה להם במצרים ובים אבל מאחר שבא עמלק אע</w:t>
      </w:r>
      <w:r>
        <w:rPr>
          <w:rFonts w:cs="Arial" w:hint="cs"/>
          <w:rtl/>
        </w:rPr>
        <w:t>"</w:t>
      </w:r>
      <w:r>
        <w:rPr>
          <w:rFonts w:cs="Arial"/>
          <w:rtl/>
        </w:rPr>
        <w:t>פ ששב עמלו בראשו עם כל זה נתן יד לפושעים לבוא להלחם עם ישראל</w:t>
      </w:r>
      <w:r>
        <w:rPr>
          <w:rFonts w:hint="cs"/>
          <w:rtl/>
        </w:rPr>
        <w:t>, ב"י.</w:t>
      </w:r>
    </w:p>
  </w:footnote>
  <w:footnote w:id="12">
    <w:p w14:paraId="3856E3FA" w14:textId="77777777" w:rsidR="004B2E7C" w:rsidRDefault="004B2E7C" w:rsidP="00285819">
      <w:pPr>
        <w:pStyle w:val="a7"/>
      </w:pPr>
      <w:r>
        <w:rPr>
          <w:rStyle w:val="a9"/>
        </w:rPr>
        <w:footnoteRef/>
      </w:r>
      <w:r>
        <w:rPr>
          <w:rtl/>
        </w:rPr>
        <w:t xml:space="preserve"> </w:t>
      </w:r>
      <w:r w:rsidRPr="008F0E1B">
        <w:rPr>
          <w:rFonts w:cs="Arial"/>
          <w:rtl/>
        </w:rPr>
        <w:t>התחזק במצוה יותר משיכולת בידך</w:t>
      </w:r>
      <w:r>
        <w:rPr>
          <w:rFonts w:cs="Arial" w:hint="cs"/>
          <w:rtl/>
        </w:rPr>
        <w:t>, רש"י.</w:t>
      </w:r>
    </w:p>
  </w:footnote>
  <w:footnote w:id="13">
    <w:p w14:paraId="7874ADE2" w14:textId="77777777" w:rsidR="004B2E7C" w:rsidRPr="0095772C" w:rsidRDefault="004B2E7C" w:rsidP="00285819">
      <w:pPr>
        <w:pStyle w:val="a7"/>
        <w:rPr>
          <w:rFonts w:cs="Arial"/>
        </w:rPr>
      </w:pPr>
      <w:r>
        <w:rPr>
          <w:rStyle w:val="a9"/>
        </w:rPr>
        <w:footnoteRef/>
      </w:r>
      <w:r w:rsidRPr="00A95FA2">
        <w:rPr>
          <w:rFonts w:cs="Arial"/>
          <w:rtl/>
        </w:rPr>
        <w:t xml:space="preserve"> ובאור זרוע (הלכות ראש חודש סוף סימן תנג) כתב דמוסיף בירושלמי (עי' ויק"ר ל א) אף הוצאות ראש חודש</w:t>
      </w:r>
      <w:r>
        <w:rPr>
          <w:rFonts w:cs="Arial" w:hint="cs"/>
          <w:rtl/>
        </w:rPr>
        <w:t>.</w:t>
      </w:r>
      <w:r w:rsidRPr="00A95FA2">
        <w:rPr>
          <w:rFonts w:cs="Arial"/>
          <w:rtl/>
        </w:rPr>
        <w:t xml:space="preserve"> וכן הוא בפסיקתא (דרב כהנא פיסקא כח (ולקחתם לכם) ד"ה תני) וכן הוא לקמן סימן תי"ט</w:t>
      </w:r>
      <w:r>
        <w:rPr>
          <w:rFonts w:cs="Arial" w:hint="cs"/>
          <w:rtl/>
        </w:rPr>
        <w:t>, דרכ"מ (אות ב).</w:t>
      </w:r>
    </w:p>
  </w:footnote>
  <w:footnote w:id="14">
    <w:p w14:paraId="2F3F9C8E" w14:textId="77777777" w:rsidR="004B2E7C" w:rsidRDefault="004B2E7C" w:rsidP="00285819">
      <w:pPr>
        <w:pStyle w:val="a7"/>
      </w:pPr>
      <w:r>
        <w:rPr>
          <w:rStyle w:val="a9"/>
        </w:rPr>
        <w:footnoteRef/>
      </w:r>
      <w:r>
        <w:rPr>
          <w:rtl/>
        </w:rPr>
        <w:t xml:space="preserve"> </w:t>
      </w:r>
      <w:r w:rsidRPr="00C80181">
        <w:rPr>
          <w:rFonts w:cs="Arial"/>
          <w:rtl/>
        </w:rPr>
        <w:t>ולא יפחות משני תבשילין (זוהר בראשי' עמוד ק"ל) ובתיקוני שבת שיאכל בכל סעודה מג' סעודות דגים ע"ש ונ"ל דכל א' לפי טבעו כמ"ש סי' רפ"ח ס"ד</w:t>
      </w:r>
      <w:r>
        <w:rPr>
          <w:rFonts w:cs="Arial" w:hint="cs"/>
          <w:rtl/>
        </w:rPr>
        <w:t>..., מג"א (סק"א).</w:t>
      </w:r>
    </w:p>
  </w:footnote>
  <w:footnote w:id="15">
    <w:p w14:paraId="3665CB54" w14:textId="77777777" w:rsidR="004B2E7C" w:rsidRDefault="004B2E7C" w:rsidP="00285819">
      <w:pPr>
        <w:pStyle w:val="a7"/>
      </w:pPr>
      <w:r>
        <w:rPr>
          <w:rStyle w:val="a9"/>
        </w:rPr>
        <w:footnoteRef/>
      </w:r>
      <w:r>
        <w:rPr>
          <w:rtl/>
        </w:rPr>
        <w:t xml:space="preserve"> </w:t>
      </w:r>
      <w:r w:rsidRPr="00EF657F">
        <w:rPr>
          <w:rFonts w:cs="Arial"/>
          <w:rtl/>
        </w:rPr>
        <w:t xml:space="preserve">היינו מלבד שהלישה והאפיה הוא מכלל כבוד שבת ויו"ט כמו שמסיים לבסוף עוד יש בזה טעם כדי לקיים מצות חלה לפי שאיבדה את אדה"ר שהיה חלתו של עולם </w:t>
      </w:r>
      <w:r>
        <w:rPr>
          <w:rFonts w:cs="Arial" w:hint="cs"/>
          <w:rtl/>
        </w:rPr>
        <w:t>(</w:t>
      </w:r>
      <w:r w:rsidRPr="00C80181">
        <w:rPr>
          <w:rFonts w:cs="Arial"/>
          <w:rtl/>
        </w:rPr>
        <w:t>ירושלמי שב</w:t>
      </w:r>
      <w:r>
        <w:rPr>
          <w:rFonts w:cs="Arial" w:hint="cs"/>
          <w:rtl/>
        </w:rPr>
        <w:t>ת</w:t>
      </w:r>
      <w:r w:rsidRPr="00C80181">
        <w:rPr>
          <w:rFonts w:cs="Arial"/>
          <w:rtl/>
        </w:rPr>
        <w:t xml:space="preserve"> בפ"ב </w:t>
      </w:r>
      <w:r>
        <w:rPr>
          <w:rFonts w:cs="Arial" w:hint="cs"/>
          <w:rtl/>
        </w:rPr>
        <w:t>ה</w:t>
      </w:r>
      <w:r w:rsidRPr="00C80181">
        <w:rPr>
          <w:rFonts w:cs="Arial"/>
          <w:rtl/>
        </w:rPr>
        <w:t>ל</w:t>
      </w:r>
      <w:r>
        <w:rPr>
          <w:rFonts w:cs="Arial" w:hint="cs"/>
          <w:rtl/>
        </w:rPr>
        <w:t>"</w:t>
      </w:r>
      <w:r w:rsidRPr="00C80181">
        <w:rPr>
          <w:rFonts w:cs="Arial"/>
          <w:rtl/>
        </w:rPr>
        <w:t>ב)</w:t>
      </w:r>
      <w:r>
        <w:rPr>
          <w:rFonts w:cs="Arial" w:hint="cs"/>
          <w:rtl/>
        </w:rPr>
        <w:t xml:space="preserve"> </w:t>
      </w:r>
      <w:r w:rsidRPr="00EF657F">
        <w:rPr>
          <w:rFonts w:cs="Arial"/>
          <w:rtl/>
        </w:rPr>
        <w:t>שנברא בע"ש</w:t>
      </w:r>
      <w:r>
        <w:rPr>
          <w:rFonts w:cs="Arial" w:hint="cs"/>
          <w:rtl/>
        </w:rPr>
        <w:t>..., משנ"ב (סק"ו).</w:t>
      </w:r>
    </w:p>
  </w:footnote>
  <w:footnote w:id="16">
    <w:p w14:paraId="7A3623E3" w14:textId="77777777" w:rsidR="004B2E7C" w:rsidRDefault="004B2E7C" w:rsidP="00285819">
      <w:pPr>
        <w:pStyle w:val="a7"/>
      </w:pPr>
      <w:r>
        <w:rPr>
          <w:rStyle w:val="a9"/>
        </w:rPr>
        <w:footnoteRef/>
      </w:r>
      <w:r>
        <w:rPr>
          <w:rtl/>
        </w:rPr>
        <w:t xml:space="preserve"> </w:t>
      </w:r>
      <w:r w:rsidRPr="00630E80">
        <w:rPr>
          <w:rFonts w:cs="Arial"/>
          <w:rtl/>
        </w:rPr>
        <w:t>להשכיר היכא דליכא למיחש לחניית קרקע כגון בח"ל ואע</w:t>
      </w:r>
      <w:r>
        <w:rPr>
          <w:rFonts w:cs="Arial" w:hint="cs"/>
          <w:rtl/>
        </w:rPr>
        <w:t>"</w:t>
      </w:r>
      <w:r w:rsidRPr="00630E80">
        <w:rPr>
          <w:rFonts w:cs="Arial"/>
          <w:rtl/>
        </w:rPr>
        <w:t xml:space="preserve">פ שנקראת על שמו לא חשדי ליה דליהוי </w:t>
      </w:r>
      <w:r>
        <w:rPr>
          <w:rFonts w:cs="Arial"/>
          <w:rtl/>
        </w:rPr>
        <w:t>גוי</w:t>
      </w:r>
      <w:r w:rsidRPr="00630E80">
        <w:rPr>
          <w:rFonts w:cs="Arial"/>
          <w:rtl/>
        </w:rPr>
        <w:t xml:space="preserve"> שלוחו אלא אמרי אריסא הוא וקיבלה עליו למחצה לשליש ולרביע ועליו מוטל לעשות</w:t>
      </w:r>
      <w:r>
        <w:rPr>
          <w:rFonts w:cs="Arial" w:hint="cs"/>
          <w:rtl/>
        </w:rPr>
        <w:t>, רש"י.</w:t>
      </w:r>
    </w:p>
  </w:footnote>
  <w:footnote w:id="17">
    <w:p w14:paraId="0A0BBB85" w14:textId="77777777" w:rsidR="004B2E7C" w:rsidRDefault="004B2E7C" w:rsidP="00285819">
      <w:pPr>
        <w:pStyle w:val="a7"/>
        <w:rPr>
          <w:rtl/>
        </w:rPr>
      </w:pPr>
      <w:r>
        <w:rPr>
          <w:rStyle w:val="a9"/>
        </w:rPr>
        <w:footnoteRef/>
      </w:r>
      <w:r>
        <w:rPr>
          <w:rtl/>
        </w:rPr>
        <w:t xml:space="preserve"> </w:t>
      </w:r>
      <w:r w:rsidRPr="008A5815">
        <w:rPr>
          <w:rFonts w:cs="Arial"/>
          <w:rtl/>
        </w:rPr>
        <w:t>כלומר אבל מרחץ כיון דלאו לאריסותא עביד אמרי שכל הריוח לישראל ושכר את הגוי בכך וכך ליום ונמצא הגוי עושה מלאכה בשליחותו של ישראל</w:t>
      </w:r>
      <w:r>
        <w:rPr>
          <w:rFonts w:cs="Arial" w:hint="cs"/>
          <w:rtl/>
        </w:rPr>
        <w:t>, ב"י.</w:t>
      </w:r>
    </w:p>
  </w:footnote>
  <w:footnote w:id="18">
    <w:p w14:paraId="7F25A11F" w14:textId="77777777" w:rsidR="004B2E7C" w:rsidRDefault="004B2E7C" w:rsidP="00285819">
      <w:pPr>
        <w:pStyle w:val="a7"/>
        <w:rPr>
          <w:rtl/>
        </w:rPr>
      </w:pPr>
      <w:r>
        <w:rPr>
          <w:rStyle w:val="a9"/>
        </w:rPr>
        <w:footnoteRef/>
      </w:r>
      <w:r>
        <w:rPr>
          <w:rtl/>
        </w:rPr>
        <w:t xml:space="preserve"> </w:t>
      </w:r>
      <w:r>
        <w:rPr>
          <w:rFonts w:cs="Arial"/>
          <w:rtl/>
        </w:rPr>
        <w:t xml:space="preserve">וכתב הר"ן (ע"ז ו: ד"ה ומהא, שבת מו: ד"ה ומהא) ומהא שמעינן דכיון שיש לגוי חלק בפירות השדה אף על פי שישראל נהנה ממלאכת שבת </w:t>
      </w:r>
      <w:r>
        <w:rPr>
          <w:rFonts w:cs="Arial" w:hint="cs"/>
          <w:rtl/>
        </w:rPr>
        <w:t xml:space="preserve">- </w:t>
      </w:r>
      <w:r>
        <w:rPr>
          <w:rFonts w:cs="Arial"/>
          <w:rtl/>
        </w:rPr>
        <w:t>מותר</w:t>
      </w:r>
      <w:r>
        <w:rPr>
          <w:rFonts w:cs="Arial" w:hint="cs"/>
          <w:rtl/>
        </w:rPr>
        <w:t>,</w:t>
      </w:r>
      <w:r>
        <w:rPr>
          <w:rFonts w:cs="Arial"/>
          <w:rtl/>
        </w:rPr>
        <w:t xml:space="preserve"> דכיון דכולה מלאכה רמיא עליה דגוי</w:t>
      </w:r>
      <w:r>
        <w:rPr>
          <w:rFonts w:cs="Arial" w:hint="cs"/>
          <w:rtl/>
        </w:rPr>
        <w:t>,</w:t>
      </w:r>
      <w:r>
        <w:rPr>
          <w:rFonts w:cs="Arial"/>
          <w:rtl/>
        </w:rPr>
        <w:t xml:space="preserve"> כי קא עביד גוי אדעתא דנפשיה עביד והנאת ישראל ממילא אתיא הילכך שרי</w:t>
      </w:r>
      <w:r>
        <w:rPr>
          <w:rFonts w:cs="Arial" w:hint="cs"/>
          <w:rtl/>
        </w:rPr>
        <w:t>.</w:t>
      </w:r>
      <w:r>
        <w:rPr>
          <w:rFonts w:cs="Arial"/>
          <w:rtl/>
        </w:rPr>
        <w:t xml:space="preserve"> וכ"ש שמותר להשכיר שדהו לגוי</w:t>
      </w:r>
      <w:r>
        <w:rPr>
          <w:rFonts w:cs="Arial" w:hint="cs"/>
          <w:rtl/>
        </w:rPr>
        <w:t>,</w:t>
      </w:r>
      <w:r>
        <w:rPr>
          <w:rFonts w:cs="Arial"/>
          <w:rtl/>
        </w:rPr>
        <w:t xml:space="preserve"> כגון שהגוי שוכרו בסך ידוע</w:t>
      </w:r>
      <w:r>
        <w:rPr>
          <w:rFonts w:cs="Arial" w:hint="cs"/>
          <w:rtl/>
        </w:rPr>
        <w:t>,</w:t>
      </w:r>
      <w:r>
        <w:rPr>
          <w:rFonts w:cs="Arial"/>
          <w:rtl/>
        </w:rPr>
        <w:t xml:space="preserve"> דבכהאי גוונא גוי כי קא עביד בדנפשיה קא עביד</w:t>
      </w:r>
      <w:r>
        <w:rPr>
          <w:rFonts w:cs="Arial" w:hint="cs"/>
          <w:rtl/>
        </w:rPr>
        <w:t>,</w:t>
      </w:r>
      <w:r>
        <w:rPr>
          <w:rFonts w:cs="Arial"/>
          <w:rtl/>
        </w:rPr>
        <w:t xml:space="preserve"> וישראל לא מתהני כלל</w:t>
      </w:r>
      <w:r>
        <w:rPr>
          <w:rFonts w:cs="Arial" w:hint="cs"/>
          <w:rtl/>
        </w:rPr>
        <w:t>.</w:t>
      </w:r>
      <w:r>
        <w:rPr>
          <w:rFonts w:cs="Arial"/>
          <w:rtl/>
        </w:rPr>
        <w:t xml:space="preserve"> וכן דעת הרמב"ם בפ"ו (שם) וכן דעת הרא"ש בספ"ק דעבודה זרה (סי' כה) שהתיר להשכיר תנור ומרחץ והזכירו רבינו בסמוך</w:t>
      </w:r>
      <w:r>
        <w:rPr>
          <w:rFonts w:hint="cs"/>
          <w:rtl/>
        </w:rPr>
        <w:t>, ב"י.</w:t>
      </w:r>
    </w:p>
  </w:footnote>
  <w:footnote w:id="19">
    <w:p w14:paraId="61A33139" w14:textId="77777777" w:rsidR="004B2E7C" w:rsidRDefault="004B2E7C" w:rsidP="00285819">
      <w:pPr>
        <w:pStyle w:val="a7"/>
        <w:rPr>
          <w:rtl/>
        </w:rPr>
      </w:pPr>
      <w:r>
        <w:rPr>
          <w:rStyle w:val="a9"/>
        </w:rPr>
        <w:footnoteRef/>
      </w:r>
      <w:r>
        <w:rPr>
          <w:rtl/>
        </w:rPr>
        <w:t xml:space="preserve"> </w:t>
      </w:r>
      <w:r>
        <w:rPr>
          <w:rFonts w:cs="Arial"/>
          <w:rtl/>
        </w:rPr>
        <w:t xml:space="preserve">פירוש דברי רבינו האי נראה דהיינו לומר שאם השכירו שנה אחר שנה ונתפרסם הדבר ע"י כך שאין דרכו לשכור פועלים אלא להשכיר התנור הנה דין תנור זה כדין שדה ושרי ועל פי זה כתב הרא"ש (שם) בכל גבולינו שנתברר ונתפרסם שמי שיש לו מרחץ או תנור אינו שוכר פועלים אלא משכירו לאחר חזר להיות כשדה ושרי. </w:t>
      </w:r>
      <w:r w:rsidRPr="000302A8">
        <w:rPr>
          <w:rFonts w:cs="Arial" w:hint="cs"/>
          <w:color w:val="E36C0A" w:themeColor="accent6" w:themeShade="BF"/>
          <w:rtl/>
        </w:rPr>
        <w:t>(וכ"פ בשו"ע)</w:t>
      </w:r>
      <w:r>
        <w:rPr>
          <w:rFonts w:cs="Arial" w:hint="cs"/>
          <w:rtl/>
        </w:rPr>
        <w:t xml:space="preserve">. </w:t>
      </w:r>
      <w:r>
        <w:rPr>
          <w:rFonts w:cs="Arial"/>
          <w:rtl/>
        </w:rPr>
        <w:t>אבל הגאון מהר"י אבוהב ז"ל פירש דברי רבינו האי שהשכירו לשנים מרובות כלומר לשלש או לארבע שנים שכיון שהשכירו לכל כך שנים דמי למכר ואית ליה קלא ותו ליכא למיחש למראית העין</w:t>
      </w:r>
      <w:r>
        <w:rPr>
          <w:rFonts w:cs="Arial" w:hint="cs"/>
          <w:rtl/>
        </w:rPr>
        <w:t>,</w:t>
      </w:r>
      <w:r>
        <w:rPr>
          <w:rFonts w:cs="Arial"/>
          <w:rtl/>
        </w:rPr>
        <w:t xml:space="preserve"> ונראה מדבריו שהיה גורס </w:t>
      </w:r>
      <w:r>
        <w:rPr>
          <w:rFonts w:cs="Arial" w:hint="cs"/>
          <w:rtl/>
        </w:rPr>
        <w:t>'</w:t>
      </w:r>
      <w:r>
        <w:rPr>
          <w:rFonts w:cs="Arial"/>
          <w:rtl/>
        </w:rPr>
        <w:t>אם השכירו לשנים הרבה</w:t>
      </w:r>
      <w:r>
        <w:rPr>
          <w:rFonts w:cs="Arial" w:hint="cs"/>
          <w:rtl/>
        </w:rPr>
        <w:t>'.</w:t>
      </w:r>
      <w:r>
        <w:rPr>
          <w:rFonts w:cs="Arial"/>
          <w:rtl/>
        </w:rPr>
        <w:t xml:space="preserve"> ודברי ר</w:t>
      </w:r>
      <w:r>
        <w:rPr>
          <w:rFonts w:cs="Arial" w:hint="cs"/>
          <w:rtl/>
        </w:rPr>
        <w:t>י"ו</w:t>
      </w:r>
      <w:r>
        <w:rPr>
          <w:rFonts w:cs="Arial"/>
          <w:rtl/>
        </w:rPr>
        <w:t xml:space="preserve"> בחי"ב (ני"ב פב:) הם כמו שפירשתי</w:t>
      </w:r>
      <w:r>
        <w:rPr>
          <w:rFonts w:hint="cs"/>
          <w:rtl/>
        </w:rPr>
        <w:t>, ב"י.</w:t>
      </w:r>
    </w:p>
  </w:footnote>
  <w:footnote w:id="20">
    <w:p w14:paraId="4CA4476D" w14:textId="77777777" w:rsidR="004B2E7C" w:rsidRDefault="004B2E7C" w:rsidP="00285819">
      <w:pPr>
        <w:pStyle w:val="a7"/>
      </w:pPr>
      <w:r>
        <w:rPr>
          <w:rStyle w:val="a9"/>
        </w:rPr>
        <w:footnoteRef/>
      </w:r>
      <w:r>
        <w:rPr>
          <w:rtl/>
        </w:rPr>
        <w:t xml:space="preserve"> </w:t>
      </w:r>
      <w:r>
        <w:rPr>
          <w:rFonts w:cs="Arial"/>
          <w:rtl/>
        </w:rPr>
        <w:t xml:space="preserve">מה שכתוב בספרי רבינו </w:t>
      </w:r>
      <w:r>
        <w:rPr>
          <w:rFonts w:cs="Arial" w:hint="cs"/>
          <w:rtl/>
        </w:rPr>
        <w:t>'</w:t>
      </w:r>
      <w:r>
        <w:rPr>
          <w:rFonts w:cs="Arial"/>
          <w:rtl/>
        </w:rPr>
        <w:t>הלכך מותר בקבלנות</w:t>
      </w:r>
      <w:r>
        <w:rPr>
          <w:rFonts w:cs="Arial" w:hint="cs"/>
          <w:rtl/>
        </w:rPr>
        <w:t>',</w:t>
      </w:r>
      <w:r>
        <w:rPr>
          <w:rFonts w:cs="Arial"/>
          <w:rtl/>
        </w:rPr>
        <w:t xml:space="preserve"> צריך להגיה </w:t>
      </w:r>
      <w:r>
        <w:rPr>
          <w:rFonts w:cs="Arial" w:hint="cs"/>
          <w:rtl/>
        </w:rPr>
        <w:t>'</w:t>
      </w:r>
      <w:r>
        <w:rPr>
          <w:rFonts w:cs="Arial"/>
          <w:rtl/>
        </w:rPr>
        <w:t>בהבלעה</w:t>
      </w:r>
      <w:r>
        <w:rPr>
          <w:rFonts w:cs="Arial" w:hint="cs"/>
          <w:rtl/>
        </w:rPr>
        <w:t>'</w:t>
      </w:r>
      <w:r>
        <w:rPr>
          <w:rFonts w:cs="Arial"/>
          <w:rtl/>
        </w:rPr>
        <w:t xml:space="preserve"> במקום </w:t>
      </w:r>
      <w:r>
        <w:rPr>
          <w:rFonts w:cs="Arial" w:hint="cs"/>
          <w:rtl/>
        </w:rPr>
        <w:t>'</w:t>
      </w:r>
      <w:r>
        <w:rPr>
          <w:rFonts w:cs="Arial"/>
          <w:rtl/>
        </w:rPr>
        <w:t>בקבלנות</w:t>
      </w:r>
      <w:r>
        <w:rPr>
          <w:rFonts w:cs="Arial" w:hint="cs"/>
          <w:rtl/>
        </w:rPr>
        <w:t>'</w:t>
      </w:r>
      <w:r>
        <w:rPr>
          <w:rFonts w:cs="Arial"/>
          <w:rtl/>
        </w:rPr>
        <w:t xml:space="preserve"> שכן הוא בפסקי הרא"ש (שם) ובדברי ר</w:t>
      </w:r>
      <w:r>
        <w:rPr>
          <w:rFonts w:cs="Arial" w:hint="cs"/>
          <w:rtl/>
        </w:rPr>
        <w:t>י"ו</w:t>
      </w:r>
      <w:r>
        <w:rPr>
          <w:rFonts w:cs="Arial"/>
          <w:rtl/>
        </w:rPr>
        <w:t xml:space="preserve"> בחי"ב (שם). ומיהו אפשר דאדרבה בפסקים צריך להגיה בקבלנות במקום בהבלעה</w:t>
      </w:r>
      <w:r>
        <w:rPr>
          <w:rFonts w:cs="Arial" w:hint="cs"/>
          <w:rtl/>
        </w:rPr>
        <w:t>,</w:t>
      </w:r>
      <w:r>
        <w:rPr>
          <w:rFonts w:cs="Arial"/>
          <w:rtl/>
        </w:rPr>
        <w:t xml:space="preserve"> והכי קאמר</w:t>
      </w:r>
      <w:r>
        <w:rPr>
          <w:rFonts w:cs="Arial" w:hint="cs"/>
          <w:rtl/>
        </w:rPr>
        <w:t>-</w:t>
      </w:r>
      <w:r>
        <w:rPr>
          <w:rFonts w:cs="Arial"/>
          <w:rtl/>
        </w:rPr>
        <w:t xml:space="preserve"> כיון דאין דרך לשכור להם פועלים אלא משכירו לאחר בדבר ידוע לשנה או לחודש אין המלאכה נקראת על שם ישראל הילכך מותר להשכיר גוי בדבר ידוע לחודש כדי שיקבל עליו כל מלאכה הצריכה והישראל יטול כל הריוח</w:t>
      </w:r>
      <w:r>
        <w:rPr>
          <w:rFonts w:cs="Arial" w:hint="cs"/>
          <w:rtl/>
        </w:rPr>
        <w:t>,</w:t>
      </w:r>
      <w:r>
        <w:rPr>
          <w:rFonts w:cs="Arial"/>
          <w:rtl/>
        </w:rPr>
        <w:t xml:space="preserve"> דגוי בדידיה קא טרח ומש"ה שרי מדינא</w:t>
      </w:r>
      <w:r>
        <w:rPr>
          <w:rFonts w:cs="Arial" w:hint="cs"/>
          <w:rtl/>
        </w:rPr>
        <w:t>,</w:t>
      </w:r>
      <w:r>
        <w:rPr>
          <w:rFonts w:cs="Arial"/>
          <w:rtl/>
        </w:rPr>
        <w:t xml:space="preserve"> וגם משום מראית העין ליכא כיון שאין המלאכה נקראת על שם ישראל. אבל דעת הגאון מהר"י אבוהב ז"ל שאי אפשר לומר כן משום דאפילו לדברי המתירין (בסי' רמד) בשוכר גוי בדבר ידוע לעשות מלאכת קרקעות הני מילי בשדה משום שאף על פי שלא יעשה מלאכה בשבת ישלים ביום אחר אבל במרחץ או תנור שאם לא עשה מלאכה בשבת הפסיד ישראל ריוח אותו היום נמצא ישראל נהנה ממלאכת שבת ואסור. ואף על פי שאפשר לדחות טעם זה מכל מקום הדעת נוטה שלא לגרוס בקבלנות כי היכי דלא נשוייה להרא"ש חולק על רוב הפוסקים שאוסרים בזה כמו שאכתוב בסימן שאחר זה (ג. ד"ה ומכלל דברי) בס"ד ודברי ר</w:t>
      </w:r>
      <w:r>
        <w:rPr>
          <w:rFonts w:cs="Arial" w:hint="cs"/>
          <w:rtl/>
        </w:rPr>
        <w:t>י"ו</w:t>
      </w:r>
      <w:r>
        <w:rPr>
          <w:rFonts w:cs="Arial"/>
          <w:rtl/>
        </w:rPr>
        <w:t xml:space="preserve"> יכריעו</w:t>
      </w:r>
      <w:r>
        <w:rPr>
          <w:rFonts w:cs="Arial" w:hint="cs"/>
          <w:rtl/>
        </w:rPr>
        <w:t>, ב"י.</w:t>
      </w:r>
      <w:r>
        <w:rPr>
          <w:rFonts w:hint="cs"/>
          <w:rtl/>
        </w:rPr>
        <w:t xml:space="preserve"> </w:t>
      </w:r>
    </w:p>
  </w:footnote>
  <w:footnote w:id="21">
    <w:p w14:paraId="5554F3C4" w14:textId="77777777" w:rsidR="004B2E7C" w:rsidRDefault="004B2E7C" w:rsidP="00285819">
      <w:pPr>
        <w:pStyle w:val="a7"/>
      </w:pPr>
      <w:r>
        <w:rPr>
          <w:rStyle w:val="a9"/>
        </w:rPr>
        <w:footnoteRef/>
      </w:r>
      <w:r>
        <w:rPr>
          <w:rtl/>
        </w:rPr>
        <w:t xml:space="preserve"> </w:t>
      </w:r>
      <w:r>
        <w:rPr>
          <w:rFonts w:cs="Arial"/>
          <w:rtl/>
        </w:rPr>
        <w:t xml:space="preserve">אי גרסינן </w:t>
      </w:r>
      <w:r>
        <w:rPr>
          <w:rFonts w:cs="Arial" w:hint="cs"/>
          <w:rtl/>
        </w:rPr>
        <w:t>'</w:t>
      </w:r>
      <w:r>
        <w:rPr>
          <w:rFonts w:cs="Arial"/>
          <w:rtl/>
        </w:rPr>
        <w:t>בהבלעה</w:t>
      </w:r>
      <w:r>
        <w:rPr>
          <w:rFonts w:cs="Arial" w:hint="cs"/>
          <w:rtl/>
        </w:rPr>
        <w:t>'</w:t>
      </w:r>
      <w:r>
        <w:rPr>
          <w:rFonts w:cs="Arial"/>
          <w:rtl/>
        </w:rPr>
        <w:t xml:space="preserve"> הכי פירושו</w:t>
      </w:r>
      <w:r>
        <w:rPr>
          <w:rFonts w:cs="Arial" w:hint="cs"/>
          <w:rtl/>
        </w:rPr>
        <w:t xml:space="preserve">- </w:t>
      </w:r>
      <w:r>
        <w:rPr>
          <w:rFonts w:cs="Arial"/>
          <w:rtl/>
        </w:rPr>
        <w:t xml:space="preserve">מותר להשכיר המרחץ או התנור לחודש או לשנה לגוי דמדינא שרי כיון שאינו נוטל שכר שבת אלא בהבלעה ולמראית העין ליכא למיחש מאחר שדרך המקום להשכירם לאחרים אבל אם משכיר בדבר ידוע ליום אסור מדינא ליטול שכר שבת ויום טוב להדיא ולמד כן מברייתא דהשוכר את הפועל דפרק הזהב (בבא מציעא נח.) שכתב רבינו בסימן ש"ו (ס:), ואי גרסינן בקבלנות הכי פירושו מותר לשכור גוי לחודש או לשנה לעשות מלאכת המרחץ או התנור אבל אם שוכרו בדבר ידוע לכל יום אסור דהיינו ההיא דהשוכר את הפועל, אך לשון </w:t>
      </w:r>
      <w:r>
        <w:rPr>
          <w:rFonts w:cs="Arial" w:hint="cs"/>
          <w:rtl/>
        </w:rPr>
        <w:t>'</w:t>
      </w:r>
      <w:r>
        <w:rPr>
          <w:rFonts w:cs="Arial"/>
          <w:rtl/>
        </w:rPr>
        <w:t>משכירו</w:t>
      </w:r>
      <w:r>
        <w:rPr>
          <w:rFonts w:cs="Arial" w:hint="cs"/>
          <w:rtl/>
        </w:rPr>
        <w:t>'</w:t>
      </w:r>
      <w:r>
        <w:rPr>
          <w:rFonts w:cs="Arial"/>
          <w:rtl/>
        </w:rPr>
        <w:t xml:space="preserve"> קשה על זה דאם כן הוה ליה לכתוב </w:t>
      </w:r>
      <w:r>
        <w:rPr>
          <w:rFonts w:cs="Arial" w:hint="cs"/>
          <w:rtl/>
        </w:rPr>
        <w:t>'</w:t>
      </w:r>
      <w:r>
        <w:rPr>
          <w:rFonts w:cs="Arial"/>
          <w:rtl/>
        </w:rPr>
        <w:t>אבל אם היה שוכרו</w:t>
      </w:r>
      <w:r>
        <w:rPr>
          <w:rFonts w:cs="Arial" w:hint="cs"/>
          <w:rtl/>
        </w:rPr>
        <w:t>',</w:t>
      </w:r>
      <w:r>
        <w:rPr>
          <w:rFonts w:cs="Arial"/>
          <w:rtl/>
        </w:rPr>
        <w:t xml:space="preserve"> וזה הוכחה על גירסת בהבלעה דלההיא גירסא אתי שפיר משכירו</w:t>
      </w:r>
      <w:r>
        <w:rPr>
          <w:rFonts w:cs="Arial" w:hint="cs"/>
          <w:rtl/>
        </w:rPr>
        <w:t>, ב"י.</w:t>
      </w:r>
    </w:p>
  </w:footnote>
  <w:footnote w:id="22">
    <w:p w14:paraId="371897DF" w14:textId="77777777" w:rsidR="004B2E7C" w:rsidRDefault="004B2E7C" w:rsidP="00285819">
      <w:pPr>
        <w:pStyle w:val="a7"/>
      </w:pPr>
      <w:r>
        <w:rPr>
          <w:rStyle w:val="a9"/>
        </w:rPr>
        <w:footnoteRef/>
      </w:r>
      <w:r>
        <w:rPr>
          <w:rtl/>
        </w:rPr>
        <w:t xml:space="preserve"> </w:t>
      </w:r>
      <w:r>
        <w:rPr>
          <w:rFonts w:cs="Arial"/>
          <w:rtl/>
        </w:rPr>
        <w:t>ונראה שבכל כיוצא בזה הכל כמנהג המדינה</w:t>
      </w:r>
      <w:r>
        <w:rPr>
          <w:rFonts w:cs="Arial" w:hint="cs"/>
          <w:rtl/>
        </w:rPr>
        <w:t>,</w:t>
      </w:r>
      <w:r>
        <w:rPr>
          <w:rFonts w:cs="Arial"/>
          <w:rtl/>
        </w:rPr>
        <w:t xml:space="preserve"> </w:t>
      </w:r>
      <w:r>
        <w:rPr>
          <w:rFonts w:cs="Arial" w:hint="cs"/>
          <w:rtl/>
        </w:rPr>
        <w:t xml:space="preserve">ר"ן </w:t>
      </w:r>
      <w:r>
        <w:rPr>
          <w:rFonts w:cs="Arial"/>
          <w:rtl/>
        </w:rPr>
        <w:t>(ע"ז ו: ד"ה ומהא)</w:t>
      </w:r>
      <w:r>
        <w:rPr>
          <w:rFonts w:cs="Arial" w:hint="cs"/>
          <w:rtl/>
        </w:rPr>
        <w:t>.</w:t>
      </w:r>
      <w:r>
        <w:rPr>
          <w:rFonts w:cs="Arial"/>
          <w:rtl/>
        </w:rPr>
        <w:t xml:space="preserve"> והן הן דברי הרא"ש ז"ל וכן כתב הרב המגיד בפ"ו (הט"ו) בשם המפרשים וכתב שזה היה דעת הרמב"ם שסתם וכתב דבר ששם ישראל בעליו קרוי עליו ואין דרך רוב אנשי אותו המקום להשכירו או ליתנו באריסות אסור להשכירו לגוי</w:t>
      </w:r>
      <w:r>
        <w:rPr>
          <w:rFonts w:cs="Arial" w:hint="cs"/>
          <w:rtl/>
        </w:rPr>
        <w:t>,</w:t>
      </w:r>
      <w:r>
        <w:rPr>
          <w:rFonts w:cs="Arial"/>
          <w:rtl/>
        </w:rPr>
        <w:t xml:space="preserve"> ולא פרט מרחץ</w:t>
      </w:r>
      <w:r>
        <w:rPr>
          <w:rFonts w:cs="Arial" w:hint="cs"/>
          <w:rtl/>
        </w:rPr>
        <w:t>,</w:t>
      </w:r>
      <w:r>
        <w:rPr>
          <w:rFonts w:cs="Arial"/>
          <w:rtl/>
        </w:rPr>
        <w:t xml:space="preserve"> לפי שאין דין זה תלוי במהות הדברים אלא לפי המקומות</w:t>
      </w:r>
      <w:r>
        <w:rPr>
          <w:rFonts w:cs="Arial" w:hint="cs"/>
          <w:rtl/>
        </w:rPr>
        <w:t>,</w:t>
      </w:r>
      <w:r>
        <w:rPr>
          <w:rFonts w:cs="Arial"/>
          <w:rtl/>
        </w:rPr>
        <w:t xml:space="preserve"> יש שדרכן להשכיר פורני ויש שאין דרכן</w:t>
      </w:r>
      <w:r>
        <w:rPr>
          <w:rFonts w:cs="Arial" w:hint="cs"/>
          <w:rtl/>
        </w:rPr>
        <w:t>,</w:t>
      </w:r>
      <w:r>
        <w:rPr>
          <w:rFonts w:cs="Arial"/>
          <w:rtl/>
        </w:rPr>
        <w:t xml:space="preserve"> וכן במרחץ</w:t>
      </w:r>
      <w:r>
        <w:rPr>
          <w:rFonts w:cs="Arial" w:hint="cs"/>
          <w:rtl/>
        </w:rPr>
        <w:t>,</w:t>
      </w:r>
      <w:r>
        <w:rPr>
          <w:rFonts w:cs="Arial"/>
          <w:rtl/>
        </w:rPr>
        <w:t xml:space="preserve"> אלא שדברו חכמים בהוה לפי מנהג ארצם</w:t>
      </w:r>
      <w:r>
        <w:rPr>
          <w:rFonts w:cs="Arial" w:hint="cs"/>
          <w:rtl/>
        </w:rPr>
        <w:t>, ב"י.</w:t>
      </w:r>
      <w:r w:rsidRPr="00E86646">
        <w:rPr>
          <w:rFonts w:cs="Arial"/>
          <w:rtl/>
        </w:rPr>
        <w:t xml:space="preserve"> </w:t>
      </w:r>
      <w:r>
        <w:rPr>
          <w:rFonts w:cs="Arial" w:hint="cs"/>
          <w:rtl/>
        </w:rPr>
        <w:t xml:space="preserve">וכתב הדרכ"מ </w:t>
      </w:r>
      <w:r w:rsidRPr="00E86646">
        <w:rPr>
          <w:rFonts w:cs="Arial"/>
          <w:rtl/>
        </w:rPr>
        <w:t>(</w:t>
      </w:r>
      <w:r>
        <w:rPr>
          <w:rFonts w:cs="Arial" w:hint="cs"/>
          <w:rtl/>
        </w:rPr>
        <w:t xml:space="preserve">אות </w:t>
      </w:r>
      <w:r w:rsidRPr="00E86646">
        <w:rPr>
          <w:rFonts w:cs="Arial"/>
          <w:rtl/>
        </w:rPr>
        <w:t xml:space="preserve">א) </w:t>
      </w:r>
      <w:r>
        <w:rPr>
          <w:rFonts w:cs="Arial" w:hint="cs"/>
          <w:rtl/>
        </w:rPr>
        <w:t>ש</w:t>
      </w:r>
      <w:r w:rsidRPr="00E86646">
        <w:rPr>
          <w:rFonts w:cs="Arial"/>
          <w:rtl/>
        </w:rPr>
        <w:t>כן כתב המרדכי ס</w:t>
      </w:r>
      <w:r>
        <w:rPr>
          <w:rFonts w:cs="Arial" w:hint="cs"/>
          <w:rtl/>
        </w:rPr>
        <w:t>"</w:t>
      </w:r>
      <w:r w:rsidRPr="00E86646">
        <w:rPr>
          <w:rFonts w:cs="Arial"/>
          <w:rtl/>
        </w:rPr>
        <w:t>פ כל כתבי (סי' תיא) שאם המרחץ ביד גוי ויודעים ומכירים בו ששכרו מישראל שרי</w:t>
      </w:r>
      <w:r>
        <w:rPr>
          <w:rFonts w:cs="Arial" w:hint="cs"/>
          <w:rtl/>
        </w:rPr>
        <w:t>.</w:t>
      </w:r>
    </w:p>
  </w:footnote>
  <w:footnote w:id="23">
    <w:p w14:paraId="45870E8B" w14:textId="77777777" w:rsidR="004B2E7C" w:rsidRDefault="004B2E7C" w:rsidP="00285819">
      <w:pPr>
        <w:pStyle w:val="a7"/>
      </w:pPr>
      <w:r>
        <w:rPr>
          <w:rStyle w:val="a9"/>
        </w:rPr>
        <w:footnoteRef/>
      </w:r>
      <w:r>
        <w:rPr>
          <w:rtl/>
        </w:rPr>
        <w:t xml:space="preserve"> </w:t>
      </w:r>
      <w:r>
        <w:rPr>
          <w:rFonts w:hint="cs"/>
          <w:rtl/>
        </w:rPr>
        <w:t>אולי הכוונה לר' מאיר ב"ר שמואל חתנו של רש"י.</w:t>
      </w:r>
    </w:p>
  </w:footnote>
  <w:footnote w:id="24">
    <w:p w14:paraId="6945BDBD" w14:textId="77777777" w:rsidR="004B2E7C" w:rsidRDefault="004B2E7C" w:rsidP="00285819">
      <w:pPr>
        <w:pStyle w:val="a7"/>
        <w:rPr>
          <w:rtl/>
        </w:rPr>
      </w:pPr>
      <w:r>
        <w:rPr>
          <w:rStyle w:val="a9"/>
        </w:rPr>
        <w:footnoteRef/>
      </w:r>
      <w:r>
        <w:rPr>
          <w:rtl/>
        </w:rPr>
        <w:t xml:space="preserve"> </w:t>
      </w:r>
      <w:r w:rsidRPr="00580330">
        <w:rPr>
          <w:rFonts w:cs="Arial"/>
          <w:rtl/>
        </w:rPr>
        <w:t>וכן נראה ממה שכתב הכל בו (סי' לא כט ע"ד) בשם רבינו פרץ (הגהות סמ"ק סי' רפ"ב עמ' ש"א)</w:t>
      </w:r>
      <w:r>
        <w:rPr>
          <w:rFonts w:cs="Arial" w:hint="cs"/>
          <w:rtl/>
        </w:rPr>
        <w:t>.</w:t>
      </w:r>
      <w:r w:rsidRPr="00580330">
        <w:rPr>
          <w:rFonts w:cs="Arial"/>
          <w:rtl/>
        </w:rPr>
        <w:t xml:space="preserve"> וכן כתבו סמ"ק (סי' רפב עמ' שב) והגהות פ"ו (הי"ב דפוס קושטא) בשם ספר התרומה (הל' ע"ז סי' קמה) וכתבו עוד שדין תנור כדין ריחיים שאם נוטל מגוף הפת לפי חלקו שרי</w:t>
      </w:r>
      <w:r>
        <w:rPr>
          <w:rFonts w:cs="Arial" w:hint="cs"/>
          <w:rtl/>
        </w:rPr>
        <w:t>.</w:t>
      </w:r>
      <w:r w:rsidRPr="009B2EA3">
        <w:rPr>
          <w:rFonts w:cs="Arial"/>
          <w:rtl/>
        </w:rPr>
        <w:t xml:space="preserve"> </w:t>
      </w:r>
      <w:r w:rsidRPr="00580330">
        <w:rPr>
          <w:rFonts w:cs="Arial"/>
          <w:rtl/>
        </w:rPr>
        <w:t>ואין נראה כן דברי הרמב"ם ולא מדעת שאר פוסקים</w:t>
      </w:r>
      <w:r>
        <w:rPr>
          <w:rFonts w:cs="Arial" w:hint="cs"/>
          <w:rtl/>
        </w:rPr>
        <w:t>,</w:t>
      </w:r>
      <w:r w:rsidRPr="00580330">
        <w:rPr>
          <w:rFonts w:cs="Arial"/>
          <w:rtl/>
        </w:rPr>
        <w:t xml:space="preserve"> שלא חלקו בין מרחץ לשאר דברים בכך, משמע דכי היכי דשרו ריחיים ותנור בנוטל חלקו בקמח ופת הכי נמי שרי במרחץ בנוטל חלקו מריוח המרחץ במעות</w:t>
      </w:r>
      <w:r>
        <w:rPr>
          <w:rFonts w:cs="Arial" w:hint="cs"/>
          <w:rtl/>
        </w:rPr>
        <w:t>,</w:t>
      </w:r>
      <w:r w:rsidRPr="00580330">
        <w:rPr>
          <w:rFonts w:cs="Arial"/>
          <w:rtl/>
        </w:rPr>
        <w:t xml:space="preserve"> דפירות דמרחץ מעות נינהו</w:t>
      </w:r>
      <w:r>
        <w:rPr>
          <w:rFonts w:cs="Arial" w:hint="cs"/>
          <w:rtl/>
        </w:rPr>
        <w:t>.</w:t>
      </w:r>
      <w:r w:rsidRPr="00580330">
        <w:rPr>
          <w:rFonts w:cs="Arial"/>
          <w:rtl/>
        </w:rPr>
        <w:t xml:space="preserve"> ומאי דאמרינן אריסותא למרחץ לא עבדי אינשי היינו לומר שמתוך שהוצאותיו מרובות ושכרו מועט אין דרך לתתו לאריס</w:t>
      </w:r>
      <w:r>
        <w:rPr>
          <w:rFonts w:cs="Arial" w:hint="cs"/>
          <w:rtl/>
        </w:rPr>
        <w:t>,</w:t>
      </w:r>
      <w:r w:rsidRPr="00580330">
        <w:rPr>
          <w:rFonts w:cs="Arial"/>
          <w:rtl/>
        </w:rPr>
        <w:t xml:space="preserve"> וכמו שכתב הר"ן בס"פ כל כתבי (מו: ד"ה גרסי')</w:t>
      </w:r>
      <w:r>
        <w:rPr>
          <w:rFonts w:cs="Arial" w:hint="cs"/>
          <w:rtl/>
        </w:rPr>
        <w:t>, ב"י</w:t>
      </w:r>
      <w:r w:rsidRPr="00580330">
        <w:rPr>
          <w:rFonts w:cs="Arial"/>
          <w:rtl/>
        </w:rPr>
        <w:t>.</w:t>
      </w:r>
    </w:p>
  </w:footnote>
  <w:footnote w:id="25">
    <w:p w14:paraId="338CF44C" w14:textId="77777777" w:rsidR="004B2E7C" w:rsidRDefault="004B2E7C" w:rsidP="00285819">
      <w:pPr>
        <w:pStyle w:val="a7"/>
      </w:pPr>
      <w:r>
        <w:rPr>
          <w:rStyle w:val="a9"/>
        </w:rPr>
        <w:footnoteRef/>
      </w:r>
      <w:r>
        <w:rPr>
          <w:rtl/>
        </w:rPr>
        <w:t xml:space="preserve"> </w:t>
      </w:r>
      <w:r w:rsidRPr="005231BB">
        <w:rPr>
          <w:rFonts w:cs="Arial"/>
          <w:rtl/>
        </w:rPr>
        <w:t>ודוקא בזה שנותן ל</w:t>
      </w:r>
      <w:r>
        <w:rPr>
          <w:rFonts w:cs="Arial"/>
          <w:rtl/>
        </w:rPr>
        <w:t>גוי</w:t>
      </w:r>
      <w:r w:rsidRPr="005231BB">
        <w:rPr>
          <w:rFonts w:cs="Arial"/>
          <w:rtl/>
        </w:rPr>
        <w:t xml:space="preserve"> חלק בתבואה אבל אם שכר ה</w:t>
      </w:r>
      <w:r>
        <w:rPr>
          <w:rFonts w:cs="Arial"/>
          <w:rtl/>
        </w:rPr>
        <w:t>גוי</w:t>
      </w:r>
      <w:r w:rsidRPr="005231BB">
        <w:rPr>
          <w:rFonts w:cs="Arial"/>
          <w:rtl/>
        </w:rPr>
        <w:t xml:space="preserve"> לעבוד בו כל השנה ושיטול היהודי כל התבואה מהשדה אף דמדינא בזה ג"כ שרי דה</w:t>
      </w:r>
      <w:r>
        <w:rPr>
          <w:rFonts w:cs="Arial"/>
          <w:rtl/>
        </w:rPr>
        <w:t>גוי</w:t>
      </w:r>
      <w:r w:rsidRPr="005231BB">
        <w:rPr>
          <w:rFonts w:cs="Arial"/>
          <w:rtl/>
        </w:rPr>
        <w:t xml:space="preserve"> אדעתיה דנפשיה עביד דאף אם לא יזבל ויחרוש ויקצור השדה בשבת יכול לעשות בחול וממהר בשביל עצמו מ"מ אסור דיבאו לחשדו בשכיר יום ולא יתלו באריסות כשיראו לבסוף שאין לו שום חלק בפירות הארץ וכדלקמן בריש סימן רמ"ד ודע דבמרחץ כה"ג דהיינו ששוכר </w:t>
      </w:r>
      <w:r>
        <w:rPr>
          <w:rFonts w:cs="Arial"/>
          <w:rtl/>
        </w:rPr>
        <w:t>גוי</w:t>
      </w:r>
      <w:r w:rsidRPr="005231BB">
        <w:rPr>
          <w:rFonts w:cs="Arial"/>
          <w:rtl/>
        </w:rPr>
        <w:t xml:space="preserve"> לעבוד בו כל השנה ושיטול היהודי כל הריוח של השבתות מדינא אסור וה"ה בריחיים באופן זה דהא דשרינן מתחלה מדינא היינו דוקא בשדה וכדומה דהמלאכה קצובה ואפשר להשלימה בכל עת דאין ריוח לישראל במה שעושה ה</w:t>
      </w:r>
      <w:r>
        <w:rPr>
          <w:rFonts w:cs="Arial"/>
          <w:rtl/>
        </w:rPr>
        <w:t>גוי</w:t>
      </w:r>
      <w:r w:rsidRPr="005231BB">
        <w:rPr>
          <w:rFonts w:cs="Arial"/>
          <w:rtl/>
        </w:rPr>
        <w:t xml:space="preserve"> בשבת דאם לא יעשה היום יעשנה ביום אחר אז אמרינן אדעתיה דנפשיה עביד אבל במרחץ וריחיים דהמלאכה אינה קצובה וכל יום ריוח לעצמו דאם לא יעשה יום אחד יפסיד הישראל אותו היום א"כ עיקר המלאכה בשביל ישראל הוא ומדינא אסור כמו שכיר יום דאף דמקבל שכר לא אמרינן אדעתיה דנפשיה עביד הואיל ונהנה הישראל ממלאכת שבת [ואפילו להט"ז לקמן בסימן רמ"ד סק"ה דמתיר להרמב"ם נראה דאסור ג"כ בזה מדינא דרגילות להקפיד על ה</w:t>
      </w:r>
      <w:r>
        <w:rPr>
          <w:rFonts w:cs="Arial"/>
          <w:rtl/>
        </w:rPr>
        <w:t>גוי</w:t>
      </w:r>
      <w:r w:rsidRPr="005231BB">
        <w:rPr>
          <w:rFonts w:cs="Arial"/>
          <w:rtl/>
        </w:rPr>
        <w:t xml:space="preserve"> כשמבטל איזה יום]. וכיון דמדינא אסור אפילו נתפרסם ששכרו לשנה וגם הוא חוץ לתחום דאין בו משום מראית העין ג"כ אסור ואין היתר כ"א היכא דיש ל</w:t>
      </w:r>
      <w:r>
        <w:rPr>
          <w:rFonts w:cs="Arial"/>
          <w:rtl/>
        </w:rPr>
        <w:t>גוי</w:t>
      </w:r>
      <w:r w:rsidRPr="005231BB">
        <w:rPr>
          <w:rFonts w:cs="Arial"/>
          <w:rtl/>
        </w:rPr>
        <w:t xml:space="preserve"> קצת חלק בריוח השבתות דאז אמרינן דאדעתיה דנפשיה עביד ומותר בריחיים וגם במרחץ במקום שנתפרסם הדבר וכבסעיף ב' וכ"ש שמותר היכא שמוכרו לו לגמרי בכל ע"ש</w:t>
      </w:r>
      <w:r>
        <w:rPr>
          <w:rFonts w:cs="Arial" w:hint="cs"/>
          <w:rtl/>
        </w:rPr>
        <w:t>, משנ"ב (סק"י).</w:t>
      </w:r>
    </w:p>
  </w:footnote>
  <w:footnote w:id="26">
    <w:p w14:paraId="4184CC05" w14:textId="77777777" w:rsidR="004B2E7C" w:rsidRDefault="004B2E7C" w:rsidP="00285819">
      <w:pPr>
        <w:pStyle w:val="a7"/>
      </w:pPr>
      <w:r>
        <w:rPr>
          <w:rStyle w:val="a9"/>
        </w:rPr>
        <w:footnoteRef/>
      </w:r>
      <w:r>
        <w:rPr>
          <w:rtl/>
        </w:rPr>
        <w:t xml:space="preserve"> </w:t>
      </w:r>
      <w:r w:rsidRPr="00580330">
        <w:rPr>
          <w:rFonts w:cs="Arial"/>
          <w:rtl/>
        </w:rPr>
        <w:t>מה שכתב שאפילו במקום שאסור להשכיר אם השכיר שכרו מותר אין כן דעת הרמב"ם והמרדכי כמו שאכתוב בסימן רמ"ה (ד: ד"ה כתוב במרדכי)</w:t>
      </w:r>
      <w:r>
        <w:rPr>
          <w:rFonts w:cs="Arial" w:hint="cs"/>
          <w:rtl/>
        </w:rPr>
        <w:t>, ב"י.</w:t>
      </w:r>
    </w:p>
  </w:footnote>
  <w:footnote w:id="27">
    <w:p w14:paraId="1E93AF70" w14:textId="77777777" w:rsidR="004B2E7C" w:rsidRDefault="004B2E7C" w:rsidP="00285819">
      <w:pPr>
        <w:pStyle w:val="a7"/>
        <w:rPr>
          <w:rtl/>
        </w:rPr>
      </w:pPr>
      <w:r>
        <w:rPr>
          <w:rStyle w:val="a9"/>
        </w:rPr>
        <w:footnoteRef/>
      </w:r>
      <w:r>
        <w:rPr>
          <w:rtl/>
        </w:rPr>
        <w:t xml:space="preserve"> </w:t>
      </w:r>
      <w:r w:rsidRPr="003F1B9E">
        <w:rPr>
          <w:rFonts w:cs="Arial"/>
          <w:rtl/>
        </w:rPr>
        <w:t>היינו שהמרחץ אינו בר"ה רק בחצירו באחד מהבית דירה שלו ולכך אם אין רוחצין בו בחול אלא אותן שבביתו שרי דאנשים אחרים לא ידעו אם יש שם מרחץ ואותן שבביתו היודעים מזה גם הם יודעים שהשכירו ל</w:t>
      </w:r>
      <w:r>
        <w:rPr>
          <w:rFonts w:cs="Arial"/>
          <w:rtl/>
        </w:rPr>
        <w:t>גוי</w:t>
      </w:r>
      <w:r w:rsidRPr="003F1B9E">
        <w:rPr>
          <w:rFonts w:cs="Arial"/>
          <w:rtl/>
        </w:rPr>
        <w:t xml:space="preserve"> אבל כשרוחצין בו גם אנשים אחרים הלא נתפרסם שיש שם מרחץ ואותו המרחץ נקרא מכבר על שם ישראל וכשיראו אח"כ שעשן יוצא ממנו בימי השבת יתלו דבשליחותו הסיקו ה</w:t>
      </w:r>
      <w:r>
        <w:rPr>
          <w:rFonts w:cs="Arial"/>
          <w:rtl/>
        </w:rPr>
        <w:t>גוי</w:t>
      </w:r>
      <w:r w:rsidRPr="003F1B9E">
        <w:rPr>
          <w:rFonts w:cs="Arial"/>
          <w:rtl/>
        </w:rPr>
        <w:t xml:space="preserve"> וכ"ז כשהוא בבית דירה שלו אבל אם הוא עומד בר"ה במקום רואים אז אפילו אם אינם רוחצין בו רק אותן שבביתו מ"מ אסור דהא הכל יודעים שיש שם מרחץ ואין הכל יודעים שהשכירו ל</w:t>
      </w:r>
      <w:r>
        <w:rPr>
          <w:rFonts w:cs="Arial"/>
          <w:rtl/>
        </w:rPr>
        <w:t>גוי</w:t>
      </w:r>
      <w:r w:rsidRPr="003F1B9E">
        <w:rPr>
          <w:rFonts w:cs="Arial"/>
          <w:rtl/>
        </w:rPr>
        <w:t xml:space="preserve"> כן כתבו הרבה אחרונים ויש מקילין עוד דאם הוא עומד ברשות אחר בפ"ע שלא בחצירו אז אפילו רוחצין בו גם אנשים אחרים אפ"ה שרי דמסתמא אין הכל יודעים שהוא שלו רק אותן השכנים של המרחץ ומסתמא נתודע להם גם את זה שהשכירו ל</w:t>
      </w:r>
      <w:r>
        <w:rPr>
          <w:rFonts w:cs="Arial"/>
          <w:rtl/>
        </w:rPr>
        <w:t>גוי</w:t>
      </w:r>
      <w:r>
        <w:rPr>
          <w:rFonts w:hint="cs"/>
          <w:rtl/>
        </w:rPr>
        <w:t>, משנ"ב (סקט"ו).</w:t>
      </w:r>
    </w:p>
  </w:footnote>
  <w:footnote w:id="28">
    <w:p w14:paraId="22BE2A70" w14:textId="77777777" w:rsidR="004B2E7C" w:rsidRDefault="004B2E7C" w:rsidP="00285819">
      <w:pPr>
        <w:pStyle w:val="a7"/>
        <w:rPr>
          <w:rtl/>
        </w:rPr>
      </w:pPr>
      <w:r>
        <w:rPr>
          <w:rStyle w:val="a9"/>
        </w:rPr>
        <w:footnoteRef/>
      </w:r>
      <w:r>
        <w:rPr>
          <w:rtl/>
        </w:rPr>
        <w:t xml:space="preserve"> </w:t>
      </w:r>
      <w:r w:rsidRPr="003F1B9E">
        <w:rPr>
          <w:rFonts w:cs="Arial"/>
          <w:rtl/>
        </w:rPr>
        <w:t>והאחרונים הסכימו דלא פליגי דבמקום דמותר מדינא כגון שהשכיר המרחץ ל</w:t>
      </w:r>
      <w:r>
        <w:rPr>
          <w:rFonts w:cs="Arial"/>
          <w:rtl/>
        </w:rPr>
        <w:t>גוי</w:t>
      </w:r>
      <w:r w:rsidRPr="003F1B9E">
        <w:rPr>
          <w:rFonts w:cs="Arial"/>
          <w:rtl/>
        </w:rPr>
        <w:t xml:space="preserve"> לשנה או לחודש דמשום שכר שבת ליכא דהלא הוא בהבלעה ואינו אסור אלא משום מראית העין כנ"ל בס"א לכן בדיעבד מותר לקבל השכר מה</w:t>
      </w:r>
      <w:r>
        <w:rPr>
          <w:rFonts w:cs="Arial"/>
          <w:rtl/>
        </w:rPr>
        <w:t>גוי</w:t>
      </w:r>
      <w:r w:rsidRPr="003F1B9E">
        <w:rPr>
          <w:rFonts w:cs="Arial"/>
          <w:rtl/>
        </w:rPr>
        <w:t xml:space="preserve"> משא"כ אם השכירו לימים דמדינא אסור משום שכר שבת לכן אפילו הביא ה</w:t>
      </w:r>
      <w:r>
        <w:rPr>
          <w:rFonts w:cs="Arial"/>
          <w:rtl/>
        </w:rPr>
        <w:t>גוי</w:t>
      </w:r>
      <w:r w:rsidRPr="003F1B9E">
        <w:rPr>
          <w:rFonts w:cs="Arial"/>
          <w:rtl/>
        </w:rPr>
        <w:t xml:space="preserve"> מעצמו מעות אסור לקבל הימנו כמ"ש בסימן רמ"ה ס"ו וע"ש מה שכתבנו במ"ב ואם המלאכה מוטלת על ישראל עיין ריש סימן רמ"ה</w:t>
      </w:r>
      <w:r>
        <w:rPr>
          <w:rFonts w:hint="cs"/>
          <w:rtl/>
        </w:rPr>
        <w:t>, משנ"ב (סקט"ז).</w:t>
      </w:r>
    </w:p>
  </w:footnote>
  <w:footnote w:id="29">
    <w:p w14:paraId="746EE0DA" w14:textId="77777777" w:rsidR="004B2E7C" w:rsidRDefault="004B2E7C" w:rsidP="00285819">
      <w:pPr>
        <w:pStyle w:val="a7"/>
      </w:pPr>
      <w:r>
        <w:rPr>
          <w:rStyle w:val="a9"/>
        </w:rPr>
        <w:footnoteRef/>
      </w:r>
      <w:r>
        <w:rPr>
          <w:rtl/>
        </w:rPr>
        <w:t xml:space="preserve"> </w:t>
      </w:r>
      <w:r>
        <w:rPr>
          <w:rFonts w:cs="Arial"/>
          <w:rtl/>
        </w:rPr>
        <w:t>ואפילו בית שמאי לא אסרו כשהוא עושה בשבת אלא כשאין שהות ביום לעשות ונראה כאילו אומר עשה בשבת וקיימא לן כבית הלל ובכמה מקומות דין זה פשוט</w:t>
      </w:r>
      <w:r>
        <w:rPr>
          <w:rFonts w:cs="Arial" w:hint="cs"/>
          <w:rtl/>
        </w:rPr>
        <w:t>, הה"מ (פ"ו הי"ב).</w:t>
      </w:r>
    </w:p>
  </w:footnote>
  <w:footnote w:id="30">
    <w:p w14:paraId="5CB5070D" w14:textId="77777777" w:rsidR="004B2E7C" w:rsidRDefault="004B2E7C" w:rsidP="00285819">
      <w:pPr>
        <w:pStyle w:val="a7"/>
        <w:rPr>
          <w:rtl/>
        </w:rPr>
      </w:pPr>
      <w:r>
        <w:rPr>
          <w:rStyle w:val="a9"/>
        </w:rPr>
        <w:footnoteRef/>
      </w:r>
      <w:r>
        <w:rPr>
          <w:rtl/>
        </w:rPr>
        <w:t xml:space="preserve"> </w:t>
      </w:r>
      <w:r w:rsidRPr="00C87EAB">
        <w:rPr>
          <w:rFonts w:cs="Arial"/>
          <w:rtl/>
        </w:rPr>
        <w:t>דהא אמר ביציאת השבת נותנין כלי לבן לכובס. וא"ת הני מילי בדברים דלא מפרסמא מילתא ומשום האי טעמא לא נתיר אלא כגון אותן יריעות שנותנין לארוג וכיוצא בהן, הא לאו מילתא היא, צא ולמד מרחיים של מים שאסרו בית שמאי משום שביתת כלים ובית הלל לית להו שביתת כלים ושרי להניח בהן חטין והן טחונין כל השבת... וכ"ש שאם ע"י גוי בקבלנות שהוא מותר.</w:t>
      </w:r>
      <w:r>
        <w:rPr>
          <w:rFonts w:cs="Arial" w:hint="cs"/>
          <w:rtl/>
        </w:rPr>
        <w:t>..</w:t>
      </w:r>
      <w:r w:rsidRPr="00C87EAB">
        <w:rPr>
          <w:rFonts w:cs="Arial"/>
          <w:rtl/>
        </w:rPr>
        <w:t xml:space="preserve"> ועוד נראה לי להתיר קבולת מדאמרינן בשלהי פ"ק דע"ז דמשכירין שדות אבל לא מרחץ, וטעמא מפרש בגמרא דגבי שדה אמר' אריס אריסותיה קעביד, א"כ אריסות גוי בשדה דהוא מפרסם טובא שרי דהוה ליה קבולת</w:t>
      </w:r>
      <w:r w:rsidRPr="00A54E82">
        <w:rPr>
          <w:rFonts w:cs="Arial"/>
          <w:rtl/>
        </w:rPr>
        <w:t>.</w:t>
      </w:r>
      <w:r w:rsidRPr="00A54E82">
        <w:rPr>
          <w:rFonts w:cs="Arial" w:hint="cs"/>
          <w:rtl/>
        </w:rPr>
        <w:t>..</w:t>
      </w:r>
      <w:r w:rsidRPr="00A54E82">
        <w:rPr>
          <w:rFonts w:cs="Arial"/>
          <w:rtl/>
        </w:rPr>
        <w:t xml:space="preserve"> וידע אדוני כי לפי דברי דבר פשוט הוא שבשבת וי"ט ומועד מותרת קבולת לגוי אם אינו אבל אם מסרה קודם המועד, דהואיל ובאבל מוקמינא לאיסורא ומפר' ר' משרשיא דלא נאסר אלא בחו"ה אבל בשבת וי"ט מותר, רואין אנו הדברים ק"ו דאפי' גבי אבל דאסור בחול בשבת שרי, שאר בני אדם לא כל שכן. וכל השמועה מוכחת דלא מפלגי בין קבלנות שדה בית ומטלטלין</w:t>
      </w:r>
      <w:r>
        <w:rPr>
          <w:rFonts w:cs="Arial" w:hint="cs"/>
          <w:rtl/>
        </w:rPr>
        <w:t>,</w:t>
      </w:r>
      <w:r w:rsidRPr="00A54E82">
        <w:rPr>
          <w:rFonts w:cs="Arial"/>
          <w:rtl/>
        </w:rPr>
        <w:t xml:space="preserve"> דקתני ובלבד שלא ישקול ולא ימדוד ולא ימנה, וכל הני במטלטלין איתנייהו</w:t>
      </w:r>
      <w:r>
        <w:rPr>
          <w:rFonts w:cs="Arial" w:hint="cs"/>
          <w:rtl/>
        </w:rPr>
        <w:t>.</w:t>
      </w:r>
      <w:r w:rsidRPr="00A54E82">
        <w:rPr>
          <w:rFonts w:cs="Arial"/>
          <w:rtl/>
        </w:rPr>
        <w:t xml:space="preserve"> כן נראין הדברים בעיני קטנו ואלו בא מעשה לידי הייתי מורה לעצמי</w:t>
      </w:r>
      <w:r>
        <w:rPr>
          <w:rFonts w:cs="Arial" w:hint="cs"/>
          <w:rtl/>
        </w:rPr>
        <w:t>, ר"ת (שם).</w:t>
      </w:r>
    </w:p>
  </w:footnote>
  <w:footnote w:id="31">
    <w:p w14:paraId="27DC614E" w14:textId="77777777" w:rsidR="004B2E7C" w:rsidRDefault="004B2E7C" w:rsidP="00285819">
      <w:pPr>
        <w:pStyle w:val="a7"/>
      </w:pPr>
      <w:r>
        <w:rPr>
          <w:rStyle w:val="a9"/>
        </w:rPr>
        <w:footnoteRef/>
      </w:r>
      <w:r>
        <w:rPr>
          <w:rFonts w:cs="Arial" w:hint="cs"/>
          <w:rtl/>
        </w:rPr>
        <w:t xml:space="preserve"> ו</w:t>
      </w:r>
      <w:r w:rsidRPr="00791DD6">
        <w:rPr>
          <w:rFonts w:cs="Arial"/>
          <w:rtl/>
        </w:rPr>
        <w:t>התוספות (</w:t>
      </w:r>
      <w:r>
        <w:rPr>
          <w:rFonts w:cs="Arial" w:hint="cs"/>
          <w:rtl/>
        </w:rPr>
        <w:t xml:space="preserve">יז: ד"ה אין נותנין, </w:t>
      </w:r>
      <w:r w:rsidRPr="00791DD6">
        <w:rPr>
          <w:rFonts w:cs="Arial"/>
          <w:rtl/>
        </w:rPr>
        <w:t>כא: ד"ה אריסא) והרא"ש (סי' כג</w:t>
      </w:r>
      <w:r>
        <w:rPr>
          <w:rFonts w:cs="Arial" w:hint="cs"/>
          <w:rtl/>
        </w:rPr>
        <w:t>)</w:t>
      </w:r>
      <w:r w:rsidRPr="00791DD6">
        <w:rPr>
          <w:rFonts w:cs="Arial"/>
          <w:rtl/>
        </w:rPr>
        <w:t xml:space="preserve"> דחו ראיותיו</w:t>
      </w:r>
      <w:r>
        <w:rPr>
          <w:rFonts w:cs="Arial" w:hint="cs"/>
          <w:rtl/>
        </w:rPr>
        <w:t>,</w:t>
      </w:r>
      <w:r w:rsidRPr="00791DD6">
        <w:rPr>
          <w:rFonts w:cs="Arial"/>
          <w:rtl/>
        </w:rPr>
        <w:t xml:space="preserve"> והעלו דלא דמי לאריסות דשדה</w:t>
      </w:r>
      <w:r>
        <w:rPr>
          <w:rFonts w:cs="Arial" w:hint="cs"/>
          <w:rtl/>
        </w:rPr>
        <w:t>,</w:t>
      </w:r>
      <w:r w:rsidRPr="00791DD6">
        <w:rPr>
          <w:rFonts w:cs="Arial"/>
          <w:rtl/>
        </w:rPr>
        <w:t xml:space="preserve"> דלעולם הוא רגילות לקבל שדה באריסות למחצה לשליש ולרביע</w:t>
      </w:r>
      <w:r>
        <w:rPr>
          <w:rFonts w:cs="Arial" w:hint="cs"/>
          <w:rtl/>
        </w:rPr>
        <w:t>,</w:t>
      </w:r>
      <w:r w:rsidRPr="00791DD6">
        <w:rPr>
          <w:rFonts w:cs="Arial"/>
          <w:rtl/>
        </w:rPr>
        <w:t xml:space="preserve"> אבל בבנין בית רגילות לשכור מידי יום יום</w:t>
      </w:r>
      <w:r>
        <w:rPr>
          <w:rFonts w:cs="Arial" w:hint="cs"/>
          <w:rtl/>
        </w:rPr>
        <w:t>,</w:t>
      </w:r>
      <w:r w:rsidRPr="00791DD6">
        <w:rPr>
          <w:rFonts w:cs="Arial"/>
          <w:rtl/>
        </w:rPr>
        <w:t xml:space="preserve"> והרואה אינו אומר קבלנותיה עביד אלא שכירי יום נינהו</w:t>
      </w:r>
      <w:r>
        <w:rPr>
          <w:rFonts w:cs="Arial" w:hint="cs"/>
          <w:rtl/>
        </w:rPr>
        <w:t>,</w:t>
      </w:r>
      <w:r w:rsidRPr="00791DD6">
        <w:rPr>
          <w:rFonts w:cs="Arial"/>
          <w:rtl/>
        </w:rPr>
        <w:t xml:space="preserve"> ודומה כמי שישראל מצוה לעשות לו מלאכה בשבת</w:t>
      </w:r>
      <w:r>
        <w:rPr>
          <w:rFonts w:cs="Arial" w:hint="cs"/>
          <w:rtl/>
        </w:rPr>
        <w:t>,</w:t>
      </w:r>
      <w:r w:rsidRPr="00791DD6">
        <w:rPr>
          <w:rFonts w:cs="Arial"/>
          <w:rtl/>
        </w:rPr>
        <w:t xml:space="preserve"> וראיה מירושלמי וגם מתלמודא דידן פרק מי שהפך (מו</w:t>
      </w:r>
      <w:r>
        <w:rPr>
          <w:rFonts w:cs="Arial" w:hint="cs"/>
          <w:rtl/>
        </w:rPr>
        <w:t>"</w:t>
      </w:r>
      <w:r w:rsidRPr="00791DD6">
        <w:rPr>
          <w:rFonts w:cs="Arial"/>
          <w:rtl/>
        </w:rPr>
        <w:t>ק יב.) וכמו שאכתוב בסמוך. וכתבו שם (בע"ז) התוספות והרא"ש והמרדכי (ע"ז סי' תתו, שבת סי' תיא) שרבינו תם לא סמך על הוראתו כשבנה ביתו</w:t>
      </w:r>
      <w:r>
        <w:rPr>
          <w:rFonts w:cs="Arial" w:hint="cs"/>
          <w:rtl/>
        </w:rPr>
        <w:t>.</w:t>
      </w:r>
      <w:r w:rsidRPr="00791DD6">
        <w:rPr>
          <w:rFonts w:cs="Arial"/>
          <w:rtl/>
        </w:rPr>
        <w:t xml:space="preserve"> ונראה לי דמשום הכי לא כתב רבינו </w:t>
      </w:r>
      <w:r>
        <w:rPr>
          <w:rFonts w:cs="Arial" w:hint="cs"/>
          <w:rtl/>
        </w:rPr>
        <w:t>'</w:t>
      </w:r>
      <w:r w:rsidRPr="00791DD6">
        <w:rPr>
          <w:rFonts w:cs="Arial"/>
          <w:rtl/>
        </w:rPr>
        <w:t>רבינו תם מתיר ור"י אוסר</w:t>
      </w:r>
      <w:r>
        <w:rPr>
          <w:rFonts w:cs="Arial" w:hint="cs"/>
          <w:rtl/>
        </w:rPr>
        <w:t>',</w:t>
      </w:r>
      <w:r w:rsidRPr="00791DD6">
        <w:rPr>
          <w:rFonts w:cs="Arial"/>
          <w:rtl/>
        </w:rPr>
        <w:t xml:space="preserve"> אלא כתב </w:t>
      </w:r>
      <w:r>
        <w:rPr>
          <w:rFonts w:cs="Arial" w:hint="cs"/>
          <w:rtl/>
        </w:rPr>
        <w:t>'</w:t>
      </w:r>
      <w:r w:rsidRPr="00791DD6">
        <w:rPr>
          <w:rFonts w:cs="Arial"/>
          <w:rtl/>
        </w:rPr>
        <w:t>היה מתיר רבינו תם</w:t>
      </w:r>
      <w:r>
        <w:rPr>
          <w:rFonts w:cs="Arial" w:hint="cs"/>
          <w:rtl/>
        </w:rPr>
        <w:t>'</w:t>
      </w:r>
      <w:r w:rsidRPr="00791DD6">
        <w:rPr>
          <w:rFonts w:cs="Arial"/>
          <w:rtl/>
        </w:rPr>
        <w:t xml:space="preserve"> כלומר מתחלה היה מתיר רבינו תם אבל אחר כך כשבא מעשה לידו לא התיר</w:t>
      </w:r>
      <w:r>
        <w:rPr>
          <w:rFonts w:cs="Arial" w:hint="cs"/>
          <w:rtl/>
        </w:rPr>
        <w:t>, ב"י. אך הדרכ"מ</w:t>
      </w:r>
      <w:r w:rsidRPr="00D120D4">
        <w:rPr>
          <w:rFonts w:cs="Arial"/>
          <w:rtl/>
        </w:rPr>
        <w:t xml:space="preserve"> </w:t>
      </w:r>
      <w:r w:rsidRPr="00791DD6">
        <w:rPr>
          <w:rFonts w:cs="Arial"/>
          <w:rtl/>
        </w:rPr>
        <w:t>(</w:t>
      </w:r>
      <w:r>
        <w:rPr>
          <w:rFonts w:cs="Arial" w:hint="cs"/>
          <w:rtl/>
        </w:rPr>
        <w:t xml:space="preserve">אות </w:t>
      </w:r>
      <w:r w:rsidRPr="00791DD6">
        <w:rPr>
          <w:rFonts w:cs="Arial"/>
          <w:rtl/>
        </w:rPr>
        <w:t xml:space="preserve">א) </w:t>
      </w:r>
      <w:r>
        <w:rPr>
          <w:rFonts w:cs="Arial" w:hint="cs"/>
          <w:rtl/>
        </w:rPr>
        <w:t>כתב ש</w:t>
      </w:r>
      <w:r w:rsidRPr="00791DD6">
        <w:rPr>
          <w:rFonts w:cs="Arial"/>
          <w:rtl/>
        </w:rPr>
        <w:t>בתוספות פ</w:t>
      </w:r>
      <w:r>
        <w:rPr>
          <w:rFonts w:cs="Arial" w:hint="cs"/>
          <w:rtl/>
        </w:rPr>
        <w:t>"</w:t>
      </w:r>
      <w:r w:rsidRPr="00791DD6">
        <w:rPr>
          <w:rFonts w:cs="Arial"/>
          <w:rtl/>
        </w:rPr>
        <w:t>ק דע</w:t>
      </w:r>
      <w:r>
        <w:rPr>
          <w:rFonts w:cs="Arial" w:hint="cs"/>
          <w:rtl/>
        </w:rPr>
        <w:t>"ז</w:t>
      </w:r>
      <w:r w:rsidRPr="00791DD6">
        <w:rPr>
          <w:rFonts w:cs="Arial"/>
          <w:rtl/>
        </w:rPr>
        <w:t xml:space="preserve"> (כא: ד"ה אריסא) משמע דרבינו תם לא החמיר אלא על עצמו ועיי"ש</w:t>
      </w:r>
      <w:r>
        <w:rPr>
          <w:rFonts w:hint="cs"/>
          <w:rtl/>
        </w:rPr>
        <w:t>.</w:t>
      </w:r>
    </w:p>
  </w:footnote>
  <w:footnote w:id="32">
    <w:p w14:paraId="4C8DB02C" w14:textId="77777777" w:rsidR="004B2E7C" w:rsidRDefault="004B2E7C" w:rsidP="00285819">
      <w:pPr>
        <w:pStyle w:val="a7"/>
      </w:pPr>
      <w:r>
        <w:rPr>
          <w:rStyle w:val="a9"/>
        </w:rPr>
        <w:footnoteRef/>
      </w:r>
      <w:r>
        <w:rPr>
          <w:rtl/>
        </w:rPr>
        <w:t xml:space="preserve"> </w:t>
      </w:r>
      <w:r>
        <w:rPr>
          <w:rFonts w:cs="Arial"/>
          <w:rtl/>
        </w:rPr>
        <w:t>מה שכתב רבינו קצץ דמים בדוקא נלמד מדין האגרת שיתבאר בפרק זה (ה"כ)</w:t>
      </w:r>
      <w:r>
        <w:rPr>
          <w:rFonts w:cs="Arial" w:hint="cs"/>
          <w:rtl/>
        </w:rPr>
        <w:t>, הה"מ (פ"ו הי"ב).</w:t>
      </w:r>
    </w:p>
  </w:footnote>
  <w:footnote w:id="33">
    <w:p w14:paraId="72AC62B8" w14:textId="77777777" w:rsidR="004B2E7C" w:rsidRDefault="004B2E7C" w:rsidP="00285819">
      <w:pPr>
        <w:pStyle w:val="a7"/>
      </w:pPr>
      <w:r>
        <w:rPr>
          <w:rStyle w:val="a9"/>
        </w:rPr>
        <w:footnoteRef/>
      </w:r>
      <w:r>
        <w:rPr>
          <w:rtl/>
        </w:rPr>
        <w:t xml:space="preserve"> </w:t>
      </w:r>
      <w:r>
        <w:rPr>
          <w:rFonts w:cs="Arial"/>
          <w:rtl/>
        </w:rPr>
        <w:t>כדברי הירושלמי</w:t>
      </w:r>
      <w:r>
        <w:rPr>
          <w:rFonts w:cs="Arial" w:hint="cs"/>
          <w:rtl/>
        </w:rPr>
        <w:t>, ב"י.</w:t>
      </w:r>
    </w:p>
  </w:footnote>
  <w:footnote w:id="34">
    <w:p w14:paraId="5A542BC5" w14:textId="77777777" w:rsidR="004B2E7C" w:rsidRDefault="004B2E7C" w:rsidP="00285819">
      <w:pPr>
        <w:pStyle w:val="a7"/>
      </w:pPr>
      <w:r>
        <w:rPr>
          <w:rStyle w:val="a9"/>
        </w:rPr>
        <w:footnoteRef/>
      </w:r>
      <w:r>
        <w:rPr>
          <w:rtl/>
        </w:rPr>
        <w:t xml:space="preserve"> </w:t>
      </w:r>
      <w:r w:rsidRPr="0037656C">
        <w:rPr>
          <w:rFonts w:cs="Arial"/>
          <w:rtl/>
        </w:rPr>
        <w:t>תוס</w:t>
      </w:r>
      <w:r>
        <w:rPr>
          <w:rFonts w:cs="Arial" w:hint="cs"/>
          <w:rtl/>
        </w:rPr>
        <w:t>'</w:t>
      </w:r>
      <w:r w:rsidRPr="0037656C">
        <w:rPr>
          <w:rFonts w:cs="Arial"/>
          <w:rtl/>
        </w:rPr>
        <w:t xml:space="preserve"> (</w:t>
      </w:r>
      <w:r>
        <w:rPr>
          <w:rFonts w:cs="Arial" w:hint="cs"/>
          <w:rtl/>
        </w:rPr>
        <w:t xml:space="preserve">ע"ז </w:t>
      </w:r>
      <w:r w:rsidRPr="0037656C">
        <w:rPr>
          <w:rFonts w:cs="Arial"/>
          <w:rtl/>
        </w:rPr>
        <w:t xml:space="preserve">כא: ד"ה אריסא) ספר התרומה (סי' קמו) סמ"ג (לאוין סה יט ע"ג) מרדכי </w:t>
      </w:r>
      <w:r>
        <w:rPr>
          <w:rFonts w:cs="Arial" w:hint="cs"/>
          <w:rtl/>
        </w:rPr>
        <w:t>(</w:t>
      </w:r>
      <w:r w:rsidRPr="0037656C">
        <w:rPr>
          <w:rFonts w:cs="Arial"/>
          <w:rtl/>
        </w:rPr>
        <w:t>ספ"ק דע</w:t>
      </w:r>
      <w:r>
        <w:rPr>
          <w:rFonts w:cs="Arial" w:hint="cs"/>
          <w:rtl/>
        </w:rPr>
        <w:t xml:space="preserve">"ז </w:t>
      </w:r>
      <w:r w:rsidRPr="0037656C">
        <w:rPr>
          <w:rFonts w:cs="Arial"/>
          <w:rtl/>
        </w:rPr>
        <w:t>סי' תתו</w:t>
      </w:r>
      <w:r>
        <w:rPr>
          <w:rFonts w:cs="Arial" w:hint="cs"/>
          <w:rtl/>
        </w:rPr>
        <w:t>-</w:t>
      </w:r>
      <w:r w:rsidRPr="0037656C">
        <w:rPr>
          <w:rFonts w:cs="Arial"/>
          <w:rtl/>
        </w:rPr>
        <w:t xml:space="preserve">תתז) </w:t>
      </w:r>
      <w:r>
        <w:rPr>
          <w:rFonts w:cs="Arial" w:hint="cs"/>
          <w:rtl/>
        </w:rPr>
        <w:t>הגה"מ</w:t>
      </w:r>
      <w:r w:rsidRPr="0037656C">
        <w:rPr>
          <w:rFonts w:cs="Arial"/>
          <w:rtl/>
        </w:rPr>
        <w:t xml:space="preserve"> </w:t>
      </w:r>
      <w:r>
        <w:rPr>
          <w:rFonts w:cs="Arial" w:hint="cs"/>
          <w:rtl/>
        </w:rPr>
        <w:t>(</w:t>
      </w:r>
      <w:r w:rsidRPr="0037656C">
        <w:rPr>
          <w:rFonts w:cs="Arial"/>
          <w:rtl/>
        </w:rPr>
        <w:t>פ"ו אות נ)</w:t>
      </w:r>
      <w:r>
        <w:rPr>
          <w:rFonts w:cs="Arial" w:hint="cs"/>
          <w:rtl/>
        </w:rPr>
        <w:t xml:space="preserve"> </w:t>
      </w:r>
      <w:r w:rsidRPr="0037656C">
        <w:rPr>
          <w:rFonts w:cs="Arial"/>
          <w:rtl/>
        </w:rPr>
        <w:t>סמ"ק (עיין שם סי' רפב עמ' שא ושב)</w:t>
      </w:r>
      <w:r>
        <w:rPr>
          <w:rFonts w:cs="Arial" w:hint="cs"/>
          <w:rtl/>
        </w:rPr>
        <w:t xml:space="preserve"> הה"מ (פ"ו הט"ו) ור"ן</w:t>
      </w:r>
      <w:r w:rsidRPr="0037656C">
        <w:rPr>
          <w:rFonts w:cs="Arial"/>
          <w:rtl/>
        </w:rPr>
        <w:t xml:space="preserve"> </w:t>
      </w:r>
      <w:r>
        <w:rPr>
          <w:rFonts w:cs="Arial" w:hint="cs"/>
          <w:rtl/>
        </w:rPr>
        <w:t>(</w:t>
      </w:r>
      <w:r w:rsidRPr="00C8171F">
        <w:rPr>
          <w:rFonts w:cs="Arial"/>
          <w:rtl/>
        </w:rPr>
        <w:t>ספ"ק דע</w:t>
      </w:r>
      <w:r w:rsidRPr="00C8171F">
        <w:rPr>
          <w:rFonts w:cs="Arial" w:hint="cs"/>
          <w:rtl/>
        </w:rPr>
        <w:t xml:space="preserve">"ז </w:t>
      </w:r>
      <w:r w:rsidRPr="00C8171F">
        <w:rPr>
          <w:rFonts w:cs="Arial"/>
          <w:rtl/>
        </w:rPr>
        <w:t>שם</w:t>
      </w:r>
      <w:r w:rsidRPr="00C8171F">
        <w:rPr>
          <w:rFonts w:cs="Arial" w:hint="cs"/>
          <w:rtl/>
        </w:rPr>
        <w:t>,</w:t>
      </w:r>
      <w:r w:rsidRPr="00C8171F">
        <w:rPr>
          <w:rFonts w:cs="Arial"/>
          <w:rtl/>
        </w:rPr>
        <w:t xml:space="preserve"> וס"פ כל כתבי שם</w:t>
      </w:r>
      <w:r>
        <w:rPr>
          <w:rFonts w:cs="Arial" w:hint="cs"/>
          <w:rtl/>
        </w:rPr>
        <w:t>).</w:t>
      </w:r>
    </w:p>
  </w:footnote>
  <w:footnote w:id="35">
    <w:p w14:paraId="6A201961" w14:textId="77777777" w:rsidR="004B2E7C" w:rsidRDefault="004B2E7C" w:rsidP="00285819">
      <w:pPr>
        <w:pStyle w:val="a7"/>
        <w:rPr>
          <w:rtl/>
        </w:rPr>
      </w:pPr>
      <w:r>
        <w:rPr>
          <w:rStyle w:val="a9"/>
        </w:rPr>
        <w:footnoteRef/>
      </w:r>
      <w:r>
        <w:rPr>
          <w:rtl/>
        </w:rPr>
        <w:t xml:space="preserve"> </w:t>
      </w:r>
      <w:r>
        <w:rPr>
          <w:rFonts w:hint="cs"/>
          <w:rtl/>
        </w:rPr>
        <w:t xml:space="preserve">כתב הב"י וז"ל- </w:t>
      </w:r>
      <w:r w:rsidRPr="0037656C">
        <w:rPr>
          <w:rFonts w:cs="Arial"/>
          <w:rtl/>
        </w:rPr>
        <w:t>מכלל דברי הרמב"ם אתה למד ש</w:t>
      </w:r>
      <w:r>
        <w:rPr>
          <w:rFonts w:cs="Arial" w:hint="cs"/>
          <w:rtl/>
        </w:rPr>
        <w:t>-...</w:t>
      </w:r>
    </w:p>
  </w:footnote>
  <w:footnote w:id="36">
    <w:p w14:paraId="6C7A7EE5" w14:textId="77777777" w:rsidR="004B2E7C" w:rsidRDefault="004B2E7C" w:rsidP="00285819">
      <w:pPr>
        <w:pStyle w:val="a7"/>
        <w:rPr>
          <w:rtl/>
        </w:rPr>
      </w:pPr>
      <w:r>
        <w:rPr>
          <w:rStyle w:val="a9"/>
        </w:rPr>
        <w:footnoteRef/>
      </w:r>
      <w:r>
        <w:rPr>
          <w:rtl/>
        </w:rPr>
        <w:t xml:space="preserve"> </w:t>
      </w:r>
      <w:r w:rsidRPr="0037656C">
        <w:rPr>
          <w:rFonts w:cs="Arial"/>
          <w:rtl/>
        </w:rPr>
        <w:t xml:space="preserve">והם </w:t>
      </w:r>
      <w:r>
        <w:rPr>
          <w:rFonts w:cs="Arial" w:hint="cs"/>
          <w:sz w:val="16"/>
          <w:szCs w:val="16"/>
          <w:rtl/>
        </w:rPr>
        <w:t xml:space="preserve">{הה"מ והר"ן שם} </w:t>
      </w:r>
      <w:r w:rsidRPr="0037656C">
        <w:rPr>
          <w:rFonts w:cs="Arial"/>
          <w:rtl/>
        </w:rPr>
        <w:t>ז"ל חלקו על דברי המתירים ואומרים שלא התירו חכמים אלא כשהאמת כן</w:t>
      </w:r>
      <w:r w:rsidRPr="0037656C">
        <w:rPr>
          <w:rFonts w:cs="Arial" w:hint="cs"/>
          <w:rtl/>
        </w:rPr>
        <w:t>,</w:t>
      </w:r>
      <w:r w:rsidRPr="0037656C">
        <w:rPr>
          <w:rFonts w:cs="Arial"/>
          <w:rtl/>
        </w:rPr>
        <w:t xml:space="preserve"> כלומר שהם יתלו הדבר באריסות ואם יחקרו הדבר ימצאו שכן הוא שהגוי חולק בפירות</w:t>
      </w:r>
      <w:r w:rsidRPr="0037656C">
        <w:rPr>
          <w:rFonts w:cs="Arial" w:hint="cs"/>
          <w:rtl/>
        </w:rPr>
        <w:t>,</w:t>
      </w:r>
      <w:r w:rsidRPr="0037656C">
        <w:rPr>
          <w:rFonts w:cs="Arial"/>
          <w:rtl/>
        </w:rPr>
        <w:t xml:space="preserve"> אבל כהאי גוונא שהבעלים נוטלים כל הפירות מיחזי להו לאינשי כשכיר יום</w:t>
      </w:r>
      <w:r>
        <w:rPr>
          <w:rFonts w:cs="Arial" w:hint="cs"/>
          <w:rtl/>
        </w:rPr>
        <w:t>, ב"י</w:t>
      </w:r>
      <w:r w:rsidRPr="0037656C">
        <w:rPr>
          <w:rFonts w:cs="Arial" w:hint="cs"/>
          <w:rtl/>
        </w:rPr>
        <w:t>.</w:t>
      </w:r>
    </w:p>
  </w:footnote>
  <w:footnote w:id="37">
    <w:p w14:paraId="3262FD2C" w14:textId="77777777" w:rsidR="004B2E7C" w:rsidRDefault="004B2E7C" w:rsidP="00285819">
      <w:pPr>
        <w:pStyle w:val="a7"/>
      </w:pPr>
      <w:r>
        <w:rPr>
          <w:rStyle w:val="a9"/>
        </w:rPr>
        <w:footnoteRef/>
      </w:r>
      <w:r>
        <w:rPr>
          <w:rtl/>
        </w:rPr>
        <w:t xml:space="preserve"> </w:t>
      </w:r>
      <w:r>
        <w:rPr>
          <w:rFonts w:hint="cs"/>
          <w:rtl/>
        </w:rPr>
        <w:t>לא הבנתי כל כך למה הב"י הביא את דברי הסמ"ג, הרי ברור מדברי כל הראשונים שאף מלאכה דאו' מותרת.</w:t>
      </w:r>
    </w:p>
  </w:footnote>
  <w:footnote w:id="38">
    <w:p w14:paraId="1A973CB4" w14:textId="77777777" w:rsidR="004B2E7C" w:rsidRDefault="004B2E7C" w:rsidP="00285819">
      <w:pPr>
        <w:pStyle w:val="a7"/>
      </w:pPr>
      <w:r>
        <w:rPr>
          <w:rStyle w:val="a9"/>
        </w:rPr>
        <w:footnoteRef/>
      </w:r>
      <w:r>
        <w:rPr>
          <w:rtl/>
        </w:rPr>
        <w:t xml:space="preserve"> </w:t>
      </w:r>
      <w:r w:rsidRPr="00CC383D">
        <w:rPr>
          <w:rFonts w:cs="Arial"/>
          <w:rtl/>
        </w:rPr>
        <w:t>ואף על גב שקצת יודעים שהיא מלאכת ישראל שרי כיון שנעשה בצנעה כ"ה פשוט וכ"מ ס"ד משא"כ בהג"ה מיירי במלאכת מחובר ותוך התחום ושם חיישי' אפי' לאורחים ולבני ביתו כנ"ל פשוט דלא כע"ש</w:t>
      </w:r>
      <w:r>
        <w:rPr>
          <w:rFonts w:cs="Arial" w:hint="cs"/>
          <w:rtl/>
        </w:rPr>
        <w:t>, מג"א (סק"ב). וכ"כ המשנ"ב (סק"ד).</w:t>
      </w:r>
    </w:p>
  </w:footnote>
  <w:footnote w:id="39">
    <w:p w14:paraId="37009650" w14:textId="77777777" w:rsidR="004B2E7C" w:rsidRDefault="004B2E7C" w:rsidP="00285819">
      <w:pPr>
        <w:pStyle w:val="a7"/>
      </w:pPr>
      <w:r>
        <w:rPr>
          <w:rStyle w:val="a9"/>
        </w:rPr>
        <w:footnoteRef/>
      </w:r>
      <w:r>
        <w:rPr>
          <w:rtl/>
        </w:rPr>
        <w:t xml:space="preserve"> </w:t>
      </w:r>
      <w:r w:rsidRPr="00CC383D">
        <w:rPr>
          <w:rFonts w:cs="Arial"/>
          <w:rtl/>
        </w:rPr>
        <w:t>מדלא כ' סתם לבנות לו בית משמע דוקא כשידוע שהוא שלו אבל אם הוא עומד במקום שאין ידוע שהוא שלו שרי כמ"ש ססי' רמ"ג ומ"מ נ"ל דאסור דיש לחוש לשכיניו שיודעים שהוא שלו ויחשדוהו כמ"ש בהג"ה</w:t>
      </w:r>
      <w:r>
        <w:rPr>
          <w:rFonts w:cs="Arial" w:hint="cs"/>
          <w:rtl/>
        </w:rPr>
        <w:t>, מג"א (סק"ד).</w:t>
      </w:r>
    </w:p>
  </w:footnote>
  <w:footnote w:id="40">
    <w:p w14:paraId="2C935B7F" w14:textId="77777777" w:rsidR="004B2E7C" w:rsidRDefault="004B2E7C" w:rsidP="00285819">
      <w:pPr>
        <w:pStyle w:val="a7"/>
      </w:pPr>
      <w:r>
        <w:rPr>
          <w:rStyle w:val="a9"/>
        </w:rPr>
        <w:footnoteRef/>
      </w:r>
      <w:r>
        <w:rPr>
          <w:rtl/>
        </w:rPr>
        <w:t xml:space="preserve"> </w:t>
      </w:r>
      <w:r w:rsidRPr="00CC383D">
        <w:rPr>
          <w:rFonts w:cs="Arial"/>
          <w:rtl/>
        </w:rPr>
        <w:t>ר"ל שהוא דר מחוץ לתחום העיר וגם אין עיר אחרת בתוך תחומו אפ"ה אסור דיש לחוש לאורחים דמקלעי לגביה ויחשדוהו ומה דמקילין לקמיה מבחוץ לתחום היינו כשרק המלאכה היא שם אבל הוא בעצמו דר בעיר</w:t>
      </w:r>
      <w:r>
        <w:rPr>
          <w:rFonts w:cs="Arial" w:hint="cs"/>
          <w:rtl/>
        </w:rPr>
        <w:t>, משנ"ב (סקי"א).</w:t>
      </w:r>
    </w:p>
  </w:footnote>
  <w:footnote w:id="41">
    <w:p w14:paraId="2C29E836" w14:textId="77777777" w:rsidR="004B2E7C" w:rsidRDefault="004B2E7C" w:rsidP="00285819">
      <w:pPr>
        <w:pStyle w:val="a7"/>
      </w:pPr>
      <w:r>
        <w:rPr>
          <w:rStyle w:val="a9"/>
        </w:rPr>
        <w:footnoteRef/>
      </w:r>
      <w:r>
        <w:rPr>
          <w:rtl/>
        </w:rPr>
        <w:t xml:space="preserve"> </w:t>
      </w:r>
      <w:r w:rsidRPr="00CC383D">
        <w:rPr>
          <w:rFonts w:cs="Arial"/>
          <w:rtl/>
        </w:rPr>
        <w:t>וה"ה כשדר שם איזה יהודי בתוך התחום של מלאכה ג"כ אסור ויצוה להאינו יהודי קודם שבת שלא יעשה בשבת</w:t>
      </w:r>
      <w:r>
        <w:rPr>
          <w:rFonts w:cs="Arial" w:hint="cs"/>
          <w:rtl/>
        </w:rPr>
        <w:t>, משנ"ב (סקי"ב).</w:t>
      </w:r>
    </w:p>
  </w:footnote>
  <w:footnote w:id="42">
    <w:p w14:paraId="5EBE279F" w14:textId="77777777" w:rsidR="004B2E7C" w:rsidRDefault="004B2E7C" w:rsidP="00285819">
      <w:pPr>
        <w:pStyle w:val="a7"/>
        <w:rPr>
          <w:rtl/>
        </w:rPr>
      </w:pPr>
      <w:r>
        <w:rPr>
          <w:rStyle w:val="a9"/>
        </w:rPr>
        <w:footnoteRef/>
      </w:r>
      <w:r>
        <w:rPr>
          <w:rtl/>
        </w:rPr>
        <w:t xml:space="preserve"> </w:t>
      </w:r>
      <w:r w:rsidRPr="00704D8A">
        <w:rPr>
          <w:rFonts w:cs="Arial"/>
          <w:rtl/>
        </w:rPr>
        <w:t>ומ"מ כתבו כמה אחרונים דאם יש חשש ח"ו שיתבטל הבנין בהכ"נ לגמרי מותר להניח לאינו יהודי לבנותו כשהוא בקבלנות ובלבד שיהיה מפורסם לכל שהוא בקבלנות</w:t>
      </w:r>
      <w:r>
        <w:rPr>
          <w:rFonts w:hint="cs"/>
          <w:rtl/>
        </w:rPr>
        <w:t>, משנ"ב (סקי"ג).</w:t>
      </w:r>
    </w:p>
  </w:footnote>
  <w:footnote w:id="43">
    <w:p w14:paraId="4002EDF5" w14:textId="77777777" w:rsidR="004B2E7C" w:rsidRDefault="004B2E7C" w:rsidP="00285819">
      <w:pPr>
        <w:pStyle w:val="a7"/>
      </w:pPr>
      <w:r>
        <w:rPr>
          <w:rStyle w:val="a9"/>
        </w:rPr>
        <w:footnoteRef/>
      </w:r>
      <w:r>
        <w:rPr>
          <w:rtl/>
        </w:rPr>
        <w:t xml:space="preserve"> </w:t>
      </w:r>
      <w:r>
        <w:rPr>
          <w:rFonts w:cs="Arial" w:hint="cs"/>
          <w:rtl/>
        </w:rPr>
        <w:t xml:space="preserve">כתב הב"י- </w:t>
      </w:r>
      <w:r w:rsidRPr="0099728C">
        <w:rPr>
          <w:rFonts w:cs="Arial"/>
          <w:rtl/>
        </w:rPr>
        <w:t xml:space="preserve">ונראה מדבריהם </w:t>
      </w:r>
      <w:r>
        <w:rPr>
          <w:rFonts w:cs="Arial" w:hint="cs"/>
          <w:sz w:val="16"/>
          <w:szCs w:val="16"/>
          <w:rtl/>
        </w:rPr>
        <w:t xml:space="preserve">{של התוס' והרא"ש הנ"ל} </w:t>
      </w:r>
      <w:r w:rsidRPr="0099728C">
        <w:rPr>
          <w:rFonts w:cs="Arial"/>
          <w:rtl/>
        </w:rPr>
        <w:t>דמדינא אסור וכן נראה מדברי סמ"ג (לאוין סה יט ע"ג) והגה</w:t>
      </w:r>
      <w:r>
        <w:rPr>
          <w:rFonts w:cs="Arial" w:hint="cs"/>
          <w:rtl/>
        </w:rPr>
        <w:t xml:space="preserve">"מ </w:t>
      </w:r>
      <w:r w:rsidRPr="0099728C">
        <w:rPr>
          <w:rFonts w:cs="Arial"/>
          <w:rtl/>
        </w:rPr>
        <w:t>בפ"ו (אות מ) אבל מדברי רבינו ירוחם בחי"ב (ני"ב פב ריש ע"ב) נראה דחומרא בעלמא הוא שכתב וז"ל</w:t>
      </w:r>
      <w:r>
        <w:rPr>
          <w:rFonts w:cs="Arial" w:hint="cs"/>
          <w:rtl/>
        </w:rPr>
        <w:t>-...</w:t>
      </w:r>
    </w:p>
  </w:footnote>
  <w:footnote w:id="44">
    <w:p w14:paraId="4B6F98C2" w14:textId="77777777" w:rsidR="004B2E7C" w:rsidRDefault="004B2E7C" w:rsidP="00285819">
      <w:pPr>
        <w:pStyle w:val="a7"/>
        <w:rPr>
          <w:rtl/>
        </w:rPr>
      </w:pPr>
      <w:r>
        <w:rPr>
          <w:rStyle w:val="a9"/>
        </w:rPr>
        <w:footnoteRef/>
      </w:r>
      <w:r>
        <w:rPr>
          <w:rtl/>
        </w:rPr>
        <w:t xml:space="preserve"> </w:t>
      </w:r>
      <w:r w:rsidRPr="0099728C">
        <w:rPr>
          <w:rFonts w:cs="Arial"/>
          <w:rtl/>
        </w:rPr>
        <w:t xml:space="preserve">ונראה שכתב כן מפני שכתב הרא"ש </w:t>
      </w:r>
      <w:r>
        <w:rPr>
          <w:rFonts w:cs="Arial" w:hint="cs"/>
          <w:rtl/>
        </w:rPr>
        <w:t>'</w:t>
      </w:r>
      <w:r w:rsidRPr="0099728C">
        <w:rPr>
          <w:rFonts w:cs="Arial"/>
          <w:rtl/>
        </w:rPr>
        <w:t>וכן שמעתי שזקנו של אבא מורי בנו לו בית בקבלנות וסיתתו האומנים בביתם בשבת ולא רצה לשקעם בבנין</w:t>
      </w:r>
      <w:r>
        <w:rPr>
          <w:rFonts w:cs="Arial" w:hint="cs"/>
          <w:rtl/>
        </w:rPr>
        <w:t>'.</w:t>
      </w:r>
      <w:r w:rsidRPr="0099728C">
        <w:rPr>
          <w:rFonts w:cs="Arial"/>
          <w:rtl/>
        </w:rPr>
        <w:t xml:space="preserve"> ומשמע לרבינו ירוחם דדרך חומרא הוא</w:t>
      </w:r>
      <w:r>
        <w:rPr>
          <w:rFonts w:cs="Arial" w:hint="cs"/>
          <w:rtl/>
        </w:rPr>
        <w:t>,</w:t>
      </w:r>
      <w:r w:rsidRPr="0099728C">
        <w:rPr>
          <w:rFonts w:cs="Arial"/>
          <w:rtl/>
        </w:rPr>
        <w:t xml:space="preserve"> דאל"כ למה ליה לאתויי מעשה זקנו</w:t>
      </w:r>
      <w:r>
        <w:rPr>
          <w:rFonts w:cs="Arial" w:hint="cs"/>
          <w:rtl/>
        </w:rPr>
        <w:t>.</w:t>
      </w:r>
      <w:r w:rsidRPr="0099728C">
        <w:rPr>
          <w:rFonts w:cs="Arial"/>
          <w:rtl/>
        </w:rPr>
        <w:t xml:space="preserve"> ולי אין זה כדאי להוכיח כן</w:t>
      </w:r>
      <w:r>
        <w:rPr>
          <w:rFonts w:cs="Arial" w:hint="cs"/>
          <w:rtl/>
        </w:rPr>
        <w:t>,</w:t>
      </w:r>
      <w:r w:rsidRPr="0099728C">
        <w:rPr>
          <w:rFonts w:cs="Arial"/>
          <w:rtl/>
        </w:rPr>
        <w:t xml:space="preserve"> דהא אפשר דמייתי ראיה מזקנו דהלכה כרבי שמעון בן אלעזר דירושלמי</w:t>
      </w:r>
      <w:r>
        <w:rPr>
          <w:rFonts w:cs="Arial" w:hint="cs"/>
          <w:rtl/>
        </w:rPr>
        <w:t>.</w:t>
      </w:r>
      <w:r w:rsidRPr="0099728C">
        <w:rPr>
          <w:rFonts w:cs="Arial"/>
          <w:rtl/>
        </w:rPr>
        <w:t xml:space="preserve"> אי נמי מייתי ראיה דסיתות האבנים מיקרי מחובר לקרקע</w:t>
      </w:r>
      <w:r>
        <w:rPr>
          <w:rFonts w:cs="Arial" w:hint="cs"/>
          <w:rtl/>
        </w:rPr>
        <w:t>.</w:t>
      </w:r>
      <w:r w:rsidRPr="0099728C">
        <w:rPr>
          <w:rFonts w:cs="Arial"/>
          <w:rtl/>
        </w:rPr>
        <w:t xml:space="preserve"> מיהו בספר התרומה (סוף סי' רכב) נראה שהוא מסופק בדבר</w:t>
      </w:r>
      <w:r>
        <w:rPr>
          <w:rFonts w:cs="Arial" w:hint="cs"/>
          <w:rtl/>
        </w:rPr>
        <w:t>, ב"י.</w:t>
      </w:r>
      <w:r w:rsidRPr="00791DD6">
        <w:rPr>
          <w:rFonts w:cs="Arial"/>
          <w:rtl/>
        </w:rPr>
        <w:t xml:space="preserve"> </w:t>
      </w:r>
    </w:p>
  </w:footnote>
  <w:footnote w:id="45">
    <w:p w14:paraId="134432A1" w14:textId="77777777" w:rsidR="004B2E7C" w:rsidRDefault="004B2E7C" w:rsidP="00285819">
      <w:pPr>
        <w:pStyle w:val="a7"/>
      </w:pPr>
      <w:r>
        <w:rPr>
          <w:rStyle w:val="a9"/>
        </w:rPr>
        <w:footnoteRef/>
      </w:r>
      <w:r>
        <w:rPr>
          <w:rtl/>
        </w:rPr>
        <w:t xml:space="preserve"> </w:t>
      </w:r>
      <w:r>
        <w:rPr>
          <w:rFonts w:hint="cs"/>
          <w:rtl/>
        </w:rPr>
        <w:t xml:space="preserve">היינו בתוך התחום רק רחוק כנ"ל. דאילו </w:t>
      </w:r>
      <w:r w:rsidRPr="00C93FCD">
        <w:rPr>
          <w:rtl/>
        </w:rPr>
        <w:t>היתה המלאכה חוץ לתחום, וגם אין עיר אחרת בתוך תחומו של מקום</w:t>
      </w:r>
      <w:r>
        <w:rPr>
          <w:rFonts w:hint="cs"/>
          <w:rtl/>
        </w:rPr>
        <w:t xml:space="preserve"> </w:t>
      </w:r>
      <w:r>
        <w:rPr>
          <w:rtl/>
        </w:rPr>
        <w:t>–</w:t>
      </w:r>
      <w:r>
        <w:rPr>
          <w:rFonts w:hint="cs"/>
          <w:rtl/>
        </w:rPr>
        <w:t xml:space="preserve"> שרי כבניין בית.</w:t>
      </w:r>
    </w:p>
  </w:footnote>
  <w:footnote w:id="46">
    <w:p w14:paraId="3A571066" w14:textId="77777777" w:rsidR="004B2E7C" w:rsidRDefault="004B2E7C" w:rsidP="00285819">
      <w:pPr>
        <w:pStyle w:val="a7"/>
        <w:rPr>
          <w:rtl/>
        </w:rPr>
      </w:pPr>
      <w:r>
        <w:rPr>
          <w:rStyle w:val="a9"/>
        </w:rPr>
        <w:footnoteRef/>
      </w:r>
      <w:r>
        <w:rPr>
          <w:rtl/>
        </w:rPr>
        <w:t xml:space="preserve"> </w:t>
      </w:r>
      <w:r w:rsidRPr="00D307CD">
        <w:rPr>
          <w:rFonts w:cs="Arial"/>
          <w:rtl/>
        </w:rPr>
        <w:t>ודוקא כשאבנים וקורות הם של ישראל ונתנם לאומן אינו יהודי לסתתם ולתקנם אבל אם האינו יהודי מסתת אבנים שלו ומתקן קורות שלו שהישראל עשה עמו קיבולת על הכל והברירה עוד ביד האינו יהודי לסתת אבנים אחרות ולהחזיק אלו לעצמו אפילו עושה זה לצורך ישראל אם אינו בביתו של ישראל אף שהוא מפורסם שעשה זה לצורך ישראל מותר שזה לא נקרא עדיין מלאכת ישראל כ"כ הדגמ"ר וכבר קדמו בתשובת הרדב"ז בחלק ששי סימן נ"ו אך שמסיים שם דאם היה האינו יהודי מסתת אותם בשבת סמוך לבנין אין נכון הדבר משום מראית העין שלא יאמרו שכירו הוא</w:t>
      </w:r>
      <w:r>
        <w:rPr>
          <w:rFonts w:hint="cs"/>
          <w:rtl/>
        </w:rPr>
        <w:t>, משנ"ב (סקי"ד).</w:t>
      </w:r>
    </w:p>
  </w:footnote>
  <w:footnote w:id="47">
    <w:p w14:paraId="391CDE97" w14:textId="77777777" w:rsidR="004B2E7C" w:rsidRDefault="004B2E7C" w:rsidP="00285819">
      <w:pPr>
        <w:pStyle w:val="a7"/>
      </w:pPr>
      <w:r>
        <w:rPr>
          <w:rStyle w:val="a9"/>
        </w:rPr>
        <w:footnoteRef/>
      </w:r>
      <w:r>
        <w:rPr>
          <w:rtl/>
        </w:rPr>
        <w:t xml:space="preserve"> </w:t>
      </w:r>
      <w:r w:rsidRPr="00704D8A">
        <w:rPr>
          <w:rFonts w:cs="Arial"/>
          <w:rtl/>
        </w:rPr>
        <w:t>הי"א קאי אכולהו דהיינו אף מחובר גמור לא אסרו בקבלנות אלא בסתמא דמסתמא שם הישראל נקרא עליו אבל בידוע לנו שאינו מפורסם הבנין על שם ישראל לא אסרו בקיבולת והא דציין הרמ"א הי"א על סיתות אבנים משום דבבנין ממש אין מצוי זה</w:t>
      </w:r>
      <w:r>
        <w:rPr>
          <w:rFonts w:cs="Arial" w:hint="cs"/>
          <w:rtl/>
        </w:rPr>
        <w:t>, משנ"ב (סקי"ז).</w:t>
      </w:r>
    </w:p>
  </w:footnote>
  <w:footnote w:id="48">
    <w:p w14:paraId="23940FEA" w14:textId="77777777" w:rsidR="004B2E7C" w:rsidRDefault="004B2E7C" w:rsidP="00285819">
      <w:pPr>
        <w:pStyle w:val="a7"/>
      </w:pPr>
      <w:r>
        <w:rPr>
          <w:rStyle w:val="a9"/>
        </w:rPr>
        <w:footnoteRef/>
      </w:r>
      <w:r>
        <w:rPr>
          <w:rtl/>
        </w:rPr>
        <w:t xml:space="preserve"> </w:t>
      </w:r>
      <w:r w:rsidRPr="00D307CD">
        <w:rPr>
          <w:rFonts w:cs="Arial"/>
          <w:rtl/>
        </w:rPr>
        <w:t>היינו שאינו צריך למחות ב</w:t>
      </w:r>
      <w:r>
        <w:rPr>
          <w:rFonts w:cs="Arial" w:hint="cs"/>
          <w:rtl/>
        </w:rPr>
        <w:t>גו</w:t>
      </w:r>
      <w:r w:rsidRPr="00D307CD">
        <w:rPr>
          <w:rFonts w:cs="Arial"/>
          <w:rtl/>
        </w:rPr>
        <w:t>י אם יעשה מלאכתו בשבת ובלבד שלא יאמר לו שיעשה בשבת. וכ"ז דוקא אם ה</w:t>
      </w:r>
      <w:r>
        <w:rPr>
          <w:rFonts w:cs="Arial" w:hint="cs"/>
          <w:rtl/>
        </w:rPr>
        <w:t>גו</w:t>
      </w:r>
      <w:r w:rsidRPr="00D307CD">
        <w:rPr>
          <w:rFonts w:cs="Arial"/>
          <w:rtl/>
        </w:rPr>
        <w:t>י עושה בביתו או שיהיה עכ"פ רחוק מהבנין כדי שלא יהיה מינכר שהוא של ישראל וכנ"ל ומשמע בכמה אחרונים דסבירא לן לדינא דהי"א הזה לענין סיתות האבנין ואפשר דגם המחבר מודה ליה בזה אך לענין מחובר גופא אפילו אם הבנין עומד במקום שאין ידוע שהוא שלו ג"כ אין להקל דיש לחוש לשכניו או לבני ביתו שיודעים שהוא שלו ויחשדוהו וכמש"כ לעיל בסק"ו</w:t>
      </w:r>
      <w:r>
        <w:rPr>
          <w:rFonts w:cs="Arial" w:hint="cs"/>
          <w:rtl/>
        </w:rPr>
        <w:t>, משנ"ב (סקי"ח).</w:t>
      </w:r>
    </w:p>
  </w:footnote>
  <w:footnote w:id="49">
    <w:p w14:paraId="02333B4F" w14:textId="77777777" w:rsidR="004B2E7C" w:rsidRDefault="004B2E7C" w:rsidP="00285819">
      <w:pPr>
        <w:pStyle w:val="a7"/>
      </w:pPr>
      <w:r>
        <w:rPr>
          <w:rStyle w:val="a9"/>
        </w:rPr>
        <w:footnoteRef/>
      </w:r>
      <w:r>
        <w:rPr>
          <w:rtl/>
        </w:rPr>
        <w:t xml:space="preserve"> </w:t>
      </w:r>
      <w:r w:rsidRPr="00AB4260">
        <w:rPr>
          <w:rFonts w:cs="Arial"/>
          <w:rtl/>
        </w:rPr>
        <w:t xml:space="preserve">שהיה נותן להם תבן למלאכה, דהואיל והוא מסייע בהדייהו </w:t>
      </w:r>
      <w:r>
        <w:rPr>
          <w:rFonts w:cs="Arial"/>
          <w:rtl/>
        </w:rPr>
        <w:t>–</w:t>
      </w:r>
      <w:r w:rsidRPr="00AB4260">
        <w:rPr>
          <w:rFonts w:cs="Arial"/>
          <w:rtl/>
        </w:rPr>
        <w:t xml:space="preserve"> אסור</w:t>
      </w:r>
      <w:r>
        <w:rPr>
          <w:rFonts w:cs="Arial" w:hint="cs"/>
          <w:rtl/>
        </w:rPr>
        <w:t>, רש"י.</w:t>
      </w:r>
    </w:p>
  </w:footnote>
  <w:footnote w:id="50">
    <w:p w14:paraId="0276FB21" w14:textId="77777777" w:rsidR="004B2E7C" w:rsidRDefault="004B2E7C" w:rsidP="00285819">
      <w:pPr>
        <w:pStyle w:val="a7"/>
      </w:pPr>
      <w:r>
        <w:rPr>
          <w:rStyle w:val="a9"/>
        </w:rPr>
        <w:footnoteRef/>
      </w:r>
      <w:r>
        <w:rPr>
          <w:rtl/>
        </w:rPr>
        <w:t xml:space="preserve"> </w:t>
      </w:r>
      <w:r w:rsidRPr="00AD6F6B">
        <w:rPr>
          <w:rFonts w:cs="Arial"/>
          <w:rtl/>
        </w:rPr>
        <w:t>ורבינו לא כתב כאן כלום לענין שבת</w:t>
      </w:r>
      <w:r>
        <w:rPr>
          <w:rFonts w:cs="Arial" w:hint="cs"/>
          <w:rtl/>
        </w:rPr>
        <w:t>, ב"י.</w:t>
      </w:r>
    </w:p>
  </w:footnote>
  <w:footnote w:id="51">
    <w:p w14:paraId="298CC1A9" w14:textId="77777777" w:rsidR="004B2E7C" w:rsidRDefault="004B2E7C" w:rsidP="00285819">
      <w:pPr>
        <w:pStyle w:val="a7"/>
        <w:rPr>
          <w:rtl/>
        </w:rPr>
      </w:pPr>
      <w:r>
        <w:rPr>
          <w:rStyle w:val="a9"/>
        </w:rPr>
        <w:footnoteRef/>
      </w:r>
      <w:r>
        <w:rPr>
          <w:rtl/>
        </w:rPr>
        <w:t xml:space="preserve"> </w:t>
      </w:r>
      <w:r w:rsidRPr="00AD6F6B">
        <w:rPr>
          <w:rFonts w:cs="Arial"/>
          <w:rtl/>
        </w:rPr>
        <w:t>וכתבו רבינו גבי חול המועד משום דמשם נלמוד להיכא דנבנה באיסור בשבת דנכון להחמיר</w:t>
      </w:r>
      <w:r>
        <w:rPr>
          <w:rFonts w:cs="Arial" w:hint="cs"/>
          <w:rtl/>
        </w:rPr>
        <w:t>,</w:t>
      </w:r>
      <w:r w:rsidRPr="00AD6F6B">
        <w:rPr>
          <w:rFonts w:cs="Arial"/>
          <w:rtl/>
        </w:rPr>
        <w:t xml:space="preserve"> דכל שכן הוא</w:t>
      </w:r>
      <w:r>
        <w:rPr>
          <w:rFonts w:cs="Arial" w:hint="cs"/>
          <w:rtl/>
        </w:rPr>
        <w:t>, ב"י.</w:t>
      </w:r>
      <w:r w:rsidRPr="00104DD8">
        <w:rPr>
          <w:rFonts w:cs="Arial" w:hint="cs"/>
          <w:color w:val="E36C0A" w:themeColor="accent6" w:themeShade="BF"/>
          <w:rtl/>
        </w:rPr>
        <w:t xml:space="preserve"> </w:t>
      </w:r>
      <w:r w:rsidRPr="0099728C">
        <w:rPr>
          <w:rFonts w:cs="Arial" w:hint="cs"/>
          <w:color w:val="E36C0A" w:themeColor="accent6" w:themeShade="BF"/>
          <w:rtl/>
        </w:rPr>
        <w:t>(וכ</w:t>
      </w:r>
      <w:r>
        <w:rPr>
          <w:rFonts w:cs="Arial" w:hint="cs"/>
          <w:color w:val="E36C0A" w:themeColor="accent6" w:themeShade="BF"/>
          <w:rtl/>
        </w:rPr>
        <w:t>"</w:t>
      </w:r>
      <w:r w:rsidRPr="0099728C">
        <w:rPr>
          <w:rFonts w:cs="Arial" w:hint="cs"/>
          <w:color w:val="E36C0A" w:themeColor="accent6" w:themeShade="BF"/>
          <w:rtl/>
        </w:rPr>
        <w:t>פ בשו"ע)</w:t>
      </w:r>
    </w:p>
  </w:footnote>
  <w:footnote w:id="52">
    <w:p w14:paraId="17EE425D" w14:textId="77777777" w:rsidR="004B2E7C" w:rsidRDefault="004B2E7C" w:rsidP="00285819">
      <w:pPr>
        <w:pStyle w:val="a7"/>
      </w:pPr>
      <w:r>
        <w:rPr>
          <w:rStyle w:val="a9"/>
        </w:rPr>
        <w:footnoteRef/>
      </w:r>
      <w:r>
        <w:rPr>
          <w:rtl/>
        </w:rPr>
        <w:t xml:space="preserve"> </w:t>
      </w:r>
      <w:r w:rsidRPr="00937F9E">
        <w:rPr>
          <w:rFonts w:cs="Arial"/>
          <w:rtl/>
        </w:rPr>
        <w:t>והאחרונים כתבו דבדיעבד יש לסמוך בקבלנות על דעת ר"ת ומותר לדור בו אפילו לעצמו וכן בסיתות האבנים ותיקון הקורות אם היה בקבלנות יש להתיר בדיעבד לשקעם בבנין</w:t>
      </w:r>
      <w:r>
        <w:rPr>
          <w:rFonts w:cs="Arial" w:hint="cs"/>
          <w:rtl/>
        </w:rPr>
        <w:t>, משנ"ב (סק"כ).</w:t>
      </w:r>
    </w:p>
  </w:footnote>
  <w:footnote w:id="53">
    <w:p w14:paraId="2A74B10B" w14:textId="77777777" w:rsidR="004B2E7C" w:rsidRDefault="004B2E7C" w:rsidP="00285819">
      <w:pPr>
        <w:pStyle w:val="a7"/>
        <w:rPr>
          <w:rtl/>
        </w:rPr>
      </w:pPr>
      <w:r>
        <w:rPr>
          <w:rStyle w:val="a9"/>
        </w:rPr>
        <w:footnoteRef/>
      </w:r>
      <w:r>
        <w:rPr>
          <w:rtl/>
        </w:rPr>
        <w:t xml:space="preserve"> </w:t>
      </w:r>
      <w:r w:rsidRPr="00937F9E">
        <w:rPr>
          <w:rFonts w:cs="Arial"/>
          <w:rtl/>
        </w:rPr>
        <w:t>ר"ל שעבר על תנאו שהתנה עמו מקודם על כן אין לו לחוש לזה דהיינו שאין צריך אפילו למחות לו עוד בעת שעושה המלאכה [כן מוכח במרדכי ורי"ו שהם מקור דין לזה שהובאו בב"י לקמן וכן מוכח מביאור הגר"א] ועיין במ"א שמפקפק מאד בדין זה דכיון שהוא מחובר והוי מילתא דפרהסיא איכא חשדא דרואים שלא ידעו שהתנה וכן בא"ר נתקשה על עיקר הדין של המרדכי וע"כ אין להקל בזה אלא יראה למחות לו ולמנעו מפעולתו וכתב הא"ר דמ"מ נראה שא"צ ליתן להם מעות כדי שיפסקו כיון שבכך התנה מתחלה ונרצו לכך עכ"ד ומשמע מלשונו דאם לא התנה מתחלה אין די במחאתו בלבד אלא צריך לפזר ממעותיו כדי שיפסקו ונראה שטעמו דפשע דה"ל להתנות מתחלה וצ"ע לדינא</w:t>
      </w:r>
      <w:r>
        <w:rPr>
          <w:rFonts w:hint="cs"/>
          <w:rtl/>
        </w:rPr>
        <w:t>, משנ"ב (סקכ"ב).</w:t>
      </w:r>
    </w:p>
  </w:footnote>
  <w:footnote w:id="54">
    <w:p w14:paraId="59B8C2DE" w14:textId="77777777" w:rsidR="004B2E7C" w:rsidRDefault="004B2E7C" w:rsidP="00285819">
      <w:pPr>
        <w:pStyle w:val="a7"/>
      </w:pPr>
      <w:r>
        <w:rPr>
          <w:rStyle w:val="a9"/>
        </w:rPr>
        <w:footnoteRef/>
      </w:r>
      <w:r>
        <w:rPr>
          <w:rtl/>
        </w:rPr>
        <w:t xml:space="preserve"> </w:t>
      </w:r>
      <w:r>
        <w:rPr>
          <w:rFonts w:hint="cs"/>
          <w:rtl/>
        </w:rPr>
        <w:t xml:space="preserve">ועיין בסע' ו שפירש הב"י באחד הפירושים </w:t>
      </w:r>
      <w:r>
        <w:rPr>
          <w:rFonts w:cs="Arial" w:hint="cs"/>
          <w:rtl/>
        </w:rPr>
        <w:t xml:space="preserve">דמיירי הכא </w:t>
      </w:r>
      <w:r w:rsidRPr="002679D6">
        <w:rPr>
          <w:rFonts w:cs="Arial"/>
          <w:rtl/>
        </w:rPr>
        <w:t>ב</w:t>
      </w:r>
      <w:r>
        <w:rPr>
          <w:rFonts w:cs="Arial" w:hint="cs"/>
          <w:rtl/>
        </w:rPr>
        <w:t xml:space="preserve">מלאכת פרהסיא </w:t>
      </w:r>
      <w:r w:rsidRPr="002679D6">
        <w:rPr>
          <w:rFonts w:cs="Arial"/>
          <w:rtl/>
        </w:rPr>
        <w:t>דליכא</w:t>
      </w:r>
      <w:r>
        <w:rPr>
          <w:rFonts w:cs="Arial" w:hint="cs"/>
          <w:rtl/>
        </w:rPr>
        <w:t xml:space="preserve"> בה</w:t>
      </w:r>
      <w:r w:rsidRPr="002679D6">
        <w:rPr>
          <w:rFonts w:cs="Arial"/>
          <w:rtl/>
        </w:rPr>
        <w:t xml:space="preserve"> פסידא אבל היכא דאיכא פסידא כי הכא </w:t>
      </w:r>
      <w:r>
        <w:rPr>
          <w:rFonts w:cs="Arial" w:hint="cs"/>
          <w:sz w:val="16"/>
          <w:szCs w:val="16"/>
          <w:rtl/>
        </w:rPr>
        <w:t xml:space="preserve">{היינו כמו בסע' ו עם קניית המכס} </w:t>
      </w:r>
      <w:r w:rsidRPr="002679D6">
        <w:rPr>
          <w:rFonts w:cs="Arial"/>
          <w:rtl/>
        </w:rPr>
        <w:t>מודו דשרי.</w:t>
      </w:r>
    </w:p>
  </w:footnote>
  <w:footnote w:id="55">
    <w:p w14:paraId="2018B09E" w14:textId="77777777" w:rsidR="004B2E7C" w:rsidRDefault="004B2E7C" w:rsidP="00285819">
      <w:pPr>
        <w:pStyle w:val="a7"/>
      </w:pPr>
      <w:r>
        <w:rPr>
          <w:rStyle w:val="a9"/>
        </w:rPr>
        <w:footnoteRef/>
      </w:r>
      <w:r>
        <w:rPr>
          <w:rtl/>
        </w:rPr>
        <w:t xml:space="preserve"> </w:t>
      </w:r>
      <w:r w:rsidRPr="00E757AD">
        <w:rPr>
          <w:rFonts w:cs="Arial"/>
          <w:rtl/>
        </w:rPr>
        <w:t>עסי' רנ"ב ס"ג דבעינן דוק' שעושה במקום מפורס' ולכן נקט ספינה דרגילות לעשות בפרהסיא דלא כע"ש שלא ע"ש</w:t>
      </w:r>
      <w:r>
        <w:rPr>
          <w:rFonts w:cs="Arial" w:hint="cs"/>
          <w:rtl/>
        </w:rPr>
        <w:t>, מג"א (סקי"ג).</w:t>
      </w:r>
    </w:p>
  </w:footnote>
  <w:footnote w:id="56">
    <w:p w14:paraId="6E3C5B70" w14:textId="77777777" w:rsidR="004B2E7C" w:rsidRDefault="004B2E7C" w:rsidP="00285819">
      <w:pPr>
        <w:pStyle w:val="a7"/>
        <w:rPr>
          <w:rtl/>
        </w:rPr>
      </w:pPr>
      <w:r>
        <w:rPr>
          <w:rStyle w:val="a9"/>
        </w:rPr>
        <w:footnoteRef/>
      </w:r>
      <w:r>
        <w:rPr>
          <w:rtl/>
        </w:rPr>
        <w:t xml:space="preserve"> </w:t>
      </w:r>
      <w:r w:rsidRPr="002679D6">
        <w:rPr>
          <w:rFonts w:cs="Arial"/>
          <w:rtl/>
        </w:rPr>
        <w:t>וכתבו רבינו בסימן זה בשמו אגב גררא אף על פי שאינו ענין לו דהא לא שקיל וטרי בענין סימן זה אלא במלאכה דמחובר</w:t>
      </w:r>
      <w:r>
        <w:rPr>
          <w:rFonts w:hint="cs"/>
          <w:rtl/>
        </w:rPr>
        <w:t>, ב"י.</w:t>
      </w:r>
      <w:r w:rsidRPr="00D41AD3">
        <w:rPr>
          <w:rFonts w:cs="Arial" w:hint="cs"/>
          <w:rtl/>
        </w:rPr>
        <w:t xml:space="preserve"> </w:t>
      </w:r>
      <w:r>
        <w:rPr>
          <w:rFonts w:cs="Arial" w:hint="cs"/>
          <w:rtl/>
        </w:rPr>
        <w:t xml:space="preserve">וכתב הדרכ"מ </w:t>
      </w:r>
      <w:r w:rsidRPr="00791DD6">
        <w:rPr>
          <w:rFonts w:cs="Arial"/>
          <w:rtl/>
        </w:rPr>
        <w:t>(</w:t>
      </w:r>
      <w:r>
        <w:rPr>
          <w:rFonts w:cs="Arial" w:hint="cs"/>
          <w:rtl/>
        </w:rPr>
        <w:t xml:space="preserve">אות </w:t>
      </w:r>
      <w:r w:rsidRPr="00791DD6">
        <w:rPr>
          <w:rFonts w:cs="Arial"/>
          <w:rtl/>
        </w:rPr>
        <w:t xml:space="preserve">ג) </w:t>
      </w:r>
      <w:r>
        <w:rPr>
          <w:rFonts w:cs="Arial" w:hint="cs"/>
          <w:rtl/>
        </w:rPr>
        <w:t>דמכיוון ש</w:t>
      </w:r>
      <w:r w:rsidRPr="00791DD6">
        <w:rPr>
          <w:rFonts w:cs="Arial"/>
          <w:rtl/>
        </w:rPr>
        <w:t>הטור הביא דברי הרמב"ם משמע דהכי סבירא ליה</w:t>
      </w:r>
      <w:r>
        <w:rPr>
          <w:rFonts w:cs="Arial" w:hint="cs"/>
          <w:rtl/>
        </w:rPr>
        <w:t>.</w:t>
      </w:r>
    </w:p>
  </w:footnote>
  <w:footnote w:id="57">
    <w:p w14:paraId="1C8CC0D0" w14:textId="77777777" w:rsidR="004B2E7C" w:rsidRDefault="004B2E7C" w:rsidP="00285819">
      <w:pPr>
        <w:pStyle w:val="a7"/>
        <w:rPr>
          <w:rtl/>
        </w:rPr>
      </w:pPr>
      <w:r>
        <w:rPr>
          <w:rStyle w:val="a9"/>
        </w:rPr>
        <w:footnoteRef/>
      </w:r>
      <w:r>
        <w:rPr>
          <w:rtl/>
        </w:rPr>
        <w:t xml:space="preserve"> </w:t>
      </w:r>
      <w:r w:rsidRPr="002679D6">
        <w:rPr>
          <w:rFonts w:cs="Arial"/>
          <w:rtl/>
        </w:rPr>
        <w:t>וזה נוטה לדעת הרמב"ם</w:t>
      </w:r>
      <w:r>
        <w:rPr>
          <w:rFonts w:cs="Arial" w:hint="cs"/>
          <w:rtl/>
        </w:rPr>
        <w:t>,</w:t>
      </w:r>
      <w:r w:rsidRPr="002679D6">
        <w:rPr>
          <w:rFonts w:cs="Arial"/>
          <w:rtl/>
        </w:rPr>
        <w:t xml:space="preserve"> אלא שלא התיר להדיא אלא בדליקה</w:t>
      </w:r>
      <w:r>
        <w:rPr>
          <w:rFonts w:cs="Arial" w:hint="cs"/>
          <w:rtl/>
        </w:rPr>
        <w:t>,</w:t>
      </w:r>
      <w:r w:rsidRPr="002679D6">
        <w:rPr>
          <w:rFonts w:cs="Arial"/>
          <w:rtl/>
        </w:rPr>
        <w:t xml:space="preserve"> ואפשר דעד כאן לא שרי הרמב"ם אלא בשוכר את הגוי לשנה לעשות עמו מלאכה מיוחדת כגון לכתוב לו ספר או לארוג לו בגד</w:t>
      </w:r>
      <w:r>
        <w:rPr>
          <w:rFonts w:cs="Arial" w:hint="cs"/>
          <w:rtl/>
        </w:rPr>
        <w:t>,</w:t>
      </w:r>
      <w:r w:rsidRPr="002679D6">
        <w:rPr>
          <w:rFonts w:cs="Arial"/>
          <w:rtl/>
        </w:rPr>
        <w:t xml:space="preserve"> אבל כששכרו לעשות לו כל מלאכות שיצטרך לשנה אחת יודה הרמב"ם דאסור לעשות לו מלאכתו בשבת</w:t>
      </w:r>
      <w:r>
        <w:rPr>
          <w:rFonts w:cs="Arial" w:hint="cs"/>
          <w:rtl/>
        </w:rPr>
        <w:t xml:space="preserve"> </w:t>
      </w:r>
      <w:r w:rsidRPr="001B7775">
        <w:rPr>
          <w:rFonts w:cs="Arial" w:hint="cs"/>
          <w:color w:val="00B0F0"/>
          <w:rtl/>
        </w:rPr>
        <w:t>(וכ"פ הרמ"א)</w:t>
      </w:r>
      <w:r w:rsidRPr="002679D6">
        <w:rPr>
          <w:rFonts w:cs="Arial"/>
          <w:rtl/>
        </w:rPr>
        <w:t>. ודבר פשוט הוא דלא איירי הרמב"ם אלא כשהגוי עושה מלאכה בתוך ביתו דאילו בביתו של ישראל ודאי אסור כמו שנתבאר בירושלמי שכתבתי</w:t>
      </w:r>
      <w:r>
        <w:rPr>
          <w:rFonts w:hint="cs"/>
          <w:rtl/>
        </w:rPr>
        <w:t>, ב"י.</w:t>
      </w:r>
    </w:p>
  </w:footnote>
  <w:footnote w:id="58">
    <w:p w14:paraId="5ECDBF68" w14:textId="77777777" w:rsidR="004B2E7C" w:rsidRDefault="004B2E7C" w:rsidP="00285819">
      <w:pPr>
        <w:pStyle w:val="a7"/>
        <w:rPr>
          <w:rtl/>
        </w:rPr>
      </w:pPr>
      <w:r>
        <w:rPr>
          <w:rStyle w:val="a9"/>
        </w:rPr>
        <w:footnoteRef/>
      </w:r>
      <w:r>
        <w:rPr>
          <w:rtl/>
        </w:rPr>
        <w:t xml:space="preserve"> </w:t>
      </w:r>
      <w:r w:rsidRPr="002679D6">
        <w:rPr>
          <w:rFonts w:cs="Arial"/>
          <w:rtl/>
        </w:rPr>
        <w:t xml:space="preserve">ואיכא למידק למה ליה לר"מ לאהדורי אפרק מי שהחשיך למיפרק מאי דקשיא ליה דבהנך </w:t>
      </w:r>
      <w:r>
        <w:rPr>
          <w:rFonts w:cs="Arial" w:hint="cs"/>
          <w:sz w:val="16"/>
          <w:szCs w:val="16"/>
          <w:rtl/>
        </w:rPr>
        <w:t>{בשבת קנג ע"א ד</w:t>
      </w:r>
      <w:r w:rsidRPr="008108B6">
        <w:rPr>
          <w:rFonts w:cs="Arial"/>
          <w:sz w:val="16"/>
          <w:szCs w:val="16"/>
          <w:rtl/>
        </w:rPr>
        <w:t>שרו ליה רבנן למיתב כיסיה לנכרי</w:t>
      </w:r>
      <w:r>
        <w:rPr>
          <w:rFonts w:cs="Arial" w:hint="cs"/>
          <w:sz w:val="16"/>
          <w:szCs w:val="16"/>
          <w:rtl/>
        </w:rPr>
        <w:t>}</w:t>
      </w:r>
      <w:r w:rsidRPr="008108B6">
        <w:rPr>
          <w:rFonts w:cs="Arial"/>
          <w:sz w:val="16"/>
          <w:szCs w:val="16"/>
          <w:rtl/>
        </w:rPr>
        <w:t xml:space="preserve"> </w:t>
      </w:r>
      <w:r w:rsidRPr="002679D6">
        <w:rPr>
          <w:rFonts w:cs="Arial"/>
          <w:rtl/>
        </w:rPr>
        <w:t>אין ישראל קובע מלאכתו בשבת ובנדון זה קובע לו ליטול מכס בשבת</w:t>
      </w:r>
      <w:r>
        <w:rPr>
          <w:rFonts w:cs="Arial" w:hint="cs"/>
          <w:rtl/>
        </w:rPr>
        <w:t>,</w:t>
      </w:r>
      <w:r w:rsidRPr="002679D6">
        <w:rPr>
          <w:rFonts w:cs="Arial"/>
          <w:rtl/>
        </w:rPr>
        <w:t xml:space="preserve"> לימא דשאני הכא שאין בקבלת המכס איסור דאורייתא</w:t>
      </w:r>
      <w:r>
        <w:rPr>
          <w:rFonts w:cs="Arial" w:hint="cs"/>
          <w:rtl/>
        </w:rPr>
        <w:t>.</w:t>
      </w:r>
      <w:r w:rsidRPr="002679D6">
        <w:rPr>
          <w:rFonts w:cs="Arial"/>
          <w:rtl/>
        </w:rPr>
        <w:t xml:space="preserve"> י"ל דסתם מקבלי מכס צריכין לכתוב</w:t>
      </w:r>
      <w:r>
        <w:rPr>
          <w:rFonts w:cs="Arial" w:hint="cs"/>
          <w:rtl/>
        </w:rPr>
        <w:t>,</w:t>
      </w:r>
      <w:r w:rsidRPr="002679D6">
        <w:rPr>
          <w:rFonts w:cs="Arial"/>
          <w:rtl/>
        </w:rPr>
        <w:t xml:space="preserve"> והא איכא מלאכה דאורייתא</w:t>
      </w:r>
      <w:r>
        <w:rPr>
          <w:rFonts w:cs="Arial" w:hint="cs"/>
          <w:rtl/>
        </w:rPr>
        <w:t>.</w:t>
      </w:r>
      <w:r w:rsidRPr="002679D6">
        <w:rPr>
          <w:rFonts w:cs="Arial"/>
          <w:rtl/>
        </w:rPr>
        <w:t xml:space="preserve"> ועי"ל </w:t>
      </w:r>
      <w:r>
        <w:rPr>
          <w:rFonts w:cs="Arial" w:hint="cs"/>
          <w:sz w:val="16"/>
          <w:szCs w:val="16"/>
          <w:rtl/>
        </w:rPr>
        <w:t xml:space="preserve">{דאפילו אם אין איסור כתיבה שם מדאו'} </w:t>
      </w:r>
      <w:r w:rsidRPr="002679D6">
        <w:rPr>
          <w:rFonts w:cs="Arial"/>
          <w:rtl/>
        </w:rPr>
        <w:t>דלא שאני לן באמירה לגוי שלא במקום מצוה בין מלאכה דאורייתא למלאכה דרבנן</w:t>
      </w:r>
      <w:r>
        <w:rPr>
          <w:rFonts w:cs="Arial" w:hint="cs"/>
          <w:rtl/>
        </w:rPr>
        <w:t>.</w:t>
      </w:r>
      <w:r w:rsidRPr="002679D6">
        <w:rPr>
          <w:rFonts w:cs="Arial"/>
          <w:rtl/>
        </w:rPr>
        <w:t xml:space="preserve"> ואם תאמר והא קבלת מכס מילתא דפרהסיא הוא וכל כהאי גוונא ליכא מאן דשרי</w:t>
      </w:r>
      <w:r>
        <w:rPr>
          <w:rFonts w:cs="Arial" w:hint="cs"/>
          <w:rtl/>
        </w:rPr>
        <w:t>,</w:t>
      </w:r>
      <w:r w:rsidRPr="002679D6">
        <w:rPr>
          <w:rFonts w:cs="Arial"/>
          <w:rtl/>
        </w:rPr>
        <w:t xml:space="preserve"> דמהאי טעמא אמרינן בירושלמי בתוך ביתו אסור</w:t>
      </w:r>
      <w:r>
        <w:rPr>
          <w:rFonts w:cs="Arial" w:hint="cs"/>
          <w:rtl/>
        </w:rPr>
        <w:t>,</w:t>
      </w:r>
      <w:r w:rsidRPr="002679D6">
        <w:rPr>
          <w:rFonts w:cs="Arial"/>
          <w:rtl/>
        </w:rPr>
        <w:t xml:space="preserve"> ואפשר לומר דהתם בדליכא פסידא אבל היכא דאיכא פסידא כי הכא מודו דשרי. ואין להקשות דהתם בפרק מי שהחשיך לא שרינן ליה משום פסידא אלא כי היכי דלא ליעבד איסורא רבה דהיינו הולכת ארבע אמות ברשות הרבים דהוי איסורא דאורייתא</w:t>
      </w:r>
      <w:r>
        <w:rPr>
          <w:rFonts w:cs="Arial" w:hint="cs"/>
          <w:rtl/>
        </w:rPr>
        <w:t>,</w:t>
      </w:r>
      <w:r w:rsidRPr="002679D6">
        <w:rPr>
          <w:rFonts w:cs="Arial"/>
          <w:rtl/>
        </w:rPr>
        <w:t xml:space="preserve"> אבל הכא דכי מקבל המכס ליכא אלא איסורא דרבנן אמאי נשרי איסור אמירה לגוי, דהא הכא נמי איכא למיחש לאיסורא דאורייתא דהיינו שמא יכתוב שכן דרך מקבלי מכסים. ונראה דאין דברי הר"מ אלא במי שכבר קנה המכס וצריך לעשות תקנה שלא יפסיד ממונו</w:t>
      </w:r>
      <w:r>
        <w:rPr>
          <w:rFonts w:cs="Arial" w:hint="cs"/>
          <w:rtl/>
        </w:rPr>
        <w:t>.</w:t>
      </w:r>
      <w:r w:rsidRPr="002679D6">
        <w:rPr>
          <w:rFonts w:cs="Arial"/>
          <w:rtl/>
        </w:rPr>
        <w:t xml:space="preserve"> אי נמי במי שחייב לו השר מעות וקונה המכס כדי להציל החוב מידו</w:t>
      </w:r>
      <w:r>
        <w:rPr>
          <w:rFonts w:cs="Arial" w:hint="cs"/>
          <w:rtl/>
        </w:rPr>
        <w:t>.</w:t>
      </w:r>
      <w:r w:rsidRPr="002679D6">
        <w:rPr>
          <w:rFonts w:cs="Arial"/>
          <w:rtl/>
        </w:rPr>
        <w:t xml:space="preserve"> אבל לקנות מכס להדיא </w:t>
      </w:r>
      <w:r>
        <w:rPr>
          <w:rFonts w:cs="Arial" w:hint="cs"/>
          <w:rtl/>
        </w:rPr>
        <w:t xml:space="preserve">- </w:t>
      </w:r>
      <w:r w:rsidRPr="002679D6">
        <w:rPr>
          <w:rFonts w:cs="Arial"/>
          <w:rtl/>
        </w:rPr>
        <w:t>לא שרינן ליה משום הרווחה</w:t>
      </w:r>
      <w:r>
        <w:rPr>
          <w:rFonts w:cs="Arial" w:hint="cs"/>
          <w:rtl/>
        </w:rPr>
        <w:t>.</w:t>
      </w:r>
      <w:r w:rsidRPr="002679D6">
        <w:rPr>
          <w:rFonts w:cs="Arial"/>
          <w:rtl/>
        </w:rPr>
        <w:t xml:space="preserve"> ומיהו אפשר דבשעת קנייה שרי</w:t>
      </w:r>
      <w:r>
        <w:rPr>
          <w:rFonts w:cs="Arial" w:hint="cs"/>
          <w:rtl/>
        </w:rPr>
        <w:t>,</w:t>
      </w:r>
      <w:r w:rsidRPr="002679D6">
        <w:rPr>
          <w:rFonts w:cs="Arial"/>
          <w:rtl/>
        </w:rPr>
        <w:t xml:space="preserve"> דהא לא עביד איסורא</w:t>
      </w:r>
      <w:r>
        <w:rPr>
          <w:rFonts w:cs="Arial" w:hint="cs"/>
          <w:rtl/>
        </w:rPr>
        <w:t>,</w:t>
      </w:r>
      <w:r w:rsidRPr="002679D6">
        <w:rPr>
          <w:rFonts w:cs="Arial"/>
          <w:rtl/>
        </w:rPr>
        <w:t xml:space="preserve"> ולכי מטי שבת כיון דכבר קנוי הוא שרי להשכיר לו גוי בקיבולת לקבל לו המכס משום פסידא</w:t>
      </w:r>
      <w:r>
        <w:rPr>
          <w:rFonts w:cs="Arial" w:hint="cs"/>
          <w:rtl/>
        </w:rPr>
        <w:t>, ב"י.</w:t>
      </w:r>
    </w:p>
  </w:footnote>
  <w:footnote w:id="59">
    <w:p w14:paraId="1634DC70" w14:textId="77777777" w:rsidR="004B2E7C" w:rsidRDefault="004B2E7C" w:rsidP="00285819">
      <w:pPr>
        <w:pStyle w:val="a7"/>
      </w:pPr>
      <w:r>
        <w:rPr>
          <w:rStyle w:val="a9"/>
        </w:rPr>
        <w:footnoteRef/>
      </w:r>
      <w:r>
        <w:rPr>
          <w:rtl/>
        </w:rPr>
        <w:t xml:space="preserve"> </w:t>
      </w:r>
      <w:r w:rsidRPr="00E05B0E">
        <w:rPr>
          <w:rFonts w:cs="Arial"/>
          <w:rtl/>
        </w:rPr>
        <w:t>דאז שרי מדינא כמו בעורות לעבדן בר</w:t>
      </w:r>
      <w:r>
        <w:rPr>
          <w:rFonts w:cs="Arial" w:hint="cs"/>
          <w:rtl/>
        </w:rPr>
        <w:t>"</w:t>
      </w:r>
      <w:r w:rsidRPr="00E05B0E">
        <w:rPr>
          <w:rFonts w:cs="Arial"/>
          <w:rtl/>
        </w:rPr>
        <w:t>ס רנ"ב דמותר ליתן לו קודם שקיעת החמה אם הוא בקיבולת משום דאדעתא דנפשיה קעביד אע</w:t>
      </w:r>
      <w:r>
        <w:rPr>
          <w:rFonts w:cs="Arial" w:hint="cs"/>
          <w:rtl/>
        </w:rPr>
        <w:t>"</w:t>
      </w:r>
      <w:r w:rsidRPr="00E05B0E">
        <w:rPr>
          <w:rFonts w:cs="Arial"/>
          <w:rtl/>
        </w:rPr>
        <w:t>ג דאסור שם לקבוע לו מלאכתו בשבת</w:t>
      </w:r>
      <w:r>
        <w:rPr>
          <w:rFonts w:cs="Arial" w:hint="cs"/>
          <w:rtl/>
        </w:rPr>
        <w:t>.</w:t>
      </w:r>
      <w:r w:rsidRPr="00E05B0E">
        <w:rPr>
          <w:rFonts w:cs="Arial"/>
          <w:rtl/>
        </w:rPr>
        <w:t xml:space="preserve"> ועוד דהוי מילתא דפרהסיא שהעסק היה ידוע לכל שהוא של ישראל</w:t>
      </w:r>
      <w:r>
        <w:rPr>
          <w:rFonts w:cs="Arial" w:hint="cs"/>
          <w:rtl/>
        </w:rPr>
        <w:t>,</w:t>
      </w:r>
      <w:r w:rsidRPr="00E05B0E">
        <w:rPr>
          <w:rFonts w:cs="Arial"/>
          <w:rtl/>
        </w:rPr>
        <w:t xml:space="preserve"> וכמו שהיה עושה ה</w:t>
      </w:r>
      <w:r>
        <w:rPr>
          <w:rFonts w:cs="Arial" w:hint="cs"/>
          <w:rtl/>
        </w:rPr>
        <w:t>גו</w:t>
      </w:r>
      <w:r w:rsidRPr="00E05B0E">
        <w:rPr>
          <w:rFonts w:cs="Arial"/>
          <w:rtl/>
        </w:rPr>
        <w:t>י עתה בבית ישראל דמי</w:t>
      </w:r>
      <w:r>
        <w:rPr>
          <w:rFonts w:cs="Arial" w:hint="cs"/>
          <w:rtl/>
        </w:rPr>
        <w:t>,</w:t>
      </w:r>
      <w:r w:rsidRPr="00E05B0E">
        <w:rPr>
          <w:rFonts w:cs="Arial"/>
          <w:rtl/>
        </w:rPr>
        <w:t xml:space="preserve"> דאסר שם</w:t>
      </w:r>
      <w:r>
        <w:rPr>
          <w:rFonts w:cs="Arial" w:hint="cs"/>
          <w:rtl/>
        </w:rPr>
        <w:t>,</w:t>
      </w:r>
      <w:r w:rsidRPr="00E05B0E">
        <w:rPr>
          <w:rFonts w:cs="Arial"/>
          <w:rtl/>
        </w:rPr>
        <w:t xml:space="preserve"> מ"מ התירו בזה משום פסידא דאדם בהול על ממונו ואי לא שרית ליה אתי לגבות בעצמו ויבוא לידי איסורא דאורייתא דשמא יכתוב פתקא כדרך המוכסים [ב</w:t>
      </w:r>
      <w:r>
        <w:rPr>
          <w:rFonts w:cs="Arial" w:hint="cs"/>
          <w:rtl/>
        </w:rPr>
        <w:t>"י</w:t>
      </w:r>
      <w:r w:rsidRPr="00E05B0E">
        <w:rPr>
          <w:rFonts w:cs="Arial"/>
          <w:rtl/>
        </w:rPr>
        <w:t>]</w:t>
      </w:r>
      <w:r>
        <w:rPr>
          <w:rFonts w:cs="Arial" w:hint="cs"/>
          <w:rtl/>
        </w:rPr>
        <w:t>.</w:t>
      </w:r>
      <w:r w:rsidRPr="00E05B0E">
        <w:rPr>
          <w:rFonts w:cs="Arial"/>
          <w:rtl/>
        </w:rPr>
        <w:t xml:space="preserve"> ולפ"ז משמע דבמכס שאין כותבין כגון אותן שלוקחין מיני מאכל במכס</w:t>
      </w:r>
      <w:r>
        <w:rPr>
          <w:rFonts w:cs="Arial" w:hint="cs"/>
          <w:rtl/>
        </w:rPr>
        <w:t xml:space="preserve"> -</w:t>
      </w:r>
      <w:r w:rsidRPr="00E05B0E">
        <w:rPr>
          <w:rFonts w:cs="Arial"/>
          <w:rtl/>
        </w:rPr>
        <w:t xml:space="preserve"> אסור אפילו ע"י </w:t>
      </w:r>
      <w:r>
        <w:rPr>
          <w:rFonts w:cs="Arial" w:hint="cs"/>
          <w:rtl/>
        </w:rPr>
        <w:t>גו</w:t>
      </w:r>
      <w:r w:rsidRPr="00E05B0E">
        <w:rPr>
          <w:rFonts w:cs="Arial"/>
          <w:rtl/>
        </w:rPr>
        <w:t>י דלא יבא לידי איסור דאו</w:t>
      </w:r>
      <w:r>
        <w:rPr>
          <w:rFonts w:cs="Arial" w:hint="cs"/>
          <w:rtl/>
        </w:rPr>
        <w:t>'</w:t>
      </w:r>
      <w:r w:rsidRPr="00E05B0E">
        <w:rPr>
          <w:rFonts w:cs="Arial"/>
          <w:rtl/>
        </w:rPr>
        <w:t xml:space="preserve"> אפילו אי לא שרינן ליה</w:t>
      </w:r>
      <w:r>
        <w:rPr>
          <w:rFonts w:cs="Arial" w:hint="cs"/>
          <w:rtl/>
        </w:rPr>
        <w:t>.</w:t>
      </w:r>
      <w:r w:rsidRPr="00E05B0E">
        <w:rPr>
          <w:rFonts w:cs="Arial"/>
          <w:rtl/>
        </w:rPr>
        <w:t xml:space="preserve"> אבל הט"ז ומ"א מסקי דאפילו באופן זה שרינן ע"י </w:t>
      </w:r>
      <w:r>
        <w:rPr>
          <w:rFonts w:cs="Arial" w:hint="cs"/>
          <w:rtl/>
        </w:rPr>
        <w:t>גו</w:t>
      </w:r>
      <w:r w:rsidRPr="00E05B0E">
        <w:rPr>
          <w:rFonts w:cs="Arial"/>
          <w:rtl/>
        </w:rPr>
        <w:t>י משום פסידא. מיהו בעצמו אסור לקבל אף המכס של מיני מאכל אפילו אם לא הובא מחוץ לתחום ולא שייך בו חשש צידה ומחובר משום ממצוא חפצך וכמ"ש סימן ש"ו [א"ר]. יהודי ששכר בשול המלח מן השר</w:t>
      </w:r>
      <w:r>
        <w:rPr>
          <w:rFonts w:cs="Arial" w:hint="cs"/>
          <w:rtl/>
        </w:rPr>
        <w:t>,</w:t>
      </w:r>
      <w:r w:rsidRPr="00E05B0E">
        <w:rPr>
          <w:rFonts w:cs="Arial"/>
          <w:rtl/>
        </w:rPr>
        <w:t xml:space="preserve"> מותר להשכיר לו פועלים בקיבולת שאם יעשה לו כך וכך מלח יתן לו כך</w:t>
      </w:r>
      <w:r>
        <w:rPr>
          <w:rFonts w:cs="Arial" w:hint="cs"/>
          <w:rtl/>
        </w:rPr>
        <w:t>.</w:t>
      </w:r>
      <w:r w:rsidRPr="00E05B0E">
        <w:rPr>
          <w:rFonts w:cs="Arial"/>
          <w:rtl/>
        </w:rPr>
        <w:t xml:space="preserve"> וכך ואע</w:t>
      </w:r>
      <w:r>
        <w:rPr>
          <w:rFonts w:cs="Arial" w:hint="cs"/>
          <w:rtl/>
        </w:rPr>
        <w:t>"</w:t>
      </w:r>
      <w:r w:rsidRPr="00E05B0E">
        <w:rPr>
          <w:rFonts w:cs="Arial"/>
          <w:rtl/>
        </w:rPr>
        <w:t>פ שהכלים והעצים הם של ישראל שרי</w:t>
      </w:r>
      <w:r>
        <w:rPr>
          <w:rFonts w:cs="Arial" w:hint="cs"/>
          <w:rtl/>
        </w:rPr>
        <w:t>.</w:t>
      </w:r>
      <w:r w:rsidRPr="00E05B0E">
        <w:rPr>
          <w:rFonts w:cs="Arial"/>
          <w:rtl/>
        </w:rPr>
        <w:t xml:space="preserve"> ובלבד שלא יביאו עצים מרשות הישראל בשבת</w:t>
      </w:r>
      <w:r>
        <w:rPr>
          <w:rFonts w:cs="Arial" w:hint="cs"/>
          <w:rtl/>
        </w:rPr>
        <w:t>,</w:t>
      </w:r>
      <w:r w:rsidRPr="00E05B0E">
        <w:rPr>
          <w:rFonts w:cs="Arial"/>
          <w:rtl/>
        </w:rPr>
        <w:t xml:space="preserve"> שכל קבלנות אינה מותרת אא"כ מסר להם מע"ש כל מה שרוצה למסור לצורך המלאכה ויוציאום מרשותו מע"ש</w:t>
      </w:r>
      <w:r>
        <w:rPr>
          <w:rFonts w:cs="Arial" w:hint="cs"/>
          <w:rtl/>
        </w:rPr>
        <w:t>.</w:t>
      </w:r>
      <w:r w:rsidRPr="00E05B0E">
        <w:rPr>
          <w:rFonts w:cs="Arial"/>
          <w:rtl/>
        </w:rPr>
        <w:t xml:space="preserve"> אבל אין לו היתר לשכור </w:t>
      </w:r>
      <w:r>
        <w:rPr>
          <w:rFonts w:cs="Arial"/>
          <w:rtl/>
        </w:rPr>
        <w:t>גוי</w:t>
      </w:r>
      <w:r w:rsidRPr="00E05B0E">
        <w:rPr>
          <w:rFonts w:cs="Arial"/>
          <w:rtl/>
        </w:rPr>
        <w:t xml:space="preserve"> על שבת וחודש דמ"מ מרויח הישראל במלאכתו ואין לו היתר אלא בקבלנות [ח"א]</w:t>
      </w:r>
      <w:r>
        <w:rPr>
          <w:rFonts w:cs="Arial" w:hint="cs"/>
          <w:rtl/>
        </w:rPr>
        <w:t>, משנ"ב (סקל"ב)</w:t>
      </w:r>
    </w:p>
  </w:footnote>
  <w:footnote w:id="60">
    <w:p w14:paraId="04F97E7F" w14:textId="77777777" w:rsidR="004B2E7C" w:rsidRDefault="004B2E7C" w:rsidP="00285819">
      <w:pPr>
        <w:pStyle w:val="a7"/>
      </w:pPr>
      <w:r>
        <w:rPr>
          <w:rStyle w:val="a9"/>
        </w:rPr>
        <w:footnoteRef/>
      </w:r>
      <w:r>
        <w:rPr>
          <w:rtl/>
        </w:rPr>
        <w:t xml:space="preserve"> </w:t>
      </w:r>
      <w:r w:rsidRPr="002F58AA">
        <w:rPr>
          <w:rFonts w:cs="Arial"/>
          <w:rtl/>
        </w:rPr>
        <w:t>דהיינו שאין מזכיר לו יום השבת כלל אלא בסתמא אם תגבה כו"כ אתן לך סך כו"כ</w:t>
      </w:r>
      <w:r>
        <w:rPr>
          <w:rFonts w:cs="Arial" w:hint="cs"/>
          <w:rtl/>
        </w:rPr>
        <w:t>.</w:t>
      </w:r>
      <w:r w:rsidRPr="002F58AA">
        <w:rPr>
          <w:rFonts w:cs="Arial"/>
          <w:rtl/>
        </w:rPr>
        <w:t xml:space="preserve"> א"כ לא הוי שכיר יום</w:t>
      </w:r>
      <w:r>
        <w:rPr>
          <w:rFonts w:cs="Arial" w:hint="cs"/>
          <w:rtl/>
        </w:rPr>
        <w:t>.</w:t>
      </w:r>
      <w:r w:rsidRPr="002F58AA">
        <w:rPr>
          <w:rFonts w:cs="Arial"/>
          <w:rtl/>
        </w:rPr>
        <w:t xml:space="preserve"> וגם לית כאן שכר שבת כלל שכבר שכר מהשר המכס של כל השנה עם השבתות בכלל [פמ"ג]</w:t>
      </w:r>
      <w:r>
        <w:rPr>
          <w:rFonts w:cs="Arial" w:hint="cs"/>
          <w:rtl/>
        </w:rPr>
        <w:t>, משנ"ב (סקל"ג).</w:t>
      </w:r>
    </w:p>
  </w:footnote>
  <w:footnote w:id="61">
    <w:p w14:paraId="72767E63" w14:textId="77777777" w:rsidR="004B2E7C" w:rsidRDefault="004B2E7C" w:rsidP="00285819">
      <w:pPr>
        <w:pStyle w:val="a7"/>
      </w:pPr>
      <w:r>
        <w:rPr>
          <w:rStyle w:val="a9"/>
        </w:rPr>
        <w:footnoteRef/>
      </w:r>
      <w:r>
        <w:rPr>
          <w:rtl/>
        </w:rPr>
        <w:t xml:space="preserve"> </w:t>
      </w:r>
      <w:r w:rsidRPr="002F58AA">
        <w:rPr>
          <w:rFonts w:cs="Arial"/>
          <w:rtl/>
        </w:rPr>
        <w:t>ר"ל דבזה ג"כ מדינא שרי ד</w:t>
      </w:r>
      <w:r>
        <w:rPr>
          <w:rFonts w:cs="Arial" w:hint="cs"/>
          <w:rtl/>
        </w:rPr>
        <w:t>גו</w:t>
      </w:r>
      <w:r w:rsidRPr="002F58AA">
        <w:rPr>
          <w:rFonts w:cs="Arial"/>
          <w:rtl/>
        </w:rPr>
        <w:t>י כי עביד אדעתא דנפשיה עביד</w:t>
      </w:r>
      <w:r>
        <w:rPr>
          <w:rFonts w:cs="Arial" w:hint="cs"/>
          <w:rtl/>
        </w:rPr>
        <w:t>.</w:t>
      </w:r>
      <w:r w:rsidRPr="002F58AA">
        <w:rPr>
          <w:rFonts w:cs="Arial"/>
          <w:rtl/>
        </w:rPr>
        <w:t xml:space="preserve"> וכתב המ"א דגם משום שכר שבת לית בזה אף שהוא משכירו לשבת לחוד משום דהרי הוא כאלו קנה ממנו המכס [וה"ל כאלו יודע שיביאו לו </w:t>
      </w:r>
      <w:r>
        <w:rPr>
          <w:rFonts w:cs="Arial" w:hint="cs"/>
          <w:rtl/>
        </w:rPr>
        <w:t>גו</w:t>
      </w:r>
      <w:r w:rsidRPr="002F58AA">
        <w:rPr>
          <w:rFonts w:cs="Arial"/>
          <w:rtl/>
        </w:rPr>
        <w:t xml:space="preserve">י סחורה בשבת ומכרה בע"ש </w:t>
      </w:r>
      <w:r>
        <w:rPr>
          <w:rFonts w:cs="Arial" w:hint="cs"/>
          <w:rtl/>
        </w:rPr>
        <w:t>לגו</w:t>
      </w:r>
      <w:r w:rsidRPr="002F58AA">
        <w:rPr>
          <w:rFonts w:cs="Arial"/>
          <w:rtl/>
        </w:rPr>
        <w:t>י שהוא יקבלה ממנו בשבת דפשיטא דשרי]</w:t>
      </w:r>
      <w:r>
        <w:rPr>
          <w:rFonts w:cs="Arial" w:hint="cs"/>
          <w:rtl/>
        </w:rPr>
        <w:t>.</w:t>
      </w:r>
      <w:r w:rsidRPr="002F58AA">
        <w:rPr>
          <w:rFonts w:cs="Arial"/>
          <w:rtl/>
        </w:rPr>
        <w:t xml:space="preserve"> וכן גבי מטבע מוכר לו הורמנא בעלמא מה שיש לו מהמלך וכל הריוח יקח </w:t>
      </w:r>
      <w:r>
        <w:rPr>
          <w:rFonts w:cs="Arial" w:hint="cs"/>
          <w:rtl/>
        </w:rPr>
        <w:t>הגו</w:t>
      </w:r>
      <w:r w:rsidRPr="002F58AA">
        <w:rPr>
          <w:rFonts w:cs="Arial"/>
          <w:rtl/>
        </w:rPr>
        <w:t>י ואין בזה רק משום מראית העין שיאמרו שהוא עושה לצורך ישראל שישראל שכרו לכתוב בשבת ולקבל המכס וזהו שכתב הרמ"א ולא חיישינן וכו' דבמקום פסידא וכו' ולא הזכיר כלל משכר שבת ועיין בבה"ל</w:t>
      </w:r>
      <w:r>
        <w:rPr>
          <w:rFonts w:cs="Arial" w:hint="cs"/>
          <w:rtl/>
        </w:rPr>
        <w:t>, משנ"ב (סקל"ד).</w:t>
      </w:r>
    </w:p>
  </w:footnote>
  <w:footnote w:id="62">
    <w:p w14:paraId="46DB9B45" w14:textId="77777777" w:rsidR="004B2E7C" w:rsidRDefault="004B2E7C" w:rsidP="00285819">
      <w:pPr>
        <w:pStyle w:val="a7"/>
      </w:pPr>
      <w:r>
        <w:rPr>
          <w:rStyle w:val="a9"/>
        </w:rPr>
        <w:footnoteRef/>
      </w:r>
      <w:r>
        <w:rPr>
          <w:rtl/>
        </w:rPr>
        <w:t xml:space="preserve"> </w:t>
      </w:r>
      <w:r w:rsidRPr="00B42857">
        <w:rPr>
          <w:rFonts w:cs="Arial"/>
          <w:rtl/>
        </w:rPr>
        <w:t>דע דמשמע מכל הפוסקים דלא התירו אפי' במקום הפסד גדול אלא באופן זה שצייר השו"ע</w:t>
      </w:r>
      <w:r>
        <w:rPr>
          <w:rFonts w:cs="Arial" w:hint="cs"/>
          <w:rtl/>
        </w:rPr>
        <w:t>,</w:t>
      </w:r>
      <w:r w:rsidRPr="00B42857">
        <w:rPr>
          <w:rFonts w:cs="Arial"/>
          <w:rtl/>
        </w:rPr>
        <w:t xml:space="preserve"> דהיינו או בקיבולת או שמשכיר לו את גוף הריוח</w:t>
      </w:r>
      <w:r>
        <w:rPr>
          <w:rFonts w:cs="Arial" w:hint="cs"/>
          <w:rtl/>
        </w:rPr>
        <w:t>,</w:t>
      </w:r>
      <w:r w:rsidRPr="00B42857">
        <w:rPr>
          <w:rFonts w:cs="Arial"/>
          <w:rtl/>
        </w:rPr>
        <w:t xml:space="preserve"> דבכל זה ה</w:t>
      </w:r>
      <w:r>
        <w:rPr>
          <w:rFonts w:cs="Arial" w:hint="cs"/>
          <w:rtl/>
        </w:rPr>
        <w:t>גוי</w:t>
      </w:r>
      <w:r w:rsidRPr="00B42857">
        <w:rPr>
          <w:rFonts w:cs="Arial"/>
          <w:rtl/>
        </w:rPr>
        <w:t xml:space="preserve"> אדעתא דנפשיה קעביד</w:t>
      </w:r>
      <w:r>
        <w:rPr>
          <w:rFonts w:cs="Arial" w:hint="cs"/>
          <w:rtl/>
        </w:rPr>
        <w:t>.</w:t>
      </w:r>
      <w:r w:rsidRPr="00B42857">
        <w:rPr>
          <w:rFonts w:cs="Arial"/>
          <w:rtl/>
        </w:rPr>
        <w:t xml:space="preserve"> אבל בשכיר יום ממש </w:t>
      </w:r>
      <w:r>
        <w:rPr>
          <w:rFonts w:cs="Arial" w:hint="cs"/>
          <w:rtl/>
        </w:rPr>
        <w:t xml:space="preserve">- </w:t>
      </w:r>
      <w:r w:rsidRPr="00B42857">
        <w:rPr>
          <w:rFonts w:cs="Arial"/>
          <w:rtl/>
        </w:rPr>
        <w:t>אסור בכל גווני</w:t>
      </w:r>
      <w:r>
        <w:rPr>
          <w:rFonts w:cs="Arial" w:hint="cs"/>
          <w:rtl/>
        </w:rPr>
        <w:t>.</w:t>
      </w:r>
      <w:r w:rsidRPr="00B42857">
        <w:rPr>
          <w:rFonts w:cs="Arial"/>
          <w:rtl/>
        </w:rPr>
        <w:t xml:space="preserve"> ומזה תדע שאותן האנשים המחזיקים בית משקה שלוקחין מע"ש איזה </w:t>
      </w:r>
      <w:r>
        <w:rPr>
          <w:rFonts w:cs="Arial" w:hint="cs"/>
          <w:rtl/>
        </w:rPr>
        <w:t>גו</w:t>
      </w:r>
      <w:r w:rsidRPr="00B42857">
        <w:rPr>
          <w:rFonts w:cs="Arial"/>
          <w:rtl/>
        </w:rPr>
        <w:t>י בביתן על יום השבת לעסוק במכירת המשקה</w:t>
      </w:r>
      <w:r>
        <w:rPr>
          <w:rFonts w:cs="Arial" w:hint="cs"/>
          <w:rtl/>
        </w:rPr>
        <w:t xml:space="preserve"> -</w:t>
      </w:r>
      <w:r w:rsidRPr="00B42857">
        <w:rPr>
          <w:rFonts w:cs="Arial"/>
          <w:rtl/>
        </w:rPr>
        <w:t xml:space="preserve"> שלא כדין הם עושין</w:t>
      </w:r>
      <w:r>
        <w:rPr>
          <w:rFonts w:cs="Arial" w:hint="cs"/>
          <w:rtl/>
        </w:rPr>
        <w:t>,</w:t>
      </w:r>
      <w:r w:rsidRPr="00B42857">
        <w:rPr>
          <w:rFonts w:cs="Arial"/>
          <w:rtl/>
        </w:rPr>
        <w:t xml:space="preserve"> דאף אם נחשוב מניעת ריוח יום השבת להפסד גדול מ"מ הלא לא התירו בשכיר יום ממש</w:t>
      </w:r>
      <w:r>
        <w:rPr>
          <w:rFonts w:cs="Arial" w:hint="cs"/>
          <w:rtl/>
        </w:rPr>
        <w:t>,</w:t>
      </w:r>
      <w:r w:rsidRPr="00B42857">
        <w:rPr>
          <w:rFonts w:cs="Arial"/>
          <w:rtl/>
        </w:rPr>
        <w:t xml:space="preserve"> וגם דאולי הוא רק בכלל מניעת הריוח כמו שכתבו האחרונים לענין תנור ומרחץ</w:t>
      </w:r>
      <w:r>
        <w:rPr>
          <w:rFonts w:cs="Arial" w:hint="cs"/>
          <w:rtl/>
        </w:rPr>
        <w:t>,</w:t>
      </w:r>
      <w:r w:rsidRPr="00B42857">
        <w:rPr>
          <w:rFonts w:cs="Arial"/>
          <w:rtl/>
        </w:rPr>
        <w:t xml:space="preserve"> ועכ"פ אין להתיר אלא באופן שציירו השו"ע והרמ"א</w:t>
      </w:r>
      <w:r>
        <w:rPr>
          <w:rFonts w:cs="Arial" w:hint="cs"/>
          <w:rtl/>
        </w:rPr>
        <w:t>,</w:t>
      </w:r>
      <w:r w:rsidRPr="00B42857">
        <w:rPr>
          <w:rFonts w:cs="Arial"/>
          <w:rtl/>
        </w:rPr>
        <w:t xml:space="preserve"> או שיקנה לו מע"ש כל הדברים שנותן לו למכור</w:t>
      </w:r>
      <w:r>
        <w:rPr>
          <w:rFonts w:cs="Arial" w:hint="cs"/>
          <w:rtl/>
        </w:rPr>
        <w:t>.</w:t>
      </w:r>
      <w:r w:rsidRPr="00B42857">
        <w:rPr>
          <w:rFonts w:cs="Arial"/>
          <w:rtl/>
        </w:rPr>
        <w:t xml:space="preserve"> ואף דעכ"פ עדיין העסק נקרא על שם ישראל זה מותר משום פסידא</w:t>
      </w:r>
      <w:r>
        <w:rPr>
          <w:rFonts w:cs="Arial" w:hint="cs"/>
          <w:rtl/>
        </w:rPr>
        <w:t>.</w:t>
      </w:r>
      <w:r w:rsidRPr="00B42857">
        <w:rPr>
          <w:rFonts w:cs="Arial"/>
          <w:rtl/>
        </w:rPr>
        <w:t xml:space="preserve"> ולפי מה שכתבנו לקמיה בשם הט"ז יהיה מותר בזה לישראל לישב מרחוק ולשמור שלא יגנוב ה</w:t>
      </w:r>
      <w:r>
        <w:rPr>
          <w:rFonts w:cs="Arial" w:hint="cs"/>
          <w:rtl/>
        </w:rPr>
        <w:t>גו</w:t>
      </w:r>
      <w:r w:rsidRPr="00B42857">
        <w:rPr>
          <w:rFonts w:cs="Arial"/>
          <w:rtl/>
        </w:rPr>
        <w:t>י מהעסק</w:t>
      </w:r>
      <w:r>
        <w:rPr>
          <w:rFonts w:cs="Arial" w:hint="cs"/>
          <w:rtl/>
        </w:rPr>
        <w:t>,</w:t>
      </w:r>
      <w:r w:rsidRPr="00B42857">
        <w:rPr>
          <w:rFonts w:cs="Arial"/>
          <w:rtl/>
        </w:rPr>
        <w:t xml:space="preserve"> אך שיזהר שלא יתערב בהעסק ושלא ידבר עמו כלום מענינים ההם</w:t>
      </w:r>
      <w:r>
        <w:rPr>
          <w:rFonts w:cs="Arial" w:hint="cs"/>
          <w:rtl/>
        </w:rPr>
        <w:t>.</w:t>
      </w:r>
      <w:r w:rsidRPr="00B42857">
        <w:rPr>
          <w:rFonts w:cs="Arial"/>
          <w:rtl/>
        </w:rPr>
        <w:t xml:space="preserve"> והוא דבר שקשה ליזהר שלא לדבר כלום כשיושב שם</w:t>
      </w:r>
      <w:r>
        <w:rPr>
          <w:rFonts w:cs="Arial" w:hint="cs"/>
          <w:rtl/>
        </w:rPr>
        <w:t>,</w:t>
      </w:r>
      <w:r w:rsidRPr="00B42857">
        <w:rPr>
          <w:rFonts w:cs="Arial"/>
          <w:rtl/>
        </w:rPr>
        <w:t xml:space="preserve"> אך העולם נוהגין להתיר</w:t>
      </w:r>
      <w:r>
        <w:rPr>
          <w:rFonts w:cs="Arial" w:hint="cs"/>
          <w:rtl/>
        </w:rPr>
        <w:t>,</w:t>
      </w:r>
      <w:r w:rsidRPr="00B42857">
        <w:rPr>
          <w:rFonts w:cs="Arial"/>
          <w:rtl/>
        </w:rPr>
        <w:t xml:space="preserve"> והנח להם מוטב שיהיו שוגגין ואל יהיו מזידין [תו"ש]</w:t>
      </w:r>
      <w:r>
        <w:rPr>
          <w:rFonts w:cs="Arial" w:hint="cs"/>
          <w:rtl/>
        </w:rPr>
        <w:t>.</w:t>
      </w:r>
      <w:r w:rsidRPr="00B42857">
        <w:rPr>
          <w:rFonts w:cs="Arial"/>
          <w:rtl/>
        </w:rPr>
        <w:t xml:space="preserve"> והבוטח בה' ואינו מחפש צדדי קולות על שבת אשריו</w:t>
      </w:r>
      <w:r>
        <w:rPr>
          <w:rFonts w:cs="Arial" w:hint="cs"/>
          <w:rtl/>
        </w:rPr>
        <w:t>, משנ"ב (סקל"ה).</w:t>
      </w:r>
    </w:p>
  </w:footnote>
  <w:footnote w:id="63">
    <w:p w14:paraId="71E070EB" w14:textId="77777777" w:rsidR="004B2E7C" w:rsidRDefault="004B2E7C" w:rsidP="00285819">
      <w:pPr>
        <w:pStyle w:val="a7"/>
      </w:pPr>
      <w:r>
        <w:rPr>
          <w:rStyle w:val="a9"/>
        </w:rPr>
        <w:footnoteRef/>
      </w:r>
      <w:r>
        <w:rPr>
          <w:rtl/>
        </w:rPr>
        <w:t xml:space="preserve"> </w:t>
      </w:r>
      <w:r w:rsidRPr="0063582C">
        <w:rPr>
          <w:rFonts w:cs="Arial"/>
          <w:rtl/>
        </w:rPr>
        <w:t>וע"כ מותר ליתן הכסף ל</w:t>
      </w:r>
      <w:r>
        <w:rPr>
          <w:rFonts w:cs="Arial" w:hint="cs"/>
          <w:rtl/>
        </w:rPr>
        <w:t>גו</w:t>
      </w:r>
      <w:r w:rsidRPr="0063582C">
        <w:rPr>
          <w:rFonts w:cs="Arial"/>
          <w:rtl/>
        </w:rPr>
        <w:t>י מבעוד יום בקיבולת שאם יעשה לו מן הכסף כו"כ יתן לו כו"כ</w:t>
      </w:r>
      <w:r>
        <w:rPr>
          <w:rFonts w:cs="Arial" w:hint="cs"/>
          <w:rtl/>
        </w:rPr>
        <w:t>,</w:t>
      </w:r>
      <w:r w:rsidRPr="0063582C">
        <w:rPr>
          <w:rFonts w:cs="Arial"/>
          <w:rtl/>
        </w:rPr>
        <w:t xml:space="preserve"> או שישכיר לו הישראל הריוח שיעלה מזה בשבת לה</w:t>
      </w:r>
      <w:r>
        <w:rPr>
          <w:rFonts w:cs="Arial" w:hint="cs"/>
          <w:rtl/>
        </w:rPr>
        <w:t>גו</w:t>
      </w:r>
      <w:r w:rsidRPr="0063582C">
        <w:rPr>
          <w:rFonts w:cs="Arial"/>
          <w:rtl/>
        </w:rPr>
        <w:t>י וכנ"ל משום פסידא</w:t>
      </w:r>
      <w:r>
        <w:rPr>
          <w:rFonts w:cs="Arial" w:hint="cs"/>
          <w:rtl/>
        </w:rPr>
        <w:t>, משנ"ב (סקל"ו).</w:t>
      </w:r>
    </w:p>
  </w:footnote>
  <w:footnote w:id="64">
    <w:p w14:paraId="4A58D2D1" w14:textId="77777777" w:rsidR="004B2E7C" w:rsidRDefault="004B2E7C" w:rsidP="00285819">
      <w:pPr>
        <w:pStyle w:val="a7"/>
      </w:pPr>
      <w:r>
        <w:rPr>
          <w:rStyle w:val="a9"/>
        </w:rPr>
        <w:footnoteRef/>
      </w:r>
      <w:r>
        <w:rPr>
          <w:rtl/>
        </w:rPr>
        <w:t xml:space="preserve"> </w:t>
      </w:r>
      <w:r w:rsidRPr="00DA350C">
        <w:rPr>
          <w:rFonts w:cs="Arial"/>
          <w:rtl/>
        </w:rPr>
        <w:t>שהשכיר לו או שלוחו</w:t>
      </w:r>
      <w:r>
        <w:rPr>
          <w:rFonts w:cs="Arial" w:hint="cs"/>
          <w:rtl/>
        </w:rPr>
        <w:t>.</w:t>
      </w:r>
      <w:r w:rsidRPr="00DA350C">
        <w:rPr>
          <w:rFonts w:cs="Arial"/>
          <w:rtl/>
        </w:rPr>
        <w:t xml:space="preserve"> וכתב הט"ז דמה שאסור לישב שם היינו כדי לידע מה היא ההתעסקות שעושה ה</w:t>
      </w:r>
      <w:r>
        <w:rPr>
          <w:rFonts w:cs="Arial" w:hint="cs"/>
          <w:rtl/>
        </w:rPr>
        <w:t>גוי</w:t>
      </w:r>
      <w:r w:rsidRPr="00DA350C">
        <w:rPr>
          <w:rFonts w:cs="Arial"/>
          <w:rtl/>
        </w:rPr>
        <w:t xml:space="preserve"> וכדי לקבל הימנו חשבון ע"ז למחר</w:t>
      </w:r>
      <w:r>
        <w:rPr>
          <w:rFonts w:cs="Arial" w:hint="cs"/>
          <w:rtl/>
        </w:rPr>
        <w:t>,</w:t>
      </w:r>
      <w:r w:rsidRPr="00DA350C">
        <w:rPr>
          <w:rFonts w:cs="Arial"/>
          <w:rtl/>
        </w:rPr>
        <w:t xml:space="preserve"> דזה אסור משום מצוא חפצך כדלקמן סימן ש"ו ס"א</w:t>
      </w:r>
      <w:r>
        <w:rPr>
          <w:rFonts w:cs="Arial" w:hint="cs"/>
          <w:rtl/>
        </w:rPr>
        <w:t>.</w:t>
      </w:r>
      <w:r w:rsidRPr="00DA350C">
        <w:rPr>
          <w:rFonts w:cs="Arial"/>
          <w:rtl/>
        </w:rPr>
        <w:t xml:space="preserve"> אבל אם אינו יושב שם אלא כדי לשמור את ה</w:t>
      </w:r>
      <w:r>
        <w:rPr>
          <w:rFonts w:cs="Arial" w:hint="cs"/>
          <w:rtl/>
        </w:rPr>
        <w:t>גו</w:t>
      </w:r>
      <w:r w:rsidRPr="00DA350C">
        <w:rPr>
          <w:rFonts w:cs="Arial"/>
          <w:rtl/>
        </w:rPr>
        <w:t xml:space="preserve">י שלא יגנוב מן המכס </w:t>
      </w:r>
      <w:r>
        <w:rPr>
          <w:rFonts w:cs="Arial" w:hint="cs"/>
          <w:rtl/>
        </w:rPr>
        <w:t xml:space="preserve">- </w:t>
      </w:r>
      <w:r w:rsidRPr="00DA350C">
        <w:rPr>
          <w:rFonts w:cs="Arial"/>
          <w:rtl/>
        </w:rPr>
        <w:t>מותר</w:t>
      </w:r>
      <w:r>
        <w:rPr>
          <w:rFonts w:cs="Arial" w:hint="cs"/>
          <w:rtl/>
        </w:rPr>
        <w:t>.</w:t>
      </w:r>
      <w:r w:rsidRPr="00DA350C">
        <w:rPr>
          <w:rFonts w:cs="Arial"/>
          <w:rtl/>
        </w:rPr>
        <w:t xml:space="preserve"> ומזה ניחא מה שנהגו מחזיקי רחיים מהשר להושיב שם ישראל אפילו בשבת</w:t>
      </w:r>
      <w:r>
        <w:rPr>
          <w:rFonts w:cs="Arial" w:hint="cs"/>
          <w:rtl/>
        </w:rPr>
        <w:t>,</w:t>
      </w:r>
      <w:r w:rsidRPr="00DA350C">
        <w:rPr>
          <w:rFonts w:cs="Arial"/>
          <w:rtl/>
        </w:rPr>
        <w:t xml:space="preserve"> רק יזהרו שלא ידבר כלום בהעסק עכ"ל</w:t>
      </w:r>
      <w:r>
        <w:rPr>
          <w:rFonts w:cs="Arial" w:hint="cs"/>
          <w:rtl/>
        </w:rPr>
        <w:t>.</w:t>
      </w:r>
      <w:r w:rsidRPr="00DA350C">
        <w:rPr>
          <w:rFonts w:cs="Arial"/>
          <w:rtl/>
        </w:rPr>
        <w:t xml:space="preserve"> וכ"כ שארי אחרונים</w:t>
      </w:r>
      <w:r>
        <w:rPr>
          <w:rFonts w:cs="Arial" w:hint="cs"/>
          <w:rtl/>
        </w:rPr>
        <w:t>, משנ"ב (סקל"ז).</w:t>
      </w:r>
    </w:p>
  </w:footnote>
  <w:footnote w:id="65">
    <w:p w14:paraId="4C9C880C" w14:textId="77777777" w:rsidR="004B2E7C" w:rsidRDefault="004B2E7C" w:rsidP="00285819">
      <w:pPr>
        <w:pStyle w:val="a7"/>
      </w:pPr>
      <w:r>
        <w:rPr>
          <w:rStyle w:val="a9"/>
        </w:rPr>
        <w:footnoteRef/>
      </w:r>
      <w:r>
        <w:rPr>
          <w:rtl/>
        </w:rPr>
        <w:t xml:space="preserve"> </w:t>
      </w:r>
      <w:r w:rsidRPr="0023751E">
        <w:rPr>
          <w:rFonts w:cs="Arial"/>
          <w:rtl/>
        </w:rPr>
        <w:t>זורעי גנות כרכום</w:t>
      </w:r>
      <w:r>
        <w:rPr>
          <w:rFonts w:cs="Arial" w:hint="cs"/>
          <w:rtl/>
        </w:rPr>
        <w:t>, רש"י.</w:t>
      </w:r>
    </w:p>
  </w:footnote>
  <w:footnote w:id="66">
    <w:p w14:paraId="2C1C1252" w14:textId="77777777" w:rsidR="004B2E7C" w:rsidRDefault="004B2E7C" w:rsidP="00285819">
      <w:pPr>
        <w:pStyle w:val="a7"/>
      </w:pPr>
      <w:r>
        <w:rPr>
          <w:rStyle w:val="a9"/>
        </w:rPr>
        <w:footnoteRef/>
      </w:r>
      <w:r>
        <w:rPr>
          <w:rtl/>
        </w:rPr>
        <w:t xml:space="preserve"> </w:t>
      </w:r>
      <w:r w:rsidRPr="0023751E">
        <w:rPr>
          <w:rFonts w:cs="Arial"/>
          <w:rtl/>
        </w:rPr>
        <w:t>לחרוש לזרוע ולקצור</w:t>
      </w:r>
      <w:r>
        <w:rPr>
          <w:rFonts w:cs="Arial" w:hint="cs"/>
          <w:rtl/>
        </w:rPr>
        <w:t>, רש"י.</w:t>
      </w:r>
    </w:p>
  </w:footnote>
  <w:footnote w:id="67">
    <w:p w14:paraId="4BF7A516" w14:textId="77777777" w:rsidR="004B2E7C" w:rsidRDefault="004B2E7C" w:rsidP="00285819">
      <w:pPr>
        <w:pStyle w:val="a7"/>
        <w:rPr>
          <w:rtl/>
        </w:rPr>
      </w:pPr>
      <w:r>
        <w:rPr>
          <w:rStyle w:val="a9"/>
        </w:rPr>
        <w:footnoteRef/>
      </w:r>
      <w:r>
        <w:rPr>
          <w:rtl/>
        </w:rPr>
        <w:t xml:space="preserve"> </w:t>
      </w:r>
      <w:r w:rsidRPr="0023751E">
        <w:rPr>
          <w:rFonts w:cs="Arial"/>
          <w:rtl/>
        </w:rPr>
        <w:t>שדה באריסותן מבעה"ב ומשקיבלוה הוטלה על שניהם לעסוק בה ביחד</w:t>
      </w:r>
      <w:r>
        <w:rPr>
          <w:rFonts w:cs="Arial" w:hint="cs"/>
          <w:rtl/>
        </w:rPr>
        <w:t>, רש"י.</w:t>
      </w:r>
    </w:p>
  </w:footnote>
  <w:footnote w:id="68">
    <w:p w14:paraId="768519E6" w14:textId="77777777" w:rsidR="004B2E7C" w:rsidRDefault="004B2E7C" w:rsidP="00285819">
      <w:pPr>
        <w:pStyle w:val="a7"/>
      </w:pPr>
      <w:r>
        <w:rPr>
          <w:rStyle w:val="a9"/>
        </w:rPr>
        <w:footnoteRef/>
      </w:r>
      <w:r>
        <w:rPr>
          <w:rtl/>
        </w:rPr>
        <w:t xml:space="preserve"> </w:t>
      </w:r>
      <w:r w:rsidRPr="0023751E">
        <w:rPr>
          <w:rFonts w:cs="Arial"/>
          <w:rtl/>
        </w:rPr>
        <w:t>טול אתה חלקך בשבת לפי שנעשה שלוחו על חצי היום המוטל עליו</w:t>
      </w:r>
      <w:r>
        <w:rPr>
          <w:rFonts w:cs="Arial" w:hint="cs"/>
          <w:rtl/>
        </w:rPr>
        <w:t>, רש"י.</w:t>
      </w:r>
    </w:p>
  </w:footnote>
  <w:footnote w:id="69">
    <w:p w14:paraId="6B3F95BF" w14:textId="77777777" w:rsidR="004B2E7C" w:rsidRDefault="004B2E7C" w:rsidP="00285819">
      <w:pPr>
        <w:pStyle w:val="a7"/>
      </w:pPr>
      <w:r>
        <w:rPr>
          <w:rStyle w:val="a9"/>
        </w:rPr>
        <w:footnoteRef/>
      </w:r>
      <w:r>
        <w:rPr>
          <w:rtl/>
        </w:rPr>
        <w:t xml:space="preserve"> </w:t>
      </w:r>
      <w:r>
        <w:rPr>
          <w:rFonts w:cs="Arial"/>
          <w:rtl/>
        </w:rPr>
        <w:t>כלומר תעמול לזרוע ולחרוש בשבת ותטול בשעת קצירה או בצירה כנגד עמלך בשבת ואני או שלוחי אטרח לעשות כן בחול כדי ליטול בשעת קצירה או בצירה כנגד יום שלי כן פירש ספר התרומה (סי' קמז) וכן משמע מדברי רש"י</w:t>
      </w:r>
      <w:r>
        <w:rPr>
          <w:rFonts w:cs="Arial" w:hint="cs"/>
          <w:rtl/>
        </w:rPr>
        <w:t>, ב"י.</w:t>
      </w:r>
    </w:p>
  </w:footnote>
  <w:footnote w:id="70">
    <w:p w14:paraId="0160B0B5" w14:textId="77777777" w:rsidR="004B2E7C" w:rsidRDefault="004B2E7C" w:rsidP="00285819">
      <w:pPr>
        <w:pStyle w:val="a7"/>
      </w:pPr>
      <w:r>
        <w:rPr>
          <w:rStyle w:val="a9"/>
        </w:rPr>
        <w:footnoteRef/>
      </w:r>
      <w:r>
        <w:rPr>
          <w:rtl/>
        </w:rPr>
        <w:t xml:space="preserve"> </w:t>
      </w:r>
      <w:r w:rsidRPr="0023751E">
        <w:rPr>
          <w:rFonts w:cs="Arial"/>
          <w:rtl/>
        </w:rPr>
        <w:t>קודם שהוטלה עליו</w:t>
      </w:r>
      <w:r>
        <w:rPr>
          <w:rFonts w:cs="Arial" w:hint="cs"/>
          <w:rtl/>
        </w:rPr>
        <w:t>, רש"י.</w:t>
      </w:r>
    </w:p>
  </w:footnote>
  <w:footnote w:id="71">
    <w:p w14:paraId="7567CE04" w14:textId="77777777" w:rsidR="004B2E7C" w:rsidRDefault="004B2E7C" w:rsidP="00285819">
      <w:pPr>
        <w:pStyle w:val="a7"/>
        <w:rPr>
          <w:rtl/>
        </w:rPr>
      </w:pPr>
      <w:r>
        <w:rPr>
          <w:rStyle w:val="a9"/>
        </w:rPr>
        <w:footnoteRef/>
      </w:r>
      <w:r>
        <w:rPr>
          <w:rtl/>
        </w:rPr>
        <w:t xml:space="preserve"> </w:t>
      </w:r>
      <w:r w:rsidRPr="0023751E">
        <w:rPr>
          <w:rFonts w:cs="Arial"/>
          <w:rtl/>
        </w:rPr>
        <w:t>דהא לא קיבל עליה ישראל עבודה דשבת ואין ה</w:t>
      </w:r>
      <w:r>
        <w:rPr>
          <w:rFonts w:cs="Arial"/>
          <w:rtl/>
        </w:rPr>
        <w:t>גוי</w:t>
      </w:r>
      <w:r w:rsidRPr="0023751E">
        <w:rPr>
          <w:rFonts w:cs="Arial"/>
          <w:rtl/>
        </w:rPr>
        <w:t xml:space="preserve"> שלוחו</w:t>
      </w:r>
      <w:r>
        <w:rPr>
          <w:rFonts w:cs="Arial" w:hint="cs"/>
          <w:rtl/>
        </w:rPr>
        <w:t>, רש"י.</w:t>
      </w:r>
    </w:p>
  </w:footnote>
  <w:footnote w:id="72">
    <w:p w14:paraId="2A576D7C" w14:textId="77777777" w:rsidR="004B2E7C" w:rsidRDefault="004B2E7C" w:rsidP="00285819">
      <w:pPr>
        <w:pStyle w:val="a7"/>
        <w:rPr>
          <w:rtl/>
        </w:rPr>
      </w:pPr>
      <w:r>
        <w:rPr>
          <w:rStyle w:val="a9"/>
        </w:rPr>
        <w:footnoteRef/>
      </w:r>
      <w:r>
        <w:rPr>
          <w:rtl/>
        </w:rPr>
        <w:t xml:space="preserve"> </w:t>
      </w:r>
      <w:r w:rsidRPr="0023751E">
        <w:rPr>
          <w:rFonts w:cs="Arial"/>
          <w:rtl/>
        </w:rPr>
        <w:t>לאו אהתנו מתחלה קאי אלא מילתא באנפי נפשה היא</w:t>
      </w:r>
      <w:r>
        <w:rPr>
          <w:rFonts w:cs="Arial" w:hint="cs"/>
          <w:rtl/>
        </w:rPr>
        <w:t>,</w:t>
      </w:r>
      <w:r w:rsidRPr="0023751E">
        <w:rPr>
          <w:rFonts w:cs="Arial"/>
          <w:rtl/>
        </w:rPr>
        <w:t xml:space="preserve"> כלומר אם קיבלו סתם ועשו סתם ועייל </w:t>
      </w:r>
      <w:r>
        <w:rPr>
          <w:rFonts w:cs="Arial" w:hint="cs"/>
          <w:rtl/>
        </w:rPr>
        <w:t>הגוי</w:t>
      </w:r>
      <w:r w:rsidRPr="0023751E">
        <w:rPr>
          <w:rFonts w:cs="Arial"/>
          <w:rtl/>
        </w:rPr>
        <w:t xml:space="preserve"> בשבת וישראל בחול ולא צווהו ישראל ובאו לחשבון לאחר זמן לומר כמה ימי שבת נטלת אתה ואני אטול כנגדן ימי החול</w:t>
      </w:r>
      <w:r>
        <w:rPr>
          <w:rFonts w:cs="Arial" w:hint="cs"/>
          <w:rtl/>
        </w:rPr>
        <w:t>, רש"י.</w:t>
      </w:r>
      <w:r w:rsidRPr="00B86B10">
        <w:rPr>
          <w:rFonts w:cs="Arial"/>
          <w:rtl/>
        </w:rPr>
        <w:t xml:space="preserve"> </w:t>
      </w:r>
      <w:r>
        <w:rPr>
          <w:rFonts w:cs="Arial"/>
          <w:rtl/>
        </w:rPr>
        <w:t xml:space="preserve">וכן נראה שהוא דעת הרמב"ם </w:t>
      </w:r>
      <w:r>
        <w:rPr>
          <w:rFonts w:cs="Arial" w:hint="cs"/>
          <w:rtl/>
        </w:rPr>
        <w:t>(</w:t>
      </w:r>
      <w:r>
        <w:rPr>
          <w:rFonts w:cs="Arial"/>
          <w:rtl/>
        </w:rPr>
        <w:t>פ"ו הי"ז) וכמ"ש ה</w:t>
      </w:r>
      <w:r>
        <w:rPr>
          <w:rFonts w:cs="Arial" w:hint="cs"/>
          <w:rtl/>
        </w:rPr>
        <w:t>ה"מ,</w:t>
      </w:r>
      <w:r>
        <w:rPr>
          <w:rFonts w:cs="Arial"/>
          <w:rtl/>
        </w:rPr>
        <w:t xml:space="preserve"> וכ"כ ר</w:t>
      </w:r>
      <w:r>
        <w:rPr>
          <w:rFonts w:cs="Arial" w:hint="cs"/>
          <w:rtl/>
        </w:rPr>
        <w:t>י"ו</w:t>
      </w:r>
      <w:r>
        <w:rPr>
          <w:rFonts w:cs="Arial"/>
          <w:rtl/>
        </w:rPr>
        <w:t xml:space="preserve"> </w:t>
      </w:r>
      <w:r>
        <w:rPr>
          <w:rFonts w:cs="Arial" w:hint="cs"/>
          <w:rtl/>
        </w:rPr>
        <w:t>(</w:t>
      </w:r>
      <w:r>
        <w:rPr>
          <w:rFonts w:cs="Arial"/>
          <w:rtl/>
        </w:rPr>
        <w:t>חי"ב ני"ב פב סוע"ב)</w:t>
      </w:r>
      <w:r>
        <w:rPr>
          <w:rFonts w:cs="Arial" w:hint="cs"/>
          <w:rtl/>
        </w:rPr>
        <w:t>,</w:t>
      </w:r>
      <w:r>
        <w:rPr>
          <w:rFonts w:cs="Arial"/>
          <w:rtl/>
        </w:rPr>
        <w:t xml:space="preserve"> וכן נראה מדברי סמ"ג (שם) והתרומה (סי' קמו)</w:t>
      </w:r>
      <w:r>
        <w:rPr>
          <w:rFonts w:cs="Arial" w:hint="cs"/>
          <w:rtl/>
        </w:rPr>
        <w:t>,</w:t>
      </w:r>
      <w:r>
        <w:rPr>
          <w:rFonts w:cs="Arial"/>
          <w:rtl/>
        </w:rPr>
        <w:t xml:space="preserve"> וכ"כ רבינו</w:t>
      </w:r>
      <w:r>
        <w:rPr>
          <w:rFonts w:cs="Arial" w:hint="cs"/>
          <w:rtl/>
        </w:rPr>
        <w:t>.</w:t>
      </w:r>
      <w:r>
        <w:rPr>
          <w:rFonts w:cs="Arial"/>
          <w:rtl/>
        </w:rPr>
        <w:t xml:space="preserve"> ודלא כפירוש הראב"ד (חי' ע"ז כב. ד"ה ואם) שהזכיר הר"ן (ע"ז ז. דיבור ראשון) דאם באו לחשבון אהתנו מעיקרא קאי כלומר א</w:t>
      </w:r>
      <w:r>
        <w:rPr>
          <w:rFonts w:cs="Arial" w:hint="cs"/>
          <w:rtl/>
        </w:rPr>
        <w:t>ע"פ</w:t>
      </w:r>
      <w:r>
        <w:rPr>
          <w:rFonts w:cs="Arial"/>
          <w:rtl/>
        </w:rPr>
        <w:t xml:space="preserve"> שהתנו אם אח"כ יבואו לחשבון ותהא חלוקתן שוה אסור דכיון שבאו לחשבון אשתכח דמעיקרא הערמה בעלמא הוה</w:t>
      </w:r>
      <w:r>
        <w:rPr>
          <w:rFonts w:cs="Arial" w:hint="cs"/>
          <w:rtl/>
        </w:rPr>
        <w:t>, ב"י.</w:t>
      </w:r>
    </w:p>
  </w:footnote>
  <w:footnote w:id="73">
    <w:p w14:paraId="771000FD" w14:textId="77777777" w:rsidR="004B2E7C" w:rsidRDefault="004B2E7C" w:rsidP="00285819">
      <w:pPr>
        <w:pStyle w:val="a7"/>
        <w:rPr>
          <w:rtl/>
        </w:rPr>
      </w:pPr>
      <w:r>
        <w:rPr>
          <w:rStyle w:val="a9"/>
        </w:rPr>
        <w:footnoteRef/>
      </w:r>
      <w:r>
        <w:rPr>
          <w:rtl/>
        </w:rPr>
        <w:t xml:space="preserve"> </w:t>
      </w:r>
      <w:r w:rsidRPr="0023751E">
        <w:rPr>
          <w:rFonts w:cs="Arial"/>
          <w:rtl/>
        </w:rPr>
        <w:t>דשכר שבת הוא נוטל דגלי דעתו ד</w:t>
      </w:r>
      <w:r>
        <w:rPr>
          <w:rFonts w:cs="Arial"/>
          <w:rtl/>
        </w:rPr>
        <w:t>גוי</w:t>
      </w:r>
      <w:r w:rsidRPr="0023751E">
        <w:rPr>
          <w:rFonts w:cs="Arial"/>
          <w:rtl/>
        </w:rPr>
        <w:t xml:space="preserve"> שלוחו היה</w:t>
      </w:r>
      <w:r>
        <w:rPr>
          <w:rFonts w:cs="Arial" w:hint="cs"/>
          <w:rtl/>
        </w:rPr>
        <w:t>, רש"י.</w:t>
      </w:r>
    </w:p>
  </w:footnote>
  <w:footnote w:id="74">
    <w:p w14:paraId="3C02ED09" w14:textId="77777777" w:rsidR="004B2E7C" w:rsidRDefault="004B2E7C" w:rsidP="00285819">
      <w:pPr>
        <w:pStyle w:val="a7"/>
        <w:rPr>
          <w:rtl/>
        </w:rPr>
      </w:pPr>
      <w:r>
        <w:rPr>
          <w:rStyle w:val="a9"/>
        </w:rPr>
        <w:footnoteRef/>
      </w:r>
      <w:r>
        <w:rPr>
          <w:rtl/>
        </w:rPr>
        <w:t xml:space="preserve"> </w:t>
      </w:r>
      <w:r w:rsidRPr="00262D6E">
        <w:rPr>
          <w:rFonts w:cs="Arial"/>
          <w:rtl/>
        </w:rPr>
        <w:t xml:space="preserve">שקיבלו סתם ועשו סתם </w:t>
      </w:r>
      <w:r>
        <w:rPr>
          <w:rFonts w:cs="Arial"/>
          <w:rtl/>
        </w:rPr>
        <w:t>גוי</w:t>
      </w:r>
      <w:r w:rsidRPr="00262D6E">
        <w:rPr>
          <w:rFonts w:cs="Arial"/>
          <w:rtl/>
        </w:rPr>
        <w:t xml:space="preserve"> בשבת וישראל בחד בשבת ולא אמר ישראל מעולם טול אתה את השבת ואני בחול מהו לחלוק סתם בשוה ולא יזכיר ישראל את השבת</w:t>
      </w:r>
      <w:r>
        <w:rPr>
          <w:rFonts w:cs="Arial" w:hint="cs"/>
          <w:rtl/>
        </w:rPr>
        <w:t>, רש"י.</w:t>
      </w:r>
    </w:p>
  </w:footnote>
  <w:footnote w:id="75">
    <w:p w14:paraId="574C4750" w14:textId="77777777" w:rsidR="004B2E7C" w:rsidRDefault="004B2E7C" w:rsidP="00285819">
      <w:pPr>
        <w:pStyle w:val="a7"/>
      </w:pPr>
      <w:r>
        <w:rPr>
          <w:rStyle w:val="a9"/>
        </w:rPr>
        <w:footnoteRef/>
      </w:r>
      <w:r>
        <w:rPr>
          <w:rtl/>
        </w:rPr>
        <w:t xml:space="preserve"> </w:t>
      </w:r>
      <w:r w:rsidRPr="0037664F">
        <w:rPr>
          <w:rFonts w:cs="Arial"/>
          <w:rtl/>
        </w:rPr>
        <w:t>הזכיר לו ישראל של שבת באותה חלוקה וגלי דעתיה דשלוחיה הוא</w:t>
      </w:r>
      <w:r>
        <w:rPr>
          <w:rFonts w:cs="Arial" w:hint="cs"/>
          <w:rtl/>
        </w:rPr>
        <w:t>, רש"י.</w:t>
      </w:r>
    </w:p>
  </w:footnote>
  <w:footnote w:id="76">
    <w:p w14:paraId="2458A81F" w14:textId="77777777" w:rsidR="004B2E7C" w:rsidRDefault="004B2E7C" w:rsidP="00285819">
      <w:pPr>
        <w:pStyle w:val="a7"/>
      </w:pPr>
      <w:r>
        <w:rPr>
          <w:rStyle w:val="a9"/>
        </w:rPr>
        <w:footnoteRef/>
      </w:r>
      <w:r>
        <w:rPr>
          <w:rtl/>
        </w:rPr>
        <w:t xml:space="preserve"> </w:t>
      </w:r>
      <w:r w:rsidRPr="0037664F">
        <w:rPr>
          <w:rFonts w:cs="Arial"/>
          <w:rtl/>
        </w:rPr>
        <w:t>דאף בשעת חלוקה סתם מותר</w:t>
      </w:r>
      <w:r>
        <w:rPr>
          <w:rFonts w:cs="Arial" w:hint="cs"/>
          <w:rtl/>
        </w:rPr>
        <w:t>, רש"י.</w:t>
      </w:r>
    </w:p>
  </w:footnote>
  <w:footnote w:id="77">
    <w:p w14:paraId="783681DA" w14:textId="77777777" w:rsidR="004B2E7C" w:rsidRDefault="004B2E7C" w:rsidP="00285819">
      <w:pPr>
        <w:pStyle w:val="a7"/>
        <w:rPr>
          <w:rtl/>
        </w:rPr>
      </w:pPr>
      <w:r>
        <w:rPr>
          <w:rStyle w:val="a9"/>
        </w:rPr>
        <w:footnoteRef/>
      </w:r>
      <w:r>
        <w:rPr>
          <w:rtl/>
        </w:rPr>
        <w:t xml:space="preserve"> </w:t>
      </w:r>
      <w:r>
        <w:rPr>
          <w:rFonts w:cs="Arial"/>
          <w:rtl/>
        </w:rPr>
        <w:t>כלומר דלא דמי למשכיר שדהו לגוי דשרי דהתם כל עבודת השדה עליה דגוי רמיא אבל הכא אישראל נמי רמיא שהרי השדה של שניהם הוא והוי כאילו מעמיד פועל במקומו שיעשה מלאכתו בשבת והוא יעשה במקומו למחר הילכך אסור כשלא התנו</w:t>
      </w:r>
      <w:r>
        <w:rPr>
          <w:rFonts w:hint="cs"/>
          <w:rtl/>
        </w:rPr>
        <w:t>...</w:t>
      </w:r>
      <w:r w:rsidRPr="008F4B10">
        <w:rPr>
          <w:rFonts w:cs="Arial"/>
          <w:rtl/>
        </w:rPr>
        <w:t xml:space="preserve"> </w:t>
      </w:r>
      <w:r>
        <w:rPr>
          <w:rFonts w:cs="Arial"/>
          <w:rtl/>
        </w:rPr>
        <w:t>וכתוב בספר התרומה (סי' קמז) אבל אם הגוי נכנס בשדה לחרוש ולזרוע חלקו של ישראל למחצה לשליש ולרביע מותר דאריסותיה קא עביד</w:t>
      </w:r>
      <w:r>
        <w:rPr>
          <w:rFonts w:cs="Arial" w:hint="cs"/>
          <w:rtl/>
        </w:rPr>
        <w:t>.</w:t>
      </w:r>
      <w:r>
        <w:rPr>
          <w:rFonts w:cs="Arial"/>
          <w:rtl/>
        </w:rPr>
        <w:t xml:space="preserve"> ופשוט הוא וכבר נתבאר בסימן רמ"ג</w:t>
      </w:r>
      <w:r>
        <w:rPr>
          <w:rFonts w:cs="Arial" w:hint="cs"/>
          <w:rtl/>
        </w:rPr>
        <w:t>,</w:t>
      </w:r>
      <w:r>
        <w:rPr>
          <w:rFonts w:hint="cs"/>
          <w:rtl/>
        </w:rPr>
        <w:t xml:space="preserve"> ב"י.</w:t>
      </w:r>
    </w:p>
  </w:footnote>
  <w:footnote w:id="78">
    <w:p w14:paraId="5E208B2B" w14:textId="77777777" w:rsidR="004B2E7C" w:rsidRDefault="004B2E7C" w:rsidP="00285819">
      <w:pPr>
        <w:pStyle w:val="a7"/>
        <w:rPr>
          <w:rtl/>
        </w:rPr>
      </w:pPr>
      <w:r>
        <w:rPr>
          <w:rStyle w:val="a9"/>
        </w:rPr>
        <w:footnoteRef/>
      </w:r>
      <w:r>
        <w:rPr>
          <w:rtl/>
        </w:rPr>
        <w:t xml:space="preserve"> </w:t>
      </w:r>
      <w:r>
        <w:rPr>
          <w:rFonts w:cs="Arial" w:hint="cs"/>
          <w:rtl/>
        </w:rPr>
        <w:t>היינו ד</w:t>
      </w:r>
      <w:r>
        <w:rPr>
          <w:rFonts w:cs="Arial"/>
          <w:rtl/>
        </w:rPr>
        <w:t>התנו מתחלה קודם שקנו השדה שלא יהיה לישראל חלק בו ביום השבת</w:t>
      </w:r>
      <w:r>
        <w:rPr>
          <w:rFonts w:cs="Arial" w:hint="cs"/>
          <w:rtl/>
        </w:rPr>
        <w:t xml:space="preserve">, </w:t>
      </w:r>
      <w:r>
        <w:rPr>
          <w:rFonts w:cs="Arial"/>
          <w:rtl/>
        </w:rPr>
        <w:t>סמ"ג (לאוין סה כא ע"ד) והתרומה (שם). ונראה דלאו למימרא שצריך לפרש כן בהדיא אלא מכיון שהתנה קודם שקנו השדה טול אתה בשבת ואני בחול ה"ל כאילו התנו שלא יהיה לישראל חלק בו ביום השבת וכדפרישית</w:t>
      </w:r>
      <w:r>
        <w:rPr>
          <w:rFonts w:cs="Arial" w:hint="cs"/>
          <w:rtl/>
        </w:rPr>
        <w:t>, ב"י.</w:t>
      </w:r>
    </w:p>
  </w:footnote>
  <w:footnote w:id="79">
    <w:p w14:paraId="2187DDF2" w14:textId="77777777" w:rsidR="004B2E7C" w:rsidRDefault="004B2E7C" w:rsidP="00285819">
      <w:pPr>
        <w:pStyle w:val="a7"/>
      </w:pPr>
      <w:r>
        <w:rPr>
          <w:rStyle w:val="a9"/>
        </w:rPr>
        <w:footnoteRef/>
      </w:r>
      <w:r>
        <w:rPr>
          <w:rtl/>
        </w:rPr>
        <w:t xml:space="preserve"> </w:t>
      </w:r>
      <w:r>
        <w:rPr>
          <w:rFonts w:cs="Arial"/>
          <w:rtl/>
        </w:rPr>
        <w:t>משום דכיון דמעיקרא התנו ה"ל כאילו אין לישראל חלק בשדה כלל ביום השבת אלא כולו של גוי בשבת וכולו של ישראל ביום החול ונמצא שלא הוטלה מלאכת שבת על ישראל כלל מאחר שאין השדה שלו ביום ההוא</w:t>
      </w:r>
      <w:r>
        <w:rPr>
          <w:rFonts w:cs="Arial" w:hint="cs"/>
          <w:rtl/>
        </w:rPr>
        <w:t>, ב"י.</w:t>
      </w:r>
    </w:p>
  </w:footnote>
  <w:footnote w:id="80">
    <w:p w14:paraId="745A40E9" w14:textId="77777777" w:rsidR="004B2E7C" w:rsidRDefault="004B2E7C" w:rsidP="00285819">
      <w:pPr>
        <w:pStyle w:val="a7"/>
        <w:rPr>
          <w:rtl/>
        </w:rPr>
      </w:pPr>
      <w:r>
        <w:rPr>
          <w:rStyle w:val="a9"/>
        </w:rPr>
        <w:footnoteRef/>
      </w:r>
      <w:r>
        <w:rPr>
          <w:rtl/>
        </w:rPr>
        <w:t xml:space="preserve"> </w:t>
      </w:r>
      <w:r>
        <w:rPr>
          <w:rFonts w:cs="Arial"/>
          <w:rtl/>
        </w:rPr>
        <w:t>ובסמוך (ד"ה ואם לא) יתבאר אם יש חולק בדברים אלו</w:t>
      </w:r>
      <w:r>
        <w:rPr>
          <w:rFonts w:cs="Arial" w:hint="cs"/>
          <w:rtl/>
        </w:rPr>
        <w:t>, ב"י.</w:t>
      </w:r>
    </w:p>
  </w:footnote>
  <w:footnote w:id="81">
    <w:p w14:paraId="45792D18" w14:textId="77777777" w:rsidR="004B2E7C" w:rsidRDefault="004B2E7C" w:rsidP="00285819">
      <w:pPr>
        <w:pStyle w:val="a7"/>
        <w:rPr>
          <w:rtl/>
        </w:rPr>
      </w:pPr>
      <w:r>
        <w:rPr>
          <w:rStyle w:val="a9"/>
        </w:rPr>
        <w:footnoteRef/>
      </w:r>
      <w:r>
        <w:rPr>
          <w:rtl/>
        </w:rPr>
        <w:t xml:space="preserve"> </w:t>
      </w:r>
      <w:r w:rsidRPr="007F0059">
        <w:rPr>
          <w:rFonts w:cs="Arial"/>
          <w:rtl/>
        </w:rPr>
        <w:t>וכן יראה דעת הרמב"ם ז"ל שכתב המשתתף עם ה</w:t>
      </w:r>
      <w:r>
        <w:rPr>
          <w:rFonts w:cs="Arial"/>
          <w:rtl/>
        </w:rPr>
        <w:t>גוי</w:t>
      </w:r>
      <w:r w:rsidRPr="007F0059">
        <w:rPr>
          <w:rFonts w:cs="Arial"/>
          <w:rtl/>
        </w:rPr>
        <w:t xml:space="preserve"> במלאכה או בסחורה אם התנו וכו'</w:t>
      </w:r>
      <w:r>
        <w:rPr>
          <w:rFonts w:cs="Arial" w:hint="cs"/>
          <w:rtl/>
        </w:rPr>
        <w:t>.</w:t>
      </w:r>
      <w:r w:rsidRPr="007F0059">
        <w:rPr>
          <w:rFonts w:cs="Arial"/>
          <w:rtl/>
        </w:rPr>
        <w:t xml:space="preserve"> ומלאכה דומה לתנור שאין חלק הישראל מתעלה במה שה</w:t>
      </w:r>
      <w:r>
        <w:rPr>
          <w:rFonts w:cs="Arial"/>
          <w:rtl/>
        </w:rPr>
        <w:t>גוי</w:t>
      </w:r>
      <w:r w:rsidRPr="007F0059">
        <w:rPr>
          <w:rFonts w:cs="Arial"/>
          <w:rtl/>
        </w:rPr>
        <w:t xml:space="preserve"> עושה ואסור בלא התנו</w:t>
      </w:r>
      <w:r>
        <w:rPr>
          <w:rFonts w:hint="cs"/>
          <w:rtl/>
        </w:rPr>
        <w:t>, טור.</w:t>
      </w:r>
    </w:p>
  </w:footnote>
  <w:footnote w:id="82">
    <w:p w14:paraId="54C3D4B3" w14:textId="77777777" w:rsidR="004B2E7C" w:rsidRDefault="004B2E7C" w:rsidP="00285819">
      <w:pPr>
        <w:pStyle w:val="a7"/>
      </w:pPr>
      <w:r>
        <w:rPr>
          <w:rStyle w:val="a9"/>
        </w:rPr>
        <w:footnoteRef/>
      </w:r>
      <w:r>
        <w:rPr>
          <w:rtl/>
        </w:rPr>
        <w:t xml:space="preserve"> </w:t>
      </w:r>
      <w:r w:rsidRPr="00B86B10">
        <w:rPr>
          <w:rFonts w:cs="Arial"/>
          <w:rtl/>
        </w:rPr>
        <w:t xml:space="preserve">ומאחר שר"י חזר בו </w:t>
      </w:r>
      <w:r>
        <w:rPr>
          <w:rFonts w:cs="Arial" w:hint="cs"/>
          <w:rtl/>
        </w:rPr>
        <w:t xml:space="preserve">- </w:t>
      </w:r>
      <w:r w:rsidRPr="00B86B10">
        <w:rPr>
          <w:rFonts w:cs="Arial"/>
          <w:rtl/>
        </w:rPr>
        <w:t>קם לה הלכתא כרבינו תם</w:t>
      </w:r>
      <w:r>
        <w:rPr>
          <w:rFonts w:cs="Arial" w:hint="cs"/>
          <w:rtl/>
        </w:rPr>
        <w:t>.</w:t>
      </w:r>
      <w:r w:rsidRPr="00B86B10">
        <w:rPr>
          <w:rFonts w:cs="Arial"/>
          <w:rtl/>
        </w:rPr>
        <w:t xml:space="preserve"> וגם הרא"ש כתב שר"י היה רוצה להתיר ולא הודה לו רבינו תם</w:t>
      </w:r>
      <w:r>
        <w:rPr>
          <w:rFonts w:cs="Arial" w:hint="cs"/>
          <w:rtl/>
        </w:rPr>
        <w:t>.</w:t>
      </w:r>
      <w:r w:rsidRPr="00B86B10">
        <w:rPr>
          <w:rFonts w:cs="Arial"/>
          <w:rtl/>
        </w:rPr>
        <w:t xml:space="preserve"> וכן פסק סמ"ג (לאוין סה כא ע"ד)</w:t>
      </w:r>
      <w:r>
        <w:rPr>
          <w:rFonts w:cs="Arial" w:hint="cs"/>
          <w:rtl/>
        </w:rPr>
        <w:t>.</w:t>
      </w:r>
      <w:r w:rsidRPr="00B86B10">
        <w:rPr>
          <w:rFonts w:cs="Arial"/>
          <w:rtl/>
        </w:rPr>
        <w:t xml:space="preserve"> והכי דייק לשון רבינו שכתב </w:t>
      </w:r>
      <w:r>
        <w:rPr>
          <w:rFonts w:cs="Arial" w:hint="cs"/>
          <w:rtl/>
        </w:rPr>
        <w:t>'</w:t>
      </w:r>
      <w:r w:rsidRPr="00B86B10">
        <w:rPr>
          <w:rFonts w:cs="Arial"/>
          <w:rtl/>
        </w:rPr>
        <w:t>ור"י היה מתיר</w:t>
      </w:r>
      <w:r>
        <w:rPr>
          <w:rFonts w:cs="Arial" w:hint="cs"/>
          <w:rtl/>
        </w:rPr>
        <w:t>',</w:t>
      </w:r>
      <w:r w:rsidRPr="00B86B10">
        <w:rPr>
          <w:rFonts w:cs="Arial"/>
          <w:rtl/>
        </w:rPr>
        <w:t xml:space="preserve"> דמשמע היה מתיר מתחלה אבל לא בסוף שהרי הודה לדברי רבינו תם</w:t>
      </w:r>
      <w:r>
        <w:rPr>
          <w:rFonts w:cs="Arial" w:hint="cs"/>
          <w:rtl/>
        </w:rPr>
        <w:t>.</w:t>
      </w:r>
      <w:r w:rsidRPr="00B86B10">
        <w:rPr>
          <w:rFonts w:cs="Arial"/>
          <w:rtl/>
        </w:rPr>
        <w:t xml:space="preserve"> וכתב שם הרא"ש דהוא הדין לריחיים של מים שאסור</w:t>
      </w:r>
      <w:r>
        <w:rPr>
          <w:rFonts w:cs="Arial" w:hint="cs"/>
          <w:rtl/>
        </w:rPr>
        <w:t>.</w:t>
      </w:r>
      <w:r w:rsidRPr="003E3DA1">
        <w:rPr>
          <w:rFonts w:cs="Arial" w:hint="cs"/>
          <w:color w:val="E36C0A" w:themeColor="accent6" w:themeShade="BF"/>
          <w:rtl/>
        </w:rPr>
        <w:t xml:space="preserve"> </w:t>
      </w:r>
      <w:r w:rsidRPr="0099728C">
        <w:rPr>
          <w:rFonts w:cs="Arial" w:hint="cs"/>
          <w:color w:val="E36C0A" w:themeColor="accent6" w:themeShade="BF"/>
          <w:rtl/>
        </w:rPr>
        <w:t>(וכ</w:t>
      </w:r>
      <w:r>
        <w:rPr>
          <w:rFonts w:cs="Arial" w:hint="cs"/>
          <w:color w:val="E36C0A" w:themeColor="accent6" w:themeShade="BF"/>
          <w:rtl/>
        </w:rPr>
        <w:t>"</w:t>
      </w:r>
      <w:r w:rsidRPr="0099728C">
        <w:rPr>
          <w:rFonts w:cs="Arial" w:hint="cs"/>
          <w:color w:val="E36C0A" w:themeColor="accent6" w:themeShade="BF"/>
          <w:rtl/>
        </w:rPr>
        <w:t>פ בשו"ע)</w:t>
      </w:r>
      <w:r>
        <w:rPr>
          <w:rFonts w:cs="Arial" w:hint="cs"/>
          <w:rtl/>
        </w:rPr>
        <w:t>.</w:t>
      </w:r>
      <w:r w:rsidRPr="00B86B10">
        <w:rPr>
          <w:rFonts w:cs="Arial"/>
          <w:rtl/>
        </w:rPr>
        <w:t xml:space="preserve"> וכ"כ רבינו ירוחם בחי"ב (ני"ב פב ע"ג) וכ"כ בסמ"ג (שם)</w:t>
      </w:r>
      <w:r>
        <w:rPr>
          <w:rFonts w:cs="Arial" w:hint="cs"/>
          <w:rtl/>
        </w:rPr>
        <w:t>, ב"י.</w:t>
      </w:r>
    </w:p>
  </w:footnote>
  <w:footnote w:id="83">
    <w:p w14:paraId="77C3AED7" w14:textId="77777777" w:rsidR="004B2E7C" w:rsidRDefault="004B2E7C" w:rsidP="00285819">
      <w:pPr>
        <w:pStyle w:val="a7"/>
        <w:rPr>
          <w:rtl/>
        </w:rPr>
      </w:pPr>
      <w:r>
        <w:rPr>
          <w:rStyle w:val="a9"/>
        </w:rPr>
        <w:footnoteRef/>
      </w:r>
      <w:r>
        <w:rPr>
          <w:rtl/>
        </w:rPr>
        <w:t xml:space="preserve"> </w:t>
      </w:r>
      <w:r w:rsidRPr="007F0059">
        <w:rPr>
          <w:rFonts w:cs="Arial"/>
          <w:rtl/>
        </w:rPr>
        <w:t>אבל מדברי הרמב"ם ז"ל יראה לחומרא</w:t>
      </w:r>
      <w:r>
        <w:rPr>
          <w:rFonts w:hint="cs"/>
          <w:rtl/>
        </w:rPr>
        <w:t>, טור.</w:t>
      </w:r>
    </w:p>
  </w:footnote>
  <w:footnote w:id="84">
    <w:p w14:paraId="291769D0" w14:textId="77777777" w:rsidR="004B2E7C" w:rsidRDefault="004B2E7C" w:rsidP="00285819">
      <w:pPr>
        <w:pStyle w:val="a7"/>
        <w:rPr>
          <w:rtl/>
        </w:rPr>
      </w:pPr>
      <w:r>
        <w:rPr>
          <w:rStyle w:val="a9"/>
        </w:rPr>
        <w:footnoteRef/>
      </w:r>
      <w:r>
        <w:rPr>
          <w:rtl/>
        </w:rPr>
        <w:t xml:space="preserve"> </w:t>
      </w:r>
      <w:r w:rsidRPr="007F0059">
        <w:rPr>
          <w:rFonts w:cs="Arial"/>
          <w:rtl/>
        </w:rPr>
        <w:t>וכתב הה</w:t>
      </w:r>
      <w:r>
        <w:rPr>
          <w:rFonts w:cs="Arial" w:hint="cs"/>
          <w:rtl/>
        </w:rPr>
        <w:t>"</w:t>
      </w:r>
      <w:r w:rsidRPr="007F0059">
        <w:rPr>
          <w:rFonts w:cs="Arial"/>
          <w:rtl/>
        </w:rPr>
        <w:t>מ שם שכן כתבו המפרשים</w:t>
      </w:r>
      <w:r>
        <w:rPr>
          <w:rFonts w:cs="Arial" w:hint="cs"/>
          <w:rtl/>
        </w:rPr>
        <w:t>.</w:t>
      </w:r>
      <w:r w:rsidRPr="007F0059">
        <w:rPr>
          <w:rFonts w:cs="Arial"/>
          <w:rtl/>
        </w:rPr>
        <w:t xml:space="preserve"> וכתב הר"ן </w:t>
      </w:r>
      <w:r>
        <w:rPr>
          <w:rFonts w:cs="Arial" w:hint="cs"/>
          <w:rtl/>
        </w:rPr>
        <w:t>(</w:t>
      </w:r>
      <w:r w:rsidRPr="007F0059">
        <w:rPr>
          <w:rFonts w:cs="Arial"/>
          <w:rtl/>
        </w:rPr>
        <w:t>ספ"ק דע</w:t>
      </w:r>
      <w:r>
        <w:rPr>
          <w:rFonts w:cs="Arial" w:hint="cs"/>
          <w:rtl/>
        </w:rPr>
        <w:t>"ז</w:t>
      </w:r>
      <w:r w:rsidRPr="007F0059">
        <w:rPr>
          <w:rFonts w:cs="Arial"/>
          <w:rtl/>
        </w:rPr>
        <w:t xml:space="preserve"> ז. דיבור ראשון) שכן דעת הריא"ף</w:t>
      </w:r>
      <w:r>
        <w:rPr>
          <w:rFonts w:cs="Arial" w:hint="cs"/>
          <w:rtl/>
        </w:rPr>
        <w:t>,</w:t>
      </w:r>
      <w:r w:rsidRPr="007F0059">
        <w:rPr>
          <w:rFonts w:cs="Arial"/>
          <w:rtl/>
        </w:rPr>
        <w:t xml:space="preserve"> ונתן טעם לדבריו. ולענין הלכה כיון דהרי"ף והרמב"ם מסכימים לאסור </w:t>
      </w:r>
      <w:r>
        <w:rPr>
          <w:rFonts w:cs="Arial" w:hint="cs"/>
          <w:rtl/>
        </w:rPr>
        <w:t xml:space="preserve">- </w:t>
      </w:r>
      <w:r w:rsidRPr="007F0059">
        <w:rPr>
          <w:rFonts w:cs="Arial"/>
          <w:rtl/>
        </w:rPr>
        <w:t>הכי נקטינן</w:t>
      </w:r>
      <w:r>
        <w:rPr>
          <w:rFonts w:hint="cs"/>
          <w:rtl/>
        </w:rPr>
        <w:t>, ב"י.</w:t>
      </w:r>
    </w:p>
  </w:footnote>
  <w:footnote w:id="85">
    <w:p w14:paraId="02432636" w14:textId="77777777" w:rsidR="004B2E7C" w:rsidRDefault="004B2E7C" w:rsidP="00285819">
      <w:pPr>
        <w:pStyle w:val="a7"/>
        <w:rPr>
          <w:rtl/>
        </w:rPr>
      </w:pPr>
      <w:r>
        <w:rPr>
          <w:rStyle w:val="a9"/>
        </w:rPr>
        <w:footnoteRef/>
      </w:r>
      <w:r>
        <w:rPr>
          <w:rtl/>
        </w:rPr>
        <w:t xml:space="preserve"> </w:t>
      </w:r>
      <w:r w:rsidRPr="006479C1">
        <w:rPr>
          <w:rFonts w:cs="Arial"/>
          <w:rtl/>
        </w:rPr>
        <w:t xml:space="preserve">ומכל מקום נראה מתוך דבריהם </w:t>
      </w:r>
      <w:r>
        <w:rPr>
          <w:rFonts w:cs="Arial" w:hint="cs"/>
          <w:sz w:val="16"/>
          <w:szCs w:val="16"/>
          <w:rtl/>
        </w:rPr>
        <w:t xml:space="preserve">{של התוס'} </w:t>
      </w:r>
      <w:r w:rsidRPr="006479C1">
        <w:rPr>
          <w:rFonts w:cs="Arial"/>
          <w:rtl/>
        </w:rPr>
        <w:t>דלא סבירא להו כוותיה</w:t>
      </w:r>
      <w:r>
        <w:rPr>
          <w:rFonts w:cs="Arial" w:hint="cs"/>
          <w:rtl/>
        </w:rPr>
        <w:t>,</w:t>
      </w:r>
      <w:r w:rsidRPr="006479C1">
        <w:rPr>
          <w:rFonts w:cs="Arial"/>
          <w:rtl/>
        </w:rPr>
        <w:t xml:space="preserve"> דבכל ענין שרי כשהתנו</w:t>
      </w:r>
      <w:r>
        <w:rPr>
          <w:rFonts w:cs="Arial" w:hint="cs"/>
          <w:rtl/>
        </w:rPr>
        <w:t>,</w:t>
      </w:r>
      <w:r w:rsidRPr="006479C1">
        <w:rPr>
          <w:rFonts w:cs="Arial"/>
          <w:rtl/>
        </w:rPr>
        <w:t xml:space="preserve"> דמאחר שכל אחד נוטל חלקו כקיבלו בשותפות דמי אע</w:t>
      </w:r>
      <w:r>
        <w:rPr>
          <w:rFonts w:cs="Arial" w:hint="cs"/>
          <w:rtl/>
        </w:rPr>
        <w:t>"</w:t>
      </w:r>
      <w:r w:rsidRPr="006479C1">
        <w:rPr>
          <w:rFonts w:cs="Arial"/>
          <w:rtl/>
        </w:rPr>
        <w:t>פ שאין לגוי חלק בו</w:t>
      </w:r>
      <w:r>
        <w:rPr>
          <w:rFonts w:cs="Arial" w:hint="cs"/>
          <w:rtl/>
        </w:rPr>
        <w:t>,</w:t>
      </w:r>
      <w:r w:rsidRPr="006479C1">
        <w:rPr>
          <w:rFonts w:cs="Arial"/>
          <w:rtl/>
        </w:rPr>
        <w:t xml:space="preserve"> ולכן הרא"ש ושאר הפוסקים לא הזכירו דין זה זולתי בהג</w:t>
      </w:r>
      <w:r>
        <w:rPr>
          <w:rFonts w:cs="Arial" w:hint="cs"/>
          <w:rtl/>
        </w:rPr>
        <w:t>"א</w:t>
      </w:r>
      <w:r w:rsidRPr="006479C1">
        <w:rPr>
          <w:rFonts w:cs="Arial"/>
          <w:rtl/>
        </w:rPr>
        <w:t xml:space="preserve"> (סי' כד) שכתב דאפילו התנו לא מהני</w:t>
      </w:r>
      <w:r>
        <w:rPr>
          <w:rFonts w:cs="Arial" w:hint="cs"/>
          <w:rtl/>
        </w:rPr>
        <w:t>,</w:t>
      </w:r>
      <w:r w:rsidRPr="006479C1">
        <w:rPr>
          <w:rFonts w:cs="Arial"/>
          <w:rtl/>
        </w:rPr>
        <w:t xml:space="preserve"> דלא שייך למימר שיהא קנוי לגוי בשבת ולישראל ביום אחר בחול אם לא יקנה לגוי חלק בתנור שיהיה לעולם שלו בשבת</w:t>
      </w:r>
      <w:r>
        <w:rPr>
          <w:rFonts w:hint="cs"/>
          <w:rtl/>
        </w:rPr>
        <w:t xml:space="preserve">, ב"י. אך המג"א (סק"ג) כתב- </w:t>
      </w:r>
      <w:r w:rsidRPr="00643C23">
        <w:rPr>
          <w:rFonts w:cs="Arial"/>
          <w:rtl/>
        </w:rPr>
        <w:t>ול"נ דאדרבא מדכתבו הרא"ש ורי"ו מעשה בא' שגבה חצי תנור בחובו ולא כתבו כמ"ש התו' שהיה נוטל האופה כך וכך ימים א"כ ש"מ דס"ל דבאופה לא מהני התנו ולזה פי' בהג"ה ואם אין וכו' ונ"ל דהתו' והג"א לא אסרו אלא כשא"ל טול אתה בשבת דה"ל כמשכיר תנורו בשבת ע"מ שיסיק לו בחול ונוטל שכר שבת דהוי כנותן לו מעות בשכר כמ"ש התוס' בהדיא בשם ר' אלחנן ע"ש דבשלמא כשיש ל</w:t>
      </w:r>
      <w:r>
        <w:rPr>
          <w:rFonts w:cs="Arial"/>
          <w:rtl/>
        </w:rPr>
        <w:t>גוי</w:t>
      </w:r>
      <w:r w:rsidRPr="00643C23">
        <w:rPr>
          <w:rFonts w:cs="Arial"/>
          <w:rtl/>
        </w:rPr>
        <w:t xml:space="preserve"> חלק בו ה"ל שלו לגמרי בשבת אבל לומר לאופה טול אתה ב' וג' ימים ואני ב' וג' ימים שרי דה"ל שכר שבת בהבלעה ובאופן זה התיר ר"ת להתנות דלא כמ"ש הרב"י שהתוספות חזרו מדבריהם ע"ש דליתא וכל זה במקום שמותר להשכיר תנור כמ"ש סי' רמ"ג ע"ש ותמצא שדברי כנים ואמתים וערסי' רמ"ו</w:t>
      </w:r>
      <w:r>
        <w:rPr>
          <w:rFonts w:cs="Arial" w:hint="cs"/>
          <w:rtl/>
        </w:rPr>
        <w:t>.</w:t>
      </w:r>
    </w:p>
  </w:footnote>
  <w:footnote w:id="86">
    <w:p w14:paraId="651D8A55" w14:textId="77777777" w:rsidR="004B2E7C" w:rsidRDefault="004B2E7C" w:rsidP="00285819">
      <w:pPr>
        <w:pStyle w:val="a7"/>
      </w:pPr>
      <w:r>
        <w:rPr>
          <w:rStyle w:val="a9"/>
        </w:rPr>
        <w:footnoteRef/>
      </w:r>
      <w:r>
        <w:rPr>
          <w:rtl/>
        </w:rPr>
        <w:t xml:space="preserve"> </w:t>
      </w:r>
      <w:r w:rsidRPr="00197DAC">
        <w:rPr>
          <w:rFonts w:cs="Arial"/>
          <w:rtl/>
        </w:rPr>
        <w:t>ועוד דסוף סוף הגוי לא יניחנו מלהחימו בין שהוא נקרא על שמו או אין נקרא על שמו, אין מקום לאסור שכרו (ר"ן שם</w:t>
      </w:r>
      <w:r>
        <w:rPr>
          <w:rFonts w:cs="Arial" w:hint="cs"/>
          <w:rtl/>
        </w:rPr>
        <w:t>), דרכ"מ (אות א*).</w:t>
      </w:r>
    </w:p>
  </w:footnote>
  <w:footnote w:id="87">
    <w:p w14:paraId="3950B8DF" w14:textId="77777777" w:rsidR="004B2E7C" w:rsidRDefault="004B2E7C" w:rsidP="00285819">
      <w:pPr>
        <w:pStyle w:val="a7"/>
        <w:rPr>
          <w:rtl/>
        </w:rPr>
      </w:pPr>
      <w:r>
        <w:rPr>
          <w:rStyle w:val="a9"/>
        </w:rPr>
        <w:footnoteRef/>
      </w:r>
      <w:r>
        <w:rPr>
          <w:rtl/>
        </w:rPr>
        <w:t xml:space="preserve"> </w:t>
      </w:r>
      <w:r w:rsidRPr="007F0059">
        <w:rPr>
          <w:rFonts w:cs="Arial"/>
          <w:rtl/>
        </w:rPr>
        <w:t>ואין נראה שיהיה כן דעת הרמב"ם (פ"ו הי"ז)</w:t>
      </w:r>
      <w:r>
        <w:rPr>
          <w:rFonts w:cs="Arial" w:hint="cs"/>
          <w:rtl/>
        </w:rPr>
        <w:t>,</w:t>
      </w:r>
      <w:r w:rsidRPr="007F0059">
        <w:rPr>
          <w:rFonts w:cs="Arial"/>
          <w:rtl/>
        </w:rPr>
        <w:t xml:space="preserve"> שהרי כתב שהמשתתף עם הגוי במלאכה או בסחורה ולא התנו</w:t>
      </w:r>
      <w:r>
        <w:rPr>
          <w:rFonts w:cs="Arial" w:hint="cs"/>
          <w:rtl/>
        </w:rPr>
        <w:t>,</w:t>
      </w:r>
      <w:r w:rsidRPr="007F0059">
        <w:rPr>
          <w:rFonts w:cs="Arial"/>
          <w:rtl/>
        </w:rPr>
        <w:t xml:space="preserve"> כשיבואו לחלוק נוטל הגוי שכר השבתות כולן</w:t>
      </w:r>
      <w:r>
        <w:rPr>
          <w:rFonts w:cs="Arial" w:hint="cs"/>
          <w:rtl/>
        </w:rPr>
        <w:t>.</w:t>
      </w:r>
      <w:r w:rsidRPr="007F0059">
        <w:rPr>
          <w:rFonts w:cs="Arial"/>
          <w:rtl/>
        </w:rPr>
        <w:t xml:space="preserve"> ומשמע דבחול שניהם עושים מלאכה או סחורה ובשבת עושה הגוי לבדו</w:t>
      </w:r>
      <w:r>
        <w:rPr>
          <w:rFonts w:cs="Arial" w:hint="cs"/>
          <w:rtl/>
        </w:rPr>
        <w:t>,</w:t>
      </w:r>
      <w:r w:rsidRPr="007F0059">
        <w:rPr>
          <w:rFonts w:cs="Arial"/>
          <w:rtl/>
        </w:rPr>
        <w:t xml:space="preserve"> ואפ"ה כתב שיטול הגוי שכר השבתות כולן</w:t>
      </w:r>
      <w:r>
        <w:rPr>
          <w:rFonts w:cs="Arial" w:hint="cs"/>
          <w:rtl/>
        </w:rPr>
        <w:t>.</w:t>
      </w:r>
      <w:r w:rsidRPr="007F0059">
        <w:rPr>
          <w:rFonts w:cs="Arial"/>
          <w:rtl/>
        </w:rPr>
        <w:t xml:space="preserve"> ואם כדברי הר"ן ה"ל למישרי דהא גוי כי עביד מלאכה או סחורה אדעתא דמחצה דידיה קא עביד ואף על גב דישראל מטי ליה רווחא לית לן בה</w:t>
      </w:r>
      <w:r>
        <w:rPr>
          <w:rFonts w:cs="Arial" w:hint="cs"/>
          <w:rtl/>
        </w:rPr>
        <w:t>.</w:t>
      </w:r>
      <w:r w:rsidRPr="007F0059">
        <w:rPr>
          <w:rFonts w:cs="Arial"/>
          <w:rtl/>
        </w:rPr>
        <w:t xml:space="preserve"> אלא שמתוך מה שכתב ולא תיקשי לך מההיא דתניא בדמאי וכו' דהתם כיון שישראל נוטל בחול כנגדו נמצא שנעשה הגוי שלוחו בשבת אבל הכא ששניהם מחממין בחול וכו'</w:t>
      </w:r>
      <w:r>
        <w:rPr>
          <w:rFonts w:cs="Arial" w:hint="cs"/>
          <w:rtl/>
        </w:rPr>
        <w:t>,</w:t>
      </w:r>
      <w:r w:rsidRPr="007F0059">
        <w:rPr>
          <w:rFonts w:cs="Arial"/>
          <w:rtl/>
        </w:rPr>
        <w:t xml:space="preserve"> נראה שדעתו לומר דהא דתניא ישראל וגוי שקבלו בשותפות וכו' מיתוקמא בשאין דרכם להתעסק בה שניהם ביחד אלא זה עובד יום אחד וחבירו עובד יום אחר</w:t>
      </w:r>
      <w:r>
        <w:rPr>
          <w:rFonts w:cs="Arial" w:hint="cs"/>
          <w:rtl/>
        </w:rPr>
        <w:t>,</w:t>
      </w:r>
      <w:r w:rsidRPr="007F0059">
        <w:rPr>
          <w:rFonts w:cs="Arial"/>
          <w:rtl/>
        </w:rPr>
        <w:t xml:space="preserve"> ואפילו אם בשאר ימים שניהם מתעסקים ביחד חוץ מיום שבת ויום אחד כנגדו</w:t>
      </w:r>
      <w:r>
        <w:rPr>
          <w:rFonts w:cs="Arial" w:hint="cs"/>
          <w:rtl/>
        </w:rPr>
        <w:t>,</w:t>
      </w:r>
      <w:r w:rsidRPr="007F0059">
        <w:rPr>
          <w:rFonts w:cs="Arial"/>
          <w:rtl/>
        </w:rPr>
        <w:t xml:space="preserve"> שהגוי מתעסק בשבת וישראל ביום אחר שכנגדו</w:t>
      </w:r>
      <w:r>
        <w:rPr>
          <w:rFonts w:cs="Arial" w:hint="cs"/>
          <w:rtl/>
        </w:rPr>
        <w:t>,</w:t>
      </w:r>
      <w:r w:rsidRPr="007F0059">
        <w:rPr>
          <w:rFonts w:cs="Arial"/>
          <w:rtl/>
        </w:rPr>
        <w:t xml:space="preserve"> דהשתא נמצא שנעשה הגוי שלוחו בשבת</w:t>
      </w:r>
      <w:r>
        <w:rPr>
          <w:rFonts w:cs="Arial" w:hint="cs"/>
          <w:rtl/>
        </w:rPr>
        <w:t>,</w:t>
      </w:r>
      <w:r w:rsidRPr="007F0059">
        <w:rPr>
          <w:rFonts w:cs="Arial"/>
          <w:rtl/>
        </w:rPr>
        <w:t xml:space="preserve"> אבל אם דרכם להתעסק שניהם ביחד תמיד ובשבת מתעסק הגוי לבדו דהשתא גוי אדעתא דנפשיה עביד לתועלת מחצה שלו</w:t>
      </w:r>
      <w:r>
        <w:rPr>
          <w:rFonts w:cs="Arial" w:hint="cs"/>
          <w:rtl/>
        </w:rPr>
        <w:t>,</w:t>
      </w:r>
      <w:r w:rsidRPr="007F0059">
        <w:rPr>
          <w:rFonts w:cs="Arial"/>
          <w:rtl/>
        </w:rPr>
        <w:t xml:space="preserve"> הילכך אף על גב דמטי לישראל רווחא שרי</w:t>
      </w:r>
      <w:r>
        <w:rPr>
          <w:rFonts w:cs="Arial" w:hint="cs"/>
          <w:rtl/>
        </w:rPr>
        <w:t>.</w:t>
      </w:r>
      <w:r w:rsidRPr="007F0059">
        <w:rPr>
          <w:rFonts w:cs="Arial"/>
          <w:rtl/>
        </w:rPr>
        <w:t xml:space="preserve"> והשתא אפשר לומר דהרמב"ם נמי מיירי בשאין שניהם מתעסקים תמיד יחד במלאכה או בסחורה אלא הגוי מתעסק יום שבת וזה מתעסק יום אחר כנגדו</w:t>
      </w:r>
      <w:r>
        <w:rPr>
          <w:rFonts w:cs="Arial" w:hint="cs"/>
          <w:rtl/>
        </w:rPr>
        <w:t>,</w:t>
      </w:r>
      <w:r w:rsidRPr="007F0059">
        <w:rPr>
          <w:rFonts w:cs="Arial"/>
          <w:rtl/>
        </w:rPr>
        <w:t xml:space="preserve"> ומש"ה אסר לישראל ליטול חלק בריוח השבת</w:t>
      </w:r>
      <w:r>
        <w:rPr>
          <w:rFonts w:cs="Arial" w:hint="cs"/>
          <w:rtl/>
        </w:rPr>
        <w:t>,</w:t>
      </w:r>
      <w:r w:rsidRPr="007F0059">
        <w:rPr>
          <w:rFonts w:cs="Arial"/>
          <w:rtl/>
        </w:rPr>
        <w:t xml:space="preserve"> אבל אם היו שניהם יחד מתעסקים תמיד במלאכה או בסחורה ובשבת מתעסק בה הגוי לבדו שרי לישראל ליטול חלקו מריוח שבת</w:t>
      </w:r>
      <w:r>
        <w:rPr>
          <w:rFonts w:cs="Arial" w:hint="cs"/>
          <w:rtl/>
        </w:rPr>
        <w:t>,</w:t>
      </w:r>
      <w:r w:rsidRPr="007F0059">
        <w:rPr>
          <w:rFonts w:cs="Arial"/>
          <w:rtl/>
        </w:rPr>
        <w:t xml:space="preserve"> דדמי ממש לההיא דמרחץ שכתב הר"ן</w:t>
      </w:r>
      <w:r>
        <w:rPr>
          <w:rFonts w:cs="Arial" w:hint="cs"/>
          <w:rtl/>
        </w:rPr>
        <w:t>,</w:t>
      </w:r>
      <w:r w:rsidRPr="007F0059">
        <w:rPr>
          <w:rFonts w:cs="Arial"/>
          <w:rtl/>
        </w:rPr>
        <w:t xml:space="preserve"> כן נראה לי ליישב דברי הרמב"ם לדעת הר"ן</w:t>
      </w:r>
      <w:r>
        <w:rPr>
          <w:rFonts w:cs="Arial" w:hint="cs"/>
          <w:rtl/>
        </w:rPr>
        <w:t>,</w:t>
      </w:r>
      <w:r w:rsidRPr="007F0059">
        <w:rPr>
          <w:rFonts w:cs="Arial"/>
          <w:rtl/>
        </w:rPr>
        <w:t xml:space="preserve"> שאל"כ הוה ליה לכתוב שהרמב"ם חלוק בדבר</w:t>
      </w:r>
      <w:r>
        <w:rPr>
          <w:rFonts w:cs="Arial" w:hint="cs"/>
          <w:rtl/>
        </w:rPr>
        <w:t>, ב"י.</w:t>
      </w:r>
    </w:p>
  </w:footnote>
  <w:footnote w:id="88">
    <w:p w14:paraId="68D11342" w14:textId="77777777" w:rsidR="004B2E7C" w:rsidRDefault="004B2E7C" w:rsidP="00285819">
      <w:pPr>
        <w:pStyle w:val="a7"/>
      </w:pPr>
      <w:r>
        <w:rPr>
          <w:rStyle w:val="a9"/>
        </w:rPr>
        <w:footnoteRef/>
      </w:r>
      <w:r>
        <w:rPr>
          <w:rtl/>
        </w:rPr>
        <w:t xml:space="preserve"> </w:t>
      </w:r>
      <w:r w:rsidRPr="00E25B3F">
        <w:rPr>
          <w:rFonts w:cs="Arial"/>
          <w:rtl/>
        </w:rPr>
        <w:t>ואף על פי שאין חלק הישראל מתרבה כשעושה ה</w:t>
      </w:r>
      <w:r>
        <w:rPr>
          <w:rFonts w:cs="Arial"/>
          <w:rtl/>
        </w:rPr>
        <w:t>גוי</w:t>
      </w:r>
      <w:r w:rsidRPr="00E25B3F">
        <w:rPr>
          <w:rFonts w:cs="Arial"/>
          <w:rtl/>
        </w:rPr>
        <w:t xml:space="preserve"> בשבת כמו בשדה אפ"ה אסור כיון שהוא מחויב לעשות גם בשבת כשא"ל עשה אתה בשבת ואני בחול הוי כאלו מעמיד פועל לעשות בידי' (תוס') וא"כ אם הם אין עושין כלום רק שה</w:t>
      </w:r>
      <w:r>
        <w:rPr>
          <w:rFonts w:cs="Arial"/>
          <w:rtl/>
        </w:rPr>
        <w:t>גוי</w:t>
      </w:r>
      <w:r w:rsidRPr="00E25B3F">
        <w:rPr>
          <w:rFonts w:cs="Arial"/>
          <w:rtl/>
        </w:rPr>
        <w:t xml:space="preserve"> מסיק התנור ואופין בו ונותנין שכירות אף על גב דהישראל אסור לקבל השכירות משום שכר שבת מ"מ רשאי לחלוק סתם בהבלעה כמ"ש הב"י ססי' זה בשם ריב"ש ע"ש</w:t>
      </w:r>
      <w:r>
        <w:rPr>
          <w:rFonts w:cs="Arial" w:hint="cs"/>
          <w:rtl/>
        </w:rPr>
        <w:t>, מג"א (סק"א).</w:t>
      </w:r>
    </w:p>
  </w:footnote>
  <w:footnote w:id="89">
    <w:p w14:paraId="37DCB96C" w14:textId="77777777" w:rsidR="004B2E7C" w:rsidRDefault="004B2E7C" w:rsidP="00285819">
      <w:pPr>
        <w:pStyle w:val="a7"/>
      </w:pPr>
      <w:r>
        <w:rPr>
          <w:rStyle w:val="a9"/>
        </w:rPr>
        <w:footnoteRef/>
      </w:r>
      <w:r>
        <w:rPr>
          <w:rtl/>
        </w:rPr>
        <w:t xml:space="preserve"> </w:t>
      </w:r>
      <w:r w:rsidRPr="00E25B3F">
        <w:rPr>
          <w:rFonts w:cs="Arial"/>
          <w:rtl/>
        </w:rPr>
        <w:t>אבל אסור לחשוב עמו ולומר אתה נטלת בשבת מרובה ואני מועט נחלק המותר כמ"ש הראב"ד וב"י בשם תשובת הגאונים וב"ח עס"ב</w:t>
      </w:r>
      <w:r>
        <w:rPr>
          <w:rFonts w:cs="Arial" w:hint="cs"/>
          <w:rtl/>
        </w:rPr>
        <w:t xml:space="preserve">, מג"א (סק"ב). </w:t>
      </w:r>
      <w:r w:rsidRPr="00B14D7E">
        <w:rPr>
          <w:rFonts w:cs="Arial"/>
          <w:rtl/>
        </w:rPr>
        <w:t>משום דאיגלאי מילתא למפרע דהתנאי דמעיקרא הערמה בעלמא הוי</w:t>
      </w:r>
      <w:r>
        <w:rPr>
          <w:rFonts w:cs="Arial" w:hint="cs"/>
          <w:rtl/>
        </w:rPr>
        <w:t>,</w:t>
      </w:r>
      <w:r w:rsidRPr="00B14D7E">
        <w:rPr>
          <w:rFonts w:cs="Arial"/>
          <w:rtl/>
        </w:rPr>
        <w:t xml:space="preserve"> ויש מקילין בזה כיון דהתנו מעיקרא ועיין בא"ר שהאריך ג"כ בזה ולבסוף נשאר בצ"ע</w:t>
      </w:r>
      <w:r>
        <w:rPr>
          <w:rFonts w:cs="Arial" w:hint="cs"/>
          <w:rtl/>
        </w:rPr>
        <w:t>, משנ"ב</w:t>
      </w:r>
      <w:r w:rsidRPr="00B14D7E">
        <w:rPr>
          <w:rFonts w:cs="Arial" w:hint="cs"/>
          <w:sz w:val="16"/>
          <w:szCs w:val="16"/>
          <w:rtl/>
        </w:rPr>
        <w:t xml:space="preserve"> (סק"ה)</w:t>
      </w:r>
      <w:r>
        <w:rPr>
          <w:rFonts w:cs="Arial" w:hint="cs"/>
          <w:rtl/>
        </w:rPr>
        <w:t>.</w:t>
      </w:r>
      <w:r w:rsidRPr="00E25B3F">
        <w:rPr>
          <w:rFonts w:cs="Arial"/>
          <w:rtl/>
        </w:rPr>
        <w:t xml:space="preserve"> וכ</w:t>
      </w:r>
      <w:r>
        <w:rPr>
          <w:rFonts w:cs="Arial" w:hint="cs"/>
          <w:rtl/>
        </w:rPr>
        <w:t>' עוד המג"א (סק"ב) דכתב הרלב"ח</w:t>
      </w:r>
      <w:r w:rsidRPr="00E25B3F">
        <w:rPr>
          <w:rFonts w:cs="Arial"/>
          <w:sz w:val="16"/>
          <w:szCs w:val="16"/>
          <w:rtl/>
        </w:rPr>
        <w:t xml:space="preserve"> </w:t>
      </w:r>
      <w:r>
        <w:rPr>
          <w:rFonts w:cs="Arial" w:hint="cs"/>
          <w:sz w:val="16"/>
          <w:szCs w:val="16"/>
          <w:rtl/>
        </w:rPr>
        <w:t>(</w:t>
      </w:r>
      <w:r w:rsidRPr="00E25B3F">
        <w:rPr>
          <w:rFonts w:cs="Arial"/>
          <w:sz w:val="16"/>
          <w:szCs w:val="16"/>
          <w:rtl/>
        </w:rPr>
        <w:t>סי' קו</w:t>
      </w:r>
      <w:r w:rsidRPr="00E25B3F">
        <w:rPr>
          <w:rFonts w:cs="Arial" w:hint="cs"/>
          <w:sz w:val="16"/>
          <w:szCs w:val="16"/>
          <w:rtl/>
        </w:rPr>
        <w:t>)</w:t>
      </w:r>
      <w:r w:rsidRPr="00E25B3F">
        <w:rPr>
          <w:rFonts w:cs="Arial"/>
          <w:rtl/>
        </w:rPr>
        <w:t xml:space="preserve"> </w:t>
      </w:r>
      <w:r>
        <w:rPr>
          <w:rFonts w:cs="Arial" w:hint="cs"/>
          <w:rtl/>
        </w:rPr>
        <w:t>ד</w:t>
      </w:r>
      <w:r w:rsidRPr="00E25B3F">
        <w:rPr>
          <w:rFonts w:cs="Arial"/>
          <w:rtl/>
        </w:rPr>
        <w:t>אם לא נודע בכמה השכירו בשבת</w:t>
      </w:r>
      <w:r>
        <w:rPr>
          <w:rFonts w:cs="Arial" w:hint="cs"/>
          <w:rtl/>
        </w:rPr>
        <w:t>,</w:t>
      </w:r>
      <w:r w:rsidRPr="00E25B3F">
        <w:rPr>
          <w:rFonts w:cs="Arial"/>
          <w:rtl/>
        </w:rPr>
        <w:t xml:space="preserve"> כגון בחנות</w:t>
      </w:r>
      <w:r>
        <w:rPr>
          <w:rFonts w:cs="Arial" w:hint="cs"/>
          <w:rtl/>
        </w:rPr>
        <w:t>,</w:t>
      </w:r>
      <w:r w:rsidRPr="00E25B3F">
        <w:rPr>
          <w:rFonts w:cs="Arial"/>
          <w:rtl/>
        </w:rPr>
        <w:t xml:space="preserve"> רשאין לחלוק בשוה</w:t>
      </w:r>
      <w:r>
        <w:rPr>
          <w:rFonts w:cs="Arial" w:hint="cs"/>
          <w:rtl/>
        </w:rPr>
        <w:t>.</w:t>
      </w:r>
      <w:r w:rsidRPr="00E25B3F">
        <w:rPr>
          <w:rFonts w:cs="Arial"/>
          <w:rtl/>
        </w:rPr>
        <w:t xml:space="preserve"> ועמ"ש סי' רמו ס"ה</w:t>
      </w:r>
      <w:r>
        <w:rPr>
          <w:rFonts w:cs="Arial" w:hint="cs"/>
          <w:rtl/>
        </w:rPr>
        <w:t>.</w:t>
      </w:r>
    </w:p>
  </w:footnote>
  <w:footnote w:id="90">
    <w:p w14:paraId="29C23409" w14:textId="77777777" w:rsidR="004B2E7C" w:rsidRDefault="004B2E7C" w:rsidP="00285819">
      <w:pPr>
        <w:pStyle w:val="a7"/>
      </w:pPr>
      <w:r>
        <w:rPr>
          <w:rStyle w:val="a9"/>
        </w:rPr>
        <w:footnoteRef/>
      </w:r>
      <w:r>
        <w:rPr>
          <w:rtl/>
        </w:rPr>
        <w:t xml:space="preserve"> </w:t>
      </w:r>
      <w:r w:rsidRPr="006A4706">
        <w:rPr>
          <w:rFonts w:cs="Arial"/>
          <w:rtl/>
        </w:rPr>
        <w:t>כתב סתמא לאסור בלא התנו אפילו אם לא אמר לו עבוד אתה בשבת ואני בחול וגם בשעת חלוקה לא הזכיר לו של שבת אלא רוצה לחלוק עמו סתם בשוה אפ"ה אסור כיון שלא התנו קודם שנשתתפו</w:t>
      </w:r>
      <w:r>
        <w:rPr>
          <w:rFonts w:cs="Arial" w:hint="cs"/>
          <w:rtl/>
        </w:rPr>
        <w:t>, משנ"ב (סק"ז).</w:t>
      </w:r>
    </w:p>
  </w:footnote>
  <w:footnote w:id="91">
    <w:p w14:paraId="1A5301E8" w14:textId="77777777" w:rsidR="004B2E7C" w:rsidRDefault="004B2E7C" w:rsidP="00285819">
      <w:pPr>
        <w:pStyle w:val="a7"/>
      </w:pPr>
      <w:r>
        <w:rPr>
          <w:rStyle w:val="a9"/>
        </w:rPr>
        <w:footnoteRef/>
      </w:r>
      <w:r>
        <w:rPr>
          <w:rtl/>
        </w:rPr>
        <w:t xml:space="preserve"> </w:t>
      </w:r>
      <w:r w:rsidRPr="00643C23">
        <w:rPr>
          <w:rFonts w:cs="Arial"/>
          <w:rtl/>
        </w:rPr>
        <w:t>היינו שבשעת חלוקה לא הזכיר לו ישראל את השבת לומר אתה תטול כנגד יום עמלך בשבת ואני אטול כנגד יום עמלי בחול אלא חלקו סתם בשוה</w:t>
      </w:r>
      <w:r>
        <w:rPr>
          <w:rFonts w:cs="Arial" w:hint="cs"/>
          <w:rtl/>
        </w:rPr>
        <w:t>,</w:t>
      </w:r>
      <w:r w:rsidRPr="00643C23">
        <w:rPr>
          <w:rFonts w:cs="Arial"/>
          <w:rtl/>
        </w:rPr>
        <w:t xml:space="preserve"> וגם מיירי שלא אמר לו בתחלה עבוד אתה בשבת ואני אעבוד כנגדך בחול אלא ה</w:t>
      </w:r>
      <w:r>
        <w:rPr>
          <w:rFonts w:cs="Arial" w:hint="cs"/>
          <w:rtl/>
        </w:rPr>
        <w:t>גו</w:t>
      </w:r>
      <w:r w:rsidRPr="00643C23">
        <w:rPr>
          <w:rFonts w:cs="Arial"/>
          <w:rtl/>
        </w:rPr>
        <w:t>י עשה מעצמו שלא בצוויו</w:t>
      </w:r>
      <w:r>
        <w:rPr>
          <w:rFonts w:cs="Arial" w:hint="cs"/>
          <w:rtl/>
        </w:rPr>
        <w:t>,</w:t>
      </w:r>
      <w:r w:rsidRPr="00643C23">
        <w:rPr>
          <w:rFonts w:cs="Arial"/>
          <w:rtl/>
        </w:rPr>
        <w:t xml:space="preserve"> דאל"ה אסור לכו"ע בכל זה דגלי דעתו דשלוחו היה על שבת והוא עמל כנגדו בחול כיון שמתחלה הוטל על שניהן יחד. ודע דכל הסעיף הזה מיירי שהישראל וה</w:t>
      </w:r>
      <w:r>
        <w:rPr>
          <w:rFonts w:cs="Arial" w:hint="cs"/>
          <w:rtl/>
        </w:rPr>
        <w:t>גו</w:t>
      </w:r>
      <w:r w:rsidRPr="00643C23">
        <w:rPr>
          <w:rFonts w:cs="Arial"/>
          <w:rtl/>
        </w:rPr>
        <w:t>י הם שותפים בגוף התנור והמרחץ</w:t>
      </w:r>
      <w:r>
        <w:rPr>
          <w:rFonts w:cs="Arial" w:hint="cs"/>
          <w:rtl/>
        </w:rPr>
        <w:t>,</w:t>
      </w:r>
      <w:r w:rsidRPr="00643C23">
        <w:rPr>
          <w:rFonts w:cs="Arial"/>
          <w:rtl/>
        </w:rPr>
        <w:t xml:space="preserve"> אבל אם אין ל</w:t>
      </w:r>
      <w:r>
        <w:rPr>
          <w:rFonts w:cs="Arial" w:hint="cs"/>
          <w:rtl/>
        </w:rPr>
        <w:t>גו</w:t>
      </w:r>
      <w:r w:rsidRPr="00643C23">
        <w:rPr>
          <w:rFonts w:cs="Arial"/>
          <w:rtl/>
        </w:rPr>
        <w:t>י חלק בגוף התנור רק שהוא מקבל חלק בריוח בשביל שהוא אופה ומסיק התנור י"א דלא מהני בזה אפילו כשמתנה בתחלה טול אתה חלקך בשבת ואני יום אחד בחול</w:t>
      </w:r>
      <w:r>
        <w:rPr>
          <w:rFonts w:cs="Arial" w:hint="cs"/>
          <w:rtl/>
        </w:rPr>
        <w:t>,</w:t>
      </w:r>
      <w:r w:rsidRPr="00643C23">
        <w:rPr>
          <w:rFonts w:cs="Arial"/>
          <w:rtl/>
        </w:rPr>
        <w:t xml:space="preserve"> דכיון שגוף התנור הוא של ישראל הו"ל כמשכיר לו תנורו על שבת שיסיק לו בשביל זה השכר יום אחד של חול</w:t>
      </w:r>
      <w:r>
        <w:rPr>
          <w:rFonts w:cs="Arial" w:hint="cs"/>
          <w:rtl/>
        </w:rPr>
        <w:t>,</w:t>
      </w:r>
      <w:r w:rsidRPr="00643C23">
        <w:rPr>
          <w:rFonts w:cs="Arial"/>
          <w:rtl/>
        </w:rPr>
        <w:t xml:space="preserve"> ואסור ליטול שכר שבת</w:t>
      </w:r>
      <w:r>
        <w:rPr>
          <w:rFonts w:cs="Arial" w:hint="cs"/>
          <w:rtl/>
        </w:rPr>
        <w:t>,</w:t>
      </w:r>
      <w:r w:rsidRPr="00643C23">
        <w:rPr>
          <w:rFonts w:cs="Arial"/>
          <w:rtl/>
        </w:rPr>
        <w:t xml:space="preserve"> ועיין במ"א שמסיק דיש לחוש להחמיר כדעה זו</w:t>
      </w:r>
      <w:r>
        <w:rPr>
          <w:rFonts w:cs="Arial" w:hint="cs"/>
          <w:rtl/>
        </w:rPr>
        <w:t>,</w:t>
      </w:r>
      <w:r w:rsidRPr="00643C23">
        <w:rPr>
          <w:rFonts w:cs="Arial"/>
          <w:rtl/>
        </w:rPr>
        <w:t xml:space="preserve"> ודוקא באופן זה שהוא שלא בהבלעה</w:t>
      </w:r>
      <w:r>
        <w:rPr>
          <w:rFonts w:cs="Arial" w:hint="cs"/>
          <w:rtl/>
        </w:rPr>
        <w:t>,</w:t>
      </w:r>
      <w:r w:rsidRPr="00643C23">
        <w:rPr>
          <w:rFonts w:cs="Arial"/>
          <w:rtl/>
        </w:rPr>
        <w:t xml:space="preserve"> אבל אם הוא בהבלעה כגון שאומר לאופה טול אתה ב' וג' ימים שרי כשהתנה זה בתחלת השותפות</w:t>
      </w:r>
      <w:r>
        <w:rPr>
          <w:rFonts w:cs="Arial" w:hint="cs"/>
          <w:rtl/>
        </w:rPr>
        <w:t>.</w:t>
      </w:r>
      <w:r w:rsidRPr="00643C23">
        <w:rPr>
          <w:rFonts w:cs="Arial"/>
          <w:rtl/>
        </w:rPr>
        <w:t xml:space="preserve"> ויש מאחרונים שסוברין דלא בעינן בזה שאין ל</w:t>
      </w:r>
      <w:r>
        <w:rPr>
          <w:rFonts w:cs="Arial" w:hint="cs"/>
          <w:rtl/>
        </w:rPr>
        <w:t>גו</w:t>
      </w:r>
      <w:r w:rsidRPr="00643C23">
        <w:rPr>
          <w:rFonts w:cs="Arial"/>
          <w:rtl/>
        </w:rPr>
        <w:t>י חלק בגוף התנור התנו מעיקרא כיון שהוא בהבלעה</w:t>
      </w:r>
      <w:r>
        <w:rPr>
          <w:rFonts w:cs="Arial" w:hint="cs"/>
          <w:rtl/>
        </w:rPr>
        <w:t>, משנ"ב (סק"ח).</w:t>
      </w:r>
    </w:p>
  </w:footnote>
  <w:footnote w:id="92">
    <w:p w14:paraId="7D7CE371" w14:textId="77777777" w:rsidR="004B2E7C" w:rsidRDefault="004B2E7C" w:rsidP="00285819">
      <w:pPr>
        <w:pStyle w:val="a7"/>
        <w:rPr>
          <w:rtl/>
        </w:rPr>
      </w:pPr>
      <w:r>
        <w:rPr>
          <w:rStyle w:val="a9"/>
        </w:rPr>
        <w:footnoteRef/>
      </w:r>
      <w:r>
        <w:rPr>
          <w:rtl/>
        </w:rPr>
        <w:t xml:space="preserve"> </w:t>
      </w:r>
      <w:r w:rsidRPr="00FA6D11">
        <w:rPr>
          <w:rFonts w:cs="Arial"/>
          <w:rtl/>
        </w:rPr>
        <w:t xml:space="preserve">ודוקא שריצוי של </w:t>
      </w:r>
      <w:r>
        <w:rPr>
          <w:rFonts w:cs="Arial" w:hint="cs"/>
          <w:rtl/>
        </w:rPr>
        <w:t>גו</w:t>
      </w:r>
      <w:r w:rsidRPr="00FA6D11">
        <w:rPr>
          <w:rFonts w:cs="Arial"/>
          <w:rtl/>
        </w:rPr>
        <w:t>י שיהיה החלוקה בשוה היה בסתמא שלא ע"י עשיית חשבון מריוח שני הימים</w:t>
      </w:r>
      <w:r>
        <w:rPr>
          <w:rFonts w:cs="Arial" w:hint="cs"/>
          <w:rtl/>
        </w:rPr>
        <w:t>,</w:t>
      </w:r>
      <w:r w:rsidRPr="00FA6D11">
        <w:rPr>
          <w:rFonts w:cs="Arial"/>
          <w:rtl/>
        </w:rPr>
        <w:t xml:space="preserve"> אבל אם בא ע"י עשיית חשבון שהישראל אמר ל</w:t>
      </w:r>
      <w:r>
        <w:rPr>
          <w:rFonts w:cs="Arial" w:hint="cs"/>
          <w:rtl/>
        </w:rPr>
        <w:t>גו</w:t>
      </w:r>
      <w:r w:rsidRPr="00FA6D11">
        <w:rPr>
          <w:rFonts w:cs="Arial"/>
          <w:rtl/>
        </w:rPr>
        <w:t xml:space="preserve">י בשעת חלוקה </w:t>
      </w:r>
      <w:r>
        <w:rPr>
          <w:rFonts w:cs="Arial" w:hint="cs"/>
          <w:rtl/>
        </w:rPr>
        <w:t>'</w:t>
      </w:r>
      <w:r w:rsidRPr="00FA6D11">
        <w:rPr>
          <w:rFonts w:cs="Arial"/>
          <w:rtl/>
        </w:rPr>
        <w:t>את שקלית בשבת ק' זוזי ואנא שקילנא ביום החול נ' זוזי מלא לי החסרון</w:t>
      </w:r>
      <w:r>
        <w:rPr>
          <w:rFonts w:cs="Arial" w:hint="cs"/>
          <w:rtl/>
        </w:rPr>
        <w:t>'</w:t>
      </w:r>
      <w:r w:rsidRPr="00FA6D11">
        <w:rPr>
          <w:rFonts w:cs="Arial"/>
          <w:rtl/>
        </w:rPr>
        <w:t xml:space="preserve"> ועי"ז נתרצה ה</w:t>
      </w:r>
      <w:r>
        <w:rPr>
          <w:rFonts w:cs="Arial" w:hint="cs"/>
          <w:rtl/>
        </w:rPr>
        <w:t>גו</w:t>
      </w:r>
      <w:r w:rsidRPr="00FA6D11">
        <w:rPr>
          <w:rFonts w:cs="Arial"/>
          <w:rtl/>
        </w:rPr>
        <w:t xml:space="preserve">י להשלים לו </w:t>
      </w:r>
      <w:r>
        <w:rPr>
          <w:rFonts w:cs="Arial" w:hint="cs"/>
          <w:rtl/>
        </w:rPr>
        <w:t xml:space="preserve">- </w:t>
      </w:r>
      <w:r w:rsidRPr="00FA6D11">
        <w:rPr>
          <w:rFonts w:cs="Arial"/>
          <w:rtl/>
        </w:rPr>
        <w:t>כבר כתבתי לעיל בס</w:t>
      </w:r>
      <w:r>
        <w:rPr>
          <w:rFonts w:cs="Arial" w:hint="cs"/>
          <w:rtl/>
        </w:rPr>
        <w:t>ק"</w:t>
      </w:r>
      <w:r w:rsidRPr="00FA6D11">
        <w:rPr>
          <w:rFonts w:cs="Arial"/>
          <w:rtl/>
        </w:rPr>
        <w:t>ה שיש דעות בזה</w:t>
      </w:r>
      <w:r>
        <w:rPr>
          <w:rFonts w:hint="cs"/>
          <w:rtl/>
        </w:rPr>
        <w:t>, משנ"ב (סקי"ג).</w:t>
      </w:r>
    </w:p>
  </w:footnote>
  <w:footnote w:id="93">
    <w:p w14:paraId="3B2E4ECD" w14:textId="77777777" w:rsidR="004B2E7C" w:rsidRDefault="004B2E7C" w:rsidP="00285819">
      <w:pPr>
        <w:pStyle w:val="a7"/>
        <w:rPr>
          <w:rtl/>
        </w:rPr>
      </w:pPr>
      <w:r>
        <w:rPr>
          <w:rStyle w:val="a9"/>
        </w:rPr>
        <w:footnoteRef/>
      </w:r>
      <w:r>
        <w:rPr>
          <w:rtl/>
        </w:rPr>
        <w:t xml:space="preserve"> </w:t>
      </w:r>
      <w:r>
        <w:rPr>
          <w:rFonts w:cs="Arial" w:hint="cs"/>
          <w:rtl/>
        </w:rPr>
        <w:t>ו</w:t>
      </w:r>
      <w:r>
        <w:rPr>
          <w:rFonts w:cs="Arial"/>
          <w:rtl/>
        </w:rPr>
        <w:t xml:space="preserve">אם לקחו השדה סתם ולא התנו נראה מדברי התוספות </w:t>
      </w:r>
      <w:r w:rsidRPr="002024CD">
        <w:rPr>
          <w:rFonts w:cs="Arial"/>
          <w:sz w:val="16"/>
          <w:szCs w:val="16"/>
          <w:rtl/>
        </w:rPr>
        <w:t xml:space="preserve">(כב. ד"ה לא יאמר) </w:t>
      </w:r>
      <w:r>
        <w:rPr>
          <w:rFonts w:cs="Arial"/>
          <w:rtl/>
        </w:rPr>
        <w:t>שיש תיקון ע"י שיחזרו וימכרוהו למוכר ויקבלו דמיהם ממנו או ימכרוהו לאיש אחר ויחזרו ויקנוהו בשותפות ויתנו קודם קנייה טול אתה חלקך בשבת ואני בחול</w:t>
      </w:r>
      <w:r>
        <w:rPr>
          <w:rFonts w:cs="Arial" w:hint="cs"/>
          <w:rtl/>
        </w:rPr>
        <w:t xml:space="preserve">... </w:t>
      </w:r>
      <w:r>
        <w:rPr>
          <w:rFonts w:cs="Arial"/>
          <w:rtl/>
        </w:rPr>
        <w:t>ונראה דהוא הדין אם נשתתפו בחנות ולא התנו מתחלה שיחזור כל אחד ויטול חלקו ויבטלו השותפות ואח"כ יחזרו להשתתף ויתנו בתחלה טול אתה חלקך בשבת וכו'</w:t>
      </w:r>
      <w:r>
        <w:rPr>
          <w:rFonts w:cs="Arial" w:hint="cs"/>
          <w:rtl/>
        </w:rPr>
        <w:t>.</w:t>
      </w:r>
      <w:r>
        <w:rPr>
          <w:rFonts w:cs="Arial"/>
          <w:rtl/>
        </w:rPr>
        <w:t xml:space="preserve"> ואם נשתתפו במלאכה ימחלו זה לזה התנאים שביניהם ויבטלו השיתוף ויחזרו להשתתף ויתנו קודם השיתוף טול אתה בשבת וכו'</w:t>
      </w:r>
      <w:r>
        <w:rPr>
          <w:rFonts w:cs="Arial" w:hint="cs"/>
          <w:rtl/>
        </w:rPr>
        <w:t>, ב"י.</w:t>
      </w:r>
      <w:r>
        <w:rPr>
          <w:rFonts w:hint="cs"/>
          <w:rtl/>
        </w:rPr>
        <w:t xml:space="preserve"> </w:t>
      </w:r>
      <w:r w:rsidRPr="0099728C">
        <w:rPr>
          <w:rFonts w:cs="Arial" w:hint="cs"/>
          <w:color w:val="E36C0A" w:themeColor="accent6" w:themeShade="BF"/>
          <w:rtl/>
        </w:rPr>
        <w:t>(וכ</w:t>
      </w:r>
      <w:r>
        <w:rPr>
          <w:rFonts w:cs="Arial" w:hint="cs"/>
          <w:color w:val="E36C0A" w:themeColor="accent6" w:themeShade="BF"/>
          <w:rtl/>
        </w:rPr>
        <w:t>"</w:t>
      </w:r>
      <w:r w:rsidRPr="0099728C">
        <w:rPr>
          <w:rFonts w:cs="Arial" w:hint="cs"/>
          <w:color w:val="E36C0A" w:themeColor="accent6" w:themeShade="BF"/>
          <w:rtl/>
        </w:rPr>
        <w:t>פ בשו"ע)</w:t>
      </w:r>
    </w:p>
  </w:footnote>
  <w:footnote w:id="94">
    <w:p w14:paraId="7A91E5E9" w14:textId="77777777" w:rsidR="004B2E7C" w:rsidRDefault="004B2E7C" w:rsidP="00285819">
      <w:pPr>
        <w:pStyle w:val="a7"/>
      </w:pPr>
      <w:r>
        <w:rPr>
          <w:rStyle w:val="a9"/>
        </w:rPr>
        <w:footnoteRef/>
      </w:r>
      <w:r>
        <w:rPr>
          <w:rtl/>
        </w:rPr>
        <w:t xml:space="preserve"> </w:t>
      </w:r>
      <w:r w:rsidRPr="00E919E3">
        <w:rPr>
          <w:rFonts w:cs="Arial"/>
          <w:rtl/>
        </w:rPr>
        <w:t>ובח</w:t>
      </w:r>
      <w:r>
        <w:rPr>
          <w:rFonts w:cs="Arial" w:hint="cs"/>
          <w:rtl/>
        </w:rPr>
        <w:t>ושן משפט</w:t>
      </w:r>
      <w:r w:rsidRPr="00E919E3">
        <w:rPr>
          <w:rFonts w:cs="Arial"/>
          <w:rtl/>
        </w:rPr>
        <w:t xml:space="preserve"> איתא שצריך עתה קנין מחדש להקנות להמוכר ולא סגי בזה שיחזיר לו הדמים והשטר מכירה ועיין שם סימן קפ"ט וקצ"ד לענין קנין ה</w:t>
      </w:r>
      <w:r>
        <w:rPr>
          <w:rFonts w:cs="Arial" w:hint="cs"/>
          <w:rtl/>
        </w:rPr>
        <w:t>גו</w:t>
      </w:r>
      <w:r w:rsidRPr="00E919E3">
        <w:rPr>
          <w:rFonts w:cs="Arial"/>
          <w:rtl/>
        </w:rPr>
        <w:t>י</w:t>
      </w:r>
      <w:r>
        <w:rPr>
          <w:rFonts w:cs="Arial" w:hint="cs"/>
          <w:rtl/>
        </w:rPr>
        <w:t>, משנ"ב (סקי"ד).</w:t>
      </w:r>
    </w:p>
  </w:footnote>
  <w:footnote w:id="95">
    <w:p w14:paraId="4A2E1ADF" w14:textId="77777777" w:rsidR="004B2E7C" w:rsidRDefault="004B2E7C" w:rsidP="00285819">
      <w:pPr>
        <w:pStyle w:val="a7"/>
      </w:pPr>
      <w:r>
        <w:rPr>
          <w:rStyle w:val="a9"/>
        </w:rPr>
        <w:footnoteRef/>
      </w:r>
      <w:r>
        <w:rPr>
          <w:rtl/>
        </w:rPr>
        <w:t xml:space="preserve"> </w:t>
      </w:r>
      <w:r w:rsidRPr="008F784E">
        <w:rPr>
          <w:rFonts w:cs="Arial"/>
          <w:rtl/>
        </w:rPr>
        <w:t>עיין במג"א וט"ז שנתקשו בזה מאד דלמה יהיה מותר ואינו דומה לסימן רמ"ד דשם שרי משום פסידא דווקא</w:t>
      </w:r>
      <w:r>
        <w:rPr>
          <w:rFonts w:cs="Arial" w:hint="cs"/>
          <w:rtl/>
        </w:rPr>
        <w:t>.</w:t>
      </w:r>
      <w:r w:rsidRPr="008F784E">
        <w:rPr>
          <w:rFonts w:cs="Arial"/>
          <w:rtl/>
        </w:rPr>
        <w:t xml:space="preserve"> ותירץ המג"א במסקנא דהכא איירי שמשכיר לו את חלקו בשבת בהבלעה</w:t>
      </w:r>
      <w:r>
        <w:rPr>
          <w:rFonts w:cs="Arial" w:hint="cs"/>
          <w:rtl/>
        </w:rPr>
        <w:t>,</w:t>
      </w:r>
      <w:r w:rsidRPr="008F784E">
        <w:rPr>
          <w:rFonts w:cs="Arial"/>
          <w:rtl/>
        </w:rPr>
        <w:t xml:space="preserve"> דהיינו שמשכיר לו כל ימי השבתות שלו עם ב' וג' ימים מימי החול</w:t>
      </w:r>
      <w:r>
        <w:rPr>
          <w:rFonts w:cs="Arial" w:hint="cs"/>
          <w:rtl/>
        </w:rPr>
        <w:t>,</w:t>
      </w:r>
      <w:r w:rsidRPr="008F784E">
        <w:rPr>
          <w:rFonts w:cs="Arial"/>
          <w:rtl/>
        </w:rPr>
        <w:t xml:space="preserve"> דתו ליתא כאן משום שכר שבת</w:t>
      </w:r>
      <w:r>
        <w:rPr>
          <w:rFonts w:cs="Arial" w:hint="cs"/>
          <w:rtl/>
        </w:rPr>
        <w:t>,</w:t>
      </w:r>
      <w:r w:rsidRPr="008F784E">
        <w:rPr>
          <w:rFonts w:cs="Arial"/>
          <w:rtl/>
        </w:rPr>
        <w:t xml:space="preserve"> ומה דשרי בקיבולת מיירי ג"כ שלא ייחד לו שבת בהקיבולת אלא בסתמא כל אימת שתעשה בעצמך ותרויח לי כו"כ אתן לו כו"כ</w:t>
      </w:r>
      <w:r>
        <w:rPr>
          <w:rFonts w:cs="Arial" w:hint="cs"/>
          <w:rtl/>
        </w:rPr>
        <w:t>.</w:t>
      </w:r>
      <w:r w:rsidRPr="008F784E">
        <w:rPr>
          <w:rFonts w:cs="Arial"/>
          <w:rtl/>
        </w:rPr>
        <w:t xml:space="preserve"> ועיקר רבותא דהרמ"א דקמ"ל דלא חיישינן בזה למראית עין שיאמרו לצורך ישראל הוא עושה כיון שידוע שיש ל</w:t>
      </w:r>
      <w:r>
        <w:rPr>
          <w:rFonts w:cs="Arial" w:hint="cs"/>
          <w:rtl/>
        </w:rPr>
        <w:t>גו</w:t>
      </w:r>
      <w:r w:rsidRPr="008F784E">
        <w:rPr>
          <w:rFonts w:cs="Arial"/>
          <w:rtl/>
        </w:rPr>
        <w:t>י חלק בו</w:t>
      </w:r>
      <w:r>
        <w:rPr>
          <w:rFonts w:cs="Arial" w:hint="cs"/>
          <w:rtl/>
        </w:rPr>
        <w:t>.</w:t>
      </w:r>
      <w:r w:rsidRPr="008F784E">
        <w:rPr>
          <w:rFonts w:cs="Arial"/>
          <w:rtl/>
        </w:rPr>
        <w:t xml:space="preserve"> ומש"כ כמו שנתבאר</w:t>
      </w:r>
      <w:r>
        <w:rPr>
          <w:rFonts w:cs="Arial" w:hint="cs"/>
          <w:rtl/>
        </w:rPr>
        <w:t>,</w:t>
      </w:r>
      <w:r w:rsidRPr="008F784E">
        <w:rPr>
          <w:rFonts w:cs="Arial"/>
          <w:rtl/>
        </w:rPr>
        <w:t xml:space="preserve"> כונתו כמו שם דלא חששו למ"ע וכ"ש הכא דליכא מ"ע כלל כיון שהוא בשותפות עם ה</w:t>
      </w:r>
      <w:r>
        <w:rPr>
          <w:rFonts w:cs="Arial" w:hint="cs"/>
          <w:rtl/>
        </w:rPr>
        <w:t>גו</w:t>
      </w:r>
      <w:r w:rsidRPr="008F784E">
        <w:rPr>
          <w:rFonts w:cs="Arial"/>
          <w:rtl/>
        </w:rPr>
        <w:t>י</w:t>
      </w:r>
      <w:r>
        <w:rPr>
          <w:rFonts w:cs="Arial" w:hint="cs"/>
          <w:rtl/>
        </w:rPr>
        <w:t>.</w:t>
      </w:r>
      <w:r w:rsidRPr="008F784E">
        <w:rPr>
          <w:rFonts w:cs="Arial"/>
          <w:rtl/>
        </w:rPr>
        <w:t xml:space="preserve"> וכן הט"ז מסיק לדינא דאינו מותר בזה אלא בהבלעה</w:t>
      </w:r>
      <w:r>
        <w:rPr>
          <w:rFonts w:cs="Arial" w:hint="cs"/>
          <w:rtl/>
        </w:rPr>
        <w:t>,</w:t>
      </w:r>
      <w:r w:rsidRPr="008F784E">
        <w:rPr>
          <w:rFonts w:cs="Arial"/>
          <w:rtl/>
        </w:rPr>
        <w:t xml:space="preserve"> ואעפ"כ יזהר שלא לדבר עם ה</w:t>
      </w:r>
      <w:r>
        <w:rPr>
          <w:rFonts w:cs="Arial" w:hint="cs"/>
          <w:rtl/>
        </w:rPr>
        <w:t>גו</w:t>
      </w:r>
      <w:r w:rsidRPr="008F784E">
        <w:rPr>
          <w:rFonts w:cs="Arial"/>
          <w:rtl/>
        </w:rPr>
        <w:t>י בהעסק בשבת כמ"ש האחרונים בסוף סימן רמ"ד</w:t>
      </w:r>
      <w:r>
        <w:rPr>
          <w:rFonts w:cs="Arial" w:hint="cs"/>
          <w:rtl/>
        </w:rPr>
        <w:t>, משנ"ב (סקט"ו).</w:t>
      </w:r>
    </w:p>
  </w:footnote>
  <w:footnote w:id="96">
    <w:p w14:paraId="65C9C755" w14:textId="77777777" w:rsidR="004B2E7C" w:rsidRDefault="004B2E7C" w:rsidP="00285819">
      <w:pPr>
        <w:pStyle w:val="a7"/>
        <w:rPr>
          <w:rtl/>
        </w:rPr>
      </w:pPr>
      <w:r>
        <w:rPr>
          <w:rStyle w:val="a9"/>
        </w:rPr>
        <w:footnoteRef/>
      </w:r>
      <w:r>
        <w:rPr>
          <w:rtl/>
        </w:rPr>
        <w:t xml:space="preserve"> </w:t>
      </w:r>
      <w:r w:rsidRPr="007F0059">
        <w:rPr>
          <w:rFonts w:cs="Arial"/>
          <w:rtl/>
        </w:rPr>
        <w:t>וכתב הרב המגיד</w:t>
      </w:r>
      <w:r>
        <w:rPr>
          <w:rFonts w:cs="Arial" w:hint="cs"/>
          <w:rtl/>
        </w:rPr>
        <w:t>-</w:t>
      </w:r>
      <w:r w:rsidRPr="007F0059">
        <w:rPr>
          <w:rFonts w:cs="Arial"/>
          <w:rtl/>
        </w:rPr>
        <w:t xml:space="preserve"> וטעמא משום דאין מלאכה זו מוטלת על ישראל לעשותה שנאמר שהגוי עושה שליחותו וכן אין העסק ניכר ממי הוא עכ"ל</w:t>
      </w:r>
      <w:r>
        <w:rPr>
          <w:rFonts w:cs="Arial" w:hint="cs"/>
          <w:rtl/>
        </w:rPr>
        <w:t>.</w:t>
      </w:r>
      <w:r w:rsidRPr="007F0059">
        <w:rPr>
          <w:rFonts w:cs="Arial"/>
          <w:rtl/>
        </w:rPr>
        <w:t xml:space="preserve"> והכל בו (סי' לא ל ע"ג) כתב</w:t>
      </w:r>
      <w:r>
        <w:rPr>
          <w:rFonts w:cs="Arial" w:hint="cs"/>
          <w:rtl/>
        </w:rPr>
        <w:t>-</w:t>
      </w:r>
      <w:r w:rsidRPr="007F0059">
        <w:rPr>
          <w:rFonts w:cs="Arial"/>
          <w:rtl/>
        </w:rPr>
        <w:t xml:space="preserve"> והטעם לפי שאין אותו שכר אלא שכר מעותיו והוא כשכירות כלים שאין לנו שביתת כלים עכ"ל</w:t>
      </w:r>
      <w:r>
        <w:rPr>
          <w:rFonts w:cs="Arial" w:hint="cs"/>
          <w:rtl/>
        </w:rPr>
        <w:t>.</w:t>
      </w:r>
      <w:r w:rsidRPr="007F0059">
        <w:rPr>
          <w:rFonts w:cs="Arial"/>
          <w:rtl/>
        </w:rPr>
        <w:t xml:space="preserve"> ולפי זה הוה משמע דאפילו לכתחלה יכול ליתן מעות לגוי להתעסק בהם כיון דמדמי ליה לשביתת כלים וכלים אפילו לכתחלה יכול להשאילן ולהשכירן לגוי</w:t>
      </w:r>
      <w:r>
        <w:rPr>
          <w:rFonts w:cs="Arial" w:hint="cs"/>
          <w:rtl/>
        </w:rPr>
        <w:t>.</w:t>
      </w:r>
      <w:r w:rsidRPr="007F0059">
        <w:rPr>
          <w:rFonts w:cs="Arial"/>
          <w:rtl/>
        </w:rPr>
        <w:t xml:space="preserve"> אלא שמדברי הרמב"ם שכתב הנותן מעות לגוי משמע דדוקא בדיעבד קאמר אבל לכתחלה לא</w:t>
      </w:r>
      <w:r>
        <w:rPr>
          <w:rFonts w:cs="Arial" w:hint="cs"/>
          <w:rtl/>
        </w:rPr>
        <w:t>.</w:t>
      </w:r>
      <w:r w:rsidRPr="007F0059">
        <w:rPr>
          <w:rFonts w:cs="Arial"/>
          <w:rtl/>
        </w:rPr>
        <w:t xml:space="preserve"> ומיהו אפשר דלישנא דהנותן אינו מדוייק דאפילו לכתחלה נמי שרי ולזה הדעת נוטה</w:t>
      </w:r>
      <w:r>
        <w:rPr>
          <w:rFonts w:cs="Arial" w:hint="cs"/>
          <w:rtl/>
        </w:rPr>
        <w:t>, ב"י.</w:t>
      </w:r>
    </w:p>
  </w:footnote>
  <w:footnote w:id="97">
    <w:p w14:paraId="08F0FE6B" w14:textId="77777777" w:rsidR="004B2E7C" w:rsidRDefault="004B2E7C" w:rsidP="00285819">
      <w:pPr>
        <w:pStyle w:val="a7"/>
        <w:rPr>
          <w:rtl/>
        </w:rPr>
      </w:pPr>
      <w:r>
        <w:rPr>
          <w:rStyle w:val="a9"/>
        </w:rPr>
        <w:footnoteRef/>
      </w:r>
      <w:r>
        <w:rPr>
          <w:rtl/>
        </w:rPr>
        <w:t xml:space="preserve"> </w:t>
      </w:r>
      <w:r w:rsidRPr="007F0059">
        <w:rPr>
          <w:rFonts w:cs="Arial"/>
          <w:rtl/>
        </w:rPr>
        <w:t>וטעמא דמילתא לפי שהוא ברשות הגוי ואין לישראל חלק בו</w:t>
      </w:r>
      <w:r>
        <w:rPr>
          <w:rFonts w:cs="Arial" w:hint="cs"/>
          <w:rtl/>
        </w:rPr>
        <w:t>,</w:t>
      </w:r>
      <w:r w:rsidRPr="007F0059">
        <w:rPr>
          <w:rFonts w:cs="Arial"/>
          <w:rtl/>
        </w:rPr>
        <w:t xml:space="preserve"> וגם אין הישראל אומר לו לעסוק בשבת אלא הגוי מקבל על עצמו שכל מה שיעלה שכר התנור יתן אותו לישראל</w:t>
      </w:r>
      <w:r>
        <w:rPr>
          <w:rFonts w:cs="Arial" w:hint="cs"/>
          <w:rtl/>
        </w:rPr>
        <w:t>,</w:t>
      </w:r>
      <w:r w:rsidRPr="007F0059">
        <w:rPr>
          <w:rFonts w:cs="Arial"/>
          <w:rtl/>
        </w:rPr>
        <w:t xml:space="preserve"> וגוי כי טרח בדנפשיה טרח לקיים תנאו</w:t>
      </w:r>
      <w:r>
        <w:rPr>
          <w:rFonts w:hint="cs"/>
          <w:rtl/>
        </w:rPr>
        <w:t>, ב"י.</w:t>
      </w:r>
    </w:p>
  </w:footnote>
  <w:footnote w:id="98">
    <w:p w14:paraId="205D0FFC" w14:textId="77777777" w:rsidR="004B2E7C" w:rsidRDefault="004B2E7C" w:rsidP="00285819">
      <w:pPr>
        <w:pStyle w:val="a7"/>
      </w:pPr>
      <w:r>
        <w:rPr>
          <w:rStyle w:val="a9"/>
        </w:rPr>
        <w:footnoteRef/>
      </w:r>
      <w:r>
        <w:rPr>
          <w:rtl/>
        </w:rPr>
        <w:t xml:space="preserve"> </w:t>
      </w:r>
      <w:r w:rsidRPr="005A2779">
        <w:rPr>
          <w:rFonts w:cs="Arial"/>
          <w:rtl/>
        </w:rPr>
        <w:t>ואם יום השוק הוא בשבת אפילו בסתמא אסור דהוי כאלו אמר לי מכור לי בשבת [אחרונים לקמן בסימן ש"ז ע"ש עוד בזה]</w:t>
      </w:r>
      <w:r>
        <w:rPr>
          <w:rFonts w:cs="Arial" w:hint="cs"/>
          <w:rtl/>
        </w:rPr>
        <w:t>, משנ"ב (סקכ"א).</w:t>
      </w:r>
    </w:p>
  </w:footnote>
  <w:footnote w:id="99">
    <w:p w14:paraId="2D3B0A78" w14:textId="77777777" w:rsidR="004B2E7C" w:rsidRDefault="004B2E7C" w:rsidP="00285819">
      <w:pPr>
        <w:pStyle w:val="a7"/>
      </w:pPr>
      <w:r>
        <w:rPr>
          <w:rStyle w:val="a9"/>
        </w:rPr>
        <w:footnoteRef/>
      </w:r>
      <w:r>
        <w:rPr>
          <w:rtl/>
        </w:rPr>
        <w:t xml:space="preserve"> </w:t>
      </w:r>
      <w:r w:rsidRPr="005A2779">
        <w:rPr>
          <w:rFonts w:cs="Arial"/>
          <w:rtl/>
        </w:rPr>
        <w:t>היינו אפילו שלא בהבלעה ואין צריך להתנות כלום</w:t>
      </w:r>
      <w:r>
        <w:rPr>
          <w:rFonts w:cs="Arial" w:hint="cs"/>
          <w:rtl/>
        </w:rPr>
        <w:t>, משנ"ב (סקכ"ב).</w:t>
      </w:r>
    </w:p>
  </w:footnote>
  <w:footnote w:id="100">
    <w:p w14:paraId="4D0D61DA" w14:textId="77777777" w:rsidR="004B2E7C" w:rsidRDefault="004B2E7C" w:rsidP="00285819">
      <w:pPr>
        <w:pStyle w:val="a7"/>
        <w:rPr>
          <w:rtl/>
        </w:rPr>
      </w:pPr>
      <w:r>
        <w:rPr>
          <w:rStyle w:val="a9"/>
        </w:rPr>
        <w:footnoteRef/>
      </w:r>
      <w:r>
        <w:rPr>
          <w:rtl/>
        </w:rPr>
        <w:t xml:space="preserve"> </w:t>
      </w:r>
      <w:r w:rsidRPr="00467E65">
        <w:rPr>
          <w:rFonts w:cs="Arial"/>
          <w:rtl/>
        </w:rPr>
        <w:t>ואף על פי שאין כן דעת רב נטרונאי בתשובה שכתבתי בס"ס רמ"ג (ב: ד"ה כתוב)</w:t>
      </w:r>
      <w:r>
        <w:rPr>
          <w:rFonts w:cs="Arial" w:hint="cs"/>
          <w:rtl/>
        </w:rPr>
        <w:t>,</w:t>
      </w:r>
      <w:r w:rsidRPr="00467E65">
        <w:rPr>
          <w:rFonts w:cs="Arial"/>
          <w:rtl/>
        </w:rPr>
        <w:t xml:space="preserve"> דברי הרמב"ם שכתבתי בסמוך (לעיל ד"ה ומ"ש רבינו וכן יראה) הם כדברי המרדכי</w:t>
      </w:r>
      <w:r>
        <w:rPr>
          <w:rFonts w:cs="Arial" w:hint="cs"/>
          <w:rtl/>
        </w:rPr>
        <w:t>, ב"י.</w:t>
      </w:r>
    </w:p>
  </w:footnote>
  <w:footnote w:id="101">
    <w:p w14:paraId="156FD43F" w14:textId="77777777" w:rsidR="004B2E7C" w:rsidRDefault="004B2E7C" w:rsidP="00285819">
      <w:pPr>
        <w:pStyle w:val="a7"/>
        <w:rPr>
          <w:rtl/>
        </w:rPr>
      </w:pPr>
      <w:r>
        <w:rPr>
          <w:rStyle w:val="a9"/>
        </w:rPr>
        <w:footnoteRef/>
      </w:r>
      <w:r>
        <w:rPr>
          <w:rtl/>
        </w:rPr>
        <w:t xml:space="preserve"> </w:t>
      </w:r>
      <w:r w:rsidRPr="00467E65">
        <w:rPr>
          <w:rFonts w:cs="Arial"/>
          <w:rtl/>
        </w:rPr>
        <w:t>ואין דעתו לומר שישכיר את הגוי בשכיר יום כדי שיעשה חלק הישראל והריוח לישראל דהא ודאי פשיטא דאסור כיון שאינו משכירו אלא לשבת אפילו בעושה בצנעא דהא שליחותיה קא עביד</w:t>
      </w:r>
      <w:r>
        <w:rPr>
          <w:rFonts w:cs="Arial" w:hint="cs"/>
          <w:rtl/>
        </w:rPr>
        <w:t>,</w:t>
      </w:r>
      <w:r w:rsidRPr="00467E65">
        <w:rPr>
          <w:rFonts w:cs="Arial"/>
          <w:rtl/>
        </w:rPr>
        <w:t xml:space="preserve"> וכל שכן מטבע דהוי מילתא דפרהסיא</w:t>
      </w:r>
      <w:r>
        <w:rPr>
          <w:rFonts w:cs="Arial" w:hint="cs"/>
          <w:rtl/>
        </w:rPr>
        <w:t>.</w:t>
      </w:r>
      <w:r w:rsidRPr="00467E65">
        <w:rPr>
          <w:rFonts w:cs="Arial"/>
          <w:rtl/>
        </w:rPr>
        <w:t xml:space="preserve"> אלא צ"ל דה"ק ישכיר לגוי החלק שיש לישראל בבית המטבע בשבת בכך וכך ויטול הגוי כל ריוח שבת</w:t>
      </w:r>
      <w:r>
        <w:rPr>
          <w:rFonts w:cs="Arial" w:hint="cs"/>
          <w:rtl/>
        </w:rPr>
        <w:t>,</w:t>
      </w:r>
      <w:r w:rsidRPr="00467E65">
        <w:rPr>
          <w:rFonts w:cs="Arial"/>
          <w:rtl/>
        </w:rPr>
        <w:t xml:space="preserve"> דהשתא לאו שליחותיה דישראל קא עביד דבדידיה קא טרח</w:t>
      </w:r>
      <w:r>
        <w:rPr>
          <w:rFonts w:cs="Arial" w:hint="cs"/>
          <w:rtl/>
        </w:rPr>
        <w:t>.</w:t>
      </w:r>
      <w:r w:rsidRPr="00467E65">
        <w:rPr>
          <w:rFonts w:cs="Arial"/>
          <w:rtl/>
        </w:rPr>
        <w:t xml:space="preserve"> ואע</w:t>
      </w:r>
      <w:r>
        <w:rPr>
          <w:rFonts w:cs="Arial" w:hint="cs"/>
          <w:rtl/>
        </w:rPr>
        <w:t>"</w:t>
      </w:r>
      <w:r w:rsidRPr="00467E65">
        <w:rPr>
          <w:rFonts w:cs="Arial"/>
          <w:rtl/>
        </w:rPr>
        <w:t>פ שכתב הרא"ש (ע"ז סי' כה) דלא שרי להשכיר שדה או מרחץ אלא ע"י הבלעת שאר ימים אבל אם היה משכירה ליום אסור ליקח שכר שבת ויום טוב</w:t>
      </w:r>
      <w:r>
        <w:rPr>
          <w:rFonts w:cs="Arial" w:hint="cs"/>
          <w:rtl/>
        </w:rPr>
        <w:t>,</w:t>
      </w:r>
      <w:r w:rsidRPr="00467E65">
        <w:rPr>
          <w:rFonts w:cs="Arial"/>
          <w:rtl/>
        </w:rPr>
        <w:t xml:space="preserve"> והזכירו רבינו בסימן רמ"ג</w:t>
      </w:r>
      <w:r>
        <w:rPr>
          <w:rFonts w:cs="Arial" w:hint="cs"/>
          <w:rtl/>
        </w:rPr>
        <w:t>,</w:t>
      </w:r>
      <w:r w:rsidRPr="00467E65">
        <w:rPr>
          <w:rFonts w:cs="Arial"/>
          <w:rtl/>
        </w:rPr>
        <w:t xml:space="preserve"> איכא למימר דהכא שרי משום פסידא</w:t>
      </w:r>
      <w:r>
        <w:rPr>
          <w:rFonts w:cs="Arial" w:hint="cs"/>
          <w:rtl/>
        </w:rPr>
        <w:t>,</w:t>
      </w:r>
      <w:r w:rsidRPr="00467E65">
        <w:rPr>
          <w:rFonts w:cs="Arial"/>
          <w:rtl/>
        </w:rPr>
        <w:t xml:space="preserve"> וכמו שכתב המרדכי בפ"ק דשבת (סי' רמז) גבי יהודים הקונים המכס</w:t>
      </w:r>
      <w:r>
        <w:rPr>
          <w:rFonts w:cs="Arial" w:hint="cs"/>
          <w:rtl/>
        </w:rPr>
        <w:t>, ב"י</w:t>
      </w:r>
      <w:r w:rsidRPr="00467E65">
        <w:rPr>
          <w:rFonts w:cs="Arial"/>
          <w:rtl/>
        </w:rPr>
        <w:t>.</w:t>
      </w:r>
    </w:p>
  </w:footnote>
  <w:footnote w:id="102">
    <w:p w14:paraId="7E2E2583" w14:textId="77777777" w:rsidR="004B2E7C" w:rsidRDefault="004B2E7C" w:rsidP="00285819">
      <w:pPr>
        <w:pStyle w:val="a7"/>
      </w:pPr>
      <w:r>
        <w:rPr>
          <w:rStyle w:val="a9"/>
        </w:rPr>
        <w:footnoteRef/>
      </w:r>
      <w:r>
        <w:rPr>
          <w:rtl/>
        </w:rPr>
        <w:t xml:space="preserve"> </w:t>
      </w:r>
      <w:r w:rsidRPr="00E8645F">
        <w:rPr>
          <w:rFonts w:cs="Arial"/>
          <w:rtl/>
        </w:rPr>
        <w:t>עיין בב"ח סוף סימן רמ"ג שכתב דאיירי דלא אפו בו רק בשבת וע"כ אף שבע"כ אפו בו אם יקבל את הככר נוטל שכר שבת אבל אם אפו בו עוד שאר ימים מותר לקבל מהם שכר שבת ג"כ בהבלעה</w:t>
      </w:r>
      <w:r>
        <w:rPr>
          <w:rFonts w:cs="Arial" w:hint="cs"/>
          <w:rtl/>
        </w:rPr>
        <w:t>.</w:t>
      </w:r>
      <w:r w:rsidRPr="00E8645F">
        <w:rPr>
          <w:rFonts w:cs="Arial"/>
          <w:rtl/>
        </w:rPr>
        <w:t xml:space="preserve"> ועיין בביאור הלכה דזה מותר אפילו לא היה האפיה בע"כ</w:t>
      </w:r>
      <w:r>
        <w:rPr>
          <w:rFonts w:cs="Arial" w:hint="cs"/>
          <w:rtl/>
        </w:rPr>
        <w:t>,</w:t>
      </w:r>
      <w:r w:rsidRPr="00E8645F">
        <w:rPr>
          <w:rFonts w:cs="Arial"/>
          <w:rtl/>
        </w:rPr>
        <w:t xml:space="preserve"> דאף דעשה איסורא במה שהרשה להם</w:t>
      </w:r>
      <w:r>
        <w:rPr>
          <w:rFonts w:cs="Arial" w:hint="cs"/>
          <w:rtl/>
        </w:rPr>
        <w:t>,</w:t>
      </w:r>
      <w:r w:rsidRPr="00E8645F">
        <w:rPr>
          <w:rFonts w:cs="Arial"/>
          <w:rtl/>
        </w:rPr>
        <w:t xml:space="preserve"> וכנ"ל בר</w:t>
      </w:r>
      <w:r>
        <w:rPr>
          <w:rFonts w:cs="Arial" w:hint="cs"/>
          <w:rtl/>
        </w:rPr>
        <w:t xml:space="preserve">"ס </w:t>
      </w:r>
      <w:r w:rsidRPr="00E8645F">
        <w:rPr>
          <w:rFonts w:cs="Arial"/>
          <w:rtl/>
        </w:rPr>
        <w:t>רמג</w:t>
      </w:r>
      <w:r>
        <w:rPr>
          <w:rFonts w:cs="Arial" w:hint="cs"/>
          <w:rtl/>
        </w:rPr>
        <w:t>,</w:t>
      </w:r>
      <w:r w:rsidRPr="00E8645F">
        <w:rPr>
          <w:rFonts w:cs="Arial"/>
          <w:rtl/>
        </w:rPr>
        <w:t xml:space="preserve"> מ"מ בדיעבד אין לאסור שכרו דהאיסור בזה הוא רק משום מראית העין וכמ"ש בסוף סימן רמ"ג במ"ב סקט"ז</w:t>
      </w:r>
      <w:r>
        <w:rPr>
          <w:rFonts w:cs="Arial" w:hint="cs"/>
          <w:rtl/>
        </w:rPr>
        <w:t>, משנ"ב (סקכ"ג).</w:t>
      </w:r>
    </w:p>
  </w:footnote>
  <w:footnote w:id="103">
    <w:p w14:paraId="4B620E5F" w14:textId="77777777" w:rsidR="004B2E7C" w:rsidRDefault="004B2E7C" w:rsidP="00285819">
      <w:pPr>
        <w:pStyle w:val="a7"/>
      </w:pPr>
      <w:r>
        <w:rPr>
          <w:rStyle w:val="a9"/>
        </w:rPr>
        <w:footnoteRef/>
      </w:r>
      <w:r>
        <w:rPr>
          <w:rtl/>
        </w:rPr>
        <w:t xml:space="preserve"> </w:t>
      </w:r>
      <w:r w:rsidRPr="00E8645F">
        <w:rPr>
          <w:rFonts w:cs="Arial"/>
          <w:rtl/>
        </w:rPr>
        <w:t>לאו דוקא דה"ה אם נתנו לו מעות אסור לו לקבל מהם ועובדא היה בפת [א"ר]</w:t>
      </w:r>
      <w:r>
        <w:rPr>
          <w:rFonts w:cs="Arial" w:hint="cs"/>
          <w:rtl/>
        </w:rPr>
        <w:t>, משנ"ב (סקכ"ד).</w:t>
      </w:r>
    </w:p>
  </w:footnote>
  <w:footnote w:id="104">
    <w:p w14:paraId="0BCE2F0D" w14:textId="77777777" w:rsidR="004B2E7C" w:rsidRDefault="004B2E7C" w:rsidP="00285819">
      <w:pPr>
        <w:pStyle w:val="a7"/>
      </w:pPr>
      <w:r>
        <w:rPr>
          <w:rStyle w:val="a9"/>
        </w:rPr>
        <w:footnoteRef/>
      </w:r>
      <w:r>
        <w:rPr>
          <w:rtl/>
        </w:rPr>
        <w:t xml:space="preserve"> </w:t>
      </w:r>
      <w:r>
        <w:rPr>
          <w:rFonts w:cs="Arial"/>
          <w:rtl/>
        </w:rPr>
        <w:t>טעמא דאיסורא לפי שנראה כנוטל שכר שבת</w:t>
      </w:r>
      <w:r>
        <w:rPr>
          <w:rFonts w:cs="Arial" w:hint="cs"/>
          <w:rtl/>
        </w:rPr>
        <w:t>...</w:t>
      </w:r>
      <w:r>
        <w:rPr>
          <w:rFonts w:cs="Arial"/>
          <w:rtl/>
        </w:rPr>
        <w:t xml:space="preserve"> ואע</w:t>
      </w:r>
      <w:r>
        <w:rPr>
          <w:rFonts w:cs="Arial" w:hint="cs"/>
          <w:rtl/>
        </w:rPr>
        <w:t>"</w:t>
      </w:r>
      <w:r>
        <w:rPr>
          <w:rFonts w:cs="Arial"/>
          <w:rtl/>
        </w:rPr>
        <w:t>ג דהוי בהבלעה אסור בערב שבת מפני מראית העין</w:t>
      </w:r>
      <w:r>
        <w:rPr>
          <w:rFonts w:cs="Arial" w:hint="cs"/>
          <w:rtl/>
        </w:rPr>
        <w:t>,</w:t>
      </w:r>
      <w:r>
        <w:rPr>
          <w:rFonts w:cs="Arial"/>
          <w:rtl/>
        </w:rPr>
        <w:t xml:space="preserve"> דכיון דקרוב כל כך וסמוך לשבת נראה ששוכרו לשבת עצמה</w:t>
      </w:r>
      <w:r>
        <w:rPr>
          <w:rFonts w:cs="Arial" w:hint="cs"/>
          <w:rtl/>
        </w:rPr>
        <w:t>.</w:t>
      </w:r>
      <w:r>
        <w:rPr>
          <w:rFonts w:cs="Arial"/>
          <w:rtl/>
        </w:rPr>
        <w:t xml:space="preserve"> ואע</w:t>
      </w:r>
      <w:r>
        <w:rPr>
          <w:rFonts w:cs="Arial" w:hint="cs"/>
          <w:rtl/>
        </w:rPr>
        <w:t>"</w:t>
      </w:r>
      <w:r>
        <w:rPr>
          <w:rFonts w:cs="Arial"/>
          <w:rtl/>
        </w:rPr>
        <w:t>ג דלישראל מותר בהבלעה דשבת או חודש</w:t>
      </w:r>
      <w:r>
        <w:rPr>
          <w:rFonts w:cs="Arial" w:hint="cs"/>
          <w:rtl/>
        </w:rPr>
        <w:t>,</w:t>
      </w:r>
      <w:r>
        <w:rPr>
          <w:rFonts w:cs="Arial"/>
          <w:rtl/>
        </w:rPr>
        <w:t xml:space="preserve"> לגוי אסור</w:t>
      </w:r>
      <w:r>
        <w:rPr>
          <w:rFonts w:cs="Arial" w:hint="cs"/>
          <w:rtl/>
        </w:rPr>
        <w:t>, ב"י בשם הרא"ש וסיעתו.</w:t>
      </w:r>
    </w:p>
  </w:footnote>
  <w:footnote w:id="105">
    <w:p w14:paraId="7FEFC5B5" w14:textId="77777777" w:rsidR="004B2E7C" w:rsidRDefault="004B2E7C" w:rsidP="00285819">
      <w:pPr>
        <w:pStyle w:val="a7"/>
      </w:pPr>
      <w:r>
        <w:rPr>
          <w:rStyle w:val="a9"/>
        </w:rPr>
        <w:footnoteRef/>
      </w:r>
      <w:r>
        <w:rPr>
          <w:rtl/>
        </w:rPr>
        <w:t xml:space="preserve"> </w:t>
      </w:r>
      <w:r>
        <w:rPr>
          <w:rFonts w:cs="Arial"/>
          <w:rtl/>
        </w:rPr>
        <w:t>כדתניא ס"פ הזהב (בבא מציעא נח.) גבי השוכר את הפועל לשמור פרה או תינוק</w:t>
      </w:r>
      <w:r>
        <w:rPr>
          <w:rFonts w:cs="Arial" w:hint="cs"/>
          <w:rtl/>
        </w:rPr>
        <w:t>, ב"י בשם הרא"ש וסיעתו.</w:t>
      </w:r>
    </w:p>
  </w:footnote>
  <w:footnote w:id="106">
    <w:p w14:paraId="2C80B59A" w14:textId="77777777" w:rsidR="004B2E7C" w:rsidRDefault="004B2E7C" w:rsidP="00285819">
      <w:pPr>
        <w:pStyle w:val="a7"/>
      </w:pPr>
      <w:r>
        <w:rPr>
          <w:rStyle w:val="a9"/>
        </w:rPr>
        <w:footnoteRef/>
      </w:r>
      <w:r>
        <w:rPr>
          <w:rtl/>
        </w:rPr>
        <w:t xml:space="preserve"> </w:t>
      </w:r>
      <w:r>
        <w:rPr>
          <w:rFonts w:cs="Arial" w:hint="cs"/>
          <w:rtl/>
        </w:rPr>
        <w:t xml:space="preserve">כתב הב"י וז"ל- </w:t>
      </w:r>
      <w:r>
        <w:rPr>
          <w:rFonts w:cs="Arial"/>
          <w:rtl/>
        </w:rPr>
        <w:t xml:space="preserve">ומכל מקום לדברי הכל נראה שכל שהשכירו ברביעי ובחמישי אפילו כלי שעושין בו מלאכה </w:t>
      </w:r>
      <w:r>
        <w:rPr>
          <w:rFonts w:cs="Arial" w:hint="cs"/>
          <w:rtl/>
        </w:rPr>
        <w:t xml:space="preserve">- </w:t>
      </w:r>
      <w:r>
        <w:rPr>
          <w:rFonts w:cs="Arial"/>
          <w:rtl/>
        </w:rPr>
        <w:t>שרי ליקח שכר שבת בהבלעה</w:t>
      </w:r>
      <w:r>
        <w:rPr>
          <w:rFonts w:cs="Arial" w:hint="cs"/>
          <w:rtl/>
        </w:rPr>
        <w:t>.</w:t>
      </w:r>
      <w:r>
        <w:rPr>
          <w:rFonts w:cs="Arial"/>
          <w:rtl/>
        </w:rPr>
        <w:t xml:space="preserve"> ואצ"ל שמותר להשאילו ברביעי ובחמישי</w:t>
      </w:r>
      <w:r>
        <w:rPr>
          <w:rFonts w:cs="Arial" w:hint="cs"/>
          <w:rtl/>
        </w:rPr>
        <w:t>,</w:t>
      </w:r>
      <w:r>
        <w:rPr>
          <w:rFonts w:cs="Arial"/>
          <w:rtl/>
        </w:rPr>
        <w:t xml:space="preserve"> דאפילו בער</w:t>
      </w:r>
      <w:r>
        <w:rPr>
          <w:rFonts w:cs="Arial" w:hint="cs"/>
          <w:rtl/>
        </w:rPr>
        <w:t>"</w:t>
      </w:r>
      <w:r>
        <w:rPr>
          <w:rFonts w:cs="Arial"/>
          <w:rtl/>
        </w:rPr>
        <w:t>ש שרי כמו שכתב רבינו בסמוך</w:t>
      </w:r>
      <w:r>
        <w:rPr>
          <w:rFonts w:cs="Arial" w:hint="cs"/>
          <w:rtl/>
        </w:rPr>
        <w:t>.</w:t>
      </w:r>
      <w:r>
        <w:rPr>
          <w:rFonts w:cs="Arial"/>
          <w:rtl/>
        </w:rPr>
        <w:t xml:space="preserve"> ומעתה אל תטעה במה שכתוב בה</w:t>
      </w:r>
      <w:r>
        <w:rPr>
          <w:rFonts w:cs="Arial" w:hint="cs"/>
          <w:rtl/>
        </w:rPr>
        <w:t>ג</w:t>
      </w:r>
      <w:r>
        <w:rPr>
          <w:rFonts w:cs="Arial"/>
          <w:rtl/>
        </w:rPr>
        <w:t>מ</w:t>
      </w:r>
      <w:r>
        <w:rPr>
          <w:rFonts w:cs="Arial" w:hint="cs"/>
          <w:rtl/>
        </w:rPr>
        <w:t>"</w:t>
      </w:r>
      <w:r>
        <w:rPr>
          <w:rFonts w:cs="Arial"/>
          <w:rtl/>
        </w:rPr>
        <w:t xml:space="preserve">ר </w:t>
      </w:r>
      <w:r>
        <w:rPr>
          <w:rFonts w:cs="Arial" w:hint="cs"/>
          <w:rtl/>
        </w:rPr>
        <w:t>(</w:t>
      </w:r>
      <w:r>
        <w:rPr>
          <w:rFonts w:cs="Arial"/>
          <w:rtl/>
        </w:rPr>
        <w:t xml:space="preserve">פ"ק דשבת סי' תנב) </w:t>
      </w:r>
      <w:r>
        <w:rPr>
          <w:rFonts w:cs="Arial" w:hint="cs"/>
          <w:rtl/>
        </w:rPr>
        <w:t xml:space="preserve">בשם </w:t>
      </w:r>
      <w:r>
        <w:rPr>
          <w:rFonts w:cs="Arial"/>
          <w:rtl/>
        </w:rPr>
        <w:t>הרוקח (סי</w:t>
      </w:r>
      <w:r>
        <w:rPr>
          <w:rFonts w:cs="Arial" w:hint="cs"/>
          <w:rtl/>
        </w:rPr>
        <w:t>'</w:t>
      </w:r>
      <w:r>
        <w:rPr>
          <w:rFonts w:cs="Arial"/>
          <w:rtl/>
        </w:rPr>
        <w:t xml:space="preserve"> מא), דההוא פסקא אתי כבית שמאי דסבירא להו אדם מצווה על שביתת כליו</w:t>
      </w:r>
      <w:r>
        <w:rPr>
          <w:rFonts w:cs="Arial" w:hint="cs"/>
          <w:rtl/>
        </w:rPr>
        <w:t>.</w:t>
      </w:r>
      <w:r>
        <w:rPr>
          <w:rFonts w:cs="Arial"/>
          <w:rtl/>
        </w:rPr>
        <w:t xml:space="preserve"> אבל אנן קיי</w:t>
      </w:r>
      <w:r>
        <w:rPr>
          <w:rFonts w:cs="Arial" w:hint="cs"/>
          <w:rtl/>
        </w:rPr>
        <w:t>"</w:t>
      </w:r>
      <w:r>
        <w:rPr>
          <w:rFonts w:cs="Arial"/>
          <w:rtl/>
        </w:rPr>
        <w:t>ל כבית הלל דאמרי אין אדם מצווה על שביתת כליו. וכן מה שכתב הרוקח בסימן ד"ש אם יש ליהודי ספינה אינו יכול להשכירה לגוי להוליכה במים בשבת או ביום טוב והוא הדין לעגלה שאינו יכול להשכיר גוי להוליך ממונו בשבת או ביו</w:t>
      </w:r>
      <w:r>
        <w:rPr>
          <w:rFonts w:cs="Arial" w:hint="cs"/>
          <w:rtl/>
        </w:rPr>
        <w:t>"</w:t>
      </w:r>
      <w:r>
        <w:rPr>
          <w:rFonts w:cs="Arial"/>
          <w:rtl/>
        </w:rPr>
        <w:t>ט ואם יעשה כן מחלל שבת ויום טוב הוא עכ"ל, על כרחין כבית שמאי אתי דאילו לבית הלל הא אמרי דאין אדם מצווה על שביתת כליו</w:t>
      </w:r>
      <w:r>
        <w:rPr>
          <w:rFonts w:cs="Arial" w:hint="cs"/>
          <w:rtl/>
        </w:rPr>
        <w:t>.</w:t>
      </w:r>
    </w:p>
  </w:footnote>
  <w:footnote w:id="107">
    <w:p w14:paraId="60C3B0BB" w14:textId="77777777" w:rsidR="004B2E7C" w:rsidRDefault="004B2E7C" w:rsidP="00285819">
      <w:pPr>
        <w:pStyle w:val="a7"/>
      </w:pPr>
      <w:r>
        <w:rPr>
          <w:rStyle w:val="a9"/>
        </w:rPr>
        <w:footnoteRef/>
      </w:r>
      <w:r w:rsidRPr="0034300D">
        <w:rPr>
          <w:rFonts w:cs="Arial"/>
          <w:rtl/>
        </w:rPr>
        <w:t xml:space="preserve"> ואין דבריו נראים לדחות כל הני רבוותא קמאי ובתראי מקמי הרי"ף והרמב"ם</w:t>
      </w:r>
      <w:r>
        <w:rPr>
          <w:rFonts w:cs="Arial" w:hint="cs"/>
          <w:rtl/>
        </w:rPr>
        <w:t>, דרכ"מ (אות א).</w:t>
      </w:r>
    </w:p>
  </w:footnote>
  <w:footnote w:id="108">
    <w:p w14:paraId="4E5FE354" w14:textId="77777777" w:rsidR="004B2E7C" w:rsidRDefault="004B2E7C" w:rsidP="00285819">
      <w:pPr>
        <w:pStyle w:val="a7"/>
        <w:rPr>
          <w:rtl/>
        </w:rPr>
      </w:pPr>
      <w:r>
        <w:rPr>
          <w:rStyle w:val="a9"/>
        </w:rPr>
        <w:footnoteRef/>
      </w:r>
      <w:r>
        <w:rPr>
          <w:rtl/>
        </w:rPr>
        <w:t xml:space="preserve"> </w:t>
      </w:r>
      <w:r w:rsidRPr="00633A16">
        <w:rPr>
          <w:rFonts w:hint="cs"/>
          <w:u w:val="single"/>
          <w:rtl/>
        </w:rPr>
        <w:t>ונחלקו הראשונים בטעם האיסור</w:t>
      </w:r>
      <w:r>
        <w:rPr>
          <w:rFonts w:hint="cs"/>
          <w:rtl/>
        </w:rPr>
        <w:t>:</w:t>
      </w:r>
    </w:p>
    <w:p w14:paraId="4FA0EED9" w14:textId="77777777" w:rsidR="004B2E7C" w:rsidRPr="00633A16" w:rsidRDefault="004B2E7C" w:rsidP="00FF2D21">
      <w:pPr>
        <w:pStyle w:val="a7"/>
        <w:numPr>
          <w:ilvl w:val="0"/>
          <w:numId w:val="106"/>
        </w:numPr>
      </w:pPr>
      <w:r>
        <w:rPr>
          <w:rFonts w:cs="Arial" w:hint="cs"/>
          <w:rtl/>
        </w:rPr>
        <w:t xml:space="preserve">ראב"ד </w:t>
      </w:r>
      <w:r>
        <w:rPr>
          <w:rFonts w:cs="Arial" w:hint="cs"/>
          <w:sz w:val="16"/>
          <w:szCs w:val="16"/>
          <w:rtl/>
        </w:rPr>
        <w:t xml:space="preserve">(בהשגות שם, וכ"כ הה"מ בשמו) </w:t>
      </w:r>
      <w:r>
        <w:rPr>
          <w:rFonts w:cs="Arial" w:hint="cs"/>
          <w:rtl/>
        </w:rPr>
        <w:t xml:space="preserve">וה"ר יונה </w:t>
      </w:r>
      <w:r>
        <w:rPr>
          <w:rFonts w:cs="Arial" w:hint="cs"/>
          <w:sz w:val="16"/>
          <w:szCs w:val="16"/>
          <w:rtl/>
        </w:rPr>
        <w:t>(כ"כ הרא"ש [שם] בשמו)</w:t>
      </w:r>
      <w:r>
        <w:rPr>
          <w:rFonts w:cs="Arial" w:hint="cs"/>
          <w:rtl/>
        </w:rPr>
        <w:t xml:space="preserve">- </w:t>
      </w:r>
      <w:r w:rsidRPr="0072300F">
        <w:rPr>
          <w:rFonts w:cs="Arial"/>
          <w:rtl/>
        </w:rPr>
        <w:t>מפני שנראה כשעושה בו גוי מלאכה בשבת כאילו הוא שלוחו של ישראל</w:t>
      </w:r>
      <w:r>
        <w:rPr>
          <w:rFonts w:cs="Arial"/>
          <w:rtl/>
        </w:rPr>
        <w:t xml:space="preserve"> </w:t>
      </w:r>
      <w:r w:rsidRPr="00633A16">
        <w:rPr>
          <w:rFonts w:cs="Arial" w:hint="cs"/>
          <w:sz w:val="16"/>
          <w:szCs w:val="16"/>
          <w:rtl/>
        </w:rPr>
        <w:t>(ו</w:t>
      </w:r>
      <w:r w:rsidRPr="00633A16">
        <w:rPr>
          <w:rFonts w:cs="Arial"/>
          <w:sz w:val="16"/>
          <w:szCs w:val="16"/>
          <w:rtl/>
        </w:rPr>
        <w:t>אע</w:t>
      </w:r>
      <w:r w:rsidRPr="00633A16">
        <w:rPr>
          <w:rFonts w:cs="Arial" w:hint="cs"/>
          <w:sz w:val="16"/>
          <w:szCs w:val="16"/>
          <w:rtl/>
        </w:rPr>
        <w:t>"</w:t>
      </w:r>
      <w:r w:rsidRPr="00633A16">
        <w:rPr>
          <w:rFonts w:cs="Arial"/>
          <w:sz w:val="16"/>
          <w:szCs w:val="16"/>
          <w:rtl/>
        </w:rPr>
        <w:t>ג דשרו בית הלל (שבת יז:) עורות לעבדן עם חשכה</w:t>
      </w:r>
      <w:r w:rsidRPr="00633A16">
        <w:rPr>
          <w:rFonts w:cs="Arial" w:hint="cs"/>
          <w:sz w:val="16"/>
          <w:szCs w:val="16"/>
          <w:rtl/>
        </w:rPr>
        <w:t>,</w:t>
      </w:r>
      <w:r w:rsidRPr="00633A16">
        <w:rPr>
          <w:rFonts w:cs="Arial"/>
          <w:sz w:val="16"/>
          <w:szCs w:val="16"/>
          <w:rtl/>
        </w:rPr>
        <w:t xml:space="preserve"> דגוי לנפשיה קא עביד כיון דקצץ לו דמים</w:t>
      </w:r>
      <w:r w:rsidRPr="00633A16">
        <w:rPr>
          <w:rFonts w:cs="Arial" w:hint="cs"/>
          <w:sz w:val="16"/>
          <w:szCs w:val="16"/>
          <w:rtl/>
        </w:rPr>
        <w:t xml:space="preserve"> -</w:t>
      </w:r>
      <w:r w:rsidRPr="00633A16">
        <w:rPr>
          <w:rFonts w:cs="Arial"/>
          <w:sz w:val="16"/>
          <w:szCs w:val="16"/>
          <w:rtl/>
        </w:rPr>
        <w:t xml:space="preserve"> שאני התם</w:t>
      </w:r>
      <w:r w:rsidRPr="00633A16">
        <w:rPr>
          <w:rFonts w:cs="Arial" w:hint="cs"/>
          <w:sz w:val="16"/>
          <w:szCs w:val="16"/>
          <w:rtl/>
        </w:rPr>
        <w:t>,</w:t>
      </w:r>
      <w:r w:rsidRPr="00633A16">
        <w:rPr>
          <w:rFonts w:cs="Arial"/>
          <w:sz w:val="16"/>
          <w:szCs w:val="16"/>
          <w:rtl/>
        </w:rPr>
        <w:t xml:space="preserve"> דאין ריוח לישראל במה שהגוי עושה בשבת</w:t>
      </w:r>
      <w:r w:rsidRPr="00633A16">
        <w:rPr>
          <w:rFonts w:cs="Arial" w:hint="cs"/>
          <w:sz w:val="16"/>
          <w:szCs w:val="16"/>
          <w:rtl/>
        </w:rPr>
        <w:t>.</w:t>
      </w:r>
      <w:r w:rsidRPr="00633A16">
        <w:rPr>
          <w:rFonts w:cs="Arial"/>
          <w:sz w:val="16"/>
          <w:szCs w:val="16"/>
          <w:rtl/>
        </w:rPr>
        <w:t xml:space="preserve"> אבל בשכירות כלים ידוע הוא</w:t>
      </w:r>
      <w:r w:rsidRPr="00633A16">
        <w:rPr>
          <w:rFonts w:cs="Arial" w:hint="cs"/>
          <w:sz w:val="16"/>
          <w:szCs w:val="16"/>
          <w:rtl/>
        </w:rPr>
        <w:t>,</w:t>
      </w:r>
      <w:r w:rsidRPr="00633A16">
        <w:rPr>
          <w:rFonts w:cs="Arial"/>
          <w:sz w:val="16"/>
          <w:szCs w:val="16"/>
          <w:rtl/>
        </w:rPr>
        <w:t xml:space="preserve"> ואפילו בהבלעה אם ישכירם לו חוץ משבתות</w:t>
      </w:r>
      <w:r w:rsidRPr="00633A16">
        <w:rPr>
          <w:rFonts w:cs="Arial" w:hint="cs"/>
          <w:sz w:val="16"/>
          <w:szCs w:val="16"/>
          <w:rtl/>
        </w:rPr>
        <w:t>,</w:t>
      </w:r>
      <w:r w:rsidRPr="00633A16">
        <w:rPr>
          <w:rFonts w:cs="Arial"/>
          <w:sz w:val="16"/>
          <w:szCs w:val="16"/>
          <w:rtl/>
        </w:rPr>
        <w:t xml:space="preserve"> לא יתן לו כל שכירותו</w:t>
      </w:r>
      <w:r w:rsidRPr="00633A16">
        <w:rPr>
          <w:rFonts w:cs="Arial" w:hint="cs"/>
          <w:sz w:val="16"/>
          <w:szCs w:val="16"/>
          <w:rtl/>
        </w:rPr>
        <w:t>.</w:t>
      </w:r>
      <w:r w:rsidRPr="00633A16">
        <w:rPr>
          <w:rFonts w:cs="Arial"/>
          <w:sz w:val="16"/>
          <w:szCs w:val="16"/>
          <w:rtl/>
        </w:rPr>
        <w:t xml:space="preserve"> הילכך כיון שיש ריוח לישראל במה שהכלים נשכרים אצל הגוי</w:t>
      </w:r>
      <w:r w:rsidRPr="00633A16">
        <w:rPr>
          <w:rFonts w:cs="Arial" w:hint="cs"/>
          <w:sz w:val="16"/>
          <w:szCs w:val="16"/>
          <w:rtl/>
        </w:rPr>
        <w:t>,</w:t>
      </w:r>
      <w:r w:rsidRPr="00633A16">
        <w:rPr>
          <w:rFonts w:cs="Arial"/>
          <w:sz w:val="16"/>
          <w:szCs w:val="16"/>
          <w:rtl/>
        </w:rPr>
        <w:t xml:space="preserve"> מיחזי במלאכה שהגוי עושה בהם בשבת כשלוחו של ישראל</w:t>
      </w:r>
      <w:r>
        <w:rPr>
          <w:rFonts w:cs="Arial" w:hint="cs"/>
          <w:sz w:val="16"/>
          <w:szCs w:val="16"/>
          <w:rtl/>
        </w:rPr>
        <w:t>, רא"ש בשם ה"ר יונה)</w:t>
      </w:r>
      <w:r>
        <w:rPr>
          <w:rFonts w:cs="Arial" w:hint="cs"/>
          <w:rtl/>
        </w:rPr>
        <w:t xml:space="preserve">. </w:t>
      </w:r>
    </w:p>
    <w:p w14:paraId="6BF7D2CC" w14:textId="77777777" w:rsidR="004B2E7C" w:rsidRDefault="004B2E7C" w:rsidP="00FF2D21">
      <w:pPr>
        <w:pStyle w:val="a7"/>
        <w:numPr>
          <w:ilvl w:val="0"/>
          <w:numId w:val="106"/>
        </w:numPr>
      </w:pPr>
      <w:r>
        <w:rPr>
          <w:rFonts w:cs="Arial" w:hint="cs"/>
          <w:rtl/>
        </w:rPr>
        <w:t xml:space="preserve">תוס' </w:t>
      </w:r>
      <w:r>
        <w:rPr>
          <w:rFonts w:cs="Arial" w:hint="cs"/>
          <w:sz w:val="16"/>
          <w:szCs w:val="16"/>
          <w:rtl/>
        </w:rPr>
        <w:t>(שם)</w:t>
      </w:r>
      <w:r>
        <w:rPr>
          <w:rFonts w:cs="Arial" w:hint="cs"/>
          <w:rtl/>
        </w:rPr>
        <w:t xml:space="preserve"> ור"ן</w:t>
      </w:r>
      <w:r>
        <w:rPr>
          <w:rFonts w:cs="Arial" w:hint="cs"/>
          <w:sz w:val="16"/>
          <w:szCs w:val="16"/>
          <w:rtl/>
        </w:rPr>
        <w:t xml:space="preserve"> (שם, כ"כ הב"י שמו)</w:t>
      </w:r>
      <w:r>
        <w:rPr>
          <w:rFonts w:cs="Arial" w:hint="cs"/>
          <w:rtl/>
        </w:rPr>
        <w:t xml:space="preserve">- </w:t>
      </w:r>
      <w:r w:rsidRPr="003F0E95">
        <w:rPr>
          <w:rFonts w:cs="Arial"/>
          <w:rtl/>
        </w:rPr>
        <w:t>אסור לפי שנראה כנוטל שכר שבת אע</w:t>
      </w:r>
      <w:r>
        <w:rPr>
          <w:rFonts w:cs="Arial" w:hint="cs"/>
          <w:rtl/>
        </w:rPr>
        <w:t>"</w:t>
      </w:r>
      <w:r w:rsidRPr="003F0E95">
        <w:rPr>
          <w:rFonts w:cs="Arial"/>
          <w:rtl/>
        </w:rPr>
        <w:t>פ שמשכירו יחד חדש או שבוע</w:t>
      </w:r>
      <w:r>
        <w:rPr>
          <w:rFonts w:cs="Arial" w:hint="cs"/>
          <w:sz w:val="14"/>
          <w:szCs w:val="14"/>
          <w:rtl/>
        </w:rPr>
        <w:t xml:space="preserve"> </w:t>
      </w:r>
      <w:r w:rsidRPr="003F0E95">
        <w:rPr>
          <w:rFonts w:cs="Arial" w:hint="cs"/>
          <w:sz w:val="16"/>
          <w:szCs w:val="16"/>
          <w:rtl/>
        </w:rPr>
        <w:t>(ל' התוס')</w:t>
      </w:r>
      <w:r>
        <w:rPr>
          <w:rFonts w:cs="Arial" w:hint="cs"/>
          <w:rtl/>
        </w:rPr>
        <w:t>.</w:t>
      </w:r>
      <w:r w:rsidRPr="003F0E95">
        <w:rPr>
          <w:rFonts w:cs="Arial"/>
          <w:rtl/>
        </w:rPr>
        <w:t xml:space="preserve"> </w:t>
      </w:r>
      <w:r>
        <w:rPr>
          <w:rFonts w:cs="Arial" w:hint="cs"/>
          <w:rtl/>
        </w:rPr>
        <w:t>ו</w:t>
      </w:r>
      <w:r w:rsidRPr="00633A16">
        <w:rPr>
          <w:rFonts w:cs="Arial"/>
          <w:rtl/>
        </w:rPr>
        <w:t>אע</w:t>
      </w:r>
      <w:r>
        <w:rPr>
          <w:rFonts w:cs="Arial" w:hint="cs"/>
          <w:rtl/>
        </w:rPr>
        <w:t>"</w:t>
      </w:r>
      <w:r w:rsidRPr="00633A16">
        <w:rPr>
          <w:rFonts w:cs="Arial"/>
          <w:rtl/>
        </w:rPr>
        <w:t>ג דלישראל מותר בהבלעה דשבת או חדש</w:t>
      </w:r>
      <w:r>
        <w:rPr>
          <w:rFonts w:cs="Arial" w:hint="cs"/>
          <w:rtl/>
        </w:rPr>
        <w:t>,</w:t>
      </w:r>
      <w:r w:rsidRPr="00633A16">
        <w:rPr>
          <w:rFonts w:cs="Arial"/>
          <w:rtl/>
        </w:rPr>
        <w:t xml:space="preserve"> לנכרי אסור</w:t>
      </w:r>
      <w:r>
        <w:rPr>
          <w:rFonts w:cs="Arial" w:hint="cs"/>
          <w:sz w:val="16"/>
          <w:szCs w:val="16"/>
          <w:rtl/>
        </w:rPr>
        <w:t xml:space="preserve"> (ל' הרא"ש בשם התוס')</w:t>
      </w:r>
      <w:r>
        <w:rPr>
          <w:rFonts w:cs="Arial" w:hint="cs"/>
          <w:rtl/>
        </w:rPr>
        <w:t>.</w:t>
      </w:r>
    </w:p>
  </w:footnote>
  <w:footnote w:id="109">
    <w:p w14:paraId="1D5EBF64" w14:textId="77777777" w:rsidR="004B2E7C" w:rsidRDefault="004B2E7C" w:rsidP="00285819">
      <w:pPr>
        <w:pStyle w:val="a7"/>
      </w:pPr>
      <w:r>
        <w:rPr>
          <w:rStyle w:val="a9"/>
        </w:rPr>
        <w:footnoteRef/>
      </w:r>
      <w:r>
        <w:rPr>
          <w:rtl/>
        </w:rPr>
        <w:t xml:space="preserve"> </w:t>
      </w:r>
      <w:r>
        <w:rPr>
          <w:rFonts w:cs="Arial"/>
          <w:rtl/>
        </w:rPr>
        <w:t xml:space="preserve">וכן נראה מדברי רש"י שכתב </w:t>
      </w:r>
      <w:r>
        <w:rPr>
          <w:rFonts w:cs="Arial" w:hint="cs"/>
          <w:rtl/>
        </w:rPr>
        <w:t>'</w:t>
      </w:r>
      <w:r>
        <w:rPr>
          <w:rFonts w:cs="Arial"/>
          <w:rtl/>
        </w:rPr>
        <w:t xml:space="preserve">לא ישכיר אדם כלים </w:t>
      </w:r>
      <w:r w:rsidRPr="00783F9D">
        <w:rPr>
          <w:rFonts w:cs="Arial"/>
          <w:b/>
          <w:bCs/>
          <w:rtl/>
        </w:rPr>
        <w:t>לעשות בהם מלאכה</w:t>
      </w:r>
      <w:r>
        <w:rPr>
          <w:rFonts w:cs="Arial"/>
          <w:rtl/>
        </w:rPr>
        <w:t>. בערב שבת, שנראה שמשכירו לו לצורך השבת</w:t>
      </w:r>
      <w:r>
        <w:rPr>
          <w:rFonts w:cs="Arial" w:hint="cs"/>
          <w:rtl/>
        </w:rPr>
        <w:t>', ב"י.</w:t>
      </w:r>
    </w:p>
  </w:footnote>
  <w:footnote w:id="110">
    <w:p w14:paraId="56E12CBA" w14:textId="77777777" w:rsidR="004B2E7C" w:rsidRPr="00305FB3" w:rsidRDefault="004B2E7C" w:rsidP="00285819">
      <w:pPr>
        <w:pStyle w:val="a7"/>
        <w:rPr>
          <w:rFonts w:cs="Arial"/>
        </w:rPr>
      </w:pPr>
      <w:r>
        <w:rPr>
          <w:rStyle w:val="a9"/>
        </w:rPr>
        <w:footnoteRef/>
      </w:r>
      <w:r>
        <w:rPr>
          <w:rtl/>
        </w:rPr>
        <w:t xml:space="preserve"> </w:t>
      </w:r>
      <w:r>
        <w:rPr>
          <w:rFonts w:cs="Arial"/>
          <w:rtl/>
        </w:rPr>
        <w:t>וכתוב בהגהות פ"ו (שם, עיין שם) שמותר להשאיל כליו לגוי על מנת שהגוי ישאיל לו כלי אחר לאחר השבת כלומר שאף על פי שאינו משאילו חנם כיון דלא הוי בדרך שכירות ממש לומר אתן לך כך כדי שתשאילני כלי שלך שרי</w:t>
      </w:r>
      <w:r>
        <w:rPr>
          <w:rFonts w:cs="Arial" w:hint="cs"/>
          <w:rtl/>
        </w:rPr>
        <w:t>, ב"י.</w:t>
      </w:r>
      <w:r w:rsidRPr="00E11C6C">
        <w:rPr>
          <w:rFonts w:cs="Arial" w:hint="cs"/>
          <w:color w:val="00B0F0"/>
          <w:rtl/>
        </w:rPr>
        <w:t xml:space="preserve"> (וכ"פ הרמ"א)</w:t>
      </w:r>
    </w:p>
  </w:footnote>
  <w:footnote w:id="111">
    <w:p w14:paraId="177DCDC4" w14:textId="77777777" w:rsidR="004B2E7C" w:rsidRDefault="004B2E7C" w:rsidP="00285819">
      <w:pPr>
        <w:pStyle w:val="a7"/>
        <w:rPr>
          <w:rtl/>
        </w:rPr>
      </w:pPr>
      <w:r>
        <w:rPr>
          <w:rStyle w:val="a9"/>
        </w:rPr>
        <w:footnoteRef/>
      </w:r>
      <w:r>
        <w:rPr>
          <w:rtl/>
        </w:rPr>
        <w:t xml:space="preserve"> </w:t>
      </w:r>
      <w:r w:rsidRPr="00971B6E">
        <w:rPr>
          <w:rFonts w:cs="Arial"/>
          <w:rtl/>
        </w:rPr>
        <w:t>כגון ריחיים וכל כלי אומנות [הרא"ש] ועיין בפמ"ג דה"ה כלים שאין עושין בעצמן מלאכה כגון גיגית שהשכר נעשה בה או קדרה שמבשלין בה וכל כה"ג כיון שעכ"פ ה</w:t>
      </w:r>
      <w:r>
        <w:rPr>
          <w:rFonts w:cs="Arial"/>
          <w:rtl/>
        </w:rPr>
        <w:t>גוי</w:t>
      </w:r>
      <w:r w:rsidRPr="00971B6E">
        <w:rPr>
          <w:rFonts w:cs="Arial"/>
          <w:rtl/>
        </w:rPr>
        <w:t xml:space="preserve"> עושה בהן מלאכה מחזי כשלוחו של ישראל ולא בא הרר"י למעוטי אלא כשמשכיר לו חלוק וטלית וכה"ג איזה כלי שאין עומד לעשות בה מלאכה דמותר להשכיר לו אפילו בע"ש</w:t>
      </w:r>
      <w:r>
        <w:rPr>
          <w:rFonts w:hint="cs"/>
          <w:rtl/>
        </w:rPr>
        <w:t>, משנ"ב (סק"ב).</w:t>
      </w:r>
    </w:p>
  </w:footnote>
  <w:footnote w:id="112">
    <w:p w14:paraId="504B84C9" w14:textId="77777777" w:rsidR="004B2E7C" w:rsidRDefault="004B2E7C" w:rsidP="00285819">
      <w:pPr>
        <w:pStyle w:val="a7"/>
      </w:pPr>
      <w:r>
        <w:rPr>
          <w:rStyle w:val="a9"/>
        </w:rPr>
        <w:footnoteRef/>
      </w:r>
      <w:r>
        <w:rPr>
          <w:rtl/>
        </w:rPr>
        <w:t xml:space="preserve"> </w:t>
      </w:r>
      <w:r>
        <w:rPr>
          <w:rFonts w:hint="cs"/>
          <w:rtl/>
        </w:rPr>
        <w:t xml:space="preserve">וז"ל- </w:t>
      </w:r>
      <w:r w:rsidRPr="00385023">
        <w:rPr>
          <w:rFonts w:cs="Arial"/>
          <w:rtl/>
        </w:rPr>
        <w:t>לא יתן אדם בערב שבת כלים לאומן גוי לעשותן אע"פ שפסק עמו, אלא בכדי שיצא בהן מביתו קודם שחשיכה, וכן לא ימכור אדם חפציו לגוי ולא ישאילנו ולא ילונו ולא ימשכננו ולא יתן לו במתנה אלא בכדי שיצא באותו חפץ מפתח ביתו קודם השבת, שכל זמן שהוא בביתו אין אדם יודע אימתי נתן לו וכשיצא הגוי מביתו בשבת וחפץ ישראל בידו יראה כמי שהלוהו לגוי או משכנו או פסק עמו או מכר לו בשבת.</w:t>
      </w:r>
    </w:p>
  </w:footnote>
  <w:footnote w:id="113">
    <w:p w14:paraId="7C31EFC7" w14:textId="77777777" w:rsidR="004B2E7C" w:rsidRDefault="004B2E7C" w:rsidP="00285819">
      <w:pPr>
        <w:pStyle w:val="a7"/>
      </w:pPr>
      <w:r>
        <w:rPr>
          <w:rStyle w:val="a9"/>
        </w:rPr>
        <w:footnoteRef/>
      </w:r>
      <w:r>
        <w:rPr>
          <w:rtl/>
        </w:rPr>
        <w:t xml:space="preserve"> </w:t>
      </w:r>
      <w:r w:rsidRPr="00880656">
        <w:rPr>
          <w:rFonts w:cs="Arial"/>
          <w:rtl/>
        </w:rPr>
        <w:t>ואסור אז אפילו למכור לו או ליתן לו במתנה וכמו שמבואר לקמן בסימן רנ"ב ס"א וע"ש במ"ב מש"כ בזה</w:t>
      </w:r>
      <w:r>
        <w:rPr>
          <w:rFonts w:cs="Arial" w:hint="cs"/>
          <w:rtl/>
        </w:rPr>
        <w:t>, משנ"ב (סק"ז).</w:t>
      </w:r>
    </w:p>
  </w:footnote>
  <w:footnote w:id="114">
    <w:p w14:paraId="22C8A08D" w14:textId="77777777" w:rsidR="004B2E7C" w:rsidRDefault="004B2E7C" w:rsidP="00285819">
      <w:pPr>
        <w:pStyle w:val="a7"/>
      </w:pPr>
      <w:r>
        <w:rPr>
          <w:rStyle w:val="a9"/>
        </w:rPr>
        <w:footnoteRef/>
      </w:r>
      <w:r>
        <w:rPr>
          <w:rtl/>
        </w:rPr>
        <w:t xml:space="preserve"> </w:t>
      </w:r>
      <w:r w:rsidRPr="00140792">
        <w:rPr>
          <w:rFonts w:cs="Arial"/>
          <w:rtl/>
        </w:rPr>
        <w:t>היינו קודם שתשקע החמה (מגיד משנה)</w:t>
      </w:r>
      <w:r>
        <w:rPr>
          <w:rFonts w:cs="Arial" w:hint="cs"/>
          <w:rtl/>
        </w:rPr>
        <w:t>, משנ"ב (סק"ח).</w:t>
      </w:r>
    </w:p>
  </w:footnote>
  <w:footnote w:id="115">
    <w:p w14:paraId="05C4136C" w14:textId="77777777" w:rsidR="004B2E7C" w:rsidRDefault="004B2E7C" w:rsidP="00285819">
      <w:pPr>
        <w:pStyle w:val="a7"/>
        <w:rPr>
          <w:rtl/>
        </w:rPr>
      </w:pPr>
      <w:r>
        <w:rPr>
          <w:rStyle w:val="a9"/>
        </w:rPr>
        <w:footnoteRef/>
      </w:r>
      <w:r>
        <w:rPr>
          <w:rtl/>
        </w:rPr>
        <w:t xml:space="preserve"> </w:t>
      </w:r>
      <w:r w:rsidRPr="00140792">
        <w:rPr>
          <w:rFonts w:cs="Arial"/>
          <w:rtl/>
        </w:rPr>
        <w:t>לחוץ לר"ה</w:t>
      </w:r>
      <w:r>
        <w:rPr>
          <w:rFonts w:cs="Arial" w:hint="cs"/>
          <w:rtl/>
        </w:rPr>
        <w:t>.</w:t>
      </w:r>
      <w:r w:rsidRPr="00140792">
        <w:rPr>
          <w:rFonts w:cs="Arial"/>
          <w:rtl/>
        </w:rPr>
        <w:t xml:space="preserve"> ואפילו לדידן דלית לן ר"ה גמורה אסור</w:t>
      </w:r>
      <w:r>
        <w:rPr>
          <w:rFonts w:cs="Arial" w:hint="cs"/>
          <w:rtl/>
        </w:rPr>
        <w:t>,</w:t>
      </w:r>
      <w:r w:rsidRPr="00140792">
        <w:rPr>
          <w:rFonts w:cs="Arial"/>
          <w:rtl/>
        </w:rPr>
        <w:t xml:space="preserve"> דאמירה ל</w:t>
      </w:r>
      <w:r>
        <w:rPr>
          <w:rFonts w:cs="Arial" w:hint="cs"/>
          <w:rtl/>
        </w:rPr>
        <w:t>גו</w:t>
      </w:r>
      <w:r w:rsidRPr="00140792">
        <w:rPr>
          <w:rFonts w:cs="Arial"/>
          <w:rtl/>
        </w:rPr>
        <w:t>י שבות הוא אפילו במילי דרבנן</w:t>
      </w:r>
      <w:r>
        <w:rPr>
          <w:rFonts w:cs="Arial" w:hint="cs"/>
          <w:rtl/>
        </w:rPr>
        <w:t>.</w:t>
      </w:r>
      <w:r w:rsidRPr="00140792">
        <w:rPr>
          <w:rFonts w:cs="Arial"/>
          <w:rtl/>
        </w:rPr>
        <w:t xml:space="preserve"> וא"כ אם העיר מוקפת חומה</w:t>
      </w:r>
      <w:r>
        <w:rPr>
          <w:rFonts w:cs="Arial" w:hint="cs"/>
          <w:rtl/>
        </w:rPr>
        <w:t>,</w:t>
      </w:r>
      <w:r w:rsidRPr="00140792">
        <w:rPr>
          <w:rFonts w:cs="Arial"/>
          <w:rtl/>
        </w:rPr>
        <w:t xml:space="preserve"> דמותר לטלטל בכולה</w:t>
      </w:r>
      <w:r>
        <w:rPr>
          <w:rFonts w:cs="Arial" w:hint="cs"/>
          <w:rtl/>
        </w:rPr>
        <w:t>,</w:t>
      </w:r>
      <w:r w:rsidRPr="00140792">
        <w:rPr>
          <w:rFonts w:cs="Arial"/>
          <w:rtl/>
        </w:rPr>
        <w:t xml:space="preserve"> וה</w:t>
      </w:r>
      <w:r>
        <w:rPr>
          <w:rFonts w:cs="Arial" w:hint="cs"/>
          <w:rtl/>
        </w:rPr>
        <w:t>גו</w:t>
      </w:r>
      <w:r w:rsidRPr="00140792">
        <w:rPr>
          <w:rFonts w:cs="Arial"/>
          <w:rtl/>
        </w:rPr>
        <w:t xml:space="preserve">י ג"כ דר שם </w:t>
      </w:r>
      <w:r>
        <w:rPr>
          <w:rFonts w:cs="Arial" w:hint="cs"/>
          <w:rtl/>
        </w:rPr>
        <w:t xml:space="preserve">- </w:t>
      </w:r>
      <w:r w:rsidRPr="00140792">
        <w:rPr>
          <w:rFonts w:cs="Arial"/>
          <w:rtl/>
        </w:rPr>
        <w:t>שרי להשאילו כלים שאין עושין מלאכה בהן</w:t>
      </w:r>
      <w:r>
        <w:rPr>
          <w:rFonts w:cs="Arial" w:hint="cs"/>
          <w:rtl/>
        </w:rPr>
        <w:t xml:space="preserve"> </w:t>
      </w:r>
      <w:r w:rsidRPr="00385023">
        <w:rPr>
          <w:rFonts w:cs="Arial" w:hint="cs"/>
          <w:color w:val="000000" w:themeColor="text1"/>
          <w:sz w:val="16"/>
          <w:szCs w:val="16"/>
          <w:rtl/>
        </w:rPr>
        <w:t>{ולדעת השו"ע מותר אף כלים שעושים בהם מלאכה}</w:t>
      </w:r>
      <w:r>
        <w:rPr>
          <w:rFonts w:cs="Arial" w:hint="cs"/>
          <w:rtl/>
        </w:rPr>
        <w:t>.</w:t>
      </w:r>
      <w:r w:rsidRPr="00140792">
        <w:rPr>
          <w:rFonts w:cs="Arial"/>
          <w:rtl/>
        </w:rPr>
        <w:t xml:space="preserve"> ולמכור לו ולהשכירו </w:t>
      </w:r>
      <w:r>
        <w:rPr>
          <w:rFonts w:cs="Arial" w:hint="cs"/>
          <w:rtl/>
        </w:rPr>
        <w:t xml:space="preserve">- </w:t>
      </w:r>
      <w:r w:rsidRPr="00140792">
        <w:rPr>
          <w:rFonts w:cs="Arial"/>
          <w:rtl/>
        </w:rPr>
        <w:t>אסור אף בזה</w:t>
      </w:r>
      <w:r>
        <w:rPr>
          <w:rFonts w:cs="Arial" w:hint="cs"/>
          <w:rtl/>
        </w:rPr>
        <w:t>,</w:t>
      </w:r>
      <w:r w:rsidRPr="00140792">
        <w:rPr>
          <w:rFonts w:cs="Arial"/>
          <w:rtl/>
        </w:rPr>
        <w:t xml:space="preserve"> שלא יאמרו שמכר והשכיר לו בשבת</w:t>
      </w:r>
      <w:r>
        <w:rPr>
          <w:rFonts w:cs="Arial" w:hint="cs"/>
          <w:rtl/>
        </w:rPr>
        <w:t>.</w:t>
      </w:r>
      <w:r w:rsidRPr="00140792">
        <w:rPr>
          <w:rFonts w:cs="Arial"/>
          <w:rtl/>
        </w:rPr>
        <w:t xml:space="preserve"> ואם הוא כלים שעושין בהן מלאכה </w:t>
      </w:r>
      <w:r>
        <w:rPr>
          <w:rFonts w:cs="Arial" w:hint="cs"/>
          <w:rtl/>
        </w:rPr>
        <w:t xml:space="preserve">- </w:t>
      </w:r>
      <w:r w:rsidRPr="00140792">
        <w:rPr>
          <w:rFonts w:cs="Arial"/>
          <w:rtl/>
        </w:rPr>
        <w:t xml:space="preserve">אפילו להשאילו אסור </w:t>
      </w:r>
      <w:r w:rsidRPr="00385023">
        <w:rPr>
          <w:rFonts w:cs="Arial" w:hint="cs"/>
          <w:color w:val="000000" w:themeColor="text1"/>
          <w:sz w:val="16"/>
          <w:szCs w:val="16"/>
          <w:rtl/>
        </w:rPr>
        <w:t>{</w:t>
      </w:r>
      <w:r>
        <w:rPr>
          <w:rFonts w:cs="Arial" w:hint="cs"/>
          <w:color w:val="000000" w:themeColor="text1"/>
          <w:sz w:val="16"/>
          <w:szCs w:val="16"/>
          <w:rtl/>
        </w:rPr>
        <w:t xml:space="preserve">לדעת הרמ"א, אך </w:t>
      </w:r>
      <w:r w:rsidRPr="00385023">
        <w:rPr>
          <w:rFonts w:cs="Arial" w:hint="cs"/>
          <w:color w:val="000000" w:themeColor="text1"/>
          <w:sz w:val="16"/>
          <w:szCs w:val="16"/>
          <w:rtl/>
        </w:rPr>
        <w:t>לדעת השו"ע מותר</w:t>
      </w:r>
      <w:r>
        <w:rPr>
          <w:rFonts w:cs="Arial" w:hint="cs"/>
          <w:color w:val="000000" w:themeColor="text1"/>
          <w:sz w:val="16"/>
          <w:szCs w:val="16"/>
          <w:rtl/>
        </w:rPr>
        <w:t xml:space="preserve"> כנ"ל</w:t>
      </w:r>
      <w:r w:rsidRPr="00385023">
        <w:rPr>
          <w:rFonts w:cs="Arial" w:hint="cs"/>
          <w:color w:val="000000" w:themeColor="text1"/>
          <w:sz w:val="16"/>
          <w:szCs w:val="16"/>
          <w:rtl/>
        </w:rPr>
        <w:t>}</w:t>
      </w:r>
      <w:r>
        <w:rPr>
          <w:rFonts w:cs="Arial" w:hint="cs"/>
          <w:rtl/>
        </w:rPr>
        <w:t xml:space="preserve"> </w:t>
      </w:r>
      <w:r w:rsidRPr="00140792">
        <w:rPr>
          <w:rFonts w:cs="Arial"/>
          <w:rtl/>
        </w:rPr>
        <w:t>אא"כ יוציאם מפתח ביתו קודם השבת</w:t>
      </w:r>
      <w:r>
        <w:rPr>
          <w:rFonts w:cs="Arial" w:hint="cs"/>
          <w:rtl/>
        </w:rPr>
        <w:t>,</w:t>
      </w:r>
      <w:r w:rsidRPr="00140792">
        <w:rPr>
          <w:rFonts w:cs="Arial"/>
          <w:rtl/>
        </w:rPr>
        <w:t xml:space="preserve"> שלא יאמרו בשליחותו של ישראל עושה מלאכה בשבת</w:t>
      </w:r>
      <w:r>
        <w:rPr>
          <w:rFonts w:hint="cs"/>
          <w:rtl/>
        </w:rPr>
        <w:t>, משנ"ב (סק"ט).</w:t>
      </w:r>
    </w:p>
  </w:footnote>
  <w:footnote w:id="116">
    <w:p w14:paraId="4E29D3AD" w14:textId="77777777" w:rsidR="004B2E7C" w:rsidRDefault="004B2E7C" w:rsidP="00285819">
      <w:pPr>
        <w:pStyle w:val="a7"/>
        <w:rPr>
          <w:rtl/>
        </w:rPr>
      </w:pPr>
      <w:r>
        <w:rPr>
          <w:rStyle w:val="a9"/>
        </w:rPr>
        <w:footnoteRef/>
      </w:r>
      <w:r>
        <w:rPr>
          <w:rtl/>
        </w:rPr>
        <w:t xml:space="preserve"> </w:t>
      </w:r>
      <w:r w:rsidRPr="00800B8D">
        <w:rPr>
          <w:rFonts w:cs="Arial"/>
          <w:rtl/>
        </w:rPr>
        <w:t>שהשכר בתוכו, ואי אפשר לשופכו לארץ והשעורין נשורין כל השבת יותר משמונה ימים, והשבת בכלל, וכן נר הדולק בשבת, וכן קדרה שעל גבי כירה שאי אפשר שלא תצטמק בשבת, וכן שפוד המונח בתנור, כדתנן (שבת יט</w:t>
      </w:r>
      <w:r>
        <w:rPr>
          <w:rFonts w:cs="Arial" w:hint="cs"/>
          <w:rtl/>
        </w:rPr>
        <w:t>:</w:t>
      </w:r>
      <w:r w:rsidRPr="00800B8D">
        <w:rPr>
          <w:rFonts w:cs="Arial"/>
          <w:rtl/>
        </w:rPr>
        <w:t>) משלשלין את הפסח ולא פליגי בית שמאי</w:t>
      </w:r>
      <w:r>
        <w:rPr>
          <w:rFonts w:hint="cs"/>
          <w:rtl/>
        </w:rPr>
        <w:t>, רש"י.</w:t>
      </w:r>
    </w:p>
  </w:footnote>
  <w:footnote w:id="117">
    <w:p w14:paraId="35AA6B97" w14:textId="77777777" w:rsidR="004B2E7C" w:rsidRDefault="004B2E7C" w:rsidP="00285819">
      <w:pPr>
        <w:pStyle w:val="a7"/>
        <w:rPr>
          <w:rtl/>
        </w:rPr>
      </w:pPr>
      <w:r>
        <w:rPr>
          <w:rStyle w:val="a9"/>
        </w:rPr>
        <w:footnoteRef/>
      </w:r>
      <w:r>
        <w:rPr>
          <w:rtl/>
        </w:rPr>
        <w:t xml:space="preserve"> </w:t>
      </w:r>
      <w:r w:rsidRPr="00800B8D">
        <w:rPr>
          <w:rFonts w:cs="Arial"/>
          <w:rtl/>
        </w:rPr>
        <w:t>לכלים, ושוב אינו מצווה על שביתתן</w:t>
      </w:r>
      <w:r>
        <w:rPr>
          <w:rFonts w:hint="cs"/>
          <w:rtl/>
        </w:rPr>
        <w:t>, רש"י.</w:t>
      </w:r>
    </w:p>
  </w:footnote>
  <w:footnote w:id="118">
    <w:p w14:paraId="65EE4E3A" w14:textId="77777777" w:rsidR="004B2E7C" w:rsidRDefault="004B2E7C" w:rsidP="00285819">
      <w:pPr>
        <w:pStyle w:val="a7"/>
      </w:pPr>
      <w:r>
        <w:rPr>
          <w:rStyle w:val="a9"/>
        </w:rPr>
        <w:footnoteRef/>
      </w:r>
      <w:r w:rsidRPr="00150F12">
        <w:rPr>
          <w:rFonts w:cs="Arial"/>
          <w:rtl/>
        </w:rPr>
        <w:t xml:space="preserve"> ועיין לקמן סימן ש"ה (בסוף הסימן בד"מ הארוך ובב"י) דאין אדם מצווה על שביתת בהמתו בי</w:t>
      </w:r>
      <w:r>
        <w:rPr>
          <w:rFonts w:cs="Arial" w:hint="cs"/>
          <w:rtl/>
        </w:rPr>
        <w:t>ו</w:t>
      </w:r>
      <w:r w:rsidRPr="00150F12">
        <w:rPr>
          <w:rFonts w:cs="Arial"/>
          <w:rtl/>
        </w:rPr>
        <w:t>"ט</w:t>
      </w:r>
      <w:r>
        <w:rPr>
          <w:rFonts w:cs="Arial" w:hint="cs"/>
          <w:rtl/>
        </w:rPr>
        <w:t>, דרכ"מ (אות ב).</w:t>
      </w:r>
      <w:r w:rsidRPr="00E83810">
        <w:rPr>
          <w:rFonts w:cs="Arial" w:hint="cs"/>
          <w:color w:val="00B0F0"/>
          <w:rtl/>
        </w:rPr>
        <w:t xml:space="preserve"> (וכ"פ </w:t>
      </w:r>
      <w:r>
        <w:rPr>
          <w:rFonts w:cs="Arial" w:hint="cs"/>
          <w:color w:val="00B0F0"/>
          <w:rtl/>
        </w:rPr>
        <w:t>בהג"ה</w:t>
      </w:r>
      <w:r w:rsidRPr="00E83810">
        <w:rPr>
          <w:rFonts w:cs="Arial" w:hint="cs"/>
          <w:color w:val="00B0F0"/>
          <w:rtl/>
        </w:rPr>
        <w:t>)</w:t>
      </w:r>
    </w:p>
  </w:footnote>
  <w:footnote w:id="119">
    <w:p w14:paraId="023C0720" w14:textId="77777777" w:rsidR="004B2E7C" w:rsidRDefault="004B2E7C" w:rsidP="00285819">
      <w:pPr>
        <w:pStyle w:val="a7"/>
        <w:rPr>
          <w:rtl/>
        </w:rPr>
      </w:pPr>
      <w:r>
        <w:rPr>
          <w:rStyle w:val="a9"/>
        </w:rPr>
        <w:footnoteRef/>
      </w:r>
      <w:r>
        <w:rPr>
          <w:rtl/>
        </w:rPr>
        <w:t xml:space="preserve"> </w:t>
      </w:r>
      <w:r>
        <w:rPr>
          <w:rFonts w:hint="cs"/>
          <w:rtl/>
        </w:rPr>
        <w:t>וכתב הב"י ד</w:t>
      </w:r>
      <w:r>
        <w:rPr>
          <w:rFonts w:cs="Arial"/>
          <w:rtl/>
        </w:rPr>
        <w:t xml:space="preserve">אין לו </w:t>
      </w:r>
      <w:r>
        <w:rPr>
          <w:rFonts w:cs="Arial" w:hint="cs"/>
          <w:sz w:val="16"/>
          <w:szCs w:val="16"/>
          <w:rtl/>
        </w:rPr>
        <w:t xml:space="preserve">{לרוקח} </w:t>
      </w:r>
      <w:r>
        <w:rPr>
          <w:rFonts w:cs="Arial"/>
          <w:rtl/>
        </w:rPr>
        <w:t>על מה שיסמוך</w:t>
      </w:r>
      <w:r>
        <w:rPr>
          <w:rFonts w:cs="Arial" w:hint="cs"/>
          <w:rtl/>
        </w:rPr>
        <w:t>.</w:t>
      </w:r>
    </w:p>
  </w:footnote>
  <w:footnote w:id="120">
    <w:p w14:paraId="53EA1A5C" w14:textId="77777777" w:rsidR="004B2E7C" w:rsidRDefault="004B2E7C" w:rsidP="00285819">
      <w:pPr>
        <w:pStyle w:val="a7"/>
      </w:pPr>
      <w:r>
        <w:rPr>
          <w:rStyle w:val="a9"/>
        </w:rPr>
        <w:footnoteRef/>
      </w:r>
      <w:r>
        <w:rPr>
          <w:rtl/>
        </w:rPr>
        <w:t xml:space="preserve"> </w:t>
      </w:r>
      <w:r>
        <w:rPr>
          <w:rFonts w:cs="Arial" w:hint="cs"/>
          <w:rtl/>
        </w:rPr>
        <w:t xml:space="preserve">וכתב הב"י וז"ל- </w:t>
      </w:r>
      <w:r w:rsidRPr="006D66DD">
        <w:rPr>
          <w:rFonts w:cs="Arial"/>
          <w:rtl/>
        </w:rPr>
        <w:t>נראה מדבריהם דלא מיירי אלא בהפקר דבינו לבין עצמו</w:t>
      </w:r>
      <w:r>
        <w:rPr>
          <w:rFonts w:cs="Arial" w:hint="cs"/>
          <w:rtl/>
        </w:rPr>
        <w:t>,</w:t>
      </w:r>
      <w:r w:rsidRPr="006D66DD">
        <w:rPr>
          <w:rFonts w:cs="Arial"/>
          <w:rtl/>
        </w:rPr>
        <w:t xml:space="preserve"> דומיא דהפקר כלים לבית שמאי</w:t>
      </w:r>
      <w:r>
        <w:rPr>
          <w:rFonts w:cs="Arial" w:hint="cs"/>
          <w:rtl/>
        </w:rPr>
        <w:t>,</w:t>
      </w:r>
      <w:r w:rsidRPr="006D66DD">
        <w:rPr>
          <w:rFonts w:cs="Arial"/>
          <w:rtl/>
        </w:rPr>
        <w:t xml:space="preserve"> אבל כל שמפקיר הבהמה בפני שלשה </w:t>
      </w:r>
      <w:r>
        <w:rPr>
          <w:rFonts w:cs="Arial" w:hint="cs"/>
          <w:rtl/>
        </w:rPr>
        <w:t xml:space="preserve">- </w:t>
      </w:r>
      <w:r w:rsidRPr="006D66DD">
        <w:rPr>
          <w:rFonts w:cs="Arial"/>
          <w:rtl/>
        </w:rPr>
        <w:t>אפשר דשרי להשכירה לכתחלה</w:t>
      </w:r>
      <w:r>
        <w:rPr>
          <w:rFonts w:cs="Arial" w:hint="cs"/>
          <w:rtl/>
        </w:rPr>
        <w:t>,</w:t>
      </w:r>
      <w:r w:rsidRPr="006D66DD">
        <w:rPr>
          <w:rFonts w:cs="Arial"/>
          <w:rtl/>
        </w:rPr>
        <w:t xml:space="preserve"> דכל בפני שלשה מיפרסמא מילתא</w:t>
      </w:r>
      <w:r>
        <w:rPr>
          <w:rFonts w:cs="Arial" w:hint="cs"/>
          <w:rtl/>
        </w:rPr>
        <w:t xml:space="preserve"> </w:t>
      </w:r>
      <w:r w:rsidRPr="00834872">
        <w:rPr>
          <w:rFonts w:hint="cs"/>
          <w:color w:val="00B0F0"/>
          <w:rtl/>
        </w:rPr>
        <w:t>(וכ"פ הרמ"א)</w:t>
      </w:r>
      <w:r>
        <w:rPr>
          <w:rFonts w:cs="Arial" w:hint="cs"/>
          <w:rtl/>
        </w:rPr>
        <w:t>.</w:t>
      </w:r>
      <w:r w:rsidRPr="006D66DD">
        <w:rPr>
          <w:rFonts w:cs="Arial"/>
          <w:rtl/>
        </w:rPr>
        <w:t xml:space="preserve"> והכי דייק לשון רבינו שכתב ואפילו אם יפקירנה בינו לבין עצמו אסור וכו'</w:t>
      </w:r>
      <w:r>
        <w:rPr>
          <w:rFonts w:cs="Arial" w:hint="cs"/>
          <w:rtl/>
        </w:rPr>
        <w:t>,</w:t>
      </w:r>
      <w:r w:rsidRPr="006D66DD">
        <w:rPr>
          <w:rFonts w:cs="Arial"/>
          <w:rtl/>
        </w:rPr>
        <w:t xml:space="preserve"> דמשמע דוקא בינו לבין עצמו הוא דאסור משום דלא ידיע מילתא</w:t>
      </w:r>
      <w:r>
        <w:rPr>
          <w:rFonts w:cs="Arial" w:hint="cs"/>
          <w:rtl/>
        </w:rPr>
        <w:t>,</w:t>
      </w:r>
      <w:r w:rsidRPr="006D66DD">
        <w:rPr>
          <w:rFonts w:cs="Arial"/>
          <w:rtl/>
        </w:rPr>
        <w:t xml:space="preserve"> אבל בפני שלשה קלא אית ליה ושרי</w:t>
      </w:r>
      <w:r>
        <w:rPr>
          <w:rFonts w:cs="Arial" w:hint="cs"/>
          <w:rtl/>
        </w:rPr>
        <w:t>.</w:t>
      </w:r>
      <w:r w:rsidRPr="006D66DD">
        <w:rPr>
          <w:rFonts w:cs="Arial"/>
          <w:rtl/>
        </w:rPr>
        <w:t xml:space="preserve"> ואפשר דאפילו בפני אחד נמי שרי</w:t>
      </w:r>
      <w:r>
        <w:rPr>
          <w:rFonts w:cs="Arial" w:hint="cs"/>
          <w:rtl/>
        </w:rPr>
        <w:t>,</w:t>
      </w:r>
      <w:r w:rsidRPr="006D66DD">
        <w:rPr>
          <w:rFonts w:cs="Arial"/>
          <w:rtl/>
        </w:rPr>
        <w:t xml:space="preserve"> דלא אסר אלא בינו לבין עצמו דוקא</w:t>
      </w:r>
      <w:r>
        <w:rPr>
          <w:rFonts w:cs="Arial" w:hint="cs"/>
          <w:rtl/>
        </w:rPr>
        <w:t>.</w:t>
      </w:r>
      <w:r w:rsidRPr="006D66DD">
        <w:rPr>
          <w:rFonts w:cs="Arial"/>
          <w:rtl/>
        </w:rPr>
        <w:t xml:space="preserve"> אבל המרדכי בפ"ק דשבת (שם) והגהות בפ"ו (דפוס קושטא הט"ז) כתבו שאם השאיל בהמתו לגוי דיעבד צריך להפקירה בפני שלשה</w:t>
      </w:r>
      <w:r>
        <w:rPr>
          <w:rFonts w:cs="Arial" w:hint="cs"/>
          <w:rtl/>
        </w:rPr>
        <w:t>.</w:t>
      </w:r>
      <w:r w:rsidRPr="006D66DD">
        <w:rPr>
          <w:rFonts w:cs="Arial"/>
          <w:rtl/>
        </w:rPr>
        <w:t xml:space="preserve"> אלמא דסבירא להו דלכתחלה אפילו מפקיר בפני שלשה אסור</w:t>
      </w:r>
      <w:r>
        <w:rPr>
          <w:rFonts w:cs="Arial" w:hint="cs"/>
          <w:rtl/>
        </w:rPr>
        <w:t>.</w:t>
      </w:r>
      <w:r w:rsidRPr="006D66DD">
        <w:rPr>
          <w:rFonts w:cs="Arial"/>
          <w:rtl/>
        </w:rPr>
        <w:t xml:space="preserve"> ויש לדחות דאין הכי נמי דשרי</w:t>
      </w:r>
      <w:r>
        <w:rPr>
          <w:rFonts w:cs="Arial" w:hint="cs"/>
          <w:rtl/>
        </w:rPr>
        <w:t>,</w:t>
      </w:r>
      <w:r w:rsidRPr="006D66DD">
        <w:rPr>
          <w:rFonts w:cs="Arial"/>
          <w:rtl/>
        </w:rPr>
        <w:t xml:space="preserve"> אלא שדברו בהווה שאין לך אדם שמפקיר לכתחלה בהמתו בפני שלשה כדי להשאילה לגוי לשבת</w:t>
      </w:r>
      <w:r>
        <w:rPr>
          <w:rFonts w:cs="Arial" w:hint="cs"/>
          <w:rtl/>
        </w:rPr>
        <w:t>.</w:t>
      </w:r>
      <w:r w:rsidRPr="00D87336">
        <w:rPr>
          <w:rFonts w:cs="Arial"/>
          <w:rtl/>
        </w:rPr>
        <w:t xml:space="preserve"> וכתב הרא"ש בס"פ אין בין המודר (נדרים מה. בפי' הרא"ש ד"ה ומה טעם) וקיימא לן כר' יהושע בן לוי (שם)</w:t>
      </w:r>
      <w:r>
        <w:rPr>
          <w:rFonts w:cs="Arial" w:hint="cs"/>
          <w:rtl/>
        </w:rPr>
        <w:t>,</w:t>
      </w:r>
      <w:r w:rsidRPr="00D87336">
        <w:rPr>
          <w:rFonts w:cs="Arial"/>
          <w:rtl/>
        </w:rPr>
        <w:t xml:space="preserve"> הילכך הוי הפקר מן התורה אפילו באחד</w:t>
      </w:r>
      <w:r>
        <w:rPr>
          <w:rFonts w:cs="Arial" w:hint="cs"/>
          <w:rtl/>
        </w:rPr>
        <w:t>.</w:t>
      </w:r>
      <w:r w:rsidRPr="00D87336">
        <w:rPr>
          <w:rFonts w:cs="Arial"/>
          <w:rtl/>
        </w:rPr>
        <w:t xml:space="preserve"> והוא הדין אפילו בינו לבין עצמו</w:t>
      </w:r>
      <w:r>
        <w:rPr>
          <w:rFonts w:cs="Arial" w:hint="cs"/>
          <w:rtl/>
        </w:rPr>
        <w:t>.</w:t>
      </w:r>
      <w:r w:rsidRPr="00D87336">
        <w:rPr>
          <w:rFonts w:cs="Arial"/>
          <w:rtl/>
        </w:rPr>
        <w:t xml:space="preserve"> הילכך בשבת יכול להפקיר בהמתו אם השאילה לגוי ולא החזירה לו קודם השבת אפילו בינו לבין עצמו</w:t>
      </w:r>
      <w:r w:rsidRPr="00834872">
        <w:rPr>
          <w:rFonts w:cs="Arial" w:hint="cs"/>
          <w:color w:val="E36C0A" w:themeColor="accent6" w:themeShade="BF"/>
          <w:rtl/>
        </w:rPr>
        <w:t xml:space="preserve"> </w:t>
      </w:r>
      <w:r w:rsidRPr="00E11C6C">
        <w:rPr>
          <w:rFonts w:cs="Arial" w:hint="cs"/>
          <w:color w:val="E36C0A" w:themeColor="accent6" w:themeShade="BF"/>
          <w:rtl/>
        </w:rPr>
        <w:t>(וכ"פ בשו"ע)</w:t>
      </w:r>
      <w:r>
        <w:rPr>
          <w:rFonts w:cs="Arial" w:hint="cs"/>
          <w:rtl/>
        </w:rPr>
        <w:t>.</w:t>
      </w:r>
      <w:r w:rsidRPr="00D87336">
        <w:rPr>
          <w:rFonts w:cs="Arial"/>
          <w:rtl/>
        </w:rPr>
        <w:t xml:space="preserve"> ובפסקיו שם (ברא"ש סי' יא) כתב כן בשם רבינו שמשון ותמה עליו</w:t>
      </w:r>
      <w:r>
        <w:rPr>
          <w:rFonts w:cs="Arial" w:hint="cs"/>
          <w:rtl/>
        </w:rPr>
        <w:t>,</w:t>
      </w:r>
      <w:r w:rsidRPr="00D87336">
        <w:rPr>
          <w:rFonts w:cs="Arial"/>
          <w:rtl/>
        </w:rPr>
        <w:t xml:space="preserve"> וכתב דנראה לו דנהי דלא בעינן שיפקיר בפני שלשה מן התורה</w:t>
      </w:r>
      <w:r>
        <w:rPr>
          <w:rFonts w:cs="Arial" w:hint="cs"/>
          <w:rtl/>
        </w:rPr>
        <w:t>,</w:t>
      </w:r>
      <w:r w:rsidRPr="00D87336">
        <w:rPr>
          <w:rFonts w:cs="Arial"/>
          <w:rtl/>
        </w:rPr>
        <w:t xml:space="preserve"> בפני אחד מיהא בעינן</w:t>
      </w:r>
      <w:r>
        <w:rPr>
          <w:rFonts w:cs="Arial" w:hint="cs"/>
          <w:rtl/>
        </w:rPr>
        <w:t>.</w:t>
      </w:r>
      <w:r w:rsidRPr="00D87336">
        <w:rPr>
          <w:rFonts w:cs="Arial"/>
          <w:rtl/>
        </w:rPr>
        <w:t xml:space="preserve"> וטוב הוא שיפקירם בפני אשתו או אחד מבני ביתו</w:t>
      </w:r>
      <w:r>
        <w:rPr>
          <w:rFonts w:cs="Arial" w:hint="cs"/>
          <w:rtl/>
        </w:rPr>
        <w:t>.</w:t>
      </w:r>
      <w:r w:rsidRPr="00D87336">
        <w:rPr>
          <w:rFonts w:cs="Arial"/>
          <w:rtl/>
        </w:rPr>
        <w:t xml:space="preserve"> ונראה מדבריו שאין תיקון זה אלא היכא דאי אפשר בענין אחר</w:t>
      </w:r>
      <w:r>
        <w:rPr>
          <w:rFonts w:cs="Arial" w:hint="cs"/>
          <w:rtl/>
        </w:rPr>
        <w:t>,</w:t>
      </w:r>
      <w:r w:rsidRPr="00D87336">
        <w:rPr>
          <w:rFonts w:cs="Arial"/>
          <w:rtl/>
        </w:rPr>
        <w:t xml:space="preserve"> אבל אין לסמוך על זה להשכירה לו לכתחלה ולהפקירה</w:t>
      </w:r>
      <w:r>
        <w:rPr>
          <w:rFonts w:cs="Arial" w:hint="cs"/>
          <w:rtl/>
        </w:rPr>
        <w:t>,</w:t>
      </w:r>
      <w:r w:rsidRPr="00D87336">
        <w:rPr>
          <w:rFonts w:cs="Arial"/>
          <w:rtl/>
        </w:rPr>
        <w:t xml:space="preserve"> וכמו שכתב בפ"ק דשבת</w:t>
      </w:r>
      <w:r>
        <w:rPr>
          <w:rFonts w:cs="Arial" w:hint="cs"/>
          <w:rtl/>
        </w:rPr>
        <w:t>.</w:t>
      </w:r>
      <w:r w:rsidRPr="00D87336">
        <w:rPr>
          <w:rFonts w:cs="Arial"/>
          <w:rtl/>
        </w:rPr>
        <w:t xml:space="preserve"> ומיהו היכא שמפקירה בפני שלשה אין הכרע בדבריו אם יש לסמוך על כך להשכירה לו לכתחלה</w:t>
      </w:r>
      <w:r>
        <w:rPr>
          <w:rFonts w:cs="Arial" w:hint="cs"/>
          <w:rtl/>
        </w:rPr>
        <w:t>.</w:t>
      </w:r>
      <w:r w:rsidRPr="00D87336">
        <w:rPr>
          <w:rFonts w:cs="Arial"/>
          <w:rtl/>
        </w:rPr>
        <w:t xml:space="preserve"> ותמהני על רבינו שלא הזכיר דברי הרא"ש</w:t>
      </w:r>
      <w:r>
        <w:rPr>
          <w:rFonts w:cs="Arial" w:hint="cs"/>
          <w:rtl/>
        </w:rPr>
        <w:t>, ב"י.</w:t>
      </w:r>
      <w:r w:rsidRPr="00234714">
        <w:rPr>
          <w:rFonts w:cs="Arial"/>
          <w:rtl/>
        </w:rPr>
        <w:t xml:space="preserve"> </w:t>
      </w:r>
      <w:r w:rsidRPr="0034300D">
        <w:rPr>
          <w:rFonts w:cs="Arial"/>
          <w:rtl/>
        </w:rPr>
        <w:t>ו</w:t>
      </w:r>
      <w:r>
        <w:rPr>
          <w:rFonts w:hint="cs"/>
          <w:rtl/>
        </w:rPr>
        <w:t>הדרכ"מ (אות ג) כתב ש</w:t>
      </w:r>
      <w:r w:rsidRPr="0034300D">
        <w:rPr>
          <w:rFonts w:cs="Arial"/>
          <w:rtl/>
        </w:rPr>
        <w:t>לפי דברי</w:t>
      </w:r>
      <w:r>
        <w:rPr>
          <w:rFonts w:cs="Arial" w:hint="cs"/>
          <w:rtl/>
        </w:rPr>
        <w:t xml:space="preserve"> ה</w:t>
      </w:r>
      <w:r w:rsidRPr="0034300D">
        <w:rPr>
          <w:rFonts w:cs="Arial"/>
          <w:rtl/>
        </w:rPr>
        <w:t>או</w:t>
      </w:r>
      <w:r>
        <w:rPr>
          <w:rFonts w:cs="Arial" w:hint="cs"/>
          <w:rtl/>
        </w:rPr>
        <w:t>"</w:t>
      </w:r>
      <w:r w:rsidRPr="0034300D">
        <w:rPr>
          <w:rFonts w:cs="Arial"/>
          <w:rtl/>
        </w:rPr>
        <w:t xml:space="preserve">ז </w:t>
      </w:r>
      <w:r w:rsidRPr="003F7122">
        <w:rPr>
          <w:rFonts w:cs="Arial"/>
          <w:sz w:val="16"/>
          <w:szCs w:val="16"/>
          <w:rtl/>
        </w:rPr>
        <w:t>(הל</w:t>
      </w:r>
      <w:r w:rsidRPr="003F7122">
        <w:rPr>
          <w:rFonts w:cs="Arial" w:hint="cs"/>
          <w:sz w:val="16"/>
          <w:szCs w:val="16"/>
          <w:rtl/>
        </w:rPr>
        <w:t>'</w:t>
      </w:r>
      <w:r w:rsidRPr="003F7122">
        <w:rPr>
          <w:rFonts w:cs="Arial"/>
          <w:sz w:val="16"/>
          <w:szCs w:val="16"/>
          <w:rtl/>
        </w:rPr>
        <w:t xml:space="preserve"> ערב שבת סי' ב סוף ס"ה</w:t>
      </w:r>
      <w:r>
        <w:rPr>
          <w:rFonts w:cs="Arial" w:hint="cs"/>
          <w:sz w:val="16"/>
          <w:szCs w:val="16"/>
          <w:rtl/>
        </w:rPr>
        <w:t>, הביאו הדרכ"מ [אות ג]</w:t>
      </w:r>
      <w:r w:rsidRPr="003F7122">
        <w:rPr>
          <w:rFonts w:cs="Arial"/>
          <w:sz w:val="16"/>
          <w:szCs w:val="16"/>
          <w:rtl/>
        </w:rPr>
        <w:t>)</w:t>
      </w:r>
      <w:r w:rsidRPr="0034300D">
        <w:rPr>
          <w:rFonts w:cs="Arial"/>
          <w:rtl/>
        </w:rPr>
        <w:t xml:space="preserve"> אפילו על ידי הפקר בשלשה אין לעשות כן לכתחלה</w:t>
      </w:r>
      <w:r>
        <w:rPr>
          <w:rFonts w:hint="cs"/>
          <w:rtl/>
        </w:rPr>
        <w:t>.</w:t>
      </w:r>
    </w:p>
  </w:footnote>
  <w:footnote w:id="121">
    <w:p w14:paraId="57021D0E" w14:textId="77777777" w:rsidR="004B2E7C" w:rsidRDefault="004B2E7C" w:rsidP="00285819">
      <w:pPr>
        <w:pStyle w:val="a7"/>
        <w:rPr>
          <w:rtl/>
        </w:rPr>
      </w:pPr>
      <w:r>
        <w:rPr>
          <w:rStyle w:val="a9"/>
        </w:rPr>
        <w:footnoteRef/>
      </w:r>
      <w:r>
        <w:rPr>
          <w:rtl/>
        </w:rPr>
        <w:t xml:space="preserve"> </w:t>
      </w:r>
      <w:r w:rsidRPr="006D66DD">
        <w:rPr>
          <w:rFonts w:cs="Arial"/>
          <w:rtl/>
        </w:rPr>
        <w:t>וכתבו המרדכי (סי' רמ)</w:t>
      </w:r>
      <w:r>
        <w:rPr>
          <w:rFonts w:cs="Arial" w:hint="cs"/>
          <w:rtl/>
        </w:rPr>
        <w:t>.</w:t>
      </w:r>
      <w:r w:rsidRPr="006D66DD">
        <w:rPr>
          <w:rFonts w:cs="Arial"/>
          <w:rtl/>
        </w:rPr>
        <w:t xml:space="preserve"> וגם ר</w:t>
      </w:r>
      <w:r>
        <w:rPr>
          <w:rFonts w:cs="Arial" w:hint="cs"/>
          <w:rtl/>
        </w:rPr>
        <w:t>י"ו</w:t>
      </w:r>
      <w:r w:rsidRPr="006D66DD">
        <w:rPr>
          <w:rFonts w:cs="Arial"/>
          <w:rtl/>
        </w:rPr>
        <w:t xml:space="preserve"> הביאו בחי"ב (ני"ב פב ע"ג)</w:t>
      </w:r>
      <w:r>
        <w:rPr>
          <w:rFonts w:cs="Arial" w:hint="cs"/>
          <w:rtl/>
        </w:rPr>
        <w:t>,</w:t>
      </w:r>
      <w:r w:rsidRPr="006D66DD">
        <w:rPr>
          <w:rFonts w:cs="Arial"/>
          <w:rtl/>
        </w:rPr>
        <w:t xml:space="preserve"> וכתב שכן הסכימו רוב חכמי ישראל</w:t>
      </w:r>
      <w:r>
        <w:rPr>
          <w:rFonts w:cs="Arial" w:hint="cs"/>
          <w:rtl/>
        </w:rPr>
        <w:t>.</w:t>
      </w:r>
      <w:r w:rsidRPr="006D66DD">
        <w:rPr>
          <w:rFonts w:cs="Arial"/>
          <w:rtl/>
        </w:rPr>
        <w:t xml:space="preserve"> וכן כתוב בסמ"ג (שם)</w:t>
      </w:r>
      <w:r>
        <w:rPr>
          <w:rFonts w:hint="cs"/>
          <w:rtl/>
        </w:rPr>
        <w:t>, ב"י.</w:t>
      </w:r>
    </w:p>
  </w:footnote>
  <w:footnote w:id="122">
    <w:p w14:paraId="07218692" w14:textId="77777777" w:rsidR="004B2E7C" w:rsidRDefault="004B2E7C" w:rsidP="00285819">
      <w:pPr>
        <w:pStyle w:val="a7"/>
      </w:pPr>
      <w:r>
        <w:rPr>
          <w:rStyle w:val="a9"/>
        </w:rPr>
        <w:footnoteRef/>
      </w:r>
      <w:r>
        <w:rPr>
          <w:rtl/>
        </w:rPr>
        <w:t xml:space="preserve"> </w:t>
      </w:r>
      <w:r>
        <w:rPr>
          <w:rFonts w:cs="Arial" w:hint="cs"/>
          <w:rtl/>
        </w:rPr>
        <w:t xml:space="preserve">הטור הביא את דברי הסמ"ק, אך כתב קצת אחרת את דבריו, וז"ל- </w:t>
      </w:r>
      <w:r w:rsidRPr="00FD5C71">
        <w:rPr>
          <w:rFonts w:cs="Arial"/>
          <w:rtl/>
        </w:rPr>
        <w:t>ובספר המצות התיר להשכירה בהבלעה ע"י הפקר שצריך להפקירה להפקיע איסור שביתת בהמה</w:t>
      </w:r>
      <w:r>
        <w:rPr>
          <w:rFonts w:hint="cs"/>
          <w:rtl/>
        </w:rPr>
        <w:t>. עכ"ל. ותיקן הב"י את דבר וכתב שבסמ"ק כתוב שיש מתירים ע"י כך.</w:t>
      </w:r>
    </w:p>
  </w:footnote>
  <w:footnote w:id="123">
    <w:p w14:paraId="2C343268" w14:textId="77777777" w:rsidR="004B2E7C" w:rsidRDefault="004B2E7C" w:rsidP="00285819">
      <w:pPr>
        <w:pStyle w:val="a7"/>
        <w:rPr>
          <w:rtl/>
        </w:rPr>
      </w:pPr>
      <w:r>
        <w:rPr>
          <w:rStyle w:val="a9"/>
        </w:rPr>
        <w:footnoteRef/>
      </w:r>
      <w:r>
        <w:rPr>
          <w:rtl/>
        </w:rPr>
        <w:t xml:space="preserve"> </w:t>
      </w:r>
      <w:r>
        <w:rPr>
          <w:rFonts w:cs="Arial"/>
          <w:rtl/>
        </w:rPr>
        <w:t>מה שצריך ע"י הבלעה אינו מטעם שביתת בהמה</w:t>
      </w:r>
      <w:r>
        <w:rPr>
          <w:rFonts w:cs="Arial" w:hint="cs"/>
          <w:rtl/>
        </w:rPr>
        <w:t>,</w:t>
      </w:r>
      <w:r>
        <w:rPr>
          <w:rFonts w:cs="Arial"/>
          <w:rtl/>
        </w:rPr>
        <w:t xml:space="preserve"> אלא כדי שלא יראה כנוטל שכר שבת</w:t>
      </w:r>
      <w:r>
        <w:rPr>
          <w:rFonts w:cs="Arial" w:hint="cs"/>
          <w:rtl/>
        </w:rPr>
        <w:t>.</w:t>
      </w:r>
      <w:r>
        <w:rPr>
          <w:rFonts w:cs="Arial"/>
          <w:rtl/>
        </w:rPr>
        <w:t xml:space="preserve"> והוא הדין שצריך שלא ישכירנה בערב שבת לדברי האוסרים להשכיר כלים בערב שבת</w:t>
      </w:r>
      <w:r>
        <w:rPr>
          <w:rFonts w:cs="Arial" w:hint="cs"/>
          <w:rtl/>
        </w:rPr>
        <w:t xml:space="preserve"> </w:t>
      </w:r>
      <w:r>
        <w:rPr>
          <w:rFonts w:cs="Arial" w:hint="cs"/>
          <w:sz w:val="16"/>
          <w:szCs w:val="16"/>
          <w:rtl/>
        </w:rPr>
        <w:t>{וכמו שכתוב בהדיא בסמ"ק}</w:t>
      </w:r>
      <w:r>
        <w:rPr>
          <w:rFonts w:cs="Arial" w:hint="cs"/>
          <w:rtl/>
        </w:rPr>
        <w:t>, ב"י.</w:t>
      </w:r>
    </w:p>
  </w:footnote>
  <w:footnote w:id="124">
    <w:p w14:paraId="697E8F6E" w14:textId="77777777" w:rsidR="004B2E7C" w:rsidRDefault="004B2E7C" w:rsidP="00285819">
      <w:pPr>
        <w:pStyle w:val="a7"/>
        <w:rPr>
          <w:rtl/>
        </w:rPr>
      </w:pPr>
      <w:r>
        <w:rPr>
          <w:rStyle w:val="a9"/>
        </w:rPr>
        <w:footnoteRef/>
      </w:r>
      <w:r>
        <w:rPr>
          <w:rtl/>
        </w:rPr>
        <w:t xml:space="preserve"> </w:t>
      </w:r>
      <w:r w:rsidRPr="007E480B">
        <w:rPr>
          <w:rFonts w:cs="Arial"/>
          <w:rtl/>
        </w:rPr>
        <w:t>דאפילו מפקירה בינו לבין עצמו הוי הפקר מדאורייתא</w:t>
      </w:r>
      <w:r w:rsidRPr="007E480B">
        <w:rPr>
          <w:rFonts w:cs="Arial" w:hint="cs"/>
          <w:rtl/>
        </w:rPr>
        <w:t>.</w:t>
      </w:r>
      <w:r w:rsidRPr="007E480B">
        <w:rPr>
          <w:rFonts w:cs="Arial"/>
          <w:rtl/>
        </w:rPr>
        <w:t xml:space="preserve"> ולא הצריכו שלשה אלא מדרבנן כדי שיהיה אחד זוכה ושנים מעידים</w:t>
      </w:r>
      <w:r w:rsidRPr="007E480B">
        <w:rPr>
          <w:rFonts w:cs="Arial" w:hint="cs"/>
          <w:rtl/>
        </w:rPr>
        <w:t>.</w:t>
      </w:r>
      <w:r w:rsidRPr="007E480B">
        <w:rPr>
          <w:rFonts w:cs="Arial"/>
          <w:rtl/>
        </w:rPr>
        <w:t xml:space="preserve"> וכמו שפסק הרמב"ם בפ"ב מהלכות נדרים (הט"ז) והרא"ש (סי' יא) והר"ן בסוף פרק אין בין המודר (נדרים מה. ד"ה ולענין)</w:t>
      </w:r>
      <w:r>
        <w:rPr>
          <w:rFonts w:hint="cs"/>
          <w:rtl/>
        </w:rPr>
        <w:t>, ב"י.</w:t>
      </w:r>
    </w:p>
  </w:footnote>
  <w:footnote w:id="125">
    <w:p w14:paraId="37514C06" w14:textId="77777777" w:rsidR="004B2E7C" w:rsidRDefault="004B2E7C" w:rsidP="00285819">
      <w:pPr>
        <w:pStyle w:val="a7"/>
      </w:pPr>
      <w:r>
        <w:rPr>
          <w:rStyle w:val="a9"/>
        </w:rPr>
        <w:footnoteRef/>
      </w:r>
      <w:r>
        <w:rPr>
          <w:rtl/>
        </w:rPr>
        <w:t xml:space="preserve"> </w:t>
      </w:r>
      <w:r>
        <w:rPr>
          <w:rFonts w:hint="cs"/>
          <w:rtl/>
        </w:rPr>
        <w:t xml:space="preserve">היינו, ומהני שיפקירנה בינו לבין עצמו. וכ"כ הב"י לפני כן שנראה מלשון הטור בשם הסמ"ק </w:t>
      </w:r>
      <w:r w:rsidRPr="006935C2">
        <w:rPr>
          <w:rFonts w:hint="cs"/>
          <w:sz w:val="16"/>
          <w:szCs w:val="16"/>
          <w:rtl/>
        </w:rPr>
        <w:t xml:space="preserve">(וז"ל- </w:t>
      </w:r>
      <w:r w:rsidRPr="006935C2">
        <w:rPr>
          <w:rFonts w:cs="Arial"/>
          <w:sz w:val="16"/>
          <w:szCs w:val="16"/>
          <w:rtl/>
        </w:rPr>
        <w:t>ונראה מדברי רבינו דאפילו בהפקר דבינו לבין עצמו קא שרי בספר המצות דכיון שהופקע איסור שבת שרי ולא חיישינן בהא לרואים</w:t>
      </w:r>
      <w:r>
        <w:rPr>
          <w:rFonts w:cs="Arial" w:hint="cs"/>
          <w:sz w:val="16"/>
          <w:szCs w:val="16"/>
          <w:rtl/>
        </w:rPr>
        <w:t>)</w:t>
      </w:r>
      <w:r>
        <w:rPr>
          <w:rFonts w:cs="Arial" w:hint="cs"/>
          <w:rtl/>
        </w:rPr>
        <w:t>.</w:t>
      </w:r>
    </w:p>
  </w:footnote>
  <w:footnote w:id="126">
    <w:p w14:paraId="44DE4C95" w14:textId="77777777" w:rsidR="004B2E7C" w:rsidRDefault="004B2E7C" w:rsidP="00285819">
      <w:pPr>
        <w:pStyle w:val="a7"/>
      </w:pPr>
      <w:r>
        <w:rPr>
          <w:rStyle w:val="a9"/>
        </w:rPr>
        <w:footnoteRef/>
      </w:r>
      <w:r>
        <w:rPr>
          <w:rtl/>
        </w:rPr>
        <w:t xml:space="preserve"> </w:t>
      </w:r>
      <w:r w:rsidRPr="003F7122">
        <w:rPr>
          <w:rFonts w:cs="Arial"/>
          <w:rtl/>
        </w:rPr>
        <w:t>ונראה דלדברי האוסרים בהפקר בינו לבין עצמו מפני הרואים בהא נמי אסור</w:t>
      </w:r>
      <w:r>
        <w:rPr>
          <w:rFonts w:cs="Arial" w:hint="cs"/>
          <w:rtl/>
        </w:rPr>
        <w:t>, ב"י.</w:t>
      </w:r>
    </w:p>
  </w:footnote>
  <w:footnote w:id="127">
    <w:p w14:paraId="1F2CD822" w14:textId="77777777" w:rsidR="004B2E7C" w:rsidRDefault="004B2E7C" w:rsidP="00285819">
      <w:pPr>
        <w:pStyle w:val="a7"/>
      </w:pPr>
      <w:r>
        <w:rPr>
          <w:rStyle w:val="a9"/>
        </w:rPr>
        <w:footnoteRef/>
      </w:r>
      <w:r>
        <w:rPr>
          <w:rtl/>
        </w:rPr>
        <w:t xml:space="preserve"> </w:t>
      </w:r>
      <w:r w:rsidRPr="0034300D">
        <w:rPr>
          <w:rFonts w:cs="Arial"/>
          <w:rtl/>
        </w:rPr>
        <w:t>(ד) וכן משמע מתשובת הריב"ש דלעיל (ב"י ד"ה וז"ל הריב"ש, ד"מ הארוך אות ב ד"ה ואפילו) דמתיר בכהאי גוונא בשאלה:</w:t>
      </w:r>
    </w:p>
  </w:footnote>
  <w:footnote w:id="128">
    <w:p w14:paraId="166C4853" w14:textId="77777777" w:rsidR="004B2E7C" w:rsidRDefault="004B2E7C" w:rsidP="00285819">
      <w:pPr>
        <w:pStyle w:val="a7"/>
      </w:pPr>
      <w:r>
        <w:rPr>
          <w:rStyle w:val="a9"/>
        </w:rPr>
        <w:footnoteRef/>
      </w:r>
      <w:r>
        <w:rPr>
          <w:rtl/>
        </w:rPr>
        <w:t xml:space="preserve"> </w:t>
      </w:r>
      <w:r>
        <w:rPr>
          <w:rFonts w:hint="cs"/>
          <w:rtl/>
        </w:rPr>
        <w:t xml:space="preserve">וז"ל- </w:t>
      </w:r>
      <w:r w:rsidRPr="00E83810">
        <w:rPr>
          <w:rFonts w:cs="Arial"/>
          <w:rtl/>
        </w:rPr>
        <w:t>וכבר בארנו בעניין אסור והיתר (ל"ת קל</w:t>
      </w:r>
      <w:r>
        <w:rPr>
          <w:rFonts w:cs="Arial" w:hint="cs"/>
          <w:rtl/>
        </w:rPr>
        <w:t>ח</w:t>
      </w:r>
      <w:r w:rsidRPr="00E83810">
        <w:rPr>
          <w:rFonts w:cs="Arial"/>
          <w:rtl/>
        </w:rPr>
        <w:t>) שאין לסמוך על דבריו של גוי כלל לא לאיסור ולא להיתר</w:t>
      </w:r>
      <w:r>
        <w:rPr>
          <w:rFonts w:cs="Arial" w:hint="cs"/>
          <w:rtl/>
        </w:rPr>
        <w:t>.</w:t>
      </w:r>
    </w:p>
  </w:footnote>
  <w:footnote w:id="129">
    <w:p w14:paraId="531F65ED" w14:textId="77777777" w:rsidR="004B2E7C" w:rsidRDefault="004B2E7C" w:rsidP="00285819">
      <w:pPr>
        <w:pStyle w:val="a7"/>
      </w:pPr>
      <w:r>
        <w:rPr>
          <w:rStyle w:val="a9"/>
        </w:rPr>
        <w:footnoteRef/>
      </w:r>
      <w:r>
        <w:rPr>
          <w:rtl/>
        </w:rPr>
        <w:t xml:space="preserve"> </w:t>
      </w:r>
      <w:r w:rsidRPr="006A3F13">
        <w:rPr>
          <w:rFonts w:cs="Arial"/>
          <w:rtl/>
        </w:rPr>
        <w:t>צ"ל שמא יעשה בה [הגר"א וכן מוכח מהש"ע גופא]</w:t>
      </w:r>
      <w:r>
        <w:rPr>
          <w:rFonts w:hint="cs"/>
          <w:rtl/>
        </w:rPr>
        <w:t>, משנ"ב (סקי"א).</w:t>
      </w:r>
    </w:p>
  </w:footnote>
  <w:footnote w:id="130">
    <w:p w14:paraId="769623C4" w14:textId="77777777" w:rsidR="004B2E7C" w:rsidRDefault="004B2E7C" w:rsidP="00285819">
      <w:pPr>
        <w:pStyle w:val="a7"/>
      </w:pPr>
      <w:r>
        <w:rPr>
          <w:rStyle w:val="a9"/>
        </w:rPr>
        <w:footnoteRef/>
      </w:r>
      <w:r>
        <w:rPr>
          <w:rtl/>
        </w:rPr>
        <w:t xml:space="preserve"> </w:t>
      </w:r>
      <w:r w:rsidRPr="006066E5">
        <w:rPr>
          <w:rFonts w:cs="Arial"/>
          <w:rtl/>
        </w:rPr>
        <w:t>דכתיב למען ינוח שורך וחמורך וגו'</w:t>
      </w:r>
      <w:r>
        <w:rPr>
          <w:rFonts w:cs="Arial" w:hint="cs"/>
          <w:rtl/>
        </w:rPr>
        <w:t>.</w:t>
      </w:r>
      <w:r w:rsidRPr="006066E5">
        <w:rPr>
          <w:rFonts w:cs="Arial"/>
          <w:rtl/>
        </w:rPr>
        <w:t xml:space="preserve"> וא</w:t>
      </w:r>
      <w:r>
        <w:rPr>
          <w:rFonts w:cs="Arial" w:hint="cs"/>
          <w:rtl/>
        </w:rPr>
        <w:t>ע"ג</w:t>
      </w:r>
      <w:r w:rsidRPr="006066E5">
        <w:rPr>
          <w:rFonts w:cs="Arial"/>
          <w:rtl/>
        </w:rPr>
        <w:t xml:space="preserve"> דהשכיר הבהמה ל</w:t>
      </w:r>
      <w:r>
        <w:rPr>
          <w:rFonts w:cs="Arial" w:hint="cs"/>
          <w:rtl/>
        </w:rPr>
        <w:t>גו</w:t>
      </w:r>
      <w:r w:rsidRPr="006066E5">
        <w:rPr>
          <w:rFonts w:cs="Arial"/>
          <w:rtl/>
        </w:rPr>
        <w:t>י</w:t>
      </w:r>
      <w:r>
        <w:rPr>
          <w:rFonts w:cs="Arial" w:hint="cs"/>
          <w:rtl/>
        </w:rPr>
        <w:t>,</w:t>
      </w:r>
      <w:r w:rsidRPr="006066E5">
        <w:rPr>
          <w:rFonts w:cs="Arial"/>
          <w:rtl/>
        </w:rPr>
        <w:t xml:space="preserve"> הא קי"ל דשכירות לא קניא והו"ל בהמתו של ישראל ומצווה על שביתתה</w:t>
      </w:r>
      <w:r>
        <w:rPr>
          <w:rFonts w:cs="Arial" w:hint="cs"/>
          <w:rtl/>
        </w:rPr>
        <w:t>.</w:t>
      </w:r>
      <w:r w:rsidRPr="006066E5">
        <w:rPr>
          <w:rFonts w:cs="Arial"/>
          <w:rtl/>
        </w:rPr>
        <w:t xml:space="preserve"> וי"א דלחומרא אמרינן דשכירות קניא</w:t>
      </w:r>
      <w:r>
        <w:rPr>
          <w:rFonts w:cs="Arial" w:hint="cs"/>
          <w:rtl/>
        </w:rPr>
        <w:t>,</w:t>
      </w:r>
      <w:r w:rsidRPr="006066E5">
        <w:rPr>
          <w:rFonts w:cs="Arial"/>
          <w:rtl/>
        </w:rPr>
        <w:t xml:space="preserve"> וע"כ אם ישראל שכר בהמה מ</w:t>
      </w:r>
      <w:r>
        <w:rPr>
          <w:rFonts w:cs="Arial" w:hint="cs"/>
          <w:rtl/>
        </w:rPr>
        <w:t>גו</w:t>
      </w:r>
      <w:r w:rsidRPr="006066E5">
        <w:rPr>
          <w:rFonts w:cs="Arial"/>
          <w:rtl/>
        </w:rPr>
        <w:t>י</w:t>
      </w:r>
      <w:r>
        <w:rPr>
          <w:rFonts w:cs="Arial" w:hint="cs"/>
          <w:rtl/>
        </w:rPr>
        <w:t xml:space="preserve"> -</w:t>
      </w:r>
      <w:r w:rsidRPr="006066E5">
        <w:rPr>
          <w:rFonts w:cs="Arial"/>
          <w:rtl/>
        </w:rPr>
        <w:t xml:space="preserve"> מצווה על שביתתה</w:t>
      </w:r>
      <w:r>
        <w:rPr>
          <w:rFonts w:cs="Arial" w:hint="cs"/>
          <w:rtl/>
        </w:rPr>
        <w:t>.</w:t>
      </w:r>
      <w:r w:rsidRPr="006066E5">
        <w:rPr>
          <w:rFonts w:cs="Arial"/>
          <w:rtl/>
        </w:rPr>
        <w:t xml:space="preserve"> ונכון להחמיר כיון דהוא איסור דאורייתא</w:t>
      </w:r>
      <w:r>
        <w:rPr>
          <w:rFonts w:cs="Arial" w:hint="cs"/>
          <w:rtl/>
        </w:rPr>
        <w:t>.</w:t>
      </w:r>
      <w:r w:rsidRPr="006066E5">
        <w:rPr>
          <w:rFonts w:cs="Arial"/>
          <w:rtl/>
        </w:rPr>
        <w:t xml:space="preserve"> ואם שכרה מ</w:t>
      </w:r>
      <w:r>
        <w:rPr>
          <w:rFonts w:cs="Arial" w:hint="cs"/>
          <w:rtl/>
        </w:rPr>
        <w:t>גו</w:t>
      </w:r>
      <w:r w:rsidRPr="006066E5">
        <w:rPr>
          <w:rFonts w:cs="Arial"/>
          <w:rtl/>
        </w:rPr>
        <w:t>י וחזר והשכירה ל</w:t>
      </w:r>
      <w:r>
        <w:rPr>
          <w:rFonts w:cs="Arial" w:hint="cs"/>
          <w:rtl/>
        </w:rPr>
        <w:t>גו</w:t>
      </w:r>
      <w:r w:rsidRPr="006066E5">
        <w:rPr>
          <w:rFonts w:cs="Arial"/>
          <w:rtl/>
        </w:rPr>
        <w:t>י</w:t>
      </w:r>
      <w:r>
        <w:rPr>
          <w:rFonts w:cs="Arial" w:hint="cs"/>
          <w:rtl/>
        </w:rPr>
        <w:t xml:space="preserve"> -</w:t>
      </w:r>
      <w:r w:rsidRPr="006066E5">
        <w:rPr>
          <w:rFonts w:cs="Arial"/>
          <w:rtl/>
        </w:rPr>
        <w:t xml:space="preserve"> שרי ממה נפשך. ואם קנה בהמה מ</w:t>
      </w:r>
      <w:r>
        <w:rPr>
          <w:rFonts w:cs="Arial" w:hint="cs"/>
          <w:rtl/>
        </w:rPr>
        <w:t>גוי</w:t>
      </w:r>
      <w:r w:rsidRPr="006066E5">
        <w:rPr>
          <w:rFonts w:cs="Arial"/>
          <w:rtl/>
        </w:rPr>
        <w:t xml:space="preserve"> או מכר ל</w:t>
      </w:r>
      <w:r>
        <w:rPr>
          <w:rFonts w:cs="Arial" w:hint="cs"/>
          <w:rtl/>
        </w:rPr>
        <w:t>גו</w:t>
      </w:r>
      <w:r w:rsidRPr="006066E5">
        <w:rPr>
          <w:rFonts w:cs="Arial"/>
          <w:rtl/>
        </w:rPr>
        <w:t>י במשיכה לחוד או בכסף לחוד</w:t>
      </w:r>
      <w:r>
        <w:rPr>
          <w:rFonts w:cs="Arial" w:hint="cs"/>
          <w:rtl/>
        </w:rPr>
        <w:t>,</w:t>
      </w:r>
      <w:r w:rsidRPr="006066E5">
        <w:rPr>
          <w:rFonts w:cs="Arial"/>
          <w:rtl/>
        </w:rPr>
        <w:t xml:space="preserve"> הוי ספיקא דדינא ואזלינן לחומרא לענין שביתת בהמה [תו"ש]</w:t>
      </w:r>
      <w:r>
        <w:rPr>
          <w:rFonts w:cs="Arial" w:hint="cs"/>
          <w:rtl/>
        </w:rPr>
        <w:t>, משנ"ב (סקי"ב).</w:t>
      </w:r>
    </w:p>
  </w:footnote>
  <w:footnote w:id="131">
    <w:p w14:paraId="78E6FAE7" w14:textId="77777777" w:rsidR="004B2E7C" w:rsidRDefault="004B2E7C" w:rsidP="00285819">
      <w:pPr>
        <w:pStyle w:val="a7"/>
        <w:rPr>
          <w:rtl/>
        </w:rPr>
      </w:pPr>
      <w:r>
        <w:rPr>
          <w:rStyle w:val="a9"/>
        </w:rPr>
        <w:footnoteRef/>
      </w:r>
      <w:r>
        <w:rPr>
          <w:rtl/>
        </w:rPr>
        <w:t xml:space="preserve"> </w:t>
      </w:r>
      <w:r w:rsidRPr="006066E5">
        <w:rPr>
          <w:rFonts w:cs="Arial"/>
          <w:rtl/>
        </w:rPr>
        <w:t>ומירתת נמי לא מירתת לעשות בה מלאכה כיון שהוא ברשותו ע"י שאלה או שכירות לא נתפס עליו כגנב עי"ז משא"כ ברישא כשמתנה שיחזירנה לו קודם שבת כבר כלה השאלה והשכירות קודם השבת ועי' לקמן סי' ש"ה סכ"ג [אחרונים]</w:t>
      </w:r>
      <w:r>
        <w:rPr>
          <w:rFonts w:hint="cs"/>
          <w:rtl/>
        </w:rPr>
        <w:t>, משנ"ב (סקי"ג).</w:t>
      </w:r>
    </w:p>
  </w:footnote>
  <w:footnote w:id="132">
    <w:p w14:paraId="503474EA" w14:textId="77777777" w:rsidR="004B2E7C" w:rsidRDefault="004B2E7C" w:rsidP="00285819">
      <w:pPr>
        <w:pStyle w:val="a7"/>
      </w:pPr>
      <w:r>
        <w:rPr>
          <w:rStyle w:val="a9"/>
        </w:rPr>
        <w:footnoteRef/>
      </w:r>
      <w:r>
        <w:rPr>
          <w:rtl/>
        </w:rPr>
        <w:t xml:space="preserve"> </w:t>
      </w:r>
      <w:r w:rsidRPr="00254DA0">
        <w:rPr>
          <w:rFonts w:cs="Arial"/>
          <w:rtl/>
        </w:rPr>
        <w:t>וזהו דוקא בדיעבד שכבר התנה עמו ועיכבה בשבת</w:t>
      </w:r>
      <w:r>
        <w:rPr>
          <w:rFonts w:cs="Arial" w:hint="cs"/>
          <w:rtl/>
        </w:rPr>
        <w:t>,</w:t>
      </w:r>
      <w:r w:rsidRPr="00254DA0">
        <w:rPr>
          <w:rFonts w:cs="Arial"/>
          <w:rtl/>
        </w:rPr>
        <w:t xml:space="preserve"> אבל לכתחלה אסור להשכירה ע"ד שכשיגיע יום השבת שיפקירנה</w:t>
      </w:r>
      <w:r>
        <w:rPr>
          <w:rFonts w:cs="Arial" w:hint="cs"/>
          <w:rtl/>
        </w:rPr>
        <w:t>,</w:t>
      </w:r>
      <w:r w:rsidRPr="00254DA0">
        <w:rPr>
          <w:rFonts w:cs="Arial"/>
          <w:rtl/>
        </w:rPr>
        <w:t xml:space="preserve"> ואפילו אם יפקירנה בפני שלשה</w:t>
      </w:r>
      <w:r>
        <w:rPr>
          <w:rFonts w:cs="Arial" w:hint="cs"/>
          <w:rtl/>
        </w:rPr>
        <w:t>.</w:t>
      </w:r>
      <w:r w:rsidRPr="00254DA0">
        <w:rPr>
          <w:rFonts w:cs="Arial"/>
          <w:rtl/>
        </w:rPr>
        <w:t xml:space="preserve"> שאין הכל יודעים מן ההפקר ואתי לידי חשדא שיאמרו בהמתו של ישראל עושה מלאכה בשבת</w:t>
      </w:r>
      <w:r>
        <w:rPr>
          <w:rFonts w:cs="Arial" w:hint="cs"/>
          <w:rtl/>
        </w:rPr>
        <w:t>.</w:t>
      </w:r>
      <w:r w:rsidRPr="00254DA0">
        <w:rPr>
          <w:rFonts w:cs="Arial"/>
          <w:rtl/>
        </w:rPr>
        <w:t xml:space="preserve"> ואף במכירה אין היתר אלא כשמוכר בהמתו ל</w:t>
      </w:r>
      <w:r>
        <w:rPr>
          <w:rFonts w:cs="Arial" w:hint="cs"/>
          <w:rtl/>
        </w:rPr>
        <w:t>גו</w:t>
      </w:r>
      <w:r w:rsidRPr="00254DA0">
        <w:rPr>
          <w:rFonts w:cs="Arial"/>
          <w:rtl/>
        </w:rPr>
        <w:t>י במכירה גמורה על כל ימי השבוע ולא כשמוכר לו על יום השבת לחוד</w:t>
      </w:r>
      <w:r>
        <w:rPr>
          <w:rFonts w:cs="Arial" w:hint="cs"/>
          <w:rtl/>
        </w:rPr>
        <w:t>,</w:t>
      </w:r>
      <w:r w:rsidRPr="00254DA0">
        <w:rPr>
          <w:rFonts w:cs="Arial"/>
          <w:rtl/>
        </w:rPr>
        <w:t xml:space="preserve"> מפני חשדא</w:t>
      </w:r>
      <w:r>
        <w:rPr>
          <w:rFonts w:cs="Arial" w:hint="cs"/>
          <w:rtl/>
        </w:rPr>
        <w:t>,</w:t>
      </w:r>
      <w:r w:rsidRPr="00254DA0">
        <w:rPr>
          <w:rFonts w:cs="Arial"/>
          <w:rtl/>
        </w:rPr>
        <w:t xml:space="preserve"> וכנ"ל</w:t>
      </w:r>
      <w:r>
        <w:rPr>
          <w:rFonts w:cs="Arial" w:hint="cs"/>
          <w:rtl/>
        </w:rPr>
        <w:t>.</w:t>
      </w:r>
      <w:r w:rsidRPr="00254DA0">
        <w:rPr>
          <w:rFonts w:cs="Arial"/>
          <w:rtl/>
        </w:rPr>
        <w:t xml:space="preserve"> והב"ח מתיר לכתחלה להשכיר ע"ד שיפקירנה בפני ג'</w:t>
      </w:r>
      <w:r>
        <w:rPr>
          <w:rFonts w:cs="Arial" w:hint="cs"/>
          <w:rtl/>
        </w:rPr>
        <w:t>,</w:t>
      </w:r>
      <w:r w:rsidRPr="00254DA0">
        <w:rPr>
          <w:rFonts w:cs="Arial"/>
          <w:rtl/>
        </w:rPr>
        <w:t xml:space="preserve"> דכיון דג' יודעים מיפרסמא מילתא ולא יבא לידי חשדא</w:t>
      </w:r>
      <w:r>
        <w:rPr>
          <w:rFonts w:cs="Arial" w:hint="cs"/>
          <w:rtl/>
        </w:rPr>
        <w:t>.</w:t>
      </w:r>
      <w:r w:rsidRPr="00254DA0">
        <w:rPr>
          <w:rFonts w:cs="Arial"/>
          <w:rtl/>
        </w:rPr>
        <w:t xml:space="preserve"> ובשעת הדחק אפשר שיש לסמוך על דבריו</w:t>
      </w:r>
      <w:r>
        <w:rPr>
          <w:rFonts w:cs="Arial" w:hint="cs"/>
          <w:rtl/>
        </w:rPr>
        <w:t>.</w:t>
      </w:r>
      <w:r w:rsidRPr="00254DA0">
        <w:rPr>
          <w:rFonts w:cs="Arial"/>
          <w:rtl/>
        </w:rPr>
        <w:t xml:space="preserve"> ובסוף הסימן נבאר אי"ה</w:t>
      </w:r>
      <w:r>
        <w:rPr>
          <w:rFonts w:cs="Arial" w:hint="cs"/>
          <w:rtl/>
        </w:rPr>
        <w:t>, משנ"ב (סקי"ד).</w:t>
      </w:r>
    </w:p>
  </w:footnote>
  <w:footnote w:id="133">
    <w:p w14:paraId="07761EBC" w14:textId="77777777" w:rsidR="004B2E7C" w:rsidRDefault="004B2E7C" w:rsidP="00285819">
      <w:pPr>
        <w:pStyle w:val="a7"/>
        <w:rPr>
          <w:rtl/>
        </w:rPr>
      </w:pPr>
      <w:r>
        <w:rPr>
          <w:rStyle w:val="a9"/>
        </w:rPr>
        <w:footnoteRef/>
      </w:r>
      <w:r>
        <w:rPr>
          <w:rtl/>
        </w:rPr>
        <w:t xml:space="preserve"> </w:t>
      </w:r>
      <w:r w:rsidRPr="00254DA0">
        <w:rPr>
          <w:rFonts w:cs="Arial"/>
          <w:rtl/>
        </w:rPr>
        <w:t>שאז אינו מצווה על שביתתה כיון שאינו שלו שכבר הפקירה</w:t>
      </w:r>
      <w:r>
        <w:rPr>
          <w:rFonts w:cs="Arial" w:hint="cs"/>
          <w:rtl/>
        </w:rPr>
        <w:t>.</w:t>
      </w:r>
      <w:r w:rsidRPr="00254DA0">
        <w:rPr>
          <w:rFonts w:cs="Arial"/>
          <w:rtl/>
        </w:rPr>
        <w:t xml:space="preserve"> ואע</w:t>
      </w:r>
      <w:r>
        <w:rPr>
          <w:rFonts w:cs="Arial" w:hint="cs"/>
          <w:rtl/>
        </w:rPr>
        <w:t>"</w:t>
      </w:r>
      <w:r w:rsidRPr="00254DA0">
        <w:rPr>
          <w:rFonts w:cs="Arial"/>
          <w:rtl/>
        </w:rPr>
        <w:t>ג דהפקר בעינן שיהיה בפני שלשה</w:t>
      </w:r>
      <w:r>
        <w:rPr>
          <w:rFonts w:cs="Arial" w:hint="cs"/>
          <w:rtl/>
        </w:rPr>
        <w:t>,</w:t>
      </w:r>
      <w:r w:rsidRPr="00254DA0">
        <w:rPr>
          <w:rFonts w:cs="Arial"/>
          <w:rtl/>
        </w:rPr>
        <w:t xml:space="preserve"> זהו מדרבנן</w:t>
      </w:r>
      <w:r>
        <w:rPr>
          <w:rFonts w:cs="Arial" w:hint="cs"/>
          <w:rtl/>
        </w:rPr>
        <w:t>,</w:t>
      </w:r>
      <w:r w:rsidRPr="00254DA0">
        <w:rPr>
          <w:rFonts w:cs="Arial"/>
          <w:rtl/>
        </w:rPr>
        <w:t xml:space="preserve"> אבל מדאו</w:t>
      </w:r>
      <w:r>
        <w:rPr>
          <w:rFonts w:cs="Arial" w:hint="cs"/>
          <w:rtl/>
        </w:rPr>
        <w:t>'</w:t>
      </w:r>
      <w:r w:rsidRPr="00254DA0">
        <w:rPr>
          <w:rFonts w:cs="Arial"/>
          <w:rtl/>
        </w:rPr>
        <w:t xml:space="preserve"> אפילו בינו לבין עצמו סגי</w:t>
      </w:r>
      <w:r>
        <w:rPr>
          <w:rFonts w:cs="Arial" w:hint="cs"/>
          <w:rtl/>
        </w:rPr>
        <w:t>,</w:t>
      </w:r>
      <w:r w:rsidRPr="00254DA0">
        <w:rPr>
          <w:rFonts w:cs="Arial"/>
          <w:rtl/>
        </w:rPr>
        <w:t xml:space="preserve"> והכא שכבר השכירה והתנה עמו שיחזירנה ועיכבה</w:t>
      </w:r>
      <w:r>
        <w:rPr>
          <w:rFonts w:cs="Arial" w:hint="cs"/>
          <w:rtl/>
        </w:rPr>
        <w:t>,</w:t>
      </w:r>
      <w:r w:rsidRPr="00254DA0">
        <w:rPr>
          <w:rFonts w:cs="Arial"/>
          <w:rtl/>
        </w:rPr>
        <w:t xml:space="preserve"> די בזה כדי להנצל מאיסורא דאורייתא</w:t>
      </w:r>
      <w:r>
        <w:rPr>
          <w:rFonts w:cs="Arial" w:hint="cs"/>
          <w:rtl/>
        </w:rPr>
        <w:t>.</w:t>
      </w:r>
      <w:r w:rsidRPr="00254DA0">
        <w:rPr>
          <w:rFonts w:cs="Arial"/>
          <w:rtl/>
        </w:rPr>
        <w:t xml:space="preserve"> ועיין בב"י שיש פוסקים שסוברין דגם בכאן אף שהוא דיעבד בעינן דוקא תלתא</w:t>
      </w:r>
      <w:r>
        <w:rPr>
          <w:rFonts w:cs="Arial" w:hint="cs"/>
          <w:rtl/>
        </w:rPr>
        <w:t>,</w:t>
      </w:r>
      <w:r w:rsidRPr="00254DA0">
        <w:rPr>
          <w:rFonts w:cs="Arial"/>
          <w:rtl/>
        </w:rPr>
        <w:t xml:space="preserve"> וע"כ טוב ליזהר בזה לכתחלה אם יש באפשרי</w:t>
      </w:r>
      <w:r>
        <w:rPr>
          <w:rFonts w:cs="Arial" w:hint="cs"/>
          <w:rtl/>
        </w:rPr>
        <w:t>.</w:t>
      </w:r>
      <w:r w:rsidRPr="00254DA0">
        <w:rPr>
          <w:rFonts w:cs="Arial"/>
          <w:rtl/>
        </w:rPr>
        <w:t xml:space="preserve"> ועכ"פ יזהר להפקירה בפני אחד</w:t>
      </w:r>
      <w:r>
        <w:rPr>
          <w:rFonts w:cs="Arial" w:hint="cs"/>
          <w:rtl/>
        </w:rPr>
        <w:t>,</w:t>
      </w:r>
      <w:r w:rsidRPr="00254DA0">
        <w:rPr>
          <w:rFonts w:cs="Arial"/>
          <w:rtl/>
        </w:rPr>
        <w:t xml:space="preserve"> דרבים מגדולי הפוסקים סוברים דאף דאורייתא אינה הפקר עד שיפקירה עכ"פ בפני אדם אחד</w:t>
      </w:r>
      <w:r>
        <w:rPr>
          <w:rFonts w:cs="Arial" w:hint="cs"/>
          <w:rtl/>
        </w:rPr>
        <w:t>.</w:t>
      </w:r>
      <w:r w:rsidRPr="00254DA0">
        <w:rPr>
          <w:rFonts w:cs="Arial"/>
          <w:rtl/>
        </w:rPr>
        <w:t xml:space="preserve"> ואפילו בפני אחד מאנשי ביתו די בזה</w:t>
      </w:r>
      <w:r>
        <w:rPr>
          <w:rFonts w:hint="cs"/>
          <w:rtl/>
        </w:rPr>
        <w:t>, משנ"ב (סקט"ו).</w:t>
      </w:r>
    </w:p>
  </w:footnote>
  <w:footnote w:id="134">
    <w:p w14:paraId="5985D116" w14:textId="77777777" w:rsidR="004B2E7C" w:rsidRDefault="004B2E7C" w:rsidP="00285819">
      <w:pPr>
        <w:pStyle w:val="a7"/>
      </w:pPr>
      <w:r>
        <w:rPr>
          <w:rStyle w:val="a9"/>
        </w:rPr>
        <w:footnoteRef/>
      </w:r>
      <w:r>
        <w:rPr>
          <w:rtl/>
        </w:rPr>
        <w:t xml:space="preserve"> </w:t>
      </w:r>
      <w:r w:rsidRPr="0077769A">
        <w:rPr>
          <w:rFonts w:cs="Arial"/>
          <w:rtl/>
        </w:rPr>
        <w:t>עיין במ"א שדעתו דדוקא אם אומר לו בפניו בהמתי קנויה לך</w:t>
      </w:r>
      <w:r>
        <w:rPr>
          <w:rFonts w:cs="Arial" w:hint="cs"/>
          <w:rtl/>
        </w:rPr>
        <w:t>,</w:t>
      </w:r>
      <w:r w:rsidRPr="0077769A">
        <w:rPr>
          <w:rFonts w:cs="Arial"/>
          <w:rtl/>
        </w:rPr>
        <w:t xml:space="preserve"> שאז מתכוין ה</w:t>
      </w:r>
      <w:r>
        <w:rPr>
          <w:rFonts w:cs="Arial" w:hint="cs"/>
          <w:rtl/>
        </w:rPr>
        <w:t>גו</w:t>
      </w:r>
      <w:r w:rsidRPr="0077769A">
        <w:rPr>
          <w:rFonts w:cs="Arial"/>
          <w:rtl/>
        </w:rPr>
        <w:t>י לקנותה</w:t>
      </w:r>
      <w:r>
        <w:rPr>
          <w:rFonts w:cs="Arial" w:hint="cs"/>
          <w:rtl/>
        </w:rPr>
        <w:t>,</w:t>
      </w:r>
      <w:r w:rsidRPr="0077769A">
        <w:rPr>
          <w:rFonts w:cs="Arial"/>
          <w:rtl/>
        </w:rPr>
        <w:t xml:space="preserve"> והיא נקנית לו באמירה זו כיון שהיא ברשותו וקניא ליה חצירו</w:t>
      </w:r>
      <w:r>
        <w:rPr>
          <w:rFonts w:cs="Arial" w:hint="cs"/>
          <w:rtl/>
        </w:rPr>
        <w:t>.</w:t>
      </w:r>
      <w:r w:rsidRPr="0077769A">
        <w:rPr>
          <w:rFonts w:cs="Arial"/>
          <w:rtl/>
        </w:rPr>
        <w:t xml:space="preserve"> אבל אם אומר כן שלא בפניו לא קנאה ה</w:t>
      </w:r>
      <w:r>
        <w:rPr>
          <w:rFonts w:cs="Arial" w:hint="cs"/>
          <w:rtl/>
        </w:rPr>
        <w:t>גו</w:t>
      </w:r>
      <w:r w:rsidRPr="0077769A">
        <w:rPr>
          <w:rFonts w:cs="Arial"/>
          <w:rtl/>
        </w:rPr>
        <w:t>י כלל. ואפילו אם זיכה לו ע"י ישראל אחר</w:t>
      </w:r>
      <w:r>
        <w:rPr>
          <w:rFonts w:cs="Arial" w:hint="cs"/>
          <w:rtl/>
        </w:rPr>
        <w:t>,</w:t>
      </w:r>
      <w:r w:rsidRPr="0077769A">
        <w:rPr>
          <w:rFonts w:cs="Arial"/>
          <w:rtl/>
        </w:rPr>
        <w:t xml:space="preserve"> ג"כ לא מהני כמבואר בח"מ סימן רמ"ג סי"ד</w:t>
      </w:r>
      <w:r>
        <w:rPr>
          <w:rFonts w:cs="Arial" w:hint="cs"/>
          <w:rtl/>
        </w:rPr>
        <w:t>.</w:t>
      </w:r>
      <w:r w:rsidRPr="0077769A">
        <w:rPr>
          <w:rFonts w:cs="Arial"/>
          <w:rtl/>
        </w:rPr>
        <w:t xml:space="preserve"> וכן הסכים הפמ"ג ושארי אחרונים כהמ"א</w:t>
      </w:r>
      <w:r>
        <w:rPr>
          <w:rFonts w:cs="Arial" w:hint="cs"/>
          <w:rtl/>
        </w:rPr>
        <w:t>.</w:t>
      </w:r>
      <w:r w:rsidRPr="0077769A">
        <w:rPr>
          <w:rFonts w:cs="Arial"/>
          <w:rtl/>
        </w:rPr>
        <w:t xml:space="preserve"> ופשוט דאפילו באומר בהמתי קנויה לך בעינן שיהיה לזה ג"כ פסיקת דמים</w:t>
      </w:r>
      <w:r>
        <w:rPr>
          <w:rFonts w:cs="Arial" w:hint="cs"/>
          <w:rtl/>
        </w:rPr>
        <w:t>,</w:t>
      </w:r>
      <w:r w:rsidRPr="0077769A">
        <w:rPr>
          <w:rFonts w:cs="Arial"/>
          <w:rtl/>
        </w:rPr>
        <w:t xml:space="preserve"> דאל"ה אין זה מכירה כלל</w:t>
      </w:r>
      <w:r>
        <w:rPr>
          <w:rFonts w:cs="Arial" w:hint="cs"/>
          <w:rtl/>
        </w:rPr>
        <w:t>,</w:t>
      </w:r>
      <w:r w:rsidRPr="0077769A">
        <w:rPr>
          <w:rFonts w:cs="Arial"/>
          <w:rtl/>
        </w:rPr>
        <w:t xml:space="preserve"> וכ"כ בח"א בכלל נ"ח</w:t>
      </w:r>
      <w:r>
        <w:rPr>
          <w:rFonts w:cs="Arial" w:hint="cs"/>
          <w:rtl/>
        </w:rPr>
        <w:t>, משנ"ב (סקט"ז).</w:t>
      </w:r>
    </w:p>
  </w:footnote>
  <w:footnote w:id="135">
    <w:p w14:paraId="7DB31B12" w14:textId="77777777" w:rsidR="004B2E7C" w:rsidRDefault="004B2E7C" w:rsidP="00285819">
      <w:pPr>
        <w:pStyle w:val="a7"/>
      </w:pPr>
      <w:r>
        <w:rPr>
          <w:rStyle w:val="a9"/>
        </w:rPr>
        <w:footnoteRef/>
      </w:r>
      <w:r>
        <w:rPr>
          <w:rtl/>
        </w:rPr>
        <w:t xml:space="preserve"> </w:t>
      </w:r>
      <w:r w:rsidRPr="00DD7976">
        <w:rPr>
          <w:rFonts w:cs="Arial"/>
          <w:rtl/>
        </w:rPr>
        <w:t>דשביתת בהמתו ילפינן ממה דכתיב למען ינוח שורך וחמורך כמוך</w:t>
      </w:r>
      <w:r>
        <w:rPr>
          <w:rFonts w:cs="Arial" w:hint="cs"/>
          <w:rtl/>
        </w:rPr>
        <w:t>,</w:t>
      </w:r>
      <w:r w:rsidRPr="00DD7976">
        <w:rPr>
          <w:rFonts w:cs="Arial"/>
          <w:rtl/>
        </w:rPr>
        <w:t xml:space="preserve"> והאי קרא בשבת כתיב</w:t>
      </w:r>
      <w:r>
        <w:rPr>
          <w:rFonts w:cs="Arial" w:hint="cs"/>
          <w:rtl/>
        </w:rPr>
        <w:t>.</w:t>
      </w:r>
      <w:r w:rsidRPr="00DD7976">
        <w:rPr>
          <w:rFonts w:cs="Arial"/>
          <w:rtl/>
        </w:rPr>
        <w:t xml:space="preserve"> ואפ"ה לא ישכירם אלא בהבלעה</w:t>
      </w:r>
      <w:r>
        <w:rPr>
          <w:rFonts w:cs="Arial" w:hint="cs"/>
          <w:rtl/>
        </w:rPr>
        <w:t>,</w:t>
      </w:r>
      <w:r w:rsidRPr="00DD7976">
        <w:rPr>
          <w:rFonts w:cs="Arial"/>
          <w:rtl/>
        </w:rPr>
        <w:t xml:space="preserve"> דלא יהיה שכר יום טוב</w:t>
      </w:r>
      <w:r>
        <w:rPr>
          <w:rFonts w:cs="Arial" w:hint="cs"/>
          <w:rtl/>
        </w:rPr>
        <w:t>.</w:t>
      </w:r>
      <w:r w:rsidRPr="00DD7976">
        <w:rPr>
          <w:rFonts w:cs="Arial"/>
          <w:rtl/>
        </w:rPr>
        <w:t xml:space="preserve"> והנה המרש"ל חולק ע"ז ודעתו דיו"ט ושבת שוין הן בזה כמו בכל מלאכות</w:t>
      </w:r>
      <w:r>
        <w:rPr>
          <w:rFonts w:cs="Arial" w:hint="cs"/>
          <w:rtl/>
        </w:rPr>
        <w:t>.</w:t>
      </w:r>
      <w:r w:rsidRPr="00DD7976">
        <w:rPr>
          <w:rFonts w:cs="Arial"/>
          <w:rtl/>
        </w:rPr>
        <w:t xml:space="preserve"> ועין במג"א שהאריך בזה ומביא דהב"י בסימן תצ"ה הביא דעות הראשונים בזה ומצדד שם לאיסור</w:t>
      </w:r>
      <w:r>
        <w:rPr>
          <w:rFonts w:cs="Arial" w:hint="cs"/>
          <w:rtl/>
        </w:rPr>
        <w:t>,</w:t>
      </w:r>
      <w:r w:rsidRPr="00DD7976">
        <w:rPr>
          <w:rFonts w:cs="Arial"/>
          <w:rtl/>
        </w:rPr>
        <w:t xml:space="preserve"> וע"כ יש להחמיר</w:t>
      </w:r>
      <w:r>
        <w:rPr>
          <w:rFonts w:cs="Arial" w:hint="cs"/>
          <w:rtl/>
        </w:rPr>
        <w:t>.</w:t>
      </w:r>
      <w:r w:rsidRPr="00DD7976">
        <w:rPr>
          <w:rFonts w:cs="Arial"/>
          <w:rtl/>
        </w:rPr>
        <w:t xml:space="preserve"> ובביאור הגר"א ג"כ האריך בזה ומסיק דהעיקר כדעת מהרש"ל הנ"ל</w:t>
      </w:r>
      <w:r>
        <w:rPr>
          <w:rFonts w:cs="Arial" w:hint="cs"/>
          <w:rtl/>
        </w:rPr>
        <w:t>.</w:t>
      </w:r>
      <w:r w:rsidRPr="00DD7976">
        <w:rPr>
          <w:rFonts w:cs="Arial"/>
          <w:rtl/>
        </w:rPr>
        <w:t xml:space="preserve"> וגם לקמן בסימן תצ"ה ס"ג מפרש הגר"א מה שכתוב שם בשו"ע דאין מוציאין משא על הבהמה ביום טוב הטעם הוא משום שביתת בהמתו</w:t>
      </w:r>
      <w:r>
        <w:rPr>
          <w:rFonts w:cs="Arial" w:hint="cs"/>
          <w:rtl/>
        </w:rPr>
        <w:t>, משנ"ב (סקי"ט).</w:t>
      </w:r>
    </w:p>
  </w:footnote>
  <w:footnote w:id="136">
    <w:p w14:paraId="5B2278D3" w14:textId="77777777" w:rsidR="004B2E7C" w:rsidRDefault="004B2E7C" w:rsidP="00285819">
      <w:pPr>
        <w:pStyle w:val="a7"/>
      </w:pPr>
      <w:r>
        <w:rPr>
          <w:rStyle w:val="a9"/>
        </w:rPr>
        <w:footnoteRef/>
      </w:r>
      <w:r>
        <w:rPr>
          <w:rtl/>
        </w:rPr>
        <w:t xml:space="preserve"> </w:t>
      </w:r>
      <w:r>
        <w:rPr>
          <w:rFonts w:cs="Arial" w:hint="cs"/>
          <w:rtl/>
        </w:rPr>
        <w:t>וכתב הב"י (סוף סי' רמה) והדרכ"מ (כאן אות ה) שכך היא דעת ה</w:t>
      </w:r>
      <w:r w:rsidRPr="00467E65">
        <w:rPr>
          <w:rFonts w:cs="Arial"/>
          <w:rtl/>
        </w:rPr>
        <w:t xml:space="preserve">ריצב"א </w:t>
      </w:r>
      <w:r>
        <w:rPr>
          <w:rFonts w:cs="Arial" w:hint="cs"/>
          <w:sz w:val="16"/>
          <w:szCs w:val="16"/>
          <w:rtl/>
        </w:rPr>
        <w:t>(בתשו', מובאת לקמן בסע' ה)</w:t>
      </w:r>
      <w:r>
        <w:rPr>
          <w:rFonts w:cs="Arial" w:hint="cs"/>
          <w:rtl/>
        </w:rPr>
        <w:t xml:space="preserve">. </w:t>
      </w:r>
      <w:r w:rsidRPr="00633610">
        <w:rPr>
          <w:rFonts w:hint="cs"/>
          <w:color w:val="E36C0A" w:themeColor="accent6" w:themeShade="BF"/>
          <w:rtl/>
        </w:rPr>
        <w:t>(וכ"פ בשו"ע</w:t>
      </w:r>
      <w:r w:rsidRPr="00633610">
        <w:rPr>
          <w:rFonts w:hint="cs"/>
          <w:color w:val="E36C0A" w:themeColor="accent6" w:themeShade="BF"/>
          <w:sz w:val="16"/>
          <w:szCs w:val="16"/>
          <w:rtl/>
        </w:rPr>
        <w:t xml:space="preserve"> </w:t>
      </w:r>
      <w:r>
        <w:rPr>
          <w:rFonts w:hint="cs"/>
          <w:sz w:val="16"/>
          <w:szCs w:val="16"/>
          <w:rtl/>
        </w:rPr>
        <w:t>[בסע' ה]</w:t>
      </w:r>
      <w:r w:rsidRPr="00633610">
        <w:rPr>
          <w:rFonts w:hint="cs"/>
          <w:color w:val="E36C0A" w:themeColor="accent6" w:themeShade="BF"/>
          <w:rtl/>
        </w:rPr>
        <w:t>)</w:t>
      </w:r>
      <w:r>
        <w:rPr>
          <w:rFonts w:hint="cs"/>
          <w:rtl/>
        </w:rPr>
        <w:t xml:space="preserve"> </w:t>
      </w:r>
      <w:r w:rsidRPr="009836E4">
        <w:rPr>
          <w:rFonts w:hint="cs"/>
          <w:color w:val="00B0F0"/>
          <w:rtl/>
        </w:rPr>
        <w:t>(וכ"פ הרמ"א</w:t>
      </w:r>
      <w:r>
        <w:rPr>
          <w:rFonts w:hint="cs"/>
          <w:sz w:val="16"/>
          <w:szCs w:val="16"/>
          <w:rtl/>
        </w:rPr>
        <w:t xml:space="preserve"> [בסע' ה]</w:t>
      </w:r>
      <w:r w:rsidRPr="009836E4">
        <w:rPr>
          <w:rFonts w:hint="cs"/>
          <w:color w:val="00B0F0"/>
          <w:rtl/>
        </w:rPr>
        <w:t>)</w:t>
      </w:r>
    </w:p>
  </w:footnote>
  <w:footnote w:id="137">
    <w:p w14:paraId="54821716" w14:textId="77777777" w:rsidR="004B2E7C" w:rsidRDefault="004B2E7C" w:rsidP="00285819">
      <w:pPr>
        <w:pStyle w:val="a7"/>
      </w:pPr>
      <w:r>
        <w:rPr>
          <w:rStyle w:val="a9"/>
        </w:rPr>
        <w:footnoteRef/>
      </w:r>
      <w:r>
        <w:rPr>
          <w:rtl/>
        </w:rPr>
        <w:t xml:space="preserve"> </w:t>
      </w:r>
      <w:r>
        <w:rPr>
          <w:rFonts w:hint="cs"/>
          <w:rtl/>
        </w:rPr>
        <w:t xml:space="preserve">וז"ל- </w:t>
      </w:r>
      <w:r w:rsidRPr="00467E65">
        <w:rPr>
          <w:rFonts w:cs="Arial"/>
          <w:rtl/>
        </w:rPr>
        <w:t>שני יהודים שהיו שותפים עם גוי בבהמות לטחון בריחיים</w:t>
      </w:r>
      <w:r>
        <w:rPr>
          <w:rFonts w:cs="Arial" w:hint="cs"/>
          <w:rtl/>
        </w:rPr>
        <w:t>,</w:t>
      </w:r>
      <w:r w:rsidRPr="00467E65">
        <w:rPr>
          <w:rFonts w:cs="Arial"/>
          <w:rtl/>
        </w:rPr>
        <w:t xml:space="preserve"> אם התנו מתחלה בשעה שנשתתפו לומר לגוי טול אתה לעצמך יום השבת ואנחנו יום א' כנגדו </w:t>
      </w:r>
      <w:r>
        <w:rPr>
          <w:rFonts w:cs="Arial" w:hint="cs"/>
          <w:rtl/>
        </w:rPr>
        <w:t xml:space="preserve">- </w:t>
      </w:r>
      <w:r w:rsidRPr="00467E65">
        <w:rPr>
          <w:rFonts w:cs="Arial"/>
          <w:rtl/>
        </w:rPr>
        <w:t>מותר</w:t>
      </w:r>
      <w:r>
        <w:rPr>
          <w:rFonts w:cs="Arial" w:hint="cs"/>
          <w:rtl/>
        </w:rPr>
        <w:t>,</w:t>
      </w:r>
      <w:r w:rsidRPr="00467E65">
        <w:rPr>
          <w:rFonts w:cs="Arial"/>
          <w:rtl/>
        </w:rPr>
        <w:t xml:space="preserve"> שכיון שהתנו מתחלה בשעת קניית הבהמות הרי הוא כאילו הבהמות קנויות לגוי ביום השבת ואין לישראלים חלק בהם</w:t>
      </w:r>
      <w:r>
        <w:rPr>
          <w:rFonts w:cs="Arial" w:hint="cs"/>
          <w:rtl/>
        </w:rPr>
        <w:t>.</w:t>
      </w:r>
      <w:r w:rsidRPr="00467E65">
        <w:rPr>
          <w:rFonts w:cs="Arial"/>
          <w:rtl/>
        </w:rPr>
        <w:t xml:space="preserve"> וביום החול כנגדו הבהמות לישראלים ואין לגוי חלק בהם</w:t>
      </w:r>
      <w:r>
        <w:rPr>
          <w:rFonts w:cs="Arial" w:hint="cs"/>
          <w:rtl/>
        </w:rPr>
        <w:t>.</w:t>
      </w:r>
      <w:r w:rsidRPr="00467E65">
        <w:rPr>
          <w:rFonts w:cs="Arial"/>
          <w:rtl/>
        </w:rPr>
        <w:t xml:space="preserve"> וגם יש טעם להתיר לפי שהגוי לא ימנע מעשות מלאכה בבהמות כיון שיש לו חלק בהם</w:t>
      </w:r>
      <w:r>
        <w:rPr>
          <w:rFonts w:cs="Arial" w:hint="cs"/>
          <w:rtl/>
        </w:rPr>
        <w:t>,</w:t>
      </w:r>
      <w:r w:rsidRPr="00467E65">
        <w:rPr>
          <w:rFonts w:cs="Arial"/>
          <w:rtl/>
        </w:rPr>
        <w:t xml:space="preserve"> ואין הישראל נוטל שכר שבת כיון שכבר התנו מתחלה</w:t>
      </w:r>
      <w:r>
        <w:rPr>
          <w:rFonts w:cs="Arial" w:hint="cs"/>
          <w:rtl/>
        </w:rPr>
        <w:t>.</w:t>
      </w:r>
    </w:p>
  </w:footnote>
  <w:footnote w:id="138">
    <w:p w14:paraId="1DBC7811" w14:textId="77777777" w:rsidR="004B2E7C" w:rsidRDefault="004B2E7C" w:rsidP="00285819">
      <w:pPr>
        <w:pStyle w:val="a7"/>
      </w:pPr>
      <w:r>
        <w:rPr>
          <w:rStyle w:val="a9"/>
        </w:rPr>
        <w:footnoteRef/>
      </w:r>
      <w:r>
        <w:rPr>
          <w:rtl/>
        </w:rPr>
        <w:t xml:space="preserve"> </w:t>
      </w:r>
      <w:r w:rsidRPr="00467E65">
        <w:rPr>
          <w:rFonts w:cs="Arial"/>
          <w:rtl/>
        </w:rPr>
        <w:t>אבל מדברי תשו</w:t>
      </w:r>
      <w:r>
        <w:rPr>
          <w:rFonts w:cs="Arial" w:hint="cs"/>
          <w:rtl/>
        </w:rPr>
        <w:t>'</w:t>
      </w:r>
      <w:r w:rsidRPr="00467E65">
        <w:rPr>
          <w:rFonts w:cs="Arial"/>
          <w:rtl/>
        </w:rPr>
        <w:t xml:space="preserve"> ריצב"א שאכתוב בסמוך נראה דלא מהני ע</w:t>
      </w:r>
      <w:r>
        <w:rPr>
          <w:rFonts w:cs="Arial" w:hint="cs"/>
          <w:rtl/>
        </w:rPr>
        <w:t>"</w:t>
      </w:r>
      <w:r w:rsidRPr="00467E65">
        <w:rPr>
          <w:rFonts w:cs="Arial"/>
          <w:rtl/>
        </w:rPr>
        <w:t>י תנאי שיתנו מתחלה טול אתה שכר שבת ואני אטול כנגדך יום חול משום דסוף סוף חלק הישראל עושה מלאכה בשבת ואסור משום שביתת בהמה וכן כתוב בכל בו</w:t>
      </w:r>
      <w:r w:rsidRPr="004D38ED">
        <w:rPr>
          <w:rFonts w:cs="Arial"/>
          <w:sz w:val="16"/>
          <w:szCs w:val="16"/>
          <w:rtl/>
        </w:rPr>
        <w:t xml:space="preserve"> (סי' לא כט ע"ד) </w:t>
      </w:r>
      <w:r w:rsidRPr="00467E65">
        <w:rPr>
          <w:rFonts w:cs="Arial"/>
          <w:rtl/>
        </w:rPr>
        <w:t>בהדי</w:t>
      </w:r>
      <w:r>
        <w:rPr>
          <w:rFonts w:cs="Arial" w:hint="cs"/>
          <w:rtl/>
        </w:rPr>
        <w:t>א, ב"י (סוף סי' רמה).</w:t>
      </w:r>
    </w:p>
  </w:footnote>
  <w:footnote w:id="139">
    <w:p w14:paraId="6256EC2E" w14:textId="77777777" w:rsidR="004B2E7C" w:rsidRPr="003931EB" w:rsidRDefault="004B2E7C" w:rsidP="00285819">
      <w:pPr>
        <w:pStyle w:val="a7"/>
        <w:rPr>
          <w:rFonts w:cs="Arial"/>
          <w:rtl/>
        </w:rPr>
      </w:pPr>
      <w:r>
        <w:rPr>
          <w:rStyle w:val="a9"/>
        </w:rPr>
        <w:footnoteRef/>
      </w:r>
      <w:r>
        <w:rPr>
          <w:rtl/>
        </w:rPr>
        <w:t xml:space="preserve"> </w:t>
      </w:r>
      <w:r w:rsidRPr="00467E65">
        <w:rPr>
          <w:rFonts w:cs="Arial"/>
          <w:rtl/>
        </w:rPr>
        <w:t>וכתבו</w:t>
      </w:r>
      <w:r>
        <w:rPr>
          <w:rFonts w:cs="Arial" w:hint="cs"/>
          <w:rtl/>
        </w:rPr>
        <w:t>הו</w:t>
      </w:r>
      <w:r w:rsidRPr="00467E65">
        <w:rPr>
          <w:rFonts w:cs="Arial"/>
          <w:rtl/>
        </w:rPr>
        <w:t xml:space="preserve"> </w:t>
      </w:r>
      <w:r w:rsidRPr="005F0561">
        <w:rPr>
          <w:rFonts w:cs="Arial"/>
          <w:sz w:val="16"/>
          <w:szCs w:val="16"/>
          <w:rtl/>
        </w:rPr>
        <w:t>הג</w:t>
      </w:r>
      <w:r w:rsidRPr="005F0561">
        <w:rPr>
          <w:rFonts w:cs="Arial" w:hint="cs"/>
          <w:sz w:val="16"/>
          <w:szCs w:val="16"/>
          <w:rtl/>
        </w:rPr>
        <w:t>ה"מ</w:t>
      </w:r>
      <w:r w:rsidRPr="005F0561">
        <w:rPr>
          <w:rFonts w:cs="Arial"/>
          <w:sz w:val="16"/>
          <w:szCs w:val="16"/>
          <w:rtl/>
        </w:rPr>
        <w:t xml:space="preserve"> </w:t>
      </w:r>
      <w:r w:rsidRPr="005F0561">
        <w:rPr>
          <w:rFonts w:cs="Arial" w:hint="cs"/>
          <w:sz w:val="16"/>
          <w:szCs w:val="16"/>
          <w:rtl/>
        </w:rPr>
        <w:t>(</w:t>
      </w:r>
      <w:r w:rsidRPr="005F0561">
        <w:rPr>
          <w:rFonts w:cs="Arial"/>
          <w:sz w:val="16"/>
          <w:szCs w:val="16"/>
          <w:rtl/>
        </w:rPr>
        <w:t xml:space="preserve">פ"כ אות א) </w:t>
      </w:r>
      <w:r w:rsidRPr="005F0561">
        <w:rPr>
          <w:rFonts w:cs="Arial" w:hint="cs"/>
          <w:sz w:val="16"/>
          <w:szCs w:val="16"/>
          <w:rtl/>
        </w:rPr>
        <w:t>ורי"ו</w:t>
      </w:r>
      <w:r w:rsidRPr="005F0561">
        <w:rPr>
          <w:rFonts w:cs="Arial"/>
          <w:sz w:val="16"/>
          <w:szCs w:val="16"/>
          <w:rtl/>
        </w:rPr>
        <w:t xml:space="preserve"> </w:t>
      </w:r>
      <w:r w:rsidRPr="005F0561">
        <w:rPr>
          <w:rFonts w:cs="Arial" w:hint="cs"/>
          <w:sz w:val="16"/>
          <w:szCs w:val="16"/>
          <w:rtl/>
        </w:rPr>
        <w:t>(</w:t>
      </w:r>
      <w:r w:rsidRPr="005F0561">
        <w:rPr>
          <w:rFonts w:cs="Arial"/>
          <w:sz w:val="16"/>
          <w:szCs w:val="16"/>
          <w:rtl/>
        </w:rPr>
        <w:t xml:space="preserve">חי"ב ני"ב פב ע"ג) </w:t>
      </w:r>
      <w:r w:rsidRPr="005F0561">
        <w:rPr>
          <w:rFonts w:cs="Arial" w:hint="cs"/>
          <w:sz w:val="16"/>
          <w:szCs w:val="16"/>
          <w:rtl/>
        </w:rPr>
        <w:t>והג"א</w:t>
      </w:r>
      <w:r w:rsidRPr="005F0561">
        <w:rPr>
          <w:rFonts w:cs="Arial"/>
          <w:sz w:val="16"/>
          <w:szCs w:val="16"/>
          <w:rtl/>
        </w:rPr>
        <w:t xml:space="preserve"> </w:t>
      </w:r>
      <w:r w:rsidRPr="005F0561">
        <w:rPr>
          <w:rFonts w:cs="Arial" w:hint="cs"/>
          <w:sz w:val="16"/>
          <w:szCs w:val="16"/>
          <w:rtl/>
        </w:rPr>
        <w:t>(</w:t>
      </w:r>
      <w:r w:rsidRPr="005F0561">
        <w:rPr>
          <w:rFonts w:cs="Arial"/>
          <w:sz w:val="16"/>
          <w:szCs w:val="16"/>
          <w:rtl/>
        </w:rPr>
        <w:t>ספ"ק דע</w:t>
      </w:r>
      <w:r w:rsidRPr="005F0561">
        <w:rPr>
          <w:rFonts w:cs="Arial" w:hint="cs"/>
          <w:sz w:val="16"/>
          <w:szCs w:val="16"/>
          <w:rtl/>
        </w:rPr>
        <w:t>"ז</w:t>
      </w:r>
      <w:r w:rsidRPr="005F0561">
        <w:rPr>
          <w:rFonts w:cs="Arial"/>
          <w:sz w:val="16"/>
          <w:szCs w:val="16"/>
          <w:rtl/>
        </w:rPr>
        <w:t xml:space="preserve"> סי' כד</w:t>
      </w:r>
      <w:r w:rsidRPr="005F0561">
        <w:rPr>
          <w:rFonts w:cs="Arial" w:hint="cs"/>
          <w:sz w:val="16"/>
          <w:szCs w:val="16"/>
          <w:rtl/>
        </w:rPr>
        <w:t>)</w:t>
      </w:r>
      <w:r>
        <w:rPr>
          <w:rFonts w:cs="Arial" w:hint="cs"/>
          <w:rtl/>
        </w:rPr>
        <w:t>, ב"י (סוף סי' רמה).</w:t>
      </w:r>
    </w:p>
  </w:footnote>
  <w:footnote w:id="140">
    <w:p w14:paraId="3BAF8FE8" w14:textId="77777777" w:rsidR="004B2E7C" w:rsidRPr="003931EB" w:rsidRDefault="004B2E7C" w:rsidP="00285819">
      <w:pPr>
        <w:pStyle w:val="a7"/>
        <w:rPr>
          <w:rFonts w:cs="Arial"/>
          <w:rtl/>
        </w:rPr>
      </w:pPr>
      <w:r>
        <w:rPr>
          <w:rStyle w:val="a9"/>
        </w:rPr>
        <w:footnoteRef/>
      </w:r>
      <w:r>
        <w:rPr>
          <w:rFonts w:cs="Arial" w:hint="cs"/>
          <w:rtl/>
        </w:rPr>
        <w:t xml:space="preserve"> </w:t>
      </w:r>
      <w:r w:rsidRPr="00467E65">
        <w:rPr>
          <w:rFonts w:cs="Arial"/>
          <w:rtl/>
        </w:rPr>
        <w:t>וכן שמעתי שהורה מורי הרב הגדול כה"ר יעקב בי רב ז"ל</w:t>
      </w:r>
      <w:r>
        <w:rPr>
          <w:rFonts w:cs="Arial" w:hint="cs"/>
          <w:rtl/>
        </w:rPr>
        <w:t>,</w:t>
      </w:r>
      <w:r w:rsidRPr="00467E65">
        <w:rPr>
          <w:rFonts w:cs="Arial"/>
          <w:rtl/>
        </w:rPr>
        <w:t xml:space="preserve"> אלא שהצריך להעלותו בערכאות ולכתוב שם כן</w:t>
      </w:r>
      <w:r>
        <w:rPr>
          <w:rFonts w:cs="Arial" w:hint="cs"/>
          <w:rtl/>
        </w:rPr>
        <w:t xml:space="preserve">. </w:t>
      </w:r>
      <w:r w:rsidRPr="00467E65">
        <w:rPr>
          <w:rFonts w:cs="Arial"/>
          <w:rtl/>
        </w:rPr>
        <w:t>ונראה דלא הצריך כן אלא כדי לזכות לישראל אם יעשה הגוי מלאכה בבהמה בשבת ויארע בה אונס שלא יוכל להכחיש שלא התנו כן</w:t>
      </w:r>
      <w:r>
        <w:rPr>
          <w:rFonts w:cs="Arial" w:hint="cs"/>
          <w:rtl/>
        </w:rPr>
        <w:t>,</w:t>
      </w:r>
      <w:r w:rsidRPr="00467E65">
        <w:rPr>
          <w:rFonts w:cs="Arial"/>
          <w:rtl/>
        </w:rPr>
        <w:t xml:space="preserve"> דאילו לענין האיסור אפילו בינם לבין עצמם מותר</w:t>
      </w:r>
      <w:r>
        <w:rPr>
          <w:rFonts w:cs="Arial" w:hint="cs"/>
          <w:rtl/>
        </w:rPr>
        <w:t>.</w:t>
      </w:r>
      <w:r w:rsidRPr="00467E65">
        <w:rPr>
          <w:rFonts w:cs="Arial"/>
          <w:rtl/>
        </w:rPr>
        <w:t xml:space="preserve"> ואפשר דמשום איסורא נמי הצריך כן</w:t>
      </w:r>
      <w:r>
        <w:rPr>
          <w:rFonts w:cs="Arial" w:hint="cs"/>
          <w:rtl/>
        </w:rPr>
        <w:t>,</w:t>
      </w:r>
      <w:r w:rsidRPr="00467E65">
        <w:rPr>
          <w:rFonts w:cs="Arial"/>
          <w:rtl/>
        </w:rPr>
        <w:t xml:space="preserve"> לחוש לדברי האוסרים להשאיל בהמה לגוי על סמך הפקר דבינו לבין עצמו</w:t>
      </w:r>
      <w:r>
        <w:rPr>
          <w:rFonts w:cs="Arial" w:hint="cs"/>
          <w:rtl/>
        </w:rPr>
        <w:t>,</w:t>
      </w:r>
      <w:r w:rsidRPr="00467E65">
        <w:rPr>
          <w:rFonts w:cs="Arial"/>
          <w:rtl/>
        </w:rPr>
        <w:t xml:space="preserve"> וכמ"ש רבינו בסימן שאחר זה</w:t>
      </w:r>
      <w:r>
        <w:rPr>
          <w:rFonts w:cs="Arial" w:hint="cs"/>
          <w:rtl/>
        </w:rPr>
        <w:t>,</w:t>
      </w:r>
      <w:r w:rsidRPr="00467E65">
        <w:rPr>
          <w:rFonts w:cs="Arial"/>
          <w:rtl/>
        </w:rPr>
        <w:t xml:space="preserve"> ולפיכך הצריך להעלותו בערכאות לפרסם הדבר</w:t>
      </w:r>
      <w:r>
        <w:rPr>
          <w:rFonts w:cs="Arial" w:hint="cs"/>
          <w:rtl/>
        </w:rPr>
        <w:t>, ב"י (בסוף סי' רמה).</w:t>
      </w:r>
      <w:r w:rsidRPr="001751B1">
        <w:rPr>
          <w:rFonts w:cs="Arial" w:hint="cs"/>
          <w:color w:val="E36C0A" w:themeColor="accent6" w:themeShade="BF"/>
          <w:rtl/>
        </w:rPr>
        <w:t xml:space="preserve"> </w:t>
      </w:r>
      <w:r w:rsidRPr="00E11C6C">
        <w:rPr>
          <w:rFonts w:cs="Arial" w:hint="cs"/>
          <w:color w:val="E36C0A" w:themeColor="accent6" w:themeShade="BF"/>
          <w:rtl/>
        </w:rPr>
        <w:t>(וכ"פ בשו"ע)</w:t>
      </w:r>
    </w:p>
  </w:footnote>
  <w:footnote w:id="141">
    <w:p w14:paraId="59308009" w14:textId="77777777" w:rsidR="004B2E7C" w:rsidRDefault="004B2E7C" w:rsidP="00285819">
      <w:pPr>
        <w:pStyle w:val="a7"/>
      </w:pPr>
      <w:r>
        <w:rPr>
          <w:rStyle w:val="a9"/>
        </w:rPr>
        <w:footnoteRef/>
      </w:r>
      <w:r>
        <w:rPr>
          <w:rtl/>
        </w:rPr>
        <w:t xml:space="preserve"> </w:t>
      </w:r>
      <w:r w:rsidRPr="00376D6F">
        <w:rPr>
          <w:rFonts w:cs="Arial"/>
          <w:rtl/>
        </w:rPr>
        <w:t>דנמצא דלא קנויה הבהמה לישראל כלל ביום השבת ואז אח"כ מותרין אפילו לחלוק בשוה ואין בזה משום שכר שבת כמ"ש סימן רמ"ה ס"ב וגם דאז אפילו אם אחריות שניהם בשוה כל ימות השבוע בין בחול ובין בשבת ומותר</w:t>
      </w:r>
      <w:r>
        <w:rPr>
          <w:rFonts w:cs="Arial" w:hint="cs"/>
          <w:rtl/>
        </w:rPr>
        <w:t>, משנ"ב (סקכ"ב).</w:t>
      </w:r>
    </w:p>
  </w:footnote>
  <w:footnote w:id="142">
    <w:p w14:paraId="34ACC16C" w14:textId="77777777" w:rsidR="004B2E7C" w:rsidRDefault="004B2E7C" w:rsidP="00285819">
      <w:pPr>
        <w:pStyle w:val="a7"/>
      </w:pPr>
      <w:r>
        <w:rPr>
          <w:rStyle w:val="a9"/>
        </w:rPr>
        <w:footnoteRef/>
      </w:r>
      <w:r>
        <w:rPr>
          <w:rtl/>
        </w:rPr>
        <w:t xml:space="preserve"> </w:t>
      </w:r>
      <w:r w:rsidRPr="00376D6F">
        <w:rPr>
          <w:rFonts w:cs="Arial"/>
          <w:rtl/>
        </w:rPr>
        <w:t xml:space="preserve">אלא לאחר שנשתתפו אמר לו טול אתה בשבת ואני כנגדו בחול אף אם נאמר שאין איסור בזה מחמת שביתת בהמתו </w:t>
      </w:r>
      <w:r w:rsidRPr="00376D6F">
        <w:rPr>
          <w:rFonts w:cs="Arial" w:hint="cs"/>
          <w:sz w:val="16"/>
          <w:szCs w:val="16"/>
          <w:rtl/>
        </w:rPr>
        <w:t>(</w:t>
      </w:r>
      <w:r w:rsidRPr="00376D6F">
        <w:rPr>
          <w:rFonts w:cs="Arial"/>
          <w:sz w:val="16"/>
          <w:szCs w:val="16"/>
          <w:rtl/>
        </w:rPr>
        <w:t>אף דבמגן אברהם בשם הריב"ש והרלב"ח משמע דסבירא לה כן בפשיטות, מכל מקום המעיין בבית יוסף במה שכתב בשם הריצב"א בסוף סימן רמ"ה יראה דהריצב"א אינו סובר כן וגם הוא מחמיר אפילו אם התנה מתחלה טול אתה וכו' דלא מהני, ואך בזה אין השולחן ערוך סובר כוותיה, אך בלא התנו סבירא לה להשולחן ערוך כוותיה דאסור משום דעובר בזה על שביתת בהמתו, ולהכי השמיט השולחן ערוך דברי הריב"ש [כן כתב בספר מטה יהודה. ובספר מחצית השקל גם כן כתב כן דשולחן ערוך לא סבירא לה כן, והוא מדאמר א</w:t>
      </w:r>
      <w:r>
        <w:rPr>
          <w:rFonts w:cs="Arial" w:hint="cs"/>
          <w:sz w:val="16"/>
          <w:szCs w:val="16"/>
          <w:rtl/>
        </w:rPr>
        <w:t>ע"פ</w:t>
      </w:r>
      <w:r w:rsidRPr="00376D6F">
        <w:rPr>
          <w:rFonts w:cs="Arial"/>
          <w:sz w:val="16"/>
          <w:szCs w:val="16"/>
          <w:rtl/>
        </w:rPr>
        <w:t xml:space="preserve"> שהתנו אחר כך</w:t>
      </w:r>
      <w:r w:rsidRPr="00376D6F">
        <w:rPr>
          <w:rFonts w:cs="Arial" w:hint="cs"/>
          <w:sz w:val="16"/>
          <w:szCs w:val="16"/>
          <w:rtl/>
        </w:rPr>
        <w:t>, שער הציון [אות כז])</w:t>
      </w:r>
      <w:r>
        <w:rPr>
          <w:rFonts w:cs="Arial" w:hint="cs"/>
          <w:sz w:val="16"/>
          <w:szCs w:val="16"/>
          <w:rtl/>
        </w:rPr>
        <w:t xml:space="preserve"> </w:t>
      </w:r>
      <w:r w:rsidRPr="00376D6F">
        <w:rPr>
          <w:rFonts w:cs="Arial"/>
          <w:rtl/>
        </w:rPr>
        <w:t>כיון שיש ל</w:t>
      </w:r>
      <w:r>
        <w:rPr>
          <w:rFonts w:cs="Arial" w:hint="cs"/>
          <w:rtl/>
        </w:rPr>
        <w:t>גו</w:t>
      </w:r>
      <w:r w:rsidRPr="00376D6F">
        <w:rPr>
          <w:rFonts w:cs="Arial"/>
          <w:rtl/>
        </w:rPr>
        <w:t>י חלק בה וע"כ של ישראל עושה מלאכה מ"מ אסור דהא בכל זה הוא נוטל יום אחד כנגד יום השבת והוי שכר שבת שלא בהבלעה</w:t>
      </w:r>
      <w:r>
        <w:rPr>
          <w:rFonts w:cs="Arial" w:hint="cs"/>
          <w:rtl/>
        </w:rPr>
        <w:t>, משנ"ב (סקכ"ג).</w:t>
      </w:r>
      <w:r w:rsidRPr="00376D6F">
        <w:rPr>
          <w:rtl/>
        </w:rPr>
        <w:t xml:space="preserve"> </w:t>
      </w:r>
    </w:p>
  </w:footnote>
  <w:footnote w:id="143">
    <w:p w14:paraId="62851224" w14:textId="77777777" w:rsidR="004B2E7C" w:rsidRDefault="004B2E7C" w:rsidP="00285819">
      <w:pPr>
        <w:pStyle w:val="a7"/>
      </w:pPr>
      <w:r>
        <w:rPr>
          <w:rStyle w:val="a9"/>
        </w:rPr>
        <w:footnoteRef/>
      </w:r>
      <w:r>
        <w:rPr>
          <w:rtl/>
        </w:rPr>
        <w:t xml:space="preserve"> </w:t>
      </w:r>
      <w:r w:rsidRPr="00376D6F">
        <w:rPr>
          <w:rFonts w:cs="Arial"/>
          <w:rtl/>
        </w:rPr>
        <w:t>מלשון זה משמע דכ"ש דאם לא התנה כלל דאסור</w:t>
      </w:r>
      <w:r>
        <w:rPr>
          <w:rFonts w:cs="Arial" w:hint="cs"/>
          <w:rtl/>
        </w:rPr>
        <w:t>.</w:t>
      </w:r>
      <w:r w:rsidRPr="00376D6F">
        <w:rPr>
          <w:rFonts w:cs="Arial"/>
          <w:rtl/>
        </w:rPr>
        <w:t xml:space="preserve"> ובב"י מצדד לומר דאם אף לאחר שנשתתפו לא התנה לומר טול אתה וכו'</w:t>
      </w:r>
      <w:r>
        <w:rPr>
          <w:rFonts w:cs="Arial" w:hint="cs"/>
          <w:rtl/>
        </w:rPr>
        <w:t>,</w:t>
      </w:r>
      <w:r w:rsidRPr="00376D6F">
        <w:rPr>
          <w:rFonts w:cs="Arial"/>
          <w:rtl/>
        </w:rPr>
        <w:t xml:space="preserve"> אלא חולקין סתם השכר כל השבוע בשוה</w:t>
      </w:r>
      <w:r>
        <w:rPr>
          <w:rFonts w:cs="Arial" w:hint="cs"/>
          <w:rtl/>
        </w:rPr>
        <w:t>,</w:t>
      </w:r>
      <w:r w:rsidRPr="00376D6F">
        <w:rPr>
          <w:rFonts w:cs="Arial"/>
          <w:rtl/>
        </w:rPr>
        <w:t xml:space="preserve"> דשרי</w:t>
      </w:r>
      <w:r>
        <w:rPr>
          <w:rFonts w:cs="Arial" w:hint="cs"/>
          <w:rtl/>
        </w:rPr>
        <w:t>.</w:t>
      </w:r>
      <w:r w:rsidRPr="00376D6F">
        <w:rPr>
          <w:rFonts w:cs="Arial"/>
          <w:rtl/>
        </w:rPr>
        <w:t xml:space="preserve"> דהא נוטל שכר שבת בהבלעה</w:t>
      </w:r>
      <w:r>
        <w:rPr>
          <w:rFonts w:cs="Arial" w:hint="cs"/>
          <w:rtl/>
        </w:rPr>
        <w:t>.</w:t>
      </w:r>
      <w:r w:rsidRPr="00376D6F">
        <w:rPr>
          <w:rFonts w:cs="Arial"/>
          <w:rtl/>
        </w:rPr>
        <w:t xml:space="preserve"> ואיסור דשביתת בהמתו ס"ל דאין כאן</w:t>
      </w:r>
      <w:r>
        <w:rPr>
          <w:rFonts w:cs="Arial" w:hint="cs"/>
          <w:rtl/>
        </w:rPr>
        <w:t>,</w:t>
      </w:r>
      <w:r w:rsidRPr="00376D6F">
        <w:rPr>
          <w:rFonts w:cs="Arial"/>
          <w:rtl/>
        </w:rPr>
        <w:t xml:space="preserve"> דהא ה</w:t>
      </w:r>
      <w:r>
        <w:rPr>
          <w:rFonts w:cs="Arial" w:hint="cs"/>
          <w:rtl/>
        </w:rPr>
        <w:t>גו</w:t>
      </w:r>
      <w:r w:rsidRPr="00376D6F">
        <w:rPr>
          <w:rFonts w:cs="Arial"/>
          <w:rtl/>
        </w:rPr>
        <w:t>י עושה בע</w:t>
      </w:r>
      <w:r>
        <w:rPr>
          <w:rFonts w:cs="Arial" w:hint="cs"/>
          <w:rtl/>
        </w:rPr>
        <w:t xml:space="preserve">ל </w:t>
      </w:r>
      <w:r w:rsidRPr="00376D6F">
        <w:rPr>
          <w:rFonts w:cs="Arial"/>
          <w:rtl/>
        </w:rPr>
        <w:t>כ</w:t>
      </w:r>
      <w:r>
        <w:rPr>
          <w:rFonts w:cs="Arial" w:hint="cs"/>
          <w:rtl/>
        </w:rPr>
        <w:t>ורחו</w:t>
      </w:r>
      <w:r w:rsidRPr="00376D6F">
        <w:rPr>
          <w:rFonts w:cs="Arial"/>
          <w:rtl/>
        </w:rPr>
        <w:t xml:space="preserve"> בשבת מחמת חלקו שיש לו</w:t>
      </w:r>
      <w:r>
        <w:rPr>
          <w:rFonts w:cs="Arial" w:hint="cs"/>
          <w:rtl/>
        </w:rPr>
        <w:t>.</w:t>
      </w:r>
      <w:r w:rsidRPr="00376D6F">
        <w:rPr>
          <w:rFonts w:cs="Arial"/>
          <w:rtl/>
        </w:rPr>
        <w:t xml:space="preserve"> [ואך דעשה בזה איסור מתחלה כשנשתתף</w:t>
      </w:r>
      <w:r>
        <w:rPr>
          <w:rFonts w:cs="Arial" w:hint="cs"/>
          <w:rtl/>
        </w:rPr>
        <w:t>,</w:t>
      </w:r>
      <w:r w:rsidRPr="00376D6F">
        <w:rPr>
          <w:rFonts w:cs="Arial"/>
          <w:rtl/>
        </w:rPr>
        <w:t xml:space="preserve"> שהיה לו לחוש שיעשה בהבהמה מלאכה בשבת והו"ל להתנות מתחלה טול אתה וכו' ע"ש בב"י]. אמנם מלשון השו"ע משמע דלא רצה לסמוך ע"ז למעשה. ודע דאפילו לפי דעת הב"י הנ"ל דאין בזה משום שביתת בהמתו </w:t>
      </w:r>
      <w:r>
        <w:rPr>
          <w:rFonts w:cs="Arial" w:hint="cs"/>
          <w:rtl/>
        </w:rPr>
        <w:t xml:space="preserve">- </w:t>
      </w:r>
      <w:r w:rsidRPr="00376D6F">
        <w:rPr>
          <w:rFonts w:cs="Arial"/>
          <w:rtl/>
        </w:rPr>
        <w:t>אין להתיר לחלוק סתם אח"כ אלא במקום הפסד גדול לפי דעת הרמ"א לעיל ברמ"ה ס"א בהג"ה</w:t>
      </w:r>
      <w:r>
        <w:rPr>
          <w:rFonts w:cs="Arial" w:hint="cs"/>
          <w:rtl/>
        </w:rPr>
        <w:t>.</w:t>
      </w:r>
      <w:r w:rsidRPr="00376D6F">
        <w:rPr>
          <w:rFonts w:cs="Arial"/>
          <w:rtl/>
        </w:rPr>
        <w:t xml:space="preserve"> ומשמע במ"א דיש לסמוך ע"ז</w:t>
      </w:r>
      <w:r>
        <w:rPr>
          <w:rFonts w:cs="Arial" w:hint="cs"/>
          <w:rtl/>
        </w:rPr>
        <w:t>, משנ"ב (סקכ"ד).</w:t>
      </w:r>
    </w:p>
  </w:footnote>
  <w:footnote w:id="144">
    <w:p w14:paraId="2615DAFA" w14:textId="77777777" w:rsidR="004B2E7C" w:rsidRDefault="004B2E7C" w:rsidP="00285819">
      <w:pPr>
        <w:pStyle w:val="a7"/>
      </w:pPr>
      <w:r>
        <w:rPr>
          <w:rStyle w:val="a9"/>
        </w:rPr>
        <w:footnoteRef/>
      </w:r>
      <w:r>
        <w:rPr>
          <w:rtl/>
        </w:rPr>
        <w:t xml:space="preserve"> </w:t>
      </w:r>
      <w:r w:rsidRPr="00633610">
        <w:rPr>
          <w:rFonts w:cs="Arial"/>
          <w:rtl/>
        </w:rPr>
        <w:t>היינו ששם אותם בדמים כפי מה שהיא עכשיו ואם תתיקר או תוזל יהיה הכל ברשותו ואפ"ה התנה ג"כ שיהא רשות בידו להוציאה דס"ל כדעת היש אומרים הנ"ל בס"ד דבעינן שיהא ה</w:t>
      </w:r>
      <w:r>
        <w:rPr>
          <w:rFonts w:cs="Arial" w:hint="cs"/>
          <w:rtl/>
        </w:rPr>
        <w:t>גו</w:t>
      </w:r>
      <w:r w:rsidRPr="00633610">
        <w:rPr>
          <w:rFonts w:cs="Arial"/>
          <w:rtl/>
        </w:rPr>
        <w:t>י יכול למכרה</w:t>
      </w:r>
      <w:r>
        <w:rPr>
          <w:rFonts w:cs="Arial" w:hint="cs"/>
          <w:rtl/>
        </w:rPr>
        <w:t>, משנ"ב (סקכ"ה).</w:t>
      </w:r>
    </w:p>
  </w:footnote>
  <w:footnote w:id="145">
    <w:p w14:paraId="2F7E71E0" w14:textId="77777777" w:rsidR="004B2E7C" w:rsidRDefault="004B2E7C" w:rsidP="00285819">
      <w:pPr>
        <w:pStyle w:val="a7"/>
      </w:pPr>
      <w:r>
        <w:rPr>
          <w:rStyle w:val="a9"/>
        </w:rPr>
        <w:footnoteRef/>
      </w:r>
      <w:r>
        <w:rPr>
          <w:rtl/>
        </w:rPr>
        <w:t xml:space="preserve"> </w:t>
      </w:r>
      <w:r w:rsidRPr="00633610">
        <w:rPr>
          <w:rFonts w:cs="Arial"/>
          <w:rtl/>
        </w:rPr>
        <w:t>ומיירי ג"כ שהלוה אותה ל</w:t>
      </w:r>
      <w:r>
        <w:rPr>
          <w:rFonts w:cs="Arial" w:hint="cs"/>
          <w:rtl/>
        </w:rPr>
        <w:t>גו</w:t>
      </w:r>
      <w:r w:rsidRPr="00633610">
        <w:rPr>
          <w:rFonts w:cs="Arial"/>
          <w:rtl/>
        </w:rPr>
        <w:t>י ושם אותה בדמים וכנ"ל והדמים זקוף עליו במלוה אלא דבא להוסיף דאף דעי"ז שעשה אותה ה</w:t>
      </w:r>
      <w:r>
        <w:rPr>
          <w:rFonts w:cs="Arial" w:hint="cs"/>
          <w:rtl/>
        </w:rPr>
        <w:t>גו</w:t>
      </w:r>
      <w:r w:rsidRPr="00633610">
        <w:rPr>
          <w:rFonts w:cs="Arial"/>
          <w:rtl/>
        </w:rPr>
        <w:t>י אפותיקי לישראל תו אין לו רשות למכרה אפ"ה שרי</w:t>
      </w:r>
      <w:r>
        <w:rPr>
          <w:rFonts w:cs="Arial" w:hint="cs"/>
          <w:rtl/>
        </w:rPr>
        <w:t>, משנ"ב (סקכ"ו).</w:t>
      </w:r>
    </w:p>
  </w:footnote>
  <w:footnote w:id="146">
    <w:p w14:paraId="20E37C0A" w14:textId="77777777" w:rsidR="004B2E7C" w:rsidRDefault="004B2E7C" w:rsidP="00285819">
      <w:pPr>
        <w:pStyle w:val="a7"/>
      </w:pPr>
      <w:r>
        <w:rPr>
          <w:rStyle w:val="a9"/>
        </w:rPr>
        <w:footnoteRef/>
      </w:r>
      <w:r>
        <w:rPr>
          <w:rtl/>
        </w:rPr>
        <w:t xml:space="preserve"> </w:t>
      </w:r>
      <w:r w:rsidRPr="00633610">
        <w:rPr>
          <w:rFonts w:cs="Arial"/>
          <w:rtl/>
        </w:rPr>
        <w:t>פי' אע</w:t>
      </w:r>
      <w:r>
        <w:rPr>
          <w:rFonts w:cs="Arial" w:hint="cs"/>
          <w:rtl/>
        </w:rPr>
        <w:t>"</w:t>
      </w:r>
      <w:r w:rsidRPr="00633610">
        <w:rPr>
          <w:rFonts w:cs="Arial"/>
          <w:rtl/>
        </w:rPr>
        <w:t>פ שיניחם ביד הישראל למשכון שיהיה יוכל להפרע מהם כשלא יתן מעות עבורם ואח"כ נוטל אותם ה</w:t>
      </w:r>
      <w:r>
        <w:rPr>
          <w:rFonts w:cs="Arial" w:hint="cs"/>
          <w:rtl/>
        </w:rPr>
        <w:t>גו</w:t>
      </w:r>
      <w:r w:rsidRPr="00633610">
        <w:rPr>
          <w:rFonts w:cs="Arial"/>
          <w:rtl/>
        </w:rPr>
        <w:t xml:space="preserve">י ועובד בהם אפ"ה שרי דאכתי גוף הבהמה ברשות </w:t>
      </w:r>
      <w:r>
        <w:rPr>
          <w:rFonts w:cs="Arial" w:hint="cs"/>
          <w:rtl/>
        </w:rPr>
        <w:t>גו</w:t>
      </w:r>
      <w:r w:rsidRPr="00633610">
        <w:rPr>
          <w:rFonts w:cs="Arial"/>
          <w:rtl/>
        </w:rPr>
        <w:t>י הוא</w:t>
      </w:r>
      <w:r>
        <w:rPr>
          <w:rFonts w:cs="Arial" w:hint="cs"/>
          <w:rtl/>
        </w:rPr>
        <w:t>, משנ"ב (סקכ"ז).</w:t>
      </w:r>
    </w:p>
  </w:footnote>
  <w:footnote w:id="147">
    <w:p w14:paraId="521A410E" w14:textId="77777777" w:rsidR="004B2E7C" w:rsidRDefault="004B2E7C" w:rsidP="00285819">
      <w:pPr>
        <w:pStyle w:val="a7"/>
      </w:pPr>
      <w:r>
        <w:rPr>
          <w:rStyle w:val="a9"/>
        </w:rPr>
        <w:footnoteRef/>
      </w:r>
      <w:r>
        <w:rPr>
          <w:rtl/>
        </w:rPr>
        <w:t xml:space="preserve"> </w:t>
      </w:r>
      <w:r w:rsidRPr="00633610">
        <w:rPr>
          <w:rFonts w:cs="Arial"/>
          <w:rtl/>
        </w:rPr>
        <w:t>היינו אפילו אם אמר לו אם לא אתן לך המעות לזמן פלוני יהיו שלך כיון דלא אמר לו מעכשיו יהיו שלך לא קנאם הישראל למפרע כשלא יפרענו ה</w:t>
      </w:r>
      <w:r>
        <w:rPr>
          <w:rFonts w:cs="Arial" w:hint="cs"/>
          <w:rtl/>
        </w:rPr>
        <w:t>גו</w:t>
      </w:r>
      <w:r w:rsidRPr="00633610">
        <w:rPr>
          <w:rFonts w:cs="Arial"/>
          <w:rtl/>
        </w:rPr>
        <w:t>י ואין לו עליהם עתה רק שעבוד בעלמא</w:t>
      </w:r>
      <w:r>
        <w:rPr>
          <w:rFonts w:cs="Arial" w:hint="cs"/>
          <w:rtl/>
        </w:rPr>
        <w:t>, משנ"ב (סקכ"ח).</w:t>
      </w:r>
    </w:p>
  </w:footnote>
  <w:footnote w:id="148">
    <w:p w14:paraId="543EA37B" w14:textId="77777777" w:rsidR="004B2E7C" w:rsidRDefault="004B2E7C" w:rsidP="00285819">
      <w:pPr>
        <w:pStyle w:val="a7"/>
      </w:pPr>
      <w:r>
        <w:rPr>
          <w:rStyle w:val="a9"/>
        </w:rPr>
        <w:footnoteRef/>
      </w:r>
      <w:r>
        <w:rPr>
          <w:rtl/>
        </w:rPr>
        <w:t xml:space="preserve"> </w:t>
      </w:r>
      <w:r w:rsidRPr="00633610">
        <w:rPr>
          <w:rFonts w:cs="Arial"/>
          <w:rtl/>
        </w:rPr>
        <w:t>ואף על פי שאין לו ל</w:t>
      </w:r>
      <w:r>
        <w:rPr>
          <w:rFonts w:cs="Arial" w:hint="cs"/>
          <w:rtl/>
        </w:rPr>
        <w:t>גו</w:t>
      </w:r>
      <w:r w:rsidRPr="00633610">
        <w:rPr>
          <w:rFonts w:cs="Arial"/>
          <w:rtl/>
        </w:rPr>
        <w:t>י רשות למכרה</w:t>
      </w:r>
      <w:r>
        <w:rPr>
          <w:rFonts w:cs="Arial" w:hint="cs"/>
          <w:rtl/>
        </w:rPr>
        <w:t>,</w:t>
      </w:r>
      <w:r w:rsidRPr="00633610">
        <w:rPr>
          <w:rFonts w:cs="Arial"/>
          <w:rtl/>
        </w:rPr>
        <w:t xml:space="preserve"> אפ"ה שרי</w:t>
      </w:r>
      <w:r>
        <w:rPr>
          <w:rFonts w:cs="Arial" w:hint="cs"/>
          <w:rtl/>
        </w:rPr>
        <w:t>.</w:t>
      </w:r>
      <w:r w:rsidRPr="00633610">
        <w:rPr>
          <w:rFonts w:cs="Arial"/>
          <w:rtl/>
        </w:rPr>
        <w:t xml:space="preserve"> וסתם בזה כדעת המתירין לעיל בס"ד דהכא נמי מיירי שקבלה עליו ברשותו לענין יוקרא וזולא</w:t>
      </w:r>
      <w:r>
        <w:rPr>
          <w:rFonts w:cs="Arial" w:hint="cs"/>
          <w:rtl/>
        </w:rPr>
        <w:t>, משנ"ב (סקכ"ט).</w:t>
      </w:r>
    </w:p>
  </w:footnote>
  <w:footnote w:id="149">
    <w:p w14:paraId="02128705" w14:textId="77777777" w:rsidR="004B2E7C" w:rsidRDefault="004B2E7C" w:rsidP="00285819">
      <w:pPr>
        <w:pStyle w:val="a7"/>
      </w:pPr>
      <w:r>
        <w:rPr>
          <w:rStyle w:val="a9"/>
        </w:rPr>
        <w:footnoteRef/>
      </w:r>
      <w:r>
        <w:rPr>
          <w:rtl/>
        </w:rPr>
        <w:t xml:space="preserve"> </w:t>
      </w:r>
      <w:r w:rsidRPr="009836E4">
        <w:rPr>
          <w:rFonts w:cs="Arial"/>
          <w:rtl/>
        </w:rPr>
        <w:t>לפרסומי מילתא שלא יבוא לידי חשדא</w:t>
      </w:r>
      <w:r>
        <w:rPr>
          <w:rFonts w:cs="Arial" w:hint="cs"/>
          <w:rtl/>
        </w:rPr>
        <w:t>, משנ"ב (סק"ל).</w:t>
      </w:r>
      <w:r>
        <w:rPr>
          <w:rFonts w:cs="Arial"/>
          <w:rtl/>
        </w:rPr>
        <w:tab/>
      </w:r>
    </w:p>
  </w:footnote>
  <w:footnote w:id="150">
    <w:p w14:paraId="1BD27C6C" w14:textId="77777777" w:rsidR="004B2E7C" w:rsidRDefault="004B2E7C" w:rsidP="00285819">
      <w:pPr>
        <w:pStyle w:val="a7"/>
      </w:pPr>
      <w:r>
        <w:rPr>
          <w:rStyle w:val="a9"/>
        </w:rPr>
        <w:footnoteRef/>
      </w:r>
      <w:r>
        <w:rPr>
          <w:rtl/>
        </w:rPr>
        <w:t xml:space="preserve"> </w:t>
      </w:r>
      <w:r w:rsidRPr="009836E4">
        <w:rPr>
          <w:rFonts w:cs="Arial"/>
          <w:rtl/>
        </w:rPr>
        <w:t>עיין בבה"ל שהבאנו דאין כדאי להתיר ע"י כל ההתירים אלא בשעת הדחק ולאפוקי מאלו האנשים שמוכרים בכונה את שווריהן ל</w:t>
      </w:r>
      <w:r>
        <w:rPr>
          <w:rFonts w:cs="Arial"/>
          <w:rtl/>
        </w:rPr>
        <w:t>גוי</w:t>
      </w:r>
      <w:r w:rsidRPr="009836E4">
        <w:rPr>
          <w:rFonts w:cs="Arial"/>
          <w:rtl/>
        </w:rPr>
        <w:t xml:space="preserve"> כדי שיעשה בהן מלאכה בשבת והמלאכה נקראת על שם ישראל ואף דאין למחות ביד המקילין בזה שיש להם ע"מ לסמוך מ"מ כל בעל נפש יחוש לעצמו שלא לעשות זה כ"א בשעת הדחק וע"פ הוראת חכם.</w:t>
      </w:r>
      <w:r>
        <w:rPr>
          <w:rFonts w:cs="Arial" w:hint="cs"/>
          <w:rtl/>
        </w:rPr>
        <w:t>.., משנ"ב (סקל"ד).</w:t>
      </w:r>
    </w:p>
  </w:footnote>
  <w:footnote w:id="151">
    <w:p w14:paraId="74FBF827" w14:textId="77777777" w:rsidR="004B2E7C" w:rsidRDefault="004B2E7C" w:rsidP="00285819">
      <w:pPr>
        <w:pStyle w:val="a7"/>
        <w:rPr>
          <w:rtl/>
        </w:rPr>
      </w:pPr>
      <w:r>
        <w:rPr>
          <w:rStyle w:val="a9"/>
        </w:rPr>
        <w:footnoteRef/>
      </w:r>
      <w:r>
        <w:rPr>
          <w:rtl/>
        </w:rPr>
        <w:t xml:space="preserve"> </w:t>
      </w:r>
      <w:r w:rsidRPr="00305F84">
        <w:rPr>
          <w:rFonts w:cs="Arial"/>
          <w:rtl/>
        </w:rPr>
        <w:t>של מי שנשתלח לו</w:t>
      </w:r>
      <w:r>
        <w:rPr>
          <w:rFonts w:hint="cs"/>
          <w:rtl/>
        </w:rPr>
        <w:t>, רש"י.</w:t>
      </w:r>
    </w:p>
  </w:footnote>
  <w:footnote w:id="152">
    <w:p w14:paraId="016BD480" w14:textId="77777777" w:rsidR="004B2E7C" w:rsidRDefault="004B2E7C" w:rsidP="00285819">
      <w:pPr>
        <w:pStyle w:val="a7"/>
      </w:pPr>
      <w:r>
        <w:rPr>
          <w:rStyle w:val="a9"/>
        </w:rPr>
        <w:footnoteRef/>
      </w:r>
      <w:r>
        <w:rPr>
          <w:rtl/>
        </w:rPr>
        <w:t xml:space="preserve"> </w:t>
      </w:r>
      <w:r>
        <w:rPr>
          <w:rFonts w:cs="Arial"/>
          <w:rtl/>
        </w:rPr>
        <w:t>לחומת העיר שנשתלח שם</w:t>
      </w:r>
      <w:r>
        <w:rPr>
          <w:rFonts w:cs="Arial" w:hint="cs"/>
          <w:rtl/>
        </w:rPr>
        <w:t>, רש"י.</w:t>
      </w:r>
    </w:p>
  </w:footnote>
  <w:footnote w:id="153">
    <w:p w14:paraId="20C3EE5F" w14:textId="77777777" w:rsidR="004B2E7C" w:rsidRDefault="004B2E7C" w:rsidP="00285819">
      <w:pPr>
        <w:pStyle w:val="a7"/>
        <w:rPr>
          <w:rtl/>
        </w:rPr>
      </w:pPr>
      <w:r>
        <w:rPr>
          <w:rStyle w:val="a9"/>
        </w:rPr>
        <w:footnoteRef/>
      </w:r>
      <w:r>
        <w:rPr>
          <w:rtl/>
        </w:rPr>
        <w:t xml:space="preserve"> </w:t>
      </w:r>
      <w:r w:rsidRPr="00A226DF">
        <w:rPr>
          <w:rFonts w:cs="Arial"/>
          <w:rtl/>
        </w:rPr>
        <w:t>אלא אם כן קצץ</w:t>
      </w:r>
      <w:r>
        <w:rPr>
          <w:rFonts w:hint="cs"/>
          <w:rtl/>
        </w:rPr>
        <w:t>, רש"י. ומשמע מהלשון שנקטו בגמרא שאם לא קצץ אסור בכל גווני (שהרי כתבו אא"כ)...</w:t>
      </w:r>
    </w:p>
  </w:footnote>
  <w:footnote w:id="154">
    <w:p w14:paraId="179C6B03" w14:textId="77777777" w:rsidR="004B2E7C" w:rsidRDefault="004B2E7C" w:rsidP="00285819">
      <w:pPr>
        <w:pStyle w:val="a7"/>
      </w:pPr>
      <w:r>
        <w:rPr>
          <w:rStyle w:val="a9"/>
        </w:rPr>
        <w:footnoteRef/>
      </w:r>
      <w:r>
        <w:rPr>
          <w:rtl/>
        </w:rPr>
        <w:t xml:space="preserve"> </w:t>
      </w:r>
      <w:r>
        <w:rPr>
          <w:rFonts w:cs="Arial"/>
          <w:rtl/>
        </w:rPr>
        <w:t>פירוש דואר איש ידוע שכל כתב אליו יובל והוא משכיר ומשלח כל אגרת למי שנשתלחה אליו</w:t>
      </w:r>
      <w:r>
        <w:rPr>
          <w:rFonts w:cs="Arial" w:hint="cs"/>
          <w:rtl/>
        </w:rPr>
        <w:t>, רי"ף (ז.) ורא"ש (סי' לז).</w:t>
      </w:r>
    </w:p>
  </w:footnote>
  <w:footnote w:id="155">
    <w:p w14:paraId="66C20F6B" w14:textId="77777777" w:rsidR="004B2E7C" w:rsidRDefault="004B2E7C" w:rsidP="00285819">
      <w:pPr>
        <w:pStyle w:val="a7"/>
        <w:rPr>
          <w:rtl/>
        </w:rPr>
      </w:pPr>
      <w:r>
        <w:rPr>
          <w:rStyle w:val="a9"/>
        </w:rPr>
        <w:footnoteRef/>
      </w:r>
      <w:r>
        <w:rPr>
          <w:rtl/>
        </w:rPr>
        <w:t xml:space="preserve"> </w:t>
      </w:r>
      <w:r>
        <w:rPr>
          <w:rFonts w:hint="cs"/>
          <w:rtl/>
        </w:rPr>
        <w:t>בסמוך יתבאר לחומה של איזו עיר צריך הגוי להגיע קודם השבת.</w:t>
      </w:r>
    </w:p>
  </w:footnote>
  <w:footnote w:id="156">
    <w:p w14:paraId="3DD65C57" w14:textId="77777777" w:rsidR="004B2E7C" w:rsidRDefault="004B2E7C" w:rsidP="00285819">
      <w:pPr>
        <w:pStyle w:val="a7"/>
      </w:pPr>
      <w:r>
        <w:rPr>
          <w:rStyle w:val="a9"/>
        </w:rPr>
        <w:footnoteRef/>
      </w:r>
      <w:r>
        <w:rPr>
          <w:rtl/>
        </w:rPr>
        <w:t xml:space="preserve"> </w:t>
      </w:r>
      <w:r>
        <w:rPr>
          <w:rFonts w:cs="Arial"/>
          <w:rtl/>
        </w:rPr>
        <w:t>נראה מדבריו שהוא מפרש שהבי דואר קבוע בעיר שממנו שולחין הכתב</w:t>
      </w:r>
      <w:r>
        <w:rPr>
          <w:rFonts w:cs="Arial" w:hint="cs"/>
          <w:rtl/>
        </w:rPr>
        <w:t>,</w:t>
      </w:r>
      <w:r>
        <w:rPr>
          <w:rFonts w:cs="Arial"/>
          <w:rtl/>
        </w:rPr>
        <w:t xml:space="preserve"> וצריך שהות ביום כדי שיגיע לבית הסמוך לחומה שהוא הבית היותר רחוק שבעיר קודם שבת שמא ביתו הוא שם</w:t>
      </w:r>
      <w:r>
        <w:rPr>
          <w:rFonts w:cs="Arial" w:hint="cs"/>
          <w:rtl/>
        </w:rPr>
        <w:t>, ב"י.</w:t>
      </w:r>
    </w:p>
  </w:footnote>
  <w:footnote w:id="157">
    <w:p w14:paraId="63A15D4E" w14:textId="77777777" w:rsidR="004B2E7C" w:rsidRDefault="004B2E7C" w:rsidP="00285819">
      <w:pPr>
        <w:pStyle w:val="a7"/>
      </w:pPr>
      <w:r>
        <w:rPr>
          <w:rStyle w:val="a9"/>
        </w:rPr>
        <w:footnoteRef/>
      </w:r>
      <w:r>
        <w:rPr>
          <w:rtl/>
        </w:rPr>
        <w:t xml:space="preserve"> </w:t>
      </w:r>
      <w:r>
        <w:rPr>
          <w:rFonts w:cs="Arial" w:hint="cs"/>
          <w:rtl/>
        </w:rPr>
        <w:t>ולכן מה שכתוב לעיל שיצא הגוי מוקדם ב</w:t>
      </w:r>
      <w:r w:rsidRPr="00D80B03">
        <w:rPr>
          <w:rFonts w:cs="Arial"/>
          <w:rtl/>
        </w:rPr>
        <w:t>כדי שיגיע לבית הסמוך לחומה</w:t>
      </w:r>
      <w:r>
        <w:rPr>
          <w:rFonts w:cs="Arial" w:hint="cs"/>
          <w:rtl/>
        </w:rPr>
        <w:t xml:space="preserve"> קודם השבת, הכוונה היא לעיר </w:t>
      </w:r>
      <w:r w:rsidRPr="00526215">
        <w:rPr>
          <w:rFonts w:cs="Arial"/>
          <w:rtl/>
        </w:rPr>
        <w:t>שהוא שלוח שם</w:t>
      </w:r>
      <w:r>
        <w:rPr>
          <w:rFonts w:cs="Arial" w:hint="cs"/>
          <w:sz w:val="16"/>
          <w:szCs w:val="16"/>
          <w:rtl/>
        </w:rPr>
        <w:t xml:space="preserve"> (ע"פ ל' הטור)</w:t>
      </w:r>
      <w:r>
        <w:rPr>
          <w:rFonts w:cs="Arial" w:hint="cs"/>
          <w:rtl/>
        </w:rPr>
        <w:t>.</w:t>
      </w:r>
    </w:p>
  </w:footnote>
  <w:footnote w:id="158">
    <w:p w14:paraId="40856229" w14:textId="77777777" w:rsidR="004B2E7C" w:rsidRDefault="004B2E7C" w:rsidP="00285819">
      <w:pPr>
        <w:pStyle w:val="a7"/>
      </w:pPr>
      <w:r>
        <w:rPr>
          <w:rStyle w:val="a9"/>
        </w:rPr>
        <w:footnoteRef/>
      </w:r>
      <w:r>
        <w:rPr>
          <w:rtl/>
        </w:rPr>
        <w:t xml:space="preserve"> </w:t>
      </w:r>
      <w:r w:rsidRPr="00526215">
        <w:rPr>
          <w:rFonts w:cs="Arial"/>
          <w:rtl/>
        </w:rPr>
        <w:t>כלומר דאפילו ברביעי ובחמישי אסור לשלח בלא קצץ אי לא קביע בי דואר שהרי לא חילק בין ערב שבת לרביעי וחמישי</w:t>
      </w:r>
      <w:r>
        <w:rPr>
          <w:rFonts w:cs="Arial" w:hint="cs"/>
          <w:rtl/>
        </w:rPr>
        <w:t>.</w:t>
      </w:r>
      <w:r w:rsidRPr="00526215">
        <w:rPr>
          <w:rFonts w:cs="Arial"/>
          <w:rtl/>
        </w:rPr>
        <w:t xml:space="preserve"> וזה בעצמו דעת הרי"ף שגם הוא השמיט ברייתא דשריא ברביעי ובחמישי</w:t>
      </w:r>
      <w:r>
        <w:rPr>
          <w:rFonts w:cs="Arial" w:hint="cs"/>
          <w:rtl/>
        </w:rPr>
        <w:t>.</w:t>
      </w:r>
      <w:r w:rsidRPr="00526215">
        <w:rPr>
          <w:rFonts w:cs="Arial"/>
          <w:rtl/>
        </w:rPr>
        <w:t xml:space="preserve"> ולפי דעתם צ"ל דהא דתנו רבנן אין משלחין אגרות ביד גוי בערב שבת, לאו דוקא ערב שבת, אלא כל שאין המלאכה נעשית קודם השבת קרי ליה ערב שבת ואפילו מיום ראשון אי נמי נקט ערב שבת לאשמועינן דכשקצץ אפילו בערב שבת מותר</w:t>
      </w:r>
      <w:r>
        <w:rPr>
          <w:rFonts w:hint="cs"/>
          <w:rtl/>
        </w:rPr>
        <w:t>, ב"י.</w:t>
      </w:r>
    </w:p>
  </w:footnote>
  <w:footnote w:id="159">
    <w:p w14:paraId="58139D27" w14:textId="77777777" w:rsidR="004B2E7C" w:rsidRDefault="004B2E7C" w:rsidP="00285819">
      <w:pPr>
        <w:pStyle w:val="a7"/>
        <w:rPr>
          <w:rtl/>
        </w:rPr>
      </w:pPr>
      <w:r>
        <w:rPr>
          <w:rStyle w:val="a9"/>
        </w:rPr>
        <w:footnoteRef/>
      </w:r>
      <w:r>
        <w:rPr>
          <w:rtl/>
        </w:rPr>
        <w:t xml:space="preserve"> </w:t>
      </w:r>
      <w:r w:rsidRPr="00295EC8">
        <w:rPr>
          <w:rFonts w:cs="Arial"/>
          <w:rtl/>
        </w:rPr>
        <w:t>וכן כתב הכל בו (סי' לא ל ע"ד) וכן משמע מדברי סמ"ג (לאוין סה יט ע"ג) והתרומה (סי' רכב) שכתבו דהא דמתירים בית הלל עם השמש היינו שהגוי עושה מלאכה מאליו אבל אינו מתיר לומר לו לעשות המלאכה בשבת וכן כתב רבינו בסימן רנ"ב</w:t>
      </w:r>
      <w:r>
        <w:rPr>
          <w:rFonts w:hint="cs"/>
          <w:rtl/>
        </w:rPr>
        <w:t>, ב"י.</w:t>
      </w:r>
    </w:p>
  </w:footnote>
  <w:footnote w:id="160">
    <w:p w14:paraId="0380CE58" w14:textId="77777777" w:rsidR="004B2E7C" w:rsidRDefault="004B2E7C" w:rsidP="00285819">
      <w:pPr>
        <w:pStyle w:val="a7"/>
      </w:pPr>
      <w:r>
        <w:rPr>
          <w:rStyle w:val="a9"/>
        </w:rPr>
        <w:footnoteRef/>
      </w:r>
      <w:r>
        <w:rPr>
          <w:rtl/>
        </w:rPr>
        <w:t xml:space="preserve"> </w:t>
      </w:r>
      <w:r w:rsidRPr="0058021E">
        <w:rPr>
          <w:rFonts w:cs="Arial"/>
          <w:rtl/>
        </w:rPr>
        <w:t xml:space="preserve">ה"ה בכל מלאכות כשנותן לו ואין שהות לגמרו קודם השבת בעינן דוקא שיקצוב לו דמים בעד מלאכתו דאז אדעתיה דנפשיה קעביד ולא בשביל ישראל וכדאיתא לקמן בסימן רנ"ב ס"ב אלא נקט אגרת לאשמועינן דאי לא קצץ ולא קביע בי דואר במתא אסור כדמסיק והטעם כמו שכתבנו לקמיה אבל שאר כלים וחפצים או מעות אם שולח ביד </w:t>
      </w:r>
      <w:r>
        <w:rPr>
          <w:rFonts w:cs="Arial" w:hint="cs"/>
          <w:rtl/>
        </w:rPr>
        <w:t>גו</w:t>
      </w:r>
      <w:r w:rsidRPr="0058021E">
        <w:rPr>
          <w:rFonts w:cs="Arial"/>
          <w:rtl/>
        </w:rPr>
        <w:t>י בע"ש הדין כמו בכל מלאכות ולכך אפילו אם לא קצץ אם יש שהות ביום להגיע למקום מי שנשתלח לו מותר ולא חיישינן שמא לא ימצאנו בביתו ויצטרך לחפש אחריו בשבת</w:t>
      </w:r>
      <w:r>
        <w:rPr>
          <w:rFonts w:cs="Arial" w:hint="cs"/>
          <w:rtl/>
        </w:rPr>
        <w:t>, משנ"ב (סק"א).</w:t>
      </w:r>
    </w:p>
  </w:footnote>
  <w:footnote w:id="161">
    <w:p w14:paraId="7F78AC07" w14:textId="77777777" w:rsidR="004B2E7C" w:rsidRDefault="004B2E7C" w:rsidP="00285819">
      <w:pPr>
        <w:pStyle w:val="a7"/>
      </w:pPr>
      <w:r>
        <w:rPr>
          <w:rStyle w:val="a9"/>
        </w:rPr>
        <w:footnoteRef/>
      </w:r>
      <w:r>
        <w:rPr>
          <w:rtl/>
        </w:rPr>
        <w:t xml:space="preserve"> </w:t>
      </w:r>
      <w:r w:rsidRPr="0058021E">
        <w:rPr>
          <w:rFonts w:cs="Arial"/>
          <w:rtl/>
        </w:rPr>
        <w:t>וה"ה שלא יאמר לו ראה שתהא שם ביום א' או ביום ב' וכיוצא בזה וידוע שא"א לו להיות שם אלא א"כ ילך בשבת דזה הוי כאלו א"ל לך בשבת [אחרונים]</w:t>
      </w:r>
      <w:r>
        <w:rPr>
          <w:rFonts w:cs="Arial" w:hint="cs"/>
          <w:rtl/>
        </w:rPr>
        <w:t>, משנ"ב (סק"ד).</w:t>
      </w:r>
    </w:p>
  </w:footnote>
  <w:footnote w:id="162">
    <w:p w14:paraId="536C933C" w14:textId="77777777" w:rsidR="004B2E7C" w:rsidRDefault="004B2E7C" w:rsidP="00285819">
      <w:pPr>
        <w:pStyle w:val="a7"/>
      </w:pPr>
      <w:r>
        <w:rPr>
          <w:rStyle w:val="a9"/>
        </w:rPr>
        <w:footnoteRef/>
      </w:r>
      <w:r>
        <w:rPr>
          <w:rtl/>
        </w:rPr>
        <w:t xml:space="preserve"> </w:t>
      </w:r>
      <w:r w:rsidRPr="0061238A">
        <w:rPr>
          <w:rFonts w:cs="Arial"/>
          <w:rtl/>
        </w:rPr>
        <w:t>ואם אותו האיש אינו קבוע באותו העיר שנשתלח שם אלא הולך לפעמים לסחור</w:t>
      </w:r>
      <w:r>
        <w:rPr>
          <w:rFonts w:cs="Arial" w:hint="cs"/>
          <w:rtl/>
        </w:rPr>
        <w:t>ה -</w:t>
      </w:r>
      <w:r w:rsidRPr="0061238A">
        <w:rPr>
          <w:rFonts w:cs="Arial"/>
          <w:rtl/>
        </w:rPr>
        <w:t xml:space="preserve"> אסור</w:t>
      </w:r>
      <w:r>
        <w:rPr>
          <w:rFonts w:cs="Arial" w:hint="cs"/>
          <w:rtl/>
        </w:rPr>
        <w:t>,</w:t>
      </w:r>
      <w:r w:rsidRPr="0061238A">
        <w:rPr>
          <w:rFonts w:cs="Arial"/>
          <w:rtl/>
        </w:rPr>
        <w:t xml:space="preserve"> דשמא לא ימצא האיש בביתו וגם הבי דואר ויצטרך לילך אחריו בשבת (ב"ח בשם הפוסקים)</w:t>
      </w:r>
      <w:r>
        <w:rPr>
          <w:rFonts w:cs="Arial" w:hint="cs"/>
          <w:rtl/>
        </w:rPr>
        <w:t>.</w:t>
      </w:r>
      <w:r w:rsidRPr="0061238A">
        <w:rPr>
          <w:rFonts w:cs="Arial"/>
          <w:rtl/>
        </w:rPr>
        <w:t xml:space="preserve"> וא</w:t>
      </w:r>
      <w:r>
        <w:rPr>
          <w:rFonts w:cs="Arial" w:hint="cs"/>
          <w:rtl/>
        </w:rPr>
        <w:t>ע"ג</w:t>
      </w:r>
      <w:r w:rsidRPr="0061238A">
        <w:rPr>
          <w:rFonts w:cs="Arial"/>
          <w:rtl/>
        </w:rPr>
        <w:t xml:space="preserve"> דשאר כלים שרי ליתן ל</w:t>
      </w:r>
      <w:r>
        <w:rPr>
          <w:rFonts w:cs="Arial" w:hint="cs"/>
          <w:rtl/>
        </w:rPr>
        <w:t>גוי</w:t>
      </w:r>
      <w:r w:rsidRPr="0061238A">
        <w:rPr>
          <w:rFonts w:cs="Arial"/>
          <w:rtl/>
        </w:rPr>
        <w:t xml:space="preserve"> כל שיכול לעשותו מבע"י אפי' לא קצץ ואף שהוא עושה אח"כ בשבת שרי כמ"ש סי' רנ"ב ס"ב</w:t>
      </w:r>
      <w:r>
        <w:rPr>
          <w:rFonts w:cs="Arial" w:hint="cs"/>
          <w:rtl/>
        </w:rPr>
        <w:t>,</w:t>
      </w:r>
      <w:r w:rsidRPr="0061238A">
        <w:rPr>
          <w:rFonts w:cs="Arial"/>
          <w:rtl/>
        </w:rPr>
        <w:t xml:space="preserve"> הכא כיון שכת</w:t>
      </w:r>
      <w:r>
        <w:rPr>
          <w:rFonts w:cs="Arial" w:hint="cs"/>
          <w:rtl/>
        </w:rPr>
        <w:t>ב</w:t>
      </w:r>
      <w:r w:rsidRPr="0061238A">
        <w:rPr>
          <w:rFonts w:cs="Arial"/>
          <w:rtl/>
        </w:rPr>
        <w:t xml:space="preserve"> ידו של ישראל נושא</w:t>
      </w:r>
      <w:r>
        <w:rPr>
          <w:rFonts w:cs="Arial" w:hint="cs"/>
          <w:rtl/>
        </w:rPr>
        <w:t xml:space="preserve">, </w:t>
      </w:r>
      <w:r w:rsidRPr="0061238A">
        <w:rPr>
          <w:rFonts w:cs="Arial"/>
          <w:rtl/>
        </w:rPr>
        <w:t>וניכר מעשה ישראל</w:t>
      </w:r>
      <w:r>
        <w:rPr>
          <w:rFonts w:cs="Arial" w:hint="cs"/>
          <w:rtl/>
        </w:rPr>
        <w:t>,</w:t>
      </w:r>
      <w:r w:rsidRPr="0061238A">
        <w:rPr>
          <w:rFonts w:cs="Arial"/>
          <w:rtl/>
        </w:rPr>
        <w:t xml:space="preserve"> יאמרו בשבת נתן לו להוליך (סה"ת ומרדכי וכ"כ האגודה דלא כב"ח שנדחק)</w:t>
      </w:r>
      <w:r>
        <w:rPr>
          <w:rFonts w:cs="Arial" w:hint="cs"/>
          <w:rtl/>
        </w:rPr>
        <w:t>.</w:t>
      </w:r>
      <w:r w:rsidRPr="0061238A">
        <w:rPr>
          <w:rFonts w:cs="Arial"/>
          <w:rtl/>
        </w:rPr>
        <w:t xml:space="preserve"> וא"כ בכתב של </w:t>
      </w:r>
      <w:r>
        <w:rPr>
          <w:rFonts w:cs="Arial" w:hint="cs"/>
          <w:rtl/>
        </w:rPr>
        <w:t>גוי</w:t>
      </w:r>
      <w:r w:rsidRPr="0061238A">
        <w:rPr>
          <w:rFonts w:cs="Arial"/>
          <w:rtl/>
        </w:rPr>
        <w:t xml:space="preserve"> שרי</w:t>
      </w:r>
      <w:r>
        <w:rPr>
          <w:rFonts w:cs="Arial" w:hint="cs"/>
          <w:rtl/>
        </w:rPr>
        <w:t>, מג"א (סק"ב).</w:t>
      </w:r>
    </w:p>
  </w:footnote>
  <w:footnote w:id="163">
    <w:p w14:paraId="07594708" w14:textId="77777777" w:rsidR="004B2E7C" w:rsidRDefault="004B2E7C" w:rsidP="00285819">
      <w:pPr>
        <w:pStyle w:val="a7"/>
      </w:pPr>
      <w:r>
        <w:rPr>
          <w:rStyle w:val="a9"/>
        </w:rPr>
        <w:footnoteRef/>
      </w:r>
      <w:r>
        <w:rPr>
          <w:rtl/>
        </w:rPr>
        <w:t xml:space="preserve"> </w:t>
      </w:r>
      <w:r w:rsidRPr="0061238A">
        <w:rPr>
          <w:rFonts w:cs="Arial"/>
          <w:rtl/>
        </w:rPr>
        <w:t>כתב עו"ש ונראה דכל זה מיירי כששולח ע"י ה</w:t>
      </w:r>
      <w:r>
        <w:rPr>
          <w:rFonts w:cs="Arial" w:hint="cs"/>
          <w:rtl/>
        </w:rPr>
        <w:t>גו</w:t>
      </w:r>
      <w:r w:rsidRPr="0061238A">
        <w:rPr>
          <w:rFonts w:cs="Arial"/>
          <w:rtl/>
        </w:rPr>
        <w:t>י ליד הבי דואר</w:t>
      </w:r>
      <w:r>
        <w:rPr>
          <w:rFonts w:cs="Arial" w:hint="cs"/>
          <w:rtl/>
        </w:rPr>
        <w:t>.</w:t>
      </w:r>
      <w:r w:rsidRPr="0061238A">
        <w:rPr>
          <w:rFonts w:cs="Arial"/>
          <w:rtl/>
        </w:rPr>
        <w:t xml:space="preserve"> אבל כשאדם משלח אגרת על ידו לחבירו</w:t>
      </w:r>
      <w:r>
        <w:rPr>
          <w:rFonts w:cs="Arial" w:hint="cs"/>
          <w:rtl/>
        </w:rPr>
        <w:t>,</w:t>
      </w:r>
      <w:r w:rsidRPr="0061238A">
        <w:rPr>
          <w:rFonts w:cs="Arial"/>
          <w:rtl/>
        </w:rPr>
        <w:t xml:space="preserve"> אין לחוש שמא לא ימצאנו בביתו שילך אחריו בשבת</w:t>
      </w:r>
      <w:r>
        <w:rPr>
          <w:rFonts w:cs="Arial" w:hint="cs"/>
          <w:rtl/>
        </w:rPr>
        <w:t>,</w:t>
      </w:r>
      <w:r w:rsidRPr="0061238A">
        <w:rPr>
          <w:rFonts w:cs="Arial"/>
          <w:rtl/>
        </w:rPr>
        <w:t xml:space="preserve"> ושרי אפילו בע"ש ובלא קצץ כל שיכול להגיע שם מבעוד יום</w:t>
      </w:r>
      <w:r>
        <w:rPr>
          <w:rFonts w:cs="Arial" w:hint="cs"/>
          <w:rtl/>
        </w:rPr>
        <w:t>.</w:t>
      </w:r>
      <w:r w:rsidRPr="0061238A">
        <w:rPr>
          <w:rFonts w:cs="Arial"/>
          <w:rtl/>
        </w:rPr>
        <w:t xml:space="preserve"> וכן נוטה דעת מהר"ר אברהם מפראג המובא בב"ח</w:t>
      </w:r>
      <w:r>
        <w:rPr>
          <w:rFonts w:cs="Arial" w:hint="cs"/>
          <w:rtl/>
        </w:rPr>
        <w:t>,</w:t>
      </w:r>
      <w:r w:rsidRPr="0061238A">
        <w:rPr>
          <w:rFonts w:cs="Arial"/>
          <w:rtl/>
        </w:rPr>
        <w:t xml:space="preserve"> וע"ש שהאריך ומסיק להקל בזה</w:t>
      </w:r>
      <w:r>
        <w:rPr>
          <w:rFonts w:cs="Arial" w:hint="cs"/>
          <w:rtl/>
        </w:rPr>
        <w:t>.</w:t>
      </w:r>
      <w:r w:rsidRPr="0061238A">
        <w:rPr>
          <w:rFonts w:cs="Arial"/>
          <w:rtl/>
        </w:rPr>
        <w:t xml:space="preserve"> ודעת הט"ז ומ"א דגם בשולח אגרת לחבירו ג"כ יש חשש זה</w:t>
      </w:r>
      <w:r>
        <w:rPr>
          <w:rFonts w:cs="Arial" w:hint="cs"/>
          <w:rtl/>
        </w:rPr>
        <w:t>.</w:t>
      </w:r>
      <w:r w:rsidRPr="0061238A">
        <w:rPr>
          <w:rFonts w:cs="Arial"/>
          <w:rtl/>
        </w:rPr>
        <w:t xml:space="preserve"> ובפירוש ר"ח שיצא עתה לאור מוכח כהעו"ש</w:t>
      </w:r>
      <w:r>
        <w:rPr>
          <w:rFonts w:cs="Arial" w:hint="cs"/>
          <w:rtl/>
        </w:rPr>
        <w:t>,</w:t>
      </w:r>
      <w:r w:rsidRPr="0061238A">
        <w:rPr>
          <w:rFonts w:cs="Arial"/>
          <w:rtl/>
        </w:rPr>
        <w:t xml:space="preserve"> עיין שם</w:t>
      </w:r>
      <w:r>
        <w:rPr>
          <w:rFonts w:cs="Arial" w:hint="cs"/>
          <w:rtl/>
        </w:rPr>
        <w:t>.</w:t>
      </w:r>
      <w:r w:rsidRPr="0061238A">
        <w:rPr>
          <w:rFonts w:cs="Arial"/>
          <w:rtl/>
        </w:rPr>
        <w:t xml:space="preserve"> ומיהו אם אמר ל</w:t>
      </w:r>
      <w:r>
        <w:rPr>
          <w:rFonts w:cs="Arial" w:hint="cs"/>
          <w:rtl/>
        </w:rPr>
        <w:t>גו</w:t>
      </w:r>
      <w:r w:rsidRPr="0061238A">
        <w:rPr>
          <w:rFonts w:cs="Arial"/>
          <w:rtl/>
        </w:rPr>
        <w:t xml:space="preserve">י שילך לשם וימסור לבני ביתו של אותו האיש אם לא ימצאנו </w:t>
      </w:r>
      <w:r>
        <w:rPr>
          <w:rFonts w:cs="Arial" w:hint="cs"/>
          <w:rtl/>
        </w:rPr>
        <w:t xml:space="preserve">- </w:t>
      </w:r>
      <w:r w:rsidRPr="0061238A">
        <w:rPr>
          <w:rFonts w:cs="Arial"/>
          <w:rtl/>
        </w:rPr>
        <w:t>לכו"ע שרי אפילו בע"ש ובלא קצץ כל שיכול להגיע לבית ראשון הסמוך לחומה של העיר שהאיש שם</w:t>
      </w:r>
      <w:r>
        <w:rPr>
          <w:rFonts w:cs="Arial" w:hint="cs"/>
          <w:rtl/>
        </w:rPr>
        <w:t>, משנ"ב (סק"ו).</w:t>
      </w:r>
    </w:p>
  </w:footnote>
  <w:footnote w:id="164">
    <w:p w14:paraId="0706B668" w14:textId="77777777" w:rsidR="004B2E7C" w:rsidRDefault="004B2E7C" w:rsidP="00285819">
      <w:pPr>
        <w:pStyle w:val="a7"/>
        <w:rPr>
          <w:rtl/>
        </w:rPr>
      </w:pPr>
      <w:r>
        <w:rPr>
          <w:rStyle w:val="a9"/>
        </w:rPr>
        <w:footnoteRef/>
      </w:r>
      <w:r>
        <w:rPr>
          <w:rtl/>
        </w:rPr>
        <w:t xml:space="preserve"> </w:t>
      </w:r>
      <w:r w:rsidRPr="008D5206">
        <w:rPr>
          <w:rFonts w:cs="Arial"/>
          <w:rtl/>
        </w:rPr>
        <w:t>ואם הוא דרך קרוב כגון מהלך יום אחד נראה דאף אם הוא משלחו ביום ב' וג' שרי שאף שלא ימצאנו בביתו יש לו שהות הרבה ללכת [מ"א]</w:t>
      </w:r>
      <w:r>
        <w:rPr>
          <w:rFonts w:hint="cs"/>
          <w:rtl/>
        </w:rPr>
        <w:t>, משנ"ב (סק"ז).</w:t>
      </w:r>
    </w:p>
  </w:footnote>
  <w:footnote w:id="165">
    <w:p w14:paraId="2790659C" w14:textId="77777777" w:rsidR="004B2E7C" w:rsidRDefault="004B2E7C" w:rsidP="00285819">
      <w:pPr>
        <w:pStyle w:val="a7"/>
      </w:pPr>
      <w:r>
        <w:rPr>
          <w:rStyle w:val="a9"/>
        </w:rPr>
        <w:footnoteRef/>
      </w:r>
      <w:r>
        <w:rPr>
          <w:rtl/>
        </w:rPr>
        <w:t xml:space="preserve"> </w:t>
      </w:r>
      <w:r w:rsidRPr="00A55A23">
        <w:rPr>
          <w:rFonts w:cs="Arial"/>
          <w:rtl/>
        </w:rPr>
        <w:t>טעמייהו דכיון שלא אמר לו ישראל בהדיא שילך בשבת אין לאסור כ"א סמוך לשבת דנראה כשלוחו של ישראל לזה ואמירה ל</w:t>
      </w:r>
      <w:r>
        <w:rPr>
          <w:rFonts w:cs="Arial"/>
          <w:rtl/>
        </w:rPr>
        <w:t>גוי</w:t>
      </w:r>
      <w:r w:rsidRPr="00A55A23">
        <w:rPr>
          <w:rFonts w:cs="Arial"/>
          <w:rtl/>
        </w:rPr>
        <w:t xml:space="preserve"> שבות אפילו אמר לו בע"ש לעשות מלאכה בשבת אבל מופלג מן השבת קצת לא מחזי כאומר לו עשה מלאכה בשבת ולפיכך אין לאסור כ"א ביום ע"ש [הרא"ש]</w:t>
      </w:r>
      <w:r>
        <w:rPr>
          <w:rFonts w:cs="Arial" w:hint="cs"/>
          <w:rtl/>
        </w:rPr>
        <w:t>, משנ"ב (סק"י).</w:t>
      </w:r>
    </w:p>
  </w:footnote>
  <w:footnote w:id="166">
    <w:p w14:paraId="6996E37E" w14:textId="77777777" w:rsidR="004B2E7C" w:rsidRDefault="004B2E7C" w:rsidP="00285819">
      <w:pPr>
        <w:pStyle w:val="a7"/>
      </w:pPr>
      <w:r>
        <w:rPr>
          <w:rStyle w:val="a9"/>
        </w:rPr>
        <w:footnoteRef/>
      </w:r>
      <w:r>
        <w:rPr>
          <w:rtl/>
        </w:rPr>
        <w:t xml:space="preserve"> </w:t>
      </w:r>
      <w:r w:rsidRPr="00A55A23">
        <w:rPr>
          <w:rFonts w:cs="Arial"/>
          <w:rtl/>
        </w:rPr>
        <w:t>ואפילו ידוע שלא יוכל להגיע לשם קודם שבת ג"כ שרי לדעה זו דכיון שהוא מופלג מן השבת לא מחזי כשלוחו וכנ"ל</w:t>
      </w:r>
      <w:r>
        <w:rPr>
          <w:rFonts w:cs="Arial" w:hint="cs"/>
          <w:rtl/>
        </w:rPr>
        <w:t>, משנ"ב (סקי"א).</w:t>
      </w:r>
    </w:p>
  </w:footnote>
  <w:footnote w:id="167">
    <w:p w14:paraId="5CA24019" w14:textId="77777777" w:rsidR="004B2E7C" w:rsidRDefault="004B2E7C" w:rsidP="00285819">
      <w:pPr>
        <w:pStyle w:val="a7"/>
      </w:pPr>
      <w:r>
        <w:rPr>
          <w:rStyle w:val="a9"/>
        </w:rPr>
        <w:footnoteRef/>
      </w:r>
      <w:r>
        <w:rPr>
          <w:rtl/>
        </w:rPr>
        <w:t xml:space="preserve"> </w:t>
      </w:r>
      <w:r w:rsidRPr="00A55A23">
        <w:rPr>
          <w:rFonts w:cs="Arial"/>
          <w:rtl/>
        </w:rPr>
        <w:t>ר"ל לא מבעיא אם ה</w:t>
      </w:r>
      <w:r>
        <w:rPr>
          <w:rFonts w:cs="Arial"/>
          <w:rtl/>
        </w:rPr>
        <w:t>גוי</w:t>
      </w:r>
      <w:r w:rsidRPr="00A55A23">
        <w:rPr>
          <w:rFonts w:cs="Arial"/>
          <w:rtl/>
        </w:rPr>
        <w:t xml:space="preserve"> מסתפק כלל אם יתנו לו שכר דאסור אלא אפילו אם הישראל מבין ממנו שמצפה לשכר מאתו או ממי שנשתלח לו אפ"ה אסור כיון שהישראל לא הבטיחו עדיין</w:t>
      </w:r>
      <w:r>
        <w:rPr>
          <w:rFonts w:cs="Arial" w:hint="cs"/>
          <w:rtl/>
        </w:rPr>
        <w:t>, משנ"ב (סקי"ב).</w:t>
      </w:r>
    </w:p>
  </w:footnote>
  <w:footnote w:id="168">
    <w:p w14:paraId="5781EB6D" w14:textId="77777777" w:rsidR="004B2E7C" w:rsidRDefault="004B2E7C" w:rsidP="00285819">
      <w:pPr>
        <w:pStyle w:val="a7"/>
      </w:pPr>
      <w:r>
        <w:rPr>
          <w:rStyle w:val="a9"/>
        </w:rPr>
        <w:footnoteRef/>
      </w:r>
      <w:r>
        <w:rPr>
          <w:rtl/>
        </w:rPr>
        <w:t xml:space="preserve"> </w:t>
      </w:r>
      <w:r w:rsidRPr="00C77A7F">
        <w:rPr>
          <w:rFonts w:cs="Arial"/>
          <w:rtl/>
        </w:rPr>
        <w:t>ר"ל דאף שהתרנו לעיל בקצץ אפילו בע"ש היינו כשהוא קוצץ לו סך קצוב בעד פעולתו דאז אדעתיה דנפשיה עביד ולא מינכר כלל שהמלאכה הנעשית בשבת הוא בשליחות ישראל אבל כששכרו לימים שקוצב לו שכר בעד כל יום אף שאינו מקפיד עליו מתי ילך ואדעתיה דנפשיה עביד פעולתו גם בזה [ולפיכך עדיף מלא קצץ כלל ומותר בד' וה' אף לדעת המחבר] מ"מ כששוכרו בע"ש אסור דכיון שיוצא תיכף בשבת נראה כאלו התנה עמו כך ובשליחותו הולך מאחר שנתן לו שכר בעד היום</w:t>
      </w:r>
      <w:r>
        <w:rPr>
          <w:rFonts w:cs="Arial" w:hint="cs"/>
          <w:rtl/>
        </w:rPr>
        <w:t>, משנ"ב (סקי"ג).</w:t>
      </w:r>
    </w:p>
  </w:footnote>
  <w:footnote w:id="169">
    <w:p w14:paraId="2E31A777" w14:textId="77777777" w:rsidR="004B2E7C" w:rsidRDefault="004B2E7C" w:rsidP="00285819">
      <w:pPr>
        <w:pStyle w:val="a7"/>
        <w:rPr>
          <w:rtl/>
        </w:rPr>
      </w:pPr>
      <w:r>
        <w:rPr>
          <w:rStyle w:val="a9"/>
        </w:rPr>
        <w:footnoteRef/>
      </w:r>
      <w:r>
        <w:rPr>
          <w:rtl/>
        </w:rPr>
        <w:t xml:space="preserve"> </w:t>
      </w:r>
      <w:r w:rsidRPr="00747CFE">
        <w:rPr>
          <w:rFonts w:cs="Arial"/>
          <w:rtl/>
        </w:rPr>
        <w:t>אבל ביום ה' מותר ולדעת הרמ"א לעיל בהג"ה אפילו לא קצץ כלל מותר ביום ה'</w:t>
      </w:r>
      <w:r>
        <w:rPr>
          <w:rFonts w:hint="cs"/>
          <w:rtl/>
        </w:rPr>
        <w:t>, משנ"ב (סקי"ד).</w:t>
      </w:r>
    </w:p>
  </w:footnote>
  <w:footnote w:id="170">
    <w:p w14:paraId="41F2452A" w14:textId="77777777" w:rsidR="004B2E7C" w:rsidRDefault="004B2E7C" w:rsidP="00285819">
      <w:pPr>
        <w:pStyle w:val="a7"/>
      </w:pPr>
      <w:r>
        <w:rPr>
          <w:rStyle w:val="a9"/>
        </w:rPr>
        <w:footnoteRef/>
      </w:r>
      <w:r>
        <w:rPr>
          <w:rtl/>
        </w:rPr>
        <w:t xml:space="preserve"> </w:t>
      </w:r>
      <w:r w:rsidRPr="00622A6D">
        <w:rPr>
          <w:rFonts w:cs="Arial"/>
          <w:rtl/>
        </w:rPr>
        <w:t>הנה מלשון זה משמע דרק טוב לחוש לדעה זו וכן בט"ז משמע דדעתו כדעה הראשונה אבל בד"מ סימן רנ"ב משמע דדעתו הוא כהיש חולקין וכן בלבוש ובא"ר בסימן זה משמע דאסור בחנם וע"כ מהנכון שיקצוב לו עכ"פ איזה דבר מועט עבור זה והוי כקצץ כיון שקיבל עליו שיהיה זה שכרו וכ"כ בח"א</w:t>
      </w:r>
      <w:r>
        <w:rPr>
          <w:rFonts w:cs="Arial" w:hint="cs"/>
          <w:rtl/>
        </w:rPr>
        <w:t>, משנ"ב (סקט"ז).</w:t>
      </w:r>
    </w:p>
  </w:footnote>
  <w:footnote w:id="171">
    <w:p w14:paraId="06543A4C" w14:textId="77777777" w:rsidR="004B2E7C" w:rsidRDefault="004B2E7C" w:rsidP="00285819">
      <w:pPr>
        <w:pStyle w:val="a7"/>
        <w:rPr>
          <w:rtl/>
        </w:rPr>
      </w:pPr>
      <w:r>
        <w:rPr>
          <w:rStyle w:val="a9"/>
        </w:rPr>
        <w:footnoteRef/>
      </w:r>
      <w:r>
        <w:rPr>
          <w:rtl/>
        </w:rPr>
        <w:t xml:space="preserve"> </w:t>
      </w:r>
      <w:r w:rsidRPr="00747CFE">
        <w:rPr>
          <w:rFonts w:cs="Arial"/>
          <w:rtl/>
        </w:rPr>
        <w:t>ולעניות דעתי נראה דחששא רחוקה היא זו</w:t>
      </w:r>
      <w:r>
        <w:rPr>
          <w:rFonts w:cs="Arial" w:hint="cs"/>
          <w:rtl/>
        </w:rPr>
        <w:t>,</w:t>
      </w:r>
      <w:r w:rsidRPr="00747CFE">
        <w:rPr>
          <w:rFonts w:cs="Arial"/>
          <w:rtl/>
        </w:rPr>
        <w:t xml:space="preserve"> ואיכא למימר שמא לא יצטרך להרבות הדרך בשבילו</w:t>
      </w:r>
      <w:r>
        <w:rPr>
          <w:rFonts w:cs="Arial" w:hint="cs"/>
          <w:rtl/>
        </w:rPr>
        <w:t>.</w:t>
      </w:r>
      <w:r w:rsidRPr="00747CFE">
        <w:rPr>
          <w:rFonts w:cs="Arial"/>
          <w:rtl/>
        </w:rPr>
        <w:t xml:space="preserve"> ואפילו יצטרך</w:t>
      </w:r>
      <w:r>
        <w:rPr>
          <w:rFonts w:cs="Arial" w:hint="cs"/>
          <w:rtl/>
        </w:rPr>
        <w:t>,</w:t>
      </w:r>
      <w:r w:rsidRPr="00747CFE">
        <w:rPr>
          <w:rFonts w:cs="Arial"/>
          <w:rtl/>
        </w:rPr>
        <w:t xml:space="preserve"> שמא לא ירבה</w:t>
      </w:r>
      <w:r>
        <w:rPr>
          <w:rFonts w:cs="Arial" w:hint="cs"/>
          <w:rtl/>
        </w:rPr>
        <w:t>.</w:t>
      </w:r>
      <w:r w:rsidRPr="00747CFE">
        <w:rPr>
          <w:rFonts w:cs="Arial"/>
          <w:rtl/>
        </w:rPr>
        <w:t xml:space="preserve"> ואפילו ירבה</w:t>
      </w:r>
      <w:r>
        <w:rPr>
          <w:rFonts w:cs="Arial" w:hint="cs"/>
          <w:rtl/>
        </w:rPr>
        <w:t>,</w:t>
      </w:r>
      <w:r w:rsidRPr="00747CFE">
        <w:rPr>
          <w:rFonts w:cs="Arial"/>
          <w:rtl/>
        </w:rPr>
        <w:t xml:space="preserve"> שמא לא יהיה בשבת</w:t>
      </w:r>
      <w:r>
        <w:rPr>
          <w:rFonts w:hint="cs"/>
          <w:rtl/>
        </w:rPr>
        <w:t>, ב"י.</w:t>
      </w:r>
      <w:r w:rsidRPr="00622A6D">
        <w:rPr>
          <w:rFonts w:hint="cs"/>
          <w:color w:val="E36C0A" w:themeColor="accent6" w:themeShade="BF"/>
          <w:rtl/>
        </w:rPr>
        <w:t xml:space="preserve"> </w:t>
      </w:r>
      <w:r w:rsidRPr="00ED4352">
        <w:rPr>
          <w:rFonts w:hint="cs"/>
          <w:color w:val="E36C0A" w:themeColor="accent6" w:themeShade="BF"/>
          <w:rtl/>
        </w:rPr>
        <w:t>(וכ"פ בשו"ע)</w:t>
      </w:r>
    </w:p>
  </w:footnote>
  <w:footnote w:id="172">
    <w:p w14:paraId="684D2782" w14:textId="77777777" w:rsidR="004B2E7C" w:rsidRDefault="004B2E7C" w:rsidP="00285819">
      <w:pPr>
        <w:pStyle w:val="a7"/>
        <w:rPr>
          <w:rtl/>
        </w:rPr>
      </w:pPr>
      <w:r>
        <w:rPr>
          <w:rStyle w:val="a9"/>
        </w:rPr>
        <w:footnoteRef/>
      </w:r>
      <w:r>
        <w:rPr>
          <w:rtl/>
        </w:rPr>
        <w:t xml:space="preserve"> </w:t>
      </w:r>
      <w:r w:rsidRPr="00BD13F4">
        <w:rPr>
          <w:rFonts w:cs="Arial"/>
          <w:rtl/>
        </w:rPr>
        <w:t>היינו אפילו לא קצץ ליתן לו שכר אלא בסתמא דקיי"ל בס"א דאסור לשלוח על ידו כשאין קבוע בי דואר דחיישינן שמא לא ימצאנו בביתו וילך אחריו בשבת אפ"ה שרינן כאן כיון שאין ה</w:t>
      </w:r>
      <w:r>
        <w:rPr>
          <w:rFonts w:cs="Arial" w:hint="cs"/>
          <w:rtl/>
        </w:rPr>
        <w:t>גו</w:t>
      </w:r>
      <w:r w:rsidRPr="00BD13F4">
        <w:rPr>
          <w:rFonts w:cs="Arial"/>
          <w:rtl/>
        </w:rPr>
        <w:t>י הולך בשליחותו אלא שמעצמו הולך לשם בודאי אם לא ימצאנו לא יחפש אחריו</w:t>
      </w:r>
      <w:r>
        <w:rPr>
          <w:rFonts w:cs="Arial" w:hint="cs"/>
          <w:rtl/>
        </w:rPr>
        <w:t>.</w:t>
      </w:r>
      <w:r w:rsidRPr="00BD13F4">
        <w:rPr>
          <w:rFonts w:cs="Arial"/>
          <w:rtl/>
        </w:rPr>
        <w:t xml:space="preserve"> ודוקא אם יש שהות להגיע שם מבעוד יום</w:t>
      </w:r>
      <w:r>
        <w:rPr>
          <w:rFonts w:cs="Arial" w:hint="cs"/>
          <w:rtl/>
        </w:rPr>
        <w:t>,</w:t>
      </w:r>
      <w:r w:rsidRPr="00BD13F4">
        <w:rPr>
          <w:rFonts w:cs="Arial"/>
          <w:rtl/>
        </w:rPr>
        <w:t xml:space="preserve"> אבל אם אין שהות להגיע שם מבעוד יום אסור אף בזה</w:t>
      </w:r>
      <w:r>
        <w:rPr>
          <w:rFonts w:cs="Arial" w:hint="cs"/>
          <w:rtl/>
        </w:rPr>
        <w:t>,</w:t>
      </w:r>
      <w:r w:rsidRPr="00BD13F4">
        <w:rPr>
          <w:rFonts w:cs="Arial"/>
          <w:rtl/>
        </w:rPr>
        <w:t xml:space="preserve"> דאף דהליכתו בשביל עצמו הוא מ"מ מה שנושא המכתב הוא בשביל ישראל. ודע דליתן לו בשבת אסור לכו"ע אפילו בהולך מעצמו ואפילו קצץ לו שכר מבעוד יום עבור זה</w:t>
      </w:r>
      <w:r>
        <w:rPr>
          <w:rFonts w:cs="Arial" w:hint="cs"/>
          <w:rtl/>
        </w:rPr>
        <w:t>.</w:t>
      </w:r>
      <w:r w:rsidRPr="00BD13F4">
        <w:rPr>
          <w:rFonts w:cs="Arial"/>
          <w:rtl/>
        </w:rPr>
        <w:t xml:space="preserve"> וע"כ אסור ליתן אגרת על הפאצט </w:t>
      </w:r>
      <w:r>
        <w:rPr>
          <w:rFonts w:cs="Arial" w:hint="cs"/>
          <w:sz w:val="16"/>
          <w:szCs w:val="16"/>
          <w:rtl/>
        </w:rPr>
        <w:t>{דואר}</w:t>
      </w:r>
      <w:r>
        <w:rPr>
          <w:rFonts w:cs="Arial" w:hint="cs"/>
          <w:sz w:val="16"/>
          <w:szCs w:val="16"/>
        </w:rPr>
        <w:t xml:space="preserve"> </w:t>
      </w:r>
      <w:r w:rsidRPr="00BD13F4">
        <w:rPr>
          <w:rFonts w:cs="Arial"/>
          <w:rtl/>
        </w:rPr>
        <w:t>בשבת</w:t>
      </w:r>
      <w:r>
        <w:rPr>
          <w:rFonts w:cs="Arial" w:hint="cs"/>
          <w:rtl/>
        </w:rPr>
        <w:t xml:space="preserve"> [</w:t>
      </w:r>
      <w:r w:rsidRPr="00BD13F4">
        <w:rPr>
          <w:rFonts w:cs="Arial"/>
          <w:rtl/>
        </w:rPr>
        <w:t xml:space="preserve">ומע"ש מותר דעל הפאצט הוי תמיד קצץ דאף אם אינו משלם כאן מ"מ יצטרך לשלם מי שנשתלח לו] אפילו במקום שיש עירוב ואפילו ע"י </w:t>
      </w:r>
      <w:r>
        <w:rPr>
          <w:rFonts w:cs="Arial" w:hint="cs"/>
          <w:rtl/>
        </w:rPr>
        <w:t>גו</w:t>
      </w:r>
      <w:r w:rsidRPr="00BD13F4">
        <w:rPr>
          <w:rFonts w:cs="Arial"/>
          <w:rtl/>
        </w:rPr>
        <w:t>י אסור דבר זה [ולא מהני קציצה על שבת גופא]</w:t>
      </w:r>
      <w:r>
        <w:rPr>
          <w:rFonts w:cs="Arial" w:hint="cs"/>
          <w:rtl/>
        </w:rPr>
        <w:t>.</w:t>
      </w:r>
      <w:r w:rsidRPr="00BD13F4">
        <w:rPr>
          <w:rFonts w:cs="Arial"/>
          <w:rtl/>
        </w:rPr>
        <w:t xml:space="preserve"> אך במקום הפסד גדול יש להתיר בכה"ג דהוי שבות דשבות במקום פסידא דמותר</w:t>
      </w:r>
      <w:r>
        <w:rPr>
          <w:rFonts w:cs="Arial" w:hint="cs"/>
          <w:rtl/>
        </w:rPr>
        <w:t>.</w:t>
      </w:r>
      <w:r w:rsidRPr="00BD13F4">
        <w:rPr>
          <w:rFonts w:cs="Arial"/>
          <w:rtl/>
        </w:rPr>
        <w:t xml:space="preserve"> ושלא במקום הפסד יש להחמיר אפילו בע"ש שלא ליתן ל</w:t>
      </w:r>
      <w:r>
        <w:rPr>
          <w:rFonts w:cs="Arial" w:hint="cs"/>
          <w:rtl/>
        </w:rPr>
        <w:t>גו</w:t>
      </w:r>
      <w:r w:rsidRPr="00BD13F4">
        <w:rPr>
          <w:rFonts w:cs="Arial"/>
          <w:rtl/>
        </w:rPr>
        <w:t>י האגרת שהוא יתן אותו על הפאצט בשבת ואפילו בקצץ שהרי מייחד מלאכתו על שבת [ח"א כלל ג]</w:t>
      </w:r>
      <w:r>
        <w:rPr>
          <w:rFonts w:hint="cs"/>
          <w:rtl/>
        </w:rPr>
        <w:t>, משנ"ב (סקי"ח).</w:t>
      </w:r>
    </w:p>
  </w:footnote>
  <w:footnote w:id="173">
    <w:p w14:paraId="72F1A561" w14:textId="77777777" w:rsidR="004B2E7C" w:rsidRDefault="004B2E7C" w:rsidP="00285819">
      <w:pPr>
        <w:pStyle w:val="a7"/>
      </w:pPr>
      <w:r>
        <w:rPr>
          <w:rStyle w:val="a9"/>
        </w:rPr>
        <w:footnoteRef/>
      </w:r>
      <w:r>
        <w:rPr>
          <w:rtl/>
        </w:rPr>
        <w:t xml:space="preserve"> </w:t>
      </w:r>
      <w:r w:rsidRPr="00747CFE">
        <w:rPr>
          <w:rFonts w:cs="Arial"/>
          <w:rtl/>
        </w:rPr>
        <w:t>ולפי טעם זה נראה דאפילו ברביעי ובחמישי אסור</w:t>
      </w:r>
      <w:r>
        <w:rPr>
          <w:rFonts w:cs="Arial" w:hint="cs"/>
          <w:rtl/>
        </w:rPr>
        <w:t>.</w:t>
      </w:r>
      <w:r w:rsidRPr="00747CFE">
        <w:rPr>
          <w:rFonts w:cs="Arial"/>
          <w:rtl/>
        </w:rPr>
        <w:t xml:space="preserve"> ומיהו לפי מה שכתב הרמב"ם בפ"ו (הי"ב) שהשוכר את הגוי לימים הרבה מותר לעשות לו מלאכה בשבת</w:t>
      </w:r>
      <w:r>
        <w:rPr>
          <w:rFonts w:cs="Arial" w:hint="cs"/>
          <w:rtl/>
        </w:rPr>
        <w:t>,</w:t>
      </w:r>
      <w:r w:rsidRPr="00747CFE">
        <w:rPr>
          <w:rFonts w:cs="Arial"/>
          <w:rtl/>
        </w:rPr>
        <w:t xml:space="preserve"> אפשר דכהאי גוונא שרי</w:t>
      </w:r>
      <w:r>
        <w:rPr>
          <w:rFonts w:cs="Arial" w:hint="cs"/>
          <w:rtl/>
        </w:rPr>
        <w:t>.</w:t>
      </w:r>
      <w:r w:rsidRPr="00747CFE">
        <w:rPr>
          <w:rFonts w:cs="Arial"/>
          <w:rtl/>
        </w:rPr>
        <w:t xml:space="preserve"> אלא שאפשר דלא שרי הרמב"ם אלא בשוכר את הגוי לעשות לו מלאכה מיוחדת</w:t>
      </w:r>
      <w:r>
        <w:rPr>
          <w:rFonts w:cs="Arial" w:hint="cs"/>
          <w:rtl/>
        </w:rPr>
        <w:t>,</w:t>
      </w:r>
      <w:r w:rsidRPr="00747CFE">
        <w:rPr>
          <w:rFonts w:cs="Arial"/>
          <w:rtl/>
        </w:rPr>
        <w:t xml:space="preserve"> כגון כתיבת ספר או אריגת בגד</w:t>
      </w:r>
      <w:r>
        <w:rPr>
          <w:rFonts w:cs="Arial" w:hint="cs"/>
          <w:rtl/>
        </w:rPr>
        <w:t>,</w:t>
      </w:r>
      <w:r w:rsidRPr="00747CFE">
        <w:rPr>
          <w:rFonts w:cs="Arial"/>
          <w:rtl/>
        </w:rPr>
        <w:t xml:space="preserve"> אבל אם שכרו לעשות לו כל מלאכות שיצטרך בתוך זמן השכירות אפשר דמודה דאסור</w:t>
      </w:r>
      <w:r>
        <w:rPr>
          <w:rFonts w:cs="Arial" w:hint="cs"/>
          <w:rtl/>
        </w:rPr>
        <w:t>.</w:t>
      </w:r>
      <w:r w:rsidRPr="00747CFE">
        <w:rPr>
          <w:rFonts w:cs="Arial"/>
          <w:rtl/>
        </w:rPr>
        <w:t xml:space="preserve"> וכבר כתבתי זה בסימן רמ"ד (ג. ד"ה ומ"ש)</w:t>
      </w:r>
      <w:r>
        <w:rPr>
          <w:rFonts w:cs="Arial" w:hint="cs"/>
          <w:rtl/>
        </w:rPr>
        <w:t>, ב"י.</w:t>
      </w:r>
    </w:p>
  </w:footnote>
  <w:footnote w:id="174">
    <w:p w14:paraId="3B625D72" w14:textId="77777777" w:rsidR="004B2E7C" w:rsidRDefault="004B2E7C" w:rsidP="00285819">
      <w:pPr>
        <w:pStyle w:val="a7"/>
        <w:rPr>
          <w:rtl/>
        </w:rPr>
      </w:pPr>
      <w:r>
        <w:rPr>
          <w:rStyle w:val="a9"/>
        </w:rPr>
        <w:footnoteRef/>
      </w:r>
      <w:r>
        <w:rPr>
          <w:rtl/>
        </w:rPr>
        <w:t xml:space="preserve"> </w:t>
      </w:r>
      <w:r w:rsidRPr="00936F31">
        <w:rPr>
          <w:rFonts w:cs="Arial"/>
          <w:rtl/>
        </w:rPr>
        <w:t>דמה שהוא שכירו לשנה לא נחשב כקציצה</w:t>
      </w:r>
      <w:r>
        <w:rPr>
          <w:rFonts w:cs="Arial" w:hint="cs"/>
          <w:rtl/>
        </w:rPr>
        <w:t>,</w:t>
      </w:r>
      <w:r w:rsidRPr="00936F31">
        <w:rPr>
          <w:rFonts w:cs="Arial"/>
          <w:rtl/>
        </w:rPr>
        <w:t xml:space="preserve"> ודינו בכל הפרטים כמבואר לעיל בס"א בלא קצץ</w:t>
      </w:r>
      <w:r>
        <w:rPr>
          <w:rFonts w:cs="Arial" w:hint="cs"/>
          <w:rtl/>
        </w:rPr>
        <w:t>,</w:t>
      </w:r>
      <w:r w:rsidRPr="00936F31">
        <w:rPr>
          <w:rFonts w:cs="Arial"/>
          <w:rtl/>
        </w:rPr>
        <w:t xml:space="preserve"> אלא דבזה מקילינן דאין אסור אלא בע"ש</w:t>
      </w:r>
      <w:r>
        <w:rPr>
          <w:rFonts w:cs="Arial" w:hint="cs"/>
          <w:rtl/>
        </w:rPr>
        <w:t>,</w:t>
      </w:r>
      <w:r w:rsidRPr="00936F31">
        <w:rPr>
          <w:rFonts w:cs="Arial"/>
          <w:rtl/>
        </w:rPr>
        <w:t xml:space="preserve"> והטעם כמו שביארנו בבה"ל</w:t>
      </w:r>
      <w:r>
        <w:rPr>
          <w:rFonts w:hint="cs"/>
          <w:rtl/>
        </w:rPr>
        <w:t>, משנ"ב (סק"כ).</w:t>
      </w:r>
    </w:p>
  </w:footnote>
  <w:footnote w:id="175">
    <w:p w14:paraId="47A7A4C6" w14:textId="77777777" w:rsidR="004B2E7C" w:rsidRDefault="004B2E7C" w:rsidP="00285819">
      <w:pPr>
        <w:pStyle w:val="a7"/>
      </w:pPr>
      <w:r>
        <w:rPr>
          <w:rStyle w:val="a9"/>
        </w:rPr>
        <w:footnoteRef/>
      </w:r>
      <w:r>
        <w:rPr>
          <w:rtl/>
        </w:rPr>
        <w:t xml:space="preserve"> </w:t>
      </w:r>
      <w:r w:rsidRPr="00936F31">
        <w:rPr>
          <w:rFonts w:cs="Arial"/>
          <w:rtl/>
        </w:rPr>
        <w:t>היינו דעה הראשונה שם דס"ל דזהו נחשב כקצץ ע"ש הטעם. ומ"מ אסור לומר לו שילך בשבת כנ"ל בס"א</w:t>
      </w:r>
      <w:r>
        <w:rPr>
          <w:rFonts w:cs="Arial" w:hint="cs"/>
          <w:rtl/>
        </w:rPr>
        <w:t>, משנ"ב (סקכ"א).</w:t>
      </w:r>
    </w:p>
  </w:footnote>
  <w:footnote w:id="176">
    <w:p w14:paraId="056908EA" w14:textId="77777777" w:rsidR="004B2E7C" w:rsidRDefault="004B2E7C" w:rsidP="00285819">
      <w:pPr>
        <w:pStyle w:val="a7"/>
      </w:pPr>
      <w:r>
        <w:rPr>
          <w:rStyle w:val="a9"/>
        </w:rPr>
        <w:footnoteRef/>
      </w:r>
      <w:r>
        <w:rPr>
          <w:rtl/>
        </w:rPr>
        <w:t xml:space="preserve"> </w:t>
      </w:r>
      <w:r w:rsidRPr="00823DAA">
        <w:rPr>
          <w:rFonts w:cs="Arial"/>
          <w:rtl/>
        </w:rPr>
        <w:t>אין אלא מהלך יום, ובערב שבת היה שם יום השוק, כדאמרינן בפסחים במקום שנהגו (נ</w:t>
      </w:r>
      <w:r>
        <w:rPr>
          <w:rFonts w:cs="Arial" w:hint="cs"/>
          <w:rtl/>
        </w:rPr>
        <w:t>:</w:t>
      </w:r>
      <w:r w:rsidRPr="00823DAA">
        <w:rPr>
          <w:rFonts w:cs="Arial"/>
          <w:rtl/>
        </w:rPr>
        <w:t>)</w:t>
      </w:r>
      <w:r>
        <w:rPr>
          <w:rFonts w:cs="Arial" w:hint="cs"/>
          <w:rtl/>
        </w:rPr>
        <w:t>, רש"י.</w:t>
      </w:r>
    </w:p>
  </w:footnote>
  <w:footnote w:id="177">
    <w:p w14:paraId="2987A957" w14:textId="77777777" w:rsidR="004B2E7C" w:rsidRDefault="004B2E7C" w:rsidP="00285819">
      <w:pPr>
        <w:pStyle w:val="a7"/>
      </w:pPr>
      <w:r>
        <w:rPr>
          <w:rStyle w:val="a9"/>
        </w:rPr>
        <w:footnoteRef/>
      </w:r>
      <w:r>
        <w:rPr>
          <w:rtl/>
        </w:rPr>
        <w:t xml:space="preserve"> </w:t>
      </w:r>
      <w:r>
        <w:rPr>
          <w:rFonts w:hint="cs"/>
          <w:rtl/>
        </w:rPr>
        <w:t>או או קאמר, או מהלך יום אחד או במקום סכנה.</w:t>
      </w:r>
    </w:p>
  </w:footnote>
  <w:footnote w:id="178">
    <w:p w14:paraId="54782826" w14:textId="77777777" w:rsidR="004B2E7C" w:rsidRPr="0083018C" w:rsidRDefault="004B2E7C" w:rsidP="00285819">
      <w:pPr>
        <w:pStyle w:val="a7"/>
      </w:pPr>
      <w:r>
        <w:rPr>
          <w:rStyle w:val="a9"/>
        </w:rPr>
        <w:footnoteRef/>
      </w:r>
      <w:r>
        <w:rPr>
          <w:rtl/>
        </w:rPr>
        <w:t xml:space="preserve"> </w:t>
      </w:r>
      <w:r>
        <w:rPr>
          <w:rFonts w:cs="Arial" w:hint="cs"/>
          <w:rtl/>
        </w:rPr>
        <w:t xml:space="preserve">וכ"כ רי"ו </w:t>
      </w:r>
      <w:r w:rsidRPr="00BA72C9">
        <w:rPr>
          <w:rFonts w:cs="Arial" w:hint="cs"/>
          <w:sz w:val="16"/>
          <w:szCs w:val="16"/>
          <w:rtl/>
        </w:rPr>
        <w:t>(</w:t>
      </w:r>
      <w:r w:rsidRPr="00BA72C9">
        <w:rPr>
          <w:rFonts w:cs="Arial"/>
          <w:sz w:val="16"/>
          <w:szCs w:val="16"/>
          <w:rtl/>
        </w:rPr>
        <w:t>חי"ח ני"ב קא ע"א)</w:t>
      </w:r>
      <w:r>
        <w:rPr>
          <w:rFonts w:cs="Arial" w:hint="cs"/>
          <w:rtl/>
        </w:rPr>
        <w:t xml:space="preserve"> דהלכה כרבי.</w:t>
      </w:r>
    </w:p>
  </w:footnote>
  <w:footnote w:id="179">
    <w:p w14:paraId="20A926D4" w14:textId="77777777" w:rsidR="004B2E7C" w:rsidRDefault="004B2E7C" w:rsidP="00285819">
      <w:pPr>
        <w:pStyle w:val="a7"/>
        <w:rPr>
          <w:rtl/>
        </w:rPr>
      </w:pPr>
      <w:r>
        <w:rPr>
          <w:rStyle w:val="a9"/>
        </w:rPr>
        <w:footnoteRef/>
      </w:r>
      <w:r>
        <w:rPr>
          <w:rtl/>
        </w:rPr>
        <w:t xml:space="preserve"> </w:t>
      </w:r>
      <w:r>
        <w:rPr>
          <w:rFonts w:cs="Arial"/>
          <w:rtl/>
        </w:rPr>
        <w:t>וכתבו הגה</w:t>
      </w:r>
      <w:r>
        <w:rPr>
          <w:rFonts w:cs="Arial" w:hint="cs"/>
          <w:rtl/>
        </w:rPr>
        <w:t>"מ</w:t>
      </w:r>
      <w:r>
        <w:rPr>
          <w:rFonts w:cs="Arial"/>
          <w:rtl/>
        </w:rPr>
        <w:t xml:space="preserve"> </w:t>
      </w:r>
      <w:r>
        <w:rPr>
          <w:rFonts w:cs="Arial" w:hint="cs"/>
          <w:rtl/>
        </w:rPr>
        <w:t>(</w:t>
      </w:r>
      <w:r>
        <w:rPr>
          <w:rFonts w:cs="Arial"/>
          <w:rtl/>
        </w:rPr>
        <w:t>ד</w:t>
      </w:r>
      <w:r>
        <w:rPr>
          <w:rFonts w:cs="Arial" w:hint="cs"/>
          <w:rtl/>
        </w:rPr>
        <w:t>"ק</w:t>
      </w:r>
      <w:r>
        <w:rPr>
          <w:rFonts w:cs="Arial"/>
          <w:rtl/>
        </w:rPr>
        <w:t xml:space="preserve"> פ</w:t>
      </w:r>
      <w:r>
        <w:rPr>
          <w:rFonts w:cs="Arial" w:hint="cs"/>
          <w:rtl/>
        </w:rPr>
        <w:t>"</w:t>
      </w:r>
      <w:r>
        <w:rPr>
          <w:rFonts w:cs="Arial"/>
          <w:rtl/>
        </w:rPr>
        <w:t>ל הי"ג) דאין נראה לריב"א דלא מסתבר לומר דפליגי רבי ורבן שמעון בן גמליאל אליבא דבית שמאי כי אם אליבא דבית הלל ואפילו הכי אסרי פחות מג' ימים קודם השבת</w:t>
      </w:r>
      <w:r>
        <w:rPr>
          <w:rFonts w:cs="Arial" w:hint="cs"/>
          <w:rtl/>
        </w:rPr>
        <w:t>.</w:t>
      </w:r>
      <w:r>
        <w:rPr>
          <w:rFonts w:cs="Arial"/>
          <w:rtl/>
        </w:rPr>
        <w:t xml:space="preserve"> וכן כתוב בהגמ</w:t>
      </w:r>
      <w:r>
        <w:rPr>
          <w:rFonts w:cs="Arial" w:hint="cs"/>
          <w:rtl/>
        </w:rPr>
        <w:t>"</w:t>
      </w:r>
      <w:r>
        <w:rPr>
          <w:rFonts w:cs="Arial"/>
          <w:rtl/>
        </w:rPr>
        <w:t>ר בפ"ק דשבת (סי' תנב)</w:t>
      </w:r>
      <w:r>
        <w:rPr>
          <w:rFonts w:cs="Arial" w:hint="cs"/>
          <w:rtl/>
        </w:rPr>
        <w:t>.</w:t>
      </w:r>
      <w:r>
        <w:rPr>
          <w:rFonts w:cs="Arial"/>
          <w:rtl/>
        </w:rPr>
        <w:t xml:space="preserve"> וגם הרא"ש בפ"ק דשבת (סי' לח) ובפרק מי שהוציאוהו (עירובין פ"ד סי' ג) הכריע דלא כרשב"ם</w:t>
      </w:r>
      <w:r>
        <w:rPr>
          <w:rFonts w:cs="Arial" w:hint="cs"/>
          <w:rtl/>
        </w:rPr>
        <w:t>.</w:t>
      </w:r>
      <w:r>
        <w:rPr>
          <w:rFonts w:cs="Arial"/>
          <w:rtl/>
        </w:rPr>
        <w:t xml:space="preserve"> וכן דעת כל הפוסקים שפסקו כברייתא דאין מפליגין פחות מג' ימים קודם השבת</w:t>
      </w:r>
      <w:r>
        <w:rPr>
          <w:rFonts w:cs="Arial" w:hint="cs"/>
          <w:rtl/>
        </w:rPr>
        <w:t>.</w:t>
      </w:r>
      <w:r>
        <w:rPr>
          <w:rFonts w:cs="Arial"/>
          <w:rtl/>
        </w:rPr>
        <w:t xml:space="preserve"> ולפי שסברת רשב"ם יחידאה היא ששום פוסק לא הודה לו לא הזכירה רבינו</w:t>
      </w:r>
      <w:r>
        <w:rPr>
          <w:rFonts w:hint="cs"/>
          <w:rtl/>
        </w:rPr>
        <w:t>, ב"י.</w:t>
      </w:r>
    </w:p>
  </w:footnote>
  <w:footnote w:id="180">
    <w:p w14:paraId="14435182" w14:textId="77777777" w:rsidR="004B2E7C" w:rsidRDefault="004B2E7C" w:rsidP="00285819">
      <w:pPr>
        <w:pStyle w:val="a7"/>
        <w:rPr>
          <w:rtl/>
        </w:rPr>
      </w:pPr>
      <w:r>
        <w:rPr>
          <w:rStyle w:val="a9"/>
        </w:rPr>
        <w:footnoteRef/>
      </w:r>
      <w:r>
        <w:rPr>
          <w:rtl/>
        </w:rPr>
        <w:t xml:space="preserve"> </w:t>
      </w:r>
      <w:r>
        <w:rPr>
          <w:rFonts w:cs="Arial" w:hint="cs"/>
          <w:rtl/>
        </w:rPr>
        <w:t>ו</w:t>
      </w:r>
      <w:r w:rsidRPr="00C87834">
        <w:rPr>
          <w:rFonts w:cs="Arial"/>
          <w:rtl/>
        </w:rPr>
        <w:t>קשה מאד בעיני דא</w:t>
      </w:r>
      <w:r>
        <w:rPr>
          <w:rFonts w:cs="Arial" w:hint="cs"/>
          <w:rtl/>
        </w:rPr>
        <w:t>"</w:t>
      </w:r>
      <w:r w:rsidRPr="00C87834">
        <w:rPr>
          <w:rFonts w:cs="Arial"/>
          <w:rtl/>
        </w:rPr>
        <w:t>כ הו"ל למיתני אין מפליגין בער</w:t>
      </w:r>
      <w:r>
        <w:rPr>
          <w:rFonts w:cs="Arial" w:hint="cs"/>
          <w:rtl/>
        </w:rPr>
        <w:t>"</w:t>
      </w:r>
      <w:r w:rsidRPr="00C87834">
        <w:rPr>
          <w:rFonts w:cs="Arial"/>
          <w:rtl/>
        </w:rPr>
        <w:t>ש וברביעי ובחמישי מותר כדקתני גבי שילוח אגרות ושכירות כלים</w:t>
      </w:r>
      <w:r>
        <w:rPr>
          <w:rFonts w:hint="cs"/>
          <w:rtl/>
        </w:rPr>
        <w:t>, ב"י.</w:t>
      </w:r>
    </w:p>
  </w:footnote>
  <w:footnote w:id="181">
    <w:p w14:paraId="759AAE6E" w14:textId="77777777" w:rsidR="004B2E7C" w:rsidRDefault="004B2E7C" w:rsidP="00285819">
      <w:pPr>
        <w:pStyle w:val="a7"/>
        <w:rPr>
          <w:rtl/>
        </w:rPr>
      </w:pPr>
      <w:r>
        <w:rPr>
          <w:rStyle w:val="a9"/>
        </w:rPr>
        <w:footnoteRef/>
      </w:r>
      <w:r>
        <w:rPr>
          <w:rtl/>
        </w:rPr>
        <w:t xml:space="preserve"> </w:t>
      </w:r>
      <w:r>
        <w:rPr>
          <w:rFonts w:cs="Arial"/>
          <w:rtl/>
        </w:rPr>
        <w:t>וכתב הרב המגיד שכתב כן מדאמרינן בפרק מקום שנהגו (פסחים נ:) בני בישן נהוג דלא הוו אזלי מצור לצידון במעלי שבתא ואתו לקמיה דרבי יוחנן ואסר להו. אבל רש"י פירשה בענין אחר שאינה ענין לזה כלל</w:t>
      </w:r>
      <w:r>
        <w:rPr>
          <w:rFonts w:cs="Arial" w:hint="cs"/>
          <w:rtl/>
        </w:rPr>
        <w:t>.</w:t>
      </w:r>
      <w:r>
        <w:rPr>
          <w:rFonts w:cs="Arial"/>
          <w:rtl/>
        </w:rPr>
        <w:t xml:space="preserve"> מיהו הר"ן (שם יז. ד"ה בני) כתב כדברי הרמב"ם</w:t>
      </w:r>
      <w:r>
        <w:rPr>
          <w:rFonts w:cs="Arial" w:hint="cs"/>
          <w:rtl/>
        </w:rPr>
        <w:t>.</w:t>
      </w:r>
      <w:r>
        <w:rPr>
          <w:rFonts w:cs="Arial"/>
          <w:rtl/>
        </w:rPr>
        <w:t xml:space="preserve"> ואפילו לדברי רש"י יש לאסור משום דברים המותרין ואחרים נהגו בהם איסור כדאיתא התם</w:t>
      </w:r>
      <w:r>
        <w:rPr>
          <w:rFonts w:cs="Arial" w:hint="cs"/>
          <w:rtl/>
        </w:rPr>
        <w:t>, ב"י.</w:t>
      </w:r>
    </w:p>
  </w:footnote>
  <w:footnote w:id="182">
    <w:p w14:paraId="4A22B9BB" w14:textId="77777777" w:rsidR="004B2E7C" w:rsidRDefault="004B2E7C" w:rsidP="00285819">
      <w:pPr>
        <w:pStyle w:val="a7"/>
      </w:pPr>
      <w:r>
        <w:rPr>
          <w:rStyle w:val="a9"/>
        </w:rPr>
        <w:footnoteRef/>
      </w:r>
      <w:r>
        <w:rPr>
          <w:rtl/>
        </w:rPr>
        <w:t xml:space="preserve"> </w:t>
      </w:r>
      <w:r w:rsidRPr="00CD7607">
        <w:rPr>
          <w:rFonts w:cs="Arial"/>
          <w:rtl/>
        </w:rPr>
        <w:t>היינו אף דבודאי לא יקיים עונג שבת עי"ז כמ"ש המחבר בס"ב אפ"ה מותר כיון דלצורך מצוה הוא וקי"ל דעוסק במצוה פטור מן המצוה ולא מבעיא אם הספינה הולכת במקום שהמים עמוקים יותר מעשרה טפחים דמותר ואין לחוש ליציאת חוץ לתחום דקי"ל אין תחומין למעלה מעשרה טפחים אלא אפילו יש מקומות שהמים מועטין פחות מעשרה טפחים ג"כ מותר לצאת בע"ש בספינה כיון שהוא לדבר מצוה [א"ר]</w:t>
      </w:r>
      <w:r>
        <w:rPr>
          <w:rFonts w:cs="Arial" w:hint="cs"/>
          <w:rtl/>
        </w:rPr>
        <w:t>, משנ"ב (סקא).</w:t>
      </w:r>
    </w:p>
  </w:footnote>
  <w:footnote w:id="183">
    <w:p w14:paraId="313C19DE" w14:textId="77777777" w:rsidR="004B2E7C" w:rsidRDefault="004B2E7C" w:rsidP="00285819">
      <w:pPr>
        <w:pStyle w:val="a7"/>
        <w:rPr>
          <w:rtl/>
        </w:rPr>
      </w:pPr>
      <w:r>
        <w:rPr>
          <w:rStyle w:val="a9"/>
        </w:rPr>
        <w:footnoteRef/>
      </w:r>
      <w:r>
        <w:rPr>
          <w:rtl/>
        </w:rPr>
        <w:t xml:space="preserve"> </w:t>
      </w:r>
      <w:r w:rsidRPr="00CD7607">
        <w:rPr>
          <w:rFonts w:cs="Arial"/>
          <w:rtl/>
        </w:rPr>
        <w:t>כתב המ"א דבשבת אסור להפליג אפילו לדבר מצוה דהא לא יוכל לפסוק עמו שישבות ולא ילך ויש שמצדדים דאפילו בשבת שרי לדבר מצוה ועיין בשע"ת סוף סימן זה ובח"א כלל ד'</w:t>
      </w:r>
      <w:r>
        <w:rPr>
          <w:rFonts w:hint="cs"/>
          <w:rtl/>
        </w:rPr>
        <w:t>, משנ"ב (סק"ב).</w:t>
      </w:r>
    </w:p>
  </w:footnote>
  <w:footnote w:id="184">
    <w:p w14:paraId="69B938CE" w14:textId="77777777" w:rsidR="004B2E7C" w:rsidRDefault="004B2E7C" w:rsidP="00285819">
      <w:pPr>
        <w:pStyle w:val="a7"/>
      </w:pPr>
      <w:r>
        <w:rPr>
          <w:rStyle w:val="a9"/>
        </w:rPr>
        <w:footnoteRef/>
      </w:r>
      <w:r>
        <w:rPr>
          <w:rtl/>
        </w:rPr>
        <w:t xml:space="preserve"> </w:t>
      </w:r>
      <w:r w:rsidRPr="00CD7607">
        <w:rPr>
          <w:rFonts w:cs="Arial"/>
          <w:rtl/>
        </w:rPr>
        <w:t>בין אם הוא מפליג מע"ש בין מקודם כיון שהוא תוך ג' ימים הסמוך לשבת [ט"ז]. בספר עו"ש נסתפק אם א"א לו לפסוק כגון שה</w:t>
      </w:r>
      <w:r>
        <w:rPr>
          <w:rFonts w:cs="Arial" w:hint="cs"/>
          <w:rtl/>
        </w:rPr>
        <w:t>גו</w:t>
      </w:r>
      <w:r w:rsidRPr="00CD7607">
        <w:rPr>
          <w:rFonts w:cs="Arial"/>
          <w:rtl/>
        </w:rPr>
        <w:t>י אומר לו שלא ישבות וכה"ג אי מעכב או לא והסכימו רוב האחרונים דהפסיקה הוא רק למצוה בעלמא ואינו מעכב</w:t>
      </w:r>
      <w:r>
        <w:rPr>
          <w:rFonts w:cs="Arial" w:hint="cs"/>
          <w:rtl/>
        </w:rPr>
        <w:t>, משנ"ב (סק"ג).</w:t>
      </w:r>
    </w:p>
  </w:footnote>
  <w:footnote w:id="185">
    <w:p w14:paraId="01C52AE7" w14:textId="77777777" w:rsidR="004B2E7C" w:rsidRDefault="004B2E7C" w:rsidP="00285819">
      <w:pPr>
        <w:pStyle w:val="a7"/>
        <w:rPr>
          <w:rtl/>
        </w:rPr>
      </w:pPr>
      <w:r>
        <w:rPr>
          <w:rStyle w:val="a9"/>
        </w:rPr>
        <w:footnoteRef/>
      </w:r>
      <w:r>
        <w:rPr>
          <w:rtl/>
        </w:rPr>
        <w:t xml:space="preserve"> </w:t>
      </w:r>
      <w:r w:rsidRPr="00A331D1">
        <w:rPr>
          <w:rFonts w:cs="Arial"/>
          <w:rtl/>
        </w:rPr>
        <w:t>דהיינו ביום רביעי בשבת אסור [מ"א בשם הרבה אחרונים] אבל הגר"א הביא בשם הרבה ראשונים דהג' ימים נחשבין עם השבת גופא וביום רביעי מותר ועי"ש שכתב שכן מוכח בתוספתא ובירושלמי</w:t>
      </w:r>
      <w:r>
        <w:rPr>
          <w:rFonts w:hint="cs"/>
          <w:rtl/>
        </w:rPr>
        <w:t>, משנ"ב (סק"ד).</w:t>
      </w:r>
    </w:p>
  </w:footnote>
  <w:footnote w:id="186">
    <w:p w14:paraId="040BA142" w14:textId="77777777" w:rsidR="004B2E7C" w:rsidRDefault="004B2E7C" w:rsidP="00285819">
      <w:pPr>
        <w:pStyle w:val="a7"/>
        <w:rPr>
          <w:rtl/>
        </w:rPr>
      </w:pPr>
      <w:r>
        <w:rPr>
          <w:rStyle w:val="a9"/>
        </w:rPr>
        <w:footnoteRef/>
      </w:r>
      <w:r>
        <w:rPr>
          <w:rtl/>
        </w:rPr>
        <w:t xml:space="preserve"> </w:t>
      </w:r>
      <w:r w:rsidRPr="00A331D1">
        <w:rPr>
          <w:rFonts w:cs="Arial"/>
          <w:rtl/>
        </w:rPr>
        <w:t>וה"ה קודם יום טוב דיו"ט ושבת שוין וכן ביום טוב שני אין מפליגין</w:t>
      </w:r>
      <w:r>
        <w:rPr>
          <w:rFonts w:hint="cs"/>
          <w:rtl/>
        </w:rPr>
        <w:t>, משנ"ב (סק"ה).</w:t>
      </w:r>
    </w:p>
  </w:footnote>
  <w:footnote w:id="187">
    <w:p w14:paraId="4D362371" w14:textId="77777777" w:rsidR="004B2E7C" w:rsidRDefault="004B2E7C" w:rsidP="00285819">
      <w:pPr>
        <w:pStyle w:val="a7"/>
        <w:rPr>
          <w:rtl/>
        </w:rPr>
      </w:pPr>
      <w:r>
        <w:rPr>
          <w:rStyle w:val="a9"/>
        </w:rPr>
        <w:footnoteRef/>
      </w:r>
      <w:r>
        <w:rPr>
          <w:rtl/>
        </w:rPr>
        <w:t xml:space="preserve"> </w:t>
      </w:r>
      <w:r w:rsidRPr="00A331D1">
        <w:rPr>
          <w:rFonts w:cs="Arial"/>
          <w:rtl/>
        </w:rPr>
        <w:t>ר"ל דלא נימא דדמי להליכה בקרון דאסור ליסע בשבת אפילו אם ישב בהקרון קודם ג' ימים</w:t>
      </w:r>
      <w:r>
        <w:rPr>
          <w:rFonts w:cs="Arial" w:hint="cs"/>
          <w:rtl/>
        </w:rPr>
        <w:t>.</w:t>
      </w:r>
      <w:r w:rsidRPr="00A331D1">
        <w:rPr>
          <w:rFonts w:cs="Arial"/>
          <w:rtl/>
        </w:rPr>
        <w:t xml:space="preserve"> ועיין בס"ב בהג"ה דלפי מה שרגילין למשוך הספינות בבהמות בנהרות אפילו בתוך ג' ימים מותר להפליג</w:t>
      </w:r>
      <w:r>
        <w:rPr>
          <w:rFonts w:cs="Arial" w:hint="cs"/>
          <w:rtl/>
        </w:rPr>
        <w:t>,</w:t>
      </w:r>
      <w:r w:rsidRPr="00A331D1">
        <w:rPr>
          <w:rFonts w:cs="Arial"/>
          <w:rtl/>
        </w:rPr>
        <w:t xml:space="preserve"> אלא דנקט קודם ג' ימים משום שאר ספינות [הגר"א]</w:t>
      </w:r>
      <w:r>
        <w:rPr>
          <w:rFonts w:hint="cs"/>
          <w:rtl/>
        </w:rPr>
        <w:t>, משנ"ב (סק"ו).</w:t>
      </w:r>
    </w:p>
  </w:footnote>
  <w:footnote w:id="188">
    <w:p w14:paraId="30FA74F1" w14:textId="77777777" w:rsidR="004B2E7C" w:rsidRDefault="004B2E7C" w:rsidP="00285819">
      <w:pPr>
        <w:pStyle w:val="a7"/>
        <w:rPr>
          <w:rtl/>
        </w:rPr>
      </w:pPr>
      <w:r>
        <w:rPr>
          <w:rStyle w:val="a9"/>
        </w:rPr>
        <w:footnoteRef/>
      </w:r>
      <w:r>
        <w:rPr>
          <w:rtl/>
        </w:rPr>
        <w:t xml:space="preserve"> </w:t>
      </w:r>
      <w:r w:rsidRPr="00A331D1">
        <w:rPr>
          <w:rFonts w:cs="Arial"/>
          <w:rtl/>
        </w:rPr>
        <w:t>דהו"א דאסור משום תחומין קמ"ל דלא והטעם כיון שהתחיל קודם ג' ימים וכמש"כ לקמיה</w:t>
      </w:r>
      <w:r>
        <w:rPr>
          <w:rFonts w:hint="cs"/>
          <w:rtl/>
        </w:rPr>
        <w:t>, משנ"ב (סק"ז).</w:t>
      </w:r>
    </w:p>
  </w:footnote>
  <w:footnote w:id="189">
    <w:p w14:paraId="1365165F" w14:textId="77777777" w:rsidR="004B2E7C" w:rsidRDefault="004B2E7C" w:rsidP="00285819">
      <w:pPr>
        <w:pStyle w:val="a7"/>
      </w:pPr>
      <w:r>
        <w:rPr>
          <w:rStyle w:val="a9"/>
        </w:rPr>
        <w:footnoteRef/>
      </w:r>
      <w:r>
        <w:rPr>
          <w:rtl/>
        </w:rPr>
        <w:t xml:space="preserve"> </w:t>
      </w:r>
      <w:r w:rsidRPr="00A331D1">
        <w:rPr>
          <w:rFonts w:cs="Arial"/>
          <w:rtl/>
        </w:rPr>
        <w:t>הטעם כמו שכתבנו למעלה דשלשה ימים קודם השבת שייכים לשבת הבא וחל עליו להזהר שלא יבוא לידי חילול שבת וכשיצא בתוך הזמן הזה הרי הוא כאלו מתנה לחלל עליו את השבת אבל קודם לזה שייכים לשבת שעבר וכיון שהפליג בהיתר אין לו להמנע מחמת שבת הבא שאז אם יארע לו סכנה ויצטרך לחללו משום פיקוח נפש אין כאן חילול ועיין לקמן בסקכ"ה מה שנכתוב בזה</w:t>
      </w:r>
      <w:r>
        <w:rPr>
          <w:rFonts w:cs="Arial" w:hint="cs"/>
          <w:rtl/>
        </w:rPr>
        <w:t>, משנ"ב (סק"ח).</w:t>
      </w:r>
    </w:p>
  </w:footnote>
  <w:footnote w:id="190">
    <w:p w14:paraId="281805AB" w14:textId="77777777" w:rsidR="004B2E7C" w:rsidRDefault="004B2E7C" w:rsidP="00285819">
      <w:pPr>
        <w:pStyle w:val="a7"/>
      </w:pPr>
      <w:r>
        <w:rPr>
          <w:rStyle w:val="a9"/>
        </w:rPr>
        <w:footnoteRef/>
      </w:r>
      <w:r>
        <w:rPr>
          <w:rtl/>
        </w:rPr>
        <w:t xml:space="preserve"> </w:t>
      </w:r>
      <w:r w:rsidRPr="00A331D1">
        <w:rPr>
          <w:rFonts w:cs="Arial"/>
          <w:rtl/>
        </w:rPr>
        <w:t>דאם ימשך שעה ושתים על היום אסור דלא יגיע לשם קודם השבת [ב"י]</w:t>
      </w:r>
      <w:r>
        <w:rPr>
          <w:rFonts w:cs="Arial" w:hint="cs"/>
          <w:rtl/>
        </w:rPr>
        <w:t>, משנ"ב (סק"י).</w:t>
      </w:r>
    </w:p>
  </w:footnote>
  <w:footnote w:id="191">
    <w:p w14:paraId="3C9E2BB7" w14:textId="77777777" w:rsidR="004B2E7C" w:rsidRDefault="004B2E7C" w:rsidP="00285819">
      <w:pPr>
        <w:pStyle w:val="a7"/>
      </w:pPr>
      <w:r>
        <w:rPr>
          <w:rStyle w:val="a9"/>
        </w:rPr>
        <w:footnoteRef/>
      </w:r>
      <w:r>
        <w:rPr>
          <w:rtl/>
        </w:rPr>
        <w:t xml:space="preserve"> </w:t>
      </w:r>
      <w:r>
        <w:rPr>
          <w:rFonts w:hint="cs"/>
          <w:rtl/>
        </w:rPr>
        <w:t xml:space="preserve">וז"ל- </w:t>
      </w:r>
      <w:r w:rsidRPr="00865494">
        <w:rPr>
          <w:rFonts w:cs="Arial"/>
          <w:rtl/>
        </w:rPr>
        <w:t>יש מי שאומרים בזמן שגוששת ואין במים י' טפחים ומשום גזירת תחומין נגעו בה אבל למעלה מי' טפחים לא גזרו ומשום הכי נהגו להפליג בים הגדול</w:t>
      </w:r>
      <w:r>
        <w:rPr>
          <w:rFonts w:cs="Arial" w:hint="cs"/>
          <w:rtl/>
        </w:rPr>
        <w:t>. עכ"ל. ופסק הר"ח שם כדברי היש אומרים.</w:t>
      </w:r>
      <w:r w:rsidRPr="004E2F41">
        <w:rPr>
          <w:rFonts w:cs="Arial" w:hint="cs"/>
          <w:rtl/>
        </w:rPr>
        <w:t xml:space="preserve"> וכ"כ בהגה"מ [פ"ל אות מ] בשם ר"ת, ואולי הוא ט"ס וצ"ל ר"ח</w:t>
      </w:r>
      <w:r>
        <w:rPr>
          <w:rFonts w:hint="cs"/>
          <w:rtl/>
        </w:rPr>
        <w:t>.</w:t>
      </w:r>
    </w:p>
  </w:footnote>
  <w:footnote w:id="192">
    <w:p w14:paraId="1AFFE6F8" w14:textId="77777777" w:rsidR="004B2E7C" w:rsidRDefault="004B2E7C" w:rsidP="00285819">
      <w:pPr>
        <w:pStyle w:val="a7"/>
      </w:pPr>
      <w:r>
        <w:rPr>
          <w:rStyle w:val="a9"/>
        </w:rPr>
        <w:footnoteRef/>
      </w:r>
      <w:r>
        <w:rPr>
          <w:rtl/>
        </w:rPr>
        <w:t xml:space="preserve"> </w:t>
      </w:r>
      <w:r>
        <w:rPr>
          <w:rFonts w:hint="cs"/>
          <w:rtl/>
        </w:rPr>
        <w:t xml:space="preserve">והזכירו </w:t>
      </w:r>
      <w:r w:rsidRPr="00865494">
        <w:rPr>
          <w:rFonts w:cs="Arial" w:hint="cs"/>
          <w:rtl/>
        </w:rPr>
        <w:t>הרי"ף [ז:] והרא"ש [סי' לח] סברא זו, ודחוה</w:t>
      </w:r>
      <w:r>
        <w:rPr>
          <w:rFonts w:hint="cs"/>
          <w:rtl/>
        </w:rPr>
        <w:t xml:space="preserve">, וז"ל הרי"ף- </w:t>
      </w:r>
      <w:r w:rsidRPr="00423F38">
        <w:rPr>
          <w:rFonts w:cs="Arial"/>
          <w:rtl/>
        </w:rPr>
        <w:t>והאי טעמא פריכא הוא</w:t>
      </w:r>
      <w:r>
        <w:rPr>
          <w:rFonts w:cs="Arial" w:hint="cs"/>
          <w:rtl/>
        </w:rPr>
        <w:t>.</w:t>
      </w:r>
      <w:r w:rsidRPr="00423F38">
        <w:rPr>
          <w:rFonts w:cs="Arial"/>
          <w:rtl/>
        </w:rPr>
        <w:t xml:space="preserve"> דאי מהאי טעמא הוא דאין מפליגין</w:t>
      </w:r>
      <w:r>
        <w:rPr>
          <w:rFonts w:cs="Arial" w:hint="cs"/>
          <w:rtl/>
        </w:rPr>
        <w:t>,</w:t>
      </w:r>
      <w:r w:rsidRPr="00423F38">
        <w:rPr>
          <w:rFonts w:cs="Arial"/>
          <w:rtl/>
        </w:rPr>
        <w:t xml:space="preserve"> הוה ליה למיתנא אין מפליגין בספינה קטנה</w:t>
      </w:r>
      <w:r>
        <w:rPr>
          <w:rFonts w:cs="Arial" w:hint="cs"/>
          <w:rtl/>
        </w:rPr>
        <w:t>.</w:t>
      </w:r>
      <w:r w:rsidRPr="00423F38">
        <w:rPr>
          <w:rFonts w:cs="Arial"/>
          <w:rtl/>
        </w:rPr>
        <w:t xml:space="preserve"> אמאי תני ספינה סתם</w:t>
      </w:r>
      <w:r>
        <w:rPr>
          <w:rFonts w:cs="Arial" w:hint="cs"/>
          <w:rtl/>
        </w:rPr>
        <w:t>,</w:t>
      </w:r>
      <w:r w:rsidRPr="00423F38">
        <w:rPr>
          <w:rFonts w:cs="Arial"/>
          <w:rtl/>
        </w:rPr>
        <w:t xml:space="preserve"> דמשמע בין קטנה בין גדולה</w:t>
      </w:r>
      <w:r>
        <w:rPr>
          <w:rFonts w:cs="Arial" w:hint="cs"/>
          <w:rtl/>
        </w:rPr>
        <w:t>.</w:t>
      </w:r>
      <w:r w:rsidRPr="00423F38">
        <w:rPr>
          <w:rFonts w:cs="Arial"/>
          <w:rtl/>
        </w:rPr>
        <w:t xml:space="preserve"> ועוד מאי איריא ג' ימים</w:t>
      </w:r>
      <w:r>
        <w:rPr>
          <w:rFonts w:cs="Arial" w:hint="cs"/>
          <w:rtl/>
        </w:rPr>
        <w:t>,</w:t>
      </w:r>
      <w:r w:rsidRPr="00423F38">
        <w:rPr>
          <w:rFonts w:cs="Arial"/>
          <w:rtl/>
        </w:rPr>
        <w:t xml:space="preserve"> אפי' טפי נמי</w:t>
      </w:r>
      <w:r>
        <w:rPr>
          <w:rFonts w:cs="Arial" w:hint="cs"/>
          <w:rtl/>
        </w:rPr>
        <w:t>.</w:t>
      </w:r>
      <w:r w:rsidRPr="00423F38">
        <w:rPr>
          <w:rFonts w:cs="Arial"/>
          <w:rtl/>
        </w:rPr>
        <w:t xml:space="preserve"> ועוד לדבר מצוה אמאי שרי והא העמידו דבריהם במקום עשה כדתנן [פסחים צא</w:t>
      </w:r>
      <w:r>
        <w:rPr>
          <w:rFonts w:cs="Arial" w:hint="cs"/>
          <w:rtl/>
        </w:rPr>
        <w:t>:</w:t>
      </w:r>
      <w:r w:rsidRPr="00423F38">
        <w:rPr>
          <w:rFonts w:cs="Arial"/>
          <w:rtl/>
        </w:rPr>
        <w:t>] אונן טובל ואוכל את פסחו לערב אבל לא בקדשים ואמרי' עלה [</w:t>
      </w:r>
      <w:r>
        <w:rPr>
          <w:rFonts w:cs="Arial" w:hint="cs"/>
          <w:rtl/>
        </w:rPr>
        <w:t>שם</w:t>
      </w:r>
      <w:r w:rsidRPr="00423F38">
        <w:rPr>
          <w:rFonts w:cs="Arial"/>
          <w:rtl/>
        </w:rPr>
        <w:t xml:space="preserve"> צב</w:t>
      </w:r>
      <w:r>
        <w:rPr>
          <w:rFonts w:cs="Arial" w:hint="cs"/>
          <w:rtl/>
        </w:rPr>
        <w:t>.</w:t>
      </w:r>
      <w:r w:rsidRPr="00423F38">
        <w:rPr>
          <w:rFonts w:cs="Arial"/>
          <w:rtl/>
        </w:rPr>
        <w:t>] גבי פסח לא העמידו דבריהם במקום כרת גבי קדשים העמידו דבריהם במקום עשה אלא היינו טעמא דאין מפליגין בספינה פחות מג' ימים קודם השבת משום בטול מצות עונג שבת</w:t>
      </w:r>
      <w:r>
        <w:rPr>
          <w:rFonts w:cs="Arial" w:hint="cs"/>
          <w:rtl/>
        </w:rPr>
        <w:t>...</w:t>
      </w:r>
      <w:r w:rsidRPr="00423F38">
        <w:rPr>
          <w:rFonts w:cs="Arial"/>
          <w:rtl/>
        </w:rPr>
        <w:t xml:space="preserve"> </w:t>
      </w:r>
    </w:p>
  </w:footnote>
  <w:footnote w:id="193">
    <w:p w14:paraId="664C899D" w14:textId="77777777" w:rsidR="004B2E7C" w:rsidRDefault="004B2E7C" w:rsidP="00285819">
      <w:pPr>
        <w:pStyle w:val="a7"/>
      </w:pPr>
      <w:r>
        <w:rPr>
          <w:rStyle w:val="a9"/>
        </w:rPr>
        <w:footnoteRef/>
      </w:r>
      <w:r>
        <w:rPr>
          <w:rtl/>
        </w:rPr>
        <w:t xml:space="preserve"> </w:t>
      </w:r>
      <w:r>
        <w:rPr>
          <w:rFonts w:hint="cs"/>
          <w:rtl/>
        </w:rPr>
        <w:t xml:space="preserve">וז"ל- </w:t>
      </w:r>
      <w:r w:rsidRPr="00423F38">
        <w:rPr>
          <w:rFonts w:cs="Arial"/>
          <w:rtl/>
        </w:rPr>
        <w:t>היינו טעמא דאין מפליגין בספינה פחות מג' ימים קודם השבת משום בטול מצות עונג שבת</w:t>
      </w:r>
      <w:r>
        <w:rPr>
          <w:rFonts w:cs="Arial" w:hint="cs"/>
          <w:rtl/>
        </w:rPr>
        <w:t xml:space="preserve"> </w:t>
      </w:r>
      <w:r w:rsidRPr="00423F38">
        <w:rPr>
          <w:rFonts w:cs="Arial"/>
          <w:rtl/>
        </w:rPr>
        <w:t>דכל ג' ימים הויא להו שינוי וסת משום נענוע הספינה כדכתיב בהו יחוגו וינועו כשכור וגו' ולא יכלי למעבד עונג שבת ולאחר שלשת ימים הויא להו נייחא ובעי מיכלא ומקיימי מצות עונג שבת והיינו טעמא דלדבר מצוה שרי משום דפטירי ממצות עונג דאמר מר [סוכה כה</w:t>
      </w:r>
      <w:r>
        <w:rPr>
          <w:rFonts w:cs="Arial" w:hint="cs"/>
          <w:rtl/>
        </w:rPr>
        <w:t>.</w:t>
      </w:r>
      <w:r w:rsidRPr="00423F38">
        <w:rPr>
          <w:rFonts w:cs="Arial"/>
          <w:rtl/>
        </w:rPr>
        <w:t>] העוסק במצוה פטור מן המצוה ותנן נמי [</w:t>
      </w:r>
      <w:r>
        <w:rPr>
          <w:rFonts w:cs="Arial" w:hint="cs"/>
          <w:rtl/>
        </w:rPr>
        <w:t>שם</w:t>
      </w:r>
      <w:r w:rsidRPr="00423F38">
        <w:rPr>
          <w:rFonts w:cs="Arial"/>
          <w:rtl/>
        </w:rPr>
        <w:t>] שלוחי מצוה פטורין מן הסוכה</w:t>
      </w:r>
      <w:r>
        <w:rPr>
          <w:rFonts w:cs="Arial" w:hint="cs"/>
          <w:rtl/>
        </w:rPr>
        <w:t>.</w:t>
      </w:r>
    </w:p>
  </w:footnote>
  <w:footnote w:id="194">
    <w:p w14:paraId="21483DDA" w14:textId="77777777" w:rsidR="004B2E7C" w:rsidRDefault="004B2E7C" w:rsidP="00285819">
      <w:pPr>
        <w:pStyle w:val="a7"/>
      </w:pPr>
      <w:r>
        <w:rPr>
          <w:rStyle w:val="a9"/>
        </w:rPr>
        <w:footnoteRef/>
      </w:r>
      <w:r>
        <w:rPr>
          <w:rtl/>
        </w:rPr>
        <w:t xml:space="preserve"> </w:t>
      </w:r>
      <w:r>
        <w:rPr>
          <w:rFonts w:hint="cs"/>
          <w:rtl/>
        </w:rPr>
        <w:t xml:space="preserve">וז"ל- </w:t>
      </w:r>
      <w:r w:rsidRPr="00823DAA">
        <w:rPr>
          <w:rFonts w:cs="Arial"/>
          <w:rtl/>
        </w:rPr>
        <w:t>אין מפליגין בספינה פחות משלשה ימים קודם השבת</w:t>
      </w:r>
      <w:r>
        <w:rPr>
          <w:rFonts w:cs="Arial" w:hint="cs"/>
          <w:rtl/>
        </w:rPr>
        <w:t>,</w:t>
      </w:r>
      <w:r w:rsidRPr="00823DAA">
        <w:rPr>
          <w:rFonts w:cs="Arial"/>
          <w:rtl/>
        </w:rPr>
        <w:t xml:space="preserve"> כדי שתתישב דעתו עליו קודם השבת ולא יצטער יתר מדאי</w:t>
      </w:r>
      <w:r>
        <w:rPr>
          <w:rFonts w:cs="Arial" w:hint="cs"/>
          <w:rtl/>
        </w:rPr>
        <w:t>.</w:t>
      </w:r>
    </w:p>
  </w:footnote>
  <w:footnote w:id="195">
    <w:p w14:paraId="6B79AAA9" w14:textId="77777777" w:rsidR="004B2E7C" w:rsidRDefault="004B2E7C" w:rsidP="00285819">
      <w:pPr>
        <w:pStyle w:val="a7"/>
        <w:rPr>
          <w:rtl/>
        </w:rPr>
      </w:pPr>
      <w:r>
        <w:rPr>
          <w:rStyle w:val="a9"/>
        </w:rPr>
        <w:footnoteRef/>
      </w:r>
      <w:r>
        <w:rPr>
          <w:rtl/>
        </w:rPr>
        <w:t xml:space="preserve"> </w:t>
      </w:r>
      <w:r>
        <w:rPr>
          <w:rFonts w:cs="Arial" w:hint="cs"/>
          <w:rtl/>
        </w:rPr>
        <w:t>כן כתב הה"מ (שם) בשם הרמב"ם בתשובה</w:t>
      </w:r>
      <w:r w:rsidRPr="006A1B03">
        <w:rPr>
          <w:rFonts w:cs="Arial"/>
          <w:rtl/>
        </w:rPr>
        <w:t xml:space="preserve"> (תשובות הרמב"ם סי' קנד (לפסיא)) שלא נאסר אלא בימים המלוחים בשביל מה שיארע בהם מהצער והבלבול והקיא אבל בנהרות מותר</w:t>
      </w:r>
      <w:r>
        <w:rPr>
          <w:rFonts w:cs="Arial" w:hint="cs"/>
          <w:rtl/>
        </w:rPr>
        <w:t>.</w:t>
      </w:r>
    </w:p>
  </w:footnote>
  <w:footnote w:id="196">
    <w:p w14:paraId="359506C3" w14:textId="77777777" w:rsidR="004B2E7C" w:rsidRDefault="004B2E7C" w:rsidP="00285819">
      <w:pPr>
        <w:pStyle w:val="a7"/>
      </w:pPr>
      <w:r>
        <w:rPr>
          <w:rStyle w:val="a9"/>
        </w:rPr>
        <w:footnoteRef/>
      </w:r>
      <w:r>
        <w:rPr>
          <w:rtl/>
        </w:rPr>
        <w:t xml:space="preserve"> </w:t>
      </w:r>
      <w:r>
        <w:rPr>
          <w:rFonts w:hint="cs"/>
          <w:rtl/>
        </w:rPr>
        <w:t xml:space="preserve">וז"ל התוס' בשמו- </w:t>
      </w:r>
      <w:r w:rsidRPr="00EF06B1">
        <w:rPr>
          <w:rFonts w:cs="Arial"/>
          <w:rtl/>
        </w:rPr>
        <w:t>וטעם שאסור ליכנס בספינה אומר ריצב"א משום דדמי לשט בנהר ואסור גזירה שמא יעשה חבית של שייטין אי נמי שמא ינהיג הספינה והוי כמוליכה ארבע אמות בכרמלית</w:t>
      </w:r>
      <w:r>
        <w:rPr>
          <w:rFonts w:cs="Arial" w:hint="cs"/>
          <w:rtl/>
        </w:rPr>
        <w:t>.</w:t>
      </w:r>
    </w:p>
  </w:footnote>
  <w:footnote w:id="197">
    <w:p w14:paraId="313139F0" w14:textId="77777777" w:rsidR="004B2E7C" w:rsidRDefault="004B2E7C" w:rsidP="00285819">
      <w:pPr>
        <w:pStyle w:val="a7"/>
        <w:rPr>
          <w:rtl/>
        </w:rPr>
      </w:pPr>
      <w:r>
        <w:rPr>
          <w:rStyle w:val="a9"/>
        </w:rPr>
        <w:footnoteRef/>
      </w:r>
      <w:r>
        <w:rPr>
          <w:rtl/>
        </w:rPr>
        <w:t xml:space="preserve"> </w:t>
      </w:r>
      <w:r>
        <w:rPr>
          <w:rFonts w:hint="cs"/>
          <w:rtl/>
        </w:rPr>
        <w:t xml:space="preserve">היינו </w:t>
      </w:r>
      <w:r w:rsidRPr="004E2F41">
        <w:rPr>
          <w:rFonts w:cs="Arial"/>
          <w:rtl/>
        </w:rPr>
        <w:t>שמא יעשה חבית של שייטין</w:t>
      </w:r>
      <w:r>
        <w:rPr>
          <w:rFonts w:cs="Arial" w:hint="cs"/>
          <w:rtl/>
        </w:rPr>
        <w:t>, הגה"מ (פ"ל הי"ג אות מ).</w:t>
      </w:r>
    </w:p>
  </w:footnote>
  <w:footnote w:id="198">
    <w:p w14:paraId="48887086" w14:textId="77777777" w:rsidR="004B2E7C" w:rsidRDefault="004B2E7C" w:rsidP="00285819">
      <w:pPr>
        <w:pStyle w:val="a7"/>
        <w:rPr>
          <w:rtl/>
        </w:rPr>
      </w:pPr>
      <w:r>
        <w:rPr>
          <w:rStyle w:val="a9"/>
        </w:rPr>
        <w:footnoteRef/>
      </w:r>
      <w:r>
        <w:rPr>
          <w:rtl/>
        </w:rPr>
        <w:t xml:space="preserve"> </w:t>
      </w:r>
      <w:r>
        <w:rPr>
          <w:rFonts w:cs="Arial"/>
          <w:rtl/>
        </w:rPr>
        <w:t xml:space="preserve">וכתב הריב"ש </w:t>
      </w:r>
      <w:r>
        <w:rPr>
          <w:rFonts w:cs="Arial" w:hint="cs"/>
          <w:rtl/>
        </w:rPr>
        <w:t>(</w:t>
      </w:r>
      <w:r>
        <w:rPr>
          <w:rFonts w:cs="Arial"/>
          <w:rtl/>
        </w:rPr>
        <w:t>סי' קא) על זה וז"ל</w:t>
      </w:r>
      <w:r>
        <w:rPr>
          <w:rFonts w:cs="Arial" w:hint="cs"/>
          <w:rtl/>
        </w:rPr>
        <w:t>-</w:t>
      </w:r>
      <w:r>
        <w:rPr>
          <w:rFonts w:cs="Arial"/>
          <w:rtl/>
        </w:rPr>
        <w:t xml:space="preserve"> ולפירושו אף כשהספינה של ישראל ומלחיה וחובליה כולם ישראלים והם בעצמם העושים במלאכה מותר כל שהוא ג' ימים קודם השבת</w:t>
      </w:r>
      <w:r>
        <w:rPr>
          <w:rFonts w:cs="Arial" w:hint="cs"/>
          <w:rtl/>
        </w:rPr>
        <w:t>.</w:t>
      </w:r>
      <w:r>
        <w:rPr>
          <w:rFonts w:cs="Arial"/>
          <w:rtl/>
        </w:rPr>
        <w:t xml:space="preserve"> וכל שהוא תוך ג' ימים לשבת אסור אף אם הספינה של גוי ואין הישראל עצמו עושה במלאכה דמכל מקום גוי עושה המלאכה בשביל ישראל השוכרה וישראל נהנה בה בשבת</w:t>
      </w:r>
      <w:r>
        <w:rPr>
          <w:rFonts w:cs="Arial" w:hint="cs"/>
          <w:rtl/>
        </w:rPr>
        <w:t>.</w:t>
      </w:r>
      <w:r>
        <w:rPr>
          <w:rFonts w:cs="Arial"/>
          <w:rtl/>
        </w:rPr>
        <w:t xml:space="preserve"> אלא שמפני הסכנה מותר אלא שצריך שיהיה ג' ימים קודם השבת כדי שלא יהא נראה כמתנה לחלל את השבת</w:t>
      </w:r>
      <w:r w:rsidRPr="00BD728F">
        <w:rPr>
          <w:rFonts w:cs="Arial" w:hint="cs"/>
          <w:color w:val="00B0F0"/>
          <w:rtl/>
        </w:rPr>
        <w:t xml:space="preserve"> </w:t>
      </w:r>
      <w:r w:rsidRPr="00374DB4">
        <w:rPr>
          <w:rFonts w:cs="Arial" w:hint="cs"/>
          <w:color w:val="00B0F0"/>
          <w:sz w:val="16"/>
          <w:szCs w:val="16"/>
          <w:rtl/>
        </w:rPr>
        <w:t>(וכ"פ הרמ"א)</w:t>
      </w:r>
      <w:r>
        <w:rPr>
          <w:rFonts w:cs="Arial" w:hint="cs"/>
          <w:rtl/>
        </w:rPr>
        <w:t>.</w:t>
      </w:r>
      <w:r>
        <w:rPr>
          <w:rFonts w:cs="Arial"/>
          <w:rtl/>
        </w:rPr>
        <w:t xml:space="preserve"> ולזה ברייתא דאין מפליגין בכל ענין היא</w:t>
      </w:r>
      <w:r>
        <w:rPr>
          <w:rFonts w:cs="Arial" w:hint="cs"/>
          <w:rtl/>
        </w:rPr>
        <w:t>,</w:t>
      </w:r>
      <w:r>
        <w:rPr>
          <w:rFonts w:cs="Arial"/>
          <w:rtl/>
        </w:rPr>
        <w:t xml:space="preserve"> בין שהישראלים עושים במלאכה</w:t>
      </w:r>
      <w:r>
        <w:rPr>
          <w:rFonts w:cs="Arial" w:hint="cs"/>
          <w:rtl/>
        </w:rPr>
        <w:t>,</w:t>
      </w:r>
      <w:r>
        <w:rPr>
          <w:rFonts w:cs="Arial"/>
          <w:rtl/>
        </w:rPr>
        <w:t xml:space="preserve"> בין שהגוים עושים אותה בשביל ישראל והוא נהנה ממנו</w:t>
      </w:r>
      <w:r>
        <w:rPr>
          <w:rFonts w:cs="Arial" w:hint="cs"/>
          <w:rtl/>
        </w:rPr>
        <w:t>.</w:t>
      </w:r>
      <w:r>
        <w:rPr>
          <w:rFonts w:cs="Arial"/>
          <w:rtl/>
        </w:rPr>
        <w:t xml:space="preserve"> ולהיות ענין הברייתא אפילו כשהישראלים עצמם עושים מלאכה לזה אמר הרז"ה והוא הדין להפריש במדברות ובכל מקום סכנה שאדם עתיד לחלל בו את השבת</w:t>
      </w:r>
      <w:r>
        <w:rPr>
          <w:rFonts w:cs="Arial" w:hint="cs"/>
          <w:rtl/>
        </w:rPr>
        <w:t>.</w:t>
      </w:r>
      <w:r>
        <w:rPr>
          <w:rFonts w:cs="Arial"/>
          <w:rtl/>
        </w:rPr>
        <w:t xml:space="preserve"> וכיון שהברייתא בכל ענין גם כשהתיר בסופה לדבר מצוה אפילו בערב שבת בכל ענין היא ואפילו כשהישראל עצמו עושה החילול עכ"ל</w:t>
      </w:r>
      <w:r>
        <w:rPr>
          <w:rFonts w:hint="cs"/>
          <w:rtl/>
        </w:rPr>
        <w:t>, ב"י.</w:t>
      </w:r>
    </w:p>
  </w:footnote>
  <w:footnote w:id="199">
    <w:p w14:paraId="35519155" w14:textId="77777777" w:rsidR="004B2E7C" w:rsidRDefault="004B2E7C" w:rsidP="00285819">
      <w:pPr>
        <w:pStyle w:val="a7"/>
        <w:rPr>
          <w:rFonts w:cs="Arial"/>
          <w:rtl/>
        </w:rPr>
      </w:pPr>
      <w:r>
        <w:rPr>
          <w:rStyle w:val="a9"/>
        </w:rPr>
        <w:footnoteRef/>
      </w:r>
      <w:r>
        <w:rPr>
          <w:rtl/>
        </w:rPr>
        <w:t xml:space="preserve"> </w:t>
      </w:r>
      <w:r>
        <w:rPr>
          <w:rFonts w:hint="cs"/>
          <w:rtl/>
        </w:rPr>
        <w:t xml:space="preserve">ויש בזה מספר נפק"מ: </w:t>
      </w:r>
    </w:p>
    <w:p w14:paraId="15413CC1" w14:textId="77777777" w:rsidR="004B2E7C" w:rsidRDefault="004B2E7C" w:rsidP="00285819">
      <w:pPr>
        <w:pStyle w:val="a7"/>
        <w:ind w:left="720"/>
        <w:rPr>
          <w:rFonts w:cs="Arial"/>
          <w:rtl/>
        </w:rPr>
      </w:pPr>
      <w:r>
        <w:rPr>
          <w:rFonts w:cs="Arial" w:hint="cs"/>
          <w:rtl/>
        </w:rPr>
        <w:t xml:space="preserve">א) </w:t>
      </w:r>
      <w:r w:rsidRPr="00E50D01">
        <w:rPr>
          <w:rFonts w:cs="Arial" w:hint="cs"/>
          <w:rtl/>
        </w:rPr>
        <w:t xml:space="preserve">האם </w:t>
      </w:r>
      <w:r>
        <w:rPr>
          <w:rFonts w:cs="Arial" w:hint="cs"/>
          <w:rtl/>
        </w:rPr>
        <w:t xml:space="preserve">יהיה </w:t>
      </w:r>
      <w:r w:rsidRPr="00E50D01">
        <w:rPr>
          <w:rFonts w:cs="Arial" w:hint="cs"/>
          <w:rtl/>
        </w:rPr>
        <w:t>מותר להפליג ג' ימים קודם השבת במים שאינם גבוהים עשרה טפחים</w:t>
      </w:r>
      <w:r>
        <w:rPr>
          <w:rFonts w:cs="Arial" w:hint="cs"/>
          <w:rtl/>
        </w:rPr>
        <w:t xml:space="preserve">. דהרי כשהזכיר הרי"ף את סברת היש אומרים (ר"ח) כתב שלפי סברתם יהיה אסור גם אם עלה ג' ימים קודם השבת </w:t>
      </w:r>
      <w:r w:rsidRPr="00390DEF">
        <w:rPr>
          <w:rFonts w:cs="Arial" w:hint="cs"/>
          <w:sz w:val="16"/>
          <w:szCs w:val="16"/>
          <w:rtl/>
        </w:rPr>
        <w:t>(וז"ל-</w:t>
      </w:r>
      <w:r w:rsidRPr="00390DEF">
        <w:rPr>
          <w:rFonts w:cs="Arial"/>
          <w:sz w:val="16"/>
          <w:szCs w:val="16"/>
          <w:rtl/>
        </w:rPr>
        <w:t xml:space="preserve"> ועוד מאי איריא ג' ימים</w:t>
      </w:r>
      <w:r w:rsidRPr="00390DEF">
        <w:rPr>
          <w:rFonts w:cs="Arial" w:hint="cs"/>
          <w:sz w:val="16"/>
          <w:szCs w:val="16"/>
          <w:rtl/>
        </w:rPr>
        <w:t>,</w:t>
      </w:r>
      <w:r w:rsidRPr="00390DEF">
        <w:rPr>
          <w:rFonts w:cs="Arial"/>
          <w:sz w:val="16"/>
          <w:szCs w:val="16"/>
          <w:rtl/>
        </w:rPr>
        <w:t xml:space="preserve"> אפי' טפי נמי</w:t>
      </w:r>
      <w:r w:rsidRPr="00390DEF">
        <w:rPr>
          <w:rFonts w:cs="Arial" w:hint="cs"/>
          <w:sz w:val="16"/>
          <w:szCs w:val="16"/>
          <w:rtl/>
        </w:rPr>
        <w:t>)</w:t>
      </w:r>
      <w:r>
        <w:rPr>
          <w:rFonts w:cs="Arial" w:hint="cs"/>
          <w:rtl/>
        </w:rPr>
        <w:t xml:space="preserve">. </w:t>
      </w:r>
    </w:p>
    <w:p w14:paraId="02C4678C" w14:textId="77777777" w:rsidR="004B2E7C" w:rsidRDefault="004B2E7C" w:rsidP="00285819">
      <w:pPr>
        <w:pStyle w:val="a7"/>
        <w:ind w:left="720"/>
      </w:pPr>
      <w:r>
        <w:rPr>
          <w:rFonts w:cs="Arial" w:hint="cs"/>
          <w:rtl/>
        </w:rPr>
        <w:t xml:space="preserve">ב) האם יכול להפליג במים מתוקים </w:t>
      </w:r>
      <w:r w:rsidRPr="00390DEF">
        <w:rPr>
          <w:rFonts w:cs="Arial" w:hint="cs"/>
          <w:sz w:val="16"/>
          <w:szCs w:val="16"/>
          <w:rtl/>
        </w:rPr>
        <w:t xml:space="preserve">(שאין בהם </w:t>
      </w:r>
      <w:r>
        <w:rPr>
          <w:rFonts w:cs="Arial" w:hint="cs"/>
          <w:sz w:val="16"/>
          <w:szCs w:val="16"/>
          <w:rtl/>
        </w:rPr>
        <w:t>ביטול עונג שבת</w:t>
      </w:r>
      <w:r w:rsidRPr="00390DEF">
        <w:rPr>
          <w:rFonts w:cs="Arial" w:hint="cs"/>
          <w:sz w:val="16"/>
          <w:szCs w:val="16"/>
          <w:rtl/>
        </w:rPr>
        <w:t>)</w:t>
      </w:r>
      <w:r w:rsidRPr="00390DEF">
        <w:rPr>
          <w:rFonts w:cs="Arial"/>
          <w:sz w:val="16"/>
          <w:szCs w:val="16"/>
          <w:rtl/>
        </w:rPr>
        <w:t xml:space="preserve"> </w:t>
      </w:r>
      <w:r w:rsidRPr="00FA6D46">
        <w:rPr>
          <w:rFonts w:cs="Arial"/>
          <w:rtl/>
        </w:rPr>
        <w:t xml:space="preserve">אפילו </w:t>
      </w:r>
      <w:r>
        <w:rPr>
          <w:rFonts w:cs="Arial" w:hint="cs"/>
          <w:rtl/>
        </w:rPr>
        <w:t>אם י</w:t>
      </w:r>
      <w:r w:rsidRPr="00FA6D46">
        <w:rPr>
          <w:rFonts w:cs="Arial"/>
          <w:rtl/>
        </w:rPr>
        <w:t>כנס בספינה בע</w:t>
      </w:r>
      <w:r>
        <w:rPr>
          <w:rFonts w:cs="Arial" w:hint="cs"/>
          <w:rtl/>
        </w:rPr>
        <w:t>ר"</w:t>
      </w:r>
      <w:r w:rsidRPr="00FA6D46">
        <w:rPr>
          <w:rFonts w:cs="Arial"/>
          <w:rtl/>
        </w:rPr>
        <w:t>ש אע</w:t>
      </w:r>
      <w:r>
        <w:rPr>
          <w:rFonts w:cs="Arial" w:hint="cs"/>
          <w:rtl/>
        </w:rPr>
        <w:t>"</w:t>
      </w:r>
      <w:r w:rsidRPr="00FA6D46">
        <w:rPr>
          <w:rFonts w:cs="Arial"/>
          <w:rtl/>
        </w:rPr>
        <w:t xml:space="preserve">פ שאין במים </w:t>
      </w:r>
      <w:r>
        <w:rPr>
          <w:rFonts w:cs="Arial" w:hint="cs"/>
          <w:rtl/>
        </w:rPr>
        <w:t>י'</w:t>
      </w:r>
      <w:r w:rsidRPr="00FA6D46">
        <w:rPr>
          <w:rFonts w:cs="Arial"/>
          <w:rtl/>
        </w:rPr>
        <w:t xml:space="preserve"> טפחים</w:t>
      </w:r>
      <w:r>
        <w:rPr>
          <w:rFonts w:hint="cs"/>
          <w:rtl/>
        </w:rPr>
        <w:t>.</w:t>
      </w:r>
    </w:p>
  </w:footnote>
  <w:footnote w:id="200">
    <w:p w14:paraId="43C51883" w14:textId="77777777" w:rsidR="004B2E7C" w:rsidRDefault="004B2E7C" w:rsidP="00285819">
      <w:pPr>
        <w:pStyle w:val="a7"/>
      </w:pPr>
      <w:r>
        <w:rPr>
          <w:rStyle w:val="a9"/>
        </w:rPr>
        <w:footnoteRef/>
      </w:r>
      <w:r>
        <w:rPr>
          <w:rtl/>
        </w:rPr>
        <w:t xml:space="preserve"> </w:t>
      </w:r>
      <w:r w:rsidRPr="00FA6D46">
        <w:rPr>
          <w:rFonts w:cs="Arial"/>
          <w:rtl/>
        </w:rPr>
        <w:t>ולפי זה אם אינם מים מלוחים אפילו נכנס בספינה בערב שבת שרי אע</w:t>
      </w:r>
      <w:r>
        <w:rPr>
          <w:rFonts w:cs="Arial" w:hint="cs"/>
          <w:rtl/>
        </w:rPr>
        <w:t>"</w:t>
      </w:r>
      <w:r w:rsidRPr="00FA6D46">
        <w:rPr>
          <w:rFonts w:cs="Arial"/>
          <w:rtl/>
        </w:rPr>
        <w:t>פ שאין במים עשרה טפחים</w:t>
      </w:r>
      <w:r>
        <w:rPr>
          <w:rFonts w:cs="Arial" w:hint="cs"/>
          <w:rtl/>
        </w:rPr>
        <w:t>.</w:t>
      </w:r>
      <w:r w:rsidRPr="00FA6D46">
        <w:rPr>
          <w:rFonts w:cs="Arial"/>
          <w:rtl/>
        </w:rPr>
        <w:t xml:space="preserve"> ואשתמיטתיה למר תשובת הרמב"ם שאכתוב בסמוך</w:t>
      </w:r>
      <w:r>
        <w:rPr>
          <w:rFonts w:cs="Arial" w:hint="cs"/>
          <w:rtl/>
        </w:rPr>
        <w:t>,</w:t>
      </w:r>
      <w:r w:rsidRPr="00FA6D46">
        <w:rPr>
          <w:rFonts w:cs="Arial"/>
          <w:rtl/>
        </w:rPr>
        <w:t xml:space="preserve"> שהיא אוסרת להלך בשבת בספינה חוץ לתחום אם אין המים גבוהים עשרה טפחים</w:t>
      </w:r>
      <w:r>
        <w:rPr>
          <w:rFonts w:cs="Arial" w:hint="cs"/>
          <w:rtl/>
        </w:rPr>
        <w:t>.</w:t>
      </w:r>
      <w:r w:rsidRPr="00FA6D46">
        <w:rPr>
          <w:rFonts w:cs="Arial"/>
          <w:rtl/>
        </w:rPr>
        <w:t xml:space="preserve"> ומסתמא לא פליג אהרי"ף רבו</w:t>
      </w:r>
      <w:r>
        <w:rPr>
          <w:rFonts w:cs="Arial" w:hint="cs"/>
          <w:rtl/>
        </w:rPr>
        <w:t>.</w:t>
      </w:r>
      <w:r w:rsidRPr="00FA6D46">
        <w:rPr>
          <w:rFonts w:cs="Arial"/>
          <w:rtl/>
        </w:rPr>
        <w:t xml:space="preserve"> ועוד שהם שוים בטעם איסור להפליג</w:t>
      </w:r>
      <w:r>
        <w:rPr>
          <w:rFonts w:cs="Arial" w:hint="cs"/>
          <w:rtl/>
        </w:rPr>
        <w:t>.</w:t>
      </w:r>
      <w:r w:rsidRPr="00FA6D46">
        <w:rPr>
          <w:rFonts w:cs="Arial"/>
          <w:rtl/>
        </w:rPr>
        <w:t xml:space="preserve"> ועוד דפשט דברי הרי"ף מוכיחין כן</w:t>
      </w:r>
      <w:r>
        <w:rPr>
          <w:rFonts w:cs="Arial" w:hint="cs"/>
          <w:rtl/>
        </w:rPr>
        <w:t>.</w:t>
      </w:r>
      <w:r w:rsidRPr="00FA6D46">
        <w:rPr>
          <w:rFonts w:cs="Arial"/>
          <w:rtl/>
        </w:rPr>
        <w:t xml:space="preserve"> ולמה לן למשכוני נפשין להוציאן מפשטן</w:t>
      </w:r>
      <w:r>
        <w:rPr>
          <w:rFonts w:cs="Arial" w:hint="cs"/>
          <w:rtl/>
        </w:rPr>
        <w:t>.</w:t>
      </w:r>
      <w:r w:rsidRPr="00FA6D46">
        <w:rPr>
          <w:rFonts w:cs="Arial"/>
          <w:rtl/>
        </w:rPr>
        <w:t xml:space="preserve"> הילכך אין נראין דברי מהרי"ק ז"ל בזה</w:t>
      </w:r>
      <w:r>
        <w:rPr>
          <w:rFonts w:cs="Arial" w:hint="cs"/>
          <w:rtl/>
        </w:rPr>
        <w:t xml:space="preserve">, ב"י </w:t>
      </w:r>
      <w:r w:rsidRPr="0057782A">
        <w:rPr>
          <w:rFonts w:cs="Arial" w:hint="cs"/>
          <w:color w:val="FF0000"/>
          <w:rtl/>
        </w:rPr>
        <w:t xml:space="preserve">(צל"ע, שהרי מדברי הרי"ף </w:t>
      </w:r>
      <w:r>
        <w:rPr>
          <w:rFonts w:cs="Arial" w:hint="cs"/>
          <w:color w:val="FF0000"/>
          <w:sz w:val="16"/>
          <w:szCs w:val="16"/>
          <w:rtl/>
        </w:rPr>
        <w:t>{</w:t>
      </w:r>
      <w:r w:rsidRPr="0057782A">
        <w:rPr>
          <w:rFonts w:cs="Arial" w:hint="cs"/>
          <w:color w:val="FF0000"/>
          <w:sz w:val="16"/>
          <w:szCs w:val="16"/>
          <w:rtl/>
        </w:rPr>
        <w:t>שכתב על דברי ר"ח וז"ל-</w:t>
      </w:r>
      <w:r w:rsidRPr="0057782A">
        <w:rPr>
          <w:rFonts w:cs="Arial"/>
          <w:color w:val="FF0000"/>
          <w:sz w:val="16"/>
          <w:szCs w:val="16"/>
          <w:rtl/>
        </w:rPr>
        <w:t xml:space="preserve"> ועוד מאי איריא ג' ימים</w:t>
      </w:r>
      <w:r w:rsidRPr="0057782A">
        <w:rPr>
          <w:rFonts w:cs="Arial" w:hint="cs"/>
          <w:color w:val="FF0000"/>
          <w:sz w:val="16"/>
          <w:szCs w:val="16"/>
          <w:rtl/>
        </w:rPr>
        <w:t>,</w:t>
      </w:r>
      <w:r w:rsidRPr="0057782A">
        <w:rPr>
          <w:rFonts w:cs="Arial"/>
          <w:color w:val="FF0000"/>
          <w:sz w:val="16"/>
          <w:szCs w:val="16"/>
          <w:rtl/>
        </w:rPr>
        <w:t xml:space="preserve"> אפי' טפי נמי</w:t>
      </w:r>
      <w:r>
        <w:rPr>
          <w:rFonts w:cs="Arial" w:hint="cs"/>
          <w:color w:val="FF0000"/>
          <w:sz w:val="16"/>
          <w:szCs w:val="16"/>
          <w:rtl/>
        </w:rPr>
        <w:t>}</w:t>
      </w:r>
      <w:r w:rsidRPr="0057782A">
        <w:rPr>
          <w:rFonts w:cs="Arial" w:hint="cs"/>
          <w:color w:val="FF0000"/>
          <w:rtl/>
        </w:rPr>
        <w:t xml:space="preserve"> משמע דשרי לשיטתו)</w:t>
      </w:r>
      <w:r>
        <w:rPr>
          <w:rFonts w:cs="Arial" w:hint="cs"/>
          <w:rtl/>
        </w:rPr>
        <w:t>.</w:t>
      </w:r>
      <w:r w:rsidRPr="000E2D07">
        <w:rPr>
          <w:rFonts w:cs="Arial"/>
          <w:rtl/>
        </w:rPr>
        <w:t xml:space="preserve"> </w:t>
      </w:r>
      <w:r>
        <w:rPr>
          <w:rFonts w:cs="Arial" w:hint="cs"/>
          <w:rtl/>
        </w:rPr>
        <w:t xml:space="preserve">אך הדרכ"מ </w:t>
      </w:r>
      <w:r w:rsidRPr="000E2D07">
        <w:rPr>
          <w:rFonts w:cs="Arial"/>
          <w:rtl/>
        </w:rPr>
        <w:t>(</w:t>
      </w:r>
      <w:r>
        <w:rPr>
          <w:rFonts w:cs="Arial" w:hint="cs"/>
          <w:rtl/>
        </w:rPr>
        <w:t xml:space="preserve">אות </w:t>
      </w:r>
      <w:r w:rsidRPr="000E2D07">
        <w:rPr>
          <w:rFonts w:cs="Arial"/>
          <w:rtl/>
        </w:rPr>
        <w:t xml:space="preserve">א) </w:t>
      </w:r>
      <w:r>
        <w:rPr>
          <w:rFonts w:cs="Arial" w:hint="cs"/>
          <w:rtl/>
        </w:rPr>
        <w:t>כתב ש</w:t>
      </w:r>
      <w:r w:rsidRPr="000E2D07">
        <w:rPr>
          <w:rFonts w:cs="Arial"/>
          <w:rtl/>
        </w:rPr>
        <w:t>לפי מה שיתבאר לקמן</w:t>
      </w:r>
      <w:r w:rsidRPr="00E50D01">
        <w:rPr>
          <w:rFonts w:cs="Arial"/>
          <w:sz w:val="16"/>
          <w:szCs w:val="16"/>
          <w:rtl/>
        </w:rPr>
        <w:t xml:space="preserve"> (עמ' כא ב"י ד"ה וכתב הריב"ש, דמ</w:t>
      </w:r>
      <w:r w:rsidRPr="00E50D01">
        <w:rPr>
          <w:rFonts w:cs="Arial" w:hint="cs"/>
          <w:sz w:val="16"/>
          <w:szCs w:val="16"/>
          <w:rtl/>
        </w:rPr>
        <w:t>"</w:t>
      </w:r>
      <w:r w:rsidRPr="00E50D01">
        <w:rPr>
          <w:rFonts w:cs="Arial"/>
          <w:sz w:val="16"/>
          <w:szCs w:val="16"/>
          <w:rtl/>
        </w:rPr>
        <w:t>א אות ב ד"ה ור"י)</w:t>
      </w:r>
      <w:r w:rsidRPr="000E2D07">
        <w:rPr>
          <w:rFonts w:cs="Arial"/>
          <w:rtl/>
        </w:rPr>
        <w:t xml:space="preserve"> דמותר לילך ג' ימים קודם שבת אע</w:t>
      </w:r>
      <w:r>
        <w:rPr>
          <w:rFonts w:cs="Arial" w:hint="cs"/>
          <w:rtl/>
        </w:rPr>
        <w:t>"</w:t>
      </w:r>
      <w:r w:rsidRPr="000E2D07">
        <w:rPr>
          <w:rFonts w:cs="Arial"/>
          <w:rtl/>
        </w:rPr>
        <w:t>פ שיודע שיתחלל שבת נראה לי דכל שכן הא וכדברי מהרי"ק</w:t>
      </w:r>
      <w:r>
        <w:rPr>
          <w:rFonts w:cs="Arial" w:hint="cs"/>
          <w:rtl/>
        </w:rPr>
        <w:t>.</w:t>
      </w:r>
      <w:r>
        <w:rPr>
          <w:rFonts w:hint="cs"/>
          <w:rtl/>
        </w:rPr>
        <w:t xml:space="preserve"> </w:t>
      </w:r>
    </w:p>
  </w:footnote>
  <w:footnote w:id="201">
    <w:p w14:paraId="7B4A2B56" w14:textId="77777777" w:rsidR="004B2E7C" w:rsidRDefault="004B2E7C" w:rsidP="00285819">
      <w:pPr>
        <w:pStyle w:val="a7"/>
        <w:rPr>
          <w:rtl/>
        </w:rPr>
      </w:pPr>
      <w:r>
        <w:rPr>
          <w:rStyle w:val="a9"/>
        </w:rPr>
        <w:footnoteRef/>
      </w:r>
      <w:r>
        <w:rPr>
          <w:rtl/>
        </w:rPr>
        <w:t xml:space="preserve"> </w:t>
      </w:r>
      <w:r w:rsidRPr="006A1B03">
        <w:rPr>
          <w:rFonts w:cs="Arial"/>
          <w:rtl/>
        </w:rPr>
        <w:t xml:space="preserve">והמגיד משנה כתב </w:t>
      </w:r>
      <w:r>
        <w:rPr>
          <w:rFonts w:cs="Arial" w:hint="cs"/>
          <w:rtl/>
        </w:rPr>
        <w:t>(</w:t>
      </w:r>
      <w:r w:rsidRPr="006A1B03">
        <w:rPr>
          <w:rFonts w:cs="Arial"/>
          <w:rtl/>
        </w:rPr>
        <w:t>פכ"ז ה"ג) בשם הרשב"א (עבוה"ק ש"ד פ"ח ה"ג) דמי שהוא בין השמשות ביבשה</w:t>
      </w:r>
      <w:r>
        <w:rPr>
          <w:rFonts w:cs="Arial" w:hint="cs"/>
          <w:rtl/>
        </w:rPr>
        <w:t>,</w:t>
      </w:r>
      <w:r w:rsidRPr="006A1B03">
        <w:rPr>
          <w:rFonts w:cs="Arial"/>
          <w:rtl/>
        </w:rPr>
        <w:t xml:space="preserve"> לכתחילה אסור לצאת אפילו למעלה מי'</w:t>
      </w:r>
      <w:r>
        <w:rPr>
          <w:rFonts w:cs="Arial" w:hint="cs"/>
          <w:rtl/>
        </w:rPr>
        <w:t>,</w:t>
      </w:r>
      <w:r w:rsidRPr="006A1B03">
        <w:rPr>
          <w:rFonts w:cs="Arial"/>
          <w:rtl/>
        </w:rPr>
        <w:t xml:space="preserve"> לפי שיש לו חזקת ביתו עכ"ל</w:t>
      </w:r>
      <w:r>
        <w:rPr>
          <w:rFonts w:cs="Arial" w:hint="cs"/>
          <w:rtl/>
        </w:rPr>
        <w:t>,</w:t>
      </w:r>
      <w:r w:rsidRPr="00513309">
        <w:rPr>
          <w:rFonts w:cs="Arial" w:hint="cs"/>
          <w:rtl/>
        </w:rPr>
        <w:t xml:space="preserve"> </w:t>
      </w:r>
      <w:r>
        <w:rPr>
          <w:rFonts w:cs="Arial" w:hint="cs"/>
          <w:rtl/>
        </w:rPr>
        <w:t xml:space="preserve">דרכ"מ (אות </w:t>
      </w:r>
      <w:r w:rsidRPr="006A1B03">
        <w:rPr>
          <w:rFonts w:cs="Arial"/>
          <w:rtl/>
        </w:rPr>
        <w:t>א*)</w:t>
      </w:r>
      <w:r>
        <w:rPr>
          <w:rFonts w:cs="Arial" w:hint="cs"/>
          <w:rtl/>
        </w:rPr>
        <w:t>.</w:t>
      </w:r>
    </w:p>
  </w:footnote>
  <w:footnote w:id="202">
    <w:p w14:paraId="676D799A" w14:textId="77777777" w:rsidR="004B2E7C" w:rsidRDefault="004B2E7C" w:rsidP="00285819">
      <w:pPr>
        <w:pStyle w:val="a7"/>
        <w:rPr>
          <w:rtl/>
        </w:rPr>
      </w:pPr>
      <w:r>
        <w:rPr>
          <w:rStyle w:val="a9"/>
        </w:rPr>
        <w:footnoteRef/>
      </w:r>
      <w:r>
        <w:rPr>
          <w:rtl/>
        </w:rPr>
        <w:t xml:space="preserve"> </w:t>
      </w:r>
      <w:r w:rsidRPr="007D5698">
        <w:rPr>
          <w:rFonts w:cs="Arial"/>
          <w:rtl/>
        </w:rPr>
        <w:t>ובמה שחולקין הרמב"ן והרשב"א בענין זה אכתוב בסימן ת"ד (ד"ה יש) בס"ד</w:t>
      </w:r>
      <w:r>
        <w:rPr>
          <w:rFonts w:hint="cs"/>
          <w:rtl/>
        </w:rPr>
        <w:t>, ב"י.</w:t>
      </w:r>
    </w:p>
  </w:footnote>
  <w:footnote w:id="203">
    <w:p w14:paraId="6DDEF06B" w14:textId="77777777" w:rsidR="004B2E7C" w:rsidRPr="006D2015" w:rsidRDefault="004B2E7C" w:rsidP="00285819">
      <w:pPr>
        <w:pStyle w:val="a7"/>
        <w:rPr>
          <w:rtl/>
        </w:rPr>
      </w:pPr>
      <w:r w:rsidRPr="006D2015">
        <w:rPr>
          <w:rStyle w:val="a9"/>
        </w:rPr>
        <w:footnoteRef/>
      </w:r>
      <w:r w:rsidRPr="006D2015">
        <w:rPr>
          <w:rtl/>
        </w:rPr>
        <w:t xml:space="preserve"> </w:t>
      </w:r>
      <w:r w:rsidRPr="006D2015">
        <w:rPr>
          <w:rFonts w:hint="cs"/>
          <w:rtl/>
        </w:rPr>
        <w:t xml:space="preserve">היינו </w:t>
      </w:r>
      <w:r>
        <w:rPr>
          <w:rFonts w:hint="cs"/>
          <w:rtl/>
        </w:rPr>
        <w:t>ש</w:t>
      </w:r>
      <w:r w:rsidRPr="006D2015">
        <w:rPr>
          <w:rFonts w:hint="cs"/>
          <w:rtl/>
        </w:rPr>
        <w:t>קרקע הספינה גבוה י' טפחים</w:t>
      </w:r>
      <w:r>
        <w:rPr>
          <w:rFonts w:hint="cs"/>
          <w:rtl/>
        </w:rPr>
        <w:t xml:space="preserve"> מקרקעית הנהר</w:t>
      </w:r>
      <w:r w:rsidRPr="006D2015">
        <w:rPr>
          <w:rFonts w:hint="cs"/>
          <w:rtl/>
        </w:rPr>
        <w:t>, ו</w:t>
      </w:r>
      <w:r>
        <w:rPr>
          <w:rFonts w:hint="cs"/>
          <w:rtl/>
        </w:rPr>
        <w:t xml:space="preserve">ההפלגה </w:t>
      </w:r>
      <w:r w:rsidRPr="006D2015">
        <w:rPr>
          <w:rFonts w:hint="cs"/>
          <w:rtl/>
        </w:rPr>
        <w:t>במים מתוקים</w:t>
      </w:r>
      <w:r>
        <w:rPr>
          <w:rFonts w:hint="cs"/>
          <w:rtl/>
        </w:rPr>
        <w:t>.</w:t>
      </w:r>
    </w:p>
  </w:footnote>
  <w:footnote w:id="204">
    <w:p w14:paraId="1CBA3328" w14:textId="77777777" w:rsidR="004B2E7C" w:rsidRDefault="004B2E7C" w:rsidP="00285819">
      <w:pPr>
        <w:pStyle w:val="a7"/>
      </w:pPr>
      <w:r>
        <w:rPr>
          <w:rStyle w:val="a9"/>
        </w:rPr>
        <w:footnoteRef/>
      </w:r>
      <w:r>
        <w:rPr>
          <w:rtl/>
        </w:rPr>
        <w:t xml:space="preserve"> </w:t>
      </w:r>
      <w:r>
        <w:rPr>
          <w:rFonts w:cs="Arial" w:hint="cs"/>
          <w:rtl/>
        </w:rPr>
        <w:t xml:space="preserve">וז"ל- </w:t>
      </w:r>
      <w:r w:rsidRPr="000B48F0">
        <w:rPr>
          <w:rFonts w:cs="Arial"/>
          <w:rtl/>
        </w:rPr>
        <w:t>אלו הנכנסין בערב שבת בספינות ומקדשין שם ואחר כך יוצאים לא עלה בידם כלום דמשעה שעלו ליבשה קנו שם שביתה ואפילו בחצי השבת</w:t>
      </w:r>
      <w:r>
        <w:rPr>
          <w:rFonts w:cs="Arial" w:hint="cs"/>
          <w:rtl/>
        </w:rPr>
        <w:t xml:space="preserve">. עכ"ל. וכתב הב"י על דבריו וז"ל- </w:t>
      </w:r>
      <w:r>
        <w:rPr>
          <w:rFonts w:cs="Arial"/>
          <w:rtl/>
        </w:rPr>
        <w:t>ומה שכתב הרשב"א דמשעה שעלו ליבשה קנו שם שביתה ואפילו בחצי שבת</w:t>
      </w:r>
      <w:r>
        <w:rPr>
          <w:rFonts w:cs="Arial" w:hint="cs"/>
          <w:rtl/>
        </w:rPr>
        <w:t xml:space="preserve"> -</w:t>
      </w:r>
      <w:r>
        <w:rPr>
          <w:rFonts w:cs="Arial"/>
          <w:rtl/>
        </w:rPr>
        <w:t xml:space="preserve"> תמיהא לי</w:t>
      </w:r>
      <w:r>
        <w:rPr>
          <w:rFonts w:cs="Arial" w:hint="cs"/>
          <w:rtl/>
        </w:rPr>
        <w:t>,</w:t>
      </w:r>
      <w:r>
        <w:rPr>
          <w:rFonts w:cs="Arial"/>
          <w:rtl/>
        </w:rPr>
        <w:t xml:space="preserve"> דהא קניית שביתה אינה אלא בין השמשות</w:t>
      </w:r>
      <w:r>
        <w:rPr>
          <w:rFonts w:cs="Arial" w:hint="cs"/>
          <w:rtl/>
        </w:rPr>
        <w:t>.</w:t>
      </w:r>
      <w:r>
        <w:rPr>
          <w:rFonts w:cs="Arial"/>
          <w:rtl/>
        </w:rPr>
        <w:t xml:space="preserve"> ונראה דמשום דסתם ספינה הויא במים שהם למעלה מעשרה לא קנה שם שביתה</w:t>
      </w:r>
      <w:r>
        <w:rPr>
          <w:rFonts w:cs="Arial" w:hint="cs"/>
          <w:rtl/>
        </w:rPr>
        <w:t>.</w:t>
      </w:r>
      <w:r>
        <w:rPr>
          <w:rFonts w:cs="Arial"/>
          <w:rtl/>
        </w:rPr>
        <w:t xml:space="preserve"> הילכך כשיוצא ליבשה אפילו בחצי שבת קונה שם שביתה</w:t>
      </w:r>
      <w:r>
        <w:rPr>
          <w:rFonts w:cs="Arial" w:hint="cs"/>
          <w:rtl/>
        </w:rPr>
        <w:t>,</w:t>
      </w:r>
      <w:r>
        <w:rPr>
          <w:rFonts w:cs="Arial"/>
          <w:rtl/>
        </w:rPr>
        <w:t xml:space="preserve"> וכמו שיתבאר בסימן ת"ד</w:t>
      </w:r>
      <w:r>
        <w:rPr>
          <w:rFonts w:hint="cs"/>
          <w:rtl/>
        </w:rPr>
        <w:t>.</w:t>
      </w:r>
    </w:p>
  </w:footnote>
  <w:footnote w:id="205">
    <w:p w14:paraId="2E4949CB" w14:textId="77777777" w:rsidR="004B2E7C" w:rsidRDefault="004B2E7C" w:rsidP="00285819">
      <w:pPr>
        <w:pStyle w:val="a7"/>
      </w:pPr>
      <w:r>
        <w:rPr>
          <w:rStyle w:val="a9"/>
        </w:rPr>
        <w:footnoteRef/>
      </w:r>
      <w:r>
        <w:rPr>
          <w:rtl/>
        </w:rPr>
        <w:t xml:space="preserve"> </w:t>
      </w:r>
      <w:r>
        <w:rPr>
          <w:rFonts w:cs="Arial"/>
          <w:rtl/>
        </w:rPr>
        <w:t>הרא"ש בפ"ק דשבת (סי' לח) כתב דטעמא דאין מפליגין פחות מג' ימים קודם שבת משום עונג שבת כדברי הרי"ף ולפי זה בנהרות הנובעין שרי</w:t>
      </w:r>
      <w:r>
        <w:rPr>
          <w:rFonts w:cs="Arial" w:hint="cs"/>
          <w:rtl/>
        </w:rPr>
        <w:t>.</w:t>
      </w:r>
      <w:r>
        <w:rPr>
          <w:rFonts w:cs="Arial"/>
          <w:rtl/>
        </w:rPr>
        <w:t xml:space="preserve"> ובר"פ מי שהוציאוהו כתב כדברי ר"י דלפי טעמו בנהרות הנובעין נמי אסור</w:t>
      </w:r>
      <w:r>
        <w:rPr>
          <w:rFonts w:cs="Arial" w:hint="cs"/>
          <w:rtl/>
        </w:rPr>
        <w:t>.</w:t>
      </w:r>
      <w:r>
        <w:rPr>
          <w:rFonts w:cs="Arial"/>
          <w:rtl/>
        </w:rPr>
        <w:t xml:space="preserve"> ושמא י"ל שהרא"ש לא כתב דברי ר"י אלא לאסור ליכנס בספינה בשבת עצמה</w:t>
      </w:r>
      <w:r>
        <w:rPr>
          <w:rFonts w:cs="Arial" w:hint="cs"/>
          <w:rtl/>
        </w:rPr>
        <w:t>,</w:t>
      </w:r>
      <w:r>
        <w:rPr>
          <w:rFonts w:cs="Arial"/>
          <w:rtl/>
        </w:rPr>
        <w:t xml:space="preserve"> אבל לאסור להפליג ג' ימים קודם סבירא ליה דלא סגי האי טעמא אלא משום ביטול עונג שבת</w:t>
      </w:r>
      <w:r>
        <w:rPr>
          <w:rFonts w:cs="Arial" w:hint="cs"/>
          <w:rtl/>
        </w:rPr>
        <w:t>.</w:t>
      </w:r>
      <w:r>
        <w:rPr>
          <w:rFonts w:cs="Arial"/>
          <w:rtl/>
        </w:rPr>
        <w:t xml:space="preserve"> דאם לא כן לא הוה שתיק בפ"ק דשבת מדברי ר"י</w:t>
      </w:r>
      <w:r>
        <w:rPr>
          <w:rFonts w:cs="Arial" w:hint="cs"/>
          <w:rtl/>
        </w:rPr>
        <w:t>.</w:t>
      </w:r>
      <w:r>
        <w:rPr>
          <w:rFonts w:cs="Arial"/>
          <w:rtl/>
        </w:rPr>
        <w:t xml:space="preserve"> וכן נראה מדבריו בתשובה (כלל כב סי' יב) שהזכרתי בסמוך (ז</w:t>
      </w:r>
      <w:r>
        <w:rPr>
          <w:rFonts w:cs="Arial" w:hint="cs"/>
          <w:rtl/>
        </w:rPr>
        <w:t>"</w:t>
      </w:r>
      <w:r>
        <w:rPr>
          <w:rFonts w:cs="Arial"/>
          <w:rtl/>
        </w:rPr>
        <w:t xml:space="preserve"> ד"ה אבל) שכתב וז"ל</w:t>
      </w:r>
      <w:r>
        <w:rPr>
          <w:rFonts w:cs="Arial" w:hint="cs"/>
          <w:rtl/>
        </w:rPr>
        <w:t>-</w:t>
      </w:r>
      <w:r>
        <w:rPr>
          <w:rFonts w:cs="Arial"/>
          <w:rtl/>
        </w:rPr>
        <w:t xml:space="preserve"> אסור לפרוש מהיבשה לספינה בשבת אף אם קידש ואכל בתוך הספינה ויצא אחר כך לחוץ</w:t>
      </w:r>
      <w:r>
        <w:rPr>
          <w:rFonts w:cs="Arial" w:hint="cs"/>
          <w:rtl/>
        </w:rPr>
        <w:t>,</w:t>
      </w:r>
      <w:r>
        <w:rPr>
          <w:rFonts w:cs="Arial"/>
          <w:rtl/>
        </w:rPr>
        <w:t xml:space="preserve"> דנמצא שמפליג בשבת מן היבשה לים</w:t>
      </w:r>
      <w:r>
        <w:rPr>
          <w:rFonts w:cs="Arial" w:hint="cs"/>
          <w:rtl/>
        </w:rPr>
        <w:t>.</w:t>
      </w:r>
      <w:r>
        <w:rPr>
          <w:rFonts w:cs="Arial"/>
          <w:rtl/>
        </w:rPr>
        <w:t xml:space="preserve"> אלא יכנס לספינה מבעוד יום ולא יצא אח</w:t>
      </w:r>
      <w:r>
        <w:rPr>
          <w:rFonts w:cs="Arial" w:hint="cs"/>
          <w:rtl/>
        </w:rPr>
        <w:t>"</w:t>
      </w:r>
      <w:r>
        <w:rPr>
          <w:rFonts w:cs="Arial"/>
          <w:rtl/>
        </w:rPr>
        <w:t>כ</w:t>
      </w:r>
      <w:r>
        <w:rPr>
          <w:rFonts w:cs="Arial" w:hint="cs"/>
          <w:rtl/>
        </w:rPr>
        <w:t>.</w:t>
      </w:r>
      <w:r>
        <w:rPr>
          <w:rFonts w:cs="Arial"/>
          <w:rtl/>
        </w:rPr>
        <w:t xml:space="preserve"> ורבינו לפי שנסתפק לו דעת הרא"ש לא הזכירו</w:t>
      </w:r>
      <w:r>
        <w:rPr>
          <w:rFonts w:cs="Arial" w:hint="cs"/>
          <w:rtl/>
        </w:rPr>
        <w:t>, ב"י.</w:t>
      </w:r>
    </w:p>
  </w:footnote>
  <w:footnote w:id="206">
    <w:p w14:paraId="4CA0B66E" w14:textId="77777777" w:rsidR="004B2E7C" w:rsidRDefault="004B2E7C" w:rsidP="00285819">
      <w:pPr>
        <w:pStyle w:val="a7"/>
        <w:rPr>
          <w:rtl/>
        </w:rPr>
      </w:pPr>
      <w:r>
        <w:rPr>
          <w:rStyle w:val="a9"/>
        </w:rPr>
        <w:footnoteRef/>
      </w:r>
      <w:r>
        <w:rPr>
          <w:rtl/>
        </w:rPr>
        <w:t xml:space="preserve"> </w:t>
      </w:r>
      <w:r>
        <w:rPr>
          <w:rFonts w:cs="Arial"/>
          <w:rtl/>
        </w:rPr>
        <w:t>לר"י אסור אפילו בערב שבת</w:t>
      </w:r>
      <w:r>
        <w:rPr>
          <w:rFonts w:cs="Arial" w:hint="cs"/>
          <w:rtl/>
        </w:rPr>
        <w:t>,</w:t>
      </w:r>
      <w:r>
        <w:rPr>
          <w:rFonts w:cs="Arial"/>
          <w:rtl/>
        </w:rPr>
        <w:t xml:space="preserve"> וכמו שאבאר סברת ר"י בסמוך (ח' ע"א ד"ה ומ"ש)</w:t>
      </w:r>
      <w:r>
        <w:rPr>
          <w:rFonts w:hint="cs"/>
          <w:rtl/>
        </w:rPr>
        <w:t>, ב"י.</w:t>
      </w:r>
    </w:p>
  </w:footnote>
  <w:footnote w:id="207">
    <w:p w14:paraId="4C8370F4" w14:textId="77777777" w:rsidR="004B2E7C" w:rsidRDefault="004B2E7C" w:rsidP="00285819">
      <w:pPr>
        <w:pStyle w:val="a7"/>
      </w:pPr>
      <w:r>
        <w:rPr>
          <w:rStyle w:val="a9"/>
        </w:rPr>
        <w:footnoteRef/>
      </w:r>
      <w:r>
        <w:rPr>
          <w:rtl/>
        </w:rPr>
        <w:t xml:space="preserve"> </w:t>
      </w:r>
      <w:r>
        <w:rPr>
          <w:rFonts w:cs="Arial"/>
          <w:rtl/>
        </w:rPr>
        <w:t>כן כתבו התוספות (עירובין מג. ד"ה הלכה) והרא"ש בריש פרק מי שהוציאוהו (סי' ג)</w:t>
      </w:r>
      <w:r>
        <w:rPr>
          <w:rFonts w:cs="Arial" w:hint="cs"/>
          <w:rtl/>
        </w:rPr>
        <w:t>.</w:t>
      </w:r>
      <w:r>
        <w:rPr>
          <w:rFonts w:cs="Arial"/>
          <w:rtl/>
        </w:rPr>
        <w:t xml:space="preserve"> ולכאורה לא סגי האי טעמא אלא לאסור להפליג בשבת עצמה</w:t>
      </w:r>
      <w:r>
        <w:rPr>
          <w:rFonts w:cs="Arial" w:hint="cs"/>
          <w:rtl/>
        </w:rPr>
        <w:t>,</w:t>
      </w:r>
      <w:r>
        <w:rPr>
          <w:rFonts w:cs="Arial"/>
          <w:rtl/>
        </w:rPr>
        <w:t xml:space="preserve"> אבל לא לאסור להפליג קודם שבת</w:t>
      </w:r>
      <w:r>
        <w:rPr>
          <w:rFonts w:cs="Arial" w:hint="cs"/>
          <w:rtl/>
        </w:rPr>
        <w:t>.</w:t>
      </w:r>
      <w:r>
        <w:rPr>
          <w:rFonts w:cs="Arial"/>
          <w:rtl/>
        </w:rPr>
        <w:t xml:space="preserve"> דאל</w:t>
      </w:r>
      <w:r>
        <w:rPr>
          <w:rFonts w:cs="Arial" w:hint="cs"/>
          <w:rtl/>
        </w:rPr>
        <w:t>"</w:t>
      </w:r>
      <w:r>
        <w:rPr>
          <w:rFonts w:cs="Arial"/>
          <w:rtl/>
        </w:rPr>
        <w:t>כ מאי איריא שלשה ימים קודם שבת</w:t>
      </w:r>
      <w:r>
        <w:rPr>
          <w:rFonts w:cs="Arial" w:hint="cs"/>
          <w:rtl/>
        </w:rPr>
        <w:t>,</w:t>
      </w:r>
      <w:r>
        <w:rPr>
          <w:rFonts w:cs="Arial"/>
          <w:rtl/>
        </w:rPr>
        <w:t xml:space="preserve"> מיום ראשון נמי ליתסר</w:t>
      </w:r>
      <w:r>
        <w:rPr>
          <w:rFonts w:cs="Arial" w:hint="cs"/>
          <w:rtl/>
        </w:rPr>
        <w:t>.</w:t>
      </w:r>
      <w:r>
        <w:rPr>
          <w:rFonts w:cs="Arial"/>
          <w:rtl/>
        </w:rPr>
        <w:t xml:space="preserve"> אבל מאחר שכתבו התוספות דברי ר"י בפ</w:t>
      </w:r>
      <w:r>
        <w:rPr>
          <w:rFonts w:cs="Arial" w:hint="cs"/>
          <w:rtl/>
        </w:rPr>
        <w:t>"</w:t>
      </w:r>
      <w:r>
        <w:rPr>
          <w:rFonts w:cs="Arial"/>
          <w:rtl/>
        </w:rPr>
        <w:t>ק דשבת (יט. ד"ה אין) אברייתא דאין מפליגין שלשה ימים קודם השבת משמע דמטעם זה אסור להפליג שלשה ימים קודם שבת</w:t>
      </w:r>
      <w:r>
        <w:rPr>
          <w:rFonts w:cs="Arial" w:hint="cs"/>
          <w:rtl/>
        </w:rPr>
        <w:t>.</w:t>
      </w:r>
      <w:r>
        <w:rPr>
          <w:rFonts w:cs="Arial"/>
          <w:rtl/>
        </w:rPr>
        <w:t xml:space="preserve"> וכ</w:t>
      </w:r>
      <w:r>
        <w:rPr>
          <w:rFonts w:cs="Arial" w:hint="cs"/>
          <w:rtl/>
        </w:rPr>
        <w:t>"</w:t>
      </w:r>
      <w:r>
        <w:rPr>
          <w:rFonts w:cs="Arial"/>
          <w:rtl/>
        </w:rPr>
        <w:t xml:space="preserve">כ בהגהות (מיימוניות סוף) פרק ל'. והכי דייק לשון רבינו שכתב </w:t>
      </w:r>
      <w:r>
        <w:rPr>
          <w:rFonts w:cs="Arial" w:hint="cs"/>
          <w:rtl/>
        </w:rPr>
        <w:t>'</w:t>
      </w:r>
      <w:r>
        <w:rPr>
          <w:rFonts w:cs="Arial"/>
          <w:rtl/>
        </w:rPr>
        <w:t>ור"י אסר הכל</w:t>
      </w:r>
      <w:r>
        <w:rPr>
          <w:rFonts w:cs="Arial" w:hint="cs"/>
          <w:rtl/>
        </w:rPr>
        <w:t>',</w:t>
      </w:r>
      <w:r>
        <w:rPr>
          <w:rFonts w:cs="Arial"/>
          <w:rtl/>
        </w:rPr>
        <w:t xml:space="preserve"> כלומר בין להפליג בשבת עצמה בין להפליג פחות משלשה ימים קודם שבת</w:t>
      </w:r>
      <w:r>
        <w:rPr>
          <w:rFonts w:cs="Arial" w:hint="cs"/>
          <w:rtl/>
        </w:rPr>
        <w:t>.</w:t>
      </w:r>
      <w:r>
        <w:rPr>
          <w:rFonts w:cs="Arial"/>
          <w:rtl/>
        </w:rPr>
        <w:t xml:space="preserve"> וצריך לומר דסבירא ליה שלא גזרו חכמים להפליג תוך ג' ימים קודם השבת אלא מפני גזירה זו</w:t>
      </w:r>
      <w:r>
        <w:rPr>
          <w:rFonts w:cs="Arial" w:hint="cs"/>
          <w:rtl/>
        </w:rPr>
        <w:t>,</w:t>
      </w:r>
      <w:r>
        <w:rPr>
          <w:rFonts w:cs="Arial"/>
          <w:rtl/>
        </w:rPr>
        <w:t xml:space="preserve"> וקודם לכן שרי</w:t>
      </w:r>
      <w:r>
        <w:rPr>
          <w:rFonts w:cs="Arial" w:hint="cs"/>
          <w:rtl/>
        </w:rPr>
        <w:t>.</w:t>
      </w:r>
      <w:r>
        <w:rPr>
          <w:rFonts w:cs="Arial"/>
          <w:rtl/>
        </w:rPr>
        <w:t xml:space="preserve"> משום דכיון דלא שרינן ליה להפליג פחות מג' ימים קודם אית ליה היכרא ושוב לא יעשה חבית של שייטין ולא ינהיג את הספינה</w:t>
      </w:r>
      <w:r>
        <w:rPr>
          <w:rFonts w:cs="Arial" w:hint="cs"/>
          <w:rtl/>
        </w:rPr>
        <w:t>, ב"י.</w:t>
      </w:r>
    </w:p>
  </w:footnote>
  <w:footnote w:id="208">
    <w:p w14:paraId="6991160F" w14:textId="77777777" w:rsidR="004B2E7C" w:rsidRDefault="004B2E7C" w:rsidP="00285819">
      <w:pPr>
        <w:pStyle w:val="a7"/>
      </w:pPr>
      <w:r>
        <w:rPr>
          <w:rStyle w:val="a9"/>
        </w:rPr>
        <w:footnoteRef/>
      </w:r>
      <w:r>
        <w:rPr>
          <w:rFonts w:cs="Arial" w:hint="cs"/>
          <w:rtl/>
        </w:rPr>
        <w:t xml:space="preserve"> </w:t>
      </w:r>
      <w:r>
        <w:rPr>
          <w:rFonts w:cs="Arial"/>
          <w:rtl/>
        </w:rPr>
        <w:t>ומתוך דברי התוספות והרא"ש משמע לי שטעם בה"ג הוא מפני שאם נכנס בה בשבת בלי קניית שביתה</w:t>
      </w:r>
      <w:r>
        <w:rPr>
          <w:rFonts w:cs="Arial" w:hint="cs"/>
          <w:rtl/>
        </w:rPr>
        <w:t>,</w:t>
      </w:r>
      <w:r>
        <w:rPr>
          <w:rFonts w:cs="Arial"/>
          <w:rtl/>
        </w:rPr>
        <w:t xml:space="preserve"> כשהיא מפלגת בשבת נראה כיוצא חוץ לתחום</w:t>
      </w:r>
      <w:r>
        <w:rPr>
          <w:rFonts w:cs="Arial" w:hint="cs"/>
          <w:rtl/>
        </w:rPr>
        <w:t>.</w:t>
      </w:r>
      <w:r>
        <w:rPr>
          <w:rFonts w:cs="Arial"/>
          <w:rtl/>
        </w:rPr>
        <w:t xml:space="preserve"> אבל כשקנה בה שביתה</w:t>
      </w:r>
      <w:r>
        <w:rPr>
          <w:rFonts w:cs="Arial" w:hint="cs"/>
          <w:rtl/>
        </w:rPr>
        <w:t>,</w:t>
      </w:r>
      <w:r>
        <w:rPr>
          <w:rFonts w:cs="Arial"/>
          <w:rtl/>
        </w:rPr>
        <w:t xml:space="preserve"> כשנכנס בה בשבת אינו אלא כנכנס לתוך ביתו</w:t>
      </w:r>
      <w:r>
        <w:rPr>
          <w:rFonts w:cs="Arial" w:hint="cs"/>
          <w:rtl/>
        </w:rPr>
        <w:t>,</w:t>
      </w:r>
      <w:r>
        <w:rPr>
          <w:rFonts w:cs="Arial"/>
          <w:rtl/>
        </w:rPr>
        <w:t xml:space="preserve"> ואם אחר כך תפליג חוץ לתחום לית לן בה כיון שאינו עושה שום מעשה ביציאתו חוץ לתחום</w:t>
      </w:r>
      <w:r>
        <w:rPr>
          <w:rFonts w:cs="Arial" w:hint="cs"/>
          <w:rtl/>
        </w:rPr>
        <w:t>.</w:t>
      </w:r>
      <w:r>
        <w:rPr>
          <w:rFonts w:cs="Arial"/>
          <w:rtl/>
        </w:rPr>
        <w:t xml:space="preserve"> והם מקשים עליו דסוף סוף הם מפליגין בשבת</w:t>
      </w:r>
      <w:r>
        <w:rPr>
          <w:rFonts w:cs="Arial" w:hint="cs"/>
          <w:rtl/>
        </w:rPr>
        <w:t>,</w:t>
      </w:r>
      <w:r>
        <w:rPr>
          <w:rFonts w:cs="Arial"/>
          <w:rtl/>
        </w:rPr>
        <w:t xml:space="preserve"> כלומר שכיון שהם נכנסין בה בשבת הרי הם עושים מעשה על דעת להפליג בשבת</w:t>
      </w:r>
      <w:r>
        <w:rPr>
          <w:rFonts w:cs="Arial" w:hint="cs"/>
          <w:rtl/>
        </w:rPr>
        <w:t>,</w:t>
      </w:r>
      <w:r>
        <w:rPr>
          <w:rFonts w:cs="Arial"/>
          <w:rtl/>
        </w:rPr>
        <w:t xml:space="preserve"> וכי קנו שם שביתה מאי הוי</w:t>
      </w:r>
      <w:r>
        <w:rPr>
          <w:rFonts w:cs="Arial" w:hint="cs"/>
          <w:rtl/>
        </w:rPr>
        <w:t>, ב"י.</w:t>
      </w:r>
    </w:p>
  </w:footnote>
  <w:footnote w:id="209">
    <w:p w14:paraId="7E0819FB" w14:textId="77777777" w:rsidR="004B2E7C" w:rsidRDefault="004B2E7C" w:rsidP="00285819">
      <w:pPr>
        <w:pStyle w:val="a7"/>
        <w:rPr>
          <w:rtl/>
        </w:rPr>
      </w:pPr>
      <w:r>
        <w:rPr>
          <w:rStyle w:val="a9"/>
        </w:rPr>
        <w:footnoteRef/>
      </w:r>
      <w:r>
        <w:rPr>
          <w:rtl/>
        </w:rPr>
        <w:t xml:space="preserve"> </w:t>
      </w:r>
      <w:r>
        <w:rPr>
          <w:rFonts w:cs="Arial" w:hint="cs"/>
          <w:rtl/>
        </w:rPr>
        <w:t>ו</w:t>
      </w:r>
      <w:r>
        <w:rPr>
          <w:rFonts w:cs="Arial"/>
          <w:rtl/>
        </w:rPr>
        <w:t xml:space="preserve">כתב הגאון מהר"י אבוהב ז"ל </w:t>
      </w:r>
      <w:r>
        <w:rPr>
          <w:rFonts w:cs="Arial" w:hint="cs"/>
          <w:rtl/>
        </w:rPr>
        <w:t xml:space="preserve">על דברי בה"ג </w:t>
      </w:r>
      <w:r>
        <w:rPr>
          <w:rFonts w:cs="Arial"/>
          <w:rtl/>
        </w:rPr>
        <w:t>דאתי בשיטת רשב"ם דאמר דברייתא זו דאין מפליגין בית שמאי היא דלבית הלל שרי להפליג אפילו בערב שבת</w:t>
      </w:r>
      <w:r>
        <w:rPr>
          <w:rFonts w:cs="Arial" w:hint="cs"/>
          <w:rtl/>
        </w:rPr>
        <w:t>.</w:t>
      </w:r>
      <w:r>
        <w:rPr>
          <w:rFonts w:cs="Arial"/>
          <w:rtl/>
        </w:rPr>
        <w:t xml:space="preserve"> ואינו נראה לי דאם כן לא הוו שתקי תוספות והרא"ש מלומר דבה"ג סבר כדעת רשב"ם</w:t>
      </w:r>
      <w:r>
        <w:rPr>
          <w:rFonts w:cs="Arial" w:hint="cs"/>
          <w:rtl/>
        </w:rPr>
        <w:t>,</w:t>
      </w:r>
      <w:r>
        <w:rPr>
          <w:rFonts w:cs="Arial"/>
          <w:rtl/>
        </w:rPr>
        <w:t xml:space="preserve"> וגם רבינו לא הוה שתיק מלומר שדעת רשב"ם כדעת בה"ג</w:t>
      </w:r>
      <w:r>
        <w:rPr>
          <w:rFonts w:cs="Arial" w:hint="cs"/>
          <w:rtl/>
        </w:rPr>
        <w:t>.</w:t>
      </w:r>
      <w:r>
        <w:rPr>
          <w:rFonts w:cs="Arial"/>
          <w:rtl/>
        </w:rPr>
        <w:t xml:space="preserve"> לכך נראה לי דבה"ג נמי סבר דברייתא דאין מפליגין כבית הלל נמי אתיא</w:t>
      </w:r>
      <w:r>
        <w:rPr>
          <w:rFonts w:cs="Arial" w:hint="cs"/>
          <w:rtl/>
        </w:rPr>
        <w:t>.</w:t>
      </w:r>
      <w:r>
        <w:rPr>
          <w:rFonts w:cs="Arial"/>
          <w:rtl/>
        </w:rPr>
        <w:t xml:space="preserve"> ומיהו היכא שקרקע הספינה גבוה עשרה טפחים מקרקע הנהר</w:t>
      </w:r>
      <w:r>
        <w:rPr>
          <w:rFonts w:cs="Arial" w:hint="cs"/>
          <w:rtl/>
        </w:rPr>
        <w:t>,</w:t>
      </w:r>
      <w:r>
        <w:rPr>
          <w:rFonts w:cs="Arial"/>
          <w:rtl/>
        </w:rPr>
        <w:t xml:space="preserve"> דליכא משום איסור תחומין</w:t>
      </w:r>
      <w:r>
        <w:rPr>
          <w:rFonts w:cs="Arial" w:hint="cs"/>
          <w:rtl/>
        </w:rPr>
        <w:t>,</w:t>
      </w:r>
      <w:r>
        <w:rPr>
          <w:rFonts w:cs="Arial"/>
          <w:rtl/>
        </w:rPr>
        <w:t xml:space="preserve"> וגם הם מים נובעים דלית בהו משום ביטול עונג שבת</w:t>
      </w:r>
      <w:r>
        <w:rPr>
          <w:rFonts w:cs="Arial" w:hint="cs"/>
          <w:rtl/>
        </w:rPr>
        <w:t>,</w:t>
      </w:r>
      <w:r>
        <w:rPr>
          <w:rFonts w:cs="Arial"/>
          <w:rtl/>
        </w:rPr>
        <w:t xml:space="preserve"> דמותר להפליג אפילו בערב שבת לדברי הכל דלא איירי בהכי מתנית</w:t>
      </w:r>
      <w:r>
        <w:rPr>
          <w:rFonts w:cs="Arial" w:hint="cs"/>
          <w:rtl/>
        </w:rPr>
        <w:t>א</w:t>
      </w:r>
      <w:r>
        <w:rPr>
          <w:rFonts w:cs="Arial"/>
          <w:rtl/>
        </w:rPr>
        <w:t xml:space="preserve"> דאין מפליגין</w:t>
      </w:r>
      <w:r>
        <w:rPr>
          <w:rFonts w:cs="Arial" w:hint="cs"/>
          <w:rtl/>
        </w:rPr>
        <w:t xml:space="preserve"> -</w:t>
      </w:r>
      <w:r>
        <w:rPr>
          <w:rFonts w:cs="Arial"/>
          <w:rtl/>
        </w:rPr>
        <w:t xml:space="preserve"> אתא בה"ג למימר דמותר ליכנס בה בשבת ולהפליג כל שקנה שם שביתה</w:t>
      </w:r>
      <w:r>
        <w:rPr>
          <w:rFonts w:cs="Arial" w:hint="cs"/>
          <w:rtl/>
        </w:rPr>
        <w:t>.</w:t>
      </w:r>
      <w:r>
        <w:rPr>
          <w:rFonts w:cs="Arial"/>
          <w:rtl/>
        </w:rPr>
        <w:t xml:space="preserve"> ור"י אסר אפילו הוא תוך התחום וגם הם נהרות נובעין משום שהוא כשט על פני המים שאסור גזירה שמא יעשה חבית של שייטין או שמא ינהיג הספינה ארבע אמות בכרמלית</w:t>
      </w:r>
      <w:r>
        <w:rPr>
          <w:rFonts w:cs="Arial" w:hint="cs"/>
          <w:rtl/>
        </w:rPr>
        <w:t>,</w:t>
      </w:r>
      <w:r>
        <w:rPr>
          <w:rFonts w:cs="Arial"/>
          <w:rtl/>
        </w:rPr>
        <w:t xml:space="preserve"> וכמו שכתבו התוספות (עירובין מג. ד"ה הלכה) והרא"ש (סי' ג) בר"פ מי שהוציאוהו</w:t>
      </w:r>
      <w:r>
        <w:rPr>
          <w:rFonts w:hint="cs"/>
          <w:rtl/>
        </w:rPr>
        <w:t>, ב"י. ועיין בדרכ"מ (אות ב).</w:t>
      </w:r>
    </w:p>
  </w:footnote>
  <w:footnote w:id="210">
    <w:p w14:paraId="17D9BEE7" w14:textId="77777777" w:rsidR="004B2E7C" w:rsidRDefault="004B2E7C" w:rsidP="00285819">
      <w:pPr>
        <w:pStyle w:val="a7"/>
      </w:pPr>
      <w:r>
        <w:rPr>
          <w:rStyle w:val="a9"/>
        </w:rPr>
        <w:footnoteRef/>
      </w:r>
      <w:r>
        <w:rPr>
          <w:rtl/>
        </w:rPr>
        <w:t xml:space="preserve"> </w:t>
      </w:r>
      <w:r>
        <w:rPr>
          <w:rFonts w:hint="cs"/>
          <w:rtl/>
        </w:rPr>
        <w:t xml:space="preserve">כ"כ הר"ן (שבת ז:) בשם הרמב"ן וז"ל- </w:t>
      </w:r>
      <w:r w:rsidRPr="000447C3">
        <w:rPr>
          <w:rFonts w:cs="Arial"/>
          <w:rtl/>
        </w:rPr>
        <w:t>ועל דרך זה התיר הרמב"ן ז"ל מפרשי ימים שיכנסו בים בשבת ולפרוש מן הנמל ואין חוששין משום דכשאסרו להפליג בספינה תוך שלשה ימים לא אמרו אלא בישראל שוכר כל הספינה שכל המלאכה הנעשית בה אינ' נעשית אלא בשבילו אבל בספינה שרובה נכרים וישראלים מועטים נכנסים בה כיון דרובה נכרים על שם הנכרי היא נעשית וכדאמרינן בפ' כל כתבי (קכב</w:t>
      </w:r>
      <w:r>
        <w:rPr>
          <w:rFonts w:cs="Arial" w:hint="cs"/>
          <w:rtl/>
        </w:rPr>
        <w:t>.</w:t>
      </w:r>
      <w:r w:rsidRPr="000447C3">
        <w:rPr>
          <w:rFonts w:cs="Arial"/>
          <w:rtl/>
        </w:rPr>
        <w:t>) במסבה שרובה נכרים והדליק נכרי את הנר שמותר לישראלים שבה להשתמש לאורה</w:t>
      </w:r>
      <w:r>
        <w:rPr>
          <w:rFonts w:cs="Arial" w:hint="cs"/>
          <w:rtl/>
        </w:rPr>
        <w:t>.</w:t>
      </w:r>
    </w:p>
  </w:footnote>
  <w:footnote w:id="211">
    <w:p w14:paraId="177D5C31" w14:textId="77777777" w:rsidR="004B2E7C" w:rsidRDefault="004B2E7C" w:rsidP="00285819">
      <w:pPr>
        <w:pStyle w:val="a7"/>
      </w:pPr>
      <w:r>
        <w:rPr>
          <w:rStyle w:val="a9"/>
        </w:rPr>
        <w:footnoteRef/>
      </w:r>
      <w:r>
        <w:rPr>
          <w:rtl/>
        </w:rPr>
        <w:t xml:space="preserve"> </w:t>
      </w:r>
      <w:r>
        <w:rPr>
          <w:rFonts w:cs="Arial"/>
          <w:rtl/>
        </w:rPr>
        <w:t>ולענין היתר ירידה מן הספינה לנמל שהגיעה בו בשבת אכתוב בסימן ת"ד בס"ד</w:t>
      </w:r>
      <w:r>
        <w:rPr>
          <w:rFonts w:cs="Arial" w:hint="cs"/>
          <w:rtl/>
        </w:rPr>
        <w:t>, ב"י.</w:t>
      </w:r>
    </w:p>
  </w:footnote>
  <w:footnote w:id="212">
    <w:p w14:paraId="3F468716" w14:textId="77777777" w:rsidR="004B2E7C" w:rsidRDefault="004B2E7C" w:rsidP="00285819">
      <w:pPr>
        <w:pStyle w:val="a7"/>
        <w:rPr>
          <w:rtl/>
        </w:rPr>
      </w:pPr>
      <w:r>
        <w:rPr>
          <w:rStyle w:val="a9"/>
        </w:rPr>
        <w:footnoteRef/>
      </w:r>
      <w:r>
        <w:rPr>
          <w:rtl/>
        </w:rPr>
        <w:t xml:space="preserve"> </w:t>
      </w:r>
      <w:r w:rsidRPr="004C7EE6">
        <w:rPr>
          <w:rFonts w:cs="Arial"/>
          <w:rtl/>
        </w:rPr>
        <w:t>וכן פסקו בתוספות</w:t>
      </w:r>
      <w:r>
        <w:rPr>
          <w:rFonts w:cs="Arial" w:hint="cs"/>
          <w:rtl/>
        </w:rPr>
        <w:t xml:space="preserve"> </w:t>
      </w:r>
      <w:r w:rsidRPr="00D049CD">
        <w:rPr>
          <w:rFonts w:cs="Arial" w:hint="cs"/>
          <w:color w:val="FF0000"/>
          <w:sz w:val="16"/>
          <w:szCs w:val="16"/>
          <w:rtl/>
        </w:rPr>
        <w:t>{צל"ע מה כוונת הריטב"א שכתב שכן דעת התוס'}</w:t>
      </w:r>
      <w:r w:rsidRPr="004C7EE6">
        <w:rPr>
          <w:rFonts w:cs="Arial" w:hint="cs"/>
          <w:rtl/>
        </w:rPr>
        <w:t>.</w:t>
      </w:r>
      <w:r w:rsidRPr="004C7EE6">
        <w:rPr>
          <w:rFonts w:cs="Arial"/>
          <w:rtl/>
        </w:rPr>
        <w:t xml:space="preserve"> ומה שנהגו העם כשרוצין ליכנס בספינה בשבת שהולכין ומקדשין שם מערב שבת כדי שיקנו שם שביתה למעלה מעשרה</w:t>
      </w:r>
      <w:r w:rsidRPr="004C7EE6">
        <w:rPr>
          <w:rFonts w:cs="Arial" w:hint="cs"/>
          <w:rtl/>
        </w:rPr>
        <w:t>,</w:t>
      </w:r>
      <w:r w:rsidRPr="004C7EE6">
        <w:rPr>
          <w:rFonts w:cs="Arial"/>
          <w:rtl/>
        </w:rPr>
        <w:t xml:space="preserve"> לא היה צריך</w:t>
      </w:r>
      <w:r w:rsidRPr="004C7EE6">
        <w:rPr>
          <w:rFonts w:cs="Arial" w:hint="cs"/>
          <w:rtl/>
        </w:rPr>
        <w:t>,</w:t>
      </w:r>
      <w:r w:rsidRPr="004C7EE6">
        <w:rPr>
          <w:rFonts w:cs="Arial"/>
          <w:rtl/>
        </w:rPr>
        <w:t xml:space="preserve"> דכיון דאין תחומין למעלה מעשרה הרי בלא זה יכולין ליכנס לשם בשבת</w:t>
      </w:r>
      <w:r w:rsidRPr="004C7EE6">
        <w:rPr>
          <w:rFonts w:cs="Arial" w:hint="cs"/>
          <w:rtl/>
        </w:rPr>
        <w:t>,</w:t>
      </w:r>
      <w:r w:rsidRPr="004C7EE6">
        <w:rPr>
          <w:rFonts w:cs="Arial"/>
          <w:rtl/>
        </w:rPr>
        <w:t xml:space="preserve"> אלא שהם רוצים לקנות שביתה למעלה מעשרה כדי שאם יגיעו למחר בנמל שיהיו רשאין ליכנס שם ויהיו כבני העיר</w:t>
      </w:r>
      <w:r w:rsidRPr="004C7EE6">
        <w:rPr>
          <w:rFonts w:cs="Arial" w:hint="cs"/>
          <w:rtl/>
        </w:rPr>
        <w:t>,</w:t>
      </w:r>
      <w:r w:rsidRPr="004C7EE6">
        <w:rPr>
          <w:rFonts w:cs="Arial"/>
          <w:rtl/>
        </w:rPr>
        <w:t xml:space="preserve"> ואילו היתה שביתתם בביתם לא היו זזין ממקומן מתוך הספינה</w:t>
      </w:r>
      <w:r w:rsidRPr="004C7EE6">
        <w:rPr>
          <w:rFonts w:cs="Arial" w:hint="cs"/>
          <w:rtl/>
        </w:rPr>
        <w:t>,</w:t>
      </w:r>
      <w:r w:rsidRPr="004C7EE6">
        <w:rPr>
          <w:rFonts w:cs="Arial"/>
          <w:rtl/>
        </w:rPr>
        <w:t xml:space="preserve"> שהרי חזרו למטה מעשרה והרחיקו מתחומן</w:t>
      </w:r>
      <w:r w:rsidRPr="004C7EE6">
        <w:rPr>
          <w:rFonts w:cs="Arial" w:hint="cs"/>
          <w:rtl/>
        </w:rPr>
        <w:t>.</w:t>
      </w:r>
      <w:r w:rsidRPr="004C7EE6">
        <w:rPr>
          <w:rFonts w:cs="Arial"/>
          <w:rtl/>
        </w:rPr>
        <w:t xml:space="preserve"> ואף לפי שיטה זו צריך היה כי אותן שקדשו בספינה שלא יחזרו אחר כך ליבשה בשבת</w:t>
      </w:r>
      <w:r w:rsidRPr="004C7EE6">
        <w:rPr>
          <w:rFonts w:cs="Arial" w:hint="cs"/>
          <w:rtl/>
        </w:rPr>
        <w:t>,</w:t>
      </w:r>
      <w:r w:rsidRPr="004C7EE6">
        <w:rPr>
          <w:rFonts w:cs="Arial"/>
          <w:rtl/>
        </w:rPr>
        <w:t xml:space="preserve"> שאם כן כיון שלא קנו שביתה בספינה למעלה מי' הרי הם קונין שביתה ביבשה</w:t>
      </w:r>
      <w:r w:rsidRPr="004C7EE6">
        <w:rPr>
          <w:rFonts w:cs="Arial" w:hint="cs"/>
          <w:rtl/>
        </w:rPr>
        <w:t>,</w:t>
      </w:r>
      <w:r w:rsidRPr="004C7EE6">
        <w:rPr>
          <w:rFonts w:cs="Arial"/>
          <w:rtl/>
        </w:rPr>
        <w:t xml:space="preserve"> ומה הועיל להם מה שקדשו בספינה הא ודאי לא מעלה ולא מוריד</w:t>
      </w:r>
      <w:r>
        <w:rPr>
          <w:rFonts w:hint="cs"/>
          <w:rtl/>
        </w:rPr>
        <w:t>, ריטב"א (שם) בשם הרמב"ן.</w:t>
      </w:r>
    </w:p>
  </w:footnote>
  <w:footnote w:id="213">
    <w:p w14:paraId="0FB9352E" w14:textId="77777777" w:rsidR="004B2E7C" w:rsidRDefault="004B2E7C" w:rsidP="00285819">
      <w:pPr>
        <w:pStyle w:val="a7"/>
        <w:rPr>
          <w:rtl/>
        </w:rPr>
      </w:pPr>
      <w:r>
        <w:rPr>
          <w:rStyle w:val="a9"/>
        </w:rPr>
        <w:footnoteRef/>
      </w:r>
      <w:r>
        <w:rPr>
          <w:rtl/>
        </w:rPr>
        <w:t xml:space="preserve"> </w:t>
      </w:r>
      <w:r w:rsidRPr="000E2D07">
        <w:rPr>
          <w:rFonts w:cs="Arial"/>
          <w:rtl/>
        </w:rPr>
        <w:t xml:space="preserve">וכן כתב מהרי"ק </w:t>
      </w:r>
      <w:r>
        <w:rPr>
          <w:rFonts w:cs="Arial" w:hint="cs"/>
          <w:rtl/>
        </w:rPr>
        <w:t>(</w:t>
      </w:r>
      <w:r w:rsidRPr="000E2D07">
        <w:rPr>
          <w:rFonts w:cs="Arial"/>
          <w:rtl/>
        </w:rPr>
        <w:t>שורש ל' אות ה' ושורש מ"ה</w:t>
      </w:r>
      <w:r>
        <w:rPr>
          <w:rFonts w:cs="Arial" w:hint="cs"/>
          <w:rtl/>
        </w:rPr>
        <w:t>), דרכ"מ (אות ג)</w:t>
      </w:r>
      <w:r w:rsidRPr="000E2D07">
        <w:rPr>
          <w:rFonts w:cs="Arial"/>
          <w:rtl/>
        </w:rPr>
        <w:t>.</w:t>
      </w:r>
    </w:p>
  </w:footnote>
  <w:footnote w:id="214">
    <w:p w14:paraId="4F39E58D" w14:textId="77777777" w:rsidR="004B2E7C" w:rsidRDefault="004B2E7C" w:rsidP="00285819">
      <w:pPr>
        <w:pStyle w:val="a7"/>
      </w:pPr>
      <w:r>
        <w:rPr>
          <w:rStyle w:val="a9"/>
        </w:rPr>
        <w:footnoteRef/>
      </w:r>
      <w:r>
        <w:rPr>
          <w:rtl/>
        </w:rPr>
        <w:t xml:space="preserve"> </w:t>
      </w:r>
      <w:r w:rsidRPr="00B23F0C">
        <w:rPr>
          <w:rFonts w:cs="Arial"/>
          <w:rtl/>
        </w:rPr>
        <w:t>ואפילו אם חל יום טוב ע"ש שרי לקנות שביתה ואין בזה משום הכנה מיו"ט לשבת [מ"א]</w:t>
      </w:r>
      <w:r>
        <w:rPr>
          <w:rFonts w:cs="Arial" w:hint="cs"/>
          <w:rtl/>
        </w:rPr>
        <w:t>.</w:t>
      </w:r>
      <w:r w:rsidRPr="00B23F0C">
        <w:rPr>
          <w:rFonts w:cs="Arial"/>
          <w:rtl/>
        </w:rPr>
        <w:t xml:space="preserve"> ואינו מועיל לזה הקנין שביתה שקנה מעיו"ט ועיין בסימן תט"ז באיזה אופן אין בו משום הכנה</w:t>
      </w:r>
      <w:r>
        <w:rPr>
          <w:rFonts w:cs="Arial" w:hint="cs"/>
          <w:rtl/>
        </w:rPr>
        <w:t>, משנ"ב (סקכ"ג).</w:t>
      </w:r>
    </w:p>
  </w:footnote>
  <w:footnote w:id="215">
    <w:p w14:paraId="7B2822C4" w14:textId="77777777" w:rsidR="004B2E7C" w:rsidRDefault="004B2E7C" w:rsidP="00285819">
      <w:pPr>
        <w:pStyle w:val="a7"/>
      </w:pPr>
      <w:r>
        <w:rPr>
          <w:rStyle w:val="a9"/>
        </w:rPr>
        <w:footnoteRef/>
      </w:r>
      <w:r>
        <w:rPr>
          <w:rtl/>
        </w:rPr>
        <w:t xml:space="preserve"> </w:t>
      </w:r>
      <w:r w:rsidRPr="00BA30E4">
        <w:rPr>
          <w:rFonts w:cs="Arial"/>
          <w:rtl/>
        </w:rPr>
        <w:t>ואפילו לדעה זו אינו מועיל הקנין שביתה אלא שיהיה מותר לכנוס בהספינה בשבת אבל כשמגיע אח"כ ליבשה אסור לו לזוז מד' אמותיו כמ"ש בסימן ת"ד [ואם הגיעה הספינה לעיר המוקפת מחיצות עי"ש בהג"ה] אבל אם לא יצא מהספינה מעת שקנה שביתה מותר אח"כ לילך במקום שיגיע ליבשה עד אלפים לכל רוח והני מילי כשהיתה הספינה לעולם למעלה מעשרה טפחים וכמבואר שם ובספינה גופא מהלך את כולה אפילו אם יצא מבערב לביתו אחר שקנה שביתה כיון ששבת באויר מחיצות מבעוד יום ואם לא קנה שביתה כלל מבע"י עיין לקמן בסי' ת"ה ס"ז במ"ב כי שם בארנו כל פרטי הדינים האלו</w:t>
      </w:r>
      <w:r>
        <w:rPr>
          <w:rFonts w:cs="Arial" w:hint="cs"/>
          <w:rtl/>
        </w:rPr>
        <w:t>, משנ"ב (סקכ"ב).</w:t>
      </w:r>
    </w:p>
  </w:footnote>
  <w:footnote w:id="216">
    <w:p w14:paraId="4DCAC385" w14:textId="77777777" w:rsidR="004B2E7C" w:rsidRDefault="004B2E7C" w:rsidP="00285819">
      <w:pPr>
        <w:pStyle w:val="a7"/>
        <w:rPr>
          <w:rtl/>
        </w:rPr>
      </w:pPr>
      <w:r>
        <w:rPr>
          <w:rStyle w:val="a9"/>
        </w:rPr>
        <w:footnoteRef/>
      </w:r>
      <w:r>
        <w:rPr>
          <w:rtl/>
        </w:rPr>
        <w:t xml:space="preserve"> </w:t>
      </w:r>
      <w:r w:rsidRPr="00B23F0C">
        <w:rPr>
          <w:rFonts w:cs="Arial"/>
          <w:rtl/>
        </w:rPr>
        <w:t>גם לדעת זו בעינן שישב שם כל בין השמשות לקנין שביתה אלא שסוברין דלכתחלה נכון לעשות שם ג"כ קידוש ולאכול מעט כדי לפרסם הדבר שקנו שם שביתה ולא יבואו לחשדם</w:t>
      </w:r>
      <w:r>
        <w:rPr>
          <w:rFonts w:hint="cs"/>
          <w:rtl/>
        </w:rPr>
        <w:t>, משנ"ב (סקכ"ד).</w:t>
      </w:r>
    </w:p>
  </w:footnote>
  <w:footnote w:id="217">
    <w:p w14:paraId="76BBAB24" w14:textId="77777777" w:rsidR="004B2E7C" w:rsidRDefault="004B2E7C" w:rsidP="00285819">
      <w:pPr>
        <w:pStyle w:val="a7"/>
      </w:pPr>
      <w:r>
        <w:rPr>
          <w:rStyle w:val="a9"/>
        </w:rPr>
        <w:footnoteRef/>
      </w:r>
      <w:r>
        <w:rPr>
          <w:rtl/>
        </w:rPr>
        <w:t xml:space="preserve"> </w:t>
      </w:r>
      <w:r>
        <w:rPr>
          <w:rFonts w:hint="cs"/>
          <w:rtl/>
        </w:rPr>
        <w:t xml:space="preserve">וז"ל- </w:t>
      </w:r>
      <w:r w:rsidRPr="00E17ED6">
        <w:rPr>
          <w:rFonts w:cs="Arial"/>
          <w:rtl/>
        </w:rPr>
        <w:t xml:space="preserve">לדבר מצוה מפליגין ופירש ר"ת דלכאורה סחורה חשיב דבר מצוה ומותר להפליג אפילו בערב שבת כדאמרינן פ"ק דקדושין </w:t>
      </w:r>
      <w:r>
        <w:rPr>
          <w:rFonts w:cs="Arial" w:hint="cs"/>
          <w:rtl/>
        </w:rPr>
        <w:t>(ל:)</w:t>
      </w:r>
      <w:r w:rsidRPr="00E17ED6">
        <w:rPr>
          <w:rFonts w:cs="Arial"/>
          <w:rtl/>
        </w:rPr>
        <w:t xml:space="preserve"> ראה חיים זו אומנות ואמרינן נמי </w:t>
      </w:r>
      <w:r>
        <w:rPr>
          <w:rFonts w:cs="Arial" w:hint="cs"/>
          <w:rtl/>
        </w:rPr>
        <w:t>(</w:t>
      </w:r>
      <w:r w:rsidRPr="00E17ED6">
        <w:rPr>
          <w:rFonts w:cs="Arial"/>
          <w:rtl/>
        </w:rPr>
        <w:t xml:space="preserve">ב"מ </w:t>
      </w:r>
      <w:r>
        <w:rPr>
          <w:rFonts w:cs="Arial" w:hint="cs"/>
          <w:rtl/>
        </w:rPr>
        <w:t xml:space="preserve">כט:) </w:t>
      </w:r>
      <w:r w:rsidRPr="00E17ED6">
        <w:rPr>
          <w:rFonts w:cs="Arial"/>
          <w:rtl/>
        </w:rPr>
        <w:t>והודעת להם את הדרך זה בית חייהם</w:t>
      </w:r>
      <w:r>
        <w:rPr>
          <w:rFonts w:cs="Arial" w:hint="cs"/>
          <w:rtl/>
        </w:rPr>
        <w:t xml:space="preserve">. </w:t>
      </w:r>
      <w:r w:rsidRPr="00E17ED6">
        <w:rPr>
          <w:rFonts w:cs="Arial"/>
          <w:rtl/>
        </w:rPr>
        <w:t>ופירוש שיחיו מהאומנות וכו' מור"ם</w:t>
      </w:r>
      <w:r>
        <w:rPr>
          <w:rFonts w:cs="Arial" w:hint="cs"/>
          <w:rtl/>
        </w:rPr>
        <w:t>.</w:t>
      </w:r>
      <w:r w:rsidRPr="00E17ED6">
        <w:rPr>
          <w:rFonts w:cs="Arial"/>
          <w:rtl/>
        </w:rPr>
        <w:t xml:space="preserve"> וגם אם הולך להתראות פנים לחבירו חשיב דבר מצוה</w:t>
      </w:r>
      <w:r>
        <w:rPr>
          <w:rFonts w:cs="Arial" w:hint="cs"/>
          <w:rtl/>
        </w:rPr>
        <w:t>.</w:t>
      </w:r>
      <w:r w:rsidRPr="00E17ED6">
        <w:rPr>
          <w:rFonts w:cs="Arial"/>
          <w:rtl/>
        </w:rPr>
        <w:t xml:space="preserve"> אך אם הולך לטייל זהו דבר הרשות</w:t>
      </w:r>
      <w:r>
        <w:rPr>
          <w:rFonts w:cs="Arial" w:hint="cs"/>
          <w:rtl/>
        </w:rPr>
        <w:t>.</w:t>
      </w:r>
    </w:p>
  </w:footnote>
  <w:footnote w:id="218">
    <w:p w14:paraId="18A17E84" w14:textId="77777777" w:rsidR="004B2E7C" w:rsidRDefault="004B2E7C" w:rsidP="00285819">
      <w:pPr>
        <w:pStyle w:val="a7"/>
        <w:rPr>
          <w:rtl/>
        </w:rPr>
      </w:pPr>
      <w:r>
        <w:rPr>
          <w:rStyle w:val="a9"/>
        </w:rPr>
        <w:footnoteRef/>
      </w:r>
      <w:r>
        <w:rPr>
          <w:rtl/>
        </w:rPr>
        <w:t xml:space="preserve"> </w:t>
      </w:r>
      <w:r>
        <w:rPr>
          <w:rFonts w:cs="Arial"/>
          <w:rtl/>
        </w:rPr>
        <w:t>אם נכנס אדם בספינה שלשה ימים קודם השבת אם מותר לילך בה בשבת במים שאין בעמקן עשרה טפחים יתבאר עוד בסימן ת"ד בס"ד</w:t>
      </w:r>
      <w:r>
        <w:rPr>
          <w:rFonts w:cs="Arial" w:hint="cs"/>
          <w:rtl/>
        </w:rPr>
        <w:t>.</w:t>
      </w:r>
      <w:r>
        <w:rPr>
          <w:rFonts w:cs="Arial"/>
          <w:rtl/>
        </w:rPr>
        <w:t xml:space="preserve"> כיצד מותר ליכנס בספינה בשבת בסימן של"ט (קיד. ד"ה כתב עוד האגור)</w:t>
      </w:r>
      <w:r>
        <w:rPr>
          <w:rFonts w:cs="Arial" w:hint="cs"/>
          <w:rtl/>
        </w:rPr>
        <w:t>, ב"י.</w:t>
      </w:r>
    </w:p>
  </w:footnote>
  <w:footnote w:id="219">
    <w:p w14:paraId="067F39F1" w14:textId="77777777" w:rsidR="004B2E7C" w:rsidRDefault="004B2E7C" w:rsidP="00285819">
      <w:pPr>
        <w:pStyle w:val="a7"/>
      </w:pPr>
      <w:r>
        <w:rPr>
          <w:rStyle w:val="a9"/>
        </w:rPr>
        <w:footnoteRef/>
      </w:r>
      <w:r>
        <w:rPr>
          <w:rtl/>
        </w:rPr>
        <w:t xml:space="preserve"> </w:t>
      </w:r>
      <w:r w:rsidRPr="00536FF0">
        <w:rPr>
          <w:rFonts w:cs="Arial"/>
          <w:rtl/>
        </w:rPr>
        <w:t>אפילו באיסור דרבנן [מ"א בשם הריב"ש]</w:t>
      </w:r>
      <w:r>
        <w:rPr>
          <w:rFonts w:cs="Arial" w:hint="cs"/>
          <w:rtl/>
        </w:rPr>
        <w:t>, משנ"ב (סקכ"ה).</w:t>
      </w:r>
    </w:p>
  </w:footnote>
  <w:footnote w:id="220">
    <w:p w14:paraId="59DE7790" w14:textId="77777777" w:rsidR="004B2E7C" w:rsidRDefault="004B2E7C" w:rsidP="00285819">
      <w:pPr>
        <w:pStyle w:val="a7"/>
        <w:rPr>
          <w:rtl/>
        </w:rPr>
      </w:pPr>
      <w:r>
        <w:rPr>
          <w:rStyle w:val="a9"/>
        </w:rPr>
        <w:footnoteRef/>
      </w:r>
      <w:r>
        <w:rPr>
          <w:rtl/>
        </w:rPr>
        <w:t xml:space="preserve"> </w:t>
      </w:r>
      <w:r w:rsidRPr="00536FF0">
        <w:rPr>
          <w:rFonts w:cs="Arial"/>
          <w:rtl/>
        </w:rPr>
        <w:t>כבר נתבאר הטעם משום דהם נקראים על שם שבת העבר ואין צריך להזהר עתה שלא יבוא לידי חילול שבת הבא ובכנה"ג כתב בשם הריב"ל דכשיודע בודאי שיבוא לידי חילול שבת אסור אף בכה"ג וכ"כ הרדב"ז ועפ"ז סומכין עכשיו שמסכנים בעצמם קצת שלא לחלל שבת כדי שלא יהיה איסור למפרע על מה שיצא</w:t>
      </w:r>
      <w:r>
        <w:rPr>
          <w:rFonts w:hint="cs"/>
          <w:rtl/>
        </w:rPr>
        <w:t>, משנ"ב (סקכ"ו).</w:t>
      </w:r>
    </w:p>
  </w:footnote>
  <w:footnote w:id="221">
    <w:p w14:paraId="469DC52D" w14:textId="77777777" w:rsidR="004B2E7C" w:rsidRDefault="004B2E7C" w:rsidP="00285819">
      <w:pPr>
        <w:pStyle w:val="a7"/>
      </w:pPr>
      <w:r>
        <w:rPr>
          <w:rStyle w:val="a9"/>
        </w:rPr>
        <w:footnoteRef/>
      </w:r>
      <w:r>
        <w:rPr>
          <w:rtl/>
        </w:rPr>
        <w:t xml:space="preserve"> </w:t>
      </w:r>
      <w:r w:rsidRPr="00536FF0">
        <w:rPr>
          <w:rFonts w:cs="Arial"/>
          <w:rtl/>
        </w:rPr>
        <w:t>ר"ל כיון דממילא נסבב הדבר לבסוף ובאונס של פיקוח נפש אין כאן חילול. ופשוט דלכו"ע אסור לו להבטיח לשיירא בעת שישתתף עמם שיסייעם באיזה עשיית מלאכה בשבת ואפילו מלאכה דרבנן אף שעי"ז תתבטל הנסיעה שלו שלא ירצו להשתתף עמו ואפילו אם הוא דבר מצוה דהרי הוא מתנה בהדיא לחלל את השבת</w:t>
      </w:r>
      <w:r>
        <w:rPr>
          <w:rFonts w:cs="Arial" w:hint="cs"/>
          <w:rtl/>
        </w:rPr>
        <w:t>, משנ"ב (סקכ"ז).</w:t>
      </w:r>
    </w:p>
  </w:footnote>
  <w:footnote w:id="222">
    <w:p w14:paraId="2DA21E79" w14:textId="77777777" w:rsidR="004B2E7C" w:rsidRDefault="004B2E7C" w:rsidP="00285819">
      <w:pPr>
        <w:pStyle w:val="a7"/>
      </w:pPr>
      <w:r>
        <w:rPr>
          <w:rStyle w:val="a9"/>
        </w:rPr>
        <w:footnoteRef/>
      </w:r>
      <w:r>
        <w:rPr>
          <w:rtl/>
        </w:rPr>
        <w:t xml:space="preserve"> </w:t>
      </w:r>
      <w:r w:rsidRPr="00536FF0">
        <w:rPr>
          <w:rFonts w:cs="Arial"/>
          <w:rtl/>
        </w:rPr>
        <w:t>י"א דה"ד כדי להתיישב בה וי"א דאפילו ע"מ להחזיר דלהלוך בה הילוך ד"א נמי הוי מצוה ובפרט לפי מה שהקיל רמ"א בסוף הסימן בהג"ה ודאי דגם זה הוא בכלל דבר מצוה</w:t>
      </w:r>
      <w:r>
        <w:rPr>
          <w:rFonts w:cs="Arial" w:hint="cs"/>
          <w:rtl/>
        </w:rPr>
        <w:t>, משנ"ב (סקכ"ח).</w:t>
      </w:r>
    </w:p>
  </w:footnote>
  <w:footnote w:id="223">
    <w:p w14:paraId="3F77DA9A" w14:textId="77777777" w:rsidR="004B2E7C" w:rsidRDefault="004B2E7C" w:rsidP="00285819">
      <w:pPr>
        <w:pStyle w:val="a7"/>
      </w:pPr>
      <w:r>
        <w:rPr>
          <w:rStyle w:val="a9"/>
        </w:rPr>
        <w:footnoteRef/>
      </w:r>
      <w:r>
        <w:rPr>
          <w:rtl/>
        </w:rPr>
        <w:t xml:space="preserve"> </w:t>
      </w:r>
      <w:r w:rsidRPr="00536FF0">
        <w:rPr>
          <w:rFonts w:cs="Arial"/>
          <w:rtl/>
        </w:rPr>
        <w:t>והפסיקה הוא לעיכובא ואם לא יתרצו בזה לא ילך עמם וכמו שבארתי בבה"ל</w:t>
      </w:r>
      <w:r>
        <w:rPr>
          <w:rFonts w:cs="Arial" w:hint="cs"/>
          <w:rtl/>
        </w:rPr>
        <w:t>, משנ"ב (סקכ"ט).</w:t>
      </w:r>
    </w:p>
  </w:footnote>
  <w:footnote w:id="224">
    <w:p w14:paraId="740A2D32" w14:textId="77777777" w:rsidR="004B2E7C" w:rsidRDefault="004B2E7C" w:rsidP="00285819">
      <w:pPr>
        <w:pStyle w:val="a7"/>
      </w:pPr>
      <w:r>
        <w:rPr>
          <w:rStyle w:val="a9"/>
        </w:rPr>
        <w:footnoteRef/>
      </w:r>
      <w:r>
        <w:rPr>
          <w:rtl/>
        </w:rPr>
        <w:t xml:space="preserve"> </w:t>
      </w:r>
      <w:r w:rsidRPr="00875D58">
        <w:rPr>
          <w:rFonts w:cs="Arial"/>
          <w:rtl/>
        </w:rPr>
        <w:t>וה"ה אפילו חוץ לי"ב מיל נמי שרי עד שיגיע למקום שאין שם שוב חשש סכנת נפשות ויפרד מהם וישבות שם ויש לו משם אלפים לכל רוח [אחרונים]</w:t>
      </w:r>
      <w:r>
        <w:rPr>
          <w:rFonts w:cs="Arial" w:hint="cs"/>
          <w:rtl/>
        </w:rPr>
        <w:t>, משנ"ב (סקל"א).</w:t>
      </w:r>
    </w:p>
  </w:footnote>
  <w:footnote w:id="225">
    <w:p w14:paraId="4574BC8B" w14:textId="77777777" w:rsidR="004B2E7C" w:rsidRDefault="004B2E7C" w:rsidP="00285819">
      <w:pPr>
        <w:pStyle w:val="a7"/>
      </w:pPr>
      <w:r>
        <w:rPr>
          <w:rStyle w:val="a9"/>
        </w:rPr>
        <w:footnoteRef/>
      </w:r>
      <w:r>
        <w:rPr>
          <w:rtl/>
        </w:rPr>
        <w:t xml:space="preserve"> </w:t>
      </w:r>
      <w:r w:rsidRPr="00536FF0">
        <w:rPr>
          <w:rFonts w:cs="Arial"/>
          <w:rtl/>
        </w:rPr>
        <w:t>אם מתיירא להתעכב במדבר שמא יפגשו בו חיות רעות</w:t>
      </w:r>
      <w:r>
        <w:rPr>
          <w:rFonts w:cs="Arial" w:hint="cs"/>
          <w:rtl/>
        </w:rPr>
        <w:t>,</w:t>
      </w:r>
      <w:r w:rsidRPr="00536FF0">
        <w:rPr>
          <w:rFonts w:cs="Arial"/>
          <w:rtl/>
        </w:rPr>
        <w:t xml:space="preserve"> או יפגעו בו לסטים ויגזלו ממנו בהמתו ולא יוכל ללכת ברגליו ויסתכן</w:t>
      </w:r>
      <w:r>
        <w:rPr>
          <w:rFonts w:cs="Arial" w:hint="cs"/>
          <w:rtl/>
        </w:rPr>
        <w:t>,</w:t>
      </w:r>
      <w:r w:rsidRPr="00536FF0">
        <w:rPr>
          <w:rFonts w:cs="Arial"/>
          <w:rtl/>
        </w:rPr>
        <w:t xml:space="preserve"> או יקחו ממונו ולא יוכל להחיות את עצמו במדבר</w:t>
      </w:r>
      <w:r>
        <w:rPr>
          <w:rFonts w:cs="Arial" w:hint="cs"/>
          <w:rtl/>
        </w:rPr>
        <w:t>,</w:t>
      </w:r>
      <w:r w:rsidRPr="00536FF0">
        <w:rPr>
          <w:rFonts w:cs="Arial"/>
          <w:rtl/>
        </w:rPr>
        <w:t xml:space="preserve"> או שיקחו ממנו מלבושיו בזמן הקור </w:t>
      </w:r>
      <w:r>
        <w:rPr>
          <w:rFonts w:cs="Arial" w:hint="cs"/>
          <w:rtl/>
        </w:rPr>
        <w:t xml:space="preserve">- </w:t>
      </w:r>
      <w:r w:rsidRPr="00536FF0">
        <w:rPr>
          <w:rFonts w:cs="Arial"/>
          <w:rtl/>
        </w:rPr>
        <w:t>כולם הוא בכלל ספק פיקוח נפש ומותר לילך עמהם</w:t>
      </w:r>
      <w:r>
        <w:rPr>
          <w:rFonts w:cs="Arial" w:hint="cs"/>
          <w:rtl/>
        </w:rPr>
        <w:t>, משנ"ב (סק"ל).</w:t>
      </w:r>
    </w:p>
  </w:footnote>
  <w:footnote w:id="226">
    <w:p w14:paraId="2A71F132" w14:textId="77777777" w:rsidR="004B2E7C" w:rsidRDefault="004B2E7C" w:rsidP="00285819">
      <w:pPr>
        <w:pStyle w:val="a7"/>
      </w:pPr>
      <w:r>
        <w:rPr>
          <w:rStyle w:val="a9"/>
        </w:rPr>
        <w:footnoteRef/>
      </w:r>
      <w:r>
        <w:rPr>
          <w:rtl/>
        </w:rPr>
        <w:t xml:space="preserve"> </w:t>
      </w:r>
      <w:r w:rsidRPr="00875D58">
        <w:rPr>
          <w:rFonts w:cs="Arial"/>
          <w:rtl/>
        </w:rPr>
        <w:t>וכתב המ"א דדוקא כשהלך לדבר מצוה גמורה ולא כשהלך לסחורה דאף דדעת ההג"ה שגם זה מקרי צורך מצוה מ"מ לענין שיהיה יכול להלוך בתוך כל העיר וכן במה שכתב המחבר ואפילו וכו' יש לו אלפים לכל רוח אין לסמוך ע"ז כיון שהרבה פוסקים חולקין ע"ז</w:t>
      </w:r>
      <w:r>
        <w:rPr>
          <w:rFonts w:cs="Arial" w:hint="cs"/>
          <w:rtl/>
        </w:rPr>
        <w:t>, משנ"ב (סקל"ב).</w:t>
      </w:r>
    </w:p>
  </w:footnote>
  <w:footnote w:id="227">
    <w:p w14:paraId="703ED6B0" w14:textId="77777777" w:rsidR="004B2E7C" w:rsidRDefault="004B2E7C" w:rsidP="00285819">
      <w:pPr>
        <w:pStyle w:val="a7"/>
      </w:pPr>
      <w:r>
        <w:rPr>
          <w:rStyle w:val="a9"/>
        </w:rPr>
        <w:footnoteRef/>
      </w:r>
      <w:r>
        <w:rPr>
          <w:rtl/>
        </w:rPr>
        <w:t xml:space="preserve"> </w:t>
      </w:r>
      <w:r w:rsidRPr="00702560">
        <w:rPr>
          <w:rFonts w:cs="Arial"/>
          <w:rtl/>
        </w:rPr>
        <w:t>אבל אם יצא מתחלה לדבר הרשות אף שעתה היה מותר לו ללכת עמהם חוץ לתחום מפני פ"נ מ"מ כיון שעבר מתחלה על דעת חכמים במה שיצא תוך ג' ימים הרי הוא כשאר יוצא חוץ לתחום דאין לו אלא ד"א ואם יצא קודם ג' ימים אפילו לדבר הרשות כיון דהשתא היה צריך לצאת מפני פיקוח נפש יש לו אלפים אמה לכל רוח כמ"ש סימן ת"ז [מ"א]. עוד כתב דאם הלך תוך ג' ימים מפני שסבר שמותר לילך תוך ג' ימים הו"ל שוגג ויש לו אלפים אמה לכל רוח וכ"כ ש"א</w:t>
      </w:r>
      <w:r>
        <w:rPr>
          <w:rFonts w:cs="Arial" w:hint="cs"/>
          <w:rtl/>
        </w:rPr>
        <w:t>, משנ"ב (סקל"ג).</w:t>
      </w:r>
    </w:p>
  </w:footnote>
  <w:footnote w:id="228">
    <w:p w14:paraId="35BF21BD" w14:textId="77777777" w:rsidR="004B2E7C" w:rsidRDefault="004B2E7C" w:rsidP="00285819">
      <w:pPr>
        <w:pStyle w:val="a7"/>
      </w:pPr>
      <w:r>
        <w:rPr>
          <w:rStyle w:val="a9"/>
        </w:rPr>
        <w:footnoteRef/>
      </w:r>
      <w:r>
        <w:rPr>
          <w:rtl/>
        </w:rPr>
        <w:t xml:space="preserve"> </w:t>
      </w:r>
      <w:r w:rsidRPr="00702560">
        <w:rPr>
          <w:rFonts w:cs="Arial"/>
          <w:rtl/>
        </w:rPr>
        <w:t>אפילו יש לו מזונות והולך לסחורה להרוחה</w:t>
      </w:r>
      <w:r>
        <w:rPr>
          <w:rFonts w:cs="Arial" w:hint="cs"/>
          <w:rtl/>
        </w:rPr>
        <w:t>.</w:t>
      </w:r>
      <w:r w:rsidRPr="00702560">
        <w:rPr>
          <w:rFonts w:cs="Arial"/>
          <w:rtl/>
        </w:rPr>
        <w:t xml:space="preserve"> ולגבות מעות מ</w:t>
      </w:r>
      <w:r>
        <w:rPr>
          <w:rFonts w:cs="Arial" w:hint="cs"/>
          <w:rtl/>
        </w:rPr>
        <w:t>גו</w:t>
      </w:r>
      <w:r w:rsidRPr="00702560">
        <w:rPr>
          <w:rFonts w:cs="Arial"/>
          <w:rtl/>
        </w:rPr>
        <w:t>י שהוא חולה</w:t>
      </w:r>
      <w:r>
        <w:rPr>
          <w:rFonts w:cs="Arial" w:hint="cs"/>
          <w:rtl/>
        </w:rPr>
        <w:t>,</w:t>
      </w:r>
      <w:r w:rsidRPr="00702560">
        <w:rPr>
          <w:rFonts w:cs="Arial"/>
          <w:rtl/>
        </w:rPr>
        <w:t xml:space="preserve"> כל עוד שאינו גוסס לא מקרי פסידא ודאית [מ"א]</w:t>
      </w:r>
      <w:r>
        <w:rPr>
          <w:rFonts w:cs="Arial" w:hint="cs"/>
          <w:rtl/>
        </w:rPr>
        <w:t>.</w:t>
      </w:r>
      <w:r w:rsidRPr="00702560">
        <w:rPr>
          <w:rFonts w:cs="Arial"/>
          <w:rtl/>
        </w:rPr>
        <w:t xml:space="preserve"> והא"ר מיקל בזה דלא גרע מהולך לסחורה</w:t>
      </w:r>
      <w:r>
        <w:rPr>
          <w:rFonts w:cs="Arial" w:hint="cs"/>
          <w:rtl/>
        </w:rPr>
        <w:t>,</w:t>
      </w:r>
      <w:r w:rsidRPr="00702560">
        <w:rPr>
          <w:rFonts w:cs="Arial"/>
          <w:rtl/>
        </w:rPr>
        <w:t xml:space="preserve"> וע"כ מותר להפליג עבור זה בתוך ג' ימים</w:t>
      </w:r>
      <w:r>
        <w:rPr>
          <w:rFonts w:cs="Arial" w:hint="cs"/>
          <w:rtl/>
        </w:rPr>
        <w:t>.</w:t>
      </w:r>
      <w:r w:rsidRPr="00702560">
        <w:rPr>
          <w:rFonts w:cs="Arial"/>
          <w:rtl/>
        </w:rPr>
        <w:t xml:space="preserve"> ועיין לקמן בסימן של"ט במ"א סקי"ג ובמ"ב שם</w:t>
      </w:r>
      <w:r>
        <w:rPr>
          <w:rFonts w:cs="Arial" w:hint="cs"/>
          <w:rtl/>
        </w:rPr>
        <w:t>, משנ"ב (סקל"ד).</w:t>
      </w:r>
    </w:p>
  </w:footnote>
  <w:footnote w:id="229">
    <w:p w14:paraId="007E169F" w14:textId="77777777" w:rsidR="004B2E7C" w:rsidRDefault="004B2E7C" w:rsidP="00285819">
      <w:pPr>
        <w:pStyle w:val="a7"/>
        <w:rPr>
          <w:rtl/>
        </w:rPr>
      </w:pPr>
      <w:r>
        <w:rPr>
          <w:rStyle w:val="a9"/>
        </w:rPr>
        <w:footnoteRef/>
      </w:r>
      <w:r>
        <w:rPr>
          <w:rtl/>
        </w:rPr>
        <w:t xml:space="preserve"> </w:t>
      </w:r>
      <w:r w:rsidRPr="00702560">
        <w:rPr>
          <w:rFonts w:cs="Arial"/>
          <w:rtl/>
        </w:rPr>
        <w:t>ודעת מ"א בשם כמה פוסקים דבהליכת שיירא אין להקל</w:t>
      </w:r>
      <w:r>
        <w:rPr>
          <w:rFonts w:hint="cs"/>
          <w:rtl/>
        </w:rPr>
        <w:t>, משנ"ב (סקל"ה).</w:t>
      </w:r>
    </w:p>
  </w:footnote>
  <w:footnote w:id="230">
    <w:p w14:paraId="003685C4" w14:textId="77777777" w:rsidR="004B2E7C" w:rsidRDefault="004B2E7C" w:rsidP="00285819">
      <w:pPr>
        <w:pStyle w:val="a7"/>
      </w:pPr>
      <w:r>
        <w:rPr>
          <w:rStyle w:val="a9"/>
        </w:rPr>
        <w:footnoteRef/>
      </w:r>
      <w:r>
        <w:rPr>
          <w:rtl/>
        </w:rPr>
        <w:t xml:space="preserve"> </w:t>
      </w:r>
      <w:r w:rsidRPr="00702560">
        <w:rPr>
          <w:rFonts w:cs="Arial"/>
          <w:rtl/>
        </w:rPr>
        <w:t>אבל במקום שלא נהגו להקל אין כדאי לכתחלה להקל דכמה פוסקים סוברים דבעינן מצוה גמורה</w:t>
      </w:r>
      <w:r>
        <w:rPr>
          <w:rFonts w:cs="Arial" w:hint="cs"/>
          <w:rtl/>
        </w:rPr>
        <w:t>, משנ"ב (סקל"ו).</w:t>
      </w:r>
    </w:p>
  </w:footnote>
  <w:footnote w:id="231">
    <w:p w14:paraId="46B665EE" w14:textId="77777777" w:rsidR="004B2E7C" w:rsidRDefault="004B2E7C" w:rsidP="00285819">
      <w:pPr>
        <w:pStyle w:val="a7"/>
      </w:pPr>
      <w:r>
        <w:rPr>
          <w:rStyle w:val="a9"/>
        </w:rPr>
        <w:footnoteRef/>
      </w:r>
      <w:r>
        <w:rPr>
          <w:rtl/>
        </w:rPr>
        <w:t xml:space="preserve"> </w:t>
      </w:r>
      <w:r>
        <w:rPr>
          <w:rFonts w:cs="Arial"/>
          <w:rtl/>
        </w:rPr>
        <w:t>נלמד ממה שנתבאר בסימן שקודם זה דאע"ג דאין מפליגין בספינה פחות משלשה ימים קודם השבת משום ביטול עונג שבת לדבר מצוה מותר ומפורש הוא בירושלמי סוף פרק קמא דשבת (ה"ח)</w:t>
      </w:r>
      <w:r>
        <w:rPr>
          <w:rFonts w:cs="Arial" w:hint="cs"/>
          <w:rtl/>
        </w:rPr>
        <w:t>..., ב"י.</w:t>
      </w:r>
    </w:p>
  </w:footnote>
  <w:footnote w:id="232">
    <w:p w14:paraId="5E712380" w14:textId="77777777" w:rsidR="004B2E7C" w:rsidRDefault="004B2E7C" w:rsidP="00285819">
      <w:pPr>
        <w:pStyle w:val="a7"/>
      </w:pPr>
      <w:r>
        <w:rPr>
          <w:rStyle w:val="a9"/>
        </w:rPr>
        <w:footnoteRef/>
      </w:r>
      <w:r>
        <w:rPr>
          <w:rtl/>
        </w:rPr>
        <w:t xml:space="preserve"> </w:t>
      </w:r>
      <w:r w:rsidRPr="00CA4911">
        <w:rPr>
          <w:rFonts w:cs="Arial"/>
          <w:rtl/>
        </w:rPr>
        <w:t>אלא ישבות לו בעוד יום גדול, ויכין לו סעודת שבת</w:t>
      </w:r>
      <w:r>
        <w:rPr>
          <w:rFonts w:cs="Arial" w:hint="cs"/>
          <w:rtl/>
        </w:rPr>
        <w:t>, רש"י.</w:t>
      </w:r>
    </w:p>
  </w:footnote>
  <w:footnote w:id="233">
    <w:p w14:paraId="356BD73E" w14:textId="77777777" w:rsidR="004B2E7C" w:rsidRDefault="004B2E7C" w:rsidP="00285819">
      <w:pPr>
        <w:pStyle w:val="a7"/>
      </w:pPr>
      <w:r>
        <w:rPr>
          <w:rStyle w:val="a9"/>
        </w:rPr>
        <w:footnoteRef/>
      </w:r>
      <w:r>
        <w:rPr>
          <w:rtl/>
        </w:rPr>
        <w:t xml:space="preserve"> </w:t>
      </w:r>
      <w:r w:rsidRPr="00CA4911">
        <w:rPr>
          <w:rFonts w:cs="Arial"/>
          <w:rtl/>
        </w:rPr>
        <w:t>שהולך לביתו, והם אינם יודעים שיבא היום, ואין מכינים לצורכו, והוא כועס עליהם</w:t>
      </w:r>
      <w:r>
        <w:rPr>
          <w:rFonts w:cs="Arial" w:hint="cs"/>
          <w:rtl/>
        </w:rPr>
        <w:t>, רש"י.</w:t>
      </w:r>
    </w:p>
  </w:footnote>
  <w:footnote w:id="234">
    <w:p w14:paraId="052D3507" w14:textId="77777777" w:rsidR="004B2E7C" w:rsidRDefault="004B2E7C" w:rsidP="00285819">
      <w:pPr>
        <w:pStyle w:val="a7"/>
      </w:pPr>
      <w:r>
        <w:rPr>
          <w:rStyle w:val="a9"/>
        </w:rPr>
        <w:footnoteRef/>
      </w:r>
      <w:r>
        <w:rPr>
          <w:rtl/>
        </w:rPr>
        <w:t xml:space="preserve"> </w:t>
      </w:r>
      <w:r w:rsidRPr="00CA4911">
        <w:rPr>
          <w:rFonts w:cs="Arial"/>
          <w:rtl/>
        </w:rPr>
        <w:t>אינו סמוך על בני הבית, ונושא עמו סעודתו, ועל מה שבידו נסמך</w:t>
      </w:r>
      <w:r>
        <w:rPr>
          <w:rFonts w:cs="Arial" w:hint="cs"/>
          <w:rtl/>
        </w:rPr>
        <w:t>, רש"י.</w:t>
      </w:r>
    </w:p>
  </w:footnote>
  <w:footnote w:id="235">
    <w:p w14:paraId="3257F64E" w14:textId="77777777" w:rsidR="004B2E7C" w:rsidRDefault="004B2E7C" w:rsidP="00285819">
      <w:pPr>
        <w:pStyle w:val="a7"/>
      </w:pPr>
      <w:r>
        <w:rPr>
          <w:rStyle w:val="a9"/>
        </w:rPr>
        <w:footnoteRef/>
      </w:r>
      <w:r>
        <w:rPr>
          <w:rtl/>
        </w:rPr>
        <w:t xml:space="preserve"> </w:t>
      </w:r>
      <w:r w:rsidRPr="00CA4911">
        <w:rPr>
          <w:rFonts w:cs="Arial"/>
          <w:rtl/>
        </w:rPr>
        <w:t>דמה שמוצא אם מעט אם רב שלו הוא, אף על פי כן לא יהלך, וכל שכן לאושפיזיה, שלא ימצא כלום</w:t>
      </w:r>
      <w:r>
        <w:rPr>
          <w:rFonts w:cs="Arial" w:hint="cs"/>
          <w:rtl/>
        </w:rPr>
        <w:t>, רש"י.</w:t>
      </w:r>
    </w:p>
  </w:footnote>
  <w:footnote w:id="236">
    <w:p w14:paraId="7390E0FB" w14:textId="77777777" w:rsidR="004B2E7C" w:rsidRDefault="004B2E7C" w:rsidP="00285819">
      <w:pPr>
        <w:pStyle w:val="a7"/>
        <w:rPr>
          <w:rtl/>
        </w:rPr>
      </w:pPr>
      <w:r>
        <w:rPr>
          <w:rStyle w:val="a9"/>
        </w:rPr>
        <w:footnoteRef/>
      </w:r>
      <w:r>
        <w:rPr>
          <w:rtl/>
        </w:rPr>
        <w:t xml:space="preserve"> </w:t>
      </w:r>
      <w:r w:rsidRPr="00DA3258">
        <w:rPr>
          <w:rFonts w:cs="Arial"/>
          <w:rtl/>
        </w:rPr>
        <w:t>וכן נראה מדברי הרמב"ם שכתב שהרי אין בני ביתו יודעים שהיום יבוא כדי להכין לו</w:t>
      </w:r>
      <w:r w:rsidRPr="00DA3258">
        <w:rPr>
          <w:rFonts w:cs="Arial" w:hint="cs"/>
          <w:rtl/>
        </w:rPr>
        <w:t>.</w:t>
      </w:r>
      <w:r w:rsidRPr="00DA3258">
        <w:rPr>
          <w:rFonts w:cs="Arial"/>
          <w:rtl/>
        </w:rPr>
        <w:t xml:space="preserve"> ופשוט הוא</w:t>
      </w:r>
      <w:r>
        <w:rPr>
          <w:rFonts w:cs="Arial" w:hint="cs"/>
          <w:rtl/>
        </w:rPr>
        <w:t>, ב"י</w:t>
      </w:r>
      <w:r w:rsidRPr="00DA3258">
        <w:rPr>
          <w:rFonts w:cs="Arial" w:hint="cs"/>
          <w:rtl/>
        </w:rPr>
        <w:t>.</w:t>
      </w:r>
    </w:p>
  </w:footnote>
  <w:footnote w:id="237">
    <w:p w14:paraId="1813E470" w14:textId="77777777" w:rsidR="004B2E7C" w:rsidRDefault="004B2E7C" w:rsidP="00285819">
      <w:pPr>
        <w:pStyle w:val="a7"/>
        <w:rPr>
          <w:rtl/>
        </w:rPr>
      </w:pPr>
      <w:r>
        <w:rPr>
          <w:rStyle w:val="a9"/>
        </w:rPr>
        <w:footnoteRef/>
      </w:r>
      <w:r>
        <w:rPr>
          <w:rtl/>
        </w:rPr>
        <w:t xml:space="preserve"> </w:t>
      </w:r>
      <w:r w:rsidRPr="00BF24F2">
        <w:rPr>
          <w:rFonts w:cs="Arial"/>
          <w:rtl/>
        </w:rPr>
        <w:t>מתחלת היום והוא קרוב לשליש היום כפי מהלך אדם בינוני י' פרסאות ביום ובנוסע בעגלה או רוכב על סוס דנוסע במהרה יוכל ליסע הרבה יותר מג' פרסאות עד שליש היום ומהב"ח משמע להקל בנוסע בעגלה ליסע אפילו אחר חצות היום ובלבד שיעמוד לשבות בעוד היום גדול בכדי שיוכל להכין צרכי שבת</w:t>
      </w:r>
      <w:r>
        <w:rPr>
          <w:rFonts w:hint="cs"/>
          <w:rtl/>
        </w:rPr>
        <w:t>, משנ"ב (סק"א).</w:t>
      </w:r>
    </w:p>
  </w:footnote>
  <w:footnote w:id="238">
    <w:p w14:paraId="4E2F5BDA" w14:textId="77777777" w:rsidR="004B2E7C" w:rsidRDefault="004B2E7C" w:rsidP="00285819">
      <w:pPr>
        <w:pStyle w:val="a7"/>
      </w:pPr>
      <w:r>
        <w:rPr>
          <w:rStyle w:val="a9"/>
        </w:rPr>
        <w:footnoteRef/>
      </w:r>
      <w:r>
        <w:rPr>
          <w:rtl/>
        </w:rPr>
        <w:t xml:space="preserve"> </w:t>
      </w:r>
      <w:r w:rsidRPr="00BF24F2">
        <w:rPr>
          <w:rFonts w:cs="Arial"/>
          <w:rtl/>
        </w:rPr>
        <w:t>ואף שהוא מכוין שבביתו יהיה לו יותר עונג שבת מ"מ אסור שמא לא ידעו כלל מביאתו ולא הכינו בשבילו. ובמדינות אלו רוב בני אדם מכינים צרכי שבת בריוח ולכן אין נזהרין בזה כלל בין כשהולך לביתו או להתארח בבית אחרים [מ"א בשם אגודה] ובהרבה אחרונים ראיתי שכתבו דמ"מ צריך ליזהר לכתחלה שלא ילך או יסע עד סמוך לערב מפני שכמה פעמים נכשלים עי"ז ובאים לידי חילול שבת כי בעל אושפיזא או אפילו בביתו כשבא סמוך לשבת מוסיפין לבשל בשבילו ומחללין שבת וגם כמה פעמים יארע דלא יגיע למלון ולביתו מבעוד יום עד שחשכה ממש וכמה חילול שבת יש בהוצאה והכנסה ויציאה מחוץ לתחום ושביתת בהמתו ולכן כל זה ישים האדם ללבו וימהר לשבות אפילו בכפר ולא יסיתנו היצר לומר עוד היום גדול והדרך טוב אך אם אירע שהלך עד חשיכה והיה בבה"ש בתוך תחום עיר מותר להלוך בתוכה כבסימן תי"ו וצריך לירד מעגלה וסוס עיין סימן רס"ו ושם יבואר אי"ה</w:t>
      </w:r>
      <w:r>
        <w:rPr>
          <w:rFonts w:cs="Arial" w:hint="cs"/>
          <w:rtl/>
        </w:rPr>
        <w:t>,</w:t>
      </w:r>
      <w:r>
        <w:rPr>
          <w:rFonts w:hint="cs"/>
          <w:rtl/>
        </w:rPr>
        <w:t xml:space="preserve"> משנ"ב (סק"ג).</w:t>
      </w:r>
    </w:p>
  </w:footnote>
  <w:footnote w:id="239">
    <w:p w14:paraId="09E398C2" w14:textId="77777777" w:rsidR="004B2E7C" w:rsidRDefault="004B2E7C" w:rsidP="00285819">
      <w:pPr>
        <w:pStyle w:val="a7"/>
        <w:rPr>
          <w:rtl/>
        </w:rPr>
      </w:pPr>
      <w:r>
        <w:rPr>
          <w:rStyle w:val="a9"/>
        </w:rPr>
        <w:footnoteRef/>
      </w:r>
      <w:r>
        <w:rPr>
          <w:rtl/>
        </w:rPr>
        <w:t xml:space="preserve"> </w:t>
      </w:r>
      <w:r w:rsidRPr="002B7C8F">
        <w:rPr>
          <w:rFonts w:cs="Arial"/>
          <w:rtl/>
        </w:rPr>
        <w:t>ר"ל במקום שכלו הג' פרסאות כ"כ הלבוש ועיין בא"ר</w:t>
      </w:r>
      <w:r>
        <w:rPr>
          <w:rFonts w:hint="cs"/>
          <w:rtl/>
        </w:rPr>
        <w:t>, משנ"ב (סק"ד).</w:t>
      </w:r>
    </w:p>
  </w:footnote>
  <w:footnote w:id="240">
    <w:p w14:paraId="7B6806CA" w14:textId="77777777" w:rsidR="004B2E7C" w:rsidRDefault="004B2E7C" w:rsidP="00285819">
      <w:pPr>
        <w:pStyle w:val="a7"/>
      </w:pPr>
      <w:r>
        <w:rPr>
          <w:rStyle w:val="a9"/>
        </w:rPr>
        <w:footnoteRef/>
      </w:r>
      <w:r>
        <w:rPr>
          <w:rtl/>
        </w:rPr>
        <w:t xml:space="preserve"> </w:t>
      </w:r>
      <w:r>
        <w:rPr>
          <w:rFonts w:cs="Arial" w:hint="cs"/>
          <w:rtl/>
        </w:rPr>
        <w:t>ואע"ג</w:t>
      </w:r>
      <w:r>
        <w:rPr>
          <w:rFonts w:cs="Arial"/>
          <w:rtl/>
        </w:rPr>
        <w:t xml:space="preserve"> דקיי</w:t>
      </w:r>
      <w:r>
        <w:rPr>
          <w:rFonts w:cs="Arial" w:hint="cs"/>
          <w:rtl/>
        </w:rPr>
        <w:t>"</w:t>
      </w:r>
      <w:r>
        <w:rPr>
          <w:rFonts w:cs="Arial"/>
          <w:rtl/>
        </w:rPr>
        <w:t>ל דבערב שבת מותר לאכול עד הלילה כרבי יוסי</w:t>
      </w:r>
      <w:r>
        <w:rPr>
          <w:rFonts w:cs="Arial" w:hint="cs"/>
          <w:rtl/>
        </w:rPr>
        <w:t>...</w:t>
      </w:r>
      <w:r>
        <w:rPr>
          <w:rFonts w:cs="Arial"/>
          <w:rtl/>
        </w:rPr>
        <w:t xml:space="preserve"> מפרש רבינו דהני מילי אכילה בעלמא אבל קביעות סעודה שאינו רגיל בה בימות החול אסור כל היום מההיא דהשולח דבסמוך</w:t>
      </w:r>
      <w:r>
        <w:rPr>
          <w:rFonts w:cs="Arial" w:hint="cs"/>
          <w:rtl/>
        </w:rPr>
        <w:t>, ב"י.</w:t>
      </w:r>
    </w:p>
  </w:footnote>
  <w:footnote w:id="241">
    <w:p w14:paraId="60D97C0D" w14:textId="77777777" w:rsidR="004B2E7C" w:rsidRDefault="004B2E7C" w:rsidP="00285819">
      <w:pPr>
        <w:pStyle w:val="a7"/>
        <w:rPr>
          <w:rtl/>
        </w:rPr>
      </w:pPr>
      <w:r>
        <w:rPr>
          <w:rStyle w:val="a9"/>
        </w:rPr>
        <w:footnoteRef/>
      </w:r>
      <w:r>
        <w:rPr>
          <w:rtl/>
        </w:rPr>
        <w:t xml:space="preserve"> </w:t>
      </w:r>
      <w:r>
        <w:rPr>
          <w:rFonts w:cs="Arial"/>
          <w:rtl/>
        </w:rPr>
        <w:t>וכתב הגאון מהר"י אבוהב ז"ל וז"ל ואחת בשבת פירוש בשעת בית המדרש, זה הפירוש הוא מלשון הגמרא שאומר ואחת בשבת בעידן בי מדרשא</w:t>
      </w:r>
      <w:r>
        <w:rPr>
          <w:rFonts w:cs="Arial" w:hint="cs"/>
          <w:rtl/>
        </w:rPr>
        <w:t>,</w:t>
      </w:r>
      <w:r>
        <w:rPr>
          <w:rFonts w:cs="Arial"/>
          <w:rtl/>
        </w:rPr>
        <w:t xml:space="preserve"> ואולי המחבר </w:t>
      </w:r>
      <w:r>
        <w:rPr>
          <w:rFonts w:cs="Arial" w:hint="cs"/>
          <w:sz w:val="16"/>
          <w:szCs w:val="16"/>
          <w:rtl/>
        </w:rPr>
        <w:t xml:space="preserve">{הטור} </w:t>
      </w:r>
      <w:r>
        <w:rPr>
          <w:rFonts w:cs="Arial"/>
          <w:rtl/>
        </w:rPr>
        <w:t>מביא ראיה שערב שבת הוא סתמא מלשון הגמרא שאמר בערב שבת ובשבת, ובשבת פירש בשעת בית המדרש</w:t>
      </w:r>
      <w:r>
        <w:rPr>
          <w:rFonts w:cs="Arial" w:hint="cs"/>
          <w:rtl/>
        </w:rPr>
        <w:t>,</w:t>
      </w:r>
      <w:r>
        <w:rPr>
          <w:rFonts w:cs="Arial"/>
          <w:rtl/>
        </w:rPr>
        <w:t xml:space="preserve"> ובערב שבת לא פירש כלל</w:t>
      </w:r>
      <w:r>
        <w:rPr>
          <w:rFonts w:cs="Arial" w:hint="cs"/>
          <w:rtl/>
        </w:rPr>
        <w:t>,</w:t>
      </w:r>
      <w:r>
        <w:rPr>
          <w:rFonts w:cs="Arial"/>
          <w:rtl/>
        </w:rPr>
        <w:t xml:space="preserve"> נראה שהוא סתמא</w:t>
      </w:r>
      <w:r>
        <w:rPr>
          <w:rFonts w:hint="cs"/>
          <w:rtl/>
        </w:rPr>
        <w:t xml:space="preserve"> </w:t>
      </w:r>
      <w:r>
        <w:rPr>
          <w:rFonts w:hint="cs"/>
          <w:sz w:val="16"/>
          <w:szCs w:val="16"/>
          <w:rtl/>
        </w:rPr>
        <w:t>[עכ"ל מהר"י אבוהב]</w:t>
      </w:r>
      <w:r>
        <w:rPr>
          <w:rFonts w:hint="cs"/>
          <w:rtl/>
        </w:rPr>
        <w:t>...</w:t>
      </w:r>
      <w:r w:rsidRPr="001C0EC1">
        <w:rPr>
          <w:rFonts w:cs="Arial"/>
          <w:rtl/>
        </w:rPr>
        <w:t xml:space="preserve"> </w:t>
      </w:r>
      <w:r>
        <w:rPr>
          <w:rFonts w:cs="Arial"/>
          <w:rtl/>
        </w:rPr>
        <w:t>ואע</w:t>
      </w:r>
      <w:r>
        <w:rPr>
          <w:rFonts w:cs="Arial" w:hint="cs"/>
          <w:rtl/>
        </w:rPr>
        <w:t>"</w:t>
      </w:r>
      <w:r>
        <w:rPr>
          <w:rFonts w:cs="Arial"/>
          <w:rtl/>
        </w:rPr>
        <w:t>פ שאין זה כדאי להכריע מכל מקום סובר מהר"י אבוהב דנקטיה רבינו לגילוי מילתא בעלמא</w:t>
      </w:r>
      <w:r>
        <w:rPr>
          <w:rFonts w:hint="cs"/>
          <w:rtl/>
        </w:rPr>
        <w:t>, ב"י.</w:t>
      </w:r>
    </w:p>
  </w:footnote>
  <w:footnote w:id="242">
    <w:p w14:paraId="1278E48E" w14:textId="77777777" w:rsidR="004B2E7C" w:rsidRDefault="004B2E7C" w:rsidP="00285819">
      <w:pPr>
        <w:pStyle w:val="a7"/>
      </w:pPr>
      <w:r>
        <w:rPr>
          <w:rStyle w:val="a9"/>
        </w:rPr>
        <w:footnoteRef/>
      </w:r>
      <w:r>
        <w:rPr>
          <w:rtl/>
        </w:rPr>
        <w:t xml:space="preserve"> </w:t>
      </w:r>
      <w:r>
        <w:rPr>
          <w:rFonts w:cs="Arial"/>
          <w:rtl/>
        </w:rPr>
        <w:t>וכתב שם הרב המגיד בשם המפרשים שאע</w:t>
      </w:r>
      <w:r>
        <w:rPr>
          <w:rFonts w:cs="Arial" w:hint="cs"/>
          <w:rtl/>
        </w:rPr>
        <w:t>"</w:t>
      </w:r>
      <w:r>
        <w:rPr>
          <w:rFonts w:cs="Arial"/>
          <w:rtl/>
        </w:rPr>
        <w:t xml:space="preserve">פ שמותר לאכול עד שתחשך ואפילו להתחיל נמי </w:t>
      </w:r>
      <w:r>
        <w:rPr>
          <w:rFonts w:cs="Arial" w:hint="cs"/>
          <w:rtl/>
        </w:rPr>
        <w:t xml:space="preserve">- </w:t>
      </w:r>
      <w:r>
        <w:rPr>
          <w:rFonts w:cs="Arial"/>
          <w:rtl/>
        </w:rPr>
        <w:t>הני מילי לצורך שעה</w:t>
      </w:r>
      <w:r>
        <w:rPr>
          <w:rFonts w:cs="Arial" w:hint="cs"/>
          <w:rtl/>
        </w:rPr>
        <w:t>,</w:t>
      </w:r>
      <w:r>
        <w:rPr>
          <w:rFonts w:cs="Arial"/>
          <w:rtl/>
        </w:rPr>
        <w:t xml:space="preserve"> אבל לעשות כן תמיד לא דמיחזי כמזלזל בכבוד שבת עכ"ל</w:t>
      </w:r>
      <w:r>
        <w:rPr>
          <w:rFonts w:cs="Arial" w:hint="cs"/>
          <w:rtl/>
        </w:rPr>
        <w:t>, ב"י.</w:t>
      </w:r>
    </w:p>
  </w:footnote>
  <w:footnote w:id="243">
    <w:p w14:paraId="42E4C94B" w14:textId="77777777" w:rsidR="004B2E7C" w:rsidRDefault="004B2E7C" w:rsidP="00285819">
      <w:pPr>
        <w:pStyle w:val="a7"/>
        <w:rPr>
          <w:rtl/>
        </w:rPr>
      </w:pPr>
      <w:r>
        <w:rPr>
          <w:rStyle w:val="a9"/>
        </w:rPr>
        <w:footnoteRef/>
      </w:r>
      <w:r>
        <w:rPr>
          <w:rtl/>
        </w:rPr>
        <w:t xml:space="preserve"> </w:t>
      </w:r>
      <w:r w:rsidRPr="000C0DFA">
        <w:rPr>
          <w:rFonts w:cs="Arial"/>
          <w:rtl/>
        </w:rPr>
        <w:t>ומתוך דברי הרב המגיד תבין שמנחה האמורה כאן היא מט' שעות ולמעלה</w:t>
      </w:r>
      <w:r>
        <w:rPr>
          <w:rFonts w:cs="Arial" w:hint="cs"/>
          <w:rtl/>
        </w:rPr>
        <w:t>.</w:t>
      </w:r>
      <w:r w:rsidRPr="000C0DFA">
        <w:rPr>
          <w:rFonts w:cs="Arial"/>
          <w:rtl/>
        </w:rPr>
        <w:t xml:space="preserve"> </w:t>
      </w:r>
      <w:r>
        <w:rPr>
          <w:rFonts w:cs="Arial"/>
          <w:rtl/>
        </w:rPr>
        <w:t>אבל הראב"ד (שם בהשגות) כתב דמחצות ולמעלה אסור לקבוע סעודה</w:t>
      </w:r>
      <w:r>
        <w:rPr>
          <w:rFonts w:cs="Arial" w:hint="cs"/>
          <w:rtl/>
        </w:rPr>
        <w:t xml:space="preserve"> </w:t>
      </w:r>
      <w:r w:rsidRPr="000C0DFA">
        <w:rPr>
          <w:rFonts w:cs="Arial" w:hint="cs"/>
          <w:color w:val="FF0000"/>
          <w:sz w:val="16"/>
          <w:szCs w:val="16"/>
          <w:rtl/>
        </w:rPr>
        <w:t xml:space="preserve">{לא הבנתי מדוע הב"י </w:t>
      </w:r>
      <w:r>
        <w:rPr>
          <w:rFonts w:cs="Arial" w:hint="cs"/>
          <w:color w:val="FF0000"/>
          <w:sz w:val="16"/>
          <w:szCs w:val="16"/>
          <w:rtl/>
        </w:rPr>
        <w:t>כתב שנחלקו דוקא בזה</w:t>
      </w:r>
      <w:r w:rsidRPr="000C0DFA">
        <w:rPr>
          <w:rFonts w:cs="Arial" w:hint="cs"/>
          <w:color w:val="FF0000"/>
          <w:sz w:val="16"/>
          <w:szCs w:val="16"/>
          <w:rtl/>
        </w:rPr>
        <w:t>, אולי אפ"ל שהראב"ד חולק על הרמב"ם</w:t>
      </w:r>
      <w:r>
        <w:rPr>
          <w:rFonts w:cs="Arial" w:hint="cs"/>
          <w:color w:val="FF0000"/>
          <w:sz w:val="16"/>
          <w:szCs w:val="16"/>
          <w:rtl/>
        </w:rPr>
        <w:t xml:space="preserve"> בדבר אחר, במה</w:t>
      </w:r>
      <w:r w:rsidRPr="000C0DFA">
        <w:rPr>
          <w:rFonts w:cs="Arial" w:hint="cs"/>
          <w:color w:val="FF0000"/>
          <w:sz w:val="16"/>
          <w:szCs w:val="16"/>
          <w:rtl/>
        </w:rPr>
        <w:t xml:space="preserve"> שאסר</w:t>
      </w:r>
      <w:r>
        <w:rPr>
          <w:rFonts w:cs="Arial" w:hint="cs"/>
          <w:color w:val="FF0000"/>
          <w:sz w:val="16"/>
          <w:szCs w:val="16"/>
          <w:rtl/>
        </w:rPr>
        <w:t xml:space="preserve"> הרמב"ם</w:t>
      </w:r>
      <w:r w:rsidRPr="000C0DFA">
        <w:rPr>
          <w:rFonts w:cs="Arial" w:hint="cs"/>
          <w:color w:val="FF0000"/>
          <w:sz w:val="16"/>
          <w:szCs w:val="16"/>
          <w:rtl/>
        </w:rPr>
        <w:t xml:space="preserve"> דוקא סעודה ומשתה [היינו שלא רגיל בו בימות החול], וה</w:t>
      </w:r>
      <w:r>
        <w:rPr>
          <w:rFonts w:cs="Arial" w:hint="cs"/>
          <w:color w:val="FF0000"/>
          <w:sz w:val="16"/>
          <w:szCs w:val="16"/>
          <w:rtl/>
        </w:rPr>
        <w:t>ראב"ד</w:t>
      </w:r>
      <w:r w:rsidRPr="000C0DFA">
        <w:rPr>
          <w:rFonts w:cs="Arial" w:hint="cs"/>
          <w:color w:val="FF0000"/>
          <w:sz w:val="16"/>
          <w:szCs w:val="16"/>
          <w:rtl/>
        </w:rPr>
        <w:t xml:space="preserve"> סובר שאסור סעודה ומשתיה דוקא מחצות, ומצה להמנע מהמנחה ולמעלה מסעודה שרגיל בה כדעת הרמב"ם</w:t>
      </w:r>
      <w:r>
        <w:rPr>
          <w:rFonts w:cs="Arial" w:hint="cs"/>
          <w:color w:val="FF0000"/>
          <w:sz w:val="16"/>
          <w:szCs w:val="16"/>
          <w:rtl/>
        </w:rPr>
        <w:t>. וצל"ע</w:t>
      </w:r>
      <w:r w:rsidRPr="000C0DFA">
        <w:rPr>
          <w:rFonts w:cs="Arial" w:hint="cs"/>
          <w:color w:val="FF0000"/>
          <w:sz w:val="16"/>
          <w:szCs w:val="16"/>
          <w:rtl/>
        </w:rPr>
        <w:t>}</w:t>
      </w:r>
      <w:r>
        <w:rPr>
          <w:rFonts w:cs="Arial" w:hint="cs"/>
          <w:rtl/>
        </w:rPr>
        <w:t xml:space="preserve">. </w:t>
      </w:r>
      <w:r>
        <w:rPr>
          <w:rFonts w:cs="Arial"/>
          <w:rtl/>
        </w:rPr>
        <w:t>ויש סעד לדברי הרב המגיד מדתנן בפרק ערבי פסחים (צט:) ערבי פסחים סמוך למנחה לא יאכל אדם עד שתחשך ופירשו</w:t>
      </w:r>
      <w:r>
        <w:rPr>
          <w:rFonts w:cs="Arial" w:hint="cs"/>
          <w:rtl/>
        </w:rPr>
        <w:t xml:space="preserve"> </w:t>
      </w:r>
      <w:r>
        <w:rPr>
          <w:rFonts w:cs="Arial"/>
          <w:rtl/>
        </w:rPr>
        <w:t>בגמרא (קז:) סמוך למנחה קטנה קאמר</w:t>
      </w:r>
      <w:r>
        <w:rPr>
          <w:rFonts w:cs="Arial" w:hint="cs"/>
          <w:rtl/>
        </w:rPr>
        <w:t>.</w:t>
      </w:r>
      <w:r>
        <w:rPr>
          <w:rFonts w:cs="Arial"/>
          <w:rtl/>
        </w:rPr>
        <w:t xml:space="preserve"> אלמא דבהכי סגי ליכנס תאב לסעודת הלילה. ומיהו חצי שעה קודם לזמן מנחה קטנה בעינן</w:t>
      </w:r>
      <w:r>
        <w:rPr>
          <w:rFonts w:cs="Arial" w:hint="cs"/>
          <w:rtl/>
        </w:rPr>
        <w:t>,</w:t>
      </w:r>
      <w:r>
        <w:rPr>
          <w:rFonts w:cs="Arial"/>
          <w:rtl/>
        </w:rPr>
        <w:t xml:space="preserve"> כמו בערב פסח</w:t>
      </w:r>
      <w:r>
        <w:rPr>
          <w:rFonts w:cs="Arial" w:hint="cs"/>
          <w:rtl/>
        </w:rPr>
        <w:t>.</w:t>
      </w:r>
      <w:r>
        <w:rPr>
          <w:rFonts w:cs="Arial"/>
          <w:rtl/>
        </w:rPr>
        <w:t xml:space="preserve"> ומשום הכי שבקיה המ"מ ללישנא דהרמב"ם דקתני מנחה וכתב מט' שעות</w:t>
      </w:r>
      <w:r>
        <w:rPr>
          <w:rFonts w:cs="Arial" w:hint="cs"/>
          <w:rtl/>
        </w:rPr>
        <w:t>,</w:t>
      </w:r>
      <w:r>
        <w:rPr>
          <w:rFonts w:cs="Arial"/>
          <w:rtl/>
        </w:rPr>
        <w:t xml:space="preserve"> למימרא דמן המנחה דקתני </w:t>
      </w:r>
      <w:r>
        <w:rPr>
          <w:rFonts w:cs="Arial" w:hint="cs"/>
          <w:rtl/>
        </w:rPr>
        <w:t xml:space="preserve">- </w:t>
      </w:r>
      <w:r>
        <w:rPr>
          <w:rFonts w:cs="Arial"/>
          <w:rtl/>
        </w:rPr>
        <w:t>חצי שעה סמוך לה קאמר</w:t>
      </w:r>
      <w:r>
        <w:rPr>
          <w:rFonts w:hint="cs"/>
          <w:rtl/>
        </w:rPr>
        <w:t>, ב"י.</w:t>
      </w:r>
    </w:p>
  </w:footnote>
  <w:footnote w:id="244">
    <w:p w14:paraId="5E0B1471" w14:textId="77777777" w:rsidR="004B2E7C" w:rsidRDefault="004B2E7C" w:rsidP="00285819">
      <w:pPr>
        <w:pStyle w:val="a7"/>
      </w:pPr>
      <w:r>
        <w:rPr>
          <w:rStyle w:val="a9"/>
        </w:rPr>
        <w:footnoteRef/>
      </w:r>
      <w:r>
        <w:rPr>
          <w:rtl/>
        </w:rPr>
        <w:t xml:space="preserve"> </w:t>
      </w:r>
      <w:r>
        <w:rPr>
          <w:rFonts w:cs="Arial"/>
          <w:rtl/>
        </w:rPr>
        <w:t>ופירש הרב המגיד שסעודה ומשתה שאינו נהוג בימות החול אסור לעשותו בערב שבת וכל היום בכלל האיסור</w:t>
      </w:r>
      <w:r>
        <w:rPr>
          <w:rFonts w:cs="Arial" w:hint="cs"/>
          <w:rtl/>
        </w:rPr>
        <w:t>.</w:t>
      </w:r>
      <w:r>
        <w:rPr>
          <w:rFonts w:cs="Arial"/>
          <w:rtl/>
        </w:rPr>
        <w:t xml:space="preserve"> ולאכול ולשתות בלי קביעות סעודה אפילו סעודה שרגיל בה בחול כל היום מותר להתחיל כרבי יוסי דפרק ערבי פסחים</w:t>
      </w:r>
      <w:r>
        <w:rPr>
          <w:rFonts w:cs="Arial" w:hint="cs"/>
          <w:rtl/>
        </w:rPr>
        <w:t>.</w:t>
      </w:r>
      <w:r>
        <w:rPr>
          <w:rFonts w:cs="Arial"/>
          <w:rtl/>
        </w:rPr>
        <w:t xml:space="preserve"> ולקבוע סעודה שנהוג בה בחול מצוה להמנע מט' שעות ולמעלה</w:t>
      </w:r>
      <w:r>
        <w:rPr>
          <w:rFonts w:cs="Arial" w:hint="cs"/>
          <w:rtl/>
        </w:rPr>
        <w:t>.</w:t>
      </w:r>
      <w:r>
        <w:rPr>
          <w:rFonts w:cs="Arial"/>
          <w:rtl/>
        </w:rPr>
        <w:t xml:space="preserve"> לפי שסבור דאע"ג דקיימא לן כרבי יוסי דאמר אוכל והולך עד שתחשך, דהיינו דוקא בלי קביעות סעודה עכ"ל. ורבינו שסתם דבריו ולא חלק בין קביעות סעודה שרגיל בה לשאינו רגיל</w:t>
      </w:r>
      <w:r>
        <w:rPr>
          <w:rFonts w:cs="Arial" w:hint="cs"/>
          <w:rtl/>
        </w:rPr>
        <w:t>,</w:t>
      </w:r>
      <w:r>
        <w:rPr>
          <w:rFonts w:cs="Arial"/>
          <w:rtl/>
        </w:rPr>
        <w:t xml:space="preserve"> נראה שהיה מפרש דברי הרמב"ם דלא שאני ליה בין סעודה שרגיל</w:t>
      </w:r>
      <w:r>
        <w:rPr>
          <w:rFonts w:cs="Arial" w:hint="cs"/>
          <w:rtl/>
        </w:rPr>
        <w:t>,</w:t>
      </w:r>
      <w:r>
        <w:rPr>
          <w:rFonts w:cs="Arial"/>
          <w:rtl/>
        </w:rPr>
        <w:t xml:space="preserve"> לשאינו רגיל</w:t>
      </w:r>
      <w:r>
        <w:rPr>
          <w:rFonts w:cs="Arial" w:hint="cs"/>
          <w:rtl/>
        </w:rPr>
        <w:t>.</w:t>
      </w:r>
      <w:r>
        <w:rPr>
          <w:rFonts w:cs="Arial"/>
          <w:rtl/>
        </w:rPr>
        <w:t xml:space="preserve"> והכי קאמר</w:t>
      </w:r>
      <w:r>
        <w:rPr>
          <w:rFonts w:cs="Arial" w:hint="cs"/>
          <w:rtl/>
        </w:rPr>
        <w:t>,</w:t>
      </w:r>
      <w:r>
        <w:rPr>
          <w:rFonts w:cs="Arial"/>
          <w:rtl/>
        </w:rPr>
        <w:t xml:space="preserve"> אסור לקבוע סעודה ומשתה</w:t>
      </w:r>
      <w:r>
        <w:rPr>
          <w:rFonts w:cs="Arial" w:hint="cs"/>
          <w:rtl/>
        </w:rPr>
        <w:t>,</w:t>
      </w:r>
      <w:r>
        <w:rPr>
          <w:rFonts w:cs="Arial"/>
          <w:rtl/>
        </w:rPr>
        <w:t xml:space="preserve"> ופירש שאין איסור זה דין</w:t>
      </w:r>
      <w:r>
        <w:rPr>
          <w:rFonts w:cs="Arial" w:hint="cs"/>
          <w:rtl/>
        </w:rPr>
        <w:t>,</w:t>
      </w:r>
      <w:r>
        <w:rPr>
          <w:rFonts w:cs="Arial"/>
          <w:rtl/>
        </w:rPr>
        <w:t xml:space="preserve"> דמדינא כל היום מותר לאכול</w:t>
      </w:r>
      <w:r>
        <w:rPr>
          <w:rFonts w:cs="Arial" w:hint="cs"/>
          <w:rtl/>
        </w:rPr>
        <w:t>,</w:t>
      </w:r>
      <w:r>
        <w:rPr>
          <w:rFonts w:cs="Arial"/>
          <w:rtl/>
        </w:rPr>
        <w:t xml:space="preserve"> כלומר אפילו בקביעות סעודה</w:t>
      </w:r>
      <w:r>
        <w:rPr>
          <w:rFonts w:cs="Arial" w:hint="cs"/>
          <w:rtl/>
        </w:rPr>
        <w:t>.</w:t>
      </w:r>
      <w:r>
        <w:rPr>
          <w:rFonts w:cs="Arial"/>
          <w:rtl/>
        </w:rPr>
        <w:t xml:space="preserve"> ופירש עוד שאין איסור קביעות זה אלא דוקא מן המנחה ולמעלה</w:t>
      </w:r>
      <w:r>
        <w:rPr>
          <w:rFonts w:cs="Arial" w:hint="cs"/>
          <w:rtl/>
        </w:rPr>
        <w:t>.</w:t>
      </w:r>
      <w:r>
        <w:rPr>
          <w:rFonts w:cs="Arial"/>
          <w:rtl/>
        </w:rPr>
        <w:t xml:space="preserve"> ופירוש הרב המגיד נראה בעיני</w:t>
      </w:r>
      <w:r>
        <w:rPr>
          <w:rFonts w:cs="Arial" w:hint="cs"/>
          <w:rtl/>
        </w:rPr>
        <w:t>, ב"י.</w:t>
      </w:r>
    </w:p>
  </w:footnote>
  <w:footnote w:id="245">
    <w:p w14:paraId="6A1C16DA" w14:textId="77777777" w:rsidR="004B2E7C" w:rsidRDefault="004B2E7C" w:rsidP="00285819">
      <w:pPr>
        <w:pStyle w:val="a7"/>
        <w:rPr>
          <w:rtl/>
        </w:rPr>
      </w:pPr>
      <w:r>
        <w:rPr>
          <w:rStyle w:val="a9"/>
        </w:rPr>
        <w:footnoteRef/>
      </w:r>
      <w:r>
        <w:rPr>
          <w:rtl/>
        </w:rPr>
        <w:t xml:space="preserve"> </w:t>
      </w:r>
      <w:r w:rsidRPr="005C2EBF">
        <w:rPr>
          <w:rFonts w:cs="Arial"/>
          <w:rtl/>
        </w:rPr>
        <w:t>וה"ה בעיו"ט דיו"ט נמי מצוה לענגו ולכבדו (פמ"ג)</w:t>
      </w:r>
      <w:r>
        <w:rPr>
          <w:rFonts w:hint="cs"/>
          <w:rtl/>
        </w:rPr>
        <w:t>, משנ"ב (סק"ח).</w:t>
      </w:r>
    </w:p>
  </w:footnote>
  <w:footnote w:id="246">
    <w:p w14:paraId="52A5A74C" w14:textId="77777777" w:rsidR="004B2E7C" w:rsidRDefault="004B2E7C" w:rsidP="00285819">
      <w:pPr>
        <w:pStyle w:val="a7"/>
      </w:pPr>
      <w:r>
        <w:rPr>
          <w:rStyle w:val="a9"/>
        </w:rPr>
        <w:footnoteRef/>
      </w:r>
      <w:r>
        <w:rPr>
          <w:rtl/>
        </w:rPr>
        <w:t xml:space="preserve"> </w:t>
      </w:r>
      <w:r w:rsidRPr="005C2EBF">
        <w:rPr>
          <w:rFonts w:cs="Arial"/>
          <w:rtl/>
        </w:rPr>
        <w:t>פי' אם אירס קודם לכן אסור לעשות הסעודה בע"ש דאף דסעודת אירוסין היא מצוה מ"מ היה לו להקדימה אבל אם אירס בע"ש מותר לעשות הסעודה דכיון דאירוסין שריא בע"ש משום שלא יקדמ</w:t>
      </w:r>
      <w:r>
        <w:rPr>
          <w:rFonts w:cs="Arial" w:hint="cs"/>
          <w:rtl/>
        </w:rPr>
        <w:t>נ</w:t>
      </w:r>
      <w:r w:rsidRPr="005C2EBF">
        <w:rPr>
          <w:rFonts w:cs="Arial"/>
          <w:rtl/>
        </w:rPr>
        <w:t>ו אחר ממילא שרי הסעודה לזה ג"כ וחשובה כמו סעודת מילה ופדיון הבן שזמנה קבוע. וכן אם היו הנשואין בע"ש מותר לעשות הסעודה ג"כ</w:t>
      </w:r>
      <w:r>
        <w:rPr>
          <w:rFonts w:cs="Arial" w:hint="cs"/>
          <w:rtl/>
        </w:rPr>
        <w:t xml:space="preserve"> </w:t>
      </w:r>
      <w:r w:rsidRPr="005C2EBF">
        <w:rPr>
          <w:rFonts w:cs="Arial" w:hint="cs"/>
          <w:sz w:val="16"/>
          <w:szCs w:val="16"/>
          <w:rtl/>
        </w:rPr>
        <w:t>(</w:t>
      </w:r>
      <w:r w:rsidRPr="005C2EBF">
        <w:rPr>
          <w:rFonts w:cs="Arial"/>
          <w:sz w:val="16"/>
          <w:szCs w:val="16"/>
          <w:rtl/>
        </w:rPr>
        <w:t>דאף דלהירושלמי אסור משום שאין שייך בזה שלא יקדמנו אחר, שכבר נתקדשה, מ</w:t>
      </w:r>
      <w:r>
        <w:rPr>
          <w:rFonts w:cs="Arial" w:hint="cs"/>
          <w:sz w:val="16"/>
          <w:szCs w:val="16"/>
          <w:rtl/>
        </w:rPr>
        <w:t>"</w:t>
      </w:r>
      <w:r w:rsidRPr="005C2EBF">
        <w:rPr>
          <w:rFonts w:cs="Arial"/>
          <w:sz w:val="16"/>
          <w:szCs w:val="16"/>
          <w:rtl/>
        </w:rPr>
        <w:t>מ הלא הבבלי חולק על זה וקיי</w:t>
      </w:r>
      <w:r>
        <w:rPr>
          <w:rFonts w:cs="Arial" w:hint="cs"/>
          <w:sz w:val="16"/>
          <w:szCs w:val="16"/>
          <w:rtl/>
        </w:rPr>
        <w:t>"</w:t>
      </w:r>
      <w:r w:rsidRPr="005C2EBF">
        <w:rPr>
          <w:rFonts w:cs="Arial"/>
          <w:sz w:val="16"/>
          <w:szCs w:val="16"/>
          <w:rtl/>
        </w:rPr>
        <w:t>ל כבבלי, כן משמע מהמג</w:t>
      </w:r>
      <w:r>
        <w:rPr>
          <w:rFonts w:cs="Arial" w:hint="cs"/>
          <w:sz w:val="16"/>
          <w:szCs w:val="16"/>
          <w:rtl/>
        </w:rPr>
        <w:t>"</w:t>
      </w:r>
      <w:r w:rsidRPr="005C2EBF">
        <w:rPr>
          <w:rFonts w:cs="Arial"/>
          <w:sz w:val="16"/>
          <w:szCs w:val="16"/>
          <w:rtl/>
        </w:rPr>
        <w:t>א, וכן איתא בביאור הגר"א להקל, ובפרט בזמננו שהמנהג לקדש בשעת הנשואין לכולי עלמא שרי, דלא גריע מסעודת ארוסין, וכמו שכתב באשל אברהם סימן תמ"ד. ומה שכתבנו כגון שהיו הנשואין בערב שבת, הוא פשוט, וכן מוכח בפרי מגדים</w:t>
      </w:r>
      <w:r w:rsidRPr="005C2EBF">
        <w:rPr>
          <w:rFonts w:cs="Arial" w:hint="cs"/>
          <w:sz w:val="16"/>
          <w:szCs w:val="16"/>
          <w:rtl/>
        </w:rPr>
        <w:t>, שער הציון [אות יא])</w:t>
      </w:r>
      <w:r>
        <w:rPr>
          <w:rFonts w:cs="Arial" w:hint="cs"/>
          <w:rtl/>
        </w:rPr>
        <w:t>.</w:t>
      </w:r>
      <w:r w:rsidRPr="005C2EBF">
        <w:rPr>
          <w:rFonts w:cs="Arial"/>
          <w:rtl/>
        </w:rPr>
        <w:t xml:space="preserve"> ומ"מ לכתחלה טוב ונכון אם אפשר לדחות הסעודה למחר או יום אחר אפילו באירס בע"ש. ודע דכ"ז בסעודת אירוסין אבל בסעודה שעושין בשידוכין שלנו לא הוי סעודת מצוה כ"כ בפמ"ג בסימן תמ"ד ולפ"ז אין לעשותה בע"ש אפילו אם נגמר השידוך באותו יום ומה שנוהגין לאכול מיני מרקחת בשעת כתיבת התנאים לא מקרי סעודה</w:t>
      </w:r>
      <w:r>
        <w:rPr>
          <w:rFonts w:cs="Arial" w:hint="cs"/>
          <w:rtl/>
        </w:rPr>
        <w:t>, משנ"ב (סק"ט).</w:t>
      </w:r>
    </w:p>
  </w:footnote>
  <w:footnote w:id="247">
    <w:p w14:paraId="38100359" w14:textId="77777777" w:rsidR="004B2E7C" w:rsidRDefault="004B2E7C" w:rsidP="00285819">
      <w:pPr>
        <w:pStyle w:val="a7"/>
      </w:pPr>
      <w:r>
        <w:rPr>
          <w:rStyle w:val="a9"/>
        </w:rPr>
        <w:footnoteRef/>
      </w:r>
      <w:r>
        <w:rPr>
          <w:rtl/>
        </w:rPr>
        <w:t xml:space="preserve"> </w:t>
      </w:r>
      <w:r w:rsidRPr="005C2EBF">
        <w:rPr>
          <w:rFonts w:cs="Arial"/>
          <w:rtl/>
        </w:rPr>
        <w:t>ויש שכתבו הטעם שמתוך טרדת הסעודה לא יתעסקו בצרכי שבת</w:t>
      </w:r>
      <w:r>
        <w:rPr>
          <w:rFonts w:cs="Arial" w:hint="cs"/>
          <w:rtl/>
        </w:rPr>
        <w:t>, משנ"ב (סק"י).</w:t>
      </w:r>
    </w:p>
  </w:footnote>
  <w:footnote w:id="248">
    <w:p w14:paraId="595D4705" w14:textId="77777777" w:rsidR="004B2E7C" w:rsidRDefault="004B2E7C" w:rsidP="00285819">
      <w:pPr>
        <w:pStyle w:val="a7"/>
      </w:pPr>
      <w:r>
        <w:rPr>
          <w:rStyle w:val="a9"/>
        </w:rPr>
        <w:footnoteRef/>
      </w:r>
      <w:r>
        <w:rPr>
          <w:rtl/>
        </w:rPr>
        <w:t xml:space="preserve"> </w:t>
      </w:r>
      <w:r w:rsidRPr="00770FE2">
        <w:rPr>
          <w:rFonts w:cs="Arial"/>
          <w:rtl/>
        </w:rPr>
        <w:t>שאף שאוכלה בבוקר כיון שהוא מרבה בסעודתו שלא כרגילותו שוב לא יאכל בלילה לתיאבון</w:t>
      </w:r>
      <w:r>
        <w:rPr>
          <w:rFonts w:cs="Arial" w:hint="cs"/>
          <w:rtl/>
        </w:rPr>
        <w:t>, משנ"ב (סקי"א).</w:t>
      </w:r>
    </w:p>
  </w:footnote>
  <w:footnote w:id="249">
    <w:p w14:paraId="6A7A74EA" w14:textId="77777777" w:rsidR="004B2E7C" w:rsidRDefault="004B2E7C" w:rsidP="00285819">
      <w:pPr>
        <w:pStyle w:val="a7"/>
      </w:pPr>
      <w:r>
        <w:rPr>
          <w:rStyle w:val="a9"/>
        </w:rPr>
        <w:footnoteRef/>
      </w:r>
      <w:r>
        <w:rPr>
          <w:rtl/>
        </w:rPr>
        <w:t xml:space="preserve"> </w:t>
      </w:r>
      <w:r w:rsidRPr="00770FE2">
        <w:rPr>
          <w:rFonts w:cs="Arial"/>
          <w:rtl/>
        </w:rPr>
        <w:t>אפילו אם אינה בשמיני ללידתו כגון שהיה חולה בשמיני ונדחית מ"מ מקרי זמנה קבוע דכל שעתא ושעתא זמניה הוא דאסור להניחו ערל אפילו יום אחד וכן בפדיון הבן אפילו עבר זמנו מ"מ כיון שמן הדין אפילו אחר ל' יום כל שעתא ושעתא רמיא חיובא עליה לפדותו ממילא מותר לעשות ג"כ הסעודה</w:t>
      </w:r>
      <w:r>
        <w:rPr>
          <w:rFonts w:cs="Arial" w:hint="cs"/>
          <w:rtl/>
        </w:rPr>
        <w:t>, משנ"ב (סקי"ב).</w:t>
      </w:r>
    </w:p>
  </w:footnote>
  <w:footnote w:id="250">
    <w:p w14:paraId="76E416A3" w14:textId="77777777" w:rsidR="004B2E7C" w:rsidRDefault="004B2E7C" w:rsidP="00285819">
      <w:pPr>
        <w:pStyle w:val="a7"/>
      </w:pPr>
      <w:r>
        <w:rPr>
          <w:rStyle w:val="a9"/>
        </w:rPr>
        <w:footnoteRef/>
      </w:r>
      <w:r>
        <w:rPr>
          <w:rtl/>
        </w:rPr>
        <w:t xml:space="preserve"> </w:t>
      </w:r>
      <w:r w:rsidRPr="00770FE2">
        <w:rPr>
          <w:rFonts w:cs="Arial"/>
          <w:rtl/>
        </w:rPr>
        <w:t>דהיא ג"כ סעודת מצוה ואין לדחותה מפני סעודת שבת ומ"מ לכתחלה מצוה להקדימה בשחרית משום כבוד שבת וכמו שמבואר בסימן תרצ"ה ס"ב לענין סעודת פורים ע"ש ובדיעבד יכול לעשותה אפילו ממנחה ולמעלה</w:t>
      </w:r>
      <w:r>
        <w:rPr>
          <w:rFonts w:cs="Arial" w:hint="cs"/>
          <w:rtl/>
        </w:rPr>
        <w:t>, משנ"ב (סקי"ג).</w:t>
      </w:r>
    </w:p>
  </w:footnote>
  <w:footnote w:id="251">
    <w:p w14:paraId="27455F0E" w14:textId="77777777" w:rsidR="004B2E7C" w:rsidRDefault="004B2E7C" w:rsidP="00285819">
      <w:pPr>
        <w:pStyle w:val="a7"/>
      </w:pPr>
      <w:r>
        <w:rPr>
          <w:rStyle w:val="a9"/>
        </w:rPr>
        <w:footnoteRef/>
      </w:r>
      <w:r>
        <w:rPr>
          <w:rtl/>
        </w:rPr>
        <w:t xml:space="preserve"> </w:t>
      </w:r>
      <w:r w:rsidRPr="00770FE2">
        <w:rPr>
          <w:rFonts w:cs="Arial"/>
          <w:rtl/>
        </w:rPr>
        <w:t>ואין בכלל זה אם הוא שותה כ"כ הרבה מיני משקה עד שיהא שבע כי הוא בודאי מקלקל תאות המאכל והחוש יעיד ע"ז ולפעמים יוכל להבטל ע"י שכרותו מסעודת שבת לגמרי וע"כ מצוה להמנע מזה עכ"פ מט' שעות ולמעלה</w:t>
      </w:r>
      <w:r>
        <w:rPr>
          <w:rFonts w:cs="Arial" w:hint="cs"/>
          <w:rtl/>
        </w:rPr>
        <w:t>, משנ"ב (סקי"ד).</w:t>
      </w:r>
    </w:p>
  </w:footnote>
  <w:footnote w:id="252">
    <w:p w14:paraId="2B5C6F08" w14:textId="77777777" w:rsidR="004B2E7C" w:rsidRDefault="004B2E7C" w:rsidP="00285819">
      <w:pPr>
        <w:pStyle w:val="a7"/>
      </w:pPr>
      <w:r>
        <w:rPr>
          <w:rStyle w:val="a9"/>
        </w:rPr>
        <w:footnoteRef/>
      </w:r>
      <w:r>
        <w:rPr>
          <w:rtl/>
        </w:rPr>
        <w:t xml:space="preserve"> </w:t>
      </w:r>
      <w:r w:rsidRPr="00770FE2">
        <w:rPr>
          <w:rFonts w:cs="Arial"/>
          <w:rtl/>
        </w:rPr>
        <w:t>היינו שעות זמניות והוא רביעית היום עד הלילה ומ"מ נראה דבימות החורף בזמן שהימים קצרים מאד מצוה להמנע מלקבוע סעודה הרגילה אפילו קודם ט' שעות כל שהוא משער בנפשו שעי"ז לא יהיה תאב לאכול בלילה</w:t>
      </w:r>
      <w:r>
        <w:rPr>
          <w:rFonts w:cs="Arial" w:hint="cs"/>
          <w:rtl/>
        </w:rPr>
        <w:t>, משנ"ב (סקי"ז).</w:t>
      </w:r>
    </w:p>
  </w:footnote>
  <w:footnote w:id="253">
    <w:p w14:paraId="141C62AC" w14:textId="77777777" w:rsidR="004B2E7C" w:rsidRDefault="004B2E7C" w:rsidP="00285819">
      <w:pPr>
        <w:pStyle w:val="a7"/>
        <w:rPr>
          <w:rtl/>
        </w:rPr>
      </w:pPr>
      <w:r>
        <w:rPr>
          <w:rStyle w:val="a9"/>
        </w:rPr>
        <w:footnoteRef/>
      </w:r>
      <w:r>
        <w:rPr>
          <w:rtl/>
        </w:rPr>
        <w:t xml:space="preserve"> </w:t>
      </w:r>
      <w:r w:rsidRPr="0087246C">
        <w:rPr>
          <w:rFonts w:cs="Arial"/>
          <w:rtl/>
        </w:rPr>
        <w:t>פירוש כדי שיכנסו לשבת כשהם תאבים</w:t>
      </w:r>
      <w:r>
        <w:rPr>
          <w:rFonts w:hint="cs"/>
          <w:rtl/>
        </w:rPr>
        <w:t>, ב"י.</w:t>
      </w:r>
    </w:p>
  </w:footnote>
  <w:footnote w:id="254">
    <w:p w14:paraId="20020F04" w14:textId="77777777" w:rsidR="004B2E7C" w:rsidRDefault="004B2E7C" w:rsidP="00285819">
      <w:pPr>
        <w:pStyle w:val="a7"/>
      </w:pPr>
      <w:r>
        <w:rPr>
          <w:rStyle w:val="a9"/>
        </w:rPr>
        <w:footnoteRef/>
      </w:r>
      <w:r>
        <w:rPr>
          <w:rtl/>
        </w:rPr>
        <w:t xml:space="preserve"> </w:t>
      </w:r>
      <w:r w:rsidRPr="00EA45F1">
        <w:rPr>
          <w:rFonts w:cs="Arial"/>
          <w:rtl/>
        </w:rPr>
        <w:t>כדי שיהיו תאבים לאכול בלילה ועיין בב"ח ומ"א וש"א שהסכימו דאין להתענות בע"ש כדי שלא יכנס לשבת כשהוא מעונה אם לא שהוא איסטניס כ"כ שאם יאכל ביום לא יוכל לאכול בלילה לתאבון אז מנהג טוב הוא אם אין מזיק לו התענית</w:t>
      </w:r>
      <w:r>
        <w:rPr>
          <w:rFonts w:cs="Arial" w:hint="cs"/>
          <w:rtl/>
        </w:rPr>
        <w:t>, משנ"ב (סקי"ח).</w:t>
      </w:r>
    </w:p>
  </w:footnote>
  <w:footnote w:id="255">
    <w:p w14:paraId="0A06DE94" w14:textId="77777777" w:rsidR="004B2E7C" w:rsidRDefault="004B2E7C" w:rsidP="00285819">
      <w:pPr>
        <w:pStyle w:val="a7"/>
      </w:pPr>
      <w:r>
        <w:rPr>
          <w:rStyle w:val="a9"/>
        </w:rPr>
        <w:footnoteRef/>
      </w:r>
      <w:r>
        <w:rPr>
          <w:rtl/>
        </w:rPr>
        <w:t xml:space="preserve"> </w:t>
      </w:r>
      <w:r>
        <w:rPr>
          <w:rFonts w:hint="cs"/>
          <w:rtl/>
        </w:rPr>
        <w:t>אמת, רש"י.</w:t>
      </w:r>
    </w:p>
  </w:footnote>
  <w:footnote w:id="256">
    <w:p w14:paraId="44958A3D" w14:textId="77777777" w:rsidR="004B2E7C" w:rsidRDefault="004B2E7C" w:rsidP="00285819">
      <w:pPr>
        <w:pStyle w:val="a7"/>
      </w:pPr>
      <w:r>
        <w:rPr>
          <w:rStyle w:val="a9"/>
        </w:rPr>
        <w:footnoteRef/>
      </w:r>
      <w:r>
        <w:rPr>
          <w:rtl/>
        </w:rPr>
        <w:t xml:space="preserve"> </w:t>
      </w:r>
      <w:r w:rsidRPr="000E4158">
        <w:rPr>
          <w:rFonts w:cs="Arial"/>
          <w:rtl/>
        </w:rPr>
        <w:t>שהתחילו להתענות עשרים או שלושים יום, ונכנסו בהן ימי חנוכה או ראש חדש</w:t>
      </w:r>
      <w:r>
        <w:rPr>
          <w:rFonts w:cs="Arial" w:hint="cs"/>
          <w:rtl/>
        </w:rPr>
        <w:t>, רש"י.</w:t>
      </w:r>
    </w:p>
  </w:footnote>
  <w:footnote w:id="257">
    <w:p w14:paraId="37E52206" w14:textId="77777777" w:rsidR="004B2E7C" w:rsidRDefault="004B2E7C" w:rsidP="00285819">
      <w:pPr>
        <w:pStyle w:val="a7"/>
      </w:pPr>
      <w:r>
        <w:rPr>
          <w:rStyle w:val="a9"/>
        </w:rPr>
        <w:footnoteRef/>
      </w:r>
      <w:r>
        <w:rPr>
          <w:rtl/>
        </w:rPr>
        <w:t xml:space="preserve"> </w:t>
      </w:r>
      <w:r w:rsidRPr="000E4158">
        <w:rPr>
          <w:rFonts w:cs="Arial"/>
          <w:rtl/>
        </w:rPr>
        <w:t>תענית בחנוכה וראש חדש, להתענות כל היום</w:t>
      </w:r>
      <w:r>
        <w:rPr>
          <w:rFonts w:cs="Arial" w:hint="cs"/>
          <w:rtl/>
        </w:rPr>
        <w:t>, רש"י.</w:t>
      </w:r>
    </w:p>
  </w:footnote>
  <w:footnote w:id="258">
    <w:p w14:paraId="6C570E2D" w14:textId="77777777" w:rsidR="004B2E7C" w:rsidRDefault="004B2E7C" w:rsidP="00285819">
      <w:pPr>
        <w:pStyle w:val="a7"/>
      </w:pPr>
      <w:r>
        <w:rPr>
          <w:rStyle w:val="a9"/>
        </w:rPr>
        <w:footnoteRef/>
      </w:r>
      <w:r>
        <w:rPr>
          <w:rtl/>
        </w:rPr>
        <w:t xml:space="preserve"> </w:t>
      </w:r>
      <w:r w:rsidRPr="000E4158">
        <w:rPr>
          <w:rFonts w:cs="Arial"/>
          <w:rtl/>
        </w:rPr>
        <w:t>נמי אין משלימין</w:t>
      </w:r>
      <w:r>
        <w:rPr>
          <w:rFonts w:cs="Arial" w:hint="cs"/>
          <w:rtl/>
        </w:rPr>
        <w:t>, רש"י.</w:t>
      </w:r>
    </w:p>
  </w:footnote>
  <w:footnote w:id="259">
    <w:p w14:paraId="62C7D7EC" w14:textId="77777777" w:rsidR="004B2E7C" w:rsidRDefault="004B2E7C" w:rsidP="00285819">
      <w:pPr>
        <w:pStyle w:val="a7"/>
      </w:pPr>
      <w:r>
        <w:rPr>
          <w:rStyle w:val="a9"/>
        </w:rPr>
        <w:footnoteRef/>
      </w:r>
      <w:r>
        <w:rPr>
          <w:rtl/>
        </w:rPr>
        <w:t xml:space="preserve"> </w:t>
      </w:r>
      <w:r w:rsidRPr="000E4158">
        <w:rPr>
          <w:rFonts w:cs="Arial"/>
          <w:rtl/>
        </w:rPr>
        <w:t>ולומר משלימין</w:t>
      </w:r>
      <w:r>
        <w:rPr>
          <w:rFonts w:cs="Arial" w:hint="cs"/>
          <w:rtl/>
        </w:rPr>
        <w:t>, רש"י.</w:t>
      </w:r>
    </w:p>
  </w:footnote>
  <w:footnote w:id="260">
    <w:p w14:paraId="27B35114" w14:textId="77777777" w:rsidR="004B2E7C" w:rsidRDefault="004B2E7C" w:rsidP="00285819">
      <w:pPr>
        <w:pStyle w:val="a7"/>
        <w:rPr>
          <w:rtl/>
        </w:rPr>
      </w:pPr>
      <w:r>
        <w:rPr>
          <w:rStyle w:val="a9"/>
        </w:rPr>
        <w:footnoteRef/>
      </w:r>
      <w:r>
        <w:rPr>
          <w:rtl/>
        </w:rPr>
        <w:t xml:space="preserve"> </w:t>
      </w:r>
      <w:r w:rsidRPr="000E4158">
        <w:rPr>
          <w:rFonts w:cs="Arial"/>
          <w:rtl/>
        </w:rPr>
        <w:t>אלמא אין משלימין</w:t>
      </w:r>
      <w:r>
        <w:rPr>
          <w:rFonts w:hint="cs"/>
          <w:rtl/>
        </w:rPr>
        <w:t>, רש"י.</w:t>
      </w:r>
    </w:p>
  </w:footnote>
  <w:footnote w:id="261">
    <w:p w14:paraId="253A25AA" w14:textId="77777777" w:rsidR="004B2E7C" w:rsidRDefault="004B2E7C" w:rsidP="00285819">
      <w:pPr>
        <w:pStyle w:val="a7"/>
        <w:rPr>
          <w:rtl/>
        </w:rPr>
      </w:pPr>
      <w:r>
        <w:rPr>
          <w:rStyle w:val="a9"/>
        </w:rPr>
        <w:footnoteRef/>
      </w:r>
      <w:r>
        <w:rPr>
          <w:rtl/>
        </w:rPr>
        <w:t xml:space="preserve"> </w:t>
      </w:r>
      <w:r w:rsidRPr="000E4158">
        <w:rPr>
          <w:rFonts w:cs="Arial"/>
          <w:rtl/>
        </w:rPr>
        <w:t>דהוה בתר הכי שבקוהו לדרבן גמליאל וקבעו הלכה כר' יוסי דמותר</w:t>
      </w:r>
      <w:r>
        <w:rPr>
          <w:rFonts w:hint="cs"/>
          <w:rtl/>
        </w:rPr>
        <w:t>, רש"י.</w:t>
      </w:r>
    </w:p>
  </w:footnote>
  <w:footnote w:id="262">
    <w:p w14:paraId="42C3A37B" w14:textId="77777777" w:rsidR="004B2E7C" w:rsidRDefault="004B2E7C" w:rsidP="00285819">
      <w:pPr>
        <w:pStyle w:val="a7"/>
      </w:pPr>
      <w:r>
        <w:rPr>
          <w:rStyle w:val="a9"/>
        </w:rPr>
        <w:footnoteRef/>
      </w:r>
      <w:r>
        <w:rPr>
          <w:rtl/>
        </w:rPr>
        <w:t xml:space="preserve"> </w:t>
      </w:r>
      <w:r w:rsidRPr="000E4158">
        <w:rPr>
          <w:rFonts w:cs="Arial"/>
          <w:rtl/>
        </w:rPr>
        <w:t>משפחה היא משבט בנימין, שנפל להן גורל לקרבן עצים בעשרה באב בימי עזרא, ויום טוב היה להם לעולם, כדתנן בפרק בתרא דתענית</w:t>
      </w:r>
      <w:r>
        <w:rPr>
          <w:rFonts w:cs="Arial" w:hint="cs"/>
          <w:rtl/>
        </w:rPr>
        <w:t>, רש"י.</w:t>
      </w:r>
    </w:p>
  </w:footnote>
  <w:footnote w:id="263">
    <w:p w14:paraId="66636C6A" w14:textId="77777777" w:rsidR="004B2E7C" w:rsidRDefault="004B2E7C" w:rsidP="00285819">
      <w:pPr>
        <w:pStyle w:val="a7"/>
      </w:pPr>
      <w:r>
        <w:rPr>
          <w:rStyle w:val="a9"/>
        </w:rPr>
        <w:footnoteRef/>
      </w:r>
      <w:r>
        <w:rPr>
          <w:rtl/>
        </w:rPr>
        <w:t xml:space="preserve"> </w:t>
      </w:r>
      <w:r w:rsidRPr="000E4158">
        <w:rPr>
          <w:rFonts w:cs="Arial"/>
          <w:rtl/>
        </w:rPr>
        <w:t>שהוא עשרה באב והוי יום טוב שלנו</w:t>
      </w:r>
      <w:r>
        <w:rPr>
          <w:rFonts w:cs="Arial" w:hint="cs"/>
          <w:rtl/>
        </w:rPr>
        <w:t>, רש"י.</w:t>
      </w:r>
    </w:p>
  </w:footnote>
  <w:footnote w:id="264">
    <w:p w14:paraId="0F430A55" w14:textId="77777777" w:rsidR="004B2E7C" w:rsidRDefault="004B2E7C" w:rsidP="00285819">
      <w:pPr>
        <w:pStyle w:val="a7"/>
      </w:pPr>
      <w:r>
        <w:rPr>
          <w:rStyle w:val="a9"/>
        </w:rPr>
        <w:footnoteRef/>
      </w:r>
      <w:r>
        <w:rPr>
          <w:rtl/>
        </w:rPr>
        <w:t xml:space="preserve"> </w:t>
      </w:r>
      <w:r w:rsidRPr="00C965C6">
        <w:rPr>
          <w:rFonts w:cs="Arial"/>
          <w:rtl/>
        </w:rPr>
        <w:t>כגון האי קרבן עצים, הואיל וקל הוא - שמתענין בו לשעות, כדקתני: והתענינו בו, לפיכך משלימין בו ערביות, כלומר: מותר להשלים ערב אותו יום טוב, וליכנס לתוכו כשהוא מעונה, דהא אפילו בעיקרו מותר להתענות בו קצת היום, אבל שבת שאסור להתענות בו קצת לשום תענית - אסור נמי להשלים בו ערביות, שהמשלים ערב שבת מתענה במקצת שבת</w:t>
      </w:r>
      <w:r>
        <w:rPr>
          <w:rFonts w:cs="Arial" w:hint="cs"/>
          <w:rtl/>
        </w:rPr>
        <w:t>, רש"י.</w:t>
      </w:r>
    </w:p>
  </w:footnote>
  <w:footnote w:id="265">
    <w:p w14:paraId="19F020F8" w14:textId="77777777" w:rsidR="004B2E7C" w:rsidRDefault="004B2E7C" w:rsidP="00285819">
      <w:pPr>
        <w:pStyle w:val="a7"/>
        <w:rPr>
          <w:rtl/>
        </w:rPr>
      </w:pPr>
      <w:r>
        <w:rPr>
          <w:rStyle w:val="a9"/>
        </w:rPr>
        <w:footnoteRef/>
      </w:r>
      <w:r>
        <w:rPr>
          <w:rtl/>
        </w:rPr>
        <w:t xml:space="preserve"> </w:t>
      </w:r>
      <w:r w:rsidRPr="00C965C6">
        <w:rPr>
          <w:rFonts w:cs="Arial"/>
          <w:rtl/>
        </w:rPr>
        <w:t>דקבע עולא לעיל הלכה כר' יוסי</w:t>
      </w:r>
      <w:r>
        <w:rPr>
          <w:rFonts w:hint="cs"/>
          <w:rtl/>
        </w:rPr>
        <w:t>, רש"י.</w:t>
      </w:r>
    </w:p>
  </w:footnote>
  <w:footnote w:id="266">
    <w:p w14:paraId="2C2D8583" w14:textId="77777777" w:rsidR="004B2E7C" w:rsidRDefault="004B2E7C" w:rsidP="00285819">
      <w:pPr>
        <w:pStyle w:val="a7"/>
        <w:rPr>
          <w:rtl/>
        </w:rPr>
      </w:pPr>
      <w:r>
        <w:rPr>
          <w:rStyle w:val="a9"/>
        </w:rPr>
        <w:footnoteRef/>
      </w:r>
      <w:r>
        <w:rPr>
          <w:rtl/>
        </w:rPr>
        <w:t xml:space="preserve"> </w:t>
      </w:r>
      <w:r w:rsidRPr="00C965C6">
        <w:rPr>
          <w:rFonts w:cs="Arial"/>
          <w:rtl/>
        </w:rPr>
        <w:t>ר' יוסף חלה ושכח תלמודו, והיה אביי תלמידו מזכירו</w:t>
      </w:r>
      <w:r>
        <w:rPr>
          <w:rFonts w:hint="cs"/>
          <w:rtl/>
        </w:rPr>
        <w:t>, רש"י.</w:t>
      </w:r>
    </w:p>
  </w:footnote>
  <w:footnote w:id="267">
    <w:p w14:paraId="6967CE00" w14:textId="77777777" w:rsidR="004B2E7C" w:rsidRDefault="004B2E7C" w:rsidP="00285819">
      <w:pPr>
        <w:pStyle w:val="a7"/>
      </w:pPr>
      <w:r>
        <w:rPr>
          <w:rStyle w:val="a9"/>
        </w:rPr>
        <w:footnoteRef/>
      </w:r>
      <w:r>
        <w:rPr>
          <w:rtl/>
        </w:rPr>
        <w:t xml:space="preserve"> </w:t>
      </w:r>
      <w:r w:rsidRPr="00C965C6">
        <w:rPr>
          <w:rFonts w:cs="Arial"/>
          <w:rtl/>
        </w:rPr>
        <w:t>דאמר לעיל משום רבן גמליאל מודה היה שאין משלימין, וכן תשעה באב שחל להיות ערב שבת אבל חכמים אומרים מתענה ומשלים</w:t>
      </w:r>
      <w:r>
        <w:rPr>
          <w:rFonts w:cs="Arial" w:hint="cs"/>
          <w:rtl/>
        </w:rPr>
        <w:t>, רש"י.</w:t>
      </w:r>
    </w:p>
  </w:footnote>
  <w:footnote w:id="268">
    <w:p w14:paraId="4E56C6EB" w14:textId="77777777" w:rsidR="004B2E7C" w:rsidRDefault="004B2E7C" w:rsidP="00285819">
      <w:pPr>
        <w:pStyle w:val="a7"/>
        <w:rPr>
          <w:rtl/>
        </w:rPr>
      </w:pPr>
      <w:r>
        <w:rPr>
          <w:rStyle w:val="a9"/>
        </w:rPr>
        <w:footnoteRef/>
      </w:r>
      <w:r>
        <w:rPr>
          <w:rtl/>
        </w:rPr>
        <w:t xml:space="preserve"> </w:t>
      </w:r>
      <w:r w:rsidRPr="00C965C6">
        <w:rPr>
          <w:rFonts w:cs="Arial"/>
          <w:rtl/>
        </w:rPr>
        <w:t>חכמים אכולהו קיימי, בין אחנוכה ופורים בין אערב שבת, ומדאגמריה רב לר' יוסי בלשון חכמים - שמע מינה הלכה כר' יוסי</w:t>
      </w:r>
      <w:r>
        <w:rPr>
          <w:rFonts w:hint="cs"/>
          <w:rtl/>
        </w:rPr>
        <w:t>, רש"י.</w:t>
      </w:r>
    </w:p>
  </w:footnote>
  <w:footnote w:id="269">
    <w:p w14:paraId="7219F4F1" w14:textId="77777777" w:rsidR="004B2E7C" w:rsidRDefault="004B2E7C" w:rsidP="00285819">
      <w:pPr>
        <w:pStyle w:val="a7"/>
        <w:rPr>
          <w:rtl/>
        </w:rPr>
      </w:pPr>
      <w:r>
        <w:rPr>
          <w:rStyle w:val="a9"/>
        </w:rPr>
        <w:footnoteRef/>
      </w:r>
      <w:r>
        <w:rPr>
          <w:rtl/>
        </w:rPr>
        <w:t xml:space="preserve"> </w:t>
      </w:r>
      <w:r w:rsidRPr="00372929">
        <w:rPr>
          <w:rFonts w:cs="Arial"/>
          <w:rtl/>
        </w:rPr>
        <w:t>אמרה רב יהודה</w:t>
      </w:r>
      <w:r>
        <w:rPr>
          <w:rFonts w:hint="cs"/>
          <w:rtl/>
        </w:rPr>
        <w:t>, רש"י.</w:t>
      </w:r>
    </w:p>
  </w:footnote>
  <w:footnote w:id="270">
    <w:p w14:paraId="68D6BE01" w14:textId="77777777" w:rsidR="004B2E7C" w:rsidRDefault="004B2E7C" w:rsidP="00285819">
      <w:pPr>
        <w:pStyle w:val="a7"/>
      </w:pPr>
      <w:r>
        <w:rPr>
          <w:rStyle w:val="a9"/>
        </w:rPr>
        <w:footnoteRef/>
      </w:r>
      <w:r>
        <w:rPr>
          <w:rtl/>
        </w:rPr>
        <w:t xml:space="preserve"> </w:t>
      </w:r>
      <w:r w:rsidRPr="00372929">
        <w:rPr>
          <w:rFonts w:cs="Arial"/>
          <w:rtl/>
        </w:rPr>
        <w:t>כדאמרינן לעיל: אתא לקמיה דרב יהודה, ולא הוה בידיה</w:t>
      </w:r>
      <w:r>
        <w:rPr>
          <w:rFonts w:cs="Arial" w:hint="cs"/>
          <w:rtl/>
        </w:rPr>
        <w:t>, רש"י.</w:t>
      </w:r>
    </w:p>
  </w:footnote>
  <w:footnote w:id="271">
    <w:p w14:paraId="11442154" w14:textId="77777777" w:rsidR="004B2E7C" w:rsidRDefault="004B2E7C" w:rsidP="00285819">
      <w:pPr>
        <w:pStyle w:val="a7"/>
      </w:pPr>
      <w:r>
        <w:rPr>
          <w:rStyle w:val="a9"/>
        </w:rPr>
        <w:footnoteRef/>
      </w:r>
      <w:r>
        <w:rPr>
          <w:rtl/>
        </w:rPr>
        <w:t xml:space="preserve"> </w:t>
      </w:r>
      <w:r w:rsidRPr="00372929">
        <w:rPr>
          <w:rFonts w:cs="Arial"/>
          <w:rtl/>
        </w:rPr>
        <w:t>בערב שבת</w:t>
      </w:r>
      <w:r>
        <w:rPr>
          <w:rFonts w:cs="Arial" w:hint="cs"/>
          <w:rtl/>
        </w:rPr>
        <w:t>, רש"י.</w:t>
      </w:r>
    </w:p>
  </w:footnote>
  <w:footnote w:id="272">
    <w:p w14:paraId="7DBF5BBE" w14:textId="77777777" w:rsidR="004B2E7C" w:rsidRDefault="004B2E7C" w:rsidP="00285819">
      <w:pPr>
        <w:pStyle w:val="a7"/>
      </w:pPr>
      <w:r>
        <w:rPr>
          <w:rStyle w:val="a9"/>
        </w:rPr>
        <w:footnoteRef/>
      </w:r>
      <w:r>
        <w:rPr>
          <w:rtl/>
        </w:rPr>
        <w:t xml:space="preserve"> </w:t>
      </w:r>
      <w:r w:rsidRPr="00372929">
        <w:rPr>
          <w:rFonts w:cs="Arial"/>
          <w:rtl/>
        </w:rPr>
        <w:t>לעיל, ולא פשט ליה</w:t>
      </w:r>
      <w:r>
        <w:rPr>
          <w:rFonts w:cs="Arial" w:hint="cs"/>
          <w:rtl/>
        </w:rPr>
        <w:t>, רש"י.</w:t>
      </w:r>
    </w:p>
  </w:footnote>
  <w:footnote w:id="273">
    <w:p w14:paraId="312F8C20" w14:textId="77777777" w:rsidR="004B2E7C" w:rsidRDefault="004B2E7C" w:rsidP="00285819">
      <w:pPr>
        <w:pStyle w:val="a7"/>
      </w:pPr>
      <w:r>
        <w:rPr>
          <w:rStyle w:val="a9"/>
        </w:rPr>
        <w:footnoteRef/>
      </w:r>
      <w:r>
        <w:rPr>
          <w:rtl/>
        </w:rPr>
        <w:t xml:space="preserve"> </w:t>
      </w:r>
      <w:r w:rsidRPr="00372929">
        <w:rPr>
          <w:rFonts w:cs="Arial"/>
          <w:rtl/>
        </w:rPr>
        <w:t>רב הונא מרב להאי אבל חכמים אומרים הדר אגמריה למר זוטרא ומקמיה דלישמעיה בעא רבה מיניה ולא פשט ליה</w:t>
      </w:r>
      <w:r>
        <w:rPr>
          <w:rFonts w:cs="Arial" w:hint="cs"/>
          <w:rtl/>
        </w:rPr>
        <w:t>, רש"י.</w:t>
      </w:r>
    </w:p>
  </w:footnote>
  <w:footnote w:id="274">
    <w:p w14:paraId="081F6419" w14:textId="77777777" w:rsidR="004B2E7C" w:rsidRDefault="004B2E7C" w:rsidP="00285819">
      <w:pPr>
        <w:pStyle w:val="a7"/>
      </w:pPr>
      <w:r>
        <w:rPr>
          <w:rStyle w:val="a9"/>
        </w:rPr>
        <w:footnoteRef/>
      </w:r>
      <w:r>
        <w:rPr>
          <w:rtl/>
        </w:rPr>
        <w:t xml:space="preserve"> </w:t>
      </w:r>
      <w:r w:rsidRPr="00372929">
        <w:rPr>
          <w:rFonts w:cs="Arial"/>
          <w:rtl/>
        </w:rPr>
        <w:t>דרב יהודה לא תיקשי</w:t>
      </w:r>
      <w:r>
        <w:rPr>
          <w:rFonts w:cs="Arial" w:hint="cs"/>
          <w:rtl/>
        </w:rPr>
        <w:t>, רש"י.</w:t>
      </w:r>
    </w:p>
  </w:footnote>
  <w:footnote w:id="275">
    <w:p w14:paraId="374FB699" w14:textId="77777777" w:rsidR="004B2E7C" w:rsidRDefault="004B2E7C" w:rsidP="00285819">
      <w:pPr>
        <w:pStyle w:val="a7"/>
      </w:pPr>
      <w:r>
        <w:rPr>
          <w:rStyle w:val="a9"/>
        </w:rPr>
        <w:footnoteRef/>
      </w:r>
      <w:r>
        <w:rPr>
          <w:rtl/>
        </w:rPr>
        <w:t xml:space="preserve"> </w:t>
      </w:r>
      <w:r w:rsidRPr="00372929">
        <w:rPr>
          <w:rFonts w:cs="Arial"/>
          <w:rtl/>
        </w:rPr>
        <w:t>מרב</w:t>
      </w:r>
      <w:r>
        <w:rPr>
          <w:rFonts w:cs="Arial" w:hint="cs"/>
          <w:rtl/>
        </w:rPr>
        <w:t>, רש"י.</w:t>
      </w:r>
    </w:p>
  </w:footnote>
  <w:footnote w:id="276">
    <w:p w14:paraId="081CE92C" w14:textId="77777777" w:rsidR="004B2E7C" w:rsidRDefault="004B2E7C" w:rsidP="00285819">
      <w:pPr>
        <w:pStyle w:val="a7"/>
      </w:pPr>
      <w:r>
        <w:rPr>
          <w:rStyle w:val="a9"/>
        </w:rPr>
        <w:footnoteRef/>
      </w:r>
      <w:r>
        <w:rPr>
          <w:rtl/>
        </w:rPr>
        <w:t xml:space="preserve"> </w:t>
      </w:r>
      <w:r w:rsidRPr="00372929">
        <w:rPr>
          <w:rFonts w:cs="Arial"/>
          <w:rtl/>
        </w:rPr>
        <w:t>רב הונא ורב יהודה תלמידי דרב הוו</w:t>
      </w:r>
      <w:r>
        <w:rPr>
          <w:rFonts w:cs="Arial" w:hint="cs"/>
          <w:rtl/>
        </w:rPr>
        <w:t>, רש"י.</w:t>
      </w:r>
    </w:p>
  </w:footnote>
  <w:footnote w:id="277">
    <w:p w14:paraId="5829EB70" w14:textId="77777777" w:rsidR="004B2E7C" w:rsidRDefault="004B2E7C" w:rsidP="00285819">
      <w:pPr>
        <w:pStyle w:val="a7"/>
        <w:rPr>
          <w:rtl/>
        </w:rPr>
      </w:pPr>
      <w:r>
        <w:rPr>
          <w:rStyle w:val="a9"/>
        </w:rPr>
        <w:footnoteRef/>
      </w:r>
      <w:r>
        <w:rPr>
          <w:rtl/>
        </w:rPr>
        <w:t xml:space="preserve"> </w:t>
      </w:r>
      <w:r>
        <w:rPr>
          <w:rFonts w:hint="cs"/>
          <w:rtl/>
        </w:rPr>
        <w:t xml:space="preserve">וז"ל- </w:t>
      </w:r>
      <w:r w:rsidRPr="00CC6D6C">
        <w:rPr>
          <w:rFonts w:cs="Arial"/>
          <w:rtl/>
        </w:rPr>
        <w:t>אין להתענות לכתחלה בערבי שבתות דאמרינן בשלהי מגילת תענית הנשבע להתענות בע"ש הרי זה שבועת שוא שמקצת ע"ש כשבת ואם מתענה ישלים עד הלילה כדמסיק בערובין בשלהי בכל מערבין (דף מא) הלכה מתענה ומשלים וכן פוסק בפרק סדר תעניות כיצד (דף טו) ואמרי' בירושלמי ר' זעיר' בשם רב הונא אפי' יחיד שגזר על עצמו תענית ע"ש מתענה ומשלים וקיימא לן בפ' א' דתענית (דף יב) כל תענית שלא שקעה עליו חמה לא שמיה תענית.</w:t>
      </w:r>
    </w:p>
  </w:footnote>
  <w:footnote w:id="278">
    <w:p w14:paraId="5B3A1934" w14:textId="77777777" w:rsidR="004B2E7C" w:rsidRPr="003746CA" w:rsidRDefault="004B2E7C" w:rsidP="00285819">
      <w:pPr>
        <w:pStyle w:val="a7"/>
        <w:rPr>
          <w:rFonts w:cs="Arial"/>
          <w:rtl/>
        </w:rPr>
      </w:pPr>
      <w:r>
        <w:rPr>
          <w:rStyle w:val="a9"/>
        </w:rPr>
        <w:footnoteRef/>
      </w:r>
      <w:r>
        <w:rPr>
          <w:rtl/>
        </w:rPr>
        <w:t xml:space="preserve"> </w:t>
      </w:r>
      <w:r w:rsidRPr="0087246C">
        <w:rPr>
          <w:rFonts w:cs="Arial"/>
          <w:rtl/>
        </w:rPr>
        <w:t>ונראה דמתחלת שקיעת החמה קאמר ועיין לקמן סימן רס"א (ד"מ הארוך אות א ד"ה וזמנו)</w:t>
      </w:r>
      <w:r>
        <w:rPr>
          <w:rFonts w:cs="Arial" w:hint="cs"/>
          <w:rtl/>
        </w:rPr>
        <w:t>, דרכ"מ (אות א).</w:t>
      </w:r>
    </w:p>
  </w:footnote>
  <w:footnote w:id="279">
    <w:p w14:paraId="5EE5C0D9" w14:textId="77777777" w:rsidR="004B2E7C" w:rsidRDefault="004B2E7C" w:rsidP="00285819">
      <w:pPr>
        <w:pStyle w:val="a7"/>
      </w:pPr>
      <w:r>
        <w:rPr>
          <w:rStyle w:val="a9"/>
        </w:rPr>
        <w:footnoteRef/>
      </w:r>
      <w:r>
        <w:rPr>
          <w:rtl/>
        </w:rPr>
        <w:t xml:space="preserve"> </w:t>
      </w:r>
      <w:r w:rsidRPr="004D6A2F">
        <w:rPr>
          <w:rFonts w:cs="Arial"/>
          <w:rtl/>
        </w:rPr>
        <w:t>מ"ש שר"י אכל בעשרה בטבת, הר"ן סוף פרק ב' דתענית (ז. ד"ה זו) כתב דצריך להשלים בעשרה בטבת שחל להיות בערב שבת וכן הוא בתולדות אדם וחוה ני"ח ח"א (רבינו ירוחם קסג א)</w:t>
      </w:r>
      <w:r>
        <w:rPr>
          <w:rFonts w:cs="Arial" w:hint="cs"/>
          <w:rtl/>
        </w:rPr>
        <w:t>, דרכ"מ (אות ב).</w:t>
      </w:r>
    </w:p>
  </w:footnote>
  <w:footnote w:id="280">
    <w:p w14:paraId="2F242052" w14:textId="77777777" w:rsidR="004B2E7C" w:rsidRDefault="004B2E7C" w:rsidP="00285819">
      <w:pPr>
        <w:pStyle w:val="a7"/>
      </w:pPr>
      <w:r>
        <w:rPr>
          <w:rStyle w:val="a9"/>
        </w:rPr>
        <w:footnoteRef/>
      </w:r>
      <w:r>
        <w:rPr>
          <w:rtl/>
        </w:rPr>
        <w:t xml:space="preserve"> </w:t>
      </w:r>
      <w:r w:rsidRPr="00896369">
        <w:rPr>
          <w:rFonts w:cs="Arial"/>
          <w:rtl/>
        </w:rPr>
        <w:t>והיה נ"ל דמ"ש הטור לעיל מתענה ומשלים אם ירצה דהיינו כדברי ר"י אבל ב"י פירש דבא לאפוקי דאינו מחוייב להשלים לאפוקי מדברי ראבי"ה ורוקח דסבירא להו דמחוייב להשלים וכמ"ש</w:t>
      </w:r>
      <w:r>
        <w:rPr>
          <w:rFonts w:cs="Arial" w:hint="cs"/>
          <w:rtl/>
        </w:rPr>
        <w:t>, דרכ"מ (אות ב).</w:t>
      </w:r>
    </w:p>
  </w:footnote>
  <w:footnote w:id="281">
    <w:p w14:paraId="17F8BB50" w14:textId="77777777" w:rsidR="004B2E7C" w:rsidRDefault="004B2E7C" w:rsidP="00285819">
      <w:pPr>
        <w:pStyle w:val="a7"/>
      </w:pPr>
      <w:r>
        <w:rPr>
          <w:rStyle w:val="a9"/>
        </w:rPr>
        <w:footnoteRef/>
      </w:r>
      <w:r>
        <w:rPr>
          <w:rtl/>
        </w:rPr>
        <w:t xml:space="preserve"> </w:t>
      </w:r>
      <w:r>
        <w:rPr>
          <w:rFonts w:cs="Arial" w:hint="cs"/>
          <w:rtl/>
        </w:rPr>
        <w:t xml:space="preserve">וז"ל בשם מהר"ם- </w:t>
      </w:r>
      <w:r w:rsidRPr="0087246C">
        <w:rPr>
          <w:rFonts w:cs="Arial"/>
          <w:rtl/>
        </w:rPr>
        <w:t>יכול לאכול מיד אחר התפלה קודם שקיעת החמה</w:t>
      </w:r>
      <w:r>
        <w:rPr>
          <w:rFonts w:cs="Arial" w:hint="cs"/>
          <w:rtl/>
        </w:rPr>
        <w:t>,</w:t>
      </w:r>
      <w:r w:rsidRPr="0087246C">
        <w:rPr>
          <w:rFonts w:cs="Arial"/>
          <w:rtl/>
        </w:rPr>
        <w:t xml:space="preserve"> </w:t>
      </w:r>
      <w:r>
        <w:rPr>
          <w:rFonts w:cs="Arial" w:hint="cs"/>
          <w:rtl/>
        </w:rPr>
        <w:t>ד</w:t>
      </w:r>
      <w:r w:rsidRPr="0087246C">
        <w:rPr>
          <w:rFonts w:cs="Arial"/>
          <w:rtl/>
        </w:rPr>
        <w:t>פ</w:t>
      </w:r>
      <w:r>
        <w:rPr>
          <w:rFonts w:cs="Arial" w:hint="cs"/>
          <w:rtl/>
        </w:rPr>
        <w:t>י</w:t>
      </w:r>
      <w:r w:rsidRPr="0087246C">
        <w:rPr>
          <w:rFonts w:cs="Arial"/>
          <w:rtl/>
        </w:rPr>
        <w:t>ר</w:t>
      </w:r>
      <w:r>
        <w:rPr>
          <w:rFonts w:cs="Arial" w:hint="cs"/>
          <w:rtl/>
        </w:rPr>
        <w:t>ו</w:t>
      </w:r>
      <w:r w:rsidRPr="0087246C">
        <w:rPr>
          <w:rFonts w:cs="Arial"/>
          <w:rtl/>
        </w:rPr>
        <w:t xml:space="preserve">ש מתענה ומשלים </w:t>
      </w:r>
      <w:r>
        <w:rPr>
          <w:rFonts w:cs="Arial" w:hint="cs"/>
          <w:rtl/>
        </w:rPr>
        <w:t xml:space="preserve">הוא </w:t>
      </w:r>
      <w:r w:rsidRPr="0087246C">
        <w:rPr>
          <w:rFonts w:cs="Arial"/>
          <w:rtl/>
        </w:rPr>
        <w:t>עד אחר התפלה</w:t>
      </w:r>
      <w:r>
        <w:rPr>
          <w:rFonts w:cs="Arial" w:hint="cs"/>
          <w:rtl/>
        </w:rPr>
        <w:t>.</w:t>
      </w:r>
    </w:p>
  </w:footnote>
  <w:footnote w:id="282">
    <w:p w14:paraId="3C36B784" w14:textId="77777777" w:rsidR="004B2E7C" w:rsidRDefault="004B2E7C" w:rsidP="00285819">
      <w:pPr>
        <w:pStyle w:val="a7"/>
        <w:rPr>
          <w:rtl/>
        </w:rPr>
      </w:pPr>
      <w:r>
        <w:rPr>
          <w:rStyle w:val="a9"/>
        </w:rPr>
        <w:footnoteRef/>
      </w:r>
      <w:r>
        <w:rPr>
          <w:rtl/>
        </w:rPr>
        <w:t xml:space="preserve"> </w:t>
      </w:r>
      <w:r>
        <w:rPr>
          <w:rFonts w:cs="Arial" w:hint="cs"/>
          <w:rtl/>
        </w:rPr>
        <w:t xml:space="preserve">וכתב הב"י דכתב כן </w:t>
      </w:r>
      <w:r w:rsidRPr="003746CA">
        <w:rPr>
          <w:rFonts w:cs="Arial"/>
          <w:rtl/>
        </w:rPr>
        <w:t>אפילו לדברי האומרים שצריך להשלים</w:t>
      </w:r>
      <w:r>
        <w:rPr>
          <w:rFonts w:cs="Arial" w:hint="cs"/>
          <w:rtl/>
        </w:rPr>
        <w:t xml:space="preserve">... </w:t>
      </w:r>
      <w:r w:rsidRPr="003746CA">
        <w:rPr>
          <w:rFonts w:cs="Arial"/>
          <w:rtl/>
        </w:rPr>
        <w:t>אבל אין כן דברי הרא"ש בסוף פרק ב' דתעניות כמו שנתבאר בסמוך</w:t>
      </w:r>
      <w:r>
        <w:rPr>
          <w:rFonts w:cs="Arial" w:hint="cs"/>
          <w:rtl/>
        </w:rPr>
        <w:t>. עכ"ל הב"י.</w:t>
      </w:r>
    </w:p>
  </w:footnote>
  <w:footnote w:id="283">
    <w:p w14:paraId="1A2B196C" w14:textId="77777777" w:rsidR="004B2E7C" w:rsidRDefault="004B2E7C" w:rsidP="00285819">
      <w:pPr>
        <w:pStyle w:val="a7"/>
        <w:rPr>
          <w:rtl/>
        </w:rPr>
      </w:pPr>
      <w:r>
        <w:rPr>
          <w:rStyle w:val="a9"/>
        </w:rPr>
        <w:footnoteRef/>
      </w:r>
      <w:r>
        <w:rPr>
          <w:rFonts w:hint="cs"/>
          <w:rtl/>
        </w:rPr>
        <w:t xml:space="preserve"> וז"ל- </w:t>
      </w:r>
      <w:r w:rsidRPr="00CC6D6C">
        <w:rPr>
          <w:rFonts w:cs="Arial"/>
          <w:rtl/>
        </w:rPr>
        <w:t>אמר רב חסדא כל תענית שלא שקעה עליו חמה לא שמיה תענית. פירוש לעלות לו למנין יום שלם, שזהו סתם תענית למקבל עליו תענית. והני מילי אם קיבל להתענות אי נמי עשרה בטבת ושבעה עשר בתמוז וצום גדליה, אבל עשרת ימי תשובה ותענית חלום צערא בעלמא קיבל עליה</w:t>
      </w:r>
      <w:r>
        <w:rPr>
          <w:rFonts w:cs="Arial" w:hint="cs"/>
          <w:rtl/>
        </w:rPr>
        <w:t>... ו</w:t>
      </w:r>
      <w:r w:rsidRPr="00CC6D6C">
        <w:rPr>
          <w:rFonts w:cs="Arial"/>
          <w:rtl/>
        </w:rPr>
        <w:t>אע</w:t>
      </w:r>
      <w:r>
        <w:rPr>
          <w:rFonts w:cs="Arial" w:hint="cs"/>
          <w:rtl/>
        </w:rPr>
        <w:t>"</w:t>
      </w:r>
      <w:r w:rsidRPr="00CC6D6C">
        <w:rPr>
          <w:rFonts w:cs="Arial"/>
          <w:rtl/>
        </w:rPr>
        <w:t>ג דפסקינן לקמן בסוף פרק שני מתענה ומשלים גבי תשעה באב שחל להיות בערב שבת</w:t>
      </w:r>
      <w:r>
        <w:rPr>
          <w:rFonts w:cs="Arial" w:hint="cs"/>
          <w:rtl/>
        </w:rPr>
        <w:t>,</w:t>
      </w:r>
      <w:r w:rsidRPr="00CC6D6C">
        <w:rPr>
          <w:rFonts w:cs="Arial"/>
          <w:rtl/>
        </w:rPr>
        <w:t xml:space="preserve"> ואמרינן בירושלמי דתענית רבי זעירא בשם רב הונא אפילו יחיד שגזר תענית על עצמו בערב שבת מתענה ומשלים</w:t>
      </w:r>
      <w:r>
        <w:rPr>
          <w:rFonts w:cs="Arial" w:hint="cs"/>
          <w:rtl/>
        </w:rPr>
        <w:t>...</w:t>
      </w:r>
      <w:r w:rsidRPr="00CC6D6C">
        <w:rPr>
          <w:rFonts w:cs="Arial"/>
          <w:rtl/>
        </w:rPr>
        <w:t xml:space="preserve"> נראין הדברים שדוקא שגזר על עצמו תענית שקיבל בפירוש, וסתם תענית יום שלם, ומחמרינן עלה</w:t>
      </w:r>
      <w:r>
        <w:rPr>
          <w:rFonts w:cs="Arial" w:hint="cs"/>
          <w:rtl/>
        </w:rPr>
        <w:t>...</w:t>
      </w:r>
      <w:r w:rsidRPr="00CC6D6C">
        <w:rPr>
          <w:rFonts w:cs="Arial"/>
          <w:rtl/>
        </w:rPr>
        <w:t xml:space="preserve"> שמא תענית ציבור קיבל עליו, דמחמירינן מספיקא, אבל בתעניות אחרות לא. ואין רגילות לקבלם בתפלה לעשרת ימי תשובה וכן תענית חלום</w:t>
      </w:r>
      <w:r>
        <w:rPr>
          <w:rFonts w:hint="cs"/>
          <w:rtl/>
        </w:rPr>
        <w:t>.</w:t>
      </w:r>
    </w:p>
  </w:footnote>
  <w:footnote w:id="284">
    <w:p w14:paraId="027B0F3E" w14:textId="77777777" w:rsidR="004B2E7C" w:rsidRDefault="004B2E7C" w:rsidP="00285819">
      <w:pPr>
        <w:pStyle w:val="a7"/>
      </w:pPr>
      <w:r>
        <w:rPr>
          <w:rStyle w:val="a9"/>
        </w:rPr>
        <w:footnoteRef/>
      </w:r>
      <w:r>
        <w:rPr>
          <w:rtl/>
        </w:rPr>
        <w:t xml:space="preserve"> </w:t>
      </w:r>
      <w:r>
        <w:rPr>
          <w:rFonts w:hint="cs"/>
          <w:rtl/>
        </w:rPr>
        <w:t xml:space="preserve">וז"ל- </w:t>
      </w:r>
      <w:r w:rsidRPr="005B3FB0">
        <w:rPr>
          <w:rFonts w:cs="Arial"/>
          <w:rtl/>
        </w:rPr>
        <w:t>אבל תענית חלום בע"ש יש להתענות עד צאת הכוכבים כיון שהוא מפני הסכנה לבער ולבטל חלום רע אין להקל בו שמא לא יועיל לכך אם לא התענה עד צאת הכוכבים</w:t>
      </w:r>
      <w:r>
        <w:rPr>
          <w:rFonts w:cs="Arial" w:hint="cs"/>
          <w:rtl/>
        </w:rPr>
        <w:t>.</w:t>
      </w:r>
      <w:r w:rsidRPr="00443D17">
        <w:rPr>
          <w:rtl/>
        </w:rPr>
        <w:t xml:space="preserve"> </w:t>
      </w:r>
      <w:r w:rsidRPr="00443D17">
        <w:rPr>
          <w:rFonts w:cs="Arial"/>
          <w:rtl/>
        </w:rPr>
        <w:t>ותדע לך שאפילו ביום השבת מתענין לכתחלה אבל כל שאר תעניות אפילו הרוצה להשלים אוכל לאלתר לאחר תפלת השבת והוי שפיר השלמה</w:t>
      </w:r>
      <w:r>
        <w:rPr>
          <w:rFonts w:hint="cs"/>
          <w:rtl/>
        </w:rPr>
        <w:t>.</w:t>
      </w:r>
    </w:p>
  </w:footnote>
  <w:footnote w:id="285">
    <w:p w14:paraId="46046A2E" w14:textId="77777777" w:rsidR="004B2E7C" w:rsidRDefault="004B2E7C" w:rsidP="00285819">
      <w:pPr>
        <w:pStyle w:val="a7"/>
      </w:pPr>
      <w:r>
        <w:rPr>
          <w:rStyle w:val="a9"/>
        </w:rPr>
        <w:footnoteRef/>
      </w:r>
      <w:r>
        <w:rPr>
          <w:rtl/>
        </w:rPr>
        <w:t xml:space="preserve"> </w:t>
      </w:r>
      <w:r>
        <w:rPr>
          <w:rFonts w:hint="cs"/>
          <w:rtl/>
        </w:rPr>
        <w:t>וז"ל-</w:t>
      </w:r>
      <w:r>
        <w:rPr>
          <w:rFonts w:cs="Arial" w:hint="cs"/>
          <w:rtl/>
        </w:rPr>
        <w:t xml:space="preserve"> </w:t>
      </w:r>
      <w:r w:rsidRPr="006746E3">
        <w:rPr>
          <w:rFonts w:cs="Arial"/>
          <w:rtl/>
        </w:rPr>
        <w:t xml:space="preserve">והני מילי אם קיבל להתענות אי נמי עשרה בטבת ושבעה עשר בתמוז וצום גדליה, אבל עשרת ימי תשובה ותענית חלום </w:t>
      </w:r>
      <w:r>
        <w:rPr>
          <w:rFonts w:cs="Arial" w:hint="cs"/>
          <w:rtl/>
        </w:rPr>
        <w:t xml:space="preserve">- </w:t>
      </w:r>
      <w:r w:rsidRPr="006746E3">
        <w:rPr>
          <w:rFonts w:cs="Arial"/>
          <w:rtl/>
        </w:rPr>
        <w:t xml:space="preserve">צערא בעלמא קיבל עליה, דהא פריך עליה תלמודא מדתנן אנשי משמר מתענין ולא משלימין ומשני התם לצעורי נפשייהו בעלמא, והכי נמי משני אהך דרבי אלעזר ברבי צדוק. וכך שמעתי מעידים על זקיני רבי אליעזר ברבי נתן שלא היה מתענה בעשרת ימי תשובה עד שקיעת החמה, אלא אחרי יציאתו מבית הכנסת </w:t>
      </w:r>
      <w:r>
        <w:rPr>
          <w:rFonts w:cs="Arial" w:hint="cs"/>
          <w:rtl/>
        </w:rPr>
        <w:t xml:space="preserve">היה </w:t>
      </w:r>
      <w:r w:rsidRPr="006746E3">
        <w:rPr>
          <w:rFonts w:cs="Arial"/>
          <w:rtl/>
        </w:rPr>
        <w:t>אוכל מיד. ואע</w:t>
      </w:r>
      <w:r>
        <w:rPr>
          <w:rFonts w:cs="Arial" w:hint="cs"/>
          <w:rtl/>
        </w:rPr>
        <w:t>"</w:t>
      </w:r>
      <w:r w:rsidRPr="006746E3">
        <w:rPr>
          <w:rFonts w:cs="Arial"/>
          <w:rtl/>
        </w:rPr>
        <w:t>ג דפסקינן לקמן בס</w:t>
      </w:r>
      <w:r>
        <w:rPr>
          <w:rFonts w:cs="Arial" w:hint="cs"/>
          <w:rtl/>
        </w:rPr>
        <w:t>"</w:t>
      </w:r>
      <w:r w:rsidRPr="006746E3">
        <w:rPr>
          <w:rFonts w:cs="Arial"/>
          <w:rtl/>
        </w:rPr>
        <w:t>פ שני מתענה ומשלים גבי תשעה באב שחל להיות בערב שבת</w:t>
      </w:r>
      <w:r>
        <w:rPr>
          <w:rFonts w:cs="Arial" w:hint="cs"/>
          <w:rtl/>
        </w:rPr>
        <w:t>...</w:t>
      </w:r>
      <w:r w:rsidRPr="006746E3">
        <w:rPr>
          <w:rFonts w:cs="Arial"/>
          <w:rtl/>
        </w:rPr>
        <w:t xml:space="preserve"> נראין הדברים שדוקא שגזר על עצמו תענית שקיבל בפירוש, וסתם תענית יום שלם, ומחמרינן עלה</w:t>
      </w:r>
      <w:r>
        <w:rPr>
          <w:rFonts w:cs="Arial" w:hint="cs"/>
          <w:rtl/>
        </w:rPr>
        <w:t>...</w:t>
      </w:r>
      <w:r w:rsidRPr="006746E3">
        <w:rPr>
          <w:rFonts w:cs="Arial"/>
          <w:rtl/>
        </w:rPr>
        <w:t xml:space="preserve"> דמחמירינן מספיקא, אבל בתעניות אחרות לא. ואין רגילות לקבלם בתפלה לעשרת ימי תשובה וכן תענית חלום.</w:t>
      </w:r>
    </w:p>
  </w:footnote>
  <w:footnote w:id="286">
    <w:p w14:paraId="326A4A72" w14:textId="77777777" w:rsidR="004B2E7C" w:rsidRDefault="004B2E7C" w:rsidP="00285819">
      <w:pPr>
        <w:pStyle w:val="a7"/>
      </w:pPr>
      <w:r>
        <w:rPr>
          <w:rStyle w:val="a9"/>
        </w:rPr>
        <w:footnoteRef/>
      </w:r>
      <w:r w:rsidRPr="00896369">
        <w:rPr>
          <w:rFonts w:cs="Arial"/>
          <w:rtl/>
        </w:rPr>
        <w:t xml:space="preserve"> והמנהג כדברי הטור ולפי דברי הגהות אשיר"י אפילו בחול אין צריך להמתין כמו שמבואר שם</w:t>
      </w:r>
      <w:r>
        <w:rPr>
          <w:rFonts w:cs="Arial" w:hint="cs"/>
          <w:rtl/>
        </w:rPr>
        <w:t>, דרכ"מ (אות ג).</w:t>
      </w:r>
    </w:p>
  </w:footnote>
  <w:footnote w:id="287">
    <w:p w14:paraId="32B6B8D4" w14:textId="77777777" w:rsidR="004B2E7C" w:rsidRDefault="004B2E7C" w:rsidP="00285819">
      <w:pPr>
        <w:pStyle w:val="a7"/>
      </w:pPr>
      <w:r>
        <w:rPr>
          <w:rStyle w:val="a9"/>
        </w:rPr>
        <w:footnoteRef/>
      </w:r>
      <w:r>
        <w:rPr>
          <w:rtl/>
        </w:rPr>
        <w:t xml:space="preserve"> </w:t>
      </w:r>
      <w:r w:rsidRPr="000156FF">
        <w:rPr>
          <w:rFonts w:cs="Arial"/>
          <w:rtl/>
        </w:rPr>
        <w:t>וכמו אם קבל תענית סתם בשאר ימי השבוע דדינו הוא עד צאת הכוכבים דוקא ולא מהני במה שהתפלל תפלת ערבית מקודם וכדלקמן בסימן תקס"ב ס"א וב' ה"ה הכא ואינו נחשב לאיסור במה שנכנס לשבת כשהוא מעונה אף על גב דביום השבת גופא אסור להתענות</w:t>
      </w:r>
      <w:r>
        <w:rPr>
          <w:rFonts w:cs="Arial" w:hint="cs"/>
          <w:rtl/>
        </w:rPr>
        <w:t>, משנ"ב (סקי"ט).</w:t>
      </w:r>
    </w:p>
  </w:footnote>
  <w:footnote w:id="288">
    <w:p w14:paraId="26DD6672" w14:textId="77777777" w:rsidR="004B2E7C" w:rsidRDefault="004B2E7C" w:rsidP="00285819">
      <w:pPr>
        <w:pStyle w:val="a7"/>
      </w:pPr>
      <w:r>
        <w:rPr>
          <w:rStyle w:val="a9"/>
        </w:rPr>
        <w:footnoteRef/>
      </w:r>
      <w:r>
        <w:rPr>
          <w:rtl/>
        </w:rPr>
        <w:t xml:space="preserve"> </w:t>
      </w:r>
      <w:r w:rsidRPr="000156FF">
        <w:rPr>
          <w:rFonts w:cs="Arial"/>
          <w:rtl/>
        </w:rPr>
        <w:t>ואז מותר אפילו עוד היום גדול וכן אם התנה להתענות רק עד אחר מנחה גדולה מהני תנאו</w:t>
      </w:r>
      <w:r>
        <w:rPr>
          <w:rFonts w:cs="Arial" w:hint="cs"/>
          <w:rtl/>
        </w:rPr>
        <w:t>, משנ"ב (סק"כ).</w:t>
      </w:r>
    </w:p>
  </w:footnote>
  <w:footnote w:id="289">
    <w:p w14:paraId="16AFFD8E" w14:textId="77777777" w:rsidR="004B2E7C" w:rsidRDefault="004B2E7C" w:rsidP="00285819">
      <w:pPr>
        <w:pStyle w:val="a7"/>
      </w:pPr>
      <w:r>
        <w:rPr>
          <w:rStyle w:val="a9"/>
        </w:rPr>
        <w:footnoteRef/>
      </w:r>
      <w:r>
        <w:rPr>
          <w:rtl/>
        </w:rPr>
        <w:t xml:space="preserve"> </w:t>
      </w:r>
      <w:r w:rsidRPr="000156FF">
        <w:rPr>
          <w:rFonts w:cs="Arial"/>
          <w:rtl/>
        </w:rPr>
        <w:t>האי י"א ס"ל דבין בתענית יחיד ובין בת"צ כגון עשרה בטבת שחל בע"ש לא יתענה רק עד שיצא מבהכ"נ דאז כבר קבלו שבת בתפלה שמתפללים מפלג המנחה ואילך [הוא מי"א שעות חסר רביע ואילך והשעות הן זמניות ועיין לקמן סימן רס"א] ומקרי עי"ז השלמת התענית מה שמתענה עד אחר קבלת שבת וה"ה בעיו"ט עד אחר קבלת יום טוב [ובחול גם לי"א לא מקרי השלמת התענית עד צאה</w:t>
      </w:r>
      <w:r>
        <w:rPr>
          <w:rFonts w:cs="Arial" w:hint="cs"/>
          <w:rtl/>
        </w:rPr>
        <w:t>"</w:t>
      </w:r>
      <w:r w:rsidRPr="000156FF">
        <w:rPr>
          <w:rFonts w:cs="Arial"/>
          <w:rtl/>
        </w:rPr>
        <w:t>כ] ומכריע הרמ"א דבתענית יחיד דהיינו שיחיד גזר על עצמו תענית לסמוך על הי"א דלא ישלים ומ"מ לכתחלה טוב יותר שיפרש כן בשעת קבלת התענית ובדיעבד אין זה לעיכובא ובת"צ חמירא מזה וצריך להשלים כדין ואפילו תנאי לא מהני דלאו בדידיה תליא מילתא וצבור שגזרו על עצמן תענית מחדש בשביל איזה ענין לא חמירא כ"כ ומהני תנאי</w:t>
      </w:r>
      <w:r>
        <w:rPr>
          <w:rFonts w:cs="Arial" w:hint="cs"/>
          <w:rtl/>
        </w:rPr>
        <w:t>, משנ"ב (סקכ"א).</w:t>
      </w:r>
    </w:p>
  </w:footnote>
  <w:footnote w:id="290">
    <w:p w14:paraId="789EF7C4" w14:textId="77777777" w:rsidR="004B2E7C" w:rsidRDefault="004B2E7C" w:rsidP="00285819">
      <w:pPr>
        <w:pStyle w:val="a7"/>
      </w:pPr>
      <w:r>
        <w:rPr>
          <w:rStyle w:val="a9"/>
        </w:rPr>
        <w:footnoteRef/>
      </w:r>
      <w:r>
        <w:rPr>
          <w:rtl/>
        </w:rPr>
        <w:t xml:space="preserve"> </w:t>
      </w:r>
      <w:r w:rsidRPr="000156FF">
        <w:rPr>
          <w:rFonts w:cs="Arial"/>
          <w:rtl/>
        </w:rPr>
        <w:t>תענית יחיד נקרא מי שקיבל על עצמו להתענות בע"ש זה או שדרכו להתענות בכל ע"ש או ערב ר"ח שחל בע"ש [היינו אותם אנשים שאין אומרים יו"כ קטן ביום ה' שלפניו דאלו האומרים מתענין ג"כ ביום ה'. א"ר בסי' תי"ח] או שמתענה יום שמת בו אביו ואמו או כ' סיון או שמתענה תעניתים המבוארים בסימן תק"פ. כתב מ"א דאם מתענה בכל ע"ש והשלים פעם ראשון צריך לנהוג כן לעולם וה"ה בכל הנ"ל דמסתמא כ"ז שלא התנה בפירוש שאין דעתו להשלים תמיד אמרינן דדעתו לנהוג כן לעולם. ולכתחלה יותר טוב שלא ישלים בפעם ראשון כשחל בע"ש וכמו שכתב הרמ"א וכדי שלא יצטרך להשלים תמיד ואם בתחלה כשהתחיל להתענות יום שמת בו אביו ואמו או ער"ח ושאר תעניתים הנ"ל חל בחול ובחול הלא משלימין וע"כ יש פוסקים דס"ל דאפילו כשיארע אח"כ בע"ש ג"כ צריך להשלים עד צה"כ דמסתמא דעתו להתנהג כן תמיד אם לא כשהתנה בפירוש שאין דעתו להתנהג כן לעולם ויש חולקין ע"ז וס"ל דמסתמא לא קבל על עצמו להשלים אף בע"ש וע"כ מי שמצטער יוכל לסמוך על המקילין ולאכול תיכף אחר יציאתו מבהכ"נ אף שהיום גדול</w:t>
      </w:r>
      <w:r>
        <w:rPr>
          <w:rFonts w:cs="Arial" w:hint="cs"/>
          <w:rtl/>
        </w:rPr>
        <w:t>, משנ"ב (סקכ"ב).</w:t>
      </w:r>
    </w:p>
  </w:footnote>
  <w:footnote w:id="291">
    <w:p w14:paraId="0594097A" w14:textId="77777777" w:rsidR="004B2E7C" w:rsidRDefault="004B2E7C" w:rsidP="00285819">
      <w:pPr>
        <w:pStyle w:val="a7"/>
      </w:pPr>
      <w:r>
        <w:rPr>
          <w:rStyle w:val="a9"/>
        </w:rPr>
        <w:footnoteRef/>
      </w:r>
      <w:r>
        <w:rPr>
          <w:rtl/>
        </w:rPr>
        <w:t xml:space="preserve"> </w:t>
      </w:r>
      <w:r w:rsidRPr="00BC7C1D">
        <w:rPr>
          <w:rFonts w:cs="Arial"/>
          <w:rtl/>
        </w:rPr>
        <w:t>ואפילו הי"א הנ"ל מודו בזה שהרי אפילו בשבת עצמו יכול להתחיל ולהתענות ת"ח וכדלקמן בסימן רפ"ח וכ"ש שישלים עד הלילה. והנה יש מהפוסקים שחולקין וסוברין דגם בתענית חלום די להמתין עד שיצא מבהכ"נ ערבית דבזה מקרי השלמה אבל האחרונים הסכימו עם השו"ע דאין להקל בזה דכיון שהוא מפני הסכנה לבטל ולבער חלום רע שמא לא יועיל לבטלו אם לא ישלים עד הלילה</w:t>
      </w:r>
      <w:r>
        <w:rPr>
          <w:rFonts w:cs="Arial" w:hint="cs"/>
          <w:rtl/>
        </w:rPr>
        <w:t>, משנ"ב (סקכ"ג).</w:t>
      </w:r>
    </w:p>
  </w:footnote>
  <w:footnote w:id="292">
    <w:p w14:paraId="1B3C36C2" w14:textId="77777777" w:rsidR="004B2E7C" w:rsidRDefault="004B2E7C" w:rsidP="00285819">
      <w:pPr>
        <w:pStyle w:val="a7"/>
      </w:pPr>
      <w:r>
        <w:rPr>
          <w:rStyle w:val="a9"/>
        </w:rPr>
        <w:footnoteRef/>
      </w:r>
      <w:r>
        <w:rPr>
          <w:rtl/>
        </w:rPr>
        <w:t xml:space="preserve"> </w:t>
      </w:r>
      <w:r>
        <w:rPr>
          <w:rFonts w:cs="Arial" w:hint="cs"/>
          <w:rtl/>
        </w:rPr>
        <w:t xml:space="preserve">וז"ל- </w:t>
      </w:r>
      <w:r w:rsidRPr="00163F72">
        <w:rPr>
          <w:rFonts w:cs="Arial"/>
          <w:rtl/>
        </w:rPr>
        <w:t>אמר רב חסדא (שבת קיז:) לעולם ישכים אדם להוצאת שבת שנאמר (שמות טז ה) והיה ביום הששי והכינו את אשר יביאו והכינו לאלתר תנחומא אמר רב חסדא מנין שכל המוציא יציאה לשבת מצוה שישכים ויוציא משחרית שנאמר והיה ביום הששי וגו' ודרשו חכמים אין והיה אלא מיד שנאמר (שמואל א יז מח) והיה כי קם הפלשתי אמר רבי זעירא אף על פי שמוציא אדם ערב שבת משחרית מצוה שיוסיף בין השמשות שנאמר (שמות שם) והיה משנה</w:t>
      </w:r>
      <w:r>
        <w:rPr>
          <w:rFonts w:cs="Arial" w:hint="cs"/>
          <w:rtl/>
        </w:rPr>
        <w:t>.</w:t>
      </w:r>
    </w:p>
  </w:footnote>
  <w:footnote w:id="293">
    <w:p w14:paraId="700D751C" w14:textId="77777777" w:rsidR="004B2E7C" w:rsidRDefault="004B2E7C" w:rsidP="00285819">
      <w:pPr>
        <w:pStyle w:val="a7"/>
      </w:pPr>
      <w:r>
        <w:rPr>
          <w:rStyle w:val="a9"/>
        </w:rPr>
        <w:footnoteRef/>
      </w:r>
      <w:r>
        <w:rPr>
          <w:rtl/>
        </w:rPr>
        <w:t xml:space="preserve"> </w:t>
      </w:r>
      <w:r>
        <w:rPr>
          <w:rFonts w:hint="cs"/>
          <w:rtl/>
        </w:rPr>
        <w:t xml:space="preserve">וז"ל- </w:t>
      </w:r>
      <w:r w:rsidRPr="007363D9">
        <w:rPr>
          <w:rFonts w:cs="Arial"/>
          <w:rtl/>
        </w:rPr>
        <w:t>והסכימו הרבה פוסקים שגם הלל מודה שכדברי ב"ש עדיפא טפי אלא שהיה בוטח בה' שבודאי יזמין לו לשבת מנה יפה משאר הימים וכדי לחזק מדת בטחונו היה נוהג כן אבל בשאר כל אדם שאין בטחונו חזק כ"כ גם הוא מודה דכשמאי עדיפא טפי ופשיטא בדבר שאינו שכיח לקנות כשיזדמן לו דבר שלא יהיה נפסד אזי יניח אותו לשבת.</w:t>
      </w:r>
    </w:p>
  </w:footnote>
  <w:footnote w:id="294">
    <w:p w14:paraId="4F529BB2" w14:textId="77777777" w:rsidR="004B2E7C" w:rsidRDefault="004B2E7C" w:rsidP="00285819">
      <w:pPr>
        <w:pStyle w:val="a7"/>
        <w:rPr>
          <w:rtl/>
        </w:rPr>
      </w:pPr>
      <w:r>
        <w:rPr>
          <w:rStyle w:val="a9"/>
        </w:rPr>
        <w:footnoteRef/>
      </w:r>
      <w:r>
        <w:rPr>
          <w:rtl/>
        </w:rPr>
        <w:t xml:space="preserve"> </w:t>
      </w:r>
      <w:r w:rsidRPr="00163F72">
        <w:rPr>
          <w:rFonts w:cs="Arial"/>
          <w:rtl/>
        </w:rPr>
        <w:t>ולעיל סימן רמ"ב (עמ' ג) משמע כדברי אור זרוע</w:t>
      </w:r>
      <w:r>
        <w:rPr>
          <w:rFonts w:hint="cs"/>
          <w:rtl/>
        </w:rPr>
        <w:t>, דרכ"מ (אות א).</w:t>
      </w:r>
    </w:p>
  </w:footnote>
  <w:footnote w:id="295">
    <w:p w14:paraId="2F2BE47D" w14:textId="77777777" w:rsidR="004B2E7C" w:rsidRDefault="004B2E7C" w:rsidP="00285819">
      <w:pPr>
        <w:pStyle w:val="a7"/>
      </w:pPr>
      <w:r>
        <w:rPr>
          <w:rStyle w:val="a9"/>
        </w:rPr>
        <w:footnoteRef/>
      </w:r>
      <w:r>
        <w:rPr>
          <w:rtl/>
        </w:rPr>
        <w:t xml:space="preserve"> </w:t>
      </w:r>
      <w:r w:rsidRPr="007363D9">
        <w:rPr>
          <w:rFonts w:cs="Arial"/>
          <w:rtl/>
        </w:rPr>
        <w:t>והיינו מיד אחר ק"ש ותפלה</w:t>
      </w:r>
      <w:r>
        <w:rPr>
          <w:rFonts w:cs="Arial" w:hint="cs"/>
          <w:rtl/>
        </w:rPr>
        <w:t>.</w:t>
      </w:r>
      <w:r w:rsidRPr="007363D9">
        <w:rPr>
          <w:rFonts w:cs="Arial"/>
          <w:rtl/>
        </w:rPr>
        <w:t xml:space="preserve"> אך אם הוא רגיל ללמוד אחר התפלה איזה שעור קצוב או שלומד עם רבים</w:t>
      </w:r>
      <w:r>
        <w:rPr>
          <w:rFonts w:cs="Arial" w:hint="cs"/>
          <w:rtl/>
        </w:rPr>
        <w:t>,</w:t>
      </w:r>
      <w:r w:rsidRPr="007363D9">
        <w:rPr>
          <w:rFonts w:cs="Arial"/>
          <w:rtl/>
        </w:rPr>
        <w:t xml:space="preserve"> אל יבטלנו</w:t>
      </w:r>
      <w:r>
        <w:rPr>
          <w:rFonts w:cs="Arial" w:hint="cs"/>
          <w:rtl/>
        </w:rPr>
        <w:t>,</w:t>
      </w:r>
      <w:r w:rsidRPr="007363D9">
        <w:rPr>
          <w:rFonts w:cs="Arial"/>
          <w:rtl/>
        </w:rPr>
        <w:t xml:space="preserve"> וכמש"כ בסוף סימן רנ"א</w:t>
      </w:r>
      <w:r>
        <w:rPr>
          <w:rFonts w:cs="Arial" w:hint="cs"/>
          <w:rtl/>
        </w:rPr>
        <w:t>.</w:t>
      </w:r>
      <w:r w:rsidRPr="007363D9">
        <w:rPr>
          <w:rFonts w:cs="Arial"/>
          <w:rtl/>
        </w:rPr>
        <w:t xml:space="preserve"> ואם דרך המקום ההוא למכור בבקר ולא ימצא לקנות אחר למודו</w:t>
      </w:r>
      <w:r>
        <w:rPr>
          <w:rFonts w:cs="Arial" w:hint="cs"/>
          <w:rtl/>
        </w:rPr>
        <w:t xml:space="preserve"> -</w:t>
      </w:r>
      <w:r w:rsidRPr="007363D9">
        <w:rPr>
          <w:rFonts w:cs="Arial"/>
          <w:rtl/>
        </w:rPr>
        <w:t xml:space="preserve"> לא יקבע למודו אלא אחר הקניה</w:t>
      </w:r>
      <w:r>
        <w:rPr>
          <w:rFonts w:cs="Arial" w:hint="cs"/>
          <w:rtl/>
        </w:rPr>
        <w:t>.</w:t>
      </w:r>
      <w:r w:rsidRPr="007363D9">
        <w:rPr>
          <w:rFonts w:cs="Arial"/>
          <w:rtl/>
        </w:rPr>
        <w:t xml:space="preserve"> ואם רגילין למכור בבוקר השכם קודם התפלה ולא ימצא לקנות אחר התפלה</w:t>
      </w:r>
      <w:r>
        <w:rPr>
          <w:rFonts w:cs="Arial" w:hint="cs"/>
          <w:rtl/>
        </w:rPr>
        <w:t xml:space="preserve"> -</w:t>
      </w:r>
      <w:r w:rsidRPr="007363D9">
        <w:rPr>
          <w:rFonts w:cs="Arial"/>
          <w:rtl/>
        </w:rPr>
        <w:t xml:space="preserve"> יקנה ואח"כ יתפלל</w:t>
      </w:r>
      <w:r>
        <w:rPr>
          <w:rFonts w:cs="Arial" w:hint="cs"/>
          <w:rtl/>
        </w:rPr>
        <w:t>,</w:t>
      </w:r>
      <w:r w:rsidRPr="007363D9">
        <w:rPr>
          <w:rFonts w:cs="Arial"/>
          <w:rtl/>
        </w:rPr>
        <w:t xml:space="preserve"> אך יראה לקרות ק"ש מקודם</w:t>
      </w:r>
      <w:r>
        <w:rPr>
          <w:rFonts w:cs="Arial" w:hint="cs"/>
          <w:rtl/>
        </w:rPr>
        <w:t>,</w:t>
      </w:r>
      <w:r w:rsidRPr="007363D9">
        <w:rPr>
          <w:rFonts w:cs="Arial"/>
          <w:rtl/>
        </w:rPr>
        <w:t xml:space="preserve"> כיון שכבר הגיע זמנה</w:t>
      </w:r>
      <w:r>
        <w:rPr>
          <w:rFonts w:cs="Arial" w:hint="cs"/>
          <w:rtl/>
        </w:rPr>
        <w:t>.</w:t>
      </w:r>
      <w:r w:rsidRPr="007363D9">
        <w:rPr>
          <w:rFonts w:cs="Arial"/>
          <w:rtl/>
        </w:rPr>
        <w:t xml:space="preserve"> ואין זה בכלל מה שאמרו אסור לעשות חפציו קודם שיתפלל</w:t>
      </w:r>
      <w:r>
        <w:rPr>
          <w:rFonts w:cs="Arial" w:hint="cs"/>
          <w:rtl/>
        </w:rPr>
        <w:t>,</w:t>
      </w:r>
      <w:r w:rsidRPr="007363D9">
        <w:rPr>
          <w:rFonts w:cs="Arial"/>
          <w:rtl/>
        </w:rPr>
        <w:t xml:space="preserve"> שזו חפצי שמים היא</w:t>
      </w:r>
      <w:r>
        <w:rPr>
          <w:rFonts w:cs="Arial" w:hint="cs"/>
          <w:rtl/>
        </w:rPr>
        <w:t>, משנ"ב (סק"א).</w:t>
      </w:r>
    </w:p>
  </w:footnote>
  <w:footnote w:id="296">
    <w:p w14:paraId="41E96DAC" w14:textId="77777777" w:rsidR="004B2E7C" w:rsidRDefault="004B2E7C" w:rsidP="00285819">
      <w:pPr>
        <w:pStyle w:val="a7"/>
      </w:pPr>
      <w:r>
        <w:rPr>
          <w:rStyle w:val="a9"/>
        </w:rPr>
        <w:footnoteRef/>
      </w:r>
      <w:r>
        <w:rPr>
          <w:rtl/>
        </w:rPr>
        <w:t xml:space="preserve"> </w:t>
      </w:r>
      <w:r w:rsidRPr="007363D9">
        <w:rPr>
          <w:rFonts w:cs="Arial"/>
          <w:rtl/>
        </w:rPr>
        <w:t>והוא יותר טוב משיקנה ביום ה' שהוא מינכר יותר שהוא לכבוד שבת אם לא בדבר שצריך הכנה רבה כמו בשר למלוח וכדומה יש לקנות ביום ה' אך אם הבשר שמוצא ביום ה' הוא כחוש ויש ספק שימצא ביום וי"ו שומן וטוב ימתין על יום ו' [אחרונים] ומסתברא דבימים הקצרים כל מה שיכול להקדים ההכנה ביום ה' עדיף. וטוב שיאמר על כל דבר שקונה זהו לכבוד שבת כי הדבור הוא פועל הרבה בקדושה. ואף על פי שהכין בהשכמה מצוה היא לכתחלה שיוסיף גם בין השמשות ורמז לדבר שנאמר והיה משנה [כלומר שיכינו שנית]..</w:t>
      </w:r>
      <w:r>
        <w:rPr>
          <w:rFonts w:cs="Arial" w:hint="cs"/>
          <w:rtl/>
        </w:rPr>
        <w:t>.</w:t>
      </w:r>
      <w:r w:rsidRPr="007363D9">
        <w:rPr>
          <w:rFonts w:cs="Arial"/>
          <w:rtl/>
        </w:rPr>
        <w:t xml:space="preserve"> מצוה לטעום מכל תבשיל בע"ש כדי לתקנן יפה כהוגן ועיין בספר שלחן שלמה דהטעימה בשבת מכל מין בודאי היא מצוה ורמז לזה טועמיה חיים זכו</w:t>
      </w:r>
      <w:r>
        <w:rPr>
          <w:rFonts w:cs="Arial" w:hint="cs"/>
          <w:rtl/>
        </w:rPr>
        <w:t>, משנ"ב (סק"ב).</w:t>
      </w:r>
    </w:p>
  </w:footnote>
  <w:footnote w:id="297">
    <w:p w14:paraId="3321264B" w14:textId="77777777" w:rsidR="004B2E7C" w:rsidRDefault="004B2E7C" w:rsidP="00285819">
      <w:pPr>
        <w:pStyle w:val="a7"/>
        <w:rPr>
          <w:rtl/>
        </w:rPr>
      </w:pPr>
      <w:r>
        <w:rPr>
          <w:rStyle w:val="a9"/>
        </w:rPr>
        <w:footnoteRef/>
      </w:r>
      <w:r>
        <w:rPr>
          <w:rtl/>
        </w:rPr>
        <w:t xml:space="preserve"> </w:t>
      </w:r>
      <w:r w:rsidRPr="00F24CBE">
        <w:rPr>
          <w:rFonts w:cs="Arial"/>
          <w:rtl/>
        </w:rPr>
        <w:t>דמצות כבוד שבת מוטל על כל אדם וכדכתיב וקראת לשבת עונג לקדוש ה' מכובד ומצוה בו יותר מבשלוחו וה"ה בכל המצות מצוה בו יותר מבשלוחו ועיין בבה"ל. כתבו הספרים יהרהר בתשובה ויפשפש במעשיו בכל ע"ש כי שבת מקרי כלה מלכתא וכאלו מקבל פני המלך ית"ש ואין נאה לקבלו כשהוא לבוש בבלויי הסחבות של חלאת העונות ויש לפנות קורי עכביש שקורין שפי"ן וועב"ש מהבית בע"ש [א"ר] וכ"ש שצריך לכבד הבית מהאבק והעפר מבעוד יום וזהו הכל בכלל כבוד שבת וידמה בדעתו כאלו יבוא אליו להתאכסן מלך ב"ו כמה מכבד הבית ומציע המטות וכ"ש שבת מלכתא [ח"א]</w:t>
      </w:r>
      <w:r>
        <w:rPr>
          <w:rFonts w:hint="cs"/>
          <w:rtl/>
        </w:rPr>
        <w:t>, משנ"ב (סק"ג).</w:t>
      </w:r>
    </w:p>
  </w:footnote>
  <w:footnote w:id="298">
    <w:p w14:paraId="19C6D7AD" w14:textId="77777777" w:rsidR="004B2E7C" w:rsidRDefault="004B2E7C" w:rsidP="00285819">
      <w:pPr>
        <w:pStyle w:val="a7"/>
        <w:rPr>
          <w:rtl/>
        </w:rPr>
      </w:pPr>
      <w:r>
        <w:rPr>
          <w:rStyle w:val="a9"/>
        </w:rPr>
        <w:footnoteRef/>
      </w:r>
      <w:r>
        <w:rPr>
          <w:rtl/>
        </w:rPr>
        <w:t xml:space="preserve"> </w:t>
      </w:r>
      <w:r>
        <w:rPr>
          <w:rFonts w:cs="Arial"/>
          <w:rtl/>
        </w:rPr>
        <w:t>ונראה לי שטעמו מדמקשינן בגמרא מאי איריא ערבי פסחים אפילו ערבי שבתות וערבי ימים טובים נמי</w:t>
      </w:r>
      <w:r>
        <w:rPr>
          <w:rFonts w:cs="Arial" w:hint="cs"/>
          <w:rtl/>
        </w:rPr>
        <w:t>.</w:t>
      </w:r>
      <w:r>
        <w:rPr>
          <w:rFonts w:cs="Arial"/>
          <w:rtl/>
        </w:rPr>
        <w:t xml:space="preserve"> ומשני התם מן המנחה ולמעלה אסור</w:t>
      </w:r>
      <w:r>
        <w:rPr>
          <w:rFonts w:cs="Arial" w:hint="cs"/>
          <w:rtl/>
        </w:rPr>
        <w:t>,</w:t>
      </w:r>
      <w:r>
        <w:rPr>
          <w:rFonts w:cs="Arial"/>
          <w:rtl/>
        </w:rPr>
        <w:t xml:space="preserve"> סמוך למנחה שרי</w:t>
      </w:r>
      <w:r>
        <w:rPr>
          <w:rFonts w:cs="Arial" w:hint="cs"/>
          <w:rtl/>
        </w:rPr>
        <w:t>,</w:t>
      </w:r>
      <w:r>
        <w:rPr>
          <w:rFonts w:cs="Arial"/>
          <w:rtl/>
        </w:rPr>
        <w:t xml:space="preserve"> הכא מחצות</w:t>
      </w:r>
      <w:r>
        <w:rPr>
          <w:rFonts w:cs="Arial" w:hint="cs"/>
          <w:rtl/>
        </w:rPr>
        <w:t>.</w:t>
      </w:r>
      <w:r>
        <w:rPr>
          <w:rFonts w:cs="Arial"/>
          <w:rtl/>
        </w:rPr>
        <w:t xml:space="preserve"> משמע שאין הפרש בין ערבי פסחים לערבי שבתות אלא שיעור סמוך למנחה</w:t>
      </w:r>
      <w:r>
        <w:rPr>
          <w:rFonts w:cs="Arial" w:hint="cs"/>
          <w:rtl/>
        </w:rPr>
        <w:t>,</w:t>
      </w:r>
      <w:r>
        <w:rPr>
          <w:rFonts w:cs="Arial"/>
          <w:rtl/>
        </w:rPr>
        <w:t xml:space="preserve"> דהיינו חצי שעה כמו סמוך למנחה דפרק ערבי פסחים (פסחים צט:)</w:t>
      </w:r>
      <w:r>
        <w:rPr>
          <w:rFonts w:cs="Arial" w:hint="cs"/>
          <w:rtl/>
        </w:rPr>
        <w:t>, ב"י.</w:t>
      </w:r>
    </w:p>
  </w:footnote>
  <w:footnote w:id="299">
    <w:p w14:paraId="7C4CC5CF" w14:textId="77777777" w:rsidR="004B2E7C" w:rsidRDefault="004B2E7C" w:rsidP="00285819">
      <w:pPr>
        <w:pStyle w:val="a7"/>
        <w:rPr>
          <w:rtl/>
        </w:rPr>
      </w:pPr>
      <w:r>
        <w:rPr>
          <w:rStyle w:val="a9"/>
        </w:rPr>
        <w:footnoteRef/>
      </w:r>
      <w:r>
        <w:rPr>
          <w:rtl/>
        </w:rPr>
        <w:t xml:space="preserve"> </w:t>
      </w:r>
      <w:r>
        <w:rPr>
          <w:rFonts w:cs="Arial"/>
          <w:rtl/>
        </w:rPr>
        <w:t>ונראה לי שטעמו משום דאי כדברי הר"מ משום חצי שעה חילוק שיש ביניהם לא הוה שביק מלמיתני בהו חצות</w:t>
      </w:r>
      <w:r>
        <w:rPr>
          <w:rFonts w:hint="cs"/>
          <w:rtl/>
        </w:rPr>
        <w:t>, ב"י.</w:t>
      </w:r>
    </w:p>
  </w:footnote>
  <w:footnote w:id="300">
    <w:p w14:paraId="284D9EB8" w14:textId="77777777" w:rsidR="004B2E7C" w:rsidRDefault="004B2E7C" w:rsidP="00285819">
      <w:pPr>
        <w:pStyle w:val="a7"/>
      </w:pPr>
      <w:r>
        <w:rPr>
          <w:rStyle w:val="a9"/>
        </w:rPr>
        <w:footnoteRef/>
      </w:r>
      <w:r>
        <w:rPr>
          <w:rtl/>
        </w:rPr>
        <w:t xml:space="preserve"> </w:t>
      </w:r>
      <w:r w:rsidRPr="00E32885">
        <w:rPr>
          <w:rFonts w:cs="Arial"/>
          <w:rtl/>
        </w:rPr>
        <w:t>ופרקמטיא שרי ומ"מ משמע מהגמרא דזמן סגירת החנויות הוא קודם זמן הדלקת הנרות ועיין בבה"ל ולקמן בסימן רנ"ו במ"ב סק"א</w:t>
      </w:r>
      <w:r>
        <w:rPr>
          <w:rFonts w:cs="Arial" w:hint="cs"/>
          <w:rtl/>
        </w:rPr>
        <w:t>, משנ"ב (סק"א).</w:t>
      </w:r>
    </w:p>
  </w:footnote>
  <w:footnote w:id="301">
    <w:p w14:paraId="44CED0E2" w14:textId="77777777" w:rsidR="004B2E7C" w:rsidRDefault="004B2E7C" w:rsidP="00285819">
      <w:pPr>
        <w:pStyle w:val="a7"/>
      </w:pPr>
      <w:r>
        <w:rPr>
          <w:rStyle w:val="a9"/>
        </w:rPr>
        <w:footnoteRef/>
      </w:r>
      <w:r>
        <w:rPr>
          <w:rtl/>
        </w:rPr>
        <w:t xml:space="preserve"> </w:t>
      </w:r>
      <w:r w:rsidRPr="00E32885">
        <w:rPr>
          <w:rFonts w:cs="Arial"/>
          <w:rtl/>
        </w:rPr>
        <w:t>היינו בשש ומחצה ומנחה קטנה היינו תשע ומחצה והסומך על המקילין לא הפסיד והשעות הם זמניות וכ"ז בעושה מלאכת עצמו אבל פועל הנשכר אצל בעה"ב בסתם איתא בחו"מ סימן של"א דזמנו הוא סמוך לשקיעת החמה ורק כדי שילך לביתו למלאות לו חבית מים ולצלות לו דג קטן ולהדליק לו את הנר אם לא במקום שיש מנהג קבוע לפסוק מקודם ועיין במ"א ובס' תו"ש</w:t>
      </w:r>
      <w:r>
        <w:rPr>
          <w:rFonts w:cs="Arial" w:hint="cs"/>
          <w:rtl/>
        </w:rPr>
        <w:t>, משנ"ב (סק"ב).</w:t>
      </w:r>
    </w:p>
  </w:footnote>
  <w:footnote w:id="302">
    <w:p w14:paraId="4D305859" w14:textId="77777777" w:rsidR="004B2E7C" w:rsidRDefault="004B2E7C" w:rsidP="00285819">
      <w:pPr>
        <w:pStyle w:val="a7"/>
        <w:rPr>
          <w:rtl/>
        </w:rPr>
      </w:pPr>
      <w:r>
        <w:rPr>
          <w:rStyle w:val="a9"/>
        </w:rPr>
        <w:footnoteRef/>
      </w:r>
      <w:r>
        <w:rPr>
          <w:rtl/>
        </w:rPr>
        <w:t xml:space="preserve"> </w:t>
      </w:r>
      <w:r>
        <w:rPr>
          <w:rFonts w:hint="cs"/>
          <w:rtl/>
        </w:rPr>
        <w:t xml:space="preserve">למקורות דברי הרמ"א </w:t>
      </w:r>
      <w:r>
        <w:rPr>
          <w:rtl/>
        </w:rPr>
        <w:t>–</w:t>
      </w:r>
      <w:r>
        <w:rPr>
          <w:rFonts w:hint="cs"/>
          <w:rtl/>
        </w:rPr>
        <w:t xml:space="preserve"> עיין בסעיף הבא.</w:t>
      </w:r>
    </w:p>
  </w:footnote>
  <w:footnote w:id="303">
    <w:p w14:paraId="52BA3DE6" w14:textId="77777777" w:rsidR="004B2E7C" w:rsidRDefault="004B2E7C" w:rsidP="00285819">
      <w:pPr>
        <w:pStyle w:val="a7"/>
        <w:rPr>
          <w:rtl/>
        </w:rPr>
      </w:pPr>
      <w:r>
        <w:rPr>
          <w:rStyle w:val="a9"/>
        </w:rPr>
        <w:footnoteRef/>
      </w:r>
      <w:r>
        <w:rPr>
          <w:rtl/>
        </w:rPr>
        <w:t xml:space="preserve"> </w:t>
      </w:r>
      <w:r w:rsidRPr="00E4353E">
        <w:rPr>
          <w:rFonts w:cs="Arial"/>
          <w:rtl/>
        </w:rPr>
        <w:t>היינו אפילו בשכר</w:t>
      </w:r>
      <w:r>
        <w:rPr>
          <w:rFonts w:hint="cs"/>
          <w:rtl/>
        </w:rPr>
        <w:t>, משנ"ב (סק"ד).</w:t>
      </w:r>
    </w:p>
  </w:footnote>
  <w:footnote w:id="304">
    <w:p w14:paraId="4DE58C27" w14:textId="77777777" w:rsidR="004B2E7C" w:rsidRDefault="004B2E7C" w:rsidP="00285819">
      <w:pPr>
        <w:pStyle w:val="a7"/>
        <w:rPr>
          <w:rtl/>
        </w:rPr>
      </w:pPr>
      <w:r>
        <w:rPr>
          <w:rStyle w:val="a9"/>
        </w:rPr>
        <w:footnoteRef/>
      </w:r>
      <w:r>
        <w:rPr>
          <w:rtl/>
        </w:rPr>
        <w:t xml:space="preserve"> </w:t>
      </w:r>
      <w:r>
        <w:rPr>
          <w:rFonts w:cs="Arial"/>
          <w:rtl/>
        </w:rPr>
        <w:t>כלומר דתרתי בעינן שהיא מלאכה שאינה להשתכר ושתהיה לצורך שבת</w:t>
      </w:r>
      <w:r>
        <w:rPr>
          <w:rFonts w:hint="cs"/>
          <w:rtl/>
        </w:rPr>
        <w:t>, ב"י.</w:t>
      </w:r>
    </w:p>
  </w:footnote>
  <w:footnote w:id="305">
    <w:p w14:paraId="7A3E87B6" w14:textId="77777777" w:rsidR="004B2E7C" w:rsidRDefault="004B2E7C" w:rsidP="00285819">
      <w:pPr>
        <w:pStyle w:val="a7"/>
      </w:pPr>
      <w:r>
        <w:rPr>
          <w:rStyle w:val="a9"/>
        </w:rPr>
        <w:footnoteRef/>
      </w:r>
      <w:r>
        <w:rPr>
          <w:rtl/>
        </w:rPr>
        <w:t xml:space="preserve"> </w:t>
      </w:r>
      <w:r>
        <w:rPr>
          <w:rFonts w:cs="Arial"/>
          <w:rtl/>
        </w:rPr>
        <w:t>כלומר שאף על פי שאינו לצורך שבת שרי מפני שהוא דבר מצוה ומשמע מדבריו דלכתוב לעצמו ללמוד דוקא הוא דשרי אבל אם כותב בשכירות לא</w:t>
      </w:r>
      <w:r>
        <w:rPr>
          <w:rFonts w:cs="Arial" w:hint="cs"/>
          <w:rtl/>
        </w:rPr>
        <w:t>, ב"י.</w:t>
      </w:r>
    </w:p>
  </w:footnote>
  <w:footnote w:id="306">
    <w:p w14:paraId="4BE93F43" w14:textId="77777777" w:rsidR="004B2E7C" w:rsidRDefault="004B2E7C" w:rsidP="00285819">
      <w:pPr>
        <w:pStyle w:val="a7"/>
      </w:pPr>
      <w:r>
        <w:rPr>
          <w:rStyle w:val="a9"/>
        </w:rPr>
        <w:footnoteRef/>
      </w:r>
      <w:r>
        <w:rPr>
          <w:rtl/>
        </w:rPr>
        <w:t xml:space="preserve"> </w:t>
      </w:r>
      <w:r>
        <w:rPr>
          <w:rFonts w:cs="Arial"/>
          <w:rtl/>
        </w:rPr>
        <w:t>והעולם נהגו היתר בדבר וכל מקום שהלכה רופפת בידיך הלך אחר המנהג</w:t>
      </w:r>
      <w:r>
        <w:rPr>
          <w:rFonts w:cs="Arial" w:hint="cs"/>
          <w:rtl/>
        </w:rPr>
        <w:t>, ב"י.</w:t>
      </w:r>
      <w:r w:rsidRPr="00F24CBE">
        <w:rPr>
          <w:rFonts w:cs="Arial"/>
          <w:rtl/>
        </w:rPr>
        <w:t xml:space="preserve"> </w:t>
      </w:r>
    </w:p>
  </w:footnote>
  <w:footnote w:id="307">
    <w:p w14:paraId="4E2CC7C7" w14:textId="77777777" w:rsidR="004B2E7C" w:rsidRDefault="004B2E7C" w:rsidP="00285819">
      <w:pPr>
        <w:pStyle w:val="a7"/>
        <w:rPr>
          <w:rtl/>
        </w:rPr>
      </w:pPr>
      <w:r>
        <w:rPr>
          <w:rStyle w:val="a9"/>
        </w:rPr>
        <w:footnoteRef/>
      </w:r>
      <w:r>
        <w:rPr>
          <w:rtl/>
        </w:rPr>
        <w:t xml:space="preserve"> </w:t>
      </w:r>
      <w:r>
        <w:rPr>
          <w:rFonts w:hint="cs"/>
          <w:rtl/>
        </w:rPr>
        <w:t>לפני איתא 'אלא מן המנחה', כך שמשמעותו הפוכה. ומ"מ הלך אחר הכוונה, שצריך שלא ימשך אחר הלימוד שלא יפסדו ההכנות.</w:t>
      </w:r>
    </w:p>
  </w:footnote>
  <w:footnote w:id="308">
    <w:p w14:paraId="26F9005A" w14:textId="77777777" w:rsidR="004B2E7C" w:rsidRDefault="004B2E7C" w:rsidP="00285819">
      <w:pPr>
        <w:pStyle w:val="a7"/>
        <w:rPr>
          <w:rtl/>
        </w:rPr>
      </w:pPr>
      <w:r>
        <w:rPr>
          <w:rStyle w:val="a9"/>
        </w:rPr>
        <w:footnoteRef/>
      </w:r>
      <w:r>
        <w:rPr>
          <w:rtl/>
        </w:rPr>
        <w:t xml:space="preserve"> </w:t>
      </w:r>
      <w:r w:rsidRPr="00F24CBE">
        <w:rPr>
          <w:rFonts w:cs="Arial"/>
          <w:rtl/>
        </w:rPr>
        <w:t>ובאיסור אירוסין אין נוהגין כדבריו אלא מנהג פשוט לארוס בערב שבת</w:t>
      </w:r>
      <w:r>
        <w:rPr>
          <w:rFonts w:hint="cs"/>
          <w:rtl/>
        </w:rPr>
        <w:t>, דרכ"מ (אות א).</w:t>
      </w:r>
    </w:p>
  </w:footnote>
  <w:footnote w:id="309">
    <w:p w14:paraId="398F351E" w14:textId="77777777" w:rsidR="004B2E7C" w:rsidRDefault="004B2E7C" w:rsidP="00285819">
      <w:pPr>
        <w:pStyle w:val="a7"/>
      </w:pPr>
      <w:r>
        <w:rPr>
          <w:rStyle w:val="a9"/>
        </w:rPr>
        <w:footnoteRef/>
      </w:r>
      <w:r>
        <w:rPr>
          <w:rtl/>
        </w:rPr>
        <w:t xml:space="preserve"> </w:t>
      </w:r>
      <w:r w:rsidRPr="00E4353E">
        <w:rPr>
          <w:rFonts w:cs="Arial"/>
          <w:rtl/>
        </w:rPr>
        <w:t>ואם הוא עני שאין לו מה יאכל שרי כדלקמן ס"ס תקמ"ב לענין חוה"מ וה"ה כל המלאכות המותרות בע"פ ובחוה"מ מותרות בע"ש [אחרונים] ואפילו יש לו לחם רק הוא צריך לצרכי שבת לענגו בבשר ודגים ומשקין טובים ג"כ יש לומר דשרי אבל בלא"ה יש ליזהר בזה מאד כי משמע מכמה פוסקים דמלבד דאין רואה סימן ברכה יש חשש איסור בזה [פמ"ג]</w:t>
      </w:r>
      <w:r>
        <w:rPr>
          <w:rFonts w:cs="Arial" w:hint="cs"/>
          <w:rtl/>
        </w:rPr>
        <w:t>, משנ"ב (סק"ה).</w:t>
      </w:r>
    </w:p>
  </w:footnote>
  <w:footnote w:id="310">
    <w:p w14:paraId="45F5911F" w14:textId="77777777" w:rsidR="004B2E7C" w:rsidRDefault="004B2E7C" w:rsidP="00285819">
      <w:pPr>
        <w:pStyle w:val="a7"/>
      </w:pPr>
      <w:r>
        <w:rPr>
          <w:rStyle w:val="a9"/>
        </w:rPr>
        <w:footnoteRef/>
      </w:r>
      <w:r>
        <w:rPr>
          <w:rtl/>
        </w:rPr>
        <w:t xml:space="preserve"> </w:t>
      </w:r>
      <w:r w:rsidRPr="00E4353E">
        <w:rPr>
          <w:rFonts w:cs="Arial"/>
          <w:rtl/>
        </w:rPr>
        <w:t>לכן יזהר ג"כ הכותב סת"ם שלא יכתוב בשכר אם לא שהוא צריך עתה למזוזה או ס"ת או תפלין או שהוא דחוק לצרכי שבת וכנ"ל</w:t>
      </w:r>
      <w:r>
        <w:rPr>
          <w:rFonts w:cs="Arial" w:hint="cs"/>
          <w:rtl/>
        </w:rPr>
        <w:t>, משנ"ב (סק"ו).</w:t>
      </w:r>
    </w:p>
  </w:footnote>
  <w:footnote w:id="311">
    <w:p w14:paraId="78CD2834" w14:textId="77777777" w:rsidR="004B2E7C" w:rsidRDefault="004B2E7C" w:rsidP="00285819">
      <w:pPr>
        <w:pStyle w:val="a7"/>
      </w:pPr>
      <w:r>
        <w:rPr>
          <w:rStyle w:val="a9"/>
        </w:rPr>
        <w:footnoteRef/>
      </w:r>
      <w:r>
        <w:rPr>
          <w:rtl/>
        </w:rPr>
        <w:t xml:space="preserve"> </w:t>
      </w:r>
      <w:r w:rsidRPr="00E4353E">
        <w:rPr>
          <w:rFonts w:cs="Arial"/>
          <w:rtl/>
        </w:rPr>
        <w:t>היינו אפילו אם הספר נוטל שכר והטעם דנראה לכל שעושה המסתפר לצורך שבת ולכן שרי ולא דמי לתיקון בגדים שאסור בנטילת שכר דהתם אין ניכר בפעולה שהוא לצורך שבת משא"כ בזה וע"כ יש ליזהר מלגלח ל</w:t>
      </w:r>
      <w:r>
        <w:rPr>
          <w:rFonts w:cs="Arial"/>
          <w:rtl/>
        </w:rPr>
        <w:t>גוי</w:t>
      </w:r>
      <w:r w:rsidRPr="00E4353E">
        <w:rPr>
          <w:rFonts w:cs="Arial"/>
          <w:rtl/>
        </w:rPr>
        <w:t>. כתב המ"א שהאר"י ז"ל היה נזהר שלא לגלח אחר מנחה אפילו בע"ש וביארו כונתו דמ"ש אחר מנחה היינו אחר שהגיע זמן מנחה אבל לא מיירי שהתפלל מנחה והיינו דקאמר אפילו בע"ש דר"ל לא מיבעיא בחול קודם שהתפלל מנחה אלא אפילו לצורך שבת שהוא מצוה ג"כ לא היה מגלח אחר שהגיע זמן מנחה ולא התפלל והעולם שאינם נזהרים בזה אפילו אחר שהגיע זמן מנחה קטנה י"ל דכיון שקוראין לבהכ"נ לא חיישינן שיעבור עי"ז זמן התפלה</w:t>
      </w:r>
      <w:r>
        <w:rPr>
          <w:rFonts w:cs="Arial" w:hint="cs"/>
          <w:rtl/>
        </w:rPr>
        <w:t>, משנ"ב (סק"ז).</w:t>
      </w:r>
    </w:p>
  </w:footnote>
  <w:footnote w:id="312">
    <w:p w14:paraId="718C39D7" w14:textId="77777777" w:rsidR="004B2E7C" w:rsidRDefault="004B2E7C" w:rsidP="00285819">
      <w:pPr>
        <w:pStyle w:val="a7"/>
      </w:pPr>
      <w:r>
        <w:rPr>
          <w:rStyle w:val="a9"/>
        </w:rPr>
        <w:footnoteRef/>
      </w:r>
      <w:r>
        <w:rPr>
          <w:rtl/>
        </w:rPr>
        <w:t xml:space="preserve"> </w:t>
      </w:r>
      <w:r w:rsidRPr="00E4353E">
        <w:rPr>
          <w:rFonts w:cs="Arial"/>
          <w:rtl/>
        </w:rPr>
        <w:t>לכן אין קובעין ישיבה באיזה מקומות בע"ש</w:t>
      </w:r>
      <w:r>
        <w:rPr>
          <w:rFonts w:cs="Arial" w:hint="cs"/>
          <w:rtl/>
        </w:rPr>
        <w:t>.</w:t>
      </w:r>
      <w:r w:rsidRPr="00E4353E">
        <w:rPr>
          <w:rFonts w:cs="Arial"/>
          <w:rtl/>
        </w:rPr>
        <w:t xml:space="preserve"> ובספר סדר היום כתב דאם רגיל ללמוד דבר שיש לו קצבה או שלומד עם רבים אל יבטלנו</w:t>
      </w:r>
      <w:r>
        <w:rPr>
          <w:rFonts w:cs="Arial" w:hint="cs"/>
          <w:rtl/>
        </w:rPr>
        <w:t>.</w:t>
      </w:r>
      <w:r w:rsidRPr="00E4353E">
        <w:rPr>
          <w:rFonts w:cs="Arial"/>
          <w:rtl/>
        </w:rPr>
        <w:t xml:space="preserve"> ופירש"י על הסדרא מקרי דבר שיש לו קצבה וע"כ לא גזרינן שמא ימשוך עד הלילה</w:t>
      </w:r>
      <w:r>
        <w:rPr>
          <w:rFonts w:cs="Arial" w:hint="cs"/>
          <w:rtl/>
        </w:rPr>
        <w:t>.</w:t>
      </w:r>
      <w:r w:rsidRPr="00E4353E">
        <w:rPr>
          <w:rFonts w:cs="Arial"/>
          <w:rtl/>
        </w:rPr>
        <w:t xml:space="preserve"> ואם לא ימצא אח"כ לקנות אזי לא יקבע הלימוד בבוקר</w:t>
      </w:r>
      <w:r>
        <w:rPr>
          <w:rFonts w:cs="Arial" w:hint="cs"/>
          <w:rtl/>
        </w:rPr>
        <w:t>.</w:t>
      </w:r>
      <w:r w:rsidRPr="00E4353E">
        <w:rPr>
          <w:rFonts w:cs="Arial"/>
          <w:rtl/>
        </w:rPr>
        <w:t xml:space="preserve"> ועיין לעיל בסי' ר"נ שהארכנו בזה בבה"ל</w:t>
      </w:r>
      <w:r>
        <w:rPr>
          <w:rFonts w:cs="Arial" w:hint="cs"/>
          <w:rtl/>
        </w:rPr>
        <w:t>, משנ"ב (סק"ח).</w:t>
      </w:r>
    </w:p>
  </w:footnote>
  <w:footnote w:id="313">
    <w:p w14:paraId="2B93DD20" w14:textId="77777777" w:rsidR="004B2E7C" w:rsidRDefault="004B2E7C" w:rsidP="00285819">
      <w:pPr>
        <w:pStyle w:val="a7"/>
      </w:pPr>
      <w:r>
        <w:rPr>
          <w:rStyle w:val="a9"/>
        </w:rPr>
        <w:footnoteRef/>
      </w:r>
      <w:r>
        <w:rPr>
          <w:rtl/>
        </w:rPr>
        <w:t xml:space="preserve"> </w:t>
      </w:r>
      <w:r w:rsidRPr="00E4353E">
        <w:rPr>
          <w:rFonts w:cs="Arial"/>
          <w:rtl/>
        </w:rPr>
        <w:t>ואם יש לו משרת שיכין בשבילו אין צריך וכ"ש אם הכין ביום ה' בודאי יוכל ללמוד כדרכו. מיהו מ"מ צריך לתקן איזה דבר לכבוד שבת ואפילו יש לו כמה עבדים כמ"ש בסימן ר"נ</w:t>
      </w:r>
      <w:r>
        <w:rPr>
          <w:rFonts w:cs="Arial" w:hint="cs"/>
          <w:rtl/>
        </w:rPr>
        <w:t>, משנ"ב (סק"ט).</w:t>
      </w:r>
    </w:p>
  </w:footnote>
  <w:footnote w:id="314">
    <w:p w14:paraId="6296DD61" w14:textId="77777777" w:rsidR="004B2E7C" w:rsidRDefault="004B2E7C" w:rsidP="00285819">
      <w:pPr>
        <w:pStyle w:val="a7"/>
      </w:pPr>
      <w:r>
        <w:rPr>
          <w:rStyle w:val="a9"/>
        </w:rPr>
        <w:footnoteRef/>
      </w:r>
      <w:r>
        <w:rPr>
          <w:rtl/>
        </w:rPr>
        <w:t xml:space="preserve"> </w:t>
      </w:r>
      <w:r w:rsidRPr="00E0518C">
        <w:rPr>
          <w:rFonts w:cs="Arial"/>
          <w:rtl/>
        </w:rPr>
        <w:t>הנכרי לביתו מבעוד יום, ואף על גב דבדידיה קטרח - מחמירין בית שמאי, דמיחלף בשלוחו</w:t>
      </w:r>
      <w:r>
        <w:rPr>
          <w:rFonts w:cs="Arial" w:hint="cs"/>
          <w:rtl/>
        </w:rPr>
        <w:t>, רש"י.</w:t>
      </w:r>
    </w:p>
  </w:footnote>
  <w:footnote w:id="315">
    <w:p w14:paraId="50B7BA63" w14:textId="77777777" w:rsidR="004B2E7C" w:rsidRDefault="004B2E7C" w:rsidP="00285819">
      <w:pPr>
        <w:pStyle w:val="a7"/>
        <w:rPr>
          <w:rtl/>
        </w:rPr>
      </w:pPr>
      <w:r>
        <w:rPr>
          <w:rStyle w:val="a9"/>
        </w:rPr>
        <w:footnoteRef/>
      </w:r>
      <w:r>
        <w:rPr>
          <w:rtl/>
        </w:rPr>
        <w:t xml:space="preserve"> </w:t>
      </w:r>
      <w:r w:rsidRPr="00E0518C">
        <w:rPr>
          <w:rFonts w:cs="Arial"/>
          <w:rtl/>
        </w:rPr>
        <w:t>של עיר אחרת שהנכרי דר שם, שהרי יכול להניחו שם</w:t>
      </w:r>
      <w:r>
        <w:rPr>
          <w:rFonts w:hint="cs"/>
          <w:rtl/>
        </w:rPr>
        <w:t>, רש"י.</w:t>
      </w:r>
    </w:p>
  </w:footnote>
  <w:footnote w:id="316">
    <w:p w14:paraId="3376543D" w14:textId="77777777" w:rsidR="004B2E7C" w:rsidRDefault="004B2E7C" w:rsidP="00285819">
      <w:pPr>
        <w:pStyle w:val="a7"/>
        <w:rPr>
          <w:rtl/>
        </w:rPr>
      </w:pPr>
      <w:r>
        <w:rPr>
          <w:rStyle w:val="a9"/>
        </w:rPr>
        <w:footnoteRef/>
      </w:r>
      <w:r>
        <w:rPr>
          <w:rtl/>
        </w:rPr>
        <w:t xml:space="preserve"> </w:t>
      </w:r>
      <w:r w:rsidRPr="00E0518C">
        <w:rPr>
          <w:rFonts w:cs="Arial"/>
          <w:rtl/>
        </w:rPr>
        <w:t>של ישראל</w:t>
      </w:r>
      <w:r>
        <w:rPr>
          <w:rFonts w:hint="cs"/>
          <w:rtl/>
        </w:rPr>
        <w:t>, רש"י.</w:t>
      </w:r>
    </w:p>
  </w:footnote>
  <w:footnote w:id="317">
    <w:p w14:paraId="5D8A6DB1" w14:textId="77777777" w:rsidR="004B2E7C" w:rsidRDefault="004B2E7C" w:rsidP="00285819">
      <w:pPr>
        <w:pStyle w:val="a7"/>
        <w:rPr>
          <w:rtl/>
        </w:rPr>
      </w:pPr>
      <w:r>
        <w:rPr>
          <w:rStyle w:val="a9"/>
        </w:rPr>
        <w:footnoteRef/>
      </w:r>
      <w:r>
        <w:rPr>
          <w:rtl/>
        </w:rPr>
        <w:t xml:space="preserve"> </w:t>
      </w:r>
      <w:r w:rsidRPr="00742A81">
        <w:rPr>
          <w:rFonts w:cs="Arial"/>
          <w:rtl/>
        </w:rPr>
        <w:t>לא בא רבי עקיבא לחלוק על בית הלל, אלא לחלוק על תנא בן מחלוקתו שאמר אליבא דבית הלל: לבית הסמוך לחומה, ובא רבי עקיבא לומר: לא אמרו בית הלל כן, אלא כו'</w:t>
      </w:r>
      <w:r>
        <w:rPr>
          <w:rFonts w:hint="cs"/>
          <w:rtl/>
        </w:rPr>
        <w:t>, רש"י.</w:t>
      </w:r>
    </w:p>
  </w:footnote>
  <w:footnote w:id="318">
    <w:p w14:paraId="229F0EB9" w14:textId="77777777" w:rsidR="004B2E7C" w:rsidRDefault="004B2E7C" w:rsidP="00285819">
      <w:pPr>
        <w:pStyle w:val="a7"/>
      </w:pPr>
      <w:r>
        <w:rPr>
          <w:rStyle w:val="a9"/>
        </w:rPr>
        <w:footnoteRef/>
      </w:r>
      <w:r>
        <w:rPr>
          <w:rtl/>
        </w:rPr>
        <w:t xml:space="preserve"> </w:t>
      </w:r>
      <w:r w:rsidRPr="00074C87">
        <w:rPr>
          <w:rFonts w:cs="Arial"/>
          <w:rtl/>
        </w:rPr>
        <w:t>ועיין לקמן (ריש) סימן שכ"ה מדין זה</w:t>
      </w:r>
      <w:r>
        <w:rPr>
          <w:rFonts w:cs="Arial" w:hint="cs"/>
          <w:rtl/>
        </w:rPr>
        <w:t>, דרכ"מ (אות א).</w:t>
      </w:r>
    </w:p>
  </w:footnote>
  <w:footnote w:id="319">
    <w:p w14:paraId="4B048681" w14:textId="77777777" w:rsidR="004B2E7C" w:rsidRDefault="004B2E7C" w:rsidP="00285819">
      <w:pPr>
        <w:pStyle w:val="a7"/>
      </w:pPr>
      <w:r>
        <w:rPr>
          <w:rStyle w:val="a9"/>
        </w:rPr>
        <w:footnoteRef/>
      </w:r>
      <w:r>
        <w:rPr>
          <w:rtl/>
        </w:rPr>
        <w:t xml:space="preserve"> </w:t>
      </w:r>
      <w:r w:rsidRPr="00F42AED">
        <w:rPr>
          <w:rFonts w:cs="Arial"/>
          <w:rtl/>
        </w:rPr>
        <w:t>ובשבת אסור משום מגבל שמערב הדיו והמים יחד וי"א דאסור משום צובע אפ"ה כיון שמתחיל בזמן המותר בע"ש וממילא נגמר הפעולה בשבת שרי וכן בכל הני דקחשיב יש בהן איסור דאו</w:t>
      </w:r>
      <w:r>
        <w:rPr>
          <w:rFonts w:cs="Arial" w:hint="cs"/>
          <w:rtl/>
        </w:rPr>
        <w:t>'</w:t>
      </w:r>
      <w:r w:rsidRPr="00F42AED">
        <w:rPr>
          <w:rFonts w:cs="Arial"/>
          <w:rtl/>
        </w:rPr>
        <w:t xml:space="preserve"> כשעושה אותם בשבת אפ"ה כיון שמתחיל בע"ש שרי</w:t>
      </w:r>
      <w:r>
        <w:rPr>
          <w:rFonts w:cs="Arial" w:hint="cs"/>
          <w:rtl/>
        </w:rPr>
        <w:t>, משנ"ב (סק"א).</w:t>
      </w:r>
    </w:p>
  </w:footnote>
  <w:footnote w:id="320">
    <w:p w14:paraId="07A8DEA7" w14:textId="77777777" w:rsidR="004B2E7C" w:rsidRDefault="004B2E7C" w:rsidP="00285819">
      <w:pPr>
        <w:pStyle w:val="a7"/>
      </w:pPr>
      <w:r>
        <w:rPr>
          <w:rStyle w:val="a9"/>
        </w:rPr>
        <w:footnoteRef/>
      </w:r>
      <w:r>
        <w:rPr>
          <w:rtl/>
        </w:rPr>
        <w:t xml:space="preserve"> </w:t>
      </w:r>
      <w:r w:rsidRPr="00F42AED">
        <w:rPr>
          <w:rFonts w:cs="Arial"/>
          <w:rtl/>
        </w:rPr>
        <w:t>אפילו אין טוח כיסויו בטיט אפ"ה לא חיישינן שמא יגלה הכיסוי ויחתה בגחלים דכיון דהרוח קשה להן לא חיישינן שמא יגלהו</w:t>
      </w:r>
      <w:r>
        <w:rPr>
          <w:rFonts w:cs="Arial" w:hint="cs"/>
          <w:rtl/>
        </w:rPr>
        <w:t>, משנ"ב (סק"ב).</w:t>
      </w:r>
    </w:p>
  </w:footnote>
  <w:footnote w:id="321">
    <w:p w14:paraId="747273B2" w14:textId="77777777" w:rsidR="004B2E7C" w:rsidRDefault="004B2E7C" w:rsidP="00285819">
      <w:pPr>
        <w:pStyle w:val="a7"/>
      </w:pPr>
      <w:r>
        <w:rPr>
          <w:rStyle w:val="a9"/>
        </w:rPr>
        <w:footnoteRef/>
      </w:r>
      <w:r>
        <w:rPr>
          <w:rtl/>
        </w:rPr>
        <w:t xml:space="preserve"> </w:t>
      </w:r>
      <w:r w:rsidRPr="00F42AED">
        <w:rPr>
          <w:rFonts w:cs="Arial"/>
          <w:rtl/>
        </w:rPr>
        <w:t>היינו אפילו יש זמן שיקלוט עין הצבע מבעוד יום אפ"ה אסור שמא יחתה כדי לקלוט היטב</w:t>
      </w:r>
      <w:r>
        <w:rPr>
          <w:rFonts w:cs="Arial" w:hint="cs"/>
          <w:rtl/>
        </w:rPr>
        <w:t>, משנ"ב (סק"ד).</w:t>
      </w:r>
    </w:p>
  </w:footnote>
  <w:footnote w:id="322">
    <w:p w14:paraId="65CD7B5B" w14:textId="77777777" w:rsidR="004B2E7C" w:rsidRDefault="004B2E7C" w:rsidP="00285819">
      <w:pPr>
        <w:pStyle w:val="a7"/>
      </w:pPr>
      <w:r>
        <w:rPr>
          <w:rStyle w:val="a9"/>
        </w:rPr>
        <w:footnoteRef/>
      </w:r>
      <w:r>
        <w:rPr>
          <w:rtl/>
        </w:rPr>
        <w:t xml:space="preserve"> </w:t>
      </w:r>
      <w:r w:rsidRPr="00F42AED">
        <w:rPr>
          <w:rFonts w:cs="Arial"/>
          <w:rtl/>
        </w:rPr>
        <w:t>הנה אף דהמחבר השוה הגסה ביורה להגסה בקדירה אינו שוה לגמרי דבקדירה אם היא מבושלת כל צרכו תו לית ביה איסורא ואלו ביורה אסור בכל גוונא להגיס בה כמבואר לקמן בסימן שי"ח סי"ח וע"כ אסור לתת צמר ליורה רותחת סמוך לחשיכה כשאינה טוחה אף שיש שהות לקלוט הצבע מבע"י שמא יגיס משחשיכה</w:t>
      </w:r>
      <w:r>
        <w:rPr>
          <w:rFonts w:cs="Arial" w:hint="cs"/>
          <w:rtl/>
        </w:rPr>
        <w:t>, משנ"ב (סק"ה).</w:t>
      </w:r>
    </w:p>
  </w:footnote>
  <w:footnote w:id="323">
    <w:p w14:paraId="17025077" w14:textId="77777777" w:rsidR="004B2E7C" w:rsidRDefault="004B2E7C" w:rsidP="00285819">
      <w:pPr>
        <w:pStyle w:val="a7"/>
        <w:rPr>
          <w:rtl/>
        </w:rPr>
      </w:pPr>
      <w:r>
        <w:rPr>
          <w:rStyle w:val="a9"/>
        </w:rPr>
        <w:footnoteRef/>
      </w:r>
      <w:r>
        <w:rPr>
          <w:rtl/>
        </w:rPr>
        <w:t xml:space="preserve"> </w:t>
      </w:r>
      <w:r w:rsidRPr="00F42AED">
        <w:rPr>
          <w:rFonts w:cs="Arial"/>
          <w:rtl/>
        </w:rPr>
        <w:t>ר"ל דאי אין שהות לזה או שה</w:t>
      </w:r>
      <w:r>
        <w:rPr>
          <w:rFonts w:cs="Arial"/>
          <w:rtl/>
        </w:rPr>
        <w:t>גוי</w:t>
      </w:r>
      <w:r w:rsidRPr="00F42AED">
        <w:rPr>
          <w:rFonts w:cs="Arial"/>
          <w:rtl/>
        </w:rPr>
        <w:t xml:space="preserve"> מתנה עמו שיקח ממנו בשבת אף המכירה אסור</w:t>
      </w:r>
      <w:r>
        <w:rPr>
          <w:rFonts w:hint="cs"/>
          <w:rtl/>
        </w:rPr>
        <w:t>, משנ"ב (סק"ח).</w:t>
      </w:r>
    </w:p>
  </w:footnote>
  <w:footnote w:id="324">
    <w:p w14:paraId="4ED5A91D" w14:textId="77777777" w:rsidR="004B2E7C" w:rsidRDefault="004B2E7C" w:rsidP="00285819">
      <w:pPr>
        <w:pStyle w:val="a7"/>
      </w:pPr>
      <w:r>
        <w:rPr>
          <w:rStyle w:val="a9"/>
        </w:rPr>
        <w:footnoteRef/>
      </w:r>
      <w:r>
        <w:rPr>
          <w:rtl/>
        </w:rPr>
        <w:t xml:space="preserve"> </w:t>
      </w:r>
      <w:r w:rsidRPr="00F42AED">
        <w:rPr>
          <w:rFonts w:cs="Arial"/>
          <w:rtl/>
        </w:rPr>
        <w:t>כדי שלא יהיה נראה שהישראל צוהו להוציאו לחוץ ויש עוד טעם לזה שלא יחשדו את הישראל שמכר לו בשבת או משכנם בידו ולטעם זה אסור אפילו בעיר המוקפת חומה או מקום שיש עירוב וכן הסכימו האחרוני' דבעניננו לענין מכירה וכן לענין שכירות איזה חפץ ודאי דיש להחמיר אפילו במוקפת חומה וה</w:t>
      </w:r>
      <w:r>
        <w:rPr>
          <w:rFonts w:cs="Arial" w:hint="cs"/>
          <w:rtl/>
        </w:rPr>
        <w:t>גו</w:t>
      </w:r>
      <w:r w:rsidRPr="00F42AED">
        <w:rPr>
          <w:rFonts w:cs="Arial"/>
          <w:rtl/>
        </w:rPr>
        <w:t>י דר שם שיוציאם מביתו מבעוד יום</w:t>
      </w:r>
      <w:r>
        <w:rPr>
          <w:rFonts w:cs="Arial" w:hint="cs"/>
          <w:rtl/>
        </w:rPr>
        <w:t>, משנ"ב (סק"ט).</w:t>
      </w:r>
    </w:p>
  </w:footnote>
  <w:footnote w:id="325">
    <w:p w14:paraId="75C5AD1A" w14:textId="77777777" w:rsidR="004B2E7C" w:rsidRDefault="004B2E7C" w:rsidP="00285819">
      <w:pPr>
        <w:pStyle w:val="a7"/>
      </w:pPr>
      <w:r>
        <w:rPr>
          <w:rStyle w:val="a9"/>
        </w:rPr>
        <w:footnoteRef/>
      </w:r>
      <w:r>
        <w:rPr>
          <w:rtl/>
        </w:rPr>
        <w:t xml:space="preserve"> </w:t>
      </w:r>
      <w:r w:rsidRPr="009A66D5">
        <w:rPr>
          <w:rFonts w:cs="Arial"/>
          <w:rtl/>
        </w:rPr>
        <w:t xml:space="preserve">סברתם דהוי כאלו כבר מונח בביתו של </w:t>
      </w:r>
      <w:r>
        <w:rPr>
          <w:rFonts w:cs="Arial" w:hint="cs"/>
          <w:rtl/>
        </w:rPr>
        <w:t>גוי, משנ"ב (סק"י).</w:t>
      </w:r>
    </w:p>
  </w:footnote>
  <w:footnote w:id="326">
    <w:p w14:paraId="3B8EAA0B" w14:textId="77777777" w:rsidR="004B2E7C" w:rsidRDefault="004B2E7C" w:rsidP="00285819">
      <w:pPr>
        <w:pStyle w:val="a7"/>
        <w:rPr>
          <w:rtl/>
        </w:rPr>
      </w:pPr>
      <w:r>
        <w:rPr>
          <w:rStyle w:val="a9"/>
        </w:rPr>
        <w:footnoteRef/>
      </w:r>
      <w:r>
        <w:rPr>
          <w:rtl/>
        </w:rPr>
        <w:t xml:space="preserve"> </w:t>
      </w:r>
      <w:r w:rsidRPr="009A66D5">
        <w:rPr>
          <w:rFonts w:cs="Arial"/>
          <w:rtl/>
        </w:rPr>
        <w:t>כדי שלא להרגיל ה</w:t>
      </w:r>
      <w:r>
        <w:rPr>
          <w:rFonts w:cs="Arial" w:hint="cs"/>
          <w:rtl/>
        </w:rPr>
        <w:t>גו</w:t>
      </w:r>
      <w:r w:rsidRPr="009A66D5">
        <w:rPr>
          <w:rFonts w:cs="Arial"/>
          <w:rtl/>
        </w:rPr>
        <w:t>י בכך. ועיין באחרונים שהסכימו דמדינא אין להקל בזה דקי"ל בסימן ת"מ גם גבי חמץ דלא מהני בייחד לו מקום גם דהרואה סבור שישראל צוהו להוציאו ע"כ אין להקל בזה אלא במקום הפסד וצורך גדול ואם ה</w:t>
      </w:r>
      <w:r>
        <w:rPr>
          <w:rFonts w:cs="Arial" w:hint="cs"/>
          <w:rtl/>
        </w:rPr>
        <w:t>גו</w:t>
      </w:r>
      <w:r w:rsidRPr="009A66D5">
        <w:rPr>
          <w:rFonts w:cs="Arial"/>
          <w:rtl/>
        </w:rPr>
        <w:t>י אלם יש להתיר אפילו בלא ייחד לו מקום דבכה"ג לא גזרו חכמים. כתב ע"ת נראה דאם השכיר את החדר ל</w:t>
      </w:r>
      <w:r>
        <w:rPr>
          <w:rFonts w:cs="Arial" w:hint="cs"/>
          <w:rtl/>
        </w:rPr>
        <w:t>גו</w:t>
      </w:r>
      <w:r w:rsidRPr="009A66D5">
        <w:rPr>
          <w:rFonts w:cs="Arial"/>
          <w:rtl/>
        </w:rPr>
        <w:t>י בפרוטה על משך יום השבת אין להחמיר כלל ע"ש אבל המ"א ושארי אחרונים כתבו דאפילו בשכירות החדר אין לסמוך להקל</w:t>
      </w:r>
      <w:r>
        <w:rPr>
          <w:rFonts w:hint="cs"/>
          <w:rtl/>
        </w:rPr>
        <w:t>, משנ"ב (סקי"א).</w:t>
      </w:r>
    </w:p>
  </w:footnote>
  <w:footnote w:id="327">
    <w:p w14:paraId="6B1E3B8A" w14:textId="77777777" w:rsidR="004B2E7C" w:rsidRDefault="004B2E7C" w:rsidP="00285819">
      <w:pPr>
        <w:pStyle w:val="a7"/>
      </w:pPr>
      <w:r>
        <w:rPr>
          <w:rStyle w:val="a9"/>
        </w:rPr>
        <w:footnoteRef/>
      </w:r>
      <w:r>
        <w:rPr>
          <w:rtl/>
        </w:rPr>
        <w:t xml:space="preserve"> </w:t>
      </w:r>
      <w:r w:rsidRPr="00074C87">
        <w:rPr>
          <w:rFonts w:cs="Arial"/>
          <w:rtl/>
        </w:rPr>
        <w:t>וטעמא דבעינן קצץ משום דכשלא קצץ מיחזי כאלו הוא שלוחו של ישראל וכשנותנו לו ערב שבת נראה כנותנו לו על מנת שיעשה לו מלאכה בשבת וכי קצץ גוי כי עביד בדנפשיה קא עביד ליטול שכרו ולא מיחזי כשלוחו של ישראל. ואף על פי שקצץ לא שרי אלא כשהגוי עושה מלאכה מעצמו אבל אסור לומר לו לעשות המלאכה בשבת וכן כתוב בסמ"ג (ל"ת סה יט ע"ג) והתרומה (סי' רכב) וכן כתב הגאון מהר"י אבוהב ז"ל בסימן רמ"ז בשם הרשב"א וכן כתוב בכל בו (סי' לא ל ע"ד)</w:t>
      </w:r>
      <w:r>
        <w:rPr>
          <w:rFonts w:cs="Arial" w:hint="cs"/>
          <w:rtl/>
        </w:rPr>
        <w:t>, ב"י.</w:t>
      </w:r>
      <w:r>
        <w:rPr>
          <w:rFonts w:hint="cs"/>
          <w:rtl/>
        </w:rPr>
        <w:t xml:space="preserve"> </w:t>
      </w:r>
      <w:r w:rsidRPr="008A6AD4">
        <w:rPr>
          <w:rFonts w:hint="cs"/>
          <w:color w:val="E36C0A" w:themeColor="accent6" w:themeShade="BF"/>
          <w:rtl/>
        </w:rPr>
        <w:t>(וכ"פ בשו"ע)</w:t>
      </w:r>
    </w:p>
  </w:footnote>
  <w:footnote w:id="328">
    <w:p w14:paraId="01DF0B48" w14:textId="77777777" w:rsidR="004B2E7C" w:rsidRDefault="004B2E7C" w:rsidP="00285819">
      <w:pPr>
        <w:pStyle w:val="a7"/>
        <w:rPr>
          <w:rtl/>
        </w:rPr>
      </w:pPr>
      <w:r>
        <w:rPr>
          <w:rStyle w:val="a9"/>
        </w:rPr>
        <w:footnoteRef/>
      </w:r>
      <w:r>
        <w:rPr>
          <w:rtl/>
        </w:rPr>
        <w:t xml:space="preserve"> </w:t>
      </w:r>
      <w:r>
        <w:rPr>
          <w:rFonts w:cs="Arial" w:hint="cs"/>
          <w:rtl/>
        </w:rPr>
        <w:t>ו</w:t>
      </w:r>
      <w:r w:rsidRPr="00074C87">
        <w:rPr>
          <w:rFonts w:cs="Arial"/>
          <w:rtl/>
        </w:rPr>
        <w:t>כן כתבו שם התוספות (יט. ד"ה אלא) והרא"ש (סי' לו) גבי הא דתנו רבנן אין משלחין אגרות ביד גוי וכו'</w:t>
      </w:r>
      <w:r>
        <w:rPr>
          <w:rFonts w:cs="Arial" w:hint="cs"/>
          <w:rtl/>
        </w:rPr>
        <w:t xml:space="preserve">... </w:t>
      </w:r>
      <w:r w:rsidRPr="00074C87">
        <w:rPr>
          <w:rFonts w:cs="Arial"/>
          <w:rtl/>
        </w:rPr>
        <w:t>וכתב הרב המגיד שהוא נלמד מדין האגרת</w:t>
      </w:r>
      <w:r>
        <w:rPr>
          <w:rFonts w:cs="Arial" w:hint="cs"/>
          <w:rtl/>
        </w:rPr>
        <w:t>,</w:t>
      </w:r>
      <w:r w:rsidRPr="00074C87">
        <w:rPr>
          <w:rFonts w:cs="Arial"/>
          <w:rtl/>
        </w:rPr>
        <w:t xml:space="preserve"> שנתבאר בסימן רמ"ז</w:t>
      </w:r>
      <w:r>
        <w:rPr>
          <w:rFonts w:cs="Arial" w:hint="cs"/>
          <w:rtl/>
        </w:rPr>
        <w:t>, ב"י.</w:t>
      </w:r>
    </w:p>
  </w:footnote>
  <w:footnote w:id="329">
    <w:p w14:paraId="64C07D3B" w14:textId="77777777" w:rsidR="004B2E7C" w:rsidRDefault="004B2E7C" w:rsidP="00285819">
      <w:pPr>
        <w:pStyle w:val="a7"/>
      </w:pPr>
      <w:r>
        <w:rPr>
          <w:rStyle w:val="a9"/>
        </w:rPr>
        <w:footnoteRef/>
      </w:r>
      <w:r>
        <w:rPr>
          <w:rtl/>
        </w:rPr>
        <w:t xml:space="preserve"> </w:t>
      </w:r>
      <w:r>
        <w:rPr>
          <w:rFonts w:hint="cs"/>
          <w:rtl/>
        </w:rPr>
        <w:t xml:space="preserve">וז"ל- </w:t>
      </w:r>
      <w:r w:rsidRPr="00D617AB">
        <w:rPr>
          <w:rFonts w:cs="Arial"/>
          <w:rtl/>
        </w:rPr>
        <w:t>עורות לעבדן וכלים לכובס בד' ובה' מותר אף על פי שלא קצץ.</w:t>
      </w:r>
    </w:p>
  </w:footnote>
  <w:footnote w:id="330">
    <w:p w14:paraId="4791237E" w14:textId="77777777" w:rsidR="004B2E7C" w:rsidRDefault="004B2E7C" w:rsidP="00285819">
      <w:pPr>
        <w:pStyle w:val="a7"/>
        <w:rPr>
          <w:rtl/>
        </w:rPr>
      </w:pPr>
      <w:r>
        <w:rPr>
          <w:rStyle w:val="a9"/>
        </w:rPr>
        <w:footnoteRef/>
      </w:r>
      <w:r>
        <w:rPr>
          <w:rtl/>
        </w:rPr>
        <w:t xml:space="preserve"> </w:t>
      </w:r>
      <w:r>
        <w:rPr>
          <w:rFonts w:cs="Arial" w:hint="cs"/>
          <w:rtl/>
        </w:rPr>
        <w:t>כ"כ הב"י בשמו (כאן ובסי' רמז ס"א לגבי שילוח אגרות ע"י גוי), מזה שהשמיט</w:t>
      </w:r>
      <w:r w:rsidRPr="00526215">
        <w:rPr>
          <w:rFonts w:cs="Arial"/>
          <w:rtl/>
        </w:rPr>
        <w:t xml:space="preserve"> הרי"ף </w:t>
      </w:r>
      <w:r>
        <w:rPr>
          <w:rFonts w:cs="Arial" w:hint="cs"/>
          <w:rtl/>
        </w:rPr>
        <w:t>את ה</w:t>
      </w:r>
      <w:r w:rsidRPr="00526215">
        <w:rPr>
          <w:rFonts w:cs="Arial"/>
          <w:rtl/>
        </w:rPr>
        <w:t>ברייתא דשריא ברביעי ובחמישי</w:t>
      </w:r>
      <w:r>
        <w:rPr>
          <w:rFonts w:hint="cs"/>
          <w:rtl/>
        </w:rPr>
        <w:t>.</w:t>
      </w:r>
    </w:p>
  </w:footnote>
  <w:footnote w:id="331">
    <w:p w14:paraId="260B6833" w14:textId="77777777" w:rsidR="004B2E7C" w:rsidRDefault="004B2E7C" w:rsidP="00285819">
      <w:pPr>
        <w:pStyle w:val="a7"/>
        <w:rPr>
          <w:rtl/>
        </w:rPr>
      </w:pPr>
      <w:r>
        <w:rPr>
          <w:rStyle w:val="a9"/>
        </w:rPr>
        <w:footnoteRef/>
      </w:r>
      <w:r>
        <w:rPr>
          <w:rtl/>
        </w:rPr>
        <w:t xml:space="preserve"> </w:t>
      </w:r>
      <w:r w:rsidRPr="00FD6CDC">
        <w:rPr>
          <w:rFonts w:cs="Arial"/>
          <w:rtl/>
        </w:rPr>
        <w:t xml:space="preserve">אבל יש לתמוה על הרוקח (שם) שכתב </w:t>
      </w:r>
      <w:r>
        <w:rPr>
          <w:rFonts w:cs="Arial" w:hint="cs"/>
          <w:rtl/>
        </w:rPr>
        <w:t>'</w:t>
      </w:r>
      <w:r w:rsidRPr="00FD6CDC">
        <w:rPr>
          <w:rFonts w:cs="Arial"/>
          <w:rtl/>
        </w:rPr>
        <w:t>אלא אם כן קצץ</w:t>
      </w:r>
      <w:r>
        <w:rPr>
          <w:rFonts w:cs="Arial" w:hint="cs"/>
          <w:rtl/>
        </w:rPr>
        <w:t>',</w:t>
      </w:r>
      <w:r w:rsidRPr="00FD6CDC">
        <w:rPr>
          <w:rFonts w:cs="Arial"/>
          <w:rtl/>
        </w:rPr>
        <w:t xml:space="preserve"> דמשמע דאפילו בעושה בשכר קאמר שצריך למחות בידו</w:t>
      </w:r>
      <w:r w:rsidRPr="00FD6CDC">
        <w:rPr>
          <w:rFonts w:cs="Arial" w:hint="cs"/>
          <w:rtl/>
        </w:rPr>
        <w:t>.</w:t>
      </w:r>
      <w:r w:rsidRPr="00FD6CDC">
        <w:rPr>
          <w:rFonts w:cs="Arial"/>
          <w:rtl/>
        </w:rPr>
        <w:t xml:space="preserve"> ושמא י"ל דהכי קאמר אא"כ היה עושה בשכר וקצץ</w:t>
      </w:r>
      <w:r>
        <w:rPr>
          <w:rFonts w:cs="Arial" w:hint="cs"/>
          <w:sz w:val="16"/>
          <w:szCs w:val="16"/>
          <w:rtl/>
        </w:rPr>
        <w:t xml:space="preserve"> {דהיינו או בשכר או קצץ}</w:t>
      </w:r>
      <w:r>
        <w:rPr>
          <w:rFonts w:cs="Arial" w:hint="cs"/>
          <w:rtl/>
        </w:rPr>
        <w:t>, ב"י</w:t>
      </w:r>
      <w:r w:rsidRPr="00FD6CDC">
        <w:rPr>
          <w:rFonts w:cs="Arial" w:hint="cs"/>
          <w:rtl/>
        </w:rPr>
        <w:t>.</w:t>
      </w:r>
      <w:r>
        <w:rPr>
          <w:rFonts w:hint="cs"/>
          <w:rtl/>
        </w:rPr>
        <w:t xml:space="preserve"> וצל"ע, משום שלפני אין כן לשון הרוקח </w:t>
      </w:r>
      <w:r w:rsidRPr="00270F8D">
        <w:rPr>
          <w:rFonts w:hint="cs"/>
          <w:sz w:val="16"/>
          <w:szCs w:val="16"/>
          <w:rtl/>
        </w:rPr>
        <w:t>(וכן אין כן לשון ההגמ"ר שהעתיק את לשון הרוקח)</w:t>
      </w:r>
      <w:r>
        <w:rPr>
          <w:rFonts w:hint="cs"/>
          <w:rtl/>
        </w:rPr>
        <w:t xml:space="preserve">, וז"ל הרוקח- </w:t>
      </w:r>
      <w:r w:rsidRPr="00FD6CDC">
        <w:rPr>
          <w:rFonts w:cs="Arial"/>
          <w:rtl/>
        </w:rPr>
        <w:t xml:space="preserve">ירושלמי בפ"א דשבת נתן כליו לכובס נכרי ובא ומצאו עובד בהן בשבת אסור אבל בשכר בעבידתיה טריד </w:t>
      </w:r>
      <w:r>
        <w:rPr>
          <w:rFonts w:cs="Arial" w:hint="cs"/>
          <w:rtl/>
        </w:rPr>
        <w:t xml:space="preserve">- </w:t>
      </w:r>
      <w:r w:rsidRPr="00FD6CDC">
        <w:rPr>
          <w:rFonts w:cs="Arial"/>
          <w:rtl/>
        </w:rPr>
        <w:t>אלמא בחנם צריך למחות בידו</w:t>
      </w:r>
      <w:r>
        <w:rPr>
          <w:rFonts w:cs="Arial" w:hint="cs"/>
          <w:rtl/>
        </w:rPr>
        <w:t>.</w:t>
      </w:r>
      <w:r>
        <w:rPr>
          <w:rFonts w:hint="cs"/>
          <w:rtl/>
        </w:rPr>
        <w:t xml:space="preserve"> עכ"ל הרוקח. ואם כן קושיית הב"י ליתא. וצל"ע. </w:t>
      </w:r>
    </w:p>
  </w:footnote>
  <w:footnote w:id="332">
    <w:p w14:paraId="1EA934B0" w14:textId="77777777" w:rsidR="004B2E7C" w:rsidRDefault="004B2E7C" w:rsidP="00285819">
      <w:pPr>
        <w:pStyle w:val="a7"/>
        <w:rPr>
          <w:rtl/>
        </w:rPr>
      </w:pPr>
      <w:r>
        <w:rPr>
          <w:rStyle w:val="a9"/>
        </w:rPr>
        <w:footnoteRef/>
      </w:r>
      <w:r>
        <w:rPr>
          <w:rtl/>
        </w:rPr>
        <w:t xml:space="preserve"> </w:t>
      </w:r>
      <w:r w:rsidRPr="00DA1B75">
        <w:rPr>
          <w:rFonts w:cs="Arial"/>
          <w:rtl/>
        </w:rPr>
        <w:t>ואין נראה כן מדברי הגהות מרדכי שכתבתי בסמוך (לעיל ד"ה וכתוב)</w:t>
      </w:r>
      <w:r>
        <w:rPr>
          <w:rFonts w:cs="Arial" w:hint="cs"/>
          <w:rtl/>
        </w:rPr>
        <w:t xml:space="preserve"> </w:t>
      </w:r>
      <w:r w:rsidRPr="00A22243">
        <w:rPr>
          <w:rFonts w:cs="Arial" w:hint="cs"/>
          <w:color w:val="FF0000"/>
          <w:sz w:val="16"/>
          <w:szCs w:val="16"/>
          <w:rtl/>
        </w:rPr>
        <w:t>{צל"ע, שמדברי ההגמ"ר [שבת תנב] משמע לי כדברי שבה"ל}</w:t>
      </w:r>
      <w:r>
        <w:rPr>
          <w:rFonts w:cs="Arial" w:hint="cs"/>
          <w:rtl/>
        </w:rPr>
        <w:t>.</w:t>
      </w:r>
      <w:r w:rsidRPr="00DA1B75">
        <w:rPr>
          <w:rFonts w:cs="Arial"/>
          <w:rtl/>
        </w:rPr>
        <w:t xml:space="preserve"> והכי מסתברא דאף על פי שהוא בחנם שייך למימר ביה בעיבידתיה עסיק</w:t>
      </w:r>
      <w:r>
        <w:rPr>
          <w:rFonts w:cs="Arial" w:hint="cs"/>
          <w:rtl/>
        </w:rPr>
        <w:t>.</w:t>
      </w:r>
      <w:r w:rsidRPr="00DA1B75">
        <w:rPr>
          <w:rFonts w:cs="Arial"/>
          <w:rtl/>
        </w:rPr>
        <w:t xml:space="preserve"> וכבר כתבתי כיוצא בזה בסימן רמ"ז בשם מהר"י אבוהב ז"ל</w:t>
      </w:r>
      <w:r>
        <w:rPr>
          <w:rFonts w:cs="Arial" w:hint="cs"/>
          <w:rtl/>
        </w:rPr>
        <w:t>, ב"י.</w:t>
      </w:r>
      <w:r w:rsidRPr="00074C87">
        <w:rPr>
          <w:rFonts w:cs="Arial"/>
          <w:rtl/>
        </w:rPr>
        <w:t xml:space="preserve"> ודברים אלו תמוהים דהא כתב לעיל (עמ' כח ד"ה ומה שהתנה) דהסכמת הפוסקים דבעינן דוקא קצץ</w:t>
      </w:r>
      <w:r>
        <w:rPr>
          <w:rFonts w:cs="Arial" w:hint="cs"/>
          <w:rtl/>
        </w:rPr>
        <w:t>,</w:t>
      </w:r>
      <w:r w:rsidRPr="00074C87">
        <w:rPr>
          <w:rFonts w:cs="Arial"/>
          <w:rtl/>
        </w:rPr>
        <w:t xml:space="preserve"> אבל בלא קצץ אסור</w:t>
      </w:r>
      <w:r>
        <w:rPr>
          <w:rFonts w:cs="Arial" w:hint="cs"/>
          <w:rtl/>
        </w:rPr>
        <w:t>.</w:t>
      </w:r>
      <w:r w:rsidRPr="00074C87">
        <w:rPr>
          <w:rFonts w:cs="Arial"/>
          <w:rtl/>
        </w:rPr>
        <w:t xml:space="preserve"> וכמ"ש רבינו בעל הטור ודלא כהגהות מרדכי (סי' תנד)</w:t>
      </w:r>
      <w:r>
        <w:rPr>
          <w:rFonts w:cs="Arial" w:hint="cs"/>
          <w:rtl/>
        </w:rPr>
        <w:t>.</w:t>
      </w:r>
      <w:r w:rsidRPr="00074C87">
        <w:rPr>
          <w:rFonts w:cs="Arial"/>
          <w:rtl/>
        </w:rPr>
        <w:t xml:space="preserve"> ואיך פסק כאן דאף בחנם שרי, ואף דיש ליישב דסבירא ליה לב"י דלא אסר בלא קצץ אלא כשעתיד לשלם לו אלא שלא קצץ עמו</w:t>
      </w:r>
      <w:r>
        <w:rPr>
          <w:rFonts w:cs="Arial" w:hint="cs"/>
          <w:rtl/>
        </w:rPr>
        <w:t>,</w:t>
      </w:r>
      <w:r w:rsidRPr="00074C87">
        <w:rPr>
          <w:rFonts w:cs="Arial"/>
          <w:rtl/>
        </w:rPr>
        <w:t xml:space="preserve"> אבל בחנם לגמרי שרי דאי לאו דעביד ליה נייחא לנפשיה לא עביד ליה בחנם</w:t>
      </w:r>
      <w:r>
        <w:rPr>
          <w:rFonts w:cs="Arial" w:hint="cs"/>
          <w:rtl/>
        </w:rPr>
        <w:t>,</w:t>
      </w:r>
      <w:r w:rsidRPr="00074C87">
        <w:rPr>
          <w:rFonts w:cs="Arial"/>
          <w:rtl/>
        </w:rPr>
        <w:t xml:space="preserve"> וכמו שאכתוב בסמוך לדעתו</w:t>
      </w:r>
      <w:r>
        <w:rPr>
          <w:rFonts w:cs="Arial" w:hint="cs"/>
          <w:rtl/>
        </w:rPr>
        <w:t>.</w:t>
      </w:r>
      <w:r w:rsidRPr="00074C87">
        <w:rPr>
          <w:rFonts w:cs="Arial"/>
          <w:rtl/>
        </w:rPr>
        <w:t xml:space="preserve"> מכל מקום אינו נראה לי</w:t>
      </w:r>
      <w:r>
        <w:rPr>
          <w:rFonts w:cs="Arial" w:hint="cs"/>
          <w:rtl/>
        </w:rPr>
        <w:t>,</w:t>
      </w:r>
      <w:r w:rsidRPr="00074C87">
        <w:rPr>
          <w:rFonts w:cs="Arial"/>
          <w:rtl/>
        </w:rPr>
        <w:t xml:space="preserve"> והוא נגד דעת כל הפוסקים דנקט</w:t>
      </w:r>
      <w:r>
        <w:rPr>
          <w:rFonts w:cs="Arial" w:hint="cs"/>
          <w:rtl/>
        </w:rPr>
        <w:t>,</w:t>
      </w:r>
      <w:r w:rsidRPr="00074C87">
        <w:rPr>
          <w:rFonts w:cs="Arial"/>
          <w:rtl/>
        </w:rPr>
        <w:t xml:space="preserve"> ואף ההג</w:t>
      </w:r>
      <w:r>
        <w:rPr>
          <w:rFonts w:cs="Arial" w:hint="cs"/>
          <w:rtl/>
        </w:rPr>
        <w:t>מ"ר</w:t>
      </w:r>
      <w:r w:rsidRPr="00074C87">
        <w:rPr>
          <w:rFonts w:cs="Arial"/>
          <w:rtl/>
        </w:rPr>
        <w:t xml:space="preserve"> (הנ"ל) לא שרי אלא בסתמא דודאי יתן לו שכר אבל בחנם ודאי אסור דהיינו לא קצץ. ואע</w:t>
      </w:r>
      <w:r>
        <w:rPr>
          <w:rFonts w:cs="Arial" w:hint="cs"/>
          <w:rtl/>
        </w:rPr>
        <w:t>"</w:t>
      </w:r>
      <w:r w:rsidRPr="00074C87">
        <w:rPr>
          <w:rFonts w:cs="Arial"/>
          <w:rtl/>
        </w:rPr>
        <w:t>ג דלעיל סימן רמ"ז כתב (ב"י עמ' יז ד"ה וכתב עוד שאם) בשם מהרי"א דאף בחנם שרי</w:t>
      </w:r>
      <w:r>
        <w:rPr>
          <w:rFonts w:cs="Arial" w:hint="cs"/>
          <w:rtl/>
        </w:rPr>
        <w:t>,</w:t>
      </w:r>
      <w:r w:rsidRPr="00074C87">
        <w:rPr>
          <w:rFonts w:cs="Arial"/>
          <w:rtl/>
        </w:rPr>
        <w:t xml:space="preserve"> נראה לי דהיינו דוקא כשהגוי אומר מעצמו לעשות בחנם</w:t>
      </w:r>
      <w:r>
        <w:rPr>
          <w:rFonts w:cs="Arial" w:hint="cs"/>
          <w:rtl/>
        </w:rPr>
        <w:t>,</w:t>
      </w:r>
      <w:r w:rsidRPr="00074C87">
        <w:rPr>
          <w:rFonts w:cs="Arial"/>
          <w:rtl/>
        </w:rPr>
        <w:t xml:space="preserve"> דאי לאו דעביד ליה הישראל טובה לא הוה עביד ליה והוי כקצץ וכמ"ש שם</w:t>
      </w:r>
      <w:r>
        <w:rPr>
          <w:rFonts w:cs="Arial" w:hint="cs"/>
          <w:rtl/>
        </w:rPr>
        <w:t>.</w:t>
      </w:r>
      <w:r w:rsidRPr="00074C87">
        <w:rPr>
          <w:rFonts w:cs="Arial"/>
          <w:rtl/>
        </w:rPr>
        <w:t xml:space="preserve"> אבל בלאו הכי לא</w:t>
      </w:r>
      <w:r>
        <w:rPr>
          <w:rFonts w:cs="Arial" w:hint="cs"/>
          <w:rtl/>
        </w:rPr>
        <w:t>,</w:t>
      </w:r>
      <w:r w:rsidRPr="00074C87">
        <w:rPr>
          <w:rFonts w:cs="Arial"/>
          <w:rtl/>
        </w:rPr>
        <w:t xml:space="preserve"> דודאי בחנם גרע טפי מאילו לא קצץ לו שכר ומשלם לו אחר כך</w:t>
      </w:r>
      <w:r>
        <w:rPr>
          <w:rFonts w:cs="Arial" w:hint="cs"/>
          <w:rtl/>
        </w:rPr>
        <w:t>,</w:t>
      </w:r>
      <w:r w:rsidRPr="00074C87">
        <w:rPr>
          <w:rFonts w:cs="Arial"/>
          <w:rtl/>
        </w:rPr>
        <w:t xml:space="preserve"> וכמו שנתבאר (עמ' כח ב"י ד"ה וכתוב) מדברי הגהות מרדכי (סי' תנב) דלעיל והירושלמי שכתבתי (ד"מ הארוך אות ב ד"ה אבל) דבחנם אסור וצריך למחות בו אפילו עוסק בביתו</w:t>
      </w:r>
      <w:r>
        <w:rPr>
          <w:rFonts w:cs="Arial" w:hint="cs"/>
          <w:rtl/>
        </w:rPr>
        <w:t>.</w:t>
      </w:r>
      <w:r w:rsidRPr="00074C87">
        <w:rPr>
          <w:rFonts w:cs="Arial"/>
          <w:rtl/>
        </w:rPr>
        <w:t xml:space="preserve"> וכן נראה לי</w:t>
      </w:r>
      <w:r>
        <w:rPr>
          <w:rFonts w:cs="Arial" w:hint="cs"/>
          <w:rtl/>
        </w:rPr>
        <w:t>, דרכ"מ (אות ב).</w:t>
      </w:r>
    </w:p>
  </w:footnote>
  <w:footnote w:id="333">
    <w:p w14:paraId="5C56F457" w14:textId="77777777" w:rsidR="004B2E7C" w:rsidRDefault="004B2E7C" w:rsidP="00285819">
      <w:pPr>
        <w:pStyle w:val="a7"/>
      </w:pPr>
      <w:r>
        <w:rPr>
          <w:rStyle w:val="a9"/>
        </w:rPr>
        <w:footnoteRef/>
      </w:r>
      <w:r>
        <w:rPr>
          <w:rtl/>
        </w:rPr>
        <w:t xml:space="preserve"> </w:t>
      </w:r>
      <w:r w:rsidRPr="009A66D5">
        <w:rPr>
          <w:rFonts w:cs="Arial"/>
          <w:rtl/>
        </w:rPr>
        <w:t>וה"ה לשארי מלאכות והטעם דכיון דקצב לו דמים בעד מלאכתו ואינו מקפיד עליו שיעשנו תיכף תו כי קעביד ביום השבת אדעתיה דנפשיה קעביד למהר להשלים מלאכתו</w:t>
      </w:r>
      <w:r>
        <w:rPr>
          <w:rFonts w:cs="Arial" w:hint="cs"/>
          <w:rtl/>
        </w:rPr>
        <w:t>, משנ"ב (סקי"ב).</w:t>
      </w:r>
    </w:p>
  </w:footnote>
  <w:footnote w:id="334">
    <w:p w14:paraId="0EE8947C" w14:textId="77777777" w:rsidR="004B2E7C" w:rsidRDefault="004B2E7C" w:rsidP="00285819">
      <w:pPr>
        <w:pStyle w:val="a7"/>
      </w:pPr>
      <w:r>
        <w:rPr>
          <w:rStyle w:val="a9"/>
        </w:rPr>
        <w:footnoteRef/>
      </w:r>
      <w:r>
        <w:rPr>
          <w:rtl/>
        </w:rPr>
        <w:t xml:space="preserve"> </w:t>
      </w:r>
      <w:r w:rsidRPr="009A66D5">
        <w:rPr>
          <w:rFonts w:cs="Arial"/>
          <w:rtl/>
        </w:rPr>
        <w:t>ובעינן שיוציאם ג"כ מפתח ביתו מבעוד יום [רמב"ם]</w:t>
      </w:r>
      <w:r>
        <w:rPr>
          <w:rFonts w:cs="Arial" w:hint="cs"/>
          <w:rtl/>
        </w:rPr>
        <w:t>, משנ"ב (סקי"ג).</w:t>
      </w:r>
    </w:p>
  </w:footnote>
  <w:footnote w:id="335">
    <w:p w14:paraId="0B951B96" w14:textId="77777777" w:rsidR="004B2E7C" w:rsidRDefault="004B2E7C" w:rsidP="00285819">
      <w:pPr>
        <w:pStyle w:val="a7"/>
        <w:rPr>
          <w:rtl/>
        </w:rPr>
      </w:pPr>
      <w:r>
        <w:rPr>
          <w:rStyle w:val="a9"/>
        </w:rPr>
        <w:footnoteRef/>
      </w:r>
      <w:r>
        <w:rPr>
          <w:rtl/>
        </w:rPr>
        <w:t xml:space="preserve"> </w:t>
      </w:r>
      <w:r w:rsidRPr="009A66D5">
        <w:rPr>
          <w:rFonts w:cs="Arial"/>
          <w:rtl/>
        </w:rPr>
        <w:t>היינו סך ידוע ולא שכיר יום ועיין סימן רמ"ז ס"ב דאם התנה עמו שיתן לו שכר ויתפשר עמו אף על פי שלא פירש כמה יתן לו דינו כקצץ ובזמן הזה כלים לכובס סתמא דינו כקצץ דקצבתו ידוע ולכן המנהג פשוט ליתנם ע"ש סמוך לחשיכה</w:t>
      </w:r>
      <w:r>
        <w:rPr>
          <w:rFonts w:hint="cs"/>
          <w:rtl/>
        </w:rPr>
        <w:t>, משנ"ב (סקי"ד).</w:t>
      </w:r>
    </w:p>
  </w:footnote>
  <w:footnote w:id="336">
    <w:p w14:paraId="7250085B" w14:textId="77777777" w:rsidR="004B2E7C" w:rsidRDefault="004B2E7C" w:rsidP="00285819">
      <w:pPr>
        <w:pStyle w:val="a7"/>
        <w:rPr>
          <w:rtl/>
        </w:rPr>
      </w:pPr>
      <w:r>
        <w:rPr>
          <w:rStyle w:val="a9"/>
        </w:rPr>
        <w:footnoteRef/>
      </w:r>
      <w:r>
        <w:rPr>
          <w:rtl/>
        </w:rPr>
        <w:t xml:space="preserve"> </w:t>
      </w:r>
      <w:r w:rsidRPr="008F1D48">
        <w:rPr>
          <w:rFonts w:cs="Arial"/>
          <w:rtl/>
        </w:rPr>
        <w:t>וכן אם אמר לכובס ראה שאני צריך להם במו"ש כגון שרוצה ליסע מיד במו"ש ג"ז אסור אפילו בקצץ דכיון שא"א לגמרו אא"כ יעשה בשבת הו"ל כאלו אומר בפירוש שיכבס בשבת והוי כשלוחו [אחרונים]</w:t>
      </w:r>
      <w:r>
        <w:rPr>
          <w:rFonts w:hint="cs"/>
          <w:rtl/>
        </w:rPr>
        <w:t>, משנ"ב (סקט"ז).</w:t>
      </w:r>
    </w:p>
  </w:footnote>
  <w:footnote w:id="337">
    <w:p w14:paraId="035D741D" w14:textId="77777777" w:rsidR="004B2E7C" w:rsidRDefault="004B2E7C" w:rsidP="00285819">
      <w:pPr>
        <w:pStyle w:val="a7"/>
      </w:pPr>
      <w:r>
        <w:rPr>
          <w:rStyle w:val="a9"/>
        </w:rPr>
        <w:footnoteRef/>
      </w:r>
      <w:r>
        <w:rPr>
          <w:rtl/>
        </w:rPr>
        <w:t xml:space="preserve"> </w:t>
      </w:r>
      <w:r w:rsidRPr="008F1D48">
        <w:rPr>
          <w:rFonts w:cs="Arial"/>
          <w:rtl/>
        </w:rPr>
        <w:t>ר"ל שלא בבית ישראל דאז מחזי כאלו הוא עושה בשליחות ישראל</w:t>
      </w:r>
      <w:r>
        <w:rPr>
          <w:rFonts w:cs="Arial" w:hint="cs"/>
          <w:rtl/>
        </w:rPr>
        <w:t>.</w:t>
      </w:r>
      <w:r w:rsidRPr="008F1D48">
        <w:rPr>
          <w:rFonts w:cs="Arial"/>
          <w:rtl/>
        </w:rPr>
        <w:t xml:space="preserve"> וכתב הח"א דבבית ישראל אסור אפילו אם הוא דבר שמנהג כל בני העיר ליתנו בקבלנות ולא אתו למחשדיה בשכיר יום ג"כ אסור מטעם זה דיאמרו שצוהו לעשות בשבת</w:t>
      </w:r>
      <w:r>
        <w:rPr>
          <w:rFonts w:cs="Arial" w:hint="cs"/>
          <w:rtl/>
        </w:rPr>
        <w:t>, משנ"ב (סקי"ז).</w:t>
      </w:r>
    </w:p>
  </w:footnote>
  <w:footnote w:id="338">
    <w:p w14:paraId="333C2320" w14:textId="77777777" w:rsidR="004B2E7C" w:rsidRDefault="004B2E7C" w:rsidP="00285819">
      <w:pPr>
        <w:pStyle w:val="a7"/>
        <w:rPr>
          <w:rtl/>
        </w:rPr>
      </w:pPr>
      <w:r>
        <w:rPr>
          <w:rStyle w:val="a9"/>
        </w:rPr>
        <w:footnoteRef/>
      </w:r>
      <w:r>
        <w:rPr>
          <w:rtl/>
        </w:rPr>
        <w:t xml:space="preserve"> </w:t>
      </w:r>
      <w:r w:rsidRPr="008F1D48">
        <w:rPr>
          <w:rFonts w:cs="Arial"/>
          <w:rtl/>
        </w:rPr>
        <w:t>היינו שלא התנה עם הישראל אודות שכרו וה</w:t>
      </w:r>
      <w:r>
        <w:rPr>
          <w:rFonts w:cs="Arial" w:hint="cs"/>
          <w:rtl/>
        </w:rPr>
        <w:t>גו</w:t>
      </w:r>
      <w:r w:rsidRPr="008F1D48">
        <w:rPr>
          <w:rFonts w:cs="Arial"/>
          <w:rtl/>
        </w:rPr>
        <w:t>י מצפה לתשלום שכר אסור ולא אמרינן אדעתיה דנפשיה קעביד כיון שהישראל לא הבטיחו בהדיא</w:t>
      </w:r>
      <w:r>
        <w:rPr>
          <w:rFonts w:hint="cs"/>
          <w:rtl/>
        </w:rPr>
        <w:t>, משנ"ב (סקי"ח)</w:t>
      </w:r>
    </w:p>
  </w:footnote>
  <w:footnote w:id="339">
    <w:p w14:paraId="251C4B02" w14:textId="77777777" w:rsidR="004B2E7C" w:rsidRDefault="004B2E7C" w:rsidP="00285819">
      <w:pPr>
        <w:pStyle w:val="a7"/>
      </w:pPr>
      <w:r>
        <w:rPr>
          <w:rStyle w:val="a9"/>
        </w:rPr>
        <w:footnoteRef/>
      </w:r>
      <w:r>
        <w:rPr>
          <w:rtl/>
        </w:rPr>
        <w:t xml:space="preserve"> </w:t>
      </w:r>
      <w:r w:rsidRPr="008F1D48">
        <w:rPr>
          <w:rFonts w:cs="Arial"/>
          <w:rtl/>
        </w:rPr>
        <w:t>דכשנותנו לו בע"ש מחזי כאלו נותנו לו ע"מ שיעשה בשבת</w:t>
      </w:r>
      <w:r>
        <w:rPr>
          <w:rFonts w:cs="Arial" w:hint="cs"/>
          <w:rtl/>
        </w:rPr>
        <w:t>.</w:t>
      </w:r>
      <w:r w:rsidRPr="008F1D48">
        <w:rPr>
          <w:rFonts w:cs="Arial"/>
          <w:rtl/>
        </w:rPr>
        <w:t xml:space="preserve"> וכשקצץ דאדעתיה דנפשיה קעביד לא מחזי כאלו אומר לו כן</w:t>
      </w:r>
      <w:r>
        <w:rPr>
          <w:rFonts w:cs="Arial" w:hint="cs"/>
          <w:rtl/>
        </w:rPr>
        <w:t>.</w:t>
      </w:r>
      <w:r w:rsidRPr="008F1D48">
        <w:rPr>
          <w:rFonts w:cs="Arial"/>
          <w:rtl/>
        </w:rPr>
        <w:t xml:space="preserve"> וכתבו הפוסקים דכשיש שהות לגמרה מבע"י מותר אפילו בע"ש ואפילו לא קצץ לכו"ע</w:t>
      </w:r>
      <w:r>
        <w:rPr>
          <w:rFonts w:cs="Arial" w:hint="cs"/>
          <w:rtl/>
        </w:rPr>
        <w:t>.</w:t>
      </w:r>
      <w:r w:rsidRPr="008F1D48">
        <w:rPr>
          <w:rFonts w:cs="Arial"/>
          <w:rtl/>
        </w:rPr>
        <w:t xml:space="preserve"> ומה שדייק הרמ"א </w:t>
      </w:r>
      <w:r>
        <w:rPr>
          <w:rFonts w:cs="Arial" w:hint="cs"/>
          <w:rtl/>
        </w:rPr>
        <w:t>'</w:t>
      </w:r>
      <w:r w:rsidRPr="008F1D48">
        <w:rPr>
          <w:rFonts w:cs="Arial"/>
          <w:rtl/>
        </w:rPr>
        <w:t>בע</w:t>
      </w:r>
      <w:r>
        <w:rPr>
          <w:rFonts w:cs="Arial" w:hint="cs"/>
          <w:rtl/>
        </w:rPr>
        <w:t xml:space="preserve">רב </w:t>
      </w:r>
      <w:r w:rsidRPr="008F1D48">
        <w:rPr>
          <w:rFonts w:cs="Arial"/>
          <w:rtl/>
        </w:rPr>
        <w:t>ש</w:t>
      </w:r>
      <w:r>
        <w:rPr>
          <w:rFonts w:cs="Arial" w:hint="cs"/>
          <w:rtl/>
        </w:rPr>
        <w:t>בת',</w:t>
      </w:r>
      <w:r w:rsidRPr="008F1D48">
        <w:rPr>
          <w:rFonts w:cs="Arial"/>
          <w:rtl/>
        </w:rPr>
        <w:t xml:space="preserve"> דבד' וה' שהוא מופלג מן השבת מותר ליתן לו אפילו שאין יכול לגמרה קודם השבת כיון שלא אמר לו שיעשה בשבת</w:t>
      </w:r>
      <w:r>
        <w:rPr>
          <w:rFonts w:cs="Arial" w:hint="cs"/>
          <w:rtl/>
        </w:rPr>
        <w:t>, משנ"ב (סקי"ט).</w:t>
      </w:r>
    </w:p>
  </w:footnote>
  <w:footnote w:id="340">
    <w:p w14:paraId="49765109" w14:textId="77777777" w:rsidR="004B2E7C" w:rsidRDefault="004B2E7C" w:rsidP="00285819">
      <w:pPr>
        <w:pStyle w:val="a7"/>
        <w:rPr>
          <w:rtl/>
        </w:rPr>
      </w:pPr>
      <w:r>
        <w:rPr>
          <w:rStyle w:val="a9"/>
        </w:rPr>
        <w:footnoteRef/>
      </w:r>
      <w:r>
        <w:rPr>
          <w:rtl/>
        </w:rPr>
        <w:t xml:space="preserve"> </w:t>
      </w:r>
      <w:r>
        <w:rPr>
          <w:rFonts w:hint="cs"/>
          <w:rtl/>
        </w:rPr>
        <w:t>סע' ד, דשם כתב השו"ע בשם מהר"י אבוהב שכל שהגוי עושה בחינם, הוי כאילו קצץ, משום שהגוי לטובתו עושה. והרמ"א שם כתב שטוב להחמיר אא"כ הגוי בא מעצמו ואמר שרוצה לעשות בחנים, שאז מוכח שעושה בטובת הנאה והוי קציצה.</w:t>
      </w:r>
    </w:p>
  </w:footnote>
  <w:footnote w:id="341">
    <w:p w14:paraId="5B0FA0C8" w14:textId="77777777" w:rsidR="004B2E7C" w:rsidRDefault="004B2E7C" w:rsidP="00285819">
      <w:pPr>
        <w:pStyle w:val="a7"/>
      </w:pPr>
      <w:r>
        <w:rPr>
          <w:rStyle w:val="a9"/>
        </w:rPr>
        <w:footnoteRef/>
      </w:r>
      <w:r>
        <w:rPr>
          <w:rtl/>
        </w:rPr>
        <w:t xml:space="preserve"> </w:t>
      </w:r>
      <w:r w:rsidRPr="006F1AE0">
        <w:rPr>
          <w:rFonts w:cs="Arial"/>
          <w:rtl/>
        </w:rPr>
        <w:t>ו</w:t>
      </w:r>
      <w:r>
        <w:rPr>
          <w:rFonts w:cs="Arial" w:hint="cs"/>
          <w:rtl/>
        </w:rPr>
        <w:t xml:space="preserve">כן </w:t>
      </w:r>
      <w:r w:rsidRPr="006F1AE0">
        <w:rPr>
          <w:rFonts w:cs="Arial"/>
          <w:rtl/>
        </w:rPr>
        <w:t>אם עושה בשכר אפי' לא קצץ א"צ למחות (ב"י וב"ח) וצ"ע דהא בשכר ולא קצץ גרע מבחנם דהא אסור ליתנם לו ולכן נ"ל דצדקו דברי הרוקח דדוקא בקצץ א"צ למחות וגם הירושלמי מיירי בקצץ דהא בלא קצץ אסור ליתן לו כלל ומכ"ש שצריך למחות בידו עמ"ש סי' רע"ו סס"ד וסי' של"ד סכ"ה</w:t>
      </w:r>
      <w:r>
        <w:rPr>
          <w:rFonts w:cs="Arial" w:hint="cs"/>
          <w:rtl/>
        </w:rPr>
        <w:t>, מג"א (סק"ט).</w:t>
      </w:r>
    </w:p>
  </w:footnote>
  <w:footnote w:id="342">
    <w:p w14:paraId="019802AF" w14:textId="77777777" w:rsidR="004B2E7C" w:rsidRDefault="004B2E7C" w:rsidP="00285819">
      <w:pPr>
        <w:pStyle w:val="a7"/>
      </w:pPr>
      <w:r>
        <w:rPr>
          <w:rStyle w:val="a9"/>
        </w:rPr>
        <w:footnoteRef/>
      </w:r>
      <w:r>
        <w:rPr>
          <w:rtl/>
        </w:rPr>
        <w:t xml:space="preserve"> </w:t>
      </w:r>
      <w:r w:rsidRPr="006F1AE0">
        <w:rPr>
          <w:rFonts w:cs="Arial"/>
          <w:rtl/>
        </w:rPr>
        <w:t>ר"ל דבזו הנתינה לא"י היה לכו"ע מותר וכנ"ל אפ"ה צריך למחות כשרואהו. ודע דאם היה הא"י שכיר יום אצלו בימי החול והוא רוצה עתה ג"כ לעשות מלאכתו בביתו בצינעה צריך לילך ולמחות בידו כיון שנודע לו אף על פי שאין עושה לפניו</w:t>
      </w:r>
      <w:r>
        <w:rPr>
          <w:rFonts w:cs="Arial" w:hint="cs"/>
          <w:rtl/>
        </w:rPr>
        <w:t>, משנ"ב (סקכ"ג).</w:t>
      </w:r>
    </w:p>
  </w:footnote>
  <w:footnote w:id="343">
    <w:p w14:paraId="3FABA7E0" w14:textId="77777777" w:rsidR="004B2E7C" w:rsidRPr="00895317" w:rsidRDefault="004B2E7C" w:rsidP="00285819">
      <w:pPr>
        <w:pStyle w:val="a7"/>
        <w:rPr>
          <w:rtl/>
        </w:rPr>
      </w:pPr>
      <w:r>
        <w:rPr>
          <w:rStyle w:val="a9"/>
        </w:rPr>
        <w:footnoteRef/>
      </w:r>
      <w:r>
        <w:rPr>
          <w:rtl/>
        </w:rPr>
        <w:t xml:space="preserve"> </w:t>
      </w:r>
      <w:r w:rsidRPr="00370120">
        <w:rPr>
          <w:rFonts w:cs="Arial"/>
          <w:rtl/>
        </w:rPr>
        <w:t xml:space="preserve">ודע דהא דשרי לתת עורות לעבדן וכלים לכובס דוקא כשהגוי עושה מלאכה בביתו אבל אם עושה מלאכה בביתו של ישראל </w:t>
      </w:r>
      <w:r w:rsidRPr="00895317">
        <w:rPr>
          <w:rFonts w:cs="Arial"/>
          <w:rtl/>
        </w:rPr>
        <w:t>אסור כמפורש בירושלמי שהבאתי בסימן רמ"ד (ג. ד"ה ומ"ש) וכ</w:t>
      </w:r>
      <w:r w:rsidRPr="00895317">
        <w:rPr>
          <w:rFonts w:cs="Arial" w:hint="cs"/>
          <w:rtl/>
        </w:rPr>
        <w:t>"כ</w:t>
      </w:r>
      <w:r w:rsidRPr="00895317">
        <w:rPr>
          <w:rFonts w:cs="Arial"/>
          <w:rtl/>
        </w:rPr>
        <w:t xml:space="preserve"> התוס</w:t>
      </w:r>
      <w:r w:rsidRPr="00895317">
        <w:rPr>
          <w:rFonts w:cs="Arial" w:hint="cs"/>
          <w:rtl/>
        </w:rPr>
        <w:t>'</w:t>
      </w:r>
      <w:r w:rsidRPr="00895317">
        <w:rPr>
          <w:rFonts w:cs="Arial"/>
          <w:rtl/>
        </w:rPr>
        <w:t xml:space="preserve"> (כא: ד"ה אריסא) והרא"ש (סי' כג) והר"ן (ו: ד"ה ומהא) בספ"ק דע</w:t>
      </w:r>
      <w:r w:rsidRPr="00895317">
        <w:rPr>
          <w:rFonts w:cs="Arial" w:hint="cs"/>
          <w:rtl/>
        </w:rPr>
        <w:t>"ז</w:t>
      </w:r>
      <w:r w:rsidRPr="00895317">
        <w:rPr>
          <w:rFonts w:cs="Arial"/>
          <w:rtl/>
        </w:rPr>
        <w:t xml:space="preserve"> דדוקא בצנעא בביתו של גוי שרי</w:t>
      </w:r>
      <w:r w:rsidRPr="00895317">
        <w:rPr>
          <w:rFonts w:cs="Arial" w:hint="cs"/>
          <w:rtl/>
        </w:rPr>
        <w:t>.</w:t>
      </w:r>
      <w:r w:rsidRPr="00895317">
        <w:rPr>
          <w:rFonts w:cs="Arial"/>
          <w:rtl/>
        </w:rPr>
        <w:t xml:space="preserve"> וכ</w:t>
      </w:r>
      <w:r w:rsidRPr="00895317">
        <w:rPr>
          <w:rFonts w:cs="Arial" w:hint="cs"/>
          <w:rtl/>
        </w:rPr>
        <w:t>"כ</w:t>
      </w:r>
      <w:r w:rsidRPr="00895317">
        <w:rPr>
          <w:rFonts w:cs="Arial"/>
          <w:rtl/>
        </w:rPr>
        <w:t xml:space="preserve"> רש"י בפרק מי שהפך (מו"ק יב.) גבי מקבלי קיבולת בתוך התחום אסור וכך הם דברי הרמב"ם בפ"ו (הי"ב - יג)</w:t>
      </w:r>
      <w:r w:rsidRPr="00895317">
        <w:rPr>
          <w:rFonts w:cs="Arial" w:hint="cs"/>
          <w:rtl/>
        </w:rPr>
        <w:t>.</w:t>
      </w:r>
      <w:r w:rsidRPr="00895317">
        <w:rPr>
          <w:rFonts w:cs="Arial"/>
          <w:rtl/>
        </w:rPr>
        <w:t xml:space="preserve"> וכ</w:t>
      </w:r>
      <w:r w:rsidRPr="00895317">
        <w:rPr>
          <w:rFonts w:cs="Arial" w:hint="cs"/>
          <w:rtl/>
        </w:rPr>
        <w:t>"כ שם הה"מ</w:t>
      </w:r>
      <w:r w:rsidRPr="00895317">
        <w:rPr>
          <w:rFonts w:cs="Arial"/>
          <w:rtl/>
        </w:rPr>
        <w:t xml:space="preserve"> (הל' י"ב) בשם הרשב"א (חי' שבת יט.) וכתבתי לשונו בסימן רמ"ד (ג. ד"ה ומ"ש)</w:t>
      </w:r>
      <w:r w:rsidRPr="00895317">
        <w:rPr>
          <w:rFonts w:cs="Arial" w:hint="cs"/>
          <w:rtl/>
        </w:rPr>
        <w:t>.</w:t>
      </w:r>
      <w:r w:rsidRPr="00895317">
        <w:rPr>
          <w:rFonts w:cs="Arial"/>
          <w:rtl/>
        </w:rPr>
        <w:t xml:space="preserve"> וכ</w:t>
      </w:r>
      <w:r w:rsidRPr="00895317">
        <w:rPr>
          <w:rFonts w:cs="Arial" w:hint="cs"/>
          <w:rtl/>
        </w:rPr>
        <w:t>"כ</w:t>
      </w:r>
      <w:r w:rsidRPr="00895317">
        <w:rPr>
          <w:rFonts w:cs="Arial"/>
          <w:rtl/>
        </w:rPr>
        <w:t xml:space="preserve"> סמ"ג (שם) וסמ"ק (סי' רפב עמ' שא) והתרומה (שם) ומשמע מדברי כולם ד</w:t>
      </w:r>
      <w:r w:rsidRPr="00895317">
        <w:rPr>
          <w:rFonts w:cs="Arial" w:hint="cs"/>
          <w:rtl/>
        </w:rPr>
        <w:t>-...</w:t>
      </w:r>
    </w:p>
  </w:footnote>
  <w:footnote w:id="344">
    <w:p w14:paraId="37540DF9" w14:textId="77777777" w:rsidR="004B2E7C" w:rsidRDefault="004B2E7C" w:rsidP="00285819">
      <w:pPr>
        <w:pStyle w:val="a7"/>
      </w:pPr>
      <w:r>
        <w:rPr>
          <w:rStyle w:val="a9"/>
        </w:rPr>
        <w:footnoteRef/>
      </w:r>
      <w:r>
        <w:rPr>
          <w:rtl/>
        </w:rPr>
        <w:t xml:space="preserve"> </w:t>
      </w:r>
      <w:r w:rsidRPr="00515D50">
        <w:rPr>
          <w:rFonts w:cs="Arial"/>
          <w:rtl/>
        </w:rPr>
        <w:t>צריך למחות בידו שלא לעשות בשבת דהרואה אינו יודע שקצץ ואתו למחשדיה בשכיר יום וכנ"ל בסימן רמ"ד ס"א וע"ש בס"ד דדעת השו"ע שם דמדינא אסור בזה וע"ש בבה"ל ד"ה דינו</w:t>
      </w:r>
      <w:r>
        <w:rPr>
          <w:rFonts w:cs="Arial" w:hint="cs"/>
          <w:rtl/>
        </w:rPr>
        <w:t>, משנ"ב (סקכ"ד).</w:t>
      </w:r>
    </w:p>
  </w:footnote>
  <w:footnote w:id="345">
    <w:p w14:paraId="2EA8E758" w14:textId="77777777" w:rsidR="004B2E7C" w:rsidRDefault="004B2E7C" w:rsidP="00285819">
      <w:pPr>
        <w:pStyle w:val="a7"/>
      </w:pPr>
      <w:r>
        <w:rPr>
          <w:rStyle w:val="a9"/>
        </w:rPr>
        <w:footnoteRef/>
      </w:r>
      <w:r>
        <w:rPr>
          <w:rtl/>
        </w:rPr>
        <w:t xml:space="preserve"> </w:t>
      </w:r>
      <w:r>
        <w:rPr>
          <w:rFonts w:cs="Arial" w:hint="cs"/>
          <w:rtl/>
        </w:rPr>
        <w:t xml:space="preserve">וז"ל- </w:t>
      </w:r>
      <w:r w:rsidRPr="00D653C2">
        <w:rPr>
          <w:rFonts w:cs="Arial"/>
          <w:rtl/>
        </w:rPr>
        <w:t>ומורי הר"ר יהודה אחי שני כתב דלא סבירא ליה האי פסקא שאם תפר הנכרי בגדיו בקיבולת שיהא אסור ללבשן בו ביום כיון שנתנם לו לתפור מבעוד יום דכיון דקי"ל כבית הלל דשרו עם השמש מה ליהנות ממנו בשבת מה ליהנות ממנו אחר השבת</w:t>
      </w:r>
      <w:r>
        <w:rPr>
          <w:rFonts w:cs="Arial" w:hint="cs"/>
          <w:rtl/>
        </w:rPr>
        <w:t>...</w:t>
      </w:r>
      <w:r w:rsidRPr="00D653C2">
        <w:rPr>
          <w:rFonts w:cs="Arial"/>
          <w:rtl/>
        </w:rPr>
        <w:t xml:space="preserve"> וכן שמע מפי הר"ר מאיר זצ"ל דמותר ליהנות מהן בשבת. ואינו נראה בעיני להתיר ליהנות מהן בשבת דיש לחוש שמא יתנה עמו לגומרה בו ביום. ואין דרך קבלנות בכך ועוד דקי"ל דכל דבר שעושה נכרי לצורך ישראל בשבת אסור לאותו ישראל ליהנות ממנו בו ביום. ואפי' לפי דברי המתירין אם היה מתנה עמו מתחלה להחזירה בו ביום אסור הלכך יש להחמיר בזה. וכן השיב הר"ר אביגדור כהן צדק זצ"ל לר' משה ב"ר בנימין נר"ו כלים שהשלימן נכרי בשבת והביאן לבית ישראל אין משתמשין בהן בשבת דהוי ככבש שעשאו נכרי לצורך ישראל או נר שהדליק הנכרי לצורך ישראל שאל יהנה בו</w:t>
      </w:r>
      <w:r>
        <w:rPr>
          <w:rFonts w:cs="Arial" w:hint="cs"/>
          <w:rtl/>
        </w:rPr>
        <w:t>.</w:t>
      </w:r>
    </w:p>
  </w:footnote>
  <w:footnote w:id="346">
    <w:p w14:paraId="20BFE54D" w14:textId="77777777" w:rsidR="004B2E7C" w:rsidRDefault="004B2E7C" w:rsidP="00285819">
      <w:pPr>
        <w:pStyle w:val="a7"/>
        <w:rPr>
          <w:rtl/>
        </w:rPr>
      </w:pPr>
      <w:r>
        <w:rPr>
          <w:rStyle w:val="a9"/>
        </w:rPr>
        <w:footnoteRef/>
      </w:r>
      <w:r>
        <w:rPr>
          <w:rtl/>
        </w:rPr>
        <w:t xml:space="preserve"> </w:t>
      </w:r>
      <w:r w:rsidRPr="00B278A7">
        <w:rPr>
          <w:rFonts w:cs="Arial"/>
          <w:rtl/>
        </w:rPr>
        <w:t>וכתב עוד הרוקח (שם) דבעורות לעבדן וכיוצא צריך להמתין בכדי שיעשו</w:t>
      </w:r>
      <w:r>
        <w:rPr>
          <w:rFonts w:cs="Arial" w:hint="cs"/>
          <w:rtl/>
        </w:rPr>
        <w:t>.</w:t>
      </w:r>
      <w:r w:rsidRPr="00B278A7">
        <w:rPr>
          <w:rFonts w:cs="Arial"/>
          <w:rtl/>
        </w:rPr>
        <w:t xml:space="preserve"> </w:t>
      </w:r>
      <w:r>
        <w:rPr>
          <w:rFonts w:cs="Arial" w:hint="cs"/>
          <w:rtl/>
        </w:rPr>
        <w:t>וכתב הב"י ד</w:t>
      </w:r>
      <w:r w:rsidRPr="00B278A7">
        <w:rPr>
          <w:rFonts w:cs="Arial"/>
          <w:rtl/>
        </w:rPr>
        <w:t>אין לו טעם</w:t>
      </w:r>
      <w:r>
        <w:rPr>
          <w:rFonts w:cs="Arial" w:hint="cs"/>
          <w:rtl/>
        </w:rPr>
        <w:t>,</w:t>
      </w:r>
      <w:r w:rsidRPr="00B278A7">
        <w:rPr>
          <w:rFonts w:cs="Arial"/>
          <w:rtl/>
        </w:rPr>
        <w:t xml:space="preserve"> כיון שלא נעשה בו שום עבירה</w:t>
      </w:r>
      <w:r>
        <w:rPr>
          <w:rFonts w:cs="Arial" w:hint="cs"/>
          <w:rtl/>
        </w:rPr>
        <w:t>,</w:t>
      </w:r>
      <w:r w:rsidRPr="00B278A7">
        <w:rPr>
          <w:rFonts w:cs="Arial"/>
          <w:rtl/>
        </w:rPr>
        <w:t xml:space="preserve"> וכן נראה שהוא דעת הפוסקים שלא הזכירו כן</w:t>
      </w:r>
      <w:r>
        <w:rPr>
          <w:rFonts w:cs="Arial" w:hint="cs"/>
          <w:rtl/>
        </w:rPr>
        <w:t>. עכ"ל הב"י. וכתב הדרכ"מ</w:t>
      </w:r>
      <w:r w:rsidRPr="001B2A4A">
        <w:rPr>
          <w:rFonts w:cs="Arial"/>
          <w:rtl/>
        </w:rPr>
        <w:t xml:space="preserve"> (</w:t>
      </w:r>
      <w:r>
        <w:rPr>
          <w:rFonts w:cs="Arial" w:hint="cs"/>
          <w:rtl/>
        </w:rPr>
        <w:t xml:space="preserve">אות </w:t>
      </w:r>
      <w:r w:rsidRPr="001B2A4A">
        <w:rPr>
          <w:rFonts w:cs="Arial"/>
          <w:rtl/>
        </w:rPr>
        <w:t xml:space="preserve">ו) </w:t>
      </w:r>
      <w:r>
        <w:rPr>
          <w:rFonts w:cs="Arial" w:hint="cs"/>
          <w:rtl/>
        </w:rPr>
        <w:t>ד</w:t>
      </w:r>
      <w:r w:rsidRPr="001B2A4A">
        <w:rPr>
          <w:rFonts w:cs="Arial"/>
          <w:rtl/>
        </w:rPr>
        <w:t>לעיל (אות ד) כתבתי בשם אור זרוע כדברי הרוקח</w:t>
      </w:r>
      <w:r>
        <w:rPr>
          <w:rFonts w:cs="Arial" w:hint="cs"/>
          <w:rtl/>
        </w:rPr>
        <w:t>,</w:t>
      </w:r>
      <w:r w:rsidRPr="001B2A4A">
        <w:rPr>
          <w:rFonts w:cs="Arial"/>
          <w:rtl/>
        </w:rPr>
        <w:t xml:space="preserve"> ואית ביה גם כן טעם לדבריו כדי שלא יהנה ממלאכת שבת. והוא דעת רבינו בענין המתנה בכדי שיעשו כמו שיתבאר סימן שכ"ה (עמ' רפב ובב"י ד"ה ומ"ש רבינו ולערב) וסימן תקט"ו (עמ' רכח ובב"י ד"ה ומ"ש ופירוש)</w:t>
      </w:r>
      <w:r>
        <w:rPr>
          <w:rFonts w:cs="Arial" w:hint="cs"/>
          <w:rtl/>
        </w:rPr>
        <w:t>.</w:t>
      </w:r>
    </w:p>
  </w:footnote>
  <w:footnote w:id="347">
    <w:p w14:paraId="7CCC75A3" w14:textId="77777777" w:rsidR="004B2E7C" w:rsidRDefault="004B2E7C" w:rsidP="00285819">
      <w:pPr>
        <w:pStyle w:val="a7"/>
        <w:rPr>
          <w:rtl/>
        </w:rPr>
      </w:pPr>
      <w:r>
        <w:rPr>
          <w:rStyle w:val="a9"/>
        </w:rPr>
        <w:footnoteRef/>
      </w:r>
      <w:r>
        <w:rPr>
          <w:rtl/>
        </w:rPr>
        <w:t xml:space="preserve"> </w:t>
      </w:r>
      <w:r w:rsidRPr="00421C6A">
        <w:rPr>
          <w:rFonts w:cs="Arial"/>
          <w:rtl/>
        </w:rPr>
        <w:t xml:space="preserve">ומדקתני סיפא </w:t>
      </w:r>
      <w:r>
        <w:rPr>
          <w:rFonts w:cs="Arial" w:hint="cs"/>
          <w:rtl/>
        </w:rPr>
        <w:t>'</w:t>
      </w:r>
      <w:r w:rsidRPr="00421C6A">
        <w:rPr>
          <w:rFonts w:cs="Arial"/>
          <w:rtl/>
        </w:rPr>
        <w:t>ואם שיגר לו</w:t>
      </w:r>
      <w:r>
        <w:rPr>
          <w:rFonts w:cs="Arial" w:hint="cs"/>
          <w:rtl/>
        </w:rPr>
        <w:t>'</w:t>
      </w:r>
      <w:r w:rsidRPr="00421C6A">
        <w:rPr>
          <w:rFonts w:cs="Arial"/>
          <w:rtl/>
        </w:rPr>
        <w:t xml:space="preserve"> משמע דהיכא דלא נגמרה מלאכתן מעיו</w:t>
      </w:r>
      <w:r>
        <w:rPr>
          <w:rFonts w:cs="Arial" w:hint="cs"/>
          <w:rtl/>
        </w:rPr>
        <w:t>"</w:t>
      </w:r>
      <w:r w:rsidRPr="00421C6A">
        <w:rPr>
          <w:rFonts w:cs="Arial"/>
          <w:rtl/>
        </w:rPr>
        <w:t>ט אע</w:t>
      </w:r>
      <w:r>
        <w:rPr>
          <w:rFonts w:cs="Arial" w:hint="cs"/>
          <w:rtl/>
        </w:rPr>
        <w:t>"</w:t>
      </w:r>
      <w:r w:rsidRPr="00421C6A">
        <w:rPr>
          <w:rFonts w:cs="Arial"/>
          <w:rtl/>
        </w:rPr>
        <w:t>פ שהגוי שיגר לו והוא לא הלך ליטלו מבית הגוי</w:t>
      </w:r>
      <w:r>
        <w:rPr>
          <w:rFonts w:cs="Arial" w:hint="cs"/>
          <w:rtl/>
        </w:rPr>
        <w:t xml:space="preserve"> -</w:t>
      </w:r>
      <w:r w:rsidRPr="00421C6A">
        <w:rPr>
          <w:rFonts w:cs="Arial"/>
          <w:rtl/>
        </w:rPr>
        <w:t xml:space="preserve"> אסור</w:t>
      </w:r>
      <w:r>
        <w:rPr>
          <w:rFonts w:cs="Arial" w:hint="cs"/>
          <w:rtl/>
        </w:rPr>
        <w:t>.</w:t>
      </w:r>
      <w:r w:rsidRPr="00421C6A">
        <w:rPr>
          <w:rFonts w:cs="Arial"/>
          <w:rtl/>
        </w:rPr>
        <w:t xml:space="preserve"> ואע</w:t>
      </w:r>
      <w:r>
        <w:rPr>
          <w:rFonts w:cs="Arial" w:hint="cs"/>
          <w:rtl/>
        </w:rPr>
        <w:t>"</w:t>
      </w:r>
      <w:r w:rsidRPr="00421C6A">
        <w:rPr>
          <w:rFonts w:cs="Arial"/>
          <w:rtl/>
        </w:rPr>
        <w:t>ג דגבי חול המועד לא אמרו אלא אין מביאין כלים מבית האומן</w:t>
      </w:r>
      <w:r>
        <w:rPr>
          <w:rFonts w:cs="Arial" w:hint="cs"/>
          <w:rtl/>
        </w:rPr>
        <w:t>.</w:t>
      </w:r>
      <w:r w:rsidRPr="00421C6A">
        <w:rPr>
          <w:rFonts w:cs="Arial"/>
          <w:rtl/>
        </w:rPr>
        <w:t xml:space="preserve"> משמע ליה דהוא הדין דאם שיגרם האומן אסור ללבשם</w:t>
      </w:r>
      <w:r>
        <w:rPr>
          <w:rFonts w:cs="Arial" w:hint="cs"/>
          <w:rtl/>
        </w:rPr>
        <w:t>.</w:t>
      </w:r>
      <w:r w:rsidRPr="00421C6A">
        <w:rPr>
          <w:rFonts w:cs="Arial"/>
          <w:rtl/>
        </w:rPr>
        <w:t xml:space="preserve"> ואע</w:t>
      </w:r>
      <w:r>
        <w:rPr>
          <w:rFonts w:cs="Arial" w:hint="cs"/>
          <w:rtl/>
        </w:rPr>
        <w:t>"</w:t>
      </w:r>
      <w:r w:rsidRPr="00421C6A">
        <w:rPr>
          <w:rFonts w:cs="Arial"/>
          <w:rtl/>
        </w:rPr>
        <w:t>ג דבפרק מי שהפך (מו"ק יג.) שרי להביא כלים מבית האומן לצורך המועד</w:t>
      </w:r>
      <w:r>
        <w:rPr>
          <w:rFonts w:cs="Arial" w:hint="cs"/>
          <w:rtl/>
        </w:rPr>
        <w:t>,</w:t>
      </w:r>
      <w:r w:rsidRPr="00421C6A">
        <w:rPr>
          <w:rFonts w:cs="Arial"/>
          <w:rtl/>
        </w:rPr>
        <w:t xml:space="preserve"> כבר כתב בעל נמוק</w:t>
      </w:r>
      <w:r>
        <w:rPr>
          <w:rFonts w:cs="Arial" w:hint="cs"/>
          <w:rtl/>
        </w:rPr>
        <w:t>"</w:t>
      </w:r>
      <w:r w:rsidRPr="00421C6A">
        <w:rPr>
          <w:rFonts w:cs="Arial"/>
          <w:rtl/>
        </w:rPr>
        <w:t>י (שם ו: ד"ה מתני' אין) דטעמא משום דאפילו לזבוני בשוקא לצורך המועד שרי</w:t>
      </w:r>
      <w:r>
        <w:rPr>
          <w:rFonts w:cs="Arial" w:hint="cs"/>
          <w:rtl/>
        </w:rPr>
        <w:t>.</w:t>
      </w:r>
      <w:r w:rsidRPr="00421C6A">
        <w:rPr>
          <w:rFonts w:cs="Arial"/>
          <w:rtl/>
        </w:rPr>
        <w:t xml:space="preserve"> ואם כן בשבת וביו</w:t>
      </w:r>
      <w:r>
        <w:rPr>
          <w:rFonts w:cs="Arial" w:hint="cs"/>
          <w:rtl/>
        </w:rPr>
        <w:t>"</w:t>
      </w:r>
      <w:r w:rsidRPr="00421C6A">
        <w:rPr>
          <w:rFonts w:cs="Arial"/>
          <w:rtl/>
        </w:rPr>
        <w:t>ט דלא שייך האי טעמא אסור</w:t>
      </w:r>
      <w:r>
        <w:rPr>
          <w:rFonts w:cs="Arial" w:hint="cs"/>
          <w:rtl/>
        </w:rPr>
        <w:t>.</w:t>
      </w:r>
      <w:r w:rsidRPr="00421C6A">
        <w:rPr>
          <w:rFonts w:cs="Arial"/>
          <w:rtl/>
        </w:rPr>
        <w:t xml:space="preserve"> אי נמי דלא אסרינן להביא כלים מבית האומן בחול המועד אלא אם נגמרה מלאכתן במועד אבל אם נגמרה מלאכתן קודם המועד מותר להביאן</w:t>
      </w:r>
      <w:r>
        <w:rPr>
          <w:rFonts w:cs="Arial" w:hint="cs"/>
          <w:rtl/>
        </w:rPr>
        <w:t>.</w:t>
      </w:r>
      <w:r w:rsidRPr="00421C6A">
        <w:rPr>
          <w:rFonts w:cs="Arial"/>
          <w:rtl/>
        </w:rPr>
        <w:t xml:space="preserve"> וכן נראה מדברי הרוקח שכתב בסימן ש"א חלוק שתפרו גוי או מנעל וסנדל אין מקבלין מן הגוי ואין ללבשן אם לא ידוע לו שנגמרה מלאכתן מעיו</w:t>
      </w:r>
      <w:r>
        <w:rPr>
          <w:rFonts w:cs="Arial" w:hint="cs"/>
          <w:rtl/>
        </w:rPr>
        <w:t>"</w:t>
      </w:r>
      <w:r w:rsidRPr="00421C6A">
        <w:rPr>
          <w:rFonts w:cs="Arial"/>
          <w:rtl/>
        </w:rPr>
        <w:t>ט דתנן (פסחים נה:) אין מביאין כלים מבית האומן ואין מוליכין ומשנינן בחול המועד כל שכן ביום טוב אבל נגמרו מערב יום טוב מותר לקבלן דלא גרע מדגים ופירות שמותר לקבלן לדורון ע"כ</w:t>
      </w:r>
      <w:r>
        <w:rPr>
          <w:rFonts w:cs="Arial" w:hint="cs"/>
          <w:rtl/>
        </w:rPr>
        <w:t>.</w:t>
      </w:r>
      <w:r w:rsidRPr="00421C6A">
        <w:rPr>
          <w:rFonts w:cs="Arial"/>
          <w:rtl/>
        </w:rPr>
        <w:t xml:space="preserve"> ולהר"ן צ"ל דטעמא דאין מביאין אינו אלא משום טרחא שאינה צריכה ומשום הכי שרי לצורך המועד והוא הדין נמי דלצורך שבת ויו</w:t>
      </w:r>
      <w:r>
        <w:rPr>
          <w:rFonts w:cs="Arial" w:hint="cs"/>
          <w:rtl/>
        </w:rPr>
        <w:t>"</w:t>
      </w:r>
      <w:r w:rsidRPr="00421C6A">
        <w:rPr>
          <w:rFonts w:cs="Arial"/>
          <w:rtl/>
        </w:rPr>
        <w:t>ט שרי להביא כלים מבית האומן ולא חיישינן למראית העין דמימר אמרי מאתמול גמר לה ולא הספיק ליטלו ואי נמי גמר לה היום דילמא קצץ וגוי בדנפשיה קא עביד</w:t>
      </w:r>
      <w:r>
        <w:rPr>
          <w:rFonts w:hint="cs"/>
          <w:rtl/>
        </w:rPr>
        <w:t>, ב"י.</w:t>
      </w:r>
    </w:p>
  </w:footnote>
  <w:footnote w:id="348">
    <w:p w14:paraId="4AC9F709" w14:textId="77777777" w:rsidR="004B2E7C" w:rsidRDefault="004B2E7C" w:rsidP="00285819">
      <w:pPr>
        <w:pStyle w:val="a7"/>
        <w:rPr>
          <w:rtl/>
        </w:rPr>
      </w:pPr>
      <w:r>
        <w:rPr>
          <w:rStyle w:val="a9"/>
        </w:rPr>
        <w:footnoteRef/>
      </w:r>
      <w:r>
        <w:rPr>
          <w:rtl/>
        </w:rPr>
        <w:t xml:space="preserve"> </w:t>
      </w:r>
      <w:r w:rsidRPr="001B2A4A">
        <w:rPr>
          <w:rFonts w:cs="Arial"/>
          <w:rtl/>
        </w:rPr>
        <w:t>ואני מצאתי הגהות אלפסי (שלטי הגבורים שבת ז. אות א) דאם הוא ספק אם נגמר מערב שבת שרי</w:t>
      </w:r>
      <w:r>
        <w:rPr>
          <w:rFonts w:cs="Arial" w:hint="cs"/>
          <w:rtl/>
        </w:rPr>
        <w:t>,</w:t>
      </w:r>
      <w:r w:rsidRPr="009A304A">
        <w:rPr>
          <w:rFonts w:cs="Arial" w:hint="cs"/>
          <w:rtl/>
        </w:rPr>
        <w:t xml:space="preserve"> </w:t>
      </w:r>
      <w:r>
        <w:rPr>
          <w:rFonts w:cs="Arial" w:hint="cs"/>
          <w:rtl/>
        </w:rPr>
        <w:t xml:space="preserve">דרכ"מ (אות </w:t>
      </w:r>
      <w:r w:rsidRPr="001B2A4A">
        <w:rPr>
          <w:rFonts w:cs="Arial"/>
          <w:rtl/>
        </w:rPr>
        <w:t>ד*)</w:t>
      </w:r>
      <w:r>
        <w:rPr>
          <w:rFonts w:cs="Arial" w:hint="cs"/>
          <w:rtl/>
        </w:rPr>
        <w:t>.</w:t>
      </w:r>
      <w:r>
        <w:rPr>
          <w:rFonts w:hint="cs"/>
          <w:rtl/>
        </w:rPr>
        <w:t xml:space="preserve"> </w:t>
      </w:r>
      <w:r w:rsidRPr="009E5682">
        <w:rPr>
          <w:rFonts w:hint="cs"/>
          <w:color w:val="00B0F0"/>
          <w:rtl/>
        </w:rPr>
        <w:t xml:space="preserve">(וכ"פ </w:t>
      </w:r>
      <w:r>
        <w:rPr>
          <w:rFonts w:hint="cs"/>
          <w:color w:val="00B0F0"/>
          <w:rtl/>
        </w:rPr>
        <w:t>בהג"ה</w:t>
      </w:r>
      <w:r w:rsidRPr="009E5682">
        <w:rPr>
          <w:rFonts w:hint="cs"/>
          <w:color w:val="00B0F0"/>
          <w:rtl/>
        </w:rPr>
        <w:t>)</w:t>
      </w:r>
      <w:r>
        <w:rPr>
          <w:rFonts w:hint="cs"/>
          <w:rtl/>
        </w:rPr>
        <w:t>. אבל אין נראה כן מלשון הרוקח, אלא צריך לדעת שנגמרה מלאכתן לפני יו"ט.</w:t>
      </w:r>
    </w:p>
  </w:footnote>
  <w:footnote w:id="349">
    <w:p w14:paraId="4116E1D2" w14:textId="77777777" w:rsidR="004B2E7C" w:rsidRDefault="004B2E7C" w:rsidP="00285819">
      <w:pPr>
        <w:pStyle w:val="a7"/>
      </w:pPr>
      <w:r>
        <w:rPr>
          <w:rStyle w:val="a9"/>
        </w:rPr>
        <w:footnoteRef/>
      </w:r>
      <w:r>
        <w:rPr>
          <w:rtl/>
        </w:rPr>
        <w:t xml:space="preserve"> </w:t>
      </w:r>
      <w:r w:rsidRPr="00B278A7">
        <w:rPr>
          <w:rFonts w:cs="Arial"/>
          <w:rtl/>
        </w:rPr>
        <w:t>ויש לתמוה על מי שהתיר</w:t>
      </w:r>
      <w:r>
        <w:rPr>
          <w:rFonts w:cs="Arial" w:hint="cs"/>
          <w:rtl/>
        </w:rPr>
        <w:t>,</w:t>
      </w:r>
      <w:r w:rsidRPr="00B278A7">
        <w:rPr>
          <w:rFonts w:cs="Arial"/>
          <w:rtl/>
        </w:rPr>
        <w:t xml:space="preserve"> דאפילו לא יהא מוקצה מכל מקום ליתסר משום דאין מביאין כלים מבית האומן ביום טוב וכמו שכתבתי בסמוך</w:t>
      </w:r>
      <w:r>
        <w:rPr>
          <w:rFonts w:cs="Arial" w:hint="cs"/>
          <w:rtl/>
        </w:rPr>
        <w:t>.</w:t>
      </w:r>
      <w:r w:rsidRPr="00B278A7">
        <w:rPr>
          <w:rFonts w:cs="Arial"/>
          <w:rtl/>
        </w:rPr>
        <w:t xml:space="preserve"> ושמא י"ל דשאני מנעלים דאין דרך בני אדם לתת לו מלאכה לעשות אלא הוא עושה משלו ומוכר הילכך אפילו עשאם ביום טוב לית לן בה דבדידיה קא טרח</w:t>
      </w:r>
      <w:r>
        <w:rPr>
          <w:rFonts w:cs="Arial" w:hint="cs"/>
          <w:rtl/>
        </w:rPr>
        <w:t>, ב"י.</w:t>
      </w:r>
    </w:p>
  </w:footnote>
  <w:footnote w:id="350">
    <w:p w14:paraId="25E20F0E" w14:textId="77777777" w:rsidR="004B2E7C" w:rsidRDefault="004B2E7C" w:rsidP="00285819">
      <w:pPr>
        <w:pStyle w:val="a7"/>
      </w:pPr>
      <w:r>
        <w:rPr>
          <w:rStyle w:val="a9"/>
        </w:rPr>
        <w:footnoteRef/>
      </w:r>
      <w:r>
        <w:rPr>
          <w:rtl/>
        </w:rPr>
        <w:t xml:space="preserve"> </w:t>
      </w:r>
      <w:r w:rsidRPr="006E4902">
        <w:rPr>
          <w:rFonts w:cs="Arial"/>
          <w:rtl/>
        </w:rPr>
        <w:t>ואין כן דעת הרמב"ם שהרי התיר בפ"ו (הי"ב) לכתוב לו ספר ולארוג לו בגד וכן כתוב בספר התרומה (סי' רכא) וכן נראה שהוא דעת כל הפוסקים שלא חילקו בכך</w:t>
      </w:r>
      <w:r>
        <w:rPr>
          <w:rFonts w:cs="Arial" w:hint="cs"/>
          <w:rtl/>
        </w:rPr>
        <w:t xml:space="preserve">, ב"י. וכתב הדרכ"מ </w:t>
      </w:r>
      <w:r w:rsidRPr="001B2A4A">
        <w:rPr>
          <w:rFonts w:cs="Arial"/>
          <w:rtl/>
        </w:rPr>
        <w:t>(</w:t>
      </w:r>
      <w:r>
        <w:rPr>
          <w:rFonts w:cs="Arial" w:hint="cs"/>
          <w:rtl/>
        </w:rPr>
        <w:t xml:space="preserve">אות </w:t>
      </w:r>
      <w:r w:rsidRPr="001B2A4A">
        <w:rPr>
          <w:rFonts w:cs="Arial"/>
          <w:rtl/>
        </w:rPr>
        <w:t xml:space="preserve">ה) </w:t>
      </w:r>
      <w:r>
        <w:rPr>
          <w:rFonts w:cs="Arial" w:hint="cs"/>
          <w:rtl/>
        </w:rPr>
        <w:t>ש</w:t>
      </w:r>
      <w:r w:rsidRPr="001B2A4A">
        <w:rPr>
          <w:rFonts w:cs="Arial"/>
          <w:rtl/>
        </w:rPr>
        <w:t>מדברי הרמב"ם אין ראיה דאפשר דההוא מיירי בדלא נתן לו כלום</w:t>
      </w:r>
      <w:r>
        <w:rPr>
          <w:rFonts w:cs="Arial" w:hint="cs"/>
          <w:rtl/>
        </w:rPr>
        <w:t>.</w:t>
      </w:r>
    </w:p>
  </w:footnote>
  <w:footnote w:id="351">
    <w:p w14:paraId="6C6856C9" w14:textId="77777777" w:rsidR="004B2E7C" w:rsidRDefault="004B2E7C" w:rsidP="00285819">
      <w:pPr>
        <w:pStyle w:val="a7"/>
      </w:pPr>
      <w:r>
        <w:rPr>
          <w:rStyle w:val="a9"/>
        </w:rPr>
        <w:footnoteRef/>
      </w:r>
      <w:r>
        <w:rPr>
          <w:rtl/>
        </w:rPr>
        <w:t xml:space="preserve"> </w:t>
      </w:r>
      <w:r w:rsidRPr="00386B63">
        <w:rPr>
          <w:rFonts w:cs="Arial"/>
          <w:rtl/>
        </w:rPr>
        <w:t>ולא דמי למה שמבואר בסימן רע"ו ס"א בהג"ה דא"י שהדליק הנר בשביל ישראל אפילו אם היה על ידי קציצה אסור להשתמש לאורה דהכא אף על גב שהישראל נהנה בלבישתו ממלאכת שבת מ"מ א"י לא עבד בשבת בשביל הנאת ישראל רק אדעתיה דנפשיה למהר להשלים פעולתו משא"כ התם הדלקתו בשבת היה כדי שישתמש בו הישראל עכשיו ולכן אסור. ולפ"ז גם בעניננו אם הישראל אמר לא"י סמוך לחשיכה מדוע לא גמרת מלאכתי והשיב לו אעשה זאת למענך בשבת אה"נ דאפילו לדעת המחבר אסור ללבשו בשבת כמו גבי נר [פמ"ג]</w:t>
      </w:r>
      <w:r>
        <w:rPr>
          <w:rFonts w:cs="Arial" w:hint="cs"/>
          <w:rtl/>
        </w:rPr>
        <w:t>, משנ"ב (סקכ"ז).</w:t>
      </w:r>
    </w:p>
  </w:footnote>
  <w:footnote w:id="352">
    <w:p w14:paraId="79D660E4" w14:textId="77777777" w:rsidR="004B2E7C" w:rsidRDefault="004B2E7C" w:rsidP="00285819">
      <w:pPr>
        <w:pStyle w:val="a7"/>
        <w:rPr>
          <w:rtl/>
        </w:rPr>
      </w:pPr>
      <w:r>
        <w:rPr>
          <w:rStyle w:val="a9"/>
        </w:rPr>
        <w:footnoteRef/>
      </w:r>
      <w:r>
        <w:rPr>
          <w:rtl/>
        </w:rPr>
        <w:t xml:space="preserve"> </w:t>
      </w:r>
      <w:r w:rsidRPr="00386B63">
        <w:rPr>
          <w:rFonts w:cs="Arial"/>
          <w:rtl/>
        </w:rPr>
        <w:t>טעמם דאסור לישראל ליהנות מהמלאכה בשבת בכל גווני כיון שמ"מ נעשה המלאכה בשבילו</w:t>
      </w:r>
      <w:r>
        <w:rPr>
          <w:rFonts w:hint="cs"/>
          <w:rtl/>
        </w:rPr>
        <w:t>, משנ"ב (סקכ"ח).</w:t>
      </w:r>
    </w:p>
  </w:footnote>
  <w:footnote w:id="353">
    <w:p w14:paraId="304FFF0B" w14:textId="77777777" w:rsidR="004B2E7C" w:rsidRDefault="004B2E7C" w:rsidP="00285819">
      <w:pPr>
        <w:pStyle w:val="a7"/>
      </w:pPr>
      <w:r>
        <w:rPr>
          <w:rStyle w:val="a9"/>
        </w:rPr>
        <w:footnoteRef/>
      </w:r>
      <w:r>
        <w:rPr>
          <w:rtl/>
        </w:rPr>
        <w:t xml:space="preserve"> </w:t>
      </w:r>
      <w:r w:rsidRPr="00386B63">
        <w:rPr>
          <w:rFonts w:cs="Arial"/>
          <w:rtl/>
        </w:rPr>
        <w:t>כדי שלא יהנה ממלאכת שבת</w:t>
      </w:r>
      <w:r>
        <w:rPr>
          <w:rFonts w:cs="Arial" w:hint="cs"/>
          <w:rtl/>
        </w:rPr>
        <w:t>.</w:t>
      </w:r>
      <w:r w:rsidRPr="00386B63">
        <w:rPr>
          <w:rFonts w:cs="Arial"/>
          <w:rtl/>
        </w:rPr>
        <w:t xml:space="preserve"> ולפ"ז בשני ימים טובים של גליות אם עשה ה</w:t>
      </w:r>
      <w:r>
        <w:rPr>
          <w:rFonts w:cs="Arial" w:hint="cs"/>
          <w:rtl/>
        </w:rPr>
        <w:t>גו</w:t>
      </w:r>
      <w:r w:rsidRPr="00386B63">
        <w:rPr>
          <w:rFonts w:cs="Arial"/>
          <w:rtl/>
        </w:rPr>
        <w:t>י בראשון מותר בתחלת יום שני בכדי שיעשה ממ"נ דאם היום ראשון קודש השני חול ואם היום ראשון חול בודאי מותר</w:t>
      </w:r>
      <w:r>
        <w:rPr>
          <w:rFonts w:cs="Arial" w:hint="cs"/>
          <w:rtl/>
        </w:rPr>
        <w:t>.</w:t>
      </w:r>
      <w:r w:rsidRPr="00386B63">
        <w:rPr>
          <w:rFonts w:cs="Arial"/>
          <w:rtl/>
        </w:rPr>
        <w:t xml:space="preserve"> ואין חילוק בכל זה בין מי שנעשה בשבילו בין לאחרים ובספר א"ר הקיל לאחרים בקצץ</w:t>
      </w:r>
      <w:r>
        <w:rPr>
          <w:rFonts w:cs="Arial" w:hint="cs"/>
          <w:rtl/>
        </w:rPr>
        <w:t>, משנ"ב (סקכ"ט).</w:t>
      </w:r>
    </w:p>
  </w:footnote>
  <w:footnote w:id="354">
    <w:p w14:paraId="07F81859" w14:textId="77777777" w:rsidR="004B2E7C" w:rsidRDefault="004B2E7C" w:rsidP="00285819">
      <w:pPr>
        <w:pStyle w:val="a7"/>
      </w:pPr>
      <w:r>
        <w:rPr>
          <w:rStyle w:val="a9"/>
        </w:rPr>
        <w:footnoteRef/>
      </w:r>
      <w:r>
        <w:rPr>
          <w:rtl/>
        </w:rPr>
        <w:t xml:space="preserve"> </w:t>
      </w:r>
      <w:r w:rsidRPr="00386B63">
        <w:rPr>
          <w:rFonts w:cs="Arial"/>
          <w:rtl/>
        </w:rPr>
        <w:t>דהא יש מתירין בכל ענין</w:t>
      </w:r>
      <w:r>
        <w:rPr>
          <w:rFonts w:cs="Arial" w:hint="cs"/>
          <w:rtl/>
        </w:rPr>
        <w:t>.</w:t>
      </w:r>
      <w:r w:rsidRPr="00386B63">
        <w:rPr>
          <w:rFonts w:cs="Arial"/>
          <w:rtl/>
        </w:rPr>
        <w:t xml:space="preserve"> ואם היה המנעל מתוקן בע"ש רק שתקנו והחליקו בשבת שרי דהא היה יכול ללבשו בלא"ה וכמש"כ סימן רנ"ג ס"א בהג"ה ד' וה"ה כלי פשתן שנתן ה</w:t>
      </w:r>
      <w:r>
        <w:rPr>
          <w:rFonts w:cs="Arial" w:hint="cs"/>
          <w:rtl/>
        </w:rPr>
        <w:t>גו</w:t>
      </w:r>
      <w:r w:rsidRPr="00386B63">
        <w:rPr>
          <w:rFonts w:cs="Arial"/>
          <w:rtl/>
        </w:rPr>
        <w:t>י תחת המכבש בשבת שרי ג"כ מטעם זה</w:t>
      </w:r>
      <w:r>
        <w:rPr>
          <w:rFonts w:cs="Arial" w:hint="cs"/>
          <w:rtl/>
        </w:rPr>
        <w:t>, משנ"ב (סק"ל).</w:t>
      </w:r>
    </w:p>
  </w:footnote>
  <w:footnote w:id="355">
    <w:p w14:paraId="53CACF85" w14:textId="77777777" w:rsidR="004B2E7C" w:rsidRDefault="004B2E7C" w:rsidP="00285819">
      <w:pPr>
        <w:pStyle w:val="a7"/>
      </w:pPr>
      <w:r>
        <w:rPr>
          <w:rStyle w:val="a9"/>
        </w:rPr>
        <w:footnoteRef/>
      </w:r>
      <w:r>
        <w:rPr>
          <w:rtl/>
        </w:rPr>
        <w:t xml:space="preserve"> </w:t>
      </w:r>
      <w:r w:rsidRPr="00FE7E7A">
        <w:rPr>
          <w:rFonts w:cs="Arial"/>
          <w:rtl/>
        </w:rPr>
        <w:t>ואפילו יודע ודאי שנגמר קודם שבת ויו"ט ואפילו אם הוא לצורך שבת והטעם מפני מראית העין דיאמרו שבשבת עשאו ומדעת ישראל ואיתא בלבוש דאפילו אם לא יביאם בידו אלא ילבשם שם בבית ה</w:t>
      </w:r>
      <w:r>
        <w:rPr>
          <w:rFonts w:cs="Arial" w:hint="cs"/>
          <w:rtl/>
        </w:rPr>
        <w:t>גו</w:t>
      </w:r>
      <w:r w:rsidRPr="00FE7E7A">
        <w:rPr>
          <w:rFonts w:cs="Arial"/>
          <w:rtl/>
        </w:rPr>
        <w:t xml:space="preserve">י ג"כ אסור מטעם זה וכתב המ"א אפשר דאפילו ע"י </w:t>
      </w:r>
      <w:r>
        <w:rPr>
          <w:rFonts w:cs="Arial" w:hint="cs"/>
          <w:rtl/>
        </w:rPr>
        <w:t>גו</w:t>
      </w:r>
      <w:r w:rsidRPr="00FE7E7A">
        <w:rPr>
          <w:rFonts w:cs="Arial"/>
          <w:rtl/>
        </w:rPr>
        <w:t>י אסור להביאו דעובדא דחול הוא</w:t>
      </w:r>
      <w:r>
        <w:rPr>
          <w:rFonts w:cs="Arial" w:hint="cs"/>
          <w:rtl/>
        </w:rPr>
        <w:t>, משנ"ב (סקל"א).</w:t>
      </w:r>
    </w:p>
  </w:footnote>
  <w:footnote w:id="356">
    <w:p w14:paraId="2687FC35" w14:textId="77777777" w:rsidR="004B2E7C" w:rsidRDefault="004B2E7C" w:rsidP="00285819">
      <w:pPr>
        <w:pStyle w:val="a7"/>
      </w:pPr>
      <w:r>
        <w:rPr>
          <w:rStyle w:val="a9"/>
        </w:rPr>
        <w:footnoteRef/>
      </w:r>
      <w:r>
        <w:rPr>
          <w:rtl/>
        </w:rPr>
        <w:t xml:space="preserve"> </w:t>
      </w:r>
      <w:r w:rsidRPr="00FE7E7A">
        <w:rPr>
          <w:rFonts w:cs="Arial"/>
          <w:rtl/>
        </w:rPr>
        <w:t>דהא אדעתיה דנפשיה עבד בשבת</w:t>
      </w:r>
      <w:r>
        <w:rPr>
          <w:rFonts w:cs="Arial" w:hint="cs"/>
          <w:rtl/>
        </w:rPr>
        <w:t>.</w:t>
      </w:r>
      <w:r w:rsidRPr="00FE7E7A">
        <w:rPr>
          <w:rFonts w:cs="Arial"/>
          <w:rtl/>
        </w:rPr>
        <w:t xml:space="preserve"> ואיסור דהבאה מבית האומן ס"ל להרמ"א דלא שייך בזה אף שהוא הולך אצלו</w:t>
      </w:r>
      <w:r>
        <w:rPr>
          <w:rFonts w:cs="Arial" w:hint="cs"/>
          <w:rtl/>
        </w:rPr>
        <w:t>,</w:t>
      </w:r>
      <w:r w:rsidRPr="00FE7E7A">
        <w:rPr>
          <w:rFonts w:cs="Arial"/>
          <w:rtl/>
        </w:rPr>
        <w:t xml:space="preserve"> משום דכיון שהכל יודעים שה</w:t>
      </w:r>
      <w:r>
        <w:rPr>
          <w:rFonts w:cs="Arial" w:hint="cs"/>
          <w:rtl/>
        </w:rPr>
        <w:t>גו</w:t>
      </w:r>
      <w:r w:rsidRPr="00FE7E7A">
        <w:rPr>
          <w:rFonts w:cs="Arial"/>
          <w:rtl/>
        </w:rPr>
        <w:t>י רגיל לעשות לעצמו בשביל מקח תו ליכא משום מראית העין שיאמרו שצוה לו לעשותם</w:t>
      </w:r>
      <w:r>
        <w:rPr>
          <w:rFonts w:cs="Arial" w:hint="cs"/>
          <w:rtl/>
        </w:rPr>
        <w:t>.</w:t>
      </w:r>
      <w:r w:rsidRPr="00FE7E7A">
        <w:rPr>
          <w:rFonts w:cs="Arial"/>
          <w:rtl/>
        </w:rPr>
        <w:t xml:space="preserve"> והמג"א ושארי הרבה אחרונים חלקו על דבריו וס"ל דגם בזה אסור לילך אצלו וליקח ממנו כמו משאר אומן</w:t>
      </w:r>
      <w:r>
        <w:rPr>
          <w:rFonts w:cs="Arial" w:hint="cs"/>
          <w:rtl/>
        </w:rPr>
        <w:t>,</w:t>
      </w:r>
      <w:r w:rsidRPr="00FE7E7A">
        <w:rPr>
          <w:rFonts w:cs="Arial"/>
          <w:rtl/>
        </w:rPr>
        <w:t xml:space="preserve"> אלא אחר שהביא לבית ישראל מותר ללבשו דמסתמא לאו אדעתיה דישראל עבד אם הוא עיר שרובה </w:t>
      </w:r>
      <w:r>
        <w:rPr>
          <w:rFonts w:cs="Arial" w:hint="cs"/>
          <w:rtl/>
        </w:rPr>
        <w:t>גוים,</w:t>
      </w:r>
      <w:r w:rsidRPr="00FE7E7A">
        <w:rPr>
          <w:rFonts w:cs="Arial"/>
          <w:rtl/>
        </w:rPr>
        <w:t xml:space="preserve"> כמ"ש בסימן תקט"ו</w:t>
      </w:r>
      <w:r>
        <w:rPr>
          <w:rFonts w:cs="Arial" w:hint="cs"/>
          <w:rtl/>
        </w:rPr>
        <w:t>.</w:t>
      </w:r>
      <w:r w:rsidRPr="00FE7E7A">
        <w:rPr>
          <w:rFonts w:cs="Arial"/>
          <w:rtl/>
        </w:rPr>
        <w:t xml:space="preserve"> אך אם ה</w:t>
      </w:r>
      <w:r>
        <w:rPr>
          <w:rFonts w:cs="Arial" w:hint="cs"/>
          <w:rtl/>
        </w:rPr>
        <w:t>גו</w:t>
      </w:r>
      <w:r w:rsidRPr="00FE7E7A">
        <w:rPr>
          <w:rFonts w:cs="Arial"/>
          <w:rtl/>
        </w:rPr>
        <w:t>י הוא חנוני שאינו אומן אפשר דיש להקל</w:t>
      </w:r>
      <w:r>
        <w:rPr>
          <w:rFonts w:cs="Arial" w:hint="cs"/>
          <w:rtl/>
        </w:rPr>
        <w:t>.</w:t>
      </w:r>
      <w:r w:rsidRPr="00FE7E7A">
        <w:rPr>
          <w:rFonts w:cs="Arial"/>
          <w:rtl/>
        </w:rPr>
        <w:t xml:space="preserve"> וגם בזה מפקפקים התו"ש והפמ"ג דהוי עכ"פ עובדא דחול</w:t>
      </w:r>
      <w:r>
        <w:rPr>
          <w:rFonts w:cs="Arial" w:hint="cs"/>
          <w:rtl/>
        </w:rPr>
        <w:t>, משנ"ב (סקל"ג).</w:t>
      </w:r>
    </w:p>
  </w:footnote>
  <w:footnote w:id="357">
    <w:p w14:paraId="49E33D64" w14:textId="77777777" w:rsidR="004B2E7C" w:rsidRDefault="004B2E7C" w:rsidP="00285819">
      <w:pPr>
        <w:pStyle w:val="a7"/>
      </w:pPr>
      <w:r>
        <w:rPr>
          <w:rStyle w:val="a9"/>
        </w:rPr>
        <w:footnoteRef/>
      </w:r>
      <w:r>
        <w:rPr>
          <w:rtl/>
        </w:rPr>
        <w:t xml:space="preserve"> </w:t>
      </w:r>
      <w:r w:rsidRPr="00FE7E7A">
        <w:rPr>
          <w:rFonts w:cs="Arial"/>
          <w:rtl/>
        </w:rPr>
        <w:t>דהיינו שלא יזכיר לו סכום דמים דאל"ה הוי בכלל מקח וממכר אף על פי שאינו משלם לו עכשיו</w:t>
      </w:r>
      <w:r>
        <w:rPr>
          <w:rFonts w:cs="Arial" w:hint="cs"/>
          <w:rtl/>
        </w:rPr>
        <w:t>, משנ"ב (סקל"ה).</w:t>
      </w:r>
    </w:p>
  </w:footnote>
  <w:footnote w:id="358">
    <w:p w14:paraId="2DB711C0" w14:textId="77777777" w:rsidR="004B2E7C" w:rsidRDefault="004B2E7C" w:rsidP="00285819">
      <w:pPr>
        <w:pStyle w:val="a7"/>
      </w:pPr>
      <w:r>
        <w:rPr>
          <w:rStyle w:val="a9"/>
        </w:rPr>
        <w:footnoteRef/>
      </w:r>
      <w:r>
        <w:rPr>
          <w:rtl/>
        </w:rPr>
        <w:t xml:space="preserve"> </w:t>
      </w:r>
      <w:r>
        <w:rPr>
          <w:rFonts w:cs="Arial"/>
          <w:rtl/>
        </w:rPr>
        <w:t>יתבאר בסימן שכ</w:t>
      </w:r>
      <w:r>
        <w:rPr>
          <w:rFonts w:cs="Arial" w:hint="cs"/>
          <w:rtl/>
        </w:rPr>
        <w:t>"</w:t>
      </w:r>
      <w:r>
        <w:rPr>
          <w:rFonts w:cs="Arial"/>
          <w:rtl/>
        </w:rPr>
        <w:t>ח (</w:t>
      </w:r>
      <w:r>
        <w:rPr>
          <w:rFonts w:cs="Arial" w:hint="cs"/>
          <w:rtl/>
        </w:rPr>
        <w:t>סע' כא</w:t>
      </w:r>
      <w:r>
        <w:rPr>
          <w:rFonts w:cs="Arial"/>
          <w:rtl/>
        </w:rPr>
        <w:t>) בס"ד</w:t>
      </w:r>
      <w:r>
        <w:rPr>
          <w:rFonts w:cs="Arial" w:hint="cs"/>
          <w:rtl/>
        </w:rPr>
        <w:t>, ב"י.</w:t>
      </w:r>
    </w:p>
  </w:footnote>
  <w:footnote w:id="359">
    <w:p w14:paraId="6330C638" w14:textId="77777777" w:rsidR="004B2E7C" w:rsidRDefault="004B2E7C" w:rsidP="00285819">
      <w:pPr>
        <w:pStyle w:val="a7"/>
      </w:pPr>
      <w:r>
        <w:rPr>
          <w:rStyle w:val="a9"/>
        </w:rPr>
        <w:footnoteRef/>
      </w:r>
      <w:r>
        <w:rPr>
          <w:rtl/>
        </w:rPr>
        <w:t xml:space="preserve"> </w:t>
      </w:r>
      <w:r>
        <w:rPr>
          <w:rFonts w:cs="Arial"/>
          <w:rtl/>
        </w:rPr>
        <w:t>הוא מדשרו בית הלל במתניתין (יז:) לשרות כרשינים</w:t>
      </w:r>
      <w:r>
        <w:rPr>
          <w:rFonts w:cs="Arial" w:hint="cs"/>
          <w:rtl/>
        </w:rPr>
        <w:t>, ב"י.</w:t>
      </w:r>
    </w:p>
  </w:footnote>
  <w:footnote w:id="360">
    <w:p w14:paraId="61313985" w14:textId="77777777" w:rsidR="004B2E7C" w:rsidRDefault="004B2E7C" w:rsidP="00285819">
      <w:pPr>
        <w:pStyle w:val="a7"/>
        <w:rPr>
          <w:rtl/>
        </w:rPr>
      </w:pPr>
      <w:r>
        <w:rPr>
          <w:rStyle w:val="a9"/>
        </w:rPr>
        <w:footnoteRef/>
      </w:r>
      <w:r>
        <w:rPr>
          <w:rtl/>
        </w:rPr>
        <w:t xml:space="preserve"> </w:t>
      </w:r>
      <w:r w:rsidRPr="0089419E">
        <w:rPr>
          <w:rFonts w:cs="Arial"/>
          <w:rtl/>
        </w:rPr>
        <w:t>מדאוקימנא שם בגמרא (יח:</w:t>
      </w:r>
      <w:r>
        <w:rPr>
          <w:rFonts w:cs="Arial" w:hint="cs"/>
          <w:rtl/>
        </w:rPr>
        <w:t>, הגמרא מובאת לקמן בסמוך</w:t>
      </w:r>
      <w:r w:rsidRPr="0089419E">
        <w:rPr>
          <w:rFonts w:cs="Arial"/>
          <w:rtl/>
        </w:rPr>
        <w:t>) להא דתניא מניחין מוגמר תחת הכלים וכו' לבית שמאי דאית להו איסור שביתת כלים בדמנחי אארעא מינה נשמע דלבית הלל דלית להו איסור שביתת כלים אפילו מנחי גומרי בכלי שרי</w:t>
      </w:r>
      <w:r>
        <w:rPr>
          <w:rFonts w:hint="cs"/>
          <w:rtl/>
        </w:rPr>
        <w:t>, ב"י.</w:t>
      </w:r>
    </w:p>
  </w:footnote>
  <w:footnote w:id="361">
    <w:p w14:paraId="387881BA" w14:textId="77777777" w:rsidR="004B2E7C" w:rsidRDefault="004B2E7C" w:rsidP="00285819">
      <w:pPr>
        <w:pStyle w:val="a7"/>
      </w:pPr>
      <w:r>
        <w:rPr>
          <w:rStyle w:val="a9"/>
        </w:rPr>
        <w:footnoteRef/>
      </w:r>
      <w:r>
        <w:rPr>
          <w:rtl/>
        </w:rPr>
        <w:t xml:space="preserve"> </w:t>
      </w:r>
      <w:r>
        <w:rPr>
          <w:rFonts w:cs="Arial"/>
          <w:rtl/>
        </w:rPr>
        <w:t>אינו מדוייק דאפילו איסורא דרבנן ליכא דהא לכתחלה שרי אלא דנקט סירכא דלישנא דגמרא למאי דהוה ס"ד דבית הלל אית להו שביתת כלים דאורייתא</w:t>
      </w:r>
      <w:r>
        <w:rPr>
          <w:rFonts w:cs="Arial" w:hint="cs"/>
          <w:rtl/>
        </w:rPr>
        <w:t>, ב"י.</w:t>
      </w:r>
    </w:p>
  </w:footnote>
  <w:footnote w:id="362">
    <w:p w14:paraId="02159151" w14:textId="77777777" w:rsidR="004B2E7C" w:rsidRDefault="004B2E7C" w:rsidP="00285819">
      <w:pPr>
        <w:pStyle w:val="a7"/>
      </w:pPr>
      <w:r>
        <w:rPr>
          <w:rStyle w:val="a9"/>
        </w:rPr>
        <w:footnoteRef/>
      </w:r>
      <w:r>
        <w:rPr>
          <w:rtl/>
        </w:rPr>
        <w:t xml:space="preserve"> </w:t>
      </w:r>
      <w:r w:rsidRPr="006564AA">
        <w:rPr>
          <w:rFonts w:cs="Arial"/>
          <w:rtl/>
        </w:rPr>
        <w:t>ו</w:t>
      </w:r>
      <w:r w:rsidRPr="006564AA">
        <w:rPr>
          <w:rFonts w:cs="Arial" w:hint="cs"/>
          <w:rtl/>
        </w:rPr>
        <w:t>כיון ד</w:t>
      </w:r>
      <w:r w:rsidRPr="006564AA">
        <w:rPr>
          <w:rFonts w:cs="Arial"/>
          <w:rtl/>
        </w:rPr>
        <w:t>אסיקנא דבית הלל לית להו איסור שביתת כלים</w:t>
      </w:r>
      <w:r w:rsidRPr="006564AA">
        <w:rPr>
          <w:rFonts w:cs="Arial" w:hint="cs"/>
          <w:rtl/>
        </w:rPr>
        <w:t>,</w:t>
      </w:r>
      <w:r w:rsidRPr="006564AA">
        <w:rPr>
          <w:rFonts w:cs="Arial"/>
          <w:rtl/>
        </w:rPr>
        <w:t xml:space="preserve"> לפי זה לתת חטים לתוך ריחיים לרב יוסף שרי ולרבה אסור</w:t>
      </w:r>
      <w:r w:rsidRPr="006564AA">
        <w:rPr>
          <w:rFonts w:cs="Arial" w:hint="cs"/>
          <w:rtl/>
        </w:rPr>
        <w:t>.</w:t>
      </w:r>
      <w:r w:rsidRPr="006564AA">
        <w:rPr>
          <w:rFonts w:cs="Arial"/>
          <w:rtl/>
        </w:rPr>
        <w:t xml:space="preserve"> מיהו עד כאן לא פליגי אלא בשל מים אבל בשל בהמה פשיטא דאסור לכולי עלמא שהרי הוא מצווה על שביתת בהמתו</w:t>
      </w:r>
      <w:r>
        <w:rPr>
          <w:rFonts w:cs="Arial" w:hint="cs"/>
          <w:rtl/>
        </w:rPr>
        <w:t>, ב"י.</w:t>
      </w:r>
    </w:p>
  </w:footnote>
  <w:footnote w:id="363">
    <w:p w14:paraId="1074949D" w14:textId="77777777" w:rsidR="004B2E7C" w:rsidRDefault="004B2E7C" w:rsidP="00285819">
      <w:pPr>
        <w:pStyle w:val="a7"/>
      </w:pPr>
      <w:r>
        <w:rPr>
          <w:rStyle w:val="a9"/>
        </w:rPr>
        <w:footnoteRef/>
      </w:r>
      <w:r>
        <w:rPr>
          <w:rtl/>
        </w:rPr>
        <w:t xml:space="preserve"> </w:t>
      </w:r>
      <w:r w:rsidRPr="006564AA">
        <w:rPr>
          <w:rFonts w:cs="Arial"/>
          <w:rtl/>
        </w:rPr>
        <w:t>הרי"ף (ו:) הביא שתי הסברות ולא הכריע</w:t>
      </w:r>
      <w:r>
        <w:rPr>
          <w:rFonts w:cs="Arial" w:hint="cs"/>
          <w:rtl/>
        </w:rPr>
        <w:t xml:space="preserve">. </w:t>
      </w:r>
      <w:r w:rsidRPr="00E755DD">
        <w:rPr>
          <w:rFonts w:cs="Arial"/>
          <w:rtl/>
        </w:rPr>
        <w:t>והרמב"ם לא הזכיר דין זה כלל</w:t>
      </w:r>
      <w:r w:rsidRPr="00E755DD">
        <w:rPr>
          <w:rFonts w:cs="Arial" w:hint="cs"/>
          <w:rtl/>
        </w:rPr>
        <w:t>.</w:t>
      </w:r>
      <w:r w:rsidRPr="00E755DD">
        <w:rPr>
          <w:rFonts w:cs="Arial"/>
          <w:rtl/>
        </w:rPr>
        <w:t xml:space="preserve"> ומשמע דסבירא ליה כרב יוסף דשרי</w:t>
      </w:r>
      <w:r w:rsidRPr="00E755DD">
        <w:rPr>
          <w:rFonts w:cs="Arial" w:hint="cs"/>
          <w:rtl/>
        </w:rPr>
        <w:t>,</w:t>
      </w:r>
      <w:r w:rsidRPr="00E755DD">
        <w:rPr>
          <w:rFonts w:cs="Arial"/>
          <w:rtl/>
        </w:rPr>
        <w:t xml:space="preserve"> ומשום הכי שתק מיניה</w:t>
      </w:r>
      <w:r w:rsidRPr="00E755DD">
        <w:rPr>
          <w:rFonts w:cs="Arial" w:hint="cs"/>
          <w:rtl/>
        </w:rPr>
        <w:t>.</w:t>
      </w:r>
      <w:r w:rsidRPr="00E755DD">
        <w:rPr>
          <w:rFonts w:cs="Arial"/>
          <w:rtl/>
        </w:rPr>
        <w:t xml:space="preserve"> דמהי תיתי לן לאסור</w:t>
      </w:r>
      <w:r w:rsidRPr="00E755DD">
        <w:rPr>
          <w:rFonts w:cs="Arial" w:hint="cs"/>
          <w:rtl/>
        </w:rPr>
        <w:t>,</w:t>
      </w:r>
      <w:r w:rsidRPr="00E755DD">
        <w:rPr>
          <w:rFonts w:cs="Arial"/>
          <w:rtl/>
        </w:rPr>
        <w:t xml:space="preserve"> כיון שאין אדם מוזהר על שביתת כליו כמו שכתב בפ"ו (הט"ז)</w:t>
      </w:r>
      <w:r w:rsidRPr="00E755DD">
        <w:rPr>
          <w:rFonts w:cs="Arial" w:hint="cs"/>
          <w:rtl/>
        </w:rPr>
        <w:t>.</w:t>
      </w:r>
      <w:r w:rsidRPr="00E755DD">
        <w:rPr>
          <w:rFonts w:cs="Arial"/>
          <w:rtl/>
        </w:rPr>
        <w:t xml:space="preserve"> והטעם שלא הזכירו בהדיא הוא לפי שלא הוזכר בתלמוד בהדיא דלרב יוסף שרי</w:t>
      </w:r>
      <w:r w:rsidRPr="00E755DD">
        <w:rPr>
          <w:rFonts w:cs="Arial" w:hint="cs"/>
          <w:rtl/>
        </w:rPr>
        <w:t>,</w:t>
      </w:r>
      <w:r w:rsidRPr="00E755DD">
        <w:rPr>
          <w:rFonts w:cs="Arial"/>
          <w:rtl/>
        </w:rPr>
        <w:t xml:space="preserve"> ואין דרכו לכתוב אלא מה שהוזכר בתלמוד בהדיא. והריב"ש כתב בתשובה (סימן קנא)</w:t>
      </w:r>
      <w:r w:rsidRPr="00E755DD">
        <w:rPr>
          <w:rFonts w:cs="Arial" w:hint="cs"/>
          <w:rtl/>
        </w:rPr>
        <w:t>-</w:t>
      </w:r>
      <w:r w:rsidRPr="00E755DD">
        <w:rPr>
          <w:rFonts w:cs="Arial"/>
          <w:rtl/>
        </w:rPr>
        <w:t xml:space="preserve"> ר"ח פסק כרבה אע</w:t>
      </w:r>
      <w:r w:rsidRPr="00E755DD">
        <w:rPr>
          <w:rFonts w:cs="Arial" w:hint="cs"/>
          <w:rtl/>
        </w:rPr>
        <w:t>"</w:t>
      </w:r>
      <w:r w:rsidRPr="00E755DD">
        <w:rPr>
          <w:rFonts w:cs="Arial"/>
          <w:rtl/>
        </w:rPr>
        <w:t>ג דרב יוסף פליג עליה</w:t>
      </w:r>
      <w:r w:rsidRPr="00E755DD">
        <w:rPr>
          <w:rFonts w:cs="Arial" w:hint="cs"/>
          <w:rtl/>
        </w:rPr>
        <w:t>,</w:t>
      </w:r>
      <w:r w:rsidRPr="00E755DD">
        <w:rPr>
          <w:rFonts w:cs="Arial"/>
          <w:rtl/>
        </w:rPr>
        <w:t xml:space="preserve"> אלא שהרי"ף והרמב"ם ורבינו תם לא פסקו כן</w:t>
      </w:r>
      <w:r w:rsidRPr="00E755DD">
        <w:rPr>
          <w:rFonts w:cs="Arial" w:hint="cs"/>
          <w:rtl/>
        </w:rPr>
        <w:t>.</w:t>
      </w:r>
      <w:r w:rsidRPr="00E755DD">
        <w:rPr>
          <w:rFonts w:cs="Arial"/>
          <w:rtl/>
        </w:rPr>
        <w:t xml:space="preserve"> והרי"ף כתב שתי הסברות בהלכות ולא הכריע עכ"ל</w:t>
      </w:r>
      <w:r w:rsidRPr="00E755DD">
        <w:rPr>
          <w:rFonts w:cs="Arial" w:hint="cs"/>
          <w:rtl/>
        </w:rPr>
        <w:t>.</w:t>
      </w:r>
      <w:r w:rsidRPr="00E755DD">
        <w:rPr>
          <w:rFonts w:cs="Arial"/>
          <w:rtl/>
        </w:rPr>
        <w:t xml:space="preserve"> ואף על פי שהרי"ף בהלכות לא הכריע אפשר שבתשובה הסכים דהלכה כרב יוסף</w:t>
      </w:r>
      <w:r w:rsidRPr="00E755DD">
        <w:rPr>
          <w:rFonts w:cs="Arial" w:hint="cs"/>
          <w:rtl/>
        </w:rPr>
        <w:t>.</w:t>
      </w:r>
      <w:r w:rsidRPr="00E755DD">
        <w:rPr>
          <w:rFonts w:cs="Arial"/>
          <w:rtl/>
        </w:rPr>
        <w:t xml:space="preserve"> ועי"ל דמדבריו בהלכות שכתב </w:t>
      </w:r>
      <w:r w:rsidRPr="00E755DD">
        <w:rPr>
          <w:rFonts w:cs="Arial" w:hint="cs"/>
          <w:rtl/>
        </w:rPr>
        <w:t>'</w:t>
      </w:r>
      <w:r w:rsidRPr="00E755DD">
        <w:rPr>
          <w:rFonts w:cs="Arial"/>
          <w:rtl/>
        </w:rPr>
        <w:t>ואוקימנא לבית שמאי אבל לבית הלל לית להו שביתת כלים ושרי ואיכא מאן דאמר אסור ואפילו לבית הלל מפני שמשמעת את הקול</w:t>
      </w:r>
      <w:r w:rsidRPr="00E755DD">
        <w:rPr>
          <w:rFonts w:cs="Arial" w:hint="cs"/>
          <w:rtl/>
        </w:rPr>
        <w:t>'</w:t>
      </w:r>
      <w:r w:rsidRPr="00E755DD">
        <w:rPr>
          <w:rFonts w:cs="Arial" w:hint="cs"/>
          <w:sz w:val="16"/>
          <w:szCs w:val="16"/>
          <w:rtl/>
        </w:rPr>
        <w:t xml:space="preserve"> [עכ"ל הרי"ף]</w:t>
      </w:r>
      <w:r w:rsidRPr="00E755DD">
        <w:rPr>
          <w:rFonts w:cs="Arial"/>
          <w:rtl/>
        </w:rPr>
        <w:t xml:space="preserve"> </w:t>
      </w:r>
      <w:r w:rsidRPr="00E755DD">
        <w:rPr>
          <w:rFonts w:cs="Arial" w:hint="cs"/>
          <w:rtl/>
        </w:rPr>
        <w:t xml:space="preserve">- </w:t>
      </w:r>
      <w:r w:rsidRPr="00E755DD">
        <w:rPr>
          <w:rFonts w:cs="Arial"/>
          <w:rtl/>
        </w:rPr>
        <w:t>יש להכריע דסבירא ליה כרב יוסף</w:t>
      </w:r>
      <w:r w:rsidRPr="00E755DD">
        <w:rPr>
          <w:rFonts w:cs="Arial" w:hint="cs"/>
          <w:rtl/>
        </w:rPr>
        <w:t>,</w:t>
      </w:r>
      <w:r w:rsidRPr="00E755DD">
        <w:rPr>
          <w:rFonts w:cs="Arial"/>
          <w:rtl/>
        </w:rPr>
        <w:t xml:space="preserve"> מדכתב הכי ברישא ואידך סברא כתב בלשון איכא מאן דאמר</w:t>
      </w:r>
      <w:r>
        <w:rPr>
          <w:rFonts w:cs="Arial" w:hint="cs"/>
          <w:rtl/>
        </w:rPr>
        <w:t>, ב"י.</w:t>
      </w:r>
    </w:p>
  </w:footnote>
  <w:footnote w:id="364">
    <w:p w14:paraId="637609C0" w14:textId="77777777" w:rsidR="004B2E7C" w:rsidRDefault="004B2E7C" w:rsidP="00285819">
      <w:pPr>
        <w:pStyle w:val="a7"/>
      </w:pPr>
      <w:r>
        <w:rPr>
          <w:rStyle w:val="a9"/>
        </w:rPr>
        <w:footnoteRef/>
      </w:r>
      <w:r>
        <w:rPr>
          <w:rtl/>
        </w:rPr>
        <w:t xml:space="preserve"> </w:t>
      </w:r>
      <w:r w:rsidRPr="006564AA">
        <w:rPr>
          <w:rFonts w:cs="Arial"/>
          <w:rtl/>
        </w:rPr>
        <w:t>ר"ח (בגליון יח:)</w:t>
      </w:r>
      <w:r>
        <w:rPr>
          <w:rFonts w:cs="Arial" w:hint="cs"/>
          <w:rtl/>
        </w:rPr>
        <w:t xml:space="preserve"> </w:t>
      </w:r>
      <w:r w:rsidRPr="006564AA">
        <w:rPr>
          <w:rFonts w:cs="Arial"/>
          <w:rtl/>
        </w:rPr>
        <w:t>תוס</w:t>
      </w:r>
      <w:r>
        <w:rPr>
          <w:rFonts w:cs="Arial" w:hint="cs"/>
          <w:rtl/>
        </w:rPr>
        <w:t>'</w:t>
      </w:r>
      <w:r w:rsidRPr="006564AA">
        <w:rPr>
          <w:rFonts w:cs="Arial"/>
          <w:rtl/>
        </w:rPr>
        <w:t xml:space="preserve"> (ד"ה והשתא) תרומה (סי' רכא) סמ"ג (ל"ת סה, יט עמוד ב') סמ"ק (סי' רפב עמ' רפד) הגה</w:t>
      </w:r>
      <w:r>
        <w:rPr>
          <w:rFonts w:cs="Arial" w:hint="cs"/>
          <w:rtl/>
        </w:rPr>
        <w:t>"מ (</w:t>
      </w:r>
      <w:r w:rsidRPr="006564AA">
        <w:rPr>
          <w:rFonts w:cs="Arial"/>
          <w:rtl/>
        </w:rPr>
        <w:t>פ"ו אות ע)</w:t>
      </w:r>
      <w:r>
        <w:rPr>
          <w:rFonts w:cs="Arial" w:hint="cs"/>
          <w:rtl/>
        </w:rPr>
        <w:t xml:space="preserve"> </w:t>
      </w:r>
      <w:r w:rsidRPr="006564AA">
        <w:rPr>
          <w:rFonts w:cs="Arial"/>
          <w:rtl/>
        </w:rPr>
        <w:t>רא"ש (סי' לג)</w:t>
      </w:r>
      <w:r>
        <w:rPr>
          <w:rFonts w:cs="Arial" w:hint="cs"/>
          <w:rtl/>
        </w:rPr>
        <w:t xml:space="preserve"> וטור.</w:t>
      </w:r>
    </w:p>
  </w:footnote>
  <w:footnote w:id="365">
    <w:p w14:paraId="4260FCDE" w14:textId="77777777" w:rsidR="004B2E7C" w:rsidRDefault="004B2E7C" w:rsidP="00285819">
      <w:pPr>
        <w:pStyle w:val="a7"/>
      </w:pPr>
      <w:r>
        <w:rPr>
          <w:rStyle w:val="a9"/>
        </w:rPr>
        <w:footnoteRef/>
      </w:r>
      <w:r>
        <w:rPr>
          <w:rtl/>
        </w:rPr>
        <w:t xml:space="preserve"> </w:t>
      </w:r>
      <w:r w:rsidRPr="001B2A4A">
        <w:rPr>
          <w:rFonts w:cs="Arial"/>
          <w:rtl/>
        </w:rPr>
        <w:t>ולי נראה דמסתמא יש לנהוג איסור כדעת התוספות שדחו דברי רבינו תם מאחר שהסכימו עמהן כל בתראי דלעיל</w:t>
      </w:r>
      <w:r>
        <w:rPr>
          <w:rFonts w:cs="Arial" w:hint="cs"/>
          <w:rtl/>
        </w:rPr>
        <w:t>.</w:t>
      </w:r>
      <w:r w:rsidRPr="001B2A4A">
        <w:rPr>
          <w:rFonts w:cs="Arial"/>
          <w:rtl/>
        </w:rPr>
        <w:t xml:space="preserve"> מיהו במקום שנהגו היתר אין למחות בידם וכן נראה מדברי מהר"י ווייל בתשובותיו סימן ק"ל</w:t>
      </w:r>
      <w:r>
        <w:rPr>
          <w:rFonts w:cs="Arial" w:hint="cs"/>
          <w:rtl/>
        </w:rPr>
        <w:t>...</w:t>
      </w:r>
      <w:r w:rsidRPr="001B2A4A">
        <w:rPr>
          <w:rFonts w:cs="Arial"/>
          <w:rtl/>
        </w:rPr>
        <w:t xml:space="preserve"> וגם באגור (סי' תקיט וסי' שמג) כתב לאסור נתינת חיטין לתוך הריחיים</w:t>
      </w:r>
      <w:r>
        <w:rPr>
          <w:rFonts w:cs="Arial" w:hint="cs"/>
          <w:rtl/>
        </w:rPr>
        <w:t>..., דרכ"מ (אות ז). והביא עוד את דברי ההגה"מ</w:t>
      </w:r>
      <w:r w:rsidRPr="001B2A4A">
        <w:rPr>
          <w:rFonts w:cs="Arial"/>
          <w:rtl/>
        </w:rPr>
        <w:t xml:space="preserve"> </w:t>
      </w:r>
      <w:r>
        <w:rPr>
          <w:rFonts w:cs="Arial" w:hint="cs"/>
          <w:rtl/>
        </w:rPr>
        <w:t>(</w:t>
      </w:r>
      <w:r w:rsidRPr="001B2A4A">
        <w:rPr>
          <w:rFonts w:cs="Arial"/>
          <w:rtl/>
        </w:rPr>
        <w:t xml:space="preserve">פ"ו אות ל) בשם הר"ם מקורביי"ל </w:t>
      </w:r>
      <w:r>
        <w:rPr>
          <w:rFonts w:cs="Arial" w:hint="cs"/>
          <w:rtl/>
        </w:rPr>
        <w:t>ואת דברי ה</w:t>
      </w:r>
      <w:r w:rsidRPr="001B2A4A">
        <w:rPr>
          <w:rFonts w:cs="Arial"/>
          <w:rtl/>
        </w:rPr>
        <w:t xml:space="preserve">אור זרוע (הל' ערב שבת סי' ב סעיף א') </w:t>
      </w:r>
      <w:r>
        <w:rPr>
          <w:rFonts w:cs="Arial" w:hint="cs"/>
          <w:rtl/>
        </w:rPr>
        <w:t>שכן משמע מדבריהם.</w:t>
      </w:r>
    </w:p>
  </w:footnote>
  <w:footnote w:id="366">
    <w:p w14:paraId="1DD19CA1" w14:textId="77777777" w:rsidR="004B2E7C" w:rsidRDefault="004B2E7C" w:rsidP="00285819">
      <w:pPr>
        <w:pStyle w:val="a7"/>
      </w:pPr>
      <w:r>
        <w:rPr>
          <w:rStyle w:val="a9"/>
        </w:rPr>
        <w:footnoteRef/>
      </w:r>
      <w:r>
        <w:rPr>
          <w:rtl/>
        </w:rPr>
        <w:t xml:space="preserve"> </w:t>
      </w:r>
      <w:r w:rsidRPr="00B25DB9">
        <w:rPr>
          <w:rFonts w:cs="Arial"/>
          <w:rtl/>
        </w:rPr>
        <w:t>ואפשר דמיירי ביודעים שהישראל ממונה עליה ולכן אסור דומיא דנתינת חיטין לתוך ה</w:t>
      </w:r>
      <w:r>
        <w:rPr>
          <w:rFonts w:hint="cs"/>
          <w:rtl/>
        </w:rPr>
        <w:t>ריחיים, דרכ"מ (אות ז).</w:t>
      </w:r>
    </w:p>
  </w:footnote>
  <w:footnote w:id="367">
    <w:p w14:paraId="0D728703" w14:textId="77777777" w:rsidR="004B2E7C" w:rsidRPr="00B0671A" w:rsidRDefault="004B2E7C" w:rsidP="00285819">
      <w:pPr>
        <w:pStyle w:val="af5"/>
        <w:rPr>
          <w:sz w:val="20"/>
          <w:szCs w:val="20"/>
        </w:rPr>
      </w:pPr>
      <w:r w:rsidRPr="00B0671A">
        <w:rPr>
          <w:rStyle w:val="a9"/>
          <w:sz w:val="20"/>
          <w:szCs w:val="20"/>
        </w:rPr>
        <w:footnoteRef/>
      </w:r>
      <w:r w:rsidRPr="00B0671A">
        <w:rPr>
          <w:sz w:val="20"/>
          <w:szCs w:val="20"/>
          <w:rtl/>
        </w:rPr>
        <w:t xml:space="preserve"> לאחר שרסקן וצברן בכובד יניחם בכלים ויצאו מעצמם</w:t>
      </w:r>
      <w:r w:rsidRPr="00B0671A">
        <w:rPr>
          <w:rFonts w:hint="cs"/>
          <w:sz w:val="20"/>
          <w:szCs w:val="20"/>
          <w:rtl/>
        </w:rPr>
        <w:t>,</w:t>
      </w:r>
      <w:r w:rsidRPr="00B0671A">
        <w:rPr>
          <w:sz w:val="20"/>
          <w:szCs w:val="20"/>
          <w:rtl/>
        </w:rPr>
        <w:t xml:space="preserve"> ומותר לכתחלה</w:t>
      </w:r>
      <w:r w:rsidRPr="00B0671A">
        <w:rPr>
          <w:rFonts w:hint="cs"/>
          <w:sz w:val="20"/>
          <w:szCs w:val="20"/>
          <w:rtl/>
        </w:rPr>
        <w:t>, רש"י. והא דאמר ר"ע '</w:t>
      </w:r>
      <w:r w:rsidRPr="00B0671A">
        <w:rPr>
          <w:sz w:val="20"/>
          <w:szCs w:val="20"/>
          <w:rtl/>
        </w:rPr>
        <w:t>לא יגמור</w:t>
      </w:r>
      <w:r w:rsidRPr="00B0671A">
        <w:rPr>
          <w:rFonts w:hint="cs"/>
          <w:sz w:val="20"/>
          <w:szCs w:val="20"/>
          <w:rtl/>
        </w:rPr>
        <w:t>' פירש רש"י-</w:t>
      </w:r>
      <w:r w:rsidRPr="00B0671A">
        <w:rPr>
          <w:sz w:val="20"/>
          <w:szCs w:val="20"/>
          <w:rtl/>
        </w:rPr>
        <w:t xml:space="preserve"> אסור להניחן תחת כובדן מבעוד יום כדי לגמור משתחשך</w:t>
      </w:r>
      <w:r w:rsidRPr="00B0671A">
        <w:rPr>
          <w:rFonts w:hint="cs"/>
          <w:sz w:val="20"/>
          <w:szCs w:val="20"/>
          <w:rtl/>
        </w:rPr>
        <w:t xml:space="preserve">. אבל </w:t>
      </w:r>
      <w:r w:rsidRPr="00B0671A">
        <w:rPr>
          <w:sz w:val="20"/>
          <w:szCs w:val="20"/>
          <w:rtl/>
        </w:rPr>
        <w:t>התוספות (ד"ה רבי) הקשו על פירוש זה</w:t>
      </w:r>
      <w:r>
        <w:rPr>
          <w:rFonts w:hint="cs"/>
          <w:sz w:val="20"/>
          <w:szCs w:val="20"/>
          <w:rtl/>
        </w:rPr>
        <w:t>,</w:t>
      </w:r>
      <w:r w:rsidRPr="00B0671A">
        <w:rPr>
          <w:sz w:val="20"/>
          <w:szCs w:val="20"/>
          <w:rtl/>
        </w:rPr>
        <w:t xml:space="preserve"> וכתבו דלר"י נראה דיגמור היינו דיגמור ויאכל בשבת</w:t>
      </w:r>
      <w:r w:rsidRPr="00B0671A">
        <w:rPr>
          <w:rFonts w:hint="cs"/>
          <w:sz w:val="20"/>
          <w:szCs w:val="20"/>
          <w:rtl/>
        </w:rPr>
        <w:t>.</w:t>
      </w:r>
      <w:r w:rsidRPr="00B0671A">
        <w:rPr>
          <w:sz w:val="20"/>
          <w:szCs w:val="20"/>
          <w:rtl/>
        </w:rPr>
        <w:t xml:space="preserve"> ולא דמי למשקין שזבו שאסורין גזירה שמא יסחוט</w:t>
      </w:r>
      <w:r w:rsidRPr="00B0671A">
        <w:rPr>
          <w:rFonts w:hint="cs"/>
          <w:sz w:val="20"/>
          <w:szCs w:val="20"/>
          <w:rtl/>
        </w:rPr>
        <w:t>,</w:t>
      </w:r>
      <w:r w:rsidRPr="00B0671A">
        <w:rPr>
          <w:sz w:val="20"/>
          <w:szCs w:val="20"/>
          <w:rtl/>
        </w:rPr>
        <w:t xml:space="preserve"> דהכא אפילו יסחוט ליכא איסורא דאורייתא</w:t>
      </w:r>
      <w:r w:rsidRPr="00B0671A">
        <w:rPr>
          <w:rFonts w:hint="cs"/>
          <w:sz w:val="20"/>
          <w:szCs w:val="20"/>
          <w:rtl/>
        </w:rPr>
        <w:t>.</w:t>
      </w:r>
      <w:r w:rsidRPr="00B0671A">
        <w:rPr>
          <w:sz w:val="20"/>
          <w:szCs w:val="20"/>
          <w:rtl/>
        </w:rPr>
        <w:t xml:space="preserve"> ועי"ל דיגמור בידים משתחשך</w:t>
      </w:r>
      <w:r w:rsidRPr="00B0671A">
        <w:rPr>
          <w:rFonts w:hint="cs"/>
          <w:sz w:val="20"/>
          <w:szCs w:val="20"/>
          <w:rtl/>
        </w:rPr>
        <w:t>.</w:t>
      </w:r>
      <w:r w:rsidRPr="00B0671A">
        <w:rPr>
          <w:sz w:val="20"/>
          <w:szCs w:val="20"/>
          <w:rtl/>
        </w:rPr>
        <w:t xml:space="preserve"> דלא דמי למתניתין דלא שרו בית הלל אלא טעינת קורה אבל בידים לא</w:t>
      </w:r>
      <w:r w:rsidRPr="00B0671A">
        <w:rPr>
          <w:rFonts w:hint="cs"/>
          <w:sz w:val="20"/>
          <w:szCs w:val="20"/>
          <w:rtl/>
        </w:rPr>
        <w:t>,</w:t>
      </w:r>
      <w:r w:rsidRPr="00B0671A">
        <w:rPr>
          <w:sz w:val="20"/>
          <w:szCs w:val="20"/>
          <w:rtl/>
        </w:rPr>
        <w:t xml:space="preserve"> דהכא כשאין מחוסרין דיכה כדאמרינן בסמוך</w:t>
      </w:r>
      <w:r w:rsidRPr="00B0671A">
        <w:rPr>
          <w:rFonts w:hint="cs"/>
          <w:sz w:val="20"/>
          <w:szCs w:val="20"/>
          <w:rtl/>
        </w:rPr>
        <w:t>.</w:t>
      </w:r>
      <w:r w:rsidRPr="00B0671A">
        <w:rPr>
          <w:sz w:val="20"/>
          <w:szCs w:val="20"/>
          <w:rtl/>
        </w:rPr>
        <w:t xml:space="preserve"> וכפירוש זה </w:t>
      </w:r>
      <w:r>
        <w:rPr>
          <w:rFonts w:hint="cs"/>
          <w:sz w:val="16"/>
          <w:szCs w:val="16"/>
          <w:rtl/>
        </w:rPr>
        <w:t xml:space="preserve">{האחרון} </w:t>
      </w:r>
      <w:r w:rsidRPr="00B0671A">
        <w:rPr>
          <w:sz w:val="20"/>
          <w:szCs w:val="20"/>
          <w:rtl/>
        </w:rPr>
        <w:t xml:space="preserve">פירש הר"ן </w:t>
      </w:r>
      <w:r w:rsidRPr="00B0671A">
        <w:rPr>
          <w:sz w:val="16"/>
          <w:szCs w:val="16"/>
          <w:rtl/>
        </w:rPr>
        <w:t xml:space="preserve">(ח. דיבור ראשון) </w:t>
      </w:r>
      <w:r w:rsidRPr="00B0671A">
        <w:rPr>
          <w:sz w:val="20"/>
          <w:szCs w:val="20"/>
          <w:rtl/>
        </w:rPr>
        <w:t>לדעת הרי"ף</w:t>
      </w:r>
      <w:r w:rsidRPr="00B0671A">
        <w:rPr>
          <w:rFonts w:hint="cs"/>
          <w:sz w:val="20"/>
          <w:szCs w:val="20"/>
          <w:rtl/>
        </w:rPr>
        <w:t>...</w:t>
      </w:r>
      <w:r w:rsidRPr="00B0671A">
        <w:rPr>
          <w:sz w:val="20"/>
          <w:szCs w:val="20"/>
          <w:rtl/>
        </w:rPr>
        <w:t xml:space="preserve"> וכן פירש הה</w:t>
      </w:r>
      <w:r>
        <w:rPr>
          <w:rFonts w:hint="cs"/>
          <w:sz w:val="20"/>
          <w:szCs w:val="20"/>
          <w:rtl/>
        </w:rPr>
        <w:t>"</w:t>
      </w:r>
      <w:r w:rsidRPr="00B0671A">
        <w:rPr>
          <w:sz w:val="20"/>
          <w:szCs w:val="20"/>
          <w:rtl/>
        </w:rPr>
        <w:t>מ בפ</w:t>
      </w:r>
      <w:r>
        <w:rPr>
          <w:rFonts w:hint="cs"/>
          <w:sz w:val="20"/>
          <w:szCs w:val="20"/>
          <w:rtl/>
        </w:rPr>
        <w:t>"</w:t>
      </w:r>
      <w:r w:rsidRPr="00B0671A">
        <w:rPr>
          <w:sz w:val="20"/>
          <w:szCs w:val="20"/>
          <w:rtl/>
        </w:rPr>
        <w:t xml:space="preserve">ג </w:t>
      </w:r>
      <w:r w:rsidRPr="00B0671A">
        <w:rPr>
          <w:sz w:val="16"/>
          <w:szCs w:val="16"/>
          <w:rtl/>
        </w:rPr>
        <w:t xml:space="preserve">(ה"ב) </w:t>
      </w:r>
      <w:r w:rsidRPr="00B0671A">
        <w:rPr>
          <w:sz w:val="20"/>
          <w:szCs w:val="20"/>
          <w:rtl/>
        </w:rPr>
        <w:t>דברי הרמב"ם</w:t>
      </w:r>
      <w:r w:rsidRPr="00B0671A">
        <w:rPr>
          <w:rFonts w:hint="cs"/>
          <w:sz w:val="20"/>
          <w:szCs w:val="20"/>
          <w:rtl/>
        </w:rPr>
        <w:t>, ב"י.</w:t>
      </w:r>
    </w:p>
  </w:footnote>
  <w:footnote w:id="368">
    <w:p w14:paraId="7DB22C3E" w14:textId="77777777" w:rsidR="004B2E7C" w:rsidRDefault="004B2E7C" w:rsidP="00285819">
      <w:pPr>
        <w:pStyle w:val="a7"/>
        <w:rPr>
          <w:rtl/>
        </w:rPr>
      </w:pPr>
      <w:r>
        <w:rPr>
          <w:rStyle w:val="a9"/>
        </w:rPr>
        <w:footnoteRef/>
      </w:r>
      <w:r>
        <w:rPr>
          <w:rtl/>
        </w:rPr>
        <w:t xml:space="preserve"> </w:t>
      </w:r>
      <w:r>
        <w:rPr>
          <w:rFonts w:hint="cs"/>
          <w:rtl/>
        </w:rPr>
        <w:t>כן הוא לפנינו, אך לפני הרי"ף הר"ן והב"י איתא 'רבה בר בר חנה'.</w:t>
      </w:r>
    </w:p>
  </w:footnote>
  <w:footnote w:id="369">
    <w:p w14:paraId="37584288" w14:textId="77777777" w:rsidR="004B2E7C" w:rsidRDefault="004B2E7C" w:rsidP="00285819">
      <w:pPr>
        <w:pStyle w:val="a7"/>
        <w:rPr>
          <w:rtl/>
        </w:rPr>
      </w:pPr>
      <w:r>
        <w:rPr>
          <w:rStyle w:val="a9"/>
        </w:rPr>
        <w:footnoteRef/>
      </w:r>
      <w:r>
        <w:rPr>
          <w:rtl/>
        </w:rPr>
        <w:t xml:space="preserve"> </w:t>
      </w:r>
      <w:r>
        <w:rPr>
          <w:rFonts w:cs="Arial"/>
          <w:rtl/>
        </w:rPr>
        <w:t>דאסירי דטעינתן היא גומרת ונמצא הכל עשוי בשבת</w:t>
      </w:r>
      <w:r>
        <w:rPr>
          <w:rFonts w:hint="cs"/>
          <w:rtl/>
        </w:rPr>
        <w:t>, רש"י.</w:t>
      </w:r>
    </w:p>
  </w:footnote>
  <w:footnote w:id="370">
    <w:p w14:paraId="4FFD268F" w14:textId="77777777" w:rsidR="004B2E7C" w:rsidRDefault="004B2E7C" w:rsidP="00285819">
      <w:pPr>
        <w:pStyle w:val="a7"/>
      </w:pPr>
      <w:r>
        <w:rPr>
          <w:rStyle w:val="a9"/>
        </w:rPr>
        <w:footnoteRef/>
      </w:r>
      <w:r>
        <w:rPr>
          <w:rtl/>
        </w:rPr>
        <w:t xml:space="preserve"> </w:t>
      </w:r>
      <w:r>
        <w:rPr>
          <w:rFonts w:cs="Arial"/>
          <w:rtl/>
        </w:rPr>
        <w:t>יותר מדיכה</w:t>
      </w:r>
      <w:r>
        <w:rPr>
          <w:rFonts w:cs="Arial" w:hint="cs"/>
          <w:rtl/>
        </w:rPr>
        <w:t>, רש"י.</w:t>
      </w:r>
    </w:p>
  </w:footnote>
  <w:footnote w:id="371">
    <w:p w14:paraId="3DBD1CE8" w14:textId="77777777" w:rsidR="004B2E7C" w:rsidRDefault="004B2E7C" w:rsidP="00285819">
      <w:pPr>
        <w:pStyle w:val="a7"/>
      </w:pPr>
      <w:r>
        <w:rPr>
          <w:rStyle w:val="a9"/>
        </w:rPr>
        <w:footnoteRef/>
      </w:r>
      <w:r>
        <w:rPr>
          <w:rtl/>
        </w:rPr>
        <w:t xml:space="preserve"> </w:t>
      </w:r>
      <w:r w:rsidRPr="006C6212">
        <w:rPr>
          <w:rFonts w:cs="Arial"/>
          <w:rtl/>
        </w:rPr>
        <w:t>ומינה ילפינן דלר' ישמעאל במחוסרים דיכה נמי אי סחיט להו לא מחייב חטאת</w:t>
      </w:r>
      <w:r w:rsidRPr="006C6212">
        <w:rPr>
          <w:rFonts w:cs="Arial" w:hint="cs"/>
          <w:rtl/>
        </w:rPr>
        <w:t>.</w:t>
      </w:r>
      <w:r w:rsidRPr="006C6212">
        <w:rPr>
          <w:rFonts w:cs="Arial"/>
          <w:rtl/>
        </w:rPr>
        <w:t xml:space="preserve"> דאם איתא דמחייב בהו חטאת</w:t>
      </w:r>
      <w:r w:rsidRPr="006C6212">
        <w:rPr>
          <w:rFonts w:cs="Arial" w:hint="cs"/>
          <w:rtl/>
        </w:rPr>
        <w:t>,</w:t>
      </w:r>
      <w:r w:rsidRPr="006C6212">
        <w:rPr>
          <w:rFonts w:cs="Arial"/>
          <w:rtl/>
        </w:rPr>
        <w:t xml:space="preserve"> לא ה"ל לר' ישמעאל למשרי כשאין מחוסרים אלא שחיקה וה"ל למגזר אטו מחוסרין דיכה ומדלא גזר שמע מינה דבמחוסרים דיכה נמי דומיא דמתניתין אי סחיט לה בידים ליכא חיוב חטאת</w:t>
      </w:r>
      <w:r>
        <w:rPr>
          <w:rFonts w:cs="Arial" w:hint="cs"/>
          <w:rtl/>
        </w:rPr>
        <w:t>, ר"ן (שם) בדעת הרי"ף.</w:t>
      </w:r>
    </w:p>
  </w:footnote>
  <w:footnote w:id="372">
    <w:p w14:paraId="1B0ACBC5" w14:textId="77777777" w:rsidR="004B2E7C" w:rsidRDefault="004B2E7C" w:rsidP="00285819">
      <w:pPr>
        <w:pStyle w:val="a7"/>
        <w:rPr>
          <w:rtl/>
        </w:rPr>
      </w:pPr>
      <w:r>
        <w:rPr>
          <w:rStyle w:val="a9"/>
        </w:rPr>
        <w:footnoteRef/>
      </w:r>
      <w:r>
        <w:rPr>
          <w:rtl/>
        </w:rPr>
        <w:t xml:space="preserve"> </w:t>
      </w:r>
      <w:r>
        <w:rPr>
          <w:rFonts w:cs="Arial"/>
          <w:rtl/>
        </w:rPr>
        <w:t>ודעת רבינו בפירוש יגמור מסכמת עמהם</w:t>
      </w:r>
      <w:r>
        <w:rPr>
          <w:rFonts w:cs="Arial" w:hint="cs"/>
          <w:rtl/>
        </w:rPr>
        <w:t>.</w:t>
      </w:r>
      <w:r>
        <w:rPr>
          <w:rFonts w:cs="Arial"/>
          <w:rtl/>
        </w:rPr>
        <w:t xml:space="preserve"> שכך כתב בסימן שכ"א (צא.)</w:t>
      </w:r>
      <w:r>
        <w:rPr>
          <w:rFonts w:cs="Arial" w:hint="cs"/>
          <w:rtl/>
        </w:rPr>
        <w:t>,</w:t>
      </w:r>
      <w:r>
        <w:rPr>
          <w:rFonts w:cs="Arial"/>
          <w:rtl/>
        </w:rPr>
        <w:t xml:space="preserve"> שום ובוסר ומלילות שרסקן מערב שבת אם מחוסרין דיכה אסור לגמור דיכתן בשבת</w:t>
      </w:r>
      <w:r>
        <w:rPr>
          <w:rFonts w:cs="Arial" w:hint="cs"/>
          <w:rtl/>
        </w:rPr>
        <w:t>.</w:t>
      </w:r>
      <w:r>
        <w:rPr>
          <w:rFonts w:cs="Arial"/>
          <w:rtl/>
        </w:rPr>
        <w:t xml:space="preserve"> ואם אין מחוסרין אלא שחיקה</w:t>
      </w:r>
      <w:r>
        <w:rPr>
          <w:rFonts w:cs="Arial" w:hint="cs"/>
          <w:rtl/>
        </w:rPr>
        <w:t>,</w:t>
      </w:r>
      <w:r>
        <w:rPr>
          <w:rFonts w:cs="Arial"/>
          <w:rtl/>
        </w:rPr>
        <w:t xml:space="preserve"> מותר לגמור בשבת</w:t>
      </w:r>
      <w:r>
        <w:rPr>
          <w:rFonts w:cs="Arial" w:hint="cs"/>
          <w:rtl/>
        </w:rPr>
        <w:t>.</w:t>
      </w:r>
      <w:r>
        <w:rPr>
          <w:rFonts w:cs="Arial"/>
          <w:rtl/>
        </w:rPr>
        <w:t xml:space="preserve"> אבל בפירושא דמתניתין דטוענין אין דעתו שוה עמהם</w:t>
      </w:r>
      <w:r>
        <w:rPr>
          <w:rFonts w:cs="Arial" w:hint="cs"/>
          <w:rtl/>
        </w:rPr>
        <w:t>.</w:t>
      </w:r>
      <w:r>
        <w:rPr>
          <w:rFonts w:cs="Arial"/>
          <w:rtl/>
        </w:rPr>
        <w:t xml:space="preserve"> דלדידהו מתניתין במחוסרין דיכה היא</w:t>
      </w:r>
      <w:r>
        <w:rPr>
          <w:rFonts w:cs="Arial" w:hint="cs"/>
          <w:rtl/>
        </w:rPr>
        <w:t>,</w:t>
      </w:r>
      <w:r>
        <w:rPr>
          <w:rFonts w:cs="Arial"/>
          <w:rtl/>
        </w:rPr>
        <w:t xml:space="preserve"> ומשום הכי לא שרי בידים</w:t>
      </w:r>
      <w:r>
        <w:rPr>
          <w:rFonts w:cs="Arial" w:hint="cs"/>
          <w:rtl/>
        </w:rPr>
        <w:t>,</w:t>
      </w:r>
      <w:r>
        <w:rPr>
          <w:rFonts w:cs="Arial"/>
          <w:rtl/>
        </w:rPr>
        <w:t xml:space="preserve"> ומיהו ע"י טעינת קורה שרו כיון שהם מרוסקין</w:t>
      </w:r>
      <w:r>
        <w:rPr>
          <w:rFonts w:cs="Arial" w:hint="cs"/>
          <w:rtl/>
        </w:rPr>
        <w:t>,</w:t>
      </w:r>
      <w:r>
        <w:rPr>
          <w:rFonts w:cs="Arial"/>
          <w:rtl/>
        </w:rPr>
        <w:t xml:space="preserve"> דמשעה שנתן הקורה עליהם נתרסקו</w:t>
      </w:r>
      <w:r>
        <w:rPr>
          <w:rFonts w:cs="Arial" w:hint="cs"/>
          <w:rtl/>
        </w:rPr>
        <w:t>.</w:t>
      </w:r>
      <w:r>
        <w:rPr>
          <w:rFonts w:cs="Arial"/>
          <w:rtl/>
        </w:rPr>
        <w:t xml:space="preserve"> ולדידיה מתניתין בשרסקן תחלה ואחר כך טען קורה עליהם</w:t>
      </w:r>
      <w:r>
        <w:rPr>
          <w:rFonts w:cs="Arial" w:hint="cs"/>
          <w:rtl/>
        </w:rPr>
        <w:t>,</w:t>
      </w:r>
      <w:r>
        <w:rPr>
          <w:rFonts w:cs="Arial"/>
          <w:rtl/>
        </w:rPr>
        <w:t xml:space="preserve"> דהשתא על ידי טעינת קורה הויא לה דיכה</w:t>
      </w:r>
      <w:r>
        <w:rPr>
          <w:rFonts w:cs="Arial" w:hint="cs"/>
          <w:rtl/>
        </w:rPr>
        <w:t>,</w:t>
      </w:r>
      <w:r>
        <w:rPr>
          <w:rFonts w:cs="Arial"/>
          <w:rtl/>
        </w:rPr>
        <w:t xml:space="preserve"> ואפילו לגמור בידים נמי שרי</w:t>
      </w:r>
      <w:r>
        <w:rPr>
          <w:rFonts w:cs="Arial" w:hint="cs"/>
          <w:rtl/>
        </w:rPr>
        <w:t>.</w:t>
      </w:r>
      <w:r>
        <w:rPr>
          <w:rFonts w:cs="Arial"/>
          <w:rtl/>
        </w:rPr>
        <w:t xml:space="preserve"> אבל אם לא נתרסקו קודם טעינה</w:t>
      </w:r>
      <w:r>
        <w:rPr>
          <w:rFonts w:cs="Arial" w:hint="cs"/>
          <w:rtl/>
        </w:rPr>
        <w:t>,</w:t>
      </w:r>
      <w:r>
        <w:rPr>
          <w:rFonts w:cs="Arial"/>
          <w:rtl/>
        </w:rPr>
        <w:t xml:space="preserve"> דהשתא לא עלתה להם טעינה אלא לרסק ועדיין הם מחוסרין דיכה</w:t>
      </w:r>
      <w:r>
        <w:rPr>
          <w:rFonts w:cs="Arial" w:hint="cs"/>
          <w:rtl/>
        </w:rPr>
        <w:t>,</w:t>
      </w:r>
      <w:r>
        <w:rPr>
          <w:rFonts w:cs="Arial"/>
          <w:rtl/>
        </w:rPr>
        <w:t xml:space="preserve"> משקין היוצאין אסורי</w:t>
      </w:r>
      <w:r>
        <w:rPr>
          <w:rFonts w:cs="Arial" w:hint="cs"/>
          <w:rtl/>
        </w:rPr>
        <w:t xml:space="preserve">ן... </w:t>
      </w:r>
      <w:r>
        <w:rPr>
          <w:rFonts w:cs="Arial"/>
          <w:rtl/>
        </w:rPr>
        <w:t>והרי"ף (ח.) פסקה לדרבי יוסי בר חנינא וכתב גם לדרבה בר בר חנה</w:t>
      </w:r>
      <w:r>
        <w:rPr>
          <w:rFonts w:cs="Arial" w:hint="cs"/>
          <w:rtl/>
        </w:rPr>
        <w:t xml:space="preserve"> </w:t>
      </w:r>
      <w:r w:rsidRPr="002105DB">
        <w:rPr>
          <w:rFonts w:cs="Arial" w:hint="cs"/>
          <w:sz w:val="16"/>
          <w:szCs w:val="16"/>
          <w:rtl/>
        </w:rPr>
        <w:t>{לפנינו איתא 'רבא בר חנינא'}</w:t>
      </w:r>
      <w:r>
        <w:rPr>
          <w:rFonts w:cs="Arial" w:hint="cs"/>
          <w:rtl/>
        </w:rPr>
        <w:t>.</w:t>
      </w:r>
      <w:r>
        <w:rPr>
          <w:rFonts w:cs="Arial"/>
          <w:rtl/>
        </w:rPr>
        <w:t xml:space="preserve"> וכתב הר"ן (שם) שהקשו עליו דמשמע בגמרא דהא דרבה בר בר חנה פליגא אדרבי יוסי בר חנינא והיאך פסקן לשתיהן</w:t>
      </w:r>
      <w:r>
        <w:rPr>
          <w:rFonts w:cs="Arial" w:hint="cs"/>
          <w:rtl/>
        </w:rPr>
        <w:t>.</w:t>
      </w:r>
      <w:r>
        <w:rPr>
          <w:rFonts w:cs="Arial"/>
          <w:rtl/>
        </w:rPr>
        <w:t xml:space="preserve"> והוא ז"ל תירץ דשפיר אתיא דרבה בר בר חנה כדרבי יוסי בר חנינא</w:t>
      </w:r>
      <w:r>
        <w:rPr>
          <w:rFonts w:cs="Arial" w:hint="cs"/>
          <w:rtl/>
        </w:rPr>
        <w:t>.</w:t>
      </w:r>
      <w:r>
        <w:rPr>
          <w:rFonts w:cs="Arial"/>
          <w:rtl/>
        </w:rPr>
        <w:t xml:space="preserve"> דלרבה בר בר חנה כשהם מרוסקים ונדוכים ואינם מחוסרים אלא שחיקה</w:t>
      </w:r>
      <w:r>
        <w:rPr>
          <w:rFonts w:cs="Arial" w:hint="cs"/>
          <w:rtl/>
        </w:rPr>
        <w:t>,</w:t>
      </w:r>
      <w:r>
        <w:rPr>
          <w:rFonts w:cs="Arial"/>
          <w:rtl/>
        </w:rPr>
        <w:t xml:space="preserve"> יגמור בידים לרבי ישמעאל</w:t>
      </w:r>
      <w:r>
        <w:rPr>
          <w:rFonts w:cs="Arial" w:hint="cs"/>
          <w:rtl/>
        </w:rPr>
        <w:t>.</w:t>
      </w:r>
      <w:r>
        <w:rPr>
          <w:rFonts w:cs="Arial"/>
          <w:rtl/>
        </w:rPr>
        <w:t xml:space="preserve"> ומינה נשמע דכשהם מחוסרים דיכה ושחיקה מאחר שהם מרוסקין כגוונא דמתניתין</w:t>
      </w:r>
      <w:r>
        <w:rPr>
          <w:rFonts w:cs="Arial" w:hint="cs"/>
          <w:rtl/>
        </w:rPr>
        <w:t>,</w:t>
      </w:r>
      <w:r>
        <w:rPr>
          <w:rFonts w:cs="Arial"/>
          <w:rtl/>
        </w:rPr>
        <w:t xml:space="preserve"> דשרו על ידי טעינה</w:t>
      </w:r>
      <w:r>
        <w:rPr>
          <w:rFonts w:cs="Arial" w:hint="cs"/>
          <w:rtl/>
        </w:rPr>
        <w:t>.</w:t>
      </w:r>
      <w:r>
        <w:rPr>
          <w:rFonts w:cs="Arial"/>
          <w:rtl/>
        </w:rPr>
        <w:t xml:space="preserve"> וכן פירש הרב המגיד בפרק ג' (שם) דברי הרמב"ם. והרא"ש (סי' לט) גם הוא כתב כדברי הריא"ף</w:t>
      </w:r>
      <w:r>
        <w:rPr>
          <w:rFonts w:cs="Arial" w:hint="cs"/>
          <w:rtl/>
        </w:rPr>
        <w:t xml:space="preserve">, </w:t>
      </w:r>
      <w:r>
        <w:rPr>
          <w:rFonts w:cs="Arial"/>
          <w:rtl/>
        </w:rPr>
        <w:t>וכדי ליישב מה שהקשו על הרי"ף כתב וצריך לומר שרבי יוסי בר חנינא סבר דמתניתין לא חשיב כמחוסרין דיכה. וסובר רבינו שדעתו לומר דמתניתין כשנתרסקו קודם טעינה היא דהשתא על ידי טעינה הויא לה דיכה ואפילו בידים שרי כרבי ישמעאל דאמר יגמור</w:t>
      </w:r>
      <w:r>
        <w:rPr>
          <w:rFonts w:cs="Arial" w:hint="cs"/>
          <w:rtl/>
        </w:rPr>
        <w:t>.</w:t>
      </w:r>
      <w:r>
        <w:rPr>
          <w:rFonts w:cs="Arial"/>
          <w:rtl/>
        </w:rPr>
        <w:t xml:space="preserve"> אבל אם לא נתרסקו קודם טעינה משקין היוצאין מהם אסורין אף על פי שיוצאין מעצמם</w:t>
      </w:r>
      <w:r>
        <w:rPr>
          <w:rFonts w:cs="Arial" w:hint="cs"/>
          <w:rtl/>
        </w:rPr>
        <w:t>.</w:t>
      </w:r>
      <w:r>
        <w:rPr>
          <w:rFonts w:cs="Arial"/>
          <w:rtl/>
        </w:rPr>
        <w:t xml:space="preserve"> וכן דעת רבינו ירוחם בח"א (ני"ב סה.) דמתניתין דטוענין בשנתרסקו קודם טעינה היא</w:t>
      </w:r>
      <w:r>
        <w:rPr>
          <w:rFonts w:cs="Arial" w:hint="cs"/>
          <w:rtl/>
        </w:rPr>
        <w:t>,</w:t>
      </w:r>
      <w:r>
        <w:rPr>
          <w:rFonts w:cs="Arial"/>
          <w:rtl/>
        </w:rPr>
        <w:t xml:space="preserve"> ומשמע דלא חשיבי מרוסקין אלא כשנסחטו הזיתים ונדרסו הענבים דוקא</w:t>
      </w:r>
      <w:r>
        <w:rPr>
          <w:rFonts w:cs="Arial" w:hint="cs"/>
          <w:rtl/>
        </w:rPr>
        <w:t>.</w:t>
      </w:r>
      <w:r>
        <w:rPr>
          <w:rFonts w:cs="Arial"/>
          <w:rtl/>
        </w:rPr>
        <w:t xml:space="preserve"> ומיהו אם אינו רוצה לשתות בשבת ממשקין היוצאין לא נתברר בדברי רבינו אם מותר לטעון קורה עליהם מבעוד יום</w:t>
      </w:r>
      <w:r>
        <w:rPr>
          <w:rFonts w:cs="Arial" w:hint="cs"/>
          <w:rtl/>
        </w:rPr>
        <w:t>.</w:t>
      </w:r>
      <w:r>
        <w:rPr>
          <w:rFonts w:cs="Arial"/>
          <w:rtl/>
        </w:rPr>
        <w:t xml:space="preserve"> ולכאורה משמע דשרי אף על פי שלא נתרסקו</w:t>
      </w:r>
      <w:r>
        <w:rPr>
          <w:rFonts w:cs="Arial" w:hint="cs"/>
          <w:rtl/>
        </w:rPr>
        <w:t>,</w:t>
      </w:r>
      <w:r>
        <w:rPr>
          <w:rFonts w:cs="Arial"/>
          <w:rtl/>
        </w:rPr>
        <w:t xml:space="preserve"> מאחר דקיימא לן כבית הלל דלית להו שביתת כלים</w:t>
      </w:r>
      <w:r>
        <w:rPr>
          <w:rFonts w:cs="Arial" w:hint="cs"/>
          <w:rtl/>
        </w:rPr>
        <w:t>.</w:t>
      </w:r>
      <w:r>
        <w:rPr>
          <w:rFonts w:cs="Arial"/>
          <w:rtl/>
        </w:rPr>
        <w:t xml:space="preserve"> אבל מדברי רבינו ירוחם בח"א (שם) נראה שכל שלא נטחנו הזיתים ונדרכו הענבים אסור לטעון עליהם קורה מבעוד יום</w:t>
      </w:r>
      <w:r>
        <w:rPr>
          <w:rFonts w:cs="Arial" w:hint="cs"/>
          <w:rtl/>
        </w:rPr>
        <w:t>,</w:t>
      </w:r>
      <w:r>
        <w:rPr>
          <w:rFonts w:cs="Arial"/>
          <w:rtl/>
        </w:rPr>
        <w:t xml:space="preserve"> גזירה שמא יסחוט בשבת</w:t>
      </w:r>
      <w:r>
        <w:rPr>
          <w:rFonts w:cs="Arial" w:hint="cs"/>
          <w:rtl/>
        </w:rPr>
        <w:t>.</w:t>
      </w:r>
      <w:r>
        <w:rPr>
          <w:rFonts w:cs="Arial"/>
          <w:rtl/>
        </w:rPr>
        <w:t xml:space="preserve"> וצ"ל לפי דעתו דבטעינת קורה לא חשיבי מרוסקים</w:t>
      </w:r>
      <w:r>
        <w:rPr>
          <w:rFonts w:cs="Arial" w:hint="cs"/>
          <w:rtl/>
        </w:rPr>
        <w:t>,</w:t>
      </w:r>
      <w:r>
        <w:rPr>
          <w:rFonts w:cs="Arial"/>
          <w:rtl/>
        </w:rPr>
        <w:t xml:space="preserve"> ואי הוה סחיט להו בידים בשבת הוה חייב חטאת</w:t>
      </w:r>
      <w:r>
        <w:rPr>
          <w:rFonts w:cs="Arial" w:hint="cs"/>
          <w:rtl/>
        </w:rPr>
        <w:t>,</w:t>
      </w:r>
      <w:r>
        <w:rPr>
          <w:rFonts w:cs="Arial"/>
          <w:rtl/>
        </w:rPr>
        <w:t xml:space="preserve"> הילכך גזרינן בהו שמא יסחוט</w:t>
      </w:r>
      <w:r>
        <w:rPr>
          <w:rFonts w:cs="Arial" w:hint="cs"/>
          <w:rtl/>
        </w:rPr>
        <w:t>.</w:t>
      </w:r>
      <w:r>
        <w:rPr>
          <w:rFonts w:cs="Arial"/>
          <w:rtl/>
        </w:rPr>
        <w:t xml:space="preserve"> ומיהו כבר נתברר דלדעת הרי"ף והרמב"ם שרי והכי נקיטינן</w:t>
      </w:r>
      <w:r>
        <w:rPr>
          <w:rFonts w:hint="cs"/>
          <w:rtl/>
        </w:rPr>
        <w:t>, ב"י.</w:t>
      </w:r>
    </w:p>
  </w:footnote>
  <w:footnote w:id="373">
    <w:p w14:paraId="08381618" w14:textId="77777777" w:rsidR="004B2E7C" w:rsidRDefault="004B2E7C" w:rsidP="00285819">
      <w:pPr>
        <w:pStyle w:val="a7"/>
      </w:pPr>
      <w:r>
        <w:rPr>
          <w:rStyle w:val="a9"/>
        </w:rPr>
        <w:footnoteRef/>
      </w:r>
      <w:r>
        <w:rPr>
          <w:rtl/>
        </w:rPr>
        <w:t xml:space="preserve"> </w:t>
      </w:r>
      <w:r w:rsidRPr="009A7623">
        <w:rPr>
          <w:rFonts w:cs="Arial"/>
          <w:rtl/>
        </w:rPr>
        <w:t>ואפילו לא נתרסקו מקודם מותר לטעון כיון שמתחיל הפעולה קודם שתשקע החמה וכנ"ל אך לענין שמן ויין היוצא מהן כתב המ"א דאין מותר רק אם הוא טוען בעוד היום גדול שיוכל להתרסק קודם שבת ע"י טעינת הקורה וא"כ אפילו סחיט להו אח"כ בידים בשבת ליכא חיוב חטאת ולכן המשקין היוצא מהן מותר דאין מקום לגזור משום סחיטה אבל אם יטעון סמוך לשקיעה ממש דלא יתרסקו קודם השבת ע"י הקורות אסור המשקין היוצא מהן גזירה שמא יסחוט</w:t>
      </w:r>
      <w:r>
        <w:rPr>
          <w:rFonts w:cs="Arial" w:hint="cs"/>
          <w:rtl/>
        </w:rPr>
        <w:t>, משנ"ב (סקמ"ב).</w:t>
      </w:r>
    </w:p>
  </w:footnote>
  <w:footnote w:id="374">
    <w:p w14:paraId="6AB43BCE" w14:textId="77777777" w:rsidR="004B2E7C" w:rsidRDefault="004B2E7C" w:rsidP="00285819">
      <w:pPr>
        <w:pStyle w:val="a7"/>
      </w:pPr>
      <w:r>
        <w:rPr>
          <w:rStyle w:val="a9"/>
        </w:rPr>
        <w:footnoteRef/>
      </w:r>
      <w:r>
        <w:rPr>
          <w:rtl/>
        </w:rPr>
        <w:t xml:space="preserve"> </w:t>
      </w:r>
      <w:r w:rsidRPr="00BF3529">
        <w:rPr>
          <w:rFonts w:cs="Arial"/>
          <w:rtl/>
        </w:rPr>
        <w:t>ענבים בתחלתן כשהן דקים מוציא מהן משקה לטבל בו בשר לפי שהוא חזק וקרוב להחמיץ</w:t>
      </w:r>
      <w:r>
        <w:rPr>
          <w:rFonts w:cs="Arial" w:hint="cs"/>
          <w:rtl/>
        </w:rPr>
        <w:t>.</w:t>
      </w:r>
      <w:r w:rsidRPr="00BF3529">
        <w:rPr>
          <w:rtl/>
        </w:rPr>
        <w:t xml:space="preserve"> </w:t>
      </w:r>
      <w:r w:rsidRPr="00BF3529">
        <w:rPr>
          <w:rFonts w:cs="Arial"/>
          <w:rtl/>
        </w:rPr>
        <w:t>ומלילות - שבלין שלא בשלו כל צרכן מרסקן וטוענין באבנים ומשקה זב מהן ומטבל בו</w:t>
      </w:r>
      <w:r>
        <w:rPr>
          <w:rFonts w:cs="Arial" w:hint="cs"/>
          <w:rtl/>
        </w:rPr>
        <w:t>,</w:t>
      </w:r>
      <w:r w:rsidRPr="00BF3529">
        <w:rPr>
          <w:rFonts w:cs="Arial"/>
          <w:rtl/>
        </w:rPr>
        <w:t xml:space="preserve"> </w:t>
      </w:r>
      <w:r>
        <w:rPr>
          <w:rFonts w:cs="Arial" w:hint="cs"/>
          <w:rtl/>
        </w:rPr>
        <w:t>משנ"ב (סקמ"ד-מה).</w:t>
      </w:r>
    </w:p>
  </w:footnote>
  <w:footnote w:id="375">
    <w:p w14:paraId="1F674AAB" w14:textId="77777777" w:rsidR="004B2E7C" w:rsidRDefault="004B2E7C" w:rsidP="00285819">
      <w:pPr>
        <w:pStyle w:val="a7"/>
      </w:pPr>
      <w:r>
        <w:rPr>
          <w:rStyle w:val="a9"/>
        </w:rPr>
        <w:footnoteRef/>
      </w:r>
      <w:r>
        <w:rPr>
          <w:rtl/>
        </w:rPr>
        <w:t xml:space="preserve"> </w:t>
      </w:r>
      <w:r w:rsidRPr="00BF3529">
        <w:rPr>
          <w:rFonts w:cs="Arial"/>
          <w:rtl/>
        </w:rPr>
        <w:t>ועיין בבה"ל דאין להתיר כ"א בשדכן ג"כ קודם השבת ודיכה הוא יותר מריסוק</w:t>
      </w:r>
      <w:r>
        <w:rPr>
          <w:rFonts w:cs="Arial" w:hint="cs"/>
          <w:rtl/>
        </w:rPr>
        <w:t>, משנ"ב (סקמ"ג).</w:t>
      </w:r>
    </w:p>
  </w:footnote>
  <w:footnote w:id="376">
    <w:p w14:paraId="58A84D20" w14:textId="77777777" w:rsidR="004B2E7C" w:rsidRDefault="004B2E7C" w:rsidP="00285819">
      <w:pPr>
        <w:pStyle w:val="a7"/>
      </w:pPr>
      <w:r>
        <w:rPr>
          <w:rStyle w:val="a9"/>
        </w:rPr>
        <w:footnoteRef/>
      </w:r>
      <w:r>
        <w:rPr>
          <w:rtl/>
        </w:rPr>
        <w:t xml:space="preserve"> </w:t>
      </w:r>
      <w:r w:rsidRPr="00640D2C">
        <w:rPr>
          <w:rFonts w:cs="Arial"/>
          <w:rtl/>
        </w:rPr>
        <w:t>כלל בזה כל כיוצא בזה המשמיע קול דאוושא מילתא ואיכא זילותא לשבתא וכמו שכתב בד"מ</w:t>
      </w:r>
      <w:r>
        <w:rPr>
          <w:rFonts w:cs="Arial" w:hint="cs"/>
          <w:rtl/>
        </w:rPr>
        <w:t>.</w:t>
      </w:r>
      <w:r w:rsidRPr="00640D2C">
        <w:rPr>
          <w:rFonts w:cs="Arial"/>
          <w:rtl/>
        </w:rPr>
        <w:t xml:space="preserve"> ואם הריחיים של </w:t>
      </w:r>
      <w:r>
        <w:rPr>
          <w:rFonts w:cs="Arial" w:hint="cs"/>
          <w:rtl/>
        </w:rPr>
        <w:t>גו</w:t>
      </w:r>
      <w:r w:rsidRPr="00640D2C">
        <w:rPr>
          <w:rFonts w:cs="Arial"/>
          <w:rtl/>
        </w:rPr>
        <w:t>י בודאי שרי לתת לתוכה מבעוד יום</w:t>
      </w:r>
      <w:r>
        <w:rPr>
          <w:rFonts w:cs="Arial" w:hint="cs"/>
          <w:rtl/>
        </w:rPr>
        <w:t>.</w:t>
      </w:r>
      <w:r w:rsidRPr="00640D2C">
        <w:rPr>
          <w:rFonts w:cs="Arial"/>
          <w:rtl/>
        </w:rPr>
        <w:t xml:space="preserve"> וה"ה אם השכירו ל</w:t>
      </w:r>
      <w:r>
        <w:rPr>
          <w:rFonts w:cs="Arial" w:hint="cs"/>
          <w:rtl/>
        </w:rPr>
        <w:t>גו</w:t>
      </w:r>
      <w:r w:rsidRPr="00640D2C">
        <w:rPr>
          <w:rFonts w:cs="Arial"/>
          <w:rtl/>
        </w:rPr>
        <w:t>י</w:t>
      </w:r>
      <w:r>
        <w:rPr>
          <w:rFonts w:cs="Arial" w:hint="cs"/>
          <w:rtl/>
        </w:rPr>
        <w:t>.</w:t>
      </w:r>
      <w:r w:rsidRPr="00640D2C">
        <w:rPr>
          <w:rFonts w:cs="Arial"/>
          <w:rtl/>
        </w:rPr>
        <w:t xml:space="preserve"> ואם הישראל מסר ל</w:t>
      </w:r>
      <w:r>
        <w:rPr>
          <w:rFonts w:cs="Arial" w:hint="cs"/>
          <w:rtl/>
        </w:rPr>
        <w:t>גו</w:t>
      </w:r>
      <w:r w:rsidRPr="00640D2C">
        <w:rPr>
          <w:rFonts w:cs="Arial"/>
          <w:rtl/>
        </w:rPr>
        <w:t>י התבואה מבעוד יום אז אף אם ה</w:t>
      </w:r>
      <w:r>
        <w:rPr>
          <w:rFonts w:cs="Arial" w:hint="cs"/>
          <w:rtl/>
        </w:rPr>
        <w:t>גו</w:t>
      </w:r>
      <w:r w:rsidRPr="00640D2C">
        <w:rPr>
          <w:rFonts w:cs="Arial"/>
          <w:rtl/>
        </w:rPr>
        <w:t>י טוחן אותם בשבת שרי בקצץ ד</w:t>
      </w:r>
      <w:r>
        <w:rPr>
          <w:rFonts w:cs="Arial" w:hint="cs"/>
          <w:rtl/>
        </w:rPr>
        <w:t>גו</w:t>
      </w:r>
      <w:r w:rsidRPr="00640D2C">
        <w:rPr>
          <w:rFonts w:cs="Arial"/>
          <w:rtl/>
        </w:rPr>
        <w:t>י אדעתיה דנפשיה עביד רק שלא יעמוד ישראל אצלו דמחזי כשלוחו כמ"ש סוף סימן ש"ז</w:t>
      </w:r>
      <w:r>
        <w:rPr>
          <w:rFonts w:cs="Arial" w:hint="cs"/>
          <w:rtl/>
        </w:rPr>
        <w:t>.</w:t>
      </w:r>
      <w:r w:rsidRPr="00640D2C">
        <w:rPr>
          <w:rFonts w:cs="Arial"/>
          <w:rtl/>
        </w:rPr>
        <w:t xml:space="preserve"> ולצורך הפסח מותר לישראל להיות עומד שם לראות שלא יתחמץ</w:t>
      </w:r>
      <w:r>
        <w:rPr>
          <w:rFonts w:cs="Arial" w:hint="cs"/>
          <w:rtl/>
        </w:rPr>
        <w:t>.</w:t>
      </w:r>
      <w:r w:rsidRPr="00640D2C">
        <w:rPr>
          <w:rFonts w:cs="Arial"/>
          <w:rtl/>
        </w:rPr>
        <w:t xml:space="preserve"> וכן מותר להושיב שומר שלא יגנוב ה</w:t>
      </w:r>
      <w:r>
        <w:rPr>
          <w:rFonts w:cs="Arial" w:hint="cs"/>
          <w:rtl/>
        </w:rPr>
        <w:t>גו</w:t>
      </w:r>
      <w:r w:rsidRPr="00640D2C">
        <w:rPr>
          <w:rFonts w:cs="Arial"/>
          <w:rtl/>
        </w:rPr>
        <w:t>י ובלבד שלא ידבר עמו בשום עסק וכמו שכתבנו לעיל בסוף סימן רמ"ד [אחרונים]</w:t>
      </w:r>
      <w:r>
        <w:rPr>
          <w:rFonts w:cs="Arial" w:hint="cs"/>
          <w:rtl/>
        </w:rPr>
        <w:t>, משנ"ב (סקמ"ו).</w:t>
      </w:r>
    </w:p>
  </w:footnote>
  <w:footnote w:id="377">
    <w:p w14:paraId="4BA397A5" w14:textId="77777777" w:rsidR="004B2E7C" w:rsidRDefault="004B2E7C" w:rsidP="00285819">
      <w:pPr>
        <w:pStyle w:val="a7"/>
      </w:pPr>
      <w:r>
        <w:rPr>
          <w:rStyle w:val="a9"/>
        </w:rPr>
        <w:footnoteRef/>
      </w:r>
      <w:r>
        <w:rPr>
          <w:rtl/>
        </w:rPr>
        <w:t xml:space="preserve"> </w:t>
      </w:r>
      <w:r w:rsidRPr="00796C37">
        <w:rPr>
          <w:rFonts w:cs="Arial"/>
          <w:rtl/>
        </w:rPr>
        <w:t>כגון בקעה, דמדרבנן הוא דאסור להכניס ולהוציא</w:t>
      </w:r>
      <w:r>
        <w:rPr>
          <w:rFonts w:cs="Arial" w:hint="cs"/>
          <w:rtl/>
        </w:rPr>
        <w:t>, רש"י.</w:t>
      </w:r>
    </w:p>
  </w:footnote>
  <w:footnote w:id="378">
    <w:p w14:paraId="5DFD78AB" w14:textId="77777777" w:rsidR="004B2E7C" w:rsidRDefault="004B2E7C" w:rsidP="00285819">
      <w:pPr>
        <w:pStyle w:val="a7"/>
        <w:rPr>
          <w:rtl/>
        </w:rPr>
      </w:pPr>
      <w:r>
        <w:rPr>
          <w:rStyle w:val="a9"/>
        </w:rPr>
        <w:footnoteRef/>
      </w:r>
      <w:r>
        <w:rPr>
          <w:rtl/>
        </w:rPr>
        <w:t xml:space="preserve"> </w:t>
      </w:r>
      <w:r w:rsidRPr="00796C37">
        <w:rPr>
          <w:rFonts w:cs="Arial"/>
          <w:rtl/>
        </w:rPr>
        <w:t>לעמוד ברשות היחיד או ברשות הרבים ויושיט ראשו לכתחלה לתוכו וישתה</w:t>
      </w:r>
      <w:r>
        <w:rPr>
          <w:rFonts w:hint="cs"/>
          <w:rtl/>
        </w:rPr>
        <w:t>, רש"י.</w:t>
      </w:r>
    </w:p>
  </w:footnote>
  <w:footnote w:id="379">
    <w:p w14:paraId="600B2F41" w14:textId="77777777" w:rsidR="004B2E7C" w:rsidRDefault="004B2E7C" w:rsidP="00285819">
      <w:pPr>
        <w:pStyle w:val="a7"/>
        <w:rPr>
          <w:rtl/>
        </w:rPr>
      </w:pPr>
      <w:r>
        <w:rPr>
          <w:rStyle w:val="a9"/>
        </w:rPr>
        <w:footnoteRef/>
      </w:r>
      <w:r>
        <w:rPr>
          <w:rtl/>
        </w:rPr>
        <w:t xml:space="preserve"> </w:t>
      </w:r>
      <w:r w:rsidRPr="00796C37">
        <w:rPr>
          <w:rFonts w:cs="Arial"/>
          <w:rtl/>
        </w:rPr>
        <w:t>כשם שאסרנו זו במשנתנו, כך זו אסורה</w:t>
      </w:r>
      <w:r>
        <w:rPr>
          <w:rFonts w:hint="cs"/>
          <w:rtl/>
        </w:rPr>
        <w:t>, רש"י.</w:t>
      </w:r>
    </w:p>
  </w:footnote>
  <w:footnote w:id="380">
    <w:p w14:paraId="2820C979" w14:textId="77777777" w:rsidR="004B2E7C" w:rsidRDefault="004B2E7C" w:rsidP="00285819">
      <w:pPr>
        <w:pStyle w:val="a7"/>
      </w:pPr>
      <w:r>
        <w:rPr>
          <w:rStyle w:val="a9"/>
        </w:rPr>
        <w:footnoteRef/>
      </w:r>
      <w:r>
        <w:rPr>
          <w:rtl/>
        </w:rPr>
        <w:t xml:space="preserve"> </w:t>
      </w:r>
      <w:r w:rsidRPr="00796C37">
        <w:rPr>
          <w:rFonts w:cs="Arial"/>
          <w:rtl/>
        </w:rPr>
        <w:t>אפילו יוציא הכלי מתוכה לרשות היחיד או מתוכה לרשות הרבים - מדרבנן בעלמא הוא</w:t>
      </w:r>
      <w:r>
        <w:rPr>
          <w:rFonts w:cs="Arial" w:hint="cs"/>
          <w:rtl/>
        </w:rPr>
        <w:t>, רש"י.</w:t>
      </w:r>
    </w:p>
  </w:footnote>
  <w:footnote w:id="381">
    <w:p w14:paraId="0CDE0046" w14:textId="77777777" w:rsidR="004B2E7C" w:rsidRDefault="004B2E7C" w:rsidP="00285819">
      <w:pPr>
        <w:pStyle w:val="a7"/>
      </w:pPr>
      <w:r>
        <w:rPr>
          <w:rStyle w:val="a9"/>
        </w:rPr>
        <w:footnoteRef/>
      </w:r>
      <w:r>
        <w:rPr>
          <w:rtl/>
        </w:rPr>
        <w:t xml:space="preserve"> </w:t>
      </w:r>
      <w:r w:rsidRPr="00796C37">
        <w:rPr>
          <w:rFonts w:cs="Arial"/>
          <w:rtl/>
        </w:rPr>
        <w:t>הושטת ראשו אטו הוצאת כלי</w:t>
      </w:r>
      <w:r>
        <w:rPr>
          <w:rFonts w:cs="Arial" w:hint="cs"/>
          <w:rtl/>
        </w:rPr>
        <w:t>, רש"י.</w:t>
      </w:r>
    </w:p>
  </w:footnote>
  <w:footnote w:id="382">
    <w:p w14:paraId="3BBD44B0" w14:textId="77777777" w:rsidR="004B2E7C" w:rsidRDefault="004B2E7C" w:rsidP="00285819">
      <w:pPr>
        <w:pStyle w:val="a7"/>
        <w:rPr>
          <w:rtl/>
        </w:rPr>
      </w:pPr>
      <w:r>
        <w:rPr>
          <w:rStyle w:val="a9"/>
        </w:rPr>
        <w:footnoteRef/>
      </w:r>
      <w:r>
        <w:rPr>
          <w:rtl/>
        </w:rPr>
        <w:t xml:space="preserve"> </w:t>
      </w:r>
      <w:r w:rsidRPr="007A36EC">
        <w:rPr>
          <w:rFonts w:cs="Arial"/>
          <w:rtl/>
        </w:rPr>
        <w:t>שאין דרך הוצאה בכך, ואפילו הוציאה לרשות הרבים משחשכה - שבות בעלמא הוא, וקא גזור סמוך לחשכה אטו חשכה, אלמא: גזרינן לאיסור שבת גזירה לגזירה</w:t>
      </w:r>
      <w:r>
        <w:rPr>
          <w:rFonts w:hint="cs"/>
          <w:rtl/>
        </w:rPr>
        <w:t>, רש"י.</w:t>
      </w:r>
    </w:p>
  </w:footnote>
  <w:footnote w:id="383">
    <w:p w14:paraId="6700E3CF" w14:textId="77777777" w:rsidR="004B2E7C" w:rsidRDefault="004B2E7C" w:rsidP="00285819">
      <w:pPr>
        <w:pStyle w:val="a7"/>
        <w:rPr>
          <w:rtl/>
        </w:rPr>
      </w:pPr>
      <w:r>
        <w:rPr>
          <w:rStyle w:val="a9"/>
        </w:rPr>
        <w:footnoteRef/>
      </w:r>
      <w:r>
        <w:rPr>
          <w:rtl/>
        </w:rPr>
        <w:t xml:space="preserve"> </w:t>
      </w:r>
      <w:r w:rsidRPr="00796C37">
        <w:rPr>
          <w:rFonts w:cs="Arial"/>
          <w:rtl/>
        </w:rPr>
        <w:t>בשבת עצמה, דחדא גזירה איכא: גזירה תחובה בבגדו אטו היכא דמפיק בידים</w:t>
      </w:r>
      <w:r>
        <w:rPr>
          <w:rFonts w:hint="cs"/>
          <w:rtl/>
        </w:rPr>
        <w:t xml:space="preserve">, רש"י. </w:t>
      </w:r>
    </w:p>
  </w:footnote>
  <w:footnote w:id="384">
    <w:p w14:paraId="28306E2B" w14:textId="77777777" w:rsidR="004B2E7C" w:rsidRDefault="004B2E7C" w:rsidP="00285819">
      <w:pPr>
        <w:pStyle w:val="a7"/>
        <w:rPr>
          <w:rtl/>
        </w:rPr>
      </w:pPr>
      <w:r>
        <w:rPr>
          <w:rStyle w:val="a9"/>
        </w:rPr>
        <w:footnoteRef/>
      </w:r>
      <w:r>
        <w:rPr>
          <w:rtl/>
        </w:rPr>
        <w:t xml:space="preserve"> </w:t>
      </w:r>
      <w:r w:rsidRPr="00796C37">
        <w:rPr>
          <w:rFonts w:cs="Arial"/>
          <w:rtl/>
        </w:rPr>
        <w:t>המוציא דרך אומנתו שהוא רגיל לצאת לפרקים כן בחול - חייב, דהשתא לדידיה ליכא אלא חדא גזירה דגזרינן סמוך לחשכה אטו חשכה</w:t>
      </w:r>
      <w:r>
        <w:rPr>
          <w:rFonts w:hint="cs"/>
          <w:rtl/>
        </w:rPr>
        <w:t>, רש"י.</w:t>
      </w:r>
    </w:p>
  </w:footnote>
  <w:footnote w:id="385">
    <w:p w14:paraId="64FF25A9" w14:textId="77777777" w:rsidR="004B2E7C" w:rsidRDefault="004B2E7C" w:rsidP="00285819">
      <w:pPr>
        <w:pStyle w:val="a7"/>
        <w:rPr>
          <w:rtl/>
        </w:rPr>
      </w:pPr>
      <w:r>
        <w:rPr>
          <w:rStyle w:val="a9"/>
        </w:rPr>
        <w:footnoteRef/>
      </w:r>
      <w:r>
        <w:rPr>
          <w:rtl/>
        </w:rPr>
        <w:t xml:space="preserve"> </w:t>
      </w:r>
      <w:r>
        <w:rPr>
          <w:rFonts w:cs="Arial" w:hint="cs"/>
          <w:rtl/>
        </w:rPr>
        <w:t xml:space="preserve">כתב הב"י וז"ל- </w:t>
      </w:r>
      <w:r w:rsidRPr="00D849E8">
        <w:rPr>
          <w:rFonts w:cs="Arial"/>
          <w:rtl/>
        </w:rPr>
        <w:t xml:space="preserve">כתב רבינו ירוחם </w:t>
      </w:r>
      <w:r w:rsidRPr="00D849E8">
        <w:rPr>
          <w:rFonts w:cs="Arial" w:hint="cs"/>
          <w:rtl/>
        </w:rPr>
        <w:t>(</w:t>
      </w:r>
      <w:r w:rsidRPr="00D849E8">
        <w:rPr>
          <w:rFonts w:cs="Arial"/>
          <w:rtl/>
        </w:rPr>
        <w:t>ח</w:t>
      </w:r>
      <w:r w:rsidRPr="00D849E8">
        <w:rPr>
          <w:rFonts w:cs="Arial" w:hint="cs"/>
          <w:rtl/>
        </w:rPr>
        <w:t>"</w:t>
      </w:r>
      <w:r w:rsidRPr="00D849E8">
        <w:rPr>
          <w:rFonts w:cs="Arial"/>
          <w:rtl/>
        </w:rPr>
        <w:t>א ני"ב סד ע"ד) לא יצא החייט במחטו וכו' פירוש ולאו דוקא אומן אלא הוא הדין כל אדם</w:t>
      </w:r>
      <w:r w:rsidRPr="00D849E8">
        <w:rPr>
          <w:rFonts w:cs="Arial" w:hint="cs"/>
          <w:rtl/>
        </w:rPr>
        <w:t>,</w:t>
      </w:r>
      <w:r w:rsidRPr="00D849E8">
        <w:rPr>
          <w:rFonts w:cs="Arial"/>
          <w:rtl/>
        </w:rPr>
        <w:t xml:space="preserve"> ולאו דוקא בידו אלא אפילו תחובה בבגדו</w:t>
      </w:r>
      <w:r w:rsidRPr="00D849E8">
        <w:rPr>
          <w:rFonts w:cs="Arial" w:hint="cs"/>
          <w:rtl/>
        </w:rPr>
        <w:t>.</w:t>
      </w:r>
      <w:r w:rsidRPr="00D849E8">
        <w:rPr>
          <w:rFonts w:cs="Arial"/>
          <w:rtl/>
        </w:rPr>
        <w:t xml:space="preserve"> וכן נראה סברת הריא"ף (ה.) שלא הביא אלא המשנה כצורתה והביא הך דתפלין מידכר דכיר ולא הביא ההיא דרבא דהיא גופה גזירה וכו'</w:t>
      </w:r>
      <w:r w:rsidRPr="00D849E8">
        <w:rPr>
          <w:rFonts w:cs="Arial" w:hint="cs"/>
          <w:rtl/>
        </w:rPr>
        <w:t>,</w:t>
      </w:r>
      <w:r w:rsidRPr="00D849E8">
        <w:rPr>
          <w:rFonts w:cs="Arial"/>
          <w:rtl/>
        </w:rPr>
        <w:t xml:space="preserve"> דלית הלכתא כוותיה דרבא</w:t>
      </w:r>
      <w:r w:rsidRPr="00D849E8">
        <w:rPr>
          <w:rFonts w:cs="Arial" w:hint="cs"/>
          <w:rtl/>
        </w:rPr>
        <w:t>.</w:t>
      </w:r>
      <w:r w:rsidRPr="00D849E8">
        <w:rPr>
          <w:rFonts w:cs="Arial"/>
          <w:rtl/>
        </w:rPr>
        <w:t xml:space="preserve"> הילכך לאו דוקא חייט אומן ולאו דוקא שהוציאה בידו אלא אפילו תחובה בבגדו</w:t>
      </w:r>
      <w:r w:rsidRPr="00D849E8">
        <w:rPr>
          <w:rFonts w:cs="Arial" w:hint="cs"/>
          <w:rtl/>
        </w:rPr>
        <w:t>.</w:t>
      </w:r>
      <w:r w:rsidRPr="00D849E8">
        <w:rPr>
          <w:rFonts w:cs="Arial"/>
          <w:rtl/>
        </w:rPr>
        <w:t xml:space="preserve"> אך קשה לי דבפרק המוצא תפלין (עירובין צט.) בההיא דלא יעמוד אדם ברשות הרבים וישתה ברשות היחיד נראה דפסק רי"ף (לב:) כרבא</w:t>
      </w:r>
      <w:r w:rsidRPr="00D849E8">
        <w:rPr>
          <w:rFonts w:cs="Arial" w:hint="cs"/>
          <w:rtl/>
        </w:rPr>
        <w:t>,</w:t>
      </w:r>
      <w:r w:rsidRPr="00D849E8">
        <w:rPr>
          <w:rFonts w:cs="Arial"/>
          <w:rtl/>
        </w:rPr>
        <w:t xml:space="preserve"> ואם הלכה כרבא אינו אסור תחובה בבגדו אלא דוקא באומן עכ"ל</w:t>
      </w:r>
      <w:r w:rsidRPr="00D849E8">
        <w:rPr>
          <w:rFonts w:cs="Arial" w:hint="cs"/>
          <w:rtl/>
        </w:rPr>
        <w:t>.</w:t>
      </w:r>
      <w:r w:rsidRPr="00D849E8">
        <w:rPr>
          <w:rFonts w:cs="Arial"/>
          <w:rtl/>
        </w:rPr>
        <w:t xml:space="preserve"> ותמיהא זו בעצמה יש לתמוה על הרא"ש</w:t>
      </w:r>
      <w:r w:rsidRPr="00D849E8">
        <w:rPr>
          <w:rFonts w:cs="Arial" w:hint="cs"/>
          <w:rtl/>
        </w:rPr>
        <w:t>,</w:t>
      </w:r>
      <w:r w:rsidRPr="00D849E8">
        <w:rPr>
          <w:rFonts w:cs="Arial"/>
          <w:rtl/>
        </w:rPr>
        <w:t xml:space="preserve"> שהרי כתב כדברי הרי"ף בפרק קמא דשבת (סי' כז) ובפרק המוצא תפלין (עירובין פ"י סי' ו) לא פחות ולא יתר. ואפשר לומר שהם פוסקין</w:t>
      </w:r>
      <w:r>
        <w:rPr>
          <w:rFonts w:hint="cs"/>
          <w:rtl/>
        </w:rPr>
        <w:t>-...</w:t>
      </w:r>
    </w:p>
  </w:footnote>
  <w:footnote w:id="386">
    <w:p w14:paraId="2B54AD85" w14:textId="77777777" w:rsidR="004B2E7C" w:rsidRDefault="004B2E7C" w:rsidP="00285819">
      <w:pPr>
        <w:pStyle w:val="a7"/>
      </w:pPr>
      <w:r>
        <w:rPr>
          <w:rStyle w:val="a9"/>
        </w:rPr>
        <w:footnoteRef/>
      </w:r>
      <w:r>
        <w:rPr>
          <w:rtl/>
        </w:rPr>
        <w:t xml:space="preserve"> </w:t>
      </w:r>
      <w:r w:rsidRPr="00D849E8">
        <w:rPr>
          <w:rFonts w:cs="Arial"/>
          <w:rtl/>
        </w:rPr>
        <w:t>והשתא אתי שפיר שכתבו מתניתין כצורתה ופסקו לדרבא דלא גזרינן גזירה לגזירה</w:t>
      </w:r>
      <w:r>
        <w:rPr>
          <w:rFonts w:cs="Arial" w:hint="cs"/>
          <w:rtl/>
        </w:rPr>
        <w:t>, ב"י. וכתב עוד הב"י-</w:t>
      </w:r>
      <w:r>
        <w:rPr>
          <w:rFonts w:cs="Arial"/>
          <w:rtl/>
        </w:rPr>
        <w:t xml:space="preserve"> ואם תאמר אם כן אמאי איצטריכינן בההיא דיוצא אדם בתפלין ערב שבת עם חשיכה למיהב טעמא משום דאינו מסיח דעתו מהם</w:t>
      </w:r>
      <w:r>
        <w:rPr>
          <w:rFonts w:cs="Arial" w:hint="cs"/>
          <w:rtl/>
        </w:rPr>
        <w:t>,</w:t>
      </w:r>
      <w:r>
        <w:rPr>
          <w:rFonts w:cs="Arial"/>
          <w:rtl/>
        </w:rPr>
        <w:t xml:space="preserve"> הא בלאו הכי שרי משום דאינו מוציאם בידו אלא על ראשו</w:t>
      </w:r>
      <w:r>
        <w:rPr>
          <w:rFonts w:cs="Arial" w:hint="cs"/>
          <w:rtl/>
        </w:rPr>
        <w:t>,</w:t>
      </w:r>
      <w:r>
        <w:rPr>
          <w:rFonts w:cs="Arial"/>
          <w:rtl/>
        </w:rPr>
        <w:t xml:space="preserve"> דדמי למחט תחובה בבגדו דהדיוט יוצא בה</w:t>
      </w:r>
      <w:r>
        <w:rPr>
          <w:rFonts w:cs="Arial" w:hint="cs"/>
          <w:rtl/>
        </w:rPr>
        <w:t>,</w:t>
      </w:r>
      <w:r>
        <w:rPr>
          <w:rFonts w:cs="Arial"/>
          <w:rtl/>
        </w:rPr>
        <w:t xml:space="preserve"> לפי שאפילו אם יצא בה כך בשבת פטור</w:t>
      </w:r>
      <w:r>
        <w:rPr>
          <w:rFonts w:cs="Arial" w:hint="cs"/>
          <w:rtl/>
        </w:rPr>
        <w:t>.</w:t>
      </w:r>
      <w:r>
        <w:rPr>
          <w:rFonts w:cs="Arial"/>
          <w:rtl/>
        </w:rPr>
        <w:t xml:space="preserve"> וכל שכן תפלין</w:t>
      </w:r>
      <w:r>
        <w:rPr>
          <w:rFonts w:cs="Arial" w:hint="cs"/>
          <w:rtl/>
        </w:rPr>
        <w:t>,</w:t>
      </w:r>
      <w:r>
        <w:rPr>
          <w:rFonts w:cs="Arial"/>
          <w:rtl/>
        </w:rPr>
        <w:t xml:space="preserve"> דאפילו למ"ד שבת לאו זמן תפלין הוא אם יצא בהם אינו חייב חטאת</w:t>
      </w:r>
      <w:r>
        <w:rPr>
          <w:rFonts w:cs="Arial" w:hint="cs"/>
          <w:rtl/>
        </w:rPr>
        <w:t>,</w:t>
      </w:r>
      <w:r>
        <w:rPr>
          <w:rFonts w:cs="Arial"/>
          <w:rtl/>
        </w:rPr>
        <w:t xml:space="preserve"> משום דדרך מלבוש עבידא כדאיתא בפרק במה אשה יוצאה (סא.)</w:t>
      </w:r>
      <w:r>
        <w:rPr>
          <w:rFonts w:cs="Arial" w:hint="cs"/>
          <w:rtl/>
        </w:rPr>
        <w:t>,</w:t>
      </w:r>
      <w:r>
        <w:rPr>
          <w:rFonts w:cs="Arial"/>
          <w:rtl/>
        </w:rPr>
        <w:t xml:space="preserve"> ולא עוד אלא דזימנין דנפיק בהו בשבת לכתחלה כדתנן בר"פ המוצא תפלין (עירובין צה.)</w:t>
      </w:r>
      <w:r>
        <w:rPr>
          <w:rFonts w:cs="Arial" w:hint="cs"/>
          <w:rtl/>
        </w:rPr>
        <w:t>,</w:t>
      </w:r>
      <w:r>
        <w:rPr>
          <w:rFonts w:cs="Arial"/>
          <w:rtl/>
        </w:rPr>
        <w:t xml:space="preserve"> דפשיטא דמותר לצאת בהם סמוך לחשיכה</w:t>
      </w:r>
      <w:r>
        <w:rPr>
          <w:rFonts w:cs="Arial" w:hint="cs"/>
          <w:rtl/>
        </w:rPr>
        <w:t>.</w:t>
      </w:r>
      <w:r>
        <w:rPr>
          <w:rFonts w:cs="Arial"/>
          <w:rtl/>
        </w:rPr>
        <w:t xml:space="preserve"> וי"ל דאין הכי נמי דליוצא בהם בראשו בלאו טעמא דאינו מסיח דעתו שרי</w:t>
      </w:r>
      <w:r>
        <w:rPr>
          <w:rFonts w:cs="Arial" w:hint="cs"/>
          <w:rtl/>
        </w:rPr>
        <w:t>,</w:t>
      </w:r>
      <w:r>
        <w:rPr>
          <w:rFonts w:cs="Arial"/>
          <w:rtl/>
        </w:rPr>
        <w:t xml:space="preserve"> ולא איצטריכינן להאי טעמא אלא ליוצא בהם כי נקיט להו בידיה</w:t>
      </w:r>
      <w:r>
        <w:rPr>
          <w:rFonts w:cs="Arial" w:hint="cs"/>
          <w:rtl/>
        </w:rPr>
        <w:t>,</w:t>
      </w:r>
      <w:r>
        <w:rPr>
          <w:rFonts w:cs="Arial"/>
          <w:rtl/>
        </w:rPr>
        <w:t xml:space="preserve"> או שהם צרורים בכנף בגדו</w:t>
      </w:r>
      <w:r>
        <w:rPr>
          <w:rFonts w:cs="Arial" w:hint="cs"/>
          <w:rtl/>
        </w:rPr>
        <w:t>,</w:t>
      </w:r>
      <w:r>
        <w:rPr>
          <w:rFonts w:cs="Arial"/>
          <w:rtl/>
        </w:rPr>
        <w:t xml:space="preserve"> דכהאי גוונא בשבת חייב חטאת</w:t>
      </w:r>
      <w:r>
        <w:rPr>
          <w:rFonts w:cs="Arial" w:hint="cs"/>
          <w:rtl/>
        </w:rPr>
        <w:t>,</w:t>
      </w:r>
      <w:r>
        <w:rPr>
          <w:rFonts w:cs="Arial"/>
          <w:rtl/>
        </w:rPr>
        <w:t xml:space="preserve"> ואפ"ה לא גזרו בו בערב שבת עם חשיכה משום דאינו מסיח דעתו מהם הילכך מידכר דכיר להו</w:t>
      </w:r>
      <w:r>
        <w:rPr>
          <w:rFonts w:cs="Arial" w:hint="cs"/>
          <w:rtl/>
        </w:rPr>
        <w:t>.</w:t>
      </w:r>
    </w:p>
  </w:footnote>
  <w:footnote w:id="387">
    <w:p w14:paraId="6A919B15" w14:textId="77777777" w:rsidR="004B2E7C" w:rsidRDefault="004B2E7C" w:rsidP="00285819">
      <w:pPr>
        <w:pStyle w:val="a7"/>
        <w:rPr>
          <w:rtl/>
        </w:rPr>
      </w:pPr>
      <w:r>
        <w:rPr>
          <w:rStyle w:val="a9"/>
        </w:rPr>
        <w:footnoteRef/>
      </w:r>
      <w:r>
        <w:rPr>
          <w:rtl/>
        </w:rPr>
        <w:t xml:space="preserve"> </w:t>
      </w:r>
      <w:r>
        <w:rPr>
          <w:rFonts w:hint="cs"/>
          <w:rtl/>
        </w:rPr>
        <w:t xml:space="preserve">כאן הטור לא חילק בין בידו ובין תחובה לו בבגדו, וז"ל- </w:t>
      </w:r>
      <w:r w:rsidRPr="00074C87">
        <w:rPr>
          <w:rFonts w:cs="Arial"/>
          <w:rtl/>
        </w:rPr>
        <w:t>לא יצא החייט במחטו ולא הלבלר בקולמוסו ע"ש סמוך לחשיכה שמא ישכח ויצא בהן בשבת</w:t>
      </w:r>
      <w:r>
        <w:rPr>
          <w:rFonts w:hint="cs"/>
          <w:rtl/>
        </w:rPr>
        <w:t>.</w:t>
      </w:r>
    </w:p>
  </w:footnote>
  <w:footnote w:id="388">
    <w:p w14:paraId="6EF777AD" w14:textId="77777777" w:rsidR="004B2E7C" w:rsidRDefault="004B2E7C" w:rsidP="00285819">
      <w:pPr>
        <w:pStyle w:val="a7"/>
      </w:pPr>
      <w:r>
        <w:rPr>
          <w:rStyle w:val="a9"/>
        </w:rPr>
        <w:footnoteRef/>
      </w:r>
      <w:r>
        <w:rPr>
          <w:rFonts w:hint="cs"/>
          <w:rtl/>
        </w:rPr>
        <w:t xml:space="preserve"> וז"ל- </w:t>
      </w:r>
      <w:r w:rsidRPr="005E654C">
        <w:rPr>
          <w:rFonts w:cs="Arial"/>
          <w:rtl/>
        </w:rPr>
        <w:t>ולא יצא במחט התחובה לו בבגדו בין נקובה בין שאינה נקובה ואם יצא פטור</w:t>
      </w:r>
      <w:r>
        <w:rPr>
          <w:rFonts w:cs="Arial" w:hint="cs"/>
          <w:rtl/>
        </w:rPr>
        <w:t>.</w:t>
      </w:r>
    </w:p>
  </w:footnote>
  <w:footnote w:id="389">
    <w:p w14:paraId="26B71C23" w14:textId="77777777" w:rsidR="004B2E7C" w:rsidRDefault="004B2E7C" w:rsidP="00285819">
      <w:pPr>
        <w:pStyle w:val="a7"/>
      </w:pPr>
      <w:r>
        <w:rPr>
          <w:rStyle w:val="a9"/>
        </w:rPr>
        <w:footnoteRef/>
      </w:r>
      <w:r w:rsidRPr="001B2A4A">
        <w:rPr>
          <w:rFonts w:cs="Arial"/>
          <w:rtl/>
        </w:rPr>
        <w:t xml:space="preserve"> </w:t>
      </w:r>
      <w:r w:rsidRPr="00D849E8">
        <w:rPr>
          <w:rFonts w:cs="Arial"/>
          <w:rtl/>
        </w:rPr>
        <w:t>וההיא דיוצא אדם בתפלין ערב שבת בהאי גוונא מיפרשא נמי</w:t>
      </w:r>
      <w:r>
        <w:rPr>
          <w:rFonts w:cs="Arial" w:hint="cs"/>
          <w:rtl/>
        </w:rPr>
        <w:t>,</w:t>
      </w:r>
      <w:r w:rsidRPr="00D849E8">
        <w:rPr>
          <w:rFonts w:cs="Arial"/>
          <w:rtl/>
        </w:rPr>
        <w:t xml:space="preserve"> שאם היה מוציאם בראשו בלאו טעמא דאינו מסיח דעתו מהם הוה שרי</w:t>
      </w:r>
      <w:r>
        <w:rPr>
          <w:rFonts w:cs="Arial" w:hint="cs"/>
          <w:rtl/>
        </w:rPr>
        <w:t>,</w:t>
      </w:r>
      <w:r w:rsidRPr="00D849E8">
        <w:rPr>
          <w:rFonts w:cs="Arial"/>
          <w:rtl/>
        </w:rPr>
        <w:t xml:space="preserve"> כיון דאי נפיק בהו הכי בשבת ליכא חיובא אלא במוציאם בידו היא</w:t>
      </w:r>
      <w:r>
        <w:rPr>
          <w:rFonts w:cs="Arial" w:hint="cs"/>
          <w:rtl/>
        </w:rPr>
        <w:t>,</w:t>
      </w:r>
      <w:r w:rsidRPr="00D849E8">
        <w:rPr>
          <w:rFonts w:cs="Arial"/>
          <w:rtl/>
        </w:rPr>
        <w:t xml:space="preserve"> ואי לאו טעמא דשלא יסיח דעתו מהם היה אסור בערב שבת דומיא דמחט. וכן כתב הרמב"ם בסוף פרק י"ט (הכ"ו) לא יצא החייט במחטו בידו ולא הלבלר בקולמוסו ערב שבת סמוך לחשיכה שמא ישכח ויוציא מותר לצאת בתפלין ערב שבת עם חשיכה הואיל וחייב אדם למשמש בתפיליו בכל עת אינו שוכחן</w:t>
      </w:r>
      <w:r w:rsidRPr="00D849E8">
        <w:rPr>
          <w:rFonts w:cs="Arial" w:hint="cs"/>
          <w:rtl/>
        </w:rPr>
        <w:t>.</w:t>
      </w:r>
      <w:r w:rsidRPr="00D849E8">
        <w:rPr>
          <w:rFonts w:cs="Arial"/>
          <w:rtl/>
        </w:rPr>
        <w:t xml:space="preserve"> הרי שכתב בהדיא גבי חייט דלא מיתסר אלא במחטו בידו</w:t>
      </w:r>
      <w:r>
        <w:rPr>
          <w:rFonts w:cs="Arial" w:hint="cs"/>
          <w:rtl/>
        </w:rPr>
        <w:t>,</w:t>
      </w:r>
      <w:r w:rsidRPr="00D849E8">
        <w:rPr>
          <w:rFonts w:cs="Arial"/>
          <w:rtl/>
        </w:rPr>
        <w:t xml:space="preserve"> והוא הדין ללבלר בקולמוסו</w:t>
      </w:r>
      <w:r>
        <w:rPr>
          <w:rFonts w:cs="Arial" w:hint="cs"/>
          <w:rtl/>
        </w:rPr>
        <w:t>,</w:t>
      </w:r>
      <w:r w:rsidRPr="00D849E8">
        <w:rPr>
          <w:rFonts w:cs="Arial"/>
          <w:rtl/>
        </w:rPr>
        <w:t xml:space="preserve"> ומדקתני תפלין בהדייהו משמע דביוצא בהם בידו קאמר</w:t>
      </w:r>
      <w:r>
        <w:rPr>
          <w:rFonts w:cs="Arial" w:hint="cs"/>
          <w:rtl/>
        </w:rPr>
        <w:t>,</w:t>
      </w:r>
      <w:r w:rsidRPr="00D849E8">
        <w:rPr>
          <w:rFonts w:cs="Arial"/>
          <w:rtl/>
        </w:rPr>
        <w:t xml:space="preserve"> דומיא דחייט במחטו בידו</w:t>
      </w:r>
      <w:r>
        <w:rPr>
          <w:rFonts w:cs="Arial" w:hint="cs"/>
          <w:rtl/>
        </w:rPr>
        <w:t>.</w:t>
      </w:r>
      <w:r w:rsidRPr="00D849E8">
        <w:rPr>
          <w:rFonts w:cs="Arial"/>
          <w:rtl/>
        </w:rPr>
        <w:t xml:space="preserve"> ומשום הכי איצטריך לטעמא דכיון דחייב למשמש בהם כל שעה אינו שוכחן</w:t>
      </w:r>
      <w:r w:rsidRPr="00D849E8">
        <w:rPr>
          <w:rFonts w:cs="Arial" w:hint="cs"/>
          <w:rtl/>
        </w:rPr>
        <w:t>.</w:t>
      </w:r>
      <w:r w:rsidRPr="00D849E8">
        <w:rPr>
          <w:rFonts w:cs="Arial"/>
          <w:rtl/>
        </w:rPr>
        <w:t xml:space="preserve"> ועוד יש להוכיח דכי אמר מותר לצאת בתפלין ערב שבת עם חשיכה ביוצא בהם בידו מיירי</w:t>
      </w:r>
      <w:r>
        <w:rPr>
          <w:rFonts w:cs="Arial" w:hint="cs"/>
          <w:rtl/>
        </w:rPr>
        <w:t>,</w:t>
      </w:r>
      <w:r w:rsidRPr="00D849E8">
        <w:rPr>
          <w:rFonts w:cs="Arial"/>
          <w:rtl/>
        </w:rPr>
        <w:t xml:space="preserve"> מדלא קתני מותר לצאת בתפלין בראשו</w:t>
      </w:r>
      <w:r w:rsidRPr="00D849E8">
        <w:rPr>
          <w:rFonts w:cs="Arial" w:hint="cs"/>
          <w:rtl/>
        </w:rPr>
        <w:t>.</w:t>
      </w:r>
      <w:r w:rsidRPr="00D849E8">
        <w:rPr>
          <w:rFonts w:cs="Arial"/>
          <w:rtl/>
        </w:rPr>
        <w:t xml:space="preserve"> ובסמוך כתב שכח ויצא בהם לרשות הרבים ונזכר שיש לו תפלין בראשו</w:t>
      </w:r>
      <w:r>
        <w:rPr>
          <w:rFonts w:cs="Arial" w:hint="cs"/>
          <w:rtl/>
        </w:rPr>
        <w:t>,</w:t>
      </w:r>
      <w:r w:rsidRPr="00D849E8">
        <w:rPr>
          <w:rFonts w:cs="Arial"/>
          <w:rtl/>
        </w:rPr>
        <w:t xml:space="preserve"> משמע דכי קתני מותר לצאת בתפלין הואיל וחייב למשמש ביוצא בהם בידו היא</w:t>
      </w:r>
      <w:r>
        <w:rPr>
          <w:rFonts w:cs="Arial" w:hint="cs"/>
          <w:rtl/>
        </w:rPr>
        <w:t>.</w:t>
      </w:r>
      <w:r w:rsidRPr="00D849E8">
        <w:rPr>
          <w:rFonts w:cs="Arial"/>
          <w:rtl/>
        </w:rPr>
        <w:t xml:space="preserve"> ואפשר שזה היה דעת הרי"ף והרא"ש</w:t>
      </w:r>
      <w:r>
        <w:rPr>
          <w:rFonts w:cs="Arial" w:hint="cs"/>
          <w:rtl/>
        </w:rPr>
        <w:t>,</w:t>
      </w:r>
      <w:r w:rsidRPr="00D849E8">
        <w:rPr>
          <w:rFonts w:cs="Arial"/>
          <w:rtl/>
        </w:rPr>
        <w:t xml:space="preserve"> ואפשר לומר שכן דעת רבינו</w:t>
      </w:r>
      <w:r>
        <w:rPr>
          <w:rFonts w:cs="Arial" w:hint="cs"/>
          <w:rtl/>
        </w:rPr>
        <w:t>,</w:t>
      </w:r>
      <w:r w:rsidRPr="00D849E8">
        <w:rPr>
          <w:rFonts w:cs="Arial"/>
          <w:rtl/>
        </w:rPr>
        <w:t xml:space="preserve"> ואף על פי שכתב אבל בתפלין מותר לצאת וכו' שאסור להסיח דעתו מהם בעודם בראשו</w:t>
      </w:r>
      <w:r>
        <w:rPr>
          <w:rFonts w:cs="Arial" w:hint="cs"/>
          <w:rtl/>
        </w:rPr>
        <w:t>,</w:t>
      </w:r>
      <w:r w:rsidRPr="00D849E8">
        <w:rPr>
          <w:rFonts w:cs="Arial"/>
          <w:rtl/>
        </w:rPr>
        <w:t xml:space="preserve"> יש לומר דהכי קאמר כיון דאפילו כשהם בראשו אסור להסיח דעתו מהם כל שכן כשהם בידו</w:t>
      </w:r>
      <w:r>
        <w:rPr>
          <w:rFonts w:cs="Arial" w:hint="cs"/>
          <w:rtl/>
        </w:rPr>
        <w:t>, ב"י. וכתב הדרכ"מ (אות ט) ד</w:t>
      </w:r>
      <w:r w:rsidRPr="001B2A4A">
        <w:rPr>
          <w:rFonts w:cs="Arial"/>
          <w:rtl/>
        </w:rPr>
        <w:t>מ</w:t>
      </w:r>
      <w:r>
        <w:rPr>
          <w:rFonts w:cs="Arial" w:hint="cs"/>
          <w:rtl/>
        </w:rPr>
        <w:t xml:space="preserve">כל </w:t>
      </w:r>
      <w:r w:rsidRPr="001B2A4A">
        <w:rPr>
          <w:rFonts w:cs="Arial"/>
          <w:rtl/>
        </w:rPr>
        <w:t>מ</w:t>
      </w:r>
      <w:r>
        <w:rPr>
          <w:rFonts w:cs="Arial" w:hint="cs"/>
          <w:rtl/>
        </w:rPr>
        <w:t>קום</w:t>
      </w:r>
      <w:r w:rsidRPr="001B2A4A">
        <w:rPr>
          <w:rFonts w:cs="Arial"/>
          <w:rtl/>
        </w:rPr>
        <w:t xml:space="preserve"> צ"ע דהכא משמע דאסור להסיח דעתו מן התפילין כלל</w:t>
      </w:r>
      <w:r>
        <w:rPr>
          <w:rFonts w:cs="Arial" w:hint="cs"/>
          <w:rtl/>
        </w:rPr>
        <w:t>,</w:t>
      </w:r>
      <w:r w:rsidRPr="001B2A4A">
        <w:rPr>
          <w:rFonts w:cs="Arial"/>
          <w:rtl/>
        </w:rPr>
        <w:t xml:space="preserve"> ולעיל סימן מ"ד משמע דלא מיקרי היסח הדעת אלא קלות ראש</w:t>
      </w:r>
      <w:r>
        <w:rPr>
          <w:rFonts w:cs="Arial" w:hint="cs"/>
          <w:rtl/>
        </w:rPr>
        <w:t>.</w:t>
      </w:r>
      <w:r w:rsidRPr="001B2A4A">
        <w:rPr>
          <w:rFonts w:cs="Arial"/>
          <w:rtl/>
        </w:rPr>
        <w:t xml:space="preserve"> ונראה לומר דה"ק הואיל ואסור להסיח דעתו מהם בקלות ראש לכן זוכרן תמיד ומסלקן בשבת</w:t>
      </w:r>
      <w:r>
        <w:rPr>
          <w:rFonts w:cs="Arial" w:hint="cs"/>
          <w:rtl/>
        </w:rPr>
        <w:t>.</w:t>
      </w:r>
    </w:p>
  </w:footnote>
  <w:footnote w:id="390">
    <w:p w14:paraId="59BF40F5" w14:textId="77777777" w:rsidR="004B2E7C" w:rsidRDefault="004B2E7C" w:rsidP="00285819">
      <w:pPr>
        <w:pStyle w:val="a7"/>
        <w:rPr>
          <w:rtl/>
        </w:rPr>
      </w:pPr>
      <w:r>
        <w:rPr>
          <w:rStyle w:val="a9"/>
        </w:rPr>
        <w:footnoteRef/>
      </w:r>
      <w:r>
        <w:rPr>
          <w:rtl/>
        </w:rPr>
        <w:t xml:space="preserve"> </w:t>
      </w:r>
      <w:r>
        <w:rPr>
          <w:rFonts w:hint="cs"/>
          <w:rtl/>
        </w:rPr>
        <w:t>עיין בהערה לעיל (בסוף דברי הרמב"ם והטור) דכתב הב"י שאפשר לפרש דברי הטור כהרמב"ם</w:t>
      </w:r>
      <w:r w:rsidRPr="00204BD0">
        <w:rPr>
          <w:rFonts w:cs="Arial"/>
          <w:sz w:val="16"/>
          <w:szCs w:val="16"/>
          <w:rtl/>
        </w:rPr>
        <w:t xml:space="preserve"> </w:t>
      </w:r>
      <w:r w:rsidRPr="00204BD0">
        <w:rPr>
          <w:rFonts w:cs="Arial" w:hint="cs"/>
          <w:sz w:val="16"/>
          <w:szCs w:val="16"/>
          <w:rtl/>
        </w:rPr>
        <w:t>(</w:t>
      </w:r>
      <w:r w:rsidRPr="00204BD0">
        <w:rPr>
          <w:rFonts w:cs="Arial"/>
          <w:sz w:val="16"/>
          <w:szCs w:val="16"/>
          <w:rtl/>
        </w:rPr>
        <w:t>דהכי קאמר כיון דאפילו כשהם בראשו אסור להסיח דעתו מהם כל שכן כשהם בידו</w:t>
      </w:r>
      <w:r w:rsidRPr="00204BD0">
        <w:rPr>
          <w:rFonts w:cs="Arial" w:hint="cs"/>
          <w:sz w:val="16"/>
          <w:szCs w:val="16"/>
          <w:rtl/>
        </w:rPr>
        <w:t>)</w:t>
      </w:r>
      <w:r>
        <w:rPr>
          <w:rFonts w:cs="Arial" w:hint="cs"/>
          <w:rtl/>
        </w:rPr>
        <w:t>.</w:t>
      </w:r>
    </w:p>
  </w:footnote>
  <w:footnote w:id="391">
    <w:p w14:paraId="192BD378" w14:textId="77777777" w:rsidR="004B2E7C" w:rsidRDefault="004B2E7C" w:rsidP="00285819">
      <w:pPr>
        <w:pStyle w:val="a7"/>
      </w:pPr>
      <w:r>
        <w:rPr>
          <w:rStyle w:val="a9"/>
        </w:rPr>
        <w:footnoteRef/>
      </w:r>
      <w:r>
        <w:rPr>
          <w:rtl/>
        </w:rPr>
        <w:t xml:space="preserve"> </w:t>
      </w:r>
      <w:r w:rsidRPr="00D849E8">
        <w:rPr>
          <w:rFonts w:cs="Arial"/>
          <w:rtl/>
        </w:rPr>
        <w:t>הרי שכתב בהדיא גבי חייט דלא מיתסר אלא במחטו בידו</w:t>
      </w:r>
      <w:r>
        <w:rPr>
          <w:rFonts w:cs="Arial" w:hint="cs"/>
          <w:rtl/>
        </w:rPr>
        <w:t>,</w:t>
      </w:r>
      <w:r w:rsidRPr="00D849E8">
        <w:rPr>
          <w:rFonts w:cs="Arial"/>
          <w:rtl/>
        </w:rPr>
        <w:t xml:space="preserve"> והוא הדין ללבלר בקולמוסו</w:t>
      </w:r>
      <w:r>
        <w:rPr>
          <w:rFonts w:cs="Arial" w:hint="cs"/>
          <w:rtl/>
        </w:rPr>
        <w:t>,</w:t>
      </w:r>
      <w:r w:rsidRPr="00D849E8">
        <w:rPr>
          <w:rFonts w:cs="Arial"/>
          <w:rtl/>
        </w:rPr>
        <w:t xml:space="preserve"> ומדקתני תפלין בהדייהו משמע דביוצא בהם בידו קאמר</w:t>
      </w:r>
      <w:r>
        <w:rPr>
          <w:rFonts w:cs="Arial" w:hint="cs"/>
          <w:rtl/>
        </w:rPr>
        <w:t>,</w:t>
      </w:r>
      <w:r w:rsidRPr="00D849E8">
        <w:rPr>
          <w:rFonts w:cs="Arial"/>
          <w:rtl/>
        </w:rPr>
        <w:t xml:space="preserve"> דומיא דחייט במחטו בידו</w:t>
      </w:r>
      <w:r>
        <w:rPr>
          <w:rFonts w:cs="Arial" w:hint="cs"/>
          <w:rtl/>
        </w:rPr>
        <w:t>, ב"י.</w:t>
      </w:r>
    </w:p>
  </w:footnote>
  <w:footnote w:id="392">
    <w:p w14:paraId="415C5B9D" w14:textId="77777777" w:rsidR="004B2E7C" w:rsidRDefault="004B2E7C" w:rsidP="00285819">
      <w:pPr>
        <w:pStyle w:val="a7"/>
      </w:pPr>
      <w:r>
        <w:rPr>
          <w:rStyle w:val="a9"/>
        </w:rPr>
        <w:footnoteRef/>
      </w:r>
      <w:r>
        <w:rPr>
          <w:rtl/>
        </w:rPr>
        <w:t xml:space="preserve"> </w:t>
      </w:r>
      <w:r w:rsidRPr="00204BD0">
        <w:rPr>
          <w:rFonts w:cs="Arial"/>
          <w:rtl/>
        </w:rPr>
        <w:t>וה"ה כשאוחז שאר חפץ בידו</w:t>
      </w:r>
      <w:r>
        <w:rPr>
          <w:rFonts w:cs="Arial" w:hint="cs"/>
          <w:rtl/>
        </w:rPr>
        <w:t>, משנ"ב (סקנ"א).</w:t>
      </w:r>
    </w:p>
  </w:footnote>
  <w:footnote w:id="393">
    <w:p w14:paraId="0F3378A5" w14:textId="77777777" w:rsidR="004B2E7C" w:rsidRDefault="004B2E7C" w:rsidP="00285819">
      <w:pPr>
        <w:pStyle w:val="a7"/>
        <w:rPr>
          <w:rtl/>
        </w:rPr>
      </w:pPr>
      <w:r>
        <w:rPr>
          <w:rStyle w:val="a9"/>
        </w:rPr>
        <w:footnoteRef/>
      </w:r>
      <w:r>
        <w:rPr>
          <w:rtl/>
        </w:rPr>
        <w:t xml:space="preserve"> </w:t>
      </w:r>
      <w:r w:rsidRPr="00204BD0">
        <w:rPr>
          <w:rFonts w:cs="Arial"/>
          <w:rtl/>
        </w:rPr>
        <w:t>וה"ה כשיש לו שאר חפץ מונח לו בכיסו דדרך הוצאה היא וחייב בשבת</w:t>
      </w:r>
      <w:r>
        <w:rPr>
          <w:rFonts w:cs="Arial" w:hint="cs"/>
          <w:rtl/>
        </w:rPr>
        <w:t>,</w:t>
      </w:r>
      <w:r w:rsidRPr="00204BD0">
        <w:rPr>
          <w:rFonts w:cs="Arial"/>
          <w:rtl/>
        </w:rPr>
        <w:t xml:space="preserve"> ואסרו לצאת בו מביתו סמוך לחשיכה שמא ישכח ויוציא משתחשך</w:t>
      </w:r>
      <w:r>
        <w:rPr>
          <w:rFonts w:cs="Arial" w:hint="cs"/>
          <w:rtl/>
        </w:rPr>
        <w:t>.</w:t>
      </w:r>
      <w:r w:rsidRPr="00204BD0">
        <w:rPr>
          <w:rFonts w:cs="Arial"/>
          <w:rtl/>
        </w:rPr>
        <w:t xml:space="preserve"> אבל מותר לצאת לר"ה סמוך לחשיכה במחט התחובה לו בבגדו [במקום שאין דרך להוציא כן בחול] וכל כיו"ב בענין שאם היה יוצא בו בשבת פטור מדאורייתא</w:t>
      </w:r>
      <w:r>
        <w:rPr>
          <w:rFonts w:cs="Arial" w:hint="cs"/>
          <w:rtl/>
        </w:rPr>
        <w:t>,</w:t>
      </w:r>
      <w:r w:rsidRPr="00204BD0">
        <w:rPr>
          <w:rFonts w:cs="Arial"/>
          <w:rtl/>
        </w:rPr>
        <w:t xml:space="preserve"> כמבואר לקמן בסימן ש"א</w:t>
      </w:r>
      <w:r>
        <w:rPr>
          <w:rFonts w:cs="Arial" w:hint="cs"/>
          <w:rtl/>
        </w:rPr>
        <w:t>.</w:t>
      </w:r>
      <w:r w:rsidRPr="00204BD0">
        <w:rPr>
          <w:rFonts w:cs="Arial"/>
          <w:rtl/>
        </w:rPr>
        <w:t xml:space="preserve"> ואף שעכ"פ מדרבנן אסור</w:t>
      </w:r>
      <w:r>
        <w:rPr>
          <w:rFonts w:cs="Arial" w:hint="cs"/>
          <w:rtl/>
        </w:rPr>
        <w:t>,</w:t>
      </w:r>
      <w:r w:rsidRPr="00204BD0">
        <w:rPr>
          <w:rFonts w:cs="Arial"/>
          <w:rtl/>
        </w:rPr>
        <w:t xml:space="preserve"> לא גזרו חז"ל גזירה לגזירה</w:t>
      </w:r>
      <w:r>
        <w:rPr>
          <w:rFonts w:cs="Arial" w:hint="cs"/>
          <w:rtl/>
        </w:rPr>
        <w:t>.</w:t>
      </w:r>
      <w:r w:rsidRPr="00204BD0">
        <w:rPr>
          <w:rFonts w:cs="Arial"/>
          <w:rtl/>
        </w:rPr>
        <w:t xml:space="preserve"> ולפ"ז האידנא דליכא ר"ה אלא כרמלית שרי לצאת בחפץ שבידו סמוך לחשיכה [היינו קודם שקיעה]</w:t>
      </w:r>
      <w:r>
        <w:rPr>
          <w:rFonts w:cs="Arial" w:hint="cs"/>
          <w:rtl/>
        </w:rPr>
        <w:t>,</w:t>
      </w:r>
      <w:r w:rsidRPr="00204BD0">
        <w:rPr>
          <w:rFonts w:cs="Arial"/>
          <w:rtl/>
        </w:rPr>
        <w:t xml:space="preserve"> דלא הוי אלא גזירה לגזירה [מ"א]</w:t>
      </w:r>
      <w:r>
        <w:rPr>
          <w:rFonts w:cs="Arial" w:hint="cs"/>
          <w:rtl/>
        </w:rPr>
        <w:t>.</w:t>
      </w:r>
      <w:r w:rsidRPr="00204BD0">
        <w:rPr>
          <w:rFonts w:cs="Arial"/>
          <w:rtl/>
        </w:rPr>
        <w:t xml:space="preserve"> מיהו לדעת הרבה פוסקים והמחבר מכללם גם בזה"ז איכא ר"ה כמו שמוכח בסימן שמ"ה [תוספות שבת]</w:t>
      </w:r>
      <w:r>
        <w:rPr>
          <w:rFonts w:cs="Arial" w:hint="cs"/>
          <w:rtl/>
        </w:rPr>
        <w:t>.</w:t>
      </w:r>
      <w:r w:rsidRPr="00204BD0">
        <w:rPr>
          <w:rFonts w:cs="Arial"/>
          <w:rtl/>
        </w:rPr>
        <w:t xml:space="preserve"> ולפי מה שכתב הגר"א בבאורו אסור סמוך לשקיעה ממש אפילו לכרמלית</w:t>
      </w:r>
      <w:r>
        <w:rPr>
          <w:rFonts w:hint="cs"/>
          <w:rtl/>
        </w:rPr>
        <w:t>, משנ"ב (סקנ"ב).</w:t>
      </w:r>
    </w:p>
  </w:footnote>
  <w:footnote w:id="394">
    <w:p w14:paraId="44A806EA" w14:textId="77777777" w:rsidR="004B2E7C" w:rsidRDefault="004B2E7C" w:rsidP="00285819">
      <w:pPr>
        <w:pStyle w:val="a7"/>
        <w:rPr>
          <w:rtl/>
        </w:rPr>
      </w:pPr>
      <w:r>
        <w:rPr>
          <w:rStyle w:val="a9"/>
        </w:rPr>
        <w:footnoteRef/>
      </w:r>
      <w:r>
        <w:rPr>
          <w:rtl/>
        </w:rPr>
        <w:t xml:space="preserve"> </w:t>
      </w:r>
      <w:r w:rsidRPr="00074C87">
        <w:rPr>
          <w:rFonts w:cs="Arial"/>
          <w:rtl/>
        </w:rPr>
        <w:t>ובכל בו (ריש סי' לא, כה ע"ג) ויתיר חגורו להתיר מה שתלוי בה</w:t>
      </w:r>
      <w:r>
        <w:rPr>
          <w:rFonts w:cs="Arial" w:hint="cs"/>
          <w:rtl/>
        </w:rPr>
        <w:t>, דרכ"מ (אות ח).</w:t>
      </w:r>
    </w:p>
  </w:footnote>
  <w:footnote w:id="395">
    <w:p w14:paraId="7D1E28F4" w14:textId="77777777" w:rsidR="004B2E7C" w:rsidRDefault="004B2E7C" w:rsidP="00285819">
      <w:pPr>
        <w:pStyle w:val="a7"/>
      </w:pPr>
      <w:r>
        <w:rPr>
          <w:rStyle w:val="a9"/>
        </w:rPr>
        <w:footnoteRef/>
      </w:r>
      <w:r>
        <w:rPr>
          <w:rtl/>
        </w:rPr>
        <w:t xml:space="preserve"> </w:t>
      </w:r>
      <w:r w:rsidRPr="00852B77">
        <w:rPr>
          <w:rFonts w:cs="Arial"/>
          <w:rtl/>
        </w:rPr>
        <w:t>נראה דה"ה בשבת אם הוא רוצה לצאת חוץ לעירוב והוא רגיל לשאת בכיסו דבר המותר לטלטל שצריך למשמש מתחלה</w:t>
      </w:r>
      <w:r>
        <w:rPr>
          <w:rFonts w:cs="Arial" w:hint="cs"/>
          <w:rtl/>
        </w:rPr>
        <w:t>, משנ"ב (סקנ"ו).</w:t>
      </w:r>
    </w:p>
  </w:footnote>
  <w:footnote w:id="396">
    <w:p w14:paraId="091612B4"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הרמב"ם פירש - פסולת של זיתים, וכ"כ בשו"ע. אך רש"י פירש - פסולת של שומשומין.</w:t>
      </w:r>
    </w:p>
  </w:footnote>
  <w:footnote w:id="397">
    <w:p w14:paraId="2ED832D2"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הרמב"ם פירש – שמוציא את הגחלים לחוץ, וכ"כ בשו"ע. אך הרז"ה והר"ן פירשו – שגורף את כל הגחלים לצד אחד, שאם גרף את כל הגחלים והוציאם לחוץ אפילו בתנור שרי (לד' הרז"ה אך הר"ן עצמו כ' גם בתנור שגרף הגחלים לחוץ אסור, וכ"כ הרמב"ם רמב"ן ורשב"א).</w:t>
      </w:r>
    </w:p>
  </w:footnote>
  <w:footnote w:id="398">
    <w:p w14:paraId="37227B4E"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והיינו לא בישל כל צרכו, רש"י.</w:t>
      </w:r>
    </w:p>
  </w:footnote>
  <w:footnote w:id="399">
    <w:p w14:paraId="40E13115"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ואסור למוצאי שבת בכדי שיעשו, הגהות אשיר"י (סי' ג).</w:t>
      </w:r>
    </w:p>
  </w:footnote>
  <w:footnote w:id="400">
    <w:p w14:paraId="1A24D2FD"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הרי"ף והרמב"ם גרסו כאן "עבר ושכח" במקום "עבר ושהה", והם מפרשים דבעי' ראשונה </w:t>
      </w:r>
      <w:r w:rsidRPr="008C1C8E">
        <w:rPr>
          <w:rFonts w:asciiTheme="minorBidi" w:hAnsiTheme="minorBidi"/>
          <w:sz w:val="16"/>
          <w:szCs w:val="16"/>
          <w:rtl/>
        </w:rPr>
        <w:t>("שכח קדירה")</w:t>
      </w:r>
      <w:r w:rsidRPr="008C1C8E">
        <w:rPr>
          <w:rFonts w:asciiTheme="minorBidi" w:hAnsiTheme="minorBidi"/>
          <w:rtl/>
        </w:rPr>
        <w:t xml:space="preserve"> מדובר ששכח תבשיל שלא נתבשל כל צרכו קודם שבת, והבעיא השניה </w:t>
      </w:r>
      <w:r w:rsidRPr="008C1C8E">
        <w:rPr>
          <w:rFonts w:asciiTheme="minorBidi" w:hAnsiTheme="minorBidi"/>
          <w:sz w:val="16"/>
          <w:szCs w:val="16"/>
          <w:rtl/>
        </w:rPr>
        <w:t>("עבר ושכח" לפי גירסתם)</w:t>
      </w:r>
      <w:r w:rsidRPr="008C1C8E">
        <w:rPr>
          <w:rFonts w:asciiTheme="minorBidi" w:hAnsiTheme="minorBidi"/>
          <w:rtl/>
        </w:rPr>
        <w:t xml:space="preserve"> מדברת במקרה ששכח תבשיל שנתבשל כל צרכו </w:t>
      </w:r>
      <w:r w:rsidRPr="008C1C8E">
        <w:rPr>
          <w:rFonts w:asciiTheme="minorBidi" w:hAnsiTheme="minorBidi"/>
          <w:sz w:val="16"/>
          <w:szCs w:val="16"/>
          <w:rtl/>
        </w:rPr>
        <w:t>(היינו מצטמק ויפה לו)</w:t>
      </w:r>
      <w:r w:rsidRPr="008C1C8E">
        <w:rPr>
          <w:rFonts w:asciiTheme="minorBidi" w:hAnsiTheme="minorBidi"/>
          <w:rtl/>
        </w:rPr>
        <w:t>, ובבעיא הראשונה איפשטא שקנסוהו רבנן, ובבעיא השניה לא איפשטא ואזלינן לקולא.</w:t>
      </w:r>
    </w:p>
  </w:footnote>
  <w:footnote w:id="401">
    <w:p w14:paraId="11BEFE04"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משום דכל הני עבדי גחלים וחיישינן שמא יחתה בהם, וה"ה גללי בהמה גסה, וי"א דה"ה לפסולת שושומין, מ"ב (סק"ב-ד).</w:t>
      </w:r>
    </w:p>
  </w:footnote>
  <w:footnote w:id="402">
    <w:p w14:paraId="6723AB94"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ואז מותר גם בתוך תנור, שכל מה שמותר בשהייה על כירה שאינה גרופה או כתומה מותר בשהייה בתנור, ב"י.</w:t>
      </w:r>
    </w:p>
  </w:footnote>
  <w:footnote w:id="403">
    <w:p w14:paraId="5E7A3B95"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אפי' התבשיל הוחם, דכל שלא נתבשל שרי ליתנו סמוך לחשיכה ממש, אבל אם נתנו מבעו"י אסור, דכבר נתבשל קצת קודם שבת וצריך לסלקו משחשיכה, מג"א וכל הפוסקים, אך הב"ח כ' שעד שמגיע לכמאב"ד הוי ליה כחי, והקשה עליו הט"ז</w:t>
      </w:r>
      <w:r w:rsidRPr="008C1C8E">
        <w:rPr>
          <w:rFonts w:asciiTheme="minorBidi" w:hAnsiTheme="minorBidi"/>
          <w:sz w:val="16"/>
          <w:szCs w:val="16"/>
          <w:rtl/>
        </w:rPr>
        <w:t xml:space="preserve"> (סק"א)</w:t>
      </w:r>
      <w:r w:rsidRPr="008C1C8E">
        <w:rPr>
          <w:rFonts w:asciiTheme="minorBidi" w:hAnsiTheme="minorBidi"/>
          <w:rtl/>
        </w:rPr>
        <w:t xml:space="preserve"> שאם נגיד כן יוצא לדעת רש"י וסיעתו שמותר להשהות את התבשיל כל שלא הגיע לכמאכל בן דרוסאי משום קידרא חייתא, וגם לאחמ"כ מותר משום "בשיל שפיר דמי", וזה אינו, וכך מבורר מדברי כל הפוסקים.</w:t>
      </w:r>
    </w:p>
  </w:footnote>
  <w:footnote w:id="404">
    <w:p w14:paraId="124CB5C6"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כל דבר שאדם שמח כשיבש ומצטמק, רמב"ן, הובא במג"א. </w:t>
      </w:r>
    </w:p>
  </w:footnote>
  <w:footnote w:id="405">
    <w:p w14:paraId="23E61CF6"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ואינו צריך לקטום עד שלא ניכר שם אש כלל, ר"ן. וכן בגחלים של רותם </w:t>
      </w:r>
      <w:r w:rsidRPr="008C1C8E">
        <w:rPr>
          <w:rFonts w:asciiTheme="minorBidi" w:hAnsiTheme="minorBidi"/>
          <w:sz w:val="16"/>
          <w:szCs w:val="16"/>
          <w:rtl/>
        </w:rPr>
        <w:t>(אע"פ שאינם ממהרים להכבות)</w:t>
      </w:r>
      <w:r w:rsidRPr="008C1C8E">
        <w:rPr>
          <w:rFonts w:asciiTheme="minorBidi" w:hAnsiTheme="minorBidi"/>
          <w:rtl/>
        </w:rPr>
        <w:t xml:space="preserve">. ואם הגחלים עממו או שנתן עליה נעורת פשתן דקה הרי היא כקטומה, גמרא </w:t>
      </w:r>
      <w:r w:rsidRPr="008C1C8E">
        <w:rPr>
          <w:rFonts w:asciiTheme="minorBidi" w:hAnsiTheme="minorBidi"/>
          <w:sz w:val="16"/>
          <w:szCs w:val="16"/>
          <w:rtl/>
        </w:rPr>
        <w:t xml:space="preserve">(לז סוע"א) </w:t>
      </w:r>
      <w:r w:rsidRPr="008C1C8E">
        <w:rPr>
          <w:rFonts w:asciiTheme="minorBidi" w:hAnsiTheme="minorBidi"/>
          <w:rtl/>
        </w:rPr>
        <w:t xml:space="preserve"> וכ"כ הרמב"ם </w:t>
      </w:r>
      <w:r w:rsidRPr="008C1C8E">
        <w:rPr>
          <w:rFonts w:asciiTheme="minorBidi" w:hAnsiTheme="minorBidi"/>
          <w:sz w:val="16"/>
          <w:szCs w:val="16"/>
          <w:rtl/>
        </w:rPr>
        <w:t>(פ"ג ה"ד)</w:t>
      </w:r>
      <w:r w:rsidRPr="008C1C8E">
        <w:rPr>
          <w:rFonts w:asciiTheme="minorBidi" w:hAnsiTheme="minorBidi"/>
          <w:rtl/>
        </w:rPr>
        <w:t xml:space="preserve">. ואפי' הובערה אח"כ שרי </w:t>
      </w:r>
      <w:r w:rsidRPr="008C1C8E">
        <w:rPr>
          <w:rFonts w:asciiTheme="minorBidi" w:hAnsiTheme="minorBidi"/>
          <w:sz w:val="16"/>
          <w:szCs w:val="16"/>
          <w:rtl/>
        </w:rPr>
        <w:t xml:space="preserve"> </w:t>
      </w:r>
      <w:r w:rsidRPr="008C1C8E">
        <w:rPr>
          <w:rFonts w:asciiTheme="minorBidi" w:hAnsiTheme="minorBidi"/>
          <w:rtl/>
        </w:rPr>
        <w:t xml:space="preserve">כיון דגילה דעתו דלא בעי לגחלים סגי, גמרא </w:t>
      </w:r>
      <w:r w:rsidRPr="008C1C8E">
        <w:rPr>
          <w:rFonts w:asciiTheme="minorBidi" w:hAnsiTheme="minorBidi"/>
          <w:sz w:val="16"/>
          <w:szCs w:val="16"/>
          <w:rtl/>
        </w:rPr>
        <w:t>(לז ע"ב)</w:t>
      </w:r>
      <w:r w:rsidRPr="008C1C8E">
        <w:rPr>
          <w:rFonts w:asciiTheme="minorBidi" w:hAnsiTheme="minorBidi"/>
          <w:rtl/>
        </w:rPr>
        <w:t xml:space="preserve">, </w:t>
      </w:r>
      <w:r w:rsidRPr="008C1C8E">
        <w:rPr>
          <w:rFonts w:asciiTheme="minorBidi" w:hAnsiTheme="minorBidi"/>
          <w:color w:val="FF0000"/>
          <w:rtl/>
        </w:rPr>
        <w:t>אך התוס' והרשב"א כ' שאם הובערה אח"כ דינה כקטומה רק לתבשיל שבושל כל צורכו, רעק"א.</w:t>
      </w:r>
    </w:p>
  </w:footnote>
  <w:footnote w:id="406">
    <w:p w14:paraId="4DF1CD67"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דוקא חתיכת בשר שא"א להתבשל לצורך הלילה אבל ירק לא מהני, מג"א.</w:t>
      </w:r>
    </w:p>
  </w:footnote>
  <w:footnote w:id="407">
    <w:p w14:paraId="5061BF8F"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עי' בטבלה לקמן האם מותר רק כשסומך מער"ש או שמותר לסמוך אף בשבת.</w:t>
      </w:r>
    </w:p>
  </w:footnote>
  <w:footnote w:id="408">
    <w:p w14:paraId="50FEB44E"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הואיל והבלו חם ביותר אינו מסיח דעתו, וחוששין שמא יחתה בזו האש המעוטה אע"פ שהוא אש קש וגבבא או מכוסה, וכן אם גרף- לא גרף אלא רוב האש עצמה וא"א שלא תשאר ניצוץ א' וחיישינן שמא יחתה, רמב"ם (שבת פ"ג ה"ו).</w:t>
      </w:r>
    </w:p>
  </w:footnote>
  <w:footnote w:id="409">
    <w:p w14:paraId="5657E8A1"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אבל אם אין היס"ב מותר ליתן אפי' על גביו אפי' בשבת (עסס"ב כ"מ בגמ' ובהגמ"ר, ועי' סי' שי"ח סי"ד), ואפשר דאפי' אין גרוף וקטום שרי, מיהו, לתת לתוכו – אסור, כן משמע בס"ה, ע"ש בהג"ה, מג"א.</w:t>
      </w:r>
    </w:p>
  </w:footnote>
  <w:footnote w:id="410">
    <w:p w14:paraId="05844F98"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מאחר שאין פיהם למעלה לא נפיש הבליה, כך משמע לב"י מרש"י והר"ן. וכן מאחר שרחבים יותר משפיתת קדרה, כל בו.</w:t>
      </w:r>
    </w:p>
  </w:footnote>
  <w:footnote w:id="411">
    <w:p w14:paraId="3FEE2B4C"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אע"ג דקנסו על השוכח, דילמא ה"מ בשלא נתבשל כל צרכו אבל בנתבשל כל צרכו אע"פ שהוא מצטמק ויפה לו לא קנסו, ב"י.</w:t>
      </w:r>
    </w:p>
  </w:footnote>
  <w:footnote w:id="412">
    <w:p w14:paraId="2EFFDB7A"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מדכתב סתם ש"מ דאסור לכל כמ"ש הטור, וכ"פ בדרכ"מ </w:t>
      </w:r>
      <w:r w:rsidRPr="008C1C8E">
        <w:rPr>
          <w:rFonts w:asciiTheme="minorBidi" w:hAnsiTheme="minorBidi"/>
          <w:sz w:val="16"/>
          <w:szCs w:val="16"/>
          <w:rtl/>
        </w:rPr>
        <w:t>(אות ג ד"ה ומה)</w:t>
      </w:r>
      <w:r w:rsidRPr="008C1C8E">
        <w:rPr>
          <w:rFonts w:asciiTheme="minorBidi" w:hAnsiTheme="minorBidi"/>
          <w:rtl/>
        </w:rPr>
        <w:t>, מג"א (סקי"א).</w:t>
      </w:r>
    </w:p>
  </w:footnote>
  <w:footnote w:id="413">
    <w:p w14:paraId="28939B22"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לצורך ישראל.</w:t>
      </w:r>
    </w:p>
  </w:footnote>
  <w:footnote w:id="414">
    <w:p w14:paraId="41B32997"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משום דלא נהנה ממנו כ"כ כיון שכבר היה ראוי לאכול, הגה"א ט"ז ומג"א.</w:t>
      </w:r>
    </w:p>
  </w:footnote>
  <w:footnote w:id="415">
    <w:p w14:paraId="114F4F37"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חצי בישול, רמב"ם, וכ"פ השו"ע בסי' הבא סע' ב. אבל לרש"י וסיעתו הוא שליש בישול.</w:t>
      </w:r>
    </w:p>
  </w:footnote>
  <w:footnote w:id="416">
    <w:p w14:paraId="2A9E9DCA"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שהוסקה לפנ"כ בגפת או עצים.</w:t>
      </w:r>
    </w:p>
  </w:footnote>
  <w:footnote w:id="417">
    <w:p w14:paraId="221819B0"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אפי' אינה גרופה או כתומה.</w:t>
      </w:r>
    </w:p>
  </w:footnote>
  <w:footnote w:id="418">
    <w:p w14:paraId="119E3D79"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הרז"ה </w:t>
      </w:r>
      <w:r w:rsidRPr="008C1C8E">
        <w:rPr>
          <w:rFonts w:asciiTheme="minorBidi" w:hAnsiTheme="minorBidi"/>
          <w:sz w:val="16"/>
          <w:szCs w:val="16"/>
          <w:rtl/>
        </w:rPr>
        <w:t xml:space="preserve">(בהמאור טז.) </w:t>
      </w:r>
      <w:r w:rsidRPr="008C1C8E">
        <w:rPr>
          <w:rFonts w:asciiTheme="minorBidi" w:hAnsiTheme="minorBidi"/>
          <w:rtl/>
        </w:rPr>
        <w:t xml:space="preserve">כ' שבמנהגא תליא מילתא, כדמשמע בגמרא, ואנן דלית לן מנהגא נקטינן כבני מערבא דשרו להניח משנתבשל כמאכל בן דרוסאי. וכ' הרא"ש </w:t>
      </w:r>
      <w:r w:rsidRPr="008C1C8E">
        <w:rPr>
          <w:rFonts w:asciiTheme="minorBidi" w:hAnsiTheme="minorBidi"/>
          <w:sz w:val="16"/>
          <w:szCs w:val="16"/>
          <w:rtl/>
        </w:rPr>
        <w:t>(סו"ס א)</w:t>
      </w:r>
      <w:r w:rsidRPr="008C1C8E">
        <w:rPr>
          <w:rFonts w:asciiTheme="minorBidi" w:hAnsiTheme="minorBidi"/>
          <w:rtl/>
        </w:rPr>
        <w:t xml:space="preserve"> ובשביל שרבו הדיעות בהאי פיסקא וישראל אדוקים במצות עונג שבת ולא ישמעו להחמיר הנח להם במנהג שנהגו על פי הפוסקים כחנניה. וכ"כ הר"ן (לח:) שנראה לו המנהג כמ"ד להחזיר תנן.</w:t>
      </w:r>
    </w:p>
  </w:footnote>
  <w:footnote w:id="419">
    <w:p w14:paraId="7EA8F7D6"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ומה שמותר לישראל לסלק הקדירה </w:t>
      </w:r>
      <w:r w:rsidRPr="008C1C8E">
        <w:rPr>
          <w:rFonts w:asciiTheme="minorBidi" w:hAnsiTheme="minorBidi"/>
          <w:sz w:val="16"/>
          <w:szCs w:val="16"/>
          <w:rtl/>
        </w:rPr>
        <w:t>(כשאין שם גוי)</w:t>
      </w:r>
      <w:r w:rsidRPr="008C1C8E">
        <w:rPr>
          <w:rFonts w:asciiTheme="minorBidi" w:hAnsiTheme="minorBidi"/>
          <w:rtl/>
        </w:rPr>
        <w:t>, הוא רק אם הגחלים מתחת לקדירה, אבל אם הם מונחים סביב הקדירה, כך שכשיסלק את הקדרה הגחלים יפלו, בזה אסור משום שמחתה ומבעיר העליונות ומכבה התחתונות</w:t>
      </w:r>
      <w:r w:rsidRPr="008C1C8E">
        <w:rPr>
          <w:rFonts w:asciiTheme="minorBidi" w:hAnsiTheme="minorBidi"/>
          <w:sz w:val="16"/>
          <w:szCs w:val="16"/>
          <w:rtl/>
        </w:rPr>
        <w:t xml:space="preserve"> (דלא הוי דבר שאינו מתכוין אלא הוי פסיק רישה)</w:t>
      </w:r>
      <w:r w:rsidRPr="008C1C8E">
        <w:rPr>
          <w:rFonts w:asciiTheme="minorBidi" w:hAnsiTheme="minorBidi"/>
          <w:rtl/>
        </w:rPr>
        <w:t xml:space="preserve">, מרדכי </w:t>
      </w:r>
      <w:r w:rsidRPr="008C1C8E">
        <w:rPr>
          <w:rFonts w:asciiTheme="minorBidi" w:hAnsiTheme="minorBidi"/>
          <w:sz w:val="16"/>
          <w:szCs w:val="16"/>
          <w:rtl/>
        </w:rPr>
        <w:t>(רמז שכג, הובא בב"י ס"ס רנט ובמג"א כאן)</w:t>
      </w:r>
      <w:r w:rsidRPr="008C1C8E">
        <w:rPr>
          <w:rFonts w:asciiTheme="minorBidi" w:hAnsiTheme="minorBidi"/>
          <w:rtl/>
        </w:rPr>
        <w:t>. וכן צריך ליזהר שלא לומר לגוי לסלק דשבות דאית ביה מעשה הוא, ומ"מ אין לאסור התבשיל בסילוק הגוי, הגה' מרדכי.</w:t>
      </w:r>
    </w:p>
  </w:footnote>
  <w:footnote w:id="420">
    <w:p w14:paraId="3338C561"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ע"פ הגרי"ש אלישיב והאגר"מ.</w:t>
      </w:r>
    </w:p>
  </w:footnote>
  <w:footnote w:id="421">
    <w:p w14:paraId="23F8DECD"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הרמב"ם פירש - פסולת של זיתים, וכ"כ בשו"ע. אך רש"י פירש - פסולת של שומשומין.</w:t>
      </w:r>
    </w:p>
  </w:footnote>
  <w:footnote w:id="422">
    <w:p w14:paraId="1D8819AB"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הרמב"ם פירש – שמוציא את הגחלים לחוץ, וכ"כ בשו"ע. אך הרז"ה והר"ן פירשו – שגורף את כל הגחלים לצד אחד, שאם גרף את כל הגחלים והוציאם לחוץ אפילו בתנור שרי (לד' הרז"ה אך הר"ן עצמו כ' גם בתנור שגרף הגחלים לחוץ אסור, וכ"כ הרמב"ם רמב"ן ורשב"א).</w:t>
      </w:r>
    </w:p>
  </w:footnote>
  <w:footnote w:id="423">
    <w:p w14:paraId="094D7BA2"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נותנין עליה חמין אחר שגרפה, דלא צריכי לבשולי, דליכא למגזר שמא יחתה, רש"י.</w:t>
      </w:r>
    </w:p>
  </w:footnote>
  <w:footnote w:id="424">
    <w:p w14:paraId="7C8CA667"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דניחא ליה בישוליה, ואתי לאחתויי, אי נמי, נתקיימה מחשבתו ומיחזי כמבשל, רש"י.</w:t>
      </w:r>
    </w:p>
  </w:footnote>
  <w:footnote w:id="425">
    <w:p w14:paraId="3AD8B23B"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בשבת, דמיחזי כמבשל, רש"י.</w:t>
      </w:r>
    </w:p>
  </w:footnote>
  <w:footnote w:id="426">
    <w:p w14:paraId="263A622B"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הואיל וגרוף, רש"י.</w:t>
      </w:r>
    </w:p>
  </w:footnote>
  <w:footnote w:id="427">
    <w:p w14:paraId="28D4D235"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יחיד הוא בדבר, ואין הלכה כמותו, רש"י.</w:t>
      </w:r>
    </w:p>
  </w:footnote>
  <w:footnote w:id="428">
    <w:p w14:paraId="0790F2C8"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הביאם הרב המגיד.</w:t>
      </w:r>
    </w:p>
  </w:footnote>
  <w:footnote w:id="429">
    <w:p w14:paraId="5EBE869F"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ואפש' לפרש כן גם את דברי הרמב"ם</w:t>
      </w:r>
      <w:r w:rsidRPr="008C1C8E">
        <w:rPr>
          <w:rFonts w:asciiTheme="minorBidi" w:hAnsiTheme="minorBidi"/>
          <w:sz w:val="16"/>
          <w:szCs w:val="16"/>
          <w:rtl/>
        </w:rPr>
        <w:t xml:space="preserve"> (פ"ג ה"י)</w:t>
      </w:r>
      <w:r w:rsidRPr="008C1C8E">
        <w:rPr>
          <w:rFonts w:asciiTheme="minorBidi" w:hAnsiTheme="minorBidi"/>
          <w:rtl/>
        </w:rPr>
        <w:t xml:space="preserve"> שכ' בסתם שאם הניח ע"ג קרקע אסור ולא חילק בין דעתו להחזיר או לא. </w:t>
      </w:r>
    </w:p>
  </w:footnote>
  <w:footnote w:id="430">
    <w:p w14:paraId="4E3F62CB"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שהוסקה בגפת או עצים.</w:t>
      </w:r>
    </w:p>
  </w:footnote>
  <w:footnote w:id="431">
    <w:p w14:paraId="70BDE833"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כל הדין כאן הוא רק לגבי כירה גרופה וקטומה, אבל אם אינה גרופה וקטומה אפי' מצטמק ורע לו אין מחזירין, דאין מחזירין לעולם אלא ע"ג כירה גרופה או מכוסה או בכירה וכופח שהוסקו בקש או בגבבא.</w:t>
      </w:r>
    </w:p>
  </w:footnote>
  <w:footnote w:id="432">
    <w:p w14:paraId="4081E04B"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ומבושלת כל צורכה</w:t>
      </w:r>
      <w:r w:rsidRPr="008C1C8E">
        <w:rPr>
          <w:rFonts w:asciiTheme="minorBidi" w:hAnsiTheme="minorBidi"/>
          <w:sz w:val="16"/>
          <w:szCs w:val="16"/>
          <w:rtl/>
        </w:rPr>
        <w:t xml:space="preserve"> (ב"י)</w:t>
      </w:r>
      <w:r w:rsidRPr="008C1C8E">
        <w:rPr>
          <w:rFonts w:asciiTheme="minorBidi" w:hAnsiTheme="minorBidi"/>
          <w:rtl/>
        </w:rPr>
        <w:t xml:space="preserve">. וכ' רי"ו ומ"מ אם לא נצטנן אפילו שינה מרתיחתו קצת מותר להחזיר, וכ' המג"א </w:t>
      </w:r>
      <w:r w:rsidRPr="008C1C8E">
        <w:rPr>
          <w:rFonts w:asciiTheme="minorBidi" w:hAnsiTheme="minorBidi"/>
          <w:sz w:val="16"/>
          <w:szCs w:val="16"/>
          <w:rtl/>
        </w:rPr>
        <w:t>(סקי"ט)</w:t>
      </w:r>
      <w:r w:rsidRPr="008C1C8E">
        <w:rPr>
          <w:rFonts w:asciiTheme="minorBidi" w:hAnsiTheme="minorBidi"/>
          <w:rtl/>
        </w:rPr>
        <w:t xml:space="preserve"> שנהגו להקל אם לא נצטנן לגמרי. </w:t>
      </w:r>
    </w:p>
  </w:footnote>
  <w:footnote w:id="433">
    <w:p w14:paraId="51866926"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אבל ע"ג מקל או מיטה וכדו' או שפינהו ממיחם למיחם מותר, כך נ"ל מדברי הב"י בפירוש דברי הרמב"ם, וכ"כ המג"א, וכ' שד' הרמ"א דכל אלו אסור.</w:t>
      </w:r>
    </w:p>
  </w:footnote>
  <w:footnote w:id="434">
    <w:p w14:paraId="2C7CB0B8"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והרב"י ס"ל דאפי' אין דעתו להחזיר שרי כמ"ש הרמב"ם, מג"א.</w:t>
      </w:r>
    </w:p>
  </w:footnote>
  <w:footnote w:id="435">
    <w:p w14:paraId="46945B7C"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דהיינו ששולי הקדרה מונחים על דפנות הכירה וממלאים את חללה, אבל לתוכה אסור, דהיינו כשהקדרה כולה בתוך חלל הכירה ויושבת על קרקעית הכירה, רש"י ב"י וב"ח, וכן נראה שפסק בשו"ע, וכ"כ המג"א. אך הטור כ' "על שפתה או על כיסוי שעל חללה" נראה פירושו שעל גבה היינו ששולי הקדרה עומדין על דופן הכירה לא על חללה או ששם כיסוי על פי הכירה והושיב הקדרה על אותו כיסוי אבל כל ששולי הקדרה ממלאים את חלל הכירה </w:t>
      </w:r>
      <w:r w:rsidRPr="008C1C8E">
        <w:rPr>
          <w:rFonts w:asciiTheme="minorBidi" w:hAnsiTheme="minorBidi"/>
          <w:sz w:val="16"/>
          <w:szCs w:val="16"/>
          <w:rtl/>
        </w:rPr>
        <w:t>{אע"פ שאינם ממלאים את כל חלל הכירה}</w:t>
      </w:r>
      <w:r w:rsidRPr="008C1C8E">
        <w:rPr>
          <w:rFonts w:asciiTheme="minorBidi" w:hAnsiTheme="minorBidi"/>
          <w:rtl/>
        </w:rPr>
        <w:t xml:space="preserve"> מיקרי לתוכה. וכ' בשלט"ג "ובכירות שלנו שהן פשוטות, תוכה ועל גבה א' הן, ומותר" היינו דמותר אף לפירוש הטור.</w:t>
      </w:r>
    </w:p>
  </w:footnote>
  <w:footnote w:id="436">
    <w:p w14:paraId="44867951"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דגרע מלהחזיר לתנור דה"ל כתחלת הטמנה, מג"א. אבל להניחו בכרים וכסתות והוא פתוח למעלה- מותר, ט"ז.</w:t>
      </w:r>
    </w:p>
  </w:footnote>
  <w:footnote w:id="437">
    <w:p w14:paraId="75E8E706"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ואין ליטול הקדירה מהכירה וליתנו ע"ג התנור</w:t>
      </w:r>
      <w:r w:rsidRPr="008C1C8E">
        <w:rPr>
          <w:rFonts w:asciiTheme="minorBidi" w:hAnsiTheme="minorBidi"/>
          <w:sz w:val="16"/>
          <w:szCs w:val="16"/>
          <w:rtl/>
        </w:rPr>
        <w:t xml:space="preserve"> (שלנו)</w:t>
      </w:r>
      <w:r w:rsidRPr="008C1C8E">
        <w:rPr>
          <w:rFonts w:asciiTheme="minorBidi" w:hAnsiTheme="minorBidi"/>
          <w:rtl/>
        </w:rPr>
        <w:t xml:space="preserve"> שאינו גרוף וקטום סמוך לחשיכה</w:t>
      </w:r>
      <w:r w:rsidRPr="008C1C8E">
        <w:rPr>
          <w:rFonts w:asciiTheme="minorBidi" w:hAnsiTheme="minorBidi"/>
          <w:sz w:val="16"/>
          <w:szCs w:val="16"/>
          <w:rtl/>
        </w:rPr>
        <w:t xml:space="preserve"> (לדעת המחמירים שהם תוס' וסיעתם)</w:t>
      </w:r>
      <w:r w:rsidRPr="008C1C8E">
        <w:rPr>
          <w:rFonts w:asciiTheme="minorBidi" w:hAnsiTheme="minorBidi"/>
          <w:rtl/>
        </w:rPr>
        <w:t>, מג"א.</w:t>
      </w:r>
    </w:p>
  </w:footnote>
  <w:footnote w:id="438">
    <w:p w14:paraId="02F3BFC7"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אפי' נצטנן לגמרי, דאל"כ אפי' בשבת שרי </w:t>
      </w:r>
      <w:r w:rsidRPr="008C1C8E">
        <w:rPr>
          <w:rFonts w:asciiTheme="minorBidi" w:hAnsiTheme="minorBidi"/>
          <w:sz w:val="16"/>
          <w:szCs w:val="16"/>
          <w:rtl/>
        </w:rPr>
        <w:t>(כמ"ש סי' שיח סע' טו)</w:t>
      </w:r>
      <w:r w:rsidRPr="008C1C8E">
        <w:rPr>
          <w:rFonts w:asciiTheme="minorBidi" w:hAnsiTheme="minorBidi"/>
          <w:rtl/>
        </w:rPr>
        <w:t>, מג"א.</w:t>
      </w:r>
    </w:p>
  </w:footnote>
  <w:footnote w:id="439">
    <w:p w14:paraId="5C10ECAA"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היינו בתנור של זמן התלמוד, אבל תנורים שלנו שפתוחים מן הצד הם ככירה, ט"ז.</w:t>
      </w:r>
    </w:p>
  </w:footnote>
  <w:footnote w:id="440">
    <w:p w14:paraId="10541885"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אבל חדשה אסור דמלבנה, ואף שהרב"י פסק להקל </w:t>
      </w:r>
      <w:r w:rsidRPr="008C1C8E">
        <w:rPr>
          <w:rFonts w:asciiTheme="minorBidi" w:hAnsiTheme="minorBidi"/>
          <w:sz w:val="16"/>
          <w:szCs w:val="16"/>
          <w:rtl/>
        </w:rPr>
        <w:t xml:space="preserve">(בסי' תק"ב) </w:t>
      </w:r>
      <w:r w:rsidRPr="008C1C8E">
        <w:rPr>
          <w:rFonts w:asciiTheme="minorBidi" w:hAnsiTheme="minorBidi"/>
          <w:rtl/>
        </w:rPr>
        <w:t>היינו כשיש בה תבשיל אבל בריקני' אפשר שמודה דאסור, מג"א.</w:t>
      </w:r>
    </w:p>
  </w:footnote>
  <w:footnote w:id="441">
    <w:p w14:paraId="053D59DF"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בסע' ב, ע"פ מש"כ הר"ן שם, אך דעת הרמ"א להחמיר בכהאי גוונא, וכ"כ המג"א סק"כ, ולא כמש"כ הלבוש </w:t>
      </w:r>
      <w:r w:rsidRPr="008C1C8E">
        <w:rPr>
          <w:rFonts w:asciiTheme="minorBidi" w:hAnsiTheme="minorBidi"/>
          <w:sz w:val="16"/>
          <w:szCs w:val="16"/>
          <w:rtl/>
        </w:rPr>
        <w:t>(סע' ב, שכ' שם שד' הרמ"א כהשו"ע)</w:t>
      </w:r>
      <w:r w:rsidRPr="008C1C8E">
        <w:rPr>
          <w:rFonts w:asciiTheme="minorBidi" w:hAnsiTheme="minorBidi"/>
          <w:rtl/>
        </w:rPr>
        <w:t xml:space="preserve">. </w:t>
      </w:r>
    </w:p>
  </w:footnote>
  <w:footnote w:id="442">
    <w:p w14:paraId="1DAD724B"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סע' טו בהגה.</w:t>
      </w:r>
    </w:p>
  </w:footnote>
  <w:footnote w:id="443">
    <w:p w14:paraId="22065627"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שאין בהן רוטב, הא יש בהן שומן אסור, מג"א.</w:t>
      </w:r>
    </w:p>
  </w:footnote>
  <w:footnote w:id="444">
    <w:p w14:paraId="6823E4C4"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ואפי' בדבר שאין בו מרק דלית ביה משום בישול אסור אם נצטנן דה"ל כמניח לכירה לכתחלה בשבת דאסור דלא התירו אלא חזרה, מג"א (סקל"ו).</w:t>
      </w:r>
    </w:p>
  </w:footnote>
  <w:footnote w:id="445">
    <w:p w14:paraId="440C21CC"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אם לא חממו ה</w:t>
      </w:r>
      <w:r>
        <w:rPr>
          <w:rFonts w:asciiTheme="minorBidi" w:hAnsiTheme="minorBidi"/>
          <w:rtl/>
        </w:rPr>
        <w:t>גוי</w:t>
      </w:r>
      <w:r w:rsidRPr="008C1C8E">
        <w:rPr>
          <w:rFonts w:asciiTheme="minorBidi" w:hAnsiTheme="minorBidi"/>
          <w:rtl/>
        </w:rPr>
        <w:t xml:space="preserve"> על גבי האש או הכירה ממש- יש להקל מאחר שגדולי פוסקים מתירין אפי' לישראל לעשותו, ועיין בב"י ס"ס רנ"ט בשם המרדכי דאם צוה ל</w:t>
      </w:r>
      <w:r>
        <w:rPr>
          <w:rFonts w:asciiTheme="minorBidi" w:hAnsiTheme="minorBidi"/>
          <w:rtl/>
        </w:rPr>
        <w:t>גוי</w:t>
      </w:r>
      <w:r w:rsidRPr="008C1C8E">
        <w:rPr>
          <w:rFonts w:asciiTheme="minorBidi" w:hAnsiTheme="minorBidi"/>
          <w:rtl/>
        </w:rPr>
        <w:t xml:space="preserve"> לעשות לו מלאכה דרבנן אין אוסרין התבשיל, מג"א (סקל"ז).</w:t>
      </w:r>
    </w:p>
  </w:footnote>
  <w:footnote w:id="446">
    <w:p w14:paraId="20796CD9"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מכיון שאסורה אמירה ל</w:t>
      </w:r>
      <w:r>
        <w:rPr>
          <w:rFonts w:asciiTheme="minorBidi" w:hAnsiTheme="minorBidi"/>
          <w:rtl/>
        </w:rPr>
        <w:t>גוי</w:t>
      </w:r>
      <w:r w:rsidRPr="008C1C8E">
        <w:rPr>
          <w:rFonts w:asciiTheme="minorBidi" w:hAnsiTheme="minorBidi"/>
          <w:rtl/>
        </w:rPr>
        <w:t xml:space="preserve"> מדרבנן.</w:t>
      </w:r>
    </w:p>
  </w:footnote>
  <w:footnote w:id="447">
    <w:p w14:paraId="6D517D39"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ואז מותר משום דאמירה ל</w:t>
      </w:r>
      <w:r>
        <w:rPr>
          <w:rFonts w:asciiTheme="minorBidi" w:hAnsiTheme="minorBidi"/>
          <w:rtl/>
        </w:rPr>
        <w:t>גוי</w:t>
      </w:r>
      <w:r w:rsidRPr="008C1C8E">
        <w:rPr>
          <w:rFonts w:asciiTheme="minorBidi" w:hAnsiTheme="minorBidi"/>
          <w:rtl/>
        </w:rPr>
        <w:t xml:space="preserve"> בפסיק רישיה מותרת </w:t>
      </w:r>
      <w:r w:rsidRPr="008C1C8E">
        <w:rPr>
          <w:rFonts w:asciiTheme="minorBidi" w:hAnsiTheme="minorBidi"/>
          <w:sz w:val="16"/>
          <w:szCs w:val="16"/>
          <w:rtl/>
        </w:rPr>
        <w:t xml:space="preserve">(מג"א סקמ"א, וכ"כ בסי' שיד סק"ד) </w:t>
      </w:r>
      <w:r w:rsidRPr="008C1C8E">
        <w:rPr>
          <w:rFonts w:asciiTheme="minorBidi" w:hAnsiTheme="minorBidi"/>
          <w:rtl/>
        </w:rPr>
        <w:t xml:space="preserve">, ועוד שמסיקו לשם חימום הבית </w:t>
      </w:r>
      <w:r w:rsidRPr="008C1C8E">
        <w:rPr>
          <w:rFonts w:asciiTheme="minorBidi" w:hAnsiTheme="minorBidi"/>
          <w:sz w:val="16"/>
          <w:szCs w:val="16"/>
          <w:rtl/>
        </w:rPr>
        <w:t>(שהכל חולים אצל הצינה)</w:t>
      </w:r>
      <w:r w:rsidRPr="008C1C8E">
        <w:rPr>
          <w:rFonts w:asciiTheme="minorBidi" w:hAnsiTheme="minorBidi"/>
          <w:rtl/>
        </w:rPr>
        <w:t xml:space="preserve"> ולא לשם חימום הקדירה, ולכן אם נתן ה</w:t>
      </w:r>
      <w:r>
        <w:rPr>
          <w:rFonts w:asciiTheme="minorBidi" w:hAnsiTheme="minorBidi"/>
          <w:rtl/>
        </w:rPr>
        <w:t>גוי</w:t>
      </w:r>
      <w:r w:rsidRPr="008C1C8E">
        <w:rPr>
          <w:rFonts w:asciiTheme="minorBidi" w:hAnsiTheme="minorBidi"/>
          <w:rtl/>
        </w:rPr>
        <w:t xml:space="preserve"> מים לתוך הקדירה הקבוע בתנור ונתחממו מותר הישראל ליהנות מהם להדיח בהם כלים, דק"ו היא דהא בתבשיל כשנותנו ע"ג התנור כוונתו לחממו ואפ"ה שרי, ק"ו כאן שאין כונתו לחמם המים אלא שלא יבקע הקדירה, ואפשר דאפי' נתן ה</w:t>
      </w:r>
      <w:r>
        <w:rPr>
          <w:rFonts w:asciiTheme="minorBidi" w:hAnsiTheme="minorBidi"/>
          <w:rtl/>
        </w:rPr>
        <w:t>גוי</w:t>
      </w:r>
      <w:r w:rsidRPr="008C1C8E">
        <w:rPr>
          <w:rFonts w:asciiTheme="minorBidi" w:hAnsiTheme="minorBidi"/>
          <w:rtl/>
        </w:rPr>
        <w:t xml:space="preserve"> המים אחר שהסיק התנור דשרי</w:t>
      </w:r>
      <w:r w:rsidRPr="008C1C8E">
        <w:rPr>
          <w:rFonts w:asciiTheme="minorBidi" w:hAnsiTheme="minorBidi"/>
          <w:sz w:val="16"/>
          <w:szCs w:val="16"/>
          <w:rtl/>
        </w:rPr>
        <w:t xml:space="preserve"> (ולא דמי לסי' שכ"ו ס"ג וסי"א דהתם כוונתו לחממו)</w:t>
      </w:r>
      <w:r w:rsidRPr="008C1C8E">
        <w:rPr>
          <w:rFonts w:asciiTheme="minorBidi" w:hAnsiTheme="minorBidi"/>
          <w:rtl/>
        </w:rPr>
        <w:t xml:space="preserve"> דלא כמ"ש בספר טל אורות לאסרו, </w:t>
      </w:r>
      <w:r w:rsidRPr="008C1C8E">
        <w:rPr>
          <w:rFonts w:asciiTheme="minorBidi" w:hAnsiTheme="minorBidi"/>
          <w:sz w:val="16"/>
          <w:szCs w:val="16"/>
          <w:rtl/>
        </w:rPr>
        <w:t>(מג"א סקמ"א)</w:t>
      </w:r>
      <w:r w:rsidRPr="008C1C8E">
        <w:rPr>
          <w:rFonts w:asciiTheme="minorBidi" w:hAnsiTheme="minorBidi"/>
          <w:rtl/>
        </w:rPr>
        <w:t>. אך הט"ז כ' שבנידון זה אין איסור כ"כ כיון שהשפחה מוכרחת ליקח התבשיל מן התנור בשביל חימום בית החורף וע"כ אם מעמידים באותו פעם על התנור בפנים אינו נראה ומבורר כ"כ שהוא עושה בשביל החימום שאח"כ, משא"כ אנו שיש לנו תנור מיוחד להטמנת חמין ובשבת לוקחתו מאותו תנור ומעמידו על התנור שבבית החורף הכל רואין שהוא עושה בשביל החימום ומה לי שהחימום קודם לו או מאוחר לו, ע"כ כ' הט"ז שאין לבעל נפש לסמוך על היתר זה.</w:t>
      </w:r>
    </w:p>
  </w:footnote>
  <w:footnote w:id="448">
    <w:p w14:paraId="6A3DDCFB"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דהו"ל כאחד נותן הקדירה ואחד נותן האור דהראשון פטור אבל אסור, מג"א (סקמ"א).</w:t>
      </w:r>
    </w:p>
  </w:footnote>
  <w:footnote w:id="449">
    <w:p w14:paraId="62536AF7"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אבל עליו אסור, מג"א.</w:t>
      </w:r>
    </w:p>
  </w:footnote>
  <w:footnote w:id="450">
    <w:p w14:paraId="353B6125" w14:textId="77777777" w:rsidR="004B2E7C" w:rsidRPr="008C1C8E" w:rsidRDefault="004B2E7C" w:rsidP="00285819">
      <w:pPr>
        <w:spacing w:after="0" w:line="240" w:lineRule="auto"/>
        <w:rPr>
          <w:rFonts w:asciiTheme="minorBidi" w:hAnsiTheme="minorBidi"/>
          <w:sz w:val="20"/>
          <w:szCs w:val="20"/>
          <w:rtl/>
        </w:rPr>
      </w:pPr>
      <w:r w:rsidRPr="008C1C8E">
        <w:rPr>
          <w:rStyle w:val="a9"/>
          <w:rFonts w:asciiTheme="minorBidi" w:hAnsiTheme="minorBidi"/>
          <w:sz w:val="20"/>
          <w:szCs w:val="20"/>
        </w:rPr>
        <w:footnoteRef/>
      </w:r>
      <w:r w:rsidRPr="008C1C8E">
        <w:rPr>
          <w:rFonts w:asciiTheme="minorBidi" w:hAnsiTheme="minorBidi"/>
          <w:sz w:val="20"/>
          <w:szCs w:val="20"/>
          <w:rtl/>
        </w:rPr>
        <w:t xml:space="preserve"> כ' התוס' </w:t>
      </w:r>
      <w:r w:rsidRPr="008C1C8E">
        <w:rPr>
          <w:rFonts w:asciiTheme="minorBidi" w:hAnsiTheme="minorBidi"/>
          <w:sz w:val="16"/>
          <w:szCs w:val="16"/>
          <w:rtl/>
        </w:rPr>
        <w:t xml:space="preserve">(יח: ד"ה האי) </w:t>
      </w:r>
      <w:r w:rsidRPr="008C1C8E">
        <w:rPr>
          <w:rFonts w:asciiTheme="minorBidi" w:hAnsiTheme="minorBidi"/>
          <w:sz w:val="20"/>
          <w:szCs w:val="20"/>
          <w:rtl/>
        </w:rPr>
        <w:t xml:space="preserve">והרא"ש והר"ן בשם בה"ג </w:t>
      </w:r>
      <w:r w:rsidRPr="008C1C8E">
        <w:rPr>
          <w:rFonts w:asciiTheme="minorBidi" w:hAnsiTheme="minorBidi"/>
          <w:sz w:val="16"/>
          <w:szCs w:val="16"/>
          <w:rtl/>
        </w:rPr>
        <w:t xml:space="preserve">(הל' שבת יז סוע"ג) </w:t>
      </w:r>
      <w:r w:rsidRPr="008C1C8E">
        <w:rPr>
          <w:rFonts w:asciiTheme="minorBidi" w:hAnsiTheme="minorBidi"/>
          <w:sz w:val="20"/>
          <w:szCs w:val="20"/>
          <w:rtl/>
        </w:rPr>
        <w:t xml:space="preserve">דבצלי איירי, כדמשמע בגמרא, ולהכי ברחא ולא שריק אסור אפילו אם הוא חי, דכיון דמיירי בצלי שהוא מתבשל מהרה ראוי לאכלה בלילה ואתי לחתויי, וכן כתב הרב המגיד </w:t>
      </w:r>
      <w:r w:rsidRPr="008C1C8E">
        <w:rPr>
          <w:rFonts w:asciiTheme="minorBidi" w:hAnsiTheme="minorBidi"/>
          <w:sz w:val="16"/>
          <w:szCs w:val="16"/>
          <w:rtl/>
        </w:rPr>
        <w:t>(פ"ג הי"ג)</w:t>
      </w:r>
      <w:r w:rsidRPr="008C1C8E">
        <w:rPr>
          <w:rFonts w:asciiTheme="minorBidi" w:hAnsiTheme="minorBidi"/>
          <w:sz w:val="20"/>
          <w:szCs w:val="20"/>
          <w:rtl/>
        </w:rPr>
        <w:t>.</w:t>
      </w:r>
    </w:p>
  </w:footnote>
  <w:footnote w:id="451">
    <w:p w14:paraId="420A92FF"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בשר גדי, בין שפי התנור טוח בטיט סביב הכיסוי בין לא- מותר, שאם יחתה בגחלים יתחרך הבשר שאינו צריך אלא לחמימות האש בלבד ויפסד, רמב"ם, וכ"פ בשו"ע. אך רש"י פירש שהתירו משום שקשה לו הרוח ולכן לא יבוא לפתוח את כיסוי התנור.</w:t>
      </w:r>
    </w:p>
  </w:footnote>
  <w:footnote w:id="452">
    <w:p w14:paraId="2AB61036"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איל גדול </w:t>
      </w:r>
      <w:r w:rsidRPr="008C1C8E">
        <w:rPr>
          <w:rFonts w:asciiTheme="minorBidi" w:hAnsiTheme="minorBidi"/>
          <w:sz w:val="16"/>
          <w:szCs w:val="16"/>
          <w:rtl/>
        </w:rPr>
        <w:t>(וה"ה לבשר שור ועז)</w:t>
      </w:r>
      <w:r w:rsidRPr="008C1C8E">
        <w:rPr>
          <w:rFonts w:asciiTheme="minorBidi" w:hAnsiTheme="minorBidi"/>
          <w:rtl/>
        </w:rPr>
        <w:t>, ופי התנור טוח בטיט- מותר, משום שאם בא לפתוח התנור ולחתות תכנס הרוח ויתקשה הבשר ויפסד ויצטנן התנור ויפסד הבשר, רמב"ם, וכ"פ בשו"ע. אך לפירוש רש"י מותר רק משום שהתנור טוח בטיט דאז מידכר דאסור לחתות</w:t>
      </w:r>
      <w:r w:rsidRPr="008C1C8E">
        <w:rPr>
          <w:rFonts w:asciiTheme="minorBidi" w:hAnsiTheme="minorBidi"/>
          <w:sz w:val="16"/>
          <w:szCs w:val="16"/>
          <w:rtl/>
        </w:rPr>
        <w:t xml:space="preserve"> (שהרי לא קשה הרוח לבשר האייל)</w:t>
      </w:r>
      <w:r w:rsidRPr="008C1C8E">
        <w:rPr>
          <w:rFonts w:asciiTheme="minorBidi" w:hAnsiTheme="minorBidi"/>
          <w:rtl/>
        </w:rPr>
        <w:t>.</w:t>
      </w:r>
      <w:r w:rsidRPr="008C1C8E">
        <w:rPr>
          <w:rFonts w:asciiTheme="minorBidi" w:hAnsiTheme="minorBidi"/>
          <w:sz w:val="16"/>
          <w:szCs w:val="16"/>
          <w:rtl/>
        </w:rPr>
        <w:t xml:space="preserve"> </w:t>
      </w:r>
    </w:p>
  </w:footnote>
  <w:footnote w:id="453">
    <w:p w14:paraId="2598BDB6"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איכא חדא לאיסורא וחדא להיתרא, רש"י. </w:t>
      </w:r>
    </w:p>
  </w:footnote>
  <w:footnote w:id="454">
    <w:p w14:paraId="6FB2BDA4"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על הגחלים ממש</w:t>
      </w:r>
      <w:r w:rsidRPr="008C1C8E">
        <w:rPr>
          <w:rFonts w:asciiTheme="minorBidi" w:hAnsiTheme="minorBidi"/>
          <w:sz w:val="16"/>
          <w:szCs w:val="16"/>
          <w:rtl/>
        </w:rPr>
        <w:t xml:space="preserve"> (ואסור משום שהניחו ע"ג הגחלים ומגלה דעתו שרוצה שיצלה במהרה ואע"פ שהבשר יתחרך, הה"מ) </w:t>
      </w:r>
      <w:r w:rsidRPr="008C1C8E">
        <w:rPr>
          <w:rFonts w:asciiTheme="minorBidi" w:hAnsiTheme="minorBidi"/>
          <w:rtl/>
        </w:rPr>
        <w:t>, רמב"ם. אך רש"י פירש שהוא חוץ לתנור בסמוך לגחלים</w:t>
      </w:r>
      <w:r w:rsidRPr="008C1C8E">
        <w:rPr>
          <w:rFonts w:asciiTheme="minorBidi" w:hAnsiTheme="minorBidi"/>
          <w:sz w:val="16"/>
          <w:szCs w:val="16"/>
          <w:rtl/>
        </w:rPr>
        <w:t xml:space="preserve"> </w:t>
      </w:r>
      <w:r w:rsidRPr="008C1C8E">
        <w:rPr>
          <w:rFonts w:asciiTheme="minorBidi" w:hAnsiTheme="minorBidi"/>
          <w:rtl/>
        </w:rPr>
        <w:t xml:space="preserve">או בתוך התנור בסמוך לגחלים רק שהתנור בלי כיסוי </w:t>
      </w:r>
      <w:r w:rsidRPr="008C1C8E">
        <w:rPr>
          <w:rFonts w:asciiTheme="minorBidi" w:hAnsiTheme="minorBidi"/>
          <w:sz w:val="16"/>
          <w:szCs w:val="16"/>
          <w:rtl/>
        </w:rPr>
        <w:t>(ואסור משום דאין כיסוי שיזכירו שאסור לחתות)</w:t>
      </w:r>
      <w:r w:rsidRPr="008C1C8E">
        <w:rPr>
          <w:rFonts w:asciiTheme="minorBidi" w:hAnsiTheme="minorBidi"/>
          <w:rtl/>
        </w:rPr>
        <w:t>.</w:t>
      </w:r>
    </w:p>
  </w:footnote>
  <w:footnote w:id="455">
    <w:p w14:paraId="37222434"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ורי"ו </w:t>
      </w:r>
      <w:r w:rsidRPr="008C1C8E">
        <w:rPr>
          <w:rFonts w:asciiTheme="minorBidi" w:hAnsiTheme="minorBidi"/>
          <w:sz w:val="16"/>
          <w:szCs w:val="16"/>
          <w:rtl/>
        </w:rPr>
        <w:t>(ח"ג ני"ב סח.)</w:t>
      </w:r>
      <w:r w:rsidRPr="008C1C8E">
        <w:rPr>
          <w:rFonts w:asciiTheme="minorBidi" w:hAnsiTheme="minorBidi"/>
          <w:rtl/>
        </w:rPr>
        <w:t xml:space="preserve"> הזכירו, ב"י.</w:t>
      </w:r>
    </w:p>
  </w:footnote>
  <w:footnote w:id="456">
    <w:p w14:paraId="33D3C0D3"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ואינו צריך אלא חמימות האש ואם יחתה בגחלים יתחרך הבשר, רמב"ם. אך רש"י פירש שהתירו משום שקשה לו הרוח.</w:t>
      </w:r>
    </w:p>
  </w:footnote>
  <w:footnote w:id="457">
    <w:p w14:paraId="5D9921A3"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דכתיב</w:t>
      </w:r>
      <w:r w:rsidRPr="008C1C8E">
        <w:rPr>
          <w:rFonts w:asciiTheme="minorBidi" w:hAnsiTheme="minorBidi"/>
          <w:sz w:val="16"/>
          <w:szCs w:val="16"/>
          <w:rtl/>
        </w:rPr>
        <w:t xml:space="preserve"> (שמות יב)</w:t>
      </w:r>
      <w:r w:rsidRPr="008C1C8E">
        <w:rPr>
          <w:rFonts w:asciiTheme="minorBidi" w:hAnsiTheme="minorBidi"/>
          <w:rtl/>
        </w:rPr>
        <w:t xml:space="preserve"> על ראשו ועל קרבו, היינו שלם ולא מנותח, ומכיון שהוא שלם אי מגלי ליה יתקשה ויפסד, וכן אם יחתה לא יתחרך הבשר ושפיר חיישינן, רמב"ם. ולרש"י חיישינן משום דלא קשי ליה זיקא. הילכך אי לאו דזריזין הן - אסור. </w:t>
      </w:r>
    </w:p>
  </w:footnote>
  <w:footnote w:id="458">
    <w:p w14:paraId="56AC52E3"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היינו בסמוך לגחלים ולא עליהם ממש, שע"ג הגחלים ממש דינו יתבאר בסע' הבא.</w:t>
      </w:r>
    </w:p>
  </w:footnote>
  <w:footnote w:id="459">
    <w:p w14:paraId="2BF4C527"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וה"ה לכל מיני קטניות שממהרין להתבשל, רי"ו, ועי' ס"ח, מג"א.</w:t>
      </w:r>
    </w:p>
  </w:footnote>
  <w:footnote w:id="460">
    <w:p w14:paraId="683C3837"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אפי' בקדירה כיון שאינו מוכן לחתות שהרי סתום הוא, מג"א (סק"ה).</w:t>
      </w:r>
    </w:p>
  </w:footnote>
  <w:footnote w:id="461">
    <w:p w14:paraId="69458805" w14:textId="77777777" w:rsidR="004B2E7C" w:rsidRPr="008C1C8E" w:rsidRDefault="004B2E7C" w:rsidP="00285819">
      <w:pPr>
        <w:pStyle w:val="a7"/>
        <w:rPr>
          <w:rFonts w:asciiTheme="minorBidi" w:hAnsiTheme="minorBidi"/>
          <w:sz w:val="16"/>
          <w:szCs w:val="16"/>
        </w:rPr>
      </w:pPr>
      <w:r w:rsidRPr="008C1C8E">
        <w:rPr>
          <w:rStyle w:val="a9"/>
          <w:rFonts w:asciiTheme="minorBidi" w:hAnsiTheme="minorBidi"/>
        </w:rPr>
        <w:footnoteRef/>
      </w:r>
      <w:r w:rsidRPr="008C1C8E">
        <w:rPr>
          <w:rFonts w:asciiTheme="minorBidi" w:hAnsiTheme="minorBidi"/>
          <w:rtl/>
        </w:rPr>
        <w:t xml:space="preserve"> חוץ מאם הגיע כבר למאכל בן דרוסאי שאז מותר גם לדעת המחמירים (היינו הטור), ט"ז</w:t>
      </w:r>
      <w:r w:rsidRPr="008C1C8E">
        <w:rPr>
          <w:rFonts w:asciiTheme="minorBidi" w:hAnsiTheme="minorBidi"/>
          <w:sz w:val="16"/>
          <w:szCs w:val="16"/>
          <w:rtl/>
        </w:rPr>
        <w:t xml:space="preserve"> (סק"א</w:t>
      </w:r>
      <w:r w:rsidRPr="008C1C8E">
        <w:rPr>
          <w:rFonts w:asciiTheme="minorBidi" w:hAnsiTheme="minorBidi"/>
          <w:rtl/>
        </w:rPr>
        <w:t xml:space="preserve">, </w:t>
      </w:r>
      <w:r w:rsidRPr="008C1C8E">
        <w:rPr>
          <w:rFonts w:asciiTheme="minorBidi" w:hAnsiTheme="minorBidi"/>
          <w:sz w:val="16"/>
          <w:szCs w:val="16"/>
          <w:rtl/>
        </w:rPr>
        <w:t>ותמה על הרמ"א שלא כ' דין זה)</w:t>
      </w:r>
    </w:p>
  </w:footnote>
  <w:footnote w:id="462">
    <w:p w14:paraId="2B801331"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מנותחים, שאז לא יפתח משום שקשה להם הרוח, ט"ז</w:t>
      </w:r>
      <w:r w:rsidRPr="008C1C8E">
        <w:rPr>
          <w:rFonts w:asciiTheme="minorBidi" w:hAnsiTheme="minorBidi"/>
          <w:sz w:val="16"/>
          <w:szCs w:val="16"/>
          <w:rtl/>
        </w:rPr>
        <w:t xml:space="preserve"> (סק"א)</w:t>
      </w:r>
      <w:r w:rsidRPr="008C1C8E">
        <w:rPr>
          <w:rFonts w:asciiTheme="minorBidi" w:hAnsiTheme="minorBidi"/>
          <w:rtl/>
        </w:rPr>
        <w:t>.</w:t>
      </w:r>
    </w:p>
  </w:footnote>
  <w:footnote w:id="463">
    <w:p w14:paraId="6B6CFD70"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היינו שהניח את הבשר במצב שהוא לא יספיק להצלות עד כדי מאכל בן דרוסאי לפני שתיכנס השבת (היינו לפני השקיעה).</w:t>
      </w:r>
    </w:p>
  </w:footnote>
  <w:footnote w:id="464">
    <w:p w14:paraId="4F43AC32"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סמוך לגחלים ולא נוגע בהם, דאל"כ אסור להרי"ף וסיע'</w:t>
      </w:r>
      <w:r w:rsidRPr="008C1C8E">
        <w:rPr>
          <w:rFonts w:asciiTheme="minorBidi" w:hAnsiTheme="minorBidi"/>
          <w:sz w:val="16"/>
          <w:szCs w:val="16"/>
          <w:rtl/>
        </w:rPr>
        <w:t xml:space="preserve"> (שכל שנוגע בגחלים הוי הטמנה, לד' הב"י, בגדי ישע פמ"ג ומקור חיים)</w:t>
      </w:r>
      <w:r w:rsidRPr="008C1C8E">
        <w:rPr>
          <w:rFonts w:asciiTheme="minorBidi" w:hAnsiTheme="minorBidi"/>
          <w:rtl/>
        </w:rPr>
        <w:t xml:space="preserve">, מג"א </w:t>
      </w:r>
      <w:r w:rsidRPr="008C1C8E">
        <w:rPr>
          <w:rFonts w:asciiTheme="minorBidi" w:hAnsiTheme="minorBidi"/>
          <w:sz w:val="16"/>
          <w:szCs w:val="16"/>
          <w:rtl/>
        </w:rPr>
        <w:t>(סקי"ב)</w:t>
      </w:r>
      <w:r w:rsidRPr="008C1C8E">
        <w:rPr>
          <w:rFonts w:asciiTheme="minorBidi" w:hAnsiTheme="minorBidi"/>
          <w:rtl/>
        </w:rPr>
        <w:t>.</w:t>
      </w:r>
    </w:p>
  </w:footnote>
  <w:footnote w:id="465">
    <w:p w14:paraId="7231D367"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דחשיבי כמו שנתבשלו כמאב"ד דהרי ראוין לאוכלן חיין, ול"ד לבצל בס"ב דאסור, דאע"פ שלפעמים אוכלין אותו חי מ"מ אין טוב לאכלו כמו תפוחים, וה"ה לכל דבר שאין טוב לאכלו חי דאסור, וכ"כ באגוד' דתפוחי יער שאין נאכלין חיין אסור לצולן, מג"א</w:t>
      </w:r>
      <w:r w:rsidRPr="008C1C8E">
        <w:rPr>
          <w:rFonts w:asciiTheme="minorBidi" w:hAnsiTheme="minorBidi"/>
          <w:sz w:val="16"/>
          <w:szCs w:val="16"/>
          <w:rtl/>
        </w:rPr>
        <w:t xml:space="preserve"> (סקי"ג)</w:t>
      </w:r>
      <w:r w:rsidRPr="008C1C8E">
        <w:rPr>
          <w:rFonts w:asciiTheme="minorBidi" w:hAnsiTheme="minorBidi"/>
          <w:rtl/>
        </w:rPr>
        <w:t>.</w:t>
      </w:r>
    </w:p>
  </w:footnote>
  <w:footnote w:id="466">
    <w:p w14:paraId="7C87FD11"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כמו קרום, רש"י. וכ"כ הערוך ערך קרם- שיעלה על פני הלחם קרום וקליפה מחמת האש. וכן נראה שפסק השו"ע. אך התוס' כ' דקרימת פנים היינו שפורסה ואין חוטין נמשכין הימנה, וכ"כ הרמ"א.</w:t>
      </w:r>
    </w:p>
  </w:footnote>
  <w:footnote w:id="467">
    <w:p w14:paraId="08046FB0"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ואע"ג דבעססיות ותורמוסים משמע דאפילו בשוגג אסורין עד מוצ"ש הכא משום כבוד שבת </w:t>
      </w:r>
      <w:r w:rsidRPr="008C1C8E">
        <w:rPr>
          <w:rFonts w:asciiTheme="minorBidi" w:hAnsiTheme="minorBidi"/>
          <w:sz w:val="16"/>
          <w:szCs w:val="16"/>
          <w:rtl/>
        </w:rPr>
        <w:t xml:space="preserve"> </w:t>
      </w:r>
      <w:r w:rsidRPr="008C1C8E">
        <w:rPr>
          <w:rFonts w:asciiTheme="minorBidi" w:hAnsiTheme="minorBidi"/>
          <w:rtl/>
        </w:rPr>
        <w:t>לא קנסו לגבי ג' סעודות בשוגג</w:t>
      </w:r>
      <w:r w:rsidRPr="008C1C8E">
        <w:rPr>
          <w:rFonts w:asciiTheme="minorBidi" w:hAnsiTheme="minorBidi"/>
          <w:sz w:val="16"/>
          <w:szCs w:val="16"/>
          <w:rtl/>
        </w:rPr>
        <w:t xml:space="preserve"> (משום שאין לו לחם לשלוש סעודות, אבל אם יש לו- אסור לרדות אפי' בשינוי, רי"ף ור</w:t>
      </w:r>
      <w:r w:rsidRPr="008C1C8E">
        <w:rPr>
          <w:rFonts w:asciiTheme="minorBidi" w:hAnsiTheme="minorBidi"/>
          <w:sz w:val="16"/>
          <w:szCs w:val="16"/>
        </w:rPr>
        <w:t>"</w:t>
      </w:r>
      <w:r w:rsidRPr="008C1C8E">
        <w:rPr>
          <w:rFonts w:asciiTheme="minorBidi" w:hAnsiTheme="minorBidi"/>
          <w:sz w:val="16"/>
          <w:szCs w:val="16"/>
          <w:rtl/>
        </w:rPr>
        <w:t>ן)</w:t>
      </w:r>
      <w:r w:rsidRPr="008C1C8E">
        <w:rPr>
          <w:rFonts w:asciiTheme="minorBidi" w:hAnsiTheme="minorBidi"/>
          <w:rtl/>
        </w:rPr>
        <w:t>, ב"י.</w:t>
      </w:r>
    </w:p>
  </w:footnote>
  <w:footnote w:id="468">
    <w:p w14:paraId="2D3D65D1"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כלי שרודין בו הפת, ומפרידין אותו מכותל התנור שנדבק בה - לא ירדה אותו במרדה, שהוא דרך חול, רש"י.</w:t>
      </w:r>
    </w:p>
  </w:footnote>
  <w:footnote w:id="469">
    <w:p w14:paraId="2777C337"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וכן עוגה או מיני בצק שאופין בתנור דינם כפת, ובלבד שאינן ממולאים, מג"א (סקט"ז).</w:t>
      </w:r>
    </w:p>
  </w:footnote>
  <w:footnote w:id="470">
    <w:p w14:paraId="3888E8FA"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נ"ל דוקא בפת התירו מזון ג' סעודות, דחייב בשבת לאכול פת, אבל שאר תבשילין אם נתן באיסור אפילו בשוגג אסור עד מוצ"ש</w:t>
      </w:r>
      <w:r w:rsidRPr="008C1C8E">
        <w:rPr>
          <w:rFonts w:asciiTheme="minorBidi" w:hAnsiTheme="minorBidi"/>
          <w:sz w:val="16"/>
          <w:szCs w:val="16"/>
          <w:rtl/>
        </w:rPr>
        <w:t xml:space="preserve"> (כמ"ש רסי' רנ"ג ועס"ח)</w:t>
      </w:r>
      <w:r w:rsidRPr="008C1C8E">
        <w:rPr>
          <w:rFonts w:asciiTheme="minorBidi" w:hAnsiTheme="minorBidi"/>
          <w:rtl/>
        </w:rPr>
        <w:t xml:space="preserve">, ומיהו אם אין לו כלל מה יאכל שרי כיון דאסור להתענות בשבת </w:t>
      </w:r>
      <w:r w:rsidRPr="008C1C8E">
        <w:rPr>
          <w:rFonts w:asciiTheme="minorBidi" w:hAnsiTheme="minorBidi"/>
          <w:sz w:val="16"/>
          <w:szCs w:val="16"/>
          <w:rtl/>
        </w:rPr>
        <w:t>(כמ"ש סי' רפ"ח)</w:t>
      </w:r>
      <w:r w:rsidRPr="008C1C8E">
        <w:rPr>
          <w:rFonts w:asciiTheme="minorBidi" w:hAnsiTheme="minorBidi"/>
          <w:rtl/>
        </w:rPr>
        <w:t>, ואם יש לו פת אחר מזון ג' סעודות אסור להציל אע"ג דצריך לכל סעודה ככר שלם ולחם משנה מ"מ אינה חובה כ"כ ועסי' של"ד ס"א, מג"א</w:t>
      </w:r>
      <w:r w:rsidRPr="008C1C8E">
        <w:rPr>
          <w:rFonts w:asciiTheme="minorBidi" w:hAnsiTheme="minorBidi"/>
          <w:sz w:val="16"/>
          <w:szCs w:val="16"/>
          <w:rtl/>
        </w:rPr>
        <w:t xml:space="preserve"> (סקכ"ג)</w:t>
      </w:r>
      <w:r w:rsidRPr="008C1C8E">
        <w:rPr>
          <w:rFonts w:asciiTheme="minorBidi" w:hAnsiTheme="minorBidi"/>
          <w:rtl/>
        </w:rPr>
        <w:t xml:space="preserve">. והא דלא קנסינן גם בשוגג </w:t>
      </w:r>
      <w:r w:rsidRPr="008C1C8E">
        <w:rPr>
          <w:rFonts w:asciiTheme="minorBidi" w:hAnsiTheme="minorBidi"/>
          <w:sz w:val="16"/>
          <w:szCs w:val="16"/>
          <w:rtl/>
        </w:rPr>
        <w:t xml:space="preserve">(כמש"כ בס"ח) </w:t>
      </w:r>
      <w:r w:rsidRPr="008C1C8E">
        <w:rPr>
          <w:rFonts w:asciiTheme="minorBidi" w:hAnsiTheme="minorBidi"/>
          <w:rtl/>
        </w:rPr>
        <w:t xml:space="preserve">שאני הכא כיון דאין לו מה יאכל שרי (ב"י), וא"כ אפי' בתנורים שלנו </w:t>
      </w:r>
      <w:r w:rsidRPr="008C1C8E">
        <w:rPr>
          <w:rFonts w:asciiTheme="minorBidi" w:hAnsiTheme="minorBidi"/>
          <w:sz w:val="16"/>
          <w:szCs w:val="16"/>
          <w:rtl/>
        </w:rPr>
        <w:t xml:space="preserve">(שאין בהם רדייה) </w:t>
      </w:r>
      <w:r w:rsidRPr="008C1C8E">
        <w:rPr>
          <w:rFonts w:asciiTheme="minorBidi" w:hAnsiTheme="minorBidi"/>
          <w:rtl/>
        </w:rPr>
        <w:t xml:space="preserve">אסור יותר מג' סעודות. והב"ח כ' שהטעם הוא משום דלא שכיח שיתן פת בתנור סמוך לחשיכה דפת חמה אינה טובה כ"כ עכ"ל </w:t>
      </w:r>
      <w:r w:rsidRPr="008C1C8E">
        <w:rPr>
          <w:rFonts w:asciiTheme="minorBidi" w:hAnsiTheme="minorBidi"/>
          <w:sz w:val="16"/>
          <w:szCs w:val="16"/>
          <w:rtl/>
        </w:rPr>
        <w:t>(ולכן לא גזרו שוגג אטו מזיד שמא יערים)</w:t>
      </w:r>
      <w:r w:rsidRPr="008C1C8E">
        <w:rPr>
          <w:rFonts w:asciiTheme="minorBidi" w:hAnsiTheme="minorBidi"/>
          <w:rtl/>
        </w:rPr>
        <w:t xml:space="preserve"> וא"כ שרי בתנורים שלנו יותר מג' סעודות ול"נ להחמיר דהא הכ"מ כתב בשם הרמ"ך דהיכ' דנאפה באיסור בכל ענין אסור וא"כ די לנו להקל במזון ג' סעודות, מג"א (סקי"ז).</w:t>
      </w:r>
    </w:p>
  </w:footnote>
  <w:footnote w:id="471">
    <w:p w14:paraId="775E8A0C"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וכל זה בפת אבל חררה מותר אף ליותר מ-ג' סעודות, שהתירו לתחוב בה כוש או כרכר וליטלה בשבת (שבת קכג.), רי"ו </w:t>
      </w:r>
      <w:r w:rsidRPr="008C1C8E">
        <w:rPr>
          <w:rFonts w:asciiTheme="minorBidi" w:hAnsiTheme="minorBidi"/>
          <w:sz w:val="16"/>
          <w:szCs w:val="16"/>
          <w:rtl/>
        </w:rPr>
        <w:t>(ח"ג ני"ב סז ע"ד, הביאו בב"י סע' ז)</w:t>
      </w:r>
      <w:r w:rsidRPr="008C1C8E">
        <w:rPr>
          <w:rFonts w:asciiTheme="minorBidi" w:hAnsiTheme="minorBidi"/>
          <w:rtl/>
        </w:rPr>
        <w:t>, וכ"כ המג"א סקכ"ג.</w:t>
      </w:r>
      <w:r w:rsidRPr="008C1C8E">
        <w:rPr>
          <w:rFonts w:asciiTheme="minorBidi" w:hAnsiTheme="minorBidi"/>
          <w:sz w:val="16"/>
          <w:szCs w:val="16"/>
          <w:rtl/>
        </w:rPr>
        <w:t xml:space="preserve"> </w:t>
      </w:r>
    </w:p>
  </w:footnote>
  <w:footnote w:id="472">
    <w:p w14:paraId="00E2D64A"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שאז הוי הכיר ולא יבוא לחתות- מותר לרש"י וסיעתו, אך לשו"ע שפסק כרי"ף וסיעתו גם כשהוא טוח בטיט יהיה אסור משום שהלחם לא יפסד מחמת פתיחת התנור, לכן שפיר חיישינן שיחתה ואסור, מג"א (סקי"ט).</w:t>
      </w:r>
    </w:p>
  </w:footnote>
  <w:footnote w:id="473">
    <w:p w14:paraId="194385F7"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בלא חיתוי, ואם ימלך לאוכלו בשבת יזכר משום שאסור לרדות, אבל בתנורים שלנו שלא שייכת רדייה </w:t>
      </w:r>
      <w:r w:rsidRPr="008C1C8E">
        <w:rPr>
          <w:rFonts w:asciiTheme="minorBidi" w:hAnsiTheme="minorBidi"/>
          <w:sz w:val="16"/>
          <w:szCs w:val="16"/>
          <w:rtl/>
        </w:rPr>
        <w:t>(ולכן אין מה שיזכירו)</w:t>
      </w:r>
      <w:r w:rsidRPr="008C1C8E">
        <w:rPr>
          <w:rFonts w:asciiTheme="minorBidi" w:hAnsiTheme="minorBidi"/>
          <w:rtl/>
        </w:rPr>
        <w:t>, גם בנותן את הפת למוצ"ש- אסור, משום שדין הפת כשאר תבשילין שאין נותנים אותן שמא ימלך ויבוא לחתות בגחלים, מג"א</w:t>
      </w:r>
      <w:r w:rsidRPr="008C1C8E">
        <w:rPr>
          <w:rFonts w:asciiTheme="minorBidi" w:hAnsiTheme="minorBidi"/>
          <w:sz w:val="16"/>
          <w:szCs w:val="16"/>
          <w:rtl/>
        </w:rPr>
        <w:t xml:space="preserve"> (סק"כ)</w:t>
      </w:r>
      <w:r w:rsidRPr="008C1C8E">
        <w:rPr>
          <w:rFonts w:asciiTheme="minorBidi" w:hAnsiTheme="minorBidi"/>
          <w:rtl/>
        </w:rPr>
        <w:t xml:space="preserve">. </w:t>
      </w:r>
    </w:p>
  </w:footnote>
  <w:footnote w:id="474">
    <w:p w14:paraId="4E77073C"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אמנם בחידושי מהרל"ח כ' טעם למה שכ' הטור </w:t>
      </w:r>
      <w:r w:rsidRPr="008C1C8E">
        <w:rPr>
          <w:rFonts w:asciiTheme="minorBidi" w:hAnsiTheme="minorBidi"/>
          <w:sz w:val="16"/>
          <w:szCs w:val="16"/>
          <w:rtl/>
        </w:rPr>
        <w:t>(וכלשונו כ' השו"ע)</w:t>
      </w:r>
      <w:r w:rsidRPr="008C1C8E">
        <w:rPr>
          <w:rFonts w:asciiTheme="minorBidi" w:hAnsiTheme="minorBidi"/>
          <w:rtl/>
        </w:rPr>
        <w:t xml:space="preserve"> "אפילו במזיד"- לומר דהו"א הואיל ופושע הוא הלעיטהו לרשע וימות, קמ"ל דאעפ"כ התירו לו. </w:t>
      </w:r>
    </w:p>
  </w:footnote>
  <w:footnote w:id="475">
    <w:p w14:paraId="475D581C"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דאם לא פשע גם לחברו שרי לחטוא כדי להצילו מחטא חמור יותר.</w:t>
      </w:r>
    </w:p>
  </w:footnote>
  <w:footnote w:id="476">
    <w:p w14:paraId="6309FB18"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נ"ל דוקא כשרוצה לאכול ממנו בשבת אבל אסור לרדות לצורך חול דאפי' טלטול בעלמא אסור כמ"ש בהג"מ הל' פסח דאסור להביא יין בשבת לצורך מוצ"ש, מג"א (סקכ"ג).</w:t>
      </w:r>
    </w:p>
  </w:footnote>
  <w:footnote w:id="477">
    <w:p w14:paraId="10F2A828"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שאנו רודים בו בחול שדינו כדין מרדה שהיה בזמנם, אך הגה' מרדכי התיר ברחת, הגר"א (סקל"ד).</w:t>
      </w:r>
    </w:p>
  </w:footnote>
  <w:footnote w:id="478">
    <w:p w14:paraId="4829B13D"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אפי' גרוף וקטום (כמ"ש סי' רנ"ג ס"א), ומיהו בטוח פיו בטיט שרי לרמ"א כמו שכתב ס"ה, מג"א (סקכ"ד).</w:t>
      </w:r>
    </w:p>
  </w:footnote>
  <w:footnote w:id="479">
    <w:p w14:paraId="02815F89"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הרמ"א קאי אכירה לחוד </w:t>
      </w:r>
      <w:r w:rsidRPr="008C1C8E">
        <w:rPr>
          <w:rFonts w:asciiTheme="minorBidi" w:hAnsiTheme="minorBidi"/>
          <w:sz w:val="16"/>
          <w:szCs w:val="16"/>
          <w:rtl/>
        </w:rPr>
        <w:t>(ונקט ל' רבים דקאי אכירות דעלמא)</w:t>
      </w:r>
      <w:r w:rsidRPr="008C1C8E">
        <w:rPr>
          <w:rFonts w:asciiTheme="minorBidi" w:hAnsiTheme="minorBidi"/>
          <w:rtl/>
        </w:rPr>
        <w:t>, דהרי בכופח שהוסק בעצים לא מהני גריפה ואם הוסק בקש לא בעי גריפה, מג"א (סקכ"ה).</w:t>
      </w:r>
    </w:p>
  </w:footnote>
  <w:footnote w:id="480">
    <w:p w14:paraId="383AAD3D"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אע"ג דמים ראוין לשתות חיין מ"מ אינן טובים כ"כ כפירות</w:t>
      </w:r>
      <w:r w:rsidRPr="008C1C8E">
        <w:rPr>
          <w:rFonts w:asciiTheme="minorBidi" w:hAnsiTheme="minorBidi"/>
          <w:sz w:val="16"/>
          <w:szCs w:val="16"/>
          <w:rtl/>
        </w:rPr>
        <w:t xml:space="preserve"> (כמש"כ ס"ד סקי"ג)</w:t>
      </w:r>
      <w:r w:rsidRPr="008C1C8E">
        <w:rPr>
          <w:rFonts w:asciiTheme="minorBidi" w:hAnsiTheme="minorBidi"/>
          <w:rtl/>
        </w:rPr>
        <w:t xml:space="preserve">, א"נ דהכא מיירי דקא בעי ליה להדחה ואז צריכים להיות חמין, ולפ"ז אסור ליתן מים לתוך הקדירות שבתנורים אע"ג דמתכוין שלא יבקע הקדירה, מ"מ הא קבעי ליה להדחה וחיישינן שמא יחתה, לכן צריך ליתנן מבעו"י </w:t>
      </w:r>
      <w:r w:rsidRPr="008C1C8E">
        <w:rPr>
          <w:rFonts w:asciiTheme="minorBidi" w:hAnsiTheme="minorBidi"/>
          <w:sz w:val="16"/>
          <w:szCs w:val="16"/>
          <w:rtl/>
        </w:rPr>
        <w:t>(כדי שיעור שיתחממו לפני השקיעה)</w:t>
      </w:r>
      <w:r w:rsidRPr="008C1C8E">
        <w:rPr>
          <w:rFonts w:asciiTheme="minorBidi" w:hAnsiTheme="minorBidi"/>
          <w:rtl/>
        </w:rPr>
        <w:t>, מג"א (סקכ"ו).</w:t>
      </w:r>
    </w:p>
  </w:footnote>
  <w:footnote w:id="481">
    <w:p w14:paraId="3E14C5EB"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צריך להבעיר מדורתן מבעוד יום, כדי שתאחוז האש ברובו, רש"י.</w:t>
      </w:r>
    </w:p>
  </w:footnote>
  <w:footnote w:id="482">
    <w:p w14:paraId="3DF9A129"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אם היתה מדורת פחמין - אין צריך להאחיז בהן האור, אלא כל שהוא, והיא דולקת והולכת, דאין דרכה להיות כבה והולכת, ואין צריך לחתות בהן, רש"י.</w:t>
      </w:r>
    </w:p>
  </w:footnote>
  <w:footnote w:id="483">
    <w:p w14:paraId="2CA8851A"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כל עץ ועץ, ולא תימא כיון שאחזה ברוב מנין העצים, רש"י.</w:t>
      </w:r>
    </w:p>
  </w:footnote>
  <w:footnote w:id="484">
    <w:p w14:paraId="5806FCCD"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היינו "הבא עצים דקים, ונניח תחתיהן, כדי להבעיר את אלו". וכ"פ הרמב"ם </w:t>
      </w:r>
      <w:r w:rsidRPr="008C1C8E">
        <w:rPr>
          <w:rFonts w:asciiTheme="minorBidi" w:hAnsiTheme="minorBidi"/>
          <w:sz w:val="16"/>
          <w:szCs w:val="16"/>
          <w:rtl/>
        </w:rPr>
        <w:t>(הל' שבת פ"ג הי"ט)</w:t>
      </w:r>
      <w:r w:rsidRPr="008C1C8E">
        <w:rPr>
          <w:rFonts w:asciiTheme="minorBidi" w:hAnsiTheme="minorBidi"/>
          <w:rtl/>
        </w:rPr>
        <w:t>,</w:t>
      </w:r>
      <w:r w:rsidRPr="008C1C8E">
        <w:rPr>
          <w:rFonts w:asciiTheme="minorBidi" w:hAnsiTheme="minorBidi"/>
          <w:color w:val="E36C0A" w:themeColor="accent6" w:themeShade="BF"/>
          <w:rtl/>
        </w:rPr>
        <w:t xml:space="preserve"> וכ"פ השו"ע.</w:t>
      </w:r>
    </w:p>
  </w:footnote>
  <w:footnote w:id="485">
    <w:p w14:paraId="1F1D33D2"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שיכנס האור בתוך עביו עד רובו, רש"י.</w:t>
      </w:r>
    </w:p>
  </w:footnote>
  <w:footnote w:id="486">
    <w:p w14:paraId="3E59AF9E"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מבחוץ, רש"י.</w:t>
      </w:r>
    </w:p>
  </w:footnote>
  <w:footnote w:id="487">
    <w:p w14:paraId="11B3204F"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וכ"פ הרמב"ם </w:t>
      </w:r>
      <w:r w:rsidRPr="008C1C8E">
        <w:rPr>
          <w:rFonts w:asciiTheme="minorBidi" w:hAnsiTheme="minorBidi"/>
          <w:sz w:val="16"/>
          <w:szCs w:val="16"/>
          <w:rtl/>
        </w:rPr>
        <w:t>(הל' שבת פ"ג הי"ט)</w:t>
      </w:r>
      <w:r w:rsidRPr="008C1C8E">
        <w:rPr>
          <w:rFonts w:asciiTheme="minorBidi" w:hAnsiTheme="minorBidi"/>
          <w:rtl/>
        </w:rPr>
        <w:t>,</w:t>
      </w:r>
      <w:r w:rsidRPr="008C1C8E">
        <w:rPr>
          <w:rFonts w:asciiTheme="minorBidi" w:hAnsiTheme="minorBidi"/>
          <w:color w:val="E36C0A" w:themeColor="accent6" w:themeShade="BF"/>
          <w:rtl/>
        </w:rPr>
        <w:t xml:space="preserve"> וכ"פ השו"ע.</w:t>
      </w:r>
    </w:p>
  </w:footnote>
  <w:footnote w:id="488">
    <w:p w14:paraId="1FEB3D5C"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היינו רוב עביו.</w:t>
      </w:r>
    </w:p>
  </w:footnote>
  <w:footnote w:id="489">
    <w:p w14:paraId="1E9DB0EA"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היינו רוב היקפו.</w:t>
      </w:r>
    </w:p>
  </w:footnote>
  <w:footnote w:id="490">
    <w:p w14:paraId="2298C738"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דשוב הולך ודולק, רש"י.</w:t>
      </w:r>
    </w:p>
  </w:footnote>
  <w:footnote w:id="491">
    <w:p w14:paraId="5A1F6A63"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בידוע שתוכו נחר, והלכה לחה שלו, ונעשה יבש, רש"י.</w:t>
      </w:r>
    </w:p>
  </w:footnote>
  <w:footnote w:id="492">
    <w:p w14:paraId="024136E7"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צריך להבעיר מדורתן מבעוד יום, כדי שתאחוז האש ברובו, רש"י.</w:t>
      </w:r>
    </w:p>
  </w:footnote>
  <w:footnote w:id="493">
    <w:p w14:paraId="1AE3F4B7"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אם היתה מדורת פחמין - אין צריך להאחיז בהן האור, אלא כל שהוא, והיא דולקת והולכת, דאין דרכה להיות כבה והולכת, ואין צריך לחתות בהן, רש"י.</w:t>
      </w:r>
    </w:p>
  </w:footnote>
  <w:footnote w:id="494">
    <w:p w14:paraId="362FDE2F" w14:textId="77777777" w:rsidR="004B2E7C" w:rsidRPr="008C1C8E" w:rsidRDefault="004B2E7C" w:rsidP="00285819">
      <w:pPr>
        <w:spacing w:after="0" w:line="240" w:lineRule="auto"/>
        <w:rPr>
          <w:rFonts w:asciiTheme="minorBidi" w:hAnsiTheme="minorBidi"/>
          <w:sz w:val="20"/>
          <w:szCs w:val="20"/>
          <w:rtl/>
        </w:rPr>
      </w:pPr>
      <w:r w:rsidRPr="008C1C8E">
        <w:rPr>
          <w:rStyle w:val="a9"/>
          <w:rFonts w:asciiTheme="minorBidi" w:hAnsiTheme="minorBidi"/>
          <w:sz w:val="20"/>
          <w:szCs w:val="20"/>
        </w:rPr>
        <w:footnoteRef/>
      </w:r>
      <w:r w:rsidRPr="008C1C8E">
        <w:rPr>
          <w:rFonts w:asciiTheme="minorBidi" w:hAnsiTheme="minorBidi"/>
          <w:sz w:val="20"/>
          <w:szCs w:val="20"/>
          <w:rtl/>
        </w:rPr>
        <w:t xml:space="preserve"> לכאן ולכאן, ואחת מהן היוצאה לא תמצא את חברתה לבערה, הלכך: כי לא אגדן - צריכי רוב, אבל אגדן - לא מבדרן, ואין צריכין רוב, וכן גרעינין, רש"י.</w:t>
      </w:r>
    </w:p>
  </w:footnote>
  <w:footnote w:id="495">
    <w:p w14:paraId="656B896A"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שלא יחשדו הנכנסים באחרונה לומר שעסקו במלאכתן אחר ששמעו קול השופר, שאין הכל מכירין מי קרובים ומי רחוקים, רש"י.</w:t>
      </w:r>
    </w:p>
  </w:footnote>
  <w:footnote w:id="496">
    <w:p w14:paraId="69838744"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גזירה שמא ימצא קדרתו שנצטננה כשירצה להטמינה, וירתיחנה תחילה, ונמצא מבשל בשבת, רש"י.</w:t>
      </w:r>
    </w:p>
  </w:footnote>
  <w:footnote w:id="497">
    <w:p w14:paraId="75E91AC9"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דהא שבות מעלייתא היא, דהא איכא גזירת איסור דאורייתא, ותנא דמתניתין אית ליה דגזרו על השבות בין השמשות דקתני אין מעשרין את הודאי, רש"י.</w:t>
      </w:r>
    </w:p>
  </w:footnote>
  <w:footnote w:id="498">
    <w:p w14:paraId="0AB57E1E" w14:textId="77777777" w:rsidR="004B2E7C" w:rsidRPr="008C1C8E" w:rsidRDefault="004B2E7C" w:rsidP="00285819">
      <w:pPr>
        <w:spacing w:after="0" w:line="240" w:lineRule="auto"/>
        <w:rPr>
          <w:rFonts w:asciiTheme="minorBidi" w:hAnsiTheme="minorBidi"/>
          <w:sz w:val="20"/>
          <w:szCs w:val="20"/>
          <w:rtl/>
        </w:rPr>
      </w:pPr>
      <w:r w:rsidRPr="008C1C8E">
        <w:rPr>
          <w:rStyle w:val="a9"/>
          <w:rFonts w:asciiTheme="minorBidi" w:hAnsiTheme="minorBidi"/>
          <w:sz w:val="20"/>
          <w:szCs w:val="20"/>
        </w:rPr>
        <w:footnoteRef/>
      </w:r>
      <w:r w:rsidRPr="008C1C8E">
        <w:rPr>
          <w:rFonts w:asciiTheme="minorBidi" w:hAnsiTheme="minorBidi"/>
          <w:sz w:val="20"/>
          <w:szCs w:val="20"/>
          <w:rtl/>
        </w:rPr>
        <w:t xml:space="preserve"> שסמוך לבין השמשות הוא מעבירם מעל האור, וליכא למיחש לשמא נצטננה וירתיחנה, רש"י.</w:t>
      </w:r>
    </w:p>
  </w:footnote>
  <w:footnote w:id="499">
    <w:p w14:paraId="6FB40A5B"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משחשכה, שבא לבשל הקדרה שלא בשלה כל צרכה, וגזרו אף בבשלה כל צרכה עד שיגרוף או שיקטום, רש"י.</w:t>
      </w:r>
    </w:p>
  </w:footnote>
  <w:footnote w:id="500">
    <w:p w14:paraId="68FE2D82"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דאם נתיר לטמון בדבר המוסיף הבל מבעו"י </w:t>
      </w:r>
      <w:r w:rsidRPr="008C1C8E">
        <w:rPr>
          <w:rFonts w:asciiTheme="minorBidi" w:hAnsiTheme="minorBidi"/>
          <w:sz w:val="16"/>
          <w:szCs w:val="16"/>
          <w:rtl/>
        </w:rPr>
        <w:t>(שאז הקדרה רותחת)</w:t>
      </w:r>
      <w:r w:rsidRPr="008C1C8E">
        <w:rPr>
          <w:rFonts w:asciiTheme="minorBidi" w:hAnsiTheme="minorBidi"/>
          <w:rtl/>
        </w:rPr>
        <w:t xml:space="preserve"> שפיר חיישינן שמא תרתח הקדרה בשבת ויצטרך לגלותה עד שתנוח הרתיחה ויחזור ויכסה בשבת ונמצא טומן בדבר המוסיף הבל בשבת שהוא אסור, רמב"ם.</w:t>
      </w:r>
    </w:p>
  </w:footnote>
  <w:footnote w:id="501">
    <w:p w14:paraId="7A24B628"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כלומר כבר רתחו ונחו מבעבוען וכיון שנחו שוב אין רותחין</w:t>
      </w:r>
      <w:r w:rsidRPr="008C1C8E">
        <w:rPr>
          <w:rFonts w:asciiTheme="minorBidi" w:hAnsiTheme="minorBidi"/>
          <w:sz w:val="16"/>
          <w:szCs w:val="16"/>
          <w:rtl/>
        </w:rPr>
        <w:t xml:space="preserve"> (משום שההטמנה שמוסיפה הבל לא יכולה להביא את הקדירה למצב של רתיחה מחדש, אלא מוסיפה קצת וזהו, אבל אם מטמינים מבעו"י, שהקדרה כבר רותחת, אז ההטמנה יכולה לשמור על רתיחתו ואפי' להוסיף קצת, לכן אסרו להטמים בדבר המוסיף הבל מבוע"י אבל בבה"ש שפיר דמי משום שסתם קדרות בבה"ש ירדו מעט מרתיחתן </w:t>
      </w:r>
      <w:r w:rsidRPr="008C1C8E">
        <w:rPr>
          <w:rFonts w:asciiTheme="minorBidi" w:hAnsiTheme="minorBidi"/>
          <w:sz w:val="14"/>
          <w:szCs w:val="14"/>
          <w:rtl/>
        </w:rPr>
        <w:t>[ולגי' רש"י בדיוק הפוך- שבבה"ש סתם קדרה רותחת]</w:t>
      </w:r>
      <w:r w:rsidRPr="008C1C8E">
        <w:rPr>
          <w:rFonts w:asciiTheme="minorBidi" w:hAnsiTheme="minorBidi"/>
          <w:sz w:val="16"/>
          <w:szCs w:val="16"/>
          <w:rtl/>
        </w:rPr>
        <w:t>)</w:t>
      </w:r>
      <w:r w:rsidRPr="008C1C8E">
        <w:rPr>
          <w:rFonts w:asciiTheme="minorBidi" w:hAnsiTheme="minorBidi"/>
          <w:rtl/>
        </w:rPr>
        <w:t>, רמב"ם.</w:t>
      </w:r>
    </w:p>
  </w:footnote>
  <w:footnote w:id="502">
    <w:p w14:paraId="6D6D05E1"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היינו אפי' בשוגג, באה"ט (סק"ב). דמדסתם משמע דס"ל דאפי' בשוגג אסור, וכ"מ בהג"ה, ואע"פ דבשכח ושהה מתיר בסי' רנ"ג מ"מ בהטמנה מחמירים טפי, מג"א (סק"ד).  </w:t>
      </w:r>
    </w:p>
  </w:footnote>
  <w:footnote w:id="503">
    <w:p w14:paraId="0A877191"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דאז אסור אפי' בדיעבד, אבל מצטמק ורע לו מותר בדיעבד </w:t>
      </w:r>
      <w:r w:rsidRPr="008C1C8E">
        <w:rPr>
          <w:rFonts w:asciiTheme="minorBidi" w:hAnsiTheme="minorBidi"/>
          <w:sz w:val="16"/>
          <w:szCs w:val="16"/>
          <w:rtl/>
        </w:rPr>
        <w:t>(דלא כעולת שבת שכ' שמותר לכתח' במצטמק ורע לו)</w:t>
      </w:r>
      <w:r w:rsidRPr="008C1C8E">
        <w:rPr>
          <w:rFonts w:asciiTheme="minorBidi" w:hAnsiTheme="minorBidi"/>
          <w:rtl/>
        </w:rPr>
        <w:t>, מג"א</w:t>
      </w:r>
      <w:r w:rsidRPr="008C1C8E">
        <w:rPr>
          <w:rFonts w:asciiTheme="minorBidi" w:hAnsiTheme="minorBidi"/>
          <w:sz w:val="16"/>
          <w:szCs w:val="16"/>
          <w:rtl/>
        </w:rPr>
        <w:t xml:space="preserve"> (סק"ה)</w:t>
      </w:r>
      <w:r w:rsidRPr="008C1C8E">
        <w:rPr>
          <w:rFonts w:asciiTheme="minorBidi" w:hAnsiTheme="minorBidi"/>
          <w:rtl/>
        </w:rPr>
        <w:t>.</w:t>
      </w:r>
    </w:p>
  </w:footnote>
  <w:footnote w:id="504">
    <w:p w14:paraId="091C7FA7"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היינו שהטמין מבעו"י בדבר שהעמיד את התבשיל בחמימותו כשעה ראשונה- מותר בדיעבד, וה"ה אם עבר והטמין בשבת בדבר שאינו מוסיף הבל, מג"א (סק"ו, ע"פ אשל אברהם). </w:t>
      </w:r>
    </w:p>
  </w:footnote>
  <w:footnote w:id="505">
    <w:p w14:paraId="2559D115"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בתנאי שבושל כל צורכו קודם השבת </w:t>
      </w:r>
      <w:r w:rsidRPr="008C1C8E">
        <w:rPr>
          <w:rFonts w:asciiTheme="minorBidi" w:hAnsiTheme="minorBidi"/>
          <w:sz w:val="16"/>
          <w:szCs w:val="16"/>
          <w:rtl/>
        </w:rPr>
        <w:t>(הא נגמר בישולו בשבת אסור אף לשיטת ההגה' מרדכי)</w:t>
      </w:r>
      <w:r w:rsidRPr="008C1C8E">
        <w:rPr>
          <w:rFonts w:asciiTheme="minorBidi" w:hAnsiTheme="minorBidi"/>
          <w:rtl/>
        </w:rPr>
        <w:t>, דודאי לא עדיף משהייה, מג"א (סק"ז). ונראה מדברי המג"א שפירש דברי הרמ"א</w:t>
      </w:r>
      <w:r w:rsidRPr="008C1C8E">
        <w:rPr>
          <w:rFonts w:asciiTheme="minorBidi" w:hAnsiTheme="minorBidi"/>
          <w:sz w:val="16"/>
          <w:szCs w:val="16"/>
          <w:rtl/>
        </w:rPr>
        <w:t xml:space="preserve"> (שכ' בשם ההגמ"ר)</w:t>
      </w:r>
      <w:r w:rsidRPr="008C1C8E">
        <w:rPr>
          <w:rFonts w:asciiTheme="minorBidi" w:hAnsiTheme="minorBidi"/>
          <w:rtl/>
        </w:rPr>
        <w:t xml:space="preserve"> באדם ששכח והטמין בדבר המוסיף הבל ממש. אך הט"ז </w:t>
      </w:r>
      <w:r w:rsidRPr="008C1C8E">
        <w:rPr>
          <w:rFonts w:asciiTheme="minorBidi" w:hAnsiTheme="minorBidi"/>
          <w:sz w:val="16"/>
          <w:szCs w:val="16"/>
          <w:rtl/>
        </w:rPr>
        <w:t>(סק"ב)</w:t>
      </w:r>
      <w:r w:rsidRPr="008C1C8E">
        <w:rPr>
          <w:rFonts w:asciiTheme="minorBidi" w:hAnsiTheme="minorBidi"/>
          <w:rtl/>
        </w:rPr>
        <w:t xml:space="preserve"> פירש שעיקר ההטמנה היתה בדבר המותר כגון שהטמין בדשן או כר וכסת או דבר אחר של היתר, וכשבא להוציא הקדירה מצא שם מעט גחלים בוערות סביב לה או תחתיה, דאז- התיר בדיעבד, אבל אם עיקר ההטמנה היתה בדבר המוסיף הבל אסור אפילו דיעבד, כההיא דאנשי טבריא שעשו סילון וכו' במשנה </w:t>
      </w:r>
      <w:r w:rsidRPr="008C1C8E">
        <w:rPr>
          <w:rFonts w:asciiTheme="minorBidi" w:hAnsiTheme="minorBidi"/>
          <w:sz w:val="16"/>
          <w:szCs w:val="16"/>
          <w:rtl/>
        </w:rPr>
        <w:t>(לח:)</w:t>
      </w:r>
      <w:r w:rsidRPr="008C1C8E">
        <w:rPr>
          <w:rFonts w:asciiTheme="minorBidi" w:hAnsiTheme="minorBidi"/>
          <w:rtl/>
        </w:rPr>
        <w:t xml:space="preserve"> ואסרו אפי' דיעבד, וכן מבואר בהגמ"ר, ולפ"ז אין מחלוקת במקרה ששכח והטמין כשעיקר הטמנתו הייתה בדבר המוסיף הבל.</w:t>
      </w:r>
    </w:p>
  </w:footnote>
  <w:footnote w:id="506">
    <w:p w14:paraId="01B6DAF0"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דאז ס"ל דכל שנתבשל כמאב"ד שרי </w:t>
      </w:r>
      <w:r w:rsidRPr="008C1C8E">
        <w:rPr>
          <w:rFonts w:asciiTheme="minorBidi" w:hAnsiTheme="minorBidi"/>
          <w:sz w:val="16"/>
          <w:szCs w:val="16"/>
          <w:rtl/>
        </w:rPr>
        <w:t>(כמש"כ ס"ז)</w:t>
      </w:r>
      <w:r w:rsidRPr="008C1C8E">
        <w:rPr>
          <w:rFonts w:asciiTheme="minorBidi" w:hAnsiTheme="minorBidi"/>
          <w:rtl/>
        </w:rPr>
        <w:t>, מג"א (סק"ח).</w:t>
      </w:r>
    </w:p>
  </w:footnote>
  <w:footnote w:id="507">
    <w:p w14:paraId="5EF9E787"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אפילו לא נתבשל כמאב"ד שרי, דלא יחתה, דבלא"ה יתבשל עד למחר, מג"א (סק"ח).</w:t>
      </w:r>
    </w:p>
  </w:footnote>
  <w:footnote w:id="508">
    <w:p w14:paraId="343404AE"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פסולת של בית הבד של שמן, שהוא כנוס יחד וחם מאד, רש"י.</w:t>
      </w:r>
    </w:p>
  </w:footnote>
  <w:footnote w:id="509">
    <w:p w14:paraId="4AA46180"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יש בהן הבל הרבה יותר מיבשין, רש"י.</w:t>
      </w:r>
    </w:p>
  </w:footnote>
  <w:footnote w:id="510">
    <w:p w14:paraId="1F3D409F"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פסולת של יקב יין, רש"י.</w:t>
      </w:r>
    </w:p>
  </w:footnote>
  <w:footnote w:id="511">
    <w:p w14:paraId="0BE4D46E"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כל דבר רך קרוי מוכין, כגון צמר גפן, ותלישי צמר רך של בהמה, וגרירת בגדים בלויים, רש"י.</w:t>
      </w:r>
    </w:p>
  </w:footnote>
  <w:footnote w:id="512">
    <w:p w14:paraId="64B62A12"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שנותן בה מוכין וטומן בה קדירה, רש"י.</w:t>
      </w:r>
    </w:p>
  </w:footnote>
  <w:footnote w:id="513">
    <w:p w14:paraId="3B78D187"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כגון זה שהטמין בדבר אחר, והניח קופה על הגפת, דליכא אלא שהגפת מעלה הבל למעלה, ומרתיח קדרה שבקופה, רש"י.</w:t>
      </w:r>
    </w:p>
  </w:footnote>
  <w:footnote w:id="514">
    <w:p w14:paraId="250AEB7B"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אע"פ דמשמע דלא איפשטא ומכיון דמידי דרבנן היה צריך להקל- פסקו הרמב"ם רי"ו ר"ן וטור להחמיר- דגפת דמתניתין אפי' דשומשומין, משום שכך לשון הגמ'- "לעולם אימא לך...", א"נ משום מפני שהוא קרוב לאיסור תורה, ב"י.</w:t>
      </w:r>
      <w:r w:rsidRPr="008C1C8E">
        <w:rPr>
          <w:rFonts w:asciiTheme="minorBidi" w:hAnsiTheme="minorBidi"/>
          <w:color w:val="E36C0A" w:themeColor="accent6" w:themeShade="BF"/>
          <w:rtl/>
        </w:rPr>
        <w:t xml:space="preserve"> וכ"פ בשו"ע.</w:t>
      </w:r>
    </w:p>
  </w:footnote>
  <w:footnote w:id="515">
    <w:p w14:paraId="2EF89371"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מחממות טפי מלחין מחמת משקין שנופלין עליהן משיבשו, רש"י. וכן פירשו הרי"ף רא"ש ורי"ו, וכן פירש הרמב"ם בפהמ"ש, אך ביד החזקה </w:t>
      </w:r>
      <w:r w:rsidRPr="008C1C8E">
        <w:rPr>
          <w:rFonts w:asciiTheme="minorBidi" w:hAnsiTheme="minorBidi"/>
          <w:sz w:val="16"/>
          <w:szCs w:val="16"/>
          <w:rtl/>
        </w:rPr>
        <w:t xml:space="preserve">(פ"ד ה"א) </w:t>
      </w:r>
      <w:r w:rsidRPr="008C1C8E">
        <w:rPr>
          <w:rFonts w:asciiTheme="minorBidi" w:hAnsiTheme="minorBidi"/>
          <w:rtl/>
        </w:rPr>
        <w:t xml:space="preserve">נראה שהוא מפרש דלחין מחמת דבר אחר מחממין טפי ואסור בכל גוונא מדכתב- "או זגין ומוכין ועשבים בזמן ששלשתם לחין ואפילו מחמת עצמן", ב"י. וכן נראה דעת הטור מדסתם ולא פירש, דרכ"מ ב"ח ודרישה. </w:t>
      </w:r>
      <w:r w:rsidRPr="008C1C8E">
        <w:rPr>
          <w:rFonts w:asciiTheme="minorBidi" w:hAnsiTheme="minorBidi"/>
          <w:color w:val="E36C0A" w:themeColor="accent6" w:themeShade="BF"/>
          <w:rtl/>
        </w:rPr>
        <w:t xml:space="preserve">וכ"פ בשו"ע. </w:t>
      </w:r>
    </w:p>
  </w:footnote>
  <w:footnote w:id="516">
    <w:p w14:paraId="113D3404"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מצמר הנמרט מבין ירכותיה של בהמה, שהוא מלא זיעה והוא לח מעצמו, להכי קרי ליה מרטא - דלאו בר גיזה הוא, רש"י.</w:t>
      </w:r>
    </w:p>
  </w:footnote>
  <w:footnote w:id="517">
    <w:p w14:paraId="74012862"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הרי"ף פסק כשמעתא דרב הושעיא, אך שאר כל הפוסקים לא פסקו כשמעתא זו </w:t>
      </w:r>
      <w:r w:rsidRPr="008C1C8E">
        <w:rPr>
          <w:rFonts w:asciiTheme="minorBidi" w:hAnsiTheme="minorBidi"/>
          <w:sz w:val="16"/>
          <w:szCs w:val="16"/>
          <w:rtl/>
        </w:rPr>
        <w:t>(משום דנראה דפליג אמתניתין</w:t>
      </w:r>
      <w:r w:rsidRPr="008C1C8E">
        <w:rPr>
          <w:rFonts w:asciiTheme="minorBidi" w:hAnsiTheme="minorBidi"/>
          <w:sz w:val="14"/>
          <w:szCs w:val="14"/>
          <w:rtl/>
        </w:rPr>
        <w:t xml:space="preserve"> (מט.)</w:t>
      </w:r>
      <w:r w:rsidRPr="008C1C8E">
        <w:rPr>
          <w:rFonts w:asciiTheme="minorBidi" w:hAnsiTheme="minorBidi"/>
          <w:sz w:val="16"/>
          <w:szCs w:val="16"/>
          <w:rtl/>
        </w:rPr>
        <w:t xml:space="preserve"> דשרי סתם להטמין בכסות ובפירות, וכמו שכתבו התוס' שם ד"ה אבל)</w:t>
      </w:r>
      <w:r w:rsidRPr="008C1C8E">
        <w:rPr>
          <w:rFonts w:asciiTheme="minorBidi" w:hAnsiTheme="minorBidi"/>
          <w:rtl/>
        </w:rPr>
        <w:t xml:space="preserve">, ואפשר דהרי"ף סובר דלא פליג, דמתניתין </w:t>
      </w:r>
      <w:r w:rsidRPr="008C1C8E">
        <w:rPr>
          <w:rFonts w:asciiTheme="minorBidi" w:hAnsiTheme="minorBidi"/>
          <w:sz w:val="16"/>
          <w:szCs w:val="16"/>
          <w:rtl/>
        </w:rPr>
        <w:t xml:space="preserve">(מז:) </w:t>
      </w:r>
      <w:r w:rsidRPr="008C1C8E">
        <w:rPr>
          <w:rFonts w:asciiTheme="minorBidi" w:hAnsiTheme="minorBidi"/>
          <w:rtl/>
        </w:rPr>
        <w:t xml:space="preserve">גלי לן דמוכין לחין מחמת עצמן אין טומנין בהם ומינה נשמע לכסות ופירות דכל שהן לחין מחמת עצמן אין טומנין בהם והדר תני </w:t>
      </w:r>
      <w:r w:rsidRPr="008C1C8E">
        <w:rPr>
          <w:rFonts w:asciiTheme="minorBidi" w:hAnsiTheme="minorBidi"/>
          <w:sz w:val="16"/>
          <w:szCs w:val="16"/>
          <w:rtl/>
        </w:rPr>
        <w:t>(מט.)</w:t>
      </w:r>
      <w:r w:rsidRPr="008C1C8E">
        <w:rPr>
          <w:rFonts w:asciiTheme="minorBidi" w:hAnsiTheme="minorBidi"/>
          <w:rtl/>
        </w:rPr>
        <w:t xml:space="preserve"> טומנין בכסות ופירות סתם, לומר דאפילו הם לחין טומנין בהם והוא שיהיו לחים מחמת דבר אחר וכדפריש רב הושעיא, ב"י. </w:t>
      </w:r>
      <w:r w:rsidRPr="008C1C8E">
        <w:rPr>
          <w:rFonts w:asciiTheme="minorBidi" w:hAnsiTheme="minorBidi"/>
          <w:color w:val="E36C0A" w:themeColor="accent6" w:themeShade="BF"/>
          <w:rtl/>
        </w:rPr>
        <w:t>ובשו"ע פסק ככל הפוסקים.</w:t>
      </w:r>
    </w:p>
  </w:footnote>
  <w:footnote w:id="518">
    <w:p w14:paraId="6B773AE0"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אבל להניח קופה של צמר שטמן בה ע"ג גפת של שומשמין שרי, דרק הנחה ע"ג גפת של זיתים אסור משום שמעלה הבל, גמ', מג"א (סק"ט).</w:t>
      </w:r>
    </w:p>
  </w:footnote>
  <w:footnote w:id="519">
    <w:p w14:paraId="581A8634"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לכאורה תמוה שהרי כתב ארבעה דברים- "תבן וזגין ומוכין ועשבים", וכ' הט"ז (סק"ג) דגריר בתר לשון הרמב"ם אע"פ שהרמב"ם לא כ' תבן. והמג"א כ' שצ"ל דחשיב לתבן וזגין כחדא. והגר"א (סקי"ב) כ' שהתיבה"תבן" היא הגהה שהוסיף הרמ"א. אך בכל דפוסי השו"ע איתא "ותבן", וכן בשו"ע דפוס ויניציאה שנת שכ"ה, וידוע שמרן נפטר בשנת של"ה, וזהו דפוס שיצא בחייו ללא הגהות הרמ"א, וא"כ נראה שצ"ע על דברי הגר"א שהרי נראה יותר שמרן עצמו כ' בשו"ע את תיבת "ותבן". </w:t>
      </w:r>
    </w:p>
  </w:footnote>
  <w:footnote w:id="520">
    <w:p w14:paraId="0C9B6936"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דלא שכיח כלל שיטמין בסלעים משום שמשברים הקדירה או שמקלקלים המאכל, אבל דבר שלפעמים טומנין בהם אע"ג דלא שכיח גזרו בהו רבנן </w:t>
      </w:r>
      <w:r w:rsidRPr="008C1C8E">
        <w:rPr>
          <w:rFonts w:asciiTheme="minorBidi" w:hAnsiTheme="minorBidi"/>
          <w:sz w:val="16"/>
          <w:szCs w:val="16"/>
          <w:rtl/>
        </w:rPr>
        <w:t>(תוס' ב"ב יט. ד"ה משום)</w:t>
      </w:r>
      <w:r w:rsidRPr="008C1C8E">
        <w:rPr>
          <w:rFonts w:asciiTheme="minorBidi" w:hAnsiTheme="minorBidi"/>
          <w:rtl/>
        </w:rPr>
        <w:t>, מג"א (סקי"א).</w:t>
      </w:r>
    </w:p>
  </w:footnote>
  <w:footnote w:id="521">
    <w:p w14:paraId="411FFACF"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מעיל/גלימה/שמיכה- ויש בו הבל יותר מן הסדינין, ונוטל את הגלופקרא בימות החמה אם ירא שמא יקדיח תבשילו מחמת רוב כיסוי, רש"י.</w:t>
      </w:r>
    </w:p>
  </w:footnote>
  <w:footnote w:id="522">
    <w:p w14:paraId="02E5A7E7"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לאו דוקא נתגלה מעצמו, אלא מותר אף לכתחילה לגלותו ולכסותו, ב"י ט"ז </w:t>
      </w:r>
      <w:r w:rsidRPr="008C1C8E">
        <w:rPr>
          <w:rFonts w:asciiTheme="minorBidi" w:hAnsiTheme="minorBidi"/>
          <w:sz w:val="16"/>
          <w:szCs w:val="16"/>
          <w:rtl/>
        </w:rPr>
        <w:t xml:space="preserve">(סק"ד) </w:t>
      </w:r>
      <w:r w:rsidRPr="008C1C8E">
        <w:rPr>
          <w:rFonts w:asciiTheme="minorBidi" w:hAnsiTheme="minorBidi"/>
          <w:rtl/>
        </w:rPr>
        <w:t xml:space="preserve">וגר"א </w:t>
      </w:r>
      <w:r w:rsidRPr="008C1C8E">
        <w:rPr>
          <w:rFonts w:asciiTheme="minorBidi" w:hAnsiTheme="minorBidi"/>
          <w:sz w:val="16"/>
          <w:szCs w:val="16"/>
          <w:rtl/>
        </w:rPr>
        <w:t>(סקט"ו)</w:t>
      </w:r>
      <w:r w:rsidRPr="008C1C8E">
        <w:rPr>
          <w:rFonts w:asciiTheme="minorBidi" w:hAnsiTheme="minorBidi"/>
          <w:rtl/>
        </w:rPr>
        <w:t>.</w:t>
      </w:r>
    </w:p>
  </w:footnote>
  <w:footnote w:id="523">
    <w:p w14:paraId="3F66EE15"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פשוט דכשטמונה בדבר שאין מוסיף הבל שאין גורם בישול כלל אלא מיירי בדרך שכ' בס"ח</w:t>
      </w:r>
      <w:r w:rsidRPr="008C1C8E">
        <w:rPr>
          <w:rFonts w:asciiTheme="minorBidi" w:hAnsiTheme="minorBidi"/>
          <w:sz w:val="16"/>
          <w:szCs w:val="16"/>
          <w:rtl/>
        </w:rPr>
        <w:t xml:space="preserve"> (דשם מיירי שיש מתחת לקדירה דבר המוסיף הבל ואינה נוגעת בגחלים ולמעלה נתן בגדים והם ג"כ אינם נוגעים בקדירה – דשרי, בכה"ג אסור ליתן וליקח כיסויים בשבת, דמבשל)</w:t>
      </w:r>
      <w:r w:rsidRPr="008C1C8E">
        <w:rPr>
          <w:rFonts w:asciiTheme="minorBidi" w:hAnsiTheme="minorBidi"/>
          <w:rtl/>
        </w:rPr>
        <w:t>, מג"א (סקי"ג).</w:t>
      </w:r>
    </w:p>
  </w:footnote>
  <w:footnote w:id="524">
    <w:p w14:paraId="6AC87911"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להטמין משחשיכה אלא במיחם שהוחמו בו, דהתם הוא דאיכא למיגזר שמא ירתיח, רש"י.</w:t>
      </w:r>
    </w:p>
  </w:footnote>
  <w:footnote w:id="525">
    <w:p w14:paraId="27D95F10"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דהשתא ליכא למיגזר שמא ירתיח, דהשתא אקורי קא מיקר להו במתכוין - ארתוחי מרתח להו, בתמיה, רש"י. והר"ן דייק מדברי רש"י שמותר בתנאי שהייתה כוונת האדם </w:t>
      </w:r>
      <w:r w:rsidRPr="008C1C8E">
        <w:rPr>
          <w:rFonts w:asciiTheme="minorBidi" w:hAnsiTheme="minorBidi"/>
          <w:sz w:val="16"/>
          <w:szCs w:val="16"/>
          <w:rtl/>
        </w:rPr>
        <w:t>(בהעברה ממיחם למיחם)</w:t>
      </w:r>
      <w:r w:rsidRPr="008C1C8E">
        <w:rPr>
          <w:rFonts w:asciiTheme="minorBidi" w:hAnsiTheme="minorBidi"/>
          <w:rtl/>
        </w:rPr>
        <w:t xml:space="preserve">  לקרר, הא לאו הכי אסור, וסיים הר"ן שהרמב"ם פירש שמותר להטמין בשבת משום שאסרו להטמין רק בכלי ראשון שנתבשל בו, לכן אע"פ שלא התכוון לקרר- מותר, כמו שמותר להטמין דבר צונן, וסיים שכן עיקר. </w:t>
      </w:r>
      <w:r w:rsidRPr="008C1C8E">
        <w:rPr>
          <w:rFonts w:asciiTheme="minorBidi" w:hAnsiTheme="minorBidi"/>
          <w:color w:val="E36C0A" w:themeColor="accent6" w:themeShade="BF"/>
          <w:rtl/>
        </w:rPr>
        <w:t>וכ"פ השו"ע.</w:t>
      </w:r>
    </w:p>
  </w:footnote>
  <w:footnote w:id="526">
    <w:p w14:paraId="5920B337"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ונראה דה"ה כשהחזירו לכלי הראשון, דכבר אין לו דין כ"ר אלא הו"ל צונן ומותר להטמינו, ואפשר דאפילו בכ"ר אם נתקרר קצת שרי להטמינו, ועמ"ש סי' שי"ח ס"ד, מג"א (סקי"ד) </w:t>
      </w:r>
      <w:r w:rsidRPr="008C1C8E">
        <w:rPr>
          <w:rFonts w:asciiTheme="minorBidi" w:hAnsiTheme="minorBidi"/>
          <w:sz w:val="16"/>
          <w:szCs w:val="16"/>
          <w:rtl/>
        </w:rPr>
        <w:t xml:space="preserve">(וכל זה הוא משום שלא אסרו להטמין אלא דבר חם שהיה בכלי ראשון שנתבשל בו) </w:t>
      </w:r>
    </w:p>
  </w:footnote>
  <w:footnote w:id="527">
    <w:p w14:paraId="56882CFB"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של צונן, רש"י. </w:t>
      </w:r>
    </w:p>
  </w:footnote>
  <w:footnote w:id="528">
    <w:p w14:paraId="41327785"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שלא יחמו בחום הקיץ והחמה, כגון כר וכסת של לבדין שאינו מחמם, רש"י. וכ' הר"ן דנראה מדברי רש"י דלהטמין את הצונן כדי לחממו אע"פ שהוא מטמין בדבר שאינו מוסיף הבל- אסור, אבל הרמב"ם כ' </w:t>
      </w:r>
      <w:r w:rsidRPr="008C1C8E">
        <w:rPr>
          <w:rFonts w:asciiTheme="minorBidi" w:hAnsiTheme="minorBidi"/>
          <w:sz w:val="16"/>
          <w:szCs w:val="16"/>
          <w:rtl/>
        </w:rPr>
        <w:t>(פ"ד ה"ד)</w:t>
      </w:r>
      <w:r w:rsidRPr="008C1C8E">
        <w:rPr>
          <w:rFonts w:asciiTheme="minorBidi" w:hAnsiTheme="minorBidi"/>
          <w:rtl/>
        </w:rPr>
        <w:t xml:space="preserve"> מותר לטמון דבר הצונן בשבת בדבר שאינו מוסיף הבל כדי שלא יצטנן ביותר או כדי שתפיג צינתו, וכן נראה מדברי הגאונים והכי פשטא דמלתא דבכולי פרקין בהטמנה דלחמם עסקינן וכן עיקר, עכ"ל הר"ן.</w:t>
      </w:r>
      <w:r w:rsidRPr="008C1C8E">
        <w:rPr>
          <w:rFonts w:asciiTheme="minorBidi" w:hAnsiTheme="minorBidi"/>
          <w:color w:val="E36C0A" w:themeColor="accent6" w:themeShade="BF"/>
          <w:rtl/>
        </w:rPr>
        <w:t xml:space="preserve"> וכ"פ השו"ע.</w:t>
      </w:r>
    </w:p>
  </w:footnote>
  <w:footnote w:id="529">
    <w:p w14:paraId="481FF718"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דסתם הטמנה לצורך מחר וצריך חיתוי טפי שלא יתקרר </w:t>
      </w:r>
      <w:r w:rsidRPr="008C1C8E">
        <w:rPr>
          <w:rFonts w:asciiTheme="minorBidi" w:hAnsiTheme="minorBidi"/>
          <w:sz w:val="16"/>
          <w:szCs w:val="16"/>
          <w:rtl/>
        </w:rPr>
        <w:t xml:space="preserve">(טור) </w:t>
      </w:r>
      <w:r w:rsidRPr="008C1C8E">
        <w:rPr>
          <w:rFonts w:asciiTheme="minorBidi" w:hAnsiTheme="minorBidi"/>
          <w:rtl/>
        </w:rPr>
        <w:t xml:space="preserve">ומעט חיתוי מהני להחזיק החום כיון שהוא טמון </w:t>
      </w:r>
      <w:r w:rsidRPr="008C1C8E">
        <w:rPr>
          <w:rFonts w:asciiTheme="minorBidi" w:hAnsiTheme="minorBidi"/>
          <w:sz w:val="16"/>
          <w:szCs w:val="16"/>
          <w:rtl/>
        </w:rPr>
        <w:t>(הרא"ש ומרדכי)</w:t>
      </w:r>
      <w:r w:rsidRPr="008C1C8E">
        <w:rPr>
          <w:rFonts w:asciiTheme="minorBidi" w:hAnsiTheme="minorBidi"/>
          <w:rtl/>
        </w:rPr>
        <w:t xml:space="preserve"> אבל בשהיה אפילו כשעושה לצורך מחר שרי דלא מהני מעט חיתוי, מג"א (סקט"ז).</w:t>
      </w:r>
    </w:p>
  </w:footnote>
  <w:footnote w:id="530">
    <w:p w14:paraId="0D571C07"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שנותן בה מוכין וטומן בה קדירה, רש"י.</w:t>
      </w:r>
    </w:p>
  </w:footnote>
  <w:footnote w:id="531">
    <w:p w14:paraId="61DAF6E2"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תוספת מהדורת אמ"ד </w:t>
      </w:r>
      <w:r w:rsidRPr="008C1C8E">
        <w:rPr>
          <w:rFonts w:asciiTheme="minorBidi" w:hAnsiTheme="minorBidi"/>
          <w:sz w:val="16"/>
          <w:szCs w:val="16"/>
          <w:rtl/>
        </w:rPr>
        <w:t>(נ"ל אמסטרדם)</w:t>
      </w:r>
      <w:r w:rsidRPr="008C1C8E">
        <w:rPr>
          <w:rFonts w:asciiTheme="minorBidi" w:hAnsiTheme="minorBidi"/>
          <w:rtl/>
        </w:rPr>
        <w:t xml:space="preserve"> תנ"ז, והיא תואמת לדברי הב"י.</w:t>
      </w:r>
    </w:p>
  </w:footnote>
  <w:footnote w:id="532">
    <w:p w14:paraId="283E1ABD"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והא דצריך לטוח הוא בדברים שממהרים להתבשל כמו פשטידה או מיני קטניות, אבל בבשר חי לא צריך טיחה, </w:t>
      </w:r>
      <w:r w:rsidRPr="008C1C8E">
        <w:rPr>
          <w:rFonts w:asciiTheme="minorBidi" w:hAnsiTheme="minorBidi"/>
          <w:sz w:val="16"/>
          <w:szCs w:val="16"/>
          <w:rtl/>
        </w:rPr>
        <w:t xml:space="preserve">(ונתבאר לעיל </w:t>
      </w:r>
      <w:r w:rsidRPr="008C1C8E">
        <w:rPr>
          <w:rFonts w:asciiTheme="minorBidi" w:hAnsiTheme="minorBidi"/>
          <w:sz w:val="14"/>
          <w:szCs w:val="14"/>
          <w:rtl/>
        </w:rPr>
        <w:t xml:space="preserve">[רנד סקי"ט] </w:t>
      </w:r>
      <w:r w:rsidRPr="008C1C8E">
        <w:rPr>
          <w:rFonts w:asciiTheme="minorBidi" w:hAnsiTheme="minorBidi"/>
          <w:sz w:val="16"/>
          <w:szCs w:val="16"/>
          <w:rtl/>
        </w:rPr>
        <w:t>דלב"י לא מהני אפי' התנור טוח בטיט)</w:t>
      </w:r>
      <w:r w:rsidRPr="008C1C8E">
        <w:rPr>
          <w:rFonts w:asciiTheme="minorBidi" w:hAnsiTheme="minorBidi"/>
          <w:rtl/>
        </w:rPr>
        <w:t xml:space="preserve">, מג"א. ונ"ל דצריך ליזהר שלא יעמיד הקדירה אצל דופן התנור דאז נראה כהטמנה דהא עיקר ההיתר הוא כשיש הפסק אויר בין הקדירה לדופן, וגם הדף הסותם בתנור לא יגע בקדירה מטעם זה, ט"ז </w:t>
      </w:r>
      <w:r w:rsidRPr="008C1C8E">
        <w:rPr>
          <w:rFonts w:asciiTheme="minorBidi" w:hAnsiTheme="minorBidi"/>
          <w:sz w:val="16"/>
          <w:szCs w:val="16"/>
          <w:rtl/>
        </w:rPr>
        <w:t>(סק"ו)</w:t>
      </w:r>
      <w:r w:rsidRPr="008C1C8E">
        <w:rPr>
          <w:rFonts w:asciiTheme="minorBidi" w:hAnsiTheme="minorBidi"/>
          <w:rtl/>
        </w:rPr>
        <w:t>.</w:t>
      </w:r>
    </w:p>
  </w:footnote>
  <w:footnote w:id="533">
    <w:p w14:paraId="57530B51" w14:textId="09C8F4B8" w:rsidR="00072219" w:rsidRDefault="00072219">
      <w:pPr>
        <w:pStyle w:val="a7"/>
        <w:rPr>
          <w:rtl/>
        </w:rPr>
      </w:pPr>
      <w:r>
        <w:rPr>
          <w:rStyle w:val="a9"/>
        </w:rPr>
        <w:footnoteRef/>
      </w:r>
      <w:r>
        <w:rPr>
          <w:rtl/>
        </w:rPr>
        <w:t xml:space="preserve"> </w:t>
      </w:r>
      <w:r w:rsidRPr="00072219">
        <w:rPr>
          <w:rFonts w:cs="Arial"/>
          <w:rtl/>
        </w:rPr>
        <w:t>של נחשת</w:t>
      </w:r>
      <w:r>
        <w:rPr>
          <w:rFonts w:hint="cs"/>
          <w:rtl/>
        </w:rPr>
        <w:t>, רש"י.</w:t>
      </w:r>
    </w:p>
  </w:footnote>
  <w:footnote w:id="534">
    <w:p w14:paraId="07D4252D" w14:textId="2B31BAE8" w:rsidR="00072219" w:rsidRDefault="00072219">
      <w:pPr>
        <w:pStyle w:val="a7"/>
      </w:pPr>
      <w:r>
        <w:rPr>
          <w:rStyle w:val="a9"/>
        </w:rPr>
        <w:footnoteRef/>
      </w:r>
      <w:r>
        <w:rPr>
          <w:rtl/>
        </w:rPr>
        <w:t xml:space="preserve"> </w:t>
      </w:r>
      <w:r>
        <w:rPr>
          <w:rFonts w:hint="cs"/>
          <w:rtl/>
        </w:rPr>
        <w:t xml:space="preserve">משל חרס..., רש"י. </w:t>
      </w:r>
    </w:p>
  </w:footnote>
  <w:footnote w:id="535">
    <w:p w14:paraId="29652842" w14:textId="4606DBF5" w:rsidR="00434A6A" w:rsidRPr="008C1C8E" w:rsidRDefault="00434A6A" w:rsidP="00434A6A">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יש ספרים שכתוב בהן </w:t>
      </w:r>
      <w:r w:rsidR="00D440CC">
        <w:rPr>
          <w:rFonts w:asciiTheme="minorBidi" w:hAnsiTheme="minorBidi" w:hint="cs"/>
          <w:rtl/>
        </w:rPr>
        <w:t>"</w:t>
      </w:r>
      <w:r w:rsidRPr="008C1C8E">
        <w:rPr>
          <w:rFonts w:asciiTheme="minorBidi" w:hAnsiTheme="minorBidi"/>
          <w:rtl/>
        </w:rPr>
        <w:t>אבל לא מיחם על גבי קדירה</w:t>
      </w:r>
      <w:r w:rsidR="00D440CC">
        <w:rPr>
          <w:rFonts w:asciiTheme="minorBidi" w:hAnsiTheme="minorBidi" w:hint="cs"/>
          <w:rtl/>
        </w:rPr>
        <w:t>"</w:t>
      </w:r>
      <w:r w:rsidRPr="008C1C8E">
        <w:rPr>
          <w:rFonts w:asciiTheme="minorBidi" w:hAnsiTheme="minorBidi"/>
          <w:rtl/>
        </w:rPr>
        <w:t xml:space="preserve">, ומפרשים טעמא מפני שהקדירה מרבה חמימות ומוספת הבלא למיחם, אבל בתוספתא </w:t>
      </w:r>
      <w:r w:rsidR="00D440CC" w:rsidRPr="00921789">
        <w:rPr>
          <w:rFonts w:asciiTheme="minorBidi" w:hAnsiTheme="minorBidi" w:cs="Arial"/>
          <w:rtl/>
        </w:rPr>
        <w:t>(פ"ד הי"ד)</w:t>
      </w:r>
      <w:r w:rsidR="00D440CC">
        <w:rPr>
          <w:rFonts w:asciiTheme="minorBidi" w:hAnsiTheme="minorBidi" w:hint="cs"/>
          <w:rtl/>
        </w:rPr>
        <w:t xml:space="preserve"> </w:t>
      </w:r>
      <w:r w:rsidRPr="008C1C8E">
        <w:rPr>
          <w:rFonts w:asciiTheme="minorBidi" w:hAnsiTheme="minorBidi"/>
          <w:rtl/>
        </w:rPr>
        <w:t xml:space="preserve">גרסינן: </w:t>
      </w:r>
      <w:r w:rsidR="00D440CC">
        <w:rPr>
          <w:rFonts w:asciiTheme="minorBidi" w:hAnsiTheme="minorBidi" w:hint="cs"/>
          <w:rtl/>
        </w:rPr>
        <w:t>"</w:t>
      </w:r>
      <w:r w:rsidRPr="008C1C8E">
        <w:rPr>
          <w:rFonts w:asciiTheme="minorBidi" w:hAnsiTheme="minorBidi"/>
          <w:rtl/>
        </w:rPr>
        <w:t>ומיחם על גבי קדירה</w:t>
      </w:r>
      <w:r w:rsidR="00D440CC">
        <w:rPr>
          <w:rFonts w:asciiTheme="minorBidi" w:hAnsiTheme="minorBidi" w:hint="cs"/>
          <w:rtl/>
        </w:rPr>
        <w:t>"</w:t>
      </w:r>
      <w:r w:rsidRPr="008C1C8E">
        <w:rPr>
          <w:rFonts w:asciiTheme="minorBidi" w:hAnsiTheme="minorBidi"/>
          <w:rtl/>
        </w:rPr>
        <w:t>, רש"י</w:t>
      </w:r>
      <w:r w:rsidR="00D440CC">
        <w:rPr>
          <w:rFonts w:asciiTheme="minorBidi" w:hAnsiTheme="minorBidi" w:hint="cs"/>
          <w:rtl/>
        </w:rPr>
        <w:t>.</w:t>
      </w:r>
      <w:r w:rsidR="002E4721">
        <w:rPr>
          <w:rFonts w:asciiTheme="minorBidi" w:hAnsiTheme="minorBidi" w:hint="cs"/>
          <w:rtl/>
        </w:rPr>
        <w:t xml:space="preserve"> </w:t>
      </w:r>
      <w:r w:rsidR="002E4721" w:rsidRPr="002E4721">
        <w:rPr>
          <w:rFonts w:asciiTheme="minorBidi" w:hAnsiTheme="minorBidi" w:cs="Arial"/>
          <w:rtl/>
        </w:rPr>
        <w:t>וכתב במסורת הש"ס דטעות הוא. ולית מאן דפליג בהכי</w:t>
      </w:r>
      <w:r w:rsidR="002E4721">
        <w:rPr>
          <w:rFonts w:asciiTheme="minorBidi" w:hAnsiTheme="minorBidi" w:cs="Arial" w:hint="cs"/>
          <w:rtl/>
        </w:rPr>
        <w:t>.</w:t>
      </w:r>
      <w:r w:rsidRPr="008C1C8E">
        <w:rPr>
          <w:rFonts w:asciiTheme="minorBidi" w:hAnsiTheme="minorBidi"/>
          <w:rtl/>
        </w:rPr>
        <w:t xml:space="preserve"> </w:t>
      </w:r>
    </w:p>
  </w:footnote>
  <w:footnote w:id="536">
    <w:p w14:paraId="0CF6FFC9" w14:textId="2D394A37" w:rsidR="00072219" w:rsidRDefault="00072219">
      <w:pPr>
        <w:pStyle w:val="a7"/>
      </w:pPr>
      <w:r>
        <w:rPr>
          <w:rStyle w:val="a9"/>
        </w:rPr>
        <w:footnoteRef/>
      </w:r>
      <w:r>
        <w:rPr>
          <w:rtl/>
        </w:rPr>
        <w:t xml:space="preserve"> </w:t>
      </w:r>
      <w:r w:rsidRPr="00072219">
        <w:rPr>
          <w:rFonts w:cs="Arial"/>
          <w:rtl/>
        </w:rPr>
        <w:t>הנילוש מבעוד יום</w:t>
      </w:r>
      <w:r>
        <w:rPr>
          <w:rFonts w:cs="Arial" w:hint="cs"/>
          <w:rtl/>
        </w:rPr>
        <w:t>.</w:t>
      </w:r>
      <w:r w:rsidRPr="00072219">
        <w:rPr>
          <w:rFonts w:cs="Arial"/>
          <w:rtl/>
        </w:rPr>
        <w:t xml:space="preserve"> כל הנך מניחין נמי בשבת</w:t>
      </w:r>
      <w:r>
        <w:rPr>
          <w:rFonts w:cs="Arial" w:hint="cs"/>
          <w:rtl/>
        </w:rPr>
        <w:t>, רש"י.</w:t>
      </w:r>
    </w:p>
  </w:footnote>
  <w:footnote w:id="537">
    <w:p w14:paraId="6CB0E6F0"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שיהא העליון צונן ונתנו כדי שיחום מחומו של תחתון, רש"י.</w:t>
      </w:r>
    </w:p>
  </w:footnote>
  <w:footnote w:id="538">
    <w:p w14:paraId="59986505"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שהיו שניהן חמין, ונתנו על גביו של זה כדי שיהא חומו משתמר בהן, רש"י.</w:t>
      </w:r>
    </w:p>
  </w:footnote>
  <w:footnote w:id="539">
    <w:p w14:paraId="5B9C5654" w14:textId="43C9D12D" w:rsidR="00427E09" w:rsidRDefault="00427E09">
      <w:pPr>
        <w:pStyle w:val="a7"/>
      </w:pPr>
      <w:r>
        <w:rPr>
          <w:rStyle w:val="a9"/>
        </w:rPr>
        <w:footnoteRef/>
      </w:r>
      <w:r>
        <w:rPr>
          <w:rtl/>
        </w:rPr>
        <w:t xml:space="preserve"> </w:t>
      </w:r>
      <w:r w:rsidRPr="00427E09">
        <w:rPr>
          <w:rFonts w:cs="Arial"/>
          <w:rtl/>
        </w:rPr>
        <w:t>מיחם של חמין, והכוזא היתה מלאה צונן</w:t>
      </w:r>
      <w:r>
        <w:rPr>
          <w:rFonts w:cs="Arial" w:hint="cs"/>
          <w:rtl/>
        </w:rPr>
        <w:t>, רש"י.</w:t>
      </w:r>
    </w:p>
  </w:footnote>
  <w:footnote w:id="540">
    <w:p w14:paraId="5BD76C6E" w14:textId="6D3F4CF1" w:rsidR="00427E09" w:rsidRDefault="00427E09">
      <w:pPr>
        <w:pStyle w:val="a7"/>
        <w:rPr>
          <w:rtl/>
        </w:rPr>
      </w:pPr>
      <w:r>
        <w:rPr>
          <w:rStyle w:val="a9"/>
        </w:rPr>
        <w:footnoteRef/>
      </w:r>
      <w:r>
        <w:rPr>
          <w:rtl/>
        </w:rPr>
        <w:t xml:space="preserve"> </w:t>
      </w:r>
      <w:r w:rsidRPr="00427E09">
        <w:rPr>
          <w:rFonts w:cs="Arial"/>
          <w:rtl/>
        </w:rPr>
        <w:t>גער בו</w:t>
      </w:r>
      <w:r>
        <w:rPr>
          <w:rFonts w:hint="cs"/>
          <w:rtl/>
        </w:rPr>
        <w:t>, רש"י.</w:t>
      </w:r>
    </w:p>
  </w:footnote>
  <w:footnote w:id="541">
    <w:p w14:paraId="78919BB9" w14:textId="392FD7A6" w:rsidR="00427E09" w:rsidRDefault="00427E09">
      <w:pPr>
        <w:pStyle w:val="a7"/>
      </w:pPr>
      <w:r>
        <w:rPr>
          <w:rStyle w:val="a9"/>
        </w:rPr>
        <w:footnoteRef/>
      </w:r>
      <w:r>
        <w:rPr>
          <w:rtl/>
        </w:rPr>
        <w:t xml:space="preserve"> </w:t>
      </w:r>
      <w:r w:rsidRPr="00427E09">
        <w:rPr>
          <w:rFonts w:cs="Arial"/>
          <w:rtl/>
        </w:rPr>
        <w:t>שהמיחם העליון גם בו יש מים חמין, והתחתון אינו אלא מעמיד חומו שלא יפיג</w:t>
      </w:r>
      <w:r>
        <w:rPr>
          <w:rFonts w:cs="Arial" w:hint="cs"/>
          <w:rtl/>
        </w:rPr>
        <w:t>, רש"י.</w:t>
      </w:r>
    </w:p>
  </w:footnote>
  <w:footnote w:id="542">
    <w:p w14:paraId="1A39614E" w14:textId="08AD4B97" w:rsidR="00A70B37" w:rsidRDefault="00A70B37" w:rsidP="00A70B37">
      <w:pPr>
        <w:pStyle w:val="a7"/>
      </w:pPr>
      <w:r>
        <w:rPr>
          <w:rStyle w:val="a9"/>
        </w:rPr>
        <w:footnoteRef/>
      </w:r>
      <w:r>
        <w:rPr>
          <w:rtl/>
        </w:rPr>
        <w:t xml:space="preserve"> </w:t>
      </w:r>
      <w:r>
        <w:rPr>
          <w:rFonts w:asciiTheme="minorBidi" w:hAnsiTheme="minorBidi" w:cs="Arial" w:hint="cs"/>
          <w:rtl/>
        </w:rPr>
        <w:t>לכאורה היה אפשר להבין מדברי הטור, שכתב "דבר חם", ולא חילק בין מבושל כל צורכו למאב"ד, שאין חילוק בהנחה ע"ג קדירה בין דבר חם שמבושל כל צורכו לבין דבר חם שמבושל כמאב"ד. אבל אינו כן, שלא כתב כך כאן אלא לאפוקי דבר קר, שבדבר קר אסור אפילו כוונתו רק להפשיר ולא לבשל. ובסי' שיח ביאר דעתו ששייך בישול בתבשיל שמבושל כמאב"ד אפילו הוא רותח. כן הביא הב"י</w:t>
      </w:r>
      <w:r>
        <w:rPr>
          <w:rFonts w:asciiTheme="minorBidi" w:hAnsiTheme="minorBidi" w:cs="Arial" w:hint="cs"/>
          <w:sz w:val="16"/>
          <w:szCs w:val="16"/>
          <w:rtl/>
        </w:rPr>
        <w:t xml:space="preserve"> </w:t>
      </w:r>
      <w:r>
        <w:rPr>
          <w:rFonts w:asciiTheme="minorBidi" w:hAnsiTheme="minorBidi" w:cs="Arial" w:hint="cs"/>
          <w:rtl/>
        </w:rPr>
        <w:t xml:space="preserve">בשם מהר"י בן חביב. </w:t>
      </w:r>
      <w:r w:rsidRPr="00C245AA">
        <w:rPr>
          <w:rFonts w:asciiTheme="minorBidi" w:hAnsiTheme="minorBidi" w:cs="Arial" w:hint="cs"/>
          <w:sz w:val="16"/>
          <w:szCs w:val="16"/>
          <w:rtl/>
        </w:rPr>
        <w:t xml:space="preserve">(וז"ל הב"י- </w:t>
      </w:r>
      <w:r w:rsidRPr="00C245AA">
        <w:rPr>
          <w:rFonts w:asciiTheme="minorBidi" w:hAnsiTheme="minorBidi" w:cs="Arial"/>
          <w:sz w:val="16"/>
          <w:szCs w:val="16"/>
          <w:rtl/>
        </w:rPr>
        <w:t xml:space="preserve">מצאתי כתוב וכמדומה לי שהוא לשון מהר"י ן' חביב ז"ל כלי שיש בו דבר חם יכול להניחו וכו' אבל אין מניחין כלי שיש בו דבר קר וכו' ודוקא שהוא בענין שיכול להתבשל וכו' </w:t>
      </w:r>
      <w:r w:rsidRPr="00C245AA">
        <w:rPr>
          <w:rFonts w:asciiTheme="minorBidi" w:hAnsiTheme="minorBidi" w:cs="Arial" w:hint="cs"/>
          <w:sz w:val="16"/>
          <w:szCs w:val="16"/>
          <w:rtl/>
        </w:rPr>
        <w:t xml:space="preserve">- </w:t>
      </w:r>
      <w:r w:rsidRPr="00C245AA">
        <w:rPr>
          <w:rFonts w:asciiTheme="minorBidi" w:hAnsiTheme="minorBidi" w:cs="Arial"/>
          <w:sz w:val="16"/>
          <w:szCs w:val="16"/>
          <w:rtl/>
        </w:rPr>
        <w:t>יראה לכאורה כלל כוונתו בזה שבכל דבר חם אין ראוי לחוש לבישול אע</w:t>
      </w:r>
      <w:r w:rsidRPr="00C245AA">
        <w:rPr>
          <w:rFonts w:asciiTheme="minorBidi" w:hAnsiTheme="minorBidi" w:cs="Arial" w:hint="cs"/>
          <w:sz w:val="16"/>
          <w:szCs w:val="16"/>
          <w:rtl/>
        </w:rPr>
        <w:t>"</w:t>
      </w:r>
      <w:r w:rsidRPr="00C245AA">
        <w:rPr>
          <w:rFonts w:asciiTheme="minorBidi" w:hAnsiTheme="minorBidi" w:cs="Arial"/>
          <w:sz w:val="16"/>
          <w:szCs w:val="16"/>
          <w:rtl/>
        </w:rPr>
        <w:t>פ שהוא בענין שיכול להתבשל מחום התחתון</w:t>
      </w:r>
      <w:r w:rsidRPr="00C245AA">
        <w:rPr>
          <w:rFonts w:asciiTheme="minorBidi" w:hAnsiTheme="minorBidi" w:cs="Arial" w:hint="cs"/>
          <w:sz w:val="16"/>
          <w:szCs w:val="16"/>
          <w:rtl/>
        </w:rPr>
        <w:t>,</w:t>
      </w:r>
      <w:r w:rsidRPr="00C245AA">
        <w:rPr>
          <w:rFonts w:asciiTheme="minorBidi" w:hAnsiTheme="minorBidi" w:cs="Arial"/>
          <w:sz w:val="16"/>
          <w:szCs w:val="16"/>
          <w:rtl/>
        </w:rPr>
        <w:t xml:space="preserve"> ולא חילק כלל בדבר חם בין תבשיל שנתבשל כבר כל צרכו לתבשיל שלא נתבשל כל צרכו</w:t>
      </w:r>
      <w:r w:rsidRPr="00C245AA">
        <w:rPr>
          <w:rFonts w:asciiTheme="minorBidi" w:hAnsiTheme="minorBidi" w:cs="Arial" w:hint="cs"/>
          <w:sz w:val="16"/>
          <w:szCs w:val="16"/>
          <w:rtl/>
        </w:rPr>
        <w:t>,</w:t>
      </w:r>
      <w:r w:rsidRPr="00C245AA">
        <w:rPr>
          <w:rFonts w:asciiTheme="minorBidi" w:hAnsiTheme="minorBidi" w:cs="Arial"/>
          <w:sz w:val="16"/>
          <w:szCs w:val="16"/>
          <w:rtl/>
        </w:rPr>
        <w:t xml:space="preserve"> אפילו נתבשל כמאכל בן דרוסאי</w:t>
      </w:r>
      <w:r w:rsidRPr="00C245AA">
        <w:rPr>
          <w:rFonts w:asciiTheme="minorBidi" w:hAnsiTheme="minorBidi" w:cs="Arial" w:hint="cs"/>
          <w:sz w:val="16"/>
          <w:szCs w:val="16"/>
          <w:rtl/>
        </w:rPr>
        <w:t>,</w:t>
      </w:r>
      <w:r w:rsidRPr="00C245AA">
        <w:rPr>
          <w:rFonts w:asciiTheme="minorBidi" w:hAnsiTheme="minorBidi" w:cs="Arial"/>
          <w:sz w:val="16"/>
          <w:szCs w:val="16"/>
          <w:rtl/>
        </w:rPr>
        <w:t xml:space="preserve"> ובשניהם התיר להניחם דבר חם על הקדרה וכו'</w:t>
      </w:r>
      <w:r w:rsidRPr="00C245AA">
        <w:rPr>
          <w:rFonts w:asciiTheme="minorBidi" w:hAnsiTheme="minorBidi" w:cs="Arial" w:hint="cs"/>
          <w:sz w:val="16"/>
          <w:szCs w:val="16"/>
          <w:rtl/>
        </w:rPr>
        <w:t>.</w:t>
      </w:r>
      <w:r w:rsidRPr="00C245AA">
        <w:rPr>
          <w:rFonts w:asciiTheme="minorBidi" w:hAnsiTheme="minorBidi" w:cs="Arial"/>
          <w:sz w:val="16"/>
          <w:szCs w:val="16"/>
          <w:rtl/>
        </w:rPr>
        <w:t xml:space="preserve"> וכפי העיון הראשון יש סתירה למה שכתב בסימן שי"ח (פא:) וז"ל </w:t>
      </w:r>
      <w:r w:rsidRPr="00C245AA">
        <w:rPr>
          <w:rFonts w:asciiTheme="minorBidi" w:hAnsiTheme="minorBidi" w:cs="Arial" w:hint="cs"/>
          <w:sz w:val="16"/>
          <w:szCs w:val="16"/>
          <w:rtl/>
        </w:rPr>
        <w:t>"</w:t>
      </w:r>
      <w:r w:rsidRPr="00C245AA">
        <w:rPr>
          <w:rFonts w:asciiTheme="minorBidi" w:hAnsiTheme="minorBidi" w:cs="Arial"/>
          <w:sz w:val="16"/>
          <w:szCs w:val="16"/>
          <w:rtl/>
        </w:rPr>
        <w:t>תבשיל שנתבשל כבר יש בו משום בישול אם נצטנן כבר</w:t>
      </w:r>
      <w:r w:rsidRPr="00C245AA">
        <w:rPr>
          <w:rFonts w:asciiTheme="minorBidi" w:hAnsiTheme="minorBidi" w:cs="Arial" w:hint="cs"/>
          <w:sz w:val="16"/>
          <w:szCs w:val="16"/>
          <w:rtl/>
        </w:rPr>
        <w:t>,</w:t>
      </w:r>
      <w:r w:rsidRPr="00C245AA">
        <w:rPr>
          <w:rFonts w:asciiTheme="minorBidi" w:hAnsiTheme="minorBidi" w:cs="Arial"/>
          <w:sz w:val="16"/>
          <w:szCs w:val="16"/>
          <w:rtl/>
        </w:rPr>
        <w:t xml:space="preserve"> אבל בעודו רותח לא</w:t>
      </w:r>
      <w:r w:rsidRPr="00C245AA">
        <w:rPr>
          <w:rFonts w:asciiTheme="minorBidi" w:hAnsiTheme="minorBidi" w:cs="Arial" w:hint="cs"/>
          <w:sz w:val="16"/>
          <w:szCs w:val="16"/>
          <w:rtl/>
        </w:rPr>
        <w:t>,</w:t>
      </w:r>
      <w:r w:rsidRPr="00C245AA">
        <w:rPr>
          <w:rFonts w:asciiTheme="minorBidi" w:hAnsiTheme="minorBidi" w:cs="Arial"/>
          <w:sz w:val="16"/>
          <w:szCs w:val="16"/>
          <w:rtl/>
        </w:rPr>
        <w:t xml:space="preserve"> ואם לא נתבשל כל צרכו אפילו נתבשל כמאכל בן דרוסאי שייך ביה בישול אפילו בעודו רותח</w:t>
      </w:r>
      <w:r w:rsidRPr="00C245AA">
        <w:rPr>
          <w:rFonts w:asciiTheme="minorBidi" w:hAnsiTheme="minorBidi" w:cs="Arial" w:hint="cs"/>
          <w:sz w:val="16"/>
          <w:szCs w:val="16"/>
          <w:rtl/>
        </w:rPr>
        <w:t>".</w:t>
      </w:r>
      <w:r w:rsidRPr="00C245AA">
        <w:rPr>
          <w:rFonts w:asciiTheme="minorBidi" w:hAnsiTheme="minorBidi" w:cs="Arial"/>
          <w:sz w:val="16"/>
          <w:szCs w:val="16"/>
          <w:rtl/>
        </w:rPr>
        <w:t xml:space="preserve"> והתשובה בזה גלויה למי שעמד על שורש זה הדין בפרק במה טומנין בההוא עובדא דרבה ורבי זירא איקלעו לבי ריש גלותא חזו לההוא עבדא דאנח כוזא דמיא אפומא דקומקומא וכו'</w:t>
      </w:r>
      <w:r w:rsidRPr="00C245AA">
        <w:rPr>
          <w:rFonts w:asciiTheme="minorBidi" w:hAnsiTheme="minorBidi" w:cs="Arial" w:hint="cs"/>
          <w:sz w:val="16"/>
          <w:szCs w:val="16"/>
          <w:rtl/>
        </w:rPr>
        <w:t>,</w:t>
      </w:r>
      <w:r w:rsidRPr="00C245AA">
        <w:rPr>
          <w:rFonts w:asciiTheme="minorBidi" w:hAnsiTheme="minorBidi" w:cs="Arial"/>
          <w:sz w:val="16"/>
          <w:szCs w:val="16"/>
          <w:rtl/>
        </w:rPr>
        <w:t xml:space="preserve"> והקשו שם בתוספות (ד"ה מאי שנא ממיחם) האי עובדא היכי הוה</w:t>
      </w:r>
      <w:r w:rsidRPr="00C245AA">
        <w:rPr>
          <w:rFonts w:asciiTheme="minorBidi" w:hAnsiTheme="minorBidi" w:cs="Arial" w:hint="cs"/>
          <w:sz w:val="16"/>
          <w:szCs w:val="16"/>
          <w:rtl/>
        </w:rPr>
        <w:t>,</w:t>
      </w:r>
      <w:r w:rsidRPr="00C245AA">
        <w:rPr>
          <w:rFonts w:asciiTheme="minorBidi" w:hAnsiTheme="minorBidi" w:cs="Arial"/>
          <w:sz w:val="16"/>
          <w:szCs w:val="16"/>
          <w:rtl/>
        </w:rPr>
        <w:t xml:space="preserve"> אי להפשיר בלחוד מאי טעמא דרבה דנזף ביה וכו'</w:t>
      </w:r>
      <w:r w:rsidRPr="00C245AA">
        <w:rPr>
          <w:rFonts w:asciiTheme="minorBidi" w:hAnsiTheme="minorBidi" w:cs="Arial" w:hint="cs"/>
          <w:sz w:val="16"/>
          <w:szCs w:val="16"/>
          <w:rtl/>
        </w:rPr>
        <w:t>.</w:t>
      </w:r>
      <w:r w:rsidRPr="00C245AA">
        <w:rPr>
          <w:rFonts w:asciiTheme="minorBidi" w:hAnsiTheme="minorBidi" w:cs="Arial"/>
          <w:sz w:val="16"/>
          <w:szCs w:val="16"/>
          <w:rtl/>
        </w:rPr>
        <w:t xml:space="preserve"> ותירץ ר"י דלעולם בשהניחו לפשר בלבד אלא שהיה הקומקום חם כל כך שאם היה מניחם שם הרבה היה בא לידי חימום</w:t>
      </w:r>
      <w:r w:rsidRPr="00C245AA">
        <w:rPr>
          <w:rFonts w:asciiTheme="minorBidi" w:hAnsiTheme="minorBidi" w:cs="Arial" w:hint="cs"/>
          <w:sz w:val="16"/>
          <w:szCs w:val="16"/>
          <w:rtl/>
        </w:rPr>
        <w:t>,</w:t>
      </w:r>
      <w:r w:rsidRPr="00C245AA">
        <w:rPr>
          <w:rFonts w:asciiTheme="minorBidi" w:hAnsiTheme="minorBidi" w:cs="Arial"/>
          <w:sz w:val="16"/>
          <w:szCs w:val="16"/>
          <w:rtl/>
        </w:rPr>
        <w:t xml:space="preserve"> ומשום הכי נזף ביה רבה לומר שלא התירו כנגד המדורה אלא במקום שאינו יכול לבוא לידי בישול</w:t>
      </w:r>
      <w:r w:rsidRPr="00C245AA">
        <w:rPr>
          <w:rFonts w:asciiTheme="minorBidi" w:hAnsiTheme="minorBidi" w:cs="Arial" w:hint="cs"/>
          <w:sz w:val="16"/>
          <w:szCs w:val="16"/>
          <w:rtl/>
        </w:rPr>
        <w:t>,</w:t>
      </w:r>
      <w:r w:rsidRPr="00C245AA">
        <w:rPr>
          <w:rFonts w:asciiTheme="minorBidi" w:hAnsiTheme="minorBidi" w:cs="Arial"/>
          <w:sz w:val="16"/>
          <w:szCs w:val="16"/>
          <w:rtl/>
        </w:rPr>
        <w:t xml:space="preserve"> אבל במקום שיכול לבוא לידי בישול</w:t>
      </w:r>
      <w:r w:rsidRPr="00C245AA">
        <w:rPr>
          <w:rFonts w:asciiTheme="minorBidi" w:hAnsiTheme="minorBidi" w:cs="Arial" w:hint="cs"/>
          <w:sz w:val="16"/>
          <w:szCs w:val="16"/>
          <w:rtl/>
        </w:rPr>
        <w:t xml:space="preserve"> -</w:t>
      </w:r>
      <w:r w:rsidRPr="00C245AA">
        <w:rPr>
          <w:rFonts w:asciiTheme="minorBidi" w:hAnsiTheme="minorBidi" w:cs="Arial"/>
          <w:sz w:val="16"/>
          <w:szCs w:val="16"/>
          <w:rtl/>
        </w:rPr>
        <w:t xml:space="preserve"> אפילו שיעור הפשר בלבד אסור</w:t>
      </w:r>
      <w:r w:rsidRPr="00C245AA">
        <w:rPr>
          <w:rFonts w:asciiTheme="minorBidi" w:hAnsiTheme="minorBidi" w:cs="Arial" w:hint="cs"/>
          <w:sz w:val="16"/>
          <w:szCs w:val="16"/>
          <w:rtl/>
        </w:rPr>
        <w:t>.</w:t>
      </w:r>
      <w:r w:rsidRPr="00C245AA">
        <w:rPr>
          <w:rFonts w:asciiTheme="minorBidi" w:hAnsiTheme="minorBidi" w:cs="Arial"/>
          <w:sz w:val="16"/>
          <w:szCs w:val="16"/>
          <w:rtl/>
        </w:rPr>
        <w:t xml:space="preserve"> ואל זה כיון רבינו יעקב באמרו </w:t>
      </w:r>
      <w:r w:rsidRPr="00C245AA">
        <w:rPr>
          <w:rFonts w:asciiTheme="minorBidi" w:hAnsiTheme="minorBidi" w:cs="Arial" w:hint="cs"/>
          <w:sz w:val="16"/>
          <w:szCs w:val="16"/>
          <w:rtl/>
        </w:rPr>
        <w:t>(בסי' שיח) "</w:t>
      </w:r>
      <w:r w:rsidRPr="00C245AA">
        <w:rPr>
          <w:rFonts w:asciiTheme="minorBidi" w:hAnsiTheme="minorBidi" w:cs="Arial"/>
          <w:sz w:val="16"/>
          <w:szCs w:val="16"/>
          <w:rtl/>
        </w:rPr>
        <w:t>ודוקא שהוא בענין שיכול להתבשל</w:t>
      </w:r>
      <w:r w:rsidRPr="00C245AA">
        <w:rPr>
          <w:rFonts w:asciiTheme="minorBidi" w:hAnsiTheme="minorBidi" w:cs="Arial" w:hint="cs"/>
          <w:sz w:val="16"/>
          <w:szCs w:val="16"/>
          <w:rtl/>
        </w:rPr>
        <w:t>",</w:t>
      </w:r>
      <w:r w:rsidRPr="00C245AA">
        <w:rPr>
          <w:rFonts w:asciiTheme="minorBidi" w:hAnsiTheme="minorBidi" w:cs="Arial"/>
          <w:sz w:val="16"/>
          <w:szCs w:val="16"/>
          <w:rtl/>
        </w:rPr>
        <w:t xml:space="preserve"> ר"ל שאע</w:t>
      </w:r>
      <w:r w:rsidRPr="00C245AA">
        <w:rPr>
          <w:rFonts w:asciiTheme="minorBidi" w:hAnsiTheme="minorBidi" w:cs="Arial" w:hint="cs"/>
          <w:sz w:val="16"/>
          <w:szCs w:val="16"/>
          <w:rtl/>
        </w:rPr>
        <w:t>"</w:t>
      </w:r>
      <w:r w:rsidRPr="00C245AA">
        <w:rPr>
          <w:rFonts w:asciiTheme="minorBidi" w:hAnsiTheme="minorBidi" w:cs="Arial"/>
          <w:sz w:val="16"/>
          <w:szCs w:val="16"/>
          <w:rtl/>
        </w:rPr>
        <w:t>פ שאין כוונתו אלא לפשר בלבד</w:t>
      </w:r>
      <w:r w:rsidRPr="00C245AA">
        <w:rPr>
          <w:rFonts w:asciiTheme="minorBidi" w:hAnsiTheme="minorBidi" w:cs="Arial" w:hint="cs"/>
          <w:sz w:val="16"/>
          <w:szCs w:val="16"/>
          <w:rtl/>
        </w:rPr>
        <w:t>,</w:t>
      </w:r>
      <w:r w:rsidRPr="00C245AA">
        <w:rPr>
          <w:rFonts w:asciiTheme="minorBidi" w:hAnsiTheme="minorBidi" w:cs="Arial"/>
          <w:sz w:val="16"/>
          <w:szCs w:val="16"/>
          <w:rtl/>
        </w:rPr>
        <w:t xml:space="preserve"> כיון שהוא בענין שיכול להתבשל </w:t>
      </w:r>
      <w:r w:rsidRPr="00C245AA">
        <w:rPr>
          <w:rFonts w:asciiTheme="minorBidi" w:hAnsiTheme="minorBidi" w:cs="Arial" w:hint="cs"/>
          <w:sz w:val="16"/>
          <w:szCs w:val="16"/>
          <w:rtl/>
        </w:rPr>
        <w:t xml:space="preserve">- </w:t>
      </w:r>
      <w:r w:rsidRPr="00C245AA">
        <w:rPr>
          <w:rFonts w:asciiTheme="minorBidi" w:hAnsiTheme="minorBidi" w:cs="Arial"/>
          <w:sz w:val="16"/>
          <w:szCs w:val="16"/>
          <w:rtl/>
        </w:rPr>
        <w:t>אסור אפילו להניחו שם</w:t>
      </w:r>
      <w:r w:rsidRPr="00C245AA">
        <w:rPr>
          <w:rFonts w:asciiTheme="minorBidi" w:hAnsiTheme="minorBidi" w:cs="Arial" w:hint="cs"/>
          <w:sz w:val="16"/>
          <w:szCs w:val="16"/>
          <w:rtl/>
        </w:rPr>
        <w:t>,</w:t>
      </w:r>
      <w:r w:rsidRPr="00C245AA">
        <w:rPr>
          <w:rFonts w:asciiTheme="minorBidi" w:hAnsiTheme="minorBidi" w:cs="Arial"/>
          <w:sz w:val="16"/>
          <w:szCs w:val="16"/>
          <w:rtl/>
        </w:rPr>
        <w:t xml:space="preserve"> ולא דיבר כאן כלל לענין מבשל</w:t>
      </w:r>
      <w:r w:rsidRPr="00C245AA">
        <w:rPr>
          <w:rFonts w:asciiTheme="minorBidi" w:hAnsiTheme="minorBidi" w:cs="Arial" w:hint="cs"/>
          <w:sz w:val="16"/>
          <w:szCs w:val="16"/>
          <w:rtl/>
        </w:rPr>
        <w:t>,</w:t>
      </w:r>
      <w:r w:rsidRPr="00C245AA">
        <w:rPr>
          <w:rFonts w:asciiTheme="minorBidi" w:hAnsiTheme="minorBidi" w:cs="Arial"/>
          <w:sz w:val="16"/>
          <w:szCs w:val="16"/>
          <w:rtl/>
        </w:rPr>
        <w:t xml:space="preserve"> ולכן אין ראוי לחלק בין תבשיל שנתבשל כל צרכו לשלא נתבשל אלא כמאכל בן דרוסאי</w:t>
      </w:r>
      <w:r w:rsidRPr="00C245AA">
        <w:rPr>
          <w:rFonts w:asciiTheme="minorBidi" w:hAnsiTheme="minorBidi" w:cs="Arial" w:hint="cs"/>
          <w:sz w:val="16"/>
          <w:szCs w:val="16"/>
          <w:rtl/>
        </w:rPr>
        <w:t>.</w:t>
      </w:r>
      <w:r w:rsidRPr="00C245AA">
        <w:rPr>
          <w:rFonts w:asciiTheme="minorBidi" w:hAnsiTheme="minorBidi" w:cs="Arial"/>
          <w:sz w:val="16"/>
          <w:szCs w:val="16"/>
          <w:rtl/>
        </w:rPr>
        <w:t xml:space="preserve"> אבל בסימן שי"ח כוונתו להביא דיני בישול ממש שכוונת העושה לבשל ממש</w:t>
      </w:r>
      <w:r w:rsidRPr="00C245AA">
        <w:rPr>
          <w:rFonts w:asciiTheme="minorBidi" w:hAnsiTheme="minorBidi" w:cs="Arial" w:hint="cs"/>
          <w:sz w:val="16"/>
          <w:szCs w:val="16"/>
          <w:rtl/>
        </w:rPr>
        <w:t>,</w:t>
      </w:r>
      <w:r w:rsidRPr="00C245AA">
        <w:rPr>
          <w:rFonts w:asciiTheme="minorBidi" w:hAnsiTheme="minorBidi" w:cs="Arial"/>
          <w:sz w:val="16"/>
          <w:szCs w:val="16"/>
          <w:rtl/>
        </w:rPr>
        <w:t xml:space="preserve"> לכן אמר ואע</w:t>
      </w:r>
      <w:r w:rsidRPr="00C245AA">
        <w:rPr>
          <w:rFonts w:asciiTheme="minorBidi" w:hAnsiTheme="minorBidi" w:cs="Arial" w:hint="cs"/>
          <w:sz w:val="16"/>
          <w:szCs w:val="16"/>
          <w:rtl/>
        </w:rPr>
        <w:t>"</w:t>
      </w:r>
      <w:r w:rsidRPr="00C245AA">
        <w:rPr>
          <w:rFonts w:asciiTheme="minorBidi" w:hAnsiTheme="minorBidi" w:cs="Arial"/>
          <w:sz w:val="16"/>
          <w:szCs w:val="16"/>
          <w:rtl/>
        </w:rPr>
        <w:t>ג דלא שייך בישול אחר בישול בדבר רותח אפילו הכי בתבשיל שלא נתבשל כל צרכו יש בו בישול אפילו בדבר רותח עכ"ל</w:t>
      </w:r>
      <w:r>
        <w:rPr>
          <w:rFonts w:asciiTheme="minorBidi" w:hAnsiTheme="minorBidi" w:cs="Arial" w:hint="cs"/>
          <w:sz w:val="16"/>
          <w:szCs w:val="16"/>
          <w:rtl/>
        </w:rPr>
        <w:t>)</w:t>
      </w:r>
      <w:r>
        <w:rPr>
          <w:rFonts w:cs="Arial" w:hint="cs"/>
          <w:rtl/>
        </w:rPr>
        <w:t>. וכתב הדרכ"מ (אות א) ש</w:t>
      </w:r>
      <w:r w:rsidRPr="00921789">
        <w:rPr>
          <w:rFonts w:cs="Arial"/>
          <w:rtl/>
        </w:rPr>
        <w:t>כדברי מהר"י בן חביב משמע לקמן בסימן שי"ח מדברי רבינו בעל הטור</w:t>
      </w:r>
      <w:r>
        <w:rPr>
          <w:rFonts w:cs="Arial" w:hint="cs"/>
          <w:rtl/>
        </w:rPr>
        <w:t>.</w:t>
      </w:r>
      <w:r w:rsidR="00EE53B6">
        <w:rPr>
          <w:rFonts w:cs="Arial" w:hint="cs"/>
          <w:rtl/>
        </w:rPr>
        <w:t xml:space="preserve"> עכ"ל. </w:t>
      </w:r>
      <w:r w:rsidR="00EE53B6">
        <w:rPr>
          <w:rFonts w:hint="cs"/>
          <w:rtl/>
        </w:rPr>
        <w:t>ועיין בדברי הר"ן (שבת יט. ד"ה ת"ר) לקמן דמוכח מיניה דשרי להניח גם מאכל שהוא כמאב"ד. וכן הבין ממנו הב"י.</w:t>
      </w:r>
    </w:p>
  </w:footnote>
  <w:footnote w:id="543">
    <w:p w14:paraId="2656A48F" w14:textId="77777777" w:rsidR="00A70B37" w:rsidRDefault="00A70B37" w:rsidP="00A70B37">
      <w:pPr>
        <w:pStyle w:val="a7"/>
      </w:pPr>
      <w:r>
        <w:rPr>
          <w:rStyle w:val="a9"/>
        </w:rPr>
        <w:footnoteRef/>
      </w:r>
      <w:r>
        <w:rPr>
          <w:rtl/>
        </w:rPr>
        <w:t xml:space="preserve"> </w:t>
      </w:r>
      <w:r w:rsidRPr="0051273C">
        <w:rPr>
          <w:rFonts w:asciiTheme="minorBidi" w:hAnsiTheme="minorBidi" w:cs="Arial"/>
          <w:rtl/>
        </w:rPr>
        <w:t>היינו דוקא כשהיד סולדת בו</w:t>
      </w:r>
      <w:r>
        <w:rPr>
          <w:rFonts w:asciiTheme="minorBidi" w:hAnsiTheme="minorBidi" w:cs="Arial" w:hint="cs"/>
          <w:rtl/>
        </w:rPr>
        <w:t>, ב"י.</w:t>
      </w:r>
    </w:p>
  </w:footnote>
  <w:footnote w:id="544">
    <w:p w14:paraId="64F3D6C4" w14:textId="0768BCF2" w:rsidR="00A70B37" w:rsidRDefault="00A70B37" w:rsidP="00A70B37">
      <w:pPr>
        <w:pStyle w:val="a7"/>
        <w:rPr>
          <w:rtl/>
        </w:rPr>
      </w:pPr>
      <w:r>
        <w:rPr>
          <w:rStyle w:val="a9"/>
        </w:rPr>
        <w:footnoteRef/>
      </w:r>
      <w:r>
        <w:rPr>
          <w:rtl/>
        </w:rPr>
        <w:t xml:space="preserve"> </w:t>
      </w:r>
      <w:r w:rsidRPr="00921789">
        <w:rPr>
          <w:rFonts w:asciiTheme="minorBidi" w:hAnsiTheme="minorBidi" w:cs="Arial"/>
          <w:rtl/>
        </w:rPr>
        <w:t>פשוט הוא שהרי אין הקדרה חמה מוספת הבל אדרבא חומה מתמעט והולך</w:t>
      </w:r>
      <w:r>
        <w:rPr>
          <w:rFonts w:asciiTheme="minorBidi" w:hAnsiTheme="minorBidi" w:cs="Arial" w:hint="cs"/>
          <w:rtl/>
        </w:rPr>
        <w:t>, ב"י.</w:t>
      </w:r>
    </w:p>
  </w:footnote>
  <w:footnote w:id="545">
    <w:p w14:paraId="79830EB7" w14:textId="5825426A" w:rsidR="00A70B37" w:rsidRDefault="00A70B37" w:rsidP="00A70B37">
      <w:pPr>
        <w:pStyle w:val="a7"/>
        <w:rPr>
          <w:rtl/>
        </w:rPr>
      </w:pPr>
      <w:r>
        <w:rPr>
          <w:rStyle w:val="a9"/>
        </w:rPr>
        <w:footnoteRef/>
      </w:r>
      <w:r>
        <w:rPr>
          <w:rtl/>
        </w:rPr>
        <w:t xml:space="preserve"> </w:t>
      </w:r>
      <w:r w:rsidRPr="0051273C">
        <w:rPr>
          <w:rFonts w:asciiTheme="minorBidi" w:hAnsiTheme="minorBidi" w:cs="Arial"/>
          <w:rtl/>
        </w:rPr>
        <w:t>ונראה שטעמו משום דמשמע ליה דלא מיקרי אולודי מוליד אא"כ מרתיח</w:t>
      </w:r>
      <w:r w:rsidRPr="0051273C">
        <w:rPr>
          <w:rFonts w:asciiTheme="minorBidi" w:hAnsiTheme="minorBidi" w:cs="Arial" w:hint="cs"/>
          <w:rtl/>
        </w:rPr>
        <w:t>.</w:t>
      </w:r>
      <w:r w:rsidRPr="0051273C">
        <w:rPr>
          <w:rFonts w:asciiTheme="minorBidi" w:hAnsiTheme="minorBidi" w:cs="Arial"/>
          <w:rtl/>
        </w:rPr>
        <w:t xml:space="preserve"> ועוד דאם אין העליון יכול להתבשל</w:t>
      </w:r>
      <w:r>
        <w:rPr>
          <w:rFonts w:asciiTheme="minorBidi" w:hAnsiTheme="minorBidi" w:cs="Arial" w:hint="cs"/>
          <w:rtl/>
        </w:rPr>
        <w:t>,</w:t>
      </w:r>
      <w:r w:rsidRPr="0051273C">
        <w:rPr>
          <w:rFonts w:asciiTheme="minorBidi" w:hAnsiTheme="minorBidi" w:cs="Arial"/>
          <w:rtl/>
        </w:rPr>
        <w:t xml:space="preserve"> כלומר להתחמם עד שתהא יד סולדת בו</w:t>
      </w:r>
      <w:r>
        <w:rPr>
          <w:rFonts w:asciiTheme="minorBidi" w:hAnsiTheme="minorBidi" w:cs="Arial" w:hint="cs"/>
          <w:rtl/>
        </w:rPr>
        <w:t xml:space="preserve"> -</w:t>
      </w:r>
      <w:r w:rsidRPr="0051273C">
        <w:rPr>
          <w:rFonts w:asciiTheme="minorBidi" w:hAnsiTheme="minorBidi" w:cs="Arial"/>
          <w:rtl/>
        </w:rPr>
        <w:t xml:space="preserve"> ודאי שרי</w:t>
      </w:r>
      <w:r>
        <w:rPr>
          <w:rFonts w:asciiTheme="minorBidi" w:hAnsiTheme="minorBidi" w:cs="Arial" w:hint="cs"/>
          <w:rtl/>
        </w:rPr>
        <w:t>,</w:t>
      </w:r>
      <w:r w:rsidRPr="0051273C">
        <w:rPr>
          <w:rFonts w:asciiTheme="minorBidi" w:hAnsiTheme="minorBidi" w:cs="Arial"/>
          <w:rtl/>
        </w:rPr>
        <w:t xml:space="preserve"> כדשרי להניח כנגד המדורה קיתון של צונן במקום שאין יד סולדת בו כמו שיבא בסימן שי"ח (פה.)</w:t>
      </w:r>
      <w:r w:rsidRPr="0051273C">
        <w:rPr>
          <w:rFonts w:asciiTheme="minorBidi" w:hAnsiTheme="minorBidi" w:cs="Arial" w:hint="cs"/>
          <w:rtl/>
        </w:rPr>
        <w:t>.</w:t>
      </w:r>
      <w:r w:rsidRPr="0051273C">
        <w:rPr>
          <w:rFonts w:asciiTheme="minorBidi" w:hAnsiTheme="minorBidi" w:cs="Arial"/>
          <w:rtl/>
        </w:rPr>
        <w:t xml:space="preserve"> וכן כתבו התוספות (ד"ה מאי שנא ממיחם) והר"ן (כב. ד"ה ומקשו) שם אעובדא דרבה ורבי זירא שדין הנחה ע"ג מיחם שוה לדין הנחה כנגד המדורה</w:t>
      </w:r>
      <w:r w:rsidRPr="0051273C">
        <w:rPr>
          <w:rFonts w:asciiTheme="minorBidi" w:hAnsiTheme="minorBidi" w:cs="Arial" w:hint="cs"/>
          <w:rtl/>
        </w:rPr>
        <w:t>.</w:t>
      </w:r>
      <w:r w:rsidRPr="0051273C">
        <w:rPr>
          <w:rFonts w:asciiTheme="minorBidi" w:hAnsiTheme="minorBidi" w:cs="Arial"/>
          <w:rtl/>
        </w:rPr>
        <w:t xml:space="preserve"> וכן כתב הרב המגיד בסוף פ"ד (ה"ו) וז"ל</w:t>
      </w:r>
      <w:r w:rsidRPr="0051273C">
        <w:rPr>
          <w:rFonts w:asciiTheme="minorBidi" w:hAnsiTheme="minorBidi" w:cs="Arial" w:hint="cs"/>
          <w:rtl/>
        </w:rPr>
        <w:t>-</w:t>
      </w:r>
      <w:r w:rsidRPr="0051273C">
        <w:rPr>
          <w:rFonts w:asciiTheme="minorBidi" w:hAnsiTheme="minorBidi" w:cs="Arial"/>
          <w:rtl/>
        </w:rPr>
        <w:t xml:space="preserve"> ופירשו ז"ל שהקומקום היה חם כל כך שהיה בו כדי לחמם הכוזא שהיה בו צונן ולא שיעור להפשיר בלבד שאל"כ מותר היה אפילו נגד המדורה וכן מורה לשון רבינו עכ"ל</w:t>
      </w:r>
      <w:r w:rsidRPr="0051273C">
        <w:rPr>
          <w:rFonts w:asciiTheme="minorBidi" w:hAnsiTheme="minorBidi" w:cs="Arial" w:hint="cs"/>
          <w:rtl/>
        </w:rPr>
        <w:t>.</w:t>
      </w:r>
      <w:r w:rsidRPr="0051273C">
        <w:rPr>
          <w:rFonts w:asciiTheme="minorBidi" w:hAnsiTheme="minorBidi" w:cs="Arial"/>
          <w:rtl/>
        </w:rPr>
        <w:t xml:space="preserve"> ולפי זה כלי שיש בו דבר חם שיכול להניחו על הקדרה</w:t>
      </w:r>
      <w:r>
        <w:rPr>
          <w:rFonts w:asciiTheme="minorBidi" w:hAnsiTheme="minorBidi" w:cs="Arial" w:hint="cs"/>
          <w:rtl/>
        </w:rPr>
        <w:t xml:space="preserve"> -</w:t>
      </w:r>
      <w:r w:rsidRPr="0051273C">
        <w:rPr>
          <w:rFonts w:asciiTheme="minorBidi" w:hAnsiTheme="minorBidi" w:cs="Arial"/>
          <w:rtl/>
        </w:rPr>
        <w:t xml:space="preserve"> היינו דוקא כשהיד סולדת בו</w:t>
      </w:r>
      <w:r w:rsidRPr="0051273C">
        <w:rPr>
          <w:rFonts w:asciiTheme="minorBidi" w:hAnsiTheme="minorBidi" w:cs="Arial" w:hint="cs"/>
          <w:rtl/>
        </w:rPr>
        <w:t>,</w:t>
      </w:r>
      <w:r w:rsidRPr="0051273C">
        <w:rPr>
          <w:rFonts w:asciiTheme="minorBidi" w:hAnsiTheme="minorBidi" w:cs="Arial"/>
          <w:rtl/>
        </w:rPr>
        <w:t xml:space="preserve"> דאז אפילו ירתיח מחמת חום התחתון אוקומי מוקים הוי</w:t>
      </w:r>
      <w:r w:rsidRPr="0051273C">
        <w:rPr>
          <w:rFonts w:asciiTheme="minorBidi" w:hAnsiTheme="minorBidi" w:cs="Arial" w:hint="cs"/>
          <w:rtl/>
        </w:rPr>
        <w:t>.</w:t>
      </w:r>
      <w:r w:rsidRPr="0051273C">
        <w:rPr>
          <w:rFonts w:asciiTheme="minorBidi" w:hAnsiTheme="minorBidi" w:cs="Arial"/>
          <w:rtl/>
        </w:rPr>
        <w:t xml:space="preserve"> ובלאו הכי צ"ל כן לפי מה שכתב רבינו בסימן הנזכר (פב.) דיש בישול אחר בישול בתבשיל שיש בו מרק אפילו נתבשל כל צרכו אם אינו רותח</w:t>
      </w:r>
      <w:r w:rsidRPr="0051273C">
        <w:rPr>
          <w:rFonts w:asciiTheme="minorBidi" w:hAnsiTheme="minorBidi" w:cs="Arial" w:hint="cs"/>
          <w:rtl/>
        </w:rPr>
        <w:t>.</w:t>
      </w:r>
      <w:r w:rsidRPr="0051273C">
        <w:rPr>
          <w:rFonts w:asciiTheme="minorBidi" w:hAnsiTheme="minorBidi" w:cs="Arial"/>
          <w:rtl/>
        </w:rPr>
        <w:t xml:space="preserve"> ואין לומר דשאני הכא שאינו באור עצמו</w:t>
      </w:r>
      <w:r w:rsidRPr="0051273C">
        <w:rPr>
          <w:rFonts w:asciiTheme="minorBidi" w:hAnsiTheme="minorBidi" w:cs="Arial" w:hint="cs"/>
          <w:rtl/>
        </w:rPr>
        <w:t>,</w:t>
      </w:r>
      <w:r w:rsidRPr="0051273C">
        <w:rPr>
          <w:rFonts w:asciiTheme="minorBidi" w:hAnsiTheme="minorBidi" w:cs="Arial"/>
          <w:rtl/>
        </w:rPr>
        <w:t xml:space="preserve"> דהא מבשל בתולדת האור חייב כמבשל באור עצמה כדאיתא בפרק כירה (לט.)</w:t>
      </w:r>
      <w:r>
        <w:rPr>
          <w:rFonts w:asciiTheme="minorBidi" w:hAnsiTheme="minorBidi" w:cs="Arial" w:hint="cs"/>
          <w:rtl/>
        </w:rPr>
        <w:t>, ב"י</w:t>
      </w:r>
      <w:r w:rsidRPr="0051273C">
        <w:rPr>
          <w:rFonts w:asciiTheme="minorBidi" w:hAnsiTheme="minorBidi" w:cs="Arial" w:hint="cs"/>
          <w:rtl/>
        </w:rPr>
        <w:t>.</w:t>
      </w:r>
    </w:p>
  </w:footnote>
  <w:footnote w:id="546">
    <w:p w14:paraId="33D889CD" w14:textId="77777777" w:rsidR="00A70B37" w:rsidRDefault="00A70B37" w:rsidP="00A70B37">
      <w:pPr>
        <w:pStyle w:val="a7"/>
      </w:pPr>
      <w:r>
        <w:rPr>
          <w:rStyle w:val="a9"/>
        </w:rPr>
        <w:footnoteRef/>
      </w:r>
      <w:r>
        <w:rPr>
          <w:rtl/>
        </w:rPr>
        <w:t xml:space="preserve"> </w:t>
      </w:r>
      <w:r>
        <w:rPr>
          <w:rFonts w:asciiTheme="minorBidi" w:hAnsiTheme="minorBidi" w:cs="Arial" w:hint="cs"/>
          <w:rtl/>
        </w:rPr>
        <w:t xml:space="preserve">וז"ל- </w:t>
      </w:r>
      <w:r w:rsidRPr="00540CB9">
        <w:rPr>
          <w:rFonts w:asciiTheme="minorBidi" w:hAnsiTheme="minorBidi" w:cs="Arial"/>
          <w:rtl/>
        </w:rPr>
        <w:t>מותר ליתן על פי קדרת חמין בשבת תבשיל שנתבשל כל צרכו כגון פנאדיש וכיוצא בהם לחממן ואע</w:t>
      </w:r>
      <w:r>
        <w:rPr>
          <w:rFonts w:asciiTheme="minorBidi" w:hAnsiTheme="minorBidi" w:cs="Arial" w:hint="cs"/>
          <w:rtl/>
        </w:rPr>
        <w:t>"</w:t>
      </w:r>
      <w:r w:rsidRPr="00540CB9">
        <w:rPr>
          <w:rFonts w:asciiTheme="minorBidi" w:hAnsiTheme="minorBidi" w:cs="Arial"/>
          <w:rtl/>
        </w:rPr>
        <w:t>פ שהיד סולדת בו לפי שאין דרך בישול בכך ואע</w:t>
      </w:r>
      <w:r>
        <w:rPr>
          <w:rFonts w:asciiTheme="minorBidi" w:hAnsiTheme="minorBidi" w:cs="Arial" w:hint="cs"/>
          <w:rtl/>
        </w:rPr>
        <w:t>"</w:t>
      </w:r>
      <w:r w:rsidRPr="00540CB9">
        <w:rPr>
          <w:rFonts w:asciiTheme="minorBidi" w:hAnsiTheme="minorBidi" w:cs="Arial"/>
          <w:rtl/>
        </w:rPr>
        <w:t>פ שהקדרה נתונה על האש</w:t>
      </w:r>
      <w:r>
        <w:rPr>
          <w:rFonts w:asciiTheme="minorBidi" w:hAnsiTheme="minorBidi" w:cs="Arial" w:hint="cs"/>
          <w:rtl/>
        </w:rPr>
        <w:t>.</w:t>
      </w:r>
      <w:r w:rsidRPr="00540CB9">
        <w:rPr>
          <w:rFonts w:asciiTheme="minorBidi" w:hAnsiTheme="minorBidi" w:cs="Arial"/>
          <w:rtl/>
        </w:rPr>
        <w:t xml:space="preserve"> אבל להטמין תחת הבגדים הנתונים על גבי מיחם ודאי אסור</w:t>
      </w:r>
      <w:r>
        <w:rPr>
          <w:rFonts w:asciiTheme="minorBidi" w:hAnsiTheme="minorBidi" w:cs="Arial" w:hint="cs"/>
          <w:rtl/>
        </w:rPr>
        <w:t>,</w:t>
      </w:r>
      <w:r w:rsidRPr="00540CB9">
        <w:rPr>
          <w:rFonts w:asciiTheme="minorBidi" w:hAnsiTheme="minorBidi" w:cs="Arial"/>
          <w:rtl/>
        </w:rPr>
        <w:t xml:space="preserve"> שהרי אסור להטמין משחשיכה אפילו תבשיל שנתבשל כל צרכו אפילו בדבר שאינו מוסיף הבל</w:t>
      </w:r>
      <w:r>
        <w:rPr>
          <w:rFonts w:asciiTheme="minorBidi" w:hAnsiTheme="minorBidi" w:cs="Arial" w:hint="cs"/>
          <w:rtl/>
        </w:rPr>
        <w:t>.</w:t>
      </w:r>
    </w:p>
  </w:footnote>
  <w:footnote w:id="547">
    <w:p w14:paraId="152B591D" w14:textId="77777777" w:rsidR="00A70B37" w:rsidRDefault="00A70B37" w:rsidP="00A70B37">
      <w:pPr>
        <w:pStyle w:val="a7"/>
        <w:rPr>
          <w:rtl/>
        </w:rPr>
      </w:pPr>
      <w:r>
        <w:rPr>
          <w:rStyle w:val="a9"/>
        </w:rPr>
        <w:footnoteRef/>
      </w:r>
      <w:r w:rsidRPr="00540CB9">
        <w:rPr>
          <w:rFonts w:asciiTheme="minorBidi" w:hAnsiTheme="minorBidi" w:cs="Arial"/>
          <w:rtl/>
        </w:rPr>
        <w:t xml:space="preserve"> ומכל מקום אם הוא תבשיל שיש בו רוטב ומצטמק ויפה לו אסור לדברי הכל</w:t>
      </w:r>
      <w:r>
        <w:rPr>
          <w:rFonts w:hint="cs"/>
          <w:rtl/>
        </w:rPr>
        <w:t>, רי"ו (שם).</w:t>
      </w:r>
    </w:p>
  </w:footnote>
  <w:footnote w:id="548">
    <w:p w14:paraId="3B0666A2" w14:textId="2871C6AF" w:rsidR="00A70B37" w:rsidRDefault="00A70B37" w:rsidP="00A70B37">
      <w:pPr>
        <w:pStyle w:val="a7"/>
      </w:pPr>
      <w:r>
        <w:rPr>
          <w:rStyle w:val="a9"/>
        </w:rPr>
        <w:footnoteRef/>
      </w:r>
      <w:r>
        <w:rPr>
          <w:rtl/>
        </w:rPr>
        <w:t xml:space="preserve"> </w:t>
      </w:r>
      <w:r w:rsidRPr="00540CB9">
        <w:rPr>
          <w:rFonts w:asciiTheme="minorBidi" w:hAnsiTheme="minorBidi" w:cs="Arial"/>
          <w:rtl/>
        </w:rPr>
        <w:t>מה שכתב שהרא"ש סובר כסברא ראשונה</w:t>
      </w:r>
      <w:r>
        <w:rPr>
          <w:rFonts w:asciiTheme="minorBidi" w:hAnsiTheme="minorBidi" w:cs="Arial" w:hint="cs"/>
          <w:rtl/>
        </w:rPr>
        <w:t xml:space="preserve"> -</w:t>
      </w:r>
      <w:r w:rsidRPr="00540CB9">
        <w:rPr>
          <w:rFonts w:asciiTheme="minorBidi" w:hAnsiTheme="minorBidi" w:cs="Arial"/>
          <w:rtl/>
        </w:rPr>
        <w:t xml:space="preserve"> לא ידעתי היכן כתב כן</w:t>
      </w:r>
      <w:r>
        <w:rPr>
          <w:rFonts w:asciiTheme="minorBidi" w:hAnsiTheme="minorBidi" w:cs="Arial" w:hint="cs"/>
          <w:rtl/>
        </w:rPr>
        <w:t>, ב"י</w:t>
      </w:r>
      <w:r w:rsidRPr="00540CB9">
        <w:rPr>
          <w:rFonts w:asciiTheme="minorBidi" w:hAnsiTheme="minorBidi" w:cs="Arial"/>
          <w:rtl/>
        </w:rPr>
        <w:t>.</w:t>
      </w:r>
    </w:p>
  </w:footnote>
  <w:footnote w:id="549">
    <w:p w14:paraId="7F9C180F" w14:textId="3C1999EB" w:rsidR="00A70B37" w:rsidRDefault="00A70B37" w:rsidP="00A70B37">
      <w:pPr>
        <w:pStyle w:val="a7"/>
      </w:pPr>
      <w:r>
        <w:rPr>
          <w:rStyle w:val="a9"/>
        </w:rPr>
        <w:footnoteRef/>
      </w:r>
      <w:r>
        <w:rPr>
          <w:rtl/>
        </w:rPr>
        <w:t xml:space="preserve"> </w:t>
      </w:r>
      <w:r>
        <w:rPr>
          <w:rFonts w:asciiTheme="minorBidi" w:hAnsiTheme="minorBidi" w:cs="Arial" w:hint="cs"/>
          <w:rtl/>
        </w:rPr>
        <w:t>ו</w:t>
      </w:r>
      <w:r w:rsidRPr="00540CB9">
        <w:rPr>
          <w:rFonts w:asciiTheme="minorBidi" w:hAnsiTheme="minorBidi" w:cs="Arial"/>
          <w:rtl/>
        </w:rPr>
        <w:t xml:space="preserve">לפי דבריו </w:t>
      </w:r>
      <w:r>
        <w:rPr>
          <w:rFonts w:asciiTheme="minorBidi" w:hAnsiTheme="minorBidi" w:cs="Arial" w:hint="cs"/>
          <w:sz w:val="16"/>
          <w:szCs w:val="16"/>
          <w:rtl/>
        </w:rPr>
        <w:t xml:space="preserve">{של הר"ן} </w:t>
      </w:r>
      <w:r w:rsidRPr="00540CB9">
        <w:rPr>
          <w:rFonts w:asciiTheme="minorBidi" w:hAnsiTheme="minorBidi" w:cs="Arial"/>
          <w:rtl/>
        </w:rPr>
        <w:t xml:space="preserve">כי תניא ולא בשביל שיחמו וכו' </w:t>
      </w:r>
      <w:r>
        <w:rPr>
          <w:rFonts w:asciiTheme="minorBidi" w:hAnsiTheme="minorBidi" w:cs="Arial" w:hint="cs"/>
          <w:rtl/>
        </w:rPr>
        <w:t xml:space="preserve">- </w:t>
      </w:r>
      <w:r w:rsidRPr="00540CB9">
        <w:rPr>
          <w:rFonts w:asciiTheme="minorBidi" w:hAnsiTheme="minorBidi" w:cs="Arial"/>
          <w:rtl/>
        </w:rPr>
        <w:t>כשלא נתבשלה כל צרכה הוא בדוקא</w:t>
      </w:r>
      <w:r>
        <w:rPr>
          <w:rFonts w:asciiTheme="minorBidi" w:hAnsiTheme="minorBidi" w:cs="Arial" w:hint="cs"/>
          <w:rtl/>
        </w:rPr>
        <w:t xml:space="preserve">, </w:t>
      </w:r>
      <w:r w:rsidRPr="00FA4C27">
        <w:rPr>
          <w:rFonts w:asciiTheme="minorBidi" w:hAnsiTheme="minorBidi" w:cs="Arial" w:hint="cs"/>
          <w:b/>
          <w:bCs/>
          <w:rtl/>
        </w:rPr>
        <w:t>ב"י</w:t>
      </w:r>
      <w:r>
        <w:rPr>
          <w:rFonts w:asciiTheme="minorBidi" w:hAnsiTheme="minorBidi" w:cs="Arial" w:hint="cs"/>
          <w:rtl/>
        </w:rPr>
        <w:t xml:space="preserve">. </w:t>
      </w:r>
      <w:r>
        <w:rPr>
          <w:rFonts w:cs="Arial" w:hint="cs"/>
          <w:rtl/>
        </w:rPr>
        <w:t xml:space="preserve">  </w:t>
      </w:r>
      <w:r w:rsidRPr="00921789">
        <w:rPr>
          <w:rFonts w:cs="Arial"/>
          <w:rtl/>
        </w:rPr>
        <w:t>ולפי דברי הטור דתלי טעמא משום שמוליד חום בכל ענין אסור. ועיין לקמן סימן שי"ח עיקר דינים אלו</w:t>
      </w:r>
      <w:r>
        <w:rPr>
          <w:rFonts w:cs="Arial" w:hint="cs"/>
          <w:rtl/>
        </w:rPr>
        <w:t xml:space="preserve">, </w:t>
      </w:r>
      <w:r w:rsidRPr="00FA4C27">
        <w:rPr>
          <w:rFonts w:cs="Arial" w:hint="cs"/>
          <w:b/>
          <w:bCs/>
          <w:rtl/>
        </w:rPr>
        <w:t>דרכ"מ</w:t>
      </w:r>
      <w:r>
        <w:rPr>
          <w:rFonts w:cs="Arial" w:hint="cs"/>
          <w:rtl/>
        </w:rPr>
        <w:t xml:space="preserve"> (אות ב)</w:t>
      </w:r>
      <w:r>
        <w:rPr>
          <w:rFonts w:asciiTheme="minorBidi" w:hAnsiTheme="minorBidi" w:cs="Arial" w:hint="cs"/>
          <w:rtl/>
        </w:rPr>
        <w:t>.</w:t>
      </w:r>
    </w:p>
  </w:footnote>
  <w:footnote w:id="550">
    <w:p w14:paraId="2253F508" w14:textId="77777777" w:rsidR="00A70B37" w:rsidRDefault="00A70B37" w:rsidP="00A70B37">
      <w:pPr>
        <w:pStyle w:val="a7"/>
        <w:rPr>
          <w:rtl/>
        </w:rPr>
      </w:pPr>
      <w:r>
        <w:rPr>
          <w:rStyle w:val="a9"/>
        </w:rPr>
        <w:footnoteRef/>
      </w:r>
      <w:r>
        <w:rPr>
          <w:rtl/>
        </w:rPr>
        <w:t xml:space="preserve"> </w:t>
      </w:r>
      <w:r w:rsidRPr="00166C47">
        <w:rPr>
          <w:rFonts w:asciiTheme="minorBidi" w:hAnsiTheme="minorBidi" w:cs="Arial"/>
          <w:rtl/>
        </w:rPr>
        <w:t>פירוש ואף על פי שאמרנו למעלה שמותר להפשיר כנגד המדורה דוקא ברחוק אבל בקרוב שהיה שם יכול להתבשל אסור כמו שכתבתי למעלה שמא יפשע ולא יסלקנו אחר שיפשיר. כך פשוט ומוכח בשבת</w:t>
      </w:r>
      <w:r>
        <w:rPr>
          <w:rFonts w:hint="cs"/>
          <w:rtl/>
        </w:rPr>
        <w:t>, רי"ו (שם).</w:t>
      </w:r>
    </w:p>
  </w:footnote>
  <w:footnote w:id="551">
    <w:p w14:paraId="09EBF7DF" w14:textId="1FF7BB72" w:rsidR="00A70B37" w:rsidRDefault="00A70B37" w:rsidP="00A70B37">
      <w:pPr>
        <w:pStyle w:val="a7"/>
      </w:pPr>
      <w:r>
        <w:rPr>
          <w:rStyle w:val="a9"/>
        </w:rPr>
        <w:footnoteRef/>
      </w:r>
      <w:r>
        <w:rPr>
          <w:rtl/>
        </w:rPr>
        <w:t xml:space="preserve"> </w:t>
      </w:r>
      <w:r>
        <w:rPr>
          <w:rFonts w:asciiTheme="minorBidi" w:hAnsiTheme="minorBidi" w:hint="cs"/>
          <w:rtl/>
        </w:rPr>
        <w:t>כ"כ ה</w:t>
      </w:r>
      <w:r w:rsidRPr="005275DF">
        <w:rPr>
          <w:rFonts w:asciiTheme="minorBidi" w:hAnsiTheme="minorBidi"/>
          <w:rtl/>
        </w:rPr>
        <w:t xml:space="preserve">גר"א </w:t>
      </w:r>
      <w:r w:rsidRPr="005275DF">
        <w:rPr>
          <w:rFonts w:asciiTheme="minorBidi" w:hAnsiTheme="minorBidi"/>
          <w:sz w:val="16"/>
          <w:szCs w:val="16"/>
          <w:rtl/>
        </w:rPr>
        <w:t>(</w:t>
      </w:r>
      <w:r>
        <w:rPr>
          <w:rFonts w:asciiTheme="minorBidi" w:hAnsiTheme="minorBidi" w:hint="cs"/>
          <w:sz w:val="16"/>
          <w:szCs w:val="16"/>
          <w:rtl/>
        </w:rPr>
        <w:t xml:space="preserve">סי' שיח </w:t>
      </w:r>
      <w:r w:rsidRPr="005275DF">
        <w:rPr>
          <w:rFonts w:asciiTheme="minorBidi" w:hAnsiTheme="minorBidi"/>
          <w:sz w:val="16"/>
          <w:szCs w:val="16"/>
          <w:rtl/>
        </w:rPr>
        <w:t>סקכ"א)</w:t>
      </w:r>
      <w:r>
        <w:rPr>
          <w:rFonts w:asciiTheme="minorBidi" w:hAnsiTheme="minorBidi" w:hint="cs"/>
          <w:rtl/>
        </w:rPr>
        <w:t xml:space="preserve"> ע"פ מה שפסק</w:t>
      </w:r>
      <w:r w:rsidRPr="005275DF">
        <w:rPr>
          <w:rFonts w:asciiTheme="minorBidi" w:hAnsiTheme="minorBidi"/>
          <w:rtl/>
        </w:rPr>
        <w:t xml:space="preserve"> השו"ע</w:t>
      </w:r>
      <w:r>
        <w:rPr>
          <w:rFonts w:asciiTheme="minorBidi" w:hAnsiTheme="minorBidi" w:hint="cs"/>
          <w:rtl/>
        </w:rPr>
        <w:t xml:space="preserve"> (סי' שיח) בסע' ח, ש</w:t>
      </w:r>
      <w:r w:rsidRPr="005275DF">
        <w:rPr>
          <w:rFonts w:asciiTheme="minorBidi" w:hAnsiTheme="minorBidi"/>
          <w:rtl/>
        </w:rPr>
        <w:t>הרי אין הבדל בין דבר יבש וקר שנתבשל כ"צ</w:t>
      </w:r>
      <w:r w:rsidRPr="005275DF">
        <w:rPr>
          <w:rFonts w:asciiTheme="minorBidi" w:hAnsiTheme="minorBidi"/>
          <w:sz w:val="16"/>
          <w:szCs w:val="16"/>
          <w:rtl/>
        </w:rPr>
        <w:t xml:space="preserve"> (שמוזכר </w:t>
      </w:r>
      <w:r>
        <w:rPr>
          <w:rFonts w:asciiTheme="minorBidi" w:hAnsiTheme="minorBidi" w:hint="cs"/>
          <w:sz w:val="16"/>
          <w:szCs w:val="16"/>
          <w:rtl/>
        </w:rPr>
        <w:t>שם בסע' ח</w:t>
      </w:r>
      <w:r w:rsidRPr="005275DF">
        <w:rPr>
          <w:rFonts w:asciiTheme="minorBidi" w:hAnsiTheme="minorBidi"/>
          <w:sz w:val="16"/>
          <w:szCs w:val="16"/>
          <w:rtl/>
        </w:rPr>
        <w:t>)</w:t>
      </w:r>
      <w:r w:rsidRPr="005275DF">
        <w:rPr>
          <w:rFonts w:asciiTheme="minorBidi" w:hAnsiTheme="minorBidi"/>
          <w:rtl/>
        </w:rPr>
        <w:t xml:space="preserve"> לבין דבר עם רוטב והוא רותח ונתבשל כ"צ </w:t>
      </w:r>
      <w:r w:rsidRPr="005275DF">
        <w:rPr>
          <w:rFonts w:asciiTheme="minorBidi" w:hAnsiTheme="minorBidi"/>
          <w:sz w:val="16"/>
          <w:szCs w:val="16"/>
          <w:rtl/>
        </w:rPr>
        <w:t xml:space="preserve">(שמוזכר </w:t>
      </w:r>
      <w:r>
        <w:rPr>
          <w:rFonts w:asciiTheme="minorBidi" w:hAnsiTheme="minorBidi" w:hint="cs"/>
          <w:sz w:val="16"/>
          <w:szCs w:val="16"/>
          <w:rtl/>
        </w:rPr>
        <w:t>שם בסע' ז</w:t>
      </w:r>
      <w:r w:rsidRPr="005275DF">
        <w:rPr>
          <w:rFonts w:asciiTheme="minorBidi" w:hAnsiTheme="minorBidi"/>
          <w:sz w:val="16"/>
          <w:szCs w:val="16"/>
          <w:rtl/>
        </w:rPr>
        <w:t>)</w:t>
      </w:r>
      <w:r>
        <w:rPr>
          <w:rFonts w:asciiTheme="minorBidi" w:hAnsiTheme="minorBidi" w:hint="cs"/>
          <w:rtl/>
        </w:rPr>
        <w:t>, וכמו שנתבאר שם בסע' ד</w:t>
      </w:r>
      <w:r w:rsidRPr="005275DF">
        <w:rPr>
          <w:rFonts w:asciiTheme="minorBidi" w:hAnsiTheme="minorBidi"/>
          <w:rtl/>
        </w:rPr>
        <w:t>.</w:t>
      </w:r>
      <w:r>
        <w:rPr>
          <w:rFonts w:asciiTheme="minorBidi" w:hAnsiTheme="minorBidi" w:hint="cs"/>
          <w:rtl/>
        </w:rPr>
        <w:t xml:space="preserve"> וכתב עוד הגר"א </w:t>
      </w:r>
      <w:r>
        <w:rPr>
          <w:rFonts w:asciiTheme="minorBidi" w:hAnsiTheme="minorBidi" w:cs="Arial" w:hint="cs"/>
          <w:rtl/>
        </w:rPr>
        <w:t>ש</w:t>
      </w:r>
      <w:r w:rsidRPr="00BD1E5D">
        <w:rPr>
          <w:rFonts w:asciiTheme="minorBidi" w:hAnsiTheme="minorBidi" w:cs="Arial"/>
          <w:rtl/>
        </w:rPr>
        <w:t>המ"מ והר"ן פ</w:t>
      </w:r>
      <w:r>
        <w:rPr>
          <w:rFonts w:asciiTheme="minorBidi" w:hAnsiTheme="minorBidi" w:cs="Arial" w:hint="cs"/>
          <w:rtl/>
        </w:rPr>
        <w:t>וסקים</w:t>
      </w:r>
      <w:r w:rsidRPr="00BD1E5D">
        <w:rPr>
          <w:rFonts w:asciiTheme="minorBidi" w:hAnsiTheme="minorBidi" w:cs="Arial"/>
          <w:rtl/>
        </w:rPr>
        <w:t xml:space="preserve"> </w:t>
      </w:r>
      <w:r>
        <w:rPr>
          <w:rFonts w:asciiTheme="minorBidi" w:hAnsiTheme="minorBidi" w:cs="Arial" w:hint="cs"/>
          <w:rtl/>
        </w:rPr>
        <w:t xml:space="preserve">כסברא ראשונה </w:t>
      </w:r>
      <w:r>
        <w:rPr>
          <w:rFonts w:asciiTheme="minorBidi" w:hAnsiTheme="minorBidi" w:cs="Arial" w:hint="cs"/>
          <w:sz w:val="16"/>
          <w:szCs w:val="16"/>
          <w:rtl/>
        </w:rPr>
        <w:t>{</w:t>
      </w:r>
      <w:r w:rsidRPr="00BD1E5D">
        <w:rPr>
          <w:rFonts w:asciiTheme="minorBidi" w:hAnsiTheme="minorBidi" w:cs="Arial" w:hint="cs"/>
          <w:sz w:val="16"/>
          <w:szCs w:val="16"/>
          <w:rtl/>
        </w:rPr>
        <w:t>בשו"ע בסע' ז, והיא סברת רי"ו כאן</w:t>
      </w:r>
      <w:r>
        <w:rPr>
          <w:rFonts w:asciiTheme="minorBidi" w:hAnsiTheme="minorBidi" w:cs="Arial" w:hint="cs"/>
          <w:sz w:val="16"/>
          <w:szCs w:val="16"/>
          <w:rtl/>
        </w:rPr>
        <w:t>}</w:t>
      </w:r>
      <w:r w:rsidRPr="00BD1E5D">
        <w:rPr>
          <w:rFonts w:asciiTheme="minorBidi" w:hAnsiTheme="minorBidi" w:cs="Arial"/>
          <w:rtl/>
        </w:rPr>
        <w:t xml:space="preserve"> בפשיטות</w:t>
      </w:r>
      <w:r>
        <w:rPr>
          <w:rFonts w:asciiTheme="minorBidi" w:hAnsiTheme="minorBidi" w:cs="Arial" w:hint="cs"/>
          <w:rtl/>
        </w:rPr>
        <w:t>.</w:t>
      </w:r>
      <w:r w:rsidRPr="00BD1E5D">
        <w:rPr>
          <w:rFonts w:asciiTheme="minorBidi" w:hAnsiTheme="minorBidi" w:cs="Arial"/>
          <w:rtl/>
        </w:rPr>
        <w:t xml:space="preserve"> וכ"פ בש</w:t>
      </w:r>
      <w:r>
        <w:rPr>
          <w:rFonts w:asciiTheme="minorBidi" w:hAnsiTheme="minorBidi" w:cs="Arial" w:hint="cs"/>
          <w:rtl/>
        </w:rPr>
        <w:t>ו</w:t>
      </w:r>
      <w:r w:rsidRPr="00BD1E5D">
        <w:rPr>
          <w:rFonts w:asciiTheme="minorBidi" w:hAnsiTheme="minorBidi" w:cs="Arial"/>
          <w:rtl/>
        </w:rPr>
        <w:t>"ע סי' רנג ס"</w:t>
      </w:r>
      <w:r>
        <w:rPr>
          <w:rFonts w:asciiTheme="minorBidi" w:hAnsiTheme="minorBidi" w:cs="Arial" w:hint="cs"/>
          <w:rtl/>
        </w:rPr>
        <w:t>ה.</w:t>
      </w:r>
      <w:r w:rsidRPr="00BD1E5D">
        <w:rPr>
          <w:rFonts w:asciiTheme="minorBidi" w:hAnsiTheme="minorBidi" w:cs="Arial"/>
          <w:rtl/>
        </w:rPr>
        <w:t xml:space="preserve"> דלא כמ</w:t>
      </w:r>
      <w:r>
        <w:rPr>
          <w:rFonts w:asciiTheme="minorBidi" w:hAnsiTheme="minorBidi" w:cs="Arial" w:hint="cs"/>
          <w:rtl/>
        </w:rPr>
        <w:t>ג</w:t>
      </w:r>
      <w:r w:rsidRPr="00BD1E5D">
        <w:rPr>
          <w:rFonts w:asciiTheme="minorBidi" w:hAnsiTheme="minorBidi" w:cs="Arial"/>
          <w:rtl/>
        </w:rPr>
        <w:t xml:space="preserve">"א </w:t>
      </w:r>
      <w:r>
        <w:rPr>
          <w:rFonts w:asciiTheme="minorBidi" w:hAnsiTheme="minorBidi" w:cs="Arial" w:hint="cs"/>
          <w:rtl/>
        </w:rPr>
        <w:t>(</w:t>
      </w:r>
      <w:r w:rsidR="006357FF">
        <w:rPr>
          <w:rFonts w:asciiTheme="minorBidi" w:hAnsiTheme="minorBidi" w:cs="Arial" w:hint="cs"/>
          <w:rtl/>
        </w:rPr>
        <w:t xml:space="preserve">שם </w:t>
      </w:r>
      <w:r w:rsidRPr="00BD1E5D">
        <w:rPr>
          <w:rFonts w:asciiTheme="minorBidi" w:hAnsiTheme="minorBidi" w:cs="Arial"/>
          <w:rtl/>
        </w:rPr>
        <w:t>סקכ</w:t>
      </w:r>
      <w:r>
        <w:rPr>
          <w:rFonts w:asciiTheme="minorBidi" w:hAnsiTheme="minorBidi" w:cs="Arial" w:hint="cs"/>
          <w:rtl/>
        </w:rPr>
        <w:t>"</w:t>
      </w:r>
      <w:r w:rsidRPr="00BD1E5D">
        <w:rPr>
          <w:rFonts w:asciiTheme="minorBidi" w:hAnsiTheme="minorBidi" w:cs="Arial"/>
          <w:rtl/>
        </w:rPr>
        <w:t>ו</w:t>
      </w:r>
      <w:r>
        <w:rPr>
          <w:rFonts w:asciiTheme="minorBidi" w:hAnsiTheme="minorBidi" w:cs="Arial" w:hint="cs"/>
          <w:rtl/>
        </w:rPr>
        <w:t>)</w:t>
      </w:r>
      <w:r w:rsidRPr="00BD1E5D">
        <w:rPr>
          <w:rFonts w:asciiTheme="minorBidi" w:hAnsiTheme="minorBidi" w:cs="Arial"/>
          <w:rtl/>
        </w:rPr>
        <w:t xml:space="preserve"> שרוצה לחלק</w:t>
      </w:r>
      <w:r>
        <w:rPr>
          <w:rFonts w:asciiTheme="minorBidi" w:hAnsiTheme="minorBidi" w:cs="Arial" w:hint="cs"/>
          <w:rtl/>
        </w:rPr>
        <w:t>.</w:t>
      </w:r>
      <w:r w:rsidRPr="00BD1E5D">
        <w:rPr>
          <w:rFonts w:asciiTheme="minorBidi" w:hAnsiTheme="minorBidi" w:cs="Arial"/>
          <w:rtl/>
        </w:rPr>
        <w:t xml:space="preserve"> שלא מ</w:t>
      </w:r>
      <w:r>
        <w:rPr>
          <w:rFonts w:asciiTheme="minorBidi" w:hAnsiTheme="minorBidi" w:cs="Arial" w:hint="cs"/>
          <w:rtl/>
        </w:rPr>
        <w:t>שמע</w:t>
      </w:r>
      <w:r w:rsidRPr="00BD1E5D">
        <w:rPr>
          <w:rFonts w:asciiTheme="minorBidi" w:hAnsiTheme="minorBidi" w:cs="Arial"/>
          <w:rtl/>
        </w:rPr>
        <w:t xml:space="preserve"> כן בהר"ן ומ"מ</w:t>
      </w:r>
      <w:r>
        <w:rPr>
          <w:rFonts w:asciiTheme="minorBidi" w:hAnsiTheme="minorBidi" w:cs="Arial" w:hint="cs"/>
          <w:rtl/>
        </w:rPr>
        <w:t>. עכ"ל הגר"א.</w:t>
      </w:r>
    </w:p>
  </w:footnote>
  <w:footnote w:id="552">
    <w:p w14:paraId="466856F2" w14:textId="0D695918"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וכ"ש ע"ג מיחם חם, </w:t>
      </w:r>
      <w:r w:rsidRPr="006357FF">
        <w:rPr>
          <w:rFonts w:asciiTheme="minorBidi" w:hAnsiTheme="minorBidi"/>
          <w:b/>
          <w:bCs/>
          <w:rtl/>
        </w:rPr>
        <w:t>ב"י</w:t>
      </w:r>
      <w:r w:rsidRPr="008C1C8E">
        <w:rPr>
          <w:rFonts w:asciiTheme="minorBidi" w:hAnsiTheme="minorBidi"/>
          <w:rtl/>
        </w:rPr>
        <w:t>.</w:t>
      </w:r>
      <w:r w:rsidR="006357FF">
        <w:rPr>
          <w:rFonts w:asciiTheme="minorBidi" w:hAnsiTheme="minorBidi" w:hint="cs"/>
          <w:rtl/>
        </w:rPr>
        <w:t xml:space="preserve">   </w:t>
      </w:r>
      <w:r w:rsidRPr="005C2E17">
        <w:rPr>
          <w:rFonts w:asciiTheme="minorBidi" w:hAnsiTheme="minorBidi"/>
          <w:rtl/>
        </w:rPr>
        <w:t xml:space="preserve"> </w:t>
      </w:r>
      <w:r w:rsidRPr="008C1C8E">
        <w:rPr>
          <w:rFonts w:asciiTheme="minorBidi" w:hAnsiTheme="minorBidi"/>
          <w:rtl/>
        </w:rPr>
        <w:t>ואם הקדירה התחתונה עומדת ע"ג האש יש לה דין שיהוי, ועי' סי' רנג</w:t>
      </w:r>
      <w:r>
        <w:rPr>
          <w:rFonts w:asciiTheme="minorBidi" w:hAnsiTheme="minorBidi" w:hint="cs"/>
          <w:rtl/>
        </w:rPr>
        <w:t>,</w:t>
      </w:r>
      <w:r w:rsidRPr="005C2E17">
        <w:rPr>
          <w:rFonts w:asciiTheme="minorBidi" w:hAnsiTheme="minorBidi"/>
          <w:rtl/>
        </w:rPr>
        <w:t xml:space="preserve"> </w:t>
      </w:r>
      <w:r w:rsidRPr="006357FF">
        <w:rPr>
          <w:rFonts w:asciiTheme="minorBidi" w:hAnsiTheme="minorBidi"/>
          <w:b/>
          <w:bCs/>
          <w:rtl/>
        </w:rPr>
        <w:t>מג"א</w:t>
      </w:r>
      <w:r w:rsidRPr="008C1C8E">
        <w:rPr>
          <w:rFonts w:asciiTheme="minorBidi" w:hAnsiTheme="minorBidi"/>
          <w:rtl/>
        </w:rPr>
        <w:t xml:space="preserve"> (סק"א). </w:t>
      </w:r>
      <w:r w:rsidRPr="005C2E17">
        <w:rPr>
          <w:rFonts w:asciiTheme="minorBidi" w:hAnsiTheme="minorBidi"/>
          <w:sz w:val="16"/>
          <w:szCs w:val="16"/>
          <w:rtl/>
        </w:rPr>
        <w:t xml:space="preserve">(וכ' מחצה"ש דהמג"א כ' דין זה לנוהגים ביד רמ"א שכ' בסי' רנג </w:t>
      </w:r>
      <w:r w:rsidRPr="005C2E17">
        <w:rPr>
          <w:rFonts w:asciiTheme="minorBidi" w:hAnsiTheme="minorBidi"/>
          <w:sz w:val="14"/>
          <w:szCs w:val="14"/>
          <w:rtl/>
        </w:rPr>
        <w:t xml:space="preserve">[ס"א] </w:t>
      </w:r>
      <w:r w:rsidRPr="005C2E17">
        <w:rPr>
          <w:rFonts w:asciiTheme="minorBidi" w:hAnsiTheme="minorBidi"/>
          <w:sz w:val="16"/>
          <w:szCs w:val="16"/>
          <w:rtl/>
        </w:rPr>
        <w:t xml:space="preserve">דאפי' עומדת ע"ג גחלים כהאי גוונא לא מיקרי הטמנה, אלא דין שיהוי, אך לשיטת הב"י דקדרה שעומדת ע"ג גחלים אע"ג שמגולה למעלה ומצדדים מיקרי הטמנה </w:t>
      </w:r>
      <w:r w:rsidRPr="005C2E17">
        <w:rPr>
          <w:rFonts w:asciiTheme="minorBidi" w:hAnsiTheme="minorBidi"/>
          <w:sz w:val="14"/>
          <w:szCs w:val="14"/>
          <w:rtl/>
        </w:rPr>
        <w:t xml:space="preserve">[סי' רנג עמ' נט ד"ה ומ"ש, וכ"פ בשו"ע </w:t>
      </w:r>
      <w:r>
        <w:rPr>
          <w:rFonts w:asciiTheme="minorBidi" w:hAnsiTheme="minorBidi" w:hint="cs"/>
          <w:sz w:val="14"/>
          <w:szCs w:val="14"/>
          <w:rtl/>
        </w:rPr>
        <w:t>שם</w:t>
      </w:r>
      <w:r w:rsidRPr="005C2E17">
        <w:rPr>
          <w:rFonts w:asciiTheme="minorBidi" w:hAnsiTheme="minorBidi"/>
          <w:sz w:val="14"/>
          <w:szCs w:val="14"/>
          <w:rtl/>
        </w:rPr>
        <w:t xml:space="preserve"> ס</w:t>
      </w:r>
      <w:r>
        <w:rPr>
          <w:rFonts w:asciiTheme="minorBidi" w:hAnsiTheme="minorBidi" w:hint="cs"/>
          <w:sz w:val="14"/>
          <w:szCs w:val="14"/>
          <w:rtl/>
        </w:rPr>
        <w:t>"א</w:t>
      </w:r>
      <w:r w:rsidRPr="005C2E17">
        <w:rPr>
          <w:rFonts w:asciiTheme="minorBidi" w:hAnsiTheme="minorBidi"/>
          <w:sz w:val="14"/>
          <w:szCs w:val="14"/>
          <w:rtl/>
        </w:rPr>
        <w:t>]</w:t>
      </w:r>
      <w:r w:rsidRPr="005C2E17">
        <w:rPr>
          <w:rFonts w:asciiTheme="minorBidi" w:hAnsiTheme="minorBidi"/>
          <w:sz w:val="16"/>
          <w:szCs w:val="16"/>
          <w:rtl/>
        </w:rPr>
        <w:t>, גם כאן, אם הקדרה מונחת ע"ג הגחלים יש לה דין הטמנה)</w:t>
      </w:r>
    </w:p>
  </w:footnote>
  <w:footnote w:id="553">
    <w:p w14:paraId="2BDC4B7F"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שהרי אין הקדרה חמה מוספת הבל אדרבא חומה מתמעט והולך, ב"י. וכ' הט"ז</w:t>
      </w:r>
      <w:r w:rsidRPr="008C1C8E">
        <w:rPr>
          <w:rFonts w:asciiTheme="minorBidi" w:hAnsiTheme="minorBidi"/>
          <w:sz w:val="16"/>
          <w:szCs w:val="16"/>
          <w:rtl/>
        </w:rPr>
        <w:t xml:space="preserve"> (סק"א)</w:t>
      </w:r>
      <w:r w:rsidRPr="008C1C8E">
        <w:rPr>
          <w:rFonts w:asciiTheme="minorBidi" w:hAnsiTheme="minorBidi"/>
          <w:rtl/>
        </w:rPr>
        <w:t>: "נראה לי שאין בכלל זה אלא מה שרוצה להטמין לשעות הרבה שאפשר שתתקרר הקדירה קודם כלות הזמן ההוא אבל אם רוצה להטמין לשעה מועטת וליקחו משם בעוד הקדירה חמה אסור דהוי דבר המוסיף הבל על כל פנים. וע"כ לא יפה עושים שבימות החורף לוקחים כלי בתוכו משקה ותוחבין אותו בשבת לתוך כלי מלא מים חם שיפיג צנתו בתוכו ואח"כ שותין המשקה שזהו דרך הטמנה ממש כיון שכולו טמון בתוכו והטמנה אסורה אפי' לזמן מועט, ועיקר טעם ההיתר כאן כיון שאינו טמון בתוכו ממש רק מונח עליו וע"ז כתב הטור ושו"ע שאין זה כטומן כו' פי' שאין כאן דרך הטמנה כנ"ל ועמ"ש בסי' שי"ח סי"ג (סקי"ט).</w:t>
      </w:r>
    </w:p>
  </w:footnote>
  <w:footnote w:id="554">
    <w:p w14:paraId="3D4908D9"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שדמיה יקרים? אלא ודאי שאינו כן ולכן אינן בטלים להטמנה ואסור לטלטלן.</w:t>
      </w:r>
    </w:p>
  </w:footnote>
  <w:footnote w:id="555">
    <w:p w14:paraId="35E55223"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עורות.</w:t>
      </w:r>
    </w:p>
  </w:footnote>
  <w:footnote w:id="556">
    <w:p w14:paraId="398CD25F"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של קדרה שיש תורת כלי עליה, ואע"ג שהן עליה - לא איכפת לן, דלא נעשית בסיס להן, שאין עשוי אלא לכסות קדרה, רש"י.</w:t>
      </w:r>
    </w:p>
  </w:footnote>
  <w:footnote w:id="557">
    <w:p w14:paraId="6A6F4F31"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לעולם, רש"י.</w:t>
      </w:r>
    </w:p>
  </w:footnote>
  <w:footnote w:id="558">
    <w:p w14:paraId="4B3DEBFB"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לעולם כדקאמר רבא, אם טמן בהן - מותר לטלטל, דכמאן דיחדן להכי דמו, ורבא לאו אמתניתין קאי, דמתניתין בגיזין של הפתק דודאי עתיד להחזירן משם, ולא יחדן לכך, רש"י.</w:t>
      </w:r>
    </w:p>
  </w:footnote>
  <w:footnote w:id="559">
    <w:p w14:paraId="2192EC94"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מערכה גדולה, שעורכין ומושיבין להקצותן לסחורה בין של בגדים, בין של צמר, בין של חגבים ובשר מלוח, רש"י.</w:t>
      </w:r>
    </w:p>
  </w:footnote>
  <w:footnote w:id="560">
    <w:p w14:paraId="1C8AAEED"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ואם אינה מגולה נ"ל דאם יוכל לתחוב כוש ולנער שרי כמ"ש סי' שיא ס"ט, מג"א (סק"ה). </w:t>
      </w:r>
      <w:r w:rsidRPr="008C1C8E">
        <w:rPr>
          <w:rFonts w:asciiTheme="minorBidi" w:hAnsiTheme="minorBidi"/>
          <w:color w:val="FF0000"/>
          <w:rtl/>
        </w:rPr>
        <w:t>וצ"ע בדברי הט"ז סק"ב שהקשה על דברי מרן, וכן צ"ע במשב"ז.</w:t>
      </w:r>
    </w:p>
  </w:footnote>
  <w:footnote w:id="561">
    <w:p w14:paraId="0F6586AD"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לעולם, מג"א (סק"ב, ועי' סי' שח סע' כב).</w:t>
      </w:r>
    </w:p>
  </w:footnote>
  <w:footnote w:id="562">
    <w:p w14:paraId="44EC66C0"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דהא אין הכיסוי תשמיש להצמר אדרבה הצמר משמש להקדרה לחממו ועי' סי' שט ס"ד, מג"א (סק"ו).</w:t>
      </w:r>
    </w:p>
  </w:footnote>
  <w:footnote w:id="563">
    <w:p w14:paraId="3C2EADAA"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ונראה במחשבה בעלמא סגי, ולא בעינן שיפרש בפה, מ"ב (סקצ"ג).</w:t>
      </w:r>
    </w:p>
  </w:footnote>
  <w:footnote w:id="564">
    <w:p w14:paraId="65C92B65" w14:textId="77777777" w:rsidR="004B2E7C" w:rsidRDefault="004B2E7C" w:rsidP="00285819">
      <w:pPr>
        <w:pStyle w:val="a7"/>
        <w:rPr>
          <w:rtl/>
        </w:rPr>
      </w:pPr>
      <w:r>
        <w:rPr>
          <w:rStyle w:val="a9"/>
        </w:rPr>
        <w:footnoteRef/>
      </w:r>
      <w:r>
        <w:rPr>
          <w:rtl/>
        </w:rPr>
        <w:t xml:space="preserve"> </w:t>
      </w:r>
      <w:r w:rsidRPr="005275DF">
        <w:rPr>
          <w:rFonts w:asciiTheme="minorBidi" w:hAnsiTheme="minorBidi"/>
          <w:rtl/>
        </w:rPr>
        <w:t>במקום הצורך יש לסמוך להקל דסגי בייחוד לשבת אחת אם השימוש הוא במידי דאורחיה בהכי</w:t>
      </w:r>
      <w:r>
        <w:rPr>
          <w:rFonts w:asciiTheme="minorBidi" w:hAnsiTheme="minorBidi" w:hint="cs"/>
          <w:rtl/>
        </w:rPr>
        <w:t>,</w:t>
      </w:r>
      <w:r w:rsidRPr="00195C0A">
        <w:rPr>
          <w:rFonts w:asciiTheme="minorBidi" w:hAnsiTheme="minorBidi"/>
          <w:rtl/>
        </w:rPr>
        <w:t xml:space="preserve"> </w:t>
      </w:r>
      <w:r w:rsidRPr="005275DF">
        <w:rPr>
          <w:rFonts w:asciiTheme="minorBidi" w:hAnsiTheme="minorBidi"/>
          <w:rtl/>
        </w:rPr>
        <w:t>מ</w:t>
      </w:r>
      <w:r>
        <w:rPr>
          <w:rFonts w:asciiTheme="minorBidi" w:hAnsiTheme="minorBidi" w:hint="cs"/>
          <w:rtl/>
        </w:rPr>
        <w:t>שנ</w:t>
      </w:r>
      <w:r w:rsidRPr="005275DF">
        <w:rPr>
          <w:rFonts w:asciiTheme="minorBidi" w:hAnsiTheme="minorBidi"/>
          <w:rtl/>
        </w:rPr>
        <w:t>"ב (סקצ"ז).</w:t>
      </w:r>
    </w:p>
  </w:footnote>
  <w:footnote w:id="565">
    <w:p w14:paraId="7192BD52"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את התבשיל מתוך הקדרה אבל לא מוציא את הקדרה מהקופה, שמא...</w:t>
      </w:r>
    </w:p>
  </w:footnote>
  <w:footnote w:id="566">
    <w:p w14:paraId="2575E7C1"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לפי שמזיז הגיזין לכאן ולכאן</w:t>
      </w:r>
      <w:r w:rsidRPr="008C1C8E">
        <w:rPr>
          <w:rFonts w:asciiTheme="minorBidi" w:hAnsiTheme="minorBidi"/>
          <w:sz w:val="16"/>
          <w:szCs w:val="16"/>
          <w:rtl/>
        </w:rPr>
        <w:t xml:space="preserve"> {והרי טמן בדברים שאסור לטלטלן}</w:t>
      </w:r>
      <w:r w:rsidRPr="008C1C8E">
        <w:rPr>
          <w:rFonts w:asciiTheme="minorBidi" w:hAnsiTheme="minorBidi"/>
          <w:rtl/>
        </w:rPr>
        <w:t xml:space="preserve">, רש"י רי"ו וטור, ומשמע דאם היא מלאה דברים שמותר לטלטלן אם נתקלק' הגומא יכול להחזיר, ב"י. אך הרמב"ם פירש </w:t>
      </w:r>
      <w:r w:rsidRPr="008C1C8E">
        <w:rPr>
          <w:rFonts w:asciiTheme="minorBidi" w:hAnsiTheme="minorBidi"/>
          <w:sz w:val="16"/>
          <w:szCs w:val="16"/>
          <w:rtl/>
        </w:rPr>
        <w:t xml:space="preserve">(בפהמ"ש וכן נראה מחיבורו היד החזקה, ב"י) </w:t>
      </w:r>
      <w:r w:rsidRPr="008C1C8E">
        <w:rPr>
          <w:rFonts w:asciiTheme="minorBidi" w:hAnsiTheme="minorBidi"/>
          <w:rtl/>
        </w:rPr>
        <w:t>שאסור מפני שתצטרך הקדרה לעשות לעצמה מקום כשמחזירה ונמצא כמי שטומן לכתחי' בשבת, ולפ"ז אפי' בדברים המותרים לטלטל אסור להחזירה אם נתקלקלה הגומא.</w:t>
      </w:r>
    </w:p>
  </w:footnote>
  <w:footnote w:id="567">
    <w:p w14:paraId="37489F6C"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ר' אלעזר בן עזריה.</w:t>
      </w:r>
    </w:p>
  </w:footnote>
  <w:footnote w:id="568">
    <w:p w14:paraId="7818B092"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הכוונה- שמא תתקלקל הגומא ויבוא לסדר כדי להחזיר את הקופה.</w:t>
      </w:r>
    </w:p>
  </w:footnote>
  <w:footnote w:id="569">
    <w:p w14:paraId="663AD609"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דהכי גרע טפי מטילטול מן הצד דשרי </w:t>
      </w:r>
      <w:r w:rsidRPr="008C1C8E">
        <w:rPr>
          <w:rFonts w:asciiTheme="minorBidi" w:hAnsiTheme="minorBidi"/>
          <w:sz w:val="16"/>
          <w:szCs w:val="16"/>
          <w:rtl/>
        </w:rPr>
        <w:t>(כמ"ש ס"ס שי"א)</w:t>
      </w:r>
      <w:r w:rsidRPr="008C1C8E">
        <w:rPr>
          <w:rFonts w:asciiTheme="minorBidi" w:hAnsiTheme="minorBidi"/>
          <w:rtl/>
        </w:rPr>
        <w:t xml:space="preserve"> דהכא צריך לטלטל אילך ואילך כשרוצה להטמין </w:t>
      </w:r>
      <w:r w:rsidRPr="008C1C8E">
        <w:rPr>
          <w:rFonts w:asciiTheme="minorBidi" w:hAnsiTheme="minorBidi"/>
          <w:sz w:val="16"/>
          <w:szCs w:val="16"/>
          <w:rtl/>
        </w:rPr>
        <w:t>(תוס' נ: ד"ה הכל, הובא במג"א סק"ח)</w:t>
      </w:r>
      <w:r w:rsidRPr="008C1C8E">
        <w:rPr>
          <w:rFonts w:asciiTheme="minorBidi" w:hAnsiTheme="minorBidi"/>
          <w:rtl/>
        </w:rPr>
        <w:t>.</w:t>
      </w:r>
    </w:p>
  </w:footnote>
  <w:footnote w:id="570">
    <w:p w14:paraId="7A3200FD"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color w:val="FF0000"/>
          <w:rtl/>
        </w:rPr>
        <w:t xml:space="preserve"> צ"ע מה הדין כאן האם פסק השו"ע שי"א משום שבסתם כ' רק דינא דגמרא והביא את הדעה השניה כדי להוסיף עליה כדכ' הבית דוד, ונראה יותר שפסק להחמיר.</w:t>
      </w:r>
    </w:p>
  </w:footnote>
  <w:footnote w:id="571">
    <w:p w14:paraId="6B5CF56D"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סביב הקדרה, בדבר המוכן לכך.</w:t>
      </w:r>
    </w:p>
  </w:footnote>
  <w:footnote w:id="572">
    <w:p w14:paraId="684038D4" w14:textId="77777777" w:rsidR="004B2E7C" w:rsidRPr="008C1C8E" w:rsidRDefault="004B2E7C" w:rsidP="00285819">
      <w:pPr>
        <w:spacing w:after="0" w:line="240" w:lineRule="auto"/>
        <w:rPr>
          <w:rFonts w:asciiTheme="minorBidi" w:hAnsiTheme="minorBidi"/>
          <w:sz w:val="20"/>
          <w:szCs w:val="20"/>
        </w:rPr>
      </w:pPr>
      <w:r w:rsidRPr="008C1C8E">
        <w:rPr>
          <w:rStyle w:val="a9"/>
          <w:rFonts w:asciiTheme="minorBidi" w:hAnsiTheme="minorBidi"/>
          <w:sz w:val="20"/>
          <w:szCs w:val="20"/>
        </w:rPr>
        <w:footnoteRef/>
      </w:r>
      <w:r w:rsidRPr="008C1C8E">
        <w:rPr>
          <w:rFonts w:asciiTheme="minorBidi" w:hAnsiTheme="minorBidi"/>
          <w:sz w:val="20"/>
          <w:szCs w:val="20"/>
          <w:rtl/>
        </w:rPr>
        <w:t xml:space="preserve"> ואם תאמר: יפנה סביבותיה, הואיל ודבר הניטל הוא, ויאחזנה בדופניה ויטנה על צדה ויפול הכיסוי, כי ההיא דתנן לקמן </w:t>
      </w:r>
      <w:r w:rsidRPr="008C1C8E">
        <w:rPr>
          <w:rFonts w:asciiTheme="minorBidi" w:hAnsiTheme="minorBidi"/>
          <w:sz w:val="16"/>
          <w:szCs w:val="16"/>
          <w:rtl/>
        </w:rPr>
        <w:t>(קמב:)</w:t>
      </w:r>
      <w:r w:rsidRPr="008C1C8E">
        <w:rPr>
          <w:rFonts w:asciiTheme="minorBidi" w:hAnsiTheme="minorBidi"/>
          <w:sz w:val="20"/>
          <w:szCs w:val="20"/>
          <w:rtl/>
        </w:rPr>
        <w:t xml:space="preserve"> "האבן שעל פי החבית מטה על צדה והיא נופלת, ואם היתה בין החביות - מגביהה ומטה על צדה והיא נופלת"- הא אוקימנא התם בשכח, אבל במניח- נעשה בסיס לדבר האסור, והיכא דמגולה מקצתו אין זה טלטול, שמצדדו והכיסוי נופל מאליו, רש"י. אך התוס' </w:t>
      </w:r>
      <w:r w:rsidRPr="008C1C8E">
        <w:rPr>
          <w:rFonts w:asciiTheme="minorBidi" w:hAnsiTheme="minorBidi"/>
          <w:sz w:val="16"/>
          <w:szCs w:val="16"/>
          <w:rtl/>
        </w:rPr>
        <w:t xml:space="preserve">(ד"ה או שטמן) </w:t>
      </w:r>
      <w:r w:rsidRPr="008C1C8E">
        <w:rPr>
          <w:rFonts w:asciiTheme="minorBidi" w:hAnsiTheme="minorBidi"/>
          <w:sz w:val="20"/>
          <w:szCs w:val="20"/>
          <w:rtl/>
        </w:rPr>
        <w:t>הביאו את דעת ר"ת שכ' שאין איסור משום שהניח, דמאחר שדעתו ליטלו בשבת לא חשיב מניח, אלא משום דהכא עסקינן בכיסוי כעין כלי חרס שנותנין על הקדרות שהקדרה בלועה לתוכה ואי אפשר לנער הכיסוי אא"כ יגביה קצת.</w:t>
      </w:r>
    </w:p>
  </w:footnote>
  <w:footnote w:id="573">
    <w:p w14:paraId="02D0FBF4"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ואם טמן בדבר הניטל וכיסה בדבר שאינו ניטל מפנה סביבותיה ואוחז בקדירה ומוציאה דלא נעשית בסיס להן</w:t>
      </w:r>
      <w:r w:rsidRPr="008C1C8E">
        <w:rPr>
          <w:rFonts w:asciiTheme="minorBidi" w:hAnsiTheme="minorBidi"/>
          <w:sz w:val="16"/>
          <w:szCs w:val="16"/>
          <w:rtl/>
        </w:rPr>
        <w:t xml:space="preserve"> (כמש"כ סוף ס"א גבי גיזי צמר)</w:t>
      </w:r>
      <w:r w:rsidRPr="008C1C8E">
        <w:rPr>
          <w:rFonts w:asciiTheme="minorBidi" w:hAnsiTheme="minorBidi"/>
          <w:rtl/>
        </w:rPr>
        <w:t>, ר"ן, וכ' כן בהמשך לשיטתו, (הביאו המג"א סק"ט).</w:t>
      </w:r>
    </w:p>
  </w:footnote>
  <w:footnote w:id="574">
    <w:p w14:paraId="265E7870" w14:textId="77777777" w:rsidR="004B2E7C" w:rsidRPr="008C1C8E" w:rsidRDefault="004B2E7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משום כבוד השבת כנזכר לעיל, לכן אם אפשר להטמין בענין אחר- אסור, מג"א.  </w:t>
      </w:r>
    </w:p>
  </w:footnote>
  <w:footnote w:id="575">
    <w:p w14:paraId="113F2E65"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ואם סתם- אפי' בדיעבד אסור התבשיל, תשו' רמ"א סי' ק"ב.</w:t>
      </w:r>
    </w:p>
  </w:footnote>
  <w:footnote w:id="576">
    <w:p w14:paraId="3FE38AAB" w14:textId="77777777" w:rsidR="004B2E7C" w:rsidRPr="008C1C8E" w:rsidRDefault="004B2E7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ואם הגוי סתם יש לפקפק ולהתיר בדיעבד מאחר דבלא"ה היה מתבשל שם, מג"א (סקי"ב).</w:t>
      </w:r>
    </w:p>
  </w:footnote>
  <w:footnote w:id="577">
    <w:p w14:paraId="174BA1E2" w14:textId="77777777" w:rsidR="004B2E7C" w:rsidRDefault="004B2E7C" w:rsidP="00285819">
      <w:pPr>
        <w:pStyle w:val="a7"/>
      </w:pPr>
      <w:r>
        <w:rPr>
          <w:rStyle w:val="a9"/>
        </w:rPr>
        <w:footnoteRef/>
      </w:r>
      <w:r>
        <w:rPr>
          <w:rtl/>
        </w:rPr>
        <w:t xml:space="preserve"> </w:t>
      </w:r>
      <w:r w:rsidRPr="00170E7B">
        <w:rPr>
          <w:rFonts w:cs="Arial"/>
          <w:rtl/>
        </w:rPr>
        <w:t>(</w:t>
      </w:r>
      <w:r w:rsidRPr="00170E7B">
        <w:rPr>
          <w:rFonts w:cs="Arial" w:hint="cs"/>
          <w:rtl/>
        </w:rPr>
        <w:t>א</w:t>
      </w:r>
      <w:r w:rsidRPr="00170E7B">
        <w:rPr>
          <w:rFonts w:cs="Arial"/>
          <w:rtl/>
        </w:rPr>
        <w:t xml:space="preserve">) </w:t>
      </w:r>
      <w:r w:rsidRPr="00170E7B">
        <w:rPr>
          <w:rFonts w:cs="Arial" w:hint="cs"/>
          <w:rtl/>
        </w:rPr>
        <w:t>כתב</w:t>
      </w:r>
      <w:r w:rsidRPr="00170E7B">
        <w:rPr>
          <w:rFonts w:cs="Arial"/>
          <w:rtl/>
        </w:rPr>
        <w:t xml:space="preserve"> </w:t>
      </w:r>
      <w:r w:rsidRPr="00170E7B">
        <w:rPr>
          <w:rFonts w:cs="Arial" w:hint="cs"/>
          <w:rtl/>
        </w:rPr>
        <w:t>באור</w:t>
      </w:r>
      <w:r w:rsidRPr="00170E7B">
        <w:rPr>
          <w:rFonts w:cs="Arial"/>
          <w:rtl/>
        </w:rPr>
        <w:t xml:space="preserve"> </w:t>
      </w:r>
      <w:r w:rsidRPr="00170E7B">
        <w:rPr>
          <w:rFonts w:cs="Arial" w:hint="cs"/>
          <w:rtl/>
        </w:rPr>
        <w:t>זרוע</w:t>
      </w:r>
      <w:r w:rsidRPr="00170E7B">
        <w:rPr>
          <w:rFonts w:cs="Arial"/>
          <w:rtl/>
        </w:rPr>
        <w:t xml:space="preserve"> (</w:t>
      </w:r>
      <w:r w:rsidRPr="00170E7B">
        <w:rPr>
          <w:rFonts w:cs="Arial" w:hint="cs"/>
          <w:rtl/>
        </w:rPr>
        <w:t>הל</w:t>
      </w:r>
      <w:r w:rsidRPr="00170E7B">
        <w:rPr>
          <w:rFonts w:cs="Arial"/>
          <w:rtl/>
        </w:rPr>
        <w:t xml:space="preserve">' </w:t>
      </w:r>
      <w:r w:rsidRPr="00170E7B">
        <w:rPr>
          <w:rFonts w:cs="Arial" w:hint="cs"/>
          <w:rtl/>
        </w:rPr>
        <w:t>ערב</w:t>
      </w:r>
      <w:r w:rsidRPr="00170E7B">
        <w:rPr>
          <w:rFonts w:cs="Arial"/>
          <w:rtl/>
        </w:rPr>
        <w:t xml:space="preserve"> </w:t>
      </w:r>
      <w:r w:rsidRPr="00170E7B">
        <w:rPr>
          <w:rFonts w:cs="Arial" w:hint="cs"/>
          <w:rtl/>
        </w:rPr>
        <w:t>שבת</w:t>
      </w:r>
      <w:r w:rsidRPr="00170E7B">
        <w:rPr>
          <w:rFonts w:cs="Arial"/>
          <w:rtl/>
        </w:rPr>
        <w:t xml:space="preserve"> </w:t>
      </w:r>
      <w:r w:rsidRPr="00170E7B">
        <w:rPr>
          <w:rFonts w:cs="Arial" w:hint="cs"/>
          <w:rtl/>
        </w:rPr>
        <w:t>סי</w:t>
      </w:r>
      <w:r w:rsidRPr="00170E7B">
        <w:rPr>
          <w:rFonts w:cs="Arial"/>
          <w:rtl/>
        </w:rPr>
        <w:t xml:space="preserve">' </w:t>
      </w:r>
      <w:r w:rsidRPr="00170E7B">
        <w:rPr>
          <w:rFonts w:cs="Arial" w:hint="cs"/>
          <w:rtl/>
        </w:rPr>
        <w:t>ז</w:t>
      </w:r>
      <w:r w:rsidRPr="00170E7B">
        <w:rPr>
          <w:rFonts w:cs="Arial"/>
          <w:rtl/>
        </w:rPr>
        <w:t xml:space="preserve">, </w:t>
      </w:r>
      <w:r w:rsidRPr="00170E7B">
        <w:rPr>
          <w:rFonts w:cs="Arial" w:hint="cs"/>
          <w:rtl/>
        </w:rPr>
        <w:t>עיין</w:t>
      </w:r>
      <w:r w:rsidRPr="00170E7B">
        <w:rPr>
          <w:rFonts w:cs="Arial"/>
          <w:rtl/>
        </w:rPr>
        <w:t xml:space="preserve"> </w:t>
      </w:r>
      <w:r w:rsidRPr="00170E7B">
        <w:rPr>
          <w:rFonts w:cs="Arial" w:hint="cs"/>
          <w:rtl/>
        </w:rPr>
        <w:t>שם</w:t>
      </w:r>
      <w:r w:rsidRPr="00170E7B">
        <w:rPr>
          <w:rFonts w:cs="Arial"/>
          <w:rtl/>
        </w:rPr>
        <w:t xml:space="preserve">) </w:t>
      </w:r>
      <w:r w:rsidRPr="00170E7B">
        <w:rPr>
          <w:rFonts w:cs="Arial" w:hint="cs"/>
          <w:rtl/>
        </w:rPr>
        <w:t>דמצוה</w:t>
      </w:r>
      <w:r w:rsidRPr="00170E7B">
        <w:rPr>
          <w:rFonts w:cs="Arial"/>
          <w:rtl/>
        </w:rPr>
        <w:t xml:space="preserve"> </w:t>
      </w:r>
      <w:r w:rsidRPr="00170E7B">
        <w:rPr>
          <w:rFonts w:cs="Arial" w:hint="cs"/>
          <w:rtl/>
        </w:rPr>
        <w:t>לרחוץ</w:t>
      </w:r>
      <w:r w:rsidRPr="00170E7B">
        <w:rPr>
          <w:rFonts w:cs="Arial"/>
          <w:rtl/>
        </w:rPr>
        <w:t xml:space="preserve"> </w:t>
      </w:r>
      <w:r w:rsidRPr="00170E7B">
        <w:rPr>
          <w:rFonts w:cs="Arial" w:hint="cs"/>
          <w:rtl/>
        </w:rPr>
        <w:t>ולחוף</w:t>
      </w:r>
      <w:r w:rsidRPr="00170E7B">
        <w:rPr>
          <w:rFonts w:cs="Arial"/>
          <w:rtl/>
        </w:rPr>
        <w:t xml:space="preserve"> </w:t>
      </w:r>
      <w:r w:rsidRPr="00170E7B">
        <w:rPr>
          <w:rFonts w:cs="Arial" w:hint="cs"/>
          <w:rtl/>
        </w:rPr>
        <w:t>ראשו</w:t>
      </w:r>
      <w:r w:rsidRPr="00170E7B">
        <w:rPr>
          <w:rFonts w:cs="Arial"/>
          <w:rtl/>
        </w:rPr>
        <w:t xml:space="preserve"> </w:t>
      </w:r>
      <w:r w:rsidRPr="00170E7B">
        <w:rPr>
          <w:rFonts w:cs="Arial" w:hint="cs"/>
          <w:rtl/>
        </w:rPr>
        <w:t>בערב</w:t>
      </w:r>
      <w:r w:rsidRPr="00170E7B">
        <w:rPr>
          <w:rFonts w:cs="Arial"/>
          <w:rtl/>
        </w:rPr>
        <w:t xml:space="preserve"> </w:t>
      </w:r>
      <w:r w:rsidRPr="00170E7B">
        <w:rPr>
          <w:rFonts w:cs="Arial" w:hint="cs"/>
          <w:rtl/>
        </w:rPr>
        <w:t>שבת</w:t>
      </w:r>
      <w:r w:rsidRPr="00170E7B">
        <w:rPr>
          <w:rFonts w:cs="Arial"/>
          <w:rtl/>
        </w:rPr>
        <w:t xml:space="preserve">, </w:t>
      </w:r>
      <w:r w:rsidRPr="00170E7B">
        <w:rPr>
          <w:rFonts w:cs="Arial" w:hint="cs"/>
          <w:rtl/>
        </w:rPr>
        <w:t>ומקבל</w:t>
      </w:r>
      <w:r w:rsidRPr="00170E7B">
        <w:rPr>
          <w:rFonts w:cs="Arial"/>
          <w:rtl/>
        </w:rPr>
        <w:t xml:space="preserve"> </w:t>
      </w:r>
      <w:r w:rsidRPr="00170E7B">
        <w:rPr>
          <w:rFonts w:cs="Arial" w:hint="cs"/>
          <w:rtl/>
        </w:rPr>
        <w:t>עליה</w:t>
      </w:r>
      <w:r w:rsidRPr="00170E7B">
        <w:rPr>
          <w:rFonts w:cs="Arial"/>
          <w:rtl/>
        </w:rPr>
        <w:t xml:space="preserve"> </w:t>
      </w:r>
      <w:r w:rsidRPr="00170E7B">
        <w:rPr>
          <w:rFonts w:cs="Arial" w:hint="cs"/>
          <w:rtl/>
        </w:rPr>
        <w:t>שכר</w:t>
      </w:r>
      <w:r w:rsidRPr="00170E7B">
        <w:rPr>
          <w:rFonts w:cs="Arial"/>
          <w:rtl/>
        </w:rPr>
        <w:t xml:space="preserve"> </w:t>
      </w:r>
      <w:r w:rsidRPr="00170E7B">
        <w:rPr>
          <w:rFonts w:cs="Arial" w:hint="cs"/>
          <w:rtl/>
        </w:rPr>
        <w:t>אם</w:t>
      </w:r>
      <w:r w:rsidRPr="00170E7B">
        <w:rPr>
          <w:rFonts w:cs="Arial"/>
          <w:rtl/>
        </w:rPr>
        <w:t xml:space="preserve"> </w:t>
      </w:r>
      <w:r w:rsidRPr="00170E7B">
        <w:rPr>
          <w:rFonts w:cs="Arial" w:hint="cs"/>
          <w:rtl/>
        </w:rPr>
        <w:t>מקיימה</w:t>
      </w:r>
      <w:r w:rsidRPr="00170E7B">
        <w:rPr>
          <w:rFonts w:cs="Arial"/>
          <w:rtl/>
        </w:rPr>
        <w:t xml:space="preserve"> </w:t>
      </w:r>
      <w:r w:rsidRPr="00170E7B">
        <w:rPr>
          <w:rFonts w:cs="Arial" w:hint="cs"/>
          <w:rtl/>
        </w:rPr>
        <w:t>אבל</w:t>
      </w:r>
      <w:r w:rsidRPr="00170E7B">
        <w:rPr>
          <w:rFonts w:cs="Arial"/>
          <w:rtl/>
        </w:rPr>
        <w:t xml:space="preserve"> </w:t>
      </w:r>
      <w:r w:rsidRPr="00170E7B">
        <w:rPr>
          <w:rFonts w:cs="Arial" w:hint="cs"/>
          <w:rtl/>
        </w:rPr>
        <w:t>לא</w:t>
      </w:r>
      <w:r w:rsidRPr="00170E7B">
        <w:rPr>
          <w:rFonts w:cs="Arial"/>
          <w:rtl/>
        </w:rPr>
        <w:t xml:space="preserve"> </w:t>
      </w:r>
      <w:r w:rsidRPr="00170E7B">
        <w:rPr>
          <w:rFonts w:cs="Arial" w:hint="cs"/>
          <w:rtl/>
        </w:rPr>
        <w:t>נענש</w:t>
      </w:r>
      <w:r w:rsidRPr="00170E7B">
        <w:rPr>
          <w:rFonts w:cs="Arial"/>
          <w:rtl/>
        </w:rPr>
        <w:t xml:space="preserve"> </w:t>
      </w:r>
      <w:r w:rsidRPr="00170E7B">
        <w:rPr>
          <w:rFonts w:cs="Arial" w:hint="cs"/>
          <w:rtl/>
        </w:rPr>
        <w:t>עליה</w:t>
      </w:r>
      <w:r w:rsidRPr="00170E7B">
        <w:rPr>
          <w:rFonts w:cs="Arial"/>
          <w:rtl/>
        </w:rPr>
        <w:t xml:space="preserve"> </w:t>
      </w:r>
      <w:r w:rsidRPr="00170E7B">
        <w:rPr>
          <w:rFonts w:cs="Arial" w:hint="cs"/>
          <w:rtl/>
        </w:rPr>
        <w:t>אם</w:t>
      </w:r>
      <w:r w:rsidRPr="00170E7B">
        <w:rPr>
          <w:rFonts w:cs="Arial"/>
          <w:rtl/>
        </w:rPr>
        <w:t xml:space="preserve"> </w:t>
      </w:r>
      <w:r w:rsidRPr="00170E7B">
        <w:rPr>
          <w:rFonts w:cs="Arial" w:hint="cs"/>
          <w:rtl/>
        </w:rPr>
        <w:t>לא</w:t>
      </w:r>
      <w:r w:rsidRPr="00170E7B">
        <w:rPr>
          <w:rFonts w:cs="Arial"/>
          <w:rtl/>
        </w:rPr>
        <w:t xml:space="preserve"> </w:t>
      </w:r>
      <w:r w:rsidRPr="00170E7B">
        <w:rPr>
          <w:rFonts w:cs="Arial" w:hint="cs"/>
          <w:rtl/>
        </w:rPr>
        <w:t>מקיימה</w:t>
      </w:r>
      <w:r w:rsidRPr="00170E7B">
        <w:rPr>
          <w:rFonts w:cs="Arial"/>
          <w:rtl/>
        </w:rPr>
        <w:t xml:space="preserve">, </w:t>
      </w:r>
      <w:r w:rsidRPr="00170E7B">
        <w:rPr>
          <w:rFonts w:cs="Arial" w:hint="cs"/>
          <w:rtl/>
        </w:rPr>
        <w:t>ובהגהות</w:t>
      </w:r>
      <w:r w:rsidRPr="00170E7B">
        <w:rPr>
          <w:rFonts w:cs="Arial"/>
          <w:rtl/>
        </w:rPr>
        <w:t xml:space="preserve"> </w:t>
      </w:r>
      <w:r w:rsidRPr="00170E7B">
        <w:rPr>
          <w:rFonts w:cs="Arial" w:hint="cs"/>
          <w:rtl/>
        </w:rPr>
        <w:t>מרדכי</w:t>
      </w:r>
      <w:r w:rsidRPr="00170E7B">
        <w:rPr>
          <w:rFonts w:cs="Arial"/>
          <w:rtl/>
        </w:rPr>
        <w:t xml:space="preserve"> </w:t>
      </w:r>
      <w:r w:rsidRPr="00170E7B">
        <w:rPr>
          <w:rFonts w:cs="Arial" w:hint="cs"/>
          <w:rtl/>
        </w:rPr>
        <w:t>החדשים</w:t>
      </w:r>
      <w:r w:rsidRPr="00170E7B">
        <w:rPr>
          <w:rFonts w:cs="Arial"/>
          <w:rtl/>
        </w:rPr>
        <w:t xml:space="preserve"> (</w:t>
      </w:r>
      <w:r w:rsidRPr="00170E7B">
        <w:rPr>
          <w:rFonts w:cs="Arial" w:hint="cs"/>
          <w:rtl/>
        </w:rPr>
        <w:t>שלטי</w:t>
      </w:r>
      <w:r w:rsidRPr="00170E7B">
        <w:rPr>
          <w:rFonts w:cs="Arial"/>
          <w:rtl/>
        </w:rPr>
        <w:t xml:space="preserve"> </w:t>
      </w:r>
      <w:r w:rsidRPr="00170E7B">
        <w:rPr>
          <w:rFonts w:cs="Arial" w:hint="cs"/>
          <w:rtl/>
        </w:rPr>
        <w:t>הגבורים</w:t>
      </w:r>
      <w:r w:rsidRPr="00170E7B">
        <w:rPr>
          <w:rFonts w:cs="Arial"/>
          <w:rtl/>
        </w:rPr>
        <w:t xml:space="preserve"> </w:t>
      </w:r>
      <w:r w:rsidRPr="00170E7B">
        <w:rPr>
          <w:rFonts w:cs="Arial" w:hint="cs"/>
          <w:rtl/>
        </w:rPr>
        <w:t>על</w:t>
      </w:r>
      <w:r w:rsidRPr="00170E7B">
        <w:rPr>
          <w:rFonts w:cs="Arial"/>
          <w:rtl/>
        </w:rPr>
        <w:t xml:space="preserve"> </w:t>
      </w:r>
      <w:r w:rsidRPr="00170E7B">
        <w:rPr>
          <w:rFonts w:cs="Arial" w:hint="cs"/>
          <w:rtl/>
        </w:rPr>
        <w:t>המרדכי</w:t>
      </w:r>
      <w:r w:rsidRPr="00170E7B">
        <w:rPr>
          <w:rFonts w:cs="Arial"/>
          <w:rtl/>
        </w:rPr>
        <w:t xml:space="preserve"> </w:t>
      </w:r>
      <w:r w:rsidRPr="00170E7B">
        <w:rPr>
          <w:rFonts w:cs="Arial" w:hint="cs"/>
          <w:rtl/>
        </w:rPr>
        <w:t>דף</w:t>
      </w:r>
      <w:r w:rsidRPr="00170E7B">
        <w:rPr>
          <w:rFonts w:cs="Arial"/>
          <w:rtl/>
        </w:rPr>
        <w:t xml:space="preserve"> </w:t>
      </w:r>
      <w:r w:rsidRPr="00170E7B">
        <w:rPr>
          <w:rFonts w:cs="Arial" w:hint="cs"/>
          <w:rtl/>
        </w:rPr>
        <w:t>עא</w:t>
      </w:r>
      <w:r w:rsidRPr="00170E7B">
        <w:rPr>
          <w:rFonts w:cs="Arial"/>
          <w:rtl/>
        </w:rPr>
        <w:t xml:space="preserve"> </w:t>
      </w:r>
      <w:r w:rsidRPr="00170E7B">
        <w:rPr>
          <w:rFonts w:cs="Arial" w:hint="cs"/>
          <w:rtl/>
        </w:rPr>
        <w:t>ב</w:t>
      </w:r>
      <w:r w:rsidRPr="00170E7B">
        <w:rPr>
          <w:rFonts w:cs="Arial"/>
          <w:rtl/>
        </w:rPr>
        <w:t xml:space="preserve">) </w:t>
      </w:r>
      <w:r w:rsidRPr="00170E7B">
        <w:rPr>
          <w:rFonts w:cs="Arial" w:hint="cs"/>
          <w:rtl/>
        </w:rPr>
        <w:t>כתב</w:t>
      </w:r>
      <w:r w:rsidRPr="00170E7B">
        <w:rPr>
          <w:rFonts w:cs="Arial"/>
          <w:rtl/>
        </w:rPr>
        <w:t xml:space="preserve"> </w:t>
      </w:r>
      <w:r w:rsidRPr="00170E7B">
        <w:rPr>
          <w:rFonts w:cs="Arial" w:hint="cs"/>
          <w:rtl/>
        </w:rPr>
        <w:t>דמצוה</w:t>
      </w:r>
      <w:r w:rsidRPr="00170E7B">
        <w:rPr>
          <w:rFonts w:cs="Arial"/>
          <w:rtl/>
        </w:rPr>
        <w:t xml:space="preserve"> </w:t>
      </w:r>
      <w:r w:rsidRPr="00170E7B">
        <w:rPr>
          <w:rFonts w:cs="Arial" w:hint="cs"/>
          <w:rtl/>
        </w:rPr>
        <w:t>לרחוץ</w:t>
      </w:r>
      <w:r w:rsidRPr="00170E7B">
        <w:rPr>
          <w:rFonts w:cs="Arial"/>
          <w:rtl/>
        </w:rPr>
        <w:t xml:space="preserve"> </w:t>
      </w:r>
      <w:r w:rsidRPr="00170E7B">
        <w:rPr>
          <w:rFonts w:cs="Arial" w:hint="cs"/>
          <w:rtl/>
        </w:rPr>
        <w:t>בערב</w:t>
      </w:r>
      <w:r w:rsidRPr="00170E7B">
        <w:rPr>
          <w:rFonts w:cs="Arial"/>
          <w:rtl/>
        </w:rPr>
        <w:t xml:space="preserve"> </w:t>
      </w:r>
      <w:r w:rsidRPr="00170E7B">
        <w:rPr>
          <w:rFonts w:cs="Arial" w:hint="cs"/>
          <w:rtl/>
        </w:rPr>
        <w:t>שבת</w:t>
      </w:r>
      <w:r w:rsidRPr="00170E7B">
        <w:rPr>
          <w:rFonts w:cs="Arial"/>
          <w:rtl/>
        </w:rPr>
        <w:t xml:space="preserve"> </w:t>
      </w:r>
      <w:r w:rsidRPr="00170E7B">
        <w:rPr>
          <w:rFonts w:cs="Arial" w:hint="cs"/>
          <w:rtl/>
        </w:rPr>
        <w:t>וללבוש</w:t>
      </w:r>
      <w:r w:rsidRPr="00170E7B">
        <w:rPr>
          <w:rFonts w:cs="Arial"/>
          <w:rtl/>
        </w:rPr>
        <w:t xml:space="preserve"> </w:t>
      </w:r>
      <w:r w:rsidRPr="00170E7B">
        <w:rPr>
          <w:rFonts w:cs="Arial" w:hint="cs"/>
          <w:rtl/>
        </w:rPr>
        <w:t>בגדי</w:t>
      </w:r>
      <w:r w:rsidRPr="00170E7B">
        <w:rPr>
          <w:rFonts w:cs="Arial"/>
          <w:rtl/>
        </w:rPr>
        <w:t xml:space="preserve"> </w:t>
      </w:r>
      <w:r w:rsidRPr="00170E7B">
        <w:rPr>
          <w:rFonts w:cs="Arial" w:hint="cs"/>
          <w:rtl/>
        </w:rPr>
        <w:t>שבת</w:t>
      </w:r>
      <w:r w:rsidRPr="00170E7B">
        <w:rPr>
          <w:rFonts w:cs="Arial"/>
          <w:rtl/>
        </w:rPr>
        <w:t xml:space="preserve"> </w:t>
      </w:r>
      <w:r w:rsidRPr="00170E7B">
        <w:rPr>
          <w:rFonts w:cs="Arial" w:hint="cs"/>
          <w:rtl/>
        </w:rPr>
        <w:t>מיד</w:t>
      </w:r>
      <w:r w:rsidRPr="00170E7B">
        <w:rPr>
          <w:rFonts w:cs="Arial"/>
          <w:rtl/>
        </w:rPr>
        <w:t xml:space="preserve"> </w:t>
      </w:r>
      <w:r w:rsidRPr="00170E7B">
        <w:rPr>
          <w:rFonts w:cs="Arial" w:hint="cs"/>
          <w:rtl/>
        </w:rPr>
        <w:t>וכן</w:t>
      </w:r>
      <w:r w:rsidRPr="00170E7B">
        <w:rPr>
          <w:rFonts w:cs="Arial"/>
          <w:rtl/>
        </w:rPr>
        <w:t xml:space="preserve"> </w:t>
      </w:r>
      <w:r w:rsidRPr="00170E7B">
        <w:rPr>
          <w:rFonts w:cs="Arial" w:hint="cs"/>
          <w:rtl/>
        </w:rPr>
        <w:t>ביום</w:t>
      </w:r>
      <w:r w:rsidRPr="00170E7B">
        <w:rPr>
          <w:rFonts w:cs="Arial"/>
          <w:rtl/>
        </w:rPr>
        <w:t xml:space="preserve"> </w:t>
      </w:r>
      <w:r w:rsidRPr="00170E7B">
        <w:rPr>
          <w:rFonts w:cs="Arial" w:hint="cs"/>
          <w:rtl/>
        </w:rPr>
        <w:t>טוב</w:t>
      </w:r>
      <w:r w:rsidRPr="00170E7B">
        <w:rPr>
          <w:rFonts w:cs="Arial"/>
          <w:rtl/>
        </w:rPr>
        <w:t xml:space="preserve"> </w:t>
      </w:r>
      <w:r w:rsidRPr="00170E7B">
        <w:rPr>
          <w:rFonts w:cs="Arial" w:hint="cs"/>
          <w:rtl/>
        </w:rPr>
        <w:t>אבל</w:t>
      </w:r>
      <w:r w:rsidRPr="00170E7B">
        <w:rPr>
          <w:rFonts w:cs="Arial"/>
          <w:rtl/>
        </w:rPr>
        <w:t xml:space="preserve"> </w:t>
      </w:r>
      <w:r w:rsidRPr="00170E7B">
        <w:rPr>
          <w:rFonts w:cs="Arial" w:hint="cs"/>
          <w:rtl/>
        </w:rPr>
        <w:t>ביום</w:t>
      </w:r>
      <w:r w:rsidRPr="00170E7B">
        <w:rPr>
          <w:rFonts w:cs="Arial"/>
          <w:rtl/>
        </w:rPr>
        <w:t xml:space="preserve"> </w:t>
      </w:r>
      <w:r w:rsidRPr="00170E7B">
        <w:rPr>
          <w:rFonts w:cs="Arial" w:hint="cs"/>
          <w:rtl/>
        </w:rPr>
        <w:t>חמישי</w:t>
      </w:r>
      <w:r w:rsidRPr="00170E7B">
        <w:rPr>
          <w:rFonts w:cs="Arial"/>
          <w:rtl/>
        </w:rPr>
        <w:t xml:space="preserve"> </w:t>
      </w:r>
      <w:r w:rsidRPr="00170E7B">
        <w:rPr>
          <w:rFonts w:cs="Arial" w:hint="cs"/>
          <w:rtl/>
        </w:rPr>
        <w:t>לא</w:t>
      </w:r>
      <w:r w:rsidRPr="00170E7B">
        <w:rPr>
          <w:rFonts w:cs="Arial"/>
          <w:rtl/>
        </w:rPr>
        <w:t xml:space="preserve"> </w:t>
      </w:r>
      <w:r w:rsidRPr="00170E7B">
        <w:rPr>
          <w:rFonts w:cs="Arial" w:hint="cs"/>
          <w:rtl/>
        </w:rPr>
        <w:t>הוה</w:t>
      </w:r>
      <w:r w:rsidRPr="00170E7B">
        <w:rPr>
          <w:rFonts w:cs="Arial"/>
          <w:rtl/>
        </w:rPr>
        <w:t xml:space="preserve"> </w:t>
      </w:r>
      <w:r w:rsidRPr="00170E7B">
        <w:rPr>
          <w:rFonts w:cs="Arial" w:hint="cs"/>
          <w:rtl/>
        </w:rPr>
        <w:t>יקרא</w:t>
      </w:r>
      <w:r w:rsidRPr="00170E7B">
        <w:rPr>
          <w:rFonts w:cs="Arial"/>
          <w:rtl/>
        </w:rPr>
        <w:t xml:space="preserve"> </w:t>
      </w:r>
      <w:r w:rsidRPr="00170E7B">
        <w:rPr>
          <w:rFonts w:cs="Arial" w:hint="cs"/>
          <w:rtl/>
        </w:rPr>
        <w:t>דשבת</w:t>
      </w:r>
      <w:r w:rsidRPr="00170E7B">
        <w:rPr>
          <w:rFonts w:cs="Arial"/>
          <w:rtl/>
        </w:rPr>
        <w:t xml:space="preserve"> </w:t>
      </w:r>
      <w:r w:rsidRPr="00170E7B">
        <w:rPr>
          <w:rFonts w:cs="Arial" w:hint="cs"/>
          <w:rtl/>
        </w:rPr>
        <w:t>אלא</w:t>
      </w:r>
      <w:r w:rsidRPr="00170E7B">
        <w:rPr>
          <w:rFonts w:cs="Arial"/>
          <w:rtl/>
        </w:rPr>
        <w:t xml:space="preserve"> </w:t>
      </w:r>
      <w:r w:rsidRPr="00170E7B">
        <w:rPr>
          <w:rFonts w:cs="Arial" w:hint="cs"/>
          <w:rtl/>
        </w:rPr>
        <w:t>אם</w:t>
      </w:r>
      <w:r w:rsidRPr="00170E7B">
        <w:rPr>
          <w:rFonts w:cs="Arial"/>
          <w:rtl/>
        </w:rPr>
        <w:t xml:space="preserve"> </w:t>
      </w:r>
      <w:r w:rsidRPr="00170E7B">
        <w:rPr>
          <w:rFonts w:cs="Arial" w:hint="cs"/>
          <w:rtl/>
        </w:rPr>
        <w:t>כן</w:t>
      </w:r>
      <w:r w:rsidRPr="00170E7B">
        <w:rPr>
          <w:rFonts w:cs="Arial"/>
          <w:rtl/>
        </w:rPr>
        <w:t xml:space="preserve"> </w:t>
      </w:r>
      <w:r w:rsidRPr="00170E7B">
        <w:rPr>
          <w:rFonts w:cs="Arial" w:hint="cs"/>
          <w:rtl/>
        </w:rPr>
        <w:t>אי</w:t>
      </w:r>
      <w:r w:rsidRPr="00170E7B">
        <w:rPr>
          <w:rFonts w:cs="Arial"/>
          <w:rtl/>
        </w:rPr>
        <w:t xml:space="preserve"> </w:t>
      </w:r>
      <w:r w:rsidRPr="00170E7B">
        <w:rPr>
          <w:rFonts w:cs="Arial" w:hint="cs"/>
          <w:rtl/>
        </w:rPr>
        <w:t>אפשר</w:t>
      </w:r>
      <w:r w:rsidRPr="00170E7B">
        <w:rPr>
          <w:rFonts w:cs="Arial"/>
          <w:rtl/>
        </w:rPr>
        <w:t xml:space="preserve"> </w:t>
      </w:r>
      <w:r w:rsidRPr="00170E7B">
        <w:rPr>
          <w:rFonts w:cs="Arial" w:hint="cs"/>
          <w:rtl/>
        </w:rPr>
        <w:t>לחוף</w:t>
      </w:r>
      <w:r w:rsidRPr="00170E7B">
        <w:rPr>
          <w:rFonts w:cs="Arial"/>
          <w:rtl/>
        </w:rPr>
        <w:t xml:space="preserve"> </w:t>
      </w:r>
      <w:r w:rsidRPr="00170E7B">
        <w:rPr>
          <w:rFonts w:cs="Arial" w:hint="cs"/>
          <w:rtl/>
        </w:rPr>
        <w:t>בערב</w:t>
      </w:r>
      <w:r w:rsidRPr="00170E7B">
        <w:rPr>
          <w:rFonts w:cs="Arial"/>
          <w:rtl/>
        </w:rPr>
        <w:t xml:space="preserve"> </w:t>
      </w:r>
      <w:r w:rsidRPr="00170E7B">
        <w:rPr>
          <w:rFonts w:cs="Arial" w:hint="cs"/>
          <w:rtl/>
        </w:rPr>
        <w:t>שבת</w:t>
      </w:r>
      <w:r w:rsidRPr="00170E7B">
        <w:rPr>
          <w:rFonts w:cs="Arial"/>
          <w:rtl/>
        </w:rPr>
        <w:t xml:space="preserve">: </w:t>
      </w:r>
      <w:r w:rsidRPr="00170E7B">
        <w:rPr>
          <w:rFonts w:cs="Arial" w:hint="cs"/>
          <w:rtl/>
        </w:rPr>
        <w:t>כתב</w:t>
      </w:r>
      <w:r w:rsidRPr="00170E7B">
        <w:rPr>
          <w:rFonts w:cs="Arial"/>
          <w:rtl/>
        </w:rPr>
        <w:t xml:space="preserve"> </w:t>
      </w:r>
      <w:r w:rsidRPr="00170E7B">
        <w:rPr>
          <w:rFonts w:cs="Arial" w:hint="cs"/>
          <w:rtl/>
        </w:rPr>
        <w:t>באור</w:t>
      </w:r>
      <w:r w:rsidRPr="00170E7B">
        <w:rPr>
          <w:rFonts w:cs="Arial"/>
          <w:rtl/>
        </w:rPr>
        <w:t xml:space="preserve"> </w:t>
      </w:r>
      <w:r w:rsidRPr="00170E7B">
        <w:rPr>
          <w:rFonts w:cs="Arial" w:hint="cs"/>
          <w:rtl/>
        </w:rPr>
        <w:t>זרוע</w:t>
      </w:r>
      <w:r w:rsidRPr="00170E7B">
        <w:rPr>
          <w:rFonts w:cs="Arial"/>
          <w:rtl/>
        </w:rPr>
        <w:t xml:space="preserve"> </w:t>
      </w:r>
      <w:r w:rsidRPr="00170E7B">
        <w:rPr>
          <w:rFonts w:cs="Arial" w:hint="cs"/>
          <w:rtl/>
        </w:rPr>
        <w:t>פרק</w:t>
      </w:r>
      <w:r w:rsidRPr="00170E7B">
        <w:rPr>
          <w:rFonts w:cs="Arial"/>
          <w:rtl/>
        </w:rPr>
        <w:t xml:space="preserve"> </w:t>
      </w:r>
      <w:r w:rsidRPr="00170E7B">
        <w:rPr>
          <w:rFonts w:cs="Arial" w:hint="cs"/>
          <w:rtl/>
        </w:rPr>
        <w:t>אלו</w:t>
      </w:r>
      <w:r w:rsidRPr="00170E7B">
        <w:rPr>
          <w:rFonts w:cs="Arial"/>
          <w:rtl/>
        </w:rPr>
        <w:t xml:space="preserve"> </w:t>
      </w:r>
      <w:r w:rsidRPr="00170E7B">
        <w:rPr>
          <w:rFonts w:cs="Arial" w:hint="cs"/>
          <w:rtl/>
        </w:rPr>
        <w:t>מגלחין</w:t>
      </w:r>
      <w:r w:rsidRPr="00170E7B">
        <w:rPr>
          <w:rFonts w:cs="Arial"/>
          <w:rtl/>
        </w:rPr>
        <w:t xml:space="preserve"> </w:t>
      </w:r>
      <w:r w:rsidRPr="00170E7B">
        <w:rPr>
          <w:rFonts w:cs="Arial" w:hint="cs"/>
          <w:rtl/>
        </w:rPr>
        <w:t>דמצוה</w:t>
      </w:r>
      <w:r w:rsidRPr="00170E7B">
        <w:rPr>
          <w:rFonts w:cs="Arial"/>
          <w:rtl/>
        </w:rPr>
        <w:t xml:space="preserve"> </w:t>
      </w:r>
      <w:r w:rsidRPr="00170E7B">
        <w:rPr>
          <w:rFonts w:cs="Arial" w:hint="cs"/>
          <w:rtl/>
        </w:rPr>
        <w:t>על</w:t>
      </w:r>
      <w:r w:rsidRPr="00170E7B">
        <w:rPr>
          <w:rFonts w:cs="Arial"/>
          <w:rtl/>
        </w:rPr>
        <w:t xml:space="preserve"> </w:t>
      </w:r>
      <w:r w:rsidRPr="00170E7B">
        <w:rPr>
          <w:rFonts w:cs="Arial" w:hint="cs"/>
          <w:rtl/>
        </w:rPr>
        <w:t>האדם</w:t>
      </w:r>
      <w:r w:rsidRPr="00170E7B">
        <w:rPr>
          <w:rFonts w:cs="Arial"/>
          <w:rtl/>
        </w:rPr>
        <w:t xml:space="preserve"> </w:t>
      </w:r>
      <w:r w:rsidRPr="00170E7B">
        <w:rPr>
          <w:rFonts w:cs="Arial" w:hint="cs"/>
          <w:rtl/>
        </w:rPr>
        <w:t>שהוא</w:t>
      </w:r>
      <w:r w:rsidRPr="00170E7B">
        <w:rPr>
          <w:rFonts w:cs="Arial"/>
          <w:rtl/>
        </w:rPr>
        <w:t xml:space="preserve"> </w:t>
      </w:r>
      <w:r w:rsidRPr="00170E7B">
        <w:rPr>
          <w:rFonts w:cs="Arial" w:hint="cs"/>
          <w:rtl/>
        </w:rPr>
        <w:t>מגודל</w:t>
      </w:r>
      <w:r w:rsidRPr="00170E7B">
        <w:rPr>
          <w:rFonts w:cs="Arial"/>
          <w:rtl/>
        </w:rPr>
        <w:t xml:space="preserve"> </w:t>
      </w:r>
      <w:r w:rsidRPr="00170E7B">
        <w:rPr>
          <w:rFonts w:cs="Arial" w:hint="cs"/>
          <w:rtl/>
        </w:rPr>
        <w:t>שער</w:t>
      </w:r>
      <w:r w:rsidRPr="00170E7B">
        <w:rPr>
          <w:rFonts w:cs="Arial"/>
          <w:rtl/>
        </w:rPr>
        <w:t xml:space="preserve"> </w:t>
      </w:r>
      <w:r w:rsidRPr="00170E7B">
        <w:rPr>
          <w:rFonts w:cs="Arial" w:hint="cs"/>
          <w:rtl/>
        </w:rPr>
        <w:t>לגלח</w:t>
      </w:r>
      <w:r w:rsidRPr="00170E7B">
        <w:rPr>
          <w:rFonts w:cs="Arial"/>
          <w:rtl/>
        </w:rPr>
        <w:t xml:space="preserve"> </w:t>
      </w:r>
      <w:r w:rsidRPr="00170E7B">
        <w:rPr>
          <w:rFonts w:cs="Arial" w:hint="cs"/>
          <w:rtl/>
        </w:rPr>
        <w:t>עצמו</w:t>
      </w:r>
      <w:r w:rsidRPr="00170E7B">
        <w:rPr>
          <w:rFonts w:cs="Arial"/>
          <w:rtl/>
        </w:rPr>
        <w:t xml:space="preserve"> </w:t>
      </w:r>
      <w:r w:rsidRPr="00170E7B">
        <w:rPr>
          <w:rFonts w:cs="Arial" w:hint="cs"/>
          <w:rtl/>
        </w:rPr>
        <w:t>לשבת</w:t>
      </w:r>
      <w:r w:rsidRPr="00170E7B">
        <w:rPr>
          <w:rFonts w:cs="Arial"/>
          <w:rtl/>
        </w:rPr>
        <w:t xml:space="preserve"> </w:t>
      </w:r>
      <w:r w:rsidRPr="00170E7B">
        <w:rPr>
          <w:rFonts w:cs="Arial" w:hint="cs"/>
          <w:rtl/>
        </w:rPr>
        <w:t>או</w:t>
      </w:r>
      <w:r w:rsidRPr="00170E7B">
        <w:rPr>
          <w:rFonts w:cs="Arial"/>
          <w:rtl/>
        </w:rPr>
        <w:t xml:space="preserve"> </w:t>
      </w:r>
      <w:r w:rsidRPr="00170E7B">
        <w:rPr>
          <w:rFonts w:cs="Arial" w:hint="cs"/>
          <w:rtl/>
        </w:rPr>
        <w:t>ליום</w:t>
      </w:r>
      <w:r w:rsidRPr="00170E7B">
        <w:rPr>
          <w:rFonts w:cs="Arial"/>
          <w:rtl/>
        </w:rPr>
        <w:t xml:space="preserve"> </w:t>
      </w:r>
      <w:r w:rsidRPr="00170E7B">
        <w:rPr>
          <w:rFonts w:cs="Arial" w:hint="cs"/>
          <w:rtl/>
        </w:rPr>
        <w:t>טוב</w:t>
      </w:r>
      <w:r w:rsidRPr="00170E7B">
        <w:rPr>
          <w:rFonts w:cs="Arial"/>
          <w:rtl/>
        </w:rPr>
        <w:t xml:space="preserve"> </w:t>
      </w:r>
      <w:r w:rsidRPr="00170E7B">
        <w:rPr>
          <w:rFonts w:cs="Arial" w:hint="cs"/>
          <w:rtl/>
        </w:rPr>
        <w:t>דהא</w:t>
      </w:r>
      <w:r w:rsidRPr="00170E7B">
        <w:rPr>
          <w:rFonts w:cs="Arial"/>
          <w:rtl/>
        </w:rPr>
        <w:t xml:space="preserve"> </w:t>
      </w:r>
      <w:r w:rsidRPr="00170E7B">
        <w:rPr>
          <w:rFonts w:cs="Arial" w:hint="cs"/>
          <w:rtl/>
        </w:rPr>
        <w:t>אסרו</w:t>
      </w:r>
      <w:r w:rsidRPr="00170E7B">
        <w:rPr>
          <w:rFonts w:cs="Arial"/>
          <w:rtl/>
        </w:rPr>
        <w:t xml:space="preserve"> </w:t>
      </w:r>
      <w:r w:rsidRPr="00170E7B">
        <w:rPr>
          <w:rFonts w:cs="Arial" w:hint="cs"/>
          <w:rtl/>
        </w:rPr>
        <w:t>לגלח</w:t>
      </w:r>
      <w:r w:rsidRPr="00170E7B">
        <w:rPr>
          <w:rFonts w:cs="Arial"/>
          <w:rtl/>
        </w:rPr>
        <w:t xml:space="preserve"> </w:t>
      </w:r>
      <w:r w:rsidRPr="00170E7B">
        <w:rPr>
          <w:rFonts w:cs="Arial" w:hint="cs"/>
          <w:rtl/>
        </w:rPr>
        <w:t>במועד</w:t>
      </w:r>
      <w:r w:rsidRPr="00170E7B">
        <w:rPr>
          <w:rFonts w:cs="Arial"/>
          <w:rtl/>
        </w:rPr>
        <w:t xml:space="preserve"> </w:t>
      </w:r>
      <w:r w:rsidRPr="00170E7B">
        <w:rPr>
          <w:rFonts w:cs="Arial" w:hint="cs"/>
          <w:rtl/>
        </w:rPr>
        <w:t>כדי</w:t>
      </w:r>
      <w:r w:rsidRPr="00170E7B">
        <w:rPr>
          <w:rFonts w:cs="Arial"/>
          <w:rtl/>
        </w:rPr>
        <w:t xml:space="preserve"> </w:t>
      </w:r>
      <w:r w:rsidRPr="00170E7B">
        <w:rPr>
          <w:rFonts w:cs="Arial" w:hint="cs"/>
          <w:rtl/>
        </w:rPr>
        <w:t>שלא</w:t>
      </w:r>
      <w:r w:rsidRPr="00170E7B">
        <w:rPr>
          <w:rFonts w:cs="Arial"/>
          <w:rtl/>
        </w:rPr>
        <w:t xml:space="preserve"> </w:t>
      </w:r>
      <w:r w:rsidRPr="00170E7B">
        <w:rPr>
          <w:rFonts w:cs="Arial" w:hint="cs"/>
          <w:rtl/>
        </w:rPr>
        <w:t>יהא</w:t>
      </w:r>
      <w:r w:rsidRPr="00170E7B">
        <w:rPr>
          <w:rFonts w:cs="Arial"/>
          <w:rtl/>
        </w:rPr>
        <w:t xml:space="preserve"> </w:t>
      </w:r>
      <w:r w:rsidRPr="00170E7B">
        <w:rPr>
          <w:rFonts w:cs="Arial" w:hint="cs"/>
          <w:rtl/>
        </w:rPr>
        <w:t>מנוול</w:t>
      </w:r>
      <w:r w:rsidRPr="00170E7B">
        <w:rPr>
          <w:rFonts w:cs="Arial"/>
          <w:rtl/>
        </w:rPr>
        <w:t xml:space="preserve"> </w:t>
      </w:r>
      <w:r w:rsidRPr="00170E7B">
        <w:rPr>
          <w:rFonts w:cs="Arial" w:hint="cs"/>
          <w:rtl/>
        </w:rPr>
        <w:t>במועד</w:t>
      </w:r>
      <w:r w:rsidRPr="00170E7B">
        <w:rPr>
          <w:rFonts w:cs="Arial"/>
          <w:rtl/>
        </w:rPr>
        <w:t xml:space="preserve"> (</w:t>
      </w:r>
      <w:r w:rsidRPr="00170E7B">
        <w:rPr>
          <w:rFonts w:cs="Arial" w:hint="cs"/>
          <w:rtl/>
        </w:rPr>
        <w:t>מו</w:t>
      </w:r>
      <w:r w:rsidRPr="00170E7B">
        <w:rPr>
          <w:rFonts w:cs="Arial"/>
          <w:rtl/>
        </w:rPr>
        <w:t>"</w:t>
      </w:r>
      <w:r w:rsidRPr="00170E7B">
        <w:rPr>
          <w:rFonts w:cs="Arial" w:hint="cs"/>
          <w:rtl/>
        </w:rPr>
        <w:t>ק</w:t>
      </w:r>
      <w:r w:rsidRPr="00170E7B">
        <w:rPr>
          <w:rFonts w:cs="Arial"/>
          <w:rtl/>
        </w:rPr>
        <w:t xml:space="preserve"> </w:t>
      </w:r>
      <w:r w:rsidRPr="00170E7B">
        <w:rPr>
          <w:rFonts w:cs="Arial" w:hint="cs"/>
          <w:rtl/>
        </w:rPr>
        <w:t>יד</w:t>
      </w:r>
      <w:r w:rsidRPr="00170E7B">
        <w:rPr>
          <w:rFonts w:cs="Arial"/>
          <w:rtl/>
        </w:rPr>
        <w:t xml:space="preserve"> </w:t>
      </w:r>
      <w:r w:rsidRPr="00170E7B">
        <w:rPr>
          <w:rFonts w:cs="Arial" w:hint="cs"/>
          <w:rtl/>
        </w:rPr>
        <w:t>א</w:t>
      </w:r>
      <w:r w:rsidRPr="00170E7B">
        <w:rPr>
          <w:rFonts w:cs="Arial"/>
          <w:rtl/>
        </w:rPr>
        <w:t>):</w:t>
      </w:r>
    </w:p>
  </w:footnote>
  <w:footnote w:id="578">
    <w:p w14:paraId="4B8E13D2" w14:textId="77777777" w:rsidR="004B2E7C" w:rsidRDefault="004B2E7C" w:rsidP="00285819">
      <w:pPr>
        <w:pStyle w:val="a7"/>
      </w:pPr>
      <w:r>
        <w:rPr>
          <w:rStyle w:val="a9"/>
        </w:rPr>
        <w:footnoteRef/>
      </w:r>
      <w:r>
        <w:rPr>
          <w:rtl/>
        </w:rPr>
        <w:t xml:space="preserve"> </w:t>
      </w:r>
      <w:r w:rsidRPr="00170E7B">
        <w:rPr>
          <w:rFonts w:cs="Arial" w:hint="cs"/>
          <w:rtl/>
        </w:rPr>
        <w:t>ועיין</w:t>
      </w:r>
      <w:r w:rsidRPr="00170E7B">
        <w:rPr>
          <w:rFonts w:cs="Arial"/>
          <w:rtl/>
        </w:rPr>
        <w:t xml:space="preserve"> </w:t>
      </w:r>
      <w:r w:rsidRPr="00170E7B">
        <w:rPr>
          <w:rFonts w:cs="Arial" w:hint="cs"/>
          <w:rtl/>
        </w:rPr>
        <w:t>לעיל</w:t>
      </w:r>
      <w:r w:rsidRPr="00170E7B">
        <w:rPr>
          <w:rFonts w:cs="Arial"/>
          <w:rtl/>
        </w:rPr>
        <w:t xml:space="preserve"> (</w:t>
      </w:r>
      <w:r w:rsidRPr="00170E7B">
        <w:rPr>
          <w:rFonts w:cs="Arial" w:hint="cs"/>
          <w:rtl/>
        </w:rPr>
        <w:t>סוף</w:t>
      </w:r>
      <w:r w:rsidRPr="00170E7B">
        <w:rPr>
          <w:rFonts w:cs="Arial"/>
          <w:rtl/>
        </w:rPr>
        <w:t xml:space="preserve">) </w:t>
      </w:r>
      <w:r w:rsidRPr="00170E7B">
        <w:rPr>
          <w:rFonts w:cs="Arial" w:hint="cs"/>
          <w:rtl/>
        </w:rPr>
        <w:t>סימן</w:t>
      </w:r>
      <w:r w:rsidRPr="00170E7B">
        <w:rPr>
          <w:rFonts w:cs="Arial"/>
          <w:rtl/>
        </w:rPr>
        <w:t xml:space="preserve"> </w:t>
      </w:r>
      <w:r w:rsidRPr="00170E7B">
        <w:rPr>
          <w:rFonts w:cs="Arial" w:hint="cs"/>
          <w:rtl/>
        </w:rPr>
        <w:t>רמ</w:t>
      </w:r>
      <w:r w:rsidRPr="00170E7B">
        <w:rPr>
          <w:rFonts w:cs="Arial"/>
          <w:rtl/>
        </w:rPr>
        <w:t>"</w:t>
      </w:r>
      <w:r w:rsidRPr="00170E7B">
        <w:rPr>
          <w:rFonts w:cs="Arial" w:hint="cs"/>
          <w:rtl/>
        </w:rPr>
        <w:t>א</w:t>
      </w:r>
      <w:r w:rsidRPr="00170E7B">
        <w:rPr>
          <w:rFonts w:cs="Arial"/>
          <w:rtl/>
        </w:rPr>
        <w:t xml:space="preserve"> </w:t>
      </w:r>
      <w:r w:rsidRPr="00170E7B">
        <w:rPr>
          <w:rFonts w:cs="Arial" w:hint="cs"/>
          <w:rtl/>
        </w:rPr>
        <w:t>דין</w:t>
      </w:r>
      <w:r w:rsidRPr="00170E7B">
        <w:rPr>
          <w:rFonts w:cs="Arial"/>
          <w:rtl/>
        </w:rPr>
        <w:t xml:space="preserve"> </w:t>
      </w:r>
      <w:r w:rsidRPr="00170E7B">
        <w:rPr>
          <w:rFonts w:cs="Arial" w:hint="cs"/>
          <w:rtl/>
        </w:rPr>
        <w:t>נטילתן</w:t>
      </w:r>
      <w:r>
        <w:rPr>
          <w:rFonts w:cs="Arial" w:hint="cs"/>
          <w:rtl/>
        </w:rPr>
        <w:t>, דרכ"מ (אות ב).</w:t>
      </w:r>
    </w:p>
  </w:footnote>
  <w:footnote w:id="579">
    <w:p w14:paraId="249B4C63" w14:textId="77777777" w:rsidR="004B2E7C" w:rsidRDefault="004B2E7C" w:rsidP="00285819">
      <w:pPr>
        <w:pStyle w:val="a7"/>
      </w:pPr>
      <w:r>
        <w:rPr>
          <w:rStyle w:val="a9"/>
        </w:rPr>
        <w:footnoteRef/>
      </w:r>
      <w:r>
        <w:rPr>
          <w:rtl/>
        </w:rPr>
        <w:t xml:space="preserve"> </w:t>
      </w:r>
      <w:r w:rsidRPr="00CF1885">
        <w:rPr>
          <w:rFonts w:cs="Arial" w:hint="cs"/>
          <w:rtl/>
        </w:rPr>
        <w:t>וה</w:t>
      </w:r>
      <w:r w:rsidRPr="00CF1885">
        <w:rPr>
          <w:rFonts w:cs="Arial"/>
          <w:rtl/>
        </w:rPr>
        <w:t>"</w:t>
      </w:r>
      <w:r w:rsidRPr="00CF1885">
        <w:rPr>
          <w:rFonts w:cs="Arial" w:hint="cs"/>
          <w:rtl/>
        </w:rPr>
        <w:t>ה</w:t>
      </w:r>
      <w:r w:rsidRPr="00CF1885">
        <w:rPr>
          <w:rFonts w:cs="Arial"/>
          <w:rtl/>
        </w:rPr>
        <w:t xml:space="preserve"> </w:t>
      </w:r>
      <w:r w:rsidRPr="00CF1885">
        <w:rPr>
          <w:rFonts w:cs="Arial" w:hint="cs"/>
          <w:rtl/>
        </w:rPr>
        <w:t>בכל</w:t>
      </w:r>
      <w:r w:rsidRPr="00CF1885">
        <w:rPr>
          <w:rFonts w:cs="Arial"/>
          <w:rtl/>
        </w:rPr>
        <w:t xml:space="preserve"> </w:t>
      </w:r>
      <w:r w:rsidRPr="00CF1885">
        <w:rPr>
          <w:rFonts w:cs="Arial" w:hint="cs"/>
          <w:rtl/>
        </w:rPr>
        <w:t>זה</w:t>
      </w:r>
      <w:r w:rsidRPr="00CF1885">
        <w:rPr>
          <w:rFonts w:cs="Arial"/>
          <w:rtl/>
        </w:rPr>
        <w:t xml:space="preserve"> </w:t>
      </w:r>
      <w:r w:rsidRPr="00CF1885">
        <w:rPr>
          <w:rFonts w:cs="Arial" w:hint="cs"/>
          <w:rtl/>
        </w:rPr>
        <w:t>בעיו</w:t>
      </w:r>
      <w:r w:rsidRPr="00CF1885">
        <w:rPr>
          <w:rFonts w:cs="Arial"/>
          <w:rtl/>
        </w:rPr>
        <w:t>"</w:t>
      </w:r>
      <w:r w:rsidRPr="00CF1885">
        <w:rPr>
          <w:rFonts w:cs="Arial" w:hint="cs"/>
          <w:rtl/>
        </w:rPr>
        <w:t>ט</w:t>
      </w:r>
      <w:r w:rsidRPr="00CF1885">
        <w:rPr>
          <w:rFonts w:cs="Arial"/>
          <w:rtl/>
        </w:rPr>
        <w:t xml:space="preserve"> </w:t>
      </w:r>
      <w:r w:rsidRPr="00CF1885">
        <w:rPr>
          <w:rFonts w:cs="Arial" w:hint="cs"/>
          <w:rtl/>
        </w:rPr>
        <w:t>אבל</w:t>
      </w:r>
      <w:r w:rsidRPr="00CF1885">
        <w:rPr>
          <w:rFonts w:cs="Arial"/>
          <w:rtl/>
        </w:rPr>
        <w:t xml:space="preserve"> </w:t>
      </w:r>
      <w:r w:rsidRPr="00CF1885">
        <w:rPr>
          <w:rFonts w:cs="Arial" w:hint="cs"/>
          <w:rtl/>
        </w:rPr>
        <w:t>ביום</w:t>
      </w:r>
      <w:r w:rsidRPr="00CF1885">
        <w:rPr>
          <w:rFonts w:cs="Arial"/>
          <w:rtl/>
        </w:rPr>
        <w:t xml:space="preserve"> </w:t>
      </w:r>
      <w:r w:rsidRPr="00CF1885">
        <w:rPr>
          <w:rFonts w:cs="Arial" w:hint="cs"/>
          <w:rtl/>
        </w:rPr>
        <w:t>ה</w:t>
      </w:r>
      <w:r w:rsidRPr="00CF1885">
        <w:rPr>
          <w:rFonts w:cs="Arial"/>
          <w:rtl/>
        </w:rPr>
        <w:t xml:space="preserve">' </w:t>
      </w:r>
      <w:r w:rsidRPr="00CF1885">
        <w:rPr>
          <w:rFonts w:cs="Arial" w:hint="cs"/>
          <w:rtl/>
        </w:rPr>
        <w:t>לא</w:t>
      </w:r>
      <w:r w:rsidRPr="00CF1885">
        <w:rPr>
          <w:rFonts w:cs="Arial"/>
          <w:rtl/>
        </w:rPr>
        <w:t xml:space="preserve"> </w:t>
      </w:r>
      <w:r w:rsidRPr="00CF1885">
        <w:rPr>
          <w:rFonts w:cs="Arial" w:hint="cs"/>
          <w:rtl/>
        </w:rPr>
        <w:t>הוי</w:t>
      </w:r>
      <w:r w:rsidRPr="00CF1885">
        <w:rPr>
          <w:rFonts w:cs="Arial"/>
          <w:rtl/>
        </w:rPr>
        <w:t xml:space="preserve"> </w:t>
      </w:r>
      <w:r w:rsidRPr="00CF1885">
        <w:rPr>
          <w:rFonts w:cs="Arial" w:hint="cs"/>
          <w:rtl/>
        </w:rPr>
        <w:t>יקריה</w:t>
      </w:r>
      <w:r w:rsidRPr="00CF1885">
        <w:rPr>
          <w:rFonts w:cs="Arial"/>
          <w:rtl/>
        </w:rPr>
        <w:t xml:space="preserve"> </w:t>
      </w:r>
      <w:r w:rsidRPr="00CF1885">
        <w:rPr>
          <w:rFonts w:cs="Arial" w:hint="cs"/>
          <w:rtl/>
        </w:rPr>
        <w:t>דשבת</w:t>
      </w:r>
      <w:r w:rsidRPr="00CF1885">
        <w:rPr>
          <w:rFonts w:cs="Arial"/>
          <w:rtl/>
        </w:rPr>
        <w:t xml:space="preserve"> </w:t>
      </w:r>
      <w:r w:rsidRPr="00CF1885">
        <w:rPr>
          <w:rFonts w:cs="Arial" w:hint="cs"/>
          <w:rtl/>
        </w:rPr>
        <w:t>אא</w:t>
      </w:r>
      <w:r w:rsidRPr="00CF1885">
        <w:rPr>
          <w:rFonts w:cs="Arial"/>
          <w:rtl/>
        </w:rPr>
        <w:t>"</w:t>
      </w:r>
      <w:r w:rsidRPr="00CF1885">
        <w:rPr>
          <w:rFonts w:cs="Arial" w:hint="cs"/>
          <w:rtl/>
        </w:rPr>
        <w:t>כ</w:t>
      </w:r>
      <w:r w:rsidRPr="00CF1885">
        <w:rPr>
          <w:rFonts w:cs="Arial"/>
          <w:rtl/>
        </w:rPr>
        <w:t xml:space="preserve"> </w:t>
      </w:r>
      <w:r w:rsidRPr="00CF1885">
        <w:rPr>
          <w:rFonts w:cs="Arial" w:hint="cs"/>
          <w:rtl/>
        </w:rPr>
        <w:t>אי</w:t>
      </w:r>
      <w:r w:rsidRPr="00CF1885">
        <w:rPr>
          <w:rFonts w:cs="Arial"/>
          <w:rtl/>
        </w:rPr>
        <w:t xml:space="preserve"> </w:t>
      </w:r>
      <w:r w:rsidRPr="00CF1885">
        <w:rPr>
          <w:rFonts w:cs="Arial" w:hint="cs"/>
          <w:rtl/>
        </w:rPr>
        <w:t>אפשר</w:t>
      </w:r>
      <w:r w:rsidRPr="00CF1885">
        <w:rPr>
          <w:rFonts w:cs="Arial"/>
          <w:rtl/>
        </w:rPr>
        <w:t xml:space="preserve"> </w:t>
      </w:r>
      <w:r w:rsidRPr="00CF1885">
        <w:rPr>
          <w:rFonts w:cs="Arial" w:hint="cs"/>
          <w:rtl/>
        </w:rPr>
        <w:t>לו</w:t>
      </w:r>
      <w:r w:rsidRPr="00CF1885">
        <w:rPr>
          <w:rFonts w:cs="Arial"/>
          <w:rtl/>
        </w:rPr>
        <w:t xml:space="preserve"> </w:t>
      </w:r>
      <w:r w:rsidRPr="00CF1885">
        <w:rPr>
          <w:rFonts w:cs="Arial" w:hint="cs"/>
          <w:rtl/>
        </w:rPr>
        <w:t>לרחוץ</w:t>
      </w:r>
      <w:r w:rsidRPr="00CF1885">
        <w:rPr>
          <w:rFonts w:cs="Arial"/>
          <w:rtl/>
        </w:rPr>
        <w:t xml:space="preserve"> </w:t>
      </w:r>
      <w:r w:rsidRPr="00CF1885">
        <w:rPr>
          <w:rFonts w:cs="Arial" w:hint="cs"/>
          <w:rtl/>
        </w:rPr>
        <w:t>בע</w:t>
      </w:r>
      <w:r w:rsidRPr="00CF1885">
        <w:rPr>
          <w:rFonts w:cs="Arial"/>
          <w:rtl/>
        </w:rPr>
        <w:t>"</w:t>
      </w:r>
      <w:r w:rsidRPr="00CF1885">
        <w:rPr>
          <w:rFonts w:cs="Arial" w:hint="cs"/>
          <w:rtl/>
        </w:rPr>
        <w:t>ש</w:t>
      </w:r>
      <w:r w:rsidRPr="00CF1885">
        <w:rPr>
          <w:rFonts w:cs="Arial"/>
          <w:rtl/>
        </w:rPr>
        <w:t xml:space="preserve"> </w:t>
      </w:r>
      <w:r w:rsidRPr="00CF1885">
        <w:rPr>
          <w:rFonts w:cs="Arial" w:hint="cs"/>
          <w:rtl/>
        </w:rPr>
        <w:t>אז</w:t>
      </w:r>
      <w:r w:rsidRPr="00CF1885">
        <w:rPr>
          <w:rFonts w:cs="Arial"/>
          <w:rtl/>
        </w:rPr>
        <w:t xml:space="preserve"> </w:t>
      </w:r>
      <w:r w:rsidRPr="00CF1885">
        <w:rPr>
          <w:rFonts w:cs="Arial" w:hint="cs"/>
          <w:rtl/>
        </w:rPr>
        <w:t>כל</w:t>
      </w:r>
      <w:r w:rsidRPr="00CF1885">
        <w:rPr>
          <w:rFonts w:cs="Arial"/>
          <w:rtl/>
        </w:rPr>
        <w:t xml:space="preserve"> </w:t>
      </w:r>
      <w:r w:rsidRPr="00CF1885">
        <w:rPr>
          <w:rFonts w:cs="Arial" w:hint="cs"/>
          <w:rtl/>
        </w:rPr>
        <w:t>כמה</w:t>
      </w:r>
      <w:r w:rsidRPr="00CF1885">
        <w:rPr>
          <w:rFonts w:cs="Arial"/>
          <w:rtl/>
        </w:rPr>
        <w:t xml:space="preserve"> </w:t>
      </w:r>
      <w:r w:rsidRPr="00CF1885">
        <w:rPr>
          <w:rFonts w:cs="Arial" w:hint="cs"/>
          <w:rtl/>
        </w:rPr>
        <w:t>דמקרב</w:t>
      </w:r>
      <w:r w:rsidRPr="00CF1885">
        <w:rPr>
          <w:rFonts w:cs="Arial"/>
          <w:rtl/>
        </w:rPr>
        <w:t xml:space="preserve"> </w:t>
      </w:r>
      <w:r w:rsidRPr="00CF1885">
        <w:rPr>
          <w:rFonts w:cs="Arial" w:hint="cs"/>
          <w:rtl/>
        </w:rPr>
        <w:t>לשבת</w:t>
      </w:r>
      <w:r w:rsidRPr="00CF1885">
        <w:rPr>
          <w:rFonts w:cs="Arial"/>
          <w:rtl/>
        </w:rPr>
        <w:t xml:space="preserve"> </w:t>
      </w:r>
      <w:r w:rsidRPr="00CF1885">
        <w:rPr>
          <w:rFonts w:cs="Arial" w:hint="cs"/>
          <w:rtl/>
        </w:rPr>
        <w:t>טפי</w:t>
      </w:r>
      <w:r w:rsidRPr="00CF1885">
        <w:rPr>
          <w:rFonts w:cs="Arial"/>
          <w:rtl/>
        </w:rPr>
        <w:t xml:space="preserve"> </w:t>
      </w:r>
      <w:r w:rsidRPr="00CF1885">
        <w:rPr>
          <w:rFonts w:cs="Arial" w:hint="cs"/>
          <w:rtl/>
        </w:rPr>
        <w:t>מעלי</w:t>
      </w:r>
      <w:r w:rsidRPr="00CF1885">
        <w:rPr>
          <w:rFonts w:cs="Arial"/>
          <w:rtl/>
        </w:rPr>
        <w:t xml:space="preserve"> </w:t>
      </w:r>
      <w:r w:rsidRPr="00CF1885">
        <w:rPr>
          <w:rFonts w:cs="Arial" w:hint="cs"/>
          <w:rtl/>
        </w:rPr>
        <w:t>וכן</w:t>
      </w:r>
      <w:r w:rsidRPr="00CF1885">
        <w:rPr>
          <w:rFonts w:cs="Arial"/>
          <w:rtl/>
        </w:rPr>
        <w:t xml:space="preserve"> </w:t>
      </w:r>
      <w:r w:rsidRPr="00CF1885">
        <w:rPr>
          <w:rFonts w:cs="Arial" w:hint="cs"/>
          <w:rtl/>
        </w:rPr>
        <w:t>לענין</w:t>
      </w:r>
      <w:r w:rsidRPr="00CF1885">
        <w:rPr>
          <w:rFonts w:cs="Arial"/>
          <w:rtl/>
        </w:rPr>
        <w:t xml:space="preserve"> </w:t>
      </w:r>
      <w:r w:rsidRPr="00CF1885">
        <w:rPr>
          <w:rFonts w:cs="Arial" w:hint="cs"/>
          <w:rtl/>
        </w:rPr>
        <w:t>להסתפר</w:t>
      </w:r>
      <w:r>
        <w:rPr>
          <w:rFonts w:cs="Arial" w:hint="cs"/>
          <w:rtl/>
        </w:rPr>
        <w:t>, משנ"ב (סק"ה).</w:t>
      </w:r>
    </w:p>
  </w:footnote>
  <w:footnote w:id="580">
    <w:p w14:paraId="74CE376C" w14:textId="77777777" w:rsidR="004B2E7C" w:rsidRDefault="004B2E7C" w:rsidP="00285819">
      <w:pPr>
        <w:pStyle w:val="a7"/>
        <w:rPr>
          <w:rtl/>
        </w:rPr>
      </w:pPr>
      <w:r>
        <w:rPr>
          <w:rStyle w:val="a9"/>
        </w:rPr>
        <w:footnoteRef/>
      </w:r>
      <w:r>
        <w:rPr>
          <w:rtl/>
        </w:rPr>
        <w:t xml:space="preserve"> </w:t>
      </w:r>
      <w:r w:rsidRPr="00CF1885">
        <w:rPr>
          <w:rFonts w:cs="Arial" w:hint="cs"/>
          <w:rtl/>
        </w:rPr>
        <w:t>וביום</w:t>
      </w:r>
      <w:r w:rsidRPr="00CF1885">
        <w:rPr>
          <w:rFonts w:cs="Arial"/>
          <w:rtl/>
        </w:rPr>
        <w:t xml:space="preserve"> </w:t>
      </w:r>
      <w:r w:rsidRPr="00CF1885">
        <w:rPr>
          <w:rFonts w:cs="Arial" w:hint="cs"/>
          <w:rtl/>
        </w:rPr>
        <w:t>ה</w:t>
      </w:r>
      <w:r w:rsidRPr="00CF1885">
        <w:rPr>
          <w:rFonts w:cs="Arial"/>
          <w:rtl/>
        </w:rPr>
        <w:t xml:space="preserve">' </w:t>
      </w:r>
      <w:r w:rsidRPr="00CF1885">
        <w:rPr>
          <w:rFonts w:cs="Arial" w:hint="cs"/>
          <w:rtl/>
        </w:rPr>
        <w:t>מקפידין</w:t>
      </w:r>
      <w:r w:rsidRPr="00CF1885">
        <w:rPr>
          <w:rFonts w:cs="Arial"/>
          <w:rtl/>
        </w:rPr>
        <w:t xml:space="preserve"> </w:t>
      </w:r>
      <w:r w:rsidRPr="00CF1885">
        <w:rPr>
          <w:rFonts w:cs="Arial" w:hint="cs"/>
          <w:rtl/>
        </w:rPr>
        <w:t>שלא</w:t>
      </w:r>
      <w:r w:rsidRPr="00CF1885">
        <w:rPr>
          <w:rFonts w:cs="Arial"/>
          <w:rtl/>
        </w:rPr>
        <w:t xml:space="preserve"> </w:t>
      </w:r>
      <w:r w:rsidRPr="00CF1885">
        <w:rPr>
          <w:rFonts w:cs="Arial" w:hint="cs"/>
          <w:rtl/>
        </w:rPr>
        <w:t>ליטלן</w:t>
      </w:r>
      <w:r w:rsidRPr="00CF1885">
        <w:rPr>
          <w:rFonts w:cs="Arial"/>
          <w:rtl/>
        </w:rPr>
        <w:t xml:space="preserve"> </w:t>
      </w:r>
      <w:r w:rsidRPr="00CF1885">
        <w:rPr>
          <w:rFonts w:cs="Arial" w:hint="cs"/>
          <w:rtl/>
        </w:rPr>
        <w:t>מפני</w:t>
      </w:r>
      <w:r w:rsidRPr="00CF1885">
        <w:rPr>
          <w:rFonts w:cs="Arial"/>
          <w:rtl/>
        </w:rPr>
        <w:t xml:space="preserve"> </w:t>
      </w:r>
      <w:r w:rsidRPr="00CF1885">
        <w:rPr>
          <w:rFonts w:cs="Arial" w:hint="cs"/>
          <w:rtl/>
        </w:rPr>
        <w:t>שהצפרנים</w:t>
      </w:r>
      <w:r w:rsidRPr="00CF1885">
        <w:rPr>
          <w:rFonts w:cs="Arial"/>
          <w:rtl/>
        </w:rPr>
        <w:t xml:space="preserve"> </w:t>
      </w:r>
      <w:r w:rsidRPr="00CF1885">
        <w:rPr>
          <w:rFonts w:cs="Arial" w:hint="cs"/>
          <w:rtl/>
        </w:rPr>
        <w:t>מתחילין</w:t>
      </w:r>
      <w:r w:rsidRPr="00CF1885">
        <w:rPr>
          <w:rFonts w:cs="Arial"/>
          <w:rtl/>
        </w:rPr>
        <w:t xml:space="preserve"> </w:t>
      </w:r>
      <w:r w:rsidRPr="00CF1885">
        <w:rPr>
          <w:rFonts w:cs="Arial" w:hint="cs"/>
          <w:rtl/>
        </w:rPr>
        <w:t>לחזור</w:t>
      </w:r>
      <w:r w:rsidRPr="00CF1885">
        <w:rPr>
          <w:rFonts w:cs="Arial"/>
          <w:rtl/>
        </w:rPr>
        <w:t xml:space="preserve"> </w:t>
      </w:r>
      <w:r w:rsidRPr="00CF1885">
        <w:rPr>
          <w:rFonts w:cs="Arial" w:hint="cs"/>
          <w:rtl/>
        </w:rPr>
        <w:t>ולצמוח</w:t>
      </w:r>
      <w:r w:rsidRPr="00CF1885">
        <w:rPr>
          <w:rFonts w:cs="Arial"/>
          <w:rtl/>
        </w:rPr>
        <w:t xml:space="preserve"> </w:t>
      </w:r>
      <w:r w:rsidRPr="00CF1885">
        <w:rPr>
          <w:rFonts w:cs="Arial" w:hint="cs"/>
          <w:rtl/>
        </w:rPr>
        <w:t>ביום</w:t>
      </w:r>
      <w:r w:rsidRPr="00CF1885">
        <w:rPr>
          <w:rFonts w:cs="Arial"/>
          <w:rtl/>
        </w:rPr>
        <w:t xml:space="preserve"> </w:t>
      </w:r>
      <w:r w:rsidRPr="00CF1885">
        <w:rPr>
          <w:rFonts w:cs="Arial" w:hint="cs"/>
          <w:rtl/>
        </w:rPr>
        <w:t>ג</w:t>
      </w:r>
      <w:r w:rsidRPr="00CF1885">
        <w:rPr>
          <w:rFonts w:cs="Arial"/>
          <w:rtl/>
        </w:rPr>
        <w:t xml:space="preserve">' </w:t>
      </w:r>
      <w:r w:rsidRPr="00CF1885">
        <w:rPr>
          <w:rFonts w:cs="Arial" w:hint="cs"/>
          <w:rtl/>
        </w:rPr>
        <w:t>לגלוחן</w:t>
      </w:r>
      <w:r w:rsidRPr="00CF1885">
        <w:rPr>
          <w:rFonts w:cs="Arial"/>
          <w:rtl/>
        </w:rPr>
        <w:t xml:space="preserve"> </w:t>
      </w:r>
      <w:r w:rsidRPr="00CF1885">
        <w:rPr>
          <w:rFonts w:cs="Arial" w:hint="cs"/>
          <w:rtl/>
        </w:rPr>
        <w:t>וא</w:t>
      </w:r>
      <w:r w:rsidRPr="00CF1885">
        <w:rPr>
          <w:rFonts w:cs="Arial"/>
          <w:rtl/>
        </w:rPr>
        <w:t>"</w:t>
      </w:r>
      <w:r w:rsidRPr="00CF1885">
        <w:rPr>
          <w:rFonts w:cs="Arial" w:hint="cs"/>
          <w:rtl/>
        </w:rPr>
        <w:t>כ</w:t>
      </w:r>
      <w:r w:rsidRPr="00CF1885">
        <w:rPr>
          <w:rFonts w:cs="Arial"/>
          <w:rtl/>
        </w:rPr>
        <w:t xml:space="preserve"> </w:t>
      </w:r>
      <w:r w:rsidRPr="00CF1885">
        <w:rPr>
          <w:rFonts w:cs="Arial" w:hint="cs"/>
          <w:rtl/>
        </w:rPr>
        <w:t>אין</w:t>
      </w:r>
      <w:r w:rsidRPr="00CF1885">
        <w:rPr>
          <w:rFonts w:cs="Arial"/>
          <w:rtl/>
        </w:rPr>
        <w:t xml:space="preserve"> </w:t>
      </w:r>
      <w:r w:rsidRPr="00CF1885">
        <w:rPr>
          <w:rFonts w:cs="Arial" w:hint="cs"/>
          <w:rtl/>
        </w:rPr>
        <w:t>זה</w:t>
      </w:r>
      <w:r w:rsidRPr="00CF1885">
        <w:rPr>
          <w:rFonts w:cs="Arial"/>
          <w:rtl/>
        </w:rPr>
        <w:t xml:space="preserve"> </w:t>
      </w:r>
      <w:r w:rsidRPr="00CF1885">
        <w:rPr>
          <w:rFonts w:cs="Arial" w:hint="cs"/>
          <w:rtl/>
        </w:rPr>
        <w:t>תיקון</w:t>
      </w:r>
      <w:r w:rsidRPr="00CF1885">
        <w:rPr>
          <w:rFonts w:cs="Arial"/>
          <w:rtl/>
        </w:rPr>
        <w:t xml:space="preserve"> </w:t>
      </w:r>
      <w:r w:rsidRPr="00CF1885">
        <w:rPr>
          <w:rFonts w:cs="Arial" w:hint="cs"/>
          <w:rtl/>
        </w:rPr>
        <w:t>כבוד</w:t>
      </w:r>
      <w:r w:rsidRPr="00CF1885">
        <w:rPr>
          <w:rFonts w:cs="Arial"/>
          <w:rtl/>
        </w:rPr>
        <w:t xml:space="preserve"> </w:t>
      </w:r>
      <w:r w:rsidRPr="00CF1885">
        <w:rPr>
          <w:rFonts w:cs="Arial" w:hint="cs"/>
          <w:rtl/>
        </w:rPr>
        <w:t>שבת</w:t>
      </w:r>
      <w:r w:rsidRPr="00CF1885">
        <w:rPr>
          <w:rFonts w:cs="Arial"/>
          <w:rtl/>
        </w:rPr>
        <w:t xml:space="preserve"> </w:t>
      </w:r>
      <w:r w:rsidRPr="00CF1885">
        <w:rPr>
          <w:rFonts w:cs="Arial" w:hint="cs"/>
          <w:rtl/>
        </w:rPr>
        <w:t>שחוזר</w:t>
      </w:r>
      <w:r w:rsidRPr="00CF1885">
        <w:rPr>
          <w:rFonts w:cs="Arial"/>
          <w:rtl/>
        </w:rPr>
        <w:t xml:space="preserve"> </w:t>
      </w:r>
      <w:r w:rsidRPr="00CF1885">
        <w:rPr>
          <w:rFonts w:cs="Arial" w:hint="cs"/>
          <w:rtl/>
        </w:rPr>
        <w:t>לצאת</w:t>
      </w:r>
      <w:r w:rsidRPr="00CF1885">
        <w:rPr>
          <w:rFonts w:cs="Arial"/>
          <w:rtl/>
        </w:rPr>
        <w:t xml:space="preserve">. </w:t>
      </w:r>
      <w:r w:rsidRPr="00CF1885">
        <w:rPr>
          <w:rFonts w:cs="Arial" w:hint="cs"/>
          <w:rtl/>
        </w:rPr>
        <w:t>יש</w:t>
      </w:r>
      <w:r w:rsidRPr="00CF1885">
        <w:rPr>
          <w:rFonts w:cs="Arial"/>
          <w:rtl/>
        </w:rPr>
        <w:t xml:space="preserve"> </w:t>
      </w:r>
      <w:r w:rsidRPr="00CF1885">
        <w:rPr>
          <w:rFonts w:cs="Arial" w:hint="cs"/>
          <w:rtl/>
        </w:rPr>
        <w:t>שכתבו</w:t>
      </w:r>
      <w:r w:rsidRPr="00CF1885">
        <w:rPr>
          <w:rFonts w:cs="Arial"/>
          <w:rtl/>
        </w:rPr>
        <w:t xml:space="preserve"> </w:t>
      </w:r>
      <w:r w:rsidRPr="00CF1885">
        <w:rPr>
          <w:rFonts w:cs="Arial" w:hint="cs"/>
          <w:rtl/>
        </w:rPr>
        <w:t>שלא</w:t>
      </w:r>
      <w:r w:rsidRPr="00CF1885">
        <w:rPr>
          <w:rFonts w:cs="Arial"/>
          <w:rtl/>
        </w:rPr>
        <w:t xml:space="preserve"> </w:t>
      </w:r>
      <w:r w:rsidRPr="00CF1885">
        <w:rPr>
          <w:rFonts w:cs="Arial" w:hint="cs"/>
          <w:rtl/>
        </w:rPr>
        <w:t>לקוץ</w:t>
      </w:r>
      <w:r w:rsidRPr="00CF1885">
        <w:rPr>
          <w:rFonts w:cs="Arial"/>
          <w:rtl/>
        </w:rPr>
        <w:t xml:space="preserve"> </w:t>
      </w:r>
      <w:r w:rsidRPr="00CF1885">
        <w:rPr>
          <w:rFonts w:cs="Arial" w:hint="cs"/>
          <w:rtl/>
        </w:rPr>
        <w:t>צפרני</w:t>
      </w:r>
      <w:r w:rsidRPr="00CF1885">
        <w:rPr>
          <w:rFonts w:cs="Arial"/>
          <w:rtl/>
        </w:rPr>
        <w:t xml:space="preserve"> </w:t>
      </w:r>
      <w:r w:rsidRPr="00CF1885">
        <w:rPr>
          <w:rFonts w:cs="Arial" w:hint="cs"/>
          <w:rtl/>
        </w:rPr>
        <w:t>הידים</w:t>
      </w:r>
      <w:r w:rsidRPr="00CF1885">
        <w:rPr>
          <w:rFonts w:cs="Arial"/>
          <w:rtl/>
        </w:rPr>
        <w:t xml:space="preserve"> </w:t>
      </w:r>
      <w:r w:rsidRPr="00CF1885">
        <w:rPr>
          <w:rFonts w:cs="Arial" w:hint="cs"/>
          <w:rtl/>
        </w:rPr>
        <w:t>ורגלים</w:t>
      </w:r>
      <w:r w:rsidRPr="00CF1885">
        <w:rPr>
          <w:rFonts w:cs="Arial"/>
          <w:rtl/>
        </w:rPr>
        <w:t xml:space="preserve"> </w:t>
      </w:r>
      <w:r w:rsidRPr="00CF1885">
        <w:rPr>
          <w:rFonts w:cs="Arial" w:hint="cs"/>
          <w:rtl/>
        </w:rPr>
        <w:t>ביום</w:t>
      </w:r>
      <w:r w:rsidRPr="00CF1885">
        <w:rPr>
          <w:rFonts w:cs="Arial"/>
          <w:rtl/>
        </w:rPr>
        <w:t xml:space="preserve"> </w:t>
      </w:r>
      <w:r w:rsidRPr="00CF1885">
        <w:rPr>
          <w:rFonts w:cs="Arial" w:hint="cs"/>
          <w:rtl/>
        </w:rPr>
        <w:t>אחד</w:t>
      </w:r>
      <w:r w:rsidRPr="00CF1885">
        <w:rPr>
          <w:rFonts w:cs="Arial"/>
          <w:rtl/>
        </w:rPr>
        <w:t xml:space="preserve"> </w:t>
      </w:r>
      <w:r w:rsidRPr="00CF1885">
        <w:rPr>
          <w:rFonts w:cs="Arial" w:hint="cs"/>
          <w:rtl/>
        </w:rPr>
        <w:t>ואין</w:t>
      </w:r>
      <w:r w:rsidRPr="00CF1885">
        <w:rPr>
          <w:rFonts w:cs="Arial"/>
          <w:rtl/>
        </w:rPr>
        <w:t xml:space="preserve"> </w:t>
      </w:r>
      <w:r w:rsidRPr="00CF1885">
        <w:rPr>
          <w:rFonts w:cs="Arial" w:hint="cs"/>
          <w:rtl/>
        </w:rPr>
        <w:t>לקוץ</w:t>
      </w:r>
      <w:r w:rsidRPr="00CF1885">
        <w:rPr>
          <w:rFonts w:cs="Arial"/>
          <w:rtl/>
        </w:rPr>
        <w:t xml:space="preserve"> </w:t>
      </w:r>
      <w:r w:rsidRPr="00CF1885">
        <w:rPr>
          <w:rFonts w:cs="Arial" w:hint="cs"/>
          <w:rtl/>
        </w:rPr>
        <w:t>אלא</w:t>
      </w:r>
      <w:r w:rsidRPr="00CF1885">
        <w:rPr>
          <w:rFonts w:cs="Arial"/>
          <w:rtl/>
        </w:rPr>
        <w:t xml:space="preserve"> </w:t>
      </w:r>
      <w:r w:rsidRPr="00CF1885">
        <w:rPr>
          <w:rFonts w:cs="Arial" w:hint="cs"/>
          <w:rtl/>
        </w:rPr>
        <w:t>בע</w:t>
      </w:r>
      <w:r w:rsidRPr="00CF1885">
        <w:rPr>
          <w:rFonts w:cs="Arial"/>
          <w:rtl/>
        </w:rPr>
        <w:t>"</w:t>
      </w:r>
      <w:r w:rsidRPr="00CF1885">
        <w:rPr>
          <w:rFonts w:cs="Arial" w:hint="cs"/>
          <w:rtl/>
        </w:rPr>
        <w:t>ש</w:t>
      </w:r>
      <w:r w:rsidRPr="00CF1885">
        <w:rPr>
          <w:rFonts w:cs="Arial"/>
          <w:rtl/>
        </w:rPr>
        <w:t xml:space="preserve"> </w:t>
      </w:r>
      <w:r w:rsidRPr="00CF1885">
        <w:rPr>
          <w:rFonts w:cs="Arial" w:hint="cs"/>
          <w:rtl/>
        </w:rPr>
        <w:t>או</w:t>
      </w:r>
      <w:r w:rsidRPr="00CF1885">
        <w:rPr>
          <w:rFonts w:cs="Arial"/>
          <w:rtl/>
        </w:rPr>
        <w:t xml:space="preserve"> </w:t>
      </w:r>
      <w:r w:rsidRPr="00CF1885">
        <w:rPr>
          <w:rFonts w:cs="Arial" w:hint="cs"/>
          <w:rtl/>
        </w:rPr>
        <w:t>בעיו</w:t>
      </w:r>
      <w:r w:rsidRPr="00CF1885">
        <w:rPr>
          <w:rFonts w:cs="Arial"/>
          <w:rtl/>
        </w:rPr>
        <w:t>"</w:t>
      </w:r>
      <w:r w:rsidRPr="00CF1885">
        <w:rPr>
          <w:rFonts w:cs="Arial" w:hint="cs"/>
          <w:rtl/>
        </w:rPr>
        <w:t>ט</w:t>
      </w:r>
      <w:r w:rsidRPr="00CF1885">
        <w:rPr>
          <w:rFonts w:cs="Arial"/>
          <w:rtl/>
        </w:rPr>
        <w:t xml:space="preserve"> </w:t>
      </w:r>
      <w:r w:rsidRPr="00CF1885">
        <w:rPr>
          <w:rFonts w:cs="Arial" w:hint="cs"/>
          <w:rtl/>
        </w:rPr>
        <w:t>והנכון</w:t>
      </w:r>
      <w:r w:rsidRPr="00CF1885">
        <w:rPr>
          <w:rFonts w:cs="Arial"/>
          <w:rtl/>
        </w:rPr>
        <w:t xml:space="preserve"> </w:t>
      </w:r>
      <w:r w:rsidRPr="00CF1885">
        <w:rPr>
          <w:rFonts w:cs="Arial" w:hint="cs"/>
          <w:rtl/>
        </w:rPr>
        <w:t>שיקוץ</w:t>
      </w:r>
      <w:r w:rsidRPr="00CF1885">
        <w:rPr>
          <w:rFonts w:cs="Arial"/>
          <w:rtl/>
        </w:rPr>
        <w:t xml:space="preserve"> </w:t>
      </w:r>
      <w:r w:rsidRPr="00CF1885">
        <w:rPr>
          <w:rFonts w:cs="Arial" w:hint="cs"/>
          <w:rtl/>
        </w:rPr>
        <w:t>מן</w:t>
      </w:r>
      <w:r w:rsidRPr="00CF1885">
        <w:rPr>
          <w:rFonts w:cs="Arial"/>
          <w:rtl/>
        </w:rPr>
        <w:t xml:space="preserve"> </w:t>
      </w:r>
      <w:r w:rsidRPr="00CF1885">
        <w:rPr>
          <w:rFonts w:cs="Arial" w:hint="cs"/>
          <w:rtl/>
        </w:rPr>
        <w:t>הרגלים</w:t>
      </w:r>
      <w:r w:rsidRPr="00CF1885">
        <w:rPr>
          <w:rFonts w:cs="Arial"/>
          <w:rtl/>
        </w:rPr>
        <w:t xml:space="preserve"> </w:t>
      </w:r>
      <w:r w:rsidRPr="00CF1885">
        <w:rPr>
          <w:rFonts w:cs="Arial" w:hint="cs"/>
          <w:rtl/>
        </w:rPr>
        <w:t>ביום</w:t>
      </w:r>
      <w:r w:rsidRPr="00CF1885">
        <w:rPr>
          <w:rFonts w:cs="Arial"/>
          <w:rtl/>
        </w:rPr>
        <w:t xml:space="preserve"> </w:t>
      </w:r>
      <w:r w:rsidRPr="00CF1885">
        <w:rPr>
          <w:rFonts w:cs="Arial" w:hint="cs"/>
          <w:rtl/>
        </w:rPr>
        <w:t>ה</w:t>
      </w:r>
      <w:r w:rsidRPr="00CF1885">
        <w:rPr>
          <w:rFonts w:cs="Arial"/>
          <w:rtl/>
        </w:rPr>
        <w:t xml:space="preserve">' </w:t>
      </w:r>
      <w:r w:rsidRPr="00CF1885">
        <w:rPr>
          <w:rFonts w:cs="Arial" w:hint="cs"/>
          <w:rtl/>
        </w:rPr>
        <w:t>ומן</w:t>
      </w:r>
      <w:r w:rsidRPr="00CF1885">
        <w:rPr>
          <w:rFonts w:cs="Arial"/>
          <w:rtl/>
        </w:rPr>
        <w:t xml:space="preserve"> </w:t>
      </w:r>
      <w:r w:rsidRPr="00CF1885">
        <w:rPr>
          <w:rFonts w:cs="Arial" w:hint="cs"/>
          <w:rtl/>
        </w:rPr>
        <w:t>הידים</w:t>
      </w:r>
      <w:r w:rsidRPr="00CF1885">
        <w:rPr>
          <w:rFonts w:cs="Arial"/>
          <w:rtl/>
        </w:rPr>
        <w:t xml:space="preserve"> </w:t>
      </w:r>
      <w:r w:rsidRPr="00CF1885">
        <w:rPr>
          <w:rFonts w:cs="Arial" w:hint="cs"/>
          <w:rtl/>
        </w:rPr>
        <w:t>ביום</w:t>
      </w:r>
      <w:r w:rsidRPr="00CF1885">
        <w:rPr>
          <w:rFonts w:cs="Arial"/>
          <w:rtl/>
        </w:rPr>
        <w:t xml:space="preserve"> </w:t>
      </w:r>
      <w:r w:rsidRPr="00CF1885">
        <w:rPr>
          <w:rFonts w:cs="Arial" w:hint="cs"/>
          <w:rtl/>
        </w:rPr>
        <w:t>ו</w:t>
      </w:r>
      <w:r w:rsidRPr="00CF1885">
        <w:rPr>
          <w:rFonts w:cs="Arial"/>
          <w:rtl/>
        </w:rPr>
        <w:t>' [</w:t>
      </w:r>
      <w:r w:rsidRPr="00CF1885">
        <w:rPr>
          <w:rFonts w:cs="Arial" w:hint="cs"/>
          <w:rtl/>
        </w:rPr>
        <w:t>מ</w:t>
      </w:r>
      <w:r w:rsidRPr="00CF1885">
        <w:rPr>
          <w:rFonts w:cs="Arial"/>
          <w:rtl/>
        </w:rPr>
        <w:t>"</w:t>
      </w:r>
      <w:r w:rsidRPr="00CF1885">
        <w:rPr>
          <w:rFonts w:cs="Arial" w:hint="cs"/>
          <w:rtl/>
        </w:rPr>
        <w:t>א</w:t>
      </w:r>
      <w:r w:rsidRPr="00CF1885">
        <w:rPr>
          <w:rFonts w:cs="Arial"/>
          <w:rtl/>
        </w:rPr>
        <w:t xml:space="preserve">]. </w:t>
      </w:r>
      <w:r w:rsidRPr="00CF1885">
        <w:rPr>
          <w:rFonts w:cs="Arial" w:hint="cs"/>
          <w:rtl/>
        </w:rPr>
        <w:t>איתא</w:t>
      </w:r>
      <w:r w:rsidRPr="00CF1885">
        <w:rPr>
          <w:rFonts w:cs="Arial"/>
          <w:rtl/>
        </w:rPr>
        <w:t xml:space="preserve"> </w:t>
      </w:r>
      <w:r w:rsidRPr="00CF1885">
        <w:rPr>
          <w:rFonts w:cs="Arial" w:hint="cs"/>
          <w:rtl/>
        </w:rPr>
        <w:t>בגמרא</w:t>
      </w:r>
      <w:r w:rsidRPr="00CF1885">
        <w:rPr>
          <w:rFonts w:cs="Arial"/>
          <w:rtl/>
        </w:rPr>
        <w:t xml:space="preserve"> </w:t>
      </w:r>
      <w:r w:rsidRPr="00CF1885">
        <w:rPr>
          <w:rFonts w:cs="Arial" w:hint="cs"/>
          <w:rtl/>
        </w:rPr>
        <w:t>השורף</w:t>
      </w:r>
      <w:r w:rsidRPr="00CF1885">
        <w:rPr>
          <w:rFonts w:cs="Arial"/>
          <w:rtl/>
        </w:rPr>
        <w:t xml:space="preserve"> </w:t>
      </w:r>
      <w:r w:rsidRPr="00CF1885">
        <w:rPr>
          <w:rFonts w:cs="Arial" w:hint="cs"/>
          <w:rtl/>
        </w:rPr>
        <w:t>צפרנים</w:t>
      </w:r>
      <w:r w:rsidRPr="00CF1885">
        <w:rPr>
          <w:rFonts w:cs="Arial"/>
          <w:rtl/>
        </w:rPr>
        <w:t xml:space="preserve"> </w:t>
      </w:r>
      <w:r w:rsidRPr="00CF1885">
        <w:rPr>
          <w:rFonts w:cs="Arial" w:hint="cs"/>
          <w:rtl/>
        </w:rPr>
        <w:t>חסיד</w:t>
      </w:r>
      <w:r w:rsidRPr="00CF1885">
        <w:rPr>
          <w:rFonts w:cs="Arial"/>
          <w:rtl/>
        </w:rPr>
        <w:t xml:space="preserve"> </w:t>
      </w:r>
      <w:r w:rsidRPr="00CF1885">
        <w:rPr>
          <w:rFonts w:cs="Arial" w:hint="cs"/>
          <w:rtl/>
        </w:rPr>
        <w:t>קוברן</w:t>
      </w:r>
      <w:r w:rsidRPr="00CF1885">
        <w:rPr>
          <w:rFonts w:cs="Arial"/>
          <w:rtl/>
        </w:rPr>
        <w:t xml:space="preserve"> </w:t>
      </w:r>
      <w:r w:rsidRPr="00CF1885">
        <w:rPr>
          <w:rFonts w:cs="Arial" w:hint="cs"/>
          <w:rtl/>
        </w:rPr>
        <w:t>צדיק</w:t>
      </w:r>
      <w:r w:rsidRPr="00CF1885">
        <w:rPr>
          <w:rFonts w:cs="Arial"/>
          <w:rtl/>
        </w:rPr>
        <w:t xml:space="preserve"> </w:t>
      </w:r>
      <w:r w:rsidRPr="00CF1885">
        <w:rPr>
          <w:rFonts w:cs="Arial" w:hint="cs"/>
          <w:rtl/>
        </w:rPr>
        <w:t>זורקן</w:t>
      </w:r>
      <w:r w:rsidRPr="00CF1885">
        <w:rPr>
          <w:rFonts w:cs="Arial"/>
          <w:rtl/>
        </w:rPr>
        <w:t xml:space="preserve"> </w:t>
      </w:r>
      <w:r w:rsidRPr="00CF1885">
        <w:rPr>
          <w:rFonts w:cs="Arial" w:hint="cs"/>
          <w:rtl/>
        </w:rPr>
        <w:t>רשע</w:t>
      </w:r>
      <w:r w:rsidRPr="00CF1885">
        <w:rPr>
          <w:rFonts w:cs="Arial"/>
          <w:rtl/>
        </w:rPr>
        <w:t xml:space="preserve"> </w:t>
      </w:r>
      <w:r w:rsidRPr="00CF1885">
        <w:rPr>
          <w:rFonts w:cs="Arial" w:hint="cs"/>
          <w:rtl/>
        </w:rPr>
        <w:t>שמא</w:t>
      </w:r>
      <w:r w:rsidRPr="00CF1885">
        <w:rPr>
          <w:rFonts w:cs="Arial"/>
          <w:rtl/>
        </w:rPr>
        <w:t xml:space="preserve"> </w:t>
      </w:r>
      <w:r w:rsidRPr="00CF1885">
        <w:rPr>
          <w:rFonts w:cs="Arial" w:hint="cs"/>
          <w:rtl/>
        </w:rPr>
        <w:t>תעבור</w:t>
      </w:r>
      <w:r w:rsidRPr="00CF1885">
        <w:rPr>
          <w:rFonts w:cs="Arial"/>
          <w:rtl/>
        </w:rPr>
        <w:t xml:space="preserve"> </w:t>
      </w:r>
      <w:r w:rsidRPr="00CF1885">
        <w:rPr>
          <w:rFonts w:cs="Arial" w:hint="cs"/>
          <w:rtl/>
        </w:rPr>
        <w:t>עליהן</w:t>
      </w:r>
      <w:r w:rsidRPr="00CF1885">
        <w:rPr>
          <w:rFonts w:cs="Arial"/>
          <w:rtl/>
        </w:rPr>
        <w:t xml:space="preserve"> </w:t>
      </w:r>
      <w:r w:rsidRPr="00CF1885">
        <w:rPr>
          <w:rFonts w:cs="Arial" w:hint="cs"/>
          <w:rtl/>
        </w:rPr>
        <w:t>אשה</w:t>
      </w:r>
      <w:r w:rsidRPr="00CF1885">
        <w:rPr>
          <w:rFonts w:cs="Arial"/>
          <w:rtl/>
        </w:rPr>
        <w:t xml:space="preserve"> </w:t>
      </w:r>
      <w:r w:rsidRPr="00CF1885">
        <w:rPr>
          <w:rFonts w:cs="Arial" w:hint="cs"/>
          <w:rtl/>
        </w:rPr>
        <w:t>מעוברת</w:t>
      </w:r>
      <w:r w:rsidRPr="00CF1885">
        <w:rPr>
          <w:rFonts w:cs="Arial"/>
          <w:rtl/>
        </w:rPr>
        <w:t xml:space="preserve"> </w:t>
      </w:r>
      <w:r w:rsidRPr="00CF1885">
        <w:rPr>
          <w:rFonts w:cs="Arial" w:hint="cs"/>
          <w:rtl/>
        </w:rPr>
        <w:t>ותפיל</w:t>
      </w:r>
      <w:r w:rsidRPr="00CF1885">
        <w:rPr>
          <w:rFonts w:cs="Arial"/>
          <w:rtl/>
        </w:rPr>
        <w:t xml:space="preserve"> </w:t>
      </w:r>
      <w:r w:rsidRPr="00CF1885">
        <w:rPr>
          <w:rFonts w:cs="Arial" w:hint="cs"/>
          <w:rtl/>
        </w:rPr>
        <w:t>ולכן</w:t>
      </w:r>
      <w:r w:rsidRPr="00CF1885">
        <w:rPr>
          <w:rFonts w:cs="Arial"/>
          <w:rtl/>
        </w:rPr>
        <w:t xml:space="preserve"> </w:t>
      </w:r>
      <w:r w:rsidRPr="00CF1885">
        <w:rPr>
          <w:rFonts w:cs="Arial" w:hint="cs"/>
          <w:rtl/>
        </w:rPr>
        <w:t>בבית</w:t>
      </w:r>
      <w:r w:rsidRPr="00CF1885">
        <w:rPr>
          <w:rFonts w:cs="Arial"/>
          <w:rtl/>
        </w:rPr>
        <w:t xml:space="preserve"> </w:t>
      </w:r>
      <w:r w:rsidRPr="00CF1885">
        <w:rPr>
          <w:rFonts w:cs="Arial" w:hint="cs"/>
          <w:rtl/>
        </w:rPr>
        <w:t>המדרש</w:t>
      </w:r>
      <w:r w:rsidRPr="00CF1885">
        <w:rPr>
          <w:rFonts w:cs="Arial"/>
          <w:rtl/>
        </w:rPr>
        <w:t xml:space="preserve"> </w:t>
      </w:r>
      <w:r w:rsidRPr="00CF1885">
        <w:rPr>
          <w:rFonts w:cs="Arial" w:hint="cs"/>
          <w:rtl/>
        </w:rPr>
        <w:t>דלא</w:t>
      </w:r>
      <w:r w:rsidRPr="00CF1885">
        <w:rPr>
          <w:rFonts w:cs="Arial"/>
          <w:rtl/>
        </w:rPr>
        <w:t xml:space="preserve"> </w:t>
      </w:r>
      <w:r w:rsidRPr="00CF1885">
        <w:rPr>
          <w:rFonts w:cs="Arial" w:hint="cs"/>
          <w:rtl/>
        </w:rPr>
        <w:t>שכיחי</w:t>
      </w:r>
      <w:r w:rsidRPr="00CF1885">
        <w:rPr>
          <w:rFonts w:cs="Arial"/>
          <w:rtl/>
        </w:rPr>
        <w:t xml:space="preserve"> </w:t>
      </w:r>
      <w:r w:rsidRPr="00CF1885">
        <w:rPr>
          <w:rFonts w:cs="Arial" w:hint="cs"/>
          <w:rtl/>
        </w:rPr>
        <w:t>נשי</w:t>
      </w:r>
      <w:r w:rsidRPr="00CF1885">
        <w:rPr>
          <w:rFonts w:cs="Arial"/>
          <w:rtl/>
        </w:rPr>
        <w:t xml:space="preserve"> </w:t>
      </w:r>
      <w:r w:rsidRPr="00CF1885">
        <w:rPr>
          <w:rFonts w:cs="Arial" w:hint="cs"/>
          <w:rtl/>
        </w:rPr>
        <w:t>או</w:t>
      </w:r>
      <w:r w:rsidRPr="00CF1885">
        <w:rPr>
          <w:rFonts w:cs="Arial"/>
          <w:rtl/>
        </w:rPr>
        <w:t xml:space="preserve"> </w:t>
      </w:r>
      <w:r w:rsidRPr="00CF1885">
        <w:rPr>
          <w:rFonts w:cs="Arial" w:hint="cs"/>
          <w:rtl/>
        </w:rPr>
        <w:t>בית</w:t>
      </w:r>
      <w:r w:rsidRPr="00CF1885">
        <w:rPr>
          <w:rFonts w:cs="Arial"/>
          <w:rtl/>
        </w:rPr>
        <w:t xml:space="preserve"> </w:t>
      </w:r>
      <w:r w:rsidRPr="00CF1885">
        <w:rPr>
          <w:rFonts w:cs="Arial" w:hint="cs"/>
          <w:rtl/>
        </w:rPr>
        <w:t>המרחץ</w:t>
      </w:r>
      <w:r w:rsidRPr="00CF1885">
        <w:rPr>
          <w:rFonts w:cs="Arial"/>
          <w:rtl/>
        </w:rPr>
        <w:t xml:space="preserve"> </w:t>
      </w:r>
      <w:r w:rsidRPr="00CF1885">
        <w:rPr>
          <w:rFonts w:cs="Arial" w:hint="cs"/>
          <w:rtl/>
        </w:rPr>
        <w:t>שעשוי</w:t>
      </w:r>
      <w:r w:rsidRPr="00CF1885">
        <w:rPr>
          <w:rFonts w:cs="Arial"/>
          <w:rtl/>
        </w:rPr>
        <w:t xml:space="preserve"> </w:t>
      </w:r>
      <w:r w:rsidRPr="00CF1885">
        <w:rPr>
          <w:rFonts w:cs="Arial" w:hint="cs"/>
          <w:rtl/>
        </w:rPr>
        <w:t>רק</w:t>
      </w:r>
      <w:r w:rsidRPr="00CF1885">
        <w:rPr>
          <w:rFonts w:cs="Arial"/>
          <w:rtl/>
        </w:rPr>
        <w:t xml:space="preserve"> </w:t>
      </w:r>
      <w:r w:rsidRPr="00CF1885">
        <w:rPr>
          <w:rFonts w:cs="Arial" w:hint="cs"/>
          <w:rtl/>
        </w:rPr>
        <w:t>להרחצת</w:t>
      </w:r>
      <w:r w:rsidRPr="00CF1885">
        <w:rPr>
          <w:rFonts w:cs="Arial"/>
          <w:rtl/>
        </w:rPr>
        <w:t xml:space="preserve"> </w:t>
      </w:r>
      <w:r w:rsidRPr="00CF1885">
        <w:rPr>
          <w:rFonts w:cs="Arial" w:hint="cs"/>
          <w:rtl/>
        </w:rPr>
        <w:t>אנשים</w:t>
      </w:r>
      <w:r w:rsidRPr="00CF1885">
        <w:rPr>
          <w:rFonts w:cs="Arial"/>
          <w:rtl/>
        </w:rPr>
        <w:t xml:space="preserve"> </w:t>
      </w:r>
      <w:r w:rsidRPr="00CF1885">
        <w:rPr>
          <w:rFonts w:cs="Arial" w:hint="cs"/>
          <w:rtl/>
        </w:rPr>
        <w:t>מותר</w:t>
      </w:r>
      <w:r w:rsidRPr="00CF1885">
        <w:rPr>
          <w:rFonts w:cs="Arial"/>
          <w:rtl/>
        </w:rPr>
        <w:t xml:space="preserve"> </w:t>
      </w:r>
      <w:r w:rsidRPr="00CF1885">
        <w:rPr>
          <w:rFonts w:cs="Arial" w:hint="cs"/>
          <w:rtl/>
        </w:rPr>
        <w:t>לזרוק</w:t>
      </w:r>
      <w:r w:rsidRPr="00CF1885">
        <w:rPr>
          <w:rFonts w:cs="Arial"/>
          <w:rtl/>
        </w:rPr>
        <w:t xml:space="preserve">. </w:t>
      </w:r>
      <w:r w:rsidRPr="00CF1885">
        <w:rPr>
          <w:rFonts w:cs="Arial" w:hint="cs"/>
          <w:rtl/>
        </w:rPr>
        <w:t>גם</w:t>
      </w:r>
      <w:r w:rsidRPr="00CF1885">
        <w:rPr>
          <w:rFonts w:cs="Arial"/>
          <w:rtl/>
        </w:rPr>
        <w:t xml:space="preserve"> </w:t>
      </w:r>
      <w:r w:rsidRPr="00CF1885">
        <w:rPr>
          <w:rFonts w:cs="Arial" w:hint="cs"/>
          <w:rtl/>
        </w:rPr>
        <w:t>איתא</w:t>
      </w:r>
      <w:r w:rsidRPr="00CF1885">
        <w:rPr>
          <w:rFonts w:cs="Arial"/>
          <w:rtl/>
        </w:rPr>
        <w:t xml:space="preserve"> </w:t>
      </w:r>
      <w:r w:rsidRPr="00CF1885">
        <w:rPr>
          <w:rFonts w:cs="Arial" w:hint="cs"/>
          <w:rtl/>
        </w:rPr>
        <w:t>שם</w:t>
      </w:r>
      <w:r w:rsidRPr="00CF1885">
        <w:rPr>
          <w:rFonts w:cs="Arial"/>
          <w:rtl/>
        </w:rPr>
        <w:t xml:space="preserve"> </w:t>
      </w:r>
      <w:r w:rsidRPr="00CF1885">
        <w:rPr>
          <w:rFonts w:cs="Arial" w:hint="cs"/>
          <w:rtl/>
        </w:rPr>
        <w:t>בגמרא</w:t>
      </w:r>
      <w:r w:rsidRPr="00CF1885">
        <w:rPr>
          <w:rFonts w:cs="Arial"/>
          <w:rtl/>
        </w:rPr>
        <w:t xml:space="preserve"> </w:t>
      </w:r>
      <w:r w:rsidRPr="00CF1885">
        <w:rPr>
          <w:rFonts w:cs="Arial" w:hint="cs"/>
          <w:rtl/>
        </w:rPr>
        <w:t>דאין</w:t>
      </w:r>
      <w:r w:rsidRPr="00CF1885">
        <w:rPr>
          <w:rFonts w:cs="Arial"/>
          <w:rtl/>
        </w:rPr>
        <w:t xml:space="preserve"> </w:t>
      </w:r>
      <w:r w:rsidRPr="00CF1885">
        <w:rPr>
          <w:rFonts w:cs="Arial" w:hint="cs"/>
          <w:rtl/>
        </w:rPr>
        <w:t>בכחן</w:t>
      </w:r>
      <w:r w:rsidRPr="00CF1885">
        <w:rPr>
          <w:rFonts w:cs="Arial"/>
          <w:rtl/>
        </w:rPr>
        <w:t xml:space="preserve"> </w:t>
      </w:r>
      <w:r w:rsidRPr="00CF1885">
        <w:rPr>
          <w:rFonts w:cs="Arial" w:hint="cs"/>
          <w:rtl/>
        </w:rPr>
        <w:t>להזיק</w:t>
      </w:r>
      <w:r w:rsidRPr="00CF1885">
        <w:rPr>
          <w:rFonts w:cs="Arial"/>
          <w:rtl/>
        </w:rPr>
        <w:t xml:space="preserve"> </w:t>
      </w:r>
      <w:r w:rsidRPr="00CF1885">
        <w:rPr>
          <w:rFonts w:cs="Arial" w:hint="cs"/>
          <w:rtl/>
        </w:rPr>
        <w:t>רק</w:t>
      </w:r>
      <w:r w:rsidRPr="00CF1885">
        <w:rPr>
          <w:rFonts w:cs="Arial"/>
          <w:rtl/>
        </w:rPr>
        <w:t xml:space="preserve"> </w:t>
      </w:r>
      <w:r w:rsidRPr="00CF1885">
        <w:rPr>
          <w:rFonts w:cs="Arial" w:hint="cs"/>
          <w:rtl/>
        </w:rPr>
        <w:t>בדוכתא</w:t>
      </w:r>
      <w:r w:rsidRPr="00CF1885">
        <w:rPr>
          <w:rFonts w:cs="Arial"/>
          <w:rtl/>
        </w:rPr>
        <w:t xml:space="preserve"> </w:t>
      </w:r>
      <w:r w:rsidRPr="00CF1885">
        <w:rPr>
          <w:rFonts w:cs="Arial" w:hint="cs"/>
          <w:rtl/>
        </w:rPr>
        <w:t>דנפילי</w:t>
      </w:r>
      <w:r w:rsidRPr="00CF1885">
        <w:rPr>
          <w:rFonts w:cs="Arial"/>
          <w:rtl/>
        </w:rPr>
        <w:t xml:space="preserve"> </w:t>
      </w:r>
      <w:r w:rsidRPr="00CF1885">
        <w:rPr>
          <w:rFonts w:cs="Arial" w:hint="cs"/>
          <w:rtl/>
        </w:rPr>
        <w:t>אבל</w:t>
      </w:r>
      <w:r w:rsidRPr="00CF1885">
        <w:rPr>
          <w:rFonts w:cs="Arial"/>
          <w:rtl/>
        </w:rPr>
        <w:t xml:space="preserve"> </w:t>
      </w:r>
      <w:r w:rsidRPr="00CF1885">
        <w:rPr>
          <w:rFonts w:cs="Arial" w:hint="cs"/>
          <w:rtl/>
        </w:rPr>
        <w:t>אי</w:t>
      </w:r>
      <w:r w:rsidRPr="00CF1885">
        <w:rPr>
          <w:rFonts w:cs="Arial"/>
          <w:rtl/>
        </w:rPr>
        <w:t xml:space="preserve"> </w:t>
      </w:r>
      <w:r w:rsidRPr="00CF1885">
        <w:rPr>
          <w:rFonts w:cs="Arial" w:hint="cs"/>
          <w:rtl/>
        </w:rPr>
        <w:t>כניש</w:t>
      </w:r>
      <w:r w:rsidRPr="00CF1885">
        <w:rPr>
          <w:rFonts w:cs="Arial"/>
          <w:rtl/>
        </w:rPr>
        <w:t xml:space="preserve"> </w:t>
      </w:r>
      <w:r w:rsidRPr="00CF1885">
        <w:rPr>
          <w:rFonts w:cs="Arial" w:hint="cs"/>
          <w:rtl/>
        </w:rPr>
        <w:t>להו</w:t>
      </w:r>
      <w:r w:rsidRPr="00CF1885">
        <w:rPr>
          <w:rFonts w:cs="Arial"/>
          <w:rtl/>
        </w:rPr>
        <w:t xml:space="preserve"> </w:t>
      </w:r>
      <w:r w:rsidRPr="00CF1885">
        <w:rPr>
          <w:rFonts w:cs="Arial" w:hint="cs"/>
          <w:rtl/>
        </w:rPr>
        <w:t>בתר</w:t>
      </w:r>
      <w:r w:rsidRPr="00CF1885">
        <w:rPr>
          <w:rFonts w:cs="Arial"/>
          <w:rtl/>
        </w:rPr>
        <w:t xml:space="preserve"> </w:t>
      </w:r>
      <w:r w:rsidRPr="00CF1885">
        <w:rPr>
          <w:rFonts w:cs="Arial" w:hint="cs"/>
          <w:rtl/>
        </w:rPr>
        <w:t>הכי</w:t>
      </w:r>
      <w:r w:rsidRPr="00CF1885">
        <w:rPr>
          <w:rFonts w:cs="Arial"/>
          <w:rtl/>
        </w:rPr>
        <w:t xml:space="preserve"> </w:t>
      </w:r>
      <w:r w:rsidRPr="00CF1885">
        <w:rPr>
          <w:rFonts w:cs="Arial" w:hint="cs"/>
          <w:rtl/>
        </w:rPr>
        <w:t>ושדי</w:t>
      </w:r>
      <w:r w:rsidRPr="00CF1885">
        <w:rPr>
          <w:rFonts w:cs="Arial"/>
          <w:rtl/>
        </w:rPr>
        <w:t xml:space="preserve"> </w:t>
      </w:r>
      <w:r w:rsidRPr="00CF1885">
        <w:rPr>
          <w:rFonts w:cs="Arial" w:hint="cs"/>
          <w:rtl/>
        </w:rPr>
        <w:t>להו</w:t>
      </w:r>
      <w:r w:rsidRPr="00CF1885">
        <w:rPr>
          <w:rFonts w:cs="Arial"/>
          <w:rtl/>
        </w:rPr>
        <w:t xml:space="preserve"> </w:t>
      </w:r>
      <w:r w:rsidRPr="00CF1885">
        <w:rPr>
          <w:rFonts w:cs="Arial" w:hint="cs"/>
          <w:rtl/>
        </w:rPr>
        <w:t>לאבראי</w:t>
      </w:r>
      <w:r w:rsidRPr="00CF1885">
        <w:rPr>
          <w:rFonts w:cs="Arial"/>
          <w:rtl/>
        </w:rPr>
        <w:t xml:space="preserve"> </w:t>
      </w:r>
      <w:r w:rsidRPr="00CF1885">
        <w:rPr>
          <w:rFonts w:cs="Arial" w:hint="cs"/>
          <w:rtl/>
        </w:rPr>
        <w:t>לית</w:t>
      </w:r>
      <w:r w:rsidRPr="00CF1885">
        <w:rPr>
          <w:rFonts w:cs="Arial"/>
          <w:rtl/>
        </w:rPr>
        <w:t xml:space="preserve"> </w:t>
      </w:r>
      <w:r w:rsidRPr="00CF1885">
        <w:rPr>
          <w:rFonts w:cs="Arial" w:hint="cs"/>
          <w:rtl/>
        </w:rPr>
        <w:t>לן</w:t>
      </w:r>
      <w:r w:rsidRPr="00CF1885">
        <w:rPr>
          <w:rFonts w:cs="Arial"/>
          <w:rtl/>
        </w:rPr>
        <w:t xml:space="preserve"> </w:t>
      </w:r>
      <w:r w:rsidRPr="00CF1885">
        <w:rPr>
          <w:rFonts w:cs="Arial" w:hint="cs"/>
          <w:rtl/>
        </w:rPr>
        <w:t>בה</w:t>
      </w:r>
      <w:r w:rsidRPr="00CF1885">
        <w:rPr>
          <w:rFonts w:cs="Arial"/>
          <w:rtl/>
        </w:rPr>
        <w:t xml:space="preserve"> </w:t>
      </w:r>
      <w:r w:rsidRPr="00CF1885">
        <w:rPr>
          <w:rFonts w:cs="Arial" w:hint="cs"/>
          <w:rtl/>
        </w:rPr>
        <w:t>וכתב</w:t>
      </w:r>
      <w:r w:rsidRPr="00CF1885">
        <w:rPr>
          <w:rFonts w:cs="Arial"/>
          <w:rtl/>
        </w:rPr>
        <w:t xml:space="preserve"> </w:t>
      </w:r>
      <w:r w:rsidRPr="00CF1885">
        <w:rPr>
          <w:rFonts w:cs="Arial" w:hint="cs"/>
          <w:rtl/>
        </w:rPr>
        <w:t>בפרישה</w:t>
      </w:r>
      <w:r w:rsidRPr="00CF1885">
        <w:rPr>
          <w:rFonts w:cs="Arial"/>
          <w:rtl/>
        </w:rPr>
        <w:t xml:space="preserve"> </w:t>
      </w:r>
      <w:r w:rsidRPr="00CF1885">
        <w:rPr>
          <w:rFonts w:cs="Arial" w:hint="cs"/>
          <w:rtl/>
        </w:rPr>
        <w:t>סימן</w:t>
      </w:r>
      <w:r w:rsidRPr="00CF1885">
        <w:rPr>
          <w:rFonts w:cs="Arial"/>
          <w:rtl/>
        </w:rPr>
        <w:t xml:space="preserve"> </w:t>
      </w:r>
      <w:r w:rsidRPr="00CF1885">
        <w:rPr>
          <w:rFonts w:cs="Arial" w:hint="cs"/>
          <w:rtl/>
        </w:rPr>
        <w:t>רמ</w:t>
      </w:r>
      <w:r w:rsidRPr="00CF1885">
        <w:rPr>
          <w:rFonts w:cs="Arial"/>
          <w:rtl/>
        </w:rPr>
        <w:t>"</w:t>
      </w:r>
      <w:r w:rsidRPr="00CF1885">
        <w:rPr>
          <w:rFonts w:cs="Arial" w:hint="cs"/>
          <w:rtl/>
        </w:rPr>
        <w:t>א</w:t>
      </w:r>
      <w:r w:rsidRPr="00CF1885">
        <w:rPr>
          <w:rFonts w:cs="Arial"/>
          <w:rtl/>
        </w:rPr>
        <w:t xml:space="preserve"> </w:t>
      </w:r>
      <w:r w:rsidRPr="00CF1885">
        <w:rPr>
          <w:rFonts w:cs="Arial" w:hint="cs"/>
          <w:rtl/>
        </w:rPr>
        <w:t>מכאן</w:t>
      </w:r>
      <w:r w:rsidRPr="00CF1885">
        <w:rPr>
          <w:rFonts w:cs="Arial"/>
          <w:rtl/>
        </w:rPr>
        <w:t xml:space="preserve"> </w:t>
      </w:r>
      <w:r w:rsidRPr="00CF1885">
        <w:rPr>
          <w:rFonts w:cs="Arial" w:hint="cs"/>
          <w:rtl/>
        </w:rPr>
        <w:t>דאם</w:t>
      </w:r>
      <w:r w:rsidRPr="00CF1885">
        <w:rPr>
          <w:rFonts w:cs="Arial"/>
          <w:rtl/>
        </w:rPr>
        <w:t xml:space="preserve"> </w:t>
      </w:r>
      <w:r w:rsidRPr="00CF1885">
        <w:rPr>
          <w:rFonts w:cs="Arial" w:hint="cs"/>
          <w:rtl/>
        </w:rPr>
        <w:t>חתך</w:t>
      </w:r>
      <w:r w:rsidRPr="00CF1885">
        <w:rPr>
          <w:rFonts w:cs="Arial"/>
          <w:rtl/>
        </w:rPr>
        <w:t xml:space="preserve"> </w:t>
      </w:r>
      <w:r w:rsidRPr="00CF1885">
        <w:rPr>
          <w:rFonts w:cs="Arial" w:hint="cs"/>
          <w:rtl/>
        </w:rPr>
        <w:t>בביתו</w:t>
      </w:r>
      <w:r w:rsidRPr="00CF1885">
        <w:rPr>
          <w:rFonts w:cs="Arial"/>
          <w:rtl/>
        </w:rPr>
        <w:t xml:space="preserve"> </w:t>
      </w:r>
      <w:r w:rsidRPr="00CF1885">
        <w:rPr>
          <w:rFonts w:cs="Arial" w:hint="cs"/>
          <w:rtl/>
        </w:rPr>
        <w:t>במקום</w:t>
      </w:r>
      <w:r w:rsidRPr="00CF1885">
        <w:rPr>
          <w:rFonts w:cs="Arial"/>
          <w:rtl/>
        </w:rPr>
        <w:t xml:space="preserve"> </w:t>
      </w:r>
      <w:r w:rsidRPr="00CF1885">
        <w:rPr>
          <w:rFonts w:cs="Arial" w:hint="cs"/>
          <w:rtl/>
        </w:rPr>
        <w:t>דשכיחי</w:t>
      </w:r>
      <w:r w:rsidRPr="00CF1885">
        <w:rPr>
          <w:rFonts w:cs="Arial"/>
          <w:rtl/>
        </w:rPr>
        <w:t xml:space="preserve"> </w:t>
      </w:r>
      <w:r w:rsidRPr="00CF1885">
        <w:rPr>
          <w:rFonts w:cs="Arial" w:hint="cs"/>
          <w:rtl/>
        </w:rPr>
        <w:t>נשי</w:t>
      </w:r>
      <w:r w:rsidRPr="00CF1885">
        <w:rPr>
          <w:rFonts w:cs="Arial"/>
          <w:rtl/>
        </w:rPr>
        <w:t xml:space="preserve"> </w:t>
      </w:r>
      <w:r w:rsidRPr="00CF1885">
        <w:rPr>
          <w:rFonts w:cs="Arial" w:hint="cs"/>
          <w:rtl/>
        </w:rPr>
        <w:t>ונפל</w:t>
      </w:r>
      <w:r w:rsidRPr="00CF1885">
        <w:rPr>
          <w:rFonts w:cs="Arial"/>
          <w:rtl/>
        </w:rPr>
        <w:t xml:space="preserve"> </w:t>
      </w:r>
      <w:r w:rsidRPr="00CF1885">
        <w:rPr>
          <w:rFonts w:cs="Arial" w:hint="cs"/>
          <w:rtl/>
        </w:rPr>
        <w:t>מידו</w:t>
      </w:r>
      <w:r w:rsidRPr="00CF1885">
        <w:rPr>
          <w:rFonts w:cs="Arial"/>
          <w:rtl/>
        </w:rPr>
        <w:t xml:space="preserve"> </w:t>
      </w:r>
      <w:r w:rsidRPr="00CF1885">
        <w:rPr>
          <w:rFonts w:cs="Arial" w:hint="cs"/>
          <w:rtl/>
        </w:rPr>
        <w:t>קצת</w:t>
      </w:r>
      <w:r w:rsidRPr="00CF1885">
        <w:rPr>
          <w:rFonts w:cs="Arial"/>
          <w:rtl/>
        </w:rPr>
        <w:t xml:space="preserve"> </w:t>
      </w:r>
      <w:r w:rsidRPr="00CF1885">
        <w:rPr>
          <w:rFonts w:cs="Arial" w:hint="cs"/>
          <w:rtl/>
        </w:rPr>
        <w:t>צפרניו</w:t>
      </w:r>
      <w:r w:rsidRPr="00CF1885">
        <w:rPr>
          <w:rFonts w:cs="Arial"/>
          <w:rtl/>
        </w:rPr>
        <w:t xml:space="preserve"> </w:t>
      </w:r>
      <w:r w:rsidRPr="00CF1885">
        <w:rPr>
          <w:rFonts w:cs="Arial" w:hint="cs"/>
          <w:rtl/>
        </w:rPr>
        <w:t>יכבד</w:t>
      </w:r>
      <w:r w:rsidRPr="00CF1885">
        <w:rPr>
          <w:rFonts w:cs="Arial"/>
          <w:rtl/>
        </w:rPr>
        <w:t xml:space="preserve"> </w:t>
      </w:r>
      <w:r w:rsidRPr="00CF1885">
        <w:rPr>
          <w:rFonts w:cs="Arial" w:hint="cs"/>
          <w:rtl/>
        </w:rPr>
        <w:t>אותו</w:t>
      </w:r>
      <w:r w:rsidRPr="00CF1885">
        <w:rPr>
          <w:rFonts w:cs="Arial"/>
          <w:rtl/>
        </w:rPr>
        <w:t xml:space="preserve"> </w:t>
      </w:r>
      <w:r w:rsidRPr="00CF1885">
        <w:rPr>
          <w:rFonts w:cs="Arial" w:hint="cs"/>
          <w:rtl/>
        </w:rPr>
        <w:t>המקום</w:t>
      </w:r>
      <w:r w:rsidRPr="00CF1885">
        <w:rPr>
          <w:rFonts w:cs="Arial"/>
          <w:rtl/>
        </w:rPr>
        <w:t xml:space="preserve"> </w:t>
      </w:r>
      <w:r w:rsidRPr="00CF1885">
        <w:rPr>
          <w:rFonts w:cs="Arial" w:hint="cs"/>
          <w:rtl/>
        </w:rPr>
        <w:t>ויזיזם</w:t>
      </w:r>
      <w:r w:rsidRPr="00CF1885">
        <w:rPr>
          <w:rFonts w:cs="Arial"/>
          <w:rtl/>
        </w:rPr>
        <w:t xml:space="preserve"> </w:t>
      </w:r>
      <w:r w:rsidRPr="00CF1885">
        <w:rPr>
          <w:rFonts w:cs="Arial" w:hint="cs"/>
          <w:rtl/>
        </w:rPr>
        <w:t>ממקומם</w:t>
      </w:r>
      <w:r w:rsidRPr="00CF1885">
        <w:rPr>
          <w:rFonts w:cs="Arial"/>
          <w:rtl/>
        </w:rPr>
        <w:t xml:space="preserve"> </w:t>
      </w:r>
      <w:r w:rsidRPr="00CF1885">
        <w:rPr>
          <w:rFonts w:cs="Arial" w:hint="cs"/>
          <w:rtl/>
        </w:rPr>
        <w:t>ושוב</w:t>
      </w:r>
      <w:r w:rsidRPr="00CF1885">
        <w:rPr>
          <w:rFonts w:cs="Arial"/>
          <w:rtl/>
        </w:rPr>
        <w:t xml:space="preserve"> </w:t>
      </w:r>
      <w:r w:rsidRPr="00CF1885">
        <w:rPr>
          <w:rFonts w:cs="Arial" w:hint="cs"/>
          <w:rtl/>
        </w:rPr>
        <w:t>לית</w:t>
      </w:r>
      <w:r w:rsidRPr="00CF1885">
        <w:rPr>
          <w:rFonts w:cs="Arial"/>
          <w:rtl/>
        </w:rPr>
        <w:t xml:space="preserve"> </w:t>
      </w:r>
      <w:r w:rsidRPr="00CF1885">
        <w:rPr>
          <w:rFonts w:cs="Arial" w:hint="cs"/>
          <w:rtl/>
        </w:rPr>
        <w:t>לן</w:t>
      </w:r>
      <w:r w:rsidRPr="00CF1885">
        <w:rPr>
          <w:rFonts w:cs="Arial"/>
          <w:rtl/>
        </w:rPr>
        <w:t xml:space="preserve"> </w:t>
      </w:r>
      <w:r w:rsidRPr="00CF1885">
        <w:rPr>
          <w:rFonts w:cs="Arial" w:hint="cs"/>
          <w:rtl/>
        </w:rPr>
        <w:t>בה</w:t>
      </w:r>
      <w:r w:rsidRPr="00CF1885">
        <w:rPr>
          <w:rFonts w:cs="Arial"/>
          <w:rtl/>
        </w:rPr>
        <w:t xml:space="preserve"> </w:t>
      </w:r>
      <w:r w:rsidRPr="00CF1885">
        <w:rPr>
          <w:rFonts w:cs="Arial" w:hint="cs"/>
          <w:rtl/>
        </w:rPr>
        <w:t>והא</w:t>
      </w:r>
      <w:r w:rsidRPr="00CF1885">
        <w:rPr>
          <w:rFonts w:cs="Arial"/>
          <w:rtl/>
        </w:rPr>
        <w:t>"</w:t>
      </w:r>
      <w:r w:rsidRPr="00CF1885">
        <w:rPr>
          <w:rFonts w:cs="Arial" w:hint="cs"/>
          <w:rtl/>
        </w:rPr>
        <w:t>ר</w:t>
      </w:r>
      <w:r w:rsidRPr="00CF1885">
        <w:rPr>
          <w:rFonts w:cs="Arial"/>
          <w:rtl/>
        </w:rPr>
        <w:t xml:space="preserve"> </w:t>
      </w:r>
      <w:r w:rsidRPr="00CF1885">
        <w:rPr>
          <w:rFonts w:cs="Arial" w:hint="cs"/>
          <w:rtl/>
        </w:rPr>
        <w:t>כתב</w:t>
      </w:r>
      <w:r w:rsidRPr="00CF1885">
        <w:rPr>
          <w:rFonts w:cs="Arial"/>
          <w:rtl/>
        </w:rPr>
        <w:t xml:space="preserve"> </w:t>
      </w:r>
      <w:r w:rsidRPr="00CF1885">
        <w:rPr>
          <w:rFonts w:cs="Arial" w:hint="cs"/>
          <w:rtl/>
        </w:rPr>
        <w:t>דאפשר</w:t>
      </w:r>
      <w:r w:rsidRPr="00CF1885">
        <w:rPr>
          <w:rFonts w:cs="Arial"/>
          <w:rtl/>
        </w:rPr>
        <w:t xml:space="preserve"> </w:t>
      </w:r>
      <w:r w:rsidRPr="00CF1885">
        <w:rPr>
          <w:rFonts w:cs="Arial" w:hint="cs"/>
          <w:rtl/>
        </w:rPr>
        <w:t>דדוקא</w:t>
      </w:r>
      <w:r w:rsidRPr="00CF1885">
        <w:rPr>
          <w:rFonts w:cs="Arial"/>
          <w:rtl/>
        </w:rPr>
        <w:t xml:space="preserve"> </w:t>
      </w:r>
      <w:r w:rsidRPr="00CF1885">
        <w:rPr>
          <w:rFonts w:cs="Arial" w:hint="cs"/>
          <w:rtl/>
        </w:rPr>
        <w:t>כשהשליכן</w:t>
      </w:r>
      <w:r w:rsidRPr="00CF1885">
        <w:rPr>
          <w:rFonts w:cs="Arial"/>
          <w:rtl/>
        </w:rPr>
        <w:t xml:space="preserve"> </w:t>
      </w:r>
      <w:r w:rsidRPr="00CF1885">
        <w:rPr>
          <w:rFonts w:cs="Arial" w:hint="cs"/>
          <w:rtl/>
        </w:rPr>
        <w:t>חוץ</w:t>
      </w:r>
      <w:r w:rsidRPr="00CF1885">
        <w:rPr>
          <w:rFonts w:cs="Arial"/>
          <w:rtl/>
        </w:rPr>
        <w:t xml:space="preserve"> </w:t>
      </w:r>
      <w:r w:rsidRPr="00CF1885">
        <w:rPr>
          <w:rFonts w:cs="Arial" w:hint="cs"/>
          <w:rtl/>
        </w:rPr>
        <w:t>לחדר</w:t>
      </w:r>
      <w:r w:rsidRPr="00CF1885">
        <w:rPr>
          <w:rFonts w:cs="Arial"/>
          <w:rtl/>
        </w:rPr>
        <w:t xml:space="preserve"> </w:t>
      </w:r>
      <w:r w:rsidRPr="00CF1885">
        <w:rPr>
          <w:rFonts w:cs="Arial" w:hint="cs"/>
          <w:rtl/>
        </w:rPr>
        <w:t>הוי</w:t>
      </w:r>
      <w:r w:rsidRPr="00CF1885">
        <w:rPr>
          <w:rFonts w:cs="Arial"/>
          <w:rtl/>
        </w:rPr>
        <w:t xml:space="preserve"> </w:t>
      </w:r>
      <w:r w:rsidRPr="00CF1885">
        <w:rPr>
          <w:rFonts w:cs="Arial" w:hint="cs"/>
          <w:rtl/>
        </w:rPr>
        <w:t>שינוי</w:t>
      </w:r>
      <w:r w:rsidRPr="00CF1885">
        <w:rPr>
          <w:rFonts w:cs="Arial"/>
          <w:rtl/>
        </w:rPr>
        <w:t xml:space="preserve"> </w:t>
      </w:r>
      <w:r w:rsidRPr="00CF1885">
        <w:rPr>
          <w:rFonts w:cs="Arial" w:hint="cs"/>
          <w:rtl/>
        </w:rPr>
        <w:t>מקום</w:t>
      </w:r>
      <w:r w:rsidRPr="00CF1885">
        <w:rPr>
          <w:rFonts w:cs="Arial"/>
          <w:rtl/>
        </w:rPr>
        <w:t xml:space="preserve">. </w:t>
      </w:r>
      <w:r w:rsidRPr="00CF1885">
        <w:rPr>
          <w:rFonts w:cs="Arial" w:hint="cs"/>
          <w:rtl/>
        </w:rPr>
        <w:t>ויש</w:t>
      </w:r>
      <w:r w:rsidRPr="00CF1885">
        <w:rPr>
          <w:rFonts w:cs="Arial"/>
          <w:rtl/>
        </w:rPr>
        <w:t xml:space="preserve"> </w:t>
      </w:r>
      <w:r w:rsidRPr="00CF1885">
        <w:rPr>
          <w:rFonts w:cs="Arial" w:hint="cs"/>
          <w:rtl/>
        </w:rPr>
        <w:t>ליטול</w:t>
      </w:r>
      <w:r w:rsidRPr="00CF1885">
        <w:rPr>
          <w:rFonts w:cs="Arial"/>
          <w:rtl/>
        </w:rPr>
        <w:t xml:space="preserve"> </w:t>
      </w:r>
      <w:r w:rsidRPr="00CF1885">
        <w:rPr>
          <w:rFonts w:cs="Arial" w:hint="cs"/>
          <w:rtl/>
        </w:rPr>
        <w:t>הידים</w:t>
      </w:r>
      <w:r w:rsidRPr="00CF1885">
        <w:rPr>
          <w:rFonts w:cs="Arial"/>
          <w:rtl/>
        </w:rPr>
        <w:t xml:space="preserve"> </w:t>
      </w:r>
      <w:r w:rsidRPr="00CF1885">
        <w:rPr>
          <w:rFonts w:cs="Arial" w:hint="cs"/>
          <w:rtl/>
        </w:rPr>
        <w:t>אחר</w:t>
      </w:r>
      <w:r w:rsidRPr="00CF1885">
        <w:rPr>
          <w:rFonts w:cs="Arial"/>
          <w:rtl/>
        </w:rPr>
        <w:t xml:space="preserve"> </w:t>
      </w:r>
      <w:r w:rsidRPr="00CF1885">
        <w:rPr>
          <w:rFonts w:cs="Arial" w:hint="cs"/>
          <w:rtl/>
        </w:rPr>
        <w:t>גילוח</w:t>
      </w:r>
      <w:r w:rsidRPr="00CF1885">
        <w:rPr>
          <w:rFonts w:cs="Arial"/>
          <w:rtl/>
        </w:rPr>
        <w:t xml:space="preserve"> </w:t>
      </w:r>
      <w:r w:rsidRPr="00CF1885">
        <w:rPr>
          <w:rFonts w:cs="Arial" w:hint="cs"/>
          <w:rtl/>
        </w:rPr>
        <w:t>הצפרנים</w:t>
      </w:r>
      <w:r w:rsidRPr="00CF1885">
        <w:rPr>
          <w:rFonts w:cs="Arial"/>
          <w:rtl/>
        </w:rPr>
        <w:t xml:space="preserve"> </w:t>
      </w:r>
      <w:r w:rsidRPr="00CF1885">
        <w:rPr>
          <w:rFonts w:cs="Arial" w:hint="cs"/>
          <w:rtl/>
        </w:rPr>
        <w:t>וכדלעיל</w:t>
      </w:r>
      <w:r w:rsidRPr="00CF1885">
        <w:rPr>
          <w:rFonts w:cs="Arial"/>
          <w:rtl/>
        </w:rPr>
        <w:t xml:space="preserve"> </w:t>
      </w:r>
      <w:r w:rsidRPr="00CF1885">
        <w:rPr>
          <w:rFonts w:cs="Arial" w:hint="cs"/>
          <w:rtl/>
        </w:rPr>
        <w:t>בסימן</w:t>
      </w:r>
      <w:r w:rsidRPr="00CF1885">
        <w:rPr>
          <w:rFonts w:cs="Arial"/>
          <w:rtl/>
        </w:rPr>
        <w:t xml:space="preserve"> </w:t>
      </w:r>
      <w:r w:rsidRPr="00CF1885">
        <w:rPr>
          <w:rFonts w:cs="Arial" w:hint="cs"/>
          <w:rtl/>
        </w:rPr>
        <w:t>ד</w:t>
      </w:r>
      <w:r w:rsidRPr="00CF1885">
        <w:rPr>
          <w:rFonts w:cs="Arial"/>
          <w:rtl/>
        </w:rPr>
        <w:t>'</w:t>
      </w:r>
      <w:r>
        <w:rPr>
          <w:rFonts w:cs="Arial" w:hint="cs"/>
          <w:rtl/>
        </w:rPr>
        <w:t>, משנ"ב (סק"ו).</w:t>
      </w:r>
    </w:p>
  </w:footnote>
  <w:footnote w:id="581">
    <w:p w14:paraId="263112B0" w14:textId="77777777" w:rsidR="004B2E7C" w:rsidRDefault="004B2E7C" w:rsidP="00285819">
      <w:pPr>
        <w:pStyle w:val="a7"/>
      </w:pPr>
      <w:r>
        <w:rPr>
          <w:rStyle w:val="a9"/>
        </w:rPr>
        <w:footnoteRef/>
      </w:r>
      <w:r>
        <w:rPr>
          <w:rtl/>
        </w:rPr>
        <w:t xml:space="preserve"> </w:t>
      </w:r>
      <w:r w:rsidRPr="00CF1885">
        <w:rPr>
          <w:rFonts w:cs="Arial" w:hint="cs"/>
          <w:rtl/>
        </w:rPr>
        <w:t>והאר</w:t>
      </w:r>
      <w:r w:rsidRPr="00CF1885">
        <w:rPr>
          <w:rFonts w:cs="Arial"/>
          <w:rtl/>
        </w:rPr>
        <w:t>"</w:t>
      </w:r>
      <w:r w:rsidRPr="00CF1885">
        <w:rPr>
          <w:rFonts w:cs="Arial" w:hint="cs"/>
          <w:rtl/>
        </w:rPr>
        <w:t>י</w:t>
      </w:r>
      <w:r w:rsidRPr="00CF1885">
        <w:rPr>
          <w:rFonts w:cs="Arial"/>
          <w:rtl/>
        </w:rPr>
        <w:t xml:space="preserve"> </w:t>
      </w:r>
      <w:r w:rsidRPr="00CF1885">
        <w:rPr>
          <w:rFonts w:cs="Arial" w:hint="cs"/>
          <w:rtl/>
        </w:rPr>
        <w:t>היה</w:t>
      </w:r>
      <w:r w:rsidRPr="00CF1885">
        <w:rPr>
          <w:rFonts w:cs="Arial"/>
          <w:rtl/>
        </w:rPr>
        <w:t xml:space="preserve"> </w:t>
      </w:r>
      <w:r w:rsidRPr="00CF1885">
        <w:rPr>
          <w:rFonts w:cs="Arial" w:hint="cs"/>
          <w:rtl/>
        </w:rPr>
        <w:t>מלעיג</w:t>
      </w:r>
      <w:r w:rsidRPr="00CF1885">
        <w:rPr>
          <w:rFonts w:cs="Arial"/>
          <w:rtl/>
        </w:rPr>
        <w:t xml:space="preserve"> </w:t>
      </w:r>
      <w:r w:rsidRPr="00CF1885">
        <w:rPr>
          <w:rFonts w:cs="Arial" w:hint="cs"/>
          <w:rtl/>
        </w:rPr>
        <w:t>ע</w:t>
      </w:r>
      <w:r w:rsidRPr="00CF1885">
        <w:rPr>
          <w:rFonts w:cs="Arial"/>
          <w:rtl/>
        </w:rPr>
        <w:t>"</w:t>
      </w:r>
      <w:r w:rsidRPr="00CF1885">
        <w:rPr>
          <w:rFonts w:cs="Arial" w:hint="cs"/>
          <w:rtl/>
        </w:rPr>
        <w:t>ז</w:t>
      </w:r>
      <w:r w:rsidRPr="00CF1885">
        <w:rPr>
          <w:rFonts w:cs="Arial"/>
          <w:rtl/>
        </w:rPr>
        <w:t xml:space="preserve"> </w:t>
      </w:r>
      <w:r w:rsidRPr="00CF1885">
        <w:rPr>
          <w:rFonts w:cs="Arial" w:hint="cs"/>
          <w:rtl/>
        </w:rPr>
        <w:t>ולא</w:t>
      </w:r>
      <w:r w:rsidRPr="00CF1885">
        <w:rPr>
          <w:rFonts w:cs="Arial"/>
          <w:rtl/>
        </w:rPr>
        <w:t xml:space="preserve"> </w:t>
      </w:r>
      <w:r w:rsidRPr="00CF1885">
        <w:rPr>
          <w:rFonts w:cs="Arial" w:hint="cs"/>
          <w:rtl/>
        </w:rPr>
        <w:t>היה</w:t>
      </w:r>
      <w:r w:rsidRPr="00CF1885">
        <w:rPr>
          <w:rFonts w:cs="Arial"/>
          <w:rtl/>
        </w:rPr>
        <w:t xml:space="preserve"> </w:t>
      </w:r>
      <w:r w:rsidRPr="00CF1885">
        <w:rPr>
          <w:rFonts w:cs="Arial" w:hint="cs"/>
          <w:rtl/>
        </w:rPr>
        <w:t>חושש</w:t>
      </w:r>
      <w:r w:rsidRPr="00CF1885">
        <w:rPr>
          <w:rFonts w:cs="Arial"/>
          <w:rtl/>
        </w:rPr>
        <w:t xml:space="preserve"> </w:t>
      </w:r>
      <w:r w:rsidRPr="00CF1885">
        <w:rPr>
          <w:rFonts w:cs="Arial" w:hint="cs"/>
          <w:rtl/>
        </w:rPr>
        <w:t>לכך</w:t>
      </w:r>
      <w:r w:rsidRPr="00CF1885">
        <w:rPr>
          <w:rFonts w:cs="Arial"/>
          <w:rtl/>
        </w:rPr>
        <w:t xml:space="preserve"> (</w:t>
      </w:r>
      <w:r w:rsidRPr="00CF1885">
        <w:rPr>
          <w:rFonts w:cs="Arial" w:hint="cs"/>
          <w:rtl/>
        </w:rPr>
        <w:t>הכונות</w:t>
      </w:r>
      <w:r w:rsidRPr="00CF1885">
        <w:rPr>
          <w:rFonts w:cs="Arial"/>
          <w:rtl/>
        </w:rPr>
        <w:t xml:space="preserve">) </w:t>
      </w:r>
      <w:r w:rsidRPr="00CF1885">
        <w:rPr>
          <w:rFonts w:cs="Arial" w:hint="cs"/>
          <w:rtl/>
        </w:rPr>
        <w:t>וכ</w:t>
      </w:r>
      <w:r w:rsidRPr="00CF1885">
        <w:rPr>
          <w:rFonts w:cs="Arial"/>
          <w:rtl/>
        </w:rPr>
        <w:t>"</w:t>
      </w:r>
      <w:r w:rsidRPr="00CF1885">
        <w:rPr>
          <w:rFonts w:cs="Arial" w:hint="cs"/>
          <w:rtl/>
        </w:rPr>
        <w:t>כ</w:t>
      </w:r>
      <w:r w:rsidRPr="00CF1885">
        <w:rPr>
          <w:rFonts w:cs="Arial"/>
          <w:rtl/>
        </w:rPr>
        <w:t xml:space="preserve"> </w:t>
      </w:r>
      <w:r w:rsidRPr="00CF1885">
        <w:rPr>
          <w:rFonts w:cs="Arial" w:hint="cs"/>
          <w:rtl/>
        </w:rPr>
        <w:t>התשב</w:t>
      </w:r>
      <w:r w:rsidRPr="00CF1885">
        <w:rPr>
          <w:rFonts w:cs="Arial"/>
          <w:rtl/>
        </w:rPr>
        <w:t>"</w:t>
      </w:r>
      <w:r w:rsidRPr="00CF1885">
        <w:rPr>
          <w:rFonts w:cs="Arial" w:hint="cs"/>
          <w:rtl/>
        </w:rPr>
        <w:t>ץ</w:t>
      </w:r>
      <w:r w:rsidRPr="00CF1885">
        <w:rPr>
          <w:rFonts w:cs="Arial"/>
          <w:rtl/>
        </w:rPr>
        <w:t xml:space="preserve"> </w:t>
      </w:r>
      <w:r w:rsidRPr="00CF1885">
        <w:rPr>
          <w:rFonts w:cs="Arial" w:hint="cs"/>
          <w:rtl/>
        </w:rPr>
        <w:t>סי</w:t>
      </w:r>
      <w:r w:rsidRPr="00CF1885">
        <w:rPr>
          <w:rFonts w:cs="Arial"/>
          <w:rtl/>
        </w:rPr>
        <w:t xml:space="preserve">' </w:t>
      </w:r>
      <w:r w:rsidRPr="00CF1885">
        <w:rPr>
          <w:rFonts w:cs="Arial" w:hint="cs"/>
          <w:rtl/>
        </w:rPr>
        <w:t>קנ</w:t>
      </w:r>
      <w:r w:rsidRPr="00CF1885">
        <w:rPr>
          <w:rFonts w:cs="Arial"/>
          <w:rtl/>
        </w:rPr>
        <w:t>"</w:t>
      </w:r>
      <w:r w:rsidRPr="00CF1885">
        <w:rPr>
          <w:rFonts w:cs="Arial" w:hint="cs"/>
          <w:rtl/>
        </w:rPr>
        <w:t>ד</w:t>
      </w:r>
      <w:r w:rsidRPr="00CF1885">
        <w:rPr>
          <w:rFonts w:cs="Arial"/>
          <w:rtl/>
        </w:rPr>
        <w:t xml:space="preserve"> </w:t>
      </w:r>
      <w:r w:rsidRPr="00CF1885">
        <w:rPr>
          <w:rFonts w:cs="Arial" w:hint="cs"/>
          <w:rtl/>
        </w:rPr>
        <w:t>בשם</w:t>
      </w:r>
      <w:r w:rsidRPr="00CF1885">
        <w:rPr>
          <w:rFonts w:cs="Arial"/>
          <w:rtl/>
        </w:rPr>
        <w:t xml:space="preserve"> </w:t>
      </w:r>
      <w:r w:rsidRPr="00CF1885">
        <w:rPr>
          <w:rFonts w:cs="Arial" w:hint="cs"/>
          <w:rtl/>
        </w:rPr>
        <w:t>מהר</w:t>
      </w:r>
      <w:r w:rsidRPr="00CF1885">
        <w:rPr>
          <w:rFonts w:cs="Arial"/>
          <w:rtl/>
        </w:rPr>
        <w:t>"</w:t>
      </w:r>
      <w:r w:rsidRPr="00CF1885">
        <w:rPr>
          <w:rFonts w:cs="Arial" w:hint="cs"/>
          <w:rtl/>
        </w:rPr>
        <w:t>מ</w:t>
      </w:r>
      <w:r w:rsidRPr="00CF1885">
        <w:rPr>
          <w:rFonts w:cs="Arial"/>
          <w:rtl/>
        </w:rPr>
        <w:t xml:space="preserve"> </w:t>
      </w:r>
      <w:r w:rsidRPr="00CF1885">
        <w:rPr>
          <w:rFonts w:cs="Arial" w:hint="cs"/>
          <w:rtl/>
        </w:rPr>
        <w:t>מיהו</w:t>
      </w:r>
      <w:r w:rsidRPr="00CF1885">
        <w:rPr>
          <w:rFonts w:cs="Arial"/>
          <w:rtl/>
        </w:rPr>
        <w:t xml:space="preserve"> </w:t>
      </w:r>
      <w:r w:rsidRPr="00CF1885">
        <w:rPr>
          <w:rFonts w:cs="Arial" w:hint="cs"/>
          <w:rtl/>
        </w:rPr>
        <w:t>יש</w:t>
      </w:r>
      <w:r w:rsidRPr="00CF1885">
        <w:rPr>
          <w:rFonts w:cs="Arial"/>
          <w:rtl/>
        </w:rPr>
        <w:t xml:space="preserve"> </w:t>
      </w:r>
      <w:r w:rsidRPr="00CF1885">
        <w:rPr>
          <w:rFonts w:cs="Arial" w:hint="cs"/>
          <w:rtl/>
        </w:rPr>
        <w:t>ליזהר</w:t>
      </w:r>
      <w:r w:rsidRPr="00CF1885">
        <w:rPr>
          <w:rFonts w:cs="Arial"/>
          <w:rtl/>
        </w:rPr>
        <w:t xml:space="preserve"> </w:t>
      </w:r>
      <w:r w:rsidRPr="00CF1885">
        <w:rPr>
          <w:rFonts w:cs="Arial" w:hint="cs"/>
          <w:rtl/>
        </w:rPr>
        <w:t>לכתחלה</w:t>
      </w:r>
      <w:r>
        <w:rPr>
          <w:rFonts w:cs="Arial" w:hint="cs"/>
          <w:rtl/>
        </w:rPr>
        <w:t>, מג"א (סק"א).</w:t>
      </w:r>
      <w:r w:rsidRPr="00CF1885">
        <w:rPr>
          <w:rFonts w:cs="Arial"/>
          <w:rtl/>
        </w:rPr>
        <w:t xml:space="preserve"> </w:t>
      </w:r>
      <w:r>
        <w:rPr>
          <w:rFonts w:cs="Arial" w:hint="cs"/>
          <w:rtl/>
        </w:rPr>
        <w:t>והביאו המשנ"ב (סק"ח).</w:t>
      </w:r>
    </w:p>
  </w:footnote>
  <w:footnote w:id="582">
    <w:p w14:paraId="43A6A581" w14:textId="77777777" w:rsidR="004B2E7C" w:rsidRDefault="004B2E7C" w:rsidP="00285819">
      <w:pPr>
        <w:pStyle w:val="a7"/>
        <w:rPr>
          <w:rtl/>
        </w:rPr>
      </w:pPr>
      <w:r>
        <w:rPr>
          <w:rStyle w:val="a9"/>
        </w:rPr>
        <w:footnoteRef/>
      </w:r>
      <w:r>
        <w:rPr>
          <w:rtl/>
        </w:rPr>
        <w:t xml:space="preserve"> </w:t>
      </w:r>
      <w:r>
        <w:rPr>
          <w:rFonts w:cs="Arial" w:hint="cs"/>
          <w:rtl/>
        </w:rPr>
        <w:t>שאם</w:t>
      </w:r>
      <w:r>
        <w:rPr>
          <w:rFonts w:cs="Arial"/>
          <w:rtl/>
        </w:rPr>
        <w:t xml:space="preserve"> </w:t>
      </w:r>
      <w:r>
        <w:rPr>
          <w:rFonts w:cs="Arial" w:hint="cs"/>
          <w:rtl/>
        </w:rPr>
        <w:t>ימהר</w:t>
      </w:r>
      <w:r>
        <w:rPr>
          <w:rFonts w:cs="Arial"/>
          <w:rtl/>
        </w:rPr>
        <w:t xml:space="preserve"> </w:t>
      </w:r>
      <w:r>
        <w:rPr>
          <w:rFonts w:cs="Arial" w:hint="cs"/>
          <w:rtl/>
        </w:rPr>
        <w:t>להזכירם</w:t>
      </w:r>
      <w:r>
        <w:rPr>
          <w:rFonts w:cs="Arial"/>
          <w:rtl/>
        </w:rPr>
        <w:t xml:space="preserve"> </w:t>
      </w:r>
      <w:r>
        <w:rPr>
          <w:rFonts w:cs="Arial" w:hint="cs"/>
          <w:rtl/>
        </w:rPr>
        <w:t>מבעוד</w:t>
      </w:r>
      <w:r>
        <w:rPr>
          <w:rFonts w:cs="Arial"/>
          <w:rtl/>
        </w:rPr>
        <w:t xml:space="preserve"> </w:t>
      </w:r>
      <w:r>
        <w:rPr>
          <w:rFonts w:cs="Arial" w:hint="cs"/>
          <w:rtl/>
        </w:rPr>
        <w:t>יום</w:t>
      </w:r>
      <w:r>
        <w:rPr>
          <w:rFonts w:cs="Arial"/>
          <w:rtl/>
        </w:rPr>
        <w:t xml:space="preserve"> </w:t>
      </w:r>
      <w:r>
        <w:rPr>
          <w:rFonts w:cs="Arial" w:hint="cs"/>
          <w:rtl/>
        </w:rPr>
        <w:t>יפשעו</w:t>
      </w:r>
      <w:r>
        <w:rPr>
          <w:rFonts w:cs="Arial"/>
          <w:rtl/>
        </w:rPr>
        <w:t xml:space="preserve"> </w:t>
      </w:r>
      <w:r>
        <w:rPr>
          <w:rFonts w:cs="Arial" w:hint="cs"/>
          <w:rtl/>
        </w:rPr>
        <w:t>ויאמרו</w:t>
      </w:r>
      <w:r>
        <w:rPr>
          <w:rFonts w:cs="Arial"/>
          <w:rtl/>
        </w:rPr>
        <w:t xml:space="preserve"> </w:t>
      </w:r>
      <w:r>
        <w:rPr>
          <w:rFonts w:cs="Arial" w:hint="cs"/>
          <w:rtl/>
        </w:rPr>
        <w:t>עדיין</w:t>
      </w:r>
      <w:r>
        <w:rPr>
          <w:rFonts w:cs="Arial"/>
          <w:rtl/>
        </w:rPr>
        <w:t xml:space="preserve"> </w:t>
      </w:r>
      <w:r>
        <w:rPr>
          <w:rFonts w:cs="Arial" w:hint="cs"/>
          <w:rtl/>
        </w:rPr>
        <w:t>יש</w:t>
      </w:r>
      <w:r>
        <w:rPr>
          <w:rFonts w:cs="Arial"/>
          <w:rtl/>
        </w:rPr>
        <w:t xml:space="preserve"> </w:t>
      </w:r>
      <w:r>
        <w:rPr>
          <w:rFonts w:cs="Arial" w:hint="cs"/>
          <w:rtl/>
        </w:rPr>
        <w:t>שהות</w:t>
      </w:r>
      <w:r>
        <w:rPr>
          <w:rFonts w:hint="cs"/>
          <w:rtl/>
        </w:rPr>
        <w:t>, רש"י.</w:t>
      </w:r>
    </w:p>
  </w:footnote>
  <w:footnote w:id="583">
    <w:p w14:paraId="6B282F36" w14:textId="77777777" w:rsidR="004B2E7C" w:rsidRDefault="004B2E7C" w:rsidP="00285819">
      <w:pPr>
        <w:pStyle w:val="a7"/>
        <w:rPr>
          <w:rtl/>
        </w:rPr>
      </w:pPr>
      <w:r>
        <w:rPr>
          <w:rStyle w:val="a9"/>
        </w:rPr>
        <w:footnoteRef/>
      </w:r>
      <w:r>
        <w:rPr>
          <w:rtl/>
        </w:rPr>
        <w:t xml:space="preserve"> </w:t>
      </w:r>
      <w:r w:rsidRPr="00321A04">
        <w:rPr>
          <w:rFonts w:cs="Arial" w:hint="cs"/>
          <w:rtl/>
        </w:rPr>
        <w:t>ובמקומות</w:t>
      </w:r>
      <w:r w:rsidRPr="00321A04">
        <w:rPr>
          <w:rFonts w:cs="Arial"/>
          <w:rtl/>
        </w:rPr>
        <w:t xml:space="preserve"> </w:t>
      </w:r>
      <w:r w:rsidRPr="00321A04">
        <w:rPr>
          <w:rFonts w:cs="Arial" w:hint="cs"/>
          <w:rtl/>
        </w:rPr>
        <w:t>שאין</w:t>
      </w:r>
      <w:r w:rsidRPr="00321A04">
        <w:rPr>
          <w:rFonts w:cs="Arial"/>
          <w:rtl/>
        </w:rPr>
        <w:t xml:space="preserve"> </w:t>
      </w:r>
      <w:r w:rsidRPr="00321A04">
        <w:rPr>
          <w:rFonts w:cs="Arial" w:hint="cs"/>
          <w:rtl/>
        </w:rPr>
        <w:t>דרך</w:t>
      </w:r>
      <w:r w:rsidRPr="00321A04">
        <w:rPr>
          <w:rFonts w:cs="Arial"/>
          <w:rtl/>
        </w:rPr>
        <w:t xml:space="preserve"> </w:t>
      </w:r>
      <w:r w:rsidRPr="00321A04">
        <w:rPr>
          <w:rFonts w:cs="Arial" w:hint="cs"/>
          <w:rtl/>
        </w:rPr>
        <w:t>להניח</w:t>
      </w:r>
      <w:r w:rsidRPr="00321A04">
        <w:rPr>
          <w:rFonts w:cs="Arial"/>
          <w:rtl/>
        </w:rPr>
        <w:t xml:space="preserve"> </w:t>
      </w:r>
      <w:r w:rsidRPr="00321A04">
        <w:rPr>
          <w:rFonts w:cs="Arial" w:hint="cs"/>
          <w:rtl/>
        </w:rPr>
        <w:t>עירובי</w:t>
      </w:r>
      <w:r w:rsidRPr="00321A04">
        <w:rPr>
          <w:rFonts w:cs="Arial"/>
          <w:rtl/>
        </w:rPr>
        <w:t xml:space="preserve"> </w:t>
      </w:r>
      <w:r w:rsidRPr="00321A04">
        <w:rPr>
          <w:rFonts w:cs="Arial" w:hint="cs"/>
          <w:rtl/>
        </w:rPr>
        <w:t>חצרות</w:t>
      </w:r>
      <w:r w:rsidRPr="00321A04">
        <w:rPr>
          <w:rFonts w:cs="Arial"/>
          <w:rtl/>
        </w:rPr>
        <w:t xml:space="preserve"> </w:t>
      </w:r>
      <w:r w:rsidRPr="00321A04">
        <w:rPr>
          <w:rFonts w:cs="Arial" w:hint="cs"/>
          <w:rtl/>
        </w:rPr>
        <w:t>כ</w:t>
      </w:r>
      <w:r w:rsidRPr="00321A04">
        <w:rPr>
          <w:rFonts w:cs="Arial"/>
          <w:rtl/>
        </w:rPr>
        <w:t>"</w:t>
      </w:r>
      <w:r w:rsidRPr="00321A04">
        <w:rPr>
          <w:rFonts w:cs="Arial" w:hint="cs"/>
          <w:rtl/>
        </w:rPr>
        <w:t>א</w:t>
      </w:r>
      <w:r w:rsidRPr="00321A04">
        <w:rPr>
          <w:rFonts w:cs="Arial"/>
          <w:rtl/>
        </w:rPr>
        <w:t xml:space="preserve"> </w:t>
      </w:r>
      <w:r w:rsidRPr="00321A04">
        <w:rPr>
          <w:rFonts w:cs="Arial" w:hint="cs"/>
          <w:rtl/>
        </w:rPr>
        <w:t>מע</w:t>
      </w:r>
      <w:r w:rsidRPr="00321A04">
        <w:rPr>
          <w:rFonts w:cs="Arial"/>
          <w:rtl/>
        </w:rPr>
        <w:t>"</w:t>
      </w:r>
      <w:r w:rsidRPr="00321A04">
        <w:rPr>
          <w:rFonts w:cs="Arial" w:hint="cs"/>
          <w:rtl/>
        </w:rPr>
        <w:t>פ</w:t>
      </w:r>
      <w:r w:rsidRPr="00321A04">
        <w:rPr>
          <w:rFonts w:cs="Arial"/>
          <w:rtl/>
        </w:rPr>
        <w:t xml:space="preserve"> </w:t>
      </w:r>
      <w:r w:rsidRPr="00321A04">
        <w:rPr>
          <w:rFonts w:cs="Arial" w:hint="cs"/>
          <w:rtl/>
        </w:rPr>
        <w:t>לע</w:t>
      </w:r>
      <w:r w:rsidRPr="00321A04">
        <w:rPr>
          <w:rFonts w:cs="Arial"/>
          <w:rtl/>
        </w:rPr>
        <w:t>"</w:t>
      </w:r>
      <w:r w:rsidRPr="00321A04">
        <w:rPr>
          <w:rFonts w:cs="Arial" w:hint="cs"/>
          <w:rtl/>
        </w:rPr>
        <w:t>פ</w:t>
      </w:r>
      <w:r w:rsidRPr="00321A04">
        <w:rPr>
          <w:rFonts w:cs="Arial"/>
          <w:rtl/>
        </w:rPr>
        <w:t xml:space="preserve"> </w:t>
      </w:r>
      <w:r w:rsidRPr="00321A04">
        <w:rPr>
          <w:rFonts w:cs="Arial" w:hint="cs"/>
          <w:rtl/>
        </w:rPr>
        <w:t>וגם</w:t>
      </w:r>
      <w:r w:rsidRPr="00321A04">
        <w:rPr>
          <w:rFonts w:cs="Arial"/>
          <w:rtl/>
        </w:rPr>
        <w:t xml:space="preserve"> </w:t>
      </w:r>
      <w:r w:rsidRPr="00321A04">
        <w:rPr>
          <w:rFonts w:cs="Arial" w:hint="cs"/>
          <w:rtl/>
        </w:rPr>
        <w:t>עירובי</w:t>
      </w:r>
      <w:r w:rsidRPr="00321A04">
        <w:rPr>
          <w:rFonts w:cs="Arial"/>
          <w:rtl/>
        </w:rPr>
        <w:t xml:space="preserve"> </w:t>
      </w:r>
      <w:r w:rsidRPr="00321A04">
        <w:rPr>
          <w:rFonts w:cs="Arial" w:hint="cs"/>
          <w:rtl/>
        </w:rPr>
        <w:t>תחומין</w:t>
      </w:r>
      <w:r w:rsidRPr="00321A04">
        <w:rPr>
          <w:rFonts w:cs="Arial"/>
          <w:rtl/>
        </w:rPr>
        <w:t xml:space="preserve"> </w:t>
      </w:r>
      <w:r w:rsidRPr="00321A04">
        <w:rPr>
          <w:rFonts w:cs="Arial" w:hint="cs"/>
          <w:rtl/>
        </w:rPr>
        <w:t>אין</w:t>
      </w:r>
      <w:r w:rsidRPr="00321A04">
        <w:rPr>
          <w:rFonts w:cs="Arial"/>
          <w:rtl/>
        </w:rPr>
        <w:t xml:space="preserve"> </w:t>
      </w:r>
      <w:r w:rsidRPr="00321A04">
        <w:rPr>
          <w:rFonts w:cs="Arial" w:hint="cs"/>
          <w:rtl/>
        </w:rPr>
        <w:t>דרכו</w:t>
      </w:r>
      <w:r w:rsidRPr="00321A04">
        <w:rPr>
          <w:rFonts w:cs="Arial"/>
          <w:rtl/>
        </w:rPr>
        <w:t xml:space="preserve"> </w:t>
      </w:r>
      <w:r w:rsidRPr="00321A04">
        <w:rPr>
          <w:rFonts w:cs="Arial" w:hint="cs"/>
          <w:rtl/>
        </w:rPr>
        <w:t>להניח</w:t>
      </w:r>
      <w:r w:rsidRPr="00321A04">
        <w:rPr>
          <w:rFonts w:cs="Arial"/>
          <w:rtl/>
        </w:rPr>
        <w:t xml:space="preserve"> </w:t>
      </w:r>
      <w:r w:rsidRPr="00321A04">
        <w:rPr>
          <w:rFonts w:cs="Arial" w:hint="cs"/>
          <w:rtl/>
        </w:rPr>
        <w:t>א</w:t>
      </w:r>
      <w:r>
        <w:rPr>
          <w:rFonts w:cs="Arial" w:hint="cs"/>
          <w:rtl/>
        </w:rPr>
        <w:t>"צ</w:t>
      </w:r>
      <w:r w:rsidRPr="00321A04">
        <w:rPr>
          <w:rFonts w:cs="Arial"/>
          <w:rtl/>
        </w:rPr>
        <w:t xml:space="preserve"> </w:t>
      </w:r>
      <w:r w:rsidRPr="00321A04">
        <w:rPr>
          <w:rFonts w:cs="Arial" w:hint="cs"/>
          <w:rtl/>
        </w:rPr>
        <w:t>לומר</w:t>
      </w:r>
      <w:r w:rsidRPr="00321A04">
        <w:rPr>
          <w:rFonts w:cs="Arial"/>
          <w:rtl/>
        </w:rPr>
        <w:t xml:space="preserve"> </w:t>
      </w:r>
      <w:r w:rsidRPr="00321A04">
        <w:rPr>
          <w:rFonts w:cs="Arial" w:hint="cs"/>
          <w:rtl/>
        </w:rPr>
        <w:t>זה</w:t>
      </w:r>
      <w:r>
        <w:rPr>
          <w:rFonts w:hint="cs"/>
          <w:rtl/>
        </w:rPr>
        <w:t>, משנ"ב (סקי"ב).</w:t>
      </w:r>
    </w:p>
  </w:footnote>
  <w:footnote w:id="584">
    <w:p w14:paraId="7FA8134A" w14:textId="77777777" w:rsidR="004B2E7C" w:rsidRDefault="004B2E7C" w:rsidP="00285819">
      <w:pPr>
        <w:pStyle w:val="a7"/>
      </w:pPr>
      <w:r>
        <w:rPr>
          <w:rStyle w:val="a9"/>
        </w:rPr>
        <w:footnoteRef/>
      </w:r>
      <w:r>
        <w:rPr>
          <w:rtl/>
        </w:rPr>
        <w:t xml:space="preserve"> </w:t>
      </w:r>
      <w:r w:rsidRPr="00684CAD">
        <w:rPr>
          <w:rFonts w:cs="Arial" w:hint="cs"/>
          <w:rtl/>
        </w:rPr>
        <w:t>וה</w:t>
      </w:r>
      <w:r w:rsidRPr="00684CAD">
        <w:rPr>
          <w:rFonts w:cs="Arial"/>
          <w:rtl/>
        </w:rPr>
        <w:t>"</w:t>
      </w:r>
      <w:r w:rsidRPr="00684CAD">
        <w:rPr>
          <w:rFonts w:cs="Arial" w:hint="cs"/>
          <w:rtl/>
        </w:rPr>
        <w:t>ה</w:t>
      </w:r>
      <w:r w:rsidRPr="00684CAD">
        <w:rPr>
          <w:rFonts w:cs="Arial"/>
          <w:rtl/>
        </w:rPr>
        <w:t xml:space="preserve"> </w:t>
      </w:r>
      <w:r w:rsidRPr="00684CAD">
        <w:rPr>
          <w:rFonts w:cs="Arial" w:hint="cs"/>
          <w:rtl/>
        </w:rPr>
        <w:t>שיזהירם</w:t>
      </w:r>
      <w:r w:rsidRPr="00684CAD">
        <w:rPr>
          <w:rFonts w:cs="Arial"/>
          <w:rtl/>
        </w:rPr>
        <w:t xml:space="preserve"> </w:t>
      </w:r>
      <w:r w:rsidRPr="00684CAD">
        <w:rPr>
          <w:rFonts w:cs="Arial" w:hint="cs"/>
          <w:rtl/>
        </w:rPr>
        <w:t>שיפסיקו</w:t>
      </w:r>
      <w:r w:rsidRPr="00684CAD">
        <w:rPr>
          <w:rFonts w:cs="Arial"/>
          <w:rtl/>
        </w:rPr>
        <w:t xml:space="preserve"> </w:t>
      </w:r>
      <w:r w:rsidRPr="00684CAD">
        <w:rPr>
          <w:rFonts w:cs="Arial" w:hint="cs"/>
          <w:rtl/>
        </w:rPr>
        <w:t>מלעשות</w:t>
      </w:r>
      <w:r w:rsidRPr="00684CAD">
        <w:rPr>
          <w:rFonts w:cs="Arial"/>
          <w:rtl/>
        </w:rPr>
        <w:t xml:space="preserve"> </w:t>
      </w:r>
      <w:r w:rsidRPr="00684CAD">
        <w:rPr>
          <w:rFonts w:cs="Arial" w:hint="cs"/>
          <w:rtl/>
        </w:rPr>
        <w:t>מלאכה</w:t>
      </w:r>
      <w:r w:rsidRPr="00684CAD">
        <w:rPr>
          <w:rFonts w:cs="Arial"/>
          <w:rtl/>
        </w:rPr>
        <w:t xml:space="preserve"> </w:t>
      </w:r>
      <w:r w:rsidRPr="00684CAD">
        <w:rPr>
          <w:rFonts w:cs="Arial" w:hint="cs"/>
          <w:rtl/>
        </w:rPr>
        <w:t>ועסי</w:t>
      </w:r>
      <w:r w:rsidRPr="00684CAD">
        <w:rPr>
          <w:rFonts w:cs="Arial"/>
          <w:rtl/>
        </w:rPr>
        <w:t xml:space="preserve">' </w:t>
      </w:r>
      <w:r w:rsidRPr="00684CAD">
        <w:rPr>
          <w:rFonts w:cs="Arial" w:hint="cs"/>
          <w:rtl/>
        </w:rPr>
        <w:t>רס</w:t>
      </w:r>
      <w:r w:rsidRPr="00684CAD">
        <w:rPr>
          <w:rFonts w:cs="Arial"/>
          <w:rtl/>
        </w:rPr>
        <w:t>"</w:t>
      </w:r>
      <w:r w:rsidRPr="00684CAD">
        <w:rPr>
          <w:rFonts w:cs="Arial" w:hint="cs"/>
          <w:rtl/>
        </w:rPr>
        <w:t>ג</w:t>
      </w:r>
      <w:r w:rsidRPr="00684CAD">
        <w:rPr>
          <w:rFonts w:cs="Arial"/>
          <w:rtl/>
        </w:rPr>
        <w:t xml:space="preserve"> </w:t>
      </w:r>
      <w:r w:rsidRPr="00684CAD">
        <w:rPr>
          <w:rFonts w:cs="Arial" w:hint="cs"/>
          <w:rtl/>
        </w:rPr>
        <w:t>ונ</w:t>
      </w:r>
      <w:r w:rsidRPr="00684CAD">
        <w:rPr>
          <w:rFonts w:cs="Arial"/>
          <w:rtl/>
        </w:rPr>
        <w:t>"</w:t>
      </w:r>
      <w:r w:rsidRPr="00684CAD">
        <w:rPr>
          <w:rFonts w:cs="Arial" w:hint="cs"/>
          <w:rtl/>
        </w:rPr>
        <w:t>ל</w:t>
      </w:r>
      <w:r w:rsidRPr="00684CAD">
        <w:rPr>
          <w:rFonts w:cs="Arial"/>
          <w:rtl/>
        </w:rPr>
        <w:t xml:space="preserve"> </w:t>
      </w:r>
      <w:r w:rsidRPr="00684CAD">
        <w:rPr>
          <w:rFonts w:cs="Arial" w:hint="cs"/>
          <w:rtl/>
        </w:rPr>
        <w:t>דצ</w:t>
      </w:r>
      <w:r w:rsidRPr="00684CAD">
        <w:rPr>
          <w:rFonts w:cs="Arial"/>
          <w:rtl/>
        </w:rPr>
        <w:t>"</w:t>
      </w:r>
      <w:r w:rsidRPr="00684CAD">
        <w:rPr>
          <w:rFonts w:cs="Arial" w:hint="cs"/>
          <w:rtl/>
        </w:rPr>
        <w:t>ל</w:t>
      </w:r>
      <w:r w:rsidRPr="00684CAD">
        <w:rPr>
          <w:rFonts w:cs="Arial"/>
          <w:rtl/>
        </w:rPr>
        <w:t xml:space="preserve"> </w:t>
      </w:r>
      <w:r w:rsidRPr="00684CAD">
        <w:rPr>
          <w:rFonts w:cs="Arial" w:hint="cs"/>
          <w:rtl/>
        </w:rPr>
        <w:t>ג</w:t>
      </w:r>
      <w:r w:rsidRPr="00684CAD">
        <w:rPr>
          <w:rFonts w:cs="Arial"/>
          <w:rtl/>
        </w:rPr>
        <w:t>"</w:t>
      </w:r>
      <w:r w:rsidRPr="00684CAD">
        <w:rPr>
          <w:rFonts w:cs="Arial" w:hint="cs"/>
          <w:rtl/>
        </w:rPr>
        <w:t>כ</w:t>
      </w:r>
      <w:r w:rsidRPr="00684CAD">
        <w:rPr>
          <w:rFonts w:cs="Arial"/>
          <w:rtl/>
        </w:rPr>
        <w:t xml:space="preserve"> </w:t>
      </w:r>
      <w:r w:rsidRPr="00684CAD">
        <w:rPr>
          <w:rFonts w:cs="Arial" w:hint="cs"/>
          <w:rtl/>
        </w:rPr>
        <w:t>ערבתם</w:t>
      </w:r>
      <w:r w:rsidRPr="00684CAD">
        <w:rPr>
          <w:rFonts w:cs="Arial"/>
          <w:rtl/>
        </w:rPr>
        <w:t xml:space="preserve"> </w:t>
      </w:r>
      <w:r w:rsidRPr="00684CAD">
        <w:rPr>
          <w:rFonts w:cs="Arial" w:hint="cs"/>
          <w:rtl/>
        </w:rPr>
        <w:t>ע</w:t>
      </w:r>
      <w:r w:rsidRPr="00684CAD">
        <w:rPr>
          <w:rFonts w:cs="Arial"/>
          <w:rtl/>
        </w:rPr>
        <w:t>"</w:t>
      </w:r>
      <w:r w:rsidRPr="00684CAD">
        <w:rPr>
          <w:rFonts w:cs="Arial" w:hint="cs"/>
          <w:rtl/>
        </w:rPr>
        <w:t>ח</w:t>
      </w:r>
      <w:r w:rsidRPr="00684CAD">
        <w:rPr>
          <w:rFonts w:cs="Arial"/>
          <w:rtl/>
        </w:rPr>
        <w:t xml:space="preserve"> </w:t>
      </w:r>
      <w:r w:rsidRPr="00684CAD">
        <w:rPr>
          <w:rFonts w:cs="Arial" w:hint="cs"/>
          <w:rtl/>
        </w:rPr>
        <w:t>כמ</w:t>
      </w:r>
      <w:r w:rsidRPr="00684CAD">
        <w:rPr>
          <w:rFonts w:cs="Arial"/>
          <w:rtl/>
        </w:rPr>
        <w:t>"</w:t>
      </w:r>
      <w:r w:rsidRPr="00684CAD">
        <w:rPr>
          <w:rFonts w:cs="Arial" w:hint="cs"/>
          <w:rtl/>
        </w:rPr>
        <w:t>ש</w:t>
      </w:r>
      <w:r w:rsidRPr="00684CAD">
        <w:rPr>
          <w:rFonts w:cs="Arial"/>
          <w:rtl/>
        </w:rPr>
        <w:t xml:space="preserve"> </w:t>
      </w:r>
      <w:r w:rsidRPr="00684CAD">
        <w:rPr>
          <w:rFonts w:cs="Arial" w:hint="cs"/>
          <w:rtl/>
        </w:rPr>
        <w:t>הטור</w:t>
      </w:r>
      <w:r w:rsidRPr="00684CAD">
        <w:rPr>
          <w:rFonts w:cs="Arial"/>
          <w:rtl/>
        </w:rPr>
        <w:t xml:space="preserve"> </w:t>
      </w:r>
      <w:r w:rsidRPr="00684CAD">
        <w:rPr>
          <w:rFonts w:cs="Arial" w:hint="cs"/>
          <w:rtl/>
        </w:rPr>
        <w:t>דאע</w:t>
      </w:r>
      <w:r w:rsidRPr="00684CAD">
        <w:rPr>
          <w:rFonts w:cs="Arial"/>
          <w:rtl/>
        </w:rPr>
        <w:t>"</w:t>
      </w:r>
      <w:r w:rsidRPr="00684CAD">
        <w:rPr>
          <w:rFonts w:cs="Arial" w:hint="cs"/>
          <w:rtl/>
        </w:rPr>
        <w:t>ג</w:t>
      </w:r>
      <w:r w:rsidRPr="00684CAD">
        <w:rPr>
          <w:rFonts w:cs="Arial"/>
          <w:rtl/>
        </w:rPr>
        <w:t xml:space="preserve"> </w:t>
      </w:r>
      <w:r w:rsidRPr="00684CAD">
        <w:rPr>
          <w:rFonts w:cs="Arial" w:hint="cs"/>
          <w:rtl/>
        </w:rPr>
        <w:t>דמותר</w:t>
      </w:r>
      <w:r w:rsidRPr="00684CAD">
        <w:rPr>
          <w:rFonts w:cs="Arial"/>
          <w:rtl/>
        </w:rPr>
        <w:t xml:space="preserve"> </w:t>
      </w:r>
      <w:r w:rsidRPr="00684CAD">
        <w:rPr>
          <w:rFonts w:cs="Arial" w:hint="cs"/>
          <w:rtl/>
        </w:rPr>
        <w:t>לערב</w:t>
      </w:r>
      <w:r w:rsidRPr="00684CAD">
        <w:rPr>
          <w:rFonts w:cs="Arial"/>
          <w:rtl/>
        </w:rPr>
        <w:t xml:space="preserve"> </w:t>
      </w:r>
      <w:r w:rsidRPr="00684CAD">
        <w:rPr>
          <w:rFonts w:cs="Arial" w:hint="cs"/>
          <w:rtl/>
        </w:rPr>
        <w:t>ב</w:t>
      </w:r>
      <w:r w:rsidRPr="00684CAD">
        <w:rPr>
          <w:rFonts w:cs="Arial"/>
          <w:rtl/>
        </w:rPr>
        <w:t>"</w:t>
      </w:r>
      <w:r w:rsidRPr="00684CAD">
        <w:rPr>
          <w:rFonts w:cs="Arial" w:hint="cs"/>
          <w:rtl/>
        </w:rPr>
        <w:t>ה</w:t>
      </w:r>
      <w:r w:rsidRPr="00684CAD">
        <w:rPr>
          <w:rFonts w:cs="Arial"/>
          <w:rtl/>
        </w:rPr>
        <w:t xml:space="preserve"> </w:t>
      </w:r>
      <w:r w:rsidRPr="00684CAD">
        <w:rPr>
          <w:rFonts w:cs="Arial" w:hint="cs"/>
          <w:rtl/>
        </w:rPr>
        <w:t>היינו</w:t>
      </w:r>
      <w:r w:rsidRPr="00684CAD">
        <w:rPr>
          <w:rFonts w:cs="Arial"/>
          <w:rtl/>
        </w:rPr>
        <w:t xml:space="preserve"> </w:t>
      </w:r>
      <w:r w:rsidRPr="00684CAD">
        <w:rPr>
          <w:rFonts w:cs="Arial" w:hint="cs"/>
          <w:rtl/>
        </w:rPr>
        <w:t>משום</w:t>
      </w:r>
      <w:r w:rsidRPr="00684CAD">
        <w:rPr>
          <w:rFonts w:cs="Arial"/>
          <w:rtl/>
        </w:rPr>
        <w:t xml:space="preserve"> </w:t>
      </w:r>
      <w:r w:rsidRPr="00684CAD">
        <w:rPr>
          <w:rFonts w:cs="Arial" w:hint="cs"/>
          <w:rtl/>
        </w:rPr>
        <w:t>מצוה</w:t>
      </w:r>
      <w:r w:rsidRPr="00684CAD">
        <w:rPr>
          <w:rFonts w:cs="Arial"/>
          <w:rtl/>
        </w:rPr>
        <w:t xml:space="preserve"> </w:t>
      </w:r>
      <w:r w:rsidRPr="00684CAD">
        <w:rPr>
          <w:rFonts w:cs="Arial" w:hint="cs"/>
          <w:rtl/>
        </w:rPr>
        <w:t>התירו</w:t>
      </w:r>
      <w:r w:rsidRPr="00684CAD">
        <w:rPr>
          <w:rFonts w:cs="Arial"/>
          <w:rtl/>
        </w:rPr>
        <w:t xml:space="preserve"> </w:t>
      </w:r>
      <w:r w:rsidRPr="00684CAD">
        <w:rPr>
          <w:rFonts w:cs="Arial" w:hint="cs"/>
          <w:rtl/>
        </w:rPr>
        <w:t>שבות</w:t>
      </w:r>
      <w:r w:rsidRPr="00684CAD">
        <w:rPr>
          <w:rFonts w:cs="Arial"/>
          <w:rtl/>
        </w:rPr>
        <w:t xml:space="preserve"> </w:t>
      </w:r>
      <w:r w:rsidRPr="00684CAD">
        <w:rPr>
          <w:rFonts w:cs="Arial" w:hint="cs"/>
          <w:rtl/>
        </w:rPr>
        <w:t>וא</w:t>
      </w:r>
      <w:r w:rsidRPr="00684CAD">
        <w:rPr>
          <w:rFonts w:cs="Arial"/>
          <w:rtl/>
        </w:rPr>
        <w:t>"</w:t>
      </w:r>
      <w:r w:rsidRPr="00684CAD">
        <w:rPr>
          <w:rFonts w:cs="Arial" w:hint="cs"/>
          <w:rtl/>
        </w:rPr>
        <w:t>כ</w:t>
      </w:r>
      <w:r w:rsidRPr="00684CAD">
        <w:rPr>
          <w:rFonts w:cs="Arial"/>
          <w:rtl/>
        </w:rPr>
        <w:t xml:space="preserve"> </w:t>
      </w:r>
      <w:r w:rsidRPr="00684CAD">
        <w:rPr>
          <w:rFonts w:cs="Arial" w:hint="cs"/>
          <w:rtl/>
        </w:rPr>
        <w:t>לכתחל</w:t>
      </w:r>
      <w:r w:rsidRPr="00684CAD">
        <w:rPr>
          <w:rFonts w:cs="Arial"/>
          <w:rtl/>
        </w:rPr>
        <w:t xml:space="preserve">' </w:t>
      </w:r>
      <w:r w:rsidRPr="00684CAD">
        <w:rPr>
          <w:rFonts w:cs="Arial" w:hint="cs"/>
          <w:rtl/>
        </w:rPr>
        <w:t>יש</w:t>
      </w:r>
      <w:r w:rsidRPr="00684CAD">
        <w:rPr>
          <w:rFonts w:cs="Arial"/>
          <w:rtl/>
        </w:rPr>
        <w:t xml:space="preserve"> </w:t>
      </w:r>
      <w:r w:rsidRPr="00684CAD">
        <w:rPr>
          <w:rFonts w:cs="Arial" w:hint="cs"/>
          <w:rtl/>
        </w:rPr>
        <w:t>להזהירם</w:t>
      </w:r>
      <w:r w:rsidRPr="00684CAD">
        <w:rPr>
          <w:rFonts w:cs="Arial"/>
          <w:rtl/>
        </w:rPr>
        <w:t xml:space="preserve"> </w:t>
      </w:r>
      <w:r w:rsidRPr="00684CAD">
        <w:rPr>
          <w:rFonts w:cs="Arial" w:hint="cs"/>
          <w:rtl/>
        </w:rPr>
        <w:t>שלא</w:t>
      </w:r>
      <w:r w:rsidRPr="00684CAD">
        <w:rPr>
          <w:rFonts w:cs="Arial"/>
          <w:rtl/>
        </w:rPr>
        <w:t xml:space="preserve"> </w:t>
      </w:r>
      <w:r w:rsidRPr="00684CAD">
        <w:rPr>
          <w:rFonts w:cs="Arial" w:hint="cs"/>
          <w:rtl/>
        </w:rPr>
        <w:t>יבואו</w:t>
      </w:r>
      <w:r w:rsidRPr="00684CAD">
        <w:rPr>
          <w:rFonts w:cs="Arial"/>
          <w:rtl/>
        </w:rPr>
        <w:t xml:space="preserve"> </w:t>
      </w:r>
      <w:r w:rsidRPr="00684CAD">
        <w:rPr>
          <w:rFonts w:cs="Arial" w:hint="cs"/>
          <w:rtl/>
        </w:rPr>
        <w:t>לידי</w:t>
      </w:r>
      <w:r w:rsidRPr="00684CAD">
        <w:rPr>
          <w:rFonts w:cs="Arial"/>
          <w:rtl/>
        </w:rPr>
        <w:t xml:space="preserve"> </w:t>
      </w:r>
      <w:r w:rsidRPr="00684CAD">
        <w:rPr>
          <w:rFonts w:cs="Arial" w:hint="cs"/>
          <w:rtl/>
        </w:rPr>
        <w:t>כך</w:t>
      </w:r>
      <w:r>
        <w:rPr>
          <w:rFonts w:cs="Arial" w:hint="cs"/>
          <w:rtl/>
        </w:rPr>
        <w:t>, מג"א (סק"ג).</w:t>
      </w:r>
      <w:r w:rsidRPr="00684CAD">
        <w:rPr>
          <w:rFonts w:cs="Arial"/>
          <w:rtl/>
        </w:rPr>
        <w:t xml:space="preserve"> </w:t>
      </w:r>
      <w:r w:rsidRPr="00321A04">
        <w:rPr>
          <w:rFonts w:cs="Arial" w:hint="cs"/>
          <w:rtl/>
        </w:rPr>
        <w:t>ואם</w:t>
      </w:r>
      <w:r w:rsidRPr="00321A04">
        <w:rPr>
          <w:rFonts w:cs="Arial"/>
          <w:rtl/>
        </w:rPr>
        <w:t xml:space="preserve"> </w:t>
      </w:r>
      <w:r w:rsidRPr="00321A04">
        <w:rPr>
          <w:rFonts w:cs="Arial" w:hint="cs"/>
          <w:rtl/>
        </w:rPr>
        <w:t>הוא</w:t>
      </w:r>
      <w:r w:rsidRPr="00321A04">
        <w:rPr>
          <w:rFonts w:cs="Arial"/>
          <w:rtl/>
        </w:rPr>
        <w:t xml:space="preserve"> </w:t>
      </w:r>
      <w:r w:rsidRPr="00321A04">
        <w:rPr>
          <w:rFonts w:cs="Arial" w:hint="cs"/>
          <w:rtl/>
        </w:rPr>
        <w:t>אז</w:t>
      </w:r>
      <w:r w:rsidRPr="00321A04">
        <w:rPr>
          <w:rFonts w:cs="Arial"/>
          <w:rtl/>
        </w:rPr>
        <w:t xml:space="preserve"> </w:t>
      </w:r>
      <w:r w:rsidRPr="00321A04">
        <w:rPr>
          <w:rFonts w:cs="Arial" w:hint="cs"/>
          <w:rtl/>
        </w:rPr>
        <w:t>בבה</w:t>
      </w:r>
      <w:r w:rsidRPr="00321A04">
        <w:rPr>
          <w:rFonts w:cs="Arial"/>
          <w:rtl/>
        </w:rPr>
        <w:t>"</w:t>
      </w:r>
      <w:r w:rsidRPr="00321A04">
        <w:rPr>
          <w:rFonts w:cs="Arial" w:hint="cs"/>
          <w:rtl/>
        </w:rPr>
        <w:t>מ</w:t>
      </w:r>
      <w:r w:rsidRPr="00321A04">
        <w:rPr>
          <w:rFonts w:cs="Arial"/>
          <w:rtl/>
        </w:rPr>
        <w:t xml:space="preserve"> </w:t>
      </w:r>
      <w:r w:rsidRPr="00321A04">
        <w:rPr>
          <w:rFonts w:cs="Arial" w:hint="cs"/>
          <w:rtl/>
        </w:rPr>
        <w:t>או</w:t>
      </w:r>
      <w:r w:rsidRPr="00321A04">
        <w:rPr>
          <w:rFonts w:cs="Arial"/>
          <w:rtl/>
        </w:rPr>
        <w:t xml:space="preserve"> </w:t>
      </w:r>
      <w:r w:rsidRPr="00321A04">
        <w:rPr>
          <w:rFonts w:cs="Arial" w:hint="cs"/>
          <w:rtl/>
        </w:rPr>
        <w:t>במקום</w:t>
      </w:r>
      <w:r w:rsidRPr="00321A04">
        <w:rPr>
          <w:rFonts w:cs="Arial"/>
          <w:rtl/>
        </w:rPr>
        <w:t xml:space="preserve"> </w:t>
      </w:r>
      <w:r w:rsidRPr="00321A04">
        <w:rPr>
          <w:rFonts w:cs="Arial" w:hint="cs"/>
          <w:rtl/>
        </w:rPr>
        <w:t>אחר</w:t>
      </w:r>
      <w:r w:rsidRPr="00321A04">
        <w:rPr>
          <w:rFonts w:cs="Arial"/>
          <w:rtl/>
        </w:rPr>
        <w:t xml:space="preserve"> </w:t>
      </w:r>
      <w:r w:rsidRPr="00321A04">
        <w:rPr>
          <w:rFonts w:cs="Arial" w:hint="cs"/>
          <w:rtl/>
        </w:rPr>
        <w:t>צריך</w:t>
      </w:r>
      <w:r w:rsidRPr="00321A04">
        <w:rPr>
          <w:rFonts w:cs="Arial"/>
          <w:rtl/>
        </w:rPr>
        <w:t xml:space="preserve"> </w:t>
      </w:r>
      <w:r w:rsidRPr="00321A04">
        <w:rPr>
          <w:rFonts w:cs="Arial" w:hint="cs"/>
          <w:rtl/>
        </w:rPr>
        <w:t>לשלוח</w:t>
      </w:r>
      <w:r w:rsidRPr="00321A04">
        <w:rPr>
          <w:rFonts w:cs="Arial"/>
          <w:rtl/>
        </w:rPr>
        <w:t xml:space="preserve"> </w:t>
      </w:r>
      <w:r w:rsidRPr="00321A04">
        <w:rPr>
          <w:rFonts w:cs="Arial" w:hint="cs"/>
          <w:rtl/>
        </w:rPr>
        <w:t>אחר</w:t>
      </w:r>
      <w:r w:rsidRPr="00321A04">
        <w:rPr>
          <w:rFonts w:cs="Arial"/>
          <w:rtl/>
        </w:rPr>
        <w:t xml:space="preserve"> </w:t>
      </w:r>
      <w:r w:rsidRPr="00321A04">
        <w:rPr>
          <w:rFonts w:cs="Arial" w:hint="cs"/>
          <w:rtl/>
        </w:rPr>
        <w:t>שיזהירם</w:t>
      </w:r>
      <w:r w:rsidRPr="00321A04">
        <w:rPr>
          <w:rFonts w:cs="Arial"/>
          <w:rtl/>
        </w:rPr>
        <w:t xml:space="preserve"> </w:t>
      </w:r>
      <w:r w:rsidRPr="00321A04">
        <w:rPr>
          <w:rFonts w:cs="Arial" w:hint="cs"/>
          <w:rtl/>
        </w:rPr>
        <w:t>לזה</w:t>
      </w:r>
      <w:r>
        <w:rPr>
          <w:rFonts w:cs="Arial" w:hint="cs"/>
          <w:rtl/>
        </w:rPr>
        <w:t>, משנ"ב (סקי"ד).</w:t>
      </w:r>
    </w:p>
  </w:footnote>
  <w:footnote w:id="585">
    <w:p w14:paraId="6DF8F4A4" w14:textId="77777777" w:rsidR="004B2E7C" w:rsidRDefault="004B2E7C" w:rsidP="00285819">
      <w:pPr>
        <w:pStyle w:val="a7"/>
      </w:pPr>
      <w:r>
        <w:rPr>
          <w:rStyle w:val="a9"/>
        </w:rPr>
        <w:footnoteRef/>
      </w:r>
      <w:r>
        <w:rPr>
          <w:rtl/>
        </w:rPr>
        <w:t xml:space="preserve"> </w:t>
      </w:r>
      <w:r w:rsidRPr="00236BE1">
        <w:rPr>
          <w:rFonts w:cs="Arial" w:hint="cs"/>
          <w:rtl/>
        </w:rPr>
        <w:t>כגון</w:t>
      </w:r>
      <w:r w:rsidRPr="00236BE1">
        <w:rPr>
          <w:rFonts w:cs="Arial"/>
          <w:rtl/>
        </w:rPr>
        <w:t xml:space="preserve"> </w:t>
      </w:r>
      <w:r w:rsidRPr="00236BE1">
        <w:rPr>
          <w:rFonts w:cs="Arial" w:hint="cs"/>
          <w:rtl/>
        </w:rPr>
        <w:t>בין</w:t>
      </w:r>
      <w:r w:rsidRPr="00236BE1">
        <w:rPr>
          <w:rFonts w:cs="Arial"/>
          <w:rtl/>
        </w:rPr>
        <w:t xml:space="preserve"> </w:t>
      </w:r>
      <w:r w:rsidRPr="00236BE1">
        <w:rPr>
          <w:rFonts w:cs="Arial" w:hint="cs"/>
          <w:rtl/>
        </w:rPr>
        <w:t>השמשות</w:t>
      </w:r>
      <w:r w:rsidRPr="00236BE1">
        <w:rPr>
          <w:rFonts w:cs="Arial"/>
          <w:rtl/>
        </w:rPr>
        <w:t xml:space="preserve">, </w:t>
      </w:r>
      <w:r w:rsidRPr="00236BE1">
        <w:rPr>
          <w:rFonts w:cs="Arial" w:hint="cs"/>
          <w:rtl/>
        </w:rPr>
        <w:t>אין</w:t>
      </w:r>
      <w:r w:rsidRPr="00236BE1">
        <w:rPr>
          <w:rFonts w:cs="Arial"/>
          <w:rtl/>
        </w:rPr>
        <w:t xml:space="preserve"> </w:t>
      </w:r>
      <w:r w:rsidRPr="00236BE1">
        <w:rPr>
          <w:rFonts w:cs="Arial" w:hint="cs"/>
          <w:rtl/>
        </w:rPr>
        <w:t>מעשרין</w:t>
      </w:r>
      <w:r w:rsidRPr="00236BE1">
        <w:rPr>
          <w:rFonts w:cs="Arial"/>
          <w:rtl/>
        </w:rPr>
        <w:t xml:space="preserve"> </w:t>
      </w:r>
      <w:r w:rsidRPr="00236BE1">
        <w:rPr>
          <w:rFonts w:cs="Arial" w:hint="cs"/>
          <w:rtl/>
        </w:rPr>
        <w:t>את</w:t>
      </w:r>
      <w:r w:rsidRPr="00236BE1">
        <w:rPr>
          <w:rFonts w:cs="Arial"/>
          <w:rtl/>
        </w:rPr>
        <w:t xml:space="preserve"> </w:t>
      </w:r>
      <w:r w:rsidRPr="00236BE1">
        <w:rPr>
          <w:rFonts w:cs="Arial" w:hint="cs"/>
          <w:rtl/>
        </w:rPr>
        <w:t>הודאי</w:t>
      </w:r>
      <w:r w:rsidRPr="00236BE1">
        <w:rPr>
          <w:rFonts w:cs="Arial"/>
          <w:rtl/>
        </w:rPr>
        <w:t xml:space="preserve"> - </w:t>
      </w:r>
      <w:r w:rsidRPr="00236BE1">
        <w:rPr>
          <w:rFonts w:cs="Arial" w:hint="cs"/>
          <w:rtl/>
        </w:rPr>
        <w:t>דתיקון</w:t>
      </w:r>
      <w:r w:rsidRPr="00236BE1">
        <w:rPr>
          <w:rFonts w:cs="Arial"/>
          <w:rtl/>
        </w:rPr>
        <w:t xml:space="preserve"> </w:t>
      </w:r>
      <w:r w:rsidRPr="00236BE1">
        <w:rPr>
          <w:rFonts w:cs="Arial" w:hint="cs"/>
          <w:rtl/>
        </w:rPr>
        <w:t>מעליא</w:t>
      </w:r>
      <w:r w:rsidRPr="00236BE1">
        <w:rPr>
          <w:rFonts w:cs="Arial"/>
          <w:rtl/>
        </w:rPr>
        <w:t xml:space="preserve"> </w:t>
      </w:r>
      <w:r w:rsidRPr="00236BE1">
        <w:rPr>
          <w:rFonts w:cs="Arial" w:hint="cs"/>
          <w:rtl/>
        </w:rPr>
        <w:t>הוא</w:t>
      </w:r>
      <w:r w:rsidRPr="00236BE1">
        <w:rPr>
          <w:rFonts w:cs="Arial"/>
          <w:rtl/>
        </w:rPr>
        <w:t xml:space="preserve">, </w:t>
      </w:r>
      <w:r w:rsidRPr="00236BE1">
        <w:rPr>
          <w:rFonts w:cs="Arial" w:hint="cs"/>
          <w:rtl/>
        </w:rPr>
        <w:t>אף</w:t>
      </w:r>
      <w:r w:rsidRPr="00236BE1">
        <w:rPr>
          <w:rFonts w:cs="Arial"/>
          <w:rtl/>
        </w:rPr>
        <w:t xml:space="preserve"> </w:t>
      </w:r>
      <w:r w:rsidRPr="00236BE1">
        <w:rPr>
          <w:rFonts w:cs="Arial" w:hint="cs"/>
          <w:rtl/>
        </w:rPr>
        <w:t>על</w:t>
      </w:r>
      <w:r w:rsidRPr="00236BE1">
        <w:rPr>
          <w:rFonts w:cs="Arial"/>
          <w:rtl/>
        </w:rPr>
        <w:t xml:space="preserve"> </w:t>
      </w:r>
      <w:r w:rsidRPr="00236BE1">
        <w:rPr>
          <w:rFonts w:cs="Arial" w:hint="cs"/>
          <w:rtl/>
        </w:rPr>
        <w:t>גב</w:t>
      </w:r>
      <w:r w:rsidRPr="00236BE1">
        <w:rPr>
          <w:rFonts w:cs="Arial"/>
          <w:rtl/>
        </w:rPr>
        <w:t xml:space="preserve"> </w:t>
      </w:r>
      <w:r w:rsidRPr="00236BE1">
        <w:rPr>
          <w:rFonts w:cs="Arial" w:hint="cs"/>
          <w:rtl/>
        </w:rPr>
        <w:t>דשבות</w:t>
      </w:r>
      <w:r w:rsidRPr="00236BE1">
        <w:rPr>
          <w:rFonts w:cs="Arial"/>
          <w:rtl/>
        </w:rPr>
        <w:t xml:space="preserve"> </w:t>
      </w:r>
      <w:r w:rsidRPr="00236BE1">
        <w:rPr>
          <w:rFonts w:cs="Arial" w:hint="cs"/>
          <w:rtl/>
        </w:rPr>
        <w:t>בעלמא</w:t>
      </w:r>
      <w:r w:rsidRPr="00236BE1">
        <w:rPr>
          <w:rFonts w:cs="Arial"/>
          <w:rtl/>
        </w:rPr>
        <w:t xml:space="preserve"> </w:t>
      </w:r>
      <w:r w:rsidRPr="00236BE1">
        <w:rPr>
          <w:rFonts w:cs="Arial" w:hint="cs"/>
          <w:rtl/>
        </w:rPr>
        <w:t>היא</w:t>
      </w:r>
      <w:r w:rsidRPr="00236BE1">
        <w:rPr>
          <w:rFonts w:cs="Arial"/>
          <w:rtl/>
        </w:rPr>
        <w:t xml:space="preserve">, </w:t>
      </w:r>
      <w:r w:rsidRPr="00236BE1">
        <w:rPr>
          <w:rFonts w:cs="Arial" w:hint="cs"/>
          <w:rtl/>
        </w:rPr>
        <w:t>קסבר</w:t>
      </w:r>
      <w:r w:rsidRPr="00236BE1">
        <w:rPr>
          <w:rFonts w:cs="Arial"/>
          <w:rtl/>
        </w:rPr>
        <w:t xml:space="preserve">: </w:t>
      </w:r>
      <w:r w:rsidRPr="00236BE1">
        <w:rPr>
          <w:rFonts w:cs="Arial" w:hint="cs"/>
          <w:rtl/>
        </w:rPr>
        <w:t>גזרו</w:t>
      </w:r>
      <w:r w:rsidRPr="00236BE1">
        <w:rPr>
          <w:rFonts w:cs="Arial"/>
          <w:rtl/>
        </w:rPr>
        <w:t xml:space="preserve"> </w:t>
      </w:r>
      <w:r w:rsidRPr="00236BE1">
        <w:rPr>
          <w:rFonts w:cs="Arial" w:hint="cs"/>
          <w:rtl/>
        </w:rPr>
        <w:t>על</w:t>
      </w:r>
      <w:r w:rsidRPr="00236BE1">
        <w:rPr>
          <w:rFonts w:cs="Arial"/>
          <w:rtl/>
        </w:rPr>
        <w:t xml:space="preserve"> </w:t>
      </w:r>
      <w:r w:rsidRPr="00236BE1">
        <w:rPr>
          <w:rFonts w:cs="Arial" w:hint="cs"/>
          <w:rtl/>
        </w:rPr>
        <w:t>השבות</w:t>
      </w:r>
      <w:r w:rsidRPr="00236BE1">
        <w:rPr>
          <w:rFonts w:cs="Arial"/>
          <w:rtl/>
        </w:rPr>
        <w:t xml:space="preserve"> </w:t>
      </w:r>
      <w:r w:rsidRPr="00236BE1">
        <w:rPr>
          <w:rFonts w:cs="Arial" w:hint="cs"/>
          <w:rtl/>
        </w:rPr>
        <w:t>אף</w:t>
      </w:r>
      <w:r w:rsidRPr="00236BE1">
        <w:rPr>
          <w:rFonts w:cs="Arial"/>
          <w:rtl/>
        </w:rPr>
        <w:t xml:space="preserve"> </w:t>
      </w:r>
      <w:r w:rsidRPr="00236BE1">
        <w:rPr>
          <w:rFonts w:cs="Arial" w:hint="cs"/>
          <w:rtl/>
        </w:rPr>
        <w:t>על</w:t>
      </w:r>
      <w:r w:rsidRPr="00236BE1">
        <w:rPr>
          <w:rFonts w:cs="Arial"/>
          <w:rtl/>
        </w:rPr>
        <w:t xml:space="preserve"> </w:t>
      </w:r>
      <w:r w:rsidRPr="00236BE1">
        <w:rPr>
          <w:rFonts w:cs="Arial" w:hint="cs"/>
          <w:rtl/>
        </w:rPr>
        <w:t>בין</w:t>
      </w:r>
      <w:r w:rsidRPr="00236BE1">
        <w:rPr>
          <w:rFonts w:cs="Arial"/>
          <w:rtl/>
        </w:rPr>
        <w:t xml:space="preserve"> </w:t>
      </w:r>
      <w:r w:rsidRPr="00236BE1">
        <w:rPr>
          <w:rFonts w:cs="Arial" w:hint="cs"/>
          <w:rtl/>
        </w:rPr>
        <w:t>השמשות</w:t>
      </w:r>
      <w:r>
        <w:rPr>
          <w:rFonts w:cs="Arial" w:hint="cs"/>
          <w:rtl/>
        </w:rPr>
        <w:t>, רש"י.</w:t>
      </w:r>
    </w:p>
  </w:footnote>
  <w:footnote w:id="586">
    <w:p w14:paraId="02CE340A" w14:textId="77777777" w:rsidR="004B2E7C" w:rsidRDefault="004B2E7C" w:rsidP="00285819">
      <w:pPr>
        <w:pStyle w:val="a7"/>
        <w:rPr>
          <w:rtl/>
        </w:rPr>
      </w:pPr>
      <w:r>
        <w:rPr>
          <w:rStyle w:val="a9"/>
        </w:rPr>
        <w:footnoteRef/>
      </w:r>
      <w:r>
        <w:rPr>
          <w:rtl/>
        </w:rPr>
        <w:t xml:space="preserve"> </w:t>
      </w:r>
      <w:r>
        <w:rPr>
          <w:rFonts w:cs="Arial" w:hint="cs"/>
          <w:rtl/>
        </w:rPr>
        <w:t>דהוי</w:t>
      </w:r>
      <w:r>
        <w:rPr>
          <w:rFonts w:cs="Arial"/>
          <w:rtl/>
        </w:rPr>
        <w:t xml:space="preserve"> </w:t>
      </w:r>
      <w:r>
        <w:rPr>
          <w:rFonts w:cs="Arial" w:hint="cs"/>
          <w:rtl/>
        </w:rPr>
        <w:t>נמי</w:t>
      </w:r>
      <w:r>
        <w:rPr>
          <w:rFonts w:cs="Arial"/>
          <w:rtl/>
        </w:rPr>
        <w:t xml:space="preserve"> </w:t>
      </w:r>
      <w:r>
        <w:rPr>
          <w:rFonts w:cs="Arial" w:hint="cs"/>
          <w:rtl/>
        </w:rPr>
        <w:t>שבות</w:t>
      </w:r>
      <w:r>
        <w:rPr>
          <w:rFonts w:cs="Arial"/>
          <w:rtl/>
        </w:rPr>
        <w:t xml:space="preserve"> </w:t>
      </w:r>
      <w:r>
        <w:rPr>
          <w:rFonts w:cs="Arial" w:hint="cs"/>
          <w:rtl/>
        </w:rPr>
        <w:t>דנראה</w:t>
      </w:r>
      <w:r>
        <w:rPr>
          <w:rFonts w:cs="Arial"/>
          <w:rtl/>
        </w:rPr>
        <w:t xml:space="preserve"> </w:t>
      </w:r>
      <w:r>
        <w:rPr>
          <w:rFonts w:cs="Arial" w:hint="cs"/>
          <w:rtl/>
        </w:rPr>
        <w:t>כמתקן</w:t>
      </w:r>
      <w:r>
        <w:rPr>
          <w:rFonts w:cs="Arial"/>
          <w:rtl/>
        </w:rPr>
        <w:t xml:space="preserve"> </w:t>
      </w:r>
      <w:r>
        <w:rPr>
          <w:rFonts w:cs="Arial" w:hint="cs"/>
          <w:rtl/>
        </w:rPr>
        <w:t>כלי</w:t>
      </w:r>
      <w:r>
        <w:rPr>
          <w:rFonts w:cs="Arial"/>
          <w:rtl/>
        </w:rPr>
        <w:t xml:space="preserve"> </w:t>
      </w:r>
      <w:r>
        <w:rPr>
          <w:rFonts w:cs="Arial" w:hint="cs"/>
          <w:rtl/>
        </w:rPr>
        <w:t>וכל</w:t>
      </w:r>
      <w:r>
        <w:rPr>
          <w:rFonts w:cs="Arial"/>
          <w:rtl/>
        </w:rPr>
        <w:t xml:space="preserve"> </w:t>
      </w:r>
      <w:r>
        <w:rPr>
          <w:rFonts w:cs="Arial" w:hint="cs"/>
          <w:rtl/>
        </w:rPr>
        <w:t>שכן</w:t>
      </w:r>
      <w:r>
        <w:rPr>
          <w:rFonts w:cs="Arial"/>
          <w:rtl/>
        </w:rPr>
        <w:t xml:space="preserve"> </w:t>
      </w:r>
      <w:r>
        <w:rPr>
          <w:rFonts w:cs="Arial" w:hint="cs"/>
          <w:rtl/>
        </w:rPr>
        <w:t>דאין</w:t>
      </w:r>
      <w:r>
        <w:rPr>
          <w:rFonts w:cs="Arial"/>
          <w:rtl/>
        </w:rPr>
        <w:t xml:space="preserve"> </w:t>
      </w:r>
      <w:r>
        <w:rPr>
          <w:rFonts w:cs="Arial" w:hint="cs"/>
          <w:rtl/>
        </w:rPr>
        <w:t>מדליקין</w:t>
      </w:r>
      <w:r>
        <w:rPr>
          <w:rFonts w:cs="Arial"/>
          <w:rtl/>
        </w:rPr>
        <w:t xml:space="preserve"> </w:t>
      </w:r>
      <w:r>
        <w:rPr>
          <w:rFonts w:cs="Arial" w:hint="cs"/>
          <w:rtl/>
        </w:rPr>
        <w:t>את</w:t>
      </w:r>
      <w:r>
        <w:rPr>
          <w:rFonts w:cs="Arial"/>
          <w:rtl/>
        </w:rPr>
        <w:t xml:space="preserve"> </w:t>
      </w:r>
      <w:r>
        <w:rPr>
          <w:rFonts w:cs="Arial" w:hint="cs"/>
          <w:rtl/>
        </w:rPr>
        <w:t>הנרות</w:t>
      </w:r>
      <w:r>
        <w:rPr>
          <w:rFonts w:cs="Arial"/>
          <w:rtl/>
        </w:rPr>
        <w:t xml:space="preserve"> </w:t>
      </w:r>
      <w:r>
        <w:rPr>
          <w:rFonts w:cs="Arial" w:hint="cs"/>
          <w:rtl/>
        </w:rPr>
        <w:t>דספיקא</w:t>
      </w:r>
      <w:r>
        <w:rPr>
          <w:rFonts w:cs="Arial"/>
          <w:rtl/>
        </w:rPr>
        <w:t xml:space="preserve"> </w:t>
      </w:r>
      <w:r>
        <w:rPr>
          <w:rFonts w:cs="Arial" w:hint="cs"/>
          <w:rtl/>
        </w:rPr>
        <w:t>דאורייתא</w:t>
      </w:r>
      <w:r>
        <w:rPr>
          <w:rFonts w:cs="Arial"/>
          <w:rtl/>
        </w:rPr>
        <w:t xml:space="preserve"> </w:t>
      </w:r>
      <w:r>
        <w:rPr>
          <w:rFonts w:cs="Arial" w:hint="cs"/>
          <w:rtl/>
        </w:rPr>
        <w:t>היא</w:t>
      </w:r>
      <w:r>
        <w:rPr>
          <w:rFonts w:hint="cs"/>
          <w:rtl/>
        </w:rPr>
        <w:t>, רש"י.</w:t>
      </w:r>
    </w:p>
  </w:footnote>
  <w:footnote w:id="587">
    <w:p w14:paraId="3BAF0BDF" w14:textId="77777777" w:rsidR="004B2E7C" w:rsidRDefault="004B2E7C" w:rsidP="00285819">
      <w:pPr>
        <w:pStyle w:val="a7"/>
      </w:pPr>
      <w:r>
        <w:rPr>
          <w:rStyle w:val="a9"/>
        </w:rPr>
        <w:footnoteRef/>
      </w:r>
      <w:r>
        <w:rPr>
          <w:rtl/>
        </w:rPr>
        <w:t xml:space="preserve"> </w:t>
      </w:r>
      <w:r w:rsidRPr="00802CD0">
        <w:rPr>
          <w:rFonts w:cs="Arial" w:hint="cs"/>
          <w:rtl/>
        </w:rPr>
        <w:t>דלא</w:t>
      </w:r>
      <w:r w:rsidRPr="00802CD0">
        <w:rPr>
          <w:rFonts w:cs="Arial"/>
          <w:rtl/>
        </w:rPr>
        <w:t xml:space="preserve"> </w:t>
      </w:r>
      <w:r w:rsidRPr="00802CD0">
        <w:rPr>
          <w:rFonts w:cs="Arial" w:hint="cs"/>
          <w:rtl/>
        </w:rPr>
        <w:t>דמי</w:t>
      </w:r>
      <w:r w:rsidRPr="00802CD0">
        <w:rPr>
          <w:rFonts w:cs="Arial"/>
          <w:rtl/>
        </w:rPr>
        <w:t xml:space="preserve"> </w:t>
      </w:r>
      <w:r w:rsidRPr="00802CD0">
        <w:rPr>
          <w:rFonts w:cs="Arial" w:hint="cs"/>
          <w:rtl/>
        </w:rPr>
        <w:t>למתקן</w:t>
      </w:r>
      <w:r w:rsidRPr="00802CD0">
        <w:rPr>
          <w:rFonts w:cs="Arial"/>
          <w:rtl/>
        </w:rPr>
        <w:t xml:space="preserve">, </w:t>
      </w:r>
      <w:r w:rsidRPr="00802CD0">
        <w:rPr>
          <w:rFonts w:cs="Arial" w:hint="cs"/>
          <w:rtl/>
        </w:rPr>
        <w:t>דרוב</w:t>
      </w:r>
      <w:r w:rsidRPr="00802CD0">
        <w:rPr>
          <w:rFonts w:cs="Arial"/>
          <w:rtl/>
        </w:rPr>
        <w:t xml:space="preserve"> </w:t>
      </w:r>
      <w:r w:rsidRPr="00802CD0">
        <w:rPr>
          <w:rFonts w:cs="Arial" w:hint="cs"/>
          <w:rtl/>
        </w:rPr>
        <w:t>עמי</w:t>
      </w:r>
      <w:r w:rsidRPr="00802CD0">
        <w:rPr>
          <w:rFonts w:cs="Arial"/>
          <w:rtl/>
        </w:rPr>
        <w:t xml:space="preserve"> </w:t>
      </w:r>
      <w:r w:rsidRPr="00802CD0">
        <w:rPr>
          <w:rFonts w:cs="Arial" w:hint="cs"/>
          <w:rtl/>
        </w:rPr>
        <w:t>הארץ</w:t>
      </w:r>
      <w:r w:rsidRPr="00802CD0">
        <w:rPr>
          <w:rFonts w:cs="Arial"/>
          <w:rtl/>
        </w:rPr>
        <w:t xml:space="preserve"> </w:t>
      </w:r>
      <w:r w:rsidRPr="00802CD0">
        <w:rPr>
          <w:rFonts w:cs="Arial" w:hint="cs"/>
          <w:rtl/>
        </w:rPr>
        <w:t>מעשרין</w:t>
      </w:r>
      <w:r w:rsidRPr="00802CD0">
        <w:rPr>
          <w:rFonts w:cs="Arial"/>
          <w:rtl/>
        </w:rPr>
        <w:t xml:space="preserve"> </w:t>
      </w:r>
      <w:r w:rsidRPr="00802CD0">
        <w:rPr>
          <w:rFonts w:cs="Arial" w:hint="cs"/>
          <w:rtl/>
        </w:rPr>
        <w:t>הן</w:t>
      </w:r>
      <w:r>
        <w:rPr>
          <w:rFonts w:cs="Arial" w:hint="cs"/>
          <w:rtl/>
        </w:rPr>
        <w:t>, רש"י.</w:t>
      </w:r>
    </w:p>
  </w:footnote>
  <w:footnote w:id="588">
    <w:p w14:paraId="4567323F" w14:textId="77777777" w:rsidR="004B2E7C" w:rsidRPr="00802CD0" w:rsidRDefault="004B2E7C" w:rsidP="00285819">
      <w:pPr>
        <w:pStyle w:val="a7"/>
        <w:rPr>
          <w:rFonts w:cs="Arial"/>
        </w:rPr>
      </w:pPr>
      <w:r>
        <w:rPr>
          <w:rStyle w:val="a9"/>
        </w:rPr>
        <w:footnoteRef/>
      </w:r>
      <w:r>
        <w:rPr>
          <w:rtl/>
        </w:rPr>
        <w:t xml:space="preserve"> </w:t>
      </w:r>
      <w:r w:rsidRPr="00802CD0">
        <w:rPr>
          <w:rFonts w:cs="Arial" w:hint="cs"/>
          <w:rtl/>
        </w:rPr>
        <w:t>תיקון</w:t>
      </w:r>
      <w:r w:rsidRPr="00802CD0">
        <w:rPr>
          <w:rFonts w:cs="Arial"/>
          <w:rtl/>
        </w:rPr>
        <w:t xml:space="preserve"> </w:t>
      </w:r>
      <w:r w:rsidRPr="00802CD0">
        <w:rPr>
          <w:rFonts w:cs="Arial" w:hint="cs"/>
          <w:rtl/>
        </w:rPr>
        <w:t>מעליא</w:t>
      </w:r>
      <w:r w:rsidRPr="00802CD0">
        <w:rPr>
          <w:rFonts w:cs="Arial"/>
          <w:rtl/>
        </w:rPr>
        <w:t xml:space="preserve">, </w:t>
      </w:r>
      <w:r w:rsidRPr="00802CD0">
        <w:rPr>
          <w:rFonts w:cs="Arial" w:hint="cs"/>
          <w:rtl/>
        </w:rPr>
        <w:t>דאסמכוה</w:t>
      </w:r>
      <w:r w:rsidRPr="00802CD0">
        <w:rPr>
          <w:rFonts w:cs="Arial"/>
          <w:rtl/>
        </w:rPr>
        <w:t xml:space="preserve"> </w:t>
      </w:r>
      <w:r w:rsidRPr="00802CD0">
        <w:rPr>
          <w:rFonts w:cs="Arial" w:hint="cs"/>
          <w:rtl/>
        </w:rPr>
        <w:t>רבנן</w:t>
      </w:r>
      <w:r w:rsidRPr="00802CD0">
        <w:rPr>
          <w:rFonts w:cs="Arial"/>
          <w:rtl/>
        </w:rPr>
        <w:t xml:space="preserve"> </w:t>
      </w:r>
      <w:r w:rsidRPr="00802CD0">
        <w:rPr>
          <w:rFonts w:cs="Arial" w:hint="cs"/>
          <w:rtl/>
        </w:rPr>
        <w:t>תחומין</w:t>
      </w:r>
      <w:r w:rsidRPr="00802CD0">
        <w:rPr>
          <w:rFonts w:cs="Arial"/>
          <w:rtl/>
        </w:rPr>
        <w:t xml:space="preserve"> </w:t>
      </w:r>
      <w:r w:rsidRPr="00802CD0">
        <w:rPr>
          <w:rFonts w:cs="Arial" w:hint="cs"/>
          <w:rtl/>
        </w:rPr>
        <w:t>אקראי</w:t>
      </w:r>
      <w:r w:rsidRPr="00802CD0">
        <w:rPr>
          <w:rFonts w:cs="Arial"/>
          <w:rtl/>
        </w:rPr>
        <w:t xml:space="preserve">, </w:t>
      </w:r>
      <w:r w:rsidRPr="00802CD0">
        <w:rPr>
          <w:rFonts w:cs="Arial" w:hint="cs"/>
          <w:rtl/>
        </w:rPr>
        <w:t>ואפילו</w:t>
      </w:r>
      <w:r w:rsidRPr="00802CD0">
        <w:rPr>
          <w:rFonts w:cs="Arial"/>
          <w:rtl/>
        </w:rPr>
        <w:t xml:space="preserve"> </w:t>
      </w:r>
      <w:r w:rsidRPr="00802CD0">
        <w:rPr>
          <w:rFonts w:cs="Arial" w:hint="cs"/>
          <w:rtl/>
        </w:rPr>
        <w:t>למאן</w:t>
      </w:r>
      <w:r w:rsidRPr="00802CD0">
        <w:rPr>
          <w:rFonts w:cs="Arial"/>
          <w:rtl/>
        </w:rPr>
        <w:t xml:space="preserve"> </w:t>
      </w:r>
      <w:r w:rsidRPr="00802CD0">
        <w:rPr>
          <w:rFonts w:cs="Arial" w:hint="cs"/>
          <w:rtl/>
        </w:rPr>
        <w:t>דאמר</w:t>
      </w:r>
      <w:r w:rsidRPr="00802CD0">
        <w:rPr>
          <w:rFonts w:cs="Arial"/>
          <w:rtl/>
        </w:rPr>
        <w:t xml:space="preserve"> </w:t>
      </w:r>
      <w:r w:rsidRPr="00802CD0">
        <w:rPr>
          <w:rFonts w:cs="Arial" w:hint="cs"/>
          <w:rtl/>
        </w:rPr>
        <w:t>תחומין</w:t>
      </w:r>
      <w:r w:rsidRPr="00802CD0">
        <w:rPr>
          <w:rFonts w:cs="Arial"/>
          <w:rtl/>
        </w:rPr>
        <w:t xml:space="preserve"> </w:t>
      </w:r>
      <w:r w:rsidRPr="00802CD0">
        <w:rPr>
          <w:rFonts w:cs="Arial" w:hint="cs"/>
          <w:rtl/>
        </w:rPr>
        <w:t>דרבנן</w:t>
      </w:r>
      <w:r w:rsidRPr="00802CD0">
        <w:rPr>
          <w:rFonts w:cs="Arial"/>
          <w:rtl/>
        </w:rPr>
        <w:t xml:space="preserve">, </w:t>
      </w:r>
      <w:r w:rsidRPr="00802CD0">
        <w:rPr>
          <w:rFonts w:cs="Arial" w:hint="cs"/>
          <w:rtl/>
        </w:rPr>
        <w:t>כדאמרינן</w:t>
      </w:r>
      <w:r w:rsidRPr="00802CD0">
        <w:rPr>
          <w:rFonts w:cs="Arial"/>
          <w:rtl/>
        </w:rPr>
        <w:t xml:space="preserve"> </w:t>
      </w:r>
      <w:r w:rsidRPr="00802CD0">
        <w:rPr>
          <w:rFonts w:cs="Arial" w:hint="cs"/>
          <w:rtl/>
        </w:rPr>
        <w:t>בעירובין</w:t>
      </w:r>
      <w:r w:rsidRPr="00802CD0">
        <w:rPr>
          <w:rFonts w:cs="Arial"/>
          <w:rtl/>
        </w:rPr>
        <w:t xml:space="preserve"> (</w:t>
      </w:r>
      <w:r w:rsidRPr="00802CD0">
        <w:rPr>
          <w:rFonts w:cs="Arial" w:hint="cs"/>
          <w:rtl/>
        </w:rPr>
        <w:t>נא</w:t>
      </w:r>
      <w:r>
        <w:rPr>
          <w:rFonts w:cs="Arial" w:hint="cs"/>
          <w:rtl/>
        </w:rPr>
        <w:t>.</w:t>
      </w:r>
      <w:r w:rsidRPr="00802CD0">
        <w:rPr>
          <w:rFonts w:cs="Arial"/>
          <w:rtl/>
        </w:rPr>
        <w:t xml:space="preserve">): </w:t>
      </w:r>
      <w:r w:rsidRPr="00802CD0">
        <w:rPr>
          <w:rFonts w:cs="Arial" w:hint="cs"/>
          <w:rtl/>
        </w:rPr>
        <w:t>ילפינן</w:t>
      </w:r>
      <w:r w:rsidRPr="00802CD0">
        <w:rPr>
          <w:rFonts w:cs="Arial"/>
          <w:rtl/>
        </w:rPr>
        <w:t xml:space="preserve"> </w:t>
      </w:r>
      <w:r w:rsidRPr="00802CD0">
        <w:rPr>
          <w:rFonts w:cs="Arial" w:hint="cs"/>
          <w:rtl/>
        </w:rPr>
        <w:t>מקום</w:t>
      </w:r>
      <w:r w:rsidRPr="00802CD0">
        <w:rPr>
          <w:rFonts w:cs="Arial"/>
          <w:rtl/>
        </w:rPr>
        <w:t xml:space="preserve"> </w:t>
      </w:r>
      <w:r w:rsidRPr="00802CD0">
        <w:rPr>
          <w:rFonts w:cs="Arial" w:hint="cs"/>
          <w:rtl/>
        </w:rPr>
        <w:t>ממקום</w:t>
      </w:r>
      <w:r w:rsidRPr="00802CD0">
        <w:rPr>
          <w:rFonts w:cs="Arial"/>
          <w:rtl/>
        </w:rPr>
        <w:t xml:space="preserve"> </w:t>
      </w:r>
      <w:r w:rsidRPr="00802CD0">
        <w:rPr>
          <w:rFonts w:cs="Arial" w:hint="cs"/>
          <w:rtl/>
        </w:rPr>
        <w:t>ומקום</w:t>
      </w:r>
      <w:r w:rsidRPr="00802CD0">
        <w:rPr>
          <w:rFonts w:cs="Arial"/>
          <w:rtl/>
        </w:rPr>
        <w:t xml:space="preserve"> </w:t>
      </w:r>
      <w:r w:rsidRPr="00802CD0">
        <w:rPr>
          <w:rFonts w:cs="Arial" w:hint="cs"/>
          <w:rtl/>
        </w:rPr>
        <w:t>מניסה</w:t>
      </w:r>
      <w:r w:rsidRPr="00802CD0">
        <w:rPr>
          <w:rFonts w:cs="Arial"/>
          <w:rtl/>
        </w:rPr>
        <w:t xml:space="preserve"> </w:t>
      </w:r>
      <w:r w:rsidRPr="00802CD0">
        <w:rPr>
          <w:rFonts w:cs="Arial" w:hint="cs"/>
          <w:rtl/>
        </w:rPr>
        <w:t>כו</w:t>
      </w:r>
      <w:r w:rsidRPr="00802CD0">
        <w:rPr>
          <w:rFonts w:cs="Arial"/>
          <w:rtl/>
        </w:rPr>
        <w:t xml:space="preserve">', </w:t>
      </w:r>
      <w:r w:rsidRPr="00802CD0">
        <w:rPr>
          <w:rFonts w:cs="Arial" w:hint="cs"/>
          <w:rtl/>
        </w:rPr>
        <w:t>אבל</w:t>
      </w:r>
      <w:r w:rsidRPr="00802CD0">
        <w:rPr>
          <w:rFonts w:cs="Arial"/>
          <w:rtl/>
        </w:rPr>
        <w:t xml:space="preserve"> </w:t>
      </w:r>
      <w:r w:rsidRPr="00802CD0">
        <w:rPr>
          <w:rFonts w:cs="Arial" w:hint="cs"/>
          <w:rtl/>
        </w:rPr>
        <w:t>עירובי</w:t>
      </w:r>
      <w:r w:rsidRPr="00802CD0">
        <w:rPr>
          <w:rFonts w:cs="Arial"/>
          <w:rtl/>
        </w:rPr>
        <w:t xml:space="preserve"> </w:t>
      </w:r>
      <w:r w:rsidRPr="00802CD0">
        <w:rPr>
          <w:rFonts w:cs="Arial" w:hint="cs"/>
          <w:rtl/>
        </w:rPr>
        <w:t>חצרות</w:t>
      </w:r>
      <w:r w:rsidRPr="00802CD0">
        <w:rPr>
          <w:rFonts w:cs="Arial"/>
          <w:rtl/>
        </w:rPr>
        <w:t xml:space="preserve"> - </w:t>
      </w:r>
      <w:r w:rsidRPr="00802CD0">
        <w:rPr>
          <w:rFonts w:cs="Arial" w:hint="cs"/>
          <w:rtl/>
        </w:rPr>
        <w:t>חומרא</w:t>
      </w:r>
      <w:r w:rsidRPr="00802CD0">
        <w:rPr>
          <w:rFonts w:cs="Arial"/>
          <w:rtl/>
        </w:rPr>
        <w:t xml:space="preserve"> </w:t>
      </w:r>
      <w:r w:rsidRPr="00802CD0">
        <w:rPr>
          <w:rFonts w:cs="Arial" w:hint="cs"/>
          <w:rtl/>
        </w:rPr>
        <w:t>בעלמא</w:t>
      </w:r>
      <w:r w:rsidRPr="00802CD0">
        <w:rPr>
          <w:rFonts w:cs="Arial"/>
          <w:rtl/>
        </w:rPr>
        <w:t xml:space="preserve"> </w:t>
      </w:r>
      <w:r w:rsidRPr="00802CD0">
        <w:rPr>
          <w:rFonts w:cs="Arial" w:hint="cs"/>
          <w:rtl/>
        </w:rPr>
        <w:t>הוא</w:t>
      </w:r>
      <w:r w:rsidRPr="00802CD0">
        <w:rPr>
          <w:rFonts w:cs="Arial"/>
          <w:rtl/>
        </w:rPr>
        <w:t xml:space="preserve">, </w:t>
      </w:r>
      <w:r w:rsidRPr="00802CD0">
        <w:rPr>
          <w:rFonts w:cs="Arial" w:hint="cs"/>
          <w:rtl/>
        </w:rPr>
        <w:t>ולא</w:t>
      </w:r>
      <w:r w:rsidRPr="00802CD0">
        <w:rPr>
          <w:rFonts w:cs="Arial"/>
          <w:rtl/>
        </w:rPr>
        <w:t xml:space="preserve"> </w:t>
      </w:r>
      <w:r w:rsidRPr="00802CD0">
        <w:rPr>
          <w:rFonts w:cs="Arial" w:hint="cs"/>
          <w:rtl/>
        </w:rPr>
        <w:t>מיקרי</w:t>
      </w:r>
      <w:r w:rsidRPr="00802CD0">
        <w:rPr>
          <w:rFonts w:cs="Arial"/>
          <w:rtl/>
        </w:rPr>
        <w:t xml:space="preserve"> </w:t>
      </w:r>
      <w:r w:rsidRPr="00802CD0">
        <w:rPr>
          <w:rFonts w:cs="Arial" w:hint="cs"/>
          <w:rtl/>
        </w:rPr>
        <w:t>שביתה</w:t>
      </w:r>
      <w:r w:rsidRPr="00802CD0">
        <w:rPr>
          <w:rFonts w:cs="Arial"/>
          <w:rtl/>
        </w:rPr>
        <w:t xml:space="preserve"> </w:t>
      </w:r>
      <w:r w:rsidRPr="00802CD0">
        <w:rPr>
          <w:rFonts w:cs="Arial" w:hint="cs"/>
          <w:rtl/>
        </w:rPr>
        <w:t>מעלייתא</w:t>
      </w:r>
      <w:r w:rsidRPr="00802CD0">
        <w:rPr>
          <w:rFonts w:cs="Arial"/>
          <w:rtl/>
        </w:rPr>
        <w:t xml:space="preserve">, </w:t>
      </w:r>
      <w:r w:rsidRPr="00802CD0">
        <w:rPr>
          <w:rFonts w:cs="Arial" w:hint="cs"/>
          <w:rtl/>
        </w:rPr>
        <w:t>וספקא</w:t>
      </w:r>
      <w:r w:rsidRPr="00802CD0">
        <w:rPr>
          <w:rFonts w:cs="Arial"/>
          <w:rtl/>
        </w:rPr>
        <w:t xml:space="preserve"> </w:t>
      </w:r>
      <w:r w:rsidRPr="00802CD0">
        <w:rPr>
          <w:rFonts w:cs="Arial" w:hint="cs"/>
          <w:rtl/>
        </w:rPr>
        <w:t>דבין</w:t>
      </w:r>
      <w:r w:rsidRPr="00802CD0">
        <w:rPr>
          <w:rFonts w:cs="Arial"/>
          <w:rtl/>
        </w:rPr>
        <w:t xml:space="preserve"> </w:t>
      </w:r>
      <w:r w:rsidRPr="00802CD0">
        <w:rPr>
          <w:rFonts w:cs="Arial" w:hint="cs"/>
          <w:rtl/>
        </w:rPr>
        <w:t>השמשות</w:t>
      </w:r>
      <w:r w:rsidRPr="00802CD0">
        <w:rPr>
          <w:rFonts w:cs="Arial"/>
          <w:rtl/>
        </w:rPr>
        <w:t xml:space="preserve"> </w:t>
      </w:r>
      <w:r w:rsidRPr="00802CD0">
        <w:rPr>
          <w:rFonts w:cs="Arial" w:hint="cs"/>
          <w:rtl/>
        </w:rPr>
        <w:t>שפיר</w:t>
      </w:r>
      <w:r w:rsidRPr="00802CD0">
        <w:rPr>
          <w:rFonts w:cs="Arial"/>
          <w:rtl/>
        </w:rPr>
        <w:t xml:space="preserve"> </w:t>
      </w:r>
      <w:r w:rsidRPr="00802CD0">
        <w:rPr>
          <w:rFonts w:cs="Arial" w:hint="cs"/>
          <w:rtl/>
        </w:rPr>
        <w:t>דמי</w:t>
      </w:r>
      <w:r>
        <w:rPr>
          <w:rFonts w:cs="Arial" w:hint="cs"/>
          <w:rtl/>
        </w:rPr>
        <w:t>, רש"י.</w:t>
      </w:r>
    </w:p>
  </w:footnote>
  <w:footnote w:id="589">
    <w:p w14:paraId="22FF6944" w14:textId="77777777" w:rsidR="004B2E7C" w:rsidRDefault="004B2E7C" w:rsidP="00285819">
      <w:pPr>
        <w:pStyle w:val="a7"/>
        <w:rPr>
          <w:rtl/>
        </w:rPr>
      </w:pPr>
      <w:r>
        <w:rPr>
          <w:rStyle w:val="a9"/>
        </w:rPr>
        <w:footnoteRef/>
      </w:r>
      <w:r>
        <w:rPr>
          <w:rtl/>
        </w:rPr>
        <w:t xml:space="preserve"> </w:t>
      </w:r>
      <w:r w:rsidRPr="00684CAD">
        <w:rPr>
          <w:rFonts w:cs="Arial" w:hint="cs"/>
          <w:rtl/>
        </w:rPr>
        <w:t>והשמיט</w:t>
      </w:r>
      <w:r w:rsidRPr="00684CAD">
        <w:rPr>
          <w:rFonts w:cs="Arial"/>
          <w:rtl/>
        </w:rPr>
        <w:t xml:space="preserve"> </w:t>
      </w:r>
      <w:r w:rsidRPr="00684CAD">
        <w:rPr>
          <w:rFonts w:cs="Arial" w:hint="cs"/>
          <w:rtl/>
        </w:rPr>
        <w:t>רבינו</w:t>
      </w:r>
      <w:r w:rsidRPr="00684CAD">
        <w:rPr>
          <w:rFonts w:cs="Arial"/>
          <w:rtl/>
        </w:rPr>
        <w:t xml:space="preserve"> </w:t>
      </w:r>
      <w:r w:rsidRPr="00684CAD">
        <w:rPr>
          <w:rFonts w:cs="Arial" w:hint="cs"/>
          <w:rtl/>
        </w:rPr>
        <w:t>טמינת</w:t>
      </w:r>
      <w:r w:rsidRPr="00684CAD">
        <w:rPr>
          <w:rFonts w:cs="Arial"/>
          <w:rtl/>
        </w:rPr>
        <w:t xml:space="preserve"> </w:t>
      </w:r>
      <w:r w:rsidRPr="00684CAD">
        <w:rPr>
          <w:rFonts w:cs="Arial" w:hint="cs"/>
          <w:rtl/>
        </w:rPr>
        <w:t>החמין</w:t>
      </w:r>
      <w:r w:rsidRPr="00684CAD">
        <w:rPr>
          <w:rFonts w:cs="Arial"/>
          <w:rtl/>
        </w:rPr>
        <w:t xml:space="preserve"> </w:t>
      </w:r>
      <w:r w:rsidRPr="00684CAD">
        <w:rPr>
          <w:rFonts w:cs="Arial" w:hint="cs"/>
          <w:rtl/>
        </w:rPr>
        <w:t>לפי</w:t>
      </w:r>
      <w:r w:rsidRPr="00684CAD">
        <w:rPr>
          <w:rFonts w:cs="Arial"/>
          <w:rtl/>
        </w:rPr>
        <w:t xml:space="preserve"> </w:t>
      </w:r>
      <w:r w:rsidRPr="00684CAD">
        <w:rPr>
          <w:rFonts w:cs="Arial" w:hint="cs"/>
          <w:rtl/>
        </w:rPr>
        <w:t>שכבר</w:t>
      </w:r>
      <w:r w:rsidRPr="00684CAD">
        <w:rPr>
          <w:rFonts w:cs="Arial"/>
          <w:rtl/>
        </w:rPr>
        <w:t xml:space="preserve"> </w:t>
      </w:r>
      <w:r w:rsidRPr="00684CAD">
        <w:rPr>
          <w:rFonts w:cs="Arial" w:hint="cs"/>
          <w:rtl/>
        </w:rPr>
        <w:t>הזכירו</w:t>
      </w:r>
      <w:r w:rsidRPr="00684CAD">
        <w:rPr>
          <w:rFonts w:cs="Arial"/>
          <w:rtl/>
        </w:rPr>
        <w:t xml:space="preserve"> </w:t>
      </w:r>
      <w:r w:rsidRPr="00684CAD">
        <w:rPr>
          <w:rFonts w:cs="Arial" w:hint="cs"/>
          <w:rtl/>
        </w:rPr>
        <w:t>בסימן</w:t>
      </w:r>
      <w:r w:rsidRPr="00684CAD">
        <w:rPr>
          <w:rFonts w:cs="Arial"/>
          <w:rtl/>
        </w:rPr>
        <w:t xml:space="preserve"> </w:t>
      </w:r>
      <w:r w:rsidRPr="00684CAD">
        <w:rPr>
          <w:rFonts w:cs="Arial" w:hint="cs"/>
          <w:rtl/>
        </w:rPr>
        <w:t>רנ</w:t>
      </w:r>
      <w:r w:rsidRPr="00684CAD">
        <w:rPr>
          <w:rFonts w:cs="Arial"/>
          <w:rtl/>
        </w:rPr>
        <w:t>"</w:t>
      </w:r>
      <w:r w:rsidRPr="00684CAD">
        <w:rPr>
          <w:rFonts w:cs="Arial" w:hint="cs"/>
          <w:rtl/>
        </w:rPr>
        <w:t>ז</w:t>
      </w:r>
      <w:r>
        <w:rPr>
          <w:rFonts w:hint="cs"/>
          <w:rtl/>
        </w:rPr>
        <w:t>, ב"י.</w:t>
      </w:r>
    </w:p>
  </w:footnote>
  <w:footnote w:id="590">
    <w:p w14:paraId="3B760908" w14:textId="77777777" w:rsidR="004B2E7C" w:rsidRDefault="004B2E7C" w:rsidP="00285819">
      <w:pPr>
        <w:pStyle w:val="a7"/>
        <w:rPr>
          <w:rtl/>
        </w:rPr>
      </w:pPr>
      <w:r>
        <w:rPr>
          <w:rStyle w:val="a9"/>
        </w:rPr>
        <w:footnoteRef/>
      </w:r>
      <w:r>
        <w:rPr>
          <w:rtl/>
        </w:rPr>
        <w:t xml:space="preserve"> </w:t>
      </w:r>
      <w:r>
        <w:rPr>
          <w:rFonts w:cs="Arial" w:hint="cs"/>
          <w:rtl/>
        </w:rPr>
        <w:t>רש"י (ד"ה ספק חשיכה) כתב לעיל דאין מטבילים את הכלים משום דתיקון</w:t>
      </w:r>
      <w:r>
        <w:rPr>
          <w:rFonts w:cs="Arial"/>
          <w:rtl/>
        </w:rPr>
        <w:t xml:space="preserve"> </w:t>
      </w:r>
      <w:r>
        <w:rPr>
          <w:rFonts w:cs="Arial" w:hint="cs"/>
          <w:rtl/>
        </w:rPr>
        <w:t>מעליא</w:t>
      </w:r>
      <w:r>
        <w:rPr>
          <w:rFonts w:cs="Arial"/>
          <w:rtl/>
        </w:rPr>
        <w:t xml:space="preserve"> </w:t>
      </w:r>
      <w:r>
        <w:rPr>
          <w:rFonts w:cs="Arial" w:hint="cs"/>
          <w:rtl/>
        </w:rPr>
        <w:t>הוא</w:t>
      </w:r>
      <w:r>
        <w:rPr>
          <w:rFonts w:cs="Arial"/>
          <w:rtl/>
        </w:rPr>
        <w:t xml:space="preserve"> </w:t>
      </w:r>
      <w:r>
        <w:rPr>
          <w:rFonts w:cs="Arial" w:hint="cs"/>
          <w:rtl/>
        </w:rPr>
        <w:t>ואף</w:t>
      </w:r>
      <w:r>
        <w:rPr>
          <w:rFonts w:cs="Arial"/>
          <w:rtl/>
        </w:rPr>
        <w:t xml:space="preserve"> </w:t>
      </w:r>
      <w:r>
        <w:rPr>
          <w:rFonts w:cs="Arial" w:hint="cs"/>
          <w:rtl/>
        </w:rPr>
        <w:t>על</w:t>
      </w:r>
      <w:r>
        <w:rPr>
          <w:rFonts w:cs="Arial"/>
          <w:rtl/>
        </w:rPr>
        <w:t xml:space="preserve"> </w:t>
      </w:r>
      <w:r>
        <w:rPr>
          <w:rFonts w:cs="Arial" w:hint="cs"/>
          <w:rtl/>
        </w:rPr>
        <w:t>גב</w:t>
      </w:r>
      <w:r>
        <w:rPr>
          <w:rFonts w:cs="Arial"/>
          <w:rtl/>
        </w:rPr>
        <w:t xml:space="preserve"> </w:t>
      </w:r>
      <w:r>
        <w:rPr>
          <w:rFonts w:cs="Arial" w:hint="cs"/>
          <w:rtl/>
        </w:rPr>
        <w:t>דשבות</w:t>
      </w:r>
      <w:r>
        <w:rPr>
          <w:rFonts w:cs="Arial"/>
          <w:rtl/>
        </w:rPr>
        <w:t xml:space="preserve"> </w:t>
      </w:r>
      <w:r>
        <w:rPr>
          <w:rFonts w:cs="Arial" w:hint="cs"/>
          <w:rtl/>
        </w:rPr>
        <w:t>בעלמא</w:t>
      </w:r>
      <w:r>
        <w:rPr>
          <w:rFonts w:cs="Arial"/>
          <w:rtl/>
        </w:rPr>
        <w:t xml:space="preserve"> </w:t>
      </w:r>
      <w:r>
        <w:rPr>
          <w:rFonts w:cs="Arial" w:hint="cs"/>
          <w:rtl/>
        </w:rPr>
        <w:t>הוא</w:t>
      </w:r>
      <w:r>
        <w:rPr>
          <w:rFonts w:cs="Arial"/>
          <w:rtl/>
        </w:rPr>
        <w:t xml:space="preserve"> </w:t>
      </w:r>
      <w:r>
        <w:rPr>
          <w:rFonts w:cs="Arial" w:hint="cs"/>
          <w:rtl/>
        </w:rPr>
        <w:t>קסבר</w:t>
      </w:r>
      <w:r>
        <w:rPr>
          <w:rFonts w:cs="Arial"/>
          <w:rtl/>
        </w:rPr>
        <w:t xml:space="preserve"> </w:t>
      </w:r>
      <w:r>
        <w:rPr>
          <w:rFonts w:cs="Arial" w:hint="cs"/>
          <w:rtl/>
        </w:rPr>
        <w:t>גזרו</w:t>
      </w:r>
      <w:r>
        <w:rPr>
          <w:rFonts w:cs="Arial"/>
          <w:rtl/>
        </w:rPr>
        <w:t xml:space="preserve"> </w:t>
      </w:r>
      <w:r>
        <w:rPr>
          <w:rFonts w:cs="Arial" w:hint="cs"/>
          <w:rtl/>
        </w:rPr>
        <w:t>על</w:t>
      </w:r>
      <w:r>
        <w:rPr>
          <w:rFonts w:cs="Arial"/>
          <w:rtl/>
        </w:rPr>
        <w:t xml:space="preserve"> </w:t>
      </w:r>
      <w:r>
        <w:rPr>
          <w:rFonts w:cs="Arial" w:hint="cs"/>
          <w:rtl/>
        </w:rPr>
        <w:t>השבות</w:t>
      </w:r>
      <w:r>
        <w:rPr>
          <w:rFonts w:cs="Arial"/>
          <w:rtl/>
        </w:rPr>
        <w:t xml:space="preserve"> </w:t>
      </w:r>
      <w:r>
        <w:rPr>
          <w:rFonts w:cs="Arial" w:hint="cs"/>
          <w:rtl/>
        </w:rPr>
        <w:t>אף</w:t>
      </w:r>
      <w:r>
        <w:rPr>
          <w:rFonts w:cs="Arial"/>
          <w:rtl/>
        </w:rPr>
        <w:t xml:space="preserve"> </w:t>
      </w:r>
      <w:r>
        <w:rPr>
          <w:rFonts w:cs="Arial" w:hint="cs"/>
          <w:rtl/>
        </w:rPr>
        <w:t>בין</w:t>
      </w:r>
      <w:r>
        <w:rPr>
          <w:rFonts w:cs="Arial"/>
          <w:rtl/>
        </w:rPr>
        <w:t xml:space="preserve"> </w:t>
      </w:r>
      <w:r>
        <w:rPr>
          <w:rFonts w:cs="Arial" w:hint="cs"/>
          <w:rtl/>
        </w:rPr>
        <w:t>השמשות. עכ"ד. וכתב הב"י דכיון</w:t>
      </w:r>
      <w:r>
        <w:rPr>
          <w:rFonts w:cs="Arial"/>
          <w:rtl/>
        </w:rPr>
        <w:t xml:space="preserve"> </w:t>
      </w:r>
      <w:r>
        <w:rPr>
          <w:rFonts w:cs="Arial" w:hint="cs"/>
          <w:rtl/>
        </w:rPr>
        <w:t>דקיימא</w:t>
      </w:r>
      <w:r>
        <w:rPr>
          <w:rFonts w:cs="Arial"/>
          <w:rtl/>
        </w:rPr>
        <w:t xml:space="preserve"> </w:t>
      </w:r>
      <w:r>
        <w:rPr>
          <w:rFonts w:cs="Arial" w:hint="cs"/>
          <w:rtl/>
        </w:rPr>
        <w:t>לן</w:t>
      </w:r>
      <w:r>
        <w:rPr>
          <w:rFonts w:cs="Arial"/>
          <w:rtl/>
        </w:rPr>
        <w:t xml:space="preserve"> </w:t>
      </w:r>
      <w:r>
        <w:rPr>
          <w:rFonts w:cs="Arial" w:hint="cs"/>
          <w:rtl/>
        </w:rPr>
        <w:t>כמאן</w:t>
      </w:r>
      <w:r>
        <w:rPr>
          <w:rFonts w:cs="Arial"/>
          <w:rtl/>
        </w:rPr>
        <w:t xml:space="preserve"> </w:t>
      </w:r>
      <w:r>
        <w:rPr>
          <w:rFonts w:cs="Arial" w:hint="cs"/>
          <w:rtl/>
        </w:rPr>
        <w:t>דאמר</w:t>
      </w:r>
      <w:r>
        <w:rPr>
          <w:rFonts w:cs="Arial"/>
          <w:rtl/>
        </w:rPr>
        <w:t xml:space="preserve"> </w:t>
      </w:r>
      <w:r>
        <w:rPr>
          <w:rFonts w:cs="Arial" w:hint="cs"/>
          <w:rtl/>
        </w:rPr>
        <w:t>כל</w:t>
      </w:r>
      <w:r>
        <w:rPr>
          <w:rFonts w:cs="Arial"/>
          <w:rtl/>
        </w:rPr>
        <w:t xml:space="preserve"> </w:t>
      </w:r>
      <w:r>
        <w:rPr>
          <w:rFonts w:cs="Arial" w:hint="cs"/>
          <w:rtl/>
        </w:rPr>
        <w:t>דבר</w:t>
      </w:r>
      <w:r>
        <w:rPr>
          <w:rFonts w:cs="Arial"/>
          <w:rtl/>
        </w:rPr>
        <w:t xml:space="preserve"> </w:t>
      </w:r>
      <w:r>
        <w:rPr>
          <w:rFonts w:cs="Arial" w:hint="cs"/>
          <w:rtl/>
        </w:rPr>
        <w:t>שהוא</w:t>
      </w:r>
      <w:r>
        <w:rPr>
          <w:rFonts w:cs="Arial"/>
          <w:rtl/>
        </w:rPr>
        <w:t xml:space="preserve"> </w:t>
      </w:r>
      <w:r>
        <w:rPr>
          <w:rFonts w:cs="Arial" w:hint="cs"/>
          <w:rtl/>
        </w:rPr>
        <w:t>משום</w:t>
      </w:r>
      <w:r>
        <w:rPr>
          <w:rFonts w:cs="Arial"/>
          <w:rtl/>
        </w:rPr>
        <w:t xml:space="preserve"> </w:t>
      </w:r>
      <w:r>
        <w:rPr>
          <w:rFonts w:cs="Arial" w:hint="cs"/>
          <w:rtl/>
        </w:rPr>
        <w:t>שבות</w:t>
      </w:r>
      <w:r>
        <w:rPr>
          <w:rFonts w:cs="Arial"/>
          <w:rtl/>
        </w:rPr>
        <w:t xml:space="preserve"> </w:t>
      </w:r>
      <w:r>
        <w:rPr>
          <w:rFonts w:cs="Arial" w:hint="cs"/>
          <w:rtl/>
        </w:rPr>
        <w:t>לא</w:t>
      </w:r>
      <w:r>
        <w:rPr>
          <w:rFonts w:cs="Arial"/>
          <w:rtl/>
        </w:rPr>
        <w:t xml:space="preserve"> </w:t>
      </w:r>
      <w:r>
        <w:rPr>
          <w:rFonts w:cs="Arial" w:hint="cs"/>
          <w:rtl/>
        </w:rPr>
        <w:t>גזרו</w:t>
      </w:r>
      <w:r>
        <w:rPr>
          <w:rFonts w:cs="Arial"/>
          <w:rtl/>
        </w:rPr>
        <w:t xml:space="preserve"> </w:t>
      </w:r>
      <w:r>
        <w:rPr>
          <w:rFonts w:cs="Arial" w:hint="cs"/>
          <w:rtl/>
        </w:rPr>
        <w:t>עליו</w:t>
      </w:r>
      <w:r>
        <w:rPr>
          <w:rFonts w:cs="Arial"/>
          <w:rtl/>
        </w:rPr>
        <w:t xml:space="preserve"> </w:t>
      </w:r>
      <w:r>
        <w:rPr>
          <w:rFonts w:cs="Arial" w:hint="cs"/>
          <w:rtl/>
        </w:rPr>
        <w:t>בין</w:t>
      </w:r>
      <w:r>
        <w:rPr>
          <w:rFonts w:cs="Arial"/>
          <w:rtl/>
        </w:rPr>
        <w:t xml:space="preserve"> </w:t>
      </w:r>
      <w:r>
        <w:rPr>
          <w:rFonts w:cs="Arial" w:hint="cs"/>
          <w:rtl/>
        </w:rPr>
        <w:t>השמשות</w:t>
      </w:r>
      <w:r>
        <w:rPr>
          <w:rFonts w:cs="Arial"/>
          <w:rtl/>
        </w:rPr>
        <w:t xml:space="preserve"> </w:t>
      </w:r>
      <w:r>
        <w:rPr>
          <w:rFonts w:cs="Arial" w:hint="cs"/>
          <w:rtl/>
        </w:rPr>
        <w:t>וכמו</w:t>
      </w:r>
      <w:r>
        <w:rPr>
          <w:rFonts w:cs="Arial"/>
          <w:rtl/>
        </w:rPr>
        <w:t xml:space="preserve"> </w:t>
      </w:r>
      <w:r>
        <w:rPr>
          <w:rFonts w:cs="Arial" w:hint="cs"/>
          <w:rtl/>
        </w:rPr>
        <w:t>שכתב</w:t>
      </w:r>
      <w:r>
        <w:rPr>
          <w:rFonts w:cs="Arial"/>
          <w:rtl/>
        </w:rPr>
        <w:t xml:space="preserve"> </w:t>
      </w:r>
      <w:r>
        <w:rPr>
          <w:rFonts w:cs="Arial" w:hint="cs"/>
          <w:rtl/>
        </w:rPr>
        <w:t>רבינו</w:t>
      </w:r>
      <w:r>
        <w:rPr>
          <w:rFonts w:cs="Arial"/>
          <w:rtl/>
        </w:rPr>
        <w:t xml:space="preserve"> </w:t>
      </w:r>
      <w:r>
        <w:rPr>
          <w:rFonts w:cs="Arial" w:hint="cs"/>
          <w:rtl/>
        </w:rPr>
        <w:t>בסימן</w:t>
      </w:r>
      <w:r>
        <w:rPr>
          <w:rFonts w:cs="Arial"/>
          <w:rtl/>
        </w:rPr>
        <w:t xml:space="preserve"> </w:t>
      </w:r>
      <w:r>
        <w:rPr>
          <w:rFonts w:cs="Arial" w:hint="cs"/>
          <w:rtl/>
        </w:rPr>
        <w:t>שמ</w:t>
      </w:r>
      <w:r>
        <w:rPr>
          <w:rFonts w:cs="Arial"/>
          <w:rtl/>
        </w:rPr>
        <w:t>"</w:t>
      </w:r>
      <w:r>
        <w:rPr>
          <w:rFonts w:cs="Arial" w:hint="cs"/>
          <w:rtl/>
        </w:rPr>
        <w:t>ב</w:t>
      </w:r>
      <w:r>
        <w:rPr>
          <w:rFonts w:cs="Arial"/>
          <w:rtl/>
        </w:rPr>
        <w:t xml:space="preserve"> </w:t>
      </w:r>
      <w:r>
        <w:rPr>
          <w:rFonts w:cs="Arial" w:hint="cs"/>
          <w:rtl/>
        </w:rPr>
        <w:t>אם</w:t>
      </w:r>
      <w:r>
        <w:rPr>
          <w:rFonts w:cs="Arial"/>
          <w:rtl/>
        </w:rPr>
        <w:t xml:space="preserve"> </w:t>
      </w:r>
      <w:r>
        <w:rPr>
          <w:rFonts w:cs="Arial" w:hint="cs"/>
          <w:rtl/>
        </w:rPr>
        <w:t>כן</w:t>
      </w:r>
      <w:r>
        <w:rPr>
          <w:rFonts w:cs="Arial"/>
          <w:rtl/>
        </w:rPr>
        <w:t xml:space="preserve"> </w:t>
      </w:r>
      <w:r>
        <w:rPr>
          <w:rFonts w:cs="Arial" w:hint="cs"/>
          <w:rtl/>
        </w:rPr>
        <w:t>מעשרין</w:t>
      </w:r>
      <w:r>
        <w:rPr>
          <w:rFonts w:cs="Arial"/>
          <w:rtl/>
        </w:rPr>
        <w:t xml:space="preserve"> </w:t>
      </w:r>
      <w:r>
        <w:rPr>
          <w:rFonts w:cs="Arial" w:hint="cs"/>
          <w:rtl/>
        </w:rPr>
        <w:t>את</w:t>
      </w:r>
      <w:r>
        <w:rPr>
          <w:rFonts w:cs="Arial"/>
          <w:rtl/>
        </w:rPr>
        <w:t xml:space="preserve"> </w:t>
      </w:r>
      <w:r>
        <w:rPr>
          <w:rFonts w:cs="Arial" w:hint="cs"/>
          <w:rtl/>
        </w:rPr>
        <w:t>הודאי</w:t>
      </w:r>
      <w:r>
        <w:rPr>
          <w:rFonts w:cs="Arial"/>
          <w:rtl/>
        </w:rPr>
        <w:t xml:space="preserve"> </w:t>
      </w:r>
      <w:r>
        <w:rPr>
          <w:rFonts w:cs="Arial" w:hint="cs"/>
          <w:rtl/>
        </w:rPr>
        <w:t>בין</w:t>
      </w:r>
      <w:r>
        <w:rPr>
          <w:rFonts w:cs="Arial"/>
          <w:rtl/>
        </w:rPr>
        <w:t xml:space="preserve"> </w:t>
      </w:r>
      <w:r>
        <w:rPr>
          <w:rFonts w:cs="Arial" w:hint="cs"/>
          <w:rtl/>
        </w:rPr>
        <w:t>השמשות</w:t>
      </w:r>
      <w:r>
        <w:rPr>
          <w:rFonts w:cs="Arial"/>
          <w:rtl/>
        </w:rPr>
        <w:t xml:space="preserve">. </w:t>
      </w:r>
      <w:r>
        <w:rPr>
          <w:rFonts w:cs="Arial" w:hint="cs"/>
          <w:rtl/>
        </w:rPr>
        <w:t>אבל</w:t>
      </w:r>
      <w:r>
        <w:rPr>
          <w:rFonts w:cs="Arial"/>
          <w:rtl/>
        </w:rPr>
        <w:t xml:space="preserve"> </w:t>
      </w:r>
      <w:r>
        <w:rPr>
          <w:rFonts w:cs="Arial" w:hint="cs"/>
          <w:rtl/>
        </w:rPr>
        <w:t>רבינו</w:t>
      </w:r>
      <w:r>
        <w:rPr>
          <w:rFonts w:cs="Arial"/>
          <w:rtl/>
        </w:rPr>
        <w:t xml:space="preserve"> </w:t>
      </w:r>
      <w:r>
        <w:rPr>
          <w:rFonts w:cs="Arial" w:hint="cs"/>
          <w:rtl/>
        </w:rPr>
        <w:t>בסימן</w:t>
      </w:r>
      <w:r>
        <w:rPr>
          <w:rFonts w:cs="Arial"/>
          <w:rtl/>
        </w:rPr>
        <w:t xml:space="preserve"> </w:t>
      </w:r>
      <w:r>
        <w:rPr>
          <w:rFonts w:cs="Arial" w:hint="cs"/>
          <w:rtl/>
        </w:rPr>
        <w:t>שמ</w:t>
      </w:r>
      <w:r>
        <w:rPr>
          <w:rFonts w:cs="Arial"/>
          <w:rtl/>
        </w:rPr>
        <w:t>"</w:t>
      </w:r>
      <w:r>
        <w:rPr>
          <w:rFonts w:cs="Arial" w:hint="cs"/>
          <w:rtl/>
        </w:rPr>
        <w:t>ב</w:t>
      </w:r>
      <w:r>
        <w:rPr>
          <w:rFonts w:cs="Arial"/>
          <w:rtl/>
        </w:rPr>
        <w:t xml:space="preserve"> </w:t>
      </w:r>
      <w:r>
        <w:rPr>
          <w:rFonts w:cs="Arial" w:hint="cs"/>
          <w:rtl/>
        </w:rPr>
        <w:t>כתב</w:t>
      </w:r>
      <w:r>
        <w:rPr>
          <w:rFonts w:cs="Arial"/>
          <w:rtl/>
        </w:rPr>
        <w:t xml:space="preserve"> </w:t>
      </w:r>
      <w:r>
        <w:rPr>
          <w:rFonts w:cs="Arial" w:hint="cs"/>
          <w:rtl/>
        </w:rPr>
        <w:t>דהא</w:t>
      </w:r>
      <w:r>
        <w:rPr>
          <w:rFonts w:cs="Arial"/>
          <w:rtl/>
        </w:rPr>
        <w:t xml:space="preserve"> </w:t>
      </w:r>
      <w:r>
        <w:rPr>
          <w:rFonts w:cs="Arial" w:hint="cs"/>
          <w:rtl/>
        </w:rPr>
        <w:t>דאמרינן</w:t>
      </w:r>
      <w:r>
        <w:rPr>
          <w:rFonts w:cs="Arial"/>
          <w:rtl/>
        </w:rPr>
        <w:t xml:space="preserve"> </w:t>
      </w:r>
      <w:r>
        <w:rPr>
          <w:rFonts w:cs="Arial" w:hint="cs"/>
          <w:rtl/>
        </w:rPr>
        <w:t>דלא</w:t>
      </w:r>
      <w:r>
        <w:rPr>
          <w:rFonts w:cs="Arial"/>
          <w:rtl/>
        </w:rPr>
        <w:t xml:space="preserve"> </w:t>
      </w:r>
      <w:r>
        <w:rPr>
          <w:rFonts w:cs="Arial" w:hint="cs"/>
          <w:rtl/>
        </w:rPr>
        <w:t>גזרו</w:t>
      </w:r>
      <w:r>
        <w:rPr>
          <w:rFonts w:cs="Arial"/>
          <w:rtl/>
        </w:rPr>
        <w:t xml:space="preserve"> </w:t>
      </w:r>
      <w:r>
        <w:rPr>
          <w:rFonts w:cs="Arial" w:hint="cs"/>
          <w:rtl/>
        </w:rPr>
        <w:t>עליו</w:t>
      </w:r>
      <w:r>
        <w:rPr>
          <w:rFonts w:cs="Arial"/>
          <w:rtl/>
        </w:rPr>
        <w:t xml:space="preserve"> </w:t>
      </w:r>
      <w:r>
        <w:rPr>
          <w:rFonts w:cs="Arial" w:hint="cs"/>
          <w:rtl/>
        </w:rPr>
        <w:t>בין</w:t>
      </w:r>
      <w:r>
        <w:rPr>
          <w:rFonts w:cs="Arial"/>
          <w:rtl/>
        </w:rPr>
        <w:t xml:space="preserve"> </w:t>
      </w:r>
      <w:r>
        <w:rPr>
          <w:rFonts w:cs="Arial" w:hint="cs"/>
          <w:rtl/>
        </w:rPr>
        <w:t>השמשות</w:t>
      </w:r>
      <w:r>
        <w:rPr>
          <w:rFonts w:cs="Arial"/>
          <w:rtl/>
        </w:rPr>
        <w:t xml:space="preserve"> </w:t>
      </w:r>
      <w:r>
        <w:rPr>
          <w:rFonts w:cs="Arial" w:hint="cs"/>
          <w:rtl/>
        </w:rPr>
        <w:t>דוקא</w:t>
      </w:r>
      <w:r>
        <w:rPr>
          <w:rFonts w:cs="Arial"/>
          <w:rtl/>
        </w:rPr>
        <w:t xml:space="preserve"> </w:t>
      </w:r>
      <w:r>
        <w:rPr>
          <w:rFonts w:cs="Arial" w:hint="cs"/>
          <w:rtl/>
        </w:rPr>
        <w:t>לצורך</w:t>
      </w:r>
      <w:r>
        <w:rPr>
          <w:rFonts w:cs="Arial"/>
          <w:rtl/>
        </w:rPr>
        <w:t xml:space="preserve"> </w:t>
      </w:r>
      <w:r>
        <w:rPr>
          <w:rFonts w:cs="Arial" w:hint="cs"/>
          <w:rtl/>
        </w:rPr>
        <w:t>מצוה</w:t>
      </w:r>
      <w:r>
        <w:rPr>
          <w:rFonts w:cs="Arial"/>
          <w:rtl/>
        </w:rPr>
        <w:t xml:space="preserve"> </w:t>
      </w:r>
      <w:r>
        <w:rPr>
          <w:rFonts w:cs="Arial" w:hint="cs"/>
          <w:rtl/>
        </w:rPr>
        <w:t>או</w:t>
      </w:r>
      <w:r>
        <w:rPr>
          <w:rFonts w:cs="Arial"/>
          <w:rtl/>
        </w:rPr>
        <w:t xml:space="preserve"> </w:t>
      </w:r>
      <w:r>
        <w:rPr>
          <w:rFonts w:cs="Arial" w:hint="cs"/>
          <w:rtl/>
        </w:rPr>
        <w:t>שהיה</w:t>
      </w:r>
      <w:r>
        <w:rPr>
          <w:rFonts w:cs="Arial"/>
          <w:rtl/>
        </w:rPr>
        <w:t xml:space="preserve"> </w:t>
      </w:r>
      <w:r>
        <w:rPr>
          <w:rFonts w:cs="Arial" w:hint="cs"/>
          <w:rtl/>
        </w:rPr>
        <w:t>טרוד</w:t>
      </w:r>
      <w:r>
        <w:rPr>
          <w:rFonts w:cs="Arial"/>
          <w:rtl/>
        </w:rPr>
        <w:t xml:space="preserve"> </w:t>
      </w:r>
      <w:r>
        <w:rPr>
          <w:rFonts w:cs="Arial" w:hint="cs"/>
          <w:rtl/>
        </w:rPr>
        <w:t>והוא</w:t>
      </w:r>
      <w:r>
        <w:rPr>
          <w:rFonts w:cs="Arial"/>
          <w:rtl/>
        </w:rPr>
        <w:t xml:space="preserve"> </w:t>
      </w:r>
      <w:r>
        <w:rPr>
          <w:rFonts w:cs="Arial" w:hint="cs"/>
          <w:rtl/>
        </w:rPr>
        <w:t>מדברי</w:t>
      </w:r>
      <w:r>
        <w:rPr>
          <w:rFonts w:cs="Arial"/>
          <w:rtl/>
        </w:rPr>
        <w:t xml:space="preserve"> </w:t>
      </w:r>
      <w:r>
        <w:rPr>
          <w:rFonts w:cs="Arial" w:hint="cs"/>
          <w:rtl/>
        </w:rPr>
        <w:t>הרמב</w:t>
      </w:r>
      <w:r>
        <w:rPr>
          <w:rFonts w:cs="Arial"/>
          <w:rtl/>
        </w:rPr>
        <w:t>"</w:t>
      </w:r>
      <w:r>
        <w:rPr>
          <w:rFonts w:cs="Arial" w:hint="cs"/>
          <w:rtl/>
        </w:rPr>
        <w:t>ם</w:t>
      </w:r>
      <w:r>
        <w:rPr>
          <w:rFonts w:cs="Arial"/>
          <w:rtl/>
        </w:rPr>
        <w:t xml:space="preserve"> </w:t>
      </w:r>
      <w:r>
        <w:rPr>
          <w:rFonts w:cs="Arial" w:hint="cs"/>
          <w:rtl/>
        </w:rPr>
        <w:t>בפרק</w:t>
      </w:r>
      <w:r>
        <w:rPr>
          <w:rFonts w:cs="Arial"/>
          <w:rtl/>
        </w:rPr>
        <w:t xml:space="preserve"> </w:t>
      </w:r>
      <w:r>
        <w:rPr>
          <w:rFonts w:cs="Arial" w:hint="cs"/>
          <w:rtl/>
        </w:rPr>
        <w:t>כ</w:t>
      </w:r>
      <w:r>
        <w:rPr>
          <w:rFonts w:cs="Arial"/>
          <w:rtl/>
        </w:rPr>
        <w:t>"</w:t>
      </w:r>
      <w:r>
        <w:rPr>
          <w:rFonts w:cs="Arial" w:hint="cs"/>
          <w:rtl/>
        </w:rPr>
        <w:t>ד</w:t>
      </w:r>
      <w:r>
        <w:rPr>
          <w:rFonts w:cs="Arial"/>
          <w:rtl/>
        </w:rPr>
        <w:t xml:space="preserve"> (</w:t>
      </w:r>
      <w:r>
        <w:rPr>
          <w:rFonts w:cs="Arial" w:hint="cs"/>
          <w:rtl/>
        </w:rPr>
        <w:t>ה</w:t>
      </w:r>
      <w:r>
        <w:rPr>
          <w:rFonts w:cs="Arial"/>
          <w:rtl/>
        </w:rPr>
        <w:t>"</w:t>
      </w:r>
      <w:r>
        <w:rPr>
          <w:rFonts w:cs="Arial" w:hint="cs"/>
          <w:rtl/>
        </w:rPr>
        <w:t>י</w:t>
      </w:r>
      <w:r>
        <w:rPr>
          <w:rFonts w:cs="Arial"/>
          <w:rtl/>
        </w:rPr>
        <w:t>)</w:t>
      </w:r>
      <w:r>
        <w:rPr>
          <w:rFonts w:cs="Arial" w:hint="cs"/>
          <w:rtl/>
        </w:rPr>
        <w:t>,</w:t>
      </w:r>
      <w:r>
        <w:rPr>
          <w:rFonts w:cs="Arial"/>
          <w:rtl/>
        </w:rPr>
        <w:t xml:space="preserve"> </w:t>
      </w:r>
      <w:r>
        <w:rPr>
          <w:rFonts w:cs="Arial" w:hint="cs"/>
          <w:rtl/>
        </w:rPr>
        <w:t>ומשמע</w:t>
      </w:r>
      <w:r>
        <w:rPr>
          <w:rFonts w:cs="Arial"/>
          <w:rtl/>
        </w:rPr>
        <w:t xml:space="preserve"> </w:t>
      </w:r>
      <w:r>
        <w:rPr>
          <w:rFonts w:cs="Arial" w:hint="cs"/>
          <w:rtl/>
        </w:rPr>
        <w:t>שהוא</w:t>
      </w:r>
      <w:r>
        <w:rPr>
          <w:rFonts w:cs="Arial"/>
          <w:rtl/>
        </w:rPr>
        <w:t xml:space="preserve"> </w:t>
      </w:r>
      <w:r>
        <w:rPr>
          <w:rFonts w:cs="Arial" w:hint="cs"/>
          <w:rtl/>
        </w:rPr>
        <w:t>שלא</w:t>
      </w:r>
      <w:r>
        <w:rPr>
          <w:rFonts w:cs="Arial"/>
          <w:rtl/>
        </w:rPr>
        <w:t xml:space="preserve"> </w:t>
      </w:r>
      <w:r>
        <w:rPr>
          <w:rFonts w:cs="Arial" w:hint="cs"/>
          <w:rtl/>
        </w:rPr>
        <w:t>כדעת</w:t>
      </w:r>
      <w:r>
        <w:rPr>
          <w:rFonts w:cs="Arial"/>
          <w:rtl/>
        </w:rPr>
        <w:t xml:space="preserve"> </w:t>
      </w:r>
      <w:r>
        <w:rPr>
          <w:rFonts w:cs="Arial" w:hint="cs"/>
          <w:rtl/>
        </w:rPr>
        <w:t>רש</w:t>
      </w:r>
      <w:r>
        <w:rPr>
          <w:rFonts w:cs="Arial"/>
          <w:rtl/>
        </w:rPr>
        <w:t>"</w:t>
      </w:r>
      <w:r>
        <w:rPr>
          <w:rFonts w:cs="Arial" w:hint="cs"/>
          <w:rtl/>
        </w:rPr>
        <w:t>י.</w:t>
      </w:r>
      <w:r>
        <w:rPr>
          <w:rFonts w:cs="Arial"/>
          <w:rtl/>
        </w:rPr>
        <w:t xml:space="preserve"> </w:t>
      </w:r>
      <w:r>
        <w:rPr>
          <w:rFonts w:cs="Arial" w:hint="cs"/>
          <w:rtl/>
        </w:rPr>
        <w:t>דאם</w:t>
      </w:r>
      <w:r>
        <w:rPr>
          <w:rFonts w:cs="Arial"/>
          <w:rtl/>
        </w:rPr>
        <w:t xml:space="preserve"> </w:t>
      </w:r>
      <w:r>
        <w:rPr>
          <w:rFonts w:cs="Arial" w:hint="cs"/>
          <w:rtl/>
        </w:rPr>
        <w:t>איתא</w:t>
      </w:r>
      <w:r>
        <w:rPr>
          <w:rFonts w:cs="Arial"/>
          <w:rtl/>
        </w:rPr>
        <w:t xml:space="preserve"> </w:t>
      </w:r>
      <w:r>
        <w:rPr>
          <w:rFonts w:cs="Arial" w:hint="cs"/>
          <w:rtl/>
        </w:rPr>
        <w:t>דרש</w:t>
      </w:r>
      <w:r>
        <w:rPr>
          <w:rFonts w:cs="Arial"/>
          <w:rtl/>
        </w:rPr>
        <w:t>"</w:t>
      </w:r>
      <w:r>
        <w:rPr>
          <w:rFonts w:cs="Arial" w:hint="cs"/>
          <w:rtl/>
        </w:rPr>
        <w:t>י</w:t>
      </w:r>
      <w:r>
        <w:rPr>
          <w:rFonts w:cs="Arial"/>
          <w:rtl/>
        </w:rPr>
        <w:t xml:space="preserve"> </w:t>
      </w:r>
      <w:r>
        <w:rPr>
          <w:rFonts w:cs="Arial" w:hint="cs"/>
          <w:rtl/>
        </w:rPr>
        <w:t>הכי</w:t>
      </w:r>
      <w:r>
        <w:rPr>
          <w:rFonts w:cs="Arial"/>
          <w:rtl/>
        </w:rPr>
        <w:t xml:space="preserve"> </w:t>
      </w:r>
      <w:r>
        <w:rPr>
          <w:rFonts w:cs="Arial" w:hint="cs"/>
          <w:rtl/>
        </w:rPr>
        <w:t>סבירא</w:t>
      </w:r>
      <w:r>
        <w:rPr>
          <w:rFonts w:cs="Arial"/>
          <w:rtl/>
        </w:rPr>
        <w:t xml:space="preserve"> </w:t>
      </w:r>
      <w:r>
        <w:rPr>
          <w:rFonts w:cs="Arial" w:hint="cs"/>
          <w:rtl/>
        </w:rPr>
        <w:t>ליה,</w:t>
      </w:r>
      <w:r>
        <w:rPr>
          <w:rFonts w:cs="Arial"/>
          <w:rtl/>
        </w:rPr>
        <w:t xml:space="preserve"> </w:t>
      </w:r>
      <w:r>
        <w:rPr>
          <w:rFonts w:cs="Arial" w:hint="cs"/>
          <w:rtl/>
        </w:rPr>
        <w:t>למה</w:t>
      </w:r>
      <w:r>
        <w:rPr>
          <w:rFonts w:cs="Arial"/>
          <w:rtl/>
        </w:rPr>
        <w:t xml:space="preserve"> </w:t>
      </w:r>
      <w:r>
        <w:rPr>
          <w:rFonts w:cs="Arial" w:hint="cs"/>
          <w:rtl/>
        </w:rPr>
        <w:t>ליה</w:t>
      </w:r>
      <w:r>
        <w:rPr>
          <w:rFonts w:cs="Arial"/>
          <w:rtl/>
        </w:rPr>
        <w:t xml:space="preserve"> </w:t>
      </w:r>
      <w:r>
        <w:rPr>
          <w:rFonts w:cs="Arial" w:hint="cs"/>
          <w:rtl/>
        </w:rPr>
        <w:t>לאוקומי</w:t>
      </w:r>
      <w:r>
        <w:rPr>
          <w:rFonts w:cs="Arial"/>
          <w:rtl/>
        </w:rPr>
        <w:t xml:space="preserve"> </w:t>
      </w:r>
      <w:r>
        <w:rPr>
          <w:rFonts w:cs="Arial" w:hint="cs"/>
          <w:rtl/>
        </w:rPr>
        <w:t>מתניתין</w:t>
      </w:r>
      <w:r>
        <w:rPr>
          <w:rFonts w:cs="Arial"/>
          <w:rtl/>
        </w:rPr>
        <w:t xml:space="preserve"> </w:t>
      </w:r>
      <w:r>
        <w:rPr>
          <w:rFonts w:cs="Arial" w:hint="cs"/>
          <w:rtl/>
        </w:rPr>
        <w:t>כמאן</w:t>
      </w:r>
      <w:r>
        <w:rPr>
          <w:rFonts w:cs="Arial"/>
          <w:rtl/>
        </w:rPr>
        <w:t xml:space="preserve"> </w:t>
      </w:r>
      <w:r>
        <w:rPr>
          <w:rFonts w:cs="Arial" w:hint="cs"/>
          <w:rtl/>
        </w:rPr>
        <w:t>דאמר</w:t>
      </w:r>
      <w:r>
        <w:rPr>
          <w:rFonts w:cs="Arial"/>
          <w:rtl/>
        </w:rPr>
        <w:t xml:space="preserve"> </w:t>
      </w:r>
      <w:r>
        <w:rPr>
          <w:rFonts w:cs="Arial" w:hint="cs"/>
          <w:rtl/>
        </w:rPr>
        <w:t>גזרו</w:t>
      </w:r>
      <w:r>
        <w:rPr>
          <w:rFonts w:cs="Arial"/>
          <w:rtl/>
        </w:rPr>
        <w:t xml:space="preserve"> </w:t>
      </w:r>
      <w:r>
        <w:rPr>
          <w:rFonts w:cs="Arial" w:hint="cs"/>
          <w:rtl/>
        </w:rPr>
        <w:t>על</w:t>
      </w:r>
      <w:r>
        <w:rPr>
          <w:rFonts w:cs="Arial"/>
          <w:rtl/>
        </w:rPr>
        <w:t xml:space="preserve"> </w:t>
      </w:r>
      <w:r>
        <w:rPr>
          <w:rFonts w:cs="Arial" w:hint="cs"/>
          <w:rtl/>
        </w:rPr>
        <w:t>השבות</w:t>
      </w:r>
      <w:r>
        <w:rPr>
          <w:rFonts w:cs="Arial"/>
          <w:rtl/>
        </w:rPr>
        <w:t xml:space="preserve"> </w:t>
      </w:r>
      <w:r>
        <w:rPr>
          <w:rFonts w:cs="Arial" w:hint="cs"/>
          <w:rtl/>
        </w:rPr>
        <w:t>אף</w:t>
      </w:r>
      <w:r>
        <w:rPr>
          <w:rFonts w:cs="Arial"/>
          <w:rtl/>
        </w:rPr>
        <w:t xml:space="preserve"> </w:t>
      </w:r>
      <w:r>
        <w:rPr>
          <w:rFonts w:cs="Arial" w:hint="cs"/>
          <w:rtl/>
        </w:rPr>
        <w:t>בין</w:t>
      </w:r>
      <w:r>
        <w:rPr>
          <w:rFonts w:cs="Arial"/>
          <w:rtl/>
        </w:rPr>
        <w:t xml:space="preserve"> </w:t>
      </w:r>
      <w:r>
        <w:rPr>
          <w:rFonts w:cs="Arial" w:hint="cs"/>
          <w:rtl/>
        </w:rPr>
        <w:t>השמשות</w:t>
      </w:r>
      <w:r>
        <w:rPr>
          <w:rFonts w:cs="Arial"/>
          <w:rtl/>
        </w:rPr>
        <w:t xml:space="preserve">, </w:t>
      </w:r>
      <w:r>
        <w:rPr>
          <w:rFonts w:cs="Arial" w:hint="cs"/>
          <w:rtl/>
        </w:rPr>
        <w:t>אפילו</w:t>
      </w:r>
      <w:r>
        <w:rPr>
          <w:rFonts w:cs="Arial"/>
          <w:rtl/>
        </w:rPr>
        <w:t xml:space="preserve"> </w:t>
      </w:r>
      <w:r>
        <w:rPr>
          <w:rFonts w:cs="Arial" w:hint="cs"/>
          <w:rtl/>
        </w:rPr>
        <w:t>כמאן</w:t>
      </w:r>
      <w:r>
        <w:rPr>
          <w:rFonts w:cs="Arial"/>
          <w:rtl/>
        </w:rPr>
        <w:t xml:space="preserve"> </w:t>
      </w:r>
      <w:r>
        <w:rPr>
          <w:rFonts w:cs="Arial" w:hint="cs"/>
          <w:rtl/>
        </w:rPr>
        <w:t>דאמר</w:t>
      </w:r>
      <w:r>
        <w:rPr>
          <w:rFonts w:cs="Arial"/>
          <w:rtl/>
        </w:rPr>
        <w:t xml:space="preserve"> </w:t>
      </w:r>
      <w:r>
        <w:rPr>
          <w:rFonts w:cs="Arial" w:hint="cs"/>
          <w:rtl/>
        </w:rPr>
        <w:t>לא</w:t>
      </w:r>
      <w:r>
        <w:rPr>
          <w:rFonts w:cs="Arial"/>
          <w:rtl/>
        </w:rPr>
        <w:t xml:space="preserve"> </w:t>
      </w:r>
      <w:r>
        <w:rPr>
          <w:rFonts w:cs="Arial" w:hint="cs"/>
          <w:rtl/>
        </w:rPr>
        <w:t>גזרו</w:t>
      </w:r>
      <w:r>
        <w:rPr>
          <w:rFonts w:cs="Arial"/>
          <w:rtl/>
        </w:rPr>
        <w:t xml:space="preserve"> </w:t>
      </w:r>
      <w:r>
        <w:rPr>
          <w:rFonts w:cs="Arial" w:hint="cs"/>
          <w:rtl/>
        </w:rPr>
        <w:t>מצי</w:t>
      </w:r>
      <w:r>
        <w:rPr>
          <w:rFonts w:cs="Arial"/>
          <w:rtl/>
        </w:rPr>
        <w:t xml:space="preserve"> </w:t>
      </w:r>
      <w:r>
        <w:rPr>
          <w:rFonts w:cs="Arial" w:hint="cs"/>
          <w:rtl/>
        </w:rPr>
        <w:t>אתיא</w:t>
      </w:r>
      <w:r>
        <w:rPr>
          <w:rFonts w:cs="Arial"/>
          <w:rtl/>
        </w:rPr>
        <w:t xml:space="preserve">, </w:t>
      </w:r>
      <w:r>
        <w:rPr>
          <w:rFonts w:cs="Arial" w:hint="cs"/>
          <w:rtl/>
        </w:rPr>
        <w:t>ומתניתין</w:t>
      </w:r>
      <w:r>
        <w:rPr>
          <w:rFonts w:cs="Arial"/>
          <w:rtl/>
        </w:rPr>
        <w:t xml:space="preserve"> </w:t>
      </w:r>
      <w:r>
        <w:rPr>
          <w:rFonts w:cs="Arial" w:hint="cs"/>
          <w:rtl/>
        </w:rPr>
        <w:t>באינו</w:t>
      </w:r>
      <w:r>
        <w:rPr>
          <w:rFonts w:cs="Arial"/>
          <w:rtl/>
        </w:rPr>
        <w:t xml:space="preserve"> </w:t>
      </w:r>
      <w:r>
        <w:rPr>
          <w:rFonts w:cs="Arial" w:hint="cs"/>
          <w:rtl/>
        </w:rPr>
        <w:t>לצורך</w:t>
      </w:r>
      <w:r>
        <w:rPr>
          <w:rFonts w:cs="Arial"/>
          <w:rtl/>
        </w:rPr>
        <w:t xml:space="preserve"> </w:t>
      </w:r>
      <w:r>
        <w:rPr>
          <w:rFonts w:cs="Arial" w:hint="cs"/>
          <w:rtl/>
        </w:rPr>
        <w:t>מצוה</w:t>
      </w:r>
      <w:r>
        <w:rPr>
          <w:rFonts w:cs="Arial"/>
          <w:rtl/>
        </w:rPr>
        <w:t xml:space="preserve"> </w:t>
      </w:r>
      <w:r>
        <w:rPr>
          <w:rFonts w:cs="Arial" w:hint="cs"/>
          <w:rtl/>
        </w:rPr>
        <w:t>וגם</w:t>
      </w:r>
      <w:r>
        <w:rPr>
          <w:rFonts w:cs="Arial"/>
          <w:rtl/>
        </w:rPr>
        <w:t xml:space="preserve"> </w:t>
      </w:r>
      <w:r>
        <w:rPr>
          <w:rFonts w:cs="Arial" w:hint="cs"/>
          <w:rtl/>
        </w:rPr>
        <w:t>אינו</w:t>
      </w:r>
      <w:r>
        <w:rPr>
          <w:rFonts w:cs="Arial"/>
          <w:rtl/>
        </w:rPr>
        <w:t xml:space="preserve"> </w:t>
      </w:r>
      <w:r>
        <w:rPr>
          <w:rFonts w:cs="Arial" w:hint="cs"/>
          <w:rtl/>
        </w:rPr>
        <w:t>טרוד.</w:t>
      </w:r>
      <w:r>
        <w:rPr>
          <w:rFonts w:cs="Arial"/>
          <w:rtl/>
        </w:rPr>
        <w:t xml:space="preserve"> </w:t>
      </w:r>
      <w:r>
        <w:rPr>
          <w:rFonts w:cs="Arial" w:hint="cs"/>
          <w:rtl/>
        </w:rPr>
        <w:t>ואפשר</w:t>
      </w:r>
      <w:r>
        <w:rPr>
          <w:rFonts w:cs="Arial"/>
          <w:rtl/>
        </w:rPr>
        <w:t xml:space="preserve"> </w:t>
      </w:r>
      <w:r>
        <w:rPr>
          <w:rFonts w:cs="Arial" w:hint="cs"/>
          <w:rtl/>
        </w:rPr>
        <w:t>דאף</w:t>
      </w:r>
      <w:r>
        <w:rPr>
          <w:rFonts w:cs="Arial"/>
          <w:rtl/>
        </w:rPr>
        <w:t xml:space="preserve"> </w:t>
      </w:r>
      <w:r>
        <w:rPr>
          <w:rFonts w:cs="Arial" w:hint="cs"/>
          <w:rtl/>
        </w:rPr>
        <w:t>על</w:t>
      </w:r>
      <w:r>
        <w:rPr>
          <w:rFonts w:cs="Arial"/>
          <w:rtl/>
        </w:rPr>
        <w:t xml:space="preserve"> </w:t>
      </w:r>
      <w:r>
        <w:rPr>
          <w:rFonts w:cs="Arial" w:hint="cs"/>
          <w:rtl/>
        </w:rPr>
        <w:t>גב</w:t>
      </w:r>
      <w:r>
        <w:rPr>
          <w:rFonts w:cs="Arial"/>
          <w:rtl/>
        </w:rPr>
        <w:t xml:space="preserve"> </w:t>
      </w:r>
      <w:r>
        <w:rPr>
          <w:rFonts w:cs="Arial" w:hint="cs"/>
          <w:rtl/>
        </w:rPr>
        <w:t>דרש</w:t>
      </w:r>
      <w:r>
        <w:rPr>
          <w:rFonts w:cs="Arial"/>
          <w:rtl/>
        </w:rPr>
        <w:t>"</w:t>
      </w:r>
      <w:r>
        <w:rPr>
          <w:rFonts w:cs="Arial" w:hint="cs"/>
          <w:rtl/>
        </w:rPr>
        <w:t>י</w:t>
      </w:r>
      <w:r>
        <w:rPr>
          <w:rFonts w:cs="Arial"/>
          <w:rtl/>
        </w:rPr>
        <w:t xml:space="preserve"> </w:t>
      </w:r>
      <w:r>
        <w:rPr>
          <w:rFonts w:cs="Arial" w:hint="cs"/>
          <w:rtl/>
        </w:rPr>
        <w:t>יסבור</w:t>
      </w:r>
      <w:r>
        <w:rPr>
          <w:rFonts w:cs="Arial"/>
          <w:rtl/>
        </w:rPr>
        <w:t xml:space="preserve"> </w:t>
      </w:r>
      <w:r>
        <w:rPr>
          <w:rFonts w:cs="Arial" w:hint="cs"/>
          <w:rtl/>
        </w:rPr>
        <w:t>כן</w:t>
      </w:r>
      <w:r>
        <w:rPr>
          <w:rFonts w:cs="Arial"/>
          <w:rtl/>
        </w:rPr>
        <w:t xml:space="preserve"> </w:t>
      </w:r>
      <w:r>
        <w:rPr>
          <w:rFonts w:cs="Arial" w:hint="cs"/>
          <w:rtl/>
        </w:rPr>
        <w:t>דמאן</w:t>
      </w:r>
      <w:r>
        <w:rPr>
          <w:rFonts w:cs="Arial"/>
          <w:rtl/>
        </w:rPr>
        <w:t xml:space="preserve"> </w:t>
      </w:r>
      <w:r>
        <w:rPr>
          <w:rFonts w:cs="Arial" w:hint="cs"/>
          <w:rtl/>
        </w:rPr>
        <w:t>דאמר</w:t>
      </w:r>
      <w:r>
        <w:rPr>
          <w:rFonts w:cs="Arial"/>
          <w:rtl/>
        </w:rPr>
        <w:t xml:space="preserve"> </w:t>
      </w:r>
      <w:r>
        <w:rPr>
          <w:rFonts w:cs="Arial" w:hint="cs"/>
          <w:rtl/>
        </w:rPr>
        <w:t>לא</w:t>
      </w:r>
      <w:r>
        <w:rPr>
          <w:rFonts w:cs="Arial"/>
          <w:rtl/>
        </w:rPr>
        <w:t xml:space="preserve"> </w:t>
      </w:r>
      <w:r>
        <w:rPr>
          <w:rFonts w:cs="Arial" w:hint="cs"/>
          <w:rtl/>
        </w:rPr>
        <w:t>גזרו</w:t>
      </w:r>
      <w:r>
        <w:rPr>
          <w:rFonts w:cs="Arial"/>
          <w:rtl/>
        </w:rPr>
        <w:t xml:space="preserve"> </w:t>
      </w:r>
      <w:r>
        <w:rPr>
          <w:rFonts w:cs="Arial" w:hint="cs"/>
          <w:rtl/>
        </w:rPr>
        <w:t>הוא</w:t>
      </w:r>
      <w:r>
        <w:rPr>
          <w:rFonts w:cs="Arial"/>
          <w:rtl/>
        </w:rPr>
        <w:t xml:space="preserve"> </w:t>
      </w:r>
      <w:r>
        <w:rPr>
          <w:rFonts w:cs="Arial" w:hint="cs"/>
          <w:rtl/>
        </w:rPr>
        <w:t>לצורך</w:t>
      </w:r>
      <w:r>
        <w:rPr>
          <w:rFonts w:cs="Arial"/>
          <w:rtl/>
        </w:rPr>
        <w:t xml:space="preserve"> </w:t>
      </w:r>
      <w:r>
        <w:rPr>
          <w:rFonts w:cs="Arial" w:hint="cs"/>
          <w:rtl/>
        </w:rPr>
        <w:t>מצוה</w:t>
      </w:r>
      <w:r>
        <w:rPr>
          <w:rFonts w:cs="Arial"/>
          <w:rtl/>
        </w:rPr>
        <w:t xml:space="preserve"> </w:t>
      </w:r>
      <w:r>
        <w:rPr>
          <w:rFonts w:cs="Arial" w:hint="cs"/>
          <w:rtl/>
        </w:rPr>
        <w:t>או</w:t>
      </w:r>
      <w:r>
        <w:rPr>
          <w:rFonts w:cs="Arial"/>
          <w:rtl/>
        </w:rPr>
        <w:t xml:space="preserve"> </w:t>
      </w:r>
      <w:r>
        <w:rPr>
          <w:rFonts w:cs="Arial" w:hint="cs"/>
          <w:rtl/>
        </w:rPr>
        <w:t>אם</w:t>
      </w:r>
      <w:r>
        <w:rPr>
          <w:rFonts w:cs="Arial"/>
          <w:rtl/>
        </w:rPr>
        <w:t xml:space="preserve"> </w:t>
      </w:r>
      <w:r>
        <w:rPr>
          <w:rFonts w:cs="Arial" w:hint="cs"/>
          <w:rtl/>
        </w:rPr>
        <w:t>הוא</w:t>
      </w:r>
      <w:r>
        <w:rPr>
          <w:rFonts w:cs="Arial"/>
          <w:rtl/>
        </w:rPr>
        <w:t xml:space="preserve"> </w:t>
      </w:r>
      <w:r>
        <w:rPr>
          <w:rFonts w:cs="Arial" w:hint="cs"/>
          <w:rtl/>
        </w:rPr>
        <w:t>טרוד</w:t>
      </w:r>
      <w:r>
        <w:rPr>
          <w:rFonts w:cs="Arial"/>
          <w:rtl/>
        </w:rPr>
        <w:t xml:space="preserve"> </w:t>
      </w:r>
      <w:r>
        <w:rPr>
          <w:rFonts w:cs="Arial" w:hint="cs"/>
          <w:rtl/>
        </w:rPr>
        <w:t>דוקא</w:t>
      </w:r>
      <w:r>
        <w:rPr>
          <w:rFonts w:cs="Arial"/>
          <w:rtl/>
        </w:rPr>
        <w:t xml:space="preserve">, </w:t>
      </w:r>
      <w:r>
        <w:rPr>
          <w:rFonts w:cs="Arial" w:hint="cs"/>
          <w:rtl/>
        </w:rPr>
        <w:t>מתניתין</w:t>
      </w:r>
      <w:r>
        <w:rPr>
          <w:rFonts w:cs="Arial"/>
          <w:rtl/>
        </w:rPr>
        <w:t xml:space="preserve"> </w:t>
      </w:r>
      <w:r>
        <w:rPr>
          <w:rFonts w:cs="Arial" w:hint="cs"/>
          <w:rtl/>
        </w:rPr>
        <w:t>קשיתיה</w:t>
      </w:r>
      <w:r>
        <w:rPr>
          <w:rFonts w:cs="Arial"/>
          <w:rtl/>
        </w:rPr>
        <w:t xml:space="preserve"> </w:t>
      </w:r>
      <w:r>
        <w:rPr>
          <w:rFonts w:cs="Arial" w:hint="cs"/>
          <w:rtl/>
        </w:rPr>
        <w:t>דקתני</w:t>
      </w:r>
      <w:r>
        <w:rPr>
          <w:rFonts w:cs="Arial"/>
          <w:rtl/>
        </w:rPr>
        <w:t xml:space="preserve"> </w:t>
      </w:r>
      <w:r>
        <w:rPr>
          <w:rFonts w:cs="Arial" w:hint="cs"/>
          <w:rtl/>
        </w:rPr>
        <w:t>סתמא</w:t>
      </w:r>
      <w:r>
        <w:rPr>
          <w:rFonts w:cs="Arial"/>
          <w:rtl/>
        </w:rPr>
        <w:t xml:space="preserve"> </w:t>
      </w:r>
      <w:r>
        <w:rPr>
          <w:rFonts w:cs="Arial" w:hint="cs"/>
          <w:rtl/>
        </w:rPr>
        <w:t>אין</w:t>
      </w:r>
      <w:r>
        <w:rPr>
          <w:rFonts w:cs="Arial"/>
          <w:rtl/>
        </w:rPr>
        <w:t xml:space="preserve"> </w:t>
      </w:r>
      <w:r>
        <w:rPr>
          <w:rFonts w:cs="Arial" w:hint="cs"/>
          <w:rtl/>
        </w:rPr>
        <w:t>מעשרין</w:t>
      </w:r>
      <w:r>
        <w:rPr>
          <w:rFonts w:cs="Arial"/>
          <w:rtl/>
        </w:rPr>
        <w:t xml:space="preserve"> </w:t>
      </w:r>
      <w:r>
        <w:rPr>
          <w:rFonts w:cs="Arial" w:hint="cs"/>
          <w:rtl/>
        </w:rPr>
        <w:t>את</w:t>
      </w:r>
      <w:r>
        <w:rPr>
          <w:rFonts w:cs="Arial"/>
          <w:rtl/>
        </w:rPr>
        <w:t xml:space="preserve"> </w:t>
      </w:r>
      <w:r>
        <w:rPr>
          <w:rFonts w:cs="Arial" w:hint="cs"/>
          <w:rtl/>
        </w:rPr>
        <w:t>הודאי</w:t>
      </w:r>
      <w:r>
        <w:rPr>
          <w:rFonts w:cs="Arial"/>
          <w:rtl/>
        </w:rPr>
        <w:t xml:space="preserve"> </w:t>
      </w:r>
      <w:r>
        <w:rPr>
          <w:rFonts w:cs="Arial" w:hint="cs"/>
          <w:rtl/>
        </w:rPr>
        <w:t>משמע</w:t>
      </w:r>
      <w:r>
        <w:rPr>
          <w:rFonts w:cs="Arial"/>
          <w:rtl/>
        </w:rPr>
        <w:t xml:space="preserve"> </w:t>
      </w:r>
      <w:r>
        <w:rPr>
          <w:rFonts w:cs="Arial" w:hint="cs"/>
          <w:rtl/>
        </w:rPr>
        <w:t>בשום</w:t>
      </w:r>
      <w:r>
        <w:rPr>
          <w:rFonts w:cs="Arial"/>
          <w:rtl/>
        </w:rPr>
        <w:t xml:space="preserve"> </w:t>
      </w:r>
      <w:r>
        <w:rPr>
          <w:rFonts w:cs="Arial" w:hint="cs"/>
          <w:rtl/>
        </w:rPr>
        <w:t>גוונא</w:t>
      </w:r>
      <w:r>
        <w:rPr>
          <w:rFonts w:cs="Arial"/>
          <w:rtl/>
        </w:rPr>
        <w:t xml:space="preserve"> </w:t>
      </w:r>
      <w:r>
        <w:rPr>
          <w:rFonts w:cs="Arial" w:hint="cs"/>
          <w:rtl/>
        </w:rPr>
        <w:t>אפילו</w:t>
      </w:r>
      <w:r>
        <w:rPr>
          <w:rFonts w:cs="Arial"/>
          <w:rtl/>
        </w:rPr>
        <w:t xml:space="preserve"> </w:t>
      </w:r>
      <w:r>
        <w:rPr>
          <w:rFonts w:cs="Arial" w:hint="cs"/>
          <w:rtl/>
        </w:rPr>
        <w:t>לצורך</w:t>
      </w:r>
      <w:r>
        <w:rPr>
          <w:rFonts w:cs="Arial"/>
          <w:rtl/>
        </w:rPr>
        <w:t xml:space="preserve"> </w:t>
      </w:r>
      <w:r>
        <w:rPr>
          <w:rFonts w:cs="Arial" w:hint="cs"/>
          <w:rtl/>
        </w:rPr>
        <w:t>מצוה</w:t>
      </w:r>
      <w:r>
        <w:rPr>
          <w:rFonts w:cs="Arial"/>
          <w:rtl/>
        </w:rPr>
        <w:t xml:space="preserve"> </w:t>
      </w:r>
      <w:r>
        <w:rPr>
          <w:rFonts w:cs="Arial" w:hint="cs"/>
          <w:rtl/>
        </w:rPr>
        <w:t>או</w:t>
      </w:r>
      <w:r>
        <w:rPr>
          <w:rFonts w:cs="Arial"/>
          <w:rtl/>
        </w:rPr>
        <w:t xml:space="preserve"> </w:t>
      </w:r>
      <w:r>
        <w:rPr>
          <w:rFonts w:cs="Arial" w:hint="cs"/>
          <w:rtl/>
        </w:rPr>
        <w:t>שהוא</w:t>
      </w:r>
      <w:r>
        <w:rPr>
          <w:rFonts w:cs="Arial"/>
          <w:rtl/>
        </w:rPr>
        <w:t xml:space="preserve"> </w:t>
      </w:r>
      <w:r>
        <w:rPr>
          <w:rFonts w:cs="Arial" w:hint="cs"/>
          <w:rtl/>
        </w:rPr>
        <w:t>טרוד</w:t>
      </w:r>
      <w:r>
        <w:rPr>
          <w:rFonts w:cs="Arial"/>
          <w:rtl/>
        </w:rPr>
        <w:t xml:space="preserve"> </w:t>
      </w:r>
      <w:r>
        <w:rPr>
          <w:rFonts w:cs="Arial" w:hint="cs"/>
          <w:rtl/>
        </w:rPr>
        <w:t>אין</w:t>
      </w:r>
      <w:r>
        <w:rPr>
          <w:rFonts w:cs="Arial"/>
          <w:rtl/>
        </w:rPr>
        <w:t xml:space="preserve"> </w:t>
      </w:r>
      <w:r>
        <w:rPr>
          <w:rFonts w:cs="Arial" w:hint="cs"/>
          <w:rtl/>
        </w:rPr>
        <w:t>מעשרין</w:t>
      </w:r>
      <w:r>
        <w:rPr>
          <w:rFonts w:cs="Arial"/>
          <w:rtl/>
        </w:rPr>
        <w:t xml:space="preserve"> </w:t>
      </w:r>
      <w:r>
        <w:rPr>
          <w:rFonts w:cs="Arial" w:hint="cs"/>
          <w:rtl/>
        </w:rPr>
        <w:t>ומשום</w:t>
      </w:r>
      <w:r>
        <w:rPr>
          <w:rFonts w:cs="Arial"/>
          <w:rtl/>
        </w:rPr>
        <w:t xml:space="preserve"> </w:t>
      </w:r>
      <w:r>
        <w:rPr>
          <w:rFonts w:cs="Arial" w:hint="cs"/>
          <w:rtl/>
        </w:rPr>
        <w:t>הכי</w:t>
      </w:r>
      <w:r>
        <w:rPr>
          <w:rFonts w:cs="Arial"/>
          <w:rtl/>
        </w:rPr>
        <w:t xml:space="preserve"> </w:t>
      </w:r>
      <w:r>
        <w:rPr>
          <w:rFonts w:cs="Arial" w:hint="cs"/>
          <w:rtl/>
        </w:rPr>
        <w:t>אוקמה</w:t>
      </w:r>
      <w:r>
        <w:rPr>
          <w:rFonts w:cs="Arial"/>
          <w:rtl/>
        </w:rPr>
        <w:t xml:space="preserve"> </w:t>
      </w:r>
      <w:r>
        <w:rPr>
          <w:rFonts w:cs="Arial" w:hint="cs"/>
          <w:rtl/>
        </w:rPr>
        <w:t>כמאן</w:t>
      </w:r>
      <w:r>
        <w:rPr>
          <w:rFonts w:cs="Arial"/>
          <w:rtl/>
        </w:rPr>
        <w:t xml:space="preserve"> </w:t>
      </w:r>
      <w:r>
        <w:rPr>
          <w:rFonts w:cs="Arial" w:hint="cs"/>
          <w:rtl/>
        </w:rPr>
        <w:t>דאמר</w:t>
      </w:r>
      <w:r>
        <w:rPr>
          <w:rFonts w:cs="Arial"/>
          <w:rtl/>
        </w:rPr>
        <w:t xml:space="preserve"> </w:t>
      </w:r>
      <w:r>
        <w:rPr>
          <w:rFonts w:cs="Arial" w:hint="cs"/>
          <w:rtl/>
        </w:rPr>
        <w:t>גזרו</w:t>
      </w:r>
      <w:r>
        <w:rPr>
          <w:rFonts w:cs="Arial"/>
          <w:rtl/>
        </w:rPr>
        <w:t xml:space="preserve"> </w:t>
      </w:r>
      <w:r>
        <w:rPr>
          <w:rFonts w:cs="Arial" w:hint="cs"/>
          <w:rtl/>
        </w:rPr>
        <w:t>על</w:t>
      </w:r>
      <w:r>
        <w:rPr>
          <w:rFonts w:cs="Arial"/>
          <w:rtl/>
        </w:rPr>
        <w:t xml:space="preserve"> </w:t>
      </w:r>
      <w:r>
        <w:rPr>
          <w:rFonts w:cs="Arial" w:hint="cs"/>
          <w:rtl/>
        </w:rPr>
        <w:t>השבות</w:t>
      </w:r>
      <w:r>
        <w:rPr>
          <w:rFonts w:cs="Arial"/>
          <w:rtl/>
        </w:rPr>
        <w:t xml:space="preserve"> </w:t>
      </w:r>
      <w:r>
        <w:rPr>
          <w:rFonts w:cs="Arial" w:hint="cs"/>
          <w:rtl/>
        </w:rPr>
        <w:t>בין</w:t>
      </w:r>
      <w:r>
        <w:rPr>
          <w:rFonts w:cs="Arial"/>
          <w:rtl/>
        </w:rPr>
        <w:t xml:space="preserve"> </w:t>
      </w:r>
      <w:r>
        <w:rPr>
          <w:rFonts w:cs="Arial" w:hint="cs"/>
          <w:rtl/>
        </w:rPr>
        <w:t>השמשות</w:t>
      </w:r>
      <w:r>
        <w:rPr>
          <w:rFonts w:cs="Arial"/>
          <w:rtl/>
        </w:rPr>
        <w:t xml:space="preserve">. </w:t>
      </w:r>
      <w:r>
        <w:rPr>
          <w:rFonts w:cs="Arial" w:hint="cs"/>
          <w:rtl/>
        </w:rPr>
        <w:t>ובין</w:t>
      </w:r>
      <w:r>
        <w:rPr>
          <w:rFonts w:cs="Arial"/>
          <w:rtl/>
        </w:rPr>
        <w:t xml:space="preserve"> </w:t>
      </w:r>
      <w:r>
        <w:rPr>
          <w:rFonts w:cs="Arial" w:hint="cs"/>
          <w:rtl/>
        </w:rPr>
        <w:t>כך</w:t>
      </w:r>
      <w:r>
        <w:rPr>
          <w:rFonts w:cs="Arial"/>
          <w:rtl/>
        </w:rPr>
        <w:t xml:space="preserve"> </w:t>
      </w:r>
      <w:r>
        <w:rPr>
          <w:rFonts w:cs="Arial" w:hint="cs"/>
          <w:rtl/>
        </w:rPr>
        <w:t>ובין</w:t>
      </w:r>
      <w:r>
        <w:rPr>
          <w:rFonts w:cs="Arial"/>
          <w:rtl/>
        </w:rPr>
        <w:t xml:space="preserve"> </w:t>
      </w:r>
      <w:r>
        <w:rPr>
          <w:rFonts w:cs="Arial" w:hint="cs"/>
          <w:rtl/>
        </w:rPr>
        <w:t>כך</w:t>
      </w:r>
      <w:r>
        <w:rPr>
          <w:rFonts w:cs="Arial"/>
          <w:rtl/>
        </w:rPr>
        <w:t xml:space="preserve"> </w:t>
      </w:r>
      <w:r>
        <w:rPr>
          <w:rFonts w:cs="Arial" w:hint="cs"/>
          <w:rtl/>
        </w:rPr>
        <w:t>נראה</w:t>
      </w:r>
      <w:r>
        <w:rPr>
          <w:rFonts w:cs="Arial"/>
          <w:rtl/>
        </w:rPr>
        <w:t xml:space="preserve"> </w:t>
      </w:r>
      <w:r>
        <w:rPr>
          <w:rFonts w:cs="Arial" w:hint="cs"/>
          <w:rtl/>
        </w:rPr>
        <w:t>דלפסק</w:t>
      </w:r>
      <w:r>
        <w:rPr>
          <w:rFonts w:cs="Arial"/>
          <w:rtl/>
        </w:rPr>
        <w:t xml:space="preserve"> </w:t>
      </w:r>
      <w:r>
        <w:rPr>
          <w:rFonts w:cs="Arial" w:hint="cs"/>
          <w:rtl/>
        </w:rPr>
        <w:t>הלכה</w:t>
      </w:r>
      <w:r>
        <w:rPr>
          <w:rFonts w:cs="Arial"/>
          <w:rtl/>
        </w:rPr>
        <w:t xml:space="preserve"> </w:t>
      </w:r>
      <w:r>
        <w:rPr>
          <w:rFonts w:cs="Arial" w:hint="cs"/>
          <w:rtl/>
        </w:rPr>
        <w:t>כהרמב</w:t>
      </w:r>
      <w:r>
        <w:rPr>
          <w:rFonts w:cs="Arial"/>
          <w:rtl/>
        </w:rPr>
        <w:t>"</w:t>
      </w:r>
      <w:r>
        <w:rPr>
          <w:rFonts w:cs="Arial" w:hint="cs"/>
          <w:rtl/>
        </w:rPr>
        <w:t>ם</w:t>
      </w:r>
      <w:r>
        <w:rPr>
          <w:rFonts w:cs="Arial"/>
          <w:rtl/>
        </w:rPr>
        <w:t xml:space="preserve"> </w:t>
      </w:r>
      <w:r>
        <w:rPr>
          <w:rFonts w:cs="Arial" w:hint="cs"/>
          <w:rtl/>
        </w:rPr>
        <w:t>נקטינן</w:t>
      </w:r>
      <w:r>
        <w:rPr>
          <w:rFonts w:cs="Arial"/>
          <w:rtl/>
        </w:rPr>
        <w:t xml:space="preserve">, </w:t>
      </w:r>
      <w:r>
        <w:rPr>
          <w:rFonts w:cs="Arial" w:hint="cs"/>
          <w:rtl/>
        </w:rPr>
        <w:t>והילכך-...</w:t>
      </w:r>
    </w:p>
  </w:footnote>
  <w:footnote w:id="591">
    <w:p w14:paraId="3A453BA4" w14:textId="77777777" w:rsidR="004B2E7C" w:rsidRDefault="004B2E7C" w:rsidP="00285819">
      <w:pPr>
        <w:pStyle w:val="a7"/>
      </w:pPr>
      <w:r>
        <w:rPr>
          <w:rStyle w:val="a9"/>
        </w:rPr>
        <w:footnoteRef/>
      </w:r>
      <w:r>
        <w:rPr>
          <w:rtl/>
        </w:rPr>
        <w:t xml:space="preserve"> </w:t>
      </w:r>
      <w:r w:rsidRPr="009B7807">
        <w:rPr>
          <w:rFonts w:cs="Arial" w:hint="cs"/>
          <w:rtl/>
        </w:rPr>
        <w:t>ולכן</w:t>
      </w:r>
      <w:r w:rsidRPr="009B7807">
        <w:rPr>
          <w:rFonts w:cs="Arial"/>
          <w:rtl/>
        </w:rPr>
        <w:t xml:space="preserve"> </w:t>
      </w:r>
      <w:r w:rsidRPr="009B7807">
        <w:rPr>
          <w:rFonts w:cs="Arial" w:hint="cs"/>
          <w:rtl/>
        </w:rPr>
        <w:t>כתב</w:t>
      </w:r>
      <w:r w:rsidRPr="009B7807">
        <w:rPr>
          <w:rFonts w:cs="Arial"/>
          <w:rtl/>
        </w:rPr>
        <w:t xml:space="preserve"> </w:t>
      </w:r>
      <w:r w:rsidRPr="009B7807">
        <w:rPr>
          <w:rFonts w:cs="Arial" w:hint="cs"/>
          <w:rtl/>
        </w:rPr>
        <w:t>רבינו</w:t>
      </w:r>
      <w:r w:rsidRPr="009B7807">
        <w:rPr>
          <w:rFonts w:cs="Arial"/>
          <w:rtl/>
        </w:rPr>
        <w:t xml:space="preserve"> </w:t>
      </w:r>
      <w:r w:rsidRPr="009B7807">
        <w:rPr>
          <w:rFonts w:cs="Arial" w:hint="cs"/>
          <w:rtl/>
        </w:rPr>
        <w:t>בסימן</w:t>
      </w:r>
      <w:r w:rsidRPr="009B7807">
        <w:rPr>
          <w:rFonts w:cs="Arial"/>
          <w:rtl/>
        </w:rPr>
        <w:t xml:space="preserve"> </w:t>
      </w:r>
      <w:r w:rsidRPr="009B7807">
        <w:rPr>
          <w:rFonts w:cs="Arial" w:hint="cs"/>
          <w:rtl/>
        </w:rPr>
        <w:t>שמ</w:t>
      </w:r>
      <w:r w:rsidRPr="009B7807">
        <w:rPr>
          <w:rFonts w:cs="Arial"/>
          <w:rtl/>
        </w:rPr>
        <w:t>"</w:t>
      </w:r>
      <w:r w:rsidRPr="009B7807">
        <w:rPr>
          <w:rFonts w:cs="Arial" w:hint="cs"/>
          <w:rtl/>
        </w:rPr>
        <w:t>ב</w:t>
      </w:r>
      <w:r w:rsidRPr="009B7807">
        <w:rPr>
          <w:rFonts w:cs="Arial"/>
          <w:rtl/>
        </w:rPr>
        <w:t xml:space="preserve"> </w:t>
      </w:r>
      <w:r w:rsidRPr="009B7807">
        <w:rPr>
          <w:rFonts w:cs="Arial" w:hint="cs"/>
          <w:rtl/>
        </w:rPr>
        <w:t>בשם</w:t>
      </w:r>
      <w:r w:rsidRPr="009B7807">
        <w:rPr>
          <w:rFonts w:cs="Arial"/>
          <w:rtl/>
        </w:rPr>
        <w:t xml:space="preserve"> </w:t>
      </w:r>
      <w:r w:rsidRPr="009B7807">
        <w:rPr>
          <w:rFonts w:cs="Arial" w:hint="cs"/>
          <w:rtl/>
        </w:rPr>
        <w:t>ר</w:t>
      </w:r>
      <w:r w:rsidRPr="009B7807">
        <w:rPr>
          <w:rFonts w:cs="Arial"/>
          <w:rtl/>
        </w:rPr>
        <w:t>"</w:t>
      </w:r>
      <w:r w:rsidRPr="009B7807">
        <w:rPr>
          <w:rFonts w:cs="Arial" w:hint="cs"/>
          <w:rtl/>
        </w:rPr>
        <w:t>י</w:t>
      </w:r>
      <w:r w:rsidRPr="009B7807">
        <w:rPr>
          <w:rFonts w:cs="Arial"/>
          <w:rtl/>
        </w:rPr>
        <w:t xml:space="preserve"> </w:t>
      </w:r>
      <w:r w:rsidRPr="009B7807">
        <w:rPr>
          <w:rFonts w:cs="Arial" w:hint="cs"/>
          <w:rtl/>
        </w:rPr>
        <w:t>שמותר</w:t>
      </w:r>
      <w:r w:rsidRPr="009B7807">
        <w:rPr>
          <w:rFonts w:cs="Arial"/>
          <w:rtl/>
        </w:rPr>
        <w:t xml:space="preserve"> </w:t>
      </w:r>
      <w:r w:rsidRPr="009B7807">
        <w:rPr>
          <w:rFonts w:cs="Arial" w:hint="cs"/>
          <w:rtl/>
        </w:rPr>
        <w:t>לומר</w:t>
      </w:r>
      <w:r w:rsidRPr="009B7807">
        <w:rPr>
          <w:rFonts w:cs="Arial"/>
          <w:rtl/>
        </w:rPr>
        <w:t xml:space="preserve"> </w:t>
      </w:r>
      <w:r w:rsidRPr="009B7807">
        <w:rPr>
          <w:rFonts w:cs="Arial" w:hint="cs"/>
          <w:rtl/>
        </w:rPr>
        <w:t>לגוי</w:t>
      </w:r>
      <w:r w:rsidRPr="009B7807">
        <w:rPr>
          <w:rFonts w:cs="Arial"/>
          <w:rtl/>
        </w:rPr>
        <w:t xml:space="preserve"> </w:t>
      </w:r>
      <w:r w:rsidRPr="009B7807">
        <w:rPr>
          <w:rFonts w:cs="Arial" w:hint="cs"/>
          <w:rtl/>
        </w:rPr>
        <w:t>בין</w:t>
      </w:r>
      <w:r w:rsidRPr="009B7807">
        <w:rPr>
          <w:rFonts w:cs="Arial"/>
          <w:rtl/>
        </w:rPr>
        <w:t xml:space="preserve"> </w:t>
      </w:r>
      <w:r w:rsidRPr="009B7807">
        <w:rPr>
          <w:rFonts w:cs="Arial" w:hint="cs"/>
          <w:rtl/>
        </w:rPr>
        <w:t>השמשות</w:t>
      </w:r>
      <w:r w:rsidRPr="009B7807">
        <w:rPr>
          <w:rFonts w:cs="Arial"/>
          <w:rtl/>
        </w:rPr>
        <w:t xml:space="preserve"> </w:t>
      </w:r>
      <w:r w:rsidRPr="009B7807">
        <w:rPr>
          <w:rFonts w:cs="Arial" w:hint="cs"/>
          <w:rtl/>
        </w:rPr>
        <w:t>להדליק</w:t>
      </w:r>
      <w:r w:rsidRPr="009B7807">
        <w:rPr>
          <w:rFonts w:cs="Arial"/>
          <w:rtl/>
        </w:rPr>
        <w:t xml:space="preserve"> </w:t>
      </w:r>
      <w:r w:rsidRPr="009B7807">
        <w:rPr>
          <w:rFonts w:cs="Arial" w:hint="cs"/>
          <w:rtl/>
        </w:rPr>
        <w:t>הנר</w:t>
      </w:r>
      <w:r w:rsidRPr="009B7807">
        <w:rPr>
          <w:rFonts w:cs="Arial"/>
          <w:rtl/>
        </w:rPr>
        <w:t xml:space="preserve"> </w:t>
      </w:r>
      <w:r w:rsidRPr="009B7807">
        <w:rPr>
          <w:rFonts w:cs="Arial" w:hint="cs"/>
          <w:rtl/>
        </w:rPr>
        <w:t>ושלא</w:t>
      </w:r>
      <w:r w:rsidRPr="009B7807">
        <w:rPr>
          <w:rFonts w:cs="Arial"/>
          <w:rtl/>
        </w:rPr>
        <w:t xml:space="preserve"> </w:t>
      </w:r>
      <w:r w:rsidRPr="009B7807">
        <w:rPr>
          <w:rFonts w:cs="Arial" w:hint="cs"/>
          <w:rtl/>
        </w:rPr>
        <w:t>כדברי</w:t>
      </w:r>
      <w:r w:rsidRPr="009B7807">
        <w:rPr>
          <w:rFonts w:cs="Arial"/>
          <w:rtl/>
        </w:rPr>
        <w:t xml:space="preserve"> </w:t>
      </w:r>
      <w:r w:rsidRPr="009B7807">
        <w:rPr>
          <w:rFonts w:cs="Arial" w:hint="cs"/>
          <w:rtl/>
        </w:rPr>
        <w:t>הגהות</w:t>
      </w:r>
      <w:r w:rsidRPr="009B7807">
        <w:rPr>
          <w:rFonts w:cs="Arial"/>
          <w:rtl/>
        </w:rPr>
        <w:t xml:space="preserve"> </w:t>
      </w:r>
      <w:r w:rsidRPr="009B7807">
        <w:rPr>
          <w:rFonts w:cs="Arial" w:hint="cs"/>
          <w:rtl/>
        </w:rPr>
        <w:t>אחרונות</w:t>
      </w:r>
      <w:r w:rsidRPr="009B7807">
        <w:rPr>
          <w:rFonts w:cs="Arial"/>
          <w:rtl/>
        </w:rPr>
        <w:t xml:space="preserve"> </w:t>
      </w:r>
      <w:r w:rsidRPr="009B7807">
        <w:rPr>
          <w:rFonts w:cs="Arial" w:hint="cs"/>
          <w:rtl/>
        </w:rPr>
        <w:t>דמרדכי</w:t>
      </w:r>
      <w:r w:rsidRPr="009B7807">
        <w:rPr>
          <w:rFonts w:cs="Arial"/>
          <w:rtl/>
        </w:rPr>
        <w:t xml:space="preserve"> (</w:t>
      </w:r>
      <w:r w:rsidRPr="009B7807">
        <w:rPr>
          <w:rFonts w:cs="Arial" w:hint="cs"/>
          <w:rtl/>
        </w:rPr>
        <w:t>סי</w:t>
      </w:r>
      <w:r w:rsidRPr="009B7807">
        <w:rPr>
          <w:rFonts w:cs="Arial"/>
          <w:rtl/>
        </w:rPr>
        <w:t xml:space="preserve">' </w:t>
      </w:r>
      <w:r w:rsidRPr="009B7807">
        <w:rPr>
          <w:rFonts w:cs="Arial" w:hint="cs"/>
          <w:rtl/>
        </w:rPr>
        <w:t>תסו</w:t>
      </w:r>
      <w:r w:rsidRPr="009B7807">
        <w:rPr>
          <w:rFonts w:cs="Arial"/>
          <w:rtl/>
        </w:rPr>
        <w:t xml:space="preserve">, </w:t>
      </w:r>
      <w:r w:rsidRPr="009B7807">
        <w:rPr>
          <w:rFonts w:cs="Arial" w:hint="cs"/>
          <w:rtl/>
        </w:rPr>
        <w:t>פג</w:t>
      </w:r>
      <w:r w:rsidRPr="009B7807">
        <w:rPr>
          <w:rFonts w:cs="Arial"/>
          <w:rtl/>
        </w:rPr>
        <w:t xml:space="preserve">.) </w:t>
      </w:r>
      <w:r w:rsidRPr="009B7807">
        <w:rPr>
          <w:rFonts w:cs="Arial" w:hint="cs"/>
          <w:rtl/>
        </w:rPr>
        <w:t>שכתבו</w:t>
      </w:r>
      <w:r w:rsidRPr="009B7807">
        <w:rPr>
          <w:rFonts w:cs="Arial"/>
          <w:rtl/>
        </w:rPr>
        <w:t xml:space="preserve"> </w:t>
      </w:r>
      <w:r w:rsidRPr="009B7807">
        <w:rPr>
          <w:rFonts w:cs="Arial" w:hint="cs"/>
          <w:rtl/>
        </w:rPr>
        <w:t>אין</w:t>
      </w:r>
      <w:r w:rsidRPr="009B7807">
        <w:rPr>
          <w:rFonts w:cs="Arial"/>
          <w:rtl/>
        </w:rPr>
        <w:t xml:space="preserve"> </w:t>
      </w:r>
      <w:r w:rsidRPr="009B7807">
        <w:rPr>
          <w:rFonts w:cs="Arial" w:hint="cs"/>
          <w:rtl/>
        </w:rPr>
        <w:t>מדליקין</w:t>
      </w:r>
      <w:r w:rsidRPr="009B7807">
        <w:rPr>
          <w:rFonts w:cs="Arial"/>
          <w:rtl/>
        </w:rPr>
        <w:t xml:space="preserve"> </w:t>
      </w:r>
      <w:r w:rsidRPr="009B7807">
        <w:rPr>
          <w:rFonts w:cs="Arial" w:hint="cs"/>
          <w:rtl/>
        </w:rPr>
        <w:t>את</w:t>
      </w:r>
      <w:r w:rsidRPr="009B7807">
        <w:rPr>
          <w:rFonts w:cs="Arial"/>
          <w:rtl/>
        </w:rPr>
        <w:t xml:space="preserve"> </w:t>
      </w:r>
      <w:r w:rsidRPr="009B7807">
        <w:rPr>
          <w:rFonts w:cs="Arial" w:hint="cs"/>
          <w:rtl/>
        </w:rPr>
        <w:t>הנרות</w:t>
      </w:r>
      <w:r w:rsidRPr="009B7807">
        <w:rPr>
          <w:rFonts w:cs="Arial"/>
          <w:rtl/>
        </w:rPr>
        <w:t xml:space="preserve"> </w:t>
      </w:r>
      <w:r w:rsidRPr="009B7807">
        <w:rPr>
          <w:rFonts w:cs="Arial" w:hint="cs"/>
          <w:rtl/>
        </w:rPr>
        <w:t>אפילו</w:t>
      </w:r>
      <w:r w:rsidRPr="009B7807">
        <w:rPr>
          <w:rFonts w:cs="Arial"/>
          <w:rtl/>
        </w:rPr>
        <w:t xml:space="preserve"> </w:t>
      </w:r>
      <w:r w:rsidRPr="009B7807">
        <w:rPr>
          <w:rFonts w:cs="Arial" w:hint="cs"/>
          <w:rtl/>
        </w:rPr>
        <w:t>על</w:t>
      </w:r>
      <w:r w:rsidRPr="009B7807">
        <w:rPr>
          <w:rFonts w:cs="Arial"/>
          <w:rtl/>
        </w:rPr>
        <w:t xml:space="preserve"> </w:t>
      </w:r>
      <w:r w:rsidRPr="009B7807">
        <w:rPr>
          <w:rFonts w:cs="Arial" w:hint="cs"/>
          <w:rtl/>
        </w:rPr>
        <w:t>ידי</w:t>
      </w:r>
      <w:r w:rsidRPr="009B7807">
        <w:rPr>
          <w:rFonts w:cs="Arial"/>
          <w:rtl/>
        </w:rPr>
        <w:t xml:space="preserve"> </w:t>
      </w:r>
      <w:r w:rsidRPr="009B7807">
        <w:rPr>
          <w:rFonts w:cs="Arial" w:hint="cs"/>
          <w:rtl/>
        </w:rPr>
        <w:t>גוי</w:t>
      </w:r>
      <w:r>
        <w:rPr>
          <w:rFonts w:cs="Arial" w:hint="cs"/>
          <w:rtl/>
        </w:rPr>
        <w:t>, ב"י</w:t>
      </w:r>
      <w:r w:rsidRPr="009B7807">
        <w:rPr>
          <w:rFonts w:cs="Arial" w:hint="cs"/>
          <w:rtl/>
        </w:rPr>
        <w:t>.</w:t>
      </w:r>
    </w:p>
  </w:footnote>
  <w:footnote w:id="592">
    <w:p w14:paraId="0D0DE437" w14:textId="77777777" w:rsidR="004B2E7C" w:rsidRDefault="004B2E7C" w:rsidP="00285819">
      <w:pPr>
        <w:pStyle w:val="a7"/>
      </w:pPr>
      <w:r>
        <w:rPr>
          <w:rStyle w:val="a9"/>
        </w:rPr>
        <w:footnoteRef/>
      </w:r>
      <w:r>
        <w:rPr>
          <w:rtl/>
        </w:rPr>
        <w:t xml:space="preserve"> </w:t>
      </w:r>
      <w:r w:rsidRPr="0094299D">
        <w:rPr>
          <w:rFonts w:cs="Arial" w:hint="cs"/>
          <w:rtl/>
        </w:rPr>
        <w:t>השחיר</w:t>
      </w:r>
      <w:r>
        <w:rPr>
          <w:rFonts w:cs="Arial" w:hint="cs"/>
          <w:rtl/>
        </w:rPr>
        <w:t>, רש"י.</w:t>
      </w:r>
    </w:p>
  </w:footnote>
  <w:footnote w:id="593">
    <w:p w14:paraId="68F8B917" w14:textId="77777777" w:rsidR="004B2E7C" w:rsidRDefault="004B2E7C" w:rsidP="00285819">
      <w:pPr>
        <w:pStyle w:val="a7"/>
      </w:pPr>
      <w:r>
        <w:rPr>
          <w:rStyle w:val="a9"/>
        </w:rPr>
        <w:footnoteRef/>
      </w:r>
      <w:r>
        <w:rPr>
          <w:rtl/>
        </w:rPr>
        <w:t xml:space="preserve"> </w:t>
      </w:r>
      <w:r w:rsidRPr="0094299D">
        <w:rPr>
          <w:rFonts w:cs="Arial" w:hint="cs"/>
          <w:rtl/>
        </w:rPr>
        <w:t>תחתון</w:t>
      </w:r>
      <w:r w:rsidRPr="0094299D">
        <w:rPr>
          <w:rFonts w:cs="Arial"/>
          <w:rtl/>
        </w:rPr>
        <w:t xml:space="preserve"> </w:t>
      </w:r>
      <w:r w:rsidRPr="0094299D">
        <w:rPr>
          <w:rFonts w:cs="Arial" w:hint="cs"/>
          <w:rtl/>
        </w:rPr>
        <w:t>של</w:t>
      </w:r>
      <w:r w:rsidRPr="0094299D">
        <w:rPr>
          <w:rFonts w:cs="Arial"/>
          <w:rtl/>
        </w:rPr>
        <w:t xml:space="preserve"> </w:t>
      </w:r>
      <w:r w:rsidRPr="0094299D">
        <w:rPr>
          <w:rFonts w:cs="Arial" w:hint="cs"/>
          <w:rtl/>
        </w:rPr>
        <w:t>כיפת</w:t>
      </w:r>
      <w:r w:rsidRPr="0094299D">
        <w:rPr>
          <w:rFonts w:cs="Arial"/>
          <w:rtl/>
        </w:rPr>
        <w:t xml:space="preserve"> </w:t>
      </w:r>
      <w:r w:rsidRPr="0094299D">
        <w:rPr>
          <w:rFonts w:cs="Arial" w:hint="cs"/>
          <w:rtl/>
        </w:rPr>
        <w:t>הרקיע</w:t>
      </w:r>
      <w:r w:rsidRPr="0094299D">
        <w:rPr>
          <w:rFonts w:cs="Arial"/>
          <w:rtl/>
        </w:rPr>
        <w:t xml:space="preserve"> </w:t>
      </w:r>
      <w:r w:rsidRPr="0094299D">
        <w:rPr>
          <w:rFonts w:cs="Arial" w:hint="cs"/>
          <w:rtl/>
        </w:rPr>
        <w:t>הסמוכה</w:t>
      </w:r>
      <w:r w:rsidRPr="0094299D">
        <w:rPr>
          <w:rFonts w:cs="Arial"/>
          <w:rtl/>
        </w:rPr>
        <w:t xml:space="preserve"> </w:t>
      </w:r>
      <w:r w:rsidRPr="0094299D">
        <w:rPr>
          <w:rFonts w:cs="Arial" w:hint="cs"/>
          <w:rtl/>
        </w:rPr>
        <w:t>לארץ</w:t>
      </w:r>
      <w:r w:rsidRPr="0094299D">
        <w:rPr>
          <w:rFonts w:cs="Arial"/>
          <w:rtl/>
        </w:rPr>
        <w:t xml:space="preserve">, </w:t>
      </w:r>
      <w:r w:rsidRPr="0094299D">
        <w:rPr>
          <w:rFonts w:cs="Arial" w:hint="cs"/>
          <w:rtl/>
        </w:rPr>
        <w:t>עליון</w:t>
      </w:r>
      <w:r w:rsidRPr="0094299D">
        <w:rPr>
          <w:rFonts w:cs="Arial"/>
          <w:rtl/>
        </w:rPr>
        <w:t xml:space="preserve"> - </w:t>
      </w:r>
      <w:r w:rsidRPr="0094299D">
        <w:rPr>
          <w:rFonts w:cs="Arial" w:hint="cs"/>
          <w:rtl/>
        </w:rPr>
        <w:t>גובהה</w:t>
      </w:r>
      <w:r w:rsidRPr="0094299D">
        <w:rPr>
          <w:rFonts w:cs="Arial"/>
          <w:rtl/>
        </w:rPr>
        <w:t xml:space="preserve"> </w:t>
      </w:r>
      <w:r w:rsidRPr="0094299D">
        <w:rPr>
          <w:rFonts w:cs="Arial" w:hint="cs"/>
          <w:rtl/>
        </w:rPr>
        <w:t>של</w:t>
      </w:r>
      <w:r w:rsidRPr="0094299D">
        <w:rPr>
          <w:rFonts w:cs="Arial"/>
          <w:rtl/>
        </w:rPr>
        <w:t xml:space="preserve"> </w:t>
      </w:r>
      <w:r w:rsidRPr="0094299D">
        <w:rPr>
          <w:rFonts w:cs="Arial" w:hint="cs"/>
          <w:rtl/>
        </w:rPr>
        <w:t>כפה</w:t>
      </w:r>
      <w:r w:rsidRPr="0094299D">
        <w:rPr>
          <w:rFonts w:cs="Arial"/>
          <w:rtl/>
        </w:rPr>
        <w:t xml:space="preserve"> </w:t>
      </w:r>
      <w:r w:rsidRPr="0094299D">
        <w:rPr>
          <w:rFonts w:cs="Arial" w:hint="cs"/>
          <w:rtl/>
        </w:rPr>
        <w:t>אינה</w:t>
      </w:r>
      <w:r w:rsidRPr="0094299D">
        <w:rPr>
          <w:rFonts w:cs="Arial"/>
          <w:rtl/>
        </w:rPr>
        <w:t xml:space="preserve"> </w:t>
      </w:r>
      <w:r w:rsidRPr="0094299D">
        <w:rPr>
          <w:rFonts w:cs="Arial" w:hint="cs"/>
          <w:rtl/>
        </w:rPr>
        <w:t>ממהרת</w:t>
      </w:r>
      <w:r w:rsidRPr="0094299D">
        <w:rPr>
          <w:rFonts w:cs="Arial"/>
          <w:rtl/>
        </w:rPr>
        <w:t xml:space="preserve"> </w:t>
      </w:r>
      <w:r w:rsidRPr="0094299D">
        <w:rPr>
          <w:rFonts w:cs="Arial" w:hint="cs"/>
          <w:rtl/>
        </w:rPr>
        <w:t>להכסיף</w:t>
      </w:r>
      <w:r w:rsidRPr="0094299D">
        <w:rPr>
          <w:rFonts w:cs="Arial"/>
          <w:rtl/>
        </w:rPr>
        <w:t xml:space="preserve">, </w:t>
      </w:r>
      <w:r w:rsidRPr="0094299D">
        <w:rPr>
          <w:rFonts w:cs="Arial" w:hint="cs"/>
          <w:rtl/>
        </w:rPr>
        <w:t>ולקמן</w:t>
      </w:r>
      <w:r w:rsidRPr="0094299D">
        <w:rPr>
          <w:rFonts w:cs="Arial"/>
          <w:rtl/>
        </w:rPr>
        <w:t xml:space="preserve"> </w:t>
      </w:r>
      <w:r w:rsidRPr="0094299D">
        <w:rPr>
          <w:rFonts w:cs="Arial" w:hint="cs"/>
          <w:rtl/>
        </w:rPr>
        <w:t>פריך</w:t>
      </w:r>
      <w:r w:rsidRPr="0094299D">
        <w:rPr>
          <w:rFonts w:cs="Arial"/>
          <w:rtl/>
        </w:rPr>
        <w:t xml:space="preserve">: </w:t>
      </w:r>
      <w:r w:rsidRPr="0094299D">
        <w:rPr>
          <w:rFonts w:cs="Arial" w:hint="cs"/>
          <w:rtl/>
        </w:rPr>
        <w:t>מאי</w:t>
      </w:r>
      <w:r w:rsidRPr="0094299D">
        <w:rPr>
          <w:rFonts w:cs="Arial"/>
          <w:rtl/>
        </w:rPr>
        <w:t xml:space="preserve"> </w:t>
      </w:r>
      <w:r w:rsidRPr="0094299D">
        <w:rPr>
          <w:rFonts w:cs="Arial" w:hint="cs"/>
          <w:rtl/>
        </w:rPr>
        <w:t>קאמר</w:t>
      </w:r>
      <w:r w:rsidRPr="0094299D">
        <w:rPr>
          <w:rFonts w:cs="Arial"/>
          <w:rtl/>
        </w:rPr>
        <w:t xml:space="preserve">, </w:t>
      </w:r>
      <w:r w:rsidRPr="0094299D">
        <w:rPr>
          <w:rFonts w:cs="Arial" w:hint="cs"/>
          <w:rtl/>
        </w:rPr>
        <w:t>דקשיא</w:t>
      </w:r>
      <w:r w:rsidRPr="0094299D">
        <w:rPr>
          <w:rFonts w:cs="Arial"/>
          <w:rtl/>
        </w:rPr>
        <w:t xml:space="preserve"> </w:t>
      </w:r>
      <w:r w:rsidRPr="0094299D">
        <w:rPr>
          <w:rFonts w:cs="Arial" w:hint="cs"/>
          <w:rtl/>
        </w:rPr>
        <w:t>סיפא</w:t>
      </w:r>
      <w:r w:rsidRPr="0094299D">
        <w:rPr>
          <w:rFonts w:cs="Arial"/>
          <w:rtl/>
        </w:rPr>
        <w:t xml:space="preserve"> </w:t>
      </w:r>
      <w:r w:rsidRPr="0094299D">
        <w:rPr>
          <w:rFonts w:cs="Arial" w:hint="cs"/>
          <w:rtl/>
        </w:rPr>
        <w:t>ארישא</w:t>
      </w:r>
      <w:r>
        <w:rPr>
          <w:rFonts w:cs="Arial" w:hint="cs"/>
          <w:rtl/>
        </w:rPr>
        <w:t>, רש"י.</w:t>
      </w:r>
    </w:p>
  </w:footnote>
  <w:footnote w:id="594">
    <w:p w14:paraId="28E1A084" w14:textId="77777777" w:rsidR="004B2E7C" w:rsidRDefault="004B2E7C" w:rsidP="00285819">
      <w:pPr>
        <w:pStyle w:val="a7"/>
        <w:rPr>
          <w:rtl/>
        </w:rPr>
      </w:pPr>
      <w:r>
        <w:rPr>
          <w:rStyle w:val="a9"/>
        </w:rPr>
        <w:footnoteRef/>
      </w:r>
      <w:r>
        <w:rPr>
          <w:rtl/>
        </w:rPr>
        <w:t xml:space="preserve"> </w:t>
      </w:r>
      <w:r w:rsidRPr="00683BC6">
        <w:rPr>
          <w:rFonts w:cs="Arial" w:hint="cs"/>
          <w:rtl/>
        </w:rPr>
        <w:t>שאמר</w:t>
      </w:r>
      <w:r w:rsidRPr="00683BC6">
        <w:rPr>
          <w:rFonts w:cs="Arial"/>
          <w:rtl/>
        </w:rPr>
        <w:t xml:space="preserve"> </w:t>
      </w:r>
      <w:r w:rsidRPr="00683BC6">
        <w:rPr>
          <w:rFonts w:cs="Arial" w:hint="cs"/>
          <w:rtl/>
        </w:rPr>
        <w:t>בעמוד</w:t>
      </w:r>
      <w:r w:rsidRPr="00683BC6">
        <w:rPr>
          <w:rFonts w:cs="Arial"/>
          <w:rtl/>
        </w:rPr>
        <w:t xml:space="preserve"> </w:t>
      </w:r>
      <w:r w:rsidRPr="00683BC6">
        <w:rPr>
          <w:rFonts w:cs="Arial" w:hint="cs"/>
          <w:rtl/>
        </w:rPr>
        <w:t>הקודם</w:t>
      </w:r>
      <w:r w:rsidRPr="00683BC6">
        <w:rPr>
          <w:rFonts w:cs="Arial"/>
          <w:rtl/>
        </w:rPr>
        <w:t xml:space="preserve"> </w:t>
      </w:r>
      <w:r w:rsidRPr="00683BC6">
        <w:rPr>
          <w:rFonts w:cs="Arial" w:hint="cs"/>
          <w:rtl/>
        </w:rPr>
        <w:t>שאדם</w:t>
      </w:r>
      <w:r w:rsidRPr="00683BC6">
        <w:rPr>
          <w:rFonts w:cs="Arial"/>
          <w:rtl/>
        </w:rPr>
        <w:t xml:space="preserve"> </w:t>
      </w:r>
      <w:r w:rsidRPr="00683BC6">
        <w:rPr>
          <w:rFonts w:cs="Arial" w:hint="cs"/>
          <w:rtl/>
        </w:rPr>
        <w:t>מהלך</w:t>
      </w:r>
      <w:r w:rsidRPr="00683BC6">
        <w:rPr>
          <w:rFonts w:cs="Arial"/>
          <w:rtl/>
        </w:rPr>
        <w:t xml:space="preserve"> 30 </w:t>
      </w:r>
      <w:r w:rsidRPr="00683BC6">
        <w:rPr>
          <w:rFonts w:cs="Arial" w:hint="cs"/>
          <w:rtl/>
        </w:rPr>
        <w:t>מילין</w:t>
      </w:r>
      <w:r w:rsidRPr="00683BC6">
        <w:rPr>
          <w:rFonts w:cs="Arial"/>
          <w:rtl/>
        </w:rPr>
        <w:t xml:space="preserve"> </w:t>
      </w:r>
      <w:r w:rsidRPr="00683BC6">
        <w:rPr>
          <w:rFonts w:cs="Arial" w:hint="cs"/>
          <w:rtl/>
        </w:rPr>
        <w:t>ביום</w:t>
      </w:r>
      <w:r w:rsidRPr="00683BC6">
        <w:rPr>
          <w:rFonts w:cs="Arial"/>
          <w:rtl/>
        </w:rPr>
        <w:t xml:space="preserve">, </w:t>
      </w:r>
      <w:r w:rsidRPr="00683BC6">
        <w:rPr>
          <w:rFonts w:cs="Arial" w:hint="cs"/>
          <w:rtl/>
        </w:rPr>
        <w:t>ומעלות</w:t>
      </w:r>
      <w:r w:rsidRPr="00683BC6">
        <w:rPr>
          <w:rFonts w:cs="Arial"/>
          <w:rtl/>
        </w:rPr>
        <w:t xml:space="preserve"> </w:t>
      </w:r>
      <w:r w:rsidRPr="00683BC6">
        <w:rPr>
          <w:rFonts w:cs="Arial" w:hint="cs"/>
          <w:rtl/>
        </w:rPr>
        <w:t>השחר</w:t>
      </w:r>
      <w:r w:rsidRPr="00683BC6">
        <w:rPr>
          <w:rFonts w:cs="Arial"/>
          <w:rtl/>
        </w:rPr>
        <w:t xml:space="preserve"> </w:t>
      </w:r>
      <w:r w:rsidRPr="00683BC6">
        <w:rPr>
          <w:rFonts w:cs="Arial" w:hint="cs"/>
          <w:rtl/>
        </w:rPr>
        <w:t>ועד</w:t>
      </w:r>
      <w:r w:rsidRPr="00683BC6">
        <w:rPr>
          <w:rFonts w:cs="Arial"/>
          <w:rtl/>
        </w:rPr>
        <w:t xml:space="preserve"> </w:t>
      </w:r>
      <w:r w:rsidRPr="00683BC6">
        <w:rPr>
          <w:rFonts w:cs="Arial" w:hint="cs"/>
          <w:rtl/>
        </w:rPr>
        <w:t>הנץ</w:t>
      </w:r>
      <w:r w:rsidRPr="00683BC6">
        <w:rPr>
          <w:rFonts w:cs="Arial"/>
          <w:rtl/>
        </w:rPr>
        <w:t xml:space="preserve"> 5 </w:t>
      </w:r>
      <w:r w:rsidRPr="00683BC6">
        <w:rPr>
          <w:rFonts w:cs="Arial" w:hint="cs"/>
          <w:rtl/>
        </w:rPr>
        <w:t>מילין</w:t>
      </w:r>
      <w:r w:rsidRPr="00683BC6">
        <w:rPr>
          <w:rFonts w:cs="Arial"/>
          <w:rtl/>
        </w:rPr>
        <w:t xml:space="preserve">. </w:t>
      </w:r>
      <w:r w:rsidRPr="00683BC6">
        <w:rPr>
          <w:rFonts w:cs="Arial" w:hint="cs"/>
          <w:rtl/>
        </w:rPr>
        <w:t>וכן</w:t>
      </w:r>
      <w:r w:rsidRPr="00683BC6">
        <w:rPr>
          <w:rFonts w:cs="Arial"/>
          <w:rtl/>
        </w:rPr>
        <w:t xml:space="preserve"> </w:t>
      </w:r>
      <w:r w:rsidRPr="00683BC6">
        <w:rPr>
          <w:rFonts w:cs="Arial" w:hint="cs"/>
          <w:rtl/>
        </w:rPr>
        <w:t>מהשקיעה</w:t>
      </w:r>
      <w:r w:rsidRPr="00683BC6">
        <w:rPr>
          <w:rFonts w:cs="Arial"/>
          <w:rtl/>
        </w:rPr>
        <w:t xml:space="preserve"> </w:t>
      </w:r>
      <w:r w:rsidRPr="00683BC6">
        <w:rPr>
          <w:rFonts w:cs="Arial" w:hint="cs"/>
          <w:rtl/>
        </w:rPr>
        <w:t>עד</w:t>
      </w:r>
      <w:r w:rsidRPr="00683BC6">
        <w:rPr>
          <w:rFonts w:cs="Arial"/>
          <w:rtl/>
        </w:rPr>
        <w:t xml:space="preserve"> </w:t>
      </w:r>
      <w:r w:rsidRPr="00683BC6">
        <w:rPr>
          <w:rFonts w:cs="Arial" w:hint="cs"/>
          <w:rtl/>
        </w:rPr>
        <w:t>צאת</w:t>
      </w:r>
      <w:r w:rsidRPr="00683BC6">
        <w:rPr>
          <w:rFonts w:cs="Arial"/>
          <w:rtl/>
        </w:rPr>
        <w:t xml:space="preserve"> </w:t>
      </w:r>
      <w:r w:rsidRPr="00683BC6">
        <w:rPr>
          <w:rFonts w:cs="Arial" w:hint="cs"/>
          <w:rtl/>
        </w:rPr>
        <w:t>הכוכבים</w:t>
      </w:r>
      <w:r w:rsidRPr="00683BC6">
        <w:rPr>
          <w:rFonts w:cs="Arial"/>
          <w:rtl/>
        </w:rPr>
        <w:t xml:space="preserve"> 5 </w:t>
      </w:r>
      <w:r w:rsidRPr="00683BC6">
        <w:rPr>
          <w:rFonts w:cs="Arial" w:hint="cs"/>
          <w:rtl/>
        </w:rPr>
        <w:t>מילין</w:t>
      </w:r>
      <w:r>
        <w:rPr>
          <w:rFonts w:hint="cs"/>
          <w:rtl/>
        </w:rPr>
        <w:t xml:space="preserve"> </w:t>
      </w:r>
      <w:r w:rsidRPr="00683BC6">
        <w:rPr>
          <w:rFonts w:hint="cs"/>
          <w:sz w:val="16"/>
          <w:szCs w:val="16"/>
          <w:rtl/>
        </w:rPr>
        <w:t>(חברותא)</w:t>
      </w:r>
      <w:r>
        <w:rPr>
          <w:rFonts w:hint="cs"/>
          <w:rtl/>
        </w:rPr>
        <w:t>.</w:t>
      </w:r>
    </w:p>
  </w:footnote>
  <w:footnote w:id="595">
    <w:p w14:paraId="72D7B6C6" w14:textId="77777777" w:rsidR="004B2E7C" w:rsidRDefault="004B2E7C" w:rsidP="00285819">
      <w:pPr>
        <w:pStyle w:val="a7"/>
        <w:rPr>
          <w:rtl/>
        </w:rPr>
      </w:pPr>
      <w:r>
        <w:rPr>
          <w:rStyle w:val="a9"/>
        </w:rPr>
        <w:footnoteRef/>
      </w:r>
      <w:r>
        <w:rPr>
          <w:rtl/>
        </w:rPr>
        <w:t xml:space="preserve"> </w:t>
      </w:r>
      <w:r>
        <w:rPr>
          <w:rFonts w:cs="Arial" w:hint="cs"/>
          <w:rtl/>
        </w:rPr>
        <w:t>וזהו</w:t>
      </w:r>
      <w:r>
        <w:rPr>
          <w:rFonts w:cs="Arial"/>
          <w:rtl/>
        </w:rPr>
        <w:t xml:space="preserve"> </w:t>
      </w:r>
      <w:r>
        <w:rPr>
          <w:rFonts w:cs="Arial" w:hint="cs"/>
          <w:rtl/>
        </w:rPr>
        <w:t>שכתב</w:t>
      </w:r>
      <w:r>
        <w:rPr>
          <w:rFonts w:cs="Arial"/>
          <w:rtl/>
        </w:rPr>
        <w:t xml:space="preserve"> </w:t>
      </w:r>
      <w:r>
        <w:rPr>
          <w:rFonts w:cs="Arial" w:hint="cs"/>
          <w:rtl/>
        </w:rPr>
        <w:t>רבינו</w:t>
      </w:r>
      <w:r>
        <w:rPr>
          <w:rFonts w:cs="Arial"/>
          <w:rtl/>
        </w:rPr>
        <w:t xml:space="preserve"> </w:t>
      </w:r>
      <w:r>
        <w:rPr>
          <w:rFonts w:cs="Arial" w:hint="cs"/>
          <w:rtl/>
        </w:rPr>
        <w:t>בסימן</w:t>
      </w:r>
      <w:r>
        <w:rPr>
          <w:rFonts w:cs="Arial"/>
          <w:rtl/>
        </w:rPr>
        <w:t xml:space="preserve"> </w:t>
      </w:r>
      <w:r>
        <w:rPr>
          <w:rFonts w:cs="Arial" w:hint="cs"/>
          <w:rtl/>
        </w:rPr>
        <w:t>תר</w:t>
      </w:r>
      <w:r>
        <w:rPr>
          <w:rFonts w:cs="Arial"/>
          <w:rtl/>
        </w:rPr>
        <w:t>"</w:t>
      </w:r>
      <w:r>
        <w:rPr>
          <w:rFonts w:cs="Arial" w:hint="cs"/>
          <w:rtl/>
        </w:rPr>
        <w:t>ח</w:t>
      </w:r>
      <w:r>
        <w:rPr>
          <w:rFonts w:cs="Arial"/>
          <w:rtl/>
        </w:rPr>
        <w:t xml:space="preserve"> </w:t>
      </w:r>
      <w:r>
        <w:rPr>
          <w:rFonts w:cs="Arial" w:hint="cs"/>
          <w:rtl/>
        </w:rPr>
        <w:t>דזמן</w:t>
      </w:r>
      <w:r>
        <w:rPr>
          <w:rFonts w:cs="Arial"/>
          <w:rtl/>
        </w:rPr>
        <w:t xml:space="preserve"> </w:t>
      </w:r>
      <w:r>
        <w:rPr>
          <w:rFonts w:cs="Arial" w:hint="cs"/>
          <w:rtl/>
        </w:rPr>
        <w:t>בין</w:t>
      </w:r>
      <w:r>
        <w:rPr>
          <w:rFonts w:cs="Arial"/>
          <w:rtl/>
        </w:rPr>
        <w:t xml:space="preserve"> </w:t>
      </w:r>
      <w:r>
        <w:rPr>
          <w:rFonts w:cs="Arial" w:hint="cs"/>
          <w:rtl/>
        </w:rPr>
        <w:t>השמשות</w:t>
      </w:r>
      <w:r>
        <w:rPr>
          <w:rFonts w:cs="Arial"/>
          <w:rtl/>
        </w:rPr>
        <w:t xml:space="preserve"> </w:t>
      </w:r>
      <w:r>
        <w:rPr>
          <w:rFonts w:cs="Arial" w:hint="cs"/>
          <w:rtl/>
        </w:rPr>
        <w:t>הוא</w:t>
      </w:r>
      <w:r>
        <w:rPr>
          <w:rFonts w:cs="Arial"/>
          <w:rtl/>
        </w:rPr>
        <w:t xml:space="preserve"> </w:t>
      </w:r>
      <w:r>
        <w:rPr>
          <w:rFonts w:cs="Arial" w:hint="cs"/>
          <w:rtl/>
        </w:rPr>
        <w:t>אלף</w:t>
      </w:r>
      <w:r>
        <w:rPr>
          <w:rFonts w:cs="Arial"/>
          <w:rtl/>
        </w:rPr>
        <w:t xml:space="preserve"> </w:t>
      </w:r>
      <w:r>
        <w:rPr>
          <w:rFonts w:cs="Arial" w:hint="cs"/>
          <w:rtl/>
        </w:rPr>
        <w:t>ות</w:t>
      </w:r>
      <w:r>
        <w:rPr>
          <w:rFonts w:cs="Arial"/>
          <w:rtl/>
        </w:rPr>
        <w:t>"</w:t>
      </w:r>
      <w:r>
        <w:rPr>
          <w:rFonts w:cs="Arial" w:hint="cs"/>
          <w:rtl/>
        </w:rPr>
        <w:t>ק</w:t>
      </w:r>
      <w:r>
        <w:rPr>
          <w:rFonts w:cs="Arial"/>
          <w:rtl/>
        </w:rPr>
        <w:t xml:space="preserve"> </w:t>
      </w:r>
      <w:r>
        <w:rPr>
          <w:rFonts w:cs="Arial" w:hint="cs"/>
          <w:rtl/>
        </w:rPr>
        <w:t>אמות</w:t>
      </w:r>
      <w:r>
        <w:rPr>
          <w:rFonts w:cs="Arial"/>
          <w:rtl/>
        </w:rPr>
        <w:t xml:space="preserve"> </w:t>
      </w:r>
      <w:r>
        <w:rPr>
          <w:rFonts w:cs="Arial" w:hint="cs"/>
          <w:rtl/>
        </w:rPr>
        <w:t>קודם</w:t>
      </w:r>
      <w:r>
        <w:rPr>
          <w:rFonts w:cs="Arial"/>
          <w:rtl/>
        </w:rPr>
        <w:t xml:space="preserve"> </w:t>
      </w:r>
      <w:r>
        <w:rPr>
          <w:rFonts w:cs="Arial" w:hint="cs"/>
          <w:rtl/>
        </w:rPr>
        <w:t>הלילה</w:t>
      </w:r>
      <w:r>
        <w:rPr>
          <w:rFonts w:hint="cs"/>
          <w:rtl/>
        </w:rPr>
        <w:t>, ב"י.</w:t>
      </w:r>
    </w:p>
  </w:footnote>
  <w:footnote w:id="596">
    <w:p w14:paraId="588BCD6D" w14:textId="77777777" w:rsidR="004B2E7C" w:rsidRDefault="004B2E7C" w:rsidP="00285819">
      <w:pPr>
        <w:pStyle w:val="a7"/>
        <w:rPr>
          <w:rtl/>
        </w:rPr>
      </w:pPr>
      <w:r>
        <w:rPr>
          <w:rStyle w:val="a9"/>
        </w:rPr>
        <w:footnoteRef/>
      </w:r>
      <w:r>
        <w:rPr>
          <w:rtl/>
        </w:rPr>
        <w:t xml:space="preserve"> </w:t>
      </w:r>
      <w:r>
        <w:rPr>
          <w:rFonts w:cs="Arial" w:hint="cs"/>
          <w:rtl/>
        </w:rPr>
        <w:t>ר"ת</w:t>
      </w:r>
      <w:r w:rsidRPr="008D5FB5">
        <w:rPr>
          <w:rFonts w:cs="Arial"/>
          <w:rtl/>
        </w:rPr>
        <w:t xml:space="preserve"> </w:t>
      </w:r>
      <w:r w:rsidRPr="0045503E">
        <w:rPr>
          <w:rFonts w:cs="Arial"/>
          <w:sz w:val="16"/>
          <w:szCs w:val="16"/>
          <w:rtl/>
        </w:rPr>
        <w:t>(</w:t>
      </w:r>
      <w:r w:rsidRPr="0045503E">
        <w:rPr>
          <w:rFonts w:cs="Arial" w:hint="cs"/>
          <w:sz w:val="16"/>
          <w:szCs w:val="16"/>
          <w:rtl/>
        </w:rPr>
        <w:t>בתוס' שבת לה</w:t>
      </w:r>
      <w:r w:rsidRPr="0045503E">
        <w:rPr>
          <w:rFonts w:cs="Arial"/>
          <w:sz w:val="16"/>
          <w:szCs w:val="16"/>
          <w:rtl/>
        </w:rPr>
        <w:t xml:space="preserve">. </w:t>
      </w:r>
      <w:r w:rsidRPr="0045503E">
        <w:rPr>
          <w:rFonts w:cs="Arial" w:hint="cs"/>
          <w:sz w:val="16"/>
          <w:szCs w:val="16"/>
          <w:rtl/>
        </w:rPr>
        <w:t>ד</w:t>
      </w:r>
      <w:r w:rsidRPr="0045503E">
        <w:rPr>
          <w:rFonts w:cs="Arial"/>
          <w:sz w:val="16"/>
          <w:szCs w:val="16"/>
          <w:rtl/>
        </w:rPr>
        <w:t>"</w:t>
      </w:r>
      <w:r w:rsidRPr="0045503E">
        <w:rPr>
          <w:rFonts w:cs="Arial" w:hint="cs"/>
          <w:sz w:val="16"/>
          <w:szCs w:val="16"/>
          <w:rtl/>
        </w:rPr>
        <w:t>ה</w:t>
      </w:r>
      <w:r w:rsidRPr="0045503E">
        <w:rPr>
          <w:rFonts w:cs="Arial"/>
          <w:sz w:val="16"/>
          <w:szCs w:val="16"/>
          <w:rtl/>
        </w:rPr>
        <w:t xml:space="preserve"> </w:t>
      </w:r>
      <w:r w:rsidRPr="0045503E">
        <w:rPr>
          <w:rFonts w:cs="Arial" w:hint="cs"/>
          <w:sz w:val="16"/>
          <w:szCs w:val="16"/>
          <w:rtl/>
        </w:rPr>
        <w:t>תרי</w:t>
      </w:r>
      <w:r w:rsidRPr="0045503E">
        <w:rPr>
          <w:rFonts w:cs="Arial"/>
          <w:sz w:val="16"/>
          <w:szCs w:val="16"/>
          <w:rtl/>
        </w:rPr>
        <w:t>)</w:t>
      </w:r>
      <w:r>
        <w:rPr>
          <w:rFonts w:cs="Arial" w:hint="cs"/>
          <w:rtl/>
        </w:rPr>
        <w:t xml:space="preserve"> </w:t>
      </w:r>
      <w:r w:rsidRPr="008D5FB5">
        <w:rPr>
          <w:rFonts w:cs="Arial" w:hint="cs"/>
          <w:rtl/>
        </w:rPr>
        <w:t>רמב</w:t>
      </w:r>
      <w:r w:rsidRPr="008D5FB5">
        <w:rPr>
          <w:rFonts w:cs="Arial"/>
          <w:rtl/>
        </w:rPr>
        <w:t>"</w:t>
      </w:r>
      <w:r w:rsidRPr="008D5FB5">
        <w:rPr>
          <w:rFonts w:cs="Arial" w:hint="cs"/>
          <w:rtl/>
        </w:rPr>
        <w:t>ן</w:t>
      </w:r>
      <w:r w:rsidRPr="0045503E">
        <w:rPr>
          <w:rFonts w:cs="Arial"/>
          <w:sz w:val="16"/>
          <w:szCs w:val="16"/>
          <w:rtl/>
        </w:rPr>
        <w:t xml:space="preserve"> (</w:t>
      </w:r>
      <w:r w:rsidRPr="0045503E">
        <w:rPr>
          <w:rFonts w:cs="Arial" w:hint="cs"/>
          <w:sz w:val="16"/>
          <w:szCs w:val="16"/>
          <w:rtl/>
        </w:rPr>
        <w:t>תורת</w:t>
      </w:r>
      <w:r w:rsidRPr="0045503E">
        <w:rPr>
          <w:rFonts w:cs="Arial"/>
          <w:sz w:val="16"/>
          <w:szCs w:val="16"/>
          <w:rtl/>
        </w:rPr>
        <w:t xml:space="preserve"> </w:t>
      </w:r>
      <w:r w:rsidRPr="0045503E">
        <w:rPr>
          <w:rFonts w:cs="Arial" w:hint="cs"/>
          <w:sz w:val="16"/>
          <w:szCs w:val="16"/>
          <w:rtl/>
        </w:rPr>
        <w:t>האדם</w:t>
      </w:r>
      <w:r w:rsidRPr="0045503E">
        <w:rPr>
          <w:rFonts w:cs="Arial"/>
          <w:sz w:val="16"/>
          <w:szCs w:val="16"/>
          <w:rtl/>
        </w:rPr>
        <w:t xml:space="preserve">, </w:t>
      </w:r>
      <w:r w:rsidRPr="0045503E">
        <w:rPr>
          <w:rFonts w:cs="Arial" w:hint="cs"/>
          <w:sz w:val="16"/>
          <w:szCs w:val="16"/>
          <w:rtl/>
        </w:rPr>
        <w:t>ענין</w:t>
      </w:r>
      <w:r w:rsidRPr="0045503E">
        <w:rPr>
          <w:rFonts w:cs="Arial"/>
          <w:sz w:val="16"/>
          <w:szCs w:val="16"/>
          <w:rtl/>
        </w:rPr>
        <w:t xml:space="preserve"> </w:t>
      </w:r>
      <w:r w:rsidRPr="0045503E">
        <w:rPr>
          <w:rFonts w:cs="Arial" w:hint="cs"/>
          <w:sz w:val="16"/>
          <w:szCs w:val="16"/>
          <w:rtl/>
        </w:rPr>
        <w:t>אבלות</w:t>
      </w:r>
      <w:r w:rsidRPr="0045503E">
        <w:rPr>
          <w:rFonts w:cs="Arial"/>
          <w:sz w:val="16"/>
          <w:szCs w:val="16"/>
          <w:rtl/>
        </w:rPr>
        <w:t xml:space="preserve"> </w:t>
      </w:r>
      <w:r w:rsidRPr="0045503E">
        <w:rPr>
          <w:rFonts w:cs="Arial" w:hint="cs"/>
          <w:sz w:val="16"/>
          <w:szCs w:val="16"/>
          <w:rtl/>
        </w:rPr>
        <w:t>ישנה</w:t>
      </w:r>
      <w:r w:rsidRPr="0045503E">
        <w:rPr>
          <w:rFonts w:cs="Arial"/>
          <w:sz w:val="16"/>
          <w:szCs w:val="16"/>
          <w:rtl/>
        </w:rPr>
        <w:t xml:space="preserve">, </w:t>
      </w:r>
      <w:r w:rsidRPr="0045503E">
        <w:rPr>
          <w:rFonts w:cs="Arial" w:hint="cs"/>
          <w:sz w:val="16"/>
          <w:szCs w:val="16"/>
          <w:rtl/>
        </w:rPr>
        <w:t>ע</w:t>
      </w:r>
      <w:r w:rsidRPr="0045503E">
        <w:rPr>
          <w:rFonts w:cs="Arial"/>
          <w:sz w:val="16"/>
          <w:szCs w:val="16"/>
          <w:rtl/>
        </w:rPr>
        <w:t xml:space="preserve">' </w:t>
      </w:r>
      <w:r w:rsidRPr="0045503E">
        <w:rPr>
          <w:rFonts w:cs="Arial" w:hint="cs"/>
          <w:sz w:val="16"/>
          <w:szCs w:val="16"/>
          <w:rtl/>
        </w:rPr>
        <w:t>רנב</w:t>
      </w:r>
      <w:r w:rsidRPr="0045503E">
        <w:rPr>
          <w:rFonts w:cs="Arial"/>
          <w:sz w:val="16"/>
          <w:szCs w:val="16"/>
          <w:rtl/>
        </w:rPr>
        <w:t>)</w:t>
      </w:r>
      <w:r>
        <w:rPr>
          <w:rFonts w:cs="Arial" w:hint="cs"/>
          <w:rtl/>
        </w:rPr>
        <w:t xml:space="preserve"> ו</w:t>
      </w:r>
      <w:r w:rsidRPr="008D5FB5">
        <w:rPr>
          <w:rFonts w:cs="Arial" w:hint="cs"/>
          <w:rtl/>
        </w:rPr>
        <w:t>ר</w:t>
      </w:r>
      <w:r w:rsidRPr="008D5FB5">
        <w:rPr>
          <w:rFonts w:cs="Arial"/>
          <w:rtl/>
        </w:rPr>
        <w:t>"</w:t>
      </w:r>
      <w:r w:rsidRPr="008D5FB5">
        <w:rPr>
          <w:rFonts w:cs="Arial" w:hint="cs"/>
          <w:rtl/>
        </w:rPr>
        <w:t>ן</w:t>
      </w:r>
      <w:r w:rsidRPr="008D5FB5">
        <w:rPr>
          <w:rFonts w:cs="Arial"/>
          <w:rtl/>
        </w:rPr>
        <w:t xml:space="preserve"> </w:t>
      </w:r>
      <w:r w:rsidRPr="0045503E">
        <w:rPr>
          <w:rFonts w:cs="Arial"/>
          <w:sz w:val="16"/>
          <w:szCs w:val="16"/>
          <w:rtl/>
        </w:rPr>
        <w:t>(</w:t>
      </w:r>
      <w:r w:rsidRPr="0045503E">
        <w:rPr>
          <w:rFonts w:cs="Arial" w:hint="cs"/>
          <w:sz w:val="16"/>
          <w:szCs w:val="16"/>
          <w:rtl/>
        </w:rPr>
        <w:t>שבת טו</w:t>
      </w:r>
      <w:r w:rsidRPr="0045503E">
        <w:rPr>
          <w:rFonts w:cs="Arial"/>
          <w:sz w:val="16"/>
          <w:szCs w:val="16"/>
          <w:rtl/>
        </w:rPr>
        <w:t xml:space="preserve">. </w:t>
      </w:r>
      <w:r w:rsidRPr="0045503E">
        <w:rPr>
          <w:rFonts w:cs="Arial" w:hint="cs"/>
          <w:sz w:val="16"/>
          <w:szCs w:val="16"/>
          <w:rtl/>
        </w:rPr>
        <w:t>ד</w:t>
      </w:r>
      <w:r w:rsidRPr="0045503E">
        <w:rPr>
          <w:rFonts w:cs="Arial"/>
          <w:sz w:val="16"/>
          <w:szCs w:val="16"/>
          <w:rtl/>
        </w:rPr>
        <w:t>"</w:t>
      </w:r>
      <w:r w:rsidRPr="0045503E">
        <w:rPr>
          <w:rFonts w:cs="Arial" w:hint="cs"/>
          <w:sz w:val="16"/>
          <w:szCs w:val="16"/>
          <w:rtl/>
        </w:rPr>
        <w:t>ה</w:t>
      </w:r>
      <w:r w:rsidRPr="0045503E">
        <w:rPr>
          <w:rFonts w:cs="Arial"/>
          <w:sz w:val="16"/>
          <w:szCs w:val="16"/>
          <w:rtl/>
        </w:rPr>
        <w:t xml:space="preserve"> </w:t>
      </w:r>
      <w:r w:rsidRPr="0045503E">
        <w:rPr>
          <w:rFonts w:cs="Arial" w:hint="cs"/>
          <w:sz w:val="16"/>
          <w:szCs w:val="16"/>
          <w:rtl/>
        </w:rPr>
        <w:t>אמר</w:t>
      </w:r>
      <w:r w:rsidRPr="0045503E">
        <w:rPr>
          <w:rFonts w:cs="Arial"/>
          <w:sz w:val="16"/>
          <w:szCs w:val="16"/>
          <w:rtl/>
        </w:rPr>
        <w:t xml:space="preserve"> </w:t>
      </w:r>
      <w:r w:rsidRPr="0045503E">
        <w:rPr>
          <w:rFonts w:cs="Arial" w:hint="cs"/>
          <w:sz w:val="16"/>
          <w:szCs w:val="16"/>
          <w:rtl/>
        </w:rPr>
        <w:t>רבה, וביומא ב</w:t>
      </w:r>
      <w:r w:rsidRPr="0045503E">
        <w:rPr>
          <w:rFonts w:cs="Arial"/>
          <w:sz w:val="16"/>
          <w:szCs w:val="16"/>
          <w:rtl/>
        </w:rPr>
        <w:t xml:space="preserve">: </w:t>
      </w:r>
      <w:r w:rsidRPr="0045503E">
        <w:rPr>
          <w:rFonts w:cs="Arial" w:hint="cs"/>
          <w:sz w:val="16"/>
          <w:szCs w:val="16"/>
          <w:rtl/>
        </w:rPr>
        <w:t>ד</w:t>
      </w:r>
      <w:r w:rsidRPr="0045503E">
        <w:rPr>
          <w:rFonts w:cs="Arial"/>
          <w:sz w:val="16"/>
          <w:szCs w:val="16"/>
          <w:rtl/>
        </w:rPr>
        <w:t>"</w:t>
      </w:r>
      <w:r w:rsidRPr="0045503E">
        <w:rPr>
          <w:rFonts w:cs="Arial" w:hint="cs"/>
          <w:sz w:val="16"/>
          <w:szCs w:val="16"/>
          <w:rtl/>
        </w:rPr>
        <w:t>ה</w:t>
      </w:r>
      <w:r w:rsidRPr="0045503E">
        <w:rPr>
          <w:rFonts w:cs="Arial"/>
          <w:sz w:val="16"/>
          <w:szCs w:val="16"/>
          <w:rtl/>
        </w:rPr>
        <w:t xml:space="preserve"> </w:t>
      </w:r>
      <w:r w:rsidRPr="0045503E">
        <w:rPr>
          <w:rFonts w:cs="Arial" w:hint="cs"/>
          <w:sz w:val="16"/>
          <w:szCs w:val="16"/>
          <w:rtl/>
        </w:rPr>
        <w:t>ת</w:t>
      </w:r>
      <w:r w:rsidRPr="0045503E">
        <w:rPr>
          <w:rFonts w:cs="Arial"/>
          <w:sz w:val="16"/>
          <w:szCs w:val="16"/>
          <w:rtl/>
        </w:rPr>
        <w:t>"</w:t>
      </w:r>
      <w:r w:rsidRPr="0045503E">
        <w:rPr>
          <w:rFonts w:cs="Arial" w:hint="cs"/>
          <w:sz w:val="16"/>
          <w:szCs w:val="16"/>
          <w:rtl/>
        </w:rPr>
        <w:t>ר</w:t>
      </w:r>
      <w:r w:rsidRPr="0045503E">
        <w:rPr>
          <w:rFonts w:cs="Arial"/>
          <w:sz w:val="16"/>
          <w:szCs w:val="16"/>
          <w:rtl/>
        </w:rPr>
        <w:t xml:space="preserve"> </w:t>
      </w:r>
      <w:r w:rsidRPr="0045503E">
        <w:rPr>
          <w:rFonts w:cs="Arial" w:hint="cs"/>
          <w:sz w:val="16"/>
          <w:szCs w:val="16"/>
          <w:rtl/>
        </w:rPr>
        <w:t>ועניתם</w:t>
      </w:r>
      <w:r w:rsidRPr="0045503E">
        <w:rPr>
          <w:rFonts w:cs="Arial"/>
          <w:sz w:val="16"/>
          <w:szCs w:val="16"/>
          <w:rtl/>
        </w:rPr>
        <w:t>)</w:t>
      </w:r>
      <w:r>
        <w:rPr>
          <w:rFonts w:hint="cs"/>
          <w:rtl/>
        </w:rPr>
        <w:t>.</w:t>
      </w:r>
    </w:p>
  </w:footnote>
  <w:footnote w:id="597">
    <w:p w14:paraId="0654C669" w14:textId="77777777" w:rsidR="004B2E7C" w:rsidRDefault="004B2E7C" w:rsidP="00285819">
      <w:pPr>
        <w:pStyle w:val="a7"/>
      </w:pPr>
      <w:r>
        <w:rPr>
          <w:rStyle w:val="a9"/>
        </w:rPr>
        <w:footnoteRef/>
      </w:r>
      <w:r>
        <w:rPr>
          <w:rtl/>
        </w:rPr>
        <w:t xml:space="preserve"> </w:t>
      </w:r>
      <w:r>
        <w:rPr>
          <w:rFonts w:hint="cs"/>
          <w:rtl/>
        </w:rPr>
        <w:t xml:space="preserve">כתב הר"ן וז"ל- </w:t>
      </w:r>
      <w:r w:rsidRPr="0045503E">
        <w:rPr>
          <w:rFonts w:cs="Arial" w:hint="cs"/>
          <w:rtl/>
        </w:rPr>
        <w:t>ואם</w:t>
      </w:r>
      <w:r w:rsidRPr="0045503E">
        <w:rPr>
          <w:rFonts w:cs="Arial"/>
          <w:rtl/>
        </w:rPr>
        <w:t xml:space="preserve"> </w:t>
      </w:r>
      <w:r w:rsidRPr="0045503E">
        <w:rPr>
          <w:rFonts w:cs="Arial" w:hint="cs"/>
          <w:rtl/>
        </w:rPr>
        <w:t>תאמר</w:t>
      </w:r>
      <w:r w:rsidRPr="0045503E">
        <w:rPr>
          <w:rFonts w:cs="Arial"/>
          <w:rtl/>
        </w:rPr>
        <w:t xml:space="preserve"> </w:t>
      </w:r>
      <w:r w:rsidRPr="0045503E">
        <w:rPr>
          <w:rFonts w:cs="Arial" w:hint="cs"/>
          <w:rtl/>
        </w:rPr>
        <w:t>דהכא</w:t>
      </w:r>
      <w:r w:rsidRPr="0045503E">
        <w:rPr>
          <w:rFonts w:cs="Arial"/>
          <w:rtl/>
        </w:rPr>
        <w:t xml:space="preserve"> </w:t>
      </w:r>
      <w:r w:rsidRPr="0045503E">
        <w:rPr>
          <w:rFonts w:cs="Arial" w:hint="cs"/>
          <w:rtl/>
        </w:rPr>
        <w:t>משמע</w:t>
      </w:r>
      <w:r w:rsidRPr="0045503E">
        <w:rPr>
          <w:rFonts w:cs="Arial"/>
          <w:rtl/>
        </w:rPr>
        <w:t xml:space="preserve"> </w:t>
      </w:r>
      <w:r w:rsidRPr="0045503E">
        <w:rPr>
          <w:rFonts w:cs="Arial" w:hint="cs"/>
          <w:rtl/>
        </w:rPr>
        <w:t>דמשתשקע</w:t>
      </w:r>
      <w:r w:rsidRPr="0045503E">
        <w:rPr>
          <w:rFonts w:cs="Arial"/>
          <w:rtl/>
        </w:rPr>
        <w:t xml:space="preserve"> </w:t>
      </w:r>
      <w:r w:rsidRPr="0045503E">
        <w:rPr>
          <w:rFonts w:cs="Arial" w:hint="cs"/>
          <w:rtl/>
        </w:rPr>
        <w:t>החמה</w:t>
      </w:r>
      <w:r w:rsidRPr="0045503E">
        <w:rPr>
          <w:rFonts w:cs="Arial"/>
          <w:rtl/>
        </w:rPr>
        <w:t xml:space="preserve"> </w:t>
      </w:r>
      <w:r w:rsidRPr="0045503E">
        <w:rPr>
          <w:rFonts w:cs="Arial" w:hint="cs"/>
          <w:rtl/>
        </w:rPr>
        <w:t>ועד</w:t>
      </w:r>
      <w:r w:rsidRPr="0045503E">
        <w:rPr>
          <w:rFonts w:cs="Arial"/>
          <w:rtl/>
        </w:rPr>
        <w:t xml:space="preserve"> </w:t>
      </w:r>
      <w:r w:rsidRPr="0045503E">
        <w:rPr>
          <w:rFonts w:cs="Arial" w:hint="cs"/>
          <w:rtl/>
        </w:rPr>
        <w:t>צאת</w:t>
      </w:r>
      <w:r w:rsidRPr="0045503E">
        <w:rPr>
          <w:rFonts w:cs="Arial"/>
          <w:rtl/>
        </w:rPr>
        <w:t xml:space="preserve"> </w:t>
      </w:r>
      <w:r w:rsidRPr="0045503E">
        <w:rPr>
          <w:rFonts w:cs="Arial" w:hint="cs"/>
          <w:rtl/>
        </w:rPr>
        <w:t>הכוכבים</w:t>
      </w:r>
      <w:r w:rsidRPr="0045503E">
        <w:rPr>
          <w:rFonts w:cs="Arial"/>
          <w:rtl/>
        </w:rPr>
        <w:t xml:space="preserve"> </w:t>
      </w:r>
      <w:r w:rsidRPr="0045503E">
        <w:rPr>
          <w:rFonts w:cs="Arial" w:hint="cs"/>
          <w:rtl/>
        </w:rPr>
        <w:t>ליכא</w:t>
      </w:r>
      <w:r w:rsidRPr="0045503E">
        <w:rPr>
          <w:rFonts w:cs="Arial"/>
          <w:rtl/>
        </w:rPr>
        <w:t xml:space="preserve"> </w:t>
      </w:r>
      <w:r w:rsidRPr="0045503E">
        <w:rPr>
          <w:rFonts w:cs="Arial" w:hint="cs"/>
          <w:rtl/>
        </w:rPr>
        <w:t>אלא</w:t>
      </w:r>
      <w:r w:rsidRPr="0045503E">
        <w:rPr>
          <w:rFonts w:cs="Arial"/>
          <w:rtl/>
        </w:rPr>
        <w:t xml:space="preserve"> </w:t>
      </w:r>
      <w:r w:rsidRPr="0045503E">
        <w:rPr>
          <w:rFonts w:cs="Arial" w:hint="cs"/>
          <w:rtl/>
        </w:rPr>
        <w:t>תלתא</w:t>
      </w:r>
      <w:r w:rsidRPr="0045503E">
        <w:rPr>
          <w:rFonts w:cs="Arial"/>
          <w:rtl/>
        </w:rPr>
        <w:t xml:space="preserve"> </w:t>
      </w:r>
      <w:r w:rsidRPr="0045503E">
        <w:rPr>
          <w:rFonts w:cs="Arial" w:hint="cs"/>
          <w:rtl/>
        </w:rPr>
        <w:t>רבעי</w:t>
      </w:r>
      <w:r w:rsidRPr="0045503E">
        <w:rPr>
          <w:rFonts w:cs="Arial"/>
          <w:rtl/>
        </w:rPr>
        <w:t xml:space="preserve"> </w:t>
      </w:r>
      <w:r w:rsidRPr="0045503E">
        <w:rPr>
          <w:rFonts w:cs="Arial" w:hint="cs"/>
          <w:rtl/>
        </w:rPr>
        <w:t>מילא</w:t>
      </w:r>
      <w:r w:rsidRPr="0045503E">
        <w:rPr>
          <w:rFonts w:cs="Arial"/>
          <w:rtl/>
        </w:rPr>
        <w:t xml:space="preserve"> </w:t>
      </w:r>
      <w:r w:rsidRPr="0045503E">
        <w:rPr>
          <w:rFonts w:cs="Arial" w:hint="cs"/>
          <w:rtl/>
        </w:rPr>
        <w:t>ואילו</w:t>
      </w:r>
      <w:r w:rsidRPr="0045503E">
        <w:rPr>
          <w:rFonts w:cs="Arial"/>
          <w:rtl/>
        </w:rPr>
        <w:t xml:space="preserve"> </w:t>
      </w:r>
      <w:r w:rsidRPr="0045503E">
        <w:rPr>
          <w:rFonts w:cs="Arial" w:hint="cs"/>
          <w:rtl/>
        </w:rPr>
        <w:t>בפסח</w:t>
      </w:r>
      <w:r w:rsidRPr="0045503E">
        <w:rPr>
          <w:rFonts w:cs="Arial"/>
          <w:rtl/>
        </w:rPr>
        <w:t xml:space="preserve"> </w:t>
      </w:r>
      <w:r w:rsidRPr="0045503E">
        <w:rPr>
          <w:rFonts w:cs="Arial" w:hint="cs"/>
          <w:rtl/>
        </w:rPr>
        <w:t>שני</w:t>
      </w:r>
      <w:r w:rsidRPr="0045503E">
        <w:rPr>
          <w:rFonts w:cs="Arial"/>
          <w:rtl/>
        </w:rPr>
        <w:t xml:space="preserve"> [</w:t>
      </w:r>
      <w:r>
        <w:rPr>
          <w:rFonts w:cs="Arial" w:hint="cs"/>
          <w:rtl/>
        </w:rPr>
        <w:t xml:space="preserve">פסחים </w:t>
      </w:r>
      <w:r w:rsidRPr="0045503E">
        <w:rPr>
          <w:rFonts w:cs="Arial" w:hint="cs"/>
          <w:rtl/>
        </w:rPr>
        <w:t>צד</w:t>
      </w:r>
      <w:r>
        <w:rPr>
          <w:rFonts w:cs="Arial" w:hint="cs"/>
          <w:rtl/>
        </w:rPr>
        <w:t>.</w:t>
      </w:r>
      <w:r w:rsidRPr="0045503E">
        <w:rPr>
          <w:rFonts w:cs="Arial"/>
          <w:rtl/>
        </w:rPr>
        <w:t xml:space="preserve">] </w:t>
      </w:r>
      <w:r w:rsidRPr="0045503E">
        <w:rPr>
          <w:rFonts w:cs="Arial" w:hint="cs"/>
          <w:rtl/>
        </w:rPr>
        <w:t>תניא</w:t>
      </w:r>
      <w:r w:rsidRPr="0045503E">
        <w:rPr>
          <w:rFonts w:cs="Arial"/>
          <w:rtl/>
        </w:rPr>
        <w:t xml:space="preserve"> </w:t>
      </w:r>
      <w:r w:rsidRPr="0045503E">
        <w:rPr>
          <w:rFonts w:cs="Arial" w:hint="cs"/>
          <w:rtl/>
        </w:rPr>
        <w:t>משקיעת</w:t>
      </w:r>
      <w:r w:rsidRPr="0045503E">
        <w:rPr>
          <w:rFonts w:cs="Arial"/>
          <w:rtl/>
        </w:rPr>
        <w:t xml:space="preserve"> </w:t>
      </w:r>
      <w:r w:rsidRPr="0045503E">
        <w:rPr>
          <w:rFonts w:cs="Arial" w:hint="cs"/>
          <w:rtl/>
        </w:rPr>
        <w:t>החמה</w:t>
      </w:r>
      <w:r w:rsidRPr="0045503E">
        <w:rPr>
          <w:rFonts w:cs="Arial"/>
          <w:rtl/>
        </w:rPr>
        <w:t xml:space="preserve"> </w:t>
      </w:r>
      <w:r w:rsidRPr="0045503E">
        <w:rPr>
          <w:rFonts w:cs="Arial" w:hint="cs"/>
          <w:rtl/>
        </w:rPr>
        <w:t>ועד</w:t>
      </w:r>
      <w:r w:rsidRPr="0045503E">
        <w:rPr>
          <w:rFonts w:cs="Arial"/>
          <w:rtl/>
        </w:rPr>
        <w:t xml:space="preserve"> </w:t>
      </w:r>
      <w:r w:rsidRPr="0045503E">
        <w:rPr>
          <w:rFonts w:cs="Arial" w:hint="cs"/>
          <w:rtl/>
        </w:rPr>
        <w:t>צאת</w:t>
      </w:r>
      <w:r w:rsidRPr="0045503E">
        <w:rPr>
          <w:rFonts w:cs="Arial"/>
          <w:rtl/>
        </w:rPr>
        <w:t xml:space="preserve"> </w:t>
      </w:r>
      <w:r w:rsidRPr="0045503E">
        <w:rPr>
          <w:rFonts w:cs="Arial" w:hint="cs"/>
          <w:rtl/>
        </w:rPr>
        <w:t>הכוכבים</w:t>
      </w:r>
      <w:r w:rsidRPr="0045503E">
        <w:rPr>
          <w:rFonts w:cs="Arial"/>
          <w:rtl/>
        </w:rPr>
        <w:t xml:space="preserve"> </w:t>
      </w:r>
      <w:r w:rsidRPr="0045503E">
        <w:rPr>
          <w:rFonts w:cs="Arial" w:hint="cs"/>
          <w:rtl/>
        </w:rPr>
        <w:t>ארבעת</w:t>
      </w:r>
      <w:r w:rsidRPr="0045503E">
        <w:rPr>
          <w:rFonts w:cs="Arial"/>
          <w:rtl/>
        </w:rPr>
        <w:t xml:space="preserve"> </w:t>
      </w:r>
      <w:r w:rsidRPr="0045503E">
        <w:rPr>
          <w:rFonts w:cs="Arial" w:hint="cs"/>
          <w:rtl/>
        </w:rPr>
        <w:t>מילין</w:t>
      </w:r>
      <w:r w:rsidRPr="0045503E">
        <w:rPr>
          <w:rFonts w:cs="Arial"/>
          <w:rtl/>
        </w:rPr>
        <w:t xml:space="preserve"> </w:t>
      </w:r>
      <w:r w:rsidRPr="0045503E">
        <w:rPr>
          <w:rFonts w:cs="Arial" w:hint="cs"/>
          <w:rtl/>
        </w:rPr>
        <w:t>ותניא</w:t>
      </w:r>
      <w:r w:rsidRPr="0045503E">
        <w:rPr>
          <w:rFonts w:cs="Arial"/>
          <w:rtl/>
        </w:rPr>
        <w:t xml:space="preserve"> </w:t>
      </w:r>
      <w:r w:rsidRPr="0045503E">
        <w:rPr>
          <w:rFonts w:cs="Arial" w:hint="cs"/>
          <w:rtl/>
        </w:rPr>
        <w:t>נמי</w:t>
      </w:r>
      <w:r w:rsidRPr="0045503E">
        <w:rPr>
          <w:rFonts w:cs="Arial"/>
          <w:rtl/>
        </w:rPr>
        <w:t xml:space="preserve"> </w:t>
      </w:r>
      <w:r w:rsidRPr="0045503E">
        <w:rPr>
          <w:rFonts w:cs="Arial" w:hint="cs"/>
          <w:rtl/>
        </w:rPr>
        <w:t>התם</w:t>
      </w:r>
      <w:r w:rsidRPr="0045503E">
        <w:rPr>
          <w:rFonts w:cs="Arial"/>
          <w:rtl/>
        </w:rPr>
        <w:t xml:space="preserve"> </w:t>
      </w:r>
      <w:r w:rsidRPr="0045503E">
        <w:rPr>
          <w:rFonts w:cs="Arial" w:hint="cs"/>
          <w:rtl/>
        </w:rPr>
        <w:t>ר</w:t>
      </w:r>
      <w:r w:rsidRPr="0045503E">
        <w:rPr>
          <w:rFonts w:cs="Arial"/>
          <w:rtl/>
        </w:rPr>
        <w:t xml:space="preserve">' </w:t>
      </w:r>
      <w:r w:rsidRPr="0045503E">
        <w:rPr>
          <w:rFonts w:cs="Arial" w:hint="cs"/>
          <w:rtl/>
        </w:rPr>
        <w:t>יהודה</w:t>
      </w:r>
      <w:r w:rsidRPr="0045503E">
        <w:rPr>
          <w:rFonts w:cs="Arial"/>
          <w:rtl/>
        </w:rPr>
        <w:t xml:space="preserve"> </w:t>
      </w:r>
      <w:r w:rsidRPr="0045503E">
        <w:rPr>
          <w:rFonts w:cs="Arial" w:hint="cs"/>
          <w:rtl/>
        </w:rPr>
        <w:t>אומר</w:t>
      </w:r>
      <w:r w:rsidRPr="0045503E">
        <w:rPr>
          <w:rFonts w:cs="Arial"/>
          <w:rtl/>
        </w:rPr>
        <w:t xml:space="preserve"> </w:t>
      </w:r>
      <w:r w:rsidRPr="0045503E">
        <w:rPr>
          <w:rFonts w:cs="Arial" w:hint="cs"/>
          <w:rtl/>
        </w:rPr>
        <w:t>עביו</w:t>
      </w:r>
      <w:r w:rsidRPr="0045503E">
        <w:rPr>
          <w:rFonts w:cs="Arial"/>
          <w:rtl/>
        </w:rPr>
        <w:t xml:space="preserve"> </w:t>
      </w:r>
      <w:r w:rsidRPr="0045503E">
        <w:rPr>
          <w:rFonts w:cs="Arial" w:hint="cs"/>
          <w:rtl/>
        </w:rPr>
        <w:t>של</w:t>
      </w:r>
      <w:r w:rsidRPr="0045503E">
        <w:rPr>
          <w:rFonts w:cs="Arial"/>
          <w:rtl/>
        </w:rPr>
        <w:t xml:space="preserve"> </w:t>
      </w:r>
      <w:r w:rsidRPr="0045503E">
        <w:rPr>
          <w:rFonts w:cs="Arial" w:hint="cs"/>
          <w:rtl/>
        </w:rPr>
        <w:t>רקיע</w:t>
      </w:r>
      <w:r w:rsidRPr="0045503E">
        <w:rPr>
          <w:rFonts w:cs="Arial"/>
          <w:rtl/>
        </w:rPr>
        <w:t xml:space="preserve"> </w:t>
      </w:r>
      <w:r w:rsidRPr="0045503E">
        <w:rPr>
          <w:rFonts w:cs="Arial" w:hint="cs"/>
          <w:rtl/>
        </w:rPr>
        <w:t>אחד</w:t>
      </w:r>
      <w:r w:rsidRPr="0045503E">
        <w:rPr>
          <w:rFonts w:cs="Arial"/>
          <w:rtl/>
        </w:rPr>
        <w:t xml:space="preserve"> </w:t>
      </w:r>
      <w:r w:rsidRPr="0045503E">
        <w:rPr>
          <w:rFonts w:cs="Arial" w:hint="cs"/>
          <w:rtl/>
        </w:rPr>
        <w:t>מעשרה</w:t>
      </w:r>
      <w:r w:rsidRPr="0045503E">
        <w:rPr>
          <w:rFonts w:cs="Arial"/>
          <w:rtl/>
        </w:rPr>
        <w:t xml:space="preserve"> </w:t>
      </w:r>
      <w:r w:rsidRPr="0045503E">
        <w:rPr>
          <w:rFonts w:cs="Arial" w:hint="cs"/>
          <w:rtl/>
        </w:rPr>
        <w:t>ביום</w:t>
      </w:r>
      <w:r w:rsidRPr="0045503E">
        <w:rPr>
          <w:rFonts w:cs="Arial"/>
          <w:rtl/>
        </w:rPr>
        <w:t xml:space="preserve"> </w:t>
      </w:r>
      <w:r w:rsidRPr="0045503E">
        <w:rPr>
          <w:rFonts w:cs="Arial" w:hint="cs"/>
          <w:rtl/>
        </w:rPr>
        <w:t>תדע</w:t>
      </w:r>
      <w:r w:rsidRPr="0045503E">
        <w:rPr>
          <w:rFonts w:cs="Arial"/>
          <w:rtl/>
        </w:rPr>
        <w:t xml:space="preserve"> </w:t>
      </w:r>
      <w:r w:rsidRPr="0045503E">
        <w:rPr>
          <w:rFonts w:cs="Arial" w:hint="cs"/>
          <w:rtl/>
        </w:rPr>
        <w:t>כמה</w:t>
      </w:r>
      <w:r w:rsidRPr="0045503E">
        <w:rPr>
          <w:rFonts w:cs="Arial"/>
          <w:rtl/>
        </w:rPr>
        <w:t xml:space="preserve"> </w:t>
      </w:r>
      <w:r w:rsidRPr="0045503E">
        <w:rPr>
          <w:rFonts w:cs="Arial" w:hint="cs"/>
          <w:rtl/>
        </w:rPr>
        <w:t>מהלך</w:t>
      </w:r>
      <w:r w:rsidRPr="0045503E">
        <w:rPr>
          <w:rFonts w:cs="Arial"/>
          <w:rtl/>
        </w:rPr>
        <w:t xml:space="preserve"> </w:t>
      </w:r>
      <w:r w:rsidRPr="0045503E">
        <w:rPr>
          <w:rFonts w:cs="Arial" w:hint="cs"/>
          <w:rtl/>
        </w:rPr>
        <w:t>אדם</w:t>
      </w:r>
      <w:r w:rsidRPr="0045503E">
        <w:rPr>
          <w:rFonts w:cs="Arial"/>
          <w:rtl/>
        </w:rPr>
        <w:t xml:space="preserve"> [</w:t>
      </w:r>
      <w:r w:rsidRPr="0045503E">
        <w:rPr>
          <w:rFonts w:cs="Arial" w:hint="cs"/>
          <w:rtl/>
        </w:rPr>
        <w:t>בינוני</w:t>
      </w:r>
      <w:r w:rsidRPr="0045503E">
        <w:rPr>
          <w:rFonts w:cs="Arial"/>
          <w:rtl/>
        </w:rPr>
        <w:t xml:space="preserve">] </w:t>
      </w:r>
      <w:r w:rsidRPr="0045503E">
        <w:rPr>
          <w:rFonts w:cs="Arial" w:hint="cs"/>
          <w:rtl/>
        </w:rPr>
        <w:t>ביום</w:t>
      </w:r>
      <w:r w:rsidRPr="0045503E">
        <w:rPr>
          <w:rFonts w:cs="Arial"/>
          <w:rtl/>
        </w:rPr>
        <w:t xml:space="preserve"> </w:t>
      </w:r>
      <w:r w:rsidRPr="0045503E">
        <w:rPr>
          <w:rFonts w:cs="Arial" w:hint="cs"/>
          <w:rtl/>
        </w:rPr>
        <w:t>עשרה</w:t>
      </w:r>
      <w:r w:rsidRPr="0045503E">
        <w:rPr>
          <w:rFonts w:cs="Arial"/>
          <w:rtl/>
        </w:rPr>
        <w:t xml:space="preserve"> </w:t>
      </w:r>
      <w:r w:rsidRPr="0045503E">
        <w:rPr>
          <w:rFonts w:cs="Arial" w:hint="cs"/>
          <w:rtl/>
        </w:rPr>
        <w:t>פרסאות</w:t>
      </w:r>
      <w:r w:rsidRPr="0045503E">
        <w:rPr>
          <w:rFonts w:cs="Arial"/>
          <w:rtl/>
        </w:rPr>
        <w:t xml:space="preserve"> </w:t>
      </w:r>
      <w:r w:rsidRPr="0045503E">
        <w:rPr>
          <w:rFonts w:cs="Arial" w:hint="cs"/>
          <w:rtl/>
        </w:rPr>
        <w:t>מעלות</w:t>
      </w:r>
      <w:r w:rsidRPr="0045503E">
        <w:rPr>
          <w:rFonts w:cs="Arial"/>
          <w:rtl/>
        </w:rPr>
        <w:t xml:space="preserve"> </w:t>
      </w:r>
      <w:r w:rsidRPr="0045503E">
        <w:rPr>
          <w:rFonts w:cs="Arial" w:hint="cs"/>
          <w:rtl/>
        </w:rPr>
        <w:t>השחר</w:t>
      </w:r>
      <w:r w:rsidRPr="0045503E">
        <w:rPr>
          <w:rFonts w:cs="Arial"/>
          <w:rtl/>
        </w:rPr>
        <w:t xml:space="preserve"> </w:t>
      </w:r>
      <w:r w:rsidRPr="0045503E">
        <w:rPr>
          <w:rFonts w:cs="Arial" w:hint="cs"/>
          <w:rtl/>
        </w:rPr>
        <w:t>עד</w:t>
      </w:r>
      <w:r w:rsidRPr="0045503E">
        <w:rPr>
          <w:rFonts w:cs="Arial"/>
          <w:rtl/>
        </w:rPr>
        <w:t xml:space="preserve"> </w:t>
      </w:r>
      <w:r w:rsidRPr="0045503E">
        <w:rPr>
          <w:rFonts w:cs="Arial" w:hint="cs"/>
          <w:rtl/>
        </w:rPr>
        <w:t>הנץ</w:t>
      </w:r>
      <w:r w:rsidRPr="0045503E">
        <w:rPr>
          <w:rFonts w:cs="Arial"/>
          <w:rtl/>
        </w:rPr>
        <w:t xml:space="preserve"> </w:t>
      </w:r>
      <w:r w:rsidRPr="0045503E">
        <w:rPr>
          <w:rFonts w:cs="Arial" w:hint="cs"/>
          <w:rtl/>
        </w:rPr>
        <w:t>החמה</w:t>
      </w:r>
      <w:r w:rsidRPr="0045503E">
        <w:rPr>
          <w:rFonts w:cs="Arial"/>
          <w:rtl/>
        </w:rPr>
        <w:t xml:space="preserve"> </w:t>
      </w:r>
      <w:r w:rsidRPr="0045503E">
        <w:rPr>
          <w:rFonts w:cs="Arial" w:hint="cs"/>
          <w:rtl/>
        </w:rPr>
        <w:t>ארבעת</w:t>
      </w:r>
      <w:r w:rsidRPr="0045503E">
        <w:rPr>
          <w:rFonts w:cs="Arial"/>
          <w:rtl/>
        </w:rPr>
        <w:t xml:space="preserve"> </w:t>
      </w:r>
      <w:r w:rsidRPr="0045503E">
        <w:rPr>
          <w:rFonts w:cs="Arial" w:hint="cs"/>
          <w:rtl/>
        </w:rPr>
        <w:t>מילין</w:t>
      </w:r>
      <w:r w:rsidRPr="0045503E">
        <w:rPr>
          <w:rFonts w:cs="Arial"/>
          <w:rtl/>
        </w:rPr>
        <w:t xml:space="preserve"> </w:t>
      </w:r>
      <w:r w:rsidRPr="0045503E">
        <w:rPr>
          <w:rFonts w:cs="Arial" w:hint="cs"/>
          <w:rtl/>
        </w:rPr>
        <w:t>משקיעת</w:t>
      </w:r>
      <w:r w:rsidRPr="0045503E">
        <w:rPr>
          <w:rFonts w:cs="Arial"/>
          <w:rtl/>
        </w:rPr>
        <w:t xml:space="preserve"> </w:t>
      </w:r>
      <w:r w:rsidRPr="0045503E">
        <w:rPr>
          <w:rFonts w:cs="Arial" w:hint="cs"/>
          <w:rtl/>
        </w:rPr>
        <w:t>החמה</w:t>
      </w:r>
      <w:r w:rsidRPr="0045503E">
        <w:rPr>
          <w:rFonts w:cs="Arial"/>
          <w:rtl/>
        </w:rPr>
        <w:t xml:space="preserve"> </w:t>
      </w:r>
      <w:r w:rsidRPr="0045503E">
        <w:rPr>
          <w:rFonts w:cs="Arial" w:hint="cs"/>
          <w:rtl/>
        </w:rPr>
        <w:t>עד</w:t>
      </w:r>
      <w:r w:rsidRPr="0045503E">
        <w:rPr>
          <w:rFonts w:cs="Arial"/>
          <w:rtl/>
        </w:rPr>
        <w:t xml:space="preserve"> </w:t>
      </w:r>
      <w:r w:rsidRPr="0045503E">
        <w:rPr>
          <w:rFonts w:cs="Arial" w:hint="cs"/>
          <w:rtl/>
        </w:rPr>
        <w:t>צאת</w:t>
      </w:r>
      <w:r w:rsidRPr="0045503E">
        <w:rPr>
          <w:rFonts w:cs="Arial"/>
          <w:rtl/>
        </w:rPr>
        <w:t xml:space="preserve"> </w:t>
      </w:r>
      <w:r w:rsidRPr="0045503E">
        <w:rPr>
          <w:rFonts w:cs="Arial" w:hint="cs"/>
          <w:rtl/>
        </w:rPr>
        <w:t>הכוכבים</w:t>
      </w:r>
      <w:r w:rsidRPr="0045503E">
        <w:rPr>
          <w:rFonts w:cs="Arial"/>
          <w:rtl/>
        </w:rPr>
        <w:t xml:space="preserve"> </w:t>
      </w:r>
      <w:r w:rsidRPr="0045503E">
        <w:rPr>
          <w:rFonts w:cs="Arial" w:hint="cs"/>
          <w:rtl/>
        </w:rPr>
        <w:t>ארבע</w:t>
      </w:r>
      <w:r w:rsidRPr="0045503E">
        <w:rPr>
          <w:rFonts w:cs="Arial"/>
          <w:rtl/>
        </w:rPr>
        <w:t xml:space="preserve"> </w:t>
      </w:r>
      <w:r w:rsidRPr="0045503E">
        <w:rPr>
          <w:rFonts w:cs="Arial" w:hint="cs"/>
          <w:rtl/>
        </w:rPr>
        <w:t>מילין</w:t>
      </w:r>
      <w:r w:rsidRPr="0045503E">
        <w:rPr>
          <w:rFonts w:cs="Arial"/>
          <w:rtl/>
        </w:rPr>
        <w:t xml:space="preserve"> </w:t>
      </w:r>
      <w:r w:rsidRPr="0045503E">
        <w:rPr>
          <w:rFonts w:cs="Arial" w:hint="cs"/>
          <w:rtl/>
        </w:rPr>
        <w:t>אלמא</w:t>
      </w:r>
      <w:r w:rsidRPr="0045503E">
        <w:rPr>
          <w:rFonts w:cs="Arial"/>
          <w:rtl/>
        </w:rPr>
        <w:t xml:space="preserve"> </w:t>
      </w:r>
      <w:r w:rsidRPr="0045503E">
        <w:rPr>
          <w:rFonts w:cs="Arial" w:hint="cs"/>
          <w:rtl/>
        </w:rPr>
        <w:t>לרבי</w:t>
      </w:r>
      <w:r w:rsidRPr="0045503E">
        <w:rPr>
          <w:rFonts w:cs="Arial"/>
          <w:rtl/>
        </w:rPr>
        <w:t xml:space="preserve"> </w:t>
      </w:r>
      <w:r w:rsidRPr="0045503E">
        <w:rPr>
          <w:rFonts w:cs="Arial" w:hint="cs"/>
          <w:rtl/>
        </w:rPr>
        <w:t>יהודה</w:t>
      </w:r>
      <w:r w:rsidRPr="0045503E">
        <w:rPr>
          <w:rFonts w:cs="Arial"/>
          <w:rtl/>
        </w:rPr>
        <w:t xml:space="preserve"> </w:t>
      </w:r>
      <w:r w:rsidRPr="0045503E">
        <w:rPr>
          <w:rFonts w:cs="Arial" w:hint="cs"/>
          <w:rtl/>
        </w:rPr>
        <w:t>משקיעת</w:t>
      </w:r>
      <w:r w:rsidRPr="0045503E">
        <w:rPr>
          <w:rFonts w:cs="Arial"/>
          <w:rtl/>
        </w:rPr>
        <w:t xml:space="preserve"> </w:t>
      </w:r>
      <w:r w:rsidRPr="0045503E">
        <w:rPr>
          <w:rFonts w:cs="Arial" w:hint="cs"/>
          <w:rtl/>
        </w:rPr>
        <w:t>החמה</w:t>
      </w:r>
      <w:r w:rsidRPr="0045503E">
        <w:rPr>
          <w:rFonts w:cs="Arial"/>
          <w:rtl/>
        </w:rPr>
        <w:t xml:space="preserve"> </w:t>
      </w:r>
      <w:r w:rsidRPr="0045503E">
        <w:rPr>
          <w:rFonts w:cs="Arial" w:hint="cs"/>
          <w:rtl/>
        </w:rPr>
        <w:t>ועד</w:t>
      </w:r>
      <w:r w:rsidRPr="0045503E">
        <w:rPr>
          <w:rFonts w:cs="Arial"/>
          <w:rtl/>
        </w:rPr>
        <w:t xml:space="preserve"> </w:t>
      </w:r>
      <w:r w:rsidRPr="0045503E">
        <w:rPr>
          <w:rFonts w:cs="Arial" w:hint="cs"/>
          <w:rtl/>
        </w:rPr>
        <w:t>צאת</w:t>
      </w:r>
      <w:r w:rsidRPr="0045503E">
        <w:rPr>
          <w:rFonts w:cs="Arial"/>
          <w:rtl/>
        </w:rPr>
        <w:t xml:space="preserve"> </w:t>
      </w:r>
      <w:r w:rsidRPr="0045503E">
        <w:rPr>
          <w:rFonts w:cs="Arial" w:hint="cs"/>
          <w:rtl/>
        </w:rPr>
        <w:t>הכוכבים</w:t>
      </w:r>
      <w:r w:rsidRPr="0045503E">
        <w:rPr>
          <w:rFonts w:cs="Arial"/>
          <w:rtl/>
        </w:rPr>
        <w:t xml:space="preserve"> </w:t>
      </w:r>
      <w:r w:rsidRPr="0045503E">
        <w:rPr>
          <w:rFonts w:cs="Arial" w:hint="cs"/>
          <w:rtl/>
        </w:rPr>
        <w:t>שהוא</w:t>
      </w:r>
      <w:r w:rsidRPr="0045503E">
        <w:rPr>
          <w:rFonts w:cs="Arial"/>
          <w:rtl/>
        </w:rPr>
        <w:t xml:space="preserve"> </w:t>
      </w:r>
      <w:r w:rsidRPr="0045503E">
        <w:rPr>
          <w:rFonts w:cs="Arial" w:hint="cs"/>
          <w:rtl/>
        </w:rPr>
        <w:t>לילה</w:t>
      </w:r>
      <w:r w:rsidRPr="0045503E">
        <w:rPr>
          <w:rFonts w:cs="Arial"/>
          <w:rtl/>
        </w:rPr>
        <w:t xml:space="preserve"> </w:t>
      </w:r>
      <w:r w:rsidRPr="0045503E">
        <w:rPr>
          <w:rFonts w:cs="Arial" w:hint="cs"/>
          <w:rtl/>
        </w:rPr>
        <w:t>ד</w:t>
      </w:r>
      <w:r w:rsidRPr="0045503E">
        <w:rPr>
          <w:rFonts w:cs="Arial"/>
          <w:rtl/>
        </w:rPr>
        <w:t xml:space="preserve">' </w:t>
      </w:r>
      <w:r w:rsidRPr="0045503E">
        <w:rPr>
          <w:rFonts w:cs="Arial" w:hint="cs"/>
          <w:rtl/>
        </w:rPr>
        <w:t>מילין</w:t>
      </w:r>
      <w:r w:rsidRPr="0045503E">
        <w:rPr>
          <w:rFonts w:cs="Arial"/>
          <w:rtl/>
        </w:rPr>
        <w:t xml:space="preserve"> </w:t>
      </w:r>
      <w:r w:rsidRPr="0045503E">
        <w:rPr>
          <w:rFonts w:cs="Arial" w:hint="cs"/>
          <w:rtl/>
        </w:rPr>
        <w:t>תירץ</w:t>
      </w:r>
      <w:r w:rsidRPr="0045503E">
        <w:rPr>
          <w:rFonts w:cs="Arial"/>
          <w:rtl/>
        </w:rPr>
        <w:t xml:space="preserve"> </w:t>
      </w:r>
      <w:r w:rsidRPr="0045503E">
        <w:rPr>
          <w:rFonts w:cs="Arial" w:hint="cs"/>
          <w:rtl/>
        </w:rPr>
        <w:t>ר</w:t>
      </w:r>
      <w:r w:rsidRPr="0045503E">
        <w:rPr>
          <w:rFonts w:cs="Arial"/>
          <w:rtl/>
        </w:rPr>
        <w:t>"</w:t>
      </w:r>
      <w:r w:rsidRPr="0045503E">
        <w:rPr>
          <w:rFonts w:cs="Arial" w:hint="cs"/>
          <w:rtl/>
        </w:rPr>
        <w:t>ת</w:t>
      </w:r>
      <w:r w:rsidRPr="0045503E">
        <w:rPr>
          <w:rFonts w:cs="Arial"/>
          <w:rtl/>
        </w:rPr>
        <w:t xml:space="preserve"> </w:t>
      </w:r>
      <w:r w:rsidRPr="0045503E">
        <w:rPr>
          <w:rFonts w:cs="Arial" w:hint="cs"/>
          <w:rtl/>
        </w:rPr>
        <w:t>ד</w:t>
      </w:r>
      <w:r>
        <w:rPr>
          <w:rFonts w:cs="Arial" w:hint="cs"/>
          <w:rtl/>
        </w:rPr>
        <w:t>-...</w:t>
      </w:r>
    </w:p>
  </w:footnote>
  <w:footnote w:id="598">
    <w:p w14:paraId="7D4C6EA0" w14:textId="77777777" w:rsidR="004B2E7C" w:rsidRDefault="004B2E7C" w:rsidP="00285819">
      <w:pPr>
        <w:pStyle w:val="a7"/>
        <w:rPr>
          <w:rtl/>
        </w:rPr>
      </w:pPr>
      <w:r>
        <w:rPr>
          <w:rStyle w:val="a9"/>
        </w:rPr>
        <w:footnoteRef/>
      </w:r>
      <w:r>
        <w:rPr>
          <w:rtl/>
        </w:rPr>
        <w:t xml:space="preserve"> </w:t>
      </w:r>
      <w:r w:rsidRPr="008D5FB5">
        <w:rPr>
          <w:rFonts w:cs="Arial" w:hint="cs"/>
          <w:rtl/>
        </w:rPr>
        <w:t>ו</w:t>
      </w:r>
      <w:r>
        <w:rPr>
          <w:rFonts w:cs="Arial" w:hint="cs"/>
          <w:rtl/>
        </w:rPr>
        <w:t xml:space="preserve">גם </w:t>
      </w:r>
      <w:r w:rsidRPr="008D5FB5">
        <w:rPr>
          <w:rFonts w:cs="Arial" w:hint="cs"/>
          <w:rtl/>
        </w:rPr>
        <w:t>הרב</w:t>
      </w:r>
      <w:r w:rsidRPr="008D5FB5">
        <w:rPr>
          <w:rFonts w:cs="Arial"/>
          <w:rtl/>
        </w:rPr>
        <w:t xml:space="preserve"> </w:t>
      </w:r>
      <w:r w:rsidRPr="008D5FB5">
        <w:rPr>
          <w:rFonts w:cs="Arial" w:hint="cs"/>
          <w:rtl/>
        </w:rPr>
        <w:t>המגיד</w:t>
      </w:r>
      <w:r w:rsidRPr="008D5FB5">
        <w:rPr>
          <w:rFonts w:cs="Arial"/>
          <w:rtl/>
        </w:rPr>
        <w:t xml:space="preserve"> </w:t>
      </w:r>
      <w:r w:rsidRPr="008D5FB5">
        <w:rPr>
          <w:rFonts w:cs="Arial" w:hint="cs"/>
          <w:rtl/>
        </w:rPr>
        <w:t>בפרק</w:t>
      </w:r>
      <w:r w:rsidRPr="008D5FB5">
        <w:rPr>
          <w:rFonts w:cs="Arial"/>
          <w:rtl/>
        </w:rPr>
        <w:t xml:space="preserve"> </w:t>
      </w:r>
      <w:r w:rsidRPr="008D5FB5">
        <w:rPr>
          <w:rFonts w:cs="Arial" w:hint="cs"/>
          <w:rtl/>
        </w:rPr>
        <w:t>ה</w:t>
      </w:r>
      <w:r w:rsidRPr="008D5FB5">
        <w:rPr>
          <w:rFonts w:cs="Arial"/>
          <w:rtl/>
        </w:rPr>
        <w:t>' (</w:t>
      </w:r>
      <w:r w:rsidRPr="008D5FB5">
        <w:rPr>
          <w:rFonts w:cs="Arial" w:hint="cs"/>
          <w:rtl/>
        </w:rPr>
        <w:t>ה</w:t>
      </w:r>
      <w:r w:rsidRPr="008D5FB5">
        <w:rPr>
          <w:rFonts w:cs="Arial"/>
          <w:rtl/>
        </w:rPr>
        <w:t>"</w:t>
      </w:r>
      <w:r w:rsidRPr="008D5FB5">
        <w:rPr>
          <w:rFonts w:cs="Arial" w:hint="cs"/>
          <w:rtl/>
        </w:rPr>
        <w:t>ד</w:t>
      </w:r>
      <w:r w:rsidRPr="008D5FB5">
        <w:rPr>
          <w:rFonts w:cs="Arial"/>
          <w:rtl/>
        </w:rPr>
        <w:t xml:space="preserve">) </w:t>
      </w:r>
      <w:r>
        <w:rPr>
          <w:rFonts w:cs="Arial" w:hint="cs"/>
          <w:rtl/>
        </w:rPr>
        <w:t xml:space="preserve">כתב שכן </w:t>
      </w:r>
      <w:r w:rsidRPr="008D5FB5">
        <w:rPr>
          <w:rFonts w:cs="Arial" w:hint="cs"/>
          <w:rtl/>
        </w:rPr>
        <w:t>הדברים</w:t>
      </w:r>
      <w:r w:rsidRPr="008D5FB5">
        <w:rPr>
          <w:rFonts w:cs="Arial"/>
          <w:rtl/>
        </w:rPr>
        <w:t xml:space="preserve"> </w:t>
      </w:r>
      <w:r w:rsidRPr="008D5FB5">
        <w:rPr>
          <w:rFonts w:cs="Arial" w:hint="cs"/>
          <w:rtl/>
        </w:rPr>
        <w:t>נראים</w:t>
      </w:r>
      <w:r w:rsidRPr="008D5FB5">
        <w:rPr>
          <w:rFonts w:cs="Arial"/>
          <w:rtl/>
        </w:rPr>
        <w:t xml:space="preserve">, </w:t>
      </w:r>
      <w:r w:rsidRPr="008D5FB5">
        <w:rPr>
          <w:rFonts w:cs="Arial" w:hint="cs"/>
          <w:rtl/>
        </w:rPr>
        <w:t>ומיהו</w:t>
      </w:r>
      <w:r w:rsidRPr="008D5FB5">
        <w:rPr>
          <w:rFonts w:cs="Arial"/>
          <w:rtl/>
        </w:rPr>
        <w:t xml:space="preserve"> </w:t>
      </w:r>
      <w:r w:rsidRPr="008D5FB5">
        <w:rPr>
          <w:rFonts w:cs="Arial" w:hint="cs"/>
          <w:rtl/>
        </w:rPr>
        <w:t>כתב</w:t>
      </w:r>
      <w:r w:rsidRPr="008D5FB5">
        <w:rPr>
          <w:rFonts w:cs="Arial"/>
          <w:rtl/>
        </w:rPr>
        <w:t xml:space="preserve"> </w:t>
      </w:r>
      <w:r w:rsidRPr="008D5FB5">
        <w:rPr>
          <w:rFonts w:cs="Arial" w:hint="cs"/>
          <w:rtl/>
        </w:rPr>
        <w:t>שהרשב</w:t>
      </w:r>
      <w:r w:rsidRPr="008D5FB5">
        <w:rPr>
          <w:rFonts w:cs="Arial"/>
          <w:rtl/>
        </w:rPr>
        <w:t>"</w:t>
      </w:r>
      <w:r w:rsidRPr="008D5FB5">
        <w:rPr>
          <w:rFonts w:cs="Arial" w:hint="cs"/>
          <w:rtl/>
        </w:rPr>
        <w:t>א</w:t>
      </w:r>
      <w:r w:rsidRPr="008D5FB5">
        <w:rPr>
          <w:rFonts w:cs="Arial"/>
          <w:rtl/>
        </w:rPr>
        <w:t xml:space="preserve"> (</w:t>
      </w:r>
      <w:r w:rsidRPr="008D5FB5">
        <w:rPr>
          <w:rFonts w:cs="Arial" w:hint="cs"/>
          <w:rtl/>
        </w:rPr>
        <w:t>לד</w:t>
      </w:r>
      <w:r w:rsidRPr="008D5FB5">
        <w:rPr>
          <w:rFonts w:cs="Arial"/>
          <w:rtl/>
        </w:rPr>
        <w:t xml:space="preserve">: </w:t>
      </w:r>
      <w:r w:rsidRPr="008D5FB5">
        <w:rPr>
          <w:rFonts w:cs="Arial" w:hint="cs"/>
          <w:rtl/>
        </w:rPr>
        <w:t>ד</w:t>
      </w:r>
      <w:r w:rsidRPr="008D5FB5">
        <w:rPr>
          <w:rFonts w:cs="Arial"/>
          <w:rtl/>
        </w:rPr>
        <w:t>"</w:t>
      </w:r>
      <w:r w:rsidRPr="008D5FB5">
        <w:rPr>
          <w:rFonts w:cs="Arial" w:hint="cs"/>
          <w:rtl/>
        </w:rPr>
        <w:t>ה</w:t>
      </w:r>
      <w:r w:rsidRPr="008D5FB5">
        <w:rPr>
          <w:rFonts w:cs="Arial"/>
          <w:rtl/>
        </w:rPr>
        <w:t xml:space="preserve"> </w:t>
      </w:r>
      <w:r w:rsidRPr="008D5FB5">
        <w:rPr>
          <w:rFonts w:cs="Arial" w:hint="cs"/>
          <w:rtl/>
        </w:rPr>
        <w:t>ואזדו</w:t>
      </w:r>
      <w:r w:rsidRPr="008D5FB5">
        <w:rPr>
          <w:rFonts w:cs="Arial"/>
          <w:rtl/>
        </w:rPr>
        <w:t xml:space="preserve">) </w:t>
      </w:r>
      <w:r w:rsidRPr="008D5FB5">
        <w:rPr>
          <w:rFonts w:cs="Arial" w:hint="cs"/>
          <w:rtl/>
        </w:rPr>
        <w:t>הקשה</w:t>
      </w:r>
      <w:r w:rsidRPr="008D5FB5">
        <w:rPr>
          <w:rFonts w:cs="Arial"/>
          <w:rtl/>
        </w:rPr>
        <w:t xml:space="preserve"> </w:t>
      </w:r>
      <w:r w:rsidRPr="008D5FB5">
        <w:rPr>
          <w:rFonts w:cs="Arial" w:hint="cs"/>
          <w:rtl/>
        </w:rPr>
        <w:t>על</w:t>
      </w:r>
      <w:r w:rsidRPr="008D5FB5">
        <w:rPr>
          <w:rFonts w:cs="Arial"/>
          <w:rtl/>
        </w:rPr>
        <w:t xml:space="preserve"> </w:t>
      </w:r>
      <w:r w:rsidRPr="008D5FB5">
        <w:rPr>
          <w:rFonts w:cs="Arial" w:hint="cs"/>
          <w:rtl/>
        </w:rPr>
        <w:t>זה</w:t>
      </w:r>
      <w:r w:rsidRPr="008D5FB5">
        <w:rPr>
          <w:rFonts w:cs="Arial"/>
          <w:rtl/>
        </w:rPr>
        <w:t xml:space="preserve"> </w:t>
      </w:r>
      <w:r w:rsidRPr="008D5FB5">
        <w:rPr>
          <w:rFonts w:cs="Arial" w:hint="cs"/>
          <w:rtl/>
        </w:rPr>
        <w:t>מהירושלמי</w:t>
      </w:r>
      <w:r w:rsidRPr="008D5FB5">
        <w:rPr>
          <w:rFonts w:cs="Arial"/>
          <w:rtl/>
        </w:rPr>
        <w:t xml:space="preserve"> </w:t>
      </w:r>
      <w:r w:rsidRPr="008D5FB5">
        <w:rPr>
          <w:rFonts w:cs="Arial" w:hint="cs"/>
          <w:rtl/>
        </w:rPr>
        <w:t>והניח</w:t>
      </w:r>
      <w:r w:rsidRPr="008D5FB5">
        <w:rPr>
          <w:rFonts w:cs="Arial"/>
          <w:rtl/>
        </w:rPr>
        <w:t xml:space="preserve"> </w:t>
      </w:r>
      <w:r w:rsidRPr="008D5FB5">
        <w:rPr>
          <w:rFonts w:cs="Arial" w:hint="cs"/>
          <w:rtl/>
        </w:rPr>
        <w:t>הדבר</w:t>
      </w:r>
      <w:r w:rsidRPr="008D5FB5">
        <w:rPr>
          <w:rFonts w:cs="Arial"/>
          <w:rtl/>
        </w:rPr>
        <w:t xml:space="preserve"> </w:t>
      </w:r>
      <w:r w:rsidRPr="008D5FB5">
        <w:rPr>
          <w:rFonts w:cs="Arial" w:hint="cs"/>
          <w:rtl/>
        </w:rPr>
        <w:t>בצ</w:t>
      </w:r>
      <w:r w:rsidRPr="008D5FB5">
        <w:rPr>
          <w:rFonts w:cs="Arial"/>
          <w:rtl/>
        </w:rPr>
        <w:t>"</w:t>
      </w:r>
      <w:r w:rsidRPr="008D5FB5">
        <w:rPr>
          <w:rFonts w:cs="Arial" w:hint="cs"/>
          <w:rtl/>
        </w:rPr>
        <w:t>ע</w:t>
      </w:r>
      <w:r w:rsidRPr="008D5FB5">
        <w:rPr>
          <w:rFonts w:cs="Arial"/>
          <w:rtl/>
        </w:rPr>
        <w:t>.</w:t>
      </w:r>
      <w:r w:rsidRPr="00FE057B">
        <w:rPr>
          <w:rFonts w:cs="Arial" w:hint="cs"/>
          <w:rtl/>
        </w:rPr>
        <w:t xml:space="preserve"> </w:t>
      </w:r>
      <w:r>
        <w:rPr>
          <w:rFonts w:cs="Arial" w:hint="cs"/>
          <w:rtl/>
        </w:rPr>
        <w:t>ונראה</w:t>
      </w:r>
      <w:r>
        <w:rPr>
          <w:rFonts w:cs="Arial"/>
          <w:rtl/>
        </w:rPr>
        <w:t xml:space="preserve"> </w:t>
      </w:r>
      <w:r>
        <w:rPr>
          <w:rFonts w:cs="Arial" w:hint="cs"/>
          <w:rtl/>
        </w:rPr>
        <w:t>שגם</w:t>
      </w:r>
      <w:r>
        <w:rPr>
          <w:rFonts w:cs="Arial"/>
          <w:rtl/>
        </w:rPr>
        <w:t xml:space="preserve"> </w:t>
      </w:r>
      <w:r>
        <w:rPr>
          <w:rFonts w:cs="Arial" w:hint="cs"/>
          <w:rtl/>
        </w:rPr>
        <w:t>הרא</w:t>
      </w:r>
      <w:r>
        <w:rPr>
          <w:rFonts w:cs="Arial"/>
          <w:rtl/>
        </w:rPr>
        <w:t>"</w:t>
      </w:r>
      <w:r>
        <w:rPr>
          <w:rFonts w:cs="Arial" w:hint="cs"/>
          <w:rtl/>
        </w:rPr>
        <w:t>ש</w:t>
      </w:r>
      <w:r>
        <w:rPr>
          <w:rFonts w:cs="Arial"/>
          <w:rtl/>
        </w:rPr>
        <w:t xml:space="preserve"> </w:t>
      </w:r>
      <w:r>
        <w:rPr>
          <w:rFonts w:cs="Arial" w:hint="cs"/>
          <w:rtl/>
        </w:rPr>
        <w:t>נסתפק</w:t>
      </w:r>
      <w:r>
        <w:rPr>
          <w:rFonts w:cs="Arial"/>
          <w:rtl/>
        </w:rPr>
        <w:t xml:space="preserve"> </w:t>
      </w:r>
      <w:r>
        <w:rPr>
          <w:rFonts w:cs="Arial" w:hint="cs"/>
          <w:rtl/>
        </w:rPr>
        <w:t>בזה</w:t>
      </w:r>
      <w:r>
        <w:rPr>
          <w:rFonts w:cs="Arial"/>
          <w:rtl/>
        </w:rPr>
        <w:t xml:space="preserve"> </w:t>
      </w:r>
      <w:r>
        <w:rPr>
          <w:rFonts w:cs="Arial" w:hint="cs"/>
          <w:rtl/>
        </w:rPr>
        <w:t>ומפני</w:t>
      </w:r>
      <w:r>
        <w:rPr>
          <w:rFonts w:cs="Arial"/>
          <w:rtl/>
        </w:rPr>
        <w:t xml:space="preserve"> </w:t>
      </w:r>
      <w:r>
        <w:rPr>
          <w:rFonts w:cs="Arial" w:hint="cs"/>
          <w:rtl/>
        </w:rPr>
        <w:t>כך</w:t>
      </w:r>
      <w:r>
        <w:rPr>
          <w:rFonts w:cs="Arial"/>
          <w:rtl/>
        </w:rPr>
        <w:t xml:space="preserve"> </w:t>
      </w:r>
      <w:r>
        <w:rPr>
          <w:rFonts w:cs="Arial" w:hint="cs"/>
          <w:rtl/>
        </w:rPr>
        <w:t>לא</w:t>
      </w:r>
      <w:r>
        <w:rPr>
          <w:rFonts w:cs="Arial"/>
          <w:rtl/>
        </w:rPr>
        <w:t xml:space="preserve"> </w:t>
      </w:r>
      <w:r>
        <w:rPr>
          <w:rFonts w:cs="Arial" w:hint="cs"/>
          <w:rtl/>
        </w:rPr>
        <w:t>הזכיר</w:t>
      </w:r>
      <w:r>
        <w:rPr>
          <w:rFonts w:cs="Arial"/>
          <w:rtl/>
        </w:rPr>
        <w:t xml:space="preserve"> </w:t>
      </w:r>
      <w:r>
        <w:rPr>
          <w:rFonts w:cs="Arial" w:hint="cs"/>
          <w:rtl/>
        </w:rPr>
        <w:t>דבר</w:t>
      </w:r>
      <w:r>
        <w:rPr>
          <w:rFonts w:cs="Arial"/>
          <w:rtl/>
        </w:rPr>
        <w:t xml:space="preserve"> </w:t>
      </w:r>
      <w:r>
        <w:rPr>
          <w:rFonts w:cs="Arial" w:hint="cs"/>
          <w:rtl/>
        </w:rPr>
        <w:t>מזה</w:t>
      </w:r>
      <w:r>
        <w:rPr>
          <w:rFonts w:cs="Arial"/>
          <w:rtl/>
        </w:rPr>
        <w:t xml:space="preserve"> </w:t>
      </w:r>
      <w:r>
        <w:rPr>
          <w:rFonts w:cs="Arial" w:hint="cs"/>
          <w:rtl/>
        </w:rPr>
        <w:t>במסכת</w:t>
      </w:r>
      <w:r>
        <w:rPr>
          <w:rFonts w:cs="Arial"/>
          <w:rtl/>
        </w:rPr>
        <w:t xml:space="preserve"> </w:t>
      </w:r>
      <w:r>
        <w:rPr>
          <w:rFonts w:cs="Arial" w:hint="cs"/>
          <w:rtl/>
        </w:rPr>
        <w:t>שבת</w:t>
      </w:r>
      <w:r>
        <w:rPr>
          <w:rFonts w:cs="Arial"/>
          <w:rtl/>
        </w:rPr>
        <w:t xml:space="preserve"> </w:t>
      </w:r>
      <w:r>
        <w:rPr>
          <w:rFonts w:cs="Arial" w:hint="cs"/>
          <w:rtl/>
        </w:rPr>
        <w:t>ובמסכת</w:t>
      </w:r>
      <w:r>
        <w:rPr>
          <w:rFonts w:cs="Arial"/>
          <w:rtl/>
        </w:rPr>
        <w:t xml:space="preserve"> </w:t>
      </w:r>
      <w:r>
        <w:rPr>
          <w:rFonts w:cs="Arial" w:hint="cs"/>
          <w:rtl/>
        </w:rPr>
        <w:t>יומא</w:t>
      </w:r>
      <w:r>
        <w:rPr>
          <w:rFonts w:cs="Arial"/>
          <w:rtl/>
        </w:rPr>
        <w:t xml:space="preserve"> </w:t>
      </w:r>
      <w:r>
        <w:rPr>
          <w:rFonts w:cs="Arial" w:hint="cs"/>
          <w:rtl/>
        </w:rPr>
        <w:t>ורבינו</w:t>
      </w:r>
      <w:r>
        <w:rPr>
          <w:rFonts w:cs="Arial"/>
          <w:rtl/>
        </w:rPr>
        <w:t xml:space="preserve"> </w:t>
      </w:r>
      <w:r>
        <w:rPr>
          <w:rFonts w:cs="Arial" w:hint="cs"/>
          <w:rtl/>
        </w:rPr>
        <w:t>נמשך</w:t>
      </w:r>
      <w:r>
        <w:rPr>
          <w:rFonts w:cs="Arial"/>
          <w:rtl/>
        </w:rPr>
        <w:t xml:space="preserve"> </w:t>
      </w:r>
      <w:r>
        <w:rPr>
          <w:rFonts w:cs="Arial" w:hint="cs"/>
          <w:rtl/>
        </w:rPr>
        <w:t>אחריו</w:t>
      </w:r>
      <w:r>
        <w:rPr>
          <w:rFonts w:cs="Arial"/>
          <w:rtl/>
        </w:rPr>
        <w:t xml:space="preserve">, </w:t>
      </w:r>
      <w:r>
        <w:rPr>
          <w:rFonts w:cs="Arial" w:hint="cs"/>
          <w:rtl/>
        </w:rPr>
        <w:t>ומיהו</w:t>
      </w:r>
      <w:r>
        <w:rPr>
          <w:rFonts w:cs="Arial"/>
          <w:rtl/>
        </w:rPr>
        <w:t xml:space="preserve"> </w:t>
      </w:r>
      <w:r>
        <w:rPr>
          <w:rFonts w:cs="Arial" w:hint="cs"/>
          <w:rtl/>
        </w:rPr>
        <w:t>בפרק</w:t>
      </w:r>
      <w:r>
        <w:rPr>
          <w:rFonts w:cs="Arial"/>
          <w:rtl/>
        </w:rPr>
        <w:t xml:space="preserve"> </w:t>
      </w:r>
      <w:r>
        <w:rPr>
          <w:rFonts w:cs="Arial" w:hint="cs"/>
          <w:rtl/>
        </w:rPr>
        <w:t>קמא</w:t>
      </w:r>
      <w:r>
        <w:rPr>
          <w:rFonts w:cs="Arial"/>
          <w:rtl/>
        </w:rPr>
        <w:t xml:space="preserve"> </w:t>
      </w:r>
      <w:r>
        <w:rPr>
          <w:rFonts w:cs="Arial" w:hint="cs"/>
          <w:rtl/>
        </w:rPr>
        <w:t>דתעניות</w:t>
      </w:r>
      <w:r>
        <w:rPr>
          <w:rFonts w:cs="Arial"/>
          <w:rtl/>
        </w:rPr>
        <w:t xml:space="preserve"> (</w:t>
      </w:r>
      <w:r>
        <w:rPr>
          <w:rFonts w:cs="Arial" w:hint="cs"/>
          <w:rtl/>
        </w:rPr>
        <w:t>סי</w:t>
      </w:r>
      <w:r>
        <w:rPr>
          <w:rFonts w:cs="Arial"/>
          <w:rtl/>
        </w:rPr>
        <w:t xml:space="preserve">' </w:t>
      </w:r>
      <w:r>
        <w:rPr>
          <w:rFonts w:cs="Arial" w:hint="cs"/>
          <w:rtl/>
        </w:rPr>
        <w:t>יב</w:t>
      </w:r>
      <w:r>
        <w:rPr>
          <w:rFonts w:cs="Arial"/>
          <w:rtl/>
        </w:rPr>
        <w:t xml:space="preserve">) </w:t>
      </w:r>
      <w:r>
        <w:rPr>
          <w:rFonts w:cs="Arial" w:hint="cs"/>
          <w:rtl/>
        </w:rPr>
        <w:t>לענין</w:t>
      </w:r>
      <w:r>
        <w:rPr>
          <w:rFonts w:cs="Arial"/>
          <w:rtl/>
        </w:rPr>
        <w:t xml:space="preserve"> </w:t>
      </w:r>
      <w:r>
        <w:rPr>
          <w:rFonts w:cs="Arial" w:hint="cs"/>
          <w:rtl/>
        </w:rPr>
        <w:t>מקבל</w:t>
      </w:r>
      <w:r>
        <w:rPr>
          <w:rFonts w:cs="Arial"/>
          <w:rtl/>
        </w:rPr>
        <w:t xml:space="preserve"> </w:t>
      </w:r>
      <w:r>
        <w:rPr>
          <w:rFonts w:cs="Arial" w:hint="cs"/>
          <w:rtl/>
        </w:rPr>
        <w:t>תענית</w:t>
      </w:r>
      <w:r>
        <w:rPr>
          <w:rFonts w:cs="Arial"/>
          <w:rtl/>
        </w:rPr>
        <w:t xml:space="preserve"> </w:t>
      </w:r>
      <w:r>
        <w:rPr>
          <w:rFonts w:cs="Arial" w:hint="cs"/>
          <w:rtl/>
        </w:rPr>
        <w:t>סתם</w:t>
      </w:r>
      <w:r>
        <w:rPr>
          <w:rFonts w:cs="Arial"/>
          <w:rtl/>
        </w:rPr>
        <w:t xml:space="preserve"> </w:t>
      </w:r>
      <w:r>
        <w:rPr>
          <w:rFonts w:cs="Arial" w:hint="cs"/>
          <w:rtl/>
        </w:rPr>
        <w:t>עד</w:t>
      </w:r>
      <w:r>
        <w:rPr>
          <w:rFonts w:cs="Arial"/>
          <w:rtl/>
        </w:rPr>
        <w:t xml:space="preserve"> </w:t>
      </w:r>
      <w:r>
        <w:rPr>
          <w:rFonts w:cs="Arial" w:hint="cs"/>
          <w:rtl/>
        </w:rPr>
        <w:t>שקיעת</w:t>
      </w:r>
      <w:r>
        <w:rPr>
          <w:rFonts w:cs="Arial"/>
          <w:rtl/>
        </w:rPr>
        <w:t xml:space="preserve"> </w:t>
      </w:r>
      <w:r>
        <w:rPr>
          <w:rFonts w:cs="Arial" w:hint="cs"/>
          <w:rtl/>
        </w:rPr>
        <w:t>החמה</w:t>
      </w:r>
      <w:r>
        <w:rPr>
          <w:rFonts w:cs="Arial"/>
          <w:rtl/>
        </w:rPr>
        <w:t xml:space="preserve"> </w:t>
      </w:r>
      <w:r>
        <w:rPr>
          <w:rFonts w:cs="Arial" w:hint="cs"/>
          <w:rtl/>
        </w:rPr>
        <w:t>כתב</w:t>
      </w:r>
      <w:r>
        <w:rPr>
          <w:rFonts w:cs="Arial"/>
          <w:rtl/>
        </w:rPr>
        <w:t xml:space="preserve"> </w:t>
      </w:r>
      <w:r>
        <w:rPr>
          <w:rFonts w:cs="Arial" w:hint="cs"/>
          <w:rtl/>
        </w:rPr>
        <w:t>דשקיעת</w:t>
      </w:r>
      <w:r>
        <w:rPr>
          <w:rFonts w:cs="Arial"/>
          <w:rtl/>
        </w:rPr>
        <w:t xml:space="preserve"> </w:t>
      </w:r>
      <w:r>
        <w:rPr>
          <w:rFonts w:cs="Arial" w:hint="cs"/>
          <w:rtl/>
        </w:rPr>
        <w:t>החמה</w:t>
      </w:r>
      <w:r>
        <w:rPr>
          <w:rFonts w:cs="Arial"/>
          <w:rtl/>
        </w:rPr>
        <w:t xml:space="preserve"> </w:t>
      </w:r>
      <w:r>
        <w:rPr>
          <w:rFonts w:cs="Arial" w:hint="cs"/>
          <w:rtl/>
        </w:rPr>
        <w:t>היינו</w:t>
      </w:r>
      <w:r>
        <w:rPr>
          <w:rFonts w:cs="Arial"/>
          <w:rtl/>
        </w:rPr>
        <w:t xml:space="preserve"> </w:t>
      </w:r>
      <w:r>
        <w:rPr>
          <w:rFonts w:cs="Arial" w:hint="cs"/>
          <w:rtl/>
        </w:rPr>
        <w:t>צאת</w:t>
      </w:r>
      <w:r>
        <w:rPr>
          <w:rFonts w:cs="Arial"/>
          <w:rtl/>
        </w:rPr>
        <w:t xml:space="preserve"> </w:t>
      </w:r>
      <w:r>
        <w:rPr>
          <w:rFonts w:cs="Arial" w:hint="cs"/>
          <w:rtl/>
        </w:rPr>
        <w:t>הכוכבים</w:t>
      </w:r>
      <w:r>
        <w:rPr>
          <w:rFonts w:cs="Arial"/>
          <w:rtl/>
        </w:rPr>
        <w:t xml:space="preserve"> </w:t>
      </w:r>
      <w:r>
        <w:rPr>
          <w:rFonts w:cs="Arial" w:hint="cs"/>
          <w:rtl/>
        </w:rPr>
        <w:t>ואף</w:t>
      </w:r>
      <w:r>
        <w:rPr>
          <w:rFonts w:cs="Arial"/>
          <w:rtl/>
        </w:rPr>
        <w:t xml:space="preserve"> </w:t>
      </w:r>
      <w:r>
        <w:rPr>
          <w:rFonts w:cs="Arial" w:hint="cs"/>
          <w:rtl/>
        </w:rPr>
        <w:t>על</w:t>
      </w:r>
      <w:r>
        <w:rPr>
          <w:rFonts w:cs="Arial"/>
          <w:rtl/>
        </w:rPr>
        <w:t xml:space="preserve"> </w:t>
      </w:r>
      <w:r>
        <w:rPr>
          <w:rFonts w:cs="Arial" w:hint="cs"/>
          <w:rtl/>
        </w:rPr>
        <w:t>גב</w:t>
      </w:r>
      <w:r>
        <w:rPr>
          <w:rFonts w:cs="Arial"/>
          <w:rtl/>
        </w:rPr>
        <w:t xml:space="preserve"> </w:t>
      </w:r>
      <w:r>
        <w:rPr>
          <w:rFonts w:cs="Arial" w:hint="cs"/>
          <w:rtl/>
        </w:rPr>
        <w:t>דאמרינן</w:t>
      </w:r>
      <w:r>
        <w:rPr>
          <w:rFonts w:cs="Arial"/>
          <w:rtl/>
        </w:rPr>
        <w:t xml:space="preserve"> </w:t>
      </w:r>
      <w:r>
        <w:rPr>
          <w:rFonts w:cs="Arial" w:hint="cs"/>
          <w:rtl/>
        </w:rPr>
        <w:t>בפרק</w:t>
      </w:r>
      <w:r>
        <w:rPr>
          <w:rFonts w:cs="Arial"/>
          <w:rtl/>
        </w:rPr>
        <w:t xml:space="preserve"> </w:t>
      </w:r>
      <w:r>
        <w:rPr>
          <w:rFonts w:cs="Arial" w:hint="cs"/>
          <w:rtl/>
        </w:rPr>
        <w:t>מי</w:t>
      </w:r>
      <w:r>
        <w:rPr>
          <w:rFonts w:cs="Arial"/>
          <w:rtl/>
        </w:rPr>
        <w:t xml:space="preserve"> </w:t>
      </w:r>
      <w:r>
        <w:rPr>
          <w:rFonts w:cs="Arial" w:hint="cs"/>
          <w:rtl/>
        </w:rPr>
        <w:t>שהיה</w:t>
      </w:r>
      <w:r>
        <w:rPr>
          <w:rFonts w:cs="Arial"/>
          <w:rtl/>
        </w:rPr>
        <w:t xml:space="preserve"> </w:t>
      </w:r>
      <w:r>
        <w:rPr>
          <w:rFonts w:cs="Arial" w:hint="cs"/>
          <w:rtl/>
        </w:rPr>
        <w:t>טמא</w:t>
      </w:r>
      <w:r>
        <w:rPr>
          <w:rFonts w:cs="Arial"/>
          <w:rtl/>
        </w:rPr>
        <w:t xml:space="preserve"> </w:t>
      </w:r>
      <w:r>
        <w:rPr>
          <w:rFonts w:cs="Arial" w:hint="cs"/>
          <w:rtl/>
        </w:rPr>
        <w:t>דמשקיעת</w:t>
      </w:r>
      <w:r>
        <w:rPr>
          <w:rFonts w:cs="Arial"/>
          <w:rtl/>
        </w:rPr>
        <w:t xml:space="preserve"> </w:t>
      </w:r>
      <w:r>
        <w:rPr>
          <w:rFonts w:cs="Arial" w:hint="cs"/>
          <w:rtl/>
        </w:rPr>
        <w:t>החמה</w:t>
      </w:r>
      <w:r>
        <w:rPr>
          <w:rFonts w:cs="Arial"/>
          <w:rtl/>
        </w:rPr>
        <w:t xml:space="preserve"> </w:t>
      </w:r>
      <w:r>
        <w:rPr>
          <w:rFonts w:cs="Arial" w:hint="cs"/>
          <w:rtl/>
        </w:rPr>
        <w:t>עד</w:t>
      </w:r>
      <w:r>
        <w:rPr>
          <w:rFonts w:cs="Arial"/>
          <w:rtl/>
        </w:rPr>
        <w:t xml:space="preserve"> </w:t>
      </w:r>
      <w:r>
        <w:rPr>
          <w:rFonts w:cs="Arial" w:hint="cs"/>
          <w:rtl/>
        </w:rPr>
        <w:t>צאת</w:t>
      </w:r>
      <w:r>
        <w:rPr>
          <w:rFonts w:cs="Arial"/>
          <w:rtl/>
        </w:rPr>
        <w:t xml:space="preserve"> </w:t>
      </w:r>
      <w:r>
        <w:rPr>
          <w:rFonts w:cs="Arial" w:hint="cs"/>
          <w:rtl/>
        </w:rPr>
        <w:t>הכוכבים</w:t>
      </w:r>
      <w:r>
        <w:rPr>
          <w:rFonts w:cs="Arial"/>
          <w:rtl/>
        </w:rPr>
        <w:t xml:space="preserve"> </w:t>
      </w:r>
      <w:r>
        <w:rPr>
          <w:rFonts w:cs="Arial" w:hint="cs"/>
          <w:rtl/>
        </w:rPr>
        <w:t>ה</w:t>
      </w:r>
      <w:r>
        <w:rPr>
          <w:rFonts w:cs="Arial"/>
          <w:rtl/>
        </w:rPr>
        <w:t xml:space="preserve">' </w:t>
      </w:r>
      <w:r>
        <w:rPr>
          <w:rFonts w:cs="Arial" w:hint="cs"/>
          <w:rtl/>
        </w:rPr>
        <w:t>מילין</w:t>
      </w:r>
      <w:r>
        <w:rPr>
          <w:rFonts w:cs="Arial"/>
          <w:rtl/>
        </w:rPr>
        <w:t xml:space="preserve"> </w:t>
      </w:r>
      <w:r>
        <w:rPr>
          <w:rFonts w:cs="Arial" w:hint="cs"/>
          <w:rtl/>
        </w:rPr>
        <w:t>פירש</w:t>
      </w:r>
      <w:r>
        <w:rPr>
          <w:rFonts w:cs="Arial"/>
          <w:rtl/>
        </w:rPr>
        <w:t xml:space="preserve"> </w:t>
      </w:r>
      <w:r>
        <w:rPr>
          <w:rFonts w:cs="Arial" w:hint="cs"/>
          <w:rtl/>
        </w:rPr>
        <w:t>רבינו</w:t>
      </w:r>
      <w:r>
        <w:rPr>
          <w:rFonts w:cs="Arial"/>
          <w:rtl/>
        </w:rPr>
        <w:t xml:space="preserve"> </w:t>
      </w:r>
      <w:r>
        <w:rPr>
          <w:rFonts w:cs="Arial" w:hint="cs"/>
          <w:rtl/>
        </w:rPr>
        <w:t>תם</w:t>
      </w:r>
      <w:r>
        <w:rPr>
          <w:rFonts w:cs="Arial"/>
          <w:rtl/>
        </w:rPr>
        <w:t xml:space="preserve"> </w:t>
      </w:r>
      <w:r>
        <w:rPr>
          <w:rFonts w:cs="Arial" w:hint="cs"/>
          <w:rtl/>
        </w:rPr>
        <w:t>היינו</w:t>
      </w:r>
      <w:r>
        <w:rPr>
          <w:rFonts w:cs="Arial"/>
          <w:rtl/>
        </w:rPr>
        <w:t xml:space="preserve"> </w:t>
      </w:r>
      <w:r>
        <w:rPr>
          <w:rFonts w:cs="Arial" w:hint="cs"/>
          <w:rtl/>
        </w:rPr>
        <w:t>מתחלת</w:t>
      </w:r>
      <w:r>
        <w:rPr>
          <w:rFonts w:cs="Arial"/>
          <w:rtl/>
        </w:rPr>
        <w:t xml:space="preserve"> </w:t>
      </w:r>
      <w:r>
        <w:rPr>
          <w:rFonts w:cs="Arial" w:hint="cs"/>
          <w:rtl/>
        </w:rPr>
        <w:t>שקיעת</w:t>
      </w:r>
      <w:r>
        <w:rPr>
          <w:rFonts w:cs="Arial"/>
          <w:rtl/>
        </w:rPr>
        <w:t xml:space="preserve"> </w:t>
      </w:r>
      <w:r>
        <w:rPr>
          <w:rFonts w:cs="Arial" w:hint="cs"/>
          <w:rtl/>
        </w:rPr>
        <w:t>החמה</w:t>
      </w:r>
      <w:r>
        <w:rPr>
          <w:rFonts w:cs="Arial"/>
          <w:rtl/>
        </w:rPr>
        <w:t xml:space="preserve"> </w:t>
      </w:r>
      <w:r>
        <w:rPr>
          <w:rFonts w:cs="Arial" w:hint="cs"/>
          <w:rtl/>
        </w:rPr>
        <w:t>כשהחמה</w:t>
      </w:r>
      <w:r>
        <w:rPr>
          <w:rFonts w:cs="Arial"/>
          <w:rtl/>
        </w:rPr>
        <w:t xml:space="preserve"> </w:t>
      </w:r>
      <w:r>
        <w:rPr>
          <w:rFonts w:cs="Arial" w:hint="cs"/>
          <w:rtl/>
        </w:rPr>
        <w:t>מתחלת</w:t>
      </w:r>
      <w:r>
        <w:rPr>
          <w:rFonts w:cs="Arial"/>
          <w:rtl/>
        </w:rPr>
        <w:t xml:space="preserve"> </w:t>
      </w:r>
      <w:r>
        <w:rPr>
          <w:rFonts w:cs="Arial" w:hint="cs"/>
          <w:rtl/>
        </w:rPr>
        <w:t>ליכנס</w:t>
      </w:r>
      <w:r>
        <w:rPr>
          <w:rFonts w:cs="Arial"/>
          <w:rtl/>
        </w:rPr>
        <w:t xml:space="preserve"> </w:t>
      </w:r>
      <w:r>
        <w:rPr>
          <w:rFonts w:cs="Arial" w:hint="cs"/>
          <w:rtl/>
        </w:rPr>
        <w:t>בעביו</w:t>
      </w:r>
      <w:r>
        <w:rPr>
          <w:rFonts w:cs="Arial"/>
          <w:rtl/>
        </w:rPr>
        <w:t xml:space="preserve"> </w:t>
      </w:r>
      <w:r>
        <w:rPr>
          <w:rFonts w:cs="Arial" w:hint="cs"/>
          <w:rtl/>
        </w:rPr>
        <w:t>של</w:t>
      </w:r>
      <w:r>
        <w:rPr>
          <w:rFonts w:cs="Arial"/>
          <w:rtl/>
        </w:rPr>
        <w:t xml:space="preserve"> </w:t>
      </w:r>
      <w:r>
        <w:rPr>
          <w:rFonts w:cs="Arial" w:hint="cs"/>
          <w:rtl/>
        </w:rPr>
        <w:t>רקיע</w:t>
      </w:r>
      <w:r>
        <w:rPr>
          <w:rFonts w:cs="Arial"/>
          <w:rtl/>
        </w:rPr>
        <w:t xml:space="preserve"> </w:t>
      </w:r>
      <w:r>
        <w:rPr>
          <w:rFonts w:cs="Arial" w:hint="cs"/>
          <w:rtl/>
        </w:rPr>
        <w:t>אבל</w:t>
      </w:r>
      <w:r>
        <w:rPr>
          <w:rFonts w:cs="Arial"/>
          <w:rtl/>
        </w:rPr>
        <w:t xml:space="preserve"> </w:t>
      </w:r>
      <w:r>
        <w:rPr>
          <w:rFonts w:cs="Arial" w:hint="cs"/>
          <w:rtl/>
        </w:rPr>
        <w:t>שקיעת</w:t>
      </w:r>
      <w:r>
        <w:rPr>
          <w:rFonts w:cs="Arial"/>
          <w:rtl/>
        </w:rPr>
        <w:t xml:space="preserve"> </w:t>
      </w:r>
      <w:r>
        <w:rPr>
          <w:rFonts w:cs="Arial" w:hint="cs"/>
          <w:rtl/>
        </w:rPr>
        <w:t>החמה</w:t>
      </w:r>
      <w:r>
        <w:rPr>
          <w:rFonts w:cs="Arial"/>
          <w:rtl/>
        </w:rPr>
        <w:t xml:space="preserve"> </w:t>
      </w:r>
      <w:r>
        <w:rPr>
          <w:rFonts w:cs="Arial" w:hint="cs"/>
          <w:rtl/>
        </w:rPr>
        <w:t>היינו</w:t>
      </w:r>
      <w:r>
        <w:rPr>
          <w:rFonts w:cs="Arial"/>
          <w:rtl/>
        </w:rPr>
        <w:t xml:space="preserve"> </w:t>
      </w:r>
      <w:r>
        <w:rPr>
          <w:rFonts w:cs="Arial" w:hint="cs"/>
          <w:rtl/>
        </w:rPr>
        <w:t>סוף</w:t>
      </w:r>
      <w:r>
        <w:rPr>
          <w:rFonts w:cs="Arial"/>
          <w:rtl/>
        </w:rPr>
        <w:t xml:space="preserve"> </w:t>
      </w:r>
      <w:r>
        <w:rPr>
          <w:rFonts w:cs="Arial" w:hint="cs"/>
          <w:rtl/>
        </w:rPr>
        <w:t>שקיעה</w:t>
      </w:r>
      <w:r>
        <w:rPr>
          <w:rFonts w:cs="Arial"/>
          <w:rtl/>
        </w:rPr>
        <w:t xml:space="preserve"> </w:t>
      </w:r>
      <w:r>
        <w:rPr>
          <w:rFonts w:cs="Arial" w:hint="cs"/>
          <w:rtl/>
        </w:rPr>
        <w:t>והוא</w:t>
      </w:r>
      <w:r>
        <w:rPr>
          <w:rFonts w:cs="Arial"/>
          <w:rtl/>
        </w:rPr>
        <w:t xml:space="preserve"> </w:t>
      </w:r>
      <w:r>
        <w:rPr>
          <w:rFonts w:cs="Arial" w:hint="cs"/>
          <w:rtl/>
        </w:rPr>
        <w:t>זמן</w:t>
      </w:r>
      <w:r>
        <w:rPr>
          <w:rFonts w:cs="Arial"/>
          <w:rtl/>
        </w:rPr>
        <w:t xml:space="preserve"> </w:t>
      </w:r>
      <w:r>
        <w:rPr>
          <w:rFonts w:cs="Arial" w:hint="cs"/>
          <w:rtl/>
        </w:rPr>
        <w:t>צאת</w:t>
      </w:r>
      <w:r>
        <w:rPr>
          <w:rFonts w:cs="Arial"/>
          <w:rtl/>
        </w:rPr>
        <w:t xml:space="preserve"> </w:t>
      </w:r>
      <w:r>
        <w:rPr>
          <w:rFonts w:cs="Arial" w:hint="cs"/>
          <w:rtl/>
        </w:rPr>
        <w:t>הכוכבים</w:t>
      </w:r>
      <w:r>
        <w:rPr>
          <w:rFonts w:cs="Arial"/>
          <w:rtl/>
        </w:rPr>
        <w:t xml:space="preserve"> </w:t>
      </w:r>
      <w:r>
        <w:rPr>
          <w:rFonts w:cs="Arial" w:hint="cs"/>
          <w:rtl/>
        </w:rPr>
        <w:t>ע</w:t>
      </w:r>
      <w:r>
        <w:rPr>
          <w:rFonts w:cs="Arial"/>
          <w:rtl/>
        </w:rPr>
        <w:t>"</w:t>
      </w:r>
      <w:r>
        <w:rPr>
          <w:rFonts w:cs="Arial" w:hint="cs"/>
          <w:rtl/>
        </w:rPr>
        <w:t>כ</w:t>
      </w:r>
      <w:r>
        <w:rPr>
          <w:rFonts w:cs="Arial"/>
          <w:rtl/>
        </w:rPr>
        <w:t xml:space="preserve">, </w:t>
      </w:r>
      <w:r>
        <w:rPr>
          <w:rFonts w:cs="Arial" w:hint="cs"/>
          <w:rtl/>
        </w:rPr>
        <w:t>אלמא</w:t>
      </w:r>
      <w:r>
        <w:rPr>
          <w:rFonts w:cs="Arial"/>
          <w:rtl/>
        </w:rPr>
        <w:t xml:space="preserve"> </w:t>
      </w:r>
      <w:r>
        <w:rPr>
          <w:rFonts w:cs="Arial" w:hint="cs"/>
          <w:rtl/>
        </w:rPr>
        <w:t>דסבירא</w:t>
      </w:r>
      <w:r>
        <w:rPr>
          <w:rFonts w:cs="Arial"/>
          <w:rtl/>
        </w:rPr>
        <w:t xml:space="preserve"> </w:t>
      </w:r>
      <w:r>
        <w:rPr>
          <w:rFonts w:cs="Arial" w:hint="cs"/>
          <w:rtl/>
        </w:rPr>
        <w:t>ליה</w:t>
      </w:r>
      <w:r>
        <w:rPr>
          <w:rFonts w:cs="Arial"/>
          <w:rtl/>
        </w:rPr>
        <w:t xml:space="preserve"> </w:t>
      </w:r>
      <w:r>
        <w:rPr>
          <w:rFonts w:cs="Arial" w:hint="cs"/>
          <w:rtl/>
        </w:rPr>
        <w:t>הכי</w:t>
      </w:r>
      <w:r>
        <w:rPr>
          <w:rFonts w:cs="Arial"/>
          <w:rtl/>
        </w:rPr>
        <w:t xml:space="preserve">, </w:t>
      </w:r>
      <w:r>
        <w:rPr>
          <w:rFonts w:cs="Arial" w:hint="cs"/>
          <w:rtl/>
        </w:rPr>
        <w:t>ואם</w:t>
      </w:r>
      <w:r>
        <w:rPr>
          <w:rFonts w:cs="Arial"/>
          <w:rtl/>
        </w:rPr>
        <w:t xml:space="preserve"> </w:t>
      </w:r>
      <w:r>
        <w:rPr>
          <w:rFonts w:cs="Arial" w:hint="cs"/>
          <w:rtl/>
        </w:rPr>
        <w:t>כן</w:t>
      </w:r>
      <w:r>
        <w:rPr>
          <w:rFonts w:cs="Arial"/>
          <w:rtl/>
        </w:rPr>
        <w:t xml:space="preserve"> </w:t>
      </w:r>
      <w:r>
        <w:rPr>
          <w:rFonts w:cs="Arial" w:hint="cs"/>
          <w:rtl/>
        </w:rPr>
        <w:t>יש</w:t>
      </w:r>
      <w:r>
        <w:rPr>
          <w:rFonts w:cs="Arial"/>
          <w:rtl/>
        </w:rPr>
        <w:t xml:space="preserve"> </w:t>
      </w:r>
      <w:r>
        <w:rPr>
          <w:rFonts w:cs="Arial" w:hint="cs"/>
          <w:rtl/>
        </w:rPr>
        <w:t>לתמוה</w:t>
      </w:r>
      <w:r>
        <w:rPr>
          <w:rFonts w:cs="Arial"/>
          <w:rtl/>
        </w:rPr>
        <w:t xml:space="preserve"> </w:t>
      </w:r>
      <w:r>
        <w:rPr>
          <w:rFonts w:cs="Arial" w:hint="cs"/>
          <w:rtl/>
        </w:rPr>
        <w:t>על</w:t>
      </w:r>
      <w:r>
        <w:rPr>
          <w:rFonts w:cs="Arial"/>
          <w:rtl/>
        </w:rPr>
        <w:t xml:space="preserve"> </w:t>
      </w:r>
      <w:r>
        <w:rPr>
          <w:rFonts w:cs="Arial" w:hint="cs"/>
          <w:rtl/>
        </w:rPr>
        <w:t>רבינו</w:t>
      </w:r>
      <w:r>
        <w:rPr>
          <w:rFonts w:cs="Arial"/>
          <w:rtl/>
        </w:rPr>
        <w:t xml:space="preserve"> </w:t>
      </w:r>
      <w:r>
        <w:rPr>
          <w:rFonts w:cs="Arial" w:hint="cs"/>
          <w:rtl/>
        </w:rPr>
        <w:t>שלא</w:t>
      </w:r>
      <w:r>
        <w:rPr>
          <w:rFonts w:cs="Arial"/>
          <w:rtl/>
        </w:rPr>
        <w:t xml:space="preserve"> </w:t>
      </w:r>
      <w:r>
        <w:rPr>
          <w:rFonts w:cs="Arial" w:hint="cs"/>
          <w:rtl/>
        </w:rPr>
        <w:t>כתב</w:t>
      </w:r>
      <w:r>
        <w:rPr>
          <w:rFonts w:cs="Arial"/>
          <w:rtl/>
        </w:rPr>
        <w:t xml:space="preserve"> </w:t>
      </w:r>
      <w:r>
        <w:rPr>
          <w:rFonts w:cs="Arial" w:hint="cs"/>
          <w:rtl/>
        </w:rPr>
        <w:t>דברי</w:t>
      </w:r>
      <w:r>
        <w:rPr>
          <w:rFonts w:cs="Arial"/>
          <w:rtl/>
        </w:rPr>
        <w:t xml:space="preserve"> </w:t>
      </w:r>
      <w:r>
        <w:rPr>
          <w:rFonts w:cs="Arial" w:hint="cs"/>
          <w:rtl/>
        </w:rPr>
        <w:t>רבינו</w:t>
      </w:r>
      <w:r>
        <w:rPr>
          <w:rFonts w:cs="Arial"/>
          <w:rtl/>
        </w:rPr>
        <w:t xml:space="preserve"> </w:t>
      </w:r>
      <w:r>
        <w:rPr>
          <w:rFonts w:cs="Arial" w:hint="cs"/>
          <w:rtl/>
        </w:rPr>
        <w:t>תם</w:t>
      </w:r>
      <w:r>
        <w:rPr>
          <w:rFonts w:cs="Arial"/>
          <w:rtl/>
        </w:rPr>
        <w:t xml:space="preserve">. </w:t>
      </w:r>
      <w:r>
        <w:rPr>
          <w:rFonts w:cs="Arial" w:hint="cs"/>
          <w:rtl/>
        </w:rPr>
        <w:t>והגאון</w:t>
      </w:r>
      <w:r>
        <w:rPr>
          <w:rFonts w:cs="Arial"/>
          <w:rtl/>
        </w:rPr>
        <w:t xml:space="preserve"> </w:t>
      </w:r>
      <w:r>
        <w:rPr>
          <w:rFonts w:cs="Arial" w:hint="cs"/>
          <w:rtl/>
        </w:rPr>
        <w:t>מהר</w:t>
      </w:r>
      <w:r>
        <w:rPr>
          <w:rFonts w:cs="Arial"/>
          <w:rtl/>
        </w:rPr>
        <w:t>"</w:t>
      </w:r>
      <w:r>
        <w:rPr>
          <w:rFonts w:cs="Arial" w:hint="cs"/>
          <w:rtl/>
        </w:rPr>
        <w:t>י</w:t>
      </w:r>
      <w:r>
        <w:rPr>
          <w:rFonts w:cs="Arial"/>
          <w:rtl/>
        </w:rPr>
        <w:t xml:space="preserve"> </w:t>
      </w:r>
      <w:r>
        <w:rPr>
          <w:rFonts w:cs="Arial" w:hint="cs"/>
          <w:rtl/>
        </w:rPr>
        <w:t>אבוהב</w:t>
      </w:r>
      <w:r>
        <w:rPr>
          <w:rFonts w:cs="Arial"/>
          <w:rtl/>
        </w:rPr>
        <w:t xml:space="preserve"> </w:t>
      </w:r>
      <w:r>
        <w:rPr>
          <w:rFonts w:cs="Arial" w:hint="cs"/>
          <w:rtl/>
        </w:rPr>
        <w:t>ז</w:t>
      </w:r>
      <w:r>
        <w:rPr>
          <w:rFonts w:cs="Arial"/>
          <w:rtl/>
        </w:rPr>
        <w:t>"</w:t>
      </w:r>
      <w:r>
        <w:rPr>
          <w:rFonts w:cs="Arial" w:hint="cs"/>
          <w:rtl/>
        </w:rPr>
        <w:t>ל</w:t>
      </w:r>
      <w:r>
        <w:rPr>
          <w:rFonts w:cs="Arial"/>
          <w:rtl/>
        </w:rPr>
        <w:t xml:space="preserve"> </w:t>
      </w:r>
      <w:r>
        <w:rPr>
          <w:rFonts w:cs="Arial" w:hint="cs"/>
          <w:rtl/>
        </w:rPr>
        <w:t>כתב</w:t>
      </w:r>
      <w:r>
        <w:rPr>
          <w:rFonts w:cs="Arial"/>
          <w:rtl/>
        </w:rPr>
        <w:t xml:space="preserve"> </w:t>
      </w:r>
      <w:r>
        <w:rPr>
          <w:rFonts w:cs="Arial" w:hint="cs"/>
          <w:rtl/>
        </w:rPr>
        <w:t>שרבינו</w:t>
      </w:r>
      <w:r>
        <w:rPr>
          <w:rFonts w:cs="Arial"/>
          <w:rtl/>
        </w:rPr>
        <w:t xml:space="preserve"> </w:t>
      </w:r>
      <w:r>
        <w:rPr>
          <w:rFonts w:cs="Arial" w:hint="cs"/>
          <w:rtl/>
        </w:rPr>
        <w:t>סובר</w:t>
      </w:r>
      <w:r>
        <w:rPr>
          <w:rFonts w:cs="Arial"/>
          <w:rtl/>
        </w:rPr>
        <w:t xml:space="preserve"> </w:t>
      </w:r>
      <w:r>
        <w:rPr>
          <w:rFonts w:cs="Arial" w:hint="cs"/>
          <w:rtl/>
        </w:rPr>
        <w:t>כדעת</w:t>
      </w:r>
      <w:r>
        <w:rPr>
          <w:rFonts w:cs="Arial"/>
          <w:rtl/>
        </w:rPr>
        <w:t xml:space="preserve"> </w:t>
      </w:r>
      <w:r>
        <w:rPr>
          <w:rFonts w:cs="Arial" w:hint="cs"/>
          <w:rtl/>
        </w:rPr>
        <w:t>רבינו</w:t>
      </w:r>
      <w:r>
        <w:rPr>
          <w:rFonts w:cs="Arial"/>
          <w:rtl/>
        </w:rPr>
        <w:t xml:space="preserve"> </w:t>
      </w:r>
      <w:r>
        <w:rPr>
          <w:rFonts w:cs="Arial" w:hint="cs"/>
          <w:rtl/>
        </w:rPr>
        <w:t>תם</w:t>
      </w:r>
      <w:r>
        <w:rPr>
          <w:rFonts w:cs="Arial"/>
          <w:rtl/>
        </w:rPr>
        <w:t xml:space="preserve"> </w:t>
      </w:r>
      <w:r>
        <w:rPr>
          <w:rFonts w:cs="Arial" w:hint="cs"/>
          <w:rtl/>
        </w:rPr>
        <w:t>ונדחק</w:t>
      </w:r>
      <w:r>
        <w:rPr>
          <w:rFonts w:cs="Arial"/>
          <w:rtl/>
        </w:rPr>
        <w:t xml:space="preserve"> </w:t>
      </w:r>
      <w:r>
        <w:rPr>
          <w:rFonts w:cs="Arial" w:hint="cs"/>
          <w:rtl/>
        </w:rPr>
        <w:t>בפירוש</w:t>
      </w:r>
      <w:r>
        <w:rPr>
          <w:rFonts w:cs="Arial"/>
          <w:rtl/>
        </w:rPr>
        <w:t xml:space="preserve"> </w:t>
      </w:r>
      <w:r>
        <w:rPr>
          <w:rFonts w:cs="Arial" w:hint="cs"/>
          <w:rtl/>
        </w:rPr>
        <w:t>לשון</w:t>
      </w:r>
      <w:r>
        <w:rPr>
          <w:rFonts w:cs="Arial"/>
          <w:rtl/>
        </w:rPr>
        <w:t xml:space="preserve"> </w:t>
      </w:r>
      <w:r>
        <w:rPr>
          <w:rFonts w:cs="Arial" w:hint="cs"/>
          <w:rtl/>
        </w:rPr>
        <w:t>רבינו, ב"י.</w:t>
      </w:r>
    </w:p>
  </w:footnote>
  <w:footnote w:id="599">
    <w:p w14:paraId="783CF113" w14:textId="77777777" w:rsidR="004B2E7C" w:rsidRPr="0028292A" w:rsidRDefault="004B2E7C" w:rsidP="00285819">
      <w:pPr>
        <w:pStyle w:val="a7"/>
      </w:pPr>
      <w:r w:rsidRPr="0028292A">
        <w:rPr>
          <w:rStyle w:val="a9"/>
        </w:rPr>
        <w:footnoteRef/>
      </w:r>
      <w:r w:rsidRPr="0028292A">
        <w:rPr>
          <w:rtl/>
        </w:rPr>
        <w:t xml:space="preserve"> </w:t>
      </w:r>
      <w:r w:rsidRPr="0028292A">
        <w:rPr>
          <w:rFonts w:asciiTheme="minorBidi" w:hAnsiTheme="minorBidi" w:cs="Arial"/>
          <w:rtl/>
        </w:rPr>
        <w:t>ושיעור מיל הוא שליש שעה פחות חלק ל'</w:t>
      </w:r>
      <w:r>
        <w:rPr>
          <w:rFonts w:asciiTheme="minorBidi" w:hAnsiTheme="minorBidi" w:cs="Arial" w:hint="cs"/>
          <w:rtl/>
        </w:rPr>
        <w:t xml:space="preserve"> (18 דק').</w:t>
      </w:r>
    </w:p>
  </w:footnote>
  <w:footnote w:id="600">
    <w:p w14:paraId="54F956F8" w14:textId="77777777" w:rsidR="004B2E7C" w:rsidRDefault="004B2E7C" w:rsidP="00285819">
      <w:pPr>
        <w:pStyle w:val="a7"/>
        <w:rPr>
          <w:rtl/>
        </w:rPr>
      </w:pPr>
      <w:r>
        <w:rPr>
          <w:rStyle w:val="a9"/>
        </w:rPr>
        <w:footnoteRef/>
      </w:r>
      <w:r>
        <w:rPr>
          <w:rtl/>
        </w:rPr>
        <w:t xml:space="preserve"> </w:t>
      </w:r>
      <w:r w:rsidRPr="00C71C08">
        <w:rPr>
          <w:rFonts w:cs="Arial" w:hint="cs"/>
          <w:rtl/>
        </w:rPr>
        <w:t>בדבר</w:t>
      </w:r>
      <w:r w:rsidRPr="00C71C08">
        <w:rPr>
          <w:rFonts w:cs="Arial"/>
          <w:rtl/>
        </w:rPr>
        <w:t xml:space="preserve"> </w:t>
      </w:r>
      <w:r w:rsidRPr="00C71C08">
        <w:rPr>
          <w:rFonts w:cs="Arial" w:hint="cs"/>
          <w:rtl/>
        </w:rPr>
        <w:t>שאינו</w:t>
      </w:r>
      <w:r w:rsidRPr="00C71C08">
        <w:rPr>
          <w:rFonts w:cs="Arial"/>
          <w:rtl/>
        </w:rPr>
        <w:t xml:space="preserve"> </w:t>
      </w:r>
      <w:r w:rsidRPr="00C71C08">
        <w:rPr>
          <w:rFonts w:cs="Arial" w:hint="cs"/>
          <w:rtl/>
        </w:rPr>
        <w:t>מוסיף</w:t>
      </w:r>
      <w:r w:rsidRPr="00C71C08">
        <w:rPr>
          <w:rFonts w:cs="Arial"/>
          <w:rtl/>
        </w:rPr>
        <w:t xml:space="preserve"> </w:t>
      </w:r>
      <w:r w:rsidRPr="00C71C08">
        <w:rPr>
          <w:rFonts w:cs="Arial" w:hint="cs"/>
          <w:rtl/>
        </w:rPr>
        <w:t>הבל</w:t>
      </w:r>
      <w:r w:rsidRPr="00C71C08">
        <w:rPr>
          <w:rFonts w:cs="Arial"/>
          <w:rtl/>
        </w:rPr>
        <w:t xml:space="preserve"> </w:t>
      </w:r>
      <w:r w:rsidRPr="00C71C08">
        <w:rPr>
          <w:rFonts w:cs="Arial" w:hint="cs"/>
          <w:rtl/>
        </w:rPr>
        <w:t>כמ</w:t>
      </w:r>
      <w:r w:rsidRPr="00C71C08">
        <w:rPr>
          <w:rFonts w:cs="Arial"/>
          <w:rtl/>
        </w:rPr>
        <w:t>"</w:t>
      </w:r>
      <w:r w:rsidRPr="00C71C08">
        <w:rPr>
          <w:rFonts w:cs="Arial" w:hint="cs"/>
          <w:rtl/>
        </w:rPr>
        <w:t>ש</w:t>
      </w:r>
      <w:r w:rsidRPr="00C71C08">
        <w:rPr>
          <w:rFonts w:cs="Arial"/>
          <w:rtl/>
        </w:rPr>
        <w:t xml:space="preserve"> </w:t>
      </w:r>
      <w:r w:rsidRPr="00C71C08">
        <w:rPr>
          <w:rFonts w:cs="Arial" w:hint="cs"/>
          <w:rtl/>
        </w:rPr>
        <w:t>בתחלת</w:t>
      </w:r>
      <w:r w:rsidRPr="00C71C08">
        <w:rPr>
          <w:rFonts w:cs="Arial"/>
          <w:rtl/>
        </w:rPr>
        <w:t xml:space="preserve"> </w:t>
      </w:r>
      <w:r w:rsidRPr="00C71C08">
        <w:rPr>
          <w:rFonts w:cs="Arial" w:hint="cs"/>
          <w:rtl/>
        </w:rPr>
        <w:t>סי</w:t>
      </w:r>
      <w:r>
        <w:rPr>
          <w:rFonts w:cs="Arial" w:hint="cs"/>
          <w:rtl/>
        </w:rPr>
        <w:t>'</w:t>
      </w:r>
      <w:r w:rsidRPr="00C71C08">
        <w:rPr>
          <w:rFonts w:cs="Arial"/>
          <w:rtl/>
        </w:rPr>
        <w:t xml:space="preserve"> </w:t>
      </w:r>
      <w:r w:rsidRPr="00C71C08">
        <w:rPr>
          <w:rFonts w:cs="Arial" w:hint="cs"/>
          <w:rtl/>
        </w:rPr>
        <w:t>רנז</w:t>
      </w:r>
      <w:r w:rsidRPr="00C71C08">
        <w:rPr>
          <w:rFonts w:cs="Arial"/>
          <w:rtl/>
        </w:rPr>
        <w:t xml:space="preserve"> </w:t>
      </w:r>
      <w:r w:rsidRPr="00C71C08">
        <w:rPr>
          <w:rFonts w:cs="Arial" w:hint="cs"/>
          <w:rtl/>
        </w:rPr>
        <w:t>עי</w:t>
      </w:r>
      <w:r w:rsidRPr="00C71C08">
        <w:rPr>
          <w:rFonts w:cs="Arial"/>
          <w:rtl/>
        </w:rPr>
        <w:t>"</w:t>
      </w:r>
      <w:r w:rsidRPr="00C71C08">
        <w:rPr>
          <w:rFonts w:cs="Arial" w:hint="cs"/>
          <w:rtl/>
        </w:rPr>
        <w:t>ש</w:t>
      </w:r>
      <w:r w:rsidRPr="00C71C08">
        <w:rPr>
          <w:rFonts w:cs="Arial"/>
          <w:rtl/>
        </w:rPr>
        <w:t xml:space="preserve"> </w:t>
      </w:r>
      <w:r w:rsidRPr="00C71C08">
        <w:rPr>
          <w:rFonts w:cs="Arial" w:hint="cs"/>
          <w:rtl/>
        </w:rPr>
        <w:t>שמבואר</w:t>
      </w:r>
      <w:r w:rsidRPr="00C71C08">
        <w:rPr>
          <w:rFonts w:cs="Arial"/>
          <w:rtl/>
        </w:rPr>
        <w:t xml:space="preserve"> </w:t>
      </w:r>
      <w:r w:rsidRPr="00C71C08">
        <w:rPr>
          <w:rFonts w:cs="Arial" w:hint="cs"/>
          <w:rtl/>
        </w:rPr>
        <w:t>כל</w:t>
      </w:r>
      <w:r w:rsidRPr="00C71C08">
        <w:rPr>
          <w:rFonts w:cs="Arial"/>
          <w:rtl/>
        </w:rPr>
        <w:t xml:space="preserve"> </w:t>
      </w:r>
      <w:r w:rsidRPr="00C71C08">
        <w:rPr>
          <w:rFonts w:cs="Arial" w:hint="cs"/>
          <w:rtl/>
        </w:rPr>
        <w:t>פרטי</w:t>
      </w:r>
      <w:r w:rsidRPr="00C71C08">
        <w:rPr>
          <w:rFonts w:cs="Arial"/>
          <w:rtl/>
        </w:rPr>
        <w:t xml:space="preserve"> </w:t>
      </w:r>
      <w:r w:rsidRPr="00C71C08">
        <w:rPr>
          <w:rFonts w:cs="Arial" w:hint="cs"/>
          <w:rtl/>
        </w:rPr>
        <w:t>הדין</w:t>
      </w:r>
      <w:r w:rsidRPr="00C71C08">
        <w:rPr>
          <w:rFonts w:cs="Arial"/>
          <w:rtl/>
        </w:rPr>
        <w:t xml:space="preserve"> </w:t>
      </w:r>
      <w:r w:rsidRPr="00C71C08">
        <w:rPr>
          <w:rFonts w:cs="Arial" w:hint="cs"/>
          <w:rtl/>
        </w:rPr>
        <w:t>בטעמיהן</w:t>
      </w:r>
      <w:r w:rsidRPr="00C71C08">
        <w:rPr>
          <w:rFonts w:cs="Arial"/>
          <w:rtl/>
        </w:rPr>
        <w:t xml:space="preserve">. </w:t>
      </w:r>
      <w:r w:rsidRPr="00C71C08">
        <w:rPr>
          <w:rFonts w:cs="Arial" w:hint="cs"/>
          <w:rtl/>
        </w:rPr>
        <w:t>ולשאר</w:t>
      </w:r>
      <w:r w:rsidRPr="00C71C08">
        <w:rPr>
          <w:rFonts w:cs="Arial"/>
          <w:rtl/>
        </w:rPr>
        <w:t xml:space="preserve"> </w:t>
      </w:r>
      <w:r w:rsidRPr="00C71C08">
        <w:rPr>
          <w:rFonts w:cs="Arial" w:hint="cs"/>
          <w:rtl/>
        </w:rPr>
        <w:t>דברים</w:t>
      </w:r>
      <w:r w:rsidRPr="00C71C08">
        <w:rPr>
          <w:rFonts w:cs="Arial"/>
          <w:rtl/>
        </w:rPr>
        <w:t xml:space="preserve"> </w:t>
      </w:r>
      <w:r w:rsidRPr="00C71C08">
        <w:rPr>
          <w:rFonts w:cs="Arial" w:hint="cs"/>
          <w:rtl/>
        </w:rPr>
        <w:t>שאסור</w:t>
      </w:r>
      <w:r w:rsidRPr="00C71C08">
        <w:rPr>
          <w:rFonts w:cs="Arial"/>
          <w:rtl/>
        </w:rPr>
        <w:t xml:space="preserve"> </w:t>
      </w:r>
      <w:r w:rsidRPr="00C71C08">
        <w:rPr>
          <w:rFonts w:cs="Arial" w:hint="cs"/>
          <w:rtl/>
        </w:rPr>
        <w:t>מדרבנן</w:t>
      </w:r>
      <w:r w:rsidRPr="00C71C08">
        <w:rPr>
          <w:rFonts w:cs="Arial"/>
          <w:rtl/>
        </w:rPr>
        <w:t xml:space="preserve"> </w:t>
      </w:r>
      <w:r w:rsidRPr="00C71C08">
        <w:rPr>
          <w:rFonts w:cs="Arial" w:hint="cs"/>
          <w:rtl/>
        </w:rPr>
        <w:t>חוץ</w:t>
      </w:r>
      <w:r w:rsidRPr="00C71C08">
        <w:rPr>
          <w:rFonts w:cs="Arial"/>
          <w:rtl/>
        </w:rPr>
        <w:t xml:space="preserve"> </w:t>
      </w:r>
      <w:r w:rsidRPr="00C71C08">
        <w:rPr>
          <w:rFonts w:cs="Arial" w:hint="cs"/>
          <w:rtl/>
        </w:rPr>
        <w:t>מאלו</w:t>
      </w:r>
      <w:r w:rsidRPr="00C71C08">
        <w:rPr>
          <w:rFonts w:cs="Arial"/>
          <w:rtl/>
        </w:rPr>
        <w:t xml:space="preserve"> </w:t>
      </w:r>
      <w:r w:rsidRPr="00C71C08">
        <w:rPr>
          <w:rFonts w:cs="Arial" w:hint="cs"/>
          <w:rtl/>
        </w:rPr>
        <w:t>דקחשיב</w:t>
      </w:r>
      <w:r w:rsidRPr="00C71C08">
        <w:rPr>
          <w:rFonts w:cs="Arial"/>
          <w:rtl/>
        </w:rPr>
        <w:t xml:space="preserve"> </w:t>
      </w:r>
      <w:r w:rsidRPr="00C71C08">
        <w:rPr>
          <w:rFonts w:cs="Arial" w:hint="cs"/>
          <w:rtl/>
        </w:rPr>
        <w:t>פה</w:t>
      </w:r>
      <w:r w:rsidRPr="00C71C08">
        <w:rPr>
          <w:rFonts w:cs="Arial"/>
          <w:rtl/>
        </w:rPr>
        <w:t xml:space="preserve"> </w:t>
      </w:r>
      <w:r w:rsidRPr="00C71C08">
        <w:rPr>
          <w:rFonts w:cs="Arial" w:hint="cs"/>
          <w:rtl/>
        </w:rPr>
        <w:t>דין</w:t>
      </w:r>
      <w:r w:rsidRPr="00C71C08">
        <w:rPr>
          <w:rFonts w:cs="Arial"/>
          <w:rtl/>
        </w:rPr>
        <w:t xml:space="preserve"> </w:t>
      </w:r>
      <w:r w:rsidRPr="00C71C08">
        <w:rPr>
          <w:rFonts w:cs="Arial" w:hint="cs"/>
          <w:rtl/>
        </w:rPr>
        <w:t>בה</w:t>
      </w:r>
      <w:r w:rsidRPr="00C71C08">
        <w:rPr>
          <w:rFonts w:cs="Arial"/>
          <w:rtl/>
        </w:rPr>
        <w:t>"</w:t>
      </w:r>
      <w:r w:rsidRPr="00C71C08">
        <w:rPr>
          <w:rFonts w:cs="Arial" w:hint="cs"/>
          <w:rtl/>
        </w:rPr>
        <w:t>ש</w:t>
      </w:r>
      <w:r w:rsidRPr="00C71C08">
        <w:rPr>
          <w:rFonts w:cs="Arial"/>
          <w:rtl/>
        </w:rPr>
        <w:t xml:space="preserve"> </w:t>
      </w:r>
      <w:r w:rsidRPr="00C71C08">
        <w:rPr>
          <w:rFonts w:cs="Arial" w:hint="cs"/>
          <w:rtl/>
        </w:rPr>
        <w:t>כמו</w:t>
      </w:r>
      <w:r w:rsidRPr="00C71C08">
        <w:rPr>
          <w:rFonts w:cs="Arial"/>
          <w:rtl/>
        </w:rPr>
        <w:t xml:space="preserve"> </w:t>
      </w:r>
      <w:r w:rsidRPr="00C71C08">
        <w:rPr>
          <w:rFonts w:cs="Arial" w:hint="cs"/>
          <w:rtl/>
        </w:rPr>
        <w:t>שבת</w:t>
      </w:r>
      <w:r w:rsidRPr="00C71C08">
        <w:rPr>
          <w:rFonts w:cs="Arial"/>
          <w:rtl/>
        </w:rPr>
        <w:t xml:space="preserve"> </w:t>
      </w:r>
      <w:r w:rsidRPr="00C71C08">
        <w:rPr>
          <w:rFonts w:cs="Arial" w:hint="cs"/>
          <w:rtl/>
        </w:rPr>
        <w:t>עצמה</w:t>
      </w:r>
      <w:r w:rsidRPr="00C71C08">
        <w:rPr>
          <w:rFonts w:cs="Arial"/>
          <w:rtl/>
        </w:rPr>
        <w:t xml:space="preserve"> </w:t>
      </w:r>
      <w:r w:rsidRPr="00C71C08">
        <w:rPr>
          <w:rFonts w:cs="Arial" w:hint="cs"/>
          <w:rtl/>
        </w:rPr>
        <w:t>אם</w:t>
      </w:r>
      <w:r w:rsidRPr="00C71C08">
        <w:rPr>
          <w:rFonts w:cs="Arial"/>
          <w:rtl/>
        </w:rPr>
        <w:t xml:space="preserve"> </w:t>
      </w:r>
      <w:r w:rsidRPr="00C71C08">
        <w:rPr>
          <w:rFonts w:cs="Arial" w:hint="cs"/>
          <w:rtl/>
        </w:rPr>
        <w:t>לא</w:t>
      </w:r>
      <w:r w:rsidRPr="00C71C08">
        <w:rPr>
          <w:rFonts w:cs="Arial"/>
          <w:rtl/>
        </w:rPr>
        <w:t xml:space="preserve"> </w:t>
      </w:r>
      <w:r w:rsidRPr="00C71C08">
        <w:rPr>
          <w:rFonts w:cs="Arial" w:hint="cs"/>
          <w:rtl/>
        </w:rPr>
        <w:t>שהוא</w:t>
      </w:r>
      <w:r w:rsidRPr="00C71C08">
        <w:rPr>
          <w:rFonts w:cs="Arial"/>
          <w:rtl/>
        </w:rPr>
        <w:t xml:space="preserve"> </w:t>
      </w:r>
      <w:r w:rsidRPr="00C71C08">
        <w:rPr>
          <w:rFonts w:cs="Arial" w:hint="cs"/>
          <w:rtl/>
        </w:rPr>
        <w:t>לדבר</w:t>
      </w:r>
      <w:r w:rsidRPr="00C71C08">
        <w:rPr>
          <w:rFonts w:cs="Arial"/>
          <w:rtl/>
        </w:rPr>
        <w:t xml:space="preserve"> </w:t>
      </w:r>
      <w:r w:rsidRPr="00C71C08">
        <w:rPr>
          <w:rFonts w:cs="Arial" w:hint="cs"/>
          <w:rtl/>
        </w:rPr>
        <w:t>מצוה</w:t>
      </w:r>
      <w:r w:rsidRPr="00C71C08">
        <w:rPr>
          <w:rFonts w:cs="Arial"/>
          <w:rtl/>
        </w:rPr>
        <w:t xml:space="preserve"> </w:t>
      </w:r>
      <w:r w:rsidRPr="00C71C08">
        <w:rPr>
          <w:rFonts w:cs="Arial" w:hint="cs"/>
          <w:rtl/>
        </w:rPr>
        <w:t>או</w:t>
      </w:r>
      <w:r w:rsidRPr="00C71C08">
        <w:rPr>
          <w:rFonts w:cs="Arial"/>
          <w:rtl/>
        </w:rPr>
        <w:t xml:space="preserve"> </w:t>
      </w:r>
      <w:r w:rsidRPr="00C71C08">
        <w:rPr>
          <w:rFonts w:cs="Arial" w:hint="cs"/>
          <w:rtl/>
        </w:rPr>
        <w:t>שאר</w:t>
      </w:r>
      <w:r w:rsidRPr="00C71C08">
        <w:rPr>
          <w:rFonts w:cs="Arial"/>
          <w:rtl/>
        </w:rPr>
        <w:t xml:space="preserve"> </w:t>
      </w:r>
      <w:r w:rsidRPr="00C71C08">
        <w:rPr>
          <w:rFonts w:cs="Arial" w:hint="cs"/>
          <w:rtl/>
        </w:rPr>
        <w:t>דוחק</w:t>
      </w:r>
      <w:r w:rsidRPr="00C71C08">
        <w:rPr>
          <w:rFonts w:cs="Arial"/>
          <w:rtl/>
        </w:rPr>
        <w:t xml:space="preserve"> </w:t>
      </w:r>
      <w:r w:rsidRPr="00C71C08">
        <w:rPr>
          <w:rFonts w:cs="Arial" w:hint="cs"/>
          <w:rtl/>
        </w:rPr>
        <w:t>וכמבואר</w:t>
      </w:r>
      <w:r w:rsidRPr="00C71C08">
        <w:rPr>
          <w:rFonts w:cs="Arial"/>
          <w:rtl/>
        </w:rPr>
        <w:t xml:space="preserve"> </w:t>
      </w:r>
      <w:r w:rsidRPr="00C71C08">
        <w:rPr>
          <w:rFonts w:cs="Arial" w:hint="cs"/>
          <w:rtl/>
        </w:rPr>
        <w:t>לקמן</w:t>
      </w:r>
      <w:r w:rsidRPr="00C71C08">
        <w:rPr>
          <w:rFonts w:cs="Arial"/>
          <w:rtl/>
        </w:rPr>
        <w:t xml:space="preserve"> </w:t>
      </w:r>
      <w:r w:rsidRPr="00C71C08">
        <w:rPr>
          <w:rFonts w:cs="Arial" w:hint="cs"/>
          <w:rtl/>
        </w:rPr>
        <w:t>בסי</w:t>
      </w:r>
      <w:r>
        <w:rPr>
          <w:rFonts w:cs="Arial" w:hint="cs"/>
          <w:rtl/>
        </w:rPr>
        <w:t>'</w:t>
      </w:r>
      <w:r w:rsidRPr="00C71C08">
        <w:rPr>
          <w:rFonts w:cs="Arial"/>
          <w:rtl/>
        </w:rPr>
        <w:t xml:space="preserve"> </w:t>
      </w:r>
      <w:r w:rsidRPr="00C71C08">
        <w:rPr>
          <w:rFonts w:cs="Arial" w:hint="cs"/>
          <w:rtl/>
        </w:rPr>
        <w:t>שמב</w:t>
      </w:r>
      <w:r w:rsidRPr="00C71C08">
        <w:rPr>
          <w:rFonts w:cs="Arial"/>
          <w:rtl/>
        </w:rPr>
        <w:t xml:space="preserve"> </w:t>
      </w:r>
      <w:r w:rsidRPr="00C71C08">
        <w:rPr>
          <w:rFonts w:cs="Arial" w:hint="cs"/>
          <w:rtl/>
        </w:rPr>
        <w:t>עי</w:t>
      </w:r>
      <w:r w:rsidRPr="00C71C08">
        <w:rPr>
          <w:rFonts w:cs="Arial"/>
          <w:rtl/>
        </w:rPr>
        <w:t>"</w:t>
      </w:r>
      <w:r w:rsidRPr="00C71C08">
        <w:rPr>
          <w:rFonts w:cs="Arial" w:hint="cs"/>
          <w:rtl/>
        </w:rPr>
        <w:t>ש</w:t>
      </w:r>
      <w:r>
        <w:rPr>
          <w:rFonts w:hint="cs"/>
          <w:rtl/>
        </w:rPr>
        <w:t>, משנ"ב (סק"י).</w:t>
      </w:r>
    </w:p>
  </w:footnote>
  <w:footnote w:id="601">
    <w:p w14:paraId="7C8A45AD" w14:textId="77777777" w:rsidR="004B2E7C" w:rsidRDefault="004B2E7C" w:rsidP="00285819">
      <w:pPr>
        <w:pStyle w:val="a7"/>
      </w:pPr>
      <w:r>
        <w:rPr>
          <w:rStyle w:val="a9"/>
        </w:rPr>
        <w:footnoteRef/>
      </w:r>
      <w:r>
        <w:rPr>
          <w:rtl/>
        </w:rPr>
        <w:t xml:space="preserve"> </w:t>
      </w:r>
      <w:r w:rsidRPr="00783D72">
        <w:rPr>
          <w:rFonts w:cs="Arial" w:hint="cs"/>
          <w:rtl/>
        </w:rPr>
        <w:t>אף</w:t>
      </w:r>
      <w:r w:rsidRPr="00783D72">
        <w:rPr>
          <w:rFonts w:cs="Arial"/>
          <w:rtl/>
        </w:rPr>
        <w:t xml:space="preserve"> </w:t>
      </w:r>
      <w:r w:rsidRPr="00783D72">
        <w:rPr>
          <w:rFonts w:cs="Arial" w:hint="cs"/>
          <w:rtl/>
        </w:rPr>
        <w:t>שאיננה</w:t>
      </w:r>
      <w:r w:rsidRPr="00783D72">
        <w:rPr>
          <w:rFonts w:cs="Arial"/>
          <w:rtl/>
        </w:rPr>
        <w:t xml:space="preserve"> </w:t>
      </w:r>
      <w:r w:rsidRPr="00783D72">
        <w:rPr>
          <w:rFonts w:cs="Arial" w:hint="cs"/>
          <w:rtl/>
        </w:rPr>
        <w:t>בשביל</w:t>
      </w:r>
      <w:r w:rsidRPr="00783D72">
        <w:rPr>
          <w:rFonts w:cs="Arial"/>
          <w:rtl/>
        </w:rPr>
        <w:t xml:space="preserve"> </w:t>
      </w:r>
      <w:r w:rsidRPr="00783D72">
        <w:rPr>
          <w:rFonts w:cs="Arial" w:hint="cs"/>
          <w:rtl/>
        </w:rPr>
        <w:t>שבת</w:t>
      </w:r>
      <w:r w:rsidRPr="00783D72">
        <w:rPr>
          <w:rFonts w:cs="Arial"/>
          <w:rtl/>
        </w:rPr>
        <w:t xml:space="preserve"> </w:t>
      </w:r>
      <w:r w:rsidRPr="00783D72">
        <w:rPr>
          <w:rFonts w:cs="Arial" w:hint="cs"/>
          <w:rtl/>
        </w:rPr>
        <w:t>וכדלקמן</w:t>
      </w:r>
      <w:r w:rsidRPr="00783D72">
        <w:rPr>
          <w:rFonts w:cs="Arial"/>
          <w:rtl/>
        </w:rPr>
        <w:t xml:space="preserve"> </w:t>
      </w:r>
      <w:r w:rsidRPr="00783D72">
        <w:rPr>
          <w:rFonts w:cs="Arial" w:hint="cs"/>
          <w:rtl/>
        </w:rPr>
        <w:t>בסימן</w:t>
      </w:r>
      <w:r w:rsidRPr="00783D72">
        <w:rPr>
          <w:rFonts w:cs="Arial"/>
          <w:rtl/>
        </w:rPr>
        <w:t xml:space="preserve"> </w:t>
      </w:r>
      <w:r w:rsidRPr="00783D72">
        <w:rPr>
          <w:rFonts w:cs="Arial" w:hint="cs"/>
          <w:rtl/>
        </w:rPr>
        <w:t>שמ</w:t>
      </w:r>
      <w:r w:rsidRPr="00783D72">
        <w:rPr>
          <w:rFonts w:cs="Arial"/>
          <w:rtl/>
        </w:rPr>
        <w:t>"</w:t>
      </w:r>
      <w:r w:rsidRPr="00783D72">
        <w:rPr>
          <w:rFonts w:cs="Arial" w:hint="cs"/>
          <w:rtl/>
        </w:rPr>
        <w:t>ב</w:t>
      </w:r>
      <w:r w:rsidRPr="00783D72">
        <w:rPr>
          <w:rFonts w:cs="Arial"/>
          <w:rtl/>
        </w:rPr>
        <w:t xml:space="preserve"> </w:t>
      </w:r>
      <w:r w:rsidRPr="00783D72">
        <w:rPr>
          <w:rFonts w:cs="Arial" w:hint="cs"/>
          <w:rtl/>
        </w:rPr>
        <w:t>עי</w:t>
      </w:r>
      <w:r w:rsidRPr="00783D72">
        <w:rPr>
          <w:rFonts w:cs="Arial"/>
          <w:rtl/>
        </w:rPr>
        <w:t>"</w:t>
      </w:r>
      <w:r w:rsidRPr="00783D72">
        <w:rPr>
          <w:rFonts w:cs="Arial" w:hint="cs"/>
          <w:rtl/>
        </w:rPr>
        <w:t>ש</w:t>
      </w:r>
      <w:r w:rsidRPr="00783D72">
        <w:rPr>
          <w:rFonts w:cs="Arial"/>
          <w:rtl/>
        </w:rPr>
        <w:t xml:space="preserve"> </w:t>
      </w:r>
      <w:r w:rsidRPr="00783D72">
        <w:rPr>
          <w:rFonts w:cs="Arial" w:hint="cs"/>
          <w:rtl/>
        </w:rPr>
        <w:t>ובמ</w:t>
      </w:r>
      <w:r w:rsidRPr="00783D72">
        <w:rPr>
          <w:rFonts w:cs="Arial"/>
          <w:rtl/>
        </w:rPr>
        <w:t>"</w:t>
      </w:r>
      <w:r w:rsidRPr="00783D72">
        <w:rPr>
          <w:rFonts w:cs="Arial" w:hint="cs"/>
          <w:rtl/>
        </w:rPr>
        <w:t>ב</w:t>
      </w:r>
      <w:r>
        <w:rPr>
          <w:rFonts w:cs="Arial" w:hint="cs"/>
          <w:rtl/>
        </w:rPr>
        <w:t>, משנ"ב (סקט"ו).</w:t>
      </w:r>
    </w:p>
  </w:footnote>
  <w:footnote w:id="602">
    <w:p w14:paraId="5F9FF907" w14:textId="77777777" w:rsidR="004B2E7C" w:rsidRDefault="004B2E7C" w:rsidP="00285819">
      <w:pPr>
        <w:pStyle w:val="a7"/>
      </w:pPr>
      <w:r>
        <w:rPr>
          <w:rStyle w:val="a9"/>
        </w:rPr>
        <w:footnoteRef/>
      </w:r>
      <w:r>
        <w:rPr>
          <w:rtl/>
        </w:rPr>
        <w:t xml:space="preserve"> </w:t>
      </w:r>
      <w:r w:rsidRPr="00783D72">
        <w:rPr>
          <w:rFonts w:cs="Arial" w:hint="cs"/>
          <w:rtl/>
        </w:rPr>
        <w:t>לעשות</w:t>
      </w:r>
      <w:r w:rsidRPr="00783D72">
        <w:rPr>
          <w:rFonts w:cs="Arial"/>
          <w:rtl/>
        </w:rPr>
        <w:t xml:space="preserve"> </w:t>
      </w:r>
      <w:r w:rsidRPr="00783D72">
        <w:rPr>
          <w:rFonts w:cs="Arial" w:hint="cs"/>
          <w:rtl/>
        </w:rPr>
        <w:t>ע</w:t>
      </w:r>
      <w:r w:rsidRPr="00783D72">
        <w:rPr>
          <w:rFonts w:cs="Arial"/>
          <w:rtl/>
        </w:rPr>
        <w:t>"</w:t>
      </w:r>
      <w:r w:rsidRPr="00783D72">
        <w:rPr>
          <w:rFonts w:cs="Arial" w:hint="cs"/>
          <w:rtl/>
        </w:rPr>
        <w:t>י</w:t>
      </w:r>
      <w:r w:rsidRPr="00783D72">
        <w:rPr>
          <w:rFonts w:cs="Arial"/>
          <w:rtl/>
        </w:rPr>
        <w:t xml:space="preserve"> </w:t>
      </w:r>
      <w:r w:rsidRPr="00783D72">
        <w:rPr>
          <w:rFonts w:cs="Arial" w:hint="cs"/>
          <w:rtl/>
        </w:rPr>
        <w:t>ה</w:t>
      </w:r>
      <w:r>
        <w:rPr>
          <w:rFonts w:cs="Arial" w:hint="cs"/>
          <w:rtl/>
        </w:rPr>
        <w:t>גוי</w:t>
      </w:r>
      <w:r w:rsidRPr="00783D72">
        <w:rPr>
          <w:rFonts w:cs="Arial"/>
          <w:rtl/>
        </w:rPr>
        <w:t xml:space="preserve"> </w:t>
      </w:r>
      <w:r w:rsidRPr="00783D72">
        <w:rPr>
          <w:rFonts w:cs="Arial" w:hint="cs"/>
          <w:rtl/>
        </w:rPr>
        <w:t>בין</w:t>
      </w:r>
      <w:r w:rsidRPr="00783D72">
        <w:rPr>
          <w:rFonts w:cs="Arial"/>
          <w:rtl/>
        </w:rPr>
        <w:t xml:space="preserve"> </w:t>
      </w:r>
      <w:r w:rsidRPr="00783D72">
        <w:rPr>
          <w:rFonts w:cs="Arial" w:hint="cs"/>
          <w:rtl/>
        </w:rPr>
        <w:t>השמשות</w:t>
      </w:r>
      <w:r w:rsidRPr="00783D72">
        <w:rPr>
          <w:rFonts w:cs="Arial"/>
          <w:rtl/>
        </w:rPr>
        <w:t xml:space="preserve"> </w:t>
      </w:r>
      <w:r w:rsidRPr="00783D72">
        <w:rPr>
          <w:rFonts w:cs="Arial" w:hint="cs"/>
          <w:rtl/>
        </w:rPr>
        <w:t>אבל</w:t>
      </w:r>
      <w:r w:rsidRPr="00783D72">
        <w:rPr>
          <w:rFonts w:cs="Arial"/>
          <w:rtl/>
        </w:rPr>
        <w:t xml:space="preserve"> </w:t>
      </w:r>
      <w:r w:rsidRPr="00783D72">
        <w:rPr>
          <w:rFonts w:cs="Arial" w:hint="cs"/>
          <w:rtl/>
        </w:rPr>
        <w:t>לבי</w:t>
      </w:r>
      <w:r w:rsidRPr="00783D72">
        <w:rPr>
          <w:rFonts w:cs="Arial"/>
          <w:rtl/>
        </w:rPr>
        <w:t xml:space="preserve"> </w:t>
      </w:r>
      <w:r w:rsidRPr="00783D72">
        <w:rPr>
          <w:rFonts w:cs="Arial" w:hint="cs"/>
          <w:rtl/>
        </w:rPr>
        <w:t>נוקף</w:t>
      </w:r>
      <w:r w:rsidRPr="00783D72">
        <w:rPr>
          <w:rFonts w:cs="Arial"/>
          <w:rtl/>
        </w:rPr>
        <w:t xml:space="preserve"> </w:t>
      </w:r>
      <w:r w:rsidRPr="00783D72">
        <w:rPr>
          <w:rFonts w:cs="Arial" w:hint="cs"/>
          <w:rtl/>
        </w:rPr>
        <w:t>להחמיר</w:t>
      </w:r>
      <w:r w:rsidRPr="00783D72">
        <w:rPr>
          <w:rFonts w:cs="Arial"/>
          <w:rtl/>
        </w:rPr>
        <w:t xml:space="preserve"> </w:t>
      </w:r>
      <w:r w:rsidRPr="00783D72">
        <w:rPr>
          <w:rFonts w:cs="Arial" w:hint="cs"/>
          <w:rtl/>
        </w:rPr>
        <w:t>אם</w:t>
      </w:r>
      <w:r w:rsidRPr="00783D72">
        <w:rPr>
          <w:rFonts w:cs="Arial"/>
          <w:rtl/>
        </w:rPr>
        <w:t xml:space="preserve"> </w:t>
      </w:r>
      <w:r w:rsidRPr="00783D72">
        <w:rPr>
          <w:rFonts w:cs="Arial" w:hint="cs"/>
          <w:rtl/>
        </w:rPr>
        <w:t>אין</w:t>
      </w:r>
      <w:r w:rsidRPr="00783D72">
        <w:rPr>
          <w:rFonts w:cs="Arial"/>
          <w:rtl/>
        </w:rPr>
        <w:t xml:space="preserve"> </w:t>
      </w:r>
      <w:r w:rsidRPr="00783D72">
        <w:rPr>
          <w:rFonts w:cs="Arial" w:hint="cs"/>
          <w:rtl/>
        </w:rPr>
        <w:t>לו</w:t>
      </w:r>
      <w:r w:rsidRPr="00783D72">
        <w:rPr>
          <w:rFonts w:cs="Arial"/>
          <w:rtl/>
        </w:rPr>
        <w:t xml:space="preserve"> </w:t>
      </w:r>
      <w:r w:rsidRPr="00783D72">
        <w:rPr>
          <w:rFonts w:cs="Arial" w:hint="cs"/>
          <w:rtl/>
        </w:rPr>
        <w:t>בהן</w:t>
      </w:r>
      <w:r w:rsidRPr="00783D72">
        <w:rPr>
          <w:rFonts w:cs="Arial"/>
          <w:rtl/>
        </w:rPr>
        <w:t xml:space="preserve"> </w:t>
      </w:r>
      <w:r w:rsidRPr="00783D72">
        <w:rPr>
          <w:rFonts w:cs="Arial" w:hint="cs"/>
          <w:rtl/>
        </w:rPr>
        <w:t>שום</w:t>
      </w:r>
      <w:r w:rsidRPr="00783D72">
        <w:rPr>
          <w:rFonts w:cs="Arial"/>
          <w:rtl/>
        </w:rPr>
        <w:t xml:space="preserve"> </w:t>
      </w:r>
      <w:r w:rsidRPr="00783D72">
        <w:rPr>
          <w:rFonts w:cs="Arial" w:hint="cs"/>
          <w:rtl/>
        </w:rPr>
        <w:t>צורך</w:t>
      </w:r>
      <w:r w:rsidRPr="00783D72">
        <w:rPr>
          <w:rFonts w:cs="Arial"/>
          <w:rtl/>
        </w:rPr>
        <w:t xml:space="preserve"> </w:t>
      </w:r>
      <w:r w:rsidRPr="00783D72">
        <w:rPr>
          <w:rFonts w:cs="Arial" w:hint="cs"/>
          <w:rtl/>
        </w:rPr>
        <w:t>בשבת</w:t>
      </w:r>
      <w:r w:rsidRPr="00783D72">
        <w:rPr>
          <w:rFonts w:cs="Arial"/>
          <w:rtl/>
        </w:rPr>
        <w:t xml:space="preserve"> </w:t>
      </w:r>
      <w:r w:rsidRPr="00783D72">
        <w:rPr>
          <w:rFonts w:cs="Arial" w:hint="cs"/>
          <w:rtl/>
        </w:rPr>
        <w:t>רק</w:t>
      </w:r>
      <w:r w:rsidRPr="00783D72">
        <w:rPr>
          <w:rFonts w:cs="Arial"/>
          <w:rtl/>
        </w:rPr>
        <w:t xml:space="preserve"> </w:t>
      </w:r>
      <w:r w:rsidRPr="00783D72">
        <w:rPr>
          <w:rFonts w:cs="Arial" w:hint="cs"/>
          <w:rtl/>
        </w:rPr>
        <w:t>לצורך</w:t>
      </w:r>
      <w:r w:rsidRPr="00783D72">
        <w:rPr>
          <w:rFonts w:cs="Arial"/>
          <w:rtl/>
        </w:rPr>
        <w:t xml:space="preserve"> </w:t>
      </w:r>
      <w:r w:rsidRPr="00783D72">
        <w:rPr>
          <w:rFonts w:cs="Arial" w:hint="cs"/>
          <w:rtl/>
        </w:rPr>
        <w:t>חול</w:t>
      </w:r>
      <w:r w:rsidRPr="00783D72">
        <w:rPr>
          <w:rFonts w:cs="Arial"/>
          <w:rtl/>
        </w:rPr>
        <w:t xml:space="preserve"> </w:t>
      </w:r>
      <w:r w:rsidRPr="00783D72">
        <w:rPr>
          <w:rFonts w:cs="Arial" w:hint="cs"/>
          <w:rtl/>
        </w:rPr>
        <w:t>אך</w:t>
      </w:r>
      <w:r w:rsidRPr="00783D72">
        <w:rPr>
          <w:rFonts w:cs="Arial"/>
          <w:rtl/>
        </w:rPr>
        <w:t xml:space="preserve"> </w:t>
      </w:r>
      <w:r w:rsidRPr="00783D72">
        <w:rPr>
          <w:rFonts w:cs="Arial" w:hint="cs"/>
          <w:rtl/>
        </w:rPr>
        <w:t>אם</w:t>
      </w:r>
      <w:r w:rsidRPr="00783D72">
        <w:rPr>
          <w:rFonts w:cs="Arial"/>
          <w:rtl/>
        </w:rPr>
        <w:t xml:space="preserve"> </w:t>
      </w:r>
      <w:r w:rsidRPr="00783D72">
        <w:rPr>
          <w:rFonts w:cs="Arial" w:hint="cs"/>
          <w:rtl/>
        </w:rPr>
        <w:t>הוא</w:t>
      </w:r>
      <w:r w:rsidRPr="00783D72">
        <w:rPr>
          <w:rFonts w:cs="Arial"/>
          <w:rtl/>
        </w:rPr>
        <w:t xml:space="preserve"> </w:t>
      </w:r>
      <w:r w:rsidRPr="00783D72">
        <w:rPr>
          <w:rFonts w:cs="Arial" w:hint="cs"/>
          <w:rtl/>
        </w:rPr>
        <w:t>הפסד</w:t>
      </w:r>
      <w:r w:rsidRPr="00783D72">
        <w:rPr>
          <w:rFonts w:cs="Arial"/>
          <w:rtl/>
        </w:rPr>
        <w:t xml:space="preserve"> </w:t>
      </w:r>
      <w:r w:rsidRPr="00783D72">
        <w:rPr>
          <w:rFonts w:cs="Arial" w:hint="cs"/>
          <w:rtl/>
        </w:rPr>
        <w:t>מרובה</w:t>
      </w:r>
      <w:r w:rsidRPr="00783D72">
        <w:rPr>
          <w:rFonts w:cs="Arial"/>
          <w:rtl/>
        </w:rPr>
        <w:t xml:space="preserve"> </w:t>
      </w:r>
      <w:r w:rsidRPr="00783D72">
        <w:rPr>
          <w:rFonts w:cs="Arial" w:hint="cs"/>
          <w:rtl/>
        </w:rPr>
        <w:t>או</w:t>
      </w:r>
      <w:r w:rsidRPr="00783D72">
        <w:rPr>
          <w:rFonts w:cs="Arial"/>
          <w:rtl/>
        </w:rPr>
        <w:t xml:space="preserve"> </w:t>
      </w:r>
      <w:r w:rsidRPr="00783D72">
        <w:rPr>
          <w:rFonts w:cs="Arial" w:hint="cs"/>
          <w:rtl/>
        </w:rPr>
        <w:t>לצורך</w:t>
      </w:r>
      <w:r w:rsidRPr="00783D72">
        <w:rPr>
          <w:rFonts w:cs="Arial"/>
          <w:rtl/>
        </w:rPr>
        <w:t xml:space="preserve"> </w:t>
      </w:r>
      <w:r w:rsidRPr="00783D72">
        <w:rPr>
          <w:rFonts w:cs="Arial" w:hint="cs"/>
          <w:rtl/>
        </w:rPr>
        <w:t>גדול</w:t>
      </w:r>
      <w:r w:rsidRPr="00783D72">
        <w:rPr>
          <w:rFonts w:cs="Arial"/>
          <w:rtl/>
        </w:rPr>
        <w:t xml:space="preserve"> </w:t>
      </w:r>
      <w:r w:rsidRPr="00783D72">
        <w:rPr>
          <w:rFonts w:cs="Arial" w:hint="cs"/>
          <w:rtl/>
        </w:rPr>
        <w:t>שרי</w:t>
      </w:r>
      <w:r w:rsidRPr="00783D72">
        <w:rPr>
          <w:rFonts w:cs="Arial"/>
          <w:rtl/>
        </w:rPr>
        <w:t xml:space="preserve"> </w:t>
      </w:r>
      <w:r w:rsidRPr="00783D72">
        <w:rPr>
          <w:rFonts w:cs="Arial" w:hint="cs"/>
          <w:rtl/>
        </w:rPr>
        <w:t>שבותין</w:t>
      </w:r>
      <w:r w:rsidRPr="00783D72">
        <w:rPr>
          <w:rFonts w:cs="Arial"/>
          <w:rtl/>
        </w:rPr>
        <w:t xml:space="preserve"> </w:t>
      </w:r>
      <w:r w:rsidRPr="00783D72">
        <w:rPr>
          <w:rFonts w:cs="Arial" w:hint="cs"/>
          <w:rtl/>
        </w:rPr>
        <w:t>בבה</w:t>
      </w:r>
      <w:r w:rsidRPr="00783D72">
        <w:rPr>
          <w:rFonts w:cs="Arial"/>
          <w:rtl/>
        </w:rPr>
        <w:t>"</w:t>
      </w:r>
      <w:r w:rsidRPr="00783D72">
        <w:rPr>
          <w:rFonts w:cs="Arial" w:hint="cs"/>
          <w:rtl/>
        </w:rPr>
        <w:t>ש</w:t>
      </w:r>
      <w:r w:rsidRPr="00783D72">
        <w:rPr>
          <w:rFonts w:cs="Arial"/>
          <w:rtl/>
        </w:rPr>
        <w:t xml:space="preserve"> </w:t>
      </w:r>
      <w:r w:rsidRPr="00783D72">
        <w:rPr>
          <w:rFonts w:cs="Arial" w:hint="cs"/>
          <w:rtl/>
        </w:rPr>
        <w:t>ובפרט</w:t>
      </w:r>
      <w:r w:rsidRPr="00783D72">
        <w:rPr>
          <w:rFonts w:cs="Arial"/>
          <w:rtl/>
        </w:rPr>
        <w:t xml:space="preserve"> </w:t>
      </w:r>
      <w:r w:rsidRPr="00783D72">
        <w:rPr>
          <w:rFonts w:cs="Arial" w:hint="cs"/>
          <w:rtl/>
        </w:rPr>
        <w:t>שבות</w:t>
      </w:r>
      <w:r w:rsidRPr="00783D72">
        <w:rPr>
          <w:rFonts w:cs="Arial"/>
          <w:rtl/>
        </w:rPr>
        <w:t xml:space="preserve"> </w:t>
      </w:r>
      <w:r w:rsidRPr="00783D72">
        <w:rPr>
          <w:rFonts w:cs="Arial" w:hint="cs"/>
          <w:rtl/>
        </w:rPr>
        <w:t>דאמירה</w:t>
      </w:r>
      <w:r w:rsidRPr="00783D72">
        <w:rPr>
          <w:rFonts w:cs="Arial"/>
          <w:rtl/>
        </w:rPr>
        <w:t xml:space="preserve"> </w:t>
      </w:r>
      <w:r w:rsidRPr="00783D72">
        <w:rPr>
          <w:rFonts w:cs="Arial" w:hint="cs"/>
          <w:rtl/>
        </w:rPr>
        <w:t>ל</w:t>
      </w:r>
      <w:r>
        <w:rPr>
          <w:rFonts w:cs="Arial" w:hint="cs"/>
          <w:rtl/>
        </w:rPr>
        <w:t>גוי</w:t>
      </w:r>
      <w:r w:rsidRPr="00783D72">
        <w:rPr>
          <w:rFonts w:cs="Arial"/>
          <w:rtl/>
        </w:rPr>
        <w:t xml:space="preserve"> </w:t>
      </w:r>
      <w:r w:rsidRPr="00783D72">
        <w:rPr>
          <w:rFonts w:cs="Arial" w:hint="cs"/>
          <w:rtl/>
        </w:rPr>
        <w:t>דלית</w:t>
      </w:r>
      <w:r w:rsidRPr="00783D72">
        <w:rPr>
          <w:rFonts w:cs="Arial"/>
          <w:rtl/>
        </w:rPr>
        <w:t xml:space="preserve"> </w:t>
      </w:r>
      <w:r w:rsidRPr="00783D72">
        <w:rPr>
          <w:rFonts w:cs="Arial" w:hint="cs"/>
          <w:rtl/>
        </w:rPr>
        <w:t>ביה</w:t>
      </w:r>
      <w:r w:rsidRPr="00783D72">
        <w:rPr>
          <w:rFonts w:cs="Arial"/>
          <w:rtl/>
        </w:rPr>
        <w:t xml:space="preserve"> </w:t>
      </w:r>
      <w:r w:rsidRPr="00783D72">
        <w:rPr>
          <w:rFonts w:cs="Arial" w:hint="cs"/>
          <w:rtl/>
        </w:rPr>
        <w:t>מעשה</w:t>
      </w:r>
      <w:r w:rsidRPr="00783D72">
        <w:rPr>
          <w:rFonts w:cs="Arial"/>
          <w:rtl/>
        </w:rPr>
        <w:t xml:space="preserve"> </w:t>
      </w:r>
      <w:r w:rsidRPr="00783D72">
        <w:rPr>
          <w:rFonts w:cs="Arial" w:hint="cs"/>
          <w:rtl/>
        </w:rPr>
        <w:t>וע</w:t>
      </w:r>
      <w:r w:rsidRPr="00783D72">
        <w:rPr>
          <w:rFonts w:cs="Arial"/>
          <w:rtl/>
        </w:rPr>
        <w:t>"</w:t>
      </w:r>
      <w:r w:rsidRPr="00783D72">
        <w:rPr>
          <w:rFonts w:cs="Arial" w:hint="cs"/>
          <w:rtl/>
        </w:rPr>
        <w:t>כ</w:t>
      </w:r>
      <w:r w:rsidRPr="00783D72">
        <w:rPr>
          <w:rFonts w:cs="Arial"/>
          <w:rtl/>
        </w:rPr>
        <w:t xml:space="preserve"> </w:t>
      </w:r>
      <w:r w:rsidRPr="00783D72">
        <w:rPr>
          <w:rFonts w:cs="Arial" w:hint="cs"/>
          <w:rtl/>
        </w:rPr>
        <w:t>מותר</w:t>
      </w:r>
      <w:r w:rsidRPr="00783D72">
        <w:rPr>
          <w:rFonts w:cs="Arial"/>
          <w:rtl/>
        </w:rPr>
        <w:t xml:space="preserve"> </w:t>
      </w:r>
      <w:r w:rsidRPr="00783D72">
        <w:rPr>
          <w:rFonts w:cs="Arial" w:hint="cs"/>
          <w:rtl/>
        </w:rPr>
        <w:t>לומר</w:t>
      </w:r>
      <w:r w:rsidRPr="00783D72">
        <w:rPr>
          <w:rFonts w:cs="Arial"/>
          <w:rtl/>
        </w:rPr>
        <w:t xml:space="preserve"> </w:t>
      </w:r>
      <w:r w:rsidRPr="00783D72">
        <w:rPr>
          <w:rFonts w:cs="Arial" w:hint="cs"/>
          <w:rtl/>
        </w:rPr>
        <w:t>ל</w:t>
      </w:r>
      <w:r>
        <w:rPr>
          <w:rFonts w:cs="Arial" w:hint="cs"/>
          <w:rtl/>
        </w:rPr>
        <w:t>גוי</w:t>
      </w:r>
      <w:r w:rsidRPr="00783D72">
        <w:rPr>
          <w:rFonts w:cs="Arial"/>
          <w:rtl/>
        </w:rPr>
        <w:t xml:space="preserve"> </w:t>
      </w:r>
      <w:r w:rsidRPr="00783D72">
        <w:rPr>
          <w:rFonts w:cs="Arial" w:hint="cs"/>
          <w:rtl/>
        </w:rPr>
        <w:t>בין</w:t>
      </w:r>
      <w:r w:rsidRPr="00783D72">
        <w:rPr>
          <w:rFonts w:cs="Arial"/>
          <w:rtl/>
        </w:rPr>
        <w:t xml:space="preserve"> </w:t>
      </w:r>
      <w:r w:rsidRPr="00783D72">
        <w:rPr>
          <w:rFonts w:cs="Arial" w:hint="cs"/>
          <w:rtl/>
        </w:rPr>
        <w:t>השמשות</w:t>
      </w:r>
      <w:r w:rsidRPr="00783D72">
        <w:rPr>
          <w:rFonts w:cs="Arial"/>
          <w:rtl/>
        </w:rPr>
        <w:t xml:space="preserve"> </w:t>
      </w:r>
      <w:r w:rsidRPr="00783D72">
        <w:rPr>
          <w:rFonts w:cs="Arial" w:hint="cs"/>
          <w:rtl/>
        </w:rPr>
        <w:t>להדליק</w:t>
      </w:r>
      <w:r w:rsidRPr="00783D72">
        <w:rPr>
          <w:rFonts w:cs="Arial"/>
          <w:rtl/>
        </w:rPr>
        <w:t xml:space="preserve"> </w:t>
      </w:r>
      <w:r w:rsidRPr="00783D72">
        <w:rPr>
          <w:rFonts w:cs="Arial" w:hint="cs"/>
          <w:rtl/>
        </w:rPr>
        <w:t>נר</w:t>
      </w:r>
      <w:r w:rsidRPr="00783D72">
        <w:rPr>
          <w:rFonts w:cs="Arial"/>
          <w:rtl/>
        </w:rPr>
        <w:t xml:space="preserve"> </w:t>
      </w:r>
      <w:r w:rsidRPr="00783D72">
        <w:rPr>
          <w:rFonts w:cs="Arial" w:hint="cs"/>
          <w:rtl/>
        </w:rPr>
        <w:t>יא</w:t>
      </w:r>
      <w:r w:rsidRPr="00783D72">
        <w:rPr>
          <w:rFonts w:cs="Arial"/>
          <w:rtl/>
        </w:rPr>
        <w:t>"</w:t>
      </w:r>
      <w:r w:rsidRPr="00783D72">
        <w:rPr>
          <w:rFonts w:cs="Arial" w:hint="cs"/>
          <w:rtl/>
        </w:rPr>
        <w:t>צ</w:t>
      </w:r>
      <w:r w:rsidRPr="00783D72">
        <w:rPr>
          <w:rFonts w:cs="Arial"/>
          <w:rtl/>
        </w:rPr>
        <w:t xml:space="preserve"> </w:t>
      </w:r>
      <w:r w:rsidRPr="00783D72">
        <w:rPr>
          <w:rFonts w:cs="Arial" w:hint="cs"/>
          <w:rtl/>
        </w:rPr>
        <w:t>מאחר</w:t>
      </w:r>
      <w:r w:rsidRPr="00783D72">
        <w:rPr>
          <w:rFonts w:cs="Arial"/>
          <w:rtl/>
        </w:rPr>
        <w:t xml:space="preserve"> </w:t>
      </w:r>
      <w:r w:rsidRPr="00783D72">
        <w:rPr>
          <w:rFonts w:cs="Arial" w:hint="cs"/>
          <w:rtl/>
        </w:rPr>
        <w:t>שהעולם</w:t>
      </w:r>
      <w:r w:rsidRPr="00783D72">
        <w:rPr>
          <w:rFonts w:cs="Arial"/>
          <w:rtl/>
        </w:rPr>
        <w:t xml:space="preserve"> </w:t>
      </w:r>
      <w:r w:rsidRPr="00783D72">
        <w:rPr>
          <w:rFonts w:cs="Arial" w:hint="cs"/>
          <w:rtl/>
        </w:rPr>
        <w:t>נזהרין</w:t>
      </w:r>
      <w:r w:rsidRPr="00783D72">
        <w:rPr>
          <w:rFonts w:cs="Arial"/>
          <w:rtl/>
        </w:rPr>
        <w:t xml:space="preserve"> </w:t>
      </w:r>
      <w:r w:rsidRPr="00783D72">
        <w:rPr>
          <w:rFonts w:cs="Arial" w:hint="cs"/>
          <w:rtl/>
        </w:rPr>
        <w:t>בו</w:t>
      </w:r>
      <w:r w:rsidRPr="00783D72">
        <w:rPr>
          <w:rFonts w:cs="Arial"/>
          <w:rtl/>
        </w:rPr>
        <w:t xml:space="preserve"> </w:t>
      </w:r>
      <w:r w:rsidRPr="00783D72">
        <w:rPr>
          <w:rFonts w:cs="Arial" w:hint="cs"/>
          <w:rtl/>
        </w:rPr>
        <w:t>חשבינן</w:t>
      </w:r>
      <w:r w:rsidRPr="00783D72">
        <w:rPr>
          <w:rFonts w:cs="Arial"/>
          <w:rtl/>
        </w:rPr>
        <w:t xml:space="preserve"> </w:t>
      </w:r>
      <w:r w:rsidRPr="00783D72">
        <w:rPr>
          <w:rFonts w:cs="Arial" w:hint="cs"/>
          <w:rtl/>
        </w:rPr>
        <w:t>כלצורך</w:t>
      </w:r>
      <w:r w:rsidRPr="00783D72">
        <w:rPr>
          <w:rFonts w:cs="Arial"/>
          <w:rtl/>
        </w:rPr>
        <w:t xml:space="preserve"> </w:t>
      </w:r>
      <w:r w:rsidRPr="00783D72">
        <w:rPr>
          <w:rFonts w:cs="Arial" w:hint="cs"/>
          <w:rtl/>
        </w:rPr>
        <w:t>גדול</w:t>
      </w:r>
      <w:r w:rsidRPr="00783D72">
        <w:rPr>
          <w:rFonts w:cs="Arial"/>
          <w:rtl/>
        </w:rPr>
        <w:t xml:space="preserve"> </w:t>
      </w:r>
      <w:r w:rsidRPr="00783D72">
        <w:rPr>
          <w:rFonts w:cs="Arial" w:hint="cs"/>
          <w:rtl/>
        </w:rPr>
        <w:t>עכ</w:t>
      </w:r>
      <w:r w:rsidRPr="00783D72">
        <w:rPr>
          <w:rFonts w:cs="Arial"/>
          <w:rtl/>
        </w:rPr>
        <w:t>"</w:t>
      </w:r>
      <w:r w:rsidRPr="00783D72">
        <w:rPr>
          <w:rFonts w:cs="Arial" w:hint="cs"/>
          <w:rtl/>
        </w:rPr>
        <w:t>ל</w:t>
      </w:r>
      <w:r w:rsidRPr="00783D72">
        <w:rPr>
          <w:rFonts w:cs="Arial"/>
          <w:rtl/>
        </w:rPr>
        <w:t xml:space="preserve"> </w:t>
      </w:r>
      <w:r w:rsidRPr="00783D72">
        <w:rPr>
          <w:rFonts w:cs="Arial" w:hint="cs"/>
          <w:rtl/>
        </w:rPr>
        <w:t>בקיצור</w:t>
      </w:r>
      <w:r>
        <w:rPr>
          <w:rFonts w:cs="Arial" w:hint="cs"/>
          <w:rtl/>
        </w:rPr>
        <w:t>, משנ"ב (סקט"ז).</w:t>
      </w:r>
    </w:p>
  </w:footnote>
  <w:footnote w:id="603">
    <w:p w14:paraId="17217310" w14:textId="77777777" w:rsidR="004B2E7C" w:rsidRDefault="004B2E7C" w:rsidP="00285819">
      <w:pPr>
        <w:pStyle w:val="a7"/>
      </w:pPr>
      <w:r>
        <w:rPr>
          <w:rStyle w:val="a9"/>
        </w:rPr>
        <w:footnoteRef/>
      </w:r>
      <w:r>
        <w:rPr>
          <w:rtl/>
        </w:rPr>
        <w:t xml:space="preserve"> </w:t>
      </w:r>
      <w:r>
        <w:rPr>
          <w:rFonts w:cs="Arial" w:hint="cs"/>
          <w:rtl/>
        </w:rPr>
        <w:t>וכתב</w:t>
      </w:r>
      <w:r>
        <w:rPr>
          <w:rFonts w:cs="Arial"/>
          <w:rtl/>
        </w:rPr>
        <w:t xml:space="preserve"> </w:t>
      </w:r>
      <w:r>
        <w:rPr>
          <w:rFonts w:cs="Arial" w:hint="cs"/>
          <w:rtl/>
        </w:rPr>
        <w:t>הרב</w:t>
      </w:r>
      <w:r>
        <w:rPr>
          <w:rFonts w:cs="Arial"/>
          <w:rtl/>
        </w:rPr>
        <w:t xml:space="preserve"> </w:t>
      </w:r>
      <w:r>
        <w:rPr>
          <w:rFonts w:cs="Arial" w:hint="cs"/>
          <w:rtl/>
        </w:rPr>
        <w:t>המגיד</w:t>
      </w:r>
      <w:r>
        <w:rPr>
          <w:rFonts w:cs="Arial"/>
          <w:rtl/>
        </w:rPr>
        <w:t xml:space="preserve"> </w:t>
      </w:r>
      <w:r>
        <w:rPr>
          <w:rFonts w:cs="Arial" w:hint="cs"/>
          <w:rtl/>
        </w:rPr>
        <w:t>בפרק</w:t>
      </w:r>
      <w:r>
        <w:rPr>
          <w:rFonts w:cs="Arial"/>
          <w:rtl/>
        </w:rPr>
        <w:t xml:space="preserve"> </w:t>
      </w:r>
      <w:r>
        <w:rPr>
          <w:rFonts w:cs="Arial" w:hint="cs"/>
          <w:rtl/>
        </w:rPr>
        <w:t>א</w:t>
      </w:r>
      <w:r>
        <w:rPr>
          <w:rFonts w:cs="Arial"/>
          <w:rtl/>
        </w:rPr>
        <w:t xml:space="preserve">' </w:t>
      </w:r>
      <w:r>
        <w:rPr>
          <w:rFonts w:cs="Arial" w:hint="cs"/>
          <w:rtl/>
        </w:rPr>
        <w:t>מהלכות</w:t>
      </w:r>
      <w:r>
        <w:rPr>
          <w:rFonts w:cs="Arial"/>
          <w:rtl/>
        </w:rPr>
        <w:t xml:space="preserve"> </w:t>
      </w:r>
      <w:r>
        <w:rPr>
          <w:rFonts w:cs="Arial" w:hint="cs"/>
          <w:rtl/>
        </w:rPr>
        <w:t>שביתת</w:t>
      </w:r>
      <w:r>
        <w:rPr>
          <w:rFonts w:cs="Arial"/>
          <w:rtl/>
        </w:rPr>
        <w:t xml:space="preserve"> </w:t>
      </w:r>
      <w:r>
        <w:rPr>
          <w:rFonts w:cs="Arial" w:hint="cs"/>
          <w:rtl/>
        </w:rPr>
        <w:t>עשור</w:t>
      </w:r>
      <w:r>
        <w:rPr>
          <w:rFonts w:cs="Arial"/>
          <w:rtl/>
        </w:rPr>
        <w:t xml:space="preserve"> (</w:t>
      </w:r>
      <w:r>
        <w:rPr>
          <w:rFonts w:cs="Arial" w:hint="cs"/>
          <w:rtl/>
        </w:rPr>
        <w:t>סוף</w:t>
      </w:r>
      <w:r>
        <w:rPr>
          <w:rFonts w:cs="Arial"/>
          <w:rtl/>
        </w:rPr>
        <w:t xml:space="preserve"> </w:t>
      </w:r>
      <w:r>
        <w:rPr>
          <w:rFonts w:cs="Arial" w:hint="cs"/>
          <w:rtl/>
        </w:rPr>
        <w:t>ה</w:t>
      </w:r>
      <w:r>
        <w:rPr>
          <w:rFonts w:cs="Arial"/>
          <w:rtl/>
        </w:rPr>
        <w:t>"</w:t>
      </w:r>
      <w:r>
        <w:rPr>
          <w:rFonts w:cs="Arial" w:hint="cs"/>
          <w:rtl/>
        </w:rPr>
        <w:t>ו</w:t>
      </w:r>
      <w:r>
        <w:rPr>
          <w:rFonts w:cs="Arial"/>
          <w:rtl/>
        </w:rPr>
        <w:t xml:space="preserve">) </w:t>
      </w:r>
      <w:r>
        <w:rPr>
          <w:rFonts w:cs="Arial" w:hint="cs"/>
          <w:rtl/>
        </w:rPr>
        <w:t>שכן</w:t>
      </w:r>
      <w:r>
        <w:rPr>
          <w:rFonts w:cs="Arial"/>
          <w:rtl/>
        </w:rPr>
        <w:t xml:space="preserve"> </w:t>
      </w:r>
      <w:r>
        <w:rPr>
          <w:rFonts w:cs="Arial" w:hint="cs"/>
          <w:rtl/>
        </w:rPr>
        <w:t>דעת</w:t>
      </w:r>
      <w:r>
        <w:rPr>
          <w:rFonts w:cs="Arial"/>
          <w:rtl/>
        </w:rPr>
        <w:t xml:space="preserve"> </w:t>
      </w:r>
      <w:r>
        <w:rPr>
          <w:rFonts w:cs="Arial" w:hint="cs"/>
          <w:rtl/>
        </w:rPr>
        <w:t>שאר</w:t>
      </w:r>
      <w:r>
        <w:rPr>
          <w:rFonts w:cs="Arial"/>
          <w:rtl/>
        </w:rPr>
        <w:t xml:space="preserve"> </w:t>
      </w:r>
      <w:r>
        <w:rPr>
          <w:rFonts w:cs="Arial" w:hint="cs"/>
          <w:rtl/>
        </w:rPr>
        <w:t>מפרשים, ב"י.</w:t>
      </w:r>
    </w:p>
  </w:footnote>
  <w:footnote w:id="604">
    <w:p w14:paraId="7947E767" w14:textId="77777777" w:rsidR="004B2E7C" w:rsidRDefault="004B2E7C" w:rsidP="00285819">
      <w:pPr>
        <w:pStyle w:val="a7"/>
        <w:rPr>
          <w:rtl/>
        </w:rPr>
      </w:pPr>
      <w:r>
        <w:rPr>
          <w:rStyle w:val="a9"/>
        </w:rPr>
        <w:footnoteRef/>
      </w:r>
      <w:r>
        <w:rPr>
          <w:rtl/>
        </w:rPr>
        <w:t xml:space="preserve"> </w:t>
      </w:r>
      <w:r>
        <w:rPr>
          <w:rFonts w:cs="Arial" w:hint="cs"/>
          <w:rtl/>
        </w:rPr>
        <w:t>הרמב"ם בפרק ה'</w:t>
      </w:r>
      <w:r w:rsidRPr="007B69FB">
        <w:rPr>
          <w:rFonts w:cs="Arial"/>
          <w:rtl/>
        </w:rPr>
        <w:t xml:space="preserve"> </w:t>
      </w:r>
      <w:r w:rsidRPr="007B69FB">
        <w:rPr>
          <w:rFonts w:cs="Arial" w:hint="cs"/>
          <w:rtl/>
        </w:rPr>
        <w:t>לא</w:t>
      </w:r>
      <w:r w:rsidRPr="007B69FB">
        <w:rPr>
          <w:rFonts w:cs="Arial"/>
          <w:rtl/>
        </w:rPr>
        <w:t xml:space="preserve"> </w:t>
      </w:r>
      <w:r w:rsidRPr="007B69FB">
        <w:rPr>
          <w:rFonts w:cs="Arial" w:hint="cs"/>
          <w:rtl/>
        </w:rPr>
        <w:t>הזכיר</w:t>
      </w:r>
      <w:r w:rsidRPr="007B69FB">
        <w:rPr>
          <w:rFonts w:cs="Arial"/>
          <w:rtl/>
        </w:rPr>
        <w:t xml:space="preserve"> </w:t>
      </w:r>
      <w:r w:rsidRPr="007B69FB">
        <w:rPr>
          <w:rFonts w:cs="Arial" w:hint="cs"/>
          <w:rtl/>
        </w:rPr>
        <w:t>דין</w:t>
      </w:r>
      <w:r w:rsidRPr="007B69FB">
        <w:rPr>
          <w:rFonts w:cs="Arial"/>
          <w:rtl/>
        </w:rPr>
        <w:t xml:space="preserve"> </w:t>
      </w:r>
      <w:r w:rsidRPr="007B69FB">
        <w:rPr>
          <w:rFonts w:cs="Arial" w:hint="cs"/>
          <w:rtl/>
        </w:rPr>
        <w:t>תוספת</w:t>
      </w:r>
      <w:r w:rsidRPr="007B69FB">
        <w:rPr>
          <w:rFonts w:cs="Arial"/>
          <w:rtl/>
        </w:rPr>
        <w:t xml:space="preserve"> </w:t>
      </w:r>
      <w:r w:rsidRPr="007B69FB">
        <w:rPr>
          <w:rFonts w:cs="Arial" w:hint="cs"/>
          <w:rtl/>
        </w:rPr>
        <w:t>זה</w:t>
      </w:r>
      <w:r w:rsidRPr="007B69FB">
        <w:rPr>
          <w:rFonts w:cs="Arial"/>
          <w:rtl/>
        </w:rPr>
        <w:t xml:space="preserve">, </w:t>
      </w:r>
      <w:r w:rsidRPr="007B69FB">
        <w:rPr>
          <w:rFonts w:cs="Arial" w:hint="cs"/>
          <w:rtl/>
        </w:rPr>
        <w:t>וכתב</w:t>
      </w:r>
      <w:r w:rsidRPr="007B69FB">
        <w:rPr>
          <w:rFonts w:cs="Arial"/>
          <w:rtl/>
        </w:rPr>
        <w:t xml:space="preserve"> </w:t>
      </w:r>
      <w:r w:rsidRPr="007B69FB">
        <w:rPr>
          <w:rFonts w:cs="Arial" w:hint="cs"/>
          <w:rtl/>
        </w:rPr>
        <w:t>הרב</w:t>
      </w:r>
      <w:r w:rsidRPr="007B69FB">
        <w:rPr>
          <w:rFonts w:cs="Arial"/>
          <w:rtl/>
        </w:rPr>
        <w:t xml:space="preserve"> </w:t>
      </w:r>
      <w:r w:rsidRPr="007B69FB">
        <w:rPr>
          <w:rFonts w:cs="Arial" w:hint="cs"/>
          <w:rtl/>
        </w:rPr>
        <w:t>המגיד</w:t>
      </w:r>
      <w:r w:rsidRPr="007B69FB">
        <w:rPr>
          <w:rFonts w:cs="Arial"/>
          <w:rtl/>
        </w:rPr>
        <w:t xml:space="preserve"> </w:t>
      </w:r>
      <w:r w:rsidRPr="007B69FB">
        <w:rPr>
          <w:rFonts w:cs="Arial" w:hint="cs"/>
          <w:rtl/>
        </w:rPr>
        <w:t>בפרק</w:t>
      </w:r>
      <w:r w:rsidRPr="007B69FB">
        <w:rPr>
          <w:rFonts w:cs="Arial"/>
          <w:rtl/>
        </w:rPr>
        <w:t xml:space="preserve"> </w:t>
      </w:r>
      <w:r w:rsidRPr="007B69FB">
        <w:rPr>
          <w:rFonts w:cs="Arial" w:hint="cs"/>
          <w:rtl/>
        </w:rPr>
        <w:t>א</w:t>
      </w:r>
      <w:r w:rsidRPr="007B69FB">
        <w:rPr>
          <w:rFonts w:cs="Arial"/>
          <w:rtl/>
        </w:rPr>
        <w:t xml:space="preserve">' </w:t>
      </w:r>
      <w:r w:rsidRPr="007B69FB">
        <w:rPr>
          <w:rFonts w:cs="Arial" w:hint="cs"/>
          <w:rtl/>
        </w:rPr>
        <w:t>מהלכות</w:t>
      </w:r>
      <w:r w:rsidRPr="007B69FB">
        <w:rPr>
          <w:rFonts w:cs="Arial"/>
          <w:rtl/>
        </w:rPr>
        <w:t xml:space="preserve"> </w:t>
      </w:r>
      <w:r w:rsidRPr="007B69FB">
        <w:rPr>
          <w:rFonts w:cs="Arial" w:hint="cs"/>
          <w:rtl/>
        </w:rPr>
        <w:t>שביתת</w:t>
      </w:r>
      <w:r w:rsidRPr="007B69FB">
        <w:rPr>
          <w:rFonts w:cs="Arial"/>
          <w:rtl/>
        </w:rPr>
        <w:t xml:space="preserve"> </w:t>
      </w:r>
      <w:r w:rsidRPr="007B69FB">
        <w:rPr>
          <w:rFonts w:cs="Arial" w:hint="cs"/>
          <w:rtl/>
        </w:rPr>
        <w:t>עשור</w:t>
      </w:r>
      <w:r w:rsidRPr="007B69FB">
        <w:rPr>
          <w:rFonts w:cs="Arial"/>
          <w:rtl/>
        </w:rPr>
        <w:t xml:space="preserve"> (</w:t>
      </w:r>
      <w:r w:rsidRPr="007B69FB">
        <w:rPr>
          <w:rFonts w:cs="Arial" w:hint="cs"/>
          <w:rtl/>
        </w:rPr>
        <w:t>ה</w:t>
      </w:r>
      <w:r w:rsidRPr="007B69FB">
        <w:rPr>
          <w:rFonts w:cs="Arial"/>
          <w:rtl/>
        </w:rPr>
        <w:t>"</w:t>
      </w:r>
      <w:r w:rsidRPr="007B69FB">
        <w:rPr>
          <w:rFonts w:cs="Arial" w:hint="cs"/>
          <w:rtl/>
        </w:rPr>
        <w:t>ו</w:t>
      </w:r>
      <w:r w:rsidRPr="007B69FB">
        <w:rPr>
          <w:rFonts w:cs="Arial"/>
          <w:rtl/>
        </w:rPr>
        <w:t xml:space="preserve">) </w:t>
      </w:r>
      <w:r w:rsidRPr="007B69FB">
        <w:rPr>
          <w:rFonts w:cs="Arial" w:hint="cs"/>
          <w:rtl/>
        </w:rPr>
        <w:t>דטעמא</w:t>
      </w:r>
      <w:r w:rsidRPr="007B69FB">
        <w:rPr>
          <w:rFonts w:cs="Arial"/>
          <w:rtl/>
        </w:rPr>
        <w:t xml:space="preserve"> </w:t>
      </w:r>
      <w:r w:rsidRPr="007B69FB">
        <w:rPr>
          <w:rFonts w:cs="Arial" w:hint="cs"/>
          <w:rtl/>
        </w:rPr>
        <w:t>משום</w:t>
      </w:r>
      <w:r w:rsidRPr="007B69FB">
        <w:rPr>
          <w:rFonts w:cs="Arial"/>
          <w:rtl/>
        </w:rPr>
        <w:t xml:space="preserve"> </w:t>
      </w:r>
      <w:r w:rsidRPr="007B69FB">
        <w:rPr>
          <w:rFonts w:cs="Arial" w:hint="cs"/>
          <w:rtl/>
        </w:rPr>
        <w:t>דלית</w:t>
      </w:r>
      <w:r w:rsidRPr="007B69FB">
        <w:rPr>
          <w:rFonts w:cs="Arial"/>
          <w:rtl/>
        </w:rPr>
        <w:t xml:space="preserve"> </w:t>
      </w:r>
      <w:r w:rsidRPr="007B69FB">
        <w:rPr>
          <w:rFonts w:cs="Arial" w:hint="cs"/>
          <w:rtl/>
        </w:rPr>
        <w:t>ליה</w:t>
      </w:r>
      <w:r w:rsidRPr="007B69FB">
        <w:rPr>
          <w:rFonts w:cs="Arial"/>
          <w:rtl/>
        </w:rPr>
        <w:t xml:space="preserve"> </w:t>
      </w:r>
      <w:r w:rsidRPr="007B69FB">
        <w:rPr>
          <w:rFonts w:cs="Arial" w:hint="cs"/>
          <w:rtl/>
        </w:rPr>
        <w:t>תוספת</w:t>
      </w:r>
      <w:r w:rsidRPr="007B69FB">
        <w:rPr>
          <w:rFonts w:cs="Arial"/>
          <w:rtl/>
        </w:rPr>
        <w:t xml:space="preserve"> </w:t>
      </w:r>
      <w:r w:rsidRPr="007B69FB">
        <w:rPr>
          <w:rFonts w:cs="Arial" w:hint="cs"/>
          <w:rtl/>
        </w:rPr>
        <w:t>דבר</w:t>
      </w:r>
      <w:r w:rsidRPr="007B69FB">
        <w:rPr>
          <w:rFonts w:cs="Arial"/>
          <w:rtl/>
        </w:rPr>
        <w:t xml:space="preserve"> </w:t>
      </w:r>
      <w:r w:rsidRPr="007B69FB">
        <w:rPr>
          <w:rFonts w:cs="Arial" w:hint="cs"/>
          <w:rtl/>
        </w:rPr>
        <w:t>תורה</w:t>
      </w:r>
      <w:r w:rsidRPr="007B69FB">
        <w:rPr>
          <w:rFonts w:cs="Arial"/>
          <w:rtl/>
        </w:rPr>
        <w:t xml:space="preserve"> </w:t>
      </w:r>
      <w:r w:rsidRPr="007B69FB">
        <w:rPr>
          <w:rFonts w:cs="Arial" w:hint="cs"/>
          <w:rtl/>
        </w:rPr>
        <w:t>אלא</w:t>
      </w:r>
      <w:r w:rsidRPr="007B69FB">
        <w:rPr>
          <w:rFonts w:cs="Arial"/>
          <w:rtl/>
        </w:rPr>
        <w:t xml:space="preserve"> </w:t>
      </w:r>
      <w:r w:rsidRPr="007B69FB">
        <w:rPr>
          <w:rFonts w:cs="Arial" w:hint="cs"/>
          <w:rtl/>
        </w:rPr>
        <w:t>לעינוי</w:t>
      </w:r>
      <w:r w:rsidRPr="007B69FB">
        <w:rPr>
          <w:rFonts w:cs="Arial"/>
          <w:rtl/>
        </w:rPr>
        <w:t xml:space="preserve"> </w:t>
      </w:r>
      <w:r w:rsidRPr="007B69FB">
        <w:rPr>
          <w:rFonts w:cs="Arial" w:hint="cs"/>
          <w:rtl/>
        </w:rPr>
        <w:t>יום</w:t>
      </w:r>
      <w:r w:rsidRPr="007B69FB">
        <w:rPr>
          <w:rFonts w:cs="Arial"/>
          <w:rtl/>
        </w:rPr>
        <w:t xml:space="preserve"> </w:t>
      </w:r>
      <w:r w:rsidRPr="007B69FB">
        <w:rPr>
          <w:rFonts w:cs="Arial" w:hint="cs"/>
          <w:rtl/>
        </w:rPr>
        <w:t>הכפורים</w:t>
      </w:r>
      <w:r w:rsidRPr="007B69FB">
        <w:rPr>
          <w:rFonts w:cs="Arial"/>
          <w:rtl/>
        </w:rPr>
        <w:t xml:space="preserve"> </w:t>
      </w:r>
      <w:r w:rsidRPr="007B69FB">
        <w:rPr>
          <w:rFonts w:cs="Arial" w:hint="cs"/>
          <w:rtl/>
        </w:rPr>
        <w:t>לבד</w:t>
      </w:r>
      <w:r w:rsidRPr="007B69FB">
        <w:rPr>
          <w:rFonts w:cs="Arial"/>
          <w:rtl/>
        </w:rPr>
        <w:t xml:space="preserve"> </w:t>
      </w:r>
      <w:r w:rsidRPr="007B69FB">
        <w:rPr>
          <w:rFonts w:cs="Arial" w:hint="cs"/>
          <w:rtl/>
        </w:rPr>
        <w:t>דסבירא</w:t>
      </w:r>
      <w:r w:rsidRPr="007B69FB">
        <w:rPr>
          <w:rFonts w:cs="Arial"/>
          <w:rtl/>
        </w:rPr>
        <w:t xml:space="preserve"> </w:t>
      </w:r>
      <w:r w:rsidRPr="007B69FB">
        <w:rPr>
          <w:rFonts w:cs="Arial" w:hint="cs"/>
          <w:rtl/>
        </w:rPr>
        <w:t>ליה</w:t>
      </w:r>
      <w:r w:rsidRPr="007B69FB">
        <w:rPr>
          <w:rFonts w:cs="Arial"/>
          <w:rtl/>
        </w:rPr>
        <w:t xml:space="preserve"> </w:t>
      </w:r>
      <w:r w:rsidRPr="007B69FB">
        <w:rPr>
          <w:rFonts w:cs="Arial" w:hint="cs"/>
          <w:rtl/>
        </w:rPr>
        <w:t>דהלכה</w:t>
      </w:r>
      <w:r w:rsidRPr="007B69FB">
        <w:rPr>
          <w:rFonts w:cs="Arial"/>
          <w:rtl/>
        </w:rPr>
        <w:t xml:space="preserve"> </w:t>
      </w:r>
      <w:r w:rsidRPr="007B69FB">
        <w:rPr>
          <w:rFonts w:cs="Arial" w:hint="cs"/>
          <w:rtl/>
        </w:rPr>
        <w:t>כמאן</w:t>
      </w:r>
      <w:r w:rsidRPr="007B69FB">
        <w:rPr>
          <w:rFonts w:cs="Arial"/>
          <w:rtl/>
        </w:rPr>
        <w:t xml:space="preserve"> </w:t>
      </w:r>
      <w:r w:rsidRPr="007B69FB">
        <w:rPr>
          <w:rFonts w:cs="Arial" w:hint="cs"/>
          <w:rtl/>
        </w:rPr>
        <w:t>דדריש</w:t>
      </w:r>
      <w:r w:rsidRPr="007B69FB">
        <w:rPr>
          <w:rFonts w:cs="Arial"/>
          <w:rtl/>
        </w:rPr>
        <w:t xml:space="preserve"> </w:t>
      </w:r>
      <w:r w:rsidRPr="007B69FB">
        <w:rPr>
          <w:rFonts w:cs="Arial" w:hint="cs"/>
          <w:rtl/>
        </w:rPr>
        <w:t>לקראי</w:t>
      </w:r>
      <w:r w:rsidRPr="007B69FB">
        <w:rPr>
          <w:rFonts w:cs="Arial"/>
          <w:rtl/>
        </w:rPr>
        <w:t xml:space="preserve"> </w:t>
      </w:r>
      <w:r w:rsidRPr="007B69FB">
        <w:rPr>
          <w:rFonts w:cs="Arial" w:hint="cs"/>
          <w:rtl/>
        </w:rPr>
        <w:t>לדרשא</w:t>
      </w:r>
      <w:r w:rsidRPr="007B69FB">
        <w:rPr>
          <w:rFonts w:cs="Arial"/>
          <w:rtl/>
        </w:rPr>
        <w:t xml:space="preserve"> </w:t>
      </w:r>
      <w:r w:rsidRPr="007B69FB">
        <w:rPr>
          <w:rFonts w:cs="Arial" w:hint="cs"/>
          <w:rtl/>
        </w:rPr>
        <w:t>אחריתא</w:t>
      </w:r>
      <w:r w:rsidRPr="007B69FB">
        <w:rPr>
          <w:rFonts w:cs="Arial"/>
          <w:rtl/>
        </w:rPr>
        <w:t xml:space="preserve"> </w:t>
      </w:r>
      <w:r w:rsidRPr="007B69FB">
        <w:rPr>
          <w:rFonts w:cs="Arial" w:hint="cs"/>
          <w:rtl/>
        </w:rPr>
        <w:t>עכ</w:t>
      </w:r>
      <w:r w:rsidRPr="007B69FB">
        <w:rPr>
          <w:rFonts w:cs="Arial"/>
          <w:rtl/>
        </w:rPr>
        <w:t>"</w:t>
      </w:r>
      <w:r w:rsidRPr="007B69FB">
        <w:rPr>
          <w:rFonts w:cs="Arial" w:hint="cs"/>
          <w:rtl/>
        </w:rPr>
        <w:t>ל</w:t>
      </w:r>
      <w:r w:rsidRPr="007B69FB">
        <w:rPr>
          <w:rFonts w:cs="Arial"/>
          <w:rtl/>
        </w:rPr>
        <w:t xml:space="preserve">. </w:t>
      </w:r>
      <w:r w:rsidRPr="007B69FB">
        <w:rPr>
          <w:rFonts w:cs="Arial" w:hint="cs"/>
          <w:rtl/>
        </w:rPr>
        <w:t>ומשמע</w:t>
      </w:r>
      <w:r w:rsidRPr="007B69FB">
        <w:rPr>
          <w:rFonts w:cs="Arial"/>
          <w:rtl/>
        </w:rPr>
        <w:t xml:space="preserve"> </w:t>
      </w:r>
      <w:r w:rsidRPr="007B69FB">
        <w:rPr>
          <w:rFonts w:cs="Arial" w:hint="cs"/>
          <w:rtl/>
        </w:rPr>
        <w:t>לי</w:t>
      </w:r>
      <w:r w:rsidRPr="007B69FB">
        <w:rPr>
          <w:rFonts w:cs="Arial"/>
          <w:rtl/>
        </w:rPr>
        <w:t xml:space="preserve"> </w:t>
      </w:r>
      <w:r w:rsidRPr="007B69FB">
        <w:rPr>
          <w:rFonts w:cs="Arial" w:hint="cs"/>
          <w:rtl/>
        </w:rPr>
        <w:t>דדבר</w:t>
      </w:r>
      <w:r w:rsidRPr="007B69FB">
        <w:rPr>
          <w:rFonts w:cs="Arial"/>
          <w:rtl/>
        </w:rPr>
        <w:t xml:space="preserve"> </w:t>
      </w:r>
      <w:r w:rsidRPr="007B69FB">
        <w:rPr>
          <w:rFonts w:cs="Arial" w:hint="cs"/>
          <w:rtl/>
        </w:rPr>
        <w:t>תורה</w:t>
      </w:r>
      <w:r w:rsidRPr="007B69FB">
        <w:rPr>
          <w:rFonts w:cs="Arial"/>
          <w:rtl/>
        </w:rPr>
        <w:t xml:space="preserve"> </w:t>
      </w:r>
      <w:r w:rsidRPr="007B69FB">
        <w:rPr>
          <w:rFonts w:cs="Arial" w:hint="cs"/>
          <w:rtl/>
        </w:rPr>
        <w:t>שכתב</w:t>
      </w:r>
      <w:r w:rsidRPr="007B69FB">
        <w:rPr>
          <w:rFonts w:cs="Arial"/>
          <w:rtl/>
        </w:rPr>
        <w:t xml:space="preserve"> </w:t>
      </w:r>
      <w:r w:rsidRPr="007B69FB">
        <w:rPr>
          <w:rFonts w:cs="Arial" w:hint="cs"/>
          <w:rtl/>
        </w:rPr>
        <w:t>לאו</w:t>
      </w:r>
      <w:r w:rsidRPr="007B69FB">
        <w:rPr>
          <w:rFonts w:cs="Arial"/>
          <w:rtl/>
        </w:rPr>
        <w:t xml:space="preserve"> </w:t>
      </w:r>
      <w:r w:rsidRPr="007B69FB">
        <w:rPr>
          <w:rFonts w:cs="Arial" w:hint="cs"/>
          <w:rtl/>
        </w:rPr>
        <w:t>דוקא,</w:t>
      </w:r>
      <w:r w:rsidRPr="007B69FB">
        <w:rPr>
          <w:rFonts w:cs="Arial"/>
          <w:rtl/>
        </w:rPr>
        <w:t xml:space="preserve"> </w:t>
      </w:r>
      <w:r w:rsidRPr="007B69FB">
        <w:rPr>
          <w:rFonts w:cs="Arial" w:hint="cs"/>
          <w:rtl/>
        </w:rPr>
        <w:t>דמדרבנן</w:t>
      </w:r>
      <w:r w:rsidRPr="007B69FB">
        <w:rPr>
          <w:rFonts w:cs="Arial"/>
          <w:rtl/>
        </w:rPr>
        <w:t xml:space="preserve"> </w:t>
      </w:r>
      <w:r w:rsidRPr="007B69FB">
        <w:rPr>
          <w:rFonts w:cs="Arial" w:hint="cs"/>
          <w:rtl/>
        </w:rPr>
        <w:t>נמי</w:t>
      </w:r>
      <w:r w:rsidRPr="007B69FB">
        <w:rPr>
          <w:rFonts w:cs="Arial"/>
          <w:rtl/>
        </w:rPr>
        <w:t xml:space="preserve"> </w:t>
      </w:r>
      <w:r w:rsidRPr="007B69FB">
        <w:rPr>
          <w:rFonts w:cs="Arial" w:hint="cs"/>
          <w:rtl/>
        </w:rPr>
        <w:t>לית</w:t>
      </w:r>
      <w:r w:rsidRPr="007B69FB">
        <w:rPr>
          <w:rFonts w:cs="Arial"/>
          <w:rtl/>
        </w:rPr>
        <w:t xml:space="preserve"> </w:t>
      </w:r>
      <w:r w:rsidRPr="007B69FB">
        <w:rPr>
          <w:rFonts w:cs="Arial" w:hint="cs"/>
          <w:rtl/>
        </w:rPr>
        <w:t>ליה</w:t>
      </w:r>
      <w:r w:rsidRPr="007B69FB">
        <w:rPr>
          <w:rFonts w:cs="Arial"/>
          <w:rtl/>
        </w:rPr>
        <w:t xml:space="preserve"> </w:t>
      </w:r>
      <w:r w:rsidRPr="007B69FB">
        <w:rPr>
          <w:rFonts w:cs="Arial" w:hint="cs"/>
          <w:rtl/>
        </w:rPr>
        <w:t>תוספת,</w:t>
      </w:r>
      <w:r w:rsidRPr="007B69FB">
        <w:rPr>
          <w:rFonts w:cs="Arial"/>
          <w:rtl/>
        </w:rPr>
        <w:t xml:space="preserve"> </w:t>
      </w:r>
      <w:r w:rsidRPr="007B69FB">
        <w:rPr>
          <w:rFonts w:cs="Arial" w:hint="cs"/>
          <w:rtl/>
        </w:rPr>
        <w:t>דאל</w:t>
      </w:r>
      <w:r>
        <w:rPr>
          <w:rFonts w:cs="Arial" w:hint="cs"/>
          <w:rtl/>
        </w:rPr>
        <w:t>"</w:t>
      </w:r>
      <w:r w:rsidRPr="007B69FB">
        <w:rPr>
          <w:rFonts w:cs="Arial" w:hint="cs"/>
          <w:rtl/>
        </w:rPr>
        <w:t>כ</w:t>
      </w:r>
      <w:r w:rsidRPr="007B69FB">
        <w:rPr>
          <w:rFonts w:cs="Arial"/>
          <w:rtl/>
        </w:rPr>
        <w:t xml:space="preserve"> </w:t>
      </w:r>
      <w:r w:rsidRPr="007B69FB">
        <w:rPr>
          <w:rFonts w:cs="Arial" w:hint="cs"/>
          <w:rtl/>
        </w:rPr>
        <w:t>לא</w:t>
      </w:r>
      <w:r w:rsidRPr="007B69FB">
        <w:rPr>
          <w:rFonts w:cs="Arial"/>
          <w:rtl/>
        </w:rPr>
        <w:t xml:space="preserve"> </w:t>
      </w:r>
      <w:r w:rsidRPr="007B69FB">
        <w:rPr>
          <w:rFonts w:cs="Arial" w:hint="cs"/>
          <w:rtl/>
        </w:rPr>
        <w:t>היה</w:t>
      </w:r>
      <w:r w:rsidRPr="007B69FB">
        <w:rPr>
          <w:rFonts w:cs="Arial"/>
          <w:rtl/>
        </w:rPr>
        <w:t xml:space="preserve"> </w:t>
      </w:r>
      <w:r w:rsidRPr="007B69FB">
        <w:rPr>
          <w:rFonts w:cs="Arial" w:hint="cs"/>
          <w:rtl/>
        </w:rPr>
        <w:t>לו</w:t>
      </w:r>
      <w:r w:rsidRPr="007B69FB">
        <w:rPr>
          <w:rFonts w:cs="Arial"/>
          <w:rtl/>
        </w:rPr>
        <w:t xml:space="preserve"> </w:t>
      </w:r>
      <w:r w:rsidRPr="007B69FB">
        <w:rPr>
          <w:rFonts w:cs="Arial" w:hint="cs"/>
          <w:rtl/>
        </w:rPr>
        <w:t>להשמיטו</w:t>
      </w:r>
      <w:r>
        <w:rPr>
          <w:rFonts w:hint="cs"/>
          <w:rtl/>
        </w:rPr>
        <w:t>...</w:t>
      </w:r>
      <w:r w:rsidRPr="00171DD4">
        <w:rPr>
          <w:rFonts w:cs="Arial" w:hint="cs"/>
          <w:rtl/>
        </w:rPr>
        <w:t xml:space="preserve"> </w:t>
      </w:r>
      <w:r>
        <w:rPr>
          <w:rFonts w:cs="Arial" w:hint="cs"/>
          <w:rtl/>
        </w:rPr>
        <w:t>ורבינו</w:t>
      </w:r>
      <w:r>
        <w:rPr>
          <w:rFonts w:cs="Arial" w:hint="cs"/>
          <w:sz w:val="14"/>
          <w:szCs w:val="14"/>
          <w:rtl/>
        </w:rPr>
        <w:t xml:space="preserve"> </w:t>
      </w:r>
      <w:r w:rsidRPr="00171DD4">
        <w:rPr>
          <w:rFonts w:cs="Arial" w:hint="cs"/>
          <w:sz w:val="16"/>
          <w:szCs w:val="16"/>
          <w:rtl/>
        </w:rPr>
        <w:t>{הטור}</w:t>
      </w:r>
      <w:r>
        <w:rPr>
          <w:rFonts w:cs="Arial"/>
          <w:rtl/>
        </w:rPr>
        <w:t xml:space="preserve"> </w:t>
      </w:r>
      <w:r>
        <w:rPr>
          <w:rFonts w:cs="Arial" w:hint="cs"/>
          <w:rtl/>
        </w:rPr>
        <w:t>שהשמיט</w:t>
      </w:r>
      <w:r>
        <w:rPr>
          <w:rFonts w:cs="Arial"/>
          <w:rtl/>
        </w:rPr>
        <w:t xml:space="preserve"> </w:t>
      </w:r>
      <w:r>
        <w:rPr>
          <w:rFonts w:cs="Arial" w:hint="cs"/>
          <w:rtl/>
        </w:rPr>
        <w:t>דין</w:t>
      </w:r>
      <w:r>
        <w:rPr>
          <w:rFonts w:cs="Arial"/>
          <w:rtl/>
        </w:rPr>
        <w:t xml:space="preserve"> </w:t>
      </w:r>
      <w:r>
        <w:rPr>
          <w:rFonts w:cs="Arial" w:hint="cs"/>
          <w:rtl/>
        </w:rPr>
        <w:t>התוספת</w:t>
      </w:r>
      <w:r>
        <w:rPr>
          <w:rFonts w:cs="Arial"/>
          <w:rtl/>
        </w:rPr>
        <w:t xml:space="preserve"> </w:t>
      </w:r>
      <w:r>
        <w:rPr>
          <w:rFonts w:cs="Arial" w:hint="cs"/>
          <w:rtl/>
        </w:rPr>
        <w:t>נראה</w:t>
      </w:r>
      <w:r>
        <w:rPr>
          <w:rFonts w:cs="Arial"/>
          <w:rtl/>
        </w:rPr>
        <w:t xml:space="preserve"> </w:t>
      </w:r>
      <w:r>
        <w:rPr>
          <w:rFonts w:cs="Arial" w:hint="cs"/>
          <w:rtl/>
        </w:rPr>
        <w:t>דסבירא</w:t>
      </w:r>
      <w:r>
        <w:rPr>
          <w:rFonts w:cs="Arial"/>
          <w:rtl/>
        </w:rPr>
        <w:t xml:space="preserve"> </w:t>
      </w:r>
      <w:r>
        <w:rPr>
          <w:rFonts w:cs="Arial" w:hint="cs"/>
          <w:rtl/>
        </w:rPr>
        <w:t>ליה</w:t>
      </w:r>
      <w:r>
        <w:rPr>
          <w:rFonts w:cs="Arial"/>
          <w:rtl/>
        </w:rPr>
        <w:t xml:space="preserve"> </w:t>
      </w:r>
      <w:r>
        <w:rPr>
          <w:rFonts w:cs="Arial" w:hint="cs"/>
          <w:rtl/>
        </w:rPr>
        <w:t>כהרמב</w:t>
      </w:r>
      <w:r>
        <w:rPr>
          <w:rFonts w:cs="Arial"/>
          <w:rtl/>
        </w:rPr>
        <w:t>"</w:t>
      </w:r>
      <w:r>
        <w:rPr>
          <w:rFonts w:cs="Arial" w:hint="cs"/>
          <w:rtl/>
        </w:rPr>
        <w:t>ם</w:t>
      </w:r>
      <w:r>
        <w:rPr>
          <w:rFonts w:cs="Arial"/>
          <w:rtl/>
        </w:rPr>
        <w:t xml:space="preserve"> </w:t>
      </w:r>
      <w:r>
        <w:rPr>
          <w:rFonts w:cs="Arial" w:hint="cs"/>
          <w:rtl/>
        </w:rPr>
        <w:t>דלית</w:t>
      </w:r>
      <w:r>
        <w:rPr>
          <w:rFonts w:cs="Arial"/>
          <w:rtl/>
        </w:rPr>
        <w:t xml:space="preserve"> </w:t>
      </w:r>
      <w:r>
        <w:rPr>
          <w:rFonts w:cs="Arial" w:hint="cs"/>
          <w:rtl/>
        </w:rPr>
        <w:t>ליה</w:t>
      </w:r>
      <w:r>
        <w:rPr>
          <w:rFonts w:cs="Arial"/>
          <w:rtl/>
        </w:rPr>
        <w:t xml:space="preserve"> </w:t>
      </w:r>
      <w:r>
        <w:rPr>
          <w:rFonts w:cs="Arial" w:hint="cs"/>
          <w:rtl/>
        </w:rPr>
        <w:t>תוספת</w:t>
      </w:r>
      <w:r>
        <w:rPr>
          <w:rFonts w:cs="Arial"/>
          <w:rtl/>
        </w:rPr>
        <w:t xml:space="preserve"> </w:t>
      </w:r>
      <w:r>
        <w:rPr>
          <w:rFonts w:cs="Arial" w:hint="cs"/>
          <w:rtl/>
        </w:rPr>
        <w:t>לשבת</w:t>
      </w:r>
      <w:r>
        <w:rPr>
          <w:rFonts w:cs="Arial"/>
          <w:rtl/>
        </w:rPr>
        <w:t xml:space="preserve"> </w:t>
      </w:r>
      <w:r>
        <w:rPr>
          <w:rFonts w:cs="Arial" w:hint="cs"/>
          <w:rtl/>
        </w:rPr>
        <w:t>ותימא</w:t>
      </w:r>
      <w:r>
        <w:rPr>
          <w:rFonts w:cs="Arial"/>
          <w:rtl/>
        </w:rPr>
        <w:t xml:space="preserve"> </w:t>
      </w:r>
      <w:r>
        <w:rPr>
          <w:rFonts w:cs="Arial" w:hint="cs"/>
          <w:rtl/>
        </w:rPr>
        <w:t>אמאי</w:t>
      </w:r>
      <w:r>
        <w:rPr>
          <w:rFonts w:cs="Arial"/>
          <w:rtl/>
        </w:rPr>
        <w:t xml:space="preserve"> </w:t>
      </w:r>
      <w:r>
        <w:rPr>
          <w:rFonts w:cs="Arial" w:hint="cs"/>
          <w:rtl/>
        </w:rPr>
        <w:t>שבק</w:t>
      </w:r>
      <w:r>
        <w:rPr>
          <w:rFonts w:cs="Arial"/>
          <w:rtl/>
        </w:rPr>
        <w:t xml:space="preserve"> </w:t>
      </w:r>
      <w:r>
        <w:rPr>
          <w:rFonts w:cs="Arial" w:hint="cs"/>
          <w:rtl/>
        </w:rPr>
        <w:t>סברת</w:t>
      </w:r>
      <w:r>
        <w:rPr>
          <w:rFonts w:cs="Arial"/>
          <w:rtl/>
        </w:rPr>
        <w:t xml:space="preserve"> </w:t>
      </w:r>
      <w:r>
        <w:rPr>
          <w:rFonts w:cs="Arial" w:hint="cs"/>
          <w:rtl/>
        </w:rPr>
        <w:t>הרא</w:t>
      </w:r>
      <w:r>
        <w:rPr>
          <w:rFonts w:cs="Arial"/>
          <w:rtl/>
        </w:rPr>
        <w:t>"</w:t>
      </w:r>
      <w:r>
        <w:rPr>
          <w:rFonts w:cs="Arial" w:hint="cs"/>
          <w:rtl/>
        </w:rPr>
        <w:t>ש</w:t>
      </w:r>
      <w:r>
        <w:rPr>
          <w:rFonts w:cs="Arial"/>
          <w:rtl/>
        </w:rPr>
        <w:t xml:space="preserve"> </w:t>
      </w:r>
      <w:r>
        <w:rPr>
          <w:rFonts w:cs="Arial" w:hint="cs"/>
          <w:rtl/>
        </w:rPr>
        <w:t>דאית</w:t>
      </w:r>
      <w:r>
        <w:rPr>
          <w:rFonts w:cs="Arial"/>
          <w:rtl/>
        </w:rPr>
        <w:t xml:space="preserve"> </w:t>
      </w:r>
      <w:r>
        <w:rPr>
          <w:rFonts w:cs="Arial" w:hint="cs"/>
          <w:rtl/>
        </w:rPr>
        <w:t>ליה</w:t>
      </w:r>
      <w:r>
        <w:rPr>
          <w:rFonts w:cs="Arial"/>
          <w:rtl/>
        </w:rPr>
        <w:t xml:space="preserve"> </w:t>
      </w:r>
      <w:r>
        <w:rPr>
          <w:rFonts w:cs="Arial" w:hint="cs"/>
          <w:rtl/>
        </w:rPr>
        <w:t>תוספת</w:t>
      </w:r>
      <w:r>
        <w:rPr>
          <w:rFonts w:cs="Arial"/>
          <w:rtl/>
        </w:rPr>
        <w:t xml:space="preserve"> </w:t>
      </w:r>
      <w:r>
        <w:rPr>
          <w:rFonts w:cs="Arial" w:hint="cs"/>
          <w:rtl/>
        </w:rPr>
        <w:t>לשבת.</w:t>
      </w:r>
      <w:r>
        <w:rPr>
          <w:rFonts w:cs="Arial"/>
          <w:rtl/>
        </w:rPr>
        <w:t xml:space="preserve"> </w:t>
      </w:r>
      <w:r>
        <w:rPr>
          <w:rFonts w:cs="Arial" w:hint="cs"/>
          <w:rtl/>
        </w:rPr>
        <w:t>ועוד</w:t>
      </w:r>
      <w:r>
        <w:rPr>
          <w:rFonts w:cs="Arial"/>
          <w:rtl/>
        </w:rPr>
        <w:t xml:space="preserve"> </w:t>
      </w:r>
      <w:r>
        <w:rPr>
          <w:rFonts w:cs="Arial" w:hint="cs"/>
          <w:rtl/>
        </w:rPr>
        <w:t>שהרי</w:t>
      </w:r>
      <w:r>
        <w:rPr>
          <w:rFonts w:cs="Arial"/>
          <w:rtl/>
        </w:rPr>
        <w:t xml:space="preserve"> </w:t>
      </w:r>
      <w:r>
        <w:rPr>
          <w:rFonts w:cs="Arial" w:hint="cs"/>
          <w:rtl/>
        </w:rPr>
        <w:t>כתב</w:t>
      </w:r>
      <w:r>
        <w:rPr>
          <w:rFonts w:cs="Arial"/>
          <w:rtl/>
        </w:rPr>
        <w:t xml:space="preserve"> </w:t>
      </w:r>
      <w:r>
        <w:rPr>
          <w:rFonts w:cs="Arial" w:hint="cs"/>
          <w:rtl/>
        </w:rPr>
        <w:t>בסימן</w:t>
      </w:r>
      <w:r>
        <w:rPr>
          <w:rFonts w:cs="Arial"/>
          <w:rtl/>
        </w:rPr>
        <w:t xml:space="preserve"> </w:t>
      </w:r>
      <w:r>
        <w:rPr>
          <w:rFonts w:cs="Arial" w:hint="cs"/>
          <w:rtl/>
        </w:rPr>
        <w:t>תר</w:t>
      </w:r>
      <w:r>
        <w:rPr>
          <w:rFonts w:cs="Arial"/>
          <w:rtl/>
        </w:rPr>
        <w:t>"</w:t>
      </w:r>
      <w:r>
        <w:rPr>
          <w:rFonts w:cs="Arial" w:hint="cs"/>
          <w:rtl/>
        </w:rPr>
        <w:t>ח</w:t>
      </w:r>
      <w:r>
        <w:rPr>
          <w:rFonts w:cs="Arial"/>
          <w:rtl/>
        </w:rPr>
        <w:t xml:space="preserve"> </w:t>
      </w:r>
      <w:r>
        <w:rPr>
          <w:rFonts w:cs="Arial" w:hint="cs"/>
          <w:rtl/>
        </w:rPr>
        <w:t>גבי</w:t>
      </w:r>
      <w:r>
        <w:rPr>
          <w:rFonts w:cs="Arial"/>
          <w:rtl/>
        </w:rPr>
        <w:t xml:space="preserve"> </w:t>
      </w:r>
      <w:r>
        <w:rPr>
          <w:rFonts w:cs="Arial" w:hint="cs"/>
          <w:rtl/>
        </w:rPr>
        <w:t>יום</w:t>
      </w:r>
      <w:r>
        <w:rPr>
          <w:rFonts w:cs="Arial"/>
          <w:rtl/>
        </w:rPr>
        <w:t xml:space="preserve"> </w:t>
      </w:r>
      <w:r>
        <w:rPr>
          <w:rFonts w:cs="Arial" w:hint="cs"/>
          <w:rtl/>
        </w:rPr>
        <w:t>הכפורים</w:t>
      </w:r>
      <w:r>
        <w:rPr>
          <w:rFonts w:cs="Arial"/>
          <w:rtl/>
        </w:rPr>
        <w:t xml:space="preserve"> </w:t>
      </w:r>
      <w:r>
        <w:rPr>
          <w:rFonts w:cs="Arial" w:hint="cs"/>
          <w:rtl/>
        </w:rPr>
        <w:t>שצריך</w:t>
      </w:r>
      <w:r>
        <w:rPr>
          <w:rFonts w:cs="Arial"/>
          <w:rtl/>
        </w:rPr>
        <w:t xml:space="preserve"> </w:t>
      </w:r>
      <w:r>
        <w:rPr>
          <w:rFonts w:cs="Arial" w:hint="cs"/>
          <w:rtl/>
        </w:rPr>
        <w:t>להוסיף</w:t>
      </w:r>
      <w:r>
        <w:rPr>
          <w:rFonts w:cs="Arial"/>
          <w:rtl/>
        </w:rPr>
        <w:t xml:space="preserve"> </w:t>
      </w:r>
      <w:r>
        <w:rPr>
          <w:rFonts w:cs="Arial" w:hint="cs"/>
          <w:rtl/>
        </w:rPr>
        <w:t>מחול</w:t>
      </w:r>
      <w:r>
        <w:rPr>
          <w:rFonts w:cs="Arial"/>
          <w:rtl/>
        </w:rPr>
        <w:t xml:space="preserve"> </w:t>
      </w:r>
      <w:r>
        <w:rPr>
          <w:rFonts w:cs="Arial" w:hint="cs"/>
          <w:rtl/>
        </w:rPr>
        <w:t>על</w:t>
      </w:r>
      <w:r>
        <w:rPr>
          <w:rFonts w:cs="Arial"/>
          <w:rtl/>
        </w:rPr>
        <w:t xml:space="preserve"> </w:t>
      </w:r>
      <w:r>
        <w:rPr>
          <w:rFonts w:cs="Arial" w:hint="cs"/>
          <w:rtl/>
        </w:rPr>
        <w:t>הקודש</w:t>
      </w:r>
      <w:r>
        <w:rPr>
          <w:rFonts w:cs="Arial"/>
          <w:rtl/>
        </w:rPr>
        <w:t xml:space="preserve"> </w:t>
      </w:r>
      <w:r>
        <w:rPr>
          <w:rFonts w:cs="Arial" w:hint="cs"/>
          <w:rtl/>
        </w:rPr>
        <w:t>בין</w:t>
      </w:r>
      <w:r>
        <w:rPr>
          <w:rFonts w:cs="Arial"/>
          <w:rtl/>
        </w:rPr>
        <w:t xml:space="preserve"> </w:t>
      </w:r>
      <w:r>
        <w:rPr>
          <w:rFonts w:cs="Arial" w:hint="cs"/>
          <w:rtl/>
        </w:rPr>
        <w:t>באיסור</w:t>
      </w:r>
      <w:r>
        <w:rPr>
          <w:rFonts w:cs="Arial"/>
          <w:rtl/>
        </w:rPr>
        <w:t xml:space="preserve"> </w:t>
      </w:r>
      <w:r>
        <w:rPr>
          <w:rFonts w:cs="Arial" w:hint="cs"/>
          <w:rtl/>
        </w:rPr>
        <w:t>אכילה</w:t>
      </w:r>
      <w:r>
        <w:rPr>
          <w:rFonts w:cs="Arial"/>
          <w:rtl/>
        </w:rPr>
        <w:t xml:space="preserve"> </w:t>
      </w:r>
      <w:r>
        <w:rPr>
          <w:rFonts w:cs="Arial" w:hint="cs"/>
          <w:rtl/>
        </w:rPr>
        <w:t>בין</w:t>
      </w:r>
      <w:r>
        <w:rPr>
          <w:rFonts w:cs="Arial"/>
          <w:rtl/>
        </w:rPr>
        <w:t xml:space="preserve"> </w:t>
      </w:r>
      <w:r>
        <w:rPr>
          <w:rFonts w:cs="Arial" w:hint="cs"/>
          <w:rtl/>
        </w:rPr>
        <w:t>בעשיית</w:t>
      </w:r>
      <w:r>
        <w:rPr>
          <w:rFonts w:cs="Arial"/>
          <w:rtl/>
        </w:rPr>
        <w:t xml:space="preserve"> </w:t>
      </w:r>
      <w:r>
        <w:rPr>
          <w:rFonts w:cs="Arial" w:hint="cs"/>
          <w:rtl/>
        </w:rPr>
        <w:t>מלאכה</w:t>
      </w:r>
      <w:r>
        <w:rPr>
          <w:rFonts w:cs="Arial"/>
          <w:rtl/>
        </w:rPr>
        <w:t xml:space="preserve"> </w:t>
      </w:r>
      <w:r>
        <w:rPr>
          <w:rFonts w:cs="Arial" w:hint="cs"/>
          <w:rtl/>
        </w:rPr>
        <w:t>וזה</w:t>
      </w:r>
      <w:r>
        <w:rPr>
          <w:rFonts w:cs="Arial"/>
          <w:rtl/>
        </w:rPr>
        <w:t xml:space="preserve"> </w:t>
      </w:r>
      <w:r>
        <w:rPr>
          <w:rFonts w:cs="Arial" w:hint="cs"/>
          <w:rtl/>
        </w:rPr>
        <w:t>כדברי</w:t>
      </w:r>
      <w:r>
        <w:rPr>
          <w:rFonts w:cs="Arial"/>
          <w:rtl/>
        </w:rPr>
        <w:t xml:space="preserve"> </w:t>
      </w:r>
      <w:r>
        <w:rPr>
          <w:rFonts w:cs="Arial" w:hint="cs"/>
          <w:rtl/>
        </w:rPr>
        <w:t>הרא</w:t>
      </w:r>
      <w:r>
        <w:rPr>
          <w:rFonts w:cs="Arial"/>
          <w:rtl/>
        </w:rPr>
        <w:t>"</w:t>
      </w:r>
      <w:r>
        <w:rPr>
          <w:rFonts w:cs="Arial" w:hint="cs"/>
          <w:rtl/>
        </w:rPr>
        <w:t>ש.</w:t>
      </w:r>
      <w:r>
        <w:rPr>
          <w:rFonts w:cs="Arial"/>
          <w:rtl/>
        </w:rPr>
        <w:t xml:space="preserve"> </w:t>
      </w:r>
      <w:r>
        <w:rPr>
          <w:rFonts w:cs="Arial" w:hint="cs"/>
          <w:rtl/>
        </w:rPr>
        <w:t>דאילו</w:t>
      </w:r>
      <w:r>
        <w:rPr>
          <w:rFonts w:cs="Arial"/>
          <w:rtl/>
        </w:rPr>
        <w:t xml:space="preserve"> </w:t>
      </w:r>
      <w:r>
        <w:rPr>
          <w:rFonts w:cs="Arial" w:hint="cs"/>
          <w:rtl/>
        </w:rPr>
        <w:t>לדברי</w:t>
      </w:r>
      <w:r>
        <w:rPr>
          <w:rFonts w:cs="Arial"/>
          <w:rtl/>
        </w:rPr>
        <w:t xml:space="preserve"> </w:t>
      </w:r>
      <w:r>
        <w:rPr>
          <w:rFonts w:cs="Arial" w:hint="cs"/>
          <w:rtl/>
        </w:rPr>
        <w:t>הרמב</w:t>
      </w:r>
      <w:r>
        <w:rPr>
          <w:rFonts w:cs="Arial"/>
          <w:rtl/>
        </w:rPr>
        <w:t>"</w:t>
      </w:r>
      <w:r>
        <w:rPr>
          <w:rFonts w:cs="Arial" w:hint="cs"/>
          <w:rtl/>
        </w:rPr>
        <w:t>ם</w:t>
      </w:r>
      <w:r>
        <w:rPr>
          <w:rFonts w:cs="Arial"/>
          <w:rtl/>
        </w:rPr>
        <w:t xml:space="preserve"> </w:t>
      </w:r>
      <w:r>
        <w:rPr>
          <w:rFonts w:cs="Arial" w:hint="cs"/>
          <w:rtl/>
        </w:rPr>
        <w:t>אין</w:t>
      </w:r>
      <w:r>
        <w:rPr>
          <w:rFonts w:cs="Arial"/>
          <w:rtl/>
        </w:rPr>
        <w:t xml:space="preserve"> </w:t>
      </w:r>
      <w:r>
        <w:rPr>
          <w:rFonts w:cs="Arial" w:hint="cs"/>
          <w:rtl/>
        </w:rPr>
        <w:t>צריך</w:t>
      </w:r>
      <w:r>
        <w:rPr>
          <w:rFonts w:cs="Arial"/>
          <w:rtl/>
        </w:rPr>
        <w:t xml:space="preserve"> </w:t>
      </w:r>
      <w:r>
        <w:rPr>
          <w:rFonts w:cs="Arial" w:hint="cs"/>
          <w:rtl/>
        </w:rPr>
        <w:t>להוסיף</w:t>
      </w:r>
      <w:r>
        <w:rPr>
          <w:rFonts w:cs="Arial"/>
          <w:rtl/>
        </w:rPr>
        <w:t xml:space="preserve"> </w:t>
      </w:r>
      <w:r>
        <w:rPr>
          <w:rFonts w:cs="Arial" w:hint="cs"/>
          <w:rtl/>
        </w:rPr>
        <w:t>מחול</w:t>
      </w:r>
      <w:r>
        <w:rPr>
          <w:rFonts w:cs="Arial"/>
          <w:rtl/>
        </w:rPr>
        <w:t xml:space="preserve"> </w:t>
      </w:r>
      <w:r>
        <w:rPr>
          <w:rFonts w:cs="Arial" w:hint="cs"/>
          <w:rtl/>
        </w:rPr>
        <w:t>על</w:t>
      </w:r>
      <w:r>
        <w:rPr>
          <w:rFonts w:cs="Arial"/>
          <w:rtl/>
        </w:rPr>
        <w:t xml:space="preserve"> </w:t>
      </w:r>
      <w:r>
        <w:rPr>
          <w:rFonts w:cs="Arial" w:hint="cs"/>
          <w:rtl/>
        </w:rPr>
        <w:t>הקודש</w:t>
      </w:r>
      <w:r>
        <w:rPr>
          <w:rFonts w:cs="Arial"/>
          <w:rtl/>
        </w:rPr>
        <w:t xml:space="preserve"> </w:t>
      </w:r>
      <w:r>
        <w:rPr>
          <w:rFonts w:cs="Arial" w:hint="cs"/>
          <w:rtl/>
        </w:rPr>
        <w:t>אלא</w:t>
      </w:r>
      <w:r>
        <w:rPr>
          <w:rFonts w:cs="Arial"/>
          <w:rtl/>
        </w:rPr>
        <w:t xml:space="preserve"> </w:t>
      </w:r>
      <w:r>
        <w:rPr>
          <w:rFonts w:cs="Arial" w:hint="cs"/>
          <w:rtl/>
        </w:rPr>
        <w:t>באיסור</w:t>
      </w:r>
      <w:r>
        <w:rPr>
          <w:rFonts w:cs="Arial"/>
          <w:rtl/>
        </w:rPr>
        <w:t xml:space="preserve"> </w:t>
      </w:r>
      <w:r>
        <w:rPr>
          <w:rFonts w:cs="Arial" w:hint="cs"/>
          <w:rtl/>
        </w:rPr>
        <w:t>אכילה</w:t>
      </w:r>
      <w:r>
        <w:rPr>
          <w:rFonts w:cs="Arial"/>
          <w:rtl/>
        </w:rPr>
        <w:t xml:space="preserve"> </w:t>
      </w:r>
      <w:r>
        <w:rPr>
          <w:rFonts w:cs="Arial" w:hint="cs"/>
          <w:rtl/>
        </w:rPr>
        <w:t>בלבד</w:t>
      </w:r>
      <w:r>
        <w:rPr>
          <w:rFonts w:cs="Arial"/>
          <w:rtl/>
        </w:rPr>
        <w:t xml:space="preserve"> </w:t>
      </w:r>
      <w:r>
        <w:rPr>
          <w:rFonts w:cs="Arial" w:hint="cs"/>
          <w:rtl/>
        </w:rPr>
        <w:t>אבל</w:t>
      </w:r>
      <w:r>
        <w:rPr>
          <w:rFonts w:cs="Arial"/>
          <w:rtl/>
        </w:rPr>
        <w:t xml:space="preserve"> </w:t>
      </w:r>
      <w:r>
        <w:rPr>
          <w:rFonts w:cs="Arial" w:hint="cs"/>
          <w:rtl/>
        </w:rPr>
        <w:t>לא</w:t>
      </w:r>
      <w:r>
        <w:rPr>
          <w:rFonts w:cs="Arial"/>
          <w:rtl/>
        </w:rPr>
        <w:t xml:space="preserve"> </w:t>
      </w:r>
      <w:r>
        <w:rPr>
          <w:rFonts w:cs="Arial" w:hint="cs"/>
          <w:rtl/>
        </w:rPr>
        <w:t>באיסור</w:t>
      </w:r>
      <w:r>
        <w:rPr>
          <w:rFonts w:cs="Arial"/>
          <w:rtl/>
        </w:rPr>
        <w:t xml:space="preserve"> </w:t>
      </w:r>
      <w:r>
        <w:rPr>
          <w:rFonts w:cs="Arial" w:hint="cs"/>
          <w:rtl/>
        </w:rPr>
        <w:t>מלאכה</w:t>
      </w:r>
      <w:r>
        <w:rPr>
          <w:rFonts w:hint="cs"/>
          <w:rtl/>
        </w:rPr>
        <w:t>, ב"י.</w:t>
      </w:r>
    </w:p>
  </w:footnote>
  <w:footnote w:id="605">
    <w:p w14:paraId="56855C45" w14:textId="77777777" w:rsidR="004B2E7C" w:rsidRDefault="004B2E7C" w:rsidP="00285819">
      <w:pPr>
        <w:pStyle w:val="a7"/>
      </w:pPr>
      <w:r>
        <w:rPr>
          <w:rStyle w:val="a9"/>
        </w:rPr>
        <w:footnoteRef/>
      </w:r>
      <w:r>
        <w:rPr>
          <w:rtl/>
        </w:rPr>
        <w:t xml:space="preserve"> </w:t>
      </w:r>
      <w:r w:rsidRPr="00663B54">
        <w:rPr>
          <w:rFonts w:cs="Arial" w:hint="cs"/>
          <w:rtl/>
        </w:rPr>
        <w:t>היינו</w:t>
      </w:r>
      <w:r w:rsidRPr="00663B54">
        <w:rPr>
          <w:rFonts w:cs="Arial"/>
          <w:rtl/>
        </w:rPr>
        <w:t xml:space="preserve"> </w:t>
      </w:r>
      <w:r w:rsidRPr="00663B54">
        <w:rPr>
          <w:rFonts w:cs="Arial" w:hint="cs"/>
          <w:rtl/>
        </w:rPr>
        <w:t>ע</w:t>
      </w:r>
      <w:r w:rsidRPr="00663B54">
        <w:rPr>
          <w:rFonts w:cs="Arial"/>
          <w:rtl/>
        </w:rPr>
        <w:t>"</w:t>
      </w:r>
      <w:r w:rsidRPr="00663B54">
        <w:rPr>
          <w:rFonts w:cs="Arial" w:hint="cs"/>
          <w:rtl/>
        </w:rPr>
        <w:t>י</w:t>
      </w:r>
      <w:r w:rsidRPr="00663B54">
        <w:rPr>
          <w:rFonts w:cs="Arial"/>
          <w:rtl/>
        </w:rPr>
        <w:t xml:space="preserve"> </w:t>
      </w:r>
      <w:r w:rsidRPr="00663B54">
        <w:rPr>
          <w:rFonts w:cs="Arial" w:hint="cs"/>
          <w:rtl/>
        </w:rPr>
        <w:t>דיבור</w:t>
      </w:r>
      <w:r w:rsidRPr="00663B54">
        <w:rPr>
          <w:rFonts w:cs="Arial"/>
          <w:rtl/>
        </w:rPr>
        <w:t xml:space="preserve"> </w:t>
      </w:r>
      <w:r w:rsidRPr="00663B54">
        <w:rPr>
          <w:rFonts w:cs="Arial" w:hint="cs"/>
          <w:rtl/>
        </w:rPr>
        <w:t>שהוא</w:t>
      </w:r>
      <w:r w:rsidRPr="00663B54">
        <w:rPr>
          <w:rFonts w:cs="Arial"/>
          <w:rtl/>
        </w:rPr>
        <w:t xml:space="preserve"> </w:t>
      </w:r>
      <w:r w:rsidRPr="00663B54">
        <w:rPr>
          <w:rFonts w:cs="Arial" w:hint="cs"/>
          <w:rtl/>
        </w:rPr>
        <w:t>מקבלו</w:t>
      </w:r>
      <w:r w:rsidRPr="00663B54">
        <w:rPr>
          <w:rFonts w:cs="Arial"/>
          <w:rtl/>
        </w:rPr>
        <w:t xml:space="preserve"> </w:t>
      </w:r>
      <w:r w:rsidRPr="00663B54">
        <w:rPr>
          <w:rFonts w:cs="Arial" w:hint="cs"/>
          <w:rtl/>
        </w:rPr>
        <w:t>עליו</w:t>
      </w:r>
      <w:r w:rsidRPr="00663B54">
        <w:rPr>
          <w:rFonts w:cs="Arial"/>
          <w:rtl/>
        </w:rPr>
        <w:t xml:space="preserve"> </w:t>
      </w:r>
      <w:r w:rsidRPr="00663B54">
        <w:rPr>
          <w:rFonts w:cs="Arial" w:hint="cs"/>
          <w:rtl/>
        </w:rPr>
        <w:t>לשם</w:t>
      </w:r>
      <w:r w:rsidRPr="00663B54">
        <w:rPr>
          <w:rFonts w:cs="Arial"/>
          <w:rtl/>
        </w:rPr>
        <w:t xml:space="preserve"> </w:t>
      </w:r>
      <w:r w:rsidRPr="00663B54">
        <w:rPr>
          <w:rFonts w:cs="Arial" w:hint="cs"/>
          <w:rtl/>
        </w:rPr>
        <w:t>תוספת</w:t>
      </w:r>
      <w:r w:rsidRPr="00663B54">
        <w:rPr>
          <w:rFonts w:cs="Arial"/>
          <w:rtl/>
        </w:rPr>
        <w:t xml:space="preserve"> </w:t>
      </w:r>
      <w:r w:rsidRPr="00663B54">
        <w:rPr>
          <w:rFonts w:cs="Arial" w:hint="cs"/>
          <w:rtl/>
        </w:rPr>
        <w:t>שבת</w:t>
      </w:r>
      <w:r w:rsidRPr="00663B54">
        <w:rPr>
          <w:rFonts w:cs="Arial"/>
          <w:rtl/>
        </w:rPr>
        <w:t xml:space="preserve"> </w:t>
      </w:r>
      <w:r w:rsidRPr="00663B54">
        <w:rPr>
          <w:rFonts w:cs="Arial" w:hint="cs"/>
          <w:rtl/>
        </w:rPr>
        <w:t>או</w:t>
      </w:r>
      <w:r w:rsidRPr="00663B54">
        <w:rPr>
          <w:rFonts w:cs="Arial"/>
          <w:rtl/>
        </w:rPr>
        <w:t xml:space="preserve"> </w:t>
      </w:r>
      <w:r w:rsidRPr="00663B54">
        <w:rPr>
          <w:rFonts w:cs="Arial" w:hint="cs"/>
          <w:rtl/>
        </w:rPr>
        <w:t>ע</w:t>
      </w:r>
      <w:r w:rsidRPr="00663B54">
        <w:rPr>
          <w:rFonts w:cs="Arial"/>
          <w:rtl/>
        </w:rPr>
        <w:t>"</w:t>
      </w:r>
      <w:r w:rsidRPr="00663B54">
        <w:rPr>
          <w:rFonts w:cs="Arial" w:hint="cs"/>
          <w:rtl/>
        </w:rPr>
        <w:t>י</w:t>
      </w:r>
      <w:r w:rsidRPr="00663B54">
        <w:rPr>
          <w:rFonts w:cs="Arial"/>
          <w:rtl/>
        </w:rPr>
        <w:t xml:space="preserve"> </w:t>
      </w:r>
      <w:r w:rsidRPr="00663B54">
        <w:rPr>
          <w:rFonts w:cs="Arial" w:hint="cs"/>
          <w:rtl/>
        </w:rPr>
        <w:t>אמירת</w:t>
      </w:r>
      <w:r w:rsidRPr="00663B54">
        <w:rPr>
          <w:rFonts w:cs="Arial"/>
          <w:rtl/>
        </w:rPr>
        <w:t xml:space="preserve"> </w:t>
      </w:r>
      <w:r w:rsidRPr="00663B54">
        <w:rPr>
          <w:rFonts w:cs="Arial" w:hint="cs"/>
          <w:rtl/>
        </w:rPr>
        <w:t>ברכו</w:t>
      </w:r>
      <w:r w:rsidRPr="00663B54">
        <w:rPr>
          <w:rFonts w:cs="Arial"/>
          <w:rtl/>
        </w:rPr>
        <w:t xml:space="preserve"> </w:t>
      </w:r>
      <w:r w:rsidRPr="00663B54">
        <w:rPr>
          <w:rFonts w:cs="Arial" w:hint="cs"/>
          <w:rtl/>
        </w:rPr>
        <w:t>וכדלקמן</w:t>
      </w:r>
      <w:r w:rsidRPr="00663B54">
        <w:rPr>
          <w:rFonts w:cs="Arial"/>
          <w:rtl/>
        </w:rPr>
        <w:t xml:space="preserve"> </w:t>
      </w:r>
      <w:r w:rsidRPr="00663B54">
        <w:rPr>
          <w:rFonts w:cs="Arial" w:hint="cs"/>
          <w:rtl/>
        </w:rPr>
        <w:t>בס</w:t>
      </w:r>
      <w:r w:rsidRPr="00663B54">
        <w:rPr>
          <w:rFonts w:cs="Arial"/>
          <w:rtl/>
        </w:rPr>
        <w:t>"</w:t>
      </w:r>
      <w:r w:rsidRPr="00663B54">
        <w:rPr>
          <w:rFonts w:cs="Arial" w:hint="cs"/>
          <w:rtl/>
        </w:rPr>
        <w:t>ד</w:t>
      </w:r>
      <w:r w:rsidRPr="00663B54">
        <w:rPr>
          <w:rFonts w:cs="Arial"/>
          <w:rtl/>
        </w:rPr>
        <w:t xml:space="preserve">. </w:t>
      </w:r>
      <w:r w:rsidRPr="00663B54">
        <w:rPr>
          <w:rFonts w:cs="Arial" w:hint="cs"/>
          <w:rtl/>
        </w:rPr>
        <w:t>ואם</w:t>
      </w:r>
      <w:r w:rsidRPr="00663B54">
        <w:rPr>
          <w:rFonts w:cs="Arial"/>
          <w:rtl/>
        </w:rPr>
        <w:t xml:space="preserve"> </w:t>
      </w:r>
      <w:r w:rsidRPr="00663B54">
        <w:rPr>
          <w:rFonts w:cs="Arial" w:hint="cs"/>
          <w:rtl/>
        </w:rPr>
        <w:t>מהני</w:t>
      </w:r>
      <w:r w:rsidRPr="00663B54">
        <w:rPr>
          <w:rFonts w:cs="Arial"/>
          <w:rtl/>
        </w:rPr>
        <w:t xml:space="preserve"> </w:t>
      </w:r>
      <w:r w:rsidRPr="00663B54">
        <w:rPr>
          <w:rFonts w:cs="Arial" w:hint="cs"/>
          <w:rtl/>
        </w:rPr>
        <w:t>לזה</w:t>
      </w:r>
      <w:r w:rsidRPr="00663B54">
        <w:rPr>
          <w:rFonts w:cs="Arial"/>
          <w:rtl/>
        </w:rPr>
        <w:t xml:space="preserve"> </w:t>
      </w:r>
      <w:r w:rsidRPr="00663B54">
        <w:rPr>
          <w:rFonts w:cs="Arial" w:hint="cs"/>
          <w:rtl/>
        </w:rPr>
        <w:t>קבלה</w:t>
      </w:r>
      <w:r w:rsidRPr="00663B54">
        <w:rPr>
          <w:rFonts w:cs="Arial"/>
          <w:rtl/>
        </w:rPr>
        <w:t xml:space="preserve"> </w:t>
      </w:r>
      <w:r w:rsidRPr="00663B54">
        <w:rPr>
          <w:rFonts w:cs="Arial" w:hint="cs"/>
          <w:rtl/>
        </w:rPr>
        <w:t>בלב</w:t>
      </w:r>
      <w:r w:rsidRPr="00663B54">
        <w:rPr>
          <w:rFonts w:cs="Arial"/>
          <w:rtl/>
        </w:rPr>
        <w:t xml:space="preserve"> </w:t>
      </w:r>
      <w:r w:rsidRPr="00663B54">
        <w:rPr>
          <w:rFonts w:cs="Arial" w:hint="cs"/>
          <w:rtl/>
        </w:rPr>
        <w:t>ע</w:t>
      </w:r>
      <w:r w:rsidRPr="00663B54">
        <w:rPr>
          <w:rFonts w:cs="Arial"/>
          <w:rtl/>
        </w:rPr>
        <w:t>"</w:t>
      </w:r>
      <w:r w:rsidRPr="00663B54">
        <w:rPr>
          <w:rFonts w:cs="Arial" w:hint="cs"/>
          <w:rtl/>
        </w:rPr>
        <w:t>ל</w:t>
      </w:r>
      <w:r w:rsidRPr="00663B54">
        <w:rPr>
          <w:rFonts w:cs="Arial"/>
          <w:rtl/>
        </w:rPr>
        <w:t xml:space="preserve"> </w:t>
      </w:r>
      <w:r w:rsidRPr="00663B54">
        <w:rPr>
          <w:rFonts w:cs="Arial" w:hint="cs"/>
          <w:rtl/>
        </w:rPr>
        <w:t>בסי</w:t>
      </w:r>
      <w:r w:rsidRPr="00663B54">
        <w:rPr>
          <w:rFonts w:cs="Arial"/>
          <w:rtl/>
        </w:rPr>
        <w:t xml:space="preserve">' </w:t>
      </w:r>
      <w:r w:rsidRPr="00663B54">
        <w:rPr>
          <w:rFonts w:cs="Arial" w:hint="cs"/>
          <w:rtl/>
        </w:rPr>
        <w:t>תר</w:t>
      </w:r>
      <w:r w:rsidRPr="00663B54">
        <w:rPr>
          <w:rFonts w:cs="Arial"/>
          <w:rtl/>
        </w:rPr>
        <w:t>"</w:t>
      </w:r>
      <w:r w:rsidRPr="00663B54">
        <w:rPr>
          <w:rFonts w:cs="Arial" w:hint="cs"/>
          <w:rtl/>
        </w:rPr>
        <w:t>ח</w:t>
      </w:r>
      <w:r w:rsidRPr="00663B54">
        <w:rPr>
          <w:rFonts w:cs="Arial"/>
          <w:rtl/>
        </w:rPr>
        <w:t xml:space="preserve"> </w:t>
      </w:r>
      <w:r w:rsidRPr="00663B54">
        <w:rPr>
          <w:rFonts w:cs="Arial" w:hint="cs"/>
          <w:rtl/>
        </w:rPr>
        <w:t>ס</w:t>
      </w:r>
      <w:r w:rsidRPr="00663B54">
        <w:rPr>
          <w:rFonts w:cs="Arial"/>
          <w:rtl/>
        </w:rPr>
        <w:t>"</w:t>
      </w:r>
      <w:r w:rsidRPr="00663B54">
        <w:rPr>
          <w:rFonts w:cs="Arial" w:hint="cs"/>
          <w:rtl/>
        </w:rPr>
        <w:t>ג</w:t>
      </w:r>
      <w:r w:rsidRPr="00663B54">
        <w:rPr>
          <w:rFonts w:cs="Arial"/>
          <w:rtl/>
        </w:rPr>
        <w:t xml:space="preserve"> </w:t>
      </w:r>
      <w:r w:rsidRPr="00663B54">
        <w:rPr>
          <w:rFonts w:cs="Arial" w:hint="cs"/>
          <w:rtl/>
        </w:rPr>
        <w:t>בהג</w:t>
      </w:r>
      <w:r w:rsidRPr="00663B54">
        <w:rPr>
          <w:rFonts w:cs="Arial"/>
          <w:rtl/>
        </w:rPr>
        <w:t>"</w:t>
      </w:r>
      <w:r w:rsidRPr="00663B54">
        <w:rPr>
          <w:rFonts w:cs="Arial" w:hint="cs"/>
          <w:rtl/>
        </w:rPr>
        <w:t>ה</w:t>
      </w:r>
      <w:r w:rsidRPr="00663B54">
        <w:rPr>
          <w:rFonts w:cs="Arial"/>
          <w:rtl/>
        </w:rPr>
        <w:t xml:space="preserve"> </w:t>
      </w:r>
      <w:r w:rsidRPr="00663B54">
        <w:rPr>
          <w:rFonts w:cs="Arial" w:hint="cs"/>
          <w:rtl/>
        </w:rPr>
        <w:t>ובמ</w:t>
      </w:r>
      <w:r w:rsidRPr="00663B54">
        <w:rPr>
          <w:rFonts w:cs="Arial"/>
          <w:rtl/>
        </w:rPr>
        <w:t>"</w:t>
      </w:r>
      <w:r w:rsidRPr="00663B54">
        <w:rPr>
          <w:rFonts w:cs="Arial" w:hint="cs"/>
          <w:rtl/>
        </w:rPr>
        <w:t>ב</w:t>
      </w:r>
      <w:r w:rsidRPr="00663B54">
        <w:rPr>
          <w:rFonts w:cs="Arial"/>
          <w:rtl/>
        </w:rPr>
        <w:t xml:space="preserve"> </w:t>
      </w:r>
      <w:r w:rsidRPr="00663B54">
        <w:rPr>
          <w:rFonts w:cs="Arial" w:hint="cs"/>
          <w:rtl/>
        </w:rPr>
        <w:t>שם</w:t>
      </w:r>
      <w:r w:rsidRPr="00663B54">
        <w:rPr>
          <w:rFonts w:cs="Arial"/>
          <w:rtl/>
        </w:rPr>
        <w:t xml:space="preserve">. </w:t>
      </w:r>
      <w:r w:rsidRPr="00663B54">
        <w:rPr>
          <w:rFonts w:cs="Arial" w:hint="cs"/>
          <w:rtl/>
        </w:rPr>
        <w:t>וע</w:t>
      </w:r>
      <w:r w:rsidRPr="00663B54">
        <w:rPr>
          <w:rFonts w:cs="Arial"/>
          <w:rtl/>
        </w:rPr>
        <w:t>"</w:t>
      </w:r>
      <w:r w:rsidRPr="00663B54">
        <w:rPr>
          <w:rFonts w:cs="Arial" w:hint="cs"/>
          <w:rtl/>
        </w:rPr>
        <w:t>ל</w:t>
      </w:r>
      <w:r w:rsidRPr="00663B54">
        <w:rPr>
          <w:rFonts w:cs="Arial"/>
          <w:rtl/>
        </w:rPr>
        <w:t xml:space="preserve"> </w:t>
      </w:r>
      <w:r w:rsidRPr="00663B54">
        <w:rPr>
          <w:rFonts w:cs="Arial" w:hint="cs"/>
          <w:rtl/>
        </w:rPr>
        <w:t>ברס</w:t>
      </w:r>
      <w:r w:rsidRPr="00663B54">
        <w:rPr>
          <w:rFonts w:cs="Arial"/>
          <w:rtl/>
        </w:rPr>
        <w:t>"</w:t>
      </w:r>
      <w:r w:rsidRPr="00663B54">
        <w:rPr>
          <w:rFonts w:cs="Arial" w:hint="cs"/>
          <w:rtl/>
        </w:rPr>
        <w:t>ג</w:t>
      </w:r>
      <w:r w:rsidRPr="00663B54">
        <w:rPr>
          <w:rFonts w:cs="Arial"/>
          <w:rtl/>
        </w:rPr>
        <w:t xml:space="preserve"> </w:t>
      </w:r>
      <w:r w:rsidRPr="00663B54">
        <w:rPr>
          <w:rFonts w:cs="Arial" w:hint="cs"/>
          <w:rtl/>
        </w:rPr>
        <w:t>ס</w:t>
      </w:r>
      <w:r w:rsidRPr="00663B54">
        <w:rPr>
          <w:rFonts w:cs="Arial"/>
          <w:rtl/>
        </w:rPr>
        <w:t>"</w:t>
      </w:r>
      <w:r w:rsidRPr="00663B54">
        <w:rPr>
          <w:rFonts w:cs="Arial" w:hint="cs"/>
          <w:rtl/>
        </w:rPr>
        <w:t>י</w:t>
      </w:r>
      <w:r w:rsidRPr="00663B54">
        <w:rPr>
          <w:rFonts w:cs="Arial"/>
          <w:rtl/>
        </w:rPr>
        <w:t xml:space="preserve"> </w:t>
      </w:r>
      <w:r w:rsidRPr="00663B54">
        <w:rPr>
          <w:rFonts w:cs="Arial" w:hint="cs"/>
          <w:rtl/>
        </w:rPr>
        <w:t>בהג</w:t>
      </w:r>
      <w:r w:rsidRPr="00663B54">
        <w:rPr>
          <w:rFonts w:cs="Arial"/>
          <w:rtl/>
        </w:rPr>
        <w:t>"</w:t>
      </w:r>
      <w:r w:rsidRPr="00663B54">
        <w:rPr>
          <w:rFonts w:cs="Arial" w:hint="cs"/>
          <w:rtl/>
        </w:rPr>
        <w:t>ה</w:t>
      </w:r>
      <w:r w:rsidRPr="00663B54">
        <w:rPr>
          <w:rFonts w:cs="Arial"/>
          <w:rtl/>
        </w:rPr>
        <w:t xml:space="preserve"> </w:t>
      </w:r>
      <w:r w:rsidRPr="00663B54">
        <w:rPr>
          <w:rFonts w:cs="Arial" w:hint="cs"/>
          <w:rtl/>
        </w:rPr>
        <w:t>דמנהגנו</w:t>
      </w:r>
      <w:r w:rsidRPr="00663B54">
        <w:rPr>
          <w:rFonts w:cs="Arial"/>
          <w:rtl/>
        </w:rPr>
        <w:t xml:space="preserve"> </w:t>
      </w:r>
      <w:r w:rsidRPr="00663B54">
        <w:rPr>
          <w:rFonts w:cs="Arial" w:hint="cs"/>
          <w:rtl/>
        </w:rPr>
        <w:t>שהאשה</w:t>
      </w:r>
      <w:r w:rsidRPr="00663B54">
        <w:rPr>
          <w:rFonts w:cs="Arial"/>
          <w:rtl/>
        </w:rPr>
        <w:t xml:space="preserve"> </w:t>
      </w:r>
      <w:r w:rsidRPr="00663B54">
        <w:rPr>
          <w:rFonts w:cs="Arial" w:hint="cs"/>
          <w:rtl/>
        </w:rPr>
        <w:t>המדלקת</w:t>
      </w:r>
      <w:r w:rsidRPr="00663B54">
        <w:rPr>
          <w:rFonts w:cs="Arial"/>
          <w:rtl/>
        </w:rPr>
        <w:t xml:space="preserve"> </w:t>
      </w:r>
      <w:r w:rsidRPr="00663B54">
        <w:rPr>
          <w:rFonts w:cs="Arial" w:hint="cs"/>
          <w:rtl/>
        </w:rPr>
        <w:t>נרות</w:t>
      </w:r>
      <w:r w:rsidRPr="00663B54">
        <w:rPr>
          <w:rFonts w:cs="Arial"/>
          <w:rtl/>
        </w:rPr>
        <w:t xml:space="preserve"> </w:t>
      </w:r>
      <w:r w:rsidRPr="00663B54">
        <w:rPr>
          <w:rFonts w:cs="Arial" w:hint="cs"/>
          <w:rtl/>
        </w:rPr>
        <w:t>לשבת</w:t>
      </w:r>
      <w:r w:rsidRPr="00663B54">
        <w:rPr>
          <w:rFonts w:cs="Arial"/>
          <w:rtl/>
        </w:rPr>
        <w:t xml:space="preserve"> </w:t>
      </w:r>
      <w:r w:rsidRPr="00663B54">
        <w:rPr>
          <w:rFonts w:cs="Arial" w:hint="cs"/>
          <w:rtl/>
        </w:rPr>
        <w:t>היא</w:t>
      </w:r>
      <w:r w:rsidRPr="00663B54">
        <w:rPr>
          <w:rFonts w:cs="Arial"/>
          <w:rtl/>
        </w:rPr>
        <w:t xml:space="preserve"> </w:t>
      </w:r>
      <w:r w:rsidRPr="00663B54">
        <w:rPr>
          <w:rFonts w:cs="Arial" w:hint="cs"/>
          <w:rtl/>
        </w:rPr>
        <w:t>מקבלת</w:t>
      </w:r>
      <w:r w:rsidRPr="00663B54">
        <w:rPr>
          <w:rFonts w:cs="Arial"/>
          <w:rtl/>
        </w:rPr>
        <w:t xml:space="preserve"> </w:t>
      </w:r>
      <w:r w:rsidRPr="00663B54">
        <w:rPr>
          <w:rFonts w:cs="Arial" w:hint="cs"/>
          <w:rtl/>
        </w:rPr>
        <w:t>שבת</w:t>
      </w:r>
      <w:r w:rsidRPr="00663B54">
        <w:rPr>
          <w:rFonts w:cs="Arial"/>
          <w:rtl/>
        </w:rPr>
        <w:t xml:space="preserve"> </w:t>
      </w:r>
      <w:r w:rsidRPr="00663B54">
        <w:rPr>
          <w:rFonts w:cs="Arial" w:hint="cs"/>
          <w:rtl/>
        </w:rPr>
        <w:t>בהדלקה</w:t>
      </w:r>
      <w:r w:rsidRPr="00663B54">
        <w:rPr>
          <w:rFonts w:cs="Arial"/>
          <w:rtl/>
        </w:rPr>
        <w:t xml:space="preserve"> </w:t>
      </w:r>
      <w:r w:rsidRPr="00663B54">
        <w:rPr>
          <w:rFonts w:cs="Arial" w:hint="cs"/>
          <w:rtl/>
        </w:rPr>
        <w:t>זו</w:t>
      </w:r>
      <w:r>
        <w:rPr>
          <w:rFonts w:cs="Arial" w:hint="cs"/>
          <w:rtl/>
        </w:rPr>
        <w:t>, משנ"ב (סקכ"א).</w:t>
      </w:r>
    </w:p>
  </w:footnote>
  <w:footnote w:id="606">
    <w:p w14:paraId="553194AA" w14:textId="77777777" w:rsidR="004B2E7C" w:rsidRDefault="004B2E7C" w:rsidP="00285819">
      <w:pPr>
        <w:pStyle w:val="a7"/>
      </w:pPr>
      <w:r>
        <w:rPr>
          <w:rStyle w:val="a9"/>
        </w:rPr>
        <w:footnoteRef/>
      </w:r>
      <w:r>
        <w:rPr>
          <w:rtl/>
        </w:rPr>
        <w:t xml:space="preserve"> </w:t>
      </w:r>
      <w:r w:rsidRPr="00663B54">
        <w:rPr>
          <w:rFonts w:cs="Arial" w:hint="cs"/>
          <w:rtl/>
        </w:rPr>
        <w:t>והוא</w:t>
      </w:r>
      <w:r w:rsidRPr="00663B54">
        <w:rPr>
          <w:rFonts w:cs="Arial"/>
          <w:rtl/>
        </w:rPr>
        <w:t xml:space="preserve"> </w:t>
      </w:r>
      <w:r w:rsidRPr="00663B54">
        <w:rPr>
          <w:rFonts w:cs="Arial" w:hint="cs"/>
          <w:rtl/>
        </w:rPr>
        <w:t>לערך</w:t>
      </w:r>
      <w:r w:rsidRPr="00663B54">
        <w:rPr>
          <w:rFonts w:cs="Arial"/>
          <w:rtl/>
        </w:rPr>
        <w:t xml:space="preserve"> </w:t>
      </w:r>
      <w:r w:rsidRPr="00663B54">
        <w:rPr>
          <w:rFonts w:cs="Arial" w:hint="cs"/>
          <w:rtl/>
        </w:rPr>
        <w:t>רבע</w:t>
      </w:r>
      <w:r w:rsidRPr="00663B54">
        <w:rPr>
          <w:rFonts w:cs="Arial"/>
          <w:rtl/>
        </w:rPr>
        <w:t xml:space="preserve"> </w:t>
      </w:r>
      <w:r w:rsidRPr="00663B54">
        <w:rPr>
          <w:rFonts w:cs="Arial" w:hint="cs"/>
          <w:rtl/>
        </w:rPr>
        <w:t>שעה</w:t>
      </w:r>
      <w:r w:rsidRPr="00663B54">
        <w:rPr>
          <w:rFonts w:cs="Arial"/>
          <w:rtl/>
        </w:rPr>
        <w:t xml:space="preserve">. </w:t>
      </w:r>
      <w:r w:rsidRPr="00663B54">
        <w:rPr>
          <w:rFonts w:cs="Arial" w:hint="cs"/>
          <w:rtl/>
        </w:rPr>
        <w:t>והנה</w:t>
      </w:r>
      <w:r w:rsidRPr="00663B54">
        <w:rPr>
          <w:rFonts w:cs="Arial"/>
          <w:rtl/>
        </w:rPr>
        <w:t xml:space="preserve"> </w:t>
      </w:r>
      <w:r w:rsidRPr="00663B54">
        <w:rPr>
          <w:rFonts w:cs="Arial" w:hint="cs"/>
          <w:rtl/>
        </w:rPr>
        <w:t>השו</w:t>
      </w:r>
      <w:r w:rsidRPr="00663B54">
        <w:rPr>
          <w:rFonts w:cs="Arial"/>
          <w:rtl/>
        </w:rPr>
        <w:t>"</w:t>
      </w:r>
      <w:r w:rsidRPr="00663B54">
        <w:rPr>
          <w:rFonts w:cs="Arial" w:hint="cs"/>
          <w:rtl/>
        </w:rPr>
        <w:t>ע</w:t>
      </w:r>
      <w:r w:rsidRPr="00663B54">
        <w:rPr>
          <w:rFonts w:cs="Arial"/>
          <w:rtl/>
        </w:rPr>
        <w:t xml:space="preserve"> </w:t>
      </w:r>
      <w:r w:rsidRPr="00663B54">
        <w:rPr>
          <w:rFonts w:cs="Arial" w:hint="cs"/>
          <w:rtl/>
        </w:rPr>
        <w:t>הזכיר</w:t>
      </w:r>
      <w:r w:rsidRPr="00663B54">
        <w:rPr>
          <w:rFonts w:cs="Arial"/>
          <w:rtl/>
        </w:rPr>
        <w:t xml:space="preserve"> </w:t>
      </w:r>
      <w:r w:rsidRPr="00663B54">
        <w:rPr>
          <w:rFonts w:cs="Arial" w:hint="cs"/>
          <w:rtl/>
        </w:rPr>
        <w:t>בסעיף</w:t>
      </w:r>
      <w:r w:rsidRPr="00663B54">
        <w:rPr>
          <w:rFonts w:cs="Arial"/>
          <w:rtl/>
        </w:rPr>
        <w:t xml:space="preserve"> </w:t>
      </w:r>
      <w:r w:rsidRPr="00663B54">
        <w:rPr>
          <w:rFonts w:cs="Arial" w:hint="cs"/>
          <w:rtl/>
        </w:rPr>
        <w:t>זה</w:t>
      </w:r>
      <w:r w:rsidRPr="00663B54">
        <w:rPr>
          <w:rFonts w:cs="Arial"/>
          <w:rtl/>
        </w:rPr>
        <w:t xml:space="preserve"> </w:t>
      </w:r>
      <w:r w:rsidRPr="00663B54">
        <w:rPr>
          <w:rFonts w:cs="Arial" w:hint="cs"/>
          <w:rtl/>
        </w:rPr>
        <w:t>דעת</w:t>
      </w:r>
      <w:r w:rsidRPr="00663B54">
        <w:rPr>
          <w:rFonts w:cs="Arial"/>
          <w:rtl/>
        </w:rPr>
        <w:t xml:space="preserve"> </w:t>
      </w:r>
      <w:r w:rsidRPr="00663B54">
        <w:rPr>
          <w:rFonts w:cs="Arial" w:hint="cs"/>
          <w:rtl/>
        </w:rPr>
        <w:t>ר</w:t>
      </w:r>
      <w:r w:rsidRPr="00663B54">
        <w:rPr>
          <w:rFonts w:cs="Arial"/>
          <w:rtl/>
        </w:rPr>
        <w:t>"</w:t>
      </w:r>
      <w:r w:rsidRPr="00663B54">
        <w:rPr>
          <w:rFonts w:cs="Arial" w:hint="cs"/>
          <w:rtl/>
        </w:rPr>
        <w:t>ת</w:t>
      </w:r>
      <w:r w:rsidRPr="00663B54">
        <w:rPr>
          <w:rFonts w:cs="Arial"/>
          <w:rtl/>
        </w:rPr>
        <w:t xml:space="preserve"> </w:t>
      </w:r>
      <w:r w:rsidRPr="00663B54">
        <w:rPr>
          <w:rFonts w:cs="Arial" w:hint="cs"/>
          <w:rtl/>
        </w:rPr>
        <w:t>וסייעתו</w:t>
      </w:r>
      <w:r w:rsidRPr="00663B54">
        <w:rPr>
          <w:rFonts w:cs="Arial"/>
          <w:rtl/>
        </w:rPr>
        <w:t xml:space="preserve"> </w:t>
      </w:r>
      <w:r w:rsidRPr="00663B54">
        <w:rPr>
          <w:rFonts w:cs="Arial" w:hint="cs"/>
          <w:rtl/>
        </w:rPr>
        <w:t>אבל</w:t>
      </w:r>
      <w:r w:rsidRPr="00663B54">
        <w:rPr>
          <w:rFonts w:cs="Arial"/>
          <w:rtl/>
        </w:rPr>
        <w:t xml:space="preserve"> </w:t>
      </w:r>
      <w:r w:rsidRPr="00663B54">
        <w:rPr>
          <w:rFonts w:cs="Arial" w:hint="cs"/>
          <w:rtl/>
        </w:rPr>
        <w:t>הרבה</w:t>
      </w:r>
      <w:r w:rsidRPr="00663B54">
        <w:rPr>
          <w:rFonts w:cs="Arial"/>
          <w:rtl/>
        </w:rPr>
        <w:t xml:space="preserve"> </w:t>
      </w:r>
      <w:r w:rsidRPr="00663B54">
        <w:rPr>
          <w:rFonts w:cs="Arial" w:hint="cs"/>
          <w:rtl/>
        </w:rPr>
        <w:t>מהראשונים</w:t>
      </w:r>
      <w:r w:rsidRPr="00663B54">
        <w:rPr>
          <w:rFonts w:cs="Arial"/>
          <w:rtl/>
        </w:rPr>
        <w:t xml:space="preserve"> </w:t>
      </w:r>
      <w:r w:rsidRPr="00663B54">
        <w:rPr>
          <w:rFonts w:cs="Arial" w:hint="cs"/>
          <w:rtl/>
        </w:rPr>
        <w:t>ס</w:t>
      </w:r>
      <w:r w:rsidRPr="00663B54">
        <w:rPr>
          <w:rFonts w:cs="Arial"/>
          <w:rtl/>
        </w:rPr>
        <w:t>"</w:t>
      </w:r>
      <w:r w:rsidRPr="00663B54">
        <w:rPr>
          <w:rFonts w:cs="Arial" w:hint="cs"/>
          <w:rtl/>
        </w:rPr>
        <w:t>ל</w:t>
      </w:r>
      <w:r w:rsidRPr="00663B54">
        <w:rPr>
          <w:rFonts w:cs="Arial"/>
          <w:rtl/>
        </w:rPr>
        <w:t xml:space="preserve"> </w:t>
      </w:r>
      <w:r w:rsidRPr="00663B54">
        <w:rPr>
          <w:rFonts w:cs="Arial" w:hint="cs"/>
          <w:rtl/>
        </w:rPr>
        <w:t>וגם</w:t>
      </w:r>
      <w:r w:rsidRPr="00663B54">
        <w:rPr>
          <w:rFonts w:cs="Arial"/>
          <w:rtl/>
        </w:rPr>
        <w:t xml:space="preserve"> </w:t>
      </w:r>
      <w:r w:rsidRPr="00663B54">
        <w:rPr>
          <w:rFonts w:cs="Arial" w:hint="cs"/>
          <w:rtl/>
        </w:rPr>
        <w:t>הגר</w:t>
      </w:r>
      <w:r w:rsidRPr="00663B54">
        <w:rPr>
          <w:rFonts w:cs="Arial"/>
          <w:rtl/>
        </w:rPr>
        <w:t>"</w:t>
      </w:r>
      <w:r w:rsidRPr="00663B54">
        <w:rPr>
          <w:rFonts w:cs="Arial" w:hint="cs"/>
          <w:rtl/>
        </w:rPr>
        <w:t>א</w:t>
      </w:r>
      <w:r w:rsidRPr="00663B54">
        <w:rPr>
          <w:rFonts w:cs="Arial"/>
          <w:rtl/>
        </w:rPr>
        <w:t xml:space="preserve"> </w:t>
      </w:r>
      <w:r w:rsidRPr="00663B54">
        <w:rPr>
          <w:rFonts w:cs="Arial" w:hint="cs"/>
          <w:rtl/>
        </w:rPr>
        <w:t>הסכים</w:t>
      </w:r>
      <w:r w:rsidRPr="00663B54">
        <w:rPr>
          <w:rFonts w:cs="Arial"/>
          <w:rtl/>
        </w:rPr>
        <w:t xml:space="preserve"> </w:t>
      </w:r>
      <w:r w:rsidRPr="00663B54">
        <w:rPr>
          <w:rFonts w:cs="Arial" w:hint="cs"/>
          <w:rtl/>
        </w:rPr>
        <w:t>לשיטתם</w:t>
      </w:r>
      <w:r w:rsidRPr="00663B54">
        <w:rPr>
          <w:rFonts w:cs="Arial"/>
          <w:rtl/>
        </w:rPr>
        <w:t xml:space="preserve"> </w:t>
      </w:r>
      <w:r w:rsidRPr="00663B54">
        <w:rPr>
          <w:rFonts w:cs="Arial" w:hint="cs"/>
          <w:rtl/>
        </w:rPr>
        <w:t>דבה</w:t>
      </w:r>
      <w:r w:rsidRPr="00663B54">
        <w:rPr>
          <w:rFonts w:cs="Arial"/>
          <w:rtl/>
        </w:rPr>
        <w:t>"</w:t>
      </w:r>
      <w:r w:rsidRPr="00663B54">
        <w:rPr>
          <w:rFonts w:cs="Arial" w:hint="cs"/>
          <w:rtl/>
        </w:rPr>
        <w:t>ש</w:t>
      </w:r>
      <w:r w:rsidRPr="00663B54">
        <w:rPr>
          <w:rFonts w:cs="Arial"/>
          <w:rtl/>
        </w:rPr>
        <w:t xml:space="preserve"> </w:t>
      </w:r>
      <w:r w:rsidRPr="00663B54">
        <w:rPr>
          <w:rFonts w:cs="Arial" w:hint="cs"/>
          <w:rtl/>
        </w:rPr>
        <w:t>מתחיל</w:t>
      </w:r>
      <w:r w:rsidRPr="00663B54">
        <w:rPr>
          <w:rFonts w:cs="Arial"/>
          <w:rtl/>
        </w:rPr>
        <w:t xml:space="preserve"> </w:t>
      </w:r>
      <w:r w:rsidRPr="00663B54">
        <w:rPr>
          <w:rFonts w:cs="Arial" w:hint="cs"/>
          <w:rtl/>
        </w:rPr>
        <w:t>תיכף</w:t>
      </w:r>
      <w:r w:rsidRPr="00663B54">
        <w:rPr>
          <w:rFonts w:cs="Arial"/>
          <w:rtl/>
        </w:rPr>
        <w:t xml:space="preserve"> </w:t>
      </w:r>
      <w:r w:rsidRPr="00663B54">
        <w:rPr>
          <w:rFonts w:cs="Arial" w:hint="cs"/>
          <w:rtl/>
        </w:rPr>
        <w:t>אחר</w:t>
      </w:r>
      <w:r w:rsidRPr="00663B54">
        <w:rPr>
          <w:rFonts w:cs="Arial"/>
          <w:rtl/>
        </w:rPr>
        <w:t xml:space="preserve"> </w:t>
      </w:r>
      <w:r w:rsidRPr="00663B54">
        <w:rPr>
          <w:rFonts w:cs="Arial" w:hint="cs"/>
          <w:rtl/>
        </w:rPr>
        <w:t>תחלת</w:t>
      </w:r>
      <w:r w:rsidRPr="00663B54">
        <w:rPr>
          <w:rFonts w:cs="Arial"/>
          <w:rtl/>
        </w:rPr>
        <w:t xml:space="preserve"> </w:t>
      </w:r>
      <w:r w:rsidRPr="00663B54">
        <w:rPr>
          <w:rFonts w:cs="Arial" w:hint="cs"/>
          <w:rtl/>
        </w:rPr>
        <w:t>השקיעה</w:t>
      </w:r>
      <w:r w:rsidRPr="00663B54">
        <w:rPr>
          <w:rFonts w:cs="Arial"/>
          <w:rtl/>
        </w:rPr>
        <w:t xml:space="preserve"> </w:t>
      </w:r>
      <w:r w:rsidRPr="00663B54">
        <w:rPr>
          <w:rFonts w:cs="Arial" w:hint="cs"/>
          <w:rtl/>
        </w:rPr>
        <w:t>היינו</w:t>
      </w:r>
      <w:r w:rsidRPr="00663B54">
        <w:rPr>
          <w:rFonts w:cs="Arial"/>
          <w:rtl/>
        </w:rPr>
        <w:t xml:space="preserve"> </w:t>
      </w:r>
      <w:r w:rsidRPr="00663B54">
        <w:rPr>
          <w:rFonts w:cs="Arial" w:hint="cs"/>
          <w:rtl/>
        </w:rPr>
        <w:t>משעה</w:t>
      </w:r>
      <w:r w:rsidRPr="00663B54">
        <w:rPr>
          <w:rFonts w:cs="Arial"/>
          <w:rtl/>
        </w:rPr>
        <w:t xml:space="preserve"> </w:t>
      </w:r>
      <w:r w:rsidRPr="00663B54">
        <w:rPr>
          <w:rFonts w:cs="Arial" w:hint="cs"/>
          <w:rtl/>
        </w:rPr>
        <w:t>שהחמה</w:t>
      </w:r>
      <w:r w:rsidRPr="00663B54">
        <w:rPr>
          <w:rFonts w:cs="Arial"/>
          <w:rtl/>
        </w:rPr>
        <w:t xml:space="preserve"> </w:t>
      </w:r>
      <w:r w:rsidRPr="00663B54">
        <w:rPr>
          <w:rFonts w:cs="Arial" w:hint="cs"/>
          <w:rtl/>
        </w:rPr>
        <w:t>נתכסה</w:t>
      </w:r>
      <w:r w:rsidRPr="00663B54">
        <w:rPr>
          <w:rFonts w:cs="Arial"/>
          <w:rtl/>
        </w:rPr>
        <w:t xml:space="preserve"> </w:t>
      </w:r>
      <w:r w:rsidRPr="00663B54">
        <w:rPr>
          <w:rFonts w:cs="Arial" w:hint="cs"/>
          <w:rtl/>
        </w:rPr>
        <w:t>מעינינו</w:t>
      </w:r>
      <w:r w:rsidRPr="00663B54">
        <w:rPr>
          <w:rFonts w:cs="Arial"/>
          <w:rtl/>
        </w:rPr>
        <w:t xml:space="preserve"> </w:t>
      </w:r>
      <w:r w:rsidRPr="00663B54">
        <w:rPr>
          <w:rFonts w:cs="Arial" w:hint="cs"/>
          <w:rtl/>
        </w:rPr>
        <w:t>ונמשך</w:t>
      </w:r>
      <w:r w:rsidRPr="00663B54">
        <w:rPr>
          <w:rFonts w:cs="Arial"/>
          <w:rtl/>
        </w:rPr>
        <w:t xml:space="preserve"> </w:t>
      </w:r>
      <w:r w:rsidRPr="00663B54">
        <w:rPr>
          <w:rFonts w:cs="Arial" w:hint="cs"/>
          <w:rtl/>
        </w:rPr>
        <w:t>זמנו</w:t>
      </w:r>
      <w:r w:rsidRPr="00663B54">
        <w:rPr>
          <w:rFonts w:cs="Arial"/>
          <w:rtl/>
        </w:rPr>
        <w:t xml:space="preserve"> </w:t>
      </w:r>
      <w:r w:rsidRPr="00663B54">
        <w:rPr>
          <w:rFonts w:cs="Arial" w:hint="cs"/>
          <w:rtl/>
        </w:rPr>
        <w:t>כדי</w:t>
      </w:r>
      <w:r w:rsidRPr="00663B54">
        <w:rPr>
          <w:rFonts w:cs="Arial"/>
          <w:rtl/>
        </w:rPr>
        <w:t xml:space="preserve"> </w:t>
      </w:r>
      <w:r w:rsidRPr="00663B54">
        <w:rPr>
          <w:rFonts w:cs="Arial" w:hint="cs"/>
          <w:rtl/>
        </w:rPr>
        <w:t>ג</w:t>
      </w:r>
      <w:r w:rsidRPr="00663B54">
        <w:rPr>
          <w:rFonts w:cs="Arial"/>
          <w:rtl/>
        </w:rPr>
        <w:t xml:space="preserve">' </w:t>
      </w:r>
      <w:r w:rsidRPr="00663B54">
        <w:rPr>
          <w:rFonts w:cs="Arial" w:hint="cs"/>
          <w:rtl/>
        </w:rPr>
        <w:t>רבעי</w:t>
      </w:r>
      <w:r w:rsidRPr="00663B54">
        <w:rPr>
          <w:rFonts w:cs="Arial"/>
          <w:rtl/>
        </w:rPr>
        <w:t xml:space="preserve"> </w:t>
      </w:r>
      <w:r w:rsidRPr="00663B54">
        <w:rPr>
          <w:rFonts w:cs="Arial" w:hint="cs"/>
          <w:rtl/>
        </w:rPr>
        <w:t>מיל</w:t>
      </w:r>
      <w:r w:rsidRPr="00663B54">
        <w:rPr>
          <w:rFonts w:cs="Arial"/>
          <w:rtl/>
        </w:rPr>
        <w:t xml:space="preserve"> </w:t>
      </w:r>
      <w:r w:rsidRPr="00663B54">
        <w:rPr>
          <w:rFonts w:cs="Arial" w:hint="cs"/>
          <w:rtl/>
        </w:rPr>
        <w:t>ואח</w:t>
      </w:r>
      <w:r w:rsidRPr="00663B54">
        <w:rPr>
          <w:rFonts w:cs="Arial"/>
          <w:rtl/>
        </w:rPr>
        <w:t>"</w:t>
      </w:r>
      <w:r w:rsidRPr="00663B54">
        <w:rPr>
          <w:rFonts w:cs="Arial" w:hint="cs"/>
          <w:rtl/>
        </w:rPr>
        <w:t>כ</w:t>
      </w:r>
      <w:r w:rsidRPr="00663B54">
        <w:rPr>
          <w:rFonts w:cs="Arial"/>
          <w:rtl/>
        </w:rPr>
        <w:t xml:space="preserve"> </w:t>
      </w:r>
      <w:r w:rsidRPr="00663B54">
        <w:rPr>
          <w:rFonts w:cs="Arial" w:hint="cs"/>
          <w:rtl/>
        </w:rPr>
        <w:t>בסמוך</w:t>
      </w:r>
      <w:r w:rsidRPr="00663B54">
        <w:rPr>
          <w:rFonts w:cs="Arial"/>
          <w:rtl/>
        </w:rPr>
        <w:t xml:space="preserve"> </w:t>
      </w:r>
      <w:r w:rsidRPr="00663B54">
        <w:rPr>
          <w:rFonts w:cs="Arial" w:hint="cs"/>
          <w:rtl/>
        </w:rPr>
        <w:t>לו</w:t>
      </w:r>
      <w:r w:rsidRPr="00663B54">
        <w:rPr>
          <w:rFonts w:cs="Arial"/>
          <w:rtl/>
        </w:rPr>
        <w:t xml:space="preserve"> </w:t>
      </w:r>
      <w:r w:rsidRPr="00663B54">
        <w:rPr>
          <w:rFonts w:cs="Arial" w:hint="cs"/>
          <w:rtl/>
        </w:rPr>
        <w:t>יוצאין</w:t>
      </w:r>
      <w:r w:rsidRPr="00663B54">
        <w:rPr>
          <w:rFonts w:cs="Arial"/>
          <w:rtl/>
        </w:rPr>
        <w:t xml:space="preserve"> </w:t>
      </w:r>
      <w:r w:rsidRPr="00663B54">
        <w:rPr>
          <w:rFonts w:cs="Arial" w:hint="cs"/>
          <w:rtl/>
        </w:rPr>
        <w:t>הג</w:t>
      </w:r>
      <w:r w:rsidRPr="00663B54">
        <w:rPr>
          <w:rFonts w:cs="Arial"/>
          <w:rtl/>
        </w:rPr>
        <w:t xml:space="preserve">' </w:t>
      </w:r>
      <w:r w:rsidRPr="00663B54">
        <w:rPr>
          <w:rFonts w:cs="Arial" w:hint="cs"/>
          <w:rtl/>
        </w:rPr>
        <w:t>כוכבים</w:t>
      </w:r>
      <w:r w:rsidRPr="00663B54">
        <w:rPr>
          <w:rFonts w:cs="Arial"/>
          <w:rtl/>
        </w:rPr>
        <w:t xml:space="preserve"> </w:t>
      </w:r>
      <w:r w:rsidRPr="00663B54">
        <w:rPr>
          <w:rFonts w:cs="Arial" w:hint="cs"/>
          <w:rtl/>
        </w:rPr>
        <w:t>בינונים</w:t>
      </w:r>
      <w:r w:rsidRPr="00663B54">
        <w:rPr>
          <w:rFonts w:cs="Arial"/>
          <w:rtl/>
        </w:rPr>
        <w:t xml:space="preserve"> </w:t>
      </w:r>
      <w:r w:rsidRPr="00663B54">
        <w:rPr>
          <w:rFonts w:cs="Arial" w:hint="cs"/>
          <w:rtl/>
        </w:rPr>
        <w:t>והוא</w:t>
      </w:r>
      <w:r w:rsidRPr="00663B54">
        <w:rPr>
          <w:rFonts w:cs="Arial"/>
          <w:rtl/>
        </w:rPr>
        <w:t xml:space="preserve"> </w:t>
      </w:r>
      <w:r w:rsidRPr="00663B54">
        <w:rPr>
          <w:rFonts w:cs="Arial" w:hint="cs"/>
          <w:rtl/>
        </w:rPr>
        <w:t>לילה</w:t>
      </w:r>
      <w:r w:rsidRPr="00663B54">
        <w:rPr>
          <w:rFonts w:cs="Arial"/>
          <w:rtl/>
        </w:rPr>
        <w:t xml:space="preserve"> </w:t>
      </w:r>
      <w:r w:rsidRPr="00663B54">
        <w:rPr>
          <w:rFonts w:cs="Arial" w:hint="cs"/>
          <w:rtl/>
        </w:rPr>
        <w:t>מה</w:t>
      </w:r>
      <w:r w:rsidRPr="00663B54">
        <w:rPr>
          <w:rFonts w:cs="Arial"/>
          <w:rtl/>
        </w:rPr>
        <w:t>"</w:t>
      </w:r>
      <w:r w:rsidRPr="00663B54">
        <w:rPr>
          <w:rFonts w:cs="Arial" w:hint="cs"/>
          <w:rtl/>
        </w:rPr>
        <w:t>ת</w:t>
      </w:r>
      <w:r w:rsidRPr="00663B54">
        <w:rPr>
          <w:rFonts w:cs="Arial"/>
          <w:rtl/>
        </w:rPr>
        <w:t xml:space="preserve"> </w:t>
      </w:r>
      <w:r w:rsidRPr="00663B54">
        <w:rPr>
          <w:rFonts w:cs="Arial" w:hint="cs"/>
          <w:rtl/>
        </w:rPr>
        <w:t>לכל</w:t>
      </w:r>
      <w:r w:rsidRPr="00663B54">
        <w:rPr>
          <w:rFonts w:cs="Arial"/>
          <w:rtl/>
        </w:rPr>
        <w:t xml:space="preserve"> </w:t>
      </w:r>
      <w:r w:rsidRPr="00663B54">
        <w:rPr>
          <w:rFonts w:cs="Arial" w:hint="cs"/>
          <w:rtl/>
        </w:rPr>
        <w:t>דבר</w:t>
      </w:r>
      <w:r w:rsidRPr="00663B54">
        <w:rPr>
          <w:rFonts w:cs="Arial"/>
          <w:rtl/>
        </w:rPr>
        <w:t xml:space="preserve">. </w:t>
      </w:r>
      <w:r w:rsidRPr="00663B54">
        <w:rPr>
          <w:rFonts w:cs="Arial" w:hint="cs"/>
          <w:rtl/>
        </w:rPr>
        <w:t>ולפ</w:t>
      </w:r>
      <w:r w:rsidRPr="00663B54">
        <w:rPr>
          <w:rFonts w:cs="Arial"/>
          <w:rtl/>
        </w:rPr>
        <w:t>"</w:t>
      </w:r>
      <w:r w:rsidRPr="00663B54">
        <w:rPr>
          <w:rFonts w:cs="Arial" w:hint="cs"/>
          <w:rtl/>
        </w:rPr>
        <w:t>ז</w:t>
      </w:r>
      <w:r w:rsidRPr="00663B54">
        <w:rPr>
          <w:rFonts w:cs="Arial"/>
          <w:rtl/>
        </w:rPr>
        <w:t xml:space="preserve"> </w:t>
      </w:r>
      <w:r w:rsidRPr="00663B54">
        <w:rPr>
          <w:rFonts w:cs="Arial" w:hint="cs"/>
          <w:rtl/>
        </w:rPr>
        <w:t>יש</w:t>
      </w:r>
      <w:r w:rsidRPr="00663B54">
        <w:rPr>
          <w:rFonts w:cs="Arial"/>
          <w:rtl/>
        </w:rPr>
        <w:t xml:space="preserve"> </w:t>
      </w:r>
      <w:r w:rsidRPr="00663B54">
        <w:rPr>
          <w:rFonts w:cs="Arial" w:hint="cs"/>
          <w:rtl/>
        </w:rPr>
        <w:t>ליזהר</w:t>
      </w:r>
      <w:r w:rsidRPr="00663B54">
        <w:rPr>
          <w:rFonts w:cs="Arial"/>
          <w:rtl/>
        </w:rPr>
        <w:t xml:space="preserve"> </w:t>
      </w:r>
      <w:r w:rsidRPr="00663B54">
        <w:rPr>
          <w:rFonts w:cs="Arial" w:hint="cs"/>
          <w:rtl/>
        </w:rPr>
        <w:t>מאד</w:t>
      </w:r>
      <w:r w:rsidRPr="00663B54">
        <w:rPr>
          <w:rFonts w:cs="Arial"/>
          <w:rtl/>
        </w:rPr>
        <w:t xml:space="preserve"> </w:t>
      </w:r>
      <w:r w:rsidRPr="00663B54">
        <w:rPr>
          <w:rFonts w:cs="Arial" w:hint="cs"/>
          <w:rtl/>
        </w:rPr>
        <w:t>שלא</w:t>
      </w:r>
      <w:r w:rsidRPr="00663B54">
        <w:rPr>
          <w:rFonts w:cs="Arial"/>
          <w:rtl/>
        </w:rPr>
        <w:t xml:space="preserve"> </w:t>
      </w:r>
      <w:r w:rsidRPr="00663B54">
        <w:rPr>
          <w:rFonts w:cs="Arial" w:hint="cs"/>
          <w:rtl/>
        </w:rPr>
        <w:t>לעשות</w:t>
      </w:r>
      <w:r w:rsidRPr="00663B54">
        <w:rPr>
          <w:rFonts w:cs="Arial"/>
          <w:rtl/>
        </w:rPr>
        <w:t xml:space="preserve"> </w:t>
      </w:r>
      <w:r w:rsidRPr="00663B54">
        <w:rPr>
          <w:rFonts w:cs="Arial" w:hint="cs"/>
          <w:rtl/>
        </w:rPr>
        <w:t>מלאכה</w:t>
      </w:r>
      <w:r w:rsidRPr="00663B54">
        <w:rPr>
          <w:rFonts w:cs="Arial"/>
          <w:rtl/>
        </w:rPr>
        <w:t xml:space="preserve"> </w:t>
      </w:r>
      <w:r w:rsidRPr="00663B54">
        <w:rPr>
          <w:rFonts w:cs="Arial" w:hint="cs"/>
          <w:rtl/>
        </w:rPr>
        <w:t>אחר</w:t>
      </w:r>
      <w:r w:rsidRPr="00663B54">
        <w:rPr>
          <w:rFonts w:cs="Arial"/>
          <w:rtl/>
        </w:rPr>
        <w:t xml:space="preserve"> </w:t>
      </w:r>
      <w:r w:rsidRPr="00663B54">
        <w:rPr>
          <w:rFonts w:cs="Arial" w:hint="cs"/>
          <w:rtl/>
        </w:rPr>
        <w:t>שהחמה</w:t>
      </w:r>
      <w:r w:rsidRPr="00663B54">
        <w:rPr>
          <w:rFonts w:cs="Arial"/>
          <w:rtl/>
        </w:rPr>
        <w:t xml:space="preserve"> </w:t>
      </w:r>
      <w:r w:rsidRPr="00663B54">
        <w:rPr>
          <w:rFonts w:cs="Arial" w:hint="cs"/>
          <w:rtl/>
        </w:rPr>
        <w:t>נתכסה</w:t>
      </w:r>
      <w:r w:rsidRPr="00663B54">
        <w:rPr>
          <w:rFonts w:cs="Arial"/>
          <w:rtl/>
        </w:rPr>
        <w:t xml:space="preserve"> </w:t>
      </w:r>
      <w:r w:rsidRPr="00663B54">
        <w:rPr>
          <w:rFonts w:cs="Arial" w:hint="cs"/>
          <w:rtl/>
        </w:rPr>
        <w:t>מעינינו</w:t>
      </w:r>
      <w:r w:rsidRPr="00663B54">
        <w:rPr>
          <w:rFonts w:cs="Arial"/>
          <w:rtl/>
        </w:rPr>
        <w:t xml:space="preserve"> </w:t>
      </w:r>
      <w:r w:rsidRPr="00663B54">
        <w:rPr>
          <w:rFonts w:cs="Arial" w:hint="cs"/>
          <w:rtl/>
        </w:rPr>
        <w:t>ואפילו</w:t>
      </w:r>
      <w:r w:rsidRPr="00663B54">
        <w:rPr>
          <w:rFonts w:cs="Arial"/>
          <w:rtl/>
        </w:rPr>
        <w:t xml:space="preserve"> </w:t>
      </w:r>
      <w:r w:rsidRPr="00663B54">
        <w:rPr>
          <w:rFonts w:cs="Arial" w:hint="cs"/>
          <w:rtl/>
        </w:rPr>
        <w:t>מלאכת</w:t>
      </w:r>
      <w:r w:rsidRPr="00663B54">
        <w:rPr>
          <w:rFonts w:cs="Arial"/>
          <w:rtl/>
        </w:rPr>
        <w:t xml:space="preserve"> </w:t>
      </w:r>
      <w:r w:rsidRPr="00663B54">
        <w:rPr>
          <w:rFonts w:cs="Arial" w:hint="cs"/>
          <w:rtl/>
        </w:rPr>
        <w:t>מצוה</w:t>
      </w:r>
      <w:r w:rsidRPr="00663B54">
        <w:rPr>
          <w:rFonts w:cs="Arial"/>
          <w:rtl/>
        </w:rPr>
        <w:t xml:space="preserve"> </w:t>
      </w:r>
      <w:r w:rsidRPr="00663B54">
        <w:rPr>
          <w:rFonts w:cs="Arial" w:hint="cs"/>
          <w:rtl/>
        </w:rPr>
        <w:t>כגון</w:t>
      </w:r>
      <w:r w:rsidRPr="00663B54">
        <w:rPr>
          <w:rFonts w:cs="Arial"/>
          <w:rtl/>
        </w:rPr>
        <w:t xml:space="preserve"> </w:t>
      </w:r>
      <w:r w:rsidRPr="00663B54">
        <w:rPr>
          <w:rFonts w:cs="Arial" w:hint="cs"/>
          <w:rtl/>
        </w:rPr>
        <w:t>הדלקת</w:t>
      </w:r>
      <w:r w:rsidRPr="00663B54">
        <w:rPr>
          <w:rFonts w:cs="Arial"/>
          <w:rtl/>
        </w:rPr>
        <w:t xml:space="preserve"> </w:t>
      </w:r>
      <w:r w:rsidRPr="00663B54">
        <w:rPr>
          <w:rFonts w:cs="Arial" w:hint="cs"/>
          <w:rtl/>
        </w:rPr>
        <w:t>הנרות</w:t>
      </w:r>
      <w:r w:rsidRPr="00663B54">
        <w:rPr>
          <w:rFonts w:cs="Arial"/>
          <w:rtl/>
        </w:rPr>
        <w:t xml:space="preserve"> </w:t>
      </w:r>
      <w:r w:rsidRPr="00663B54">
        <w:rPr>
          <w:rFonts w:cs="Arial" w:hint="cs"/>
          <w:rtl/>
        </w:rPr>
        <w:t>לסעודת</w:t>
      </w:r>
      <w:r w:rsidRPr="00663B54">
        <w:rPr>
          <w:rFonts w:cs="Arial"/>
          <w:rtl/>
        </w:rPr>
        <w:t xml:space="preserve"> </w:t>
      </w:r>
      <w:r w:rsidRPr="00663B54">
        <w:rPr>
          <w:rFonts w:cs="Arial" w:hint="cs"/>
          <w:rtl/>
        </w:rPr>
        <w:t>שבת</w:t>
      </w:r>
      <w:r w:rsidRPr="00663B54">
        <w:rPr>
          <w:rFonts w:cs="Arial"/>
          <w:rtl/>
        </w:rPr>
        <w:t xml:space="preserve"> </w:t>
      </w:r>
      <w:r w:rsidRPr="00663B54">
        <w:rPr>
          <w:rFonts w:cs="Arial" w:hint="cs"/>
          <w:rtl/>
        </w:rPr>
        <w:t>ג</w:t>
      </w:r>
      <w:r w:rsidRPr="00663B54">
        <w:rPr>
          <w:rFonts w:cs="Arial"/>
          <w:rtl/>
        </w:rPr>
        <w:t>"</w:t>
      </w:r>
      <w:r w:rsidRPr="00663B54">
        <w:rPr>
          <w:rFonts w:cs="Arial" w:hint="cs"/>
          <w:rtl/>
        </w:rPr>
        <w:t>כ</w:t>
      </w:r>
      <w:r w:rsidRPr="00663B54">
        <w:rPr>
          <w:rFonts w:cs="Arial"/>
          <w:rtl/>
        </w:rPr>
        <w:t xml:space="preserve"> </w:t>
      </w:r>
      <w:r w:rsidRPr="00663B54">
        <w:rPr>
          <w:rFonts w:cs="Arial" w:hint="cs"/>
          <w:rtl/>
        </w:rPr>
        <w:t>יזהר</w:t>
      </w:r>
      <w:r w:rsidRPr="00663B54">
        <w:rPr>
          <w:rFonts w:cs="Arial"/>
          <w:rtl/>
        </w:rPr>
        <w:t xml:space="preserve"> </w:t>
      </w:r>
      <w:r w:rsidRPr="00663B54">
        <w:rPr>
          <w:rFonts w:cs="Arial" w:hint="cs"/>
          <w:rtl/>
        </w:rPr>
        <w:t>מאד</w:t>
      </w:r>
      <w:r w:rsidRPr="00663B54">
        <w:rPr>
          <w:rFonts w:cs="Arial"/>
          <w:rtl/>
        </w:rPr>
        <w:t xml:space="preserve"> </w:t>
      </w:r>
      <w:r w:rsidRPr="00663B54">
        <w:rPr>
          <w:rFonts w:cs="Arial" w:hint="cs"/>
          <w:rtl/>
        </w:rPr>
        <w:t>לגמור</w:t>
      </w:r>
      <w:r w:rsidRPr="00663B54">
        <w:rPr>
          <w:rFonts w:cs="Arial"/>
          <w:rtl/>
        </w:rPr>
        <w:t xml:space="preserve"> </w:t>
      </w:r>
      <w:r w:rsidRPr="00663B54">
        <w:rPr>
          <w:rFonts w:cs="Arial" w:hint="cs"/>
          <w:rtl/>
        </w:rPr>
        <w:t>הדלקתם</w:t>
      </w:r>
      <w:r w:rsidRPr="00663B54">
        <w:rPr>
          <w:rFonts w:cs="Arial"/>
          <w:rtl/>
        </w:rPr>
        <w:t xml:space="preserve"> </w:t>
      </w:r>
      <w:r w:rsidRPr="00663B54">
        <w:rPr>
          <w:rFonts w:cs="Arial" w:hint="cs"/>
          <w:rtl/>
        </w:rPr>
        <w:t>קודם</w:t>
      </w:r>
      <w:r w:rsidRPr="00663B54">
        <w:rPr>
          <w:rFonts w:cs="Arial"/>
          <w:rtl/>
        </w:rPr>
        <w:t xml:space="preserve"> </w:t>
      </w:r>
      <w:r w:rsidRPr="00663B54">
        <w:rPr>
          <w:rFonts w:cs="Arial" w:hint="cs"/>
          <w:rtl/>
        </w:rPr>
        <w:t>שתשקע</w:t>
      </w:r>
      <w:r w:rsidRPr="00663B54">
        <w:rPr>
          <w:rFonts w:cs="Arial"/>
          <w:rtl/>
        </w:rPr>
        <w:t xml:space="preserve"> </w:t>
      </w:r>
      <w:r w:rsidRPr="00663B54">
        <w:rPr>
          <w:rFonts w:cs="Arial" w:hint="cs"/>
          <w:rtl/>
        </w:rPr>
        <w:t>החמה</w:t>
      </w:r>
      <w:r w:rsidRPr="00663B54">
        <w:rPr>
          <w:rFonts w:cs="Arial"/>
          <w:rtl/>
        </w:rPr>
        <w:t xml:space="preserve"> </w:t>
      </w:r>
      <w:r w:rsidRPr="00663B54">
        <w:rPr>
          <w:rFonts w:cs="Arial" w:hint="cs"/>
          <w:rtl/>
        </w:rPr>
        <w:t>דלאח</w:t>
      </w:r>
      <w:r w:rsidRPr="00663B54">
        <w:rPr>
          <w:rFonts w:cs="Arial"/>
          <w:rtl/>
        </w:rPr>
        <w:t>"</w:t>
      </w:r>
      <w:r w:rsidRPr="00663B54">
        <w:rPr>
          <w:rFonts w:cs="Arial" w:hint="cs"/>
          <w:rtl/>
        </w:rPr>
        <w:t>כ</w:t>
      </w:r>
      <w:r w:rsidRPr="00663B54">
        <w:rPr>
          <w:rFonts w:cs="Arial"/>
          <w:rtl/>
        </w:rPr>
        <w:t xml:space="preserve"> </w:t>
      </w:r>
      <w:r w:rsidRPr="00663B54">
        <w:rPr>
          <w:rFonts w:cs="Arial" w:hint="cs"/>
          <w:rtl/>
        </w:rPr>
        <w:t>הוא</w:t>
      </w:r>
      <w:r w:rsidRPr="00663B54">
        <w:rPr>
          <w:rFonts w:cs="Arial"/>
          <w:rtl/>
        </w:rPr>
        <w:t xml:space="preserve"> </w:t>
      </w:r>
      <w:r w:rsidRPr="00663B54">
        <w:rPr>
          <w:rFonts w:cs="Arial" w:hint="cs"/>
          <w:rtl/>
        </w:rPr>
        <w:t>בכלל</w:t>
      </w:r>
      <w:r w:rsidRPr="00663B54">
        <w:rPr>
          <w:rFonts w:cs="Arial"/>
          <w:rtl/>
        </w:rPr>
        <w:t xml:space="preserve"> </w:t>
      </w:r>
      <w:r w:rsidRPr="00663B54">
        <w:rPr>
          <w:rFonts w:cs="Arial" w:hint="cs"/>
          <w:rtl/>
        </w:rPr>
        <w:t>בה</w:t>
      </w:r>
      <w:r w:rsidRPr="00663B54">
        <w:rPr>
          <w:rFonts w:cs="Arial"/>
          <w:rtl/>
        </w:rPr>
        <w:t>"</w:t>
      </w:r>
      <w:r w:rsidRPr="00663B54">
        <w:rPr>
          <w:rFonts w:cs="Arial" w:hint="cs"/>
          <w:rtl/>
        </w:rPr>
        <w:t>ש</w:t>
      </w:r>
      <w:r w:rsidRPr="00663B54">
        <w:rPr>
          <w:rFonts w:cs="Arial"/>
          <w:rtl/>
        </w:rPr>
        <w:t xml:space="preserve"> </w:t>
      </w:r>
      <w:r w:rsidRPr="00663B54">
        <w:rPr>
          <w:rFonts w:cs="Arial" w:hint="cs"/>
          <w:rtl/>
        </w:rPr>
        <w:t>ועיין</w:t>
      </w:r>
      <w:r w:rsidRPr="00663B54">
        <w:rPr>
          <w:rFonts w:cs="Arial"/>
          <w:rtl/>
        </w:rPr>
        <w:t xml:space="preserve"> </w:t>
      </w:r>
      <w:r w:rsidRPr="00663B54">
        <w:rPr>
          <w:rFonts w:cs="Arial" w:hint="cs"/>
          <w:rtl/>
        </w:rPr>
        <w:t>לעיל</w:t>
      </w:r>
      <w:r w:rsidRPr="00663B54">
        <w:rPr>
          <w:rFonts w:cs="Arial"/>
          <w:rtl/>
        </w:rPr>
        <w:t xml:space="preserve"> </w:t>
      </w:r>
      <w:r w:rsidRPr="00663B54">
        <w:rPr>
          <w:rFonts w:cs="Arial" w:hint="cs"/>
          <w:rtl/>
        </w:rPr>
        <w:t>בסק</w:t>
      </w:r>
      <w:r w:rsidRPr="00663B54">
        <w:rPr>
          <w:rFonts w:cs="Arial"/>
          <w:rtl/>
        </w:rPr>
        <w:t>"</w:t>
      </w:r>
      <w:r w:rsidRPr="00663B54">
        <w:rPr>
          <w:rFonts w:cs="Arial" w:hint="cs"/>
          <w:rtl/>
        </w:rPr>
        <w:t>ו</w:t>
      </w:r>
      <w:r w:rsidRPr="00663B54">
        <w:rPr>
          <w:rFonts w:cs="Arial"/>
          <w:rtl/>
        </w:rPr>
        <w:t xml:space="preserve">. </w:t>
      </w:r>
      <w:r w:rsidRPr="00663B54">
        <w:rPr>
          <w:rFonts w:cs="Arial" w:hint="cs"/>
          <w:rtl/>
        </w:rPr>
        <w:t>ולכתחלה</w:t>
      </w:r>
      <w:r w:rsidRPr="00663B54">
        <w:rPr>
          <w:rFonts w:cs="Arial"/>
          <w:rtl/>
        </w:rPr>
        <w:t xml:space="preserve"> </w:t>
      </w:r>
      <w:r w:rsidRPr="00663B54">
        <w:rPr>
          <w:rFonts w:cs="Arial" w:hint="cs"/>
          <w:rtl/>
        </w:rPr>
        <w:t>אין</w:t>
      </w:r>
      <w:r w:rsidRPr="00663B54">
        <w:rPr>
          <w:rFonts w:cs="Arial"/>
          <w:rtl/>
        </w:rPr>
        <w:t xml:space="preserve"> </w:t>
      </w:r>
      <w:r w:rsidRPr="00663B54">
        <w:rPr>
          <w:rFonts w:cs="Arial" w:hint="cs"/>
          <w:rtl/>
        </w:rPr>
        <w:t>להמתין</w:t>
      </w:r>
      <w:r w:rsidRPr="00663B54">
        <w:rPr>
          <w:rFonts w:cs="Arial"/>
          <w:rtl/>
        </w:rPr>
        <w:t xml:space="preserve"> </w:t>
      </w:r>
      <w:r w:rsidRPr="00663B54">
        <w:rPr>
          <w:rFonts w:cs="Arial" w:hint="cs"/>
          <w:rtl/>
        </w:rPr>
        <w:t>עד</w:t>
      </w:r>
      <w:r w:rsidRPr="00663B54">
        <w:rPr>
          <w:rFonts w:cs="Arial"/>
          <w:rtl/>
        </w:rPr>
        <w:t xml:space="preserve"> </w:t>
      </w:r>
      <w:r w:rsidRPr="00663B54">
        <w:rPr>
          <w:rFonts w:cs="Arial" w:hint="cs"/>
          <w:rtl/>
        </w:rPr>
        <w:t>הרגע</w:t>
      </w:r>
      <w:r w:rsidRPr="00663B54">
        <w:rPr>
          <w:rFonts w:cs="Arial"/>
          <w:rtl/>
        </w:rPr>
        <w:t xml:space="preserve"> </w:t>
      </w:r>
      <w:r w:rsidRPr="00663B54">
        <w:rPr>
          <w:rFonts w:cs="Arial" w:hint="cs"/>
          <w:rtl/>
        </w:rPr>
        <w:t>האחרון</w:t>
      </w:r>
      <w:r w:rsidRPr="00663B54">
        <w:rPr>
          <w:rFonts w:cs="Arial"/>
          <w:rtl/>
        </w:rPr>
        <w:t xml:space="preserve"> </w:t>
      </w:r>
      <w:r w:rsidRPr="00663B54">
        <w:rPr>
          <w:rFonts w:cs="Arial" w:hint="cs"/>
          <w:rtl/>
        </w:rPr>
        <w:t>רק</w:t>
      </w:r>
      <w:r w:rsidRPr="00663B54">
        <w:rPr>
          <w:rFonts w:cs="Arial"/>
          <w:rtl/>
        </w:rPr>
        <w:t xml:space="preserve"> </w:t>
      </w:r>
      <w:r w:rsidRPr="00663B54">
        <w:rPr>
          <w:rFonts w:cs="Arial" w:hint="cs"/>
          <w:rtl/>
        </w:rPr>
        <w:t>יקדים</w:t>
      </w:r>
      <w:r w:rsidRPr="00663B54">
        <w:rPr>
          <w:rFonts w:cs="Arial"/>
          <w:rtl/>
        </w:rPr>
        <w:t xml:space="preserve"> </w:t>
      </w:r>
      <w:r w:rsidRPr="00663B54">
        <w:rPr>
          <w:rFonts w:cs="Arial" w:hint="cs"/>
          <w:rtl/>
        </w:rPr>
        <w:t>הדלקתם</w:t>
      </w:r>
      <w:r w:rsidRPr="00663B54">
        <w:rPr>
          <w:rFonts w:cs="Arial"/>
          <w:rtl/>
        </w:rPr>
        <w:t xml:space="preserve"> </w:t>
      </w:r>
      <w:r w:rsidRPr="00663B54">
        <w:rPr>
          <w:rFonts w:cs="Arial" w:hint="cs"/>
          <w:rtl/>
        </w:rPr>
        <w:t>משעה</w:t>
      </w:r>
      <w:r w:rsidRPr="00663B54">
        <w:rPr>
          <w:rFonts w:cs="Arial"/>
          <w:rtl/>
        </w:rPr>
        <w:t xml:space="preserve"> </w:t>
      </w:r>
      <w:r w:rsidRPr="00663B54">
        <w:rPr>
          <w:rFonts w:cs="Arial" w:hint="cs"/>
          <w:rtl/>
        </w:rPr>
        <w:t>שהשמש</w:t>
      </w:r>
      <w:r w:rsidRPr="00663B54">
        <w:rPr>
          <w:rFonts w:cs="Arial"/>
          <w:rtl/>
        </w:rPr>
        <w:t xml:space="preserve"> </w:t>
      </w:r>
      <w:r w:rsidRPr="00663B54">
        <w:rPr>
          <w:rFonts w:cs="Arial" w:hint="cs"/>
          <w:rtl/>
        </w:rPr>
        <w:t>בראשי</w:t>
      </w:r>
      <w:r w:rsidRPr="00663B54">
        <w:rPr>
          <w:rFonts w:cs="Arial"/>
          <w:rtl/>
        </w:rPr>
        <w:t xml:space="preserve"> </w:t>
      </w:r>
      <w:r w:rsidRPr="00663B54">
        <w:rPr>
          <w:rFonts w:cs="Arial" w:hint="cs"/>
          <w:rtl/>
        </w:rPr>
        <w:t>האילנות</w:t>
      </w:r>
      <w:r w:rsidRPr="00663B54">
        <w:rPr>
          <w:rFonts w:cs="Arial"/>
          <w:rtl/>
        </w:rPr>
        <w:t xml:space="preserve"> </w:t>
      </w:r>
      <w:r w:rsidRPr="00663B54">
        <w:rPr>
          <w:rFonts w:cs="Arial" w:hint="cs"/>
          <w:rtl/>
        </w:rPr>
        <w:t>כדלקמן</w:t>
      </w:r>
      <w:r w:rsidRPr="00663B54">
        <w:rPr>
          <w:rFonts w:cs="Arial"/>
          <w:rtl/>
        </w:rPr>
        <w:t xml:space="preserve"> </w:t>
      </w:r>
      <w:r w:rsidRPr="00663B54">
        <w:rPr>
          <w:rFonts w:cs="Arial" w:hint="cs"/>
          <w:rtl/>
        </w:rPr>
        <w:t>ומי</w:t>
      </w:r>
      <w:r w:rsidRPr="00663B54">
        <w:rPr>
          <w:rFonts w:cs="Arial"/>
          <w:rtl/>
        </w:rPr>
        <w:t xml:space="preserve"> </w:t>
      </w:r>
      <w:r w:rsidRPr="00663B54">
        <w:rPr>
          <w:rFonts w:cs="Arial" w:hint="cs"/>
          <w:rtl/>
        </w:rPr>
        <w:t>שמחמיר</w:t>
      </w:r>
      <w:r w:rsidRPr="00663B54">
        <w:rPr>
          <w:rFonts w:cs="Arial"/>
          <w:rtl/>
        </w:rPr>
        <w:t xml:space="preserve"> </w:t>
      </w:r>
      <w:r w:rsidRPr="00663B54">
        <w:rPr>
          <w:rFonts w:cs="Arial" w:hint="cs"/>
          <w:rtl/>
        </w:rPr>
        <w:t>על</w:t>
      </w:r>
      <w:r w:rsidRPr="00663B54">
        <w:rPr>
          <w:rFonts w:cs="Arial"/>
          <w:rtl/>
        </w:rPr>
        <w:t xml:space="preserve"> </w:t>
      </w:r>
      <w:r w:rsidRPr="00663B54">
        <w:rPr>
          <w:rFonts w:cs="Arial" w:hint="cs"/>
          <w:rtl/>
        </w:rPr>
        <w:t>עצמו</w:t>
      </w:r>
      <w:r w:rsidRPr="00663B54">
        <w:rPr>
          <w:rFonts w:cs="Arial"/>
          <w:rtl/>
        </w:rPr>
        <w:t xml:space="preserve"> </w:t>
      </w:r>
      <w:r w:rsidRPr="00663B54">
        <w:rPr>
          <w:rFonts w:cs="Arial" w:hint="cs"/>
          <w:rtl/>
        </w:rPr>
        <w:t>ופורש</w:t>
      </w:r>
      <w:r w:rsidRPr="00663B54">
        <w:rPr>
          <w:rFonts w:cs="Arial"/>
          <w:rtl/>
        </w:rPr>
        <w:t xml:space="preserve"> </w:t>
      </w:r>
      <w:r w:rsidRPr="00663B54">
        <w:rPr>
          <w:rFonts w:cs="Arial" w:hint="cs"/>
          <w:rtl/>
        </w:rPr>
        <w:t>עצמו</w:t>
      </w:r>
      <w:r w:rsidRPr="00663B54">
        <w:rPr>
          <w:rFonts w:cs="Arial"/>
          <w:rtl/>
        </w:rPr>
        <w:t xml:space="preserve"> </w:t>
      </w:r>
      <w:r w:rsidRPr="00663B54">
        <w:rPr>
          <w:rFonts w:cs="Arial" w:hint="cs"/>
          <w:rtl/>
        </w:rPr>
        <w:t>ממלאכה</w:t>
      </w:r>
      <w:r w:rsidRPr="00663B54">
        <w:rPr>
          <w:rFonts w:cs="Arial"/>
          <w:rtl/>
        </w:rPr>
        <w:t xml:space="preserve"> </w:t>
      </w:r>
      <w:r w:rsidRPr="00663B54">
        <w:rPr>
          <w:rFonts w:cs="Arial" w:hint="cs"/>
          <w:rtl/>
        </w:rPr>
        <w:t>חצי</w:t>
      </w:r>
      <w:r w:rsidRPr="00663B54">
        <w:rPr>
          <w:rFonts w:cs="Arial"/>
          <w:rtl/>
        </w:rPr>
        <w:t xml:space="preserve"> </w:t>
      </w:r>
      <w:r w:rsidRPr="00663B54">
        <w:rPr>
          <w:rFonts w:cs="Arial" w:hint="cs"/>
          <w:rtl/>
        </w:rPr>
        <w:t>שעה</w:t>
      </w:r>
      <w:r w:rsidRPr="00663B54">
        <w:rPr>
          <w:rFonts w:cs="Arial"/>
          <w:rtl/>
        </w:rPr>
        <w:t xml:space="preserve"> </w:t>
      </w:r>
      <w:r w:rsidRPr="00663B54">
        <w:rPr>
          <w:rFonts w:cs="Arial" w:hint="cs"/>
          <w:rtl/>
        </w:rPr>
        <w:t>או</w:t>
      </w:r>
      <w:r w:rsidRPr="00663B54">
        <w:rPr>
          <w:rFonts w:cs="Arial"/>
          <w:rtl/>
        </w:rPr>
        <w:t xml:space="preserve"> </w:t>
      </w:r>
      <w:r w:rsidRPr="00663B54">
        <w:rPr>
          <w:rFonts w:cs="Arial" w:hint="cs"/>
          <w:rtl/>
        </w:rPr>
        <w:t>עכ</w:t>
      </w:r>
      <w:r w:rsidRPr="00663B54">
        <w:rPr>
          <w:rFonts w:cs="Arial"/>
          <w:rtl/>
        </w:rPr>
        <w:t>"</w:t>
      </w:r>
      <w:r w:rsidRPr="00663B54">
        <w:rPr>
          <w:rFonts w:cs="Arial" w:hint="cs"/>
          <w:rtl/>
        </w:rPr>
        <w:t>פ</w:t>
      </w:r>
      <w:r w:rsidRPr="00663B54">
        <w:rPr>
          <w:rFonts w:cs="Arial"/>
          <w:rtl/>
        </w:rPr>
        <w:t xml:space="preserve"> </w:t>
      </w:r>
      <w:r w:rsidRPr="00663B54">
        <w:rPr>
          <w:rFonts w:cs="Arial" w:hint="cs"/>
          <w:rtl/>
        </w:rPr>
        <w:t>שליש</w:t>
      </w:r>
      <w:r w:rsidRPr="00663B54">
        <w:rPr>
          <w:rFonts w:cs="Arial"/>
          <w:rtl/>
        </w:rPr>
        <w:t xml:space="preserve"> </w:t>
      </w:r>
      <w:r w:rsidRPr="00663B54">
        <w:rPr>
          <w:rFonts w:cs="Arial" w:hint="cs"/>
          <w:rtl/>
        </w:rPr>
        <w:t>שעה</w:t>
      </w:r>
      <w:r w:rsidRPr="00663B54">
        <w:rPr>
          <w:rFonts w:cs="Arial"/>
          <w:rtl/>
        </w:rPr>
        <w:t xml:space="preserve"> </w:t>
      </w:r>
      <w:r w:rsidRPr="00663B54">
        <w:rPr>
          <w:rFonts w:cs="Arial" w:hint="cs"/>
          <w:rtl/>
        </w:rPr>
        <w:t>קודם</w:t>
      </w:r>
      <w:r w:rsidRPr="00663B54">
        <w:rPr>
          <w:rFonts w:cs="Arial"/>
          <w:rtl/>
        </w:rPr>
        <w:t xml:space="preserve"> </w:t>
      </w:r>
      <w:r w:rsidRPr="00663B54">
        <w:rPr>
          <w:rFonts w:cs="Arial" w:hint="cs"/>
          <w:rtl/>
        </w:rPr>
        <w:t>שקיעה</w:t>
      </w:r>
      <w:r w:rsidRPr="00663B54">
        <w:rPr>
          <w:rFonts w:cs="Arial"/>
          <w:rtl/>
        </w:rPr>
        <w:t xml:space="preserve"> </w:t>
      </w:r>
      <w:r w:rsidRPr="00663B54">
        <w:rPr>
          <w:rFonts w:cs="Arial" w:hint="cs"/>
          <w:rtl/>
        </w:rPr>
        <w:t>אשרי</w:t>
      </w:r>
      <w:r w:rsidRPr="00663B54">
        <w:rPr>
          <w:rFonts w:cs="Arial"/>
          <w:rtl/>
        </w:rPr>
        <w:t xml:space="preserve"> </w:t>
      </w:r>
      <w:r w:rsidRPr="00663B54">
        <w:rPr>
          <w:rFonts w:cs="Arial" w:hint="cs"/>
          <w:rtl/>
        </w:rPr>
        <w:t>לו</w:t>
      </w:r>
      <w:r w:rsidRPr="00663B54">
        <w:rPr>
          <w:rFonts w:cs="Arial"/>
          <w:rtl/>
        </w:rPr>
        <w:t xml:space="preserve"> </w:t>
      </w:r>
      <w:r w:rsidRPr="00663B54">
        <w:rPr>
          <w:rFonts w:cs="Arial" w:hint="cs"/>
          <w:rtl/>
        </w:rPr>
        <w:t>דהוא</w:t>
      </w:r>
      <w:r w:rsidRPr="00663B54">
        <w:rPr>
          <w:rFonts w:cs="Arial"/>
          <w:rtl/>
        </w:rPr>
        <w:t xml:space="preserve"> </w:t>
      </w:r>
      <w:r w:rsidRPr="00663B54">
        <w:rPr>
          <w:rFonts w:cs="Arial" w:hint="cs"/>
          <w:rtl/>
        </w:rPr>
        <w:t>יוצא</w:t>
      </w:r>
      <w:r w:rsidRPr="00663B54">
        <w:rPr>
          <w:rFonts w:cs="Arial"/>
          <w:rtl/>
        </w:rPr>
        <w:t xml:space="preserve"> </w:t>
      </w:r>
      <w:r w:rsidRPr="00663B54">
        <w:rPr>
          <w:rFonts w:cs="Arial" w:hint="cs"/>
          <w:rtl/>
        </w:rPr>
        <w:t>בזה</w:t>
      </w:r>
      <w:r w:rsidRPr="00663B54">
        <w:rPr>
          <w:rFonts w:cs="Arial"/>
          <w:rtl/>
        </w:rPr>
        <w:t xml:space="preserve"> </w:t>
      </w:r>
      <w:r w:rsidRPr="00663B54">
        <w:rPr>
          <w:rFonts w:cs="Arial" w:hint="cs"/>
          <w:rtl/>
        </w:rPr>
        <w:t>ידי</w:t>
      </w:r>
      <w:r w:rsidRPr="00663B54">
        <w:rPr>
          <w:rFonts w:cs="Arial"/>
          <w:rtl/>
        </w:rPr>
        <w:t xml:space="preserve"> </w:t>
      </w:r>
      <w:r w:rsidRPr="00663B54">
        <w:rPr>
          <w:rFonts w:cs="Arial" w:hint="cs"/>
          <w:rtl/>
        </w:rPr>
        <w:t>שיטת</w:t>
      </w:r>
      <w:r w:rsidRPr="00663B54">
        <w:rPr>
          <w:rFonts w:cs="Arial"/>
          <w:rtl/>
        </w:rPr>
        <w:t xml:space="preserve"> </w:t>
      </w:r>
      <w:r w:rsidRPr="00663B54">
        <w:rPr>
          <w:rFonts w:cs="Arial" w:hint="cs"/>
          <w:rtl/>
        </w:rPr>
        <w:t>כל</w:t>
      </w:r>
      <w:r w:rsidRPr="00663B54">
        <w:rPr>
          <w:rFonts w:cs="Arial"/>
          <w:rtl/>
        </w:rPr>
        <w:t xml:space="preserve"> </w:t>
      </w:r>
      <w:r w:rsidRPr="00663B54">
        <w:rPr>
          <w:rFonts w:cs="Arial" w:hint="cs"/>
          <w:rtl/>
        </w:rPr>
        <w:t>הראשונים</w:t>
      </w:r>
      <w:r w:rsidRPr="00663B54">
        <w:rPr>
          <w:rFonts w:cs="Arial"/>
          <w:rtl/>
        </w:rPr>
        <w:t xml:space="preserve">. </w:t>
      </w:r>
      <w:r w:rsidRPr="00663B54">
        <w:rPr>
          <w:rFonts w:cs="Arial" w:hint="cs"/>
          <w:rtl/>
        </w:rPr>
        <w:t>ולענין</w:t>
      </w:r>
      <w:r w:rsidRPr="00663B54">
        <w:rPr>
          <w:rFonts w:cs="Arial"/>
          <w:rtl/>
        </w:rPr>
        <w:t xml:space="preserve"> </w:t>
      </w:r>
      <w:r w:rsidRPr="00663B54">
        <w:rPr>
          <w:rFonts w:cs="Arial" w:hint="cs"/>
          <w:rtl/>
        </w:rPr>
        <w:t>מוצ</w:t>
      </w:r>
      <w:r w:rsidRPr="00663B54">
        <w:rPr>
          <w:rFonts w:cs="Arial"/>
          <w:rtl/>
        </w:rPr>
        <w:t>"</w:t>
      </w:r>
      <w:r w:rsidRPr="00663B54">
        <w:rPr>
          <w:rFonts w:cs="Arial" w:hint="cs"/>
          <w:rtl/>
        </w:rPr>
        <w:t>ש</w:t>
      </w:r>
      <w:r w:rsidRPr="00663B54">
        <w:rPr>
          <w:rFonts w:cs="Arial"/>
          <w:rtl/>
        </w:rPr>
        <w:t xml:space="preserve"> </w:t>
      </w:r>
      <w:r w:rsidRPr="00663B54">
        <w:rPr>
          <w:rFonts w:cs="Arial" w:hint="cs"/>
          <w:rtl/>
        </w:rPr>
        <w:t>עיין</w:t>
      </w:r>
      <w:r w:rsidRPr="00663B54">
        <w:rPr>
          <w:rFonts w:cs="Arial"/>
          <w:rtl/>
        </w:rPr>
        <w:t xml:space="preserve"> </w:t>
      </w:r>
      <w:r w:rsidRPr="00663B54">
        <w:rPr>
          <w:rFonts w:cs="Arial" w:hint="cs"/>
          <w:rtl/>
        </w:rPr>
        <w:t>בבה</w:t>
      </w:r>
      <w:r w:rsidRPr="00663B54">
        <w:rPr>
          <w:rFonts w:cs="Arial"/>
          <w:rtl/>
        </w:rPr>
        <w:t>"</w:t>
      </w:r>
      <w:r w:rsidRPr="00663B54">
        <w:rPr>
          <w:rFonts w:cs="Arial" w:hint="cs"/>
          <w:rtl/>
        </w:rPr>
        <w:t>ל</w:t>
      </w:r>
      <w:r w:rsidRPr="00663B54">
        <w:rPr>
          <w:rFonts w:cs="Arial"/>
          <w:rtl/>
        </w:rPr>
        <w:t xml:space="preserve"> </w:t>
      </w:r>
      <w:r w:rsidRPr="00663B54">
        <w:rPr>
          <w:rFonts w:cs="Arial" w:hint="cs"/>
          <w:rtl/>
        </w:rPr>
        <w:t>שבארנו</w:t>
      </w:r>
      <w:r w:rsidRPr="00663B54">
        <w:rPr>
          <w:rFonts w:cs="Arial"/>
          <w:rtl/>
        </w:rPr>
        <w:t xml:space="preserve"> </w:t>
      </w:r>
      <w:r w:rsidRPr="00663B54">
        <w:rPr>
          <w:rFonts w:cs="Arial" w:hint="cs"/>
          <w:rtl/>
        </w:rPr>
        <w:t>בשם</w:t>
      </w:r>
      <w:r w:rsidRPr="00663B54">
        <w:rPr>
          <w:rFonts w:cs="Arial"/>
          <w:rtl/>
        </w:rPr>
        <w:t xml:space="preserve"> </w:t>
      </w:r>
      <w:r w:rsidRPr="00663B54">
        <w:rPr>
          <w:rFonts w:cs="Arial" w:hint="cs"/>
          <w:rtl/>
        </w:rPr>
        <w:t>הפוסקים</w:t>
      </w:r>
      <w:r w:rsidRPr="00663B54">
        <w:rPr>
          <w:rFonts w:cs="Arial"/>
          <w:rtl/>
        </w:rPr>
        <w:t xml:space="preserve"> </w:t>
      </w:r>
      <w:r w:rsidRPr="00663B54">
        <w:rPr>
          <w:rFonts w:cs="Arial" w:hint="cs"/>
          <w:rtl/>
        </w:rPr>
        <w:t>דלכ</w:t>
      </w:r>
      <w:r w:rsidRPr="00663B54">
        <w:rPr>
          <w:rFonts w:cs="Arial"/>
          <w:rtl/>
        </w:rPr>
        <w:t>"</w:t>
      </w:r>
      <w:r w:rsidRPr="00663B54">
        <w:rPr>
          <w:rFonts w:cs="Arial" w:hint="cs"/>
          <w:rtl/>
        </w:rPr>
        <w:t>ע</w:t>
      </w:r>
      <w:r w:rsidRPr="00663B54">
        <w:rPr>
          <w:rFonts w:cs="Arial"/>
          <w:rtl/>
        </w:rPr>
        <w:t xml:space="preserve"> </w:t>
      </w:r>
      <w:r w:rsidRPr="00663B54">
        <w:rPr>
          <w:rFonts w:cs="Arial" w:hint="cs"/>
          <w:rtl/>
        </w:rPr>
        <w:t>השעור</w:t>
      </w:r>
      <w:r w:rsidRPr="00663B54">
        <w:rPr>
          <w:rFonts w:cs="Arial"/>
          <w:rtl/>
        </w:rPr>
        <w:t xml:space="preserve"> </w:t>
      </w:r>
      <w:r w:rsidRPr="00663B54">
        <w:rPr>
          <w:rFonts w:cs="Arial" w:hint="cs"/>
          <w:rtl/>
        </w:rPr>
        <w:t>דג</w:t>
      </w:r>
      <w:r w:rsidRPr="00663B54">
        <w:rPr>
          <w:rFonts w:cs="Arial"/>
          <w:rtl/>
        </w:rPr>
        <w:t xml:space="preserve">' </w:t>
      </w:r>
      <w:r w:rsidRPr="00663B54">
        <w:rPr>
          <w:rFonts w:cs="Arial" w:hint="cs"/>
          <w:rtl/>
        </w:rPr>
        <w:t>רבעי</w:t>
      </w:r>
      <w:r w:rsidRPr="00663B54">
        <w:rPr>
          <w:rFonts w:cs="Arial"/>
          <w:rtl/>
        </w:rPr>
        <w:t xml:space="preserve"> </w:t>
      </w:r>
      <w:r w:rsidRPr="00663B54">
        <w:rPr>
          <w:rFonts w:cs="Arial" w:hint="cs"/>
          <w:rtl/>
        </w:rPr>
        <w:t>מיל</w:t>
      </w:r>
      <w:r w:rsidRPr="00663B54">
        <w:rPr>
          <w:rFonts w:cs="Arial"/>
          <w:rtl/>
        </w:rPr>
        <w:t xml:space="preserve"> </w:t>
      </w:r>
      <w:r w:rsidRPr="00663B54">
        <w:rPr>
          <w:rFonts w:cs="Arial" w:hint="cs"/>
          <w:rtl/>
        </w:rPr>
        <w:t>משתנה</w:t>
      </w:r>
      <w:r w:rsidRPr="00663B54">
        <w:rPr>
          <w:rFonts w:cs="Arial"/>
          <w:rtl/>
        </w:rPr>
        <w:t xml:space="preserve"> </w:t>
      </w:r>
      <w:r w:rsidRPr="00663B54">
        <w:rPr>
          <w:rFonts w:cs="Arial" w:hint="cs"/>
          <w:rtl/>
        </w:rPr>
        <w:t>לפי</w:t>
      </w:r>
      <w:r w:rsidRPr="00663B54">
        <w:rPr>
          <w:rFonts w:cs="Arial"/>
          <w:rtl/>
        </w:rPr>
        <w:t xml:space="preserve"> </w:t>
      </w:r>
      <w:r w:rsidRPr="00663B54">
        <w:rPr>
          <w:rFonts w:cs="Arial" w:hint="cs"/>
          <w:rtl/>
        </w:rPr>
        <w:t>הזמן</w:t>
      </w:r>
      <w:r w:rsidRPr="00663B54">
        <w:rPr>
          <w:rFonts w:cs="Arial"/>
          <w:rtl/>
        </w:rPr>
        <w:t xml:space="preserve"> </w:t>
      </w:r>
      <w:r w:rsidRPr="00663B54">
        <w:rPr>
          <w:rFonts w:cs="Arial" w:hint="cs"/>
          <w:rtl/>
        </w:rPr>
        <w:t>והמקום</w:t>
      </w:r>
      <w:r w:rsidRPr="00663B54">
        <w:rPr>
          <w:rFonts w:cs="Arial"/>
          <w:rtl/>
        </w:rPr>
        <w:t xml:space="preserve"> </w:t>
      </w:r>
      <w:r w:rsidRPr="00663B54">
        <w:rPr>
          <w:rFonts w:cs="Arial" w:hint="cs"/>
          <w:rtl/>
        </w:rPr>
        <w:t>ולא</w:t>
      </w:r>
      <w:r w:rsidRPr="00663B54">
        <w:rPr>
          <w:rFonts w:cs="Arial"/>
          <w:rtl/>
        </w:rPr>
        <w:t xml:space="preserve"> </w:t>
      </w:r>
      <w:r w:rsidRPr="00663B54">
        <w:rPr>
          <w:rFonts w:cs="Arial" w:hint="cs"/>
          <w:rtl/>
        </w:rPr>
        <w:t>נאמר</w:t>
      </w:r>
      <w:r w:rsidRPr="00663B54">
        <w:rPr>
          <w:rFonts w:cs="Arial"/>
          <w:rtl/>
        </w:rPr>
        <w:t xml:space="preserve"> </w:t>
      </w:r>
      <w:r w:rsidRPr="00663B54">
        <w:rPr>
          <w:rFonts w:cs="Arial" w:hint="cs"/>
          <w:rtl/>
        </w:rPr>
        <w:t>זה</w:t>
      </w:r>
      <w:r w:rsidRPr="00663B54">
        <w:rPr>
          <w:rFonts w:cs="Arial"/>
          <w:rtl/>
        </w:rPr>
        <w:t xml:space="preserve"> </w:t>
      </w:r>
      <w:r w:rsidRPr="00663B54">
        <w:rPr>
          <w:rFonts w:cs="Arial" w:hint="cs"/>
          <w:rtl/>
        </w:rPr>
        <w:t>בגמרא</w:t>
      </w:r>
      <w:r w:rsidRPr="00663B54">
        <w:rPr>
          <w:rFonts w:cs="Arial"/>
          <w:rtl/>
        </w:rPr>
        <w:t xml:space="preserve"> </w:t>
      </w:r>
      <w:r w:rsidRPr="00663B54">
        <w:rPr>
          <w:rFonts w:cs="Arial" w:hint="cs"/>
          <w:rtl/>
        </w:rPr>
        <w:t>אלא</w:t>
      </w:r>
      <w:r w:rsidRPr="00663B54">
        <w:rPr>
          <w:rFonts w:cs="Arial"/>
          <w:rtl/>
        </w:rPr>
        <w:t xml:space="preserve"> </w:t>
      </w:r>
      <w:r w:rsidRPr="00663B54">
        <w:rPr>
          <w:rFonts w:cs="Arial" w:hint="cs"/>
          <w:rtl/>
        </w:rPr>
        <w:t>באופק</w:t>
      </w:r>
      <w:r w:rsidRPr="00663B54">
        <w:rPr>
          <w:rFonts w:cs="Arial"/>
          <w:rtl/>
        </w:rPr>
        <w:t xml:space="preserve"> </w:t>
      </w:r>
      <w:r w:rsidRPr="00663B54">
        <w:rPr>
          <w:rFonts w:cs="Arial" w:hint="cs"/>
          <w:rtl/>
        </w:rPr>
        <w:t>בבל</w:t>
      </w:r>
      <w:r w:rsidRPr="00663B54">
        <w:rPr>
          <w:rFonts w:cs="Arial"/>
          <w:rtl/>
        </w:rPr>
        <w:t xml:space="preserve"> </w:t>
      </w:r>
      <w:r w:rsidRPr="00663B54">
        <w:rPr>
          <w:rFonts w:cs="Arial" w:hint="cs"/>
          <w:rtl/>
        </w:rPr>
        <w:t>ובזמן</w:t>
      </w:r>
      <w:r w:rsidRPr="00663B54">
        <w:rPr>
          <w:rFonts w:cs="Arial"/>
          <w:rtl/>
        </w:rPr>
        <w:t xml:space="preserve"> </w:t>
      </w:r>
      <w:r w:rsidRPr="00663B54">
        <w:rPr>
          <w:rFonts w:cs="Arial" w:hint="cs"/>
          <w:rtl/>
        </w:rPr>
        <w:t>ניסן</w:t>
      </w:r>
      <w:r w:rsidRPr="00663B54">
        <w:rPr>
          <w:rFonts w:cs="Arial"/>
          <w:rtl/>
        </w:rPr>
        <w:t xml:space="preserve"> </w:t>
      </w:r>
      <w:r w:rsidRPr="00663B54">
        <w:rPr>
          <w:rFonts w:cs="Arial" w:hint="cs"/>
          <w:rtl/>
        </w:rPr>
        <w:t>ותשרי</w:t>
      </w:r>
      <w:r w:rsidRPr="00663B54">
        <w:rPr>
          <w:rFonts w:cs="Arial"/>
          <w:rtl/>
        </w:rPr>
        <w:t xml:space="preserve"> </w:t>
      </w:r>
      <w:r w:rsidRPr="00663B54">
        <w:rPr>
          <w:rFonts w:cs="Arial" w:hint="cs"/>
          <w:rtl/>
        </w:rPr>
        <w:t>שהימים</w:t>
      </w:r>
      <w:r w:rsidRPr="00663B54">
        <w:rPr>
          <w:rFonts w:cs="Arial"/>
          <w:rtl/>
        </w:rPr>
        <w:t xml:space="preserve"> </w:t>
      </w:r>
      <w:r w:rsidRPr="00663B54">
        <w:rPr>
          <w:rFonts w:cs="Arial" w:hint="cs"/>
          <w:rtl/>
        </w:rPr>
        <w:t>והלילות</w:t>
      </w:r>
      <w:r w:rsidRPr="00663B54">
        <w:rPr>
          <w:rFonts w:cs="Arial"/>
          <w:rtl/>
        </w:rPr>
        <w:t xml:space="preserve"> </w:t>
      </w:r>
      <w:r w:rsidRPr="00663B54">
        <w:rPr>
          <w:rFonts w:cs="Arial" w:hint="cs"/>
          <w:rtl/>
        </w:rPr>
        <w:t>שוים</w:t>
      </w:r>
      <w:r w:rsidRPr="00663B54">
        <w:rPr>
          <w:rFonts w:cs="Arial"/>
          <w:rtl/>
        </w:rPr>
        <w:t xml:space="preserve"> </w:t>
      </w:r>
      <w:r w:rsidRPr="00663B54">
        <w:rPr>
          <w:rFonts w:cs="Arial" w:hint="cs"/>
          <w:rtl/>
        </w:rPr>
        <w:t>ובמקומותינו</w:t>
      </w:r>
      <w:r w:rsidRPr="00663B54">
        <w:rPr>
          <w:rFonts w:cs="Arial"/>
          <w:rtl/>
        </w:rPr>
        <w:t xml:space="preserve"> </w:t>
      </w:r>
      <w:r w:rsidRPr="00663B54">
        <w:rPr>
          <w:rFonts w:cs="Arial" w:hint="cs"/>
          <w:rtl/>
        </w:rPr>
        <w:t>שנוטה</w:t>
      </w:r>
      <w:r w:rsidRPr="00663B54">
        <w:rPr>
          <w:rFonts w:cs="Arial"/>
          <w:rtl/>
        </w:rPr>
        <w:t xml:space="preserve"> </w:t>
      </w:r>
      <w:r w:rsidRPr="00663B54">
        <w:rPr>
          <w:rFonts w:cs="Arial" w:hint="cs"/>
          <w:rtl/>
        </w:rPr>
        <w:t>לצד</w:t>
      </w:r>
      <w:r w:rsidRPr="00663B54">
        <w:rPr>
          <w:rFonts w:cs="Arial"/>
          <w:rtl/>
        </w:rPr>
        <w:t xml:space="preserve"> </w:t>
      </w:r>
      <w:r w:rsidRPr="00663B54">
        <w:rPr>
          <w:rFonts w:cs="Arial" w:hint="cs"/>
          <w:rtl/>
        </w:rPr>
        <w:t>צפון</w:t>
      </w:r>
      <w:r w:rsidRPr="00663B54">
        <w:rPr>
          <w:rFonts w:cs="Arial"/>
          <w:rtl/>
        </w:rPr>
        <w:t xml:space="preserve"> </w:t>
      </w:r>
      <w:r w:rsidRPr="00663B54">
        <w:rPr>
          <w:rFonts w:cs="Arial" w:hint="cs"/>
          <w:rtl/>
        </w:rPr>
        <w:t>העולם</w:t>
      </w:r>
      <w:r w:rsidRPr="00663B54">
        <w:rPr>
          <w:rFonts w:cs="Arial"/>
          <w:rtl/>
        </w:rPr>
        <w:t xml:space="preserve"> </w:t>
      </w:r>
      <w:r w:rsidRPr="00663B54">
        <w:rPr>
          <w:rFonts w:cs="Arial" w:hint="cs"/>
          <w:rtl/>
        </w:rPr>
        <w:t>מתארך</w:t>
      </w:r>
      <w:r w:rsidRPr="00663B54">
        <w:rPr>
          <w:rFonts w:cs="Arial"/>
          <w:rtl/>
        </w:rPr>
        <w:t xml:space="preserve"> </w:t>
      </w:r>
      <w:r w:rsidRPr="00663B54">
        <w:rPr>
          <w:rFonts w:cs="Arial" w:hint="cs"/>
          <w:rtl/>
        </w:rPr>
        <w:t>הרבה</w:t>
      </w:r>
      <w:r w:rsidRPr="00663B54">
        <w:rPr>
          <w:rFonts w:cs="Arial"/>
          <w:rtl/>
        </w:rPr>
        <w:t xml:space="preserve"> </w:t>
      </w:r>
      <w:r w:rsidRPr="00663B54">
        <w:rPr>
          <w:rFonts w:cs="Arial" w:hint="cs"/>
          <w:rtl/>
        </w:rPr>
        <w:t>יותר</w:t>
      </w:r>
      <w:r w:rsidRPr="00663B54">
        <w:rPr>
          <w:rFonts w:cs="Arial"/>
          <w:rtl/>
        </w:rPr>
        <w:t xml:space="preserve"> </w:t>
      </w:r>
      <w:r w:rsidRPr="00663B54">
        <w:rPr>
          <w:rFonts w:cs="Arial" w:hint="cs"/>
          <w:rtl/>
        </w:rPr>
        <w:t>ע</w:t>
      </w:r>
      <w:r w:rsidRPr="00663B54">
        <w:rPr>
          <w:rFonts w:cs="Arial"/>
          <w:rtl/>
        </w:rPr>
        <w:t>"</w:t>
      </w:r>
      <w:r w:rsidRPr="00663B54">
        <w:rPr>
          <w:rFonts w:cs="Arial" w:hint="cs"/>
          <w:rtl/>
        </w:rPr>
        <w:t>כ</w:t>
      </w:r>
      <w:r w:rsidRPr="00663B54">
        <w:rPr>
          <w:rFonts w:cs="Arial"/>
          <w:rtl/>
        </w:rPr>
        <w:t xml:space="preserve"> </w:t>
      </w:r>
      <w:r w:rsidRPr="00663B54">
        <w:rPr>
          <w:rFonts w:cs="Arial" w:hint="cs"/>
          <w:rtl/>
        </w:rPr>
        <w:t>יש</w:t>
      </w:r>
      <w:r w:rsidRPr="00663B54">
        <w:rPr>
          <w:rFonts w:cs="Arial"/>
          <w:rtl/>
        </w:rPr>
        <w:t xml:space="preserve"> </w:t>
      </w:r>
      <w:r w:rsidRPr="00663B54">
        <w:rPr>
          <w:rFonts w:cs="Arial" w:hint="cs"/>
          <w:rtl/>
        </w:rPr>
        <w:t>ליזהר</w:t>
      </w:r>
      <w:r w:rsidRPr="00663B54">
        <w:rPr>
          <w:rFonts w:cs="Arial"/>
          <w:rtl/>
        </w:rPr>
        <w:t xml:space="preserve"> </w:t>
      </w:r>
      <w:r w:rsidRPr="00663B54">
        <w:rPr>
          <w:rFonts w:cs="Arial" w:hint="cs"/>
          <w:rtl/>
        </w:rPr>
        <w:t>מאד</w:t>
      </w:r>
      <w:r w:rsidRPr="00663B54">
        <w:rPr>
          <w:rFonts w:cs="Arial"/>
          <w:rtl/>
        </w:rPr>
        <w:t xml:space="preserve"> </w:t>
      </w:r>
      <w:r w:rsidRPr="00663B54">
        <w:rPr>
          <w:rFonts w:cs="Arial" w:hint="cs"/>
          <w:rtl/>
        </w:rPr>
        <w:t>שלא</w:t>
      </w:r>
      <w:r w:rsidRPr="00663B54">
        <w:rPr>
          <w:rFonts w:cs="Arial"/>
          <w:rtl/>
        </w:rPr>
        <w:t xml:space="preserve"> </w:t>
      </w:r>
      <w:r w:rsidRPr="00663B54">
        <w:rPr>
          <w:rFonts w:cs="Arial" w:hint="cs"/>
          <w:rtl/>
        </w:rPr>
        <w:t>לעשות</w:t>
      </w:r>
      <w:r w:rsidRPr="00663B54">
        <w:rPr>
          <w:rFonts w:cs="Arial"/>
          <w:rtl/>
        </w:rPr>
        <w:t xml:space="preserve"> </w:t>
      </w:r>
      <w:r w:rsidRPr="00663B54">
        <w:rPr>
          <w:rFonts w:cs="Arial" w:hint="cs"/>
          <w:rtl/>
        </w:rPr>
        <w:t>מלאכה</w:t>
      </w:r>
      <w:r w:rsidRPr="00663B54">
        <w:rPr>
          <w:rFonts w:cs="Arial"/>
          <w:rtl/>
        </w:rPr>
        <w:t xml:space="preserve"> </w:t>
      </w:r>
      <w:r w:rsidRPr="00663B54">
        <w:rPr>
          <w:rFonts w:cs="Arial" w:hint="cs"/>
          <w:rtl/>
        </w:rPr>
        <w:t>במוצ</w:t>
      </w:r>
      <w:r w:rsidRPr="00663B54">
        <w:rPr>
          <w:rFonts w:cs="Arial"/>
          <w:rtl/>
        </w:rPr>
        <w:t>"</w:t>
      </w:r>
      <w:r w:rsidRPr="00663B54">
        <w:rPr>
          <w:rFonts w:cs="Arial" w:hint="cs"/>
          <w:rtl/>
        </w:rPr>
        <w:t>ש</w:t>
      </w:r>
      <w:r w:rsidRPr="00663B54">
        <w:rPr>
          <w:rFonts w:cs="Arial"/>
          <w:rtl/>
        </w:rPr>
        <w:t xml:space="preserve"> </w:t>
      </w:r>
      <w:r w:rsidRPr="00663B54">
        <w:rPr>
          <w:rFonts w:cs="Arial" w:hint="cs"/>
          <w:rtl/>
        </w:rPr>
        <w:t>אף</w:t>
      </w:r>
      <w:r w:rsidRPr="00663B54">
        <w:rPr>
          <w:rFonts w:cs="Arial"/>
          <w:rtl/>
        </w:rPr>
        <w:t xml:space="preserve"> </w:t>
      </w:r>
      <w:r w:rsidRPr="00663B54">
        <w:rPr>
          <w:rFonts w:cs="Arial" w:hint="cs"/>
          <w:rtl/>
        </w:rPr>
        <w:t>שנתאחר</w:t>
      </w:r>
      <w:r w:rsidRPr="00663B54">
        <w:rPr>
          <w:rFonts w:cs="Arial"/>
          <w:rtl/>
        </w:rPr>
        <w:t xml:space="preserve"> </w:t>
      </w:r>
      <w:r w:rsidRPr="00663B54">
        <w:rPr>
          <w:rFonts w:cs="Arial" w:hint="cs"/>
          <w:rtl/>
        </w:rPr>
        <w:t>זמן</w:t>
      </w:r>
      <w:r w:rsidRPr="00663B54">
        <w:rPr>
          <w:rFonts w:cs="Arial"/>
          <w:rtl/>
        </w:rPr>
        <w:t xml:space="preserve"> </w:t>
      </w:r>
      <w:r w:rsidRPr="00663B54">
        <w:rPr>
          <w:rFonts w:cs="Arial" w:hint="cs"/>
          <w:rtl/>
        </w:rPr>
        <w:t>רב</w:t>
      </w:r>
      <w:r w:rsidRPr="00663B54">
        <w:rPr>
          <w:rFonts w:cs="Arial"/>
          <w:rtl/>
        </w:rPr>
        <w:t xml:space="preserve"> </w:t>
      </w:r>
      <w:r w:rsidRPr="00663B54">
        <w:rPr>
          <w:rFonts w:cs="Arial" w:hint="cs"/>
          <w:rtl/>
        </w:rPr>
        <w:t>אחר</w:t>
      </w:r>
      <w:r w:rsidRPr="00663B54">
        <w:rPr>
          <w:rFonts w:cs="Arial"/>
          <w:rtl/>
        </w:rPr>
        <w:t xml:space="preserve"> </w:t>
      </w:r>
      <w:r w:rsidRPr="00663B54">
        <w:rPr>
          <w:rFonts w:cs="Arial" w:hint="cs"/>
          <w:rtl/>
        </w:rPr>
        <w:t>השקיעה</w:t>
      </w:r>
      <w:r w:rsidRPr="00663B54">
        <w:rPr>
          <w:rFonts w:cs="Arial"/>
          <w:rtl/>
        </w:rPr>
        <w:t xml:space="preserve"> </w:t>
      </w:r>
      <w:r w:rsidRPr="00663B54">
        <w:rPr>
          <w:rFonts w:cs="Arial" w:hint="cs"/>
          <w:rtl/>
        </w:rPr>
        <w:t>עד</w:t>
      </w:r>
      <w:r w:rsidRPr="00663B54">
        <w:rPr>
          <w:rFonts w:cs="Arial"/>
          <w:rtl/>
        </w:rPr>
        <w:t xml:space="preserve"> </w:t>
      </w:r>
      <w:r w:rsidRPr="00663B54">
        <w:rPr>
          <w:rFonts w:cs="Arial" w:hint="cs"/>
          <w:rtl/>
        </w:rPr>
        <w:t>שיראו</w:t>
      </w:r>
      <w:r w:rsidRPr="00663B54">
        <w:rPr>
          <w:rFonts w:cs="Arial"/>
          <w:rtl/>
        </w:rPr>
        <w:t xml:space="preserve"> </w:t>
      </w:r>
      <w:r w:rsidRPr="00663B54">
        <w:rPr>
          <w:rFonts w:cs="Arial" w:hint="cs"/>
          <w:rtl/>
        </w:rPr>
        <w:t>ג</w:t>
      </w:r>
      <w:r w:rsidRPr="00663B54">
        <w:rPr>
          <w:rFonts w:cs="Arial"/>
          <w:rtl/>
        </w:rPr>
        <w:t xml:space="preserve">' </w:t>
      </w:r>
      <w:r w:rsidRPr="00663B54">
        <w:rPr>
          <w:rFonts w:cs="Arial" w:hint="cs"/>
          <w:rtl/>
        </w:rPr>
        <w:t>כוכבים</w:t>
      </w:r>
      <w:r w:rsidRPr="00663B54">
        <w:rPr>
          <w:rFonts w:cs="Arial"/>
          <w:rtl/>
        </w:rPr>
        <w:t xml:space="preserve"> </w:t>
      </w:r>
      <w:r w:rsidRPr="00663B54">
        <w:rPr>
          <w:rFonts w:cs="Arial" w:hint="cs"/>
          <w:rtl/>
        </w:rPr>
        <w:t>קטנים</w:t>
      </w:r>
      <w:r w:rsidRPr="00663B54">
        <w:rPr>
          <w:rFonts w:cs="Arial"/>
          <w:rtl/>
        </w:rPr>
        <w:t xml:space="preserve"> </w:t>
      </w:r>
      <w:r w:rsidRPr="00663B54">
        <w:rPr>
          <w:rFonts w:cs="Arial" w:hint="cs"/>
          <w:rtl/>
        </w:rPr>
        <w:t>וכדלקמן</w:t>
      </w:r>
      <w:r w:rsidRPr="00663B54">
        <w:rPr>
          <w:rFonts w:cs="Arial"/>
          <w:rtl/>
        </w:rPr>
        <w:t xml:space="preserve"> </w:t>
      </w:r>
      <w:r w:rsidRPr="00663B54">
        <w:rPr>
          <w:rFonts w:cs="Arial" w:hint="cs"/>
          <w:rtl/>
        </w:rPr>
        <w:t>בסימן</w:t>
      </w:r>
      <w:r w:rsidRPr="00663B54">
        <w:rPr>
          <w:rFonts w:cs="Arial"/>
          <w:rtl/>
        </w:rPr>
        <w:t xml:space="preserve"> </w:t>
      </w:r>
      <w:r w:rsidRPr="00663B54">
        <w:rPr>
          <w:rFonts w:cs="Arial" w:hint="cs"/>
          <w:rtl/>
        </w:rPr>
        <w:t>רצ</w:t>
      </w:r>
      <w:r w:rsidRPr="00663B54">
        <w:rPr>
          <w:rFonts w:cs="Arial"/>
          <w:rtl/>
        </w:rPr>
        <w:t>"</w:t>
      </w:r>
      <w:r w:rsidRPr="00663B54">
        <w:rPr>
          <w:rFonts w:cs="Arial" w:hint="cs"/>
          <w:rtl/>
        </w:rPr>
        <w:t>ג</w:t>
      </w:r>
      <w:r w:rsidRPr="00663B54">
        <w:rPr>
          <w:rFonts w:cs="Arial"/>
          <w:rtl/>
        </w:rPr>
        <w:t xml:space="preserve"> </w:t>
      </w:r>
      <w:r w:rsidRPr="00663B54">
        <w:rPr>
          <w:rFonts w:cs="Arial" w:hint="cs"/>
          <w:rtl/>
        </w:rPr>
        <w:t>ס</w:t>
      </w:r>
      <w:r w:rsidRPr="00663B54">
        <w:rPr>
          <w:rFonts w:cs="Arial"/>
          <w:rtl/>
        </w:rPr>
        <w:t>"</w:t>
      </w:r>
      <w:r w:rsidRPr="00663B54">
        <w:rPr>
          <w:rFonts w:cs="Arial" w:hint="cs"/>
          <w:rtl/>
        </w:rPr>
        <w:t>ב</w:t>
      </w:r>
      <w:r w:rsidRPr="00663B54">
        <w:rPr>
          <w:rFonts w:cs="Arial"/>
          <w:rtl/>
        </w:rPr>
        <w:t xml:space="preserve"> </w:t>
      </w:r>
      <w:r w:rsidRPr="00663B54">
        <w:rPr>
          <w:rFonts w:cs="Arial" w:hint="cs"/>
          <w:rtl/>
        </w:rPr>
        <w:t>ועי</w:t>
      </w:r>
      <w:r w:rsidRPr="00663B54">
        <w:rPr>
          <w:rFonts w:cs="Arial"/>
          <w:rtl/>
        </w:rPr>
        <w:t>"</w:t>
      </w:r>
      <w:r w:rsidRPr="00663B54">
        <w:rPr>
          <w:rFonts w:cs="Arial" w:hint="cs"/>
          <w:rtl/>
        </w:rPr>
        <w:t>ש</w:t>
      </w:r>
      <w:r w:rsidRPr="00663B54">
        <w:rPr>
          <w:rFonts w:cs="Arial"/>
          <w:rtl/>
        </w:rPr>
        <w:t xml:space="preserve"> </w:t>
      </w:r>
      <w:r w:rsidRPr="00663B54">
        <w:rPr>
          <w:rFonts w:cs="Arial" w:hint="cs"/>
          <w:rtl/>
        </w:rPr>
        <w:t>במ</w:t>
      </w:r>
      <w:r w:rsidRPr="00663B54">
        <w:rPr>
          <w:rFonts w:cs="Arial"/>
          <w:rtl/>
        </w:rPr>
        <w:t>"</w:t>
      </w:r>
      <w:r w:rsidRPr="00663B54">
        <w:rPr>
          <w:rFonts w:cs="Arial" w:hint="cs"/>
          <w:rtl/>
        </w:rPr>
        <w:t>ב</w:t>
      </w:r>
      <w:r w:rsidRPr="00663B54">
        <w:rPr>
          <w:rFonts w:cs="Arial"/>
          <w:rtl/>
        </w:rPr>
        <w:t xml:space="preserve"> </w:t>
      </w:r>
      <w:r w:rsidRPr="00663B54">
        <w:rPr>
          <w:rFonts w:cs="Arial" w:hint="cs"/>
          <w:rtl/>
        </w:rPr>
        <w:t>ובה</w:t>
      </w:r>
      <w:r w:rsidRPr="00663B54">
        <w:rPr>
          <w:rFonts w:cs="Arial"/>
          <w:rtl/>
        </w:rPr>
        <w:t>"</w:t>
      </w:r>
      <w:r w:rsidRPr="00663B54">
        <w:rPr>
          <w:rFonts w:cs="Arial" w:hint="cs"/>
          <w:rtl/>
        </w:rPr>
        <w:t>ל</w:t>
      </w:r>
      <w:r>
        <w:rPr>
          <w:rFonts w:cs="Arial" w:hint="cs"/>
          <w:rtl/>
        </w:rPr>
        <w:t>, משנ"ב (סקכ"ג).</w:t>
      </w:r>
    </w:p>
  </w:footnote>
  <w:footnote w:id="607">
    <w:p w14:paraId="6A21102D" w14:textId="77777777" w:rsidR="004B2E7C" w:rsidRDefault="004B2E7C" w:rsidP="00285819">
      <w:pPr>
        <w:pStyle w:val="a7"/>
      </w:pPr>
      <w:r>
        <w:rPr>
          <w:rStyle w:val="a9"/>
        </w:rPr>
        <w:footnoteRef/>
      </w:r>
      <w:r>
        <w:rPr>
          <w:rtl/>
        </w:rPr>
        <w:t xml:space="preserve"> </w:t>
      </w:r>
      <w:r>
        <w:rPr>
          <w:rFonts w:hint="cs"/>
          <w:rtl/>
        </w:rPr>
        <w:t xml:space="preserve">וז"ל- </w:t>
      </w:r>
      <w:r w:rsidRPr="0056384F">
        <w:rPr>
          <w:rFonts w:cs="Arial" w:hint="cs"/>
          <w:rtl/>
        </w:rPr>
        <w:t>אוקימנא</w:t>
      </w:r>
      <w:r w:rsidRPr="0056384F">
        <w:rPr>
          <w:rFonts w:cs="Arial"/>
          <w:rtl/>
        </w:rPr>
        <w:t xml:space="preserve"> </w:t>
      </w:r>
      <w:r w:rsidRPr="0056384F">
        <w:rPr>
          <w:rFonts w:cs="Arial" w:hint="cs"/>
          <w:rtl/>
        </w:rPr>
        <w:t>מתניתין</w:t>
      </w:r>
      <w:r w:rsidRPr="0056384F">
        <w:rPr>
          <w:rFonts w:cs="Arial"/>
          <w:rtl/>
        </w:rPr>
        <w:t xml:space="preserve"> </w:t>
      </w:r>
      <w:r w:rsidRPr="0056384F">
        <w:rPr>
          <w:rFonts w:cs="Arial" w:hint="cs"/>
          <w:rtl/>
        </w:rPr>
        <w:t>דספק</w:t>
      </w:r>
      <w:r w:rsidRPr="0056384F">
        <w:rPr>
          <w:rFonts w:cs="Arial"/>
          <w:rtl/>
        </w:rPr>
        <w:t xml:space="preserve"> </w:t>
      </w:r>
      <w:r w:rsidRPr="0056384F">
        <w:rPr>
          <w:rFonts w:cs="Arial" w:hint="cs"/>
          <w:rtl/>
        </w:rPr>
        <w:t>חשכה</w:t>
      </w:r>
      <w:r w:rsidRPr="0056384F">
        <w:rPr>
          <w:rFonts w:cs="Arial"/>
          <w:rtl/>
        </w:rPr>
        <w:t xml:space="preserve"> </w:t>
      </w:r>
      <w:r w:rsidRPr="0056384F">
        <w:rPr>
          <w:rFonts w:cs="Arial" w:hint="cs"/>
          <w:rtl/>
        </w:rPr>
        <w:t>מערבין</w:t>
      </w:r>
      <w:r w:rsidRPr="0056384F">
        <w:rPr>
          <w:rFonts w:cs="Arial"/>
          <w:rtl/>
        </w:rPr>
        <w:t xml:space="preserve"> </w:t>
      </w:r>
      <w:r w:rsidRPr="0056384F">
        <w:rPr>
          <w:rFonts w:cs="Arial" w:hint="cs"/>
          <w:rtl/>
        </w:rPr>
        <w:t>בערובי</w:t>
      </w:r>
      <w:r w:rsidRPr="0056384F">
        <w:rPr>
          <w:rFonts w:cs="Arial"/>
          <w:rtl/>
        </w:rPr>
        <w:t xml:space="preserve"> </w:t>
      </w:r>
      <w:r w:rsidRPr="0056384F">
        <w:rPr>
          <w:rFonts w:cs="Arial" w:hint="cs"/>
          <w:rtl/>
        </w:rPr>
        <w:t>חצרות</w:t>
      </w:r>
      <w:r>
        <w:rPr>
          <w:rFonts w:cs="Arial" w:hint="cs"/>
          <w:rtl/>
        </w:rPr>
        <w:t>,</w:t>
      </w:r>
      <w:r w:rsidRPr="0056384F">
        <w:rPr>
          <w:rFonts w:cs="Arial"/>
          <w:rtl/>
        </w:rPr>
        <w:t xml:space="preserve"> </w:t>
      </w:r>
      <w:r w:rsidRPr="0056384F">
        <w:rPr>
          <w:rFonts w:cs="Arial" w:hint="cs"/>
          <w:rtl/>
        </w:rPr>
        <w:t>וכ</w:t>
      </w:r>
      <w:r w:rsidRPr="0056384F">
        <w:rPr>
          <w:rFonts w:cs="Arial"/>
          <w:rtl/>
        </w:rPr>
        <w:t>"</w:t>
      </w:r>
      <w:r w:rsidRPr="0056384F">
        <w:rPr>
          <w:rFonts w:cs="Arial" w:hint="cs"/>
          <w:rtl/>
        </w:rPr>
        <w:t>פ</w:t>
      </w:r>
      <w:r w:rsidRPr="0056384F">
        <w:rPr>
          <w:rFonts w:cs="Arial"/>
          <w:rtl/>
        </w:rPr>
        <w:t xml:space="preserve"> </w:t>
      </w:r>
      <w:r w:rsidRPr="0056384F">
        <w:rPr>
          <w:rFonts w:cs="Arial" w:hint="cs"/>
          <w:rtl/>
        </w:rPr>
        <w:t>ר</w:t>
      </w:r>
      <w:r w:rsidRPr="0056384F">
        <w:rPr>
          <w:rFonts w:cs="Arial"/>
          <w:rtl/>
        </w:rPr>
        <w:t>"</w:t>
      </w:r>
      <w:r w:rsidRPr="0056384F">
        <w:rPr>
          <w:rFonts w:cs="Arial" w:hint="cs"/>
          <w:rtl/>
        </w:rPr>
        <w:t>ח</w:t>
      </w:r>
      <w:r w:rsidRPr="0056384F">
        <w:rPr>
          <w:rFonts w:cs="Arial"/>
          <w:rtl/>
        </w:rPr>
        <w:t xml:space="preserve"> </w:t>
      </w:r>
      <w:r w:rsidRPr="0056384F">
        <w:rPr>
          <w:rFonts w:cs="Arial" w:hint="cs"/>
          <w:rtl/>
        </w:rPr>
        <w:t>וכן</w:t>
      </w:r>
      <w:r w:rsidRPr="0056384F">
        <w:rPr>
          <w:rFonts w:cs="Arial"/>
          <w:rtl/>
        </w:rPr>
        <w:t xml:space="preserve"> </w:t>
      </w:r>
      <w:r w:rsidRPr="0056384F">
        <w:rPr>
          <w:rFonts w:cs="Arial" w:hint="cs"/>
          <w:rtl/>
        </w:rPr>
        <w:t>פי</w:t>
      </w:r>
      <w:r w:rsidRPr="0056384F">
        <w:rPr>
          <w:rFonts w:cs="Arial"/>
          <w:rtl/>
        </w:rPr>
        <w:t xml:space="preserve">' </w:t>
      </w:r>
      <w:r w:rsidRPr="0056384F">
        <w:rPr>
          <w:rFonts w:cs="Arial" w:hint="cs"/>
          <w:rtl/>
        </w:rPr>
        <w:t>בהדיא</w:t>
      </w:r>
      <w:r w:rsidRPr="0056384F">
        <w:rPr>
          <w:rFonts w:cs="Arial"/>
          <w:rtl/>
        </w:rPr>
        <w:t xml:space="preserve"> </w:t>
      </w:r>
      <w:r w:rsidRPr="0056384F">
        <w:rPr>
          <w:rFonts w:cs="Arial" w:hint="cs"/>
          <w:rtl/>
        </w:rPr>
        <w:t>בירושלמי</w:t>
      </w:r>
      <w:r>
        <w:rPr>
          <w:rFonts w:cs="Arial" w:hint="cs"/>
          <w:rtl/>
        </w:rPr>
        <w:t>.</w:t>
      </w:r>
      <w:r w:rsidRPr="0056384F">
        <w:rPr>
          <w:rFonts w:cs="Arial"/>
          <w:rtl/>
        </w:rPr>
        <w:t xml:space="preserve"> </w:t>
      </w:r>
      <w:r w:rsidRPr="0056384F">
        <w:rPr>
          <w:rFonts w:cs="Arial" w:hint="cs"/>
          <w:rtl/>
        </w:rPr>
        <w:t>וה</w:t>
      </w:r>
      <w:r w:rsidRPr="0056384F">
        <w:rPr>
          <w:rFonts w:cs="Arial"/>
          <w:rtl/>
        </w:rPr>
        <w:t>"</w:t>
      </w:r>
      <w:r w:rsidRPr="0056384F">
        <w:rPr>
          <w:rFonts w:cs="Arial" w:hint="cs"/>
          <w:rtl/>
        </w:rPr>
        <w:t>ה</w:t>
      </w:r>
      <w:r w:rsidRPr="0056384F">
        <w:rPr>
          <w:rFonts w:cs="Arial"/>
          <w:rtl/>
        </w:rPr>
        <w:t xml:space="preserve"> </w:t>
      </w:r>
      <w:r w:rsidRPr="0056384F">
        <w:rPr>
          <w:rFonts w:cs="Arial" w:hint="cs"/>
          <w:rtl/>
        </w:rPr>
        <w:t>עירובי</w:t>
      </w:r>
      <w:r w:rsidRPr="0056384F">
        <w:rPr>
          <w:rFonts w:cs="Arial"/>
          <w:rtl/>
        </w:rPr>
        <w:t xml:space="preserve"> </w:t>
      </w:r>
      <w:r w:rsidRPr="0056384F">
        <w:rPr>
          <w:rFonts w:cs="Arial" w:hint="cs"/>
          <w:rtl/>
        </w:rPr>
        <w:t>תבשילין</w:t>
      </w:r>
      <w:r w:rsidRPr="0056384F">
        <w:rPr>
          <w:rFonts w:cs="Arial"/>
          <w:rtl/>
        </w:rPr>
        <w:t xml:space="preserve"> </w:t>
      </w:r>
      <w:r w:rsidRPr="0056384F">
        <w:rPr>
          <w:rFonts w:cs="Arial" w:hint="cs"/>
          <w:rtl/>
        </w:rPr>
        <w:t>ספק</w:t>
      </w:r>
      <w:r w:rsidRPr="0056384F">
        <w:rPr>
          <w:rFonts w:cs="Arial"/>
          <w:rtl/>
        </w:rPr>
        <w:t xml:space="preserve"> </w:t>
      </w:r>
      <w:r w:rsidRPr="0056384F">
        <w:rPr>
          <w:rFonts w:cs="Arial" w:hint="cs"/>
          <w:rtl/>
        </w:rPr>
        <w:t>חשיכה</w:t>
      </w:r>
      <w:r w:rsidRPr="0056384F">
        <w:rPr>
          <w:rFonts w:cs="Arial"/>
          <w:rtl/>
        </w:rPr>
        <w:t xml:space="preserve"> </w:t>
      </w:r>
      <w:r w:rsidRPr="0056384F">
        <w:rPr>
          <w:rFonts w:cs="Arial" w:hint="cs"/>
          <w:rtl/>
        </w:rPr>
        <w:t>מערבין</w:t>
      </w:r>
      <w:r>
        <w:rPr>
          <w:rFonts w:cs="Arial" w:hint="cs"/>
          <w:rtl/>
        </w:rPr>
        <w:t>.</w:t>
      </w:r>
      <w:r w:rsidRPr="0056384F">
        <w:rPr>
          <w:rFonts w:cs="Arial"/>
          <w:rtl/>
        </w:rPr>
        <w:t xml:space="preserve"> </w:t>
      </w:r>
      <w:r>
        <w:rPr>
          <w:rFonts w:cs="Arial" w:hint="cs"/>
          <w:rtl/>
        </w:rPr>
        <w:t>ו</w:t>
      </w:r>
      <w:r w:rsidRPr="0056384F">
        <w:rPr>
          <w:rFonts w:cs="Arial" w:hint="cs"/>
          <w:rtl/>
        </w:rPr>
        <w:t>פסק</w:t>
      </w:r>
      <w:r w:rsidRPr="0056384F">
        <w:rPr>
          <w:rFonts w:cs="Arial"/>
          <w:rtl/>
        </w:rPr>
        <w:t xml:space="preserve"> </w:t>
      </w:r>
      <w:r w:rsidRPr="0056384F">
        <w:rPr>
          <w:rFonts w:cs="Arial" w:hint="cs"/>
          <w:rtl/>
        </w:rPr>
        <w:t>ר</w:t>
      </w:r>
      <w:r w:rsidRPr="0056384F">
        <w:rPr>
          <w:rFonts w:cs="Arial"/>
          <w:rtl/>
        </w:rPr>
        <w:t xml:space="preserve">' </w:t>
      </w:r>
      <w:r w:rsidRPr="0056384F">
        <w:rPr>
          <w:rFonts w:cs="Arial" w:hint="cs"/>
          <w:rtl/>
        </w:rPr>
        <w:t>יואל</w:t>
      </w:r>
      <w:r w:rsidRPr="0056384F">
        <w:rPr>
          <w:rFonts w:cs="Arial"/>
          <w:rtl/>
        </w:rPr>
        <w:t xml:space="preserve"> </w:t>
      </w:r>
      <w:r w:rsidRPr="0056384F">
        <w:rPr>
          <w:rFonts w:cs="Arial" w:hint="cs"/>
          <w:rtl/>
        </w:rPr>
        <w:t>וה</w:t>
      </w:r>
      <w:r w:rsidRPr="0056384F">
        <w:rPr>
          <w:rFonts w:cs="Arial"/>
          <w:rtl/>
        </w:rPr>
        <w:t>"</w:t>
      </w:r>
      <w:r w:rsidRPr="0056384F">
        <w:rPr>
          <w:rFonts w:cs="Arial" w:hint="cs"/>
          <w:rtl/>
        </w:rPr>
        <w:t>ה</w:t>
      </w:r>
      <w:r w:rsidRPr="0056384F">
        <w:rPr>
          <w:rFonts w:cs="Arial"/>
          <w:rtl/>
        </w:rPr>
        <w:t xml:space="preserve"> </w:t>
      </w:r>
      <w:r w:rsidRPr="0056384F">
        <w:rPr>
          <w:rFonts w:cs="Arial" w:hint="cs"/>
          <w:rtl/>
        </w:rPr>
        <w:t>לאחר</w:t>
      </w:r>
      <w:r w:rsidRPr="0056384F">
        <w:rPr>
          <w:rFonts w:cs="Arial"/>
          <w:rtl/>
        </w:rPr>
        <w:t xml:space="preserve"> </w:t>
      </w:r>
      <w:r w:rsidRPr="0056384F">
        <w:rPr>
          <w:rFonts w:cs="Arial" w:hint="cs"/>
          <w:rtl/>
        </w:rPr>
        <w:t>תפלת</w:t>
      </w:r>
      <w:r w:rsidRPr="0056384F">
        <w:rPr>
          <w:rFonts w:cs="Arial"/>
          <w:rtl/>
        </w:rPr>
        <w:t xml:space="preserve"> </w:t>
      </w:r>
      <w:r w:rsidRPr="0056384F">
        <w:rPr>
          <w:rFonts w:cs="Arial" w:hint="cs"/>
          <w:rtl/>
        </w:rPr>
        <w:t>ערבית</w:t>
      </w:r>
      <w:r w:rsidRPr="0056384F">
        <w:rPr>
          <w:rFonts w:cs="Arial"/>
          <w:rtl/>
        </w:rPr>
        <w:t xml:space="preserve"> </w:t>
      </w:r>
      <w:r w:rsidRPr="0056384F">
        <w:rPr>
          <w:rFonts w:cs="Arial" w:hint="cs"/>
          <w:rtl/>
        </w:rPr>
        <w:t>יכולין</w:t>
      </w:r>
      <w:r w:rsidRPr="0056384F">
        <w:rPr>
          <w:rFonts w:cs="Arial"/>
          <w:rtl/>
        </w:rPr>
        <w:t xml:space="preserve"> </w:t>
      </w:r>
      <w:r w:rsidRPr="0056384F">
        <w:rPr>
          <w:rFonts w:cs="Arial" w:hint="cs"/>
          <w:rtl/>
        </w:rPr>
        <w:t>לערב</w:t>
      </w:r>
      <w:r w:rsidRPr="0056384F">
        <w:rPr>
          <w:rFonts w:cs="Arial"/>
          <w:rtl/>
        </w:rPr>
        <w:t xml:space="preserve"> </w:t>
      </w:r>
      <w:r w:rsidRPr="0056384F">
        <w:rPr>
          <w:rFonts w:cs="Arial" w:hint="cs"/>
          <w:rtl/>
        </w:rPr>
        <w:t>אם</w:t>
      </w:r>
      <w:r w:rsidRPr="0056384F">
        <w:rPr>
          <w:rFonts w:cs="Arial"/>
          <w:rtl/>
        </w:rPr>
        <w:t xml:space="preserve"> </w:t>
      </w:r>
      <w:r w:rsidRPr="0056384F">
        <w:rPr>
          <w:rFonts w:cs="Arial" w:hint="cs"/>
          <w:rtl/>
        </w:rPr>
        <w:t>יום</w:t>
      </w:r>
      <w:r w:rsidRPr="0056384F">
        <w:rPr>
          <w:rFonts w:cs="Arial"/>
          <w:rtl/>
        </w:rPr>
        <w:t xml:space="preserve"> </w:t>
      </w:r>
      <w:r w:rsidRPr="0056384F">
        <w:rPr>
          <w:rFonts w:cs="Arial" w:hint="cs"/>
          <w:rtl/>
        </w:rPr>
        <w:t>הוא</w:t>
      </w:r>
      <w:r>
        <w:rPr>
          <w:rFonts w:cs="Arial" w:hint="cs"/>
          <w:rtl/>
        </w:rPr>
        <w:t>,</w:t>
      </w:r>
      <w:r w:rsidRPr="0056384F">
        <w:rPr>
          <w:rFonts w:cs="Arial"/>
          <w:rtl/>
        </w:rPr>
        <w:t xml:space="preserve"> </w:t>
      </w:r>
      <w:r w:rsidRPr="0056384F">
        <w:rPr>
          <w:rFonts w:cs="Arial" w:hint="cs"/>
          <w:rtl/>
        </w:rPr>
        <w:t>דעניית</w:t>
      </w:r>
      <w:r w:rsidRPr="0056384F">
        <w:rPr>
          <w:rFonts w:cs="Arial"/>
          <w:rtl/>
        </w:rPr>
        <w:t xml:space="preserve"> </w:t>
      </w:r>
      <w:r w:rsidRPr="0056384F">
        <w:rPr>
          <w:rFonts w:cs="Arial" w:hint="cs"/>
          <w:rtl/>
        </w:rPr>
        <w:t>ברכו</w:t>
      </w:r>
      <w:r w:rsidRPr="0056384F">
        <w:rPr>
          <w:rFonts w:cs="Arial"/>
          <w:rtl/>
        </w:rPr>
        <w:t xml:space="preserve"> </w:t>
      </w:r>
      <w:r w:rsidRPr="0056384F">
        <w:rPr>
          <w:rFonts w:cs="Arial" w:hint="cs"/>
          <w:rtl/>
        </w:rPr>
        <w:t>כתקיעת</w:t>
      </w:r>
      <w:r w:rsidRPr="0056384F">
        <w:rPr>
          <w:rFonts w:cs="Arial"/>
          <w:rtl/>
        </w:rPr>
        <w:t xml:space="preserve"> </w:t>
      </w:r>
      <w:r w:rsidRPr="0056384F">
        <w:rPr>
          <w:rFonts w:cs="Arial" w:hint="cs"/>
          <w:rtl/>
        </w:rPr>
        <w:t>שופר</w:t>
      </w:r>
      <w:r w:rsidRPr="0056384F">
        <w:rPr>
          <w:rFonts w:cs="Arial"/>
          <w:rtl/>
        </w:rPr>
        <w:t xml:space="preserve"> </w:t>
      </w:r>
      <w:r w:rsidRPr="0056384F">
        <w:rPr>
          <w:rFonts w:cs="Arial" w:hint="cs"/>
          <w:rtl/>
        </w:rPr>
        <w:t>הוא</w:t>
      </w:r>
      <w:r>
        <w:rPr>
          <w:rFonts w:cs="Arial" w:hint="cs"/>
          <w:rtl/>
        </w:rPr>
        <w:t>,</w:t>
      </w:r>
      <w:r w:rsidRPr="0056384F">
        <w:rPr>
          <w:rFonts w:cs="Arial"/>
          <w:rtl/>
        </w:rPr>
        <w:t xml:space="preserve"> </w:t>
      </w:r>
      <w:r w:rsidRPr="0056384F">
        <w:rPr>
          <w:rFonts w:cs="Arial" w:hint="cs"/>
          <w:rtl/>
        </w:rPr>
        <w:t>וקודם</w:t>
      </w:r>
      <w:r w:rsidRPr="0056384F">
        <w:rPr>
          <w:rFonts w:cs="Arial"/>
          <w:rtl/>
        </w:rPr>
        <w:t xml:space="preserve"> </w:t>
      </w:r>
      <w:r w:rsidRPr="0056384F">
        <w:rPr>
          <w:rFonts w:cs="Arial" w:hint="cs"/>
          <w:rtl/>
        </w:rPr>
        <w:t>ספק</w:t>
      </w:r>
      <w:r w:rsidRPr="0056384F">
        <w:rPr>
          <w:rFonts w:cs="Arial"/>
          <w:rtl/>
        </w:rPr>
        <w:t xml:space="preserve"> </w:t>
      </w:r>
      <w:r w:rsidRPr="0056384F">
        <w:rPr>
          <w:rFonts w:cs="Arial" w:hint="cs"/>
          <w:rtl/>
        </w:rPr>
        <w:t>חשיכה</w:t>
      </w:r>
      <w:r w:rsidRPr="0056384F">
        <w:rPr>
          <w:rFonts w:cs="Arial"/>
          <w:rtl/>
        </w:rPr>
        <w:t xml:space="preserve"> </w:t>
      </w:r>
      <w:r w:rsidRPr="0056384F">
        <w:rPr>
          <w:rFonts w:cs="Arial" w:hint="cs"/>
          <w:rtl/>
        </w:rPr>
        <w:t>היו</w:t>
      </w:r>
      <w:r w:rsidRPr="0056384F">
        <w:rPr>
          <w:rFonts w:cs="Arial"/>
          <w:rtl/>
        </w:rPr>
        <w:t xml:space="preserve"> </w:t>
      </w:r>
      <w:r w:rsidRPr="0056384F">
        <w:rPr>
          <w:rFonts w:cs="Arial" w:hint="cs"/>
          <w:rtl/>
        </w:rPr>
        <w:t>מקבלין</w:t>
      </w:r>
      <w:r w:rsidRPr="0056384F">
        <w:rPr>
          <w:rFonts w:cs="Arial"/>
          <w:rtl/>
        </w:rPr>
        <w:t xml:space="preserve"> </w:t>
      </w:r>
      <w:r w:rsidRPr="0056384F">
        <w:rPr>
          <w:rFonts w:cs="Arial" w:hint="cs"/>
          <w:rtl/>
        </w:rPr>
        <w:t>שבת</w:t>
      </w:r>
      <w:r w:rsidRPr="0056384F">
        <w:rPr>
          <w:rFonts w:cs="Arial"/>
          <w:rtl/>
        </w:rPr>
        <w:t xml:space="preserve"> </w:t>
      </w:r>
      <w:r w:rsidRPr="0056384F">
        <w:rPr>
          <w:rFonts w:cs="Arial" w:hint="cs"/>
          <w:rtl/>
        </w:rPr>
        <w:t>ותוקעין</w:t>
      </w:r>
      <w:r w:rsidRPr="0056384F">
        <w:rPr>
          <w:rFonts w:cs="Arial"/>
          <w:rtl/>
        </w:rPr>
        <w:t xml:space="preserve"> </w:t>
      </w:r>
      <w:r w:rsidRPr="0056384F">
        <w:rPr>
          <w:rFonts w:cs="Arial" w:hint="cs"/>
          <w:rtl/>
        </w:rPr>
        <w:t>כדי</w:t>
      </w:r>
      <w:r w:rsidRPr="0056384F">
        <w:rPr>
          <w:rFonts w:cs="Arial"/>
          <w:rtl/>
        </w:rPr>
        <w:t xml:space="preserve"> </w:t>
      </w:r>
      <w:r w:rsidRPr="0056384F">
        <w:rPr>
          <w:rFonts w:cs="Arial" w:hint="cs"/>
          <w:rtl/>
        </w:rPr>
        <w:t>להוסיף</w:t>
      </w:r>
      <w:r w:rsidRPr="0056384F">
        <w:rPr>
          <w:rFonts w:cs="Arial"/>
          <w:rtl/>
        </w:rPr>
        <w:t xml:space="preserve"> </w:t>
      </w:r>
      <w:r w:rsidRPr="0056384F">
        <w:rPr>
          <w:rFonts w:cs="Arial" w:hint="cs"/>
          <w:rtl/>
        </w:rPr>
        <w:t>מחול</w:t>
      </w:r>
      <w:r w:rsidRPr="0056384F">
        <w:rPr>
          <w:rFonts w:cs="Arial"/>
          <w:rtl/>
        </w:rPr>
        <w:t xml:space="preserve"> </w:t>
      </w:r>
      <w:r w:rsidRPr="0056384F">
        <w:rPr>
          <w:rFonts w:cs="Arial" w:hint="cs"/>
          <w:rtl/>
        </w:rPr>
        <w:t>על</w:t>
      </w:r>
      <w:r w:rsidRPr="0056384F">
        <w:rPr>
          <w:rFonts w:cs="Arial"/>
          <w:rtl/>
        </w:rPr>
        <w:t xml:space="preserve"> </w:t>
      </w:r>
      <w:r w:rsidRPr="0056384F">
        <w:rPr>
          <w:rFonts w:cs="Arial" w:hint="cs"/>
          <w:rtl/>
        </w:rPr>
        <w:t>הקדש</w:t>
      </w:r>
      <w:r w:rsidRPr="0056384F">
        <w:rPr>
          <w:rFonts w:cs="Arial"/>
          <w:rtl/>
        </w:rPr>
        <w:t xml:space="preserve"> </w:t>
      </w:r>
      <w:r w:rsidRPr="0056384F">
        <w:rPr>
          <w:rFonts w:cs="Arial" w:hint="cs"/>
          <w:rtl/>
        </w:rPr>
        <w:t>ואפי</w:t>
      </w:r>
      <w:r w:rsidRPr="0056384F">
        <w:rPr>
          <w:rFonts w:cs="Arial"/>
          <w:rtl/>
        </w:rPr>
        <w:t xml:space="preserve">' </w:t>
      </w:r>
      <w:r w:rsidRPr="0056384F">
        <w:rPr>
          <w:rFonts w:cs="Arial" w:hint="cs"/>
          <w:rtl/>
        </w:rPr>
        <w:t>הכי</w:t>
      </w:r>
      <w:r w:rsidRPr="0056384F">
        <w:rPr>
          <w:rFonts w:cs="Arial"/>
          <w:rtl/>
        </w:rPr>
        <w:t xml:space="preserve"> </w:t>
      </w:r>
      <w:r w:rsidRPr="0056384F">
        <w:rPr>
          <w:rFonts w:cs="Arial" w:hint="cs"/>
          <w:rtl/>
        </w:rPr>
        <w:t>מתיר</w:t>
      </w:r>
      <w:r w:rsidRPr="0056384F">
        <w:rPr>
          <w:rFonts w:cs="Arial"/>
          <w:rtl/>
        </w:rPr>
        <w:t xml:space="preserve"> </w:t>
      </w:r>
      <w:r w:rsidRPr="0056384F">
        <w:rPr>
          <w:rFonts w:cs="Arial" w:hint="cs"/>
          <w:rtl/>
        </w:rPr>
        <w:t>בע</w:t>
      </w:r>
      <w:r w:rsidRPr="0056384F">
        <w:rPr>
          <w:rFonts w:cs="Arial"/>
          <w:rtl/>
        </w:rPr>
        <w:t>"</w:t>
      </w:r>
      <w:r w:rsidRPr="0056384F">
        <w:rPr>
          <w:rFonts w:cs="Arial" w:hint="cs"/>
          <w:rtl/>
        </w:rPr>
        <w:t>ש</w:t>
      </w:r>
      <w:r w:rsidRPr="0056384F">
        <w:rPr>
          <w:rFonts w:cs="Arial"/>
          <w:rtl/>
        </w:rPr>
        <w:t xml:space="preserve"> </w:t>
      </w:r>
      <w:r w:rsidRPr="0056384F">
        <w:rPr>
          <w:rFonts w:cs="Arial" w:hint="cs"/>
          <w:rtl/>
        </w:rPr>
        <w:t>לערב</w:t>
      </w:r>
      <w:r w:rsidRPr="0056384F">
        <w:rPr>
          <w:rFonts w:cs="Arial"/>
          <w:rtl/>
        </w:rPr>
        <w:t xml:space="preserve"> </w:t>
      </w:r>
      <w:r w:rsidRPr="0056384F">
        <w:rPr>
          <w:rFonts w:cs="Arial" w:hint="cs"/>
          <w:rtl/>
        </w:rPr>
        <w:t>עירובי</w:t>
      </w:r>
      <w:r w:rsidRPr="0056384F">
        <w:rPr>
          <w:rFonts w:cs="Arial"/>
          <w:rtl/>
        </w:rPr>
        <w:t xml:space="preserve"> </w:t>
      </w:r>
      <w:r w:rsidRPr="0056384F">
        <w:rPr>
          <w:rFonts w:cs="Arial" w:hint="cs"/>
          <w:rtl/>
        </w:rPr>
        <w:t>חצרות</w:t>
      </w:r>
      <w:r w:rsidRPr="0056384F">
        <w:rPr>
          <w:rFonts w:cs="Arial"/>
          <w:rtl/>
        </w:rPr>
        <w:t xml:space="preserve"> </w:t>
      </w:r>
      <w:r w:rsidRPr="0056384F">
        <w:rPr>
          <w:rFonts w:cs="Arial" w:hint="cs"/>
          <w:rtl/>
        </w:rPr>
        <w:t>בספק</w:t>
      </w:r>
      <w:r w:rsidRPr="0056384F">
        <w:rPr>
          <w:rFonts w:cs="Arial"/>
          <w:rtl/>
        </w:rPr>
        <w:t xml:space="preserve"> </w:t>
      </w:r>
      <w:r w:rsidRPr="0056384F">
        <w:rPr>
          <w:rFonts w:cs="Arial" w:hint="cs"/>
          <w:rtl/>
        </w:rPr>
        <w:t>חשיכה</w:t>
      </w:r>
      <w:r w:rsidRPr="0056384F">
        <w:rPr>
          <w:rFonts w:cs="Arial"/>
          <w:rtl/>
        </w:rPr>
        <w:t xml:space="preserve"> </w:t>
      </w:r>
      <w:r w:rsidRPr="0056384F">
        <w:rPr>
          <w:rFonts w:cs="Arial" w:hint="cs"/>
          <w:rtl/>
        </w:rPr>
        <w:t>וה</w:t>
      </w:r>
      <w:r w:rsidRPr="0056384F">
        <w:rPr>
          <w:rFonts w:cs="Arial"/>
          <w:rtl/>
        </w:rPr>
        <w:t>"</w:t>
      </w:r>
      <w:r w:rsidRPr="0056384F">
        <w:rPr>
          <w:rFonts w:cs="Arial" w:hint="cs"/>
          <w:rtl/>
        </w:rPr>
        <w:t>ה</w:t>
      </w:r>
      <w:r w:rsidRPr="0056384F">
        <w:rPr>
          <w:rFonts w:cs="Arial"/>
          <w:rtl/>
        </w:rPr>
        <w:t xml:space="preserve"> </w:t>
      </w:r>
      <w:r w:rsidRPr="0056384F">
        <w:rPr>
          <w:rFonts w:cs="Arial" w:hint="cs"/>
          <w:rtl/>
        </w:rPr>
        <w:t>אחר</w:t>
      </w:r>
      <w:r w:rsidRPr="0056384F">
        <w:rPr>
          <w:rFonts w:cs="Arial"/>
          <w:rtl/>
        </w:rPr>
        <w:t xml:space="preserve"> </w:t>
      </w:r>
      <w:r w:rsidRPr="0056384F">
        <w:rPr>
          <w:rFonts w:cs="Arial" w:hint="cs"/>
          <w:rtl/>
        </w:rPr>
        <w:t>עניית</w:t>
      </w:r>
      <w:r w:rsidRPr="0056384F">
        <w:rPr>
          <w:rFonts w:cs="Arial"/>
          <w:rtl/>
        </w:rPr>
        <w:t xml:space="preserve"> </w:t>
      </w:r>
      <w:r w:rsidRPr="0056384F">
        <w:rPr>
          <w:rFonts w:cs="Arial" w:hint="cs"/>
          <w:rtl/>
        </w:rPr>
        <w:t>ברכו</w:t>
      </w:r>
      <w:r>
        <w:rPr>
          <w:rFonts w:cs="Arial" w:hint="cs"/>
          <w:rtl/>
        </w:rPr>
        <w:t>.</w:t>
      </w:r>
      <w:r w:rsidRPr="0056384F">
        <w:rPr>
          <w:rFonts w:cs="Arial"/>
          <w:rtl/>
        </w:rPr>
        <w:t xml:space="preserve"> </w:t>
      </w:r>
      <w:r w:rsidRPr="0056384F">
        <w:rPr>
          <w:rFonts w:cs="Arial" w:hint="cs"/>
          <w:rtl/>
        </w:rPr>
        <w:t>רבינו</w:t>
      </w:r>
      <w:r w:rsidRPr="0056384F">
        <w:rPr>
          <w:rFonts w:cs="Arial"/>
          <w:rtl/>
        </w:rPr>
        <w:t xml:space="preserve"> </w:t>
      </w:r>
      <w:r w:rsidRPr="0056384F">
        <w:rPr>
          <w:rFonts w:cs="Arial" w:hint="cs"/>
          <w:rtl/>
        </w:rPr>
        <w:t>יואל</w:t>
      </w:r>
      <w:r>
        <w:rPr>
          <w:rFonts w:cs="Arial" w:hint="cs"/>
          <w:rtl/>
        </w:rPr>
        <w:t>.</w:t>
      </w:r>
      <w:r w:rsidRPr="0056384F">
        <w:rPr>
          <w:rFonts w:cs="Arial"/>
          <w:rtl/>
        </w:rPr>
        <w:t xml:space="preserve"> </w:t>
      </w:r>
      <w:r w:rsidRPr="0056384F">
        <w:rPr>
          <w:rFonts w:cs="Arial" w:hint="cs"/>
          <w:rtl/>
        </w:rPr>
        <w:t>ושוב</w:t>
      </w:r>
      <w:r w:rsidRPr="0056384F">
        <w:rPr>
          <w:rFonts w:cs="Arial"/>
          <w:rtl/>
        </w:rPr>
        <w:t xml:space="preserve"> </w:t>
      </w:r>
      <w:r w:rsidRPr="0056384F">
        <w:rPr>
          <w:rFonts w:cs="Arial" w:hint="cs"/>
          <w:rtl/>
        </w:rPr>
        <w:t>מצאתי</w:t>
      </w:r>
      <w:r w:rsidRPr="0056384F">
        <w:rPr>
          <w:rFonts w:cs="Arial"/>
          <w:rtl/>
        </w:rPr>
        <w:t xml:space="preserve"> </w:t>
      </w:r>
      <w:r w:rsidRPr="0056384F">
        <w:rPr>
          <w:rFonts w:cs="Arial" w:hint="cs"/>
          <w:rtl/>
        </w:rPr>
        <w:t>בשם</w:t>
      </w:r>
      <w:r w:rsidRPr="0056384F">
        <w:rPr>
          <w:rFonts w:cs="Arial"/>
          <w:rtl/>
        </w:rPr>
        <w:t xml:space="preserve"> </w:t>
      </w:r>
      <w:r w:rsidRPr="0056384F">
        <w:rPr>
          <w:rFonts w:cs="Arial" w:hint="cs"/>
          <w:rtl/>
        </w:rPr>
        <w:t>רבינו</w:t>
      </w:r>
      <w:r w:rsidRPr="0056384F">
        <w:rPr>
          <w:rFonts w:cs="Arial"/>
          <w:rtl/>
        </w:rPr>
        <w:t xml:space="preserve"> </w:t>
      </w:r>
      <w:r w:rsidRPr="0056384F">
        <w:rPr>
          <w:rFonts w:cs="Arial" w:hint="cs"/>
          <w:rtl/>
        </w:rPr>
        <w:t>שמריה</w:t>
      </w:r>
      <w:r w:rsidRPr="0056384F">
        <w:rPr>
          <w:rFonts w:cs="Arial"/>
          <w:rtl/>
        </w:rPr>
        <w:t xml:space="preserve"> </w:t>
      </w:r>
      <w:r w:rsidRPr="0056384F">
        <w:rPr>
          <w:rFonts w:cs="Arial" w:hint="cs"/>
          <w:rtl/>
        </w:rPr>
        <w:t>שהורה</w:t>
      </w:r>
      <w:r w:rsidRPr="0056384F">
        <w:rPr>
          <w:rFonts w:cs="Arial"/>
          <w:rtl/>
        </w:rPr>
        <w:t xml:space="preserve"> </w:t>
      </w:r>
      <w:r w:rsidRPr="0056384F">
        <w:rPr>
          <w:rFonts w:cs="Arial" w:hint="cs"/>
          <w:rtl/>
        </w:rPr>
        <w:t>כן</w:t>
      </w:r>
      <w:r>
        <w:rPr>
          <w:rFonts w:cs="Arial" w:hint="cs"/>
          <w:rtl/>
        </w:rPr>
        <w:t>,</w:t>
      </w:r>
      <w:r w:rsidRPr="0056384F">
        <w:rPr>
          <w:rFonts w:cs="Arial"/>
          <w:rtl/>
        </w:rPr>
        <w:t xml:space="preserve"> </w:t>
      </w:r>
      <w:r w:rsidRPr="0056384F">
        <w:rPr>
          <w:rFonts w:cs="Arial" w:hint="cs"/>
          <w:rtl/>
        </w:rPr>
        <w:t>והביא</w:t>
      </w:r>
      <w:r w:rsidRPr="0056384F">
        <w:rPr>
          <w:rFonts w:cs="Arial"/>
          <w:rtl/>
        </w:rPr>
        <w:t xml:space="preserve"> </w:t>
      </w:r>
      <w:r w:rsidRPr="0056384F">
        <w:rPr>
          <w:rFonts w:cs="Arial" w:hint="cs"/>
          <w:rtl/>
        </w:rPr>
        <w:t>ראיה</w:t>
      </w:r>
      <w:r w:rsidRPr="0056384F">
        <w:rPr>
          <w:rFonts w:cs="Arial"/>
          <w:rtl/>
        </w:rPr>
        <w:t xml:space="preserve"> </w:t>
      </w:r>
      <w:r w:rsidRPr="0056384F">
        <w:rPr>
          <w:rFonts w:cs="Arial" w:hint="cs"/>
          <w:rtl/>
        </w:rPr>
        <w:t>כמו</w:t>
      </w:r>
      <w:r w:rsidRPr="0056384F">
        <w:rPr>
          <w:rFonts w:cs="Arial"/>
          <w:rtl/>
        </w:rPr>
        <w:t xml:space="preserve"> </w:t>
      </w:r>
      <w:r w:rsidRPr="0056384F">
        <w:rPr>
          <w:rFonts w:cs="Arial" w:hint="cs"/>
          <w:rtl/>
        </w:rPr>
        <w:t>שהביא</w:t>
      </w:r>
      <w:r w:rsidRPr="0056384F">
        <w:rPr>
          <w:rFonts w:cs="Arial"/>
          <w:rtl/>
        </w:rPr>
        <w:t xml:space="preserve"> </w:t>
      </w:r>
      <w:r w:rsidRPr="0056384F">
        <w:rPr>
          <w:rFonts w:cs="Arial" w:hint="cs"/>
          <w:rtl/>
        </w:rPr>
        <w:t>רבינו</w:t>
      </w:r>
      <w:r w:rsidRPr="0056384F">
        <w:rPr>
          <w:rFonts w:cs="Arial"/>
          <w:rtl/>
        </w:rPr>
        <w:t xml:space="preserve"> </w:t>
      </w:r>
      <w:r w:rsidRPr="0056384F">
        <w:rPr>
          <w:rFonts w:cs="Arial" w:hint="cs"/>
          <w:rtl/>
        </w:rPr>
        <w:t>יואל</w:t>
      </w:r>
      <w:r>
        <w:rPr>
          <w:rFonts w:cs="Arial" w:hint="cs"/>
          <w:rtl/>
        </w:rPr>
        <w:t>.</w:t>
      </w:r>
      <w:r w:rsidRPr="0056384F">
        <w:rPr>
          <w:rFonts w:cs="Arial"/>
          <w:rtl/>
        </w:rPr>
        <w:t xml:space="preserve"> </w:t>
      </w:r>
      <w:r w:rsidRPr="0056384F">
        <w:rPr>
          <w:rFonts w:cs="Arial" w:hint="cs"/>
          <w:rtl/>
        </w:rPr>
        <w:t>ומקצת</w:t>
      </w:r>
      <w:r w:rsidRPr="0056384F">
        <w:rPr>
          <w:rFonts w:cs="Arial"/>
          <w:rtl/>
        </w:rPr>
        <w:t xml:space="preserve"> </w:t>
      </w:r>
      <w:r w:rsidRPr="0056384F">
        <w:rPr>
          <w:rFonts w:cs="Arial" w:hint="cs"/>
          <w:rtl/>
        </w:rPr>
        <w:t>תלמידיו</w:t>
      </w:r>
      <w:r w:rsidRPr="0056384F">
        <w:rPr>
          <w:rFonts w:cs="Arial"/>
          <w:rtl/>
        </w:rPr>
        <w:t xml:space="preserve"> </w:t>
      </w:r>
      <w:r w:rsidRPr="0056384F">
        <w:rPr>
          <w:rFonts w:cs="Arial" w:hint="cs"/>
          <w:rtl/>
        </w:rPr>
        <w:t>אסרו</w:t>
      </w:r>
      <w:r w:rsidRPr="0056384F">
        <w:rPr>
          <w:rFonts w:cs="Arial"/>
          <w:rtl/>
        </w:rPr>
        <w:t xml:space="preserve"> </w:t>
      </w:r>
      <w:r w:rsidRPr="0056384F">
        <w:rPr>
          <w:rFonts w:cs="Arial" w:hint="cs"/>
          <w:rtl/>
        </w:rPr>
        <w:t>ואמרו</w:t>
      </w:r>
      <w:r w:rsidRPr="0056384F">
        <w:rPr>
          <w:rFonts w:cs="Arial"/>
          <w:rtl/>
        </w:rPr>
        <w:t xml:space="preserve"> </w:t>
      </w:r>
      <w:r w:rsidRPr="0056384F">
        <w:rPr>
          <w:rFonts w:cs="Arial" w:hint="cs"/>
          <w:rtl/>
        </w:rPr>
        <w:t>דיש</w:t>
      </w:r>
      <w:r w:rsidRPr="0056384F">
        <w:rPr>
          <w:rFonts w:cs="Arial"/>
          <w:rtl/>
        </w:rPr>
        <w:t xml:space="preserve"> </w:t>
      </w:r>
      <w:r w:rsidRPr="0056384F">
        <w:rPr>
          <w:rFonts w:cs="Arial" w:hint="cs"/>
          <w:rtl/>
        </w:rPr>
        <w:t>חילוק</w:t>
      </w:r>
      <w:r w:rsidRPr="0056384F">
        <w:rPr>
          <w:rFonts w:cs="Arial"/>
          <w:rtl/>
        </w:rPr>
        <w:t xml:space="preserve"> </w:t>
      </w:r>
      <w:r w:rsidRPr="0056384F">
        <w:rPr>
          <w:rFonts w:cs="Arial" w:hint="cs"/>
          <w:rtl/>
        </w:rPr>
        <w:t>בין</w:t>
      </w:r>
      <w:r w:rsidRPr="0056384F">
        <w:rPr>
          <w:rFonts w:cs="Arial"/>
          <w:rtl/>
        </w:rPr>
        <w:t xml:space="preserve"> </w:t>
      </w:r>
      <w:r w:rsidRPr="0056384F">
        <w:rPr>
          <w:rFonts w:cs="Arial" w:hint="cs"/>
          <w:rtl/>
        </w:rPr>
        <w:t>קבל</w:t>
      </w:r>
      <w:r w:rsidRPr="0056384F">
        <w:rPr>
          <w:rFonts w:cs="Arial"/>
          <w:rtl/>
        </w:rPr>
        <w:t xml:space="preserve"> </w:t>
      </w:r>
      <w:r w:rsidRPr="0056384F">
        <w:rPr>
          <w:rFonts w:cs="Arial" w:hint="cs"/>
          <w:rtl/>
        </w:rPr>
        <w:t>עליו</w:t>
      </w:r>
      <w:r w:rsidRPr="0056384F">
        <w:rPr>
          <w:rFonts w:cs="Arial"/>
          <w:rtl/>
        </w:rPr>
        <w:t xml:space="preserve"> </w:t>
      </w:r>
      <w:r w:rsidRPr="0056384F">
        <w:rPr>
          <w:rFonts w:cs="Arial" w:hint="cs"/>
          <w:rtl/>
        </w:rPr>
        <w:t>שבת</w:t>
      </w:r>
      <w:r w:rsidRPr="0056384F">
        <w:rPr>
          <w:rFonts w:cs="Arial"/>
          <w:rtl/>
        </w:rPr>
        <w:t xml:space="preserve"> </w:t>
      </w:r>
      <w:r w:rsidRPr="0056384F">
        <w:rPr>
          <w:rFonts w:cs="Arial" w:hint="cs"/>
          <w:rtl/>
        </w:rPr>
        <w:t>ללא</w:t>
      </w:r>
      <w:r w:rsidRPr="0056384F">
        <w:rPr>
          <w:rFonts w:cs="Arial"/>
          <w:rtl/>
        </w:rPr>
        <w:t xml:space="preserve"> </w:t>
      </w:r>
      <w:r w:rsidRPr="0056384F">
        <w:rPr>
          <w:rFonts w:cs="Arial" w:hint="cs"/>
          <w:rtl/>
        </w:rPr>
        <w:t>קבל</w:t>
      </w:r>
      <w:r>
        <w:rPr>
          <w:rFonts w:cs="Arial" w:hint="cs"/>
          <w:rtl/>
        </w:rPr>
        <w:t>.</w:t>
      </w:r>
      <w:r w:rsidRPr="0056384F">
        <w:rPr>
          <w:rFonts w:cs="Arial"/>
          <w:rtl/>
        </w:rPr>
        <w:t xml:space="preserve"> </w:t>
      </w:r>
      <w:r w:rsidRPr="0056384F">
        <w:rPr>
          <w:rFonts w:cs="Arial" w:hint="cs"/>
          <w:rtl/>
        </w:rPr>
        <w:t>וחזר</w:t>
      </w:r>
      <w:r w:rsidRPr="0056384F">
        <w:rPr>
          <w:rFonts w:cs="Arial"/>
          <w:rtl/>
        </w:rPr>
        <w:t xml:space="preserve"> </w:t>
      </w:r>
      <w:r w:rsidRPr="0056384F">
        <w:rPr>
          <w:rFonts w:cs="Arial" w:hint="cs"/>
          <w:rtl/>
        </w:rPr>
        <w:t>בו</w:t>
      </w:r>
      <w:r w:rsidRPr="0056384F">
        <w:rPr>
          <w:rFonts w:cs="Arial"/>
          <w:rtl/>
        </w:rPr>
        <w:t xml:space="preserve"> </w:t>
      </w:r>
      <w:r w:rsidRPr="0056384F">
        <w:rPr>
          <w:rFonts w:cs="Arial" w:hint="cs"/>
          <w:rtl/>
        </w:rPr>
        <w:t>הרב</w:t>
      </w:r>
      <w:r w:rsidRPr="0056384F">
        <w:rPr>
          <w:rFonts w:cs="Arial"/>
          <w:rtl/>
        </w:rPr>
        <w:t xml:space="preserve"> </w:t>
      </w:r>
      <w:r w:rsidRPr="0056384F">
        <w:rPr>
          <w:rFonts w:cs="Arial" w:hint="cs"/>
          <w:rtl/>
        </w:rPr>
        <w:t>ואסר</w:t>
      </w:r>
      <w:r>
        <w:rPr>
          <w:rFonts w:cs="Arial" w:hint="cs"/>
          <w:rtl/>
        </w:rPr>
        <w:t>,</w:t>
      </w:r>
      <w:r w:rsidRPr="0056384F">
        <w:rPr>
          <w:rFonts w:cs="Arial"/>
          <w:rtl/>
        </w:rPr>
        <w:t xml:space="preserve"> </w:t>
      </w:r>
      <w:r w:rsidRPr="0056384F">
        <w:rPr>
          <w:rFonts w:cs="Arial" w:hint="cs"/>
          <w:rtl/>
        </w:rPr>
        <w:t>והביא</w:t>
      </w:r>
      <w:r w:rsidRPr="0056384F">
        <w:rPr>
          <w:rFonts w:cs="Arial"/>
          <w:rtl/>
        </w:rPr>
        <w:t xml:space="preserve"> </w:t>
      </w:r>
      <w:r w:rsidRPr="0056384F">
        <w:rPr>
          <w:rFonts w:cs="Arial" w:hint="cs"/>
          <w:rtl/>
        </w:rPr>
        <w:t>ראיה</w:t>
      </w:r>
      <w:r w:rsidRPr="0056384F">
        <w:rPr>
          <w:rFonts w:cs="Arial"/>
          <w:rtl/>
        </w:rPr>
        <w:t xml:space="preserve"> </w:t>
      </w:r>
      <w:r w:rsidRPr="0056384F">
        <w:rPr>
          <w:rFonts w:cs="Arial" w:hint="cs"/>
          <w:rtl/>
        </w:rPr>
        <w:t>מן</w:t>
      </w:r>
      <w:r w:rsidRPr="0056384F">
        <w:rPr>
          <w:rFonts w:cs="Arial"/>
          <w:rtl/>
        </w:rPr>
        <w:t xml:space="preserve"> </w:t>
      </w:r>
      <w:r w:rsidRPr="0056384F">
        <w:rPr>
          <w:rFonts w:cs="Arial" w:hint="cs"/>
          <w:rtl/>
        </w:rPr>
        <w:t>התוספתא</w:t>
      </w:r>
      <w:r w:rsidRPr="0056384F">
        <w:rPr>
          <w:rFonts w:cs="Arial"/>
          <w:rtl/>
        </w:rPr>
        <w:t xml:space="preserve"> </w:t>
      </w:r>
      <w:r w:rsidRPr="0056384F">
        <w:rPr>
          <w:rFonts w:cs="Arial" w:hint="cs"/>
          <w:rtl/>
        </w:rPr>
        <w:t>במסכת</w:t>
      </w:r>
      <w:r w:rsidRPr="0056384F">
        <w:rPr>
          <w:rFonts w:cs="Arial"/>
          <w:rtl/>
        </w:rPr>
        <w:t xml:space="preserve"> </w:t>
      </w:r>
      <w:r w:rsidRPr="0056384F">
        <w:rPr>
          <w:rFonts w:cs="Arial" w:hint="cs"/>
          <w:rtl/>
        </w:rPr>
        <w:t>סוכה</w:t>
      </w:r>
      <w:r w:rsidRPr="0056384F">
        <w:rPr>
          <w:rFonts w:cs="Arial"/>
          <w:rtl/>
        </w:rPr>
        <w:t xml:space="preserve"> </w:t>
      </w:r>
      <w:r w:rsidRPr="0056384F">
        <w:rPr>
          <w:rFonts w:cs="Arial" w:hint="cs"/>
          <w:rtl/>
        </w:rPr>
        <w:t>התחיל</w:t>
      </w:r>
      <w:r w:rsidRPr="0056384F">
        <w:rPr>
          <w:rFonts w:cs="Arial"/>
          <w:rtl/>
        </w:rPr>
        <w:t xml:space="preserve"> </w:t>
      </w:r>
      <w:r w:rsidRPr="0056384F">
        <w:rPr>
          <w:rFonts w:cs="Arial" w:hint="cs"/>
          <w:rtl/>
        </w:rPr>
        <w:t>לתקוע</w:t>
      </w:r>
      <w:r w:rsidRPr="0056384F">
        <w:rPr>
          <w:rFonts w:cs="Arial"/>
          <w:rtl/>
        </w:rPr>
        <w:t xml:space="preserve"> </w:t>
      </w:r>
      <w:r w:rsidRPr="0056384F">
        <w:rPr>
          <w:rFonts w:cs="Arial" w:hint="cs"/>
          <w:rtl/>
        </w:rPr>
        <w:t>שלישית</w:t>
      </w:r>
      <w:r w:rsidRPr="0056384F">
        <w:rPr>
          <w:rFonts w:cs="Arial"/>
          <w:rtl/>
        </w:rPr>
        <w:t xml:space="preserve"> </w:t>
      </w:r>
      <w:r w:rsidRPr="0056384F">
        <w:rPr>
          <w:rFonts w:cs="Arial" w:hint="cs"/>
          <w:rtl/>
        </w:rPr>
        <w:t>אפילו</w:t>
      </w:r>
      <w:r w:rsidRPr="0056384F">
        <w:rPr>
          <w:rFonts w:cs="Arial"/>
          <w:rtl/>
        </w:rPr>
        <w:t xml:space="preserve"> </w:t>
      </w:r>
      <w:r w:rsidRPr="0056384F">
        <w:rPr>
          <w:rFonts w:cs="Arial" w:hint="cs"/>
          <w:rtl/>
        </w:rPr>
        <w:t>מיחם</w:t>
      </w:r>
      <w:r w:rsidRPr="0056384F">
        <w:rPr>
          <w:rFonts w:cs="Arial"/>
          <w:rtl/>
        </w:rPr>
        <w:t xml:space="preserve"> </w:t>
      </w:r>
      <w:r w:rsidRPr="0056384F">
        <w:rPr>
          <w:rFonts w:cs="Arial" w:hint="cs"/>
          <w:rtl/>
        </w:rPr>
        <w:t>בידו</w:t>
      </w:r>
      <w:r w:rsidRPr="0056384F">
        <w:rPr>
          <w:rFonts w:cs="Arial"/>
          <w:rtl/>
        </w:rPr>
        <w:t xml:space="preserve"> </w:t>
      </w:r>
      <w:r w:rsidRPr="0056384F">
        <w:rPr>
          <w:rFonts w:cs="Arial" w:hint="cs"/>
          <w:rtl/>
        </w:rPr>
        <w:t>מניחו</w:t>
      </w:r>
      <w:r w:rsidRPr="0056384F">
        <w:rPr>
          <w:rFonts w:cs="Arial"/>
          <w:rtl/>
        </w:rPr>
        <w:t xml:space="preserve"> </w:t>
      </w:r>
      <w:r w:rsidRPr="0056384F">
        <w:rPr>
          <w:rFonts w:cs="Arial" w:hint="cs"/>
          <w:rtl/>
        </w:rPr>
        <w:t>על</w:t>
      </w:r>
      <w:r w:rsidRPr="0056384F">
        <w:rPr>
          <w:rFonts w:cs="Arial"/>
          <w:rtl/>
        </w:rPr>
        <w:t xml:space="preserve"> </w:t>
      </w:r>
      <w:r w:rsidRPr="0056384F">
        <w:rPr>
          <w:rFonts w:cs="Arial" w:hint="cs"/>
          <w:rtl/>
        </w:rPr>
        <w:t>הארץ</w:t>
      </w:r>
      <w:r>
        <w:rPr>
          <w:rFonts w:cs="Arial" w:hint="cs"/>
          <w:rtl/>
        </w:rPr>
        <w:t>,</w:t>
      </w:r>
      <w:r w:rsidRPr="0056384F">
        <w:rPr>
          <w:rFonts w:cs="Arial"/>
          <w:rtl/>
        </w:rPr>
        <w:t xml:space="preserve"> </w:t>
      </w:r>
      <w:r w:rsidRPr="0056384F">
        <w:rPr>
          <w:rFonts w:cs="Arial" w:hint="cs"/>
          <w:rtl/>
        </w:rPr>
        <w:t>ואילו</w:t>
      </w:r>
      <w:r w:rsidRPr="0056384F">
        <w:rPr>
          <w:rFonts w:cs="Arial"/>
          <w:rtl/>
        </w:rPr>
        <w:t xml:space="preserve"> </w:t>
      </w:r>
      <w:r w:rsidRPr="0056384F">
        <w:rPr>
          <w:rFonts w:cs="Arial" w:hint="cs"/>
          <w:rtl/>
        </w:rPr>
        <w:t>גבי</w:t>
      </w:r>
      <w:r w:rsidRPr="0056384F">
        <w:rPr>
          <w:rFonts w:cs="Arial"/>
          <w:rtl/>
        </w:rPr>
        <w:t xml:space="preserve"> </w:t>
      </w:r>
      <w:r w:rsidRPr="0056384F">
        <w:rPr>
          <w:rFonts w:cs="Arial" w:hint="cs"/>
          <w:rtl/>
        </w:rPr>
        <w:t>ספק</w:t>
      </w:r>
      <w:r w:rsidRPr="0056384F">
        <w:rPr>
          <w:rFonts w:cs="Arial"/>
          <w:rtl/>
        </w:rPr>
        <w:t xml:space="preserve"> </w:t>
      </w:r>
      <w:r w:rsidRPr="0056384F">
        <w:rPr>
          <w:rFonts w:cs="Arial" w:hint="cs"/>
          <w:rtl/>
        </w:rPr>
        <w:t>חשיכה</w:t>
      </w:r>
      <w:r w:rsidRPr="0056384F">
        <w:rPr>
          <w:rFonts w:cs="Arial"/>
          <w:rtl/>
        </w:rPr>
        <w:t xml:space="preserve"> </w:t>
      </w:r>
      <w:r w:rsidRPr="0056384F">
        <w:rPr>
          <w:rFonts w:cs="Arial" w:hint="cs"/>
          <w:rtl/>
        </w:rPr>
        <w:t>תנן</w:t>
      </w:r>
      <w:r w:rsidRPr="0056384F">
        <w:rPr>
          <w:rFonts w:cs="Arial"/>
          <w:rtl/>
        </w:rPr>
        <w:t xml:space="preserve"> </w:t>
      </w:r>
      <w:r w:rsidRPr="0056384F">
        <w:rPr>
          <w:rFonts w:cs="Arial" w:hint="cs"/>
          <w:rtl/>
        </w:rPr>
        <w:t>במתני</w:t>
      </w:r>
      <w:r w:rsidRPr="0056384F">
        <w:rPr>
          <w:rFonts w:cs="Arial"/>
          <w:rtl/>
        </w:rPr>
        <w:t xml:space="preserve">' </w:t>
      </w:r>
      <w:r w:rsidRPr="0056384F">
        <w:rPr>
          <w:rFonts w:cs="Arial" w:hint="cs"/>
          <w:rtl/>
        </w:rPr>
        <w:t>מערבין</w:t>
      </w:r>
      <w:r w:rsidRPr="0056384F">
        <w:rPr>
          <w:rFonts w:cs="Arial"/>
          <w:rtl/>
        </w:rPr>
        <w:t xml:space="preserve"> </w:t>
      </w:r>
      <w:r w:rsidRPr="0056384F">
        <w:rPr>
          <w:rFonts w:cs="Arial" w:hint="cs"/>
          <w:rtl/>
        </w:rPr>
        <w:t>וטומנין</w:t>
      </w:r>
      <w:r>
        <w:rPr>
          <w:rFonts w:cs="Arial" w:hint="cs"/>
          <w:rtl/>
        </w:rPr>
        <w:t>,</w:t>
      </w:r>
      <w:r w:rsidRPr="0056384F">
        <w:rPr>
          <w:rFonts w:cs="Arial"/>
          <w:rtl/>
        </w:rPr>
        <w:t xml:space="preserve"> </w:t>
      </w:r>
      <w:r w:rsidRPr="0056384F">
        <w:rPr>
          <w:rFonts w:cs="Arial" w:hint="cs"/>
          <w:rtl/>
        </w:rPr>
        <w:t>אלמא</w:t>
      </w:r>
      <w:r w:rsidRPr="0056384F">
        <w:rPr>
          <w:rFonts w:cs="Arial"/>
          <w:rtl/>
        </w:rPr>
        <w:t xml:space="preserve"> </w:t>
      </w:r>
      <w:r w:rsidRPr="0056384F">
        <w:rPr>
          <w:rFonts w:cs="Arial" w:hint="cs"/>
          <w:rtl/>
        </w:rPr>
        <w:t>חומר</w:t>
      </w:r>
      <w:r w:rsidRPr="0056384F">
        <w:rPr>
          <w:rFonts w:cs="Arial"/>
          <w:rtl/>
        </w:rPr>
        <w:t xml:space="preserve"> </w:t>
      </w:r>
      <w:r w:rsidRPr="0056384F">
        <w:rPr>
          <w:rFonts w:cs="Arial" w:hint="cs"/>
          <w:rtl/>
        </w:rPr>
        <w:t>בקבלה</w:t>
      </w:r>
      <w:r w:rsidRPr="0056384F">
        <w:rPr>
          <w:rFonts w:cs="Arial"/>
          <w:rtl/>
        </w:rPr>
        <w:t xml:space="preserve"> </w:t>
      </w:r>
      <w:r>
        <w:rPr>
          <w:rFonts w:cs="Arial" w:hint="cs"/>
          <w:sz w:val="16"/>
          <w:szCs w:val="16"/>
          <w:rtl/>
        </w:rPr>
        <w:t xml:space="preserve">{שקיבל השבת} </w:t>
      </w:r>
      <w:r w:rsidRPr="0056384F">
        <w:rPr>
          <w:rFonts w:cs="Arial" w:hint="cs"/>
          <w:rtl/>
        </w:rPr>
        <w:t>מבספק</w:t>
      </w:r>
      <w:r>
        <w:rPr>
          <w:rFonts w:hint="cs"/>
          <w:sz w:val="16"/>
          <w:szCs w:val="16"/>
          <w:rtl/>
        </w:rPr>
        <w:t xml:space="preserve"> {בין השמשות}</w:t>
      </w:r>
      <w:r>
        <w:rPr>
          <w:rFonts w:hint="cs"/>
          <w:rtl/>
        </w:rPr>
        <w:t>.</w:t>
      </w:r>
    </w:p>
  </w:footnote>
  <w:footnote w:id="608">
    <w:p w14:paraId="1176870F" w14:textId="77777777" w:rsidR="004B2E7C" w:rsidRDefault="004B2E7C" w:rsidP="00285819">
      <w:pPr>
        <w:pStyle w:val="a7"/>
        <w:rPr>
          <w:rtl/>
        </w:rPr>
      </w:pPr>
      <w:r>
        <w:rPr>
          <w:rStyle w:val="a9"/>
        </w:rPr>
        <w:footnoteRef/>
      </w:r>
      <w:r>
        <w:rPr>
          <w:rtl/>
        </w:rPr>
        <w:t xml:space="preserve"> </w:t>
      </w:r>
      <w:r w:rsidRPr="004D7779">
        <w:rPr>
          <w:rFonts w:cs="Arial" w:hint="cs"/>
          <w:rtl/>
        </w:rPr>
        <w:t>ופשיטא</w:t>
      </w:r>
      <w:r w:rsidRPr="004D7779">
        <w:rPr>
          <w:rFonts w:cs="Arial"/>
          <w:rtl/>
        </w:rPr>
        <w:t xml:space="preserve"> </w:t>
      </w:r>
      <w:r w:rsidRPr="004D7779">
        <w:rPr>
          <w:rFonts w:cs="Arial" w:hint="cs"/>
          <w:rtl/>
        </w:rPr>
        <w:t>דהוא</w:t>
      </w:r>
      <w:r w:rsidRPr="004D7779">
        <w:rPr>
          <w:rFonts w:cs="Arial"/>
          <w:rtl/>
        </w:rPr>
        <w:t xml:space="preserve"> </w:t>
      </w:r>
      <w:r w:rsidRPr="004D7779">
        <w:rPr>
          <w:rFonts w:cs="Arial" w:hint="cs"/>
          <w:rtl/>
        </w:rPr>
        <w:t>הדין</w:t>
      </w:r>
      <w:r w:rsidRPr="004D7779">
        <w:rPr>
          <w:rFonts w:cs="Arial"/>
          <w:rtl/>
        </w:rPr>
        <w:t xml:space="preserve"> </w:t>
      </w:r>
      <w:r w:rsidRPr="004D7779">
        <w:rPr>
          <w:rFonts w:cs="Arial" w:hint="cs"/>
          <w:rtl/>
        </w:rPr>
        <w:t>דאין</w:t>
      </w:r>
      <w:r w:rsidRPr="004D7779">
        <w:rPr>
          <w:rFonts w:cs="Arial"/>
          <w:rtl/>
        </w:rPr>
        <w:t xml:space="preserve"> </w:t>
      </w:r>
      <w:r w:rsidRPr="004D7779">
        <w:rPr>
          <w:rFonts w:cs="Arial" w:hint="cs"/>
          <w:rtl/>
        </w:rPr>
        <w:t>טומנין</w:t>
      </w:r>
      <w:r w:rsidRPr="004D7779">
        <w:rPr>
          <w:rFonts w:cs="Arial"/>
          <w:rtl/>
        </w:rPr>
        <w:t xml:space="preserve"> </w:t>
      </w:r>
      <w:r w:rsidRPr="004D7779">
        <w:rPr>
          <w:rFonts w:cs="Arial" w:hint="cs"/>
          <w:rtl/>
        </w:rPr>
        <w:t>כיון</w:t>
      </w:r>
      <w:r w:rsidRPr="004D7779">
        <w:rPr>
          <w:rFonts w:cs="Arial"/>
          <w:rtl/>
        </w:rPr>
        <w:t xml:space="preserve"> </w:t>
      </w:r>
      <w:r w:rsidRPr="004D7779">
        <w:rPr>
          <w:rFonts w:cs="Arial" w:hint="cs"/>
          <w:rtl/>
        </w:rPr>
        <w:t>דטעמא</w:t>
      </w:r>
      <w:r w:rsidRPr="004D7779">
        <w:rPr>
          <w:rFonts w:cs="Arial"/>
          <w:rtl/>
        </w:rPr>
        <w:t xml:space="preserve"> </w:t>
      </w:r>
      <w:r w:rsidRPr="004D7779">
        <w:rPr>
          <w:rFonts w:cs="Arial" w:hint="cs"/>
          <w:rtl/>
        </w:rPr>
        <w:t>משום</w:t>
      </w:r>
      <w:r w:rsidRPr="004D7779">
        <w:rPr>
          <w:rFonts w:cs="Arial"/>
          <w:rtl/>
        </w:rPr>
        <w:t xml:space="preserve"> </w:t>
      </w:r>
      <w:r w:rsidRPr="004D7779">
        <w:rPr>
          <w:rFonts w:cs="Arial" w:hint="cs"/>
          <w:rtl/>
        </w:rPr>
        <w:t>דקבליה</w:t>
      </w:r>
      <w:r w:rsidRPr="004D7779">
        <w:rPr>
          <w:rFonts w:cs="Arial"/>
          <w:rtl/>
        </w:rPr>
        <w:t xml:space="preserve"> </w:t>
      </w:r>
      <w:r w:rsidRPr="004D7779">
        <w:rPr>
          <w:rFonts w:cs="Arial" w:hint="cs"/>
          <w:rtl/>
        </w:rPr>
        <w:t>לשבת</w:t>
      </w:r>
      <w:r w:rsidRPr="004D7779">
        <w:rPr>
          <w:rFonts w:cs="Arial"/>
          <w:rtl/>
        </w:rPr>
        <w:t xml:space="preserve"> </w:t>
      </w:r>
      <w:r w:rsidRPr="004D7779">
        <w:rPr>
          <w:rFonts w:cs="Arial" w:hint="cs"/>
          <w:rtl/>
        </w:rPr>
        <w:t>עליה</w:t>
      </w:r>
      <w:r w:rsidRPr="004D7779">
        <w:rPr>
          <w:rFonts w:cs="Arial"/>
          <w:rtl/>
        </w:rPr>
        <w:t xml:space="preserve">. </w:t>
      </w:r>
      <w:r w:rsidRPr="004D7779">
        <w:rPr>
          <w:rFonts w:cs="Arial" w:hint="cs"/>
          <w:rtl/>
        </w:rPr>
        <w:t>ונראה</w:t>
      </w:r>
      <w:r w:rsidRPr="004D7779">
        <w:rPr>
          <w:rFonts w:cs="Arial"/>
          <w:rtl/>
        </w:rPr>
        <w:t xml:space="preserve"> </w:t>
      </w:r>
      <w:r w:rsidRPr="004D7779">
        <w:rPr>
          <w:rFonts w:cs="Arial" w:hint="cs"/>
          <w:rtl/>
        </w:rPr>
        <w:t>דלדידן</w:t>
      </w:r>
      <w:r w:rsidRPr="004D7779">
        <w:rPr>
          <w:rFonts w:cs="Arial"/>
          <w:rtl/>
        </w:rPr>
        <w:t xml:space="preserve"> </w:t>
      </w:r>
      <w:r w:rsidRPr="004D7779">
        <w:rPr>
          <w:rFonts w:cs="Arial" w:hint="cs"/>
          <w:rtl/>
        </w:rPr>
        <w:t>מכי</w:t>
      </w:r>
      <w:r w:rsidRPr="004D7779">
        <w:rPr>
          <w:rFonts w:cs="Arial"/>
          <w:rtl/>
        </w:rPr>
        <w:t xml:space="preserve"> </w:t>
      </w:r>
      <w:r w:rsidRPr="004D7779">
        <w:rPr>
          <w:rFonts w:cs="Arial" w:hint="cs"/>
          <w:rtl/>
        </w:rPr>
        <w:t>אמר</w:t>
      </w:r>
      <w:r w:rsidRPr="004D7779">
        <w:rPr>
          <w:rFonts w:cs="Arial"/>
          <w:rtl/>
        </w:rPr>
        <w:t xml:space="preserve"> </w:t>
      </w:r>
      <w:r w:rsidRPr="004D7779">
        <w:rPr>
          <w:rFonts w:cs="Arial" w:hint="cs"/>
          <w:rtl/>
        </w:rPr>
        <w:t>מזמור</w:t>
      </w:r>
      <w:r w:rsidRPr="004D7779">
        <w:rPr>
          <w:rFonts w:cs="Arial"/>
          <w:rtl/>
        </w:rPr>
        <w:t xml:space="preserve"> </w:t>
      </w:r>
      <w:r w:rsidRPr="004D7779">
        <w:rPr>
          <w:rFonts w:cs="Arial" w:hint="cs"/>
          <w:rtl/>
        </w:rPr>
        <w:t>דשבת</w:t>
      </w:r>
      <w:r w:rsidRPr="004D7779">
        <w:rPr>
          <w:rFonts w:cs="Arial"/>
          <w:rtl/>
        </w:rPr>
        <w:t xml:space="preserve"> </w:t>
      </w:r>
      <w:r w:rsidRPr="004D7779">
        <w:rPr>
          <w:rFonts w:cs="Arial" w:hint="cs"/>
          <w:rtl/>
        </w:rPr>
        <w:t>קבליה</w:t>
      </w:r>
      <w:r w:rsidRPr="004D7779">
        <w:rPr>
          <w:rFonts w:cs="Arial"/>
          <w:rtl/>
        </w:rPr>
        <w:t xml:space="preserve"> </w:t>
      </w:r>
      <w:r w:rsidRPr="004D7779">
        <w:rPr>
          <w:rFonts w:cs="Arial" w:hint="cs"/>
          <w:rtl/>
        </w:rPr>
        <w:t>לשבת</w:t>
      </w:r>
      <w:r w:rsidRPr="004D7779">
        <w:rPr>
          <w:rFonts w:cs="Arial"/>
          <w:rtl/>
        </w:rPr>
        <w:t xml:space="preserve"> </w:t>
      </w:r>
      <w:r w:rsidRPr="004D7779">
        <w:rPr>
          <w:rFonts w:cs="Arial" w:hint="cs"/>
          <w:rtl/>
        </w:rPr>
        <w:t>עליה</w:t>
      </w:r>
      <w:r>
        <w:rPr>
          <w:rFonts w:cs="Arial" w:hint="cs"/>
          <w:rtl/>
        </w:rPr>
        <w:t>, ב"י.</w:t>
      </w:r>
      <w:r w:rsidRPr="00684CAD">
        <w:rPr>
          <w:rFonts w:cs="Arial" w:hint="cs"/>
          <w:rtl/>
        </w:rPr>
        <w:t xml:space="preserve"> </w:t>
      </w:r>
      <w:r w:rsidRPr="0056384F">
        <w:rPr>
          <w:rFonts w:cs="Arial" w:hint="cs"/>
          <w:color w:val="E36C0A" w:themeColor="accent6" w:themeShade="BF"/>
          <w:rtl/>
        </w:rPr>
        <w:t>(וכ"פ בשו"ע)</w:t>
      </w:r>
      <w:r>
        <w:rPr>
          <w:rFonts w:cs="Arial" w:hint="cs"/>
          <w:rtl/>
        </w:rPr>
        <w:t xml:space="preserve">. </w:t>
      </w:r>
      <w:r w:rsidRPr="00684CAD">
        <w:rPr>
          <w:rFonts w:cs="Arial" w:hint="cs"/>
          <w:rtl/>
        </w:rPr>
        <w:t>ובמדינות</w:t>
      </w:r>
      <w:r w:rsidRPr="00684CAD">
        <w:rPr>
          <w:rFonts w:cs="Arial"/>
          <w:rtl/>
        </w:rPr>
        <w:t xml:space="preserve"> </w:t>
      </w:r>
      <w:r w:rsidRPr="00684CAD">
        <w:rPr>
          <w:rFonts w:cs="Arial" w:hint="cs"/>
          <w:rtl/>
        </w:rPr>
        <w:t>אלו</w:t>
      </w:r>
      <w:r w:rsidRPr="00684CAD">
        <w:rPr>
          <w:rFonts w:cs="Arial"/>
          <w:rtl/>
        </w:rPr>
        <w:t xml:space="preserve"> </w:t>
      </w:r>
      <w:r w:rsidRPr="00684CAD">
        <w:rPr>
          <w:rFonts w:cs="Arial" w:hint="cs"/>
          <w:rtl/>
        </w:rPr>
        <w:t>אין</w:t>
      </w:r>
      <w:r w:rsidRPr="00684CAD">
        <w:rPr>
          <w:rFonts w:cs="Arial"/>
          <w:rtl/>
        </w:rPr>
        <w:t xml:space="preserve"> </w:t>
      </w:r>
      <w:r w:rsidRPr="00684CAD">
        <w:rPr>
          <w:rFonts w:cs="Arial" w:hint="cs"/>
          <w:rtl/>
        </w:rPr>
        <w:t>נוהגין</w:t>
      </w:r>
      <w:r w:rsidRPr="00684CAD">
        <w:rPr>
          <w:rFonts w:cs="Arial"/>
          <w:rtl/>
        </w:rPr>
        <w:t xml:space="preserve"> </w:t>
      </w:r>
      <w:r w:rsidRPr="00684CAD">
        <w:rPr>
          <w:rFonts w:cs="Arial" w:hint="cs"/>
          <w:rtl/>
        </w:rPr>
        <w:t>לומר</w:t>
      </w:r>
      <w:r w:rsidRPr="00684CAD">
        <w:rPr>
          <w:rFonts w:cs="Arial"/>
          <w:rtl/>
        </w:rPr>
        <w:t xml:space="preserve"> </w:t>
      </w:r>
      <w:r w:rsidRPr="00684CAD">
        <w:rPr>
          <w:rFonts w:cs="Arial" w:hint="cs"/>
          <w:rtl/>
        </w:rPr>
        <w:t>מזמור</w:t>
      </w:r>
      <w:r w:rsidRPr="00684CAD">
        <w:rPr>
          <w:rFonts w:cs="Arial"/>
          <w:rtl/>
        </w:rPr>
        <w:t xml:space="preserve"> </w:t>
      </w:r>
      <w:r w:rsidRPr="00684CAD">
        <w:rPr>
          <w:rFonts w:cs="Arial" w:hint="cs"/>
          <w:rtl/>
        </w:rPr>
        <w:t>בכניסת</w:t>
      </w:r>
      <w:r w:rsidRPr="00684CAD">
        <w:rPr>
          <w:rFonts w:cs="Arial"/>
          <w:rtl/>
        </w:rPr>
        <w:t xml:space="preserve"> </w:t>
      </w:r>
      <w:r w:rsidRPr="00684CAD">
        <w:rPr>
          <w:rFonts w:cs="Arial" w:hint="cs"/>
          <w:rtl/>
        </w:rPr>
        <w:t>השבת</w:t>
      </w:r>
      <w:r w:rsidRPr="00684CAD">
        <w:rPr>
          <w:rFonts w:cs="Arial"/>
          <w:rtl/>
        </w:rPr>
        <w:t xml:space="preserve"> </w:t>
      </w:r>
      <w:r w:rsidRPr="00684CAD">
        <w:rPr>
          <w:rFonts w:cs="Arial" w:hint="cs"/>
          <w:rtl/>
        </w:rPr>
        <w:t>לכן</w:t>
      </w:r>
      <w:r w:rsidRPr="00684CAD">
        <w:rPr>
          <w:rFonts w:cs="Arial"/>
          <w:rtl/>
        </w:rPr>
        <w:t xml:space="preserve"> </w:t>
      </w:r>
      <w:r w:rsidRPr="00684CAD">
        <w:rPr>
          <w:rFonts w:cs="Arial" w:hint="cs"/>
          <w:rtl/>
        </w:rPr>
        <w:t>עניית</w:t>
      </w:r>
      <w:r w:rsidRPr="00684CAD">
        <w:rPr>
          <w:rFonts w:cs="Arial"/>
          <w:rtl/>
        </w:rPr>
        <w:t xml:space="preserve"> </w:t>
      </w:r>
      <w:r w:rsidRPr="00684CAD">
        <w:rPr>
          <w:rFonts w:cs="Arial" w:hint="cs"/>
          <w:rtl/>
        </w:rPr>
        <w:t>ברכו</w:t>
      </w:r>
      <w:r w:rsidRPr="00684CAD">
        <w:rPr>
          <w:rFonts w:cs="Arial"/>
          <w:rtl/>
        </w:rPr>
        <w:t xml:space="preserve"> </w:t>
      </w:r>
      <w:r w:rsidRPr="00684CAD">
        <w:rPr>
          <w:rFonts w:cs="Arial" w:hint="cs"/>
          <w:rtl/>
        </w:rPr>
        <w:t>הוי</w:t>
      </w:r>
      <w:r w:rsidRPr="00684CAD">
        <w:rPr>
          <w:rFonts w:cs="Arial"/>
          <w:rtl/>
        </w:rPr>
        <w:t xml:space="preserve"> </w:t>
      </w:r>
      <w:r w:rsidRPr="00684CAD">
        <w:rPr>
          <w:rFonts w:cs="Arial" w:hint="cs"/>
          <w:rtl/>
        </w:rPr>
        <w:t>קבלת</w:t>
      </w:r>
      <w:r w:rsidRPr="00684CAD">
        <w:rPr>
          <w:rFonts w:cs="Arial"/>
          <w:rtl/>
        </w:rPr>
        <w:t xml:space="preserve"> </w:t>
      </w:r>
      <w:r w:rsidRPr="00684CAD">
        <w:rPr>
          <w:rFonts w:cs="Arial" w:hint="cs"/>
          <w:rtl/>
        </w:rPr>
        <w:t>השבת</w:t>
      </w:r>
      <w:r>
        <w:rPr>
          <w:rFonts w:cs="Arial" w:hint="cs"/>
          <w:rtl/>
        </w:rPr>
        <w:t>, דרכ"מ (אות ב).</w:t>
      </w:r>
    </w:p>
  </w:footnote>
  <w:footnote w:id="609">
    <w:p w14:paraId="0B2815D5" w14:textId="77777777" w:rsidR="004B2E7C" w:rsidRDefault="004B2E7C" w:rsidP="00285819">
      <w:pPr>
        <w:pStyle w:val="a7"/>
      </w:pPr>
      <w:r>
        <w:rPr>
          <w:rStyle w:val="a9"/>
        </w:rPr>
        <w:footnoteRef/>
      </w:r>
      <w:r>
        <w:rPr>
          <w:rtl/>
        </w:rPr>
        <w:t xml:space="preserve"> </w:t>
      </w:r>
      <w:r w:rsidRPr="00663B54">
        <w:rPr>
          <w:rFonts w:cs="Arial" w:hint="cs"/>
          <w:rtl/>
        </w:rPr>
        <w:t>דמסתמא</w:t>
      </w:r>
      <w:r w:rsidRPr="00663B54">
        <w:rPr>
          <w:rFonts w:cs="Arial"/>
          <w:rtl/>
        </w:rPr>
        <w:t xml:space="preserve"> </w:t>
      </w:r>
      <w:r w:rsidRPr="00663B54">
        <w:rPr>
          <w:rFonts w:cs="Arial" w:hint="cs"/>
          <w:rtl/>
        </w:rPr>
        <w:t>כיון</w:t>
      </w:r>
      <w:r w:rsidRPr="00663B54">
        <w:rPr>
          <w:rFonts w:cs="Arial"/>
          <w:rtl/>
        </w:rPr>
        <w:t xml:space="preserve"> </w:t>
      </w:r>
      <w:r w:rsidRPr="00663B54">
        <w:rPr>
          <w:rFonts w:cs="Arial" w:hint="cs"/>
          <w:rtl/>
        </w:rPr>
        <w:t>שמזכיר</w:t>
      </w:r>
      <w:r w:rsidRPr="00663B54">
        <w:rPr>
          <w:rFonts w:cs="Arial"/>
          <w:rtl/>
        </w:rPr>
        <w:t xml:space="preserve"> </w:t>
      </w:r>
      <w:r w:rsidRPr="00663B54">
        <w:rPr>
          <w:rFonts w:cs="Arial" w:hint="cs"/>
          <w:rtl/>
        </w:rPr>
        <w:t>שבת</w:t>
      </w:r>
      <w:r w:rsidRPr="00663B54">
        <w:rPr>
          <w:rFonts w:cs="Arial"/>
          <w:rtl/>
        </w:rPr>
        <w:t xml:space="preserve"> </w:t>
      </w:r>
      <w:r w:rsidRPr="00663B54">
        <w:rPr>
          <w:rFonts w:cs="Arial" w:hint="cs"/>
          <w:rtl/>
        </w:rPr>
        <w:t>הוי</w:t>
      </w:r>
      <w:r w:rsidRPr="00663B54">
        <w:rPr>
          <w:rFonts w:cs="Arial"/>
          <w:rtl/>
        </w:rPr>
        <w:t xml:space="preserve"> </w:t>
      </w:r>
      <w:r w:rsidRPr="00663B54">
        <w:rPr>
          <w:rFonts w:cs="Arial" w:hint="cs"/>
          <w:rtl/>
        </w:rPr>
        <w:t>כקבלה</w:t>
      </w:r>
      <w:r w:rsidRPr="00663B54">
        <w:rPr>
          <w:rFonts w:cs="Arial"/>
          <w:rtl/>
        </w:rPr>
        <w:t xml:space="preserve">. </w:t>
      </w:r>
      <w:r w:rsidRPr="00663B54">
        <w:rPr>
          <w:rFonts w:cs="Arial" w:hint="cs"/>
          <w:rtl/>
        </w:rPr>
        <w:t>וכתב</w:t>
      </w:r>
      <w:r w:rsidRPr="00663B54">
        <w:rPr>
          <w:rFonts w:cs="Arial"/>
          <w:rtl/>
        </w:rPr>
        <w:t xml:space="preserve"> </w:t>
      </w:r>
      <w:r w:rsidRPr="00663B54">
        <w:rPr>
          <w:rFonts w:cs="Arial" w:hint="cs"/>
          <w:rtl/>
        </w:rPr>
        <w:t>המ</w:t>
      </w:r>
      <w:r w:rsidRPr="00663B54">
        <w:rPr>
          <w:rFonts w:cs="Arial"/>
          <w:rtl/>
        </w:rPr>
        <w:t>"</w:t>
      </w:r>
      <w:r w:rsidRPr="00663B54">
        <w:rPr>
          <w:rFonts w:cs="Arial" w:hint="cs"/>
          <w:rtl/>
        </w:rPr>
        <w:t>א</w:t>
      </w:r>
      <w:r w:rsidRPr="00663B54">
        <w:rPr>
          <w:rFonts w:cs="Arial"/>
          <w:rtl/>
        </w:rPr>
        <w:t xml:space="preserve"> </w:t>
      </w:r>
      <w:r w:rsidRPr="00663B54">
        <w:rPr>
          <w:rFonts w:cs="Arial" w:hint="cs"/>
          <w:rtl/>
        </w:rPr>
        <w:t>ועתה</w:t>
      </w:r>
      <w:r w:rsidRPr="00663B54">
        <w:rPr>
          <w:rFonts w:cs="Arial"/>
          <w:rtl/>
        </w:rPr>
        <w:t xml:space="preserve"> </w:t>
      </w:r>
      <w:r w:rsidRPr="00663B54">
        <w:rPr>
          <w:rFonts w:cs="Arial" w:hint="cs"/>
          <w:rtl/>
        </w:rPr>
        <w:t>נוהגין</w:t>
      </w:r>
      <w:r w:rsidRPr="00663B54">
        <w:rPr>
          <w:rFonts w:cs="Arial"/>
          <w:rtl/>
        </w:rPr>
        <w:t xml:space="preserve"> </w:t>
      </w:r>
      <w:r w:rsidRPr="00663B54">
        <w:rPr>
          <w:rFonts w:cs="Arial" w:hint="cs"/>
          <w:rtl/>
        </w:rPr>
        <w:t>לומר</w:t>
      </w:r>
      <w:r w:rsidRPr="00663B54">
        <w:rPr>
          <w:rFonts w:cs="Arial"/>
          <w:rtl/>
        </w:rPr>
        <w:t xml:space="preserve"> </w:t>
      </w:r>
      <w:r w:rsidRPr="00663B54">
        <w:rPr>
          <w:rFonts w:cs="Arial" w:hint="cs"/>
          <w:rtl/>
        </w:rPr>
        <w:t>מזמור</w:t>
      </w:r>
      <w:r w:rsidRPr="00663B54">
        <w:rPr>
          <w:rFonts w:cs="Arial"/>
          <w:rtl/>
        </w:rPr>
        <w:t xml:space="preserve"> </w:t>
      </w:r>
      <w:r w:rsidRPr="00663B54">
        <w:rPr>
          <w:rFonts w:cs="Arial" w:hint="cs"/>
          <w:rtl/>
        </w:rPr>
        <w:t>שיר</w:t>
      </w:r>
      <w:r w:rsidRPr="00663B54">
        <w:rPr>
          <w:rFonts w:cs="Arial"/>
          <w:rtl/>
        </w:rPr>
        <w:t xml:space="preserve"> </w:t>
      </w:r>
      <w:r w:rsidRPr="00663B54">
        <w:rPr>
          <w:rFonts w:cs="Arial" w:hint="cs"/>
          <w:rtl/>
        </w:rPr>
        <w:t>וגו</w:t>
      </w:r>
      <w:r w:rsidRPr="00663B54">
        <w:rPr>
          <w:rFonts w:cs="Arial"/>
          <w:rtl/>
        </w:rPr>
        <w:t xml:space="preserve">' </w:t>
      </w:r>
      <w:r w:rsidRPr="00663B54">
        <w:rPr>
          <w:rFonts w:cs="Arial" w:hint="cs"/>
          <w:rtl/>
        </w:rPr>
        <w:t>ואפ</w:t>
      </w:r>
      <w:r w:rsidRPr="00663B54">
        <w:rPr>
          <w:rFonts w:cs="Arial"/>
          <w:rtl/>
        </w:rPr>
        <w:t>"</w:t>
      </w:r>
      <w:r w:rsidRPr="00663B54">
        <w:rPr>
          <w:rFonts w:cs="Arial" w:hint="cs"/>
          <w:rtl/>
        </w:rPr>
        <w:t>ה</w:t>
      </w:r>
      <w:r w:rsidRPr="00663B54">
        <w:rPr>
          <w:rFonts w:cs="Arial"/>
          <w:rtl/>
        </w:rPr>
        <w:t xml:space="preserve"> </w:t>
      </w:r>
      <w:r w:rsidRPr="00663B54">
        <w:rPr>
          <w:rFonts w:cs="Arial" w:hint="cs"/>
          <w:rtl/>
        </w:rPr>
        <w:t>עושין</w:t>
      </w:r>
      <w:r w:rsidRPr="00663B54">
        <w:rPr>
          <w:rFonts w:cs="Arial"/>
          <w:rtl/>
        </w:rPr>
        <w:t xml:space="preserve"> </w:t>
      </w:r>
      <w:r w:rsidRPr="00663B54">
        <w:rPr>
          <w:rFonts w:cs="Arial" w:hint="cs"/>
          <w:rtl/>
        </w:rPr>
        <w:t>כל</w:t>
      </w:r>
      <w:r w:rsidRPr="00663B54">
        <w:rPr>
          <w:rFonts w:cs="Arial"/>
          <w:rtl/>
        </w:rPr>
        <w:t xml:space="preserve"> </w:t>
      </w:r>
      <w:r w:rsidRPr="00663B54">
        <w:rPr>
          <w:rFonts w:cs="Arial" w:hint="cs"/>
          <w:rtl/>
        </w:rPr>
        <w:t>המלאכות</w:t>
      </w:r>
      <w:r w:rsidRPr="00663B54">
        <w:rPr>
          <w:rFonts w:cs="Arial"/>
          <w:rtl/>
        </w:rPr>
        <w:t xml:space="preserve"> </w:t>
      </w:r>
      <w:r w:rsidRPr="00663B54">
        <w:rPr>
          <w:rFonts w:cs="Arial" w:hint="cs"/>
          <w:rtl/>
        </w:rPr>
        <w:t>עד</w:t>
      </w:r>
      <w:r w:rsidRPr="00663B54">
        <w:rPr>
          <w:rFonts w:cs="Arial"/>
          <w:rtl/>
        </w:rPr>
        <w:t xml:space="preserve"> </w:t>
      </w:r>
      <w:r w:rsidRPr="00663B54">
        <w:rPr>
          <w:rFonts w:cs="Arial" w:hint="cs"/>
          <w:rtl/>
        </w:rPr>
        <w:t>ברכו</w:t>
      </w:r>
      <w:r w:rsidRPr="00663B54">
        <w:rPr>
          <w:rFonts w:cs="Arial"/>
          <w:rtl/>
        </w:rPr>
        <w:t xml:space="preserve"> [</w:t>
      </w:r>
      <w:r w:rsidRPr="00663B54">
        <w:rPr>
          <w:rFonts w:cs="Arial" w:hint="cs"/>
          <w:rtl/>
        </w:rPr>
        <w:t>והיינו</w:t>
      </w:r>
      <w:r w:rsidRPr="00663B54">
        <w:rPr>
          <w:rFonts w:cs="Arial"/>
          <w:rtl/>
        </w:rPr>
        <w:t xml:space="preserve"> </w:t>
      </w:r>
      <w:r w:rsidRPr="00663B54">
        <w:rPr>
          <w:rFonts w:cs="Arial" w:hint="cs"/>
          <w:rtl/>
        </w:rPr>
        <w:t>כשהזמן</w:t>
      </w:r>
      <w:r w:rsidRPr="00663B54">
        <w:rPr>
          <w:rFonts w:cs="Arial"/>
          <w:rtl/>
        </w:rPr>
        <w:t xml:space="preserve"> </w:t>
      </w:r>
      <w:r w:rsidRPr="00663B54">
        <w:rPr>
          <w:rFonts w:cs="Arial" w:hint="cs"/>
          <w:rtl/>
        </w:rPr>
        <w:t>הוא</w:t>
      </w:r>
      <w:r w:rsidRPr="00663B54">
        <w:rPr>
          <w:rFonts w:cs="Arial"/>
          <w:rtl/>
        </w:rPr>
        <w:t xml:space="preserve"> </w:t>
      </w:r>
      <w:r w:rsidRPr="00663B54">
        <w:rPr>
          <w:rFonts w:cs="Arial" w:hint="cs"/>
          <w:rtl/>
        </w:rPr>
        <w:t>קודם</w:t>
      </w:r>
      <w:r w:rsidRPr="00663B54">
        <w:rPr>
          <w:rFonts w:cs="Arial"/>
          <w:rtl/>
        </w:rPr>
        <w:t xml:space="preserve"> </w:t>
      </w:r>
      <w:r w:rsidRPr="00663B54">
        <w:rPr>
          <w:rFonts w:cs="Arial" w:hint="cs"/>
          <w:rtl/>
        </w:rPr>
        <w:t>בין</w:t>
      </w:r>
      <w:r w:rsidRPr="00663B54">
        <w:rPr>
          <w:rFonts w:cs="Arial"/>
          <w:rtl/>
        </w:rPr>
        <w:t xml:space="preserve"> </w:t>
      </w:r>
      <w:r w:rsidRPr="00663B54">
        <w:rPr>
          <w:rFonts w:cs="Arial" w:hint="cs"/>
          <w:rtl/>
        </w:rPr>
        <w:t>השמשות</w:t>
      </w:r>
      <w:r w:rsidRPr="00663B54">
        <w:rPr>
          <w:rFonts w:cs="Arial"/>
          <w:rtl/>
        </w:rPr>
        <w:t xml:space="preserve">] </w:t>
      </w:r>
      <w:r w:rsidRPr="00663B54">
        <w:rPr>
          <w:rFonts w:cs="Arial" w:hint="cs"/>
          <w:rtl/>
        </w:rPr>
        <w:t>והטעם</w:t>
      </w:r>
      <w:r w:rsidRPr="00663B54">
        <w:rPr>
          <w:rFonts w:cs="Arial"/>
          <w:rtl/>
        </w:rPr>
        <w:t xml:space="preserve"> </w:t>
      </w:r>
      <w:r w:rsidRPr="00663B54">
        <w:rPr>
          <w:rFonts w:cs="Arial" w:hint="cs"/>
          <w:rtl/>
        </w:rPr>
        <w:t>משום</w:t>
      </w:r>
      <w:r w:rsidRPr="00663B54">
        <w:rPr>
          <w:rFonts w:cs="Arial"/>
          <w:rtl/>
        </w:rPr>
        <w:t xml:space="preserve"> </w:t>
      </w:r>
      <w:r w:rsidRPr="00663B54">
        <w:rPr>
          <w:rFonts w:cs="Arial" w:hint="cs"/>
          <w:rtl/>
        </w:rPr>
        <w:t>דמעיקרא</w:t>
      </w:r>
      <w:r w:rsidRPr="00663B54">
        <w:rPr>
          <w:rFonts w:cs="Arial"/>
          <w:rtl/>
        </w:rPr>
        <w:t xml:space="preserve"> </w:t>
      </w:r>
      <w:r w:rsidRPr="00663B54">
        <w:rPr>
          <w:rFonts w:cs="Arial" w:hint="cs"/>
          <w:rtl/>
        </w:rPr>
        <w:t>הכי</w:t>
      </w:r>
      <w:r w:rsidRPr="00663B54">
        <w:rPr>
          <w:rFonts w:cs="Arial"/>
          <w:rtl/>
        </w:rPr>
        <w:t xml:space="preserve"> </w:t>
      </w:r>
      <w:r w:rsidRPr="00663B54">
        <w:rPr>
          <w:rFonts w:cs="Arial" w:hint="cs"/>
          <w:rtl/>
        </w:rPr>
        <w:t>קבלו</w:t>
      </w:r>
      <w:r w:rsidRPr="00663B54">
        <w:rPr>
          <w:rFonts w:cs="Arial"/>
          <w:rtl/>
        </w:rPr>
        <w:t xml:space="preserve"> </w:t>
      </w:r>
      <w:r w:rsidRPr="00663B54">
        <w:rPr>
          <w:rFonts w:cs="Arial" w:hint="cs"/>
          <w:rtl/>
        </w:rPr>
        <w:t>עלייהו</w:t>
      </w:r>
      <w:r w:rsidRPr="00663B54">
        <w:rPr>
          <w:rFonts w:cs="Arial"/>
          <w:rtl/>
        </w:rPr>
        <w:t xml:space="preserve"> </w:t>
      </w:r>
      <w:r w:rsidRPr="00663B54">
        <w:rPr>
          <w:rFonts w:cs="Arial" w:hint="cs"/>
          <w:rtl/>
        </w:rPr>
        <w:t>ואין</w:t>
      </w:r>
      <w:r w:rsidRPr="00663B54">
        <w:rPr>
          <w:rFonts w:cs="Arial"/>
          <w:rtl/>
        </w:rPr>
        <w:t xml:space="preserve"> </w:t>
      </w:r>
      <w:r w:rsidRPr="00663B54">
        <w:rPr>
          <w:rFonts w:cs="Arial" w:hint="cs"/>
          <w:rtl/>
        </w:rPr>
        <w:t>מתכוונים</w:t>
      </w:r>
      <w:r w:rsidRPr="00663B54">
        <w:rPr>
          <w:rFonts w:cs="Arial"/>
          <w:rtl/>
        </w:rPr>
        <w:t xml:space="preserve"> </w:t>
      </w:r>
      <w:r w:rsidRPr="00663B54">
        <w:rPr>
          <w:rFonts w:cs="Arial" w:hint="cs"/>
          <w:rtl/>
        </w:rPr>
        <w:t>בזה</w:t>
      </w:r>
      <w:r w:rsidRPr="00663B54">
        <w:rPr>
          <w:rFonts w:cs="Arial"/>
          <w:rtl/>
        </w:rPr>
        <w:t xml:space="preserve"> </w:t>
      </w:r>
      <w:r w:rsidRPr="00663B54">
        <w:rPr>
          <w:rFonts w:cs="Arial" w:hint="cs"/>
          <w:rtl/>
        </w:rPr>
        <w:t>לקבלה</w:t>
      </w:r>
      <w:r w:rsidRPr="00663B54">
        <w:rPr>
          <w:rFonts w:cs="Arial"/>
          <w:rtl/>
        </w:rPr>
        <w:t xml:space="preserve">. </w:t>
      </w:r>
      <w:r w:rsidRPr="00663B54">
        <w:rPr>
          <w:rFonts w:cs="Arial" w:hint="cs"/>
          <w:rtl/>
        </w:rPr>
        <w:t>וכ</w:t>
      </w:r>
      <w:r w:rsidRPr="00663B54">
        <w:rPr>
          <w:rFonts w:cs="Arial"/>
          <w:rtl/>
        </w:rPr>
        <w:t>"</w:t>
      </w:r>
      <w:r w:rsidRPr="00663B54">
        <w:rPr>
          <w:rFonts w:cs="Arial" w:hint="cs"/>
          <w:rtl/>
        </w:rPr>
        <w:t>ז</w:t>
      </w:r>
      <w:r w:rsidRPr="00663B54">
        <w:rPr>
          <w:rFonts w:cs="Arial"/>
          <w:rtl/>
        </w:rPr>
        <w:t xml:space="preserve"> </w:t>
      </w:r>
      <w:r w:rsidRPr="00663B54">
        <w:rPr>
          <w:rFonts w:cs="Arial" w:hint="cs"/>
          <w:rtl/>
        </w:rPr>
        <w:t>בזמן</w:t>
      </w:r>
      <w:r w:rsidRPr="00663B54">
        <w:rPr>
          <w:rFonts w:cs="Arial"/>
          <w:rtl/>
        </w:rPr>
        <w:t xml:space="preserve"> </w:t>
      </w:r>
      <w:r w:rsidRPr="00663B54">
        <w:rPr>
          <w:rFonts w:cs="Arial" w:hint="cs"/>
          <w:rtl/>
        </w:rPr>
        <w:t>המג</w:t>
      </w:r>
      <w:r w:rsidRPr="00663B54">
        <w:rPr>
          <w:rFonts w:cs="Arial"/>
          <w:rtl/>
        </w:rPr>
        <w:t>"</w:t>
      </w:r>
      <w:r w:rsidRPr="00663B54">
        <w:rPr>
          <w:rFonts w:cs="Arial" w:hint="cs"/>
          <w:rtl/>
        </w:rPr>
        <w:t>א</w:t>
      </w:r>
      <w:r w:rsidRPr="00663B54">
        <w:rPr>
          <w:rFonts w:cs="Arial"/>
          <w:rtl/>
        </w:rPr>
        <w:t xml:space="preserve"> </w:t>
      </w:r>
      <w:r w:rsidRPr="00663B54">
        <w:rPr>
          <w:rFonts w:cs="Arial" w:hint="cs"/>
          <w:rtl/>
        </w:rPr>
        <w:t>אבל</w:t>
      </w:r>
      <w:r w:rsidRPr="00663B54">
        <w:rPr>
          <w:rFonts w:cs="Arial"/>
          <w:rtl/>
        </w:rPr>
        <w:t xml:space="preserve"> </w:t>
      </w:r>
      <w:r w:rsidRPr="00663B54">
        <w:rPr>
          <w:rFonts w:cs="Arial" w:hint="cs"/>
          <w:rtl/>
        </w:rPr>
        <w:t>במקומותינו</w:t>
      </w:r>
      <w:r w:rsidRPr="00663B54">
        <w:rPr>
          <w:rFonts w:cs="Arial"/>
          <w:rtl/>
        </w:rPr>
        <w:t xml:space="preserve"> </w:t>
      </w:r>
      <w:r w:rsidRPr="00663B54">
        <w:rPr>
          <w:rFonts w:cs="Arial" w:hint="cs"/>
          <w:rtl/>
        </w:rPr>
        <w:t>המנהג</w:t>
      </w:r>
      <w:r w:rsidRPr="00663B54">
        <w:rPr>
          <w:rFonts w:cs="Arial"/>
          <w:rtl/>
        </w:rPr>
        <w:t xml:space="preserve"> </w:t>
      </w:r>
      <w:r w:rsidRPr="00663B54">
        <w:rPr>
          <w:rFonts w:cs="Arial" w:hint="cs"/>
          <w:rtl/>
        </w:rPr>
        <w:t>כהיום</w:t>
      </w:r>
      <w:r w:rsidRPr="00663B54">
        <w:rPr>
          <w:rFonts w:cs="Arial"/>
          <w:rtl/>
        </w:rPr>
        <w:t xml:space="preserve"> </w:t>
      </w:r>
      <w:r w:rsidRPr="00663B54">
        <w:rPr>
          <w:rFonts w:cs="Arial" w:hint="cs"/>
          <w:rtl/>
        </w:rPr>
        <w:t>מיד</w:t>
      </w:r>
      <w:r w:rsidRPr="00663B54">
        <w:rPr>
          <w:rFonts w:cs="Arial"/>
          <w:rtl/>
        </w:rPr>
        <w:t xml:space="preserve"> </w:t>
      </w:r>
      <w:r w:rsidRPr="00663B54">
        <w:rPr>
          <w:rFonts w:cs="Arial" w:hint="cs"/>
          <w:rtl/>
        </w:rPr>
        <w:t>שאומרים</w:t>
      </w:r>
      <w:r w:rsidRPr="00663B54">
        <w:rPr>
          <w:rFonts w:cs="Arial"/>
          <w:rtl/>
        </w:rPr>
        <w:t xml:space="preserve"> </w:t>
      </w:r>
      <w:r w:rsidRPr="00663B54">
        <w:rPr>
          <w:rFonts w:cs="Arial" w:hint="cs"/>
          <w:rtl/>
        </w:rPr>
        <w:t>מזמור</w:t>
      </w:r>
      <w:r w:rsidRPr="00663B54">
        <w:rPr>
          <w:rFonts w:cs="Arial"/>
          <w:rtl/>
        </w:rPr>
        <w:t xml:space="preserve"> </w:t>
      </w:r>
      <w:r w:rsidRPr="00663B54">
        <w:rPr>
          <w:rFonts w:cs="Arial" w:hint="cs"/>
          <w:rtl/>
        </w:rPr>
        <w:t>שיר</w:t>
      </w:r>
      <w:r w:rsidRPr="00663B54">
        <w:rPr>
          <w:rFonts w:cs="Arial"/>
          <w:rtl/>
        </w:rPr>
        <w:t xml:space="preserve"> </w:t>
      </w:r>
      <w:r w:rsidRPr="00663B54">
        <w:rPr>
          <w:rFonts w:cs="Arial" w:hint="cs"/>
          <w:rtl/>
        </w:rPr>
        <w:t>מקבלין</w:t>
      </w:r>
      <w:r w:rsidRPr="00663B54">
        <w:rPr>
          <w:rFonts w:cs="Arial"/>
          <w:rtl/>
        </w:rPr>
        <w:t xml:space="preserve"> </w:t>
      </w:r>
      <w:r w:rsidRPr="00663B54">
        <w:rPr>
          <w:rFonts w:cs="Arial" w:hint="cs"/>
          <w:rtl/>
        </w:rPr>
        <w:t>הצבור</w:t>
      </w:r>
      <w:r w:rsidRPr="00663B54">
        <w:rPr>
          <w:rFonts w:cs="Arial"/>
          <w:rtl/>
        </w:rPr>
        <w:t xml:space="preserve"> </w:t>
      </w:r>
      <w:r w:rsidRPr="00663B54">
        <w:rPr>
          <w:rFonts w:cs="Arial" w:hint="cs"/>
          <w:rtl/>
        </w:rPr>
        <w:t>שבת</w:t>
      </w:r>
      <w:r w:rsidRPr="00663B54">
        <w:rPr>
          <w:rFonts w:cs="Arial"/>
          <w:rtl/>
        </w:rPr>
        <w:t xml:space="preserve"> </w:t>
      </w:r>
      <w:r w:rsidRPr="00663B54">
        <w:rPr>
          <w:rFonts w:cs="Arial" w:hint="cs"/>
          <w:rtl/>
        </w:rPr>
        <w:t>עלייהו</w:t>
      </w:r>
      <w:r w:rsidRPr="00663B54">
        <w:rPr>
          <w:rFonts w:cs="Arial"/>
          <w:rtl/>
        </w:rPr>
        <w:t xml:space="preserve"> </w:t>
      </w:r>
      <w:r w:rsidRPr="00663B54">
        <w:rPr>
          <w:rFonts w:cs="Arial" w:hint="cs"/>
          <w:rtl/>
        </w:rPr>
        <w:t>ואסור</w:t>
      </w:r>
      <w:r w:rsidRPr="00663B54">
        <w:rPr>
          <w:rFonts w:cs="Arial"/>
          <w:rtl/>
        </w:rPr>
        <w:t xml:space="preserve"> </w:t>
      </w:r>
      <w:r w:rsidRPr="00663B54">
        <w:rPr>
          <w:rFonts w:cs="Arial" w:hint="cs"/>
          <w:rtl/>
        </w:rPr>
        <w:t>בכל</w:t>
      </w:r>
      <w:r w:rsidRPr="00663B54">
        <w:rPr>
          <w:rFonts w:cs="Arial"/>
          <w:rtl/>
        </w:rPr>
        <w:t xml:space="preserve"> </w:t>
      </w:r>
      <w:r w:rsidRPr="00663B54">
        <w:rPr>
          <w:rFonts w:cs="Arial" w:hint="cs"/>
          <w:rtl/>
        </w:rPr>
        <w:t>המלאכות</w:t>
      </w:r>
      <w:r w:rsidRPr="00663B54">
        <w:rPr>
          <w:rFonts w:cs="Arial"/>
          <w:rtl/>
        </w:rPr>
        <w:t xml:space="preserve"> </w:t>
      </w:r>
      <w:r w:rsidRPr="00663B54">
        <w:rPr>
          <w:rFonts w:cs="Arial" w:hint="cs"/>
          <w:rtl/>
        </w:rPr>
        <w:t>אפילו</w:t>
      </w:r>
      <w:r w:rsidRPr="00663B54">
        <w:rPr>
          <w:rFonts w:cs="Arial"/>
          <w:rtl/>
        </w:rPr>
        <w:t xml:space="preserve"> </w:t>
      </w:r>
      <w:r w:rsidRPr="00663B54">
        <w:rPr>
          <w:rFonts w:cs="Arial" w:hint="cs"/>
          <w:rtl/>
        </w:rPr>
        <w:t>עדיין</w:t>
      </w:r>
      <w:r w:rsidRPr="00663B54">
        <w:rPr>
          <w:rFonts w:cs="Arial"/>
          <w:rtl/>
        </w:rPr>
        <w:t xml:space="preserve"> </w:t>
      </w:r>
      <w:r w:rsidRPr="00663B54">
        <w:rPr>
          <w:rFonts w:cs="Arial" w:hint="cs"/>
          <w:rtl/>
        </w:rPr>
        <w:t>היום</w:t>
      </w:r>
      <w:r w:rsidRPr="00663B54">
        <w:rPr>
          <w:rFonts w:cs="Arial"/>
          <w:rtl/>
        </w:rPr>
        <w:t xml:space="preserve"> </w:t>
      </w:r>
      <w:r w:rsidRPr="00663B54">
        <w:rPr>
          <w:rFonts w:cs="Arial" w:hint="cs"/>
          <w:rtl/>
        </w:rPr>
        <w:t>גדול</w:t>
      </w:r>
      <w:r w:rsidRPr="00663B54">
        <w:rPr>
          <w:rFonts w:cs="Arial"/>
          <w:rtl/>
        </w:rPr>
        <w:t xml:space="preserve"> [</w:t>
      </w:r>
      <w:r w:rsidRPr="00663B54">
        <w:rPr>
          <w:rFonts w:cs="Arial" w:hint="cs"/>
          <w:rtl/>
        </w:rPr>
        <w:t>פמ</w:t>
      </w:r>
      <w:r w:rsidRPr="00663B54">
        <w:rPr>
          <w:rFonts w:cs="Arial"/>
          <w:rtl/>
        </w:rPr>
        <w:t>"</w:t>
      </w:r>
      <w:r w:rsidRPr="00663B54">
        <w:rPr>
          <w:rFonts w:cs="Arial" w:hint="cs"/>
          <w:rtl/>
        </w:rPr>
        <w:t>ג</w:t>
      </w:r>
      <w:r w:rsidRPr="00663B54">
        <w:rPr>
          <w:rFonts w:cs="Arial"/>
          <w:rtl/>
        </w:rPr>
        <w:t xml:space="preserve"> </w:t>
      </w:r>
      <w:r w:rsidRPr="00663B54">
        <w:rPr>
          <w:rFonts w:cs="Arial" w:hint="cs"/>
          <w:rtl/>
        </w:rPr>
        <w:t>ודה</w:t>
      </w:r>
      <w:r w:rsidRPr="00663B54">
        <w:rPr>
          <w:rFonts w:cs="Arial"/>
          <w:rtl/>
        </w:rPr>
        <w:t>"</w:t>
      </w:r>
      <w:r w:rsidRPr="00663B54">
        <w:rPr>
          <w:rFonts w:cs="Arial" w:hint="cs"/>
          <w:rtl/>
        </w:rPr>
        <w:t>ח</w:t>
      </w:r>
      <w:r w:rsidRPr="00663B54">
        <w:rPr>
          <w:rFonts w:cs="Arial"/>
          <w:rtl/>
        </w:rPr>
        <w:t xml:space="preserve">] </w:t>
      </w:r>
      <w:r w:rsidRPr="00663B54">
        <w:rPr>
          <w:rFonts w:cs="Arial" w:hint="cs"/>
          <w:rtl/>
        </w:rPr>
        <w:t>וכתב</w:t>
      </w:r>
      <w:r w:rsidRPr="00663B54">
        <w:rPr>
          <w:rFonts w:cs="Arial"/>
          <w:rtl/>
        </w:rPr>
        <w:t xml:space="preserve"> </w:t>
      </w:r>
      <w:r w:rsidRPr="00663B54">
        <w:rPr>
          <w:rFonts w:cs="Arial" w:hint="cs"/>
          <w:rtl/>
        </w:rPr>
        <w:t>בספר</w:t>
      </w:r>
      <w:r w:rsidRPr="00663B54">
        <w:rPr>
          <w:rFonts w:cs="Arial"/>
          <w:rtl/>
        </w:rPr>
        <w:t xml:space="preserve"> </w:t>
      </w:r>
      <w:r w:rsidRPr="00663B54">
        <w:rPr>
          <w:rFonts w:cs="Arial" w:hint="cs"/>
          <w:rtl/>
        </w:rPr>
        <w:t>דרך</w:t>
      </w:r>
      <w:r w:rsidRPr="00663B54">
        <w:rPr>
          <w:rFonts w:cs="Arial"/>
          <w:rtl/>
        </w:rPr>
        <w:t xml:space="preserve"> </w:t>
      </w:r>
      <w:r w:rsidRPr="00663B54">
        <w:rPr>
          <w:rFonts w:cs="Arial" w:hint="cs"/>
          <w:rtl/>
        </w:rPr>
        <w:t>חכמה</w:t>
      </w:r>
      <w:r w:rsidRPr="00663B54">
        <w:rPr>
          <w:rFonts w:cs="Arial"/>
          <w:rtl/>
        </w:rPr>
        <w:t xml:space="preserve"> </w:t>
      </w:r>
      <w:r w:rsidRPr="00663B54">
        <w:rPr>
          <w:rFonts w:cs="Arial" w:hint="cs"/>
          <w:rtl/>
        </w:rPr>
        <w:t>דה</w:t>
      </w:r>
      <w:r w:rsidRPr="00663B54">
        <w:rPr>
          <w:rFonts w:cs="Arial"/>
          <w:rtl/>
        </w:rPr>
        <w:t>"</w:t>
      </w:r>
      <w:r w:rsidRPr="00663B54">
        <w:rPr>
          <w:rFonts w:cs="Arial" w:hint="cs"/>
          <w:rtl/>
        </w:rPr>
        <w:t>ה</w:t>
      </w:r>
      <w:r w:rsidRPr="00663B54">
        <w:rPr>
          <w:rFonts w:cs="Arial"/>
          <w:rtl/>
        </w:rPr>
        <w:t xml:space="preserve"> </w:t>
      </w:r>
      <w:r w:rsidRPr="00663B54">
        <w:rPr>
          <w:rFonts w:cs="Arial" w:hint="cs"/>
          <w:rtl/>
        </w:rPr>
        <w:t>במקומות</w:t>
      </w:r>
      <w:r w:rsidRPr="00663B54">
        <w:rPr>
          <w:rFonts w:cs="Arial"/>
          <w:rtl/>
        </w:rPr>
        <w:t xml:space="preserve"> </w:t>
      </w:r>
      <w:r w:rsidRPr="00663B54">
        <w:rPr>
          <w:rFonts w:cs="Arial" w:hint="cs"/>
          <w:rtl/>
        </w:rPr>
        <w:t>שנוהגין</w:t>
      </w:r>
      <w:r w:rsidRPr="00663B54">
        <w:rPr>
          <w:rFonts w:cs="Arial"/>
          <w:rtl/>
        </w:rPr>
        <w:t xml:space="preserve"> </w:t>
      </w:r>
      <w:r w:rsidRPr="00663B54">
        <w:rPr>
          <w:rFonts w:cs="Arial" w:hint="cs"/>
          <w:rtl/>
        </w:rPr>
        <w:t>לומר</w:t>
      </w:r>
      <w:r w:rsidRPr="00663B54">
        <w:rPr>
          <w:rFonts w:cs="Arial"/>
          <w:rtl/>
        </w:rPr>
        <w:t xml:space="preserve"> </w:t>
      </w:r>
      <w:r w:rsidRPr="00663B54">
        <w:rPr>
          <w:rFonts w:cs="Arial" w:hint="cs"/>
          <w:rtl/>
        </w:rPr>
        <w:t>לכה</w:t>
      </w:r>
      <w:r w:rsidRPr="00663B54">
        <w:rPr>
          <w:rFonts w:cs="Arial"/>
          <w:rtl/>
        </w:rPr>
        <w:t xml:space="preserve"> </w:t>
      </w:r>
      <w:r w:rsidRPr="00663B54">
        <w:rPr>
          <w:rFonts w:cs="Arial" w:hint="cs"/>
          <w:rtl/>
        </w:rPr>
        <w:t>דודי</w:t>
      </w:r>
      <w:r w:rsidRPr="00663B54">
        <w:rPr>
          <w:rFonts w:cs="Arial"/>
          <w:rtl/>
        </w:rPr>
        <w:t xml:space="preserve"> </w:t>
      </w:r>
      <w:r w:rsidRPr="00663B54">
        <w:rPr>
          <w:rFonts w:cs="Arial" w:hint="cs"/>
          <w:rtl/>
        </w:rPr>
        <w:t>ומסיימין</w:t>
      </w:r>
      <w:r w:rsidRPr="00663B54">
        <w:rPr>
          <w:rFonts w:cs="Arial"/>
          <w:rtl/>
        </w:rPr>
        <w:t xml:space="preserve"> </w:t>
      </w:r>
      <w:r w:rsidRPr="00663B54">
        <w:rPr>
          <w:rFonts w:cs="Arial" w:hint="cs"/>
          <w:rtl/>
        </w:rPr>
        <w:t>בואי</w:t>
      </w:r>
      <w:r w:rsidRPr="00663B54">
        <w:rPr>
          <w:rFonts w:cs="Arial"/>
          <w:rtl/>
        </w:rPr>
        <w:t xml:space="preserve"> </w:t>
      </w:r>
      <w:r w:rsidRPr="00663B54">
        <w:rPr>
          <w:rFonts w:cs="Arial" w:hint="cs"/>
          <w:rtl/>
        </w:rPr>
        <w:t>כלה</w:t>
      </w:r>
      <w:r w:rsidRPr="00663B54">
        <w:rPr>
          <w:rFonts w:cs="Arial"/>
          <w:rtl/>
        </w:rPr>
        <w:t xml:space="preserve"> </w:t>
      </w:r>
      <w:r w:rsidRPr="00663B54">
        <w:rPr>
          <w:rFonts w:cs="Arial" w:hint="cs"/>
          <w:rtl/>
        </w:rPr>
        <w:t>הוי</w:t>
      </w:r>
      <w:r w:rsidRPr="00663B54">
        <w:rPr>
          <w:rFonts w:cs="Arial"/>
          <w:rtl/>
        </w:rPr>
        <w:t xml:space="preserve"> </w:t>
      </w:r>
      <w:r w:rsidRPr="00663B54">
        <w:rPr>
          <w:rFonts w:cs="Arial" w:hint="cs"/>
          <w:rtl/>
        </w:rPr>
        <w:t>קבלת</w:t>
      </w:r>
      <w:r w:rsidRPr="00663B54">
        <w:rPr>
          <w:rFonts w:cs="Arial"/>
          <w:rtl/>
        </w:rPr>
        <w:t xml:space="preserve"> </w:t>
      </w:r>
      <w:r w:rsidRPr="00663B54">
        <w:rPr>
          <w:rFonts w:cs="Arial" w:hint="cs"/>
          <w:rtl/>
        </w:rPr>
        <w:t>שבת</w:t>
      </w:r>
      <w:r w:rsidRPr="00663B54">
        <w:rPr>
          <w:rFonts w:cs="Arial"/>
          <w:rtl/>
        </w:rPr>
        <w:t xml:space="preserve"> </w:t>
      </w:r>
      <w:r w:rsidRPr="00663B54">
        <w:rPr>
          <w:rFonts w:cs="Arial" w:hint="cs"/>
          <w:rtl/>
        </w:rPr>
        <w:t>ממש</w:t>
      </w:r>
      <w:r w:rsidRPr="00663B54">
        <w:rPr>
          <w:rFonts w:cs="Arial"/>
          <w:rtl/>
        </w:rPr>
        <w:t xml:space="preserve"> </w:t>
      </w:r>
      <w:r w:rsidRPr="00663B54">
        <w:rPr>
          <w:rFonts w:cs="Arial" w:hint="cs"/>
          <w:rtl/>
        </w:rPr>
        <w:t>ועיין</w:t>
      </w:r>
      <w:r w:rsidRPr="00663B54">
        <w:rPr>
          <w:rFonts w:cs="Arial"/>
          <w:rtl/>
        </w:rPr>
        <w:t xml:space="preserve"> </w:t>
      </w:r>
      <w:r w:rsidRPr="00663B54">
        <w:rPr>
          <w:rFonts w:cs="Arial" w:hint="cs"/>
          <w:rtl/>
        </w:rPr>
        <w:t>בתו</w:t>
      </w:r>
      <w:r w:rsidRPr="00663B54">
        <w:rPr>
          <w:rFonts w:cs="Arial"/>
          <w:rtl/>
        </w:rPr>
        <w:t>"</w:t>
      </w:r>
      <w:r w:rsidRPr="00663B54">
        <w:rPr>
          <w:rFonts w:cs="Arial" w:hint="cs"/>
          <w:rtl/>
        </w:rPr>
        <w:t>ש</w:t>
      </w:r>
      <w:r>
        <w:rPr>
          <w:rFonts w:cs="Arial" w:hint="cs"/>
          <w:rtl/>
        </w:rPr>
        <w:t>, משנ"ב (סקל"א).</w:t>
      </w:r>
    </w:p>
  </w:footnote>
  <w:footnote w:id="610">
    <w:p w14:paraId="1BDA3584" w14:textId="77777777" w:rsidR="004B2E7C" w:rsidRDefault="004B2E7C" w:rsidP="00285819">
      <w:pPr>
        <w:pStyle w:val="a7"/>
      </w:pPr>
      <w:r>
        <w:rPr>
          <w:rStyle w:val="a9"/>
        </w:rPr>
        <w:footnoteRef/>
      </w:r>
      <w:r>
        <w:rPr>
          <w:rtl/>
        </w:rPr>
        <w:t xml:space="preserve"> </w:t>
      </w:r>
      <w:r>
        <w:rPr>
          <w:rFonts w:hint="cs"/>
          <w:rtl/>
        </w:rPr>
        <w:t xml:space="preserve">וז"ל- </w:t>
      </w:r>
      <w:r w:rsidRPr="00762875">
        <w:rPr>
          <w:rFonts w:cs="Arial" w:hint="cs"/>
          <w:rtl/>
        </w:rPr>
        <w:t>באשכנז</w:t>
      </w:r>
      <w:r w:rsidRPr="00762875">
        <w:rPr>
          <w:rFonts w:cs="Arial"/>
          <w:rtl/>
        </w:rPr>
        <w:t xml:space="preserve"> </w:t>
      </w:r>
      <w:r w:rsidRPr="00762875">
        <w:rPr>
          <w:rFonts w:cs="Arial" w:hint="cs"/>
          <w:rtl/>
        </w:rPr>
        <w:t>מניחין</w:t>
      </w:r>
      <w:r w:rsidRPr="00762875">
        <w:rPr>
          <w:rFonts w:cs="Arial"/>
          <w:rtl/>
        </w:rPr>
        <w:t xml:space="preserve"> </w:t>
      </w:r>
      <w:r w:rsidRPr="00762875">
        <w:rPr>
          <w:rFonts w:cs="Arial" w:hint="cs"/>
          <w:rtl/>
        </w:rPr>
        <w:t>השלחן</w:t>
      </w:r>
      <w:r w:rsidRPr="00762875">
        <w:rPr>
          <w:rFonts w:cs="Arial"/>
          <w:rtl/>
        </w:rPr>
        <w:t xml:space="preserve"> </w:t>
      </w:r>
      <w:r w:rsidRPr="00762875">
        <w:rPr>
          <w:rFonts w:cs="Arial" w:hint="cs"/>
          <w:rtl/>
        </w:rPr>
        <w:t>ערוך</w:t>
      </w:r>
      <w:r w:rsidRPr="00762875">
        <w:rPr>
          <w:rFonts w:cs="Arial"/>
          <w:rtl/>
        </w:rPr>
        <w:t xml:space="preserve"> </w:t>
      </w:r>
      <w:r w:rsidRPr="00762875">
        <w:rPr>
          <w:rFonts w:cs="Arial" w:hint="cs"/>
          <w:rtl/>
        </w:rPr>
        <w:t>כל</w:t>
      </w:r>
      <w:r w:rsidRPr="00762875">
        <w:rPr>
          <w:rFonts w:cs="Arial"/>
          <w:rtl/>
        </w:rPr>
        <w:t xml:space="preserve"> </w:t>
      </w:r>
      <w:r w:rsidRPr="00762875">
        <w:rPr>
          <w:rFonts w:cs="Arial" w:hint="cs"/>
          <w:rtl/>
        </w:rPr>
        <w:t>השבת</w:t>
      </w:r>
      <w:r w:rsidRPr="00762875">
        <w:rPr>
          <w:rFonts w:cs="Arial"/>
          <w:rtl/>
        </w:rPr>
        <w:t xml:space="preserve"> </w:t>
      </w:r>
      <w:r w:rsidRPr="00762875">
        <w:rPr>
          <w:rFonts w:cs="Arial" w:hint="cs"/>
          <w:rtl/>
        </w:rPr>
        <w:t>לכבוד</w:t>
      </w:r>
      <w:r w:rsidRPr="00762875">
        <w:rPr>
          <w:rFonts w:cs="Arial"/>
          <w:rtl/>
        </w:rPr>
        <w:t xml:space="preserve"> </w:t>
      </w:r>
      <w:r w:rsidRPr="00762875">
        <w:rPr>
          <w:rFonts w:cs="Arial" w:hint="cs"/>
          <w:rtl/>
        </w:rPr>
        <w:t>שבת</w:t>
      </w:r>
      <w:r>
        <w:rPr>
          <w:rFonts w:cs="Arial" w:hint="cs"/>
          <w:rtl/>
        </w:rPr>
        <w:t>.</w:t>
      </w:r>
    </w:p>
  </w:footnote>
  <w:footnote w:id="611">
    <w:p w14:paraId="1D43D814" w14:textId="77777777" w:rsidR="004B2E7C" w:rsidRDefault="004B2E7C" w:rsidP="00285819">
      <w:pPr>
        <w:pStyle w:val="a7"/>
        <w:rPr>
          <w:rtl/>
        </w:rPr>
      </w:pPr>
      <w:r>
        <w:rPr>
          <w:rStyle w:val="a9"/>
        </w:rPr>
        <w:footnoteRef/>
      </w:r>
      <w:r>
        <w:rPr>
          <w:rtl/>
        </w:rPr>
        <w:t xml:space="preserve"> </w:t>
      </w:r>
      <w:r w:rsidRPr="00762875">
        <w:rPr>
          <w:rFonts w:cs="Arial" w:hint="cs"/>
          <w:rtl/>
        </w:rPr>
        <w:t>וכן</w:t>
      </w:r>
      <w:r w:rsidRPr="00762875">
        <w:rPr>
          <w:rFonts w:cs="Arial"/>
          <w:rtl/>
        </w:rPr>
        <w:t xml:space="preserve"> </w:t>
      </w:r>
      <w:r w:rsidRPr="00762875">
        <w:rPr>
          <w:rFonts w:cs="Arial" w:hint="cs"/>
          <w:rtl/>
        </w:rPr>
        <w:t>המנהג</w:t>
      </w:r>
      <w:r w:rsidRPr="00762875">
        <w:rPr>
          <w:rFonts w:cs="Arial"/>
          <w:rtl/>
        </w:rPr>
        <w:t xml:space="preserve"> </w:t>
      </w:r>
      <w:r w:rsidRPr="00762875">
        <w:rPr>
          <w:rFonts w:cs="Arial" w:hint="cs"/>
          <w:rtl/>
        </w:rPr>
        <w:t>שכל</w:t>
      </w:r>
      <w:r w:rsidRPr="00762875">
        <w:rPr>
          <w:rFonts w:cs="Arial"/>
          <w:rtl/>
        </w:rPr>
        <w:t xml:space="preserve"> </w:t>
      </w:r>
      <w:r w:rsidRPr="00762875">
        <w:rPr>
          <w:rFonts w:cs="Arial" w:hint="cs"/>
          <w:rtl/>
        </w:rPr>
        <w:t>השבת</w:t>
      </w:r>
      <w:r w:rsidRPr="00762875">
        <w:rPr>
          <w:rFonts w:cs="Arial"/>
          <w:rtl/>
        </w:rPr>
        <w:t xml:space="preserve"> </w:t>
      </w:r>
      <w:r w:rsidRPr="00762875">
        <w:rPr>
          <w:rFonts w:cs="Arial" w:hint="cs"/>
          <w:rtl/>
        </w:rPr>
        <w:t>השולחן</w:t>
      </w:r>
      <w:r w:rsidRPr="00762875">
        <w:rPr>
          <w:rFonts w:cs="Arial"/>
          <w:rtl/>
        </w:rPr>
        <w:t xml:space="preserve"> </w:t>
      </w:r>
      <w:r w:rsidRPr="00762875">
        <w:rPr>
          <w:rFonts w:cs="Arial" w:hint="cs"/>
          <w:rtl/>
        </w:rPr>
        <w:t>מכוסה</w:t>
      </w:r>
      <w:r w:rsidRPr="00762875">
        <w:rPr>
          <w:rFonts w:cs="Arial"/>
          <w:rtl/>
        </w:rPr>
        <w:t xml:space="preserve"> </w:t>
      </w:r>
      <w:r w:rsidRPr="00762875">
        <w:rPr>
          <w:rFonts w:cs="Arial" w:hint="cs"/>
          <w:rtl/>
        </w:rPr>
        <w:t>במטפחת</w:t>
      </w:r>
      <w:r>
        <w:rPr>
          <w:rFonts w:hint="cs"/>
          <w:rtl/>
        </w:rPr>
        <w:t>, דרכ"מ (אות א).</w:t>
      </w:r>
    </w:p>
  </w:footnote>
  <w:footnote w:id="612">
    <w:p w14:paraId="4EC549E9" w14:textId="77777777" w:rsidR="004B2E7C" w:rsidRDefault="004B2E7C" w:rsidP="00285819">
      <w:pPr>
        <w:pStyle w:val="a7"/>
        <w:rPr>
          <w:rtl/>
        </w:rPr>
      </w:pPr>
      <w:r>
        <w:rPr>
          <w:rStyle w:val="a9"/>
        </w:rPr>
        <w:footnoteRef/>
      </w:r>
      <w:r>
        <w:rPr>
          <w:rtl/>
        </w:rPr>
        <w:t xml:space="preserve"> </w:t>
      </w:r>
      <w:r w:rsidRPr="00762875">
        <w:rPr>
          <w:rFonts w:cs="Arial" w:hint="cs"/>
          <w:rtl/>
        </w:rPr>
        <w:t>ולא</w:t>
      </w:r>
      <w:r w:rsidRPr="00762875">
        <w:rPr>
          <w:rFonts w:cs="Arial"/>
          <w:rtl/>
        </w:rPr>
        <w:t xml:space="preserve"> </w:t>
      </w:r>
      <w:r w:rsidRPr="00762875">
        <w:rPr>
          <w:rFonts w:cs="Arial" w:hint="cs"/>
          <w:rtl/>
        </w:rPr>
        <w:t>ראיתי</w:t>
      </w:r>
      <w:r w:rsidRPr="00762875">
        <w:rPr>
          <w:rFonts w:cs="Arial"/>
          <w:rtl/>
        </w:rPr>
        <w:t xml:space="preserve"> </w:t>
      </w:r>
      <w:r w:rsidRPr="00762875">
        <w:rPr>
          <w:rFonts w:cs="Arial" w:hint="cs"/>
          <w:rtl/>
        </w:rPr>
        <w:t>ולא</w:t>
      </w:r>
      <w:r w:rsidRPr="00762875">
        <w:rPr>
          <w:rFonts w:cs="Arial"/>
          <w:rtl/>
        </w:rPr>
        <w:t xml:space="preserve"> </w:t>
      </w:r>
      <w:r w:rsidRPr="00762875">
        <w:rPr>
          <w:rFonts w:cs="Arial" w:hint="cs"/>
          <w:rtl/>
        </w:rPr>
        <w:t>שמעתי</w:t>
      </w:r>
      <w:r w:rsidRPr="00762875">
        <w:rPr>
          <w:rFonts w:cs="Arial"/>
          <w:rtl/>
        </w:rPr>
        <w:t xml:space="preserve"> </w:t>
      </w:r>
      <w:r w:rsidRPr="00762875">
        <w:rPr>
          <w:rFonts w:cs="Arial" w:hint="cs"/>
          <w:rtl/>
        </w:rPr>
        <w:t>מימי</w:t>
      </w:r>
      <w:r w:rsidRPr="00762875">
        <w:rPr>
          <w:rFonts w:cs="Arial"/>
          <w:rtl/>
        </w:rPr>
        <w:t xml:space="preserve"> </w:t>
      </w:r>
      <w:r w:rsidRPr="00762875">
        <w:rPr>
          <w:rFonts w:cs="Arial" w:hint="cs"/>
          <w:rtl/>
        </w:rPr>
        <w:t>שום</w:t>
      </w:r>
      <w:r w:rsidRPr="00762875">
        <w:rPr>
          <w:rFonts w:cs="Arial"/>
          <w:rtl/>
        </w:rPr>
        <w:t xml:space="preserve"> </w:t>
      </w:r>
      <w:r w:rsidRPr="00762875">
        <w:rPr>
          <w:rFonts w:cs="Arial" w:hint="cs"/>
          <w:rtl/>
        </w:rPr>
        <w:t>אדם</w:t>
      </w:r>
      <w:r w:rsidRPr="00762875">
        <w:rPr>
          <w:rFonts w:cs="Arial"/>
          <w:rtl/>
        </w:rPr>
        <w:t xml:space="preserve"> </w:t>
      </w:r>
      <w:r w:rsidRPr="00762875">
        <w:rPr>
          <w:rFonts w:cs="Arial" w:hint="cs"/>
          <w:rtl/>
        </w:rPr>
        <w:t>שחשש</w:t>
      </w:r>
      <w:r w:rsidRPr="00762875">
        <w:rPr>
          <w:rFonts w:cs="Arial"/>
          <w:rtl/>
        </w:rPr>
        <w:t xml:space="preserve"> </w:t>
      </w:r>
      <w:r w:rsidRPr="00762875">
        <w:rPr>
          <w:rFonts w:cs="Arial" w:hint="cs"/>
          <w:rtl/>
        </w:rPr>
        <w:t>בדבר</w:t>
      </w:r>
      <w:r w:rsidRPr="00762875">
        <w:rPr>
          <w:rFonts w:cs="Arial"/>
          <w:rtl/>
        </w:rPr>
        <w:t xml:space="preserve"> </w:t>
      </w:r>
      <w:r w:rsidRPr="00762875">
        <w:rPr>
          <w:rFonts w:cs="Arial" w:hint="cs"/>
          <w:rtl/>
        </w:rPr>
        <w:t>זה</w:t>
      </w:r>
      <w:r w:rsidRPr="00762875">
        <w:rPr>
          <w:rFonts w:cs="Arial"/>
          <w:rtl/>
        </w:rPr>
        <w:t xml:space="preserve"> </w:t>
      </w:r>
      <w:r w:rsidRPr="00762875">
        <w:rPr>
          <w:rFonts w:cs="Arial" w:hint="cs"/>
          <w:rtl/>
        </w:rPr>
        <w:t>גם</w:t>
      </w:r>
      <w:r w:rsidRPr="00762875">
        <w:rPr>
          <w:rFonts w:cs="Arial"/>
          <w:rtl/>
        </w:rPr>
        <w:t xml:space="preserve"> </w:t>
      </w:r>
      <w:r w:rsidRPr="00762875">
        <w:rPr>
          <w:rFonts w:cs="Arial" w:hint="cs"/>
          <w:rtl/>
        </w:rPr>
        <w:t>חשש</w:t>
      </w:r>
      <w:r w:rsidRPr="00762875">
        <w:rPr>
          <w:rFonts w:cs="Arial"/>
          <w:rtl/>
        </w:rPr>
        <w:t xml:space="preserve"> </w:t>
      </w:r>
      <w:r w:rsidRPr="00762875">
        <w:rPr>
          <w:rFonts w:cs="Arial" w:hint="cs"/>
          <w:rtl/>
        </w:rPr>
        <w:t>של</w:t>
      </w:r>
      <w:r w:rsidRPr="00762875">
        <w:rPr>
          <w:rFonts w:cs="Arial"/>
          <w:rtl/>
        </w:rPr>
        <w:t xml:space="preserve"> </w:t>
      </w:r>
      <w:r w:rsidRPr="00762875">
        <w:rPr>
          <w:rFonts w:cs="Arial" w:hint="cs"/>
          <w:rtl/>
        </w:rPr>
        <w:t>הבל</w:t>
      </w:r>
      <w:r w:rsidRPr="00762875">
        <w:rPr>
          <w:rFonts w:cs="Arial"/>
          <w:rtl/>
        </w:rPr>
        <w:t xml:space="preserve"> </w:t>
      </w:r>
      <w:r w:rsidRPr="00762875">
        <w:rPr>
          <w:rFonts w:cs="Arial" w:hint="cs"/>
          <w:rtl/>
        </w:rPr>
        <w:t>הוא</w:t>
      </w:r>
      <w:r w:rsidRPr="00762875">
        <w:rPr>
          <w:rFonts w:cs="Arial"/>
          <w:rtl/>
        </w:rPr>
        <w:t xml:space="preserve"> </w:t>
      </w:r>
      <w:r w:rsidRPr="00762875">
        <w:rPr>
          <w:rFonts w:cs="Arial" w:hint="cs"/>
          <w:rtl/>
        </w:rPr>
        <w:t>דבאיזה</w:t>
      </w:r>
      <w:r w:rsidRPr="00762875">
        <w:rPr>
          <w:rFonts w:cs="Arial"/>
          <w:rtl/>
        </w:rPr>
        <w:t xml:space="preserve"> </w:t>
      </w:r>
      <w:r w:rsidRPr="00762875">
        <w:rPr>
          <w:rFonts w:cs="Arial" w:hint="cs"/>
          <w:rtl/>
        </w:rPr>
        <w:t>מקום</w:t>
      </w:r>
      <w:r w:rsidRPr="00762875">
        <w:rPr>
          <w:rFonts w:cs="Arial"/>
          <w:rtl/>
        </w:rPr>
        <w:t xml:space="preserve"> </w:t>
      </w:r>
      <w:r w:rsidRPr="00762875">
        <w:rPr>
          <w:rFonts w:cs="Arial" w:hint="cs"/>
          <w:rtl/>
        </w:rPr>
        <w:t>מצינו</w:t>
      </w:r>
      <w:r w:rsidRPr="00762875">
        <w:rPr>
          <w:rFonts w:cs="Arial"/>
          <w:rtl/>
        </w:rPr>
        <w:t xml:space="preserve"> </w:t>
      </w:r>
      <w:r w:rsidRPr="00762875">
        <w:rPr>
          <w:rFonts w:cs="Arial" w:hint="cs"/>
          <w:rtl/>
        </w:rPr>
        <w:t>לחוש</w:t>
      </w:r>
      <w:r w:rsidRPr="00762875">
        <w:rPr>
          <w:rFonts w:cs="Arial"/>
          <w:rtl/>
        </w:rPr>
        <w:t xml:space="preserve"> </w:t>
      </w:r>
      <w:r w:rsidRPr="00762875">
        <w:rPr>
          <w:rFonts w:cs="Arial" w:hint="cs"/>
          <w:rtl/>
        </w:rPr>
        <w:t>בזה</w:t>
      </w:r>
      <w:r w:rsidRPr="00762875">
        <w:rPr>
          <w:rFonts w:cs="Arial"/>
          <w:rtl/>
        </w:rPr>
        <w:t xml:space="preserve"> </w:t>
      </w:r>
      <w:r w:rsidRPr="00762875">
        <w:rPr>
          <w:rFonts w:cs="Arial" w:hint="cs"/>
          <w:rtl/>
        </w:rPr>
        <w:t>אם</w:t>
      </w:r>
      <w:r w:rsidRPr="00762875">
        <w:rPr>
          <w:rFonts w:cs="Arial"/>
          <w:rtl/>
        </w:rPr>
        <w:t xml:space="preserve"> </w:t>
      </w:r>
      <w:r w:rsidRPr="00762875">
        <w:rPr>
          <w:rFonts w:cs="Arial" w:hint="cs"/>
          <w:rtl/>
        </w:rPr>
        <w:t>לא</w:t>
      </w:r>
      <w:r w:rsidRPr="00762875">
        <w:rPr>
          <w:rFonts w:cs="Arial"/>
          <w:rtl/>
        </w:rPr>
        <w:t xml:space="preserve"> </w:t>
      </w:r>
      <w:r w:rsidRPr="00762875">
        <w:rPr>
          <w:rFonts w:cs="Arial" w:hint="cs"/>
          <w:rtl/>
        </w:rPr>
        <w:t>שדבריהם</w:t>
      </w:r>
      <w:r w:rsidRPr="00762875">
        <w:rPr>
          <w:rFonts w:cs="Arial"/>
          <w:rtl/>
        </w:rPr>
        <w:t xml:space="preserve"> </w:t>
      </w:r>
      <w:r w:rsidRPr="00762875">
        <w:rPr>
          <w:rFonts w:cs="Arial" w:hint="cs"/>
          <w:rtl/>
        </w:rPr>
        <w:t>דרך</w:t>
      </w:r>
      <w:r w:rsidRPr="00762875">
        <w:rPr>
          <w:rFonts w:cs="Arial"/>
          <w:rtl/>
        </w:rPr>
        <w:t xml:space="preserve"> </w:t>
      </w:r>
      <w:r w:rsidRPr="00762875">
        <w:rPr>
          <w:rFonts w:cs="Arial" w:hint="cs"/>
          <w:rtl/>
        </w:rPr>
        <w:t>משל</w:t>
      </w:r>
      <w:r w:rsidRPr="00762875">
        <w:rPr>
          <w:rFonts w:cs="Arial"/>
          <w:rtl/>
        </w:rPr>
        <w:t xml:space="preserve"> </w:t>
      </w:r>
      <w:r w:rsidRPr="00762875">
        <w:rPr>
          <w:rFonts w:cs="Arial" w:hint="cs"/>
          <w:rtl/>
        </w:rPr>
        <w:t>שאם</w:t>
      </w:r>
      <w:r w:rsidRPr="00762875">
        <w:rPr>
          <w:rFonts w:cs="Arial"/>
          <w:rtl/>
        </w:rPr>
        <w:t xml:space="preserve"> </w:t>
      </w:r>
      <w:r w:rsidRPr="00762875">
        <w:rPr>
          <w:rFonts w:cs="Arial" w:hint="cs"/>
          <w:rtl/>
        </w:rPr>
        <w:t>יזרוק</w:t>
      </w:r>
      <w:r w:rsidRPr="00762875">
        <w:rPr>
          <w:rFonts w:cs="Arial"/>
          <w:rtl/>
        </w:rPr>
        <w:t xml:space="preserve"> </w:t>
      </w:r>
      <w:r w:rsidRPr="00762875">
        <w:rPr>
          <w:rFonts w:cs="Arial" w:hint="cs"/>
          <w:rtl/>
        </w:rPr>
        <w:t>דברים</w:t>
      </w:r>
      <w:r w:rsidRPr="00762875">
        <w:rPr>
          <w:rFonts w:cs="Arial"/>
          <w:rtl/>
        </w:rPr>
        <w:t xml:space="preserve"> </w:t>
      </w:r>
      <w:r w:rsidRPr="00762875">
        <w:rPr>
          <w:rFonts w:cs="Arial" w:hint="cs"/>
          <w:rtl/>
        </w:rPr>
        <w:t>חוץ</w:t>
      </w:r>
      <w:r w:rsidRPr="00762875">
        <w:rPr>
          <w:rFonts w:cs="Arial"/>
          <w:rtl/>
        </w:rPr>
        <w:t xml:space="preserve"> </w:t>
      </w:r>
      <w:r w:rsidRPr="00762875">
        <w:rPr>
          <w:rFonts w:cs="Arial" w:hint="cs"/>
          <w:rtl/>
        </w:rPr>
        <w:t>לשלחן</w:t>
      </w:r>
      <w:r w:rsidRPr="00762875">
        <w:rPr>
          <w:rFonts w:cs="Arial"/>
          <w:rtl/>
        </w:rPr>
        <w:t xml:space="preserve"> </w:t>
      </w:r>
      <w:r w:rsidRPr="00762875">
        <w:rPr>
          <w:rFonts w:cs="Arial" w:hint="cs"/>
          <w:rtl/>
        </w:rPr>
        <w:t>ולא</w:t>
      </w:r>
      <w:r w:rsidRPr="00762875">
        <w:rPr>
          <w:rFonts w:cs="Arial"/>
          <w:rtl/>
        </w:rPr>
        <w:t xml:space="preserve"> </w:t>
      </w:r>
      <w:r w:rsidRPr="00762875">
        <w:rPr>
          <w:rFonts w:cs="Arial" w:hint="cs"/>
          <w:rtl/>
        </w:rPr>
        <w:t>יכול</w:t>
      </w:r>
      <w:r w:rsidRPr="00762875">
        <w:rPr>
          <w:rFonts w:cs="Arial"/>
          <w:rtl/>
        </w:rPr>
        <w:t xml:space="preserve"> </w:t>
      </w:r>
      <w:r w:rsidRPr="00762875">
        <w:rPr>
          <w:rFonts w:cs="Arial" w:hint="cs"/>
          <w:rtl/>
        </w:rPr>
        <w:t>לכבד</w:t>
      </w:r>
      <w:r w:rsidRPr="00762875">
        <w:rPr>
          <w:rFonts w:cs="Arial"/>
          <w:rtl/>
        </w:rPr>
        <w:t xml:space="preserve"> </w:t>
      </w:r>
      <w:r w:rsidRPr="00762875">
        <w:rPr>
          <w:rFonts w:cs="Arial" w:hint="cs"/>
          <w:rtl/>
        </w:rPr>
        <w:t>הבית</w:t>
      </w:r>
      <w:r w:rsidRPr="00762875">
        <w:rPr>
          <w:rFonts w:cs="Arial"/>
          <w:rtl/>
        </w:rPr>
        <w:t xml:space="preserve"> </w:t>
      </w:r>
      <w:r w:rsidRPr="00762875">
        <w:rPr>
          <w:rFonts w:cs="Arial" w:hint="cs"/>
          <w:rtl/>
        </w:rPr>
        <w:t>בשבת</w:t>
      </w:r>
      <w:r w:rsidRPr="00762875">
        <w:rPr>
          <w:rFonts w:cs="Arial"/>
          <w:rtl/>
        </w:rPr>
        <w:t xml:space="preserve"> </w:t>
      </w:r>
      <w:r w:rsidRPr="00762875">
        <w:rPr>
          <w:rFonts w:cs="Arial" w:hint="cs"/>
          <w:rtl/>
        </w:rPr>
        <w:t>אם</w:t>
      </w:r>
      <w:r w:rsidRPr="00762875">
        <w:rPr>
          <w:rFonts w:cs="Arial"/>
          <w:rtl/>
        </w:rPr>
        <w:t xml:space="preserve"> </w:t>
      </w:r>
      <w:r w:rsidRPr="00762875">
        <w:rPr>
          <w:rFonts w:cs="Arial" w:hint="cs"/>
          <w:rtl/>
        </w:rPr>
        <w:t>כן</w:t>
      </w:r>
      <w:r w:rsidRPr="00762875">
        <w:rPr>
          <w:rFonts w:cs="Arial"/>
          <w:rtl/>
        </w:rPr>
        <w:t xml:space="preserve"> </w:t>
      </w:r>
      <w:r w:rsidRPr="00762875">
        <w:rPr>
          <w:rFonts w:cs="Arial" w:hint="cs"/>
          <w:rtl/>
        </w:rPr>
        <w:t>יהיה</w:t>
      </w:r>
      <w:r w:rsidRPr="00762875">
        <w:rPr>
          <w:rFonts w:cs="Arial"/>
          <w:rtl/>
        </w:rPr>
        <w:t xml:space="preserve"> </w:t>
      </w:r>
      <w:r w:rsidRPr="00762875">
        <w:rPr>
          <w:rFonts w:cs="Arial" w:hint="cs"/>
          <w:rtl/>
        </w:rPr>
        <w:t>הבית</w:t>
      </w:r>
      <w:r w:rsidRPr="00762875">
        <w:rPr>
          <w:rFonts w:cs="Arial"/>
          <w:rtl/>
        </w:rPr>
        <w:t xml:space="preserve"> </w:t>
      </w:r>
      <w:r w:rsidRPr="00762875">
        <w:rPr>
          <w:rFonts w:cs="Arial" w:hint="cs"/>
          <w:rtl/>
        </w:rPr>
        <w:t>מנוול</w:t>
      </w:r>
      <w:r w:rsidRPr="00762875">
        <w:rPr>
          <w:rFonts w:cs="Arial"/>
          <w:rtl/>
        </w:rPr>
        <w:t xml:space="preserve"> </w:t>
      </w:r>
      <w:r w:rsidRPr="00762875">
        <w:rPr>
          <w:rFonts w:cs="Arial" w:hint="cs"/>
          <w:rtl/>
        </w:rPr>
        <w:t>ואינו</w:t>
      </w:r>
      <w:r w:rsidRPr="00762875">
        <w:rPr>
          <w:rFonts w:cs="Arial"/>
          <w:rtl/>
        </w:rPr>
        <w:t xml:space="preserve"> </w:t>
      </w:r>
      <w:r w:rsidRPr="00762875">
        <w:rPr>
          <w:rFonts w:cs="Arial" w:hint="cs"/>
          <w:rtl/>
        </w:rPr>
        <w:t>כבוד</w:t>
      </w:r>
      <w:r w:rsidRPr="00762875">
        <w:rPr>
          <w:rFonts w:cs="Arial"/>
          <w:rtl/>
        </w:rPr>
        <w:t xml:space="preserve"> </w:t>
      </w:r>
      <w:r w:rsidRPr="00762875">
        <w:rPr>
          <w:rFonts w:cs="Arial" w:hint="cs"/>
          <w:rtl/>
        </w:rPr>
        <w:t>שבת</w:t>
      </w:r>
      <w:r w:rsidRPr="00762875">
        <w:rPr>
          <w:rFonts w:cs="Arial"/>
          <w:rtl/>
        </w:rPr>
        <w:t xml:space="preserve"> </w:t>
      </w:r>
      <w:r w:rsidRPr="00762875">
        <w:rPr>
          <w:rFonts w:cs="Arial" w:hint="cs"/>
          <w:rtl/>
        </w:rPr>
        <w:t>ובזה</w:t>
      </w:r>
      <w:r w:rsidRPr="00762875">
        <w:rPr>
          <w:rFonts w:cs="Arial"/>
          <w:rtl/>
        </w:rPr>
        <w:t xml:space="preserve"> </w:t>
      </w:r>
      <w:r w:rsidRPr="00762875">
        <w:rPr>
          <w:rFonts w:cs="Arial" w:hint="cs"/>
          <w:rtl/>
        </w:rPr>
        <w:t>פוגעים</w:t>
      </w:r>
      <w:r w:rsidRPr="00762875">
        <w:rPr>
          <w:rFonts w:cs="Arial"/>
          <w:rtl/>
        </w:rPr>
        <w:t xml:space="preserve"> </w:t>
      </w:r>
      <w:r w:rsidRPr="00762875">
        <w:rPr>
          <w:rFonts w:cs="Arial" w:hint="cs"/>
          <w:rtl/>
        </w:rPr>
        <w:t>וזורקין</w:t>
      </w:r>
      <w:r w:rsidRPr="00762875">
        <w:rPr>
          <w:rFonts w:cs="Arial"/>
          <w:rtl/>
        </w:rPr>
        <w:t xml:space="preserve"> </w:t>
      </w:r>
      <w:r w:rsidRPr="00762875">
        <w:rPr>
          <w:rFonts w:cs="Arial" w:hint="cs"/>
          <w:rtl/>
        </w:rPr>
        <w:t>במלאך</w:t>
      </w:r>
      <w:r w:rsidRPr="00762875">
        <w:rPr>
          <w:rFonts w:cs="Arial"/>
          <w:rtl/>
        </w:rPr>
        <w:t xml:space="preserve"> </w:t>
      </w:r>
      <w:r w:rsidRPr="00762875">
        <w:rPr>
          <w:rFonts w:cs="Arial" w:hint="cs"/>
          <w:rtl/>
        </w:rPr>
        <w:t>הטוב</w:t>
      </w:r>
      <w:r w:rsidRPr="00762875">
        <w:rPr>
          <w:rFonts w:cs="Arial"/>
          <w:rtl/>
        </w:rPr>
        <w:t xml:space="preserve"> </w:t>
      </w:r>
      <w:r w:rsidRPr="00762875">
        <w:rPr>
          <w:rFonts w:cs="Arial" w:hint="cs"/>
          <w:rtl/>
        </w:rPr>
        <w:t>המלוה</w:t>
      </w:r>
      <w:r w:rsidRPr="00762875">
        <w:rPr>
          <w:rFonts w:cs="Arial"/>
          <w:rtl/>
        </w:rPr>
        <w:t xml:space="preserve"> </w:t>
      </w:r>
      <w:r w:rsidRPr="00762875">
        <w:rPr>
          <w:rFonts w:cs="Arial" w:hint="cs"/>
          <w:rtl/>
        </w:rPr>
        <w:t>האדם</w:t>
      </w:r>
      <w:r w:rsidRPr="00762875">
        <w:rPr>
          <w:rFonts w:cs="Arial"/>
          <w:rtl/>
        </w:rPr>
        <w:t xml:space="preserve"> </w:t>
      </w:r>
      <w:r w:rsidRPr="00762875">
        <w:rPr>
          <w:rFonts w:cs="Arial" w:hint="cs"/>
          <w:rtl/>
        </w:rPr>
        <w:t>שדרשו</w:t>
      </w:r>
      <w:r w:rsidRPr="00762875">
        <w:rPr>
          <w:rFonts w:cs="Arial"/>
          <w:rtl/>
        </w:rPr>
        <w:t xml:space="preserve"> </w:t>
      </w:r>
      <w:r w:rsidRPr="00762875">
        <w:rPr>
          <w:rFonts w:cs="Arial" w:hint="cs"/>
          <w:rtl/>
        </w:rPr>
        <w:t>חז</w:t>
      </w:r>
      <w:r w:rsidRPr="00762875">
        <w:rPr>
          <w:rFonts w:cs="Arial"/>
          <w:rtl/>
        </w:rPr>
        <w:t>"</w:t>
      </w:r>
      <w:r w:rsidRPr="00762875">
        <w:rPr>
          <w:rFonts w:cs="Arial" w:hint="cs"/>
          <w:rtl/>
        </w:rPr>
        <w:t>ל</w:t>
      </w:r>
      <w:r w:rsidRPr="00762875">
        <w:rPr>
          <w:rFonts w:cs="Arial"/>
          <w:rtl/>
        </w:rPr>
        <w:t xml:space="preserve"> </w:t>
      </w:r>
      <w:r w:rsidRPr="00762875">
        <w:rPr>
          <w:rFonts w:cs="Arial" w:hint="cs"/>
          <w:rtl/>
        </w:rPr>
        <w:t>שכשמוצא</w:t>
      </w:r>
      <w:r w:rsidRPr="00762875">
        <w:rPr>
          <w:rFonts w:cs="Arial"/>
          <w:rtl/>
        </w:rPr>
        <w:t xml:space="preserve"> </w:t>
      </w:r>
      <w:r w:rsidRPr="00762875">
        <w:rPr>
          <w:rFonts w:cs="Arial" w:hint="cs"/>
          <w:rtl/>
        </w:rPr>
        <w:t>נר</w:t>
      </w:r>
      <w:r w:rsidRPr="00762875">
        <w:rPr>
          <w:rFonts w:cs="Arial"/>
          <w:rtl/>
        </w:rPr>
        <w:t xml:space="preserve"> </w:t>
      </w:r>
      <w:r w:rsidRPr="00762875">
        <w:rPr>
          <w:rFonts w:cs="Arial" w:hint="cs"/>
          <w:rtl/>
        </w:rPr>
        <w:t>דלוק</w:t>
      </w:r>
      <w:r w:rsidRPr="00762875">
        <w:rPr>
          <w:rFonts w:cs="Arial"/>
          <w:rtl/>
        </w:rPr>
        <w:t xml:space="preserve"> </w:t>
      </w:r>
      <w:r w:rsidRPr="00762875">
        <w:rPr>
          <w:rFonts w:cs="Arial" w:hint="cs"/>
          <w:rtl/>
        </w:rPr>
        <w:t>ושלחן</w:t>
      </w:r>
      <w:r w:rsidRPr="00762875">
        <w:rPr>
          <w:rFonts w:cs="Arial"/>
          <w:rtl/>
        </w:rPr>
        <w:t xml:space="preserve"> </w:t>
      </w:r>
      <w:r w:rsidRPr="00762875">
        <w:rPr>
          <w:rFonts w:cs="Arial" w:hint="cs"/>
          <w:rtl/>
        </w:rPr>
        <w:t>ערוך</w:t>
      </w:r>
      <w:r w:rsidRPr="00762875">
        <w:rPr>
          <w:rFonts w:cs="Arial"/>
          <w:rtl/>
        </w:rPr>
        <w:t xml:space="preserve"> </w:t>
      </w:r>
      <w:r w:rsidRPr="00762875">
        <w:rPr>
          <w:rFonts w:cs="Arial" w:hint="cs"/>
          <w:rtl/>
        </w:rPr>
        <w:t>וכו</w:t>
      </w:r>
      <w:r w:rsidRPr="00762875">
        <w:rPr>
          <w:rFonts w:cs="Arial"/>
          <w:rtl/>
        </w:rPr>
        <w:t xml:space="preserve">' </w:t>
      </w:r>
      <w:r w:rsidRPr="00762875">
        <w:rPr>
          <w:rFonts w:cs="Arial" w:hint="cs"/>
          <w:rtl/>
        </w:rPr>
        <w:t>ואם</w:t>
      </w:r>
      <w:r w:rsidRPr="00762875">
        <w:rPr>
          <w:rFonts w:cs="Arial"/>
          <w:rtl/>
        </w:rPr>
        <w:t xml:space="preserve"> </w:t>
      </w:r>
      <w:r w:rsidRPr="00762875">
        <w:rPr>
          <w:rFonts w:cs="Arial" w:hint="cs"/>
          <w:rtl/>
        </w:rPr>
        <w:t>כיונו</w:t>
      </w:r>
      <w:r w:rsidRPr="00762875">
        <w:rPr>
          <w:rFonts w:cs="Arial"/>
          <w:rtl/>
        </w:rPr>
        <w:t xml:space="preserve"> </w:t>
      </w:r>
      <w:r w:rsidRPr="00762875">
        <w:rPr>
          <w:rFonts w:cs="Arial" w:hint="cs"/>
          <w:rtl/>
        </w:rPr>
        <w:t>לזה</w:t>
      </w:r>
      <w:r w:rsidRPr="00762875">
        <w:rPr>
          <w:rFonts w:cs="Arial"/>
          <w:rtl/>
        </w:rPr>
        <w:t xml:space="preserve"> </w:t>
      </w:r>
      <w:r w:rsidRPr="00762875">
        <w:rPr>
          <w:rFonts w:cs="Arial" w:hint="cs"/>
          <w:rtl/>
        </w:rPr>
        <w:t>הדבר</w:t>
      </w:r>
      <w:r w:rsidRPr="00762875">
        <w:rPr>
          <w:rFonts w:cs="Arial"/>
          <w:rtl/>
        </w:rPr>
        <w:t xml:space="preserve"> </w:t>
      </w:r>
      <w:r w:rsidRPr="00762875">
        <w:rPr>
          <w:rFonts w:cs="Arial" w:hint="cs"/>
          <w:rtl/>
        </w:rPr>
        <w:t>נכון</w:t>
      </w:r>
      <w:r w:rsidRPr="00762875">
        <w:rPr>
          <w:rFonts w:cs="Arial"/>
          <w:rtl/>
        </w:rPr>
        <w:t xml:space="preserve"> </w:t>
      </w:r>
      <w:r w:rsidRPr="00762875">
        <w:rPr>
          <w:rFonts w:cs="Arial" w:hint="cs"/>
          <w:rtl/>
        </w:rPr>
        <w:t>לעשותו</w:t>
      </w:r>
      <w:r w:rsidRPr="00762875">
        <w:rPr>
          <w:rFonts w:cs="Arial"/>
          <w:rtl/>
        </w:rPr>
        <w:t xml:space="preserve"> </w:t>
      </w:r>
      <w:r w:rsidRPr="00762875">
        <w:rPr>
          <w:rFonts w:cs="Arial" w:hint="cs"/>
          <w:rtl/>
        </w:rPr>
        <w:t>אבל</w:t>
      </w:r>
      <w:r w:rsidRPr="00762875">
        <w:rPr>
          <w:rFonts w:cs="Arial"/>
          <w:rtl/>
        </w:rPr>
        <w:t xml:space="preserve"> </w:t>
      </w:r>
      <w:r w:rsidRPr="00762875">
        <w:rPr>
          <w:rFonts w:cs="Arial" w:hint="cs"/>
          <w:rtl/>
        </w:rPr>
        <w:t>לא</w:t>
      </w:r>
      <w:r w:rsidRPr="00762875">
        <w:rPr>
          <w:rFonts w:cs="Arial"/>
          <w:rtl/>
        </w:rPr>
        <w:t xml:space="preserve"> </w:t>
      </w:r>
      <w:r w:rsidRPr="00762875">
        <w:rPr>
          <w:rFonts w:cs="Arial" w:hint="cs"/>
          <w:rtl/>
        </w:rPr>
        <w:t>ראיתי</w:t>
      </w:r>
      <w:r w:rsidRPr="00762875">
        <w:rPr>
          <w:rFonts w:cs="Arial"/>
          <w:rtl/>
        </w:rPr>
        <w:t xml:space="preserve"> </w:t>
      </w:r>
      <w:r w:rsidRPr="00762875">
        <w:rPr>
          <w:rFonts w:cs="Arial" w:hint="cs"/>
          <w:rtl/>
        </w:rPr>
        <w:t>חוששין</w:t>
      </w:r>
      <w:r w:rsidRPr="00762875">
        <w:rPr>
          <w:rFonts w:cs="Arial"/>
          <w:rtl/>
        </w:rPr>
        <w:t xml:space="preserve"> </w:t>
      </w:r>
      <w:r w:rsidRPr="00762875">
        <w:rPr>
          <w:rFonts w:cs="Arial" w:hint="cs"/>
          <w:rtl/>
        </w:rPr>
        <w:t>לזה</w:t>
      </w:r>
      <w:r w:rsidRPr="00762875">
        <w:rPr>
          <w:rFonts w:cs="Arial"/>
          <w:rtl/>
        </w:rPr>
        <w:t xml:space="preserve"> </w:t>
      </w:r>
      <w:r w:rsidRPr="00762875">
        <w:rPr>
          <w:rFonts w:cs="Arial" w:hint="cs"/>
          <w:rtl/>
        </w:rPr>
        <w:t>אלא</w:t>
      </w:r>
      <w:r w:rsidRPr="00762875">
        <w:rPr>
          <w:rFonts w:cs="Arial"/>
          <w:rtl/>
        </w:rPr>
        <w:t xml:space="preserve"> </w:t>
      </w:r>
      <w:r w:rsidRPr="00762875">
        <w:rPr>
          <w:rFonts w:cs="Arial" w:hint="cs"/>
          <w:rtl/>
        </w:rPr>
        <w:t>מכבדין</w:t>
      </w:r>
      <w:r w:rsidRPr="00762875">
        <w:rPr>
          <w:rFonts w:cs="Arial"/>
          <w:rtl/>
        </w:rPr>
        <w:t xml:space="preserve"> </w:t>
      </w:r>
      <w:r w:rsidRPr="00762875">
        <w:rPr>
          <w:rFonts w:cs="Arial" w:hint="cs"/>
          <w:rtl/>
        </w:rPr>
        <w:t>אחר</w:t>
      </w:r>
      <w:r w:rsidRPr="00762875">
        <w:rPr>
          <w:rFonts w:cs="Arial"/>
          <w:rtl/>
        </w:rPr>
        <w:t xml:space="preserve"> </w:t>
      </w:r>
      <w:r w:rsidRPr="00762875">
        <w:rPr>
          <w:rFonts w:cs="Arial" w:hint="cs"/>
          <w:rtl/>
        </w:rPr>
        <w:t>כך</w:t>
      </w:r>
      <w:r w:rsidRPr="00762875">
        <w:rPr>
          <w:rFonts w:cs="Arial"/>
          <w:rtl/>
        </w:rPr>
        <w:t xml:space="preserve"> </w:t>
      </w:r>
      <w:r w:rsidRPr="00762875">
        <w:rPr>
          <w:rFonts w:cs="Arial" w:hint="cs"/>
          <w:rtl/>
        </w:rPr>
        <w:t>הבית</w:t>
      </w:r>
      <w:r w:rsidRPr="00762875">
        <w:rPr>
          <w:rFonts w:cs="Arial"/>
          <w:rtl/>
        </w:rPr>
        <w:t xml:space="preserve"> </w:t>
      </w:r>
      <w:r w:rsidRPr="00762875">
        <w:rPr>
          <w:rFonts w:cs="Arial" w:hint="cs"/>
          <w:rtl/>
        </w:rPr>
        <w:t>בדבר</w:t>
      </w:r>
      <w:r w:rsidRPr="00762875">
        <w:rPr>
          <w:rFonts w:cs="Arial"/>
          <w:rtl/>
        </w:rPr>
        <w:t xml:space="preserve"> </w:t>
      </w:r>
      <w:r w:rsidRPr="00762875">
        <w:rPr>
          <w:rFonts w:cs="Arial" w:hint="cs"/>
          <w:rtl/>
        </w:rPr>
        <w:t>שאין</w:t>
      </w:r>
      <w:r w:rsidRPr="00762875">
        <w:rPr>
          <w:rFonts w:cs="Arial"/>
          <w:rtl/>
        </w:rPr>
        <w:t xml:space="preserve"> </w:t>
      </w:r>
      <w:r w:rsidRPr="00762875">
        <w:rPr>
          <w:rFonts w:cs="Arial" w:hint="cs"/>
          <w:rtl/>
        </w:rPr>
        <w:t>בו</w:t>
      </w:r>
      <w:r w:rsidRPr="00762875">
        <w:rPr>
          <w:rFonts w:cs="Arial"/>
          <w:rtl/>
        </w:rPr>
        <w:t xml:space="preserve"> </w:t>
      </w:r>
      <w:r w:rsidRPr="00762875">
        <w:rPr>
          <w:rFonts w:cs="Arial" w:hint="cs"/>
          <w:rtl/>
        </w:rPr>
        <w:t>חשש</w:t>
      </w:r>
      <w:r w:rsidRPr="00762875">
        <w:rPr>
          <w:rFonts w:cs="Arial"/>
          <w:rtl/>
        </w:rPr>
        <w:t xml:space="preserve"> </w:t>
      </w:r>
      <w:r w:rsidRPr="00762875">
        <w:rPr>
          <w:rFonts w:cs="Arial" w:hint="cs"/>
          <w:rtl/>
        </w:rPr>
        <w:t>איסור</w:t>
      </w:r>
      <w:r w:rsidRPr="00762875">
        <w:rPr>
          <w:rFonts w:cs="Arial"/>
          <w:rtl/>
        </w:rPr>
        <w:t xml:space="preserve"> </w:t>
      </w:r>
      <w:r w:rsidRPr="00762875">
        <w:rPr>
          <w:rFonts w:cs="Arial" w:hint="cs"/>
          <w:rtl/>
        </w:rPr>
        <w:t>כיבוד</w:t>
      </w:r>
      <w:r w:rsidRPr="00762875">
        <w:rPr>
          <w:rFonts w:cs="Arial"/>
          <w:rtl/>
        </w:rPr>
        <w:t xml:space="preserve"> </w:t>
      </w:r>
      <w:r w:rsidRPr="00762875">
        <w:rPr>
          <w:rFonts w:cs="Arial" w:hint="cs"/>
          <w:rtl/>
        </w:rPr>
        <w:t>כדלקמן</w:t>
      </w:r>
      <w:r w:rsidRPr="00762875">
        <w:rPr>
          <w:rFonts w:cs="Arial"/>
          <w:rtl/>
        </w:rPr>
        <w:t xml:space="preserve"> </w:t>
      </w:r>
      <w:r w:rsidRPr="00762875">
        <w:rPr>
          <w:rFonts w:cs="Arial" w:hint="cs"/>
          <w:rtl/>
        </w:rPr>
        <w:t>בסימן</w:t>
      </w:r>
      <w:r w:rsidRPr="00762875">
        <w:rPr>
          <w:rFonts w:cs="Arial"/>
          <w:rtl/>
        </w:rPr>
        <w:t xml:space="preserve"> </w:t>
      </w:r>
      <w:r w:rsidRPr="00762875">
        <w:rPr>
          <w:rFonts w:cs="Arial" w:hint="cs"/>
          <w:rtl/>
        </w:rPr>
        <w:t>של</w:t>
      </w:r>
      <w:r w:rsidRPr="00762875">
        <w:rPr>
          <w:rFonts w:cs="Arial"/>
          <w:rtl/>
        </w:rPr>
        <w:t>"</w:t>
      </w:r>
      <w:r w:rsidRPr="00762875">
        <w:rPr>
          <w:rFonts w:cs="Arial" w:hint="cs"/>
          <w:rtl/>
        </w:rPr>
        <w:t>ז</w:t>
      </w:r>
      <w:r>
        <w:rPr>
          <w:rFonts w:hint="cs"/>
          <w:rtl/>
        </w:rPr>
        <w:t>, דרכ"מ (אות א).</w:t>
      </w:r>
    </w:p>
  </w:footnote>
  <w:footnote w:id="613">
    <w:p w14:paraId="01B156E6" w14:textId="77777777" w:rsidR="004B2E7C" w:rsidRPr="00C40EC3" w:rsidRDefault="004B2E7C" w:rsidP="00285819">
      <w:pPr>
        <w:pStyle w:val="a7"/>
        <w:rPr>
          <w:u w:val="single"/>
          <w:rtl/>
        </w:rPr>
      </w:pPr>
      <w:r w:rsidRPr="00C40EC3">
        <w:rPr>
          <w:rStyle w:val="a9"/>
        </w:rPr>
        <w:footnoteRef/>
      </w:r>
      <w:r w:rsidRPr="00C40EC3">
        <w:rPr>
          <w:rtl/>
        </w:rPr>
        <w:t xml:space="preserve"> </w:t>
      </w:r>
      <w:r w:rsidRPr="00C40EC3">
        <w:rPr>
          <w:rFonts w:hint="cs"/>
          <w:u w:val="single"/>
          <w:rtl/>
        </w:rPr>
        <w:t xml:space="preserve">בפירוש </w:t>
      </w:r>
      <w:r>
        <w:rPr>
          <w:rFonts w:hint="cs"/>
          <w:u w:val="single"/>
          <w:rtl/>
        </w:rPr>
        <w:t>דברי רב הונא</w:t>
      </w:r>
      <w:r w:rsidRPr="00C40EC3">
        <w:rPr>
          <w:rFonts w:hint="cs"/>
          <w:u w:val="single"/>
          <w:rtl/>
        </w:rPr>
        <w:t xml:space="preserve"> 'ישלשל בגדיו' נאמרו מספר פירושים</w:t>
      </w:r>
      <w:r w:rsidRPr="00C40EC3">
        <w:rPr>
          <w:rFonts w:cs="Arial" w:hint="cs"/>
          <w:u w:val="single"/>
          <w:rtl/>
        </w:rPr>
        <w:t xml:space="preserve"> </w:t>
      </w:r>
      <w:r w:rsidRPr="00C40EC3">
        <w:rPr>
          <w:rFonts w:cs="Arial" w:hint="cs"/>
          <w:sz w:val="16"/>
          <w:szCs w:val="16"/>
          <w:u w:val="single"/>
          <w:rtl/>
        </w:rPr>
        <w:t>(ולשון</w:t>
      </w:r>
      <w:r w:rsidRPr="00C40EC3">
        <w:rPr>
          <w:rFonts w:cs="Arial"/>
          <w:sz w:val="16"/>
          <w:szCs w:val="16"/>
          <w:u w:val="single"/>
          <w:rtl/>
        </w:rPr>
        <w:t xml:space="preserve"> </w:t>
      </w:r>
      <w:r w:rsidRPr="00C40EC3">
        <w:rPr>
          <w:rFonts w:cs="Arial" w:hint="cs"/>
          <w:sz w:val="16"/>
          <w:szCs w:val="16"/>
          <w:u w:val="single"/>
          <w:rtl/>
        </w:rPr>
        <w:t>שלשול</w:t>
      </w:r>
      <w:r w:rsidRPr="00C40EC3">
        <w:rPr>
          <w:rFonts w:cs="Arial"/>
          <w:sz w:val="16"/>
          <w:szCs w:val="16"/>
          <w:u w:val="single"/>
          <w:rtl/>
        </w:rPr>
        <w:t xml:space="preserve"> </w:t>
      </w:r>
      <w:r w:rsidRPr="00C40EC3">
        <w:rPr>
          <w:rFonts w:cs="Arial" w:hint="cs"/>
          <w:sz w:val="16"/>
          <w:szCs w:val="16"/>
          <w:u w:val="single"/>
          <w:rtl/>
        </w:rPr>
        <w:t>הוא</w:t>
      </w:r>
      <w:r w:rsidRPr="00C40EC3">
        <w:rPr>
          <w:rFonts w:cs="Arial"/>
          <w:sz w:val="16"/>
          <w:szCs w:val="16"/>
          <w:u w:val="single"/>
          <w:rtl/>
        </w:rPr>
        <w:t xml:space="preserve"> </w:t>
      </w:r>
      <w:r w:rsidRPr="00C40EC3">
        <w:rPr>
          <w:rFonts w:cs="Arial" w:hint="cs"/>
          <w:sz w:val="16"/>
          <w:szCs w:val="16"/>
          <w:u w:val="single"/>
          <w:rtl/>
        </w:rPr>
        <w:t>מלשון</w:t>
      </w:r>
      <w:r w:rsidRPr="00C40EC3">
        <w:rPr>
          <w:rFonts w:cs="Arial"/>
          <w:sz w:val="16"/>
          <w:szCs w:val="16"/>
          <w:u w:val="single"/>
          <w:rtl/>
        </w:rPr>
        <w:t xml:space="preserve"> (</w:t>
      </w:r>
      <w:r w:rsidRPr="00C40EC3">
        <w:rPr>
          <w:rFonts w:cs="Arial" w:hint="cs"/>
          <w:sz w:val="16"/>
          <w:szCs w:val="16"/>
          <w:u w:val="single"/>
          <w:rtl/>
        </w:rPr>
        <w:t>סוכה</w:t>
      </w:r>
      <w:r w:rsidRPr="00C40EC3">
        <w:rPr>
          <w:rFonts w:cs="Arial"/>
          <w:sz w:val="16"/>
          <w:szCs w:val="16"/>
          <w:u w:val="single"/>
          <w:rtl/>
        </w:rPr>
        <w:t xml:space="preserve"> </w:t>
      </w:r>
      <w:r w:rsidRPr="00C40EC3">
        <w:rPr>
          <w:rFonts w:cs="Arial" w:hint="cs"/>
          <w:sz w:val="16"/>
          <w:szCs w:val="16"/>
          <w:u w:val="single"/>
          <w:rtl/>
        </w:rPr>
        <w:t>טז</w:t>
      </w:r>
      <w:r w:rsidRPr="00C40EC3">
        <w:rPr>
          <w:rFonts w:cs="Arial"/>
          <w:sz w:val="16"/>
          <w:szCs w:val="16"/>
          <w:u w:val="single"/>
          <w:rtl/>
        </w:rPr>
        <w:t xml:space="preserve">.) </w:t>
      </w:r>
      <w:r w:rsidRPr="00C40EC3">
        <w:rPr>
          <w:rFonts w:cs="Arial" w:hint="cs"/>
          <w:sz w:val="16"/>
          <w:szCs w:val="16"/>
          <w:u w:val="single"/>
          <w:rtl/>
        </w:rPr>
        <w:t>המשלשל</w:t>
      </w:r>
      <w:r w:rsidRPr="00C40EC3">
        <w:rPr>
          <w:rFonts w:cs="Arial"/>
          <w:sz w:val="16"/>
          <w:szCs w:val="16"/>
          <w:u w:val="single"/>
          <w:rtl/>
        </w:rPr>
        <w:t xml:space="preserve"> </w:t>
      </w:r>
      <w:r w:rsidRPr="00C40EC3">
        <w:rPr>
          <w:rFonts w:cs="Arial" w:hint="cs"/>
          <w:sz w:val="16"/>
          <w:szCs w:val="16"/>
          <w:u w:val="single"/>
          <w:rtl/>
        </w:rPr>
        <w:t>דפנות)</w:t>
      </w:r>
      <w:r w:rsidRPr="00C40EC3">
        <w:rPr>
          <w:rFonts w:hint="cs"/>
          <w:u w:val="single"/>
          <w:rtl/>
        </w:rPr>
        <w:t>:</w:t>
      </w:r>
    </w:p>
    <w:p w14:paraId="0B5F7493" w14:textId="77777777" w:rsidR="004B2E7C" w:rsidRPr="007259D1" w:rsidRDefault="004B2E7C" w:rsidP="00FF2D21">
      <w:pPr>
        <w:pStyle w:val="a7"/>
        <w:numPr>
          <w:ilvl w:val="0"/>
          <w:numId w:val="88"/>
        </w:numPr>
      </w:pPr>
      <w:r>
        <w:rPr>
          <w:rFonts w:cs="Arial" w:hint="cs"/>
          <w:rtl/>
        </w:rPr>
        <w:t>רש</w:t>
      </w:r>
      <w:r>
        <w:rPr>
          <w:rFonts w:cs="Arial"/>
          <w:rtl/>
        </w:rPr>
        <w:t>"</w:t>
      </w:r>
      <w:r>
        <w:rPr>
          <w:rFonts w:cs="Arial" w:hint="cs"/>
          <w:rtl/>
        </w:rPr>
        <w:t>י-</w:t>
      </w:r>
      <w:r>
        <w:rPr>
          <w:rFonts w:cs="Arial"/>
          <w:rtl/>
        </w:rPr>
        <w:t xml:space="preserve"> </w:t>
      </w:r>
      <w:r>
        <w:rPr>
          <w:rFonts w:cs="Arial" w:hint="cs"/>
          <w:rtl/>
        </w:rPr>
        <w:t>ישלשלם</w:t>
      </w:r>
      <w:r>
        <w:rPr>
          <w:rFonts w:cs="Arial"/>
          <w:rtl/>
        </w:rPr>
        <w:t xml:space="preserve"> </w:t>
      </w:r>
      <w:r>
        <w:rPr>
          <w:rFonts w:cs="Arial" w:hint="cs"/>
          <w:rtl/>
        </w:rPr>
        <w:t>כלפי</w:t>
      </w:r>
      <w:r>
        <w:rPr>
          <w:rFonts w:cs="Arial"/>
          <w:rtl/>
        </w:rPr>
        <w:t xml:space="preserve"> </w:t>
      </w:r>
      <w:r>
        <w:rPr>
          <w:rFonts w:cs="Arial" w:hint="cs"/>
          <w:rtl/>
        </w:rPr>
        <w:t>מטה</w:t>
      </w:r>
      <w:r>
        <w:rPr>
          <w:rFonts w:cs="Arial"/>
          <w:rtl/>
        </w:rPr>
        <w:t xml:space="preserve"> </w:t>
      </w:r>
      <w:r>
        <w:rPr>
          <w:rFonts w:cs="Arial" w:hint="cs"/>
          <w:rtl/>
        </w:rPr>
        <w:t>שיראו</w:t>
      </w:r>
      <w:r>
        <w:rPr>
          <w:rFonts w:cs="Arial"/>
          <w:rtl/>
        </w:rPr>
        <w:t xml:space="preserve"> </w:t>
      </w:r>
      <w:r>
        <w:rPr>
          <w:rFonts w:cs="Arial" w:hint="cs"/>
          <w:rtl/>
        </w:rPr>
        <w:t>ארוכים</w:t>
      </w:r>
      <w:r>
        <w:rPr>
          <w:rFonts w:cs="Arial"/>
          <w:rtl/>
        </w:rPr>
        <w:t xml:space="preserve"> </w:t>
      </w:r>
      <w:r>
        <w:rPr>
          <w:rFonts w:cs="Arial" w:hint="cs"/>
          <w:rtl/>
        </w:rPr>
        <w:t>והיא</w:t>
      </w:r>
      <w:r>
        <w:rPr>
          <w:rFonts w:cs="Arial"/>
          <w:rtl/>
        </w:rPr>
        <w:t xml:space="preserve"> </w:t>
      </w:r>
      <w:r>
        <w:rPr>
          <w:rFonts w:cs="Arial" w:hint="cs"/>
          <w:rtl/>
        </w:rPr>
        <w:t>מדת</w:t>
      </w:r>
      <w:r>
        <w:rPr>
          <w:rFonts w:cs="Arial"/>
          <w:rtl/>
        </w:rPr>
        <w:t xml:space="preserve"> </w:t>
      </w:r>
      <w:r>
        <w:rPr>
          <w:rFonts w:cs="Arial" w:hint="cs"/>
          <w:rtl/>
        </w:rPr>
        <w:t>עשירים</w:t>
      </w:r>
      <w:r>
        <w:rPr>
          <w:rFonts w:cs="Arial"/>
          <w:rtl/>
        </w:rPr>
        <w:t xml:space="preserve"> </w:t>
      </w:r>
      <w:r>
        <w:rPr>
          <w:rFonts w:cs="Arial" w:hint="cs"/>
          <w:rtl/>
        </w:rPr>
        <w:t>היושבים</w:t>
      </w:r>
      <w:r>
        <w:rPr>
          <w:rFonts w:cs="Arial"/>
          <w:rtl/>
        </w:rPr>
        <w:t xml:space="preserve"> </w:t>
      </w:r>
      <w:r>
        <w:rPr>
          <w:rFonts w:cs="Arial" w:hint="cs"/>
          <w:rtl/>
        </w:rPr>
        <w:t>בביתם</w:t>
      </w:r>
      <w:r>
        <w:rPr>
          <w:rFonts w:cs="Arial"/>
          <w:rtl/>
        </w:rPr>
        <w:t xml:space="preserve"> </w:t>
      </w:r>
      <w:r>
        <w:rPr>
          <w:rFonts w:cs="Arial" w:hint="cs"/>
          <w:rtl/>
        </w:rPr>
        <w:t>ואינם</w:t>
      </w:r>
      <w:r>
        <w:rPr>
          <w:rFonts w:cs="Arial"/>
          <w:rtl/>
        </w:rPr>
        <w:t xml:space="preserve"> </w:t>
      </w:r>
      <w:r>
        <w:rPr>
          <w:rFonts w:cs="Arial" w:hint="cs"/>
          <w:rtl/>
        </w:rPr>
        <w:t>צריכין</w:t>
      </w:r>
      <w:r>
        <w:rPr>
          <w:rFonts w:cs="Arial"/>
          <w:rtl/>
        </w:rPr>
        <w:t xml:space="preserve"> </w:t>
      </w:r>
      <w:r>
        <w:rPr>
          <w:rFonts w:cs="Arial" w:hint="cs"/>
          <w:rtl/>
        </w:rPr>
        <w:t>לסלק</w:t>
      </w:r>
      <w:r>
        <w:rPr>
          <w:rFonts w:cs="Arial"/>
          <w:rtl/>
        </w:rPr>
        <w:t xml:space="preserve"> </w:t>
      </w:r>
      <w:r>
        <w:rPr>
          <w:rFonts w:cs="Arial" w:hint="cs"/>
          <w:rtl/>
        </w:rPr>
        <w:t>בגדיהם</w:t>
      </w:r>
      <w:r>
        <w:rPr>
          <w:rFonts w:cs="Arial"/>
          <w:rtl/>
        </w:rPr>
        <w:t xml:space="preserve"> </w:t>
      </w:r>
      <w:r>
        <w:rPr>
          <w:rFonts w:cs="Arial" w:hint="cs"/>
          <w:rtl/>
        </w:rPr>
        <w:t>מן</w:t>
      </w:r>
      <w:r>
        <w:rPr>
          <w:rFonts w:cs="Arial"/>
          <w:rtl/>
        </w:rPr>
        <w:t xml:space="preserve"> </w:t>
      </w:r>
      <w:r>
        <w:rPr>
          <w:rFonts w:cs="Arial" w:hint="cs"/>
          <w:rtl/>
        </w:rPr>
        <w:t>הארץ</w:t>
      </w:r>
      <w:r>
        <w:rPr>
          <w:rFonts w:cs="Arial"/>
          <w:rtl/>
        </w:rPr>
        <w:t xml:space="preserve"> </w:t>
      </w:r>
      <w:r>
        <w:rPr>
          <w:rFonts w:cs="Arial" w:hint="cs"/>
          <w:rtl/>
        </w:rPr>
        <w:t>בשביל</w:t>
      </w:r>
      <w:r>
        <w:rPr>
          <w:rFonts w:cs="Arial"/>
          <w:rtl/>
        </w:rPr>
        <w:t xml:space="preserve"> </w:t>
      </w:r>
      <w:r>
        <w:rPr>
          <w:rFonts w:cs="Arial" w:hint="cs"/>
          <w:rtl/>
        </w:rPr>
        <w:t>מלאכה</w:t>
      </w:r>
      <w:r>
        <w:rPr>
          <w:rFonts w:cs="Arial"/>
          <w:rtl/>
        </w:rPr>
        <w:t xml:space="preserve"> </w:t>
      </w:r>
      <w:r>
        <w:rPr>
          <w:rFonts w:cs="Arial" w:hint="cs"/>
          <w:rtl/>
        </w:rPr>
        <w:t>וכבוד</w:t>
      </w:r>
      <w:r>
        <w:rPr>
          <w:rFonts w:cs="Arial"/>
          <w:rtl/>
        </w:rPr>
        <w:t xml:space="preserve"> </w:t>
      </w:r>
      <w:r>
        <w:rPr>
          <w:rFonts w:cs="Arial" w:hint="cs"/>
          <w:rtl/>
        </w:rPr>
        <w:t>שבת</w:t>
      </w:r>
      <w:r>
        <w:rPr>
          <w:rFonts w:cs="Arial"/>
          <w:rtl/>
        </w:rPr>
        <w:t xml:space="preserve"> </w:t>
      </w:r>
      <w:r>
        <w:rPr>
          <w:rFonts w:cs="Arial" w:hint="cs"/>
          <w:rtl/>
        </w:rPr>
        <w:t>הוא</w:t>
      </w:r>
      <w:r>
        <w:rPr>
          <w:rFonts w:cs="Arial"/>
          <w:rtl/>
        </w:rPr>
        <w:t>.</w:t>
      </w:r>
    </w:p>
    <w:p w14:paraId="6807D5AA" w14:textId="77777777" w:rsidR="004B2E7C" w:rsidRPr="007259D1" w:rsidRDefault="004B2E7C" w:rsidP="00FF2D21">
      <w:pPr>
        <w:pStyle w:val="a7"/>
        <w:numPr>
          <w:ilvl w:val="0"/>
          <w:numId w:val="88"/>
        </w:numPr>
      </w:pPr>
      <w:r>
        <w:rPr>
          <w:rFonts w:cs="Arial" w:hint="cs"/>
          <w:rtl/>
        </w:rPr>
        <w:t>רי"ו</w:t>
      </w:r>
      <w:r>
        <w:rPr>
          <w:rFonts w:cs="Arial"/>
          <w:rtl/>
        </w:rPr>
        <w:t xml:space="preserve"> (</w:t>
      </w:r>
      <w:r>
        <w:rPr>
          <w:rFonts w:cs="Arial" w:hint="cs"/>
          <w:rtl/>
        </w:rPr>
        <w:t>ח"א סה</w:t>
      </w:r>
      <w:r>
        <w:rPr>
          <w:rFonts w:cs="Arial"/>
          <w:rtl/>
        </w:rPr>
        <w:t xml:space="preserve"> </w:t>
      </w:r>
      <w:r>
        <w:rPr>
          <w:rFonts w:cs="Arial" w:hint="cs"/>
          <w:rtl/>
        </w:rPr>
        <w:t>ע</w:t>
      </w:r>
      <w:r>
        <w:rPr>
          <w:rFonts w:cs="Arial"/>
          <w:rtl/>
        </w:rPr>
        <w:t>"</w:t>
      </w:r>
      <w:r>
        <w:rPr>
          <w:rFonts w:cs="Arial" w:hint="cs"/>
          <w:rtl/>
        </w:rPr>
        <w:t>ב</w:t>
      </w:r>
      <w:r>
        <w:rPr>
          <w:rFonts w:cs="Arial"/>
          <w:rtl/>
        </w:rPr>
        <w:t>)</w:t>
      </w:r>
      <w:r>
        <w:rPr>
          <w:rFonts w:cs="Arial" w:hint="cs"/>
          <w:rtl/>
        </w:rPr>
        <w:t>-</w:t>
      </w:r>
      <w:r>
        <w:rPr>
          <w:rFonts w:cs="Arial"/>
          <w:rtl/>
        </w:rPr>
        <w:t xml:space="preserve"> </w:t>
      </w:r>
      <w:r>
        <w:rPr>
          <w:rFonts w:cs="Arial" w:hint="cs"/>
          <w:rtl/>
        </w:rPr>
        <w:t>ישלשל</w:t>
      </w:r>
      <w:r>
        <w:rPr>
          <w:rFonts w:cs="Arial"/>
          <w:rtl/>
        </w:rPr>
        <w:t xml:space="preserve"> </w:t>
      </w:r>
      <w:r>
        <w:rPr>
          <w:rFonts w:cs="Arial" w:hint="cs"/>
          <w:rtl/>
        </w:rPr>
        <w:t>בגדיו</w:t>
      </w:r>
      <w:r>
        <w:rPr>
          <w:rFonts w:cs="Arial"/>
          <w:rtl/>
        </w:rPr>
        <w:t xml:space="preserve"> </w:t>
      </w:r>
      <w:r>
        <w:rPr>
          <w:rFonts w:cs="Arial" w:hint="cs"/>
          <w:rtl/>
        </w:rPr>
        <w:t>למטה</w:t>
      </w:r>
      <w:r>
        <w:rPr>
          <w:rFonts w:cs="Arial"/>
          <w:rtl/>
        </w:rPr>
        <w:t xml:space="preserve"> </w:t>
      </w:r>
      <w:r>
        <w:rPr>
          <w:rFonts w:cs="Arial" w:hint="cs"/>
          <w:rtl/>
        </w:rPr>
        <w:t>כלומר</w:t>
      </w:r>
      <w:r>
        <w:rPr>
          <w:rFonts w:cs="Arial"/>
          <w:rtl/>
        </w:rPr>
        <w:t xml:space="preserve"> </w:t>
      </w:r>
      <w:r>
        <w:rPr>
          <w:rFonts w:cs="Arial" w:hint="cs"/>
          <w:rtl/>
        </w:rPr>
        <w:t>שלא</w:t>
      </w:r>
      <w:r>
        <w:rPr>
          <w:rFonts w:cs="Arial"/>
          <w:rtl/>
        </w:rPr>
        <w:t xml:space="preserve"> </w:t>
      </w:r>
      <w:r>
        <w:rPr>
          <w:rFonts w:cs="Arial" w:hint="cs"/>
          <w:rtl/>
        </w:rPr>
        <w:t>יגביהם</w:t>
      </w:r>
      <w:r>
        <w:rPr>
          <w:rFonts w:cs="Arial"/>
          <w:rtl/>
        </w:rPr>
        <w:t xml:space="preserve"> </w:t>
      </w:r>
      <w:r>
        <w:rPr>
          <w:rFonts w:cs="Arial" w:hint="cs"/>
          <w:rtl/>
        </w:rPr>
        <w:t>למעלה</w:t>
      </w:r>
      <w:r>
        <w:rPr>
          <w:rFonts w:cs="Arial"/>
          <w:rtl/>
        </w:rPr>
        <w:t xml:space="preserve"> </w:t>
      </w:r>
      <w:r>
        <w:rPr>
          <w:rFonts w:cs="Arial" w:hint="cs"/>
          <w:rtl/>
        </w:rPr>
        <w:t>ולא</w:t>
      </w:r>
      <w:r>
        <w:rPr>
          <w:rFonts w:cs="Arial"/>
          <w:rtl/>
        </w:rPr>
        <w:t xml:space="preserve"> </w:t>
      </w:r>
      <w:r>
        <w:rPr>
          <w:rFonts w:cs="Arial" w:hint="cs"/>
          <w:rtl/>
        </w:rPr>
        <w:t>יקפלם</w:t>
      </w:r>
      <w:r>
        <w:rPr>
          <w:rFonts w:cs="Arial"/>
          <w:rtl/>
        </w:rPr>
        <w:t xml:space="preserve"> </w:t>
      </w:r>
      <w:r>
        <w:rPr>
          <w:rFonts w:cs="Arial" w:hint="cs"/>
          <w:rtl/>
        </w:rPr>
        <w:t>על</w:t>
      </w:r>
      <w:r>
        <w:rPr>
          <w:rFonts w:cs="Arial"/>
          <w:rtl/>
        </w:rPr>
        <w:t xml:space="preserve"> </w:t>
      </w:r>
      <w:r>
        <w:rPr>
          <w:rFonts w:cs="Arial" w:hint="cs"/>
          <w:rtl/>
        </w:rPr>
        <w:t>כתפו</w:t>
      </w:r>
      <w:r>
        <w:rPr>
          <w:rFonts w:cs="Arial"/>
          <w:rtl/>
        </w:rPr>
        <w:t xml:space="preserve">. </w:t>
      </w:r>
    </w:p>
    <w:p w14:paraId="0F9CB650" w14:textId="77777777" w:rsidR="004B2E7C" w:rsidRDefault="004B2E7C" w:rsidP="00FF2D21">
      <w:pPr>
        <w:pStyle w:val="a7"/>
        <w:numPr>
          <w:ilvl w:val="0"/>
          <w:numId w:val="88"/>
        </w:numPr>
      </w:pPr>
      <w:r>
        <w:rPr>
          <w:rFonts w:cs="Arial" w:hint="cs"/>
          <w:rtl/>
        </w:rPr>
        <w:t>כל</w:t>
      </w:r>
      <w:r>
        <w:rPr>
          <w:rFonts w:cs="Arial"/>
          <w:rtl/>
        </w:rPr>
        <w:t xml:space="preserve"> </w:t>
      </w:r>
      <w:r>
        <w:rPr>
          <w:rFonts w:cs="Arial" w:hint="cs"/>
          <w:rtl/>
        </w:rPr>
        <w:t>בו</w:t>
      </w:r>
      <w:r>
        <w:rPr>
          <w:rFonts w:cs="Arial"/>
          <w:rtl/>
        </w:rPr>
        <w:t xml:space="preserve"> (</w:t>
      </w:r>
      <w:r>
        <w:rPr>
          <w:rFonts w:cs="Arial" w:hint="cs"/>
          <w:rtl/>
        </w:rPr>
        <w:t>סי</w:t>
      </w:r>
      <w:r>
        <w:rPr>
          <w:rFonts w:cs="Arial"/>
          <w:rtl/>
        </w:rPr>
        <w:t xml:space="preserve">' </w:t>
      </w:r>
      <w:r>
        <w:rPr>
          <w:rFonts w:cs="Arial" w:hint="cs"/>
          <w:rtl/>
        </w:rPr>
        <w:t>לא</w:t>
      </w:r>
      <w:r>
        <w:rPr>
          <w:rFonts w:cs="Arial"/>
          <w:rtl/>
        </w:rPr>
        <w:t xml:space="preserve">, </w:t>
      </w:r>
      <w:r>
        <w:rPr>
          <w:rFonts w:cs="Arial" w:hint="cs"/>
          <w:rtl/>
        </w:rPr>
        <w:t>כה</w:t>
      </w:r>
      <w:r>
        <w:rPr>
          <w:rFonts w:cs="Arial"/>
          <w:rtl/>
        </w:rPr>
        <w:t xml:space="preserve"> </w:t>
      </w:r>
      <w:r>
        <w:rPr>
          <w:rFonts w:cs="Arial" w:hint="cs"/>
          <w:rtl/>
        </w:rPr>
        <w:t>ע</w:t>
      </w:r>
      <w:r>
        <w:rPr>
          <w:rFonts w:cs="Arial"/>
          <w:rtl/>
        </w:rPr>
        <w:t>"</w:t>
      </w:r>
      <w:r>
        <w:rPr>
          <w:rFonts w:cs="Arial" w:hint="cs"/>
          <w:rtl/>
        </w:rPr>
        <w:t>ג</w:t>
      </w:r>
      <w:r>
        <w:rPr>
          <w:rFonts w:cs="Arial"/>
          <w:rtl/>
        </w:rPr>
        <w:t>)</w:t>
      </w:r>
      <w:r>
        <w:rPr>
          <w:rFonts w:cs="Arial" w:hint="cs"/>
          <w:rtl/>
        </w:rPr>
        <w:t>- יתירם</w:t>
      </w:r>
      <w:r>
        <w:rPr>
          <w:rFonts w:cs="Arial"/>
          <w:rtl/>
        </w:rPr>
        <w:t xml:space="preserve"> </w:t>
      </w:r>
      <w:r>
        <w:rPr>
          <w:rFonts w:cs="Arial" w:hint="cs"/>
          <w:rtl/>
        </w:rPr>
        <w:t>כדי</w:t>
      </w:r>
      <w:r>
        <w:rPr>
          <w:rFonts w:cs="Arial"/>
          <w:rtl/>
        </w:rPr>
        <w:t xml:space="preserve"> </w:t>
      </w:r>
      <w:r>
        <w:rPr>
          <w:rFonts w:cs="Arial" w:hint="cs"/>
          <w:rtl/>
        </w:rPr>
        <w:t>שלא</w:t>
      </w:r>
      <w:r>
        <w:rPr>
          <w:rFonts w:cs="Arial"/>
          <w:rtl/>
        </w:rPr>
        <w:t xml:space="preserve"> </w:t>
      </w:r>
      <w:r>
        <w:rPr>
          <w:rFonts w:cs="Arial" w:hint="cs"/>
          <w:rtl/>
        </w:rPr>
        <w:t>ילבשם</w:t>
      </w:r>
      <w:r>
        <w:rPr>
          <w:rFonts w:cs="Arial"/>
          <w:rtl/>
        </w:rPr>
        <w:t xml:space="preserve"> </w:t>
      </w:r>
      <w:r>
        <w:rPr>
          <w:rFonts w:cs="Arial" w:hint="cs"/>
          <w:rtl/>
        </w:rPr>
        <w:t>כדרך</w:t>
      </w:r>
      <w:r>
        <w:rPr>
          <w:rFonts w:cs="Arial"/>
          <w:rtl/>
        </w:rPr>
        <w:t xml:space="preserve"> </w:t>
      </w:r>
      <w:r>
        <w:rPr>
          <w:rFonts w:cs="Arial" w:hint="cs"/>
          <w:rtl/>
        </w:rPr>
        <w:t>שלובשם</w:t>
      </w:r>
      <w:r>
        <w:rPr>
          <w:rFonts w:cs="Arial"/>
          <w:rtl/>
        </w:rPr>
        <w:t xml:space="preserve"> </w:t>
      </w:r>
      <w:r>
        <w:rPr>
          <w:rFonts w:cs="Arial" w:hint="cs"/>
          <w:rtl/>
        </w:rPr>
        <w:t>בחול</w:t>
      </w:r>
      <w:r>
        <w:rPr>
          <w:rFonts w:cs="Arial"/>
          <w:rtl/>
        </w:rPr>
        <w:t xml:space="preserve"> </w:t>
      </w:r>
      <w:r>
        <w:rPr>
          <w:rFonts w:cs="Arial" w:hint="cs"/>
          <w:rtl/>
        </w:rPr>
        <w:t>מקופלים</w:t>
      </w:r>
      <w:r>
        <w:rPr>
          <w:rFonts w:cs="Arial"/>
          <w:rtl/>
        </w:rPr>
        <w:t xml:space="preserve"> </w:t>
      </w:r>
      <w:r>
        <w:rPr>
          <w:rFonts w:cs="Arial" w:hint="cs"/>
          <w:rtl/>
        </w:rPr>
        <w:t>בחגורו</w:t>
      </w:r>
      <w:r>
        <w:rPr>
          <w:rFonts w:cs="Arial"/>
          <w:rtl/>
        </w:rPr>
        <w:t xml:space="preserve"> </w:t>
      </w:r>
      <w:r>
        <w:rPr>
          <w:rFonts w:cs="Arial" w:hint="cs"/>
          <w:rtl/>
        </w:rPr>
        <w:t>כדי</w:t>
      </w:r>
      <w:r>
        <w:rPr>
          <w:rFonts w:cs="Arial"/>
          <w:rtl/>
        </w:rPr>
        <w:t xml:space="preserve"> </w:t>
      </w:r>
      <w:r>
        <w:rPr>
          <w:rFonts w:cs="Arial" w:hint="cs"/>
          <w:rtl/>
        </w:rPr>
        <w:t>שלא</w:t>
      </w:r>
      <w:r>
        <w:rPr>
          <w:rFonts w:cs="Arial"/>
          <w:rtl/>
        </w:rPr>
        <w:t xml:space="preserve"> </w:t>
      </w:r>
      <w:r>
        <w:rPr>
          <w:rFonts w:cs="Arial" w:hint="cs"/>
          <w:rtl/>
        </w:rPr>
        <w:t>יתלכלכו</w:t>
      </w:r>
      <w:r>
        <w:rPr>
          <w:rFonts w:cs="Arial"/>
          <w:rtl/>
        </w:rPr>
        <w:t xml:space="preserve"> </w:t>
      </w:r>
      <w:r>
        <w:rPr>
          <w:rFonts w:cs="Arial" w:hint="cs"/>
          <w:rtl/>
        </w:rPr>
        <w:t>בטיט</w:t>
      </w:r>
      <w:r>
        <w:rPr>
          <w:rFonts w:cs="Arial"/>
          <w:rtl/>
        </w:rPr>
        <w:t xml:space="preserve"> </w:t>
      </w:r>
      <w:r>
        <w:rPr>
          <w:rFonts w:cs="Arial" w:hint="cs"/>
          <w:rtl/>
        </w:rPr>
        <w:t>החוצות</w:t>
      </w:r>
      <w:r>
        <w:rPr>
          <w:rFonts w:cs="Arial"/>
          <w:rtl/>
        </w:rPr>
        <w:t xml:space="preserve"> </w:t>
      </w:r>
      <w:r>
        <w:rPr>
          <w:rFonts w:cs="Arial" w:hint="cs"/>
          <w:rtl/>
        </w:rPr>
        <w:t>או</w:t>
      </w:r>
      <w:r>
        <w:rPr>
          <w:rFonts w:cs="Arial"/>
          <w:rtl/>
        </w:rPr>
        <w:t xml:space="preserve"> </w:t>
      </w:r>
      <w:r>
        <w:rPr>
          <w:rFonts w:cs="Arial" w:hint="cs"/>
          <w:rtl/>
        </w:rPr>
        <w:t>שלא</w:t>
      </w:r>
      <w:r>
        <w:rPr>
          <w:rFonts w:cs="Arial"/>
          <w:rtl/>
        </w:rPr>
        <w:t xml:space="preserve"> </w:t>
      </w:r>
      <w:r>
        <w:rPr>
          <w:rFonts w:cs="Arial" w:hint="cs"/>
          <w:rtl/>
        </w:rPr>
        <w:t>יכבדו</w:t>
      </w:r>
      <w:r>
        <w:rPr>
          <w:rFonts w:cs="Arial"/>
          <w:rtl/>
        </w:rPr>
        <w:t xml:space="preserve"> </w:t>
      </w:r>
      <w:r>
        <w:rPr>
          <w:rFonts w:cs="Arial" w:hint="cs"/>
          <w:rtl/>
        </w:rPr>
        <w:t>עליו</w:t>
      </w:r>
      <w:r>
        <w:rPr>
          <w:rFonts w:cs="Arial"/>
          <w:rtl/>
        </w:rPr>
        <w:t xml:space="preserve"> </w:t>
      </w:r>
      <w:r>
        <w:rPr>
          <w:rFonts w:cs="Arial" w:hint="cs"/>
          <w:rtl/>
        </w:rPr>
        <w:t>במרוצת</w:t>
      </w:r>
      <w:r>
        <w:rPr>
          <w:rFonts w:cs="Arial"/>
          <w:rtl/>
        </w:rPr>
        <w:t xml:space="preserve"> </w:t>
      </w:r>
      <w:r>
        <w:rPr>
          <w:rFonts w:cs="Arial" w:hint="cs"/>
          <w:rtl/>
        </w:rPr>
        <w:t>הילוכו</w:t>
      </w:r>
      <w:r>
        <w:rPr>
          <w:rFonts w:cs="Arial"/>
          <w:rtl/>
        </w:rPr>
        <w:t xml:space="preserve"> </w:t>
      </w:r>
      <w:r>
        <w:rPr>
          <w:rFonts w:cs="Arial" w:hint="cs"/>
          <w:rtl/>
        </w:rPr>
        <w:t>בחול.</w:t>
      </w:r>
    </w:p>
  </w:footnote>
  <w:footnote w:id="614">
    <w:p w14:paraId="0A0AE445" w14:textId="77777777" w:rsidR="004B2E7C" w:rsidRDefault="004B2E7C" w:rsidP="00285819">
      <w:pPr>
        <w:pStyle w:val="a7"/>
      </w:pPr>
      <w:r>
        <w:rPr>
          <w:rStyle w:val="a9"/>
        </w:rPr>
        <w:footnoteRef/>
      </w:r>
      <w:r>
        <w:rPr>
          <w:rtl/>
        </w:rPr>
        <w:t xml:space="preserve"> </w:t>
      </w:r>
      <w:r w:rsidRPr="00295841">
        <w:rPr>
          <w:rFonts w:cs="Arial" w:hint="cs"/>
          <w:rtl/>
        </w:rPr>
        <w:t>דכתיב</w:t>
      </w:r>
      <w:r w:rsidRPr="00295841">
        <w:rPr>
          <w:rFonts w:cs="Arial"/>
          <w:rtl/>
        </w:rPr>
        <w:t xml:space="preserve"> </w:t>
      </w:r>
      <w:r w:rsidRPr="00295841">
        <w:rPr>
          <w:rFonts w:cs="Arial" w:hint="cs"/>
          <w:rtl/>
        </w:rPr>
        <w:t>וכבדתו</w:t>
      </w:r>
      <w:r w:rsidRPr="00295841">
        <w:rPr>
          <w:rFonts w:cs="Arial"/>
          <w:rtl/>
        </w:rPr>
        <w:t xml:space="preserve"> </w:t>
      </w:r>
      <w:r w:rsidRPr="00295841">
        <w:rPr>
          <w:rFonts w:cs="Arial" w:hint="cs"/>
          <w:rtl/>
        </w:rPr>
        <w:t>ודרשו</w:t>
      </w:r>
      <w:r w:rsidRPr="00295841">
        <w:rPr>
          <w:rFonts w:cs="Arial"/>
          <w:rtl/>
        </w:rPr>
        <w:t xml:space="preserve"> </w:t>
      </w:r>
      <w:r w:rsidRPr="00295841">
        <w:rPr>
          <w:rFonts w:cs="Arial" w:hint="cs"/>
          <w:rtl/>
        </w:rPr>
        <w:t>חז</w:t>
      </w:r>
      <w:r w:rsidRPr="00295841">
        <w:rPr>
          <w:rFonts w:cs="Arial"/>
          <w:rtl/>
        </w:rPr>
        <w:t>"</w:t>
      </w:r>
      <w:r w:rsidRPr="00295841">
        <w:rPr>
          <w:rFonts w:cs="Arial" w:hint="cs"/>
          <w:rtl/>
        </w:rPr>
        <w:t>ל</w:t>
      </w:r>
      <w:r w:rsidRPr="00295841">
        <w:rPr>
          <w:rFonts w:cs="Arial"/>
          <w:rtl/>
        </w:rPr>
        <w:t xml:space="preserve"> </w:t>
      </w:r>
      <w:r w:rsidRPr="00295841">
        <w:rPr>
          <w:rFonts w:cs="Arial" w:hint="cs"/>
          <w:rtl/>
        </w:rPr>
        <w:t>שלא</w:t>
      </w:r>
      <w:r w:rsidRPr="00295841">
        <w:rPr>
          <w:rFonts w:cs="Arial"/>
          <w:rtl/>
        </w:rPr>
        <w:t xml:space="preserve"> </w:t>
      </w:r>
      <w:r w:rsidRPr="00295841">
        <w:rPr>
          <w:rFonts w:cs="Arial" w:hint="cs"/>
          <w:rtl/>
        </w:rPr>
        <w:t>יהא</w:t>
      </w:r>
      <w:r w:rsidRPr="00295841">
        <w:rPr>
          <w:rFonts w:cs="Arial"/>
          <w:rtl/>
        </w:rPr>
        <w:t xml:space="preserve"> </w:t>
      </w:r>
      <w:r w:rsidRPr="00295841">
        <w:rPr>
          <w:rFonts w:cs="Arial" w:hint="cs"/>
          <w:rtl/>
        </w:rPr>
        <w:t>מלבושיך</w:t>
      </w:r>
      <w:r w:rsidRPr="00295841">
        <w:rPr>
          <w:rFonts w:cs="Arial"/>
          <w:rtl/>
        </w:rPr>
        <w:t xml:space="preserve"> </w:t>
      </w:r>
      <w:r w:rsidRPr="00295841">
        <w:rPr>
          <w:rFonts w:cs="Arial" w:hint="cs"/>
          <w:rtl/>
        </w:rPr>
        <w:t>של</w:t>
      </w:r>
      <w:r w:rsidRPr="00295841">
        <w:rPr>
          <w:rFonts w:cs="Arial"/>
          <w:rtl/>
        </w:rPr>
        <w:t xml:space="preserve"> </w:t>
      </w:r>
      <w:r w:rsidRPr="00295841">
        <w:rPr>
          <w:rFonts w:cs="Arial" w:hint="cs"/>
          <w:rtl/>
        </w:rPr>
        <w:t>שבת</w:t>
      </w:r>
      <w:r w:rsidRPr="00295841">
        <w:rPr>
          <w:rFonts w:cs="Arial"/>
          <w:rtl/>
        </w:rPr>
        <w:t xml:space="preserve"> </w:t>
      </w:r>
      <w:r w:rsidRPr="00295841">
        <w:rPr>
          <w:rFonts w:cs="Arial" w:hint="cs"/>
          <w:rtl/>
        </w:rPr>
        <w:t>כמלבושיך</w:t>
      </w:r>
      <w:r w:rsidRPr="00295841">
        <w:rPr>
          <w:rFonts w:cs="Arial"/>
          <w:rtl/>
        </w:rPr>
        <w:t xml:space="preserve"> </w:t>
      </w:r>
      <w:r w:rsidRPr="00295841">
        <w:rPr>
          <w:rFonts w:cs="Arial" w:hint="cs"/>
          <w:rtl/>
        </w:rPr>
        <w:t>של</w:t>
      </w:r>
      <w:r w:rsidRPr="00295841">
        <w:rPr>
          <w:rFonts w:cs="Arial"/>
          <w:rtl/>
        </w:rPr>
        <w:t xml:space="preserve"> </w:t>
      </w:r>
      <w:r w:rsidRPr="00295841">
        <w:rPr>
          <w:rFonts w:cs="Arial" w:hint="cs"/>
          <w:rtl/>
        </w:rPr>
        <w:t>חול</w:t>
      </w:r>
      <w:r w:rsidRPr="00295841">
        <w:rPr>
          <w:rFonts w:cs="Arial"/>
          <w:rtl/>
        </w:rPr>
        <w:t xml:space="preserve"> </w:t>
      </w:r>
      <w:r w:rsidRPr="00295841">
        <w:rPr>
          <w:rFonts w:cs="Arial" w:hint="cs"/>
          <w:rtl/>
        </w:rPr>
        <w:t>וטוב</w:t>
      </w:r>
      <w:r w:rsidRPr="00295841">
        <w:rPr>
          <w:rFonts w:cs="Arial"/>
          <w:rtl/>
        </w:rPr>
        <w:t xml:space="preserve"> </w:t>
      </w:r>
      <w:r w:rsidRPr="00295841">
        <w:rPr>
          <w:rFonts w:cs="Arial" w:hint="cs"/>
          <w:rtl/>
        </w:rPr>
        <w:t>שלא</w:t>
      </w:r>
      <w:r w:rsidRPr="00295841">
        <w:rPr>
          <w:rFonts w:cs="Arial"/>
          <w:rtl/>
        </w:rPr>
        <w:t xml:space="preserve"> </w:t>
      </w:r>
      <w:r w:rsidRPr="00295841">
        <w:rPr>
          <w:rFonts w:cs="Arial" w:hint="cs"/>
          <w:rtl/>
        </w:rPr>
        <w:t>ילבש</w:t>
      </w:r>
      <w:r w:rsidRPr="00295841">
        <w:rPr>
          <w:rFonts w:cs="Arial"/>
          <w:rtl/>
        </w:rPr>
        <w:t xml:space="preserve"> </w:t>
      </w:r>
      <w:r w:rsidRPr="00295841">
        <w:rPr>
          <w:rFonts w:cs="Arial" w:hint="cs"/>
          <w:rtl/>
        </w:rPr>
        <w:t>בשבת</w:t>
      </w:r>
      <w:r w:rsidRPr="00295841">
        <w:rPr>
          <w:rFonts w:cs="Arial"/>
          <w:rtl/>
        </w:rPr>
        <w:t xml:space="preserve"> </w:t>
      </w:r>
      <w:r w:rsidRPr="00295841">
        <w:rPr>
          <w:rFonts w:cs="Arial" w:hint="cs"/>
          <w:rtl/>
        </w:rPr>
        <w:t>מכל</w:t>
      </w:r>
      <w:r w:rsidRPr="00295841">
        <w:rPr>
          <w:rFonts w:cs="Arial"/>
          <w:rtl/>
        </w:rPr>
        <w:t xml:space="preserve"> </w:t>
      </w:r>
      <w:r w:rsidRPr="00295841">
        <w:rPr>
          <w:rFonts w:cs="Arial" w:hint="cs"/>
          <w:rtl/>
        </w:rPr>
        <w:t>מה</w:t>
      </w:r>
      <w:r w:rsidRPr="00295841">
        <w:rPr>
          <w:rFonts w:cs="Arial"/>
          <w:rtl/>
        </w:rPr>
        <w:t xml:space="preserve"> </w:t>
      </w:r>
      <w:r w:rsidRPr="00295841">
        <w:rPr>
          <w:rFonts w:cs="Arial" w:hint="cs"/>
          <w:rtl/>
        </w:rPr>
        <w:t>שלבש</w:t>
      </w:r>
      <w:r w:rsidRPr="00295841">
        <w:rPr>
          <w:rFonts w:cs="Arial"/>
          <w:rtl/>
        </w:rPr>
        <w:t xml:space="preserve"> </w:t>
      </w:r>
      <w:r w:rsidRPr="00295841">
        <w:rPr>
          <w:rFonts w:cs="Arial" w:hint="cs"/>
          <w:rtl/>
        </w:rPr>
        <w:t>בחול</w:t>
      </w:r>
      <w:r w:rsidRPr="00295841">
        <w:rPr>
          <w:rFonts w:cs="Arial"/>
          <w:rtl/>
        </w:rPr>
        <w:t xml:space="preserve"> </w:t>
      </w:r>
      <w:r w:rsidRPr="00295841">
        <w:rPr>
          <w:rFonts w:cs="Arial" w:hint="cs"/>
          <w:rtl/>
        </w:rPr>
        <w:t>אפילו</w:t>
      </w:r>
      <w:r w:rsidRPr="00295841">
        <w:rPr>
          <w:rFonts w:cs="Arial"/>
          <w:rtl/>
        </w:rPr>
        <w:t xml:space="preserve"> </w:t>
      </w:r>
      <w:r w:rsidRPr="00295841">
        <w:rPr>
          <w:rFonts w:cs="Arial" w:hint="cs"/>
          <w:rtl/>
        </w:rPr>
        <w:t>חלוק</w:t>
      </w:r>
      <w:r w:rsidRPr="00295841">
        <w:rPr>
          <w:rFonts w:cs="Arial"/>
          <w:rtl/>
        </w:rPr>
        <w:t xml:space="preserve">. </w:t>
      </w:r>
      <w:r w:rsidRPr="00295841">
        <w:rPr>
          <w:rFonts w:cs="Arial" w:hint="cs"/>
          <w:rtl/>
        </w:rPr>
        <w:t>ואם</w:t>
      </w:r>
      <w:r w:rsidRPr="00295841">
        <w:rPr>
          <w:rFonts w:cs="Arial"/>
          <w:rtl/>
        </w:rPr>
        <w:t xml:space="preserve"> </w:t>
      </w:r>
      <w:r w:rsidRPr="00295841">
        <w:rPr>
          <w:rFonts w:cs="Arial" w:hint="cs"/>
          <w:rtl/>
        </w:rPr>
        <w:t>אפשר</w:t>
      </w:r>
      <w:r w:rsidRPr="00295841">
        <w:rPr>
          <w:rFonts w:cs="Arial"/>
          <w:rtl/>
        </w:rPr>
        <w:t xml:space="preserve"> </w:t>
      </w:r>
      <w:r w:rsidRPr="00295841">
        <w:rPr>
          <w:rFonts w:cs="Arial" w:hint="cs"/>
          <w:rtl/>
        </w:rPr>
        <w:t>לו</w:t>
      </w:r>
      <w:r w:rsidRPr="00295841">
        <w:rPr>
          <w:rFonts w:cs="Arial"/>
          <w:rtl/>
        </w:rPr>
        <w:t xml:space="preserve"> </w:t>
      </w:r>
      <w:r w:rsidRPr="00295841">
        <w:rPr>
          <w:rFonts w:cs="Arial" w:hint="cs"/>
          <w:rtl/>
        </w:rPr>
        <w:t>טוב</w:t>
      </w:r>
      <w:r w:rsidRPr="00295841">
        <w:rPr>
          <w:rFonts w:cs="Arial"/>
          <w:rtl/>
        </w:rPr>
        <w:t xml:space="preserve"> </w:t>
      </w:r>
      <w:r w:rsidRPr="00295841">
        <w:rPr>
          <w:rFonts w:cs="Arial" w:hint="cs"/>
          <w:rtl/>
        </w:rPr>
        <w:t>שיהיה</w:t>
      </w:r>
      <w:r w:rsidRPr="00295841">
        <w:rPr>
          <w:rFonts w:cs="Arial"/>
          <w:rtl/>
        </w:rPr>
        <w:t xml:space="preserve"> </w:t>
      </w:r>
      <w:r w:rsidRPr="00295841">
        <w:rPr>
          <w:rFonts w:cs="Arial" w:hint="cs"/>
          <w:rtl/>
        </w:rPr>
        <w:t>לו</w:t>
      </w:r>
      <w:r w:rsidRPr="00295841">
        <w:rPr>
          <w:rFonts w:cs="Arial"/>
          <w:rtl/>
        </w:rPr>
        <w:t xml:space="preserve"> </w:t>
      </w:r>
      <w:r w:rsidRPr="00295841">
        <w:rPr>
          <w:rFonts w:cs="Arial" w:hint="cs"/>
          <w:rtl/>
        </w:rPr>
        <w:t>גם</w:t>
      </w:r>
      <w:r w:rsidRPr="00295841">
        <w:rPr>
          <w:rFonts w:cs="Arial"/>
          <w:rtl/>
        </w:rPr>
        <w:t xml:space="preserve"> </w:t>
      </w:r>
      <w:r w:rsidRPr="00295841">
        <w:rPr>
          <w:rFonts w:cs="Arial" w:hint="cs"/>
          <w:rtl/>
        </w:rPr>
        <w:t>טלית</w:t>
      </w:r>
      <w:r w:rsidRPr="00295841">
        <w:rPr>
          <w:rFonts w:cs="Arial"/>
          <w:rtl/>
        </w:rPr>
        <w:t xml:space="preserve"> </w:t>
      </w:r>
      <w:r w:rsidRPr="00295841">
        <w:rPr>
          <w:rFonts w:cs="Arial" w:hint="cs"/>
          <w:rtl/>
        </w:rPr>
        <w:t>אחר</w:t>
      </w:r>
      <w:r w:rsidRPr="00295841">
        <w:rPr>
          <w:rFonts w:cs="Arial"/>
          <w:rtl/>
        </w:rPr>
        <w:t xml:space="preserve"> </w:t>
      </w:r>
      <w:r w:rsidRPr="00295841">
        <w:rPr>
          <w:rFonts w:cs="Arial" w:hint="cs"/>
          <w:rtl/>
        </w:rPr>
        <w:t>לשבת</w:t>
      </w:r>
      <w:r>
        <w:rPr>
          <w:rFonts w:cs="Arial" w:hint="cs"/>
          <w:rtl/>
        </w:rPr>
        <w:t>, משנ"ב (סק"ה).</w:t>
      </w:r>
    </w:p>
  </w:footnote>
  <w:footnote w:id="615">
    <w:p w14:paraId="5EE3F04C" w14:textId="77777777" w:rsidR="004B2E7C" w:rsidRDefault="004B2E7C" w:rsidP="00285819">
      <w:pPr>
        <w:pStyle w:val="a7"/>
      </w:pPr>
      <w:r>
        <w:rPr>
          <w:rStyle w:val="a9"/>
        </w:rPr>
        <w:footnoteRef/>
      </w:r>
      <w:r>
        <w:rPr>
          <w:rtl/>
        </w:rPr>
        <w:t xml:space="preserve"> </w:t>
      </w:r>
      <w:r w:rsidRPr="00B76126">
        <w:rPr>
          <w:rFonts w:cs="Arial" w:hint="cs"/>
          <w:rtl/>
        </w:rPr>
        <w:t>בבגדים</w:t>
      </w:r>
      <w:r w:rsidRPr="00B76126">
        <w:rPr>
          <w:rFonts w:cs="Arial"/>
          <w:rtl/>
        </w:rPr>
        <w:t xml:space="preserve"> </w:t>
      </w:r>
      <w:r w:rsidRPr="00B76126">
        <w:rPr>
          <w:rFonts w:cs="Arial" w:hint="cs"/>
          <w:rtl/>
        </w:rPr>
        <w:t>נאים</w:t>
      </w:r>
      <w:r>
        <w:rPr>
          <w:rFonts w:cs="Arial" w:hint="cs"/>
          <w:rtl/>
        </w:rPr>
        <w:t>, רש"י.</w:t>
      </w:r>
    </w:p>
  </w:footnote>
  <w:footnote w:id="616">
    <w:p w14:paraId="69868D84" w14:textId="77777777" w:rsidR="004B2E7C" w:rsidRDefault="004B2E7C" w:rsidP="00285819">
      <w:pPr>
        <w:pStyle w:val="a7"/>
        <w:rPr>
          <w:rtl/>
        </w:rPr>
      </w:pPr>
      <w:r>
        <w:rPr>
          <w:rStyle w:val="a9"/>
        </w:rPr>
        <w:footnoteRef/>
      </w:r>
      <w:r>
        <w:rPr>
          <w:rtl/>
        </w:rPr>
        <w:t xml:space="preserve"> </w:t>
      </w:r>
      <w:r w:rsidRPr="00295841">
        <w:rPr>
          <w:rFonts w:cs="Arial" w:hint="cs"/>
          <w:rtl/>
        </w:rPr>
        <w:t>הכי</w:t>
      </w:r>
      <w:r w:rsidRPr="00295841">
        <w:rPr>
          <w:rFonts w:cs="Arial"/>
          <w:rtl/>
        </w:rPr>
        <w:t xml:space="preserve"> </w:t>
      </w:r>
      <w:r w:rsidRPr="00295841">
        <w:rPr>
          <w:rFonts w:cs="Arial" w:hint="cs"/>
          <w:rtl/>
        </w:rPr>
        <w:t>קרי</w:t>
      </w:r>
      <w:r w:rsidRPr="00295841">
        <w:rPr>
          <w:rFonts w:cs="Arial"/>
          <w:rtl/>
        </w:rPr>
        <w:t xml:space="preserve"> </w:t>
      </w:r>
      <w:r w:rsidRPr="00295841">
        <w:rPr>
          <w:rFonts w:cs="Arial" w:hint="cs"/>
          <w:rtl/>
        </w:rPr>
        <w:t>ליה</w:t>
      </w:r>
      <w:r w:rsidRPr="00295841">
        <w:rPr>
          <w:rFonts w:cs="Arial"/>
          <w:rtl/>
        </w:rPr>
        <w:t xml:space="preserve"> </w:t>
      </w:r>
      <w:r w:rsidRPr="00295841">
        <w:rPr>
          <w:rFonts w:cs="Arial" w:hint="cs"/>
          <w:rtl/>
        </w:rPr>
        <w:t>לשביתת</w:t>
      </w:r>
      <w:r w:rsidRPr="00295841">
        <w:rPr>
          <w:rFonts w:cs="Arial"/>
          <w:rtl/>
        </w:rPr>
        <w:t xml:space="preserve"> </w:t>
      </w:r>
      <w:r w:rsidRPr="00295841">
        <w:rPr>
          <w:rFonts w:cs="Arial" w:hint="cs"/>
          <w:rtl/>
        </w:rPr>
        <w:t>שבת</w:t>
      </w:r>
      <w:r w:rsidRPr="00295841">
        <w:rPr>
          <w:rFonts w:cs="Arial"/>
          <w:rtl/>
        </w:rPr>
        <w:t xml:space="preserve">, </w:t>
      </w:r>
      <w:r w:rsidRPr="00295841">
        <w:rPr>
          <w:rFonts w:cs="Arial" w:hint="cs"/>
          <w:rtl/>
        </w:rPr>
        <w:t>מתוך</w:t>
      </w:r>
      <w:r w:rsidRPr="00295841">
        <w:rPr>
          <w:rFonts w:cs="Arial"/>
          <w:rtl/>
        </w:rPr>
        <w:t xml:space="preserve"> </w:t>
      </w:r>
      <w:r w:rsidRPr="00295841">
        <w:rPr>
          <w:rFonts w:cs="Arial" w:hint="cs"/>
          <w:rtl/>
        </w:rPr>
        <w:t>חביבות</w:t>
      </w:r>
      <w:r>
        <w:rPr>
          <w:rFonts w:hint="cs"/>
          <w:rtl/>
        </w:rPr>
        <w:t>, רש"י.</w:t>
      </w:r>
    </w:p>
  </w:footnote>
  <w:footnote w:id="617">
    <w:p w14:paraId="69EFEF18" w14:textId="77777777" w:rsidR="004B2E7C" w:rsidRDefault="004B2E7C" w:rsidP="00285819">
      <w:pPr>
        <w:pStyle w:val="a7"/>
        <w:rPr>
          <w:rtl/>
        </w:rPr>
      </w:pPr>
      <w:r>
        <w:rPr>
          <w:rStyle w:val="a9"/>
        </w:rPr>
        <w:footnoteRef/>
      </w:r>
      <w:r>
        <w:rPr>
          <w:rtl/>
        </w:rPr>
        <w:t xml:space="preserve"> </w:t>
      </w:r>
      <w:r w:rsidRPr="00295841">
        <w:rPr>
          <w:rFonts w:cs="Arial" w:hint="cs"/>
          <w:rtl/>
        </w:rPr>
        <w:t>רקיקין</w:t>
      </w:r>
      <w:r w:rsidRPr="00295841">
        <w:rPr>
          <w:rFonts w:cs="Arial"/>
          <w:rtl/>
        </w:rPr>
        <w:t xml:space="preserve">, </w:t>
      </w:r>
      <w:r w:rsidRPr="00295841">
        <w:rPr>
          <w:rFonts w:cs="Arial" w:hint="cs"/>
          <w:rtl/>
        </w:rPr>
        <w:t>טחין</w:t>
      </w:r>
      <w:r w:rsidRPr="00295841">
        <w:rPr>
          <w:rFonts w:cs="Arial"/>
          <w:rtl/>
        </w:rPr>
        <w:t xml:space="preserve"> </w:t>
      </w:r>
      <w:r w:rsidRPr="00295841">
        <w:rPr>
          <w:rFonts w:cs="Arial" w:hint="cs"/>
          <w:rtl/>
        </w:rPr>
        <w:t>פניהן</w:t>
      </w:r>
      <w:r w:rsidRPr="00295841">
        <w:rPr>
          <w:rFonts w:cs="Arial"/>
          <w:rtl/>
        </w:rPr>
        <w:t xml:space="preserve"> </w:t>
      </w:r>
      <w:r w:rsidRPr="00295841">
        <w:rPr>
          <w:rFonts w:cs="Arial" w:hint="cs"/>
          <w:rtl/>
        </w:rPr>
        <w:t>בשומן</w:t>
      </w:r>
      <w:r w:rsidRPr="00295841">
        <w:rPr>
          <w:rFonts w:cs="Arial"/>
          <w:rtl/>
        </w:rPr>
        <w:t xml:space="preserve"> </w:t>
      </w:r>
      <w:r w:rsidRPr="00295841">
        <w:rPr>
          <w:rFonts w:cs="Arial" w:hint="cs"/>
          <w:rtl/>
        </w:rPr>
        <w:t>אליה</w:t>
      </w:r>
      <w:r w:rsidRPr="00295841">
        <w:rPr>
          <w:rFonts w:cs="Arial"/>
          <w:rtl/>
        </w:rPr>
        <w:t xml:space="preserve"> </w:t>
      </w:r>
      <w:r w:rsidRPr="00295841">
        <w:rPr>
          <w:rFonts w:cs="Arial" w:hint="cs"/>
          <w:rtl/>
        </w:rPr>
        <w:t>או</w:t>
      </w:r>
      <w:r w:rsidRPr="00295841">
        <w:rPr>
          <w:rFonts w:cs="Arial"/>
          <w:rtl/>
        </w:rPr>
        <w:t xml:space="preserve"> </w:t>
      </w:r>
      <w:r w:rsidRPr="00295841">
        <w:rPr>
          <w:rFonts w:cs="Arial" w:hint="cs"/>
          <w:rtl/>
        </w:rPr>
        <w:t>בשמן</w:t>
      </w:r>
      <w:r>
        <w:rPr>
          <w:rFonts w:hint="cs"/>
          <w:rtl/>
        </w:rPr>
        <w:t>, רש"י.</w:t>
      </w:r>
    </w:p>
  </w:footnote>
  <w:footnote w:id="618">
    <w:p w14:paraId="34B46C5F" w14:textId="77777777" w:rsidR="004B2E7C" w:rsidRDefault="004B2E7C" w:rsidP="00285819">
      <w:pPr>
        <w:pStyle w:val="a7"/>
      </w:pPr>
      <w:r>
        <w:rPr>
          <w:rStyle w:val="a9"/>
        </w:rPr>
        <w:footnoteRef/>
      </w:r>
      <w:r>
        <w:rPr>
          <w:rtl/>
        </w:rPr>
        <w:t xml:space="preserve"> </w:t>
      </w:r>
      <w:r w:rsidRPr="00295841">
        <w:rPr>
          <w:rFonts w:cs="Arial" w:hint="cs"/>
          <w:rtl/>
        </w:rPr>
        <w:t>כלום</w:t>
      </w:r>
      <w:r w:rsidRPr="00295841">
        <w:rPr>
          <w:rFonts w:cs="Arial"/>
          <w:rtl/>
        </w:rPr>
        <w:t xml:space="preserve"> </w:t>
      </w:r>
      <w:r w:rsidRPr="00295841">
        <w:rPr>
          <w:rFonts w:cs="Arial" w:hint="cs"/>
          <w:rtl/>
        </w:rPr>
        <w:t>אתה</w:t>
      </w:r>
      <w:r w:rsidRPr="00295841">
        <w:rPr>
          <w:rFonts w:cs="Arial"/>
          <w:rtl/>
        </w:rPr>
        <w:t xml:space="preserve"> </w:t>
      </w:r>
      <w:r w:rsidRPr="00295841">
        <w:rPr>
          <w:rFonts w:cs="Arial" w:hint="cs"/>
          <w:rtl/>
        </w:rPr>
        <w:t>חשוב</w:t>
      </w:r>
      <w:r w:rsidRPr="00295841">
        <w:rPr>
          <w:rFonts w:cs="Arial"/>
          <w:rtl/>
        </w:rPr>
        <w:t xml:space="preserve"> </w:t>
      </w:r>
      <w:r w:rsidRPr="00295841">
        <w:rPr>
          <w:rFonts w:cs="Arial" w:hint="cs"/>
          <w:rtl/>
        </w:rPr>
        <w:t>לנו</w:t>
      </w:r>
      <w:r w:rsidRPr="00295841">
        <w:rPr>
          <w:rFonts w:cs="Arial"/>
          <w:rtl/>
        </w:rPr>
        <w:t xml:space="preserve"> </w:t>
      </w:r>
      <w:r w:rsidRPr="00295841">
        <w:rPr>
          <w:rFonts w:cs="Arial" w:hint="cs"/>
          <w:rtl/>
        </w:rPr>
        <w:t>מן</w:t>
      </w:r>
      <w:r w:rsidRPr="00295841">
        <w:rPr>
          <w:rFonts w:cs="Arial"/>
          <w:rtl/>
        </w:rPr>
        <w:t xml:space="preserve"> </w:t>
      </w:r>
      <w:r w:rsidRPr="00295841">
        <w:rPr>
          <w:rFonts w:cs="Arial" w:hint="cs"/>
          <w:rtl/>
        </w:rPr>
        <w:t>השבת</w:t>
      </w:r>
      <w:r w:rsidRPr="00295841">
        <w:rPr>
          <w:rFonts w:cs="Arial"/>
          <w:rtl/>
        </w:rPr>
        <w:t xml:space="preserve"> </w:t>
      </w:r>
      <w:r w:rsidRPr="00295841">
        <w:rPr>
          <w:rFonts w:cs="Arial" w:hint="cs"/>
          <w:rtl/>
        </w:rPr>
        <w:t>לכבוד</w:t>
      </w:r>
      <w:r w:rsidRPr="00295841">
        <w:rPr>
          <w:rFonts w:cs="Arial"/>
          <w:rtl/>
        </w:rPr>
        <w:t xml:space="preserve"> </w:t>
      </w:r>
      <w:r w:rsidRPr="00295841">
        <w:rPr>
          <w:rFonts w:cs="Arial" w:hint="cs"/>
          <w:rtl/>
        </w:rPr>
        <w:t>שבת</w:t>
      </w:r>
      <w:r w:rsidRPr="00295841">
        <w:rPr>
          <w:rFonts w:cs="Arial"/>
          <w:rtl/>
        </w:rPr>
        <w:t xml:space="preserve"> </w:t>
      </w:r>
      <w:r w:rsidRPr="00295841">
        <w:rPr>
          <w:rFonts w:cs="Arial" w:hint="cs"/>
          <w:rtl/>
        </w:rPr>
        <w:t>הכננום</w:t>
      </w:r>
      <w:r w:rsidRPr="00295841">
        <w:rPr>
          <w:rFonts w:cs="Arial"/>
          <w:rtl/>
        </w:rPr>
        <w:t xml:space="preserve">, </w:t>
      </w:r>
      <w:r w:rsidRPr="00295841">
        <w:rPr>
          <w:rFonts w:cs="Arial" w:hint="cs"/>
          <w:rtl/>
        </w:rPr>
        <w:t>ולא</w:t>
      </w:r>
      <w:r w:rsidRPr="00295841">
        <w:rPr>
          <w:rFonts w:cs="Arial"/>
          <w:rtl/>
        </w:rPr>
        <w:t xml:space="preserve"> </w:t>
      </w:r>
      <w:r w:rsidRPr="00295841">
        <w:rPr>
          <w:rFonts w:cs="Arial" w:hint="cs"/>
          <w:rtl/>
        </w:rPr>
        <w:t>היינו</w:t>
      </w:r>
      <w:r w:rsidRPr="00295841">
        <w:rPr>
          <w:rFonts w:cs="Arial"/>
          <w:rtl/>
        </w:rPr>
        <w:t xml:space="preserve"> </w:t>
      </w:r>
      <w:r w:rsidRPr="00295841">
        <w:rPr>
          <w:rFonts w:cs="Arial" w:hint="cs"/>
          <w:rtl/>
        </w:rPr>
        <w:t>יודעים</w:t>
      </w:r>
      <w:r w:rsidRPr="00295841">
        <w:rPr>
          <w:rFonts w:cs="Arial"/>
          <w:rtl/>
        </w:rPr>
        <w:t xml:space="preserve"> </w:t>
      </w:r>
      <w:r w:rsidRPr="00295841">
        <w:rPr>
          <w:rFonts w:cs="Arial" w:hint="cs"/>
          <w:rtl/>
        </w:rPr>
        <w:t>שתבא</w:t>
      </w:r>
      <w:r>
        <w:rPr>
          <w:rFonts w:cs="Arial" w:hint="cs"/>
          <w:rtl/>
        </w:rPr>
        <w:t>, רש"י.</w:t>
      </w:r>
    </w:p>
  </w:footnote>
  <w:footnote w:id="619">
    <w:p w14:paraId="08AE4DA2" w14:textId="77777777" w:rsidR="004B2E7C" w:rsidRDefault="004B2E7C" w:rsidP="00285819">
      <w:pPr>
        <w:pStyle w:val="a7"/>
        <w:rPr>
          <w:rtl/>
        </w:rPr>
      </w:pPr>
      <w:r>
        <w:rPr>
          <w:rStyle w:val="a9"/>
        </w:rPr>
        <w:footnoteRef/>
      </w:r>
      <w:r>
        <w:rPr>
          <w:rtl/>
        </w:rPr>
        <w:t xml:space="preserve"> </w:t>
      </w:r>
      <w:r w:rsidRPr="00295841">
        <w:rPr>
          <w:rFonts w:cs="Arial" w:hint="cs"/>
          <w:rtl/>
        </w:rPr>
        <w:t>לטעום</w:t>
      </w:r>
      <w:r w:rsidRPr="00295841">
        <w:rPr>
          <w:rFonts w:cs="Arial"/>
          <w:rtl/>
        </w:rPr>
        <w:t xml:space="preserve"> </w:t>
      </w:r>
      <w:r w:rsidRPr="00295841">
        <w:rPr>
          <w:rFonts w:cs="Arial" w:hint="cs"/>
          <w:rtl/>
        </w:rPr>
        <w:t>בשבת</w:t>
      </w:r>
      <w:r w:rsidRPr="00295841">
        <w:rPr>
          <w:rFonts w:cs="Arial"/>
          <w:rtl/>
        </w:rPr>
        <w:t xml:space="preserve"> </w:t>
      </w:r>
      <w:r w:rsidRPr="00295841">
        <w:rPr>
          <w:rFonts w:cs="Arial" w:hint="cs"/>
          <w:rtl/>
        </w:rPr>
        <w:t>מן</w:t>
      </w:r>
      <w:r w:rsidRPr="00295841">
        <w:rPr>
          <w:rFonts w:cs="Arial"/>
          <w:rtl/>
        </w:rPr>
        <w:t xml:space="preserve"> </w:t>
      </w:r>
      <w:r w:rsidRPr="00295841">
        <w:rPr>
          <w:rFonts w:cs="Arial" w:hint="cs"/>
          <w:rtl/>
        </w:rPr>
        <w:t>המובחר</w:t>
      </w:r>
      <w:r>
        <w:rPr>
          <w:rFonts w:hint="cs"/>
          <w:rtl/>
        </w:rPr>
        <w:t>, רש"י.</w:t>
      </w:r>
    </w:p>
  </w:footnote>
  <w:footnote w:id="620">
    <w:p w14:paraId="21E50084" w14:textId="77777777" w:rsidR="004B2E7C" w:rsidRDefault="004B2E7C" w:rsidP="00285819">
      <w:pPr>
        <w:pStyle w:val="a7"/>
      </w:pPr>
      <w:r>
        <w:rPr>
          <w:rStyle w:val="a9"/>
        </w:rPr>
        <w:footnoteRef/>
      </w:r>
      <w:r>
        <w:rPr>
          <w:rtl/>
        </w:rPr>
        <w:t xml:space="preserve"> </w:t>
      </w:r>
      <w:r w:rsidRPr="00295841">
        <w:rPr>
          <w:rFonts w:cs="Arial" w:hint="cs"/>
          <w:rtl/>
        </w:rPr>
        <w:t>לפני</w:t>
      </w:r>
      <w:r w:rsidRPr="00295841">
        <w:rPr>
          <w:rFonts w:cs="Arial"/>
          <w:rtl/>
        </w:rPr>
        <w:t xml:space="preserve"> </w:t>
      </w:r>
      <w:r w:rsidRPr="00295841">
        <w:rPr>
          <w:rFonts w:cs="Arial" w:hint="cs"/>
          <w:rtl/>
        </w:rPr>
        <w:t>בואם</w:t>
      </w:r>
      <w:r w:rsidRPr="00295841">
        <w:rPr>
          <w:rFonts w:cs="Arial"/>
          <w:rtl/>
        </w:rPr>
        <w:t xml:space="preserve"> </w:t>
      </w:r>
      <w:r w:rsidRPr="00295841">
        <w:rPr>
          <w:rFonts w:cs="Arial" w:hint="cs"/>
          <w:rtl/>
        </w:rPr>
        <w:t>להביא</w:t>
      </w:r>
      <w:r w:rsidRPr="00295841">
        <w:rPr>
          <w:rFonts w:cs="Arial"/>
          <w:rtl/>
        </w:rPr>
        <w:t xml:space="preserve"> </w:t>
      </w:r>
      <w:r w:rsidRPr="00295841">
        <w:rPr>
          <w:rFonts w:cs="Arial" w:hint="cs"/>
          <w:rtl/>
        </w:rPr>
        <w:t>לו</w:t>
      </w:r>
      <w:r w:rsidRPr="00295841">
        <w:rPr>
          <w:rFonts w:cs="Arial"/>
          <w:rtl/>
        </w:rPr>
        <w:t xml:space="preserve"> </w:t>
      </w:r>
      <w:r w:rsidRPr="00295841">
        <w:rPr>
          <w:rFonts w:cs="Arial" w:hint="cs"/>
          <w:rtl/>
        </w:rPr>
        <w:t>הבשר</w:t>
      </w:r>
      <w:r w:rsidRPr="00295841">
        <w:rPr>
          <w:rFonts w:cs="Arial"/>
          <w:rtl/>
        </w:rPr>
        <w:t xml:space="preserve"> </w:t>
      </w:r>
      <w:r w:rsidRPr="00295841">
        <w:rPr>
          <w:rFonts w:cs="Arial" w:hint="cs"/>
          <w:rtl/>
        </w:rPr>
        <w:t>היה</w:t>
      </w:r>
      <w:r w:rsidRPr="00295841">
        <w:rPr>
          <w:rFonts w:cs="Arial"/>
          <w:rtl/>
        </w:rPr>
        <w:t xml:space="preserve"> </w:t>
      </w:r>
      <w:r w:rsidRPr="00295841">
        <w:rPr>
          <w:rFonts w:cs="Arial" w:hint="cs"/>
          <w:rtl/>
        </w:rPr>
        <w:t>מזמן</w:t>
      </w:r>
      <w:r w:rsidRPr="00295841">
        <w:rPr>
          <w:rFonts w:cs="Arial"/>
          <w:rtl/>
        </w:rPr>
        <w:t xml:space="preserve"> </w:t>
      </w:r>
      <w:r w:rsidRPr="00295841">
        <w:rPr>
          <w:rFonts w:cs="Arial" w:hint="cs"/>
          <w:rtl/>
        </w:rPr>
        <w:t>להן</w:t>
      </w:r>
      <w:r w:rsidRPr="00295841">
        <w:rPr>
          <w:rFonts w:cs="Arial"/>
          <w:rtl/>
        </w:rPr>
        <w:t xml:space="preserve"> </w:t>
      </w:r>
      <w:r w:rsidRPr="00295841">
        <w:rPr>
          <w:rFonts w:cs="Arial" w:hint="cs"/>
          <w:rtl/>
        </w:rPr>
        <w:t>מעותיהן</w:t>
      </w:r>
      <w:r w:rsidRPr="00295841">
        <w:rPr>
          <w:rFonts w:cs="Arial"/>
          <w:rtl/>
        </w:rPr>
        <w:t xml:space="preserve"> </w:t>
      </w:r>
      <w:r w:rsidRPr="00295841">
        <w:rPr>
          <w:rFonts w:cs="Arial" w:hint="cs"/>
          <w:rtl/>
        </w:rPr>
        <w:t>על</w:t>
      </w:r>
      <w:r w:rsidRPr="00295841">
        <w:rPr>
          <w:rFonts w:cs="Arial"/>
          <w:rtl/>
        </w:rPr>
        <w:t xml:space="preserve"> </w:t>
      </w:r>
      <w:r w:rsidRPr="00295841">
        <w:rPr>
          <w:rFonts w:cs="Arial" w:hint="cs"/>
          <w:rtl/>
        </w:rPr>
        <w:t>פתחן</w:t>
      </w:r>
      <w:r w:rsidRPr="00295841">
        <w:rPr>
          <w:rFonts w:cs="Arial"/>
          <w:rtl/>
        </w:rPr>
        <w:t xml:space="preserve">, </w:t>
      </w:r>
      <w:r w:rsidRPr="00295841">
        <w:rPr>
          <w:rFonts w:cs="Arial" w:hint="cs"/>
          <w:rtl/>
        </w:rPr>
        <w:t>ואומר</w:t>
      </w:r>
      <w:r w:rsidRPr="00295841">
        <w:rPr>
          <w:rFonts w:cs="Arial"/>
          <w:rtl/>
        </w:rPr>
        <w:t xml:space="preserve"> </w:t>
      </w:r>
      <w:r w:rsidRPr="00295841">
        <w:rPr>
          <w:rFonts w:cs="Arial" w:hint="cs"/>
          <w:rtl/>
        </w:rPr>
        <w:t>להן</w:t>
      </w:r>
      <w:r w:rsidRPr="00295841">
        <w:rPr>
          <w:rFonts w:cs="Arial"/>
          <w:rtl/>
        </w:rPr>
        <w:t xml:space="preserve">: </w:t>
      </w:r>
      <w:r w:rsidRPr="00295841">
        <w:rPr>
          <w:rFonts w:cs="Arial" w:hint="cs"/>
          <w:rtl/>
        </w:rPr>
        <w:t>אשור</w:t>
      </w:r>
      <w:r w:rsidRPr="00295841">
        <w:rPr>
          <w:rFonts w:cs="Arial"/>
          <w:rtl/>
        </w:rPr>
        <w:t xml:space="preserve"> </w:t>
      </w:r>
      <w:r w:rsidRPr="00295841">
        <w:rPr>
          <w:rFonts w:cs="Arial" w:hint="cs"/>
          <w:rtl/>
        </w:rPr>
        <w:t>הייא</w:t>
      </w:r>
      <w:r w:rsidRPr="00295841">
        <w:rPr>
          <w:rFonts w:cs="Arial"/>
          <w:rtl/>
        </w:rPr>
        <w:t xml:space="preserve"> - </w:t>
      </w:r>
      <w:r w:rsidRPr="00295841">
        <w:rPr>
          <w:rFonts w:cs="Arial" w:hint="cs"/>
          <w:rtl/>
        </w:rPr>
        <w:t>התאשרו</w:t>
      </w:r>
      <w:r w:rsidRPr="00295841">
        <w:rPr>
          <w:rFonts w:cs="Arial"/>
          <w:rtl/>
        </w:rPr>
        <w:t xml:space="preserve"> </w:t>
      </w:r>
      <w:r w:rsidRPr="00295841">
        <w:rPr>
          <w:rFonts w:cs="Arial" w:hint="cs"/>
          <w:rtl/>
        </w:rPr>
        <w:t>והתחזקו</w:t>
      </w:r>
      <w:r w:rsidRPr="00295841">
        <w:rPr>
          <w:rFonts w:cs="Arial"/>
          <w:rtl/>
        </w:rPr>
        <w:t xml:space="preserve"> </w:t>
      </w:r>
      <w:r w:rsidRPr="00295841">
        <w:rPr>
          <w:rFonts w:cs="Arial" w:hint="cs"/>
          <w:rtl/>
        </w:rPr>
        <w:t>מהר</w:t>
      </w:r>
      <w:r w:rsidRPr="00295841">
        <w:rPr>
          <w:rFonts w:cs="Arial"/>
          <w:rtl/>
        </w:rPr>
        <w:t xml:space="preserve"> </w:t>
      </w:r>
      <w:r w:rsidRPr="00295841">
        <w:rPr>
          <w:rFonts w:cs="Arial" w:hint="cs"/>
          <w:rtl/>
        </w:rPr>
        <w:t>באומנותיכם</w:t>
      </w:r>
      <w:r w:rsidRPr="00295841">
        <w:rPr>
          <w:rFonts w:cs="Arial"/>
          <w:rtl/>
        </w:rPr>
        <w:t xml:space="preserve">, </w:t>
      </w:r>
      <w:r w:rsidRPr="00295841">
        <w:rPr>
          <w:rFonts w:cs="Arial" w:hint="cs"/>
          <w:rtl/>
        </w:rPr>
        <w:t>למהר</w:t>
      </w:r>
      <w:r w:rsidRPr="00295841">
        <w:rPr>
          <w:rFonts w:cs="Arial"/>
          <w:rtl/>
        </w:rPr>
        <w:t xml:space="preserve"> </w:t>
      </w:r>
      <w:r w:rsidRPr="00295841">
        <w:rPr>
          <w:rFonts w:cs="Arial" w:hint="cs"/>
          <w:rtl/>
        </w:rPr>
        <w:t>ולחזור</w:t>
      </w:r>
      <w:r w:rsidRPr="00295841">
        <w:rPr>
          <w:rFonts w:cs="Arial"/>
          <w:rtl/>
        </w:rPr>
        <w:t xml:space="preserve"> </w:t>
      </w:r>
      <w:r w:rsidRPr="00295841">
        <w:rPr>
          <w:rFonts w:cs="Arial" w:hint="cs"/>
          <w:rtl/>
        </w:rPr>
        <w:t>ולמכור</w:t>
      </w:r>
      <w:r w:rsidRPr="00295841">
        <w:rPr>
          <w:rFonts w:cs="Arial"/>
          <w:rtl/>
        </w:rPr>
        <w:t xml:space="preserve"> </w:t>
      </w:r>
      <w:r w:rsidRPr="00295841">
        <w:rPr>
          <w:rFonts w:cs="Arial" w:hint="cs"/>
          <w:rtl/>
        </w:rPr>
        <w:t>ולהתעסק</w:t>
      </w:r>
      <w:r w:rsidRPr="00295841">
        <w:rPr>
          <w:rFonts w:cs="Arial"/>
          <w:rtl/>
        </w:rPr>
        <w:t xml:space="preserve"> </w:t>
      </w:r>
      <w:r w:rsidRPr="00295841">
        <w:rPr>
          <w:rFonts w:cs="Arial" w:hint="cs"/>
          <w:rtl/>
        </w:rPr>
        <w:t>בצרכי</w:t>
      </w:r>
      <w:r w:rsidRPr="00295841">
        <w:rPr>
          <w:rFonts w:cs="Arial"/>
          <w:rtl/>
        </w:rPr>
        <w:t xml:space="preserve"> </w:t>
      </w:r>
      <w:r w:rsidRPr="00295841">
        <w:rPr>
          <w:rFonts w:cs="Arial" w:hint="cs"/>
          <w:rtl/>
        </w:rPr>
        <w:t>שבת</w:t>
      </w:r>
      <w:r w:rsidRPr="00295841">
        <w:rPr>
          <w:rFonts w:cs="Arial"/>
          <w:rtl/>
        </w:rPr>
        <w:t xml:space="preserve">, </w:t>
      </w:r>
      <w:r w:rsidRPr="00295841">
        <w:rPr>
          <w:rFonts w:cs="Arial" w:hint="cs"/>
          <w:rtl/>
        </w:rPr>
        <w:t>ולי</w:t>
      </w:r>
      <w:r w:rsidRPr="00295841">
        <w:rPr>
          <w:rFonts w:cs="Arial"/>
          <w:rtl/>
        </w:rPr>
        <w:t xml:space="preserve"> </w:t>
      </w:r>
      <w:r w:rsidRPr="00295841">
        <w:rPr>
          <w:rFonts w:cs="Arial" w:hint="cs"/>
          <w:rtl/>
        </w:rPr>
        <w:t>נראה</w:t>
      </w:r>
      <w:r w:rsidRPr="00295841">
        <w:rPr>
          <w:rFonts w:cs="Arial"/>
          <w:rtl/>
        </w:rPr>
        <w:t xml:space="preserve">: </w:t>
      </w:r>
      <w:r w:rsidRPr="00295841">
        <w:rPr>
          <w:rFonts w:cs="Arial" w:hint="cs"/>
          <w:rtl/>
        </w:rPr>
        <w:t>ומשלים</w:t>
      </w:r>
      <w:r w:rsidRPr="00295841">
        <w:rPr>
          <w:rFonts w:cs="Arial"/>
          <w:rtl/>
        </w:rPr>
        <w:t xml:space="preserve"> </w:t>
      </w:r>
      <w:r w:rsidRPr="00295841">
        <w:rPr>
          <w:rFonts w:cs="Arial" w:hint="cs"/>
          <w:rtl/>
        </w:rPr>
        <w:t>להו</w:t>
      </w:r>
      <w:r w:rsidRPr="00295841">
        <w:rPr>
          <w:rFonts w:cs="Arial"/>
          <w:rtl/>
        </w:rPr>
        <w:t xml:space="preserve"> </w:t>
      </w:r>
      <w:r w:rsidRPr="00295841">
        <w:rPr>
          <w:rFonts w:cs="Arial" w:hint="cs"/>
          <w:rtl/>
        </w:rPr>
        <w:t>אצינורא</w:t>
      </w:r>
      <w:r w:rsidRPr="00295841">
        <w:rPr>
          <w:rFonts w:cs="Arial"/>
          <w:rtl/>
        </w:rPr>
        <w:t xml:space="preserve"> </w:t>
      </w:r>
      <w:r w:rsidRPr="00295841">
        <w:rPr>
          <w:rFonts w:cs="Arial" w:hint="cs"/>
          <w:rtl/>
        </w:rPr>
        <w:t>דדשא</w:t>
      </w:r>
      <w:r w:rsidRPr="00295841">
        <w:rPr>
          <w:rFonts w:cs="Arial"/>
          <w:rtl/>
        </w:rPr>
        <w:t xml:space="preserve"> - </w:t>
      </w:r>
      <w:r w:rsidRPr="00295841">
        <w:rPr>
          <w:rFonts w:cs="Arial" w:hint="cs"/>
          <w:rtl/>
        </w:rPr>
        <w:t>כשהיה</w:t>
      </w:r>
      <w:r w:rsidRPr="00295841">
        <w:rPr>
          <w:rFonts w:cs="Arial"/>
          <w:rtl/>
        </w:rPr>
        <w:t xml:space="preserve"> </w:t>
      </w:r>
      <w:r w:rsidRPr="00295841">
        <w:rPr>
          <w:rFonts w:cs="Arial" w:hint="cs"/>
          <w:rtl/>
        </w:rPr>
        <w:t>מביא</w:t>
      </w:r>
      <w:r w:rsidRPr="00295841">
        <w:rPr>
          <w:rFonts w:cs="Arial"/>
          <w:rtl/>
        </w:rPr>
        <w:t xml:space="preserve"> </w:t>
      </w:r>
      <w:r w:rsidRPr="00295841">
        <w:rPr>
          <w:rFonts w:cs="Arial" w:hint="cs"/>
          <w:rtl/>
        </w:rPr>
        <w:t>ראשונה</w:t>
      </w:r>
      <w:r w:rsidRPr="00295841">
        <w:rPr>
          <w:rFonts w:cs="Arial"/>
          <w:rtl/>
        </w:rPr>
        <w:t xml:space="preserve"> </w:t>
      </w:r>
      <w:r w:rsidRPr="00295841">
        <w:rPr>
          <w:rFonts w:cs="Arial" w:hint="cs"/>
          <w:rtl/>
        </w:rPr>
        <w:t>היה</w:t>
      </w:r>
      <w:r w:rsidRPr="00295841">
        <w:rPr>
          <w:rFonts w:cs="Arial"/>
          <w:rtl/>
        </w:rPr>
        <w:t xml:space="preserve"> </w:t>
      </w:r>
      <w:r w:rsidRPr="00295841">
        <w:rPr>
          <w:rFonts w:cs="Arial" w:hint="cs"/>
          <w:rtl/>
        </w:rPr>
        <w:t>נותנה</w:t>
      </w:r>
      <w:r w:rsidRPr="00295841">
        <w:rPr>
          <w:rFonts w:cs="Arial"/>
          <w:rtl/>
        </w:rPr>
        <w:t xml:space="preserve"> </w:t>
      </w:r>
      <w:r w:rsidRPr="00295841">
        <w:rPr>
          <w:rFonts w:cs="Arial" w:hint="cs"/>
          <w:rtl/>
        </w:rPr>
        <w:t>לשמשין</w:t>
      </w:r>
      <w:r w:rsidRPr="00295841">
        <w:rPr>
          <w:rFonts w:cs="Arial"/>
          <w:rtl/>
        </w:rPr>
        <w:t xml:space="preserve"> </w:t>
      </w:r>
      <w:r w:rsidRPr="00295841">
        <w:rPr>
          <w:rFonts w:cs="Arial" w:hint="cs"/>
          <w:rtl/>
        </w:rPr>
        <w:t>המכינים</w:t>
      </w:r>
      <w:r w:rsidRPr="00295841">
        <w:rPr>
          <w:rFonts w:cs="Arial"/>
          <w:rtl/>
        </w:rPr>
        <w:t xml:space="preserve"> </w:t>
      </w:r>
      <w:r w:rsidRPr="00295841">
        <w:rPr>
          <w:rFonts w:cs="Arial" w:hint="cs"/>
          <w:rtl/>
        </w:rPr>
        <w:t>סעודתו</w:t>
      </w:r>
      <w:r w:rsidRPr="00295841">
        <w:rPr>
          <w:rFonts w:cs="Arial"/>
          <w:rtl/>
        </w:rPr>
        <w:t xml:space="preserve"> </w:t>
      </w:r>
      <w:r w:rsidRPr="00295841">
        <w:rPr>
          <w:rFonts w:cs="Arial" w:hint="cs"/>
          <w:rtl/>
        </w:rPr>
        <w:t>על</w:t>
      </w:r>
      <w:r w:rsidRPr="00295841">
        <w:rPr>
          <w:rFonts w:cs="Arial"/>
          <w:rtl/>
        </w:rPr>
        <w:t xml:space="preserve"> </w:t>
      </w:r>
      <w:r w:rsidRPr="00295841">
        <w:rPr>
          <w:rFonts w:cs="Arial" w:hint="cs"/>
          <w:rtl/>
        </w:rPr>
        <w:t>פתח</w:t>
      </w:r>
      <w:r w:rsidRPr="00295841">
        <w:rPr>
          <w:rFonts w:cs="Arial"/>
          <w:rtl/>
        </w:rPr>
        <w:t xml:space="preserve"> </w:t>
      </w:r>
      <w:r w:rsidRPr="00295841">
        <w:rPr>
          <w:rFonts w:cs="Arial" w:hint="cs"/>
          <w:rtl/>
        </w:rPr>
        <w:t>ביתו</w:t>
      </w:r>
      <w:r w:rsidRPr="00295841">
        <w:rPr>
          <w:rFonts w:cs="Arial"/>
          <w:rtl/>
        </w:rPr>
        <w:t xml:space="preserve">, </w:t>
      </w:r>
      <w:r w:rsidRPr="00295841">
        <w:rPr>
          <w:rFonts w:cs="Arial" w:hint="cs"/>
          <w:rtl/>
        </w:rPr>
        <w:t>ולא</w:t>
      </w:r>
      <w:r w:rsidRPr="00295841">
        <w:rPr>
          <w:rFonts w:cs="Arial"/>
          <w:rtl/>
        </w:rPr>
        <w:t xml:space="preserve"> </w:t>
      </w:r>
      <w:r w:rsidRPr="00295841">
        <w:rPr>
          <w:rFonts w:cs="Arial" w:hint="cs"/>
          <w:rtl/>
        </w:rPr>
        <w:t>היה</w:t>
      </w:r>
      <w:r w:rsidRPr="00295841">
        <w:rPr>
          <w:rFonts w:cs="Arial"/>
          <w:rtl/>
        </w:rPr>
        <w:t xml:space="preserve"> </w:t>
      </w:r>
      <w:r w:rsidRPr="00295841">
        <w:rPr>
          <w:rFonts w:cs="Arial" w:hint="cs"/>
          <w:rtl/>
        </w:rPr>
        <w:t>נכנס</w:t>
      </w:r>
      <w:r w:rsidRPr="00295841">
        <w:rPr>
          <w:rFonts w:cs="Arial"/>
          <w:rtl/>
        </w:rPr>
        <w:t xml:space="preserve"> </w:t>
      </w:r>
      <w:r w:rsidRPr="00295841">
        <w:rPr>
          <w:rFonts w:cs="Arial" w:hint="cs"/>
          <w:rtl/>
        </w:rPr>
        <w:t>אלא</w:t>
      </w:r>
      <w:r w:rsidRPr="00295841">
        <w:rPr>
          <w:rFonts w:cs="Arial"/>
          <w:rtl/>
        </w:rPr>
        <w:t xml:space="preserve"> </w:t>
      </w:r>
      <w:r w:rsidRPr="00295841">
        <w:rPr>
          <w:rFonts w:cs="Arial" w:hint="cs"/>
          <w:rtl/>
        </w:rPr>
        <w:t>ממהר</w:t>
      </w:r>
      <w:r w:rsidRPr="00295841">
        <w:rPr>
          <w:rFonts w:cs="Arial"/>
          <w:rtl/>
        </w:rPr>
        <w:t xml:space="preserve"> </w:t>
      </w:r>
      <w:r w:rsidRPr="00295841">
        <w:rPr>
          <w:rFonts w:cs="Arial" w:hint="cs"/>
          <w:rtl/>
        </w:rPr>
        <w:t>לחזור</w:t>
      </w:r>
      <w:r w:rsidRPr="00295841">
        <w:rPr>
          <w:rFonts w:cs="Arial"/>
          <w:rtl/>
        </w:rPr>
        <w:t xml:space="preserve"> </w:t>
      </w:r>
      <w:r w:rsidRPr="00295841">
        <w:rPr>
          <w:rFonts w:cs="Arial" w:hint="cs"/>
          <w:rtl/>
        </w:rPr>
        <w:t>ולהביא</w:t>
      </w:r>
      <w:r w:rsidRPr="00295841">
        <w:rPr>
          <w:rFonts w:cs="Arial"/>
          <w:rtl/>
        </w:rPr>
        <w:t xml:space="preserve"> </w:t>
      </w:r>
      <w:r w:rsidRPr="00295841">
        <w:rPr>
          <w:rFonts w:cs="Arial" w:hint="cs"/>
          <w:rtl/>
        </w:rPr>
        <w:t>אחרת</w:t>
      </w:r>
      <w:r w:rsidRPr="00295841">
        <w:rPr>
          <w:rFonts w:cs="Arial"/>
          <w:rtl/>
        </w:rPr>
        <w:t xml:space="preserve">, </w:t>
      </w:r>
      <w:r w:rsidRPr="00295841">
        <w:rPr>
          <w:rFonts w:cs="Arial" w:hint="cs"/>
          <w:rtl/>
        </w:rPr>
        <w:t>ואמר</w:t>
      </w:r>
      <w:r w:rsidRPr="00295841">
        <w:rPr>
          <w:rFonts w:cs="Arial"/>
          <w:rtl/>
        </w:rPr>
        <w:t xml:space="preserve"> </w:t>
      </w:r>
      <w:r w:rsidRPr="00295841">
        <w:rPr>
          <w:rFonts w:cs="Arial" w:hint="cs"/>
          <w:rtl/>
        </w:rPr>
        <w:t>להן</w:t>
      </w:r>
      <w:r w:rsidRPr="00295841">
        <w:rPr>
          <w:rFonts w:cs="Arial"/>
          <w:rtl/>
        </w:rPr>
        <w:t xml:space="preserve"> </w:t>
      </w:r>
      <w:r w:rsidRPr="00295841">
        <w:rPr>
          <w:rFonts w:cs="Arial" w:hint="cs"/>
          <w:rtl/>
        </w:rPr>
        <w:t>לשמשין</w:t>
      </w:r>
      <w:r w:rsidRPr="00295841">
        <w:rPr>
          <w:rFonts w:cs="Arial"/>
          <w:rtl/>
        </w:rPr>
        <w:t xml:space="preserve">: </w:t>
      </w:r>
      <w:r w:rsidRPr="00295841">
        <w:rPr>
          <w:rFonts w:cs="Arial" w:hint="cs"/>
          <w:rtl/>
        </w:rPr>
        <w:t>אשור</w:t>
      </w:r>
      <w:r w:rsidRPr="00295841">
        <w:rPr>
          <w:rFonts w:cs="Arial"/>
          <w:rtl/>
        </w:rPr>
        <w:t xml:space="preserve"> </w:t>
      </w:r>
      <w:r w:rsidRPr="00295841">
        <w:rPr>
          <w:rFonts w:cs="Arial" w:hint="cs"/>
          <w:rtl/>
        </w:rPr>
        <w:t>הייא</w:t>
      </w:r>
      <w:r w:rsidRPr="00295841">
        <w:rPr>
          <w:rFonts w:cs="Arial"/>
          <w:rtl/>
        </w:rPr>
        <w:t xml:space="preserve"> - </w:t>
      </w:r>
      <w:r w:rsidRPr="00295841">
        <w:rPr>
          <w:rFonts w:cs="Arial" w:hint="cs"/>
          <w:rtl/>
        </w:rPr>
        <w:t>התאשרו</w:t>
      </w:r>
      <w:r w:rsidRPr="00295841">
        <w:rPr>
          <w:rFonts w:cs="Arial"/>
          <w:rtl/>
        </w:rPr>
        <w:t xml:space="preserve"> </w:t>
      </w:r>
      <w:r w:rsidRPr="00295841">
        <w:rPr>
          <w:rFonts w:cs="Arial" w:hint="cs"/>
          <w:rtl/>
        </w:rPr>
        <w:t>מהר</w:t>
      </w:r>
      <w:r w:rsidRPr="00295841">
        <w:rPr>
          <w:rFonts w:cs="Arial"/>
          <w:rtl/>
        </w:rPr>
        <w:t xml:space="preserve"> </w:t>
      </w:r>
      <w:r w:rsidRPr="00295841">
        <w:rPr>
          <w:rFonts w:cs="Arial" w:hint="cs"/>
          <w:rtl/>
        </w:rPr>
        <w:t>להכין</w:t>
      </w:r>
      <w:r w:rsidRPr="00295841">
        <w:rPr>
          <w:rFonts w:cs="Arial"/>
          <w:rtl/>
        </w:rPr>
        <w:t xml:space="preserve"> </w:t>
      </w:r>
      <w:r w:rsidRPr="00295841">
        <w:rPr>
          <w:rFonts w:cs="Arial" w:hint="cs"/>
          <w:rtl/>
        </w:rPr>
        <w:t>את</w:t>
      </w:r>
      <w:r w:rsidRPr="00295841">
        <w:rPr>
          <w:rFonts w:cs="Arial"/>
          <w:rtl/>
        </w:rPr>
        <w:t xml:space="preserve"> </w:t>
      </w:r>
      <w:r w:rsidRPr="00295841">
        <w:rPr>
          <w:rFonts w:cs="Arial" w:hint="cs"/>
          <w:rtl/>
        </w:rPr>
        <w:t>זו</w:t>
      </w:r>
      <w:r w:rsidRPr="00295841">
        <w:rPr>
          <w:rFonts w:cs="Arial"/>
          <w:rtl/>
        </w:rPr>
        <w:t xml:space="preserve">, </w:t>
      </w:r>
      <w:r w:rsidRPr="00295841">
        <w:rPr>
          <w:rFonts w:cs="Arial" w:hint="cs"/>
          <w:rtl/>
        </w:rPr>
        <w:t>בעוד</w:t>
      </w:r>
      <w:r w:rsidRPr="00295841">
        <w:rPr>
          <w:rFonts w:cs="Arial"/>
          <w:rtl/>
        </w:rPr>
        <w:t xml:space="preserve"> </w:t>
      </w:r>
      <w:r w:rsidRPr="00295841">
        <w:rPr>
          <w:rFonts w:cs="Arial" w:hint="cs"/>
          <w:rtl/>
        </w:rPr>
        <w:t>שאלך</w:t>
      </w:r>
      <w:r w:rsidRPr="00295841">
        <w:rPr>
          <w:rFonts w:cs="Arial"/>
          <w:rtl/>
        </w:rPr>
        <w:t xml:space="preserve"> </w:t>
      </w:r>
      <w:r w:rsidRPr="00295841">
        <w:rPr>
          <w:rFonts w:cs="Arial" w:hint="cs"/>
          <w:rtl/>
        </w:rPr>
        <w:t>להביא</w:t>
      </w:r>
      <w:r w:rsidRPr="00295841">
        <w:rPr>
          <w:rFonts w:cs="Arial"/>
          <w:rtl/>
        </w:rPr>
        <w:t xml:space="preserve"> </w:t>
      </w:r>
      <w:r w:rsidRPr="00295841">
        <w:rPr>
          <w:rFonts w:cs="Arial" w:hint="cs"/>
          <w:rtl/>
        </w:rPr>
        <w:t>את</w:t>
      </w:r>
      <w:r w:rsidRPr="00295841">
        <w:rPr>
          <w:rFonts w:cs="Arial"/>
          <w:rtl/>
        </w:rPr>
        <w:t xml:space="preserve"> </w:t>
      </w:r>
      <w:r w:rsidRPr="00295841">
        <w:rPr>
          <w:rFonts w:cs="Arial" w:hint="cs"/>
          <w:rtl/>
        </w:rPr>
        <w:t>זו</w:t>
      </w:r>
      <w:r>
        <w:rPr>
          <w:rFonts w:cs="Arial" w:hint="cs"/>
          <w:rtl/>
        </w:rPr>
        <w:t>, רש"י.</w:t>
      </w:r>
    </w:p>
  </w:footnote>
  <w:footnote w:id="621">
    <w:p w14:paraId="6951986D" w14:textId="77777777" w:rsidR="004B2E7C" w:rsidRDefault="004B2E7C" w:rsidP="00285819">
      <w:pPr>
        <w:pStyle w:val="a7"/>
      </w:pPr>
      <w:r>
        <w:rPr>
          <w:rStyle w:val="a9"/>
        </w:rPr>
        <w:footnoteRef/>
      </w:r>
      <w:r>
        <w:rPr>
          <w:rtl/>
        </w:rPr>
        <w:t xml:space="preserve"> </w:t>
      </w:r>
      <w:r w:rsidRPr="00295841">
        <w:rPr>
          <w:rFonts w:cs="Arial" w:hint="cs"/>
          <w:rtl/>
        </w:rPr>
        <w:t>וכל</w:t>
      </w:r>
      <w:r w:rsidRPr="00295841">
        <w:rPr>
          <w:rFonts w:cs="Arial"/>
          <w:rtl/>
        </w:rPr>
        <w:t xml:space="preserve"> </w:t>
      </w:r>
      <w:r w:rsidRPr="00295841">
        <w:rPr>
          <w:rFonts w:cs="Arial" w:hint="cs"/>
          <w:rtl/>
        </w:rPr>
        <w:t>המרבה</w:t>
      </w:r>
      <w:r w:rsidRPr="00295841">
        <w:rPr>
          <w:rFonts w:cs="Arial"/>
          <w:rtl/>
        </w:rPr>
        <w:t xml:space="preserve"> </w:t>
      </w:r>
      <w:r w:rsidRPr="00295841">
        <w:rPr>
          <w:rFonts w:cs="Arial" w:hint="cs"/>
          <w:rtl/>
        </w:rPr>
        <w:t>לכבדו</w:t>
      </w:r>
      <w:r w:rsidRPr="00295841">
        <w:rPr>
          <w:rFonts w:cs="Arial"/>
          <w:rtl/>
        </w:rPr>
        <w:t xml:space="preserve"> </w:t>
      </w:r>
      <w:r w:rsidRPr="00295841">
        <w:rPr>
          <w:rFonts w:cs="Arial" w:hint="cs"/>
          <w:rtl/>
        </w:rPr>
        <w:t>הן</w:t>
      </w:r>
      <w:r w:rsidRPr="00295841">
        <w:rPr>
          <w:rFonts w:cs="Arial"/>
          <w:rtl/>
        </w:rPr>
        <w:t xml:space="preserve"> </w:t>
      </w:r>
      <w:r w:rsidRPr="00295841">
        <w:rPr>
          <w:rFonts w:cs="Arial" w:hint="cs"/>
          <w:rtl/>
        </w:rPr>
        <w:t>בגופו</w:t>
      </w:r>
      <w:r w:rsidRPr="00295841">
        <w:rPr>
          <w:rFonts w:cs="Arial"/>
          <w:rtl/>
        </w:rPr>
        <w:t xml:space="preserve"> </w:t>
      </w:r>
      <w:r w:rsidRPr="00295841">
        <w:rPr>
          <w:rFonts w:cs="Arial" w:hint="cs"/>
          <w:rtl/>
        </w:rPr>
        <w:t>הן</w:t>
      </w:r>
      <w:r w:rsidRPr="00295841">
        <w:rPr>
          <w:rFonts w:cs="Arial"/>
          <w:rtl/>
        </w:rPr>
        <w:t xml:space="preserve"> </w:t>
      </w:r>
      <w:r w:rsidRPr="00295841">
        <w:rPr>
          <w:rFonts w:cs="Arial" w:hint="cs"/>
          <w:rtl/>
        </w:rPr>
        <w:t>בבגדיו</w:t>
      </w:r>
      <w:r w:rsidRPr="00295841">
        <w:rPr>
          <w:rFonts w:cs="Arial"/>
          <w:rtl/>
        </w:rPr>
        <w:t xml:space="preserve"> </w:t>
      </w:r>
      <w:r w:rsidRPr="00295841">
        <w:rPr>
          <w:rFonts w:cs="Arial" w:hint="cs"/>
          <w:rtl/>
        </w:rPr>
        <w:t>הן</w:t>
      </w:r>
      <w:r w:rsidRPr="00295841">
        <w:rPr>
          <w:rFonts w:cs="Arial"/>
          <w:rtl/>
        </w:rPr>
        <w:t xml:space="preserve"> </w:t>
      </w:r>
      <w:r w:rsidRPr="00295841">
        <w:rPr>
          <w:rFonts w:cs="Arial" w:hint="cs"/>
          <w:rtl/>
        </w:rPr>
        <w:t>באכילה</w:t>
      </w:r>
      <w:r w:rsidRPr="00295841">
        <w:rPr>
          <w:rFonts w:cs="Arial"/>
          <w:rtl/>
        </w:rPr>
        <w:t xml:space="preserve"> </w:t>
      </w:r>
      <w:r w:rsidRPr="00295841">
        <w:rPr>
          <w:rFonts w:cs="Arial" w:hint="cs"/>
          <w:rtl/>
        </w:rPr>
        <w:t>ושתיה</w:t>
      </w:r>
      <w:r w:rsidRPr="00295841">
        <w:rPr>
          <w:rFonts w:cs="Arial"/>
          <w:rtl/>
        </w:rPr>
        <w:t xml:space="preserve"> </w:t>
      </w:r>
      <w:r w:rsidRPr="00295841">
        <w:rPr>
          <w:rFonts w:cs="Arial" w:hint="cs"/>
          <w:rtl/>
        </w:rPr>
        <w:t>הרי</w:t>
      </w:r>
      <w:r w:rsidRPr="00295841">
        <w:rPr>
          <w:rFonts w:cs="Arial"/>
          <w:rtl/>
        </w:rPr>
        <w:t xml:space="preserve"> </w:t>
      </w:r>
      <w:r w:rsidRPr="00295841">
        <w:rPr>
          <w:rFonts w:cs="Arial" w:hint="cs"/>
          <w:rtl/>
        </w:rPr>
        <w:t>זה</w:t>
      </w:r>
      <w:r w:rsidRPr="00295841">
        <w:rPr>
          <w:rFonts w:cs="Arial"/>
          <w:rtl/>
        </w:rPr>
        <w:t xml:space="preserve"> </w:t>
      </w:r>
      <w:r w:rsidRPr="00295841">
        <w:rPr>
          <w:rFonts w:cs="Arial" w:hint="cs"/>
          <w:rtl/>
        </w:rPr>
        <w:t>משובח</w:t>
      </w:r>
      <w:r w:rsidRPr="00295841">
        <w:rPr>
          <w:rFonts w:cs="Arial"/>
          <w:rtl/>
        </w:rPr>
        <w:t xml:space="preserve"> </w:t>
      </w:r>
      <w:r w:rsidRPr="00295841">
        <w:rPr>
          <w:rFonts w:cs="Arial" w:hint="cs"/>
          <w:rtl/>
        </w:rPr>
        <w:t>ועיין</w:t>
      </w:r>
      <w:r w:rsidRPr="00295841">
        <w:rPr>
          <w:rFonts w:cs="Arial"/>
          <w:rtl/>
        </w:rPr>
        <w:t xml:space="preserve"> </w:t>
      </w:r>
      <w:r w:rsidRPr="00295841">
        <w:rPr>
          <w:rFonts w:cs="Arial" w:hint="cs"/>
          <w:rtl/>
        </w:rPr>
        <w:t>בסימן</w:t>
      </w:r>
      <w:r w:rsidRPr="00295841">
        <w:rPr>
          <w:rFonts w:cs="Arial"/>
          <w:rtl/>
        </w:rPr>
        <w:t xml:space="preserve"> </w:t>
      </w:r>
      <w:r w:rsidRPr="00295841">
        <w:rPr>
          <w:rFonts w:cs="Arial" w:hint="cs"/>
          <w:rtl/>
        </w:rPr>
        <w:t>רמ</w:t>
      </w:r>
      <w:r w:rsidRPr="00295841">
        <w:rPr>
          <w:rFonts w:cs="Arial"/>
          <w:rtl/>
        </w:rPr>
        <w:t>"</w:t>
      </w:r>
      <w:r w:rsidRPr="00295841">
        <w:rPr>
          <w:rFonts w:cs="Arial" w:hint="cs"/>
          <w:rtl/>
        </w:rPr>
        <w:t>ב</w:t>
      </w:r>
      <w:r w:rsidRPr="00295841">
        <w:rPr>
          <w:rFonts w:cs="Arial"/>
          <w:rtl/>
        </w:rPr>
        <w:t xml:space="preserve">. </w:t>
      </w:r>
      <w:r w:rsidRPr="00295841">
        <w:rPr>
          <w:rFonts w:cs="Arial" w:hint="cs"/>
          <w:rtl/>
        </w:rPr>
        <w:t>בזהר</w:t>
      </w:r>
      <w:r w:rsidRPr="00295841">
        <w:rPr>
          <w:rFonts w:cs="Arial"/>
          <w:rtl/>
        </w:rPr>
        <w:t xml:space="preserve"> </w:t>
      </w:r>
      <w:r w:rsidRPr="00295841">
        <w:rPr>
          <w:rFonts w:cs="Arial" w:hint="cs"/>
          <w:rtl/>
        </w:rPr>
        <w:t>ומקובלים</w:t>
      </w:r>
      <w:r w:rsidRPr="00295841">
        <w:rPr>
          <w:rFonts w:cs="Arial"/>
          <w:rtl/>
        </w:rPr>
        <w:t xml:space="preserve"> </w:t>
      </w:r>
      <w:r w:rsidRPr="00295841">
        <w:rPr>
          <w:rFonts w:cs="Arial" w:hint="cs"/>
          <w:rtl/>
        </w:rPr>
        <w:t>הזהירו</w:t>
      </w:r>
      <w:r w:rsidRPr="00295841">
        <w:rPr>
          <w:rFonts w:cs="Arial"/>
          <w:rtl/>
        </w:rPr>
        <w:t xml:space="preserve"> </w:t>
      </w:r>
      <w:r w:rsidRPr="00295841">
        <w:rPr>
          <w:rFonts w:cs="Arial" w:hint="cs"/>
          <w:rtl/>
        </w:rPr>
        <w:t>מאד</w:t>
      </w:r>
      <w:r w:rsidRPr="00295841">
        <w:rPr>
          <w:rFonts w:cs="Arial"/>
          <w:rtl/>
        </w:rPr>
        <w:t xml:space="preserve"> </w:t>
      </w:r>
      <w:r w:rsidRPr="00295841">
        <w:rPr>
          <w:rFonts w:cs="Arial" w:hint="cs"/>
          <w:rtl/>
        </w:rPr>
        <w:t>שלא</w:t>
      </w:r>
      <w:r w:rsidRPr="00295841">
        <w:rPr>
          <w:rFonts w:cs="Arial"/>
          <w:rtl/>
        </w:rPr>
        <w:t xml:space="preserve"> </w:t>
      </w:r>
      <w:r w:rsidRPr="00295841">
        <w:rPr>
          <w:rFonts w:cs="Arial" w:hint="cs"/>
          <w:rtl/>
        </w:rPr>
        <w:t>יהיה</w:t>
      </w:r>
      <w:r w:rsidRPr="00295841">
        <w:rPr>
          <w:rFonts w:cs="Arial"/>
          <w:rtl/>
        </w:rPr>
        <w:t xml:space="preserve"> </w:t>
      </w:r>
      <w:r w:rsidRPr="00295841">
        <w:rPr>
          <w:rFonts w:cs="Arial" w:hint="cs"/>
          <w:rtl/>
        </w:rPr>
        <w:t>שום</w:t>
      </w:r>
      <w:r w:rsidRPr="00295841">
        <w:rPr>
          <w:rFonts w:cs="Arial"/>
          <w:rtl/>
        </w:rPr>
        <w:t xml:space="preserve"> </w:t>
      </w:r>
      <w:r w:rsidRPr="00295841">
        <w:rPr>
          <w:rFonts w:cs="Arial" w:hint="cs"/>
          <w:rtl/>
        </w:rPr>
        <w:t>מחלוקת</w:t>
      </w:r>
      <w:r w:rsidRPr="00295841">
        <w:rPr>
          <w:rFonts w:cs="Arial"/>
          <w:rtl/>
        </w:rPr>
        <w:t xml:space="preserve"> </w:t>
      </w:r>
      <w:r w:rsidRPr="00295841">
        <w:rPr>
          <w:rFonts w:cs="Arial" w:hint="cs"/>
          <w:rtl/>
        </w:rPr>
        <w:t>בשבת</w:t>
      </w:r>
      <w:r w:rsidRPr="00295841">
        <w:rPr>
          <w:rFonts w:cs="Arial"/>
          <w:rtl/>
        </w:rPr>
        <w:t xml:space="preserve"> </w:t>
      </w:r>
      <w:r w:rsidRPr="00295841">
        <w:rPr>
          <w:rFonts w:cs="Arial" w:hint="cs"/>
          <w:rtl/>
        </w:rPr>
        <w:t>חו</w:t>
      </w:r>
      <w:r w:rsidRPr="00295841">
        <w:rPr>
          <w:rFonts w:cs="Arial"/>
          <w:rtl/>
        </w:rPr>
        <w:t>"</w:t>
      </w:r>
      <w:r w:rsidRPr="00295841">
        <w:rPr>
          <w:rFonts w:cs="Arial" w:hint="cs"/>
          <w:rtl/>
        </w:rPr>
        <w:t>ש</w:t>
      </w:r>
      <w:r w:rsidRPr="00295841">
        <w:rPr>
          <w:rFonts w:cs="Arial"/>
          <w:rtl/>
        </w:rPr>
        <w:t xml:space="preserve"> </w:t>
      </w:r>
      <w:r w:rsidRPr="00295841">
        <w:rPr>
          <w:rFonts w:cs="Arial" w:hint="cs"/>
          <w:rtl/>
        </w:rPr>
        <w:t>ובפרט</w:t>
      </w:r>
      <w:r w:rsidRPr="00295841">
        <w:rPr>
          <w:rFonts w:cs="Arial"/>
          <w:rtl/>
        </w:rPr>
        <w:t xml:space="preserve"> </w:t>
      </w:r>
      <w:r w:rsidRPr="00295841">
        <w:rPr>
          <w:rFonts w:cs="Arial" w:hint="cs"/>
          <w:rtl/>
        </w:rPr>
        <w:t>בין</w:t>
      </w:r>
      <w:r w:rsidRPr="00295841">
        <w:rPr>
          <w:rFonts w:cs="Arial"/>
          <w:rtl/>
        </w:rPr>
        <w:t xml:space="preserve"> </w:t>
      </w:r>
      <w:r w:rsidRPr="00295841">
        <w:rPr>
          <w:rFonts w:cs="Arial" w:hint="cs"/>
          <w:rtl/>
        </w:rPr>
        <w:t>איש</w:t>
      </w:r>
      <w:r w:rsidRPr="00295841">
        <w:rPr>
          <w:rFonts w:cs="Arial"/>
          <w:rtl/>
        </w:rPr>
        <w:t xml:space="preserve"> </w:t>
      </w:r>
      <w:r w:rsidRPr="00295841">
        <w:rPr>
          <w:rFonts w:cs="Arial" w:hint="cs"/>
          <w:rtl/>
        </w:rPr>
        <w:t>לאשתו</w:t>
      </w:r>
      <w:r w:rsidRPr="00295841">
        <w:rPr>
          <w:rFonts w:cs="Arial"/>
          <w:rtl/>
        </w:rPr>
        <w:t xml:space="preserve"> </w:t>
      </w:r>
      <w:r w:rsidRPr="00295841">
        <w:rPr>
          <w:rFonts w:cs="Arial" w:hint="cs"/>
          <w:rtl/>
        </w:rPr>
        <w:t>וכן</w:t>
      </w:r>
      <w:r w:rsidRPr="00295841">
        <w:rPr>
          <w:rFonts w:cs="Arial"/>
          <w:rtl/>
        </w:rPr>
        <w:t xml:space="preserve"> </w:t>
      </w:r>
      <w:r w:rsidRPr="00295841">
        <w:rPr>
          <w:rFonts w:cs="Arial" w:hint="cs"/>
          <w:rtl/>
        </w:rPr>
        <w:t>מוכח</w:t>
      </w:r>
      <w:r w:rsidRPr="00295841">
        <w:rPr>
          <w:rFonts w:cs="Arial"/>
          <w:rtl/>
        </w:rPr>
        <w:t xml:space="preserve"> </w:t>
      </w:r>
      <w:r w:rsidRPr="00295841">
        <w:rPr>
          <w:rFonts w:cs="Arial" w:hint="cs"/>
          <w:rtl/>
        </w:rPr>
        <w:t>בגיטין</w:t>
      </w:r>
      <w:r w:rsidRPr="00295841">
        <w:rPr>
          <w:rFonts w:cs="Arial"/>
          <w:rtl/>
        </w:rPr>
        <w:t xml:space="preserve"> [</w:t>
      </w:r>
      <w:r w:rsidRPr="00295841">
        <w:rPr>
          <w:rFonts w:cs="Arial" w:hint="cs"/>
          <w:rtl/>
        </w:rPr>
        <w:t>נב</w:t>
      </w:r>
      <w:r>
        <w:rPr>
          <w:rFonts w:cs="Arial" w:hint="cs"/>
          <w:rtl/>
        </w:rPr>
        <w:t>.</w:t>
      </w:r>
      <w:r w:rsidRPr="00295841">
        <w:rPr>
          <w:rFonts w:cs="Arial"/>
          <w:rtl/>
        </w:rPr>
        <w:t xml:space="preserve">] </w:t>
      </w:r>
      <w:r w:rsidRPr="00295841">
        <w:rPr>
          <w:rFonts w:cs="Arial" w:hint="cs"/>
          <w:rtl/>
        </w:rPr>
        <w:t>גבי</w:t>
      </w:r>
      <w:r w:rsidRPr="00295841">
        <w:rPr>
          <w:rFonts w:cs="Arial"/>
          <w:rtl/>
        </w:rPr>
        <w:t xml:space="preserve"> </w:t>
      </w:r>
      <w:r w:rsidRPr="00295841">
        <w:rPr>
          <w:rFonts w:cs="Arial" w:hint="cs"/>
          <w:rtl/>
        </w:rPr>
        <w:t>הנהו</w:t>
      </w:r>
      <w:r w:rsidRPr="00295841">
        <w:rPr>
          <w:rFonts w:cs="Arial"/>
          <w:rtl/>
        </w:rPr>
        <w:t xml:space="preserve"> </w:t>
      </w:r>
      <w:r w:rsidRPr="00295841">
        <w:rPr>
          <w:rFonts w:cs="Arial" w:hint="cs"/>
          <w:rtl/>
        </w:rPr>
        <w:t>בי</w:t>
      </w:r>
      <w:r w:rsidRPr="00295841">
        <w:rPr>
          <w:rFonts w:cs="Arial"/>
          <w:rtl/>
        </w:rPr>
        <w:t xml:space="preserve"> </w:t>
      </w:r>
      <w:r w:rsidRPr="00295841">
        <w:rPr>
          <w:rFonts w:cs="Arial" w:hint="cs"/>
          <w:rtl/>
        </w:rPr>
        <w:t>תרי</w:t>
      </w:r>
      <w:r w:rsidRPr="00295841">
        <w:rPr>
          <w:rFonts w:cs="Arial"/>
          <w:rtl/>
        </w:rPr>
        <w:t xml:space="preserve"> </w:t>
      </w:r>
      <w:r w:rsidRPr="00295841">
        <w:rPr>
          <w:rFonts w:cs="Arial" w:hint="cs"/>
          <w:rtl/>
        </w:rPr>
        <w:t>דהוו</w:t>
      </w:r>
      <w:r w:rsidRPr="00295841">
        <w:rPr>
          <w:rFonts w:cs="Arial"/>
          <w:rtl/>
        </w:rPr>
        <w:t xml:space="preserve"> </w:t>
      </w:r>
      <w:r w:rsidRPr="00295841">
        <w:rPr>
          <w:rFonts w:cs="Arial" w:hint="cs"/>
          <w:rtl/>
        </w:rPr>
        <w:t>מינצו</w:t>
      </w:r>
      <w:r w:rsidRPr="00295841">
        <w:rPr>
          <w:rFonts w:cs="Arial"/>
          <w:rtl/>
        </w:rPr>
        <w:t xml:space="preserve"> </w:t>
      </w:r>
      <w:r w:rsidRPr="00295841">
        <w:rPr>
          <w:rFonts w:cs="Arial" w:hint="cs"/>
          <w:rtl/>
        </w:rPr>
        <w:t>בהדי</w:t>
      </w:r>
      <w:r w:rsidRPr="00295841">
        <w:rPr>
          <w:rFonts w:cs="Arial"/>
          <w:rtl/>
        </w:rPr>
        <w:t xml:space="preserve"> </w:t>
      </w:r>
      <w:r w:rsidRPr="00295841">
        <w:rPr>
          <w:rFonts w:cs="Arial" w:hint="cs"/>
          <w:rtl/>
        </w:rPr>
        <w:t>הדדי</w:t>
      </w:r>
      <w:r w:rsidRPr="00295841">
        <w:rPr>
          <w:rFonts w:cs="Arial"/>
          <w:rtl/>
        </w:rPr>
        <w:t xml:space="preserve"> </w:t>
      </w:r>
      <w:r w:rsidRPr="00295841">
        <w:rPr>
          <w:rFonts w:cs="Arial" w:hint="cs"/>
          <w:rtl/>
        </w:rPr>
        <w:t>עי</w:t>
      </w:r>
      <w:r w:rsidRPr="00295841">
        <w:rPr>
          <w:rFonts w:cs="Arial"/>
          <w:rtl/>
        </w:rPr>
        <w:t>"</w:t>
      </w:r>
      <w:r w:rsidRPr="00295841">
        <w:rPr>
          <w:rFonts w:cs="Arial" w:hint="cs"/>
          <w:rtl/>
        </w:rPr>
        <w:t>ש</w:t>
      </w:r>
      <w:r w:rsidRPr="00295841">
        <w:rPr>
          <w:rFonts w:cs="Arial"/>
          <w:rtl/>
        </w:rPr>
        <w:t xml:space="preserve"> [</w:t>
      </w:r>
      <w:r w:rsidRPr="00295841">
        <w:rPr>
          <w:rFonts w:cs="Arial" w:hint="cs"/>
          <w:rtl/>
        </w:rPr>
        <w:t>תו</w:t>
      </w:r>
      <w:r w:rsidRPr="00295841">
        <w:rPr>
          <w:rFonts w:cs="Arial"/>
          <w:rtl/>
        </w:rPr>
        <w:t>"</w:t>
      </w:r>
      <w:r w:rsidRPr="00295841">
        <w:rPr>
          <w:rFonts w:cs="Arial" w:hint="cs"/>
          <w:rtl/>
        </w:rPr>
        <w:t>ש</w:t>
      </w:r>
      <w:r w:rsidRPr="00295841">
        <w:rPr>
          <w:rFonts w:cs="Arial"/>
          <w:rtl/>
        </w:rPr>
        <w:t>]</w:t>
      </w:r>
      <w:r>
        <w:rPr>
          <w:rFonts w:cs="Arial" w:hint="cs"/>
          <w:rtl/>
        </w:rPr>
        <w:t>, משנ"ב (סק"ט).</w:t>
      </w:r>
    </w:p>
  </w:footnote>
  <w:footnote w:id="622">
    <w:p w14:paraId="7A516A95" w14:textId="77777777" w:rsidR="004B2E7C" w:rsidRDefault="004B2E7C" w:rsidP="00285819">
      <w:pPr>
        <w:pStyle w:val="a7"/>
        <w:rPr>
          <w:rtl/>
        </w:rPr>
      </w:pPr>
      <w:r>
        <w:rPr>
          <w:rStyle w:val="a9"/>
        </w:rPr>
        <w:footnoteRef/>
      </w:r>
      <w:r>
        <w:rPr>
          <w:rtl/>
        </w:rPr>
        <w:t xml:space="preserve"> </w:t>
      </w:r>
      <w:r w:rsidRPr="006C3B9F">
        <w:rPr>
          <w:rFonts w:asciiTheme="minorBidi" w:hAnsiTheme="minorBidi" w:cs="Arial" w:hint="cs"/>
          <w:rtl/>
        </w:rPr>
        <w:t>וכל</w:t>
      </w:r>
      <w:r w:rsidRPr="006C3B9F">
        <w:rPr>
          <w:rFonts w:asciiTheme="minorBidi" w:hAnsiTheme="minorBidi" w:cs="Arial"/>
          <w:rtl/>
        </w:rPr>
        <w:t xml:space="preserve"> </w:t>
      </w:r>
      <w:r w:rsidRPr="006C3B9F">
        <w:rPr>
          <w:rFonts w:asciiTheme="minorBidi" w:hAnsiTheme="minorBidi" w:cs="Arial" w:hint="cs"/>
          <w:rtl/>
        </w:rPr>
        <w:t>זה</w:t>
      </w:r>
      <w:r w:rsidRPr="006C3B9F">
        <w:rPr>
          <w:rFonts w:asciiTheme="minorBidi" w:hAnsiTheme="minorBidi" w:cs="Arial"/>
          <w:rtl/>
        </w:rPr>
        <w:t xml:space="preserve"> </w:t>
      </w:r>
      <w:r w:rsidRPr="006C3B9F">
        <w:rPr>
          <w:rFonts w:asciiTheme="minorBidi" w:hAnsiTheme="minorBidi" w:cs="Arial" w:hint="cs"/>
          <w:rtl/>
        </w:rPr>
        <w:t>אינו</w:t>
      </w:r>
      <w:r w:rsidRPr="006C3B9F">
        <w:rPr>
          <w:rFonts w:asciiTheme="minorBidi" w:hAnsiTheme="minorBidi" w:cs="Arial"/>
          <w:rtl/>
        </w:rPr>
        <w:t xml:space="preserve"> </w:t>
      </w:r>
      <w:r w:rsidRPr="006C3B9F">
        <w:rPr>
          <w:rFonts w:asciiTheme="minorBidi" w:hAnsiTheme="minorBidi" w:cs="Arial" w:hint="cs"/>
          <w:rtl/>
        </w:rPr>
        <w:t>אלא</w:t>
      </w:r>
      <w:r w:rsidRPr="006C3B9F">
        <w:rPr>
          <w:rFonts w:asciiTheme="minorBidi" w:hAnsiTheme="minorBidi" w:cs="Arial"/>
          <w:rtl/>
        </w:rPr>
        <w:t xml:space="preserve"> </w:t>
      </w:r>
      <w:r w:rsidRPr="006C3B9F">
        <w:rPr>
          <w:rFonts w:asciiTheme="minorBidi" w:hAnsiTheme="minorBidi" w:cs="Arial" w:hint="cs"/>
          <w:rtl/>
        </w:rPr>
        <w:t>חומרות</w:t>
      </w:r>
      <w:r w:rsidRPr="006C3B9F">
        <w:rPr>
          <w:rFonts w:asciiTheme="minorBidi" w:hAnsiTheme="minorBidi" w:cs="Arial"/>
          <w:rtl/>
        </w:rPr>
        <w:t xml:space="preserve"> </w:t>
      </w:r>
      <w:r w:rsidRPr="006C3B9F">
        <w:rPr>
          <w:rFonts w:asciiTheme="minorBidi" w:hAnsiTheme="minorBidi" w:cs="Arial" w:hint="cs"/>
          <w:rtl/>
        </w:rPr>
        <w:t>רחוקות</w:t>
      </w:r>
      <w:r w:rsidRPr="006C3B9F">
        <w:rPr>
          <w:rFonts w:asciiTheme="minorBidi" w:hAnsiTheme="minorBidi" w:cs="Arial"/>
          <w:rtl/>
        </w:rPr>
        <w:t xml:space="preserve"> </w:t>
      </w:r>
      <w:r w:rsidRPr="006C3B9F">
        <w:rPr>
          <w:rFonts w:asciiTheme="minorBidi" w:hAnsiTheme="minorBidi" w:cs="Arial" w:hint="cs"/>
          <w:rtl/>
        </w:rPr>
        <w:t>ואדרבה</w:t>
      </w:r>
      <w:r w:rsidRPr="006C3B9F">
        <w:rPr>
          <w:rFonts w:asciiTheme="minorBidi" w:hAnsiTheme="minorBidi" w:cs="Arial"/>
          <w:rtl/>
        </w:rPr>
        <w:t xml:space="preserve"> </w:t>
      </w:r>
      <w:r w:rsidRPr="006C3B9F">
        <w:rPr>
          <w:rFonts w:asciiTheme="minorBidi" w:hAnsiTheme="minorBidi" w:cs="Arial" w:hint="cs"/>
          <w:rtl/>
        </w:rPr>
        <w:t>נראה</w:t>
      </w:r>
      <w:r w:rsidRPr="006C3B9F">
        <w:rPr>
          <w:rFonts w:asciiTheme="minorBidi" w:hAnsiTheme="minorBidi" w:cs="Arial"/>
          <w:rtl/>
        </w:rPr>
        <w:t xml:space="preserve"> </w:t>
      </w:r>
      <w:r w:rsidRPr="006C3B9F">
        <w:rPr>
          <w:rFonts w:asciiTheme="minorBidi" w:hAnsiTheme="minorBidi" w:cs="Arial" w:hint="cs"/>
          <w:rtl/>
        </w:rPr>
        <w:t>דכל</w:t>
      </w:r>
      <w:r w:rsidRPr="006C3B9F">
        <w:rPr>
          <w:rFonts w:asciiTheme="minorBidi" w:hAnsiTheme="minorBidi" w:cs="Arial"/>
          <w:rtl/>
        </w:rPr>
        <w:t xml:space="preserve"> </w:t>
      </w:r>
      <w:r w:rsidRPr="006C3B9F">
        <w:rPr>
          <w:rFonts w:asciiTheme="minorBidi" w:hAnsiTheme="minorBidi" w:cs="Arial" w:hint="cs"/>
          <w:rtl/>
        </w:rPr>
        <w:t>המוסיף</w:t>
      </w:r>
      <w:r w:rsidRPr="006C3B9F">
        <w:rPr>
          <w:rFonts w:asciiTheme="minorBidi" w:hAnsiTheme="minorBidi" w:cs="Arial"/>
          <w:rtl/>
        </w:rPr>
        <w:t xml:space="preserve"> </w:t>
      </w:r>
      <w:r w:rsidRPr="006C3B9F">
        <w:rPr>
          <w:rFonts w:asciiTheme="minorBidi" w:hAnsiTheme="minorBidi" w:cs="Arial" w:hint="cs"/>
          <w:rtl/>
        </w:rPr>
        <w:t>על</w:t>
      </w:r>
      <w:r w:rsidRPr="006C3B9F">
        <w:rPr>
          <w:rFonts w:asciiTheme="minorBidi" w:hAnsiTheme="minorBidi" w:cs="Arial"/>
          <w:rtl/>
        </w:rPr>
        <w:t xml:space="preserve"> </w:t>
      </w:r>
      <w:r w:rsidRPr="006C3B9F">
        <w:rPr>
          <w:rFonts w:asciiTheme="minorBidi" w:hAnsiTheme="minorBidi" w:cs="Arial" w:hint="cs"/>
          <w:rtl/>
        </w:rPr>
        <w:t>הנרות</w:t>
      </w:r>
      <w:r w:rsidRPr="006C3B9F">
        <w:rPr>
          <w:rFonts w:asciiTheme="minorBidi" w:hAnsiTheme="minorBidi" w:cs="Arial"/>
          <w:rtl/>
        </w:rPr>
        <w:t xml:space="preserve"> </w:t>
      </w:r>
      <w:r w:rsidRPr="006C3B9F">
        <w:rPr>
          <w:rFonts w:asciiTheme="minorBidi" w:hAnsiTheme="minorBidi" w:cs="Arial" w:hint="cs"/>
          <w:rtl/>
        </w:rPr>
        <w:t>גורע</w:t>
      </w:r>
      <w:r w:rsidRPr="006C3B9F">
        <w:rPr>
          <w:rFonts w:asciiTheme="minorBidi" w:hAnsiTheme="minorBidi" w:cs="Arial"/>
          <w:rtl/>
        </w:rPr>
        <w:t xml:space="preserve"> </w:t>
      </w:r>
      <w:r w:rsidRPr="006C3B9F">
        <w:rPr>
          <w:rFonts w:asciiTheme="minorBidi" w:hAnsiTheme="minorBidi" w:cs="Arial" w:hint="cs"/>
          <w:rtl/>
        </w:rPr>
        <w:t>ומפסיד</w:t>
      </w:r>
      <w:r w:rsidRPr="006C3B9F">
        <w:rPr>
          <w:rFonts w:asciiTheme="minorBidi" w:hAnsiTheme="minorBidi" w:cs="Arial"/>
          <w:rtl/>
        </w:rPr>
        <w:t xml:space="preserve"> </w:t>
      </w:r>
      <w:r w:rsidRPr="006C3B9F">
        <w:rPr>
          <w:rFonts w:asciiTheme="minorBidi" w:hAnsiTheme="minorBidi" w:cs="Arial" w:hint="cs"/>
          <w:rtl/>
        </w:rPr>
        <w:t>הכוונה</w:t>
      </w:r>
      <w:r w:rsidRPr="006C3B9F">
        <w:rPr>
          <w:rFonts w:asciiTheme="minorBidi" w:hAnsiTheme="minorBidi" w:cs="Arial"/>
          <w:rtl/>
        </w:rPr>
        <w:t xml:space="preserve"> </w:t>
      </w:r>
      <w:r w:rsidRPr="006C3B9F">
        <w:rPr>
          <w:rFonts w:asciiTheme="minorBidi" w:hAnsiTheme="minorBidi" w:cs="Arial" w:hint="cs"/>
          <w:rtl/>
        </w:rPr>
        <w:t>של</w:t>
      </w:r>
      <w:r w:rsidRPr="006C3B9F">
        <w:rPr>
          <w:rFonts w:asciiTheme="minorBidi" w:hAnsiTheme="minorBidi" w:cs="Arial"/>
          <w:rtl/>
        </w:rPr>
        <w:t xml:space="preserve"> </w:t>
      </w:r>
      <w:r w:rsidRPr="006C3B9F">
        <w:rPr>
          <w:rFonts w:asciiTheme="minorBidi" w:hAnsiTheme="minorBidi" w:cs="Arial" w:hint="cs"/>
          <w:rtl/>
        </w:rPr>
        <w:t>זכור</w:t>
      </w:r>
      <w:r w:rsidRPr="006C3B9F">
        <w:rPr>
          <w:rFonts w:asciiTheme="minorBidi" w:hAnsiTheme="minorBidi" w:cs="Arial"/>
          <w:rtl/>
        </w:rPr>
        <w:t xml:space="preserve"> </w:t>
      </w:r>
      <w:r w:rsidRPr="006C3B9F">
        <w:rPr>
          <w:rFonts w:asciiTheme="minorBidi" w:hAnsiTheme="minorBidi" w:cs="Arial" w:hint="cs"/>
          <w:rtl/>
        </w:rPr>
        <w:t>ושמור</w:t>
      </w:r>
      <w:r w:rsidRPr="006C3B9F">
        <w:rPr>
          <w:rFonts w:asciiTheme="minorBidi" w:hAnsiTheme="minorBidi" w:cs="Arial"/>
          <w:rtl/>
        </w:rPr>
        <w:t xml:space="preserve"> </w:t>
      </w:r>
      <w:r w:rsidRPr="006C3B9F">
        <w:rPr>
          <w:rFonts w:asciiTheme="minorBidi" w:hAnsiTheme="minorBidi" w:cs="Arial" w:hint="cs"/>
          <w:rtl/>
        </w:rPr>
        <w:t>אבל</w:t>
      </w:r>
      <w:r w:rsidRPr="006C3B9F">
        <w:rPr>
          <w:rFonts w:asciiTheme="minorBidi" w:hAnsiTheme="minorBidi" w:cs="Arial"/>
          <w:rtl/>
        </w:rPr>
        <w:t xml:space="preserve"> </w:t>
      </w:r>
      <w:r w:rsidRPr="006C3B9F">
        <w:rPr>
          <w:rFonts w:asciiTheme="minorBidi" w:hAnsiTheme="minorBidi" w:cs="Arial" w:hint="cs"/>
          <w:rtl/>
        </w:rPr>
        <w:t>הנשים</w:t>
      </w:r>
      <w:r w:rsidRPr="006C3B9F">
        <w:rPr>
          <w:rFonts w:asciiTheme="minorBidi" w:hAnsiTheme="minorBidi" w:cs="Arial"/>
          <w:rtl/>
        </w:rPr>
        <w:t xml:space="preserve"> </w:t>
      </w:r>
      <w:r w:rsidRPr="006C3B9F">
        <w:rPr>
          <w:rFonts w:asciiTheme="minorBidi" w:hAnsiTheme="minorBidi" w:cs="Arial" w:hint="cs"/>
          <w:rtl/>
        </w:rPr>
        <w:t>נוהגות</w:t>
      </w:r>
      <w:r w:rsidRPr="006C3B9F">
        <w:rPr>
          <w:rFonts w:asciiTheme="minorBidi" w:hAnsiTheme="minorBidi" w:cs="Arial"/>
          <w:rtl/>
        </w:rPr>
        <w:t xml:space="preserve"> </w:t>
      </w:r>
      <w:r w:rsidRPr="006C3B9F">
        <w:rPr>
          <w:rFonts w:asciiTheme="minorBidi" w:hAnsiTheme="minorBidi" w:cs="Arial" w:hint="cs"/>
          <w:rtl/>
        </w:rPr>
        <w:t>כדברי</w:t>
      </w:r>
      <w:r w:rsidRPr="006C3B9F">
        <w:rPr>
          <w:rFonts w:asciiTheme="minorBidi" w:hAnsiTheme="minorBidi" w:cs="Arial"/>
          <w:rtl/>
        </w:rPr>
        <w:t xml:space="preserve"> </w:t>
      </w:r>
      <w:r w:rsidRPr="006C3B9F">
        <w:rPr>
          <w:rFonts w:asciiTheme="minorBidi" w:hAnsiTheme="minorBidi" w:cs="Arial" w:hint="cs"/>
          <w:rtl/>
        </w:rPr>
        <w:t>מהרי</w:t>
      </w:r>
      <w:r w:rsidRPr="006C3B9F">
        <w:rPr>
          <w:rFonts w:asciiTheme="minorBidi" w:hAnsiTheme="minorBidi" w:cs="Arial"/>
          <w:rtl/>
        </w:rPr>
        <w:t>"</w:t>
      </w:r>
      <w:r w:rsidRPr="006C3B9F">
        <w:rPr>
          <w:rFonts w:asciiTheme="minorBidi" w:hAnsiTheme="minorBidi" w:cs="Arial" w:hint="cs"/>
          <w:rtl/>
        </w:rPr>
        <w:t>ל</w:t>
      </w:r>
      <w:r w:rsidRPr="006C3B9F">
        <w:rPr>
          <w:rFonts w:asciiTheme="minorBidi" w:hAnsiTheme="minorBidi" w:cs="Arial"/>
          <w:rtl/>
        </w:rPr>
        <w:t xml:space="preserve"> </w:t>
      </w:r>
      <w:r w:rsidRPr="006C3B9F">
        <w:rPr>
          <w:rFonts w:asciiTheme="minorBidi" w:hAnsiTheme="minorBidi" w:cs="Arial" w:hint="cs"/>
          <w:rtl/>
        </w:rPr>
        <w:t>שכל</w:t>
      </w:r>
      <w:r w:rsidRPr="006C3B9F">
        <w:rPr>
          <w:rFonts w:asciiTheme="minorBidi" w:hAnsiTheme="minorBidi" w:cs="Arial"/>
          <w:rtl/>
        </w:rPr>
        <w:t xml:space="preserve"> </w:t>
      </w:r>
      <w:r w:rsidRPr="006C3B9F">
        <w:rPr>
          <w:rFonts w:asciiTheme="minorBidi" w:hAnsiTheme="minorBidi" w:cs="Arial" w:hint="cs"/>
          <w:rtl/>
        </w:rPr>
        <w:t>ששכחה</w:t>
      </w:r>
      <w:r w:rsidRPr="006C3B9F">
        <w:rPr>
          <w:rFonts w:asciiTheme="minorBidi" w:hAnsiTheme="minorBidi" w:cs="Arial"/>
          <w:rtl/>
        </w:rPr>
        <w:t xml:space="preserve"> </w:t>
      </w:r>
      <w:r w:rsidRPr="006C3B9F">
        <w:rPr>
          <w:rFonts w:asciiTheme="minorBidi" w:hAnsiTheme="minorBidi" w:cs="Arial" w:hint="cs"/>
          <w:rtl/>
        </w:rPr>
        <w:t>פעם</w:t>
      </w:r>
      <w:r w:rsidRPr="006C3B9F">
        <w:rPr>
          <w:rFonts w:asciiTheme="minorBidi" w:hAnsiTheme="minorBidi" w:cs="Arial"/>
          <w:rtl/>
        </w:rPr>
        <w:t xml:space="preserve"> </w:t>
      </w:r>
      <w:r w:rsidRPr="006C3B9F">
        <w:rPr>
          <w:rFonts w:asciiTheme="minorBidi" w:hAnsiTheme="minorBidi" w:cs="Arial" w:hint="cs"/>
          <w:rtl/>
        </w:rPr>
        <w:t>אחת</w:t>
      </w:r>
      <w:r w:rsidRPr="006C3B9F">
        <w:rPr>
          <w:rFonts w:asciiTheme="minorBidi" w:hAnsiTheme="minorBidi" w:cs="Arial"/>
          <w:rtl/>
        </w:rPr>
        <w:t xml:space="preserve"> </w:t>
      </w:r>
      <w:r w:rsidRPr="006C3B9F">
        <w:rPr>
          <w:rFonts w:asciiTheme="minorBidi" w:hAnsiTheme="minorBidi" w:cs="Arial" w:hint="cs"/>
          <w:rtl/>
        </w:rPr>
        <w:t>מדלקת</w:t>
      </w:r>
      <w:r w:rsidRPr="006C3B9F">
        <w:rPr>
          <w:rFonts w:asciiTheme="minorBidi" w:hAnsiTheme="minorBidi" w:cs="Arial"/>
          <w:rtl/>
        </w:rPr>
        <w:t xml:space="preserve"> </w:t>
      </w:r>
      <w:r w:rsidRPr="006C3B9F">
        <w:rPr>
          <w:rFonts w:asciiTheme="minorBidi" w:hAnsiTheme="minorBidi" w:cs="Arial" w:hint="cs"/>
          <w:rtl/>
        </w:rPr>
        <w:t>כל</w:t>
      </w:r>
      <w:r w:rsidRPr="006C3B9F">
        <w:rPr>
          <w:rFonts w:asciiTheme="minorBidi" w:hAnsiTheme="minorBidi" w:cs="Arial"/>
          <w:rtl/>
        </w:rPr>
        <w:t xml:space="preserve"> </w:t>
      </w:r>
      <w:r w:rsidRPr="006C3B9F">
        <w:rPr>
          <w:rFonts w:asciiTheme="minorBidi" w:hAnsiTheme="minorBidi" w:cs="Arial" w:hint="cs"/>
          <w:rtl/>
        </w:rPr>
        <w:t>ימיה</w:t>
      </w:r>
      <w:r w:rsidRPr="006C3B9F">
        <w:rPr>
          <w:rFonts w:asciiTheme="minorBidi" w:hAnsiTheme="minorBidi" w:cs="Arial"/>
          <w:rtl/>
        </w:rPr>
        <w:t xml:space="preserve"> </w:t>
      </w:r>
      <w:r w:rsidRPr="006C3B9F">
        <w:rPr>
          <w:rFonts w:asciiTheme="minorBidi" w:hAnsiTheme="minorBidi" w:cs="Arial" w:hint="cs"/>
          <w:rtl/>
        </w:rPr>
        <w:t>ג</w:t>
      </w:r>
      <w:r w:rsidRPr="006C3B9F">
        <w:rPr>
          <w:rFonts w:asciiTheme="minorBidi" w:hAnsiTheme="minorBidi" w:cs="Arial"/>
          <w:rtl/>
        </w:rPr>
        <w:t xml:space="preserve">' </w:t>
      </w:r>
      <w:r w:rsidRPr="006C3B9F">
        <w:rPr>
          <w:rFonts w:asciiTheme="minorBidi" w:hAnsiTheme="minorBidi" w:cs="Arial" w:hint="cs"/>
          <w:rtl/>
        </w:rPr>
        <w:t>נרות</w:t>
      </w:r>
      <w:r w:rsidRPr="006C3B9F">
        <w:rPr>
          <w:rFonts w:asciiTheme="minorBidi" w:hAnsiTheme="minorBidi" w:cs="Arial"/>
          <w:rtl/>
        </w:rPr>
        <w:t xml:space="preserve">. </w:t>
      </w:r>
      <w:r w:rsidRPr="006C3B9F">
        <w:rPr>
          <w:rFonts w:asciiTheme="minorBidi" w:hAnsiTheme="minorBidi" w:cs="Arial" w:hint="cs"/>
          <w:rtl/>
        </w:rPr>
        <w:t>ונראה</w:t>
      </w:r>
      <w:r w:rsidRPr="006C3B9F">
        <w:rPr>
          <w:rFonts w:asciiTheme="minorBidi" w:hAnsiTheme="minorBidi" w:cs="Arial"/>
          <w:rtl/>
        </w:rPr>
        <w:t xml:space="preserve"> </w:t>
      </w:r>
      <w:r w:rsidRPr="006C3B9F">
        <w:rPr>
          <w:rFonts w:asciiTheme="minorBidi" w:hAnsiTheme="minorBidi" w:cs="Arial" w:hint="cs"/>
          <w:rtl/>
        </w:rPr>
        <w:t>דסמכו</w:t>
      </w:r>
      <w:r w:rsidRPr="006C3B9F">
        <w:rPr>
          <w:rFonts w:asciiTheme="minorBidi" w:hAnsiTheme="minorBidi" w:cs="Arial"/>
          <w:rtl/>
        </w:rPr>
        <w:t xml:space="preserve"> </w:t>
      </w:r>
      <w:r w:rsidRPr="006C3B9F">
        <w:rPr>
          <w:rFonts w:asciiTheme="minorBidi" w:hAnsiTheme="minorBidi" w:cs="Arial" w:hint="cs"/>
          <w:rtl/>
        </w:rPr>
        <w:t>אדברי</w:t>
      </w:r>
      <w:r w:rsidRPr="006C3B9F">
        <w:rPr>
          <w:rFonts w:asciiTheme="minorBidi" w:hAnsiTheme="minorBidi" w:cs="Arial"/>
          <w:rtl/>
        </w:rPr>
        <w:t xml:space="preserve"> </w:t>
      </w:r>
      <w:r w:rsidRPr="006C3B9F">
        <w:rPr>
          <w:rFonts w:asciiTheme="minorBidi" w:hAnsiTheme="minorBidi" w:cs="Arial" w:hint="cs"/>
          <w:rtl/>
        </w:rPr>
        <w:t>מרדכי</w:t>
      </w:r>
      <w:r w:rsidRPr="006C3B9F">
        <w:rPr>
          <w:rFonts w:asciiTheme="minorBidi" w:hAnsiTheme="minorBidi" w:cs="Arial"/>
          <w:rtl/>
        </w:rPr>
        <w:t xml:space="preserve"> </w:t>
      </w:r>
      <w:r w:rsidRPr="006C3B9F">
        <w:rPr>
          <w:rFonts w:asciiTheme="minorBidi" w:hAnsiTheme="minorBidi" w:cs="Arial" w:hint="cs"/>
          <w:rtl/>
        </w:rPr>
        <w:t>דכתב</w:t>
      </w:r>
      <w:r w:rsidRPr="006C3B9F">
        <w:rPr>
          <w:rFonts w:asciiTheme="minorBidi" w:hAnsiTheme="minorBidi" w:cs="Arial"/>
          <w:rtl/>
        </w:rPr>
        <w:t xml:space="preserve"> </w:t>
      </w:r>
      <w:r w:rsidRPr="006C3B9F">
        <w:rPr>
          <w:rFonts w:asciiTheme="minorBidi" w:hAnsiTheme="minorBidi" w:cs="Arial" w:hint="cs"/>
          <w:rtl/>
        </w:rPr>
        <w:t>במסכת</w:t>
      </w:r>
      <w:r w:rsidRPr="006C3B9F">
        <w:rPr>
          <w:rFonts w:asciiTheme="minorBidi" w:hAnsiTheme="minorBidi" w:cs="Arial"/>
          <w:rtl/>
        </w:rPr>
        <w:t xml:space="preserve"> </w:t>
      </w:r>
      <w:r w:rsidRPr="006C3B9F">
        <w:rPr>
          <w:rFonts w:asciiTheme="minorBidi" w:hAnsiTheme="minorBidi" w:cs="Arial" w:hint="cs"/>
          <w:rtl/>
        </w:rPr>
        <w:t>ר</w:t>
      </w:r>
      <w:r w:rsidRPr="006C3B9F">
        <w:rPr>
          <w:rFonts w:asciiTheme="minorBidi" w:hAnsiTheme="minorBidi" w:cs="Arial"/>
          <w:rtl/>
        </w:rPr>
        <w:t>"</w:t>
      </w:r>
      <w:r w:rsidRPr="006C3B9F">
        <w:rPr>
          <w:rFonts w:asciiTheme="minorBidi" w:hAnsiTheme="minorBidi" w:cs="Arial" w:hint="cs"/>
          <w:rtl/>
        </w:rPr>
        <w:t>ה</w:t>
      </w:r>
      <w:r w:rsidRPr="006C3B9F">
        <w:rPr>
          <w:rFonts w:asciiTheme="minorBidi" w:hAnsiTheme="minorBidi" w:cs="Arial"/>
          <w:rtl/>
        </w:rPr>
        <w:t xml:space="preserve"> </w:t>
      </w:r>
      <w:r w:rsidRPr="006C3B9F">
        <w:rPr>
          <w:rFonts w:asciiTheme="minorBidi" w:hAnsiTheme="minorBidi" w:cs="Arial" w:hint="cs"/>
          <w:rtl/>
        </w:rPr>
        <w:t>ריש</w:t>
      </w:r>
      <w:r w:rsidRPr="006C3B9F">
        <w:rPr>
          <w:rFonts w:asciiTheme="minorBidi" w:hAnsiTheme="minorBidi" w:cs="Arial"/>
          <w:rtl/>
        </w:rPr>
        <w:t xml:space="preserve"> </w:t>
      </w:r>
      <w:r w:rsidRPr="006C3B9F">
        <w:rPr>
          <w:rFonts w:asciiTheme="minorBidi" w:hAnsiTheme="minorBidi" w:cs="Arial" w:hint="cs"/>
          <w:rtl/>
        </w:rPr>
        <w:t>פרק</w:t>
      </w:r>
      <w:r w:rsidRPr="006C3B9F">
        <w:rPr>
          <w:rFonts w:asciiTheme="minorBidi" w:hAnsiTheme="minorBidi" w:cs="Arial"/>
          <w:rtl/>
        </w:rPr>
        <w:t xml:space="preserve"> </w:t>
      </w:r>
      <w:r w:rsidRPr="006C3B9F">
        <w:rPr>
          <w:rFonts w:asciiTheme="minorBidi" w:hAnsiTheme="minorBidi" w:cs="Arial" w:hint="cs"/>
          <w:rtl/>
        </w:rPr>
        <w:t>י</w:t>
      </w:r>
      <w:r w:rsidRPr="006C3B9F">
        <w:rPr>
          <w:rFonts w:asciiTheme="minorBidi" w:hAnsiTheme="minorBidi" w:cs="Arial"/>
          <w:rtl/>
        </w:rPr>
        <w:t>"</w:t>
      </w:r>
      <w:r w:rsidRPr="006C3B9F">
        <w:rPr>
          <w:rFonts w:asciiTheme="minorBidi" w:hAnsiTheme="minorBidi" w:cs="Arial" w:hint="cs"/>
          <w:rtl/>
        </w:rPr>
        <w:t>ט</w:t>
      </w:r>
      <w:r w:rsidRPr="006C3B9F">
        <w:rPr>
          <w:rFonts w:asciiTheme="minorBidi" w:hAnsiTheme="minorBidi" w:cs="Arial"/>
          <w:rtl/>
        </w:rPr>
        <w:t xml:space="preserve"> (</w:t>
      </w:r>
      <w:r w:rsidRPr="006C3B9F">
        <w:rPr>
          <w:rFonts w:asciiTheme="minorBidi" w:hAnsiTheme="minorBidi" w:cs="Arial" w:hint="cs"/>
          <w:rtl/>
        </w:rPr>
        <w:t>סי</w:t>
      </w:r>
      <w:r w:rsidRPr="006C3B9F">
        <w:rPr>
          <w:rFonts w:asciiTheme="minorBidi" w:hAnsiTheme="minorBidi" w:cs="Arial"/>
          <w:rtl/>
        </w:rPr>
        <w:t xml:space="preserve">' </w:t>
      </w:r>
      <w:r w:rsidRPr="006C3B9F">
        <w:rPr>
          <w:rFonts w:asciiTheme="minorBidi" w:hAnsiTheme="minorBidi" w:cs="Arial" w:hint="cs"/>
          <w:rtl/>
        </w:rPr>
        <w:t>תשכ</w:t>
      </w:r>
      <w:r w:rsidRPr="006C3B9F">
        <w:rPr>
          <w:rFonts w:asciiTheme="minorBidi" w:hAnsiTheme="minorBidi" w:cs="Arial"/>
          <w:rtl/>
        </w:rPr>
        <w:t xml:space="preserve">) </w:t>
      </w:r>
      <w:r w:rsidRPr="006C3B9F">
        <w:rPr>
          <w:rFonts w:asciiTheme="minorBidi" w:hAnsiTheme="minorBidi" w:cs="Arial" w:hint="cs"/>
          <w:rtl/>
        </w:rPr>
        <w:t>דיכולין</w:t>
      </w:r>
      <w:r w:rsidRPr="006C3B9F">
        <w:rPr>
          <w:rFonts w:asciiTheme="minorBidi" w:hAnsiTheme="minorBidi" w:cs="Arial"/>
          <w:rtl/>
        </w:rPr>
        <w:t xml:space="preserve"> </w:t>
      </w:r>
      <w:r w:rsidRPr="006C3B9F">
        <w:rPr>
          <w:rFonts w:asciiTheme="minorBidi" w:hAnsiTheme="minorBidi" w:cs="Arial" w:hint="cs"/>
          <w:rtl/>
        </w:rPr>
        <w:t>להוסיף</w:t>
      </w:r>
      <w:r w:rsidRPr="006C3B9F">
        <w:rPr>
          <w:rFonts w:asciiTheme="minorBidi" w:hAnsiTheme="minorBidi" w:cs="Arial"/>
          <w:rtl/>
        </w:rPr>
        <w:t xml:space="preserve"> </w:t>
      </w:r>
      <w:r w:rsidRPr="006C3B9F">
        <w:rPr>
          <w:rFonts w:asciiTheme="minorBidi" w:hAnsiTheme="minorBidi" w:cs="Arial" w:hint="cs"/>
          <w:rtl/>
        </w:rPr>
        <w:t>על</w:t>
      </w:r>
      <w:r w:rsidRPr="006C3B9F">
        <w:rPr>
          <w:rFonts w:asciiTheme="minorBidi" w:hAnsiTheme="minorBidi" w:cs="Arial"/>
          <w:rtl/>
        </w:rPr>
        <w:t xml:space="preserve"> </w:t>
      </w:r>
      <w:r w:rsidRPr="006C3B9F">
        <w:rPr>
          <w:rFonts w:asciiTheme="minorBidi" w:hAnsiTheme="minorBidi" w:cs="Arial" w:hint="cs"/>
          <w:rtl/>
        </w:rPr>
        <w:t>דבר</w:t>
      </w:r>
      <w:r w:rsidRPr="006C3B9F">
        <w:rPr>
          <w:rFonts w:asciiTheme="minorBidi" w:hAnsiTheme="minorBidi" w:cs="Arial"/>
          <w:rtl/>
        </w:rPr>
        <w:t xml:space="preserve"> </w:t>
      </w:r>
      <w:r w:rsidRPr="006C3B9F">
        <w:rPr>
          <w:rFonts w:asciiTheme="minorBidi" w:hAnsiTheme="minorBidi" w:cs="Arial" w:hint="cs"/>
          <w:rtl/>
        </w:rPr>
        <w:t>המכוון</w:t>
      </w:r>
      <w:r w:rsidRPr="006C3B9F">
        <w:rPr>
          <w:rFonts w:asciiTheme="minorBidi" w:hAnsiTheme="minorBidi" w:cs="Arial"/>
          <w:rtl/>
        </w:rPr>
        <w:t xml:space="preserve"> </w:t>
      </w:r>
      <w:r w:rsidRPr="006C3B9F">
        <w:rPr>
          <w:rFonts w:asciiTheme="minorBidi" w:hAnsiTheme="minorBidi" w:cs="Arial" w:hint="cs"/>
          <w:rtl/>
        </w:rPr>
        <w:t>וכן</w:t>
      </w:r>
      <w:r w:rsidRPr="006C3B9F">
        <w:rPr>
          <w:rFonts w:asciiTheme="minorBidi" w:hAnsiTheme="minorBidi" w:cs="Arial"/>
          <w:rtl/>
        </w:rPr>
        <w:t xml:space="preserve"> </w:t>
      </w:r>
      <w:r w:rsidRPr="006C3B9F">
        <w:rPr>
          <w:rFonts w:asciiTheme="minorBidi" w:hAnsiTheme="minorBidi" w:cs="Arial" w:hint="cs"/>
          <w:rtl/>
        </w:rPr>
        <w:t>כתב</w:t>
      </w:r>
      <w:r w:rsidRPr="006C3B9F">
        <w:rPr>
          <w:rFonts w:asciiTheme="minorBidi" w:hAnsiTheme="minorBidi" w:cs="Arial"/>
          <w:rtl/>
        </w:rPr>
        <w:t xml:space="preserve"> </w:t>
      </w:r>
      <w:r w:rsidRPr="006C3B9F">
        <w:rPr>
          <w:rFonts w:asciiTheme="minorBidi" w:hAnsiTheme="minorBidi" w:cs="Arial" w:hint="cs"/>
          <w:rtl/>
        </w:rPr>
        <w:t>שם</w:t>
      </w:r>
      <w:r w:rsidRPr="006C3B9F">
        <w:rPr>
          <w:rFonts w:asciiTheme="minorBidi" w:hAnsiTheme="minorBidi" w:cs="Arial"/>
          <w:rtl/>
        </w:rPr>
        <w:t xml:space="preserve"> </w:t>
      </w:r>
      <w:r w:rsidRPr="006C3B9F">
        <w:rPr>
          <w:rFonts w:asciiTheme="minorBidi" w:hAnsiTheme="minorBidi" w:cs="Arial" w:hint="cs"/>
          <w:rtl/>
        </w:rPr>
        <w:t>האשיר</w:t>
      </w:r>
      <w:r w:rsidRPr="006C3B9F">
        <w:rPr>
          <w:rFonts w:asciiTheme="minorBidi" w:hAnsiTheme="minorBidi" w:cs="Arial"/>
          <w:rtl/>
        </w:rPr>
        <w:t>"</w:t>
      </w:r>
      <w:r w:rsidRPr="006C3B9F">
        <w:rPr>
          <w:rFonts w:asciiTheme="minorBidi" w:hAnsiTheme="minorBidi" w:cs="Arial" w:hint="cs"/>
          <w:rtl/>
        </w:rPr>
        <w:t>י</w:t>
      </w:r>
      <w:r w:rsidRPr="006C3B9F">
        <w:rPr>
          <w:rFonts w:asciiTheme="minorBidi" w:hAnsiTheme="minorBidi" w:cs="Arial"/>
          <w:rtl/>
        </w:rPr>
        <w:t xml:space="preserve"> (</w:t>
      </w:r>
      <w:r w:rsidRPr="006C3B9F">
        <w:rPr>
          <w:rFonts w:asciiTheme="minorBidi" w:hAnsiTheme="minorBidi" w:cs="Arial" w:hint="cs"/>
          <w:rtl/>
        </w:rPr>
        <w:t>פ</w:t>
      </w:r>
      <w:r w:rsidRPr="006C3B9F">
        <w:rPr>
          <w:rFonts w:asciiTheme="minorBidi" w:hAnsiTheme="minorBidi" w:cs="Arial"/>
          <w:rtl/>
        </w:rPr>
        <w:t>"</w:t>
      </w:r>
      <w:r w:rsidRPr="006C3B9F">
        <w:rPr>
          <w:rFonts w:asciiTheme="minorBidi" w:hAnsiTheme="minorBidi" w:cs="Arial" w:hint="cs"/>
          <w:rtl/>
        </w:rPr>
        <w:t>ד</w:t>
      </w:r>
      <w:r w:rsidRPr="006C3B9F">
        <w:rPr>
          <w:rFonts w:asciiTheme="minorBidi" w:hAnsiTheme="minorBidi" w:cs="Arial"/>
          <w:rtl/>
        </w:rPr>
        <w:t xml:space="preserve"> </w:t>
      </w:r>
      <w:r w:rsidRPr="006C3B9F">
        <w:rPr>
          <w:rFonts w:asciiTheme="minorBidi" w:hAnsiTheme="minorBidi" w:cs="Arial" w:hint="cs"/>
          <w:rtl/>
        </w:rPr>
        <w:t>סי</w:t>
      </w:r>
      <w:r w:rsidRPr="006C3B9F">
        <w:rPr>
          <w:rFonts w:asciiTheme="minorBidi" w:hAnsiTheme="minorBidi" w:cs="Arial"/>
          <w:rtl/>
        </w:rPr>
        <w:t xml:space="preserve">' </w:t>
      </w:r>
      <w:r w:rsidRPr="006C3B9F">
        <w:rPr>
          <w:rFonts w:asciiTheme="minorBidi" w:hAnsiTheme="minorBidi" w:cs="Arial" w:hint="cs"/>
          <w:rtl/>
        </w:rPr>
        <w:t>ג</w:t>
      </w:r>
      <w:r w:rsidRPr="006C3B9F">
        <w:rPr>
          <w:rFonts w:asciiTheme="minorBidi" w:hAnsiTheme="minorBidi" w:cs="Arial"/>
          <w:rtl/>
        </w:rPr>
        <w:t xml:space="preserve">) </w:t>
      </w:r>
      <w:r w:rsidRPr="006C3B9F">
        <w:rPr>
          <w:rFonts w:asciiTheme="minorBidi" w:hAnsiTheme="minorBidi" w:cs="Arial" w:hint="cs"/>
          <w:rtl/>
        </w:rPr>
        <w:t>ועיי</w:t>
      </w:r>
      <w:r w:rsidRPr="006C3B9F">
        <w:rPr>
          <w:rFonts w:asciiTheme="minorBidi" w:hAnsiTheme="minorBidi" w:cs="Arial"/>
          <w:rtl/>
        </w:rPr>
        <w:t>"</w:t>
      </w:r>
      <w:r w:rsidRPr="006C3B9F">
        <w:rPr>
          <w:rFonts w:asciiTheme="minorBidi" w:hAnsiTheme="minorBidi" w:cs="Arial" w:hint="cs"/>
          <w:rtl/>
        </w:rPr>
        <w:t>ש</w:t>
      </w:r>
      <w:r>
        <w:rPr>
          <w:rFonts w:hint="cs"/>
          <w:rtl/>
        </w:rPr>
        <w:t>, דרכ"מ (אות א).</w:t>
      </w:r>
    </w:p>
  </w:footnote>
  <w:footnote w:id="623">
    <w:p w14:paraId="2072BFEE" w14:textId="77777777" w:rsidR="004B2E7C" w:rsidRDefault="004B2E7C" w:rsidP="00285819">
      <w:pPr>
        <w:pStyle w:val="a7"/>
        <w:rPr>
          <w:rtl/>
        </w:rPr>
      </w:pPr>
      <w:r>
        <w:rPr>
          <w:rStyle w:val="a9"/>
        </w:rPr>
        <w:footnoteRef/>
      </w:r>
      <w:r>
        <w:rPr>
          <w:rtl/>
        </w:rPr>
        <w:t xml:space="preserve"> </w:t>
      </w:r>
      <w:r w:rsidRPr="00D853EF">
        <w:rPr>
          <w:rFonts w:cs="Arial" w:hint="cs"/>
          <w:rtl/>
        </w:rPr>
        <w:t>ויש</w:t>
      </w:r>
      <w:r w:rsidRPr="00D853EF">
        <w:rPr>
          <w:rFonts w:cs="Arial"/>
          <w:rtl/>
        </w:rPr>
        <w:t xml:space="preserve"> </w:t>
      </w:r>
      <w:r w:rsidRPr="00D853EF">
        <w:rPr>
          <w:rFonts w:cs="Arial" w:hint="cs"/>
          <w:rtl/>
        </w:rPr>
        <w:t>נוהגין</w:t>
      </w:r>
      <w:r w:rsidRPr="00D853EF">
        <w:rPr>
          <w:rFonts w:cs="Arial"/>
          <w:rtl/>
        </w:rPr>
        <w:t xml:space="preserve"> </w:t>
      </w:r>
      <w:r w:rsidRPr="00D853EF">
        <w:rPr>
          <w:rFonts w:cs="Arial" w:hint="cs"/>
          <w:rtl/>
        </w:rPr>
        <w:t>להדליק</w:t>
      </w:r>
      <w:r w:rsidRPr="00D853EF">
        <w:rPr>
          <w:rFonts w:cs="Arial"/>
          <w:rtl/>
        </w:rPr>
        <w:t xml:space="preserve"> </w:t>
      </w:r>
      <w:r w:rsidRPr="00D853EF">
        <w:rPr>
          <w:rFonts w:cs="Arial" w:hint="cs"/>
          <w:rtl/>
        </w:rPr>
        <w:t>ז</w:t>
      </w:r>
      <w:r w:rsidRPr="00D853EF">
        <w:rPr>
          <w:rFonts w:cs="Arial"/>
          <w:rtl/>
        </w:rPr>
        <w:t xml:space="preserve">' </w:t>
      </w:r>
      <w:r w:rsidRPr="00D853EF">
        <w:rPr>
          <w:rFonts w:cs="Arial" w:hint="cs"/>
          <w:rtl/>
        </w:rPr>
        <w:t>נרות</w:t>
      </w:r>
      <w:r w:rsidRPr="00D853EF">
        <w:rPr>
          <w:rFonts w:cs="Arial"/>
          <w:rtl/>
        </w:rPr>
        <w:t xml:space="preserve"> </w:t>
      </w:r>
      <w:r w:rsidRPr="00D853EF">
        <w:rPr>
          <w:rFonts w:cs="Arial" w:hint="cs"/>
          <w:rtl/>
        </w:rPr>
        <w:t>כנגד</w:t>
      </w:r>
      <w:r w:rsidRPr="00D853EF">
        <w:rPr>
          <w:rFonts w:cs="Arial"/>
          <w:rtl/>
        </w:rPr>
        <w:t xml:space="preserve"> </w:t>
      </w:r>
      <w:r w:rsidRPr="00D853EF">
        <w:rPr>
          <w:rFonts w:cs="Arial" w:hint="cs"/>
          <w:rtl/>
        </w:rPr>
        <w:t>ז</w:t>
      </w:r>
      <w:r w:rsidRPr="00D853EF">
        <w:rPr>
          <w:rFonts w:cs="Arial"/>
          <w:rtl/>
        </w:rPr>
        <w:t xml:space="preserve">' </w:t>
      </w:r>
      <w:r w:rsidRPr="00D853EF">
        <w:rPr>
          <w:rFonts w:cs="Arial" w:hint="cs"/>
          <w:rtl/>
        </w:rPr>
        <w:t>ימי</w:t>
      </w:r>
      <w:r w:rsidRPr="00D853EF">
        <w:rPr>
          <w:rFonts w:cs="Arial"/>
          <w:rtl/>
        </w:rPr>
        <w:t xml:space="preserve"> </w:t>
      </w:r>
      <w:r w:rsidRPr="00D853EF">
        <w:rPr>
          <w:rFonts w:cs="Arial" w:hint="cs"/>
          <w:rtl/>
        </w:rPr>
        <w:t>השבוע</w:t>
      </w:r>
      <w:r w:rsidRPr="00D853EF">
        <w:rPr>
          <w:rFonts w:cs="Arial"/>
          <w:rtl/>
        </w:rPr>
        <w:t xml:space="preserve"> </w:t>
      </w:r>
      <w:r w:rsidRPr="00D853EF">
        <w:rPr>
          <w:rFonts w:cs="Arial" w:hint="cs"/>
          <w:rtl/>
        </w:rPr>
        <w:t>ויש</w:t>
      </w:r>
      <w:r w:rsidRPr="00D853EF">
        <w:rPr>
          <w:rFonts w:cs="Arial"/>
          <w:rtl/>
        </w:rPr>
        <w:t xml:space="preserve"> </w:t>
      </w:r>
      <w:r w:rsidRPr="00D853EF">
        <w:rPr>
          <w:rFonts w:cs="Arial" w:hint="cs"/>
          <w:rtl/>
        </w:rPr>
        <w:t>עשרה</w:t>
      </w:r>
      <w:r w:rsidRPr="00D853EF">
        <w:rPr>
          <w:rFonts w:cs="Arial"/>
          <w:rtl/>
        </w:rPr>
        <w:t xml:space="preserve"> </w:t>
      </w:r>
      <w:r w:rsidRPr="00D853EF">
        <w:rPr>
          <w:rFonts w:cs="Arial" w:hint="cs"/>
          <w:rtl/>
        </w:rPr>
        <w:t>כנגד</w:t>
      </w:r>
      <w:r w:rsidRPr="00D853EF">
        <w:rPr>
          <w:rFonts w:cs="Arial"/>
          <w:rtl/>
        </w:rPr>
        <w:t xml:space="preserve"> </w:t>
      </w:r>
      <w:r w:rsidRPr="00D853EF">
        <w:rPr>
          <w:rFonts w:cs="Arial" w:hint="cs"/>
          <w:rtl/>
        </w:rPr>
        <w:t>עשרת</w:t>
      </w:r>
      <w:r w:rsidRPr="00D853EF">
        <w:rPr>
          <w:rFonts w:cs="Arial"/>
          <w:rtl/>
        </w:rPr>
        <w:t xml:space="preserve"> </w:t>
      </w:r>
      <w:r w:rsidRPr="00D853EF">
        <w:rPr>
          <w:rFonts w:cs="Arial" w:hint="cs"/>
          <w:rtl/>
        </w:rPr>
        <w:t>הדברות</w:t>
      </w:r>
      <w:r w:rsidRPr="00D853EF">
        <w:rPr>
          <w:rFonts w:cs="Arial"/>
          <w:rtl/>
        </w:rPr>
        <w:t xml:space="preserve"> </w:t>
      </w:r>
      <w:r w:rsidRPr="00D853EF">
        <w:rPr>
          <w:rFonts w:cs="Arial" w:hint="cs"/>
          <w:rtl/>
        </w:rPr>
        <w:t>ואין</w:t>
      </w:r>
      <w:r w:rsidRPr="00D853EF">
        <w:rPr>
          <w:rFonts w:cs="Arial"/>
          <w:rtl/>
        </w:rPr>
        <w:t xml:space="preserve"> </w:t>
      </w:r>
      <w:r w:rsidRPr="00D853EF">
        <w:rPr>
          <w:rFonts w:cs="Arial" w:hint="cs"/>
          <w:rtl/>
        </w:rPr>
        <w:t>צריכין</w:t>
      </w:r>
      <w:r w:rsidRPr="00D853EF">
        <w:rPr>
          <w:rFonts w:cs="Arial"/>
          <w:rtl/>
        </w:rPr>
        <w:t xml:space="preserve"> </w:t>
      </w:r>
      <w:r w:rsidRPr="00D853EF">
        <w:rPr>
          <w:rFonts w:cs="Arial" w:hint="cs"/>
          <w:rtl/>
        </w:rPr>
        <w:t>להיות</w:t>
      </w:r>
      <w:r w:rsidRPr="00D853EF">
        <w:rPr>
          <w:rFonts w:cs="Arial"/>
          <w:rtl/>
        </w:rPr>
        <w:t xml:space="preserve"> </w:t>
      </w:r>
      <w:r w:rsidRPr="00D853EF">
        <w:rPr>
          <w:rFonts w:cs="Arial" w:hint="cs"/>
          <w:rtl/>
        </w:rPr>
        <w:t>כולן</w:t>
      </w:r>
      <w:r w:rsidRPr="00D853EF">
        <w:rPr>
          <w:rFonts w:cs="Arial"/>
          <w:rtl/>
        </w:rPr>
        <w:t xml:space="preserve"> </w:t>
      </w:r>
      <w:r w:rsidRPr="00D853EF">
        <w:rPr>
          <w:rFonts w:cs="Arial" w:hint="cs"/>
          <w:rtl/>
        </w:rPr>
        <w:t>על</w:t>
      </w:r>
      <w:r w:rsidRPr="00D853EF">
        <w:rPr>
          <w:rFonts w:cs="Arial"/>
          <w:rtl/>
        </w:rPr>
        <w:t xml:space="preserve"> </w:t>
      </w:r>
      <w:r w:rsidRPr="00D853EF">
        <w:rPr>
          <w:rFonts w:cs="Arial" w:hint="cs"/>
          <w:rtl/>
        </w:rPr>
        <w:t>השלחן</w:t>
      </w:r>
      <w:r>
        <w:rPr>
          <w:rFonts w:cs="Arial" w:hint="cs"/>
          <w:rtl/>
        </w:rPr>
        <w:t xml:space="preserve"> [מג"א בשם השל"ה]</w:t>
      </w:r>
      <w:r>
        <w:rPr>
          <w:rFonts w:hint="cs"/>
          <w:rtl/>
        </w:rPr>
        <w:t>, משנ"ב (סק"ו).</w:t>
      </w:r>
    </w:p>
  </w:footnote>
  <w:footnote w:id="624">
    <w:p w14:paraId="6D39D337" w14:textId="77777777" w:rsidR="004B2E7C" w:rsidRDefault="004B2E7C" w:rsidP="00285819">
      <w:pPr>
        <w:pStyle w:val="a7"/>
        <w:rPr>
          <w:rtl/>
        </w:rPr>
      </w:pPr>
      <w:r>
        <w:rPr>
          <w:rStyle w:val="a9"/>
        </w:rPr>
        <w:footnoteRef/>
      </w:r>
      <w:r>
        <w:rPr>
          <w:rtl/>
        </w:rPr>
        <w:t xml:space="preserve"> </w:t>
      </w:r>
      <w:r w:rsidRPr="00D853EF">
        <w:rPr>
          <w:rFonts w:cs="Arial" w:hint="cs"/>
          <w:rtl/>
        </w:rPr>
        <w:t>אין</w:t>
      </w:r>
      <w:r w:rsidRPr="00D853EF">
        <w:rPr>
          <w:rFonts w:cs="Arial"/>
          <w:rtl/>
        </w:rPr>
        <w:t xml:space="preserve"> </w:t>
      </w:r>
      <w:r w:rsidRPr="00D853EF">
        <w:rPr>
          <w:rFonts w:cs="Arial" w:hint="cs"/>
          <w:rtl/>
        </w:rPr>
        <w:t>הכונה</w:t>
      </w:r>
      <w:r w:rsidRPr="00D853EF">
        <w:rPr>
          <w:rFonts w:cs="Arial"/>
          <w:rtl/>
        </w:rPr>
        <w:t xml:space="preserve"> </w:t>
      </w:r>
      <w:r w:rsidRPr="00D853EF">
        <w:rPr>
          <w:rFonts w:cs="Arial" w:hint="cs"/>
          <w:rtl/>
        </w:rPr>
        <w:t>דאין</w:t>
      </w:r>
      <w:r w:rsidRPr="00D853EF">
        <w:rPr>
          <w:rFonts w:cs="Arial"/>
          <w:rtl/>
        </w:rPr>
        <w:t xml:space="preserve"> </w:t>
      </w:r>
      <w:r w:rsidRPr="00D853EF">
        <w:rPr>
          <w:rFonts w:cs="Arial" w:hint="cs"/>
          <w:rtl/>
        </w:rPr>
        <w:t>לו</w:t>
      </w:r>
      <w:r w:rsidRPr="00D853EF">
        <w:rPr>
          <w:rFonts w:cs="Arial"/>
          <w:rtl/>
        </w:rPr>
        <w:t xml:space="preserve"> </w:t>
      </w:r>
      <w:r w:rsidRPr="00D853EF">
        <w:rPr>
          <w:rFonts w:cs="Arial" w:hint="cs"/>
          <w:rtl/>
        </w:rPr>
        <w:t>כלל</w:t>
      </w:r>
      <w:r w:rsidRPr="00D853EF">
        <w:rPr>
          <w:rFonts w:cs="Arial"/>
          <w:rtl/>
        </w:rPr>
        <w:t xml:space="preserve"> </w:t>
      </w:r>
      <w:r w:rsidRPr="00D853EF">
        <w:rPr>
          <w:rFonts w:cs="Arial" w:hint="cs"/>
          <w:rtl/>
        </w:rPr>
        <w:t>מה</w:t>
      </w:r>
      <w:r w:rsidRPr="00D853EF">
        <w:rPr>
          <w:rFonts w:cs="Arial"/>
          <w:rtl/>
        </w:rPr>
        <w:t xml:space="preserve"> </w:t>
      </w:r>
      <w:r w:rsidRPr="00D853EF">
        <w:rPr>
          <w:rFonts w:cs="Arial" w:hint="cs"/>
          <w:rtl/>
        </w:rPr>
        <w:t>יאכל</w:t>
      </w:r>
      <w:r w:rsidRPr="00D853EF">
        <w:rPr>
          <w:rFonts w:cs="Arial"/>
          <w:rtl/>
        </w:rPr>
        <w:t xml:space="preserve"> </w:t>
      </w:r>
      <w:r w:rsidRPr="00D853EF">
        <w:rPr>
          <w:rFonts w:cs="Arial" w:hint="cs"/>
          <w:rtl/>
        </w:rPr>
        <w:t>דבזה</w:t>
      </w:r>
      <w:r w:rsidRPr="00D853EF">
        <w:rPr>
          <w:rFonts w:cs="Arial"/>
          <w:rtl/>
        </w:rPr>
        <w:t xml:space="preserve"> </w:t>
      </w:r>
      <w:r w:rsidRPr="00D853EF">
        <w:rPr>
          <w:rFonts w:cs="Arial" w:hint="cs"/>
          <w:rtl/>
        </w:rPr>
        <w:t>מוטב</w:t>
      </w:r>
      <w:r w:rsidRPr="00D853EF">
        <w:rPr>
          <w:rFonts w:cs="Arial"/>
          <w:rtl/>
        </w:rPr>
        <w:t xml:space="preserve"> </w:t>
      </w:r>
      <w:r w:rsidRPr="00D853EF">
        <w:rPr>
          <w:rFonts w:cs="Arial" w:hint="cs"/>
          <w:rtl/>
        </w:rPr>
        <w:t>שיחזור</w:t>
      </w:r>
      <w:r w:rsidRPr="00D853EF">
        <w:rPr>
          <w:rFonts w:cs="Arial"/>
          <w:rtl/>
        </w:rPr>
        <w:t xml:space="preserve"> </w:t>
      </w:r>
      <w:r w:rsidRPr="00D853EF">
        <w:rPr>
          <w:rFonts w:cs="Arial" w:hint="cs"/>
          <w:rtl/>
        </w:rPr>
        <w:t>על</w:t>
      </w:r>
      <w:r w:rsidRPr="00D853EF">
        <w:rPr>
          <w:rFonts w:cs="Arial"/>
          <w:rtl/>
        </w:rPr>
        <w:t xml:space="preserve"> </w:t>
      </w:r>
      <w:r w:rsidRPr="00D853EF">
        <w:rPr>
          <w:rFonts w:cs="Arial" w:hint="cs"/>
          <w:rtl/>
        </w:rPr>
        <w:t>הפתחים</w:t>
      </w:r>
      <w:r w:rsidRPr="00D853EF">
        <w:rPr>
          <w:rFonts w:cs="Arial"/>
          <w:rtl/>
        </w:rPr>
        <w:t xml:space="preserve"> </w:t>
      </w:r>
      <w:r w:rsidRPr="00D853EF">
        <w:rPr>
          <w:rFonts w:cs="Arial" w:hint="cs"/>
          <w:rtl/>
        </w:rPr>
        <w:t>כדי</w:t>
      </w:r>
      <w:r w:rsidRPr="00D853EF">
        <w:rPr>
          <w:rFonts w:cs="Arial"/>
          <w:rtl/>
        </w:rPr>
        <w:t xml:space="preserve"> </w:t>
      </w:r>
      <w:r w:rsidRPr="00D853EF">
        <w:rPr>
          <w:rFonts w:cs="Arial" w:hint="cs"/>
          <w:rtl/>
        </w:rPr>
        <w:t>לקנות</w:t>
      </w:r>
      <w:r w:rsidRPr="00D853EF">
        <w:rPr>
          <w:rFonts w:cs="Arial"/>
          <w:rtl/>
        </w:rPr>
        <w:t xml:space="preserve"> </w:t>
      </w:r>
      <w:r w:rsidRPr="00D853EF">
        <w:rPr>
          <w:rFonts w:cs="Arial" w:hint="cs"/>
          <w:rtl/>
        </w:rPr>
        <w:t>לחם</w:t>
      </w:r>
      <w:r w:rsidRPr="00D853EF">
        <w:rPr>
          <w:rFonts w:cs="Arial"/>
          <w:rtl/>
        </w:rPr>
        <w:t xml:space="preserve"> </w:t>
      </w:r>
      <w:r w:rsidRPr="00D853EF">
        <w:rPr>
          <w:rFonts w:cs="Arial" w:hint="cs"/>
          <w:rtl/>
        </w:rPr>
        <w:t>לשבת</w:t>
      </w:r>
      <w:r w:rsidRPr="00D853EF">
        <w:rPr>
          <w:rFonts w:cs="Arial"/>
          <w:rtl/>
        </w:rPr>
        <w:t xml:space="preserve"> </w:t>
      </w:r>
      <w:r w:rsidRPr="00D853EF">
        <w:rPr>
          <w:rFonts w:cs="Arial" w:hint="cs"/>
          <w:rtl/>
        </w:rPr>
        <w:t>דיקיים</w:t>
      </w:r>
      <w:r w:rsidRPr="00D853EF">
        <w:rPr>
          <w:rFonts w:cs="Arial"/>
          <w:rtl/>
        </w:rPr>
        <w:t xml:space="preserve"> </w:t>
      </w:r>
      <w:r w:rsidRPr="00D853EF">
        <w:rPr>
          <w:rFonts w:cs="Arial" w:hint="cs"/>
          <w:rtl/>
        </w:rPr>
        <w:t>בזה</w:t>
      </w:r>
      <w:r w:rsidRPr="00D853EF">
        <w:rPr>
          <w:rFonts w:cs="Arial"/>
          <w:rtl/>
        </w:rPr>
        <w:t xml:space="preserve"> </w:t>
      </w:r>
      <w:r w:rsidRPr="00D853EF">
        <w:rPr>
          <w:rFonts w:cs="Arial" w:hint="cs"/>
          <w:rtl/>
        </w:rPr>
        <w:t>מצות</w:t>
      </w:r>
      <w:r w:rsidRPr="00D853EF">
        <w:rPr>
          <w:rFonts w:cs="Arial"/>
          <w:rtl/>
        </w:rPr>
        <w:t xml:space="preserve"> </w:t>
      </w:r>
      <w:r w:rsidRPr="00D853EF">
        <w:rPr>
          <w:rFonts w:cs="Arial" w:hint="cs"/>
          <w:rtl/>
        </w:rPr>
        <w:t>קידוש</w:t>
      </w:r>
      <w:r w:rsidRPr="00D853EF">
        <w:rPr>
          <w:rFonts w:cs="Arial"/>
          <w:rtl/>
        </w:rPr>
        <w:t xml:space="preserve"> </w:t>
      </w:r>
      <w:r w:rsidRPr="00D853EF">
        <w:rPr>
          <w:rFonts w:cs="Arial" w:hint="cs"/>
          <w:rtl/>
        </w:rPr>
        <w:t>וגם</w:t>
      </w:r>
      <w:r w:rsidRPr="00D853EF">
        <w:rPr>
          <w:rFonts w:cs="Arial"/>
          <w:rtl/>
        </w:rPr>
        <w:t xml:space="preserve"> </w:t>
      </w:r>
      <w:r w:rsidRPr="00D853EF">
        <w:rPr>
          <w:rFonts w:cs="Arial" w:hint="cs"/>
          <w:rtl/>
        </w:rPr>
        <w:t>עיקר</w:t>
      </w:r>
      <w:r w:rsidRPr="00D853EF">
        <w:rPr>
          <w:rFonts w:cs="Arial"/>
          <w:rtl/>
        </w:rPr>
        <w:t xml:space="preserve"> </w:t>
      </w:r>
      <w:r w:rsidRPr="00D853EF">
        <w:rPr>
          <w:rFonts w:cs="Arial" w:hint="cs"/>
          <w:rtl/>
        </w:rPr>
        <w:t>סעודת</w:t>
      </w:r>
      <w:r w:rsidRPr="00D853EF">
        <w:rPr>
          <w:rFonts w:cs="Arial"/>
          <w:rtl/>
        </w:rPr>
        <w:t xml:space="preserve"> </w:t>
      </w:r>
      <w:r w:rsidRPr="00D853EF">
        <w:rPr>
          <w:rFonts w:cs="Arial" w:hint="cs"/>
          <w:rtl/>
        </w:rPr>
        <w:t>שבת</w:t>
      </w:r>
      <w:r w:rsidRPr="00D853EF">
        <w:rPr>
          <w:rFonts w:cs="Arial"/>
          <w:rtl/>
        </w:rPr>
        <w:t xml:space="preserve"> </w:t>
      </w:r>
      <w:r w:rsidRPr="00D853EF">
        <w:rPr>
          <w:rFonts w:cs="Arial" w:hint="cs"/>
          <w:rtl/>
        </w:rPr>
        <w:t>אלא</w:t>
      </w:r>
      <w:r w:rsidRPr="00D853EF">
        <w:rPr>
          <w:rFonts w:cs="Arial"/>
          <w:rtl/>
        </w:rPr>
        <w:t xml:space="preserve"> </w:t>
      </w:r>
      <w:r w:rsidRPr="00D853EF">
        <w:rPr>
          <w:rFonts w:cs="Arial" w:hint="cs"/>
          <w:rtl/>
        </w:rPr>
        <w:t>הכונה</w:t>
      </w:r>
      <w:r w:rsidRPr="00D853EF">
        <w:rPr>
          <w:rFonts w:cs="Arial"/>
          <w:rtl/>
        </w:rPr>
        <w:t xml:space="preserve"> </w:t>
      </w:r>
      <w:r w:rsidRPr="00D853EF">
        <w:rPr>
          <w:rFonts w:cs="Arial" w:hint="cs"/>
          <w:rtl/>
        </w:rPr>
        <w:t>שאין</w:t>
      </w:r>
      <w:r w:rsidRPr="00D853EF">
        <w:rPr>
          <w:rFonts w:cs="Arial"/>
          <w:rtl/>
        </w:rPr>
        <w:t xml:space="preserve"> </w:t>
      </w:r>
      <w:r w:rsidRPr="00D853EF">
        <w:rPr>
          <w:rFonts w:cs="Arial" w:hint="cs"/>
          <w:rtl/>
        </w:rPr>
        <w:t>לו</w:t>
      </w:r>
      <w:r w:rsidRPr="00D853EF">
        <w:rPr>
          <w:rFonts w:cs="Arial"/>
          <w:rtl/>
        </w:rPr>
        <w:t xml:space="preserve"> </w:t>
      </w:r>
      <w:r w:rsidRPr="00D853EF">
        <w:rPr>
          <w:rFonts w:cs="Arial" w:hint="cs"/>
          <w:rtl/>
        </w:rPr>
        <w:t>לאכול</w:t>
      </w:r>
      <w:r w:rsidRPr="00D853EF">
        <w:rPr>
          <w:rFonts w:cs="Arial"/>
          <w:rtl/>
        </w:rPr>
        <w:t xml:space="preserve"> </w:t>
      </w:r>
      <w:r w:rsidRPr="00D853EF">
        <w:rPr>
          <w:rFonts w:cs="Arial" w:hint="cs"/>
          <w:rtl/>
        </w:rPr>
        <w:t>משל</w:t>
      </w:r>
      <w:r w:rsidRPr="00D853EF">
        <w:rPr>
          <w:rFonts w:cs="Arial"/>
          <w:rtl/>
        </w:rPr>
        <w:t xml:space="preserve"> </w:t>
      </w:r>
      <w:r w:rsidRPr="00D853EF">
        <w:rPr>
          <w:rFonts w:cs="Arial" w:hint="cs"/>
          <w:rtl/>
        </w:rPr>
        <w:t>עצמו</w:t>
      </w:r>
      <w:r w:rsidRPr="00D853EF">
        <w:rPr>
          <w:rFonts w:cs="Arial"/>
          <w:rtl/>
        </w:rPr>
        <w:t xml:space="preserve"> </w:t>
      </w:r>
      <w:r w:rsidRPr="00D853EF">
        <w:rPr>
          <w:rFonts w:cs="Arial" w:hint="cs"/>
          <w:rtl/>
        </w:rPr>
        <w:t>שהוא</w:t>
      </w:r>
      <w:r w:rsidRPr="00D853EF">
        <w:rPr>
          <w:rFonts w:cs="Arial"/>
          <w:rtl/>
        </w:rPr>
        <w:t xml:space="preserve"> </w:t>
      </w:r>
      <w:r w:rsidRPr="00D853EF">
        <w:rPr>
          <w:rFonts w:cs="Arial" w:hint="cs"/>
          <w:rtl/>
        </w:rPr>
        <w:t>מתפרנס</w:t>
      </w:r>
      <w:r w:rsidRPr="00D853EF">
        <w:rPr>
          <w:rFonts w:cs="Arial"/>
          <w:rtl/>
        </w:rPr>
        <w:t xml:space="preserve"> </w:t>
      </w:r>
      <w:r w:rsidRPr="00D853EF">
        <w:rPr>
          <w:rFonts w:cs="Arial" w:hint="cs"/>
          <w:rtl/>
        </w:rPr>
        <w:t>מקופת</w:t>
      </w:r>
      <w:r w:rsidRPr="00D853EF">
        <w:rPr>
          <w:rFonts w:cs="Arial"/>
          <w:rtl/>
        </w:rPr>
        <w:t xml:space="preserve"> </w:t>
      </w:r>
      <w:r w:rsidRPr="00D853EF">
        <w:rPr>
          <w:rFonts w:cs="Arial" w:hint="cs"/>
          <w:rtl/>
        </w:rPr>
        <w:t>הצדקה</w:t>
      </w:r>
      <w:r w:rsidRPr="00D853EF">
        <w:rPr>
          <w:rFonts w:cs="Arial"/>
          <w:rtl/>
        </w:rPr>
        <w:t xml:space="preserve"> </w:t>
      </w:r>
      <w:r w:rsidRPr="00D853EF">
        <w:rPr>
          <w:rFonts w:cs="Arial" w:hint="cs"/>
          <w:rtl/>
        </w:rPr>
        <w:t>אפ</w:t>
      </w:r>
      <w:r w:rsidRPr="00D853EF">
        <w:rPr>
          <w:rFonts w:cs="Arial"/>
          <w:rtl/>
        </w:rPr>
        <w:t>"</w:t>
      </w:r>
      <w:r w:rsidRPr="00D853EF">
        <w:rPr>
          <w:rFonts w:cs="Arial" w:hint="cs"/>
          <w:rtl/>
        </w:rPr>
        <w:t>ה</w:t>
      </w:r>
      <w:r w:rsidRPr="00D853EF">
        <w:rPr>
          <w:rFonts w:cs="Arial"/>
          <w:rtl/>
        </w:rPr>
        <w:t xml:space="preserve"> </w:t>
      </w:r>
      <w:r w:rsidRPr="00D853EF">
        <w:rPr>
          <w:rFonts w:cs="Arial" w:hint="cs"/>
          <w:rtl/>
        </w:rPr>
        <w:t>צריך</w:t>
      </w:r>
      <w:r w:rsidRPr="00D853EF">
        <w:rPr>
          <w:rFonts w:cs="Arial"/>
          <w:rtl/>
        </w:rPr>
        <w:t xml:space="preserve"> </w:t>
      </w:r>
      <w:r w:rsidRPr="00D853EF">
        <w:rPr>
          <w:rFonts w:cs="Arial" w:hint="cs"/>
          <w:rtl/>
        </w:rPr>
        <w:t>להשתדל</w:t>
      </w:r>
      <w:r w:rsidRPr="00D853EF">
        <w:rPr>
          <w:rFonts w:cs="Arial"/>
          <w:rtl/>
        </w:rPr>
        <w:t xml:space="preserve"> </w:t>
      </w:r>
      <w:r w:rsidRPr="00D853EF">
        <w:rPr>
          <w:rFonts w:cs="Arial" w:hint="cs"/>
          <w:rtl/>
        </w:rPr>
        <w:t>להשיג</w:t>
      </w:r>
      <w:r w:rsidRPr="00D853EF">
        <w:rPr>
          <w:rFonts w:cs="Arial"/>
          <w:rtl/>
        </w:rPr>
        <w:t xml:space="preserve"> </w:t>
      </w:r>
      <w:r w:rsidRPr="00D853EF">
        <w:rPr>
          <w:rFonts w:cs="Arial" w:hint="cs"/>
          <w:rtl/>
        </w:rPr>
        <w:t>ג</w:t>
      </w:r>
      <w:r w:rsidRPr="00D853EF">
        <w:rPr>
          <w:rFonts w:cs="Arial"/>
          <w:rtl/>
        </w:rPr>
        <w:t>"</w:t>
      </w:r>
      <w:r w:rsidRPr="00D853EF">
        <w:rPr>
          <w:rFonts w:cs="Arial" w:hint="cs"/>
          <w:rtl/>
        </w:rPr>
        <w:t>כ</w:t>
      </w:r>
      <w:r w:rsidRPr="00D853EF">
        <w:rPr>
          <w:rFonts w:cs="Arial"/>
          <w:rtl/>
        </w:rPr>
        <w:t xml:space="preserve"> </w:t>
      </w:r>
      <w:r w:rsidRPr="00D853EF">
        <w:rPr>
          <w:rFonts w:cs="Arial" w:hint="cs"/>
          <w:rtl/>
        </w:rPr>
        <w:t>נר</w:t>
      </w:r>
      <w:r w:rsidRPr="00D853EF">
        <w:rPr>
          <w:rFonts w:cs="Arial"/>
          <w:rtl/>
        </w:rPr>
        <w:t xml:space="preserve"> </w:t>
      </w:r>
      <w:r w:rsidRPr="00D853EF">
        <w:rPr>
          <w:rFonts w:cs="Arial" w:hint="cs"/>
          <w:rtl/>
        </w:rPr>
        <w:t>לשבת</w:t>
      </w:r>
      <w:r w:rsidRPr="00D853EF">
        <w:rPr>
          <w:rFonts w:cs="Arial"/>
          <w:rtl/>
        </w:rPr>
        <w:t xml:space="preserve">. </w:t>
      </w:r>
      <w:r w:rsidRPr="00D853EF">
        <w:rPr>
          <w:rFonts w:cs="Arial" w:hint="cs"/>
          <w:rtl/>
        </w:rPr>
        <w:t>ומי</w:t>
      </w:r>
      <w:r w:rsidRPr="00D853EF">
        <w:rPr>
          <w:rFonts w:cs="Arial"/>
          <w:rtl/>
        </w:rPr>
        <w:t xml:space="preserve"> </w:t>
      </w:r>
      <w:r w:rsidRPr="00D853EF">
        <w:rPr>
          <w:rFonts w:cs="Arial" w:hint="cs"/>
          <w:rtl/>
        </w:rPr>
        <w:t>שיש</w:t>
      </w:r>
      <w:r w:rsidRPr="00D853EF">
        <w:rPr>
          <w:rFonts w:cs="Arial"/>
          <w:rtl/>
        </w:rPr>
        <w:t xml:space="preserve"> </w:t>
      </w:r>
      <w:r w:rsidRPr="00D853EF">
        <w:rPr>
          <w:rFonts w:cs="Arial" w:hint="cs"/>
          <w:rtl/>
        </w:rPr>
        <w:t>לו</w:t>
      </w:r>
      <w:r w:rsidRPr="00D853EF">
        <w:rPr>
          <w:rFonts w:cs="Arial"/>
          <w:rtl/>
        </w:rPr>
        <w:t xml:space="preserve"> </w:t>
      </w:r>
      <w:r w:rsidRPr="00D853EF">
        <w:rPr>
          <w:rFonts w:cs="Arial" w:hint="cs"/>
          <w:rtl/>
        </w:rPr>
        <w:t>מעות</w:t>
      </w:r>
      <w:r w:rsidRPr="00D853EF">
        <w:rPr>
          <w:rFonts w:cs="Arial"/>
          <w:rtl/>
        </w:rPr>
        <w:t xml:space="preserve"> </w:t>
      </w:r>
      <w:r w:rsidRPr="00D853EF">
        <w:rPr>
          <w:rFonts w:cs="Arial" w:hint="cs"/>
          <w:rtl/>
        </w:rPr>
        <w:t>מצומצמין</w:t>
      </w:r>
      <w:r w:rsidRPr="00D853EF">
        <w:rPr>
          <w:rFonts w:cs="Arial"/>
          <w:rtl/>
        </w:rPr>
        <w:t xml:space="preserve"> </w:t>
      </w:r>
      <w:r w:rsidRPr="00D853EF">
        <w:rPr>
          <w:rFonts w:cs="Arial" w:hint="cs"/>
          <w:rtl/>
        </w:rPr>
        <w:t>מצות</w:t>
      </w:r>
      <w:r w:rsidRPr="00D853EF">
        <w:rPr>
          <w:rFonts w:cs="Arial"/>
          <w:rtl/>
        </w:rPr>
        <w:t xml:space="preserve"> </w:t>
      </w:r>
      <w:r w:rsidRPr="00D853EF">
        <w:rPr>
          <w:rFonts w:cs="Arial" w:hint="cs"/>
          <w:rtl/>
        </w:rPr>
        <w:t>לחם</w:t>
      </w:r>
      <w:r w:rsidRPr="00D853EF">
        <w:rPr>
          <w:rFonts w:cs="Arial"/>
          <w:rtl/>
        </w:rPr>
        <w:t xml:space="preserve"> </w:t>
      </w:r>
      <w:r w:rsidRPr="00D853EF">
        <w:rPr>
          <w:rFonts w:cs="Arial" w:hint="cs"/>
          <w:rtl/>
        </w:rPr>
        <w:t>לסעודת</w:t>
      </w:r>
      <w:r w:rsidRPr="00D853EF">
        <w:rPr>
          <w:rFonts w:cs="Arial"/>
          <w:rtl/>
        </w:rPr>
        <w:t xml:space="preserve"> </w:t>
      </w:r>
      <w:r w:rsidRPr="00D853EF">
        <w:rPr>
          <w:rFonts w:cs="Arial" w:hint="cs"/>
          <w:rtl/>
        </w:rPr>
        <w:t>שבת</w:t>
      </w:r>
      <w:r w:rsidRPr="00D853EF">
        <w:rPr>
          <w:rFonts w:cs="Arial"/>
          <w:rtl/>
        </w:rPr>
        <w:t xml:space="preserve"> </w:t>
      </w:r>
      <w:r w:rsidRPr="00D853EF">
        <w:rPr>
          <w:rFonts w:cs="Arial" w:hint="cs"/>
          <w:rtl/>
        </w:rPr>
        <w:t>קודם</w:t>
      </w:r>
      <w:r w:rsidRPr="00D853EF">
        <w:rPr>
          <w:rFonts w:cs="Arial"/>
          <w:rtl/>
        </w:rPr>
        <w:t xml:space="preserve"> </w:t>
      </w:r>
      <w:r w:rsidRPr="00D853EF">
        <w:rPr>
          <w:rFonts w:cs="Arial" w:hint="cs"/>
          <w:rtl/>
        </w:rPr>
        <w:t>לכל</w:t>
      </w:r>
      <w:r w:rsidRPr="00D853EF">
        <w:rPr>
          <w:rFonts w:cs="Arial"/>
          <w:rtl/>
        </w:rPr>
        <w:t xml:space="preserve"> </w:t>
      </w:r>
      <w:r w:rsidRPr="00D853EF">
        <w:rPr>
          <w:rFonts w:cs="Arial" w:hint="cs"/>
          <w:rtl/>
        </w:rPr>
        <w:t>ונר</w:t>
      </w:r>
      <w:r w:rsidRPr="00D853EF">
        <w:rPr>
          <w:rFonts w:cs="Arial"/>
          <w:rtl/>
        </w:rPr>
        <w:t xml:space="preserve"> </w:t>
      </w:r>
      <w:r w:rsidRPr="00D853EF">
        <w:rPr>
          <w:rFonts w:cs="Arial" w:hint="cs"/>
          <w:rtl/>
        </w:rPr>
        <w:t>לשבת</w:t>
      </w:r>
      <w:r w:rsidRPr="00D853EF">
        <w:rPr>
          <w:rFonts w:cs="Arial"/>
          <w:rtl/>
        </w:rPr>
        <w:t xml:space="preserve"> </w:t>
      </w:r>
      <w:r w:rsidRPr="00D853EF">
        <w:rPr>
          <w:rFonts w:cs="Arial" w:hint="cs"/>
          <w:rtl/>
        </w:rPr>
        <w:t>קודם</w:t>
      </w:r>
      <w:r w:rsidRPr="00D853EF">
        <w:rPr>
          <w:rFonts w:cs="Arial"/>
          <w:rtl/>
        </w:rPr>
        <w:t xml:space="preserve"> </w:t>
      </w:r>
      <w:r w:rsidRPr="00D853EF">
        <w:rPr>
          <w:rFonts w:cs="Arial" w:hint="cs"/>
          <w:rtl/>
        </w:rPr>
        <w:t>ליקח</w:t>
      </w:r>
      <w:r w:rsidRPr="00D853EF">
        <w:rPr>
          <w:rFonts w:cs="Arial"/>
          <w:rtl/>
        </w:rPr>
        <w:t xml:space="preserve"> </w:t>
      </w:r>
      <w:r w:rsidRPr="00D853EF">
        <w:rPr>
          <w:rFonts w:cs="Arial" w:hint="cs"/>
          <w:rtl/>
        </w:rPr>
        <w:t>משאר</w:t>
      </w:r>
      <w:r w:rsidRPr="00D853EF">
        <w:rPr>
          <w:rFonts w:cs="Arial"/>
          <w:rtl/>
        </w:rPr>
        <w:t xml:space="preserve"> </w:t>
      </w:r>
      <w:r w:rsidRPr="00D853EF">
        <w:rPr>
          <w:rFonts w:cs="Arial" w:hint="cs"/>
          <w:rtl/>
        </w:rPr>
        <w:t>מאכלים</w:t>
      </w:r>
      <w:r w:rsidRPr="00D853EF">
        <w:rPr>
          <w:rFonts w:cs="Arial"/>
          <w:rtl/>
        </w:rPr>
        <w:t xml:space="preserve"> </w:t>
      </w:r>
      <w:r w:rsidRPr="00D853EF">
        <w:rPr>
          <w:rFonts w:cs="Arial" w:hint="cs"/>
          <w:rtl/>
        </w:rPr>
        <w:t>דאף</w:t>
      </w:r>
      <w:r w:rsidRPr="00D853EF">
        <w:rPr>
          <w:rFonts w:cs="Arial"/>
          <w:rtl/>
        </w:rPr>
        <w:t xml:space="preserve"> </w:t>
      </w:r>
      <w:r w:rsidRPr="00D853EF">
        <w:rPr>
          <w:rFonts w:cs="Arial" w:hint="cs"/>
          <w:rtl/>
        </w:rPr>
        <w:t>דשאר</w:t>
      </w:r>
      <w:r w:rsidRPr="00D853EF">
        <w:rPr>
          <w:rFonts w:cs="Arial"/>
          <w:rtl/>
        </w:rPr>
        <w:t xml:space="preserve"> </w:t>
      </w:r>
      <w:r w:rsidRPr="00D853EF">
        <w:rPr>
          <w:rFonts w:cs="Arial" w:hint="cs"/>
          <w:rtl/>
        </w:rPr>
        <w:t>מאכלים</w:t>
      </w:r>
      <w:r w:rsidRPr="00D853EF">
        <w:rPr>
          <w:rFonts w:cs="Arial"/>
          <w:rtl/>
        </w:rPr>
        <w:t xml:space="preserve"> </w:t>
      </w:r>
      <w:r w:rsidRPr="00D853EF">
        <w:rPr>
          <w:rFonts w:cs="Arial" w:hint="cs"/>
          <w:rtl/>
        </w:rPr>
        <w:t>ובשר</w:t>
      </w:r>
      <w:r w:rsidRPr="00D853EF">
        <w:rPr>
          <w:rFonts w:cs="Arial"/>
          <w:rtl/>
        </w:rPr>
        <w:t xml:space="preserve"> </w:t>
      </w:r>
      <w:r w:rsidRPr="00D853EF">
        <w:rPr>
          <w:rFonts w:cs="Arial" w:hint="cs"/>
          <w:rtl/>
        </w:rPr>
        <w:t>הוא</w:t>
      </w:r>
      <w:r w:rsidRPr="00D853EF">
        <w:rPr>
          <w:rFonts w:cs="Arial"/>
          <w:rtl/>
        </w:rPr>
        <w:t xml:space="preserve"> </w:t>
      </w:r>
      <w:r w:rsidRPr="00D853EF">
        <w:rPr>
          <w:rFonts w:cs="Arial" w:hint="cs"/>
          <w:rtl/>
        </w:rPr>
        <w:t>ג</w:t>
      </w:r>
      <w:r w:rsidRPr="00D853EF">
        <w:rPr>
          <w:rFonts w:cs="Arial"/>
          <w:rtl/>
        </w:rPr>
        <w:t>"</w:t>
      </w:r>
      <w:r w:rsidRPr="00D853EF">
        <w:rPr>
          <w:rFonts w:cs="Arial" w:hint="cs"/>
          <w:rtl/>
        </w:rPr>
        <w:t>כ</w:t>
      </w:r>
      <w:r w:rsidRPr="00D853EF">
        <w:rPr>
          <w:rFonts w:cs="Arial"/>
          <w:rtl/>
        </w:rPr>
        <w:t xml:space="preserve"> </w:t>
      </w:r>
      <w:r w:rsidRPr="00D853EF">
        <w:rPr>
          <w:rFonts w:cs="Arial" w:hint="cs"/>
          <w:rtl/>
        </w:rPr>
        <w:t>בכלל</w:t>
      </w:r>
      <w:r w:rsidRPr="00D853EF">
        <w:rPr>
          <w:rFonts w:cs="Arial"/>
          <w:rtl/>
        </w:rPr>
        <w:t xml:space="preserve"> </w:t>
      </w:r>
      <w:r w:rsidRPr="00D853EF">
        <w:rPr>
          <w:rFonts w:cs="Arial" w:hint="cs"/>
          <w:rtl/>
        </w:rPr>
        <w:t>עונג</w:t>
      </w:r>
      <w:r w:rsidRPr="00D853EF">
        <w:rPr>
          <w:rFonts w:cs="Arial"/>
          <w:rtl/>
        </w:rPr>
        <w:t xml:space="preserve"> </w:t>
      </w:r>
      <w:r w:rsidRPr="00D853EF">
        <w:rPr>
          <w:rFonts w:cs="Arial" w:hint="cs"/>
          <w:rtl/>
        </w:rPr>
        <w:t>שבת</w:t>
      </w:r>
      <w:r w:rsidRPr="00D853EF">
        <w:rPr>
          <w:rFonts w:cs="Arial"/>
          <w:rtl/>
        </w:rPr>
        <w:t xml:space="preserve"> </w:t>
      </w:r>
      <w:r w:rsidRPr="00D853EF">
        <w:rPr>
          <w:rFonts w:cs="Arial" w:hint="cs"/>
          <w:rtl/>
        </w:rPr>
        <w:t>מ</w:t>
      </w:r>
      <w:r w:rsidRPr="00D853EF">
        <w:rPr>
          <w:rFonts w:cs="Arial"/>
          <w:rtl/>
        </w:rPr>
        <w:t>"</w:t>
      </w:r>
      <w:r w:rsidRPr="00D853EF">
        <w:rPr>
          <w:rFonts w:cs="Arial" w:hint="cs"/>
          <w:rtl/>
        </w:rPr>
        <w:t>מ</w:t>
      </w:r>
      <w:r w:rsidRPr="00D853EF">
        <w:rPr>
          <w:rFonts w:cs="Arial"/>
          <w:rtl/>
        </w:rPr>
        <w:t xml:space="preserve"> </w:t>
      </w:r>
      <w:r w:rsidRPr="00D853EF">
        <w:rPr>
          <w:rFonts w:cs="Arial" w:hint="cs"/>
          <w:rtl/>
        </w:rPr>
        <w:t>נר</w:t>
      </w:r>
      <w:r w:rsidRPr="00D853EF">
        <w:rPr>
          <w:rFonts w:cs="Arial"/>
          <w:rtl/>
        </w:rPr>
        <w:t xml:space="preserve"> </w:t>
      </w:r>
      <w:r w:rsidRPr="00D853EF">
        <w:rPr>
          <w:rFonts w:cs="Arial" w:hint="cs"/>
          <w:rtl/>
        </w:rPr>
        <w:t>עדיף</w:t>
      </w:r>
      <w:r w:rsidRPr="00D853EF">
        <w:rPr>
          <w:rFonts w:cs="Arial"/>
          <w:rtl/>
        </w:rPr>
        <w:t xml:space="preserve"> </w:t>
      </w:r>
      <w:r w:rsidRPr="00D853EF">
        <w:rPr>
          <w:rFonts w:cs="Arial" w:hint="cs"/>
          <w:rtl/>
        </w:rPr>
        <w:t>יותר</w:t>
      </w:r>
      <w:r w:rsidRPr="00D853EF">
        <w:rPr>
          <w:rFonts w:cs="Arial"/>
          <w:rtl/>
        </w:rPr>
        <w:t xml:space="preserve"> </w:t>
      </w:r>
      <w:r w:rsidRPr="00D853EF">
        <w:rPr>
          <w:rFonts w:cs="Arial" w:hint="cs"/>
          <w:rtl/>
        </w:rPr>
        <w:t>משום</w:t>
      </w:r>
      <w:r w:rsidRPr="00D853EF">
        <w:rPr>
          <w:rFonts w:cs="Arial"/>
          <w:rtl/>
        </w:rPr>
        <w:t xml:space="preserve"> </w:t>
      </w:r>
      <w:r w:rsidRPr="00D853EF">
        <w:rPr>
          <w:rFonts w:cs="Arial" w:hint="cs"/>
          <w:rtl/>
        </w:rPr>
        <w:t>שלום</w:t>
      </w:r>
      <w:r w:rsidRPr="00D853EF">
        <w:rPr>
          <w:rFonts w:cs="Arial"/>
          <w:rtl/>
        </w:rPr>
        <w:t xml:space="preserve"> </w:t>
      </w:r>
      <w:r w:rsidRPr="00D853EF">
        <w:rPr>
          <w:rFonts w:cs="Arial" w:hint="cs"/>
          <w:rtl/>
        </w:rPr>
        <w:t>בית</w:t>
      </w:r>
      <w:r w:rsidRPr="00D853EF">
        <w:rPr>
          <w:rFonts w:cs="Arial"/>
          <w:rtl/>
        </w:rPr>
        <w:t xml:space="preserve"> </w:t>
      </w:r>
      <w:r w:rsidRPr="00D853EF">
        <w:rPr>
          <w:rFonts w:cs="Arial" w:hint="cs"/>
          <w:rtl/>
        </w:rPr>
        <w:t>וכדלקמן</w:t>
      </w:r>
      <w:r w:rsidRPr="00D853EF">
        <w:rPr>
          <w:rFonts w:cs="Arial"/>
          <w:rtl/>
        </w:rPr>
        <w:t xml:space="preserve">. </w:t>
      </w:r>
      <w:r w:rsidRPr="00D853EF">
        <w:rPr>
          <w:rFonts w:cs="Arial" w:hint="cs"/>
          <w:rtl/>
        </w:rPr>
        <w:t>ומיהו</w:t>
      </w:r>
      <w:r w:rsidRPr="00D853EF">
        <w:rPr>
          <w:rFonts w:cs="Arial"/>
          <w:rtl/>
        </w:rPr>
        <w:t xml:space="preserve"> </w:t>
      </w:r>
      <w:r w:rsidRPr="00D853EF">
        <w:rPr>
          <w:rFonts w:cs="Arial" w:hint="cs"/>
          <w:rtl/>
        </w:rPr>
        <w:t>משום</w:t>
      </w:r>
      <w:r w:rsidRPr="00D853EF">
        <w:rPr>
          <w:rFonts w:cs="Arial"/>
          <w:rtl/>
        </w:rPr>
        <w:t xml:space="preserve"> </w:t>
      </w:r>
      <w:r w:rsidRPr="00D853EF">
        <w:rPr>
          <w:rFonts w:cs="Arial" w:hint="cs"/>
          <w:rtl/>
        </w:rPr>
        <w:t>נר</w:t>
      </w:r>
      <w:r w:rsidRPr="00D853EF">
        <w:rPr>
          <w:rFonts w:cs="Arial"/>
          <w:rtl/>
        </w:rPr>
        <w:t xml:space="preserve"> </w:t>
      </w:r>
      <w:r w:rsidRPr="00D853EF">
        <w:rPr>
          <w:rFonts w:cs="Arial" w:hint="cs"/>
          <w:rtl/>
        </w:rPr>
        <w:t>די</w:t>
      </w:r>
      <w:r w:rsidRPr="00D853EF">
        <w:rPr>
          <w:rFonts w:cs="Arial"/>
          <w:rtl/>
        </w:rPr>
        <w:t xml:space="preserve"> </w:t>
      </w:r>
      <w:r w:rsidRPr="00D853EF">
        <w:rPr>
          <w:rFonts w:cs="Arial" w:hint="cs"/>
          <w:rtl/>
        </w:rPr>
        <w:t>נר</w:t>
      </w:r>
      <w:r w:rsidRPr="00D853EF">
        <w:rPr>
          <w:rFonts w:cs="Arial"/>
          <w:rtl/>
        </w:rPr>
        <w:t xml:space="preserve"> </w:t>
      </w:r>
      <w:r w:rsidRPr="00D853EF">
        <w:rPr>
          <w:rFonts w:cs="Arial" w:hint="cs"/>
          <w:rtl/>
        </w:rPr>
        <w:t>אחד</w:t>
      </w:r>
      <w:r w:rsidRPr="00D853EF">
        <w:rPr>
          <w:rFonts w:cs="Arial"/>
          <w:rtl/>
        </w:rPr>
        <w:t xml:space="preserve"> </w:t>
      </w:r>
      <w:r w:rsidRPr="00D853EF">
        <w:rPr>
          <w:rFonts w:cs="Arial" w:hint="cs"/>
          <w:rtl/>
        </w:rPr>
        <w:t>לחוד</w:t>
      </w:r>
      <w:r w:rsidRPr="00D853EF">
        <w:rPr>
          <w:rFonts w:cs="Arial"/>
          <w:rtl/>
        </w:rPr>
        <w:t xml:space="preserve"> </w:t>
      </w:r>
      <w:r w:rsidRPr="00D853EF">
        <w:rPr>
          <w:rFonts w:cs="Arial" w:hint="cs"/>
          <w:rtl/>
        </w:rPr>
        <w:t>והשאר</w:t>
      </w:r>
      <w:r w:rsidRPr="00D853EF">
        <w:rPr>
          <w:rFonts w:cs="Arial"/>
          <w:rtl/>
        </w:rPr>
        <w:t xml:space="preserve"> </w:t>
      </w:r>
      <w:r w:rsidRPr="00D853EF">
        <w:rPr>
          <w:rFonts w:cs="Arial" w:hint="cs"/>
          <w:rtl/>
        </w:rPr>
        <w:t>יוציא</w:t>
      </w:r>
      <w:r w:rsidRPr="00D853EF">
        <w:rPr>
          <w:rFonts w:cs="Arial"/>
          <w:rtl/>
        </w:rPr>
        <w:t xml:space="preserve"> </w:t>
      </w:r>
      <w:r w:rsidRPr="00D853EF">
        <w:rPr>
          <w:rFonts w:cs="Arial" w:hint="cs"/>
          <w:rtl/>
        </w:rPr>
        <w:t>על</w:t>
      </w:r>
      <w:r w:rsidRPr="00D853EF">
        <w:rPr>
          <w:rFonts w:cs="Arial"/>
          <w:rtl/>
        </w:rPr>
        <w:t xml:space="preserve"> </w:t>
      </w:r>
      <w:r w:rsidRPr="00D853EF">
        <w:rPr>
          <w:rFonts w:cs="Arial" w:hint="cs"/>
          <w:rtl/>
        </w:rPr>
        <w:t>מאכלי</w:t>
      </w:r>
      <w:r w:rsidRPr="00D853EF">
        <w:rPr>
          <w:rFonts w:cs="Arial"/>
          <w:rtl/>
        </w:rPr>
        <w:t xml:space="preserve"> </w:t>
      </w:r>
      <w:r w:rsidRPr="00D853EF">
        <w:rPr>
          <w:rFonts w:cs="Arial" w:hint="cs"/>
          <w:rtl/>
        </w:rPr>
        <w:t>שבת</w:t>
      </w:r>
      <w:r w:rsidRPr="00D853EF">
        <w:rPr>
          <w:rFonts w:cs="Arial"/>
          <w:rtl/>
        </w:rPr>
        <w:t xml:space="preserve"> </w:t>
      </w:r>
      <w:r w:rsidRPr="00D853EF">
        <w:rPr>
          <w:rFonts w:cs="Arial" w:hint="cs"/>
          <w:rtl/>
        </w:rPr>
        <w:t>כדאמרינן</w:t>
      </w:r>
      <w:r w:rsidRPr="00D853EF">
        <w:rPr>
          <w:rFonts w:cs="Arial"/>
          <w:rtl/>
        </w:rPr>
        <w:t xml:space="preserve"> </w:t>
      </w:r>
      <w:r w:rsidRPr="00D853EF">
        <w:rPr>
          <w:rFonts w:cs="Arial" w:hint="cs"/>
          <w:rtl/>
        </w:rPr>
        <w:t>בגמרא</w:t>
      </w:r>
      <w:r w:rsidRPr="00D853EF">
        <w:rPr>
          <w:rFonts w:cs="Arial"/>
          <w:rtl/>
        </w:rPr>
        <w:t xml:space="preserve"> </w:t>
      </w:r>
      <w:r w:rsidRPr="00D853EF">
        <w:rPr>
          <w:rFonts w:cs="Arial" w:hint="cs"/>
          <w:rtl/>
        </w:rPr>
        <w:t>דאפילו</w:t>
      </w:r>
      <w:r w:rsidRPr="00D853EF">
        <w:rPr>
          <w:rFonts w:cs="Arial"/>
          <w:rtl/>
        </w:rPr>
        <w:t xml:space="preserve"> </w:t>
      </w:r>
      <w:r w:rsidRPr="00D853EF">
        <w:rPr>
          <w:rFonts w:cs="Arial" w:hint="cs"/>
          <w:rtl/>
        </w:rPr>
        <w:t>עני</w:t>
      </w:r>
      <w:r w:rsidRPr="00D853EF">
        <w:rPr>
          <w:rFonts w:cs="Arial"/>
          <w:rtl/>
        </w:rPr>
        <w:t xml:space="preserve"> </w:t>
      </w:r>
      <w:r w:rsidRPr="00D853EF">
        <w:rPr>
          <w:rFonts w:cs="Arial" w:hint="cs"/>
          <w:rtl/>
        </w:rPr>
        <w:t>צריך</w:t>
      </w:r>
      <w:r w:rsidRPr="00D853EF">
        <w:rPr>
          <w:rFonts w:cs="Arial"/>
          <w:rtl/>
        </w:rPr>
        <w:t xml:space="preserve"> </w:t>
      </w:r>
      <w:r w:rsidRPr="00D853EF">
        <w:rPr>
          <w:rFonts w:cs="Arial" w:hint="cs"/>
          <w:rtl/>
        </w:rPr>
        <w:t>לעשות</w:t>
      </w:r>
      <w:r w:rsidRPr="00D853EF">
        <w:rPr>
          <w:rFonts w:cs="Arial"/>
          <w:rtl/>
        </w:rPr>
        <w:t xml:space="preserve"> </w:t>
      </w:r>
      <w:r w:rsidRPr="00D853EF">
        <w:rPr>
          <w:rFonts w:cs="Arial" w:hint="cs"/>
          <w:rtl/>
        </w:rPr>
        <w:t>דבר</w:t>
      </w:r>
      <w:r w:rsidRPr="00D853EF">
        <w:rPr>
          <w:rFonts w:cs="Arial"/>
          <w:rtl/>
        </w:rPr>
        <w:t xml:space="preserve"> </w:t>
      </w:r>
      <w:r w:rsidRPr="00D853EF">
        <w:rPr>
          <w:rFonts w:cs="Arial" w:hint="cs"/>
          <w:rtl/>
        </w:rPr>
        <w:t>מועט</w:t>
      </w:r>
      <w:r w:rsidRPr="00D853EF">
        <w:rPr>
          <w:rFonts w:cs="Arial"/>
          <w:rtl/>
        </w:rPr>
        <w:t xml:space="preserve"> </w:t>
      </w:r>
      <w:r w:rsidRPr="00D853EF">
        <w:rPr>
          <w:rFonts w:cs="Arial" w:hint="cs"/>
          <w:rtl/>
        </w:rPr>
        <w:t>לכבוד</w:t>
      </w:r>
      <w:r w:rsidRPr="00D853EF">
        <w:rPr>
          <w:rFonts w:cs="Arial"/>
          <w:rtl/>
        </w:rPr>
        <w:t xml:space="preserve"> </w:t>
      </w:r>
      <w:r w:rsidRPr="00D853EF">
        <w:rPr>
          <w:rFonts w:cs="Arial" w:hint="cs"/>
          <w:rtl/>
        </w:rPr>
        <w:t>שבת</w:t>
      </w:r>
      <w:r w:rsidRPr="00D853EF">
        <w:rPr>
          <w:rFonts w:cs="Arial"/>
          <w:rtl/>
        </w:rPr>
        <w:t xml:space="preserve">. </w:t>
      </w:r>
      <w:r w:rsidRPr="00D853EF">
        <w:rPr>
          <w:rFonts w:cs="Arial" w:hint="cs"/>
          <w:rtl/>
        </w:rPr>
        <w:t>ועיין</w:t>
      </w:r>
      <w:r w:rsidRPr="00D853EF">
        <w:rPr>
          <w:rFonts w:cs="Arial"/>
          <w:rtl/>
        </w:rPr>
        <w:t xml:space="preserve"> </w:t>
      </w:r>
      <w:r w:rsidRPr="00D853EF">
        <w:rPr>
          <w:rFonts w:cs="Arial" w:hint="cs"/>
          <w:rtl/>
        </w:rPr>
        <w:t>במה</w:t>
      </w:r>
      <w:r w:rsidRPr="00D853EF">
        <w:rPr>
          <w:rFonts w:cs="Arial"/>
          <w:rtl/>
        </w:rPr>
        <w:t xml:space="preserve"> </w:t>
      </w:r>
      <w:r w:rsidRPr="00D853EF">
        <w:rPr>
          <w:rFonts w:cs="Arial" w:hint="cs"/>
          <w:rtl/>
        </w:rPr>
        <w:t>שכתבנו</w:t>
      </w:r>
      <w:r w:rsidRPr="00D853EF">
        <w:rPr>
          <w:rFonts w:cs="Arial"/>
          <w:rtl/>
        </w:rPr>
        <w:t xml:space="preserve"> </w:t>
      </w:r>
      <w:r w:rsidRPr="00D853EF">
        <w:rPr>
          <w:rFonts w:cs="Arial" w:hint="cs"/>
          <w:rtl/>
        </w:rPr>
        <w:t>לעיל</w:t>
      </w:r>
      <w:r w:rsidRPr="00D853EF">
        <w:rPr>
          <w:rFonts w:cs="Arial"/>
          <w:rtl/>
        </w:rPr>
        <w:t xml:space="preserve"> </w:t>
      </w:r>
      <w:r w:rsidRPr="00D853EF">
        <w:rPr>
          <w:rFonts w:cs="Arial" w:hint="cs"/>
          <w:rtl/>
        </w:rPr>
        <w:t>בסימן</w:t>
      </w:r>
      <w:r w:rsidRPr="00D853EF">
        <w:rPr>
          <w:rFonts w:cs="Arial"/>
          <w:rtl/>
        </w:rPr>
        <w:t xml:space="preserve"> </w:t>
      </w:r>
      <w:r w:rsidRPr="00D853EF">
        <w:rPr>
          <w:rFonts w:cs="Arial" w:hint="cs"/>
          <w:rtl/>
        </w:rPr>
        <w:t>רמ</w:t>
      </w:r>
      <w:r w:rsidRPr="00D853EF">
        <w:rPr>
          <w:rFonts w:cs="Arial"/>
          <w:rtl/>
        </w:rPr>
        <w:t>"</w:t>
      </w:r>
      <w:r w:rsidRPr="00D853EF">
        <w:rPr>
          <w:rFonts w:cs="Arial" w:hint="cs"/>
          <w:rtl/>
        </w:rPr>
        <w:t>ב</w:t>
      </w:r>
      <w:r w:rsidRPr="00D853EF">
        <w:rPr>
          <w:rFonts w:cs="Arial"/>
          <w:rtl/>
        </w:rPr>
        <w:t xml:space="preserve"> </w:t>
      </w:r>
      <w:r w:rsidRPr="00D853EF">
        <w:rPr>
          <w:rFonts w:cs="Arial" w:hint="cs"/>
          <w:rtl/>
        </w:rPr>
        <w:t>במ</w:t>
      </w:r>
      <w:r w:rsidRPr="00D853EF">
        <w:rPr>
          <w:rFonts w:cs="Arial"/>
          <w:rtl/>
        </w:rPr>
        <w:t>"</w:t>
      </w:r>
      <w:r w:rsidRPr="00D853EF">
        <w:rPr>
          <w:rFonts w:cs="Arial" w:hint="cs"/>
          <w:rtl/>
        </w:rPr>
        <w:t>ב</w:t>
      </w:r>
      <w:r>
        <w:rPr>
          <w:rFonts w:hint="cs"/>
          <w:rtl/>
        </w:rPr>
        <w:t>, משנ"ב (סק"ט).</w:t>
      </w:r>
    </w:p>
  </w:footnote>
  <w:footnote w:id="625">
    <w:p w14:paraId="5E68E94D" w14:textId="77777777" w:rsidR="004B2E7C" w:rsidRDefault="004B2E7C" w:rsidP="00285819">
      <w:pPr>
        <w:pStyle w:val="a7"/>
        <w:rPr>
          <w:rtl/>
        </w:rPr>
      </w:pPr>
      <w:r>
        <w:rPr>
          <w:rStyle w:val="a9"/>
        </w:rPr>
        <w:footnoteRef/>
      </w:r>
      <w:r>
        <w:rPr>
          <w:rtl/>
        </w:rPr>
        <w:t xml:space="preserve"> </w:t>
      </w:r>
      <w:r w:rsidRPr="00A7568A">
        <w:rPr>
          <w:rFonts w:cs="Arial" w:hint="cs"/>
          <w:rtl/>
        </w:rPr>
        <w:t>כי</w:t>
      </w:r>
      <w:r w:rsidRPr="00A7568A">
        <w:rPr>
          <w:rFonts w:cs="Arial"/>
          <w:rtl/>
        </w:rPr>
        <w:t xml:space="preserve"> </w:t>
      </w:r>
      <w:r w:rsidRPr="00A7568A">
        <w:rPr>
          <w:rFonts w:cs="Arial" w:hint="cs"/>
          <w:rtl/>
        </w:rPr>
        <w:t>יכול</w:t>
      </w:r>
      <w:r w:rsidRPr="00A7568A">
        <w:rPr>
          <w:rFonts w:cs="Arial"/>
          <w:rtl/>
        </w:rPr>
        <w:t xml:space="preserve"> </w:t>
      </w:r>
      <w:r w:rsidRPr="00A7568A">
        <w:rPr>
          <w:rFonts w:cs="Arial" w:hint="cs"/>
          <w:rtl/>
        </w:rPr>
        <w:t>לקבל</w:t>
      </w:r>
      <w:r w:rsidRPr="00A7568A">
        <w:rPr>
          <w:rFonts w:cs="Arial"/>
          <w:rtl/>
        </w:rPr>
        <w:t xml:space="preserve"> </w:t>
      </w:r>
      <w:r w:rsidRPr="00A7568A">
        <w:rPr>
          <w:rFonts w:cs="Arial" w:hint="cs"/>
          <w:rtl/>
        </w:rPr>
        <w:t>עליו</w:t>
      </w:r>
      <w:r w:rsidRPr="00A7568A">
        <w:rPr>
          <w:rFonts w:cs="Arial"/>
          <w:rtl/>
        </w:rPr>
        <w:t xml:space="preserve"> </w:t>
      </w:r>
      <w:r w:rsidRPr="00A7568A">
        <w:rPr>
          <w:rFonts w:cs="Arial" w:hint="cs"/>
          <w:rtl/>
        </w:rPr>
        <w:t>שבת</w:t>
      </w:r>
      <w:r w:rsidRPr="00A7568A">
        <w:rPr>
          <w:rFonts w:cs="Arial"/>
          <w:rtl/>
        </w:rPr>
        <w:t xml:space="preserve"> </w:t>
      </w:r>
      <w:r w:rsidRPr="00A7568A">
        <w:rPr>
          <w:rFonts w:cs="Arial" w:hint="cs"/>
          <w:rtl/>
        </w:rPr>
        <w:t>מבעוד</w:t>
      </w:r>
      <w:r w:rsidRPr="00A7568A">
        <w:rPr>
          <w:rFonts w:cs="Arial"/>
          <w:rtl/>
        </w:rPr>
        <w:t xml:space="preserve"> </w:t>
      </w:r>
      <w:r w:rsidRPr="00A7568A">
        <w:rPr>
          <w:rFonts w:cs="Arial" w:hint="cs"/>
          <w:rtl/>
        </w:rPr>
        <w:t>יום</w:t>
      </w:r>
      <w:r w:rsidRPr="00A7568A">
        <w:rPr>
          <w:rFonts w:cs="Arial"/>
          <w:rtl/>
        </w:rPr>
        <w:t xml:space="preserve"> </w:t>
      </w:r>
      <w:r w:rsidRPr="00A7568A">
        <w:rPr>
          <w:rFonts w:cs="Arial" w:hint="cs"/>
          <w:rtl/>
        </w:rPr>
        <w:t>ובלבד</w:t>
      </w:r>
      <w:r w:rsidRPr="00A7568A">
        <w:rPr>
          <w:rFonts w:cs="Arial"/>
          <w:rtl/>
        </w:rPr>
        <w:t xml:space="preserve"> </w:t>
      </w:r>
      <w:r w:rsidRPr="00A7568A">
        <w:rPr>
          <w:rFonts w:cs="Arial" w:hint="cs"/>
          <w:rtl/>
        </w:rPr>
        <w:t>מפלג</w:t>
      </w:r>
      <w:r w:rsidRPr="00A7568A">
        <w:rPr>
          <w:rFonts w:cs="Arial"/>
          <w:rtl/>
        </w:rPr>
        <w:t xml:space="preserve"> </w:t>
      </w:r>
      <w:r w:rsidRPr="00A7568A">
        <w:rPr>
          <w:rFonts w:cs="Arial" w:hint="cs"/>
          <w:rtl/>
        </w:rPr>
        <w:t>המנחה</w:t>
      </w:r>
      <w:r w:rsidRPr="00A7568A">
        <w:rPr>
          <w:rFonts w:cs="Arial"/>
          <w:rtl/>
        </w:rPr>
        <w:t xml:space="preserve"> </w:t>
      </w:r>
      <w:r w:rsidRPr="00A7568A">
        <w:rPr>
          <w:rFonts w:cs="Arial" w:hint="cs"/>
          <w:rtl/>
        </w:rPr>
        <w:t>ולמעלה</w:t>
      </w:r>
      <w:r>
        <w:rPr>
          <w:rFonts w:hint="cs"/>
          <w:rtl/>
        </w:rPr>
        <w:t>, ב"י.</w:t>
      </w:r>
      <w:r w:rsidRPr="00323704">
        <w:rPr>
          <w:rFonts w:cs="Arial"/>
          <w:rtl/>
        </w:rPr>
        <w:t xml:space="preserve"> </w:t>
      </w:r>
      <w:r w:rsidRPr="006737C8">
        <w:rPr>
          <w:rFonts w:cs="Arial" w:hint="cs"/>
          <w:rtl/>
        </w:rPr>
        <w:t>ועיין</w:t>
      </w:r>
      <w:r w:rsidRPr="006737C8">
        <w:rPr>
          <w:rFonts w:cs="Arial"/>
          <w:rtl/>
        </w:rPr>
        <w:t xml:space="preserve"> </w:t>
      </w:r>
      <w:r w:rsidRPr="006737C8">
        <w:rPr>
          <w:rFonts w:cs="Arial" w:hint="cs"/>
          <w:rtl/>
        </w:rPr>
        <w:t>לעיל</w:t>
      </w:r>
      <w:r w:rsidRPr="006737C8">
        <w:rPr>
          <w:rFonts w:cs="Arial"/>
          <w:rtl/>
        </w:rPr>
        <w:t xml:space="preserve"> </w:t>
      </w:r>
      <w:r w:rsidRPr="006737C8">
        <w:rPr>
          <w:rFonts w:cs="Arial" w:hint="cs"/>
          <w:rtl/>
        </w:rPr>
        <w:t>סימן</w:t>
      </w:r>
      <w:r w:rsidRPr="006737C8">
        <w:rPr>
          <w:rFonts w:cs="Arial"/>
          <w:rtl/>
        </w:rPr>
        <w:t xml:space="preserve"> </w:t>
      </w:r>
      <w:r w:rsidRPr="006737C8">
        <w:rPr>
          <w:rFonts w:cs="Arial" w:hint="cs"/>
          <w:rtl/>
        </w:rPr>
        <w:t>רס</w:t>
      </w:r>
      <w:r w:rsidRPr="006737C8">
        <w:rPr>
          <w:rFonts w:cs="Arial"/>
          <w:rtl/>
        </w:rPr>
        <w:t>"</w:t>
      </w:r>
      <w:r w:rsidRPr="006737C8">
        <w:rPr>
          <w:rFonts w:cs="Arial" w:hint="cs"/>
          <w:rtl/>
        </w:rPr>
        <w:t>א</w:t>
      </w:r>
      <w:r w:rsidRPr="006737C8">
        <w:rPr>
          <w:rFonts w:cs="Arial"/>
          <w:rtl/>
        </w:rPr>
        <w:t xml:space="preserve"> (</w:t>
      </w:r>
      <w:r w:rsidRPr="006737C8">
        <w:rPr>
          <w:rFonts w:cs="Arial" w:hint="cs"/>
          <w:rtl/>
        </w:rPr>
        <w:t>ד</w:t>
      </w:r>
      <w:r w:rsidRPr="006737C8">
        <w:rPr>
          <w:rFonts w:cs="Arial"/>
          <w:rtl/>
        </w:rPr>
        <w:t>"</w:t>
      </w:r>
      <w:r w:rsidRPr="006737C8">
        <w:rPr>
          <w:rFonts w:cs="Arial" w:hint="cs"/>
          <w:rtl/>
        </w:rPr>
        <w:t>מ</w:t>
      </w:r>
      <w:r w:rsidRPr="006737C8">
        <w:rPr>
          <w:rFonts w:cs="Arial"/>
          <w:rtl/>
        </w:rPr>
        <w:t xml:space="preserve"> </w:t>
      </w:r>
      <w:r w:rsidRPr="006737C8">
        <w:rPr>
          <w:rFonts w:cs="Arial" w:hint="cs"/>
          <w:rtl/>
        </w:rPr>
        <w:t>אות</w:t>
      </w:r>
      <w:r w:rsidRPr="006737C8">
        <w:rPr>
          <w:rFonts w:cs="Arial"/>
          <w:rtl/>
        </w:rPr>
        <w:t xml:space="preserve"> </w:t>
      </w:r>
      <w:r w:rsidRPr="006737C8">
        <w:rPr>
          <w:rFonts w:cs="Arial" w:hint="cs"/>
          <w:rtl/>
        </w:rPr>
        <w:t>א</w:t>
      </w:r>
      <w:r w:rsidRPr="006737C8">
        <w:rPr>
          <w:rFonts w:cs="Arial"/>
          <w:rtl/>
        </w:rPr>
        <w:t xml:space="preserve">) </w:t>
      </w:r>
      <w:r w:rsidRPr="006737C8">
        <w:rPr>
          <w:rFonts w:cs="Arial" w:hint="cs"/>
          <w:rtl/>
        </w:rPr>
        <w:t>ועיין</w:t>
      </w:r>
      <w:r w:rsidRPr="006737C8">
        <w:rPr>
          <w:rFonts w:cs="Arial"/>
          <w:rtl/>
        </w:rPr>
        <w:t xml:space="preserve"> </w:t>
      </w:r>
      <w:r w:rsidRPr="006737C8">
        <w:rPr>
          <w:rFonts w:cs="Arial" w:hint="cs"/>
          <w:rtl/>
        </w:rPr>
        <w:t>לקמן</w:t>
      </w:r>
      <w:r w:rsidRPr="006737C8">
        <w:rPr>
          <w:rFonts w:cs="Arial"/>
          <w:rtl/>
        </w:rPr>
        <w:t xml:space="preserve"> </w:t>
      </w:r>
      <w:r w:rsidRPr="006737C8">
        <w:rPr>
          <w:rFonts w:cs="Arial" w:hint="cs"/>
          <w:rtl/>
        </w:rPr>
        <w:t>סימן</w:t>
      </w:r>
      <w:r w:rsidRPr="006737C8">
        <w:rPr>
          <w:rFonts w:cs="Arial"/>
          <w:rtl/>
        </w:rPr>
        <w:t xml:space="preserve"> </w:t>
      </w:r>
      <w:r w:rsidRPr="006737C8">
        <w:rPr>
          <w:rFonts w:cs="Arial" w:hint="cs"/>
          <w:rtl/>
        </w:rPr>
        <w:t>רע</w:t>
      </w:r>
      <w:r w:rsidRPr="006737C8">
        <w:rPr>
          <w:rFonts w:cs="Arial"/>
          <w:rtl/>
        </w:rPr>
        <w:t>"</w:t>
      </w:r>
      <w:r w:rsidRPr="006737C8">
        <w:rPr>
          <w:rFonts w:cs="Arial" w:hint="cs"/>
          <w:rtl/>
        </w:rPr>
        <w:t>ג</w:t>
      </w:r>
      <w:r w:rsidRPr="006737C8">
        <w:rPr>
          <w:rFonts w:cs="Arial"/>
          <w:rtl/>
        </w:rPr>
        <w:t xml:space="preserve"> (</w:t>
      </w:r>
      <w:r w:rsidRPr="006737C8">
        <w:rPr>
          <w:rFonts w:cs="Arial" w:hint="cs"/>
          <w:rtl/>
        </w:rPr>
        <w:t>ד</w:t>
      </w:r>
      <w:r w:rsidRPr="006737C8">
        <w:rPr>
          <w:rFonts w:cs="Arial"/>
          <w:rtl/>
        </w:rPr>
        <w:t>"</w:t>
      </w:r>
      <w:r w:rsidRPr="006737C8">
        <w:rPr>
          <w:rFonts w:cs="Arial" w:hint="cs"/>
          <w:rtl/>
        </w:rPr>
        <w:t>מ</w:t>
      </w:r>
      <w:r w:rsidRPr="006737C8">
        <w:rPr>
          <w:rFonts w:cs="Arial"/>
          <w:rtl/>
        </w:rPr>
        <w:t xml:space="preserve"> </w:t>
      </w:r>
      <w:r w:rsidRPr="006737C8">
        <w:rPr>
          <w:rFonts w:cs="Arial" w:hint="cs"/>
          <w:rtl/>
        </w:rPr>
        <w:t>אות</w:t>
      </w:r>
      <w:r w:rsidRPr="006737C8">
        <w:rPr>
          <w:rFonts w:cs="Arial"/>
          <w:rtl/>
        </w:rPr>
        <w:t xml:space="preserve"> </w:t>
      </w:r>
      <w:r w:rsidRPr="006737C8">
        <w:rPr>
          <w:rFonts w:cs="Arial" w:hint="cs"/>
          <w:rtl/>
        </w:rPr>
        <w:t>ג</w:t>
      </w:r>
      <w:r w:rsidRPr="006737C8">
        <w:rPr>
          <w:rFonts w:cs="Arial"/>
          <w:rtl/>
        </w:rPr>
        <w:t xml:space="preserve">) </w:t>
      </w:r>
      <w:r w:rsidRPr="006737C8">
        <w:rPr>
          <w:rFonts w:cs="Arial" w:hint="cs"/>
          <w:rtl/>
        </w:rPr>
        <w:t>שצריך</w:t>
      </w:r>
      <w:r w:rsidRPr="006737C8">
        <w:rPr>
          <w:rFonts w:cs="Arial"/>
          <w:rtl/>
        </w:rPr>
        <w:t xml:space="preserve"> </w:t>
      </w:r>
      <w:r w:rsidRPr="006737C8">
        <w:rPr>
          <w:rFonts w:cs="Arial" w:hint="cs"/>
          <w:rtl/>
        </w:rPr>
        <w:t>לעשות</w:t>
      </w:r>
      <w:r w:rsidRPr="006737C8">
        <w:rPr>
          <w:rFonts w:cs="Arial"/>
          <w:rtl/>
        </w:rPr>
        <w:t xml:space="preserve"> </w:t>
      </w:r>
      <w:r w:rsidRPr="006737C8">
        <w:rPr>
          <w:rFonts w:cs="Arial" w:hint="cs"/>
          <w:rtl/>
        </w:rPr>
        <w:t>נרות</w:t>
      </w:r>
      <w:r w:rsidRPr="006737C8">
        <w:rPr>
          <w:rFonts w:cs="Arial"/>
          <w:rtl/>
        </w:rPr>
        <w:t xml:space="preserve"> </w:t>
      </w:r>
      <w:r w:rsidRPr="006737C8">
        <w:rPr>
          <w:rFonts w:cs="Arial" w:hint="cs"/>
          <w:rtl/>
        </w:rPr>
        <w:t>שדולקים</w:t>
      </w:r>
      <w:r w:rsidRPr="006737C8">
        <w:rPr>
          <w:rFonts w:cs="Arial"/>
          <w:rtl/>
        </w:rPr>
        <w:t xml:space="preserve"> </w:t>
      </w:r>
      <w:r w:rsidRPr="006737C8">
        <w:rPr>
          <w:rFonts w:cs="Arial" w:hint="cs"/>
          <w:rtl/>
        </w:rPr>
        <w:t>עד</w:t>
      </w:r>
      <w:r w:rsidRPr="006737C8">
        <w:rPr>
          <w:rFonts w:cs="Arial"/>
          <w:rtl/>
        </w:rPr>
        <w:t xml:space="preserve"> </w:t>
      </w:r>
      <w:r w:rsidRPr="006737C8">
        <w:rPr>
          <w:rFonts w:cs="Arial" w:hint="cs"/>
          <w:rtl/>
        </w:rPr>
        <w:t>הלילה</w:t>
      </w:r>
      <w:r>
        <w:rPr>
          <w:rFonts w:hint="cs"/>
          <w:rtl/>
        </w:rPr>
        <w:t>, דרכ"מ (אות א*).</w:t>
      </w:r>
    </w:p>
  </w:footnote>
  <w:footnote w:id="626">
    <w:p w14:paraId="79CB26C8" w14:textId="77777777" w:rsidR="004B2E7C" w:rsidRDefault="004B2E7C" w:rsidP="00285819">
      <w:pPr>
        <w:pStyle w:val="a7"/>
      </w:pPr>
      <w:r>
        <w:rPr>
          <w:rStyle w:val="a9"/>
        </w:rPr>
        <w:footnoteRef/>
      </w:r>
      <w:r>
        <w:rPr>
          <w:rtl/>
        </w:rPr>
        <w:t xml:space="preserve"> </w:t>
      </w:r>
      <w:r w:rsidRPr="00EA0872">
        <w:rPr>
          <w:rFonts w:cs="Arial" w:hint="cs"/>
          <w:rtl/>
        </w:rPr>
        <w:t>אבל</w:t>
      </w:r>
      <w:r w:rsidRPr="00EA0872">
        <w:rPr>
          <w:rFonts w:cs="Arial"/>
          <w:rtl/>
        </w:rPr>
        <w:t xml:space="preserve"> </w:t>
      </w:r>
      <w:r w:rsidRPr="00EA0872">
        <w:rPr>
          <w:rFonts w:cs="Arial" w:hint="cs"/>
          <w:rtl/>
        </w:rPr>
        <w:t>קודם</w:t>
      </w:r>
      <w:r w:rsidRPr="00EA0872">
        <w:rPr>
          <w:rFonts w:cs="Arial"/>
          <w:rtl/>
        </w:rPr>
        <w:t xml:space="preserve"> </w:t>
      </w:r>
      <w:r w:rsidRPr="00EA0872">
        <w:rPr>
          <w:rFonts w:cs="Arial" w:hint="cs"/>
          <w:rtl/>
        </w:rPr>
        <w:t>פלג</w:t>
      </w:r>
      <w:r w:rsidRPr="00EA0872">
        <w:rPr>
          <w:rFonts w:cs="Arial"/>
          <w:rtl/>
        </w:rPr>
        <w:t xml:space="preserve"> </w:t>
      </w:r>
      <w:r w:rsidRPr="00EA0872">
        <w:rPr>
          <w:rFonts w:cs="Arial" w:hint="cs"/>
          <w:rtl/>
        </w:rPr>
        <w:t>המנחה</w:t>
      </w:r>
      <w:r w:rsidRPr="00EA0872">
        <w:rPr>
          <w:rFonts w:cs="Arial"/>
          <w:rtl/>
        </w:rPr>
        <w:t xml:space="preserve"> </w:t>
      </w:r>
      <w:r w:rsidRPr="00EA0872">
        <w:rPr>
          <w:rFonts w:cs="Arial" w:hint="cs"/>
          <w:rtl/>
        </w:rPr>
        <w:t>אין</w:t>
      </w:r>
      <w:r w:rsidRPr="00EA0872">
        <w:rPr>
          <w:rFonts w:cs="Arial"/>
          <w:rtl/>
        </w:rPr>
        <w:t xml:space="preserve"> </w:t>
      </w:r>
      <w:r w:rsidRPr="00EA0872">
        <w:rPr>
          <w:rFonts w:cs="Arial" w:hint="cs"/>
          <w:rtl/>
        </w:rPr>
        <w:t>קבלתו</w:t>
      </w:r>
      <w:r w:rsidRPr="00EA0872">
        <w:rPr>
          <w:rFonts w:cs="Arial"/>
          <w:rtl/>
        </w:rPr>
        <w:t xml:space="preserve"> </w:t>
      </w:r>
      <w:r w:rsidRPr="00EA0872">
        <w:rPr>
          <w:rFonts w:cs="Arial" w:hint="cs"/>
          <w:rtl/>
        </w:rPr>
        <w:t>קבלה</w:t>
      </w:r>
      <w:r w:rsidRPr="00EA0872">
        <w:rPr>
          <w:rFonts w:cs="Arial"/>
          <w:rtl/>
        </w:rPr>
        <w:t xml:space="preserve"> </w:t>
      </w:r>
      <w:r w:rsidRPr="00EA0872">
        <w:rPr>
          <w:rFonts w:cs="Arial" w:hint="cs"/>
          <w:rtl/>
        </w:rPr>
        <w:t>אף</w:t>
      </w:r>
      <w:r w:rsidRPr="00EA0872">
        <w:rPr>
          <w:rFonts w:cs="Arial"/>
          <w:rtl/>
        </w:rPr>
        <w:t xml:space="preserve"> </w:t>
      </w:r>
      <w:r w:rsidRPr="00EA0872">
        <w:rPr>
          <w:rFonts w:cs="Arial" w:hint="cs"/>
          <w:rtl/>
        </w:rPr>
        <w:t>בדיעבד</w:t>
      </w:r>
      <w:r w:rsidRPr="00EA0872">
        <w:rPr>
          <w:rFonts w:cs="Arial"/>
          <w:rtl/>
        </w:rPr>
        <w:t xml:space="preserve"> </w:t>
      </w:r>
      <w:r w:rsidRPr="00EA0872">
        <w:rPr>
          <w:rFonts w:cs="Arial" w:hint="cs"/>
          <w:rtl/>
        </w:rPr>
        <w:t>ועיין</w:t>
      </w:r>
      <w:r w:rsidRPr="00EA0872">
        <w:rPr>
          <w:rFonts w:cs="Arial"/>
          <w:rtl/>
        </w:rPr>
        <w:t xml:space="preserve"> </w:t>
      </w:r>
      <w:r w:rsidRPr="00EA0872">
        <w:rPr>
          <w:rFonts w:cs="Arial" w:hint="cs"/>
          <w:rtl/>
        </w:rPr>
        <w:t>בסימן</w:t>
      </w:r>
      <w:r w:rsidRPr="00EA0872">
        <w:rPr>
          <w:rFonts w:cs="Arial"/>
          <w:rtl/>
        </w:rPr>
        <w:t xml:space="preserve"> </w:t>
      </w:r>
      <w:r w:rsidRPr="00EA0872">
        <w:rPr>
          <w:rFonts w:cs="Arial" w:hint="cs"/>
          <w:rtl/>
        </w:rPr>
        <w:t>רס</w:t>
      </w:r>
      <w:r w:rsidRPr="00EA0872">
        <w:rPr>
          <w:rFonts w:cs="Arial"/>
          <w:rtl/>
        </w:rPr>
        <w:t>"</w:t>
      </w:r>
      <w:r w:rsidRPr="00EA0872">
        <w:rPr>
          <w:rFonts w:cs="Arial" w:hint="cs"/>
          <w:rtl/>
        </w:rPr>
        <w:t>א</w:t>
      </w:r>
      <w:r w:rsidRPr="00EA0872">
        <w:rPr>
          <w:rFonts w:cs="Arial"/>
          <w:rtl/>
        </w:rPr>
        <w:t xml:space="preserve"> </w:t>
      </w:r>
      <w:r w:rsidRPr="00EA0872">
        <w:rPr>
          <w:rFonts w:cs="Arial" w:hint="cs"/>
          <w:rtl/>
        </w:rPr>
        <w:t>סקכ</w:t>
      </w:r>
      <w:r w:rsidRPr="00EA0872">
        <w:rPr>
          <w:rFonts w:cs="Arial"/>
          <w:rtl/>
        </w:rPr>
        <w:t>"</w:t>
      </w:r>
      <w:r w:rsidRPr="00EA0872">
        <w:rPr>
          <w:rFonts w:cs="Arial" w:hint="cs"/>
          <w:rtl/>
        </w:rPr>
        <w:t>ה</w:t>
      </w:r>
      <w:r w:rsidRPr="00EA0872">
        <w:rPr>
          <w:rFonts w:cs="Arial"/>
          <w:rtl/>
        </w:rPr>
        <w:t xml:space="preserve"> </w:t>
      </w:r>
      <w:r w:rsidRPr="00EA0872">
        <w:rPr>
          <w:rFonts w:cs="Arial" w:hint="cs"/>
          <w:rtl/>
        </w:rPr>
        <w:t>במ</w:t>
      </w:r>
      <w:r w:rsidRPr="00EA0872">
        <w:rPr>
          <w:rFonts w:cs="Arial"/>
          <w:rtl/>
        </w:rPr>
        <w:t>"</w:t>
      </w:r>
      <w:r w:rsidRPr="00EA0872">
        <w:rPr>
          <w:rFonts w:cs="Arial" w:hint="cs"/>
          <w:rtl/>
        </w:rPr>
        <w:t>ב</w:t>
      </w:r>
      <w:r>
        <w:rPr>
          <w:rFonts w:cs="Arial" w:hint="cs"/>
          <w:rtl/>
        </w:rPr>
        <w:t>, משנ"ב (סקי"ח).</w:t>
      </w:r>
    </w:p>
  </w:footnote>
  <w:footnote w:id="627">
    <w:p w14:paraId="019BB182" w14:textId="77777777" w:rsidR="004B2E7C" w:rsidRDefault="004B2E7C" w:rsidP="00285819">
      <w:pPr>
        <w:pStyle w:val="a7"/>
        <w:rPr>
          <w:rtl/>
        </w:rPr>
      </w:pPr>
      <w:r>
        <w:rPr>
          <w:rStyle w:val="a9"/>
        </w:rPr>
        <w:footnoteRef/>
      </w:r>
      <w:r>
        <w:rPr>
          <w:rtl/>
        </w:rPr>
        <w:t xml:space="preserve"> </w:t>
      </w:r>
      <w:r w:rsidRPr="003261EC">
        <w:rPr>
          <w:rFonts w:cs="Arial" w:hint="cs"/>
          <w:rtl/>
        </w:rPr>
        <w:t>היינו</w:t>
      </w:r>
      <w:r w:rsidRPr="003261EC">
        <w:rPr>
          <w:rFonts w:cs="Arial"/>
          <w:rtl/>
        </w:rPr>
        <w:t xml:space="preserve"> </w:t>
      </w:r>
      <w:r w:rsidRPr="003261EC">
        <w:rPr>
          <w:rFonts w:cs="Arial" w:hint="cs"/>
          <w:rtl/>
        </w:rPr>
        <w:t>צאת</w:t>
      </w:r>
      <w:r w:rsidRPr="003261EC">
        <w:rPr>
          <w:rFonts w:cs="Arial"/>
          <w:rtl/>
        </w:rPr>
        <w:t xml:space="preserve"> </w:t>
      </w:r>
      <w:r w:rsidRPr="003261EC">
        <w:rPr>
          <w:rFonts w:cs="Arial" w:hint="cs"/>
          <w:rtl/>
        </w:rPr>
        <w:t>ג</w:t>
      </w:r>
      <w:r w:rsidRPr="003261EC">
        <w:rPr>
          <w:rFonts w:cs="Arial"/>
          <w:rtl/>
        </w:rPr>
        <w:t xml:space="preserve">' </w:t>
      </w:r>
      <w:r w:rsidRPr="003261EC">
        <w:rPr>
          <w:rFonts w:cs="Arial" w:hint="cs"/>
          <w:rtl/>
        </w:rPr>
        <w:t>כוכבים</w:t>
      </w:r>
      <w:r>
        <w:rPr>
          <w:rFonts w:cs="Arial" w:hint="cs"/>
          <w:rtl/>
        </w:rPr>
        <w:t>.</w:t>
      </w:r>
      <w:r w:rsidRPr="003261EC">
        <w:rPr>
          <w:rFonts w:cs="Arial"/>
          <w:rtl/>
        </w:rPr>
        <w:t xml:space="preserve"> </w:t>
      </w:r>
      <w:r w:rsidRPr="003261EC">
        <w:rPr>
          <w:rFonts w:cs="Arial" w:hint="cs"/>
          <w:rtl/>
        </w:rPr>
        <w:t>ודעת</w:t>
      </w:r>
      <w:r w:rsidRPr="003261EC">
        <w:rPr>
          <w:rFonts w:cs="Arial"/>
          <w:rtl/>
        </w:rPr>
        <w:t xml:space="preserve"> </w:t>
      </w:r>
      <w:r w:rsidRPr="003261EC">
        <w:rPr>
          <w:rFonts w:cs="Arial" w:hint="cs"/>
          <w:rtl/>
        </w:rPr>
        <w:t>הלבוש</w:t>
      </w:r>
      <w:r w:rsidRPr="003261EC">
        <w:rPr>
          <w:rFonts w:cs="Arial"/>
          <w:rtl/>
        </w:rPr>
        <w:t xml:space="preserve"> </w:t>
      </w:r>
      <w:r w:rsidRPr="003261EC">
        <w:rPr>
          <w:rFonts w:cs="Arial" w:hint="cs"/>
          <w:rtl/>
        </w:rPr>
        <w:t>והגר</w:t>
      </w:r>
      <w:r w:rsidRPr="003261EC">
        <w:rPr>
          <w:rFonts w:cs="Arial"/>
          <w:rtl/>
        </w:rPr>
        <w:t>"</w:t>
      </w:r>
      <w:r w:rsidRPr="003261EC">
        <w:rPr>
          <w:rFonts w:cs="Arial" w:hint="cs"/>
          <w:rtl/>
        </w:rPr>
        <w:t>א</w:t>
      </w:r>
      <w:r w:rsidRPr="003261EC">
        <w:rPr>
          <w:rFonts w:cs="Arial"/>
          <w:rtl/>
        </w:rPr>
        <w:t xml:space="preserve"> </w:t>
      </w:r>
      <w:r w:rsidRPr="003261EC">
        <w:rPr>
          <w:rFonts w:cs="Arial" w:hint="cs"/>
          <w:rtl/>
        </w:rPr>
        <w:t>דפלג</w:t>
      </w:r>
      <w:r w:rsidRPr="003261EC">
        <w:rPr>
          <w:rFonts w:cs="Arial"/>
          <w:rtl/>
        </w:rPr>
        <w:t xml:space="preserve"> </w:t>
      </w:r>
      <w:r w:rsidRPr="003261EC">
        <w:rPr>
          <w:rFonts w:cs="Arial" w:hint="cs"/>
          <w:rtl/>
        </w:rPr>
        <w:t>המנחה</w:t>
      </w:r>
      <w:r w:rsidRPr="003261EC">
        <w:rPr>
          <w:rFonts w:cs="Arial"/>
          <w:rtl/>
        </w:rPr>
        <w:t xml:space="preserve"> </w:t>
      </w:r>
      <w:r w:rsidRPr="003261EC">
        <w:rPr>
          <w:rFonts w:cs="Arial" w:hint="cs"/>
          <w:rtl/>
        </w:rPr>
        <w:t>הוא</w:t>
      </w:r>
      <w:r w:rsidRPr="003261EC">
        <w:rPr>
          <w:rFonts w:cs="Arial"/>
          <w:rtl/>
        </w:rPr>
        <w:t xml:space="preserve"> </w:t>
      </w:r>
      <w:r w:rsidRPr="003261EC">
        <w:rPr>
          <w:rFonts w:cs="Arial" w:hint="cs"/>
          <w:rtl/>
        </w:rPr>
        <w:t>שעה</w:t>
      </w:r>
      <w:r w:rsidRPr="003261EC">
        <w:rPr>
          <w:rFonts w:cs="Arial"/>
          <w:rtl/>
        </w:rPr>
        <w:t xml:space="preserve"> </w:t>
      </w:r>
      <w:r w:rsidRPr="003261EC">
        <w:rPr>
          <w:rFonts w:cs="Arial" w:hint="cs"/>
          <w:rtl/>
        </w:rPr>
        <w:t>ורביע</w:t>
      </w:r>
      <w:r w:rsidRPr="003261EC">
        <w:rPr>
          <w:rFonts w:cs="Arial"/>
          <w:rtl/>
        </w:rPr>
        <w:t xml:space="preserve"> </w:t>
      </w:r>
      <w:r w:rsidRPr="003261EC">
        <w:rPr>
          <w:rFonts w:cs="Arial" w:hint="cs"/>
          <w:rtl/>
        </w:rPr>
        <w:t>קודם</w:t>
      </w:r>
      <w:r w:rsidRPr="003261EC">
        <w:rPr>
          <w:rFonts w:cs="Arial"/>
          <w:rtl/>
        </w:rPr>
        <w:t xml:space="preserve"> </w:t>
      </w:r>
      <w:r w:rsidRPr="003261EC">
        <w:rPr>
          <w:rFonts w:cs="Arial" w:hint="cs"/>
          <w:rtl/>
        </w:rPr>
        <w:t>השקיעה</w:t>
      </w:r>
      <w:r w:rsidRPr="003261EC">
        <w:rPr>
          <w:rFonts w:cs="Arial"/>
          <w:rtl/>
        </w:rPr>
        <w:t xml:space="preserve">. </w:t>
      </w:r>
      <w:r w:rsidRPr="003261EC">
        <w:rPr>
          <w:rFonts w:cs="Arial" w:hint="cs"/>
          <w:rtl/>
        </w:rPr>
        <w:t>ולכו</w:t>
      </w:r>
      <w:r w:rsidRPr="003261EC">
        <w:rPr>
          <w:rFonts w:cs="Arial"/>
          <w:rtl/>
        </w:rPr>
        <w:t>"</w:t>
      </w:r>
      <w:r w:rsidRPr="003261EC">
        <w:rPr>
          <w:rFonts w:cs="Arial" w:hint="cs"/>
          <w:rtl/>
        </w:rPr>
        <w:t>ע</w:t>
      </w:r>
      <w:r w:rsidRPr="003261EC">
        <w:rPr>
          <w:rFonts w:cs="Arial"/>
          <w:rtl/>
        </w:rPr>
        <w:t xml:space="preserve"> </w:t>
      </w:r>
      <w:r w:rsidRPr="003261EC">
        <w:rPr>
          <w:rFonts w:cs="Arial" w:hint="cs"/>
          <w:rtl/>
        </w:rPr>
        <w:t>שעה</w:t>
      </w:r>
      <w:r w:rsidRPr="003261EC">
        <w:rPr>
          <w:rFonts w:cs="Arial"/>
          <w:rtl/>
        </w:rPr>
        <w:t xml:space="preserve"> </w:t>
      </w:r>
      <w:r w:rsidRPr="003261EC">
        <w:rPr>
          <w:rFonts w:cs="Arial" w:hint="cs"/>
          <w:rtl/>
        </w:rPr>
        <w:t>ורביע</w:t>
      </w:r>
      <w:r w:rsidRPr="003261EC">
        <w:rPr>
          <w:rFonts w:cs="Arial"/>
          <w:rtl/>
        </w:rPr>
        <w:t xml:space="preserve"> </w:t>
      </w:r>
      <w:r w:rsidRPr="003261EC">
        <w:rPr>
          <w:rFonts w:cs="Arial" w:hint="cs"/>
          <w:rtl/>
        </w:rPr>
        <w:t>זו</w:t>
      </w:r>
      <w:r w:rsidRPr="003261EC">
        <w:rPr>
          <w:rFonts w:cs="Arial"/>
          <w:rtl/>
        </w:rPr>
        <w:t xml:space="preserve"> </w:t>
      </w:r>
      <w:r w:rsidRPr="003261EC">
        <w:rPr>
          <w:rFonts w:cs="Arial" w:hint="cs"/>
          <w:rtl/>
        </w:rPr>
        <w:t>היא</w:t>
      </w:r>
      <w:r w:rsidRPr="003261EC">
        <w:rPr>
          <w:rFonts w:cs="Arial"/>
          <w:rtl/>
        </w:rPr>
        <w:t xml:space="preserve"> </w:t>
      </w:r>
      <w:r w:rsidRPr="003261EC">
        <w:rPr>
          <w:rFonts w:cs="Arial" w:hint="cs"/>
          <w:rtl/>
        </w:rPr>
        <w:t>שעה</w:t>
      </w:r>
      <w:r w:rsidRPr="003261EC">
        <w:rPr>
          <w:rFonts w:cs="Arial"/>
          <w:rtl/>
        </w:rPr>
        <w:t xml:space="preserve"> </w:t>
      </w:r>
      <w:r w:rsidRPr="003261EC">
        <w:rPr>
          <w:rFonts w:cs="Arial" w:hint="cs"/>
          <w:rtl/>
        </w:rPr>
        <w:t>זמנית</w:t>
      </w:r>
      <w:r w:rsidRPr="003261EC">
        <w:rPr>
          <w:rFonts w:cs="Arial"/>
          <w:rtl/>
        </w:rPr>
        <w:t xml:space="preserve"> </w:t>
      </w:r>
      <w:r w:rsidRPr="003261EC">
        <w:rPr>
          <w:rFonts w:cs="Arial" w:hint="cs"/>
          <w:rtl/>
        </w:rPr>
        <w:t>דהיינו</w:t>
      </w:r>
      <w:r w:rsidRPr="003261EC">
        <w:rPr>
          <w:rFonts w:cs="Arial"/>
          <w:rtl/>
        </w:rPr>
        <w:t xml:space="preserve"> </w:t>
      </w:r>
      <w:r w:rsidRPr="003261EC">
        <w:rPr>
          <w:rFonts w:cs="Arial" w:hint="cs"/>
          <w:rtl/>
        </w:rPr>
        <w:t>שמתחלק</w:t>
      </w:r>
      <w:r w:rsidRPr="003261EC">
        <w:rPr>
          <w:rFonts w:cs="Arial"/>
          <w:rtl/>
        </w:rPr>
        <w:t xml:space="preserve"> </w:t>
      </w:r>
      <w:r w:rsidRPr="003261EC">
        <w:rPr>
          <w:rFonts w:cs="Arial" w:hint="cs"/>
          <w:rtl/>
        </w:rPr>
        <w:t>כל</w:t>
      </w:r>
      <w:r w:rsidRPr="003261EC">
        <w:rPr>
          <w:rFonts w:cs="Arial"/>
          <w:rtl/>
        </w:rPr>
        <w:t xml:space="preserve"> </w:t>
      </w:r>
      <w:r w:rsidRPr="003261EC">
        <w:rPr>
          <w:rFonts w:cs="Arial" w:hint="cs"/>
          <w:rtl/>
        </w:rPr>
        <w:t>יום</w:t>
      </w:r>
      <w:r w:rsidRPr="003261EC">
        <w:rPr>
          <w:rFonts w:cs="Arial"/>
          <w:rtl/>
        </w:rPr>
        <w:t xml:space="preserve"> </w:t>
      </w:r>
      <w:r w:rsidRPr="003261EC">
        <w:rPr>
          <w:rFonts w:cs="Arial" w:hint="cs"/>
          <w:rtl/>
        </w:rPr>
        <w:t>לי</w:t>
      </w:r>
      <w:r w:rsidRPr="003261EC">
        <w:rPr>
          <w:rFonts w:cs="Arial"/>
          <w:rtl/>
        </w:rPr>
        <w:t>"</w:t>
      </w:r>
      <w:r w:rsidRPr="003261EC">
        <w:rPr>
          <w:rFonts w:cs="Arial" w:hint="cs"/>
          <w:rtl/>
        </w:rPr>
        <w:t>ב</w:t>
      </w:r>
      <w:r w:rsidRPr="003261EC">
        <w:rPr>
          <w:rFonts w:cs="Arial"/>
          <w:rtl/>
        </w:rPr>
        <w:t xml:space="preserve"> </w:t>
      </w:r>
      <w:r w:rsidRPr="003261EC">
        <w:rPr>
          <w:rFonts w:cs="Arial" w:hint="cs"/>
          <w:rtl/>
        </w:rPr>
        <w:t>חלקים</w:t>
      </w:r>
      <w:r w:rsidRPr="003261EC">
        <w:rPr>
          <w:rFonts w:cs="Arial"/>
          <w:rtl/>
        </w:rPr>
        <w:t xml:space="preserve"> </w:t>
      </w:r>
      <w:r w:rsidRPr="003261EC">
        <w:rPr>
          <w:rFonts w:cs="Arial" w:hint="cs"/>
          <w:rtl/>
        </w:rPr>
        <w:t>לפי</w:t>
      </w:r>
      <w:r w:rsidRPr="003261EC">
        <w:rPr>
          <w:rFonts w:cs="Arial"/>
          <w:rtl/>
        </w:rPr>
        <w:t xml:space="preserve"> </w:t>
      </w:r>
      <w:r w:rsidRPr="003261EC">
        <w:rPr>
          <w:rFonts w:cs="Arial" w:hint="cs"/>
          <w:rtl/>
        </w:rPr>
        <w:t>שעותיו</w:t>
      </w:r>
      <w:r w:rsidRPr="003261EC">
        <w:rPr>
          <w:rFonts w:cs="Arial"/>
          <w:rtl/>
        </w:rPr>
        <w:t xml:space="preserve"> </w:t>
      </w:r>
      <w:r w:rsidRPr="003261EC">
        <w:rPr>
          <w:rFonts w:cs="Arial" w:hint="cs"/>
          <w:rtl/>
        </w:rPr>
        <w:t>בין</w:t>
      </w:r>
      <w:r w:rsidRPr="003261EC">
        <w:rPr>
          <w:rFonts w:cs="Arial"/>
          <w:rtl/>
        </w:rPr>
        <w:t xml:space="preserve"> </w:t>
      </w:r>
      <w:r w:rsidRPr="003261EC">
        <w:rPr>
          <w:rFonts w:cs="Arial" w:hint="cs"/>
          <w:rtl/>
        </w:rPr>
        <w:t>שהוא</w:t>
      </w:r>
      <w:r w:rsidRPr="003261EC">
        <w:rPr>
          <w:rFonts w:cs="Arial"/>
          <w:rtl/>
        </w:rPr>
        <w:t xml:space="preserve"> </w:t>
      </w:r>
      <w:r w:rsidRPr="003261EC">
        <w:rPr>
          <w:rFonts w:cs="Arial" w:hint="cs"/>
          <w:rtl/>
        </w:rPr>
        <w:t>ארוך</w:t>
      </w:r>
      <w:r w:rsidRPr="003261EC">
        <w:rPr>
          <w:rFonts w:cs="Arial"/>
          <w:rtl/>
        </w:rPr>
        <w:t xml:space="preserve"> </w:t>
      </w:r>
      <w:r w:rsidRPr="003261EC">
        <w:rPr>
          <w:rFonts w:cs="Arial" w:hint="cs"/>
          <w:rtl/>
        </w:rPr>
        <w:t>או</w:t>
      </w:r>
      <w:r w:rsidRPr="003261EC">
        <w:rPr>
          <w:rFonts w:cs="Arial"/>
          <w:rtl/>
        </w:rPr>
        <w:t xml:space="preserve"> </w:t>
      </w:r>
      <w:r w:rsidRPr="003261EC">
        <w:rPr>
          <w:rFonts w:cs="Arial" w:hint="cs"/>
          <w:rtl/>
        </w:rPr>
        <w:t>קצר</w:t>
      </w:r>
      <w:r w:rsidRPr="003261EC">
        <w:rPr>
          <w:rFonts w:cs="Arial"/>
          <w:rtl/>
        </w:rPr>
        <w:t xml:space="preserve"> </w:t>
      </w:r>
      <w:r w:rsidRPr="003261EC">
        <w:rPr>
          <w:rFonts w:cs="Arial" w:hint="cs"/>
          <w:rtl/>
        </w:rPr>
        <w:t>להשו</w:t>
      </w:r>
      <w:r w:rsidRPr="003261EC">
        <w:rPr>
          <w:rFonts w:cs="Arial"/>
          <w:rtl/>
        </w:rPr>
        <w:t>"</w:t>
      </w:r>
      <w:r w:rsidRPr="003261EC">
        <w:rPr>
          <w:rFonts w:cs="Arial" w:hint="cs"/>
          <w:rtl/>
        </w:rPr>
        <w:t>ע</w:t>
      </w:r>
      <w:r w:rsidRPr="003261EC">
        <w:rPr>
          <w:rFonts w:cs="Arial"/>
          <w:rtl/>
        </w:rPr>
        <w:t xml:space="preserve"> </w:t>
      </w:r>
      <w:r w:rsidRPr="003261EC">
        <w:rPr>
          <w:rFonts w:cs="Arial" w:hint="cs"/>
          <w:rtl/>
        </w:rPr>
        <w:t>מתחלק</w:t>
      </w:r>
      <w:r w:rsidRPr="003261EC">
        <w:rPr>
          <w:rFonts w:cs="Arial"/>
          <w:rtl/>
        </w:rPr>
        <w:t xml:space="preserve"> </w:t>
      </w:r>
      <w:r w:rsidRPr="003261EC">
        <w:rPr>
          <w:rFonts w:cs="Arial" w:hint="cs"/>
          <w:rtl/>
        </w:rPr>
        <w:t>מעה</w:t>
      </w:r>
      <w:r w:rsidRPr="003261EC">
        <w:rPr>
          <w:rFonts w:cs="Arial"/>
          <w:rtl/>
        </w:rPr>
        <w:t>"</w:t>
      </w:r>
      <w:r w:rsidRPr="003261EC">
        <w:rPr>
          <w:rFonts w:cs="Arial" w:hint="cs"/>
          <w:rtl/>
        </w:rPr>
        <w:t>ש</w:t>
      </w:r>
      <w:r w:rsidRPr="003261EC">
        <w:rPr>
          <w:rFonts w:cs="Arial"/>
          <w:rtl/>
        </w:rPr>
        <w:t xml:space="preserve"> </w:t>
      </w:r>
      <w:r w:rsidRPr="003261EC">
        <w:rPr>
          <w:rFonts w:cs="Arial" w:hint="cs"/>
          <w:rtl/>
        </w:rPr>
        <w:t>עד</w:t>
      </w:r>
      <w:r w:rsidRPr="003261EC">
        <w:rPr>
          <w:rFonts w:cs="Arial"/>
          <w:rtl/>
        </w:rPr>
        <w:t xml:space="preserve"> </w:t>
      </w:r>
      <w:r w:rsidRPr="003261EC">
        <w:rPr>
          <w:rFonts w:cs="Arial" w:hint="cs"/>
          <w:rtl/>
        </w:rPr>
        <w:t>צאת</w:t>
      </w:r>
      <w:r w:rsidRPr="003261EC">
        <w:rPr>
          <w:rFonts w:cs="Arial"/>
          <w:rtl/>
        </w:rPr>
        <w:t xml:space="preserve"> </w:t>
      </w:r>
      <w:r w:rsidRPr="003261EC">
        <w:rPr>
          <w:rFonts w:cs="Arial" w:hint="cs"/>
          <w:rtl/>
        </w:rPr>
        <w:t>הכוכבים</w:t>
      </w:r>
      <w:r w:rsidRPr="003261EC">
        <w:rPr>
          <w:rFonts w:cs="Arial"/>
          <w:rtl/>
        </w:rPr>
        <w:t xml:space="preserve"> </w:t>
      </w:r>
      <w:r w:rsidRPr="003261EC">
        <w:rPr>
          <w:rFonts w:cs="Arial" w:hint="cs"/>
          <w:rtl/>
        </w:rPr>
        <w:t>ולהלבוש</w:t>
      </w:r>
      <w:r w:rsidRPr="003261EC">
        <w:rPr>
          <w:rFonts w:cs="Arial"/>
          <w:rtl/>
        </w:rPr>
        <w:t xml:space="preserve"> </w:t>
      </w:r>
      <w:r w:rsidRPr="003261EC">
        <w:rPr>
          <w:rFonts w:cs="Arial" w:hint="cs"/>
          <w:rtl/>
        </w:rPr>
        <w:t>והגר</w:t>
      </w:r>
      <w:r w:rsidRPr="003261EC">
        <w:rPr>
          <w:rFonts w:cs="Arial"/>
          <w:rtl/>
        </w:rPr>
        <w:t>"</w:t>
      </w:r>
      <w:r w:rsidRPr="003261EC">
        <w:rPr>
          <w:rFonts w:cs="Arial" w:hint="cs"/>
          <w:rtl/>
        </w:rPr>
        <w:t>א</w:t>
      </w:r>
      <w:r w:rsidRPr="003261EC">
        <w:rPr>
          <w:rFonts w:cs="Arial"/>
          <w:rtl/>
        </w:rPr>
        <w:t xml:space="preserve"> </w:t>
      </w:r>
      <w:r w:rsidRPr="003261EC">
        <w:rPr>
          <w:rFonts w:cs="Arial" w:hint="cs"/>
          <w:rtl/>
        </w:rPr>
        <w:t>מזריחת</w:t>
      </w:r>
      <w:r w:rsidRPr="003261EC">
        <w:rPr>
          <w:rFonts w:cs="Arial"/>
          <w:rtl/>
        </w:rPr>
        <w:t xml:space="preserve"> </w:t>
      </w:r>
      <w:r w:rsidRPr="003261EC">
        <w:rPr>
          <w:rFonts w:cs="Arial" w:hint="cs"/>
          <w:rtl/>
        </w:rPr>
        <w:t>השמש</w:t>
      </w:r>
      <w:r w:rsidRPr="003261EC">
        <w:rPr>
          <w:rFonts w:cs="Arial"/>
          <w:rtl/>
        </w:rPr>
        <w:t xml:space="preserve"> </w:t>
      </w:r>
      <w:r w:rsidRPr="003261EC">
        <w:rPr>
          <w:rFonts w:cs="Arial" w:hint="cs"/>
          <w:rtl/>
        </w:rPr>
        <w:t>עד</w:t>
      </w:r>
      <w:r w:rsidRPr="003261EC">
        <w:rPr>
          <w:rFonts w:cs="Arial"/>
          <w:rtl/>
        </w:rPr>
        <w:t xml:space="preserve"> </w:t>
      </w:r>
      <w:r w:rsidRPr="003261EC">
        <w:rPr>
          <w:rFonts w:cs="Arial" w:hint="cs"/>
          <w:rtl/>
        </w:rPr>
        <w:t>השקיעה</w:t>
      </w:r>
      <w:r>
        <w:rPr>
          <w:rFonts w:hint="cs"/>
          <w:rtl/>
        </w:rPr>
        <w:t>, משנ"ב (סקי"ט).</w:t>
      </w:r>
    </w:p>
  </w:footnote>
  <w:footnote w:id="628">
    <w:p w14:paraId="4CF57C9A" w14:textId="77777777" w:rsidR="004B2E7C" w:rsidRDefault="004B2E7C" w:rsidP="00285819">
      <w:pPr>
        <w:pStyle w:val="a7"/>
      </w:pPr>
      <w:r>
        <w:rPr>
          <w:rStyle w:val="a9"/>
        </w:rPr>
        <w:footnoteRef/>
      </w:r>
      <w:r>
        <w:rPr>
          <w:rtl/>
        </w:rPr>
        <w:t xml:space="preserve"> </w:t>
      </w:r>
      <w:r w:rsidRPr="00EA0872">
        <w:rPr>
          <w:rFonts w:cs="Arial" w:hint="cs"/>
          <w:rtl/>
        </w:rPr>
        <w:t>אפילו</w:t>
      </w:r>
      <w:r w:rsidRPr="00EA0872">
        <w:rPr>
          <w:rFonts w:cs="Arial"/>
          <w:rtl/>
        </w:rPr>
        <w:t xml:space="preserve"> </w:t>
      </w:r>
      <w:r w:rsidRPr="00EA0872">
        <w:rPr>
          <w:rFonts w:cs="Arial" w:hint="cs"/>
          <w:rtl/>
        </w:rPr>
        <w:t>אם</w:t>
      </w:r>
      <w:r w:rsidRPr="00EA0872">
        <w:rPr>
          <w:rFonts w:cs="Arial"/>
          <w:rtl/>
        </w:rPr>
        <w:t xml:space="preserve"> </w:t>
      </w:r>
      <w:r w:rsidRPr="00EA0872">
        <w:rPr>
          <w:rFonts w:cs="Arial" w:hint="cs"/>
          <w:rtl/>
        </w:rPr>
        <w:t>היה</w:t>
      </w:r>
      <w:r w:rsidRPr="00EA0872">
        <w:rPr>
          <w:rFonts w:cs="Arial"/>
          <w:rtl/>
        </w:rPr>
        <w:t xml:space="preserve"> </w:t>
      </w:r>
      <w:r w:rsidRPr="00EA0872">
        <w:rPr>
          <w:rFonts w:cs="Arial" w:hint="cs"/>
          <w:rtl/>
        </w:rPr>
        <w:t>אחר</w:t>
      </w:r>
      <w:r w:rsidRPr="00EA0872">
        <w:rPr>
          <w:rFonts w:cs="Arial"/>
          <w:rtl/>
        </w:rPr>
        <w:t xml:space="preserve"> </w:t>
      </w:r>
      <w:r w:rsidRPr="00EA0872">
        <w:rPr>
          <w:rFonts w:cs="Arial" w:hint="cs"/>
          <w:rtl/>
        </w:rPr>
        <w:t>פלג</w:t>
      </w:r>
      <w:r w:rsidRPr="00EA0872">
        <w:rPr>
          <w:rFonts w:cs="Arial"/>
          <w:rtl/>
        </w:rPr>
        <w:t xml:space="preserve"> </w:t>
      </w:r>
      <w:r w:rsidRPr="00EA0872">
        <w:rPr>
          <w:rFonts w:cs="Arial" w:hint="cs"/>
          <w:rtl/>
        </w:rPr>
        <w:t>המנחה</w:t>
      </w:r>
      <w:r w:rsidRPr="00EA0872">
        <w:rPr>
          <w:rFonts w:cs="Arial"/>
          <w:rtl/>
        </w:rPr>
        <w:t xml:space="preserve"> </w:t>
      </w:r>
      <w:r w:rsidRPr="00EA0872">
        <w:rPr>
          <w:rFonts w:cs="Arial" w:hint="cs"/>
          <w:rtl/>
        </w:rPr>
        <w:t>ומיירי</w:t>
      </w:r>
      <w:r w:rsidRPr="00EA0872">
        <w:rPr>
          <w:rFonts w:cs="Arial"/>
          <w:rtl/>
        </w:rPr>
        <w:t xml:space="preserve"> </w:t>
      </w:r>
      <w:r w:rsidRPr="00EA0872">
        <w:rPr>
          <w:rFonts w:cs="Arial" w:hint="cs"/>
          <w:rtl/>
        </w:rPr>
        <w:t>שהיה</w:t>
      </w:r>
      <w:r w:rsidRPr="00EA0872">
        <w:rPr>
          <w:rFonts w:cs="Arial"/>
          <w:rtl/>
        </w:rPr>
        <w:t xml:space="preserve"> </w:t>
      </w:r>
      <w:r w:rsidRPr="00EA0872">
        <w:rPr>
          <w:rFonts w:cs="Arial" w:hint="cs"/>
          <w:rtl/>
        </w:rPr>
        <w:t>דלוק</w:t>
      </w:r>
      <w:r w:rsidRPr="00EA0872">
        <w:rPr>
          <w:rFonts w:cs="Arial"/>
          <w:rtl/>
        </w:rPr>
        <w:t xml:space="preserve"> </w:t>
      </w:r>
      <w:r w:rsidRPr="00EA0872">
        <w:rPr>
          <w:rFonts w:cs="Arial" w:hint="cs"/>
          <w:rtl/>
        </w:rPr>
        <w:t>לענין</w:t>
      </w:r>
      <w:r w:rsidRPr="00EA0872">
        <w:rPr>
          <w:rFonts w:cs="Arial"/>
          <w:rtl/>
        </w:rPr>
        <w:t xml:space="preserve"> </w:t>
      </w:r>
      <w:r w:rsidRPr="00EA0872">
        <w:rPr>
          <w:rFonts w:cs="Arial" w:hint="cs"/>
          <w:rtl/>
        </w:rPr>
        <w:t>אחר</w:t>
      </w:r>
      <w:r w:rsidRPr="00EA0872">
        <w:rPr>
          <w:rFonts w:cs="Arial"/>
          <w:rtl/>
        </w:rPr>
        <w:t xml:space="preserve"> </w:t>
      </w:r>
      <w:r w:rsidRPr="00EA0872">
        <w:rPr>
          <w:rFonts w:cs="Arial" w:hint="cs"/>
          <w:rtl/>
        </w:rPr>
        <w:t>אבל</w:t>
      </w:r>
      <w:r w:rsidRPr="00EA0872">
        <w:rPr>
          <w:rFonts w:cs="Arial"/>
          <w:rtl/>
        </w:rPr>
        <w:t xml:space="preserve"> </w:t>
      </w:r>
      <w:r w:rsidRPr="00EA0872">
        <w:rPr>
          <w:rFonts w:cs="Arial" w:hint="cs"/>
          <w:rtl/>
        </w:rPr>
        <w:t>אם</w:t>
      </w:r>
      <w:r w:rsidRPr="00EA0872">
        <w:rPr>
          <w:rFonts w:cs="Arial"/>
          <w:rtl/>
        </w:rPr>
        <w:t xml:space="preserve"> </w:t>
      </w:r>
      <w:r w:rsidRPr="00EA0872">
        <w:rPr>
          <w:rFonts w:cs="Arial" w:hint="cs"/>
          <w:rtl/>
        </w:rPr>
        <w:t>הדליק</w:t>
      </w:r>
      <w:r w:rsidRPr="00EA0872">
        <w:rPr>
          <w:rFonts w:cs="Arial"/>
          <w:rtl/>
        </w:rPr>
        <w:t xml:space="preserve"> </w:t>
      </w:r>
      <w:r w:rsidRPr="00EA0872">
        <w:rPr>
          <w:rFonts w:cs="Arial" w:hint="cs"/>
          <w:rtl/>
        </w:rPr>
        <w:t>לצורך</w:t>
      </w:r>
      <w:r w:rsidRPr="00EA0872">
        <w:rPr>
          <w:rFonts w:cs="Arial"/>
          <w:rtl/>
        </w:rPr>
        <w:t xml:space="preserve"> </w:t>
      </w:r>
      <w:r w:rsidRPr="00EA0872">
        <w:rPr>
          <w:rFonts w:cs="Arial" w:hint="cs"/>
          <w:rtl/>
        </w:rPr>
        <w:t>שבת</w:t>
      </w:r>
      <w:r w:rsidRPr="00EA0872">
        <w:rPr>
          <w:rFonts w:cs="Arial"/>
          <w:rtl/>
        </w:rPr>
        <w:t xml:space="preserve"> </w:t>
      </w:r>
      <w:r w:rsidRPr="00EA0872">
        <w:rPr>
          <w:rFonts w:cs="Arial" w:hint="cs"/>
          <w:rtl/>
        </w:rPr>
        <w:t>אף</w:t>
      </w:r>
      <w:r w:rsidRPr="00EA0872">
        <w:rPr>
          <w:rFonts w:cs="Arial"/>
          <w:rtl/>
        </w:rPr>
        <w:t xml:space="preserve"> </w:t>
      </w:r>
      <w:r w:rsidRPr="00EA0872">
        <w:rPr>
          <w:rFonts w:cs="Arial" w:hint="cs"/>
          <w:rtl/>
        </w:rPr>
        <w:t>שלא</w:t>
      </w:r>
      <w:r w:rsidRPr="00EA0872">
        <w:rPr>
          <w:rFonts w:cs="Arial"/>
          <w:rtl/>
        </w:rPr>
        <w:t xml:space="preserve"> </w:t>
      </w:r>
      <w:r w:rsidRPr="00EA0872">
        <w:rPr>
          <w:rFonts w:cs="Arial" w:hint="cs"/>
          <w:rtl/>
        </w:rPr>
        <w:t>קבל</w:t>
      </w:r>
      <w:r w:rsidRPr="00EA0872">
        <w:rPr>
          <w:rFonts w:cs="Arial"/>
          <w:rtl/>
        </w:rPr>
        <w:t xml:space="preserve"> </w:t>
      </w:r>
      <w:r w:rsidRPr="00EA0872">
        <w:rPr>
          <w:rFonts w:cs="Arial" w:hint="cs"/>
          <w:rtl/>
        </w:rPr>
        <w:t>עליו</w:t>
      </w:r>
      <w:r w:rsidRPr="00EA0872">
        <w:rPr>
          <w:rFonts w:cs="Arial"/>
          <w:rtl/>
        </w:rPr>
        <w:t xml:space="preserve"> </w:t>
      </w:r>
      <w:r w:rsidRPr="00EA0872">
        <w:rPr>
          <w:rFonts w:cs="Arial" w:hint="cs"/>
          <w:rtl/>
        </w:rPr>
        <w:t>שבת</w:t>
      </w:r>
      <w:r w:rsidRPr="00EA0872">
        <w:rPr>
          <w:rFonts w:cs="Arial"/>
          <w:rtl/>
        </w:rPr>
        <w:t xml:space="preserve"> </w:t>
      </w:r>
      <w:r w:rsidRPr="00EA0872">
        <w:rPr>
          <w:rFonts w:cs="Arial" w:hint="cs"/>
          <w:rtl/>
        </w:rPr>
        <w:t>בהדלקתו</w:t>
      </w:r>
      <w:r w:rsidRPr="00EA0872">
        <w:rPr>
          <w:rFonts w:cs="Arial"/>
          <w:rtl/>
        </w:rPr>
        <w:t xml:space="preserve"> </w:t>
      </w:r>
      <w:r w:rsidRPr="00EA0872">
        <w:rPr>
          <w:rFonts w:cs="Arial" w:hint="cs"/>
          <w:rtl/>
        </w:rPr>
        <w:t>מ</w:t>
      </w:r>
      <w:r w:rsidRPr="00EA0872">
        <w:rPr>
          <w:rFonts w:cs="Arial"/>
          <w:rtl/>
        </w:rPr>
        <w:t>"</w:t>
      </w:r>
      <w:r w:rsidRPr="00EA0872">
        <w:rPr>
          <w:rFonts w:cs="Arial" w:hint="cs"/>
          <w:rtl/>
        </w:rPr>
        <w:t>מ</w:t>
      </w:r>
      <w:r w:rsidRPr="00EA0872">
        <w:rPr>
          <w:rFonts w:cs="Arial"/>
          <w:rtl/>
        </w:rPr>
        <w:t xml:space="preserve"> </w:t>
      </w:r>
      <w:r w:rsidRPr="00EA0872">
        <w:rPr>
          <w:rFonts w:cs="Arial" w:hint="cs"/>
          <w:rtl/>
        </w:rPr>
        <w:t>אין</w:t>
      </w:r>
      <w:r w:rsidRPr="00EA0872">
        <w:rPr>
          <w:rFonts w:cs="Arial"/>
          <w:rtl/>
        </w:rPr>
        <w:t xml:space="preserve"> </w:t>
      </w:r>
      <w:r w:rsidRPr="00EA0872">
        <w:rPr>
          <w:rFonts w:cs="Arial" w:hint="cs"/>
          <w:rtl/>
        </w:rPr>
        <w:t>צריך</w:t>
      </w:r>
      <w:r w:rsidRPr="00EA0872">
        <w:rPr>
          <w:rFonts w:cs="Arial"/>
          <w:rtl/>
        </w:rPr>
        <w:t xml:space="preserve"> </w:t>
      </w:r>
      <w:r w:rsidRPr="00EA0872">
        <w:rPr>
          <w:rFonts w:cs="Arial" w:hint="cs"/>
          <w:rtl/>
        </w:rPr>
        <w:t>לכבותו</w:t>
      </w:r>
      <w:r w:rsidRPr="00EA0872">
        <w:rPr>
          <w:rFonts w:cs="Arial"/>
          <w:rtl/>
        </w:rPr>
        <w:t xml:space="preserve"> </w:t>
      </w:r>
      <w:r w:rsidRPr="00EA0872">
        <w:rPr>
          <w:rFonts w:cs="Arial" w:hint="cs"/>
          <w:rtl/>
        </w:rPr>
        <w:t>אף</w:t>
      </w:r>
      <w:r w:rsidRPr="00EA0872">
        <w:rPr>
          <w:rFonts w:cs="Arial"/>
          <w:rtl/>
        </w:rPr>
        <w:t xml:space="preserve"> </w:t>
      </w:r>
      <w:r w:rsidRPr="00EA0872">
        <w:rPr>
          <w:rFonts w:cs="Arial" w:hint="cs"/>
          <w:rtl/>
        </w:rPr>
        <w:t>דלכתחלה</w:t>
      </w:r>
      <w:r w:rsidRPr="00EA0872">
        <w:rPr>
          <w:rFonts w:cs="Arial"/>
          <w:rtl/>
        </w:rPr>
        <w:t xml:space="preserve"> </w:t>
      </w:r>
      <w:r w:rsidRPr="00EA0872">
        <w:rPr>
          <w:rFonts w:cs="Arial" w:hint="cs"/>
          <w:rtl/>
        </w:rPr>
        <w:t>לא</w:t>
      </w:r>
      <w:r w:rsidRPr="00EA0872">
        <w:rPr>
          <w:rFonts w:cs="Arial"/>
          <w:rtl/>
        </w:rPr>
        <w:t xml:space="preserve"> </w:t>
      </w:r>
      <w:r w:rsidRPr="00EA0872">
        <w:rPr>
          <w:rFonts w:cs="Arial" w:hint="cs"/>
          <w:rtl/>
        </w:rPr>
        <w:t>היה</w:t>
      </w:r>
      <w:r w:rsidRPr="00EA0872">
        <w:rPr>
          <w:rFonts w:cs="Arial"/>
          <w:rtl/>
        </w:rPr>
        <w:t xml:space="preserve"> </w:t>
      </w:r>
      <w:r w:rsidRPr="00EA0872">
        <w:rPr>
          <w:rFonts w:cs="Arial" w:hint="cs"/>
          <w:rtl/>
        </w:rPr>
        <w:t>לו</w:t>
      </w:r>
      <w:r w:rsidRPr="00EA0872">
        <w:rPr>
          <w:rFonts w:cs="Arial"/>
          <w:rtl/>
        </w:rPr>
        <w:t xml:space="preserve"> </w:t>
      </w:r>
      <w:r w:rsidRPr="00EA0872">
        <w:rPr>
          <w:rFonts w:cs="Arial" w:hint="cs"/>
          <w:rtl/>
        </w:rPr>
        <w:t>להדליק</w:t>
      </w:r>
      <w:r w:rsidRPr="00EA0872">
        <w:rPr>
          <w:rFonts w:cs="Arial"/>
          <w:rtl/>
        </w:rPr>
        <w:t xml:space="preserve"> </w:t>
      </w:r>
      <w:r w:rsidRPr="00EA0872">
        <w:rPr>
          <w:rFonts w:cs="Arial" w:hint="cs"/>
          <w:rtl/>
        </w:rPr>
        <w:t>כ</w:t>
      </w:r>
      <w:r w:rsidRPr="00EA0872">
        <w:rPr>
          <w:rFonts w:cs="Arial"/>
          <w:rtl/>
        </w:rPr>
        <w:t>"</w:t>
      </w:r>
      <w:r w:rsidRPr="00EA0872">
        <w:rPr>
          <w:rFonts w:cs="Arial" w:hint="cs"/>
          <w:rtl/>
        </w:rPr>
        <w:t>כ</w:t>
      </w:r>
      <w:r w:rsidRPr="00EA0872">
        <w:rPr>
          <w:rFonts w:cs="Arial"/>
          <w:rtl/>
        </w:rPr>
        <w:t xml:space="preserve"> </w:t>
      </w:r>
      <w:r w:rsidRPr="00EA0872">
        <w:rPr>
          <w:rFonts w:cs="Arial" w:hint="cs"/>
          <w:rtl/>
        </w:rPr>
        <w:t>מקודם</w:t>
      </w:r>
      <w:r w:rsidRPr="00EA0872">
        <w:rPr>
          <w:rFonts w:cs="Arial"/>
          <w:rtl/>
        </w:rPr>
        <w:t xml:space="preserve"> </w:t>
      </w:r>
      <w:r w:rsidRPr="00EA0872">
        <w:rPr>
          <w:rFonts w:cs="Arial" w:hint="cs"/>
          <w:rtl/>
        </w:rPr>
        <w:t>שאינו</w:t>
      </w:r>
      <w:r w:rsidRPr="00EA0872">
        <w:rPr>
          <w:rFonts w:cs="Arial"/>
          <w:rtl/>
        </w:rPr>
        <w:t xml:space="preserve"> </w:t>
      </w:r>
      <w:r w:rsidRPr="00EA0872">
        <w:rPr>
          <w:rFonts w:cs="Arial" w:hint="cs"/>
          <w:rtl/>
        </w:rPr>
        <w:t>ניכר</w:t>
      </w:r>
      <w:r w:rsidRPr="00EA0872">
        <w:rPr>
          <w:rFonts w:cs="Arial"/>
          <w:rtl/>
        </w:rPr>
        <w:t xml:space="preserve"> </w:t>
      </w:r>
      <w:r w:rsidRPr="00EA0872">
        <w:rPr>
          <w:rFonts w:cs="Arial" w:hint="cs"/>
          <w:rtl/>
        </w:rPr>
        <w:t>שמדליקין</w:t>
      </w:r>
      <w:r w:rsidRPr="00EA0872">
        <w:rPr>
          <w:rFonts w:cs="Arial"/>
          <w:rtl/>
        </w:rPr>
        <w:t xml:space="preserve"> </w:t>
      </w:r>
      <w:r w:rsidRPr="00EA0872">
        <w:rPr>
          <w:rFonts w:cs="Arial" w:hint="cs"/>
          <w:rtl/>
        </w:rPr>
        <w:t>לצורך</w:t>
      </w:r>
      <w:r w:rsidRPr="00EA0872">
        <w:rPr>
          <w:rFonts w:cs="Arial"/>
          <w:rtl/>
        </w:rPr>
        <w:t xml:space="preserve"> </w:t>
      </w:r>
      <w:r w:rsidRPr="00EA0872">
        <w:rPr>
          <w:rFonts w:cs="Arial" w:hint="cs"/>
          <w:rtl/>
        </w:rPr>
        <w:t>שבת</w:t>
      </w:r>
      <w:r w:rsidRPr="00EA0872">
        <w:rPr>
          <w:rFonts w:cs="Arial"/>
          <w:rtl/>
        </w:rPr>
        <w:t xml:space="preserve"> </w:t>
      </w:r>
      <w:r w:rsidRPr="00EA0872">
        <w:rPr>
          <w:rFonts w:cs="Arial" w:hint="cs"/>
          <w:rtl/>
        </w:rPr>
        <w:t>מ</w:t>
      </w:r>
      <w:r w:rsidRPr="00EA0872">
        <w:rPr>
          <w:rFonts w:cs="Arial"/>
          <w:rtl/>
        </w:rPr>
        <w:t>"</w:t>
      </w:r>
      <w:r w:rsidRPr="00EA0872">
        <w:rPr>
          <w:rFonts w:cs="Arial" w:hint="cs"/>
          <w:rtl/>
        </w:rPr>
        <w:t>מ</w:t>
      </w:r>
      <w:r w:rsidRPr="00EA0872">
        <w:rPr>
          <w:rFonts w:cs="Arial"/>
          <w:rtl/>
        </w:rPr>
        <w:t xml:space="preserve"> </w:t>
      </w:r>
      <w:r w:rsidRPr="00EA0872">
        <w:rPr>
          <w:rFonts w:cs="Arial" w:hint="cs"/>
          <w:rtl/>
        </w:rPr>
        <w:t>בדיעבד</w:t>
      </w:r>
      <w:r w:rsidRPr="00EA0872">
        <w:rPr>
          <w:rFonts w:cs="Arial"/>
          <w:rtl/>
        </w:rPr>
        <w:t xml:space="preserve"> </w:t>
      </w:r>
      <w:r w:rsidRPr="00EA0872">
        <w:rPr>
          <w:rFonts w:cs="Arial" w:hint="cs"/>
          <w:rtl/>
        </w:rPr>
        <w:t>ש</w:t>
      </w:r>
      <w:r w:rsidRPr="00EA0872">
        <w:rPr>
          <w:rFonts w:cs="Arial"/>
          <w:rtl/>
        </w:rPr>
        <w:t>"</w:t>
      </w:r>
      <w:r w:rsidRPr="00EA0872">
        <w:rPr>
          <w:rFonts w:cs="Arial" w:hint="cs"/>
          <w:rtl/>
        </w:rPr>
        <w:t>ד</w:t>
      </w:r>
      <w:r w:rsidRPr="00EA0872">
        <w:rPr>
          <w:rFonts w:cs="Arial"/>
          <w:rtl/>
        </w:rPr>
        <w:t xml:space="preserve"> </w:t>
      </w:r>
      <w:r w:rsidRPr="00EA0872">
        <w:rPr>
          <w:rFonts w:cs="Arial" w:hint="cs"/>
          <w:rtl/>
        </w:rPr>
        <w:t>ועיין</w:t>
      </w:r>
      <w:r w:rsidRPr="00EA0872">
        <w:rPr>
          <w:rFonts w:cs="Arial"/>
          <w:rtl/>
        </w:rPr>
        <w:t xml:space="preserve"> </w:t>
      </w:r>
      <w:r w:rsidRPr="00EA0872">
        <w:rPr>
          <w:rFonts w:cs="Arial" w:hint="cs"/>
          <w:rtl/>
        </w:rPr>
        <w:t>בבה</w:t>
      </w:r>
      <w:r w:rsidRPr="00EA0872">
        <w:rPr>
          <w:rFonts w:cs="Arial"/>
          <w:rtl/>
        </w:rPr>
        <w:t>"</w:t>
      </w:r>
      <w:r w:rsidRPr="00EA0872">
        <w:rPr>
          <w:rFonts w:cs="Arial" w:hint="cs"/>
          <w:rtl/>
        </w:rPr>
        <w:t>ל</w:t>
      </w:r>
      <w:r>
        <w:rPr>
          <w:rFonts w:cs="Arial" w:hint="cs"/>
          <w:rtl/>
        </w:rPr>
        <w:t>, משנ"ב (סק"כ).</w:t>
      </w:r>
    </w:p>
  </w:footnote>
  <w:footnote w:id="629">
    <w:p w14:paraId="00B9F884" w14:textId="77777777" w:rsidR="004B2E7C" w:rsidRDefault="004B2E7C" w:rsidP="00285819">
      <w:pPr>
        <w:pStyle w:val="a7"/>
        <w:rPr>
          <w:rtl/>
        </w:rPr>
      </w:pPr>
      <w:r>
        <w:rPr>
          <w:rStyle w:val="a9"/>
        </w:rPr>
        <w:footnoteRef/>
      </w:r>
      <w:r>
        <w:rPr>
          <w:rtl/>
        </w:rPr>
        <w:t xml:space="preserve"> </w:t>
      </w:r>
      <w:r>
        <w:rPr>
          <w:rFonts w:cs="Arial" w:hint="cs"/>
          <w:rtl/>
        </w:rPr>
        <w:t>סמ</w:t>
      </w:r>
      <w:r>
        <w:rPr>
          <w:rFonts w:cs="Arial"/>
          <w:rtl/>
        </w:rPr>
        <w:t>"</w:t>
      </w:r>
      <w:r>
        <w:rPr>
          <w:rFonts w:cs="Arial" w:hint="cs"/>
          <w:rtl/>
        </w:rPr>
        <w:t>ג</w:t>
      </w:r>
      <w:r>
        <w:rPr>
          <w:rFonts w:cs="Arial"/>
          <w:rtl/>
        </w:rPr>
        <w:t xml:space="preserve"> </w:t>
      </w:r>
      <w:r w:rsidRPr="00FC3D52">
        <w:rPr>
          <w:rFonts w:cs="Arial"/>
          <w:sz w:val="16"/>
          <w:szCs w:val="16"/>
          <w:rtl/>
        </w:rPr>
        <w:t>(</w:t>
      </w:r>
      <w:r w:rsidRPr="00FC3D52">
        <w:rPr>
          <w:rFonts w:cs="Arial" w:hint="cs"/>
          <w:sz w:val="16"/>
          <w:szCs w:val="16"/>
          <w:rtl/>
        </w:rPr>
        <w:t>עשין</w:t>
      </w:r>
      <w:r w:rsidRPr="00FC3D52">
        <w:rPr>
          <w:rFonts w:cs="Arial"/>
          <w:sz w:val="16"/>
          <w:szCs w:val="16"/>
          <w:rtl/>
        </w:rPr>
        <w:t xml:space="preserve"> </w:t>
      </w:r>
      <w:r w:rsidRPr="00FC3D52">
        <w:rPr>
          <w:rFonts w:cs="Arial" w:hint="cs"/>
          <w:sz w:val="16"/>
          <w:szCs w:val="16"/>
          <w:rtl/>
        </w:rPr>
        <w:t>ל</w:t>
      </w:r>
      <w:r w:rsidRPr="00FC3D52">
        <w:rPr>
          <w:rFonts w:cs="Arial"/>
          <w:sz w:val="16"/>
          <w:szCs w:val="16"/>
          <w:rtl/>
        </w:rPr>
        <w:t xml:space="preserve">, </w:t>
      </w:r>
      <w:r w:rsidRPr="00FC3D52">
        <w:rPr>
          <w:rFonts w:cs="Arial" w:hint="cs"/>
          <w:sz w:val="16"/>
          <w:szCs w:val="16"/>
          <w:rtl/>
        </w:rPr>
        <w:t>קטז</w:t>
      </w:r>
      <w:r w:rsidRPr="00FC3D52">
        <w:rPr>
          <w:rFonts w:cs="Arial"/>
          <w:sz w:val="16"/>
          <w:szCs w:val="16"/>
          <w:rtl/>
        </w:rPr>
        <w:t xml:space="preserve"> </w:t>
      </w:r>
      <w:r w:rsidRPr="00FC3D52">
        <w:rPr>
          <w:rFonts w:cs="Arial" w:hint="cs"/>
          <w:sz w:val="16"/>
          <w:szCs w:val="16"/>
          <w:rtl/>
        </w:rPr>
        <w:t>ע</w:t>
      </w:r>
      <w:r w:rsidRPr="00FC3D52">
        <w:rPr>
          <w:rFonts w:cs="Arial"/>
          <w:sz w:val="16"/>
          <w:szCs w:val="16"/>
          <w:rtl/>
        </w:rPr>
        <w:t>"</w:t>
      </w:r>
      <w:r w:rsidRPr="00FC3D52">
        <w:rPr>
          <w:rFonts w:cs="Arial" w:hint="cs"/>
          <w:sz w:val="16"/>
          <w:szCs w:val="16"/>
          <w:rtl/>
        </w:rPr>
        <w:t>ג</w:t>
      </w:r>
      <w:r w:rsidRPr="00FC3D52">
        <w:rPr>
          <w:rFonts w:cs="Arial"/>
          <w:sz w:val="16"/>
          <w:szCs w:val="16"/>
          <w:rtl/>
        </w:rPr>
        <w:t>)</w:t>
      </w:r>
      <w:r w:rsidRPr="00FC3D52">
        <w:rPr>
          <w:rFonts w:cs="Arial" w:hint="cs"/>
          <w:sz w:val="16"/>
          <w:szCs w:val="16"/>
          <w:rtl/>
        </w:rPr>
        <w:t xml:space="preserve"> </w:t>
      </w:r>
      <w:r>
        <w:rPr>
          <w:rFonts w:cs="Arial" w:hint="cs"/>
          <w:rtl/>
        </w:rPr>
        <w:t>תוס'</w:t>
      </w:r>
      <w:r>
        <w:rPr>
          <w:rFonts w:cs="Arial"/>
          <w:rtl/>
        </w:rPr>
        <w:t xml:space="preserve"> </w:t>
      </w:r>
      <w:r w:rsidRPr="00FC3D52">
        <w:rPr>
          <w:rFonts w:cs="Arial"/>
          <w:sz w:val="16"/>
          <w:szCs w:val="16"/>
          <w:rtl/>
        </w:rPr>
        <w:t>(</w:t>
      </w:r>
      <w:r w:rsidRPr="00FC3D52">
        <w:rPr>
          <w:rFonts w:cs="Arial" w:hint="cs"/>
          <w:sz w:val="16"/>
          <w:szCs w:val="16"/>
          <w:rtl/>
        </w:rPr>
        <w:t>כה:</w:t>
      </w:r>
      <w:r w:rsidRPr="00FC3D52">
        <w:rPr>
          <w:rFonts w:cs="Arial"/>
          <w:sz w:val="16"/>
          <w:szCs w:val="16"/>
          <w:rtl/>
        </w:rPr>
        <w:t xml:space="preserve"> </w:t>
      </w:r>
      <w:r w:rsidRPr="00FC3D52">
        <w:rPr>
          <w:rFonts w:cs="Arial" w:hint="cs"/>
          <w:sz w:val="16"/>
          <w:szCs w:val="16"/>
          <w:rtl/>
        </w:rPr>
        <w:t>ד</w:t>
      </w:r>
      <w:r w:rsidRPr="00FC3D52">
        <w:rPr>
          <w:rFonts w:cs="Arial"/>
          <w:sz w:val="16"/>
          <w:szCs w:val="16"/>
          <w:rtl/>
        </w:rPr>
        <w:t>"</w:t>
      </w:r>
      <w:r w:rsidRPr="00FC3D52">
        <w:rPr>
          <w:rFonts w:cs="Arial" w:hint="cs"/>
          <w:sz w:val="16"/>
          <w:szCs w:val="16"/>
          <w:rtl/>
        </w:rPr>
        <w:t>ה</w:t>
      </w:r>
      <w:r w:rsidRPr="00FC3D52">
        <w:rPr>
          <w:rFonts w:cs="Arial"/>
          <w:sz w:val="16"/>
          <w:szCs w:val="16"/>
          <w:rtl/>
        </w:rPr>
        <w:t xml:space="preserve"> </w:t>
      </w:r>
      <w:r w:rsidRPr="00FC3D52">
        <w:rPr>
          <w:rFonts w:cs="Arial" w:hint="cs"/>
          <w:sz w:val="16"/>
          <w:szCs w:val="16"/>
          <w:rtl/>
        </w:rPr>
        <w:t>חובה</w:t>
      </w:r>
      <w:r w:rsidRPr="00FC3D52">
        <w:rPr>
          <w:rFonts w:cs="Arial"/>
          <w:sz w:val="16"/>
          <w:szCs w:val="16"/>
          <w:rtl/>
        </w:rPr>
        <w:t xml:space="preserve">) </w:t>
      </w:r>
      <w:r>
        <w:rPr>
          <w:rFonts w:cs="Arial" w:hint="cs"/>
          <w:rtl/>
        </w:rPr>
        <w:t>רמב</w:t>
      </w:r>
      <w:r>
        <w:rPr>
          <w:rFonts w:cs="Arial"/>
          <w:rtl/>
        </w:rPr>
        <w:t>"</w:t>
      </w:r>
      <w:r>
        <w:rPr>
          <w:rFonts w:cs="Arial" w:hint="cs"/>
          <w:rtl/>
        </w:rPr>
        <w:t>ם</w:t>
      </w:r>
      <w:r>
        <w:rPr>
          <w:rFonts w:cs="Arial"/>
          <w:rtl/>
        </w:rPr>
        <w:t xml:space="preserve"> </w:t>
      </w:r>
      <w:r w:rsidRPr="00FC3D52">
        <w:rPr>
          <w:rFonts w:cs="Arial" w:hint="cs"/>
          <w:sz w:val="16"/>
          <w:szCs w:val="16"/>
          <w:rtl/>
        </w:rPr>
        <w:t>(פ"ה</w:t>
      </w:r>
      <w:r w:rsidRPr="00FC3D52">
        <w:rPr>
          <w:rFonts w:cs="Arial"/>
          <w:sz w:val="16"/>
          <w:szCs w:val="16"/>
          <w:rtl/>
        </w:rPr>
        <w:t xml:space="preserve"> </w:t>
      </w:r>
      <w:r w:rsidRPr="00FC3D52">
        <w:rPr>
          <w:rFonts w:cs="Arial" w:hint="cs"/>
          <w:sz w:val="16"/>
          <w:szCs w:val="16"/>
          <w:rtl/>
        </w:rPr>
        <w:t>ה</w:t>
      </w:r>
      <w:r w:rsidRPr="00FC3D52">
        <w:rPr>
          <w:rFonts w:cs="Arial"/>
          <w:sz w:val="16"/>
          <w:szCs w:val="16"/>
          <w:rtl/>
        </w:rPr>
        <w:t>"</w:t>
      </w:r>
      <w:r w:rsidRPr="00FC3D52">
        <w:rPr>
          <w:rFonts w:cs="Arial" w:hint="cs"/>
          <w:sz w:val="16"/>
          <w:szCs w:val="16"/>
          <w:rtl/>
        </w:rPr>
        <w:t>א</w:t>
      </w:r>
      <w:r w:rsidRPr="00FC3D52">
        <w:rPr>
          <w:rFonts w:cs="Arial"/>
          <w:sz w:val="16"/>
          <w:szCs w:val="16"/>
          <w:rtl/>
        </w:rPr>
        <w:t xml:space="preserve">) </w:t>
      </w:r>
      <w:r>
        <w:rPr>
          <w:rFonts w:cs="Arial" w:hint="cs"/>
          <w:rtl/>
        </w:rPr>
        <w:t>מרדכי</w:t>
      </w:r>
      <w:r>
        <w:rPr>
          <w:rFonts w:cs="Arial"/>
          <w:rtl/>
        </w:rPr>
        <w:t xml:space="preserve"> </w:t>
      </w:r>
      <w:r w:rsidRPr="00FC3D52">
        <w:rPr>
          <w:rFonts w:cs="Arial"/>
          <w:sz w:val="16"/>
          <w:szCs w:val="16"/>
          <w:rtl/>
        </w:rPr>
        <w:t>(</w:t>
      </w:r>
      <w:r w:rsidRPr="00FC3D52">
        <w:rPr>
          <w:rFonts w:cs="Arial" w:hint="cs"/>
          <w:sz w:val="16"/>
          <w:szCs w:val="16"/>
          <w:rtl/>
        </w:rPr>
        <w:t>סי</w:t>
      </w:r>
      <w:r w:rsidRPr="00FC3D52">
        <w:rPr>
          <w:rFonts w:cs="Arial"/>
          <w:sz w:val="16"/>
          <w:szCs w:val="16"/>
          <w:rtl/>
        </w:rPr>
        <w:t xml:space="preserve">' </w:t>
      </w:r>
      <w:r w:rsidRPr="00FC3D52">
        <w:rPr>
          <w:rFonts w:cs="Arial" w:hint="cs"/>
          <w:sz w:val="16"/>
          <w:szCs w:val="16"/>
          <w:rtl/>
        </w:rPr>
        <w:t>רצד</w:t>
      </w:r>
      <w:r w:rsidRPr="00FC3D52">
        <w:rPr>
          <w:rFonts w:cs="Arial"/>
          <w:sz w:val="16"/>
          <w:szCs w:val="16"/>
          <w:rtl/>
        </w:rPr>
        <w:t>)</w:t>
      </w:r>
      <w:r w:rsidRPr="00FC3D52">
        <w:rPr>
          <w:rFonts w:cs="Arial" w:hint="cs"/>
          <w:sz w:val="16"/>
          <w:szCs w:val="16"/>
          <w:rtl/>
        </w:rPr>
        <w:t xml:space="preserve"> </w:t>
      </w:r>
      <w:r>
        <w:rPr>
          <w:rFonts w:cs="Arial" w:hint="cs"/>
          <w:rtl/>
        </w:rPr>
        <w:t>רא</w:t>
      </w:r>
      <w:r>
        <w:rPr>
          <w:rFonts w:cs="Arial"/>
          <w:rtl/>
        </w:rPr>
        <w:t>"</w:t>
      </w:r>
      <w:r>
        <w:rPr>
          <w:rFonts w:cs="Arial" w:hint="cs"/>
          <w:rtl/>
        </w:rPr>
        <w:t>ש</w:t>
      </w:r>
      <w:r>
        <w:rPr>
          <w:rFonts w:cs="Arial"/>
          <w:rtl/>
        </w:rPr>
        <w:t xml:space="preserve"> </w:t>
      </w:r>
      <w:r w:rsidRPr="00FC3D52">
        <w:rPr>
          <w:rFonts w:cs="Arial"/>
          <w:sz w:val="16"/>
          <w:szCs w:val="16"/>
          <w:rtl/>
        </w:rPr>
        <w:t>(</w:t>
      </w:r>
      <w:r w:rsidRPr="00FC3D52">
        <w:rPr>
          <w:rFonts w:cs="Arial" w:hint="cs"/>
          <w:sz w:val="16"/>
          <w:szCs w:val="16"/>
          <w:rtl/>
        </w:rPr>
        <w:t>סי</w:t>
      </w:r>
      <w:r w:rsidRPr="00FC3D52">
        <w:rPr>
          <w:rFonts w:cs="Arial"/>
          <w:sz w:val="16"/>
          <w:szCs w:val="16"/>
          <w:rtl/>
        </w:rPr>
        <w:t xml:space="preserve">' </w:t>
      </w:r>
      <w:r w:rsidRPr="00FC3D52">
        <w:rPr>
          <w:rFonts w:cs="Arial" w:hint="cs"/>
          <w:sz w:val="16"/>
          <w:szCs w:val="16"/>
          <w:rtl/>
        </w:rPr>
        <w:t>יח</w:t>
      </w:r>
      <w:r w:rsidRPr="00FC3D52">
        <w:rPr>
          <w:rFonts w:cs="Arial"/>
          <w:sz w:val="16"/>
          <w:szCs w:val="16"/>
          <w:rtl/>
        </w:rPr>
        <w:t xml:space="preserve">) </w:t>
      </w:r>
      <w:r>
        <w:rPr>
          <w:rFonts w:cs="Arial" w:hint="cs"/>
          <w:rtl/>
        </w:rPr>
        <w:t>טור רי"ו</w:t>
      </w:r>
      <w:r>
        <w:rPr>
          <w:rFonts w:cs="Arial"/>
          <w:rtl/>
        </w:rPr>
        <w:t xml:space="preserve"> </w:t>
      </w:r>
      <w:r w:rsidRPr="00FC3D52">
        <w:rPr>
          <w:rFonts w:cs="Arial"/>
          <w:sz w:val="16"/>
          <w:szCs w:val="16"/>
          <w:rtl/>
        </w:rPr>
        <w:t>(</w:t>
      </w:r>
      <w:r w:rsidRPr="00FC3D52">
        <w:rPr>
          <w:rFonts w:cs="Arial" w:hint="cs"/>
          <w:sz w:val="16"/>
          <w:szCs w:val="16"/>
          <w:rtl/>
        </w:rPr>
        <w:t>ח</w:t>
      </w:r>
      <w:r w:rsidRPr="00FC3D52">
        <w:rPr>
          <w:rFonts w:cs="Arial"/>
          <w:sz w:val="16"/>
          <w:szCs w:val="16"/>
          <w:rtl/>
        </w:rPr>
        <w:t>"</w:t>
      </w:r>
      <w:r w:rsidRPr="00FC3D52">
        <w:rPr>
          <w:rFonts w:cs="Arial" w:hint="cs"/>
          <w:sz w:val="16"/>
          <w:szCs w:val="16"/>
          <w:rtl/>
        </w:rPr>
        <w:t>ב</w:t>
      </w:r>
      <w:r w:rsidRPr="00FC3D52">
        <w:rPr>
          <w:rFonts w:cs="Arial"/>
          <w:sz w:val="16"/>
          <w:szCs w:val="16"/>
          <w:rtl/>
        </w:rPr>
        <w:t xml:space="preserve"> </w:t>
      </w:r>
      <w:r w:rsidRPr="00FC3D52">
        <w:rPr>
          <w:rFonts w:cs="Arial" w:hint="cs"/>
          <w:sz w:val="16"/>
          <w:szCs w:val="16"/>
          <w:rtl/>
        </w:rPr>
        <w:t>סז</w:t>
      </w:r>
      <w:r w:rsidRPr="00FC3D52">
        <w:rPr>
          <w:rFonts w:cs="Arial"/>
          <w:sz w:val="16"/>
          <w:szCs w:val="16"/>
          <w:rtl/>
        </w:rPr>
        <w:t xml:space="preserve"> </w:t>
      </w:r>
      <w:r w:rsidRPr="00FC3D52">
        <w:rPr>
          <w:rFonts w:cs="Arial" w:hint="cs"/>
          <w:sz w:val="16"/>
          <w:szCs w:val="16"/>
          <w:rtl/>
        </w:rPr>
        <w:t>ע</w:t>
      </w:r>
      <w:r w:rsidRPr="00FC3D52">
        <w:rPr>
          <w:rFonts w:cs="Arial"/>
          <w:sz w:val="16"/>
          <w:szCs w:val="16"/>
          <w:rtl/>
        </w:rPr>
        <w:t>"</w:t>
      </w:r>
      <w:r w:rsidRPr="00FC3D52">
        <w:rPr>
          <w:rFonts w:cs="Arial" w:hint="cs"/>
          <w:sz w:val="16"/>
          <w:szCs w:val="16"/>
          <w:rtl/>
        </w:rPr>
        <w:t>א</w:t>
      </w:r>
      <w:r w:rsidRPr="00FC3D52">
        <w:rPr>
          <w:rFonts w:cs="Arial"/>
          <w:sz w:val="16"/>
          <w:szCs w:val="16"/>
          <w:rtl/>
        </w:rPr>
        <w:t>)</w:t>
      </w:r>
      <w:r w:rsidRPr="00FC3D52">
        <w:rPr>
          <w:rFonts w:cs="Arial" w:hint="cs"/>
          <w:sz w:val="16"/>
          <w:szCs w:val="16"/>
          <w:rtl/>
        </w:rPr>
        <w:t xml:space="preserve"> </w:t>
      </w:r>
      <w:r>
        <w:rPr>
          <w:rFonts w:cs="Arial" w:hint="cs"/>
          <w:rtl/>
        </w:rPr>
        <w:t>ור</w:t>
      </w:r>
      <w:r>
        <w:rPr>
          <w:rFonts w:cs="Arial"/>
          <w:rtl/>
        </w:rPr>
        <w:t>"</w:t>
      </w:r>
      <w:r>
        <w:rPr>
          <w:rFonts w:cs="Arial" w:hint="cs"/>
          <w:rtl/>
        </w:rPr>
        <w:t>ן</w:t>
      </w:r>
      <w:r>
        <w:rPr>
          <w:rFonts w:cs="Arial"/>
          <w:rtl/>
        </w:rPr>
        <w:t xml:space="preserve"> </w:t>
      </w:r>
      <w:r w:rsidRPr="00FC3D52">
        <w:rPr>
          <w:rFonts w:cs="Arial"/>
          <w:sz w:val="16"/>
          <w:szCs w:val="16"/>
          <w:rtl/>
        </w:rPr>
        <w:t>(</w:t>
      </w:r>
      <w:r w:rsidRPr="00FC3D52">
        <w:rPr>
          <w:rFonts w:cs="Arial" w:hint="cs"/>
          <w:sz w:val="16"/>
          <w:szCs w:val="16"/>
          <w:rtl/>
        </w:rPr>
        <w:t>יא</w:t>
      </w:r>
      <w:r w:rsidRPr="00FC3D52">
        <w:rPr>
          <w:rFonts w:cs="Arial"/>
          <w:sz w:val="16"/>
          <w:szCs w:val="16"/>
          <w:rtl/>
        </w:rPr>
        <w:t xml:space="preserve">: </w:t>
      </w:r>
      <w:r w:rsidRPr="00FC3D52">
        <w:rPr>
          <w:rFonts w:cs="Arial" w:hint="cs"/>
          <w:sz w:val="16"/>
          <w:szCs w:val="16"/>
          <w:rtl/>
        </w:rPr>
        <w:t>ד</w:t>
      </w:r>
      <w:r w:rsidRPr="00FC3D52">
        <w:rPr>
          <w:rFonts w:cs="Arial"/>
          <w:sz w:val="16"/>
          <w:szCs w:val="16"/>
          <w:rtl/>
        </w:rPr>
        <w:t>"</w:t>
      </w:r>
      <w:r w:rsidRPr="00FC3D52">
        <w:rPr>
          <w:rFonts w:cs="Arial" w:hint="cs"/>
          <w:sz w:val="16"/>
          <w:szCs w:val="16"/>
          <w:rtl/>
        </w:rPr>
        <w:t>ה</w:t>
      </w:r>
      <w:r w:rsidRPr="00FC3D52">
        <w:rPr>
          <w:rFonts w:cs="Arial"/>
          <w:sz w:val="16"/>
          <w:szCs w:val="16"/>
          <w:rtl/>
        </w:rPr>
        <w:t xml:space="preserve"> </w:t>
      </w:r>
      <w:r w:rsidRPr="00FC3D52">
        <w:rPr>
          <w:rFonts w:cs="Arial" w:hint="cs"/>
          <w:sz w:val="16"/>
          <w:szCs w:val="16"/>
          <w:rtl/>
        </w:rPr>
        <w:t>גמרא</w:t>
      </w:r>
      <w:r w:rsidRPr="00FC3D52">
        <w:rPr>
          <w:rFonts w:cs="Arial"/>
          <w:sz w:val="16"/>
          <w:szCs w:val="16"/>
          <w:rtl/>
        </w:rPr>
        <w:t>)</w:t>
      </w:r>
      <w:r>
        <w:rPr>
          <w:rFonts w:hint="cs"/>
          <w:rtl/>
        </w:rPr>
        <w:t>.</w:t>
      </w:r>
    </w:p>
  </w:footnote>
  <w:footnote w:id="630">
    <w:p w14:paraId="797F935A" w14:textId="77777777" w:rsidR="004B2E7C" w:rsidRDefault="004B2E7C" w:rsidP="00285819">
      <w:pPr>
        <w:pStyle w:val="a7"/>
      </w:pPr>
      <w:r>
        <w:rPr>
          <w:rStyle w:val="a9"/>
        </w:rPr>
        <w:footnoteRef/>
      </w:r>
      <w:r>
        <w:rPr>
          <w:rtl/>
        </w:rPr>
        <w:t xml:space="preserve"> </w:t>
      </w:r>
      <w:r>
        <w:rPr>
          <w:rFonts w:cs="Arial" w:hint="cs"/>
          <w:rtl/>
        </w:rPr>
        <w:t>כלומר</w:t>
      </w:r>
      <w:r>
        <w:rPr>
          <w:rFonts w:cs="Arial"/>
          <w:rtl/>
        </w:rPr>
        <w:t xml:space="preserve"> </w:t>
      </w:r>
      <w:r>
        <w:rPr>
          <w:rFonts w:cs="Arial" w:hint="cs"/>
          <w:rtl/>
        </w:rPr>
        <w:t>כדרך</w:t>
      </w:r>
      <w:r>
        <w:rPr>
          <w:rFonts w:cs="Arial"/>
          <w:rtl/>
        </w:rPr>
        <w:t xml:space="preserve"> </w:t>
      </w:r>
      <w:r>
        <w:rPr>
          <w:rFonts w:cs="Arial" w:hint="cs"/>
          <w:rtl/>
        </w:rPr>
        <w:t>שמברכין</w:t>
      </w:r>
      <w:r>
        <w:rPr>
          <w:rFonts w:cs="Arial"/>
          <w:rtl/>
        </w:rPr>
        <w:t xml:space="preserve"> </w:t>
      </w:r>
      <w:r>
        <w:rPr>
          <w:rFonts w:cs="Arial" w:hint="cs"/>
          <w:rtl/>
        </w:rPr>
        <w:t>על</w:t>
      </w:r>
      <w:r>
        <w:rPr>
          <w:rFonts w:cs="Arial"/>
          <w:rtl/>
        </w:rPr>
        <w:t xml:space="preserve"> </w:t>
      </w:r>
      <w:r>
        <w:rPr>
          <w:rFonts w:cs="Arial" w:hint="cs"/>
          <w:rtl/>
        </w:rPr>
        <w:t>כל</w:t>
      </w:r>
      <w:r>
        <w:rPr>
          <w:rFonts w:cs="Arial"/>
          <w:rtl/>
        </w:rPr>
        <w:t xml:space="preserve"> </w:t>
      </w:r>
      <w:r>
        <w:rPr>
          <w:rFonts w:cs="Arial" w:hint="cs"/>
          <w:rtl/>
        </w:rPr>
        <w:t>הדברים</w:t>
      </w:r>
      <w:r>
        <w:rPr>
          <w:rFonts w:cs="Arial"/>
          <w:rtl/>
        </w:rPr>
        <w:t xml:space="preserve"> </w:t>
      </w:r>
      <w:r>
        <w:rPr>
          <w:rFonts w:cs="Arial" w:hint="cs"/>
          <w:rtl/>
        </w:rPr>
        <w:t>שחייב</w:t>
      </w:r>
      <w:r>
        <w:rPr>
          <w:rFonts w:cs="Arial"/>
          <w:rtl/>
        </w:rPr>
        <w:t xml:space="preserve"> </w:t>
      </w:r>
      <w:r>
        <w:rPr>
          <w:rFonts w:cs="Arial" w:hint="cs"/>
          <w:rtl/>
        </w:rPr>
        <w:t>בהם</w:t>
      </w:r>
      <w:r>
        <w:rPr>
          <w:rFonts w:cs="Arial"/>
          <w:rtl/>
        </w:rPr>
        <w:t xml:space="preserve"> </w:t>
      </w:r>
      <w:r>
        <w:rPr>
          <w:rFonts w:cs="Arial" w:hint="cs"/>
          <w:rtl/>
        </w:rPr>
        <w:t>מדברי</w:t>
      </w:r>
      <w:r>
        <w:rPr>
          <w:rFonts w:cs="Arial"/>
          <w:rtl/>
        </w:rPr>
        <w:t xml:space="preserve"> </w:t>
      </w:r>
      <w:r>
        <w:rPr>
          <w:rFonts w:cs="Arial" w:hint="cs"/>
          <w:rtl/>
        </w:rPr>
        <w:t>סופרים, ב"י.</w:t>
      </w:r>
    </w:p>
  </w:footnote>
  <w:footnote w:id="631">
    <w:p w14:paraId="2E44D4C4" w14:textId="77777777" w:rsidR="004B2E7C" w:rsidRDefault="004B2E7C" w:rsidP="00285819">
      <w:pPr>
        <w:pStyle w:val="a7"/>
      </w:pPr>
      <w:r>
        <w:rPr>
          <w:rStyle w:val="a9"/>
        </w:rPr>
        <w:footnoteRef/>
      </w:r>
      <w:r>
        <w:rPr>
          <w:rtl/>
        </w:rPr>
        <w:t xml:space="preserve"> </w:t>
      </w:r>
      <w:r w:rsidRPr="002F3850">
        <w:rPr>
          <w:rFonts w:cs="Arial"/>
          <w:rtl/>
        </w:rPr>
        <w:t>ואומר ר"ת דשיבוש הוא דלא דמי למים אחרונים דלא הוי אלא להצלה בעלמא אבל הדלקת נר היא חובה של מצות עונג שבת וכמה חובו' הן דטעונין ברכה</w:t>
      </w:r>
      <w:r>
        <w:rPr>
          <w:rFonts w:cs="Arial" w:hint="cs"/>
          <w:rtl/>
        </w:rPr>
        <w:t>, תוס' (שבת כה: ד"ה חובה).</w:t>
      </w:r>
    </w:p>
  </w:footnote>
  <w:footnote w:id="632">
    <w:p w14:paraId="21A325F7" w14:textId="77777777" w:rsidR="004B2E7C" w:rsidRPr="00A4124C" w:rsidRDefault="004B2E7C" w:rsidP="00285819">
      <w:pPr>
        <w:pStyle w:val="a7"/>
        <w:rPr>
          <w:b/>
          <w:bCs/>
          <w:rtl/>
        </w:rPr>
      </w:pPr>
      <w:r>
        <w:rPr>
          <w:rStyle w:val="a9"/>
        </w:rPr>
        <w:footnoteRef/>
      </w:r>
      <w:r>
        <w:rPr>
          <w:rtl/>
        </w:rPr>
        <w:t xml:space="preserve"> </w:t>
      </w:r>
      <w:r w:rsidRPr="002F3850">
        <w:rPr>
          <w:rFonts w:cs="Arial"/>
          <w:rtl/>
        </w:rPr>
        <w:t>אין נראה דהא גבי כיסוי הדם (שם פז.) אם כסהו הרוח פטור מלכסותו אפ"ה כשמכסה צריך לברך וכן נולד מהול איכא למ"ד דאין צריך להטיף ממנו דם ברית וכשמל תניא בשילהי פר' ר' אליעזר דמילה (לקמן דף קלז:) המל אומר כו' ובסדר רב עמרם יש המדליק נר בשבת מברך אשר קדשנו כו' ועוד נראה לר"ת שאם היה הנר מודלק ועומד שצריך לכבות ולחזור ולהדליק כדאמר ליה ההוא סבא ובלבד שלא יקדים ובלבד שלא יאחר (לעיל דף כג:)</w:t>
      </w:r>
      <w:r>
        <w:rPr>
          <w:rFonts w:hint="cs"/>
          <w:rtl/>
        </w:rPr>
        <w:t xml:space="preserve">, </w:t>
      </w:r>
      <w:r>
        <w:rPr>
          <w:rFonts w:cs="Arial" w:hint="cs"/>
          <w:rtl/>
        </w:rPr>
        <w:t>תוס' (שבת כה: ד"ה חובה). וכ"כ הטור כאן.</w:t>
      </w:r>
    </w:p>
  </w:footnote>
  <w:footnote w:id="633">
    <w:p w14:paraId="0AF44881" w14:textId="77777777" w:rsidR="004B2E7C" w:rsidRDefault="004B2E7C" w:rsidP="00285819">
      <w:pPr>
        <w:pStyle w:val="a7"/>
        <w:rPr>
          <w:rtl/>
        </w:rPr>
      </w:pPr>
      <w:r>
        <w:rPr>
          <w:rStyle w:val="a9"/>
        </w:rPr>
        <w:footnoteRef/>
      </w:r>
      <w:r>
        <w:rPr>
          <w:rtl/>
        </w:rPr>
        <w:t xml:space="preserve"> </w:t>
      </w:r>
      <w:r>
        <w:rPr>
          <w:rFonts w:cs="Arial" w:hint="cs"/>
          <w:rtl/>
        </w:rPr>
        <w:t>ולקמן</w:t>
      </w:r>
      <w:r>
        <w:rPr>
          <w:rFonts w:cs="Arial"/>
          <w:rtl/>
        </w:rPr>
        <w:t xml:space="preserve"> </w:t>
      </w:r>
      <w:r>
        <w:rPr>
          <w:rFonts w:cs="Arial" w:hint="cs"/>
          <w:rtl/>
        </w:rPr>
        <w:t>סימן</w:t>
      </w:r>
      <w:r>
        <w:rPr>
          <w:rFonts w:cs="Arial"/>
          <w:rtl/>
        </w:rPr>
        <w:t xml:space="preserve"> </w:t>
      </w:r>
      <w:r>
        <w:rPr>
          <w:rFonts w:cs="Arial" w:hint="cs"/>
          <w:rtl/>
        </w:rPr>
        <w:t>תר</w:t>
      </w:r>
      <w:r>
        <w:rPr>
          <w:rFonts w:cs="Arial"/>
          <w:rtl/>
        </w:rPr>
        <w:t>"</w:t>
      </w:r>
      <w:r>
        <w:rPr>
          <w:rFonts w:cs="Arial" w:hint="cs"/>
          <w:rtl/>
        </w:rPr>
        <w:t>י</w:t>
      </w:r>
      <w:r>
        <w:rPr>
          <w:rFonts w:cs="Arial"/>
          <w:rtl/>
        </w:rPr>
        <w:t xml:space="preserve"> </w:t>
      </w:r>
      <w:r>
        <w:rPr>
          <w:rFonts w:cs="Arial" w:hint="cs"/>
          <w:rtl/>
        </w:rPr>
        <w:t>יתבאר</w:t>
      </w:r>
      <w:r>
        <w:rPr>
          <w:rFonts w:hint="cs"/>
          <w:rtl/>
        </w:rPr>
        <w:t>, דרכ"מ (אות ב).</w:t>
      </w:r>
    </w:p>
  </w:footnote>
  <w:footnote w:id="634">
    <w:p w14:paraId="588E332F" w14:textId="77777777" w:rsidR="004B2E7C" w:rsidRDefault="004B2E7C" w:rsidP="00285819">
      <w:pPr>
        <w:pStyle w:val="a7"/>
        <w:rPr>
          <w:rtl/>
        </w:rPr>
      </w:pPr>
      <w:r>
        <w:rPr>
          <w:rStyle w:val="a9"/>
        </w:rPr>
        <w:footnoteRef/>
      </w:r>
      <w:r>
        <w:rPr>
          <w:rtl/>
        </w:rPr>
        <w:t xml:space="preserve"> </w:t>
      </w:r>
      <w:r>
        <w:rPr>
          <w:rFonts w:cs="Arial" w:hint="cs"/>
          <w:rtl/>
        </w:rPr>
        <w:t>וכן</w:t>
      </w:r>
      <w:r>
        <w:rPr>
          <w:rFonts w:cs="Arial"/>
          <w:rtl/>
        </w:rPr>
        <w:t xml:space="preserve"> </w:t>
      </w:r>
      <w:r>
        <w:rPr>
          <w:rFonts w:cs="Arial" w:hint="cs"/>
          <w:rtl/>
        </w:rPr>
        <w:t>הוא</w:t>
      </w:r>
      <w:r>
        <w:rPr>
          <w:rFonts w:cs="Arial"/>
          <w:rtl/>
        </w:rPr>
        <w:t xml:space="preserve"> </w:t>
      </w:r>
      <w:r>
        <w:rPr>
          <w:rFonts w:cs="Arial" w:hint="cs"/>
          <w:rtl/>
        </w:rPr>
        <w:t>המנהג</w:t>
      </w:r>
      <w:r>
        <w:rPr>
          <w:rFonts w:hint="cs"/>
          <w:rtl/>
        </w:rPr>
        <w:t>, דרכ"מ (אות ב).</w:t>
      </w:r>
    </w:p>
  </w:footnote>
  <w:footnote w:id="635">
    <w:p w14:paraId="624E865C" w14:textId="77777777" w:rsidR="004B2E7C" w:rsidRDefault="004B2E7C" w:rsidP="00285819">
      <w:pPr>
        <w:pStyle w:val="a7"/>
        <w:rPr>
          <w:rtl/>
        </w:rPr>
      </w:pPr>
      <w:r>
        <w:rPr>
          <w:rStyle w:val="a9"/>
        </w:rPr>
        <w:footnoteRef/>
      </w:r>
      <w:r>
        <w:rPr>
          <w:rtl/>
        </w:rPr>
        <w:t xml:space="preserve"> </w:t>
      </w:r>
      <w:r w:rsidRPr="00944B51">
        <w:rPr>
          <w:rFonts w:cs="Arial"/>
          <w:rtl/>
        </w:rPr>
        <w:t>ס"ל דאם תברך הוי כאלו קבלה לשבת בפירוש ושוב אסורה להדליק וא"כ ביום טוב דלא שייך זה לכ"ע תברך ואח"כ תדליק ודעת המ"א דלא פלוג אבל הרבה אחרונים ס"ל כמ"ש מתחלה</w:t>
      </w:r>
      <w:r>
        <w:rPr>
          <w:rFonts w:hint="cs"/>
          <w:rtl/>
        </w:rPr>
        <w:t>, משנ"ב (אות כז).</w:t>
      </w:r>
    </w:p>
  </w:footnote>
  <w:footnote w:id="636">
    <w:p w14:paraId="79857406" w14:textId="77777777" w:rsidR="004B2E7C" w:rsidRDefault="004B2E7C" w:rsidP="00285819">
      <w:pPr>
        <w:pStyle w:val="a7"/>
      </w:pPr>
      <w:r>
        <w:rPr>
          <w:rStyle w:val="a9"/>
        </w:rPr>
        <w:footnoteRef/>
      </w:r>
      <w:r>
        <w:rPr>
          <w:rtl/>
        </w:rPr>
        <w:t xml:space="preserve"> </w:t>
      </w:r>
      <w:r w:rsidRPr="00FE1C68">
        <w:rPr>
          <w:rFonts w:cs="Arial"/>
          <w:rtl/>
        </w:rPr>
        <w:t>היינו שיש להם נשים אלא שהולכין חוץ לביתם ואף שאשתו מדלקת בביתו אינו נפטר בברכת אשתו כיון שיש לו חדר מיוחד במקום שמתארח שם וכ"ש אם אינו נשוי דמחויב להדליק</w:t>
      </w:r>
      <w:r>
        <w:rPr>
          <w:rFonts w:cs="Arial" w:hint="cs"/>
          <w:rtl/>
        </w:rPr>
        <w:t>, משנ"ב (סקכ"ח).</w:t>
      </w:r>
    </w:p>
  </w:footnote>
  <w:footnote w:id="637">
    <w:p w14:paraId="0FC10D02" w14:textId="77777777" w:rsidR="004B2E7C" w:rsidRDefault="004B2E7C" w:rsidP="00285819">
      <w:pPr>
        <w:pStyle w:val="a7"/>
      </w:pPr>
      <w:r>
        <w:rPr>
          <w:rStyle w:val="a9"/>
        </w:rPr>
        <w:footnoteRef/>
      </w:r>
      <w:r>
        <w:rPr>
          <w:rtl/>
        </w:rPr>
        <w:t xml:space="preserve"> </w:t>
      </w:r>
      <w:r w:rsidRPr="009F7DCD">
        <w:rPr>
          <w:rFonts w:cs="Arial"/>
          <w:rtl/>
        </w:rPr>
        <w:t>הא אם היה לו חדר מיוחד צריך להדליק ולברך אפילו אם מדליקין עליו בביתו וכנ"ל בס"ו</w:t>
      </w:r>
      <w:r>
        <w:rPr>
          <w:rFonts w:cs="Arial" w:hint="cs"/>
          <w:rtl/>
        </w:rPr>
        <w:t>, משנ"ב (סקל"ב).</w:t>
      </w:r>
    </w:p>
  </w:footnote>
  <w:footnote w:id="638">
    <w:p w14:paraId="7C1CBEE5" w14:textId="77777777" w:rsidR="004B2E7C" w:rsidRDefault="004B2E7C" w:rsidP="00285819">
      <w:pPr>
        <w:pStyle w:val="a7"/>
      </w:pPr>
      <w:r>
        <w:rPr>
          <w:rStyle w:val="a9"/>
        </w:rPr>
        <w:footnoteRef/>
      </w:r>
      <w:r>
        <w:rPr>
          <w:rtl/>
        </w:rPr>
        <w:t xml:space="preserve"> </w:t>
      </w:r>
      <w:r w:rsidRPr="009F7DCD">
        <w:rPr>
          <w:rFonts w:cs="Arial"/>
          <w:rtl/>
        </w:rPr>
        <w:t>ובריש סימן תרע"ז הביא המג"א בשם תשובת רש"ל דגם הבחורים צריכין להשתתף ומסיק שם דאפשר דהיינו דוקא כשאוכל בפ"ע אבל אם סמוך על שלחן בעה"ב הרי הוא בכלל ב"ב ע"ש</w:t>
      </w:r>
      <w:r>
        <w:rPr>
          <w:rFonts w:cs="Arial" w:hint="cs"/>
          <w:rtl/>
        </w:rPr>
        <w:t>, משנ"ב (סקל"ג).</w:t>
      </w:r>
    </w:p>
  </w:footnote>
  <w:footnote w:id="639">
    <w:p w14:paraId="75D447BB" w14:textId="77777777" w:rsidR="004B2E7C" w:rsidRDefault="004B2E7C" w:rsidP="00285819">
      <w:pPr>
        <w:pStyle w:val="a7"/>
      </w:pPr>
      <w:r>
        <w:rPr>
          <w:rStyle w:val="a9"/>
        </w:rPr>
        <w:footnoteRef/>
      </w:r>
      <w:r>
        <w:rPr>
          <w:rtl/>
        </w:rPr>
        <w:t xml:space="preserve"> </w:t>
      </w:r>
      <w:r w:rsidRPr="009F7DCD">
        <w:rPr>
          <w:rFonts w:cs="Arial"/>
          <w:rtl/>
        </w:rPr>
        <w:t>וה"ה אם הבעה"ב מקנה לו חלק בנר שלו במתנה וכמ"ש לקמן בסימן תרע"ז לענין נר חנוכה</w:t>
      </w:r>
      <w:r>
        <w:rPr>
          <w:rFonts w:cs="Arial" w:hint="cs"/>
          <w:rtl/>
        </w:rPr>
        <w:t>, משנ"ב</w:t>
      </w:r>
      <w:r>
        <w:rPr>
          <w:rFonts w:cs="Arial" w:hint="cs"/>
        </w:rPr>
        <w:t xml:space="preserve"> </w:t>
      </w:r>
      <w:r>
        <w:rPr>
          <w:rFonts w:cs="Arial" w:hint="cs"/>
          <w:rtl/>
        </w:rPr>
        <w:t>(סקל"ד).</w:t>
      </w:r>
    </w:p>
  </w:footnote>
  <w:footnote w:id="640">
    <w:p w14:paraId="6BD0CA8A" w14:textId="77777777" w:rsidR="004B2E7C" w:rsidRDefault="004B2E7C" w:rsidP="00285819">
      <w:pPr>
        <w:pStyle w:val="a7"/>
      </w:pPr>
      <w:r>
        <w:rPr>
          <w:rStyle w:val="a9"/>
        </w:rPr>
        <w:footnoteRef/>
      </w:r>
      <w:r>
        <w:rPr>
          <w:rtl/>
        </w:rPr>
        <w:t xml:space="preserve"> </w:t>
      </w:r>
      <w:r w:rsidRPr="003F5B89">
        <w:rPr>
          <w:rFonts w:cs="Arial"/>
          <w:rtl/>
        </w:rPr>
        <w:t>ואם יש לאחד מהן חדר המיוחד לו אף על פי שאינו אוכל שם ואינו משתמש שם שום צורך אכילה לכ"ע יכול לברך שם וכנ"ל בסעיף ו'</w:t>
      </w:r>
      <w:r>
        <w:rPr>
          <w:rFonts w:cs="Arial" w:hint="cs"/>
          <w:rtl/>
        </w:rPr>
        <w:t>, משנ"ב (סקל"ח).</w:t>
      </w:r>
    </w:p>
  </w:footnote>
  <w:footnote w:id="641">
    <w:p w14:paraId="43F708D8" w14:textId="77777777" w:rsidR="004B2E7C" w:rsidRDefault="004B2E7C" w:rsidP="00285819">
      <w:pPr>
        <w:pStyle w:val="a7"/>
        <w:rPr>
          <w:rtl/>
        </w:rPr>
      </w:pPr>
      <w:r>
        <w:rPr>
          <w:rStyle w:val="a9"/>
        </w:rPr>
        <w:footnoteRef/>
      </w:r>
      <w:r>
        <w:rPr>
          <w:rtl/>
        </w:rPr>
        <w:t xml:space="preserve"> </w:t>
      </w:r>
      <w:r>
        <w:rPr>
          <w:rFonts w:hint="cs"/>
          <w:rtl/>
        </w:rPr>
        <w:t xml:space="preserve">ולשון זו שכתובה כאן מובאת גם בדברי הרי"ף (בסוגריים, צ"ע למה) במסכת שבת ט ע"ב. וגם המרדכי </w:t>
      </w:r>
      <w:r w:rsidRPr="00FF77FF">
        <w:rPr>
          <w:rFonts w:cs="Arial"/>
          <w:rtl/>
        </w:rPr>
        <w:t>(</w:t>
      </w:r>
      <w:r w:rsidRPr="00FF77FF">
        <w:rPr>
          <w:rFonts w:cs="Arial" w:hint="cs"/>
          <w:rtl/>
        </w:rPr>
        <w:t>סי</w:t>
      </w:r>
      <w:r w:rsidRPr="00FF77FF">
        <w:rPr>
          <w:rFonts w:cs="Arial"/>
          <w:rtl/>
        </w:rPr>
        <w:t xml:space="preserve">' </w:t>
      </w:r>
      <w:r w:rsidRPr="00FF77FF">
        <w:rPr>
          <w:rFonts w:cs="Arial" w:hint="cs"/>
          <w:rtl/>
        </w:rPr>
        <w:t>רצג</w:t>
      </w:r>
      <w:r w:rsidRPr="00FF77FF">
        <w:rPr>
          <w:rFonts w:cs="Arial"/>
          <w:rtl/>
        </w:rPr>
        <w:t xml:space="preserve">) </w:t>
      </w:r>
      <w:r>
        <w:rPr>
          <w:rFonts w:hint="cs"/>
          <w:rtl/>
        </w:rPr>
        <w:t xml:space="preserve">הביא את לשון בה"ג אחרי לשון החולקים, וכתב הב"י </w:t>
      </w:r>
      <w:r>
        <w:rPr>
          <w:rFonts w:cs="Arial" w:hint="cs"/>
          <w:rtl/>
        </w:rPr>
        <w:t>ש</w:t>
      </w:r>
      <w:r w:rsidRPr="00FF77FF">
        <w:rPr>
          <w:rFonts w:cs="Arial" w:hint="cs"/>
          <w:rtl/>
        </w:rPr>
        <w:t>נראה</w:t>
      </w:r>
      <w:r w:rsidRPr="00FF77FF">
        <w:rPr>
          <w:rFonts w:cs="Arial"/>
          <w:rtl/>
        </w:rPr>
        <w:t xml:space="preserve"> </w:t>
      </w:r>
      <w:r w:rsidRPr="00FF77FF">
        <w:rPr>
          <w:rFonts w:cs="Arial" w:hint="cs"/>
          <w:rtl/>
        </w:rPr>
        <w:t>שהוא</w:t>
      </w:r>
      <w:r w:rsidRPr="00FF77FF">
        <w:rPr>
          <w:rFonts w:cs="Arial"/>
          <w:rtl/>
        </w:rPr>
        <w:t xml:space="preserve"> </w:t>
      </w:r>
      <w:r w:rsidRPr="00FF77FF">
        <w:rPr>
          <w:rFonts w:cs="Arial" w:hint="cs"/>
          <w:rtl/>
        </w:rPr>
        <w:t>מסכים</w:t>
      </w:r>
      <w:r w:rsidRPr="00FF77FF">
        <w:rPr>
          <w:rFonts w:cs="Arial"/>
          <w:rtl/>
        </w:rPr>
        <w:t xml:space="preserve"> </w:t>
      </w:r>
      <w:r w:rsidRPr="00FF77FF">
        <w:rPr>
          <w:rFonts w:cs="Arial" w:hint="cs"/>
          <w:rtl/>
        </w:rPr>
        <w:t>לדברי</w:t>
      </w:r>
      <w:r w:rsidRPr="00FF77FF">
        <w:rPr>
          <w:rFonts w:cs="Arial"/>
          <w:rtl/>
        </w:rPr>
        <w:t xml:space="preserve"> </w:t>
      </w:r>
      <w:r w:rsidRPr="00FF77FF">
        <w:rPr>
          <w:rFonts w:cs="Arial" w:hint="cs"/>
          <w:rtl/>
        </w:rPr>
        <w:t>בה</w:t>
      </w:r>
      <w:r w:rsidRPr="00FF77FF">
        <w:rPr>
          <w:rFonts w:cs="Arial"/>
          <w:rtl/>
        </w:rPr>
        <w:t>"</w:t>
      </w:r>
      <w:r w:rsidRPr="00FF77FF">
        <w:rPr>
          <w:rFonts w:cs="Arial" w:hint="cs"/>
          <w:rtl/>
        </w:rPr>
        <w:t>ג</w:t>
      </w:r>
      <w:r>
        <w:rPr>
          <w:rFonts w:cs="Arial" w:hint="cs"/>
          <w:rtl/>
        </w:rPr>
        <w:t>.</w:t>
      </w:r>
    </w:p>
  </w:footnote>
  <w:footnote w:id="642">
    <w:p w14:paraId="771B11EB" w14:textId="77777777" w:rsidR="004B2E7C" w:rsidRDefault="004B2E7C" w:rsidP="00285819">
      <w:pPr>
        <w:pStyle w:val="a7"/>
      </w:pPr>
      <w:r>
        <w:rPr>
          <w:rStyle w:val="a9"/>
        </w:rPr>
        <w:footnoteRef/>
      </w:r>
      <w:r>
        <w:rPr>
          <w:rtl/>
        </w:rPr>
        <w:t xml:space="preserve"> </w:t>
      </w:r>
      <w:r>
        <w:rPr>
          <w:rFonts w:hint="cs"/>
          <w:rtl/>
        </w:rPr>
        <w:t xml:space="preserve">וז"ל- </w:t>
      </w:r>
      <w:r w:rsidRPr="004C6D53">
        <w:rPr>
          <w:rFonts w:cs="Arial"/>
          <w:rtl/>
        </w:rPr>
        <w:t>אין הדלקת נר שבת קבלת שבת</w:t>
      </w:r>
      <w:r>
        <w:rPr>
          <w:rFonts w:cs="Arial" w:hint="cs"/>
          <w:rtl/>
        </w:rPr>
        <w:t>,</w:t>
      </w:r>
      <w:r w:rsidRPr="004C6D53">
        <w:rPr>
          <w:rFonts w:cs="Arial"/>
          <w:rtl/>
        </w:rPr>
        <w:t xml:space="preserve"> אמנם המדליק עצמו יכול להיות אסור במלאכה לאחר שהדליק</w:t>
      </w:r>
      <w:r>
        <w:rPr>
          <w:rFonts w:hint="cs"/>
          <w:rtl/>
        </w:rPr>
        <w:t xml:space="preserve">. עכ"ל. ונראה לי שכוונתו לפרש את דברי בה"ג, היינו שמה שאמר בה"ג דהוי קבלת שבת - היינו למדליק (ולכן כתב בה"ג 'דקבלה לשבת </w:t>
      </w:r>
      <w:r w:rsidRPr="00765E9F">
        <w:rPr>
          <w:rFonts w:hint="cs"/>
          <w:b/>
          <w:bCs/>
          <w:rtl/>
        </w:rPr>
        <w:t>עליה</w:t>
      </w:r>
      <w:r>
        <w:rPr>
          <w:rFonts w:hint="cs"/>
          <w:rtl/>
        </w:rPr>
        <w:t>'), ואין המריע בחצוצרה (וכדו') מקבל את השבת לכולם בהדלקתו את הנר. אבל צל"ע משום שנראה שהב"י לא הבין כך את דברי הסמ"ג.</w:t>
      </w:r>
    </w:p>
  </w:footnote>
  <w:footnote w:id="643">
    <w:p w14:paraId="648B6133" w14:textId="77777777" w:rsidR="004B2E7C" w:rsidRDefault="004B2E7C" w:rsidP="00285819">
      <w:pPr>
        <w:pStyle w:val="a7"/>
        <w:rPr>
          <w:rtl/>
        </w:rPr>
      </w:pPr>
      <w:r>
        <w:rPr>
          <w:rStyle w:val="a9"/>
        </w:rPr>
        <w:footnoteRef/>
      </w:r>
      <w:r>
        <w:rPr>
          <w:rtl/>
        </w:rPr>
        <w:t xml:space="preserve"> </w:t>
      </w:r>
      <w:r>
        <w:rPr>
          <w:rFonts w:cs="Arial" w:hint="cs"/>
          <w:rtl/>
        </w:rPr>
        <w:t xml:space="preserve">בה"ג </w:t>
      </w:r>
      <w:r>
        <w:rPr>
          <w:rFonts w:cs="Arial" w:hint="cs"/>
          <w:sz w:val="16"/>
          <w:szCs w:val="16"/>
          <w:rtl/>
        </w:rPr>
        <w:t>(סי' ט, הלכות חנוכה)</w:t>
      </w:r>
      <w:r>
        <w:rPr>
          <w:rFonts w:cs="Arial" w:hint="cs"/>
          <w:rtl/>
        </w:rPr>
        <w:t xml:space="preserve"> רב שרירא גאון </w:t>
      </w:r>
      <w:r>
        <w:rPr>
          <w:rFonts w:cs="Arial" w:hint="cs"/>
          <w:sz w:val="16"/>
          <w:szCs w:val="16"/>
          <w:rtl/>
        </w:rPr>
        <w:t>(כ"כ בשמו ספר המקצועות [הביאו המרדכי סי' רצז])</w:t>
      </w:r>
      <w:r>
        <w:rPr>
          <w:rFonts w:cs="Arial" w:hint="cs"/>
          <w:rtl/>
        </w:rPr>
        <w:t xml:space="preserve"> </w:t>
      </w:r>
      <w:r w:rsidRPr="00FF77FF">
        <w:rPr>
          <w:rFonts w:cs="Arial" w:hint="cs"/>
          <w:rtl/>
        </w:rPr>
        <w:t>סמ</w:t>
      </w:r>
      <w:r w:rsidRPr="00FF77FF">
        <w:rPr>
          <w:rFonts w:cs="Arial"/>
          <w:rtl/>
        </w:rPr>
        <w:t>"</w:t>
      </w:r>
      <w:r>
        <w:rPr>
          <w:rFonts w:cs="Arial" w:hint="cs"/>
          <w:rtl/>
        </w:rPr>
        <w:t>ג</w:t>
      </w:r>
      <w:r w:rsidRPr="00FF77FF">
        <w:rPr>
          <w:rFonts w:cs="Arial"/>
          <w:rtl/>
        </w:rPr>
        <w:t xml:space="preserve"> </w:t>
      </w:r>
      <w:r w:rsidRPr="00437184">
        <w:rPr>
          <w:rFonts w:cs="Arial"/>
          <w:sz w:val="16"/>
          <w:szCs w:val="16"/>
          <w:rtl/>
        </w:rPr>
        <w:t>(</w:t>
      </w:r>
      <w:r w:rsidRPr="00437184">
        <w:rPr>
          <w:rFonts w:cs="Arial" w:hint="cs"/>
          <w:sz w:val="16"/>
          <w:szCs w:val="16"/>
          <w:rtl/>
        </w:rPr>
        <w:t>עשין ל</w:t>
      </w:r>
      <w:r w:rsidRPr="00437184">
        <w:rPr>
          <w:rFonts w:cs="Arial"/>
          <w:sz w:val="16"/>
          <w:szCs w:val="16"/>
          <w:rtl/>
        </w:rPr>
        <w:t>)</w:t>
      </w:r>
      <w:r>
        <w:rPr>
          <w:rFonts w:cs="Arial" w:hint="cs"/>
          <w:sz w:val="16"/>
          <w:szCs w:val="16"/>
          <w:rtl/>
        </w:rPr>
        <w:t xml:space="preserve"> </w:t>
      </w:r>
      <w:r>
        <w:rPr>
          <w:rFonts w:cs="Arial" w:hint="cs"/>
          <w:rtl/>
        </w:rPr>
        <w:t>ור"ן</w:t>
      </w:r>
      <w:r>
        <w:rPr>
          <w:rFonts w:cs="Arial" w:hint="cs"/>
          <w:sz w:val="16"/>
          <w:szCs w:val="16"/>
          <w:rtl/>
        </w:rPr>
        <w:t xml:space="preserve"> (שבת י. מדפה"ר)</w:t>
      </w:r>
      <w:r>
        <w:rPr>
          <w:rFonts w:hint="cs"/>
          <w:rtl/>
        </w:rPr>
        <w:t>.</w:t>
      </w:r>
    </w:p>
  </w:footnote>
  <w:footnote w:id="644">
    <w:p w14:paraId="521CD30B" w14:textId="77777777" w:rsidR="004B2E7C" w:rsidRDefault="004B2E7C" w:rsidP="00285819">
      <w:pPr>
        <w:pStyle w:val="a7"/>
      </w:pPr>
      <w:r>
        <w:rPr>
          <w:rStyle w:val="a9"/>
        </w:rPr>
        <w:footnoteRef/>
      </w:r>
      <w:r>
        <w:rPr>
          <w:rtl/>
        </w:rPr>
        <w:t xml:space="preserve"> </w:t>
      </w:r>
      <w:r>
        <w:rPr>
          <w:rFonts w:hint="cs"/>
          <w:rtl/>
        </w:rPr>
        <w:t>והביא הרמב"ן (שבת כג:) דבריו ודחאם, וז"ל-</w:t>
      </w:r>
      <w:r w:rsidRPr="008A7D6D">
        <w:rPr>
          <w:rtl/>
        </w:rPr>
        <w:t xml:space="preserve"> </w:t>
      </w:r>
      <w:r w:rsidRPr="008A7D6D">
        <w:rPr>
          <w:rFonts w:cs="Arial"/>
          <w:rtl/>
        </w:rPr>
        <w:t>וכמה הוא רחוק זה הטעם אם אמרו ביום הכפורים כן בשאמר זמן משום שמוסיפין מחול על הקודש ואוכלין ופוסקין מבע"י ויכול הוא להפסיק ולקבל עליו שלא יאכל מבע"י וכיון שאמר זמן הרי קבלו מעתה, אבל הדלקת נר שבת אם הדליקו מבע"י מה קיבול שבת יש בכך הרי כדי שלא יהא טרוד בערב הוא עושה, א"כ הדליק נר של שבת לא ידליק נר אחרת</w:t>
      </w:r>
      <w:r>
        <w:rPr>
          <w:rFonts w:cs="Arial" w:hint="cs"/>
          <w:rtl/>
        </w:rPr>
        <w:t>.</w:t>
      </w:r>
      <w:r w:rsidRPr="008A7D6D">
        <w:rPr>
          <w:rFonts w:cs="Arial"/>
          <w:rtl/>
        </w:rPr>
        <w:t xml:space="preserve"> ואדרבה לא מפני שהוא שבת הוא מדליק אלא מפני שעדיין אינה שבת מדליק וכי גמר הדלקה קונה שביתה</w:t>
      </w:r>
      <w:r>
        <w:rPr>
          <w:rFonts w:cs="Arial" w:hint="cs"/>
          <w:rtl/>
        </w:rPr>
        <w:t>.</w:t>
      </w:r>
      <w:r w:rsidRPr="008A7D6D">
        <w:rPr>
          <w:rFonts w:cs="Arial"/>
          <w:rtl/>
        </w:rPr>
        <w:t xml:space="preserve"> ועוד הרי אמרו בשילהי פירקין שלישית להדליק את הנר הדליק המדליק ושוהה כדי לצלות דג קטן או כדי להדביק פת בתנור, אלמא בתר הדלקת הנר מותר לצלות דגים ולהדביק פת בתנור, דכולהו ודאי מדלקי וזמן דכולהו אינשי הוא להדלקה ובתר הכי מאן דאדליק גופיה מדביק פת בתנור וצולה דג קטן מדלא הויא תקיעה בתרייתא דהדלקה וש"מ דכל כה"ג לאו קבלה הוא ושרי.</w:t>
      </w:r>
      <w:r>
        <w:rPr>
          <w:rFonts w:hint="cs"/>
          <w:rtl/>
        </w:rPr>
        <w:t xml:space="preserve"> עכ"ל. וכ"כ הרשב"א (שבת כג:). והביא הר"ן (שבת י. מדפה"ר) את דברי הרמב"ן ודחאם, והעלה למסקנה כדברי בה"ג.</w:t>
      </w:r>
    </w:p>
  </w:footnote>
  <w:footnote w:id="645">
    <w:p w14:paraId="36D92DF4" w14:textId="77777777" w:rsidR="004B2E7C" w:rsidRDefault="004B2E7C" w:rsidP="00285819">
      <w:pPr>
        <w:pStyle w:val="a7"/>
      </w:pPr>
      <w:r>
        <w:rPr>
          <w:rStyle w:val="a9"/>
        </w:rPr>
        <w:footnoteRef/>
      </w:r>
      <w:r>
        <w:rPr>
          <w:rtl/>
        </w:rPr>
        <w:t xml:space="preserve"> </w:t>
      </w:r>
      <w:r>
        <w:rPr>
          <w:rFonts w:hint="cs"/>
          <w:rtl/>
        </w:rPr>
        <w:t xml:space="preserve">וז"ל- </w:t>
      </w:r>
      <w:r w:rsidRPr="00FF77FF">
        <w:rPr>
          <w:rFonts w:cs="Arial" w:hint="cs"/>
          <w:rtl/>
        </w:rPr>
        <w:t>משמע</w:t>
      </w:r>
      <w:r w:rsidRPr="00FF77FF">
        <w:rPr>
          <w:rFonts w:cs="Arial"/>
          <w:rtl/>
        </w:rPr>
        <w:t xml:space="preserve"> </w:t>
      </w:r>
      <w:r w:rsidRPr="00FF77FF">
        <w:rPr>
          <w:rFonts w:cs="Arial" w:hint="cs"/>
          <w:rtl/>
        </w:rPr>
        <w:t>בגמרא</w:t>
      </w:r>
      <w:r w:rsidRPr="00FF77FF">
        <w:rPr>
          <w:rFonts w:cs="Arial"/>
          <w:rtl/>
        </w:rPr>
        <w:t xml:space="preserve"> </w:t>
      </w:r>
      <w:r w:rsidRPr="00FF77FF">
        <w:rPr>
          <w:rFonts w:cs="Arial" w:hint="cs"/>
          <w:rtl/>
        </w:rPr>
        <w:t>שקבלת</w:t>
      </w:r>
      <w:r w:rsidRPr="00FF77FF">
        <w:rPr>
          <w:rFonts w:cs="Arial"/>
          <w:rtl/>
        </w:rPr>
        <w:t xml:space="preserve"> </w:t>
      </w:r>
      <w:r w:rsidRPr="00FF77FF">
        <w:rPr>
          <w:rFonts w:cs="Arial" w:hint="cs"/>
          <w:rtl/>
        </w:rPr>
        <w:t>שבת</w:t>
      </w:r>
      <w:r w:rsidRPr="00FF77FF">
        <w:rPr>
          <w:rFonts w:cs="Arial"/>
          <w:rtl/>
        </w:rPr>
        <w:t xml:space="preserve"> </w:t>
      </w:r>
      <w:r w:rsidRPr="00FF77FF">
        <w:rPr>
          <w:rFonts w:cs="Arial" w:hint="cs"/>
          <w:rtl/>
        </w:rPr>
        <w:t>אינה</w:t>
      </w:r>
      <w:r w:rsidRPr="00FF77FF">
        <w:rPr>
          <w:rFonts w:cs="Arial"/>
          <w:rtl/>
        </w:rPr>
        <w:t xml:space="preserve"> </w:t>
      </w:r>
      <w:r w:rsidRPr="00FF77FF">
        <w:rPr>
          <w:rFonts w:cs="Arial" w:hint="cs"/>
          <w:rtl/>
        </w:rPr>
        <w:t>תלויה</w:t>
      </w:r>
      <w:r w:rsidRPr="00FF77FF">
        <w:rPr>
          <w:rFonts w:cs="Arial"/>
          <w:rtl/>
        </w:rPr>
        <w:t xml:space="preserve"> </w:t>
      </w:r>
      <w:r w:rsidRPr="00FF77FF">
        <w:rPr>
          <w:rFonts w:cs="Arial" w:hint="cs"/>
          <w:rtl/>
        </w:rPr>
        <w:t>בהדלקת</w:t>
      </w:r>
      <w:r w:rsidRPr="00FF77FF">
        <w:rPr>
          <w:rFonts w:cs="Arial"/>
          <w:rtl/>
        </w:rPr>
        <w:t xml:space="preserve"> </w:t>
      </w:r>
      <w:r w:rsidRPr="00FF77FF">
        <w:rPr>
          <w:rFonts w:cs="Arial" w:hint="cs"/>
          <w:rtl/>
        </w:rPr>
        <w:t>הנר</w:t>
      </w:r>
      <w:r w:rsidRPr="00FF77FF">
        <w:rPr>
          <w:rFonts w:cs="Arial"/>
          <w:rtl/>
        </w:rPr>
        <w:t xml:space="preserve"> </w:t>
      </w:r>
      <w:r w:rsidRPr="00FF77FF">
        <w:rPr>
          <w:rFonts w:cs="Arial" w:hint="cs"/>
          <w:rtl/>
        </w:rPr>
        <w:t>ונראה</w:t>
      </w:r>
      <w:r w:rsidRPr="00FF77FF">
        <w:rPr>
          <w:rFonts w:cs="Arial"/>
          <w:rtl/>
        </w:rPr>
        <w:t xml:space="preserve"> </w:t>
      </w:r>
      <w:r w:rsidRPr="00FF77FF">
        <w:rPr>
          <w:rFonts w:cs="Arial" w:hint="cs"/>
          <w:rtl/>
        </w:rPr>
        <w:t>שהיא</w:t>
      </w:r>
      <w:r w:rsidRPr="00FF77FF">
        <w:rPr>
          <w:rFonts w:cs="Arial"/>
          <w:rtl/>
        </w:rPr>
        <w:t xml:space="preserve"> </w:t>
      </w:r>
      <w:r w:rsidRPr="00FF77FF">
        <w:rPr>
          <w:rFonts w:cs="Arial" w:hint="cs"/>
          <w:rtl/>
        </w:rPr>
        <w:t>תלויה</w:t>
      </w:r>
      <w:r w:rsidRPr="00FF77FF">
        <w:rPr>
          <w:rFonts w:cs="Arial"/>
          <w:rtl/>
        </w:rPr>
        <w:t xml:space="preserve"> </w:t>
      </w:r>
      <w:r w:rsidRPr="00FF77FF">
        <w:rPr>
          <w:rFonts w:cs="Arial" w:hint="cs"/>
          <w:rtl/>
        </w:rPr>
        <w:t>בתפילת</w:t>
      </w:r>
      <w:r w:rsidRPr="00FF77FF">
        <w:rPr>
          <w:rFonts w:cs="Arial"/>
          <w:rtl/>
        </w:rPr>
        <w:t xml:space="preserve"> </w:t>
      </w:r>
      <w:r w:rsidRPr="00FF77FF">
        <w:rPr>
          <w:rFonts w:cs="Arial" w:hint="cs"/>
          <w:rtl/>
        </w:rPr>
        <w:t>ערבית</w:t>
      </w:r>
      <w:r w:rsidRPr="00FF77FF">
        <w:rPr>
          <w:rFonts w:cs="Arial"/>
          <w:rtl/>
        </w:rPr>
        <w:t xml:space="preserve"> </w:t>
      </w:r>
      <w:r w:rsidRPr="00FF77FF">
        <w:rPr>
          <w:rFonts w:cs="Arial" w:hint="cs"/>
          <w:rtl/>
        </w:rPr>
        <w:t>מדאמר</w:t>
      </w:r>
      <w:r w:rsidRPr="00FF77FF">
        <w:rPr>
          <w:rFonts w:cs="Arial"/>
          <w:rtl/>
        </w:rPr>
        <w:t xml:space="preserve"> </w:t>
      </w:r>
      <w:r w:rsidRPr="00FF77FF">
        <w:rPr>
          <w:rFonts w:cs="Arial" w:hint="cs"/>
          <w:rtl/>
        </w:rPr>
        <w:t>בתפילת</w:t>
      </w:r>
      <w:r w:rsidRPr="00FF77FF">
        <w:rPr>
          <w:rFonts w:cs="Arial"/>
          <w:rtl/>
        </w:rPr>
        <w:t xml:space="preserve"> </w:t>
      </w:r>
      <w:r w:rsidRPr="00FF77FF">
        <w:rPr>
          <w:rFonts w:cs="Arial" w:hint="cs"/>
          <w:rtl/>
        </w:rPr>
        <w:t>השחר</w:t>
      </w:r>
      <w:r>
        <w:rPr>
          <w:rFonts w:cs="Arial" w:hint="cs"/>
          <w:rtl/>
        </w:rPr>
        <w:t>...</w:t>
      </w:r>
      <w:r w:rsidRPr="00FF77FF">
        <w:rPr>
          <w:rFonts w:cs="Arial"/>
          <w:rtl/>
        </w:rPr>
        <w:t xml:space="preserve"> </w:t>
      </w:r>
      <w:r w:rsidRPr="00FF77FF">
        <w:rPr>
          <w:rFonts w:cs="Arial" w:hint="cs"/>
          <w:rtl/>
        </w:rPr>
        <w:t>וכן</w:t>
      </w:r>
      <w:r w:rsidRPr="00FF77FF">
        <w:rPr>
          <w:rFonts w:cs="Arial"/>
          <w:rtl/>
        </w:rPr>
        <w:t xml:space="preserve"> </w:t>
      </w:r>
      <w:r w:rsidRPr="00FF77FF">
        <w:rPr>
          <w:rFonts w:cs="Arial" w:hint="cs"/>
          <w:rtl/>
        </w:rPr>
        <w:t>עמא</w:t>
      </w:r>
      <w:r w:rsidRPr="00FF77FF">
        <w:rPr>
          <w:rFonts w:cs="Arial"/>
          <w:rtl/>
        </w:rPr>
        <w:t xml:space="preserve"> </w:t>
      </w:r>
      <w:r w:rsidRPr="00FF77FF">
        <w:rPr>
          <w:rFonts w:cs="Arial" w:hint="cs"/>
          <w:rtl/>
        </w:rPr>
        <w:t>דבר</w:t>
      </w:r>
      <w:r w:rsidRPr="00FF77FF">
        <w:rPr>
          <w:rFonts w:cs="Arial"/>
          <w:rtl/>
        </w:rPr>
        <w:t xml:space="preserve"> </w:t>
      </w:r>
      <w:r w:rsidRPr="00FF77FF">
        <w:rPr>
          <w:rFonts w:cs="Arial" w:hint="cs"/>
          <w:rtl/>
        </w:rPr>
        <w:t>כשהחזן</w:t>
      </w:r>
      <w:r w:rsidRPr="00FF77FF">
        <w:rPr>
          <w:rFonts w:cs="Arial"/>
          <w:rtl/>
        </w:rPr>
        <w:t xml:space="preserve"> </w:t>
      </w:r>
      <w:r w:rsidRPr="00FF77FF">
        <w:rPr>
          <w:rFonts w:cs="Arial" w:hint="cs"/>
          <w:rtl/>
        </w:rPr>
        <w:t>אומר</w:t>
      </w:r>
      <w:r w:rsidRPr="00FF77FF">
        <w:rPr>
          <w:rFonts w:cs="Arial"/>
          <w:rtl/>
        </w:rPr>
        <w:t xml:space="preserve"> </w:t>
      </w:r>
      <w:r w:rsidRPr="00FF77FF">
        <w:rPr>
          <w:rFonts w:cs="Arial" w:hint="cs"/>
          <w:rtl/>
        </w:rPr>
        <w:t>ברכו</w:t>
      </w:r>
      <w:r w:rsidRPr="00FF77FF">
        <w:rPr>
          <w:rFonts w:cs="Arial"/>
          <w:rtl/>
        </w:rPr>
        <w:t xml:space="preserve"> </w:t>
      </w:r>
      <w:r w:rsidRPr="00FF77FF">
        <w:rPr>
          <w:rFonts w:cs="Arial" w:hint="cs"/>
          <w:rtl/>
        </w:rPr>
        <w:t>הכל</w:t>
      </w:r>
      <w:r w:rsidRPr="00FF77FF">
        <w:rPr>
          <w:rFonts w:cs="Arial"/>
          <w:rtl/>
        </w:rPr>
        <w:t xml:space="preserve"> </w:t>
      </w:r>
      <w:r w:rsidRPr="00FF77FF">
        <w:rPr>
          <w:rFonts w:cs="Arial" w:hint="cs"/>
          <w:rtl/>
        </w:rPr>
        <w:t>פורשין</w:t>
      </w:r>
      <w:r w:rsidRPr="00FF77FF">
        <w:rPr>
          <w:rFonts w:cs="Arial"/>
          <w:rtl/>
        </w:rPr>
        <w:t xml:space="preserve"> </w:t>
      </w:r>
      <w:r w:rsidRPr="00FF77FF">
        <w:rPr>
          <w:rFonts w:cs="Arial" w:hint="cs"/>
          <w:rtl/>
        </w:rPr>
        <w:t>ממלאכה</w:t>
      </w:r>
      <w:r w:rsidRPr="00FF77FF">
        <w:rPr>
          <w:rFonts w:cs="Arial"/>
          <w:rtl/>
        </w:rPr>
        <w:t>.</w:t>
      </w:r>
    </w:p>
  </w:footnote>
  <w:footnote w:id="646">
    <w:p w14:paraId="44C4C521" w14:textId="77777777" w:rsidR="004B2E7C" w:rsidRDefault="004B2E7C" w:rsidP="00285819">
      <w:pPr>
        <w:pStyle w:val="a7"/>
        <w:rPr>
          <w:rtl/>
        </w:rPr>
      </w:pPr>
      <w:r>
        <w:rPr>
          <w:rStyle w:val="a9"/>
        </w:rPr>
        <w:footnoteRef/>
      </w:r>
      <w:r>
        <w:rPr>
          <w:rtl/>
        </w:rPr>
        <w:t xml:space="preserve"> </w:t>
      </w:r>
      <w:r>
        <w:rPr>
          <w:rFonts w:cs="Arial" w:hint="cs"/>
          <w:rtl/>
        </w:rPr>
        <w:t xml:space="preserve">תוס' </w:t>
      </w:r>
      <w:r>
        <w:rPr>
          <w:rFonts w:cs="Arial" w:hint="cs"/>
          <w:sz w:val="16"/>
          <w:szCs w:val="16"/>
          <w:rtl/>
        </w:rPr>
        <w:t>(כ"כ הטור בשמם)</w:t>
      </w:r>
      <w:r>
        <w:rPr>
          <w:rFonts w:cs="Arial" w:hint="cs"/>
          <w:rtl/>
        </w:rPr>
        <w:t xml:space="preserve"> </w:t>
      </w:r>
      <w:r w:rsidRPr="00EE1312">
        <w:rPr>
          <w:rFonts w:cs="Arial" w:hint="cs"/>
          <w:rtl/>
        </w:rPr>
        <w:t>רמב"ן</w:t>
      </w:r>
      <w:r w:rsidRPr="00EE1312">
        <w:rPr>
          <w:rFonts w:cs="Arial" w:hint="cs"/>
          <w:sz w:val="16"/>
          <w:szCs w:val="16"/>
          <w:rtl/>
        </w:rPr>
        <w:t xml:space="preserve"> </w:t>
      </w:r>
      <w:r w:rsidRPr="00EE1312">
        <w:rPr>
          <w:rFonts w:hint="cs"/>
          <w:sz w:val="16"/>
          <w:szCs w:val="16"/>
          <w:rtl/>
        </w:rPr>
        <w:t xml:space="preserve">(שבת כג:) </w:t>
      </w:r>
      <w:r w:rsidRPr="00EE1312">
        <w:rPr>
          <w:rFonts w:cs="Arial" w:hint="cs"/>
          <w:rtl/>
        </w:rPr>
        <w:t xml:space="preserve">רשב"א </w:t>
      </w:r>
      <w:r w:rsidRPr="00EE1312">
        <w:rPr>
          <w:rFonts w:hint="cs"/>
          <w:sz w:val="16"/>
          <w:szCs w:val="16"/>
          <w:rtl/>
        </w:rPr>
        <w:t xml:space="preserve">(בחי' שבת כג:, </w:t>
      </w:r>
      <w:r w:rsidRPr="00EE1312">
        <w:rPr>
          <w:rFonts w:cs="Arial" w:hint="cs"/>
          <w:sz w:val="16"/>
          <w:szCs w:val="16"/>
          <w:rtl/>
        </w:rPr>
        <w:t>ובתשו</w:t>
      </w:r>
      <w:r w:rsidRPr="00EE1312">
        <w:rPr>
          <w:rFonts w:cs="Arial"/>
          <w:sz w:val="16"/>
          <w:szCs w:val="16"/>
          <w:rtl/>
        </w:rPr>
        <w:t xml:space="preserve">' </w:t>
      </w:r>
      <w:r w:rsidRPr="00EE1312">
        <w:rPr>
          <w:rFonts w:cs="Arial" w:hint="cs"/>
          <w:sz w:val="16"/>
          <w:szCs w:val="16"/>
          <w:rtl/>
        </w:rPr>
        <w:t>ח</w:t>
      </w:r>
      <w:r w:rsidRPr="00EE1312">
        <w:rPr>
          <w:rFonts w:cs="Arial"/>
          <w:sz w:val="16"/>
          <w:szCs w:val="16"/>
          <w:rtl/>
        </w:rPr>
        <w:t>"</w:t>
      </w:r>
      <w:r w:rsidRPr="00EE1312">
        <w:rPr>
          <w:rFonts w:cs="Arial" w:hint="cs"/>
          <w:sz w:val="16"/>
          <w:szCs w:val="16"/>
          <w:rtl/>
        </w:rPr>
        <w:t>א</w:t>
      </w:r>
      <w:r w:rsidRPr="00EE1312">
        <w:rPr>
          <w:rFonts w:cs="Arial"/>
          <w:sz w:val="16"/>
          <w:szCs w:val="16"/>
          <w:rtl/>
        </w:rPr>
        <w:t xml:space="preserve"> </w:t>
      </w:r>
      <w:r w:rsidRPr="00EE1312">
        <w:rPr>
          <w:rFonts w:cs="Arial" w:hint="cs"/>
          <w:sz w:val="16"/>
          <w:szCs w:val="16"/>
          <w:rtl/>
        </w:rPr>
        <w:t>אלף</w:t>
      </w:r>
      <w:r w:rsidRPr="00EE1312">
        <w:rPr>
          <w:rFonts w:cs="Arial"/>
          <w:sz w:val="16"/>
          <w:szCs w:val="16"/>
          <w:rtl/>
        </w:rPr>
        <w:t xml:space="preserve"> </w:t>
      </w:r>
      <w:r w:rsidRPr="00EE1312">
        <w:rPr>
          <w:rFonts w:cs="Arial" w:hint="cs"/>
          <w:sz w:val="16"/>
          <w:szCs w:val="16"/>
          <w:rtl/>
        </w:rPr>
        <w:t>ע</w:t>
      </w:r>
      <w:r w:rsidRPr="00EE1312">
        <w:rPr>
          <w:rFonts w:hint="cs"/>
          <w:sz w:val="16"/>
          <w:szCs w:val="16"/>
          <w:rtl/>
        </w:rPr>
        <w:t xml:space="preserve">) </w:t>
      </w:r>
      <w:r w:rsidRPr="00FF77FF">
        <w:rPr>
          <w:rFonts w:cs="Arial" w:hint="cs"/>
          <w:rtl/>
        </w:rPr>
        <w:t>רא</w:t>
      </w:r>
      <w:r w:rsidRPr="00FF77FF">
        <w:rPr>
          <w:rFonts w:cs="Arial"/>
          <w:rtl/>
        </w:rPr>
        <w:t>"</w:t>
      </w:r>
      <w:r w:rsidRPr="00FF77FF">
        <w:rPr>
          <w:rFonts w:cs="Arial" w:hint="cs"/>
          <w:rtl/>
        </w:rPr>
        <w:t>ש</w:t>
      </w:r>
      <w:r w:rsidRPr="00FF77FF">
        <w:rPr>
          <w:rFonts w:cs="Arial"/>
          <w:rtl/>
        </w:rPr>
        <w:t xml:space="preserve"> </w:t>
      </w:r>
      <w:r w:rsidRPr="001A48EC">
        <w:rPr>
          <w:rFonts w:cs="Arial" w:hint="cs"/>
          <w:sz w:val="16"/>
          <w:szCs w:val="16"/>
          <w:rtl/>
        </w:rPr>
        <w:t>(ס"פ</w:t>
      </w:r>
      <w:r w:rsidRPr="001A48EC">
        <w:rPr>
          <w:rFonts w:cs="Arial"/>
          <w:sz w:val="16"/>
          <w:szCs w:val="16"/>
          <w:rtl/>
        </w:rPr>
        <w:t xml:space="preserve"> </w:t>
      </w:r>
      <w:r w:rsidRPr="001A48EC">
        <w:rPr>
          <w:rFonts w:cs="Arial" w:hint="cs"/>
          <w:sz w:val="16"/>
          <w:szCs w:val="16"/>
          <w:rtl/>
        </w:rPr>
        <w:t>במה</w:t>
      </w:r>
      <w:r w:rsidRPr="001A48EC">
        <w:rPr>
          <w:rFonts w:cs="Arial"/>
          <w:sz w:val="16"/>
          <w:szCs w:val="16"/>
          <w:rtl/>
        </w:rPr>
        <w:t xml:space="preserve"> </w:t>
      </w:r>
      <w:r w:rsidRPr="001A48EC">
        <w:rPr>
          <w:rFonts w:cs="Arial" w:hint="cs"/>
          <w:sz w:val="16"/>
          <w:szCs w:val="16"/>
          <w:rtl/>
        </w:rPr>
        <w:t>מדליקין</w:t>
      </w:r>
      <w:r w:rsidRPr="001A48EC">
        <w:rPr>
          <w:rFonts w:cs="Arial"/>
          <w:sz w:val="16"/>
          <w:szCs w:val="16"/>
          <w:rtl/>
        </w:rPr>
        <w:t xml:space="preserve"> </w:t>
      </w:r>
      <w:r w:rsidRPr="001A48EC">
        <w:rPr>
          <w:rFonts w:cs="Arial" w:hint="cs"/>
          <w:sz w:val="16"/>
          <w:szCs w:val="16"/>
          <w:rtl/>
        </w:rPr>
        <w:t>סי</w:t>
      </w:r>
      <w:r w:rsidRPr="001A48EC">
        <w:rPr>
          <w:rFonts w:cs="Arial"/>
          <w:sz w:val="16"/>
          <w:szCs w:val="16"/>
          <w:rtl/>
        </w:rPr>
        <w:t xml:space="preserve">' </w:t>
      </w:r>
      <w:r w:rsidRPr="001A48EC">
        <w:rPr>
          <w:rFonts w:cs="Arial" w:hint="cs"/>
          <w:sz w:val="16"/>
          <w:szCs w:val="16"/>
          <w:rtl/>
        </w:rPr>
        <w:t>כד</w:t>
      </w:r>
      <w:r w:rsidRPr="001A48EC">
        <w:rPr>
          <w:rFonts w:cs="Arial"/>
          <w:sz w:val="16"/>
          <w:szCs w:val="16"/>
          <w:rtl/>
        </w:rPr>
        <w:t>)</w:t>
      </w:r>
      <w:r>
        <w:rPr>
          <w:rFonts w:cs="Arial" w:hint="cs"/>
          <w:rtl/>
        </w:rPr>
        <w:t xml:space="preserve"> </w:t>
      </w:r>
      <w:r w:rsidRPr="00EE1312">
        <w:rPr>
          <w:rFonts w:cs="Arial" w:hint="cs"/>
          <w:rtl/>
        </w:rPr>
        <w:t>רי"ו</w:t>
      </w:r>
      <w:r w:rsidRPr="00EE1312">
        <w:rPr>
          <w:rFonts w:cs="Arial"/>
          <w:rtl/>
        </w:rPr>
        <w:t xml:space="preserve"> </w:t>
      </w:r>
      <w:r w:rsidRPr="00EE1312">
        <w:rPr>
          <w:rFonts w:cs="Arial" w:hint="cs"/>
          <w:sz w:val="16"/>
          <w:szCs w:val="16"/>
          <w:rtl/>
        </w:rPr>
        <w:t>(ח</w:t>
      </w:r>
      <w:r w:rsidRPr="00EE1312">
        <w:rPr>
          <w:rFonts w:cs="Arial"/>
          <w:sz w:val="16"/>
          <w:szCs w:val="16"/>
          <w:rtl/>
        </w:rPr>
        <w:t>"</w:t>
      </w:r>
      <w:r w:rsidRPr="00EE1312">
        <w:rPr>
          <w:rFonts w:cs="Arial" w:hint="cs"/>
          <w:sz w:val="16"/>
          <w:szCs w:val="16"/>
          <w:rtl/>
        </w:rPr>
        <w:t>ב</w:t>
      </w:r>
      <w:r w:rsidRPr="00EE1312">
        <w:rPr>
          <w:rFonts w:cs="Arial"/>
          <w:sz w:val="16"/>
          <w:szCs w:val="16"/>
          <w:rtl/>
        </w:rPr>
        <w:t xml:space="preserve"> </w:t>
      </w:r>
      <w:r w:rsidRPr="00EE1312">
        <w:rPr>
          <w:rFonts w:cs="Arial" w:hint="cs"/>
          <w:sz w:val="16"/>
          <w:szCs w:val="16"/>
          <w:rtl/>
        </w:rPr>
        <w:t>סז</w:t>
      </w:r>
      <w:r w:rsidRPr="00EE1312">
        <w:rPr>
          <w:rFonts w:cs="Arial"/>
          <w:sz w:val="16"/>
          <w:szCs w:val="16"/>
          <w:rtl/>
        </w:rPr>
        <w:t xml:space="preserve"> </w:t>
      </w:r>
      <w:r w:rsidRPr="00EE1312">
        <w:rPr>
          <w:rFonts w:cs="Arial" w:hint="cs"/>
          <w:sz w:val="16"/>
          <w:szCs w:val="16"/>
          <w:rtl/>
        </w:rPr>
        <w:t>ע</w:t>
      </w:r>
      <w:r w:rsidRPr="00EE1312">
        <w:rPr>
          <w:rFonts w:cs="Arial"/>
          <w:sz w:val="16"/>
          <w:szCs w:val="16"/>
          <w:rtl/>
        </w:rPr>
        <w:t>"</w:t>
      </w:r>
      <w:r w:rsidRPr="00EE1312">
        <w:rPr>
          <w:rFonts w:cs="Arial" w:hint="cs"/>
          <w:sz w:val="16"/>
          <w:szCs w:val="16"/>
          <w:rtl/>
        </w:rPr>
        <w:t>א</w:t>
      </w:r>
      <w:r w:rsidRPr="00EE1312">
        <w:rPr>
          <w:rFonts w:cs="Arial"/>
          <w:sz w:val="16"/>
          <w:szCs w:val="16"/>
          <w:rtl/>
        </w:rPr>
        <w:t>)</w:t>
      </w:r>
      <w:r w:rsidRPr="00EE1312">
        <w:rPr>
          <w:rFonts w:cs="Arial" w:hint="cs"/>
          <w:rtl/>
        </w:rPr>
        <w:t xml:space="preserve"> והה"מ</w:t>
      </w:r>
      <w:r w:rsidRPr="00EE1312">
        <w:rPr>
          <w:rFonts w:cs="Arial"/>
          <w:rtl/>
        </w:rPr>
        <w:t xml:space="preserve"> </w:t>
      </w:r>
      <w:r w:rsidRPr="00EE1312">
        <w:rPr>
          <w:rFonts w:cs="Arial" w:hint="cs"/>
          <w:sz w:val="16"/>
          <w:szCs w:val="16"/>
          <w:rtl/>
        </w:rPr>
        <w:t>(סוף</w:t>
      </w:r>
      <w:r w:rsidRPr="00EE1312">
        <w:rPr>
          <w:rFonts w:cs="Arial"/>
          <w:sz w:val="16"/>
          <w:szCs w:val="16"/>
          <w:rtl/>
        </w:rPr>
        <w:t xml:space="preserve"> </w:t>
      </w:r>
      <w:r w:rsidRPr="00EE1312">
        <w:rPr>
          <w:rFonts w:cs="Arial" w:hint="cs"/>
          <w:sz w:val="16"/>
          <w:szCs w:val="16"/>
          <w:rtl/>
        </w:rPr>
        <w:t>הלכות</w:t>
      </w:r>
      <w:r w:rsidRPr="00EE1312">
        <w:rPr>
          <w:rFonts w:cs="Arial"/>
          <w:sz w:val="16"/>
          <w:szCs w:val="16"/>
          <w:rtl/>
        </w:rPr>
        <w:t xml:space="preserve"> </w:t>
      </w:r>
      <w:r w:rsidRPr="00EE1312">
        <w:rPr>
          <w:rFonts w:cs="Arial" w:hint="cs"/>
          <w:sz w:val="16"/>
          <w:szCs w:val="16"/>
          <w:rtl/>
        </w:rPr>
        <w:t>חנוכה</w:t>
      </w:r>
      <w:r w:rsidRPr="00EE1312">
        <w:rPr>
          <w:rFonts w:cs="Arial"/>
          <w:sz w:val="16"/>
          <w:szCs w:val="16"/>
          <w:rtl/>
        </w:rPr>
        <w:t xml:space="preserve"> </w:t>
      </w:r>
      <w:r w:rsidRPr="00EE1312">
        <w:rPr>
          <w:rFonts w:cs="Arial" w:hint="cs"/>
          <w:sz w:val="16"/>
          <w:szCs w:val="16"/>
          <w:rtl/>
        </w:rPr>
        <w:t>הי</w:t>
      </w:r>
      <w:r w:rsidRPr="00EE1312">
        <w:rPr>
          <w:rFonts w:cs="Arial"/>
          <w:sz w:val="16"/>
          <w:szCs w:val="16"/>
          <w:rtl/>
        </w:rPr>
        <w:t>"</w:t>
      </w:r>
      <w:r w:rsidRPr="00EE1312">
        <w:rPr>
          <w:rFonts w:cs="Arial" w:hint="cs"/>
          <w:sz w:val="16"/>
          <w:szCs w:val="16"/>
          <w:rtl/>
        </w:rPr>
        <w:t>ג</w:t>
      </w:r>
      <w:r>
        <w:rPr>
          <w:rFonts w:cs="Arial" w:hint="cs"/>
          <w:sz w:val="16"/>
          <w:szCs w:val="16"/>
          <w:rtl/>
        </w:rPr>
        <w:t>, כ"כ הב"י בשמו</w:t>
      </w:r>
      <w:r w:rsidRPr="00EE1312">
        <w:rPr>
          <w:rFonts w:cs="Arial"/>
          <w:sz w:val="16"/>
          <w:szCs w:val="16"/>
          <w:rtl/>
        </w:rPr>
        <w:t>)</w:t>
      </w:r>
      <w:r>
        <w:rPr>
          <w:rFonts w:hint="cs"/>
          <w:rtl/>
        </w:rPr>
        <w:t>.</w:t>
      </w:r>
    </w:p>
  </w:footnote>
  <w:footnote w:id="647">
    <w:p w14:paraId="4BCB5483" w14:textId="77777777" w:rsidR="004B2E7C" w:rsidRDefault="004B2E7C" w:rsidP="00285819">
      <w:pPr>
        <w:pStyle w:val="a7"/>
        <w:rPr>
          <w:rtl/>
        </w:rPr>
      </w:pPr>
      <w:r>
        <w:rPr>
          <w:rStyle w:val="a9"/>
        </w:rPr>
        <w:footnoteRef/>
      </w:r>
      <w:r>
        <w:rPr>
          <w:rtl/>
        </w:rPr>
        <w:t xml:space="preserve"> </w:t>
      </w:r>
      <w:r w:rsidRPr="00FF77FF">
        <w:rPr>
          <w:rFonts w:cs="Arial" w:hint="cs"/>
          <w:rtl/>
        </w:rPr>
        <w:t>משמע</w:t>
      </w:r>
      <w:r w:rsidRPr="00FF77FF">
        <w:rPr>
          <w:rFonts w:cs="Arial"/>
          <w:rtl/>
        </w:rPr>
        <w:t xml:space="preserve"> </w:t>
      </w:r>
      <w:r w:rsidRPr="00FF77FF">
        <w:rPr>
          <w:rFonts w:cs="Arial" w:hint="cs"/>
          <w:rtl/>
        </w:rPr>
        <w:t>מלשונו</w:t>
      </w:r>
      <w:r w:rsidRPr="00FF77FF">
        <w:rPr>
          <w:rFonts w:cs="Arial"/>
          <w:rtl/>
        </w:rPr>
        <w:t xml:space="preserve"> </w:t>
      </w:r>
      <w:r w:rsidRPr="00FF77FF">
        <w:rPr>
          <w:rFonts w:cs="Arial" w:hint="cs"/>
          <w:rtl/>
        </w:rPr>
        <w:t>דכשיהיה</w:t>
      </w:r>
      <w:r w:rsidRPr="00FF77FF">
        <w:rPr>
          <w:rFonts w:cs="Arial"/>
          <w:rtl/>
        </w:rPr>
        <w:t xml:space="preserve"> </w:t>
      </w:r>
      <w:r w:rsidRPr="00FF77FF">
        <w:rPr>
          <w:rFonts w:cs="Arial" w:hint="cs"/>
          <w:rtl/>
        </w:rPr>
        <w:t>כן</w:t>
      </w:r>
      <w:r w:rsidRPr="00FF77FF">
        <w:rPr>
          <w:rFonts w:cs="Arial"/>
          <w:rtl/>
        </w:rPr>
        <w:t xml:space="preserve"> </w:t>
      </w:r>
      <w:r w:rsidRPr="00FF77FF">
        <w:rPr>
          <w:rFonts w:cs="Arial" w:hint="cs"/>
          <w:rtl/>
        </w:rPr>
        <w:t>בדעתו</w:t>
      </w:r>
      <w:r w:rsidRPr="00FF77FF">
        <w:rPr>
          <w:rFonts w:cs="Arial"/>
          <w:rtl/>
        </w:rPr>
        <w:t xml:space="preserve"> </w:t>
      </w:r>
      <w:r w:rsidRPr="00FF77FF">
        <w:rPr>
          <w:rFonts w:cs="Arial" w:hint="cs"/>
          <w:rtl/>
        </w:rPr>
        <w:t>סגי</w:t>
      </w:r>
      <w:r w:rsidRPr="00FF77FF">
        <w:rPr>
          <w:rFonts w:cs="Arial"/>
          <w:rtl/>
        </w:rPr>
        <w:t xml:space="preserve"> </w:t>
      </w:r>
      <w:r w:rsidRPr="00FF77FF">
        <w:rPr>
          <w:rFonts w:cs="Arial" w:hint="cs"/>
          <w:rtl/>
        </w:rPr>
        <w:t>אף</w:t>
      </w:r>
      <w:r w:rsidRPr="00FF77FF">
        <w:rPr>
          <w:rFonts w:cs="Arial"/>
          <w:rtl/>
        </w:rPr>
        <w:t xml:space="preserve"> </w:t>
      </w:r>
      <w:r w:rsidRPr="00FF77FF">
        <w:rPr>
          <w:rFonts w:cs="Arial" w:hint="cs"/>
          <w:rtl/>
        </w:rPr>
        <w:t>על</w:t>
      </w:r>
      <w:r w:rsidRPr="00FF77FF">
        <w:rPr>
          <w:rFonts w:cs="Arial"/>
          <w:rtl/>
        </w:rPr>
        <w:t xml:space="preserve"> </w:t>
      </w:r>
      <w:r w:rsidRPr="00FF77FF">
        <w:rPr>
          <w:rFonts w:cs="Arial" w:hint="cs"/>
          <w:rtl/>
        </w:rPr>
        <w:t>פי</w:t>
      </w:r>
      <w:r w:rsidRPr="00FF77FF">
        <w:rPr>
          <w:rFonts w:cs="Arial"/>
          <w:rtl/>
        </w:rPr>
        <w:t xml:space="preserve"> </w:t>
      </w:r>
      <w:r w:rsidRPr="00FF77FF">
        <w:rPr>
          <w:rFonts w:cs="Arial" w:hint="cs"/>
          <w:rtl/>
        </w:rPr>
        <w:t>שלא</w:t>
      </w:r>
      <w:r w:rsidRPr="00FF77FF">
        <w:rPr>
          <w:rFonts w:cs="Arial"/>
          <w:rtl/>
        </w:rPr>
        <w:t xml:space="preserve"> </w:t>
      </w:r>
      <w:r w:rsidRPr="00FF77FF">
        <w:rPr>
          <w:rFonts w:cs="Arial" w:hint="cs"/>
          <w:rtl/>
        </w:rPr>
        <w:t>התנה</w:t>
      </w:r>
      <w:r w:rsidRPr="00FF77FF">
        <w:rPr>
          <w:rFonts w:cs="Arial"/>
          <w:rtl/>
        </w:rPr>
        <w:t xml:space="preserve"> </w:t>
      </w:r>
      <w:r w:rsidRPr="00FF77FF">
        <w:rPr>
          <w:rFonts w:cs="Arial" w:hint="cs"/>
          <w:rtl/>
        </w:rPr>
        <w:t>בפה</w:t>
      </w:r>
      <w:r w:rsidRPr="00FF77FF">
        <w:rPr>
          <w:rFonts w:cs="Arial"/>
          <w:rtl/>
        </w:rPr>
        <w:t xml:space="preserve"> </w:t>
      </w:r>
      <w:r w:rsidRPr="00FF77FF">
        <w:rPr>
          <w:rFonts w:cs="Arial" w:hint="cs"/>
          <w:rtl/>
        </w:rPr>
        <w:t>ונראה</w:t>
      </w:r>
      <w:r w:rsidRPr="00FF77FF">
        <w:rPr>
          <w:rFonts w:cs="Arial"/>
          <w:rtl/>
        </w:rPr>
        <w:t xml:space="preserve"> </w:t>
      </w:r>
      <w:r w:rsidRPr="00FF77FF">
        <w:rPr>
          <w:rFonts w:cs="Arial" w:hint="cs"/>
          <w:rtl/>
        </w:rPr>
        <w:t>מדבריו</w:t>
      </w:r>
      <w:r w:rsidRPr="00FF77FF">
        <w:rPr>
          <w:rFonts w:cs="Arial"/>
          <w:rtl/>
        </w:rPr>
        <w:t xml:space="preserve"> </w:t>
      </w:r>
      <w:r w:rsidRPr="00FF77FF">
        <w:rPr>
          <w:rFonts w:cs="Arial" w:hint="cs"/>
          <w:rtl/>
        </w:rPr>
        <w:t>דאפילו</w:t>
      </w:r>
      <w:r w:rsidRPr="00FF77FF">
        <w:rPr>
          <w:rFonts w:cs="Arial"/>
          <w:rtl/>
        </w:rPr>
        <w:t xml:space="preserve"> </w:t>
      </w:r>
      <w:r w:rsidRPr="00FF77FF">
        <w:rPr>
          <w:rFonts w:cs="Arial" w:hint="cs"/>
          <w:rtl/>
        </w:rPr>
        <w:t>לדעת</w:t>
      </w:r>
      <w:r w:rsidRPr="00FF77FF">
        <w:rPr>
          <w:rFonts w:cs="Arial"/>
          <w:rtl/>
        </w:rPr>
        <w:t xml:space="preserve"> </w:t>
      </w:r>
      <w:r w:rsidRPr="00FF77FF">
        <w:rPr>
          <w:rFonts w:cs="Arial" w:hint="cs"/>
          <w:rtl/>
        </w:rPr>
        <w:t>בה</w:t>
      </w:r>
      <w:r w:rsidRPr="00FF77FF">
        <w:rPr>
          <w:rFonts w:cs="Arial"/>
          <w:rtl/>
        </w:rPr>
        <w:t>"</w:t>
      </w:r>
      <w:r w:rsidRPr="00FF77FF">
        <w:rPr>
          <w:rFonts w:cs="Arial" w:hint="cs"/>
          <w:rtl/>
        </w:rPr>
        <w:t>ג</w:t>
      </w:r>
      <w:r w:rsidRPr="00FF77FF">
        <w:rPr>
          <w:rFonts w:cs="Arial"/>
          <w:rtl/>
        </w:rPr>
        <w:t xml:space="preserve"> </w:t>
      </w:r>
      <w:r w:rsidRPr="00FF77FF">
        <w:rPr>
          <w:rFonts w:cs="Arial" w:hint="cs"/>
          <w:rtl/>
        </w:rPr>
        <w:t>שרי</w:t>
      </w:r>
      <w:r w:rsidRPr="00FF77FF">
        <w:rPr>
          <w:rFonts w:cs="Arial"/>
          <w:rtl/>
        </w:rPr>
        <w:t xml:space="preserve"> </w:t>
      </w:r>
      <w:r w:rsidRPr="00FF77FF">
        <w:rPr>
          <w:rFonts w:cs="Arial" w:hint="cs"/>
          <w:rtl/>
        </w:rPr>
        <w:t>בהכי</w:t>
      </w:r>
      <w:r>
        <w:rPr>
          <w:rFonts w:cs="Arial" w:hint="cs"/>
          <w:rtl/>
        </w:rPr>
        <w:t xml:space="preserve">, </w:t>
      </w:r>
      <w:r>
        <w:rPr>
          <w:rFonts w:hint="cs"/>
          <w:rtl/>
        </w:rPr>
        <w:t>ב"י.</w:t>
      </w:r>
    </w:p>
  </w:footnote>
  <w:footnote w:id="648">
    <w:p w14:paraId="5275F10B" w14:textId="77777777" w:rsidR="004B2E7C" w:rsidRDefault="004B2E7C" w:rsidP="00285819">
      <w:pPr>
        <w:pStyle w:val="a7"/>
      </w:pPr>
      <w:r>
        <w:rPr>
          <w:rStyle w:val="a9"/>
        </w:rPr>
        <w:footnoteRef/>
      </w:r>
      <w:r>
        <w:rPr>
          <w:rtl/>
        </w:rPr>
        <w:t xml:space="preserve"> </w:t>
      </w:r>
      <w:r>
        <w:rPr>
          <w:rFonts w:hint="cs"/>
          <w:rtl/>
        </w:rPr>
        <w:t xml:space="preserve">וז"ל- </w:t>
      </w:r>
      <w:r>
        <w:rPr>
          <w:rFonts w:cs="Arial" w:hint="cs"/>
          <w:rtl/>
        </w:rPr>
        <w:t>ד</w:t>
      </w:r>
      <w:r w:rsidRPr="00FF77FF">
        <w:rPr>
          <w:rFonts w:cs="Arial" w:hint="cs"/>
          <w:rtl/>
        </w:rPr>
        <w:t>דוקא</w:t>
      </w:r>
      <w:r w:rsidRPr="00FF77FF">
        <w:rPr>
          <w:rFonts w:cs="Arial"/>
          <w:rtl/>
        </w:rPr>
        <w:t xml:space="preserve"> </w:t>
      </w:r>
      <w:r w:rsidRPr="00FF77FF">
        <w:rPr>
          <w:rFonts w:cs="Arial" w:hint="cs"/>
          <w:rtl/>
        </w:rPr>
        <w:t>לבני</w:t>
      </w:r>
      <w:r w:rsidRPr="00FF77FF">
        <w:rPr>
          <w:rFonts w:cs="Arial"/>
          <w:rtl/>
        </w:rPr>
        <w:t xml:space="preserve"> </w:t>
      </w:r>
      <w:r w:rsidRPr="00FF77FF">
        <w:rPr>
          <w:rFonts w:cs="Arial" w:hint="cs"/>
          <w:rtl/>
        </w:rPr>
        <w:t>הבית</w:t>
      </w:r>
      <w:r w:rsidRPr="00FF77FF">
        <w:rPr>
          <w:rFonts w:cs="Arial"/>
          <w:rtl/>
        </w:rPr>
        <w:t xml:space="preserve"> </w:t>
      </w:r>
      <w:r>
        <w:rPr>
          <w:rFonts w:cs="Arial" w:hint="cs"/>
          <w:sz w:val="16"/>
          <w:szCs w:val="16"/>
          <w:rtl/>
        </w:rPr>
        <w:t>{מועיל התנאי}</w:t>
      </w:r>
      <w:r>
        <w:rPr>
          <w:rFonts w:cs="Arial" w:hint="cs"/>
          <w:rtl/>
        </w:rPr>
        <w:t xml:space="preserve">, </w:t>
      </w:r>
      <w:r w:rsidRPr="00FF77FF">
        <w:rPr>
          <w:rFonts w:cs="Arial" w:hint="cs"/>
          <w:rtl/>
        </w:rPr>
        <w:t>אבל</w:t>
      </w:r>
      <w:r w:rsidRPr="00FF77FF">
        <w:rPr>
          <w:rFonts w:cs="Arial"/>
          <w:rtl/>
        </w:rPr>
        <w:t xml:space="preserve"> </w:t>
      </w:r>
      <w:r w:rsidRPr="00FF77FF">
        <w:rPr>
          <w:rFonts w:cs="Arial" w:hint="cs"/>
          <w:rtl/>
        </w:rPr>
        <w:t>אשה</w:t>
      </w:r>
      <w:r w:rsidRPr="00FF77FF">
        <w:rPr>
          <w:rFonts w:cs="Arial"/>
          <w:rtl/>
        </w:rPr>
        <w:t xml:space="preserve"> </w:t>
      </w:r>
      <w:r w:rsidRPr="00FF77FF">
        <w:rPr>
          <w:rFonts w:cs="Arial" w:hint="cs"/>
          <w:rtl/>
        </w:rPr>
        <w:t>שמדלקת</w:t>
      </w:r>
      <w:r w:rsidRPr="00FF77FF">
        <w:rPr>
          <w:rFonts w:cs="Arial"/>
          <w:rtl/>
        </w:rPr>
        <w:t xml:space="preserve"> </w:t>
      </w:r>
      <w:r w:rsidRPr="00FF77FF">
        <w:rPr>
          <w:rFonts w:cs="Arial" w:hint="cs"/>
          <w:rtl/>
        </w:rPr>
        <w:t>היא</w:t>
      </w:r>
      <w:r w:rsidRPr="00FF77FF">
        <w:rPr>
          <w:rFonts w:cs="Arial"/>
          <w:rtl/>
        </w:rPr>
        <w:t xml:space="preserve"> </w:t>
      </w:r>
      <w:r w:rsidRPr="00FF77FF">
        <w:rPr>
          <w:rFonts w:cs="Arial" w:hint="cs"/>
          <w:rtl/>
        </w:rPr>
        <w:t>אסורה</w:t>
      </w:r>
      <w:r w:rsidRPr="00FF77FF">
        <w:rPr>
          <w:rFonts w:cs="Arial"/>
          <w:rtl/>
        </w:rPr>
        <w:t xml:space="preserve"> </w:t>
      </w:r>
      <w:r w:rsidRPr="00FF77FF">
        <w:rPr>
          <w:rFonts w:cs="Arial" w:hint="cs"/>
          <w:rtl/>
        </w:rPr>
        <w:t>לעשות</w:t>
      </w:r>
      <w:r w:rsidRPr="00FF77FF">
        <w:rPr>
          <w:rFonts w:cs="Arial"/>
          <w:rtl/>
        </w:rPr>
        <w:t xml:space="preserve"> </w:t>
      </w:r>
      <w:r w:rsidRPr="00FF77FF">
        <w:rPr>
          <w:rFonts w:cs="Arial" w:hint="cs"/>
          <w:rtl/>
        </w:rPr>
        <w:t>מלאכה</w:t>
      </w:r>
      <w:r w:rsidRPr="00FF77FF">
        <w:rPr>
          <w:rFonts w:cs="Arial"/>
          <w:rtl/>
        </w:rPr>
        <w:t xml:space="preserve"> </w:t>
      </w:r>
      <w:r w:rsidRPr="00FF77FF">
        <w:rPr>
          <w:rFonts w:cs="Arial" w:hint="cs"/>
          <w:rtl/>
        </w:rPr>
        <w:t>לאחר</w:t>
      </w:r>
      <w:r w:rsidRPr="00FF77FF">
        <w:rPr>
          <w:rFonts w:cs="Arial"/>
          <w:rtl/>
        </w:rPr>
        <w:t xml:space="preserve"> </w:t>
      </w:r>
      <w:r w:rsidRPr="00FF77FF">
        <w:rPr>
          <w:rFonts w:cs="Arial" w:hint="cs"/>
          <w:rtl/>
        </w:rPr>
        <w:t>שהדליקה</w:t>
      </w:r>
      <w:r w:rsidRPr="00FF77FF">
        <w:rPr>
          <w:rFonts w:cs="Arial"/>
          <w:rtl/>
        </w:rPr>
        <w:t xml:space="preserve"> </w:t>
      </w:r>
      <w:r w:rsidRPr="00FF77FF">
        <w:rPr>
          <w:rFonts w:cs="Arial" w:hint="cs"/>
          <w:rtl/>
        </w:rPr>
        <w:t>דכיון</w:t>
      </w:r>
      <w:r w:rsidRPr="00FF77FF">
        <w:rPr>
          <w:rFonts w:cs="Arial"/>
          <w:rtl/>
        </w:rPr>
        <w:t xml:space="preserve"> </w:t>
      </w:r>
      <w:r w:rsidRPr="00FF77FF">
        <w:rPr>
          <w:rFonts w:cs="Arial" w:hint="cs"/>
          <w:rtl/>
        </w:rPr>
        <w:t>שמברכת</w:t>
      </w:r>
      <w:r w:rsidRPr="00FF77FF">
        <w:rPr>
          <w:rFonts w:cs="Arial"/>
          <w:rtl/>
        </w:rPr>
        <w:t xml:space="preserve"> </w:t>
      </w:r>
      <w:r w:rsidRPr="00FF77FF">
        <w:rPr>
          <w:rFonts w:cs="Arial" w:hint="cs"/>
          <w:rtl/>
        </w:rPr>
        <w:t>עליה</w:t>
      </w:r>
      <w:r w:rsidRPr="00FF77FF">
        <w:rPr>
          <w:rFonts w:cs="Arial"/>
          <w:rtl/>
        </w:rPr>
        <w:t xml:space="preserve"> </w:t>
      </w:r>
      <w:r w:rsidRPr="00FF77FF">
        <w:rPr>
          <w:rFonts w:cs="Arial" w:hint="cs"/>
          <w:rtl/>
        </w:rPr>
        <w:t>אין</w:t>
      </w:r>
      <w:r w:rsidRPr="00FF77FF">
        <w:rPr>
          <w:rFonts w:cs="Arial"/>
          <w:rtl/>
        </w:rPr>
        <w:t xml:space="preserve"> </w:t>
      </w:r>
      <w:r w:rsidRPr="00FF77FF">
        <w:rPr>
          <w:rFonts w:cs="Arial" w:hint="cs"/>
          <w:rtl/>
        </w:rPr>
        <w:t>לך</w:t>
      </w:r>
      <w:r w:rsidRPr="00FF77FF">
        <w:rPr>
          <w:rFonts w:cs="Arial"/>
          <w:rtl/>
        </w:rPr>
        <w:t xml:space="preserve"> </w:t>
      </w:r>
      <w:r w:rsidRPr="00FF77FF">
        <w:rPr>
          <w:rFonts w:cs="Arial" w:hint="cs"/>
          <w:rtl/>
        </w:rPr>
        <w:t>קבלה</w:t>
      </w:r>
      <w:r w:rsidRPr="00FF77FF">
        <w:rPr>
          <w:rFonts w:cs="Arial"/>
          <w:rtl/>
        </w:rPr>
        <w:t xml:space="preserve"> </w:t>
      </w:r>
      <w:r w:rsidRPr="00FF77FF">
        <w:rPr>
          <w:rFonts w:cs="Arial" w:hint="cs"/>
          <w:rtl/>
        </w:rPr>
        <w:t>גדולה</w:t>
      </w:r>
      <w:r w:rsidRPr="00FF77FF">
        <w:rPr>
          <w:rFonts w:cs="Arial"/>
          <w:rtl/>
        </w:rPr>
        <w:t xml:space="preserve"> </w:t>
      </w:r>
      <w:r w:rsidRPr="00FF77FF">
        <w:rPr>
          <w:rFonts w:cs="Arial" w:hint="cs"/>
          <w:rtl/>
        </w:rPr>
        <w:t>מזו</w:t>
      </w:r>
      <w:r w:rsidRPr="00FF77FF">
        <w:rPr>
          <w:rFonts w:cs="Arial"/>
          <w:rtl/>
        </w:rPr>
        <w:t xml:space="preserve"> </w:t>
      </w:r>
      <w:r w:rsidRPr="00FF77FF">
        <w:rPr>
          <w:rFonts w:cs="Arial" w:hint="cs"/>
          <w:rtl/>
        </w:rPr>
        <w:t>ואין</w:t>
      </w:r>
      <w:r w:rsidRPr="00FF77FF">
        <w:rPr>
          <w:rFonts w:cs="Arial"/>
          <w:rtl/>
        </w:rPr>
        <w:t xml:space="preserve"> </w:t>
      </w:r>
      <w:r w:rsidRPr="00FF77FF">
        <w:rPr>
          <w:rFonts w:cs="Arial" w:hint="cs"/>
          <w:rtl/>
        </w:rPr>
        <w:t>מועיל</w:t>
      </w:r>
      <w:r w:rsidRPr="00FF77FF">
        <w:rPr>
          <w:rFonts w:cs="Arial"/>
          <w:rtl/>
        </w:rPr>
        <w:t xml:space="preserve"> </w:t>
      </w:r>
      <w:r w:rsidRPr="00FF77FF">
        <w:rPr>
          <w:rFonts w:cs="Arial" w:hint="cs"/>
          <w:rtl/>
        </w:rPr>
        <w:t>לה</w:t>
      </w:r>
      <w:r w:rsidRPr="00FF77FF">
        <w:rPr>
          <w:rFonts w:cs="Arial"/>
          <w:rtl/>
        </w:rPr>
        <w:t xml:space="preserve"> </w:t>
      </w:r>
      <w:r w:rsidRPr="00FF77FF">
        <w:rPr>
          <w:rFonts w:cs="Arial" w:hint="cs"/>
          <w:rtl/>
        </w:rPr>
        <w:t>שום</w:t>
      </w:r>
      <w:r w:rsidRPr="00FF77FF">
        <w:rPr>
          <w:rFonts w:cs="Arial"/>
          <w:rtl/>
        </w:rPr>
        <w:t xml:space="preserve"> </w:t>
      </w:r>
      <w:r w:rsidRPr="00FF77FF">
        <w:rPr>
          <w:rFonts w:cs="Arial" w:hint="cs"/>
          <w:rtl/>
        </w:rPr>
        <w:t>תנאי</w:t>
      </w:r>
      <w:r>
        <w:rPr>
          <w:rFonts w:cs="Arial" w:hint="cs"/>
          <w:rtl/>
        </w:rPr>
        <w:t>.</w:t>
      </w:r>
    </w:p>
  </w:footnote>
  <w:footnote w:id="649">
    <w:p w14:paraId="11AD0977" w14:textId="77777777" w:rsidR="004B2E7C" w:rsidRDefault="004B2E7C" w:rsidP="00285819">
      <w:pPr>
        <w:pStyle w:val="a7"/>
        <w:rPr>
          <w:rtl/>
        </w:rPr>
      </w:pPr>
      <w:r>
        <w:rPr>
          <w:rStyle w:val="a9"/>
        </w:rPr>
        <w:footnoteRef/>
      </w:r>
      <w:r>
        <w:rPr>
          <w:rtl/>
        </w:rPr>
        <w:t xml:space="preserve"> </w:t>
      </w:r>
      <w:r w:rsidRPr="00FF77FF">
        <w:rPr>
          <w:rFonts w:cs="Arial" w:hint="cs"/>
          <w:rtl/>
        </w:rPr>
        <w:t>ומה</w:t>
      </w:r>
      <w:r w:rsidRPr="00FF77FF">
        <w:rPr>
          <w:rFonts w:cs="Arial"/>
          <w:rtl/>
        </w:rPr>
        <w:t xml:space="preserve"> </w:t>
      </w:r>
      <w:r w:rsidRPr="00FF77FF">
        <w:rPr>
          <w:rFonts w:cs="Arial" w:hint="cs"/>
          <w:rtl/>
        </w:rPr>
        <w:t>שכתב</w:t>
      </w:r>
      <w:r w:rsidRPr="00FF77FF">
        <w:rPr>
          <w:rFonts w:cs="Arial"/>
          <w:rtl/>
        </w:rPr>
        <w:t xml:space="preserve"> </w:t>
      </w:r>
      <w:r w:rsidRPr="00FF77FF">
        <w:rPr>
          <w:rFonts w:cs="Arial" w:hint="cs"/>
          <w:rtl/>
        </w:rPr>
        <w:t>הרא</w:t>
      </w:r>
      <w:r w:rsidRPr="00FF77FF">
        <w:rPr>
          <w:rFonts w:cs="Arial"/>
          <w:rtl/>
        </w:rPr>
        <w:t>"</w:t>
      </w:r>
      <w:r w:rsidRPr="00FF77FF">
        <w:rPr>
          <w:rFonts w:cs="Arial" w:hint="cs"/>
          <w:rtl/>
        </w:rPr>
        <w:t>ש</w:t>
      </w:r>
      <w:r w:rsidRPr="00FF77FF">
        <w:rPr>
          <w:rFonts w:cs="Arial"/>
          <w:rtl/>
        </w:rPr>
        <w:t xml:space="preserve"> (</w:t>
      </w:r>
      <w:r w:rsidRPr="00FF77FF">
        <w:rPr>
          <w:rFonts w:cs="Arial" w:hint="cs"/>
          <w:rtl/>
        </w:rPr>
        <w:t>הנ</w:t>
      </w:r>
      <w:r w:rsidRPr="00FF77FF">
        <w:rPr>
          <w:rFonts w:cs="Arial"/>
          <w:rtl/>
        </w:rPr>
        <w:t>"</w:t>
      </w:r>
      <w:r w:rsidRPr="00FF77FF">
        <w:rPr>
          <w:rFonts w:cs="Arial" w:hint="cs"/>
          <w:rtl/>
        </w:rPr>
        <w:t>ל</w:t>
      </w:r>
      <w:r w:rsidRPr="00FF77FF">
        <w:rPr>
          <w:rFonts w:cs="Arial"/>
          <w:rtl/>
        </w:rPr>
        <w:t xml:space="preserve">) </w:t>
      </w:r>
      <w:r w:rsidRPr="00FF77FF">
        <w:rPr>
          <w:rFonts w:cs="Arial" w:hint="cs"/>
          <w:rtl/>
        </w:rPr>
        <w:t>שקבלת</w:t>
      </w:r>
      <w:r w:rsidRPr="00FF77FF">
        <w:rPr>
          <w:rFonts w:cs="Arial"/>
          <w:rtl/>
        </w:rPr>
        <w:t xml:space="preserve"> </w:t>
      </w:r>
      <w:r w:rsidRPr="00FF77FF">
        <w:rPr>
          <w:rFonts w:cs="Arial" w:hint="cs"/>
          <w:rtl/>
        </w:rPr>
        <w:t>שבת</w:t>
      </w:r>
      <w:r w:rsidRPr="00FF77FF">
        <w:rPr>
          <w:rFonts w:cs="Arial"/>
          <w:rtl/>
        </w:rPr>
        <w:t xml:space="preserve"> </w:t>
      </w:r>
      <w:r w:rsidRPr="00FF77FF">
        <w:rPr>
          <w:rFonts w:cs="Arial" w:hint="cs"/>
          <w:rtl/>
        </w:rPr>
        <w:t>תלויה</w:t>
      </w:r>
      <w:r w:rsidRPr="00FF77FF">
        <w:rPr>
          <w:rFonts w:cs="Arial"/>
          <w:rtl/>
        </w:rPr>
        <w:t xml:space="preserve"> </w:t>
      </w:r>
      <w:r w:rsidRPr="00FF77FF">
        <w:rPr>
          <w:rFonts w:cs="Arial" w:hint="cs"/>
          <w:rtl/>
        </w:rPr>
        <w:t>בתפילת</w:t>
      </w:r>
      <w:r w:rsidRPr="00FF77FF">
        <w:rPr>
          <w:rFonts w:cs="Arial"/>
          <w:rtl/>
        </w:rPr>
        <w:t xml:space="preserve"> </w:t>
      </w:r>
      <w:r w:rsidRPr="00FF77FF">
        <w:rPr>
          <w:rFonts w:cs="Arial" w:hint="cs"/>
          <w:rtl/>
        </w:rPr>
        <w:t>ערבית</w:t>
      </w:r>
      <w:r w:rsidRPr="00FF77FF">
        <w:rPr>
          <w:rFonts w:cs="Arial"/>
          <w:rtl/>
        </w:rPr>
        <w:t xml:space="preserve"> </w:t>
      </w:r>
      <w:r w:rsidRPr="00FF77FF">
        <w:rPr>
          <w:rFonts w:cs="Arial" w:hint="cs"/>
          <w:rtl/>
        </w:rPr>
        <w:t>צריך</w:t>
      </w:r>
      <w:r w:rsidRPr="00FF77FF">
        <w:rPr>
          <w:rFonts w:cs="Arial"/>
          <w:rtl/>
        </w:rPr>
        <w:t xml:space="preserve"> </w:t>
      </w:r>
      <w:r w:rsidRPr="00FF77FF">
        <w:rPr>
          <w:rFonts w:cs="Arial" w:hint="cs"/>
          <w:rtl/>
        </w:rPr>
        <w:t>לפרש</w:t>
      </w:r>
      <w:r w:rsidRPr="00FF77FF">
        <w:rPr>
          <w:rFonts w:cs="Arial"/>
          <w:rtl/>
        </w:rPr>
        <w:t xml:space="preserve"> </w:t>
      </w:r>
      <w:r w:rsidRPr="00FF77FF">
        <w:rPr>
          <w:rFonts w:cs="Arial" w:hint="cs"/>
          <w:rtl/>
        </w:rPr>
        <w:t>דהיינו</w:t>
      </w:r>
      <w:r w:rsidRPr="00FF77FF">
        <w:rPr>
          <w:rFonts w:cs="Arial"/>
          <w:rtl/>
        </w:rPr>
        <w:t xml:space="preserve"> </w:t>
      </w:r>
      <w:r w:rsidRPr="00FF77FF">
        <w:rPr>
          <w:rFonts w:cs="Arial" w:hint="cs"/>
          <w:rtl/>
        </w:rPr>
        <w:t>תחלת</w:t>
      </w:r>
      <w:r w:rsidRPr="00FF77FF">
        <w:rPr>
          <w:rFonts w:cs="Arial"/>
          <w:rtl/>
        </w:rPr>
        <w:t xml:space="preserve"> </w:t>
      </w:r>
      <w:r w:rsidRPr="00FF77FF">
        <w:rPr>
          <w:rFonts w:cs="Arial" w:hint="cs"/>
          <w:rtl/>
        </w:rPr>
        <w:t>תפילת</w:t>
      </w:r>
      <w:r w:rsidRPr="00FF77FF">
        <w:rPr>
          <w:rFonts w:cs="Arial"/>
          <w:rtl/>
        </w:rPr>
        <w:t xml:space="preserve"> </w:t>
      </w:r>
      <w:r w:rsidRPr="00FF77FF">
        <w:rPr>
          <w:rFonts w:cs="Arial" w:hint="cs"/>
          <w:rtl/>
        </w:rPr>
        <w:t>ערבית</w:t>
      </w:r>
      <w:r w:rsidRPr="00FF77FF">
        <w:rPr>
          <w:rFonts w:cs="Arial"/>
          <w:rtl/>
        </w:rPr>
        <w:t xml:space="preserve"> </w:t>
      </w:r>
      <w:r w:rsidRPr="00FF77FF">
        <w:rPr>
          <w:rFonts w:cs="Arial" w:hint="cs"/>
          <w:rtl/>
        </w:rPr>
        <w:t>שהוא</w:t>
      </w:r>
      <w:r w:rsidRPr="00FF77FF">
        <w:rPr>
          <w:rFonts w:cs="Arial"/>
          <w:rtl/>
        </w:rPr>
        <w:t xml:space="preserve"> </w:t>
      </w:r>
      <w:r w:rsidRPr="00FF77FF">
        <w:rPr>
          <w:rFonts w:cs="Arial" w:hint="cs"/>
          <w:rtl/>
        </w:rPr>
        <w:t>ברכו</w:t>
      </w:r>
      <w:r w:rsidRPr="00FF77FF">
        <w:rPr>
          <w:rFonts w:cs="Arial"/>
          <w:rtl/>
        </w:rPr>
        <w:t xml:space="preserve"> </w:t>
      </w:r>
      <w:r w:rsidRPr="00FF77FF">
        <w:rPr>
          <w:rFonts w:cs="Arial" w:hint="cs"/>
          <w:rtl/>
        </w:rPr>
        <w:t>כדמסיים</w:t>
      </w:r>
      <w:r w:rsidRPr="00FF77FF">
        <w:rPr>
          <w:rFonts w:cs="Arial"/>
          <w:rtl/>
        </w:rPr>
        <w:t xml:space="preserve"> </w:t>
      </w:r>
      <w:r w:rsidRPr="00FF77FF">
        <w:rPr>
          <w:rFonts w:cs="Arial" w:hint="cs"/>
          <w:rtl/>
        </w:rPr>
        <w:t>בסוף</w:t>
      </w:r>
      <w:r w:rsidRPr="00FF77FF">
        <w:rPr>
          <w:rFonts w:cs="Arial"/>
          <w:rtl/>
        </w:rPr>
        <w:t xml:space="preserve"> </w:t>
      </w:r>
      <w:r w:rsidRPr="00FF77FF">
        <w:rPr>
          <w:rFonts w:cs="Arial" w:hint="cs"/>
          <w:rtl/>
        </w:rPr>
        <w:t>דבריו</w:t>
      </w:r>
      <w:r w:rsidRPr="00FF77FF">
        <w:rPr>
          <w:rFonts w:cs="Arial"/>
          <w:rtl/>
        </w:rPr>
        <w:t xml:space="preserve">. </w:t>
      </w:r>
      <w:r w:rsidRPr="00FF77FF">
        <w:rPr>
          <w:rFonts w:cs="Arial" w:hint="cs"/>
          <w:rtl/>
        </w:rPr>
        <w:t>וכן</w:t>
      </w:r>
      <w:r w:rsidRPr="00FF77FF">
        <w:rPr>
          <w:rFonts w:cs="Arial"/>
          <w:rtl/>
        </w:rPr>
        <w:t xml:space="preserve"> </w:t>
      </w:r>
      <w:r w:rsidRPr="00FF77FF">
        <w:rPr>
          <w:rFonts w:cs="Arial" w:hint="cs"/>
          <w:rtl/>
        </w:rPr>
        <w:t>יש</w:t>
      </w:r>
      <w:r w:rsidRPr="00FF77FF">
        <w:rPr>
          <w:rFonts w:cs="Arial"/>
          <w:rtl/>
        </w:rPr>
        <w:t xml:space="preserve"> </w:t>
      </w:r>
      <w:r w:rsidRPr="00FF77FF">
        <w:rPr>
          <w:rFonts w:cs="Arial" w:hint="cs"/>
          <w:rtl/>
        </w:rPr>
        <w:t>לפרש</w:t>
      </w:r>
      <w:r w:rsidRPr="00FF77FF">
        <w:rPr>
          <w:rFonts w:cs="Arial"/>
          <w:rtl/>
        </w:rPr>
        <w:t xml:space="preserve"> </w:t>
      </w:r>
      <w:r w:rsidRPr="00FF77FF">
        <w:rPr>
          <w:rFonts w:cs="Arial" w:hint="cs"/>
          <w:rtl/>
        </w:rPr>
        <w:t>מה</w:t>
      </w:r>
      <w:r w:rsidRPr="00FF77FF">
        <w:rPr>
          <w:rFonts w:cs="Arial"/>
          <w:rtl/>
        </w:rPr>
        <w:t xml:space="preserve"> </w:t>
      </w:r>
      <w:r w:rsidRPr="00FF77FF">
        <w:rPr>
          <w:rFonts w:cs="Arial" w:hint="cs"/>
          <w:rtl/>
        </w:rPr>
        <w:t>שכתב</w:t>
      </w:r>
      <w:r w:rsidRPr="00FF77FF">
        <w:rPr>
          <w:rFonts w:cs="Arial"/>
          <w:rtl/>
        </w:rPr>
        <w:t xml:space="preserve"> </w:t>
      </w:r>
      <w:r w:rsidRPr="00FF77FF">
        <w:rPr>
          <w:rFonts w:cs="Arial" w:hint="cs"/>
          <w:rtl/>
        </w:rPr>
        <w:t>רבינו</w:t>
      </w:r>
      <w:r w:rsidRPr="00FF77FF">
        <w:rPr>
          <w:rFonts w:cs="Arial"/>
          <w:rtl/>
        </w:rPr>
        <w:t xml:space="preserve"> </w:t>
      </w:r>
      <w:r w:rsidRPr="00FF77FF">
        <w:rPr>
          <w:rFonts w:cs="Arial" w:hint="cs"/>
          <w:rtl/>
        </w:rPr>
        <w:t>שהקבלה</w:t>
      </w:r>
      <w:r w:rsidRPr="00FF77FF">
        <w:rPr>
          <w:rFonts w:cs="Arial"/>
          <w:rtl/>
        </w:rPr>
        <w:t xml:space="preserve"> </w:t>
      </w:r>
      <w:r w:rsidRPr="00FF77FF">
        <w:rPr>
          <w:rFonts w:cs="Arial" w:hint="cs"/>
          <w:rtl/>
        </w:rPr>
        <w:t>תלויה</w:t>
      </w:r>
      <w:r w:rsidRPr="00FF77FF">
        <w:rPr>
          <w:rFonts w:cs="Arial"/>
          <w:rtl/>
        </w:rPr>
        <w:t xml:space="preserve"> </w:t>
      </w:r>
      <w:r w:rsidRPr="00FF77FF">
        <w:rPr>
          <w:rFonts w:cs="Arial" w:hint="cs"/>
          <w:rtl/>
        </w:rPr>
        <w:t>בתפילת</w:t>
      </w:r>
      <w:r w:rsidRPr="00FF77FF">
        <w:rPr>
          <w:rFonts w:cs="Arial"/>
          <w:rtl/>
        </w:rPr>
        <w:t xml:space="preserve"> </w:t>
      </w:r>
      <w:r w:rsidRPr="00FF77FF">
        <w:rPr>
          <w:rFonts w:cs="Arial" w:hint="cs"/>
          <w:rtl/>
        </w:rPr>
        <w:t>ערבית</w:t>
      </w:r>
      <w:r>
        <w:rPr>
          <w:rFonts w:hint="cs"/>
          <w:rtl/>
        </w:rPr>
        <w:t>, ב"י.</w:t>
      </w:r>
    </w:p>
  </w:footnote>
  <w:footnote w:id="650">
    <w:p w14:paraId="3650E53C" w14:textId="77777777" w:rsidR="004B2E7C" w:rsidRDefault="004B2E7C" w:rsidP="00285819">
      <w:pPr>
        <w:pStyle w:val="a7"/>
        <w:rPr>
          <w:rtl/>
        </w:rPr>
      </w:pPr>
      <w:r>
        <w:rPr>
          <w:rStyle w:val="a9"/>
        </w:rPr>
        <w:footnoteRef/>
      </w:r>
      <w:r>
        <w:rPr>
          <w:rtl/>
        </w:rPr>
        <w:t xml:space="preserve"> </w:t>
      </w:r>
      <w:r w:rsidRPr="00D20D5F">
        <w:rPr>
          <w:rFonts w:cs="Arial"/>
          <w:rtl/>
        </w:rPr>
        <w:t>ואם האיש מדליק אפילו כשהוא מברך על הדלקת ליכא מנהגא ומותר במלאכה ומ"מ טוב להתנות</w:t>
      </w:r>
      <w:r>
        <w:rPr>
          <w:rFonts w:hint="cs"/>
          <w:rtl/>
        </w:rPr>
        <w:t>, משנ"ב (סקמ"ב).</w:t>
      </w:r>
    </w:p>
  </w:footnote>
  <w:footnote w:id="651">
    <w:p w14:paraId="587701D1" w14:textId="77777777" w:rsidR="004B2E7C" w:rsidRDefault="004B2E7C" w:rsidP="00285819">
      <w:pPr>
        <w:pStyle w:val="a7"/>
      </w:pPr>
      <w:r>
        <w:rPr>
          <w:rStyle w:val="a9"/>
        </w:rPr>
        <w:footnoteRef/>
      </w:r>
      <w:r>
        <w:rPr>
          <w:rtl/>
        </w:rPr>
        <w:t xml:space="preserve"> </w:t>
      </w:r>
      <w:r w:rsidRPr="00D20D5F">
        <w:rPr>
          <w:rFonts w:cs="Arial"/>
          <w:rtl/>
        </w:rPr>
        <w:t>ואין להתנות כ"א לצורך מאחר שיש חולקין וסוברין דלא מהני תנאי וכנ"ל</w:t>
      </w:r>
      <w:r>
        <w:rPr>
          <w:rFonts w:cs="Arial" w:hint="cs"/>
          <w:rtl/>
        </w:rPr>
        <w:t>, משנ"ב (סקמ"ד).</w:t>
      </w:r>
    </w:p>
  </w:footnote>
  <w:footnote w:id="652">
    <w:p w14:paraId="688D92A7" w14:textId="77777777" w:rsidR="004B2E7C" w:rsidRDefault="004B2E7C" w:rsidP="00285819">
      <w:pPr>
        <w:pStyle w:val="a7"/>
        <w:rPr>
          <w:rtl/>
        </w:rPr>
      </w:pPr>
      <w:r>
        <w:rPr>
          <w:rStyle w:val="a9"/>
        </w:rPr>
        <w:footnoteRef/>
      </w:r>
      <w:r>
        <w:rPr>
          <w:rtl/>
        </w:rPr>
        <w:t xml:space="preserve"> </w:t>
      </w:r>
      <w:r w:rsidRPr="00D20D5F">
        <w:rPr>
          <w:rFonts w:cs="Arial"/>
          <w:rtl/>
        </w:rPr>
        <w:t>היינו דיברך עליהן ולא על שאר הנרות לפי שעיקר המצוה לכתחלה הן הנרות שאוכלין לאורן וראוי שתהא הברכה עליהן ואפילו על נר אחד סגי [מ"א]. מיהו אם יש הרבה נשים ואין לכל אחת שלחן בפני עצמה יכולה לברך על הנרות שעומדים בבית בשאר מקומות כגון על הנרות שדולקין על המנורה התלויה באמצע הבית וכה"ג דכללא נקטינן דבכל מקום שמדליק כדי לעשות שם איזה תשמיש איכא משום שלום בית וראוי לברך</w:t>
      </w:r>
      <w:r>
        <w:rPr>
          <w:rFonts w:hint="cs"/>
          <w:rtl/>
        </w:rPr>
        <w:t>, משנ"ב (סקמ"ה).</w:t>
      </w:r>
    </w:p>
  </w:footnote>
  <w:footnote w:id="653">
    <w:p w14:paraId="1A4007CE" w14:textId="77777777" w:rsidR="004B2E7C" w:rsidRDefault="004B2E7C" w:rsidP="00285819">
      <w:pPr>
        <w:pStyle w:val="a7"/>
      </w:pPr>
      <w:r>
        <w:rPr>
          <w:rStyle w:val="a9"/>
        </w:rPr>
        <w:footnoteRef/>
      </w:r>
      <w:r>
        <w:rPr>
          <w:rtl/>
        </w:rPr>
        <w:t xml:space="preserve"> </w:t>
      </w:r>
      <w:r w:rsidRPr="00F227AE">
        <w:rPr>
          <w:rFonts w:cs="Arial"/>
          <w:rtl/>
        </w:rPr>
        <w:t>היינו דיברך עליהן ולא על שאר הנרות לפי שעיקר המצוה לכתחלה הן הנרות שאוכלין לאורן וראוי שתהא הברכה עליהן ואפילו על נר אחד סגי [מ"א]. מיהו אם יש הרבה נשים ואין לכל אחת שלחן בפני עצמה יכולה לברך על הנרות שעומדים בבית בשאר מקומות כגון על הנרות שדולקין על המנורה התלויה באמצע הבית וכה"ג דכללא נקטינן דבכל מקום שמדליק כדי לעשות שם איזה תשמיש איכא משום שלום בית וראוי לברך</w:t>
      </w:r>
      <w:r>
        <w:rPr>
          <w:rFonts w:cs="Arial" w:hint="cs"/>
          <w:rtl/>
        </w:rPr>
        <w:t>, משנ"ב (סקמ"ז).</w:t>
      </w:r>
    </w:p>
  </w:footnote>
  <w:footnote w:id="654">
    <w:p w14:paraId="25783C55" w14:textId="77777777" w:rsidR="004B2E7C" w:rsidRDefault="004B2E7C" w:rsidP="00285819">
      <w:pPr>
        <w:pStyle w:val="a7"/>
      </w:pPr>
      <w:r>
        <w:rPr>
          <w:rStyle w:val="a9"/>
        </w:rPr>
        <w:footnoteRef/>
      </w:r>
      <w:r>
        <w:rPr>
          <w:rtl/>
        </w:rPr>
        <w:t xml:space="preserve"> </w:t>
      </w:r>
      <w:r w:rsidRPr="00F227AE">
        <w:rPr>
          <w:rFonts w:cs="Arial"/>
          <w:rtl/>
        </w:rPr>
        <w:t>היינו שאסור להדליק במקום שאין משתמשין בו ולהניח הנר במקום שמשתמשין בו משום דקי"ל הדלקה עושה מצוה וכיון שהדליק במקום שאין משתמשין בו שאינו מקום חיובא לא מהני הדלקתו כלום אף שמניח אח"כ במקום חיובא וצריך לכבות ולחזור ולהדליק אבל אם הדליק בבית במקום שמשתמשין בו מותר לטלטלם אח"כ ולהניח במקום אחר דכל הבית הוי מקומם. והלבוש מחמיר אף בזה ובמקום הצורך יש להקל. כתב הח"א הנשים שמדליקין בסוכה בחג ומטלטלין לתוך הבית לא יפה הן עושין</w:t>
      </w:r>
      <w:r>
        <w:rPr>
          <w:rFonts w:cs="Arial" w:hint="cs"/>
          <w:rtl/>
        </w:rPr>
        <w:t>, משנ"ב (סקמ"ח).</w:t>
      </w:r>
    </w:p>
  </w:footnote>
  <w:footnote w:id="655">
    <w:p w14:paraId="10AF6232" w14:textId="77777777" w:rsidR="004B2E7C" w:rsidRDefault="004B2E7C" w:rsidP="00285819">
      <w:pPr>
        <w:pStyle w:val="a7"/>
        <w:rPr>
          <w:rtl/>
        </w:rPr>
      </w:pPr>
      <w:r>
        <w:rPr>
          <w:rStyle w:val="a9"/>
        </w:rPr>
        <w:footnoteRef/>
      </w:r>
      <w:r>
        <w:rPr>
          <w:rtl/>
        </w:rPr>
        <w:t xml:space="preserve"> </w:t>
      </w:r>
      <w:r w:rsidRPr="00B3749B">
        <w:rPr>
          <w:rFonts w:cs="Arial" w:hint="cs"/>
          <w:rtl/>
        </w:rPr>
        <w:t>נראה</w:t>
      </w:r>
      <w:r w:rsidRPr="00B3749B">
        <w:rPr>
          <w:rFonts w:cs="Arial"/>
          <w:rtl/>
        </w:rPr>
        <w:t xml:space="preserve"> </w:t>
      </w:r>
      <w:r w:rsidRPr="00B3749B">
        <w:rPr>
          <w:rFonts w:cs="Arial" w:hint="cs"/>
          <w:rtl/>
        </w:rPr>
        <w:t>לי</w:t>
      </w:r>
      <w:r w:rsidRPr="00B3749B">
        <w:rPr>
          <w:rFonts w:cs="Arial"/>
          <w:rtl/>
        </w:rPr>
        <w:t xml:space="preserve"> </w:t>
      </w:r>
      <w:r w:rsidRPr="00B3749B">
        <w:rPr>
          <w:rFonts w:cs="Arial" w:hint="cs"/>
          <w:rtl/>
        </w:rPr>
        <w:t>שהוא</w:t>
      </w:r>
      <w:r w:rsidRPr="00B3749B">
        <w:rPr>
          <w:rFonts w:cs="Arial"/>
          <w:rtl/>
        </w:rPr>
        <w:t xml:space="preserve"> </w:t>
      </w:r>
      <w:r w:rsidRPr="00B3749B">
        <w:rPr>
          <w:rFonts w:cs="Arial" w:hint="cs"/>
          <w:rtl/>
        </w:rPr>
        <w:t>לאשמועינן</w:t>
      </w:r>
      <w:r w:rsidRPr="00B3749B">
        <w:rPr>
          <w:rFonts w:cs="Arial"/>
          <w:rtl/>
        </w:rPr>
        <w:t xml:space="preserve"> </w:t>
      </w:r>
      <w:r w:rsidRPr="00B3749B">
        <w:rPr>
          <w:rFonts w:cs="Arial" w:hint="cs"/>
          <w:rtl/>
        </w:rPr>
        <w:t>שאף</w:t>
      </w:r>
      <w:r w:rsidRPr="00B3749B">
        <w:rPr>
          <w:rFonts w:cs="Arial"/>
          <w:rtl/>
        </w:rPr>
        <w:t xml:space="preserve"> </w:t>
      </w:r>
      <w:r w:rsidRPr="00B3749B">
        <w:rPr>
          <w:rFonts w:cs="Arial" w:hint="cs"/>
          <w:rtl/>
        </w:rPr>
        <w:t>על</w:t>
      </w:r>
      <w:r w:rsidRPr="00B3749B">
        <w:rPr>
          <w:rFonts w:cs="Arial"/>
          <w:rtl/>
        </w:rPr>
        <w:t xml:space="preserve"> </w:t>
      </w:r>
      <w:r w:rsidRPr="00B3749B">
        <w:rPr>
          <w:rFonts w:cs="Arial" w:hint="cs"/>
          <w:rtl/>
        </w:rPr>
        <w:t>פי</w:t>
      </w:r>
      <w:r w:rsidRPr="00B3749B">
        <w:rPr>
          <w:rFonts w:cs="Arial"/>
          <w:rtl/>
        </w:rPr>
        <w:t xml:space="preserve"> </w:t>
      </w:r>
      <w:r w:rsidRPr="00B3749B">
        <w:rPr>
          <w:rFonts w:cs="Arial" w:hint="cs"/>
          <w:rtl/>
        </w:rPr>
        <w:t>שלא</w:t>
      </w:r>
      <w:r w:rsidRPr="00B3749B">
        <w:rPr>
          <w:rFonts w:cs="Arial"/>
          <w:rtl/>
        </w:rPr>
        <w:t xml:space="preserve"> </w:t>
      </w:r>
      <w:r w:rsidRPr="00B3749B">
        <w:rPr>
          <w:rFonts w:cs="Arial" w:hint="cs"/>
          <w:rtl/>
        </w:rPr>
        <w:t>התפללו</w:t>
      </w:r>
      <w:r w:rsidRPr="00B3749B">
        <w:rPr>
          <w:rFonts w:cs="Arial"/>
          <w:rtl/>
        </w:rPr>
        <w:t xml:space="preserve"> </w:t>
      </w:r>
      <w:r w:rsidRPr="00B3749B">
        <w:rPr>
          <w:rFonts w:cs="Arial" w:hint="cs"/>
          <w:rtl/>
        </w:rPr>
        <w:t>הקהל</w:t>
      </w:r>
      <w:r w:rsidRPr="00B3749B">
        <w:rPr>
          <w:rFonts w:cs="Arial"/>
          <w:rtl/>
        </w:rPr>
        <w:t xml:space="preserve"> </w:t>
      </w:r>
      <w:r w:rsidRPr="00B3749B">
        <w:rPr>
          <w:rFonts w:cs="Arial" w:hint="cs"/>
          <w:rtl/>
        </w:rPr>
        <w:t>עדיין</w:t>
      </w:r>
      <w:r w:rsidRPr="00B3749B">
        <w:rPr>
          <w:rFonts w:cs="Arial"/>
          <w:rtl/>
        </w:rPr>
        <w:t xml:space="preserve"> </w:t>
      </w:r>
      <w:r w:rsidRPr="00B3749B">
        <w:rPr>
          <w:rFonts w:cs="Arial" w:hint="cs"/>
          <w:rtl/>
        </w:rPr>
        <w:t>וקדם</w:t>
      </w:r>
      <w:r w:rsidRPr="00B3749B">
        <w:rPr>
          <w:rFonts w:cs="Arial"/>
          <w:rtl/>
        </w:rPr>
        <w:t xml:space="preserve"> </w:t>
      </w:r>
      <w:r w:rsidRPr="00B3749B">
        <w:rPr>
          <w:rFonts w:cs="Arial" w:hint="cs"/>
          <w:rtl/>
        </w:rPr>
        <w:t>היחיד</w:t>
      </w:r>
      <w:r w:rsidRPr="00B3749B">
        <w:rPr>
          <w:rFonts w:cs="Arial"/>
          <w:rtl/>
        </w:rPr>
        <w:t xml:space="preserve"> </w:t>
      </w:r>
      <w:r w:rsidRPr="00B3749B">
        <w:rPr>
          <w:rFonts w:cs="Arial" w:hint="cs"/>
          <w:rtl/>
        </w:rPr>
        <w:t>והתפלל</w:t>
      </w:r>
      <w:r w:rsidRPr="00B3749B">
        <w:rPr>
          <w:rFonts w:cs="Arial"/>
          <w:rtl/>
        </w:rPr>
        <w:t xml:space="preserve"> </w:t>
      </w:r>
      <w:r w:rsidRPr="00B3749B">
        <w:rPr>
          <w:rFonts w:cs="Arial" w:hint="cs"/>
          <w:rtl/>
        </w:rPr>
        <w:t>של</w:t>
      </w:r>
      <w:r w:rsidRPr="00B3749B">
        <w:rPr>
          <w:rFonts w:cs="Arial"/>
          <w:rtl/>
        </w:rPr>
        <w:t xml:space="preserve"> </w:t>
      </w:r>
      <w:r w:rsidRPr="00B3749B">
        <w:rPr>
          <w:rFonts w:cs="Arial" w:hint="cs"/>
          <w:rtl/>
        </w:rPr>
        <w:t>שבת</w:t>
      </w:r>
      <w:r w:rsidRPr="00B3749B">
        <w:rPr>
          <w:rFonts w:cs="Arial"/>
          <w:rtl/>
        </w:rPr>
        <w:t xml:space="preserve"> </w:t>
      </w:r>
      <w:r w:rsidRPr="00B3749B">
        <w:rPr>
          <w:rFonts w:cs="Arial" w:hint="cs"/>
          <w:rtl/>
        </w:rPr>
        <w:t>מבעוד</w:t>
      </w:r>
      <w:r w:rsidRPr="00B3749B">
        <w:rPr>
          <w:rFonts w:cs="Arial"/>
          <w:rtl/>
        </w:rPr>
        <w:t xml:space="preserve"> </w:t>
      </w:r>
      <w:r w:rsidRPr="00B3749B">
        <w:rPr>
          <w:rFonts w:cs="Arial" w:hint="cs"/>
          <w:rtl/>
        </w:rPr>
        <w:t>יום</w:t>
      </w:r>
      <w:r w:rsidRPr="00B3749B">
        <w:rPr>
          <w:rFonts w:cs="Arial"/>
          <w:rtl/>
        </w:rPr>
        <w:t xml:space="preserve"> </w:t>
      </w:r>
      <w:r w:rsidRPr="00B3749B">
        <w:rPr>
          <w:rFonts w:cs="Arial" w:hint="cs"/>
          <w:rtl/>
        </w:rPr>
        <w:t>חל</w:t>
      </w:r>
      <w:r w:rsidRPr="00B3749B">
        <w:rPr>
          <w:rFonts w:cs="Arial"/>
          <w:rtl/>
        </w:rPr>
        <w:t xml:space="preserve"> </w:t>
      </w:r>
      <w:r w:rsidRPr="00B3749B">
        <w:rPr>
          <w:rFonts w:cs="Arial" w:hint="cs"/>
          <w:rtl/>
        </w:rPr>
        <w:t>עליו</w:t>
      </w:r>
      <w:r w:rsidRPr="00B3749B">
        <w:rPr>
          <w:rFonts w:cs="Arial"/>
          <w:rtl/>
        </w:rPr>
        <w:t xml:space="preserve"> </w:t>
      </w:r>
      <w:r w:rsidRPr="00B3749B">
        <w:rPr>
          <w:rFonts w:cs="Arial" w:hint="cs"/>
          <w:rtl/>
        </w:rPr>
        <w:t>קבלת</w:t>
      </w:r>
      <w:r w:rsidRPr="00B3749B">
        <w:rPr>
          <w:rFonts w:cs="Arial"/>
          <w:rtl/>
        </w:rPr>
        <w:t xml:space="preserve"> </w:t>
      </w:r>
      <w:r w:rsidRPr="00B3749B">
        <w:rPr>
          <w:rFonts w:cs="Arial" w:hint="cs"/>
          <w:rtl/>
        </w:rPr>
        <w:t>שבת</w:t>
      </w:r>
      <w:r w:rsidRPr="00B3749B">
        <w:rPr>
          <w:rFonts w:cs="Arial"/>
          <w:rtl/>
        </w:rPr>
        <w:t xml:space="preserve"> </w:t>
      </w:r>
      <w:r w:rsidRPr="00B3749B">
        <w:rPr>
          <w:rFonts w:cs="Arial" w:hint="cs"/>
          <w:rtl/>
        </w:rPr>
        <w:t>ואסור</w:t>
      </w:r>
      <w:r w:rsidRPr="00B3749B">
        <w:rPr>
          <w:rFonts w:cs="Arial"/>
          <w:rtl/>
        </w:rPr>
        <w:t xml:space="preserve"> </w:t>
      </w:r>
      <w:r w:rsidRPr="00B3749B">
        <w:rPr>
          <w:rFonts w:cs="Arial" w:hint="cs"/>
          <w:rtl/>
        </w:rPr>
        <w:t>בעשיית</w:t>
      </w:r>
      <w:r w:rsidRPr="00B3749B">
        <w:rPr>
          <w:rFonts w:cs="Arial"/>
          <w:rtl/>
        </w:rPr>
        <w:t xml:space="preserve"> </w:t>
      </w:r>
      <w:r w:rsidRPr="00B3749B">
        <w:rPr>
          <w:rFonts w:cs="Arial" w:hint="cs"/>
          <w:rtl/>
        </w:rPr>
        <w:t>מלאכה</w:t>
      </w:r>
      <w:r w:rsidRPr="00B3749B">
        <w:rPr>
          <w:rFonts w:cs="Arial"/>
          <w:rtl/>
        </w:rPr>
        <w:t xml:space="preserve"> </w:t>
      </w:r>
      <w:r w:rsidRPr="00B3749B">
        <w:rPr>
          <w:rFonts w:cs="Arial" w:hint="cs"/>
          <w:rtl/>
        </w:rPr>
        <w:t>מיהו</w:t>
      </w:r>
      <w:r w:rsidRPr="00B3749B">
        <w:rPr>
          <w:rFonts w:cs="Arial"/>
          <w:rtl/>
        </w:rPr>
        <w:t xml:space="preserve"> </w:t>
      </w:r>
      <w:r w:rsidRPr="00B3749B">
        <w:rPr>
          <w:rFonts w:cs="Arial" w:hint="cs"/>
          <w:rtl/>
        </w:rPr>
        <w:t>אם</w:t>
      </w:r>
      <w:r w:rsidRPr="00B3749B">
        <w:rPr>
          <w:rFonts w:cs="Arial"/>
          <w:rtl/>
        </w:rPr>
        <w:t xml:space="preserve"> </w:t>
      </w:r>
      <w:r w:rsidRPr="00B3749B">
        <w:rPr>
          <w:rFonts w:cs="Arial" w:hint="cs"/>
          <w:rtl/>
        </w:rPr>
        <w:t>אינו</w:t>
      </w:r>
      <w:r w:rsidRPr="00B3749B">
        <w:rPr>
          <w:rFonts w:cs="Arial"/>
          <w:rtl/>
        </w:rPr>
        <w:t xml:space="preserve"> </w:t>
      </w:r>
      <w:r w:rsidRPr="00B3749B">
        <w:rPr>
          <w:rFonts w:cs="Arial" w:hint="cs"/>
          <w:rtl/>
        </w:rPr>
        <w:t>רוצה</w:t>
      </w:r>
      <w:r w:rsidRPr="00B3749B">
        <w:rPr>
          <w:rFonts w:cs="Arial"/>
          <w:rtl/>
        </w:rPr>
        <w:t xml:space="preserve"> </w:t>
      </w:r>
      <w:r w:rsidRPr="00B3749B">
        <w:rPr>
          <w:rFonts w:cs="Arial" w:hint="cs"/>
          <w:rtl/>
        </w:rPr>
        <w:t>לקבל</w:t>
      </w:r>
      <w:r w:rsidRPr="00B3749B">
        <w:rPr>
          <w:rFonts w:cs="Arial"/>
          <w:rtl/>
        </w:rPr>
        <w:t xml:space="preserve"> </w:t>
      </w:r>
      <w:r w:rsidRPr="00B3749B">
        <w:rPr>
          <w:rFonts w:cs="Arial" w:hint="cs"/>
          <w:rtl/>
        </w:rPr>
        <w:t>שבת</w:t>
      </w:r>
      <w:r w:rsidRPr="00B3749B">
        <w:rPr>
          <w:rFonts w:cs="Arial"/>
          <w:rtl/>
        </w:rPr>
        <w:t xml:space="preserve"> </w:t>
      </w:r>
      <w:r w:rsidRPr="00B3749B">
        <w:rPr>
          <w:rFonts w:cs="Arial" w:hint="cs"/>
          <w:rtl/>
        </w:rPr>
        <w:t>עדיין</w:t>
      </w:r>
      <w:r w:rsidRPr="00B3749B">
        <w:rPr>
          <w:rFonts w:cs="Arial"/>
          <w:rtl/>
        </w:rPr>
        <w:t xml:space="preserve"> </w:t>
      </w:r>
      <w:r w:rsidRPr="00B3749B">
        <w:rPr>
          <w:rFonts w:cs="Arial" w:hint="cs"/>
          <w:rtl/>
        </w:rPr>
        <w:t>נראה</w:t>
      </w:r>
      <w:r w:rsidRPr="00B3749B">
        <w:rPr>
          <w:rFonts w:cs="Arial"/>
          <w:rtl/>
        </w:rPr>
        <w:t xml:space="preserve"> </w:t>
      </w:r>
      <w:r w:rsidRPr="00B3749B">
        <w:rPr>
          <w:rFonts w:cs="Arial" w:hint="cs"/>
          <w:rtl/>
        </w:rPr>
        <w:t>לכאורה</w:t>
      </w:r>
      <w:r w:rsidRPr="00B3749B">
        <w:rPr>
          <w:rFonts w:cs="Arial"/>
          <w:rtl/>
        </w:rPr>
        <w:t xml:space="preserve"> </w:t>
      </w:r>
      <w:r w:rsidRPr="00B3749B">
        <w:rPr>
          <w:rFonts w:cs="Arial" w:hint="cs"/>
          <w:rtl/>
        </w:rPr>
        <w:t>דהיינו</w:t>
      </w:r>
      <w:r w:rsidRPr="00B3749B">
        <w:rPr>
          <w:rFonts w:cs="Arial"/>
          <w:rtl/>
        </w:rPr>
        <w:t xml:space="preserve"> </w:t>
      </w:r>
      <w:r w:rsidRPr="00B3749B">
        <w:rPr>
          <w:rFonts w:cs="Arial" w:hint="cs"/>
          <w:rtl/>
        </w:rPr>
        <w:t>פלוגתא</w:t>
      </w:r>
      <w:r w:rsidRPr="00B3749B">
        <w:rPr>
          <w:rFonts w:cs="Arial"/>
          <w:rtl/>
        </w:rPr>
        <w:t xml:space="preserve"> </w:t>
      </w:r>
      <w:r w:rsidRPr="00B3749B">
        <w:rPr>
          <w:rFonts w:cs="Arial" w:hint="cs"/>
          <w:rtl/>
        </w:rPr>
        <w:t>דר</w:t>
      </w:r>
      <w:r w:rsidRPr="00B3749B">
        <w:rPr>
          <w:rFonts w:cs="Arial"/>
          <w:rtl/>
        </w:rPr>
        <w:t>"</w:t>
      </w:r>
      <w:r w:rsidRPr="00B3749B">
        <w:rPr>
          <w:rFonts w:cs="Arial" w:hint="cs"/>
          <w:rtl/>
        </w:rPr>
        <w:t>מ</w:t>
      </w:r>
      <w:r w:rsidRPr="00B3749B">
        <w:rPr>
          <w:rFonts w:cs="Arial"/>
          <w:rtl/>
        </w:rPr>
        <w:t xml:space="preserve"> </w:t>
      </w:r>
      <w:r w:rsidRPr="00B3749B">
        <w:rPr>
          <w:rFonts w:cs="Arial" w:hint="cs"/>
          <w:rtl/>
        </w:rPr>
        <w:t>והר</w:t>
      </w:r>
      <w:r w:rsidRPr="00B3749B">
        <w:rPr>
          <w:rFonts w:cs="Arial"/>
          <w:rtl/>
        </w:rPr>
        <w:t>"</w:t>
      </w:r>
      <w:r w:rsidRPr="00B3749B">
        <w:rPr>
          <w:rFonts w:cs="Arial" w:hint="cs"/>
          <w:rtl/>
        </w:rPr>
        <w:t>ף</w:t>
      </w:r>
      <w:r w:rsidRPr="00B3749B">
        <w:rPr>
          <w:rFonts w:cs="Arial"/>
          <w:rtl/>
        </w:rPr>
        <w:t xml:space="preserve"> </w:t>
      </w:r>
      <w:r w:rsidRPr="00B3749B">
        <w:rPr>
          <w:rFonts w:cs="Arial" w:hint="cs"/>
          <w:rtl/>
        </w:rPr>
        <w:t>גבי</w:t>
      </w:r>
      <w:r w:rsidRPr="00B3749B">
        <w:rPr>
          <w:rFonts w:cs="Arial"/>
          <w:rtl/>
        </w:rPr>
        <w:t xml:space="preserve"> </w:t>
      </w:r>
      <w:r w:rsidRPr="00B3749B">
        <w:rPr>
          <w:rFonts w:cs="Arial" w:hint="cs"/>
          <w:rtl/>
        </w:rPr>
        <w:t>הדלקת</w:t>
      </w:r>
      <w:r w:rsidRPr="00B3749B">
        <w:rPr>
          <w:rFonts w:cs="Arial"/>
          <w:rtl/>
        </w:rPr>
        <w:t xml:space="preserve"> </w:t>
      </w:r>
      <w:r w:rsidRPr="00B3749B">
        <w:rPr>
          <w:rFonts w:cs="Arial" w:hint="cs"/>
          <w:rtl/>
        </w:rPr>
        <w:t>הנר</w:t>
      </w:r>
      <w:r w:rsidRPr="00B3749B">
        <w:rPr>
          <w:rFonts w:cs="Arial"/>
          <w:rtl/>
        </w:rPr>
        <w:t xml:space="preserve">, </w:t>
      </w:r>
      <w:r w:rsidRPr="00B3749B">
        <w:rPr>
          <w:rFonts w:cs="Arial" w:hint="cs"/>
          <w:rtl/>
        </w:rPr>
        <w:t>ויותר</w:t>
      </w:r>
      <w:r w:rsidRPr="00B3749B">
        <w:rPr>
          <w:rFonts w:cs="Arial"/>
          <w:rtl/>
        </w:rPr>
        <w:t xml:space="preserve"> </w:t>
      </w:r>
      <w:r w:rsidRPr="00B3749B">
        <w:rPr>
          <w:rFonts w:cs="Arial" w:hint="cs"/>
          <w:rtl/>
        </w:rPr>
        <w:t>נראה</w:t>
      </w:r>
      <w:r w:rsidRPr="00B3749B">
        <w:rPr>
          <w:rFonts w:cs="Arial"/>
          <w:rtl/>
        </w:rPr>
        <w:t xml:space="preserve"> </w:t>
      </w:r>
      <w:r w:rsidRPr="00B3749B">
        <w:rPr>
          <w:rFonts w:cs="Arial" w:hint="cs"/>
          <w:rtl/>
        </w:rPr>
        <w:t>לומר</w:t>
      </w:r>
      <w:r w:rsidRPr="00B3749B">
        <w:rPr>
          <w:rFonts w:cs="Arial"/>
          <w:rtl/>
        </w:rPr>
        <w:t xml:space="preserve"> </w:t>
      </w:r>
      <w:r w:rsidRPr="00B3749B">
        <w:rPr>
          <w:rFonts w:cs="Arial" w:hint="cs"/>
          <w:rtl/>
        </w:rPr>
        <w:t>דכיון</w:t>
      </w:r>
      <w:r w:rsidRPr="00B3749B">
        <w:rPr>
          <w:rFonts w:cs="Arial"/>
          <w:rtl/>
        </w:rPr>
        <w:t xml:space="preserve"> </w:t>
      </w:r>
      <w:r w:rsidRPr="00B3749B">
        <w:rPr>
          <w:rFonts w:cs="Arial" w:hint="cs"/>
          <w:rtl/>
        </w:rPr>
        <w:t>שהזכיר</w:t>
      </w:r>
      <w:r w:rsidRPr="00B3749B">
        <w:rPr>
          <w:rFonts w:cs="Arial"/>
          <w:rtl/>
        </w:rPr>
        <w:t xml:space="preserve"> </w:t>
      </w:r>
      <w:r w:rsidRPr="00B3749B">
        <w:rPr>
          <w:rFonts w:cs="Arial" w:hint="cs"/>
          <w:rtl/>
        </w:rPr>
        <w:t>קדושת</w:t>
      </w:r>
      <w:r w:rsidRPr="00B3749B">
        <w:rPr>
          <w:rFonts w:cs="Arial"/>
          <w:rtl/>
        </w:rPr>
        <w:t xml:space="preserve"> </w:t>
      </w:r>
      <w:r w:rsidRPr="00B3749B">
        <w:rPr>
          <w:rFonts w:cs="Arial" w:hint="cs"/>
          <w:rtl/>
        </w:rPr>
        <w:t>היום</w:t>
      </w:r>
      <w:r w:rsidRPr="00B3749B">
        <w:rPr>
          <w:rFonts w:cs="Arial"/>
          <w:rtl/>
        </w:rPr>
        <w:t xml:space="preserve"> </w:t>
      </w:r>
      <w:r w:rsidRPr="00B3749B">
        <w:rPr>
          <w:rFonts w:cs="Arial" w:hint="cs"/>
          <w:rtl/>
        </w:rPr>
        <w:t>בתפילה</w:t>
      </w:r>
      <w:r w:rsidRPr="00B3749B">
        <w:rPr>
          <w:rFonts w:cs="Arial"/>
          <w:rtl/>
        </w:rPr>
        <w:t xml:space="preserve"> </w:t>
      </w:r>
      <w:r w:rsidRPr="00B3749B">
        <w:rPr>
          <w:rFonts w:cs="Arial" w:hint="cs"/>
          <w:rtl/>
        </w:rPr>
        <w:t>אי</w:t>
      </w:r>
      <w:r w:rsidRPr="00B3749B">
        <w:rPr>
          <w:rFonts w:cs="Arial"/>
          <w:rtl/>
        </w:rPr>
        <w:t xml:space="preserve"> </w:t>
      </w:r>
      <w:r w:rsidRPr="00B3749B">
        <w:rPr>
          <w:rFonts w:cs="Arial" w:hint="cs"/>
          <w:rtl/>
        </w:rPr>
        <w:t>אפשר</w:t>
      </w:r>
      <w:r w:rsidRPr="00B3749B">
        <w:rPr>
          <w:rFonts w:cs="Arial"/>
          <w:rtl/>
        </w:rPr>
        <w:t xml:space="preserve"> </w:t>
      </w:r>
      <w:r w:rsidRPr="00B3749B">
        <w:rPr>
          <w:rFonts w:cs="Arial" w:hint="cs"/>
          <w:rtl/>
        </w:rPr>
        <w:t>לעשותו</w:t>
      </w:r>
      <w:r w:rsidRPr="00B3749B">
        <w:rPr>
          <w:rFonts w:cs="Arial"/>
          <w:rtl/>
        </w:rPr>
        <w:t xml:space="preserve"> </w:t>
      </w:r>
      <w:r w:rsidRPr="00B3749B">
        <w:rPr>
          <w:rFonts w:cs="Arial" w:hint="cs"/>
          <w:rtl/>
        </w:rPr>
        <w:t>חול</w:t>
      </w:r>
      <w:r w:rsidRPr="00B3749B">
        <w:rPr>
          <w:rFonts w:cs="Arial"/>
          <w:rtl/>
        </w:rPr>
        <w:t xml:space="preserve"> </w:t>
      </w:r>
      <w:r w:rsidRPr="00B3749B">
        <w:rPr>
          <w:rFonts w:cs="Arial" w:hint="cs"/>
          <w:rtl/>
        </w:rPr>
        <w:t>לדברי</w:t>
      </w:r>
      <w:r w:rsidRPr="00B3749B">
        <w:rPr>
          <w:rFonts w:cs="Arial"/>
          <w:rtl/>
        </w:rPr>
        <w:t xml:space="preserve"> </w:t>
      </w:r>
      <w:r w:rsidRPr="00B3749B">
        <w:rPr>
          <w:rFonts w:cs="Arial" w:hint="cs"/>
          <w:rtl/>
        </w:rPr>
        <w:t>הכל</w:t>
      </w:r>
      <w:r>
        <w:rPr>
          <w:rFonts w:hint="cs"/>
          <w:rtl/>
        </w:rPr>
        <w:t>, ב"י.</w:t>
      </w:r>
      <w:r w:rsidRPr="00E02A51">
        <w:rPr>
          <w:rFonts w:cs="Arial" w:hint="cs"/>
          <w:color w:val="E36C0A" w:themeColor="accent6" w:themeShade="BF"/>
          <w:rtl/>
        </w:rPr>
        <w:t xml:space="preserve"> </w:t>
      </w:r>
      <w:r w:rsidRPr="004C4CDF">
        <w:rPr>
          <w:rFonts w:cs="Arial" w:hint="cs"/>
          <w:color w:val="E36C0A" w:themeColor="accent6" w:themeShade="BF"/>
          <w:rtl/>
        </w:rPr>
        <w:t>(וכ"פ בשו"ע)</w:t>
      </w:r>
    </w:p>
  </w:footnote>
  <w:footnote w:id="656">
    <w:p w14:paraId="3356DF6C" w14:textId="77777777" w:rsidR="004B2E7C" w:rsidRDefault="004B2E7C" w:rsidP="00285819">
      <w:pPr>
        <w:pStyle w:val="a7"/>
      </w:pPr>
      <w:r>
        <w:rPr>
          <w:rStyle w:val="a9"/>
        </w:rPr>
        <w:footnoteRef/>
      </w:r>
      <w:r>
        <w:rPr>
          <w:rtl/>
        </w:rPr>
        <w:t xml:space="preserve"> </w:t>
      </w:r>
      <w:r w:rsidRPr="00C234BD">
        <w:rPr>
          <w:rFonts w:cs="Arial"/>
          <w:rtl/>
        </w:rPr>
        <w:t>ואם רוב הקהל לא היו בבהכ"נ אין נמשכין אחר המיעוט</w:t>
      </w:r>
      <w:r>
        <w:rPr>
          <w:rFonts w:cs="Arial" w:hint="cs"/>
          <w:rtl/>
        </w:rPr>
        <w:t>,</w:t>
      </w:r>
      <w:r w:rsidRPr="00C234BD">
        <w:rPr>
          <w:rFonts w:cs="Arial"/>
          <w:rtl/>
        </w:rPr>
        <w:t xml:space="preserve"> וכן בעיר שיש בה בתי כנסיות הרבה אין אחת נמשכת אחר חברתה ואפילו אם באחת רוב</w:t>
      </w:r>
      <w:r>
        <w:rPr>
          <w:rFonts w:cs="Arial" w:hint="cs"/>
          <w:rtl/>
        </w:rPr>
        <w:t xml:space="preserve"> [מג"א].</w:t>
      </w:r>
      <w:r w:rsidRPr="00C234BD">
        <w:rPr>
          <w:rFonts w:cs="Arial"/>
          <w:rtl/>
        </w:rPr>
        <w:t xml:space="preserve"> אבל אם עושה מנין בביתו אפי' מנין קבוע בטל אצל הרוב [דה"ח]</w:t>
      </w:r>
      <w:r>
        <w:rPr>
          <w:rFonts w:cs="Arial" w:hint="cs"/>
          <w:rtl/>
        </w:rPr>
        <w:t>, משנ"ב (סקנ"א).</w:t>
      </w:r>
    </w:p>
  </w:footnote>
  <w:footnote w:id="657">
    <w:p w14:paraId="26C6021C" w14:textId="77777777" w:rsidR="004B2E7C" w:rsidRDefault="004B2E7C" w:rsidP="00285819">
      <w:pPr>
        <w:pStyle w:val="a7"/>
        <w:rPr>
          <w:rtl/>
        </w:rPr>
      </w:pPr>
      <w:r>
        <w:rPr>
          <w:rStyle w:val="a9"/>
        </w:rPr>
        <w:footnoteRef/>
      </w:r>
      <w:r>
        <w:rPr>
          <w:rtl/>
        </w:rPr>
        <w:t xml:space="preserve"> </w:t>
      </w:r>
      <w:r w:rsidRPr="00C234BD">
        <w:rPr>
          <w:rFonts w:cs="Arial"/>
          <w:rtl/>
        </w:rPr>
        <w:t>פי' שהולך לחדר כמ"ש סימן רס"ו סי"ב עמ"ש סס"י רס"א</w:t>
      </w:r>
      <w:r>
        <w:rPr>
          <w:rFonts w:cs="Arial" w:hint="cs"/>
          <w:rtl/>
        </w:rPr>
        <w:t xml:space="preserve">, </w:t>
      </w:r>
      <w:r>
        <w:rPr>
          <w:rFonts w:hint="cs"/>
          <w:rtl/>
        </w:rPr>
        <w:t>מג"א (סקכ"ה).</w:t>
      </w:r>
    </w:p>
  </w:footnote>
  <w:footnote w:id="658">
    <w:p w14:paraId="154BB7C7" w14:textId="77777777" w:rsidR="004B2E7C" w:rsidRDefault="004B2E7C" w:rsidP="00285819">
      <w:pPr>
        <w:pStyle w:val="a7"/>
        <w:rPr>
          <w:rtl/>
        </w:rPr>
      </w:pPr>
      <w:r>
        <w:rPr>
          <w:rStyle w:val="a9"/>
        </w:rPr>
        <w:footnoteRef/>
      </w:r>
      <w:r>
        <w:rPr>
          <w:rtl/>
        </w:rPr>
        <w:t xml:space="preserve"> </w:t>
      </w:r>
      <w:r w:rsidRPr="00112DAE">
        <w:rPr>
          <w:rFonts w:cs="Arial"/>
          <w:rtl/>
        </w:rPr>
        <w:t>אותו היום שהתפלל רב של שבת בערב שבת אמר ליה רבי ירמיה: מי בדלת מן המלאכה הואיל וקבלת עליך שבת בתפלתך</w:t>
      </w:r>
      <w:r>
        <w:rPr>
          <w:rFonts w:hint="cs"/>
          <w:rtl/>
        </w:rPr>
        <w:t>, רש"י.</w:t>
      </w:r>
    </w:p>
  </w:footnote>
  <w:footnote w:id="659">
    <w:p w14:paraId="14D60B56" w14:textId="77777777" w:rsidR="004B2E7C" w:rsidRDefault="004B2E7C" w:rsidP="00285819">
      <w:pPr>
        <w:pStyle w:val="a7"/>
      </w:pPr>
      <w:r>
        <w:rPr>
          <w:rStyle w:val="a9"/>
        </w:rPr>
        <w:footnoteRef/>
      </w:r>
      <w:r>
        <w:rPr>
          <w:rtl/>
        </w:rPr>
        <w:t xml:space="preserve"> </w:t>
      </w:r>
      <w:r w:rsidRPr="00B45E01">
        <w:rPr>
          <w:rFonts w:cs="Arial"/>
          <w:rtl/>
        </w:rPr>
        <w:t>סלקא דעתך - לאחר שגזרו על הזיעה ועל הרחיצה בשבת, כדאמרינן במסכת שבת בפרק כירה שהסיקוה (דף מ' א'), אלמא: אף על גב דצלי, לא בדיל מאיסורי שבת</w:t>
      </w:r>
      <w:r>
        <w:rPr>
          <w:rFonts w:cs="Arial" w:hint="cs"/>
          <w:rtl/>
        </w:rPr>
        <w:t xml:space="preserve">, רש"י. </w:t>
      </w:r>
    </w:p>
  </w:footnote>
  <w:footnote w:id="660">
    <w:p w14:paraId="727DA500" w14:textId="77777777" w:rsidR="004B2E7C" w:rsidRDefault="004B2E7C" w:rsidP="00285819">
      <w:pPr>
        <w:pStyle w:val="a7"/>
        <w:rPr>
          <w:rtl/>
        </w:rPr>
      </w:pPr>
      <w:r>
        <w:rPr>
          <w:rStyle w:val="a9"/>
        </w:rPr>
        <w:footnoteRef/>
      </w:r>
      <w:r>
        <w:rPr>
          <w:rtl/>
        </w:rPr>
        <w:t xml:space="preserve"> </w:t>
      </w:r>
      <w:r w:rsidRPr="00B45E01">
        <w:rPr>
          <w:rFonts w:cs="Arial"/>
          <w:rtl/>
        </w:rPr>
        <w:t>נכנס להזיע מחמת חום בית המרחץ, ולא נתן עליו מים</w:t>
      </w:r>
      <w:r>
        <w:rPr>
          <w:rFonts w:hint="cs"/>
          <w:rtl/>
        </w:rPr>
        <w:t>, רש"י.</w:t>
      </w:r>
    </w:p>
  </w:footnote>
  <w:footnote w:id="661">
    <w:p w14:paraId="592FEB22" w14:textId="77777777" w:rsidR="004B2E7C" w:rsidRDefault="004B2E7C" w:rsidP="00285819">
      <w:pPr>
        <w:pStyle w:val="a7"/>
      </w:pPr>
      <w:r>
        <w:rPr>
          <w:rStyle w:val="a9"/>
        </w:rPr>
        <w:footnoteRef/>
      </w:r>
      <w:r>
        <w:rPr>
          <w:rtl/>
        </w:rPr>
        <w:t xml:space="preserve"> </w:t>
      </w:r>
      <w:r w:rsidRPr="00B45E01">
        <w:rPr>
          <w:rFonts w:cs="Arial"/>
          <w:rtl/>
        </w:rPr>
        <w:t>עד שלא גזרו על הזיעה, ובכל דוכתא דאמרינן כדאמר רבא להזיע כו' - מהכא אמרינן</w:t>
      </w:r>
      <w:r>
        <w:rPr>
          <w:rFonts w:cs="Arial" w:hint="cs"/>
          <w:rtl/>
        </w:rPr>
        <w:t>, רש"י.</w:t>
      </w:r>
    </w:p>
  </w:footnote>
  <w:footnote w:id="662">
    <w:p w14:paraId="1E5C5431" w14:textId="77777777" w:rsidR="004B2E7C" w:rsidRDefault="004B2E7C" w:rsidP="00285819">
      <w:pPr>
        <w:pStyle w:val="a7"/>
      </w:pPr>
      <w:r>
        <w:rPr>
          <w:rStyle w:val="a9"/>
        </w:rPr>
        <w:footnoteRef/>
      </w:r>
      <w:r>
        <w:rPr>
          <w:rtl/>
        </w:rPr>
        <w:t xml:space="preserve"> </w:t>
      </w:r>
      <w:r w:rsidRPr="00B45E01">
        <w:rPr>
          <w:rFonts w:cs="Arial"/>
          <w:rtl/>
        </w:rPr>
        <w:t>לעשן אותן בגפרית לאחר שהתפלל של שבת בערב שבת</w:t>
      </w:r>
      <w:r>
        <w:rPr>
          <w:rFonts w:cs="Arial" w:hint="cs"/>
          <w:rtl/>
        </w:rPr>
        <w:t>, רש"י</w:t>
      </w:r>
    </w:p>
  </w:footnote>
  <w:footnote w:id="663">
    <w:p w14:paraId="5716914C" w14:textId="77777777" w:rsidR="004B2E7C" w:rsidRDefault="004B2E7C" w:rsidP="00285819">
      <w:pPr>
        <w:pStyle w:val="a7"/>
      </w:pPr>
      <w:r>
        <w:rPr>
          <w:rStyle w:val="a9"/>
        </w:rPr>
        <w:footnoteRef/>
      </w:r>
      <w:r>
        <w:rPr>
          <w:rtl/>
        </w:rPr>
        <w:t xml:space="preserve"> </w:t>
      </w:r>
      <w:r w:rsidRPr="00B45E01">
        <w:rPr>
          <w:rFonts w:cs="Arial"/>
          <w:rtl/>
        </w:rPr>
        <w:t>לא קבל עליו תוספת שבת משעת תפלה מדעת, אלא יום המעונן היה וכסבור חשכה ואחר כך זרחה חמה</w:t>
      </w:r>
      <w:r>
        <w:rPr>
          <w:rFonts w:cs="Arial" w:hint="cs"/>
          <w:rtl/>
        </w:rPr>
        <w:t>, רש"י.</w:t>
      </w:r>
    </w:p>
  </w:footnote>
  <w:footnote w:id="664">
    <w:p w14:paraId="17D104FA" w14:textId="77777777" w:rsidR="004B2E7C" w:rsidRDefault="004B2E7C" w:rsidP="00285819">
      <w:pPr>
        <w:pStyle w:val="a7"/>
        <w:rPr>
          <w:rtl/>
        </w:rPr>
      </w:pPr>
      <w:r>
        <w:rPr>
          <w:rStyle w:val="a9"/>
        </w:rPr>
        <w:footnoteRef/>
      </w:r>
      <w:r>
        <w:rPr>
          <w:rtl/>
        </w:rPr>
        <w:t xml:space="preserve"> </w:t>
      </w:r>
      <w:r w:rsidRPr="00B45E01">
        <w:rPr>
          <w:rFonts w:cs="Arial"/>
          <w:rtl/>
        </w:rPr>
        <w:t>ולא הצריכם להתפלל משתחשך, אלמא: תפלה היא; ואף על פי שלא הותרו במלאכה, התם הוא דלא לעבור על דברי תורה, אבל לענין תוספת אף על גב דבטעות הוה, תוספת הוא על ידי תפלה, הואיל ואמר תפלה קבלה היא</w:t>
      </w:r>
      <w:r>
        <w:rPr>
          <w:rFonts w:hint="cs"/>
          <w:rtl/>
        </w:rPr>
        <w:t>, רש"י.</w:t>
      </w:r>
    </w:p>
  </w:footnote>
  <w:footnote w:id="665">
    <w:p w14:paraId="48B8A1AB" w14:textId="77777777" w:rsidR="004B2E7C" w:rsidRDefault="004B2E7C" w:rsidP="00285819">
      <w:pPr>
        <w:pStyle w:val="a7"/>
        <w:rPr>
          <w:rtl/>
        </w:rPr>
      </w:pPr>
      <w:r>
        <w:rPr>
          <w:rStyle w:val="a9"/>
        </w:rPr>
        <w:footnoteRef/>
      </w:r>
      <w:r>
        <w:rPr>
          <w:rtl/>
        </w:rPr>
        <w:t xml:space="preserve"> </w:t>
      </w:r>
      <w:r w:rsidRPr="006737C8">
        <w:rPr>
          <w:rFonts w:cs="Arial" w:hint="cs"/>
          <w:rtl/>
        </w:rPr>
        <w:t>והא</w:t>
      </w:r>
      <w:r w:rsidRPr="006737C8">
        <w:rPr>
          <w:rFonts w:cs="Arial"/>
          <w:rtl/>
        </w:rPr>
        <w:t xml:space="preserve"> </w:t>
      </w:r>
      <w:r w:rsidRPr="006737C8">
        <w:rPr>
          <w:rFonts w:cs="Arial" w:hint="cs"/>
          <w:rtl/>
        </w:rPr>
        <w:t>דאמרינן</w:t>
      </w:r>
      <w:r w:rsidRPr="006737C8">
        <w:rPr>
          <w:rFonts w:cs="Arial"/>
          <w:rtl/>
        </w:rPr>
        <w:t xml:space="preserve"> </w:t>
      </w:r>
      <w:r w:rsidRPr="006737C8">
        <w:rPr>
          <w:rFonts w:cs="Arial" w:hint="cs"/>
          <w:rtl/>
        </w:rPr>
        <w:t>דציבור</w:t>
      </w:r>
      <w:r w:rsidRPr="006737C8">
        <w:rPr>
          <w:rFonts w:cs="Arial"/>
          <w:rtl/>
        </w:rPr>
        <w:t xml:space="preserve"> </w:t>
      </w:r>
      <w:r w:rsidRPr="006737C8">
        <w:rPr>
          <w:rFonts w:cs="Arial" w:hint="cs"/>
          <w:rtl/>
        </w:rPr>
        <w:t>לא</w:t>
      </w:r>
      <w:r w:rsidRPr="006737C8">
        <w:rPr>
          <w:rFonts w:cs="Arial"/>
          <w:rtl/>
        </w:rPr>
        <w:t xml:space="preserve"> </w:t>
      </w:r>
      <w:r w:rsidRPr="006737C8">
        <w:rPr>
          <w:rFonts w:cs="Arial" w:hint="cs"/>
          <w:rtl/>
        </w:rPr>
        <w:t>מטרחינן</w:t>
      </w:r>
      <w:r w:rsidRPr="006737C8">
        <w:rPr>
          <w:rFonts w:cs="Arial"/>
          <w:rtl/>
        </w:rPr>
        <w:t xml:space="preserve"> </w:t>
      </w:r>
      <w:r w:rsidRPr="006737C8">
        <w:rPr>
          <w:rFonts w:cs="Arial" w:hint="cs"/>
          <w:rtl/>
        </w:rPr>
        <w:t>להו</w:t>
      </w:r>
      <w:r w:rsidRPr="006737C8">
        <w:rPr>
          <w:rFonts w:cs="Arial"/>
          <w:rtl/>
        </w:rPr>
        <w:t xml:space="preserve"> </w:t>
      </w:r>
      <w:r w:rsidRPr="006737C8">
        <w:rPr>
          <w:rFonts w:cs="Arial" w:hint="cs"/>
          <w:rtl/>
        </w:rPr>
        <w:t>נראה</w:t>
      </w:r>
      <w:r w:rsidRPr="006737C8">
        <w:rPr>
          <w:rFonts w:cs="Arial"/>
          <w:rtl/>
        </w:rPr>
        <w:t xml:space="preserve"> </w:t>
      </w:r>
      <w:r w:rsidRPr="006737C8">
        <w:rPr>
          <w:rFonts w:cs="Arial" w:hint="cs"/>
          <w:rtl/>
        </w:rPr>
        <w:t>דהיינו</w:t>
      </w:r>
      <w:r w:rsidRPr="006737C8">
        <w:rPr>
          <w:rFonts w:cs="Arial"/>
          <w:rtl/>
        </w:rPr>
        <w:t xml:space="preserve"> </w:t>
      </w:r>
      <w:r w:rsidRPr="006737C8">
        <w:rPr>
          <w:rFonts w:cs="Arial" w:hint="cs"/>
          <w:rtl/>
        </w:rPr>
        <w:t>דוקא</w:t>
      </w:r>
      <w:r w:rsidRPr="006737C8">
        <w:rPr>
          <w:rFonts w:cs="Arial"/>
          <w:rtl/>
        </w:rPr>
        <w:t xml:space="preserve"> </w:t>
      </w:r>
      <w:r w:rsidRPr="006737C8">
        <w:rPr>
          <w:rFonts w:cs="Arial" w:hint="cs"/>
          <w:rtl/>
        </w:rPr>
        <w:t>כשהתפללו</w:t>
      </w:r>
      <w:r w:rsidRPr="006737C8">
        <w:rPr>
          <w:rFonts w:cs="Arial"/>
          <w:rtl/>
        </w:rPr>
        <w:t xml:space="preserve"> </w:t>
      </w:r>
      <w:r w:rsidRPr="006737C8">
        <w:rPr>
          <w:rFonts w:cs="Arial" w:hint="cs"/>
          <w:rtl/>
        </w:rPr>
        <w:t>מפלג</w:t>
      </w:r>
      <w:r w:rsidRPr="006737C8">
        <w:rPr>
          <w:rFonts w:cs="Arial"/>
          <w:rtl/>
        </w:rPr>
        <w:t xml:space="preserve"> </w:t>
      </w:r>
      <w:r w:rsidRPr="006737C8">
        <w:rPr>
          <w:rFonts w:cs="Arial" w:hint="cs"/>
          <w:rtl/>
        </w:rPr>
        <w:t>המנחה</w:t>
      </w:r>
      <w:r w:rsidRPr="006737C8">
        <w:rPr>
          <w:rFonts w:cs="Arial"/>
          <w:rtl/>
        </w:rPr>
        <w:t xml:space="preserve"> </w:t>
      </w:r>
      <w:r w:rsidRPr="006737C8">
        <w:rPr>
          <w:rFonts w:cs="Arial" w:hint="cs"/>
          <w:rtl/>
        </w:rPr>
        <w:t>ואילך</w:t>
      </w:r>
      <w:r>
        <w:rPr>
          <w:rFonts w:cs="Arial" w:hint="cs"/>
          <w:rtl/>
        </w:rPr>
        <w:t>,</w:t>
      </w:r>
      <w:r w:rsidRPr="006737C8">
        <w:rPr>
          <w:rFonts w:cs="Arial"/>
          <w:rtl/>
        </w:rPr>
        <w:t xml:space="preserve"> </w:t>
      </w:r>
      <w:r w:rsidRPr="006737C8">
        <w:rPr>
          <w:rFonts w:cs="Arial" w:hint="cs"/>
          <w:rtl/>
        </w:rPr>
        <w:t>וביחיד</w:t>
      </w:r>
      <w:r w:rsidRPr="006737C8">
        <w:rPr>
          <w:rFonts w:cs="Arial"/>
          <w:rtl/>
        </w:rPr>
        <w:t xml:space="preserve"> </w:t>
      </w:r>
      <w:r w:rsidRPr="006737C8">
        <w:rPr>
          <w:rFonts w:cs="Arial" w:hint="cs"/>
          <w:rtl/>
        </w:rPr>
        <w:t>אפילו</w:t>
      </w:r>
      <w:r w:rsidRPr="006737C8">
        <w:rPr>
          <w:rFonts w:cs="Arial"/>
          <w:rtl/>
        </w:rPr>
        <w:t xml:space="preserve"> </w:t>
      </w:r>
      <w:r w:rsidRPr="006737C8">
        <w:rPr>
          <w:rFonts w:cs="Arial" w:hint="cs"/>
          <w:rtl/>
        </w:rPr>
        <w:t>התפלל</w:t>
      </w:r>
      <w:r w:rsidRPr="006737C8">
        <w:rPr>
          <w:rFonts w:cs="Arial"/>
          <w:rtl/>
        </w:rPr>
        <w:t xml:space="preserve"> </w:t>
      </w:r>
      <w:r w:rsidRPr="006737C8">
        <w:rPr>
          <w:rFonts w:cs="Arial" w:hint="cs"/>
          <w:rtl/>
        </w:rPr>
        <w:t>מפלג</w:t>
      </w:r>
      <w:r w:rsidRPr="006737C8">
        <w:rPr>
          <w:rFonts w:cs="Arial"/>
          <w:rtl/>
        </w:rPr>
        <w:t xml:space="preserve"> </w:t>
      </w:r>
      <w:r w:rsidRPr="006737C8">
        <w:rPr>
          <w:rFonts w:cs="Arial" w:hint="cs"/>
          <w:rtl/>
        </w:rPr>
        <w:t>המנחה</w:t>
      </w:r>
      <w:r w:rsidRPr="006737C8">
        <w:rPr>
          <w:rFonts w:cs="Arial"/>
          <w:rtl/>
        </w:rPr>
        <w:t xml:space="preserve"> </w:t>
      </w:r>
      <w:r w:rsidRPr="006737C8">
        <w:rPr>
          <w:rFonts w:cs="Arial" w:hint="cs"/>
          <w:rtl/>
        </w:rPr>
        <w:t>ולמעלה</w:t>
      </w:r>
      <w:r w:rsidRPr="006737C8">
        <w:rPr>
          <w:rFonts w:cs="Arial"/>
          <w:rtl/>
        </w:rPr>
        <w:t xml:space="preserve"> </w:t>
      </w:r>
      <w:r w:rsidRPr="006737C8">
        <w:rPr>
          <w:rFonts w:cs="Arial" w:hint="cs"/>
          <w:rtl/>
        </w:rPr>
        <w:t>כיון</w:t>
      </w:r>
      <w:r w:rsidRPr="006737C8">
        <w:rPr>
          <w:rFonts w:cs="Arial"/>
          <w:rtl/>
        </w:rPr>
        <w:t xml:space="preserve"> </w:t>
      </w:r>
      <w:r w:rsidRPr="006737C8">
        <w:rPr>
          <w:rFonts w:cs="Arial" w:hint="cs"/>
          <w:rtl/>
        </w:rPr>
        <w:t>דבטעות</w:t>
      </w:r>
      <w:r w:rsidRPr="006737C8">
        <w:rPr>
          <w:rFonts w:cs="Arial"/>
          <w:rtl/>
        </w:rPr>
        <w:t xml:space="preserve"> </w:t>
      </w:r>
      <w:r w:rsidRPr="006737C8">
        <w:rPr>
          <w:rFonts w:cs="Arial" w:hint="cs"/>
          <w:rtl/>
        </w:rPr>
        <w:t>הוה</w:t>
      </w:r>
      <w:r w:rsidRPr="006737C8">
        <w:rPr>
          <w:rFonts w:cs="Arial"/>
          <w:rtl/>
        </w:rPr>
        <w:t xml:space="preserve"> </w:t>
      </w:r>
      <w:r w:rsidRPr="006737C8">
        <w:rPr>
          <w:rFonts w:cs="Arial" w:hint="cs"/>
          <w:rtl/>
        </w:rPr>
        <w:t>שהיה</w:t>
      </w:r>
      <w:r w:rsidRPr="006737C8">
        <w:rPr>
          <w:rFonts w:cs="Arial"/>
          <w:rtl/>
        </w:rPr>
        <w:t xml:space="preserve"> </w:t>
      </w:r>
      <w:r w:rsidRPr="006737C8">
        <w:rPr>
          <w:rFonts w:cs="Arial" w:hint="cs"/>
          <w:rtl/>
        </w:rPr>
        <w:t>סבור</w:t>
      </w:r>
      <w:r w:rsidRPr="006737C8">
        <w:rPr>
          <w:rFonts w:cs="Arial"/>
          <w:rtl/>
        </w:rPr>
        <w:t xml:space="preserve"> </w:t>
      </w:r>
      <w:r w:rsidRPr="006737C8">
        <w:rPr>
          <w:rFonts w:cs="Arial" w:hint="cs"/>
          <w:rtl/>
        </w:rPr>
        <w:t>שכבר</w:t>
      </w:r>
      <w:r w:rsidRPr="006737C8">
        <w:rPr>
          <w:rFonts w:cs="Arial"/>
          <w:rtl/>
        </w:rPr>
        <w:t xml:space="preserve"> </w:t>
      </w:r>
      <w:r w:rsidRPr="006737C8">
        <w:rPr>
          <w:rFonts w:cs="Arial" w:hint="cs"/>
          <w:rtl/>
        </w:rPr>
        <w:t>חשכה</w:t>
      </w:r>
      <w:r w:rsidRPr="006737C8">
        <w:rPr>
          <w:rFonts w:cs="Arial"/>
          <w:rtl/>
        </w:rPr>
        <w:t xml:space="preserve"> </w:t>
      </w:r>
      <w:r w:rsidRPr="006737C8">
        <w:rPr>
          <w:rFonts w:cs="Arial" w:hint="cs"/>
          <w:rtl/>
        </w:rPr>
        <w:t>לא</w:t>
      </w:r>
      <w:r w:rsidRPr="006737C8">
        <w:rPr>
          <w:rFonts w:cs="Arial"/>
          <w:rtl/>
        </w:rPr>
        <w:t xml:space="preserve"> </w:t>
      </w:r>
      <w:r w:rsidRPr="006737C8">
        <w:rPr>
          <w:rFonts w:cs="Arial" w:hint="cs"/>
          <w:rtl/>
        </w:rPr>
        <w:t>עלתה</w:t>
      </w:r>
      <w:r w:rsidRPr="006737C8">
        <w:rPr>
          <w:rFonts w:cs="Arial"/>
          <w:rtl/>
        </w:rPr>
        <w:t xml:space="preserve"> </w:t>
      </w:r>
      <w:r w:rsidRPr="006737C8">
        <w:rPr>
          <w:rFonts w:cs="Arial" w:hint="cs"/>
          <w:rtl/>
        </w:rPr>
        <w:t>לו</w:t>
      </w:r>
      <w:r w:rsidRPr="006737C8">
        <w:rPr>
          <w:rFonts w:cs="Arial"/>
          <w:rtl/>
        </w:rPr>
        <w:t xml:space="preserve"> </w:t>
      </w:r>
      <w:r w:rsidRPr="006737C8">
        <w:rPr>
          <w:rFonts w:cs="Arial" w:hint="cs"/>
          <w:rtl/>
        </w:rPr>
        <w:t>תפלה</w:t>
      </w:r>
      <w:r>
        <w:rPr>
          <w:rFonts w:cs="Arial" w:hint="cs"/>
          <w:rtl/>
        </w:rPr>
        <w:t>.</w:t>
      </w:r>
      <w:r w:rsidRPr="006737C8">
        <w:rPr>
          <w:rFonts w:cs="Arial"/>
          <w:rtl/>
        </w:rPr>
        <w:t xml:space="preserve"> </w:t>
      </w:r>
      <w:r w:rsidRPr="006737C8">
        <w:rPr>
          <w:rFonts w:cs="Arial" w:hint="cs"/>
          <w:rtl/>
        </w:rPr>
        <w:t>אבל</w:t>
      </w:r>
      <w:r w:rsidRPr="006737C8">
        <w:rPr>
          <w:rFonts w:cs="Arial"/>
          <w:rtl/>
        </w:rPr>
        <w:t xml:space="preserve"> </w:t>
      </w:r>
      <w:r w:rsidRPr="006737C8">
        <w:rPr>
          <w:rFonts w:cs="Arial" w:hint="cs"/>
          <w:rtl/>
        </w:rPr>
        <w:t>קודם</w:t>
      </w:r>
      <w:r w:rsidRPr="006737C8">
        <w:rPr>
          <w:rFonts w:cs="Arial"/>
          <w:rtl/>
        </w:rPr>
        <w:t xml:space="preserve"> </w:t>
      </w:r>
      <w:r w:rsidRPr="006737C8">
        <w:rPr>
          <w:rFonts w:cs="Arial" w:hint="cs"/>
          <w:rtl/>
        </w:rPr>
        <w:t>פלג</w:t>
      </w:r>
      <w:r w:rsidRPr="006737C8">
        <w:rPr>
          <w:rFonts w:cs="Arial"/>
          <w:rtl/>
        </w:rPr>
        <w:t xml:space="preserve"> </w:t>
      </w:r>
      <w:r w:rsidRPr="006737C8">
        <w:rPr>
          <w:rFonts w:cs="Arial" w:hint="cs"/>
          <w:rtl/>
        </w:rPr>
        <w:t>המנחה</w:t>
      </w:r>
      <w:r w:rsidRPr="006737C8">
        <w:rPr>
          <w:rFonts w:cs="Arial"/>
          <w:rtl/>
        </w:rPr>
        <w:t xml:space="preserve"> </w:t>
      </w:r>
      <w:r w:rsidRPr="006737C8">
        <w:rPr>
          <w:rFonts w:cs="Arial" w:hint="cs"/>
          <w:rtl/>
        </w:rPr>
        <w:t>אפילו</w:t>
      </w:r>
      <w:r w:rsidRPr="006737C8">
        <w:rPr>
          <w:rFonts w:cs="Arial"/>
          <w:rtl/>
        </w:rPr>
        <w:t xml:space="preserve"> </w:t>
      </w:r>
      <w:r w:rsidRPr="006737C8">
        <w:rPr>
          <w:rFonts w:cs="Arial" w:hint="cs"/>
          <w:rtl/>
        </w:rPr>
        <w:t>ציבור</w:t>
      </w:r>
      <w:r w:rsidRPr="006737C8">
        <w:rPr>
          <w:rFonts w:cs="Arial"/>
          <w:rtl/>
        </w:rPr>
        <w:t xml:space="preserve"> </w:t>
      </w:r>
      <w:r w:rsidRPr="006737C8">
        <w:rPr>
          <w:rFonts w:cs="Arial" w:hint="cs"/>
          <w:rtl/>
        </w:rPr>
        <w:t>נמי</w:t>
      </w:r>
      <w:r w:rsidRPr="006737C8">
        <w:rPr>
          <w:rFonts w:cs="Arial"/>
          <w:rtl/>
        </w:rPr>
        <w:t xml:space="preserve"> </w:t>
      </w:r>
      <w:r w:rsidRPr="006737C8">
        <w:rPr>
          <w:rFonts w:cs="Arial" w:hint="cs"/>
          <w:rtl/>
        </w:rPr>
        <w:t>מחזירין</w:t>
      </w:r>
      <w:r w:rsidRPr="006737C8">
        <w:rPr>
          <w:rFonts w:cs="Arial"/>
          <w:rtl/>
        </w:rPr>
        <w:t xml:space="preserve"> </w:t>
      </w:r>
      <w:r w:rsidRPr="006737C8">
        <w:rPr>
          <w:rFonts w:cs="Arial" w:hint="cs"/>
          <w:rtl/>
        </w:rPr>
        <w:t>כיון</w:t>
      </w:r>
      <w:r w:rsidRPr="006737C8">
        <w:rPr>
          <w:rFonts w:cs="Arial"/>
          <w:rtl/>
        </w:rPr>
        <w:t xml:space="preserve"> </w:t>
      </w:r>
      <w:r w:rsidRPr="006737C8">
        <w:rPr>
          <w:rFonts w:cs="Arial" w:hint="cs"/>
          <w:rtl/>
        </w:rPr>
        <w:t>דלאו</w:t>
      </w:r>
      <w:r w:rsidRPr="006737C8">
        <w:rPr>
          <w:rFonts w:cs="Arial"/>
          <w:rtl/>
        </w:rPr>
        <w:t xml:space="preserve"> </w:t>
      </w:r>
      <w:r w:rsidRPr="006737C8">
        <w:rPr>
          <w:rFonts w:cs="Arial" w:hint="cs"/>
          <w:rtl/>
        </w:rPr>
        <w:t>זמן</w:t>
      </w:r>
      <w:r w:rsidRPr="006737C8">
        <w:rPr>
          <w:rFonts w:cs="Arial"/>
          <w:rtl/>
        </w:rPr>
        <w:t xml:space="preserve"> </w:t>
      </w:r>
      <w:r w:rsidRPr="006737C8">
        <w:rPr>
          <w:rFonts w:cs="Arial" w:hint="cs"/>
          <w:rtl/>
        </w:rPr>
        <w:t>תפלת</w:t>
      </w:r>
      <w:r w:rsidRPr="006737C8">
        <w:rPr>
          <w:rFonts w:cs="Arial"/>
          <w:rtl/>
        </w:rPr>
        <w:t xml:space="preserve"> </w:t>
      </w:r>
      <w:r w:rsidRPr="006737C8">
        <w:rPr>
          <w:rFonts w:cs="Arial" w:hint="cs"/>
          <w:rtl/>
        </w:rPr>
        <w:t>ערבית</w:t>
      </w:r>
      <w:r w:rsidRPr="006737C8">
        <w:rPr>
          <w:rFonts w:cs="Arial"/>
          <w:rtl/>
        </w:rPr>
        <w:t xml:space="preserve"> </w:t>
      </w:r>
      <w:r w:rsidRPr="006737C8">
        <w:rPr>
          <w:rFonts w:cs="Arial" w:hint="cs"/>
          <w:rtl/>
        </w:rPr>
        <w:t>הוא</w:t>
      </w:r>
      <w:r w:rsidRPr="006737C8">
        <w:rPr>
          <w:rFonts w:cs="Arial"/>
          <w:rtl/>
        </w:rPr>
        <w:t xml:space="preserve"> </w:t>
      </w:r>
      <w:r w:rsidRPr="006737C8">
        <w:rPr>
          <w:rFonts w:cs="Arial" w:hint="cs"/>
          <w:rtl/>
        </w:rPr>
        <w:t>כלל</w:t>
      </w:r>
      <w:r>
        <w:rPr>
          <w:rFonts w:cs="Arial" w:hint="cs"/>
          <w:rtl/>
        </w:rPr>
        <w:t>.</w:t>
      </w:r>
      <w:r w:rsidRPr="006737C8">
        <w:rPr>
          <w:rFonts w:cs="Arial"/>
          <w:rtl/>
        </w:rPr>
        <w:t xml:space="preserve"> </w:t>
      </w:r>
      <w:r w:rsidRPr="006737C8">
        <w:rPr>
          <w:rFonts w:cs="Arial" w:hint="cs"/>
          <w:rtl/>
        </w:rPr>
        <w:t>וכן</w:t>
      </w:r>
      <w:r w:rsidRPr="006737C8">
        <w:rPr>
          <w:rFonts w:cs="Arial"/>
          <w:rtl/>
        </w:rPr>
        <w:t xml:space="preserve"> </w:t>
      </w:r>
      <w:r w:rsidRPr="006737C8">
        <w:rPr>
          <w:rFonts w:cs="Arial" w:hint="cs"/>
          <w:rtl/>
        </w:rPr>
        <w:t>נראה</w:t>
      </w:r>
      <w:r w:rsidRPr="006737C8">
        <w:rPr>
          <w:rFonts w:cs="Arial"/>
          <w:rtl/>
        </w:rPr>
        <w:t xml:space="preserve"> </w:t>
      </w:r>
      <w:r w:rsidRPr="006737C8">
        <w:rPr>
          <w:rFonts w:cs="Arial" w:hint="cs"/>
          <w:rtl/>
        </w:rPr>
        <w:t>מדברי</w:t>
      </w:r>
      <w:r w:rsidRPr="006737C8">
        <w:rPr>
          <w:rFonts w:cs="Arial"/>
          <w:rtl/>
        </w:rPr>
        <w:t xml:space="preserve"> </w:t>
      </w:r>
      <w:r w:rsidRPr="006737C8">
        <w:rPr>
          <w:rFonts w:cs="Arial" w:hint="cs"/>
          <w:rtl/>
        </w:rPr>
        <w:t>רבינו</w:t>
      </w:r>
      <w:r w:rsidRPr="006737C8">
        <w:rPr>
          <w:rFonts w:cs="Arial"/>
          <w:rtl/>
        </w:rPr>
        <w:t xml:space="preserve"> </w:t>
      </w:r>
      <w:r w:rsidRPr="006737C8">
        <w:rPr>
          <w:rFonts w:cs="Arial" w:hint="cs"/>
          <w:rtl/>
        </w:rPr>
        <w:t>יונה</w:t>
      </w:r>
      <w:r w:rsidRPr="006737C8">
        <w:rPr>
          <w:rFonts w:cs="Arial"/>
          <w:rtl/>
        </w:rPr>
        <w:t xml:space="preserve"> </w:t>
      </w:r>
      <w:r w:rsidRPr="006737C8">
        <w:rPr>
          <w:rFonts w:cs="Arial" w:hint="cs"/>
          <w:rtl/>
        </w:rPr>
        <w:t>ז</w:t>
      </w:r>
      <w:r w:rsidRPr="006737C8">
        <w:rPr>
          <w:rFonts w:cs="Arial"/>
          <w:rtl/>
        </w:rPr>
        <w:t>"</w:t>
      </w:r>
      <w:r w:rsidRPr="006737C8">
        <w:rPr>
          <w:rFonts w:cs="Arial" w:hint="cs"/>
          <w:rtl/>
        </w:rPr>
        <w:t>ל</w:t>
      </w:r>
      <w:r w:rsidRPr="006737C8">
        <w:rPr>
          <w:rFonts w:cs="Arial"/>
          <w:rtl/>
        </w:rPr>
        <w:t xml:space="preserve"> </w:t>
      </w:r>
      <w:r w:rsidRPr="006737C8">
        <w:rPr>
          <w:rFonts w:cs="Arial" w:hint="cs"/>
          <w:rtl/>
        </w:rPr>
        <w:t>שם</w:t>
      </w:r>
      <w:r>
        <w:rPr>
          <w:rFonts w:cs="Arial" w:hint="cs"/>
          <w:rtl/>
        </w:rPr>
        <w:t>, ב"י.</w:t>
      </w:r>
    </w:p>
  </w:footnote>
  <w:footnote w:id="666">
    <w:p w14:paraId="6E1EF576" w14:textId="77777777" w:rsidR="004B2E7C" w:rsidRDefault="004B2E7C" w:rsidP="00285819">
      <w:pPr>
        <w:pStyle w:val="a7"/>
      </w:pPr>
      <w:r>
        <w:rPr>
          <w:rStyle w:val="a9"/>
        </w:rPr>
        <w:footnoteRef/>
      </w:r>
      <w:r>
        <w:rPr>
          <w:rtl/>
        </w:rPr>
        <w:t xml:space="preserve"> </w:t>
      </w:r>
      <w:r w:rsidRPr="009F224B">
        <w:rPr>
          <w:rFonts w:cs="Arial" w:hint="cs"/>
          <w:rtl/>
        </w:rPr>
        <w:t>ומשמע</w:t>
      </w:r>
      <w:r w:rsidRPr="009F224B">
        <w:rPr>
          <w:rFonts w:cs="Arial"/>
          <w:rtl/>
        </w:rPr>
        <w:t xml:space="preserve"> </w:t>
      </w:r>
      <w:r w:rsidRPr="009F224B">
        <w:rPr>
          <w:rFonts w:cs="Arial" w:hint="cs"/>
          <w:rtl/>
        </w:rPr>
        <w:t>דסבירא</w:t>
      </w:r>
      <w:r w:rsidRPr="009F224B">
        <w:rPr>
          <w:rFonts w:cs="Arial"/>
          <w:rtl/>
        </w:rPr>
        <w:t xml:space="preserve"> </w:t>
      </w:r>
      <w:r w:rsidRPr="009F224B">
        <w:rPr>
          <w:rFonts w:cs="Arial" w:hint="cs"/>
          <w:rtl/>
        </w:rPr>
        <w:t>ליה</w:t>
      </w:r>
      <w:r w:rsidRPr="009F224B">
        <w:rPr>
          <w:rFonts w:cs="Arial"/>
          <w:rtl/>
        </w:rPr>
        <w:t xml:space="preserve"> </w:t>
      </w:r>
      <w:r w:rsidRPr="009F224B">
        <w:rPr>
          <w:rFonts w:cs="Arial" w:hint="cs"/>
          <w:rtl/>
        </w:rPr>
        <w:t>דעדיפא</w:t>
      </w:r>
      <w:r w:rsidRPr="009F224B">
        <w:rPr>
          <w:rFonts w:cs="Arial"/>
          <w:rtl/>
        </w:rPr>
        <w:t xml:space="preserve"> </w:t>
      </w:r>
      <w:r w:rsidRPr="009F224B">
        <w:rPr>
          <w:rFonts w:cs="Arial" w:hint="cs"/>
          <w:rtl/>
        </w:rPr>
        <w:t>קבלת</w:t>
      </w:r>
      <w:r w:rsidRPr="009F224B">
        <w:rPr>
          <w:rFonts w:cs="Arial"/>
          <w:rtl/>
        </w:rPr>
        <w:t xml:space="preserve"> </w:t>
      </w:r>
      <w:r w:rsidRPr="009F224B">
        <w:rPr>
          <w:rFonts w:cs="Arial" w:hint="cs"/>
          <w:rtl/>
        </w:rPr>
        <w:t>שבת</w:t>
      </w:r>
      <w:r w:rsidRPr="009F224B">
        <w:rPr>
          <w:rFonts w:cs="Arial"/>
          <w:rtl/>
        </w:rPr>
        <w:t xml:space="preserve"> </w:t>
      </w:r>
      <w:r w:rsidRPr="009F224B">
        <w:rPr>
          <w:rFonts w:cs="Arial" w:hint="cs"/>
          <w:rtl/>
        </w:rPr>
        <w:t>ע</w:t>
      </w:r>
      <w:r>
        <w:rPr>
          <w:rFonts w:cs="Arial" w:hint="cs"/>
          <w:rtl/>
        </w:rPr>
        <w:t>"</w:t>
      </w:r>
      <w:r w:rsidRPr="009F224B">
        <w:rPr>
          <w:rFonts w:cs="Arial" w:hint="cs"/>
          <w:rtl/>
        </w:rPr>
        <w:t>י</w:t>
      </w:r>
      <w:r w:rsidRPr="009F224B">
        <w:rPr>
          <w:rFonts w:cs="Arial"/>
          <w:rtl/>
        </w:rPr>
        <w:t xml:space="preserve"> </w:t>
      </w:r>
      <w:r w:rsidRPr="009F224B">
        <w:rPr>
          <w:rFonts w:cs="Arial" w:hint="cs"/>
          <w:rtl/>
        </w:rPr>
        <w:t>הדלקת</w:t>
      </w:r>
      <w:r w:rsidRPr="009F224B">
        <w:rPr>
          <w:rFonts w:cs="Arial"/>
          <w:rtl/>
        </w:rPr>
        <w:t xml:space="preserve"> </w:t>
      </w:r>
      <w:r w:rsidRPr="009F224B">
        <w:rPr>
          <w:rFonts w:cs="Arial" w:hint="cs"/>
          <w:rtl/>
        </w:rPr>
        <w:t>נר</w:t>
      </w:r>
      <w:r w:rsidRPr="009F224B">
        <w:rPr>
          <w:rFonts w:cs="Arial"/>
          <w:rtl/>
        </w:rPr>
        <w:t xml:space="preserve"> </w:t>
      </w:r>
      <w:r w:rsidRPr="009F224B">
        <w:rPr>
          <w:rFonts w:cs="Arial" w:hint="cs"/>
          <w:rtl/>
        </w:rPr>
        <w:t>שהוא</w:t>
      </w:r>
      <w:r w:rsidRPr="009F224B">
        <w:rPr>
          <w:rFonts w:cs="Arial"/>
          <w:rtl/>
        </w:rPr>
        <w:t xml:space="preserve"> </w:t>
      </w:r>
      <w:r w:rsidRPr="009F224B">
        <w:rPr>
          <w:rFonts w:cs="Arial" w:hint="cs"/>
          <w:rtl/>
        </w:rPr>
        <w:t>מעשה</w:t>
      </w:r>
      <w:r w:rsidRPr="009F224B">
        <w:rPr>
          <w:rFonts w:cs="Arial"/>
          <w:rtl/>
        </w:rPr>
        <w:t xml:space="preserve"> </w:t>
      </w:r>
      <w:r w:rsidRPr="009F224B">
        <w:rPr>
          <w:rFonts w:cs="Arial" w:hint="cs"/>
          <w:rtl/>
        </w:rPr>
        <w:t>מקבלה</w:t>
      </w:r>
      <w:r w:rsidRPr="009F224B">
        <w:rPr>
          <w:rFonts w:cs="Arial"/>
          <w:rtl/>
        </w:rPr>
        <w:t xml:space="preserve"> </w:t>
      </w:r>
      <w:r w:rsidRPr="009F224B">
        <w:rPr>
          <w:rFonts w:cs="Arial" w:hint="cs"/>
          <w:rtl/>
        </w:rPr>
        <w:t>בתפילה</w:t>
      </w:r>
      <w:r>
        <w:rPr>
          <w:rFonts w:cs="Arial" w:hint="cs"/>
          <w:rtl/>
        </w:rPr>
        <w:t>, ב"י.</w:t>
      </w:r>
      <w:r w:rsidRPr="0075388A">
        <w:rPr>
          <w:rFonts w:cs="Arial"/>
          <w:rtl/>
        </w:rPr>
        <w:t xml:space="preserve"> </w:t>
      </w:r>
      <w:r>
        <w:rPr>
          <w:rFonts w:cs="Arial" w:hint="cs"/>
          <w:rtl/>
        </w:rPr>
        <w:t>וה</w:t>
      </w:r>
      <w:r w:rsidRPr="0075388A">
        <w:rPr>
          <w:rFonts w:cs="Arial" w:hint="cs"/>
          <w:rtl/>
        </w:rPr>
        <w:t>או</w:t>
      </w:r>
      <w:r>
        <w:rPr>
          <w:rFonts w:cs="Arial" w:hint="cs"/>
          <w:rtl/>
        </w:rPr>
        <w:t>"</w:t>
      </w:r>
      <w:r w:rsidRPr="0075388A">
        <w:rPr>
          <w:rFonts w:cs="Arial" w:hint="cs"/>
          <w:rtl/>
        </w:rPr>
        <w:t>ז</w:t>
      </w:r>
      <w:r w:rsidRPr="0075388A">
        <w:rPr>
          <w:rFonts w:cs="Arial"/>
          <w:rtl/>
        </w:rPr>
        <w:t xml:space="preserve"> </w:t>
      </w:r>
      <w:r w:rsidRPr="000752E4">
        <w:rPr>
          <w:rFonts w:cs="Arial"/>
          <w:sz w:val="16"/>
          <w:szCs w:val="16"/>
          <w:rtl/>
        </w:rPr>
        <w:t>(</w:t>
      </w:r>
      <w:r w:rsidRPr="000752E4">
        <w:rPr>
          <w:rFonts w:cs="Arial" w:hint="cs"/>
          <w:sz w:val="16"/>
          <w:szCs w:val="16"/>
          <w:rtl/>
        </w:rPr>
        <w:t>הל'</w:t>
      </w:r>
      <w:r w:rsidRPr="000752E4">
        <w:rPr>
          <w:rFonts w:cs="Arial"/>
          <w:sz w:val="16"/>
          <w:szCs w:val="16"/>
          <w:rtl/>
        </w:rPr>
        <w:t xml:space="preserve"> </w:t>
      </w:r>
      <w:r w:rsidRPr="000752E4">
        <w:rPr>
          <w:rFonts w:cs="Arial" w:hint="cs"/>
          <w:sz w:val="16"/>
          <w:szCs w:val="16"/>
          <w:rtl/>
        </w:rPr>
        <w:t>ערב</w:t>
      </w:r>
      <w:r w:rsidRPr="000752E4">
        <w:rPr>
          <w:rFonts w:cs="Arial"/>
          <w:sz w:val="16"/>
          <w:szCs w:val="16"/>
          <w:rtl/>
        </w:rPr>
        <w:t xml:space="preserve"> </w:t>
      </w:r>
      <w:r w:rsidRPr="000752E4">
        <w:rPr>
          <w:rFonts w:cs="Arial" w:hint="cs"/>
          <w:sz w:val="16"/>
          <w:szCs w:val="16"/>
          <w:rtl/>
        </w:rPr>
        <w:t>שבת</w:t>
      </w:r>
      <w:r w:rsidRPr="000752E4">
        <w:rPr>
          <w:rFonts w:cs="Arial"/>
          <w:sz w:val="16"/>
          <w:szCs w:val="16"/>
          <w:rtl/>
        </w:rPr>
        <w:t xml:space="preserve"> </w:t>
      </w:r>
      <w:r w:rsidRPr="000752E4">
        <w:rPr>
          <w:rFonts w:cs="Arial" w:hint="cs"/>
          <w:sz w:val="16"/>
          <w:szCs w:val="16"/>
          <w:rtl/>
        </w:rPr>
        <w:t>סי</w:t>
      </w:r>
      <w:r w:rsidRPr="000752E4">
        <w:rPr>
          <w:rFonts w:cs="Arial"/>
          <w:sz w:val="16"/>
          <w:szCs w:val="16"/>
          <w:rtl/>
        </w:rPr>
        <w:t xml:space="preserve">' </w:t>
      </w:r>
      <w:r w:rsidRPr="000752E4">
        <w:rPr>
          <w:rFonts w:cs="Arial" w:hint="cs"/>
          <w:sz w:val="16"/>
          <w:szCs w:val="16"/>
          <w:rtl/>
        </w:rPr>
        <w:t>טז</w:t>
      </w:r>
      <w:r w:rsidRPr="000752E4">
        <w:rPr>
          <w:rFonts w:cs="Arial"/>
          <w:sz w:val="16"/>
          <w:szCs w:val="16"/>
          <w:rtl/>
        </w:rPr>
        <w:t xml:space="preserve">) </w:t>
      </w:r>
      <w:r w:rsidRPr="0075388A">
        <w:rPr>
          <w:rFonts w:cs="Arial" w:hint="cs"/>
          <w:rtl/>
        </w:rPr>
        <w:t>כתב</w:t>
      </w:r>
      <w:r w:rsidRPr="0075388A">
        <w:rPr>
          <w:rFonts w:cs="Arial"/>
          <w:rtl/>
        </w:rPr>
        <w:t xml:space="preserve"> </w:t>
      </w:r>
      <w:r w:rsidRPr="0075388A">
        <w:rPr>
          <w:rFonts w:cs="Arial" w:hint="cs"/>
          <w:rtl/>
        </w:rPr>
        <w:t>אע</w:t>
      </w:r>
      <w:r>
        <w:rPr>
          <w:rFonts w:cs="Arial" w:hint="cs"/>
          <w:rtl/>
        </w:rPr>
        <w:t>"</w:t>
      </w:r>
      <w:r w:rsidRPr="0075388A">
        <w:rPr>
          <w:rFonts w:cs="Arial" w:hint="cs"/>
          <w:rtl/>
        </w:rPr>
        <w:t>ג</w:t>
      </w:r>
      <w:r w:rsidRPr="0075388A">
        <w:rPr>
          <w:rFonts w:cs="Arial"/>
          <w:rtl/>
        </w:rPr>
        <w:t xml:space="preserve"> </w:t>
      </w:r>
      <w:r w:rsidRPr="0075388A">
        <w:rPr>
          <w:rFonts w:cs="Arial" w:hint="cs"/>
          <w:rtl/>
        </w:rPr>
        <w:t>דבגמרא</w:t>
      </w:r>
      <w:r w:rsidRPr="0075388A">
        <w:rPr>
          <w:rFonts w:cs="Arial"/>
          <w:rtl/>
        </w:rPr>
        <w:t xml:space="preserve"> </w:t>
      </w:r>
      <w:r w:rsidRPr="0075388A">
        <w:rPr>
          <w:rFonts w:cs="Arial" w:hint="cs"/>
          <w:rtl/>
        </w:rPr>
        <w:t>נראה</w:t>
      </w:r>
      <w:r w:rsidRPr="0075388A">
        <w:rPr>
          <w:rFonts w:cs="Arial"/>
          <w:rtl/>
        </w:rPr>
        <w:t xml:space="preserve"> </w:t>
      </w:r>
      <w:r w:rsidRPr="0075388A">
        <w:rPr>
          <w:rFonts w:cs="Arial" w:hint="cs"/>
          <w:rtl/>
        </w:rPr>
        <w:t>דציבור</w:t>
      </w:r>
      <w:r w:rsidRPr="0075388A">
        <w:rPr>
          <w:rFonts w:cs="Arial"/>
          <w:rtl/>
        </w:rPr>
        <w:t xml:space="preserve"> </w:t>
      </w:r>
      <w:r w:rsidRPr="0075388A">
        <w:rPr>
          <w:rFonts w:cs="Arial" w:hint="cs"/>
          <w:rtl/>
        </w:rPr>
        <w:t>שקבלו</w:t>
      </w:r>
      <w:r w:rsidRPr="0075388A">
        <w:rPr>
          <w:rFonts w:cs="Arial"/>
          <w:rtl/>
        </w:rPr>
        <w:t xml:space="preserve"> </w:t>
      </w:r>
      <w:r w:rsidRPr="0075388A">
        <w:rPr>
          <w:rFonts w:cs="Arial" w:hint="cs"/>
          <w:rtl/>
        </w:rPr>
        <w:t>עליהם</w:t>
      </w:r>
      <w:r w:rsidRPr="0075388A">
        <w:rPr>
          <w:rFonts w:cs="Arial"/>
          <w:rtl/>
        </w:rPr>
        <w:t xml:space="preserve"> </w:t>
      </w:r>
      <w:r w:rsidRPr="0075388A">
        <w:rPr>
          <w:rFonts w:cs="Arial" w:hint="cs"/>
          <w:rtl/>
        </w:rPr>
        <w:t>שבת</w:t>
      </w:r>
      <w:r w:rsidRPr="0075388A">
        <w:rPr>
          <w:rFonts w:cs="Arial"/>
          <w:rtl/>
        </w:rPr>
        <w:t xml:space="preserve"> </w:t>
      </w:r>
      <w:r w:rsidRPr="0075388A">
        <w:rPr>
          <w:rFonts w:cs="Arial" w:hint="cs"/>
          <w:rtl/>
        </w:rPr>
        <w:t>בטעות</w:t>
      </w:r>
      <w:r w:rsidRPr="0075388A">
        <w:rPr>
          <w:rFonts w:cs="Arial"/>
          <w:rtl/>
        </w:rPr>
        <w:t xml:space="preserve"> </w:t>
      </w:r>
      <w:r w:rsidRPr="0075388A">
        <w:rPr>
          <w:rFonts w:cs="Arial" w:hint="cs"/>
          <w:rtl/>
        </w:rPr>
        <w:t>לא</w:t>
      </w:r>
      <w:r w:rsidRPr="0075388A">
        <w:rPr>
          <w:rFonts w:cs="Arial"/>
          <w:rtl/>
        </w:rPr>
        <w:t xml:space="preserve"> </w:t>
      </w:r>
      <w:r w:rsidRPr="0075388A">
        <w:rPr>
          <w:rFonts w:cs="Arial" w:hint="cs"/>
          <w:rtl/>
        </w:rPr>
        <w:t>הוי</w:t>
      </w:r>
      <w:r w:rsidRPr="0075388A">
        <w:rPr>
          <w:rFonts w:cs="Arial"/>
          <w:rtl/>
        </w:rPr>
        <w:t xml:space="preserve"> </w:t>
      </w:r>
      <w:r w:rsidRPr="0075388A">
        <w:rPr>
          <w:rFonts w:cs="Arial" w:hint="cs"/>
          <w:rtl/>
        </w:rPr>
        <w:t>קבלה</w:t>
      </w:r>
      <w:r>
        <w:rPr>
          <w:rFonts w:cs="Arial" w:hint="cs"/>
          <w:rtl/>
        </w:rPr>
        <w:t>,</w:t>
      </w:r>
      <w:r w:rsidRPr="0075388A">
        <w:rPr>
          <w:rFonts w:cs="Arial"/>
          <w:rtl/>
        </w:rPr>
        <w:t xml:space="preserve"> </w:t>
      </w:r>
      <w:r w:rsidRPr="0075388A">
        <w:rPr>
          <w:rFonts w:cs="Arial" w:hint="cs"/>
          <w:rtl/>
        </w:rPr>
        <w:t>מ</w:t>
      </w:r>
      <w:r>
        <w:rPr>
          <w:rFonts w:cs="Arial" w:hint="cs"/>
          <w:rtl/>
        </w:rPr>
        <w:t>"</w:t>
      </w:r>
      <w:r w:rsidRPr="0075388A">
        <w:rPr>
          <w:rFonts w:cs="Arial" w:hint="cs"/>
          <w:rtl/>
        </w:rPr>
        <w:t>מ</w:t>
      </w:r>
      <w:r w:rsidRPr="0075388A">
        <w:rPr>
          <w:rFonts w:cs="Arial"/>
          <w:rtl/>
        </w:rPr>
        <w:t xml:space="preserve"> </w:t>
      </w:r>
      <w:r w:rsidRPr="0075388A">
        <w:rPr>
          <w:rFonts w:cs="Arial" w:hint="cs"/>
          <w:rtl/>
        </w:rPr>
        <w:t>כן</w:t>
      </w:r>
      <w:r w:rsidRPr="0075388A">
        <w:rPr>
          <w:rFonts w:cs="Arial"/>
          <w:rtl/>
        </w:rPr>
        <w:t xml:space="preserve"> </w:t>
      </w:r>
      <w:r w:rsidRPr="0075388A">
        <w:rPr>
          <w:rFonts w:cs="Arial" w:hint="cs"/>
          <w:rtl/>
        </w:rPr>
        <w:t>הורו</w:t>
      </w:r>
      <w:r w:rsidRPr="0075388A">
        <w:rPr>
          <w:rFonts w:cs="Arial"/>
          <w:rtl/>
        </w:rPr>
        <w:t xml:space="preserve"> </w:t>
      </w:r>
      <w:r w:rsidRPr="0075388A">
        <w:rPr>
          <w:rFonts w:cs="Arial" w:hint="cs"/>
          <w:rtl/>
        </w:rPr>
        <w:t>הגאונים</w:t>
      </w:r>
      <w:r w:rsidRPr="0075388A">
        <w:rPr>
          <w:rFonts w:cs="Arial"/>
          <w:rtl/>
        </w:rPr>
        <w:t xml:space="preserve"> </w:t>
      </w:r>
      <w:r w:rsidRPr="0075388A">
        <w:rPr>
          <w:rFonts w:cs="Arial" w:hint="cs"/>
          <w:rtl/>
        </w:rPr>
        <w:t>ואין</w:t>
      </w:r>
      <w:r w:rsidRPr="0075388A">
        <w:rPr>
          <w:rFonts w:cs="Arial"/>
          <w:rtl/>
        </w:rPr>
        <w:t xml:space="preserve"> </w:t>
      </w:r>
      <w:r w:rsidRPr="0075388A">
        <w:rPr>
          <w:rFonts w:cs="Arial" w:hint="cs"/>
          <w:rtl/>
        </w:rPr>
        <w:t>לחלוק</w:t>
      </w:r>
      <w:r w:rsidRPr="0075388A">
        <w:rPr>
          <w:rFonts w:cs="Arial"/>
          <w:rtl/>
        </w:rPr>
        <w:t xml:space="preserve"> </w:t>
      </w:r>
      <w:r w:rsidRPr="0075388A">
        <w:rPr>
          <w:rFonts w:cs="Arial" w:hint="cs"/>
          <w:rtl/>
        </w:rPr>
        <w:t>עליהם</w:t>
      </w:r>
      <w:r>
        <w:rPr>
          <w:rFonts w:cs="Arial" w:hint="cs"/>
          <w:rtl/>
        </w:rPr>
        <w:t xml:space="preserve">, דרכ"מ </w:t>
      </w:r>
      <w:r w:rsidRPr="000752E4">
        <w:rPr>
          <w:rFonts w:cs="Arial" w:hint="cs"/>
          <w:sz w:val="16"/>
          <w:szCs w:val="16"/>
          <w:rtl/>
        </w:rPr>
        <w:t>(אות ו)</w:t>
      </w:r>
      <w:r>
        <w:rPr>
          <w:rFonts w:cs="Arial" w:hint="cs"/>
          <w:rtl/>
        </w:rPr>
        <w:t>.</w:t>
      </w:r>
    </w:p>
  </w:footnote>
  <w:footnote w:id="667">
    <w:p w14:paraId="34BB8FA0" w14:textId="77777777" w:rsidR="004B2E7C" w:rsidRDefault="004B2E7C" w:rsidP="00285819">
      <w:pPr>
        <w:pStyle w:val="a7"/>
        <w:rPr>
          <w:rtl/>
        </w:rPr>
      </w:pPr>
      <w:r>
        <w:rPr>
          <w:rStyle w:val="a9"/>
        </w:rPr>
        <w:footnoteRef/>
      </w:r>
      <w:r>
        <w:rPr>
          <w:rtl/>
        </w:rPr>
        <w:t xml:space="preserve"> </w:t>
      </w:r>
      <w:r w:rsidRPr="009F224B">
        <w:rPr>
          <w:rFonts w:cs="Arial" w:hint="cs"/>
          <w:rtl/>
        </w:rPr>
        <w:t>מעשה</w:t>
      </w:r>
      <w:r w:rsidRPr="009F224B">
        <w:rPr>
          <w:rFonts w:cs="Arial"/>
          <w:rtl/>
        </w:rPr>
        <w:t xml:space="preserve"> </w:t>
      </w:r>
      <w:r w:rsidRPr="009F224B">
        <w:rPr>
          <w:rFonts w:cs="Arial" w:hint="cs"/>
          <w:rtl/>
        </w:rPr>
        <w:t>זה</w:t>
      </w:r>
      <w:r w:rsidRPr="009F224B">
        <w:rPr>
          <w:rFonts w:cs="Arial"/>
          <w:rtl/>
        </w:rPr>
        <w:t xml:space="preserve"> </w:t>
      </w:r>
      <w:r w:rsidRPr="009F224B">
        <w:rPr>
          <w:rFonts w:cs="Arial" w:hint="cs"/>
          <w:rtl/>
        </w:rPr>
        <w:t>שכתב</w:t>
      </w:r>
      <w:r w:rsidRPr="009F224B">
        <w:rPr>
          <w:rFonts w:cs="Arial"/>
          <w:rtl/>
        </w:rPr>
        <w:t xml:space="preserve"> </w:t>
      </w:r>
      <w:r w:rsidRPr="009F224B">
        <w:rPr>
          <w:rFonts w:cs="Arial" w:hint="cs"/>
          <w:rtl/>
        </w:rPr>
        <w:t>המרדכי</w:t>
      </w:r>
      <w:r w:rsidRPr="009F224B">
        <w:rPr>
          <w:rFonts w:cs="Arial"/>
          <w:rtl/>
        </w:rPr>
        <w:t xml:space="preserve"> </w:t>
      </w:r>
      <w:r w:rsidRPr="009F224B">
        <w:rPr>
          <w:rFonts w:cs="Arial" w:hint="cs"/>
          <w:rtl/>
        </w:rPr>
        <w:t>בשם</w:t>
      </w:r>
      <w:r w:rsidRPr="009F224B">
        <w:rPr>
          <w:rFonts w:cs="Arial"/>
          <w:rtl/>
        </w:rPr>
        <w:t xml:space="preserve"> </w:t>
      </w:r>
      <w:r w:rsidRPr="009F224B">
        <w:rPr>
          <w:rFonts w:cs="Arial" w:hint="cs"/>
          <w:rtl/>
        </w:rPr>
        <w:t>הגאונים</w:t>
      </w:r>
      <w:r w:rsidRPr="009F224B">
        <w:rPr>
          <w:rFonts w:cs="Arial"/>
          <w:rtl/>
        </w:rPr>
        <w:t xml:space="preserve"> </w:t>
      </w:r>
      <w:r w:rsidRPr="009F224B">
        <w:rPr>
          <w:rFonts w:cs="Arial" w:hint="cs"/>
          <w:rtl/>
        </w:rPr>
        <w:t>כתוב</w:t>
      </w:r>
      <w:r w:rsidRPr="009F224B">
        <w:rPr>
          <w:rFonts w:cs="Arial"/>
          <w:rtl/>
        </w:rPr>
        <w:t xml:space="preserve"> </w:t>
      </w:r>
      <w:r w:rsidRPr="009F224B">
        <w:rPr>
          <w:rFonts w:cs="Arial" w:hint="cs"/>
          <w:rtl/>
        </w:rPr>
        <w:t>גם</w:t>
      </w:r>
      <w:r w:rsidRPr="009F224B">
        <w:rPr>
          <w:rFonts w:cs="Arial"/>
          <w:rtl/>
        </w:rPr>
        <w:t xml:space="preserve"> </w:t>
      </w:r>
      <w:r w:rsidRPr="009F224B">
        <w:rPr>
          <w:rFonts w:cs="Arial" w:hint="cs"/>
          <w:rtl/>
        </w:rPr>
        <w:t>בשב</w:t>
      </w:r>
      <w:r>
        <w:rPr>
          <w:rFonts w:cs="Arial" w:hint="cs"/>
          <w:rtl/>
        </w:rPr>
        <w:t>ה"ל</w:t>
      </w:r>
      <w:r w:rsidRPr="009F224B">
        <w:rPr>
          <w:rFonts w:cs="Arial"/>
          <w:rtl/>
        </w:rPr>
        <w:t xml:space="preserve"> (</w:t>
      </w:r>
      <w:r w:rsidRPr="009F224B">
        <w:rPr>
          <w:rFonts w:cs="Arial" w:hint="cs"/>
          <w:rtl/>
        </w:rPr>
        <w:t>סו</w:t>
      </w:r>
      <w:r w:rsidRPr="009F224B">
        <w:rPr>
          <w:rFonts w:cs="Arial"/>
          <w:rtl/>
        </w:rPr>
        <w:t>"</w:t>
      </w:r>
      <w:r w:rsidRPr="009F224B">
        <w:rPr>
          <w:rFonts w:cs="Arial" w:hint="cs"/>
          <w:rtl/>
        </w:rPr>
        <w:t>ס</w:t>
      </w:r>
      <w:r w:rsidRPr="009F224B">
        <w:rPr>
          <w:rFonts w:cs="Arial"/>
          <w:rtl/>
        </w:rPr>
        <w:t xml:space="preserve"> </w:t>
      </w:r>
      <w:r w:rsidRPr="009F224B">
        <w:rPr>
          <w:rFonts w:cs="Arial" w:hint="cs"/>
          <w:rtl/>
        </w:rPr>
        <w:t>נט</w:t>
      </w:r>
      <w:r w:rsidRPr="009F224B">
        <w:rPr>
          <w:rFonts w:cs="Arial"/>
          <w:rtl/>
        </w:rPr>
        <w:t>)</w:t>
      </w:r>
      <w:r>
        <w:rPr>
          <w:rFonts w:cs="Arial" w:hint="cs"/>
          <w:rtl/>
        </w:rPr>
        <w:t>,</w:t>
      </w:r>
      <w:r w:rsidRPr="009F224B">
        <w:rPr>
          <w:rFonts w:cs="Arial"/>
          <w:rtl/>
        </w:rPr>
        <w:t xml:space="preserve"> </w:t>
      </w:r>
      <w:r w:rsidRPr="009F224B">
        <w:rPr>
          <w:rFonts w:cs="Arial" w:hint="cs"/>
          <w:rtl/>
        </w:rPr>
        <w:t>ועל</w:t>
      </w:r>
      <w:r w:rsidRPr="009F224B">
        <w:rPr>
          <w:rFonts w:cs="Arial"/>
          <w:rtl/>
        </w:rPr>
        <w:t xml:space="preserve"> </w:t>
      </w:r>
      <w:r w:rsidRPr="009F224B">
        <w:rPr>
          <w:rFonts w:cs="Arial" w:hint="cs"/>
          <w:rtl/>
        </w:rPr>
        <w:t>מה</w:t>
      </w:r>
      <w:r w:rsidRPr="009F224B">
        <w:rPr>
          <w:rFonts w:cs="Arial"/>
          <w:rtl/>
        </w:rPr>
        <w:t xml:space="preserve"> </w:t>
      </w:r>
      <w:r w:rsidRPr="009F224B">
        <w:rPr>
          <w:rFonts w:cs="Arial" w:hint="cs"/>
          <w:rtl/>
        </w:rPr>
        <w:t>שכתב</w:t>
      </w:r>
      <w:r w:rsidRPr="009F224B">
        <w:rPr>
          <w:rFonts w:cs="Arial"/>
          <w:rtl/>
        </w:rPr>
        <w:t xml:space="preserve"> </w:t>
      </w:r>
      <w:r w:rsidRPr="009F224B">
        <w:rPr>
          <w:rFonts w:cs="Arial" w:hint="cs"/>
          <w:rtl/>
        </w:rPr>
        <w:t>ושאר</w:t>
      </w:r>
      <w:r w:rsidRPr="009F224B">
        <w:rPr>
          <w:rFonts w:cs="Arial"/>
          <w:rtl/>
        </w:rPr>
        <w:t xml:space="preserve"> </w:t>
      </w:r>
      <w:r w:rsidRPr="009F224B">
        <w:rPr>
          <w:rFonts w:cs="Arial" w:hint="cs"/>
          <w:rtl/>
        </w:rPr>
        <w:t>אנשי</w:t>
      </w:r>
      <w:r w:rsidRPr="009F224B">
        <w:rPr>
          <w:rFonts w:cs="Arial"/>
          <w:rtl/>
        </w:rPr>
        <w:t xml:space="preserve"> </w:t>
      </w:r>
      <w:r w:rsidRPr="009F224B">
        <w:rPr>
          <w:rFonts w:cs="Arial" w:hint="cs"/>
          <w:rtl/>
        </w:rPr>
        <w:t>הבית</w:t>
      </w:r>
      <w:r w:rsidRPr="009F224B">
        <w:rPr>
          <w:rFonts w:cs="Arial"/>
          <w:rtl/>
        </w:rPr>
        <w:t xml:space="preserve"> </w:t>
      </w:r>
      <w:r w:rsidRPr="009F224B">
        <w:rPr>
          <w:rFonts w:cs="Arial" w:hint="cs"/>
          <w:rtl/>
        </w:rPr>
        <w:t>מותרין</w:t>
      </w:r>
      <w:r w:rsidRPr="009F224B">
        <w:rPr>
          <w:rFonts w:cs="Arial"/>
          <w:rtl/>
        </w:rPr>
        <w:t xml:space="preserve"> </w:t>
      </w:r>
      <w:r w:rsidRPr="009F224B">
        <w:rPr>
          <w:rFonts w:cs="Arial" w:hint="cs"/>
          <w:rtl/>
        </w:rPr>
        <w:t>כתב</w:t>
      </w:r>
      <w:r w:rsidRPr="009F224B">
        <w:rPr>
          <w:rFonts w:cs="Arial"/>
          <w:rtl/>
        </w:rPr>
        <w:t xml:space="preserve"> </w:t>
      </w:r>
      <w:r w:rsidRPr="009F224B">
        <w:rPr>
          <w:rFonts w:cs="Arial" w:hint="cs"/>
          <w:rtl/>
        </w:rPr>
        <w:t>אבל</w:t>
      </w:r>
      <w:r>
        <w:rPr>
          <w:rFonts w:cs="Arial" w:hint="cs"/>
          <w:rtl/>
        </w:rPr>
        <w:t>-...</w:t>
      </w:r>
    </w:p>
  </w:footnote>
  <w:footnote w:id="668">
    <w:p w14:paraId="1A81CC5D" w14:textId="77777777" w:rsidR="004B2E7C" w:rsidRDefault="004B2E7C" w:rsidP="00285819">
      <w:pPr>
        <w:pStyle w:val="a7"/>
      </w:pPr>
      <w:r>
        <w:rPr>
          <w:rStyle w:val="a9"/>
        </w:rPr>
        <w:footnoteRef/>
      </w:r>
      <w:r>
        <w:rPr>
          <w:rtl/>
        </w:rPr>
        <w:t xml:space="preserve"> </w:t>
      </w:r>
      <w:r w:rsidRPr="009F224B">
        <w:rPr>
          <w:rFonts w:cs="Arial" w:hint="cs"/>
          <w:rtl/>
        </w:rPr>
        <w:t>ואיני</w:t>
      </w:r>
      <w:r w:rsidRPr="009F224B">
        <w:rPr>
          <w:rFonts w:cs="Arial"/>
          <w:rtl/>
        </w:rPr>
        <w:t xml:space="preserve"> </w:t>
      </w:r>
      <w:r w:rsidRPr="009F224B">
        <w:rPr>
          <w:rFonts w:cs="Arial" w:hint="cs"/>
          <w:rtl/>
        </w:rPr>
        <w:t>יודע</w:t>
      </w:r>
      <w:r w:rsidRPr="009F224B">
        <w:rPr>
          <w:rFonts w:cs="Arial"/>
          <w:rtl/>
        </w:rPr>
        <w:t xml:space="preserve"> </w:t>
      </w:r>
      <w:r w:rsidRPr="009F224B">
        <w:rPr>
          <w:rFonts w:cs="Arial" w:hint="cs"/>
          <w:rtl/>
        </w:rPr>
        <w:t>טעם</w:t>
      </w:r>
      <w:r w:rsidRPr="009F224B">
        <w:rPr>
          <w:rFonts w:cs="Arial"/>
          <w:rtl/>
        </w:rPr>
        <w:t xml:space="preserve"> </w:t>
      </w:r>
      <w:r w:rsidRPr="009F224B">
        <w:rPr>
          <w:rFonts w:cs="Arial" w:hint="cs"/>
          <w:rtl/>
        </w:rPr>
        <w:t>למה</w:t>
      </w:r>
      <w:r w:rsidRPr="009F224B">
        <w:rPr>
          <w:rFonts w:cs="Arial"/>
          <w:rtl/>
        </w:rPr>
        <w:t xml:space="preserve"> </w:t>
      </w:r>
      <w:r w:rsidRPr="009F224B">
        <w:rPr>
          <w:rFonts w:cs="Arial" w:hint="cs"/>
          <w:rtl/>
        </w:rPr>
        <w:t>המותרין</w:t>
      </w:r>
      <w:r w:rsidRPr="009F224B">
        <w:rPr>
          <w:rFonts w:cs="Arial"/>
          <w:rtl/>
        </w:rPr>
        <w:t xml:space="preserve"> </w:t>
      </w:r>
      <w:r w:rsidRPr="009F224B">
        <w:rPr>
          <w:rFonts w:cs="Arial" w:hint="cs"/>
          <w:rtl/>
        </w:rPr>
        <w:t>במלאכה</w:t>
      </w:r>
      <w:r w:rsidRPr="009F224B">
        <w:rPr>
          <w:rFonts w:cs="Arial"/>
          <w:rtl/>
        </w:rPr>
        <w:t xml:space="preserve"> </w:t>
      </w:r>
      <w:r w:rsidRPr="009F224B">
        <w:rPr>
          <w:rFonts w:cs="Arial" w:hint="cs"/>
          <w:rtl/>
        </w:rPr>
        <w:t>לא</w:t>
      </w:r>
      <w:r w:rsidRPr="009F224B">
        <w:rPr>
          <w:rFonts w:cs="Arial"/>
          <w:rtl/>
        </w:rPr>
        <w:t xml:space="preserve"> </w:t>
      </w:r>
      <w:r w:rsidRPr="009F224B">
        <w:rPr>
          <w:rFonts w:cs="Arial" w:hint="cs"/>
          <w:rtl/>
        </w:rPr>
        <w:t>יהיו</w:t>
      </w:r>
      <w:r w:rsidRPr="009F224B">
        <w:rPr>
          <w:rFonts w:cs="Arial"/>
          <w:rtl/>
        </w:rPr>
        <w:t xml:space="preserve"> </w:t>
      </w:r>
      <w:r w:rsidRPr="009F224B">
        <w:rPr>
          <w:rFonts w:cs="Arial" w:hint="cs"/>
          <w:rtl/>
        </w:rPr>
        <w:t>מותרין</w:t>
      </w:r>
      <w:r w:rsidRPr="009F224B">
        <w:rPr>
          <w:rFonts w:cs="Arial"/>
          <w:rtl/>
        </w:rPr>
        <w:t xml:space="preserve"> </w:t>
      </w:r>
      <w:r w:rsidRPr="009F224B">
        <w:rPr>
          <w:rFonts w:cs="Arial" w:hint="cs"/>
          <w:rtl/>
        </w:rPr>
        <w:t>ליגע</w:t>
      </w:r>
      <w:r w:rsidRPr="009F224B">
        <w:rPr>
          <w:rFonts w:cs="Arial"/>
          <w:rtl/>
        </w:rPr>
        <w:t xml:space="preserve"> </w:t>
      </w:r>
      <w:r w:rsidRPr="009F224B">
        <w:rPr>
          <w:rFonts w:cs="Arial" w:hint="cs"/>
          <w:rtl/>
        </w:rPr>
        <w:t>בנר</w:t>
      </w:r>
      <w:r w:rsidRPr="009F224B">
        <w:rPr>
          <w:rFonts w:cs="Arial"/>
          <w:rtl/>
        </w:rPr>
        <w:t xml:space="preserve"> </w:t>
      </w:r>
      <w:r w:rsidRPr="009F224B">
        <w:rPr>
          <w:rFonts w:cs="Arial" w:hint="cs"/>
          <w:rtl/>
        </w:rPr>
        <w:t>שהודלק</w:t>
      </w:r>
      <w:r w:rsidRPr="009F224B">
        <w:rPr>
          <w:rFonts w:cs="Arial"/>
          <w:rtl/>
        </w:rPr>
        <w:t xml:space="preserve"> </w:t>
      </w:r>
      <w:r w:rsidRPr="009F224B">
        <w:rPr>
          <w:rFonts w:cs="Arial" w:hint="cs"/>
          <w:rtl/>
        </w:rPr>
        <w:t>לשם</w:t>
      </w:r>
      <w:r w:rsidRPr="009F224B">
        <w:rPr>
          <w:rFonts w:cs="Arial"/>
          <w:rtl/>
        </w:rPr>
        <w:t xml:space="preserve"> </w:t>
      </w:r>
      <w:r w:rsidRPr="009F224B">
        <w:rPr>
          <w:rFonts w:cs="Arial" w:hint="cs"/>
          <w:rtl/>
        </w:rPr>
        <w:t>שבת</w:t>
      </w:r>
      <w:r>
        <w:rPr>
          <w:rFonts w:cs="Arial" w:hint="cs"/>
          <w:rtl/>
        </w:rPr>
        <w:t>, ב"י</w:t>
      </w:r>
      <w:r w:rsidRPr="009F224B">
        <w:rPr>
          <w:rFonts w:cs="Arial"/>
          <w:rtl/>
        </w:rPr>
        <w:t>.</w:t>
      </w:r>
      <w:r w:rsidRPr="0075388A">
        <w:rPr>
          <w:rFonts w:cs="Arial"/>
          <w:rtl/>
        </w:rPr>
        <w:t xml:space="preserve"> </w:t>
      </w:r>
      <w:r>
        <w:rPr>
          <w:rFonts w:cs="Arial" w:hint="cs"/>
          <w:rtl/>
        </w:rPr>
        <w:t xml:space="preserve">אך הדרכ"מ </w:t>
      </w:r>
      <w:r w:rsidRPr="0075388A">
        <w:rPr>
          <w:rFonts w:cs="Arial"/>
          <w:rtl/>
        </w:rPr>
        <w:t>(</w:t>
      </w:r>
      <w:r>
        <w:rPr>
          <w:rFonts w:cs="Arial" w:hint="cs"/>
          <w:rtl/>
        </w:rPr>
        <w:t xml:space="preserve">אות </w:t>
      </w:r>
      <w:r w:rsidRPr="0075388A">
        <w:rPr>
          <w:rFonts w:cs="Arial" w:hint="cs"/>
          <w:rtl/>
        </w:rPr>
        <w:t>ז</w:t>
      </w:r>
      <w:r w:rsidRPr="0075388A">
        <w:rPr>
          <w:rFonts w:cs="Arial"/>
          <w:rtl/>
        </w:rPr>
        <w:t>)</w:t>
      </w:r>
      <w:r>
        <w:rPr>
          <w:rFonts w:cs="Arial" w:hint="cs"/>
          <w:rtl/>
        </w:rPr>
        <w:t xml:space="preserve"> כתב-</w:t>
      </w:r>
      <w:r w:rsidRPr="0075388A">
        <w:rPr>
          <w:rFonts w:cs="Arial"/>
          <w:rtl/>
        </w:rPr>
        <w:t xml:space="preserve"> </w:t>
      </w:r>
      <w:r w:rsidRPr="0075388A">
        <w:rPr>
          <w:rFonts w:cs="Arial" w:hint="cs"/>
          <w:rtl/>
        </w:rPr>
        <w:t>והיה</w:t>
      </w:r>
      <w:r w:rsidRPr="0075388A">
        <w:rPr>
          <w:rFonts w:cs="Arial"/>
          <w:rtl/>
        </w:rPr>
        <w:t xml:space="preserve"> </w:t>
      </w:r>
      <w:r w:rsidRPr="0075388A">
        <w:rPr>
          <w:rFonts w:cs="Arial" w:hint="cs"/>
          <w:rtl/>
        </w:rPr>
        <w:t>נראה</w:t>
      </w:r>
      <w:r w:rsidRPr="0075388A">
        <w:rPr>
          <w:rFonts w:cs="Arial"/>
          <w:rtl/>
        </w:rPr>
        <w:t xml:space="preserve"> </w:t>
      </w:r>
      <w:r w:rsidRPr="0075388A">
        <w:rPr>
          <w:rFonts w:cs="Arial" w:hint="cs"/>
          <w:rtl/>
        </w:rPr>
        <w:t>לומר</w:t>
      </w:r>
      <w:r w:rsidRPr="0075388A">
        <w:rPr>
          <w:rFonts w:cs="Arial"/>
          <w:rtl/>
        </w:rPr>
        <w:t xml:space="preserve"> </w:t>
      </w:r>
      <w:r w:rsidRPr="0075388A">
        <w:rPr>
          <w:rFonts w:cs="Arial" w:hint="cs"/>
          <w:rtl/>
        </w:rPr>
        <w:t>אליבא</w:t>
      </w:r>
      <w:r w:rsidRPr="0075388A">
        <w:rPr>
          <w:rFonts w:cs="Arial"/>
          <w:rtl/>
        </w:rPr>
        <w:t xml:space="preserve"> </w:t>
      </w:r>
      <w:r w:rsidRPr="0075388A">
        <w:rPr>
          <w:rFonts w:cs="Arial" w:hint="cs"/>
          <w:rtl/>
        </w:rPr>
        <w:t>דמרדכי</w:t>
      </w:r>
      <w:r w:rsidRPr="0075388A">
        <w:rPr>
          <w:rFonts w:cs="Arial"/>
          <w:rtl/>
        </w:rPr>
        <w:t xml:space="preserve"> </w:t>
      </w:r>
      <w:r w:rsidRPr="0075388A">
        <w:rPr>
          <w:rFonts w:cs="Arial" w:hint="cs"/>
          <w:rtl/>
        </w:rPr>
        <w:t>ושבלי</w:t>
      </w:r>
      <w:r w:rsidRPr="0075388A">
        <w:rPr>
          <w:rFonts w:cs="Arial"/>
          <w:rtl/>
        </w:rPr>
        <w:t xml:space="preserve"> </w:t>
      </w:r>
      <w:r w:rsidRPr="0075388A">
        <w:rPr>
          <w:rFonts w:cs="Arial" w:hint="cs"/>
          <w:rtl/>
        </w:rPr>
        <w:t>הלקט</w:t>
      </w:r>
      <w:r w:rsidRPr="0075388A">
        <w:rPr>
          <w:rFonts w:cs="Arial"/>
          <w:rtl/>
        </w:rPr>
        <w:t xml:space="preserve"> </w:t>
      </w:r>
      <w:r w:rsidRPr="0075388A">
        <w:rPr>
          <w:rFonts w:cs="Arial" w:hint="cs"/>
          <w:rtl/>
        </w:rPr>
        <w:t>דסבירא</w:t>
      </w:r>
      <w:r w:rsidRPr="0075388A">
        <w:rPr>
          <w:rFonts w:cs="Arial"/>
          <w:rtl/>
        </w:rPr>
        <w:t xml:space="preserve"> </w:t>
      </w:r>
      <w:r w:rsidRPr="0075388A">
        <w:rPr>
          <w:rFonts w:cs="Arial" w:hint="cs"/>
          <w:rtl/>
        </w:rPr>
        <w:t>להו</w:t>
      </w:r>
      <w:r w:rsidRPr="0075388A">
        <w:rPr>
          <w:rFonts w:cs="Arial"/>
          <w:rtl/>
        </w:rPr>
        <w:t xml:space="preserve"> </w:t>
      </w:r>
      <w:r w:rsidRPr="0075388A">
        <w:rPr>
          <w:rFonts w:cs="Arial" w:hint="cs"/>
          <w:rtl/>
        </w:rPr>
        <w:t>לגאונים</w:t>
      </w:r>
      <w:r w:rsidRPr="0075388A">
        <w:rPr>
          <w:rFonts w:cs="Arial"/>
          <w:rtl/>
        </w:rPr>
        <w:t xml:space="preserve"> </w:t>
      </w:r>
      <w:r w:rsidRPr="0075388A">
        <w:rPr>
          <w:rFonts w:cs="Arial" w:hint="cs"/>
          <w:rtl/>
        </w:rPr>
        <w:t>דעדיפא</w:t>
      </w:r>
      <w:r w:rsidRPr="0075388A">
        <w:rPr>
          <w:rFonts w:cs="Arial"/>
          <w:rtl/>
        </w:rPr>
        <w:t xml:space="preserve"> </w:t>
      </w:r>
      <w:r w:rsidRPr="0075388A">
        <w:rPr>
          <w:rFonts w:cs="Arial" w:hint="cs"/>
          <w:rtl/>
        </w:rPr>
        <w:t>קבלת</w:t>
      </w:r>
      <w:r w:rsidRPr="0075388A">
        <w:rPr>
          <w:rFonts w:cs="Arial"/>
          <w:rtl/>
        </w:rPr>
        <w:t xml:space="preserve"> </w:t>
      </w:r>
      <w:r w:rsidRPr="0075388A">
        <w:rPr>
          <w:rFonts w:cs="Arial" w:hint="cs"/>
          <w:rtl/>
        </w:rPr>
        <w:t>שבת</w:t>
      </w:r>
      <w:r w:rsidRPr="0075388A">
        <w:rPr>
          <w:rFonts w:cs="Arial"/>
          <w:rtl/>
        </w:rPr>
        <w:t xml:space="preserve"> </w:t>
      </w:r>
      <w:r w:rsidRPr="0075388A">
        <w:rPr>
          <w:rFonts w:cs="Arial" w:hint="cs"/>
          <w:rtl/>
        </w:rPr>
        <w:t>על</w:t>
      </w:r>
      <w:r w:rsidRPr="0075388A">
        <w:rPr>
          <w:rFonts w:cs="Arial"/>
          <w:rtl/>
        </w:rPr>
        <w:t xml:space="preserve"> </w:t>
      </w:r>
      <w:r w:rsidRPr="0075388A">
        <w:rPr>
          <w:rFonts w:cs="Arial" w:hint="cs"/>
          <w:rtl/>
        </w:rPr>
        <w:t>ידי</w:t>
      </w:r>
      <w:r w:rsidRPr="0075388A">
        <w:rPr>
          <w:rFonts w:cs="Arial"/>
          <w:rtl/>
        </w:rPr>
        <w:t xml:space="preserve"> </w:t>
      </w:r>
      <w:r w:rsidRPr="0075388A">
        <w:rPr>
          <w:rFonts w:cs="Arial" w:hint="cs"/>
          <w:rtl/>
        </w:rPr>
        <w:t>הדלקה</w:t>
      </w:r>
      <w:r w:rsidRPr="0075388A">
        <w:rPr>
          <w:rFonts w:cs="Arial"/>
          <w:rtl/>
        </w:rPr>
        <w:t xml:space="preserve"> </w:t>
      </w:r>
      <w:r w:rsidRPr="0075388A">
        <w:rPr>
          <w:rFonts w:cs="Arial" w:hint="cs"/>
          <w:rtl/>
        </w:rPr>
        <w:t>מעל</w:t>
      </w:r>
      <w:r w:rsidRPr="0075388A">
        <w:rPr>
          <w:rFonts w:cs="Arial"/>
          <w:rtl/>
        </w:rPr>
        <w:t xml:space="preserve"> </w:t>
      </w:r>
      <w:r w:rsidRPr="0075388A">
        <w:rPr>
          <w:rFonts w:cs="Arial" w:hint="cs"/>
          <w:rtl/>
        </w:rPr>
        <w:t>ידי</w:t>
      </w:r>
      <w:r w:rsidRPr="0075388A">
        <w:rPr>
          <w:rFonts w:cs="Arial"/>
          <w:rtl/>
        </w:rPr>
        <w:t xml:space="preserve"> </w:t>
      </w:r>
      <w:r w:rsidRPr="0075388A">
        <w:rPr>
          <w:rFonts w:cs="Arial" w:hint="cs"/>
          <w:rtl/>
        </w:rPr>
        <w:t>תפלה</w:t>
      </w:r>
      <w:r w:rsidRPr="0075388A">
        <w:rPr>
          <w:rFonts w:cs="Arial"/>
          <w:rtl/>
        </w:rPr>
        <w:t xml:space="preserve"> </w:t>
      </w:r>
      <w:r w:rsidRPr="0075388A">
        <w:rPr>
          <w:rFonts w:cs="Arial" w:hint="cs"/>
          <w:rtl/>
        </w:rPr>
        <w:t>דאמרינן</w:t>
      </w:r>
      <w:r w:rsidRPr="0075388A">
        <w:rPr>
          <w:rFonts w:cs="Arial"/>
          <w:rtl/>
        </w:rPr>
        <w:t xml:space="preserve"> </w:t>
      </w:r>
      <w:r w:rsidRPr="0075388A">
        <w:rPr>
          <w:rFonts w:cs="Arial" w:hint="cs"/>
          <w:rtl/>
        </w:rPr>
        <w:t>אם</w:t>
      </w:r>
      <w:r w:rsidRPr="0075388A">
        <w:rPr>
          <w:rFonts w:cs="Arial"/>
          <w:rtl/>
        </w:rPr>
        <w:t xml:space="preserve"> </w:t>
      </w:r>
      <w:r w:rsidRPr="0075388A">
        <w:rPr>
          <w:rFonts w:cs="Arial" w:hint="cs"/>
          <w:rtl/>
        </w:rPr>
        <w:t>קבלו</w:t>
      </w:r>
      <w:r w:rsidRPr="0075388A">
        <w:rPr>
          <w:rFonts w:cs="Arial"/>
          <w:rtl/>
        </w:rPr>
        <w:t xml:space="preserve"> </w:t>
      </w:r>
      <w:r w:rsidRPr="0075388A">
        <w:rPr>
          <w:rFonts w:cs="Arial" w:hint="cs"/>
          <w:rtl/>
        </w:rPr>
        <w:t>הציבור</w:t>
      </w:r>
      <w:r w:rsidRPr="0075388A">
        <w:rPr>
          <w:rFonts w:cs="Arial"/>
          <w:rtl/>
        </w:rPr>
        <w:t xml:space="preserve"> </w:t>
      </w:r>
      <w:r w:rsidRPr="0075388A">
        <w:rPr>
          <w:rFonts w:cs="Arial" w:hint="cs"/>
          <w:rtl/>
        </w:rPr>
        <w:t>בטעות</w:t>
      </w:r>
      <w:r w:rsidRPr="0075388A">
        <w:rPr>
          <w:rFonts w:cs="Arial"/>
          <w:rtl/>
        </w:rPr>
        <w:t xml:space="preserve"> </w:t>
      </w:r>
      <w:r w:rsidRPr="0075388A">
        <w:rPr>
          <w:rFonts w:cs="Arial" w:hint="cs"/>
          <w:rtl/>
        </w:rPr>
        <w:t>לא</w:t>
      </w:r>
      <w:r w:rsidRPr="0075388A">
        <w:rPr>
          <w:rFonts w:cs="Arial"/>
          <w:rtl/>
        </w:rPr>
        <w:t xml:space="preserve"> </w:t>
      </w:r>
      <w:r w:rsidRPr="0075388A">
        <w:rPr>
          <w:rFonts w:cs="Arial" w:hint="cs"/>
          <w:rtl/>
        </w:rPr>
        <w:t>הוי</w:t>
      </w:r>
      <w:r w:rsidRPr="0075388A">
        <w:rPr>
          <w:rFonts w:cs="Arial"/>
          <w:rtl/>
        </w:rPr>
        <w:t xml:space="preserve"> </w:t>
      </w:r>
      <w:r w:rsidRPr="0075388A">
        <w:rPr>
          <w:rFonts w:cs="Arial" w:hint="cs"/>
          <w:rtl/>
        </w:rPr>
        <w:t>קבלה</w:t>
      </w:r>
      <w:r>
        <w:rPr>
          <w:rFonts w:cs="Arial" w:hint="cs"/>
          <w:rtl/>
        </w:rPr>
        <w:t>. עכ"ל. צ"ע, לא הבנתי את תשובתו.</w:t>
      </w:r>
    </w:p>
  </w:footnote>
  <w:footnote w:id="669">
    <w:p w14:paraId="0089BA18" w14:textId="77777777" w:rsidR="004B2E7C" w:rsidRDefault="004B2E7C" w:rsidP="00285819">
      <w:pPr>
        <w:pStyle w:val="a7"/>
      </w:pPr>
      <w:r>
        <w:rPr>
          <w:rStyle w:val="a9"/>
        </w:rPr>
        <w:footnoteRef/>
      </w:r>
      <w:r>
        <w:rPr>
          <w:rtl/>
        </w:rPr>
        <w:t xml:space="preserve"> </w:t>
      </w:r>
      <w:r w:rsidRPr="00D85579">
        <w:rPr>
          <w:rFonts w:cs="Arial"/>
          <w:rtl/>
        </w:rPr>
        <w:t>כיון שבטעות התפלל שסבר שכבר חשכה וה"ה בחול נמי דינא הכי כיון שהוא נוהג תמיד להתפלל מעריב בזמנו כרבנן והיום בטעות התפלל</w:t>
      </w:r>
      <w:r>
        <w:rPr>
          <w:rFonts w:cs="Arial" w:hint="cs"/>
          <w:rtl/>
        </w:rPr>
        <w:t>, משנ"ב (סקנ"ה).</w:t>
      </w:r>
    </w:p>
  </w:footnote>
  <w:footnote w:id="670">
    <w:p w14:paraId="3EB4E7F0" w14:textId="77777777" w:rsidR="004B2E7C" w:rsidRDefault="004B2E7C" w:rsidP="00285819">
      <w:pPr>
        <w:pStyle w:val="a7"/>
        <w:rPr>
          <w:rtl/>
        </w:rPr>
      </w:pPr>
      <w:r>
        <w:rPr>
          <w:rStyle w:val="a9"/>
        </w:rPr>
        <w:footnoteRef/>
      </w:r>
      <w:r>
        <w:rPr>
          <w:rtl/>
        </w:rPr>
        <w:t xml:space="preserve"> </w:t>
      </w:r>
      <w:r w:rsidRPr="00D85579">
        <w:rPr>
          <w:rFonts w:cs="Arial"/>
          <w:rtl/>
        </w:rPr>
        <w:t>אף אם לא התפללו אבל בלא הדלקה אף שהתפללו תפלת שבת כיון שבטעות היתה לא שמה קבלה וטעם הי"א דסבירא להו דקבלה שהיא ע"י הדלקה עדיפא דאית בה מעשה ועיין באחרונים שהביאו בשם כמה מגדולי הפוסקים דס"ל דקבלת צבור בטעות אפילו רק ע"י תפלה שמה קבלה רק שבזה אין המיעוט נמשכין אחר הרוב כיון שבטעות היתה הקבלה ואין להקל נגד אלו הפוסקים. ובמקום הדחק יש לסמוך על דעה קמייתא שבשו"ע</w:t>
      </w:r>
      <w:r>
        <w:rPr>
          <w:rFonts w:hint="cs"/>
          <w:rtl/>
        </w:rPr>
        <w:t>, משנ"ב (סקנ"ו).</w:t>
      </w:r>
    </w:p>
  </w:footnote>
  <w:footnote w:id="671">
    <w:p w14:paraId="3D32A506" w14:textId="77777777" w:rsidR="004B2E7C" w:rsidRDefault="004B2E7C" w:rsidP="00285819">
      <w:pPr>
        <w:pStyle w:val="a7"/>
      </w:pPr>
      <w:r>
        <w:rPr>
          <w:rStyle w:val="a9"/>
        </w:rPr>
        <w:footnoteRef/>
      </w:r>
      <w:r>
        <w:rPr>
          <w:rtl/>
        </w:rPr>
        <w:t xml:space="preserve"> </w:t>
      </w:r>
      <w:r w:rsidRPr="005A1FDD">
        <w:rPr>
          <w:rFonts w:cs="Arial"/>
          <w:rtl/>
        </w:rPr>
        <w:t>היינו אפילו אחר שלא הדליק עדיין ולא קבל שבת כ"כ הא"ז וכתב המ"א הטעם דאזיל לשיטתיה דקבלת צבור בטעות שמה קבלה וא"כ הוקצה הנר למצותו וכיון שהוקצה לבעלים הוקצה לכל וגם אסור ליגע בו דחיישינן שמא ישתמש בו. ולצורך מצוה יש להקל [דה"ח]. כתב הפמ"ג מי שהדליק נר שבת בעוד היום גדול והתנה שלא לקבל שבת אפ"ה הוקצה הנר למצותה ואסור להשתמש בו תשמיש חול ואפילו אחרים אסורים דמוקצה לבעלים אסור לכל</w:t>
      </w:r>
      <w:r>
        <w:rPr>
          <w:rFonts w:cs="Arial" w:hint="cs"/>
          <w:rtl/>
        </w:rPr>
        <w:t>, משנ"ב (סקנ"ז).</w:t>
      </w:r>
    </w:p>
  </w:footnote>
  <w:footnote w:id="672">
    <w:p w14:paraId="5AF1BD61" w14:textId="77777777" w:rsidR="004B2E7C" w:rsidRDefault="004B2E7C" w:rsidP="00285819">
      <w:pPr>
        <w:pStyle w:val="a7"/>
      </w:pPr>
      <w:r>
        <w:rPr>
          <w:rStyle w:val="a9"/>
        </w:rPr>
        <w:footnoteRef/>
      </w:r>
      <w:r>
        <w:rPr>
          <w:rtl/>
        </w:rPr>
        <w:t xml:space="preserve"> </w:t>
      </w:r>
      <w:r w:rsidRPr="00D1049E">
        <w:rPr>
          <w:rFonts w:cs="Arial"/>
          <w:rtl/>
        </w:rPr>
        <w:t>כלומר אף על פי שאינו יכול לילך שם, דכיון שהוא מותר לישראל חבירו לשמרן אין באמירתו כלום</w:t>
      </w:r>
      <w:r>
        <w:rPr>
          <w:rFonts w:cs="Arial" w:hint="cs"/>
          <w:rtl/>
        </w:rPr>
        <w:t>, רשב"א (בחידו' שם).</w:t>
      </w:r>
    </w:p>
  </w:footnote>
  <w:footnote w:id="673">
    <w:p w14:paraId="06FB2927" w14:textId="77777777" w:rsidR="004B2E7C" w:rsidRPr="00262838" w:rsidRDefault="004B2E7C" w:rsidP="00285819">
      <w:pPr>
        <w:pStyle w:val="a7"/>
        <w:rPr>
          <w:rFonts w:cs="Arial"/>
          <w:rtl/>
        </w:rPr>
      </w:pPr>
      <w:r>
        <w:rPr>
          <w:rStyle w:val="a9"/>
        </w:rPr>
        <w:footnoteRef/>
      </w:r>
      <w:r>
        <w:rPr>
          <w:rtl/>
        </w:rPr>
        <w:t xml:space="preserve"> </w:t>
      </w:r>
      <w:r>
        <w:rPr>
          <w:rFonts w:cs="Arial" w:hint="cs"/>
          <w:rtl/>
        </w:rPr>
        <w:t>והביא הר"ן</w:t>
      </w:r>
      <w:r w:rsidRPr="0075388A">
        <w:rPr>
          <w:rFonts w:cs="Arial"/>
          <w:rtl/>
        </w:rPr>
        <w:t xml:space="preserve"> </w:t>
      </w:r>
      <w:r>
        <w:rPr>
          <w:rFonts w:cs="Arial" w:hint="cs"/>
          <w:rtl/>
        </w:rPr>
        <w:t>(</w:t>
      </w:r>
      <w:r w:rsidRPr="0075388A">
        <w:rPr>
          <w:rFonts w:cs="Arial" w:hint="cs"/>
          <w:rtl/>
        </w:rPr>
        <w:t>פרק</w:t>
      </w:r>
      <w:r w:rsidRPr="0075388A">
        <w:rPr>
          <w:rFonts w:cs="Arial"/>
          <w:rtl/>
        </w:rPr>
        <w:t xml:space="preserve"> </w:t>
      </w:r>
      <w:r w:rsidRPr="0075388A">
        <w:rPr>
          <w:rFonts w:cs="Arial" w:hint="cs"/>
          <w:rtl/>
        </w:rPr>
        <w:t>שואל</w:t>
      </w:r>
      <w:r w:rsidRPr="0075388A">
        <w:rPr>
          <w:rFonts w:cs="Arial"/>
          <w:rtl/>
        </w:rPr>
        <w:t xml:space="preserve"> </w:t>
      </w:r>
      <w:r w:rsidRPr="0075388A">
        <w:rPr>
          <w:rFonts w:cs="Arial" w:hint="cs"/>
          <w:rtl/>
        </w:rPr>
        <w:t>סד</w:t>
      </w:r>
      <w:r w:rsidRPr="0075388A">
        <w:rPr>
          <w:rFonts w:cs="Arial"/>
          <w:rtl/>
        </w:rPr>
        <w:t xml:space="preserve">: </w:t>
      </w:r>
      <w:r w:rsidRPr="0075388A">
        <w:rPr>
          <w:rFonts w:cs="Arial" w:hint="cs"/>
          <w:rtl/>
        </w:rPr>
        <w:t>ד</w:t>
      </w:r>
      <w:r w:rsidRPr="0075388A">
        <w:rPr>
          <w:rFonts w:cs="Arial"/>
          <w:rtl/>
        </w:rPr>
        <w:t>"</w:t>
      </w:r>
      <w:r w:rsidRPr="0075388A">
        <w:rPr>
          <w:rFonts w:cs="Arial" w:hint="cs"/>
          <w:rtl/>
        </w:rPr>
        <w:t>ה</w:t>
      </w:r>
      <w:r w:rsidRPr="0075388A">
        <w:rPr>
          <w:rFonts w:cs="Arial"/>
          <w:rtl/>
        </w:rPr>
        <w:t xml:space="preserve"> </w:t>
      </w:r>
      <w:r w:rsidRPr="0075388A">
        <w:rPr>
          <w:rFonts w:cs="Arial" w:hint="cs"/>
          <w:rtl/>
        </w:rPr>
        <w:t>ומדאמרי</w:t>
      </w:r>
      <w:r w:rsidRPr="0075388A">
        <w:rPr>
          <w:rFonts w:cs="Arial"/>
          <w:rtl/>
        </w:rPr>
        <w:t xml:space="preserve">') </w:t>
      </w:r>
      <w:r>
        <w:rPr>
          <w:rFonts w:cs="Arial" w:hint="cs"/>
          <w:rtl/>
        </w:rPr>
        <w:t xml:space="preserve">את דבריו והקשה עליהם וז"ל- </w:t>
      </w:r>
      <w:r w:rsidRPr="0075388A">
        <w:rPr>
          <w:rFonts w:cs="Arial" w:hint="cs"/>
          <w:rtl/>
        </w:rPr>
        <w:t>ולי</w:t>
      </w:r>
      <w:r w:rsidRPr="0075388A">
        <w:rPr>
          <w:rFonts w:cs="Arial"/>
          <w:rtl/>
        </w:rPr>
        <w:t xml:space="preserve"> </w:t>
      </w:r>
      <w:r w:rsidRPr="0075388A">
        <w:rPr>
          <w:rFonts w:cs="Arial" w:hint="cs"/>
          <w:rtl/>
        </w:rPr>
        <w:t>אין</w:t>
      </w:r>
      <w:r w:rsidRPr="0075388A">
        <w:rPr>
          <w:rFonts w:cs="Arial"/>
          <w:rtl/>
        </w:rPr>
        <w:t xml:space="preserve"> </w:t>
      </w:r>
      <w:r w:rsidRPr="0075388A">
        <w:rPr>
          <w:rFonts w:cs="Arial" w:hint="cs"/>
          <w:rtl/>
        </w:rPr>
        <w:t>הנדון</w:t>
      </w:r>
      <w:r w:rsidRPr="0075388A">
        <w:rPr>
          <w:rFonts w:cs="Arial"/>
          <w:rtl/>
        </w:rPr>
        <w:t xml:space="preserve"> </w:t>
      </w:r>
      <w:r w:rsidRPr="0075388A">
        <w:rPr>
          <w:rFonts w:cs="Arial" w:hint="cs"/>
          <w:rtl/>
        </w:rPr>
        <w:t>דומה</w:t>
      </w:r>
      <w:r w:rsidRPr="0075388A">
        <w:rPr>
          <w:rFonts w:cs="Arial"/>
          <w:rtl/>
        </w:rPr>
        <w:t xml:space="preserve"> </w:t>
      </w:r>
      <w:r w:rsidRPr="0075388A">
        <w:rPr>
          <w:rFonts w:cs="Arial" w:hint="cs"/>
          <w:rtl/>
        </w:rPr>
        <w:t>לראיה</w:t>
      </w:r>
      <w:r w:rsidRPr="0075388A">
        <w:rPr>
          <w:rFonts w:cs="Arial"/>
          <w:rtl/>
        </w:rPr>
        <w:t xml:space="preserve"> </w:t>
      </w:r>
      <w:r w:rsidRPr="0075388A">
        <w:rPr>
          <w:rFonts w:cs="Arial" w:hint="cs"/>
          <w:rtl/>
        </w:rPr>
        <w:t>דשאני</w:t>
      </w:r>
      <w:r w:rsidRPr="0075388A">
        <w:rPr>
          <w:rFonts w:cs="Arial"/>
          <w:rtl/>
        </w:rPr>
        <w:t xml:space="preserve"> </w:t>
      </w:r>
      <w:r w:rsidRPr="0075388A">
        <w:rPr>
          <w:rFonts w:cs="Arial" w:hint="cs"/>
          <w:rtl/>
        </w:rPr>
        <w:t>הכא</w:t>
      </w:r>
      <w:r w:rsidRPr="0075388A">
        <w:rPr>
          <w:rFonts w:cs="Arial"/>
          <w:rtl/>
        </w:rPr>
        <w:t xml:space="preserve"> </w:t>
      </w:r>
      <w:r w:rsidRPr="0075388A">
        <w:rPr>
          <w:rFonts w:cs="Arial" w:hint="cs"/>
          <w:rtl/>
        </w:rPr>
        <w:t>דאם</w:t>
      </w:r>
      <w:r w:rsidRPr="0075388A">
        <w:rPr>
          <w:rFonts w:cs="Arial"/>
          <w:rtl/>
        </w:rPr>
        <w:t xml:space="preserve"> </w:t>
      </w:r>
      <w:r w:rsidRPr="0075388A">
        <w:rPr>
          <w:rFonts w:cs="Arial" w:hint="cs"/>
          <w:rtl/>
        </w:rPr>
        <w:t>יש</w:t>
      </w:r>
      <w:r w:rsidRPr="0075388A">
        <w:rPr>
          <w:rFonts w:cs="Arial"/>
          <w:rtl/>
        </w:rPr>
        <w:t xml:space="preserve"> </w:t>
      </w:r>
      <w:r w:rsidRPr="0075388A">
        <w:rPr>
          <w:rFonts w:cs="Arial" w:hint="cs"/>
          <w:rtl/>
        </w:rPr>
        <w:t>שם</w:t>
      </w:r>
      <w:r w:rsidRPr="0075388A">
        <w:rPr>
          <w:rFonts w:cs="Arial"/>
          <w:rtl/>
        </w:rPr>
        <w:t xml:space="preserve"> </w:t>
      </w:r>
      <w:r w:rsidRPr="0075388A">
        <w:rPr>
          <w:rFonts w:cs="Arial" w:hint="cs"/>
          <w:rtl/>
        </w:rPr>
        <w:t>בורגנין</w:t>
      </w:r>
      <w:r w:rsidRPr="0075388A">
        <w:rPr>
          <w:rFonts w:cs="Arial"/>
          <w:rtl/>
        </w:rPr>
        <w:t xml:space="preserve"> </w:t>
      </w:r>
      <w:r w:rsidRPr="0075388A">
        <w:rPr>
          <w:rFonts w:cs="Arial" w:hint="cs"/>
          <w:rtl/>
        </w:rPr>
        <w:t>הוא</w:t>
      </w:r>
      <w:r w:rsidRPr="0075388A">
        <w:rPr>
          <w:rFonts w:cs="Arial"/>
          <w:rtl/>
        </w:rPr>
        <w:t xml:space="preserve"> </w:t>
      </w:r>
      <w:r w:rsidRPr="0075388A">
        <w:rPr>
          <w:rFonts w:cs="Arial" w:hint="cs"/>
          <w:rtl/>
        </w:rPr>
        <w:t>עצמו</w:t>
      </w:r>
      <w:r w:rsidRPr="0075388A">
        <w:rPr>
          <w:rFonts w:cs="Arial"/>
          <w:rtl/>
        </w:rPr>
        <w:t xml:space="preserve"> </w:t>
      </w:r>
      <w:r w:rsidRPr="0075388A">
        <w:rPr>
          <w:rFonts w:cs="Arial" w:hint="cs"/>
          <w:rtl/>
        </w:rPr>
        <w:t>שומר</w:t>
      </w:r>
      <w:r w:rsidRPr="0075388A">
        <w:rPr>
          <w:rFonts w:cs="Arial"/>
          <w:rtl/>
        </w:rPr>
        <w:t xml:space="preserve"> </w:t>
      </w:r>
      <w:r w:rsidRPr="0075388A">
        <w:rPr>
          <w:rFonts w:cs="Arial" w:hint="cs"/>
          <w:rtl/>
        </w:rPr>
        <w:t>עכ</w:t>
      </w:r>
      <w:r w:rsidRPr="0075388A">
        <w:rPr>
          <w:rFonts w:cs="Arial"/>
          <w:rtl/>
        </w:rPr>
        <w:t>"</w:t>
      </w:r>
      <w:r w:rsidRPr="0075388A">
        <w:rPr>
          <w:rFonts w:cs="Arial" w:hint="cs"/>
          <w:rtl/>
        </w:rPr>
        <w:t>ל</w:t>
      </w:r>
      <w:r w:rsidRPr="0075388A">
        <w:rPr>
          <w:rFonts w:cs="Arial"/>
          <w:rtl/>
        </w:rPr>
        <w:t xml:space="preserve">. </w:t>
      </w:r>
      <w:r>
        <w:rPr>
          <w:rFonts w:cs="Arial" w:hint="cs"/>
          <w:rtl/>
        </w:rPr>
        <w:t xml:space="preserve">וכתב הב"י- </w:t>
      </w:r>
      <w:r w:rsidRPr="0075388A">
        <w:rPr>
          <w:rFonts w:cs="Arial" w:hint="cs"/>
          <w:rtl/>
        </w:rPr>
        <w:t>ואיני</w:t>
      </w:r>
      <w:r w:rsidRPr="0075388A">
        <w:rPr>
          <w:rFonts w:cs="Arial"/>
          <w:rtl/>
        </w:rPr>
        <w:t xml:space="preserve"> </w:t>
      </w:r>
      <w:r w:rsidRPr="0075388A">
        <w:rPr>
          <w:rFonts w:cs="Arial" w:hint="cs"/>
          <w:rtl/>
        </w:rPr>
        <w:t>מבין</w:t>
      </w:r>
      <w:r w:rsidRPr="0075388A">
        <w:rPr>
          <w:rFonts w:cs="Arial"/>
          <w:rtl/>
        </w:rPr>
        <w:t xml:space="preserve"> </w:t>
      </w:r>
      <w:r w:rsidRPr="0075388A">
        <w:rPr>
          <w:rFonts w:cs="Arial" w:hint="cs"/>
          <w:rtl/>
        </w:rPr>
        <w:t>דבריו</w:t>
      </w:r>
      <w:r w:rsidRPr="0075388A">
        <w:rPr>
          <w:rFonts w:cs="Arial"/>
          <w:rtl/>
        </w:rPr>
        <w:t xml:space="preserve"> </w:t>
      </w:r>
      <w:r w:rsidRPr="0075388A">
        <w:rPr>
          <w:rFonts w:cs="Arial" w:hint="cs"/>
          <w:rtl/>
        </w:rPr>
        <w:t>דהכא</w:t>
      </w:r>
      <w:r w:rsidRPr="0075388A">
        <w:rPr>
          <w:rFonts w:cs="Arial"/>
          <w:rtl/>
        </w:rPr>
        <w:t xml:space="preserve"> </w:t>
      </w:r>
      <w:r w:rsidRPr="0075388A">
        <w:rPr>
          <w:rFonts w:cs="Arial" w:hint="cs"/>
          <w:rtl/>
        </w:rPr>
        <w:t>נמי</w:t>
      </w:r>
      <w:r w:rsidRPr="0075388A">
        <w:rPr>
          <w:rFonts w:cs="Arial"/>
          <w:rtl/>
        </w:rPr>
        <w:t xml:space="preserve"> </w:t>
      </w:r>
      <w:r w:rsidRPr="0075388A">
        <w:rPr>
          <w:rFonts w:cs="Arial" w:hint="cs"/>
          <w:rtl/>
        </w:rPr>
        <w:t>איכא</w:t>
      </w:r>
      <w:r w:rsidRPr="0075388A">
        <w:rPr>
          <w:rFonts w:cs="Arial"/>
          <w:rtl/>
        </w:rPr>
        <w:t xml:space="preserve"> </w:t>
      </w:r>
      <w:r w:rsidRPr="0075388A">
        <w:rPr>
          <w:rFonts w:cs="Arial" w:hint="cs"/>
          <w:rtl/>
        </w:rPr>
        <w:t>למימר</w:t>
      </w:r>
      <w:r w:rsidRPr="0075388A">
        <w:rPr>
          <w:rFonts w:cs="Arial"/>
          <w:rtl/>
        </w:rPr>
        <w:t xml:space="preserve"> </w:t>
      </w:r>
      <w:r w:rsidRPr="0075388A">
        <w:rPr>
          <w:rFonts w:cs="Arial" w:hint="cs"/>
          <w:rtl/>
        </w:rPr>
        <w:t>אם</w:t>
      </w:r>
      <w:r w:rsidRPr="0075388A">
        <w:rPr>
          <w:rFonts w:cs="Arial"/>
          <w:rtl/>
        </w:rPr>
        <w:t xml:space="preserve"> </w:t>
      </w:r>
      <w:r w:rsidRPr="0075388A">
        <w:rPr>
          <w:rFonts w:cs="Arial" w:hint="cs"/>
          <w:rtl/>
        </w:rPr>
        <w:t>לא</w:t>
      </w:r>
      <w:r w:rsidRPr="0075388A">
        <w:rPr>
          <w:rFonts w:cs="Arial"/>
          <w:rtl/>
        </w:rPr>
        <w:t xml:space="preserve"> </w:t>
      </w:r>
      <w:r w:rsidRPr="0075388A">
        <w:rPr>
          <w:rFonts w:cs="Arial" w:hint="cs"/>
          <w:rtl/>
        </w:rPr>
        <w:t>היה</w:t>
      </w:r>
      <w:r w:rsidRPr="0075388A">
        <w:rPr>
          <w:rFonts w:cs="Arial"/>
          <w:rtl/>
        </w:rPr>
        <w:t xml:space="preserve"> </w:t>
      </w:r>
      <w:r w:rsidRPr="0075388A">
        <w:rPr>
          <w:rFonts w:cs="Arial" w:hint="cs"/>
          <w:rtl/>
        </w:rPr>
        <w:t>מקבל</w:t>
      </w:r>
      <w:r w:rsidRPr="0075388A">
        <w:rPr>
          <w:rFonts w:cs="Arial"/>
          <w:rtl/>
        </w:rPr>
        <w:t xml:space="preserve"> </w:t>
      </w:r>
      <w:r w:rsidRPr="0075388A">
        <w:rPr>
          <w:rFonts w:cs="Arial" w:hint="cs"/>
          <w:rtl/>
        </w:rPr>
        <w:t>שבת</w:t>
      </w:r>
      <w:r w:rsidRPr="0075388A">
        <w:rPr>
          <w:rFonts w:cs="Arial"/>
          <w:rtl/>
        </w:rPr>
        <w:t xml:space="preserve"> </w:t>
      </w:r>
      <w:r w:rsidRPr="0075388A">
        <w:rPr>
          <w:rFonts w:cs="Arial" w:hint="cs"/>
          <w:rtl/>
        </w:rPr>
        <w:t>הוא</w:t>
      </w:r>
      <w:r w:rsidRPr="0075388A">
        <w:rPr>
          <w:rFonts w:cs="Arial"/>
          <w:rtl/>
        </w:rPr>
        <w:t xml:space="preserve"> </w:t>
      </w:r>
      <w:r w:rsidRPr="0075388A">
        <w:rPr>
          <w:rFonts w:cs="Arial" w:hint="cs"/>
          <w:rtl/>
        </w:rPr>
        <w:t>עצמו</w:t>
      </w:r>
      <w:r w:rsidRPr="0075388A">
        <w:rPr>
          <w:rFonts w:cs="Arial"/>
          <w:rtl/>
        </w:rPr>
        <w:t xml:space="preserve"> </w:t>
      </w:r>
      <w:r w:rsidRPr="0075388A">
        <w:rPr>
          <w:rFonts w:cs="Arial" w:hint="cs"/>
          <w:rtl/>
        </w:rPr>
        <w:t>היה</w:t>
      </w:r>
      <w:r w:rsidRPr="0075388A">
        <w:rPr>
          <w:rFonts w:cs="Arial"/>
          <w:rtl/>
        </w:rPr>
        <w:t xml:space="preserve"> </w:t>
      </w:r>
      <w:r w:rsidRPr="0075388A">
        <w:rPr>
          <w:rFonts w:cs="Arial" w:hint="cs"/>
          <w:rtl/>
        </w:rPr>
        <w:t>מותר</w:t>
      </w:r>
      <w:r w:rsidRPr="0075388A">
        <w:rPr>
          <w:rFonts w:cs="Arial"/>
          <w:rtl/>
        </w:rPr>
        <w:t xml:space="preserve"> </w:t>
      </w:r>
      <w:r w:rsidRPr="0075388A">
        <w:rPr>
          <w:rFonts w:cs="Arial" w:hint="cs"/>
          <w:rtl/>
        </w:rPr>
        <w:t>לעשות</w:t>
      </w:r>
      <w:r w:rsidRPr="0075388A">
        <w:rPr>
          <w:rFonts w:cs="Arial"/>
          <w:rtl/>
        </w:rPr>
        <w:t xml:space="preserve"> </w:t>
      </w:r>
      <w:r w:rsidRPr="0075388A">
        <w:rPr>
          <w:rFonts w:cs="Arial" w:hint="cs"/>
          <w:rtl/>
        </w:rPr>
        <w:t>לו</w:t>
      </w:r>
      <w:r w:rsidRPr="0075388A">
        <w:rPr>
          <w:rFonts w:cs="Arial"/>
          <w:rtl/>
        </w:rPr>
        <w:t xml:space="preserve"> </w:t>
      </w:r>
      <w:r w:rsidRPr="0075388A">
        <w:rPr>
          <w:rFonts w:cs="Arial" w:hint="cs"/>
          <w:rtl/>
        </w:rPr>
        <w:t>מלאכה</w:t>
      </w:r>
      <w:r>
        <w:rPr>
          <w:rFonts w:cs="Arial" w:hint="cs"/>
          <w:rtl/>
        </w:rPr>
        <w:t xml:space="preserve">. עכ"ל. וכתב הדרכ"מ </w:t>
      </w:r>
      <w:r w:rsidRPr="0075388A">
        <w:rPr>
          <w:rFonts w:cs="Arial"/>
          <w:rtl/>
        </w:rPr>
        <w:t>(</w:t>
      </w:r>
      <w:r>
        <w:rPr>
          <w:rFonts w:cs="Arial" w:hint="cs"/>
          <w:rtl/>
        </w:rPr>
        <w:t xml:space="preserve">אות </w:t>
      </w:r>
      <w:r w:rsidRPr="0075388A">
        <w:rPr>
          <w:rFonts w:cs="Arial" w:hint="cs"/>
          <w:rtl/>
        </w:rPr>
        <w:t>ח</w:t>
      </w:r>
      <w:r w:rsidRPr="0075388A">
        <w:rPr>
          <w:rFonts w:cs="Arial"/>
          <w:rtl/>
        </w:rPr>
        <w:t>)</w:t>
      </w:r>
      <w:r>
        <w:rPr>
          <w:rFonts w:cs="Arial" w:hint="cs"/>
          <w:rtl/>
        </w:rPr>
        <w:t>-</w:t>
      </w:r>
      <w:r w:rsidRPr="0075388A">
        <w:rPr>
          <w:rFonts w:cs="Arial"/>
          <w:rtl/>
        </w:rPr>
        <w:t xml:space="preserve"> </w:t>
      </w:r>
      <w:r w:rsidRPr="0075388A">
        <w:rPr>
          <w:rFonts w:cs="Arial" w:hint="cs"/>
          <w:rtl/>
        </w:rPr>
        <w:t>וצ</w:t>
      </w:r>
      <w:r w:rsidRPr="0075388A">
        <w:rPr>
          <w:rFonts w:cs="Arial"/>
          <w:rtl/>
        </w:rPr>
        <w:t>"</w:t>
      </w:r>
      <w:r w:rsidRPr="0075388A">
        <w:rPr>
          <w:rFonts w:cs="Arial" w:hint="cs"/>
          <w:rtl/>
        </w:rPr>
        <w:t>ע</w:t>
      </w:r>
      <w:r w:rsidRPr="0075388A">
        <w:rPr>
          <w:rFonts w:cs="Arial"/>
          <w:rtl/>
        </w:rPr>
        <w:t xml:space="preserve"> </w:t>
      </w:r>
      <w:r w:rsidRPr="0075388A">
        <w:rPr>
          <w:rFonts w:cs="Arial" w:hint="cs"/>
          <w:rtl/>
        </w:rPr>
        <w:t>מאי</w:t>
      </w:r>
      <w:r w:rsidRPr="0075388A">
        <w:rPr>
          <w:rFonts w:cs="Arial"/>
          <w:rtl/>
        </w:rPr>
        <w:t xml:space="preserve"> </w:t>
      </w:r>
      <w:r w:rsidRPr="0075388A">
        <w:rPr>
          <w:rFonts w:cs="Arial" w:hint="cs"/>
          <w:rtl/>
        </w:rPr>
        <w:t>שנא</w:t>
      </w:r>
      <w:r w:rsidRPr="0075388A">
        <w:rPr>
          <w:rFonts w:cs="Arial"/>
          <w:rtl/>
        </w:rPr>
        <w:t xml:space="preserve"> </w:t>
      </w:r>
      <w:r w:rsidRPr="0075388A">
        <w:rPr>
          <w:rFonts w:cs="Arial" w:hint="cs"/>
          <w:rtl/>
        </w:rPr>
        <w:t>ממי</w:t>
      </w:r>
      <w:r w:rsidRPr="0075388A">
        <w:rPr>
          <w:rFonts w:cs="Arial"/>
          <w:rtl/>
        </w:rPr>
        <w:t xml:space="preserve"> </w:t>
      </w:r>
      <w:r w:rsidRPr="0075388A">
        <w:rPr>
          <w:rFonts w:cs="Arial" w:hint="cs"/>
          <w:rtl/>
        </w:rPr>
        <w:t>שקיבל</w:t>
      </w:r>
      <w:r w:rsidRPr="0075388A">
        <w:rPr>
          <w:rFonts w:cs="Arial"/>
          <w:rtl/>
        </w:rPr>
        <w:t xml:space="preserve"> </w:t>
      </w:r>
      <w:r w:rsidRPr="0075388A">
        <w:rPr>
          <w:rFonts w:cs="Arial" w:hint="cs"/>
          <w:rtl/>
        </w:rPr>
        <w:t>עליו</w:t>
      </w:r>
      <w:r w:rsidRPr="0075388A">
        <w:rPr>
          <w:rFonts w:cs="Arial"/>
          <w:rtl/>
        </w:rPr>
        <w:t xml:space="preserve"> </w:t>
      </w:r>
      <w:r w:rsidRPr="0075388A">
        <w:rPr>
          <w:rFonts w:cs="Arial" w:hint="cs"/>
          <w:rtl/>
        </w:rPr>
        <w:t>ב</w:t>
      </w:r>
      <w:r w:rsidRPr="0075388A">
        <w:rPr>
          <w:rFonts w:cs="Arial"/>
          <w:rtl/>
        </w:rPr>
        <w:t xml:space="preserve">' </w:t>
      </w:r>
      <w:r w:rsidRPr="0075388A">
        <w:rPr>
          <w:rFonts w:cs="Arial" w:hint="cs"/>
          <w:rtl/>
        </w:rPr>
        <w:t>ימים</w:t>
      </w:r>
      <w:r w:rsidRPr="0075388A">
        <w:rPr>
          <w:rFonts w:cs="Arial"/>
          <w:rtl/>
        </w:rPr>
        <w:t xml:space="preserve"> </w:t>
      </w:r>
      <w:r w:rsidRPr="0075388A">
        <w:rPr>
          <w:rFonts w:cs="Arial" w:hint="cs"/>
          <w:rtl/>
        </w:rPr>
        <w:t>יום</w:t>
      </w:r>
      <w:r w:rsidRPr="0075388A">
        <w:rPr>
          <w:rFonts w:cs="Arial"/>
          <w:rtl/>
        </w:rPr>
        <w:t xml:space="preserve"> </w:t>
      </w:r>
      <w:r w:rsidRPr="0075388A">
        <w:rPr>
          <w:rFonts w:cs="Arial" w:hint="cs"/>
          <w:rtl/>
        </w:rPr>
        <w:t>כפור</w:t>
      </w:r>
      <w:r w:rsidRPr="0075388A">
        <w:rPr>
          <w:rFonts w:cs="Arial"/>
          <w:rtl/>
        </w:rPr>
        <w:t xml:space="preserve"> </w:t>
      </w:r>
      <w:r w:rsidRPr="0075388A">
        <w:rPr>
          <w:rFonts w:cs="Arial" w:hint="cs"/>
          <w:rtl/>
        </w:rPr>
        <w:t>שאחרים</w:t>
      </w:r>
      <w:r w:rsidRPr="0075388A">
        <w:rPr>
          <w:rFonts w:cs="Arial"/>
          <w:rtl/>
        </w:rPr>
        <w:t xml:space="preserve"> </w:t>
      </w:r>
      <w:r w:rsidRPr="0075388A">
        <w:rPr>
          <w:rFonts w:cs="Arial" w:hint="cs"/>
          <w:rtl/>
        </w:rPr>
        <w:t>אסורין</w:t>
      </w:r>
      <w:r w:rsidRPr="0075388A">
        <w:rPr>
          <w:rFonts w:cs="Arial"/>
          <w:rtl/>
        </w:rPr>
        <w:t xml:space="preserve"> </w:t>
      </w:r>
      <w:r w:rsidRPr="0075388A">
        <w:rPr>
          <w:rFonts w:cs="Arial" w:hint="cs"/>
          <w:rtl/>
        </w:rPr>
        <w:t>לעשות</w:t>
      </w:r>
      <w:r w:rsidRPr="0075388A">
        <w:rPr>
          <w:rFonts w:cs="Arial"/>
          <w:rtl/>
        </w:rPr>
        <w:t xml:space="preserve"> </w:t>
      </w:r>
      <w:r w:rsidRPr="0075388A">
        <w:rPr>
          <w:rFonts w:cs="Arial" w:hint="cs"/>
          <w:rtl/>
        </w:rPr>
        <w:t>לו</w:t>
      </w:r>
      <w:r w:rsidRPr="0075388A">
        <w:rPr>
          <w:rFonts w:cs="Arial"/>
          <w:rtl/>
        </w:rPr>
        <w:t xml:space="preserve"> </w:t>
      </w:r>
      <w:r w:rsidRPr="0075388A">
        <w:rPr>
          <w:rFonts w:cs="Arial" w:hint="cs"/>
          <w:rtl/>
        </w:rPr>
        <w:t>מלאכה</w:t>
      </w:r>
      <w:r w:rsidRPr="0075388A">
        <w:rPr>
          <w:rFonts w:cs="Arial"/>
          <w:rtl/>
        </w:rPr>
        <w:t xml:space="preserve"> </w:t>
      </w:r>
      <w:r w:rsidRPr="0075388A">
        <w:rPr>
          <w:rFonts w:cs="Arial" w:hint="cs"/>
          <w:rtl/>
        </w:rPr>
        <w:t>כמו</w:t>
      </w:r>
      <w:r w:rsidRPr="0075388A">
        <w:rPr>
          <w:rFonts w:cs="Arial"/>
          <w:rtl/>
        </w:rPr>
        <w:t xml:space="preserve"> </w:t>
      </w:r>
      <w:r w:rsidRPr="0075388A">
        <w:rPr>
          <w:rFonts w:cs="Arial" w:hint="cs"/>
          <w:rtl/>
        </w:rPr>
        <w:t>שיתבאר</w:t>
      </w:r>
      <w:r w:rsidRPr="0075388A">
        <w:rPr>
          <w:rFonts w:cs="Arial"/>
          <w:rtl/>
        </w:rPr>
        <w:t xml:space="preserve"> </w:t>
      </w:r>
      <w:r w:rsidRPr="0075388A">
        <w:rPr>
          <w:rFonts w:cs="Arial" w:hint="cs"/>
          <w:rtl/>
        </w:rPr>
        <w:t>לקמן</w:t>
      </w:r>
      <w:r w:rsidRPr="0075388A">
        <w:rPr>
          <w:rFonts w:cs="Arial"/>
          <w:rtl/>
        </w:rPr>
        <w:t xml:space="preserve"> (</w:t>
      </w:r>
      <w:r w:rsidRPr="0075388A">
        <w:rPr>
          <w:rFonts w:cs="Arial" w:hint="cs"/>
          <w:rtl/>
        </w:rPr>
        <w:t>סוף</w:t>
      </w:r>
      <w:r w:rsidRPr="0075388A">
        <w:rPr>
          <w:rFonts w:cs="Arial"/>
          <w:rtl/>
        </w:rPr>
        <w:t xml:space="preserve">) </w:t>
      </w:r>
      <w:r w:rsidRPr="0075388A">
        <w:rPr>
          <w:rFonts w:cs="Arial" w:hint="cs"/>
          <w:rtl/>
        </w:rPr>
        <w:t>סימן</w:t>
      </w:r>
      <w:r w:rsidRPr="0075388A">
        <w:rPr>
          <w:rFonts w:cs="Arial"/>
          <w:rtl/>
        </w:rPr>
        <w:t xml:space="preserve"> </w:t>
      </w:r>
      <w:r w:rsidRPr="0075388A">
        <w:rPr>
          <w:rFonts w:cs="Arial" w:hint="cs"/>
          <w:rtl/>
        </w:rPr>
        <w:t>תרכ</w:t>
      </w:r>
      <w:r w:rsidRPr="0075388A">
        <w:rPr>
          <w:rFonts w:cs="Arial"/>
          <w:rtl/>
        </w:rPr>
        <w:t>"</w:t>
      </w:r>
      <w:r w:rsidRPr="0075388A">
        <w:rPr>
          <w:rFonts w:cs="Arial" w:hint="cs"/>
          <w:rtl/>
        </w:rPr>
        <w:t>ד</w:t>
      </w:r>
      <w:r w:rsidRPr="0075388A">
        <w:rPr>
          <w:rFonts w:cs="Arial"/>
          <w:rtl/>
        </w:rPr>
        <w:t xml:space="preserve">. </w:t>
      </w:r>
      <w:r w:rsidRPr="0075388A">
        <w:rPr>
          <w:rFonts w:cs="Arial" w:hint="cs"/>
          <w:rtl/>
        </w:rPr>
        <w:t>ואפשר</w:t>
      </w:r>
      <w:r w:rsidRPr="0075388A">
        <w:rPr>
          <w:rFonts w:cs="Arial"/>
          <w:rtl/>
        </w:rPr>
        <w:t xml:space="preserve"> </w:t>
      </w:r>
      <w:r w:rsidRPr="0075388A">
        <w:rPr>
          <w:rFonts w:cs="Arial" w:hint="cs"/>
          <w:rtl/>
        </w:rPr>
        <w:t>לחלק</w:t>
      </w:r>
      <w:r w:rsidRPr="0075388A">
        <w:rPr>
          <w:rFonts w:cs="Arial"/>
          <w:rtl/>
        </w:rPr>
        <w:t xml:space="preserve"> </w:t>
      </w:r>
      <w:r w:rsidRPr="0075388A">
        <w:rPr>
          <w:rFonts w:cs="Arial" w:hint="cs"/>
          <w:rtl/>
        </w:rPr>
        <w:t>דשאני</w:t>
      </w:r>
      <w:r w:rsidRPr="0075388A">
        <w:rPr>
          <w:rFonts w:cs="Arial"/>
          <w:rtl/>
        </w:rPr>
        <w:t xml:space="preserve"> </w:t>
      </w:r>
      <w:r w:rsidRPr="0075388A">
        <w:rPr>
          <w:rFonts w:cs="Arial" w:hint="cs"/>
          <w:rtl/>
        </w:rPr>
        <w:t>התם</w:t>
      </w:r>
      <w:r w:rsidRPr="0075388A">
        <w:rPr>
          <w:rFonts w:cs="Arial"/>
          <w:rtl/>
        </w:rPr>
        <w:t xml:space="preserve"> </w:t>
      </w:r>
      <w:r w:rsidRPr="0075388A">
        <w:rPr>
          <w:rFonts w:cs="Arial" w:hint="cs"/>
          <w:rtl/>
        </w:rPr>
        <w:t>דראוי</w:t>
      </w:r>
      <w:r w:rsidRPr="0075388A">
        <w:rPr>
          <w:rFonts w:cs="Arial"/>
          <w:rtl/>
        </w:rPr>
        <w:t xml:space="preserve"> </w:t>
      </w:r>
      <w:r w:rsidRPr="0075388A">
        <w:rPr>
          <w:rFonts w:cs="Arial" w:hint="cs"/>
          <w:rtl/>
        </w:rPr>
        <w:t>לעשות</w:t>
      </w:r>
      <w:r w:rsidRPr="0075388A">
        <w:rPr>
          <w:rFonts w:cs="Arial"/>
          <w:rtl/>
        </w:rPr>
        <w:t xml:space="preserve"> </w:t>
      </w:r>
      <w:r w:rsidRPr="0075388A">
        <w:rPr>
          <w:rFonts w:cs="Arial" w:hint="cs"/>
          <w:rtl/>
        </w:rPr>
        <w:t>ב</w:t>
      </w:r>
      <w:r w:rsidRPr="0075388A">
        <w:rPr>
          <w:rFonts w:cs="Arial"/>
          <w:rtl/>
        </w:rPr>
        <w:t xml:space="preserve">' </w:t>
      </w:r>
      <w:r w:rsidRPr="0075388A">
        <w:rPr>
          <w:rFonts w:cs="Arial" w:hint="cs"/>
          <w:rtl/>
        </w:rPr>
        <w:t>ימים</w:t>
      </w:r>
      <w:r w:rsidRPr="0075388A">
        <w:rPr>
          <w:rFonts w:cs="Arial"/>
          <w:rtl/>
        </w:rPr>
        <w:t xml:space="preserve"> </w:t>
      </w:r>
      <w:r w:rsidRPr="0075388A">
        <w:rPr>
          <w:rFonts w:cs="Arial" w:hint="cs"/>
          <w:rtl/>
        </w:rPr>
        <w:t>יום</w:t>
      </w:r>
      <w:r w:rsidRPr="0075388A">
        <w:rPr>
          <w:rFonts w:cs="Arial"/>
          <w:rtl/>
        </w:rPr>
        <w:t xml:space="preserve"> </w:t>
      </w:r>
      <w:r w:rsidRPr="0075388A">
        <w:rPr>
          <w:rFonts w:cs="Arial" w:hint="cs"/>
          <w:rtl/>
        </w:rPr>
        <w:t>כפור</w:t>
      </w:r>
      <w:r w:rsidRPr="0075388A">
        <w:rPr>
          <w:rFonts w:cs="Arial"/>
          <w:rtl/>
        </w:rPr>
        <w:t xml:space="preserve"> </w:t>
      </w:r>
      <w:r w:rsidRPr="0075388A">
        <w:rPr>
          <w:rFonts w:cs="Arial" w:hint="cs"/>
          <w:rtl/>
        </w:rPr>
        <w:t>משום</w:t>
      </w:r>
      <w:r w:rsidRPr="0075388A">
        <w:rPr>
          <w:rFonts w:cs="Arial"/>
          <w:rtl/>
        </w:rPr>
        <w:t xml:space="preserve"> </w:t>
      </w:r>
      <w:r w:rsidRPr="0075388A">
        <w:rPr>
          <w:rFonts w:cs="Arial" w:hint="cs"/>
          <w:rtl/>
        </w:rPr>
        <w:t>ספיקא</w:t>
      </w:r>
      <w:r w:rsidRPr="0075388A">
        <w:rPr>
          <w:rFonts w:cs="Arial"/>
          <w:rtl/>
        </w:rPr>
        <w:t xml:space="preserve"> </w:t>
      </w:r>
      <w:r w:rsidRPr="0075388A">
        <w:rPr>
          <w:rFonts w:cs="Arial" w:hint="cs"/>
          <w:rtl/>
        </w:rPr>
        <w:t>דיומא</w:t>
      </w:r>
      <w:r>
        <w:rPr>
          <w:rFonts w:cs="Arial" w:hint="cs"/>
          <w:rtl/>
        </w:rPr>
        <w:t>,</w:t>
      </w:r>
      <w:r w:rsidRPr="0075388A">
        <w:rPr>
          <w:rFonts w:cs="Arial"/>
          <w:rtl/>
        </w:rPr>
        <w:t xml:space="preserve"> </w:t>
      </w:r>
      <w:r w:rsidRPr="0075388A">
        <w:rPr>
          <w:rFonts w:cs="Arial" w:hint="cs"/>
          <w:rtl/>
        </w:rPr>
        <w:t>משא</w:t>
      </w:r>
      <w:r>
        <w:rPr>
          <w:rFonts w:cs="Arial" w:hint="cs"/>
          <w:rtl/>
        </w:rPr>
        <w:t>"</w:t>
      </w:r>
      <w:r w:rsidRPr="0075388A">
        <w:rPr>
          <w:rFonts w:cs="Arial" w:hint="cs"/>
          <w:rtl/>
        </w:rPr>
        <w:t>כ</w:t>
      </w:r>
      <w:r w:rsidRPr="0075388A">
        <w:rPr>
          <w:rFonts w:cs="Arial"/>
          <w:rtl/>
        </w:rPr>
        <w:t xml:space="preserve"> </w:t>
      </w:r>
      <w:r w:rsidRPr="0075388A">
        <w:rPr>
          <w:rFonts w:cs="Arial" w:hint="cs"/>
          <w:rtl/>
        </w:rPr>
        <w:t>בתוספת</w:t>
      </w:r>
      <w:r w:rsidRPr="0075388A">
        <w:rPr>
          <w:rFonts w:cs="Arial"/>
          <w:rtl/>
        </w:rPr>
        <w:t xml:space="preserve"> </w:t>
      </w:r>
      <w:r w:rsidRPr="0075388A">
        <w:rPr>
          <w:rFonts w:cs="Arial" w:hint="cs"/>
          <w:rtl/>
        </w:rPr>
        <w:t>שבת</w:t>
      </w:r>
      <w:r w:rsidRPr="0075388A">
        <w:rPr>
          <w:rFonts w:cs="Arial"/>
          <w:rtl/>
        </w:rPr>
        <w:t xml:space="preserve">. </w:t>
      </w:r>
    </w:p>
  </w:footnote>
  <w:footnote w:id="674">
    <w:p w14:paraId="6C667AC2" w14:textId="77777777" w:rsidR="004B2E7C" w:rsidRDefault="004B2E7C" w:rsidP="00285819">
      <w:pPr>
        <w:pStyle w:val="a7"/>
      </w:pPr>
      <w:r>
        <w:rPr>
          <w:rStyle w:val="a9"/>
        </w:rPr>
        <w:footnoteRef/>
      </w:r>
      <w:r>
        <w:rPr>
          <w:rtl/>
        </w:rPr>
        <w:t xml:space="preserve"> </w:t>
      </w:r>
      <w:r w:rsidRPr="002102F3">
        <w:rPr>
          <w:rFonts w:cs="Arial" w:hint="cs"/>
          <w:rtl/>
        </w:rPr>
        <w:t>ולי</w:t>
      </w:r>
      <w:r w:rsidRPr="002102F3">
        <w:rPr>
          <w:rFonts w:cs="Arial"/>
          <w:rtl/>
        </w:rPr>
        <w:t xml:space="preserve"> </w:t>
      </w:r>
      <w:r w:rsidRPr="002102F3">
        <w:rPr>
          <w:rFonts w:cs="Arial" w:hint="cs"/>
          <w:rtl/>
        </w:rPr>
        <w:t>נראה</w:t>
      </w:r>
      <w:r w:rsidRPr="002102F3">
        <w:rPr>
          <w:rFonts w:cs="Arial"/>
          <w:rtl/>
        </w:rPr>
        <w:t xml:space="preserve"> </w:t>
      </w:r>
      <w:r w:rsidRPr="002102F3">
        <w:rPr>
          <w:rFonts w:cs="Arial" w:hint="cs"/>
          <w:rtl/>
        </w:rPr>
        <w:t>טעם</w:t>
      </w:r>
      <w:r w:rsidRPr="002102F3">
        <w:rPr>
          <w:rFonts w:cs="Arial"/>
          <w:rtl/>
        </w:rPr>
        <w:t xml:space="preserve"> </w:t>
      </w:r>
      <w:r w:rsidRPr="002102F3">
        <w:rPr>
          <w:rFonts w:cs="Arial" w:hint="cs"/>
          <w:rtl/>
        </w:rPr>
        <w:t>אחר</w:t>
      </w:r>
      <w:r w:rsidRPr="002102F3">
        <w:rPr>
          <w:rFonts w:cs="Arial"/>
          <w:rtl/>
        </w:rPr>
        <w:t xml:space="preserve"> </w:t>
      </w:r>
      <w:r w:rsidRPr="002102F3">
        <w:rPr>
          <w:rFonts w:cs="Arial" w:hint="cs"/>
          <w:rtl/>
        </w:rPr>
        <w:t>שהוא</w:t>
      </w:r>
      <w:r w:rsidRPr="002102F3">
        <w:rPr>
          <w:rFonts w:cs="Arial"/>
          <w:rtl/>
        </w:rPr>
        <w:t xml:space="preserve"> </w:t>
      </w:r>
      <w:r w:rsidRPr="002102F3">
        <w:rPr>
          <w:rFonts w:cs="Arial" w:hint="cs"/>
          <w:rtl/>
        </w:rPr>
        <w:t>כדי</w:t>
      </w:r>
      <w:r w:rsidRPr="002102F3">
        <w:rPr>
          <w:rFonts w:cs="Arial"/>
          <w:rtl/>
        </w:rPr>
        <w:t xml:space="preserve"> </w:t>
      </w:r>
      <w:r w:rsidRPr="002102F3">
        <w:rPr>
          <w:rFonts w:cs="Arial" w:hint="cs"/>
          <w:rtl/>
        </w:rPr>
        <w:t>שלא</w:t>
      </w:r>
      <w:r w:rsidRPr="002102F3">
        <w:rPr>
          <w:rFonts w:cs="Arial"/>
          <w:rtl/>
        </w:rPr>
        <w:t xml:space="preserve"> </w:t>
      </w:r>
      <w:r w:rsidRPr="002102F3">
        <w:rPr>
          <w:rFonts w:cs="Arial" w:hint="cs"/>
          <w:rtl/>
        </w:rPr>
        <w:t>יצטרכו</w:t>
      </w:r>
      <w:r w:rsidRPr="002102F3">
        <w:rPr>
          <w:rFonts w:cs="Arial"/>
          <w:rtl/>
        </w:rPr>
        <w:t xml:space="preserve"> </w:t>
      </w:r>
      <w:r w:rsidRPr="002102F3">
        <w:rPr>
          <w:rFonts w:cs="Arial" w:hint="cs"/>
          <w:rtl/>
        </w:rPr>
        <w:t>לחזר</w:t>
      </w:r>
      <w:r w:rsidRPr="002102F3">
        <w:rPr>
          <w:rFonts w:cs="Arial"/>
          <w:rtl/>
        </w:rPr>
        <w:t xml:space="preserve"> </w:t>
      </w:r>
      <w:r w:rsidRPr="002102F3">
        <w:rPr>
          <w:rFonts w:cs="Arial" w:hint="cs"/>
          <w:rtl/>
        </w:rPr>
        <w:t>אחר</w:t>
      </w:r>
      <w:r w:rsidRPr="002102F3">
        <w:rPr>
          <w:rFonts w:cs="Arial"/>
          <w:rtl/>
        </w:rPr>
        <w:t xml:space="preserve"> </w:t>
      </w:r>
      <w:r w:rsidRPr="002102F3">
        <w:rPr>
          <w:rFonts w:cs="Arial" w:hint="cs"/>
          <w:rtl/>
        </w:rPr>
        <w:t>נר</w:t>
      </w:r>
      <w:r w:rsidRPr="002102F3">
        <w:rPr>
          <w:rFonts w:cs="Arial"/>
          <w:rtl/>
        </w:rPr>
        <w:t xml:space="preserve"> </w:t>
      </w:r>
      <w:r w:rsidRPr="002102F3">
        <w:rPr>
          <w:rFonts w:cs="Arial" w:hint="cs"/>
          <w:rtl/>
        </w:rPr>
        <w:t>להדליק</w:t>
      </w:r>
      <w:r w:rsidRPr="002102F3">
        <w:rPr>
          <w:rFonts w:cs="Arial"/>
          <w:rtl/>
        </w:rPr>
        <w:t xml:space="preserve"> </w:t>
      </w:r>
      <w:r w:rsidRPr="002102F3">
        <w:rPr>
          <w:rFonts w:cs="Arial" w:hint="cs"/>
          <w:rtl/>
        </w:rPr>
        <w:t>ממנו</w:t>
      </w:r>
      <w:r w:rsidRPr="002102F3">
        <w:rPr>
          <w:rFonts w:cs="Arial"/>
          <w:rtl/>
        </w:rPr>
        <w:t xml:space="preserve"> </w:t>
      </w:r>
      <w:r w:rsidRPr="002102F3">
        <w:rPr>
          <w:rFonts w:cs="Arial" w:hint="cs"/>
          <w:rtl/>
        </w:rPr>
        <w:t>כשיגיע</w:t>
      </w:r>
      <w:r w:rsidRPr="002102F3">
        <w:rPr>
          <w:rFonts w:cs="Arial"/>
          <w:rtl/>
        </w:rPr>
        <w:t xml:space="preserve"> </w:t>
      </w:r>
      <w:r w:rsidRPr="002102F3">
        <w:rPr>
          <w:rFonts w:cs="Arial" w:hint="cs"/>
          <w:rtl/>
        </w:rPr>
        <w:t>זמן</w:t>
      </w:r>
      <w:r w:rsidRPr="002102F3">
        <w:rPr>
          <w:rFonts w:cs="Arial"/>
          <w:rtl/>
        </w:rPr>
        <w:t xml:space="preserve"> </w:t>
      </w:r>
      <w:r w:rsidRPr="002102F3">
        <w:rPr>
          <w:rFonts w:cs="Arial" w:hint="cs"/>
          <w:rtl/>
        </w:rPr>
        <w:t>ההדלקה</w:t>
      </w:r>
      <w:r w:rsidRPr="002102F3">
        <w:rPr>
          <w:rFonts w:cs="Arial"/>
          <w:rtl/>
        </w:rPr>
        <w:t xml:space="preserve"> </w:t>
      </w:r>
      <w:r w:rsidRPr="002102F3">
        <w:rPr>
          <w:rFonts w:cs="Arial" w:hint="cs"/>
          <w:rtl/>
        </w:rPr>
        <w:t>כי</w:t>
      </w:r>
      <w:r w:rsidRPr="002102F3">
        <w:rPr>
          <w:rFonts w:cs="Arial"/>
          <w:rtl/>
        </w:rPr>
        <w:t xml:space="preserve"> </w:t>
      </w:r>
      <w:r w:rsidRPr="002102F3">
        <w:rPr>
          <w:rFonts w:cs="Arial" w:hint="cs"/>
          <w:rtl/>
        </w:rPr>
        <w:t>אולי</w:t>
      </w:r>
      <w:r w:rsidRPr="002102F3">
        <w:rPr>
          <w:rFonts w:cs="Arial"/>
          <w:rtl/>
        </w:rPr>
        <w:t xml:space="preserve"> </w:t>
      </w:r>
      <w:r w:rsidRPr="002102F3">
        <w:rPr>
          <w:rFonts w:cs="Arial" w:hint="cs"/>
          <w:rtl/>
        </w:rPr>
        <w:t>בין</w:t>
      </w:r>
      <w:r w:rsidRPr="002102F3">
        <w:rPr>
          <w:rFonts w:cs="Arial"/>
          <w:rtl/>
        </w:rPr>
        <w:t xml:space="preserve"> </w:t>
      </w:r>
      <w:r w:rsidRPr="002102F3">
        <w:rPr>
          <w:rFonts w:cs="Arial" w:hint="cs"/>
          <w:rtl/>
        </w:rPr>
        <w:t>כך</w:t>
      </w:r>
      <w:r w:rsidRPr="002102F3">
        <w:rPr>
          <w:rFonts w:cs="Arial"/>
          <w:rtl/>
        </w:rPr>
        <w:t xml:space="preserve"> </w:t>
      </w:r>
      <w:r w:rsidRPr="002102F3">
        <w:rPr>
          <w:rFonts w:cs="Arial" w:hint="cs"/>
          <w:rtl/>
        </w:rPr>
        <w:t>ובין</w:t>
      </w:r>
      <w:r w:rsidRPr="002102F3">
        <w:rPr>
          <w:rFonts w:cs="Arial"/>
          <w:rtl/>
        </w:rPr>
        <w:t xml:space="preserve"> </w:t>
      </w:r>
      <w:r w:rsidRPr="002102F3">
        <w:rPr>
          <w:rFonts w:cs="Arial" w:hint="cs"/>
          <w:rtl/>
        </w:rPr>
        <w:t>כך</w:t>
      </w:r>
      <w:r w:rsidRPr="002102F3">
        <w:rPr>
          <w:rFonts w:cs="Arial"/>
          <w:rtl/>
        </w:rPr>
        <w:t xml:space="preserve"> </w:t>
      </w:r>
      <w:r w:rsidRPr="002102F3">
        <w:rPr>
          <w:rFonts w:cs="Arial" w:hint="cs"/>
          <w:rtl/>
        </w:rPr>
        <w:t>יהיה</w:t>
      </w:r>
      <w:r w:rsidRPr="002102F3">
        <w:rPr>
          <w:rFonts w:cs="Arial"/>
          <w:rtl/>
        </w:rPr>
        <w:t xml:space="preserve"> </w:t>
      </w:r>
      <w:r w:rsidRPr="002102F3">
        <w:rPr>
          <w:rFonts w:cs="Arial" w:hint="cs"/>
          <w:rtl/>
        </w:rPr>
        <w:t>ספק</w:t>
      </w:r>
      <w:r w:rsidRPr="002102F3">
        <w:rPr>
          <w:rFonts w:cs="Arial"/>
          <w:rtl/>
        </w:rPr>
        <w:t xml:space="preserve"> </w:t>
      </w:r>
      <w:r w:rsidRPr="002102F3">
        <w:rPr>
          <w:rFonts w:cs="Arial" w:hint="cs"/>
          <w:rtl/>
        </w:rPr>
        <w:t>חשיכה</w:t>
      </w:r>
      <w:r w:rsidRPr="002102F3">
        <w:rPr>
          <w:rFonts w:cs="Arial"/>
          <w:rtl/>
        </w:rPr>
        <w:t xml:space="preserve"> </w:t>
      </w:r>
      <w:r w:rsidRPr="002102F3">
        <w:rPr>
          <w:rFonts w:cs="Arial" w:hint="cs"/>
          <w:rtl/>
        </w:rPr>
        <w:t>וימנע</w:t>
      </w:r>
      <w:r w:rsidRPr="002102F3">
        <w:rPr>
          <w:rFonts w:cs="Arial"/>
          <w:rtl/>
        </w:rPr>
        <w:t xml:space="preserve"> </w:t>
      </w:r>
      <w:r w:rsidRPr="002102F3">
        <w:rPr>
          <w:rFonts w:cs="Arial" w:hint="cs"/>
          <w:rtl/>
        </w:rPr>
        <w:t>מלהדליק</w:t>
      </w:r>
      <w:r>
        <w:rPr>
          <w:rFonts w:cs="Arial" w:hint="cs"/>
          <w:rtl/>
        </w:rPr>
        <w:t>, ב"י.</w:t>
      </w:r>
      <w:r w:rsidRPr="0075388A">
        <w:rPr>
          <w:rFonts w:cs="Arial"/>
          <w:rtl/>
        </w:rPr>
        <w:t xml:space="preserve"> </w:t>
      </w:r>
      <w:r w:rsidRPr="0075388A">
        <w:rPr>
          <w:rFonts w:cs="Arial" w:hint="cs"/>
          <w:rtl/>
        </w:rPr>
        <w:t>ואין</w:t>
      </w:r>
      <w:r w:rsidRPr="0075388A">
        <w:rPr>
          <w:rFonts w:cs="Arial"/>
          <w:rtl/>
        </w:rPr>
        <w:t xml:space="preserve"> </w:t>
      </w:r>
      <w:r w:rsidRPr="0075388A">
        <w:rPr>
          <w:rFonts w:cs="Arial" w:hint="cs"/>
          <w:rtl/>
        </w:rPr>
        <w:t>זה</w:t>
      </w:r>
      <w:r w:rsidRPr="0075388A">
        <w:rPr>
          <w:rFonts w:cs="Arial"/>
          <w:rtl/>
        </w:rPr>
        <w:t xml:space="preserve"> </w:t>
      </w:r>
      <w:r w:rsidRPr="0075388A">
        <w:rPr>
          <w:rFonts w:cs="Arial" w:hint="cs"/>
          <w:rtl/>
        </w:rPr>
        <w:t>המנהג</w:t>
      </w:r>
      <w:r w:rsidRPr="0075388A">
        <w:rPr>
          <w:rFonts w:cs="Arial"/>
          <w:rtl/>
        </w:rPr>
        <w:t xml:space="preserve"> </w:t>
      </w:r>
      <w:r w:rsidRPr="0075388A">
        <w:rPr>
          <w:rFonts w:cs="Arial" w:hint="cs"/>
          <w:rtl/>
        </w:rPr>
        <w:t>נהוג</w:t>
      </w:r>
      <w:r w:rsidRPr="0075388A">
        <w:rPr>
          <w:rFonts w:cs="Arial"/>
          <w:rtl/>
        </w:rPr>
        <w:t xml:space="preserve"> </w:t>
      </w:r>
      <w:r w:rsidRPr="0075388A">
        <w:rPr>
          <w:rFonts w:cs="Arial" w:hint="cs"/>
          <w:rtl/>
        </w:rPr>
        <w:t>בינינו</w:t>
      </w:r>
      <w:r>
        <w:rPr>
          <w:rFonts w:cs="Arial" w:hint="cs"/>
          <w:rtl/>
        </w:rPr>
        <w:t xml:space="preserve">, דרכ"מ (אות </w:t>
      </w:r>
      <w:r w:rsidRPr="0075388A">
        <w:rPr>
          <w:rFonts w:cs="Arial" w:hint="cs"/>
          <w:rtl/>
        </w:rPr>
        <w:t>ט</w:t>
      </w:r>
      <w:r w:rsidRPr="0075388A">
        <w:rPr>
          <w:rFonts w:cs="Arial"/>
          <w:rtl/>
        </w:rPr>
        <w:t>)</w:t>
      </w:r>
      <w:r>
        <w:rPr>
          <w:rFonts w:cs="Arial" w:hint="cs"/>
          <w:rtl/>
        </w:rPr>
        <w:t>.</w:t>
      </w:r>
    </w:p>
  </w:footnote>
  <w:footnote w:id="675">
    <w:p w14:paraId="32804A28" w14:textId="77777777" w:rsidR="004B2E7C" w:rsidRDefault="004B2E7C" w:rsidP="00285819">
      <w:pPr>
        <w:pStyle w:val="a7"/>
        <w:rPr>
          <w:rtl/>
        </w:rPr>
      </w:pPr>
      <w:r>
        <w:rPr>
          <w:rStyle w:val="a9"/>
        </w:rPr>
        <w:footnoteRef/>
      </w:r>
      <w:r w:rsidRPr="0050228F">
        <w:rPr>
          <w:rFonts w:cs="Arial"/>
          <w:rtl/>
        </w:rPr>
        <w:t xml:space="preserve"> ובהגהות מיימוניות פ"ה (אות ו) דפשתן עדיף להדליק בו מבכל דבר</w:t>
      </w:r>
      <w:r>
        <w:rPr>
          <w:rFonts w:cs="Arial" w:hint="cs"/>
          <w:rtl/>
        </w:rPr>
        <w:t>, דרכ"מ (אות א).</w:t>
      </w:r>
    </w:p>
  </w:footnote>
  <w:footnote w:id="676">
    <w:p w14:paraId="7EA9A6BC" w14:textId="77777777" w:rsidR="004B2E7C" w:rsidRDefault="004B2E7C" w:rsidP="00285819">
      <w:pPr>
        <w:pStyle w:val="a7"/>
      </w:pPr>
      <w:r>
        <w:rPr>
          <w:rStyle w:val="a9"/>
        </w:rPr>
        <w:footnoteRef/>
      </w:r>
      <w:r>
        <w:rPr>
          <w:rtl/>
        </w:rPr>
        <w:t xml:space="preserve"> </w:t>
      </w:r>
      <w:r w:rsidRPr="00ED137E">
        <w:rPr>
          <w:rFonts w:cs="Arial"/>
          <w:rtl/>
        </w:rPr>
        <w:t>ואין נראה לר"ת דא"כ יהא אסור להדליק בו ומעשים בכל יום שמדליקין בצמר גפן וגם טוב מאד לפתילה ואור"י ודאי מותר להדליק בקנבוס וצמר גפן דאינם יוצאים מן העץ אלא זרע הוא כדאמרי' במנחות קנבוס ולוף אסרה תורה שאר זרעים כו' ופשתן נמי מין זרע כמו קנבוס אלא דאיצטריך במתני' למשרי פשתן משום דאיקרי עץ כדכתיב ותטמנם בפשתי העץ וכמו עץ הדעת למ"ד חטה היתה וקרי לה עץ אף על פי שאינה עץ ועוד דאמר בכיצד מברכין (ברכות דף מ: ושם) כל היכא דאי שקלת לפירא ולא הדר אילנא ומפיק לא מברכינן עליה בורא פרי העץ ופשתן וקנבוס וצמר גפן אי שקלת לפירא היינו הזרע לא הדר אילנא ומפיק הלכך לאו יוצא מן העץ נינהו</w:t>
      </w:r>
      <w:r>
        <w:rPr>
          <w:rFonts w:cs="Arial" w:hint="cs"/>
          <w:rtl/>
        </w:rPr>
        <w:t>, תוס' (כז: ד"ה כל היוצא)</w:t>
      </w:r>
      <w:r w:rsidRPr="00ED137E">
        <w:rPr>
          <w:rFonts w:cs="Arial"/>
          <w:rtl/>
        </w:rPr>
        <w:t>.</w:t>
      </w:r>
    </w:p>
  </w:footnote>
  <w:footnote w:id="677">
    <w:p w14:paraId="4D6E8211" w14:textId="77777777" w:rsidR="004B2E7C" w:rsidRDefault="004B2E7C" w:rsidP="00285819">
      <w:pPr>
        <w:pStyle w:val="a7"/>
      </w:pPr>
      <w:r>
        <w:rPr>
          <w:rStyle w:val="a9"/>
        </w:rPr>
        <w:footnoteRef/>
      </w:r>
      <w:r>
        <w:rPr>
          <w:rtl/>
        </w:rPr>
        <w:t xml:space="preserve"> </w:t>
      </w:r>
      <w:r w:rsidRPr="00917C63">
        <w:rPr>
          <w:rFonts w:cs="Arial"/>
          <w:rtl/>
        </w:rPr>
        <w:t>גאונים (ספר העיתים סימן יב</w:t>
      </w:r>
      <w:r>
        <w:rPr>
          <w:rFonts w:cs="Arial" w:hint="cs"/>
          <w:rtl/>
        </w:rPr>
        <w:t>, הביאו הרא"ש [שם]</w:t>
      </w:r>
      <w:r w:rsidRPr="00917C63">
        <w:rPr>
          <w:rFonts w:cs="Arial"/>
          <w:rtl/>
        </w:rPr>
        <w:t>)</w:t>
      </w:r>
      <w:r>
        <w:rPr>
          <w:rFonts w:cs="Arial" w:hint="cs"/>
          <w:rtl/>
        </w:rPr>
        <w:t xml:space="preserve"> </w:t>
      </w:r>
      <w:r w:rsidRPr="001D2D8A">
        <w:rPr>
          <w:rFonts w:cs="Arial"/>
          <w:rtl/>
        </w:rPr>
        <w:t xml:space="preserve">ר"ת </w:t>
      </w:r>
      <w:r>
        <w:rPr>
          <w:rFonts w:cs="Arial" w:hint="cs"/>
          <w:rtl/>
        </w:rPr>
        <w:t xml:space="preserve">(בתוס' כז: ד"ה כל היוצא) ר"י (בתוס' שם) </w:t>
      </w:r>
      <w:r w:rsidRPr="00917C63">
        <w:rPr>
          <w:rFonts w:cs="Arial"/>
          <w:rtl/>
        </w:rPr>
        <w:t xml:space="preserve">רמב"ם </w:t>
      </w:r>
      <w:r>
        <w:rPr>
          <w:rFonts w:cs="Arial" w:hint="cs"/>
          <w:rtl/>
        </w:rPr>
        <w:t>(</w:t>
      </w:r>
      <w:r w:rsidRPr="00917C63">
        <w:rPr>
          <w:rFonts w:cs="Arial"/>
          <w:rtl/>
        </w:rPr>
        <w:t>פ</w:t>
      </w:r>
      <w:r>
        <w:rPr>
          <w:rFonts w:cs="Arial" w:hint="cs"/>
          <w:rtl/>
        </w:rPr>
        <w:t xml:space="preserve">"ה </w:t>
      </w:r>
      <w:r w:rsidRPr="00917C63">
        <w:rPr>
          <w:rFonts w:cs="Arial"/>
          <w:rtl/>
        </w:rPr>
        <w:t>ה"ה)</w:t>
      </w:r>
      <w:r>
        <w:rPr>
          <w:rFonts w:cs="Arial" w:hint="cs"/>
          <w:rtl/>
        </w:rPr>
        <w:t xml:space="preserve"> </w:t>
      </w:r>
      <w:r w:rsidRPr="00917C63">
        <w:rPr>
          <w:rFonts w:cs="Arial"/>
          <w:rtl/>
        </w:rPr>
        <w:t xml:space="preserve">תרומה (סי' רכז) סמ"ג (ל"ת סה, טז ע"א) רא"ש </w:t>
      </w:r>
      <w:r>
        <w:rPr>
          <w:rFonts w:cs="Arial" w:hint="cs"/>
          <w:rtl/>
        </w:rPr>
        <w:t>(</w:t>
      </w:r>
      <w:r w:rsidRPr="00917C63">
        <w:rPr>
          <w:rFonts w:cs="Arial"/>
          <w:rtl/>
        </w:rPr>
        <w:t xml:space="preserve">שם </w:t>
      </w:r>
      <w:r>
        <w:rPr>
          <w:rFonts w:cs="Arial" w:hint="cs"/>
          <w:rtl/>
        </w:rPr>
        <w:t xml:space="preserve">ר"פ במה מדליקין </w:t>
      </w:r>
      <w:r w:rsidRPr="00917C63">
        <w:rPr>
          <w:rFonts w:cs="Arial"/>
          <w:rtl/>
        </w:rPr>
        <w:t xml:space="preserve">סי' א) </w:t>
      </w:r>
      <w:r>
        <w:rPr>
          <w:rFonts w:cs="Arial" w:hint="cs"/>
          <w:rtl/>
        </w:rPr>
        <w:t>רי"ו (</w:t>
      </w:r>
      <w:r w:rsidRPr="00917C63">
        <w:rPr>
          <w:rFonts w:cs="Arial"/>
          <w:rtl/>
        </w:rPr>
        <w:t>ח"ב סו ע"ד)</w:t>
      </w:r>
      <w:r>
        <w:rPr>
          <w:rFonts w:cs="Arial" w:hint="cs"/>
          <w:rtl/>
        </w:rPr>
        <w:t xml:space="preserve"> </w:t>
      </w:r>
      <w:r w:rsidRPr="007166D7">
        <w:rPr>
          <w:rFonts w:cs="Arial" w:hint="cs"/>
          <w:rtl/>
        </w:rPr>
        <w:t>ו</w:t>
      </w:r>
      <w:r w:rsidRPr="007166D7">
        <w:rPr>
          <w:rFonts w:cs="Arial"/>
          <w:rtl/>
        </w:rPr>
        <w:t xml:space="preserve">ר"ן </w:t>
      </w:r>
      <w:r w:rsidRPr="007166D7">
        <w:rPr>
          <w:rFonts w:cs="Arial" w:hint="cs"/>
          <w:rtl/>
        </w:rPr>
        <w:t>(</w:t>
      </w:r>
      <w:r w:rsidRPr="007166D7">
        <w:rPr>
          <w:rFonts w:cs="Arial"/>
          <w:rtl/>
        </w:rPr>
        <w:t>שם יב. ד"ה מתני')</w:t>
      </w:r>
      <w:r>
        <w:rPr>
          <w:rFonts w:hint="cs"/>
          <w:rtl/>
        </w:rPr>
        <w:t>.</w:t>
      </w:r>
    </w:p>
  </w:footnote>
  <w:footnote w:id="678">
    <w:p w14:paraId="2380A51D" w14:textId="77777777" w:rsidR="004B2E7C" w:rsidRDefault="004B2E7C" w:rsidP="00285819">
      <w:pPr>
        <w:pStyle w:val="a7"/>
      </w:pPr>
      <w:r>
        <w:rPr>
          <w:rStyle w:val="a9"/>
        </w:rPr>
        <w:footnoteRef/>
      </w:r>
      <w:r>
        <w:rPr>
          <w:rtl/>
        </w:rPr>
        <w:t xml:space="preserve"> </w:t>
      </w:r>
      <w:r>
        <w:rPr>
          <w:rFonts w:hint="cs"/>
          <w:rtl/>
        </w:rPr>
        <w:t xml:space="preserve">וז"ל- </w:t>
      </w:r>
      <w:r w:rsidRPr="005F6B00">
        <w:rPr>
          <w:rFonts w:cs="Arial"/>
          <w:rtl/>
        </w:rPr>
        <w:t>מדקאמר מדליקין בהן בחנוכה בשבת שמע מינה אסור להשתמש לאורה אלמא היכא דמותר להשתמש לאורה של הנר אין להדליק (בשבת) כי אם משמנים שהתירו חכמים להדליק על השולחן אם כן פעמים שנותנין נר דולק מע"ש תוך המרתף שיראה למשוך יין בלילה או בחדר שהוא רוצה לשכב אותו נר אסור להיות מחתיכת חלב על הפתילה כי אם משמנים שהתירו חכמים להדליק לצורך לאכול שהרי נר חנוכה היו נותנין על הפתח מבחוץ ושם לא היו אוכלין אלא לצורך תשמיש אחר וקאמר דוקא משום דאסור להשתמש לאורה</w:t>
      </w:r>
      <w:r>
        <w:rPr>
          <w:rFonts w:cs="Arial" w:hint="cs"/>
          <w:rtl/>
        </w:rPr>
        <w:t>.</w:t>
      </w:r>
    </w:p>
  </w:footnote>
  <w:footnote w:id="679">
    <w:p w14:paraId="194B0255" w14:textId="77777777" w:rsidR="004B2E7C" w:rsidRDefault="004B2E7C" w:rsidP="00285819">
      <w:pPr>
        <w:pStyle w:val="a7"/>
      </w:pPr>
      <w:r>
        <w:rPr>
          <w:rStyle w:val="a9"/>
        </w:rPr>
        <w:footnoteRef/>
      </w:r>
      <w:r>
        <w:rPr>
          <w:rtl/>
        </w:rPr>
        <w:t xml:space="preserve"> </w:t>
      </w:r>
      <w:r w:rsidRPr="002E69F9">
        <w:rPr>
          <w:rFonts w:cs="Arial"/>
          <w:rtl/>
        </w:rPr>
        <w:t>אפילו נר שהדליקו במרתף למשוך יין לאורו או בחדר יש לו כל דין האמור וכן כתבו כל גדולי צרפת וכן הנהיג הר"מ ודלא כראבי"ה שכתב דלא צריך אלא בנר שאוכלים בו</w:t>
      </w:r>
      <w:r>
        <w:rPr>
          <w:rFonts w:cs="Arial" w:hint="cs"/>
          <w:rtl/>
        </w:rPr>
        <w:t>,</w:t>
      </w:r>
      <w:r w:rsidRPr="00A46B43">
        <w:rPr>
          <w:rFonts w:cs="Arial" w:hint="cs"/>
          <w:rtl/>
        </w:rPr>
        <w:t xml:space="preserve"> </w:t>
      </w:r>
      <w:r>
        <w:rPr>
          <w:rFonts w:cs="Arial" w:hint="cs"/>
          <w:rtl/>
        </w:rPr>
        <w:t>הגה"מ</w:t>
      </w:r>
      <w:r w:rsidRPr="002E69F9">
        <w:rPr>
          <w:rFonts w:cs="Arial"/>
          <w:rtl/>
        </w:rPr>
        <w:t xml:space="preserve"> </w:t>
      </w:r>
      <w:r>
        <w:rPr>
          <w:rFonts w:cs="Arial" w:hint="cs"/>
          <w:rtl/>
        </w:rPr>
        <w:t>(</w:t>
      </w:r>
      <w:r w:rsidRPr="002E69F9">
        <w:rPr>
          <w:rFonts w:cs="Arial"/>
          <w:rtl/>
        </w:rPr>
        <w:t>פ"ה אות ח, י)</w:t>
      </w:r>
      <w:r>
        <w:rPr>
          <w:rFonts w:cs="Arial" w:hint="cs"/>
          <w:rtl/>
        </w:rPr>
        <w:t>.</w:t>
      </w:r>
    </w:p>
  </w:footnote>
  <w:footnote w:id="680">
    <w:p w14:paraId="6DA54494" w14:textId="77777777" w:rsidR="004B2E7C" w:rsidRDefault="004B2E7C" w:rsidP="00285819">
      <w:pPr>
        <w:pStyle w:val="a7"/>
      </w:pPr>
      <w:r>
        <w:rPr>
          <w:rStyle w:val="a9"/>
        </w:rPr>
        <w:footnoteRef/>
      </w:r>
      <w:r>
        <w:rPr>
          <w:rtl/>
        </w:rPr>
        <w:t xml:space="preserve"> </w:t>
      </w:r>
      <w:r>
        <w:rPr>
          <w:rFonts w:hint="cs"/>
          <w:rtl/>
        </w:rPr>
        <w:t xml:space="preserve">וז"ל- </w:t>
      </w:r>
      <w:r w:rsidRPr="005F6B00">
        <w:rPr>
          <w:rFonts w:cs="Arial"/>
          <w:rtl/>
        </w:rPr>
        <w:t>שמעתי ממהר"א זצ"ל ששמע באם שיש רק נר א' כשר בבית ע"י זה יזכור ולא יטה שאר נרות שבחדר ושבמרתף ור"ש מקוצי אומר דבר שיכול לעשות בלא נר כגון להוציא יין מן החבית מותר להשתמש לאור כל נר [תוספות ישנים]</w:t>
      </w:r>
      <w:r>
        <w:rPr>
          <w:rFonts w:cs="Arial" w:hint="cs"/>
          <w:rtl/>
        </w:rPr>
        <w:t>.</w:t>
      </w:r>
    </w:p>
  </w:footnote>
  <w:footnote w:id="681">
    <w:p w14:paraId="7844C977" w14:textId="77777777" w:rsidR="004B2E7C" w:rsidRDefault="004B2E7C" w:rsidP="00285819">
      <w:pPr>
        <w:pStyle w:val="a7"/>
        <w:rPr>
          <w:rtl/>
        </w:rPr>
      </w:pPr>
      <w:r>
        <w:rPr>
          <w:rStyle w:val="a9"/>
        </w:rPr>
        <w:footnoteRef/>
      </w:r>
      <w:r>
        <w:rPr>
          <w:rtl/>
        </w:rPr>
        <w:t xml:space="preserve"> </w:t>
      </w:r>
      <w:r>
        <w:rPr>
          <w:rFonts w:cs="Arial" w:hint="cs"/>
          <w:rtl/>
        </w:rPr>
        <w:t>הב"י הביא רק את ההגה על המרדכי (בסי' רסג), וכתב ש'</w:t>
      </w:r>
      <w:r w:rsidRPr="002E69F9">
        <w:rPr>
          <w:rFonts w:cs="Arial"/>
          <w:rtl/>
        </w:rPr>
        <w:t>לא סמך רבינו</w:t>
      </w:r>
      <w:r>
        <w:rPr>
          <w:rFonts w:cs="Arial" w:hint="cs"/>
          <w:sz w:val="16"/>
          <w:szCs w:val="16"/>
          <w:rtl/>
        </w:rPr>
        <w:t xml:space="preserve"> {הטור}</w:t>
      </w:r>
      <w:r w:rsidRPr="002E69F9">
        <w:rPr>
          <w:rFonts w:cs="Arial"/>
          <w:rtl/>
        </w:rPr>
        <w:t xml:space="preserve"> על זה</w:t>
      </w:r>
      <w:r>
        <w:rPr>
          <w:rFonts w:cs="Arial" w:hint="cs"/>
          <w:rtl/>
        </w:rPr>
        <w:t>'</w:t>
      </w:r>
      <w:r>
        <w:rPr>
          <w:rFonts w:cs="Arial" w:hint="cs"/>
          <w:sz w:val="16"/>
          <w:szCs w:val="16"/>
          <w:rtl/>
        </w:rPr>
        <w:t xml:space="preserve"> {היינו על ההגה}</w:t>
      </w:r>
      <w:r>
        <w:rPr>
          <w:rFonts w:cs="Arial" w:hint="cs"/>
          <w:rtl/>
        </w:rPr>
        <w:t>.</w:t>
      </w:r>
    </w:p>
  </w:footnote>
  <w:footnote w:id="682">
    <w:p w14:paraId="01F1C30F" w14:textId="77777777" w:rsidR="004B2E7C" w:rsidRDefault="004B2E7C" w:rsidP="00285819">
      <w:pPr>
        <w:pStyle w:val="a7"/>
        <w:rPr>
          <w:rtl/>
        </w:rPr>
      </w:pPr>
      <w:r>
        <w:rPr>
          <w:rStyle w:val="a9"/>
        </w:rPr>
        <w:footnoteRef/>
      </w:r>
      <w:r>
        <w:rPr>
          <w:rtl/>
        </w:rPr>
        <w:t xml:space="preserve"> </w:t>
      </w:r>
      <w:r w:rsidRPr="007E279C">
        <w:rPr>
          <w:rFonts w:cs="Arial"/>
          <w:rtl/>
        </w:rPr>
        <w:t>אפי' תשמיש שאין צריך עיון שמא יטה דאלו בדבר שצריך עיון אסור לעשות בשבת לאור הנר אפילו בנר יפה כבסימן ער"ה והט"ז לקמן בסימן תרע"ג כתב דבעניננו אפילו ביש אחר עמו שרואה אותו אפילו הכי אסור דא"א ליזהר שלא יטה</w:t>
      </w:r>
      <w:r>
        <w:rPr>
          <w:rFonts w:hint="cs"/>
          <w:rtl/>
        </w:rPr>
        <w:t>, משנ"ב</w:t>
      </w:r>
      <w:r w:rsidRPr="007E279C">
        <w:rPr>
          <w:rFonts w:hint="cs"/>
          <w:sz w:val="16"/>
          <w:szCs w:val="16"/>
          <w:rtl/>
        </w:rPr>
        <w:t xml:space="preserve"> (סק"ד)</w:t>
      </w:r>
      <w:r>
        <w:rPr>
          <w:rFonts w:hint="cs"/>
          <w:rtl/>
        </w:rPr>
        <w:t>.</w:t>
      </w:r>
    </w:p>
  </w:footnote>
  <w:footnote w:id="683">
    <w:p w14:paraId="32D4CE6C" w14:textId="77777777" w:rsidR="004B2E7C" w:rsidRDefault="004B2E7C" w:rsidP="00285819">
      <w:pPr>
        <w:pStyle w:val="a7"/>
      </w:pPr>
      <w:r>
        <w:rPr>
          <w:rStyle w:val="a9"/>
        </w:rPr>
        <w:footnoteRef/>
      </w:r>
      <w:r>
        <w:rPr>
          <w:rtl/>
        </w:rPr>
        <w:t xml:space="preserve"> </w:t>
      </w:r>
      <w:r w:rsidRPr="00DB06D8">
        <w:rPr>
          <w:rFonts w:cs="Arial"/>
          <w:rtl/>
        </w:rPr>
        <w:t>אפילו הנרות עומדות בחדר אחר דכיון שיש במקום אחד נר כשר יזכור ולא יטה גם במקומות אחרים כן פירש במ"א ובא"ר כתב שכונת הרמ"א היינו דוקא באותו חדר עצמו ועיין בביאור הגר"א בד"ה וי"א דאם וכו' מדמה עניננו לנר חנוכה להי"א הזה ושם הלא אינו מותר להשתמש לנר חנוכה כ"א כשהנר כשר עומד אצלם ולא בחדר אחר הרי דמפרש כהא"ר וכן בספר קרבן נתנאל מחמיר כשעומד בחדר אחר</w:t>
      </w:r>
      <w:r>
        <w:rPr>
          <w:rFonts w:cs="Arial" w:hint="cs"/>
          <w:rtl/>
        </w:rPr>
        <w:t>, משנ"ב (סק"ה).</w:t>
      </w:r>
    </w:p>
  </w:footnote>
  <w:footnote w:id="684">
    <w:p w14:paraId="28FFD304" w14:textId="77777777" w:rsidR="004B2E7C" w:rsidRDefault="004B2E7C" w:rsidP="00285819">
      <w:pPr>
        <w:pStyle w:val="a7"/>
      </w:pPr>
      <w:r>
        <w:rPr>
          <w:rStyle w:val="a9"/>
        </w:rPr>
        <w:footnoteRef/>
      </w:r>
      <w:r>
        <w:rPr>
          <w:rtl/>
        </w:rPr>
        <w:t xml:space="preserve"> </w:t>
      </w:r>
      <w:r w:rsidRPr="00DB06D8">
        <w:rPr>
          <w:rFonts w:cs="Arial"/>
          <w:rtl/>
        </w:rPr>
        <w:t>הא"ר פירש דוקא כשיש עכ"פ נר אחד כשר בבית שעי"ז מותר אפילו בחדר אחר אבל שארי אחרונים פירשו דאפילו אין נר כשר כלל מותר להי"א הזה</w:t>
      </w:r>
      <w:r>
        <w:rPr>
          <w:rFonts w:cs="Arial" w:hint="cs"/>
          <w:rtl/>
        </w:rPr>
        <w:t>, משנ"ב (סק"ז).</w:t>
      </w:r>
    </w:p>
  </w:footnote>
  <w:footnote w:id="685">
    <w:p w14:paraId="794EF965" w14:textId="77777777" w:rsidR="004B2E7C" w:rsidRDefault="004B2E7C" w:rsidP="00285819">
      <w:pPr>
        <w:pStyle w:val="a7"/>
      </w:pPr>
      <w:r>
        <w:rPr>
          <w:rStyle w:val="a9"/>
        </w:rPr>
        <w:footnoteRef/>
      </w:r>
      <w:r>
        <w:rPr>
          <w:rtl/>
        </w:rPr>
        <w:t xml:space="preserve"> </w:t>
      </w:r>
      <w:r w:rsidRPr="00DB06D8">
        <w:rPr>
          <w:rFonts w:cs="Arial"/>
          <w:rtl/>
        </w:rPr>
        <w:t>ואם יש נר אחד כשר ועומד אצלו נר פסול כתב המ"א דמותר להשתמש אפילו שלא לצורך שבת דלא יהא אלא נר אחד בלחוד וכמ"ש סימן רע"ו ס"ד עי"ש ועיין בבה"ל. והיינו דוקא לענין להשתמש כשכבר הדליק ומטעם דכיון דיש לו נר כשר שמדליק יפה תו לא אתי להטות אבל אין להקל מטעם זה להדליק לכתחלה נר כשר עם פסול [פמ"ג ולבו"ש]</w:t>
      </w:r>
      <w:r>
        <w:rPr>
          <w:rFonts w:cs="Arial" w:hint="cs"/>
          <w:rtl/>
        </w:rPr>
        <w:t>, משנ"ב (סק"ח).</w:t>
      </w:r>
    </w:p>
  </w:footnote>
  <w:footnote w:id="686">
    <w:p w14:paraId="65C299B1" w14:textId="77777777" w:rsidR="004B2E7C" w:rsidRDefault="004B2E7C" w:rsidP="00285819">
      <w:pPr>
        <w:pStyle w:val="a7"/>
      </w:pPr>
      <w:r>
        <w:rPr>
          <w:rStyle w:val="a9"/>
        </w:rPr>
        <w:footnoteRef/>
      </w:r>
      <w:r>
        <w:rPr>
          <w:rtl/>
        </w:rPr>
        <w:t xml:space="preserve"> </w:t>
      </w:r>
      <w:r>
        <w:rPr>
          <w:rFonts w:cs="Arial"/>
          <w:rtl/>
        </w:rPr>
        <w:t>ולפי זה צריך לומר דלהדליק היינו להדליק בדבר הפסול בפני עצמו</w:t>
      </w:r>
      <w:r>
        <w:rPr>
          <w:rFonts w:cs="Arial" w:hint="cs"/>
          <w:rtl/>
        </w:rPr>
        <w:t>, ב"י.</w:t>
      </w:r>
    </w:p>
  </w:footnote>
  <w:footnote w:id="687">
    <w:p w14:paraId="758EFAD5" w14:textId="77777777" w:rsidR="004B2E7C" w:rsidRDefault="004B2E7C" w:rsidP="00285819">
      <w:pPr>
        <w:pStyle w:val="a7"/>
        <w:rPr>
          <w:rtl/>
        </w:rPr>
      </w:pPr>
      <w:r>
        <w:rPr>
          <w:rStyle w:val="a9"/>
        </w:rPr>
        <w:footnoteRef/>
      </w:r>
      <w:r>
        <w:rPr>
          <w:rtl/>
        </w:rPr>
        <w:t xml:space="preserve"> </w:t>
      </w:r>
      <w:r>
        <w:rPr>
          <w:rFonts w:hint="cs"/>
          <w:rtl/>
        </w:rPr>
        <w:t xml:space="preserve">וז"ל- </w:t>
      </w:r>
      <w:r w:rsidRPr="00A3045A">
        <w:rPr>
          <w:rFonts w:cs="Arial"/>
          <w:rtl/>
        </w:rPr>
        <w:t>אם להעבות הפתילה כדי להוסיף אורה אסור ואם להקשות הפתילה כדי שתהא עומדת ולא תשלשל למטה מותר</w:t>
      </w:r>
      <w:r w:rsidRPr="00A3045A">
        <w:rPr>
          <w:rFonts w:cs="Arial" w:hint="cs"/>
          <w:rtl/>
        </w:rPr>
        <w:t>.</w:t>
      </w:r>
    </w:p>
  </w:footnote>
  <w:footnote w:id="688">
    <w:p w14:paraId="0939ADED" w14:textId="77777777" w:rsidR="004B2E7C" w:rsidRDefault="004B2E7C" w:rsidP="00285819">
      <w:pPr>
        <w:pStyle w:val="a7"/>
        <w:rPr>
          <w:rtl/>
        </w:rPr>
      </w:pPr>
      <w:r>
        <w:rPr>
          <w:rStyle w:val="a9"/>
        </w:rPr>
        <w:footnoteRef/>
      </w:r>
      <w:r>
        <w:rPr>
          <w:rtl/>
        </w:rPr>
        <w:t xml:space="preserve"> </w:t>
      </w:r>
      <w:r w:rsidRPr="00A3045A">
        <w:rPr>
          <w:rFonts w:cs="Arial"/>
          <w:rtl/>
        </w:rPr>
        <w:t xml:space="preserve">וכתב הרב המגיד דהיינו כפירוש רש"י, שהוא </w:t>
      </w:r>
      <w:r>
        <w:rPr>
          <w:rFonts w:cs="Arial" w:hint="cs"/>
          <w:sz w:val="16"/>
          <w:szCs w:val="16"/>
          <w:rtl/>
        </w:rPr>
        <w:t xml:space="preserve">{הה"מ} </w:t>
      </w:r>
      <w:r w:rsidRPr="00A3045A">
        <w:rPr>
          <w:rFonts w:cs="Arial"/>
          <w:rtl/>
        </w:rPr>
        <w:t>סובר, ד</w:t>
      </w:r>
      <w:r>
        <w:rPr>
          <w:rFonts w:cs="Arial" w:hint="cs"/>
          <w:rtl/>
        </w:rPr>
        <w:t>'</w:t>
      </w:r>
      <w:r w:rsidRPr="00A3045A">
        <w:rPr>
          <w:rFonts w:cs="Arial"/>
          <w:rtl/>
        </w:rPr>
        <w:t>לא היה מדליקו</w:t>
      </w:r>
      <w:r>
        <w:rPr>
          <w:rFonts w:cs="Arial" w:hint="cs"/>
          <w:rtl/>
        </w:rPr>
        <w:t>'</w:t>
      </w:r>
      <w:r w:rsidRPr="00A3045A">
        <w:rPr>
          <w:rFonts w:cs="Arial"/>
          <w:rtl/>
        </w:rPr>
        <w:t xml:space="preserve"> דקאמר רש"י היינו שלא היה מתכוין להדליקו</w:t>
      </w:r>
      <w:r>
        <w:rPr>
          <w:rFonts w:cs="Arial" w:hint="cs"/>
          <w:rtl/>
        </w:rPr>
        <w:t>.</w:t>
      </w:r>
      <w:r w:rsidRPr="00A3045A">
        <w:rPr>
          <w:rFonts w:cs="Arial"/>
          <w:rtl/>
        </w:rPr>
        <w:t xml:space="preserve"> ולא משמע מדברי הרא"ש (סי' ב) שהוא מפרש כן, שהרי אחר פירוש רש"י כתב</w:t>
      </w:r>
      <w:r>
        <w:rPr>
          <w:rFonts w:cs="Arial" w:hint="cs"/>
          <w:rtl/>
        </w:rPr>
        <w:t xml:space="preserve"> </w:t>
      </w:r>
      <w:r>
        <w:rPr>
          <w:rFonts w:cs="Arial" w:hint="cs"/>
          <w:sz w:val="16"/>
          <w:szCs w:val="16"/>
          <w:rtl/>
        </w:rPr>
        <w:t>{וז"ל}</w:t>
      </w:r>
      <w:r>
        <w:rPr>
          <w:rFonts w:cs="Arial" w:hint="cs"/>
          <w:rtl/>
        </w:rPr>
        <w:t xml:space="preserve">- </w:t>
      </w:r>
      <w:r w:rsidRPr="007F6AAB">
        <w:rPr>
          <w:rFonts w:cs="Arial"/>
          <w:rtl/>
        </w:rPr>
        <w:t>ורב אלפס ז"ל פי' דכורך אותו תוך ראש הפתילה כדי שתהא עבה</w:t>
      </w:r>
      <w:r>
        <w:rPr>
          <w:rFonts w:cs="Arial" w:hint="cs"/>
          <w:rtl/>
        </w:rPr>
        <w:t>.</w:t>
      </w:r>
      <w:r w:rsidRPr="007F6AAB">
        <w:rPr>
          <w:rFonts w:cs="Arial"/>
          <w:rtl/>
        </w:rPr>
        <w:t xml:space="preserve"> ולשון</w:t>
      </w:r>
      <w:r>
        <w:rPr>
          <w:rFonts w:cs="Arial" w:hint="cs"/>
          <w:rtl/>
        </w:rPr>
        <w:t xml:space="preserve"> </w:t>
      </w:r>
      <w:r>
        <w:rPr>
          <w:rFonts w:cs="Arial" w:hint="cs"/>
          <w:sz w:val="16"/>
          <w:szCs w:val="16"/>
          <w:rtl/>
        </w:rPr>
        <w:t>{הגמ'}</w:t>
      </w:r>
      <w:r w:rsidRPr="007F6AAB">
        <w:rPr>
          <w:rFonts w:cs="Arial"/>
          <w:rtl/>
        </w:rPr>
        <w:t xml:space="preserve"> </w:t>
      </w:r>
      <w:r>
        <w:rPr>
          <w:rFonts w:cs="Arial" w:hint="cs"/>
          <w:rtl/>
        </w:rPr>
        <w:t>'</w:t>
      </w:r>
      <w:r w:rsidRPr="007F6AAB">
        <w:rPr>
          <w:rFonts w:cs="Arial"/>
          <w:rtl/>
        </w:rPr>
        <w:t>כורך דבר שמדליקין בו על דבר שאין מדליקין בו</w:t>
      </w:r>
      <w:r>
        <w:rPr>
          <w:rFonts w:cs="Arial" w:hint="cs"/>
          <w:rtl/>
        </w:rPr>
        <w:t>'</w:t>
      </w:r>
      <w:r w:rsidRPr="007F6AAB">
        <w:rPr>
          <w:rFonts w:cs="Arial"/>
          <w:rtl/>
        </w:rPr>
        <w:t xml:space="preserve"> משמע כפירושו</w:t>
      </w:r>
      <w:r>
        <w:rPr>
          <w:rFonts w:cs="Arial" w:hint="cs"/>
          <w:rtl/>
        </w:rPr>
        <w:t>.</w:t>
      </w:r>
      <w:r w:rsidRPr="007F6AAB">
        <w:rPr>
          <w:rFonts w:cs="Arial"/>
          <w:rtl/>
        </w:rPr>
        <w:t xml:space="preserve"> מיהו קשה דהיינו להדליק כיון שכרך אותה בתוך הפתילה לעבות אותה. וי"ל דבכוונה תליא מילתא היכא דכוון רק לעבות ראש הפתילה אף על פי שמדליקן יחד מותר</w:t>
      </w:r>
      <w:r>
        <w:rPr>
          <w:rFonts w:cs="Arial" w:hint="cs"/>
          <w:rtl/>
        </w:rPr>
        <w:t>,</w:t>
      </w:r>
      <w:r w:rsidRPr="007F6AAB">
        <w:rPr>
          <w:rFonts w:cs="Arial"/>
          <w:rtl/>
        </w:rPr>
        <w:t xml:space="preserve"> דמידי הוא טעמא אלא משום גזירה בעינייהו</w:t>
      </w:r>
      <w:r>
        <w:rPr>
          <w:rFonts w:cs="Arial" w:hint="cs"/>
          <w:rtl/>
        </w:rPr>
        <w:t>,</w:t>
      </w:r>
      <w:r w:rsidRPr="007F6AAB">
        <w:rPr>
          <w:rFonts w:cs="Arial"/>
          <w:rtl/>
        </w:rPr>
        <w:t xml:space="preserve"> והיכא דכוון להקפות ליכא למיגזר</w:t>
      </w:r>
      <w:r>
        <w:rPr>
          <w:rFonts w:cs="Arial" w:hint="cs"/>
          <w:rtl/>
        </w:rPr>
        <w:t xml:space="preserve"> </w:t>
      </w:r>
      <w:r>
        <w:rPr>
          <w:rFonts w:cs="Arial" w:hint="cs"/>
          <w:sz w:val="16"/>
          <w:szCs w:val="16"/>
          <w:rtl/>
        </w:rPr>
        <w:t>{עכ"ל הרא"ש}</w:t>
      </w:r>
      <w:r>
        <w:rPr>
          <w:rFonts w:hint="cs"/>
          <w:rtl/>
        </w:rPr>
        <w:t>.</w:t>
      </w:r>
      <w:r w:rsidRPr="002E69F9">
        <w:rPr>
          <w:rFonts w:cs="Arial"/>
          <w:rtl/>
        </w:rPr>
        <w:t xml:space="preserve"> </w:t>
      </w:r>
      <w:r w:rsidRPr="004C4CDF">
        <w:rPr>
          <w:rFonts w:cs="Arial" w:hint="cs"/>
          <w:color w:val="E36C0A" w:themeColor="accent6" w:themeShade="BF"/>
          <w:rtl/>
        </w:rPr>
        <w:t>(וכ"פ בשו"ע)</w:t>
      </w:r>
      <w:r>
        <w:rPr>
          <w:rFonts w:cs="Arial" w:hint="cs"/>
          <w:rtl/>
        </w:rPr>
        <w:t>.</w:t>
      </w:r>
    </w:p>
  </w:footnote>
  <w:footnote w:id="689">
    <w:p w14:paraId="04D209FC" w14:textId="77777777" w:rsidR="004B2E7C" w:rsidRDefault="004B2E7C" w:rsidP="00285819">
      <w:pPr>
        <w:pStyle w:val="a7"/>
      </w:pPr>
      <w:r>
        <w:rPr>
          <w:rStyle w:val="a9"/>
        </w:rPr>
        <w:footnoteRef/>
      </w:r>
      <w:r>
        <w:rPr>
          <w:rtl/>
        </w:rPr>
        <w:t xml:space="preserve"> </w:t>
      </w:r>
      <w:r>
        <w:rPr>
          <w:rFonts w:cs="Arial"/>
          <w:rtl/>
        </w:rPr>
        <w:t>מ"ש רבינו אם כיון להדליק אסור. אינו אלא לפי דברי הרי"ף</w:t>
      </w:r>
      <w:r>
        <w:rPr>
          <w:rFonts w:cs="Arial" w:hint="cs"/>
          <w:rtl/>
        </w:rPr>
        <w:t>,</w:t>
      </w:r>
      <w:r>
        <w:rPr>
          <w:rFonts w:cs="Arial"/>
          <w:rtl/>
        </w:rPr>
        <w:t xml:space="preserve"> אבל לדעת רש"י לא תליא מילתא בכוונה לפי מה שהוכחתי שסבור הרא"ש בפירוש דברי רש"י</w:t>
      </w:r>
      <w:r>
        <w:rPr>
          <w:rFonts w:cs="Arial" w:hint="cs"/>
          <w:rtl/>
        </w:rPr>
        <w:t>,</w:t>
      </w:r>
      <w:r>
        <w:rPr>
          <w:rFonts w:cs="Arial"/>
          <w:rtl/>
        </w:rPr>
        <w:t xml:space="preserve"> ואם כן לא היה לו לכתוב </w:t>
      </w:r>
      <w:r>
        <w:rPr>
          <w:rFonts w:cs="Arial" w:hint="cs"/>
          <w:rtl/>
        </w:rPr>
        <w:t>'</w:t>
      </w:r>
      <w:r>
        <w:rPr>
          <w:rFonts w:cs="Arial"/>
          <w:rtl/>
        </w:rPr>
        <w:t>אם כיון</w:t>
      </w:r>
      <w:r>
        <w:rPr>
          <w:rFonts w:cs="Arial" w:hint="cs"/>
          <w:rtl/>
        </w:rPr>
        <w:t>',</w:t>
      </w:r>
      <w:r>
        <w:rPr>
          <w:rFonts w:cs="Arial"/>
          <w:rtl/>
        </w:rPr>
        <w:t xml:space="preserve"> אלא </w:t>
      </w:r>
      <w:r>
        <w:rPr>
          <w:rFonts w:cs="Arial" w:hint="cs"/>
          <w:rtl/>
        </w:rPr>
        <w:t>'</w:t>
      </w:r>
      <w:r>
        <w:rPr>
          <w:rFonts w:cs="Arial"/>
          <w:rtl/>
        </w:rPr>
        <w:t>אם להדליק אסור</w:t>
      </w:r>
      <w:r>
        <w:rPr>
          <w:rFonts w:cs="Arial" w:hint="cs"/>
          <w:rtl/>
        </w:rPr>
        <w:t>'</w:t>
      </w:r>
      <w:r>
        <w:rPr>
          <w:rFonts w:cs="Arial"/>
          <w:rtl/>
        </w:rPr>
        <w:t xml:space="preserve"> כלשון הברייתא</w:t>
      </w:r>
      <w:r>
        <w:rPr>
          <w:rFonts w:cs="Arial" w:hint="cs"/>
          <w:rtl/>
        </w:rPr>
        <w:t>,</w:t>
      </w:r>
      <w:r>
        <w:rPr>
          <w:rFonts w:cs="Arial"/>
          <w:rtl/>
        </w:rPr>
        <w:t xml:space="preserve"> כדי שיבואו עליו דברי רש"י והרי"ף</w:t>
      </w:r>
      <w:r>
        <w:rPr>
          <w:rFonts w:cs="Arial" w:hint="cs"/>
          <w:rtl/>
        </w:rPr>
        <w:t>,</w:t>
      </w:r>
      <w:r>
        <w:rPr>
          <w:rFonts w:cs="Arial"/>
          <w:rtl/>
        </w:rPr>
        <w:t xml:space="preserve"> אלא דלא דק</w:t>
      </w:r>
      <w:r>
        <w:rPr>
          <w:rFonts w:cs="Arial" w:hint="cs"/>
          <w:rtl/>
        </w:rPr>
        <w:t>.</w:t>
      </w:r>
      <w:r>
        <w:rPr>
          <w:rFonts w:cs="Arial"/>
          <w:rtl/>
        </w:rPr>
        <w:t xml:space="preserve"> ושמא י"ל שאינו מפרש דברי רש"י כהרא"ש אלא כמו הרב המגיד</w:t>
      </w:r>
      <w:r>
        <w:rPr>
          <w:rFonts w:cs="Arial" w:hint="cs"/>
          <w:rtl/>
        </w:rPr>
        <w:t>, ב"י.</w:t>
      </w:r>
    </w:p>
  </w:footnote>
  <w:footnote w:id="690">
    <w:p w14:paraId="08D5B475" w14:textId="77777777" w:rsidR="004B2E7C" w:rsidRDefault="004B2E7C" w:rsidP="00285819">
      <w:pPr>
        <w:pStyle w:val="a7"/>
      </w:pPr>
      <w:r>
        <w:rPr>
          <w:rStyle w:val="a9"/>
        </w:rPr>
        <w:footnoteRef/>
      </w:r>
      <w:r>
        <w:rPr>
          <w:rtl/>
        </w:rPr>
        <w:t xml:space="preserve"> </w:t>
      </w:r>
      <w:r w:rsidRPr="00A3045A">
        <w:rPr>
          <w:rFonts w:cs="Arial"/>
          <w:rtl/>
        </w:rPr>
        <w:t>וכן נראה מדברי המרדכי (סי' רסד) והתרומה (סו"ס רכז) אלא שהם נסתפקו בגמי אם אסור לעשות פתילה ממנו משמע דס"ל דגמי חזי לפתילה בעיניה</w:t>
      </w:r>
      <w:r>
        <w:rPr>
          <w:rFonts w:cs="Arial" w:hint="cs"/>
          <w:rtl/>
        </w:rPr>
        <w:t>.</w:t>
      </w:r>
      <w:r w:rsidRPr="00A3045A">
        <w:rPr>
          <w:rFonts w:cs="Arial"/>
          <w:rtl/>
        </w:rPr>
        <w:t xml:space="preserve"> והרשב"א פשיטא ליה דלא חזי לפתילה בעיניה שכתב להתיר בגמי, וכ</w:t>
      </w:r>
      <w:r>
        <w:rPr>
          <w:rFonts w:cs="Arial" w:hint="cs"/>
          <w:rtl/>
        </w:rPr>
        <w:t>"כ</w:t>
      </w:r>
      <w:r w:rsidRPr="00A3045A">
        <w:rPr>
          <w:rFonts w:cs="Arial"/>
          <w:rtl/>
        </w:rPr>
        <w:t xml:space="preserve"> סמ"ק (סי' רעט הגהות הר"ף אות א), ומיהו בשל קש גם המרדכי התיר בהדיא</w:t>
      </w:r>
      <w:r w:rsidRPr="00A3045A">
        <w:rPr>
          <w:rFonts w:cs="Arial" w:hint="cs"/>
          <w:rtl/>
        </w:rPr>
        <w:t>.</w:t>
      </w:r>
      <w:r w:rsidRPr="00D92A79">
        <w:rPr>
          <w:rFonts w:cs="Arial" w:hint="cs"/>
          <w:color w:val="E36C0A" w:themeColor="accent6" w:themeShade="BF"/>
          <w:rtl/>
        </w:rPr>
        <w:t xml:space="preserve"> </w:t>
      </w:r>
      <w:r w:rsidRPr="004C4CDF">
        <w:rPr>
          <w:rFonts w:cs="Arial" w:hint="cs"/>
          <w:color w:val="E36C0A" w:themeColor="accent6" w:themeShade="BF"/>
          <w:rtl/>
        </w:rPr>
        <w:t>(וכ"פ בשו"ע)</w:t>
      </w:r>
    </w:p>
  </w:footnote>
  <w:footnote w:id="691">
    <w:p w14:paraId="0978B0EB" w14:textId="77777777" w:rsidR="004B2E7C" w:rsidRDefault="004B2E7C" w:rsidP="00285819">
      <w:pPr>
        <w:pStyle w:val="a7"/>
      </w:pPr>
      <w:r>
        <w:rPr>
          <w:rStyle w:val="a9"/>
        </w:rPr>
        <w:footnoteRef/>
      </w:r>
      <w:r>
        <w:rPr>
          <w:rtl/>
        </w:rPr>
        <w:t xml:space="preserve"> </w:t>
      </w:r>
      <w:r w:rsidRPr="008D7CE9">
        <w:rPr>
          <w:rFonts w:cs="Arial"/>
          <w:rtl/>
        </w:rPr>
        <w:t>שמן שעושין מגרעיני צמר גפן</w:t>
      </w:r>
      <w:r>
        <w:rPr>
          <w:rFonts w:cs="Arial" w:hint="cs"/>
          <w:rtl/>
        </w:rPr>
        <w:t>..., רש"י.</w:t>
      </w:r>
    </w:p>
  </w:footnote>
  <w:footnote w:id="692">
    <w:p w14:paraId="7627D4A0" w14:textId="77777777" w:rsidR="004B2E7C" w:rsidRDefault="004B2E7C" w:rsidP="00285819">
      <w:pPr>
        <w:pStyle w:val="a7"/>
      </w:pPr>
      <w:r>
        <w:rPr>
          <w:rStyle w:val="a9"/>
        </w:rPr>
        <w:footnoteRef/>
      </w:r>
      <w:r>
        <w:rPr>
          <w:rtl/>
        </w:rPr>
        <w:t xml:space="preserve"> </w:t>
      </w:r>
      <w:r w:rsidRPr="00D11ABD">
        <w:rPr>
          <w:rFonts w:cs="Arial"/>
          <w:rtl/>
        </w:rPr>
        <w:t>שמן הניתן בתוכו, ממשיכו לאחר הפתילה</w:t>
      </w:r>
      <w:r>
        <w:rPr>
          <w:rFonts w:cs="Arial" w:hint="cs"/>
          <w:rtl/>
        </w:rPr>
        <w:t>, רש"י.</w:t>
      </w:r>
    </w:p>
  </w:footnote>
  <w:footnote w:id="693">
    <w:p w14:paraId="7114F33C" w14:textId="77777777" w:rsidR="004B2E7C" w:rsidRDefault="004B2E7C" w:rsidP="00285819">
      <w:pPr>
        <w:pStyle w:val="a7"/>
      </w:pPr>
      <w:r>
        <w:rPr>
          <w:rStyle w:val="a9"/>
        </w:rPr>
        <w:footnoteRef/>
      </w:r>
      <w:r>
        <w:rPr>
          <w:rtl/>
        </w:rPr>
        <w:t xml:space="preserve"> </w:t>
      </w:r>
      <w:r w:rsidRPr="00D11ABD">
        <w:rPr>
          <w:rFonts w:cs="Arial"/>
          <w:rtl/>
        </w:rPr>
        <w:t>בעינייהו, וגזרינן הא אטו הא</w:t>
      </w:r>
      <w:r>
        <w:rPr>
          <w:rFonts w:cs="Arial" w:hint="cs"/>
          <w:rtl/>
        </w:rPr>
        <w:t>, רש"י.</w:t>
      </w:r>
    </w:p>
  </w:footnote>
  <w:footnote w:id="694">
    <w:p w14:paraId="4BC44167" w14:textId="77777777" w:rsidR="004B2E7C" w:rsidRDefault="004B2E7C" w:rsidP="00285819">
      <w:pPr>
        <w:pStyle w:val="a7"/>
      </w:pPr>
      <w:r>
        <w:rPr>
          <w:rStyle w:val="a9"/>
        </w:rPr>
        <w:footnoteRef/>
      </w:r>
      <w:r>
        <w:rPr>
          <w:rtl/>
        </w:rPr>
        <w:t xml:space="preserve"> </w:t>
      </w:r>
      <w:r w:rsidRPr="00BE542E">
        <w:rPr>
          <w:rFonts w:cs="Arial"/>
          <w:rtl/>
        </w:rPr>
        <w:t>אבל אם היה רובו משמנים הכשרים ומיעוט מהפסולים בטל ברוב ומותר</w:t>
      </w:r>
      <w:r>
        <w:rPr>
          <w:rFonts w:cs="Arial" w:hint="cs"/>
          <w:rtl/>
        </w:rPr>
        <w:t>, משנ"ב (סקי"ח).</w:t>
      </w:r>
    </w:p>
  </w:footnote>
  <w:footnote w:id="695">
    <w:p w14:paraId="430DE8F4" w14:textId="77777777" w:rsidR="004B2E7C" w:rsidRDefault="004B2E7C" w:rsidP="00285819">
      <w:pPr>
        <w:pStyle w:val="a7"/>
      </w:pPr>
      <w:r>
        <w:rPr>
          <w:rStyle w:val="a9"/>
        </w:rPr>
        <w:footnoteRef/>
      </w:r>
      <w:r>
        <w:rPr>
          <w:rtl/>
        </w:rPr>
        <w:t xml:space="preserve"> </w:t>
      </w:r>
      <w:r w:rsidRPr="00D11ABD">
        <w:rPr>
          <w:rFonts w:cs="Arial"/>
          <w:rtl/>
        </w:rPr>
        <w:t>בעינייהו, וגזרינן הא אטו הא</w:t>
      </w:r>
      <w:r>
        <w:rPr>
          <w:rFonts w:cs="Arial" w:hint="cs"/>
          <w:rtl/>
        </w:rPr>
        <w:t>, רש"י.</w:t>
      </w:r>
    </w:p>
  </w:footnote>
  <w:footnote w:id="696">
    <w:p w14:paraId="07AEBEFF" w14:textId="77777777" w:rsidR="004B2E7C" w:rsidRDefault="004B2E7C" w:rsidP="00285819">
      <w:pPr>
        <w:pStyle w:val="a7"/>
      </w:pPr>
      <w:r>
        <w:rPr>
          <w:rStyle w:val="a9"/>
        </w:rPr>
        <w:footnoteRef/>
      </w:r>
      <w:r>
        <w:rPr>
          <w:rtl/>
        </w:rPr>
        <w:t xml:space="preserve"> </w:t>
      </w:r>
      <w:r>
        <w:rPr>
          <w:rFonts w:cs="Arial"/>
          <w:rtl/>
        </w:rPr>
        <w:t>פירש רש"י דהיינו חלב מבושל</w:t>
      </w:r>
      <w:r>
        <w:rPr>
          <w:rFonts w:cs="Arial" w:hint="cs"/>
          <w:rtl/>
        </w:rPr>
        <w:t>.</w:t>
      </w:r>
      <w:r>
        <w:rPr>
          <w:rFonts w:cs="Arial"/>
          <w:rtl/>
        </w:rPr>
        <w:t xml:space="preserve"> ולא מסתבר</w:t>
      </w:r>
      <w:r>
        <w:rPr>
          <w:rFonts w:cs="Arial" w:hint="cs"/>
          <w:rtl/>
        </w:rPr>
        <w:t>,</w:t>
      </w:r>
      <w:r>
        <w:rPr>
          <w:rFonts w:cs="Arial"/>
          <w:rtl/>
        </w:rPr>
        <w:t xml:space="preserve"> דהא במתניתין אסרינן חלב מבושל דומיא דשארא</w:t>
      </w:r>
      <w:r>
        <w:rPr>
          <w:rFonts w:cs="Arial" w:hint="cs"/>
          <w:rtl/>
        </w:rPr>
        <w:t>,</w:t>
      </w:r>
      <w:r>
        <w:rPr>
          <w:rFonts w:cs="Arial"/>
          <w:rtl/>
        </w:rPr>
        <w:t xml:space="preserve"> כלומר אפילו על ידי תערובות</w:t>
      </w:r>
      <w:r>
        <w:rPr>
          <w:rFonts w:cs="Arial" w:hint="cs"/>
          <w:rtl/>
        </w:rPr>
        <w:t>.</w:t>
      </w:r>
      <w:r>
        <w:rPr>
          <w:rFonts w:cs="Arial"/>
          <w:rtl/>
        </w:rPr>
        <w:t xml:space="preserve"> אלא חלב מהותך היינו מחוי שלא נקרש עדיין</w:t>
      </w:r>
      <w:r>
        <w:rPr>
          <w:rFonts w:cs="Arial" w:hint="cs"/>
          <w:rtl/>
        </w:rPr>
        <w:t>,</w:t>
      </w:r>
      <w:r>
        <w:rPr>
          <w:rFonts w:cs="Arial"/>
          <w:rtl/>
        </w:rPr>
        <w:t xml:space="preserve"> ר"ן (שם ד"ה אמר)</w:t>
      </w:r>
      <w:r>
        <w:rPr>
          <w:rFonts w:cs="Arial" w:hint="cs"/>
          <w:rtl/>
        </w:rPr>
        <w:t>.</w:t>
      </w:r>
    </w:p>
  </w:footnote>
  <w:footnote w:id="697">
    <w:p w14:paraId="55E1F4C2" w14:textId="77777777" w:rsidR="004B2E7C" w:rsidRDefault="004B2E7C" w:rsidP="00285819">
      <w:pPr>
        <w:pStyle w:val="a7"/>
      </w:pPr>
      <w:r>
        <w:rPr>
          <w:rStyle w:val="a9"/>
        </w:rPr>
        <w:footnoteRef/>
      </w:r>
      <w:r>
        <w:rPr>
          <w:rtl/>
        </w:rPr>
        <w:t xml:space="preserve"> </w:t>
      </w:r>
      <w:r>
        <w:rPr>
          <w:rFonts w:cs="Arial"/>
          <w:rtl/>
        </w:rPr>
        <w:t>כתבו התוספות (כא. ד"ה חלב) לאו היינו שמן דגים</w:t>
      </w:r>
      <w:r>
        <w:rPr>
          <w:rFonts w:cs="Arial" w:hint="cs"/>
          <w:rtl/>
        </w:rPr>
        <w:t>,</w:t>
      </w:r>
      <w:r>
        <w:rPr>
          <w:rFonts w:cs="Arial"/>
          <w:rtl/>
        </w:rPr>
        <w:t xml:space="preserve"> דשמן דגים שרי ליה מתניתין בעיניה</w:t>
      </w:r>
      <w:r>
        <w:rPr>
          <w:rFonts w:cs="Arial" w:hint="cs"/>
          <w:rtl/>
        </w:rPr>
        <w:t>.</w:t>
      </w:r>
      <w:r>
        <w:rPr>
          <w:rFonts w:cs="Arial"/>
          <w:rtl/>
        </w:rPr>
        <w:t xml:space="preserve"> </w:t>
      </w:r>
      <w:r>
        <w:rPr>
          <w:rFonts w:cs="Arial" w:hint="cs"/>
          <w:rtl/>
        </w:rPr>
        <w:t>וכ"כ רי"ו</w:t>
      </w:r>
      <w:r>
        <w:rPr>
          <w:rFonts w:cs="Arial"/>
          <w:rtl/>
        </w:rPr>
        <w:t xml:space="preserve"> בח"ב (סז.) דשמן דגים הוא שמן צלול שעושים מגלגל עינו או מבשרו</w:t>
      </w:r>
      <w:r>
        <w:rPr>
          <w:rFonts w:cs="Arial" w:hint="cs"/>
          <w:rtl/>
        </w:rPr>
        <w:t>,</w:t>
      </w:r>
      <w:r>
        <w:rPr>
          <w:rFonts w:cs="Arial"/>
          <w:rtl/>
        </w:rPr>
        <w:t xml:space="preserve"> אבל קרבי דגים שנימוח ואינו צלול אסור להדליק בו בלא תערובת שמן</w:t>
      </w:r>
      <w:r>
        <w:rPr>
          <w:rFonts w:cs="Arial" w:hint="cs"/>
          <w:rtl/>
        </w:rPr>
        <w:t>.</w:t>
      </w:r>
      <w:r>
        <w:rPr>
          <w:rFonts w:cs="Arial"/>
          <w:rtl/>
        </w:rPr>
        <w:t xml:space="preserve"> ורש"י פירש במתניתין (כד:) בשמן דגים, מקרבי דגים שנימוחו, ודייק למיכתב מקרבי כלומר שמהקרבים שנימוחו מסננין אותו ומוציאין הצלול וזהו שמן צלול דשריא מתניתין אבל כל שלא הוציאו הצלול היינו קרבי דגים דרב ברונא</w:t>
      </w:r>
      <w:r>
        <w:rPr>
          <w:rFonts w:cs="Arial" w:hint="cs"/>
          <w:rtl/>
        </w:rPr>
        <w:t>, ב"י.</w:t>
      </w:r>
    </w:p>
  </w:footnote>
  <w:footnote w:id="698">
    <w:p w14:paraId="58779230" w14:textId="77777777" w:rsidR="004B2E7C" w:rsidRDefault="004B2E7C" w:rsidP="00285819">
      <w:pPr>
        <w:pStyle w:val="a7"/>
      </w:pPr>
      <w:r>
        <w:rPr>
          <w:rStyle w:val="a9"/>
        </w:rPr>
        <w:footnoteRef/>
      </w:r>
      <w:r>
        <w:rPr>
          <w:rtl/>
        </w:rPr>
        <w:t xml:space="preserve"> </w:t>
      </w:r>
      <w:r>
        <w:rPr>
          <w:rFonts w:cs="Arial"/>
          <w:rtl/>
        </w:rPr>
        <w:t>לאו דוקא שמן זית דהוא הדין לשאר שמנים שמדליקין בהם</w:t>
      </w:r>
      <w:r>
        <w:rPr>
          <w:rFonts w:cs="Arial" w:hint="cs"/>
          <w:rtl/>
        </w:rPr>
        <w:t>, ב"י.</w:t>
      </w:r>
    </w:p>
  </w:footnote>
  <w:footnote w:id="699">
    <w:p w14:paraId="7E3021DC" w14:textId="77777777" w:rsidR="004B2E7C" w:rsidRDefault="004B2E7C" w:rsidP="00285819">
      <w:pPr>
        <w:pStyle w:val="a7"/>
      </w:pPr>
      <w:r>
        <w:rPr>
          <w:rStyle w:val="a9"/>
        </w:rPr>
        <w:footnoteRef/>
      </w:r>
      <w:r>
        <w:rPr>
          <w:rtl/>
        </w:rPr>
        <w:t xml:space="preserve"> </w:t>
      </w:r>
      <w:r w:rsidRPr="00BE542E">
        <w:rPr>
          <w:rFonts w:cs="Arial"/>
          <w:rtl/>
        </w:rPr>
        <w:t>שהתיכו אותו על האור או שהוא חלב מחוי ממעי הבהמה והוא שעדיין לא נקרשו אבל אם נקרשו הר"ן אוסר אפילו בנתינת שמן לתוכו</w:t>
      </w:r>
      <w:r>
        <w:rPr>
          <w:rFonts w:cs="Arial" w:hint="cs"/>
          <w:rtl/>
        </w:rPr>
        <w:t>,</w:t>
      </w:r>
      <w:r w:rsidRPr="00BE542E">
        <w:rPr>
          <w:rFonts w:cs="Arial"/>
          <w:rtl/>
        </w:rPr>
        <w:t xml:space="preserve"> וכתב הא"ר דכן עיקר</w:t>
      </w:r>
      <w:r>
        <w:rPr>
          <w:rFonts w:cs="Arial" w:hint="cs"/>
          <w:rtl/>
        </w:rPr>
        <w:t>.</w:t>
      </w:r>
      <w:r w:rsidRPr="00BE542E">
        <w:rPr>
          <w:rFonts w:cs="Arial"/>
          <w:rtl/>
        </w:rPr>
        <w:t xml:space="preserve"> אח"כ מצאתי בחידושי הרמב"ן והרשב"א והריטב"א שפסקו כן והביאו ראיה מירושלמי</w:t>
      </w:r>
      <w:r>
        <w:rPr>
          <w:rFonts w:cs="Arial" w:hint="cs"/>
          <w:rtl/>
        </w:rPr>
        <w:t>, משנ"ב</w:t>
      </w:r>
      <w:r w:rsidRPr="00BE542E">
        <w:rPr>
          <w:rFonts w:cs="Arial" w:hint="cs"/>
          <w:sz w:val="16"/>
          <w:szCs w:val="16"/>
          <w:rtl/>
        </w:rPr>
        <w:t xml:space="preserve"> (סק</w:t>
      </w:r>
      <w:r>
        <w:rPr>
          <w:rFonts w:cs="Arial" w:hint="cs"/>
          <w:sz w:val="16"/>
          <w:szCs w:val="16"/>
          <w:rtl/>
        </w:rPr>
        <w:t>כ</w:t>
      </w:r>
      <w:r w:rsidRPr="00BE542E">
        <w:rPr>
          <w:rFonts w:cs="Arial" w:hint="cs"/>
          <w:sz w:val="16"/>
          <w:szCs w:val="16"/>
          <w:rtl/>
        </w:rPr>
        <w:t>"</w:t>
      </w:r>
      <w:r>
        <w:rPr>
          <w:rFonts w:cs="Arial" w:hint="cs"/>
          <w:sz w:val="16"/>
          <w:szCs w:val="16"/>
          <w:rtl/>
        </w:rPr>
        <w:t>ב</w:t>
      </w:r>
      <w:r w:rsidRPr="00BE542E">
        <w:rPr>
          <w:rFonts w:cs="Arial" w:hint="cs"/>
          <w:sz w:val="16"/>
          <w:szCs w:val="16"/>
          <w:rtl/>
        </w:rPr>
        <w:t>)</w:t>
      </w:r>
      <w:r>
        <w:rPr>
          <w:rFonts w:cs="Arial" w:hint="cs"/>
          <w:rtl/>
        </w:rPr>
        <w:t>.</w:t>
      </w:r>
    </w:p>
  </w:footnote>
  <w:footnote w:id="700">
    <w:p w14:paraId="179000BE" w14:textId="77777777" w:rsidR="004B2E7C" w:rsidRDefault="004B2E7C" w:rsidP="00285819">
      <w:pPr>
        <w:pStyle w:val="a7"/>
      </w:pPr>
      <w:r>
        <w:rPr>
          <w:rStyle w:val="a9"/>
        </w:rPr>
        <w:footnoteRef/>
      </w:r>
      <w:r>
        <w:rPr>
          <w:rtl/>
        </w:rPr>
        <w:t xml:space="preserve"> </w:t>
      </w:r>
      <w:r w:rsidRPr="00DD373D">
        <w:rPr>
          <w:rFonts w:cs="Arial"/>
          <w:rtl/>
        </w:rPr>
        <w:t>ואם אין שמן זית מצוי מצוה בשאר שמנים והן קודמין לשעוה כיון דיש אוסרין בשעו' ומ"מ נר שעוה קודם לנר חלב ועסי' תרע"ג (מט"מ ושל"ה) וב"ח כ' דאף הגאונים לא החמירו אלא בשעוה עם הפסולת אבל בשעוה שלנו לא דהא עינינו רואות שאורן צלול ע"כ ועסי' ער"ה דיש מקילין יותר בנר הכרוך</w:t>
      </w:r>
      <w:r>
        <w:rPr>
          <w:rFonts w:cs="Arial" w:hint="cs"/>
          <w:rtl/>
        </w:rPr>
        <w:t>, מג"א (סקי"ב).</w:t>
      </w:r>
    </w:p>
  </w:footnote>
  <w:footnote w:id="701">
    <w:p w14:paraId="0A792A68" w14:textId="77777777" w:rsidR="004B2E7C" w:rsidRDefault="004B2E7C" w:rsidP="00285819">
      <w:pPr>
        <w:pStyle w:val="a7"/>
        <w:rPr>
          <w:rtl/>
        </w:rPr>
      </w:pPr>
      <w:r>
        <w:rPr>
          <w:rStyle w:val="a9"/>
        </w:rPr>
        <w:footnoteRef/>
      </w:r>
      <w:r>
        <w:rPr>
          <w:rtl/>
        </w:rPr>
        <w:t xml:space="preserve"> </w:t>
      </w:r>
      <w:r>
        <w:rPr>
          <w:rFonts w:cs="Arial" w:hint="cs"/>
          <w:rtl/>
        </w:rPr>
        <w:t>ופ</w:t>
      </w:r>
      <w:r w:rsidRPr="0050228F">
        <w:rPr>
          <w:rFonts w:cs="Arial"/>
          <w:rtl/>
        </w:rPr>
        <w:t>רש"י שעוה איצטריכא ליה</w:t>
      </w:r>
      <w:r>
        <w:rPr>
          <w:rFonts w:cs="Arial" w:hint="cs"/>
          <w:rtl/>
        </w:rPr>
        <w:t>,</w:t>
      </w:r>
      <w:r w:rsidRPr="0050228F">
        <w:rPr>
          <w:rFonts w:cs="Arial"/>
          <w:rtl/>
        </w:rPr>
        <w:t xml:space="preserve"> לפי שרגילין לעשות כמין פתילה ארוכה והפתילה לתוכה כמו שאנו עושין</w:t>
      </w:r>
      <w:r>
        <w:rPr>
          <w:rFonts w:cs="Arial" w:hint="cs"/>
          <w:rtl/>
        </w:rPr>
        <w:t>.</w:t>
      </w:r>
      <w:r w:rsidRPr="0050228F">
        <w:rPr>
          <w:rFonts w:cs="Arial"/>
          <w:rtl/>
        </w:rPr>
        <w:t xml:space="preserve"> וכן דעת התוס</w:t>
      </w:r>
      <w:r>
        <w:rPr>
          <w:rFonts w:cs="Arial" w:hint="cs"/>
          <w:rtl/>
        </w:rPr>
        <w:t>'</w:t>
      </w:r>
      <w:r w:rsidRPr="0050228F">
        <w:rPr>
          <w:rFonts w:cs="Arial"/>
          <w:rtl/>
        </w:rPr>
        <w:t xml:space="preserve"> </w:t>
      </w:r>
      <w:r w:rsidRPr="00D23AC0">
        <w:rPr>
          <w:rFonts w:cs="Arial"/>
          <w:sz w:val="16"/>
          <w:szCs w:val="16"/>
          <w:rtl/>
        </w:rPr>
        <w:t xml:space="preserve">(שם ד"ה עד) </w:t>
      </w:r>
      <w:r w:rsidRPr="0050228F">
        <w:rPr>
          <w:rFonts w:cs="Arial"/>
          <w:rtl/>
        </w:rPr>
        <w:t>והרא"ש (שם)</w:t>
      </w:r>
      <w:r>
        <w:rPr>
          <w:rFonts w:cs="Arial" w:hint="cs"/>
          <w:rtl/>
        </w:rPr>
        <w:t xml:space="preserve">, וז"ל התוס'- </w:t>
      </w:r>
      <w:r w:rsidRPr="00D14644">
        <w:rPr>
          <w:rFonts w:cs="Arial"/>
          <w:rtl/>
        </w:rPr>
        <w:t>בני נרבונא אוסרין נר שעוה שלנו ומפרשי הכי מהו דתימא לפתילות נמי לא שאם שם נר שעוה בנר שמן יהא אסור קמ"ל מכאן ואילך פסול שמנים כיון שיש בו שמן כשר מותר אבל נר של שעוה בלא שמן אסור להדליק</w:t>
      </w:r>
      <w:r>
        <w:rPr>
          <w:rFonts w:cs="Arial" w:hint="cs"/>
          <w:rtl/>
        </w:rPr>
        <w:t>.</w:t>
      </w:r>
      <w:r w:rsidRPr="00D14644">
        <w:rPr>
          <w:rFonts w:cs="Arial"/>
          <w:rtl/>
        </w:rPr>
        <w:t xml:space="preserve"> ולי נראה דאם אסור להדליק בלא שמן כי הניחה בשמן נמי אסור כדאמרינן לקמן כרך דבר שמדליקין על גבי דבר שאין מדליקין דאסור</w:t>
      </w:r>
      <w:r>
        <w:rPr>
          <w:rFonts w:cs="Arial" w:hint="cs"/>
          <w:rtl/>
        </w:rPr>
        <w:t>,</w:t>
      </w:r>
      <w:r w:rsidRPr="00D14644">
        <w:rPr>
          <w:rFonts w:cs="Arial"/>
          <w:rtl/>
        </w:rPr>
        <w:t xml:space="preserve"> אלא ודאי כי לא הניח בשמן נמי שרי</w:t>
      </w:r>
      <w:r>
        <w:rPr>
          <w:rFonts w:cs="Arial" w:hint="cs"/>
          <w:rtl/>
        </w:rPr>
        <w:t>.</w:t>
      </w:r>
      <w:r>
        <w:rPr>
          <w:rFonts w:hint="cs"/>
          <w:rtl/>
        </w:rPr>
        <w:t xml:space="preserve"> עכ"ל. וכ"כ הרא"ש (שם).</w:t>
      </w:r>
      <w:r w:rsidRPr="00D14644">
        <w:rPr>
          <w:rFonts w:cs="Arial"/>
          <w:rtl/>
        </w:rPr>
        <w:t xml:space="preserve"> </w:t>
      </w:r>
      <w:r w:rsidRPr="0050228F">
        <w:rPr>
          <w:rFonts w:cs="Arial"/>
          <w:rtl/>
        </w:rPr>
        <w:t>וכתב עוד הרא"ש דהרי"ף (ח:) גורס מהו דתימא נגזור פתילות אטו שמנים קמ"ל והיינו כדברי רש"י וכן נוהגים באשכנז וצרפת להדליק נרות של שעוה.</w:t>
      </w:r>
    </w:p>
  </w:footnote>
  <w:footnote w:id="702">
    <w:p w14:paraId="655C7FCA" w14:textId="77777777" w:rsidR="004B2E7C" w:rsidRDefault="004B2E7C" w:rsidP="00285819">
      <w:pPr>
        <w:pStyle w:val="a7"/>
        <w:rPr>
          <w:rtl/>
        </w:rPr>
      </w:pPr>
      <w:r>
        <w:rPr>
          <w:rStyle w:val="a9"/>
        </w:rPr>
        <w:footnoteRef/>
      </w:r>
      <w:r>
        <w:rPr>
          <w:rtl/>
        </w:rPr>
        <w:t xml:space="preserve"> </w:t>
      </w:r>
      <w:r>
        <w:rPr>
          <w:rFonts w:cs="Arial" w:hint="cs"/>
          <w:rtl/>
        </w:rPr>
        <w:t xml:space="preserve">רי"ף </w:t>
      </w:r>
      <w:r>
        <w:rPr>
          <w:rFonts w:cs="Arial" w:hint="cs"/>
          <w:sz w:val="16"/>
          <w:szCs w:val="16"/>
          <w:rtl/>
        </w:rPr>
        <w:t>(ח:)</w:t>
      </w:r>
      <w:r>
        <w:rPr>
          <w:rFonts w:cs="Arial" w:hint="cs"/>
          <w:rtl/>
        </w:rPr>
        <w:t xml:space="preserve"> </w:t>
      </w:r>
      <w:r w:rsidRPr="001D2D8A">
        <w:rPr>
          <w:rFonts w:cs="Arial"/>
          <w:rtl/>
        </w:rPr>
        <w:t xml:space="preserve">רש"י </w:t>
      </w:r>
      <w:r>
        <w:rPr>
          <w:rFonts w:cs="Arial" w:hint="cs"/>
          <w:sz w:val="16"/>
          <w:szCs w:val="16"/>
          <w:rtl/>
        </w:rPr>
        <w:t xml:space="preserve">(ד"ה שעוה) </w:t>
      </w:r>
      <w:r>
        <w:rPr>
          <w:rFonts w:cs="Arial" w:hint="cs"/>
          <w:rtl/>
        </w:rPr>
        <w:t xml:space="preserve">תוס' </w:t>
      </w:r>
      <w:r w:rsidRPr="00D23AC0">
        <w:rPr>
          <w:rFonts w:cs="Arial"/>
          <w:sz w:val="16"/>
          <w:szCs w:val="16"/>
          <w:rtl/>
        </w:rPr>
        <w:t xml:space="preserve">(שם ד"ה עד) </w:t>
      </w:r>
      <w:r w:rsidRPr="0050228F">
        <w:rPr>
          <w:rFonts w:cs="Arial"/>
          <w:rtl/>
        </w:rPr>
        <w:t xml:space="preserve">תרומה </w:t>
      </w:r>
      <w:r w:rsidRPr="00856227">
        <w:rPr>
          <w:rFonts w:cs="Arial"/>
          <w:sz w:val="16"/>
          <w:szCs w:val="16"/>
          <w:rtl/>
        </w:rPr>
        <w:t>(</w:t>
      </w:r>
      <w:r>
        <w:rPr>
          <w:rFonts w:cs="Arial" w:hint="cs"/>
          <w:sz w:val="16"/>
          <w:szCs w:val="16"/>
          <w:rtl/>
        </w:rPr>
        <w:t>ס'</w:t>
      </w:r>
      <w:r w:rsidRPr="00E36642">
        <w:rPr>
          <w:rFonts w:cs="Arial"/>
          <w:sz w:val="16"/>
          <w:szCs w:val="16"/>
          <w:rtl/>
        </w:rPr>
        <w:t xml:space="preserve"> רכז</w:t>
      </w:r>
      <w:r w:rsidRPr="00856227">
        <w:rPr>
          <w:rFonts w:cs="Arial"/>
          <w:sz w:val="16"/>
          <w:szCs w:val="16"/>
          <w:rtl/>
        </w:rPr>
        <w:t>)</w:t>
      </w:r>
      <w:r>
        <w:rPr>
          <w:rFonts w:cs="Arial" w:hint="cs"/>
          <w:sz w:val="16"/>
          <w:szCs w:val="16"/>
          <w:rtl/>
        </w:rPr>
        <w:t xml:space="preserve"> </w:t>
      </w:r>
      <w:r w:rsidRPr="0050228F">
        <w:rPr>
          <w:rFonts w:cs="Arial"/>
          <w:rtl/>
        </w:rPr>
        <w:t xml:space="preserve">סמ"ג </w:t>
      </w:r>
      <w:r w:rsidRPr="00856227">
        <w:rPr>
          <w:rFonts w:cs="Arial"/>
          <w:sz w:val="16"/>
          <w:szCs w:val="16"/>
          <w:rtl/>
        </w:rPr>
        <w:t>(ל"ת סה)</w:t>
      </w:r>
      <w:r w:rsidRPr="0050228F">
        <w:rPr>
          <w:rFonts w:cs="Arial"/>
          <w:rtl/>
        </w:rPr>
        <w:t xml:space="preserve"> ה"ר יונה </w:t>
      </w:r>
      <w:r>
        <w:rPr>
          <w:rFonts w:cs="Arial" w:hint="cs"/>
          <w:sz w:val="16"/>
          <w:szCs w:val="16"/>
          <w:rtl/>
        </w:rPr>
        <w:t>(כ"כ הר"ן בשמו [</w:t>
      </w:r>
      <w:r w:rsidRPr="00856227">
        <w:rPr>
          <w:rFonts w:cs="Arial"/>
          <w:sz w:val="16"/>
          <w:szCs w:val="16"/>
          <w:rtl/>
        </w:rPr>
        <w:t>שם ד"ה תנא</w:t>
      </w:r>
      <w:r>
        <w:rPr>
          <w:rFonts w:cs="Arial" w:hint="cs"/>
          <w:sz w:val="16"/>
          <w:szCs w:val="16"/>
          <w:rtl/>
        </w:rPr>
        <w:t>])</w:t>
      </w:r>
      <w:r>
        <w:rPr>
          <w:rFonts w:cs="Arial" w:hint="cs"/>
          <w:rtl/>
        </w:rPr>
        <w:t xml:space="preserve"> </w:t>
      </w:r>
      <w:r w:rsidRPr="0050228F">
        <w:rPr>
          <w:rFonts w:cs="Arial"/>
          <w:rtl/>
        </w:rPr>
        <w:t xml:space="preserve">סמ"ק </w:t>
      </w:r>
      <w:r w:rsidRPr="00856227">
        <w:rPr>
          <w:rFonts w:cs="Arial"/>
          <w:sz w:val="16"/>
          <w:szCs w:val="16"/>
          <w:rtl/>
        </w:rPr>
        <w:t xml:space="preserve">(סי' רעט) </w:t>
      </w:r>
      <w:r w:rsidRPr="0050228F">
        <w:rPr>
          <w:rFonts w:cs="Arial"/>
          <w:rtl/>
        </w:rPr>
        <w:t>הגה</w:t>
      </w:r>
      <w:r>
        <w:rPr>
          <w:rFonts w:cs="Arial" w:hint="cs"/>
          <w:rtl/>
        </w:rPr>
        <w:t xml:space="preserve">"מ </w:t>
      </w:r>
      <w:r w:rsidRPr="00856227">
        <w:rPr>
          <w:rFonts w:cs="Arial" w:hint="cs"/>
          <w:sz w:val="16"/>
          <w:szCs w:val="16"/>
          <w:rtl/>
        </w:rPr>
        <w:t>(</w:t>
      </w:r>
      <w:r w:rsidRPr="00856227">
        <w:rPr>
          <w:rFonts w:cs="Arial"/>
          <w:sz w:val="16"/>
          <w:szCs w:val="16"/>
          <w:rtl/>
        </w:rPr>
        <w:t>פ"ה אות ט)</w:t>
      </w:r>
      <w:r>
        <w:rPr>
          <w:rFonts w:cs="Arial" w:hint="cs"/>
          <w:sz w:val="16"/>
          <w:szCs w:val="16"/>
          <w:rtl/>
        </w:rPr>
        <w:t xml:space="preserve"> </w:t>
      </w:r>
      <w:r>
        <w:rPr>
          <w:rFonts w:cs="Arial" w:hint="cs"/>
          <w:rtl/>
        </w:rPr>
        <w:t>ורא"ש</w:t>
      </w:r>
      <w:r w:rsidRPr="00D23AC0">
        <w:rPr>
          <w:rFonts w:cs="Arial" w:hint="cs"/>
          <w:sz w:val="16"/>
          <w:szCs w:val="16"/>
          <w:rtl/>
        </w:rPr>
        <w:t xml:space="preserve"> </w:t>
      </w:r>
      <w:r>
        <w:rPr>
          <w:rFonts w:cs="Arial" w:hint="cs"/>
          <w:sz w:val="16"/>
          <w:szCs w:val="16"/>
          <w:rtl/>
        </w:rPr>
        <w:t>(פ' במה מדליקין סי' א)</w:t>
      </w:r>
      <w:r>
        <w:rPr>
          <w:rFonts w:hint="cs"/>
          <w:rtl/>
        </w:rPr>
        <w:t>.</w:t>
      </w:r>
    </w:p>
  </w:footnote>
  <w:footnote w:id="703">
    <w:p w14:paraId="289F6870" w14:textId="77777777" w:rsidR="004B2E7C" w:rsidRDefault="004B2E7C" w:rsidP="00285819">
      <w:pPr>
        <w:pStyle w:val="a7"/>
      </w:pPr>
      <w:r>
        <w:rPr>
          <w:rStyle w:val="a9"/>
        </w:rPr>
        <w:footnoteRef/>
      </w:r>
      <w:r>
        <w:rPr>
          <w:rtl/>
        </w:rPr>
        <w:t xml:space="preserve"> </w:t>
      </w:r>
      <w:r w:rsidRPr="0050228F">
        <w:rPr>
          <w:rFonts w:cs="Arial"/>
          <w:rtl/>
        </w:rPr>
        <w:t>והר"ן אחר שכתב לסתור פירוש בני נרבונא כתב אבל נמצא בתשובת רב שרירא גאון (שערי תשובה סי' רלב, רלה) והרי"ף (שו"ת הרי"ף סי' טז) דנר של שעוה אסור להדליק בו וכן דעת הרמב"ן (במלחמות שם), וכבר הזכיר הרא"ש תשובות אלו ונראה שלא סמך עליהם. והרב המגיד כתב בפ"ה (ה"ח) תשובות אלו וכתב שנראה לו שכן דעת הרמב"ם, ואני בעניי איני רואה שום הכרע בדברי הרמב"ם דאי משום שלא כתב דין זה להיתרא מאחר שלא נזכר בהדיא בגמרא</w:t>
      </w:r>
      <w:r>
        <w:rPr>
          <w:rFonts w:cs="Arial" w:hint="cs"/>
          <w:rtl/>
        </w:rPr>
        <w:t>,</w:t>
      </w:r>
      <w:r w:rsidRPr="0050228F">
        <w:rPr>
          <w:rFonts w:cs="Arial"/>
          <w:rtl/>
        </w:rPr>
        <w:t xml:space="preserve"> אין כאן הכרע</w:t>
      </w:r>
      <w:r>
        <w:rPr>
          <w:rFonts w:cs="Arial" w:hint="cs"/>
          <w:rtl/>
        </w:rPr>
        <w:t>,</w:t>
      </w:r>
      <w:r w:rsidRPr="0050228F">
        <w:rPr>
          <w:rFonts w:cs="Arial"/>
          <w:rtl/>
        </w:rPr>
        <w:t xml:space="preserve"> שהרי אין דרכו לכתוב מה שלא הוזכר בגמרא בהדיא. ולא פירש הרב המגיד לדעת הגאונים כפירוש חכמי נרבונא, כדי לינצל מקושיות הרא"ש, אלא פירש שמהשעוה עצמה לבד עושין פתילה כשמניחין אותה בנר מלא שמן כעין שעושין מפשתן או צמר והיה להם איזה אימון לעשות מהשעוה פתילה בענין זה והוא ז"ל הסכים לדברי הגאונים. ומיהו מאחר שהרא"ש וכמה גדולים אחרונים התירו וגזירה דרבנן הוא יש לסמוך עליהם וגם כי דעת הרי"ף בהלכותיו להתיר כמבואר בדברי הרא"ש עליו יש לסמוך יותר מעל התשובה שכתב בשם הרי"ף וכן עמא דבר</w:t>
      </w:r>
      <w:r>
        <w:rPr>
          <w:rFonts w:cs="Arial" w:hint="cs"/>
          <w:rtl/>
        </w:rPr>
        <w:t>, ב"י.</w:t>
      </w:r>
    </w:p>
  </w:footnote>
  <w:footnote w:id="704">
    <w:p w14:paraId="0676546D" w14:textId="77777777" w:rsidR="004B2E7C" w:rsidRDefault="004B2E7C" w:rsidP="00285819">
      <w:pPr>
        <w:pStyle w:val="a7"/>
      </w:pPr>
      <w:r>
        <w:rPr>
          <w:rStyle w:val="a9"/>
        </w:rPr>
        <w:footnoteRef/>
      </w:r>
      <w:r>
        <w:rPr>
          <w:rtl/>
        </w:rPr>
        <w:t xml:space="preserve"> </w:t>
      </w:r>
      <w:r w:rsidRPr="0050228F">
        <w:rPr>
          <w:rFonts w:cs="Arial"/>
          <w:rtl/>
        </w:rPr>
        <w:t>וכן נוהגין שמדליקין בנר של חלב</w:t>
      </w:r>
      <w:r>
        <w:rPr>
          <w:rFonts w:cs="Arial" w:hint="cs"/>
          <w:rtl/>
        </w:rPr>
        <w:t>, דרכ"מ (אות ב).</w:t>
      </w:r>
    </w:p>
  </w:footnote>
  <w:footnote w:id="705">
    <w:p w14:paraId="049194DF" w14:textId="77777777" w:rsidR="004B2E7C" w:rsidRDefault="004B2E7C" w:rsidP="00285819">
      <w:pPr>
        <w:pStyle w:val="a7"/>
      </w:pPr>
      <w:r>
        <w:rPr>
          <w:rStyle w:val="a9"/>
        </w:rPr>
        <w:footnoteRef/>
      </w:r>
      <w:r>
        <w:rPr>
          <w:rtl/>
        </w:rPr>
        <w:t xml:space="preserve"> </w:t>
      </w:r>
      <w:r w:rsidRPr="002222CD">
        <w:rPr>
          <w:rFonts w:cs="Arial"/>
          <w:rtl/>
        </w:rPr>
        <w:t>דלא אסרו בכולהו אלא אם היו נתונים בכלי ונותן הפתילה בתוכם כמו שעושין בשמן שאז אין נמשכים אחר הפתילה אבל בזה נמשך שפיר עם הפתילה שבתוכו</w:t>
      </w:r>
      <w:r>
        <w:rPr>
          <w:rFonts w:cs="Arial" w:hint="cs"/>
          <w:rtl/>
        </w:rPr>
        <w:t>, משנ"ב (סקכ"ד).</w:t>
      </w:r>
    </w:p>
  </w:footnote>
  <w:footnote w:id="706">
    <w:p w14:paraId="6008D61F" w14:textId="77777777" w:rsidR="004B2E7C" w:rsidRDefault="004B2E7C" w:rsidP="00285819">
      <w:pPr>
        <w:pStyle w:val="a7"/>
      </w:pPr>
      <w:r>
        <w:rPr>
          <w:rStyle w:val="a9"/>
        </w:rPr>
        <w:footnoteRef/>
      </w:r>
      <w:r>
        <w:rPr>
          <w:rtl/>
        </w:rPr>
        <w:t xml:space="preserve"> </w:t>
      </w:r>
      <w:r w:rsidRPr="00236AD9">
        <w:rPr>
          <w:rFonts w:cs="Arial"/>
          <w:rtl/>
        </w:rPr>
        <w:t>כדי שיהא הלהב עולה יפה מיד שיסלק ידו כמו שהיה הענין בהדלקת המנורה [לבוש]</w:t>
      </w:r>
      <w:r>
        <w:rPr>
          <w:rFonts w:cs="Arial" w:hint="cs"/>
          <w:rtl/>
        </w:rPr>
        <w:t>. וה"ה בנר שעוה וחלב, משנ"ב (סקכ"ו-ז)</w:t>
      </w:r>
      <w:r>
        <w:rPr>
          <w:rFonts w:hint="cs"/>
          <w:rtl/>
        </w:rPr>
        <w:t>.</w:t>
      </w:r>
    </w:p>
  </w:footnote>
  <w:footnote w:id="707">
    <w:p w14:paraId="4E0B5C6C" w14:textId="77777777" w:rsidR="004B2E7C" w:rsidRDefault="004B2E7C" w:rsidP="00285819">
      <w:pPr>
        <w:pStyle w:val="a7"/>
      </w:pPr>
      <w:r>
        <w:rPr>
          <w:rStyle w:val="a9"/>
        </w:rPr>
        <w:footnoteRef/>
      </w:r>
      <w:r>
        <w:rPr>
          <w:rtl/>
        </w:rPr>
        <w:t xml:space="preserve"> </w:t>
      </w:r>
      <w:r w:rsidRPr="00761F1E">
        <w:rPr>
          <w:rFonts w:cs="Arial"/>
          <w:rtl/>
        </w:rPr>
        <w:t>ואף בנר הכרוך כעין שלנו עושין כן. וזה יעשה האיש מתחלה ויהיה תועלת שלא תשהה האשה בהדלקתה בהגיע זמנה</w:t>
      </w:r>
      <w:r>
        <w:rPr>
          <w:rFonts w:cs="Arial" w:hint="cs"/>
          <w:rtl/>
        </w:rPr>
        <w:t>, משנ"ב (סקכ"ח).</w:t>
      </w:r>
    </w:p>
  </w:footnote>
  <w:footnote w:id="708">
    <w:p w14:paraId="24E56A10" w14:textId="77777777" w:rsidR="004B2E7C" w:rsidRDefault="004B2E7C" w:rsidP="00285819">
      <w:pPr>
        <w:pStyle w:val="a7"/>
        <w:rPr>
          <w:rtl/>
        </w:rPr>
      </w:pPr>
      <w:r>
        <w:rPr>
          <w:rStyle w:val="a9"/>
        </w:rPr>
        <w:footnoteRef/>
      </w:r>
      <w:r>
        <w:rPr>
          <w:rtl/>
        </w:rPr>
        <w:t xml:space="preserve"> </w:t>
      </w:r>
      <w:r w:rsidRPr="00761F1E">
        <w:rPr>
          <w:rFonts w:cs="Arial"/>
          <w:rtl/>
        </w:rPr>
        <w:t>היינו בלאי בגדי פשתן הגסים ומטעם שאין האור נאחז יפה בהן ועיין בפמ"ג. אין מדליקין על השלחן בנר חרס ישן דמאיס אא"כ הסיקו באור ואם הוא של זכוכית או של חרס מצופה שרי שאינו מאוס כ"כ. ובאיש עני שאין לו ודאי מותר ממה שיתבטל מנר שבת דהוא חובה [פמ"ג]</w:t>
      </w:r>
      <w:r>
        <w:rPr>
          <w:rFonts w:hint="cs"/>
          <w:rtl/>
        </w:rPr>
        <w:t>, משנ"ב (סקכ"ט).</w:t>
      </w:r>
    </w:p>
  </w:footnote>
  <w:footnote w:id="709">
    <w:p w14:paraId="10229E97" w14:textId="77777777" w:rsidR="004B2E7C" w:rsidRDefault="004B2E7C" w:rsidP="00285819">
      <w:pPr>
        <w:pStyle w:val="a7"/>
        <w:rPr>
          <w:rtl/>
        </w:rPr>
      </w:pPr>
      <w:r>
        <w:rPr>
          <w:rStyle w:val="a9"/>
        </w:rPr>
        <w:footnoteRef/>
      </w:r>
      <w:r>
        <w:rPr>
          <w:rtl/>
        </w:rPr>
        <w:t xml:space="preserve"> </w:t>
      </w:r>
      <w:r w:rsidRPr="0087596A">
        <w:rPr>
          <w:rFonts w:cs="Arial"/>
          <w:rtl/>
        </w:rPr>
        <w:t>ויתקיים הנר, שתהא השמן מטפטף כל שעה לתוך הנר, וטעמא משום גזרה, שמא יסתפק הימנו, וכיון שהקצהו לנר - חייב משום מכבה, ואפילו אותה שפופרת של חרס דמאיסא ליה גזרינן</w:t>
      </w:r>
      <w:r>
        <w:rPr>
          <w:rFonts w:hint="cs"/>
          <w:rtl/>
        </w:rPr>
        <w:t>, רש"י.</w:t>
      </w:r>
    </w:p>
  </w:footnote>
  <w:footnote w:id="710">
    <w:p w14:paraId="1B2AB1DE" w14:textId="77777777" w:rsidR="004B2E7C" w:rsidRDefault="004B2E7C" w:rsidP="00285819">
      <w:pPr>
        <w:pStyle w:val="a7"/>
      </w:pPr>
      <w:r>
        <w:rPr>
          <w:rStyle w:val="a9"/>
        </w:rPr>
        <w:footnoteRef/>
      </w:r>
      <w:r>
        <w:rPr>
          <w:rtl/>
        </w:rPr>
        <w:t xml:space="preserve"> </w:t>
      </w:r>
      <w:r w:rsidRPr="0087596A">
        <w:rPr>
          <w:rFonts w:cs="Arial"/>
          <w:rtl/>
        </w:rPr>
        <w:t>ליכא למיחש, דמשום איסור שבת בדיל מיניה</w:t>
      </w:r>
      <w:r>
        <w:rPr>
          <w:rFonts w:cs="Arial" w:hint="cs"/>
          <w:rtl/>
        </w:rPr>
        <w:t>, רש"י.</w:t>
      </w:r>
    </w:p>
  </w:footnote>
  <w:footnote w:id="711">
    <w:p w14:paraId="4FF64F2A" w14:textId="77777777" w:rsidR="004B2E7C" w:rsidRDefault="004B2E7C" w:rsidP="00285819">
      <w:pPr>
        <w:pStyle w:val="a7"/>
      </w:pPr>
      <w:r>
        <w:rPr>
          <w:rStyle w:val="a9"/>
        </w:rPr>
        <w:footnoteRef/>
      </w:r>
      <w:r>
        <w:rPr>
          <w:rtl/>
        </w:rPr>
        <w:t xml:space="preserve"> </w:t>
      </w:r>
      <w:r w:rsidRPr="00C70047">
        <w:rPr>
          <w:rFonts w:cs="Arial"/>
          <w:rtl/>
        </w:rPr>
        <w:t>היינו להרמב"ם שפסק כר"י דאמר מלאכה שא"צ לגופה חייב עליה ועסי' רע"ח (מ"מ פי"ב) ומ"מ אף לר"ש אסור ע' בתוס' סוף כירה</w:t>
      </w:r>
      <w:r>
        <w:rPr>
          <w:rFonts w:cs="Arial" w:hint="cs"/>
          <w:rtl/>
        </w:rPr>
        <w:t>, מג"א (סק"א).</w:t>
      </w:r>
    </w:p>
  </w:footnote>
  <w:footnote w:id="712">
    <w:p w14:paraId="3747DCF8" w14:textId="77777777" w:rsidR="004B2E7C" w:rsidRDefault="004B2E7C" w:rsidP="00285819">
      <w:pPr>
        <w:pStyle w:val="a7"/>
        <w:rPr>
          <w:rtl/>
        </w:rPr>
      </w:pPr>
      <w:r>
        <w:rPr>
          <w:rStyle w:val="a9"/>
        </w:rPr>
        <w:footnoteRef/>
      </w:r>
      <w:r>
        <w:rPr>
          <w:rtl/>
        </w:rPr>
        <w:t xml:space="preserve"> </w:t>
      </w:r>
      <w:r w:rsidRPr="00C70047">
        <w:rPr>
          <w:rFonts w:cs="Arial"/>
          <w:rtl/>
        </w:rPr>
        <w:t>וגם בזה אם חברו בסיד או בחרסית מותר</w:t>
      </w:r>
      <w:r>
        <w:rPr>
          <w:rFonts w:hint="cs"/>
          <w:rtl/>
        </w:rPr>
        <w:t>, משנ"ב (סק"ד).</w:t>
      </w:r>
    </w:p>
  </w:footnote>
  <w:footnote w:id="713">
    <w:p w14:paraId="5AF4E059" w14:textId="77777777" w:rsidR="004B2E7C" w:rsidRDefault="004B2E7C" w:rsidP="00285819">
      <w:pPr>
        <w:pStyle w:val="a7"/>
        <w:rPr>
          <w:rtl/>
        </w:rPr>
      </w:pPr>
      <w:r>
        <w:rPr>
          <w:rStyle w:val="a9"/>
        </w:rPr>
        <w:footnoteRef/>
      </w:r>
      <w:r>
        <w:rPr>
          <w:rtl/>
        </w:rPr>
        <w:t xml:space="preserve"> </w:t>
      </w:r>
      <w:r w:rsidRPr="00B55693">
        <w:rPr>
          <w:rFonts w:cs="Arial" w:hint="cs"/>
          <w:rtl/>
        </w:rPr>
        <w:t>ו</w:t>
      </w:r>
      <w:r w:rsidRPr="00B55693">
        <w:rPr>
          <w:rFonts w:cs="Arial"/>
          <w:rtl/>
        </w:rPr>
        <w:t xml:space="preserve">צריך לומר דסבירא ליה כדעת בעל התרומות (סי' רנד ד"ה פרק נוטל) שכתב רבינו בסימן ש"ט (סח:) דלא מיקרי </w:t>
      </w:r>
      <w:r>
        <w:rPr>
          <w:rFonts w:cs="Arial" w:hint="cs"/>
          <w:rtl/>
        </w:rPr>
        <w:t>'</w:t>
      </w:r>
      <w:r w:rsidRPr="00B55693">
        <w:rPr>
          <w:rFonts w:cs="Arial"/>
          <w:rtl/>
        </w:rPr>
        <w:t>מניח</w:t>
      </w:r>
      <w:r>
        <w:rPr>
          <w:rFonts w:cs="Arial" w:hint="cs"/>
          <w:rtl/>
        </w:rPr>
        <w:t>'</w:t>
      </w:r>
      <w:r w:rsidRPr="00B55693">
        <w:rPr>
          <w:rFonts w:cs="Arial"/>
          <w:rtl/>
        </w:rPr>
        <w:t xml:space="preserve"> אפילו הניח האיסור מדעתו אלא אם כן דעתו שישארו שם כל השבת</w:t>
      </w:r>
      <w:r>
        <w:rPr>
          <w:rFonts w:cs="Arial" w:hint="cs"/>
          <w:rtl/>
        </w:rPr>
        <w:t>,</w:t>
      </w:r>
      <w:r w:rsidRPr="00B55693">
        <w:rPr>
          <w:rFonts w:cs="Arial"/>
          <w:rtl/>
        </w:rPr>
        <w:t xml:space="preserve"> אבל אם היה דעתו ליטלם בשבת הוי </w:t>
      </w:r>
      <w:r>
        <w:rPr>
          <w:rFonts w:cs="Arial" w:hint="cs"/>
          <w:rtl/>
        </w:rPr>
        <w:t>'</w:t>
      </w:r>
      <w:r w:rsidRPr="00B55693">
        <w:rPr>
          <w:rFonts w:cs="Arial"/>
          <w:rtl/>
        </w:rPr>
        <w:t>שוכח</w:t>
      </w:r>
      <w:r>
        <w:rPr>
          <w:rFonts w:cs="Arial" w:hint="cs"/>
          <w:rtl/>
        </w:rPr>
        <w:t>'</w:t>
      </w:r>
      <w:r w:rsidRPr="00B55693">
        <w:rPr>
          <w:rFonts w:cs="Arial"/>
          <w:rtl/>
        </w:rPr>
        <w:t xml:space="preserve"> ושרי לנער אבן שעל פי חבית ומעות שעל הכר</w:t>
      </w:r>
      <w:r>
        <w:rPr>
          <w:rFonts w:cs="Arial" w:hint="cs"/>
          <w:rtl/>
        </w:rPr>
        <w:t>.</w:t>
      </w:r>
      <w:r w:rsidRPr="00B55693">
        <w:rPr>
          <w:rFonts w:cs="Arial"/>
          <w:rtl/>
        </w:rPr>
        <w:t xml:space="preserve"> דאילו לדעת מי שחולק עליו</w:t>
      </w:r>
      <w:r>
        <w:rPr>
          <w:rFonts w:cs="Arial" w:hint="cs"/>
          <w:rtl/>
        </w:rPr>
        <w:t>,</w:t>
      </w:r>
      <w:r w:rsidRPr="00B55693">
        <w:rPr>
          <w:rFonts w:cs="Arial"/>
          <w:rtl/>
        </w:rPr>
        <w:t xml:space="preserve"> כל שהניח דבר האסור מדעתו מיקרי </w:t>
      </w:r>
      <w:r>
        <w:rPr>
          <w:rFonts w:cs="Arial" w:hint="cs"/>
          <w:rtl/>
        </w:rPr>
        <w:t>'</w:t>
      </w:r>
      <w:r w:rsidRPr="00B55693">
        <w:rPr>
          <w:rFonts w:cs="Arial"/>
          <w:rtl/>
        </w:rPr>
        <w:t>מניח</w:t>
      </w:r>
      <w:r>
        <w:rPr>
          <w:rFonts w:cs="Arial" w:hint="cs"/>
          <w:rtl/>
        </w:rPr>
        <w:t>'</w:t>
      </w:r>
      <w:r w:rsidRPr="00B55693">
        <w:rPr>
          <w:rFonts w:cs="Arial"/>
          <w:rtl/>
        </w:rPr>
        <w:t xml:space="preserve"> ונעשה כלי בסיס לדבר האסור ואסור לנערו</w:t>
      </w:r>
      <w:r>
        <w:rPr>
          <w:rFonts w:cs="Arial" w:hint="cs"/>
          <w:rtl/>
        </w:rPr>
        <w:t>.</w:t>
      </w:r>
      <w:r w:rsidRPr="00B55693">
        <w:rPr>
          <w:rFonts w:cs="Arial"/>
          <w:rtl/>
        </w:rPr>
        <w:t xml:space="preserve"> וכבר הזכיר הר"ן סברא זו בריש פרק מי שהחשיך (סו: ד"ה דאי בעי) בשם הרז"ה (שם)</w:t>
      </w:r>
      <w:r>
        <w:rPr>
          <w:rFonts w:cs="Arial" w:hint="cs"/>
          <w:rtl/>
        </w:rPr>
        <w:t>,</w:t>
      </w:r>
      <w:r w:rsidRPr="00B55693">
        <w:rPr>
          <w:rFonts w:cs="Arial"/>
          <w:rtl/>
        </w:rPr>
        <w:t xml:space="preserve"> וכתב (הר"ן שם ד"ה ואחרים) שיש חולקין ואומרים דכשם שאסור לבטל כלי מהיכנו לכל היום הכי נמי אסור לבטלו למקצתו של יום</w:t>
      </w:r>
      <w:r>
        <w:rPr>
          <w:rFonts w:cs="Arial" w:hint="cs"/>
          <w:rtl/>
        </w:rPr>
        <w:t>, ב"י.</w:t>
      </w:r>
      <w:r w:rsidRPr="0051299C">
        <w:rPr>
          <w:rFonts w:cs="Arial"/>
          <w:rtl/>
        </w:rPr>
        <w:t xml:space="preserve"> וכן כתב המגיד משנה פכ"א (סוף ה"י) בשם רשב"א (חי' קנד: ד"ה הא דאקשינן)</w:t>
      </w:r>
      <w:r>
        <w:rPr>
          <w:rFonts w:cs="Arial" w:hint="cs"/>
          <w:rtl/>
        </w:rPr>
        <w:t>, דרכ"מ (אות ג).</w:t>
      </w:r>
    </w:p>
  </w:footnote>
  <w:footnote w:id="714">
    <w:p w14:paraId="7F4F9064" w14:textId="77777777" w:rsidR="004B2E7C" w:rsidRDefault="004B2E7C" w:rsidP="00285819">
      <w:pPr>
        <w:pStyle w:val="a7"/>
      </w:pPr>
      <w:r>
        <w:rPr>
          <w:rStyle w:val="a9"/>
        </w:rPr>
        <w:footnoteRef/>
      </w:r>
      <w:r>
        <w:rPr>
          <w:rtl/>
        </w:rPr>
        <w:t xml:space="preserve"> </w:t>
      </w:r>
      <w:r w:rsidRPr="006740DD">
        <w:rPr>
          <w:rFonts w:cs="Arial"/>
          <w:rtl/>
        </w:rPr>
        <w:t>היינו לומר דסתמו כאלו פירש שדעתו שלא להניחו שם אבל אם הניחו על דעתו לנערו אפילו אם הוא כלי שאין האור אוחזת בו שרי לפי סברא זו</w:t>
      </w:r>
      <w:r>
        <w:rPr>
          <w:rFonts w:cs="Arial" w:hint="cs"/>
          <w:rtl/>
        </w:rPr>
        <w:t>, ב"י.</w:t>
      </w:r>
    </w:p>
  </w:footnote>
  <w:footnote w:id="715">
    <w:p w14:paraId="2A635945" w14:textId="77777777" w:rsidR="004B2E7C" w:rsidRDefault="004B2E7C" w:rsidP="00285819">
      <w:pPr>
        <w:pStyle w:val="a7"/>
      </w:pPr>
      <w:r>
        <w:rPr>
          <w:rStyle w:val="a9"/>
        </w:rPr>
        <w:footnoteRef/>
      </w:r>
      <w:r>
        <w:rPr>
          <w:rtl/>
        </w:rPr>
        <w:t xml:space="preserve"> </w:t>
      </w:r>
      <w:r w:rsidRPr="006740DD">
        <w:rPr>
          <w:rFonts w:cs="Arial"/>
          <w:rtl/>
        </w:rPr>
        <w:t>והגה"ה זו היא לפי מה שפירשו בתוספות בס"פ כירה (מב: ד"ה הצלה, ד"ה שאינה) דהצלה שאינה מצויה לא התירו לטרוח אפילו בדבר הניטל משום טרחא</w:t>
      </w:r>
      <w:r>
        <w:rPr>
          <w:rFonts w:cs="Arial" w:hint="cs"/>
          <w:rtl/>
        </w:rPr>
        <w:t>.</w:t>
      </w:r>
      <w:r w:rsidRPr="006740DD">
        <w:rPr>
          <w:rFonts w:cs="Arial"/>
          <w:rtl/>
        </w:rPr>
        <w:t xml:space="preserve"> ונתינה כלי תחת הנר לקבל שמן חשיב הצלה שאינה מצויה</w:t>
      </w:r>
      <w:r>
        <w:rPr>
          <w:rFonts w:cs="Arial" w:hint="cs"/>
          <w:rtl/>
        </w:rPr>
        <w:t>,</w:t>
      </w:r>
      <w:r w:rsidRPr="006740DD">
        <w:rPr>
          <w:rFonts w:cs="Arial"/>
          <w:rtl/>
        </w:rPr>
        <w:t xml:space="preserve"> לפי שרגיל לתתו מבעוד יום</w:t>
      </w:r>
      <w:r>
        <w:rPr>
          <w:rFonts w:cs="Arial" w:hint="cs"/>
          <w:rtl/>
        </w:rPr>
        <w:t>, ב"י.</w:t>
      </w:r>
      <w:r w:rsidRPr="0051299C">
        <w:rPr>
          <w:rFonts w:cs="Arial"/>
          <w:rtl/>
        </w:rPr>
        <w:t xml:space="preserve"> וכתב עוד (האור זרוע שם) דאף אם לא נער האיסור משם אם נטלו גוי משם או שנפל משם חזר להיתרו הראשון</w:t>
      </w:r>
      <w:r>
        <w:rPr>
          <w:rFonts w:cs="Arial" w:hint="cs"/>
          <w:rtl/>
        </w:rPr>
        <w:t>, דרכ"מ (אות ד).</w:t>
      </w:r>
    </w:p>
  </w:footnote>
  <w:footnote w:id="716">
    <w:p w14:paraId="4064792B" w14:textId="77777777" w:rsidR="004B2E7C" w:rsidRDefault="004B2E7C" w:rsidP="00285819">
      <w:pPr>
        <w:pStyle w:val="a7"/>
        <w:rPr>
          <w:rtl/>
        </w:rPr>
      </w:pPr>
      <w:r>
        <w:rPr>
          <w:rStyle w:val="a9"/>
        </w:rPr>
        <w:footnoteRef/>
      </w:r>
      <w:r>
        <w:rPr>
          <w:rtl/>
        </w:rPr>
        <w:t xml:space="preserve"> </w:t>
      </w:r>
      <w:r w:rsidRPr="0051299C">
        <w:rPr>
          <w:rFonts w:cs="Arial"/>
          <w:rtl/>
        </w:rPr>
        <w:t>ונראה דאף ביום טוב דאין איסור משום מוקצה מכל מקום אסור משום מכבה</w:t>
      </w:r>
      <w:r>
        <w:rPr>
          <w:rFonts w:cs="Arial" w:hint="cs"/>
          <w:rtl/>
        </w:rPr>
        <w:t>,</w:t>
      </w:r>
      <w:r w:rsidRPr="0051299C">
        <w:rPr>
          <w:rFonts w:cs="Arial"/>
          <w:rtl/>
        </w:rPr>
        <w:t xml:space="preserve"> אבל בשבת פשיטא שאסור משום מוקצה, ועיין לקמן סימן תקי"ד (אות ב) הארכתי בזה</w:t>
      </w:r>
      <w:r>
        <w:rPr>
          <w:rFonts w:cs="Arial" w:hint="cs"/>
          <w:rtl/>
        </w:rPr>
        <w:t>, דרכ"מ (אות ב)</w:t>
      </w:r>
      <w:r>
        <w:rPr>
          <w:rFonts w:hint="cs"/>
          <w:rtl/>
        </w:rPr>
        <w:t>.</w:t>
      </w:r>
    </w:p>
  </w:footnote>
  <w:footnote w:id="717">
    <w:p w14:paraId="69893CF0" w14:textId="77777777" w:rsidR="004B2E7C" w:rsidRDefault="004B2E7C" w:rsidP="00285819">
      <w:pPr>
        <w:pStyle w:val="a7"/>
      </w:pPr>
      <w:r>
        <w:rPr>
          <w:rStyle w:val="a9"/>
        </w:rPr>
        <w:footnoteRef/>
      </w:r>
      <w:r>
        <w:rPr>
          <w:rtl/>
        </w:rPr>
        <w:t xml:space="preserve"> </w:t>
      </w:r>
      <w:r w:rsidRPr="002620C4">
        <w:rPr>
          <w:rFonts w:cs="Arial"/>
          <w:rtl/>
        </w:rPr>
        <w:t>ונראה אפילו יש שמן היתר הרבה בכלי מבע"י והניחה אז לקבל שמן הנוטף מ"מ אסור להסתפק דדבר שיש לו מתירין לא בטיל [פמ"ג וע"ש עוד]</w:t>
      </w:r>
      <w:r>
        <w:rPr>
          <w:rFonts w:cs="Arial" w:hint="cs"/>
          <w:rtl/>
        </w:rPr>
        <w:t>, משנ"ב (סק"ח).</w:t>
      </w:r>
    </w:p>
  </w:footnote>
  <w:footnote w:id="718">
    <w:p w14:paraId="50F3A69E" w14:textId="77777777" w:rsidR="004B2E7C" w:rsidRDefault="004B2E7C" w:rsidP="00285819">
      <w:pPr>
        <w:pStyle w:val="a7"/>
        <w:rPr>
          <w:rtl/>
        </w:rPr>
      </w:pPr>
      <w:r>
        <w:rPr>
          <w:rStyle w:val="a9"/>
        </w:rPr>
        <w:footnoteRef/>
      </w:r>
      <w:r>
        <w:rPr>
          <w:rtl/>
        </w:rPr>
        <w:t xml:space="preserve"> </w:t>
      </w:r>
      <w:r w:rsidRPr="002620C4">
        <w:rPr>
          <w:rFonts w:cs="Arial"/>
          <w:rtl/>
        </w:rPr>
        <w:t>צ"ל דס"ל כת"ה דכשהנגיעה לצורך דבר המותר מותר ולצורך דבר האיסור אסור אבל לדעת המ"מ דאסור ליגע בביצה מפני שהיא מתנדנד א"כ ה"ה ה"נ אפילו אין הנר דולק עליו אסור ועסי' ש"י ס"ו ועיין מה שכתוב רסי' תקי"ג דדעת הרב כמ"ש וא"כ מ"ש כאן צ"ע ובד"מ כתב בשם א"ז וז"ל דמיירי שדבר היתר מונח עליו ורוצה ליקח ממנו והוי טלטול מן הצד כמ"ש סי' שי"א ס"ח ועסי' ש"ח ס"ג אבל ליגע בו ממש אסור</w:t>
      </w:r>
      <w:r>
        <w:rPr>
          <w:rFonts w:hint="cs"/>
          <w:rtl/>
        </w:rPr>
        <w:t>, מג"א (סק"ד).</w:t>
      </w:r>
    </w:p>
  </w:footnote>
  <w:footnote w:id="719">
    <w:p w14:paraId="2E4BD6AA" w14:textId="77777777" w:rsidR="004B2E7C" w:rsidRDefault="004B2E7C" w:rsidP="00285819">
      <w:pPr>
        <w:pStyle w:val="a7"/>
      </w:pPr>
      <w:r>
        <w:rPr>
          <w:rStyle w:val="a9"/>
        </w:rPr>
        <w:footnoteRef/>
      </w:r>
      <w:r>
        <w:rPr>
          <w:rtl/>
        </w:rPr>
        <w:t xml:space="preserve"> </w:t>
      </w:r>
      <w:r w:rsidRPr="00E865A9">
        <w:rPr>
          <w:rFonts w:cs="Arial"/>
          <w:rtl/>
        </w:rPr>
        <w:t>ובנר של שעוה לא חיישי' כמ"ש סי' רע"ו ס"ג</w:t>
      </w:r>
      <w:r>
        <w:rPr>
          <w:rFonts w:cs="Arial" w:hint="cs"/>
          <w:rtl/>
        </w:rPr>
        <w:t>, מג"א (סק"ה).</w:t>
      </w:r>
    </w:p>
  </w:footnote>
  <w:footnote w:id="720">
    <w:p w14:paraId="2E76F460" w14:textId="77777777" w:rsidR="004B2E7C" w:rsidRDefault="004B2E7C" w:rsidP="00285819">
      <w:pPr>
        <w:pStyle w:val="a7"/>
      </w:pPr>
      <w:r>
        <w:rPr>
          <w:rStyle w:val="a9"/>
        </w:rPr>
        <w:footnoteRef/>
      </w:r>
      <w:r>
        <w:rPr>
          <w:rtl/>
        </w:rPr>
        <w:t xml:space="preserve"> </w:t>
      </w:r>
      <w:r w:rsidRPr="007F175B">
        <w:rPr>
          <w:rFonts w:cs="Arial"/>
          <w:rtl/>
        </w:rPr>
        <w:t>משכבו, ומותר ליטלן</w:t>
      </w:r>
      <w:r>
        <w:rPr>
          <w:rFonts w:cs="Arial" w:hint="cs"/>
          <w:rtl/>
        </w:rPr>
        <w:t>, רש"י.</w:t>
      </w:r>
    </w:p>
  </w:footnote>
  <w:footnote w:id="721">
    <w:p w14:paraId="2489DEB1" w14:textId="77777777" w:rsidR="004B2E7C" w:rsidRDefault="004B2E7C" w:rsidP="00285819">
      <w:pPr>
        <w:pStyle w:val="a7"/>
        <w:rPr>
          <w:rtl/>
        </w:rPr>
      </w:pPr>
      <w:r>
        <w:rPr>
          <w:rStyle w:val="a9"/>
        </w:rPr>
        <w:footnoteRef/>
      </w:r>
      <w:r>
        <w:rPr>
          <w:rtl/>
        </w:rPr>
        <w:t xml:space="preserve"> </w:t>
      </w:r>
      <w:r w:rsidRPr="007F175B">
        <w:rPr>
          <w:rFonts w:cs="Arial"/>
          <w:rtl/>
        </w:rPr>
        <w:t>מתניתין אפילו לרבנן, דלא דמי לגרם כיבוי, דהתם כי מטי דליקה לכלים - דליקה הוא דפקע להו, וגרמא בעלמא הוא, אבל זה שנתן המים ממש תחת הנר - מכבה ממש הוא, וגזירה מבעוד יום אטו משחשכה</w:t>
      </w:r>
      <w:r>
        <w:rPr>
          <w:rFonts w:hint="cs"/>
          <w:rtl/>
        </w:rPr>
        <w:t>, רש"י.</w:t>
      </w:r>
    </w:p>
  </w:footnote>
  <w:footnote w:id="722">
    <w:p w14:paraId="583101A5" w14:textId="77777777" w:rsidR="004B2E7C" w:rsidRDefault="004B2E7C" w:rsidP="00285819">
      <w:pPr>
        <w:pStyle w:val="a7"/>
      </w:pPr>
      <w:r>
        <w:rPr>
          <w:rStyle w:val="a9"/>
        </w:rPr>
        <w:footnoteRef/>
      </w:r>
      <w:r>
        <w:rPr>
          <w:rtl/>
        </w:rPr>
        <w:t xml:space="preserve"> </w:t>
      </w:r>
      <w:r w:rsidRPr="007F175B">
        <w:rPr>
          <w:rFonts w:cs="Arial"/>
          <w:rtl/>
        </w:rPr>
        <w:t>זימן כיבוי להדיא, והוה ליה מכבה ממש אי הוה יהיב ליה בשבת</w:t>
      </w:r>
      <w:r>
        <w:rPr>
          <w:rFonts w:cs="Arial" w:hint="cs"/>
          <w:rtl/>
        </w:rPr>
        <w:t>, רש"י.</w:t>
      </w:r>
    </w:p>
  </w:footnote>
  <w:footnote w:id="723">
    <w:p w14:paraId="6B18EC82" w14:textId="77777777" w:rsidR="004B2E7C" w:rsidRDefault="004B2E7C" w:rsidP="00285819">
      <w:pPr>
        <w:pStyle w:val="a7"/>
        <w:rPr>
          <w:rFonts w:cs="Arial"/>
          <w:rtl/>
        </w:rPr>
      </w:pPr>
      <w:r>
        <w:rPr>
          <w:rStyle w:val="a9"/>
        </w:rPr>
        <w:footnoteRef/>
      </w:r>
      <w:r>
        <w:rPr>
          <w:rtl/>
        </w:rPr>
        <w:t xml:space="preserve"> </w:t>
      </w:r>
      <w:r w:rsidRPr="00B91B0A">
        <w:rPr>
          <w:rFonts w:hint="cs"/>
          <w:u w:val="single"/>
          <w:rtl/>
        </w:rPr>
        <w:t xml:space="preserve">וקשה, דמאי שנא </w:t>
      </w:r>
      <w:r w:rsidRPr="00B91B0A">
        <w:rPr>
          <w:rFonts w:cs="Arial" w:hint="cs"/>
          <w:u w:val="single"/>
          <w:rtl/>
        </w:rPr>
        <w:t>מ</w:t>
      </w:r>
      <w:r w:rsidRPr="00B91B0A">
        <w:rPr>
          <w:rFonts w:cs="Arial"/>
          <w:u w:val="single"/>
          <w:rtl/>
        </w:rPr>
        <w:t xml:space="preserve">שריית דיו וסממנים ופריסת מצודה דשרינן </w:t>
      </w:r>
      <w:r w:rsidRPr="00B91B0A">
        <w:rPr>
          <w:rFonts w:cs="Arial" w:hint="cs"/>
          <w:u w:val="single"/>
          <w:rtl/>
        </w:rPr>
        <w:t>מערב שבת (</w:t>
      </w:r>
      <w:r w:rsidRPr="00B91B0A">
        <w:rPr>
          <w:rFonts w:cs="Arial"/>
          <w:u w:val="single"/>
          <w:rtl/>
        </w:rPr>
        <w:t>פ"ק יז:)</w:t>
      </w:r>
      <w:r w:rsidRPr="00B91B0A">
        <w:rPr>
          <w:rFonts w:cs="Arial" w:hint="cs"/>
          <w:u w:val="single"/>
          <w:rtl/>
        </w:rPr>
        <w:t>:</w:t>
      </w:r>
    </w:p>
    <w:p w14:paraId="363621B3" w14:textId="77777777" w:rsidR="004B2E7C" w:rsidRPr="00B91B0A" w:rsidRDefault="004B2E7C" w:rsidP="00FF2D21">
      <w:pPr>
        <w:pStyle w:val="a7"/>
        <w:numPr>
          <w:ilvl w:val="0"/>
          <w:numId w:val="95"/>
        </w:numPr>
      </w:pPr>
      <w:r w:rsidRPr="006740DD">
        <w:rPr>
          <w:rFonts w:cs="Arial"/>
          <w:rtl/>
        </w:rPr>
        <w:t xml:space="preserve">הרב פור"ת </w:t>
      </w:r>
      <w:r w:rsidRPr="00B91B0A">
        <w:rPr>
          <w:rFonts w:cs="Arial" w:hint="cs"/>
          <w:sz w:val="16"/>
          <w:szCs w:val="16"/>
          <w:rtl/>
        </w:rPr>
        <w:t>(</w:t>
      </w:r>
      <w:r>
        <w:rPr>
          <w:rFonts w:cs="Arial" w:hint="cs"/>
          <w:sz w:val="16"/>
          <w:szCs w:val="16"/>
          <w:rtl/>
        </w:rPr>
        <w:t xml:space="preserve">בתוס' </w:t>
      </w:r>
      <w:r w:rsidRPr="00B91B0A">
        <w:rPr>
          <w:rFonts w:cs="Arial" w:hint="cs"/>
          <w:sz w:val="16"/>
          <w:szCs w:val="16"/>
          <w:rtl/>
        </w:rPr>
        <w:t xml:space="preserve">מז: ד"ה </w:t>
      </w:r>
      <w:r w:rsidRPr="00B91B0A">
        <w:rPr>
          <w:rFonts w:cs="Arial"/>
          <w:sz w:val="16"/>
          <w:szCs w:val="16"/>
          <w:rtl/>
        </w:rPr>
        <w:t>מפני שמקרב את כבויו</w:t>
      </w:r>
      <w:r w:rsidRPr="00B91B0A">
        <w:rPr>
          <w:rFonts w:cs="Arial" w:hint="cs"/>
          <w:sz w:val="16"/>
          <w:szCs w:val="16"/>
          <w:rtl/>
        </w:rPr>
        <w:t>)</w:t>
      </w:r>
      <w:r>
        <w:rPr>
          <w:rFonts w:cs="Arial" w:hint="cs"/>
          <w:rtl/>
        </w:rPr>
        <w:t xml:space="preserve">- </w:t>
      </w:r>
      <w:r w:rsidRPr="006740DD">
        <w:rPr>
          <w:rFonts w:cs="Arial"/>
          <w:rtl/>
        </w:rPr>
        <w:t>התם ליכא למיחש שמא יעשה כן בשבת</w:t>
      </w:r>
      <w:r>
        <w:rPr>
          <w:rFonts w:cs="Arial" w:hint="cs"/>
          <w:rtl/>
        </w:rPr>
        <w:t>,</w:t>
      </w:r>
      <w:r w:rsidRPr="006740DD">
        <w:rPr>
          <w:rFonts w:cs="Arial"/>
          <w:rtl/>
        </w:rPr>
        <w:t xml:space="preserve"> דהא אב מלאכה הן</w:t>
      </w:r>
      <w:r>
        <w:rPr>
          <w:rFonts w:cs="Arial" w:hint="cs"/>
          <w:rtl/>
        </w:rPr>
        <w:t>,</w:t>
      </w:r>
      <w:r w:rsidRPr="006740DD">
        <w:rPr>
          <w:rFonts w:cs="Arial"/>
          <w:rtl/>
        </w:rPr>
        <w:t xml:space="preserve"> אבל הכא איכא למיחש</w:t>
      </w:r>
      <w:r>
        <w:rPr>
          <w:rFonts w:cs="Arial" w:hint="cs"/>
          <w:rtl/>
        </w:rPr>
        <w:t>,</w:t>
      </w:r>
      <w:r w:rsidRPr="006740DD">
        <w:rPr>
          <w:rFonts w:cs="Arial"/>
          <w:rtl/>
        </w:rPr>
        <w:t xml:space="preserve"> דלא דמי איסור כל כך במה שמניח כלי תחת הניצוצות</w:t>
      </w:r>
      <w:r>
        <w:rPr>
          <w:rFonts w:cs="Arial" w:hint="cs"/>
          <w:rtl/>
        </w:rPr>
        <w:t>,</w:t>
      </w:r>
      <w:r w:rsidRPr="006740DD">
        <w:rPr>
          <w:rFonts w:cs="Arial"/>
          <w:rtl/>
        </w:rPr>
        <w:t xml:space="preserve"> ואיכא למיחש שמא יבא לידי כיבוי שיתחיל ליתן המים קודם נפילת הניצוצות וקודם גמר הנתינה יפלו ומכבה בידים</w:t>
      </w:r>
      <w:r>
        <w:rPr>
          <w:rFonts w:cs="Arial" w:hint="cs"/>
          <w:rtl/>
        </w:rPr>
        <w:t>,</w:t>
      </w:r>
      <w:r w:rsidRPr="006740DD">
        <w:rPr>
          <w:rFonts w:cs="Arial"/>
          <w:rtl/>
        </w:rPr>
        <w:t xml:space="preserve"> או שיגביה הכלי עם המים כנגד הניצוצות כדפרישית</w:t>
      </w:r>
      <w:r>
        <w:rPr>
          <w:rFonts w:cs="Arial" w:hint="cs"/>
          <w:rtl/>
        </w:rPr>
        <w:t xml:space="preserve"> </w:t>
      </w:r>
      <w:r w:rsidRPr="00AD6C97">
        <w:rPr>
          <w:rFonts w:cs="Arial" w:hint="cs"/>
          <w:sz w:val="16"/>
          <w:szCs w:val="16"/>
          <w:rtl/>
        </w:rPr>
        <w:t>(</w:t>
      </w:r>
      <w:r w:rsidRPr="00AD6C97">
        <w:rPr>
          <w:rFonts w:cs="Arial"/>
          <w:sz w:val="16"/>
          <w:szCs w:val="16"/>
          <w:rtl/>
        </w:rPr>
        <w:t>ואע</w:t>
      </w:r>
      <w:r>
        <w:rPr>
          <w:rFonts w:cs="Arial" w:hint="cs"/>
          <w:sz w:val="16"/>
          <w:szCs w:val="16"/>
          <w:rtl/>
        </w:rPr>
        <w:t>"</w:t>
      </w:r>
      <w:r w:rsidRPr="00AD6C97">
        <w:rPr>
          <w:rFonts w:cs="Arial"/>
          <w:sz w:val="16"/>
          <w:szCs w:val="16"/>
          <w:rtl/>
        </w:rPr>
        <w:t>ג דבאותו כיבוי אין בו חיוב חטאת לר' שמעון דמלאכה שאינה צריכה לגופה היא</w:t>
      </w:r>
      <w:r w:rsidRPr="00AD6C97">
        <w:rPr>
          <w:rFonts w:cs="Arial" w:hint="cs"/>
          <w:sz w:val="16"/>
          <w:szCs w:val="16"/>
          <w:rtl/>
        </w:rPr>
        <w:t>,</w:t>
      </w:r>
      <w:r w:rsidRPr="00AD6C97">
        <w:rPr>
          <w:rFonts w:cs="Arial"/>
          <w:sz w:val="16"/>
          <w:szCs w:val="16"/>
          <w:rtl/>
        </w:rPr>
        <w:t xml:space="preserve"> החמירו אטו כיבוי דחיוב חטאת</w:t>
      </w:r>
      <w:r w:rsidRPr="00AD6C97">
        <w:rPr>
          <w:rFonts w:cs="Arial" w:hint="cs"/>
          <w:sz w:val="16"/>
          <w:szCs w:val="16"/>
          <w:rtl/>
        </w:rPr>
        <w:t>.</w:t>
      </w:r>
      <w:r w:rsidRPr="00AD6C97">
        <w:rPr>
          <w:rFonts w:cs="Arial"/>
          <w:sz w:val="16"/>
          <w:szCs w:val="16"/>
          <w:rtl/>
        </w:rPr>
        <w:t xml:space="preserve"> ואף על גב דהוי גזירה לגזירה קים להו לרבנן דהכא שייך למגזר טפי</w:t>
      </w:r>
      <w:r>
        <w:rPr>
          <w:rFonts w:cs="Arial" w:hint="cs"/>
          <w:sz w:val="16"/>
          <w:szCs w:val="16"/>
          <w:rtl/>
        </w:rPr>
        <w:t>)</w:t>
      </w:r>
      <w:r w:rsidRPr="00AD6C97">
        <w:rPr>
          <w:rFonts w:cs="Arial" w:hint="cs"/>
          <w:rtl/>
        </w:rPr>
        <w:t>.</w:t>
      </w:r>
      <w:r w:rsidRPr="00AD6C97">
        <w:rPr>
          <w:rFonts w:cs="Arial"/>
          <w:rtl/>
        </w:rPr>
        <w:t xml:space="preserve"> </w:t>
      </w:r>
    </w:p>
    <w:p w14:paraId="55B7AE36" w14:textId="77777777" w:rsidR="004B2E7C" w:rsidRDefault="004B2E7C" w:rsidP="00FF2D21">
      <w:pPr>
        <w:pStyle w:val="a7"/>
        <w:numPr>
          <w:ilvl w:val="0"/>
          <w:numId w:val="95"/>
        </w:numPr>
      </w:pPr>
      <w:r w:rsidRPr="006740DD">
        <w:rPr>
          <w:rFonts w:cs="Arial"/>
          <w:rtl/>
        </w:rPr>
        <w:t>ר"ת</w:t>
      </w:r>
      <w:r>
        <w:rPr>
          <w:rFonts w:cs="Arial" w:hint="cs"/>
          <w:sz w:val="14"/>
          <w:szCs w:val="14"/>
          <w:rtl/>
        </w:rPr>
        <w:t xml:space="preserve"> </w:t>
      </w:r>
      <w:r w:rsidRPr="00AD6C97">
        <w:rPr>
          <w:rFonts w:cs="Arial" w:hint="cs"/>
          <w:sz w:val="16"/>
          <w:szCs w:val="16"/>
          <w:rtl/>
        </w:rPr>
        <w:t>(בתוס' שם)</w:t>
      </w:r>
      <w:r>
        <w:rPr>
          <w:rFonts w:cs="Arial" w:hint="cs"/>
          <w:rtl/>
        </w:rPr>
        <w:t>-</w:t>
      </w:r>
      <w:r w:rsidRPr="006740DD">
        <w:rPr>
          <w:rFonts w:cs="Arial"/>
          <w:rtl/>
        </w:rPr>
        <w:t xml:space="preserve"> </w:t>
      </w:r>
      <w:r>
        <w:rPr>
          <w:rFonts w:cs="Arial" w:hint="cs"/>
          <w:rtl/>
        </w:rPr>
        <w:t>יש לג</w:t>
      </w:r>
      <w:r w:rsidRPr="006740DD">
        <w:rPr>
          <w:rFonts w:cs="Arial"/>
          <w:rtl/>
        </w:rPr>
        <w:t>ר</w:t>
      </w:r>
      <w:r>
        <w:rPr>
          <w:rFonts w:cs="Arial" w:hint="cs"/>
          <w:rtl/>
        </w:rPr>
        <w:t>ו</w:t>
      </w:r>
      <w:r w:rsidRPr="006740DD">
        <w:rPr>
          <w:rFonts w:cs="Arial"/>
          <w:rtl/>
        </w:rPr>
        <w:t xml:space="preserve">ס כפירוש ר"ח </w:t>
      </w:r>
      <w:r>
        <w:rPr>
          <w:rFonts w:cs="Arial" w:hint="cs"/>
          <w:rtl/>
        </w:rPr>
        <w:t>'</w:t>
      </w:r>
      <w:r w:rsidRPr="006740DD">
        <w:rPr>
          <w:rFonts w:cs="Arial"/>
          <w:rtl/>
        </w:rPr>
        <w:t>מפני שמקרב כיבוי</w:t>
      </w:r>
      <w:r>
        <w:rPr>
          <w:rFonts w:cs="Arial" w:hint="cs"/>
          <w:rtl/>
        </w:rPr>
        <w:t>',</w:t>
      </w:r>
      <w:r w:rsidRPr="006740DD">
        <w:rPr>
          <w:rFonts w:cs="Arial"/>
          <w:rtl/>
        </w:rPr>
        <w:t xml:space="preserve"> </w:t>
      </w:r>
      <w:r>
        <w:rPr>
          <w:rFonts w:cs="Arial" w:hint="cs"/>
          <w:rtl/>
        </w:rPr>
        <w:t>ו</w:t>
      </w:r>
      <w:r w:rsidRPr="006740DD">
        <w:rPr>
          <w:rFonts w:cs="Arial"/>
          <w:rtl/>
        </w:rPr>
        <w:t>התם הוא דשרי לעשות מחיצה מכלים שיש בתוכן מים שאינו מכבה כלום עד שיתבקעו הכלים אבל הכא אין הפסק בין מים לניצוצות ומיד נכבות כשנופלות בכלי והוי כמחיצת מים דאסירא כגון מחיצת שלג וברד</w:t>
      </w:r>
      <w:r>
        <w:rPr>
          <w:rFonts w:cs="Arial" w:hint="cs"/>
          <w:rtl/>
        </w:rPr>
        <w:t>.</w:t>
      </w:r>
      <w:r w:rsidRPr="006740DD">
        <w:rPr>
          <w:rFonts w:cs="Arial"/>
          <w:rtl/>
        </w:rPr>
        <w:t xml:space="preserve"> </w:t>
      </w:r>
    </w:p>
    <w:p w14:paraId="02A333D3" w14:textId="77777777" w:rsidR="004B2E7C" w:rsidRPr="009F79BE" w:rsidRDefault="004B2E7C" w:rsidP="00285819">
      <w:pPr>
        <w:pStyle w:val="a7"/>
        <w:ind w:left="360"/>
        <w:rPr>
          <w:u w:val="dotted"/>
        </w:rPr>
      </w:pPr>
      <w:r w:rsidRPr="009F79BE">
        <w:rPr>
          <w:rFonts w:hint="cs"/>
          <w:u w:val="dotted"/>
          <w:rtl/>
        </w:rPr>
        <w:t>ו</w:t>
      </w:r>
      <w:r>
        <w:rPr>
          <w:rFonts w:hint="cs"/>
          <w:u w:val="dotted"/>
          <w:rtl/>
        </w:rPr>
        <w:t xml:space="preserve">קשה דהרי </w:t>
      </w:r>
      <w:r w:rsidRPr="009F79BE">
        <w:rPr>
          <w:rFonts w:cs="Arial"/>
          <w:u w:val="dotted"/>
          <w:rtl/>
        </w:rPr>
        <w:t xml:space="preserve">בירושלמי אפי' מחיצות של מים </w:t>
      </w:r>
      <w:r>
        <w:rPr>
          <w:rFonts w:cs="Arial" w:hint="cs"/>
          <w:u w:val="dotted"/>
          <w:rtl/>
        </w:rPr>
        <w:t xml:space="preserve">רבנן התירו, </w:t>
      </w:r>
      <w:r>
        <w:rPr>
          <w:rFonts w:hint="cs"/>
          <w:u w:val="dotted"/>
          <w:rtl/>
        </w:rPr>
        <w:t xml:space="preserve">וכן בבבלי גבי </w:t>
      </w:r>
      <w:r w:rsidRPr="009F79BE">
        <w:rPr>
          <w:rFonts w:hint="cs"/>
          <w:u w:val="dotted"/>
          <w:rtl/>
        </w:rPr>
        <w:t xml:space="preserve">טלית שאחז בה האור </w:t>
      </w:r>
      <w:r w:rsidRPr="009F79BE">
        <w:rPr>
          <w:rFonts w:cs="Arial" w:hint="cs"/>
          <w:sz w:val="16"/>
          <w:szCs w:val="16"/>
          <w:u w:val="dotted"/>
          <w:rtl/>
        </w:rPr>
        <w:t>(</w:t>
      </w:r>
      <w:r w:rsidRPr="009F79BE">
        <w:rPr>
          <w:rFonts w:cs="Arial"/>
          <w:sz w:val="16"/>
          <w:szCs w:val="16"/>
          <w:u w:val="dotted"/>
          <w:rtl/>
        </w:rPr>
        <w:t>פ' כל כתבי</w:t>
      </w:r>
      <w:r w:rsidRPr="009F79BE">
        <w:rPr>
          <w:rFonts w:cs="Arial" w:hint="cs"/>
          <w:sz w:val="16"/>
          <w:szCs w:val="16"/>
          <w:u w:val="dotted"/>
          <w:rtl/>
        </w:rPr>
        <w:t xml:space="preserve"> </w:t>
      </w:r>
      <w:r w:rsidRPr="009F79BE">
        <w:rPr>
          <w:rFonts w:cs="Arial"/>
          <w:sz w:val="16"/>
          <w:szCs w:val="16"/>
          <w:u w:val="dotted"/>
          <w:rtl/>
        </w:rPr>
        <w:t xml:space="preserve">קכ:) </w:t>
      </w:r>
      <w:r w:rsidRPr="009F79BE">
        <w:rPr>
          <w:rFonts w:cs="Arial" w:hint="cs"/>
          <w:u w:val="dotted"/>
          <w:rtl/>
        </w:rPr>
        <w:t>ד</w:t>
      </w:r>
      <w:r w:rsidRPr="009F79BE">
        <w:rPr>
          <w:rFonts w:cs="Arial"/>
          <w:u w:val="dotted"/>
          <w:rtl/>
        </w:rPr>
        <w:t>שרו רבנן</w:t>
      </w:r>
      <w:r w:rsidRPr="009F79BE">
        <w:rPr>
          <w:rFonts w:cs="Arial" w:hint="cs"/>
          <w:u w:val="dotted"/>
          <w:rtl/>
        </w:rPr>
        <w:t>:</w:t>
      </w:r>
    </w:p>
    <w:p w14:paraId="4A07CFD6" w14:textId="77777777" w:rsidR="004B2E7C" w:rsidRDefault="004B2E7C" w:rsidP="00FF2D21">
      <w:pPr>
        <w:pStyle w:val="a7"/>
        <w:numPr>
          <w:ilvl w:val="0"/>
          <w:numId w:val="95"/>
        </w:numPr>
      </w:pPr>
      <w:r>
        <w:rPr>
          <w:rFonts w:cs="Arial" w:hint="cs"/>
          <w:rtl/>
        </w:rPr>
        <w:t>תוס'</w:t>
      </w:r>
      <w:r>
        <w:rPr>
          <w:rFonts w:cs="Arial" w:hint="cs"/>
          <w:sz w:val="16"/>
          <w:szCs w:val="16"/>
          <w:rtl/>
        </w:rPr>
        <w:t xml:space="preserve"> (שם)</w:t>
      </w:r>
      <w:r>
        <w:rPr>
          <w:rFonts w:cs="Arial" w:hint="cs"/>
          <w:rtl/>
        </w:rPr>
        <w:t xml:space="preserve">- </w:t>
      </w:r>
      <w:r w:rsidRPr="009F79BE">
        <w:rPr>
          <w:rFonts w:cs="Arial"/>
          <w:rtl/>
        </w:rPr>
        <w:t>נראה דלפי הש"ס שלנו יש לחלק דבמחיצה של מים אע</w:t>
      </w:r>
      <w:r>
        <w:rPr>
          <w:rFonts w:cs="Arial" w:hint="cs"/>
          <w:rtl/>
        </w:rPr>
        <w:t>"</w:t>
      </w:r>
      <w:r w:rsidRPr="009F79BE">
        <w:rPr>
          <w:rFonts w:cs="Arial"/>
          <w:rtl/>
        </w:rPr>
        <w:t>ג דאין דבר מפסיק מ"מ שרי</w:t>
      </w:r>
      <w:r>
        <w:rPr>
          <w:rFonts w:cs="Arial" w:hint="cs"/>
          <w:rtl/>
        </w:rPr>
        <w:t>,</w:t>
      </w:r>
      <w:r w:rsidRPr="009F79BE">
        <w:rPr>
          <w:rFonts w:cs="Arial"/>
          <w:rtl/>
        </w:rPr>
        <w:t xml:space="preserve"> שאין האש נופלת לתוך המים להדיא כי הכא שהמים תחת הניצוצות ומקרב כיבוין טפי</w:t>
      </w:r>
      <w:r>
        <w:rPr>
          <w:rFonts w:cs="Arial" w:hint="cs"/>
          <w:sz w:val="16"/>
          <w:szCs w:val="16"/>
          <w:rtl/>
        </w:rPr>
        <w:t xml:space="preserve"> {וכ"כ ה</w:t>
      </w:r>
      <w:r w:rsidRPr="006F2FF3">
        <w:rPr>
          <w:rFonts w:cs="Arial"/>
          <w:sz w:val="16"/>
          <w:szCs w:val="16"/>
          <w:rtl/>
        </w:rPr>
        <w:t>רשב"א</w:t>
      </w:r>
      <w:r>
        <w:rPr>
          <w:rFonts w:cs="Arial" w:hint="cs"/>
          <w:sz w:val="16"/>
          <w:szCs w:val="16"/>
          <w:rtl/>
        </w:rPr>
        <w:t>, וכתב הה</w:t>
      </w:r>
      <w:r w:rsidRPr="006F2FF3">
        <w:rPr>
          <w:rFonts w:cs="Arial"/>
          <w:sz w:val="16"/>
          <w:szCs w:val="16"/>
          <w:rtl/>
        </w:rPr>
        <w:t xml:space="preserve">"מ </w:t>
      </w:r>
      <w:r>
        <w:rPr>
          <w:rFonts w:cs="Arial" w:hint="cs"/>
          <w:sz w:val="16"/>
          <w:szCs w:val="16"/>
          <w:rtl/>
        </w:rPr>
        <w:t>[</w:t>
      </w:r>
      <w:r w:rsidRPr="006F2FF3">
        <w:rPr>
          <w:rFonts w:cs="Arial"/>
          <w:sz w:val="16"/>
          <w:szCs w:val="16"/>
          <w:rtl/>
        </w:rPr>
        <w:t>פי"ב</w:t>
      </w:r>
      <w:r>
        <w:rPr>
          <w:rFonts w:cs="Arial" w:hint="cs"/>
          <w:sz w:val="16"/>
          <w:szCs w:val="16"/>
          <w:rtl/>
        </w:rPr>
        <w:t>] דתירוץ זה עיקר}</w:t>
      </w:r>
      <w:r>
        <w:rPr>
          <w:rFonts w:cs="Arial" w:hint="cs"/>
          <w:rtl/>
        </w:rPr>
        <w:t>.</w:t>
      </w:r>
      <w:r w:rsidRPr="009F79BE">
        <w:rPr>
          <w:rFonts w:cs="Arial"/>
          <w:rtl/>
        </w:rPr>
        <w:t xml:space="preserve"> ועוד דאיכא למימר דהש"ס שלנו אוסר במחיצות של מים לרבנן ומשום הכי מוקי מתניתין כרבנן ופליג אירושלמי</w:t>
      </w:r>
      <w:r>
        <w:rPr>
          <w:rFonts w:cs="Arial" w:hint="cs"/>
          <w:rtl/>
        </w:rPr>
        <w:t>.</w:t>
      </w:r>
      <w:r w:rsidRPr="009F79BE">
        <w:rPr>
          <w:rFonts w:cs="Arial"/>
          <w:rtl/>
        </w:rPr>
        <w:t xml:space="preserve"> ולא דמי לטלית שאחז בו האור מצד אחד שאינו אלא שלא תתפשט האור</w:t>
      </w:r>
      <w:r>
        <w:rPr>
          <w:rFonts w:cs="Arial" w:hint="cs"/>
          <w:rtl/>
        </w:rPr>
        <w:t>.</w:t>
      </w:r>
    </w:p>
  </w:footnote>
  <w:footnote w:id="724">
    <w:p w14:paraId="28BD28B3" w14:textId="77777777" w:rsidR="004B2E7C" w:rsidRDefault="004B2E7C" w:rsidP="00285819">
      <w:pPr>
        <w:pStyle w:val="a7"/>
      </w:pPr>
      <w:r>
        <w:rPr>
          <w:rStyle w:val="a9"/>
        </w:rPr>
        <w:footnoteRef/>
      </w:r>
      <w:r>
        <w:rPr>
          <w:rtl/>
        </w:rPr>
        <w:t xml:space="preserve"> </w:t>
      </w:r>
      <w:r>
        <w:rPr>
          <w:rFonts w:cs="Arial"/>
          <w:rtl/>
        </w:rPr>
        <w:t>ואע</w:t>
      </w:r>
      <w:r>
        <w:rPr>
          <w:rFonts w:cs="Arial" w:hint="cs"/>
          <w:rtl/>
        </w:rPr>
        <w:t>"</w:t>
      </w:r>
      <w:r>
        <w:rPr>
          <w:rFonts w:cs="Arial"/>
          <w:rtl/>
        </w:rPr>
        <w:t>פ שכתב כי כל מה שיעשה מערב שבת וכו' נראה לי דאנותן מים בעששית או בנר קאי דוקא</w:t>
      </w:r>
      <w:r>
        <w:rPr>
          <w:rFonts w:cs="Arial" w:hint="cs"/>
          <w:rtl/>
        </w:rPr>
        <w:t>,</w:t>
      </w:r>
      <w:r>
        <w:rPr>
          <w:rFonts w:cs="Arial"/>
          <w:rtl/>
        </w:rPr>
        <w:t xml:space="preserve"> וזהו שכתב אין בו משום גורם כיבוי דלא הוי מקרב כיבוי אלא גורם כיבוי</w:t>
      </w:r>
      <w:r>
        <w:rPr>
          <w:rFonts w:cs="Arial" w:hint="cs"/>
          <w:rtl/>
        </w:rPr>
        <w:t>,</w:t>
      </w:r>
      <w:r>
        <w:rPr>
          <w:rFonts w:cs="Arial"/>
          <w:rtl/>
        </w:rPr>
        <w:t xml:space="preserve"> ומשום הכי שרי בערב שבת אע</w:t>
      </w:r>
      <w:r>
        <w:rPr>
          <w:rFonts w:cs="Arial" w:hint="cs"/>
          <w:rtl/>
        </w:rPr>
        <w:t>"</w:t>
      </w:r>
      <w:r>
        <w:rPr>
          <w:rFonts w:cs="Arial"/>
          <w:rtl/>
        </w:rPr>
        <w:t>פ שהוא גורם כיבוי כיון שלא עשאו בשבת אלא מערב שבת אין בו איסור</w:t>
      </w:r>
      <w:r>
        <w:rPr>
          <w:rFonts w:cs="Arial" w:hint="cs"/>
          <w:rtl/>
        </w:rPr>
        <w:t>.</w:t>
      </w:r>
      <w:r>
        <w:rPr>
          <w:rFonts w:cs="Arial"/>
          <w:rtl/>
        </w:rPr>
        <w:t xml:space="preserve"> אבל מקרב כיבוי כגון נותן כלי של מים תחת הנר אסור אפילו ליתנו מערב שבת כדתניא בהדיא</w:t>
      </w:r>
      <w:r>
        <w:rPr>
          <w:rFonts w:cs="Arial" w:hint="cs"/>
          <w:rtl/>
        </w:rPr>
        <w:t>, ב"י.</w:t>
      </w:r>
    </w:p>
  </w:footnote>
  <w:footnote w:id="725">
    <w:p w14:paraId="7BCF3157" w14:textId="77777777" w:rsidR="004B2E7C" w:rsidRDefault="004B2E7C" w:rsidP="00285819">
      <w:pPr>
        <w:pStyle w:val="a7"/>
        <w:rPr>
          <w:rFonts w:cs="Arial"/>
          <w:rtl/>
        </w:rPr>
      </w:pPr>
      <w:r>
        <w:rPr>
          <w:rStyle w:val="a9"/>
        </w:rPr>
        <w:footnoteRef/>
      </w:r>
      <w:r>
        <w:rPr>
          <w:rtl/>
        </w:rPr>
        <w:t xml:space="preserve"> </w:t>
      </w:r>
      <w:r w:rsidRPr="00E56F36">
        <w:rPr>
          <w:rFonts w:cs="Arial" w:hint="cs"/>
          <w:u w:val="single"/>
          <w:rtl/>
        </w:rPr>
        <w:t>מספר טעמים נאמרו לה</w:t>
      </w:r>
      <w:r>
        <w:rPr>
          <w:rFonts w:cs="Arial" w:hint="cs"/>
          <w:u w:val="single"/>
          <w:rtl/>
        </w:rPr>
        <w:t>י</w:t>
      </w:r>
      <w:r w:rsidRPr="00E56F36">
        <w:rPr>
          <w:rFonts w:cs="Arial" w:hint="cs"/>
          <w:u w:val="single"/>
          <w:rtl/>
        </w:rPr>
        <w:t>תר</w:t>
      </w:r>
      <w:r>
        <w:rPr>
          <w:rFonts w:cs="Arial" w:hint="cs"/>
          <w:u w:val="single"/>
          <w:rtl/>
        </w:rPr>
        <w:t xml:space="preserve"> זה</w:t>
      </w:r>
      <w:r w:rsidRPr="00E56F36">
        <w:rPr>
          <w:rFonts w:cs="Arial" w:hint="cs"/>
          <w:u w:val="single"/>
          <w:rtl/>
        </w:rPr>
        <w:t>:</w:t>
      </w:r>
    </w:p>
    <w:p w14:paraId="56A4E066" w14:textId="77777777" w:rsidR="004B2E7C" w:rsidRDefault="004B2E7C" w:rsidP="00FF2D21">
      <w:pPr>
        <w:pStyle w:val="a7"/>
        <w:numPr>
          <w:ilvl w:val="0"/>
          <w:numId w:val="94"/>
        </w:numPr>
      </w:pPr>
      <w:r>
        <w:rPr>
          <w:rFonts w:cs="Arial" w:hint="cs"/>
          <w:rtl/>
        </w:rPr>
        <w:t xml:space="preserve">תוס' </w:t>
      </w:r>
      <w:r w:rsidRPr="005A256C">
        <w:rPr>
          <w:rFonts w:cs="Arial" w:hint="cs"/>
          <w:sz w:val="16"/>
          <w:szCs w:val="16"/>
          <w:rtl/>
        </w:rPr>
        <w:t>(</w:t>
      </w:r>
      <w:r>
        <w:rPr>
          <w:rFonts w:cs="Arial" w:hint="cs"/>
          <w:sz w:val="16"/>
          <w:szCs w:val="16"/>
          <w:rtl/>
        </w:rPr>
        <w:t>מז:</w:t>
      </w:r>
      <w:r w:rsidRPr="005A256C">
        <w:rPr>
          <w:rFonts w:cs="Arial" w:hint="cs"/>
          <w:sz w:val="16"/>
          <w:szCs w:val="16"/>
          <w:rtl/>
        </w:rPr>
        <w:t xml:space="preserve"> ד"ה מפני)</w:t>
      </w:r>
      <w:r>
        <w:rPr>
          <w:rFonts w:cs="Arial" w:hint="cs"/>
          <w:rtl/>
        </w:rPr>
        <w:t xml:space="preserve">- </w:t>
      </w:r>
      <w:r w:rsidRPr="005A256C">
        <w:rPr>
          <w:rFonts w:cs="Arial"/>
          <w:rtl/>
        </w:rPr>
        <w:t>כיון שאין מתכוין לכיבוי כלל אלא להגביה את השמן לא שייך למגזר מידי שמא יעשה בשבת ושרי אפי' לר' יוסי וכ"ש לרבנן</w:t>
      </w:r>
      <w:r>
        <w:rPr>
          <w:rFonts w:cs="Arial" w:hint="cs"/>
          <w:rtl/>
        </w:rPr>
        <w:t>.</w:t>
      </w:r>
      <w:r w:rsidRPr="0051299C">
        <w:rPr>
          <w:rFonts w:cs="Arial"/>
          <w:rtl/>
        </w:rPr>
        <w:t xml:space="preserve"> </w:t>
      </w:r>
      <w:r w:rsidRPr="00A163AF">
        <w:rPr>
          <w:rFonts w:hint="cs"/>
          <w:color w:val="E36C0A" w:themeColor="accent6" w:themeShade="BF"/>
          <w:rtl/>
        </w:rPr>
        <w:t>(וכ"פ בשו"ע)</w:t>
      </w:r>
    </w:p>
    <w:p w14:paraId="0E418465" w14:textId="77777777" w:rsidR="004B2E7C" w:rsidRPr="00E56F36" w:rsidRDefault="004B2E7C" w:rsidP="00FF2D21">
      <w:pPr>
        <w:pStyle w:val="a7"/>
        <w:numPr>
          <w:ilvl w:val="0"/>
          <w:numId w:val="94"/>
        </w:numPr>
      </w:pPr>
      <w:r>
        <w:rPr>
          <w:rFonts w:cs="Arial"/>
          <w:rtl/>
        </w:rPr>
        <w:t xml:space="preserve">רב נטרונאי </w:t>
      </w:r>
      <w:r w:rsidRPr="00E56F36">
        <w:rPr>
          <w:rFonts w:cs="Arial" w:hint="cs"/>
          <w:sz w:val="16"/>
          <w:szCs w:val="16"/>
          <w:rtl/>
        </w:rPr>
        <w:t>(ב</w:t>
      </w:r>
      <w:r w:rsidRPr="00E56F36">
        <w:rPr>
          <w:rFonts w:cs="Arial"/>
          <w:sz w:val="16"/>
          <w:szCs w:val="16"/>
          <w:rtl/>
        </w:rPr>
        <w:t>תשובת הגאונים שערי תשובה סי' רלט)</w:t>
      </w:r>
      <w:r>
        <w:rPr>
          <w:rFonts w:cs="Arial" w:hint="cs"/>
          <w:rtl/>
        </w:rPr>
        <w:t>-</w:t>
      </w:r>
      <w:r>
        <w:rPr>
          <w:rFonts w:cs="Arial"/>
          <w:rtl/>
        </w:rPr>
        <w:t xml:space="preserve"> משום דשמן כולו דולק ומים אין גורמין לו כיבוי שאינו כבה עד שיכלה השמן ואין נעשה כיבוי אלא כאותה ששנינו אין נותנין מים תחת הנר דהתם ודאי כי שדי המים אדעתא לכבות שדי להו</w:t>
      </w:r>
      <w:r>
        <w:rPr>
          <w:rFonts w:hint="cs"/>
          <w:rtl/>
        </w:rPr>
        <w:t>.</w:t>
      </w:r>
    </w:p>
    <w:p w14:paraId="0280DA48" w14:textId="77777777" w:rsidR="004B2E7C" w:rsidRPr="00E56F36" w:rsidRDefault="004B2E7C" w:rsidP="00FF2D21">
      <w:pPr>
        <w:pStyle w:val="a7"/>
        <w:numPr>
          <w:ilvl w:val="0"/>
          <w:numId w:val="94"/>
        </w:numPr>
      </w:pPr>
      <w:r w:rsidRPr="0051299C">
        <w:rPr>
          <w:rFonts w:cs="Arial"/>
          <w:rtl/>
        </w:rPr>
        <w:t xml:space="preserve">סמ"ג </w:t>
      </w:r>
      <w:r w:rsidRPr="00E56F36">
        <w:rPr>
          <w:rFonts w:cs="Arial"/>
          <w:sz w:val="16"/>
          <w:szCs w:val="16"/>
          <w:rtl/>
        </w:rPr>
        <w:t>(ל"ת סה, טז ע"ג</w:t>
      </w:r>
      <w:r w:rsidRPr="00E56F36">
        <w:rPr>
          <w:rFonts w:cs="Arial" w:hint="cs"/>
          <w:sz w:val="16"/>
          <w:szCs w:val="16"/>
          <w:rtl/>
        </w:rPr>
        <w:t>, כ"כ הדרכ"מ בשמו [אות א]</w:t>
      </w:r>
      <w:r w:rsidRPr="00E56F36">
        <w:rPr>
          <w:rFonts w:cs="Arial"/>
          <w:sz w:val="16"/>
          <w:szCs w:val="16"/>
          <w:rtl/>
        </w:rPr>
        <w:t>)</w:t>
      </w:r>
      <w:r>
        <w:rPr>
          <w:rFonts w:cs="Arial" w:hint="cs"/>
          <w:rtl/>
        </w:rPr>
        <w:t>-</w:t>
      </w:r>
      <w:r w:rsidRPr="0051299C">
        <w:rPr>
          <w:rFonts w:cs="Arial"/>
          <w:rtl/>
        </w:rPr>
        <w:t xml:space="preserve"> משום דהוה גרם כיבוי מאחר שאין המים בעין תחת הנר</w:t>
      </w:r>
      <w:r>
        <w:rPr>
          <w:rFonts w:cs="Arial" w:hint="cs"/>
          <w:rtl/>
        </w:rPr>
        <w:t>.</w:t>
      </w:r>
      <w:r w:rsidRPr="0051299C">
        <w:rPr>
          <w:rFonts w:cs="Arial"/>
          <w:rtl/>
        </w:rPr>
        <w:t xml:space="preserve"> </w:t>
      </w:r>
      <w:r w:rsidRPr="00A163AF">
        <w:rPr>
          <w:rFonts w:hint="cs"/>
          <w:color w:val="00B0F0"/>
          <w:rtl/>
        </w:rPr>
        <w:t>(וכ"פ הרמ"א)</w:t>
      </w:r>
    </w:p>
    <w:p w14:paraId="2442A97D" w14:textId="77777777" w:rsidR="004B2E7C" w:rsidRDefault="004B2E7C" w:rsidP="00FF2D21">
      <w:pPr>
        <w:pStyle w:val="a7"/>
        <w:numPr>
          <w:ilvl w:val="0"/>
          <w:numId w:val="94"/>
        </w:numPr>
        <w:rPr>
          <w:rtl/>
        </w:rPr>
      </w:pPr>
      <w:r w:rsidRPr="0051299C">
        <w:rPr>
          <w:rFonts w:cs="Arial"/>
          <w:rtl/>
        </w:rPr>
        <w:t>א</w:t>
      </w:r>
      <w:r>
        <w:rPr>
          <w:rFonts w:cs="Arial" w:hint="cs"/>
          <w:rtl/>
        </w:rPr>
        <w:t>ו"</w:t>
      </w:r>
      <w:r w:rsidRPr="0051299C">
        <w:rPr>
          <w:rFonts w:cs="Arial"/>
          <w:rtl/>
        </w:rPr>
        <w:t>ז</w:t>
      </w:r>
      <w:r w:rsidRPr="00E56F36">
        <w:rPr>
          <w:rFonts w:cs="Arial"/>
          <w:sz w:val="16"/>
          <w:szCs w:val="16"/>
          <w:rtl/>
        </w:rPr>
        <w:t xml:space="preserve"> (הל' ערב שבת סי' כח, ד"ה פרק כירה</w:t>
      </w:r>
      <w:r>
        <w:rPr>
          <w:rFonts w:cs="Arial" w:hint="cs"/>
          <w:sz w:val="16"/>
          <w:szCs w:val="16"/>
          <w:rtl/>
        </w:rPr>
        <w:t>,</w:t>
      </w:r>
      <w:r w:rsidRPr="00E56F36">
        <w:rPr>
          <w:rFonts w:cs="Arial" w:hint="cs"/>
          <w:sz w:val="16"/>
          <w:szCs w:val="16"/>
          <w:rtl/>
        </w:rPr>
        <w:t xml:space="preserve"> כ"כ הדרכ"מ בשמו [אות א]</w:t>
      </w:r>
      <w:r w:rsidRPr="00E56F36">
        <w:rPr>
          <w:rFonts w:cs="Arial"/>
          <w:sz w:val="16"/>
          <w:szCs w:val="16"/>
          <w:rtl/>
        </w:rPr>
        <w:t>)</w:t>
      </w:r>
      <w:r>
        <w:rPr>
          <w:rFonts w:cs="Arial" w:hint="cs"/>
          <w:rtl/>
        </w:rPr>
        <w:t xml:space="preserve">- משום </w:t>
      </w:r>
      <w:r w:rsidRPr="0051299C">
        <w:rPr>
          <w:rFonts w:cs="Arial"/>
          <w:rtl/>
        </w:rPr>
        <w:t xml:space="preserve">שעדיין לא הדליקו הנר </w:t>
      </w:r>
      <w:r>
        <w:rPr>
          <w:rFonts w:cs="Arial" w:hint="cs"/>
          <w:rtl/>
        </w:rPr>
        <w:t>(ואזיל לשיטתיה דלעיל).</w:t>
      </w:r>
    </w:p>
  </w:footnote>
  <w:footnote w:id="726">
    <w:p w14:paraId="2C6CF622" w14:textId="77777777" w:rsidR="004B2E7C" w:rsidRDefault="004B2E7C" w:rsidP="00285819">
      <w:pPr>
        <w:pStyle w:val="a7"/>
      </w:pPr>
      <w:r>
        <w:rPr>
          <w:rStyle w:val="a9"/>
        </w:rPr>
        <w:footnoteRef/>
      </w:r>
      <w:r>
        <w:rPr>
          <w:rtl/>
        </w:rPr>
        <w:t xml:space="preserve"> </w:t>
      </w:r>
      <w:r>
        <w:rPr>
          <w:rFonts w:hint="cs"/>
          <w:rtl/>
        </w:rPr>
        <w:t xml:space="preserve">וכן פסק המשנ"ב (סק"ה) לאסור </w:t>
      </w:r>
      <w:r w:rsidRPr="002620C4">
        <w:rPr>
          <w:rFonts w:cs="Arial"/>
          <w:rtl/>
        </w:rPr>
        <w:t>אם לא במקום הפסד</w:t>
      </w:r>
      <w:r>
        <w:rPr>
          <w:rFonts w:cs="Arial" w:hint="cs"/>
          <w:rtl/>
        </w:rPr>
        <w:t>.</w:t>
      </w:r>
      <w:r w:rsidRPr="002620C4">
        <w:rPr>
          <w:rFonts w:cs="Arial"/>
          <w:rtl/>
        </w:rPr>
        <w:t xml:space="preserve"> </w:t>
      </w:r>
      <w:r>
        <w:rPr>
          <w:rFonts w:cs="Arial" w:hint="cs"/>
          <w:rtl/>
        </w:rPr>
        <w:t>ד</w:t>
      </w:r>
      <w:r w:rsidRPr="002620C4">
        <w:rPr>
          <w:rFonts w:cs="Arial"/>
          <w:rtl/>
        </w:rPr>
        <w:t>אע</w:t>
      </w:r>
      <w:r>
        <w:rPr>
          <w:rFonts w:cs="Arial" w:hint="cs"/>
          <w:rtl/>
        </w:rPr>
        <w:t>"</w:t>
      </w:r>
      <w:r w:rsidRPr="002620C4">
        <w:rPr>
          <w:rFonts w:cs="Arial"/>
          <w:rtl/>
        </w:rPr>
        <w:t>ג דלאחר שכבו יכול לנערם מן הכלי מ"מ חשיב ביטול כלי מהיכנו לפי שעה עכ"פ כיון שא"א לנערם מיד</w:t>
      </w:r>
      <w:r>
        <w:rPr>
          <w:rFonts w:cs="Arial" w:hint="cs"/>
          <w:rtl/>
        </w:rPr>
        <w:t>.</w:t>
      </w:r>
    </w:p>
  </w:footnote>
  <w:footnote w:id="727">
    <w:p w14:paraId="6B2B3909" w14:textId="77777777" w:rsidR="004B2E7C" w:rsidRDefault="004B2E7C" w:rsidP="00285819">
      <w:pPr>
        <w:pStyle w:val="a7"/>
      </w:pPr>
      <w:r>
        <w:rPr>
          <w:rStyle w:val="a9"/>
        </w:rPr>
        <w:footnoteRef/>
      </w:r>
      <w:r>
        <w:rPr>
          <w:rtl/>
        </w:rPr>
        <w:t xml:space="preserve"> </w:t>
      </w:r>
      <w:r w:rsidRPr="000465C3">
        <w:rPr>
          <w:rFonts w:cs="Arial"/>
          <w:rtl/>
        </w:rPr>
        <w:t>כתב הא"ר בשם או"ה כשיש סכנת דליקה ח"ו מותר ליתן כלי מלא מים לקבל הניצוצות ולפ"ז אם רואה נר שנכפף ויפול על השלחן רשאי להעמיד תחתיו כלי מלא מים ועיין בפמ"ג שמפקפק בעיקר דינו של האו"ה ונראה דיש להקל במקום הדחק ע"י קטן</w:t>
      </w:r>
      <w:r>
        <w:rPr>
          <w:rFonts w:cs="Arial" w:hint="cs"/>
          <w:rtl/>
        </w:rPr>
        <w:t>, משנ"ב (סקט"ז).</w:t>
      </w:r>
    </w:p>
  </w:footnote>
  <w:footnote w:id="728">
    <w:p w14:paraId="7438016E" w14:textId="77777777" w:rsidR="004B2E7C" w:rsidRDefault="004B2E7C" w:rsidP="00285819">
      <w:pPr>
        <w:pStyle w:val="a7"/>
      </w:pPr>
      <w:r>
        <w:rPr>
          <w:rStyle w:val="a9"/>
        </w:rPr>
        <w:footnoteRef/>
      </w:r>
      <w:r>
        <w:rPr>
          <w:rtl/>
        </w:rPr>
        <w:t xml:space="preserve"> </w:t>
      </w:r>
      <w:r w:rsidRPr="000465C3">
        <w:rPr>
          <w:rFonts w:cs="Arial"/>
          <w:rtl/>
        </w:rPr>
        <w:t>צ"ע דז"ל הסמ"ג אסור ליתן לתוך הכלי מים אפי' מע"ש משום שהוא מקרב כיבוי הניצוצות אפי' לרבנן דאמרי גרם כיבוי מותר שכיון שהמים בעין ובודאי יפלו הניצוצות ובכוונת כיבוי הוא נותן המים הרי אלו כמכבה בידים אבל אלו צלוחית שנותנין שם מים להגביה השמן או שלא ישבר הכלי מותר עכ"ל הרי בהדיא שאם מתכוין לכיבוי אסור ומ"ש כיון שהמים בעין וכו' והכלי עצמו אינו נשרף כונתו כמ"ש התו' דדוקא כלים מלאים מים שרי להעמיד דמפסיק כלי בין המים ובין האור אבל הכא המים והאור באין להדדי ע"ש ותמצא כדברי ובסמ"ק כ"ה בהדיא הטעם משום שאין נתכוין לכיבוי וידוע שכל דבריו הם דברי הסמ"ג ודברי רמ"א צ"ע</w:t>
      </w:r>
      <w:r>
        <w:rPr>
          <w:rFonts w:cs="Arial" w:hint="cs"/>
          <w:rtl/>
        </w:rPr>
        <w:t>, מג"א</w:t>
      </w:r>
      <w:r w:rsidRPr="000465C3">
        <w:rPr>
          <w:rFonts w:cs="Arial" w:hint="cs"/>
          <w:sz w:val="16"/>
          <w:szCs w:val="16"/>
          <w:rtl/>
        </w:rPr>
        <w:t xml:space="preserve"> (סק"י)</w:t>
      </w:r>
      <w:r>
        <w:rPr>
          <w:rFonts w:cs="Arial" w:hint="cs"/>
          <w:rtl/>
        </w:rPr>
        <w:t>.</w:t>
      </w:r>
    </w:p>
  </w:footnote>
  <w:footnote w:id="729">
    <w:p w14:paraId="239BE035" w14:textId="77777777" w:rsidR="004B2E7C" w:rsidRDefault="004B2E7C" w:rsidP="00285819">
      <w:pPr>
        <w:pStyle w:val="a7"/>
        <w:rPr>
          <w:rtl/>
        </w:rPr>
      </w:pPr>
      <w:r>
        <w:rPr>
          <w:rStyle w:val="a9"/>
        </w:rPr>
        <w:footnoteRef/>
      </w:r>
      <w:r>
        <w:rPr>
          <w:rtl/>
        </w:rPr>
        <w:t xml:space="preserve"> </w:t>
      </w:r>
      <w:r w:rsidRPr="000465C3">
        <w:rPr>
          <w:rFonts w:cs="Arial"/>
          <w:rtl/>
        </w:rPr>
        <w:t>אך בד</w:t>
      </w:r>
      <w:r>
        <w:rPr>
          <w:rFonts w:cs="Arial" w:hint="cs"/>
          <w:rtl/>
        </w:rPr>
        <w:t>רכ</w:t>
      </w:r>
      <w:r w:rsidRPr="000465C3">
        <w:rPr>
          <w:rFonts w:cs="Arial"/>
          <w:rtl/>
        </w:rPr>
        <w:t>"מ</w:t>
      </w:r>
      <w:r>
        <w:rPr>
          <w:rFonts w:cs="Arial" w:hint="cs"/>
          <w:rtl/>
        </w:rPr>
        <w:t xml:space="preserve"> (אות א)</w:t>
      </w:r>
      <w:r w:rsidRPr="000465C3">
        <w:rPr>
          <w:rFonts w:cs="Arial"/>
          <w:rtl/>
        </w:rPr>
        <w:t xml:space="preserve"> כ' בשם א"ז כיון שנותן המים קודם שמדליק השמן שרי וכנ"ל דליכא למיגזר שיעשה כן בשבת וכמש"ל בשם התוס' אך כיון שהשמיטו רמ"א בש"ע אפשר דלא ס"ל הכי מאחר שכל הפוסקים נתנו טעמים אחרים גבי שמן ש"מ דלא ס"ל הכי וברא"ש כ' דבשמן אין כיבוי כלל דאפי' לא יתן לתוכה מים כשיכלה השמן תכבה הפתילה ואין נתינת מים ממהרים הכיבוי עכ"ל וא"כ אפילו בשבת שרי כש</w:t>
      </w:r>
      <w:r>
        <w:rPr>
          <w:rFonts w:cs="Arial"/>
          <w:rtl/>
        </w:rPr>
        <w:t>גוי</w:t>
      </w:r>
      <w:r w:rsidRPr="000465C3">
        <w:rPr>
          <w:rFonts w:cs="Arial"/>
          <w:rtl/>
        </w:rPr>
        <w:t xml:space="preserve"> מדליקו לצורך חולה</w:t>
      </w:r>
      <w:r>
        <w:rPr>
          <w:rFonts w:cs="Arial" w:hint="cs"/>
          <w:rtl/>
        </w:rPr>
        <w:t>, מג"א (סק"י).</w:t>
      </w:r>
    </w:p>
  </w:footnote>
  <w:footnote w:id="730">
    <w:p w14:paraId="2DF525D9" w14:textId="77777777" w:rsidR="004B2E7C" w:rsidRPr="007966FB" w:rsidRDefault="004B2E7C" w:rsidP="00285819">
      <w:pPr>
        <w:pStyle w:val="a7"/>
        <w:rPr>
          <w:rtl/>
        </w:rPr>
      </w:pPr>
      <w:r>
        <w:rPr>
          <w:rStyle w:val="a9"/>
        </w:rPr>
        <w:footnoteRef/>
      </w:r>
      <w:r>
        <w:rPr>
          <w:rtl/>
        </w:rPr>
        <w:t xml:space="preserve"> </w:t>
      </w:r>
      <w:r>
        <w:rPr>
          <w:rFonts w:cs="Arial"/>
          <w:rtl/>
        </w:rPr>
        <w:t>ופירש רש"י נותן כיסו לנכרי מבעוד יום</w:t>
      </w:r>
      <w:r>
        <w:rPr>
          <w:rFonts w:cs="Arial" w:hint="cs"/>
          <w:rtl/>
        </w:rPr>
        <w:t>.</w:t>
      </w:r>
      <w:r>
        <w:rPr>
          <w:rFonts w:cs="Arial"/>
          <w:rtl/>
        </w:rPr>
        <w:t xml:space="preserve"> והקשה עליו הרא"ש (סי' א) ופירש דאף משתחשך קאמר</w:t>
      </w:r>
      <w:r>
        <w:rPr>
          <w:rFonts w:hint="cs"/>
          <w:rtl/>
        </w:rPr>
        <w:t xml:space="preserve">, ב"י. וכך דעת </w:t>
      </w:r>
      <w:r>
        <w:rPr>
          <w:rFonts w:cs="Arial" w:hint="cs"/>
          <w:rtl/>
        </w:rPr>
        <w:t xml:space="preserve">התוס' </w:t>
      </w:r>
      <w:r w:rsidRPr="007966FB">
        <w:rPr>
          <w:rFonts w:cs="Arial" w:hint="cs"/>
          <w:sz w:val="16"/>
          <w:szCs w:val="16"/>
          <w:rtl/>
        </w:rPr>
        <w:t>(כ"כ רי"ו בשמם [</w:t>
      </w:r>
      <w:r w:rsidRPr="007966FB">
        <w:rPr>
          <w:rFonts w:cs="Arial"/>
          <w:sz w:val="16"/>
          <w:szCs w:val="16"/>
          <w:rtl/>
        </w:rPr>
        <w:t>ח</w:t>
      </w:r>
      <w:r w:rsidRPr="007966FB">
        <w:rPr>
          <w:rFonts w:cs="Arial" w:hint="cs"/>
          <w:sz w:val="16"/>
          <w:szCs w:val="16"/>
          <w:rtl/>
        </w:rPr>
        <w:t>"</w:t>
      </w:r>
      <w:r w:rsidRPr="007966FB">
        <w:rPr>
          <w:rFonts w:cs="Arial"/>
          <w:sz w:val="16"/>
          <w:szCs w:val="16"/>
          <w:rtl/>
        </w:rPr>
        <w:t>א סו ע"ג</w:t>
      </w:r>
      <w:r w:rsidRPr="007966FB">
        <w:rPr>
          <w:rFonts w:cs="Arial" w:hint="cs"/>
          <w:sz w:val="16"/>
          <w:szCs w:val="16"/>
          <w:rtl/>
        </w:rPr>
        <w:t xml:space="preserve">]) </w:t>
      </w:r>
      <w:r>
        <w:rPr>
          <w:rFonts w:cs="Arial" w:hint="cs"/>
          <w:rtl/>
        </w:rPr>
        <w:t xml:space="preserve">רמב"ם </w:t>
      </w:r>
      <w:r w:rsidRPr="007966FB">
        <w:rPr>
          <w:rFonts w:cs="Arial" w:hint="cs"/>
          <w:sz w:val="16"/>
          <w:szCs w:val="16"/>
          <w:rtl/>
        </w:rPr>
        <w:t xml:space="preserve">(פ"ו הכ"ב) </w:t>
      </w:r>
      <w:r>
        <w:rPr>
          <w:rFonts w:cs="Arial" w:hint="cs"/>
          <w:rtl/>
        </w:rPr>
        <w:t xml:space="preserve">ורי"ו </w:t>
      </w:r>
      <w:r w:rsidRPr="007966FB">
        <w:rPr>
          <w:rFonts w:cs="Arial" w:hint="cs"/>
          <w:sz w:val="16"/>
          <w:szCs w:val="16"/>
          <w:rtl/>
        </w:rPr>
        <w:t>(</w:t>
      </w:r>
      <w:r w:rsidRPr="007966FB">
        <w:rPr>
          <w:rFonts w:cs="Arial"/>
          <w:sz w:val="16"/>
          <w:szCs w:val="16"/>
          <w:rtl/>
        </w:rPr>
        <w:t>ח</w:t>
      </w:r>
      <w:r w:rsidRPr="007966FB">
        <w:rPr>
          <w:rFonts w:cs="Arial" w:hint="cs"/>
          <w:sz w:val="16"/>
          <w:szCs w:val="16"/>
          <w:rtl/>
        </w:rPr>
        <w:t>"</w:t>
      </w:r>
      <w:r w:rsidRPr="007966FB">
        <w:rPr>
          <w:rFonts w:cs="Arial"/>
          <w:sz w:val="16"/>
          <w:szCs w:val="16"/>
          <w:rtl/>
        </w:rPr>
        <w:t>א סו ע"ג)</w:t>
      </w:r>
      <w:r>
        <w:rPr>
          <w:rFonts w:cs="Arial" w:hint="cs"/>
          <w:rtl/>
        </w:rPr>
        <w:t>.</w:t>
      </w:r>
    </w:p>
  </w:footnote>
  <w:footnote w:id="731">
    <w:p w14:paraId="30B9D272" w14:textId="77777777" w:rsidR="004B2E7C" w:rsidRDefault="004B2E7C" w:rsidP="00285819">
      <w:pPr>
        <w:pStyle w:val="a7"/>
      </w:pPr>
      <w:r>
        <w:rPr>
          <w:rStyle w:val="a9"/>
        </w:rPr>
        <w:footnoteRef/>
      </w:r>
      <w:r>
        <w:rPr>
          <w:rtl/>
        </w:rPr>
        <w:t xml:space="preserve"> </w:t>
      </w:r>
      <w:r>
        <w:rPr>
          <w:rFonts w:cs="Arial"/>
          <w:rtl/>
        </w:rPr>
        <w:t>כתב הר"ן (סו. ד"ה אמר רבא) דמסתברא כלישנא קמא כיון דאיסורא דרבנן בעלמא הוא נקטינן לקולא</w:t>
      </w:r>
      <w:r>
        <w:rPr>
          <w:rFonts w:cs="Arial" w:hint="cs"/>
          <w:rtl/>
        </w:rPr>
        <w:t>,</w:t>
      </w:r>
      <w:r>
        <w:rPr>
          <w:rFonts w:cs="Arial"/>
          <w:rtl/>
        </w:rPr>
        <w:t xml:space="preserve"> וכן נראין דברי הרמב"ם בפ</w:t>
      </w:r>
      <w:r>
        <w:rPr>
          <w:rFonts w:cs="Arial" w:hint="cs"/>
          <w:rtl/>
        </w:rPr>
        <w:t>"</w:t>
      </w:r>
      <w:r>
        <w:rPr>
          <w:rFonts w:cs="Arial"/>
          <w:rtl/>
        </w:rPr>
        <w:t>כ (ה"ז) אע</w:t>
      </w:r>
      <w:r>
        <w:rPr>
          <w:rFonts w:cs="Arial" w:hint="cs"/>
          <w:rtl/>
        </w:rPr>
        <w:t>"</w:t>
      </w:r>
      <w:r>
        <w:rPr>
          <w:rFonts w:cs="Arial"/>
          <w:rtl/>
        </w:rPr>
        <w:t>פ שלא נתחוור לי לשונו שם</w:t>
      </w:r>
      <w:r>
        <w:rPr>
          <w:rFonts w:cs="Arial" w:hint="cs"/>
          <w:rtl/>
        </w:rPr>
        <w:t>.</w:t>
      </w:r>
      <w:r>
        <w:rPr>
          <w:rFonts w:cs="Arial"/>
          <w:rtl/>
        </w:rPr>
        <w:t xml:space="preserve"> אבל לא נראה כן מדברי הרי"ף שכתב דוקא כיסו אבל מציאה לא ולא חילק בין אתאי לידיה ללא אתאי לידיה עכ"ל. והרא"ש (שם) כתב דברי הרי"ף לבד, ורבינו שסתם דבריו כלישנא קמא נראה דמשמע ליה דאדרבא משום דסבירא ליה להרי"ף והרא"ש דנקטינן לקולא סתמו דבריהם דממילא משמע דכל שבאת לידו שרי דהיינו כיסו</w:t>
      </w:r>
      <w:r>
        <w:rPr>
          <w:rFonts w:cs="Arial" w:hint="cs"/>
          <w:rtl/>
        </w:rPr>
        <w:t>, ב"י.</w:t>
      </w:r>
    </w:p>
  </w:footnote>
  <w:footnote w:id="732">
    <w:p w14:paraId="63CB265F" w14:textId="77777777" w:rsidR="004B2E7C" w:rsidRDefault="004B2E7C" w:rsidP="00285819">
      <w:pPr>
        <w:pStyle w:val="a7"/>
      </w:pPr>
      <w:r>
        <w:rPr>
          <w:rStyle w:val="a9"/>
        </w:rPr>
        <w:footnoteRef/>
      </w:r>
      <w:r>
        <w:rPr>
          <w:rtl/>
        </w:rPr>
        <w:t xml:space="preserve"> </w:t>
      </w:r>
      <w:r>
        <w:rPr>
          <w:rFonts w:hint="cs"/>
          <w:rtl/>
        </w:rPr>
        <w:t xml:space="preserve">וז"ל- </w:t>
      </w:r>
      <w:r>
        <w:rPr>
          <w:rFonts w:cs="Arial"/>
          <w:rtl/>
        </w:rPr>
        <w:t>מי שהיה בא בדרך וקדש עליו היום והיו עמו מעות נותן כיסו לנכרי להוליכו לו ולמוצאי שבת לוקחו ממנו ואפילו לא נתן לו שכר על זה ואף על פי שנתנו לו משחשיכה מותר</w:t>
      </w:r>
      <w:r>
        <w:rPr>
          <w:rFonts w:cs="Arial" w:hint="cs"/>
          <w:rtl/>
        </w:rPr>
        <w:t>.</w:t>
      </w:r>
    </w:p>
  </w:footnote>
  <w:footnote w:id="733">
    <w:p w14:paraId="038BE4E1" w14:textId="77777777" w:rsidR="004B2E7C" w:rsidRDefault="004B2E7C" w:rsidP="00285819">
      <w:pPr>
        <w:pStyle w:val="a7"/>
        <w:rPr>
          <w:rtl/>
        </w:rPr>
      </w:pPr>
      <w:r>
        <w:rPr>
          <w:rStyle w:val="a9"/>
        </w:rPr>
        <w:footnoteRef/>
      </w:r>
      <w:r>
        <w:rPr>
          <w:rtl/>
        </w:rPr>
        <w:t xml:space="preserve"> </w:t>
      </w:r>
      <w:r>
        <w:rPr>
          <w:rFonts w:cs="Arial"/>
          <w:rtl/>
        </w:rPr>
        <w:t>ואע</w:t>
      </w:r>
      <w:r>
        <w:rPr>
          <w:rFonts w:cs="Arial" w:hint="cs"/>
          <w:rtl/>
        </w:rPr>
        <w:t>"</w:t>
      </w:r>
      <w:r>
        <w:rPr>
          <w:rFonts w:cs="Arial"/>
          <w:rtl/>
        </w:rPr>
        <w:t>פ שהמעות הם מוקצים</w:t>
      </w:r>
      <w:r>
        <w:rPr>
          <w:rFonts w:cs="Arial" w:hint="cs"/>
          <w:rtl/>
        </w:rPr>
        <w:t>,</w:t>
      </w:r>
      <w:r>
        <w:rPr>
          <w:rFonts w:cs="Arial"/>
          <w:rtl/>
        </w:rPr>
        <w:t xml:space="preserve"> במקום פסידא לא גזרו לאסור טלטול מוקצה</w:t>
      </w:r>
      <w:r>
        <w:rPr>
          <w:rFonts w:cs="Arial" w:hint="cs"/>
          <w:rtl/>
        </w:rPr>
        <w:t>.</w:t>
      </w:r>
      <w:r>
        <w:rPr>
          <w:rFonts w:cs="Arial"/>
          <w:rtl/>
        </w:rPr>
        <w:t xml:space="preserve"> ומפני כך התירו לטלטל הכיס פחות פחות מארבע אמות כדלקמן</w:t>
      </w:r>
      <w:r>
        <w:rPr>
          <w:rFonts w:cs="Arial" w:hint="cs"/>
          <w:rtl/>
        </w:rPr>
        <w:t>,</w:t>
      </w:r>
      <w:r>
        <w:rPr>
          <w:rFonts w:cs="Arial"/>
          <w:rtl/>
        </w:rPr>
        <w:t xml:space="preserve"> ויתבאר זה בסימן של"ד (ד"ה וכתב בעל התרומה) בס"ד</w:t>
      </w:r>
      <w:r>
        <w:rPr>
          <w:rFonts w:cs="Arial" w:hint="cs"/>
          <w:rtl/>
        </w:rPr>
        <w:t>, ב"י.</w:t>
      </w:r>
    </w:p>
  </w:footnote>
  <w:footnote w:id="734">
    <w:p w14:paraId="28D84177" w14:textId="77777777" w:rsidR="004B2E7C" w:rsidRDefault="004B2E7C" w:rsidP="00285819">
      <w:pPr>
        <w:pStyle w:val="a7"/>
      </w:pPr>
      <w:r>
        <w:rPr>
          <w:rStyle w:val="a9"/>
        </w:rPr>
        <w:footnoteRef/>
      </w:r>
      <w:r>
        <w:rPr>
          <w:rtl/>
        </w:rPr>
        <w:t xml:space="preserve"> </w:t>
      </w:r>
      <w:r w:rsidRPr="001A6C6C">
        <w:rPr>
          <w:rFonts w:cs="Arial"/>
          <w:rtl/>
        </w:rPr>
        <w:t xml:space="preserve">אבל אם החמור של </w:t>
      </w:r>
      <w:r>
        <w:rPr>
          <w:rFonts w:cs="Arial" w:hint="cs"/>
          <w:rtl/>
        </w:rPr>
        <w:t>גוי -</w:t>
      </w:r>
      <w:r w:rsidRPr="001A6C6C">
        <w:rPr>
          <w:rFonts w:cs="Arial"/>
          <w:rtl/>
        </w:rPr>
        <w:t xml:space="preserve"> יניחנו עליו</w:t>
      </w:r>
      <w:r>
        <w:rPr>
          <w:rFonts w:cs="Arial" w:hint="cs"/>
          <w:rtl/>
        </w:rPr>
        <w:t>,</w:t>
      </w:r>
      <w:r w:rsidRPr="001A6C6C">
        <w:rPr>
          <w:rFonts w:cs="Arial"/>
          <w:rtl/>
        </w:rPr>
        <w:t xml:space="preserve"> דאין מצווה על שביתתו</w:t>
      </w:r>
      <w:r>
        <w:rPr>
          <w:rFonts w:cs="Arial" w:hint="cs"/>
          <w:rtl/>
        </w:rPr>
        <w:t>.</w:t>
      </w:r>
      <w:r w:rsidRPr="001A6C6C">
        <w:rPr>
          <w:rFonts w:cs="Arial"/>
          <w:rtl/>
        </w:rPr>
        <w:t xml:space="preserve"> ומיהו אם שכרו מה</w:t>
      </w:r>
      <w:r>
        <w:rPr>
          <w:rFonts w:cs="Arial" w:hint="cs"/>
          <w:rtl/>
        </w:rPr>
        <w:t>גוי</w:t>
      </w:r>
      <w:r w:rsidRPr="001A6C6C">
        <w:rPr>
          <w:rFonts w:cs="Arial"/>
          <w:rtl/>
        </w:rPr>
        <w:t xml:space="preserve"> י"א דמצווה כמ"ש סי' רמו ס"ג</w:t>
      </w:r>
      <w:r>
        <w:rPr>
          <w:rFonts w:cs="Arial" w:hint="cs"/>
          <w:rtl/>
        </w:rPr>
        <w:t>,</w:t>
      </w:r>
      <w:r w:rsidRPr="001A6C6C">
        <w:rPr>
          <w:rFonts w:cs="Arial"/>
          <w:rtl/>
        </w:rPr>
        <w:t xml:space="preserve"> ודוקא כששכר החמור</w:t>
      </w:r>
      <w:r>
        <w:rPr>
          <w:rFonts w:cs="Arial" w:hint="cs"/>
          <w:rtl/>
        </w:rPr>
        <w:t>,</w:t>
      </w:r>
      <w:r w:rsidRPr="001A6C6C">
        <w:rPr>
          <w:rFonts w:cs="Arial"/>
          <w:rtl/>
        </w:rPr>
        <w:t xml:space="preserve"> אבל אם שכר ה</w:t>
      </w:r>
      <w:r>
        <w:rPr>
          <w:rFonts w:cs="Arial" w:hint="cs"/>
          <w:rtl/>
        </w:rPr>
        <w:t>גוי</w:t>
      </w:r>
      <w:r w:rsidRPr="001A6C6C">
        <w:rPr>
          <w:rFonts w:cs="Arial"/>
          <w:rtl/>
        </w:rPr>
        <w:t xml:space="preserve"> שיוליכנו למקום פלוני</w:t>
      </w:r>
      <w:r>
        <w:rPr>
          <w:rFonts w:cs="Arial" w:hint="cs"/>
          <w:rtl/>
        </w:rPr>
        <w:t>,</w:t>
      </w:r>
      <w:r w:rsidRPr="001A6C6C">
        <w:rPr>
          <w:rFonts w:cs="Arial"/>
          <w:rtl/>
        </w:rPr>
        <w:t xml:space="preserve"> א"כ לא שכר החמור</w:t>
      </w:r>
      <w:r>
        <w:rPr>
          <w:rFonts w:cs="Arial" w:hint="cs"/>
          <w:rtl/>
        </w:rPr>
        <w:t>,</w:t>
      </w:r>
      <w:r w:rsidRPr="001A6C6C">
        <w:rPr>
          <w:rFonts w:cs="Arial"/>
          <w:rtl/>
        </w:rPr>
        <w:t xml:space="preserve"> דהרי ה</w:t>
      </w:r>
      <w:r>
        <w:rPr>
          <w:rFonts w:cs="Arial" w:hint="cs"/>
          <w:rtl/>
        </w:rPr>
        <w:t>גוי</w:t>
      </w:r>
      <w:r w:rsidRPr="001A6C6C">
        <w:rPr>
          <w:rFonts w:cs="Arial"/>
          <w:rtl/>
        </w:rPr>
        <w:t xml:space="preserve"> חייב במזונות ובאחריות החמור</w:t>
      </w:r>
      <w:r>
        <w:rPr>
          <w:rFonts w:cs="Arial" w:hint="cs"/>
          <w:rtl/>
        </w:rPr>
        <w:t>,</w:t>
      </w:r>
      <w:r w:rsidRPr="001A6C6C">
        <w:rPr>
          <w:rFonts w:cs="Arial"/>
          <w:rtl/>
        </w:rPr>
        <w:t xml:space="preserve"> ולא שכר דוקא חמור זה מן ה</w:t>
      </w:r>
      <w:r>
        <w:rPr>
          <w:rFonts w:cs="Arial" w:hint="cs"/>
          <w:rtl/>
        </w:rPr>
        <w:t>גוי.</w:t>
      </w:r>
      <w:r w:rsidRPr="001A6C6C">
        <w:rPr>
          <w:rFonts w:cs="Arial"/>
          <w:rtl/>
        </w:rPr>
        <w:t xml:space="preserve"> א"כ פשיטא דאינו מצווה על שביתתו</w:t>
      </w:r>
      <w:r>
        <w:rPr>
          <w:rFonts w:cs="Arial" w:hint="cs"/>
          <w:rtl/>
        </w:rPr>
        <w:t>, מג"א (סק"א).</w:t>
      </w:r>
    </w:p>
  </w:footnote>
  <w:footnote w:id="735">
    <w:p w14:paraId="0B542EC7" w14:textId="77777777" w:rsidR="004B2E7C" w:rsidRDefault="004B2E7C" w:rsidP="00285819">
      <w:pPr>
        <w:pStyle w:val="a7"/>
        <w:rPr>
          <w:rtl/>
        </w:rPr>
      </w:pPr>
      <w:r>
        <w:rPr>
          <w:rStyle w:val="a9"/>
        </w:rPr>
        <w:footnoteRef/>
      </w:r>
      <w:r>
        <w:rPr>
          <w:rtl/>
        </w:rPr>
        <w:t xml:space="preserve"> </w:t>
      </w:r>
      <w:r w:rsidRPr="00077E29">
        <w:rPr>
          <w:rFonts w:cs="Arial"/>
          <w:rtl/>
        </w:rPr>
        <w:t>ואם יש לו משא כבד על החמור או בעגלה וא"א לו ליתנו ל</w:t>
      </w:r>
      <w:r>
        <w:rPr>
          <w:rFonts w:cs="Arial" w:hint="cs"/>
          <w:rtl/>
        </w:rPr>
        <w:t>גו</w:t>
      </w:r>
      <w:r w:rsidRPr="00077E29">
        <w:rPr>
          <w:rFonts w:cs="Arial"/>
          <w:rtl/>
        </w:rPr>
        <w:t>י</w:t>
      </w:r>
      <w:r>
        <w:rPr>
          <w:rFonts w:cs="Arial" w:hint="cs"/>
          <w:rtl/>
        </w:rPr>
        <w:t>,</w:t>
      </w:r>
      <w:r w:rsidRPr="00077E29">
        <w:rPr>
          <w:rFonts w:cs="Arial"/>
          <w:rtl/>
        </w:rPr>
        <w:t xml:space="preserve"> וגם א"א ליזהר במה דכתב בס"ב לסלק המשא בכל פעם שתתחיל הבהמה ללכת</w:t>
      </w:r>
      <w:r>
        <w:rPr>
          <w:rFonts w:cs="Arial" w:hint="cs"/>
          <w:rtl/>
        </w:rPr>
        <w:t>,</w:t>
      </w:r>
      <w:r w:rsidRPr="00077E29">
        <w:rPr>
          <w:rFonts w:cs="Arial"/>
          <w:rtl/>
        </w:rPr>
        <w:t xml:space="preserve"> יראה להקנות מבע</w:t>
      </w:r>
      <w:r>
        <w:rPr>
          <w:rFonts w:cs="Arial" w:hint="cs"/>
          <w:rtl/>
        </w:rPr>
        <w:t>ו</w:t>
      </w:r>
      <w:r w:rsidRPr="00077E29">
        <w:rPr>
          <w:rFonts w:cs="Arial"/>
          <w:rtl/>
        </w:rPr>
        <w:t>"י החמור לה</w:t>
      </w:r>
      <w:r>
        <w:rPr>
          <w:rFonts w:cs="Arial" w:hint="cs"/>
          <w:rtl/>
        </w:rPr>
        <w:t>גו</w:t>
      </w:r>
      <w:r w:rsidRPr="00077E29">
        <w:rPr>
          <w:rFonts w:cs="Arial"/>
          <w:rtl/>
        </w:rPr>
        <w:t>י כד"ת</w:t>
      </w:r>
      <w:r>
        <w:rPr>
          <w:rFonts w:cs="Arial" w:hint="cs"/>
          <w:rtl/>
        </w:rPr>
        <w:t>,</w:t>
      </w:r>
      <w:r w:rsidRPr="00077E29">
        <w:rPr>
          <w:rFonts w:cs="Arial"/>
          <w:rtl/>
        </w:rPr>
        <w:t xml:space="preserve"> ואם אין בקי בדרכי קנין הצריך לזה יפקירנו בפני שלשה או עכ"פ בינו לבין עצמו</w:t>
      </w:r>
      <w:r>
        <w:rPr>
          <w:rFonts w:cs="Arial" w:hint="cs"/>
          <w:rtl/>
        </w:rPr>
        <w:t>,</w:t>
      </w:r>
      <w:r w:rsidRPr="00077E29">
        <w:rPr>
          <w:rFonts w:cs="Arial"/>
          <w:rtl/>
        </w:rPr>
        <w:t xml:space="preserve"> דאז אין עובר על איסור שביתת בהמה</w:t>
      </w:r>
      <w:r>
        <w:rPr>
          <w:rFonts w:cs="Arial" w:hint="cs"/>
          <w:rtl/>
        </w:rPr>
        <w:t>,</w:t>
      </w:r>
      <w:r w:rsidRPr="00077E29">
        <w:rPr>
          <w:rFonts w:cs="Arial"/>
          <w:rtl/>
        </w:rPr>
        <w:t xml:space="preserve"> שהבהמה אינה שלו</w:t>
      </w:r>
      <w:r>
        <w:rPr>
          <w:rFonts w:cs="Arial" w:hint="cs"/>
          <w:rtl/>
        </w:rPr>
        <w:t>.</w:t>
      </w:r>
      <w:r w:rsidRPr="00077E29">
        <w:rPr>
          <w:rFonts w:cs="Arial"/>
          <w:rtl/>
        </w:rPr>
        <w:t xml:space="preserve"> וירד מן העגלה ויזהר שלא יהיה מחמר וכנ"ל בסוף סק"א. ואף לאחר שעשה כל ההיתרים הללו שמכר הכל או הפקיר צריך ליזהר מאד שלא יתנו ל</w:t>
      </w:r>
      <w:r>
        <w:rPr>
          <w:rFonts w:cs="Arial" w:hint="cs"/>
          <w:rtl/>
        </w:rPr>
        <w:t>גוי</w:t>
      </w:r>
      <w:r w:rsidRPr="00077E29">
        <w:rPr>
          <w:rFonts w:cs="Arial"/>
          <w:rtl/>
        </w:rPr>
        <w:t>י או על העגלה שום דבר מהחפצים שלקחו מן העגלה בע</w:t>
      </w:r>
      <w:r>
        <w:rPr>
          <w:rFonts w:cs="Arial" w:hint="cs"/>
          <w:rtl/>
        </w:rPr>
        <w:t>ר</w:t>
      </w:r>
      <w:r w:rsidRPr="00077E29">
        <w:rPr>
          <w:rFonts w:cs="Arial"/>
          <w:rtl/>
        </w:rPr>
        <w:t>"ש</w:t>
      </w:r>
      <w:r>
        <w:rPr>
          <w:rFonts w:cs="Arial" w:hint="cs"/>
          <w:rtl/>
        </w:rPr>
        <w:t>,</w:t>
      </w:r>
      <w:r w:rsidRPr="00077E29">
        <w:rPr>
          <w:rFonts w:cs="Arial"/>
          <w:rtl/>
        </w:rPr>
        <w:t xml:space="preserve"> דאסור ליתן ל</w:t>
      </w:r>
      <w:r>
        <w:rPr>
          <w:rFonts w:cs="Arial" w:hint="cs"/>
          <w:rtl/>
        </w:rPr>
        <w:t>גו</w:t>
      </w:r>
      <w:r w:rsidRPr="00077E29">
        <w:rPr>
          <w:rFonts w:cs="Arial"/>
          <w:rtl/>
        </w:rPr>
        <w:t>י בשבת ע"מ להוציא</w:t>
      </w:r>
      <w:r>
        <w:rPr>
          <w:rFonts w:cs="Arial" w:hint="cs"/>
          <w:rtl/>
        </w:rPr>
        <w:t>,</w:t>
      </w:r>
      <w:r w:rsidRPr="00077E29">
        <w:rPr>
          <w:rFonts w:cs="Arial"/>
          <w:rtl/>
        </w:rPr>
        <w:t xml:space="preserve"> אלא כל מה שלקחו מן העגלה ישאר בידם עד מוצ"ש. ודע דמה שכתב ואפילו לא וכו' הא"ר מצדד לומר דאם הוא מבעוד יום טוב יותר</w:t>
      </w:r>
      <w:r>
        <w:rPr>
          <w:rFonts w:cs="Arial" w:hint="cs"/>
          <w:rtl/>
        </w:rPr>
        <w:t>,</w:t>
      </w:r>
      <w:r w:rsidRPr="00077E29">
        <w:rPr>
          <w:rFonts w:cs="Arial"/>
          <w:rtl/>
        </w:rPr>
        <w:t xml:space="preserve"> שיתן שכר</w:t>
      </w:r>
      <w:r>
        <w:rPr>
          <w:rFonts w:hint="cs"/>
          <w:rtl/>
        </w:rPr>
        <w:t>, משנ"ב (סק"ג).</w:t>
      </w:r>
    </w:p>
  </w:footnote>
  <w:footnote w:id="736">
    <w:p w14:paraId="379332C7" w14:textId="77777777" w:rsidR="004B2E7C" w:rsidRDefault="004B2E7C" w:rsidP="00285819">
      <w:pPr>
        <w:pStyle w:val="a7"/>
      </w:pPr>
      <w:r>
        <w:rPr>
          <w:rStyle w:val="a9"/>
        </w:rPr>
        <w:footnoteRef/>
      </w:r>
      <w:r>
        <w:rPr>
          <w:rtl/>
        </w:rPr>
        <w:t xml:space="preserve"> </w:t>
      </w:r>
      <w:r w:rsidRPr="00BA4E2A">
        <w:rPr>
          <w:rFonts w:cs="Arial"/>
          <w:rtl/>
        </w:rPr>
        <w:t>לאחר שעקרה יד ורגל ללכת דלאו עקירה היא</w:t>
      </w:r>
      <w:r>
        <w:rPr>
          <w:rFonts w:cs="Arial" w:hint="cs"/>
          <w:rtl/>
        </w:rPr>
        <w:t>, רש"י.</w:t>
      </w:r>
    </w:p>
  </w:footnote>
  <w:footnote w:id="737">
    <w:p w14:paraId="250FD5C2" w14:textId="77777777" w:rsidR="004B2E7C" w:rsidRDefault="004B2E7C" w:rsidP="00285819">
      <w:pPr>
        <w:pStyle w:val="a7"/>
      </w:pPr>
      <w:r>
        <w:rPr>
          <w:rStyle w:val="a9"/>
        </w:rPr>
        <w:footnoteRef/>
      </w:r>
      <w:r>
        <w:rPr>
          <w:rtl/>
        </w:rPr>
        <w:t xml:space="preserve"> </w:t>
      </w:r>
      <w:r w:rsidRPr="00BA4E2A">
        <w:rPr>
          <w:rFonts w:cs="Arial"/>
          <w:rtl/>
        </w:rPr>
        <w:t>ולאחר שתחזור ותעקור רגל יניחנו</w:t>
      </w:r>
      <w:r>
        <w:rPr>
          <w:rFonts w:cs="Arial" w:hint="cs"/>
          <w:rtl/>
        </w:rPr>
        <w:t>, רש"י.</w:t>
      </w:r>
    </w:p>
  </w:footnote>
  <w:footnote w:id="738">
    <w:p w14:paraId="6B8848AB" w14:textId="77777777" w:rsidR="004B2E7C" w:rsidRDefault="004B2E7C" w:rsidP="00285819">
      <w:pPr>
        <w:pStyle w:val="a7"/>
      </w:pPr>
      <w:r>
        <w:rPr>
          <w:rStyle w:val="a9"/>
        </w:rPr>
        <w:footnoteRef/>
      </w:r>
      <w:r>
        <w:rPr>
          <w:rtl/>
        </w:rPr>
        <w:t xml:space="preserve"> </w:t>
      </w:r>
      <w:r w:rsidRPr="009463EF">
        <w:rPr>
          <w:rFonts w:cs="Arial"/>
          <w:rtl/>
        </w:rPr>
        <w:t>יכול לעשות כן, כיון דלאו איסורא דאורייתא היא, גבי כיס שרי</w:t>
      </w:r>
      <w:r>
        <w:rPr>
          <w:rFonts w:cs="Arial" w:hint="cs"/>
          <w:rtl/>
        </w:rPr>
        <w:t>, רש"י.</w:t>
      </w:r>
    </w:p>
  </w:footnote>
  <w:footnote w:id="739">
    <w:p w14:paraId="6658B61D" w14:textId="77777777" w:rsidR="004B2E7C" w:rsidRDefault="004B2E7C" w:rsidP="00285819">
      <w:pPr>
        <w:pStyle w:val="a7"/>
        <w:rPr>
          <w:rtl/>
        </w:rPr>
      </w:pPr>
      <w:r>
        <w:rPr>
          <w:rStyle w:val="a9"/>
        </w:rPr>
        <w:footnoteRef/>
      </w:r>
      <w:r>
        <w:rPr>
          <w:rtl/>
        </w:rPr>
        <w:t xml:space="preserve"> </w:t>
      </w:r>
      <w:r w:rsidRPr="009463EF">
        <w:rPr>
          <w:rFonts w:cs="Arial"/>
          <w:rtl/>
        </w:rPr>
        <w:t>כי עביד ליה איהו כוליה, כגון מעביר ארבע אמות ברשות הרבים, אפילו עקרו מן הארץ דרך הליכתו - חייב, דהא איכא עקירת חפץ בידים, ולא בעינן עמידה אלא בטעון ועומד מבעוד יום, או כשהטעינו חבירו, דלא עקר ליה להאי חפץ, אבל הכא - הא עקר ליה, הלכך, כי עביד ליה חבריה - הוי ליה שנים שעשאוה, ואסור מדרבנן, ולא שריוה גבי כיס</w:t>
      </w:r>
      <w:r>
        <w:rPr>
          <w:rFonts w:hint="cs"/>
          <w:rtl/>
        </w:rPr>
        <w:t>, רש"י.</w:t>
      </w:r>
    </w:p>
  </w:footnote>
  <w:footnote w:id="740">
    <w:p w14:paraId="744F693F" w14:textId="77777777" w:rsidR="004B2E7C" w:rsidRDefault="004B2E7C" w:rsidP="00285819">
      <w:pPr>
        <w:pStyle w:val="a7"/>
        <w:rPr>
          <w:rtl/>
        </w:rPr>
      </w:pPr>
      <w:r>
        <w:rPr>
          <w:rStyle w:val="a9"/>
        </w:rPr>
        <w:footnoteRef/>
      </w:r>
      <w:r>
        <w:rPr>
          <w:rtl/>
        </w:rPr>
        <w:t xml:space="preserve"> </w:t>
      </w:r>
      <w:r>
        <w:rPr>
          <w:rFonts w:hint="cs"/>
          <w:rtl/>
        </w:rPr>
        <w:t xml:space="preserve">וכתב הה"מ (שם) להליץ בעד הרמב"ם. והמג"א (סק"ז) כתב </w:t>
      </w:r>
      <w:r>
        <w:rPr>
          <w:rFonts w:cs="Arial" w:hint="cs"/>
          <w:rtl/>
        </w:rPr>
        <w:t>ש</w:t>
      </w:r>
      <w:r w:rsidRPr="00F51C5A">
        <w:rPr>
          <w:rFonts w:cs="Arial"/>
          <w:rtl/>
        </w:rPr>
        <w:t>בתו</w:t>
      </w:r>
      <w:r>
        <w:rPr>
          <w:rFonts w:cs="Arial" w:hint="cs"/>
          <w:rtl/>
        </w:rPr>
        <w:t>ס</w:t>
      </w:r>
      <w:r w:rsidRPr="00F51C5A">
        <w:rPr>
          <w:rFonts w:cs="Arial"/>
          <w:rtl/>
        </w:rPr>
        <w:t xml:space="preserve">' </w:t>
      </w:r>
      <w:r>
        <w:rPr>
          <w:rFonts w:cs="Arial" w:hint="cs"/>
          <w:rtl/>
        </w:rPr>
        <w:t>(</w:t>
      </w:r>
      <w:r w:rsidRPr="00F51C5A">
        <w:rPr>
          <w:rFonts w:cs="Arial"/>
          <w:rtl/>
        </w:rPr>
        <w:t>פסחים סו</w:t>
      </w:r>
      <w:r>
        <w:rPr>
          <w:rFonts w:cs="Arial" w:hint="cs"/>
          <w:rtl/>
        </w:rPr>
        <w:t xml:space="preserve">:) </w:t>
      </w:r>
      <w:r w:rsidRPr="00F51C5A">
        <w:rPr>
          <w:rFonts w:cs="Arial"/>
          <w:rtl/>
        </w:rPr>
        <w:t xml:space="preserve">משמע כדעת </w:t>
      </w:r>
      <w:r>
        <w:rPr>
          <w:rFonts w:cs="Arial" w:hint="cs"/>
          <w:rtl/>
        </w:rPr>
        <w:t>הרשב"א</w:t>
      </w:r>
      <w:r w:rsidRPr="00F51C5A">
        <w:rPr>
          <w:rFonts w:cs="Arial"/>
          <w:rtl/>
        </w:rPr>
        <w:t xml:space="preserve"> דשרי</w:t>
      </w:r>
      <w:r>
        <w:rPr>
          <w:rFonts w:cs="Arial" w:hint="cs"/>
          <w:rtl/>
        </w:rPr>
        <w:t>.</w:t>
      </w:r>
    </w:p>
  </w:footnote>
  <w:footnote w:id="741">
    <w:p w14:paraId="2585999D" w14:textId="77777777" w:rsidR="004B2E7C" w:rsidRDefault="004B2E7C" w:rsidP="00285819">
      <w:pPr>
        <w:pStyle w:val="a7"/>
      </w:pPr>
      <w:r>
        <w:rPr>
          <w:rStyle w:val="a9"/>
        </w:rPr>
        <w:footnoteRef/>
      </w:r>
      <w:r>
        <w:rPr>
          <w:rtl/>
        </w:rPr>
        <w:t xml:space="preserve"> </w:t>
      </w:r>
      <w:r w:rsidRPr="00937E79">
        <w:rPr>
          <w:rFonts w:cs="Arial"/>
          <w:rtl/>
        </w:rPr>
        <w:t>ובההיא דכעס ר</w:t>
      </w:r>
      <w:r>
        <w:rPr>
          <w:rFonts w:cs="Arial" w:hint="cs"/>
          <w:rtl/>
        </w:rPr>
        <w:t>"</w:t>
      </w:r>
      <w:r w:rsidRPr="00937E79">
        <w:rPr>
          <w:rFonts w:cs="Arial"/>
          <w:rtl/>
        </w:rPr>
        <w:t>ת אף על ההולכים ברגל איכא למימר דההולכים ברגל היו צריכין למטה</w:t>
      </w:r>
      <w:r>
        <w:rPr>
          <w:rFonts w:cs="Arial" w:hint="cs"/>
          <w:rtl/>
        </w:rPr>
        <w:t>,</w:t>
      </w:r>
      <w:r w:rsidRPr="00937E79">
        <w:rPr>
          <w:rFonts w:cs="Arial"/>
          <w:rtl/>
        </w:rPr>
        <w:t xml:space="preserve"> ומשום הכי הוה סלקא דעתך דלא כעס עליהם קמ"ל דעלייהו נמי כעס. אלא שיש לדחות משום דתוך י"ב מיל לכולי עלמא אפילו הולך על רגליו ליכא אלא איסורא דרבנן דתחומין</w:t>
      </w:r>
      <w:r>
        <w:rPr>
          <w:rFonts w:cs="Arial" w:hint="cs"/>
          <w:rtl/>
        </w:rPr>
        <w:t>,</w:t>
      </w:r>
      <w:r w:rsidRPr="00937E79">
        <w:rPr>
          <w:rFonts w:cs="Arial"/>
          <w:rtl/>
        </w:rPr>
        <w:t xml:space="preserve"> וכשרוכב עבר על איסור רכיבה</w:t>
      </w:r>
      <w:r>
        <w:rPr>
          <w:rFonts w:cs="Arial" w:hint="cs"/>
          <w:rtl/>
        </w:rPr>
        <w:t>,</w:t>
      </w:r>
      <w:r w:rsidRPr="00937E79">
        <w:rPr>
          <w:rFonts w:cs="Arial"/>
          <w:rtl/>
        </w:rPr>
        <w:t xml:space="preserve"> ואם תמצא לומר יש תחומין למעלה מעשרה עבר נמי אאיסור תחומין</w:t>
      </w:r>
      <w:r>
        <w:rPr>
          <w:rFonts w:cs="Arial" w:hint="cs"/>
          <w:rtl/>
        </w:rPr>
        <w:t>,</w:t>
      </w:r>
      <w:r w:rsidRPr="00937E79">
        <w:rPr>
          <w:rFonts w:cs="Arial"/>
          <w:rtl/>
        </w:rPr>
        <w:t xml:space="preserve"> ואפילו אם תמצא לומר דאין תחומין למעלה מעשרה מכל מקום לא הרויח כלום ברכיבתו</w:t>
      </w:r>
      <w:r>
        <w:rPr>
          <w:rFonts w:cs="Arial" w:hint="cs"/>
          <w:rtl/>
        </w:rPr>
        <w:t xml:space="preserve">. </w:t>
      </w:r>
      <w:r w:rsidRPr="00937E79">
        <w:rPr>
          <w:rFonts w:cs="Arial"/>
          <w:rtl/>
        </w:rPr>
        <w:t>וחוץ לי"ב מיל לדעת האומרים תחומין דאורייתא</w:t>
      </w:r>
      <w:r>
        <w:rPr>
          <w:rFonts w:cs="Arial" w:hint="cs"/>
          <w:rtl/>
        </w:rPr>
        <w:t>,</w:t>
      </w:r>
      <w:r w:rsidRPr="00937E79">
        <w:rPr>
          <w:rFonts w:cs="Arial"/>
          <w:rtl/>
        </w:rPr>
        <w:t xml:space="preserve"> יש תחומין למעלה מעשרה</w:t>
      </w:r>
      <w:r>
        <w:rPr>
          <w:rFonts w:cs="Arial" w:hint="cs"/>
          <w:rtl/>
        </w:rPr>
        <w:t>,</w:t>
      </w:r>
      <w:r w:rsidRPr="00937E79">
        <w:rPr>
          <w:rFonts w:cs="Arial"/>
          <w:rtl/>
        </w:rPr>
        <w:t xml:space="preserve"> דהא כיון דספיקא דאורייתא היא נקטינן לחומרא</w:t>
      </w:r>
      <w:r>
        <w:rPr>
          <w:rFonts w:cs="Arial" w:hint="cs"/>
          <w:rtl/>
        </w:rPr>
        <w:t>.</w:t>
      </w:r>
      <w:r w:rsidRPr="00937E79">
        <w:rPr>
          <w:rFonts w:cs="Arial"/>
          <w:rtl/>
        </w:rPr>
        <w:t xml:space="preserve"> ואם כן כשרוכב עבר אאיסור רכיבה דרבנן</w:t>
      </w:r>
      <w:r>
        <w:rPr>
          <w:rFonts w:cs="Arial" w:hint="cs"/>
          <w:rtl/>
        </w:rPr>
        <w:t>,</w:t>
      </w:r>
      <w:r w:rsidRPr="00937E79">
        <w:rPr>
          <w:rFonts w:cs="Arial"/>
          <w:rtl/>
        </w:rPr>
        <w:t xml:space="preserve"> וכשיוצא חוץ לי"ב מיל א</w:t>
      </w:r>
      <w:r>
        <w:rPr>
          <w:rFonts w:cs="Arial" w:hint="cs"/>
          <w:rtl/>
        </w:rPr>
        <w:t>ע"פ</w:t>
      </w:r>
      <w:r w:rsidRPr="00937E79">
        <w:rPr>
          <w:rFonts w:cs="Arial"/>
          <w:rtl/>
        </w:rPr>
        <w:t xml:space="preserve"> שהוא למעלה מעשרה עובר אאיסור תחומין דאורייתא. מיהו אפשר דכיון דמספיקא הוא דאסרינן תחומין למעלה מי'</w:t>
      </w:r>
      <w:r>
        <w:rPr>
          <w:rFonts w:cs="Arial" w:hint="cs"/>
          <w:rtl/>
        </w:rPr>
        <w:t>,</w:t>
      </w:r>
      <w:r w:rsidRPr="00937E79">
        <w:rPr>
          <w:rFonts w:cs="Arial"/>
          <w:rtl/>
        </w:rPr>
        <w:t xml:space="preserve"> אע</w:t>
      </w:r>
      <w:r>
        <w:rPr>
          <w:rFonts w:cs="Arial" w:hint="cs"/>
          <w:rtl/>
        </w:rPr>
        <w:t>"</w:t>
      </w:r>
      <w:r w:rsidRPr="00937E79">
        <w:rPr>
          <w:rFonts w:cs="Arial"/>
          <w:rtl/>
        </w:rPr>
        <w:t>ג דספיקא דאורייתא הוא ועבר נמי אאיסור רכיבה דרבנן</w:t>
      </w:r>
      <w:r>
        <w:rPr>
          <w:rFonts w:cs="Arial" w:hint="cs"/>
          <w:rtl/>
        </w:rPr>
        <w:t>,</w:t>
      </w:r>
      <w:r w:rsidRPr="00937E79">
        <w:rPr>
          <w:rFonts w:cs="Arial"/>
          <w:rtl/>
        </w:rPr>
        <w:t xml:space="preserve"> לא חמיר כמהלך ברגליו חוץ לי"ב מיל דעבר בודאי אדאורייתא</w:t>
      </w:r>
      <w:r>
        <w:rPr>
          <w:rFonts w:cs="Arial" w:hint="cs"/>
          <w:rtl/>
        </w:rPr>
        <w:t>, ב"י.</w:t>
      </w:r>
    </w:p>
  </w:footnote>
  <w:footnote w:id="742">
    <w:p w14:paraId="1162DC1A" w14:textId="77777777" w:rsidR="004B2E7C" w:rsidRDefault="004B2E7C" w:rsidP="00285819">
      <w:pPr>
        <w:pStyle w:val="a7"/>
        <w:rPr>
          <w:rtl/>
        </w:rPr>
      </w:pPr>
      <w:r>
        <w:rPr>
          <w:rStyle w:val="a9"/>
        </w:rPr>
        <w:footnoteRef/>
      </w:r>
      <w:r>
        <w:rPr>
          <w:rtl/>
        </w:rPr>
        <w:t xml:space="preserve"> </w:t>
      </w:r>
      <w:r w:rsidRPr="00937E79">
        <w:rPr>
          <w:rFonts w:cs="Arial"/>
          <w:rtl/>
        </w:rPr>
        <w:t>משמע דסבירא ליה דברוכב נמי אמרינן כארעא סמיכתא מיהו אותה ראיה שהביא יש לדחות דהא דאמר ליה ואתה מה תהא עליך לאו משום איסור תחומין אמר הכי אלא משום איסור רכיבת הסוס וגם מפני שהיה עובר בכל יום בכמה איסורין והא דאמר ליה השתא משום דאמר ליה שהיה אסור לו לילך יותר דעד כאן תחום שבת השיבו כיון שאתה מדקדק באיסור תחומין לי אתה מה תהא עליך על כל האיסורין שאתה עובר</w:t>
      </w:r>
      <w:r>
        <w:rPr>
          <w:rFonts w:hint="cs"/>
          <w:rtl/>
        </w:rPr>
        <w:t>, ב"י.</w:t>
      </w:r>
    </w:p>
  </w:footnote>
  <w:footnote w:id="743">
    <w:p w14:paraId="18A2908A" w14:textId="77777777" w:rsidR="004B2E7C" w:rsidRDefault="004B2E7C" w:rsidP="00285819">
      <w:pPr>
        <w:pStyle w:val="a7"/>
      </w:pPr>
      <w:r>
        <w:rPr>
          <w:rStyle w:val="a9"/>
        </w:rPr>
        <w:footnoteRef/>
      </w:r>
      <w:r>
        <w:rPr>
          <w:rtl/>
        </w:rPr>
        <w:t xml:space="preserve"> </w:t>
      </w:r>
      <w:r w:rsidRPr="009463EF">
        <w:rPr>
          <w:rFonts w:cs="Arial"/>
          <w:rtl/>
        </w:rPr>
        <w:t>וה"ה אם אינו מאמין ל</w:t>
      </w:r>
      <w:r>
        <w:rPr>
          <w:rFonts w:cs="Arial" w:hint="cs"/>
          <w:rtl/>
        </w:rPr>
        <w:t>גוי</w:t>
      </w:r>
      <w:r w:rsidRPr="009463EF">
        <w:rPr>
          <w:rFonts w:cs="Arial"/>
          <w:rtl/>
        </w:rPr>
        <w:t xml:space="preserve"> מניחו על חמורו (סה"ת סי' רכו)</w:t>
      </w:r>
      <w:r>
        <w:rPr>
          <w:rFonts w:cs="Arial" w:hint="cs"/>
          <w:rtl/>
        </w:rPr>
        <w:t>, מג"א (סק"ד).</w:t>
      </w:r>
      <w:r>
        <w:rPr>
          <w:rFonts w:hint="cs"/>
          <w:rtl/>
        </w:rPr>
        <w:t xml:space="preserve"> </w:t>
      </w:r>
    </w:p>
  </w:footnote>
  <w:footnote w:id="744">
    <w:p w14:paraId="2F8FAF5D" w14:textId="77777777" w:rsidR="004B2E7C" w:rsidRDefault="004B2E7C" w:rsidP="00285819">
      <w:pPr>
        <w:pStyle w:val="a7"/>
      </w:pPr>
      <w:r>
        <w:rPr>
          <w:rStyle w:val="a9"/>
        </w:rPr>
        <w:footnoteRef/>
      </w:r>
      <w:r>
        <w:rPr>
          <w:rtl/>
        </w:rPr>
        <w:t xml:space="preserve"> </w:t>
      </w:r>
      <w:r w:rsidRPr="00F51C5A">
        <w:rPr>
          <w:rFonts w:cs="Arial"/>
          <w:rtl/>
        </w:rPr>
        <w:t>והא דלא קאמר משום שביתת בהמתו משום דאתא לאשמעי' אפי' אין הבהמה שלו צריך ליזהר בכך וכ"ש אם הבהמה שלו דאיכא תרתי מחמר ושביתת בהמתו (ר"ן וכ"כ הריב"ש)</w:t>
      </w:r>
      <w:r>
        <w:rPr>
          <w:rFonts w:cs="Arial" w:hint="cs"/>
          <w:rtl/>
        </w:rPr>
        <w:t>, מג"א (סק"ה).</w:t>
      </w:r>
    </w:p>
  </w:footnote>
  <w:footnote w:id="745">
    <w:p w14:paraId="36474339" w14:textId="77777777" w:rsidR="004B2E7C" w:rsidRDefault="004B2E7C" w:rsidP="00285819">
      <w:pPr>
        <w:pStyle w:val="a7"/>
      </w:pPr>
      <w:r>
        <w:rPr>
          <w:rStyle w:val="a9"/>
        </w:rPr>
        <w:footnoteRef/>
      </w:r>
      <w:r>
        <w:rPr>
          <w:rtl/>
        </w:rPr>
        <w:t xml:space="preserve"> </w:t>
      </w:r>
      <w:r w:rsidRPr="00F51C5A">
        <w:rPr>
          <w:rFonts w:cs="Arial"/>
          <w:rtl/>
        </w:rPr>
        <w:t>מנהיג חמור טעונה קרויה מחמר ואיסורו הוא מן התורה מדכתיב לא תעשה כל מלאכה אתה ובהמתך וקבלו חז"ל דר"ל מלאכה שנעשית בשותפות ע"י אדם ובהמה דהיינו שהיא טעונה איזה דבר והוא מחמר אחריה ומנהיגה ע"י קולו וכיוצא בו. ואין עובר על זה אלא כשהיא עושה עקירה והנחה על ידו דלא תעשה כל מלאכה כתיב ובלא זה לא מקרי מלאכה וכן ה"ה לענין איסור שביתת בהמה ולפיכך מניח הכיס עליה לאחר שכבר עקרה ללכת דלא נעשית העקירה על ידו</w:t>
      </w:r>
      <w:r>
        <w:rPr>
          <w:rFonts w:cs="Arial" w:hint="cs"/>
          <w:rtl/>
        </w:rPr>
        <w:t>, משנ"ב (סק"ז).</w:t>
      </w:r>
    </w:p>
  </w:footnote>
  <w:footnote w:id="746">
    <w:p w14:paraId="66EAC3A3" w14:textId="77777777" w:rsidR="004B2E7C" w:rsidRDefault="004B2E7C" w:rsidP="00285819">
      <w:pPr>
        <w:pStyle w:val="a7"/>
      </w:pPr>
      <w:r>
        <w:rPr>
          <w:rStyle w:val="a9"/>
        </w:rPr>
        <w:footnoteRef/>
      </w:r>
      <w:r>
        <w:rPr>
          <w:rtl/>
        </w:rPr>
        <w:t xml:space="preserve"> </w:t>
      </w:r>
      <w:r w:rsidRPr="00F51C5A">
        <w:rPr>
          <w:rFonts w:cs="Arial"/>
          <w:rtl/>
        </w:rPr>
        <w:t xml:space="preserve">ואם מעצמה אינה מתחלת לילך הוא יכול לזרזה שתתחיל לילך אם אין עליה אוכף ומשום כיון שבתחלת הילוכה אין שום דבר מונח עליה אין שייך בזה איסור מחמר. וכ"ז כשהבהמה היא לבדה אבל אם היא מושכת בעגלה כשיגעור עליה בקול להתחיל לילך אחר שעמדה הוא עובר על איסור מחמר ואין לו שום עצה להמלט מאיסור זה דאפילו אם הפקיר הבהמה ואינו עובר על איסור שביתת בהמתו הלא עכ"פ עובר על איסור מחמר וכנ"ל וע"כ אם קשה לו לעמוד במקומו יראה לשלוח למקום הסמוך ויביא משם </w:t>
      </w:r>
      <w:r>
        <w:rPr>
          <w:rFonts w:cs="Arial"/>
          <w:rtl/>
        </w:rPr>
        <w:t>גוי</w:t>
      </w:r>
      <w:r w:rsidRPr="00F51C5A">
        <w:rPr>
          <w:rFonts w:cs="Arial"/>
          <w:rtl/>
        </w:rPr>
        <w:t xml:space="preserve"> שיביא העגלה למלון ויפקיר הבהמה שלא יעבור על שביתת בהמתו ובזה יסולק מכל מכשולים. וכ"ז כשהוא בתוך התחום אבל למי שהחשיך חוץ לתחום אין לו היתר כנ"ל אם לא במקום סכנה</w:t>
      </w:r>
      <w:r>
        <w:rPr>
          <w:rFonts w:cs="Arial" w:hint="cs"/>
          <w:rtl/>
        </w:rPr>
        <w:t>, משנ"ב (סק"ט).</w:t>
      </w:r>
    </w:p>
  </w:footnote>
  <w:footnote w:id="747">
    <w:p w14:paraId="57602D90" w14:textId="77777777" w:rsidR="004B2E7C" w:rsidRDefault="004B2E7C" w:rsidP="00285819">
      <w:pPr>
        <w:pStyle w:val="a7"/>
        <w:rPr>
          <w:rtl/>
        </w:rPr>
      </w:pPr>
      <w:r>
        <w:rPr>
          <w:rStyle w:val="a9"/>
        </w:rPr>
        <w:footnoteRef/>
      </w:r>
      <w:r>
        <w:rPr>
          <w:rtl/>
        </w:rPr>
        <w:t xml:space="preserve"> </w:t>
      </w:r>
      <w:r w:rsidRPr="003373D2">
        <w:rPr>
          <w:rFonts w:cs="Arial"/>
          <w:rtl/>
        </w:rPr>
        <w:t>פירוש ואז אין איסור כשילך ברגליו אלא דוקא אם רוכב אפ"ה יכול לרכוב מחמת סכנה וכ"ש כשהוא חוץ לתחום דיעשה איסור בלא"ה בהליכתו בודאי יוכל לרכוב ולהנצל מהם ועיין בב"י דיש סברא דטוב לרכוב שם מלילך ברגליו אך הוא דחה אותה שם עי"ש ואפילו לפי סברא ההיא דוקא לענין רכיבה אבל כשהבהמה מושכת בקרון אפילו אם הקרון גבוה יו"ד לכו"ע טוב יותר שילך ברגליו משישב בקרון כי ע"י הישיבה עובר על איסור שימוש בבעלי חיים וגם על תחומין משא"כ אם ילך ברגליו לא יעבור רק על תחומין ולבד כל אלה מצוי ע"י הישיבה בקרון לעבור על איסור מחמר ובמקום סכנה הכל שרי. כתב הפמ"ג יש ליזהר כשעומדת בשבת בר"ה עגלה ריקנית עם סוסים שלא להגביה קול ויהיה כמחמר אפילו בהמת אחרים וכמ"ש למעלה וכ"ש עגלות נמוכין בימי החורף שקורין שליטי"ן דאין גבהן עשרה</w:t>
      </w:r>
      <w:r>
        <w:rPr>
          <w:rFonts w:hint="cs"/>
          <w:rtl/>
        </w:rPr>
        <w:t>, משנ"ב (סק"י).</w:t>
      </w:r>
    </w:p>
  </w:footnote>
  <w:footnote w:id="748">
    <w:p w14:paraId="1FC0D5FD" w14:textId="77777777" w:rsidR="004B2E7C" w:rsidRDefault="004B2E7C" w:rsidP="00285819">
      <w:pPr>
        <w:pStyle w:val="a7"/>
        <w:rPr>
          <w:rtl/>
        </w:rPr>
      </w:pPr>
      <w:r>
        <w:rPr>
          <w:rStyle w:val="a9"/>
        </w:rPr>
        <w:footnoteRef/>
      </w:r>
      <w:r>
        <w:rPr>
          <w:rtl/>
        </w:rPr>
        <w:t xml:space="preserve"> </w:t>
      </w:r>
      <w:r>
        <w:rPr>
          <w:rFonts w:cs="Arial" w:hint="cs"/>
          <w:rtl/>
        </w:rPr>
        <w:t xml:space="preserve">כ"כ בשמם הה"מ </w:t>
      </w:r>
      <w:r w:rsidRPr="00ED6053">
        <w:rPr>
          <w:rFonts w:cs="Arial" w:hint="cs"/>
          <w:sz w:val="16"/>
          <w:szCs w:val="16"/>
          <w:rtl/>
        </w:rPr>
        <w:t>(פ"כ ה"ז)</w:t>
      </w:r>
      <w:r>
        <w:rPr>
          <w:rFonts w:cs="Arial" w:hint="cs"/>
          <w:rtl/>
        </w:rPr>
        <w:t>, וכתב שכן דעת שאר המפרשים. אבל לגבי דעת הרמב"ם בזה כתב, וז"ל- ו</w:t>
      </w:r>
      <w:r w:rsidRPr="00F62218">
        <w:rPr>
          <w:rFonts w:cs="Arial"/>
          <w:rtl/>
        </w:rPr>
        <w:t>רבינו סתם דבריו</w:t>
      </w:r>
      <w:r w:rsidRPr="00F62218">
        <w:rPr>
          <w:rFonts w:cs="Arial" w:hint="cs"/>
          <w:rtl/>
        </w:rPr>
        <w:t>,</w:t>
      </w:r>
      <w:r w:rsidRPr="00F62218">
        <w:rPr>
          <w:rFonts w:cs="Arial"/>
          <w:rtl/>
        </w:rPr>
        <w:t xml:space="preserve"> ונראה לדעתו שמותר לתתו בכל צד</w:t>
      </w:r>
      <w:r w:rsidRPr="00F62218">
        <w:rPr>
          <w:rFonts w:cs="Arial" w:hint="cs"/>
          <w:rtl/>
        </w:rPr>
        <w:t>,</w:t>
      </w:r>
      <w:r w:rsidRPr="00F62218">
        <w:rPr>
          <w:rFonts w:cs="Arial"/>
          <w:rtl/>
        </w:rPr>
        <w:t xml:space="preserve"> וטעמו</w:t>
      </w:r>
      <w:r w:rsidRPr="00F62218">
        <w:rPr>
          <w:rFonts w:cs="Arial" w:hint="cs"/>
          <w:rtl/>
        </w:rPr>
        <w:t>,</w:t>
      </w:r>
      <w:r w:rsidRPr="00F62218">
        <w:rPr>
          <w:rFonts w:cs="Arial"/>
          <w:rtl/>
        </w:rPr>
        <w:t xml:space="preserve"> שאין אנו מצווים על שביתת אלו כמו שאנו מצווים על שביתת בהמתנו</w:t>
      </w:r>
      <w:r w:rsidRPr="00F62218">
        <w:rPr>
          <w:rFonts w:cs="Arial" w:hint="cs"/>
          <w:rtl/>
        </w:rPr>
        <w:t>,</w:t>
      </w:r>
      <w:r w:rsidRPr="00F62218">
        <w:rPr>
          <w:rFonts w:cs="Arial"/>
          <w:rtl/>
        </w:rPr>
        <w:t xml:space="preserve"> ולא נאסרו אלא להאכילם בידים</w:t>
      </w:r>
      <w:r w:rsidRPr="00F62218">
        <w:rPr>
          <w:rFonts w:cs="Arial" w:hint="cs"/>
          <w:rtl/>
        </w:rPr>
        <w:t>,</w:t>
      </w:r>
      <w:r w:rsidRPr="00F62218">
        <w:rPr>
          <w:rFonts w:cs="Arial"/>
          <w:rtl/>
        </w:rPr>
        <w:t xml:space="preserve"> ולפי זה כשנותנו לאחד מאלו אינו נותנו בשבת שלא יהא כמאכילו בידים אלא מערב שבת הוא נותנו להם וכו'</w:t>
      </w:r>
      <w:r w:rsidRPr="00F62218">
        <w:rPr>
          <w:rFonts w:cs="Arial" w:hint="cs"/>
          <w:rtl/>
        </w:rPr>
        <w:t>.</w:t>
      </w:r>
      <w:r w:rsidRPr="00F62218">
        <w:rPr>
          <w:rFonts w:cs="Arial"/>
          <w:rtl/>
        </w:rPr>
        <w:t xml:space="preserve"> ואצל מי שהחשיך לו בדרך לא החמירו</w:t>
      </w:r>
      <w:r w:rsidRPr="00F62218">
        <w:rPr>
          <w:rFonts w:cs="Arial" w:hint="cs"/>
          <w:rtl/>
        </w:rPr>
        <w:t>,</w:t>
      </w:r>
      <w:r w:rsidRPr="00F62218">
        <w:rPr>
          <w:rFonts w:cs="Arial"/>
          <w:rtl/>
        </w:rPr>
        <w:t xml:space="preserve"> ומכל מקום אפשר שרבינו כתב דברי הגמרא כפשטן ואף הוא סובר כדברי המפרשים ז"ל</w:t>
      </w:r>
      <w:r w:rsidRPr="00F62218">
        <w:rPr>
          <w:rFonts w:cs="Arial" w:hint="cs"/>
          <w:rtl/>
        </w:rPr>
        <w:t>.</w:t>
      </w:r>
    </w:p>
  </w:footnote>
  <w:footnote w:id="749">
    <w:p w14:paraId="43DE1B3C" w14:textId="77777777" w:rsidR="004B2E7C" w:rsidRDefault="004B2E7C" w:rsidP="00285819">
      <w:pPr>
        <w:pStyle w:val="a7"/>
      </w:pPr>
      <w:r>
        <w:rPr>
          <w:rStyle w:val="a9"/>
        </w:rPr>
        <w:footnoteRef/>
      </w:r>
      <w:r>
        <w:rPr>
          <w:rtl/>
        </w:rPr>
        <w:t xml:space="preserve"> </w:t>
      </w:r>
      <w:r w:rsidRPr="00240FEB">
        <w:rPr>
          <w:rFonts w:cs="Arial"/>
          <w:rtl/>
        </w:rPr>
        <w:t>וכנ"ל בבהמה בס"ב והטעם כדי שלא יעשו החש"ו איסור דאורייתא על ידו ואף על פי שאינו מצווה על שביתתם כמו בבהמה מ"מ הרי אסור להאכילם איסור בידים וכדלקמן בסימן שמ"ג לענין קטן וה"ה לחרש ושוטה כמו שנתבאר שם</w:t>
      </w:r>
      <w:r>
        <w:rPr>
          <w:rFonts w:cs="Arial" w:hint="cs"/>
          <w:rtl/>
        </w:rPr>
        <w:t>, משנ"ב (סקי"ד).</w:t>
      </w:r>
    </w:p>
  </w:footnote>
  <w:footnote w:id="750">
    <w:p w14:paraId="3AC79BD9" w14:textId="77777777" w:rsidR="004B2E7C" w:rsidRDefault="004B2E7C" w:rsidP="00285819">
      <w:pPr>
        <w:pStyle w:val="a7"/>
        <w:rPr>
          <w:rtl/>
        </w:rPr>
      </w:pPr>
      <w:r>
        <w:rPr>
          <w:rStyle w:val="a9"/>
        </w:rPr>
        <w:footnoteRef/>
      </w:r>
      <w:r>
        <w:rPr>
          <w:rtl/>
        </w:rPr>
        <w:t xml:space="preserve"> </w:t>
      </w:r>
      <w:r w:rsidRPr="00240FEB">
        <w:rPr>
          <w:rFonts w:cs="Arial"/>
          <w:rtl/>
        </w:rPr>
        <w:t>דאז אינו נקרא זה מאכיל בידים כיון דעתה עדיין לית ביה איסורא ומה שיעמוד החש"ו אחר שחשכה ואחר כך חוזר ועוקר רגליו הלא מעצמו עושה זה וא"צ למחות בידו כשעושה איסור ע"כ אין צריך ליטול הכיס מעליו כשעומד אבל בבהמה שהוא מצווה על שביתת בהמתו וגם שהוא מחמר אחריה ע"כ אף שהניח עליה מבע"י חייב ליטול הימנה כשעומדת משחשיכה להשתין מים וכיוצא בזה ולחזור ולהניח עליה אחר שכבר עקרה רגליה ללכת כדי שלא תעשה עקירה והנחה בכיס שלו בשבת ויעבור על איסורי תורה והמ"א מצדד להחמיר אף מבעוד יום ונראה דבכרמלית יש להקל</w:t>
      </w:r>
      <w:r>
        <w:rPr>
          <w:rFonts w:hint="cs"/>
          <w:rtl/>
        </w:rPr>
        <w:t>, משנ"ב (סקט"ו).</w:t>
      </w:r>
    </w:p>
  </w:footnote>
  <w:footnote w:id="751">
    <w:p w14:paraId="16B29F83" w14:textId="77777777" w:rsidR="004B2E7C" w:rsidRDefault="004B2E7C" w:rsidP="00285819">
      <w:pPr>
        <w:pStyle w:val="a7"/>
      </w:pPr>
      <w:r>
        <w:rPr>
          <w:rStyle w:val="a9"/>
        </w:rPr>
        <w:footnoteRef/>
      </w:r>
      <w:r>
        <w:rPr>
          <w:rtl/>
        </w:rPr>
        <w:t xml:space="preserve"> </w:t>
      </w:r>
      <w:r w:rsidRPr="006054E0">
        <w:rPr>
          <w:rFonts w:cs="Arial"/>
          <w:rtl/>
        </w:rPr>
        <w:t>ביום שעלו לעליית חנניה בן חזקיה וגזרו שמונה עשרה דבר, וזו אחת מהן היתה, כדאמרינן בפרק קמא: (שבת יז, ב) נותן כיסו לנכרי - בו ביום גזרו, שלא יוליכנו פחות פחות מארבע אמות אם יש שם נכרי, אותו יום הרבו סייג לתורה במדה גדושה ויפה מדדו להרבות גדר בישראל</w:t>
      </w:r>
      <w:r>
        <w:rPr>
          <w:rFonts w:cs="Arial" w:hint="cs"/>
          <w:rtl/>
        </w:rPr>
        <w:t>, רש"י.</w:t>
      </w:r>
    </w:p>
  </w:footnote>
  <w:footnote w:id="752">
    <w:p w14:paraId="5D9E2999" w14:textId="77777777" w:rsidR="004B2E7C" w:rsidRDefault="004B2E7C" w:rsidP="00285819">
      <w:pPr>
        <w:pStyle w:val="a7"/>
      </w:pPr>
      <w:r>
        <w:rPr>
          <w:rStyle w:val="a9"/>
        </w:rPr>
        <w:footnoteRef/>
      </w:r>
      <w:r>
        <w:rPr>
          <w:rtl/>
        </w:rPr>
        <w:t xml:space="preserve"> </w:t>
      </w:r>
      <w:r w:rsidRPr="006054E0">
        <w:rPr>
          <w:rFonts w:cs="Arial"/>
          <w:rtl/>
        </w:rPr>
        <w:t>במדה מחוקה מדדו בו ביום, שהרבו לגזור יותר מדאי ואין יכולין לעמוד בגזירתם, ומתוך כך עוברין על דברי תורה, נמצאת מדתם מחוקה מטפיפתה, וטוב היה להם להיות מדתם טפופה ולא תבא לידי מחק מרוב גודשה</w:t>
      </w:r>
      <w:r>
        <w:rPr>
          <w:rFonts w:cs="Arial" w:hint="cs"/>
          <w:rtl/>
        </w:rPr>
        <w:t>, רש"י</w:t>
      </w:r>
    </w:p>
  </w:footnote>
  <w:footnote w:id="753">
    <w:p w14:paraId="17AEB797" w14:textId="77777777" w:rsidR="004B2E7C" w:rsidRDefault="004B2E7C" w:rsidP="00285819">
      <w:pPr>
        <w:pStyle w:val="a7"/>
      </w:pPr>
      <w:r>
        <w:rPr>
          <w:rStyle w:val="a9"/>
        </w:rPr>
        <w:footnoteRef/>
      </w:r>
      <w:r>
        <w:rPr>
          <w:rtl/>
        </w:rPr>
        <w:t xml:space="preserve"> </w:t>
      </w:r>
      <w:r w:rsidRPr="006054E0">
        <w:rPr>
          <w:rFonts w:cs="Arial"/>
          <w:rtl/>
        </w:rPr>
        <w:t>את הדבש שהיה בה ראשון, אף אלו, על ידי גזירתם גרמו לעבור, דשמא לא יאמין את הנכרי, והם לא התירו להוליכו פחות פחות מארבע, ואדם אינו מעמיד עצמו על ממונו - ואתי לאיתויי ארבע אמות</w:t>
      </w:r>
      <w:r>
        <w:rPr>
          <w:rFonts w:cs="Arial" w:hint="cs"/>
          <w:rtl/>
        </w:rPr>
        <w:t>, רש"י.</w:t>
      </w:r>
    </w:p>
  </w:footnote>
  <w:footnote w:id="754">
    <w:p w14:paraId="24C5C9A3" w14:textId="77777777" w:rsidR="004B2E7C" w:rsidRDefault="004B2E7C" w:rsidP="00285819">
      <w:pPr>
        <w:pStyle w:val="a7"/>
      </w:pPr>
      <w:r>
        <w:rPr>
          <w:rStyle w:val="a9"/>
        </w:rPr>
        <w:footnoteRef/>
      </w:r>
      <w:r>
        <w:rPr>
          <w:rtl/>
        </w:rPr>
        <w:t xml:space="preserve"> </w:t>
      </w:r>
      <w:r w:rsidRPr="00BA4E2A">
        <w:rPr>
          <w:rFonts w:cs="Arial"/>
          <w:rtl/>
        </w:rPr>
        <w:t>אבל לקמן סימן שמ"ח משמע דעמידה מפסקת, ובהלכות רשויות כתב הכל בו (סי' לא, כח ע"א) דכל שעומד לפוש הוי כישיבה וכל שעומד לתקן המשוי הוי כהליכה</w:t>
      </w:r>
      <w:r>
        <w:rPr>
          <w:rFonts w:cs="Arial" w:hint="cs"/>
          <w:rtl/>
        </w:rPr>
        <w:t>, דרכ"מ (אות א*).</w:t>
      </w:r>
    </w:p>
  </w:footnote>
  <w:footnote w:id="755">
    <w:p w14:paraId="52D54B61" w14:textId="77777777" w:rsidR="004B2E7C" w:rsidRDefault="004B2E7C" w:rsidP="00285819">
      <w:pPr>
        <w:pStyle w:val="a7"/>
        <w:rPr>
          <w:rtl/>
        </w:rPr>
      </w:pPr>
      <w:r>
        <w:rPr>
          <w:rStyle w:val="a9"/>
        </w:rPr>
        <w:footnoteRef/>
      </w:r>
      <w:r>
        <w:rPr>
          <w:rtl/>
        </w:rPr>
        <w:t xml:space="preserve"> </w:t>
      </w:r>
      <w:r w:rsidRPr="009B3B32">
        <w:rPr>
          <w:rFonts w:cs="Arial"/>
          <w:rtl/>
        </w:rPr>
        <w:t>וכתב הרב המגיד שחלקו עליו כל המפרשים ואמרו שכשם שאסור לתתה לנכרי כך אסור להוליכה</w:t>
      </w:r>
      <w:r>
        <w:rPr>
          <w:rFonts w:cs="Arial" w:hint="cs"/>
          <w:rtl/>
        </w:rPr>
        <w:t>,</w:t>
      </w:r>
      <w:r w:rsidRPr="009B3B32">
        <w:rPr>
          <w:rFonts w:cs="Arial"/>
          <w:rtl/>
        </w:rPr>
        <w:t xml:space="preserve"> וגם הוא ז"ל (פאר הדור סי' לה) נשאל על זה מחכמי לוני"ל דבגמרא לא משמע הכי והשיב שלא חלקו בגמרא בין כיס למציאה להולכת פחות פחות מארבע אמות שזו ההולכה צנעא גדולה יש בה ולא אוושא מילתא וכו' זהו דעתי והרוצה לחלוק יחלוק ומכל מקום הוא עצמו מודה שאין דבריו מוכרחין לפיכך יש להחמיר כדברי שאר מפרשים עכ"ל</w:t>
      </w:r>
      <w:r>
        <w:rPr>
          <w:rFonts w:cs="Arial" w:hint="cs"/>
          <w:sz w:val="16"/>
          <w:szCs w:val="16"/>
          <w:rtl/>
        </w:rPr>
        <w:t xml:space="preserve"> {הה"מ}</w:t>
      </w:r>
      <w:r>
        <w:rPr>
          <w:rFonts w:cs="Arial" w:hint="cs"/>
          <w:rtl/>
        </w:rPr>
        <w:t>.</w:t>
      </w:r>
      <w:r w:rsidRPr="009B3B32">
        <w:rPr>
          <w:rFonts w:cs="Arial"/>
          <w:rtl/>
        </w:rPr>
        <w:t xml:space="preserve"> והר"ן פרק מי שהחשיך (סו. ד"ה אין) כתב תשובת הרמב"ם וכתב עליה ואין טעמו מחוור וכבר השיגו הראב"ד</w:t>
      </w:r>
      <w:r>
        <w:rPr>
          <w:rFonts w:cs="Arial" w:hint="cs"/>
          <w:rtl/>
        </w:rPr>
        <w:t>, ב"י</w:t>
      </w:r>
      <w:r>
        <w:rPr>
          <w:rFonts w:hint="cs"/>
          <w:rtl/>
        </w:rPr>
        <w:t>.</w:t>
      </w:r>
      <w:r w:rsidRPr="00842260">
        <w:rPr>
          <w:rFonts w:hint="cs"/>
          <w:color w:val="E36C0A" w:themeColor="accent6" w:themeShade="BF"/>
          <w:rtl/>
        </w:rPr>
        <w:t xml:space="preserve"> </w:t>
      </w:r>
      <w:r w:rsidRPr="00A163AF">
        <w:rPr>
          <w:rFonts w:hint="cs"/>
          <w:color w:val="E36C0A" w:themeColor="accent6" w:themeShade="BF"/>
          <w:rtl/>
        </w:rPr>
        <w:t>(וכ"</w:t>
      </w:r>
      <w:r>
        <w:rPr>
          <w:rFonts w:hint="cs"/>
          <w:color w:val="E36C0A" w:themeColor="accent6" w:themeShade="BF"/>
          <w:rtl/>
        </w:rPr>
        <w:t>פ</w:t>
      </w:r>
      <w:r w:rsidRPr="00A163AF">
        <w:rPr>
          <w:rFonts w:hint="cs"/>
          <w:color w:val="E36C0A" w:themeColor="accent6" w:themeShade="BF"/>
          <w:rtl/>
        </w:rPr>
        <w:t xml:space="preserve"> בשו"ע)</w:t>
      </w:r>
    </w:p>
  </w:footnote>
  <w:footnote w:id="756">
    <w:p w14:paraId="5BB9A7EC" w14:textId="77777777" w:rsidR="004B2E7C" w:rsidRDefault="004B2E7C" w:rsidP="00285819">
      <w:pPr>
        <w:pStyle w:val="a7"/>
      </w:pPr>
      <w:r>
        <w:rPr>
          <w:rStyle w:val="a9"/>
        </w:rPr>
        <w:footnoteRef/>
      </w:r>
      <w:r>
        <w:rPr>
          <w:rtl/>
        </w:rPr>
        <w:t xml:space="preserve"> </w:t>
      </w:r>
      <w:r w:rsidRPr="00805E52">
        <w:rPr>
          <w:rFonts w:cs="Arial"/>
          <w:rtl/>
        </w:rPr>
        <w:t xml:space="preserve">וזה אינו מועיל אלא לענין טלטול בר"ה או בכרמלית שהאיסור הוא משום טלטול ד' אמות ע"כ מהני זה אבל מכרמלית לרה"י או לרשות הרבים וכ"ש מר"ה לרה"י דהאיסור הוא משום הוצאה מרשות לרשות דאסור אפילו בחצי אמה אינו מועיל זה [ט"ז וש"א] ע"כ בעניננו כשבא סמוך לביתו שהוא רה"י יזרוק הכיס כלאחר יד לביתו כדי שלא תהוי הכנסה גמורה ואפילו אם עשה הנחה כשבא סמוך לביתו ג"כ התירו להכניס לביתו כלאחר יד משום הפסד. כתב הט"ז לא יפה עושין אותן שנושאין תינוק למול בפחות פחות מד"א דמ"מ יש איסור מה שמוציאין מרה"י לרחוב שהוא כרמלית אלא יוציאנו ע"י </w:t>
      </w:r>
      <w:r>
        <w:rPr>
          <w:rFonts w:cs="Arial" w:hint="cs"/>
          <w:rtl/>
        </w:rPr>
        <w:t>גו</w:t>
      </w:r>
      <w:r w:rsidRPr="00805E52">
        <w:rPr>
          <w:rFonts w:cs="Arial"/>
          <w:rtl/>
        </w:rPr>
        <w:t xml:space="preserve">י מרשות לרשות ואח"כ יטלטלנו בפחות מד"א ולבהכ"נ יכניסו ג"כ ע"י </w:t>
      </w:r>
      <w:r>
        <w:rPr>
          <w:rFonts w:cs="Arial" w:hint="cs"/>
          <w:rtl/>
        </w:rPr>
        <w:t>גו</w:t>
      </w:r>
      <w:r w:rsidRPr="00805E52">
        <w:rPr>
          <w:rFonts w:cs="Arial"/>
          <w:rtl/>
        </w:rPr>
        <w:t>י ולהמ"א לקמן בסימן של"א סק"ה אין לעשות כן דהא אפשר למול בביתו</w:t>
      </w:r>
      <w:r>
        <w:rPr>
          <w:rFonts w:cs="Arial" w:hint="cs"/>
          <w:rtl/>
        </w:rPr>
        <w:t>, משנ"ב (סקי"ז).</w:t>
      </w:r>
    </w:p>
  </w:footnote>
  <w:footnote w:id="757">
    <w:p w14:paraId="7C6BE0D9" w14:textId="77777777" w:rsidR="004B2E7C" w:rsidRDefault="004B2E7C" w:rsidP="00285819">
      <w:pPr>
        <w:pStyle w:val="a7"/>
      </w:pPr>
      <w:r>
        <w:rPr>
          <w:rStyle w:val="a9"/>
        </w:rPr>
        <w:footnoteRef/>
      </w:r>
      <w:r>
        <w:rPr>
          <w:rtl/>
        </w:rPr>
        <w:t xml:space="preserve"> </w:t>
      </w:r>
      <w:r w:rsidRPr="00D549AB">
        <w:rPr>
          <w:rFonts w:cs="Arial"/>
          <w:rtl/>
        </w:rPr>
        <w:t>ועומד לפוש בנתיים (ד"מ בשם טור סי' שמ"ח) דלא כרי"ו שכ' דצריך לישב</w:t>
      </w:r>
      <w:r>
        <w:rPr>
          <w:rFonts w:cs="Arial" w:hint="cs"/>
          <w:rtl/>
        </w:rPr>
        <w:t>.</w:t>
      </w:r>
      <w:r w:rsidRPr="00D549AB">
        <w:rPr>
          <w:rFonts w:cs="Arial"/>
          <w:rtl/>
        </w:rPr>
        <w:t xml:space="preserve"> וצ"ע דהא רי"ו בעצמו כתב דעומד לפוש פטור וכ"כ הרמב"ם פי"ג ותלמוד ערוך הוא פ"ק דשבת</w:t>
      </w:r>
      <w:r>
        <w:rPr>
          <w:rFonts w:cs="Arial" w:hint="cs"/>
          <w:rtl/>
        </w:rPr>
        <w:t>,</w:t>
      </w:r>
      <w:r w:rsidRPr="00D549AB">
        <w:rPr>
          <w:rFonts w:cs="Arial"/>
          <w:rtl/>
        </w:rPr>
        <w:t xml:space="preserve"> אלא שס"ל דבכאן כיון שאינו עומד אלא משום שלא יבא לידי איסור לא ה"ל כעומד לפוש לכן צריך לישב</w:t>
      </w:r>
      <w:r>
        <w:rPr>
          <w:rFonts w:cs="Arial" w:hint="cs"/>
          <w:rtl/>
        </w:rPr>
        <w:t>,</w:t>
      </w:r>
      <w:r w:rsidRPr="00D549AB">
        <w:rPr>
          <w:rFonts w:cs="Arial"/>
          <w:rtl/>
        </w:rPr>
        <w:t xml:space="preserve"> ומיהו בע"א דף ע' פירש"י דבעומד לפוש סגי</w:t>
      </w:r>
      <w:r>
        <w:rPr>
          <w:rFonts w:cs="Arial" w:hint="cs"/>
          <w:rtl/>
        </w:rPr>
        <w:t>, מג"א (סק"ט).</w:t>
      </w:r>
      <w:r w:rsidRPr="00D549AB">
        <w:rPr>
          <w:rtl/>
        </w:rPr>
        <w:t xml:space="preserve"> </w:t>
      </w:r>
      <w:r>
        <w:rPr>
          <w:rFonts w:cs="Arial" w:hint="cs"/>
          <w:rtl/>
        </w:rPr>
        <w:t>וכ"כ המשנ"ב (סקי"ח), ואח"כ כתב ד</w:t>
      </w:r>
      <w:r w:rsidRPr="00D549AB">
        <w:rPr>
          <w:rFonts w:cs="Arial"/>
          <w:rtl/>
        </w:rPr>
        <w:t xml:space="preserve">יש מחמירין שצריך דוקא לישב בינתים או להניח החפץ ע"ג קרקע. </w:t>
      </w:r>
      <w:r>
        <w:rPr>
          <w:rFonts w:cs="Arial" w:hint="cs"/>
          <w:rtl/>
        </w:rPr>
        <w:t>ועוד כתב בשם</w:t>
      </w:r>
      <w:r w:rsidRPr="00D549AB">
        <w:rPr>
          <w:rFonts w:cs="Arial"/>
          <w:rtl/>
        </w:rPr>
        <w:t xml:space="preserve"> האחרונים דפחות פחות מד"א יותר עדיף שיהיה ע"י שנים משיהיה ע"י אחד ובזה לכו"ע א"צ לישב שום אחד ולא לעמוד לפוש דבכל אחד הוי מעשה חדש</w:t>
      </w:r>
      <w:r>
        <w:rPr>
          <w:rFonts w:cs="Arial" w:hint="cs"/>
          <w:rtl/>
        </w:rPr>
        <w:t>.</w:t>
      </w:r>
    </w:p>
  </w:footnote>
  <w:footnote w:id="758">
    <w:p w14:paraId="519DD60C" w14:textId="77777777" w:rsidR="004B2E7C" w:rsidRDefault="004B2E7C" w:rsidP="00285819">
      <w:pPr>
        <w:pStyle w:val="a7"/>
        <w:rPr>
          <w:rtl/>
        </w:rPr>
      </w:pPr>
      <w:r>
        <w:rPr>
          <w:rStyle w:val="a9"/>
        </w:rPr>
        <w:footnoteRef/>
      </w:r>
      <w:r>
        <w:rPr>
          <w:rtl/>
        </w:rPr>
        <w:t xml:space="preserve"> </w:t>
      </w:r>
      <w:r w:rsidRPr="008508C2">
        <w:rPr>
          <w:rFonts w:cs="Arial"/>
          <w:rtl/>
        </w:rPr>
        <w:t>ומסתבר לי דלרשב"א מותר גם ביצא סמוך לחשיכה, ומ"ש רבינו ירוחם [סו ע"ג] הביאו ב"י דיש אוסרין ופסקו[ה] בשלחן ערוך ולבוש, נראה דכוון רבינו ירוחם למה שהביא רשב"א, וכיון שפירשתי דרשב"א חולק עליו ראוי לסמוך עליו, וכשגם שיש ראיה מש"ס הנ"ל</w:t>
      </w:r>
      <w:r>
        <w:rPr>
          <w:rFonts w:cs="Arial" w:hint="cs"/>
          <w:rtl/>
        </w:rPr>
        <w:t xml:space="preserve"> (ע"ז ע.)</w:t>
      </w:r>
      <w:r w:rsidRPr="008508C2">
        <w:rPr>
          <w:rFonts w:cs="Arial"/>
          <w:rtl/>
        </w:rPr>
        <w:t>, ועוד דלדידן לית לן רשות הרבים, ועוד דא"כ מה מייתי הש"ס שם ראיה מהוציא בשבת על החשיך, אף אם מיירי שהחשיך מבעוד יום, מכל מקום מנ"ל להביא ראיה, אלא דאין חילוק</w:t>
      </w:r>
      <w:r>
        <w:rPr>
          <w:rFonts w:hint="cs"/>
          <w:rtl/>
        </w:rPr>
        <w:t>, אליה רבה (סק"כ). והביאו המשנ"ב (סקכ"ב).</w:t>
      </w:r>
    </w:p>
  </w:footnote>
  <w:footnote w:id="759">
    <w:p w14:paraId="2F2975E2" w14:textId="77777777" w:rsidR="004B2E7C" w:rsidRDefault="004B2E7C" w:rsidP="00285819">
      <w:pPr>
        <w:pStyle w:val="a7"/>
        <w:rPr>
          <w:rtl/>
        </w:rPr>
      </w:pPr>
      <w:r>
        <w:rPr>
          <w:rStyle w:val="a9"/>
        </w:rPr>
        <w:footnoteRef/>
      </w:r>
      <w:r>
        <w:rPr>
          <w:rtl/>
        </w:rPr>
        <w:t xml:space="preserve"> </w:t>
      </w:r>
      <w:r w:rsidRPr="006B21F5">
        <w:rPr>
          <w:rFonts w:cs="Arial"/>
          <w:rtl/>
        </w:rPr>
        <w:t>ר"ל שיעשה כפי המבואר לקמן בסי"ב בהג"ה דיתיר חגורו בשוק והוא נופל ואומר ל</w:t>
      </w:r>
      <w:r>
        <w:rPr>
          <w:rFonts w:cs="Arial"/>
          <w:rtl/>
        </w:rPr>
        <w:t>גוי</w:t>
      </w:r>
      <w:r w:rsidRPr="006B21F5">
        <w:rPr>
          <w:rFonts w:cs="Arial"/>
          <w:rtl/>
        </w:rPr>
        <w:t xml:space="preserve"> לשמרו</w:t>
      </w:r>
      <w:r>
        <w:rPr>
          <w:rFonts w:hint="cs"/>
          <w:rtl/>
        </w:rPr>
        <w:t>, משנ"ב (סקכ"ב).</w:t>
      </w:r>
    </w:p>
  </w:footnote>
  <w:footnote w:id="760">
    <w:p w14:paraId="649C2BAD" w14:textId="77777777" w:rsidR="004B2E7C" w:rsidRDefault="004B2E7C" w:rsidP="00285819">
      <w:pPr>
        <w:pStyle w:val="a7"/>
      </w:pPr>
      <w:r>
        <w:rPr>
          <w:rStyle w:val="a9"/>
        </w:rPr>
        <w:footnoteRef/>
      </w:r>
      <w:r>
        <w:rPr>
          <w:rtl/>
        </w:rPr>
        <w:t xml:space="preserve"> </w:t>
      </w:r>
      <w:r w:rsidRPr="00D32C62">
        <w:rPr>
          <w:rFonts w:cs="Arial"/>
          <w:rtl/>
        </w:rPr>
        <w:t>שאין ניטלין בידו להניחן לארץ</w:t>
      </w:r>
      <w:r>
        <w:rPr>
          <w:rFonts w:hint="cs"/>
          <w:rtl/>
        </w:rPr>
        <w:t>, רש"י.</w:t>
      </w:r>
    </w:p>
  </w:footnote>
  <w:footnote w:id="761">
    <w:p w14:paraId="56447E1D" w14:textId="77777777" w:rsidR="004B2E7C" w:rsidRDefault="004B2E7C" w:rsidP="00285819">
      <w:pPr>
        <w:pStyle w:val="a7"/>
        <w:rPr>
          <w:rtl/>
        </w:rPr>
      </w:pPr>
      <w:r>
        <w:rPr>
          <w:rStyle w:val="a9"/>
        </w:rPr>
        <w:footnoteRef/>
      </w:r>
      <w:r>
        <w:rPr>
          <w:rtl/>
        </w:rPr>
        <w:t xml:space="preserve"> </w:t>
      </w:r>
      <w:r w:rsidRPr="00D32C62">
        <w:rPr>
          <w:rFonts w:cs="Arial"/>
          <w:rtl/>
        </w:rPr>
        <w:t>וכלי זכוכית ניטלין הן, ולמה לי מתיר את החבלים?</w:t>
      </w:r>
      <w:r>
        <w:rPr>
          <w:rFonts w:hint="cs"/>
          <w:rtl/>
        </w:rPr>
        <w:t>, רש"י.</w:t>
      </w:r>
    </w:p>
  </w:footnote>
  <w:footnote w:id="762">
    <w:p w14:paraId="1CA6F874" w14:textId="77777777" w:rsidR="004B2E7C" w:rsidRDefault="004B2E7C" w:rsidP="00285819">
      <w:pPr>
        <w:pStyle w:val="a7"/>
      </w:pPr>
      <w:r>
        <w:rPr>
          <w:rStyle w:val="a9"/>
        </w:rPr>
        <w:footnoteRef/>
      </w:r>
      <w:r>
        <w:rPr>
          <w:rtl/>
        </w:rPr>
        <w:t xml:space="preserve"> </w:t>
      </w:r>
      <w:r w:rsidRPr="00D32C62">
        <w:rPr>
          <w:rFonts w:cs="Arial"/>
          <w:rtl/>
        </w:rPr>
        <w:t>מקיז דם, שאין ראויין בשבת לכלום, לפי שמאוסים</w:t>
      </w:r>
      <w:r>
        <w:rPr>
          <w:rFonts w:hint="cs"/>
          <w:rtl/>
        </w:rPr>
        <w:t>, רש"י.</w:t>
      </w:r>
    </w:p>
  </w:footnote>
  <w:footnote w:id="763">
    <w:p w14:paraId="4C962C6B" w14:textId="77777777" w:rsidR="004B2E7C" w:rsidRDefault="004B2E7C" w:rsidP="00285819">
      <w:pPr>
        <w:pStyle w:val="a7"/>
        <w:rPr>
          <w:rtl/>
        </w:rPr>
      </w:pPr>
      <w:r>
        <w:rPr>
          <w:rStyle w:val="a9"/>
        </w:rPr>
        <w:footnoteRef/>
      </w:r>
      <w:r>
        <w:rPr>
          <w:rtl/>
        </w:rPr>
        <w:t xml:space="preserve"> </w:t>
      </w:r>
      <w:r w:rsidRPr="00D32C62">
        <w:rPr>
          <w:rFonts w:cs="Arial"/>
          <w:rtl/>
        </w:rPr>
        <w:t>כרים וכסתות, כשמניחן תחת דבר שאין ניטל, מבטלן מהיכנן דשוב לא יטלם משם, ודמי לסותר</w:t>
      </w:r>
      <w:r>
        <w:rPr>
          <w:rFonts w:hint="cs"/>
          <w:rtl/>
        </w:rPr>
        <w:t>, רש"י.</w:t>
      </w:r>
    </w:p>
  </w:footnote>
  <w:footnote w:id="764">
    <w:p w14:paraId="3832DA24" w14:textId="77777777" w:rsidR="004B2E7C" w:rsidRDefault="004B2E7C" w:rsidP="00285819">
      <w:pPr>
        <w:pStyle w:val="a7"/>
      </w:pPr>
      <w:r>
        <w:rPr>
          <w:rStyle w:val="a9"/>
        </w:rPr>
        <w:footnoteRef/>
      </w:r>
      <w:r>
        <w:rPr>
          <w:rtl/>
        </w:rPr>
        <w:t xml:space="preserve"> </w:t>
      </w:r>
      <w:r w:rsidRPr="00D32C62">
        <w:rPr>
          <w:rFonts w:cs="Arial"/>
          <w:rtl/>
        </w:rPr>
        <w:t>משואות קטנים, ששומט הכר מתחתיהם ונופלין על הכר השני, וכן עד שמגיען לארץ</w:t>
      </w:r>
      <w:r>
        <w:rPr>
          <w:rFonts w:hint="cs"/>
          <w:rtl/>
        </w:rPr>
        <w:t>, רש"י.</w:t>
      </w:r>
    </w:p>
  </w:footnote>
  <w:footnote w:id="765">
    <w:p w14:paraId="11E765AE" w14:textId="77777777" w:rsidR="004B2E7C" w:rsidRDefault="004B2E7C" w:rsidP="00285819">
      <w:pPr>
        <w:pStyle w:val="a7"/>
        <w:rPr>
          <w:rtl/>
        </w:rPr>
      </w:pPr>
      <w:r>
        <w:rPr>
          <w:rStyle w:val="a9"/>
        </w:rPr>
        <w:footnoteRef/>
      </w:r>
      <w:r>
        <w:rPr>
          <w:rtl/>
        </w:rPr>
        <w:t xml:space="preserve"> </w:t>
      </w:r>
      <w:r w:rsidRPr="00D32C62">
        <w:rPr>
          <w:rFonts w:cs="Arial"/>
          <w:rtl/>
        </w:rPr>
        <w:t>מש"ש בלעז</w:t>
      </w:r>
      <w:r>
        <w:rPr>
          <w:rFonts w:cs="Arial" w:hint="cs"/>
          <w:rtl/>
        </w:rPr>
        <w:t xml:space="preserve"> (</w:t>
      </w:r>
      <w:r w:rsidRPr="00D32C62">
        <w:rPr>
          <w:rFonts w:cs="Arial"/>
          <w:rtl/>
        </w:rPr>
        <w:t>גושים, חתיכות גדולות</w:t>
      </w:r>
      <w:r>
        <w:rPr>
          <w:rFonts w:cs="Arial" w:hint="cs"/>
          <w:rtl/>
        </w:rPr>
        <w:t>)</w:t>
      </w:r>
      <w:r w:rsidRPr="00D32C62">
        <w:rPr>
          <w:rFonts w:cs="Arial"/>
          <w:rtl/>
        </w:rPr>
        <w:t>, ואף על פי שהעששיות משתברין, אלמא: אסור להניח כרים וכסתות תחתיהן</w:t>
      </w:r>
      <w:r>
        <w:rPr>
          <w:rFonts w:hint="cs"/>
          <w:rtl/>
        </w:rPr>
        <w:t>, רש"י.</w:t>
      </w:r>
    </w:p>
  </w:footnote>
  <w:footnote w:id="766">
    <w:p w14:paraId="75348C70" w14:textId="77777777" w:rsidR="004B2E7C" w:rsidRDefault="004B2E7C" w:rsidP="00285819">
      <w:pPr>
        <w:pStyle w:val="a7"/>
      </w:pPr>
      <w:r>
        <w:rPr>
          <w:rStyle w:val="a9"/>
        </w:rPr>
        <w:footnoteRef/>
      </w:r>
      <w:r>
        <w:rPr>
          <w:rtl/>
        </w:rPr>
        <w:t xml:space="preserve"> </w:t>
      </w:r>
      <w:r w:rsidRPr="00D32C62">
        <w:rPr>
          <w:rFonts w:cs="Arial"/>
          <w:rtl/>
        </w:rPr>
        <w:t>חתיכות רחבות של זכוכית שאינם כלים, ועושין מהן חלונות, וכיון דליכא פסידא בשבירתן וסופן להחתך בחתיכות קטנות - לא שרו להביא כרים ולהניח תחתיהן</w:t>
      </w:r>
      <w:r>
        <w:rPr>
          <w:rFonts w:hint="cs"/>
          <w:rtl/>
        </w:rPr>
        <w:t>, רש"י.</w:t>
      </w:r>
    </w:p>
  </w:footnote>
  <w:footnote w:id="767">
    <w:p w14:paraId="7BFCA8C8" w14:textId="77777777" w:rsidR="004B2E7C" w:rsidRDefault="004B2E7C" w:rsidP="00285819">
      <w:pPr>
        <w:pStyle w:val="a7"/>
      </w:pPr>
      <w:r>
        <w:rPr>
          <w:rStyle w:val="a9"/>
        </w:rPr>
        <w:footnoteRef/>
      </w:r>
      <w:r>
        <w:rPr>
          <w:rtl/>
        </w:rPr>
        <w:t xml:space="preserve"> </w:t>
      </w:r>
      <w:r w:rsidRPr="00D32C62">
        <w:rPr>
          <w:rFonts w:cs="Arial"/>
          <w:rtl/>
        </w:rPr>
        <w:t>דמוקצה הוא, ואפילו לכהנים לא חזי</w:t>
      </w:r>
      <w:r>
        <w:rPr>
          <w:rFonts w:cs="Arial" w:hint="cs"/>
          <w:rtl/>
        </w:rPr>
        <w:t>, רש"י.</w:t>
      </w:r>
    </w:p>
  </w:footnote>
  <w:footnote w:id="768">
    <w:p w14:paraId="26E409DA" w14:textId="77777777" w:rsidR="004B2E7C" w:rsidRDefault="004B2E7C" w:rsidP="00285819">
      <w:pPr>
        <w:pStyle w:val="a7"/>
      </w:pPr>
      <w:r>
        <w:rPr>
          <w:rStyle w:val="a9"/>
        </w:rPr>
        <w:footnoteRef/>
      </w:r>
      <w:r>
        <w:rPr>
          <w:rtl/>
        </w:rPr>
        <w:t xml:space="preserve"> </w:t>
      </w:r>
      <w:r w:rsidRPr="00D32C62">
        <w:rPr>
          <w:rFonts w:cs="Arial"/>
          <w:rtl/>
        </w:rPr>
        <w:t>הא ליכא פסידא</w:t>
      </w:r>
      <w:r>
        <w:rPr>
          <w:rFonts w:cs="Arial" w:hint="cs"/>
          <w:rtl/>
        </w:rPr>
        <w:t>, רש"י.</w:t>
      </w:r>
    </w:p>
  </w:footnote>
  <w:footnote w:id="769">
    <w:p w14:paraId="155ABA27" w14:textId="77777777" w:rsidR="004B2E7C" w:rsidRDefault="004B2E7C" w:rsidP="00285819">
      <w:pPr>
        <w:pStyle w:val="a7"/>
        <w:rPr>
          <w:rtl/>
        </w:rPr>
      </w:pPr>
      <w:r>
        <w:rPr>
          <w:rStyle w:val="a9"/>
        </w:rPr>
        <w:footnoteRef/>
      </w:r>
      <w:r>
        <w:rPr>
          <w:rtl/>
        </w:rPr>
        <w:t xml:space="preserve"> </w:t>
      </w:r>
      <w:r w:rsidRPr="00D32C62">
        <w:rPr>
          <w:rFonts w:cs="Arial"/>
          <w:rtl/>
        </w:rPr>
        <w:t>ויביא כרים ויניח תחתיהם, דהא ודאי אי אפשר בלא הפסד מועט, שניצוצות ניתזין בשבירתן שאינם ראוין לכלום</w:t>
      </w:r>
      <w:r>
        <w:rPr>
          <w:rFonts w:hint="cs"/>
          <w:rtl/>
        </w:rPr>
        <w:t>, רש"י.</w:t>
      </w:r>
    </w:p>
  </w:footnote>
  <w:footnote w:id="770">
    <w:p w14:paraId="54A4285C" w14:textId="77777777" w:rsidR="004B2E7C" w:rsidRDefault="004B2E7C" w:rsidP="00285819">
      <w:pPr>
        <w:pStyle w:val="a7"/>
        <w:rPr>
          <w:rtl/>
        </w:rPr>
      </w:pPr>
      <w:r>
        <w:rPr>
          <w:rStyle w:val="a9"/>
        </w:rPr>
        <w:footnoteRef/>
      </w:r>
      <w:r>
        <w:rPr>
          <w:rtl/>
        </w:rPr>
        <w:t xml:space="preserve"> </w:t>
      </w:r>
      <w:r>
        <w:rPr>
          <w:rFonts w:cs="Arial"/>
          <w:rtl/>
        </w:rPr>
        <w:t>כלומר אבל לא יניחם על הבהמה משום צער בעלי חיים. ודין כיצד פורקין משוי שעל גבי בהמה כתב רבינו בסוף סימן ש"ה</w:t>
      </w:r>
      <w:r>
        <w:rPr>
          <w:rFonts w:hint="cs"/>
          <w:rtl/>
        </w:rPr>
        <w:t>, ב"י.</w:t>
      </w:r>
    </w:p>
  </w:footnote>
  <w:footnote w:id="771">
    <w:p w14:paraId="38AD221F" w14:textId="77777777" w:rsidR="004B2E7C" w:rsidRDefault="004B2E7C" w:rsidP="00285819">
      <w:pPr>
        <w:pStyle w:val="a7"/>
      </w:pPr>
      <w:r>
        <w:rPr>
          <w:rStyle w:val="a9"/>
        </w:rPr>
        <w:footnoteRef/>
      </w:r>
      <w:r>
        <w:rPr>
          <w:rtl/>
        </w:rPr>
        <w:t xml:space="preserve"> </w:t>
      </w:r>
      <w:r w:rsidRPr="005C28EC">
        <w:rPr>
          <w:rFonts w:cs="Arial"/>
          <w:rtl/>
        </w:rPr>
        <w:t>הקשה המג"א דהא כי קאי הבהמה פורתא לפני הפתח מעייל מר"ה לרה"י וכמ"ש סי"א</w:t>
      </w:r>
      <w:r>
        <w:rPr>
          <w:rFonts w:cs="Arial" w:hint="cs"/>
          <w:rtl/>
        </w:rPr>
        <w:t>,</w:t>
      </w:r>
      <w:r w:rsidRPr="005C28EC">
        <w:rPr>
          <w:rFonts w:cs="Arial"/>
          <w:rtl/>
        </w:rPr>
        <w:t xml:space="preserve"> וצ"ל דגבי בהמתו לא החמירו כ</w:t>
      </w:r>
      <w:r>
        <w:rPr>
          <w:rFonts w:cs="Arial" w:hint="cs"/>
          <w:rtl/>
        </w:rPr>
        <w:t xml:space="preserve">ל </w:t>
      </w:r>
      <w:r w:rsidRPr="005C28EC">
        <w:rPr>
          <w:rFonts w:cs="Arial"/>
          <w:rtl/>
        </w:rPr>
        <w:t>כ</w:t>
      </w:r>
      <w:r>
        <w:rPr>
          <w:rFonts w:cs="Arial" w:hint="cs"/>
          <w:rtl/>
        </w:rPr>
        <w:t>ך</w:t>
      </w:r>
      <w:r>
        <w:rPr>
          <w:rFonts w:cs="Arial" w:hint="cs"/>
          <w:sz w:val="16"/>
          <w:szCs w:val="16"/>
          <w:rtl/>
        </w:rPr>
        <w:t xml:space="preserve"> {עכ"ל המג"א}</w:t>
      </w:r>
      <w:r>
        <w:rPr>
          <w:rFonts w:cs="Arial" w:hint="cs"/>
          <w:rtl/>
        </w:rPr>
        <w:t>.</w:t>
      </w:r>
      <w:r w:rsidRPr="005C28EC">
        <w:rPr>
          <w:rFonts w:cs="Arial"/>
          <w:rtl/>
        </w:rPr>
        <w:t xml:space="preserve"> ועיין בפמ"ג שנדחק מאד בתירוץ זה</w:t>
      </w:r>
      <w:r>
        <w:rPr>
          <w:rFonts w:cs="Arial" w:hint="cs"/>
          <w:rtl/>
        </w:rPr>
        <w:t>.</w:t>
      </w:r>
      <w:r w:rsidRPr="005C28EC">
        <w:rPr>
          <w:rFonts w:cs="Arial"/>
          <w:rtl/>
        </w:rPr>
        <w:t xml:space="preserve"> ויש מתרצים דיזהר ליטול מהבהמה תיכף בבואה לחצר בעודה מהלכת</w:t>
      </w:r>
      <w:r>
        <w:rPr>
          <w:rFonts w:cs="Arial" w:hint="cs"/>
          <w:rtl/>
        </w:rPr>
        <w:t>,</w:t>
      </w:r>
      <w:r w:rsidRPr="005C28EC">
        <w:rPr>
          <w:rFonts w:cs="Arial"/>
          <w:rtl/>
        </w:rPr>
        <w:t xml:space="preserve"> כדי שלא תהיה ההנחה ע"י הבהמה</w:t>
      </w:r>
      <w:r>
        <w:rPr>
          <w:rFonts w:cs="Arial" w:hint="cs"/>
          <w:rtl/>
        </w:rPr>
        <w:t>.</w:t>
      </w:r>
      <w:r w:rsidRPr="005C28EC">
        <w:rPr>
          <w:rFonts w:cs="Arial"/>
          <w:rtl/>
        </w:rPr>
        <w:t xml:space="preserve"> או שיזהר ליטול ממנה קודם שנכנסה לחצרו ולא יניח עליה עד לאחר שעקרה רגליה לכנוס לחצר כדי שלא תהיה העקירה על ידה</w:t>
      </w:r>
      <w:r>
        <w:rPr>
          <w:rFonts w:cs="Arial" w:hint="cs"/>
          <w:rtl/>
        </w:rPr>
        <w:t>,</w:t>
      </w:r>
      <w:r w:rsidRPr="005C28EC">
        <w:rPr>
          <w:rFonts w:cs="Arial"/>
          <w:rtl/>
        </w:rPr>
        <w:t xml:space="preserve"> ואף שאח"כ עומדת בחצר והוי הנחה לית לן בה</w:t>
      </w:r>
      <w:r>
        <w:rPr>
          <w:rFonts w:cs="Arial" w:hint="cs"/>
          <w:rtl/>
        </w:rPr>
        <w:t>,</w:t>
      </w:r>
      <w:r w:rsidRPr="005C28EC">
        <w:rPr>
          <w:rFonts w:cs="Arial"/>
          <w:rtl/>
        </w:rPr>
        <w:t xml:space="preserve"> דכל דבר שבחבירו פטור אבל אסור בחמורו מותר לכתחלה</w:t>
      </w:r>
      <w:r>
        <w:rPr>
          <w:rFonts w:cs="Arial" w:hint="cs"/>
          <w:rtl/>
        </w:rPr>
        <w:t>, משנ"ב (סקכ"ג).</w:t>
      </w:r>
    </w:p>
  </w:footnote>
  <w:footnote w:id="772">
    <w:p w14:paraId="6502CACA" w14:textId="77777777" w:rsidR="004B2E7C" w:rsidRDefault="004B2E7C" w:rsidP="00285819">
      <w:pPr>
        <w:pStyle w:val="a7"/>
      </w:pPr>
      <w:r>
        <w:rPr>
          <w:rStyle w:val="a9"/>
        </w:rPr>
        <w:footnoteRef/>
      </w:r>
      <w:r>
        <w:rPr>
          <w:rtl/>
        </w:rPr>
        <w:t xml:space="preserve"> </w:t>
      </w:r>
      <w:r w:rsidRPr="005C28EC">
        <w:rPr>
          <w:rFonts w:cs="Arial"/>
          <w:rtl/>
        </w:rPr>
        <w:t>נ"ל דאפי' הם יותר מט"ו סאה שרי משום צער ב"ח משא"כ בעגלה דאסור לפנותה כלל כמ"ש ססי' של"ג</w:t>
      </w:r>
      <w:r>
        <w:rPr>
          <w:rFonts w:cs="Arial" w:hint="cs"/>
          <w:rtl/>
        </w:rPr>
        <w:t>, מג"א (סקי"ב).</w:t>
      </w:r>
    </w:p>
  </w:footnote>
  <w:footnote w:id="773">
    <w:p w14:paraId="372A84D2" w14:textId="77777777" w:rsidR="004B2E7C" w:rsidRDefault="004B2E7C" w:rsidP="00285819">
      <w:pPr>
        <w:pStyle w:val="a7"/>
      </w:pPr>
      <w:r>
        <w:rPr>
          <w:rStyle w:val="a9"/>
        </w:rPr>
        <w:footnoteRef/>
      </w:r>
      <w:r>
        <w:rPr>
          <w:rtl/>
        </w:rPr>
        <w:t xml:space="preserve"> </w:t>
      </w:r>
      <w:r w:rsidRPr="00C70D69">
        <w:rPr>
          <w:rFonts w:cs="Arial"/>
          <w:rtl/>
        </w:rPr>
        <w:t>אע</w:t>
      </w:r>
      <w:r>
        <w:rPr>
          <w:rFonts w:cs="Arial" w:hint="cs"/>
          <w:rtl/>
        </w:rPr>
        <w:t>"</w:t>
      </w:r>
      <w:r w:rsidRPr="00C70D69">
        <w:rPr>
          <w:rFonts w:cs="Arial"/>
          <w:rtl/>
        </w:rPr>
        <w:t xml:space="preserve">ג דמוקצה מחמת מיאוס מותר היינו היכא דחזי לכסויי ביה מנא אבל הני לא חזי לכסות שאם יפלו ישתברו </w:t>
      </w:r>
      <w:r w:rsidRPr="00C70D69">
        <w:rPr>
          <w:rFonts w:cs="Arial"/>
          <w:sz w:val="16"/>
          <w:szCs w:val="16"/>
          <w:rtl/>
        </w:rPr>
        <w:t>(ר"ן)</w:t>
      </w:r>
      <w:r>
        <w:rPr>
          <w:rFonts w:cs="Arial" w:hint="cs"/>
          <w:rtl/>
        </w:rPr>
        <w:t>, מג"א</w:t>
      </w:r>
      <w:r w:rsidRPr="00C70D69">
        <w:rPr>
          <w:rFonts w:cs="Arial" w:hint="cs"/>
          <w:sz w:val="16"/>
          <w:szCs w:val="16"/>
          <w:rtl/>
        </w:rPr>
        <w:t xml:space="preserve"> (סקי"ג)</w:t>
      </w:r>
      <w:r>
        <w:rPr>
          <w:rFonts w:cs="Arial" w:hint="cs"/>
          <w:rtl/>
        </w:rPr>
        <w:t>.</w:t>
      </w:r>
    </w:p>
  </w:footnote>
  <w:footnote w:id="774">
    <w:p w14:paraId="7536332B" w14:textId="77777777" w:rsidR="004B2E7C" w:rsidRDefault="004B2E7C" w:rsidP="00285819">
      <w:pPr>
        <w:pStyle w:val="a7"/>
        <w:rPr>
          <w:rtl/>
        </w:rPr>
      </w:pPr>
      <w:r>
        <w:rPr>
          <w:rStyle w:val="a9"/>
        </w:rPr>
        <w:footnoteRef/>
      </w:r>
      <w:r>
        <w:rPr>
          <w:rtl/>
        </w:rPr>
        <w:t xml:space="preserve"> </w:t>
      </w:r>
      <w:r w:rsidRPr="00C70D69">
        <w:rPr>
          <w:rFonts w:cs="Arial"/>
          <w:rtl/>
        </w:rPr>
        <w:t>ואע</w:t>
      </w:r>
      <w:r>
        <w:rPr>
          <w:rFonts w:cs="Arial" w:hint="cs"/>
          <w:rtl/>
        </w:rPr>
        <w:t>"</w:t>
      </w:r>
      <w:r w:rsidRPr="00C70D69">
        <w:rPr>
          <w:rFonts w:cs="Arial"/>
          <w:rtl/>
        </w:rPr>
        <w:t>ג שקודם שיספיק לשמטם כולם בנחת שלא ישברו הכלים הרי הם מבוטלים מהיכנם באותה שעה עי"ז אפ"ה התירו חכמים לעשות כן כדי שלא יהיה הפסד ע"י השבירה וכתבו הרבה פוסקים דדוקא כלים שיש הפסד מרובה בשבירתן אבל חתיכות זכוכית רחבות שאינן כלים שאין הפסד כ"כ בשבירתן דהם עשוים להחתך לחתיכות קטנות ולית בזה רק הפסד מועט אסור להניח כרים תחתיהן לפי שמבטלן עכ"פ מתשמישן לשעתן וכן מסיק המ"א לדינא דיש להורות שאין מבטלין כלי מהיכנן אפילו לפי שעה אלא במקום הפסד מרובה. ולבטל כלים מהיכנן לכל היום במקום הפסד מרובה יש מתירין ויש אוסרין ועיין בבה"ל</w:t>
      </w:r>
      <w:r>
        <w:rPr>
          <w:rFonts w:hint="cs"/>
          <w:rtl/>
        </w:rPr>
        <w:t>, משנ"ב (סקכ"ז).</w:t>
      </w:r>
    </w:p>
  </w:footnote>
  <w:footnote w:id="775">
    <w:p w14:paraId="3B55F261" w14:textId="77777777" w:rsidR="004B2E7C" w:rsidRDefault="004B2E7C" w:rsidP="00285819">
      <w:pPr>
        <w:pStyle w:val="a7"/>
      </w:pPr>
      <w:r>
        <w:rPr>
          <w:rStyle w:val="a9"/>
        </w:rPr>
        <w:footnoteRef/>
      </w:r>
      <w:r>
        <w:rPr>
          <w:rtl/>
        </w:rPr>
        <w:t xml:space="preserve"> </w:t>
      </w:r>
      <w:r w:rsidRPr="00CB3AAB">
        <w:rPr>
          <w:rFonts w:cs="Arial"/>
          <w:rtl/>
        </w:rPr>
        <w:t>שלא יראום, וחכמים התירו לו להכניסם לעיר דרך מלבוש, דהיא העברה כלאחר יד, ומשום בזיון</w:t>
      </w:r>
      <w:r>
        <w:rPr>
          <w:rFonts w:cs="Arial" w:hint="cs"/>
          <w:rtl/>
        </w:rPr>
        <w:t>, רש"י.</w:t>
      </w:r>
      <w:r>
        <w:rPr>
          <w:rFonts w:hint="cs"/>
          <w:rtl/>
        </w:rPr>
        <w:t xml:space="preserve"> </w:t>
      </w:r>
      <w:r w:rsidRPr="00CB3AAB">
        <w:rPr>
          <w:rFonts w:hint="cs"/>
          <w:color w:val="FF0000"/>
          <w:sz w:val="16"/>
          <w:szCs w:val="16"/>
          <w:rtl/>
        </w:rPr>
        <w:t>(צל"ע מדוע השמיט הב"י את התיבות '</w:t>
      </w:r>
      <w:r w:rsidRPr="00CB3AAB">
        <w:rPr>
          <w:rFonts w:cs="Arial"/>
          <w:color w:val="FF0000"/>
          <w:sz w:val="16"/>
          <w:szCs w:val="16"/>
          <w:rtl/>
        </w:rPr>
        <w:t>דהיא העברה כלאחר יד</w:t>
      </w:r>
      <w:r w:rsidRPr="00CB3AAB">
        <w:rPr>
          <w:rFonts w:cs="Arial" w:hint="cs"/>
          <w:color w:val="FF0000"/>
          <w:sz w:val="16"/>
          <w:szCs w:val="16"/>
          <w:rtl/>
        </w:rPr>
        <w:t>' כשהעתיק את פירוש רש"י)</w:t>
      </w:r>
    </w:p>
  </w:footnote>
  <w:footnote w:id="776">
    <w:p w14:paraId="6B405385" w14:textId="77777777" w:rsidR="004B2E7C" w:rsidRDefault="004B2E7C" w:rsidP="00285819">
      <w:pPr>
        <w:pStyle w:val="a7"/>
      </w:pPr>
      <w:r>
        <w:rPr>
          <w:rStyle w:val="a9"/>
        </w:rPr>
        <w:footnoteRef/>
      </w:r>
      <w:r>
        <w:rPr>
          <w:rtl/>
        </w:rPr>
        <w:t xml:space="preserve"> </w:t>
      </w:r>
      <w:r w:rsidRPr="00CB3AAB">
        <w:rPr>
          <w:rFonts w:cs="Arial"/>
          <w:rtl/>
        </w:rPr>
        <w:t>בשדה היה ואינו משתמר</w:t>
      </w:r>
      <w:r>
        <w:rPr>
          <w:rFonts w:cs="Arial" w:hint="cs"/>
          <w:rtl/>
        </w:rPr>
        <w:t>, רש"י.</w:t>
      </w:r>
    </w:p>
  </w:footnote>
  <w:footnote w:id="777">
    <w:p w14:paraId="1DD0FED1" w14:textId="77777777" w:rsidR="004B2E7C" w:rsidRDefault="004B2E7C" w:rsidP="00285819">
      <w:pPr>
        <w:pStyle w:val="a7"/>
        <w:rPr>
          <w:rtl/>
        </w:rPr>
      </w:pPr>
      <w:r>
        <w:rPr>
          <w:rStyle w:val="a9"/>
        </w:rPr>
        <w:footnoteRef/>
      </w:r>
      <w:r>
        <w:rPr>
          <w:rtl/>
        </w:rPr>
        <w:t xml:space="preserve"> </w:t>
      </w:r>
      <w:r w:rsidRPr="00652DFC">
        <w:rPr>
          <w:rFonts w:cs="Arial"/>
          <w:rtl/>
        </w:rPr>
        <w:t>אפילו לאחר שקדש היום מצאן מונחים בקרקע - התירו לו חכמים להניחן בראשו ולהצניען</w:t>
      </w:r>
      <w:r>
        <w:rPr>
          <w:rFonts w:hint="cs"/>
          <w:rtl/>
        </w:rPr>
        <w:t>, רש"י.</w:t>
      </w:r>
    </w:p>
  </w:footnote>
  <w:footnote w:id="778">
    <w:p w14:paraId="75CC682C" w14:textId="77777777" w:rsidR="004B2E7C" w:rsidRDefault="004B2E7C" w:rsidP="00285819">
      <w:pPr>
        <w:pStyle w:val="a7"/>
        <w:rPr>
          <w:rtl/>
        </w:rPr>
      </w:pPr>
      <w:r>
        <w:rPr>
          <w:rStyle w:val="a9"/>
        </w:rPr>
        <w:footnoteRef/>
      </w:r>
      <w:r>
        <w:rPr>
          <w:rtl/>
        </w:rPr>
        <w:t xml:space="preserve"> </w:t>
      </w:r>
      <w:r w:rsidRPr="00652DFC">
        <w:rPr>
          <w:rFonts w:cs="Arial"/>
          <w:rtl/>
        </w:rPr>
        <w:t>נותן בראשו אחד, ואחד בזרועו, כדרך הנחתן בחול, ומכניסן, וחוזר והולך, ולובש זוג אחר, ומכניסן, תפילין של ראש ושל זרוע קרי זוג זוג</w:t>
      </w:r>
      <w:r>
        <w:rPr>
          <w:rFonts w:hint="cs"/>
          <w:rtl/>
        </w:rPr>
        <w:t>, רש"י.</w:t>
      </w:r>
    </w:p>
  </w:footnote>
  <w:footnote w:id="779">
    <w:p w14:paraId="3DC54E6E" w14:textId="77777777" w:rsidR="004B2E7C" w:rsidRDefault="004B2E7C" w:rsidP="00285819">
      <w:pPr>
        <w:pStyle w:val="a7"/>
      </w:pPr>
      <w:r>
        <w:rPr>
          <w:rStyle w:val="a9"/>
        </w:rPr>
        <w:footnoteRef/>
      </w:r>
      <w:r>
        <w:rPr>
          <w:rtl/>
        </w:rPr>
        <w:t xml:space="preserve"> </w:t>
      </w:r>
      <w:r w:rsidRPr="00652DFC">
        <w:rPr>
          <w:rFonts w:cs="Arial"/>
          <w:rtl/>
        </w:rPr>
        <w:t>ואשמעינן אביי, דהואיל ולא מנטרא מחמת גנבי, מאחר שהן בראשו - יוליכם עד ביתו, אבל אם מצאן במקום שהן נשמרין מן הכלבים - לא יזיזם ממקומן</w:t>
      </w:r>
      <w:r>
        <w:rPr>
          <w:rFonts w:cs="Arial" w:hint="cs"/>
          <w:rtl/>
        </w:rPr>
        <w:t>, רש"י.</w:t>
      </w:r>
    </w:p>
  </w:footnote>
  <w:footnote w:id="780">
    <w:p w14:paraId="555EA1E9" w14:textId="77777777" w:rsidR="004B2E7C" w:rsidRDefault="004B2E7C" w:rsidP="00285819">
      <w:pPr>
        <w:pStyle w:val="a7"/>
        <w:rPr>
          <w:rtl/>
        </w:rPr>
      </w:pPr>
      <w:r>
        <w:rPr>
          <w:rStyle w:val="a9"/>
        </w:rPr>
        <w:footnoteRef/>
      </w:r>
      <w:r>
        <w:rPr>
          <w:rtl/>
        </w:rPr>
        <w:t xml:space="preserve"> </w:t>
      </w:r>
      <w:r w:rsidRPr="0028671B">
        <w:rPr>
          <w:rFonts w:cs="Arial"/>
          <w:rtl/>
        </w:rPr>
        <w:t>מבעוד יום, וקדש עליו היום</w:t>
      </w:r>
      <w:r>
        <w:rPr>
          <w:rFonts w:hint="cs"/>
          <w:rtl/>
        </w:rPr>
        <w:t>, רש"י.</w:t>
      </w:r>
    </w:p>
  </w:footnote>
  <w:footnote w:id="781">
    <w:p w14:paraId="2A763A38" w14:textId="77777777" w:rsidR="004B2E7C" w:rsidRDefault="004B2E7C" w:rsidP="00285819">
      <w:pPr>
        <w:pStyle w:val="a7"/>
      </w:pPr>
      <w:r>
        <w:rPr>
          <w:rStyle w:val="a9"/>
        </w:rPr>
        <w:footnoteRef/>
      </w:r>
      <w:r>
        <w:rPr>
          <w:rtl/>
        </w:rPr>
        <w:t xml:space="preserve"> </w:t>
      </w:r>
      <w:r w:rsidRPr="0028671B">
        <w:rPr>
          <w:rFonts w:cs="Arial"/>
          <w:rtl/>
        </w:rPr>
        <w:t>וכל כמה דלא עמד לפוש אין כאן עקירה לאיסור</w:t>
      </w:r>
      <w:r>
        <w:rPr>
          <w:rFonts w:hint="cs"/>
          <w:rtl/>
        </w:rPr>
        <w:t>, רש"י.</w:t>
      </w:r>
    </w:p>
  </w:footnote>
  <w:footnote w:id="782">
    <w:p w14:paraId="14A43044" w14:textId="77777777" w:rsidR="004B2E7C" w:rsidRDefault="004B2E7C" w:rsidP="00285819">
      <w:pPr>
        <w:pStyle w:val="a7"/>
      </w:pPr>
      <w:r>
        <w:rPr>
          <w:rStyle w:val="a9"/>
        </w:rPr>
        <w:footnoteRef/>
      </w:r>
      <w:r>
        <w:rPr>
          <w:rtl/>
        </w:rPr>
        <w:t xml:space="preserve"> </w:t>
      </w:r>
      <w:r w:rsidRPr="0028671B">
        <w:rPr>
          <w:rFonts w:cs="Arial"/>
          <w:rtl/>
        </w:rPr>
        <w:t>מעט מעט, כלומר בנחת</w:t>
      </w:r>
      <w:r>
        <w:rPr>
          <w:rFonts w:hint="cs"/>
          <w:rtl/>
        </w:rPr>
        <w:t>, רש"י.</w:t>
      </w:r>
    </w:p>
  </w:footnote>
  <w:footnote w:id="783">
    <w:p w14:paraId="79DC63D6" w14:textId="77777777" w:rsidR="004B2E7C" w:rsidRDefault="004B2E7C" w:rsidP="00285819">
      <w:pPr>
        <w:pStyle w:val="a7"/>
      </w:pPr>
      <w:r>
        <w:rPr>
          <w:rStyle w:val="a9"/>
        </w:rPr>
        <w:footnoteRef/>
      </w:r>
      <w:r>
        <w:rPr>
          <w:rtl/>
        </w:rPr>
        <w:t xml:space="preserve"> </w:t>
      </w:r>
      <w:r w:rsidRPr="0028671B">
        <w:rPr>
          <w:rFonts w:cs="Arial"/>
          <w:rtl/>
        </w:rPr>
        <w:t>כלומר דזימנין דקאי ולאו אדעתיה אבל רץ היכרא איכא</w:t>
      </w:r>
      <w:r>
        <w:rPr>
          <w:rFonts w:hint="cs"/>
          <w:rtl/>
        </w:rPr>
        <w:t>, רש"י.</w:t>
      </w:r>
    </w:p>
  </w:footnote>
  <w:footnote w:id="784">
    <w:p w14:paraId="16EEFF5B" w14:textId="77777777" w:rsidR="004B2E7C" w:rsidRDefault="004B2E7C" w:rsidP="00285819">
      <w:pPr>
        <w:pStyle w:val="a7"/>
        <w:rPr>
          <w:rtl/>
        </w:rPr>
      </w:pPr>
      <w:r>
        <w:rPr>
          <w:rStyle w:val="a9"/>
        </w:rPr>
        <w:footnoteRef/>
      </w:r>
      <w:r>
        <w:rPr>
          <w:rtl/>
        </w:rPr>
        <w:t xml:space="preserve"> </w:t>
      </w:r>
      <w:r w:rsidRPr="0028671B">
        <w:rPr>
          <w:rFonts w:cs="Arial"/>
          <w:rtl/>
        </w:rPr>
        <w:t>שלא כדרך זריקה כגון מכתיפיו ולאחוריו</w:t>
      </w:r>
      <w:r>
        <w:rPr>
          <w:rFonts w:hint="cs"/>
          <w:rtl/>
        </w:rPr>
        <w:t>, רש"י.</w:t>
      </w:r>
    </w:p>
  </w:footnote>
  <w:footnote w:id="785">
    <w:p w14:paraId="69C70E36" w14:textId="77777777" w:rsidR="004B2E7C" w:rsidRDefault="004B2E7C" w:rsidP="00285819">
      <w:pPr>
        <w:pStyle w:val="a7"/>
      </w:pPr>
      <w:r>
        <w:rPr>
          <w:rStyle w:val="a9"/>
        </w:rPr>
        <w:footnoteRef/>
      </w:r>
      <w:r>
        <w:rPr>
          <w:rtl/>
        </w:rPr>
        <w:t xml:space="preserve"> </w:t>
      </w:r>
      <w:r w:rsidRPr="00CA5160">
        <w:rPr>
          <w:rFonts w:cs="Arial"/>
          <w:rtl/>
        </w:rPr>
        <w:t xml:space="preserve">דכל כמה דלא עמד לפוש אין כאן עקירה בשבת ודוקא כשאין עמו </w:t>
      </w:r>
      <w:r>
        <w:rPr>
          <w:rFonts w:cs="Arial"/>
          <w:rtl/>
        </w:rPr>
        <w:t>גוי</w:t>
      </w:r>
      <w:r w:rsidRPr="00CA5160">
        <w:rPr>
          <w:rFonts w:cs="Arial"/>
          <w:rtl/>
        </w:rPr>
        <w:t xml:space="preserve"> ולא בהמה ולא חש"ו וגם במקום שאין יכול להוליכו פחות פחות מד' אמות כגון שמתירא מליסטים שיגזלוהו או שיש מים רחב ד"א ועיין מה שכתבתי בסמוך דלדידן דלית לן ר"ה גמורה אפשר דשרי בכל ענין</w:t>
      </w:r>
      <w:r>
        <w:rPr>
          <w:rFonts w:cs="Arial" w:hint="cs"/>
          <w:rtl/>
        </w:rPr>
        <w:t>, משנ"ב (סקכ"ט).</w:t>
      </w:r>
    </w:p>
  </w:footnote>
  <w:footnote w:id="786">
    <w:p w14:paraId="14792AC0" w14:textId="77777777" w:rsidR="004B2E7C" w:rsidRDefault="004B2E7C" w:rsidP="00285819">
      <w:pPr>
        <w:pStyle w:val="a7"/>
      </w:pPr>
      <w:r>
        <w:rPr>
          <w:rStyle w:val="a9"/>
        </w:rPr>
        <w:footnoteRef/>
      </w:r>
      <w:r>
        <w:rPr>
          <w:rtl/>
        </w:rPr>
        <w:t xml:space="preserve"> </w:t>
      </w:r>
      <w:r w:rsidRPr="00CA5160">
        <w:rPr>
          <w:rFonts w:cs="Arial"/>
          <w:rtl/>
        </w:rPr>
        <w:t>ואם עמד לתקן המשא פטור דזה לא מקרי הנחה</w:t>
      </w:r>
      <w:r>
        <w:rPr>
          <w:rFonts w:cs="Arial" w:hint="cs"/>
          <w:rtl/>
        </w:rPr>
        <w:t>, משנ"ב (סק"ל).</w:t>
      </w:r>
    </w:p>
  </w:footnote>
  <w:footnote w:id="787">
    <w:p w14:paraId="0769C844" w14:textId="77777777" w:rsidR="004B2E7C" w:rsidRDefault="004B2E7C" w:rsidP="00285819">
      <w:pPr>
        <w:pStyle w:val="a7"/>
      </w:pPr>
      <w:r>
        <w:rPr>
          <w:rStyle w:val="a9"/>
        </w:rPr>
        <w:footnoteRef/>
      </w:r>
      <w:r>
        <w:rPr>
          <w:rtl/>
        </w:rPr>
        <w:t xml:space="preserve"> </w:t>
      </w:r>
      <w:r w:rsidRPr="00CA5160">
        <w:rPr>
          <w:rFonts w:cs="Arial"/>
          <w:rtl/>
        </w:rPr>
        <w:t>דהיינו שמהפך אחוריו כלפי החצר וזורקו מכתפיו כן הוא ברוקח דכלאחר יד ליכא איסורא דאורייתא ומשום הפסד חבילתו התירו לו דבר זה</w:t>
      </w:r>
      <w:r>
        <w:rPr>
          <w:rFonts w:cs="Arial" w:hint="cs"/>
          <w:rtl/>
        </w:rPr>
        <w:t>, משנ"ב (סקל"א).</w:t>
      </w:r>
    </w:p>
  </w:footnote>
  <w:footnote w:id="788">
    <w:p w14:paraId="00349B3E" w14:textId="77777777" w:rsidR="004B2E7C" w:rsidRDefault="004B2E7C" w:rsidP="00285819">
      <w:pPr>
        <w:pStyle w:val="a7"/>
      </w:pPr>
      <w:r>
        <w:rPr>
          <w:rStyle w:val="a9"/>
        </w:rPr>
        <w:footnoteRef/>
      </w:r>
      <w:r>
        <w:rPr>
          <w:rtl/>
        </w:rPr>
        <w:t xml:space="preserve"> </w:t>
      </w:r>
      <w:r>
        <w:rPr>
          <w:rFonts w:hint="cs"/>
          <w:rtl/>
        </w:rPr>
        <w:t xml:space="preserve">וז"ל- </w:t>
      </w:r>
      <w:r w:rsidRPr="00F068F6">
        <w:rPr>
          <w:rFonts w:cs="Arial"/>
          <w:rtl/>
        </w:rPr>
        <w:t>רץ תחתיה עד שמגיע לביתו. ק"ל אי הכי ליתני נמי מתני' הכי, ואם תאמר לא רצו לגלותה, נימא אנן בגמ' לעיל הכי אין שם לא חמור ולא חרש מטלטלו פחות פחות או רץ, ונראה לי דדוקא נקט חבילה שהרץ בה אית ליה הכירא רבה אבל רץ בכיס לית ליה הכיר ואסור</w:t>
      </w:r>
      <w:r>
        <w:rPr>
          <w:rFonts w:cs="Arial" w:hint="cs"/>
          <w:rtl/>
        </w:rPr>
        <w:t>.</w:t>
      </w:r>
    </w:p>
  </w:footnote>
  <w:footnote w:id="789">
    <w:p w14:paraId="7D345863" w14:textId="77777777" w:rsidR="004B2E7C" w:rsidRDefault="004B2E7C" w:rsidP="00285819">
      <w:pPr>
        <w:pStyle w:val="a7"/>
        <w:rPr>
          <w:rtl/>
        </w:rPr>
      </w:pPr>
      <w:r>
        <w:rPr>
          <w:rStyle w:val="a9"/>
        </w:rPr>
        <w:footnoteRef/>
      </w:r>
      <w:r>
        <w:rPr>
          <w:rtl/>
        </w:rPr>
        <w:t xml:space="preserve"> </w:t>
      </w:r>
      <w:r>
        <w:rPr>
          <w:rFonts w:cs="Arial" w:hint="cs"/>
          <w:rtl/>
        </w:rPr>
        <w:t xml:space="preserve">וכ"כ </w:t>
      </w:r>
      <w:r w:rsidRPr="00CA5160">
        <w:rPr>
          <w:rFonts w:cs="Arial"/>
          <w:rtl/>
        </w:rPr>
        <w:t>הה</w:t>
      </w:r>
      <w:r>
        <w:rPr>
          <w:rFonts w:cs="Arial" w:hint="cs"/>
          <w:rtl/>
        </w:rPr>
        <w:t>"</w:t>
      </w:r>
      <w:r w:rsidRPr="00CA5160">
        <w:rPr>
          <w:rFonts w:cs="Arial"/>
          <w:rtl/>
        </w:rPr>
        <w:t>מ</w:t>
      </w:r>
      <w:r w:rsidRPr="00244E86">
        <w:rPr>
          <w:rFonts w:cs="Arial"/>
          <w:sz w:val="16"/>
          <w:szCs w:val="16"/>
          <w:rtl/>
        </w:rPr>
        <w:t xml:space="preserve"> </w:t>
      </w:r>
      <w:r w:rsidRPr="00244E86">
        <w:rPr>
          <w:rFonts w:cs="Arial" w:hint="cs"/>
          <w:sz w:val="16"/>
          <w:szCs w:val="16"/>
          <w:rtl/>
        </w:rPr>
        <w:t xml:space="preserve">(דפוס קושטא </w:t>
      </w:r>
      <w:r w:rsidRPr="00244E86">
        <w:rPr>
          <w:rFonts w:cs="Arial"/>
          <w:sz w:val="16"/>
          <w:szCs w:val="16"/>
          <w:rtl/>
        </w:rPr>
        <w:t>פי"ג ה"ט</w:t>
      </w:r>
      <w:r w:rsidRPr="00244E86">
        <w:rPr>
          <w:rFonts w:cs="Arial" w:hint="cs"/>
          <w:sz w:val="16"/>
          <w:szCs w:val="16"/>
          <w:rtl/>
        </w:rPr>
        <w:t>, לא מצאתי</w:t>
      </w:r>
      <w:r w:rsidRPr="00244E86">
        <w:rPr>
          <w:rFonts w:cs="Arial"/>
          <w:sz w:val="16"/>
          <w:szCs w:val="16"/>
          <w:rtl/>
        </w:rPr>
        <w:t xml:space="preserve">) </w:t>
      </w:r>
      <w:r w:rsidRPr="00CA5160">
        <w:rPr>
          <w:rFonts w:cs="Arial"/>
          <w:rtl/>
        </w:rPr>
        <w:t>בשם הרמב"ן דהוא הדין לכיסו</w:t>
      </w:r>
      <w:r>
        <w:rPr>
          <w:rFonts w:cs="Arial" w:hint="cs"/>
          <w:rtl/>
        </w:rPr>
        <w:t>...</w:t>
      </w:r>
      <w:r w:rsidRPr="00CA5160">
        <w:rPr>
          <w:rFonts w:cs="Arial"/>
          <w:rtl/>
        </w:rPr>
        <w:t xml:space="preserve"> ור</w:t>
      </w:r>
      <w:r>
        <w:rPr>
          <w:rFonts w:cs="Arial" w:hint="cs"/>
          <w:rtl/>
        </w:rPr>
        <w:t>י"ו</w:t>
      </w:r>
      <w:r w:rsidRPr="00CA5160">
        <w:rPr>
          <w:rFonts w:cs="Arial"/>
          <w:rtl/>
        </w:rPr>
        <w:t xml:space="preserve"> בח"א </w:t>
      </w:r>
      <w:r w:rsidRPr="00244E86">
        <w:rPr>
          <w:rFonts w:cs="Arial"/>
          <w:sz w:val="16"/>
          <w:szCs w:val="16"/>
          <w:rtl/>
        </w:rPr>
        <w:t xml:space="preserve">(סו סוף ע"ג) </w:t>
      </w:r>
      <w:r w:rsidRPr="00CA5160">
        <w:rPr>
          <w:rFonts w:cs="Arial"/>
          <w:rtl/>
        </w:rPr>
        <w:t>כתב שתי הסברות ולא הכריע</w:t>
      </w:r>
      <w:r>
        <w:rPr>
          <w:rFonts w:cs="Arial" w:hint="cs"/>
          <w:rtl/>
        </w:rPr>
        <w:t>, ב"י.</w:t>
      </w:r>
    </w:p>
  </w:footnote>
  <w:footnote w:id="790">
    <w:p w14:paraId="5C2FB704" w14:textId="77777777" w:rsidR="004B2E7C" w:rsidRDefault="004B2E7C" w:rsidP="00285819">
      <w:pPr>
        <w:pStyle w:val="a7"/>
        <w:rPr>
          <w:rtl/>
        </w:rPr>
      </w:pPr>
      <w:r>
        <w:rPr>
          <w:rStyle w:val="a9"/>
        </w:rPr>
        <w:footnoteRef/>
      </w:r>
      <w:r>
        <w:rPr>
          <w:rtl/>
        </w:rPr>
        <w:t xml:space="preserve"> </w:t>
      </w:r>
      <w:r w:rsidRPr="00244E86">
        <w:rPr>
          <w:rFonts w:cs="Arial"/>
          <w:rtl/>
        </w:rPr>
        <w:t>וזהו כדעת רבינו ירוחם</w:t>
      </w:r>
      <w:r>
        <w:rPr>
          <w:rFonts w:cs="Arial" w:hint="cs"/>
          <w:rtl/>
        </w:rPr>
        <w:t xml:space="preserve"> </w:t>
      </w:r>
      <w:r w:rsidRPr="00471F2F">
        <w:rPr>
          <w:rFonts w:cs="Arial" w:hint="cs"/>
          <w:sz w:val="16"/>
          <w:szCs w:val="16"/>
          <w:rtl/>
        </w:rPr>
        <w:t>(</w:t>
      </w:r>
      <w:r w:rsidRPr="00471F2F">
        <w:rPr>
          <w:rFonts w:cs="Arial"/>
          <w:sz w:val="16"/>
          <w:szCs w:val="16"/>
          <w:rtl/>
        </w:rPr>
        <w:t xml:space="preserve">ח"א </w:t>
      </w:r>
      <w:r w:rsidRPr="006B3F63">
        <w:rPr>
          <w:rFonts w:cs="Arial"/>
          <w:sz w:val="16"/>
          <w:szCs w:val="16"/>
          <w:rtl/>
        </w:rPr>
        <w:t>סו סוף ע"ג</w:t>
      </w:r>
      <w:r>
        <w:rPr>
          <w:rFonts w:cs="Arial" w:hint="cs"/>
          <w:sz w:val="16"/>
          <w:szCs w:val="16"/>
          <w:rtl/>
        </w:rPr>
        <w:t>, שאמר שמי שיצא סמוך לחשכה ושכח, לא התירו לו</w:t>
      </w:r>
      <w:r w:rsidRPr="00471F2F">
        <w:rPr>
          <w:rFonts w:cs="Arial"/>
          <w:sz w:val="16"/>
          <w:szCs w:val="16"/>
          <w:rtl/>
        </w:rPr>
        <w:t>)</w:t>
      </w:r>
      <w:r>
        <w:rPr>
          <w:rFonts w:hint="cs"/>
          <w:rtl/>
        </w:rPr>
        <w:t>, דרכ"מ (אות ב).</w:t>
      </w:r>
    </w:p>
  </w:footnote>
  <w:footnote w:id="791">
    <w:p w14:paraId="2D8CEFA4" w14:textId="77777777" w:rsidR="004B2E7C" w:rsidRDefault="004B2E7C" w:rsidP="00285819">
      <w:pPr>
        <w:pStyle w:val="a7"/>
        <w:rPr>
          <w:rtl/>
        </w:rPr>
      </w:pPr>
      <w:r>
        <w:rPr>
          <w:rStyle w:val="a9"/>
        </w:rPr>
        <w:footnoteRef/>
      </w:r>
      <w:r>
        <w:rPr>
          <w:rtl/>
        </w:rPr>
        <w:t xml:space="preserve"> </w:t>
      </w:r>
      <w:r w:rsidRPr="00244E86">
        <w:rPr>
          <w:rFonts w:cs="Arial"/>
          <w:rtl/>
        </w:rPr>
        <w:t>ועיין לקמן סוף סימן ש"ט אם שכח מעות בבגדו מה דינו</w:t>
      </w:r>
      <w:r>
        <w:rPr>
          <w:rFonts w:hint="cs"/>
          <w:rtl/>
        </w:rPr>
        <w:t>, דרכ"מ (אות ב).</w:t>
      </w:r>
    </w:p>
  </w:footnote>
  <w:footnote w:id="792">
    <w:p w14:paraId="12D24298" w14:textId="77777777" w:rsidR="004B2E7C" w:rsidRDefault="004B2E7C" w:rsidP="00285819">
      <w:pPr>
        <w:pStyle w:val="a7"/>
        <w:rPr>
          <w:rtl/>
        </w:rPr>
      </w:pPr>
      <w:r>
        <w:rPr>
          <w:rStyle w:val="a9"/>
        </w:rPr>
        <w:footnoteRef/>
      </w:r>
      <w:r>
        <w:rPr>
          <w:rtl/>
        </w:rPr>
        <w:t xml:space="preserve"> </w:t>
      </w:r>
      <w:r w:rsidRPr="00990CAF">
        <w:rPr>
          <w:rFonts w:cs="Arial"/>
          <w:rtl/>
        </w:rPr>
        <w:t>והיינו במקום שא"א בהנך דרכים הנזכרים לעיל. והמיקל כהי"א לא הפסיד [ט"ז] וכתב המ"א בשם הש"ג דלדידן דלית לן ר"ה אפשר דלכו"ע שרי בכל ענין</w:t>
      </w:r>
      <w:r>
        <w:rPr>
          <w:rFonts w:hint="cs"/>
          <w:rtl/>
        </w:rPr>
        <w:t>, משנ"ב (סקל"ד).</w:t>
      </w:r>
    </w:p>
  </w:footnote>
  <w:footnote w:id="793">
    <w:p w14:paraId="275176CB" w14:textId="77777777" w:rsidR="004B2E7C" w:rsidRDefault="004B2E7C" w:rsidP="00285819">
      <w:pPr>
        <w:pStyle w:val="a7"/>
      </w:pPr>
      <w:r>
        <w:rPr>
          <w:rStyle w:val="a9"/>
        </w:rPr>
        <w:footnoteRef/>
      </w:r>
      <w:r>
        <w:rPr>
          <w:rtl/>
        </w:rPr>
        <w:t xml:space="preserve"> </w:t>
      </w:r>
      <w:r w:rsidRPr="00990CAF">
        <w:rPr>
          <w:rFonts w:cs="Arial"/>
          <w:rtl/>
        </w:rPr>
        <w:t>או במקום שלא עשו ברחוב ההוא שיתופי מבואות. ודוקא כשאין מתיירא מן ה</w:t>
      </w:r>
      <w:r>
        <w:rPr>
          <w:rFonts w:cs="Arial" w:hint="cs"/>
          <w:rtl/>
        </w:rPr>
        <w:t>גו</w:t>
      </w:r>
      <w:r w:rsidRPr="00990CAF">
        <w:rPr>
          <w:rFonts w:cs="Arial"/>
          <w:rtl/>
        </w:rPr>
        <w:t>י שמא יקחוהו</w:t>
      </w:r>
      <w:r>
        <w:rPr>
          <w:rFonts w:cs="Arial" w:hint="cs"/>
          <w:rtl/>
        </w:rPr>
        <w:t>,</w:t>
      </w:r>
      <w:r w:rsidRPr="00990CAF">
        <w:rPr>
          <w:rFonts w:cs="Arial"/>
          <w:rtl/>
        </w:rPr>
        <w:t xml:space="preserve"> אבל אם ירא שמא יקחו אותו ה</w:t>
      </w:r>
      <w:r>
        <w:rPr>
          <w:rFonts w:cs="Arial" w:hint="cs"/>
          <w:rtl/>
        </w:rPr>
        <w:t>גו</w:t>
      </w:r>
      <w:r w:rsidRPr="00990CAF">
        <w:rPr>
          <w:rFonts w:cs="Arial"/>
          <w:rtl/>
        </w:rPr>
        <w:t>י רשאי לרוץ עמו לביתו שלא לעמוד כלל כדי שלא יעשה עקירה באמצע הדרך ובתנאי כשנזכר כשהוא מהלך ולא עמד לפוש שלא עשה עקירה כלל בתחלת ריצתו וגם כשבא סמוך לביתו יזרקנה תיכף כלאחר יד לביתו וכנ"ל</w:t>
      </w:r>
      <w:r>
        <w:rPr>
          <w:rFonts w:cs="Arial" w:hint="cs"/>
          <w:rtl/>
        </w:rPr>
        <w:t>, משנ"ב (סקל"ו).</w:t>
      </w:r>
    </w:p>
  </w:footnote>
  <w:footnote w:id="794">
    <w:p w14:paraId="7B471EB6" w14:textId="77777777" w:rsidR="004B2E7C" w:rsidRDefault="004B2E7C" w:rsidP="00285819">
      <w:pPr>
        <w:pStyle w:val="a7"/>
        <w:rPr>
          <w:rtl/>
        </w:rPr>
      </w:pPr>
      <w:r>
        <w:rPr>
          <w:rStyle w:val="a9"/>
        </w:rPr>
        <w:footnoteRef/>
      </w:r>
      <w:r>
        <w:rPr>
          <w:rtl/>
        </w:rPr>
        <w:t xml:space="preserve"> </w:t>
      </w:r>
      <w:r w:rsidRPr="00937E79">
        <w:rPr>
          <w:rFonts w:cs="Arial"/>
          <w:rtl/>
        </w:rPr>
        <w:t>ואם מתירא לסמוך עליהם רשאי לצוותם להוליך לביתו ועצה זו טוב יותר בשאפשר לו מכל האופנים הנ"ל ועיין בח"א כלל נ"ד ס"ד</w:t>
      </w:r>
      <w:r>
        <w:rPr>
          <w:rFonts w:hint="cs"/>
          <w:rtl/>
        </w:rPr>
        <w:t>, משנ"ב (סקל"ז).</w:t>
      </w:r>
    </w:p>
  </w:footnote>
  <w:footnote w:id="795">
    <w:p w14:paraId="72722B91" w14:textId="77777777" w:rsidR="004B2E7C" w:rsidRDefault="004B2E7C" w:rsidP="00285819">
      <w:pPr>
        <w:pStyle w:val="a7"/>
      </w:pPr>
      <w:r>
        <w:rPr>
          <w:rStyle w:val="a9"/>
        </w:rPr>
        <w:footnoteRef/>
      </w:r>
      <w:r>
        <w:rPr>
          <w:rtl/>
        </w:rPr>
        <w:t xml:space="preserve"> </w:t>
      </w:r>
      <w:r w:rsidRPr="009B440C">
        <w:rPr>
          <w:rFonts w:cs="Arial"/>
          <w:rtl/>
        </w:rPr>
        <w:t>אפילו אם יעמוד תחתיו ולא יעביר ד"א אפ"ה אסור משום מוקצה ולא שייך להתיר משום פסידא כיון שעדיין לא זכה בה</w:t>
      </w:r>
      <w:r>
        <w:rPr>
          <w:rFonts w:cs="Arial" w:hint="cs"/>
          <w:rtl/>
        </w:rPr>
        <w:t>.</w:t>
      </w:r>
      <w:r w:rsidRPr="009B440C">
        <w:rPr>
          <w:rFonts w:cs="Arial"/>
          <w:rtl/>
        </w:rPr>
        <w:t xml:space="preserve"> וכתב המ"א דאפילו ל</w:t>
      </w:r>
      <w:r>
        <w:rPr>
          <w:rFonts w:cs="Arial" w:hint="cs"/>
          <w:rtl/>
        </w:rPr>
        <w:t>גו</w:t>
      </w:r>
      <w:r w:rsidRPr="009B440C">
        <w:rPr>
          <w:rFonts w:cs="Arial"/>
          <w:rtl/>
        </w:rPr>
        <w:t>י אסור לומר ליטלו</w:t>
      </w:r>
      <w:r>
        <w:rPr>
          <w:rFonts w:cs="Arial" w:hint="cs"/>
          <w:rtl/>
        </w:rPr>
        <w:t>.</w:t>
      </w:r>
      <w:r w:rsidRPr="009B440C">
        <w:rPr>
          <w:rFonts w:cs="Arial"/>
          <w:rtl/>
        </w:rPr>
        <w:t xml:space="preserve"> ובספר א"ר מקיל ע"י </w:t>
      </w:r>
      <w:r>
        <w:rPr>
          <w:rFonts w:cs="Arial" w:hint="cs"/>
          <w:rtl/>
        </w:rPr>
        <w:t>גו</w:t>
      </w:r>
      <w:r w:rsidRPr="009B440C">
        <w:rPr>
          <w:rFonts w:cs="Arial"/>
          <w:rtl/>
        </w:rPr>
        <w:t>י</w:t>
      </w:r>
      <w:r>
        <w:rPr>
          <w:rFonts w:cs="Arial" w:hint="cs"/>
          <w:rtl/>
        </w:rPr>
        <w:t>,</w:t>
      </w:r>
      <w:r w:rsidRPr="009B440C">
        <w:rPr>
          <w:rFonts w:cs="Arial"/>
          <w:rtl/>
        </w:rPr>
        <w:t xml:space="preserve"> והביאו הפמ"ג</w:t>
      </w:r>
      <w:r>
        <w:rPr>
          <w:rFonts w:cs="Arial" w:hint="cs"/>
          <w:rtl/>
        </w:rPr>
        <w:t>.</w:t>
      </w:r>
      <w:r w:rsidRPr="009B440C">
        <w:rPr>
          <w:rFonts w:cs="Arial"/>
          <w:rtl/>
        </w:rPr>
        <w:t xml:space="preserve"> וכן בחידושי רע"א מיקל ג"כ ע"י </w:t>
      </w:r>
      <w:r>
        <w:rPr>
          <w:rFonts w:cs="Arial" w:hint="cs"/>
          <w:rtl/>
        </w:rPr>
        <w:t>גו</w:t>
      </w:r>
      <w:r w:rsidRPr="009B440C">
        <w:rPr>
          <w:rFonts w:cs="Arial"/>
          <w:rtl/>
        </w:rPr>
        <w:t>י</w:t>
      </w:r>
      <w:r>
        <w:rPr>
          <w:rFonts w:cs="Arial" w:hint="cs"/>
          <w:rtl/>
        </w:rPr>
        <w:t>,</w:t>
      </w:r>
      <w:r w:rsidRPr="009B440C">
        <w:rPr>
          <w:rFonts w:cs="Arial"/>
          <w:rtl/>
        </w:rPr>
        <w:t xml:space="preserve"> אך דהוא לא הקיל כ"א ההגבהה ע"י ה</w:t>
      </w:r>
      <w:r>
        <w:rPr>
          <w:rFonts w:cs="Arial" w:hint="cs"/>
          <w:rtl/>
        </w:rPr>
        <w:t>גו</w:t>
      </w:r>
      <w:r w:rsidRPr="009B440C">
        <w:rPr>
          <w:rFonts w:cs="Arial"/>
          <w:rtl/>
        </w:rPr>
        <w:t>י דהוא רק טלטול בעלמא אבל לא לצוותו להוליך לביתו אך אם ה</w:t>
      </w:r>
      <w:r>
        <w:rPr>
          <w:rFonts w:cs="Arial" w:hint="cs"/>
          <w:rtl/>
        </w:rPr>
        <w:t>גו</w:t>
      </w:r>
      <w:r w:rsidRPr="009B440C">
        <w:rPr>
          <w:rFonts w:cs="Arial"/>
          <w:rtl/>
        </w:rPr>
        <w:t>י בעצמו מביאו לבית ישראל נראה דאין למנעו לכו"ע וכנ"ל</w:t>
      </w:r>
      <w:r>
        <w:rPr>
          <w:rFonts w:cs="Arial" w:hint="cs"/>
          <w:rtl/>
        </w:rPr>
        <w:t>, משנ"ב (סקל"ח).</w:t>
      </w:r>
    </w:p>
  </w:footnote>
  <w:footnote w:id="796">
    <w:p w14:paraId="20FE58D5" w14:textId="77777777" w:rsidR="004B2E7C" w:rsidRDefault="004B2E7C" w:rsidP="00285819">
      <w:pPr>
        <w:pStyle w:val="a7"/>
      </w:pPr>
      <w:r>
        <w:rPr>
          <w:rStyle w:val="a9"/>
        </w:rPr>
        <w:footnoteRef/>
      </w:r>
      <w:r>
        <w:rPr>
          <w:rtl/>
        </w:rPr>
        <w:t xml:space="preserve"> </w:t>
      </w:r>
      <w:r>
        <w:rPr>
          <w:rFonts w:cs="Arial"/>
          <w:rtl/>
        </w:rPr>
        <w:t>וז"ל</w:t>
      </w:r>
      <w:r>
        <w:rPr>
          <w:rFonts w:cs="Arial" w:hint="cs"/>
          <w:rtl/>
        </w:rPr>
        <w:t>-</w:t>
      </w:r>
      <w:r>
        <w:rPr>
          <w:rFonts w:cs="Arial"/>
          <w:rtl/>
        </w:rPr>
        <w:t xml:space="preserve"> ויש לו להתפלל תפלת ערבית של לילי שבת בערב שבת קודם שתשקע החמה וכן יתפלל ערבית של מוצאי שבת בשבת לפי שתפלת ערבית רשות אין מדקדקין בזמנה ובלבד שיקרא קריאת שמע בזמנה</w:t>
      </w:r>
      <w:r>
        <w:rPr>
          <w:rFonts w:cs="Arial" w:hint="cs"/>
          <w:rtl/>
        </w:rPr>
        <w:t>.</w:t>
      </w:r>
    </w:p>
  </w:footnote>
  <w:footnote w:id="797">
    <w:p w14:paraId="58A2A04B" w14:textId="77777777" w:rsidR="004B2E7C" w:rsidRDefault="004B2E7C" w:rsidP="00285819">
      <w:pPr>
        <w:pStyle w:val="a7"/>
        <w:rPr>
          <w:rtl/>
        </w:rPr>
      </w:pPr>
      <w:r>
        <w:rPr>
          <w:rStyle w:val="a9"/>
        </w:rPr>
        <w:footnoteRef/>
      </w:r>
      <w:r>
        <w:rPr>
          <w:rtl/>
        </w:rPr>
        <w:t xml:space="preserve"> </w:t>
      </w:r>
      <w:r w:rsidRPr="00B87076">
        <w:rPr>
          <w:rFonts w:cs="Arial"/>
          <w:rtl/>
        </w:rPr>
        <w:t>ו</w:t>
      </w:r>
      <w:r>
        <w:rPr>
          <w:rFonts w:cs="Arial" w:hint="cs"/>
          <w:rtl/>
        </w:rPr>
        <w:t xml:space="preserve">ז"ל- </w:t>
      </w:r>
      <w:r w:rsidRPr="00B8142A">
        <w:rPr>
          <w:rFonts w:cs="Arial"/>
          <w:rtl/>
        </w:rPr>
        <w:t>הא דאמר שמואל מתפלל אדם של שבת בערב שבת ואומר קדושה על הכוס. מיד קאמר ואפילו קודם שתחשך וכן הא דאמר רב תחליפא אמר רב מתפלל אדם של מוצאי שבת בשבת ואומר הבדלה על הכוס מיד קאמר ולומר שבהבדלה זו מותר לו לעשות מלאכה בערב ומותר לו לאכול וכן בקדוש של כוס זה מותר לו לאכול בשבת וכן הסכים רב האי גאון ז"ל וכן הראב"ד ז"ל ואף על פי שיש מקצת מן הגאונים ז"ל שאומרים שאינו אומר קדוש ולא הבדלה עד הערב ואין לו טעם והראשון עיקר</w:t>
      </w:r>
      <w:r>
        <w:rPr>
          <w:rFonts w:hint="cs"/>
          <w:rtl/>
        </w:rPr>
        <w:t>.</w:t>
      </w:r>
    </w:p>
  </w:footnote>
  <w:footnote w:id="798">
    <w:p w14:paraId="71EC50EF" w14:textId="77777777" w:rsidR="004B2E7C" w:rsidRDefault="004B2E7C" w:rsidP="00285819">
      <w:pPr>
        <w:pStyle w:val="a7"/>
        <w:rPr>
          <w:rtl/>
        </w:rPr>
      </w:pPr>
      <w:r>
        <w:rPr>
          <w:rStyle w:val="a9"/>
        </w:rPr>
        <w:footnoteRef/>
      </w:r>
      <w:r>
        <w:rPr>
          <w:rtl/>
        </w:rPr>
        <w:t xml:space="preserve"> </w:t>
      </w:r>
      <w:r>
        <w:rPr>
          <w:rFonts w:cs="Arial"/>
          <w:rtl/>
        </w:rPr>
        <w:t>כבר כתבתי בסימן רס"ג (כב. ד"ה כתבו התוס') שכן כתבו התוספות (ברכות כז. ד"ה דרב) והרא"ש (שם פ"ד ס"ו) וה"ר יונה (יח: ד"ה רב צלי) בפרק תפילת השחר ותמיהני על רבינו שלא כתב שזה דעת הרא"ש ג"כ</w:t>
      </w:r>
      <w:r>
        <w:rPr>
          <w:rFonts w:hint="cs"/>
          <w:rtl/>
        </w:rPr>
        <w:t>, ב"י.</w:t>
      </w:r>
    </w:p>
  </w:footnote>
  <w:footnote w:id="799">
    <w:p w14:paraId="11E9CC0D" w14:textId="77777777" w:rsidR="004B2E7C" w:rsidRDefault="004B2E7C" w:rsidP="00285819">
      <w:pPr>
        <w:pStyle w:val="a7"/>
      </w:pPr>
      <w:r>
        <w:rPr>
          <w:rStyle w:val="a9"/>
        </w:rPr>
        <w:footnoteRef/>
      </w:r>
      <w:r>
        <w:rPr>
          <w:rtl/>
        </w:rPr>
        <w:t xml:space="preserve"> </w:t>
      </w:r>
      <w:r>
        <w:rPr>
          <w:rFonts w:cs="Arial"/>
          <w:rtl/>
        </w:rPr>
        <w:t>כבר כתבתי בסימן רס"ג (כב. ד"ה ומ"ש רבינו עוד) דאפילו לא התפללו הציבור עדיין כיון שהוא התפלל אסור במלאכה. ואם כסבור שקדש היום והתפלל ערבית יחיד או ציבור ואח"כ זרחה חמה אם צריכין לחזור ולהתפלל ואם מותרין בעשיית מלאכה הכל נתבאר בסימן רס"ג (כב: ד"ה גרסינן)</w:t>
      </w:r>
      <w:r>
        <w:rPr>
          <w:rFonts w:cs="Arial" w:hint="cs"/>
          <w:rtl/>
        </w:rPr>
        <w:t>, ב"י.</w:t>
      </w:r>
    </w:p>
  </w:footnote>
  <w:footnote w:id="800">
    <w:p w14:paraId="5145BF80" w14:textId="77777777" w:rsidR="004B2E7C" w:rsidRDefault="004B2E7C" w:rsidP="00285819">
      <w:pPr>
        <w:pStyle w:val="a7"/>
      </w:pPr>
      <w:r>
        <w:rPr>
          <w:rStyle w:val="a9"/>
        </w:rPr>
        <w:footnoteRef/>
      </w:r>
      <w:r>
        <w:rPr>
          <w:rtl/>
        </w:rPr>
        <w:t xml:space="preserve"> </w:t>
      </w:r>
      <w:r>
        <w:rPr>
          <w:rFonts w:hint="cs"/>
          <w:rtl/>
        </w:rPr>
        <w:t xml:space="preserve">וז"ל- </w:t>
      </w:r>
      <w:r w:rsidRPr="00A74B15">
        <w:rPr>
          <w:rFonts w:cs="Arial"/>
          <w:rtl/>
        </w:rPr>
        <w:t>יש לו לאדם לקדש על הכוס ערב שבת מבעוד יום אף על פי שלא נכנסה השבת, וכן מבדיל על הכוס מבעוד יום אף על פי שעדין היא שבת, שמצות זכירה לאמרה בין בשעת כניסתו ויציאתו בין קודם לשעה זו במעט.</w:t>
      </w:r>
    </w:p>
  </w:footnote>
  <w:footnote w:id="801">
    <w:p w14:paraId="7BD074DA" w14:textId="77777777" w:rsidR="004B2E7C" w:rsidRDefault="004B2E7C" w:rsidP="00285819">
      <w:pPr>
        <w:pStyle w:val="a7"/>
      </w:pPr>
      <w:r>
        <w:rPr>
          <w:rStyle w:val="a9"/>
        </w:rPr>
        <w:footnoteRef/>
      </w:r>
      <w:r>
        <w:rPr>
          <w:rtl/>
        </w:rPr>
        <w:t xml:space="preserve"> </w:t>
      </w:r>
      <w:r>
        <w:rPr>
          <w:rFonts w:cs="Arial" w:hint="cs"/>
          <w:rtl/>
        </w:rPr>
        <w:t xml:space="preserve">וז"ל (בפסחים שם)- </w:t>
      </w:r>
      <w:r w:rsidRPr="00CB7D1C">
        <w:rPr>
          <w:rFonts w:cs="Arial"/>
          <w:rtl/>
        </w:rPr>
        <w:t>עד שתחשך תימה אמאי תנא עד שתחשך טפי מבערבי שבתות ובערבי ימים טובים דלא קתני אלא לא יאכל מן המנחה ולמעלה ותו לא וי"ל דאתא לאשמעינן אף על גב דבשבתות ובשאר ימים טובים יכול להוסיף מן החול על הקדש ולאכול קודם שתחשך כדאמרינן פרק תפלת השחר (דף כז ב) מתפלל אדם של שבת בערב שבת ואומר קידוש על הכוס בערב הפסח לא מצי אכיל עד שתחשך.</w:t>
      </w:r>
    </w:p>
  </w:footnote>
  <w:footnote w:id="802">
    <w:p w14:paraId="071FC9DB" w14:textId="77777777" w:rsidR="004B2E7C" w:rsidRDefault="004B2E7C" w:rsidP="00285819">
      <w:pPr>
        <w:pStyle w:val="a7"/>
      </w:pPr>
      <w:r>
        <w:rPr>
          <w:rStyle w:val="a9"/>
        </w:rPr>
        <w:footnoteRef/>
      </w:r>
      <w:r>
        <w:rPr>
          <w:rtl/>
        </w:rPr>
        <w:t xml:space="preserve"> </w:t>
      </w:r>
      <w:r>
        <w:rPr>
          <w:rFonts w:hint="cs"/>
          <w:rtl/>
        </w:rPr>
        <w:t xml:space="preserve">וז"ל- </w:t>
      </w:r>
      <w:r w:rsidRPr="00FA5D8E">
        <w:rPr>
          <w:rFonts w:cs="Arial"/>
          <w:rtl/>
        </w:rPr>
        <w:t>מתפלל אדם של שבת בערב שבת</w:t>
      </w:r>
      <w:r>
        <w:rPr>
          <w:rFonts w:cs="Arial" w:hint="cs"/>
          <w:rtl/>
        </w:rPr>
        <w:t>,</w:t>
      </w:r>
      <w:r w:rsidRPr="00FA5D8E">
        <w:rPr>
          <w:rFonts w:cs="Arial"/>
          <w:rtl/>
        </w:rPr>
        <w:t xml:space="preserve"> ואם ירצה מקדש על הכוס, ומתפלל של מוצאי שבת בשבת</w:t>
      </w:r>
      <w:r>
        <w:rPr>
          <w:rFonts w:cs="Arial" w:hint="cs"/>
          <w:rtl/>
        </w:rPr>
        <w:t>.</w:t>
      </w:r>
      <w:r w:rsidRPr="00FA5D8E">
        <w:rPr>
          <w:rFonts w:cs="Arial"/>
          <w:rtl/>
        </w:rPr>
        <w:t xml:space="preserve"> במה דברים אמורים לאחר י"א שעה פחות רביע</w:t>
      </w:r>
      <w:r>
        <w:rPr>
          <w:rFonts w:cs="Arial" w:hint="cs"/>
          <w:rtl/>
        </w:rPr>
        <w:t>,</w:t>
      </w:r>
      <w:r w:rsidRPr="00FA5D8E">
        <w:rPr>
          <w:rFonts w:cs="Arial"/>
          <w:rtl/>
        </w:rPr>
        <w:t xml:space="preserve"> ואם ירצה אומר הבדלה על הכוס</w:t>
      </w:r>
      <w:r>
        <w:rPr>
          <w:rFonts w:cs="Arial" w:hint="cs"/>
          <w:rtl/>
        </w:rPr>
        <w:t>,</w:t>
      </w:r>
      <w:r w:rsidRPr="00FA5D8E">
        <w:rPr>
          <w:rFonts w:cs="Arial"/>
          <w:rtl/>
        </w:rPr>
        <w:t xml:space="preserve"> וכן דעת הגאון רבינו והר"ם תלמידו וכן עיקר אף על פי שיש מהגאונים שאמרו שאינו מקדש ולא מבדיל עד הערב</w:t>
      </w:r>
      <w:r w:rsidRPr="00FA5D8E">
        <w:rPr>
          <w:rFonts w:cs="Arial" w:hint="cs"/>
          <w:rtl/>
        </w:rPr>
        <w:t>.</w:t>
      </w:r>
    </w:p>
  </w:footnote>
  <w:footnote w:id="803">
    <w:p w14:paraId="698F975F" w14:textId="77777777" w:rsidR="004B2E7C" w:rsidRDefault="004B2E7C" w:rsidP="00285819">
      <w:pPr>
        <w:pStyle w:val="a7"/>
      </w:pPr>
      <w:r>
        <w:rPr>
          <w:rStyle w:val="a9"/>
        </w:rPr>
        <w:footnoteRef/>
      </w:r>
      <w:r>
        <w:rPr>
          <w:rtl/>
        </w:rPr>
        <w:t xml:space="preserve"> </w:t>
      </w:r>
      <w:r>
        <w:rPr>
          <w:rFonts w:cs="Arial" w:hint="cs"/>
          <w:rtl/>
        </w:rPr>
        <w:t xml:space="preserve">רמב"ם </w:t>
      </w:r>
      <w:r>
        <w:rPr>
          <w:rFonts w:cs="Arial" w:hint="cs"/>
          <w:sz w:val="16"/>
          <w:szCs w:val="16"/>
          <w:rtl/>
        </w:rPr>
        <w:t xml:space="preserve">(שבת פכ"ט הי"א) </w:t>
      </w:r>
      <w:r>
        <w:rPr>
          <w:rFonts w:cs="Arial" w:hint="cs"/>
          <w:rtl/>
        </w:rPr>
        <w:t xml:space="preserve">רשב"א </w:t>
      </w:r>
      <w:r w:rsidRPr="00B8142A">
        <w:rPr>
          <w:rFonts w:cs="Arial"/>
          <w:sz w:val="16"/>
          <w:szCs w:val="16"/>
          <w:rtl/>
        </w:rPr>
        <w:t>(</w:t>
      </w:r>
      <w:r>
        <w:rPr>
          <w:rFonts w:cs="Arial" w:hint="cs"/>
          <w:sz w:val="16"/>
          <w:szCs w:val="16"/>
          <w:rtl/>
        </w:rPr>
        <w:t xml:space="preserve">ברכות </w:t>
      </w:r>
      <w:r w:rsidRPr="00B8142A">
        <w:rPr>
          <w:rFonts w:cs="Arial"/>
          <w:sz w:val="16"/>
          <w:szCs w:val="16"/>
          <w:rtl/>
        </w:rPr>
        <w:t>כז: ד"ה הא דאמר שמואל)</w:t>
      </w:r>
      <w:r w:rsidRPr="00B87076">
        <w:rPr>
          <w:rFonts w:cs="Arial"/>
          <w:rtl/>
        </w:rPr>
        <w:t xml:space="preserve"> </w:t>
      </w:r>
      <w:r>
        <w:rPr>
          <w:rFonts w:cs="Arial" w:hint="cs"/>
          <w:rtl/>
        </w:rPr>
        <w:t xml:space="preserve">רא"ש </w:t>
      </w:r>
      <w:r>
        <w:rPr>
          <w:rFonts w:cs="Arial" w:hint="cs"/>
          <w:sz w:val="16"/>
          <w:szCs w:val="16"/>
          <w:rtl/>
        </w:rPr>
        <w:t>(פסחים פ"י ס"ב,</w:t>
      </w:r>
      <w:r w:rsidRPr="00CB7D1C">
        <w:rPr>
          <w:rtl/>
        </w:rPr>
        <w:t xml:space="preserve"> </w:t>
      </w:r>
      <w:r w:rsidRPr="00CB7D1C">
        <w:rPr>
          <w:rFonts w:cs="Arial"/>
          <w:sz w:val="16"/>
          <w:szCs w:val="16"/>
          <w:rtl/>
        </w:rPr>
        <w:t>ברכות פ"ד סי' ו)</w:t>
      </w:r>
      <w:r>
        <w:rPr>
          <w:rFonts w:cs="Arial" w:hint="cs"/>
          <w:sz w:val="16"/>
          <w:szCs w:val="16"/>
          <w:rtl/>
        </w:rPr>
        <w:t xml:space="preserve">) </w:t>
      </w:r>
      <w:r w:rsidRPr="00FA5D8E">
        <w:rPr>
          <w:rFonts w:cs="Arial"/>
          <w:rtl/>
        </w:rPr>
        <w:t xml:space="preserve">אהל מועד </w:t>
      </w:r>
      <w:r w:rsidRPr="00FA5D8E">
        <w:rPr>
          <w:rFonts w:cs="Arial"/>
          <w:sz w:val="16"/>
          <w:szCs w:val="16"/>
          <w:rtl/>
        </w:rPr>
        <w:t>(</w:t>
      </w:r>
      <w:r>
        <w:rPr>
          <w:rFonts w:cs="Arial" w:hint="cs"/>
          <w:sz w:val="16"/>
          <w:szCs w:val="16"/>
          <w:rtl/>
        </w:rPr>
        <w:t>שער ה</w:t>
      </w:r>
      <w:r w:rsidRPr="00FA5D8E">
        <w:rPr>
          <w:rFonts w:cs="Arial"/>
          <w:sz w:val="16"/>
          <w:szCs w:val="16"/>
          <w:rtl/>
        </w:rPr>
        <w:t>תפילה ד</w:t>
      </w:r>
      <w:r>
        <w:rPr>
          <w:rFonts w:cs="Arial" w:hint="cs"/>
          <w:sz w:val="16"/>
          <w:szCs w:val="16"/>
          <w:rtl/>
        </w:rPr>
        <w:t>"</w:t>
      </w:r>
      <w:r w:rsidRPr="00FA5D8E">
        <w:rPr>
          <w:rFonts w:cs="Arial"/>
          <w:sz w:val="16"/>
          <w:szCs w:val="16"/>
          <w:rtl/>
        </w:rPr>
        <w:t>ב נ</w:t>
      </w:r>
      <w:r>
        <w:rPr>
          <w:rFonts w:cs="Arial" w:hint="cs"/>
          <w:sz w:val="16"/>
          <w:szCs w:val="16"/>
          <w:rtl/>
        </w:rPr>
        <w:t>"</w:t>
      </w:r>
      <w:r w:rsidRPr="00FA5D8E">
        <w:rPr>
          <w:rFonts w:cs="Arial"/>
          <w:sz w:val="16"/>
          <w:szCs w:val="16"/>
          <w:rtl/>
        </w:rPr>
        <w:t>ה)</w:t>
      </w:r>
      <w:r>
        <w:rPr>
          <w:rFonts w:cs="Arial" w:hint="cs"/>
          <w:sz w:val="16"/>
          <w:szCs w:val="16"/>
          <w:rtl/>
        </w:rPr>
        <w:t xml:space="preserve"> </w:t>
      </w:r>
      <w:r>
        <w:rPr>
          <w:rFonts w:cs="Arial"/>
          <w:rtl/>
        </w:rPr>
        <w:t>מהר"י אבוהב</w:t>
      </w:r>
      <w:r>
        <w:rPr>
          <w:rFonts w:cs="Arial" w:hint="cs"/>
          <w:sz w:val="16"/>
          <w:szCs w:val="16"/>
          <w:rtl/>
        </w:rPr>
        <w:t xml:space="preserve"> (כ"כ הב"י בשמו)</w:t>
      </w:r>
      <w:r w:rsidRPr="007B0C0E">
        <w:rPr>
          <w:rFonts w:cs="Arial" w:hint="cs"/>
          <w:rtl/>
        </w:rPr>
        <w:t xml:space="preserve"> </w:t>
      </w:r>
      <w:r>
        <w:rPr>
          <w:rFonts w:cs="Arial" w:hint="cs"/>
          <w:rtl/>
        </w:rPr>
        <w:t>ורי"ו</w:t>
      </w:r>
      <w:r w:rsidRPr="007B0C0E">
        <w:rPr>
          <w:rFonts w:cs="Arial" w:hint="cs"/>
          <w:sz w:val="16"/>
          <w:szCs w:val="16"/>
          <w:rtl/>
        </w:rPr>
        <w:t xml:space="preserve"> (</w:t>
      </w:r>
      <w:r w:rsidRPr="007B0C0E">
        <w:rPr>
          <w:rFonts w:cs="Arial"/>
          <w:sz w:val="16"/>
          <w:szCs w:val="16"/>
          <w:rtl/>
        </w:rPr>
        <w:t>ח"א סו ע"ג)</w:t>
      </w:r>
      <w:r>
        <w:rPr>
          <w:rFonts w:cs="Arial" w:hint="cs"/>
          <w:sz w:val="16"/>
          <w:szCs w:val="16"/>
          <w:rtl/>
        </w:rPr>
        <w:t>.</w:t>
      </w:r>
    </w:p>
  </w:footnote>
  <w:footnote w:id="804">
    <w:p w14:paraId="44AEF5EC" w14:textId="77777777" w:rsidR="004B2E7C" w:rsidRDefault="004B2E7C" w:rsidP="00285819">
      <w:pPr>
        <w:pStyle w:val="a7"/>
        <w:rPr>
          <w:rtl/>
        </w:rPr>
      </w:pPr>
      <w:r>
        <w:rPr>
          <w:rStyle w:val="a9"/>
        </w:rPr>
        <w:footnoteRef/>
      </w:r>
      <w:r>
        <w:rPr>
          <w:rtl/>
        </w:rPr>
        <w:t xml:space="preserve"> </w:t>
      </w:r>
      <w:r>
        <w:rPr>
          <w:rFonts w:cs="Arial"/>
          <w:rtl/>
        </w:rPr>
        <w:t>ואם תאמר אע</w:t>
      </w:r>
      <w:r>
        <w:rPr>
          <w:rFonts w:cs="Arial" w:hint="cs"/>
          <w:rtl/>
        </w:rPr>
        <w:t>"</w:t>
      </w:r>
      <w:r>
        <w:rPr>
          <w:rFonts w:cs="Arial"/>
          <w:rtl/>
        </w:rPr>
        <w:t>ג שיכול לאכול מיד ונפיק ידי סעודת שבת מכל מקום איכא למיסר לאכול קודם שיקרא קריאת שמע</w:t>
      </w:r>
      <w:r>
        <w:rPr>
          <w:rFonts w:cs="Arial" w:hint="cs"/>
          <w:rtl/>
        </w:rPr>
        <w:t>,</w:t>
      </w:r>
      <w:r>
        <w:rPr>
          <w:rFonts w:cs="Arial"/>
          <w:rtl/>
        </w:rPr>
        <w:t xml:space="preserve"> כדאמרינן בריש ברכות (ד:) לא יאמר אלך לביתי ואוכל קימעא ואשתה קימעא ואח"כ אקרא קריאת שמע</w:t>
      </w:r>
      <w:r>
        <w:rPr>
          <w:rFonts w:cs="Arial" w:hint="cs"/>
          <w:rtl/>
        </w:rPr>
        <w:t>.</w:t>
      </w:r>
      <w:r>
        <w:rPr>
          <w:rFonts w:cs="Arial"/>
          <w:rtl/>
        </w:rPr>
        <w:t xml:space="preserve"> ויש לומר דכיון דאיכא רבוותא דפסקי דמפלג המנחה ואילך הוי זמן קריאת שמע</w:t>
      </w:r>
      <w:r>
        <w:rPr>
          <w:rFonts w:cs="Arial" w:hint="cs"/>
          <w:rtl/>
        </w:rPr>
        <w:t>,</w:t>
      </w:r>
      <w:r>
        <w:rPr>
          <w:rFonts w:cs="Arial"/>
          <w:rtl/>
        </w:rPr>
        <w:t xml:space="preserve"> וכדכתב הרא"ש בריש ברכות (סי' א)</w:t>
      </w:r>
      <w:r>
        <w:rPr>
          <w:rFonts w:cs="Arial" w:hint="cs"/>
          <w:rtl/>
        </w:rPr>
        <w:t>,</w:t>
      </w:r>
      <w:r>
        <w:rPr>
          <w:rFonts w:cs="Arial"/>
          <w:rtl/>
        </w:rPr>
        <w:t xml:space="preserve"> אע</w:t>
      </w:r>
      <w:r>
        <w:rPr>
          <w:rFonts w:cs="Arial" w:hint="cs"/>
          <w:rtl/>
        </w:rPr>
        <w:t>"</w:t>
      </w:r>
      <w:r>
        <w:rPr>
          <w:rFonts w:cs="Arial"/>
          <w:rtl/>
        </w:rPr>
        <w:t>ג דמשום דאיכא מאן דסבירא ליה דלא הוי זמנה עד צאת הכוכבים חוזר לקרותה משתחשך מכל מקום לא מיקרי אוכל קודם קריאת שמע כנ"ל</w:t>
      </w:r>
      <w:r>
        <w:rPr>
          <w:rFonts w:cs="Arial" w:hint="cs"/>
          <w:rtl/>
        </w:rPr>
        <w:t>, ב"י.</w:t>
      </w:r>
    </w:p>
  </w:footnote>
  <w:footnote w:id="805">
    <w:p w14:paraId="071D337B" w14:textId="77777777" w:rsidR="004B2E7C" w:rsidRDefault="004B2E7C" w:rsidP="00285819">
      <w:pPr>
        <w:pStyle w:val="a7"/>
        <w:rPr>
          <w:rtl/>
        </w:rPr>
      </w:pPr>
      <w:r>
        <w:rPr>
          <w:rStyle w:val="a9"/>
        </w:rPr>
        <w:footnoteRef/>
      </w:r>
      <w:r>
        <w:rPr>
          <w:rtl/>
        </w:rPr>
        <w:t xml:space="preserve"> </w:t>
      </w:r>
      <w:r w:rsidRPr="00CC2350">
        <w:rPr>
          <w:rFonts w:asciiTheme="minorBidi" w:hAnsiTheme="minorBidi" w:cs="Arial"/>
          <w:rtl/>
        </w:rPr>
        <w:t>וע"ל סי' רל"ג כיצד משערין שיעור פלג המנחה</w:t>
      </w:r>
      <w:r>
        <w:rPr>
          <w:rFonts w:asciiTheme="minorBidi" w:hAnsiTheme="minorBidi" w:cs="Arial" w:hint="cs"/>
          <w:rtl/>
        </w:rPr>
        <w:t>.</w:t>
      </w:r>
    </w:p>
  </w:footnote>
  <w:footnote w:id="806">
    <w:p w14:paraId="064CB9DF" w14:textId="77777777" w:rsidR="004B2E7C" w:rsidRDefault="004B2E7C" w:rsidP="00285819">
      <w:pPr>
        <w:pStyle w:val="a7"/>
        <w:rPr>
          <w:rtl/>
        </w:rPr>
      </w:pPr>
      <w:r>
        <w:rPr>
          <w:rStyle w:val="a9"/>
        </w:rPr>
        <w:footnoteRef/>
      </w:r>
      <w:r>
        <w:rPr>
          <w:rtl/>
        </w:rPr>
        <w:t xml:space="preserve"> </w:t>
      </w:r>
      <w:r>
        <w:rPr>
          <w:rFonts w:hint="cs"/>
          <w:rtl/>
        </w:rPr>
        <w:t>וכתב המג"א (סק"א) דטוב להחמיר לאכול כזית פת בלילה, כדי לקיים ג' סעודות בשבת. וכ"כ המשנ"ב (סק"ה) דראוי לנהוג לכתחילה.</w:t>
      </w:r>
    </w:p>
  </w:footnote>
  <w:footnote w:id="807">
    <w:p w14:paraId="48835EBA" w14:textId="77777777" w:rsidR="004B2E7C" w:rsidRDefault="004B2E7C" w:rsidP="00285819">
      <w:pPr>
        <w:pStyle w:val="a7"/>
      </w:pPr>
      <w:r>
        <w:rPr>
          <w:rStyle w:val="a9"/>
        </w:rPr>
        <w:footnoteRef/>
      </w:r>
      <w:r>
        <w:rPr>
          <w:rtl/>
        </w:rPr>
        <w:t xml:space="preserve"> </w:t>
      </w:r>
      <w:r w:rsidRPr="00FA5D8E">
        <w:rPr>
          <w:rFonts w:cs="Arial"/>
          <w:rtl/>
        </w:rPr>
        <w:t>ואם לאחר שהתפלל מעריב אין עד הלילה חצי שעה יש ליזהר שלא להתחיל לאכול אלא ימתין עד הערב ויחזור ויקרא ק"ש בלא הברכות ואח"כ יאכל הואיל ולהרבה פוסקים לא יצא ידי חובת ק"ש קודם הלילה</w:t>
      </w:r>
      <w:r>
        <w:rPr>
          <w:rFonts w:cs="Arial" w:hint="cs"/>
          <w:rtl/>
        </w:rPr>
        <w:t>,</w:t>
      </w:r>
      <w:r w:rsidRPr="00FA5D8E">
        <w:rPr>
          <w:rFonts w:cs="Arial"/>
          <w:rtl/>
        </w:rPr>
        <w:t xml:space="preserve"> מיהו הנוהג להקל בזה אין למחות בידו דיש לו על מי לסמוך. וכ"ז לענין היתר אכילה אבל לענין ק"ש גופא דהוא דאורייתא אין לסמוך ויזהר לקרותה בלילה לצאת ידי חובת ק"ש</w:t>
      </w:r>
      <w:r>
        <w:rPr>
          <w:rFonts w:hint="cs"/>
          <w:rtl/>
        </w:rPr>
        <w:t>, משנ"ב (סק"ו).</w:t>
      </w:r>
    </w:p>
  </w:footnote>
  <w:footnote w:id="808">
    <w:p w14:paraId="72D5E0AE" w14:textId="77777777" w:rsidR="004B2E7C" w:rsidRDefault="004B2E7C" w:rsidP="00285819">
      <w:pPr>
        <w:pStyle w:val="a7"/>
      </w:pPr>
      <w:r>
        <w:rPr>
          <w:rStyle w:val="a9"/>
        </w:rPr>
        <w:footnoteRef/>
      </w:r>
      <w:r>
        <w:rPr>
          <w:rtl/>
        </w:rPr>
        <w:t xml:space="preserve"> </w:t>
      </w:r>
      <w:r w:rsidRPr="00CB046F">
        <w:rPr>
          <w:rFonts w:cs="Arial"/>
          <w:rtl/>
        </w:rPr>
        <w:t>ואם שכח ואמר שומר עמו ישראל תחת הפורס סוכת שלום אם נזכר תכ"ד יאמר מיד אחר תיבת לעד הפורס וכו' ואם שהה כדי דבור [הוא כדי שיאמר שלום עליך רבי ומורי] מעת שסיים תיבת לעד א"צ לאמרו ולא יחזור עוד הפעם. המנהג לומר אחר סיום הברכה ושמרו בני ישראל וגו' ובמועדים וידבר משה וגו' בר"ה תקעו וביוה"כ כי ביום הזה וגו' [פמ"ג]</w:t>
      </w:r>
      <w:r>
        <w:rPr>
          <w:rFonts w:cs="Arial" w:hint="cs"/>
          <w:rtl/>
        </w:rPr>
        <w:t>, משנ"ב (סק"ט).</w:t>
      </w:r>
    </w:p>
  </w:footnote>
  <w:footnote w:id="809">
    <w:p w14:paraId="12196E9F" w14:textId="77777777" w:rsidR="004B2E7C" w:rsidRDefault="004B2E7C" w:rsidP="00285819">
      <w:pPr>
        <w:pStyle w:val="a7"/>
        <w:rPr>
          <w:rtl/>
        </w:rPr>
      </w:pPr>
      <w:r>
        <w:rPr>
          <w:rStyle w:val="a9"/>
        </w:rPr>
        <w:footnoteRef/>
      </w:r>
      <w:r>
        <w:rPr>
          <w:rtl/>
        </w:rPr>
        <w:t xml:space="preserve"> </w:t>
      </w:r>
      <w:r w:rsidRPr="00AD037B">
        <w:rPr>
          <w:rFonts w:cs="Arial"/>
          <w:rtl/>
        </w:rPr>
        <w:t xml:space="preserve">וכתב </w:t>
      </w:r>
      <w:r>
        <w:rPr>
          <w:rFonts w:cs="Arial" w:hint="cs"/>
          <w:rtl/>
        </w:rPr>
        <w:t>ה</w:t>
      </w:r>
      <w:r w:rsidRPr="00AD037B">
        <w:rPr>
          <w:rFonts w:cs="Arial"/>
          <w:rtl/>
        </w:rPr>
        <w:t xml:space="preserve">אבודרהם </w:t>
      </w:r>
      <w:r w:rsidRPr="0010093D">
        <w:rPr>
          <w:rFonts w:cs="Arial"/>
          <w:sz w:val="16"/>
          <w:szCs w:val="16"/>
          <w:rtl/>
        </w:rPr>
        <w:t>(סדר מעריב של שבת ופירושה, ע' קמט</w:t>
      </w:r>
      <w:r w:rsidRPr="0010093D">
        <w:rPr>
          <w:rFonts w:cs="Arial" w:hint="cs"/>
          <w:sz w:val="16"/>
          <w:szCs w:val="16"/>
          <w:rtl/>
        </w:rPr>
        <w:t>, כ"כ בשמו הדרכ"מ [אות ד]</w:t>
      </w:r>
      <w:r w:rsidRPr="0010093D">
        <w:rPr>
          <w:rFonts w:cs="Arial"/>
          <w:sz w:val="16"/>
          <w:szCs w:val="16"/>
          <w:rtl/>
        </w:rPr>
        <w:t>)</w:t>
      </w:r>
      <w:r>
        <w:rPr>
          <w:rFonts w:cs="Arial" w:hint="cs"/>
          <w:rtl/>
        </w:rPr>
        <w:t xml:space="preserve"> ד</w:t>
      </w:r>
      <w:r w:rsidRPr="00AD037B">
        <w:rPr>
          <w:rFonts w:cs="Arial"/>
          <w:rtl/>
        </w:rPr>
        <w:t xml:space="preserve">צריך להפסיק בין </w:t>
      </w:r>
      <w:r>
        <w:rPr>
          <w:rFonts w:cs="Arial" w:hint="cs"/>
          <w:rtl/>
        </w:rPr>
        <w:t>'</w:t>
      </w:r>
      <w:r w:rsidRPr="00AD037B">
        <w:rPr>
          <w:rFonts w:cs="Arial"/>
          <w:rtl/>
        </w:rPr>
        <w:t>תכלית</w:t>
      </w:r>
      <w:r>
        <w:rPr>
          <w:rFonts w:cs="Arial" w:hint="cs"/>
          <w:rtl/>
        </w:rPr>
        <w:t>'</w:t>
      </w:r>
      <w:r w:rsidRPr="00AD037B">
        <w:rPr>
          <w:rFonts w:cs="Arial"/>
          <w:rtl/>
        </w:rPr>
        <w:t xml:space="preserve"> ל</w:t>
      </w:r>
      <w:r>
        <w:rPr>
          <w:rFonts w:cs="Arial" w:hint="cs"/>
          <w:rtl/>
        </w:rPr>
        <w:t>-'</w:t>
      </w:r>
      <w:r w:rsidRPr="00AD037B">
        <w:rPr>
          <w:rFonts w:cs="Arial"/>
          <w:rtl/>
        </w:rPr>
        <w:t>שמך</w:t>
      </w:r>
      <w:r>
        <w:rPr>
          <w:rFonts w:cs="Arial" w:hint="cs"/>
          <w:rtl/>
        </w:rPr>
        <w:t>',</w:t>
      </w:r>
      <w:r w:rsidRPr="00AD037B">
        <w:rPr>
          <w:rFonts w:cs="Arial"/>
          <w:rtl/>
        </w:rPr>
        <w:t xml:space="preserve"> שלא יהא נראה כחוזר למעלה חלילה וחס</w:t>
      </w:r>
      <w:r>
        <w:rPr>
          <w:rFonts w:cs="Arial" w:hint="cs"/>
          <w:rtl/>
        </w:rPr>
        <w:t>.</w:t>
      </w:r>
    </w:p>
  </w:footnote>
  <w:footnote w:id="810">
    <w:p w14:paraId="74B58387" w14:textId="77777777" w:rsidR="004B2E7C" w:rsidRDefault="004B2E7C" w:rsidP="00285819">
      <w:pPr>
        <w:pStyle w:val="a7"/>
      </w:pPr>
      <w:r>
        <w:rPr>
          <w:rStyle w:val="a9"/>
        </w:rPr>
        <w:footnoteRef/>
      </w:r>
      <w:r>
        <w:rPr>
          <w:rtl/>
        </w:rPr>
        <w:t xml:space="preserve"> </w:t>
      </w:r>
      <w:r w:rsidRPr="005B18C7">
        <w:rPr>
          <w:rFonts w:cs="Arial"/>
          <w:rtl/>
        </w:rPr>
        <w:t>דלא שנא דאפילו תפלת המוספין ראויה היתה לכל י"ח ברכות ואם התפלל שמנה עשרה ברכות וחידש בה דבר מועט במוספין שאמר ונעשה לפניך את חובותינו תמידי יום וקרבן מוסף יצא</w:t>
      </w:r>
      <w:r>
        <w:rPr>
          <w:rFonts w:cs="Arial" w:hint="cs"/>
          <w:rtl/>
        </w:rPr>
        <w:t>,</w:t>
      </w:r>
      <w:r w:rsidRPr="005B18C7">
        <w:rPr>
          <w:rFonts w:cs="Arial"/>
          <w:rtl/>
        </w:rPr>
        <w:t xml:space="preserve"> כדאיתא בירושלמי (ברכות פ"ד ה"ו)</w:t>
      </w:r>
      <w:r>
        <w:rPr>
          <w:rFonts w:cs="Arial" w:hint="cs"/>
          <w:rtl/>
        </w:rPr>
        <w:t>, ראב"ד (כ"כ הרא"ש שם בשמו).</w:t>
      </w:r>
      <w:r w:rsidRPr="005B18C7">
        <w:rPr>
          <w:rFonts w:cs="Arial"/>
          <w:rtl/>
        </w:rPr>
        <w:t xml:space="preserve"> וכתב הרא"ש וכן משמע בירושלמי (שם) שהיו מתפללין במוספי ראש חודש וחול המועד שמנה עשרה ברכות </w:t>
      </w:r>
      <w:r>
        <w:rPr>
          <w:rFonts w:cs="Arial" w:hint="cs"/>
          <w:rtl/>
        </w:rPr>
        <w:t>,</w:t>
      </w:r>
      <w:r w:rsidRPr="005B18C7">
        <w:rPr>
          <w:rFonts w:cs="Arial"/>
          <w:rtl/>
        </w:rPr>
        <w:t>וכן היה ראוי בשבת ויום טוב אלא שהקלו בתפלת המוספין כמו שהקלו בשאר תפלות</w:t>
      </w:r>
      <w:r>
        <w:rPr>
          <w:rFonts w:cs="Arial" w:hint="cs"/>
          <w:rtl/>
        </w:rPr>
        <w:t>,</w:t>
      </w:r>
      <w:r w:rsidRPr="005B18C7">
        <w:rPr>
          <w:rFonts w:cs="Arial"/>
          <w:rtl/>
        </w:rPr>
        <w:t xml:space="preserve"> הילכך במוסף נמי בר חיובא הוא ואם התחיל גומר</w:t>
      </w:r>
      <w:r>
        <w:rPr>
          <w:rFonts w:cs="Arial" w:hint="cs"/>
          <w:rtl/>
        </w:rPr>
        <w:t>.</w:t>
      </w:r>
    </w:p>
  </w:footnote>
  <w:footnote w:id="811">
    <w:p w14:paraId="7283D3F7" w14:textId="77777777" w:rsidR="004B2E7C" w:rsidRPr="008E1F5B" w:rsidRDefault="004B2E7C" w:rsidP="00285819">
      <w:pPr>
        <w:pStyle w:val="a7"/>
        <w:rPr>
          <w:color w:val="FF0000"/>
        </w:rPr>
      </w:pPr>
      <w:r>
        <w:rPr>
          <w:rStyle w:val="a9"/>
        </w:rPr>
        <w:footnoteRef/>
      </w:r>
      <w:r>
        <w:rPr>
          <w:rtl/>
        </w:rPr>
        <w:t xml:space="preserve"> </w:t>
      </w:r>
      <w:r>
        <w:rPr>
          <w:rFonts w:hint="cs"/>
          <w:rtl/>
        </w:rPr>
        <w:t xml:space="preserve">וכ' הב"י דהכי נקטינן. </w:t>
      </w:r>
      <w:r>
        <w:rPr>
          <w:rFonts w:hint="cs"/>
          <w:color w:val="FF0000"/>
          <w:rtl/>
        </w:rPr>
        <w:t>וצל"ע א"כ למה סתם בשו"ע כהטור...</w:t>
      </w:r>
    </w:p>
  </w:footnote>
  <w:footnote w:id="812">
    <w:p w14:paraId="4667A9BC" w14:textId="77777777" w:rsidR="004B2E7C" w:rsidRDefault="004B2E7C" w:rsidP="00285819">
      <w:pPr>
        <w:pStyle w:val="a7"/>
      </w:pPr>
      <w:r>
        <w:rPr>
          <w:rStyle w:val="a9"/>
        </w:rPr>
        <w:footnoteRef/>
      </w:r>
      <w:r>
        <w:rPr>
          <w:rtl/>
        </w:rPr>
        <w:t xml:space="preserve"> </w:t>
      </w:r>
      <w:r w:rsidRPr="008E1F5B">
        <w:rPr>
          <w:rFonts w:cs="Arial"/>
          <w:rtl/>
        </w:rPr>
        <w:t>וה"ה בכל זה לענין יום טוב</w:t>
      </w:r>
      <w:r>
        <w:rPr>
          <w:rFonts w:cs="Arial" w:hint="cs"/>
          <w:rtl/>
        </w:rPr>
        <w:t>, משנ"ב (סק"ג).</w:t>
      </w:r>
    </w:p>
  </w:footnote>
  <w:footnote w:id="813">
    <w:p w14:paraId="11E766A5" w14:textId="77777777" w:rsidR="004B2E7C" w:rsidRDefault="004B2E7C" w:rsidP="00285819">
      <w:pPr>
        <w:pStyle w:val="a7"/>
        <w:rPr>
          <w:rtl/>
        </w:rPr>
      </w:pPr>
      <w:r>
        <w:rPr>
          <w:rStyle w:val="a9"/>
        </w:rPr>
        <w:footnoteRef/>
      </w:r>
      <w:r>
        <w:rPr>
          <w:rtl/>
        </w:rPr>
        <w:t xml:space="preserve"> </w:t>
      </w:r>
      <w:r w:rsidRPr="008E1F5B">
        <w:rPr>
          <w:rFonts w:cs="Arial"/>
          <w:rtl/>
        </w:rPr>
        <w:t>וכן פסקו האחרונים משום ספק ברכה לבטלה</w:t>
      </w:r>
      <w:r>
        <w:rPr>
          <w:rFonts w:hint="cs"/>
          <w:rtl/>
        </w:rPr>
        <w:t>, משנ"ב (סק"ה).</w:t>
      </w:r>
    </w:p>
  </w:footnote>
  <w:footnote w:id="814">
    <w:p w14:paraId="75597725" w14:textId="77777777" w:rsidR="004B2E7C" w:rsidRDefault="004B2E7C" w:rsidP="00285819">
      <w:pPr>
        <w:pStyle w:val="a7"/>
      </w:pPr>
      <w:r>
        <w:rPr>
          <w:rStyle w:val="a9"/>
        </w:rPr>
        <w:footnoteRef/>
      </w:r>
      <w:r>
        <w:rPr>
          <w:rtl/>
        </w:rPr>
        <w:t xml:space="preserve"> </w:t>
      </w:r>
      <w:r w:rsidRPr="008E1F5B">
        <w:rPr>
          <w:rFonts w:cs="Arial"/>
          <w:rtl/>
        </w:rPr>
        <w:t>אפי' באתה חונן דלא כש"ג (כ"ה)</w:t>
      </w:r>
      <w:r>
        <w:rPr>
          <w:rFonts w:cs="Arial" w:hint="cs"/>
          <w:rtl/>
        </w:rPr>
        <w:t>, מג"א (סק"ב).</w:t>
      </w:r>
    </w:p>
  </w:footnote>
  <w:footnote w:id="815">
    <w:p w14:paraId="043CB0EB" w14:textId="77777777" w:rsidR="004B2E7C" w:rsidRDefault="004B2E7C" w:rsidP="00285819">
      <w:pPr>
        <w:pStyle w:val="a7"/>
        <w:rPr>
          <w:rtl/>
        </w:rPr>
      </w:pPr>
      <w:r>
        <w:rPr>
          <w:rStyle w:val="a9"/>
        </w:rPr>
        <w:footnoteRef/>
      </w:r>
      <w:r>
        <w:rPr>
          <w:rtl/>
        </w:rPr>
        <w:t xml:space="preserve"> </w:t>
      </w:r>
      <w:r w:rsidRPr="00DB75F3">
        <w:rPr>
          <w:rFonts w:cs="Arial"/>
          <w:rtl/>
        </w:rPr>
        <w:t>ואפי' בערבית ומנחה דגם תפלת שבת מתחיל באתה ואף ע"ג דכתב הראב"ד דלא מצינו שתהא הברכה נפסדת בחסרון הכונה לא סמכינן עליה דאשר"י כתב עליה דכשמתכוין לדבר אחר מפסיד וכ"מ מפירש"י וכו' והיכא דידע שהוא שבת לאו טעות מקרי כמ"ש המרדכי וכו' עכ"ל ת"ה מבואר דאזיל לדעת רש"י אבל לפי מש"ל בסימן ר"ט דאפי' כיון לדבר אחר אין הברכה נפסדת א"כ אם אמר בערבי' ומנחה אתה וסבור שהוא חול אומ' אתה קדשת או אתה אחד דלא מקרי התחל' בשל חול אלא בשחרית שדיבר ג"כ שלא כהוגן וכמ"ש סי' ר"ט ולכן השמיט הרב"י מ"ש בת"ה אפי' אי קאי באתה קדשת או באתה אחד כו' דלא כלבוש שהעתיקו כהוויתו, צ"ל לעבדך באמ' שבת קדשך אוהבי שמך (ס"ח סי' תתפ"ב) ובע"ש כ' בשם כ"ג מה"ב מנהג לו' בליל שבת וינוחו בה וביום וינוחו בו ובמנחה וינוחו בם</w:t>
      </w:r>
      <w:r>
        <w:rPr>
          <w:rFonts w:hint="cs"/>
          <w:rtl/>
        </w:rPr>
        <w:t>, מג"א (סק"ג).</w:t>
      </w:r>
    </w:p>
  </w:footnote>
  <w:footnote w:id="816">
    <w:p w14:paraId="275BDF32" w14:textId="77777777" w:rsidR="004B2E7C" w:rsidRDefault="004B2E7C" w:rsidP="00285819">
      <w:pPr>
        <w:pStyle w:val="a7"/>
        <w:rPr>
          <w:rtl/>
        </w:rPr>
      </w:pPr>
      <w:r>
        <w:rPr>
          <w:rStyle w:val="a9"/>
        </w:rPr>
        <w:footnoteRef/>
      </w:r>
      <w:r>
        <w:rPr>
          <w:rtl/>
        </w:rPr>
        <w:t xml:space="preserve"> </w:t>
      </w:r>
      <w:r w:rsidRPr="00DB75F3">
        <w:rPr>
          <w:rFonts w:cs="Arial"/>
          <w:rtl/>
        </w:rPr>
        <w:t>וכן כתב הרמב"ם בפ"י מהלכות תפלה (ה"ז) מי שטעה והתפלל של חול בשבת לא יצא</w:t>
      </w:r>
      <w:r>
        <w:rPr>
          <w:rFonts w:cs="Arial" w:hint="cs"/>
          <w:rtl/>
        </w:rPr>
        <w:t>.</w:t>
      </w:r>
      <w:r w:rsidRPr="00DB75F3">
        <w:rPr>
          <w:rFonts w:cs="Arial"/>
          <w:rtl/>
        </w:rPr>
        <w:t xml:space="preserve"> וכן כתב סמ"ג בסימן י"ט (עשין קא ע"ב)</w:t>
      </w:r>
      <w:r>
        <w:rPr>
          <w:rFonts w:cs="Arial" w:hint="cs"/>
          <w:rtl/>
        </w:rPr>
        <w:t>.</w:t>
      </w:r>
      <w:r w:rsidRPr="00DB75F3">
        <w:rPr>
          <w:rFonts w:cs="Arial"/>
          <w:rtl/>
        </w:rPr>
        <w:t xml:space="preserve"> ולפי שראיתי מי שמשבש נוסחת הרמב"ם בדקדוקי הבל וגורס </w:t>
      </w:r>
      <w:r>
        <w:rPr>
          <w:rFonts w:cs="Arial" w:hint="cs"/>
          <w:rtl/>
        </w:rPr>
        <w:t>'</w:t>
      </w:r>
      <w:r w:rsidRPr="00DB75F3">
        <w:rPr>
          <w:rFonts w:cs="Arial"/>
          <w:rtl/>
        </w:rPr>
        <w:t>יצא</w:t>
      </w:r>
      <w:r>
        <w:rPr>
          <w:rFonts w:cs="Arial" w:hint="cs"/>
          <w:rtl/>
        </w:rPr>
        <w:t>'</w:t>
      </w:r>
      <w:r w:rsidRPr="00DB75F3">
        <w:rPr>
          <w:rFonts w:cs="Arial"/>
          <w:rtl/>
        </w:rPr>
        <w:t xml:space="preserve"> כתבתי זה אף על פי שהוא פשוט מדאמרינן בפרק במה מדליקין (כד.) ימים שיש בהם קרבן מוסף כגון ר"ח וחולו של מועד ערבית שחרית ומנחה מתפלל י"ח ואומר מעין המאורע בעבודה ואם לא אמר מחזירין אותו</w:t>
      </w:r>
      <w:r>
        <w:rPr>
          <w:rFonts w:cs="Arial" w:hint="cs"/>
          <w:rtl/>
        </w:rPr>
        <w:t>.</w:t>
      </w:r>
      <w:r w:rsidRPr="00DB75F3">
        <w:rPr>
          <w:rFonts w:cs="Arial"/>
          <w:rtl/>
        </w:rPr>
        <w:t xml:space="preserve"> ומי גרע שבת מראש חודש וחול המועד</w:t>
      </w:r>
      <w:r>
        <w:rPr>
          <w:rFonts w:hint="cs"/>
          <w:rtl/>
        </w:rPr>
        <w:t>, ב"י.</w:t>
      </w:r>
    </w:p>
  </w:footnote>
  <w:footnote w:id="817">
    <w:p w14:paraId="0A8E4102" w14:textId="77777777" w:rsidR="004B2E7C" w:rsidRDefault="004B2E7C" w:rsidP="00285819">
      <w:pPr>
        <w:pStyle w:val="a7"/>
        <w:rPr>
          <w:rtl/>
        </w:rPr>
      </w:pPr>
      <w:r>
        <w:rPr>
          <w:rStyle w:val="a9"/>
        </w:rPr>
        <w:footnoteRef/>
      </w:r>
      <w:r>
        <w:rPr>
          <w:rtl/>
        </w:rPr>
        <w:t xml:space="preserve"> </w:t>
      </w:r>
      <w:r w:rsidRPr="00DB75F3">
        <w:rPr>
          <w:rFonts w:cs="Arial"/>
          <w:rtl/>
        </w:rPr>
        <w:t>לא קיי"ל הכי או נדחוק להעמידו בשהזכיר של שבת</w:t>
      </w:r>
      <w:r>
        <w:rPr>
          <w:rFonts w:hint="cs"/>
          <w:rtl/>
        </w:rPr>
        <w:t>, ב"י.</w:t>
      </w:r>
    </w:p>
  </w:footnote>
  <w:footnote w:id="818">
    <w:p w14:paraId="0E6093EA" w14:textId="77777777" w:rsidR="004B2E7C" w:rsidRDefault="004B2E7C" w:rsidP="00285819">
      <w:pPr>
        <w:pStyle w:val="a7"/>
      </w:pPr>
      <w:r>
        <w:rPr>
          <w:rStyle w:val="a9"/>
        </w:rPr>
        <w:footnoteRef/>
      </w:r>
      <w:r>
        <w:rPr>
          <w:rtl/>
        </w:rPr>
        <w:t xml:space="preserve"> </w:t>
      </w:r>
      <w:r w:rsidRPr="000D40AC">
        <w:rPr>
          <w:rFonts w:cs="Arial"/>
          <w:rtl/>
        </w:rPr>
        <w:t>וה"ה ביום טוב ואפילו ביום טוב שני</w:t>
      </w:r>
      <w:r>
        <w:rPr>
          <w:rFonts w:cs="Arial" w:hint="cs"/>
          <w:rtl/>
        </w:rPr>
        <w:t>, משנ"ב (סק"י).</w:t>
      </w:r>
    </w:p>
  </w:footnote>
  <w:footnote w:id="819">
    <w:p w14:paraId="2A17359A" w14:textId="77777777" w:rsidR="004B2E7C" w:rsidRDefault="004B2E7C" w:rsidP="00285819">
      <w:pPr>
        <w:pStyle w:val="a7"/>
      </w:pPr>
      <w:r>
        <w:rPr>
          <w:rStyle w:val="a9"/>
        </w:rPr>
        <w:footnoteRef/>
      </w:r>
      <w:r>
        <w:rPr>
          <w:rtl/>
        </w:rPr>
        <w:t xml:space="preserve"> </w:t>
      </w:r>
      <w:r w:rsidRPr="000D40AC">
        <w:rPr>
          <w:rFonts w:cs="Arial"/>
          <w:rtl/>
        </w:rPr>
        <w:t>ואם ספק לו אם התפלל של חול או של שבת ג"כ צריך לחזור דמסתמא התפלל של חול כמו שהוא רגיל [א"ר סי' תכב וח"א]</w:t>
      </w:r>
      <w:r>
        <w:rPr>
          <w:rFonts w:cs="Arial" w:hint="cs"/>
          <w:rtl/>
        </w:rPr>
        <w:t>, משנ"ב (סק"ט).</w:t>
      </w:r>
    </w:p>
  </w:footnote>
  <w:footnote w:id="820">
    <w:p w14:paraId="57701442" w14:textId="77777777" w:rsidR="004B2E7C" w:rsidRDefault="004B2E7C" w:rsidP="00285819">
      <w:pPr>
        <w:pStyle w:val="a7"/>
        <w:rPr>
          <w:rtl/>
        </w:rPr>
      </w:pPr>
      <w:r>
        <w:rPr>
          <w:rStyle w:val="a9"/>
        </w:rPr>
        <w:footnoteRef/>
      </w:r>
      <w:r>
        <w:rPr>
          <w:rtl/>
        </w:rPr>
        <w:t xml:space="preserve"> </w:t>
      </w:r>
      <w:r w:rsidRPr="000D40AC">
        <w:rPr>
          <w:rFonts w:cs="Arial"/>
          <w:rtl/>
        </w:rPr>
        <w:t>דין זה צ"ע</w:t>
      </w:r>
      <w:r>
        <w:rPr>
          <w:rFonts w:cs="Arial" w:hint="cs"/>
          <w:rtl/>
        </w:rPr>
        <w:t>,</w:t>
      </w:r>
      <w:r w:rsidRPr="000D40AC">
        <w:rPr>
          <w:rFonts w:cs="Arial"/>
          <w:rtl/>
        </w:rPr>
        <w:t xml:space="preserve"> דהא בסי' תפז ס"א כ' דאם חתם בי</w:t>
      </w:r>
      <w:r>
        <w:rPr>
          <w:rFonts w:cs="Arial" w:hint="cs"/>
          <w:rtl/>
        </w:rPr>
        <w:t>ו</w:t>
      </w:r>
      <w:r w:rsidRPr="000D40AC">
        <w:rPr>
          <w:rFonts w:cs="Arial"/>
          <w:rtl/>
        </w:rPr>
        <w:t>"ט מקדש השבת לא יצא אף על פי שהזכיר י"ט באמצע כיון דחתם שלא כדין</w:t>
      </w:r>
      <w:r>
        <w:rPr>
          <w:rFonts w:cs="Arial" w:hint="cs"/>
          <w:rtl/>
        </w:rPr>
        <w:t>,</w:t>
      </w:r>
      <w:r w:rsidRPr="000D40AC">
        <w:rPr>
          <w:rFonts w:cs="Arial"/>
          <w:rtl/>
        </w:rPr>
        <w:t xml:space="preserve"> וכמ"ש סי' רט</w:t>
      </w:r>
      <w:r>
        <w:rPr>
          <w:rFonts w:cs="Arial" w:hint="cs"/>
          <w:rtl/>
        </w:rPr>
        <w:t xml:space="preserve">, </w:t>
      </w:r>
      <w:r w:rsidRPr="000D40AC">
        <w:rPr>
          <w:rFonts w:cs="Arial"/>
          <w:rtl/>
        </w:rPr>
        <w:t>וכ"ש היכא דלא קבע ברכה כלל לשבת</w:t>
      </w:r>
      <w:r>
        <w:rPr>
          <w:rFonts w:cs="Arial" w:hint="cs"/>
          <w:rtl/>
        </w:rPr>
        <w:t>.</w:t>
      </w:r>
      <w:r w:rsidRPr="000D40AC">
        <w:rPr>
          <w:rFonts w:cs="Arial"/>
          <w:rtl/>
        </w:rPr>
        <w:t xml:space="preserve"> וצ"ל דגרע טפי כשחתם בשל יום אחר</w:t>
      </w:r>
      <w:r>
        <w:rPr>
          <w:rFonts w:cs="Arial" w:hint="cs"/>
          <w:rtl/>
        </w:rPr>
        <w:t>,</w:t>
      </w:r>
      <w:r w:rsidRPr="000D40AC">
        <w:rPr>
          <w:rFonts w:cs="Arial"/>
          <w:rtl/>
        </w:rPr>
        <w:t xml:space="preserve"> וצ"ע</w:t>
      </w:r>
      <w:r>
        <w:rPr>
          <w:rFonts w:cs="Arial" w:hint="cs"/>
          <w:rtl/>
        </w:rPr>
        <w:t>.</w:t>
      </w:r>
      <w:r w:rsidRPr="000D40AC">
        <w:rPr>
          <w:rFonts w:cs="Arial"/>
          <w:rtl/>
        </w:rPr>
        <w:t xml:space="preserve"> וברא"ש משמע דוקא במוסף יצא</w:t>
      </w:r>
      <w:r>
        <w:rPr>
          <w:rFonts w:cs="Arial" w:hint="cs"/>
          <w:rtl/>
        </w:rPr>
        <w:t>,</w:t>
      </w:r>
      <w:r w:rsidRPr="000D40AC">
        <w:rPr>
          <w:rFonts w:cs="Arial"/>
          <w:rtl/>
        </w:rPr>
        <w:t xml:space="preserve"> וכ"מ ברמב"ם ע"ש ועס"ו ועמ"ש שם</w:t>
      </w:r>
      <w:r>
        <w:rPr>
          <w:rFonts w:hint="cs"/>
          <w:rtl/>
        </w:rPr>
        <w:t>, מג"א (סק"ח).</w:t>
      </w:r>
    </w:p>
  </w:footnote>
  <w:footnote w:id="821">
    <w:p w14:paraId="01C6147A" w14:textId="77777777" w:rsidR="004B2E7C" w:rsidRDefault="004B2E7C" w:rsidP="00285819">
      <w:pPr>
        <w:pStyle w:val="a7"/>
      </w:pPr>
      <w:r>
        <w:rPr>
          <w:rStyle w:val="a9"/>
        </w:rPr>
        <w:footnoteRef/>
      </w:r>
      <w:r>
        <w:rPr>
          <w:rtl/>
        </w:rPr>
        <w:t xml:space="preserve"> </w:t>
      </w:r>
      <w:r w:rsidRPr="000D40AC">
        <w:rPr>
          <w:rFonts w:cs="Arial"/>
          <w:rtl/>
        </w:rPr>
        <w:t>ר"ל שאמר באחת מן הברכות יהי רצון שנעשה לפניך וכו' וכ"ש אם אמר הנוסח של המוסף כהלכה רק שחיסר הפסוקים של הקרבנות דיצא [אחרונים]</w:t>
      </w:r>
      <w:r>
        <w:rPr>
          <w:rFonts w:cs="Arial" w:hint="cs"/>
          <w:rtl/>
        </w:rPr>
        <w:t>, משנ"ב (סקי"א).</w:t>
      </w:r>
    </w:p>
  </w:footnote>
  <w:footnote w:id="822">
    <w:p w14:paraId="270C4066" w14:textId="77777777" w:rsidR="004B2E7C" w:rsidRDefault="004B2E7C" w:rsidP="00285819">
      <w:pPr>
        <w:pStyle w:val="a7"/>
        <w:rPr>
          <w:rtl/>
        </w:rPr>
      </w:pPr>
      <w:r>
        <w:rPr>
          <w:rStyle w:val="a9"/>
        </w:rPr>
        <w:footnoteRef/>
      </w:r>
      <w:r>
        <w:rPr>
          <w:rtl/>
        </w:rPr>
        <w:t xml:space="preserve"> </w:t>
      </w:r>
      <w:r w:rsidRPr="00CC3E59">
        <w:rPr>
          <w:rFonts w:cs="Arial"/>
          <w:rtl/>
        </w:rPr>
        <w:t>וכן הוא המנהג פשוט</w:t>
      </w:r>
      <w:r>
        <w:rPr>
          <w:rFonts w:cs="Arial" w:hint="cs"/>
          <w:rtl/>
        </w:rPr>
        <w:t>, דרכ"מ (אות ב).</w:t>
      </w:r>
    </w:p>
  </w:footnote>
  <w:footnote w:id="823">
    <w:p w14:paraId="1C0F45C0" w14:textId="77777777" w:rsidR="004B2E7C" w:rsidRDefault="004B2E7C" w:rsidP="00285819">
      <w:pPr>
        <w:pStyle w:val="a7"/>
        <w:rPr>
          <w:rtl/>
        </w:rPr>
      </w:pPr>
      <w:r>
        <w:rPr>
          <w:rStyle w:val="a9"/>
        </w:rPr>
        <w:footnoteRef/>
      </w:r>
      <w:r>
        <w:rPr>
          <w:rtl/>
        </w:rPr>
        <w:t xml:space="preserve"> </w:t>
      </w:r>
      <w:r w:rsidRPr="00B64172">
        <w:rPr>
          <w:rFonts w:cs="Arial"/>
          <w:rtl/>
        </w:rPr>
        <w:t>עסי' תכ"ב סס"א דמיירי שרגיל לומר תחנונים אחר תפלתו</w:t>
      </w:r>
      <w:r>
        <w:rPr>
          <w:rFonts w:hint="cs"/>
          <w:rtl/>
        </w:rPr>
        <w:t>, מג"א (סק"ו).</w:t>
      </w:r>
    </w:p>
  </w:footnote>
  <w:footnote w:id="824">
    <w:p w14:paraId="10F3A62D" w14:textId="77777777" w:rsidR="004B2E7C" w:rsidRDefault="004B2E7C" w:rsidP="00285819">
      <w:pPr>
        <w:pStyle w:val="a7"/>
      </w:pPr>
      <w:r>
        <w:rPr>
          <w:rStyle w:val="a9"/>
        </w:rPr>
        <w:footnoteRef/>
      </w:r>
      <w:r>
        <w:rPr>
          <w:rtl/>
        </w:rPr>
        <w:t xml:space="preserve"> </w:t>
      </w:r>
      <w:r w:rsidRPr="00B64172">
        <w:rPr>
          <w:rFonts w:cs="Arial"/>
          <w:rtl/>
        </w:rPr>
        <w:t>ואפילו נזכר קודם מודים לא יכלול אותה בעבודה לומר רצה נא במנוחתנו ביום השבת דלכתחלה צריך לומר ברכה לקדושת היום ובדיעבד יצא</w:t>
      </w:r>
      <w:r>
        <w:rPr>
          <w:rFonts w:cs="Arial" w:hint="cs"/>
          <w:rtl/>
        </w:rPr>
        <w:t>, משנ"ב (סקי"ג).</w:t>
      </w:r>
    </w:p>
  </w:footnote>
  <w:footnote w:id="825">
    <w:p w14:paraId="6E3AD480" w14:textId="77777777" w:rsidR="004B2E7C" w:rsidRDefault="004B2E7C" w:rsidP="00285819">
      <w:pPr>
        <w:pStyle w:val="a7"/>
      </w:pPr>
      <w:r>
        <w:rPr>
          <w:rStyle w:val="a9"/>
        </w:rPr>
        <w:footnoteRef/>
      </w:r>
      <w:r>
        <w:rPr>
          <w:rtl/>
        </w:rPr>
        <w:t xml:space="preserve"> </w:t>
      </w:r>
      <w:r w:rsidRPr="00C240A1">
        <w:rPr>
          <w:rFonts w:asciiTheme="minorBidi" w:hAnsiTheme="minorBidi" w:cs="Arial"/>
          <w:rtl/>
        </w:rPr>
        <w:t>האחרונים תמהו על מה שכתוב בלשון וי"א דכו"ע מודים בזה</w:t>
      </w:r>
      <w:r>
        <w:rPr>
          <w:rFonts w:asciiTheme="minorBidi" w:hAnsiTheme="minorBidi" w:cs="Arial" w:hint="cs"/>
          <w:rtl/>
        </w:rPr>
        <w:t>, משנ"ב (סקט"ו). וכתב המג"א (סק"ח-ט) ד</w:t>
      </w:r>
      <w:r w:rsidRPr="00A64C10">
        <w:rPr>
          <w:rFonts w:asciiTheme="minorBidi" w:hAnsiTheme="minorBidi" w:cs="Arial"/>
          <w:rtl/>
        </w:rPr>
        <w:t>נ"ל שהרב"י ס"ל דלמ"ד</w:t>
      </w:r>
      <w:r>
        <w:rPr>
          <w:rFonts w:asciiTheme="minorBidi" w:hAnsiTheme="minorBidi" w:cs="Arial" w:hint="cs"/>
          <w:rtl/>
        </w:rPr>
        <w:t xml:space="preserve"> </w:t>
      </w:r>
      <w:r w:rsidRPr="00A64C10">
        <w:rPr>
          <w:rFonts w:asciiTheme="minorBidi" w:hAnsiTheme="minorBidi" w:cs="Arial"/>
          <w:rtl/>
        </w:rPr>
        <w:t>בס"ב דאף במוסף ראוי לתפלת י"ח</w:t>
      </w:r>
      <w:r>
        <w:rPr>
          <w:rFonts w:asciiTheme="minorBidi" w:hAnsiTheme="minorBidi" w:cs="Arial" w:hint="cs"/>
          <w:rtl/>
        </w:rPr>
        <w:t>,</w:t>
      </w:r>
      <w:r w:rsidRPr="00A64C10">
        <w:rPr>
          <w:rFonts w:asciiTheme="minorBidi" w:hAnsiTheme="minorBidi" w:cs="Arial"/>
          <w:rtl/>
        </w:rPr>
        <w:t xml:space="preserve"> א"כ יצא</w:t>
      </w:r>
      <w:r>
        <w:rPr>
          <w:rFonts w:asciiTheme="minorBidi" w:hAnsiTheme="minorBidi" w:cs="Arial" w:hint="cs"/>
          <w:rtl/>
        </w:rPr>
        <w:t>.</w:t>
      </w:r>
      <w:r w:rsidRPr="00A64C10">
        <w:rPr>
          <w:rFonts w:asciiTheme="minorBidi" w:hAnsiTheme="minorBidi" w:cs="Arial"/>
          <w:rtl/>
        </w:rPr>
        <w:t xml:space="preserve"> ומ"מ נ"ל דלא דמי</w:t>
      </w:r>
      <w:r>
        <w:rPr>
          <w:rFonts w:asciiTheme="minorBidi" w:hAnsiTheme="minorBidi" w:cs="Arial" w:hint="cs"/>
          <w:rtl/>
        </w:rPr>
        <w:t>,</w:t>
      </w:r>
      <w:r w:rsidRPr="00A64C10">
        <w:rPr>
          <w:rFonts w:asciiTheme="minorBidi" w:hAnsiTheme="minorBidi" w:cs="Arial"/>
          <w:rtl/>
        </w:rPr>
        <w:t xml:space="preserve"> דהתם עכ"פ הזכיר קרבן מוסף</w:t>
      </w:r>
      <w:r>
        <w:rPr>
          <w:rFonts w:asciiTheme="minorBidi" w:hAnsiTheme="minorBidi" w:cs="Arial" w:hint="cs"/>
          <w:rtl/>
        </w:rPr>
        <w:t>,</w:t>
      </w:r>
      <w:r w:rsidRPr="00A64C10">
        <w:rPr>
          <w:rFonts w:asciiTheme="minorBidi" w:hAnsiTheme="minorBidi" w:cs="Arial"/>
          <w:rtl/>
        </w:rPr>
        <w:t xml:space="preserve"> וכ"מ בסס"ד</w:t>
      </w:r>
      <w:r>
        <w:rPr>
          <w:rFonts w:asciiTheme="minorBidi" w:hAnsiTheme="minorBidi" w:cs="Arial" w:hint="cs"/>
          <w:rtl/>
        </w:rPr>
        <w:t>,</w:t>
      </w:r>
      <w:r w:rsidRPr="00A64C10">
        <w:rPr>
          <w:rFonts w:asciiTheme="minorBidi" w:hAnsiTheme="minorBidi" w:cs="Arial"/>
          <w:rtl/>
        </w:rPr>
        <w:t xml:space="preserve"> לכן נ"ל דכ' וי"א וכו' די</w:t>
      </w:r>
      <w:r>
        <w:rPr>
          <w:rFonts w:asciiTheme="minorBidi" w:hAnsiTheme="minorBidi" w:cs="Arial" w:hint="cs"/>
          <w:rtl/>
        </w:rPr>
        <w:t xml:space="preserve">ש </w:t>
      </w:r>
      <w:r w:rsidRPr="00A64C10">
        <w:rPr>
          <w:rFonts w:asciiTheme="minorBidi" w:hAnsiTheme="minorBidi" w:cs="Arial"/>
          <w:rtl/>
        </w:rPr>
        <w:t>א</w:t>
      </w:r>
      <w:r>
        <w:rPr>
          <w:rFonts w:asciiTheme="minorBidi" w:hAnsiTheme="minorBidi" w:cs="Arial" w:hint="cs"/>
          <w:rtl/>
        </w:rPr>
        <w:t>ומרים</w:t>
      </w:r>
      <w:r w:rsidRPr="00A64C10">
        <w:rPr>
          <w:rFonts w:asciiTheme="minorBidi" w:hAnsiTheme="minorBidi" w:cs="Arial"/>
          <w:rtl/>
        </w:rPr>
        <w:t xml:space="preserve"> אם התפלל מוסף במקום שחרית יצא כיון שהזכיר שבת</w:t>
      </w:r>
      <w:r>
        <w:rPr>
          <w:rFonts w:asciiTheme="minorBidi" w:hAnsiTheme="minorBidi" w:cs="Arial" w:hint="cs"/>
          <w:rtl/>
        </w:rPr>
        <w:t>.</w:t>
      </w:r>
      <w:r w:rsidRPr="00A64C10">
        <w:rPr>
          <w:rFonts w:asciiTheme="minorBidi" w:hAnsiTheme="minorBidi" w:cs="Arial"/>
          <w:rtl/>
        </w:rPr>
        <w:t xml:space="preserve"> וגם זה צ"ע דזה גרע</w:t>
      </w:r>
      <w:r>
        <w:rPr>
          <w:rFonts w:asciiTheme="minorBidi" w:hAnsiTheme="minorBidi" w:cs="Arial" w:hint="cs"/>
          <w:rtl/>
        </w:rPr>
        <w:t>,</w:t>
      </w:r>
      <w:r w:rsidRPr="00A64C10">
        <w:rPr>
          <w:rFonts w:asciiTheme="minorBidi" w:hAnsiTheme="minorBidi" w:cs="Arial"/>
          <w:rtl/>
        </w:rPr>
        <w:t xml:space="preserve"> כיון שאמר מוסף תוך תפלתו ושיקר לפני המקום לכן נ"ל דחוזר</w:t>
      </w:r>
      <w:r>
        <w:rPr>
          <w:rFonts w:asciiTheme="minorBidi" w:hAnsiTheme="minorBidi" w:cs="Arial" w:hint="cs"/>
          <w:rtl/>
        </w:rPr>
        <w:t xml:space="preserve">. </w:t>
      </w:r>
      <w:r w:rsidRPr="00C240A1">
        <w:rPr>
          <w:rFonts w:asciiTheme="minorBidi" w:hAnsiTheme="minorBidi" w:cs="Arial"/>
          <w:rtl/>
        </w:rPr>
        <w:t>ונ"ל שמ"מ יצא ידי מוסף ומתפלל אח"כ שחרית</w:t>
      </w:r>
      <w:r>
        <w:rPr>
          <w:rFonts w:asciiTheme="minorBidi" w:hAnsiTheme="minorBidi" w:hint="cs"/>
          <w:rtl/>
        </w:rPr>
        <w:t>.</w:t>
      </w:r>
    </w:p>
  </w:footnote>
  <w:footnote w:id="826">
    <w:p w14:paraId="61F72FA1" w14:textId="77777777" w:rsidR="004B2E7C" w:rsidRDefault="004B2E7C" w:rsidP="00285819">
      <w:pPr>
        <w:pStyle w:val="a7"/>
      </w:pPr>
      <w:r>
        <w:rPr>
          <w:rStyle w:val="a9"/>
        </w:rPr>
        <w:footnoteRef/>
      </w:r>
      <w:r>
        <w:rPr>
          <w:rtl/>
        </w:rPr>
        <w:t xml:space="preserve"> </w:t>
      </w:r>
      <w:r w:rsidRPr="00A64C10">
        <w:rPr>
          <w:rFonts w:cs="Arial"/>
          <w:rtl/>
        </w:rPr>
        <w:t>וכתב הח"א דאם נזכר אחר שסיים הברכה האמצעית קודם שהתחיל רצה יאמר ונעשה לפניך קרבן מוסף ויצא בזה</w:t>
      </w:r>
      <w:r>
        <w:rPr>
          <w:rFonts w:cs="Arial" w:hint="cs"/>
          <w:rtl/>
        </w:rPr>
        <w:t>, משנ"ב</w:t>
      </w:r>
      <w:r w:rsidRPr="00A64C10">
        <w:rPr>
          <w:rFonts w:cs="Arial" w:hint="cs"/>
          <w:sz w:val="16"/>
          <w:szCs w:val="16"/>
          <w:rtl/>
        </w:rPr>
        <w:t xml:space="preserve"> </w:t>
      </w:r>
      <w:r w:rsidRPr="00834BAC">
        <w:rPr>
          <w:rFonts w:cs="Arial" w:hint="cs"/>
          <w:rtl/>
        </w:rPr>
        <w:t>(סקט"ז)</w:t>
      </w:r>
      <w:r>
        <w:rPr>
          <w:rFonts w:cs="Arial" w:hint="cs"/>
          <w:rtl/>
        </w:rPr>
        <w:t>.</w:t>
      </w:r>
      <w:r w:rsidRPr="00834BAC">
        <w:rPr>
          <w:rtl/>
        </w:rPr>
        <w:t xml:space="preserve"> </w:t>
      </w:r>
      <w:r w:rsidRPr="00834BAC">
        <w:rPr>
          <w:rFonts w:cs="Arial"/>
          <w:rtl/>
        </w:rPr>
        <w:t>ואם נזכר קודם שעקר רגליו בכל מקום שהוא עומד אפילו באמצע ברכה מג' אחרונות פוסק באמצע ומתחיל ישמח משה</w:t>
      </w:r>
      <w:r>
        <w:rPr>
          <w:rFonts w:hint="cs"/>
          <w:rtl/>
        </w:rPr>
        <w:t>, משנ"ב (סקי"ז).</w:t>
      </w:r>
    </w:p>
  </w:footnote>
  <w:footnote w:id="827">
    <w:p w14:paraId="62EB1A83" w14:textId="77777777" w:rsidR="004B2E7C" w:rsidRDefault="004B2E7C" w:rsidP="00285819">
      <w:pPr>
        <w:pStyle w:val="a7"/>
        <w:rPr>
          <w:rtl/>
        </w:rPr>
      </w:pPr>
      <w:r>
        <w:rPr>
          <w:rStyle w:val="a9"/>
        </w:rPr>
        <w:footnoteRef/>
      </w:r>
      <w:r>
        <w:rPr>
          <w:rtl/>
        </w:rPr>
        <w:t xml:space="preserve"> </w:t>
      </w:r>
      <w:r w:rsidRPr="00CA5F1E">
        <w:rPr>
          <w:rFonts w:cs="Arial"/>
          <w:rtl/>
        </w:rPr>
        <w:t>תוס</w:t>
      </w:r>
      <w:r>
        <w:rPr>
          <w:rFonts w:cs="Arial" w:hint="cs"/>
          <w:rtl/>
        </w:rPr>
        <w:t>'</w:t>
      </w:r>
      <w:r w:rsidRPr="00CA5F1E">
        <w:rPr>
          <w:rFonts w:cs="Arial"/>
          <w:rtl/>
        </w:rPr>
        <w:t xml:space="preserve"> </w:t>
      </w:r>
      <w:r w:rsidRPr="00834BAC">
        <w:rPr>
          <w:rFonts w:cs="Arial"/>
          <w:sz w:val="16"/>
          <w:szCs w:val="16"/>
          <w:rtl/>
        </w:rPr>
        <w:t>(</w:t>
      </w:r>
      <w:r w:rsidRPr="00834BAC">
        <w:rPr>
          <w:rFonts w:cs="Arial" w:hint="cs"/>
          <w:sz w:val="16"/>
          <w:szCs w:val="16"/>
          <w:rtl/>
        </w:rPr>
        <w:t xml:space="preserve">פ' ערבי פסחים קו. </w:t>
      </w:r>
      <w:r w:rsidRPr="00834BAC">
        <w:rPr>
          <w:rFonts w:cs="Arial"/>
          <w:sz w:val="16"/>
          <w:szCs w:val="16"/>
          <w:rtl/>
        </w:rPr>
        <w:t xml:space="preserve">ד"ה זוכרהו) </w:t>
      </w:r>
      <w:r w:rsidRPr="00CA5F1E">
        <w:rPr>
          <w:rFonts w:cs="Arial"/>
          <w:rtl/>
        </w:rPr>
        <w:t xml:space="preserve">תרומה </w:t>
      </w:r>
      <w:r w:rsidRPr="00834BAC">
        <w:rPr>
          <w:rFonts w:cs="Arial"/>
          <w:sz w:val="16"/>
          <w:szCs w:val="16"/>
          <w:rtl/>
        </w:rPr>
        <w:t>(סי' רמו)</w:t>
      </w:r>
      <w:r>
        <w:rPr>
          <w:rFonts w:cs="Arial" w:hint="cs"/>
          <w:sz w:val="16"/>
          <w:szCs w:val="16"/>
          <w:rtl/>
        </w:rPr>
        <w:t xml:space="preserve"> </w:t>
      </w:r>
      <w:r w:rsidRPr="00CA5F1E">
        <w:rPr>
          <w:rFonts w:cs="Arial"/>
          <w:rtl/>
        </w:rPr>
        <w:t xml:space="preserve">מרדכי </w:t>
      </w:r>
      <w:r w:rsidRPr="00834BAC">
        <w:rPr>
          <w:rFonts w:cs="Arial" w:hint="cs"/>
          <w:sz w:val="16"/>
          <w:szCs w:val="16"/>
          <w:rtl/>
        </w:rPr>
        <w:t>(</w:t>
      </w:r>
      <w:r w:rsidRPr="00834BAC">
        <w:rPr>
          <w:rFonts w:cs="Arial"/>
          <w:sz w:val="16"/>
          <w:szCs w:val="16"/>
          <w:rtl/>
        </w:rPr>
        <w:t>שם לז ע</w:t>
      </w:r>
      <w:r w:rsidRPr="00834BAC">
        <w:rPr>
          <w:rFonts w:cs="Arial" w:hint="cs"/>
          <w:sz w:val="16"/>
          <w:szCs w:val="16"/>
          <w:rtl/>
        </w:rPr>
        <w:t>"</w:t>
      </w:r>
      <w:r w:rsidRPr="00834BAC">
        <w:rPr>
          <w:rFonts w:cs="Arial"/>
          <w:sz w:val="16"/>
          <w:szCs w:val="16"/>
          <w:rtl/>
        </w:rPr>
        <w:t>ב</w:t>
      </w:r>
      <w:r w:rsidRPr="00834BAC">
        <w:rPr>
          <w:rFonts w:cs="Arial" w:hint="cs"/>
          <w:sz w:val="16"/>
          <w:szCs w:val="16"/>
          <w:rtl/>
        </w:rPr>
        <w:t>,</w:t>
      </w:r>
      <w:r w:rsidRPr="00834BAC">
        <w:rPr>
          <w:rFonts w:cs="Arial"/>
          <w:sz w:val="16"/>
          <w:szCs w:val="16"/>
          <w:rtl/>
        </w:rPr>
        <w:t xml:space="preserve"> ובפ</w:t>
      </w:r>
      <w:r>
        <w:rPr>
          <w:rFonts w:cs="Arial" w:hint="cs"/>
          <w:sz w:val="16"/>
          <w:szCs w:val="16"/>
          <w:rtl/>
        </w:rPr>
        <w:t>'</w:t>
      </w:r>
      <w:r w:rsidRPr="00834BAC">
        <w:rPr>
          <w:rFonts w:cs="Arial"/>
          <w:sz w:val="16"/>
          <w:szCs w:val="16"/>
          <w:rtl/>
        </w:rPr>
        <w:t xml:space="preserve"> כל כתבי סי' תז) </w:t>
      </w:r>
      <w:r>
        <w:rPr>
          <w:rFonts w:cs="Arial" w:hint="cs"/>
          <w:rtl/>
        </w:rPr>
        <w:t>ו</w:t>
      </w:r>
      <w:r w:rsidRPr="00CA5F1E">
        <w:rPr>
          <w:rFonts w:cs="Arial"/>
          <w:rtl/>
        </w:rPr>
        <w:t xml:space="preserve">רא"ש </w:t>
      </w:r>
      <w:r w:rsidRPr="00834BAC">
        <w:rPr>
          <w:rFonts w:cs="Arial"/>
          <w:sz w:val="16"/>
          <w:szCs w:val="16"/>
          <w:rtl/>
        </w:rPr>
        <w:t>(</w:t>
      </w:r>
      <w:r w:rsidRPr="00834BAC">
        <w:rPr>
          <w:rFonts w:cs="Arial" w:hint="cs"/>
          <w:sz w:val="16"/>
          <w:szCs w:val="16"/>
          <w:rtl/>
        </w:rPr>
        <w:t xml:space="preserve">פ' ערבי פסחים קו. </w:t>
      </w:r>
      <w:r w:rsidRPr="00834BAC">
        <w:rPr>
          <w:rFonts w:cs="Arial"/>
          <w:sz w:val="16"/>
          <w:szCs w:val="16"/>
          <w:rtl/>
        </w:rPr>
        <w:t>סו"ס טו)</w:t>
      </w:r>
      <w:r>
        <w:rPr>
          <w:rFonts w:hint="cs"/>
          <w:rtl/>
        </w:rPr>
        <w:t>.</w:t>
      </w:r>
    </w:p>
  </w:footnote>
  <w:footnote w:id="828">
    <w:p w14:paraId="70650A6C" w14:textId="77777777" w:rsidR="004B2E7C" w:rsidRDefault="004B2E7C" w:rsidP="00285819">
      <w:pPr>
        <w:pStyle w:val="a7"/>
      </w:pPr>
      <w:r>
        <w:rPr>
          <w:rStyle w:val="a9"/>
        </w:rPr>
        <w:footnoteRef/>
      </w:r>
      <w:r>
        <w:rPr>
          <w:rtl/>
        </w:rPr>
        <w:t xml:space="preserve"> </w:t>
      </w:r>
      <w:r w:rsidRPr="00CA5F1E">
        <w:rPr>
          <w:rFonts w:cs="Arial"/>
          <w:rtl/>
        </w:rPr>
        <w:t xml:space="preserve">ודרשינן </w:t>
      </w:r>
      <w:r w:rsidRPr="00834BAC">
        <w:rPr>
          <w:rFonts w:cs="Arial"/>
          <w:sz w:val="18"/>
          <w:szCs w:val="18"/>
          <w:rtl/>
        </w:rPr>
        <w:t>(שבועות ל)</w:t>
      </w:r>
      <w:r w:rsidRPr="00CA5F1E">
        <w:rPr>
          <w:rFonts w:cs="Arial"/>
          <w:rtl/>
        </w:rPr>
        <w:t xml:space="preserve"> אלו העדים שצריכים להעיד ביחד ומעומד</w:t>
      </w:r>
      <w:r>
        <w:rPr>
          <w:rFonts w:cs="Arial" w:hint="cs"/>
          <w:rtl/>
        </w:rPr>
        <w:t>,</w:t>
      </w:r>
      <w:r w:rsidRPr="00CA5F1E">
        <w:rPr>
          <w:rFonts w:cs="Arial"/>
          <w:rtl/>
        </w:rPr>
        <w:t xml:space="preserve"> ולכן צריך שיעמדו ויאמרו אותו ביחד</w:t>
      </w:r>
      <w:r>
        <w:rPr>
          <w:rFonts w:cs="Arial" w:hint="cs"/>
          <w:rtl/>
        </w:rPr>
        <w:t xml:space="preserve">, טור. ולגבי מה שכתב שצריך לאומרם ביחד </w:t>
      </w:r>
      <w:r w:rsidRPr="00021839">
        <w:rPr>
          <w:rFonts w:cs="Arial" w:hint="cs"/>
          <w:sz w:val="16"/>
          <w:szCs w:val="16"/>
          <w:rtl/>
        </w:rPr>
        <w:t>(שמזה הוציאו האחרונים שאין לומר לבד אלא לכל הפחות בשנים)</w:t>
      </w:r>
      <w:r>
        <w:rPr>
          <w:rFonts w:cs="Arial" w:hint="cs"/>
          <w:rtl/>
        </w:rPr>
        <w:t xml:space="preserve"> </w:t>
      </w:r>
      <w:r>
        <w:rPr>
          <w:rFonts w:cs="Arial"/>
          <w:rtl/>
        </w:rPr>
        <w:t>–</w:t>
      </w:r>
      <w:r>
        <w:rPr>
          <w:rFonts w:cs="Arial" w:hint="cs"/>
          <w:rtl/>
        </w:rPr>
        <w:t xml:space="preserve"> לא מצאתי מי מהראשונים או בגמרא אמר כן. דבגמרא (שבועות ל:) דרשינן מקרא רק לגבי עדות בעמידה </w:t>
      </w:r>
      <w:r w:rsidRPr="00021839">
        <w:rPr>
          <w:rFonts w:cs="Arial" w:hint="cs"/>
          <w:sz w:val="16"/>
          <w:szCs w:val="16"/>
          <w:rtl/>
        </w:rPr>
        <w:t xml:space="preserve">(וז"ל הגמרא שם- </w:t>
      </w:r>
      <w:r w:rsidRPr="00021839">
        <w:rPr>
          <w:rFonts w:cs="Arial"/>
          <w:sz w:val="16"/>
          <w:szCs w:val="16"/>
          <w:rtl/>
        </w:rPr>
        <w:t>אמר עולא: מחלוקת בבעלי דינין, אבל בעדים - דברי הכל בעמידה, דכתיב: ועמדו שני האנשים</w:t>
      </w:r>
      <w:r w:rsidRPr="00021839">
        <w:rPr>
          <w:rFonts w:cs="Arial" w:hint="cs"/>
          <w:sz w:val="16"/>
          <w:szCs w:val="16"/>
          <w:rtl/>
        </w:rPr>
        <w:t>)</w:t>
      </w:r>
      <w:r w:rsidRPr="00B633EC">
        <w:rPr>
          <w:rFonts w:cs="Arial"/>
          <w:rtl/>
        </w:rPr>
        <w:t>.</w:t>
      </w:r>
      <w:r>
        <w:rPr>
          <w:rFonts w:cs="Arial" w:hint="cs"/>
          <w:rtl/>
        </w:rPr>
        <w:t xml:space="preserve"> ואדרבא מבואר בסנהדרין (כט. במשנה) דהעדים מעידים אחד אחד.</w:t>
      </w:r>
      <w:r>
        <w:rPr>
          <w:rFonts w:hint="cs"/>
          <w:rtl/>
        </w:rPr>
        <w:t xml:space="preserve"> וצל"ע.</w:t>
      </w:r>
    </w:p>
  </w:footnote>
  <w:footnote w:id="829">
    <w:p w14:paraId="6F4DD495" w14:textId="77777777" w:rsidR="004B2E7C" w:rsidRDefault="004B2E7C" w:rsidP="00285819">
      <w:pPr>
        <w:pStyle w:val="a7"/>
      </w:pPr>
      <w:r>
        <w:rPr>
          <w:rStyle w:val="a9"/>
        </w:rPr>
        <w:footnoteRef/>
      </w:r>
      <w:r>
        <w:rPr>
          <w:rtl/>
        </w:rPr>
        <w:t xml:space="preserve"> </w:t>
      </w:r>
      <w:r w:rsidRPr="00447DB9">
        <w:rPr>
          <w:rFonts w:cs="Arial"/>
          <w:rtl/>
        </w:rPr>
        <w:t>לפי שבזה אנו מעידים להקב"ה במעשה בראשית ודין עדים בעמידה כדכתיב ועמדו שני האנשים וטוב לומר אותה ביחד בצבור דעדה שלמה בעינן להעיד להקב"ה ועכ"פ יהיה בשנים. ויחיד המתפלל י"א דאינו חוזר לומר ויכלו דאין עדות ליחיד וי"א דיחיד יכול לומר אבל אין צריך עמידה וטוב שגם היחיד יאמר אבל לא יתכוין לשם עדות אלא כקורא בתורה. כתב מטה משה אם שכח לומר בבהכ"נ יאמר אותו שבקדוש מעומד והמנהג לומר אותו שבקדוש מעומד אף אם אמרו בבהכ"נ [פמ"ג]</w:t>
      </w:r>
      <w:r>
        <w:rPr>
          <w:rFonts w:cs="Arial" w:hint="cs"/>
          <w:rtl/>
        </w:rPr>
        <w:t>, משנ"ב (סקי"ט).</w:t>
      </w:r>
    </w:p>
  </w:footnote>
  <w:footnote w:id="830">
    <w:p w14:paraId="17E14201" w14:textId="77777777" w:rsidR="004B2E7C" w:rsidRDefault="004B2E7C" w:rsidP="00285819">
      <w:pPr>
        <w:pStyle w:val="a7"/>
        <w:rPr>
          <w:rtl/>
        </w:rPr>
      </w:pPr>
      <w:r>
        <w:rPr>
          <w:rStyle w:val="a9"/>
        </w:rPr>
        <w:footnoteRef/>
      </w:r>
      <w:r>
        <w:rPr>
          <w:rtl/>
        </w:rPr>
        <w:t xml:space="preserve"> </w:t>
      </w:r>
      <w:r w:rsidRPr="00CA5F1E">
        <w:rPr>
          <w:rFonts w:cs="Arial"/>
          <w:rtl/>
        </w:rPr>
        <w:t>והיא מגן אבות בדברו ואלהינו ואלהי אבותינו רצה נא במנוחתנו וחותם בא"י מקדש השבת</w:t>
      </w:r>
      <w:r>
        <w:rPr>
          <w:rFonts w:hint="cs"/>
          <w:rtl/>
        </w:rPr>
        <w:t>, טור.</w:t>
      </w:r>
    </w:p>
  </w:footnote>
  <w:footnote w:id="831">
    <w:p w14:paraId="37ADED2A" w14:textId="77777777" w:rsidR="004B2E7C" w:rsidRDefault="004B2E7C" w:rsidP="00285819">
      <w:pPr>
        <w:pStyle w:val="a7"/>
        <w:rPr>
          <w:rtl/>
        </w:rPr>
      </w:pPr>
      <w:r>
        <w:rPr>
          <w:rStyle w:val="a9"/>
        </w:rPr>
        <w:footnoteRef/>
      </w:r>
      <w:r>
        <w:rPr>
          <w:rtl/>
        </w:rPr>
        <w:t xml:space="preserve"> </w:t>
      </w:r>
      <w:r w:rsidRPr="005A1FA8">
        <w:rPr>
          <w:rFonts w:cs="Arial"/>
          <w:rtl/>
        </w:rPr>
        <w:t xml:space="preserve">ראבי"ה </w:t>
      </w:r>
      <w:r w:rsidRPr="005B3388">
        <w:rPr>
          <w:rFonts w:cs="Arial" w:hint="cs"/>
          <w:sz w:val="16"/>
          <w:szCs w:val="16"/>
          <w:rtl/>
        </w:rPr>
        <w:t>(כ"כ ה</w:t>
      </w:r>
      <w:r w:rsidRPr="005B3388">
        <w:rPr>
          <w:rFonts w:cs="Arial"/>
          <w:sz w:val="16"/>
          <w:szCs w:val="16"/>
          <w:rtl/>
        </w:rPr>
        <w:t xml:space="preserve">מרדכי </w:t>
      </w:r>
      <w:r w:rsidRPr="005B3388">
        <w:rPr>
          <w:rFonts w:cs="Arial" w:hint="cs"/>
          <w:sz w:val="16"/>
          <w:szCs w:val="16"/>
          <w:rtl/>
        </w:rPr>
        <w:t>בשמו [</w:t>
      </w:r>
      <w:r w:rsidRPr="005B3388">
        <w:rPr>
          <w:rFonts w:cs="Arial"/>
          <w:sz w:val="16"/>
          <w:szCs w:val="16"/>
          <w:rtl/>
        </w:rPr>
        <w:t>פ</w:t>
      </w:r>
      <w:r w:rsidRPr="005B3388">
        <w:rPr>
          <w:rFonts w:cs="Arial" w:hint="cs"/>
          <w:sz w:val="16"/>
          <w:szCs w:val="16"/>
          <w:rtl/>
        </w:rPr>
        <w:t>"</w:t>
      </w:r>
      <w:r w:rsidRPr="005B3388">
        <w:rPr>
          <w:rFonts w:cs="Arial"/>
          <w:sz w:val="16"/>
          <w:szCs w:val="16"/>
          <w:rtl/>
        </w:rPr>
        <w:t>ב דשבת סי' רפד</w:t>
      </w:r>
      <w:r w:rsidRPr="005B3388">
        <w:rPr>
          <w:rFonts w:cs="Arial" w:hint="cs"/>
          <w:sz w:val="16"/>
          <w:szCs w:val="16"/>
          <w:rtl/>
        </w:rPr>
        <w:t>]</w:t>
      </w:r>
      <w:r w:rsidRPr="005B3388">
        <w:rPr>
          <w:rFonts w:cs="Arial"/>
          <w:sz w:val="16"/>
          <w:szCs w:val="16"/>
          <w:rtl/>
        </w:rPr>
        <w:t xml:space="preserve">) </w:t>
      </w:r>
      <w:r>
        <w:rPr>
          <w:rFonts w:cs="Arial" w:hint="cs"/>
          <w:rtl/>
        </w:rPr>
        <w:t xml:space="preserve">ר"י </w:t>
      </w:r>
      <w:r>
        <w:rPr>
          <w:rFonts w:cs="Arial" w:hint="cs"/>
          <w:sz w:val="16"/>
          <w:szCs w:val="16"/>
          <w:rtl/>
        </w:rPr>
        <w:t xml:space="preserve">(כ"כ הסמ"ג [שם] בשם ר' יהודה שירלאון בשם ר"י) </w:t>
      </w:r>
      <w:r w:rsidRPr="00CA5F1E">
        <w:rPr>
          <w:rFonts w:cs="Arial"/>
          <w:rtl/>
        </w:rPr>
        <w:t xml:space="preserve">סמ"ג </w:t>
      </w:r>
      <w:r w:rsidRPr="005B3388">
        <w:rPr>
          <w:rFonts w:cs="Arial" w:hint="cs"/>
          <w:sz w:val="16"/>
          <w:szCs w:val="16"/>
          <w:rtl/>
        </w:rPr>
        <w:t>(</w:t>
      </w:r>
      <w:r w:rsidRPr="005B3388">
        <w:rPr>
          <w:rFonts w:cs="Arial"/>
          <w:sz w:val="16"/>
          <w:szCs w:val="16"/>
          <w:rtl/>
        </w:rPr>
        <w:t>סי</w:t>
      </w:r>
      <w:r w:rsidRPr="005B3388">
        <w:rPr>
          <w:rFonts w:cs="Arial" w:hint="cs"/>
          <w:sz w:val="16"/>
          <w:szCs w:val="16"/>
          <w:rtl/>
        </w:rPr>
        <w:t>'</w:t>
      </w:r>
      <w:r w:rsidRPr="005B3388">
        <w:rPr>
          <w:rFonts w:cs="Arial"/>
          <w:sz w:val="16"/>
          <w:szCs w:val="16"/>
          <w:rtl/>
        </w:rPr>
        <w:t xml:space="preserve"> יט עשין קב ע"א)</w:t>
      </w:r>
      <w:r>
        <w:rPr>
          <w:rFonts w:cs="Arial" w:hint="cs"/>
          <w:rtl/>
        </w:rPr>
        <w:t xml:space="preserve"> וטור</w:t>
      </w:r>
      <w:r>
        <w:rPr>
          <w:rFonts w:hint="cs"/>
          <w:rtl/>
        </w:rPr>
        <w:t>.</w:t>
      </w:r>
    </w:p>
  </w:footnote>
  <w:footnote w:id="832">
    <w:p w14:paraId="26704511" w14:textId="77777777" w:rsidR="004B2E7C" w:rsidRDefault="004B2E7C" w:rsidP="00285819">
      <w:pPr>
        <w:pStyle w:val="a7"/>
      </w:pPr>
      <w:r>
        <w:rPr>
          <w:rStyle w:val="a9"/>
        </w:rPr>
        <w:footnoteRef/>
      </w:r>
      <w:r>
        <w:rPr>
          <w:rtl/>
        </w:rPr>
        <w:t xml:space="preserve"> </w:t>
      </w:r>
      <w:r w:rsidRPr="005A1FA8">
        <w:rPr>
          <w:rFonts w:cs="Arial"/>
          <w:rtl/>
        </w:rPr>
        <w:t>והאומרה הויא ברכה לבטלה</w:t>
      </w:r>
      <w:r>
        <w:rPr>
          <w:rFonts w:cs="Arial" w:hint="cs"/>
          <w:rtl/>
        </w:rPr>
        <w:t>, מרדכי (סי' רפד) בשם ראבי"ה.</w:t>
      </w:r>
    </w:p>
  </w:footnote>
  <w:footnote w:id="833">
    <w:p w14:paraId="3C166ABA" w14:textId="77777777" w:rsidR="004B2E7C" w:rsidRDefault="004B2E7C" w:rsidP="00285819">
      <w:pPr>
        <w:pStyle w:val="a7"/>
      </w:pPr>
      <w:r>
        <w:rPr>
          <w:rStyle w:val="a9"/>
        </w:rPr>
        <w:footnoteRef/>
      </w:r>
      <w:r>
        <w:rPr>
          <w:rtl/>
        </w:rPr>
        <w:t xml:space="preserve"> </w:t>
      </w:r>
      <w:r w:rsidRPr="00447DB9">
        <w:rPr>
          <w:rFonts w:cs="Arial"/>
          <w:rtl/>
        </w:rPr>
        <w:t>דהיינו שמתחיל מגן אבות עד זכר למעשה בראשית בלבד</w:t>
      </w:r>
      <w:r>
        <w:rPr>
          <w:rFonts w:cs="Arial" w:hint="cs"/>
          <w:rtl/>
        </w:rPr>
        <w:t>, משנ"ב (סקכ"א).</w:t>
      </w:r>
    </w:p>
  </w:footnote>
  <w:footnote w:id="834">
    <w:p w14:paraId="43093B56" w14:textId="77777777" w:rsidR="004B2E7C" w:rsidRDefault="004B2E7C" w:rsidP="00285819">
      <w:pPr>
        <w:pStyle w:val="a7"/>
      </w:pPr>
      <w:r>
        <w:rPr>
          <w:rStyle w:val="a9"/>
        </w:rPr>
        <w:footnoteRef/>
      </w:r>
      <w:r>
        <w:rPr>
          <w:rtl/>
        </w:rPr>
        <w:t xml:space="preserve"> </w:t>
      </w:r>
      <w:r w:rsidRPr="00447DB9">
        <w:rPr>
          <w:rFonts w:cs="Arial"/>
          <w:rtl/>
        </w:rPr>
        <w:t>כי עיקר התקנה היה שהש"ץ יברך אותה ע"כ נראה פשוט שמה שנוהגין באיזה מקומות שהש"ץ אומר בקול רם רק עד קונה שמים וארץ ואח"כ אומר בלחש לא יפה הן עושין אלא אחר שסיימו הקהל יתחיל הוא מגן אבות בקול רם</w:t>
      </w:r>
      <w:r>
        <w:rPr>
          <w:rFonts w:cs="Arial" w:hint="cs"/>
          <w:rtl/>
        </w:rPr>
        <w:t>, משנ"ב (סקכ"ב).</w:t>
      </w:r>
    </w:p>
  </w:footnote>
  <w:footnote w:id="835">
    <w:p w14:paraId="54361CF2" w14:textId="77777777" w:rsidR="004B2E7C" w:rsidRDefault="004B2E7C" w:rsidP="00285819">
      <w:pPr>
        <w:pStyle w:val="a7"/>
      </w:pPr>
      <w:r>
        <w:rPr>
          <w:rStyle w:val="a9"/>
        </w:rPr>
        <w:footnoteRef/>
      </w:r>
      <w:r>
        <w:rPr>
          <w:rtl/>
        </w:rPr>
        <w:t xml:space="preserve"> </w:t>
      </w:r>
      <w:r w:rsidRPr="00A449EF">
        <w:rPr>
          <w:rFonts w:cs="Arial"/>
          <w:rtl/>
        </w:rPr>
        <w:t>פי' כשמתפללין בביתם במנין וכ"ש אותן שמתפללין לפרקים במנין בבית אבל כשיש קביעות על איזה ימים ויש ס"ת אצלם וכמו בירידים דומה לבהכ"נ קבוע ואומרים</w:t>
      </w:r>
      <w:r>
        <w:rPr>
          <w:rFonts w:cs="Arial" w:hint="cs"/>
          <w:rtl/>
        </w:rPr>
        <w:t>, משנ"ב (סקכ"ד).</w:t>
      </w:r>
      <w:r w:rsidRPr="00A449EF">
        <w:rPr>
          <w:rtl/>
        </w:rPr>
        <w:t xml:space="preserve"> </w:t>
      </w:r>
      <w:r>
        <w:rPr>
          <w:rFonts w:cs="Arial" w:hint="cs"/>
          <w:rtl/>
        </w:rPr>
        <w:t>ו</w:t>
      </w:r>
      <w:r w:rsidRPr="00A449EF">
        <w:rPr>
          <w:rFonts w:cs="Arial"/>
          <w:rtl/>
        </w:rPr>
        <w:t>בבית המדרש מקום שמתקבצין שם התלמידים אומרים אותו (רדב"ז ח"א י"ח)</w:t>
      </w:r>
      <w:r>
        <w:rPr>
          <w:rFonts w:hint="cs"/>
          <w:rtl/>
        </w:rPr>
        <w:t>, מג"א (סקי"ג).</w:t>
      </w:r>
    </w:p>
  </w:footnote>
  <w:footnote w:id="836">
    <w:p w14:paraId="3B014D6D" w14:textId="77777777" w:rsidR="004B2E7C" w:rsidRDefault="004B2E7C" w:rsidP="00285819">
      <w:pPr>
        <w:pStyle w:val="a7"/>
        <w:rPr>
          <w:rtl/>
        </w:rPr>
      </w:pPr>
      <w:r>
        <w:rPr>
          <w:rStyle w:val="a9"/>
        </w:rPr>
        <w:footnoteRef/>
      </w:r>
      <w:r>
        <w:rPr>
          <w:rtl/>
        </w:rPr>
        <w:t xml:space="preserve"> </w:t>
      </w:r>
      <w:r w:rsidRPr="00A449EF">
        <w:rPr>
          <w:rFonts w:cs="Arial"/>
          <w:rtl/>
        </w:rPr>
        <w:t>ובמקום שנוהגין לאמרה אין למחות בידם כ"כ המ"א בשם הרדב"ז אבל הפמ"ג מפקפק בזה דהוי ספק ברכה לבטלה</w:t>
      </w:r>
      <w:r>
        <w:rPr>
          <w:rFonts w:hint="cs"/>
          <w:rtl/>
        </w:rPr>
        <w:t xml:space="preserve">, משנ"ב </w:t>
      </w:r>
      <w:r w:rsidRPr="00AA4A95">
        <w:rPr>
          <w:rFonts w:hint="cs"/>
          <w:rtl/>
        </w:rPr>
        <w:t>(סקכ"ו)</w:t>
      </w:r>
      <w:r>
        <w:rPr>
          <w:rFonts w:hint="cs"/>
          <w:rtl/>
        </w:rPr>
        <w:t>.</w:t>
      </w:r>
    </w:p>
  </w:footnote>
  <w:footnote w:id="837">
    <w:p w14:paraId="3C041C73" w14:textId="77777777" w:rsidR="004B2E7C" w:rsidRDefault="004B2E7C" w:rsidP="00285819">
      <w:pPr>
        <w:pStyle w:val="a7"/>
        <w:rPr>
          <w:rtl/>
        </w:rPr>
      </w:pPr>
      <w:r>
        <w:rPr>
          <w:rStyle w:val="a9"/>
        </w:rPr>
        <w:footnoteRef/>
      </w:r>
      <w:r>
        <w:rPr>
          <w:rtl/>
        </w:rPr>
        <w:t xml:space="preserve"> </w:t>
      </w:r>
      <w:r>
        <w:rPr>
          <w:rFonts w:cs="Arial" w:hint="cs"/>
          <w:rtl/>
        </w:rPr>
        <w:t xml:space="preserve">וז"ל- </w:t>
      </w:r>
      <w:r w:rsidRPr="00454C39">
        <w:rPr>
          <w:rFonts w:cs="Arial"/>
          <w:rtl/>
        </w:rPr>
        <w:t>ומהאי טעמא דפרישית דלא פלוג רבנן ניחא מה שאומר ברכת מעין שבע דהיינו מגן אבות בדברו כשחל יום טוב בע"ש דאע"ג דעיקרה נתקנה משום עם שבשדות [שבת כד ב] וביו"ט ליכא עם בשדות מ"מ לא פלוג רבנן.</w:t>
      </w:r>
    </w:p>
  </w:footnote>
  <w:footnote w:id="838">
    <w:p w14:paraId="04C4370E" w14:textId="77777777" w:rsidR="004B2E7C" w:rsidRDefault="004B2E7C" w:rsidP="00285819">
      <w:pPr>
        <w:pStyle w:val="a7"/>
        <w:rPr>
          <w:rtl/>
        </w:rPr>
      </w:pPr>
      <w:r>
        <w:rPr>
          <w:rStyle w:val="a9"/>
        </w:rPr>
        <w:footnoteRef/>
      </w:r>
      <w:r>
        <w:rPr>
          <w:rtl/>
        </w:rPr>
        <w:t xml:space="preserve"> </w:t>
      </w:r>
      <w:r>
        <w:rPr>
          <w:rFonts w:cs="Arial" w:hint="cs"/>
          <w:rtl/>
        </w:rPr>
        <w:t>ספר המנהיג</w:t>
      </w:r>
      <w:r w:rsidRPr="004964E4">
        <w:rPr>
          <w:rFonts w:cs="Arial"/>
          <w:rtl/>
        </w:rPr>
        <w:t xml:space="preserve"> </w:t>
      </w:r>
      <w:r w:rsidRPr="00AF427A">
        <w:rPr>
          <w:rFonts w:cs="Arial"/>
          <w:sz w:val="16"/>
          <w:szCs w:val="16"/>
          <w:rtl/>
        </w:rPr>
        <w:t>(הלכות שבת סי' ז'</w:t>
      </w:r>
      <w:r>
        <w:rPr>
          <w:rFonts w:cs="Arial" w:hint="cs"/>
          <w:sz w:val="16"/>
          <w:szCs w:val="16"/>
          <w:rtl/>
        </w:rPr>
        <w:t>, כ"כ הריב"ש [שם] בשמו</w:t>
      </w:r>
      <w:r w:rsidRPr="00AF427A">
        <w:rPr>
          <w:rFonts w:cs="Arial"/>
          <w:sz w:val="16"/>
          <w:szCs w:val="16"/>
          <w:rtl/>
        </w:rPr>
        <w:t>)</w:t>
      </w:r>
      <w:r w:rsidRPr="00454C39">
        <w:rPr>
          <w:rFonts w:cs="Arial"/>
          <w:rtl/>
        </w:rPr>
        <w:t xml:space="preserve"> </w:t>
      </w:r>
      <w:r>
        <w:rPr>
          <w:rFonts w:cs="Arial"/>
          <w:rtl/>
        </w:rPr>
        <w:t>מרדכ</w:t>
      </w:r>
      <w:r>
        <w:rPr>
          <w:rFonts w:cs="Arial" w:hint="cs"/>
          <w:rtl/>
        </w:rPr>
        <w:t>י</w:t>
      </w:r>
      <w:r>
        <w:rPr>
          <w:rFonts w:cs="Arial"/>
          <w:rtl/>
        </w:rPr>
        <w:t xml:space="preserve"> </w:t>
      </w:r>
      <w:r w:rsidRPr="00454C39">
        <w:rPr>
          <w:rFonts w:cs="Arial" w:hint="cs"/>
          <w:sz w:val="16"/>
          <w:szCs w:val="16"/>
          <w:rtl/>
        </w:rPr>
        <w:t>(</w:t>
      </w:r>
      <w:r w:rsidRPr="00454C39">
        <w:rPr>
          <w:rFonts w:cs="Arial"/>
          <w:sz w:val="16"/>
          <w:szCs w:val="16"/>
          <w:rtl/>
        </w:rPr>
        <w:t>פ</w:t>
      </w:r>
      <w:r w:rsidRPr="00454C39">
        <w:rPr>
          <w:rFonts w:cs="Arial" w:hint="cs"/>
          <w:sz w:val="16"/>
          <w:szCs w:val="16"/>
          <w:rtl/>
        </w:rPr>
        <w:t>'</w:t>
      </w:r>
      <w:r w:rsidRPr="00454C39">
        <w:rPr>
          <w:rFonts w:cs="Arial"/>
          <w:sz w:val="16"/>
          <w:szCs w:val="16"/>
          <w:rtl/>
        </w:rPr>
        <w:t xml:space="preserve"> ערבי פסחים </w:t>
      </w:r>
      <w:r w:rsidRPr="00454C39">
        <w:rPr>
          <w:rFonts w:cs="Arial" w:hint="cs"/>
          <w:sz w:val="16"/>
          <w:szCs w:val="16"/>
          <w:rtl/>
        </w:rPr>
        <w:t>סי' תריא</w:t>
      </w:r>
      <w:r>
        <w:rPr>
          <w:rFonts w:cs="Arial" w:hint="cs"/>
          <w:sz w:val="16"/>
          <w:szCs w:val="16"/>
          <w:rtl/>
        </w:rPr>
        <w:t>, הביאו הדרכ"מ [אות ה]</w:t>
      </w:r>
      <w:r w:rsidRPr="00454C39">
        <w:rPr>
          <w:rFonts w:cs="Arial" w:hint="cs"/>
          <w:sz w:val="16"/>
          <w:szCs w:val="16"/>
          <w:rtl/>
        </w:rPr>
        <w:t>)</w:t>
      </w:r>
      <w:r>
        <w:rPr>
          <w:rFonts w:cs="Arial" w:hint="cs"/>
          <w:rtl/>
        </w:rPr>
        <w:t xml:space="preserve"> ו</w:t>
      </w:r>
      <w:r w:rsidRPr="004964E4">
        <w:rPr>
          <w:rFonts w:cs="Arial"/>
          <w:rtl/>
        </w:rPr>
        <w:t xml:space="preserve">ריב"ש </w:t>
      </w:r>
      <w:r w:rsidRPr="00A449EF">
        <w:rPr>
          <w:rFonts w:cs="Arial"/>
          <w:sz w:val="16"/>
          <w:szCs w:val="16"/>
          <w:rtl/>
        </w:rPr>
        <w:t>(ס</w:t>
      </w:r>
      <w:r w:rsidRPr="00A449EF">
        <w:rPr>
          <w:rFonts w:cs="Arial" w:hint="cs"/>
          <w:sz w:val="16"/>
          <w:szCs w:val="16"/>
          <w:rtl/>
        </w:rPr>
        <w:t>י'</w:t>
      </w:r>
      <w:r w:rsidRPr="00A449EF">
        <w:rPr>
          <w:rFonts w:cs="Arial"/>
          <w:sz w:val="16"/>
          <w:szCs w:val="16"/>
          <w:rtl/>
        </w:rPr>
        <w:t xml:space="preserve"> מ)</w:t>
      </w:r>
      <w:r>
        <w:rPr>
          <w:rFonts w:hint="cs"/>
          <w:rtl/>
        </w:rPr>
        <w:t>.</w:t>
      </w:r>
    </w:p>
  </w:footnote>
  <w:footnote w:id="839">
    <w:p w14:paraId="7680CE4D" w14:textId="77777777" w:rsidR="004B2E7C" w:rsidRDefault="004B2E7C" w:rsidP="00285819">
      <w:pPr>
        <w:pStyle w:val="a7"/>
      </w:pPr>
      <w:r>
        <w:rPr>
          <w:rStyle w:val="a9"/>
        </w:rPr>
        <w:footnoteRef/>
      </w:r>
      <w:r>
        <w:rPr>
          <w:rtl/>
        </w:rPr>
        <w:t xml:space="preserve"> </w:t>
      </w:r>
      <w:r>
        <w:rPr>
          <w:rFonts w:hint="cs"/>
          <w:rtl/>
        </w:rPr>
        <w:t xml:space="preserve">הריב"ש (שם) הביא את שתי הדעות וכתב </w:t>
      </w:r>
      <w:r>
        <w:rPr>
          <w:rFonts w:cs="Arial" w:hint="cs"/>
          <w:rtl/>
        </w:rPr>
        <w:t>ד</w:t>
      </w:r>
      <w:r w:rsidRPr="004964E4">
        <w:rPr>
          <w:rFonts w:cs="Arial"/>
          <w:rtl/>
        </w:rPr>
        <w:t>יותר יש לסמוך על ספר המנהיג</w:t>
      </w:r>
      <w:r w:rsidRPr="00454C39">
        <w:rPr>
          <w:rFonts w:cs="Arial"/>
          <w:rtl/>
        </w:rPr>
        <w:t xml:space="preserve"> </w:t>
      </w:r>
      <w:r w:rsidRPr="004964E4">
        <w:rPr>
          <w:rFonts w:cs="Arial"/>
          <w:rtl/>
        </w:rPr>
        <w:t>שהיה מחברו רב גדול יותר ממחבר הספר ההוא</w:t>
      </w:r>
      <w:r>
        <w:rPr>
          <w:rFonts w:cs="Arial" w:hint="cs"/>
          <w:rtl/>
        </w:rPr>
        <w:t>.</w:t>
      </w:r>
      <w:r w:rsidRPr="004964E4">
        <w:rPr>
          <w:rFonts w:cs="Arial"/>
          <w:rtl/>
        </w:rPr>
        <w:t xml:space="preserve"> וגם מפני הראיות שכתבתי</w:t>
      </w:r>
      <w:r>
        <w:rPr>
          <w:rFonts w:hint="cs"/>
          <w:rtl/>
        </w:rPr>
        <w:t>.</w:t>
      </w:r>
    </w:p>
  </w:footnote>
  <w:footnote w:id="840">
    <w:p w14:paraId="46776558" w14:textId="77777777" w:rsidR="004B2E7C" w:rsidRDefault="004B2E7C" w:rsidP="00285819">
      <w:pPr>
        <w:pStyle w:val="a7"/>
      </w:pPr>
      <w:r>
        <w:rPr>
          <w:rStyle w:val="a9"/>
        </w:rPr>
        <w:footnoteRef/>
      </w:r>
      <w:r>
        <w:rPr>
          <w:rtl/>
        </w:rPr>
        <w:t xml:space="preserve"> </w:t>
      </w:r>
      <w:r>
        <w:rPr>
          <w:rFonts w:cs="Arial" w:hint="cs"/>
          <w:rtl/>
        </w:rPr>
        <w:t xml:space="preserve">וז"ל- </w:t>
      </w:r>
      <w:r w:rsidRPr="00CA5F1E">
        <w:rPr>
          <w:rFonts w:cs="Arial"/>
          <w:rtl/>
        </w:rPr>
        <w:t>מעשה בחסיד אחד שראה לחסיד אחר במותו ופניו מוריקות א"ל למה פניך מוריקות אמר לו מפני שהייתי מדבר בויכולו בשעה שהציבור היו אומרים אותו ובברכת מגן אבות בדברו וביתגדל</w:t>
      </w:r>
      <w:r>
        <w:rPr>
          <w:rFonts w:cs="Arial" w:hint="cs"/>
          <w:rtl/>
        </w:rPr>
        <w:t>.</w:t>
      </w:r>
    </w:p>
  </w:footnote>
  <w:footnote w:id="841">
    <w:p w14:paraId="6D77C718" w14:textId="77777777" w:rsidR="004B2E7C" w:rsidRDefault="004B2E7C" w:rsidP="00285819">
      <w:pPr>
        <w:pStyle w:val="a7"/>
      </w:pPr>
      <w:r>
        <w:rPr>
          <w:rStyle w:val="a9"/>
        </w:rPr>
        <w:footnoteRef/>
      </w:r>
      <w:r>
        <w:rPr>
          <w:rtl/>
        </w:rPr>
        <w:t xml:space="preserve"> </w:t>
      </w:r>
      <w:r>
        <w:rPr>
          <w:rFonts w:hint="cs"/>
          <w:rtl/>
        </w:rPr>
        <w:t xml:space="preserve">צל"ע היכן כתב כן, דהרי הסמ"ג (עשין יט) כתב וז"ל- </w:t>
      </w:r>
      <w:r w:rsidRPr="0010093D">
        <w:rPr>
          <w:rFonts w:cs="Arial"/>
          <w:rtl/>
        </w:rPr>
        <w:t>כתוב בסדר רב עמרם הכי אמר רבינו משה גאון יחיד שטעה בערב שבת ולא התפלל אתה קדשת כיון ששמע משליח צבור מגן אבות בדברו שהוא ברכה אחת מעין שבע מתחילה ועד סוף יצא [ידי] חובתו ורב נטרונאי גאון אמר דנפיק ביה אפילו לא התפלל כלל</w:t>
      </w:r>
      <w:r>
        <w:rPr>
          <w:rFonts w:cs="Arial" w:hint="cs"/>
          <w:rtl/>
        </w:rPr>
        <w:t>. עכ"ל. משמע דמסכים להם רב עמרם.</w:t>
      </w:r>
    </w:p>
  </w:footnote>
  <w:footnote w:id="842">
    <w:p w14:paraId="271DD3AA" w14:textId="77777777" w:rsidR="004B2E7C" w:rsidRDefault="004B2E7C" w:rsidP="00285819">
      <w:pPr>
        <w:pStyle w:val="a7"/>
        <w:rPr>
          <w:rtl/>
        </w:rPr>
      </w:pPr>
      <w:r>
        <w:rPr>
          <w:rStyle w:val="a9"/>
        </w:rPr>
        <w:footnoteRef/>
      </w:r>
      <w:r>
        <w:rPr>
          <w:rtl/>
        </w:rPr>
        <w:t xml:space="preserve"> </w:t>
      </w:r>
      <w:r w:rsidRPr="00CA5F1E">
        <w:rPr>
          <w:rFonts w:cs="Arial"/>
          <w:rtl/>
        </w:rPr>
        <w:t>ותימא הוא כיון שמחזירין אותו אם לא הזכיר של שבת היאך יוצא בברכה אחת מעין שבע ולא דמי למה שכתב בה"ג יחיד שלא הזכיר של ר"ח ושמע מש"ץ התפלה מראש ועד סוף שיצא דשאני התם ששומע כל התפלה אבל הכא היאך יוצא בברכת מעין שבע במקום שבע</w:t>
      </w:r>
      <w:r>
        <w:rPr>
          <w:rFonts w:cs="Arial" w:hint="cs"/>
          <w:rtl/>
        </w:rPr>
        <w:t>.</w:t>
      </w:r>
      <w:r w:rsidRPr="00CA5F1E">
        <w:rPr>
          <w:rFonts w:cs="Arial"/>
          <w:rtl/>
        </w:rPr>
        <w:t xml:space="preserve"> וקשיא טפי לרב נטרונאי שאומר שיוצא בו אפילו אם לא התפלל כלל דלא קי"ל כרבן גמליאל דאמר </w:t>
      </w:r>
      <w:r w:rsidRPr="00797AD8">
        <w:rPr>
          <w:rFonts w:cs="Arial"/>
          <w:sz w:val="16"/>
          <w:szCs w:val="16"/>
          <w:rtl/>
        </w:rPr>
        <w:t>(ראש השנה לה</w:t>
      </w:r>
      <w:r w:rsidRPr="00797AD8">
        <w:rPr>
          <w:rFonts w:cs="Arial" w:hint="cs"/>
          <w:sz w:val="16"/>
          <w:szCs w:val="16"/>
          <w:rtl/>
        </w:rPr>
        <w:t>.</w:t>
      </w:r>
      <w:r w:rsidRPr="00797AD8">
        <w:rPr>
          <w:rFonts w:cs="Arial"/>
          <w:sz w:val="16"/>
          <w:szCs w:val="16"/>
          <w:rtl/>
        </w:rPr>
        <w:t xml:space="preserve">) </w:t>
      </w:r>
      <w:r w:rsidRPr="00CA5F1E">
        <w:rPr>
          <w:rFonts w:cs="Arial"/>
          <w:rtl/>
        </w:rPr>
        <w:t>ש"ץ פוטר היחיד אלא בראש השנה ויום הכיפורים אבל בשאר ימות השנה לא</w:t>
      </w:r>
      <w:r>
        <w:rPr>
          <w:rFonts w:cs="Arial" w:hint="cs"/>
          <w:rtl/>
        </w:rPr>
        <w:t>, טור.</w:t>
      </w:r>
      <w:r w:rsidRPr="00797AD8">
        <w:rPr>
          <w:rFonts w:cs="Arial"/>
          <w:rtl/>
        </w:rPr>
        <w:t xml:space="preserve"> </w:t>
      </w:r>
      <w:r>
        <w:rPr>
          <w:rFonts w:cs="Arial" w:hint="cs"/>
          <w:rtl/>
        </w:rPr>
        <w:t xml:space="preserve">וכתב הב"י- </w:t>
      </w:r>
      <w:r w:rsidRPr="00CA5F1E">
        <w:rPr>
          <w:rFonts w:cs="Arial"/>
          <w:rtl/>
        </w:rPr>
        <w:t>אין ספק שיש לתמוה על דברי הגאונים האלה כמו שתמה רבינו, אך יש לומר שטעם הגאונים האלו דכיון דתפלת ערבית רשות לא חמירא כשאר תפלות לרב משה כדאית ליה ולרב נטרונאי כדאית ליה וכן נראה מדברי סמ"ג שהביא דברי הגאונים האלו שטעמם משום דתפלת ערבית רשות</w:t>
      </w:r>
      <w:r>
        <w:rPr>
          <w:rFonts w:cs="Arial" w:hint="cs"/>
          <w:rtl/>
        </w:rPr>
        <w:t>.</w:t>
      </w:r>
    </w:p>
  </w:footnote>
  <w:footnote w:id="843">
    <w:p w14:paraId="3E4DE29F" w14:textId="77777777" w:rsidR="004B2E7C" w:rsidRDefault="004B2E7C" w:rsidP="00285819">
      <w:pPr>
        <w:pStyle w:val="a7"/>
      </w:pPr>
      <w:r>
        <w:rPr>
          <w:rStyle w:val="a9"/>
        </w:rPr>
        <w:footnoteRef/>
      </w:r>
      <w:r>
        <w:rPr>
          <w:rtl/>
        </w:rPr>
        <w:t xml:space="preserve"> </w:t>
      </w:r>
      <w:r w:rsidRPr="003623C8">
        <w:rPr>
          <w:rFonts w:cs="Arial"/>
          <w:rtl/>
        </w:rPr>
        <w:t>וכ</w:t>
      </w:r>
      <w:r>
        <w:rPr>
          <w:rFonts w:cs="Arial" w:hint="cs"/>
          <w:rtl/>
        </w:rPr>
        <w:t>"</w:t>
      </w:r>
      <w:r w:rsidRPr="003623C8">
        <w:rPr>
          <w:rFonts w:cs="Arial"/>
          <w:rtl/>
        </w:rPr>
        <w:t>כ המרדכי פ</w:t>
      </w:r>
      <w:r>
        <w:rPr>
          <w:rFonts w:cs="Arial" w:hint="cs"/>
          <w:rtl/>
        </w:rPr>
        <w:t>'</w:t>
      </w:r>
      <w:r w:rsidRPr="003623C8">
        <w:rPr>
          <w:rFonts w:cs="Arial"/>
          <w:rtl/>
        </w:rPr>
        <w:t xml:space="preserve"> ואלו קשרים </w:t>
      </w:r>
      <w:r w:rsidRPr="0038124D">
        <w:rPr>
          <w:rFonts w:cs="Arial"/>
          <w:sz w:val="16"/>
          <w:szCs w:val="16"/>
          <w:rtl/>
        </w:rPr>
        <w:t>(שבת ס</w:t>
      </w:r>
      <w:r w:rsidRPr="0038124D">
        <w:rPr>
          <w:rFonts w:cs="Arial" w:hint="cs"/>
          <w:sz w:val="16"/>
          <w:szCs w:val="16"/>
          <w:rtl/>
        </w:rPr>
        <w:t>"ס</w:t>
      </w:r>
      <w:r w:rsidRPr="0038124D">
        <w:rPr>
          <w:rFonts w:cs="Arial"/>
          <w:sz w:val="16"/>
          <w:szCs w:val="16"/>
          <w:rtl/>
        </w:rPr>
        <w:t xml:space="preserve"> שפח)</w:t>
      </w:r>
      <w:r>
        <w:rPr>
          <w:rFonts w:cs="Arial" w:hint="cs"/>
          <w:rtl/>
        </w:rPr>
        <w:t>.</w:t>
      </w:r>
      <w:r w:rsidRPr="003623C8">
        <w:rPr>
          <w:rFonts w:cs="Arial"/>
          <w:rtl/>
        </w:rPr>
        <w:t xml:space="preserve"> ולקמן סי</w:t>
      </w:r>
      <w:r>
        <w:rPr>
          <w:rFonts w:cs="Arial" w:hint="cs"/>
          <w:rtl/>
        </w:rPr>
        <w:t>'</w:t>
      </w:r>
      <w:r w:rsidRPr="003623C8">
        <w:rPr>
          <w:rFonts w:cs="Arial"/>
          <w:rtl/>
        </w:rPr>
        <w:t xml:space="preserve"> שכ"ח </w:t>
      </w:r>
      <w:r w:rsidRPr="0038124D">
        <w:rPr>
          <w:rFonts w:cs="Arial"/>
          <w:sz w:val="16"/>
          <w:szCs w:val="16"/>
          <w:rtl/>
        </w:rPr>
        <w:t xml:space="preserve">(עמ' רצה) </w:t>
      </w:r>
      <w:r w:rsidRPr="003623C8">
        <w:rPr>
          <w:rFonts w:cs="Arial"/>
          <w:rtl/>
        </w:rPr>
        <w:t>יתבאר דין נתינת יין על גבי עין בשבת</w:t>
      </w:r>
      <w:r>
        <w:rPr>
          <w:rFonts w:cs="Arial" w:hint="cs"/>
          <w:rtl/>
        </w:rPr>
        <w:t xml:space="preserve">, דרכ"מ </w:t>
      </w:r>
      <w:r w:rsidRPr="0038124D">
        <w:rPr>
          <w:rFonts w:cs="Arial" w:hint="cs"/>
          <w:sz w:val="16"/>
          <w:szCs w:val="16"/>
          <w:rtl/>
        </w:rPr>
        <w:t>(אות א-ב)</w:t>
      </w:r>
      <w:r w:rsidRPr="003623C8">
        <w:rPr>
          <w:rFonts w:cs="Arial"/>
          <w:rtl/>
        </w:rPr>
        <w:t>.</w:t>
      </w:r>
    </w:p>
  </w:footnote>
  <w:footnote w:id="844">
    <w:p w14:paraId="4CFBBAA3" w14:textId="77777777" w:rsidR="004B2E7C" w:rsidRDefault="004B2E7C" w:rsidP="00285819">
      <w:pPr>
        <w:pStyle w:val="a7"/>
        <w:rPr>
          <w:rtl/>
        </w:rPr>
      </w:pPr>
      <w:r>
        <w:rPr>
          <w:rStyle w:val="a9"/>
        </w:rPr>
        <w:footnoteRef/>
      </w:r>
      <w:r>
        <w:rPr>
          <w:rtl/>
        </w:rPr>
        <w:t xml:space="preserve"> </w:t>
      </w:r>
      <w:r>
        <w:rPr>
          <w:rFonts w:cs="Arial"/>
          <w:rtl/>
        </w:rPr>
        <w:t>אבל הר"ן שם (כ. דיבור ראשון) קיים המנהג משום דכיון דמעיקרא איתקן משום אורחים אמרינן ליה שתקנות חכמים קבועות הן</w:t>
      </w:r>
      <w:r>
        <w:rPr>
          <w:rFonts w:cs="Arial" w:hint="cs"/>
          <w:rtl/>
        </w:rPr>
        <w:t>.</w:t>
      </w:r>
      <w:r>
        <w:rPr>
          <w:rFonts w:cs="Arial"/>
          <w:rtl/>
        </w:rPr>
        <w:t xml:space="preserve"> כדאשכחן במעין שבע (שבת כד:) דאיתקן משום עם שבשדות הבאים באחרונה</w:t>
      </w:r>
      <w:r>
        <w:rPr>
          <w:rFonts w:cs="Arial" w:hint="cs"/>
          <w:rtl/>
        </w:rPr>
        <w:t>,</w:t>
      </w:r>
      <w:r>
        <w:rPr>
          <w:rFonts w:cs="Arial"/>
          <w:rtl/>
        </w:rPr>
        <w:t xml:space="preserve"> ואפילו היכא דליתיה לההוא טעמא</w:t>
      </w:r>
      <w:r>
        <w:rPr>
          <w:rFonts w:cs="Arial" w:hint="cs"/>
          <w:rtl/>
        </w:rPr>
        <w:t>,</w:t>
      </w:r>
      <w:r>
        <w:rPr>
          <w:rFonts w:cs="Arial"/>
          <w:rtl/>
        </w:rPr>
        <w:t xml:space="preserve"> כגון דאיתנהו כולהו בבי כנישתא</w:t>
      </w:r>
      <w:r>
        <w:rPr>
          <w:rFonts w:cs="Arial" w:hint="cs"/>
          <w:rtl/>
        </w:rPr>
        <w:t>,</w:t>
      </w:r>
      <w:r>
        <w:rPr>
          <w:rFonts w:cs="Arial"/>
          <w:rtl/>
        </w:rPr>
        <w:t xml:space="preserve"> אמרינן ליה דכיון דאיתקן איתקן</w:t>
      </w:r>
      <w:r>
        <w:rPr>
          <w:rFonts w:cs="Arial" w:hint="cs"/>
          <w:rtl/>
        </w:rPr>
        <w:t>.</w:t>
      </w:r>
      <w:r>
        <w:rPr>
          <w:rFonts w:cs="Arial"/>
          <w:rtl/>
        </w:rPr>
        <w:t xml:space="preserve"> וכ</w:t>
      </w:r>
      <w:r>
        <w:rPr>
          <w:rFonts w:cs="Arial" w:hint="cs"/>
          <w:rtl/>
        </w:rPr>
        <w:t>"כ ה"מ</w:t>
      </w:r>
      <w:r>
        <w:rPr>
          <w:rFonts w:cs="Arial"/>
          <w:rtl/>
        </w:rPr>
        <w:t xml:space="preserve"> בפכ"ט (מהל' שבת ה"ח), וכ</w:t>
      </w:r>
      <w:r>
        <w:rPr>
          <w:rFonts w:cs="Arial" w:hint="cs"/>
          <w:rtl/>
        </w:rPr>
        <w:t>"כ</w:t>
      </w:r>
      <w:r>
        <w:rPr>
          <w:rFonts w:cs="Arial"/>
          <w:rtl/>
        </w:rPr>
        <w:t xml:space="preserve"> הרמב"ם בתשובה (פאר הדור סי' קמח) גבי שליח צבור שצריך לחזור התפלה אפילו אין שם מי שאינו בקי מפני שכבר התקינו לחזור התפילה</w:t>
      </w:r>
      <w:r>
        <w:rPr>
          <w:rFonts w:cs="Arial" w:hint="cs"/>
          <w:rtl/>
        </w:rPr>
        <w:t>,</w:t>
      </w:r>
      <w:r>
        <w:rPr>
          <w:rFonts w:cs="Arial"/>
          <w:rtl/>
        </w:rPr>
        <w:t xml:space="preserve"> וכתבה ה"ר דוד אבודרהם בסדר תפלות החול (סדר שחרית של חול ופירושה, ע' קיז)</w:t>
      </w:r>
      <w:r>
        <w:rPr>
          <w:rFonts w:cs="Arial" w:hint="cs"/>
          <w:rtl/>
        </w:rPr>
        <w:t>,</w:t>
      </w:r>
      <w:r>
        <w:rPr>
          <w:rFonts w:cs="Arial"/>
          <w:rtl/>
        </w:rPr>
        <w:t xml:space="preserve"> וכתבתיה בסימן קכ"ד (קו: ד"ה וכתב הרד"א שנשאל), וכן כתב הרשב"א בתשובה (ח"א סי' לז). וכתב עוד באותה תשובה שנראה לו שמחזירין על היין לקדש עליו בבית הכנסת שתקנה קבועה היא וצריך לחזר אחריה עכ"ל</w:t>
      </w:r>
      <w:r>
        <w:rPr>
          <w:rFonts w:hint="cs"/>
          <w:rtl/>
        </w:rPr>
        <w:t>.</w:t>
      </w:r>
      <w:r w:rsidRPr="00E6355C">
        <w:rPr>
          <w:rFonts w:cs="Arial"/>
          <w:rtl/>
        </w:rPr>
        <w:t xml:space="preserve"> </w:t>
      </w:r>
      <w:r w:rsidRPr="006417D4">
        <w:rPr>
          <w:rFonts w:cs="Arial"/>
          <w:rtl/>
        </w:rPr>
        <w:t>ובארץ ישראל נהגו שלא לקדש בבית הכנסת והוא הנכון</w:t>
      </w:r>
      <w:r>
        <w:rPr>
          <w:rFonts w:hint="cs"/>
          <w:rtl/>
        </w:rPr>
        <w:t>, ב"י.</w:t>
      </w:r>
    </w:p>
  </w:footnote>
  <w:footnote w:id="845">
    <w:p w14:paraId="7033E6FD" w14:textId="77777777" w:rsidR="004B2E7C" w:rsidRDefault="004B2E7C" w:rsidP="00285819">
      <w:pPr>
        <w:pStyle w:val="a7"/>
      </w:pPr>
      <w:r>
        <w:rPr>
          <w:rStyle w:val="a9"/>
        </w:rPr>
        <w:footnoteRef/>
      </w:r>
      <w:r>
        <w:rPr>
          <w:rtl/>
        </w:rPr>
        <w:t xml:space="preserve"> </w:t>
      </w:r>
      <w:r>
        <w:rPr>
          <w:rFonts w:cs="Arial"/>
          <w:rtl/>
        </w:rPr>
        <w:t>וה"ר יונה פירש דאינה ברכה לבטלה</w:t>
      </w:r>
      <w:r>
        <w:rPr>
          <w:rFonts w:cs="Arial" w:hint="cs"/>
          <w:rtl/>
        </w:rPr>
        <w:t>,</w:t>
      </w:r>
      <w:r>
        <w:rPr>
          <w:rFonts w:cs="Arial"/>
          <w:rtl/>
        </w:rPr>
        <w:t xml:space="preserve"> דהא דאמרינן דאין קידוש אלא במקום סעודה היינו מדרבנן ואסמכוה רבנן אקראי (ישעיה נח יג) וקראת לשבת עונג</w:t>
      </w:r>
      <w:r>
        <w:rPr>
          <w:rFonts w:cs="Arial" w:hint="cs"/>
          <w:rtl/>
        </w:rPr>
        <w:t>,</w:t>
      </w:r>
      <w:r>
        <w:rPr>
          <w:rFonts w:cs="Arial"/>
          <w:rtl/>
        </w:rPr>
        <w:t xml:space="preserve"> ועיקר הקידוש מן התורה הוא</w:t>
      </w:r>
      <w:r>
        <w:rPr>
          <w:rFonts w:cs="Arial" w:hint="cs"/>
          <w:rtl/>
        </w:rPr>
        <w:t>,</w:t>
      </w:r>
      <w:r>
        <w:rPr>
          <w:rFonts w:cs="Arial"/>
          <w:rtl/>
        </w:rPr>
        <w:t xml:space="preserve"> הילכך כיון שיש בני אדם שאין יודעין לקדש נהגו לקדש בבית הכנסת כדי שיצאו ידי קידוש מן התורה</w:t>
      </w:r>
      <w:r>
        <w:rPr>
          <w:rFonts w:cs="Arial" w:hint="cs"/>
          <w:rtl/>
        </w:rPr>
        <w:t>.</w:t>
      </w:r>
      <w:r>
        <w:rPr>
          <w:rFonts w:cs="Arial"/>
          <w:rtl/>
        </w:rPr>
        <w:t xml:space="preserve"> </w:t>
      </w:r>
      <w:r>
        <w:rPr>
          <w:rFonts w:cs="Arial" w:hint="cs"/>
          <w:rtl/>
        </w:rPr>
        <w:t xml:space="preserve">והביא הרא"ש דבריו, וכתב וז"ל- </w:t>
      </w:r>
      <w:r>
        <w:rPr>
          <w:rFonts w:cs="Arial"/>
          <w:rtl/>
        </w:rPr>
        <w:t xml:space="preserve">והא דקאמר </w:t>
      </w:r>
      <w:r>
        <w:rPr>
          <w:rFonts w:cs="Arial" w:hint="cs"/>
          <w:sz w:val="16"/>
          <w:szCs w:val="16"/>
          <w:rtl/>
        </w:rPr>
        <w:t xml:space="preserve">{בגמ'} </w:t>
      </w:r>
      <w:r>
        <w:rPr>
          <w:rFonts w:cs="Arial" w:hint="cs"/>
          <w:rtl/>
        </w:rPr>
        <w:t>'</w:t>
      </w:r>
      <w:r>
        <w:rPr>
          <w:rFonts w:cs="Arial"/>
          <w:rtl/>
        </w:rPr>
        <w:t>אין קידוש אלא במקום סעודה</w:t>
      </w:r>
      <w:r>
        <w:rPr>
          <w:rFonts w:cs="Arial" w:hint="cs"/>
          <w:rtl/>
        </w:rPr>
        <w:t>'</w:t>
      </w:r>
      <w:r>
        <w:rPr>
          <w:rFonts w:cs="Arial"/>
          <w:rtl/>
        </w:rPr>
        <w:t xml:space="preserve"> לא משמע כפירושו</w:t>
      </w:r>
      <w:r>
        <w:rPr>
          <w:rFonts w:cs="Arial" w:hint="cs"/>
          <w:sz w:val="16"/>
          <w:szCs w:val="16"/>
          <w:rtl/>
        </w:rPr>
        <w:t xml:space="preserve"> {של ה"ר יונה}</w:t>
      </w:r>
      <w:r>
        <w:rPr>
          <w:rFonts w:cs="Arial" w:hint="cs"/>
          <w:rtl/>
        </w:rPr>
        <w:t>,</w:t>
      </w:r>
      <w:r>
        <w:rPr>
          <w:rFonts w:cs="Arial"/>
          <w:rtl/>
        </w:rPr>
        <w:t xml:space="preserve"> דמשמע שאינו קידוש כלל</w:t>
      </w:r>
      <w:r>
        <w:rPr>
          <w:rFonts w:cs="Arial" w:hint="cs"/>
          <w:rtl/>
        </w:rPr>
        <w:t>.</w:t>
      </w:r>
      <w:r>
        <w:rPr>
          <w:rFonts w:cs="Arial"/>
          <w:rtl/>
        </w:rPr>
        <w:t xml:space="preserve"> וכן הא דאמר רבה (שם) ובקידושא דהכא לא נפקיתו</w:t>
      </w:r>
      <w:r>
        <w:rPr>
          <w:rFonts w:cs="Arial" w:hint="cs"/>
          <w:rtl/>
        </w:rPr>
        <w:t>.</w:t>
      </w:r>
      <w:r>
        <w:rPr>
          <w:rFonts w:cs="Arial"/>
          <w:rtl/>
        </w:rPr>
        <w:t xml:space="preserve"> ועוד קשה מאי קאמר לשמואל למה לי לקדושי בבי כנישתא</w:t>
      </w:r>
      <w:r>
        <w:rPr>
          <w:rFonts w:cs="Arial" w:hint="cs"/>
          <w:rtl/>
        </w:rPr>
        <w:t>,</w:t>
      </w:r>
      <w:r>
        <w:rPr>
          <w:rFonts w:cs="Arial"/>
          <w:rtl/>
        </w:rPr>
        <w:t xml:space="preserve"> לימא להוציא מי שאינו יודע לקדש בביתו</w:t>
      </w:r>
      <w:r>
        <w:rPr>
          <w:rFonts w:cs="Arial" w:hint="cs"/>
          <w:rtl/>
        </w:rPr>
        <w:t>.</w:t>
      </w:r>
      <w:r>
        <w:rPr>
          <w:rFonts w:cs="Arial"/>
          <w:rtl/>
        </w:rPr>
        <w:t xml:space="preserve"> עכ"ל הרא"ש</w:t>
      </w:r>
      <w:r>
        <w:rPr>
          <w:rFonts w:cs="Arial" w:hint="cs"/>
          <w:rtl/>
        </w:rPr>
        <w:t>.</w:t>
      </w:r>
      <w:r>
        <w:rPr>
          <w:rFonts w:cs="Arial"/>
          <w:rtl/>
        </w:rPr>
        <w:t xml:space="preserve"> וכ</w:t>
      </w:r>
      <w:r>
        <w:rPr>
          <w:rFonts w:cs="Arial" w:hint="cs"/>
          <w:rtl/>
        </w:rPr>
        <w:t>"</w:t>
      </w:r>
      <w:r>
        <w:rPr>
          <w:rFonts w:cs="Arial"/>
          <w:rtl/>
        </w:rPr>
        <w:t>כ שם התוס</w:t>
      </w:r>
      <w:r>
        <w:rPr>
          <w:rFonts w:cs="Arial" w:hint="cs"/>
          <w:rtl/>
        </w:rPr>
        <w:t>'</w:t>
      </w:r>
      <w:r>
        <w:rPr>
          <w:rFonts w:cs="Arial"/>
          <w:rtl/>
        </w:rPr>
        <w:t xml:space="preserve"> </w:t>
      </w:r>
      <w:r w:rsidRPr="006417D4">
        <w:rPr>
          <w:rFonts w:cs="Arial"/>
          <w:sz w:val="16"/>
          <w:szCs w:val="16"/>
          <w:rtl/>
        </w:rPr>
        <w:t>(ק: ד"ה ידי קידוש)</w:t>
      </w:r>
      <w:r>
        <w:rPr>
          <w:rFonts w:cs="Arial"/>
          <w:rtl/>
        </w:rPr>
        <w:t>.</w:t>
      </w:r>
    </w:p>
  </w:footnote>
  <w:footnote w:id="846">
    <w:p w14:paraId="123167B5" w14:textId="77777777" w:rsidR="004B2E7C" w:rsidRDefault="004B2E7C" w:rsidP="00285819">
      <w:pPr>
        <w:pStyle w:val="a7"/>
      </w:pPr>
      <w:r>
        <w:rPr>
          <w:rStyle w:val="a9"/>
        </w:rPr>
        <w:footnoteRef/>
      </w:r>
      <w:r>
        <w:rPr>
          <w:rtl/>
        </w:rPr>
        <w:t xml:space="preserve"> </w:t>
      </w:r>
      <w:r>
        <w:rPr>
          <w:rFonts w:cs="Arial" w:hint="cs"/>
          <w:rtl/>
        </w:rPr>
        <w:t>ו</w:t>
      </w:r>
      <w:r w:rsidRPr="003623C8">
        <w:rPr>
          <w:rFonts w:cs="Arial"/>
          <w:rtl/>
        </w:rPr>
        <w:t>כתב הכל בו (סי' לה, לז ע"ג) דנהגו לעמוד בשעה שמקדשין בבית הכנסת ואמרו רז"ל (הלכות גדולות סוס"י כז) דמעלי לברכי פירוש עייפות הרגלים</w:t>
      </w:r>
      <w:r>
        <w:rPr>
          <w:rFonts w:cs="Arial" w:hint="cs"/>
          <w:rtl/>
        </w:rPr>
        <w:t>, דרכ"מ (אות ב).</w:t>
      </w:r>
      <w:r w:rsidRPr="0038124D">
        <w:rPr>
          <w:rFonts w:hint="cs"/>
          <w:color w:val="00B0F0"/>
          <w:rtl/>
        </w:rPr>
        <w:t xml:space="preserve"> (וכ"פ בהג"ה)</w:t>
      </w:r>
    </w:p>
  </w:footnote>
  <w:footnote w:id="847">
    <w:p w14:paraId="0C643E88" w14:textId="77777777" w:rsidR="004B2E7C" w:rsidRDefault="004B2E7C" w:rsidP="00285819">
      <w:pPr>
        <w:pStyle w:val="a7"/>
      </w:pPr>
      <w:r>
        <w:rPr>
          <w:rStyle w:val="a9"/>
        </w:rPr>
        <w:footnoteRef/>
      </w:r>
      <w:r>
        <w:rPr>
          <w:rtl/>
        </w:rPr>
        <w:t xml:space="preserve"> </w:t>
      </w:r>
      <w:r w:rsidRPr="003623C8">
        <w:rPr>
          <w:rFonts w:cs="Arial"/>
          <w:rtl/>
        </w:rPr>
        <w:t>וכל דבריו תמוהין</w:t>
      </w:r>
      <w:r>
        <w:rPr>
          <w:rFonts w:cs="Arial" w:hint="cs"/>
          <w:rtl/>
        </w:rPr>
        <w:t>,</w:t>
      </w:r>
      <w:r w:rsidRPr="003623C8">
        <w:rPr>
          <w:rFonts w:cs="Arial"/>
          <w:rtl/>
        </w:rPr>
        <w:t xml:space="preserve"> מ"ש שיוצאין בשמיעה בלא טעימה</w:t>
      </w:r>
      <w:r>
        <w:rPr>
          <w:rFonts w:cs="Arial" w:hint="cs"/>
          <w:rtl/>
        </w:rPr>
        <w:t>,</w:t>
      </w:r>
      <w:r w:rsidRPr="003623C8">
        <w:rPr>
          <w:rFonts w:cs="Arial"/>
          <w:rtl/>
        </w:rPr>
        <w:t xml:space="preserve"> תמה על עצמך היאך יוצאין אפילו בטעימה כיון שאינו מקום סעודה</w:t>
      </w:r>
      <w:r>
        <w:rPr>
          <w:rFonts w:cs="Arial" w:hint="cs"/>
          <w:rtl/>
        </w:rPr>
        <w:t>.</w:t>
      </w:r>
      <w:r w:rsidRPr="003623C8">
        <w:rPr>
          <w:rFonts w:cs="Arial"/>
          <w:rtl/>
        </w:rPr>
        <w:t xml:space="preserve"> ולא עוד אלא שאסורין לטעום כדפי'</w:t>
      </w:r>
      <w:r>
        <w:rPr>
          <w:rFonts w:cs="Arial" w:hint="cs"/>
          <w:rtl/>
        </w:rPr>
        <w:t>.</w:t>
      </w:r>
      <w:r w:rsidRPr="003623C8">
        <w:rPr>
          <w:rFonts w:cs="Arial"/>
          <w:rtl/>
        </w:rPr>
        <w:t xml:space="preserve"> וגם מ"ש שתיקנו לקדש משום רפואה</w:t>
      </w:r>
      <w:r>
        <w:rPr>
          <w:rFonts w:cs="Arial" w:hint="cs"/>
          <w:rtl/>
        </w:rPr>
        <w:t>,</w:t>
      </w:r>
      <w:r w:rsidRPr="003623C8">
        <w:rPr>
          <w:rFonts w:cs="Arial"/>
          <w:rtl/>
        </w:rPr>
        <w:t xml:space="preserve"> זה לא מצינו</w:t>
      </w:r>
      <w:r>
        <w:rPr>
          <w:rFonts w:cs="Arial" w:hint="cs"/>
          <w:rtl/>
        </w:rPr>
        <w:t>,</w:t>
      </w:r>
      <w:r w:rsidRPr="003623C8">
        <w:rPr>
          <w:rFonts w:cs="Arial"/>
          <w:rtl/>
        </w:rPr>
        <w:t xml:space="preserve"> שלא תקנו אותו אלא משום אורחין וכיון דליכא אורחין ראוי היה שלא לקדש</w:t>
      </w:r>
      <w:r>
        <w:rPr>
          <w:rFonts w:cs="Arial" w:hint="cs"/>
          <w:rtl/>
        </w:rPr>
        <w:t>.</w:t>
      </w:r>
      <w:r w:rsidRPr="003623C8">
        <w:rPr>
          <w:rFonts w:cs="Arial"/>
          <w:rtl/>
        </w:rPr>
        <w:t xml:space="preserve"> ואי איישר חילי אבטליניה</w:t>
      </w:r>
      <w:r>
        <w:rPr>
          <w:rFonts w:cs="Arial" w:hint="cs"/>
          <w:rtl/>
        </w:rPr>
        <w:t>.</w:t>
      </w:r>
      <w:r w:rsidRPr="003623C8">
        <w:rPr>
          <w:rFonts w:cs="Arial"/>
          <w:rtl/>
        </w:rPr>
        <w:t xml:space="preserve"> וכ"כ רב האי שאם אין אורחין אין מקדשין בבהכ"נ</w:t>
      </w:r>
      <w:r>
        <w:rPr>
          <w:rFonts w:cs="Arial" w:hint="cs"/>
          <w:rtl/>
        </w:rPr>
        <w:t>, טור.</w:t>
      </w:r>
      <w:r w:rsidRPr="006417D4">
        <w:rPr>
          <w:rFonts w:cs="Arial"/>
          <w:rtl/>
        </w:rPr>
        <w:t xml:space="preserve"> </w:t>
      </w:r>
      <w:r>
        <w:rPr>
          <w:rFonts w:cs="Arial" w:hint="cs"/>
          <w:rtl/>
        </w:rPr>
        <w:t>ועיין בב"י שביאר בארוכה את כוונתו של רב נטורנאי גאון.</w:t>
      </w:r>
    </w:p>
  </w:footnote>
  <w:footnote w:id="848">
    <w:p w14:paraId="7CBFAE96" w14:textId="77777777" w:rsidR="004B2E7C" w:rsidRDefault="004B2E7C" w:rsidP="00285819">
      <w:pPr>
        <w:pStyle w:val="a7"/>
        <w:rPr>
          <w:rtl/>
        </w:rPr>
      </w:pPr>
      <w:r>
        <w:rPr>
          <w:rStyle w:val="a9"/>
        </w:rPr>
        <w:footnoteRef/>
      </w:r>
      <w:r>
        <w:rPr>
          <w:rtl/>
        </w:rPr>
        <w:t xml:space="preserve"> </w:t>
      </w:r>
      <w:r w:rsidRPr="00B26941">
        <w:rPr>
          <w:rFonts w:cs="Arial"/>
          <w:rtl/>
        </w:rPr>
        <w:t xml:space="preserve">וראיה מדאמרינן לעיל </w:t>
      </w:r>
      <w:r>
        <w:rPr>
          <w:rFonts w:cs="Arial" w:hint="cs"/>
          <w:rtl/>
        </w:rPr>
        <w:t>(</w:t>
      </w:r>
      <w:r w:rsidRPr="00B26941">
        <w:rPr>
          <w:rFonts w:cs="Arial"/>
          <w:rtl/>
        </w:rPr>
        <w:t>ק</w:t>
      </w:r>
      <w:r>
        <w:rPr>
          <w:rFonts w:cs="Arial" w:hint="cs"/>
          <w:rtl/>
        </w:rPr>
        <w:t>.)</w:t>
      </w:r>
      <w:r w:rsidRPr="00B26941">
        <w:rPr>
          <w:rFonts w:cs="Arial"/>
          <w:rtl/>
        </w:rPr>
        <w:t xml:space="preserve"> ידי יין לא יצאו פי' דצריך לחזור ולברך בפה"ג משום שינוי מקום</w:t>
      </w:r>
      <w:r>
        <w:rPr>
          <w:rFonts w:cs="Arial" w:hint="cs"/>
          <w:rtl/>
        </w:rPr>
        <w:t>,</w:t>
      </w:r>
      <w:r w:rsidRPr="00B26941">
        <w:rPr>
          <w:rFonts w:cs="Arial"/>
          <w:rtl/>
        </w:rPr>
        <w:t xml:space="preserve"> הא ליכא שינוי מקום היה יוצא ידי יין</w:t>
      </w:r>
      <w:r>
        <w:rPr>
          <w:rFonts w:cs="Arial" w:hint="cs"/>
          <w:rtl/>
        </w:rPr>
        <w:t>.</w:t>
      </w:r>
      <w:r w:rsidRPr="00B26941">
        <w:rPr>
          <w:rFonts w:cs="Arial"/>
          <w:rtl/>
        </w:rPr>
        <w:t xml:space="preserve"> וע"כ מיירי ששתה</w:t>
      </w:r>
      <w:r>
        <w:rPr>
          <w:rFonts w:cs="Arial" w:hint="cs"/>
          <w:rtl/>
        </w:rPr>
        <w:t>,</w:t>
      </w:r>
      <w:r w:rsidRPr="00B26941">
        <w:rPr>
          <w:rFonts w:cs="Arial"/>
          <w:rtl/>
        </w:rPr>
        <w:t xml:space="preserve"> דאי בלא שתה היאך נפיק אף באותו מקום כיון דאיכא היסח הדעת</w:t>
      </w:r>
      <w:r>
        <w:rPr>
          <w:rFonts w:cs="Arial" w:hint="cs"/>
          <w:rtl/>
        </w:rPr>
        <w:t>,</w:t>
      </w:r>
      <w:r w:rsidRPr="00B26941">
        <w:rPr>
          <w:rFonts w:cs="Arial"/>
          <w:rtl/>
        </w:rPr>
        <w:t xml:space="preserve"> אלמא משמע דמותר לשתות אף כי עושה קידוש שלא במקום סעודה ואפילו לשמואל דאמר אין קידוש אלא במקום סעוד</w:t>
      </w:r>
      <w:r>
        <w:rPr>
          <w:rFonts w:cs="Arial" w:hint="cs"/>
          <w:rtl/>
        </w:rPr>
        <w:t>ה</w:t>
      </w:r>
      <w:r>
        <w:rPr>
          <w:rFonts w:hint="cs"/>
          <w:rtl/>
        </w:rPr>
        <w:t>, ה"ר שמואל. והמרדכי (שם) דחה ראייתו. וכתבו המרדכי והב"י ד</w:t>
      </w:r>
      <w:r>
        <w:rPr>
          <w:rFonts w:cs="Arial"/>
          <w:rtl/>
        </w:rPr>
        <w:t>נהגו העולם כדברי האוסרים לשתות שלא במקום סעודה</w:t>
      </w:r>
      <w:r>
        <w:rPr>
          <w:rFonts w:cs="Arial" w:hint="cs"/>
          <w:rtl/>
        </w:rPr>
        <w:t>.</w:t>
      </w:r>
    </w:p>
  </w:footnote>
  <w:footnote w:id="849">
    <w:p w14:paraId="60999FC2" w14:textId="77777777" w:rsidR="004B2E7C" w:rsidRDefault="004B2E7C" w:rsidP="00285819">
      <w:pPr>
        <w:pStyle w:val="a7"/>
        <w:rPr>
          <w:rtl/>
        </w:rPr>
      </w:pPr>
      <w:r>
        <w:rPr>
          <w:rStyle w:val="a9"/>
        </w:rPr>
        <w:footnoteRef/>
      </w:r>
      <w:r>
        <w:rPr>
          <w:rtl/>
        </w:rPr>
        <w:t xml:space="preserve"> </w:t>
      </w:r>
      <w:r>
        <w:rPr>
          <w:rFonts w:cs="Arial"/>
          <w:rtl/>
        </w:rPr>
        <w:t>מ</w:t>
      </w:r>
      <w:r>
        <w:rPr>
          <w:rFonts w:cs="Arial" w:hint="cs"/>
          <w:rtl/>
        </w:rPr>
        <w:t>הר"ם</w:t>
      </w:r>
      <w:r>
        <w:rPr>
          <w:rFonts w:cs="Arial"/>
          <w:rtl/>
        </w:rPr>
        <w:t xml:space="preserve"> </w:t>
      </w:r>
      <w:r w:rsidRPr="00C32957">
        <w:rPr>
          <w:rFonts w:cs="Arial"/>
          <w:sz w:val="16"/>
          <w:szCs w:val="16"/>
          <w:rtl/>
        </w:rPr>
        <w:t>(הל' ברכות תפו ע' קעח</w:t>
      </w:r>
      <w:r w:rsidRPr="00C32957">
        <w:rPr>
          <w:rFonts w:cs="Arial" w:hint="cs"/>
          <w:sz w:val="16"/>
          <w:szCs w:val="16"/>
          <w:rtl/>
        </w:rPr>
        <w:t xml:space="preserve">, כ"כ בשמו המרדכי [פסחים </w:t>
      </w:r>
      <w:r>
        <w:rPr>
          <w:rFonts w:cs="Arial" w:hint="cs"/>
          <w:sz w:val="16"/>
          <w:szCs w:val="16"/>
          <w:rtl/>
        </w:rPr>
        <w:t>סי' תריא</w:t>
      </w:r>
      <w:r w:rsidRPr="00C32957">
        <w:rPr>
          <w:rFonts w:cs="Arial" w:hint="cs"/>
          <w:sz w:val="16"/>
          <w:szCs w:val="16"/>
          <w:rtl/>
        </w:rPr>
        <w:t>]</w:t>
      </w:r>
      <w:r w:rsidRPr="00C32957">
        <w:rPr>
          <w:rFonts w:cs="Arial"/>
          <w:sz w:val="16"/>
          <w:szCs w:val="16"/>
          <w:rtl/>
        </w:rPr>
        <w:t>)</w:t>
      </w:r>
      <w:r>
        <w:rPr>
          <w:rFonts w:cs="Arial" w:hint="cs"/>
          <w:sz w:val="16"/>
          <w:szCs w:val="16"/>
          <w:rtl/>
        </w:rPr>
        <w:t xml:space="preserve"> </w:t>
      </w:r>
      <w:r>
        <w:rPr>
          <w:rFonts w:cs="Arial"/>
          <w:rtl/>
        </w:rPr>
        <w:t>הגה</w:t>
      </w:r>
      <w:r>
        <w:rPr>
          <w:rFonts w:cs="Arial" w:hint="cs"/>
          <w:rtl/>
        </w:rPr>
        <w:t xml:space="preserve">"מ </w:t>
      </w:r>
      <w:r w:rsidRPr="00E6355C">
        <w:rPr>
          <w:rFonts w:cs="Arial" w:hint="cs"/>
          <w:sz w:val="16"/>
          <w:szCs w:val="16"/>
          <w:rtl/>
        </w:rPr>
        <w:t>(</w:t>
      </w:r>
      <w:r w:rsidRPr="00E6355C">
        <w:rPr>
          <w:rFonts w:cs="Arial"/>
          <w:sz w:val="16"/>
          <w:szCs w:val="16"/>
          <w:rtl/>
        </w:rPr>
        <w:t>פכ"ט אות מ)</w:t>
      </w:r>
      <w:r>
        <w:rPr>
          <w:rFonts w:cs="Arial" w:hint="cs"/>
          <w:rtl/>
        </w:rPr>
        <w:t xml:space="preserve"> </w:t>
      </w:r>
      <w:r>
        <w:rPr>
          <w:rFonts w:cs="Arial"/>
          <w:rtl/>
        </w:rPr>
        <w:t xml:space="preserve">רא"ש </w:t>
      </w:r>
      <w:r w:rsidRPr="006417D4">
        <w:rPr>
          <w:rFonts w:cs="Arial" w:hint="cs"/>
          <w:sz w:val="16"/>
          <w:szCs w:val="16"/>
          <w:rtl/>
        </w:rPr>
        <w:t>(</w:t>
      </w:r>
      <w:r w:rsidRPr="006417D4">
        <w:rPr>
          <w:rFonts w:cs="Arial"/>
          <w:sz w:val="16"/>
          <w:szCs w:val="16"/>
          <w:rtl/>
        </w:rPr>
        <w:t>פ</w:t>
      </w:r>
      <w:r w:rsidRPr="006417D4">
        <w:rPr>
          <w:rFonts w:cs="Arial" w:hint="cs"/>
          <w:sz w:val="16"/>
          <w:szCs w:val="16"/>
          <w:rtl/>
        </w:rPr>
        <w:t>'</w:t>
      </w:r>
      <w:r w:rsidRPr="006417D4">
        <w:rPr>
          <w:rFonts w:cs="Arial"/>
          <w:sz w:val="16"/>
          <w:szCs w:val="16"/>
          <w:rtl/>
        </w:rPr>
        <w:t xml:space="preserve"> ערבי פסחים סי' ה)</w:t>
      </w:r>
      <w:r>
        <w:rPr>
          <w:rFonts w:cs="Arial" w:hint="cs"/>
          <w:rtl/>
        </w:rPr>
        <w:t xml:space="preserve"> טור</w:t>
      </w:r>
      <w:r w:rsidRPr="00E6355C">
        <w:rPr>
          <w:rFonts w:cs="Arial" w:hint="cs"/>
          <w:rtl/>
        </w:rPr>
        <w:t xml:space="preserve"> </w:t>
      </w:r>
      <w:r>
        <w:rPr>
          <w:rFonts w:cs="Arial" w:hint="cs"/>
          <w:rtl/>
        </w:rPr>
        <w:t xml:space="preserve">ורי"ו </w:t>
      </w:r>
      <w:r w:rsidRPr="006417D4">
        <w:rPr>
          <w:rFonts w:cs="Arial" w:hint="cs"/>
          <w:sz w:val="16"/>
          <w:szCs w:val="16"/>
          <w:rtl/>
        </w:rPr>
        <w:t>(</w:t>
      </w:r>
      <w:r w:rsidRPr="006417D4">
        <w:rPr>
          <w:rFonts w:cs="Arial"/>
          <w:sz w:val="16"/>
          <w:szCs w:val="16"/>
          <w:rtl/>
        </w:rPr>
        <w:t>ח</w:t>
      </w:r>
      <w:r w:rsidRPr="006417D4">
        <w:rPr>
          <w:rFonts w:cs="Arial" w:hint="cs"/>
          <w:sz w:val="16"/>
          <w:szCs w:val="16"/>
          <w:rtl/>
        </w:rPr>
        <w:t>"</w:t>
      </w:r>
      <w:r w:rsidRPr="006417D4">
        <w:rPr>
          <w:rFonts w:cs="Arial"/>
          <w:sz w:val="16"/>
          <w:szCs w:val="16"/>
          <w:rtl/>
        </w:rPr>
        <w:t>א סו.)</w:t>
      </w:r>
      <w:r>
        <w:rPr>
          <w:rFonts w:hint="cs"/>
          <w:rtl/>
        </w:rPr>
        <w:t>.</w:t>
      </w:r>
    </w:p>
  </w:footnote>
  <w:footnote w:id="850">
    <w:p w14:paraId="0092CBA5" w14:textId="77777777" w:rsidR="004B2E7C" w:rsidRDefault="004B2E7C" w:rsidP="00285819">
      <w:pPr>
        <w:pStyle w:val="a7"/>
      </w:pPr>
      <w:r>
        <w:rPr>
          <w:rStyle w:val="a9"/>
        </w:rPr>
        <w:footnoteRef/>
      </w:r>
      <w:r>
        <w:rPr>
          <w:rtl/>
        </w:rPr>
        <w:t xml:space="preserve"> </w:t>
      </w:r>
      <w:r>
        <w:rPr>
          <w:rFonts w:cs="Arial"/>
          <w:rtl/>
        </w:rPr>
        <w:t>וכתבו הגה</w:t>
      </w:r>
      <w:r>
        <w:rPr>
          <w:rFonts w:cs="Arial" w:hint="cs"/>
          <w:rtl/>
        </w:rPr>
        <w:t>"מ (</w:t>
      </w:r>
      <w:r>
        <w:rPr>
          <w:rFonts w:cs="Arial"/>
          <w:rtl/>
        </w:rPr>
        <w:t>פכ</w:t>
      </w:r>
      <w:r>
        <w:rPr>
          <w:rFonts w:cs="Arial" w:hint="cs"/>
          <w:rtl/>
        </w:rPr>
        <w:t>"</w:t>
      </w:r>
      <w:r>
        <w:rPr>
          <w:rFonts w:cs="Arial"/>
          <w:rtl/>
        </w:rPr>
        <w:t>ט אות מ) שיכולין להשקותו לקטנים דהא דאמרינן בפרק חרש (יבמות קיד.) דבידים לא ספינן להו איסורא היינו נבלות וטרפות</w:t>
      </w:r>
      <w:r>
        <w:rPr>
          <w:rFonts w:cs="Arial" w:hint="cs"/>
          <w:rtl/>
        </w:rPr>
        <w:t>,</w:t>
      </w:r>
      <w:r>
        <w:rPr>
          <w:rFonts w:cs="Arial"/>
          <w:rtl/>
        </w:rPr>
        <w:t xml:space="preserve"> ובהאי גוונא דנפקא לן מלא תאכלום (ויקרא יא מב)</w:t>
      </w:r>
      <w:r>
        <w:rPr>
          <w:rFonts w:cs="Arial" w:hint="cs"/>
          <w:rtl/>
        </w:rPr>
        <w:t>.</w:t>
      </w:r>
      <w:r>
        <w:rPr>
          <w:rFonts w:cs="Arial"/>
          <w:rtl/>
        </w:rPr>
        <w:t xml:space="preserve"> אבל קידוש היום מצות עשה הוא ולא נפקא לן מהתם עכ"ל</w:t>
      </w:r>
      <w:r>
        <w:rPr>
          <w:rFonts w:cs="Arial" w:hint="cs"/>
          <w:rtl/>
        </w:rPr>
        <w:t>.</w:t>
      </w:r>
      <w:r>
        <w:rPr>
          <w:rFonts w:cs="Arial"/>
          <w:rtl/>
        </w:rPr>
        <w:t xml:space="preserve"> ולדברי האומרים דאפילו איסורי דרבנן לא ספינן להו לקטנים בידים כמו שאכתוב בסוף סימן שמ"ג אפשר דכיון שיש מתירין לשתות בבית הכנסת אפילו לגדולים</w:t>
      </w:r>
      <w:r>
        <w:rPr>
          <w:rFonts w:cs="Arial" w:hint="cs"/>
          <w:rtl/>
        </w:rPr>
        <w:t>,</w:t>
      </w:r>
      <w:r>
        <w:rPr>
          <w:rFonts w:cs="Arial"/>
          <w:rtl/>
        </w:rPr>
        <w:t xml:space="preserve"> אע</w:t>
      </w:r>
      <w:r>
        <w:rPr>
          <w:rFonts w:cs="Arial" w:hint="cs"/>
          <w:rtl/>
        </w:rPr>
        <w:t>"</w:t>
      </w:r>
      <w:r>
        <w:rPr>
          <w:rFonts w:cs="Arial"/>
          <w:rtl/>
        </w:rPr>
        <w:t>פ שהגדולים נוהגים כדברי האוסרים מכל מקום לא חשיב איסור כולי האי שיאסר להשקותו לקטנים</w:t>
      </w:r>
      <w:r>
        <w:rPr>
          <w:rFonts w:cs="Arial" w:hint="cs"/>
          <w:rtl/>
        </w:rPr>
        <w:t>.</w:t>
      </w:r>
      <w:r>
        <w:rPr>
          <w:rFonts w:cs="Arial"/>
          <w:rtl/>
        </w:rPr>
        <w:t xml:space="preserve"> אי נמי דכיון דאי לא הוו שתו קטנים הויא ברכה לבטלה שרינן איסור שתיה לקטנים שלא במקום סעודה כדי שלא תהא ברכת הגדול לבטלה</w:t>
      </w:r>
      <w:r>
        <w:rPr>
          <w:rFonts w:cs="Arial" w:hint="cs"/>
          <w:rtl/>
        </w:rPr>
        <w:t>, ב"י.</w:t>
      </w:r>
    </w:p>
  </w:footnote>
  <w:footnote w:id="851">
    <w:p w14:paraId="1A9B1737" w14:textId="77777777" w:rsidR="004B2E7C" w:rsidRDefault="004B2E7C" w:rsidP="00285819">
      <w:pPr>
        <w:pStyle w:val="a7"/>
      </w:pPr>
      <w:r>
        <w:rPr>
          <w:rStyle w:val="a9"/>
        </w:rPr>
        <w:footnoteRef/>
      </w:r>
      <w:r>
        <w:rPr>
          <w:rtl/>
        </w:rPr>
        <w:t xml:space="preserve"> </w:t>
      </w:r>
      <w:r>
        <w:rPr>
          <w:rFonts w:cs="Arial" w:hint="cs"/>
          <w:rtl/>
        </w:rPr>
        <w:t xml:space="preserve">וכתב הב"י שכן כתבו </w:t>
      </w:r>
      <w:r w:rsidRPr="00B87076">
        <w:rPr>
          <w:rFonts w:cs="Arial"/>
          <w:rtl/>
        </w:rPr>
        <w:t>הרא"ש (ברכות פ"ד סי' ו</w:t>
      </w:r>
      <w:r>
        <w:rPr>
          <w:rFonts w:cs="Arial" w:hint="cs"/>
          <w:rtl/>
        </w:rPr>
        <w:t>, פסחים פ"י סי' ב</w:t>
      </w:r>
      <w:r w:rsidRPr="00B87076">
        <w:rPr>
          <w:rFonts w:cs="Arial"/>
          <w:rtl/>
        </w:rPr>
        <w:t xml:space="preserve">) </w:t>
      </w:r>
      <w:r>
        <w:rPr>
          <w:rFonts w:cs="Arial" w:hint="cs"/>
          <w:rtl/>
        </w:rPr>
        <w:t>ו</w:t>
      </w:r>
      <w:r w:rsidRPr="00B87076">
        <w:rPr>
          <w:rFonts w:cs="Arial"/>
          <w:rtl/>
        </w:rPr>
        <w:t xml:space="preserve">הרמב"ם </w:t>
      </w:r>
      <w:r>
        <w:rPr>
          <w:rFonts w:cs="Arial" w:hint="cs"/>
          <w:rtl/>
        </w:rPr>
        <w:t>(</w:t>
      </w:r>
      <w:r w:rsidRPr="00B87076">
        <w:rPr>
          <w:rFonts w:cs="Arial"/>
          <w:rtl/>
        </w:rPr>
        <w:t>פכ"ט הי"א)</w:t>
      </w:r>
      <w:r>
        <w:rPr>
          <w:rFonts w:cs="Arial" w:hint="cs"/>
          <w:rtl/>
        </w:rPr>
        <w:t xml:space="preserve">. אך הרא"ש והרמב"ם שם לא כתבו שימהר תכף שנכנס השבת לקדש, אלא כתבו שיכול לקדש </w:t>
      </w:r>
      <w:r w:rsidRPr="003D269B">
        <w:rPr>
          <w:rFonts w:cs="Arial"/>
          <w:rtl/>
        </w:rPr>
        <w:t>אפילו קודם שתחשך</w:t>
      </w:r>
      <w:r>
        <w:rPr>
          <w:rFonts w:cs="Arial" w:hint="cs"/>
          <w:rtl/>
        </w:rPr>
        <w:t>,</w:t>
      </w:r>
      <w:r w:rsidRPr="003D269B">
        <w:rPr>
          <w:rFonts w:cs="Arial"/>
          <w:rtl/>
        </w:rPr>
        <w:t xml:space="preserve"> ו</w:t>
      </w:r>
      <w:r>
        <w:rPr>
          <w:rFonts w:cs="Arial" w:hint="cs"/>
          <w:rtl/>
        </w:rPr>
        <w:t>ש</w:t>
      </w:r>
      <w:r w:rsidRPr="003D269B">
        <w:rPr>
          <w:rFonts w:cs="Arial"/>
          <w:rtl/>
        </w:rPr>
        <w:t>מותר לאכול בשבת על ידי קידוש</w:t>
      </w:r>
      <w:r>
        <w:rPr>
          <w:rFonts w:cs="Arial" w:hint="cs"/>
          <w:rtl/>
        </w:rPr>
        <w:t xml:space="preserve"> זה. וכ"כ הרשב"א (ברכות כז: </w:t>
      </w:r>
      <w:r w:rsidRPr="003D269B">
        <w:rPr>
          <w:rFonts w:cs="Arial"/>
          <w:rtl/>
        </w:rPr>
        <w:t>ד"ה הא דאמר שמואל</w:t>
      </w:r>
      <w:r>
        <w:rPr>
          <w:rFonts w:cs="Arial" w:hint="cs"/>
          <w:rtl/>
        </w:rPr>
        <w:t>). לכן נראה דרצונו של הב"י לומר דמזה שכתבו כן משמע שטוב למהר לקדש מיד כשיוכל, דאם לא כן למה יתירו לו לקדש קודם שנכנסת השבת?.</w:t>
      </w:r>
      <w:r>
        <w:rPr>
          <w:rFonts w:hint="cs"/>
          <w:rtl/>
        </w:rPr>
        <w:t xml:space="preserve"> </w:t>
      </w:r>
      <w:r>
        <w:rPr>
          <w:rFonts w:cs="Arial" w:hint="cs"/>
          <w:rtl/>
        </w:rPr>
        <w:t>ועיין עוד בסי' רסז (ס"ב) לעניין הקדמת הקידוש קודם כניסת השבת</w:t>
      </w:r>
      <w:r w:rsidRPr="00255429">
        <w:rPr>
          <w:rFonts w:cs="Arial"/>
          <w:rtl/>
        </w:rPr>
        <w:t>.</w:t>
      </w:r>
    </w:p>
  </w:footnote>
  <w:footnote w:id="852">
    <w:p w14:paraId="4AD65B25" w14:textId="77777777" w:rsidR="004B2E7C" w:rsidRDefault="004B2E7C" w:rsidP="00285819">
      <w:pPr>
        <w:pStyle w:val="a7"/>
      </w:pPr>
      <w:r>
        <w:rPr>
          <w:rStyle w:val="a9"/>
        </w:rPr>
        <w:footnoteRef/>
      </w:r>
      <w:r>
        <w:rPr>
          <w:rtl/>
        </w:rPr>
        <w:t xml:space="preserve"> </w:t>
      </w:r>
      <w:r w:rsidRPr="00174E0B">
        <w:rPr>
          <w:rFonts w:cs="Arial"/>
          <w:rtl/>
        </w:rPr>
        <w:t>ואפילו קודם חשכה</w:t>
      </w:r>
      <w:r>
        <w:rPr>
          <w:rFonts w:cs="Arial" w:hint="cs"/>
          <w:rtl/>
        </w:rPr>
        <w:t>,</w:t>
      </w:r>
      <w:r w:rsidRPr="00174E0B">
        <w:rPr>
          <w:rFonts w:cs="Arial"/>
          <w:rtl/>
        </w:rPr>
        <w:t xml:space="preserve"> כ"כ הט"ז</w:t>
      </w:r>
      <w:r>
        <w:rPr>
          <w:rFonts w:cs="Arial" w:hint="cs"/>
          <w:rtl/>
        </w:rPr>
        <w:t>,</w:t>
      </w:r>
      <w:r w:rsidRPr="00174E0B">
        <w:rPr>
          <w:rFonts w:cs="Arial"/>
          <w:rtl/>
        </w:rPr>
        <w:t xml:space="preserve"> ואזיל לשיטתיה</w:t>
      </w:r>
      <w:r>
        <w:rPr>
          <w:rFonts w:cs="Arial" w:hint="cs"/>
          <w:rtl/>
        </w:rPr>
        <w:t xml:space="preserve"> (</w:t>
      </w:r>
      <w:r w:rsidRPr="00174E0B">
        <w:rPr>
          <w:rFonts w:cs="Arial"/>
          <w:rtl/>
        </w:rPr>
        <w:t>בסימן רל"ה סק"ג</w:t>
      </w:r>
      <w:r>
        <w:rPr>
          <w:rFonts w:cs="Arial" w:hint="cs"/>
          <w:rtl/>
        </w:rPr>
        <w:t>).</w:t>
      </w:r>
      <w:r w:rsidRPr="00174E0B">
        <w:rPr>
          <w:rFonts w:cs="Arial"/>
          <w:rtl/>
        </w:rPr>
        <w:t xml:space="preserve"> אבל לפי מה שכתב המ"א </w:t>
      </w:r>
      <w:r>
        <w:rPr>
          <w:rFonts w:cs="Arial" w:hint="cs"/>
          <w:rtl/>
        </w:rPr>
        <w:t>(</w:t>
      </w:r>
      <w:r w:rsidRPr="00174E0B">
        <w:rPr>
          <w:rFonts w:cs="Arial"/>
          <w:rtl/>
        </w:rPr>
        <w:t>בסימן רס"ז והבאתיו שם במ"ב סק"ו</w:t>
      </w:r>
      <w:r>
        <w:rPr>
          <w:rFonts w:cs="Arial" w:hint="cs"/>
          <w:rtl/>
        </w:rPr>
        <w:t>)</w:t>
      </w:r>
      <w:r w:rsidRPr="00174E0B">
        <w:rPr>
          <w:rFonts w:cs="Arial"/>
          <w:rtl/>
        </w:rPr>
        <w:t xml:space="preserve"> יש להחמיר בתוך זמן חצי שעה דקודם לילה</w:t>
      </w:r>
      <w:r>
        <w:rPr>
          <w:rFonts w:cs="Arial" w:hint="cs"/>
          <w:rtl/>
        </w:rPr>
        <w:t>,</w:t>
      </w:r>
      <w:r w:rsidRPr="00174E0B">
        <w:rPr>
          <w:rFonts w:cs="Arial"/>
          <w:rtl/>
        </w:rPr>
        <w:t xml:space="preserve"> משום חובת ק"ש דלא נפיק במה שקרא מקודם בבהכ"נ להרבה פוסקים</w:t>
      </w:r>
      <w:r>
        <w:rPr>
          <w:rFonts w:cs="Arial" w:hint="cs"/>
          <w:rtl/>
        </w:rPr>
        <w:t>,</w:t>
      </w:r>
      <w:r w:rsidRPr="00174E0B">
        <w:rPr>
          <w:rFonts w:cs="Arial"/>
          <w:rtl/>
        </w:rPr>
        <w:t xml:space="preserve"> ובפרט לדידן דנוהגין בכל יום להתפלל מעריב בזמנו ולהתפלל מנחה אחר פלג המנחה</w:t>
      </w:r>
      <w:r>
        <w:rPr>
          <w:rFonts w:cs="Arial" w:hint="cs"/>
          <w:rtl/>
        </w:rPr>
        <w:t>,</w:t>
      </w:r>
      <w:r w:rsidRPr="00174E0B">
        <w:rPr>
          <w:rFonts w:cs="Arial"/>
          <w:rtl/>
        </w:rPr>
        <w:t xml:space="preserve"> וכמש"כ היד אפרים שם. וכ"ז בתוך חצי שעה</w:t>
      </w:r>
      <w:r>
        <w:rPr>
          <w:rFonts w:cs="Arial" w:hint="cs"/>
          <w:rtl/>
        </w:rPr>
        <w:t>,</w:t>
      </w:r>
      <w:r w:rsidRPr="00174E0B">
        <w:rPr>
          <w:rFonts w:cs="Arial"/>
          <w:rtl/>
        </w:rPr>
        <w:t xml:space="preserve"> אבל קודם שהגיע הזמן דחצי שעה מותר לקדש ולאכול בשבת ע"י קידוש זה דיוצא בו ידי קידוש כל שהוא מפלג המנחה ולמעלה וכמבואר שם בסימן רס"ז ס"ב</w:t>
      </w:r>
      <w:r>
        <w:rPr>
          <w:rFonts w:cs="Arial" w:hint="cs"/>
          <w:rtl/>
        </w:rPr>
        <w:t>...</w:t>
      </w:r>
      <w:r w:rsidRPr="00174E0B">
        <w:rPr>
          <w:rtl/>
        </w:rPr>
        <w:t xml:space="preserve"> </w:t>
      </w:r>
      <w:r w:rsidRPr="00174E0B">
        <w:rPr>
          <w:rFonts w:cs="Arial"/>
          <w:rtl/>
        </w:rPr>
        <w:t>ואודות דברי הט"ז הנ"ל לענ"ד לולא דבריו הייתי אומר דאין כונת הטור כלל במה שאמר מיד לזרז לדבר זה רק שבא הטור לומר דבהגיע זמן חיוב קידוש דהיינו אחר שהוא לילה שאז מתקדש היום מצוה לעשות דבר זה תיכף ולא לאחר דלשון זכרהו על היין בכניסתו משמע תיכף משמתקדש היום וכן משמע ברש"י פסחים ק"ו ע"ש אבל לא בא לומר שמצוה לזרז עצמו לקדש משום שהוא קבל מעצמו עליו השבת</w:t>
      </w:r>
      <w:r>
        <w:rPr>
          <w:rFonts w:cs="Arial" w:hint="cs"/>
          <w:rtl/>
        </w:rPr>
        <w:t>...,</w:t>
      </w:r>
      <w:r w:rsidRPr="00174E0B">
        <w:rPr>
          <w:rFonts w:cs="Arial"/>
          <w:rtl/>
        </w:rPr>
        <w:t xml:space="preserve"> </w:t>
      </w:r>
      <w:r>
        <w:rPr>
          <w:rFonts w:hint="cs"/>
          <w:rtl/>
        </w:rPr>
        <w:t xml:space="preserve">ביאור הלכה (ד"ה מיד). </w:t>
      </w:r>
    </w:p>
  </w:footnote>
  <w:footnote w:id="853">
    <w:p w14:paraId="1C736855" w14:textId="77777777" w:rsidR="004B2E7C" w:rsidRDefault="004B2E7C" w:rsidP="00285819">
      <w:pPr>
        <w:pStyle w:val="a7"/>
      </w:pPr>
      <w:r>
        <w:rPr>
          <w:rStyle w:val="a9"/>
        </w:rPr>
        <w:footnoteRef/>
      </w:r>
      <w:r>
        <w:rPr>
          <w:rtl/>
        </w:rPr>
        <w:t xml:space="preserve"> </w:t>
      </w:r>
      <w:r w:rsidRPr="000C2775">
        <w:rPr>
          <w:rFonts w:cs="Arial"/>
          <w:rtl/>
        </w:rPr>
        <w:t>ואולם קצת נוכל לייעץ באופן אחר דתאמר עמו רק פרשת ויכלו בלבד ומסתבר דיוצאת בזה ידי קידוש דאורייתא ואח"כ כששומעת הברכה יוצאת בזה גם מצות קידוש על הכוס אך לפי מה שכתבנו לעיל דילפינן מגז"ש דצריך להזכיר יציאת מצרים בקידוש וא"כ בויכלו ליכא עדיין יציאת מצרים. והנה ראיתי בחדושי רע"א שמסתפק דאולי יוצא המ"ע באמירת שבתא טבא בלבד ולפלא דהרי הרמב"ם כתב דבעינן זכירת שבח וקידוש</w:t>
      </w:r>
      <w:r>
        <w:rPr>
          <w:rFonts w:cs="Arial" w:hint="cs"/>
          <w:rtl/>
        </w:rPr>
        <w:t xml:space="preserve">, ביאור הלכה (ד"ה </w:t>
      </w:r>
      <w:r w:rsidRPr="000C2775">
        <w:rPr>
          <w:rFonts w:cs="Arial"/>
          <w:rtl/>
        </w:rPr>
        <w:t>דאיתקש זכור לשמור</w:t>
      </w:r>
      <w:r>
        <w:rPr>
          <w:rFonts w:cs="Arial" w:hint="cs"/>
          <w:rtl/>
        </w:rPr>
        <w:t>).</w:t>
      </w:r>
    </w:p>
  </w:footnote>
  <w:footnote w:id="854">
    <w:p w14:paraId="1276446C" w14:textId="77777777" w:rsidR="004B2E7C" w:rsidRDefault="004B2E7C" w:rsidP="00285819">
      <w:pPr>
        <w:pStyle w:val="a7"/>
        <w:rPr>
          <w:rtl/>
        </w:rPr>
      </w:pPr>
      <w:r>
        <w:rPr>
          <w:rStyle w:val="a9"/>
        </w:rPr>
        <w:footnoteRef/>
      </w:r>
      <w:r>
        <w:rPr>
          <w:rtl/>
        </w:rPr>
        <w:t xml:space="preserve"> </w:t>
      </w:r>
      <w:r w:rsidRPr="0043002C">
        <w:rPr>
          <w:rFonts w:cs="Arial"/>
          <w:rtl/>
        </w:rPr>
        <w:t>ו</w:t>
      </w:r>
      <w:r>
        <w:rPr>
          <w:rFonts w:cs="Arial" w:hint="cs"/>
          <w:rtl/>
        </w:rPr>
        <w:t>ב</w:t>
      </w:r>
      <w:r w:rsidRPr="0043002C">
        <w:rPr>
          <w:rFonts w:cs="Arial"/>
          <w:rtl/>
        </w:rPr>
        <w:t>גירסת הרא"ש (סו"ס יג)</w:t>
      </w:r>
      <w:r>
        <w:rPr>
          <w:rFonts w:cs="Arial" w:hint="cs"/>
          <w:rtl/>
        </w:rPr>
        <w:t xml:space="preserve"> איתא 'הלילה'.</w:t>
      </w:r>
    </w:p>
  </w:footnote>
  <w:footnote w:id="855">
    <w:p w14:paraId="5E2B97E8" w14:textId="77777777" w:rsidR="004B2E7C" w:rsidRDefault="004B2E7C" w:rsidP="00285819">
      <w:pPr>
        <w:pStyle w:val="a7"/>
      </w:pPr>
      <w:r>
        <w:rPr>
          <w:rStyle w:val="a9"/>
        </w:rPr>
        <w:footnoteRef/>
      </w:r>
      <w:r>
        <w:rPr>
          <w:rtl/>
        </w:rPr>
        <w:t xml:space="preserve"> </w:t>
      </w:r>
      <w:r w:rsidRPr="0043002C">
        <w:rPr>
          <w:rFonts w:cs="Arial"/>
          <w:rtl/>
        </w:rPr>
        <w:t>ברייתא בפרק ערבי פסחים (קה סוע"א)</w:t>
      </w:r>
      <w:r>
        <w:rPr>
          <w:rFonts w:cs="Arial" w:hint="cs"/>
          <w:rtl/>
        </w:rPr>
        <w:t xml:space="preserve">, </w:t>
      </w:r>
      <w:r w:rsidRPr="0043002C">
        <w:rPr>
          <w:rFonts w:cs="Arial"/>
          <w:rtl/>
        </w:rPr>
        <w:t>וכגירסת הרא"ש (סו"ס יג) שגורס שקידוש לילה קודם לכבוד יום ולכבוד לילה</w:t>
      </w:r>
      <w:r>
        <w:rPr>
          <w:rFonts w:cs="Arial" w:hint="cs"/>
          <w:rtl/>
        </w:rPr>
        <w:t>.</w:t>
      </w:r>
      <w:r w:rsidRPr="0043002C">
        <w:rPr>
          <w:rFonts w:cs="Arial"/>
          <w:rtl/>
        </w:rPr>
        <w:t xml:space="preserve"> ואפילו לפי נוסחי דידן דגרסינן בגמרא שקידוש היום קודם לכבוד יום ולכבוד לילה מפרש רבינו דלקידוש הלילה קרי קידוש יום</w:t>
      </w:r>
      <w:r>
        <w:rPr>
          <w:rFonts w:cs="Arial" w:hint="cs"/>
          <w:rtl/>
        </w:rPr>
        <w:t>,</w:t>
      </w:r>
      <w:r w:rsidRPr="0043002C">
        <w:rPr>
          <w:rFonts w:cs="Arial"/>
          <w:rtl/>
        </w:rPr>
        <w:t xml:space="preserve"> וכדתנן (ברכות נא:) מברך על היין ואחר כך מברך על היום, דהאי קידוש שהוא מן התורה הוא דאמרינן דיין דידיה קדים לכבוד יום ולכבוד לילה אבל קידוש היום דלא הוי אלא מדרבנן</w:t>
      </w:r>
      <w:r>
        <w:rPr>
          <w:rFonts w:cs="Arial" w:hint="cs"/>
          <w:rtl/>
        </w:rPr>
        <w:t>,</w:t>
      </w:r>
      <w:r w:rsidRPr="0043002C">
        <w:rPr>
          <w:rFonts w:cs="Arial"/>
          <w:rtl/>
        </w:rPr>
        <w:t xml:space="preserve"> כמו שכתב הר"ן בפרק ערבי פסחים (כב. ד"ה זכרהו) גבי הא דתניא (פסחים קו.) זכרהו על היין אין לי אלא בלילה ביום מנין וכו'</w:t>
      </w:r>
      <w:r>
        <w:rPr>
          <w:rFonts w:cs="Arial" w:hint="cs"/>
          <w:rtl/>
        </w:rPr>
        <w:t>,</w:t>
      </w:r>
      <w:r w:rsidRPr="0043002C">
        <w:rPr>
          <w:rFonts w:cs="Arial"/>
          <w:rtl/>
        </w:rPr>
        <w:t xml:space="preserve"> אינו דין שיין דידיה יקדום לכבוד יום וכבוד לילה. ובפרק ערבי פסחים עלה </w:t>
      </w:r>
      <w:r>
        <w:rPr>
          <w:rFonts w:cs="Arial" w:hint="cs"/>
          <w:rtl/>
        </w:rPr>
        <w:t>(</w:t>
      </w:r>
      <w:r w:rsidRPr="0043002C">
        <w:rPr>
          <w:rFonts w:cs="Arial"/>
          <w:rtl/>
        </w:rPr>
        <w:t>קיג</w:t>
      </w:r>
      <w:r>
        <w:rPr>
          <w:rFonts w:cs="Arial" w:hint="cs"/>
          <w:rtl/>
        </w:rPr>
        <w:t>.</w:t>
      </w:r>
      <w:r w:rsidRPr="0043002C">
        <w:rPr>
          <w:rFonts w:cs="Arial"/>
          <w:rtl/>
        </w:rPr>
        <w:t>) כתבו התוספות (ד"ה דמשייר) דאיתא בירושלמי (ברכות פ"ז ה"ה) אהאי ברייתא איזהו כבוד יום בורא פרי הגפן</w:t>
      </w:r>
      <w:r>
        <w:rPr>
          <w:rFonts w:cs="Arial" w:hint="cs"/>
          <w:rtl/>
        </w:rPr>
        <w:t>.</w:t>
      </w:r>
      <w:r w:rsidRPr="0043002C">
        <w:rPr>
          <w:rFonts w:cs="Arial"/>
          <w:rtl/>
        </w:rPr>
        <w:t xml:space="preserve"> כלומר שיין לקידוש הלילה קודם ליין לקידוש היום</w:t>
      </w:r>
      <w:r>
        <w:rPr>
          <w:rFonts w:cs="Arial" w:hint="cs"/>
          <w:rtl/>
        </w:rPr>
        <w:t>.</w:t>
      </w:r>
      <w:r w:rsidRPr="0043002C">
        <w:rPr>
          <w:rFonts w:cs="Arial"/>
          <w:rtl/>
        </w:rPr>
        <w:t xml:space="preserve"> וזה מפורש כדברי רבינו</w:t>
      </w:r>
      <w:r>
        <w:rPr>
          <w:rFonts w:cs="Arial" w:hint="cs"/>
          <w:rtl/>
        </w:rPr>
        <w:t>.</w:t>
      </w:r>
      <w:r w:rsidRPr="0043002C">
        <w:rPr>
          <w:rFonts w:cs="Arial"/>
          <w:rtl/>
        </w:rPr>
        <w:t xml:space="preserve"> וכן כתב בשבלי הלקט (סי' פד) תניא כבוד יום קודם לכבוד לילה ודוקא בשאר צרכי סעודה אבל אין לו אלא כוס אחד לקדש כבוד לילה קודם לכבוד יום כדתניא זכור זכרהו על היין בכניסתו אין לי אלא בלילה ביום מנין תלמוד לומר את יום</w:t>
      </w:r>
      <w:r>
        <w:rPr>
          <w:rFonts w:cs="Arial" w:hint="cs"/>
          <w:rtl/>
        </w:rPr>
        <w:t>, ב"י.</w:t>
      </w:r>
    </w:p>
  </w:footnote>
  <w:footnote w:id="856">
    <w:p w14:paraId="496F93B8" w14:textId="77777777" w:rsidR="004B2E7C" w:rsidRDefault="004B2E7C" w:rsidP="00285819">
      <w:pPr>
        <w:pStyle w:val="a7"/>
      </w:pPr>
      <w:r>
        <w:rPr>
          <w:rStyle w:val="a9"/>
        </w:rPr>
        <w:footnoteRef/>
      </w:r>
      <w:r>
        <w:rPr>
          <w:rtl/>
        </w:rPr>
        <w:t xml:space="preserve"> </w:t>
      </w:r>
      <w:r w:rsidRPr="00CE75B3">
        <w:rPr>
          <w:rFonts w:cs="Arial"/>
          <w:rtl/>
        </w:rPr>
        <w:t>דקידוש הוא מ"ע דאורייתא ולהכין צרכי סעודה הוא מצות עונג מדברי קבלה</w:t>
      </w:r>
      <w:r>
        <w:rPr>
          <w:rFonts w:cs="Arial" w:hint="cs"/>
          <w:rtl/>
        </w:rPr>
        <w:t>,</w:t>
      </w:r>
      <w:r w:rsidRPr="00CE75B3">
        <w:rPr>
          <w:rFonts w:cs="Arial"/>
          <w:rtl/>
        </w:rPr>
        <w:t xml:space="preserve"> וכדכתיב וקראת לשבת ענג</w:t>
      </w:r>
      <w:r>
        <w:rPr>
          <w:rFonts w:cs="Arial" w:hint="cs"/>
          <w:rtl/>
        </w:rPr>
        <w:t>.</w:t>
      </w:r>
      <w:r w:rsidRPr="00CE75B3">
        <w:rPr>
          <w:rFonts w:cs="Arial"/>
          <w:rtl/>
        </w:rPr>
        <w:t xml:space="preserve"> ואע</w:t>
      </w:r>
      <w:r>
        <w:rPr>
          <w:rFonts w:cs="Arial" w:hint="cs"/>
          <w:rtl/>
        </w:rPr>
        <w:t>"</w:t>
      </w:r>
      <w:r w:rsidRPr="00CE75B3">
        <w:rPr>
          <w:rFonts w:cs="Arial"/>
          <w:rtl/>
        </w:rPr>
        <w:t>ג דהמ"ע של זכור נוכל לקיים בזכירת דברים של קדושת שבת בלבד ועל היין אינו אלא מד"ס</w:t>
      </w:r>
      <w:r>
        <w:rPr>
          <w:rFonts w:cs="Arial" w:hint="cs"/>
          <w:rtl/>
        </w:rPr>
        <w:t>,</w:t>
      </w:r>
      <w:r w:rsidRPr="00CE75B3">
        <w:rPr>
          <w:rFonts w:cs="Arial"/>
          <w:rtl/>
        </w:rPr>
        <w:t xml:space="preserve"> וכנ"ל במ"ב סק"ב</w:t>
      </w:r>
      <w:r>
        <w:rPr>
          <w:rFonts w:cs="Arial" w:hint="cs"/>
          <w:rtl/>
        </w:rPr>
        <w:t>,</w:t>
      </w:r>
      <w:r w:rsidRPr="00CE75B3">
        <w:rPr>
          <w:rFonts w:cs="Arial"/>
          <w:rtl/>
        </w:rPr>
        <w:t xml:space="preserve"> אפ"ה כיון דעיקר קידוש הוא מן התורה גם יין שלו קודם לכל</w:t>
      </w:r>
      <w:r>
        <w:rPr>
          <w:rFonts w:cs="Arial" w:hint="cs"/>
          <w:rtl/>
        </w:rPr>
        <w:t>.</w:t>
      </w:r>
      <w:r w:rsidRPr="00CE75B3">
        <w:rPr>
          <w:rFonts w:cs="Arial"/>
          <w:rtl/>
        </w:rPr>
        <w:t xml:space="preserve"> והסכימו האחרונים דכ"ז דוקא כשיש לו פת לצורך הלילה ולצורך היום</w:t>
      </w:r>
      <w:r>
        <w:rPr>
          <w:rFonts w:cs="Arial" w:hint="cs"/>
          <w:rtl/>
        </w:rPr>
        <w:t>,</w:t>
      </w:r>
      <w:r w:rsidRPr="00CE75B3">
        <w:rPr>
          <w:rFonts w:cs="Arial"/>
          <w:rtl/>
        </w:rPr>
        <w:t xml:space="preserve"> אבל כשאין לו פת</w:t>
      </w:r>
      <w:r>
        <w:rPr>
          <w:rFonts w:cs="Arial" w:hint="cs"/>
          <w:rtl/>
        </w:rPr>
        <w:t>,</w:t>
      </w:r>
      <w:r w:rsidRPr="00CE75B3">
        <w:rPr>
          <w:rFonts w:cs="Arial"/>
          <w:rtl/>
        </w:rPr>
        <w:t xml:space="preserve"> מוטב שיקנה לו פת ויקדש עליו</w:t>
      </w:r>
      <w:r>
        <w:rPr>
          <w:rFonts w:cs="Arial" w:hint="cs"/>
          <w:rtl/>
        </w:rPr>
        <w:t>,</w:t>
      </w:r>
      <w:r w:rsidRPr="00CE75B3">
        <w:rPr>
          <w:rFonts w:cs="Arial"/>
          <w:rtl/>
        </w:rPr>
        <w:t xml:space="preserve"> דהא חייב לאכול פת בלילה</w:t>
      </w:r>
      <w:r>
        <w:rPr>
          <w:rFonts w:cs="Arial" w:hint="cs"/>
          <w:rtl/>
        </w:rPr>
        <w:t>,</w:t>
      </w:r>
      <w:r w:rsidRPr="00CE75B3">
        <w:rPr>
          <w:rFonts w:cs="Arial"/>
          <w:rtl/>
        </w:rPr>
        <w:t xml:space="preserve"> וכן למחר ביום השבת. ואם יש לו לקידוש לילה</w:t>
      </w:r>
      <w:r>
        <w:rPr>
          <w:rFonts w:cs="Arial" w:hint="cs"/>
          <w:rtl/>
        </w:rPr>
        <w:t>,</w:t>
      </w:r>
      <w:r w:rsidRPr="00CE75B3">
        <w:rPr>
          <w:rFonts w:cs="Arial"/>
          <w:rtl/>
        </w:rPr>
        <w:t xml:space="preserve"> ואין לו לקידוש היום ולכבוד היום</w:t>
      </w:r>
      <w:r>
        <w:rPr>
          <w:rFonts w:cs="Arial" w:hint="cs"/>
          <w:rtl/>
        </w:rPr>
        <w:t>,</w:t>
      </w:r>
      <w:r w:rsidRPr="00CE75B3">
        <w:rPr>
          <w:rFonts w:cs="Arial"/>
          <w:rtl/>
        </w:rPr>
        <w:t xml:space="preserve"> אף דמסתבר דכבוד היום עדיף מקידוש היום</w:t>
      </w:r>
      <w:r>
        <w:rPr>
          <w:rFonts w:cs="Arial" w:hint="cs"/>
          <w:rtl/>
        </w:rPr>
        <w:t>,</w:t>
      </w:r>
      <w:r w:rsidRPr="00CE75B3">
        <w:rPr>
          <w:rFonts w:cs="Arial"/>
          <w:rtl/>
        </w:rPr>
        <w:t xml:space="preserve"> מ"מ אפשר דדי לו בפת והמותר יקנה לו יין לקידוש היום [מ"א] ועיין בבה"ל</w:t>
      </w:r>
      <w:r>
        <w:rPr>
          <w:rFonts w:cs="Arial" w:hint="cs"/>
          <w:rtl/>
        </w:rPr>
        <w:t>, משנ"ב (סק"ז).</w:t>
      </w:r>
    </w:p>
  </w:footnote>
  <w:footnote w:id="857">
    <w:p w14:paraId="5882DE06" w14:textId="77777777" w:rsidR="004B2E7C" w:rsidRDefault="004B2E7C" w:rsidP="00285819">
      <w:pPr>
        <w:pStyle w:val="a7"/>
      </w:pPr>
      <w:r>
        <w:rPr>
          <w:rStyle w:val="a9"/>
        </w:rPr>
        <w:footnoteRef/>
      </w:r>
      <w:r>
        <w:rPr>
          <w:rtl/>
        </w:rPr>
        <w:t xml:space="preserve"> </w:t>
      </w:r>
      <w:r w:rsidRPr="00CE75B3">
        <w:rPr>
          <w:rFonts w:cs="Arial"/>
          <w:rtl/>
        </w:rPr>
        <w:t>ואע</w:t>
      </w:r>
      <w:r>
        <w:rPr>
          <w:rFonts w:cs="Arial" w:hint="cs"/>
          <w:rtl/>
        </w:rPr>
        <w:t>"</w:t>
      </w:r>
      <w:r w:rsidRPr="00CE75B3">
        <w:rPr>
          <w:rFonts w:cs="Arial"/>
          <w:rtl/>
        </w:rPr>
        <w:t>ג דבלילה יוכל לומר ברכת קידוש אריפתא וביום כשלא יהיה לו על מה לקדש ישאר בלי קידוש</w:t>
      </w:r>
      <w:r>
        <w:rPr>
          <w:rFonts w:cs="Arial" w:hint="cs"/>
          <w:rtl/>
        </w:rPr>
        <w:t>,</w:t>
      </w:r>
      <w:r w:rsidRPr="00CE75B3">
        <w:rPr>
          <w:rFonts w:cs="Arial"/>
          <w:rtl/>
        </w:rPr>
        <w:t xml:space="preserve"> מ"מ כיון דבמקום שיש יין אין מקדשין אריפתא</w:t>
      </w:r>
      <w:r>
        <w:rPr>
          <w:rFonts w:cs="Arial" w:hint="cs"/>
          <w:rtl/>
        </w:rPr>
        <w:t>,</w:t>
      </w:r>
      <w:r w:rsidRPr="00CE75B3">
        <w:rPr>
          <w:rFonts w:cs="Arial"/>
          <w:rtl/>
        </w:rPr>
        <w:t xml:space="preserve"> דלילה עדיפא</w:t>
      </w:r>
      <w:r>
        <w:rPr>
          <w:rFonts w:cs="Arial" w:hint="cs"/>
          <w:rtl/>
        </w:rPr>
        <w:t>, משנ"ב (סק"ח).</w:t>
      </w:r>
    </w:p>
  </w:footnote>
  <w:footnote w:id="858">
    <w:p w14:paraId="2F8C6067" w14:textId="77777777" w:rsidR="004B2E7C" w:rsidRDefault="004B2E7C" w:rsidP="00285819">
      <w:pPr>
        <w:pStyle w:val="a7"/>
        <w:rPr>
          <w:rtl/>
        </w:rPr>
      </w:pPr>
      <w:r>
        <w:rPr>
          <w:rStyle w:val="a9"/>
        </w:rPr>
        <w:footnoteRef/>
      </w:r>
      <w:r>
        <w:rPr>
          <w:rtl/>
        </w:rPr>
        <w:t xml:space="preserve"> </w:t>
      </w:r>
      <w:r w:rsidRPr="00381B1C">
        <w:rPr>
          <w:rFonts w:cs="Arial"/>
          <w:rtl/>
        </w:rPr>
        <w:t>כגון שיש לו מעט מיני מגדים טוב יותר שיניחם לצורך סעודת היום ובספר ים של שלמה קורא תגר על שאין נזהרים בזה ואדרבה מוסיפין בליל שבת</w:t>
      </w:r>
      <w:r>
        <w:rPr>
          <w:rFonts w:hint="cs"/>
          <w:rtl/>
        </w:rPr>
        <w:t>, משנ"ב (סק"ט).</w:t>
      </w:r>
    </w:p>
  </w:footnote>
  <w:footnote w:id="859">
    <w:p w14:paraId="375B0930" w14:textId="77777777" w:rsidR="004B2E7C" w:rsidRDefault="004B2E7C" w:rsidP="00285819">
      <w:pPr>
        <w:pStyle w:val="a7"/>
      </w:pPr>
      <w:r>
        <w:rPr>
          <w:rStyle w:val="a9"/>
        </w:rPr>
        <w:footnoteRef/>
      </w:r>
      <w:r>
        <w:rPr>
          <w:rtl/>
        </w:rPr>
        <w:t xml:space="preserve"> </w:t>
      </w:r>
      <w:r w:rsidRPr="006E4B93">
        <w:rPr>
          <w:rFonts w:cs="Arial"/>
          <w:rtl/>
        </w:rPr>
        <w:t>שאסור לטעום עד שיקדש</w:t>
      </w:r>
      <w:r>
        <w:rPr>
          <w:rFonts w:cs="Arial" w:hint="cs"/>
          <w:rtl/>
        </w:rPr>
        <w:t>..., רש"י.</w:t>
      </w:r>
    </w:p>
  </w:footnote>
  <w:footnote w:id="860">
    <w:p w14:paraId="3A7C5200" w14:textId="77777777" w:rsidR="004B2E7C" w:rsidRDefault="004B2E7C" w:rsidP="00285819">
      <w:pPr>
        <w:pStyle w:val="a7"/>
        <w:rPr>
          <w:rtl/>
        </w:rPr>
      </w:pPr>
      <w:r>
        <w:rPr>
          <w:rStyle w:val="a9"/>
        </w:rPr>
        <w:footnoteRef/>
      </w:r>
      <w:r>
        <w:rPr>
          <w:rtl/>
        </w:rPr>
        <w:t xml:space="preserve"> </w:t>
      </w:r>
      <w:r w:rsidRPr="008D3CAC">
        <w:rPr>
          <w:rFonts w:cs="Arial"/>
          <w:rtl/>
        </w:rPr>
        <w:t>רחץ סמוך למנחה בערב פסח והוה צמא לשתות</w:t>
      </w:r>
      <w:r>
        <w:rPr>
          <w:rFonts w:hint="cs"/>
          <w:rtl/>
        </w:rPr>
        <w:t>, קרבן העדה.</w:t>
      </w:r>
    </w:p>
  </w:footnote>
  <w:footnote w:id="861">
    <w:p w14:paraId="4E62A27D" w14:textId="77777777" w:rsidR="004B2E7C" w:rsidRDefault="004B2E7C" w:rsidP="00285819">
      <w:pPr>
        <w:pStyle w:val="a7"/>
      </w:pPr>
      <w:r>
        <w:rPr>
          <w:rStyle w:val="a9"/>
        </w:rPr>
        <w:footnoteRef/>
      </w:r>
      <w:r>
        <w:rPr>
          <w:rtl/>
        </w:rPr>
        <w:t xml:space="preserve"> </w:t>
      </w:r>
      <w:r>
        <w:rPr>
          <w:rFonts w:cs="Arial" w:hint="cs"/>
          <w:rtl/>
        </w:rPr>
        <w:t>'</w:t>
      </w:r>
      <w:r w:rsidRPr="008D3CAC">
        <w:rPr>
          <w:rFonts w:cs="Arial"/>
          <w:rtl/>
        </w:rPr>
        <w:t>בגין דאתא צמא</w:t>
      </w:r>
      <w:r>
        <w:rPr>
          <w:rFonts w:cs="Arial" w:hint="cs"/>
          <w:rtl/>
        </w:rPr>
        <w:t>' -</w:t>
      </w:r>
      <w:r w:rsidRPr="008D3CAC">
        <w:rPr>
          <w:rFonts w:cs="Arial"/>
          <w:rtl/>
        </w:rPr>
        <w:t xml:space="preserve"> בשביל שבא לו הצמא מהו שישתה</w:t>
      </w:r>
      <w:r>
        <w:rPr>
          <w:rFonts w:cs="Arial" w:hint="cs"/>
          <w:rtl/>
        </w:rPr>
        <w:t>, קרבן העדה.</w:t>
      </w:r>
    </w:p>
  </w:footnote>
  <w:footnote w:id="862">
    <w:p w14:paraId="3900831B" w14:textId="77777777" w:rsidR="004B2E7C" w:rsidRDefault="004B2E7C" w:rsidP="00285819">
      <w:pPr>
        <w:pStyle w:val="a7"/>
      </w:pPr>
      <w:r>
        <w:rPr>
          <w:rStyle w:val="a9"/>
        </w:rPr>
        <w:footnoteRef/>
      </w:r>
      <w:r>
        <w:rPr>
          <w:rtl/>
        </w:rPr>
        <w:t xml:space="preserve"> </w:t>
      </w:r>
      <w:r>
        <w:rPr>
          <w:rFonts w:cs="Arial"/>
          <w:rtl/>
        </w:rPr>
        <w:t>וכן כתבו הגה</w:t>
      </w:r>
      <w:r>
        <w:rPr>
          <w:rFonts w:cs="Arial" w:hint="cs"/>
          <w:rtl/>
        </w:rPr>
        <w:t>"מ</w:t>
      </w:r>
      <w:r>
        <w:rPr>
          <w:rFonts w:cs="Arial"/>
          <w:rtl/>
        </w:rPr>
        <w:t xml:space="preserve"> </w:t>
      </w:r>
      <w:r w:rsidRPr="007A0A9D">
        <w:rPr>
          <w:rFonts w:cs="Arial"/>
          <w:sz w:val="16"/>
          <w:szCs w:val="16"/>
          <w:rtl/>
        </w:rPr>
        <w:t>(</w:t>
      </w:r>
      <w:r w:rsidRPr="007A0A9D">
        <w:rPr>
          <w:rFonts w:cs="Arial" w:hint="cs"/>
          <w:sz w:val="16"/>
          <w:szCs w:val="16"/>
          <w:rtl/>
        </w:rPr>
        <w:t>פכ"ט ה"ה</w:t>
      </w:r>
      <w:r w:rsidRPr="007A0A9D">
        <w:rPr>
          <w:rFonts w:cs="Arial"/>
          <w:sz w:val="16"/>
          <w:szCs w:val="16"/>
          <w:rtl/>
        </w:rPr>
        <w:t xml:space="preserve"> אות ה) </w:t>
      </w:r>
      <w:r>
        <w:rPr>
          <w:rFonts w:cs="Arial"/>
          <w:rtl/>
        </w:rPr>
        <w:t>בשם הר"מ</w:t>
      </w:r>
      <w:r>
        <w:rPr>
          <w:rFonts w:cs="Arial" w:hint="cs"/>
          <w:rtl/>
        </w:rPr>
        <w:t>...</w:t>
      </w:r>
      <w:r>
        <w:rPr>
          <w:rFonts w:cs="Arial"/>
          <w:rtl/>
        </w:rPr>
        <w:t xml:space="preserve"> וגם דברי הרמב"ם אפשר לפרש שמה שכתב לשתות מים מותר לא קאי אקידוש אלא אהבדלה לחודה</w:t>
      </w:r>
      <w:r>
        <w:rPr>
          <w:rFonts w:cs="Arial" w:hint="cs"/>
          <w:rtl/>
        </w:rPr>
        <w:t>, ב"י.</w:t>
      </w:r>
    </w:p>
  </w:footnote>
  <w:footnote w:id="863">
    <w:p w14:paraId="63B279A6" w14:textId="77777777" w:rsidR="004B2E7C" w:rsidRDefault="004B2E7C" w:rsidP="00285819">
      <w:pPr>
        <w:pStyle w:val="a7"/>
      </w:pPr>
      <w:r>
        <w:rPr>
          <w:rStyle w:val="a9"/>
        </w:rPr>
        <w:footnoteRef/>
      </w:r>
      <w:r>
        <w:rPr>
          <w:rtl/>
        </w:rPr>
        <w:t xml:space="preserve"> </w:t>
      </w:r>
      <w:r>
        <w:rPr>
          <w:rFonts w:cs="Arial"/>
          <w:rtl/>
        </w:rPr>
        <w:t>כלומר שמפסיק סעודתו ועוקר השלחן ומקדש ואחר כך גומר סעודתו</w:t>
      </w:r>
      <w:r>
        <w:rPr>
          <w:rFonts w:cs="Arial" w:hint="cs"/>
          <w:rtl/>
        </w:rPr>
        <w:t>, ב"י.</w:t>
      </w:r>
    </w:p>
  </w:footnote>
  <w:footnote w:id="864">
    <w:p w14:paraId="50F1C326" w14:textId="77777777" w:rsidR="004B2E7C" w:rsidRDefault="004B2E7C" w:rsidP="00285819">
      <w:pPr>
        <w:pStyle w:val="a7"/>
        <w:rPr>
          <w:rtl/>
        </w:rPr>
      </w:pPr>
      <w:r>
        <w:rPr>
          <w:rStyle w:val="a9"/>
        </w:rPr>
        <w:footnoteRef/>
      </w:r>
      <w:r>
        <w:rPr>
          <w:rtl/>
        </w:rPr>
        <w:t xml:space="preserve"> </w:t>
      </w:r>
      <w:r>
        <w:rPr>
          <w:rFonts w:hint="cs"/>
          <w:rtl/>
        </w:rPr>
        <w:t xml:space="preserve">אלא </w:t>
      </w:r>
      <w:r>
        <w:rPr>
          <w:rFonts w:cs="Arial"/>
          <w:rtl/>
        </w:rPr>
        <w:t>גומר סעודתו ואחר כך מקדש</w:t>
      </w:r>
      <w:r>
        <w:rPr>
          <w:rFonts w:cs="Arial" w:hint="cs"/>
          <w:rtl/>
        </w:rPr>
        <w:t>, ב"י.</w:t>
      </w:r>
    </w:p>
  </w:footnote>
  <w:footnote w:id="865">
    <w:p w14:paraId="65D86D95" w14:textId="77777777" w:rsidR="004B2E7C" w:rsidRDefault="004B2E7C" w:rsidP="00285819">
      <w:pPr>
        <w:pStyle w:val="a7"/>
        <w:rPr>
          <w:rtl/>
        </w:rPr>
      </w:pPr>
      <w:r>
        <w:rPr>
          <w:rStyle w:val="a9"/>
        </w:rPr>
        <w:footnoteRef/>
      </w:r>
      <w:r>
        <w:rPr>
          <w:rtl/>
        </w:rPr>
        <w:t xml:space="preserve"> </w:t>
      </w:r>
      <w:r w:rsidRPr="00516E79">
        <w:rPr>
          <w:rFonts w:cs="Arial"/>
          <w:rtl/>
        </w:rPr>
        <w:t>דאמר מפסיקין, דמשמע עקירת שולחן</w:t>
      </w:r>
      <w:r>
        <w:rPr>
          <w:rFonts w:cs="Arial" w:hint="cs"/>
          <w:rtl/>
        </w:rPr>
        <w:t>, רש"י.</w:t>
      </w:r>
    </w:p>
  </w:footnote>
  <w:footnote w:id="866">
    <w:p w14:paraId="3AF0D2BB" w14:textId="77777777" w:rsidR="004B2E7C" w:rsidRDefault="004B2E7C" w:rsidP="00285819">
      <w:pPr>
        <w:pStyle w:val="a7"/>
        <w:rPr>
          <w:rtl/>
        </w:rPr>
      </w:pPr>
      <w:r>
        <w:rPr>
          <w:rStyle w:val="a9"/>
        </w:rPr>
        <w:footnoteRef/>
      </w:r>
      <w:r>
        <w:rPr>
          <w:rtl/>
        </w:rPr>
        <w:t xml:space="preserve"> </w:t>
      </w:r>
      <w:r w:rsidRPr="00516E79">
        <w:rPr>
          <w:rFonts w:cs="Arial"/>
          <w:rtl/>
        </w:rPr>
        <w:t>דאמר אין מפסיקין כלל</w:t>
      </w:r>
      <w:r>
        <w:rPr>
          <w:rFonts w:cs="Arial" w:hint="cs"/>
          <w:rtl/>
        </w:rPr>
        <w:t xml:space="preserve">, </w:t>
      </w:r>
      <w:r w:rsidRPr="00516E79">
        <w:rPr>
          <w:rFonts w:cs="Arial"/>
          <w:rtl/>
        </w:rPr>
        <w:t xml:space="preserve"> </w:t>
      </w:r>
      <w:r>
        <w:rPr>
          <w:rFonts w:cs="Arial" w:hint="cs"/>
          <w:rtl/>
        </w:rPr>
        <w:t>רש"י.</w:t>
      </w:r>
    </w:p>
  </w:footnote>
  <w:footnote w:id="867">
    <w:p w14:paraId="43D13576" w14:textId="77777777" w:rsidR="004B2E7C" w:rsidRDefault="004B2E7C" w:rsidP="00285819">
      <w:pPr>
        <w:pStyle w:val="a7"/>
      </w:pPr>
      <w:r>
        <w:rPr>
          <w:rStyle w:val="a9"/>
        </w:rPr>
        <w:footnoteRef/>
      </w:r>
      <w:r>
        <w:rPr>
          <w:rtl/>
        </w:rPr>
        <w:t xml:space="preserve"> </w:t>
      </w:r>
      <w:r w:rsidRPr="00FC45D7">
        <w:rPr>
          <w:rFonts w:cs="Arial"/>
          <w:rtl/>
        </w:rPr>
        <w:t>על השולחן, ומקדש היום, וחוזר ואוכל</w:t>
      </w:r>
      <w:r>
        <w:rPr>
          <w:rFonts w:cs="Arial" w:hint="cs"/>
          <w:rtl/>
        </w:rPr>
        <w:t>, רש"י.</w:t>
      </w:r>
    </w:p>
  </w:footnote>
  <w:footnote w:id="868">
    <w:p w14:paraId="4BFCCE6D" w14:textId="77777777" w:rsidR="004B2E7C" w:rsidRDefault="004B2E7C" w:rsidP="00285819">
      <w:pPr>
        <w:pStyle w:val="a7"/>
      </w:pPr>
      <w:r>
        <w:rPr>
          <w:rStyle w:val="a9"/>
        </w:rPr>
        <w:footnoteRef/>
      </w:r>
      <w:r>
        <w:rPr>
          <w:rtl/>
        </w:rPr>
        <w:t xml:space="preserve"> </w:t>
      </w:r>
      <w:r w:rsidRPr="003023F9">
        <w:rPr>
          <w:rFonts w:cs="Arial"/>
          <w:rtl/>
        </w:rPr>
        <w:t>קידוש היום בשבתות ובי"ט שפותחת בברוך והא סמוכה לברכת היין היא</w:t>
      </w:r>
      <w:r>
        <w:rPr>
          <w:rFonts w:cs="Arial" w:hint="cs"/>
          <w:rtl/>
        </w:rPr>
        <w:t>, פני משה.</w:t>
      </w:r>
    </w:p>
  </w:footnote>
  <w:footnote w:id="869">
    <w:p w14:paraId="3C880E47" w14:textId="77777777" w:rsidR="004B2E7C" w:rsidRDefault="004B2E7C" w:rsidP="00285819">
      <w:pPr>
        <w:pStyle w:val="a7"/>
      </w:pPr>
      <w:r>
        <w:rPr>
          <w:rStyle w:val="a9"/>
        </w:rPr>
        <w:footnoteRef/>
      </w:r>
      <w:r>
        <w:rPr>
          <w:rtl/>
        </w:rPr>
        <w:t xml:space="preserve"> </w:t>
      </w:r>
      <w:r w:rsidRPr="003023F9">
        <w:rPr>
          <w:rFonts w:cs="Arial"/>
          <w:rtl/>
        </w:rPr>
        <w:t>שאף היא לפעמים אינה סמוכה שהרי אם היה יושב ושותה מבעוד יום וקדש עליו היום שאינו חוזר ומברך על היין</w:t>
      </w:r>
      <w:r>
        <w:rPr>
          <w:rFonts w:cs="Arial" w:hint="cs"/>
          <w:rtl/>
        </w:rPr>
        <w:t>, פני משה.</w:t>
      </w:r>
    </w:p>
  </w:footnote>
  <w:footnote w:id="870">
    <w:p w14:paraId="4A989C19" w14:textId="77777777" w:rsidR="004B2E7C" w:rsidRDefault="004B2E7C" w:rsidP="00285819">
      <w:pPr>
        <w:pStyle w:val="a7"/>
      </w:pPr>
      <w:r>
        <w:rPr>
          <w:rStyle w:val="a9"/>
        </w:rPr>
        <w:footnoteRef/>
      </w:r>
      <w:r>
        <w:rPr>
          <w:rtl/>
        </w:rPr>
        <w:t xml:space="preserve"> </w:t>
      </w:r>
      <w:r>
        <w:rPr>
          <w:rFonts w:hint="cs"/>
          <w:rtl/>
        </w:rPr>
        <w:t xml:space="preserve">וז"ל הגמרא שם: </w:t>
      </w:r>
      <w:r w:rsidRPr="008269AC">
        <w:rPr>
          <w:rFonts w:cs="Arial"/>
          <w:rtl/>
        </w:rPr>
        <w:t>רב ברונא ורב חננאל תלמידי דרב, הוו יתבי בסעודתא, קאי עלייהו רב ייבא סבא, אמרו ליה: הב ליבריך! הדור אמרו ליה: הב לישתי! אמר להו רב ייבא סבא, הכי אמר רב: כיון דאמר הב ליבריך - איתסר ליה למשתי חמרא</w:t>
      </w:r>
      <w:r>
        <w:rPr>
          <w:rFonts w:cs="Arial" w:hint="cs"/>
          <w:rtl/>
        </w:rPr>
        <w:t>.</w:t>
      </w:r>
    </w:p>
  </w:footnote>
  <w:footnote w:id="871">
    <w:p w14:paraId="5BA950E9" w14:textId="77777777" w:rsidR="004B2E7C" w:rsidRDefault="004B2E7C" w:rsidP="00285819">
      <w:pPr>
        <w:pStyle w:val="a7"/>
      </w:pPr>
      <w:r>
        <w:rPr>
          <w:rStyle w:val="a9"/>
        </w:rPr>
        <w:footnoteRef/>
      </w:r>
      <w:r>
        <w:rPr>
          <w:rtl/>
        </w:rPr>
        <w:t xml:space="preserve"> </w:t>
      </w:r>
      <w:r>
        <w:rPr>
          <w:rFonts w:cs="Arial"/>
          <w:rtl/>
        </w:rPr>
        <w:t>דין ברכת היין וברכת המוציא כתב רבינו שנחלקו בהם הפוסקים</w:t>
      </w:r>
      <w:r>
        <w:rPr>
          <w:rFonts w:cs="Arial" w:hint="cs"/>
          <w:rtl/>
        </w:rPr>
        <w:t>,</w:t>
      </w:r>
      <w:r>
        <w:rPr>
          <w:rFonts w:cs="Arial"/>
          <w:rtl/>
        </w:rPr>
        <w:t xml:space="preserve"> ושהרא"ש </w:t>
      </w:r>
      <w:r w:rsidRPr="00FC45D7">
        <w:rPr>
          <w:rFonts w:cs="Arial"/>
          <w:sz w:val="16"/>
          <w:szCs w:val="16"/>
          <w:rtl/>
        </w:rPr>
        <w:t>(פסחים פ"י סוף סי' ב)</w:t>
      </w:r>
      <w:r>
        <w:rPr>
          <w:rFonts w:cs="Arial"/>
          <w:rtl/>
        </w:rPr>
        <w:t xml:space="preserve"> הסכים שלא לברך ברכת היין ולברך ברכת המוציא</w:t>
      </w:r>
      <w:r>
        <w:rPr>
          <w:rFonts w:cs="Arial" w:hint="cs"/>
          <w:rtl/>
        </w:rPr>
        <w:t>.</w:t>
      </w:r>
      <w:r>
        <w:rPr>
          <w:rFonts w:cs="Arial"/>
          <w:rtl/>
        </w:rPr>
        <w:t xml:space="preserve"> ואמת הדבר דבברכת המוציא אשכחן פלוגתא</w:t>
      </w:r>
      <w:r>
        <w:rPr>
          <w:rFonts w:cs="Arial" w:hint="cs"/>
          <w:rtl/>
        </w:rPr>
        <w:t xml:space="preserve">... </w:t>
      </w:r>
      <w:r>
        <w:rPr>
          <w:rFonts w:cs="Arial"/>
          <w:rtl/>
        </w:rPr>
        <w:t>אבל בברכת היין לא נחלקו, שהרב המגיד (שם) הביא דברי הירושלמי (ברכות פ"א סוף ה"ה) שאומר שאין צריך לברך על היין</w:t>
      </w:r>
      <w:r>
        <w:rPr>
          <w:rFonts w:cs="Arial" w:hint="cs"/>
          <w:rtl/>
        </w:rPr>
        <w:t>.</w:t>
      </w:r>
      <w:r>
        <w:rPr>
          <w:rFonts w:cs="Arial"/>
          <w:rtl/>
        </w:rPr>
        <w:t xml:space="preserve"> וגם הרא"ש הביאו </w:t>
      </w:r>
      <w:r w:rsidRPr="00C80092">
        <w:rPr>
          <w:rFonts w:cs="Arial" w:hint="cs"/>
          <w:sz w:val="16"/>
          <w:szCs w:val="16"/>
          <w:rtl/>
        </w:rPr>
        <w:t>(</w:t>
      </w:r>
      <w:r w:rsidRPr="00C80092">
        <w:rPr>
          <w:rFonts w:cs="Arial"/>
          <w:sz w:val="16"/>
          <w:szCs w:val="16"/>
          <w:rtl/>
        </w:rPr>
        <w:t>שם להקשות ממנו להרי"ף שהצריך לברך המוציא</w:t>
      </w:r>
      <w:r w:rsidRPr="00C80092">
        <w:rPr>
          <w:rFonts w:cs="Arial" w:hint="cs"/>
          <w:sz w:val="16"/>
          <w:szCs w:val="16"/>
          <w:rtl/>
        </w:rPr>
        <w:t>.</w:t>
      </w:r>
      <w:r w:rsidRPr="00C80092">
        <w:rPr>
          <w:rFonts w:cs="Arial"/>
          <w:sz w:val="16"/>
          <w:szCs w:val="16"/>
          <w:rtl/>
        </w:rPr>
        <w:t xml:space="preserve"> ותירץ דודאי איסור האכילה גורם לקידוש דהוי הפסק להצריך המוציא</w:t>
      </w:r>
      <w:r w:rsidRPr="00C80092">
        <w:rPr>
          <w:rFonts w:cs="Arial" w:hint="cs"/>
          <w:sz w:val="16"/>
          <w:szCs w:val="16"/>
          <w:rtl/>
        </w:rPr>
        <w:t>,</w:t>
      </w:r>
      <w:r w:rsidRPr="00C80092">
        <w:rPr>
          <w:rFonts w:cs="Arial"/>
          <w:sz w:val="16"/>
          <w:szCs w:val="16"/>
          <w:rtl/>
        </w:rPr>
        <w:t xml:space="preserve"> אבל בורא פרי הגפן שהוא קודם הקידוש</w:t>
      </w:r>
      <w:r w:rsidRPr="00C80092">
        <w:rPr>
          <w:rFonts w:cs="Arial" w:hint="cs"/>
          <w:sz w:val="16"/>
          <w:szCs w:val="16"/>
          <w:rtl/>
        </w:rPr>
        <w:t>,</w:t>
      </w:r>
      <w:r w:rsidRPr="00C80092">
        <w:rPr>
          <w:rFonts w:cs="Arial"/>
          <w:sz w:val="16"/>
          <w:szCs w:val="16"/>
          <w:rtl/>
        </w:rPr>
        <w:t xml:space="preserve"> בשביל איסור השתיה לא הוי הפסק עכ"ל</w:t>
      </w:r>
      <w:r>
        <w:rPr>
          <w:rFonts w:cs="Arial" w:hint="cs"/>
          <w:sz w:val="16"/>
          <w:szCs w:val="16"/>
          <w:rtl/>
        </w:rPr>
        <w:t>.</w:t>
      </w:r>
      <w:r w:rsidRPr="00C80092">
        <w:rPr>
          <w:rFonts w:cs="Arial"/>
          <w:sz w:val="16"/>
          <w:szCs w:val="16"/>
          <w:rtl/>
        </w:rPr>
        <w:t xml:space="preserve"> ונראה לי דהכי קאמר שאע"פ שכשם שצריך להפסיק מאכילה כך צריך להפסיק משתיה, לא דמו, דהא דמצרכי לברך המוציא לאו משום שהיה אסור באכילה אלא מפני שקידש וקידוש הוי הפסק לאכילה דמקדש ומיכל בהדי הדדי לא אפשר אבל לברכת היין לא הוי קידוש הפסק דהא סדר קידוש כך הוא שמברך על היין ואחר כך מברך על היום הילכך כיון דקידוש לא הוי הפסק לברכת היין אינו צריך לברך על היין</w:t>
      </w:r>
      <w:r w:rsidRPr="00C80092">
        <w:rPr>
          <w:rFonts w:cs="Arial" w:hint="cs"/>
          <w:sz w:val="16"/>
          <w:szCs w:val="16"/>
          <w:rtl/>
        </w:rPr>
        <w:t>)</w:t>
      </w:r>
      <w:r>
        <w:rPr>
          <w:rFonts w:cs="Arial"/>
          <w:rtl/>
        </w:rPr>
        <w:t xml:space="preserve"> ומכל מקום לא חזינן מאן דפליג אהא דירושלמי. ואפשר דמשום דלפום מאי דהוה קשיא לן על הרי"ף מהירושלמי הוה ס"ד לומר דברכת המוציא וברכת היין שוים הן</w:t>
      </w:r>
      <w:r>
        <w:rPr>
          <w:rFonts w:cs="Arial" w:hint="cs"/>
          <w:rtl/>
        </w:rPr>
        <w:t>.</w:t>
      </w:r>
      <w:r>
        <w:rPr>
          <w:rFonts w:cs="Arial"/>
          <w:rtl/>
        </w:rPr>
        <w:t xml:space="preserve"> וכיון שהרי"ף סובר שמברך המוציא גם כן יסבור שמברך ברכת היין כתב רבינו שיש אומרים שמברך על היין</w:t>
      </w:r>
      <w:r>
        <w:rPr>
          <w:rFonts w:cs="Arial" w:hint="cs"/>
          <w:rtl/>
        </w:rPr>
        <w:t>,</w:t>
      </w:r>
      <w:r>
        <w:rPr>
          <w:rFonts w:cs="Arial"/>
          <w:rtl/>
        </w:rPr>
        <w:t xml:space="preserve"> דלההוא קס"ד קרי יש אומרים</w:t>
      </w:r>
      <w:r>
        <w:rPr>
          <w:rFonts w:cs="Arial" w:hint="cs"/>
          <w:rtl/>
        </w:rPr>
        <w:t>.</w:t>
      </w:r>
      <w:r>
        <w:rPr>
          <w:rFonts w:cs="Arial"/>
          <w:rtl/>
        </w:rPr>
        <w:t xml:space="preserve"> ואח"כ כשתירץ הרא"ש הירושלמי לדברי הרי"ף הוי כאילו דחה סברת היש אומרים והסכים שצריך לברך המוציא ואין צריך לברך על היין. </w:t>
      </w:r>
      <w:r w:rsidRPr="00F44BB3">
        <w:rPr>
          <w:rFonts w:cs="Arial"/>
          <w:rtl/>
        </w:rPr>
        <w:t>והתימה על רבינו ירוחם שכתב בח"א (ני"ב סה ריש ע"ד)</w:t>
      </w:r>
      <w:r>
        <w:rPr>
          <w:rFonts w:cs="Arial"/>
          <w:rtl/>
        </w:rPr>
        <w:t xml:space="preserve"> שמברך המוציא ומברך בורא פרי הגפן אף על פי שבירך כששתה בתחלת אכילתו</w:t>
      </w:r>
      <w:r>
        <w:rPr>
          <w:rFonts w:cs="Arial" w:hint="cs"/>
          <w:rtl/>
        </w:rPr>
        <w:t>,</w:t>
      </w:r>
      <w:r>
        <w:rPr>
          <w:rFonts w:cs="Arial"/>
          <w:rtl/>
        </w:rPr>
        <w:t xml:space="preserve"> וזה כפי מאי דס"ד</w:t>
      </w:r>
      <w:r>
        <w:rPr>
          <w:rFonts w:cs="Arial" w:hint="cs"/>
          <w:rtl/>
        </w:rPr>
        <w:t>,</w:t>
      </w:r>
      <w:r>
        <w:rPr>
          <w:rFonts w:cs="Arial"/>
          <w:rtl/>
        </w:rPr>
        <w:t xml:space="preserve"> ולא כהסכמת הרא"ש ותירוצו, וקשה היאך פסק היפך הירושלמי וגם לא הזכיר סברת הרא"ש בזה</w:t>
      </w:r>
      <w:r>
        <w:rPr>
          <w:rFonts w:cs="Arial" w:hint="cs"/>
          <w:rtl/>
        </w:rPr>
        <w:t>.</w:t>
      </w:r>
      <w:r>
        <w:rPr>
          <w:rFonts w:cs="Arial"/>
          <w:rtl/>
        </w:rPr>
        <w:t xml:space="preserve"> ומיהו לדברי הרמב"ם שאכתוב בסמוך (ד"ה כתב הרמב"ם) </w:t>
      </w:r>
      <w:r w:rsidRPr="00F44BB3">
        <w:rPr>
          <w:rFonts w:cs="Arial"/>
          <w:b/>
          <w:bCs/>
          <w:rtl/>
        </w:rPr>
        <w:t>אפשר לומר</w:t>
      </w:r>
      <w:r>
        <w:rPr>
          <w:rFonts w:cs="Arial"/>
          <w:rtl/>
        </w:rPr>
        <w:t xml:space="preserve"> שצריך לברך בורא פרי הגפן ולא חשש לכתוב כן בהלכות שבת לפי שסמך על מה שכתב בהלכות ברכות (פ"ד ה"ח)</w:t>
      </w:r>
      <w:r>
        <w:rPr>
          <w:rFonts w:cs="Arial" w:hint="cs"/>
          <w:rtl/>
        </w:rPr>
        <w:t>.</w:t>
      </w:r>
      <w:r>
        <w:rPr>
          <w:rFonts w:cs="Arial"/>
          <w:rtl/>
        </w:rPr>
        <w:t xml:space="preserve"> ולפי זה מאי דכתב רבינו שיש אומרים שמברך בורא פרי הגפן הוא דעת הרמב"ם, ורבינו ירוחם סתם דבריו לדעת הרמב"ם ז"ל. וכן נראה שהוא דעת מהרי</w:t>
      </w:r>
      <w:r>
        <w:rPr>
          <w:rFonts w:cs="Arial" w:hint="cs"/>
          <w:rtl/>
        </w:rPr>
        <w:t>"ק</w:t>
      </w:r>
      <w:r>
        <w:rPr>
          <w:rFonts w:cs="Arial"/>
          <w:rtl/>
        </w:rPr>
        <w:t xml:space="preserve"> </w:t>
      </w:r>
      <w:r w:rsidRPr="002B7A6D">
        <w:rPr>
          <w:rFonts w:cs="Arial"/>
          <w:sz w:val="16"/>
          <w:szCs w:val="16"/>
          <w:rtl/>
        </w:rPr>
        <w:t>(שורש צו אות ב)</w:t>
      </w:r>
      <w:r>
        <w:rPr>
          <w:rFonts w:cs="Arial"/>
          <w:rtl/>
        </w:rPr>
        <w:t xml:space="preserve"> כמו שאכתוב בסימן רצ"ט (מח. ד"ה כתב הרמב"ם) בס"ד</w:t>
      </w:r>
      <w:r>
        <w:rPr>
          <w:rFonts w:cs="Arial" w:hint="cs"/>
          <w:rtl/>
        </w:rPr>
        <w:t>, ב"י.</w:t>
      </w:r>
    </w:p>
  </w:footnote>
  <w:footnote w:id="872">
    <w:p w14:paraId="0991CEB8" w14:textId="77777777" w:rsidR="004B2E7C" w:rsidRDefault="004B2E7C" w:rsidP="00285819">
      <w:pPr>
        <w:pStyle w:val="a7"/>
        <w:rPr>
          <w:rFonts w:cs="Arial"/>
          <w:rtl/>
        </w:rPr>
      </w:pPr>
      <w:r>
        <w:rPr>
          <w:rStyle w:val="a9"/>
        </w:rPr>
        <w:footnoteRef/>
      </w:r>
      <w:r>
        <w:rPr>
          <w:rtl/>
        </w:rPr>
        <w:t xml:space="preserve"> </w:t>
      </w:r>
      <w:r w:rsidRPr="003309D2">
        <w:rPr>
          <w:rFonts w:cs="Arial"/>
          <w:rtl/>
        </w:rPr>
        <w:t>ומעתה יש לתמוה על מרן ז"ל</w:t>
      </w:r>
      <w:r>
        <w:rPr>
          <w:rFonts w:cs="Arial" w:hint="cs"/>
          <w:rtl/>
        </w:rPr>
        <w:t>,</w:t>
      </w:r>
      <w:r w:rsidRPr="003309D2">
        <w:rPr>
          <w:rFonts w:cs="Arial"/>
          <w:rtl/>
        </w:rPr>
        <w:t xml:space="preserve"> </w:t>
      </w:r>
      <w:r>
        <w:rPr>
          <w:rFonts w:cs="Arial" w:hint="cs"/>
          <w:rtl/>
        </w:rPr>
        <w:t>ד</w:t>
      </w:r>
      <w:r w:rsidRPr="003309D2">
        <w:rPr>
          <w:rFonts w:cs="Arial"/>
          <w:rtl/>
        </w:rPr>
        <w:t>בש</w:t>
      </w:r>
      <w:r>
        <w:rPr>
          <w:rFonts w:cs="Arial" w:hint="cs"/>
          <w:rtl/>
        </w:rPr>
        <w:t>ו</w:t>
      </w:r>
      <w:r w:rsidRPr="003309D2">
        <w:rPr>
          <w:rFonts w:cs="Arial"/>
          <w:rtl/>
        </w:rPr>
        <w:t>"ע דכאן בס"ד פסק דא"צ לברך בפה</w:t>
      </w:r>
      <w:r>
        <w:rPr>
          <w:rFonts w:cs="Arial" w:hint="cs"/>
          <w:rtl/>
        </w:rPr>
        <w:t>"</w:t>
      </w:r>
      <w:r w:rsidRPr="003309D2">
        <w:rPr>
          <w:rFonts w:cs="Arial"/>
          <w:rtl/>
        </w:rPr>
        <w:t>ג</w:t>
      </w:r>
      <w:r>
        <w:rPr>
          <w:rFonts w:cs="Arial" w:hint="cs"/>
          <w:rtl/>
        </w:rPr>
        <w:t>,</w:t>
      </w:r>
      <w:r w:rsidRPr="003309D2">
        <w:rPr>
          <w:rFonts w:cs="Arial"/>
          <w:rtl/>
        </w:rPr>
        <w:t xml:space="preserve"> ובס"ה העתיק דברי הרמב"ם ז"ל דילפי' מינייהו דמברך בפה</w:t>
      </w:r>
      <w:r>
        <w:rPr>
          <w:rFonts w:cs="Arial" w:hint="cs"/>
          <w:rtl/>
        </w:rPr>
        <w:t>"</w:t>
      </w:r>
      <w:r w:rsidRPr="003309D2">
        <w:rPr>
          <w:rFonts w:cs="Arial"/>
          <w:rtl/>
        </w:rPr>
        <w:t>ג</w:t>
      </w:r>
      <w:r>
        <w:rPr>
          <w:rFonts w:cs="Arial" w:hint="cs"/>
          <w:rtl/>
        </w:rPr>
        <w:t>,</w:t>
      </w:r>
      <w:r w:rsidRPr="003309D2">
        <w:rPr>
          <w:rFonts w:cs="Arial"/>
          <w:rtl/>
        </w:rPr>
        <w:t xml:space="preserve"> וכמ"ש בב"י שהוא הי"א שכתב הטור ושכ"כ רי"ו</w:t>
      </w:r>
      <w:r>
        <w:rPr>
          <w:rFonts w:cs="Arial" w:hint="cs"/>
          <w:rtl/>
        </w:rPr>
        <w:t>.</w:t>
      </w:r>
      <w:r w:rsidRPr="003309D2">
        <w:rPr>
          <w:rFonts w:cs="Arial"/>
          <w:rtl/>
        </w:rPr>
        <w:t xml:space="preserve"> ונ"ל דמרן ז"ל לא כתב מ"ש בב"י אלא ליישב דברי הטור ז"ל ורי"ו</w:t>
      </w:r>
      <w:r>
        <w:rPr>
          <w:rFonts w:cs="Arial" w:hint="cs"/>
          <w:rtl/>
        </w:rPr>
        <w:t>,</w:t>
      </w:r>
      <w:r w:rsidRPr="003309D2">
        <w:rPr>
          <w:rFonts w:cs="Arial"/>
          <w:rtl/>
        </w:rPr>
        <w:t xml:space="preserve"> ולא כתבו אלא בדרך אפשר</w:t>
      </w:r>
      <w:r>
        <w:rPr>
          <w:rFonts w:cs="Arial" w:hint="cs"/>
          <w:rtl/>
        </w:rPr>
        <w:t>,</w:t>
      </w:r>
      <w:r w:rsidRPr="003309D2">
        <w:rPr>
          <w:rFonts w:cs="Arial"/>
          <w:rtl/>
        </w:rPr>
        <w:t xml:space="preserve"> אבל פשיטא שאינו מוכרע בדעת רמב"ם</w:t>
      </w:r>
      <w:r>
        <w:rPr>
          <w:rFonts w:cs="Arial" w:hint="cs"/>
          <w:rtl/>
        </w:rPr>
        <w:t>.</w:t>
      </w:r>
      <w:r w:rsidRPr="003309D2">
        <w:rPr>
          <w:rFonts w:cs="Arial"/>
          <w:rtl/>
        </w:rPr>
        <w:t xml:space="preserve"> ותדע שכ</w:t>
      </w:r>
      <w:r>
        <w:rPr>
          <w:rFonts w:cs="Arial" w:hint="cs"/>
          <w:rtl/>
        </w:rPr>
        <w:t>ן הוא,</w:t>
      </w:r>
      <w:r w:rsidRPr="003309D2">
        <w:rPr>
          <w:rFonts w:cs="Arial"/>
          <w:rtl/>
        </w:rPr>
        <w:t xml:space="preserve"> שהרי לפני זה הביא מרן ז"ל דברי הה"מ שכתב דלדעת הרמב"ם ז"ל אינו מברך המוציא ומבואר שם דגם בפה</w:t>
      </w:r>
      <w:r>
        <w:rPr>
          <w:rFonts w:cs="Arial" w:hint="cs"/>
          <w:rtl/>
        </w:rPr>
        <w:t>"</w:t>
      </w:r>
      <w:r w:rsidRPr="003309D2">
        <w:rPr>
          <w:rFonts w:cs="Arial"/>
          <w:rtl/>
        </w:rPr>
        <w:t>ג אינו מברך</w:t>
      </w:r>
      <w:r>
        <w:rPr>
          <w:rFonts w:cs="Arial" w:hint="cs"/>
          <w:rtl/>
        </w:rPr>
        <w:t>...</w:t>
      </w:r>
      <w:r w:rsidRPr="003309D2">
        <w:rPr>
          <w:rFonts w:cs="Arial"/>
          <w:rtl/>
        </w:rPr>
        <w:t xml:space="preserve"> וע</w:t>
      </w:r>
      <w:r>
        <w:rPr>
          <w:rFonts w:cs="Arial" w:hint="cs"/>
          <w:rtl/>
        </w:rPr>
        <w:t>ל כרחך</w:t>
      </w:r>
      <w:r w:rsidRPr="003309D2">
        <w:rPr>
          <w:rFonts w:cs="Arial"/>
          <w:rtl/>
        </w:rPr>
        <w:t xml:space="preserve"> היינו משום דס"ל דאין ראיה ממ"ש הרמב"ם בה</w:t>
      </w:r>
      <w:r>
        <w:rPr>
          <w:rFonts w:cs="Arial" w:hint="cs"/>
          <w:rtl/>
        </w:rPr>
        <w:t xml:space="preserve">ל' </w:t>
      </w:r>
      <w:r w:rsidRPr="003309D2">
        <w:rPr>
          <w:rFonts w:cs="Arial"/>
          <w:rtl/>
        </w:rPr>
        <w:t>ב</w:t>
      </w:r>
      <w:r>
        <w:rPr>
          <w:rFonts w:cs="Arial" w:hint="cs"/>
          <w:rtl/>
        </w:rPr>
        <w:t>רכות,</w:t>
      </w:r>
      <w:r w:rsidRPr="003309D2">
        <w:rPr>
          <w:rFonts w:cs="Arial"/>
          <w:rtl/>
        </w:rPr>
        <w:t xml:space="preserve"> דמצינן למימר דמודה הרמב"ם ז"ל שאם מקדש א"צ לברך בפה</w:t>
      </w:r>
      <w:r>
        <w:rPr>
          <w:rFonts w:cs="Arial" w:hint="cs"/>
          <w:rtl/>
        </w:rPr>
        <w:t>"</w:t>
      </w:r>
      <w:r w:rsidRPr="003309D2">
        <w:rPr>
          <w:rFonts w:cs="Arial"/>
          <w:rtl/>
        </w:rPr>
        <w:t>ג על כוס של קידוש מן הטעם שהזכיר הרא"ש ז"ל</w:t>
      </w:r>
      <w:r>
        <w:rPr>
          <w:rFonts w:cs="Arial" w:hint="cs"/>
          <w:rtl/>
        </w:rPr>
        <w:t>.</w:t>
      </w:r>
      <w:r w:rsidRPr="003309D2">
        <w:rPr>
          <w:rFonts w:cs="Arial"/>
          <w:rtl/>
        </w:rPr>
        <w:t xml:space="preserve"> ומה שהצריך ב</w:t>
      </w:r>
      <w:r>
        <w:rPr>
          <w:rFonts w:cs="Arial" w:hint="cs"/>
          <w:rtl/>
        </w:rPr>
        <w:t>הל' ברכות</w:t>
      </w:r>
      <w:r w:rsidRPr="003309D2">
        <w:rPr>
          <w:rFonts w:cs="Arial"/>
          <w:rtl/>
        </w:rPr>
        <w:t xml:space="preserve"> לברך בפה</w:t>
      </w:r>
      <w:r>
        <w:rPr>
          <w:rFonts w:cs="Arial" w:hint="cs"/>
          <w:rtl/>
        </w:rPr>
        <w:t>"</w:t>
      </w:r>
      <w:r w:rsidRPr="003309D2">
        <w:rPr>
          <w:rFonts w:cs="Arial"/>
          <w:rtl/>
        </w:rPr>
        <w:t>ג ה</w:t>
      </w:r>
      <w:r>
        <w:rPr>
          <w:rFonts w:cs="Arial" w:hint="cs"/>
          <w:rtl/>
        </w:rPr>
        <w:t xml:space="preserve">יינו </w:t>
      </w:r>
      <w:r w:rsidRPr="003309D2">
        <w:rPr>
          <w:rFonts w:cs="Arial"/>
          <w:rtl/>
        </w:rPr>
        <w:t>ט</w:t>
      </w:r>
      <w:r>
        <w:rPr>
          <w:rFonts w:cs="Arial" w:hint="cs"/>
          <w:rtl/>
        </w:rPr>
        <w:t>עמא</w:t>
      </w:r>
      <w:r w:rsidRPr="003309D2">
        <w:rPr>
          <w:rFonts w:cs="Arial"/>
          <w:rtl/>
        </w:rPr>
        <w:t xml:space="preserve"> דמיירי התם במסיח דעתו מלשתות קודם קידוש כל שאמר בואו ונקדש</w:t>
      </w:r>
      <w:r>
        <w:rPr>
          <w:rFonts w:cs="Arial" w:hint="cs"/>
          <w:rtl/>
        </w:rPr>
        <w:t>,</w:t>
      </w:r>
      <w:r w:rsidRPr="003309D2">
        <w:rPr>
          <w:rFonts w:cs="Arial"/>
          <w:rtl/>
        </w:rPr>
        <w:t xml:space="preserve"> והוי כאומר הב לן ונבריך</w:t>
      </w:r>
      <w:r>
        <w:rPr>
          <w:rFonts w:cs="Arial" w:hint="cs"/>
          <w:rtl/>
        </w:rPr>
        <w:t>,</w:t>
      </w:r>
      <w:r w:rsidRPr="003309D2">
        <w:rPr>
          <w:rFonts w:cs="Arial"/>
          <w:rtl/>
        </w:rPr>
        <w:t xml:space="preserve"> והיינו דהרמב"ם ז"ל ערבינהו ותננינהו להני תרתי מילי בחד בבא יעו</w:t>
      </w:r>
      <w:r>
        <w:rPr>
          <w:rFonts w:cs="Arial" w:hint="cs"/>
          <w:rtl/>
        </w:rPr>
        <w:t>"</w:t>
      </w:r>
      <w:r w:rsidRPr="003309D2">
        <w:rPr>
          <w:rFonts w:cs="Arial"/>
          <w:rtl/>
        </w:rPr>
        <w:t>ש. והוא מדוקדק היטב בל' הש</w:t>
      </w:r>
      <w:r>
        <w:rPr>
          <w:rFonts w:cs="Arial" w:hint="cs"/>
          <w:rtl/>
        </w:rPr>
        <w:t>ו</w:t>
      </w:r>
      <w:r w:rsidRPr="003309D2">
        <w:rPr>
          <w:rFonts w:cs="Arial"/>
          <w:rtl/>
        </w:rPr>
        <w:t xml:space="preserve">"ע ס"ה שכתב </w:t>
      </w:r>
      <w:r>
        <w:rPr>
          <w:rFonts w:cs="Arial" w:hint="cs"/>
          <w:rtl/>
        </w:rPr>
        <w:t>'</w:t>
      </w:r>
      <w:r w:rsidRPr="003309D2">
        <w:rPr>
          <w:rFonts w:cs="Arial"/>
          <w:rtl/>
        </w:rPr>
        <w:t>נאסר עליהם לשתות עד שיקדשו ואם רצו לחזור ולשתות קודם שיקדשו אע</w:t>
      </w:r>
      <w:r>
        <w:rPr>
          <w:rFonts w:cs="Arial" w:hint="cs"/>
          <w:rtl/>
        </w:rPr>
        <w:t>"</w:t>
      </w:r>
      <w:r w:rsidRPr="003309D2">
        <w:rPr>
          <w:rFonts w:cs="Arial"/>
          <w:rtl/>
        </w:rPr>
        <w:t>פ שאינם רשאין צ</w:t>
      </w:r>
      <w:r>
        <w:rPr>
          <w:rFonts w:cs="Arial" w:hint="cs"/>
          <w:rtl/>
        </w:rPr>
        <w:t>ריכים לברך</w:t>
      </w:r>
      <w:r w:rsidRPr="003309D2">
        <w:rPr>
          <w:rFonts w:cs="Arial"/>
          <w:rtl/>
        </w:rPr>
        <w:t xml:space="preserve"> בפה</w:t>
      </w:r>
      <w:r>
        <w:rPr>
          <w:rFonts w:cs="Arial" w:hint="cs"/>
          <w:rtl/>
        </w:rPr>
        <w:t>"</w:t>
      </w:r>
      <w:r w:rsidRPr="003309D2">
        <w:rPr>
          <w:rFonts w:cs="Arial"/>
          <w:rtl/>
        </w:rPr>
        <w:t>ג</w:t>
      </w:r>
      <w:r>
        <w:rPr>
          <w:rFonts w:cs="Arial" w:hint="cs"/>
          <w:rtl/>
        </w:rPr>
        <w:t>' -</w:t>
      </w:r>
      <w:r w:rsidRPr="003309D2">
        <w:rPr>
          <w:rFonts w:cs="Arial"/>
          <w:rtl/>
        </w:rPr>
        <w:t xml:space="preserve"> משמע מדקדוק לשונם דא"צ לברך אלא במה שרוצה לשתות קודם קידוש</w:t>
      </w:r>
      <w:r>
        <w:rPr>
          <w:rFonts w:cs="Arial" w:hint="cs"/>
          <w:rtl/>
        </w:rPr>
        <w:t>,</w:t>
      </w:r>
      <w:r w:rsidRPr="003309D2">
        <w:rPr>
          <w:rFonts w:cs="Arial"/>
          <w:rtl/>
        </w:rPr>
        <w:t xml:space="preserve"> אבל אם מקדש א"צ לברך בפה</w:t>
      </w:r>
      <w:r>
        <w:rPr>
          <w:rFonts w:cs="Arial" w:hint="cs"/>
          <w:rtl/>
        </w:rPr>
        <w:t>"</w:t>
      </w:r>
      <w:r w:rsidRPr="003309D2">
        <w:rPr>
          <w:rFonts w:cs="Arial"/>
          <w:rtl/>
        </w:rPr>
        <w:t>ג</w:t>
      </w:r>
      <w:r>
        <w:rPr>
          <w:rFonts w:cs="Arial" w:hint="cs"/>
          <w:rtl/>
        </w:rPr>
        <w:t>,</w:t>
      </w:r>
      <w:r w:rsidRPr="003309D2">
        <w:rPr>
          <w:rFonts w:cs="Arial"/>
          <w:rtl/>
        </w:rPr>
        <w:t xml:space="preserve"> לפי שלא הסיח דעתו ממנו</w:t>
      </w:r>
      <w:r>
        <w:rPr>
          <w:rFonts w:cs="Arial" w:hint="cs"/>
          <w:rtl/>
        </w:rPr>
        <w:t>,</w:t>
      </w:r>
      <w:r w:rsidRPr="003309D2">
        <w:rPr>
          <w:rFonts w:cs="Arial"/>
          <w:rtl/>
        </w:rPr>
        <w:t xml:space="preserve"> רק לשתות קודם קידוש הוא שהסיח דעתו</w:t>
      </w:r>
      <w:r>
        <w:rPr>
          <w:rFonts w:cs="Arial" w:hint="cs"/>
          <w:rtl/>
        </w:rPr>
        <w:t>,</w:t>
      </w:r>
      <w:r w:rsidRPr="003309D2">
        <w:rPr>
          <w:rFonts w:cs="Arial"/>
          <w:rtl/>
        </w:rPr>
        <w:t xml:space="preserve"> שכך אמר בואו ונקדש</w:t>
      </w:r>
      <w:r>
        <w:rPr>
          <w:rFonts w:cs="Arial" w:hint="cs"/>
          <w:rtl/>
        </w:rPr>
        <w:t>.</w:t>
      </w:r>
      <w:r w:rsidRPr="003309D2">
        <w:rPr>
          <w:rFonts w:cs="Arial"/>
          <w:rtl/>
        </w:rPr>
        <w:t xml:space="preserve"> ולכן כל ששותה קודם הו"ל נמלך ובעי ברוכי</w:t>
      </w:r>
      <w:r>
        <w:rPr>
          <w:rFonts w:cs="Arial" w:hint="cs"/>
          <w:rtl/>
        </w:rPr>
        <w:t>.</w:t>
      </w:r>
      <w:r w:rsidRPr="003309D2">
        <w:rPr>
          <w:rFonts w:cs="Arial"/>
          <w:rtl/>
        </w:rPr>
        <w:t xml:space="preserve"> אבל על כוס של קידוש אם מקדש מיד א"צ לברך</w:t>
      </w:r>
      <w:r>
        <w:rPr>
          <w:rFonts w:cs="Arial" w:hint="cs"/>
          <w:rtl/>
        </w:rPr>
        <w:t>,</w:t>
      </w:r>
      <w:r w:rsidRPr="003309D2">
        <w:rPr>
          <w:rFonts w:cs="Arial"/>
          <w:rtl/>
        </w:rPr>
        <w:t xml:space="preserve"> דהקידוש לא הוי הפסק כמ"ש הרא"ש ז"ל</w:t>
      </w:r>
      <w:r>
        <w:rPr>
          <w:rFonts w:cs="Arial" w:hint="cs"/>
          <w:rtl/>
        </w:rPr>
        <w:t>.</w:t>
      </w:r>
      <w:r w:rsidRPr="003309D2">
        <w:rPr>
          <w:rFonts w:cs="Arial"/>
          <w:rtl/>
        </w:rPr>
        <w:t xml:space="preserve"> כנ"ל דעת מרן ז"ל וע"ל ס"ה</w:t>
      </w:r>
      <w:r>
        <w:rPr>
          <w:rFonts w:cs="Arial" w:hint="cs"/>
          <w:rtl/>
        </w:rPr>
        <w:t xml:space="preserve">. </w:t>
      </w:r>
      <w:r w:rsidRPr="003309D2">
        <w:rPr>
          <w:rFonts w:cs="Arial"/>
          <w:rtl/>
        </w:rPr>
        <w:t>וראיתי להרב דרישה ז"ל שנדח</w:t>
      </w:r>
      <w:r>
        <w:rPr>
          <w:rFonts w:cs="Arial" w:hint="cs"/>
          <w:rtl/>
        </w:rPr>
        <w:t>ק</w:t>
      </w:r>
      <w:r w:rsidRPr="003309D2">
        <w:rPr>
          <w:rFonts w:cs="Arial"/>
          <w:rtl/>
        </w:rPr>
        <w:t xml:space="preserve"> בזה וחילק בין היו מסובין לשתיה בלבד לכשהיו מסובין מתחלה לאכיל</w:t>
      </w:r>
      <w:r>
        <w:rPr>
          <w:rFonts w:cs="Arial" w:hint="cs"/>
          <w:rtl/>
        </w:rPr>
        <w:t xml:space="preserve">ה - </w:t>
      </w:r>
      <w:r w:rsidRPr="003309D2">
        <w:rPr>
          <w:rFonts w:cs="Arial"/>
          <w:rtl/>
        </w:rPr>
        <w:t>ואין דבריו מחוורין אצלי</w:t>
      </w:r>
      <w:r>
        <w:rPr>
          <w:rFonts w:cs="Arial" w:hint="cs"/>
          <w:rtl/>
        </w:rPr>
        <w:t>...</w:t>
      </w:r>
      <w:r w:rsidRPr="003309D2">
        <w:rPr>
          <w:rFonts w:cs="Arial"/>
          <w:rtl/>
        </w:rPr>
        <w:t xml:space="preserve"> אמנם דברי הרב מ"א ז"ל נוטין לדברינו ועיין להרב ט"ז שהאריך להקשות ולתרץ. והמעיין היטב במה שכתבנו יראה שיש להשיב על כל דבריו</w:t>
      </w:r>
      <w:r>
        <w:rPr>
          <w:rFonts w:cs="Arial" w:hint="cs"/>
          <w:rtl/>
        </w:rPr>
        <w:t>, מאמר מרדכי (סק"ג).</w:t>
      </w:r>
    </w:p>
    <w:p w14:paraId="39B414AD" w14:textId="77777777" w:rsidR="004B2E7C" w:rsidRDefault="004B2E7C" w:rsidP="00285819">
      <w:pPr>
        <w:pStyle w:val="a7"/>
      </w:pPr>
      <w:r w:rsidRPr="0043002C">
        <w:rPr>
          <w:rFonts w:cs="Arial"/>
          <w:rtl/>
        </w:rPr>
        <w:t>ועיין לקמן סימן רצ"ט (ד"מ הארוך אות א ד"ה ואם, ב"י עמ' קמ ד"ה כתב הרמב"ם בפ"ד)</w:t>
      </w:r>
      <w:r>
        <w:rPr>
          <w:rFonts w:cs="Arial" w:hint="cs"/>
          <w:rtl/>
        </w:rPr>
        <w:t>, דרכ"מ (אות ב).</w:t>
      </w:r>
    </w:p>
  </w:footnote>
  <w:footnote w:id="873">
    <w:p w14:paraId="4C8A14A7" w14:textId="77777777" w:rsidR="004B2E7C" w:rsidRDefault="004B2E7C" w:rsidP="00285819">
      <w:pPr>
        <w:pStyle w:val="a7"/>
      </w:pPr>
      <w:r>
        <w:rPr>
          <w:rStyle w:val="a9"/>
        </w:rPr>
        <w:footnoteRef/>
      </w:r>
      <w:r>
        <w:rPr>
          <w:rtl/>
        </w:rPr>
        <w:t xml:space="preserve"> </w:t>
      </w:r>
      <w:r>
        <w:rPr>
          <w:rFonts w:cs="Arial" w:hint="cs"/>
          <w:rtl/>
        </w:rPr>
        <w:t>ו</w:t>
      </w:r>
      <w:r>
        <w:rPr>
          <w:rFonts w:cs="Arial"/>
          <w:rtl/>
        </w:rPr>
        <w:t>הרז"ה (יט:) הקשה עליו שאילו היה צריך לברך המוציא היה טעון ברכת המזון לסעודה ראשונה שלא מצינו ברכת המזון אחד לשתי ברכות של המוציא</w:t>
      </w:r>
      <w:r>
        <w:rPr>
          <w:rFonts w:cs="Arial" w:hint="cs"/>
          <w:rtl/>
        </w:rPr>
        <w:t>.</w:t>
      </w:r>
      <w:r>
        <w:rPr>
          <w:rFonts w:cs="Arial"/>
          <w:rtl/>
        </w:rPr>
        <w:t xml:space="preserve"> וה</w:t>
      </w:r>
      <w:r>
        <w:rPr>
          <w:rFonts w:cs="Arial" w:hint="cs"/>
          <w:rtl/>
        </w:rPr>
        <w:t>רא"ש</w:t>
      </w:r>
      <w:r>
        <w:rPr>
          <w:rFonts w:cs="Arial"/>
          <w:rtl/>
        </w:rPr>
        <w:t xml:space="preserve"> ז"ל תירץ דברי הרי"ף מידי דהוה אנמלך (חולין קז:)</w:t>
      </w:r>
      <w:r>
        <w:rPr>
          <w:rFonts w:cs="Arial" w:hint="cs"/>
          <w:rtl/>
        </w:rPr>
        <w:t>.</w:t>
      </w:r>
      <w:r w:rsidRPr="00FC45D7">
        <w:rPr>
          <w:rFonts w:cs="Arial"/>
          <w:rtl/>
        </w:rPr>
        <w:t xml:space="preserve"> </w:t>
      </w:r>
      <w:r>
        <w:rPr>
          <w:rFonts w:cs="Arial"/>
          <w:rtl/>
        </w:rPr>
        <w:t>וכתב</w:t>
      </w:r>
      <w:r>
        <w:rPr>
          <w:rFonts w:cs="Arial" w:hint="cs"/>
          <w:rtl/>
        </w:rPr>
        <w:t xml:space="preserve"> הרא"ש</w:t>
      </w:r>
      <w:r>
        <w:rPr>
          <w:rFonts w:cs="Arial"/>
          <w:rtl/>
        </w:rPr>
        <w:t xml:space="preserve"> ש</w:t>
      </w:r>
      <w:r>
        <w:rPr>
          <w:rFonts w:cs="Arial" w:hint="cs"/>
          <w:rtl/>
        </w:rPr>
        <w:t xml:space="preserve">כדברי הרי"ף </w:t>
      </w:r>
      <w:r>
        <w:rPr>
          <w:rFonts w:cs="Arial"/>
          <w:rtl/>
        </w:rPr>
        <w:t>כן דעת ה"ר יונה והר"י ן' גיאת ובה"ג (הל' קידוש והבדלה יג:)</w:t>
      </w:r>
      <w:r>
        <w:rPr>
          <w:rFonts w:cs="Arial" w:hint="cs"/>
          <w:rtl/>
        </w:rPr>
        <w:t>, ב"י.</w:t>
      </w:r>
      <w:r>
        <w:rPr>
          <w:rFonts w:hint="cs"/>
          <w:rtl/>
        </w:rPr>
        <w:t xml:space="preserve"> והוסיף עוד הרא"ש- </w:t>
      </w:r>
      <w:r w:rsidRPr="00C9245A">
        <w:rPr>
          <w:rFonts w:cs="Arial"/>
          <w:rtl/>
        </w:rPr>
        <w:t>ומיהו קשה לרב אלפס מהא דאמרינן בירושלמי (פ"ק דברכות ה</w:t>
      </w:r>
      <w:r>
        <w:rPr>
          <w:rFonts w:cs="Arial" w:hint="cs"/>
          <w:rtl/>
        </w:rPr>
        <w:t>"ה</w:t>
      </w:r>
      <w:r w:rsidRPr="00C9245A">
        <w:rPr>
          <w:rFonts w:cs="Arial"/>
          <w:rtl/>
        </w:rPr>
        <w:t>)</w:t>
      </w:r>
      <w:r>
        <w:rPr>
          <w:rFonts w:cs="Arial" w:hint="cs"/>
          <w:rtl/>
        </w:rPr>
        <w:t>...</w:t>
      </w:r>
      <w:r w:rsidRPr="00C9245A">
        <w:rPr>
          <w:rFonts w:cs="Arial"/>
          <w:rtl/>
        </w:rPr>
        <w:t xml:space="preserve"> שאם היה אוכל מבעוד יום ומשך סעודתו עד שיקדש היום אינו אומר בורא פרי הגפן. ואילו היה קידוש הפסק להצריך המוציא משום דנאסרה עליו האכילה הוא הדין דנאסרה עליו השתיה וצריך לברך בורא פרי הגפן קודם קידוש. ונראה לי דלא קשה דודאי האיסור אכילה גורם לקידוש דהוי הפסק להצריך המוציא</w:t>
      </w:r>
      <w:r>
        <w:rPr>
          <w:rFonts w:cs="Arial" w:hint="cs"/>
          <w:rtl/>
        </w:rPr>
        <w:t>.</w:t>
      </w:r>
      <w:r w:rsidRPr="00C9245A">
        <w:rPr>
          <w:rFonts w:cs="Arial"/>
          <w:rtl/>
        </w:rPr>
        <w:t xml:space="preserve"> אבל בורא פרי הגפן שהוא קודם הקידוש</w:t>
      </w:r>
      <w:r>
        <w:rPr>
          <w:rFonts w:cs="Arial" w:hint="cs"/>
          <w:rtl/>
        </w:rPr>
        <w:t>,</w:t>
      </w:r>
      <w:r w:rsidRPr="00C9245A">
        <w:rPr>
          <w:rFonts w:cs="Arial"/>
          <w:rtl/>
        </w:rPr>
        <w:t xml:space="preserve"> בשביל איסור השתיה לא הוי הפסק</w:t>
      </w:r>
      <w:r>
        <w:rPr>
          <w:rFonts w:cs="Arial" w:hint="cs"/>
          <w:sz w:val="16"/>
          <w:szCs w:val="16"/>
          <w:rtl/>
        </w:rPr>
        <w:t xml:space="preserve"> [עכ"ל הרא"ש]</w:t>
      </w:r>
      <w:r w:rsidRPr="00C9245A">
        <w:rPr>
          <w:rFonts w:cs="Arial"/>
          <w:rtl/>
        </w:rPr>
        <w:t>.</w:t>
      </w:r>
    </w:p>
  </w:footnote>
  <w:footnote w:id="874">
    <w:p w14:paraId="68472268" w14:textId="77777777" w:rsidR="004B2E7C" w:rsidRDefault="004B2E7C" w:rsidP="00285819">
      <w:pPr>
        <w:pStyle w:val="a7"/>
        <w:rPr>
          <w:rtl/>
        </w:rPr>
      </w:pPr>
      <w:r>
        <w:rPr>
          <w:rStyle w:val="a9"/>
        </w:rPr>
        <w:footnoteRef/>
      </w:r>
      <w:r>
        <w:rPr>
          <w:rtl/>
        </w:rPr>
        <w:t xml:space="preserve"> </w:t>
      </w:r>
      <w:r>
        <w:rPr>
          <w:rFonts w:cs="Arial"/>
          <w:rtl/>
        </w:rPr>
        <w:t>והרמב"ם בפרק כ"ט (הי"ב) לא הזכיר ברכת המוציא</w:t>
      </w:r>
      <w:r>
        <w:rPr>
          <w:rFonts w:cs="Arial" w:hint="cs"/>
          <w:rtl/>
        </w:rPr>
        <w:t>.</w:t>
      </w:r>
      <w:r>
        <w:rPr>
          <w:rFonts w:cs="Arial"/>
          <w:rtl/>
        </w:rPr>
        <w:t xml:space="preserve"> והחזיק הרב המגיד על ידו שאינו מברך המוציא</w:t>
      </w:r>
      <w:r>
        <w:rPr>
          <w:rFonts w:cs="Arial" w:hint="cs"/>
          <w:rtl/>
        </w:rPr>
        <w:t>,</w:t>
      </w:r>
      <w:r>
        <w:rPr>
          <w:rFonts w:cs="Arial"/>
          <w:rtl/>
        </w:rPr>
        <w:t xml:space="preserve"> וכדברי הרז"ה</w:t>
      </w:r>
      <w:r>
        <w:rPr>
          <w:rFonts w:cs="Arial" w:hint="cs"/>
          <w:rtl/>
        </w:rPr>
        <w:t>, ב"י.</w:t>
      </w:r>
    </w:p>
  </w:footnote>
  <w:footnote w:id="875">
    <w:p w14:paraId="0BFFE486" w14:textId="77777777" w:rsidR="004B2E7C" w:rsidRDefault="004B2E7C" w:rsidP="00285819">
      <w:pPr>
        <w:pStyle w:val="a7"/>
      </w:pPr>
      <w:r>
        <w:rPr>
          <w:rStyle w:val="a9"/>
        </w:rPr>
        <w:footnoteRef/>
      </w:r>
      <w:r>
        <w:rPr>
          <w:rtl/>
        </w:rPr>
        <w:t xml:space="preserve"> </w:t>
      </w:r>
      <w:r>
        <w:rPr>
          <w:rFonts w:cs="Arial"/>
          <w:rtl/>
        </w:rPr>
        <w:t>מ"ש רבינו</w:t>
      </w:r>
      <w:r>
        <w:rPr>
          <w:rFonts w:cs="Arial" w:hint="cs"/>
          <w:rtl/>
        </w:rPr>
        <w:t xml:space="preserve">... </w:t>
      </w:r>
      <w:r>
        <w:rPr>
          <w:rFonts w:cs="Arial"/>
          <w:rtl/>
        </w:rPr>
        <w:t xml:space="preserve">הוא ממה שכתב </w:t>
      </w:r>
      <w:r>
        <w:rPr>
          <w:rFonts w:cs="Arial" w:hint="cs"/>
          <w:sz w:val="16"/>
          <w:szCs w:val="16"/>
          <w:rtl/>
        </w:rPr>
        <w:t xml:space="preserve">{הרא"ש} </w:t>
      </w:r>
      <w:r>
        <w:rPr>
          <w:rFonts w:cs="Arial"/>
          <w:rtl/>
        </w:rPr>
        <w:t>בתירוץ הירושלמי דטעמא דאינו מברך על היין מפני שהקידוש אינו הפסק לברכת היין שהרי כשמקדש מברך על היין ואחר כך מברך על היום הילכך השתא שמקדש על הפת הוה ליה פת כמו יין שהרי כשמקדש על הפת מברך ברכת המוציא ואחר כך מקדש וכיון דכשקידש לא הוי קידוש הפסק לברכת המוציא שבירך קודם לו בסמוך הכי נמי לא הוי הפסק לברכת המוציא שבירך בתחלת אכילתו</w:t>
      </w:r>
      <w:r>
        <w:rPr>
          <w:rFonts w:cs="Arial" w:hint="cs"/>
          <w:rtl/>
        </w:rPr>
        <w:t>, ב"י.</w:t>
      </w:r>
    </w:p>
  </w:footnote>
  <w:footnote w:id="876">
    <w:p w14:paraId="72EE9C01" w14:textId="77777777" w:rsidR="004B2E7C" w:rsidRDefault="004B2E7C" w:rsidP="00285819">
      <w:pPr>
        <w:pStyle w:val="a7"/>
        <w:rPr>
          <w:rtl/>
        </w:rPr>
      </w:pPr>
      <w:r>
        <w:rPr>
          <w:rStyle w:val="a9"/>
        </w:rPr>
        <w:footnoteRef/>
      </w:r>
      <w:r>
        <w:rPr>
          <w:rtl/>
        </w:rPr>
        <w:t xml:space="preserve"> </w:t>
      </w:r>
      <w:r w:rsidRPr="003D2DBD">
        <w:rPr>
          <w:rFonts w:cs="Arial"/>
          <w:rtl/>
        </w:rPr>
        <w:t>ושרי לרחוץ פיו במים כיון דאינו מכוין להנאת טעימה</w:t>
      </w:r>
      <w:r>
        <w:rPr>
          <w:rFonts w:hint="cs"/>
          <w:rtl/>
        </w:rPr>
        <w:t>, משנ"ב (סקי"ג).</w:t>
      </w:r>
    </w:p>
  </w:footnote>
  <w:footnote w:id="877">
    <w:p w14:paraId="46E3BC76" w14:textId="77777777" w:rsidR="004B2E7C" w:rsidRDefault="004B2E7C" w:rsidP="00285819">
      <w:pPr>
        <w:pStyle w:val="a7"/>
      </w:pPr>
      <w:r>
        <w:rPr>
          <w:rStyle w:val="a9"/>
        </w:rPr>
        <w:footnoteRef/>
      </w:r>
      <w:r>
        <w:rPr>
          <w:rtl/>
        </w:rPr>
        <w:t xml:space="preserve"> </w:t>
      </w:r>
      <w:r w:rsidRPr="003D2DBD">
        <w:rPr>
          <w:rFonts w:cs="Arial"/>
          <w:rtl/>
        </w:rPr>
        <w:t>לכסות הפת עד אחר הקידוש ואח"כ יסירנה</w:t>
      </w:r>
      <w:r>
        <w:rPr>
          <w:rFonts w:cs="Arial" w:hint="cs"/>
          <w:rtl/>
        </w:rPr>
        <w:t>,</w:t>
      </w:r>
      <w:r w:rsidRPr="003D2DBD">
        <w:rPr>
          <w:rFonts w:cs="Arial"/>
          <w:rtl/>
        </w:rPr>
        <w:t xml:space="preserve"> כי היכי דתתראה דאתא הסעודה השתא ליקרא דשבתא</w:t>
      </w:r>
      <w:r>
        <w:rPr>
          <w:rFonts w:cs="Arial" w:hint="cs"/>
          <w:rtl/>
        </w:rPr>
        <w:t>.</w:t>
      </w:r>
      <w:r w:rsidRPr="003D2DBD">
        <w:rPr>
          <w:rFonts w:cs="Arial"/>
          <w:rtl/>
        </w:rPr>
        <w:t xml:space="preserve"> ואף אם לא ישב עדיין לאכול ג"כ דינא הכי דצריך פריסת מפה בעת הקידוש</w:t>
      </w:r>
      <w:r>
        <w:rPr>
          <w:rFonts w:cs="Arial" w:hint="cs"/>
          <w:rtl/>
        </w:rPr>
        <w:t>,</w:t>
      </w:r>
      <w:r w:rsidRPr="003D2DBD">
        <w:rPr>
          <w:rFonts w:cs="Arial"/>
          <w:rtl/>
        </w:rPr>
        <w:t xml:space="preserve"> וכדלקמן בס"ט</w:t>
      </w:r>
      <w:r>
        <w:rPr>
          <w:rFonts w:cs="Arial" w:hint="cs"/>
          <w:rtl/>
        </w:rPr>
        <w:t>,</w:t>
      </w:r>
      <w:r w:rsidRPr="003D2DBD">
        <w:rPr>
          <w:rFonts w:cs="Arial"/>
          <w:rtl/>
        </w:rPr>
        <w:t xml:space="preserve"> אלא דקמ"ל בזה דאף שהוא באמצע אכילתו די בפריסת מפה</w:t>
      </w:r>
      <w:r>
        <w:rPr>
          <w:rFonts w:cs="Arial" w:hint="cs"/>
          <w:rtl/>
        </w:rPr>
        <w:t>, משנ"ב (סקט"ו).</w:t>
      </w:r>
    </w:p>
  </w:footnote>
  <w:footnote w:id="878">
    <w:p w14:paraId="29C1DC80" w14:textId="77777777" w:rsidR="004B2E7C" w:rsidRDefault="004B2E7C" w:rsidP="00285819">
      <w:pPr>
        <w:pStyle w:val="a7"/>
      </w:pPr>
      <w:r>
        <w:rPr>
          <w:rStyle w:val="a9"/>
        </w:rPr>
        <w:footnoteRef/>
      </w:r>
      <w:r>
        <w:rPr>
          <w:rtl/>
        </w:rPr>
        <w:t xml:space="preserve"> </w:t>
      </w:r>
      <w:r w:rsidRPr="003D2DBD">
        <w:rPr>
          <w:rFonts w:cs="Arial"/>
          <w:rtl/>
        </w:rPr>
        <w:t>דס"ל דקידוש לא הוי הפסק. וכיון דספק ברכות להקל יש לתפוס כהי"א [אחרונים]</w:t>
      </w:r>
      <w:r>
        <w:rPr>
          <w:rFonts w:cs="Arial" w:hint="cs"/>
          <w:rtl/>
        </w:rPr>
        <w:t>, משנ"ב (סקי"ח).</w:t>
      </w:r>
    </w:p>
  </w:footnote>
  <w:footnote w:id="879">
    <w:p w14:paraId="0D34E7FB" w14:textId="77777777" w:rsidR="004B2E7C" w:rsidRDefault="004B2E7C" w:rsidP="00285819">
      <w:pPr>
        <w:pStyle w:val="a7"/>
        <w:rPr>
          <w:rtl/>
        </w:rPr>
      </w:pPr>
      <w:r>
        <w:rPr>
          <w:rStyle w:val="a9"/>
        </w:rPr>
        <w:footnoteRef/>
      </w:r>
      <w:r>
        <w:rPr>
          <w:rtl/>
        </w:rPr>
        <w:t xml:space="preserve"> </w:t>
      </w:r>
      <w:r>
        <w:rPr>
          <w:rFonts w:hint="cs"/>
          <w:rtl/>
        </w:rPr>
        <w:t xml:space="preserve">עיין </w:t>
      </w:r>
      <w:r w:rsidRPr="00A560D6">
        <w:rPr>
          <w:rFonts w:hint="cs"/>
          <w:rtl/>
        </w:rPr>
        <w:t>לעיל</w:t>
      </w:r>
      <w:r>
        <w:rPr>
          <w:rFonts w:hint="cs"/>
          <w:rtl/>
        </w:rPr>
        <w:t xml:space="preserve"> (סע' ד, בהערה על דברי הב"י שמובאת בסוף הכותרת 'כיצד מקדש') מה שיש לתמוה על פסק השו"ע, דלכאורה סותר כאן את מה שפסק בסעיף ד.</w:t>
      </w:r>
    </w:p>
  </w:footnote>
  <w:footnote w:id="880">
    <w:p w14:paraId="41B4349E" w14:textId="77777777" w:rsidR="004B2E7C" w:rsidRDefault="004B2E7C" w:rsidP="00285819">
      <w:pPr>
        <w:pStyle w:val="a7"/>
      </w:pPr>
      <w:r>
        <w:rPr>
          <w:rStyle w:val="a9"/>
        </w:rPr>
        <w:footnoteRef/>
      </w:r>
      <w:r>
        <w:rPr>
          <w:rtl/>
        </w:rPr>
        <w:t xml:space="preserve"> </w:t>
      </w:r>
      <w:r w:rsidRPr="00511554">
        <w:rPr>
          <w:rFonts w:cs="Arial"/>
          <w:rtl/>
        </w:rPr>
        <w:t>ומיירי הכא מבעוד יום דאלו בספק חשיכה וכ"ש בודאי חשיכה אפילו לא אמרו בואו ונקדש ממילא חל חובת קידוש ואסור לאכול ולשתות וכמש"כ בס"ד</w:t>
      </w:r>
      <w:r>
        <w:rPr>
          <w:rFonts w:cs="Arial" w:hint="cs"/>
          <w:rtl/>
        </w:rPr>
        <w:t>, משנ"ב (סקי"ט).</w:t>
      </w:r>
    </w:p>
  </w:footnote>
  <w:footnote w:id="881">
    <w:p w14:paraId="39536039" w14:textId="77777777" w:rsidR="004B2E7C" w:rsidRDefault="004B2E7C" w:rsidP="00285819">
      <w:pPr>
        <w:pStyle w:val="a7"/>
      </w:pPr>
      <w:r>
        <w:rPr>
          <w:rStyle w:val="a9"/>
        </w:rPr>
        <w:footnoteRef/>
      </w:r>
      <w:r>
        <w:rPr>
          <w:rtl/>
        </w:rPr>
        <w:t xml:space="preserve"> </w:t>
      </w:r>
      <w:r w:rsidRPr="00511554">
        <w:rPr>
          <w:rFonts w:cs="Arial"/>
          <w:rtl/>
        </w:rPr>
        <w:t>הטעם דאסחו דעתייהו מלשתות עוד קודם קידוש ולכן דומה זה לאומר קודם בהמ"ז הב לן ונברך דצריך השותה אח"כ לחזור ולברך ומ"מ על כוס של קידוש דעת המ"א שא"צ לברך בורא פה"ג ויוצא בהברכה שבירך בתחלת השתיה דהא לא אסחו דעתייהו מכוס של קידוש במה שאמרו בואו ונקדש וכן נראה דא"צ לברך ג"כ על היין שישתה אחר כוס של קידוש דהא לא אסח דעתיה רק מהשתיה שקודם קידוש ולפי שיש דעות הרבה בדינים אלו ראוי לכל בעל נפש ליזהר שלא יבוא לידי כך</w:t>
      </w:r>
      <w:r>
        <w:rPr>
          <w:rFonts w:cs="Arial" w:hint="cs"/>
          <w:rtl/>
        </w:rPr>
        <w:t>, משנ"ב (סקכ"א).</w:t>
      </w:r>
    </w:p>
  </w:footnote>
  <w:footnote w:id="882">
    <w:p w14:paraId="4E9F47D8" w14:textId="77777777" w:rsidR="004B2E7C" w:rsidRDefault="004B2E7C" w:rsidP="00285819">
      <w:pPr>
        <w:pStyle w:val="a7"/>
      </w:pPr>
      <w:r>
        <w:rPr>
          <w:rStyle w:val="a9"/>
        </w:rPr>
        <w:footnoteRef/>
      </w:r>
      <w:r>
        <w:rPr>
          <w:rtl/>
        </w:rPr>
        <w:t xml:space="preserve"> </w:t>
      </w:r>
      <w:r w:rsidRPr="00511554">
        <w:rPr>
          <w:rFonts w:cs="Arial"/>
          <w:rtl/>
        </w:rPr>
        <w:t>היינו מטעם דחלה עליהם קדושת היום. כתב הט"ז דכשלא אמרו בואו ונקדש אלא שהחשיך אם רצו לחזור ולשתות אין צריכין לחזור ולברך אף דאסור מחמת שהוא קודם קידוש האיסור לבד אין עושה היסח הדעת</w:t>
      </w:r>
      <w:r>
        <w:rPr>
          <w:rFonts w:cs="Arial" w:hint="cs"/>
          <w:rtl/>
        </w:rPr>
        <w:t>, משנ"ב (סקכ"ב).</w:t>
      </w:r>
    </w:p>
  </w:footnote>
  <w:footnote w:id="883">
    <w:p w14:paraId="4F93FAD7" w14:textId="77777777" w:rsidR="004B2E7C" w:rsidRDefault="004B2E7C" w:rsidP="00285819">
      <w:pPr>
        <w:pStyle w:val="a7"/>
      </w:pPr>
      <w:r>
        <w:rPr>
          <w:rStyle w:val="a9"/>
        </w:rPr>
        <w:footnoteRef/>
      </w:r>
      <w:r>
        <w:rPr>
          <w:rtl/>
        </w:rPr>
        <w:t xml:space="preserve"> </w:t>
      </w:r>
      <w:r w:rsidRPr="00F041DD">
        <w:rPr>
          <w:rFonts w:cs="Arial"/>
          <w:rtl/>
        </w:rPr>
        <w:t>ר"ל שיאמר ברכת אשר קדשנו ולא יאמר עתה ויכלו רק בתוך הסעודה</w:t>
      </w:r>
      <w:r>
        <w:rPr>
          <w:rFonts w:cs="Arial" w:hint="cs"/>
          <w:rtl/>
        </w:rPr>
        <w:t>, משנ"ב (סקכ"ד).</w:t>
      </w:r>
    </w:p>
  </w:footnote>
  <w:footnote w:id="884">
    <w:p w14:paraId="7B0AEDFB" w14:textId="77777777" w:rsidR="004B2E7C" w:rsidRDefault="004B2E7C" w:rsidP="00285819">
      <w:pPr>
        <w:pStyle w:val="a7"/>
      </w:pPr>
      <w:r>
        <w:rPr>
          <w:rStyle w:val="a9"/>
        </w:rPr>
        <w:footnoteRef/>
      </w:r>
      <w:r>
        <w:rPr>
          <w:rtl/>
        </w:rPr>
        <w:t xml:space="preserve"> </w:t>
      </w:r>
      <w:r w:rsidRPr="00F041DD">
        <w:rPr>
          <w:rFonts w:cs="Arial"/>
          <w:rtl/>
        </w:rPr>
        <w:t>פי' פרוסת המוציא כדי שלא תהיה הברכה לבטלה ואח"כ צריך להפסיק ולהבדיל ועמ"ש המ"א בריש סימן רצ"ט דלהפוסקים הבדלה דרבנן א"צ להפסיק אלא גומר סעודתו ואח"כ מבדיל</w:t>
      </w:r>
      <w:r>
        <w:rPr>
          <w:rFonts w:cs="Arial" w:hint="cs"/>
          <w:rtl/>
        </w:rPr>
        <w:t>, משנ"ב (סקכ"ו).</w:t>
      </w:r>
    </w:p>
  </w:footnote>
  <w:footnote w:id="885">
    <w:p w14:paraId="6D58BB41" w14:textId="77777777" w:rsidR="004B2E7C" w:rsidRDefault="004B2E7C" w:rsidP="00285819">
      <w:pPr>
        <w:pStyle w:val="a7"/>
        <w:rPr>
          <w:rtl/>
        </w:rPr>
      </w:pPr>
      <w:r>
        <w:rPr>
          <w:rStyle w:val="a9"/>
        </w:rPr>
        <w:footnoteRef/>
      </w:r>
      <w:r>
        <w:rPr>
          <w:rtl/>
        </w:rPr>
        <w:t xml:space="preserve"> </w:t>
      </w:r>
      <w:r>
        <w:rPr>
          <w:rFonts w:cs="Arial" w:hint="cs"/>
          <w:rtl/>
        </w:rPr>
        <w:t xml:space="preserve">כתב הרי"ף על הא דתנו רבנן, וז"ל- </w:t>
      </w:r>
      <w:r w:rsidRPr="004C58EF">
        <w:rPr>
          <w:rFonts w:cs="Arial"/>
          <w:rtl/>
        </w:rPr>
        <w:t>הא מתניתא כבר אידחיא לה</w:t>
      </w:r>
      <w:r>
        <w:rPr>
          <w:rFonts w:cs="Arial" w:hint="cs"/>
          <w:rtl/>
        </w:rPr>
        <w:t>,</w:t>
      </w:r>
      <w:r w:rsidRPr="004C58EF">
        <w:rPr>
          <w:rFonts w:cs="Arial"/>
          <w:rtl/>
        </w:rPr>
        <w:t xml:space="preserve"> דאמר רב יהודה אמר שמואל אין הלכה כרבי יהודה ולא כרבי יוסי אלא פורס מפה ומקדש</w:t>
      </w:r>
      <w:r>
        <w:rPr>
          <w:rFonts w:cs="Arial" w:hint="cs"/>
          <w:rtl/>
        </w:rPr>
        <w:t>,</w:t>
      </w:r>
      <w:r w:rsidRPr="004C58EF">
        <w:rPr>
          <w:rFonts w:cs="Arial"/>
          <w:rtl/>
        </w:rPr>
        <w:t xml:space="preserve"> </w:t>
      </w:r>
      <w:r>
        <w:rPr>
          <w:rFonts w:cs="Arial" w:hint="cs"/>
          <w:rtl/>
        </w:rPr>
        <w:t xml:space="preserve">מיהו </w:t>
      </w:r>
      <w:r w:rsidRPr="00C15193">
        <w:rPr>
          <w:rFonts w:cs="Arial"/>
          <w:rtl/>
        </w:rPr>
        <w:t xml:space="preserve">אע"ג </w:t>
      </w:r>
      <w:r>
        <w:rPr>
          <w:rFonts w:cs="Arial" w:hint="cs"/>
          <w:rtl/>
        </w:rPr>
        <w:t>ד</w:t>
      </w:r>
      <w:r w:rsidRPr="00C15193">
        <w:rPr>
          <w:rFonts w:cs="Arial"/>
          <w:rtl/>
        </w:rPr>
        <w:t>אידחיא לה מכל מקום גמרינן מינה ד</w:t>
      </w:r>
      <w:r>
        <w:rPr>
          <w:rFonts w:hint="cs"/>
          <w:rtl/>
        </w:rPr>
        <w:t>-...</w:t>
      </w:r>
    </w:p>
  </w:footnote>
  <w:footnote w:id="886">
    <w:p w14:paraId="00149D3C" w14:textId="77777777" w:rsidR="004B2E7C" w:rsidRDefault="004B2E7C" w:rsidP="00285819">
      <w:pPr>
        <w:pStyle w:val="a7"/>
      </w:pPr>
      <w:r>
        <w:rPr>
          <w:rStyle w:val="a9"/>
        </w:rPr>
        <w:footnoteRef/>
      </w:r>
      <w:r>
        <w:rPr>
          <w:rtl/>
        </w:rPr>
        <w:t xml:space="preserve"> </w:t>
      </w:r>
      <w:r w:rsidRPr="0043002C">
        <w:rPr>
          <w:rFonts w:cs="Arial"/>
          <w:rtl/>
        </w:rPr>
        <w:t>ואע</w:t>
      </w:r>
      <w:r>
        <w:rPr>
          <w:rFonts w:cs="Arial" w:hint="cs"/>
          <w:rtl/>
        </w:rPr>
        <w:t>"</w:t>
      </w:r>
      <w:r w:rsidRPr="0043002C">
        <w:rPr>
          <w:rFonts w:cs="Arial"/>
          <w:rtl/>
        </w:rPr>
        <w:t xml:space="preserve">פ שאינו אוכל כלל לאחר קידוש היום כיון שגמרו שם סעודתן </w:t>
      </w:r>
      <w:r>
        <w:rPr>
          <w:rFonts w:cs="Arial" w:hint="cs"/>
          <w:rtl/>
        </w:rPr>
        <w:t xml:space="preserve">- </w:t>
      </w:r>
      <w:r w:rsidRPr="0043002C">
        <w:rPr>
          <w:rFonts w:cs="Arial"/>
          <w:rtl/>
        </w:rPr>
        <w:t>מקום סעודה מיקרי</w:t>
      </w:r>
      <w:r>
        <w:rPr>
          <w:rFonts w:cs="Arial" w:hint="cs"/>
          <w:rtl/>
        </w:rPr>
        <w:t>,</w:t>
      </w:r>
      <w:r w:rsidRPr="0043002C">
        <w:rPr>
          <w:rFonts w:cs="Arial"/>
          <w:rtl/>
        </w:rPr>
        <w:t xml:space="preserve"> ר"ן (שם ד"ה כוס ראשון)</w:t>
      </w:r>
      <w:r>
        <w:rPr>
          <w:rFonts w:cs="Arial" w:hint="cs"/>
          <w:rtl/>
        </w:rPr>
        <w:t>.</w:t>
      </w:r>
    </w:p>
  </w:footnote>
  <w:footnote w:id="887">
    <w:p w14:paraId="31E0BA93" w14:textId="77777777" w:rsidR="004B2E7C" w:rsidRDefault="004B2E7C" w:rsidP="00285819">
      <w:pPr>
        <w:pStyle w:val="a7"/>
      </w:pPr>
      <w:r>
        <w:rPr>
          <w:rStyle w:val="a9"/>
        </w:rPr>
        <w:footnoteRef/>
      </w:r>
      <w:r>
        <w:rPr>
          <w:rtl/>
        </w:rPr>
        <w:t xml:space="preserve"> </w:t>
      </w:r>
      <w:r>
        <w:rPr>
          <w:rFonts w:cs="Arial" w:hint="cs"/>
          <w:rtl/>
        </w:rPr>
        <w:t xml:space="preserve">וז"ל- </w:t>
      </w:r>
      <w:r w:rsidRPr="0043002C">
        <w:rPr>
          <w:rFonts w:cs="Arial"/>
          <w:rtl/>
        </w:rPr>
        <w:t>ותמיה לי לדברי הרי"ף</w:t>
      </w:r>
      <w:r>
        <w:rPr>
          <w:rFonts w:cs="Arial" w:hint="cs"/>
          <w:rtl/>
        </w:rPr>
        <w:t>,</w:t>
      </w:r>
      <w:r w:rsidRPr="0043002C">
        <w:rPr>
          <w:rFonts w:cs="Arial"/>
          <w:rtl/>
        </w:rPr>
        <w:t xml:space="preserve"> דעל כרחך צריך לאכול מיד אחר הקידוש אליבא דשמואל דאמר (קא:) אין קידוש אלא במקום סעודה</w:t>
      </w:r>
      <w:r>
        <w:rPr>
          <w:rFonts w:cs="Arial" w:hint="cs"/>
          <w:rtl/>
        </w:rPr>
        <w:t>.</w:t>
      </w:r>
      <w:r w:rsidRPr="0043002C">
        <w:rPr>
          <w:rFonts w:cs="Arial"/>
          <w:rtl/>
        </w:rPr>
        <w:t xml:space="preserve"> וכיון דצריך לאכול מיד</w:t>
      </w:r>
      <w:r>
        <w:rPr>
          <w:rFonts w:cs="Arial" w:hint="cs"/>
          <w:rtl/>
        </w:rPr>
        <w:t>,</w:t>
      </w:r>
      <w:r w:rsidRPr="0043002C">
        <w:rPr>
          <w:rFonts w:cs="Arial"/>
          <w:rtl/>
        </w:rPr>
        <w:t xml:space="preserve"> ברכת המזון למה לי</w:t>
      </w:r>
      <w:r>
        <w:rPr>
          <w:rFonts w:cs="Arial" w:hint="cs"/>
          <w:rtl/>
        </w:rPr>
        <w:t>?</w:t>
      </w:r>
      <w:r w:rsidRPr="0043002C">
        <w:rPr>
          <w:rFonts w:cs="Arial"/>
          <w:rtl/>
        </w:rPr>
        <w:t xml:space="preserve"> לפרוס מפה ולקדש, אף על גב דמשו ידיהו ואיתסר להו למיכל הא קיימא לן דהב לן ונבריך אין צריך לברך ברכת המזון</w:t>
      </w:r>
      <w:r>
        <w:rPr>
          <w:rFonts w:cs="Arial" w:hint="cs"/>
          <w:rtl/>
        </w:rPr>
        <w:t>,</w:t>
      </w:r>
      <w:r w:rsidRPr="0043002C">
        <w:rPr>
          <w:rFonts w:cs="Arial"/>
          <w:rtl/>
        </w:rPr>
        <w:t xml:space="preserve"> וסגי בפריסת מפה וקידוש והמוציא</w:t>
      </w:r>
      <w:r>
        <w:rPr>
          <w:rFonts w:cs="Arial" w:hint="cs"/>
          <w:rtl/>
        </w:rPr>
        <w:t>.</w:t>
      </w:r>
      <w:r w:rsidRPr="0043002C">
        <w:rPr>
          <w:rFonts w:cs="Arial"/>
          <w:rtl/>
        </w:rPr>
        <w:t xml:space="preserve"> ואם הוא סובר דחשיב קידוש במקום סעודה כיון שהיתה הקריאה במקום עונג ואף על גב דלא היתה לכבוד שבת לא מסתבר לי טעמיה בהאי</w:t>
      </w:r>
      <w:r>
        <w:rPr>
          <w:rFonts w:cs="Arial" w:hint="cs"/>
          <w:rtl/>
        </w:rPr>
        <w:t>.</w:t>
      </w:r>
      <w:r w:rsidRPr="0043002C">
        <w:rPr>
          <w:rFonts w:cs="Arial"/>
          <w:rtl/>
        </w:rPr>
        <w:t xml:space="preserve"> וה"ר ישעיה מטראני (פסקי רי"ד פסחים קב.) כתב דודאי לרבי יוסי דאמר גומר סעודתו ומתיר לאכול ולשתות קודם קידוש לדידיה מברכין ברכת המזון קודם קידוש</w:t>
      </w:r>
      <w:r>
        <w:rPr>
          <w:rFonts w:cs="Arial" w:hint="cs"/>
          <w:rtl/>
        </w:rPr>
        <w:t>.</w:t>
      </w:r>
      <w:r w:rsidRPr="0043002C">
        <w:rPr>
          <w:rFonts w:cs="Arial"/>
          <w:rtl/>
        </w:rPr>
        <w:t xml:space="preserve"> אבל לשמואל (שם ק.) דמצריך להפסיק בפריסת מפה ואוסר לאכול ולשתות קודם שיקדש</w:t>
      </w:r>
      <w:r>
        <w:rPr>
          <w:rFonts w:cs="Arial" w:hint="cs"/>
          <w:rtl/>
        </w:rPr>
        <w:t>,</w:t>
      </w:r>
      <w:r w:rsidRPr="0043002C">
        <w:rPr>
          <w:rFonts w:cs="Arial"/>
          <w:rtl/>
        </w:rPr>
        <w:t xml:space="preserve"> אם כן היאך ישתה כוס של ברכת המזון קודם קידוש</w:t>
      </w:r>
      <w:r>
        <w:rPr>
          <w:rFonts w:cs="Arial" w:hint="cs"/>
          <w:rtl/>
        </w:rPr>
        <w:t>.</w:t>
      </w:r>
      <w:r w:rsidRPr="0043002C">
        <w:rPr>
          <w:rFonts w:cs="Arial"/>
          <w:rtl/>
        </w:rPr>
        <w:t xml:space="preserve"> ודברים של טעם הם</w:t>
      </w:r>
      <w:r>
        <w:rPr>
          <w:rFonts w:cs="Arial" w:hint="cs"/>
          <w:rtl/>
        </w:rPr>
        <w:t>.</w:t>
      </w:r>
      <w:r w:rsidRPr="0043002C">
        <w:rPr>
          <w:rFonts w:cs="Arial"/>
          <w:rtl/>
        </w:rPr>
        <w:t xml:space="preserve"> הילכך נראה לי לפרש דאין חילוק בין גמר קודם שחשכה ובין לא גמר </w:t>
      </w:r>
      <w:r>
        <w:rPr>
          <w:rFonts w:cs="Arial" w:hint="cs"/>
          <w:rtl/>
        </w:rPr>
        <w:t xml:space="preserve">- </w:t>
      </w:r>
      <w:r w:rsidRPr="0043002C">
        <w:rPr>
          <w:rFonts w:cs="Arial"/>
          <w:rtl/>
        </w:rPr>
        <w:t>אלא לעולם פורס מפה ומקדש</w:t>
      </w:r>
      <w:r>
        <w:rPr>
          <w:rFonts w:cs="Arial" w:hint="cs"/>
          <w:rtl/>
        </w:rPr>
        <w:t>.</w:t>
      </w:r>
    </w:p>
  </w:footnote>
  <w:footnote w:id="888">
    <w:p w14:paraId="15626097" w14:textId="77777777" w:rsidR="004B2E7C" w:rsidRDefault="004B2E7C" w:rsidP="00285819">
      <w:pPr>
        <w:pStyle w:val="a7"/>
      </w:pPr>
      <w:r>
        <w:rPr>
          <w:rStyle w:val="a9"/>
        </w:rPr>
        <w:footnoteRef/>
      </w:r>
      <w:r>
        <w:rPr>
          <w:rtl/>
        </w:rPr>
        <w:t xml:space="preserve"> </w:t>
      </w:r>
      <w:r w:rsidRPr="0043002C">
        <w:rPr>
          <w:rFonts w:cs="Arial"/>
          <w:rtl/>
        </w:rPr>
        <w:t>אבל מדברי הרא"ש נראה דצריך לשתות מכוס של ברכת המזון</w:t>
      </w:r>
      <w:r>
        <w:rPr>
          <w:rFonts w:cs="Arial" w:hint="cs"/>
          <w:rtl/>
        </w:rPr>
        <w:t>,</w:t>
      </w:r>
      <w:r w:rsidRPr="0043002C">
        <w:rPr>
          <w:rFonts w:cs="Arial"/>
          <w:rtl/>
        </w:rPr>
        <w:t xml:space="preserve"> ולכן כתב שיקדש קודם</w:t>
      </w:r>
      <w:r>
        <w:rPr>
          <w:rFonts w:cs="Arial" w:hint="cs"/>
          <w:rtl/>
        </w:rPr>
        <w:t>,</w:t>
      </w:r>
      <w:r w:rsidRPr="0043002C">
        <w:rPr>
          <w:rFonts w:cs="Arial"/>
          <w:rtl/>
        </w:rPr>
        <w:t xml:space="preserve"> שלא יטעום קודם קידוש כמבואר בדבריו פרק ערבי פסחים (סי' ז)</w:t>
      </w:r>
      <w:r>
        <w:rPr>
          <w:rFonts w:cs="Arial" w:hint="cs"/>
          <w:rtl/>
        </w:rPr>
        <w:t>, דרכ"מ (אות ד).</w:t>
      </w:r>
    </w:p>
  </w:footnote>
  <w:footnote w:id="889">
    <w:p w14:paraId="7A203108" w14:textId="77777777" w:rsidR="004B2E7C" w:rsidRDefault="004B2E7C" w:rsidP="00285819">
      <w:pPr>
        <w:pStyle w:val="a7"/>
      </w:pPr>
      <w:r>
        <w:rPr>
          <w:rStyle w:val="a9"/>
        </w:rPr>
        <w:footnoteRef/>
      </w:r>
      <w:r w:rsidRPr="0043002C">
        <w:rPr>
          <w:rFonts w:cs="Arial"/>
          <w:rtl/>
        </w:rPr>
        <w:t xml:space="preserve"> ונראה לי דבכי האי גוונא צריך לברך בורא פרי הגפן על הקידוש הואיל ובירך ברכת המזון</w:t>
      </w:r>
      <w:r>
        <w:rPr>
          <w:rFonts w:cs="Arial" w:hint="cs"/>
          <w:rtl/>
        </w:rPr>
        <w:t>,</w:t>
      </w:r>
      <w:r w:rsidRPr="0043002C">
        <w:rPr>
          <w:rFonts w:cs="Arial"/>
          <w:rtl/>
        </w:rPr>
        <w:t xml:space="preserve"> ופשוט הוא</w:t>
      </w:r>
      <w:r>
        <w:rPr>
          <w:rFonts w:cs="Arial" w:hint="cs"/>
          <w:rtl/>
        </w:rPr>
        <w:t>, דרכ"מ (אות ה).</w:t>
      </w:r>
    </w:p>
  </w:footnote>
  <w:footnote w:id="890">
    <w:p w14:paraId="4005F83E" w14:textId="77777777" w:rsidR="004B2E7C" w:rsidRDefault="004B2E7C" w:rsidP="00285819">
      <w:pPr>
        <w:pStyle w:val="a7"/>
      </w:pPr>
      <w:r>
        <w:rPr>
          <w:rStyle w:val="a9"/>
        </w:rPr>
        <w:footnoteRef/>
      </w:r>
      <w:r>
        <w:rPr>
          <w:rtl/>
        </w:rPr>
        <w:t xml:space="preserve"> </w:t>
      </w:r>
      <w:r>
        <w:rPr>
          <w:rFonts w:hint="cs"/>
          <w:rtl/>
        </w:rPr>
        <w:t xml:space="preserve">וז"ל הטור בשמו- </w:t>
      </w:r>
      <w:r w:rsidRPr="003A3CB9">
        <w:rPr>
          <w:rFonts w:cs="Arial"/>
          <w:rtl/>
        </w:rPr>
        <w:t>צריך להזכיר של שבת בבה"מ אע</w:t>
      </w:r>
      <w:r>
        <w:rPr>
          <w:rFonts w:cs="Arial" w:hint="cs"/>
          <w:rtl/>
        </w:rPr>
        <w:t>"</w:t>
      </w:r>
      <w:r w:rsidRPr="003A3CB9">
        <w:rPr>
          <w:rFonts w:cs="Arial"/>
          <w:rtl/>
        </w:rPr>
        <w:t>פ שמברך קודם הקידוש</w:t>
      </w:r>
      <w:r>
        <w:rPr>
          <w:rFonts w:cs="Arial" w:hint="cs"/>
          <w:rtl/>
        </w:rPr>
        <w:t>.</w:t>
      </w:r>
    </w:p>
  </w:footnote>
  <w:footnote w:id="891">
    <w:p w14:paraId="40113193" w14:textId="77777777" w:rsidR="004B2E7C" w:rsidRDefault="004B2E7C" w:rsidP="00285819">
      <w:pPr>
        <w:pStyle w:val="a7"/>
      </w:pPr>
      <w:r>
        <w:rPr>
          <w:rStyle w:val="a9"/>
        </w:rPr>
        <w:footnoteRef/>
      </w:r>
      <w:r>
        <w:rPr>
          <w:rtl/>
        </w:rPr>
        <w:t xml:space="preserve"> </w:t>
      </w:r>
      <w:r>
        <w:rPr>
          <w:rFonts w:hint="cs"/>
          <w:rtl/>
        </w:rPr>
        <w:t xml:space="preserve">וז"ל- </w:t>
      </w:r>
      <w:r w:rsidRPr="0043002C">
        <w:rPr>
          <w:rFonts w:cs="Arial"/>
          <w:rtl/>
        </w:rPr>
        <w:t>ויש להסתפק אם צריך להזכיר של שבת בב</w:t>
      </w:r>
      <w:r>
        <w:rPr>
          <w:rFonts w:cs="Arial" w:hint="cs"/>
          <w:rtl/>
        </w:rPr>
        <w:t>רהמ"ז,</w:t>
      </w:r>
      <w:r w:rsidRPr="0043002C">
        <w:rPr>
          <w:rFonts w:cs="Arial"/>
          <w:rtl/>
        </w:rPr>
        <w:t xml:space="preserve"> דכיון שגמר סעודתו מבעוד יום</w:t>
      </w:r>
      <w:r>
        <w:rPr>
          <w:rFonts w:cs="Arial" w:hint="cs"/>
          <w:rtl/>
        </w:rPr>
        <w:t>,</w:t>
      </w:r>
      <w:r w:rsidRPr="0043002C">
        <w:rPr>
          <w:rFonts w:cs="Arial"/>
          <w:rtl/>
        </w:rPr>
        <w:t xml:space="preserve"> אינו מזכיר</w:t>
      </w:r>
      <w:r>
        <w:rPr>
          <w:rFonts w:cs="Arial" w:hint="cs"/>
          <w:rtl/>
        </w:rPr>
        <w:t>.</w:t>
      </w:r>
      <w:r w:rsidRPr="0043002C">
        <w:rPr>
          <w:rFonts w:cs="Arial"/>
          <w:rtl/>
        </w:rPr>
        <w:t xml:space="preserve"> או דילמא כיון שקדש היום צריך לברך ברכת המזון של שבת</w:t>
      </w:r>
      <w:r>
        <w:rPr>
          <w:rFonts w:cs="Arial" w:hint="cs"/>
          <w:rtl/>
        </w:rPr>
        <w:t>,</w:t>
      </w:r>
      <w:r w:rsidRPr="0043002C">
        <w:rPr>
          <w:rFonts w:cs="Arial"/>
          <w:rtl/>
        </w:rPr>
        <w:t xml:space="preserve"> מידי דהוה </w:t>
      </w:r>
      <w:r w:rsidRPr="00BA7974">
        <w:rPr>
          <w:rFonts w:cs="Arial"/>
          <w:sz w:val="16"/>
          <w:szCs w:val="16"/>
          <w:rtl/>
        </w:rPr>
        <w:t xml:space="preserve">(ברכות כו:) </w:t>
      </w:r>
      <w:r w:rsidRPr="0043002C">
        <w:rPr>
          <w:rFonts w:cs="Arial"/>
          <w:rtl/>
        </w:rPr>
        <w:t>אמי שלא התפלל בערב שבת מנחה מתפלל שתים של שבת</w:t>
      </w:r>
      <w:r>
        <w:rPr>
          <w:rFonts w:cs="Arial" w:hint="cs"/>
          <w:rtl/>
        </w:rPr>
        <w:t>.</w:t>
      </w:r>
      <w:r w:rsidRPr="0043002C">
        <w:rPr>
          <w:rFonts w:cs="Arial"/>
          <w:rtl/>
        </w:rPr>
        <w:t xml:space="preserve"> וכן נראה</w:t>
      </w:r>
      <w:r>
        <w:rPr>
          <w:rFonts w:cs="Arial" w:hint="cs"/>
          <w:rtl/>
        </w:rPr>
        <w:t>.</w:t>
      </w:r>
    </w:p>
  </w:footnote>
  <w:footnote w:id="892">
    <w:p w14:paraId="6EA7A014" w14:textId="77777777" w:rsidR="004B2E7C" w:rsidRDefault="004B2E7C" w:rsidP="00285819">
      <w:pPr>
        <w:pStyle w:val="a7"/>
      </w:pPr>
      <w:r>
        <w:rPr>
          <w:rStyle w:val="a9"/>
        </w:rPr>
        <w:footnoteRef/>
      </w:r>
      <w:r>
        <w:rPr>
          <w:rtl/>
        </w:rPr>
        <w:t xml:space="preserve"> </w:t>
      </w:r>
      <w:r w:rsidRPr="0043002C">
        <w:rPr>
          <w:rFonts w:cs="Arial"/>
          <w:rtl/>
        </w:rPr>
        <w:t>ועיין לעיל סימן קפ"ח בסופו (ב"י סע' י)</w:t>
      </w:r>
      <w:r>
        <w:rPr>
          <w:rFonts w:cs="Arial" w:hint="cs"/>
          <w:rtl/>
        </w:rPr>
        <w:t xml:space="preserve"> שם מובאת אותה מחלוקת</w:t>
      </w:r>
      <w:r w:rsidRPr="0043002C">
        <w:rPr>
          <w:rFonts w:cs="Arial"/>
          <w:rtl/>
        </w:rPr>
        <w:t xml:space="preserve"> </w:t>
      </w:r>
      <w:r>
        <w:rPr>
          <w:rFonts w:cs="Arial" w:hint="cs"/>
          <w:rtl/>
        </w:rPr>
        <w:t>(רק ששם מיירי שהתחיל בשבת ויצאה השבת קודם שברך), וכתב שם הדרכ"מ (אות ט) שהנמהג פשוט ללכת אחר תחילת הסעודה, וכדברי התוספות שהביא הארחות חיים.</w:t>
      </w:r>
    </w:p>
  </w:footnote>
  <w:footnote w:id="893">
    <w:p w14:paraId="2FB50AA4" w14:textId="77777777" w:rsidR="004B2E7C" w:rsidRDefault="004B2E7C" w:rsidP="00285819">
      <w:pPr>
        <w:pStyle w:val="a7"/>
        <w:rPr>
          <w:rtl/>
        </w:rPr>
      </w:pPr>
      <w:r>
        <w:rPr>
          <w:rStyle w:val="a9"/>
        </w:rPr>
        <w:footnoteRef/>
      </w:r>
      <w:r>
        <w:rPr>
          <w:rtl/>
        </w:rPr>
        <w:t xml:space="preserve"> </w:t>
      </w:r>
      <w:r w:rsidRPr="00F27D71">
        <w:rPr>
          <w:rFonts w:cs="Arial"/>
          <w:rtl/>
        </w:rPr>
        <w:t>ומיירי ג"כ שנטל ידיו למים אחרונים וקודם שהתחיל בבהמ"ז ראה שקידש עליו היום דבזה ס"ל דתחלה מברך בהמ"ז על כוס ראשון דמכיון שנטל ידיו צריך לברך תיכף [ועמ"ש סימן קע"ט] אבל אם לא נטל ידיו גם הדעה ראשונה ס"ל דפורס מפה ומקדש מקודם ולא יברך בורא פה"ג בעת הקידוש אם שתה יין מקודם באמצע הסעודה וכנ"ל בס"ד ואפילו אמר הב לן ונברך ג"כ מקדש מתחלה כיון שלא נטל ידיו עדיין אך בזה צריך לברך בפה"ג בעת הקידוש כיון שאמר הב לן ונברך וכנ"ל בסימן קע"ט ס"א</w:t>
      </w:r>
      <w:r>
        <w:rPr>
          <w:rFonts w:hint="cs"/>
          <w:rtl/>
        </w:rPr>
        <w:t>, משנ"ב (סקכ"ז).</w:t>
      </w:r>
    </w:p>
  </w:footnote>
  <w:footnote w:id="894">
    <w:p w14:paraId="4F65F44B" w14:textId="77777777" w:rsidR="004B2E7C" w:rsidRDefault="004B2E7C" w:rsidP="00285819">
      <w:pPr>
        <w:pStyle w:val="a7"/>
      </w:pPr>
      <w:r>
        <w:rPr>
          <w:rStyle w:val="a9"/>
        </w:rPr>
        <w:footnoteRef/>
      </w:r>
      <w:r>
        <w:rPr>
          <w:rtl/>
        </w:rPr>
        <w:t xml:space="preserve"> </w:t>
      </w:r>
      <w:r w:rsidRPr="00F27D71">
        <w:rPr>
          <w:rFonts w:cs="Arial"/>
          <w:rtl/>
        </w:rPr>
        <w:t>ומ"מ פשוט דלכו"ע אם לא הזכיר של שבת אינו חוזר</w:t>
      </w:r>
      <w:r>
        <w:rPr>
          <w:rFonts w:cs="Arial" w:hint="cs"/>
          <w:rtl/>
        </w:rPr>
        <w:t>, משנ"ב (סקכ"ט).</w:t>
      </w:r>
    </w:p>
  </w:footnote>
  <w:footnote w:id="895">
    <w:p w14:paraId="1559BC5D" w14:textId="77777777" w:rsidR="004B2E7C" w:rsidRDefault="004B2E7C" w:rsidP="00285819">
      <w:pPr>
        <w:pStyle w:val="a7"/>
      </w:pPr>
      <w:r>
        <w:rPr>
          <w:rStyle w:val="a9"/>
        </w:rPr>
        <w:footnoteRef/>
      </w:r>
      <w:r>
        <w:rPr>
          <w:rtl/>
        </w:rPr>
        <w:t xml:space="preserve"> </w:t>
      </w:r>
      <w:r w:rsidRPr="0090597D">
        <w:rPr>
          <w:rFonts w:cs="Arial"/>
          <w:rtl/>
        </w:rPr>
        <w:t>שהיה בזמן חול וכ"ז דוקא כשלא אכל משחשכה מאומה אבל אם אכל מעט גם משחשכה לכו"ע צריך להזכיר של שבת [מ"א וש"א]</w:t>
      </w:r>
      <w:r>
        <w:rPr>
          <w:rFonts w:cs="Arial" w:hint="cs"/>
          <w:rtl/>
        </w:rPr>
        <w:t>, משנ"ב (סק"ל).</w:t>
      </w:r>
    </w:p>
  </w:footnote>
  <w:footnote w:id="896">
    <w:p w14:paraId="2E9BEA78" w14:textId="77777777" w:rsidR="004B2E7C" w:rsidRDefault="004B2E7C" w:rsidP="00285819">
      <w:pPr>
        <w:pStyle w:val="a7"/>
      </w:pPr>
      <w:r>
        <w:rPr>
          <w:rStyle w:val="a9"/>
        </w:rPr>
        <w:footnoteRef/>
      </w:r>
      <w:r>
        <w:rPr>
          <w:rtl/>
        </w:rPr>
        <w:t xml:space="preserve"> </w:t>
      </w:r>
      <w:r w:rsidRPr="0090597D">
        <w:rPr>
          <w:rFonts w:cs="Arial"/>
          <w:rtl/>
        </w:rPr>
        <w:t>דאית דס"ל דמברך בפה"ג וטועם תיכף כמו בכל כוס של בהמ"ז ולא חשיב טועם קודם קידוש משום דהכוס שייך לסעודה שהיה קודם חובת קידוש וממילא שוב א"צ לברך לדידהו בפה"ג על כוס שני של קידוש רק ברכת אשר קדשנו בלבד ואית דס"ל שאינו טועם ממנו משום דאסור לטעום קודם קידוש וממילא אינו יכול לברך עליו בפה"ג אלא מברך תחלה בפה"ג על כוס של קידוש ומקדש ושותהו ואח"כ שותה כוס זה של בהמ"ז בלא ברכה</w:t>
      </w:r>
      <w:r>
        <w:rPr>
          <w:rFonts w:cs="Arial" w:hint="cs"/>
          <w:rtl/>
        </w:rPr>
        <w:t>, משנ"ב (סקל"א).</w:t>
      </w:r>
    </w:p>
  </w:footnote>
  <w:footnote w:id="897">
    <w:p w14:paraId="2E7EB74A" w14:textId="77777777" w:rsidR="004B2E7C" w:rsidRDefault="004B2E7C" w:rsidP="00285819">
      <w:pPr>
        <w:pStyle w:val="a7"/>
      </w:pPr>
      <w:r>
        <w:rPr>
          <w:rStyle w:val="a9"/>
        </w:rPr>
        <w:footnoteRef/>
      </w:r>
      <w:r>
        <w:rPr>
          <w:rtl/>
        </w:rPr>
        <w:t xml:space="preserve"> </w:t>
      </w:r>
      <w:r w:rsidRPr="0090597D">
        <w:rPr>
          <w:rFonts w:cs="Arial"/>
          <w:rtl/>
        </w:rPr>
        <w:t>היינו כזית עכ"פ כדי שיהא נחשב למקום סעודה [פמ"ג]</w:t>
      </w:r>
      <w:r>
        <w:rPr>
          <w:rFonts w:cs="Arial" w:hint="cs"/>
          <w:rtl/>
        </w:rPr>
        <w:t>, משנ"ב (סקל"ה).</w:t>
      </w:r>
    </w:p>
  </w:footnote>
  <w:footnote w:id="898">
    <w:p w14:paraId="4E4A667A" w14:textId="77777777" w:rsidR="004B2E7C" w:rsidRDefault="004B2E7C" w:rsidP="00285819">
      <w:pPr>
        <w:pStyle w:val="a7"/>
      </w:pPr>
      <w:r>
        <w:rPr>
          <w:rStyle w:val="a9"/>
        </w:rPr>
        <w:footnoteRef/>
      </w:r>
      <w:r>
        <w:rPr>
          <w:rtl/>
        </w:rPr>
        <w:t xml:space="preserve"> </w:t>
      </w:r>
      <w:r w:rsidRPr="00AC58F0">
        <w:rPr>
          <w:rFonts w:cs="Arial"/>
          <w:rtl/>
        </w:rPr>
        <w:t>פי' כל אימת שנזכר אפילו בלילה ולא נימא שימתין עד למחר בבוקר קודם האכילה כדי שיהיה הקידוש קודם הטעימה [אחרונים]</w:t>
      </w:r>
      <w:r>
        <w:rPr>
          <w:rFonts w:cs="Arial" w:hint="cs"/>
          <w:rtl/>
        </w:rPr>
        <w:t>.</w:t>
      </w:r>
      <w:r w:rsidRPr="00AC58F0">
        <w:rPr>
          <w:rFonts w:cs="Arial"/>
          <w:rtl/>
        </w:rPr>
        <w:t xml:space="preserve"> ומשמע בפוסקים דלאו דוקא טעימה בעלמא אפילו אם עבר ואכל ושתה ג"כ צריך לקדש אח"כ</w:t>
      </w:r>
      <w:r>
        <w:rPr>
          <w:rFonts w:cs="Arial" w:hint="cs"/>
          <w:rtl/>
        </w:rPr>
        <w:t>, משנ"ב (סקל"ז).</w:t>
      </w:r>
    </w:p>
  </w:footnote>
  <w:footnote w:id="899">
    <w:p w14:paraId="174A32EF" w14:textId="77777777" w:rsidR="004B2E7C" w:rsidRDefault="004B2E7C" w:rsidP="00285819">
      <w:pPr>
        <w:pStyle w:val="a7"/>
      </w:pPr>
      <w:r>
        <w:rPr>
          <w:rStyle w:val="a9"/>
        </w:rPr>
        <w:footnoteRef/>
      </w:r>
      <w:r>
        <w:rPr>
          <w:rtl/>
        </w:rPr>
        <w:t xml:space="preserve"> </w:t>
      </w:r>
      <w:r>
        <w:rPr>
          <w:rFonts w:hint="cs"/>
          <w:rtl/>
        </w:rPr>
        <w:t xml:space="preserve">ר' דוד בן לוי מנרבונה. נפטר בסביבות שנת ה"ס (1305 למניינם). היה דיין בעיר נרבונא לצד הרב מרדכי קמחי. </w:t>
      </w:r>
    </w:p>
  </w:footnote>
  <w:footnote w:id="900">
    <w:p w14:paraId="1490C1C9" w14:textId="77777777" w:rsidR="004B2E7C" w:rsidRDefault="004B2E7C" w:rsidP="00285819">
      <w:pPr>
        <w:pStyle w:val="a7"/>
      </w:pPr>
      <w:r>
        <w:rPr>
          <w:rStyle w:val="a9"/>
        </w:rPr>
        <w:footnoteRef/>
      </w:r>
      <w:r>
        <w:rPr>
          <w:rtl/>
        </w:rPr>
        <w:t xml:space="preserve"> </w:t>
      </w:r>
      <w:r w:rsidRPr="004B44E8">
        <w:rPr>
          <w:rFonts w:cs="Arial"/>
          <w:rtl/>
        </w:rPr>
        <w:t>עד ביה"ש</w:t>
      </w:r>
      <w:r>
        <w:rPr>
          <w:rFonts w:cs="Arial" w:hint="cs"/>
          <w:rtl/>
        </w:rPr>
        <w:t>.</w:t>
      </w:r>
      <w:r w:rsidRPr="004B44E8">
        <w:rPr>
          <w:rFonts w:cs="Arial"/>
          <w:rtl/>
        </w:rPr>
        <w:t xml:space="preserve"> ובביה"ש מצדד הפמ"ג דיאמר הנוסח של קידוש בלי הזכרת שם ומלכות בפתיחה וחתימה ע"ש</w:t>
      </w:r>
      <w:r>
        <w:rPr>
          <w:rFonts w:cs="Arial" w:hint="cs"/>
          <w:rtl/>
        </w:rPr>
        <w:t>, משנ"ב (סקל"ט).</w:t>
      </w:r>
    </w:p>
  </w:footnote>
  <w:footnote w:id="901">
    <w:p w14:paraId="1066F006" w14:textId="77777777" w:rsidR="004B2E7C" w:rsidRPr="00FE77C0" w:rsidRDefault="004B2E7C" w:rsidP="00285819">
      <w:pPr>
        <w:pStyle w:val="a7"/>
        <w:rPr>
          <w:b/>
          <w:bCs/>
        </w:rPr>
      </w:pPr>
      <w:r>
        <w:rPr>
          <w:rStyle w:val="a9"/>
        </w:rPr>
        <w:footnoteRef/>
      </w:r>
      <w:r>
        <w:rPr>
          <w:rtl/>
        </w:rPr>
        <w:t xml:space="preserve"> </w:t>
      </w:r>
      <w:r>
        <w:rPr>
          <w:rFonts w:cs="Arial"/>
          <w:rtl/>
        </w:rPr>
        <w:t>כן כתבו שם גם כן המרדכי והרא"ש, והר"ן בפרק כל כתבי (מד: ד"ה נר דלוק)</w:t>
      </w:r>
      <w:r>
        <w:rPr>
          <w:rFonts w:cs="Arial" w:hint="cs"/>
          <w:rtl/>
        </w:rPr>
        <w:t>, ב"י.</w:t>
      </w:r>
      <w:r w:rsidRPr="00FE77C0">
        <w:rPr>
          <w:rFonts w:cs="Arial" w:hint="cs"/>
          <w:rtl/>
        </w:rPr>
        <w:t xml:space="preserve"> </w:t>
      </w:r>
      <w:r>
        <w:rPr>
          <w:rFonts w:cs="Arial" w:hint="cs"/>
          <w:rtl/>
        </w:rPr>
        <w:t>וגם הטור הביא טעם זה.</w:t>
      </w:r>
    </w:p>
  </w:footnote>
  <w:footnote w:id="902">
    <w:p w14:paraId="5812CBE7" w14:textId="77777777" w:rsidR="004B2E7C" w:rsidRDefault="004B2E7C" w:rsidP="00285819">
      <w:pPr>
        <w:pStyle w:val="a7"/>
      </w:pPr>
      <w:r>
        <w:rPr>
          <w:rStyle w:val="a9"/>
        </w:rPr>
        <w:footnoteRef/>
      </w:r>
      <w:r>
        <w:rPr>
          <w:rtl/>
        </w:rPr>
        <w:t xml:space="preserve"> </w:t>
      </w:r>
      <w:r>
        <w:rPr>
          <w:rFonts w:cs="Arial"/>
          <w:rtl/>
        </w:rPr>
        <w:t>וכן כתוב בספר התרומה</w:t>
      </w:r>
      <w:r>
        <w:rPr>
          <w:rFonts w:cs="Arial" w:hint="cs"/>
          <w:rtl/>
        </w:rPr>
        <w:t>,</w:t>
      </w:r>
      <w:r>
        <w:rPr>
          <w:rFonts w:cs="Arial"/>
          <w:rtl/>
        </w:rPr>
        <w:t xml:space="preserve"> וכתבוהו הגה</w:t>
      </w:r>
      <w:r>
        <w:rPr>
          <w:rFonts w:cs="Arial" w:hint="cs"/>
          <w:rtl/>
        </w:rPr>
        <w:t>"מ</w:t>
      </w:r>
      <w:r>
        <w:rPr>
          <w:rFonts w:cs="Arial"/>
          <w:rtl/>
        </w:rPr>
        <w:t xml:space="preserve"> </w:t>
      </w:r>
      <w:r>
        <w:rPr>
          <w:rFonts w:cs="Arial" w:hint="cs"/>
          <w:rtl/>
        </w:rPr>
        <w:t>(</w:t>
      </w:r>
      <w:r>
        <w:rPr>
          <w:rFonts w:cs="Arial"/>
          <w:rtl/>
        </w:rPr>
        <w:t>פכ</w:t>
      </w:r>
      <w:r>
        <w:rPr>
          <w:rFonts w:cs="Arial" w:hint="cs"/>
          <w:rtl/>
        </w:rPr>
        <w:t>"</w:t>
      </w:r>
      <w:r>
        <w:rPr>
          <w:rFonts w:cs="Arial"/>
          <w:rtl/>
        </w:rPr>
        <w:t>ט אות ק) בשם ספר המצות (עשין ל, קטז ע"ג)</w:t>
      </w:r>
      <w:r>
        <w:rPr>
          <w:rFonts w:cs="Arial" w:hint="cs"/>
          <w:rtl/>
        </w:rPr>
        <w:t>, ב"י. וגם הטור הביא טעם זה.</w:t>
      </w:r>
    </w:p>
  </w:footnote>
  <w:footnote w:id="903">
    <w:p w14:paraId="64253FD2" w14:textId="77777777" w:rsidR="004B2E7C" w:rsidRDefault="004B2E7C" w:rsidP="00285819">
      <w:pPr>
        <w:pStyle w:val="a7"/>
      </w:pPr>
      <w:r>
        <w:rPr>
          <w:rStyle w:val="a9"/>
        </w:rPr>
        <w:footnoteRef/>
      </w:r>
      <w:r>
        <w:rPr>
          <w:rtl/>
        </w:rPr>
        <w:t xml:space="preserve"> </w:t>
      </w:r>
      <w:r>
        <w:rPr>
          <w:rFonts w:hint="cs"/>
          <w:rtl/>
        </w:rPr>
        <w:t xml:space="preserve">בנוסף לטעמים המוזכרים לעיל כתב הטור </w:t>
      </w:r>
      <w:r w:rsidRPr="00FE77C0">
        <w:rPr>
          <w:rFonts w:hint="cs"/>
          <w:sz w:val="16"/>
          <w:szCs w:val="16"/>
          <w:rtl/>
        </w:rPr>
        <w:t>(</w:t>
      </w:r>
      <w:r w:rsidRPr="00FE77C0">
        <w:rPr>
          <w:rFonts w:cs="Arial" w:hint="cs"/>
          <w:sz w:val="16"/>
          <w:szCs w:val="16"/>
          <w:rtl/>
        </w:rPr>
        <w:t>ו</w:t>
      </w:r>
      <w:r w:rsidRPr="00FE77C0">
        <w:rPr>
          <w:rFonts w:cs="Arial"/>
          <w:sz w:val="16"/>
          <w:szCs w:val="16"/>
          <w:rtl/>
        </w:rPr>
        <w:t>כ</w:t>
      </w:r>
      <w:r w:rsidRPr="00FE77C0">
        <w:rPr>
          <w:rFonts w:cs="Arial" w:hint="cs"/>
          <w:sz w:val="16"/>
          <w:szCs w:val="16"/>
          <w:rtl/>
        </w:rPr>
        <w:t>"כ</w:t>
      </w:r>
      <w:r w:rsidRPr="00FE77C0">
        <w:rPr>
          <w:rFonts w:cs="Arial"/>
          <w:sz w:val="16"/>
          <w:szCs w:val="16"/>
          <w:rtl/>
        </w:rPr>
        <w:t xml:space="preserve"> שם הרא"ש והמרדכי והגה</w:t>
      </w:r>
      <w:r w:rsidRPr="00FE77C0">
        <w:rPr>
          <w:rFonts w:cs="Arial" w:hint="cs"/>
          <w:sz w:val="16"/>
          <w:szCs w:val="16"/>
          <w:rtl/>
        </w:rPr>
        <w:t xml:space="preserve">"מ (פכ"ט </w:t>
      </w:r>
      <w:r w:rsidRPr="00FE77C0">
        <w:rPr>
          <w:rFonts w:cs="Arial"/>
          <w:sz w:val="16"/>
          <w:szCs w:val="16"/>
          <w:rtl/>
        </w:rPr>
        <w:t>אות ק)</w:t>
      </w:r>
      <w:r w:rsidRPr="00FE77C0">
        <w:rPr>
          <w:rFonts w:cs="Arial" w:hint="cs"/>
          <w:sz w:val="16"/>
          <w:szCs w:val="16"/>
          <w:rtl/>
        </w:rPr>
        <w:t>)</w:t>
      </w:r>
      <w:r>
        <w:rPr>
          <w:rFonts w:cs="Arial" w:hint="cs"/>
          <w:rtl/>
        </w:rPr>
        <w:t xml:space="preserve"> וז"ל-...</w:t>
      </w:r>
    </w:p>
  </w:footnote>
  <w:footnote w:id="904">
    <w:p w14:paraId="040E5281" w14:textId="77777777" w:rsidR="004B2E7C" w:rsidRDefault="004B2E7C" w:rsidP="00285819">
      <w:pPr>
        <w:pStyle w:val="a7"/>
      </w:pPr>
      <w:r>
        <w:rPr>
          <w:rStyle w:val="a9"/>
        </w:rPr>
        <w:footnoteRef/>
      </w:r>
      <w:r>
        <w:rPr>
          <w:rtl/>
        </w:rPr>
        <w:t xml:space="preserve"> </w:t>
      </w:r>
      <w:r>
        <w:rPr>
          <w:rFonts w:cs="Arial" w:hint="cs"/>
          <w:rtl/>
        </w:rPr>
        <w:t>ו</w:t>
      </w:r>
      <w:r w:rsidRPr="00B87076">
        <w:rPr>
          <w:rFonts w:cs="Arial"/>
          <w:rtl/>
        </w:rPr>
        <w:t>שמעתי ממה"ר אברהם שאם היה הפת מגולה היה צריך לברך עליו</w:t>
      </w:r>
      <w:r>
        <w:rPr>
          <w:rFonts w:cs="Arial" w:hint="cs"/>
          <w:rtl/>
        </w:rPr>
        <w:t xml:space="preserve">, </w:t>
      </w:r>
      <w:r w:rsidRPr="00B87076">
        <w:rPr>
          <w:rFonts w:cs="Arial"/>
          <w:rtl/>
        </w:rPr>
        <w:t xml:space="preserve">מרדכי </w:t>
      </w:r>
      <w:r>
        <w:rPr>
          <w:rFonts w:cs="Arial" w:hint="cs"/>
          <w:rtl/>
        </w:rPr>
        <w:t>(</w:t>
      </w:r>
      <w:r w:rsidRPr="00B87076">
        <w:rPr>
          <w:rFonts w:cs="Arial"/>
          <w:rtl/>
        </w:rPr>
        <w:t>ר</w:t>
      </w:r>
      <w:r>
        <w:rPr>
          <w:rFonts w:cs="Arial" w:hint="cs"/>
          <w:rtl/>
        </w:rPr>
        <w:t>"פ</w:t>
      </w:r>
      <w:r w:rsidRPr="00B87076">
        <w:rPr>
          <w:rFonts w:cs="Arial"/>
          <w:rtl/>
        </w:rPr>
        <w:t xml:space="preserve"> ערבי פסחים</w:t>
      </w:r>
      <w:r>
        <w:rPr>
          <w:rFonts w:cs="Arial" w:hint="cs"/>
          <w:rtl/>
        </w:rPr>
        <w:t>, הביאו הדרכ"מ [אות ז]</w:t>
      </w:r>
      <w:r w:rsidRPr="00B87076">
        <w:rPr>
          <w:rFonts w:cs="Arial"/>
          <w:rtl/>
        </w:rPr>
        <w:t>)</w:t>
      </w:r>
      <w:r>
        <w:rPr>
          <w:rFonts w:cs="Arial" w:hint="cs"/>
          <w:rtl/>
        </w:rPr>
        <w:t>.</w:t>
      </w:r>
    </w:p>
  </w:footnote>
  <w:footnote w:id="905">
    <w:p w14:paraId="347FD1F7" w14:textId="77777777" w:rsidR="004B2E7C" w:rsidRDefault="004B2E7C" w:rsidP="00285819">
      <w:pPr>
        <w:pStyle w:val="a7"/>
      </w:pPr>
      <w:r>
        <w:rPr>
          <w:rStyle w:val="a9"/>
        </w:rPr>
        <w:footnoteRef/>
      </w:r>
      <w:r>
        <w:rPr>
          <w:rtl/>
        </w:rPr>
        <w:t xml:space="preserve"> </w:t>
      </w:r>
      <w:r w:rsidRPr="00B02631">
        <w:rPr>
          <w:rFonts w:cs="Arial"/>
          <w:rtl/>
        </w:rPr>
        <w:t>ברכת המזון</w:t>
      </w:r>
      <w:r>
        <w:rPr>
          <w:rFonts w:cs="Arial" w:hint="cs"/>
          <w:rtl/>
        </w:rPr>
        <w:t>, רש"י.</w:t>
      </w:r>
    </w:p>
  </w:footnote>
  <w:footnote w:id="906">
    <w:p w14:paraId="26A6C5ED" w14:textId="77777777" w:rsidR="004B2E7C" w:rsidRDefault="004B2E7C" w:rsidP="00285819">
      <w:pPr>
        <w:pStyle w:val="a7"/>
      </w:pPr>
      <w:r>
        <w:rPr>
          <w:rStyle w:val="a9"/>
        </w:rPr>
        <w:footnoteRef/>
      </w:r>
      <w:r>
        <w:rPr>
          <w:rtl/>
        </w:rPr>
        <w:t xml:space="preserve"> </w:t>
      </w:r>
      <w:r w:rsidRPr="00B02631">
        <w:rPr>
          <w:rFonts w:cs="Arial"/>
          <w:rtl/>
        </w:rPr>
        <w:t>דאי לא צריך שיעור - ליחלקיה לתרי</w:t>
      </w:r>
      <w:r>
        <w:rPr>
          <w:rFonts w:cs="Arial" w:hint="cs"/>
          <w:rtl/>
        </w:rPr>
        <w:t>, רש"י.</w:t>
      </w:r>
    </w:p>
  </w:footnote>
  <w:footnote w:id="907">
    <w:p w14:paraId="6703DCBA" w14:textId="77777777" w:rsidR="004B2E7C" w:rsidRDefault="004B2E7C" w:rsidP="00285819">
      <w:pPr>
        <w:pStyle w:val="a7"/>
      </w:pPr>
      <w:r>
        <w:rPr>
          <w:rStyle w:val="a9"/>
        </w:rPr>
        <w:footnoteRef/>
      </w:r>
      <w:r>
        <w:rPr>
          <w:rtl/>
        </w:rPr>
        <w:t xml:space="preserve"> </w:t>
      </w:r>
      <w:r w:rsidRPr="00B02631">
        <w:rPr>
          <w:rFonts w:cs="Arial"/>
          <w:rtl/>
        </w:rPr>
        <w:t>דאי לא טעים ליה - ליבריך עליה תרי זימני</w:t>
      </w:r>
      <w:r>
        <w:rPr>
          <w:rFonts w:cs="Arial" w:hint="cs"/>
          <w:rtl/>
        </w:rPr>
        <w:t>, רש"י.</w:t>
      </w:r>
    </w:p>
  </w:footnote>
  <w:footnote w:id="908">
    <w:p w14:paraId="1A37BE4A" w14:textId="77777777" w:rsidR="004B2E7C" w:rsidRDefault="004B2E7C" w:rsidP="00285819">
      <w:pPr>
        <w:pStyle w:val="a7"/>
      </w:pPr>
      <w:r>
        <w:rPr>
          <w:rStyle w:val="a9"/>
        </w:rPr>
        <w:footnoteRef/>
      </w:r>
      <w:r>
        <w:rPr>
          <w:rtl/>
        </w:rPr>
        <w:t xml:space="preserve"> </w:t>
      </w:r>
      <w:r w:rsidRPr="00B02631">
        <w:rPr>
          <w:rFonts w:cs="Arial"/>
          <w:rtl/>
        </w:rPr>
        <w:t>אבל אי הוה ביה טפי מכשיעור טעמו לא פגמו</w:t>
      </w:r>
      <w:r>
        <w:rPr>
          <w:rFonts w:cs="Arial" w:hint="cs"/>
          <w:rtl/>
        </w:rPr>
        <w:t>, רש"י.</w:t>
      </w:r>
    </w:p>
  </w:footnote>
  <w:footnote w:id="909">
    <w:p w14:paraId="678BD3E1" w14:textId="77777777" w:rsidR="004B2E7C" w:rsidRDefault="004B2E7C" w:rsidP="00285819">
      <w:pPr>
        <w:pStyle w:val="a7"/>
      </w:pPr>
      <w:r>
        <w:rPr>
          <w:rStyle w:val="a9"/>
        </w:rPr>
        <w:footnoteRef/>
      </w:r>
      <w:r>
        <w:rPr>
          <w:rtl/>
        </w:rPr>
        <w:t xml:space="preserve"> </w:t>
      </w:r>
      <w:r w:rsidRPr="00B02631">
        <w:rPr>
          <w:rFonts w:cs="Arial"/>
          <w:rtl/>
        </w:rPr>
        <w:t>לקידוש והבדלה וברכת המזון, אבל אם בא לשתות מכוס פגום, מברך עליו ברכת היין</w:t>
      </w:r>
      <w:r>
        <w:rPr>
          <w:rFonts w:cs="Arial" w:hint="cs"/>
          <w:rtl/>
        </w:rPr>
        <w:t>, רש"י.</w:t>
      </w:r>
    </w:p>
  </w:footnote>
  <w:footnote w:id="910">
    <w:p w14:paraId="7A4C4503" w14:textId="77777777" w:rsidR="004B2E7C" w:rsidRDefault="004B2E7C" w:rsidP="00285819">
      <w:pPr>
        <w:pStyle w:val="a7"/>
      </w:pPr>
      <w:r>
        <w:rPr>
          <w:rStyle w:val="a9"/>
        </w:rPr>
        <w:footnoteRef/>
      </w:r>
      <w:r>
        <w:rPr>
          <w:rtl/>
        </w:rPr>
        <w:t xml:space="preserve"> </w:t>
      </w:r>
      <w:r w:rsidRPr="003A3CB9">
        <w:rPr>
          <w:rFonts w:cs="Arial"/>
          <w:rtl/>
        </w:rPr>
        <w:t>ולמעלה בברכת המזון (סימן קפב) כתבתי כל דיני פגימות הכוס</w:t>
      </w:r>
      <w:r>
        <w:rPr>
          <w:rFonts w:cs="Arial" w:hint="cs"/>
          <w:rtl/>
        </w:rPr>
        <w:t>, טור.</w:t>
      </w:r>
    </w:p>
  </w:footnote>
  <w:footnote w:id="911">
    <w:p w14:paraId="5B0081F8" w14:textId="77777777" w:rsidR="004B2E7C" w:rsidRDefault="004B2E7C" w:rsidP="00285819">
      <w:pPr>
        <w:pStyle w:val="a7"/>
        <w:rPr>
          <w:rtl/>
        </w:rPr>
      </w:pPr>
      <w:r>
        <w:rPr>
          <w:rStyle w:val="a9"/>
        </w:rPr>
        <w:footnoteRef/>
      </w:r>
      <w:r>
        <w:rPr>
          <w:rtl/>
        </w:rPr>
        <w:t xml:space="preserve"> </w:t>
      </w:r>
      <w:r>
        <w:rPr>
          <w:rFonts w:cs="Arial" w:hint="cs"/>
          <w:rtl/>
        </w:rPr>
        <w:t xml:space="preserve">היינו </w:t>
      </w:r>
      <w:r w:rsidRPr="0078027E">
        <w:rPr>
          <w:rFonts w:cs="Arial"/>
          <w:rtl/>
        </w:rPr>
        <w:t>שיש לו כל דיני כוס של ברכת המזון</w:t>
      </w:r>
      <w:r>
        <w:rPr>
          <w:rFonts w:cs="Arial" w:hint="cs"/>
          <w:rtl/>
        </w:rPr>
        <w:t>, ב"י.</w:t>
      </w:r>
      <w:r w:rsidRPr="0043002C">
        <w:rPr>
          <w:rFonts w:cs="Arial"/>
          <w:rtl/>
        </w:rPr>
        <w:t xml:space="preserve"> ועיין לעיל סימן קפ"ג כל דיני כוס של ברכת המזון</w:t>
      </w:r>
      <w:r>
        <w:rPr>
          <w:rFonts w:cs="Arial" w:hint="cs"/>
          <w:rtl/>
        </w:rPr>
        <w:t xml:space="preserve">, דרכ"מ </w:t>
      </w:r>
      <w:r w:rsidRPr="0043002C">
        <w:rPr>
          <w:rFonts w:cs="Arial"/>
          <w:rtl/>
        </w:rPr>
        <w:t>(</w:t>
      </w:r>
      <w:r>
        <w:rPr>
          <w:rFonts w:cs="Arial" w:hint="cs"/>
          <w:rtl/>
        </w:rPr>
        <w:t xml:space="preserve">אות </w:t>
      </w:r>
      <w:r w:rsidRPr="0043002C">
        <w:rPr>
          <w:rFonts w:cs="Arial"/>
          <w:rtl/>
        </w:rPr>
        <w:t>ח*)</w:t>
      </w:r>
      <w:r>
        <w:rPr>
          <w:rFonts w:cs="Arial" w:hint="cs"/>
          <w:rtl/>
        </w:rPr>
        <w:t>.</w:t>
      </w:r>
    </w:p>
  </w:footnote>
  <w:footnote w:id="912">
    <w:p w14:paraId="3D86E6ED" w14:textId="77777777" w:rsidR="004B2E7C" w:rsidRDefault="004B2E7C" w:rsidP="00285819">
      <w:pPr>
        <w:pStyle w:val="a7"/>
      </w:pPr>
      <w:r>
        <w:rPr>
          <w:rStyle w:val="a9"/>
        </w:rPr>
        <w:footnoteRef/>
      </w:r>
      <w:r>
        <w:rPr>
          <w:rtl/>
        </w:rPr>
        <w:t xml:space="preserve"> </w:t>
      </w:r>
      <w:r>
        <w:rPr>
          <w:rFonts w:cs="Arial" w:hint="cs"/>
          <w:rtl/>
        </w:rPr>
        <w:t xml:space="preserve">וז"ל- </w:t>
      </w:r>
      <w:r w:rsidRPr="0078027E">
        <w:rPr>
          <w:rFonts w:cs="Arial"/>
          <w:rtl/>
        </w:rPr>
        <w:t>מנהג פשוט בכל ישראל לקרות בתחלה פרשת ויכלו</w:t>
      </w:r>
      <w:r>
        <w:rPr>
          <w:rFonts w:cs="Arial" w:hint="cs"/>
          <w:rtl/>
        </w:rPr>
        <w:t>,</w:t>
      </w:r>
      <w:r w:rsidRPr="0078027E">
        <w:rPr>
          <w:rFonts w:cs="Arial"/>
          <w:rtl/>
        </w:rPr>
        <w:t xml:space="preserve"> ואחר כך מברך על היין</w:t>
      </w:r>
      <w:r>
        <w:rPr>
          <w:rFonts w:cs="Arial" w:hint="cs"/>
          <w:rtl/>
        </w:rPr>
        <w:t>,</w:t>
      </w:r>
      <w:r w:rsidRPr="0078027E">
        <w:rPr>
          <w:rFonts w:cs="Arial"/>
          <w:rtl/>
        </w:rPr>
        <w:t xml:space="preserve"> ואחר כך מקדש ושותה מלוא לוגמיו ומשקה לכל בני חבורה ואח"כ נוטל ידיו ומברך המוציא ואוכל.</w:t>
      </w:r>
    </w:p>
  </w:footnote>
  <w:footnote w:id="913">
    <w:p w14:paraId="7B55F826" w14:textId="77777777" w:rsidR="004B2E7C" w:rsidRDefault="004B2E7C" w:rsidP="00285819">
      <w:pPr>
        <w:pStyle w:val="a7"/>
        <w:rPr>
          <w:rtl/>
        </w:rPr>
      </w:pPr>
      <w:r>
        <w:rPr>
          <w:rStyle w:val="a9"/>
        </w:rPr>
        <w:footnoteRef/>
      </w:r>
      <w:r>
        <w:rPr>
          <w:rFonts w:hint="cs"/>
          <w:rtl/>
        </w:rPr>
        <w:t xml:space="preserve"> </w:t>
      </w:r>
      <w:r w:rsidRPr="003A3CB9">
        <w:rPr>
          <w:rFonts w:cs="Arial"/>
          <w:rtl/>
        </w:rPr>
        <w:t>אע</w:t>
      </w:r>
      <w:r>
        <w:rPr>
          <w:rFonts w:cs="Arial" w:hint="cs"/>
          <w:rtl/>
        </w:rPr>
        <w:t>"</w:t>
      </w:r>
      <w:r w:rsidRPr="003A3CB9">
        <w:rPr>
          <w:rFonts w:cs="Arial"/>
          <w:rtl/>
        </w:rPr>
        <w:t>פ שאמרו בתפלה חוזר ואומר אותו להוציא בניו ובני ביתו</w:t>
      </w:r>
      <w:r>
        <w:rPr>
          <w:rFonts w:cs="Arial" w:hint="cs"/>
          <w:rtl/>
        </w:rPr>
        <w:t>, טור.</w:t>
      </w:r>
      <w:r w:rsidRPr="00AD42FE">
        <w:rPr>
          <w:rFonts w:cs="Arial"/>
          <w:rtl/>
        </w:rPr>
        <w:t xml:space="preserve"> </w:t>
      </w:r>
      <w:r>
        <w:rPr>
          <w:rFonts w:cs="Arial" w:hint="cs"/>
          <w:rtl/>
        </w:rPr>
        <w:t>וכתב הב"י ש</w:t>
      </w:r>
      <w:r w:rsidRPr="00AD42FE">
        <w:rPr>
          <w:rFonts w:cs="Arial"/>
          <w:rtl/>
        </w:rPr>
        <w:t>טעם זה כתב הרא"ש בפרק ערבי פסחים (סי' טו)</w:t>
      </w:r>
      <w:r>
        <w:rPr>
          <w:rFonts w:cs="Arial" w:hint="cs"/>
          <w:rtl/>
        </w:rPr>
        <w:t>.</w:t>
      </w:r>
      <w:r w:rsidRPr="00AD42FE">
        <w:rPr>
          <w:rFonts w:cs="Arial"/>
          <w:rtl/>
        </w:rPr>
        <w:t xml:space="preserve"> וכן כתוב בארחות חיים (תפלת ערב שבת אות י</w:t>
      </w:r>
      <w:r>
        <w:rPr>
          <w:rFonts w:cs="Arial" w:hint="cs"/>
          <w:rtl/>
        </w:rPr>
        <w:t>, ובכל בו סי' לה</w:t>
      </w:r>
      <w:r w:rsidRPr="00AD42FE">
        <w:rPr>
          <w:rFonts w:cs="Arial"/>
          <w:rtl/>
        </w:rPr>
        <w:t>)</w:t>
      </w:r>
      <w:r>
        <w:rPr>
          <w:rFonts w:cs="Arial" w:hint="cs"/>
          <w:rtl/>
        </w:rPr>
        <w:t xml:space="preserve"> והוסיף דבר, וז"ל-</w:t>
      </w:r>
      <w:r>
        <w:rPr>
          <w:rtl/>
        </w:rPr>
        <w:t xml:space="preserve"> </w:t>
      </w:r>
      <w:r w:rsidRPr="00721E61">
        <w:rPr>
          <w:rFonts w:cs="Arial"/>
          <w:rtl/>
        </w:rPr>
        <w:t xml:space="preserve">ואחר פותחין החזן וכל הקהל לומר בקול רם ויכלו </w:t>
      </w:r>
      <w:r w:rsidRPr="00721E61">
        <w:rPr>
          <w:rFonts w:cs="Arial"/>
          <w:b/>
          <w:bCs/>
          <w:rtl/>
        </w:rPr>
        <w:t>מעומד</w:t>
      </w:r>
      <w:r>
        <w:rPr>
          <w:rFonts w:cs="Arial" w:hint="cs"/>
          <w:rtl/>
        </w:rPr>
        <w:t>..</w:t>
      </w:r>
      <w:r w:rsidRPr="00721E61">
        <w:rPr>
          <w:rFonts w:cs="Arial"/>
          <w:rtl/>
        </w:rPr>
        <w:t>. גם בקדוש קבעוהו כדי להוציא בני ביתו</w:t>
      </w:r>
      <w:r>
        <w:rPr>
          <w:rFonts w:cs="Arial" w:hint="cs"/>
          <w:rtl/>
        </w:rPr>
        <w:t>,</w:t>
      </w:r>
      <w:r w:rsidRPr="00721E61">
        <w:rPr>
          <w:rFonts w:cs="Arial"/>
          <w:rtl/>
        </w:rPr>
        <w:t xml:space="preserve"> </w:t>
      </w:r>
      <w:r w:rsidRPr="00721E61">
        <w:rPr>
          <w:rFonts w:cs="Arial"/>
          <w:b/>
          <w:bCs/>
          <w:rtl/>
        </w:rPr>
        <w:t>ולא הקפידו בו כל כך שיצטרך לאמרו מעומד</w:t>
      </w:r>
      <w:r>
        <w:rPr>
          <w:rFonts w:hint="cs"/>
          <w:rtl/>
        </w:rPr>
        <w:t xml:space="preserve">. עכ"ל הא"ח. וכתב הדרכ"מ </w:t>
      </w:r>
      <w:r w:rsidRPr="00AD42FE">
        <w:rPr>
          <w:rFonts w:cs="Arial"/>
          <w:rtl/>
        </w:rPr>
        <w:t>(</w:t>
      </w:r>
      <w:r>
        <w:rPr>
          <w:rFonts w:cs="Arial" w:hint="cs"/>
          <w:rtl/>
        </w:rPr>
        <w:t xml:space="preserve">אות </w:t>
      </w:r>
      <w:r w:rsidRPr="00AD42FE">
        <w:rPr>
          <w:rFonts w:cs="Arial"/>
          <w:rtl/>
        </w:rPr>
        <w:t>ט)</w:t>
      </w:r>
      <w:r>
        <w:rPr>
          <w:rFonts w:cs="Arial" w:hint="cs"/>
          <w:rtl/>
        </w:rPr>
        <w:t>-</w:t>
      </w:r>
      <w:r w:rsidRPr="00AD42FE">
        <w:rPr>
          <w:rFonts w:cs="Arial"/>
          <w:rtl/>
        </w:rPr>
        <w:t xml:space="preserve"> וכבר כתבתי דמנהגינו להתחיל יום הששי ולעמוד בו קצת</w:t>
      </w:r>
      <w:r>
        <w:rPr>
          <w:rFonts w:cs="Arial" w:hint="cs"/>
          <w:rtl/>
        </w:rPr>
        <w:t>.</w:t>
      </w:r>
    </w:p>
  </w:footnote>
  <w:footnote w:id="914">
    <w:p w14:paraId="2C1DB2C8" w14:textId="77777777" w:rsidR="004B2E7C" w:rsidRDefault="004B2E7C" w:rsidP="00285819">
      <w:pPr>
        <w:pStyle w:val="a7"/>
        <w:rPr>
          <w:rtl/>
        </w:rPr>
      </w:pPr>
      <w:r>
        <w:rPr>
          <w:rStyle w:val="a9"/>
        </w:rPr>
        <w:footnoteRef/>
      </w:r>
      <w:r>
        <w:rPr>
          <w:rtl/>
        </w:rPr>
        <w:t xml:space="preserve"> </w:t>
      </w:r>
      <w:r>
        <w:rPr>
          <w:rFonts w:cs="Arial" w:hint="cs"/>
          <w:rtl/>
        </w:rPr>
        <w:t>ו</w:t>
      </w:r>
      <w:r w:rsidRPr="0043002C">
        <w:rPr>
          <w:rFonts w:cs="Arial"/>
          <w:rtl/>
        </w:rPr>
        <w:t>כתב מהרי"ל (מנהגים הל' שבת סי' ב) בשעת הקידוש יתן עיניו בנרות ויראה בהן כי ב' פעמים נר עולה ת"ק והיא רפואה לפסיעה גסה (ברכות מג ב) שנוטל אחת מחמש מאות ממאור עיניו של אדם</w:t>
      </w:r>
      <w:r>
        <w:rPr>
          <w:rFonts w:cs="Arial" w:hint="cs"/>
          <w:rtl/>
        </w:rPr>
        <w:t>.</w:t>
      </w:r>
      <w:r w:rsidRPr="0043002C">
        <w:rPr>
          <w:rFonts w:cs="Arial"/>
          <w:rtl/>
        </w:rPr>
        <w:t xml:space="preserve"> כן כתב בספר שכל טוב</w:t>
      </w:r>
      <w:r>
        <w:rPr>
          <w:rFonts w:cs="Arial" w:hint="cs"/>
          <w:rtl/>
        </w:rPr>
        <w:t>,</w:t>
      </w:r>
      <w:r w:rsidRPr="0043002C">
        <w:rPr>
          <w:rFonts w:cs="Arial"/>
          <w:rtl/>
        </w:rPr>
        <w:t xml:space="preserve"> וכתב טעם אחר על זה. וצ"ע דנראה דצריך ליתן עיניו בכוס</w:t>
      </w:r>
      <w:r>
        <w:rPr>
          <w:rFonts w:cs="Arial" w:hint="cs"/>
          <w:rtl/>
        </w:rPr>
        <w:t>,</w:t>
      </w:r>
      <w:r w:rsidRPr="0043002C">
        <w:rPr>
          <w:rFonts w:cs="Arial"/>
          <w:rtl/>
        </w:rPr>
        <w:t xml:space="preserve"> כמו בכוס של ברכת המזון כמו שיתבאר למטה דדינו ככוס של ברכה. ונראה דכשאומר ויכולו נותן עיניו בנרות</w:t>
      </w:r>
      <w:r>
        <w:rPr>
          <w:rFonts w:cs="Arial" w:hint="cs"/>
          <w:rtl/>
        </w:rPr>
        <w:t>,</w:t>
      </w:r>
      <w:r w:rsidRPr="0043002C">
        <w:rPr>
          <w:rFonts w:cs="Arial"/>
          <w:rtl/>
        </w:rPr>
        <w:t xml:space="preserve"> ובשעת הקידוש בכוס</w:t>
      </w:r>
      <w:r>
        <w:rPr>
          <w:rFonts w:cs="Arial" w:hint="cs"/>
          <w:rtl/>
        </w:rPr>
        <w:t>,</w:t>
      </w:r>
      <w:r w:rsidRPr="0043002C">
        <w:rPr>
          <w:rFonts w:cs="Arial"/>
          <w:rtl/>
        </w:rPr>
        <w:t xml:space="preserve"> דאז יוצא ידי שניהם</w:t>
      </w:r>
      <w:r>
        <w:rPr>
          <w:rFonts w:cs="Arial" w:hint="cs"/>
          <w:rtl/>
        </w:rPr>
        <w:t>, דרכ"מ (אות ח).</w:t>
      </w:r>
      <w:r>
        <w:rPr>
          <w:rFonts w:hint="cs"/>
          <w:rtl/>
        </w:rPr>
        <w:t xml:space="preserve"> </w:t>
      </w:r>
      <w:r w:rsidRPr="0026120B">
        <w:rPr>
          <w:rFonts w:hint="cs"/>
          <w:color w:val="00B0F0"/>
          <w:rtl/>
        </w:rPr>
        <w:t>(וכ"פ בהג"ה)</w:t>
      </w:r>
    </w:p>
  </w:footnote>
  <w:footnote w:id="915">
    <w:p w14:paraId="0A606891" w14:textId="77777777" w:rsidR="004B2E7C" w:rsidRDefault="004B2E7C" w:rsidP="00285819">
      <w:pPr>
        <w:pStyle w:val="a7"/>
        <w:rPr>
          <w:rtl/>
        </w:rPr>
      </w:pPr>
      <w:r>
        <w:rPr>
          <w:rStyle w:val="a9"/>
        </w:rPr>
        <w:footnoteRef/>
      </w:r>
      <w:r>
        <w:rPr>
          <w:rtl/>
        </w:rPr>
        <w:t xml:space="preserve"> </w:t>
      </w:r>
      <w:r w:rsidRPr="0043002C">
        <w:rPr>
          <w:rFonts w:cs="Arial"/>
          <w:rtl/>
        </w:rPr>
        <w:t xml:space="preserve">וראיתי מהמדקדקים שעומדים מעט כשמתחילים לקדש לכבוד השם בן ד' אותיות הנרמז בראשי תיבות תחילת הקידוש שהם </w:t>
      </w:r>
      <w:r>
        <w:rPr>
          <w:rFonts w:cs="Arial" w:hint="cs"/>
          <w:rtl/>
        </w:rPr>
        <w:t>'</w:t>
      </w:r>
      <w:r w:rsidRPr="0043002C">
        <w:rPr>
          <w:rFonts w:cs="Arial"/>
          <w:rtl/>
        </w:rPr>
        <w:t>יום הששי ויכלו השמים</w:t>
      </w:r>
      <w:r>
        <w:rPr>
          <w:rFonts w:cs="Arial" w:hint="cs"/>
          <w:rtl/>
        </w:rPr>
        <w:t>'</w:t>
      </w:r>
      <w:r w:rsidRPr="0043002C">
        <w:rPr>
          <w:rFonts w:cs="Arial"/>
          <w:rtl/>
        </w:rPr>
        <w:t>.</w:t>
      </w:r>
      <w:r>
        <w:rPr>
          <w:rFonts w:cs="Arial" w:hint="cs"/>
          <w:rtl/>
        </w:rPr>
        <w:t>.., דרכ"מ (אות ח).</w:t>
      </w:r>
      <w:r>
        <w:rPr>
          <w:rFonts w:hint="cs"/>
          <w:rtl/>
        </w:rPr>
        <w:t xml:space="preserve"> </w:t>
      </w:r>
      <w:r w:rsidRPr="0026120B">
        <w:rPr>
          <w:rFonts w:hint="cs"/>
          <w:color w:val="00B0F0"/>
          <w:rtl/>
        </w:rPr>
        <w:t>(וכ"</w:t>
      </w:r>
      <w:r>
        <w:rPr>
          <w:rFonts w:hint="cs"/>
          <w:color w:val="00B0F0"/>
          <w:rtl/>
        </w:rPr>
        <w:t>כ</w:t>
      </w:r>
      <w:r w:rsidRPr="0026120B">
        <w:rPr>
          <w:rFonts w:hint="cs"/>
          <w:color w:val="00B0F0"/>
          <w:rtl/>
        </w:rPr>
        <w:t xml:space="preserve"> בהג"ה)</w:t>
      </w:r>
    </w:p>
  </w:footnote>
  <w:footnote w:id="916">
    <w:p w14:paraId="2F984836" w14:textId="77777777" w:rsidR="004B2E7C" w:rsidRDefault="004B2E7C" w:rsidP="00285819">
      <w:pPr>
        <w:pStyle w:val="a7"/>
      </w:pPr>
      <w:r>
        <w:rPr>
          <w:rStyle w:val="a9"/>
        </w:rPr>
        <w:footnoteRef/>
      </w:r>
      <w:r>
        <w:rPr>
          <w:rtl/>
        </w:rPr>
        <w:t xml:space="preserve"> </w:t>
      </w:r>
      <w:r w:rsidRPr="002171E8">
        <w:rPr>
          <w:rFonts w:cs="Arial"/>
          <w:rtl/>
        </w:rPr>
        <w:t>דכוס של קידוש והבדלה הוא בכלל שאר כוס של ברכה דצריך שיהיה מלא וכנ"ל בסימן קפ"ג ס"ב בהג"ה ואם איננו מלא ואין לו כוס אחר לערות בתוכו מותר לקדש עליו כיון שיש שיעור רביעית בהיין שבתוכו וכדמוכח לקמיה בסעיף י"א</w:t>
      </w:r>
      <w:r>
        <w:rPr>
          <w:rFonts w:cs="Arial" w:hint="cs"/>
          <w:rtl/>
        </w:rPr>
        <w:t>, משנ"ב (סקמ"ב).</w:t>
      </w:r>
    </w:p>
  </w:footnote>
  <w:footnote w:id="917">
    <w:p w14:paraId="001708AD" w14:textId="77777777" w:rsidR="004B2E7C" w:rsidRDefault="004B2E7C" w:rsidP="00285819">
      <w:pPr>
        <w:pStyle w:val="a7"/>
      </w:pPr>
      <w:r>
        <w:rPr>
          <w:rStyle w:val="a9"/>
        </w:rPr>
        <w:footnoteRef/>
      </w:r>
      <w:r>
        <w:rPr>
          <w:rtl/>
        </w:rPr>
        <w:t xml:space="preserve"> </w:t>
      </w:r>
      <w:r w:rsidRPr="002171E8">
        <w:rPr>
          <w:rFonts w:cs="Arial"/>
          <w:rtl/>
        </w:rPr>
        <w:t>דבכי האי גוונא מקרי טפי קידוש במקום סעודה כיון שיושב במקום סעודתו בעת הקידוש וכן הסכים בבאור הגר"א ומטעם אחר דכיון שאחד פוטר חברו בעינן קביעות שיקבעו יחד ובישיבה מקרי קביעות וכנ"ל בסימן קס"ז ולפי דבריו גם השומעים צריכין לישב וטוב ליזהר בזה לכתחלה ויש לומר דגם דעתו הוא רק לכתחלה ועכ"פ צריך ליזהר שיקבעו השומעים עצמן יחד בעת הקידוש כדי לצאת ולא שיהיו מפוזרים ומפורדים והולכים אחד הנה ואחד הנה דזה לא מקרי קביעות כלל</w:t>
      </w:r>
      <w:r>
        <w:rPr>
          <w:rFonts w:cs="Arial" w:hint="cs"/>
          <w:rtl/>
        </w:rPr>
        <w:t>, משנ"ב (סקמ"ו).</w:t>
      </w:r>
    </w:p>
  </w:footnote>
  <w:footnote w:id="918">
    <w:p w14:paraId="0EB48C26" w14:textId="77777777" w:rsidR="004B2E7C" w:rsidRDefault="004B2E7C" w:rsidP="00285819">
      <w:pPr>
        <w:pStyle w:val="a7"/>
      </w:pPr>
      <w:r>
        <w:rPr>
          <w:rStyle w:val="a9"/>
        </w:rPr>
        <w:footnoteRef/>
      </w:r>
      <w:r>
        <w:rPr>
          <w:rtl/>
        </w:rPr>
        <w:t xml:space="preserve"> </w:t>
      </w:r>
      <w:r w:rsidRPr="00EF3343">
        <w:rPr>
          <w:rFonts w:cs="Arial"/>
          <w:rtl/>
        </w:rPr>
        <w:t>שהיה טועם כוס של קידוש</w:t>
      </w:r>
      <w:r>
        <w:rPr>
          <w:rFonts w:cs="Arial" w:hint="cs"/>
          <w:rtl/>
        </w:rPr>
        <w:t>,</w:t>
      </w:r>
      <w:r w:rsidRPr="00EF3343">
        <w:rPr>
          <w:rFonts w:cs="Arial"/>
          <w:rtl/>
        </w:rPr>
        <w:t xml:space="preserve"> ומוזגו למחר</w:t>
      </w:r>
      <w:r>
        <w:rPr>
          <w:rFonts w:cs="Arial" w:hint="cs"/>
          <w:rtl/>
        </w:rPr>
        <w:t>,</w:t>
      </w:r>
      <w:r w:rsidRPr="00EF3343">
        <w:rPr>
          <w:rFonts w:cs="Arial"/>
          <w:rtl/>
        </w:rPr>
        <w:t xml:space="preserve"> ומקדש עליו שנית</w:t>
      </w:r>
      <w:r>
        <w:rPr>
          <w:rFonts w:cs="Arial" w:hint="cs"/>
          <w:rtl/>
        </w:rPr>
        <w:t>.</w:t>
      </w:r>
      <w:r w:rsidRPr="00EF3343">
        <w:rPr>
          <w:rFonts w:cs="Arial"/>
          <w:rtl/>
        </w:rPr>
        <w:t xml:space="preserve"> וא"כ </w:t>
      </w:r>
      <w:r>
        <w:rPr>
          <w:rFonts w:cs="Arial" w:hint="cs"/>
          <w:sz w:val="16"/>
          <w:szCs w:val="16"/>
          <w:rtl/>
        </w:rPr>
        <w:t>{הוה פליג ארבי יוסי ד}</w:t>
      </w:r>
      <w:r w:rsidRPr="00EF3343">
        <w:rPr>
          <w:rFonts w:cs="Arial"/>
          <w:rtl/>
        </w:rPr>
        <w:t>בשעת קידוש לא היה מוזגו</w:t>
      </w:r>
      <w:r>
        <w:rPr>
          <w:rFonts w:cs="Arial" w:hint="cs"/>
          <w:rtl/>
        </w:rPr>
        <w:t>,</w:t>
      </w:r>
      <w:r w:rsidRPr="00EF3343">
        <w:rPr>
          <w:rFonts w:cs="Arial"/>
          <w:rtl/>
        </w:rPr>
        <w:t xml:space="preserve"> כי אז לא יוכל לשתותו למחר מפני הסכנה</w:t>
      </w:r>
      <w:r>
        <w:rPr>
          <w:rFonts w:cs="Arial" w:hint="cs"/>
          <w:rtl/>
        </w:rPr>
        <w:t>, רא"ש (ברכות פ"ח סי' ב).</w:t>
      </w:r>
    </w:p>
  </w:footnote>
  <w:footnote w:id="919">
    <w:p w14:paraId="3F71433B" w14:textId="77777777" w:rsidR="004B2E7C" w:rsidRDefault="004B2E7C" w:rsidP="00285819">
      <w:pPr>
        <w:pStyle w:val="a7"/>
      </w:pPr>
      <w:r>
        <w:rPr>
          <w:rStyle w:val="a9"/>
        </w:rPr>
        <w:footnoteRef/>
      </w:r>
      <w:r>
        <w:rPr>
          <w:rtl/>
        </w:rPr>
        <w:t xml:space="preserve"> </w:t>
      </w:r>
      <w:r w:rsidRPr="00EF3343">
        <w:rPr>
          <w:rFonts w:cs="Arial"/>
          <w:rtl/>
        </w:rPr>
        <w:t>משני דלעולם לא פליגא</w:t>
      </w:r>
      <w:r>
        <w:rPr>
          <w:rFonts w:cs="Arial" w:hint="cs"/>
          <w:rtl/>
        </w:rPr>
        <w:t>,</w:t>
      </w:r>
      <w:r w:rsidRPr="00EF3343">
        <w:rPr>
          <w:rFonts w:cs="Arial"/>
          <w:rtl/>
        </w:rPr>
        <w:t xml:space="preserve"> שהיה מוזגו קצת בלילה ומלינו בכלי שאינו של מתכת</w:t>
      </w:r>
      <w:r>
        <w:rPr>
          <w:rFonts w:cs="Arial" w:hint="cs"/>
          <w:rtl/>
        </w:rPr>
        <w:t>,</w:t>
      </w:r>
      <w:r w:rsidRPr="00EF3343">
        <w:rPr>
          <w:rFonts w:cs="Arial"/>
          <w:rtl/>
        </w:rPr>
        <w:t xml:space="preserve"> ולמחר מוסיף עליו מים ומקדש עליו</w:t>
      </w:r>
      <w:r>
        <w:rPr>
          <w:rFonts w:cs="Arial" w:hint="cs"/>
          <w:rtl/>
        </w:rPr>
        <w:t>, רא"ש (ברכות פ"ח סי' ב).</w:t>
      </w:r>
    </w:p>
  </w:footnote>
  <w:footnote w:id="920">
    <w:p w14:paraId="772D031E" w14:textId="77777777" w:rsidR="004B2E7C" w:rsidRDefault="004B2E7C" w:rsidP="00285819">
      <w:pPr>
        <w:pStyle w:val="a7"/>
        <w:rPr>
          <w:rtl/>
        </w:rPr>
      </w:pPr>
      <w:r>
        <w:rPr>
          <w:rStyle w:val="a9"/>
        </w:rPr>
        <w:footnoteRef/>
      </w:r>
      <w:r>
        <w:rPr>
          <w:rtl/>
        </w:rPr>
        <w:t xml:space="preserve"> </w:t>
      </w:r>
      <w:r w:rsidRPr="00F95BB3">
        <w:rPr>
          <w:rFonts w:cs="Arial" w:hint="cs"/>
          <w:rtl/>
        </w:rPr>
        <w:t>היינו ההיא ראיה שהביאו מהירושלמי שיכול להכשיר כוס פגום ע"י נתנית מים לתוכו</w:t>
      </w:r>
      <w:r>
        <w:rPr>
          <w:rFonts w:hint="cs"/>
          <w:rtl/>
        </w:rPr>
        <w:t>.</w:t>
      </w:r>
    </w:p>
  </w:footnote>
  <w:footnote w:id="921">
    <w:p w14:paraId="14DD97FA" w14:textId="77777777" w:rsidR="004B2E7C" w:rsidRDefault="004B2E7C" w:rsidP="00285819">
      <w:pPr>
        <w:pStyle w:val="a7"/>
        <w:rPr>
          <w:rtl/>
        </w:rPr>
      </w:pPr>
      <w:r>
        <w:rPr>
          <w:rStyle w:val="a9"/>
        </w:rPr>
        <w:footnoteRef/>
      </w:r>
      <w:r>
        <w:rPr>
          <w:rtl/>
        </w:rPr>
        <w:t xml:space="preserve"> </w:t>
      </w:r>
      <w:r w:rsidRPr="00F576D3">
        <w:rPr>
          <w:rFonts w:cs="Arial"/>
          <w:rtl/>
        </w:rPr>
        <w:t>כשיעור מלא לוגמיו</w:t>
      </w:r>
      <w:r>
        <w:rPr>
          <w:rFonts w:hint="cs"/>
          <w:rtl/>
        </w:rPr>
        <w:t>, משנ"ב (סק"נ).</w:t>
      </w:r>
    </w:p>
  </w:footnote>
  <w:footnote w:id="922">
    <w:p w14:paraId="141C11E3" w14:textId="77777777" w:rsidR="004B2E7C" w:rsidRDefault="004B2E7C" w:rsidP="00285819">
      <w:pPr>
        <w:pStyle w:val="a7"/>
      </w:pPr>
      <w:r>
        <w:rPr>
          <w:rStyle w:val="a9"/>
        </w:rPr>
        <w:footnoteRef/>
      </w:r>
      <w:r>
        <w:rPr>
          <w:rtl/>
        </w:rPr>
        <w:t xml:space="preserve"> </w:t>
      </w:r>
      <w:r w:rsidRPr="00F576D3">
        <w:rPr>
          <w:rFonts w:cs="Arial"/>
          <w:rtl/>
        </w:rPr>
        <w:t>ובמ"א הסכים לדעת התוספות דכוס של חובה צריך להיות הטעימה דוקא מכוס שיש בו רביעית יין וע"כ הנכון שיעשה כך ישפוך מתחלה מהכוס הראשון לתוך כוס אחר ויזהר שישאר בו רביעית יין ויטעם מהכוס הראשון כשיעור מלא לוגמיו ואח"כ ישפוך היין שבכוס אחר לתוך כוס זה דבזה נתקן פגימתו וכדלעיל בסימן קפ"ב סעיף וי"ו ויוכל לקדש עליו אם יש בו עתה רביעית יין [ואף דבא"ר דחה דבריו וסובר דכעצת השו"ע עדיפא טפי עיין בתו"ש שיישבו]</w:t>
      </w:r>
      <w:r>
        <w:rPr>
          <w:rFonts w:cs="Arial" w:hint="cs"/>
          <w:rtl/>
        </w:rPr>
        <w:t>, משנ"ב (סקנ"א).</w:t>
      </w:r>
    </w:p>
  </w:footnote>
  <w:footnote w:id="923">
    <w:p w14:paraId="13E6F08F" w14:textId="77777777" w:rsidR="004B2E7C" w:rsidRDefault="004B2E7C" w:rsidP="00285819">
      <w:pPr>
        <w:pStyle w:val="a7"/>
        <w:rPr>
          <w:rtl/>
        </w:rPr>
      </w:pPr>
      <w:r>
        <w:rPr>
          <w:rStyle w:val="a9"/>
        </w:rPr>
        <w:footnoteRef/>
      </w:r>
      <w:r>
        <w:rPr>
          <w:rtl/>
        </w:rPr>
        <w:t xml:space="preserve"> </w:t>
      </w:r>
      <w:r w:rsidRPr="00F576D3">
        <w:rPr>
          <w:rFonts w:cs="Arial"/>
          <w:rtl/>
        </w:rPr>
        <w:t>מלשון זה משמע דמקדש בזה הכוס גופא ואף דלעיל בס"י כתב דצריך להיות הכוס מלא זהו רק למצוה ואין מעכב אם אין לו ופשוט דאם יש לו כוס אחר קטן מזה צריך לשפוך היין לתוכו כדי שיהיה מלא</w:t>
      </w:r>
      <w:r>
        <w:rPr>
          <w:rFonts w:hint="cs"/>
          <w:rtl/>
        </w:rPr>
        <w:t>, משנ"ב (סקנ"ב).</w:t>
      </w:r>
    </w:p>
  </w:footnote>
  <w:footnote w:id="924">
    <w:p w14:paraId="1DA74F2E" w14:textId="77777777" w:rsidR="004B2E7C" w:rsidRDefault="004B2E7C" w:rsidP="00285819">
      <w:pPr>
        <w:pStyle w:val="a7"/>
        <w:rPr>
          <w:rtl/>
        </w:rPr>
      </w:pPr>
      <w:r>
        <w:rPr>
          <w:rStyle w:val="a9"/>
        </w:rPr>
        <w:footnoteRef/>
      </w:r>
      <w:r>
        <w:rPr>
          <w:rtl/>
        </w:rPr>
        <w:t xml:space="preserve"> </w:t>
      </w:r>
      <w:r w:rsidRPr="002D0F01">
        <w:rPr>
          <w:rFonts w:cs="Arial"/>
          <w:rtl/>
        </w:rPr>
        <w:t>לאו דוקא אלא ה"ה אם אפילו יש לו יותר מזה אלא דאחר טעימת מלא לוגמיו לא ישאר לו כשיעור רביעית אלא דנקט הכי לרבותא דאפילו בזה יש לו תקנה ע"י מזיגת מים ומיירי כשהיה היין חזק שאחר המזיגה יוכל לקדש עליו ועיין לקמן בסימן רע"ב ס"ה</w:t>
      </w:r>
      <w:r>
        <w:rPr>
          <w:rFonts w:hint="cs"/>
          <w:rtl/>
        </w:rPr>
        <w:t>, משנ"ב (סקנ"ג).</w:t>
      </w:r>
    </w:p>
  </w:footnote>
  <w:footnote w:id="925">
    <w:p w14:paraId="36955826" w14:textId="77777777" w:rsidR="004B2E7C" w:rsidRDefault="004B2E7C" w:rsidP="00285819">
      <w:pPr>
        <w:pStyle w:val="a7"/>
      </w:pPr>
      <w:r>
        <w:rPr>
          <w:rStyle w:val="a9"/>
        </w:rPr>
        <w:footnoteRef/>
      </w:r>
      <w:r>
        <w:rPr>
          <w:rtl/>
        </w:rPr>
        <w:t xml:space="preserve"> </w:t>
      </w:r>
      <w:r w:rsidRPr="002D0F01">
        <w:rPr>
          <w:rFonts w:cs="Arial"/>
          <w:rtl/>
        </w:rPr>
        <w:t>וי"א דקידוש הלילה עדיף מהבדלה ואפילו לדעת השו"ע אם יש לו שכר להבדלה מוטב לקדש על היין דהא לכו"ע מבדילין אשיכרא כמ"ש בסימן רצ"ו ס"ב וקידוש אשכרא הרבה פוסקים אוסרים וגם על הפת מחמיר ר"ת ולכן אפילו בשחרית טוב יותר שיקדש על היין אם יש לו שכר להבדלה מיהו מה שנהגו לקדש בבהכ"נ וגם להבדיל בזה בודאי ההבדלה שהוא להוציא רבים ידי חובתן עדיף מקידוש שאינו אלא מנהג כמ"ש סימן רס"ט [מ"א וש"א]</w:t>
      </w:r>
      <w:r>
        <w:rPr>
          <w:rFonts w:cs="Arial" w:hint="cs"/>
          <w:rtl/>
        </w:rPr>
        <w:t>, משנ"ב (סקנ"ו).</w:t>
      </w:r>
    </w:p>
  </w:footnote>
  <w:footnote w:id="926">
    <w:p w14:paraId="1A638BBD" w14:textId="77777777" w:rsidR="004B2E7C" w:rsidRDefault="004B2E7C" w:rsidP="00285819">
      <w:pPr>
        <w:pStyle w:val="a7"/>
      </w:pPr>
      <w:r>
        <w:rPr>
          <w:rStyle w:val="a9"/>
        </w:rPr>
        <w:footnoteRef/>
      </w:r>
      <w:r>
        <w:rPr>
          <w:rtl/>
        </w:rPr>
        <w:t xml:space="preserve"> </w:t>
      </w:r>
      <w:r>
        <w:rPr>
          <w:rFonts w:cs="Arial"/>
          <w:rtl/>
        </w:rPr>
        <w:t>הרי"ף (כב.)</w:t>
      </w:r>
      <w:r>
        <w:rPr>
          <w:rFonts w:cs="Arial" w:hint="cs"/>
          <w:rtl/>
        </w:rPr>
        <w:t xml:space="preserve"> העתיק את דברי הגמרא לעיל </w:t>
      </w:r>
      <w:r>
        <w:rPr>
          <w:rFonts w:cs="Arial"/>
          <w:rtl/>
        </w:rPr>
        <w:t>וסיים בה –</w:t>
      </w:r>
      <w:r>
        <w:rPr>
          <w:rFonts w:cs="Arial" w:hint="cs"/>
          <w:rtl/>
        </w:rPr>
        <w:t xml:space="preserve"> '</w:t>
      </w:r>
      <w:r w:rsidRPr="00E31E3B">
        <w:rPr>
          <w:rFonts w:cs="Arial"/>
          <w:rtl/>
        </w:rPr>
        <w:t>אלמא בחביבותא תליא מלתא ולאו בנטילה תליא מילתא וכן הלכתא</w:t>
      </w:r>
      <w:r>
        <w:rPr>
          <w:rFonts w:cs="Arial" w:hint="cs"/>
          <w:rtl/>
        </w:rPr>
        <w:t>'</w:t>
      </w:r>
      <w:r>
        <w:rPr>
          <w:rFonts w:cs="Arial" w:hint="cs"/>
          <w:sz w:val="16"/>
          <w:szCs w:val="16"/>
          <w:rtl/>
        </w:rPr>
        <w:t xml:space="preserve"> [עכ"ל הרי"ף]</w:t>
      </w:r>
      <w:r>
        <w:rPr>
          <w:rFonts w:cs="Arial"/>
          <w:rtl/>
        </w:rPr>
        <w:t>.</w:t>
      </w:r>
      <w:r>
        <w:rPr>
          <w:rFonts w:cs="Arial" w:hint="cs"/>
          <w:rtl/>
        </w:rPr>
        <w:t xml:space="preserve"> </w:t>
      </w:r>
      <w:r>
        <w:rPr>
          <w:rFonts w:cs="Arial"/>
          <w:rtl/>
        </w:rPr>
        <w:t>וכתב הר"ן (שם ד"ה נטל ידיו) שנראה שהוא מפרש כך</w:t>
      </w:r>
      <w:r>
        <w:rPr>
          <w:rFonts w:cs="Arial" w:hint="cs"/>
          <w:rtl/>
        </w:rPr>
        <w:t>-...</w:t>
      </w:r>
    </w:p>
  </w:footnote>
  <w:footnote w:id="927">
    <w:p w14:paraId="77F494A5" w14:textId="77777777" w:rsidR="004B2E7C" w:rsidRDefault="004B2E7C" w:rsidP="00285819">
      <w:pPr>
        <w:pStyle w:val="a7"/>
      </w:pPr>
      <w:r>
        <w:rPr>
          <w:rStyle w:val="a9"/>
        </w:rPr>
        <w:footnoteRef/>
      </w:r>
      <w:r>
        <w:rPr>
          <w:rtl/>
        </w:rPr>
        <w:t xml:space="preserve"> </w:t>
      </w:r>
      <w:r w:rsidRPr="00EC6608">
        <w:rPr>
          <w:rFonts w:cs="Arial"/>
          <w:rtl/>
        </w:rPr>
        <w:t xml:space="preserve">ורבינו </w:t>
      </w:r>
      <w:r>
        <w:rPr>
          <w:rFonts w:cs="Arial" w:hint="cs"/>
          <w:sz w:val="16"/>
          <w:szCs w:val="16"/>
          <w:rtl/>
        </w:rPr>
        <w:t xml:space="preserve">{הטור} </w:t>
      </w:r>
      <w:r w:rsidRPr="00EC6608">
        <w:rPr>
          <w:rFonts w:cs="Arial"/>
          <w:rtl/>
        </w:rPr>
        <w:t>כתב לפרשב"ם דטעמא דרב ברונא משום דיש קידוש שלא במקום סעודה</w:t>
      </w:r>
      <w:r>
        <w:rPr>
          <w:rFonts w:cs="Arial" w:hint="cs"/>
          <w:rtl/>
        </w:rPr>
        <w:t>.</w:t>
      </w:r>
      <w:r w:rsidRPr="00EC6608">
        <w:rPr>
          <w:rFonts w:cs="Arial"/>
          <w:rtl/>
        </w:rPr>
        <w:t xml:space="preserve"> ואע</w:t>
      </w:r>
      <w:r>
        <w:rPr>
          <w:rFonts w:cs="Arial" w:hint="cs"/>
          <w:rtl/>
        </w:rPr>
        <w:t>"</w:t>
      </w:r>
      <w:r w:rsidRPr="00EC6608">
        <w:rPr>
          <w:rFonts w:cs="Arial"/>
          <w:rtl/>
        </w:rPr>
        <w:t>פ שלא נזכר זה אלא בדברי ר</w:t>
      </w:r>
      <w:r>
        <w:rPr>
          <w:rFonts w:cs="Arial" w:hint="cs"/>
          <w:rtl/>
        </w:rPr>
        <w:t>"</w:t>
      </w:r>
      <w:r w:rsidRPr="00EC6608">
        <w:rPr>
          <w:rFonts w:cs="Arial"/>
          <w:rtl/>
        </w:rPr>
        <w:t>ת</w:t>
      </w:r>
      <w:r>
        <w:rPr>
          <w:rFonts w:cs="Arial" w:hint="cs"/>
          <w:rtl/>
        </w:rPr>
        <w:t>,</w:t>
      </w:r>
      <w:r w:rsidRPr="00EC6608">
        <w:rPr>
          <w:rFonts w:cs="Arial"/>
          <w:rtl/>
        </w:rPr>
        <w:t xml:space="preserve"> סובר רבינו דגם רשב"ם סבירא ליה כר</w:t>
      </w:r>
      <w:r>
        <w:rPr>
          <w:rFonts w:cs="Arial" w:hint="cs"/>
          <w:rtl/>
        </w:rPr>
        <w:t>"</w:t>
      </w:r>
      <w:r w:rsidRPr="00EC6608">
        <w:rPr>
          <w:rFonts w:cs="Arial"/>
          <w:rtl/>
        </w:rPr>
        <w:t>ת בהא ולא פליגי אלא אם טוב לכתחלה לקדש קודם מההיא דתנן מוזגין את הכוס ואח</w:t>
      </w:r>
      <w:r>
        <w:rPr>
          <w:rFonts w:cs="Arial" w:hint="cs"/>
          <w:rtl/>
        </w:rPr>
        <w:t>"</w:t>
      </w:r>
      <w:r w:rsidRPr="00EC6608">
        <w:rPr>
          <w:rFonts w:cs="Arial"/>
          <w:rtl/>
        </w:rPr>
        <w:t>כ נוטלין לידים</w:t>
      </w:r>
      <w:r>
        <w:rPr>
          <w:rFonts w:hint="cs"/>
          <w:rtl/>
        </w:rPr>
        <w:t>, ב"י.</w:t>
      </w:r>
    </w:p>
  </w:footnote>
  <w:footnote w:id="928">
    <w:p w14:paraId="7CF7669D" w14:textId="77777777" w:rsidR="004B2E7C" w:rsidRDefault="004B2E7C" w:rsidP="00285819">
      <w:pPr>
        <w:pStyle w:val="a7"/>
        <w:rPr>
          <w:rtl/>
        </w:rPr>
      </w:pPr>
      <w:r>
        <w:rPr>
          <w:rStyle w:val="a9"/>
        </w:rPr>
        <w:footnoteRef/>
      </w:r>
      <w:r>
        <w:rPr>
          <w:rtl/>
        </w:rPr>
        <w:t xml:space="preserve"> </w:t>
      </w:r>
      <w:r w:rsidRPr="00EC6608">
        <w:rPr>
          <w:rFonts w:cs="Arial"/>
          <w:rtl/>
        </w:rPr>
        <w:t>והא דאמרי בית הלל מוזגין את הכוס ואח</w:t>
      </w:r>
      <w:r>
        <w:rPr>
          <w:rFonts w:cs="Arial" w:hint="cs"/>
          <w:rtl/>
        </w:rPr>
        <w:t>"</w:t>
      </w:r>
      <w:r w:rsidRPr="00EC6608">
        <w:rPr>
          <w:rFonts w:cs="Arial"/>
          <w:rtl/>
        </w:rPr>
        <w:t>כ נוטלין לידים מפרש ר</w:t>
      </w:r>
      <w:r>
        <w:rPr>
          <w:rFonts w:cs="Arial" w:hint="cs"/>
          <w:rtl/>
        </w:rPr>
        <w:t>"</w:t>
      </w:r>
      <w:r w:rsidRPr="00EC6608">
        <w:rPr>
          <w:rFonts w:cs="Arial"/>
          <w:rtl/>
        </w:rPr>
        <w:t xml:space="preserve">ת (שם </w:t>
      </w:r>
      <w:r>
        <w:rPr>
          <w:rFonts w:cs="Arial" w:hint="cs"/>
          <w:rtl/>
        </w:rPr>
        <w:t xml:space="preserve">בתוס' </w:t>
      </w:r>
      <w:r w:rsidRPr="00EC6608">
        <w:rPr>
          <w:rFonts w:cs="Arial"/>
          <w:rtl/>
        </w:rPr>
        <w:t>ד"ה זימנין) דהתם איירי בחול ויש לחוש שאם יטול קודם מזיגה שיעסוק בשאר דברים ולא יאכל לאלתר ולאו אדעתיה אבל בשבת אין לחוש שיפליג לדבר אחר שהשולחן ערוך ויאכל מיד, ור"י (תוס' שם) חילק משום דמזיגה שהיא בחמין צריך דקדוק גדול שלא יחסר ולא יותיר ואיכא היסח הדעת טפ</w:t>
      </w:r>
      <w:r>
        <w:rPr>
          <w:rFonts w:cs="Arial" w:hint="cs"/>
          <w:rtl/>
        </w:rPr>
        <w:t>י, ב"י.</w:t>
      </w:r>
    </w:p>
  </w:footnote>
  <w:footnote w:id="929">
    <w:p w14:paraId="3A288BCC" w14:textId="77777777" w:rsidR="004B2E7C" w:rsidRDefault="004B2E7C" w:rsidP="00285819">
      <w:pPr>
        <w:pStyle w:val="a7"/>
      </w:pPr>
      <w:r>
        <w:rPr>
          <w:rStyle w:val="a9"/>
        </w:rPr>
        <w:footnoteRef/>
      </w:r>
      <w:r>
        <w:rPr>
          <w:rtl/>
        </w:rPr>
        <w:t xml:space="preserve"> </w:t>
      </w:r>
      <w:r>
        <w:rPr>
          <w:rFonts w:cs="Arial"/>
          <w:rtl/>
        </w:rPr>
        <w:t xml:space="preserve">אם יש חילוק בין סעודת היום לסעודת הלילה לענין אם יכול ליטול ידיו קודם קידוש </w:t>
      </w:r>
      <w:r>
        <w:rPr>
          <w:rFonts w:cs="Arial" w:hint="cs"/>
          <w:rtl/>
        </w:rPr>
        <w:t xml:space="preserve">- </w:t>
      </w:r>
      <w:r>
        <w:rPr>
          <w:rFonts w:cs="Arial"/>
          <w:rtl/>
        </w:rPr>
        <w:t>עיין בסימן רפ"ט</w:t>
      </w:r>
      <w:r>
        <w:rPr>
          <w:rFonts w:cs="Arial" w:hint="cs"/>
          <w:rtl/>
        </w:rPr>
        <w:t>, ב"י.</w:t>
      </w:r>
    </w:p>
  </w:footnote>
  <w:footnote w:id="930">
    <w:p w14:paraId="4087E734" w14:textId="77777777" w:rsidR="004B2E7C" w:rsidRDefault="004B2E7C" w:rsidP="00285819">
      <w:pPr>
        <w:pStyle w:val="a7"/>
      </w:pPr>
      <w:r>
        <w:rPr>
          <w:rStyle w:val="a9"/>
        </w:rPr>
        <w:footnoteRef/>
      </w:r>
      <w:r>
        <w:rPr>
          <w:rtl/>
        </w:rPr>
        <w:t xml:space="preserve"> </w:t>
      </w:r>
      <w:r w:rsidRPr="00EC6608">
        <w:rPr>
          <w:rFonts w:cs="Arial"/>
          <w:rtl/>
        </w:rPr>
        <w:t>וזהו דעת רב עמרם</w:t>
      </w:r>
      <w:r>
        <w:rPr>
          <w:rFonts w:cs="Arial" w:hint="cs"/>
          <w:rtl/>
        </w:rPr>
        <w:t>,</w:t>
      </w:r>
      <w:r w:rsidRPr="00EC6608">
        <w:rPr>
          <w:rFonts w:cs="Arial"/>
          <w:rtl/>
        </w:rPr>
        <w:t xml:space="preserve"> שכתב אבל נטל ידיו קודם לא יקדש על יין אלא על פת דאמר רב ברונא נטל ידיו לא יקדש</w:t>
      </w:r>
      <w:r>
        <w:rPr>
          <w:rFonts w:cs="Arial" w:hint="cs"/>
          <w:rtl/>
        </w:rPr>
        <w:t>.</w:t>
      </w:r>
      <w:r w:rsidRPr="00EC6608">
        <w:rPr>
          <w:rFonts w:cs="Arial"/>
          <w:rtl/>
        </w:rPr>
        <w:t xml:space="preserve"> דבמאי דלא איתותב רב ברונא שפיר נקטינן כוותיה</w:t>
      </w:r>
      <w:r>
        <w:rPr>
          <w:rFonts w:cs="Arial" w:hint="cs"/>
          <w:rtl/>
        </w:rPr>
        <w:t>, ב"י.</w:t>
      </w:r>
      <w:r>
        <w:rPr>
          <w:rFonts w:hint="cs"/>
          <w:rtl/>
        </w:rPr>
        <w:t xml:space="preserve"> וצל"ע מה כוונת הב"י, דהרי מדברי רב עמרם משמע שרק בדיעבד יעשה כן, ואילו מדברי הרי"ף והרמב"ם משמע שאפשר לעשות כן לכתחילה. וגם דברי הטור צל"ע, שהרי כתב אחרי דברי רב עמרם שכ"כ הרמב"ם, והעתיק רק את סוף דברי הרמב"ם שהבאתי (שם הלכה י) לגבי מי ששכח. ואפשר לומר שכתבו כן בדעת רב עמרם משום שדעתו שאחר שנטל ידיו לא יקדש על היין אלא על הפת, וכן דעת הרי"ף והרמב"ם, ולאפוקי מדעת ר"ת וסיעתו שיכול לקדש על היין לאחר שנטל ידיו. וכן אפשר לומר שכתבו כן משום שדעת רב עמרם שווה לדעת הרי"ף והרמב"ם כשאין חביבות לפת יותר מן היין, שאז מודים הרי"ף והרמב"ם שלכתחילה יקדש על היין ואח"כ יטול ידים.</w:t>
      </w:r>
    </w:p>
  </w:footnote>
  <w:footnote w:id="931">
    <w:p w14:paraId="38BD846B" w14:textId="77777777" w:rsidR="004B2E7C" w:rsidRDefault="004B2E7C" w:rsidP="00285819">
      <w:pPr>
        <w:pStyle w:val="a7"/>
      </w:pPr>
      <w:r>
        <w:rPr>
          <w:rStyle w:val="a9"/>
        </w:rPr>
        <w:footnoteRef/>
      </w:r>
      <w:r>
        <w:rPr>
          <w:rtl/>
        </w:rPr>
        <w:t xml:space="preserve"> </w:t>
      </w:r>
      <w:r w:rsidRPr="00D17BD5">
        <w:rPr>
          <w:rFonts w:cs="Arial"/>
          <w:rtl/>
        </w:rPr>
        <w:t>וכן היה נוהג רבינו מאיר מרוטנבורק לקדש קודם</w:t>
      </w:r>
      <w:r>
        <w:rPr>
          <w:rFonts w:cs="Arial" w:hint="cs"/>
          <w:rtl/>
        </w:rPr>
        <w:t>, טור.</w:t>
      </w:r>
    </w:p>
  </w:footnote>
  <w:footnote w:id="932">
    <w:p w14:paraId="598DBE22" w14:textId="77777777" w:rsidR="004B2E7C" w:rsidRDefault="004B2E7C" w:rsidP="00285819">
      <w:pPr>
        <w:pStyle w:val="a7"/>
        <w:rPr>
          <w:rtl/>
        </w:rPr>
      </w:pPr>
      <w:r>
        <w:rPr>
          <w:rStyle w:val="a9"/>
        </w:rPr>
        <w:footnoteRef/>
      </w:r>
      <w:r>
        <w:rPr>
          <w:rtl/>
        </w:rPr>
        <w:t xml:space="preserve"> </w:t>
      </w:r>
      <w:r w:rsidRPr="00EC6608">
        <w:rPr>
          <w:rFonts w:cs="Arial"/>
          <w:rtl/>
        </w:rPr>
        <w:t>כבית הלל דאמרי בפרק אלו דברים (ברכות נא:) מוזגין את הכוס ואחר כך נוטלין לידים דתיכף לנטילת ידים סעודה (שם נב:)</w:t>
      </w:r>
      <w:r>
        <w:rPr>
          <w:rFonts w:hint="cs"/>
          <w:rtl/>
        </w:rPr>
        <w:t xml:space="preserve">, ב"י בשם רשב"ם. וצל"ע משום שהטור הבדיל בין דבר רב עמרם לדברי הרשב"ם, ולכאורה נראה שהם שווים, ששניהם מודים שלכתחילה יקדש קודם. וגם שניהם מודים שאם נטל ידיו קודם הקידוש </w:t>
      </w:r>
      <w:r>
        <w:rPr>
          <w:rtl/>
        </w:rPr>
        <w:t>–</w:t>
      </w:r>
      <w:r>
        <w:rPr>
          <w:rFonts w:hint="cs"/>
          <w:rtl/>
        </w:rPr>
        <w:t xml:space="preserve"> מקדש על הפת ולא על היין.</w:t>
      </w:r>
    </w:p>
  </w:footnote>
  <w:footnote w:id="933">
    <w:p w14:paraId="2DC40036" w14:textId="77777777" w:rsidR="004B2E7C" w:rsidRDefault="004B2E7C" w:rsidP="00285819">
      <w:pPr>
        <w:pStyle w:val="a7"/>
      </w:pPr>
      <w:r>
        <w:rPr>
          <w:rStyle w:val="a9"/>
        </w:rPr>
        <w:footnoteRef/>
      </w:r>
      <w:r>
        <w:rPr>
          <w:rtl/>
        </w:rPr>
        <w:t xml:space="preserve"> </w:t>
      </w:r>
      <w:r>
        <w:rPr>
          <w:rFonts w:hint="cs"/>
          <w:rtl/>
        </w:rPr>
        <w:t xml:space="preserve">וז"ל- </w:t>
      </w:r>
      <w:r w:rsidRPr="007A3D23">
        <w:rPr>
          <w:rFonts w:cs="Arial"/>
          <w:rtl/>
        </w:rPr>
        <w:t>קיימא לן ליטול ידיו ולקדש דלא הוי קידוש היסח הדעת כיון שדעתו לאכול</w:t>
      </w:r>
      <w:r>
        <w:rPr>
          <w:rFonts w:cs="Arial" w:hint="cs"/>
          <w:rtl/>
        </w:rPr>
        <w:t>.</w:t>
      </w:r>
      <w:r w:rsidRPr="007A3D23">
        <w:rPr>
          <w:rFonts w:cs="Arial"/>
          <w:rtl/>
        </w:rPr>
        <w:t xml:space="preserve"> וכן פסק ברוקח דעיקר נטילה קודם קידוש כב"ה</w:t>
      </w:r>
      <w:r>
        <w:rPr>
          <w:rFonts w:cs="Arial" w:hint="cs"/>
          <w:rtl/>
        </w:rPr>
        <w:t>.</w:t>
      </w:r>
      <w:r w:rsidRPr="007A3D23">
        <w:rPr>
          <w:rFonts w:cs="Arial"/>
          <w:rtl/>
        </w:rPr>
        <w:t xml:space="preserve"> וכן גבי הבדלה מותר ליטול ידיו ולהבדיל</w:t>
      </w:r>
      <w:r>
        <w:rPr>
          <w:rFonts w:cs="Arial" w:hint="cs"/>
          <w:rtl/>
        </w:rPr>
        <w:t>,</w:t>
      </w:r>
      <w:r w:rsidRPr="007A3D23">
        <w:rPr>
          <w:rFonts w:cs="Arial"/>
          <w:rtl/>
        </w:rPr>
        <w:t xml:space="preserve"> דלא הוי הבדלה היסח הדעת כיון שדעתו לאכול</w:t>
      </w:r>
      <w:r>
        <w:rPr>
          <w:rFonts w:cs="Arial" w:hint="cs"/>
          <w:rtl/>
        </w:rPr>
        <w:t>.</w:t>
      </w:r>
    </w:p>
  </w:footnote>
  <w:footnote w:id="934">
    <w:p w14:paraId="5348D3A2" w14:textId="77777777" w:rsidR="004B2E7C" w:rsidRPr="000B7EC1" w:rsidRDefault="004B2E7C" w:rsidP="00285819">
      <w:pPr>
        <w:pStyle w:val="a7"/>
        <w:rPr>
          <w:rFonts w:cs="Arial"/>
          <w:rtl/>
        </w:rPr>
      </w:pPr>
      <w:r>
        <w:rPr>
          <w:rStyle w:val="a9"/>
        </w:rPr>
        <w:footnoteRef/>
      </w:r>
      <w:r>
        <w:rPr>
          <w:rtl/>
        </w:rPr>
        <w:t xml:space="preserve"> </w:t>
      </w:r>
      <w:r w:rsidRPr="003A3CB9">
        <w:rPr>
          <w:rFonts w:cs="Arial"/>
          <w:rtl/>
        </w:rPr>
        <w:t>וכן היה מנהג אדוני אבי ז"ל</w:t>
      </w:r>
      <w:r>
        <w:rPr>
          <w:rFonts w:cs="Arial" w:hint="cs"/>
          <w:rtl/>
        </w:rPr>
        <w:t>,</w:t>
      </w:r>
      <w:r w:rsidRPr="003A3CB9">
        <w:rPr>
          <w:rFonts w:cs="Arial"/>
          <w:rtl/>
        </w:rPr>
        <w:t xml:space="preserve"> ואני תמה על מנהגו שצריך לדחוק ולהוציא מימרא דרב ברונא מפשטה</w:t>
      </w:r>
      <w:r>
        <w:rPr>
          <w:rFonts w:cs="Arial" w:hint="cs"/>
          <w:rtl/>
        </w:rPr>
        <w:t xml:space="preserve">, טור </w:t>
      </w:r>
      <w:r w:rsidRPr="00B3055C">
        <w:rPr>
          <w:rFonts w:cs="Arial" w:hint="cs"/>
          <w:sz w:val="16"/>
          <w:szCs w:val="16"/>
          <w:rtl/>
        </w:rPr>
        <w:t xml:space="preserve">(ואע"פ שהטור בסי' רפ"ט סבר כפירוש ר"ת לדברי רב ברונא, ולפירוש ר"ת יכול ליטול ידיו קודם </w:t>
      </w:r>
      <w:r w:rsidRPr="00B3055C">
        <w:rPr>
          <w:rFonts w:cs="Arial"/>
          <w:sz w:val="16"/>
          <w:szCs w:val="16"/>
          <w:rtl/>
        </w:rPr>
        <w:t>–</w:t>
      </w:r>
      <w:r w:rsidRPr="00B3055C">
        <w:rPr>
          <w:rFonts w:cs="Arial" w:hint="cs"/>
          <w:sz w:val="16"/>
          <w:szCs w:val="16"/>
          <w:rtl/>
        </w:rPr>
        <w:t xml:space="preserve"> מכל מקום יש הבדל בין 'יכול' לבין לנהוג כן כל הזמן לכתחילה)</w:t>
      </w:r>
      <w:r>
        <w:rPr>
          <w:rFonts w:cs="Arial" w:hint="cs"/>
          <w:rtl/>
        </w:rPr>
        <w:t>.</w:t>
      </w:r>
      <w:r w:rsidRPr="00B87076">
        <w:rPr>
          <w:rFonts w:cs="Arial"/>
          <w:rtl/>
        </w:rPr>
        <w:t xml:space="preserve"> </w:t>
      </w:r>
    </w:p>
  </w:footnote>
  <w:footnote w:id="935">
    <w:p w14:paraId="2BEBDAA6" w14:textId="77777777" w:rsidR="004B2E7C" w:rsidRDefault="004B2E7C" w:rsidP="00285819">
      <w:pPr>
        <w:pStyle w:val="a7"/>
      </w:pPr>
      <w:r>
        <w:rPr>
          <w:rStyle w:val="a9"/>
        </w:rPr>
        <w:footnoteRef/>
      </w:r>
      <w:r>
        <w:rPr>
          <w:rtl/>
        </w:rPr>
        <w:t xml:space="preserve"> </w:t>
      </w:r>
      <w:r w:rsidRPr="00B56299">
        <w:rPr>
          <w:rFonts w:cs="Arial"/>
          <w:rtl/>
        </w:rPr>
        <w:t>והרא"ש שהיה נוהג ליטול קודם קידוש אפשר שלא היה נוהג כן בקביעות</w:t>
      </w:r>
      <w:r>
        <w:rPr>
          <w:rFonts w:cs="Arial" w:hint="cs"/>
          <w:rtl/>
        </w:rPr>
        <w:t>,</w:t>
      </w:r>
      <w:r w:rsidRPr="00B56299">
        <w:rPr>
          <w:rFonts w:cs="Arial"/>
          <w:rtl/>
        </w:rPr>
        <w:t xml:space="preserve"> אלא כי מיקרי ונוטל קודם קידוש היה מנהגו שמקדש על היין ולא היה חושש לסברת הרי"ף וסייעתו. וכך יש לפרש מה שכתוב בהגה</w:t>
      </w:r>
      <w:r>
        <w:rPr>
          <w:rFonts w:cs="Arial" w:hint="cs"/>
          <w:rtl/>
        </w:rPr>
        <w:t>"מ</w:t>
      </w:r>
      <w:r w:rsidRPr="00B56299">
        <w:rPr>
          <w:rFonts w:cs="Arial"/>
          <w:rtl/>
        </w:rPr>
        <w:t xml:space="preserve"> </w:t>
      </w:r>
      <w:r>
        <w:rPr>
          <w:rFonts w:cs="Arial" w:hint="cs"/>
          <w:rtl/>
        </w:rPr>
        <w:t>(</w:t>
      </w:r>
      <w:r w:rsidRPr="00B56299">
        <w:rPr>
          <w:rFonts w:cs="Arial"/>
          <w:rtl/>
        </w:rPr>
        <w:t>פכ"ט אות ק) שנוהגים עתה ליטול ידים קודם קידוש כדברי רשב"ם והתוספות</w:t>
      </w:r>
      <w:r>
        <w:rPr>
          <w:rFonts w:cs="Arial" w:hint="cs"/>
          <w:rtl/>
        </w:rPr>
        <w:t>.</w:t>
      </w:r>
      <w:r w:rsidRPr="00B56299">
        <w:rPr>
          <w:rFonts w:cs="Arial"/>
          <w:rtl/>
        </w:rPr>
        <w:t xml:space="preserve"> דלאו למימרא שלעולם נוטלין ידיהם קודם</w:t>
      </w:r>
      <w:r>
        <w:rPr>
          <w:rFonts w:cs="Arial" w:hint="cs"/>
          <w:rtl/>
        </w:rPr>
        <w:t>,</w:t>
      </w:r>
      <w:r w:rsidRPr="00B56299">
        <w:rPr>
          <w:rFonts w:cs="Arial"/>
          <w:rtl/>
        </w:rPr>
        <w:t xml:space="preserve"> אלא דכי מיקרי ונוטלין קודם לא מימנעי מלקדש על היין</w:t>
      </w:r>
      <w:r>
        <w:rPr>
          <w:rFonts w:cs="Arial" w:hint="cs"/>
          <w:rtl/>
        </w:rPr>
        <w:t>.</w:t>
      </w:r>
      <w:r w:rsidRPr="00B56299">
        <w:rPr>
          <w:rFonts w:cs="Arial"/>
          <w:rtl/>
        </w:rPr>
        <w:t xml:space="preserve"> דאל</w:t>
      </w:r>
      <w:r>
        <w:rPr>
          <w:rFonts w:cs="Arial" w:hint="cs"/>
          <w:rtl/>
        </w:rPr>
        <w:t>"</w:t>
      </w:r>
      <w:r w:rsidRPr="00B56299">
        <w:rPr>
          <w:rFonts w:cs="Arial"/>
          <w:rtl/>
        </w:rPr>
        <w:t>כ היאך כתבו שנוהגים כרשב"ם</w:t>
      </w:r>
      <w:r>
        <w:rPr>
          <w:rFonts w:cs="Arial" w:hint="cs"/>
          <w:rtl/>
        </w:rPr>
        <w:t>,</w:t>
      </w:r>
      <w:r w:rsidRPr="00B56299">
        <w:rPr>
          <w:rFonts w:cs="Arial"/>
          <w:rtl/>
        </w:rPr>
        <w:t xml:space="preserve"> דהא רשב"ם כתב דטוב לקדש קודם נטילה</w:t>
      </w:r>
      <w:r>
        <w:rPr>
          <w:rFonts w:cs="Arial" w:hint="cs"/>
          <w:rtl/>
        </w:rPr>
        <w:t>.</w:t>
      </w:r>
      <w:r w:rsidRPr="00B56299">
        <w:rPr>
          <w:rFonts w:cs="Arial"/>
          <w:rtl/>
        </w:rPr>
        <w:t xml:space="preserve"> וכן מצאתי להרשב"א שכתב בתשובה (ח"א סי' תשנב) וז"ל דהא דאמר רב ברונא נטל ידיו לא יקדש הוא מפני שנראה כמזלזל בקידוש</w:t>
      </w:r>
      <w:r>
        <w:rPr>
          <w:rFonts w:cs="Arial" w:hint="cs"/>
          <w:rtl/>
        </w:rPr>
        <w:t>,</w:t>
      </w:r>
      <w:r w:rsidRPr="00B56299">
        <w:rPr>
          <w:rFonts w:cs="Arial"/>
          <w:rtl/>
        </w:rPr>
        <w:t xml:space="preserve"> שאילו היה בדעתו לקדש על היין לא היה לו ליטול שתי ידיו</w:t>
      </w:r>
      <w:r>
        <w:rPr>
          <w:rFonts w:cs="Arial" w:hint="cs"/>
          <w:rtl/>
        </w:rPr>
        <w:t>.</w:t>
      </w:r>
      <w:r w:rsidRPr="00B56299">
        <w:rPr>
          <w:rFonts w:cs="Arial"/>
          <w:rtl/>
        </w:rPr>
        <w:t xml:space="preserve"> אבל לאחר שאמרו דרב זימנין דחביבא ליה ריפתא מקדש אריפתא אין זה כמזלזל בקידוש</w:t>
      </w:r>
      <w:r>
        <w:rPr>
          <w:rFonts w:cs="Arial" w:hint="cs"/>
          <w:rtl/>
        </w:rPr>
        <w:t>,</w:t>
      </w:r>
      <w:r w:rsidRPr="00B56299">
        <w:rPr>
          <w:rFonts w:cs="Arial"/>
          <w:rtl/>
        </w:rPr>
        <w:t xml:space="preserve"> דאלמא דעתו היה לקדש על הפת לפי שהוא תאב לאכול יותר מלשתות ולפיכך מקדש בין אריפתא בין אחמרא</w:t>
      </w:r>
      <w:r>
        <w:rPr>
          <w:rFonts w:cs="Arial" w:hint="cs"/>
          <w:rtl/>
        </w:rPr>
        <w:t>.</w:t>
      </w:r>
      <w:r w:rsidRPr="00B56299">
        <w:rPr>
          <w:rFonts w:cs="Arial"/>
          <w:rtl/>
        </w:rPr>
        <w:t xml:space="preserve"> ועל כן נהגו הכל עכשיו ליטול ידיהם קודם קידוש</w:t>
      </w:r>
      <w:r>
        <w:rPr>
          <w:rFonts w:cs="Arial" w:hint="cs"/>
          <w:rtl/>
        </w:rPr>
        <w:t>,</w:t>
      </w:r>
      <w:r w:rsidRPr="00B56299">
        <w:rPr>
          <w:rFonts w:cs="Arial"/>
          <w:rtl/>
        </w:rPr>
        <w:t xml:space="preserve"> ואין אדם נמנע בכך אלא בערבי פסחים</w:t>
      </w:r>
      <w:r>
        <w:rPr>
          <w:rFonts w:cs="Arial" w:hint="cs"/>
          <w:rtl/>
        </w:rPr>
        <w:t>.</w:t>
      </w:r>
      <w:r w:rsidRPr="00B56299">
        <w:rPr>
          <w:rFonts w:cs="Arial"/>
          <w:rtl/>
        </w:rPr>
        <w:t xml:space="preserve"> ואומר אני שהטעם בערב פסח מפני שאי אפשר לו בפת דבכוס ראשון אומר עליו קידוש היום עכ"ל</w:t>
      </w:r>
      <w:r>
        <w:rPr>
          <w:rFonts w:cs="Arial" w:hint="cs"/>
          <w:rtl/>
        </w:rPr>
        <w:t>.</w:t>
      </w:r>
      <w:r w:rsidRPr="00B56299">
        <w:rPr>
          <w:rFonts w:cs="Arial"/>
          <w:rtl/>
        </w:rPr>
        <w:t xml:space="preserve"> הרי שאע"פ שכתב שנהגו עכשיו ליטול ידיהם קודם קידוש כתב ואין אדם נמנע בכך דמשמע דלא נהגו כן בקביעות אלא דלפעמים נוטלין ואח</w:t>
      </w:r>
      <w:r>
        <w:rPr>
          <w:rFonts w:cs="Arial" w:hint="cs"/>
          <w:rtl/>
        </w:rPr>
        <w:t>"</w:t>
      </w:r>
      <w:r w:rsidRPr="00B56299">
        <w:rPr>
          <w:rFonts w:cs="Arial"/>
          <w:rtl/>
        </w:rPr>
        <w:t>כ מקדשין</w:t>
      </w:r>
      <w:r>
        <w:rPr>
          <w:rFonts w:cs="Arial" w:hint="cs"/>
          <w:rtl/>
        </w:rPr>
        <w:t>.</w:t>
      </w:r>
      <w:r w:rsidRPr="00B56299">
        <w:rPr>
          <w:rFonts w:cs="Arial"/>
          <w:rtl/>
        </w:rPr>
        <w:t xml:space="preserve"> ואפילו אם תמצא לומר שלעולם היה נוהג הרא"ש ליטול ידיו קודם קידוש</w:t>
      </w:r>
      <w:r>
        <w:rPr>
          <w:rFonts w:cs="Arial" w:hint="cs"/>
          <w:rtl/>
        </w:rPr>
        <w:t>,</w:t>
      </w:r>
      <w:r w:rsidRPr="00B56299">
        <w:rPr>
          <w:rFonts w:cs="Arial"/>
          <w:rtl/>
        </w:rPr>
        <w:t xml:space="preserve"> איכא למימר דלאפוקי מבני דורו שהיו נוהגים דכי נטלי ידיהו קודם קידוש לא מקדשי על היין הוא דעבד הכי</w:t>
      </w:r>
      <w:r>
        <w:rPr>
          <w:rFonts w:cs="Arial" w:hint="cs"/>
          <w:rtl/>
        </w:rPr>
        <w:t>.</w:t>
      </w:r>
      <w:r w:rsidRPr="00B56299">
        <w:rPr>
          <w:rFonts w:cs="Arial"/>
          <w:rtl/>
        </w:rPr>
        <w:t xml:space="preserve"> אבל לא לקבוע כן הלכה לדורות שלעולם יטלו ידיהם קודם קידוש</w:t>
      </w:r>
      <w:r>
        <w:rPr>
          <w:rFonts w:cs="Arial" w:hint="cs"/>
          <w:rtl/>
        </w:rPr>
        <w:t>, ב"י.</w:t>
      </w:r>
    </w:p>
  </w:footnote>
  <w:footnote w:id="936">
    <w:p w14:paraId="122FE242" w14:textId="77777777" w:rsidR="004B2E7C" w:rsidRDefault="004B2E7C" w:rsidP="00285819">
      <w:pPr>
        <w:pStyle w:val="a7"/>
      </w:pPr>
      <w:r>
        <w:rPr>
          <w:rStyle w:val="a9"/>
        </w:rPr>
        <w:footnoteRef/>
      </w:r>
      <w:r>
        <w:rPr>
          <w:rtl/>
        </w:rPr>
        <w:t xml:space="preserve"> </w:t>
      </w:r>
      <w:r>
        <w:rPr>
          <w:rFonts w:cs="Arial" w:hint="cs"/>
          <w:rtl/>
        </w:rPr>
        <w:t>ו</w:t>
      </w:r>
      <w:r w:rsidRPr="00AD42FE">
        <w:rPr>
          <w:rFonts w:cs="Arial"/>
          <w:rtl/>
        </w:rPr>
        <w:t>מימי לא ראיתי מי שקידש קודם נטילה</w:t>
      </w:r>
      <w:r>
        <w:rPr>
          <w:rFonts w:cs="Arial" w:hint="cs"/>
          <w:rtl/>
        </w:rPr>
        <w:t>,</w:t>
      </w:r>
      <w:r w:rsidRPr="00AD42FE">
        <w:rPr>
          <w:rFonts w:cs="Arial"/>
          <w:rtl/>
        </w:rPr>
        <w:t xml:space="preserve"> חוץ מלילי פסחים שנהגו לקדש קודם נטילה</w:t>
      </w:r>
      <w:r>
        <w:rPr>
          <w:rFonts w:cs="Arial" w:hint="cs"/>
          <w:rtl/>
        </w:rPr>
        <w:t>.</w:t>
      </w:r>
      <w:r w:rsidRPr="00AD42FE">
        <w:rPr>
          <w:rFonts w:cs="Arial"/>
          <w:rtl/>
        </w:rPr>
        <w:t xml:space="preserve"> וכ</w:t>
      </w:r>
      <w:r>
        <w:rPr>
          <w:rFonts w:cs="Arial" w:hint="cs"/>
          <w:rtl/>
        </w:rPr>
        <w:t>"</w:t>
      </w:r>
      <w:r w:rsidRPr="00AD42FE">
        <w:rPr>
          <w:rFonts w:cs="Arial"/>
          <w:rtl/>
        </w:rPr>
        <w:t>כ הרשב"א בתשובה (ח"א סי' תשנב) והמרדכי ריש ערבי פסחים (לג ע"א הסדר בקצרה)</w:t>
      </w:r>
      <w:r>
        <w:rPr>
          <w:rFonts w:cs="Arial" w:hint="cs"/>
          <w:rtl/>
        </w:rPr>
        <w:t>.</w:t>
      </w:r>
      <w:r w:rsidRPr="00AD42FE">
        <w:rPr>
          <w:rFonts w:cs="Arial"/>
          <w:rtl/>
        </w:rPr>
        <w:t xml:space="preserve"> וכתב (שם לז ע"ב) שאפילו למאן דאמר מקדש ואחר כך נוטל ידיו היינו דוקא המקדש אבל שאר המסובים נוטלים ידיהם קודם. ועיין לקמן סימן רפ"ט מדינים אלו</w:t>
      </w:r>
      <w:r>
        <w:rPr>
          <w:rFonts w:cs="Arial" w:hint="cs"/>
          <w:rtl/>
        </w:rPr>
        <w:t>,</w:t>
      </w:r>
      <w:r w:rsidRPr="00B3055C">
        <w:rPr>
          <w:rFonts w:cs="Arial" w:hint="cs"/>
          <w:rtl/>
        </w:rPr>
        <w:t xml:space="preserve"> דרכ"מ </w:t>
      </w:r>
      <w:r w:rsidRPr="00B3055C">
        <w:rPr>
          <w:rFonts w:cs="Arial"/>
          <w:rtl/>
        </w:rPr>
        <w:t>(</w:t>
      </w:r>
      <w:r w:rsidRPr="00B3055C">
        <w:rPr>
          <w:rFonts w:cs="Arial" w:hint="cs"/>
          <w:rtl/>
        </w:rPr>
        <w:t>או</w:t>
      </w:r>
      <w:r>
        <w:rPr>
          <w:rFonts w:cs="Arial" w:hint="cs"/>
          <w:rtl/>
        </w:rPr>
        <w:t xml:space="preserve">ת </w:t>
      </w:r>
      <w:r w:rsidRPr="00AD42FE">
        <w:rPr>
          <w:rFonts w:cs="Arial"/>
          <w:rtl/>
        </w:rPr>
        <w:t>יא)</w:t>
      </w:r>
      <w:r>
        <w:rPr>
          <w:rFonts w:cs="Arial" w:hint="cs"/>
          <w:rtl/>
        </w:rPr>
        <w:t>.</w:t>
      </w:r>
    </w:p>
  </w:footnote>
  <w:footnote w:id="937">
    <w:p w14:paraId="5207AA2F" w14:textId="77777777" w:rsidR="004B2E7C" w:rsidRDefault="004B2E7C" w:rsidP="00285819">
      <w:pPr>
        <w:pStyle w:val="a7"/>
      </w:pPr>
      <w:r>
        <w:rPr>
          <w:rStyle w:val="a9"/>
        </w:rPr>
        <w:footnoteRef/>
      </w:r>
      <w:r>
        <w:rPr>
          <w:rtl/>
        </w:rPr>
        <w:t xml:space="preserve"> </w:t>
      </w:r>
      <w:r w:rsidRPr="00106EBC">
        <w:rPr>
          <w:rFonts w:cs="Arial"/>
          <w:rtl/>
        </w:rPr>
        <w:t>ולא קודם כדי שלא יפסיק בהקידוש בין נט"י להמוציא אבל בני ביתו שאינם מקדשין בעצמן אלא יוצאין בשמיעתן מבעה"ב יוכלו ליטול ידיהם קודם</w:t>
      </w:r>
      <w:r>
        <w:rPr>
          <w:rFonts w:cs="Arial" w:hint="cs"/>
          <w:rtl/>
        </w:rPr>
        <w:t>, משנ"ב (סקנ"ח)</w:t>
      </w:r>
    </w:p>
  </w:footnote>
  <w:footnote w:id="938">
    <w:p w14:paraId="0B18AD5C" w14:textId="77777777" w:rsidR="004B2E7C" w:rsidRDefault="004B2E7C" w:rsidP="00285819">
      <w:pPr>
        <w:pStyle w:val="a7"/>
        <w:rPr>
          <w:rtl/>
        </w:rPr>
      </w:pPr>
      <w:r>
        <w:rPr>
          <w:rStyle w:val="a9"/>
        </w:rPr>
        <w:footnoteRef/>
      </w:r>
      <w:r>
        <w:rPr>
          <w:rtl/>
        </w:rPr>
        <w:t xml:space="preserve"> </w:t>
      </w:r>
      <w:r w:rsidRPr="00106EBC">
        <w:rPr>
          <w:rFonts w:cs="Arial"/>
          <w:rtl/>
        </w:rPr>
        <w:t>דס"ל דאין הקידוש מקרי הפסק כיון שהוא צורך סעודה ולכך יקדש על היין וישתה הכוס ואח"כ יברך המוציא ויבצע הפת וכיון דאינו הפסק ס"ל לרמ"א דטוב לנהוג כן לכתחלה משום דכשאין לו יין ומקדש על הפת בע"כ צריך ליטול ידיו קודם הקידוש וע"כ טוב לנהוג כן תמיד באופן אחד. ולמזוג את הכוס בחמין אחר הנטילה קודם המוציא ודאי אין לעשות כן לכו"ע כיון דצריך לדקדק יפה שימזוג כדרכו שלא יחסר ושלא יותיר הוי היסח הדעת</w:t>
      </w:r>
      <w:r>
        <w:rPr>
          <w:rFonts w:hint="cs"/>
          <w:rtl/>
        </w:rPr>
        <w:t>, משנ"ב (ס"ק סא).</w:t>
      </w:r>
    </w:p>
  </w:footnote>
  <w:footnote w:id="939">
    <w:p w14:paraId="4CBF658F" w14:textId="77777777" w:rsidR="004B2E7C" w:rsidRDefault="004B2E7C" w:rsidP="00285819">
      <w:pPr>
        <w:pStyle w:val="a7"/>
      </w:pPr>
      <w:r>
        <w:rPr>
          <w:rStyle w:val="a9"/>
        </w:rPr>
        <w:footnoteRef/>
      </w:r>
      <w:r>
        <w:rPr>
          <w:rtl/>
        </w:rPr>
        <w:t xml:space="preserve"> </w:t>
      </w:r>
      <w:r w:rsidRPr="00F11129">
        <w:rPr>
          <w:rFonts w:cs="Arial"/>
          <w:rtl/>
        </w:rPr>
        <w:t>וכמה אחרונים כתבו דטפי עדיף לכתחלה לקדש על היין קודם נט"י וכדעת המחבר דבזה יוצא מדינא לכל הדעות ובכמה מקומות נהגו כדבריהם מיהו אם כבר נטל ידיו קודם קידוש בזה יש לעשות כהרמ"א דאעפ"כ יקדש על יין</w:t>
      </w:r>
      <w:r>
        <w:rPr>
          <w:rFonts w:cs="Arial" w:hint="cs"/>
          <w:rtl/>
        </w:rPr>
        <w:t>, משנ"ב (ס"ק סב).</w:t>
      </w:r>
    </w:p>
  </w:footnote>
  <w:footnote w:id="940">
    <w:p w14:paraId="65A7EF32" w14:textId="77777777" w:rsidR="004B2E7C" w:rsidRDefault="004B2E7C" w:rsidP="00285819">
      <w:pPr>
        <w:pStyle w:val="a7"/>
      </w:pPr>
      <w:r>
        <w:rPr>
          <w:rStyle w:val="a9"/>
        </w:rPr>
        <w:footnoteRef/>
      </w:r>
      <w:r>
        <w:rPr>
          <w:rtl/>
        </w:rPr>
        <w:t xml:space="preserve"> </w:t>
      </w:r>
      <w:r w:rsidRPr="00B02631">
        <w:rPr>
          <w:rFonts w:cs="Arial"/>
          <w:rtl/>
        </w:rPr>
        <w:t>דאי לא טעים ליה - ליבריך עליה תרי זימני</w:t>
      </w:r>
      <w:r>
        <w:rPr>
          <w:rFonts w:cs="Arial" w:hint="cs"/>
          <w:rtl/>
        </w:rPr>
        <w:t>, רש"י.</w:t>
      </w:r>
    </w:p>
  </w:footnote>
  <w:footnote w:id="941">
    <w:p w14:paraId="76903F9B" w14:textId="77777777" w:rsidR="004B2E7C" w:rsidRDefault="004B2E7C" w:rsidP="00285819">
      <w:pPr>
        <w:pStyle w:val="a7"/>
      </w:pPr>
      <w:r>
        <w:rPr>
          <w:rStyle w:val="a9"/>
        </w:rPr>
        <w:footnoteRef/>
      </w:r>
      <w:r>
        <w:rPr>
          <w:rtl/>
        </w:rPr>
        <w:t xml:space="preserve"> </w:t>
      </w:r>
      <w:r w:rsidRPr="00F11129">
        <w:rPr>
          <w:rFonts w:cs="Arial"/>
          <w:rtl/>
        </w:rPr>
        <w:t>אותה טעימה שאמרו: המברך צריך שיטעום - בכל שהוא</w:t>
      </w:r>
      <w:r>
        <w:rPr>
          <w:rFonts w:cs="Arial" w:hint="cs"/>
          <w:rtl/>
        </w:rPr>
        <w:t>, רש"י.</w:t>
      </w:r>
    </w:p>
  </w:footnote>
  <w:footnote w:id="942">
    <w:p w14:paraId="16E51379" w14:textId="77777777" w:rsidR="004B2E7C" w:rsidRDefault="004B2E7C" w:rsidP="00285819">
      <w:pPr>
        <w:pStyle w:val="a7"/>
        <w:rPr>
          <w:rtl/>
        </w:rPr>
      </w:pPr>
      <w:r>
        <w:rPr>
          <w:rStyle w:val="a9"/>
        </w:rPr>
        <w:footnoteRef/>
      </w:r>
      <w:r>
        <w:rPr>
          <w:rtl/>
        </w:rPr>
        <w:t xml:space="preserve"> </w:t>
      </w:r>
      <w:r w:rsidRPr="00A90865">
        <w:rPr>
          <w:rFonts w:cs="Arial"/>
          <w:rtl/>
        </w:rPr>
        <w:t xml:space="preserve">ותדע דגבי מברך קתני </w:t>
      </w:r>
      <w:r w:rsidRPr="00A90865">
        <w:rPr>
          <w:rFonts w:cs="Arial"/>
          <w:sz w:val="16"/>
          <w:szCs w:val="16"/>
          <w:rtl/>
        </w:rPr>
        <w:t xml:space="preserve">(פסחים קז.) </w:t>
      </w:r>
      <w:r w:rsidRPr="00A90865">
        <w:rPr>
          <w:rFonts w:cs="Arial"/>
          <w:rtl/>
        </w:rPr>
        <w:t>אם טעם מלא לוגמיו</w:t>
      </w:r>
      <w:r w:rsidRPr="00A90865">
        <w:rPr>
          <w:rFonts w:cs="Arial" w:hint="cs"/>
          <w:rtl/>
        </w:rPr>
        <w:t>.</w:t>
      </w:r>
      <w:r w:rsidRPr="00A90865">
        <w:rPr>
          <w:rFonts w:cs="Arial"/>
          <w:rtl/>
        </w:rPr>
        <w:t xml:space="preserve"> וגבי יום הכיפורים קתני </w:t>
      </w:r>
      <w:r w:rsidRPr="00A90865">
        <w:rPr>
          <w:rFonts w:cs="Arial"/>
          <w:sz w:val="16"/>
          <w:szCs w:val="16"/>
          <w:rtl/>
        </w:rPr>
        <w:t xml:space="preserve">(יומא עג:) </w:t>
      </w:r>
      <w:r w:rsidRPr="00A90865">
        <w:rPr>
          <w:rFonts w:cs="Arial"/>
          <w:rtl/>
        </w:rPr>
        <w:t xml:space="preserve">השותה מלא לוגמיו. ותו דרביעית הוא שיעור קידוש וכוס של ברכה, ומלא לוגמא גדול מרביעית, כדמוכח בפרק יום הכיפורים </w:t>
      </w:r>
      <w:r w:rsidRPr="00A90865">
        <w:rPr>
          <w:rFonts w:cs="Arial"/>
          <w:sz w:val="16"/>
          <w:szCs w:val="16"/>
          <w:rtl/>
        </w:rPr>
        <w:t xml:space="preserve">(יומא פ.) </w:t>
      </w:r>
      <w:r w:rsidRPr="00A90865">
        <w:rPr>
          <w:rFonts w:cs="Arial"/>
          <w:rtl/>
        </w:rPr>
        <w:t xml:space="preserve">בפלוגתא דבית הלל ובית שמאי, והאיך יתכן שישתה מלא לוגמא, אלא על כרחך טעים הוא דבר מועט. וטעם מלא לוגמא נהנה, כדאמרינן במסכת סוכה </w:t>
      </w:r>
      <w:r w:rsidRPr="00A90865">
        <w:rPr>
          <w:rFonts w:cs="Arial"/>
          <w:sz w:val="16"/>
          <w:szCs w:val="16"/>
          <w:rtl/>
        </w:rPr>
        <w:t xml:space="preserve">(מט:) </w:t>
      </w:r>
      <w:r w:rsidRPr="00A90865">
        <w:rPr>
          <w:rFonts w:cs="Arial"/>
          <w:rtl/>
        </w:rPr>
        <w:t xml:space="preserve">גבי פוקקין את השיתין </w:t>
      </w:r>
      <w:r w:rsidRPr="00A90865">
        <w:rPr>
          <w:rFonts w:cs="Arial" w:hint="cs"/>
          <w:sz w:val="16"/>
          <w:szCs w:val="16"/>
          <w:rtl/>
        </w:rPr>
        <w:t>(</w:t>
      </w:r>
      <w:r w:rsidRPr="00A90865">
        <w:rPr>
          <w:rFonts w:cs="Arial"/>
          <w:sz w:val="16"/>
          <w:szCs w:val="16"/>
          <w:rtl/>
        </w:rPr>
        <w:t>במדבר כח ז</w:t>
      </w:r>
      <w:r w:rsidRPr="00A90865">
        <w:rPr>
          <w:rFonts w:cs="Arial" w:hint="cs"/>
          <w:sz w:val="16"/>
          <w:szCs w:val="16"/>
          <w:rtl/>
        </w:rPr>
        <w:t>)</w:t>
      </w:r>
      <w:r w:rsidRPr="00A90865">
        <w:rPr>
          <w:rFonts w:cs="Arial"/>
          <w:sz w:val="16"/>
          <w:szCs w:val="16"/>
          <w:rtl/>
        </w:rPr>
        <w:t xml:space="preserve"> </w:t>
      </w:r>
      <w:r w:rsidRPr="00A90865">
        <w:rPr>
          <w:rFonts w:cs="Arial"/>
          <w:rtl/>
        </w:rPr>
        <w:t>נסך שכר</w:t>
      </w:r>
      <w:r w:rsidRPr="00A90865">
        <w:rPr>
          <w:rFonts w:cs="Arial" w:hint="cs"/>
          <w:rtl/>
        </w:rPr>
        <w:t>,</w:t>
      </w:r>
      <w:r w:rsidRPr="00A90865">
        <w:rPr>
          <w:rFonts w:cs="Arial"/>
          <w:rtl/>
        </w:rPr>
        <w:t xml:space="preserve"> אמר רבא שמע מינה כי שבע אינש חמרא מגרוניה שבע</w:t>
      </w:r>
      <w:r w:rsidRPr="00A90865">
        <w:rPr>
          <w:rFonts w:cs="Arial" w:hint="cs"/>
          <w:rtl/>
        </w:rPr>
        <w:t>.</w:t>
      </w:r>
      <w:r w:rsidRPr="00A90865">
        <w:rPr>
          <w:rFonts w:cs="Arial"/>
          <w:rtl/>
        </w:rPr>
        <w:t xml:space="preserve"> ואמרינן צורבא מרבנן דלא נפיש ליה חמרא ליגמע גמועיה. ומיהו לאו ראיה ברורה היא מהכא, דאיכא למימר שהיה בולע כל הרביעית, אבל מלשון טעם ראיה היא, דלא נקט שתה</w:t>
      </w:r>
      <w:r>
        <w:rPr>
          <w:rFonts w:cs="Arial" w:hint="cs"/>
          <w:rtl/>
        </w:rPr>
        <w:t xml:space="preserve">, ראבי"ה (שם). וכתב הב"י- </w:t>
      </w:r>
      <w:r w:rsidRPr="00153B20">
        <w:rPr>
          <w:rFonts w:cs="Arial"/>
          <w:rtl/>
        </w:rPr>
        <w:t>ואין בדברים אלו כדאי לדחות דבריהם</w:t>
      </w:r>
      <w:r>
        <w:rPr>
          <w:rFonts w:hint="cs"/>
          <w:rtl/>
        </w:rPr>
        <w:t xml:space="preserve"> </w:t>
      </w:r>
      <w:r>
        <w:rPr>
          <w:rFonts w:hint="cs"/>
          <w:sz w:val="14"/>
          <w:szCs w:val="14"/>
          <w:rtl/>
        </w:rPr>
        <w:t>{של הטור הרא"ש ועוד המובאים בסעיף הבא}</w:t>
      </w:r>
      <w:r>
        <w:rPr>
          <w:rFonts w:hint="cs"/>
          <w:rtl/>
        </w:rPr>
        <w:t>.</w:t>
      </w:r>
    </w:p>
  </w:footnote>
  <w:footnote w:id="943">
    <w:p w14:paraId="6D28CDAA" w14:textId="77777777" w:rsidR="004B2E7C" w:rsidRDefault="004B2E7C" w:rsidP="00285819">
      <w:pPr>
        <w:pStyle w:val="a7"/>
        <w:rPr>
          <w:rtl/>
        </w:rPr>
      </w:pPr>
      <w:r>
        <w:rPr>
          <w:rStyle w:val="a9"/>
        </w:rPr>
        <w:footnoteRef/>
      </w:r>
      <w:r>
        <w:rPr>
          <w:rtl/>
        </w:rPr>
        <w:t xml:space="preserve"> </w:t>
      </w:r>
      <w:r w:rsidRPr="006736A8">
        <w:rPr>
          <w:rFonts w:cs="Arial"/>
          <w:rtl/>
        </w:rPr>
        <w:t>היינו באדם בינוני מחזיק שיעורו כך</w:t>
      </w:r>
      <w:r>
        <w:rPr>
          <w:rFonts w:cs="Arial" w:hint="cs"/>
          <w:rtl/>
        </w:rPr>
        <w:t>.</w:t>
      </w:r>
      <w:r w:rsidRPr="006736A8">
        <w:rPr>
          <w:rFonts w:cs="Arial"/>
          <w:rtl/>
        </w:rPr>
        <w:t xml:space="preserve"> אבל באדם גדול ביותר משערינן כמלא לוגמיו דידיה לפי גדלו</w:t>
      </w:r>
      <w:r>
        <w:rPr>
          <w:rFonts w:cs="Arial" w:hint="cs"/>
          <w:rtl/>
        </w:rPr>
        <w:t>.</w:t>
      </w:r>
      <w:r w:rsidRPr="006736A8">
        <w:rPr>
          <w:rFonts w:cs="Arial"/>
          <w:rtl/>
        </w:rPr>
        <w:t xml:space="preserve"> ומ"מ לא בעי לשתות טפי מרביעית. ודע דשיעור רביעית הוא כמעט מלא שתי קליפות מביצה בינונית של תרנגולת והוא שיעור ביצה ומחצה עם הקליפה דלוג הוא ששה ביצים כדאיתא בגמרא</w:t>
      </w:r>
      <w:r>
        <w:rPr>
          <w:rFonts w:cs="Arial" w:hint="cs"/>
          <w:rtl/>
        </w:rPr>
        <w:t>.</w:t>
      </w:r>
      <w:r w:rsidRPr="006736A8">
        <w:rPr>
          <w:rFonts w:cs="Arial"/>
          <w:rtl/>
        </w:rPr>
        <w:t xml:space="preserve"> וממילא רביעית הלוג הוא ביצה וחצי [מ"א ופמ"ג בסי' ר"י ובח"י הלכות פסח וש"א]</w:t>
      </w:r>
      <w:r>
        <w:rPr>
          <w:rFonts w:cs="Arial" w:hint="cs"/>
          <w:rtl/>
        </w:rPr>
        <w:t>.</w:t>
      </w:r>
      <w:r w:rsidRPr="006736A8">
        <w:rPr>
          <w:rFonts w:cs="Arial"/>
          <w:rtl/>
        </w:rPr>
        <w:t xml:space="preserve"> ויש מחמירין מאד בענין השיעורין והוכיחו דהביצים נתקטנו בזמנינו למחצית ממה שהיה בימי הגמרא</w:t>
      </w:r>
      <w:r>
        <w:rPr>
          <w:rFonts w:cs="Arial" w:hint="cs"/>
          <w:rtl/>
        </w:rPr>
        <w:t>,</w:t>
      </w:r>
      <w:r w:rsidRPr="006736A8">
        <w:rPr>
          <w:rFonts w:cs="Arial"/>
          <w:rtl/>
        </w:rPr>
        <w:t xml:space="preserve"> וע"כ שיעור רביעית הוא בכפלים</w:t>
      </w:r>
      <w:r>
        <w:rPr>
          <w:rFonts w:cs="Arial" w:hint="cs"/>
          <w:rtl/>
        </w:rPr>
        <w:t>.</w:t>
      </w:r>
      <w:r w:rsidRPr="006736A8">
        <w:rPr>
          <w:rFonts w:cs="Arial"/>
          <w:rtl/>
        </w:rPr>
        <w:t xml:space="preserve"> וכן נ"מ מזה לענין כזית מצה דהוא כחצי ביצה כמבואר בסי' תפ"ו</w:t>
      </w:r>
      <w:r>
        <w:rPr>
          <w:rFonts w:cs="Arial" w:hint="cs"/>
          <w:rtl/>
        </w:rPr>
        <w:t>.</w:t>
      </w:r>
      <w:r w:rsidRPr="006736A8">
        <w:rPr>
          <w:rFonts w:cs="Arial"/>
          <w:rtl/>
        </w:rPr>
        <w:t xml:space="preserve"> ועיין בבה"ל מה שכתבנו בענין זה דנכון לחוש לדבריהם לענין קידוש של לילה</w:t>
      </w:r>
      <w:r>
        <w:rPr>
          <w:rFonts w:cs="Arial" w:hint="cs"/>
          <w:rtl/>
        </w:rPr>
        <w:t>.</w:t>
      </w:r>
      <w:r w:rsidRPr="006736A8">
        <w:rPr>
          <w:rFonts w:cs="Arial"/>
          <w:rtl/>
        </w:rPr>
        <w:t xml:space="preserve"> ועכ"פ יראה לכתחלה שיחזיק הכוס כשני ביצים</w:t>
      </w:r>
      <w:r>
        <w:rPr>
          <w:rFonts w:cs="Arial" w:hint="cs"/>
          <w:rtl/>
        </w:rPr>
        <w:t>,</w:t>
      </w:r>
      <w:r w:rsidRPr="006736A8">
        <w:rPr>
          <w:rFonts w:cs="Arial"/>
          <w:rtl/>
        </w:rPr>
        <w:t xml:space="preserve"> והשתיה אף שהכוס גדול די שישתה כמלא לוגמיו דידיה. ודע עוד דהשיעור של מלא לוגמיו צריך לשתות בלי הפסק הרבה בינתים</w:t>
      </w:r>
      <w:r>
        <w:rPr>
          <w:rFonts w:cs="Arial" w:hint="cs"/>
          <w:rtl/>
        </w:rPr>
        <w:t>,</w:t>
      </w:r>
      <w:r w:rsidRPr="006736A8">
        <w:rPr>
          <w:rFonts w:cs="Arial"/>
          <w:rtl/>
        </w:rPr>
        <w:t xml:space="preserve"> דהיינו שלא ישהה מתחלת שתיה ראשונה עד סוף שתיה אחרונה יותר מכדי שתיית רביעית</w:t>
      </w:r>
      <w:r>
        <w:rPr>
          <w:rFonts w:cs="Arial" w:hint="cs"/>
          <w:rtl/>
        </w:rPr>
        <w:t>,</w:t>
      </w:r>
      <w:r w:rsidRPr="006736A8">
        <w:rPr>
          <w:rFonts w:cs="Arial"/>
          <w:rtl/>
        </w:rPr>
        <w:t xml:space="preserve"> ועכ"פ לא יפסיק זמן רב כדי אכילת פרס</w:t>
      </w:r>
      <w:r>
        <w:rPr>
          <w:rFonts w:cs="Arial" w:hint="cs"/>
          <w:rtl/>
        </w:rPr>
        <w:t>.</w:t>
      </w:r>
      <w:r w:rsidRPr="006736A8">
        <w:rPr>
          <w:rFonts w:cs="Arial"/>
          <w:rtl/>
        </w:rPr>
        <w:t xml:space="preserve"> ואם הפסיק בכדי אכילת פרס אף בדיעבד לא יצא</w:t>
      </w:r>
      <w:r>
        <w:rPr>
          <w:rFonts w:cs="Arial" w:hint="cs"/>
          <w:rtl/>
        </w:rPr>
        <w:t>.</w:t>
      </w:r>
      <w:r w:rsidRPr="006736A8">
        <w:rPr>
          <w:rFonts w:cs="Arial"/>
          <w:rtl/>
        </w:rPr>
        <w:t xml:space="preserve"> וצריך ליזהר בזה כשמקדש בשחרית על יי"ש שאז מצוי להכשל בזה</w:t>
      </w:r>
      <w:r>
        <w:rPr>
          <w:rFonts w:hint="cs"/>
          <w:rtl/>
        </w:rPr>
        <w:t>, משנ"ב (ס"ק סח).</w:t>
      </w:r>
    </w:p>
  </w:footnote>
  <w:footnote w:id="944">
    <w:p w14:paraId="5166E240" w14:textId="77777777" w:rsidR="004B2E7C" w:rsidRDefault="004B2E7C" w:rsidP="00285819">
      <w:pPr>
        <w:pStyle w:val="a7"/>
      </w:pPr>
      <w:r>
        <w:rPr>
          <w:rStyle w:val="a9"/>
        </w:rPr>
        <w:footnoteRef/>
      </w:r>
      <w:r>
        <w:rPr>
          <w:rtl/>
        </w:rPr>
        <w:t xml:space="preserve"> </w:t>
      </w:r>
      <w:r>
        <w:rPr>
          <w:rFonts w:hint="cs"/>
          <w:rtl/>
        </w:rPr>
        <w:t>ל</w:t>
      </w:r>
      <w:r w:rsidRPr="002D65C5">
        <w:rPr>
          <w:rFonts w:cs="Arial"/>
          <w:rtl/>
        </w:rPr>
        <w:t>ר' יהודה בן ברזילי הנשיא אלברצלוני</w:t>
      </w:r>
      <w:r>
        <w:rPr>
          <w:rFonts w:cs="Arial" w:hint="cs"/>
          <w:rtl/>
        </w:rPr>
        <w:t>.</w:t>
      </w:r>
      <w:r w:rsidRPr="002D65C5">
        <w:rPr>
          <w:rFonts w:cs="Arial"/>
          <w:rtl/>
        </w:rPr>
        <w:t xml:space="preserve"> חי בספרד בעיר ברצלונה בסוף המאה הי"א ובמאה הי"ב.</w:t>
      </w:r>
    </w:p>
  </w:footnote>
  <w:footnote w:id="945">
    <w:p w14:paraId="730295E0" w14:textId="77777777" w:rsidR="004B2E7C" w:rsidRDefault="004B2E7C" w:rsidP="00285819">
      <w:pPr>
        <w:pStyle w:val="a7"/>
      </w:pPr>
      <w:r>
        <w:rPr>
          <w:rStyle w:val="a9"/>
        </w:rPr>
        <w:footnoteRef/>
      </w:r>
      <w:r>
        <w:rPr>
          <w:rtl/>
        </w:rPr>
        <w:t xml:space="preserve"> </w:t>
      </w:r>
      <w:r w:rsidRPr="003A3CB9">
        <w:rPr>
          <w:rFonts w:cs="Arial"/>
          <w:rtl/>
        </w:rPr>
        <w:t>כמלא לוגמיו</w:t>
      </w:r>
      <w:r>
        <w:rPr>
          <w:rFonts w:cs="Arial" w:hint="cs"/>
          <w:rtl/>
        </w:rPr>
        <w:t>, טור.</w:t>
      </w:r>
    </w:p>
  </w:footnote>
  <w:footnote w:id="946">
    <w:p w14:paraId="453CB068" w14:textId="77777777" w:rsidR="004B2E7C" w:rsidRDefault="004B2E7C" w:rsidP="00285819">
      <w:pPr>
        <w:pStyle w:val="a7"/>
      </w:pPr>
      <w:r>
        <w:rPr>
          <w:rStyle w:val="a9"/>
        </w:rPr>
        <w:footnoteRef/>
      </w:r>
      <w:r>
        <w:rPr>
          <w:rtl/>
        </w:rPr>
        <w:t xml:space="preserve"> </w:t>
      </w:r>
      <w:r w:rsidRPr="003A3CB9">
        <w:rPr>
          <w:rFonts w:cs="Arial"/>
          <w:rtl/>
        </w:rPr>
        <w:t>והא דמשמע בעירובין (מ</w:t>
      </w:r>
      <w:r>
        <w:rPr>
          <w:rFonts w:cs="Arial" w:hint="cs"/>
          <w:rtl/>
        </w:rPr>
        <w:t>:</w:t>
      </w:r>
      <w:r w:rsidRPr="003A3CB9">
        <w:rPr>
          <w:rFonts w:cs="Arial"/>
          <w:rtl/>
        </w:rPr>
        <w:t>) דסגי בטעימת אחר פירשו הגאונים היינו דוקא בשאר דברים שטעונין כוס</w:t>
      </w:r>
      <w:r>
        <w:rPr>
          <w:rFonts w:cs="Arial" w:hint="cs"/>
          <w:rtl/>
        </w:rPr>
        <w:t>,</w:t>
      </w:r>
      <w:r w:rsidRPr="003A3CB9">
        <w:rPr>
          <w:rFonts w:cs="Arial"/>
          <w:rtl/>
        </w:rPr>
        <w:t xml:space="preserve"> אבל בקידוש לא יצא אא"כ טעם המקדש</w:t>
      </w:r>
      <w:r>
        <w:rPr>
          <w:rFonts w:cs="Arial" w:hint="cs"/>
          <w:rtl/>
        </w:rPr>
        <w:t>, טור.</w:t>
      </w:r>
    </w:p>
  </w:footnote>
  <w:footnote w:id="947">
    <w:p w14:paraId="44484D56" w14:textId="77777777" w:rsidR="004B2E7C" w:rsidRDefault="004B2E7C" w:rsidP="00285819">
      <w:pPr>
        <w:pStyle w:val="a7"/>
      </w:pPr>
      <w:r>
        <w:rPr>
          <w:rStyle w:val="a9"/>
        </w:rPr>
        <w:footnoteRef/>
      </w:r>
      <w:r>
        <w:rPr>
          <w:rtl/>
        </w:rPr>
        <w:t xml:space="preserve"> </w:t>
      </w:r>
      <w:r>
        <w:rPr>
          <w:rFonts w:cs="Arial" w:hint="cs"/>
          <w:rtl/>
        </w:rPr>
        <w:t>וכ"כ ב</w:t>
      </w:r>
      <w:r w:rsidRPr="002D65C5">
        <w:rPr>
          <w:rFonts w:cs="Arial"/>
          <w:rtl/>
        </w:rPr>
        <w:t xml:space="preserve">ספר העיתים </w:t>
      </w:r>
      <w:r>
        <w:rPr>
          <w:rFonts w:cs="Arial" w:hint="cs"/>
          <w:sz w:val="16"/>
          <w:szCs w:val="16"/>
          <w:rtl/>
        </w:rPr>
        <w:t>(</w:t>
      </w:r>
      <w:r w:rsidRPr="002D65C5">
        <w:rPr>
          <w:rFonts w:cs="Arial"/>
          <w:sz w:val="16"/>
          <w:szCs w:val="16"/>
          <w:rtl/>
        </w:rPr>
        <w:t>סי</w:t>
      </w:r>
      <w:r>
        <w:rPr>
          <w:rFonts w:cs="Arial" w:hint="cs"/>
          <w:sz w:val="16"/>
          <w:szCs w:val="16"/>
          <w:rtl/>
        </w:rPr>
        <w:t>'</w:t>
      </w:r>
      <w:r w:rsidRPr="002D65C5">
        <w:rPr>
          <w:rFonts w:cs="Arial"/>
          <w:sz w:val="16"/>
          <w:szCs w:val="16"/>
          <w:rtl/>
        </w:rPr>
        <w:t xml:space="preserve"> קמב</w:t>
      </w:r>
      <w:r>
        <w:rPr>
          <w:rFonts w:cs="Arial" w:hint="cs"/>
          <w:sz w:val="16"/>
          <w:szCs w:val="16"/>
          <w:rtl/>
        </w:rPr>
        <w:t>)</w:t>
      </w:r>
      <w:r>
        <w:rPr>
          <w:rFonts w:cs="Arial" w:hint="cs"/>
          <w:rtl/>
        </w:rPr>
        <w:t xml:space="preserve">, וז"ל- </w:t>
      </w:r>
      <w:r w:rsidRPr="009911DA">
        <w:rPr>
          <w:rFonts w:cs="Arial"/>
          <w:rtl/>
        </w:rPr>
        <w:t>ובסדור מר רב סעדיה צריכין כל היושבין לטעום מן היין או מן הפת שקידש עליה</w:t>
      </w:r>
      <w:r>
        <w:rPr>
          <w:rFonts w:hint="cs"/>
          <w:rtl/>
        </w:rPr>
        <w:t>.</w:t>
      </w:r>
    </w:p>
  </w:footnote>
  <w:footnote w:id="948">
    <w:p w14:paraId="24CBC7FE" w14:textId="77777777" w:rsidR="004B2E7C" w:rsidRDefault="004B2E7C" w:rsidP="00285819">
      <w:pPr>
        <w:pStyle w:val="a7"/>
      </w:pPr>
      <w:r>
        <w:rPr>
          <w:rStyle w:val="a9"/>
        </w:rPr>
        <w:footnoteRef/>
      </w:r>
      <w:r>
        <w:rPr>
          <w:rtl/>
        </w:rPr>
        <w:t xml:space="preserve"> </w:t>
      </w:r>
      <w:r>
        <w:rPr>
          <w:rFonts w:cs="Arial"/>
          <w:rtl/>
        </w:rPr>
        <w:t xml:space="preserve">וכתב הרב המגיד </w:t>
      </w:r>
      <w:r>
        <w:rPr>
          <w:rFonts w:cs="Arial" w:hint="cs"/>
          <w:rtl/>
        </w:rPr>
        <w:t>(</w:t>
      </w:r>
      <w:r>
        <w:rPr>
          <w:rFonts w:cs="Arial"/>
          <w:rtl/>
        </w:rPr>
        <w:t>פכ"ט ה"ז) שמדברי הגאונים נראה שאין כל בני החבורה צריכין מלא לוגמיו</w:t>
      </w:r>
      <w:r>
        <w:rPr>
          <w:rFonts w:cs="Arial" w:hint="cs"/>
          <w:rtl/>
        </w:rPr>
        <w:t>, ב"י.</w:t>
      </w:r>
    </w:p>
  </w:footnote>
  <w:footnote w:id="949">
    <w:p w14:paraId="38C41665" w14:textId="77777777" w:rsidR="004B2E7C" w:rsidRDefault="004B2E7C" w:rsidP="00285819">
      <w:pPr>
        <w:pStyle w:val="a7"/>
      </w:pPr>
      <w:r>
        <w:rPr>
          <w:rStyle w:val="a9"/>
        </w:rPr>
        <w:footnoteRef/>
      </w:r>
      <w:r>
        <w:rPr>
          <w:rtl/>
        </w:rPr>
        <w:t xml:space="preserve"> </w:t>
      </w:r>
      <w:r w:rsidRPr="004B65B2">
        <w:rPr>
          <w:rFonts w:cs="Arial"/>
          <w:rtl/>
        </w:rPr>
        <w:t>דכיון שהמסובין שמעו מתחלה את הברכה והוא כוון עליהם להוציאן מהני טעימתן לכולם אבל אם שתה אחר שלא כוון עליו בברכה ואותו האחר בירך מחדש משמע שאין יוצאין בטעימתו ודינו כאלו נשפך הכוס לקמן</w:t>
      </w:r>
      <w:r>
        <w:rPr>
          <w:rFonts w:cs="Arial" w:hint="cs"/>
          <w:rtl/>
        </w:rPr>
        <w:t>, משנ"ב (ס"ק סט).</w:t>
      </w:r>
    </w:p>
  </w:footnote>
  <w:footnote w:id="950">
    <w:p w14:paraId="559BE03B" w14:textId="77777777" w:rsidR="004B2E7C" w:rsidRDefault="004B2E7C" w:rsidP="00285819">
      <w:pPr>
        <w:pStyle w:val="a7"/>
      </w:pPr>
      <w:r>
        <w:rPr>
          <w:rStyle w:val="a9"/>
        </w:rPr>
        <w:footnoteRef/>
      </w:r>
      <w:r>
        <w:rPr>
          <w:rtl/>
        </w:rPr>
        <w:t xml:space="preserve"> </w:t>
      </w:r>
      <w:r w:rsidRPr="00E7651A">
        <w:rPr>
          <w:rFonts w:cs="Arial"/>
          <w:rtl/>
        </w:rPr>
        <w:t>היינו בדיעבד</w:t>
      </w:r>
      <w:r>
        <w:rPr>
          <w:rFonts w:cs="Arial" w:hint="cs"/>
          <w:rtl/>
        </w:rPr>
        <w:t>,</w:t>
      </w:r>
      <w:r w:rsidRPr="00E7651A">
        <w:rPr>
          <w:rFonts w:cs="Arial"/>
          <w:rtl/>
        </w:rPr>
        <w:t xml:space="preserve"> אבל לכתחלה לכו"ע צריך שיטעום המקדש כשיעור [מ"א]</w:t>
      </w:r>
      <w:r>
        <w:rPr>
          <w:rFonts w:cs="Arial" w:hint="cs"/>
          <w:rtl/>
        </w:rPr>
        <w:t>, משנ"ב (סקע"ב).</w:t>
      </w:r>
    </w:p>
  </w:footnote>
  <w:footnote w:id="951">
    <w:p w14:paraId="57F61278" w14:textId="77777777" w:rsidR="004B2E7C" w:rsidRDefault="004B2E7C" w:rsidP="00285819">
      <w:pPr>
        <w:pStyle w:val="a7"/>
      </w:pPr>
      <w:r>
        <w:rPr>
          <w:rStyle w:val="a9"/>
        </w:rPr>
        <w:footnoteRef/>
      </w:r>
      <w:r>
        <w:rPr>
          <w:rtl/>
        </w:rPr>
        <w:t xml:space="preserve"> </w:t>
      </w:r>
      <w:r w:rsidRPr="00E7651A">
        <w:rPr>
          <w:rFonts w:cs="Arial"/>
          <w:rtl/>
        </w:rPr>
        <w:t>היינו ליזהר לכתחלה ובדיעבד הסכימו הרבה אחרונים דאפילו שתיית כל המסובין מצטרפין למלא לוגמיו אך שלא ישהה ע"י שתיית כולם יותר מכדי אכילת פרס</w:t>
      </w:r>
      <w:r>
        <w:rPr>
          <w:rFonts w:cs="Arial" w:hint="cs"/>
          <w:rtl/>
        </w:rPr>
        <w:t>, משנ"ב (סקע"ג).</w:t>
      </w:r>
    </w:p>
  </w:footnote>
  <w:footnote w:id="952">
    <w:p w14:paraId="162F7A09" w14:textId="77777777" w:rsidR="004B2E7C" w:rsidRDefault="004B2E7C" w:rsidP="00285819">
      <w:pPr>
        <w:pStyle w:val="a7"/>
      </w:pPr>
      <w:r>
        <w:rPr>
          <w:rStyle w:val="a9"/>
        </w:rPr>
        <w:footnoteRef/>
      </w:r>
      <w:r>
        <w:rPr>
          <w:rtl/>
        </w:rPr>
        <w:t xml:space="preserve"> </w:t>
      </w:r>
      <w:r w:rsidRPr="00E7651A">
        <w:rPr>
          <w:rFonts w:cs="Arial"/>
          <w:rtl/>
        </w:rPr>
        <w:t>שהוא ד"ת ואסמכו אקרא לקדש על היין</w:t>
      </w:r>
      <w:r>
        <w:rPr>
          <w:rFonts w:cs="Arial" w:hint="cs"/>
          <w:rtl/>
        </w:rPr>
        <w:t>, משנ"ב (סקע"ד).</w:t>
      </w:r>
    </w:p>
  </w:footnote>
  <w:footnote w:id="953">
    <w:p w14:paraId="36696916" w14:textId="77777777" w:rsidR="004B2E7C" w:rsidRDefault="004B2E7C" w:rsidP="00285819">
      <w:pPr>
        <w:pStyle w:val="a7"/>
      </w:pPr>
      <w:r>
        <w:rPr>
          <w:rStyle w:val="a9"/>
        </w:rPr>
        <w:footnoteRef/>
      </w:r>
      <w:r>
        <w:rPr>
          <w:rtl/>
        </w:rPr>
        <w:t xml:space="preserve"> </w:t>
      </w:r>
      <w:r w:rsidRPr="00AD42FE">
        <w:rPr>
          <w:rFonts w:cs="Arial"/>
          <w:rtl/>
        </w:rPr>
        <w:t>דברים נכונים הם</w:t>
      </w:r>
      <w:r>
        <w:rPr>
          <w:rFonts w:cs="Arial" w:hint="cs"/>
          <w:rtl/>
        </w:rPr>
        <w:t>.</w:t>
      </w:r>
      <w:r w:rsidRPr="00AD42FE">
        <w:rPr>
          <w:rFonts w:cs="Arial"/>
          <w:rtl/>
        </w:rPr>
        <w:t xml:space="preserve"> והטעם מבואר</w:t>
      </w:r>
      <w:r>
        <w:rPr>
          <w:rFonts w:cs="Arial" w:hint="cs"/>
          <w:rtl/>
        </w:rPr>
        <w:t>,</w:t>
      </w:r>
      <w:r w:rsidRPr="00AD42FE">
        <w:rPr>
          <w:rFonts w:cs="Arial"/>
          <w:rtl/>
        </w:rPr>
        <w:t xml:space="preserve"> דדיבור הוי הפסק בין ברכת הנהנין לטעימה</w:t>
      </w:r>
      <w:r>
        <w:rPr>
          <w:rFonts w:cs="Arial" w:hint="cs"/>
          <w:rtl/>
        </w:rPr>
        <w:t>.</w:t>
      </w:r>
      <w:r w:rsidRPr="00AD42FE">
        <w:rPr>
          <w:rFonts w:cs="Arial"/>
          <w:rtl/>
        </w:rPr>
        <w:t xml:space="preserve"> אבל לענין הקידוש לא הוי הפסק</w:t>
      </w:r>
      <w:r>
        <w:rPr>
          <w:rFonts w:cs="Arial" w:hint="cs"/>
          <w:rtl/>
        </w:rPr>
        <w:t>,</w:t>
      </w:r>
      <w:r w:rsidRPr="00AD42FE">
        <w:rPr>
          <w:rFonts w:cs="Arial"/>
          <w:rtl/>
        </w:rPr>
        <w:t xml:space="preserve"> כיון דכבר הזכיר קדושת היום על הכוס יצא</w:t>
      </w:r>
      <w:r>
        <w:rPr>
          <w:rFonts w:cs="Arial" w:hint="cs"/>
          <w:rtl/>
        </w:rPr>
        <w:t>, ב"י.</w:t>
      </w:r>
    </w:p>
  </w:footnote>
  <w:footnote w:id="954">
    <w:p w14:paraId="04F14537" w14:textId="77777777" w:rsidR="004B2E7C" w:rsidRDefault="004B2E7C" w:rsidP="00285819">
      <w:pPr>
        <w:pStyle w:val="a7"/>
      </w:pPr>
      <w:r>
        <w:rPr>
          <w:rStyle w:val="a9"/>
        </w:rPr>
        <w:footnoteRef/>
      </w:r>
      <w:r>
        <w:rPr>
          <w:rtl/>
        </w:rPr>
        <w:t xml:space="preserve"> </w:t>
      </w:r>
      <w:r w:rsidRPr="00F11129">
        <w:rPr>
          <w:rFonts w:cs="Arial"/>
          <w:rtl/>
        </w:rPr>
        <w:t>אותה טעימה שאמרו: המברך צריך שיטעום - בכל שהוא</w:t>
      </w:r>
      <w:r>
        <w:rPr>
          <w:rFonts w:cs="Arial" w:hint="cs"/>
          <w:rtl/>
        </w:rPr>
        <w:t>, רש"י.</w:t>
      </w:r>
    </w:p>
  </w:footnote>
  <w:footnote w:id="955">
    <w:p w14:paraId="36F908C0" w14:textId="77777777" w:rsidR="004B2E7C" w:rsidRDefault="004B2E7C" w:rsidP="00285819">
      <w:pPr>
        <w:pStyle w:val="a7"/>
      </w:pPr>
      <w:r>
        <w:rPr>
          <w:rStyle w:val="a9"/>
        </w:rPr>
        <w:footnoteRef/>
      </w:r>
      <w:r>
        <w:rPr>
          <w:rtl/>
        </w:rPr>
        <w:t xml:space="preserve"> </w:t>
      </w:r>
      <w:r w:rsidRPr="008D7AB3">
        <w:rPr>
          <w:rFonts w:cs="Arial"/>
          <w:rtl/>
        </w:rPr>
        <w:t>ואם הפסיק בדברים השייכים להסעודה וכש"כ בדברים השייכים לקידוש לא הוי הפסק בדיעבד וא"צ לחזור ולברך</w:t>
      </w:r>
      <w:r>
        <w:rPr>
          <w:rFonts w:cs="Arial" w:hint="cs"/>
          <w:rtl/>
        </w:rPr>
        <w:t>, משנ"ב (סקע"ה).</w:t>
      </w:r>
    </w:p>
  </w:footnote>
  <w:footnote w:id="956">
    <w:p w14:paraId="0AD18951" w14:textId="77777777" w:rsidR="004B2E7C" w:rsidRDefault="004B2E7C" w:rsidP="00285819">
      <w:pPr>
        <w:pStyle w:val="a7"/>
      </w:pPr>
      <w:r>
        <w:rPr>
          <w:rStyle w:val="a9"/>
        </w:rPr>
        <w:footnoteRef/>
      </w:r>
      <w:r>
        <w:rPr>
          <w:rtl/>
        </w:rPr>
        <w:t xml:space="preserve"> </w:t>
      </w:r>
      <w:r w:rsidRPr="008D7AB3">
        <w:rPr>
          <w:rFonts w:cs="Arial"/>
          <w:rtl/>
        </w:rPr>
        <w:t>דעל אותו הכוס לא היה דעתו מתחלה ואם היה דעתו בתחלה בשעת ברכה לשתות יין יותר א"צ לברך בפה"ג אלא ישתה תיכף כוס אחר בלא ברכה ובלבד שלא יפסיק בדיבור שלא מענין הקידוש</w:t>
      </w:r>
      <w:r>
        <w:rPr>
          <w:rFonts w:cs="Arial" w:hint="cs"/>
          <w:rtl/>
        </w:rPr>
        <w:t>, משנ"ב (סקע"ז).</w:t>
      </w:r>
    </w:p>
  </w:footnote>
  <w:footnote w:id="957">
    <w:p w14:paraId="238D9A8E" w14:textId="77777777" w:rsidR="004B2E7C" w:rsidRDefault="004B2E7C" w:rsidP="00285819">
      <w:pPr>
        <w:pStyle w:val="a7"/>
      </w:pPr>
      <w:r>
        <w:rPr>
          <w:rStyle w:val="a9"/>
        </w:rPr>
        <w:footnoteRef/>
      </w:r>
      <w:r>
        <w:rPr>
          <w:rtl/>
        </w:rPr>
        <w:t xml:space="preserve"> </w:t>
      </w:r>
      <w:r w:rsidRPr="008D7AB3">
        <w:rPr>
          <w:rFonts w:cs="Arial"/>
          <w:rtl/>
        </w:rPr>
        <w:t>דכיון שקידש מתחלה על היין כדין וגם טעם כשיעור אף על פי שלא טעם מאותו הכוס שקידש יצא ודוקא שלא הסיח דעתו בינתים אבל אם כבר יצא ממקומו בינתים קודם שטעם מכוס אחר צריך לחזור ולקדש. כתבו הפוסקים אם קידש על הכוס וסבר שהוא יין ונמצא שהוא חומץ או מים יקח כוס אחר של יין ויברך בפה"ג ויקדש שנית דכיון שלא היה יין נמצא שלא קידש על הכוס כלל ומ"מ אם היה דעתו מתחלה משעת ברכה לשתות יין יותר א"צ לברך שנית בפה"ג וכדלעיל רק לקדש [וכ"ז שנמצא הכוס מים וכה"ג דבר שאינו משקה כלל אבל כשנמצא שכר או שאר משקה שהיה חמר מדינה באותו מקום א"צ ליקח כוס אחר לקידוש אלא יברך עליו שהכל וישתה] והא דצריך לקדש שנית דוקא שלא היה יין מוכן לפניו אבל אם היה יין מוכן לפניו בכלי על השלחן או על הספסל בעת הקידוש ודעתו היה לשתות ממנו אח"כ א"צ גם לקדש שנית דהוי כאלו קידש על כל היין שמוכן לפניו וישתה מהן תיכף מלא לוגמיו וי"א עוד דה"ה אם אין יין לפניו והיה הפת מונח לפניו על השלחן א"צ לקדש מחדש אלא יבצע תיכף אחר הקידוש על הפת ודי בברכת המוציא לבד ונראה דאם קידש קודם נט"י כמנהגנו היום אין שייך לומר דחל הקידוש על הפת</w:t>
      </w:r>
      <w:r>
        <w:rPr>
          <w:rFonts w:cs="Arial" w:hint="cs"/>
          <w:rtl/>
        </w:rPr>
        <w:t>, משנ"ב (סקע"ח).</w:t>
      </w:r>
    </w:p>
  </w:footnote>
  <w:footnote w:id="958">
    <w:p w14:paraId="0A6F00EC" w14:textId="77777777" w:rsidR="004B2E7C" w:rsidRDefault="004B2E7C" w:rsidP="00285819">
      <w:pPr>
        <w:pStyle w:val="a7"/>
      </w:pPr>
      <w:r>
        <w:rPr>
          <w:rStyle w:val="a9"/>
        </w:rPr>
        <w:footnoteRef/>
      </w:r>
      <w:r>
        <w:rPr>
          <w:rtl/>
        </w:rPr>
        <w:t xml:space="preserve"> </w:t>
      </w:r>
      <w:r w:rsidRPr="008D7AB3">
        <w:rPr>
          <w:rFonts w:cs="Arial"/>
          <w:rtl/>
        </w:rPr>
        <w:t>כתב המ"א אם קידש שחרית על שכר ונשפך הכוס א"צ להביא אחר כי י"א שדי במה שמברך המוציא על הפת והגרע"א בחידושיו חולק ע"ז</w:t>
      </w:r>
      <w:r>
        <w:rPr>
          <w:rFonts w:cs="Arial" w:hint="cs"/>
          <w:rtl/>
        </w:rPr>
        <w:t>, משנ"ב (סקע"ט).</w:t>
      </w:r>
    </w:p>
  </w:footnote>
  <w:footnote w:id="959">
    <w:p w14:paraId="5F830E36" w14:textId="77777777" w:rsidR="004B2E7C" w:rsidRDefault="004B2E7C" w:rsidP="00285819">
      <w:pPr>
        <w:pStyle w:val="a7"/>
      </w:pPr>
      <w:r>
        <w:rPr>
          <w:rStyle w:val="a9"/>
        </w:rPr>
        <w:footnoteRef/>
      </w:r>
      <w:r>
        <w:rPr>
          <w:rtl/>
        </w:rPr>
        <w:t xml:space="preserve"> </w:t>
      </w:r>
      <w:r w:rsidRPr="002A6DDE">
        <w:rPr>
          <w:rFonts w:cs="Arial"/>
          <w:rtl/>
        </w:rPr>
        <w:t>פגום נקרא כשטעם מי מהמשקין מתחלה ומבואר בסעיף שאחר זה דכשהכוסות של המסובין פגומין מצוה שישפוך המקדש מעט מכוסו לתוך כוסן שבזה יתקן כוסן שלא יהיה פגום והואיל שהם זקוקין לכוסו צריכין להמתין עליו שיטעום מתחלה</w:t>
      </w:r>
      <w:r>
        <w:rPr>
          <w:rFonts w:cs="Arial" w:hint="cs"/>
          <w:rtl/>
        </w:rPr>
        <w:t>, משנ"ב (סקפ"א).</w:t>
      </w:r>
    </w:p>
  </w:footnote>
  <w:footnote w:id="960">
    <w:p w14:paraId="41C51B76" w14:textId="77777777" w:rsidR="004B2E7C" w:rsidRDefault="004B2E7C" w:rsidP="00285819">
      <w:pPr>
        <w:pStyle w:val="a7"/>
      </w:pPr>
      <w:r>
        <w:rPr>
          <w:rStyle w:val="a9"/>
        </w:rPr>
        <w:footnoteRef/>
      </w:r>
      <w:r>
        <w:rPr>
          <w:rtl/>
        </w:rPr>
        <w:t xml:space="preserve"> </w:t>
      </w:r>
      <w:r w:rsidRPr="00D91BDE">
        <w:rPr>
          <w:rFonts w:cs="Arial"/>
          <w:rtl/>
        </w:rPr>
        <w:t>היינו קודם שישתה המברך</w:t>
      </w:r>
      <w:r>
        <w:rPr>
          <w:rFonts w:cs="Arial" w:hint="cs"/>
          <w:rtl/>
        </w:rPr>
        <w:t>, משנ"ב (סקפ"ב).</w:t>
      </w:r>
    </w:p>
  </w:footnote>
  <w:footnote w:id="961">
    <w:p w14:paraId="41BB62A5" w14:textId="77777777" w:rsidR="004B2E7C" w:rsidRDefault="004B2E7C" w:rsidP="00285819">
      <w:pPr>
        <w:pStyle w:val="a7"/>
      </w:pPr>
      <w:r>
        <w:rPr>
          <w:rStyle w:val="a9"/>
        </w:rPr>
        <w:footnoteRef/>
      </w:r>
      <w:r>
        <w:rPr>
          <w:rtl/>
        </w:rPr>
        <w:t xml:space="preserve"> </w:t>
      </w:r>
      <w:r w:rsidRPr="00D91BDE">
        <w:rPr>
          <w:rFonts w:cs="Arial"/>
          <w:rtl/>
        </w:rPr>
        <w:t>אע</w:t>
      </w:r>
      <w:r>
        <w:rPr>
          <w:rFonts w:cs="Arial" w:hint="cs"/>
          <w:rtl/>
        </w:rPr>
        <w:t>"</w:t>
      </w:r>
      <w:r w:rsidRPr="00D91BDE">
        <w:rPr>
          <w:rFonts w:cs="Arial"/>
          <w:rtl/>
        </w:rPr>
        <w:t>ג דשתיית כל המסובין לא מעכבא כדלעיל בסי"ד מ"מ מצוה לכתחלה שישתו מכוס שאינו פגום</w:t>
      </w:r>
      <w:r>
        <w:rPr>
          <w:rFonts w:cs="Arial" w:hint="cs"/>
          <w:rtl/>
        </w:rPr>
        <w:t>, משנ"ב (סקפ"ג). וכתב עוד (שער הציון אות פט)</w:t>
      </w:r>
      <w:r w:rsidRPr="004A094A">
        <w:rPr>
          <w:rtl/>
        </w:rPr>
        <w:t xml:space="preserve"> </w:t>
      </w:r>
      <w:r>
        <w:rPr>
          <w:rFonts w:cs="Arial" w:hint="cs"/>
          <w:rtl/>
        </w:rPr>
        <w:t>ד</w:t>
      </w:r>
      <w:r w:rsidRPr="004A094A">
        <w:rPr>
          <w:rFonts w:cs="Arial"/>
          <w:rtl/>
        </w:rPr>
        <w:t>כששותין כולם מכוס של ברכה, אע</w:t>
      </w:r>
      <w:r>
        <w:rPr>
          <w:rFonts w:cs="Arial" w:hint="cs"/>
          <w:rtl/>
        </w:rPr>
        <w:t>"</w:t>
      </w:r>
      <w:r w:rsidRPr="004A094A">
        <w:rPr>
          <w:rFonts w:cs="Arial"/>
          <w:rtl/>
        </w:rPr>
        <w:t>ג דהוא שותה מתחלה, מקרי מכוס שאינו פגום, דחשובין כמקדש גופא, ורק כששופך מכוסו לכוסן בעינן שישפך קודם שישתה בעצמו, כמו שכתב הרא"ש</w:t>
      </w:r>
      <w:r>
        <w:rPr>
          <w:rFonts w:cs="Arial" w:hint="cs"/>
          <w:rtl/>
        </w:rPr>
        <w:t>.</w:t>
      </w:r>
    </w:p>
  </w:footnote>
  <w:footnote w:id="962">
    <w:p w14:paraId="4CC4398B" w14:textId="77777777" w:rsidR="004B2E7C" w:rsidRDefault="004B2E7C" w:rsidP="00285819">
      <w:pPr>
        <w:pStyle w:val="a7"/>
        <w:rPr>
          <w:rtl/>
        </w:rPr>
      </w:pPr>
      <w:r>
        <w:rPr>
          <w:rStyle w:val="a9"/>
        </w:rPr>
        <w:footnoteRef/>
      </w:r>
      <w:r>
        <w:rPr>
          <w:rtl/>
        </w:rPr>
        <w:t xml:space="preserve"> </w:t>
      </w:r>
      <w:r w:rsidRPr="00A271F1">
        <w:rPr>
          <w:rFonts w:cs="Arial"/>
          <w:rtl/>
        </w:rPr>
        <w:t>(א) ובהגהות מרדכי ריש פרק המוכר פירות (ב"ב סי' תקסז) דאין לקדש עליו וכן כתב בית יוסף (עמ' צ ד"ה כתוב) בשם ארחות חיים וכו':</w:t>
      </w:r>
    </w:p>
  </w:footnote>
  <w:footnote w:id="963">
    <w:p w14:paraId="1EE06F07" w14:textId="77777777" w:rsidR="004B2E7C" w:rsidRDefault="004B2E7C" w:rsidP="00285819">
      <w:pPr>
        <w:pStyle w:val="a7"/>
      </w:pPr>
      <w:r>
        <w:rPr>
          <w:rStyle w:val="a9"/>
        </w:rPr>
        <w:footnoteRef/>
      </w:r>
      <w:r>
        <w:rPr>
          <w:rtl/>
        </w:rPr>
        <w:t xml:space="preserve"> </w:t>
      </w:r>
      <w:r w:rsidRPr="0027457B">
        <w:rPr>
          <w:rFonts w:cs="Arial"/>
          <w:rtl/>
        </w:rPr>
        <w:t>(ג) ובאור זרוע (הל' ערב שבת סי' כה) כתב בהדיא דמי שאינו שותה יין לא יקדש עליו אלא על הפת, וכן הוא בתשובת מיימונית סוף ספר הפלאה סימן ד' שיקדש על הפת או שישמע קידוש והבדלה מאחרים, ואפשר דאף ב"י לא קאמר דרגילין לחזר אחר היין אלא דוקא כשאוכל עם בני ביתו או עם אחרים דאע"ג דהוא אינו שותה אחרים שותים ממנו ולכן מקדשין איין וכן נהגו, אבל כשמקדש לעצמו אין לקדש רק אפת כדברי הפוסקים, כן נראה לי:</w:t>
      </w:r>
    </w:p>
  </w:footnote>
  <w:footnote w:id="964">
    <w:p w14:paraId="231017BE" w14:textId="77777777" w:rsidR="004B2E7C" w:rsidRDefault="004B2E7C" w:rsidP="00285819">
      <w:pPr>
        <w:pStyle w:val="a7"/>
      </w:pPr>
      <w:r>
        <w:rPr>
          <w:rStyle w:val="a9"/>
        </w:rPr>
        <w:footnoteRef/>
      </w:r>
      <w:r>
        <w:rPr>
          <w:rtl/>
        </w:rPr>
        <w:t xml:space="preserve"> </w:t>
      </w:r>
      <w:r w:rsidRPr="00BD3493">
        <w:rPr>
          <w:rFonts w:cs="Arial"/>
          <w:rtl/>
        </w:rPr>
        <w:t>(א) ובמרדכי פרק ערבי פסחים (לה א) דמבית לסוכה הוה כמפינה לפינה. וז"ל הר"י מולין (שו"ת מהרי"ל החדשות סי' לב) דאפילו באותו מקום שקידש אם אין דעתו לאכול שם לאלתר מיקרי שלא במקום סעודה ואין לחלק בין זמן קצר לזמן ארוך, אבל אם היה דעתו לאכול שם מיד אפילו שהה בדרך זמן גדול עד שמגיע לשם חשוב במקום סעודה, ואפילו בטרקלין גדולים חשוב מפינה לפינה במקום סעודה עכ"ל:</w:t>
      </w:r>
    </w:p>
  </w:footnote>
  <w:footnote w:id="965">
    <w:p w14:paraId="3B6B9057" w14:textId="77777777" w:rsidR="004B2E7C" w:rsidRDefault="004B2E7C" w:rsidP="00285819">
      <w:pPr>
        <w:pStyle w:val="a7"/>
      </w:pPr>
      <w:r>
        <w:rPr>
          <w:rStyle w:val="a9"/>
        </w:rPr>
        <w:footnoteRef/>
      </w:r>
      <w:r>
        <w:rPr>
          <w:rtl/>
        </w:rPr>
        <w:t xml:space="preserve"> </w:t>
      </w:r>
      <w:r w:rsidRPr="00BD3493">
        <w:rPr>
          <w:rFonts w:cs="Arial"/>
          <w:rtl/>
        </w:rPr>
        <w:t>(ב) ועיין לעיל (סוף) סימן קס"ז דלבני ביתו בכל ענין שרי (ושם כתב הב"י דנראה לו דווקא לקטנים עיין שם (הגה בד"מ הארוך):</w:t>
      </w:r>
    </w:p>
  </w:footnote>
  <w:footnote w:id="966">
    <w:p w14:paraId="288D3BEA" w14:textId="77777777" w:rsidR="004B2E7C" w:rsidRDefault="004B2E7C" w:rsidP="00285819">
      <w:pPr>
        <w:pStyle w:val="a7"/>
        <w:rPr>
          <w:rtl/>
        </w:rPr>
      </w:pPr>
      <w:r>
        <w:rPr>
          <w:rStyle w:val="a9"/>
        </w:rPr>
        <w:footnoteRef/>
      </w:r>
      <w:r>
        <w:rPr>
          <w:rtl/>
        </w:rPr>
        <w:t xml:space="preserve"> </w:t>
      </w:r>
      <w:r w:rsidRPr="00BD3493">
        <w:rPr>
          <w:rFonts w:cs="Arial"/>
          <w:rtl/>
        </w:rPr>
        <w:t>(ג) והאגור (סי' שסא) כתב בשם מהר"י מולין (שו"ת מהרי"ל החדשות סי' מה אות ד) וכולהו רבוותא שרו לאכול שלא במקום הדלקה אלא שבעל ספר האגודה (שבת פ"ב סי' מה) הצריך לעשות נרות ארוכות שלא יכבו קודם הלילה דאם לא כן הוי ברכה לבטלה דשרגא בטיהרא מאי מהני, ונראה לי דסגי בנרות שבחדרים, וגדולי צרפת נמשכין בסעודתן עד הלילה ובאשכנז מקדימין בזמן הקיץ, ועל שניהם אני קורא ועמך כולם צדיקים עכ"ל:</w:t>
      </w:r>
    </w:p>
  </w:footnote>
  <w:footnote w:id="967">
    <w:p w14:paraId="4D403F79" w14:textId="77777777" w:rsidR="004B2E7C" w:rsidRDefault="004B2E7C" w:rsidP="00285819">
      <w:pPr>
        <w:pStyle w:val="a7"/>
        <w:rPr>
          <w:rtl/>
        </w:rPr>
      </w:pPr>
      <w:r>
        <w:rPr>
          <w:rStyle w:val="a9"/>
        </w:rPr>
        <w:footnoteRef/>
      </w:r>
      <w:r>
        <w:rPr>
          <w:rtl/>
        </w:rPr>
        <w:t xml:space="preserve"> </w:t>
      </w:r>
      <w:r w:rsidRPr="008A00D7">
        <w:rPr>
          <w:rFonts w:cs="Arial"/>
          <w:rtl/>
        </w:rPr>
        <w:t>(א) ובענין סדר של פסח פשוט הוא שלוקחין העליונה לברכת המוציא והשלישית התחתונה לכריכה וזה מבואר מדברי הפוסקים והמסדרים אחרונים שסדרו סידורו של פסח, ואפשר שמה שכתב ב"י שראה גדולים לבצוע התחתונה היינו דוקא בליל שבת אבל ביום השבת או בליל יום טוב יש לבצוע על העליונה וזהו הנכון לעשות על פי הקבלה בטעם של לחם משנה בליל שבת ויומו כן נראה לי:</w:t>
      </w:r>
    </w:p>
  </w:footnote>
  <w:footnote w:id="968">
    <w:p w14:paraId="34CFD907" w14:textId="77777777" w:rsidR="004B2E7C" w:rsidRDefault="004B2E7C" w:rsidP="00285819">
      <w:pPr>
        <w:pStyle w:val="a7"/>
        <w:rPr>
          <w:rtl/>
        </w:rPr>
      </w:pPr>
      <w:r>
        <w:rPr>
          <w:rStyle w:val="a9"/>
        </w:rPr>
        <w:footnoteRef/>
      </w:r>
      <w:r>
        <w:rPr>
          <w:rtl/>
        </w:rPr>
        <w:t xml:space="preserve"> </w:t>
      </w:r>
      <w:r w:rsidRPr="008A00D7">
        <w:rPr>
          <w:rFonts w:cs="Arial"/>
          <w:rtl/>
        </w:rPr>
        <w:t>(א) וכן כתב באור זרוע (הל' ערב שבת סי' לב) דאין חילוק בין ספר אחד לב' ספרים:</w:t>
      </w:r>
    </w:p>
  </w:footnote>
  <w:footnote w:id="969">
    <w:p w14:paraId="24C5B3BE" w14:textId="77777777" w:rsidR="004B2E7C" w:rsidRDefault="004B2E7C" w:rsidP="00285819">
      <w:pPr>
        <w:pStyle w:val="a7"/>
        <w:rPr>
          <w:rtl/>
        </w:rPr>
      </w:pPr>
      <w:r>
        <w:rPr>
          <w:rStyle w:val="a9"/>
        </w:rPr>
        <w:footnoteRef/>
      </w:r>
      <w:r>
        <w:rPr>
          <w:rtl/>
        </w:rPr>
        <w:t xml:space="preserve"> </w:t>
      </w:r>
      <w:r w:rsidRPr="008A00D7">
        <w:rPr>
          <w:rFonts w:cs="Arial"/>
          <w:rtl/>
        </w:rPr>
        <w:t>(ב) והמנהג כדברי הסמ"ג שאין אומרים כלל:</w:t>
      </w:r>
    </w:p>
  </w:footnote>
  <w:footnote w:id="970">
    <w:p w14:paraId="4F8D3D77" w14:textId="77777777" w:rsidR="004B2E7C" w:rsidRDefault="004B2E7C" w:rsidP="00285819">
      <w:pPr>
        <w:pStyle w:val="a7"/>
        <w:rPr>
          <w:rtl/>
        </w:rPr>
      </w:pPr>
      <w:r>
        <w:rPr>
          <w:rStyle w:val="a9"/>
        </w:rPr>
        <w:footnoteRef/>
      </w:r>
      <w:r>
        <w:rPr>
          <w:rtl/>
        </w:rPr>
        <w:t xml:space="preserve"> </w:t>
      </w:r>
      <w:r w:rsidRPr="008A00D7">
        <w:rPr>
          <w:rFonts w:cs="Arial"/>
          <w:rtl/>
        </w:rPr>
        <w:t>(ג) ודבריו נראים וכן המנהג כדבריו:</w:t>
      </w:r>
    </w:p>
  </w:footnote>
  <w:footnote w:id="971">
    <w:p w14:paraId="787BD5F8" w14:textId="77777777" w:rsidR="004B2E7C" w:rsidRDefault="004B2E7C" w:rsidP="00285819">
      <w:pPr>
        <w:pStyle w:val="a7"/>
        <w:rPr>
          <w:rtl/>
        </w:rPr>
      </w:pPr>
      <w:r>
        <w:rPr>
          <w:rStyle w:val="a9"/>
        </w:rPr>
        <w:footnoteRef/>
      </w:r>
      <w:r>
        <w:rPr>
          <w:rtl/>
        </w:rPr>
        <w:t xml:space="preserve"> </w:t>
      </w:r>
      <w:r w:rsidRPr="008A00D7">
        <w:rPr>
          <w:rFonts w:cs="Arial"/>
          <w:rtl/>
        </w:rPr>
        <w:t>(ד) כתב הרוקח סימן מ"ה מצאתי מה שרגילין לכסות קטן בפני הנר היינו משום ביזוי מצוה:</w:t>
      </w:r>
    </w:p>
  </w:footnote>
  <w:footnote w:id="972">
    <w:p w14:paraId="41CC7FD5" w14:textId="77777777" w:rsidR="004B2E7C" w:rsidRDefault="004B2E7C" w:rsidP="00285819">
      <w:pPr>
        <w:pStyle w:val="a7"/>
      </w:pPr>
      <w:r>
        <w:rPr>
          <w:rStyle w:val="a9"/>
        </w:rPr>
        <w:footnoteRef/>
      </w:r>
      <w:r>
        <w:rPr>
          <w:rtl/>
        </w:rPr>
        <w:t xml:space="preserve"> </w:t>
      </w:r>
      <w:r w:rsidRPr="00242621">
        <w:rPr>
          <w:rFonts w:cs="Arial"/>
          <w:rtl/>
        </w:rPr>
        <w:t>(א) וכתב במרדכי פרק קמא דשבת (דף קע"א ע"ב סי' רנ) דהוא הדין אם הדליקו בשביל תינוק דינו כחולה שאין בו סכנה:</w:t>
      </w:r>
    </w:p>
  </w:footnote>
  <w:footnote w:id="973">
    <w:p w14:paraId="5D50E837" w14:textId="77777777" w:rsidR="004B2E7C" w:rsidRDefault="004B2E7C" w:rsidP="00285819">
      <w:pPr>
        <w:pStyle w:val="a7"/>
      </w:pPr>
      <w:r>
        <w:rPr>
          <w:rStyle w:val="a9"/>
        </w:rPr>
        <w:footnoteRef/>
      </w:r>
      <w:r>
        <w:rPr>
          <w:rtl/>
        </w:rPr>
        <w:t xml:space="preserve"> </w:t>
      </w:r>
      <w:r w:rsidRPr="00242621">
        <w:rPr>
          <w:rFonts w:cs="Arial"/>
          <w:rtl/>
        </w:rPr>
        <w:t>(א*) וכתב הר"ן סוף פרק ר' אליעזר דמילה (נו. ד"ה ונמצא) דבעל העיטור (הל' מילה דף מט ע"א) התיר לומר לגוי להדליק לו נר לסעודת שבת דס"ל דמותר אמירה לגוי אפילו במלאכה גמורה במקום מצוה עכ"ל ואפשר דעל פי זה נהגו להקל בדבר זה, אבל לקמן סימן ש"ז (ד"מ הארוך אות ב, ב"י עמ' קעח) יתבאר דיש חולקים בדבר:</w:t>
      </w:r>
    </w:p>
  </w:footnote>
  <w:footnote w:id="974">
    <w:p w14:paraId="03E97E05" w14:textId="77777777" w:rsidR="004B2E7C" w:rsidRDefault="004B2E7C" w:rsidP="00285819">
      <w:pPr>
        <w:pStyle w:val="a7"/>
      </w:pPr>
      <w:r>
        <w:rPr>
          <w:rStyle w:val="a9"/>
        </w:rPr>
        <w:footnoteRef/>
      </w:r>
      <w:r>
        <w:rPr>
          <w:rtl/>
        </w:rPr>
        <w:t xml:space="preserve"> </w:t>
      </w:r>
      <w:r w:rsidRPr="008A00D7">
        <w:rPr>
          <w:rFonts w:cs="Arial"/>
          <w:rtl/>
        </w:rPr>
        <w:t>(ב) ולבסוף כתב ויהא חלקי עם המתחממים ולא מן הפורשים והמתחממים יתענגו על רוב שלום עכ"ל:</w:t>
      </w:r>
    </w:p>
  </w:footnote>
  <w:footnote w:id="975">
    <w:p w14:paraId="2F9438D8" w14:textId="77777777" w:rsidR="004B2E7C" w:rsidRDefault="004B2E7C" w:rsidP="00285819">
      <w:pPr>
        <w:pStyle w:val="a7"/>
      </w:pPr>
      <w:r>
        <w:rPr>
          <w:rStyle w:val="a9"/>
        </w:rPr>
        <w:footnoteRef/>
      </w:r>
      <w:r>
        <w:rPr>
          <w:rtl/>
        </w:rPr>
        <w:t xml:space="preserve"> </w:t>
      </w:r>
      <w:r w:rsidRPr="00242621">
        <w:rPr>
          <w:rFonts w:cs="Arial"/>
          <w:rtl/>
        </w:rPr>
        <w:t>(א) וכתב עוד המרדכי שם (סי' ת) שמוהר"ם (תשב"ץ קטן סי' לב) התיר ליגע במעמד שלפני ארון הקודש והנרות דולקות עליו ובלבד שלא ינענע וכו':</w:t>
      </w:r>
    </w:p>
  </w:footnote>
  <w:footnote w:id="976">
    <w:p w14:paraId="645584B1" w14:textId="77777777" w:rsidR="004B2E7C" w:rsidRDefault="004B2E7C" w:rsidP="00285819">
      <w:pPr>
        <w:pStyle w:val="a7"/>
        <w:rPr>
          <w:rtl/>
        </w:rPr>
      </w:pPr>
      <w:r>
        <w:rPr>
          <w:rStyle w:val="a9"/>
        </w:rPr>
        <w:footnoteRef/>
      </w:r>
      <w:r>
        <w:rPr>
          <w:rtl/>
        </w:rPr>
        <w:t xml:space="preserve"> </w:t>
      </w:r>
      <w:r w:rsidRPr="00612FEA">
        <w:rPr>
          <w:rFonts w:cs="Arial"/>
          <w:rtl/>
        </w:rPr>
        <w:t>שאינו מאוס, וחזי לאישתמושי להדיא, שלא דלק בו נר מעולם</w:t>
      </w:r>
      <w:r>
        <w:rPr>
          <w:rFonts w:cs="Arial" w:hint="cs"/>
          <w:rtl/>
        </w:rPr>
        <w:t>, רש"י</w:t>
      </w:r>
      <w:r w:rsidRPr="00612FEA">
        <w:rPr>
          <w:rFonts w:cs="Arial"/>
          <w:rtl/>
        </w:rPr>
        <w:t>.</w:t>
      </w:r>
    </w:p>
  </w:footnote>
  <w:footnote w:id="977">
    <w:p w14:paraId="3FD06C6B" w14:textId="77777777" w:rsidR="004B2E7C" w:rsidRDefault="004B2E7C" w:rsidP="00285819">
      <w:pPr>
        <w:pStyle w:val="a7"/>
        <w:rPr>
          <w:rtl/>
        </w:rPr>
      </w:pPr>
      <w:r>
        <w:rPr>
          <w:rStyle w:val="a9"/>
        </w:rPr>
        <w:footnoteRef/>
      </w:r>
      <w:r>
        <w:rPr>
          <w:rtl/>
        </w:rPr>
        <w:t xml:space="preserve"> </w:t>
      </w:r>
      <w:r w:rsidRPr="00612FEA">
        <w:rPr>
          <w:rFonts w:cs="Arial"/>
          <w:rtl/>
        </w:rPr>
        <w:t>דמוקצה מחמת מיאוס הוא</w:t>
      </w:r>
      <w:r>
        <w:rPr>
          <w:rFonts w:cs="Arial" w:hint="cs"/>
          <w:rtl/>
        </w:rPr>
        <w:t>, רש"י</w:t>
      </w:r>
      <w:r w:rsidRPr="00612FEA">
        <w:rPr>
          <w:rFonts w:cs="Arial"/>
          <w:rtl/>
        </w:rPr>
        <w:t>.</w:t>
      </w:r>
    </w:p>
  </w:footnote>
  <w:footnote w:id="978">
    <w:p w14:paraId="39DC10D9" w14:textId="77777777" w:rsidR="004B2E7C" w:rsidRDefault="004B2E7C" w:rsidP="00285819">
      <w:pPr>
        <w:pStyle w:val="a7"/>
      </w:pPr>
      <w:r>
        <w:rPr>
          <w:rStyle w:val="a9"/>
        </w:rPr>
        <w:footnoteRef/>
      </w:r>
      <w:r>
        <w:rPr>
          <w:rtl/>
        </w:rPr>
        <w:t xml:space="preserve"> </w:t>
      </w:r>
      <w:r w:rsidRPr="00612FEA">
        <w:rPr>
          <w:rFonts w:cs="Arial"/>
          <w:rtl/>
        </w:rPr>
        <w:t>ואף על גב שכבה - אסור, דאית ליה לר' מאיר מוקצה מחמת איסור, ולית ליה מוקצה מחמת מיאוס</w:t>
      </w:r>
      <w:r>
        <w:rPr>
          <w:rFonts w:cs="Arial" w:hint="cs"/>
          <w:rtl/>
        </w:rPr>
        <w:t>, רש"י</w:t>
      </w:r>
      <w:r w:rsidRPr="00612FEA">
        <w:rPr>
          <w:rFonts w:cs="Arial"/>
          <w:rtl/>
        </w:rPr>
        <w:t>.</w:t>
      </w:r>
    </w:p>
  </w:footnote>
  <w:footnote w:id="979">
    <w:p w14:paraId="4A7F35B7" w14:textId="77777777" w:rsidR="004B2E7C" w:rsidRDefault="004B2E7C" w:rsidP="00285819">
      <w:pPr>
        <w:pStyle w:val="a7"/>
      </w:pPr>
      <w:r>
        <w:rPr>
          <w:rStyle w:val="a9"/>
        </w:rPr>
        <w:footnoteRef/>
      </w:r>
      <w:r>
        <w:rPr>
          <w:rtl/>
        </w:rPr>
        <w:t xml:space="preserve"> </w:t>
      </w:r>
      <w:r w:rsidRPr="00612FEA">
        <w:rPr>
          <w:rFonts w:cs="Arial"/>
          <w:rtl/>
        </w:rPr>
        <w:t>בעוד שהוא דולק אסור, שמא יכבה הנר</w:t>
      </w:r>
      <w:r>
        <w:rPr>
          <w:rFonts w:cs="Arial" w:hint="cs"/>
          <w:rtl/>
        </w:rPr>
        <w:t>, רש"י</w:t>
      </w:r>
      <w:r w:rsidRPr="00612FEA">
        <w:rPr>
          <w:rFonts w:cs="Arial"/>
          <w:rtl/>
        </w:rPr>
        <w:t>.</w:t>
      </w:r>
    </w:p>
  </w:footnote>
  <w:footnote w:id="980">
    <w:p w14:paraId="0D3C8201" w14:textId="77777777" w:rsidR="004B2E7C" w:rsidRDefault="004B2E7C" w:rsidP="00285819">
      <w:pPr>
        <w:pStyle w:val="a7"/>
        <w:rPr>
          <w:rtl/>
        </w:rPr>
      </w:pPr>
      <w:r>
        <w:rPr>
          <w:rStyle w:val="a9"/>
        </w:rPr>
        <w:footnoteRef/>
      </w:r>
      <w:r>
        <w:rPr>
          <w:rtl/>
        </w:rPr>
        <w:t xml:space="preserve"> </w:t>
      </w:r>
      <w:r>
        <w:rPr>
          <w:rFonts w:cs="Arial"/>
          <w:rtl/>
        </w:rPr>
        <w:t>דלית ליה אפילו במוקצה מחמת איסור מגו דאיתקצאי לבין השמשות איתקצאי לכולי יומא</w:t>
      </w:r>
      <w:r>
        <w:rPr>
          <w:rFonts w:hint="cs"/>
          <w:rtl/>
        </w:rPr>
        <w:t>, ב"י.</w:t>
      </w:r>
    </w:p>
  </w:footnote>
  <w:footnote w:id="981">
    <w:p w14:paraId="65540FA4" w14:textId="77777777" w:rsidR="004B2E7C" w:rsidRDefault="004B2E7C" w:rsidP="00285819">
      <w:pPr>
        <w:pStyle w:val="a7"/>
        <w:rPr>
          <w:rtl/>
        </w:rPr>
      </w:pPr>
      <w:r>
        <w:rPr>
          <w:rStyle w:val="a9"/>
        </w:rPr>
        <w:footnoteRef/>
      </w:r>
      <w:r>
        <w:rPr>
          <w:rtl/>
        </w:rPr>
        <w:t xml:space="preserve"> </w:t>
      </w:r>
      <w:r>
        <w:rPr>
          <w:rFonts w:cs="Arial"/>
          <w:rtl/>
        </w:rPr>
        <w:t>ומטעמא דכתב הר"ן דמגו דאיתקצאי לבין השמשות איתקצאי לכולי יומא</w:t>
      </w:r>
      <w:r>
        <w:rPr>
          <w:rFonts w:hint="cs"/>
          <w:rtl/>
        </w:rPr>
        <w:t>, ב"י.</w:t>
      </w:r>
    </w:p>
  </w:footnote>
  <w:footnote w:id="982">
    <w:p w14:paraId="64E8F805" w14:textId="77777777" w:rsidR="004B2E7C" w:rsidRDefault="004B2E7C" w:rsidP="00285819">
      <w:pPr>
        <w:pStyle w:val="a7"/>
        <w:rPr>
          <w:rtl/>
        </w:rPr>
      </w:pPr>
      <w:r>
        <w:rPr>
          <w:rStyle w:val="a9"/>
        </w:rPr>
        <w:footnoteRef/>
      </w:r>
      <w:r>
        <w:rPr>
          <w:rtl/>
        </w:rPr>
        <w:t xml:space="preserve"> </w:t>
      </w:r>
      <w:r w:rsidRPr="003648B1">
        <w:rPr>
          <w:rFonts w:cs="Arial"/>
          <w:rtl/>
        </w:rPr>
        <w:t xml:space="preserve">ואם יש אימת </w:t>
      </w:r>
      <w:r>
        <w:rPr>
          <w:rFonts w:cs="Arial"/>
          <w:rtl/>
        </w:rPr>
        <w:t>גוי</w:t>
      </w:r>
      <w:r w:rsidRPr="003648B1">
        <w:rPr>
          <w:rFonts w:cs="Arial"/>
          <w:rtl/>
        </w:rPr>
        <w:t xml:space="preserve"> מותר לטלטלו אחר שכבה (ש</w:t>
      </w:r>
      <w:r>
        <w:rPr>
          <w:rFonts w:cs="Arial" w:hint="cs"/>
          <w:rtl/>
        </w:rPr>
        <w:t>לט</w:t>
      </w:r>
      <w:r w:rsidRPr="003648B1">
        <w:rPr>
          <w:rFonts w:cs="Arial"/>
          <w:rtl/>
        </w:rPr>
        <w:t>"ג)</w:t>
      </w:r>
      <w:r>
        <w:rPr>
          <w:rFonts w:cs="Arial" w:hint="cs"/>
          <w:rtl/>
        </w:rPr>
        <w:t>,</w:t>
      </w:r>
      <w:r w:rsidRPr="003648B1">
        <w:rPr>
          <w:rFonts w:cs="Arial"/>
          <w:rtl/>
        </w:rPr>
        <w:t xml:space="preserve"> אבל רש"י פי' שעת הדחק סכנה משמע דבשלא במקום סכנה אסור</w:t>
      </w:r>
      <w:r>
        <w:rPr>
          <w:rFonts w:hint="cs"/>
          <w:rtl/>
        </w:rPr>
        <w:t xml:space="preserve">, מג"א (סק"א). וכ' המשנ"ב (סק"א) </w:t>
      </w:r>
      <w:r>
        <w:rPr>
          <w:rFonts w:cs="Arial" w:hint="cs"/>
          <w:rtl/>
        </w:rPr>
        <w:t xml:space="preserve">דאימת הגוים היינו </w:t>
      </w:r>
      <w:r w:rsidRPr="003648B1">
        <w:rPr>
          <w:rFonts w:cs="Arial"/>
          <w:rtl/>
        </w:rPr>
        <w:t>כמו שהיה בזמן האמוראים שהיתה אומה אחת שהיו מקפידין ביום חגם על ישראל שמדליקין נר באותו היום</w:t>
      </w:r>
      <w:r>
        <w:rPr>
          <w:rFonts w:cs="Arial" w:hint="cs"/>
          <w:rtl/>
        </w:rPr>
        <w:t>,</w:t>
      </w:r>
      <w:r w:rsidRPr="003648B1">
        <w:rPr>
          <w:rFonts w:cs="Arial"/>
          <w:rtl/>
        </w:rPr>
        <w:t xml:space="preserve"> וכל כה"ג</w:t>
      </w:r>
      <w:r>
        <w:rPr>
          <w:rFonts w:cs="Arial" w:hint="cs"/>
          <w:rtl/>
        </w:rPr>
        <w:t>,</w:t>
      </w:r>
      <w:r w:rsidRPr="003648B1">
        <w:rPr>
          <w:rFonts w:cs="Arial"/>
          <w:rtl/>
        </w:rPr>
        <w:t xml:space="preserve"> </w:t>
      </w:r>
      <w:r>
        <w:rPr>
          <w:rFonts w:cs="Arial" w:hint="cs"/>
          <w:rtl/>
        </w:rPr>
        <w:t xml:space="preserve">וכתב שכן </w:t>
      </w:r>
      <w:r w:rsidRPr="003648B1">
        <w:rPr>
          <w:rFonts w:cs="Arial"/>
          <w:rtl/>
        </w:rPr>
        <w:t>הסכים בספר תו"ש</w:t>
      </w:r>
      <w:r>
        <w:rPr>
          <w:rFonts w:cs="Arial" w:hint="cs"/>
          <w:rtl/>
        </w:rPr>
        <w:t>,</w:t>
      </w:r>
      <w:r w:rsidRPr="003648B1">
        <w:rPr>
          <w:rFonts w:cs="Arial"/>
          <w:rtl/>
        </w:rPr>
        <w:t xml:space="preserve"> ודלא כמ</w:t>
      </w:r>
      <w:r>
        <w:rPr>
          <w:rFonts w:cs="Arial" w:hint="cs"/>
          <w:rtl/>
        </w:rPr>
        <w:t>ג</w:t>
      </w:r>
      <w:r w:rsidRPr="003648B1">
        <w:rPr>
          <w:rFonts w:cs="Arial"/>
          <w:rtl/>
        </w:rPr>
        <w:t>"א</w:t>
      </w:r>
      <w:r>
        <w:rPr>
          <w:rFonts w:cs="Arial" w:hint="cs"/>
          <w:rtl/>
        </w:rPr>
        <w:t>,</w:t>
      </w:r>
      <w:r w:rsidRPr="003648B1">
        <w:rPr>
          <w:rFonts w:cs="Arial"/>
          <w:rtl/>
        </w:rPr>
        <w:t xml:space="preserve"> ומפמ"ג משמע שאם ירא שיכהו או שאר הפסד ממון לכו"ע שרי</w:t>
      </w:r>
      <w:r>
        <w:rPr>
          <w:rFonts w:hint="cs"/>
          <w:rtl/>
        </w:rPr>
        <w:t xml:space="preserve">. </w:t>
      </w:r>
    </w:p>
  </w:footnote>
  <w:footnote w:id="983">
    <w:p w14:paraId="587FB1CE" w14:textId="77777777" w:rsidR="004B2E7C" w:rsidRDefault="004B2E7C" w:rsidP="00285819">
      <w:pPr>
        <w:pStyle w:val="a7"/>
        <w:rPr>
          <w:rtl/>
        </w:rPr>
      </w:pPr>
      <w:r>
        <w:rPr>
          <w:rStyle w:val="a9"/>
        </w:rPr>
        <w:footnoteRef/>
      </w:r>
      <w:r>
        <w:rPr>
          <w:rtl/>
        </w:rPr>
        <w:t xml:space="preserve"> </w:t>
      </w:r>
      <w:r w:rsidRPr="000E4BFA">
        <w:rPr>
          <w:rFonts w:cs="Arial"/>
          <w:rtl/>
        </w:rPr>
        <w:t>דבשע</w:t>
      </w:r>
      <w:r>
        <w:rPr>
          <w:rFonts w:cs="Arial" w:hint="cs"/>
          <w:rtl/>
        </w:rPr>
        <w:t>ה</w:t>
      </w:r>
      <w:r w:rsidRPr="000E4BFA">
        <w:rPr>
          <w:rFonts w:cs="Arial"/>
          <w:rtl/>
        </w:rPr>
        <w:t xml:space="preserve"> שהוא דולק אסור להסתפק ממנו משום מכבה ומגו דאתקצאי לבה</w:t>
      </w:r>
      <w:r>
        <w:rPr>
          <w:rFonts w:cs="Arial" w:hint="cs"/>
          <w:rtl/>
        </w:rPr>
        <w:t>"ש</w:t>
      </w:r>
      <w:r w:rsidRPr="000E4BFA">
        <w:rPr>
          <w:rFonts w:cs="Arial"/>
          <w:rtl/>
        </w:rPr>
        <w:t xml:space="preserve"> וכו' </w:t>
      </w:r>
      <w:r>
        <w:rPr>
          <w:rFonts w:cs="Arial" w:hint="cs"/>
          <w:rtl/>
        </w:rPr>
        <w:t>(</w:t>
      </w:r>
      <w:r w:rsidRPr="000E4BFA">
        <w:rPr>
          <w:rFonts w:cs="Arial"/>
          <w:rtl/>
        </w:rPr>
        <w:t>ר"ן</w:t>
      </w:r>
      <w:r>
        <w:rPr>
          <w:rFonts w:cs="Arial" w:hint="cs"/>
          <w:rtl/>
        </w:rPr>
        <w:t>),</w:t>
      </w:r>
      <w:r w:rsidRPr="000E4BFA">
        <w:rPr>
          <w:rFonts w:cs="Arial"/>
          <w:rtl/>
        </w:rPr>
        <w:t xml:space="preserve"> וא"כ בנר של שעוה בי</w:t>
      </w:r>
      <w:r>
        <w:rPr>
          <w:rFonts w:cs="Arial" w:hint="cs"/>
          <w:rtl/>
        </w:rPr>
        <w:t>ו</w:t>
      </w:r>
      <w:r w:rsidRPr="000E4BFA">
        <w:rPr>
          <w:rFonts w:cs="Arial"/>
          <w:rtl/>
        </w:rPr>
        <w:t>"ט שרי להשתמש בנותר כמ"ש סי' תקיד ס"ג</w:t>
      </w:r>
      <w:r>
        <w:rPr>
          <w:rFonts w:cs="Arial" w:hint="cs"/>
          <w:rtl/>
        </w:rPr>
        <w:t>,</w:t>
      </w:r>
      <w:r w:rsidRPr="000E4BFA">
        <w:rPr>
          <w:rFonts w:cs="Arial"/>
          <w:rtl/>
        </w:rPr>
        <w:t xml:space="preserve"> ומיהו בגמ' </w:t>
      </w:r>
      <w:r w:rsidRPr="00C41A3B">
        <w:rPr>
          <w:rFonts w:cs="Arial" w:hint="cs"/>
          <w:sz w:val="16"/>
          <w:szCs w:val="16"/>
          <w:rtl/>
        </w:rPr>
        <w:t>(מה.)</w:t>
      </w:r>
      <w:r>
        <w:rPr>
          <w:rFonts w:cs="Arial" w:hint="cs"/>
          <w:rtl/>
        </w:rPr>
        <w:t xml:space="preserve"> </w:t>
      </w:r>
      <w:r w:rsidRPr="000E4BFA">
        <w:rPr>
          <w:rFonts w:cs="Arial"/>
          <w:rtl/>
        </w:rPr>
        <w:t>איכא עוד טעם הואיל והוקצה למצותו כמ"ש סי' תרלח גבי נוי סכה</w:t>
      </w:r>
      <w:r>
        <w:rPr>
          <w:rFonts w:cs="Arial" w:hint="cs"/>
          <w:rtl/>
        </w:rPr>
        <w:t>,</w:t>
      </w:r>
      <w:r w:rsidRPr="000E4BFA">
        <w:rPr>
          <w:rFonts w:cs="Arial"/>
          <w:rtl/>
        </w:rPr>
        <w:t xml:space="preserve"> וא"כ נר של מצוה שהודלק לשם י</w:t>
      </w:r>
      <w:r>
        <w:rPr>
          <w:rFonts w:cs="Arial" w:hint="cs"/>
          <w:rtl/>
        </w:rPr>
        <w:t>ו</w:t>
      </w:r>
      <w:r w:rsidRPr="000E4BFA">
        <w:rPr>
          <w:rFonts w:cs="Arial"/>
          <w:rtl/>
        </w:rPr>
        <w:t>"ט וכבה אסור להשתמש בו תשמיש אחר כגון אם הוא משומן אסור לאכלו עמ"ש סי' רסג סי"ד</w:t>
      </w:r>
      <w:r>
        <w:rPr>
          <w:rFonts w:cs="Arial" w:hint="cs"/>
          <w:rtl/>
        </w:rPr>
        <w:t>,</w:t>
      </w:r>
      <w:r w:rsidRPr="000E4BFA">
        <w:rPr>
          <w:rFonts w:cs="Arial"/>
          <w:rtl/>
        </w:rPr>
        <w:t xml:space="preserve"> וע' בתוס</w:t>
      </w:r>
      <w:r>
        <w:rPr>
          <w:rFonts w:cs="Arial" w:hint="cs"/>
          <w:rtl/>
        </w:rPr>
        <w:t xml:space="preserve">' </w:t>
      </w:r>
      <w:r w:rsidRPr="00C41A3B">
        <w:rPr>
          <w:rFonts w:cs="Arial" w:hint="cs"/>
          <w:sz w:val="16"/>
          <w:szCs w:val="16"/>
          <w:rtl/>
        </w:rPr>
        <w:t>(</w:t>
      </w:r>
      <w:r w:rsidRPr="00C41A3B">
        <w:rPr>
          <w:rFonts w:cs="Arial"/>
          <w:sz w:val="16"/>
          <w:szCs w:val="16"/>
          <w:rtl/>
        </w:rPr>
        <w:t>מב</w:t>
      </w:r>
      <w:r w:rsidRPr="00C41A3B">
        <w:rPr>
          <w:rFonts w:cs="Arial" w:hint="cs"/>
          <w:sz w:val="16"/>
          <w:szCs w:val="16"/>
          <w:rtl/>
        </w:rPr>
        <w:t>:</w:t>
      </w:r>
      <w:r w:rsidRPr="00C41A3B">
        <w:rPr>
          <w:rFonts w:cs="Arial"/>
          <w:sz w:val="16"/>
          <w:szCs w:val="16"/>
          <w:rtl/>
        </w:rPr>
        <w:t xml:space="preserve"> ד"ה ואין ניאותין וכו'</w:t>
      </w:r>
      <w:r w:rsidRPr="00C41A3B">
        <w:rPr>
          <w:rFonts w:cs="Arial" w:hint="cs"/>
          <w:sz w:val="16"/>
          <w:szCs w:val="16"/>
          <w:rtl/>
        </w:rPr>
        <w:t>)</w:t>
      </w:r>
      <w:r w:rsidRPr="000E4BFA">
        <w:rPr>
          <w:rFonts w:cs="Arial"/>
          <w:rtl/>
        </w:rPr>
        <w:t xml:space="preserve"> דמשמע כדברי וכולי יומא אסור מיגו דאתקצאי לבה</w:t>
      </w:r>
      <w:r>
        <w:rPr>
          <w:rFonts w:cs="Arial" w:hint="cs"/>
          <w:rtl/>
        </w:rPr>
        <w:t>"ש</w:t>
      </w:r>
      <w:r w:rsidRPr="000E4BFA">
        <w:rPr>
          <w:rFonts w:cs="Arial"/>
          <w:rtl/>
        </w:rPr>
        <w:t xml:space="preserve"> וכמ</w:t>
      </w:r>
      <w:r>
        <w:rPr>
          <w:rFonts w:cs="Arial" w:hint="cs"/>
          <w:rtl/>
        </w:rPr>
        <w:t xml:space="preserve">ו </w:t>
      </w:r>
      <w:r w:rsidRPr="000E4BFA">
        <w:rPr>
          <w:rFonts w:cs="Arial"/>
          <w:rtl/>
        </w:rPr>
        <w:t>ש</w:t>
      </w:r>
      <w:r>
        <w:rPr>
          <w:rFonts w:cs="Arial" w:hint="cs"/>
          <w:rtl/>
        </w:rPr>
        <w:t>כתוב</w:t>
      </w:r>
      <w:r w:rsidRPr="000E4BFA">
        <w:rPr>
          <w:rFonts w:cs="Arial"/>
          <w:rtl/>
        </w:rPr>
        <w:t xml:space="preserve"> סי' תרלח</w:t>
      </w:r>
      <w:r>
        <w:rPr>
          <w:rFonts w:hint="cs"/>
          <w:rtl/>
        </w:rPr>
        <w:t>, מג"א (סק"ב).</w:t>
      </w:r>
    </w:p>
  </w:footnote>
  <w:footnote w:id="984">
    <w:p w14:paraId="35D50B72" w14:textId="77777777" w:rsidR="004B2E7C" w:rsidRDefault="004B2E7C" w:rsidP="00285819">
      <w:pPr>
        <w:pStyle w:val="a7"/>
      </w:pPr>
      <w:r>
        <w:rPr>
          <w:rStyle w:val="a9"/>
        </w:rPr>
        <w:footnoteRef/>
      </w:r>
      <w:r>
        <w:rPr>
          <w:rtl/>
        </w:rPr>
        <w:t xml:space="preserve"> </w:t>
      </w:r>
      <w:r>
        <w:rPr>
          <w:rFonts w:hint="cs"/>
          <w:rtl/>
        </w:rPr>
        <w:t>הב"ח כתב שצריך לגרוס כאן - "והמחמיר יחמיר והמיקל לא הפסיד".</w:t>
      </w:r>
    </w:p>
  </w:footnote>
  <w:footnote w:id="985">
    <w:p w14:paraId="4924E590" w14:textId="77777777" w:rsidR="004B2E7C" w:rsidRDefault="004B2E7C" w:rsidP="00285819">
      <w:pPr>
        <w:pStyle w:val="a7"/>
      </w:pPr>
      <w:r>
        <w:rPr>
          <w:rStyle w:val="a9"/>
        </w:rPr>
        <w:footnoteRef/>
      </w:r>
      <w:r>
        <w:rPr>
          <w:rtl/>
        </w:rPr>
        <w:t xml:space="preserve"> </w:t>
      </w:r>
      <w:r>
        <w:rPr>
          <w:rFonts w:hint="cs"/>
          <w:rtl/>
        </w:rPr>
        <w:t>הב"י הביא את דברי המרדכי בסי' זה ובסי' שי (סע' ב ד"ה כתב המרדכי), ושם כתב על דבריו-</w:t>
      </w:r>
      <w:r>
        <w:rPr>
          <w:rFonts w:cs="Arial" w:hint="cs"/>
          <w:rtl/>
        </w:rPr>
        <w:t xml:space="preserve"> </w:t>
      </w:r>
      <w:r w:rsidRPr="005B61FF">
        <w:rPr>
          <w:rFonts w:cs="Arial"/>
          <w:rtl/>
        </w:rPr>
        <w:t>ואני תמה על המתירים</w:t>
      </w:r>
      <w:r>
        <w:rPr>
          <w:rFonts w:cs="Arial" w:hint="cs"/>
          <w:rtl/>
        </w:rPr>
        <w:t>,</w:t>
      </w:r>
      <w:r w:rsidRPr="005B61FF">
        <w:rPr>
          <w:rFonts w:cs="Arial"/>
          <w:rtl/>
        </w:rPr>
        <w:t xml:space="preserve"> וגם על מה שכתב ואין זה נכון יש לתמוה שלא דחה דבריהם אלא במילי דחומרא בעלמא</w:t>
      </w:r>
      <w:r>
        <w:rPr>
          <w:rFonts w:hint="cs"/>
          <w:rtl/>
        </w:rPr>
        <w:t>.</w:t>
      </w:r>
    </w:p>
  </w:footnote>
  <w:footnote w:id="986">
    <w:p w14:paraId="2787944A" w14:textId="77777777" w:rsidR="004B2E7C" w:rsidRDefault="004B2E7C" w:rsidP="00285819">
      <w:pPr>
        <w:pStyle w:val="a7"/>
        <w:rPr>
          <w:rtl/>
        </w:rPr>
      </w:pPr>
      <w:r>
        <w:rPr>
          <w:rStyle w:val="a9"/>
        </w:rPr>
        <w:footnoteRef/>
      </w:r>
      <w:r>
        <w:rPr>
          <w:rtl/>
        </w:rPr>
        <w:t xml:space="preserve"> </w:t>
      </w:r>
      <w:r>
        <w:rPr>
          <w:rFonts w:hint="cs"/>
          <w:rtl/>
        </w:rPr>
        <w:t xml:space="preserve">וז"ל- </w:t>
      </w:r>
      <w:r w:rsidRPr="008C3C6B">
        <w:rPr>
          <w:rFonts w:cs="Arial"/>
          <w:rtl/>
        </w:rPr>
        <w:t>חוץ מן המסר הגדול מיהו לצורך גופו או לצורך מקומו מותר כדמשמע פכה</w:t>
      </w:r>
      <w:r>
        <w:rPr>
          <w:rFonts w:cs="Arial" w:hint="cs"/>
          <w:rtl/>
        </w:rPr>
        <w:t>"</w:t>
      </w:r>
      <w:r w:rsidRPr="008C3C6B">
        <w:rPr>
          <w:rFonts w:cs="Arial"/>
          <w:rtl/>
        </w:rPr>
        <w:t>כ</w:t>
      </w:r>
      <w:r w:rsidRPr="002C0ED6">
        <w:rPr>
          <w:rFonts w:cs="Arial"/>
          <w:sz w:val="16"/>
          <w:szCs w:val="16"/>
          <w:rtl/>
        </w:rPr>
        <w:t xml:space="preserve"> </w:t>
      </w:r>
      <w:r w:rsidRPr="002C0ED6">
        <w:rPr>
          <w:rFonts w:cs="Arial" w:hint="cs"/>
          <w:sz w:val="16"/>
          <w:szCs w:val="16"/>
          <w:rtl/>
        </w:rPr>
        <w:t>(קכג:)</w:t>
      </w:r>
      <w:r w:rsidRPr="002C0ED6">
        <w:rPr>
          <w:rFonts w:cs="Arial"/>
          <w:sz w:val="16"/>
          <w:szCs w:val="16"/>
          <w:rtl/>
        </w:rPr>
        <w:t xml:space="preserve"> </w:t>
      </w:r>
      <w:r w:rsidRPr="008C3C6B">
        <w:rPr>
          <w:rFonts w:cs="Arial"/>
          <w:rtl/>
        </w:rPr>
        <w:t>וה"ה לנר שהדליקו בו באותו שבת אבל צרורות ומעות וכל דכוותייהו שאין עליו תורת כלי ולא תורת אוכלים חמור מכולהו ואפילו לצורך גופו או מקומו לא וכ"פ ראבי"ה</w:t>
      </w:r>
      <w:r>
        <w:rPr>
          <w:rFonts w:cs="Arial" w:hint="cs"/>
          <w:rtl/>
        </w:rPr>
        <w:t>.</w:t>
      </w:r>
    </w:p>
  </w:footnote>
  <w:footnote w:id="987">
    <w:p w14:paraId="17509F98" w14:textId="77777777" w:rsidR="004B2E7C" w:rsidRDefault="004B2E7C" w:rsidP="00285819">
      <w:pPr>
        <w:pStyle w:val="a7"/>
      </w:pPr>
      <w:r>
        <w:rPr>
          <w:rStyle w:val="a9"/>
        </w:rPr>
        <w:footnoteRef/>
      </w:r>
      <w:r>
        <w:rPr>
          <w:rFonts w:cs="Arial" w:hint="cs"/>
          <w:rtl/>
        </w:rPr>
        <w:t xml:space="preserve"> וכ"כ </w:t>
      </w:r>
      <w:r w:rsidRPr="000A6E91">
        <w:rPr>
          <w:rFonts w:cs="Arial"/>
          <w:rtl/>
        </w:rPr>
        <w:t>הג</w:t>
      </w:r>
      <w:r>
        <w:rPr>
          <w:rFonts w:cs="Arial" w:hint="cs"/>
          <w:rtl/>
        </w:rPr>
        <w:t>"א</w:t>
      </w:r>
      <w:r w:rsidRPr="000A6E91">
        <w:rPr>
          <w:rFonts w:cs="Arial"/>
          <w:rtl/>
        </w:rPr>
        <w:t xml:space="preserve"> (</w:t>
      </w:r>
      <w:r>
        <w:rPr>
          <w:rFonts w:cs="Arial" w:hint="cs"/>
          <w:rtl/>
        </w:rPr>
        <w:t xml:space="preserve">פרק כירה </w:t>
      </w:r>
      <w:r w:rsidRPr="000A6E91">
        <w:rPr>
          <w:rFonts w:cs="Arial"/>
          <w:rtl/>
        </w:rPr>
        <w:t>סי' כ)</w:t>
      </w:r>
      <w:r>
        <w:rPr>
          <w:rFonts w:cs="Arial" w:hint="cs"/>
          <w:rtl/>
        </w:rPr>
        <w:t>, וכן הבין הב"י מדברי ה</w:t>
      </w:r>
      <w:r w:rsidRPr="000A6E91">
        <w:rPr>
          <w:rFonts w:cs="Arial"/>
          <w:rtl/>
        </w:rPr>
        <w:t>רא"ש (כלל כב סי' ח</w:t>
      </w:r>
      <w:r>
        <w:rPr>
          <w:rFonts w:cs="Arial" w:hint="cs"/>
          <w:rtl/>
        </w:rPr>
        <w:t>)</w:t>
      </w:r>
      <w:r w:rsidRPr="008C3C6B">
        <w:rPr>
          <w:rFonts w:cs="Arial" w:hint="cs"/>
          <w:rtl/>
        </w:rPr>
        <w:t xml:space="preserve"> </w:t>
      </w:r>
      <w:r>
        <w:rPr>
          <w:rFonts w:cs="Arial" w:hint="cs"/>
          <w:rtl/>
        </w:rPr>
        <w:t>ורי"ו</w:t>
      </w:r>
      <w:r w:rsidRPr="000A6E91">
        <w:rPr>
          <w:rFonts w:cs="Arial"/>
          <w:rtl/>
        </w:rPr>
        <w:t xml:space="preserve"> </w:t>
      </w:r>
      <w:r>
        <w:rPr>
          <w:rFonts w:cs="Arial" w:hint="cs"/>
          <w:rtl/>
        </w:rPr>
        <w:t>(</w:t>
      </w:r>
      <w:r w:rsidRPr="000A6E91">
        <w:rPr>
          <w:rFonts w:cs="Arial"/>
          <w:rtl/>
        </w:rPr>
        <w:t>ח"ב סז:)</w:t>
      </w:r>
      <w:r>
        <w:rPr>
          <w:rFonts w:cs="Arial" w:hint="cs"/>
          <w:rtl/>
        </w:rPr>
        <w:t>.</w:t>
      </w:r>
    </w:p>
  </w:footnote>
  <w:footnote w:id="988">
    <w:p w14:paraId="0B07535A" w14:textId="77777777" w:rsidR="004B2E7C" w:rsidRDefault="004B2E7C" w:rsidP="00285819">
      <w:pPr>
        <w:pStyle w:val="a7"/>
        <w:rPr>
          <w:rtl/>
        </w:rPr>
      </w:pPr>
      <w:r>
        <w:rPr>
          <w:rStyle w:val="a9"/>
        </w:rPr>
        <w:footnoteRef/>
      </w:r>
      <w:r>
        <w:rPr>
          <w:rtl/>
        </w:rPr>
        <w:t xml:space="preserve"> </w:t>
      </w:r>
      <w:r w:rsidRPr="000A6E91">
        <w:rPr>
          <w:rFonts w:cs="Arial"/>
          <w:rtl/>
        </w:rPr>
        <w:t>משמע דבמוקצים מחמת איסור אסור לטלטלן אפילו הוצרך להם לגופן או למקומן</w:t>
      </w:r>
      <w:r>
        <w:rPr>
          <w:rFonts w:cs="Arial" w:hint="cs"/>
          <w:rtl/>
        </w:rPr>
        <w:t xml:space="preserve">... </w:t>
      </w:r>
      <w:r w:rsidRPr="000A6E91">
        <w:rPr>
          <w:rFonts w:cs="Arial"/>
          <w:rtl/>
        </w:rPr>
        <w:t>וטעמא משום דכלי שמלאכתו לאיסור לא איתקצאי לבין השמשות שהרי היה מותר לטלטלו לצורך גופו ולצורך מקומו</w:t>
      </w:r>
      <w:r>
        <w:rPr>
          <w:rFonts w:cs="Arial" w:hint="cs"/>
          <w:rtl/>
        </w:rPr>
        <w:t>,</w:t>
      </w:r>
      <w:r w:rsidRPr="000A6E91">
        <w:rPr>
          <w:rFonts w:cs="Arial"/>
          <w:rtl/>
        </w:rPr>
        <w:t xml:space="preserve"> אבל נר שהדליקו בו שבין השמשות היה אסור לטלטלו כלל אפילו לצורך גופו ומקומו</w:t>
      </w:r>
      <w:r>
        <w:rPr>
          <w:rFonts w:cs="Arial" w:hint="cs"/>
          <w:rtl/>
        </w:rPr>
        <w:t>,</w:t>
      </w:r>
      <w:r w:rsidRPr="000A6E91">
        <w:rPr>
          <w:rFonts w:cs="Arial"/>
          <w:rtl/>
        </w:rPr>
        <w:t xml:space="preserve"> דבעודו דולק פשיטא דאסור לטלטלו בכל גוונא כדאמרינן בפרק נוטל (קמב:) במניח אבן על פי החבית ומעות על הכר דבמניח נעשה בסיס לדבר האסור</w:t>
      </w:r>
      <w:r>
        <w:rPr>
          <w:rFonts w:cs="Arial" w:hint="cs"/>
          <w:rtl/>
        </w:rPr>
        <w:t>,</w:t>
      </w:r>
      <w:r w:rsidRPr="000A6E91">
        <w:rPr>
          <w:rFonts w:cs="Arial"/>
          <w:rtl/>
        </w:rPr>
        <w:t xml:space="preserve"> הלכך איתקצאי כהאי גוונא לכולי יומא</w:t>
      </w:r>
      <w:r>
        <w:rPr>
          <w:rFonts w:cs="Arial" w:hint="cs"/>
          <w:rtl/>
        </w:rPr>
        <w:t>, ב"י.</w:t>
      </w:r>
      <w:r>
        <w:rPr>
          <w:rFonts w:hint="cs"/>
          <w:rtl/>
        </w:rPr>
        <w:t xml:space="preserve"> וכ' הט"ז (סק"ב) דלפי טעמו של הב"י נמצא </w:t>
      </w:r>
      <w:r>
        <w:rPr>
          <w:rFonts w:cs="Arial" w:hint="cs"/>
          <w:rtl/>
        </w:rPr>
        <w:t>ד</w:t>
      </w:r>
      <w:r w:rsidRPr="00583E31">
        <w:rPr>
          <w:rFonts w:cs="Arial"/>
          <w:rtl/>
        </w:rPr>
        <w:t xml:space="preserve">אין איסור לדעת בעל התרומות </w:t>
      </w:r>
      <w:r w:rsidRPr="00583E31">
        <w:rPr>
          <w:rFonts w:cs="Arial" w:hint="cs"/>
          <w:sz w:val="16"/>
          <w:szCs w:val="16"/>
          <w:rtl/>
        </w:rPr>
        <w:t xml:space="preserve">(סה"ת סי' רנד, </w:t>
      </w:r>
      <w:r w:rsidRPr="00583E31">
        <w:rPr>
          <w:rFonts w:asciiTheme="minorBidi" w:hAnsiTheme="minorBidi" w:cs="Arial" w:hint="cs"/>
          <w:sz w:val="16"/>
          <w:szCs w:val="16"/>
          <w:rtl/>
        </w:rPr>
        <w:t xml:space="preserve">וז"ל- </w:t>
      </w:r>
      <w:r w:rsidRPr="00583E31">
        <w:rPr>
          <w:rFonts w:asciiTheme="minorBidi" w:hAnsiTheme="minorBidi" w:cs="Arial"/>
          <w:sz w:val="16"/>
          <w:szCs w:val="16"/>
          <w:rtl/>
        </w:rPr>
        <w:t>פי' של מניח היינו שמניח שם המעות או דבר האסור כדי לשהות שם כל השב</w:t>
      </w:r>
      <w:r w:rsidRPr="00583E31">
        <w:rPr>
          <w:rFonts w:asciiTheme="minorBidi" w:hAnsiTheme="minorBidi" w:cs="Arial" w:hint="cs"/>
          <w:sz w:val="16"/>
          <w:szCs w:val="16"/>
          <w:rtl/>
        </w:rPr>
        <w:t>ת</w:t>
      </w:r>
      <w:r w:rsidRPr="00583E31">
        <w:rPr>
          <w:rFonts w:asciiTheme="minorBidi" w:hAnsiTheme="minorBidi" w:cs="Arial"/>
          <w:sz w:val="16"/>
          <w:szCs w:val="16"/>
          <w:rtl/>
        </w:rPr>
        <w:t xml:space="preserve"> כולה</w:t>
      </w:r>
      <w:r w:rsidRPr="00583E31">
        <w:rPr>
          <w:rFonts w:asciiTheme="minorBidi" w:hAnsiTheme="minorBidi" w:cs="Arial" w:hint="cs"/>
          <w:sz w:val="16"/>
          <w:szCs w:val="16"/>
          <w:rtl/>
        </w:rPr>
        <w:t>,</w:t>
      </w:r>
      <w:r w:rsidRPr="00583E31">
        <w:rPr>
          <w:rFonts w:asciiTheme="minorBidi" w:hAnsiTheme="minorBidi" w:cs="Arial"/>
          <w:sz w:val="16"/>
          <w:szCs w:val="16"/>
          <w:rtl/>
        </w:rPr>
        <w:t xml:space="preserve"> אבל נתנן במזיד בע"ש כדי לנוטלן למחר בשבת מותר לנער כמו שכח כדתנן טומנין בגיזי צמר ואין מטלטלין אותן למחר נוטל לו הכסוי והן נופלות</w:t>
      </w:r>
      <w:r>
        <w:rPr>
          <w:rFonts w:asciiTheme="minorBidi" w:hAnsiTheme="minorBidi" w:cs="Arial" w:hint="cs"/>
          <w:sz w:val="16"/>
          <w:szCs w:val="16"/>
          <w:rtl/>
        </w:rPr>
        <w:t>, עכ"ל. וכ' האגור [שם] שכן דעת ר' ישעיה</w:t>
      </w:r>
      <w:r w:rsidRPr="00583E31">
        <w:rPr>
          <w:rFonts w:cs="Arial" w:hint="cs"/>
          <w:sz w:val="16"/>
          <w:szCs w:val="16"/>
          <w:rtl/>
        </w:rPr>
        <w:t xml:space="preserve">) </w:t>
      </w:r>
      <w:r w:rsidRPr="00583E31">
        <w:rPr>
          <w:rFonts w:cs="Arial"/>
          <w:rtl/>
        </w:rPr>
        <w:t>דסי' ש</w:t>
      </w:r>
      <w:r>
        <w:rPr>
          <w:rFonts w:cs="Arial" w:hint="cs"/>
          <w:rtl/>
        </w:rPr>
        <w:t>ט</w:t>
      </w:r>
      <w:r w:rsidRPr="00583E31">
        <w:rPr>
          <w:rFonts w:cs="Arial"/>
          <w:rtl/>
        </w:rPr>
        <w:t xml:space="preserve"> דס"ל דלא מקרי מניח אלא אם בדעתו שיהיה שם כל השבת</w:t>
      </w:r>
      <w:r>
        <w:rPr>
          <w:rFonts w:cs="Arial" w:hint="cs"/>
          <w:rtl/>
        </w:rPr>
        <w:t>,</w:t>
      </w:r>
      <w:r w:rsidRPr="00583E31">
        <w:rPr>
          <w:rFonts w:cs="Arial"/>
          <w:rtl/>
        </w:rPr>
        <w:t xml:space="preserve"> וא"כ יש היתר לדידן שאנו מכוונים שלא יהיה הנר על השלחן רק בלילה ותו לא</w:t>
      </w:r>
      <w:r>
        <w:rPr>
          <w:rFonts w:cs="Arial" w:hint="cs"/>
          <w:rtl/>
        </w:rPr>
        <w:t>,</w:t>
      </w:r>
      <w:r w:rsidRPr="00583E31">
        <w:rPr>
          <w:rFonts w:cs="Arial"/>
          <w:rtl/>
        </w:rPr>
        <w:t xml:space="preserve"> ומקפידים ע</w:t>
      </w:r>
      <w:r>
        <w:rPr>
          <w:rFonts w:cs="Arial" w:hint="cs"/>
          <w:rtl/>
        </w:rPr>
        <w:t xml:space="preserve">ל </w:t>
      </w:r>
      <w:r w:rsidRPr="00583E31">
        <w:rPr>
          <w:rFonts w:cs="Arial"/>
          <w:rtl/>
        </w:rPr>
        <w:t>ז</w:t>
      </w:r>
      <w:r>
        <w:rPr>
          <w:rFonts w:cs="Arial" w:hint="cs"/>
          <w:rtl/>
        </w:rPr>
        <w:t>ה,</w:t>
      </w:r>
      <w:r w:rsidRPr="00583E31">
        <w:rPr>
          <w:rFonts w:cs="Arial"/>
          <w:rtl/>
        </w:rPr>
        <w:t xml:space="preserve"> לא נעשה בסיס לדבר איסור כמ</w:t>
      </w:r>
      <w:r>
        <w:rPr>
          <w:rFonts w:cs="Arial" w:hint="cs"/>
          <w:rtl/>
        </w:rPr>
        <w:t>ו שכתבתי</w:t>
      </w:r>
      <w:r w:rsidRPr="00583E31">
        <w:rPr>
          <w:rFonts w:cs="Arial"/>
          <w:rtl/>
        </w:rPr>
        <w:t xml:space="preserve"> בסי' רעז ס"ג</w:t>
      </w:r>
      <w:r>
        <w:rPr>
          <w:rFonts w:cs="Arial" w:hint="cs"/>
          <w:rtl/>
        </w:rPr>
        <w:t>,</w:t>
      </w:r>
      <w:r w:rsidRPr="00583E31">
        <w:rPr>
          <w:rFonts w:cs="Arial"/>
          <w:rtl/>
        </w:rPr>
        <w:t xml:space="preserve"> נמצא דהוה דינו כשוכח ולא אתקצאי לכולי יומא ומותר לצורך גופו ומקומו אחר שכבה</w:t>
      </w:r>
      <w:r>
        <w:rPr>
          <w:rFonts w:cs="Arial" w:hint="cs"/>
          <w:rtl/>
        </w:rPr>
        <w:t>,</w:t>
      </w:r>
      <w:r w:rsidRPr="00583E31">
        <w:rPr>
          <w:rFonts w:cs="Arial"/>
          <w:rtl/>
        </w:rPr>
        <w:t xml:space="preserve"> ואותן הפוסקים שמביא ב"י שנראה מהם שאסור אפילו לצורך גופו ומקומו נראה שהם מדברים במניח הנר במקום שאין דעתו בודאי להסירו משם אחר הכיבוי. ועפ"ז נראה לי שאין מחלוקת בדבר כמ"ש ב"י דהמרדכי והאגודה מתירים דהם מדברים באופן שבודאי מכוין ליטלה משם אחר הלילה ולא נעשה בסיס כלל</w:t>
      </w:r>
      <w:r>
        <w:rPr>
          <w:rFonts w:cs="Arial" w:hint="cs"/>
          <w:rtl/>
        </w:rPr>
        <w:t>,</w:t>
      </w:r>
      <w:r w:rsidRPr="00583E31">
        <w:rPr>
          <w:rFonts w:cs="Arial"/>
          <w:rtl/>
        </w:rPr>
        <w:t xml:space="preserve"> ועמ"ש בסי</w:t>
      </w:r>
      <w:r>
        <w:rPr>
          <w:rFonts w:cs="Arial" w:hint="cs"/>
          <w:rtl/>
        </w:rPr>
        <w:t>'</w:t>
      </w:r>
      <w:r w:rsidRPr="00583E31">
        <w:rPr>
          <w:rFonts w:cs="Arial"/>
          <w:rtl/>
        </w:rPr>
        <w:t xml:space="preserve"> שט מדין זה</w:t>
      </w:r>
      <w:r>
        <w:rPr>
          <w:rFonts w:hint="cs"/>
          <w:sz w:val="16"/>
          <w:szCs w:val="16"/>
          <w:rtl/>
        </w:rPr>
        <w:t xml:space="preserve"> (עכ"ל הט"ז)</w:t>
      </w:r>
      <w:r>
        <w:rPr>
          <w:rFonts w:hint="cs"/>
          <w:rtl/>
        </w:rPr>
        <w:t>.</w:t>
      </w:r>
    </w:p>
  </w:footnote>
  <w:footnote w:id="989">
    <w:p w14:paraId="331561F6" w14:textId="77777777" w:rsidR="004B2E7C" w:rsidRDefault="004B2E7C" w:rsidP="00285819">
      <w:pPr>
        <w:pStyle w:val="a7"/>
        <w:rPr>
          <w:rtl/>
        </w:rPr>
      </w:pPr>
      <w:r>
        <w:rPr>
          <w:rStyle w:val="a9"/>
        </w:rPr>
        <w:footnoteRef/>
      </w:r>
      <w:r>
        <w:rPr>
          <w:rtl/>
        </w:rPr>
        <w:t xml:space="preserve"> </w:t>
      </w:r>
      <w:r w:rsidRPr="00FE6A7D">
        <w:rPr>
          <w:rFonts w:cs="Arial"/>
          <w:rtl/>
        </w:rPr>
        <w:t>צ"ל</w:t>
      </w:r>
      <w:r>
        <w:rPr>
          <w:rFonts w:cs="Arial" w:hint="cs"/>
          <w:rtl/>
        </w:rPr>
        <w:t>-</w:t>
      </w:r>
      <w:r w:rsidRPr="00FE6A7D">
        <w:rPr>
          <w:rFonts w:cs="Arial"/>
          <w:rtl/>
        </w:rPr>
        <w:t xml:space="preserve"> והמיקל לא הפסיד</w:t>
      </w:r>
      <w:r w:rsidRPr="00FE6A7D">
        <w:rPr>
          <w:rFonts w:cs="Arial"/>
          <w:sz w:val="16"/>
          <w:szCs w:val="16"/>
          <w:rtl/>
        </w:rPr>
        <w:t xml:space="preserve"> </w:t>
      </w:r>
      <w:r w:rsidRPr="00FE6A7D">
        <w:rPr>
          <w:rFonts w:cs="Arial"/>
          <w:rtl/>
        </w:rPr>
        <w:t>(ב"ח)</w:t>
      </w:r>
      <w:r>
        <w:rPr>
          <w:rFonts w:cs="Arial" w:hint="cs"/>
          <w:rtl/>
        </w:rPr>
        <w:t xml:space="preserve">, </w:t>
      </w:r>
      <w:r>
        <w:rPr>
          <w:rFonts w:hint="cs"/>
          <w:rtl/>
        </w:rPr>
        <w:t xml:space="preserve">מג"א </w:t>
      </w:r>
      <w:r w:rsidRPr="00FE6A7D">
        <w:rPr>
          <w:rFonts w:hint="cs"/>
          <w:sz w:val="16"/>
          <w:szCs w:val="16"/>
          <w:rtl/>
        </w:rPr>
        <w:t xml:space="preserve">(סק"ג) </w:t>
      </w:r>
      <w:r>
        <w:rPr>
          <w:rFonts w:hint="cs"/>
          <w:rtl/>
        </w:rPr>
        <w:t xml:space="preserve">וגר"א </w:t>
      </w:r>
      <w:r w:rsidRPr="00FE6A7D">
        <w:rPr>
          <w:rFonts w:hint="cs"/>
          <w:sz w:val="16"/>
          <w:szCs w:val="16"/>
          <w:rtl/>
        </w:rPr>
        <w:t>(סק"ו, אך נראה שדעת הגר"א עצמו להחמיר)</w:t>
      </w:r>
      <w:r>
        <w:rPr>
          <w:rFonts w:hint="cs"/>
          <w:rtl/>
        </w:rPr>
        <w:t xml:space="preserve">. ועי' בט"ז </w:t>
      </w:r>
      <w:r w:rsidRPr="00FE6A7D">
        <w:rPr>
          <w:rFonts w:hint="cs"/>
          <w:sz w:val="16"/>
          <w:szCs w:val="16"/>
          <w:rtl/>
        </w:rPr>
        <w:t xml:space="preserve">(סק"ג) </w:t>
      </w:r>
      <w:r>
        <w:rPr>
          <w:rFonts w:hint="cs"/>
          <w:rtl/>
        </w:rPr>
        <w:t>שדחה גירסא זו.</w:t>
      </w:r>
    </w:p>
  </w:footnote>
  <w:footnote w:id="990">
    <w:p w14:paraId="565BF208" w14:textId="77777777" w:rsidR="004B2E7C" w:rsidRDefault="004B2E7C" w:rsidP="00285819">
      <w:pPr>
        <w:pStyle w:val="a7"/>
      </w:pPr>
      <w:r>
        <w:rPr>
          <w:rStyle w:val="a9"/>
        </w:rPr>
        <w:footnoteRef/>
      </w:r>
      <w:r>
        <w:rPr>
          <w:rtl/>
        </w:rPr>
        <w:t xml:space="preserve"> </w:t>
      </w:r>
      <w:r>
        <w:rPr>
          <w:rFonts w:hint="cs"/>
          <w:rtl/>
        </w:rPr>
        <w:t>רבנו משולם בן משה מבדרש, זקנו של המאירי, חי בזמן בעלי התוס' וחכמי לוניל.</w:t>
      </w:r>
    </w:p>
  </w:footnote>
  <w:footnote w:id="991">
    <w:p w14:paraId="20610AAE" w14:textId="77777777" w:rsidR="004B2E7C" w:rsidRDefault="004B2E7C" w:rsidP="00285819">
      <w:pPr>
        <w:pStyle w:val="a7"/>
        <w:rPr>
          <w:rtl/>
        </w:rPr>
      </w:pPr>
      <w:r>
        <w:rPr>
          <w:rStyle w:val="a9"/>
        </w:rPr>
        <w:footnoteRef/>
      </w:r>
      <w:r>
        <w:rPr>
          <w:rtl/>
        </w:rPr>
        <w:t xml:space="preserve"> </w:t>
      </w:r>
      <w:r w:rsidRPr="008A2168">
        <w:rPr>
          <w:rFonts w:asciiTheme="minorBidi" w:hAnsiTheme="minorBidi"/>
          <w:rtl/>
        </w:rPr>
        <w:t xml:space="preserve">רא"ש </w:t>
      </w:r>
      <w:r w:rsidRPr="009F783B">
        <w:rPr>
          <w:rFonts w:asciiTheme="minorBidi" w:hAnsiTheme="minorBidi"/>
          <w:sz w:val="16"/>
          <w:szCs w:val="16"/>
          <w:rtl/>
        </w:rPr>
        <w:t>(שבת פכ"א סי' ב</w:t>
      </w:r>
      <w:r w:rsidRPr="009F783B">
        <w:rPr>
          <w:rFonts w:asciiTheme="minorBidi" w:hAnsiTheme="minorBidi" w:hint="cs"/>
          <w:sz w:val="16"/>
          <w:szCs w:val="16"/>
          <w:rtl/>
        </w:rPr>
        <w:t>,</w:t>
      </w:r>
      <w:r w:rsidRPr="009F783B">
        <w:rPr>
          <w:rFonts w:asciiTheme="minorBidi" w:hAnsiTheme="minorBidi"/>
          <w:sz w:val="16"/>
          <w:szCs w:val="16"/>
          <w:rtl/>
        </w:rPr>
        <w:t xml:space="preserve"> וכתבו </w:t>
      </w:r>
      <w:r w:rsidRPr="009F783B">
        <w:rPr>
          <w:rFonts w:asciiTheme="minorBidi" w:hAnsiTheme="minorBidi" w:hint="cs"/>
          <w:sz w:val="16"/>
          <w:szCs w:val="16"/>
          <w:rtl/>
        </w:rPr>
        <w:t>הטור</w:t>
      </w:r>
      <w:r w:rsidRPr="009F783B">
        <w:rPr>
          <w:rFonts w:asciiTheme="minorBidi" w:hAnsiTheme="minorBidi"/>
          <w:sz w:val="16"/>
          <w:szCs w:val="16"/>
          <w:rtl/>
        </w:rPr>
        <w:t xml:space="preserve"> בסי</w:t>
      </w:r>
      <w:r w:rsidRPr="009F783B">
        <w:rPr>
          <w:rFonts w:asciiTheme="minorBidi" w:hAnsiTheme="minorBidi" w:hint="cs"/>
          <w:sz w:val="16"/>
          <w:szCs w:val="16"/>
          <w:rtl/>
        </w:rPr>
        <w:t xml:space="preserve">' </w:t>
      </w:r>
      <w:r w:rsidRPr="009F783B">
        <w:rPr>
          <w:rFonts w:asciiTheme="minorBidi" w:hAnsiTheme="minorBidi"/>
          <w:sz w:val="16"/>
          <w:szCs w:val="16"/>
          <w:rtl/>
        </w:rPr>
        <w:t xml:space="preserve">שיא) </w:t>
      </w:r>
      <w:r w:rsidRPr="008A2168">
        <w:rPr>
          <w:rFonts w:asciiTheme="minorBidi" w:hAnsiTheme="minorBidi"/>
          <w:rtl/>
        </w:rPr>
        <w:t>בשם רבינו ניסים</w:t>
      </w:r>
      <w:r w:rsidRPr="009F783B">
        <w:rPr>
          <w:rFonts w:asciiTheme="minorBidi" w:hAnsiTheme="minorBidi" w:hint="cs"/>
          <w:rtl/>
        </w:rPr>
        <w:t xml:space="preserve"> </w:t>
      </w:r>
      <w:r w:rsidRPr="008A2168">
        <w:rPr>
          <w:rFonts w:asciiTheme="minorBidi" w:hAnsiTheme="minorBidi"/>
          <w:rtl/>
        </w:rPr>
        <w:t>בעל ההשלמה</w:t>
      </w:r>
      <w:r w:rsidRPr="009F783B">
        <w:rPr>
          <w:rFonts w:asciiTheme="minorBidi" w:hAnsiTheme="minorBidi"/>
          <w:sz w:val="16"/>
          <w:szCs w:val="16"/>
          <w:rtl/>
        </w:rPr>
        <w:t xml:space="preserve"> (לדף מד.</w:t>
      </w:r>
      <w:r w:rsidRPr="009F783B">
        <w:rPr>
          <w:rFonts w:asciiTheme="minorBidi" w:hAnsiTheme="minorBidi" w:hint="cs"/>
          <w:sz w:val="16"/>
          <w:szCs w:val="16"/>
          <w:rtl/>
        </w:rPr>
        <w:t>, כ"כ הכל בו בשמו</w:t>
      </w:r>
      <w:r w:rsidRPr="009F783B">
        <w:rPr>
          <w:rFonts w:asciiTheme="minorBidi" w:hAnsiTheme="minorBidi"/>
          <w:sz w:val="16"/>
          <w:szCs w:val="16"/>
          <w:rtl/>
        </w:rPr>
        <w:t xml:space="preserve"> </w:t>
      </w:r>
      <w:r>
        <w:rPr>
          <w:rFonts w:asciiTheme="minorBidi" w:hAnsiTheme="minorBidi" w:hint="cs"/>
          <w:sz w:val="16"/>
          <w:szCs w:val="16"/>
          <w:rtl/>
        </w:rPr>
        <w:t>[</w:t>
      </w:r>
      <w:r w:rsidRPr="009F783B">
        <w:rPr>
          <w:rFonts w:asciiTheme="minorBidi" w:hAnsiTheme="minorBidi"/>
          <w:sz w:val="16"/>
          <w:szCs w:val="16"/>
          <w:rtl/>
        </w:rPr>
        <w:t>סי' לא, לב ע"ג</w:t>
      </w:r>
      <w:r>
        <w:rPr>
          <w:rFonts w:asciiTheme="minorBidi" w:hAnsiTheme="minorBidi" w:hint="cs"/>
          <w:sz w:val="16"/>
          <w:szCs w:val="16"/>
          <w:rtl/>
        </w:rPr>
        <w:t>]</w:t>
      </w:r>
      <w:r w:rsidRPr="009F783B">
        <w:rPr>
          <w:rFonts w:asciiTheme="minorBidi" w:hAnsiTheme="minorBidi"/>
          <w:sz w:val="16"/>
          <w:szCs w:val="16"/>
          <w:rtl/>
        </w:rPr>
        <w:t xml:space="preserve">) </w:t>
      </w:r>
      <w:r w:rsidRPr="009F783B">
        <w:rPr>
          <w:rFonts w:asciiTheme="minorBidi" w:hAnsiTheme="minorBidi" w:hint="cs"/>
          <w:rtl/>
        </w:rPr>
        <w:t>ורי"ו</w:t>
      </w:r>
      <w:r w:rsidRPr="009F783B">
        <w:rPr>
          <w:rFonts w:asciiTheme="minorBidi" w:hAnsiTheme="minorBidi"/>
          <w:rtl/>
        </w:rPr>
        <w:t xml:space="preserve"> </w:t>
      </w:r>
      <w:r w:rsidRPr="009F783B">
        <w:rPr>
          <w:rFonts w:asciiTheme="minorBidi" w:hAnsiTheme="minorBidi"/>
          <w:sz w:val="16"/>
          <w:szCs w:val="16"/>
          <w:rtl/>
        </w:rPr>
        <w:t>(</w:t>
      </w:r>
      <w:r w:rsidRPr="009F783B">
        <w:rPr>
          <w:rFonts w:asciiTheme="minorBidi" w:hAnsiTheme="minorBidi" w:hint="cs"/>
          <w:sz w:val="16"/>
          <w:szCs w:val="16"/>
          <w:rtl/>
        </w:rPr>
        <w:t>ח"ב סז:</w:t>
      </w:r>
      <w:r w:rsidRPr="009F783B">
        <w:rPr>
          <w:rFonts w:asciiTheme="minorBidi" w:hAnsiTheme="minorBidi"/>
          <w:sz w:val="16"/>
          <w:szCs w:val="16"/>
          <w:rtl/>
        </w:rPr>
        <w:t>)</w:t>
      </w:r>
      <w:r>
        <w:rPr>
          <w:rFonts w:hint="cs"/>
          <w:rtl/>
        </w:rPr>
        <w:t>.</w:t>
      </w:r>
    </w:p>
  </w:footnote>
  <w:footnote w:id="992">
    <w:p w14:paraId="45E36CA8" w14:textId="77777777" w:rsidR="004B2E7C" w:rsidRDefault="004B2E7C" w:rsidP="00285819">
      <w:pPr>
        <w:pStyle w:val="a7"/>
        <w:rPr>
          <w:rtl/>
        </w:rPr>
      </w:pPr>
      <w:r>
        <w:rPr>
          <w:rStyle w:val="a9"/>
        </w:rPr>
        <w:footnoteRef/>
      </w:r>
      <w:r>
        <w:rPr>
          <w:rtl/>
        </w:rPr>
        <w:t xml:space="preserve"> </w:t>
      </w:r>
      <w:r>
        <w:rPr>
          <w:rFonts w:hint="cs"/>
          <w:rtl/>
        </w:rPr>
        <w:t xml:space="preserve">וכ' הכל בו- </w:t>
      </w:r>
      <w:r w:rsidRPr="008A2168">
        <w:rPr>
          <w:rFonts w:asciiTheme="minorBidi" w:hAnsiTheme="minorBidi"/>
          <w:rtl/>
        </w:rPr>
        <w:t>ונדחית סברא זו מההיא דאמרינן (מה.) מניחין נר על גבי דקל דמשמע שאין בו שום היתר לטלטלו אפילו כבה שאם יהיה בו שום היתר לטלטלו אפילו כבה לא יתירו להניחו על גבי דקל שישתמש במחובר</w:t>
      </w:r>
      <w:r>
        <w:rPr>
          <w:rFonts w:asciiTheme="minorBidi" w:hAnsiTheme="minorBidi" w:hint="cs"/>
          <w:rtl/>
        </w:rPr>
        <w:t>, עכ"ל</w:t>
      </w:r>
      <w:r w:rsidRPr="008A2168">
        <w:rPr>
          <w:rFonts w:asciiTheme="minorBidi" w:hAnsiTheme="minorBidi"/>
          <w:rtl/>
        </w:rPr>
        <w:t xml:space="preserve">. </w:t>
      </w:r>
      <w:r>
        <w:rPr>
          <w:rFonts w:asciiTheme="minorBidi" w:hAnsiTheme="minorBidi" w:hint="cs"/>
          <w:rtl/>
        </w:rPr>
        <w:t xml:space="preserve">וכ' הב"י- </w:t>
      </w:r>
      <w:r w:rsidRPr="008A2168">
        <w:rPr>
          <w:rFonts w:asciiTheme="minorBidi" w:hAnsiTheme="minorBidi"/>
          <w:rtl/>
        </w:rPr>
        <w:t>ולי אי מההיא לא איריא דהא איכא למימר דכי שרינן נר על גבי דקל בשלא הניח עליו ככר דוקא התירו</w:t>
      </w:r>
      <w:r>
        <w:rPr>
          <w:rFonts w:hint="cs"/>
          <w:rtl/>
        </w:rPr>
        <w:t>.</w:t>
      </w:r>
    </w:p>
  </w:footnote>
  <w:footnote w:id="993">
    <w:p w14:paraId="40CC52C1" w14:textId="77777777" w:rsidR="004B2E7C" w:rsidRDefault="004B2E7C" w:rsidP="00285819">
      <w:pPr>
        <w:pStyle w:val="a7"/>
        <w:rPr>
          <w:rtl/>
        </w:rPr>
      </w:pPr>
      <w:r>
        <w:rPr>
          <w:rStyle w:val="a9"/>
        </w:rPr>
        <w:footnoteRef/>
      </w:r>
      <w:r>
        <w:rPr>
          <w:rtl/>
        </w:rPr>
        <w:t xml:space="preserve"> </w:t>
      </w:r>
      <w:r w:rsidRPr="00DD5748">
        <w:rPr>
          <w:rFonts w:asciiTheme="minorBidi" w:hAnsiTheme="minorBidi"/>
          <w:rtl/>
        </w:rPr>
        <w:t xml:space="preserve">רמב"ן </w:t>
      </w:r>
      <w:r w:rsidRPr="00BB364E">
        <w:rPr>
          <w:rFonts w:asciiTheme="minorBidi" w:hAnsiTheme="minorBidi"/>
          <w:sz w:val="16"/>
          <w:szCs w:val="16"/>
          <w:rtl/>
        </w:rPr>
        <w:t>(חי</w:t>
      </w:r>
      <w:r w:rsidRPr="00BB364E">
        <w:rPr>
          <w:rFonts w:asciiTheme="minorBidi" w:hAnsiTheme="minorBidi" w:hint="cs"/>
          <w:sz w:val="16"/>
          <w:szCs w:val="16"/>
          <w:rtl/>
        </w:rPr>
        <w:t>דו' סוע"א,</w:t>
      </w:r>
      <w:r w:rsidRPr="00BB364E">
        <w:rPr>
          <w:rFonts w:asciiTheme="minorBidi" w:hAnsiTheme="minorBidi"/>
          <w:sz w:val="16"/>
          <w:szCs w:val="16"/>
          <w:rtl/>
        </w:rPr>
        <w:t xml:space="preserve"> וכ</w:t>
      </w:r>
      <w:r w:rsidRPr="00BB364E">
        <w:rPr>
          <w:rFonts w:asciiTheme="minorBidi" w:hAnsiTheme="minorBidi" w:hint="cs"/>
          <w:sz w:val="16"/>
          <w:szCs w:val="16"/>
          <w:rtl/>
        </w:rPr>
        <w:t>"כ הה"מ</w:t>
      </w:r>
      <w:r w:rsidRPr="00BB364E">
        <w:rPr>
          <w:rFonts w:asciiTheme="minorBidi" w:hAnsiTheme="minorBidi"/>
          <w:sz w:val="16"/>
          <w:szCs w:val="16"/>
          <w:rtl/>
        </w:rPr>
        <w:t xml:space="preserve"> </w:t>
      </w:r>
      <w:r w:rsidRPr="00BB364E">
        <w:rPr>
          <w:rFonts w:asciiTheme="minorBidi" w:hAnsiTheme="minorBidi" w:hint="cs"/>
          <w:sz w:val="16"/>
          <w:szCs w:val="16"/>
          <w:rtl/>
        </w:rPr>
        <w:t>[פ</w:t>
      </w:r>
      <w:r w:rsidRPr="00BB364E">
        <w:rPr>
          <w:rFonts w:asciiTheme="minorBidi" w:hAnsiTheme="minorBidi"/>
          <w:sz w:val="16"/>
          <w:szCs w:val="16"/>
          <w:rtl/>
        </w:rPr>
        <w:t>כ"ה ה"י</w:t>
      </w:r>
      <w:r w:rsidRPr="00BB364E">
        <w:rPr>
          <w:rFonts w:asciiTheme="minorBidi" w:hAnsiTheme="minorBidi" w:hint="cs"/>
          <w:sz w:val="16"/>
          <w:szCs w:val="16"/>
          <w:rtl/>
        </w:rPr>
        <w:t>] בשמו</w:t>
      </w:r>
      <w:r w:rsidRPr="00BB364E">
        <w:rPr>
          <w:rFonts w:asciiTheme="minorBidi" w:hAnsiTheme="minorBidi"/>
          <w:sz w:val="16"/>
          <w:szCs w:val="16"/>
          <w:rtl/>
        </w:rPr>
        <w:t xml:space="preserve">) </w:t>
      </w:r>
      <w:r w:rsidRPr="00DD5748">
        <w:rPr>
          <w:rFonts w:asciiTheme="minorBidi" w:hAnsiTheme="minorBidi"/>
          <w:rtl/>
        </w:rPr>
        <w:t xml:space="preserve">רשב"א </w:t>
      </w:r>
      <w:r w:rsidRPr="00BB364E">
        <w:rPr>
          <w:rFonts w:asciiTheme="minorBidi" w:hAnsiTheme="minorBidi"/>
          <w:sz w:val="16"/>
          <w:szCs w:val="16"/>
          <w:rtl/>
        </w:rPr>
        <w:t>(ח"ג סו"ס רסח</w:t>
      </w:r>
      <w:r w:rsidRPr="00BB364E">
        <w:rPr>
          <w:rFonts w:asciiTheme="minorBidi" w:hAnsiTheme="minorBidi" w:hint="cs"/>
          <w:sz w:val="16"/>
          <w:szCs w:val="16"/>
          <w:rtl/>
        </w:rPr>
        <w:t>, ובעבוה"ק,</w:t>
      </w:r>
      <w:r w:rsidRPr="00BB364E">
        <w:rPr>
          <w:rFonts w:asciiTheme="minorBidi" w:hAnsiTheme="minorBidi"/>
          <w:sz w:val="16"/>
          <w:szCs w:val="16"/>
          <w:rtl/>
        </w:rPr>
        <w:t xml:space="preserve"> וכ</w:t>
      </w:r>
      <w:r w:rsidRPr="00BB364E">
        <w:rPr>
          <w:rFonts w:asciiTheme="minorBidi" w:hAnsiTheme="minorBidi" w:hint="cs"/>
          <w:sz w:val="16"/>
          <w:szCs w:val="16"/>
          <w:rtl/>
        </w:rPr>
        <w:t>"כ הה"מ</w:t>
      </w:r>
      <w:r w:rsidRPr="00BB364E">
        <w:rPr>
          <w:rFonts w:asciiTheme="minorBidi" w:hAnsiTheme="minorBidi"/>
          <w:sz w:val="16"/>
          <w:szCs w:val="16"/>
          <w:rtl/>
        </w:rPr>
        <w:t xml:space="preserve"> </w:t>
      </w:r>
      <w:r w:rsidRPr="00BB364E">
        <w:rPr>
          <w:rFonts w:asciiTheme="minorBidi" w:hAnsiTheme="minorBidi" w:hint="cs"/>
          <w:sz w:val="16"/>
          <w:szCs w:val="16"/>
          <w:rtl/>
        </w:rPr>
        <w:t>[פ</w:t>
      </w:r>
      <w:r w:rsidRPr="00BB364E">
        <w:rPr>
          <w:rFonts w:asciiTheme="minorBidi" w:hAnsiTheme="minorBidi"/>
          <w:sz w:val="16"/>
          <w:szCs w:val="16"/>
          <w:rtl/>
        </w:rPr>
        <w:t>כ"ה ה"י</w:t>
      </w:r>
      <w:r w:rsidRPr="00BB364E">
        <w:rPr>
          <w:rFonts w:asciiTheme="minorBidi" w:hAnsiTheme="minorBidi" w:hint="cs"/>
          <w:sz w:val="16"/>
          <w:szCs w:val="16"/>
          <w:rtl/>
        </w:rPr>
        <w:t>] בשמו</w:t>
      </w:r>
      <w:r w:rsidRPr="00BB364E">
        <w:rPr>
          <w:rFonts w:asciiTheme="minorBidi" w:hAnsiTheme="minorBidi"/>
          <w:sz w:val="16"/>
          <w:szCs w:val="16"/>
          <w:rtl/>
        </w:rPr>
        <w:t>)</w:t>
      </w:r>
      <w:r w:rsidRPr="00DD5748">
        <w:rPr>
          <w:rFonts w:asciiTheme="minorBidi" w:hAnsiTheme="minorBidi"/>
          <w:rtl/>
        </w:rPr>
        <w:t xml:space="preserve"> </w:t>
      </w:r>
      <w:r>
        <w:rPr>
          <w:rFonts w:asciiTheme="minorBidi" w:hAnsiTheme="minorBidi" w:hint="cs"/>
          <w:rtl/>
        </w:rPr>
        <w:t>א"ח</w:t>
      </w:r>
      <w:r w:rsidRPr="002C0ED6">
        <w:rPr>
          <w:rFonts w:asciiTheme="minorBidi" w:hAnsiTheme="minorBidi"/>
          <w:rtl/>
        </w:rPr>
        <w:t xml:space="preserve"> </w:t>
      </w:r>
      <w:r w:rsidRPr="00BB364E">
        <w:rPr>
          <w:rFonts w:asciiTheme="minorBidi" w:hAnsiTheme="minorBidi"/>
          <w:sz w:val="16"/>
          <w:szCs w:val="16"/>
          <w:rtl/>
        </w:rPr>
        <w:t xml:space="preserve">(הל' שבת סי' שע) </w:t>
      </w:r>
      <w:r w:rsidRPr="002C0ED6">
        <w:rPr>
          <w:rFonts w:asciiTheme="minorBidi" w:hAnsiTheme="minorBidi"/>
          <w:rtl/>
        </w:rPr>
        <w:t>בשם הרא"ה</w:t>
      </w:r>
      <w:r w:rsidRPr="00DD5748">
        <w:rPr>
          <w:rFonts w:asciiTheme="minorBidi" w:hAnsiTheme="minorBidi"/>
          <w:rtl/>
        </w:rPr>
        <w:t xml:space="preserve"> ר"ן </w:t>
      </w:r>
      <w:r w:rsidRPr="00BB364E">
        <w:rPr>
          <w:rFonts w:asciiTheme="minorBidi" w:hAnsiTheme="minorBidi"/>
          <w:sz w:val="16"/>
          <w:szCs w:val="16"/>
          <w:rtl/>
        </w:rPr>
        <w:t xml:space="preserve">(כא. ד"ה והא) </w:t>
      </w:r>
      <w:r w:rsidRPr="002C0ED6">
        <w:rPr>
          <w:rFonts w:asciiTheme="minorBidi" w:hAnsiTheme="minorBidi"/>
          <w:rtl/>
        </w:rPr>
        <w:t xml:space="preserve">רשב"ץ </w:t>
      </w:r>
      <w:r w:rsidRPr="00BB364E">
        <w:rPr>
          <w:rFonts w:asciiTheme="minorBidi" w:hAnsiTheme="minorBidi"/>
          <w:sz w:val="16"/>
          <w:szCs w:val="16"/>
          <w:rtl/>
        </w:rPr>
        <w:t>(ח"א סי' קלז)</w:t>
      </w:r>
      <w:r w:rsidRPr="00BB364E">
        <w:rPr>
          <w:rFonts w:asciiTheme="minorBidi" w:hAnsiTheme="minorBidi" w:hint="cs"/>
          <w:sz w:val="16"/>
          <w:szCs w:val="16"/>
          <w:rtl/>
        </w:rPr>
        <w:t xml:space="preserve"> </w:t>
      </w:r>
      <w:r>
        <w:rPr>
          <w:rFonts w:asciiTheme="minorBidi" w:hAnsiTheme="minorBidi" w:hint="cs"/>
          <w:rtl/>
        </w:rPr>
        <w:t>ו</w:t>
      </w:r>
      <w:r w:rsidRPr="002C0ED6">
        <w:rPr>
          <w:rFonts w:asciiTheme="minorBidi" w:hAnsiTheme="minorBidi"/>
          <w:rtl/>
        </w:rPr>
        <w:t xml:space="preserve">רשב"ש </w:t>
      </w:r>
      <w:r w:rsidRPr="00BB364E">
        <w:rPr>
          <w:rFonts w:asciiTheme="minorBidi" w:hAnsiTheme="minorBidi" w:hint="cs"/>
          <w:sz w:val="16"/>
          <w:szCs w:val="16"/>
          <w:rtl/>
        </w:rPr>
        <w:t>(</w:t>
      </w:r>
      <w:r w:rsidRPr="00BB364E">
        <w:rPr>
          <w:rFonts w:asciiTheme="minorBidi" w:hAnsiTheme="minorBidi"/>
          <w:sz w:val="16"/>
          <w:szCs w:val="16"/>
          <w:rtl/>
        </w:rPr>
        <w:t>סי' תז)</w:t>
      </w:r>
      <w:r>
        <w:rPr>
          <w:rFonts w:hint="cs"/>
          <w:rtl/>
        </w:rPr>
        <w:t>.</w:t>
      </w:r>
    </w:p>
  </w:footnote>
  <w:footnote w:id="994">
    <w:p w14:paraId="798F9B43" w14:textId="77777777" w:rsidR="004B2E7C" w:rsidRDefault="004B2E7C" w:rsidP="00285819">
      <w:pPr>
        <w:pStyle w:val="a7"/>
        <w:rPr>
          <w:rtl/>
        </w:rPr>
      </w:pPr>
      <w:r>
        <w:rPr>
          <w:rStyle w:val="a9"/>
        </w:rPr>
        <w:footnoteRef/>
      </w:r>
      <w:r>
        <w:rPr>
          <w:rtl/>
        </w:rPr>
        <w:t xml:space="preserve"> </w:t>
      </w:r>
      <w:r>
        <w:rPr>
          <w:rFonts w:cs="Arial" w:hint="cs"/>
          <w:rtl/>
        </w:rPr>
        <w:t>וכתב עוד ה</w:t>
      </w:r>
      <w:r w:rsidRPr="00B13CD2">
        <w:rPr>
          <w:rFonts w:cs="Arial"/>
          <w:rtl/>
        </w:rPr>
        <w:t>ר"ן</w:t>
      </w:r>
      <w:r w:rsidRPr="00687D16">
        <w:rPr>
          <w:rFonts w:cs="Arial"/>
          <w:sz w:val="16"/>
          <w:szCs w:val="16"/>
          <w:rtl/>
        </w:rPr>
        <w:t xml:space="preserve"> </w:t>
      </w:r>
      <w:r w:rsidRPr="00687D16">
        <w:rPr>
          <w:rFonts w:cs="Arial" w:hint="cs"/>
          <w:sz w:val="16"/>
          <w:szCs w:val="16"/>
          <w:rtl/>
        </w:rPr>
        <w:t>(</w:t>
      </w:r>
      <w:r w:rsidRPr="00687D16">
        <w:rPr>
          <w:rFonts w:cs="Arial"/>
          <w:sz w:val="16"/>
          <w:szCs w:val="16"/>
          <w:rtl/>
        </w:rPr>
        <w:t>ביצה יז. דיבור ראשון)</w:t>
      </w:r>
      <w:r>
        <w:rPr>
          <w:rFonts w:cs="Arial" w:hint="cs"/>
          <w:rtl/>
        </w:rPr>
        <w:t xml:space="preserve"> ש</w:t>
      </w:r>
      <w:r w:rsidRPr="00B13CD2">
        <w:rPr>
          <w:rFonts w:cs="Arial"/>
          <w:rtl/>
        </w:rPr>
        <w:t>תנאי מהני לכל מוקצה מחמת איסור לאחר שיעבור זמן איסורו</w:t>
      </w:r>
      <w:r>
        <w:rPr>
          <w:rFonts w:cs="Arial" w:hint="cs"/>
          <w:rtl/>
        </w:rPr>
        <w:t>.</w:t>
      </w:r>
      <w:r w:rsidRPr="00B13CD2">
        <w:rPr>
          <w:rFonts w:cs="Arial"/>
          <w:rtl/>
        </w:rPr>
        <w:t xml:space="preserve"> וכן כתב בפרק כירה (כא. ד"ה והא) בשם הרמב"ן (מה. ד"ה ואיכא) והביא ראיה מהירושלמי (שבת פ"ג ה"ז)</w:t>
      </w:r>
      <w:r>
        <w:rPr>
          <w:rFonts w:cs="Arial" w:hint="cs"/>
          <w:rtl/>
        </w:rPr>
        <w:t>.</w:t>
      </w:r>
      <w:r w:rsidRPr="00B13CD2">
        <w:rPr>
          <w:rFonts w:cs="Arial"/>
          <w:rtl/>
        </w:rPr>
        <w:t xml:space="preserve"> וכן כתב הרב המגיד בפכ"ה (ה"י) בשם הרמב"ן (שם) והרשב"א (שו"ת ח"ג סי' רסח) ז"ל</w:t>
      </w:r>
      <w:r>
        <w:rPr>
          <w:rFonts w:cs="Arial" w:hint="cs"/>
          <w:rtl/>
        </w:rPr>
        <w:t>, ב"י (סוף סי' שח).</w:t>
      </w:r>
    </w:p>
  </w:footnote>
  <w:footnote w:id="995">
    <w:p w14:paraId="154461CA" w14:textId="77777777" w:rsidR="004B2E7C" w:rsidRDefault="004B2E7C" w:rsidP="00285819">
      <w:pPr>
        <w:pStyle w:val="a7"/>
        <w:rPr>
          <w:rtl/>
        </w:rPr>
      </w:pPr>
      <w:r>
        <w:rPr>
          <w:rStyle w:val="a9"/>
        </w:rPr>
        <w:footnoteRef/>
      </w:r>
      <w:r>
        <w:rPr>
          <w:rtl/>
        </w:rPr>
        <w:t xml:space="preserve"> </w:t>
      </w:r>
      <w:r w:rsidRPr="002C0ED6">
        <w:rPr>
          <w:rFonts w:asciiTheme="minorBidi" w:hAnsiTheme="minorBidi"/>
          <w:rtl/>
        </w:rPr>
        <w:t>וכת</w:t>
      </w:r>
      <w:r>
        <w:rPr>
          <w:rFonts w:asciiTheme="minorBidi" w:hAnsiTheme="minorBidi" w:hint="cs"/>
          <w:rtl/>
        </w:rPr>
        <w:t xml:space="preserve">ב הא"ח </w:t>
      </w:r>
      <w:r w:rsidRPr="00BB364E">
        <w:rPr>
          <w:rFonts w:asciiTheme="minorBidi" w:hAnsiTheme="minorBidi" w:hint="cs"/>
          <w:sz w:val="16"/>
          <w:szCs w:val="16"/>
          <w:rtl/>
        </w:rPr>
        <w:t>(הל' סוכה סי' מא, הביאו הב"י בסי' תרלח)</w:t>
      </w:r>
      <w:r w:rsidRPr="00BB364E">
        <w:rPr>
          <w:rFonts w:asciiTheme="minorBidi" w:hAnsiTheme="minorBidi"/>
          <w:sz w:val="16"/>
          <w:szCs w:val="16"/>
          <w:rtl/>
        </w:rPr>
        <w:t xml:space="preserve"> </w:t>
      </w:r>
      <w:r>
        <w:rPr>
          <w:rFonts w:asciiTheme="minorBidi" w:hAnsiTheme="minorBidi" w:hint="cs"/>
          <w:rtl/>
        </w:rPr>
        <w:t>ד</w:t>
      </w:r>
      <w:r w:rsidRPr="002C0ED6">
        <w:rPr>
          <w:rFonts w:asciiTheme="minorBidi" w:hAnsiTheme="minorBidi"/>
          <w:rtl/>
        </w:rPr>
        <w:t>צריך לעשות תנאו סמוך לבין השמשות</w:t>
      </w:r>
      <w:r>
        <w:rPr>
          <w:rFonts w:asciiTheme="minorBidi" w:hAnsiTheme="minorBidi" w:hint="cs"/>
          <w:rtl/>
        </w:rPr>
        <w:t>.</w:t>
      </w:r>
      <w:r w:rsidRPr="002C0ED6">
        <w:rPr>
          <w:rFonts w:asciiTheme="minorBidi" w:hAnsiTheme="minorBidi"/>
          <w:rtl/>
        </w:rPr>
        <w:t xml:space="preserve"> </w:t>
      </w:r>
      <w:r>
        <w:rPr>
          <w:rFonts w:asciiTheme="minorBidi" w:hAnsiTheme="minorBidi" w:hint="cs"/>
          <w:rtl/>
        </w:rPr>
        <w:t xml:space="preserve">וכ' הדרכ"מ </w:t>
      </w:r>
      <w:r w:rsidRPr="004A4D9B">
        <w:rPr>
          <w:rFonts w:asciiTheme="minorBidi" w:hAnsiTheme="minorBidi" w:hint="cs"/>
          <w:sz w:val="16"/>
          <w:szCs w:val="16"/>
          <w:rtl/>
        </w:rPr>
        <w:t>(סי' תרלח סק"ג)</w:t>
      </w:r>
      <w:r w:rsidRPr="004A4D9B">
        <w:rPr>
          <w:sz w:val="16"/>
          <w:szCs w:val="16"/>
          <w:rtl/>
        </w:rPr>
        <w:t xml:space="preserve"> </w:t>
      </w:r>
      <w:r w:rsidRPr="00BB364E">
        <w:rPr>
          <w:rFonts w:asciiTheme="minorBidi" w:hAnsiTheme="minorBidi" w:cs="Arial"/>
          <w:rtl/>
        </w:rPr>
        <w:t>וצ"ע מאי טעמא צריך לעמוד סמוך לבין השמשות ולהתנות</w:t>
      </w:r>
      <w:r>
        <w:rPr>
          <w:rFonts w:asciiTheme="minorBidi" w:hAnsiTheme="minorBidi" w:cs="Arial" w:hint="cs"/>
          <w:rtl/>
        </w:rPr>
        <w:t>,</w:t>
      </w:r>
      <w:r w:rsidRPr="00BB364E">
        <w:rPr>
          <w:rFonts w:asciiTheme="minorBidi" w:hAnsiTheme="minorBidi" w:cs="Arial"/>
          <w:rtl/>
        </w:rPr>
        <w:t xml:space="preserve"> ואמאי לא יהנה תנאי שקודם לכן</w:t>
      </w:r>
      <w:r>
        <w:rPr>
          <w:rFonts w:asciiTheme="minorBidi" w:hAnsiTheme="minorBidi" w:cs="Arial" w:hint="cs"/>
          <w:rtl/>
        </w:rPr>
        <w:t>,</w:t>
      </w:r>
      <w:r w:rsidRPr="00BB364E">
        <w:rPr>
          <w:rFonts w:asciiTheme="minorBidi" w:hAnsiTheme="minorBidi" w:cs="Arial"/>
          <w:rtl/>
        </w:rPr>
        <w:t xml:space="preserve"> ואפשר שסמוך לבין השמשות דקאמר לאו דוקא אלא בא לומר שצריך שיעשה קודם בין השמשות</w:t>
      </w:r>
      <w:r>
        <w:rPr>
          <w:rFonts w:asciiTheme="minorBidi" w:hAnsiTheme="minorBidi" w:cs="Arial" w:hint="cs"/>
          <w:rtl/>
        </w:rPr>
        <w:t>,</w:t>
      </w:r>
      <w:r w:rsidRPr="00BB364E">
        <w:rPr>
          <w:rFonts w:asciiTheme="minorBidi" w:hAnsiTheme="minorBidi" w:cs="Arial"/>
          <w:rtl/>
        </w:rPr>
        <w:t xml:space="preserve"> ועוד אפשר שצריך לאמרו סמוך לבין השמשות כמו שאמרו (שבת לד</w:t>
      </w:r>
      <w:r>
        <w:rPr>
          <w:rFonts w:asciiTheme="minorBidi" w:hAnsiTheme="minorBidi" w:cs="Arial" w:hint="cs"/>
          <w:rtl/>
        </w:rPr>
        <w:t>.</w:t>
      </w:r>
      <w:r w:rsidRPr="00BB364E">
        <w:rPr>
          <w:rFonts w:asciiTheme="minorBidi" w:hAnsiTheme="minorBidi" w:cs="Arial"/>
          <w:rtl/>
        </w:rPr>
        <w:t>) שלשה דברים צריך אדם לומר בתוך ביתו ערב שבת עם חשכה וכו'</w:t>
      </w:r>
      <w:r>
        <w:rPr>
          <w:rFonts w:asciiTheme="minorBidi" w:hAnsiTheme="minorBidi" w:cs="Arial" w:hint="cs"/>
          <w:rtl/>
        </w:rPr>
        <w:t>,</w:t>
      </w:r>
      <w:r w:rsidRPr="00BB364E">
        <w:rPr>
          <w:rFonts w:asciiTheme="minorBidi" w:hAnsiTheme="minorBidi" w:cs="Arial"/>
          <w:rtl/>
        </w:rPr>
        <w:t xml:space="preserve"> ומ</w:t>
      </w:r>
      <w:r>
        <w:rPr>
          <w:rFonts w:asciiTheme="minorBidi" w:hAnsiTheme="minorBidi" w:cs="Arial" w:hint="cs"/>
          <w:rtl/>
        </w:rPr>
        <w:t>"מ</w:t>
      </w:r>
      <w:r w:rsidRPr="00BB364E">
        <w:rPr>
          <w:rFonts w:asciiTheme="minorBidi" w:hAnsiTheme="minorBidi" w:cs="Arial"/>
          <w:rtl/>
        </w:rPr>
        <w:t xml:space="preserve"> שמעינן מזה דלא כדברי מהרי"ל (הל' סוכות סי' יב) שכתב שצריך לעמוד בשעת בין השמשות ולומר איני בודל עצמי כל בין השמשות ליקח כל מה שארצה. ואין דבריו נכונים כי צריך לעשות כן קודם בין השמשות כי מאחר שנכנס ספק בין השמשות תו לא מהני תנאי</w:t>
      </w:r>
      <w:r>
        <w:rPr>
          <w:rFonts w:asciiTheme="minorBidi" w:hAnsiTheme="minorBidi" w:hint="cs"/>
          <w:rtl/>
        </w:rPr>
        <w:t>.</w:t>
      </w:r>
    </w:p>
  </w:footnote>
  <w:footnote w:id="996">
    <w:p w14:paraId="7B682D04" w14:textId="77777777" w:rsidR="004B2E7C" w:rsidRDefault="004B2E7C" w:rsidP="00285819">
      <w:pPr>
        <w:pStyle w:val="a7"/>
      </w:pPr>
      <w:r>
        <w:rPr>
          <w:rStyle w:val="a9"/>
        </w:rPr>
        <w:footnoteRef/>
      </w:r>
      <w:r>
        <w:rPr>
          <w:rtl/>
        </w:rPr>
        <w:t xml:space="preserve"> </w:t>
      </w:r>
      <w:r w:rsidRPr="00202595">
        <w:rPr>
          <w:rFonts w:cs="Arial"/>
          <w:rtl/>
        </w:rPr>
        <w:t xml:space="preserve">וא"ת ומ"ש נר שכבה דאסור לטלטל לר' יהודה מסוכה רעועה דעלמא דמהני בה תנאי </w:t>
      </w:r>
      <w:r w:rsidRPr="00202595">
        <w:rPr>
          <w:rFonts w:cs="Arial" w:hint="cs"/>
          <w:sz w:val="16"/>
          <w:szCs w:val="16"/>
          <w:rtl/>
        </w:rPr>
        <w:t>(</w:t>
      </w:r>
      <w:r w:rsidRPr="00202595">
        <w:rPr>
          <w:rFonts w:cs="Arial"/>
          <w:sz w:val="16"/>
          <w:szCs w:val="16"/>
          <w:rtl/>
        </w:rPr>
        <w:t>כדאמר לקמן בשמעתין ואם התנה עליה הכל לפי תנאו ומוקי לה במסכת ביצה (דף ל:) בסוכה דעלמא ורעועה דאתמול דעתיה עילויה שתפול ונר נמי דעתיה עילויה שיכבה ואמאי אין מועיל תנאי להסתפק ממותר השמן ולר"ש נמי יועיל תנאי להסתפק מן השמן המטפטף בשעה שהנר דולק</w:t>
      </w:r>
      <w:r>
        <w:rPr>
          <w:rFonts w:cs="Arial" w:hint="cs"/>
          <w:sz w:val="16"/>
          <w:szCs w:val="16"/>
          <w:rtl/>
        </w:rPr>
        <w:t>)</w:t>
      </w:r>
      <w:r w:rsidRPr="00202595">
        <w:rPr>
          <w:rFonts w:cs="Arial"/>
          <w:rtl/>
        </w:rPr>
        <w:t xml:space="preserve"> וי"ל דהתם סוכה דעלמא היתה עשויה מזמן גדול ועתה ביה"ש אינו בודל ממנה ויושב ומצפה מתי תפול אבל נר עיקר הקצאתו הוא ביה"ש ודחייה בידי' לצורך שבת וחמיר טפי ולא מהני ביה תנאי</w:t>
      </w:r>
      <w:r>
        <w:rPr>
          <w:rFonts w:cs="Arial" w:hint="cs"/>
          <w:rtl/>
        </w:rPr>
        <w:t>, תוס'.</w:t>
      </w:r>
    </w:p>
  </w:footnote>
  <w:footnote w:id="997">
    <w:p w14:paraId="6693D9DA" w14:textId="77777777" w:rsidR="004B2E7C" w:rsidRDefault="004B2E7C" w:rsidP="00285819">
      <w:pPr>
        <w:pStyle w:val="a7"/>
        <w:rPr>
          <w:rtl/>
        </w:rPr>
      </w:pPr>
      <w:r>
        <w:rPr>
          <w:rStyle w:val="a9"/>
        </w:rPr>
        <w:footnoteRef/>
      </w:r>
      <w:r>
        <w:rPr>
          <w:rtl/>
        </w:rPr>
        <w:t xml:space="preserve"> </w:t>
      </w:r>
      <w:r>
        <w:rPr>
          <w:rFonts w:asciiTheme="minorBidi" w:hAnsiTheme="minorBidi" w:hint="cs"/>
          <w:rtl/>
        </w:rPr>
        <w:t>וה</w:t>
      </w:r>
      <w:r w:rsidRPr="002C0ED6">
        <w:rPr>
          <w:rFonts w:asciiTheme="minorBidi" w:hAnsiTheme="minorBidi"/>
          <w:rtl/>
        </w:rPr>
        <w:t xml:space="preserve">רשב"ש </w:t>
      </w:r>
      <w:r>
        <w:rPr>
          <w:rFonts w:asciiTheme="minorBidi" w:hAnsiTheme="minorBidi" w:hint="cs"/>
          <w:rtl/>
        </w:rPr>
        <w:t>(</w:t>
      </w:r>
      <w:r w:rsidRPr="002C0ED6">
        <w:rPr>
          <w:rFonts w:asciiTheme="minorBidi" w:hAnsiTheme="minorBidi"/>
          <w:rtl/>
        </w:rPr>
        <w:t xml:space="preserve">סי' תז) </w:t>
      </w:r>
      <w:r>
        <w:rPr>
          <w:rFonts w:asciiTheme="minorBidi" w:hAnsiTheme="minorBidi" w:hint="cs"/>
          <w:rtl/>
        </w:rPr>
        <w:t>הביא את</w:t>
      </w:r>
      <w:r w:rsidRPr="002C0ED6">
        <w:rPr>
          <w:rFonts w:asciiTheme="minorBidi" w:hAnsiTheme="minorBidi"/>
          <w:rtl/>
        </w:rPr>
        <w:t xml:space="preserve"> </w:t>
      </w:r>
      <w:r>
        <w:rPr>
          <w:rFonts w:asciiTheme="minorBidi" w:hAnsiTheme="minorBidi" w:hint="cs"/>
          <w:rtl/>
        </w:rPr>
        <w:t xml:space="preserve">דברי </w:t>
      </w:r>
      <w:r w:rsidRPr="002C0ED6">
        <w:rPr>
          <w:rFonts w:asciiTheme="minorBidi" w:hAnsiTheme="minorBidi"/>
          <w:rtl/>
        </w:rPr>
        <w:t xml:space="preserve">הריב"ש </w:t>
      </w:r>
      <w:r w:rsidRPr="00DD5748">
        <w:rPr>
          <w:rFonts w:asciiTheme="minorBidi" w:hAnsiTheme="minorBidi" w:hint="cs"/>
          <w:rtl/>
        </w:rPr>
        <w:t xml:space="preserve">האלו </w:t>
      </w:r>
      <w:r w:rsidRPr="00DD5748">
        <w:rPr>
          <w:rFonts w:asciiTheme="minorBidi" w:hAnsiTheme="minorBidi" w:hint="cs"/>
          <w:sz w:val="16"/>
          <w:szCs w:val="16"/>
          <w:rtl/>
        </w:rPr>
        <w:t>(רק שלו כתב את שמו של הריב"ש אלא כתב-</w:t>
      </w:r>
      <w:r w:rsidRPr="00DD5748">
        <w:rPr>
          <w:sz w:val="16"/>
          <w:szCs w:val="16"/>
          <w:rtl/>
        </w:rPr>
        <w:t xml:space="preserve"> </w:t>
      </w:r>
      <w:r w:rsidRPr="00DD5748">
        <w:rPr>
          <w:rFonts w:asciiTheme="minorBidi" w:hAnsiTheme="minorBidi" w:cs="Arial"/>
          <w:sz w:val="16"/>
          <w:szCs w:val="16"/>
          <w:rtl/>
        </w:rPr>
        <w:t>אחד מחכמי דורנו</w:t>
      </w:r>
      <w:r w:rsidRPr="00DD5748">
        <w:rPr>
          <w:rFonts w:asciiTheme="minorBidi" w:hAnsiTheme="minorBidi" w:cs="Arial" w:hint="cs"/>
          <w:sz w:val="16"/>
          <w:szCs w:val="16"/>
          <w:rtl/>
        </w:rPr>
        <w:t>)</w:t>
      </w:r>
      <w:r w:rsidRPr="00DD5748">
        <w:rPr>
          <w:rFonts w:asciiTheme="minorBidi" w:hAnsiTheme="minorBidi" w:cs="Arial" w:hint="cs"/>
          <w:rtl/>
        </w:rPr>
        <w:t xml:space="preserve"> </w:t>
      </w:r>
      <w:r>
        <w:rPr>
          <w:rFonts w:asciiTheme="minorBidi" w:hAnsiTheme="minorBidi" w:hint="cs"/>
          <w:rtl/>
        </w:rPr>
        <w:t>ש</w:t>
      </w:r>
      <w:r w:rsidRPr="002C0ED6">
        <w:rPr>
          <w:rFonts w:asciiTheme="minorBidi" w:hAnsiTheme="minorBidi"/>
          <w:rtl/>
        </w:rPr>
        <w:t>פקפק על הרמב"ן שאין התנאי מועיל בזה כיון שנאסר בין השמשות נאסר כל היום כולו</w:t>
      </w:r>
      <w:r>
        <w:rPr>
          <w:rFonts w:asciiTheme="minorBidi" w:hAnsiTheme="minorBidi" w:hint="cs"/>
          <w:rtl/>
        </w:rPr>
        <w:t xml:space="preserve">, וכתב שאביו, </w:t>
      </w:r>
      <w:r w:rsidRPr="002C0ED6">
        <w:rPr>
          <w:rFonts w:asciiTheme="minorBidi" w:hAnsiTheme="minorBidi"/>
          <w:rtl/>
        </w:rPr>
        <w:t>הרשב"ץ (ח"א סי' קלז)</w:t>
      </w:r>
      <w:r>
        <w:rPr>
          <w:rFonts w:asciiTheme="minorBidi" w:hAnsiTheme="minorBidi" w:hint="cs"/>
          <w:rtl/>
        </w:rPr>
        <w:t>,</w:t>
      </w:r>
      <w:r w:rsidRPr="002C0ED6">
        <w:rPr>
          <w:rFonts w:asciiTheme="minorBidi" w:hAnsiTheme="minorBidi"/>
          <w:rtl/>
        </w:rPr>
        <w:t xml:space="preserve"> סתר ראיית הריב"ש בטענה חזקה ואמר שלא אמרו כיון דאיתקצאי לבין השמשות איתקצאי לכולי יומא אלא בדבר שהוא מוקצה מעצמו כנויי סוכה ועצי סוכה אבל הנר הלז אינו מוקצה מצד עצמו אלא מצד השלהבת הדולקת בו</w:t>
      </w:r>
      <w:r>
        <w:rPr>
          <w:rFonts w:asciiTheme="minorBidi" w:hAnsiTheme="minorBidi" w:hint="cs"/>
          <w:rtl/>
        </w:rPr>
        <w:t>,</w:t>
      </w:r>
      <w:r w:rsidRPr="002C0ED6">
        <w:rPr>
          <w:rFonts w:asciiTheme="minorBidi" w:hAnsiTheme="minorBidi"/>
          <w:rtl/>
        </w:rPr>
        <w:t xml:space="preserve"> ובזה סרה מעל הרמב"ן קושיית המקשה</w:t>
      </w:r>
      <w:r>
        <w:rPr>
          <w:rFonts w:asciiTheme="minorBidi" w:hAnsiTheme="minorBidi" w:hint="cs"/>
          <w:rtl/>
        </w:rPr>
        <w:t>,</w:t>
      </w:r>
      <w:r w:rsidRPr="002C0ED6">
        <w:rPr>
          <w:rFonts w:asciiTheme="minorBidi" w:hAnsiTheme="minorBidi"/>
          <w:rtl/>
        </w:rPr>
        <w:t xml:space="preserve"> וזה אינו סותר מה שכתב הרמב"ם שאסור לטלטל נר שהדליקו בו</w:t>
      </w:r>
      <w:r>
        <w:rPr>
          <w:rFonts w:asciiTheme="minorBidi" w:hAnsiTheme="minorBidi" w:hint="cs"/>
          <w:rtl/>
        </w:rPr>
        <w:t>,</w:t>
      </w:r>
      <w:r w:rsidRPr="002C0ED6">
        <w:rPr>
          <w:rFonts w:asciiTheme="minorBidi" w:hAnsiTheme="minorBidi"/>
          <w:rtl/>
        </w:rPr>
        <w:t xml:space="preserve"> לפי שדבריו הם אם לא התנה ודברי הרמב"ן בשהתנה עליו מערב שבת</w:t>
      </w:r>
      <w:r>
        <w:rPr>
          <w:rFonts w:asciiTheme="minorBidi" w:hAnsiTheme="minorBidi" w:hint="cs"/>
          <w:rtl/>
        </w:rPr>
        <w:t>,</w:t>
      </w:r>
      <w:r w:rsidRPr="002C0ED6">
        <w:rPr>
          <w:rFonts w:asciiTheme="minorBidi" w:hAnsiTheme="minorBidi"/>
          <w:rtl/>
        </w:rPr>
        <w:t xml:space="preserve"> והסכימו עמו הבאים אחריו וכן אנו נוהגים בביתינו מימות אדוננו הזקן ז"ל עד עתה עכ"ל</w:t>
      </w:r>
      <w:r>
        <w:rPr>
          <w:rFonts w:asciiTheme="minorBidi" w:hAnsiTheme="minorBidi" w:hint="cs"/>
          <w:rtl/>
        </w:rPr>
        <w:t xml:space="preserve"> הרשב"ש</w:t>
      </w:r>
      <w:r w:rsidRPr="002C0ED6">
        <w:rPr>
          <w:rFonts w:asciiTheme="minorBidi" w:hAnsiTheme="minorBidi"/>
          <w:rtl/>
        </w:rPr>
        <w:t>.</w:t>
      </w:r>
    </w:p>
  </w:footnote>
  <w:footnote w:id="998">
    <w:p w14:paraId="51197382" w14:textId="77777777" w:rsidR="004B2E7C" w:rsidRDefault="004B2E7C" w:rsidP="00285819">
      <w:pPr>
        <w:pStyle w:val="a7"/>
      </w:pPr>
      <w:r>
        <w:rPr>
          <w:rStyle w:val="a9"/>
        </w:rPr>
        <w:footnoteRef/>
      </w:r>
      <w:r>
        <w:rPr>
          <w:rtl/>
        </w:rPr>
        <w:t xml:space="preserve"> </w:t>
      </w:r>
      <w:r w:rsidRPr="00BB364E">
        <w:rPr>
          <w:rFonts w:cs="Arial"/>
          <w:rtl/>
        </w:rPr>
        <w:t>ואני לא ראיתי שנוהגין כן</w:t>
      </w:r>
      <w:r>
        <w:rPr>
          <w:rFonts w:cs="Arial" w:hint="cs"/>
          <w:rtl/>
        </w:rPr>
        <w:t>, דרכ"מ (סק"א).</w:t>
      </w:r>
    </w:p>
  </w:footnote>
  <w:footnote w:id="999">
    <w:p w14:paraId="587130F8" w14:textId="77777777" w:rsidR="004B2E7C" w:rsidRDefault="004B2E7C" w:rsidP="00285819">
      <w:pPr>
        <w:pStyle w:val="a7"/>
      </w:pPr>
      <w:r>
        <w:rPr>
          <w:rStyle w:val="a9"/>
        </w:rPr>
        <w:footnoteRef/>
      </w:r>
      <w:r>
        <w:rPr>
          <w:rtl/>
        </w:rPr>
        <w:t xml:space="preserve"> </w:t>
      </w:r>
      <w:r w:rsidRPr="00A66766">
        <w:rPr>
          <w:rFonts w:cs="Arial"/>
          <w:rtl/>
        </w:rPr>
        <w:t>היינו אפילו אם אינו צריך לו לצורך גופו ומקומו רק שלא יגנב או שלא יפסד [אחרונים]</w:t>
      </w:r>
      <w:r>
        <w:rPr>
          <w:rFonts w:cs="Arial" w:hint="cs"/>
          <w:rtl/>
        </w:rPr>
        <w:t>, משנ"ב (סקי"ג).</w:t>
      </w:r>
    </w:p>
  </w:footnote>
  <w:footnote w:id="1000">
    <w:p w14:paraId="097085C5" w14:textId="77777777" w:rsidR="004B2E7C" w:rsidRDefault="004B2E7C" w:rsidP="00285819">
      <w:pPr>
        <w:pStyle w:val="a7"/>
        <w:rPr>
          <w:rtl/>
        </w:rPr>
      </w:pPr>
      <w:r>
        <w:rPr>
          <w:rStyle w:val="a9"/>
        </w:rPr>
        <w:footnoteRef/>
      </w:r>
      <w:r>
        <w:rPr>
          <w:rtl/>
        </w:rPr>
        <w:t xml:space="preserve"> </w:t>
      </w:r>
      <w:r w:rsidRPr="00A66766">
        <w:rPr>
          <w:rFonts w:cs="Arial"/>
          <w:rtl/>
        </w:rPr>
        <w:t xml:space="preserve">ר"ל דלטלטלו ע"י </w:t>
      </w:r>
      <w:r>
        <w:rPr>
          <w:rFonts w:cs="Arial" w:hint="cs"/>
          <w:rtl/>
        </w:rPr>
        <w:t>גוי</w:t>
      </w:r>
      <w:r w:rsidRPr="00A66766">
        <w:rPr>
          <w:rFonts w:cs="Arial"/>
          <w:rtl/>
        </w:rPr>
        <w:t xml:space="preserve"> מצרפינן לזה הדעה ראשונה דמהני תנאי. ואם העמיד עששית על השלחן ודעתו היה שידלק כל היום כולו [כמו יא"צ וכדומה] וכבה דבזה לא שייך לומר הוי כאלו התנה אפשר דאסור לטלטלו אף ע"י</w:t>
      </w:r>
      <w:r>
        <w:rPr>
          <w:rFonts w:cs="Arial" w:hint="cs"/>
          <w:rtl/>
        </w:rPr>
        <w:t xml:space="preserve"> גוי</w:t>
      </w:r>
      <w:r w:rsidRPr="00A66766">
        <w:rPr>
          <w:rFonts w:cs="Arial"/>
          <w:rtl/>
        </w:rPr>
        <w:t xml:space="preserve"> [פמ"ג] והיינו דוקא כדי שלא יגנב אבל לצורך גופו ומקומו שרי ע"י </w:t>
      </w:r>
      <w:r>
        <w:rPr>
          <w:rFonts w:cs="Arial" w:hint="cs"/>
          <w:rtl/>
        </w:rPr>
        <w:t>גוי</w:t>
      </w:r>
      <w:r w:rsidRPr="00A66766">
        <w:rPr>
          <w:rFonts w:cs="Arial"/>
          <w:rtl/>
        </w:rPr>
        <w:t xml:space="preserve"> בכל גווני</w:t>
      </w:r>
      <w:r>
        <w:rPr>
          <w:rFonts w:hint="cs"/>
          <w:rtl/>
        </w:rPr>
        <w:t>, משנ"ב (סקי"ד).</w:t>
      </w:r>
    </w:p>
  </w:footnote>
  <w:footnote w:id="1001">
    <w:p w14:paraId="3CC88AB8" w14:textId="77777777" w:rsidR="004B2E7C" w:rsidRDefault="004B2E7C" w:rsidP="00285819">
      <w:pPr>
        <w:pStyle w:val="a7"/>
        <w:rPr>
          <w:rtl/>
        </w:rPr>
      </w:pPr>
      <w:r>
        <w:rPr>
          <w:rStyle w:val="a9"/>
        </w:rPr>
        <w:footnoteRef/>
      </w:r>
      <w:r>
        <w:rPr>
          <w:rtl/>
        </w:rPr>
        <w:t xml:space="preserve"> </w:t>
      </w:r>
      <w:r w:rsidRPr="00FF3FFA">
        <w:rPr>
          <w:rFonts w:cs="Arial"/>
          <w:rtl/>
        </w:rPr>
        <w:t>שדלק נר של שמן</w:t>
      </w:r>
      <w:r>
        <w:rPr>
          <w:rFonts w:cs="Arial" w:hint="cs"/>
          <w:rtl/>
        </w:rPr>
        <w:t>, רש"י</w:t>
      </w:r>
      <w:r w:rsidRPr="00FF3FFA">
        <w:rPr>
          <w:rFonts w:cs="Arial"/>
          <w:rtl/>
        </w:rPr>
        <w:t>.</w:t>
      </w:r>
    </w:p>
  </w:footnote>
  <w:footnote w:id="1002">
    <w:p w14:paraId="747E7880" w14:textId="77777777" w:rsidR="004B2E7C" w:rsidRDefault="004B2E7C" w:rsidP="00285819">
      <w:pPr>
        <w:pStyle w:val="a7"/>
      </w:pPr>
      <w:r>
        <w:rPr>
          <w:rStyle w:val="a9"/>
        </w:rPr>
        <w:footnoteRef/>
      </w:r>
      <w:r>
        <w:rPr>
          <w:rtl/>
        </w:rPr>
        <w:t xml:space="preserve"> </w:t>
      </w:r>
      <w:r w:rsidRPr="00FF3FFA">
        <w:rPr>
          <w:rFonts w:cs="Arial"/>
          <w:rtl/>
        </w:rPr>
        <w:t>אחר שכבה, כר' שמעון דלא מאיס</w:t>
      </w:r>
      <w:r>
        <w:rPr>
          <w:rFonts w:cs="Arial" w:hint="cs"/>
          <w:rtl/>
        </w:rPr>
        <w:t>, רש"י</w:t>
      </w:r>
      <w:r w:rsidRPr="00FF3FFA">
        <w:rPr>
          <w:rFonts w:cs="Arial"/>
          <w:rtl/>
        </w:rPr>
        <w:t>.</w:t>
      </w:r>
    </w:p>
  </w:footnote>
  <w:footnote w:id="1003">
    <w:p w14:paraId="32E1C787" w14:textId="77777777" w:rsidR="004B2E7C" w:rsidRDefault="004B2E7C" w:rsidP="00285819">
      <w:pPr>
        <w:pStyle w:val="a7"/>
        <w:rPr>
          <w:rtl/>
        </w:rPr>
      </w:pPr>
      <w:r>
        <w:rPr>
          <w:rStyle w:val="a9"/>
        </w:rPr>
        <w:footnoteRef/>
      </w:r>
      <w:r>
        <w:rPr>
          <w:rtl/>
        </w:rPr>
        <w:t xml:space="preserve"> </w:t>
      </w:r>
      <w:r w:rsidRPr="00FF3FFA">
        <w:rPr>
          <w:rFonts w:cs="Arial"/>
          <w:rtl/>
        </w:rPr>
        <w:t>דמסרח, אפילו ר' שמעון מודה דלא חזי אלא למלאכתו</w:t>
      </w:r>
      <w:r>
        <w:rPr>
          <w:rFonts w:cs="Arial" w:hint="cs"/>
          <w:rtl/>
        </w:rPr>
        <w:t>, רש"י</w:t>
      </w:r>
      <w:r w:rsidRPr="00FF3FFA">
        <w:rPr>
          <w:rFonts w:cs="Arial"/>
          <w:rtl/>
        </w:rPr>
        <w:t>.</w:t>
      </w:r>
    </w:p>
  </w:footnote>
  <w:footnote w:id="1004">
    <w:p w14:paraId="1AB057CB" w14:textId="77777777" w:rsidR="004B2E7C" w:rsidRDefault="004B2E7C" w:rsidP="00285819">
      <w:pPr>
        <w:pStyle w:val="a7"/>
      </w:pPr>
      <w:r>
        <w:rPr>
          <w:rStyle w:val="a9"/>
        </w:rPr>
        <w:footnoteRef/>
      </w:r>
      <w:r>
        <w:rPr>
          <w:rtl/>
        </w:rPr>
        <w:t xml:space="preserve"> </w:t>
      </w:r>
      <w:r w:rsidRPr="00FF3FFA">
        <w:rPr>
          <w:rFonts w:cs="Arial"/>
          <w:rtl/>
        </w:rPr>
        <w:t>משום טינוף המטה</w:t>
      </w:r>
      <w:r>
        <w:rPr>
          <w:rFonts w:cs="Arial" w:hint="cs"/>
          <w:rtl/>
        </w:rPr>
        <w:t>, רש"י</w:t>
      </w:r>
      <w:r w:rsidRPr="00FF3FFA">
        <w:rPr>
          <w:rFonts w:cs="Arial"/>
          <w:rtl/>
        </w:rPr>
        <w:t>.</w:t>
      </w:r>
    </w:p>
  </w:footnote>
  <w:footnote w:id="1005">
    <w:p w14:paraId="7A24C0BD" w14:textId="77777777" w:rsidR="004B2E7C" w:rsidRDefault="004B2E7C" w:rsidP="00285819">
      <w:pPr>
        <w:pStyle w:val="a7"/>
      </w:pPr>
      <w:r>
        <w:rPr>
          <w:rStyle w:val="a9"/>
        </w:rPr>
        <w:footnoteRef/>
      </w:r>
      <w:r>
        <w:rPr>
          <w:rtl/>
        </w:rPr>
        <w:t xml:space="preserve"> </w:t>
      </w:r>
      <w:r w:rsidRPr="00FF3FFA">
        <w:rPr>
          <w:rFonts w:cs="Arial"/>
          <w:rtl/>
        </w:rPr>
        <w:t>בשאלות</w:t>
      </w:r>
      <w:r>
        <w:rPr>
          <w:rFonts w:cs="Arial" w:hint="cs"/>
          <w:rtl/>
        </w:rPr>
        <w:t>, רש"י</w:t>
      </w:r>
      <w:r w:rsidRPr="00FF3FFA">
        <w:rPr>
          <w:rFonts w:cs="Arial"/>
          <w:rtl/>
        </w:rPr>
        <w:t>.</w:t>
      </w:r>
    </w:p>
  </w:footnote>
  <w:footnote w:id="1006">
    <w:p w14:paraId="6F030320" w14:textId="77777777" w:rsidR="004B2E7C" w:rsidRDefault="004B2E7C" w:rsidP="00285819">
      <w:pPr>
        <w:pStyle w:val="a7"/>
      </w:pPr>
      <w:r>
        <w:rPr>
          <w:rStyle w:val="a9"/>
        </w:rPr>
        <w:footnoteRef/>
      </w:r>
      <w:r>
        <w:rPr>
          <w:rtl/>
        </w:rPr>
        <w:t xml:space="preserve"> </w:t>
      </w:r>
      <w:r w:rsidRPr="003B6B6E">
        <w:rPr>
          <w:rFonts w:cs="Arial"/>
          <w:rtl/>
        </w:rPr>
        <w:t>דוקא לצורך גופו או מקומו כמ"ש סי' ש"ח ס"ג</w:t>
      </w:r>
      <w:r>
        <w:rPr>
          <w:rFonts w:cs="Arial" w:hint="cs"/>
          <w:rtl/>
        </w:rPr>
        <w:t>, מג"א (סקי"ב).</w:t>
      </w:r>
    </w:p>
  </w:footnote>
  <w:footnote w:id="1007">
    <w:p w14:paraId="619BD530" w14:textId="77777777" w:rsidR="004B2E7C" w:rsidRDefault="004B2E7C" w:rsidP="00285819">
      <w:pPr>
        <w:pStyle w:val="a7"/>
      </w:pPr>
      <w:r>
        <w:rPr>
          <w:rStyle w:val="a9"/>
        </w:rPr>
        <w:footnoteRef/>
      </w:r>
      <w:r>
        <w:rPr>
          <w:rtl/>
        </w:rPr>
        <w:t xml:space="preserve"> </w:t>
      </w:r>
      <w:r w:rsidRPr="003B6B6E">
        <w:rPr>
          <w:rFonts w:cs="Arial"/>
          <w:rtl/>
        </w:rPr>
        <w:t>ודוק</w:t>
      </w:r>
      <w:r>
        <w:rPr>
          <w:rFonts w:cs="Arial" w:hint="cs"/>
          <w:rtl/>
        </w:rPr>
        <w:t>א</w:t>
      </w:r>
      <w:r w:rsidRPr="003B6B6E">
        <w:rPr>
          <w:rFonts w:cs="Arial"/>
          <w:rtl/>
        </w:rPr>
        <w:t xml:space="preserve"> כשיש תורת כלי עליו [רשב"א] סי' תר"ו ועסי' תקי"ח ס"ג</w:t>
      </w:r>
      <w:r>
        <w:rPr>
          <w:rFonts w:cs="Arial" w:hint="cs"/>
          <w:rtl/>
        </w:rPr>
        <w:t>, מג"א (סקי"ג).</w:t>
      </w:r>
    </w:p>
  </w:footnote>
  <w:footnote w:id="1008">
    <w:p w14:paraId="324E884D" w14:textId="77777777" w:rsidR="004B2E7C" w:rsidRDefault="004B2E7C" w:rsidP="00285819">
      <w:pPr>
        <w:pStyle w:val="a7"/>
        <w:rPr>
          <w:rtl/>
        </w:rPr>
      </w:pPr>
      <w:r>
        <w:rPr>
          <w:rStyle w:val="a9"/>
        </w:rPr>
        <w:footnoteRef/>
      </w:r>
      <w:r>
        <w:rPr>
          <w:rtl/>
        </w:rPr>
        <w:t xml:space="preserve"> </w:t>
      </w:r>
      <w:r w:rsidRPr="004625BB">
        <w:rPr>
          <w:rFonts w:cs="Arial"/>
          <w:rtl/>
        </w:rPr>
        <w:t>כדמפרש טעמא לקמיה, דלאו לטלטולי עבידא, דאדם קובע לה מקום</w:t>
      </w:r>
      <w:r>
        <w:rPr>
          <w:rFonts w:cs="Arial" w:hint="cs"/>
          <w:rtl/>
        </w:rPr>
        <w:t>, רש"י</w:t>
      </w:r>
      <w:r w:rsidRPr="004625BB">
        <w:rPr>
          <w:rFonts w:cs="Arial"/>
          <w:rtl/>
        </w:rPr>
        <w:t>.</w:t>
      </w:r>
    </w:p>
  </w:footnote>
  <w:footnote w:id="1009">
    <w:p w14:paraId="09CFC11A" w14:textId="77777777" w:rsidR="004B2E7C" w:rsidRDefault="004B2E7C" w:rsidP="00285819">
      <w:pPr>
        <w:pStyle w:val="a7"/>
      </w:pPr>
      <w:r>
        <w:rPr>
          <w:rStyle w:val="a9"/>
        </w:rPr>
        <w:footnoteRef/>
      </w:r>
      <w:r>
        <w:rPr>
          <w:rtl/>
        </w:rPr>
        <w:t xml:space="preserve"> </w:t>
      </w:r>
      <w:r w:rsidRPr="004625BB">
        <w:rPr>
          <w:rFonts w:cs="Arial"/>
          <w:rtl/>
        </w:rPr>
        <w:t>שום היתר בהלכות טלטול נרות</w:t>
      </w:r>
      <w:r>
        <w:rPr>
          <w:rFonts w:cs="Arial" w:hint="cs"/>
          <w:rtl/>
        </w:rPr>
        <w:t>, רש"י</w:t>
      </w:r>
      <w:r w:rsidRPr="004625BB">
        <w:rPr>
          <w:rFonts w:cs="Arial"/>
          <w:rtl/>
        </w:rPr>
        <w:t>.</w:t>
      </w:r>
    </w:p>
  </w:footnote>
  <w:footnote w:id="1010">
    <w:p w14:paraId="022FAEBB" w14:textId="77777777" w:rsidR="004B2E7C" w:rsidRDefault="004B2E7C" w:rsidP="00285819">
      <w:pPr>
        <w:pStyle w:val="a7"/>
      </w:pPr>
      <w:r>
        <w:rPr>
          <w:rStyle w:val="a9"/>
        </w:rPr>
        <w:footnoteRef/>
      </w:r>
      <w:r>
        <w:rPr>
          <w:rtl/>
        </w:rPr>
        <w:t xml:space="preserve"> </w:t>
      </w:r>
      <w:r w:rsidRPr="004625BB">
        <w:rPr>
          <w:rFonts w:cs="Arial"/>
          <w:rtl/>
        </w:rPr>
        <w:t>דסתם כילת חתנים אין לה גג טפח, שנקליטין יוצאין לשני ראשי המטה באמצעה אחד לכאן ואחד לכאן, ונותן כלונסאות מזה לזה, ומשליך האהל עליה והוא שופע לכאן ולכאן, וכיון שאינו רחב טפח - אינו אהל, ואין בו לא בנין ולא סתירה</w:t>
      </w:r>
      <w:r>
        <w:rPr>
          <w:rFonts w:cs="Arial" w:hint="cs"/>
          <w:rtl/>
        </w:rPr>
        <w:t>, רש"י</w:t>
      </w:r>
      <w:r w:rsidRPr="004625BB">
        <w:rPr>
          <w:rFonts w:cs="Arial"/>
          <w:rtl/>
        </w:rPr>
        <w:t>.</w:t>
      </w:r>
    </w:p>
  </w:footnote>
  <w:footnote w:id="1011">
    <w:p w14:paraId="7A4EFCD1" w14:textId="77777777" w:rsidR="004B2E7C" w:rsidRDefault="004B2E7C" w:rsidP="00285819">
      <w:pPr>
        <w:pStyle w:val="a7"/>
      </w:pPr>
      <w:r>
        <w:rPr>
          <w:rStyle w:val="a9"/>
        </w:rPr>
        <w:footnoteRef/>
      </w:r>
      <w:r>
        <w:rPr>
          <w:rtl/>
        </w:rPr>
        <w:t xml:space="preserve"> </w:t>
      </w:r>
      <w:r w:rsidRPr="004625BB">
        <w:rPr>
          <w:rFonts w:cs="Arial"/>
          <w:rtl/>
        </w:rPr>
        <w:t>דסתם כילת חתנים אין לה גג טפח, שנקליטין יוצאין לשני ראשי המטה באמצעה אחד לכאן ואחד לכאן, ונותן כלונסאות מזה לזה, ומשליך האהל עליה והוא שופע לכאן ולכאן, וכיון שאינו רחב טפח - אינו אהל, ואין בו לא בנין ולא סתירה</w:t>
      </w:r>
      <w:r>
        <w:rPr>
          <w:rFonts w:cs="Arial" w:hint="cs"/>
          <w:rtl/>
        </w:rPr>
        <w:t>, רש"י</w:t>
      </w:r>
      <w:r w:rsidRPr="004625BB">
        <w:rPr>
          <w:rFonts w:cs="Arial"/>
          <w:rtl/>
        </w:rPr>
        <w:t>.</w:t>
      </w:r>
    </w:p>
  </w:footnote>
  <w:footnote w:id="1012">
    <w:p w14:paraId="4345E9AB" w14:textId="77777777" w:rsidR="004B2E7C" w:rsidRDefault="004B2E7C" w:rsidP="00285819">
      <w:pPr>
        <w:pStyle w:val="a7"/>
        <w:rPr>
          <w:rtl/>
        </w:rPr>
      </w:pPr>
      <w:r>
        <w:rPr>
          <w:rStyle w:val="a9"/>
        </w:rPr>
        <w:footnoteRef/>
      </w:r>
      <w:r>
        <w:rPr>
          <w:rtl/>
        </w:rPr>
        <w:t xml:space="preserve"> </w:t>
      </w:r>
      <w:r w:rsidRPr="004625BB">
        <w:rPr>
          <w:rFonts w:cs="Arial"/>
          <w:rtl/>
        </w:rPr>
        <w:t>במנורה של פרקים, שמא תפול ותתפרק ויחזירנה, ונמצא עושה כלי</w:t>
      </w:r>
      <w:r>
        <w:rPr>
          <w:rFonts w:cs="Arial" w:hint="cs"/>
          <w:rtl/>
        </w:rPr>
        <w:t>, רש"י</w:t>
      </w:r>
      <w:r w:rsidRPr="004625BB">
        <w:rPr>
          <w:rFonts w:cs="Arial"/>
          <w:rtl/>
        </w:rPr>
        <w:t>.</w:t>
      </w:r>
    </w:p>
  </w:footnote>
  <w:footnote w:id="1013">
    <w:p w14:paraId="6C222CBF" w14:textId="77777777" w:rsidR="004B2E7C" w:rsidRDefault="004B2E7C" w:rsidP="00285819">
      <w:pPr>
        <w:pStyle w:val="a7"/>
        <w:rPr>
          <w:rtl/>
        </w:rPr>
      </w:pPr>
      <w:r>
        <w:rPr>
          <w:rStyle w:val="a9"/>
        </w:rPr>
        <w:footnoteRef/>
      </w:r>
      <w:r>
        <w:rPr>
          <w:rtl/>
        </w:rPr>
        <w:t xml:space="preserve"> </w:t>
      </w:r>
      <w:r w:rsidRPr="004625BB">
        <w:rPr>
          <w:rFonts w:cs="Arial"/>
          <w:rtl/>
        </w:rPr>
        <w:t xml:space="preserve">חיתוכין סביב לה, קרונ"ש </w:t>
      </w:r>
      <w:r>
        <w:rPr>
          <w:rFonts w:cs="Arial" w:hint="cs"/>
          <w:rtl/>
        </w:rPr>
        <w:t>(</w:t>
      </w:r>
      <w:r w:rsidRPr="004625BB">
        <w:rPr>
          <w:rFonts w:cs="Arial"/>
          <w:rtl/>
        </w:rPr>
        <w:t>ומשמעו: חריץ, סדק</w:t>
      </w:r>
      <w:r>
        <w:rPr>
          <w:rFonts w:cs="Arial" w:hint="cs"/>
          <w:rtl/>
        </w:rPr>
        <w:t>)</w:t>
      </w:r>
      <w:r w:rsidRPr="004625BB">
        <w:rPr>
          <w:rFonts w:cs="Arial"/>
          <w:rtl/>
        </w:rPr>
        <w:t xml:space="preserve"> ודומה לפרקים, ומאן דחזי, סבר: של פרקים הוא</w:t>
      </w:r>
      <w:r>
        <w:rPr>
          <w:rFonts w:cs="Arial" w:hint="cs"/>
          <w:rtl/>
        </w:rPr>
        <w:t>, רש"י</w:t>
      </w:r>
      <w:r w:rsidRPr="004625BB">
        <w:rPr>
          <w:rFonts w:cs="Arial"/>
          <w:rtl/>
        </w:rPr>
        <w:t>.</w:t>
      </w:r>
    </w:p>
  </w:footnote>
  <w:footnote w:id="1014">
    <w:p w14:paraId="761B7D3D" w14:textId="77777777" w:rsidR="004B2E7C" w:rsidRDefault="004B2E7C" w:rsidP="00285819">
      <w:pPr>
        <w:pStyle w:val="a7"/>
      </w:pPr>
      <w:r>
        <w:rPr>
          <w:rStyle w:val="a9"/>
        </w:rPr>
        <w:footnoteRef/>
      </w:r>
      <w:r>
        <w:rPr>
          <w:rtl/>
        </w:rPr>
        <w:t xml:space="preserve"> </w:t>
      </w:r>
      <w:r w:rsidRPr="004625BB">
        <w:rPr>
          <w:rFonts w:cs="Arial"/>
          <w:rtl/>
        </w:rPr>
        <w:t>הואיל ודרכה לעשותה של חוליות, כי אית ביה חידקי - סברי דחוליות הן, ואסור אפילו לריש לקיש, כדאמר לעיל ניטלת בשתי ידים אסור לטלטלה</w:t>
      </w:r>
      <w:r>
        <w:rPr>
          <w:rFonts w:cs="Arial" w:hint="cs"/>
          <w:rtl/>
        </w:rPr>
        <w:t>, רש"י</w:t>
      </w:r>
      <w:r w:rsidRPr="004625BB">
        <w:rPr>
          <w:rFonts w:cs="Arial"/>
          <w:rtl/>
        </w:rPr>
        <w:t>.</w:t>
      </w:r>
    </w:p>
  </w:footnote>
  <w:footnote w:id="1015">
    <w:p w14:paraId="17A0960F" w14:textId="77777777" w:rsidR="004B2E7C" w:rsidRDefault="004B2E7C" w:rsidP="00285819">
      <w:pPr>
        <w:pStyle w:val="a7"/>
        <w:rPr>
          <w:rtl/>
        </w:rPr>
      </w:pPr>
      <w:r>
        <w:rPr>
          <w:rStyle w:val="a9"/>
        </w:rPr>
        <w:footnoteRef/>
      </w:r>
      <w:r>
        <w:rPr>
          <w:rtl/>
        </w:rPr>
        <w:t xml:space="preserve"> </w:t>
      </w:r>
      <w:r w:rsidRPr="004625BB">
        <w:rPr>
          <w:rFonts w:cs="Arial"/>
          <w:rtl/>
        </w:rPr>
        <w:t>דכולי עלמא ידעי דלאו חוליות נינהו</w:t>
      </w:r>
      <w:r>
        <w:rPr>
          <w:rFonts w:cs="Arial" w:hint="cs"/>
          <w:rtl/>
        </w:rPr>
        <w:t>, רש"י</w:t>
      </w:r>
      <w:r w:rsidRPr="004625BB">
        <w:rPr>
          <w:rFonts w:cs="Arial"/>
          <w:rtl/>
        </w:rPr>
        <w:t>.</w:t>
      </w:r>
    </w:p>
  </w:footnote>
  <w:footnote w:id="1016">
    <w:p w14:paraId="06A96B89" w14:textId="77777777" w:rsidR="004B2E7C" w:rsidRDefault="004B2E7C" w:rsidP="00285819">
      <w:pPr>
        <w:pStyle w:val="a7"/>
        <w:rPr>
          <w:rtl/>
        </w:rPr>
      </w:pPr>
      <w:r>
        <w:rPr>
          <w:rStyle w:val="a9"/>
        </w:rPr>
        <w:footnoteRef/>
      </w:r>
      <w:r>
        <w:rPr>
          <w:rtl/>
        </w:rPr>
        <w:t xml:space="preserve"> </w:t>
      </w:r>
      <w:r w:rsidRPr="004625BB">
        <w:rPr>
          <w:rFonts w:cs="Arial"/>
          <w:rtl/>
        </w:rPr>
        <w:t>אטו חוליות</w:t>
      </w:r>
      <w:r>
        <w:rPr>
          <w:rFonts w:cs="Arial" w:hint="cs"/>
          <w:rtl/>
        </w:rPr>
        <w:t>, רש"י</w:t>
      </w:r>
      <w:r w:rsidRPr="004625BB">
        <w:rPr>
          <w:rFonts w:cs="Arial"/>
          <w:rtl/>
        </w:rPr>
        <w:t>.</w:t>
      </w:r>
    </w:p>
  </w:footnote>
  <w:footnote w:id="1017">
    <w:p w14:paraId="2C8F0F15" w14:textId="77777777" w:rsidR="004B2E7C" w:rsidRDefault="004B2E7C" w:rsidP="00285819">
      <w:pPr>
        <w:pStyle w:val="a7"/>
        <w:rPr>
          <w:rtl/>
        </w:rPr>
      </w:pPr>
      <w:r>
        <w:rPr>
          <w:rStyle w:val="a9"/>
        </w:rPr>
        <w:footnoteRef/>
      </w:r>
      <w:r>
        <w:rPr>
          <w:rtl/>
        </w:rPr>
        <w:t xml:space="preserve"> </w:t>
      </w:r>
      <w:r>
        <w:rPr>
          <w:rFonts w:asciiTheme="minorBidi" w:hAnsiTheme="minorBidi" w:hint="cs"/>
          <w:rtl/>
        </w:rPr>
        <w:t>מד</w:t>
      </w:r>
      <w:r w:rsidRPr="002C0ED6">
        <w:rPr>
          <w:rFonts w:asciiTheme="minorBidi" w:hAnsiTheme="minorBidi"/>
          <w:rtl/>
        </w:rPr>
        <w:t>הקשו על זה מדתנן בפ"ב דיו"ט (ביצה כא:) דבית הלל מתירין לזקוף המנורה ביו</w:t>
      </w:r>
      <w:r>
        <w:rPr>
          <w:rFonts w:asciiTheme="minorBidi" w:hAnsiTheme="minorBidi" w:hint="cs"/>
          <w:rtl/>
        </w:rPr>
        <w:t>"</w:t>
      </w:r>
      <w:r w:rsidRPr="002C0ED6">
        <w:rPr>
          <w:rFonts w:asciiTheme="minorBidi" w:hAnsiTheme="minorBidi"/>
          <w:rtl/>
        </w:rPr>
        <w:t>ט משום דאין בנין בכלים</w:t>
      </w:r>
      <w:r>
        <w:rPr>
          <w:rFonts w:asciiTheme="minorBidi" w:hAnsiTheme="minorBidi" w:hint="cs"/>
          <w:rtl/>
        </w:rPr>
        <w:t>,</w:t>
      </w:r>
      <w:r w:rsidRPr="002C0ED6">
        <w:rPr>
          <w:rFonts w:asciiTheme="minorBidi" w:hAnsiTheme="minorBidi"/>
          <w:rtl/>
        </w:rPr>
        <w:t xml:space="preserve"> ותירצו דלמאן דשרי בסוף פירקא להחזיר מטה של חוליות ברפוי איכא לאוקומי הכא נמי ברפוי</w:t>
      </w:r>
      <w:r>
        <w:rPr>
          <w:rFonts w:asciiTheme="minorBidi" w:hAnsiTheme="minorBidi" w:hint="cs"/>
          <w:rtl/>
        </w:rPr>
        <w:t>,</w:t>
      </w:r>
      <w:r w:rsidRPr="002C0ED6">
        <w:rPr>
          <w:rFonts w:asciiTheme="minorBidi" w:hAnsiTheme="minorBidi"/>
          <w:rtl/>
        </w:rPr>
        <w:t xml:space="preserve"> ואפילו למאן דאסר תירץ ר"י דהתם מיירי כגון שהחוליות מחוברין יחד ואינם מפורקים ופעמים מטין אותם ופעמים זוקפין אותם</w:t>
      </w:r>
      <w:r>
        <w:rPr>
          <w:rFonts w:asciiTheme="minorBidi" w:hAnsiTheme="minorBidi" w:hint="cs"/>
          <w:rtl/>
        </w:rPr>
        <w:t>, ב"י</w:t>
      </w:r>
      <w:r w:rsidRPr="002C0ED6">
        <w:rPr>
          <w:rFonts w:asciiTheme="minorBidi" w:hAnsiTheme="minorBidi"/>
          <w:rtl/>
        </w:rPr>
        <w:t>.</w:t>
      </w:r>
    </w:p>
  </w:footnote>
  <w:footnote w:id="1018">
    <w:p w14:paraId="074267D5" w14:textId="77777777" w:rsidR="004B2E7C" w:rsidRDefault="004B2E7C" w:rsidP="00285819">
      <w:pPr>
        <w:pStyle w:val="a7"/>
      </w:pPr>
      <w:r>
        <w:rPr>
          <w:rStyle w:val="a9"/>
        </w:rPr>
        <w:footnoteRef/>
      </w:r>
      <w:r>
        <w:rPr>
          <w:rtl/>
        </w:rPr>
        <w:t xml:space="preserve"> </w:t>
      </w:r>
      <w:r>
        <w:rPr>
          <w:rFonts w:asciiTheme="minorBidi" w:hAnsiTheme="minorBidi" w:hint="cs"/>
          <w:rtl/>
        </w:rPr>
        <w:t xml:space="preserve">הרי"ף </w:t>
      </w:r>
      <w:r w:rsidRPr="002C0ED6">
        <w:rPr>
          <w:rFonts w:asciiTheme="minorBidi" w:hAnsiTheme="minorBidi"/>
          <w:rtl/>
        </w:rPr>
        <w:t>השמיט כל זה</w:t>
      </w:r>
      <w:r>
        <w:rPr>
          <w:rFonts w:asciiTheme="minorBidi" w:hAnsiTheme="minorBidi" w:hint="cs"/>
          <w:sz w:val="16"/>
          <w:szCs w:val="16"/>
          <w:rtl/>
        </w:rPr>
        <w:t xml:space="preserve"> {היינו דברי הגמ'}</w:t>
      </w:r>
      <w:r w:rsidRPr="002C0ED6">
        <w:rPr>
          <w:rFonts w:asciiTheme="minorBidi" w:hAnsiTheme="minorBidi"/>
          <w:rtl/>
        </w:rPr>
        <w:t xml:space="preserve"> וכתב הר"ן (כא: ד"ה ולפיכך) שטעמו משום דסבירא ליה דאתי כמאן דאמר יש בנין בכלים אבל לדידן דקיימא לן אין בנין בכלים אפילו דחוליות נמי שריא כדתנן בפ"ב דיו"ט</w:t>
      </w:r>
      <w:r>
        <w:rPr>
          <w:rFonts w:asciiTheme="minorBidi" w:hAnsiTheme="minorBidi" w:hint="cs"/>
          <w:rtl/>
        </w:rPr>
        <w:t>.</w:t>
      </w:r>
    </w:p>
  </w:footnote>
  <w:footnote w:id="1019">
    <w:p w14:paraId="199609A2" w14:textId="77777777" w:rsidR="004B2E7C" w:rsidRDefault="004B2E7C" w:rsidP="00285819">
      <w:pPr>
        <w:pStyle w:val="a7"/>
      </w:pPr>
      <w:r>
        <w:rPr>
          <w:rStyle w:val="a9"/>
        </w:rPr>
        <w:footnoteRef/>
      </w:r>
      <w:r>
        <w:rPr>
          <w:rtl/>
        </w:rPr>
        <w:t xml:space="preserve"> </w:t>
      </w:r>
      <w:r w:rsidRPr="002C0ED6">
        <w:rPr>
          <w:rFonts w:asciiTheme="minorBidi" w:hAnsiTheme="minorBidi"/>
          <w:rtl/>
        </w:rPr>
        <w:t>וכ</w:t>
      </w:r>
      <w:r>
        <w:rPr>
          <w:rFonts w:asciiTheme="minorBidi" w:hAnsiTheme="minorBidi" w:hint="cs"/>
          <w:rtl/>
        </w:rPr>
        <w:t>'</w:t>
      </w:r>
      <w:r w:rsidRPr="002C0ED6">
        <w:rPr>
          <w:rFonts w:asciiTheme="minorBidi" w:hAnsiTheme="minorBidi"/>
          <w:rtl/>
        </w:rPr>
        <w:t xml:space="preserve"> ה</w:t>
      </w:r>
      <w:r>
        <w:rPr>
          <w:rFonts w:asciiTheme="minorBidi" w:hAnsiTheme="minorBidi" w:hint="cs"/>
          <w:rtl/>
        </w:rPr>
        <w:t>ה"מ</w:t>
      </w:r>
      <w:r w:rsidRPr="002C0ED6">
        <w:rPr>
          <w:rFonts w:asciiTheme="minorBidi" w:hAnsiTheme="minorBidi"/>
          <w:rtl/>
        </w:rPr>
        <w:t xml:space="preserve"> מסקנא דגמרא פרק כירה הלכך דחוליות וכו' כי פליגי בקטנה ואית בה חידקי מר סבר גזרינן ומר סבר לא גזרינן וקיי</w:t>
      </w:r>
      <w:r>
        <w:rPr>
          <w:rFonts w:asciiTheme="minorBidi" w:hAnsiTheme="minorBidi" w:hint="cs"/>
          <w:rtl/>
        </w:rPr>
        <w:t>"</w:t>
      </w:r>
      <w:r w:rsidRPr="002C0ED6">
        <w:rPr>
          <w:rFonts w:asciiTheme="minorBidi" w:hAnsiTheme="minorBidi"/>
          <w:rtl/>
        </w:rPr>
        <w:t>ל כמאן דשרי דס"ל כ</w:t>
      </w:r>
      <w:r>
        <w:rPr>
          <w:rFonts w:asciiTheme="minorBidi" w:hAnsiTheme="minorBidi" w:hint="cs"/>
          <w:rtl/>
        </w:rPr>
        <w:t>ר"ש</w:t>
      </w:r>
      <w:r w:rsidRPr="002C0ED6">
        <w:rPr>
          <w:rFonts w:asciiTheme="minorBidi" w:hAnsiTheme="minorBidi"/>
          <w:rtl/>
        </w:rPr>
        <w:t xml:space="preserve"> דלית ליה מוקצה עכ"ל. ותמהני דהא משמע בגמ</w:t>
      </w:r>
      <w:r>
        <w:rPr>
          <w:rFonts w:asciiTheme="minorBidi" w:hAnsiTheme="minorBidi" w:hint="cs"/>
          <w:rtl/>
        </w:rPr>
        <w:t>'</w:t>
      </w:r>
      <w:r w:rsidRPr="002C0ED6">
        <w:rPr>
          <w:rFonts w:asciiTheme="minorBidi" w:hAnsiTheme="minorBidi"/>
          <w:rtl/>
        </w:rPr>
        <w:t xml:space="preserve"> דהא דאסר רבי יוחנן בקטנה דאית בה חידקי לאו מטעם מוקצה הוא אלא משום דגזרינן אטו של חוליות</w:t>
      </w:r>
      <w:r>
        <w:rPr>
          <w:rFonts w:asciiTheme="minorBidi" w:hAnsiTheme="minorBidi" w:hint="cs"/>
          <w:rtl/>
        </w:rPr>
        <w:t>,</w:t>
      </w:r>
      <w:r w:rsidRPr="002C0ED6">
        <w:rPr>
          <w:rFonts w:asciiTheme="minorBidi" w:hAnsiTheme="minorBidi"/>
          <w:rtl/>
        </w:rPr>
        <w:t xml:space="preserve"> וא</w:t>
      </w:r>
      <w:r>
        <w:rPr>
          <w:rFonts w:asciiTheme="minorBidi" w:hAnsiTheme="minorBidi" w:hint="cs"/>
          <w:rtl/>
        </w:rPr>
        <w:t>"</w:t>
      </w:r>
      <w:r w:rsidRPr="002C0ED6">
        <w:rPr>
          <w:rFonts w:asciiTheme="minorBidi" w:hAnsiTheme="minorBidi"/>
          <w:rtl/>
        </w:rPr>
        <w:t>כ הוה ליה לאסור בקטנה בעלת חדקים כרבי יוחנן</w:t>
      </w:r>
      <w:r>
        <w:rPr>
          <w:rFonts w:asciiTheme="minorBidi" w:hAnsiTheme="minorBidi" w:hint="cs"/>
          <w:rtl/>
        </w:rPr>
        <w:t>,</w:t>
      </w:r>
      <w:r w:rsidRPr="002C0ED6">
        <w:rPr>
          <w:rFonts w:asciiTheme="minorBidi" w:hAnsiTheme="minorBidi"/>
          <w:rtl/>
        </w:rPr>
        <w:t xml:space="preserve"> ועוד קשה על הרמב"ם שכ</w:t>
      </w:r>
      <w:r>
        <w:rPr>
          <w:rFonts w:asciiTheme="minorBidi" w:hAnsiTheme="minorBidi" w:hint="cs"/>
          <w:rtl/>
        </w:rPr>
        <w:t>תב</w:t>
      </w:r>
      <w:r w:rsidRPr="002C0ED6">
        <w:rPr>
          <w:rFonts w:asciiTheme="minorBidi" w:hAnsiTheme="minorBidi"/>
          <w:rtl/>
        </w:rPr>
        <w:t xml:space="preserve"> היו בה חדקים וכו' אם היתה גדולה וכו' אסור לטלטלה מפני כובדה</w:t>
      </w:r>
      <w:r>
        <w:rPr>
          <w:rFonts w:asciiTheme="minorBidi" w:hAnsiTheme="minorBidi" w:hint="cs"/>
          <w:rtl/>
        </w:rPr>
        <w:t>,</w:t>
      </w:r>
      <w:r w:rsidRPr="002C0ED6">
        <w:rPr>
          <w:rFonts w:asciiTheme="minorBidi" w:hAnsiTheme="minorBidi"/>
          <w:rtl/>
        </w:rPr>
        <w:t xml:space="preserve"> דהיינו לטעמא דרב יוסף ורבה דאמרי תרווייהו הואיל ואדם קובע לו מקום</w:t>
      </w:r>
      <w:r>
        <w:rPr>
          <w:rFonts w:asciiTheme="minorBidi" w:hAnsiTheme="minorBidi" w:hint="cs"/>
          <w:rtl/>
        </w:rPr>
        <w:t>,</w:t>
      </w:r>
      <w:r w:rsidRPr="002C0ED6">
        <w:rPr>
          <w:rFonts w:asciiTheme="minorBidi" w:hAnsiTheme="minorBidi"/>
          <w:rtl/>
        </w:rPr>
        <w:t xml:space="preserve"> והא אידחי ליה האי טעמא ואסיקנא דטעמא משום דגדולה דאית בה חידקי גזרינן אטו של חוליות ובקטנה לא גזרינן, ונראה שטעמו של הרמב"ם שפסק כריש לקיש מדאמרינן בפרק כל כתבי בפמוטות של בית אביך והוא מפרש כפירוש רש"י דאסר בגדולות וכריש לקיש דאמר ניטלת בשתי ידיו אסור לטלטלה ומשמע ליה דמשום כובדה הוא דאסרה ולא משום חידקי כדאמרינן התם בסמוך (קכב.) קרונות של בית רבי מותר לטלטלן בשבת ואמר ליה בניטלים באדם אחד או בשני בני אדם אמר ליה כאותן של בית אביך ומשמע ודאי דקרונות לא מיתסרי אלא מפני כובדן וא</w:t>
      </w:r>
      <w:r>
        <w:rPr>
          <w:rFonts w:asciiTheme="minorBidi" w:hAnsiTheme="minorBidi" w:hint="cs"/>
          <w:rtl/>
        </w:rPr>
        <w:t>"</w:t>
      </w:r>
      <w:r w:rsidRPr="002C0ED6">
        <w:rPr>
          <w:rFonts w:asciiTheme="minorBidi" w:hAnsiTheme="minorBidi"/>
          <w:rtl/>
        </w:rPr>
        <w:t>כ הוא הדין לפמוטות, וצריך לומר שיש שום חילוק בין ההיא שריתא דהוה בי רבי פדת וההיא אסיתא דהוה בי מר שמואל דשרו לטלטלם משום דתורת כלי עליהם כדאיתא בפרק בתרא דעירובין, וכתבו הרמב"ם ב</w:t>
      </w:r>
      <w:r>
        <w:rPr>
          <w:rFonts w:asciiTheme="minorBidi" w:hAnsiTheme="minorBidi" w:hint="cs"/>
          <w:rtl/>
        </w:rPr>
        <w:t>פ</w:t>
      </w:r>
      <w:r w:rsidRPr="002C0ED6">
        <w:rPr>
          <w:rFonts w:asciiTheme="minorBidi" w:hAnsiTheme="minorBidi"/>
          <w:rtl/>
        </w:rPr>
        <w:t>כ"ה</w:t>
      </w:r>
      <w:r w:rsidRPr="002142B7">
        <w:rPr>
          <w:rFonts w:asciiTheme="minorBidi" w:hAnsiTheme="minorBidi"/>
          <w:sz w:val="16"/>
          <w:szCs w:val="16"/>
          <w:rtl/>
        </w:rPr>
        <w:t xml:space="preserve"> (ה"ו) </w:t>
      </w:r>
      <w:r w:rsidRPr="002C0ED6">
        <w:rPr>
          <w:rFonts w:asciiTheme="minorBidi" w:hAnsiTheme="minorBidi"/>
          <w:rtl/>
        </w:rPr>
        <w:t>לקרון ופמוט</w:t>
      </w:r>
      <w:r>
        <w:rPr>
          <w:rFonts w:asciiTheme="minorBidi" w:hAnsiTheme="minorBidi" w:hint="cs"/>
          <w:rtl/>
        </w:rPr>
        <w:t>.</w:t>
      </w:r>
      <w:r w:rsidRPr="002C0ED6">
        <w:rPr>
          <w:rFonts w:asciiTheme="minorBidi" w:hAnsiTheme="minorBidi"/>
          <w:rtl/>
        </w:rPr>
        <w:t xml:space="preserve"> </w:t>
      </w:r>
    </w:p>
  </w:footnote>
  <w:footnote w:id="1020">
    <w:p w14:paraId="2BFC489F" w14:textId="77777777" w:rsidR="004B2E7C" w:rsidRDefault="004B2E7C" w:rsidP="00285819">
      <w:pPr>
        <w:pStyle w:val="a7"/>
        <w:rPr>
          <w:rtl/>
        </w:rPr>
      </w:pPr>
      <w:r>
        <w:rPr>
          <w:rStyle w:val="a9"/>
        </w:rPr>
        <w:footnoteRef/>
      </w:r>
      <w:r>
        <w:rPr>
          <w:rtl/>
        </w:rPr>
        <w:t xml:space="preserve"> </w:t>
      </w:r>
      <w:r w:rsidRPr="0069756E">
        <w:rPr>
          <w:rFonts w:asciiTheme="minorBidi" w:hAnsiTheme="minorBidi"/>
          <w:rtl/>
        </w:rPr>
        <w:t>ו</w:t>
      </w:r>
      <w:r>
        <w:rPr>
          <w:rFonts w:asciiTheme="minorBidi" w:hAnsiTheme="minorBidi" w:hint="cs"/>
          <w:rtl/>
        </w:rPr>
        <w:t xml:space="preserve">ז"ל הב"י- </w:t>
      </w:r>
      <w:r w:rsidRPr="0069756E">
        <w:rPr>
          <w:rFonts w:asciiTheme="minorBidi" w:hAnsiTheme="minorBidi"/>
          <w:rtl/>
        </w:rPr>
        <w:t>רבינו סתם וכתב להתיר במנורה גדולה שאינה של פרקים ולית בה חידקי ומשמע דאפילו גדולה כמה שריא דגרסינן בסוף פרק כל כתבי (קכא:) אמר רבי אבא בר כהנא אמר רבי חנינא פמוטות של בית רבי מותר לטלטלן בשבת</w:t>
      </w:r>
      <w:r>
        <w:rPr>
          <w:rFonts w:asciiTheme="minorBidi" w:hAnsiTheme="minorBidi" w:hint="cs"/>
          <w:rtl/>
        </w:rPr>
        <w:t>,</w:t>
      </w:r>
      <w:r w:rsidRPr="0069756E">
        <w:rPr>
          <w:rFonts w:asciiTheme="minorBidi" w:hAnsiTheme="minorBidi"/>
          <w:rtl/>
        </w:rPr>
        <w:t xml:space="preserve"> ופירש רש"י פמוטות</w:t>
      </w:r>
      <w:r>
        <w:rPr>
          <w:rFonts w:asciiTheme="minorBidi" w:hAnsiTheme="minorBidi" w:hint="cs"/>
          <w:rtl/>
        </w:rPr>
        <w:t>:</w:t>
      </w:r>
      <w:r w:rsidRPr="0069756E">
        <w:rPr>
          <w:rFonts w:asciiTheme="minorBidi" w:hAnsiTheme="minorBidi"/>
          <w:rtl/>
        </w:rPr>
        <w:t xml:space="preserve"> מנורות</w:t>
      </w:r>
      <w:r>
        <w:rPr>
          <w:rFonts w:asciiTheme="minorBidi" w:hAnsiTheme="minorBidi" w:hint="cs"/>
          <w:rtl/>
        </w:rPr>
        <w:t>,</w:t>
      </w:r>
      <w:r w:rsidRPr="0069756E">
        <w:rPr>
          <w:rFonts w:asciiTheme="minorBidi" w:hAnsiTheme="minorBidi"/>
          <w:rtl/>
        </w:rPr>
        <w:t xml:space="preserve"> ולא של חוליות היו</w:t>
      </w:r>
      <w:r>
        <w:rPr>
          <w:rFonts w:asciiTheme="minorBidi" w:hAnsiTheme="minorBidi" w:hint="cs"/>
          <w:rtl/>
        </w:rPr>
        <w:t>.</w:t>
      </w:r>
      <w:r w:rsidRPr="0069756E">
        <w:rPr>
          <w:rFonts w:asciiTheme="minorBidi" w:hAnsiTheme="minorBidi"/>
          <w:rtl/>
        </w:rPr>
        <w:t xml:space="preserve"> אמר ליה רבי זירא בניטלין בידו אחת או בשתי ידים</w:t>
      </w:r>
      <w:r>
        <w:rPr>
          <w:rFonts w:asciiTheme="minorBidi" w:hAnsiTheme="minorBidi" w:hint="cs"/>
          <w:rtl/>
        </w:rPr>
        <w:t>,</w:t>
      </w:r>
      <w:r w:rsidRPr="0069756E">
        <w:rPr>
          <w:rFonts w:asciiTheme="minorBidi" w:hAnsiTheme="minorBidi"/>
          <w:rtl/>
        </w:rPr>
        <w:t xml:space="preserve"> אמר ליה כאותן של בית אביך</w:t>
      </w:r>
      <w:r>
        <w:rPr>
          <w:rFonts w:asciiTheme="minorBidi" w:hAnsiTheme="minorBidi" w:hint="cs"/>
          <w:rtl/>
        </w:rPr>
        <w:t>.</w:t>
      </w:r>
      <w:r w:rsidRPr="0069756E">
        <w:rPr>
          <w:rFonts w:asciiTheme="minorBidi" w:hAnsiTheme="minorBidi"/>
          <w:rtl/>
        </w:rPr>
        <w:t xml:space="preserve"> ופירש הרא"ש (סי' יב)</w:t>
      </w:r>
      <w:r>
        <w:rPr>
          <w:rFonts w:asciiTheme="minorBidi" w:hAnsiTheme="minorBidi" w:hint="cs"/>
          <w:rtl/>
        </w:rPr>
        <w:t>:</w:t>
      </w:r>
      <w:r w:rsidRPr="0069756E">
        <w:rPr>
          <w:rFonts w:asciiTheme="minorBidi" w:hAnsiTheme="minorBidi"/>
          <w:rtl/>
        </w:rPr>
        <w:t xml:space="preserve"> של בית אביך </w:t>
      </w:r>
      <w:r>
        <w:rPr>
          <w:rFonts w:asciiTheme="minorBidi" w:hAnsiTheme="minorBidi" w:hint="cs"/>
          <w:rtl/>
        </w:rPr>
        <w:t xml:space="preserve">- </w:t>
      </w:r>
      <w:r w:rsidRPr="0069756E">
        <w:rPr>
          <w:rFonts w:asciiTheme="minorBidi" w:hAnsiTheme="minorBidi"/>
          <w:rtl/>
        </w:rPr>
        <w:t>דגדולים היו ואפ</w:t>
      </w:r>
      <w:r>
        <w:rPr>
          <w:rFonts w:asciiTheme="minorBidi" w:hAnsiTheme="minorBidi" w:hint="cs"/>
          <w:rtl/>
        </w:rPr>
        <w:t>"</w:t>
      </w:r>
      <w:r w:rsidRPr="0069756E">
        <w:rPr>
          <w:rFonts w:asciiTheme="minorBidi" w:hAnsiTheme="minorBidi"/>
          <w:rtl/>
        </w:rPr>
        <w:t>ה שרו</w:t>
      </w:r>
      <w:r>
        <w:rPr>
          <w:rFonts w:asciiTheme="minorBidi" w:hAnsiTheme="minorBidi" w:hint="cs"/>
          <w:rtl/>
        </w:rPr>
        <w:t>.</w:t>
      </w:r>
      <w:r w:rsidRPr="0069756E">
        <w:rPr>
          <w:rFonts w:asciiTheme="minorBidi" w:hAnsiTheme="minorBidi"/>
          <w:rtl/>
        </w:rPr>
        <w:t xml:space="preserve"> וכ</w:t>
      </w:r>
      <w:r>
        <w:rPr>
          <w:rFonts w:asciiTheme="minorBidi" w:hAnsiTheme="minorBidi" w:hint="cs"/>
          <w:rtl/>
        </w:rPr>
        <w:t>"</w:t>
      </w:r>
      <w:r w:rsidRPr="0069756E">
        <w:rPr>
          <w:rFonts w:asciiTheme="minorBidi" w:hAnsiTheme="minorBidi"/>
          <w:rtl/>
        </w:rPr>
        <w:t>כ התוס</w:t>
      </w:r>
      <w:r>
        <w:rPr>
          <w:rFonts w:asciiTheme="minorBidi" w:hAnsiTheme="minorBidi" w:hint="cs"/>
          <w:rtl/>
        </w:rPr>
        <w:t>'</w:t>
      </w:r>
      <w:r w:rsidRPr="0069756E">
        <w:rPr>
          <w:rFonts w:asciiTheme="minorBidi" w:hAnsiTheme="minorBidi"/>
          <w:rtl/>
        </w:rPr>
        <w:t xml:space="preserve"> בסוף פרק במה מדליקין (לה. ד"ה ואפילו) וכ</w:t>
      </w:r>
      <w:r>
        <w:rPr>
          <w:rFonts w:asciiTheme="minorBidi" w:hAnsiTheme="minorBidi" w:hint="cs"/>
          <w:rtl/>
        </w:rPr>
        <w:t>"כ</w:t>
      </w:r>
      <w:r w:rsidRPr="0069756E">
        <w:rPr>
          <w:rFonts w:asciiTheme="minorBidi" w:hAnsiTheme="minorBidi"/>
          <w:rtl/>
        </w:rPr>
        <w:t xml:space="preserve"> הר"ן בסוף פרק</w:t>
      </w:r>
      <w:r>
        <w:rPr>
          <w:rFonts w:asciiTheme="minorBidi" w:hAnsiTheme="minorBidi" w:hint="cs"/>
          <w:rtl/>
        </w:rPr>
        <w:t xml:space="preserve"> </w:t>
      </w:r>
      <w:r w:rsidRPr="0069756E">
        <w:rPr>
          <w:rFonts w:asciiTheme="minorBidi" w:hAnsiTheme="minorBidi"/>
          <w:rtl/>
        </w:rPr>
        <w:t xml:space="preserve">כל כתבי </w:t>
      </w:r>
      <w:r>
        <w:rPr>
          <w:rFonts w:asciiTheme="minorBidi" w:hAnsiTheme="minorBidi" w:hint="cs"/>
          <w:rtl/>
        </w:rPr>
        <w:t>(</w:t>
      </w:r>
      <w:r w:rsidRPr="0069756E">
        <w:rPr>
          <w:rFonts w:asciiTheme="minorBidi" w:hAnsiTheme="minorBidi"/>
          <w:rtl/>
        </w:rPr>
        <w:t>מו. ד"ה פמוטות</w:t>
      </w:r>
      <w:r>
        <w:rPr>
          <w:rFonts w:asciiTheme="minorBidi" w:hAnsiTheme="minorBidi" w:hint="cs"/>
          <w:rtl/>
        </w:rPr>
        <w:t>)</w:t>
      </w:r>
      <w:r w:rsidRPr="0069756E">
        <w:rPr>
          <w:rFonts w:asciiTheme="minorBidi" w:hAnsiTheme="minorBidi"/>
          <w:rtl/>
        </w:rPr>
        <w:t xml:space="preserve"> בשם הרמב"ן (קכא: ד"ה א"ל)</w:t>
      </w:r>
      <w:r>
        <w:rPr>
          <w:rFonts w:asciiTheme="minorBidi" w:hAnsiTheme="minorBidi" w:hint="cs"/>
          <w:rtl/>
        </w:rPr>
        <w:t>.</w:t>
      </w:r>
      <w:r w:rsidRPr="0069756E">
        <w:rPr>
          <w:rFonts w:asciiTheme="minorBidi" w:hAnsiTheme="minorBidi"/>
          <w:rtl/>
        </w:rPr>
        <w:t xml:space="preserve"> ודחו דברי רש"י דפירש של בית אביך דקטנות היו אבל גדולות אדם קובע להם מקום, מדשרי בפרק כירה (מה:) הניטלת בשתי ידים</w:t>
      </w:r>
      <w:r>
        <w:rPr>
          <w:rFonts w:asciiTheme="minorBidi" w:hAnsiTheme="minorBidi" w:hint="cs"/>
          <w:rtl/>
        </w:rPr>
        <w:t>,</w:t>
      </w:r>
      <w:r w:rsidRPr="0069756E">
        <w:rPr>
          <w:rFonts w:asciiTheme="minorBidi" w:hAnsiTheme="minorBidi"/>
          <w:rtl/>
        </w:rPr>
        <w:t xml:space="preserve"> דלא אסרינן אלא בשל חוליות או דאית בה חידקי. וכתב עוד הר"ן דבשתי ידים לאו דוקא דה</w:t>
      </w:r>
      <w:r>
        <w:rPr>
          <w:rFonts w:asciiTheme="minorBidi" w:hAnsiTheme="minorBidi" w:hint="cs"/>
          <w:rtl/>
        </w:rPr>
        <w:t>"ה</w:t>
      </w:r>
      <w:r w:rsidRPr="0069756E">
        <w:rPr>
          <w:rFonts w:asciiTheme="minorBidi" w:hAnsiTheme="minorBidi"/>
          <w:rtl/>
        </w:rPr>
        <w:t xml:space="preserve"> אפילו אינה ניטלת אלא בכמה בני אדם שרי לטלטולה</w:t>
      </w:r>
      <w:r>
        <w:rPr>
          <w:rFonts w:asciiTheme="minorBidi" w:hAnsiTheme="minorBidi" w:hint="cs"/>
          <w:rtl/>
        </w:rPr>
        <w:t>,</w:t>
      </w:r>
      <w:r w:rsidRPr="0069756E">
        <w:rPr>
          <w:rFonts w:asciiTheme="minorBidi" w:hAnsiTheme="minorBidi"/>
          <w:rtl/>
        </w:rPr>
        <w:t xml:space="preserve"> ואע</w:t>
      </w:r>
      <w:r>
        <w:rPr>
          <w:rFonts w:asciiTheme="minorBidi" w:hAnsiTheme="minorBidi" w:hint="cs"/>
          <w:rtl/>
        </w:rPr>
        <w:t>"</w:t>
      </w:r>
      <w:r w:rsidRPr="0069756E">
        <w:rPr>
          <w:rFonts w:asciiTheme="minorBidi" w:hAnsiTheme="minorBidi"/>
          <w:rtl/>
        </w:rPr>
        <w:t>ג דאיפליגו בה בירושלמי (פי"ז ה"א)</w:t>
      </w:r>
      <w:r>
        <w:rPr>
          <w:rFonts w:asciiTheme="minorBidi" w:hAnsiTheme="minorBidi" w:hint="cs"/>
          <w:rtl/>
        </w:rPr>
        <w:t>,</w:t>
      </w:r>
      <w:r w:rsidRPr="0069756E">
        <w:rPr>
          <w:rFonts w:asciiTheme="minorBidi" w:hAnsiTheme="minorBidi"/>
          <w:rtl/>
        </w:rPr>
        <w:t xml:space="preserve"> וראיה לדבר מדשרינן בפרק המוצא תפילין (עירובין קב.) אסיתא ושריתא דדרו להו בי עשרה משום דתורת כלי עליהם</w:t>
      </w:r>
      <w:r>
        <w:rPr>
          <w:rFonts w:asciiTheme="minorBidi" w:hAnsiTheme="minorBidi" w:hint="cs"/>
          <w:rtl/>
        </w:rPr>
        <w:t>.</w:t>
      </w:r>
    </w:p>
  </w:footnote>
  <w:footnote w:id="1021">
    <w:p w14:paraId="087ABB28" w14:textId="77777777" w:rsidR="004B2E7C" w:rsidRDefault="004B2E7C" w:rsidP="00285819">
      <w:pPr>
        <w:pStyle w:val="a7"/>
        <w:rPr>
          <w:rtl/>
        </w:rPr>
      </w:pPr>
      <w:r>
        <w:rPr>
          <w:rStyle w:val="a9"/>
        </w:rPr>
        <w:footnoteRef/>
      </w:r>
      <w:r>
        <w:rPr>
          <w:rtl/>
        </w:rPr>
        <w:t xml:space="preserve"> </w:t>
      </w:r>
      <w:r>
        <w:rPr>
          <w:rFonts w:asciiTheme="minorBidi" w:hAnsiTheme="minorBidi" w:hint="cs"/>
          <w:rtl/>
        </w:rPr>
        <w:t xml:space="preserve">וז"ל הב"י- </w:t>
      </w:r>
      <w:r w:rsidRPr="002C0ED6">
        <w:rPr>
          <w:rFonts w:asciiTheme="minorBidi" w:hAnsiTheme="minorBidi"/>
          <w:rtl/>
        </w:rPr>
        <w:t>ומ</w:t>
      </w:r>
      <w:r>
        <w:rPr>
          <w:rFonts w:asciiTheme="minorBidi" w:hAnsiTheme="minorBidi" w:hint="cs"/>
          <w:rtl/>
        </w:rPr>
        <w:t>"מ</w:t>
      </w:r>
      <w:r w:rsidRPr="002C0ED6">
        <w:rPr>
          <w:rFonts w:asciiTheme="minorBidi" w:hAnsiTheme="minorBidi"/>
          <w:rtl/>
        </w:rPr>
        <w:t xml:space="preserve"> יש לדקדק במה שכתב </w:t>
      </w:r>
      <w:r>
        <w:rPr>
          <w:rFonts w:asciiTheme="minorBidi" w:hAnsiTheme="minorBidi" w:hint="cs"/>
          <w:rtl/>
        </w:rPr>
        <w:t>(פכ"ו הי"א) '</w:t>
      </w:r>
      <w:r w:rsidRPr="002C0ED6">
        <w:rPr>
          <w:rFonts w:asciiTheme="minorBidi" w:hAnsiTheme="minorBidi"/>
          <w:rtl/>
        </w:rPr>
        <w:t>אם היתה גדולה הניטלת בשתי ידים אסור לטלטלה מפני כובדה</w:t>
      </w:r>
      <w:r>
        <w:rPr>
          <w:rFonts w:asciiTheme="minorBidi" w:hAnsiTheme="minorBidi" w:hint="cs"/>
          <w:rtl/>
        </w:rPr>
        <w:t>',</w:t>
      </w:r>
      <w:r w:rsidRPr="002C0ED6">
        <w:rPr>
          <w:rFonts w:asciiTheme="minorBidi" w:hAnsiTheme="minorBidi"/>
          <w:rtl/>
        </w:rPr>
        <w:t xml:space="preserve"> דכיון דמשום כובדה הוא דאסר לה מאי איריא אית בה חידקי אפילו לית בה חידקי נמי</w:t>
      </w:r>
      <w:r>
        <w:rPr>
          <w:rFonts w:asciiTheme="minorBidi" w:hAnsiTheme="minorBidi" w:hint="cs"/>
          <w:rtl/>
        </w:rPr>
        <w:t>,</w:t>
      </w:r>
      <w:r w:rsidRPr="002C0ED6">
        <w:rPr>
          <w:rFonts w:asciiTheme="minorBidi" w:hAnsiTheme="minorBidi"/>
          <w:rtl/>
        </w:rPr>
        <w:t xml:space="preserve"> ונראה לי דאין הכי נמי דגדולה אפילו לית בה חידקי אסור לטלטלה ולא נקט אית בה חידקי אלא לאשמועינן</w:t>
      </w:r>
      <w:r>
        <w:rPr>
          <w:rFonts w:asciiTheme="minorBidi" w:hAnsiTheme="minorBidi" w:hint="cs"/>
          <w:rtl/>
        </w:rPr>
        <w:t xml:space="preserve"> </w:t>
      </w:r>
      <w:r w:rsidRPr="002C0ED6">
        <w:rPr>
          <w:rFonts w:asciiTheme="minorBidi" w:hAnsiTheme="minorBidi"/>
          <w:rtl/>
        </w:rPr>
        <w:t>דאפילו הכי אם היא קטנה שריא</w:t>
      </w:r>
      <w:r>
        <w:rPr>
          <w:rFonts w:hint="cs"/>
          <w:rtl/>
        </w:rPr>
        <w:t>.</w:t>
      </w:r>
    </w:p>
  </w:footnote>
  <w:footnote w:id="1022">
    <w:p w14:paraId="676A9444" w14:textId="77777777" w:rsidR="004B2E7C" w:rsidRDefault="004B2E7C" w:rsidP="00285819">
      <w:pPr>
        <w:pStyle w:val="a7"/>
      </w:pPr>
      <w:r>
        <w:rPr>
          <w:rStyle w:val="a9"/>
        </w:rPr>
        <w:footnoteRef/>
      </w:r>
      <w:r>
        <w:rPr>
          <w:rtl/>
        </w:rPr>
        <w:t xml:space="preserve"> </w:t>
      </w:r>
      <w:r w:rsidRPr="00071FAD">
        <w:rPr>
          <w:rFonts w:cs="Arial" w:hint="cs"/>
          <w:rtl/>
        </w:rPr>
        <w:t>ואם</w:t>
      </w:r>
      <w:r w:rsidRPr="00071FAD">
        <w:rPr>
          <w:rFonts w:cs="Arial"/>
          <w:rtl/>
        </w:rPr>
        <w:t xml:space="preserve"> </w:t>
      </w:r>
      <w:r w:rsidRPr="00071FAD">
        <w:rPr>
          <w:rFonts w:cs="Arial" w:hint="cs"/>
          <w:rtl/>
        </w:rPr>
        <w:t>דרכה</w:t>
      </w:r>
      <w:r w:rsidRPr="00071FAD">
        <w:rPr>
          <w:rFonts w:cs="Arial"/>
          <w:rtl/>
        </w:rPr>
        <w:t xml:space="preserve"> </w:t>
      </w:r>
      <w:r w:rsidRPr="00071FAD">
        <w:rPr>
          <w:rFonts w:cs="Arial" w:hint="cs"/>
          <w:rtl/>
        </w:rPr>
        <w:t>להיות</w:t>
      </w:r>
      <w:r w:rsidRPr="00071FAD">
        <w:rPr>
          <w:rFonts w:cs="Arial"/>
          <w:rtl/>
        </w:rPr>
        <w:t xml:space="preserve"> </w:t>
      </w:r>
      <w:r w:rsidRPr="00071FAD">
        <w:rPr>
          <w:rFonts w:cs="Arial" w:hint="cs"/>
          <w:rtl/>
        </w:rPr>
        <w:t>רפוי</w:t>
      </w:r>
      <w:r w:rsidRPr="00071FAD">
        <w:rPr>
          <w:rFonts w:cs="Arial"/>
          <w:rtl/>
        </w:rPr>
        <w:t xml:space="preserve"> </w:t>
      </w:r>
      <w:r w:rsidRPr="00071FAD">
        <w:rPr>
          <w:rFonts w:cs="Arial" w:hint="cs"/>
          <w:rtl/>
        </w:rPr>
        <w:t>שרי</w:t>
      </w:r>
      <w:r w:rsidRPr="00071FAD">
        <w:rPr>
          <w:rFonts w:cs="Arial"/>
          <w:rtl/>
        </w:rPr>
        <w:t xml:space="preserve"> </w:t>
      </w:r>
      <w:r w:rsidRPr="00071FAD">
        <w:rPr>
          <w:rFonts w:cs="Arial" w:hint="cs"/>
          <w:rtl/>
        </w:rPr>
        <w:t>כמ</w:t>
      </w:r>
      <w:r w:rsidRPr="00071FAD">
        <w:rPr>
          <w:rFonts w:cs="Arial"/>
          <w:rtl/>
        </w:rPr>
        <w:t>"</w:t>
      </w:r>
      <w:r w:rsidRPr="00071FAD">
        <w:rPr>
          <w:rFonts w:cs="Arial" w:hint="cs"/>
          <w:rtl/>
        </w:rPr>
        <w:t>ש</w:t>
      </w:r>
      <w:r w:rsidRPr="00071FAD">
        <w:rPr>
          <w:rFonts w:cs="Arial"/>
          <w:rtl/>
        </w:rPr>
        <w:t xml:space="preserve"> </w:t>
      </w:r>
      <w:r w:rsidRPr="00071FAD">
        <w:rPr>
          <w:rFonts w:cs="Arial" w:hint="cs"/>
          <w:rtl/>
        </w:rPr>
        <w:t>סי</w:t>
      </w:r>
      <w:r w:rsidRPr="00071FAD">
        <w:rPr>
          <w:rFonts w:cs="Arial"/>
          <w:rtl/>
        </w:rPr>
        <w:t xml:space="preserve">' </w:t>
      </w:r>
      <w:r w:rsidRPr="00071FAD">
        <w:rPr>
          <w:rFonts w:cs="Arial" w:hint="cs"/>
          <w:rtl/>
        </w:rPr>
        <w:t>שי</w:t>
      </w:r>
      <w:r w:rsidRPr="00071FAD">
        <w:rPr>
          <w:rFonts w:cs="Arial"/>
          <w:rtl/>
        </w:rPr>
        <w:t>"</w:t>
      </w:r>
      <w:r w:rsidRPr="00071FAD">
        <w:rPr>
          <w:rFonts w:cs="Arial" w:hint="cs"/>
          <w:rtl/>
        </w:rPr>
        <w:t>ג</w:t>
      </w:r>
      <w:r w:rsidRPr="00071FAD">
        <w:rPr>
          <w:rFonts w:cs="Arial"/>
          <w:rtl/>
        </w:rPr>
        <w:t xml:space="preserve"> </w:t>
      </w:r>
      <w:r w:rsidRPr="00071FAD">
        <w:rPr>
          <w:rFonts w:cs="Arial" w:hint="cs"/>
          <w:rtl/>
        </w:rPr>
        <w:t>ס</w:t>
      </w:r>
      <w:r w:rsidRPr="00071FAD">
        <w:rPr>
          <w:rFonts w:cs="Arial"/>
          <w:rtl/>
        </w:rPr>
        <w:t>"</w:t>
      </w:r>
      <w:r w:rsidRPr="00071FAD">
        <w:rPr>
          <w:rFonts w:cs="Arial" w:hint="cs"/>
          <w:rtl/>
        </w:rPr>
        <w:t>ו</w:t>
      </w:r>
      <w:r w:rsidRPr="00071FAD">
        <w:rPr>
          <w:rFonts w:cs="Arial"/>
          <w:rtl/>
        </w:rPr>
        <w:t xml:space="preserve"> </w:t>
      </w:r>
      <w:r w:rsidRPr="00071FAD">
        <w:rPr>
          <w:rFonts w:cs="Arial" w:hint="cs"/>
          <w:rtl/>
        </w:rPr>
        <w:t>ועמ</w:t>
      </w:r>
      <w:r w:rsidRPr="00071FAD">
        <w:rPr>
          <w:rFonts w:cs="Arial"/>
          <w:rtl/>
        </w:rPr>
        <w:t>"</w:t>
      </w:r>
      <w:r w:rsidRPr="00071FAD">
        <w:rPr>
          <w:rFonts w:cs="Arial" w:hint="cs"/>
          <w:rtl/>
        </w:rPr>
        <w:t>ש</w:t>
      </w:r>
      <w:r w:rsidRPr="00071FAD">
        <w:rPr>
          <w:rFonts w:cs="Arial"/>
          <w:rtl/>
        </w:rPr>
        <w:t xml:space="preserve"> </w:t>
      </w:r>
      <w:r w:rsidRPr="00071FAD">
        <w:rPr>
          <w:rFonts w:cs="Arial" w:hint="cs"/>
          <w:rtl/>
        </w:rPr>
        <w:t>סי</w:t>
      </w:r>
      <w:r w:rsidRPr="00071FAD">
        <w:rPr>
          <w:rFonts w:cs="Arial"/>
          <w:rtl/>
        </w:rPr>
        <w:t xml:space="preserve">' </w:t>
      </w:r>
      <w:r w:rsidRPr="00071FAD">
        <w:rPr>
          <w:rFonts w:cs="Arial" w:hint="cs"/>
          <w:rtl/>
        </w:rPr>
        <w:t>תקי</w:t>
      </w:r>
      <w:r w:rsidRPr="00071FAD">
        <w:rPr>
          <w:rFonts w:cs="Arial"/>
          <w:rtl/>
        </w:rPr>
        <w:t>"</w:t>
      </w:r>
      <w:r w:rsidRPr="00071FAD">
        <w:rPr>
          <w:rFonts w:cs="Arial" w:hint="cs"/>
          <w:rtl/>
        </w:rPr>
        <w:t>ט</w:t>
      </w:r>
      <w:r w:rsidRPr="00071FAD">
        <w:rPr>
          <w:rFonts w:cs="Arial"/>
          <w:rtl/>
        </w:rPr>
        <w:t xml:space="preserve"> </w:t>
      </w:r>
      <w:r w:rsidRPr="00071FAD">
        <w:rPr>
          <w:rFonts w:cs="Arial" w:hint="cs"/>
          <w:rtl/>
        </w:rPr>
        <w:t>ס</w:t>
      </w:r>
      <w:r w:rsidRPr="00071FAD">
        <w:rPr>
          <w:rFonts w:cs="Arial"/>
          <w:rtl/>
        </w:rPr>
        <w:t>"</w:t>
      </w:r>
      <w:r w:rsidRPr="00071FAD">
        <w:rPr>
          <w:rFonts w:cs="Arial" w:hint="cs"/>
          <w:rtl/>
        </w:rPr>
        <w:t>ב</w:t>
      </w:r>
      <w:r>
        <w:rPr>
          <w:rFonts w:cs="Arial" w:hint="cs"/>
          <w:rtl/>
        </w:rPr>
        <w:t>, מג"א (סקי"ד).</w:t>
      </w:r>
    </w:p>
  </w:footnote>
  <w:footnote w:id="1023">
    <w:p w14:paraId="7EC6F161" w14:textId="77777777" w:rsidR="004B2E7C" w:rsidRDefault="004B2E7C" w:rsidP="00285819">
      <w:pPr>
        <w:pStyle w:val="a7"/>
      </w:pPr>
      <w:r>
        <w:rPr>
          <w:rStyle w:val="a9"/>
        </w:rPr>
        <w:footnoteRef/>
      </w:r>
      <w:r>
        <w:rPr>
          <w:rtl/>
        </w:rPr>
        <w:t xml:space="preserve"> </w:t>
      </w:r>
      <w:r w:rsidRPr="00562AE9">
        <w:rPr>
          <w:rFonts w:cs="Arial" w:hint="cs"/>
          <w:rtl/>
        </w:rPr>
        <w:t>אע</w:t>
      </w:r>
      <w:r>
        <w:rPr>
          <w:rFonts w:cs="Arial" w:hint="cs"/>
          <w:rtl/>
        </w:rPr>
        <w:t>"</w:t>
      </w:r>
      <w:r w:rsidRPr="00562AE9">
        <w:rPr>
          <w:rFonts w:cs="Arial" w:hint="cs"/>
          <w:rtl/>
        </w:rPr>
        <w:t>ג</w:t>
      </w:r>
      <w:r w:rsidRPr="00562AE9">
        <w:rPr>
          <w:rFonts w:cs="Arial"/>
          <w:rtl/>
        </w:rPr>
        <w:t xml:space="preserve"> </w:t>
      </w:r>
      <w:r w:rsidRPr="00562AE9">
        <w:rPr>
          <w:rFonts w:cs="Arial" w:hint="cs"/>
          <w:rtl/>
        </w:rPr>
        <w:t>דבסי</w:t>
      </w:r>
      <w:r w:rsidRPr="00562AE9">
        <w:rPr>
          <w:rFonts w:cs="Arial"/>
          <w:rtl/>
        </w:rPr>
        <w:t xml:space="preserve">' </w:t>
      </w:r>
      <w:r w:rsidRPr="00562AE9">
        <w:rPr>
          <w:rFonts w:cs="Arial" w:hint="cs"/>
          <w:rtl/>
        </w:rPr>
        <w:t>שי</w:t>
      </w:r>
      <w:r w:rsidRPr="00562AE9">
        <w:rPr>
          <w:rFonts w:cs="Arial"/>
          <w:rtl/>
        </w:rPr>
        <w:t>"</w:t>
      </w:r>
      <w:r w:rsidRPr="00562AE9">
        <w:rPr>
          <w:rFonts w:cs="Arial" w:hint="cs"/>
          <w:rtl/>
        </w:rPr>
        <w:t>ד</w:t>
      </w:r>
      <w:r w:rsidRPr="00562AE9">
        <w:rPr>
          <w:rFonts w:cs="Arial"/>
          <w:rtl/>
        </w:rPr>
        <w:t xml:space="preserve"> </w:t>
      </w:r>
      <w:r w:rsidRPr="00562AE9">
        <w:rPr>
          <w:rFonts w:cs="Arial" w:hint="cs"/>
          <w:rtl/>
        </w:rPr>
        <w:t>אמרי</w:t>
      </w:r>
      <w:r w:rsidRPr="00562AE9">
        <w:rPr>
          <w:rFonts w:cs="Arial"/>
          <w:rtl/>
        </w:rPr>
        <w:t xml:space="preserve">' </w:t>
      </w:r>
      <w:r w:rsidRPr="00562AE9">
        <w:rPr>
          <w:rFonts w:cs="Arial" w:hint="cs"/>
          <w:rtl/>
        </w:rPr>
        <w:t>אין</w:t>
      </w:r>
      <w:r w:rsidRPr="00562AE9">
        <w:rPr>
          <w:rFonts w:cs="Arial"/>
          <w:rtl/>
        </w:rPr>
        <w:t xml:space="preserve"> </w:t>
      </w:r>
      <w:r w:rsidRPr="00562AE9">
        <w:rPr>
          <w:rFonts w:cs="Arial" w:hint="cs"/>
          <w:rtl/>
        </w:rPr>
        <w:t>בנין</w:t>
      </w:r>
      <w:r w:rsidRPr="00562AE9">
        <w:rPr>
          <w:rFonts w:cs="Arial"/>
          <w:rtl/>
        </w:rPr>
        <w:t xml:space="preserve"> </w:t>
      </w:r>
      <w:r w:rsidRPr="00562AE9">
        <w:rPr>
          <w:rFonts w:cs="Arial" w:hint="cs"/>
          <w:rtl/>
        </w:rPr>
        <w:t>בכלים</w:t>
      </w:r>
      <w:r w:rsidRPr="00562AE9">
        <w:rPr>
          <w:rFonts w:cs="Arial"/>
          <w:rtl/>
        </w:rPr>
        <w:t xml:space="preserve"> </w:t>
      </w:r>
      <w:r w:rsidRPr="00562AE9">
        <w:rPr>
          <w:rFonts w:cs="Arial" w:hint="cs"/>
          <w:rtl/>
        </w:rPr>
        <w:t>שאני</w:t>
      </w:r>
      <w:r w:rsidRPr="00562AE9">
        <w:rPr>
          <w:rFonts w:cs="Arial"/>
          <w:rtl/>
        </w:rPr>
        <w:t xml:space="preserve"> </w:t>
      </w:r>
      <w:r w:rsidRPr="00562AE9">
        <w:rPr>
          <w:rFonts w:cs="Arial" w:hint="cs"/>
          <w:rtl/>
        </w:rPr>
        <w:t>הכא</w:t>
      </w:r>
      <w:r w:rsidRPr="00562AE9">
        <w:rPr>
          <w:rFonts w:cs="Arial"/>
          <w:rtl/>
        </w:rPr>
        <w:t xml:space="preserve"> </w:t>
      </w:r>
      <w:r w:rsidRPr="00562AE9">
        <w:rPr>
          <w:rFonts w:cs="Arial" w:hint="cs"/>
          <w:rtl/>
        </w:rPr>
        <w:t>דהוי</w:t>
      </w:r>
      <w:r w:rsidRPr="00562AE9">
        <w:rPr>
          <w:rFonts w:cs="Arial"/>
          <w:rtl/>
        </w:rPr>
        <w:t xml:space="preserve"> </w:t>
      </w:r>
      <w:r w:rsidRPr="00562AE9">
        <w:rPr>
          <w:rFonts w:cs="Arial" w:hint="cs"/>
          <w:rtl/>
        </w:rPr>
        <w:t>כעושה</w:t>
      </w:r>
      <w:r w:rsidRPr="00562AE9">
        <w:rPr>
          <w:rFonts w:cs="Arial"/>
          <w:rtl/>
        </w:rPr>
        <w:t xml:space="preserve"> </w:t>
      </w:r>
      <w:r w:rsidRPr="00562AE9">
        <w:rPr>
          <w:rFonts w:cs="Arial" w:hint="cs"/>
          <w:rtl/>
        </w:rPr>
        <w:t>כלי</w:t>
      </w:r>
      <w:r w:rsidRPr="00562AE9">
        <w:rPr>
          <w:rFonts w:cs="Arial"/>
          <w:rtl/>
        </w:rPr>
        <w:t xml:space="preserve"> </w:t>
      </w:r>
      <w:r w:rsidRPr="00562AE9">
        <w:rPr>
          <w:rFonts w:cs="Arial" w:hint="cs"/>
          <w:rtl/>
        </w:rPr>
        <w:t>מחדש</w:t>
      </w:r>
      <w:r>
        <w:rPr>
          <w:rFonts w:cs="Arial" w:hint="cs"/>
          <w:rtl/>
        </w:rPr>
        <w:t>,</w:t>
      </w:r>
      <w:r w:rsidRPr="00562AE9">
        <w:rPr>
          <w:rFonts w:cs="Arial"/>
          <w:rtl/>
        </w:rPr>
        <w:t xml:space="preserve"> </w:t>
      </w:r>
      <w:r w:rsidRPr="00562AE9">
        <w:rPr>
          <w:rFonts w:cs="Arial" w:hint="cs"/>
          <w:rtl/>
        </w:rPr>
        <w:t>כנלע</w:t>
      </w:r>
      <w:r w:rsidRPr="00562AE9">
        <w:rPr>
          <w:rFonts w:cs="Arial"/>
          <w:rtl/>
        </w:rPr>
        <w:t>"</w:t>
      </w:r>
      <w:r w:rsidRPr="00562AE9">
        <w:rPr>
          <w:rFonts w:cs="Arial" w:hint="cs"/>
          <w:rtl/>
        </w:rPr>
        <w:t>ד</w:t>
      </w:r>
      <w:r>
        <w:rPr>
          <w:rFonts w:cs="Arial" w:hint="cs"/>
          <w:rtl/>
        </w:rPr>
        <w:t>, ט"ז (סק"ו).</w:t>
      </w:r>
    </w:p>
  </w:footnote>
  <w:footnote w:id="1024">
    <w:p w14:paraId="31272008" w14:textId="77777777" w:rsidR="004B2E7C" w:rsidRDefault="004B2E7C" w:rsidP="00285819">
      <w:pPr>
        <w:pStyle w:val="a7"/>
        <w:rPr>
          <w:rtl/>
        </w:rPr>
      </w:pPr>
      <w:r>
        <w:rPr>
          <w:rStyle w:val="a9"/>
        </w:rPr>
        <w:footnoteRef/>
      </w:r>
      <w:r>
        <w:rPr>
          <w:rtl/>
        </w:rPr>
        <w:t xml:space="preserve"> </w:t>
      </w:r>
      <w:r>
        <w:rPr>
          <w:rFonts w:cs="Arial"/>
          <w:rtl/>
        </w:rPr>
        <w:t>(א) והמנהג שלא לאמרו: כתב המרדכי פרק כל כתבי (ע"ד סי' שצח) וז"ל ומה שנוהגים שכל ימות השבוע מתעוררים בבוקר לבית הכנסת להתפלל או ללמוד ובשבת ישנים יותר בשחרית טעמן שבכל ימי השבוע נאמר בתמיד של שחר בבוקר בבוקר ובתמיד של שחר של שבת נאמר (במדבר כח ט) וביום ולשון זה משמע איחור כך פירש רב האי עכ"ל המרדכי: וכתוב בהגהות מרדכי פרק קמא דשבת (דף קע"ז ע"א סי' תנא) דנוהגים לומר יקום פורקן בשבת וכן המנהג: כתוב באור זרוע (הל' שבת סי' מב אות ד, עיין שם) נוהגים לקרות מזמורים לכבוד שבת כגון השמים מספרים כבוד אל וגו', לדוד בשנותו את טעמו וגו', תפילה למשה וגו', יושב בסתר עליון וגו', הללויה כי טוב ה', הלל הגדול, [רננו צדיקים וגו'] הודו לה' בכנור, מזמור שיר ליום השבת, [ה' מלך וגו'] נכון כסאך מאז, ומכאן ואילך מסיימין כשאר הימים, ועוד תקנו לומר נשמת ובמקהלות. ונראה דבכל זה אם לא אמר אין מחזירין אותו אבל לאל אשר שבת אם לא אמר מחזירין אותו ויש לאמרו בקול נעים. וכתב עוד (שם אות ז) מצוה להאריך ולהנעים זמירות של שחרית ואסור לומר לקצר בהן אף על פי שמכוין המוחה בשביל ביטול תורה ומכל מקום בשבת ויום טוב צריך למהר קצת כדי שיאכלו קודם שעה ו'. וכתב עוד (שם אות יא) ונוהגים לומר לפני הוצאת ספר תורה אין כמוך בקול רם והקהל חוזרים ואומרים אותו וכן מלכותך ואב הרחמים, ושם כשמוציאים הספר תורה החזן אומר שמע ישראל והקהל עונין אחריו ואחר כך אומרים אחד אלהינו וגדלו לה' אתי וכו' על הכל יתגדל וכו' הכל הבו גודל וכו' ומגביהים הספר כשאומר שמע ישראל וכן גדלו ויש לאמרו בנעימה עכ"ל:</w:t>
      </w:r>
    </w:p>
  </w:footnote>
  <w:footnote w:id="1025">
    <w:p w14:paraId="4504AE3E" w14:textId="77777777" w:rsidR="004B2E7C" w:rsidRDefault="004B2E7C" w:rsidP="00285819">
      <w:pPr>
        <w:pStyle w:val="a7"/>
      </w:pPr>
      <w:r>
        <w:rPr>
          <w:rStyle w:val="a9"/>
        </w:rPr>
        <w:footnoteRef/>
      </w:r>
      <w:r>
        <w:rPr>
          <w:rtl/>
        </w:rPr>
        <w:t xml:space="preserve"> </w:t>
      </w:r>
      <w:r>
        <w:rPr>
          <w:rFonts w:cs="Arial"/>
          <w:rtl/>
        </w:rPr>
        <w:t>(א) ואין אנו נוהגין כן דאם כן אין לנו טעם שהמפטיר הוא ממנין הקוראים בחול ואינו ממנין הקוראים בשבת ויום טוב אבל אי יכולים להוסיף אתי שפיר כמו שמפרש רבינו לקמן בסמוך, אבל מימי לא ראיתי להוסיף ביום כפורים או ביום טוב כי אם בשמחת תורה:</w:t>
      </w:r>
    </w:p>
  </w:footnote>
  <w:footnote w:id="1026">
    <w:p w14:paraId="5F9D6A78" w14:textId="77777777" w:rsidR="004B2E7C" w:rsidRDefault="004B2E7C" w:rsidP="00285819">
      <w:pPr>
        <w:pStyle w:val="a7"/>
        <w:rPr>
          <w:rtl/>
        </w:rPr>
      </w:pPr>
      <w:r>
        <w:rPr>
          <w:rStyle w:val="a9"/>
        </w:rPr>
        <w:footnoteRef/>
      </w:r>
      <w:r>
        <w:rPr>
          <w:rtl/>
        </w:rPr>
        <w:t xml:space="preserve"> </w:t>
      </w:r>
      <w:r>
        <w:rPr>
          <w:rFonts w:cs="Arial"/>
          <w:rtl/>
        </w:rPr>
        <w:t>(ב) ואין אנו נוהגין כן אלא בשמחת תורה:</w:t>
      </w:r>
    </w:p>
  </w:footnote>
  <w:footnote w:id="1027">
    <w:p w14:paraId="350A77A7" w14:textId="77777777" w:rsidR="004B2E7C" w:rsidRDefault="004B2E7C" w:rsidP="00285819">
      <w:pPr>
        <w:pStyle w:val="a7"/>
      </w:pPr>
      <w:r>
        <w:rPr>
          <w:rStyle w:val="a9"/>
        </w:rPr>
        <w:footnoteRef/>
      </w:r>
      <w:r>
        <w:rPr>
          <w:rtl/>
        </w:rPr>
        <w:t xml:space="preserve"> </w:t>
      </w:r>
      <w:r>
        <w:rPr>
          <w:rFonts w:cs="Arial"/>
          <w:rtl/>
        </w:rPr>
        <w:t>(ג) באור זרוע (הל' שבת סי' מג) ואסור לקטן לקרות בראש מגולה וכל שכן גדול דלא כמנהג צרפת דקורין בראש מגולה: כתב באור זרוע (לפנינו בתשב"ץ קטן סי' קפט) דאין אסור לקרות ישראל עם הארץ נכבד ועשיר וגדול הדור לפני תלמיד חכם כי אין זה בזיון לתלמיד חכם רק הוא כבוד לתורה ומתכבדת באנשים גדולים עכ"ל, ועיין לעיל סימן קל"ו:</w:t>
      </w:r>
    </w:p>
  </w:footnote>
  <w:footnote w:id="1028">
    <w:p w14:paraId="6D9D1762" w14:textId="77777777" w:rsidR="004B2E7C" w:rsidRDefault="004B2E7C" w:rsidP="00285819">
      <w:pPr>
        <w:pStyle w:val="a7"/>
        <w:rPr>
          <w:rtl/>
        </w:rPr>
      </w:pPr>
      <w:r>
        <w:rPr>
          <w:rStyle w:val="a9"/>
        </w:rPr>
        <w:footnoteRef/>
      </w:r>
      <w:r>
        <w:rPr>
          <w:rtl/>
        </w:rPr>
        <w:t xml:space="preserve"> </w:t>
      </w:r>
      <w:r>
        <w:rPr>
          <w:rFonts w:cs="Arial"/>
          <w:rtl/>
        </w:rPr>
        <w:t>(ה) ולענין מה שכתב דאם נמצא טעות מוציאין ספר אחר עיין ביורה דעה סימן רע"ט (אות ג) אם נוהגין כן: וכתב באור זרוע (סוף סי' מג) אם קורא השליח צבור [כל] שבעה ובעודו קורא עם השביעי זוכר שאין כאן מי שיפטיר אל יאמר קדיש אחריו אלא יפטיר זה השביעי ואל יקרא עמו שנית ואם כבר אמר קדיש זה השביעי חוזר וקורא ומפטיר ואם החזן יודע להפטיר מאחר שלא קרא עדיין מוטב שיפטיר זה שעדיין לא קרא ואל יפטיר זה שכבר קרא עכ"ל::</w:t>
      </w:r>
    </w:p>
  </w:footnote>
  <w:footnote w:id="1029">
    <w:p w14:paraId="3E970303" w14:textId="77777777" w:rsidR="004B2E7C" w:rsidRDefault="004B2E7C" w:rsidP="00285819">
      <w:pPr>
        <w:pStyle w:val="a7"/>
        <w:rPr>
          <w:rtl/>
        </w:rPr>
      </w:pPr>
      <w:r>
        <w:rPr>
          <w:rStyle w:val="a9"/>
        </w:rPr>
        <w:footnoteRef/>
      </w:r>
      <w:r>
        <w:rPr>
          <w:rtl/>
        </w:rPr>
        <w:t xml:space="preserve"> </w:t>
      </w:r>
      <w:r>
        <w:rPr>
          <w:rFonts w:cs="Arial"/>
          <w:rtl/>
        </w:rPr>
        <w:t>(ו) ונראה דמיירי בדלא אמר קדיש עדיין:</w:t>
      </w:r>
    </w:p>
  </w:footnote>
  <w:footnote w:id="1030">
    <w:p w14:paraId="425B6008" w14:textId="77777777" w:rsidR="004B2E7C" w:rsidRDefault="004B2E7C" w:rsidP="00285819">
      <w:pPr>
        <w:pStyle w:val="a7"/>
        <w:rPr>
          <w:rtl/>
        </w:rPr>
      </w:pPr>
      <w:r>
        <w:rPr>
          <w:rStyle w:val="a9"/>
        </w:rPr>
        <w:footnoteRef/>
      </w:r>
      <w:r>
        <w:rPr>
          <w:rtl/>
        </w:rPr>
        <w:t xml:space="preserve"> </w:t>
      </w:r>
      <w:r>
        <w:rPr>
          <w:rFonts w:cs="Arial"/>
          <w:rtl/>
        </w:rPr>
        <w:t>(ז) וכן המנהג כדבריו אך שמניחין הספר הג' גם כן על השולחן כשאומר קדיש::</w:t>
      </w:r>
    </w:p>
  </w:footnote>
  <w:footnote w:id="1031">
    <w:p w14:paraId="467FF9DC" w14:textId="77777777" w:rsidR="004B2E7C" w:rsidRDefault="004B2E7C" w:rsidP="00285819">
      <w:pPr>
        <w:pStyle w:val="a7"/>
        <w:rPr>
          <w:rtl/>
        </w:rPr>
      </w:pPr>
      <w:r>
        <w:rPr>
          <w:rStyle w:val="a9"/>
        </w:rPr>
        <w:footnoteRef/>
      </w:r>
      <w:r>
        <w:rPr>
          <w:rtl/>
        </w:rPr>
        <w:t xml:space="preserve"> </w:t>
      </w:r>
      <w:r>
        <w:rPr>
          <w:rFonts w:cs="Arial"/>
          <w:rtl/>
        </w:rPr>
        <w:t>(ד) וכתב הר"ן פרק אחרון דמגילה (ע"א דף שס"ד יג ע"א ד"ה וכתב) דהמפטיר קורא במוסף היום וכן כתב המרדכי שם (דף שס"ח ע"א סי' תתט) דקטן קורא בפרשת המוספין ויש נהגו דז' קורא הפרשה והמפטיר חוזר וקורא כמו בשבתות השנה והמנהג כדברי הר"ן והמרדכי דהז' קורין פרשת היום והמפטיר אפילו הוא קטן קורא במוסף היום:</w:t>
      </w:r>
    </w:p>
  </w:footnote>
  <w:footnote w:id="1032">
    <w:p w14:paraId="36A1366D" w14:textId="77777777" w:rsidR="004B2E7C" w:rsidRDefault="004B2E7C" w:rsidP="00285819">
      <w:pPr>
        <w:pStyle w:val="a7"/>
        <w:rPr>
          <w:rtl/>
        </w:rPr>
      </w:pPr>
      <w:r>
        <w:rPr>
          <w:rStyle w:val="a9"/>
        </w:rPr>
        <w:footnoteRef/>
      </w:r>
      <w:r>
        <w:rPr>
          <w:rtl/>
        </w:rPr>
        <w:t xml:space="preserve"> </w:t>
      </w:r>
      <w:r>
        <w:rPr>
          <w:rFonts w:cs="Arial"/>
          <w:rtl/>
        </w:rPr>
        <w:t>(א) כתב מוהר"ם פדו"א (סי' עח) הא דצריכין להפטיר כ"א פסוקים היינו דוקא בשבת שקורין שבעה בתורה אבל ביום טוב שקורין חמשה סגי בט"ו פסוקים והביא ראיה לדבריו (וכ"כ הרמב"ם פ"ג מהל' תפלה):</w:t>
      </w:r>
    </w:p>
  </w:footnote>
  <w:footnote w:id="1033">
    <w:p w14:paraId="61B1D4B4" w14:textId="77777777" w:rsidR="004B2E7C" w:rsidRDefault="004B2E7C" w:rsidP="00285819">
      <w:pPr>
        <w:pStyle w:val="a7"/>
      </w:pPr>
      <w:r>
        <w:rPr>
          <w:rStyle w:val="a9"/>
        </w:rPr>
        <w:footnoteRef/>
      </w:r>
      <w:r>
        <w:rPr>
          <w:rtl/>
        </w:rPr>
        <w:t xml:space="preserve"> </w:t>
      </w:r>
      <w:r>
        <w:rPr>
          <w:rFonts w:cs="Arial"/>
          <w:rtl/>
        </w:rPr>
        <w:t>(ב) ואין אנו נוהגין כן אלא כהן או לוי עולין למפטיר ונראה שצריך לומר יעמוד פלוני הכהן או הלוי משום פגמו וכן כתב ב"י מיהו נראה דאין לחוש אלא דוקא כשקוראים אותו בשמו אבל כשקוראים אותו מפטיר סתם אין לחוש וכן המנהג ועיין לעיל סימן קל"ה:</w:t>
      </w:r>
    </w:p>
  </w:footnote>
  <w:footnote w:id="1034">
    <w:p w14:paraId="7E39E6D0" w14:textId="77777777" w:rsidR="004B2E7C" w:rsidRDefault="004B2E7C" w:rsidP="00285819">
      <w:pPr>
        <w:pStyle w:val="a7"/>
        <w:rPr>
          <w:rtl/>
        </w:rPr>
      </w:pPr>
      <w:r>
        <w:rPr>
          <w:rStyle w:val="a9"/>
        </w:rPr>
        <w:footnoteRef/>
      </w:r>
      <w:r>
        <w:rPr>
          <w:rtl/>
        </w:rPr>
        <w:t xml:space="preserve"> </w:t>
      </w:r>
      <w:r>
        <w:rPr>
          <w:rFonts w:cs="Arial"/>
          <w:rtl/>
        </w:rPr>
        <w:t>(ג) כתב הריב"ש בתשובה (סי' לו) דשנים לא יקראו ההפטרה כאחד אלא אחד קורא ואחד מתרגם:</w:t>
      </w:r>
    </w:p>
  </w:footnote>
  <w:footnote w:id="1035">
    <w:p w14:paraId="0E58A936" w14:textId="77777777" w:rsidR="004B2E7C" w:rsidRDefault="004B2E7C" w:rsidP="00285819">
      <w:pPr>
        <w:pStyle w:val="a7"/>
      </w:pPr>
      <w:r>
        <w:rPr>
          <w:rStyle w:val="a9"/>
        </w:rPr>
        <w:footnoteRef/>
      </w:r>
      <w:r>
        <w:rPr>
          <w:rtl/>
        </w:rPr>
        <w:t xml:space="preserve"> </w:t>
      </w:r>
      <w:r>
        <w:rPr>
          <w:rFonts w:cs="Arial"/>
          <w:rtl/>
        </w:rPr>
        <w:t>(א) ומשמע במרדכי פרק קמא דברכות (סי' יח) (ופ"ק דחולין) [ובהלכות קטנות סוף הל' מזוזה (סי' תתקסח)] דאף משעה שהתחילו לקרות הפרשה במנחה בשבת וכן הוא בהגהות מיימוניות פרק י"ג דתפלה (אות ש). ובכל בו (סי' לז, לח ע"ג) כתב דלא יצא אז מאחר שקראו אותו היום פרשה שעברה:</w:t>
      </w:r>
    </w:p>
  </w:footnote>
  <w:footnote w:id="1036">
    <w:p w14:paraId="7A60229A" w14:textId="77777777" w:rsidR="004B2E7C" w:rsidRDefault="004B2E7C" w:rsidP="00285819">
      <w:pPr>
        <w:pStyle w:val="a7"/>
      </w:pPr>
      <w:r>
        <w:rPr>
          <w:rStyle w:val="a9"/>
        </w:rPr>
        <w:footnoteRef/>
      </w:r>
      <w:r>
        <w:rPr>
          <w:rtl/>
        </w:rPr>
        <w:t xml:space="preserve"> </w:t>
      </w:r>
      <w:r>
        <w:rPr>
          <w:rFonts w:cs="Arial"/>
          <w:rtl/>
        </w:rPr>
        <w:t>(ג) ובאבודרהם (סדר ליל הושענא רבה ע' רצז) כתב דטוב להשלימה שנים מקרא ואחד תרגום בעשרת ימי תשובה:</w:t>
      </w:r>
    </w:p>
  </w:footnote>
  <w:footnote w:id="1037">
    <w:p w14:paraId="551C71AB" w14:textId="77777777" w:rsidR="004B2E7C" w:rsidRDefault="004B2E7C" w:rsidP="00285819">
      <w:pPr>
        <w:pStyle w:val="a7"/>
      </w:pPr>
      <w:r>
        <w:rPr>
          <w:rStyle w:val="a9"/>
        </w:rPr>
        <w:footnoteRef/>
      </w:r>
      <w:r>
        <w:rPr>
          <w:rtl/>
        </w:rPr>
        <w:t xml:space="preserve"> </w:t>
      </w:r>
      <w:r>
        <w:rPr>
          <w:rFonts w:cs="Arial"/>
          <w:rtl/>
        </w:rPr>
        <w:t>(ד) ובפסקי מהרא"י (תרומת הדשן ח"ב) סימן ק"א ומכל מקום נהגו לקרות גם כן ההפטרה. ואם חל נישואין בשבת יקרא הפטרה של שבת ולא שוש אשיש השייכא לנישואין:</w:t>
      </w:r>
    </w:p>
  </w:footnote>
  <w:footnote w:id="1038">
    <w:p w14:paraId="3F41938C" w14:textId="77777777" w:rsidR="004B2E7C" w:rsidRDefault="004B2E7C" w:rsidP="00285819">
      <w:pPr>
        <w:pStyle w:val="a7"/>
      </w:pPr>
      <w:r>
        <w:rPr>
          <w:rStyle w:val="a9"/>
        </w:rPr>
        <w:footnoteRef/>
      </w:r>
      <w:r>
        <w:rPr>
          <w:rtl/>
        </w:rPr>
        <w:t xml:space="preserve"> </w:t>
      </w:r>
      <w:r>
        <w:rPr>
          <w:rFonts w:cs="Arial"/>
          <w:rtl/>
        </w:rPr>
        <w:t>(א) כתב באור זרוע (הל' שבת סי' נ ד"ה תפלת) במוסף אומרים בקדושה נעריצך וכו' ובשחרית אומרים נקדש וכו', ואומרים בקדושת מוסף פעמים בכל יום שמע ישראל וכו' מפני שהיתה שעת השמד שלא יקראו ישראל קריאת שמע והתקינו לומר שמע ישראל בקדושה, ואומרים גם כן אני ה' אלהיכם, ובספר המקצועות כמנהגינו שמפסיקים בין להיות לכם לאלהים והחזן חוזר ואומרו ויש שאומרים אותו בלא הפסקה:</w:t>
      </w:r>
    </w:p>
  </w:footnote>
  <w:footnote w:id="1039">
    <w:p w14:paraId="51C64750" w14:textId="77777777" w:rsidR="004B2E7C" w:rsidRDefault="004B2E7C" w:rsidP="00285819">
      <w:pPr>
        <w:pStyle w:val="a7"/>
      </w:pPr>
      <w:r>
        <w:rPr>
          <w:rStyle w:val="a9"/>
        </w:rPr>
        <w:footnoteRef/>
      </w:r>
      <w:r>
        <w:rPr>
          <w:rtl/>
        </w:rPr>
        <w:t xml:space="preserve"> </w:t>
      </w:r>
      <w:r>
        <w:rPr>
          <w:rFonts w:cs="Arial"/>
          <w:rtl/>
        </w:rPr>
        <w:t>(ב) כתב המרדכי ריש פרק ב' דביצה (סי' תרסט) דאסור להתענות ביום טוב ומר בריה (דרב אשי) [דרבינא] דיתיב כולא שתא בתעניתא סבירא ליה כרבי אליעזר דסבר או כולו לה' או כולו לכם ואנן לא סבירא לן הכי עכ"ל:</w:t>
      </w:r>
    </w:p>
  </w:footnote>
  <w:footnote w:id="1040">
    <w:p w14:paraId="3EAA9FA7" w14:textId="77777777" w:rsidR="004B2E7C" w:rsidRDefault="004B2E7C" w:rsidP="00285819">
      <w:pPr>
        <w:pStyle w:val="a7"/>
      </w:pPr>
      <w:r>
        <w:rPr>
          <w:rStyle w:val="a9"/>
        </w:rPr>
        <w:footnoteRef/>
      </w:r>
      <w:r>
        <w:rPr>
          <w:rtl/>
        </w:rPr>
        <w:t xml:space="preserve"> </w:t>
      </w:r>
      <w:r>
        <w:rPr>
          <w:rFonts w:cs="Arial"/>
          <w:rtl/>
        </w:rPr>
        <w:t>(א*) וכן הוא בהגהת אשיר"י (תענית פ"א סוף סי' טז) דהמנהג להתענות ביום א' ואין לשנות המנהג עכ"ל הגהות אשיר"י:</w:t>
      </w:r>
    </w:p>
  </w:footnote>
  <w:footnote w:id="1041">
    <w:p w14:paraId="32BBB079" w14:textId="77777777" w:rsidR="004B2E7C" w:rsidRDefault="004B2E7C" w:rsidP="00285819">
      <w:pPr>
        <w:pStyle w:val="a7"/>
        <w:rPr>
          <w:rtl/>
        </w:rPr>
      </w:pPr>
      <w:r>
        <w:rPr>
          <w:rStyle w:val="a9"/>
        </w:rPr>
        <w:footnoteRef/>
      </w:r>
      <w:r>
        <w:rPr>
          <w:rtl/>
        </w:rPr>
        <w:t xml:space="preserve"> </w:t>
      </w:r>
      <w:r>
        <w:rPr>
          <w:rFonts w:cs="Arial"/>
          <w:rtl/>
        </w:rPr>
        <w:t>(ג) וכן משמע מדברי המרדכי שכתבתי (סק"ב): וכתב אור זרוע בהלכות תענית (סי' תז) המתענה בשבת אומר אחר תפלתו רבון כל העולמים גלוי וידוע וכו' כמו שאומר בחול: מצאתי כתוב (בהגהות מנהגים לר"א טירנא חנוכה אות לז) בשם מהרי"ח שאם אדם ישן בצהרים וחלם לו חלום רע שצריך להתענות מעת לעת וכן כתב מה"ר ישראל (בעל תרומת הדשן, עיין בלקט יושר או"ח סי' מא) בשם מהר"ש (עיין הלכות ומנהגי מהר"ש סי' קסט) כשישן בשבת שינת צהרים ובא לו חלום רע שמתענין עליו אז היה מתענה מאותו חצי יום שבת ואילך עד חצי הלילה ואז הבדיל ואמר שזה עולה ליום שלם ואחר כך ביום א' היה מתענה תענית לתעניתו ע"כ מצאתי:</w:t>
      </w:r>
    </w:p>
  </w:footnote>
  <w:footnote w:id="1042">
    <w:p w14:paraId="656DCD86" w14:textId="77777777" w:rsidR="004B2E7C" w:rsidRDefault="004B2E7C" w:rsidP="00285819">
      <w:pPr>
        <w:pStyle w:val="a7"/>
        <w:rPr>
          <w:rtl/>
        </w:rPr>
      </w:pPr>
      <w:r>
        <w:rPr>
          <w:rStyle w:val="a9"/>
        </w:rPr>
        <w:footnoteRef/>
      </w:r>
      <w:r>
        <w:rPr>
          <w:rtl/>
        </w:rPr>
        <w:t xml:space="preserve"> </w:t>
      </w:r>
      <w:r>
        <w:rPr>
          <w:rFonts w:cs="Arial"/>
          <w:rtl/>
        </w:rPr>
        <w:t>(א) ובנימין זאב (סי' ריא) כתב בשם רב האי דעל ד' הנזכרים בראשונה יש להתענות:</w:t>
      </w:r>
    </w:p>
  </w:footnote>
  <w:footnote w:id="1043">
    <w:p w14:paraId="40727707" w14:textId="77777777" w:rsidR="004B2E7C" w:rsidRDefault="004B2E7C" w:rsidP="00285819">
      <w:pPr>
        <w:pStyle w:val="a7"/>
      </w:pPr>
      <w:r>
        <w:rPr>
          <w:rStyle w:val="a9"/>
        </w:rPr>
        <w:footnoteRef/>
      </w:r>
      <w:r>
        <w:rPr>
          <w:rtl/>
        </w:rPr>
        <w:t xml:space="preserve"> </w:t>
      </w:r>
      <w:r>
        <w:rPr>
          <w:rFonts w:cs="Arial"/>
          <w:rtl/>
        </w:rPr>
        <w:t>(ה) ועיין לקמן סימן תקכ"ט (אות ב) מדין תענית בשבת ויום טוב ועוד לקמן סימן תקס"ח מדיני תענית חלום:</w:t>
      </w:r>
    </w:p>
  </w:footnote>
  <w:footnote w:id="1044">
    <w:p w14:paraId="024D3039" w14:textId="77777777" w:rsidR="004B2E7C" w:rsidRDefault="004B2E7C" w:rsidP="00285819">
      <w:pPr>
        <w:pStyle w:val="a7"/>
        <w:rPr>
          <w:rtl/>
        </w:rPr>
      </w:pPr>
      <w:r>
        <w:rPr>
          <w:rStyle w:val="a9"/>
        </w:rPr>
        <w:footnoteRef/>
      </w:r>
      <w:r>
        <w:rPr>
          <w:rtl/>
        </w:rPr>
        <w:t xml:space="preserve"> </w:t>
      </w:r>
      <w:r>
        <w:rPr>
          <w:rFonts w:cs="Arial"/>
          <w:rtl/>
        </w:rPr>
        <w:t>(ד) ומשמע מכאן דמותר לברך החולה המסוכן בשבת וכן ראיתי כתוב בקובץ אחד ישן שהיה בו ליקוטים ממהר"ר ישראל ברי"ן אבל מהר"י ווייל (שו"ת סי' קטו, ובדינין והלכות שם אות ח) כתב דאין מברכין החולה בשבת ואפשר דאף מהר"י ווייל לא קאמר אלא אם אינו מסוכן ביומו:</w:t>
      </w:r>
    </w:p>
  </w:footnote>
  <w:footnote w:id="1045">
    <w:p w14:paraId="663FA4AA" w14:textId="77777777" w:rsidR="004B2E7C" w:rsidRDefault="004B2E7C" w:rsidP="00285819">
      <w:pPr>
        <w:pStyle w:val="a7"/>
        <w:rPr>
          <w:rtl/>
        </w:rPr>
      </w:pPr>
      <w:r>
        <w:rPr>
          <w:rStyle w:val="a9"/>
        </w:rPr>
        <w:footnoteRef/>
      </w:r>
      <w:r>
        <w:rPr>
          <w:rtl/>
        </w:rPr>
        <w:t xml:space="preserve"> </w:t>
      </w:r>
      <w:r>
        <w:rPr>
          <w:rFonts w:cs="Arial"/>
          <w:rtl/>
        </w:rPr>
        <w:t>(א) וכתב הרא"ש פרק ערבי פסחים (סי' ה) דמי שלא אכל בליל שבת יכול לקיים שלש סעודות ביום השבת:</w:t>
      </w:r>
    </w:p>
  </w:footnote>
  <w:footnote w:id="1046">
    <w:p w14:paraId="329D032D" w14:textId="77777777" w:rsidR="004B2E7C" w:rsidRDefault="004B2E7C" w:rsidP="00285819">
      <w:pPr>
        <w:pStyle w:val="a7"/>
      </w:pPr>
      <w:r>
        <w:rPr>
          <w:rStyle w:val="a9"/>
        </w:rPr>
        <w:footnoteRef/>
      </w:r>
      <w:r>
        <w:rPr>
          <w:rtl/>
        </w:rPr>
        <w:t xml:space="preserve"> </w:t>
      </w:r>
      <w:r>
        <w:rPr>
          <w:rFonts w:cs="Arial"/>
          <w:rtl/>
        </w:rPr>
        <w:t>(ג) וכן הוא בהגהות מרדכי דשבת דף ק"פ ע"ד ובהגהות מיימוניות פרק ל' (אות כ). וכתב האגור (סו"ס תג) דכן המנהג באשכנז וצרפת:</w:t>
      </w:r>
    </w:p>
  </w:footnote>
  <w:footnote w:id="1047">
    <w:p w14:paraId="4C8F91AA" w14:textId="77777777" w:rsidR="004B2E7C" w:rsidRDefault="004B2E7C" w:rsidP="00285819">
      <w:pPr>
        <w:pStyle w:val="a7"/>
        <w:rPr>
          <w:rtl/>
        </w:rPr>
      </w:pPr>
      <w:r>
        <w:rPr>
          <w:rStyle w:val="a9"/>
        </w:rPr>
        <w:footnoteRef/>
      </w:r>
      <w:r>
        <w:rPr>
          <w:rtl/>
        </w:rPr>
        <w:t xml:space="preserve"> </w:t>
      </w:r>
      <w:r>
        <w:rPr>
          <w:rFonts w:cs="Arial"/>
          <w:rtl/>
        </w:rPr>
        <w:t>(א*) וכ"ש שאר משקין דמותרים עכ"ל הגהות (מיימוניות שם דפוס קושטא סוף ה"י):</w:t>
      </w:r>
    </w:p>
  </w:footnote>
  <w:footnote w:id="1048">
    <w:p w14:paraId="3AD40910" w14:textId="77777777" w:rsidR="004B2E7C" w:rsidRDefault="004B2E7C" w:rsidP="00285819">
      <w:pPr>
        <w:pStyle w:val="a7"/>
      </w:pPr>
      <w:r>
        <w:rPr>
          <w:rStyle w:val="a9"/>
        </w:rPr>
        <w:footnoteRef/>
      </w:r>
      <w:r>
        <w:rPr>
          <w:rtl/>
        </w:rPr>
        <w:t xml:space="preserve"> </w:t>
      </w:r>
      <w:r>
        <w:rPr>
          <w:rFonts w:cs="Arial"/>
          <w:rtl/>
        </w:rPr>
        <w:t>(ב) וכן כתב המרדכי פרק ערבי פסחים (לו סוף ע"ד) בשם רבינו יחיאל:</w:t>
      </w:r>
    </w:p>
  </w:footnote>
  <w:footnote w:id="1049">
    <w:p w14:paraId="736C90A3" w14:textId="77777777" w:rsidR="004B2E7C" w:rsidRDefault="004B2E7C" w:rsidP="00285819">
      <w:pPr>
        <w:pStyle w:val="a7"/>
        <w:rPr>
          <w:rtl/>
        </w:rPr>
      </w:pPr>
      <w:r>
        <w:rPr>
          <w:rStyle w:val="a9"/>
        </w:rPr>
        <w:footnoteRef/>
      </w:r>
      <w:r>
        <w:rPr>
          <w:rtl/>
        </w:rPr>
        <w:t xml:space="preserve"> </w:t>
      </w:r>
      <w:r>
        <w:rPr>
          <w:rFonts w:cs="Arial"/>
          <w:rtl/>
        </w:rPr>
        <w:t>(ה) וכתב מהרי"ל בהל' פסח (מנהגים הל' שבת הגדול וערב פסח סו"ס טו) דבערב פסח שחל להיות בשבת יש לסמוך אמאן דאמר דיוצאין בפירות ועושין אותה בפירות:</w:t>
      </w:r>
    </w:p>
  </w:footnote>
  <w:footnote w:id="1050">
    <w:p w14:paraId="26F5B7A6" w14:textId="77777777" w:rsidR="004B2E7C" w:rsidRDefault="004B2E7C" w:rsidP="00285819">
      <w:pPr>
        <w:pStyle w:val="a7"/>
        <w:rPr>
          <w:rtl/>
        </w:rPr>
      </w:pPr>
      <w:r>
        <w:rPr>
          <w:rStyle w:val="a9"/>
        </w:rPr>
        <w:footnoteRef/>
      </w:r>
      <w:r>
        <w:rPr>
          <w:rtl/>
        </w:rPr>
        <w:t xml:space="preserve"> </w:t>
      </w:r>
      <w:r>
        <w:rPr>
          <w:rFonts w:cs="Arial"/>
          <w:rtl/>
        </w:rPr>
        <w:t>(א) וכן הוא במרדכי דף ר"ס ע"ד (פסחים לז א), ובמנהגים שלנו (ר"א טירנא ע' כז) כל יום שאם אירע בחול לא היה בו תחנון אם אירע בשבת אין אומרים בו צו"ץ ה"ה אם אירע ביום ראשון וכן הוא בהגהות מיימון פרק ה' דתפלה (סוף אות ש):</w:t>
      </w:r>
    </w:p>
  </w:footnote>
  <w:footnote w:id="1051">
    <w:p w14:paraId="3B932DA7" w14:textId="77777777" w:rsidR="004B2E7C" w:rsidRDefault="004B2E7C" w:rsidP="00285819">
      <w:pPr>
        <w:pStyle w:val="a7"/>
      </w:pPr>
      <w:r>
        <w:rPr>
          <w:rStyle w:val="a9"/>
        </w:rPr>
        <w:footnoteRef/>
      </w:r>
      <w:r>
        <w:rPr>
          <w:rtl/>
        </w:rPr>
        <w:t xml:space="preserve"> </w:t>
      </w:r>
      <w:r>
        <w:rPr>
          <w:rFonts w:cs="Arial"/>
          <w:rtl/>
        </w:rPr>
        <w:t>(ב) ובמרדכי הלכות קטנות דף צ"ב (סי' תתקנו) ובפרק ערבי פסחים דף ר"ס ע"ד (לז א) האריך בדבר וכתב שם (בהל' קטנות) דנהגו דאין עוסקים בתורה רק בפרקי אבות:</w:t>
      </w:r>
    </w:p>
  </w:footnote>
  <w:footnote w:id="1052">
    <w:p w14:paraId="184B2B0C" w14:textId="77777777" w:rsidR="004B2E7C" w:rsidRDefault="004B2E7C" w:rsidP="00285819">
      <w:pPr>
        <w:pStyle w:val="a7"/>
      </w:pPr>
      <w:r>
        <w:rPr>
          <w:rStyle w:val="a9"/>
        </w:rPr>
        <w:footnoteRef/>
      </w:r>
      <w:r>
        <w:rPr>
          <w:rtl/>
        </w:rPr>
        <w:t xml:space="preserve"> </w:t>
      </w:r>
      <w:r>
        <w:rPr>
          <w:rFonts w:cs="Arial"/>
          <w:rtl/>
        </w:rPr>
        <w:t>(א) וכן הוא בהגהות מיימוניות (פ"ו) [פ"ה] (אות ג) בשם הירושלמי:</w:t>
      </w:r>
    </w:p>
  </w:footnote>
  <w:footnote w:id="1053">
    <w:p w14:paraId="16BF3ADC" w14:textId="77777777" w:rsidR="004B2E7C" w:rsidRDefault="004B2E7C" w:rsidP="00285819">
      <w:pPr>
        <w:pStyle w:val="a7"/>
      </w:pPr>
      <w:r>
        <w:rPr>
          <w:rStyle w:val="a9"/>
        </w:rPr>
        <w:footnoteRef/>
      </w:r>
      <w:r>
        <w:rPr>
          <w:rtl/>
        </w:rPr>
        <w:t xml:space="preserve"> </w:t>
      </w:r>
      <w:r>
        <w:rPr>
          <w:rFonts w:cs="Arial"/>
          <w:rtl/>
        </w:rPr>
        <w:t>(ב) ונראה לי דלדידן (ד"מ סי' רלה אות א) דמתפללים קריאת שמע של ערבית קודם הלילה בשאר ימות החול אם כן גם כאן אין צריך להמתין וקורא קודם הלילה כמו בשאר ימות החול כן נראה לי: כתוב באור זרוע (הל' מוצ"ש סוס"י פ"ט) במוצאי שבת אומרים והוא רחום וברכו במשך גדול וכן כתבו רב עמרם (בסידורו ח"ב סי' לו) ור' אלעזר מוורמ"ש (פירושי סידור התפלה לרוקח ח"ב סי' קה):</w:t>
      </w:r>
    </w:p>
  </w:footnote>
  <w:footnote w:id="1054">
    <w:p w14:paraId="4141D90C" w14:textId="77777777" w:rsidR="004B2E7C" w:rsidRDefault="004B2E7C" w:rsidP="00285819">
      <w:pPr>
        <w:pStyle w:val="a7"/>
      </w:pPr>
      <w:r>
        <w:rPr>
          <w:rStyle w:val="a9"/>
        </w:rPr>
        <w:footnoteRef/>
      </w:r>
      <w:r>
        <w:rPr>
          <w:rtl/>
        </w:rPr>
        <w:t xml:space="preserve"> </w:t>
      </w:r>
      <w:r>
        <w:rPr>
          <w:rFonts w:cs="Arial"/>
          <w:rtl/>
        </w:rPr>
        <w:t>(א) ומיהו משמע דלכולי עלמא אין לומר תרווייהו (הגה, וכן מצאתי בהגהות מנהגים (טירנא סוף אות א) בשם מוהר"ר מנחם שטעות לומר אתה חוננתנו ואתה חונן) אלא מתחיל אתה חוננתנו ואין אומר אתה חונן כלל או מתחיל אתה חונן ואומר אתה הבדלת כדרך שכתב הרמב"ם, אבל יש נוהגים להוסיף [משום תוספת, דהא מותרים להוסיף] בברכות האמצעיות כמו שנתבאר לעיל סימן קי"ט:</w:t>
      </w:r>
    </w:p>
  </w:footnote>
  <w:footnote w:id="1055">
    <w:p w14:paraId="16307402" w14:textId="77777777" w:rsidR="004B2E7C" w:rsidRDefault="004B2E7C" w:rsidP="00285819">
      <w:pPr>
        <w:pStyle w:val="a7"/>
        <w:rPr>
          <w:rtl/>
        </w:rPr>
      </w:pPr>
      <w:r>
        <w:rPr>
          <w:rStyle w:val="a9"/>
        </w:rPr>
        <w:footnoteRef/>
      </w:r>
      <w:r>
        <w:rPr>
          <w:rtl/>
        </w:rPr>
        <w:t xml:space="preserve"> </w:t>
      </w:r>
      <w:r>
        <w:rPr>
          <w:rFonts w:cs="Arial"/>
          <w:rtl/>
        </w:rPr>
        <w:t>(א) בכל בו (סי' מא א ע"ד) יש נוהגים כשאין אומרים ויהי נועם אין אומרים ויתן לך ומנהג טעות הוא דויתן לך לעולם אומרים שהוא לסימן טוב:</w:t>
      </w:r>
    </w:p>
  </w:footnote>
  <w:footnote w:id="1056">
    <w:p w14:paraId="5BDF319D" w14:textId="77777777" w:rsidR="004B2E7C" w:rsidRDefault="004B2E7C" w:rsidP="00285819">
      <w:pPr>
        <w:pStyle w:val="a7"/>
      </w:pPr>
      <w:r>
        <w:rPr>
          <w:rStyle w:val="a9"/>
        </w:rPr>
        <w:footnoteRef/>
      </w:r>
      <w:r>
        <w:rPr>
          <w:rtl/>
        </w:rPr>
        <w:t xml:space="preserve"> </w:t>
      </w:r>
      <w:r>
        <w:rPr>
          <w:rFonts w:cs="Arial"/>
          <w:rtl/>
        </w:rPr>
        <w:t>(א) ונהגו עכשיו לומר הנה אל ישועתי וגו' (ישעיה י"ב ב'), כוס ישועות אשא וגו' (תהלים קט"ז י"ג), ליהודים היתה אורה וגו' (אסתר ח' ט"ז), והכל לסימן טוב ואין חובה בדבר:</w:t>
      </w:r>
    </w:p>
  </w:footnote>
  <w:footnote w:id="1057">
    <w:p w14:paraId="1C7F396A" w14:textId="77777777" w:rsidR="004B2E7C" w:rsidRDefault="004B2E7C" w:rsidP="00285819">
      <w:pPr>
        <w:pStyle w:val="a7"/>
      </w:pPr>
      <w:r>
        <w:rPr>
          <w:rStyle w:val="a9"/>
        </w:rPr>
        <w:footnoteRef/>
      </w:r>
      <w:r>
        <w:rPr>
          <w:rtl/>
        </w:rPr>
        <w:t xml:space="preserve"> </w:t>
      </w:r>
      <w:r>
        <w:rPr>
          <w:rFonts w:cs="Arial"/>
          <w:rtl/>
        </w:rPr>
        <w:t>(ב) ומשמע מדברי אבודרהם דטוב יותר להבדיל על כוס פגום של יין מלהבדיל על שכר עכ"ל:</w:t>
      </w:r>
    </w:p>
  </w:footnote>
  <w:footnote w:id="1058">
    <w:p w14:paraId="57CA6821" w14:textId="77777777" w:rsidR="004B2E7C" w:rsidRDefault="004B2E7C" w:rsidP="00285819">
      <w:pPr>
        <w:pStyle w:val="a7"/>
        <w:rPr>
          <w:rtl/>
        </w:rPr>
      </w:pPr>
      <w:r>
        <w:rPr>
          <w:rStyle w:val="a9"/>
        </w:rPr>
        <w:footnoteRef/>
      </w:r>
      <w:r>
        <w:rPr>
          <w:rtl/>
        </w:rPr>
        <w:t xml:space="preserve"> </w:t>
      </w:r>
      <w:r>
        <w:rPr>
          <w:rFonts w:cs="Arial"/>
          <w:rtl/>
        </w:rPr>
        <w:t>(ג) וכתב בתשובת מוהר"ם (מרוטנבורק, דפוס קרימונא) סימן ק' דיבדיל בלא כוס דומיא דברכת המזון כשאין לו כוס מברך בלא כוס והוא הדין בהבדלה. וצ"ע דגבי הבדלה כבר הבדיל בתפלה ועיי"ש:</w:t>
      </w:r>
    </w:p>
  </w:footnote>
  <w:footnote w:id="1059">
    <w:p w14:paraId="0B09A4EA" w14:textId="77777777" w:rsidR="004B2E7C" w:rsidRDefault="004B2E7C" w:rsidP="00285819">
      <w:pPr>
        <w:pStyle w:val="a7"/>
      </w:pPr>
      <w:r>
        <w:rPr>
          <w:rStyle w:val="a9"/>
        </w:rPr>
        <w:footnoteRef/>
      </w:r>
      <w:r>
        <w:rPr>
          <w:rtl/>
        </w:rPr>
        <w:t xml:space="preserve"> </w:t>
      </w:r>
      <w:r>
        <w:rPr>
          <w:rFonts w:cs="Arial"/>
          <w:rtl/>
        </w:rPr>
        <w:t>(ג*) והוא דעת המרדכי פרק ערבי פסחים (דף רס"א ע"ב, ל"ה ע"ד):</w:t>
      </w:r>
    </w:p>
  </w:footnote>
  <w:footnote w:id="1060">
    <w:p w14:paraId="0C086034" w14:textId="77777777" w:rsidR="004B2E7C" w:rsidRDefault="004B2E7C" w:rsidP="00285819">
      <w:pPr>
        <w:pStyle w:val="a7"/>
        <w:rPr>
          <w:rtl/>
        </w:rPr>
      </w:pPr>
      <w:r>
        <w:rPr>
          <w:rStyle w:val="a9"/>
        </w:rPr>
        <w:footnoteRef/>
      </w:r>
      <w:r>
        <w:rPr>
          <w:rtl/>
        </w:rPr>
        <w:t xml:space="preserve"> </w:t>
      </w:r>
      <w:r>
        <w:rPr>
          <w:rFonts w:cs="Arial"/>
          <w:rtl/>
        </w:rPr>
        <w:t>(ד) ומיהו מדת חסידות הוא שלא לאכול כדאמרינן באמימר דלן בתענית:</w:t>
      </w:r>
    </w:p>
  </w:footnote>
  <w:footnote w:id="1061">
    <w:p w14:paraId="385F7166" w14:textId="77777777" w:rsidR="004B2E7C" w:rsidRDefault="004B2E7C" w:rsidP="00285819">
      <w:pPr>
        <w:pStyle w:val="a7"/>
        <w:rPr>
          <w:rtl/>
        </w:rPr>
      </w:pPr>
      <w:r>
        <w:rPr>
          <w:rStyle w:val="a9"/>
        </w:rPr>
        <w:footnoteRef/>
      </w:r>
      <w:r>
        <w:rPr>
          <w:rtl/>
        </w:rPr>
        <w:t xml:space="preserve"> </w:t>
      </w:r>
      <w:r>
        <w:rPr>
          <w:rFonts w:cs="Arial"/>
          <w:rtl/>
        </w:rPr>
        <w:t>(ה) והמנהג שעומדים:</w:t>
      </w:r>
    </w:p>
  </w:footnote>
  <w:footnote w:id="1062">
    <w:p w14:paraId="408E2CF9" w14:textId="77777777" w:rsidR="004B2E7C" w:rsidRDefault="004B2E7C" w:rsidP="00285819">
      <w:pPr>
        <w:pStyle w:val="a7"/>
      </w:pPr>
      <w:r>
        <w:rPr>
          <w:rStyle w:val="a9"/>
        </w:rPr>
        <w:footnoteRef/>
      </w:r>
      <w:r>
        <w:rPr>
          <w:rtl/>
        </w:rPr>
        <w:t xml:space="preserve"> </w:t>
      </w:r>
      <w:r>
        <w:rPr>
          <w:rFonts w:cs="Arial"/>
          <w:rtl/>
        </w:rPr>
        <w:t>(ו) ועיין לעיל סימן ר"ו דכל מצוה צריך ליטול בימינו:</w:t>
      </w:r>
    </w:p>
  </w:footnote>
  <w:footnote w:id="1063">
    <w:p w14:paraId="29601AE9" w14:textId="77777777" w:rsidR="004B2E7C" w:rsidRDefault="004B2E7C" w:rsidP="00285819">
      <w:pPr>
        <w:pStyle w:val="a7"/>
        <w:rPr>
          <w:rtl/>
        </w:rPr>
      </w:pPr>
      <w:r>
        <w:rPr>
          <w:rStyle w:val="a9"/>
        </w:rPr>
        <w:footnoteRef/>
      </w:r>
      <w:r>
        <w:rPr>
          <w:rtl/>
        </w:rPr>
        <w:t xml:space="preserve"> </w:t>
      </w:r>
      <w:r>
        <w:rPr>
          <w:rFonts w:cs="Arial"/>
          <w:rtl/>
        </w:rPr>
        <w:t>(ג) משמע דמיהא אם אינו מוציא בני ביתו אין לו לברך אבשמים מאחר שאינו מריח, וב"י כתב ובארחות חיים כתוב שיש אומרים שאע"פ שאינו נהנה מריח וכו':</w:t>
      </w:r>
    </w:p>
  </w:footnote>
  <w:footnote w:id="1064">
    <w:p w14:paraId="66F516F0" w14:textId="77777777" w:rsidR="004B2E7C" w:rsidRDefault="004B2E7C" w:rsidP="00285819">
      <w:pPr>
        <w:pStyle w:val="a7"/>
        <w:rPr>
          <w:rtl/>
        </w:rPr>
      </w:pPr>
      <w:r>
        <w:rPr>
          <w:rStyle w:val="a9"/>
        </w:rPr>
        <w:footnoteRef/>
      </w:r>
      <w:r>
        <w:rPr>
          <w:rtl/>
        </w:rPr>
        <w:t xml:space="preserve"> </w:t>
      </w:r>
      <w:r>
        <w:rPr>
          <w:rFonts w:cs="Arial"/>
          <w:rtl/>
        </w:rPr>
        <w:t>(א) דלא כהגהות מוהר"ר אברהם מפראג דכתב דכל הדס בעולם קרא כאן הדס שוטה הואיל ואין בו לחלוחית לברך עליו, וגם ב"י הביא דברי מהרי"ק ולא חלק עליהם:</w:t>
      </w:r>
    </w:p>
  </w:footnote>
  <w:footnote w:id="1065">
    <w:p w14:paraId="637DDB2A" w14:textId="77777777" w:rsidR="004B2E7C" w:rsidRDefault="004B2E7C" w:rsidP="00285819">
      <w:pPr>
        <w:pStyle w:val="a7"/>
        <w:rPr>
          <w:rtl/>
        </w:rPr>
      </w:pPr>
      <w:r>
        <w:rPr>
          <w:rStyle w:val="a9"/>
        </w:rPr>
        <w:footnoteRef/>
      </w:r>
      <w:r>
        <w:rPr>
          <w:rtl/>
        </w:rPr>
        <w:t xml:space="preserve"> </w:t>
      </w:r>
      <w:r>
        <w:rPr>
          <w:rFonts w:cs="Arial"/>
          <w:rtl/>
        </w:rPr>
        <w:t>(ב) ובזוהר פרשת ויקהל (דף צ"ד ע"ד ר"ח סוע"ב) האריך בזה, והמנהג באלו המדינות כדברי הר"ר אפרים שלא לברך על הדס כלל וזהו כדברי מוהר"ר אברהם מפראג, ומיהו נראה דטוב להניח הדס באותו כלי של בשמים ואז יוצאים ידי כולן:</w:t>
      </w:r>
    </w:p>
  </w:footnote>
  <w:footnote w:id="1066">
    <w:p w14:paraId="6E4DBC43" w14:textId="77777777" w:rsidR="004B2E7C" w:rsidRDefault="004B2E7C" w:rsidP="00285819">
      <w:pPr>
        <w:pStyle w:val="a7"/>
      </w:pPr>
      <w:r>
        <w:rPr>
          <w:rStyle w:val="a9"/>
        </w:rPr>
        <w:footnoteRef/>
      </w:r>
      <w:r>
        <w:rPr>
          <w:rtl/>
        </w:rPr>
        <w:t xml:space="preserve"> </w:t>
      </w:r>
      <w:r>
        <w:rPr>
          <w:rFonts w:cs="Arial"/>
          <w:rtl/>
        </w:rPr>
        <w:t>(א) במרדכי פרק ערבי פסחים דף (עד ע"א) (לו ב) דהיכא דלית ליה נר מצוה להדר אחר האבוקה אבל אי איכא נר אחר אינו צריך להדר אחר אבוקה אפילו למצוה עכ"ל. ובכל בו (סי' מא ב א) כתוב דמוהר"ם (תשב"ץ קטן סי' פא) היה נוטל אבוקה אף כשהיה לו נר אחר וכן כתב ב"י בשם ארחות חיים:</w:t>
      </w:r>
    </w:p>
  </w:footnote>
  <w:footnote w:id="1067">
    <w:p w14:paraId="373C46A9" w14:textId="77777777" w:rsidR="004B2E7C" w:rsidRDefault="004B2E7C" w:rsidP="00285819">
      <w:pPr>
        <w:pStyle w:val="a7"/>
      </w:pPr>
      <w:r>
        <w:rPr>
          <w:rStyle w:val="a9"/>
        </w:rPr>
        <w:footnoteRef/>
      </w:r>
      <w:r>
        <w:rPr>
          <w:rtl/>
        </w:rPr>
        <w:t xml:space="preserve"> </w:t>
      </w:r>
      <w:r>
        <w:rPr>
          <w:rFonts w:cs="Arial"/>
          <w:rtl/>
        </w:rPr>
        <w:t>(א) במרדכי פרק ערבי פסחים דף (עד ע"א) (לו ב) דהיכא דלית ליה נר מצוה להדר אחר האבוקה אבל אי איכא נר אחר אינו צריך להדר אחר אבוקה אפילו למצוה עכ"ל. ובכל בו (סי' מא ב א) כתוב דמוהר"ם (תשב"ץ קטן סי' פא) היה נוטל אבוקה אף כשהיה לו נר אחר וכן כתב ב"י בשם ארחות חיים:</w:t>
      </w:r>
    </w:p>
  </w:footnote>
  <w:footnote w:id="1068">
    <w:p w14:paraId="1E6F7FAA" w14:textId="77777777" w:rsidR="004B2E7C" w:rsidRDefault="004B2E7C" w:rsidP="00285819">
      <w:pPr>
        <w:pStyle w:val="a7"/>
      </w:pPr>
      <w:r>
        <w:rPr>
          <w:rStyle w:val="a9"/>
        </w:rPr>
        <w:footnoteRef/>
      </w:r>
      <w:r>
        <w:rPr>
          <w:rtl/>
        </w:rPr>
        <w:t xml:space="preserve"> </w:t>
      </w:r>
      <w:r>
        <w:rPr>
          <w:rFonts w:cs="Arial"/>
          <w:rtl/>
        </w:rPr>
        <w:t>(ג) וכתב ה"ר יונה פרק אלו דברים (מב ב) (לט. סוד"ה ולא) שהוא סימן טוב בהתחלת השבוע:</w:t>
      </w:r>
    </w:p>
  </w:footnote>
  <w:footnote w:id="1069">
    <w:p w14:paraId="36814E10" w14:textId="77777777" w:rsidR="004B2E7C" w:rsidRDefault="004B2E7C" w:rsidP="00285819">
      <w:pPr>
        <w:pStyle w:val="a7"/>
      </w:pPr>
      <w:r>
        <w:rPr>
          <w:rStyle w:val="a9"/>
        </w:rPr>
        <w:footnoteRef/>
      </w:r>
      <w:r>
        <w:rPr>
          <w:rtl/>
        </w:rPr>
        <w:t xml:space="preserve"> </w:t>
      </w:r>
      <w:r>
        <w:rPr>
          <w:rFonts w:cs="Arial"/>
          <w:rtl/>
        </w:rPr>
        <w:t>(ד) ועיין לעיל סימן רי"ז (טור עמ' תקנב) וסימן רצ"ז (ב"י עמ' קלד ד"ה ורבינו, ד"מ הארוך אות א ד"ה ואין):</w:t>
      </w:r>
    </w:p>
  </w:footnote>
  <w:footnote w:id="1070">
    <w:p w14:paraId="199C8339" w14:textId="77777777" w:rsidR="004B2E7C" w:rsidRDefault="004B2E7C" w:rsidP="00285819">
      <w:pPr>
        <w:pStyle w:val="a7"/>
      </w:pPr>
      <w:r>
        <w:rPr>
          <w:rStyle w:val="a9"/>
        </w:rPr>
        <w:footnoteRef/>
      </w:r>
      <w:r>
        <w:rPr>
          <w:rtl/>
        </w:rPr>
        <w:t xml:space="preserve"> </w:t>
      </w:r>
      <w:r>
        <w:rPr>
          <w:rFonts w:cs="Arial"/>
          <w:rtl/>
        </w:rPr>
        <w:t>(ה) ועיין לקמן בהלכות יום כפורים (סי' תרכד ד"מ הארוך אות ג - ה וקצר אות ב):</w:t>
      </w:r>
    </w:p>
  </w:footnote>
  <w:footnote w:id="1071">
    <w:p w14:paraId="2462D928" w14:textId="77777777" w:rsidR="004B2E7C" w:rsidRDefault="004B2E7C" w:rsidP="00285819">
      <w:pPr>
        <w:pStyle w:val="a7"/>
      </w:pPr>
      <w:r>
        <w:rPr>
          <w:rStyle w:val="a9"/>
        </w:rPr>
        <w:footnoteRef/>
      </w:r>
      <w:r>
        <w:rPr>
          <w:rtl/>
        </w:rPr>
        <w:t xml:space="preserve"> </w:t>
      </w:r>
      <w:r>
        <w:rPr>
          <w:rFonts w:cs="Arial"/>
          <w:rtl/>
        </w:rPr>
        <w:t>(א) בהר"ן פרק ערבי פסחים (דף רע"ז ע"א) (כא. ד"ה בין) דבאתה חוננתנו אין צריך לאמרו ומיהו המנהג לאמרו עכ"ל. וכן הוא שם במרדכי (דף ר"ח) (לו ב) ועיי"ש נוסח הבדלות:</w:t>
      </w:r>
    </w:p>
  </w:footnote>
  <w:footnote w:id="1072">
    <w:p w14:paraId="7F3196E3" w14:textId="77777777" w:rsidR="004B2E7C" w:rsidRDefault="004B2E7C" w:rsidP="00285819">
      <w:pPr>
        <w:pStyle w:val="a7"/>
        <w:rPr>
          <w:rtl/>
        </w:rPr>
      </w:pPr>
      <w:r>
        <w:rPr>
          <w:rStyle w:val="a9"/>
        </w:rPr>
        <w:footnoteRef/>
      </w:r>
      <w:r>
        <w:rPr>
          <w:rtl/>
        </w:rPr>
        <w:t xml:space="preserve"> </w:t>
      </w:r>
      <w:r>
        <w:rPr>
          <w:rFonts w:cs="Arial"/>
          <w:rtl/>
        </w:rPr>
        <w:t>(ב) ועיין לעיל סימן רע"א (אות ג) אם שכח להבדיל עד לאחר שבירך המוציא:</w:t>
      </w:r>
    </w:p>
  </w:footnote>
  <w:footnote w:id="1073">
    <w:p w14:paraId="2C768DFC" w14:textId="77777777" w:rsidR="004B2E7C" w:rsidRDefault="004B2E7C" w:rsidP="00285819">
      <w:pPr>
        <w:pStyle w:val="a7"/>
        <w:rPr>
          <w:rtl/>
        </w:rPr>
      </w:pPr>
      <w:r>
        <w:rPr>
          <w:rStyle w:val="a9"/>
        </w:rPr>
        <w:footnoteRef/>
      </w:r>
      <w:r>
        <w:rPr>
          <w:rtl/>
        </w:rPr>
        <w:t xml:space="preserve"> </w:t>
      </w:r>
      <w:r>
        <w:rPr>
          <w:rFonts w:cs="Arial"/>
          <w:rtl/>
        </w:rPr>
        <w:t>(ד) ועיין לעיל סימן (רצ"ה) [רצ"ד] (אות ב) מדין זה: וכתב הכל בו (סי' מא ב א) הני נשי דידן דאינן מבדילות בתפלה צריכות לומר המבדיל בין קודש לחול קודם שיעשו מלאכה וכן צריך ללמדן עכ"ל. וכן כתב המרדכי פרק (ה)שואל (סי' תמו) דאף אם שמע ברכו והתפלל שמנה עשרה אם לא הבדיל בתפלה אסור בהדלקת הנר עד שיבדיל על הכוס:</w:t>
      </w:r>
    </w:p>
  </w:footnote>
  <w:footnote w:id="1074">
    <w:p w14:paraId="5B31B86A" w14:textId="77777777" w:rsidR="004B2E7C" w:rsidRDefault="004B2E7C" w:rsidP="00285819">
      <w:pPr>
        <w:pStyle w:val="a7"/>
      </w:pPr>
      <w:r>
        <w:rPr>
          <w:rStyle w:val="a9"/>
        </w:rPr>
        <w:footnoteRef/>
      </w:r>
      <w:r>
        <w:rPr>
          <w:rtl/>
        </w:rPr>
        <w:t xml:space="preserve"> </w:t>
      </w:r>
      <w:r>
        <w:rPr>
          <w:rFonts w:cs="Arial"/>
          <w:rtl/>
        </w:rPr>
        <w:t>(ה) וכן מדברי המרדכי שכתבתי (אות ד) משמע שלא כדברי רבינו ירוחם:</w:t>
      </w:r>
    </w:p>
  </w:footnote>
  <w:footnote w:id="1075">
    <w:p w14:paraId="1D7C995F" w14:textId="77777777" w:rsidR="004B2E7C" w:rsidRDefault="004B2E7C" w:rsidP="00285819">
      <w:pPr>
        <w:pStyle w:val="a7"/>
      </w:pPr>
      <w:r>
        <w:rPr>
          <w:rStyle w:val="a9"/>
        </w:rPr>
        <w:footnoteRef/>
      </w:r>
      <w:r>
        <w:rPr>
          <w:rtl/>
        </w:rPr>
        <w:t xml:space="preserve"> </w:t>
      </w:r>
      <w:r>
        <w:rPr>
          <w:rFonts w:cs="Arial"/>
          <w:rtl/>
        </w:rPr>
        <w:t>(א) ובהג"ה אשיר"י פרק מי שהוציאוהו (עירובין פ"ד סי' ב) דאסור לפסוע בשבת יותר מאמה בפסיעה אחת אם אפשר לו [בפחות] וכן הוא באור זרוע (הל' ערובין סי' קמג):</w:t>
      </w:r>
    </w:p>
  </w:footnote>
  <w:footnote w:id="1076">
    <w:p w14:paraId="50148357" w14:textId="77777777" w:rsidR="004B2E7C" w:rsidRDefault="004B2E7C" w:rsidP="00285819">
      <w:pPr>
        <w:pStyle w:val="a7"/>
      </w:pPr>
      <w:r>
        <w:rPr>
          <w:rStyle w:val="a9"/>
        </w:rPr>
        <w:footnoteRef/>
      </w:r>
      <w:r>
        <w:rPr>
          <w:rtl/>
        </w:rPr>
        <w:t xml:space="preserve"> </w:t>
      </w:r>
      <w:r>
        <w:rPr>
          <w:rFonts w:cs="Arial"/>
          <w:rtl/>
        </w:rPr>
        <w:t>(א*) עיין לקמן סימן תרי"ג (עמ' תמא ובד"מ אות ד) מדין זה:</w:t>
      </w:r>
    </w:p>
  </w:footnote>
  <w:footnote w:id="1077">
    <w:p w14:paraId="3DFF726D" w14:textId="77777777" w:rsidR="004B2E7C" w:rsidRDefault="004B2E7C" w:rsidP="00285819">
      <w:pPr>
        <w:pStyle w:val="a7"/>
        <w:rPr>
          <w:rtl/>
        </w:rPr>
      </w:pPr>
      <w:r>
        <w:rPr>
          <w:rStyle w:val="a9"/>
        </w:rPr>
        <w:footnoteRef/>
      </w:r>
      <w:r>
        <w:rPr>
          <w:rtl/>
        </w:rPr>
        <w:t xml:space="preserve"> </w:t>
      </w:r>
      <w:r>
        <w:rPr>
          <w:rFonts w:cs="Arial"/>
          <w:rtl/>
        </w:rPr>
        <w:t>(ד) וכתב האגור (סי' תכז) דהמנהג באשכנז כדעת הרא"ש:</w:t>
      </w:r>
    </w:p>
  </w:footnote>
  <w:footnote w:id="1078">
    <w:p w14:paraId="0BD5A6ED" w14:textId="77777777" w:rsidR="004B2E7C" w:rsidRDefault="004B2E7C" w:rsidP="00285819">
      <w:pPr>
        <w:pStyle w:val="a7"/>
      </w:pPr>
      <w:r>
        <w:rPr>
          <w:rStyle w:val="a9"/>
        </w:rPr>
        <w:footnoteRef/>
      </w:r>
      <w:r>
        <w:rPr>
          <w:rtl/>
        </w:rPr>
        <w:t xml:space="preserve"> </w:t>
      </w:r>
      <w:r>
        <w:rPr>
          <w:rFonts w:cs="Arial"/>
          <w:rtl/>
        </w:rPr>
        <w:t>(ו) במרדכי פרק במה אשה (סי' שנ) ובהג"ה מיימוני פרק י"ט דשבת (אות ד בתרא) תשובת מוהר"ם (ד"פ סי' תקלב) דלא מועיל חיבור לכסות אלא בדבר שדרכו להיות מחובר לכסות כגון זגין הארוגים שבימיהם היה המנהג לצאת כן ולעשות כן לכל הבגדים לנוי אבל שאר דברים שאין דרכן בכך אסור ואף על פי שיש בני אדם שנוהגים בהיתר לא נודע מאין הרגלים לדבר וכו' וכן כתב בית יוסף (עמ' קמו ד"ה והרשב"א כתב) בשם תשובת הרשב"א. ומטעם זה אסרו מפתח הקבוע באזור כדלעיל. אבל לפי תשובה (אשכנזית) דלעיל (ב"י שם ד"ה ובתשובה) דכתבה דנהגו היתר לקבוע באזור אם כן אפשר דגם שאר דברים המחוברים שרי. ומיהו נראה דאף לדברי תשובה דלעיל לא התיר אלא מפתח באזור משום הדחק דצריך להוליך המפתח עמו שלא יגנבו לו כשיניח המפתח בביתו וכן משמע בסמ"ג (לאוין סה, יח ע"ג) דמשום זה לוקחים המפתח עמו אבל שאר דברים שאין צריכים ודאי אסור לכולי עלמא: וכתב באור זרוע (הל' שבת סי' פד אות ג) דאותן עגולים הירוקים שנושאים על הבגדים לסימן שהם יהודים כמו שגזר עליהם המלך דמותרים לצאת בהן בשבת אפילו אינו תפור בכסותו: ובהגהות אלפסי (שלטי הגבורים ל: אות ב) מצאתי הא דמותר לצאת עם זגין הארוגים בכסות היינו שאין בזגין ענבל להשמיע קול ואינן עשויין אלא לנוי אבל אם הם עשויים להשמיע קול אסורים וכן מבואר בתוספתא (שבת פי"ד הט"ו) שאין מקרקשין לא את הזוג ולא את הקרקש לתינוק בשבת. וכתב עוד שם דנהגו לילך עם המטפחת שמקנח בו האף הנקרא פאטשייל"ע אם הוא מחובר לכסות:</w:t>
      </w:r>
    </w:p>
  </w:footnote>
  <w:footnote w:id="1079">
    <w:p w14:paraId="1E719815" w14:textId="77777777" w:rsidR="004B2E7C" w:rsidRDefault="004B2E7C" w:rsidP="00285819">
      <w:pPr>
        <w:pStyle w:val="a7"/>
      </w:pPr>
      <w:r>
        <w:rPr>
          <w:rStyle w:val="a9"/>
        </w:rPr>
        <w:footnoteRef/>
      </w:r>
      <w:r>
        <w:rPr>
          <w:rtl/>
        </w:rPr>
        <w:t xml:space="preserve"> </w:t>
      </w:r>
      <w:r>
        <w:rPr>
          <w:rFonts w:cs="Arial"/>
          <w:rtl/>
        </w:rPr>
        <w:t>(ב) והמגיד משנה (פי"ט ה"ג) כתב דמוטב שיהיו שוגגין ואל יהיו מזידין ולכן נהגו להקל וכן כתבו הרמב"ן (נז. סוד"ה מתני') והרשב"א (נט: סוד"ה איכא) עכ"ל. וכן כתבו התוספות (סד: ד"ה רבי) והרא"ש (פ"ו סו"ס יג) דמטעם מוטב וכו' נהיגי עכשיו לצאת בתכשיטין ולא מוחין בהן. ובהגהות אלפסי פרק במה אשה יוצאה (שלטי הגבורים כה: אות ב) דהשתא נהיגי לצאת בהן משום דאף בחול נהיגי לצאת בהן בין איש בין אשה ולא נאסרו אלא בימיהם דלא היו רגילין לצאת בתכשיטין אלא בשבת ולכן הוי למיחש דילמא שלפי ומחוי. והתוספות פרק כל כתבי כתבו גם כן סברא זו:</w:t>
      </w:r>
    </w:p>
  </w:footnote>
  <w:footnote w:id="1080">
    <w:p w14:paraId="06E42A22" w14:textId="77777777" w:rsidR="004B2E7C" w:rsidRDefault="004B2E7C" w:rsidP="00285819">
      <w:pPr>
        <w:pStyle w:val="a7"/>
        <w:rPr>
          <w:rtl/>
        </w:rPr>
      </w:pPr>
      <w:r>
        <w:rPr>
          <w:rStyle w:val="a9"/>
        </w:rPr>
        <w:footnoteRef/>
      </w:r>
      <w:r>
        <w:rPr>
          <w:rtl/>
        </w:rPr>
        <w:t xml:space="preserve"> </w:t>
      </w:r>
      <w:r>
        <w:rPr>
          <w:rFonts w:cs="Arial"/>
          <w:rtl/>
        </w:rPr>
        <w:t>(ג) ובאור זרוע (הל' שבת סי' פד אות ד) כתב דכל דבר שאסור לצאת בו אינו מועיל שיעשה בו מחט לסגור חגורו או כדומה שלא מהני אלא אם כן יחברנו לבסוף עכ"ל ומשמע דבמחובר בחגורו מיהא שרי ועיין לקמן (אות ו) מדין זה: וכתוב בתולדות אדם וחוה נתיב י"ב חלק י"ו (צב ע"ג) דמפתח אסור להביאו אפילו בחצירו רק בידו אבל לא בחגורו שמא יוציאו לרשות הרבים וכן כתבו הרמב"ן (סד: ד"ה אמר רב) והרשב"א (עבוה"ק בית נתיבות ש"ג סי' ב) עכ"ל וכן הוא במגיד משנה פרק י"ט (ה"ח). וכתב בית יוסף (סו"ס שג ד"ה כתב רבינו ירוחם) דהם לטעמייהו דסבירא להו דכל דאסור לצאת בו אף בבית אסור. ויש חולקים בדבר ועיין לקמן סימן ש"ג (טור עמ' קסו, ד"מ הארוך אות ב):</w:t>
      </w:r>
    </w:p>
  </w:footnote>
  <w:footnote w:id="1081">
    <w:p w14:paraId="7A311F48" w14:textId="77777777" w:rsidR="004B2E7C" w:rsidRDefault="004B2E7C" w:rsidP="00285819">
      <w:pPr>
        <w:pStyle w:val="a7"/>
        <w:rPr>
          <w:rtl/>
        </w:rPr>
      </w:pPr>
      <w:r>
        <w:rPr>
          <w:rStyle w:val="a9"/>
        </w:rPr>
        <w:footnoteRef/>
      </w:r>
      <w:r>
        <w:rPr>
          <w:rtl/>
        </w:rPr>
        <w:t xml:space="preserve"> </w:t>
      </w:r>
      <w:r>
        <w:rPr>
          <w:rFonts w:cs="Arial"/>
          <w:rtl/>
        </w:rPr>
        <w:t>(ז) ובהגהת אשיר"י (סי' ח) משמע כפירוש רש"י:</w:t>
      </w:r>
    </w:p>
  </w:footnote>
  <w:footnote w:id="1082">
    <w:p w14:paraId="498A118E" w14:textId="77777777" w:rsidR="004B2E7C" w:rsidRDefault="004B2E7C" w:rsidP="00285819">
      <w:pPr>
        <w:pStyle w:val="a7"/>
        <w:rPr>
          <w:rtl/>
        </w:rPr>
      </w:pPr>
      <w:r>
        <w:rPr>
          <w:rStyle w:val="a9"/>
        </w:rPr>
        <w:footnoteRef/>
      </w:r>
      <w:r>
        <w:rPr>
          <w:rtl/>
        </w:rPr>
        <w:t xml:space="preserve"> </w:t>
      </w:r>
      <w:r>
        <w:rPr>
          <w:rFonts w:cs="Arial"/>
          <w:rtl/>
        </w:rPr>
        <w:t>(ח) וכן משמע בתוספות (סא: ד"ה איתמחי קמיע) דלא תלינן באיתמחי קמיע אם בא מאדם שכבר מומחה דתלינן בהמחאת האדם מאחר שכבר איתמחי גברא ולא מצינו איתמחי גברא וקמיע אלא כשבאו ביחד וכן נראה מדברי הביאור שכתב בית יוסף:</w:t>
      </w:r>
    </w:p>
  </w:footnote>
  <w:footnote w:id="1083">
    <w:p w14:paraId="50D04CED" w14:textId="77777777" w:rsidR="004B2E7C" w:rsidRDefault="004B2E7C" w:rsidP="00285819">
      <w:pPr>
        <w:pStyle w:val="a7"/>
        <w:rPr>
          <w:rtl/>
        </w:rPr>
      </w:pPr>
      <w:r>
        <w:rPr>
          <w:rStyle w:val="a9"/>
        </w:rPr>
        <w:footnoteRef/>
      </w:r>
      <w:r>
        <w:rPr>
          <w:rtl/>
        </w:rPr>
        <w:t xml:space="preserve"> </w:t>
      </w:r>
      <w:r>
        <w:rPr>
          <w:rFonts w:cs="Arial"/>
          <w:rtl/>
        </w:rPr>
        <w:t>(יב) ואין דבריו נראים דהא רש"י והתוספות והרא"ש וכל הפוסקים כתבו בהדיא לאסור ואיך נדחה כולם מפני השמטת הרי"ף והרמב"ם. ומשמע מדברי התוספות דאף ב' חגורות אינו אסור אלא כששתיהן זו על גב זו דמה הנאה יש בהן ואין דרך לחגור כך והוי משוי אבל כשיש בגד מפסיק ביניהם שרי וכן כתב המרדכי פרק במה אשה (ע"א) (סי' שמז) בהדיא דשרי וכן הוא באור זרוע (ח"ב סי' פד אות ו)::</w:t>
      </w:r>
    </w:p>
  </w:footnote>
  <w:footnote w:id="1084">
    <w:p w14:paraId="6223FFDB" w14:textId="77777777" w:rsidR="004B2E7C" w:rsidRDefault="004B2E7C" w:rsidP="00285819">
      <w:pPr>
        <w:pStyle w:val="a7"/>
        <w:rPr>
          <w:rtl/>
        </w:rPr>
      </w:pPr>
      <w:r>
        <w:rPr>
          <w:rStyle w:val="a9"/>
        </w:rPr>
        <w:footnoteRef/>
      </w:r>
      <w:r>
        <w:rPr>
          <w:rtl/>
        </w:rPr>
        <w:t xml:space="preserve"> </w:t>
      </w:r>
      <w:r>
        <w:rPr>
          <w:rFonts w:cs="Arial"/>
          <w:rtl/>
        </w:rPr>
        <w:t>(יג) והא דכתב דרבים מתירים נראה דלא כיון על הפוסקים דמתירים הוצאת ב' סרבלים דאפשר דהם לא מיירי כשהוציאן לצורך חבירו אלא כשלובשן לצרכו מפני הצינה אלא כיון לדברי הכל בו שכתב דמותר להוציא שני מלבושים כדי להביא אחד לחבירו וכן כתב הרוקח. אמנם בשיבלי לקט (סי' קז, לח ב) אוסר:</w:t>
      </w:r>
    </w:p>
  </w:footnote>
  <w:footnote w:id="1085">
    <w:p w14:paraId="1A1B53A5" w14:textId="77777777" w:rsidR="004B2E7C" w:rsidRDefault="004B2E7C" w:rsidP="00285819">
      <w:pPr>
        <w:pStyle w:val="a7"/>
        <w:rPr>
          <w:rtl/>
        </w:rPr>
      </w:pPr>
      <w:r>
        <w:rPr>
          <w:rStyle w:val="a9"/>
        </w:rPr>
        <w:footnoteRef/>
      </w:r>
      <w:r>
        <w:rPr>
          <w:rtl/>
        </w:rPr>
        <w:t xml:space="preserve"> </w:t>
      </w:r>
      <w:r>
        <w:rPr>
          <w:rFonts w:cs="Arial"/>
          <w:rtl/>
        </w:rPr>
        <w:t>(יד) ולי נראה דאין ראיה מדברי התוספות להתיר שני חלוקים משום דאף הם לא התירו אלא בדבר שדרכו ללבשו מה שאין כן בשני חלוקים דאין דרך ללבשן. מיהו אם שני מקטורין שרי והם שני סרבלים אף על גב דאין דרך העולם ללבוש שתים הוא הדין שני חלוקים. והר"ן כתב פרק כל כתבי דף (קמ"ה ע"ב) (מה. ד"ה וטעמיה) דכל בגדים שאין דרך בני אדם ללבשן כאחד אסור להוציאן. ובאור זרוע (שם) כתב דמותר לצאת בשני כובעים שכן דרכו בחול לשום כובע גדול על כובע קטן וכן המנהג עכ"ל:</w:t>
      </w:r>
    </w:p>
  </w:footnote>
  <w:footnote w:id="1086">
    <w:p w14:paraId="2564A7AD"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שאנשים רגילים להקפיד על נקיונם, רש"י.</w:t>
      </w:r>
    </w:p>
  </w:footnote>
  <w:footnote w:id="1087">
    <w:p w14:paraId="21815D4F"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שהאבק מקלקל מראיתם וקפיד עליה- לפרש"י. אך לתוס' וסיעתו הוא משום- שניעורם מהטל מיפה אותם ומינכר כיבוסם.</w:t>
      </w:r>
    </w:p>
  </w:footnote>
  <w:footnote w:id="1088">
    <w:p w14:paraId="7AE561C8"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ללובשן עד שינערם, רש"י. אבל אם לא מקפיד שרי משום דלמאן דקפיד הוי פ"ר ולמאן דלא קפיד ליכא אלא דבר שאין מתכוין שאינו כיבוס גמור, הה"מ.</w:t>
      </w:r>
    </w:p>
  </w:footnote>
  <w:footnote w:id="1089">
    <w:p w14:paraId="4CE53DCD"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וגלימי אוכמי הוו, רש"י.</w:t>
      </w:r>
    </w:p>
  </w:footnote>
  <w:footnote w:id="1090">
    <w:p w14:paraId="1180BCF7"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כובעי.</w:t>
      </w:r>
    </w:p>
  </w:footnote>
  <w:footnote w:id="1091">
    <w:p w14:paraId="12DDFAE4"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היה אביי מהסס ליתן לו המגבעת בלי שינער תחילה את הטל מעליה.</w:t>
      </w:r>
    </w:p>
  </w:footnote>
  <w:footnote w:id="1092">
    <w:p w14:paraId="68EEC847"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נער והשלך את הטל.</w:t>
      </w:r>
    </w:p>
  </w:footnote>
  <w:footnote w:id="1093">
    <w:p w14:paraId="7441DE02"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לאו דוקא חדשה שלא נתכבסה עדיין אלא אפי' לא נשתמשו בה כ"כ ועדיין היא בחידושה, ב"י ע"פ הרמב"ם.</w:t>
      </w:r>
    </w:p>
  </w:footnote>
  <w:footnote w:id="1094">
    <w:p w14:paraId="1DEED675"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משום סוחט, כל בו.</w:t>
      </w:r>
    </w:p>
  </w:footnote>
  <w:footnote w:id="1095">
    <w:p w14:paraId="6EA61759"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לפי שמתקצר במים, כל בו. משמע דסתם חדש מקפיד עליו אע"ג דגבי טל אמרינן בגמ' והוא דקפיד וכו', הכא שנשרה במים שאני שמתקצר, מג"א (סק"ב).</w:t>
      </w:r>
    </w:p>
  </w:footnote>
  <w:footnote w:id="1096">
    <w:p w14:paraId="74DAB128"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היינו דוקא בשחור וחדש כמו שנתבאר לעיל, מג"א (סק"ג).</w:t>
      </w:r>
    </w:p>
  </w:footnote>
  <w:footnote w:id="1097">
    <w:p w14:paraId="04CB473E"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ראשי חוטין התלויין ביריעה במקום קשורין, כשניתק בה חוט וקשרוהו, וכן קשין וקסמים דקין שנארגו בה בלא מתכוין ונוטלין אותם ממנה לאחר אריגה גמר מלאכה הוא וחייב משום מכה בפטיש, רש"י.</w:t>
      </w:r>
    </w:p>
  </w:footnote>
  <w:footnote w:id="1098">
    <w:p w14:paraId="0578C4CF"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וכן קיסמים שנשארו מהאריגה, רש"י וטור.</w:t>
      </w:r>
    </w:p>
  </w:footnote>
  <w:footnote w:id="1099">
    <w:p w14:paraId="0522DDEB"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היינו כל שמסירם בכוונה- חייב, כגון ליופי וכדו' ואע"פ שהיה לובשם כך, ואינו פטור אלא כשעושה כן בלי כוונה, ב"י </w:t>
      </w:r>
      <w:r>
        <w:rPr>
          <w:rFonts w:asciiTheme="minorBidi" w:hAnsiTheme="minorBidi"/>
          <w:sz w:val="16"/>
          <w:szCs w:val="16"/>
          <w:rtl/>
        </w:rPr>
        <w:t>(יוצא שלפירוש הב"י הגדר של "מקפיד" שבסע' א ושבסע' ב' לא אותו דבר)</w:t>
      </w:r>
      <w:r>
        <w:rPr>
          <w:rFonts w:asciiTheme="minorBidi" w:hAnsiTheme="minorBidi"/>
          <w:rtl/>
        </w:rPr>
        <w:t>. אך הט"ז (סק"ב) כ' שחייב רק כשלא היה לובשם כמו שהם, אך אם היה לובשם כך נקרא שעשה כן בדרך עסק ופטור</w:t>
      </w:r>
      <w:r>
        <w:rPr>
          <w:rFonts w:asciiTheme="minorBidi" w:hAnsiTheme="minorBidi"/>
          <w:sz w:val="16"/>
          <w:szCs w:val="16"/>
          <w:rtl/>
        </w:rPr>
        <w:t xml:space="preserve"> (ולפירוש הט"ז יוצא שהגדר של "מקפיד" שבסע' א ושבסע' ב' אותו דבר)</w:t>
      </w:r>
      <w:r>
        <w:rPr>
          <w:rFonts w:asciiTheme="minorBidi" w:hAnsiTheme="minorBidi"/>
          <w:rtl/>
        </w:rPr>
        <w:t>.</w:t>
      </w:r>
    </w:p>
  </w:footnote>
  <w:footnote w:id="1100">
    <w:p w14:paraId="25A83400"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בגדים כשפושטן מקפלין, מפני שמתרככין מכיבוסם, ומתקמטים כשאינן מקופלים.</w:t>
      </w:r>
    </w:p>
  </w:footnote>
  <w:footnote w:id="1101">
    <w:p w14:paraId="40DF9D3F"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כדי לחזור וללובשן בו ביום.</w:t>
      </w:r>
    </w:p>
  </w:footnote>
  <w:footnote w:id="1102">
    <w:p w14:paraId="5DA04B08"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כשמקפלין אותן מפשטין קמטיהן, ונראין כמתקנין.</w:t>
      </w:r>
    </w:p>
  </w:footnote>
  <w:footnote w:id="1103">
    <w:p w14:paraId="696B673E"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קיפולן מתקנן יותר מן החדשים, שהחדשים קשין מאליהן, ואין ממהרין לקמוט.</w:t>
      </w:r>
    </w:p>
  </w:footnote>
  <w:footnote w:id="1104">
    <w:p w14:paraId="5864A098"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קיפולן מתקנן.</w:t>
      </w:r>
    </w:p>
  </w:footnote>
  <w:footnote w:id="1105">
    <w:p w14:paraId="5546E8BF"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נוסף במהדורת שאלוניקי שכ"ח, ובמהדורת קראקא ש"ל נדפס באותיות רמ"א, הגוה"ע שו"ע פריעדמאן.</w:t>
      </w:r>
    </w:p>
  </w:footnote>
  <w:footnote w:id="1106">
    <w:p w14:paraId="1C5BBF0E"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פריש"א</w:t>
      </w:r>
      <w:r>
        <w:rPr>
          <w:rFonts w:asciiTheme="minorBidi" w:hAnsiTheme="minorBidi"/>
          <w:sz w:val="16"/>
          <w:szCs w:val="16"/>
          <w:rtl/>
        </w:rPr>
        <w:t xml:space="preserve"> (מכבש שכובסים בו)</w:t>
      </w:r>
      <w:r>
        <w:rPr>
          <w:rFonts w:asciiTheme="minorBidi" w:hAnsiTheme="minorBidi"/>
          <w:rtl/>
        </w:rPr>
        <w:t xml:space="preserve">, שני לווחים ארוכים וכבדים, וסודרין בגדים על התחתון, ומורידין העליון עליו, וכובשים את הבגדים על ידי יתדות, שיש עמודים קבועין מנוקבין בארבע הפיאות של התחתונות, והעליונה מנוקבת בארבע זויותיה, ועולה ויורדת בעמודים, וכפי מה שהוא רוצה לכבוש מורידה, ותוחב יתד בנקב העמוד, ואינה יכולה לעלות, רש"י. </w:t>
      </w:r>
    </w:p>
  </w:footnote>
  <w:footnote w:id="1107">
    <w:p w14:paraId="06BD437F"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את המכבש, שנוטל את היתד והוא ניתר, דהיינו צורך שבת, שנוטל את הכלים, רש"י.</w:t>
      </w:r>
    </w:p>
  </w:footnote>
  <w:footnote w:id="1108">
    <w:p w14:paraId="25D31696"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דהיינו צורך חול, רש"י.</w:t>
      </w:r>
    </w:p>
  </w:footnote>
  <w:footnote w:id="1109">
    <w:p w14:paraId="2E163BDB"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מפני שהוא עשוי לתקן הבגדים, ותוחבו בחזקה ומיהדק, והתרה שלו דומה לסתירה, רש"י. וכ"כ בשו"ע. אך הרמב"ם פירש שאסו משום שהוא מוקצה מחמת חסרון כיס.</w:t>
      </w:r>
    </w:p>
  </w:footnote>
  <w:footnote w:id="1110">
    <w:p w14:paraId="2602FF5A"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דכיוון שמותר כבר מערב שבת לא מחזי כסתירה, טור ורי"ו.</w:t>
      </w:r>
    </w:p>
  </w:footnote>
  <w:footnote w:id="1111">
    <w:p w14:paraId="5C0ADB69"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ואפי' היה מותר מער"ש אסור לשמוט כליו גזירה שמא יבא להתירו. והרמב"ם פי' משום שהוא מוקצה מחמת חסרון כיס ואסור לטלטלו [הה"מ], מג"א (סק"ז).</w:t>
      </w:r>
    </w:p>
  </w:footnote>
  <w:footnote w:id="1112">
    <w:p w14:paraId="64515664" w14:textId="77777777" w:rsidR="004B2E7C" w:rsidRDefault="004B2E7C" w:rsidP="00285819">
      <w:pPr>
        <w:spacing w:after="0" w:line="240" w:lineRule="auto"/>
        <w:rPr>
          <w:rFonts w:asciiTheme="minorBidi" w:hAnsiTheme="minorBidi"/>
          <w:sz w:val="20"/>
          <w:szCs w:val="20"/>
          <w:rtl/>
        </w:rPr>
      </w:pPr>
      <w:r>
        <w:rPr>
          <w:rStyle w:val="a9"/>
          <w:rFonts w:asciiTheme="minorBidi" w:hAnsiTheme="minorBidi"/>
          <w:sz w:val="20"/>
          <w:szCs w:val="20"/>
        </w:rPr>
        <w:footnoteRef/>
      </w:r>
      <w:r>
        <w:rPr>
          <w:rFonts w:asciiTheme="minorBidi" w:hAnsiTheme="minorBidi"/>
          <w:sz w:val="20"/>
          <w:szCs w:val="20"/>
          <w:rtl/>
        </w:rPr>
        <w:t xml:space="preserve"> חלוק כתונת של פשתן שנתכבסה, והרי היא קשה ומשפשפה בין שתי ידיו והיא מתרככה, ואף הליבון שלה מצהיל על ידי השפשוף, רש"י.</w:t>
      </w:r>
    </w:p>
  </w:footnote>
  <w:footnote w:id="1113">
    <w:p w14:paraId="1F6C31C4"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הליבון מצהיל, רש"י.</w:t>
      </w:r>
    </w:p>
  </w:footnote>
  <w:footnote w:id="1114">
    <w:p w14:paraId="14BDF436" w14:textId="77777777" w:rsidR="004B2E7C" w:rsidRDefault="004B2E7C" w:rsidP="00285819">
      <w:pPr>
        <w:spacing w:after="0" w:line="240" w:lineRule="auto"/>
        <w:rPr>
          <w:rFonts w:asciiTheme="minorBidi" w:hAnsiTheme="minorBidi"/>
          <w:sz w:val="20"/>
          <w:szCs w:val="20"/>
        </w:rPr>
      </w:pPr>
      <w:r>
        <w:rPr>
          <w:rStyle w:val="a9"/>
          <w:rFonts w:asciiTheme="minorBidi" w:hAnsiTheme="minorBidi"/>
          <w:sz w:val="20"/>
          <w:szCs w:val="20"/>
        </w:rPr>
        <w:footnoteRef/>
      </w:r>
      <w:r>
        <w:rPr>
          <w:rFonts w:asciiTheme="minorBidi" w:hAnsiTheme="minorBidi"/>
          <w:sz w:val="20"/>
          <w:szCs w:val="20"/>
          <w:rtl/>
        </w:rPr>
        <w:t xml:space="preserve"> שמקפיד על ליבונו וצוהרו של סודר יותר מכיתניתא, רש"י.</w:t>
      </w:r>
    </w:p>
  </w:footnote>
  <w:footnote w:id="1115">
    <w:p w14:paraId="1D3BF889"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הב"י כ' על דברי שבה"ל כך: ונראה לי שטעמו משום שהוא גורס דסודר אסור ומפרש דכל בגד פשתן בכלל סודר, וכתניתא דשרי התם היינו בגד שאינו של פשתן, ונכון להחמיר כיון דדבר שאין בו צורך כל כך הוא עכ"ל הב"י.</w:t>
      </w:r>
    </w:p>
  </w:footnote>
  <w:footnote w:id="1116">
    <w:p w14:paraId="20BA618F"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בניין גרוע שאין דרך לבנות כך, לבוש"ש.</w:t>
      </w:r>
    </w:p>
  </w:footnote>
  <w:footnote w:id="1117">
    <w:p w14:paraId="293D70DC"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זה משום בונה וזה משום אשוויי גומות.</w:t>
      </w:r>
    </w:p>
  </w:footnote>
  <w:footnote w:id="1118">
    <w:p w14:paraId="351F6D75"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אין דרך מתכוין בכך, וקיימא לן כר' שמעון.</w:t>
      </w:r>
    </w:p>
  </w:footnote>
  <w:footnote w:id="1119">
    <w:p w14:paraId="11B6EA90"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בעץ המוטל על הקרקע.</w:t>
      </w:r>
    </w:p>
  </w:footnote>
  <w:footnote w:id="1120">
    <w:p w14:paraId="09DEB6E7"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פירוש- שיש בו כדי לסתום פי כלי, רי". וזה לכו"ע שרי, מג"א (סקי"ג).</w:t>
      </w:r>
    </w:p>
  </w:footnote>
  <w:footnote w:id="1121">
    <w:p w14:paraId="401B76E3"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משפשפו.</w:t>
      </w:r>
    </w:p>
  </w:footnote>
  <w:footnote w:id="1122">
    <w:p w14:paraId="78ACBA6D"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דלא מוכחא מילתא לאיתחזויי כמלבן, ומלבן ממש לא הוי, דאין נותן שם מים, רש"י.</w:t>
      </w:r>
    </w:p>
  </w:footnote>
  <w:footnote w:id="1123">
    <w:p w14:paraId="1578F13E"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דמי למכבס, רש"י.</w:t>
      </w:r>
    </w:p>
  </w:footnote>
  <w:footnote w:id="1124">
    <w:p w14:paraId="5BCBA4EC"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וכתבו הרא"ש הטור ורי"ו דה"ה שמותר לגררו בסכין ואורחא דמילתא נקט, והרי"ף והרמב"ם הזכירו רק ציפורן כלשון הברייתא.</w:t>
      </w:r>
    </w:p>
  </w:footnote>
  <w:footnote w:id="1125">
    <w:p w14:paraId="6E6ECE0A"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וה"ה בסכין אפי' בחודו </w:t>
      </w:r>
      <w:r>
        <w:rPr>
          <w:rFonts w:asciiTheme="minorBidi" w:hAnsiTheme="minorBidi"/>
          <w:sz w:val="16"/>
          <w:szCs w:val="16"/>
          <w:rtl/>
        </w:rPr>
        <w:t>(ב"י)</w:t>
      </w:r>
      <w:r>
        <w:rPr>
          <w:rFonts w:asciiTheme="minorBidi" w:hAnsiTheme="minorBidi"/>
          <w:rtl/>
        </w:rPr>
        <w:t>, מג"א (סקי"ד).</w:t>
      </w:r>
    </w:p>
  </w:footnote>
  <w:footnote w:id="1126">
    <w:p w14:paraId="2BE358C2"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ה"ר פרץ הביא כך מהתוספתא (כך גרס ההגה"מ, אך בהגה' סמ"ק ובכל בו גרסו "הביא תוספות").</w:t>
      </w:r>
    </w:p>
  </w:footnote>
  <w:footnote w:id="1127">
    <w:p w14:paraId="4BD0DF85"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אפי' לכסכסו מבפנים, מג"א</w:t>
      </w:r>
      <w:r>
        <w:rPr>
          <w:rFonts w:asciiTheme="minorBidi" w:hAnsiTheme="minorBidi"/>
        </w:rPr>
        <w:t xml:space="preserve"> </w:t>
      </w:r>
      <w:r>
        <w:rPr>
          <w:rFonts w:asciiTheme="minorBidi" w:hAnsiTheme="minorBidi"/>
          <w:rtl/>
        </w:rPr>
        <w:t>(סקט"ו).</w:t>
      </w:r>
    </w:p>
  </w:footnote>
  <w:footnote w:id="1128">
    <w:p w14:paraId="271BD160"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אע"פ דמלאכה שא"צ לגופה הוא איסורא מיהא איכא, ומדסתם פה משמע דאין חילוק בין משי ופשתן וצמר כיון שמלוכלך בטיט, מג"א (סקט"ז). ונ"ל דזה דוקא שיש ממשות טיט על הבגד, אבל אם אין שם אלא מראה הטיט והוא מגרד שם לבטל המראה אין זה דומה לטוחן, ט"ז (סק"ו). </w:t>
      </w:r>
    </w:p>
  </w:footnote>
  <w:footnote w:id="1129">
    <w:p w14:paraId="713C2477" w14:textId="77777777" w:rsidR="004B2E7C" w:rsidRDefault="004B2E7C" w:rsidP="00285819">
      <w:pPr>
        <w:spacing w:after="0" w:line="240" w:lineRule="auto"/>
        <w:rPr>
          <w:rFonts w:asciiTheme="minorBidi" w:hAnsiTheme="minorBidi"/>
          <w:sz w:val="20"/>
          <w:szCs w:val="20"/>
          <w:rtl/>
        </w:rPr>
      </w:pPr>
      <w:r>
        <w:rPr>
          <w:rStyle w:val="a9"/>
          <w:rFonts w:asciiTheme="minorBidi" w:hAnsiTheme="minorBidi"/>
          <w:sz w:val="20"/>
          <w:szCs w:val="20"/>
        </w:rPr>
        <w:footnoteRef/>
      </w:r>
      <w:r>
        <w:rPr>
          <w:rFonts w:asciiTheme="minorBidi" w:hAnsiTheme="minorBidi"/>
          <w:sz w:val="20"/>
          <w:szCs w:val="20"/>
          <w:rtl/>
        </w:rPr>
        <w:t xml:space="preserve"> שקולפו, והוי ממחק.</w:t>
      </w:r>
    </w:p>
  </w:footnote>
  <w:footnote w:id="1130">
    <w:p w14:paraId="2B4FEC35"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לחדש.</w:t>
      </w:r>
    </w:p>
  </w:footnote>
  <w:footnote w:id="1131">
    <w:p w14:paraId="1BE815FC"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מנעל של עור במים.</w:t>
      </w:r>
    </w:p>
  </w:footnote>
  <w:footnote w:id="1132">
    <w:p w14:paraId="31A01A46"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משפשף צדו זה על צדו זה כדרך המכבס בגדים אוחז הבגד בשתי ידיו ומשפשף, רש"י (שם ד"ה כסכוס).</w:t>
      </w:r>
    </w:p>
  </w:footnote>
  <w:footnote w:id="1133">
    <w:p w14:paraId="661CABF8"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שום דבר מיאוס, כגון רוק או צואה, רש"י.</w:t>
      </w:r>
    </w:p>
  </w:footnote>
  <w:footnote w:id="1134">
    <w:p w14:paraId="74FE404D"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סמרטוט יבש. וכ' רש"י שלא יתן עליה מים דסתם כר של בגד הוא ובגד שרייתו במים הוא כבוסו. וכ"פ הרמב"ם ועוד, והב"י הביא את ההגה"מ שכ' שה"ר פרץ </w:t>
      </w:r>
      <w:r>
        <w:rPr>
          <w:rFonts w:asciiTheme="minorBidi" w:hAnsiTheme="minorBidi"/>
          <w:sz w:val="16"/>
          <w:szCs w:val="16"/>
          <w:rtl/>
        </w:rPr>
        <w:t xml:space="preserve">(שהוא בעל ההגהות על הסמ"ק) </w:t>
      </w:r>
      <w:r>
        <w:rPr>
          <w:rFonts w:asciiTheme="minorBidi" w:hAnsiTheme="minorBidi"/>
          <w:rtl/>
        </w:rPr>
        <w:t xml:space="preserve">הוסיף שלא יקנח בחוזקה כדי שלא יסחוט את הטינוף מהבגד או מהמטלית. </w:t>
      </w:r>
      <w:r>
        <w:rPr>
          <w:rFonts w:asciiTheme="minorBidi" w:hAnsiTheme="minorBidi"/>
          <w:color w:val="E36C0A" w:themeColor="accent6" w:themeShade="BF"/>
          <w:rtl/>
        </w:rPr>
        <w:t>וכ"פ בשו"ע.</w:t>
      </w:r>
      <w:r>
        <w:rPr>
          <w:rFonts w:asciiTheme="minorBidi" w:hAnsiTheme="minorBidi"/>
          <w:rtl/>
        </w:rPr>
        <w:t xml:space="preserve"> אך אני לא הצלחתי למצוא בכתבים שלפני כך לא בהגה"מ לא בסמ"ק ולא בהגה' רבנו פרץ, ומ"מ כ' בסמ"ק שיזהר לא לסחוט בגד שטבל בשבת בשמן או יין </w:t>
      </w:r>
      <w:r>
        <w:rPr>
          <w:rFonts w:asciiTheme="minorBidi" w:hAnsiTheme="minorBidi"/>
          <w:sz w:val="16"/>
          <w:szCs w:val="16"/>
          <w:rtl/>
        </w:rPr>
        <w:t>(שלדעתו מותר לטבול הבגד בשמן או יין שאין באלו משום כיבוס)</w:t>
      </w:r>
      <w:r>
        <w:rPr>
          <w:rFonts w:asciiTheme="minorBidi" w:hAnsiTheme="minorBidi"/>
          <w:rtl/>
        </w:rPr>
        <w:t xml:space="preserve">, וכן בבגד שע"פ החבית. והגר"א הפנה להא דאמר רבא בגמ' </w:t>
      </w:r>
      <w:r>
        <w:rPr>
          <w:rFonts w:asciiTheme="minorBidi" w:hAnsiTheme="minorBidi"/>
          <w:sz w:val="16"/>
          <w:szCs w:val="16"/>
          <w:rtl/>
        </w:rPr>
        <w:t xml:space="preserve">(קמא.) </w:t>
      </w:r>
      <w:r>
        <w:rPr>
          <w:rFonts w:asciiTheme="minorBidi" w:hAnsiTheme="minorBidi"/>
          <w:rtl/>
        </w:rPr>
        <w:t>לא ליהדוק איניש אודרא</w:t>
      </w:r>
      <w:r>
        <w:rPr>
          <w:rFonts w:asciiTheme="minorBidi" w:hAnsiTheme="minorBidi"/>
          <w:sz w:val="16"/>
          <w:szCs w:val="16"/>
          <w:rtl/>
        </w:rPr>
        <w:t xml:space="preserve"> (מוכין)</w:t>
      </w:r>
      <w:r>
        <w:rPr>
          <w:rFonts w:asciiTheme="minorBidi" w:hAnsiTheme="minorBidi"/>
          <w:rtl/>
        </w:rPr>
        <w:t xml:space="preserve"> בפומא דשישא</w:t>
      </w:r>
      <w:r>
        <w:rPr>
          <w:rFonts w:asciiTheme="minorBidi" w:hAnsiTheme="minorBidi"/>
          <w:sz w:val="16"/>
          <w:szCs w:val="16"/>
          <w:rtl/>
        </w:rPr>
        <w:t xml:space="preserve"> (פך שיש בו משקין)</w:t>
      </w:r>
      <w:r>
        <w:rPr>
          <w:rFonts w:asciiTheme="minorBidi" w:hAnsiTheme="minorBidi"/>
          <w:rtl/>
        </w:rPr>
        <w:t>, דילמא אתי לידי סחיטה.</w:t>
      </w:r>
    </w:p>
  </w:footnote>
  <w:footnote w:id="1135">
    <w:p w14:paraId="58F5C9CD"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לשלשת זו על כר של עור, דלאו בר כיבוס הוא, רש"י.</w:t>
      </w:r>
    </w:p>
  </w:footnote>
  <w:footnote w:id="1136">
    <w:p w14:paraId="684B92D0"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ומיהו כיבוס ממש לא, והואיל וסתם כרים וכסתות רכים נינהו, שייך למימר בהו כיבוס בעורות רכין, ומיהו שרייתן לא זהו כבוסן, וכן מפורש בזבחים בפרק דם חטאת, רש"י.</w:t>
      </w:r>
    </w:p>
  </w:footnote>
  <w:footnote w:id="1137">
    <w:p w14:paraId="34398CDF"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במים. פירוש שאסור ליתן עליו מים כלל, מג"א (סקי"ח).</w:t>
      </w:r>
    </w:p>
  </w:footnote>
  <w:footnote w:id="1138">
    <w:p w14:paraId="1EDE1BAF"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ונ"ל דבדבר שאין מקפיד על מימיו שרי כמ"ש סימן ש"א סמ"ו </w:t>
      </w:r>
      <w:r>
        <w:rPr>
          <w:rFonts w:asciiTheme="minorBidi" w:hAnsiTheme="minorBidi"/>
          <w:sz w:val="16"/>
          <w:szCs w:val="16"/>
          <w:rtl/>
        </w:rPr>
        <w:t>(בהג"ה)</w:t>
      </w:r>
      <w:r>
        <w:rPr>
          <w:rFonts w:asciiTheme="minorBidi" w:hAnsiTheme="minorBidi"/>
          <w:rtl/>
        </w:rPr>
        <w:t>, מג"א (סקי"ט).</w:t>
      </w:r>
    </w:p>
  </w:footnote>
  <w:footnote w:id="1139">
    <w:p w14:paraId="49D8C5CA"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היינו אפי' אין טינוף על הבגד כלל, והם הגה"מ בשם בה"ג רא"ם, רשב"ם שהובא בתוס', וטור. ולדידהו דרך ליכלוך שרי כמ"ש סע' י בהג"ה, מג"א (סק"כ).</w:t>
      </w:r>
    </w:p>
  </w:footnote>
  <w:footnote w:id="1140">
    <w:p w14:paraId="1C28BF96"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אבל מדינא שרי כיון שאין בו לכלוך כמ"ש הרב ב"י סע' ט, מג"א (סקכ"א).</w:t>
      </w:r>
    </w:p>
  </w:footnote>
  <w:footnote w:id="1141">
    <w:p w14:paraId="624A91DE"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הגה"מ והמרדכי כ' שכך היה נוהג מהר"ם.</w:t>
      </w:r>
    </w:p>
  </w:footnote>
  <w:footnote w:id="1142">
    <w:p w14:paraId="61CACA36"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ומ"מ נ"ל דבדבר שמקפיד על מימיו אסור שמא יבא לידי סחיטה וכמ"ש סי' ש"א ס"ג וסמ"ו, מג"א (סקכ"ב).</w:t>
      </w:r>
    </w:p>
  </w:footnote>
  <w:footnote w:id="1143">
    <w:p w14:paraId="3BBC6E48"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כיון דדבר מועט הוא בטלים בניגוב הידיים. אבל כשיש עליו צואה אסור להעבירו בניגוב הידים וכמ"ש ס"ט </w:t>
      </w:r>
      <w:r>
        <w:rPr>
          <w:rFonts w:asciiTheme="minorBidi" w:hAnsiTheme="minorBidi"/>
          <w:sz w:val="16"/>
          <w:szCs w:val="16"/>
          <w:rtl/>
        </w:rPr>
        <w:t>(מהר"מ טיקטין בשם סמ"ג ותוס' ספי"ז דלא כהגמ"ר)</w:t>
      </w:r>
      <w:r>
        <w:rPr>
          <w:rFonts w:asciiTheme="minorBidi" w:hAnsiTheme="minorBidi"/>
          <w:rtl/>
        </w:rPr>
        <w:t>, מג"א (סקכ"ד וסקכ"ה).</w:t>
      </w:r>
    </w:p>
  </w:footnote>
  <w:footnote w:id="1144">
    <w:p w14:paraId="46DF92E1"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אפי' עושה כן בעקיפין כגון שנוטל ידיים על הבגד, ב"י. </w:t>
      </w:r>
    </w:p>
  </w:footnote>
  <w:footnote w:id="1145">
    <w:p w14:paraId="0A128999"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וכ' הה"מ שהוא מתוספתא שבת פי"ז ה"ה, ואני לא מצאתי בתוספתא שלפני (הוצאת ליברמן).</w:t>
      </w:r>
    </w:p>
  </w:footnote>
  <w:footnote w:id="1146">
    <w:p w14:paraId="04356D7B"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ולא דמי למה שמנגב ידיו במפה או בחלוק לפי שידיו מלוכלכות, ב"י תשב"ץ בשם מהר"ם. ונ"ל דאסרו דבר זה אף ביין משום דס"ל דיין נמי מלבן </w:t>
      </w:r>
      <w:r>
        <w:rPr>
          <w:rFonts w:asciiTheme="minorBidi" w:hAnsiTheme="minorBidi"/>
          <w:sz w:val="16"/>
          <w:szCs w:val="16"/>
          <w:rtl/>
        </w:rPr>
        <w:t>(וכמ"ש בב"י ססי' ש"ך בשם הר"ן)</w:t>
      </w:r>
      <w:r>
        <w:rPr>
          <w:rFonts w:asciiTheme="minorBidi" w:hAnsiTheme="minorBidi"/>
          <w:rtl/>
        </w:rPr>
        <w:t xml:space="preserve">, וא"כ בשאר משקין שרי. א"נ י"ל דה"ק כיון שהכוס צר א"א דלא אתי לידי סחיטה והוי פסיק רישיה </w:t>
      </w:r>
      <w:r>
        <w:rPr>
          <w:rFonts w:asciiTheme="minorBidi" w:hAnsiTheme="minorBidi"/>
          <w:sz w:val="16"/>
          <w:szCs w:val="16"/>
          <w:rtl/>
        </w:rPr>
        <w:t xml:space="preserve">(וכמ"ש סי' ש"כ סי"ו וכ"מ ס"ט בהגה) </w:t>
      </w:r>
      <w:r>
        <w:rPr>
          <w:rFonts w:asciiTheme="minorBidi" w:hAnsiTheme="minorBidi"/>
          <w:rtl/>
        </w:rPr>
        <w:t>וא"כ אפי' בדבר שאין מקפיד על מימיו אסור אבל ספסל מותר לקנח דליכא פסיק רישיה ודוקא בדבר שאין מקפיד על מימיו, מג"א (סקכ"ז).</w:t>
      </w:r>
    </w:p>
  </w:footnote>
  <w:footnote w:id="1147">
    <w:p w14:paraId="10B5B252"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לפי שהרואה במראה אינו צריך אלא לתקן שערות ראשו וזקנו הלכך חיישינן שמא יראה נימין המדולדלות שאינן שוות עם שאר השער ויגלחן, רש"י.</w:t>
      </w:r>
    </w:p>
  </w:footnote>
  <w:footnote w:id="1148">
    <w:p w14:paraId="2586B4D4" w14:textId="77777777" w:rsidR="004B2E7C" w:rsidRDefault="004B2E7C" w:rsidP="00285819">
      <w:pPr>
        <w:pStyle w:val="a7"/>
        <w:rPr>
          <w:rFonts w:asciiTheme="minorBidi" w:hAnsiTheme="minorBidi"/>
        </w:rPr>
      </w:pPr>
      <w:r>
        <w:rPr>
          <w:rStyle w:val="a9"/>
          <w:rFonts w:asciiTheme="minorBidi" w:hAnsiTheme="minorBidi"/>
        </w:rPr>
        <w:footnoteRef/>
      </w:r>
      <w:r>
        <w:rPr>
          <w:rFonts w:asciiTheme="minorBidi" w:hAnsiTheme="minorBidi"/>
          <w:rtl/>
        </w:rPr>
        <w:t xml:space="preserve"> בזמן שילך להביא תער או מספרים יזכר שהוא שבת.</w:t>
      </w:r>
    </w:p>
  </w:footnote>
  <w:footnote w:id="1149">
    <w:p w14:paraId="3BD3F5F8" w14:textId="77777777" w:rsidR="004B2E7C" w:rsidRDefault="004B2E7C" w:rsidP="00285819">
      <w:pPr>
        <w:pStyle w:val="a7"/>
        <w:rPr>
          <w:rFonts w:asciiTheme="minorBidi" w:hAnsiTheme="minorBidi"/>
          <w:rtl/>
        </w:rPr>
      </w:pPr>
      <w:r>
        <w:rPr>
          <w:rStyle w:val="a9"/>
          <w:rFonts w:asciiTheme="minorBidi" w:hAnsiTheme="minorBidi"/>
        </w:rPr>
        <w:footnoteRef/>
      </w:r>
      <w:r>
        <w:rPr>
          <w:rFonts w:asciiTheme="minorBidi" w:hAnsiTheme="minorBidi"/>
          <w:rtl/>
        </w:rPr>
        <w:t xml:space="preserve"> שאינו צריך להביא מספרים שהיא עצמה מגלחת השער, רש"י.</w:t>
      </w:r>
    </w:p>
  </w:footnote>
  <w:footnote w:id="1150">
    <w:p w14:paraId="4D8FF379" w14:textId="77777777" w:rsidR="004B2E7C" w:rsidRDefault="004B2E7C" w:rsidP="00285819">
      <w:pPr>
        <w:pStyle w:val="a7"/>
      </w:pPr>
      <w:r>
        <w:rPr>
          <w:rStyle w:val="a9"/>
        </w:rPr>
        <w:footnoteRef/>
      </w:r>
      <w:r>
        <w:rPr>
          <w:rtl/>
        </w:rPr>
        <w:t xml:space="preserve"> </w:t>
      </w:r>
      <w:r>
        <w:rPr>
          <w:rFonts w:cs="Arial"/>
          <w:rtl/>
        </w:rPr>
        <w:t>(א*) עיין ביורה דעה סימן קצ"ח (עמ' שכג - שכה) איזה ארוגים אינן חוצצין:</w:t>
      </w:r>
    </w:p>
  </w:footnote>
  <w:footnote w:id="1151">
    <w:p w14:paraId="267C54A2" w14:textId="77777777" w:rsidR="004B2E7C" w:rsidRDefault="004B2E7C" w:rsidP="00285819">
      <w:pPr>
        <w:pStyle w:val="a7"/>
      </w:pPr>
      <w:r>
        <w:rPr>
          <w:rStyle w:val="a9"/>
        </w:rPr>
        <w:footnoteRef/>
      </w:r>
      <w:r>
        <w:rPr>
          <w:rtl/>
        </w:rPr>
        <w:t xml:space="preserve"> </w:t>
      </w:r>
      <w:r>
        <w:rPr>
          <w:rFonts w:cs="Arial"/>
          <w:rtl/>
        </w:rPr>
        <w:t>(א) וכתב באור זרוע (ח"ב סי' פד אות ב) וטעמא דלא מגליא ראשה להסירן אבל בתולה דראשה מגולה אפילו מחובר לשבכה אסור:</w:t>
      </w:r>
    </w:p>
  </w:footnote>
  <w:footnote w:id="1152">
    <w:p w14:paraId="0AC77F01" w14:textId="77777777" w:rsidR="004B2E7C" w:rsidRDefault="004B2E7C" w:rsidP="00285819">
      <w:pPr>
        <w:pStyle w:val="a7"/>
        <w:rPr>
          <w:rtl/>
        </w:rPr>
      </w:pPr>
      <w:r>
        <w:rPr>
          <w:rStyle w:val="a9"/>
        </w:rPr>
        <w:footnoteRef/>
      </w:r>
      <w:r>
        <w:rPr>
          <w:rtl/>
        </w:rPr>
        <w:t xml:space="preserve"> </w:t>
      </w:r>
      <w:r>
        <w:rPr>
          <w:rFonts w:cs="Arial"/>
          <w:rtl/>
        </w:rPr>
        <w:t>(ב) כתב באור זרוע (שם אות ח) ומלכות כנען שהנשים מוליכות טבעותיהן באזניהן ואזניהן נקובות ומכנסת בהן טבעות בריוח ומוציאה כשתרצה ואין אזניהם מכוסות לאו שפיר עבדי עכ"ל. אבל במקום שאזניהן מכוסות שרי דלא מגליא אזנייהו:</w:t>
      </w:r>
    </w:p>
  </w:footnote>
  <w:footnote w:id="1153">
    <w:p w14:paraId="22600D07" w14:textId="77777777" w:rsidR="004B2E7C" w:rsidRDefault="004B2E7C" w:rsidP="00285819">
      <w:pPr>
        <w:pStyle w:val="a7"/>
      </w:pPr>
      <w:r>
        <w:rPr>
          <w:rStyle w:val="a9"/>
        </w:rPr>
        <w:footnoteRef/>
      </w:r>
      <w:r>
        <w:rPr>
          <w:rtl/>
        </w:rPr>
        <w:t xml:space="preserve"> </w:t>
      </w:r>
      <w:r>
        <w:rPr>
          <w:rFonts w:cs="Arial"/>
          <w:rtl/>
        </w:rPr>
        <w:t>(ג) ובמרדכי פרק במה אשה (סי' שנא) כתב הטעם משום דאינו אלא להראות עושר אבל אם היא סוגרת בו מפתחי חלוקה או תקוע בשלשלת של זהב או של כסף שרי. וכתב עוד ורבינו תם פירש רדיד ואם היא תחת הצעיף שרי דלא מגלה ראשה:</w:t>
      </w:r>
    </w:p>
  </w:footnote>
  <w:footnote w:id="1154">
    <w:p w14:paraId="59E079D7" w14:textId="77777777" w:rsidR="004B2E7C" w:rsidRDefault="004B2E7C" w:rsidP="00285819">
      <w:pPr>
        <w:pStyle w:val="a7"/>
        <w:rPr>
          <w:rtl/>
        </w:rPr>
      </w:pPr>
      <w:r>
        <w:rPr>
          <w:rStyle w:val="a9"/>
        </w:rPr>
        <w:footnoteRef/>
      </w:r>
      <w:r>
        <w:rPr>
          <w:rtl/>
        </w:rPr>
        <w:t xml:space="preserve"> </w:t>
      </w:r>
      <w:r>
        <w:rPr>
          <w:rFonts w:cs="Arial"/>
          <w:rtl/>
        </w:rPr>
        <w:t>(ד) בכל בו (סי' לא, לג ע"ד) אבל בבגד חדש שרי דליכא למיחש דלמא שלפא וכ"כ הר"ן (כה: ד"ה וכתבו) דליכא למיחש אלא בתכשיטין קטנים שאין בני אדם מרגישין בהן אבל תכשיטין גדולים כגון חגורה וכדומה לזה שרי:</w:t>
      </w:r>
    </w:p>
  </w:footnote>
  <w:footnote w:id="1155">
    <w:p w14:paraId="13AF2512" w14:textId="77777777" w:rsidR="004B2E7C" w:rsidRDefault="004B2E7C" w:rsidP="00285819">
      <w:pPr>
        <w:pStyle w:val="a7"/>
      </w:pPr>
      <w:r>
        <w:rPr>
          <w:rStyle w:val="a9"/>
        </w:rPr>
        <w:footnoteRef/>
      </w:r>
      <w:r>
        <w:rPr>
          <w:rtl/>
        </w:rPr>
        <w:t xml:space="preserve"> </w:t>
      </w:r>
      <w:r>
        <w:rPr>
          <w:rFonts w:cs="Arial"/>
          <w:rtl/>
        </w:rPr>
        <w:t>(ו) מצאתי כתוב בהג"ה אלפסי החדשים (שלטי הגיבורים כט. אות א) ומותר לאשה נשואה לגלות פיאה נכרית שלה לא שנא אם היא עשויה משערותיה או משער חבירתה דאין שער באשה ערוה אלא דווקא שערותיה המדובקים בבשרה אבל לא בתלושין עשויות לכסות שערותיה האחרות אף על גב דעבדה לקישוט שתהא נראית בעלת שער:</w:t>
      </w:r>
    </w:p>
  </w:footnote>
  <w:footnote w:id="1156">
    <w:p w14:paraId="412DCF99" w14:textId="77777777" w:rsidR="004B2E7C" w:rsidRDefault="004B2E7C" w:rsidP="00285819">
      <w:pPr>
        <w:pStyle w:val="a7"/>
        <w:rPr>
          <w:rtl/>
        </w:rPr>
      </w:pPr>
      <w:r>
        <w:rPr>
          <w:rStyle w:val="a9"/>
        </w:rPr>
        <w:footnoteRef/>
      </w:r>
      <w:r>
        <w:rPr>
          <w:rtl/>
        </w:rPr>
        <w:t xml:space="preserve"> </w:t>
      </w:r>
      <w:r>
        <w:rPr>
          <w:rFonts w:cs="Arial"/>
          <w:rtl/>
        </w:rPr>
        <w:t>(ה) וכתב הכל בו (סי' לא, לג ע"ד) צריך עיון אם מותר ליתן קש במנעל לכתחלה בשבת:</w:t>
      </w:r>
    </w:p>
  </w:footnote>
  <w:footnote w:id="1157">
    <w:p w14:paraId="1581F2EE" w14:textId="77777777" w:rsidR="004B2E7C" w:rsidRDefault="004B2E7C" w:rsidP="00285819">
      <w:pPr>
        <w:pStyle w:val="a7"/>
      </w:pPr>
      <w:r>
        <w:rPr>
          <w:rStyle w:val="a9"/>
        </w:rPr>
        <w:footnoteRef/>
      </w:r>
      <w:r>
        <w:rPr>
          <w:rtl/>
        </w:rPr>
        <w:t xml:space="preserve"> </w:t>
      </w:r>
      <w:r>
        <w:rPr>
          <w:rFonts w:cs="Arial"/>
          <w:rtl/>
        </w:rPr>
        <w:t>(ז*) והמגיד משנה כתב שהרשב"א והרמב"ן חולקין ואוסרים אפילו בבית וכל שכן בחצר מעורבת וראוי לחוש לדבריהם:</w:t>
      </w:r>
    </w:p>
  </w:footnote>
  <w:footnote w:id="1158">
    <w:p w14:paraId="35515FD7" w14:textId="77777777" w:rsidR="004B2E7C" w:rsidRDefault="004B2E7C" w:rsidP="00285819">
      <w:pPr>
        <w:pStyle w:val="a7"/>
      </w:pPr>
      <w:r>
        <w:rPr>
          <w:rStyle w:val="a9"/>
        </w:rPr>
        <w:footnoteRef/>
      </w:r>
      <w:r>
        <w:rPr>
          <w:rtl/>
        </w:rPr>
        <w:t xml:space="preserve"> </w:t>
      </w:r>
      <w:r>
        <w:rPr>
          <w:rFonts w:cs="Arial"/>
          <w:rtl/>
        </w:rPr>
        <w:t>(ז) ונשי דידן נזהרין בהכי ולכן אם אחת רצתה להקל מוחין בידה:</w:t>
      </w:r>
    </w:p>
  </w:footnote>
  <w:footnote w:id="1159">
    <w:p w14:paraId="0DD68A9C" w14:textId="77777777" w:rsidR="004B2E7C" w:rsidRDefault="004B2E7C" w:rsidP="00285819">
      <w:pPr>
        <w:pStyle w:val="a7"/>
        <w:rPr>
          <w:rtl/>
        </w:rPr>
      </w:pPr>
      <w:r>
        <w:rPr>
          <w:rStyle w:val="a9"/>
        </w:rPr>
        <w:footnoteRef/>
      </w:r>
      <w:r>
        <w:rPr>
          <w:rtl/>
        </w:rPr>
        <w:t xml:space="preserve"> </w:t>
      </w:r>
      <w:r>
        <w:rPr>
          <w:rFonts w:cs="Arial"/>
          <w:rtl/>
        </w:rPr>
        <w:t>(א) וכתב המגיד משנה פרק י"ט דשבת (הי"ח) דיש אומרים דאפילו בשל טיט אל יצא אלא אם כן עשאו לו רבו אבל עשאו לעצמו אסור וכן יש להחמיר עכ"ל:</w:t>
      </w:r>
    </w:p>
  </w:footnote>
  <w:footnote w:id="1160">
    <w:p w14:paraId="7A902B6E" w14:textId="77777777" w:rsidR="004B2E7C" w:rsidRDefault="004B2E7C" w:rsidP="00285819">
      <w:pPr>
        <w:pStyle w:val="a7"/>
      </w:pPr>
      <w:r>
        <w:rPr>
          <w:rStyle w:val="a9"/>
        </w:rPr>
        <w:footnoteRef/>
      </w:r>
      <w:r>
        <w:rPr>
          <w:rtl/>
        </w:rPr>
        <w:t xml:space="preserve"> </w:t>
      </w:r>
      <w:r>
        <w:rPr>
          <w:rFonts w:cs="Arial"/>
          <w:rtl/>
        </w:rPr>
        <w:t>(א) ובמרדכי פרק במה בהמה (סי' שלד) מסתפק בדבר אבל מן הסוגיא בגמרא דף נ"ג (ע"א) ומפירוש רש"י שם נראה דנתינת אוכף אפילו על החמור אסור ולא שרינן אלא מרדעת על החמור וכדברי הסמ"ג ובית יוסף עיין שם:</w:t>
      </w:r>
    </w:p>
  </w:footnote>
  <w:footnote w:id="1161">
    <w:p w14:paraId="07DF13F9" w14:textId="77777777" w:rsidR="004B2E7C" w:rsidRDefault="004B2E7C" w:rsidP="00285819">
      <w:pPr>
        <w:pStyle w:val="a7"/>
      </w:pPr>
      <w:r>
        <w:rPr>
          <w:rStyle w:val="a9"/>
        </w:rPr>
        <w:footnoteRef/>
      </w:r>
      <w:r>
        <w:rPr>
          <w:rtl/>
        </w:rPr>
        <w:t xml:space="preserve"> </w:t>
      </w:r>
      <w:r>
        <w:rPr>
          <w:rFonts w:cs="Arial"/>
          <w:rtl/>
        </w:rPr>
        <w:t>(ג) ובמרדכי ריש פרק במה בהמה (סי' שלד) וכן משמע בגמרא. וכתב אור זרוע (ח"ב סי' פג אות טז) דשור דינו כפרה:</w:t>
      </w:r>
    </w:p>
  </w:footnote>
  <w:footnote w:id="1162">
    <w:p w14:paraId="140DF86C" w14:textId="77777777" w:rsidR="004B2E7C" w:rsidRDefault="004B2E7C" w:rsidP="00285819">
      <w:pPr>
        <w:pStyle w:val="a7"/>
      </w:pPr>
      <w:r>
        <w:rPr>
          <w:rStyle w:val="a9"/>
        </w:rPr>
        <w:footnoteRef/>
      </w:r>
      <w:r>
        <w:rPr>
          <w:rtl/>
        </w:rPr>
        <w:t xml:space="preserve"> </w:t>
      </w:r>
      <w:r>
        <w:rPr>
          <w:rFonts w:cs="Arial"/>
          <w:rtl/>
        </w:rPr>
        <w:t>(ב) במרדכי פרק במה בהמה (סי' שלה) דאסור לצאת אף בחצר בזוג כמו בהמה:</w:t>
      </w:r>
    </w:p>
  </w:footnote>
  <w:footnote w:id="1163">
    <w:p w14:paraId="77000D37" w14:textId="77777777" w:rsidR="004B2E7C" w:rsidRDefault="004B2E7C" w:rsidP="00285819">
      <w:pPr>
        <w:pStyle w:val="a7"/>
        <w:rPr>
          <w:rtl/>
        </w:rPr>
      </w:pPr>
      <w:r>
        <w:rPr>
          <w:rStyle w:val="a9"/>
        </w:rPr>
        <w:footnoteRef/>
      </w:r>
      <w:r>
        <w:rPr>
          <w:rtl/>
        </w:rPr>
        <w:t xml:space="preserve"> </w:t>
      </w:r>
      <w:r>
        <w:rPr>
          <w:rFonts w:cs="Arial"/>
          <w:rtl/>
        </w:rPr>
        <w:t>(ו) ועיין לקמן סימן של"ב ושכ"ד שאר דיני בהמה בשבת. ודין קירוד בהמה עיין לקמן סימן תקכ"ג בדיני יום טוב. וכתב המרדכי פרק ב' דביצה (סי' תרפד) דבשבת דינו כמו ביום טוב:</w:t>
      </w:r>
    </w:p>
  </w:footnote>
  <w:footnote w:id="1164">
    <w:p w14:paraId="5807E9D8" w14:textId="77777777" w:rsidR="004B2E7C" w:rsidRDefault="004B2E7C" w:rsidP="00285819">
      <w:pPr>
        <w:pStyle w:val="a7"/>
        <w:rPr>
          <w:rtl/>
        </w:rPr>
      </w:pPr>
      <w:r>
        <w:rPr>
          <w:rStyle w:val="a9"/>
        </w:rPr>
        <w:footnoteRef/>
      </w:r>
      <w:r>
        <w:rPr>
          <w:rtl/>
        </w:rPr>
        <w:t xml:space="preserve"> </w:t>
      </w:r>
      <w:r>
        <w:rPr>
          <w:rFonts w:cs="Arial"/>
          <w:rtl/>
        </w:rPr>
        <w:t>(ד) וכן הוא במרדכי פרק קמא דשבת (ע"ג) (סי' רנז) והאריך בזה בתשובה בהגהות עירובין (דף רנ"ז ע"ב) (סי' תקכח):</w:t>
      </w:r>
    </w:p>
  </w:footnote>
  <w:footnote w:id="1165">
    <w:p w14:paraId="42A2EED7" w14:textId="77777777" w:rsidR="004B2E7C" w:rsidRDefault="004B2E7C" w:rsidP="00285819">
      <w:pPr>
        <w:pStyle w:val="a7"/>
      </w:pPr>
      <w:r>
        <w:rPr>
          <w:rStyle w:val="a9"/>
        </w:rPr>
        <w:footnoteRef/>
      </w:r>
      <w:r>
        <w:rPr>
          <w:rtl/>
        </w:rPr>
        <w:t xml:space="preserve"> </w:t>
      </w:r>
      <w:r>
        <w:rPr>
          <w:rFonts w:cs="Arial"/>
          <w:rtl/>
        </w:rPr>
        <w:t>(ד*) ובמרדכי סוף פרק אלו מציאות (סי' רסג) ובהגהות שם (דף קפ"ב ע"א):</w:t>
      </w:r>
    </w:p>
  </w:footnote>
  <w:footnote w:id="1166">
    <w:p w14:paraId="7FB1931B" w14:textId="77777777" w:rsidR="004B2E7C" w:rsidRDefault="004B2E7C" w:rsidP="00285819">
      <w:pPr>
        <w:pStyle w:val="a7"/>
        <w:rPr>
          <w:rtl/>
        </w:rPr>
      </w:pPr>
      <w:r>
        <w:rPr>
          <w:rStyle w:val="a9"/>
        </w:rPr>
        <w:footnoteRef/>
      </w:r>
      <w:r>
        <w:rPr>
          <w:rtl/>
        </w:rPr>
        <w:t xml:space="preserve"> </w:t>
      </w:r>
      <w:r>
        <w:rPr>
          <w:rFonts w:cs="Arial"/>
          <w:rtl/>
        </w:rPr>
        <w:t>(ד**) ועיין לקמן סוף סימן ש"ז מדין זה (ב"י ד"ה מצאתי בתשובת ובד"מ הארוך):</w:t>
      </w:r>
    </w:p>
  </w:footnote>
  <w:footnote w:id="1167">
    <w:p w14:paraId="5A656D51" w14:textId="77777777" w:rsidR="004B2E7C" w:rsidRDefault="004B2E7C" w:rsidP="00285819">
      <w:pPr>
        <w:pStyle w:val="a7"/>
        <w:rPr>
          <w:rtl/>
        </w:rPr>
      </w:pPr>
      <w:r>
        <w:rPr>
          <w:rStyle w:val="a9"/>
        </w:rPr>
        <w:footnoteRef/>
      </w:r>
      <w:r>
        <w:rPr>
          <w:rtl/>
        </w:rPr>
        <w:t xml:space="preserve"> </w:t>
      </w:r>
      <w:r>
        <w:rPr>
          <w:rFonts w:cs="Arial"/>
          <w:rtl/>
        </w:rPr>
        <w:t>(ה) אף על פי שיודעים שיוציאנה חוץ לתחום דכל דבר שהוא מדרבנן מותר להניח בהמתו לעשותו עכ"ל. ומשמע למאן דאמר דתחומין דאורייתא (סוטה כז ב, ל ב) אסור למסרה לו (הגהה. תימה דבהדיא כתב שם דאפילו למאן דאמר דתחומין מדאורייתא מותר כיון דאין בו סקילה עיין שם) ועיין לקמן סימן שצ"ז:</w:t>
      </w:r>
    </w:p>
  </w:footnote>
  <w:footnote w:id="1168">
    <w:p w14:paraId="001F95AB" w14:textId="77777777" w:rsidR="004B2E7C" w:rsidRDefault="004B2E7C" w:rsidP="00285819">
      <w:pPr>
        <w:pStyle w:val="a7"/>
        <w:rPr>
          <w:rtl/>
        </w:rPr>
      </w:pPr>
      <w:r>
        <w:rPr>
          <w:rStyle w:val="a9"/>
        </w:rPr>
        <w:footnoteRef/>
      </w:r>
      <w:r>
        <w:rPr>
          <w:rtl/>
        </w:rPr>
        <w:t xml:space="preserve"> </w:t>
      </w:r>
      <w:r>
        <w:rPr>
          <w:rFonts w:cs="Arial"/>
          <w:rtl/>
        </w:rPr>
        <w:t>(א*) כתב בית יוסף וכן דעת המגיד משנה ופירש שכן דעת הרמב"ם אבל הר"ן פירש דברי הרמב"ם דאי נקיט בה' דנקי והשתא נקט חד דנקא דלא לימא ליה מלא לי דינר ודוקא זהו אסור אבל לזכור לו סכום הדמים שרי וכן דעת רש"י והרמב"ן עכ"ל:</w:t>
      </w:r>
    </w:p>
  </w:footnote>
  <w:footnote w:id="1169">
    <w:p w14:paraId="56BD8169" w14:textId="77777777" w:rsidR="004B2E7C" w:rsidRDefault="004B2E7C" w:rsidP="00285819">
      <w:pPr>
        <w:pStyle w:val="a7"/>
      </w:pPr>
      <w:r>
        <w:rPr>
          <w:rStyle w:val="a9"/>
        </w:rPr>
        <w:footnoteRef/>
      </w:r>
      <w:r>
        <w:rPr>
          <w:rtl/>
        </w:rPr>
        <w:t xml:space="preserve"> </w:t>
      </w:r>
      <w:r>
        <w:rPr>
          <w:rFonts w:cs="Arial"/>
          <w:rtl/>
        </w:rPr>
        <w:t>(א) וכן משמע ממה שכתב הטור בסמוך בשם מוהר"ם כדברי הר"ן:</w:t>
      </w:r>
    </w:p>
  </w:footnote>
  <w:footnote w:id="1170">
    <w:p w14:paraId="3F1A6D24" w14:textId="77777777" w:rsidR="004B2E7C" w:rsidRDefault="004B2E7C" w:rsidP="00285819">
      <w:pPr>
        <w:pStyle w:val="a7"/>
      </w:pPr>
      <w:r>
        <w:rPr>
          <w:rStyle w:val="a9"/>
        </w:rPr>
        <w:footnoteRef/>
      </w:r>
      <w:r>
        <w:rPr>
          <w:rtl/>
        </w:rPr>
        <w:t xml:space="preserve"> </w:t>
      </w:r>
      <w:r>
        <w:rPr>
          <w:rFonts w:cs="Arial"/>
          <w:rtl/>
        </w:rPr>
        <w:t>(ב) ופשיטא דבחזנים שלנו ששוכרים אותם לשנה אין איסור בדבר. כתב הר"ן סוף פרק אף על פי (עי' כתובות כח. דיבור ראשון) אם שכרו לחדש אם התנה עמו שישלם לו לפי חשבון הימים מיקרי שכיר יום והוי שכר שבת שהרי יכול לחזור באמצע החדש ולכן לא מיקרי שכיר חדש:</w:t>
      </w:r>
    </w:p>
  </w:footnote>
  <w:footnote w:id="1171">
    <w:p w14:paraId="73D9D7B1" w14:textId="77777777" w:rsidR="004B2E7C" w:rsidRDefault="004B2E7C" w:rsidP="00285819">
      <w:pPr>
        <w:pStyle w:val="a7"/>
        <w:rPr>
          <w:rtl/>
        </w:rPr>
      </w:pPr>
      <w:r>
        <w:rPr>
          <w:rStyle w:val="a9"/>
        </w:rPr>
        <w:footnoteRef/>
      </w:r>
      <w:r>
        <w:rPr>
          <w:rtl/>
        </w:rPr>
        <w:t xml:space="preserve"> </w:t>
      </w:r>
      <w:r>
        <w:rPr>
          <w:rFonts w:cs="Arial"/>
          <w:rtl/>
        </w:rPr>
        <w:t>(ג) וכתב אור זרוע (ח"ב סי' נ) במקום שנוהגין שנותנים לקורא מי שבירך ונודר דבר מה לצדקה או לחזן ראבי"ה אוסר דה"ל כאלו מקדיש בשבת אבל לי נראה דשרי דהואיל ואינו אומר בפירוש מה שנודר רק אומר תברכני לא מיקרי נודר אף על גב דמהרהר מה שירצה ליתן. והמנהג להקל בכל ענין דהא מותר לפסוק צדקה:</w:t>
      </w:r>
    </w:p>
  </w:footnote>
  <w:footnote w:id="1172">
    <w:p w14:paraId="0734846F" w14:textId="77777777" w:rsidR="004B2E7C" w:rsidRDefault="004B2E7C" w:rsidP="00285819">
      <w:pPr>
        <w:pStyle w:val="a7"/>
      </w:pPr>
      <w:r>
        <w:rPr>
          <w:rStyle w:val="a9"/>
        </w:rPr>
        <w:footnoteRef/>
      </w:r>
      <w:r>
        <w:rPr>
          <w:rtl/>
        </w:rPr>
        <w:t xml:space="preserve"> </w:t>
      </w:r>
      <w:r>
        <w:rPr>
          <w:rFonts w:cs="Arial"/>
          <w:rtl/>
        </w:rPr>
        <w:t>(ד) ועיין לקמן סימן שכ"ה (ד"מ אות א) דהמרדכי (ביצה סי' תרסז) אוסר אם לא במקום הדחק וע"י גוי:</w:t>
      </w:r>
    </w:p>
  </w:footnote>
  <w:footnote w:id="1173">
    <w:p w14:paraId="04C955CB" w14:textId="77777777" w:rsidR="004B2E7C" w:rsidRDefault="004B2E7C" w:rsidP="00285819">
      <w:pPr>
        <w:pStyle w:val="a7"/>
        <w:rPr>
          <w:rtl/>
        </w:rPr>
      </w:pPr>
      <w:r>
        <w:rPr>
          <w:rStyle w:val="a9"/>
        </w:rPr>
        <w:footnoteRef/>
      </w:r>
      <w:r>
        <w:rPr>
          <w:rtl/>
        </w:rPr>
        <w:t xml:space="preserve"> </w:t>
      </w:r>
      <w:r>
        <w:rPr>
          <w:rFonts w:cs="Arial"/>
          <w:rtl/>
        </w:rPr>
        <w:t>(ה) וכתב אור זרוע (ח"ב סי' עו וסי' פה) דלא שרי אלא כשכותבים בכתיבה של גוים דאינה אסורה אלא מדרבנן אבל בכתיבה שלנו שהיא דאורייתא אסור:</w:t>
      </w:r>
    </w:p>
  </w:footnote>
  <w:footnote w:id="1174">
    <w:p w14:paraId="3AECFA74" w14:textId="77777777" w:rsidR="004B2E7C" w:rsidRDefault="004B2E7C" w:rsidP="00285819">
      <w:pPr>
        <w:pStyle w:val="a7"/>
        <w:rPr>
          <w:rtl/>
        </w:rPr>
      </w:pPr>
      <w:r>
        <w:rPr>
          <w:rStyle w:val="a9"/>
        </w:rPr>
        <w:footnoteRef/>
      </w:r>
      <w:r>
        <w:rPr>
          <w:rtl/>
        </w:rPr>
        <w:t xml:space="preserve"> </w:t>
      </w:r>
      <w:r>
        <w:rPr>
          <w:rFonts w:cs="Arial"/>
          <w:rtl/>
        </w:rPr>
        <w:t>(ה*) [וכן] כתב האגור (סי' תקט) בשם הרשב"א:</w:t>
      </w:r>
    </w:p>
  </w:footnote>
  <w:footnote w:id="1175">
    <w:p w14:paraId="30510657" w14:textId="77777777" w:rsidR="004B2E7C" w:rsidRDefault="004B2E7C" w:rsidP="00285819">
      <w:pPr>
        <w:pStyle w:val="a7"/>
        <w:rPr>
          <w:rtl/>
        </w:rPr>
      </w:pPr>
      <w:r>
        <w:rPr>
          <w:rStyle w:val="a9"/>
        </w:rPr>
        <w:footnoteRef/>
      </w:r>
      <w:r>
        <w:rPr>
          <w:rtl/>
        </w:rPr>
        <w:t xml:space="preserve"> </w:t>
      </w:r>
      <w:r>
        <w:rPr>
          <w:rFonts w:cs="Arial"/>
          <w:rtl/>
        </w:rPr>
        <w:t>(ו) ובמהרי"ל (דף ל"ה ע"ב) (מנהגים הל' שבת אות ח) אוסר להכריז היין בשבת דהוי כמקח וממכר עכ"ל. ובאגור (סי' תרמט) כתב בשם הרשב"א (שו"ת ח"ד סי' רצו, ח"ז סי' תמז) דמותר להתיר חרמים של קהל בשבת ואף על פי שאין בו צורך שבת הואיל והוא כנופיא לרבים ולא מתקבצים אלא בשבת עכ"ל. והמגיד משנה פרק כ"ג (הי"ד) כתב שאסורים צבור להחרים שום דבר בשבת אלא אם כן הוא צורך שבת:</w:t>
      </w:r>
    </w:p>
  </w:footnote>
  <w:footnote w:id="1176">
    <w:p w14:paraId="2F6CF50C" w14:textId="77777777" w:rsidR="004B2E7C" w:rsidRDefault="004B2E7C" w:rsidP="00285819">
      <w:pPr>
        <w:pStyle w:val="a7"/>
      </w:pPr>
      <w:r>
        <w:rPr>
          <w:rStyle w:val="a9"/>
        </w:rPr>
        <w:footnoteRef/>
      </w:r>
      <w:r>
        <w:rPr>
          <w:rtl/>
        </w:rPr>
        <w:t xml:space="preserve"> </w:t>
      </w:r>
      <w:r>
        <w:rPr>
          <w:rFonts w:cs="Arial"/>
          <w:rtl/>
        </w:rPr>
        <w:t>(ז) כתב באור זרוע (ח"ב סי' פה) כשם שאסור אמירה לגוי כך אסור רמיזה לגוי ודוקא לענין שיעשה לו מלאכה בשבת אבל שיעשה לו מלאכה אחר השבת מותר על ידי רמיזה:</w:t>
      </w:r>
    </w:p>
  </w:footnote>
  <w:footnote w:id="1177">
    <w:p w14:paraId="0201A51B" w14:textId="77777777" w:rsidR="004B2E7C" w:rsidRDefault="004B2E7C" w:rsidP="00285819">
      <w:pPr>
        <w:pStyle w:val="a7"/>
      </w:pPr>
      <w:r>
        <w:rPr>
          <w:rStyle w:val="a9"/>
        </w:rPr>
        <w:footnoteRef/>
      </w:r>
      <w:r>
        <w:rPr>
          <w:rtl/>
        </w:rPr>
        <w:t xml:space="preserve"> </w:t>
      </w:r>
      <w:r>
        <w:rPr>
          <w:rFonts w:cs="Arial"/>
          <w:rtl/>
        </w:rPr>
        <w:t>(ח) דין אם מותר לחלל שבת כדי להציל אדם מעבירה כתבו בית יוסף כאן ושייך לקמן סימן שכ"ח עיין שם (אות י) שכתבתיו:</w:t>
      </w:r>
    </w:p>
  </w:footnote>
  <w:footnote w:id="1178">
    <w:p w14:paraId="1427A4D3" w14:textId="77777777" w:rsidR="004B2E7C" w:rsidRDefault="004B2E7C" w:rsidP="00285819">
      <w:pPr>
        <w:pStyle w:val="a7"/>
      </w:pPr>
      <w:r>
        <w:rPr>
          <w:rStyle w:val="a9"/>
        </w:rPr>
        <w:footnoteRef/>
      </w:r>
      <w:r>
        <w:rPr>
          <w:rtl/>
        </w:rPr>
        <w:t xml:space="preserve"> </w:t>
      </w:r>
      <w:r>
        <w:rPr>
          <w:rFonts w:asciiTheme="minorBidi" w:hAnsiTheme="minorBidi" w:cs="Arial"/>
          <w:rtl/>
        </w:rPr>
        <w:t>ודוקא אם הוא דבר שאסור לעשותו בשבת ואפילו אם הוא רק איסור דרבנן, משנ"ב (סק"א).</w:t>
      </w:r>
    </w:p>
  </w:footnote>
  <w:footnote w:id="1179">
    <w:p w14:paraId="4FEAE5FB" w14:textId="77777777" w:rsidR="004B2E7C" w:rsidRDefault="004B2E7C" w:rsidP="00285819">
      <w:pPr>
        <w:pStyle w:val="a7"/>
      </w:pPr>
      <w:r>
        <w:rPr>
          <w:rStyle w:val="a9"/>
        </w:rPr>
        <w:footnoteRef/>
      </w:r>
      <w:r>
        <w:rPr>
          <w:rtl/>
        </w:rPr>
        <w:t xml:space="preserve"> </w:t>
      </w:r>
      <w:r>
        <w:rPr>
          <w:rFonts w:cs="Arial"/>
          <w:rtl/>
        </w:rPr>
        <w:t>היינו שאין בהם זכר לעשיית מלאכה ולעסקים כלל וגם אין בהם דברי גנאי וקלות ראש דאל"ה אפילו מעט אסור, משנ"ב (סק"ב).</w:t>
      </w:r>
    </w:p>
  </w:footnote>
  <w:footnote w:id="1180">
    <w:p w14:paraId="0185A8ED" w14:textId="77777777" w:rsidR="004B2E7C" w:rsidRDefault="004B2E7C" w:rsidP="00285819">
      <w:pPr>
        <w:pStyle w:val="a7"/>
      </w:pPr>
      <w:r>
        <w:rPr>
          <w:rStyle w:val="a9"/>
        </w:rPr>
        <w:footnoteRef/>
      </w:r>
      <w:r>
        <w:rPr>
          <w:rtl/>
        </w:rPr>
        <w:t xml:space="preserve"> </w:t>
      </w:r>
      <w:r>
        <w:rPr>
          <w:rFonts w:cs="Arial"/>
          <w:rtl/>
        </w:rPr>
        <w:t>ואסור לספר בשבת איזה דבר שמצטער בו</w:t>
      </w:r>
      <w:r>
        <w:rPr>
          <w:rtl/>
        </w:rPr>
        <w:t>, משנ"ב (סק"ג).</w:t>
      </w:r>
    </w:p>
  </w:footnote>
  <w:footnote w:id="1181">
    <w:p w14:paraId="7FAE3E4C" w14:textId="77777777" w:rsidR="004B2E7C" w:rsidRDefault="004B2E7C" w:rsidP="00285819">
      <w:pPr>
        <w:pStyle w:val="a7"/>
        <w:rPr>
          <w:rtl/>
        </w:rPr>
      </w:pPr>
      <w:r>
        <w:rPr>
          <w:rStyle w:val="a9"/>
        </w:rPr>
        <w:footnoteRef/>
      </w:r>
      <w:r>
        <w:rPr>
          <w:rtl/>
        </w:rPr>
        <w:t xml:space="preserve"> </w:t>
      </w:r>
      <w:r>
        <w:rPr>
          <w:rFonts w:cs="Arial"/>
          <w:rtl/>
        </w:rPr>
        <w:t>ומ"מ יזהר מלהמשיך הרבה בזה דאף בדבר שהוא עונג גמור כמו אכילה ושתיה ושינה מבואר בסימן ר"צ ובב"י בסימן רפ"ח דאין להמשיך הרבה דלאלו שאינם עוסקים בתורה בימות החול ניתן שבת עיקרו לד"ת ואפילו לת"ח היגעים בתורה כל ימות השבוע ג"כ איתא באחרונים שלא ירבו בו יותר מדאי משום בטול תורה</w:t>
      </w:r>
      <w:r>
        <w:rPr>
          <w:rtl/>
        </w:rPr>
        <w:t>, משנ"ב (סק"ד).</w:t>
      </w:r>
    </w:p>
  </w:footnote>
  <w:footnote w:id="1182">
    <w:p w14:paraId="5A98DE46" w14:textId="77777777" w:rsidR="004B2E7C" w:rsidRDefault="004B2E7C" w:rsidP="00285819">
      <w:pPr>
        <w:pStyle w:val="a7"/>
        <w:rPr>
          <w:rtl/>
        </w:rPr>
      </w:pPr>
      <w:r>
        <w:rPr>
          <w:rStyle w:val="a9"/>
        </w:rPr>
        <w:footnoteRef/>
      </w:r>
      <w:r>
        <w:rPr>
          <w:rtl/>
        </w:rPr>
        <w:t xml:space="preserve"> </w:t>
      </w:r>
      <w:r>
        <w:rPr>
          <w:rFonts w:asciiTheme="minorBidi" w:hAnsiTheme="minorBidi" w:cs="Arial"/>
          <w:rtl/>
        </w:rPr>
        <w:t>וכתב המשנ"ב (סק"א) דמ"מ נכון לכתחלה להחמיר כשאין צורך לזה בדבורו היום (עיין בתו"ש) ואם מתיירא שיתרשל בדבר אז לכו"ע שרי לזרוזי נפשיה דאמירה לגבוה הוי כנדר (שם בתו"ש).</w:t>
      </w:r>
    </w:p>
  </w:footnote>
  <w:footnote w:id="1183">
    <w:p w14:paraId="359401C4" w14:textId="77777777" w:rsidR="004B2E7C" w:rsidRDefault="004B2E7C" w:rsidP="00285819">
      <w:pPr>
        <w:pStyle w:val="a7"/>
      </w:pPr>
      <w:r>
        <w:rPr>
          <w:rStyle w:val="a9"/>
        </w:rPr>
        <w:footnoteRef/>
      </w:r>
      <w:r>
        <w:rPr>
          <w:rtl/>
        </w:rPr>
        <w:t xml:space="preserve"> </w:t>
      </w:r>
      <w:r>
        <w:rPr>
          <w:rFonts w:hint="cs"/>
          <w:rtl/>
        </w:rPr>
        <w:t xml:space="preserve">וכ' עוד המשנ"ב- </w:t>
      </w:r>
      <w:r>
        <w:rPr>
          <w:rFonts w:asciiTheme="minorBidi" w:hAnsiTheme="minorBidi" w:cs="Arial"/>
          <w:rtl/>
        </w:rPr>
        <w:t>גוי שהיה תפוס אצל השופט בשביל יהודי שהיה חייב לו יוכל לומר להשופט שיקבל ערבות מהגוי ויניח התפוס אבל לא יאמר לו שיכתוב בערכאות [אחרונים]. כתב בא"ר (סי' רמד) אם גוי חייב לו וירא שמא יסע בשבת יכול להתראות אליו כדי שיתן בשבילו לחבירו הגוי. ואסור לעכב נכסי ראובן ביד שמעון בשבת [אחרונים].</w:t>
      </w:r>
    </w:p>
  </w:footnote>
  <w:footnote w:id="1184">
    <w:p w14:paraId="0A1489FB" w14:textId="77777777" w:rsidR="004B2E7C" w:rsidRDefault="004B2E7C" w:rsidP="00285819">
      <w:pPr>
        <w:pStyle w:val="a7"/>
        <w:rPr>
          <w:rtl/>
        </w:rPr>
      </w:pPr>
      <w:r>
        <w:rPr>
          <w:rStyle w:val="a9"/>
        </w:rPr>
        <w:footnoteRef/>
      </w:r>
      <w:r>
        <w:rPr>
          <w:rtl/>
        </w:rPr>
        <w:t xml:space="preserve"> </w:t>
      </w:r>
      <w:r>
        <w:rPr>
          <w:rFonts w:asciiTheme="minorBidi" w:hAnsiTheme="minorBidi"/>
          <w:rtl/>
        </w:rPr>
        <w:t>שכל מה שהוא אסור לעשותו אסור לומר לגוי לעשותו, טור.</w:t>
      </w:r>
    </w:p>
  </w:footnote>
  <w:footnote w:id="1185">
    <w:p w14:paraId="50FE2A7D" w14:textId="77777777" w:rsidR="004B2E7C" w:rsidRDefault="004B2E7C" w:rsidP="00285819">
      <w:pPr>
        <w:pStyle w:val="a7"/>
      </w:pPr>
      <w:r>
        <w:rPr>
          <w:rStyle w:val="a9"/>
        </w:rPr>
        <w:footnoteRef/>
      </w:r>
      <w:r>
        <w:rPr>
          <w:rtl/>
        </w:rPr>
        <w:t xml:space="preserve"> </w:t>
      </w:r>
      <w:r>
        <w:rPr>
          <w:rFonts w:asciiTheme="minorBidi" w:hAnsiTheme="minorBidi" w:cs="Arial"/>
          <w:rtl/>
        </w:rPr>
        <w:t>ואע"פ שהרא"ש דחה ראייתו מ"מ בעיקר דינא אפשר דמודה ליה, ולזה כתוב דין זה ברמזים (ב"מ שם) סתם לאיסורא. וגם בנמוק"י בפרק הנזכר (ב"מ נג. דבור ראשון) כתב בשם הרשב"א כדברי רב סעדיה ושהר"ן (חי' ב"מ צ. ד"ה ולענין) דחה ראיה זו כעין שדחאה הרא"ש והביא ראיה אחרת לאסור מדאיצטריך היתרא למי שהחשיך לו בדרך ליתן כיסו לנכרי לפי שאין אדם מעמיד עצמו על ממונו (שבת קנג.) הא בלאו הכי אסור, וכן פוסק הר"ן בהדיא בפרק שואל (סד: ד"ה תנו)... וכ"פ הרא"ש בהדיא בפ"ק דשבת (סי' לו) גבי אין משלחין אגרות ביד גוי (שבת יט.)</w:t>
      </w:r>
      <w:r>
        <w:rPr>
          <w:rtl/>
        </w:rPr>
        <w:t>, ב"י.</w:t>
      </w:r>
    </w:p>
  </w:footnote>
  <w:footnote w:id="1186">
    <w:p w14:paraId="41B0E21D" w14:textId="77777777" w:rsidR="004B2E7C" w:rsidRDefault="004B2E7C" w:rsidP="00285819">
      <w:pPr>
        <w:pStyle w:val="a7"/>
        <w:rPr>
          <w:rtl/>
        </w:rPr>
      </w:pPr>
      <w:r>
        <w:rPr>
          <w:rStyle w:val="a9"/>
        </w:rPr>
        <w:footnoteRef/>
      </w:r>
      <w:r>
        <w:rPr>
          <w:rtl/>
        </w:rPr>
        <w:t xml:space="preserve"> </w:t>
      </w:r>
      <w:r>
        <w:rPr>
          <w:rFonts w:cs="Arial"/>
          <w:rtl/>
        </w:rPr>
        <w:t>וה"ה כל דבר שאסור לישראל לעשות מצד הדין אסור לומר לגוי לעשותו אבל בדבר שאינו אלא מנהג וחומרא בעלמא שרי לומר לגוי לעשותו, משנ"ב (סק"ח).</w:t>
      </w:r>
      <w:r>
        <w:rPr>
          <w:rtl/>
        </w:rPr>
        <w:t xml:space="preserve"> </w:t>
      </w:r>
      <w:r>
        <w:rPr>
          <w:rFonts w:cs="Arial"/>
          <w:rtl/>
        </w:rPr>
        <w:t>וכתב עוד (סק"ט) דאפילו אם יאמר לגוי שישכור לו פועלים אחר השבת ג"כ אסור [ח"א].</w:t>
      </w:r>
    </w:p>
  </w:footnote>
  <w:footnote w:id="1187">
    <w:p w14:paraId="39DF512C" w14:textId="77777777" w:rsidR="004B2E7C" w:rsidRDefault="004B2E7C" w:rsidP="00285819">
      <w:pPr>
        <w:pStyle w:val="a7"/>
      </w:pPr>
      <w:r>
        <w:rPr>
          <w:rStyle w:val="a9"/>
        </w:rPr>
        <w:footnoteRef/>
      </w:r>
      <w:r>
        <w:rPr>
          <w:rtl/>
        </w:rPr>
        <w:t xml:space="preserve"> </w:t>
      </w:r>
      <w:r>
        <w:rPr>
          <w:rFonts w:cs="Arial"/>
          <w:rtl/>
        </w:rPr>
        <w:t>ר"ל אפ"ה מותר כיון שאינו אומר לו בפירוש רק דרך רמז ולא דמי למה שכתב הרמ"א בהג"ה בסכ"ב דאפילו דרך רמז לעשות בשבת אסור התם כשמרמז לו בשבת גופא ע"ז חמיר טפי</w:t>
      </w:r>
      <w:r>
        <w:rPr>
          <w:rtl/>
        </w:rPr>
        <w:t xml:space="preserve">, משנ"ב (סק"י). </w:t>
      </w:r>
      <w:r>
        <w:rPr>
          <w:rFonts w:cs="Arial"/>
          <w:rtl/>
        </w:rPr>
        <w:t>ומ"מ לא יהנה הישראל מאותה מלאכה עד אחר השבת כדין גוי שעשה מלאכה לצורך ישראל, א"נ מיירי בדבר שאין גוף הישראל נהנה ממנו כגון שכבר יש נר ואש והגוי מוסיף דאל"כ הא אפילו אם הגוי הדליקה מעצמו אסור לישראל ליהנות ממנו [אחרונים], משנ"ב (סקי"א).</w:t>
      </w:r>
    </w:p>
  </w:footnote>
  <w:footnote w:id="1188">
    <w:p w14:paraId="4739C845" w14:textId="77777777" w:rsidR="004B2E7C" w:rsidRDefault="004B2E7C" w:rsidP="00285819">
      <w:pPr>
        <w:pStyle w:val="a7"/>
        <w:rPr>
          <w:rFonts w:cs="Arial"/>
          <w:rtl/>
        </w:rPr>
      </w:pPr>
      <w:r>
        <w:rPr>
          <w:rStyle w:val="a9"/>
        </w:rPr>
        <w:footnoteRef/>
      </w:r>
      <w:r>
        <w:rPr>
          <w:rtl/>
        </w:rPr>
        <w:t xml:space="preserve"> </w:t>
      </w:r>
      <w:r>
        <w:rPr>
          <w:rFonts w:cs="Arial"/>
          <w:rtl/>
        </w:rPr>
        <w:t xml:space="preserve">כדאשכחן גבי חמץ ישראל וגוי שהיו באים בספינה, וכ"כ בהגה"מ פ"ו </w:t>
      </w:r>
      <w:r>
        <w:rPr>
          <w:rFonts w:cs="Arial"/>
          <w:sz w:val="16"/>
          <w:szCs w:val="16"/>
          <w:rtl/>
        </w:rPr>
        <w:t>(אות ב)</w:t>
      </w:r>
      <w:r>
        <w:rPr>
          <w:rFonts w:cs="Arial"/>
          <w:rtl/>
        </w:rPr>
        <w:t xml:space="preserve">, וכתבו הגה"מ </w:t>
      </w:r>
      <w:r>
        <w:rPr>
          <w:rFonts w:cs="Arial"/>
          <w:sz w:val="16"/>
          <w:szCs w:val="16"/>
          <w:rtl/>
        </w:rPr>
        <w:t xml:space="preserve">(שם) </w:t>
      </w:r>
      <w:r>
        <w:rPr>
          <w:rFonts w:cs="Arial"/>
          <w:rtl/>
        </w:rPr>
        <w:t xml:space="preserve">ולא דמו לכל הנהו דשרו בית הלל עם השמש </w:t>
      </w:r>
      <w:r>
        <w:rPr>
          <w:rFonts w:cs="Arial"/>
          <w:sz w:val="16"/>
          <w:szCs w:val="16"/>
          <w:rtl/>
        </w:rPr>
        <w:t xml:space="preserve">(יז:) </w:t>
      </w:r>
      <w:r>
        <w:rPr>
          <w:rFonts w:cs="Arial"/>
          <w:rtl/>
        </w:rPr>
        <w:t>דכולהו אי בעי עביד מחר אי בעי ימתין ונמצא דגוי אדעתא דנפשיה קא עביד אבל הכא א"א כי אם למחר ביום השוק, עכ"ל ההגמ"ר. וכ' הב"י - ונ"ל דיום השוק לאו דוקא אלא אורחא דמילתא נקט וה"ה דאפילו אינו יום השוק כיון שהוא אומר לקנות לו בשבת אסור, וזהו עיקר החילוק דבהנך אינו אומר לו שיעשה בשבת. עכ"ל. והבין המג"א (סק"ג) מדברי הב"י שכוונתו לומר שעיקר החילוק הוא אם אומר לגוי לקנות בשבת או לא, וחלק עליו, וכתב שאם אומר לו לקנות בשבת אז אפי' כל השבוע אסור ליתן לו, אלא משמע בהדיא מדברי ההגה"מ דאפי' אינו אומר לו לקנות בשבת אסור כיון דא"א לקנות כ"א בשבת.</w:t>
      </w:r>
      <w:r>
        <w:rPr>
          <w:rtl/>
        </w:rPr>
        <w:t xml:space="preserve"> עכ"ל. וכן </w:t>
      </w:r>
      <w:r>
        <w:rPr>
          <w:rFonts w:cs="Arial"/>
          <w:rtl/>
        </w:rPr>
        <w:t>הסכימו הט"ז (סק"ג) עולת תמיד (סק"א) וא"ר (סק"ט). ובספר מנחת כהן (משמרת הבית מאמר שער א פ"ד) פסק כב"י, אם לא שאומר לקנות ביום השוק דהוי כאומר לקנות בשבת.</w:t>
      </w:r>
    </w:p>
  </w:footnote>
  <w:footnote w:id="1189">
    <w:p w14:paraId="0EC4DD41" w14:textId="77777777" w:rsidR="004B2E7C" w:rsidRDefault="004B2E7C" w:rsidP="00285819">
      <w:pPr>
        <w:pStyle w:val="a7"/>
      </w:pPr>
      <w:r>
        <w:rPr>
          <w:rStyle w:val="a9"/>
        </w:rPr>
        <w:footnoteRef/>
      </w:r>
      <w:r>
        <w:rPr>
          <w:rtl/>
        </w:rPr>
        <w:t xml:space="preserve"> </w:t>
      </w:r>
      <w:r>
        <w:rPr>
          <w:rFonts w:cs="Arial"/>
          <w:rtl/>
        </w:rPr>
        <w:t>וה"ה כשיום השוק בשבת אסור ליתן לו דבר למכור, וכ"כ בס' מנחת כהן, וכתב דבד' וה' מותר כמ"ש סי' רמז ורנב, וכ' בספר חסידים (סי' רסב) אל ידור אדם בעיר שיום השוק בשבת כי א"א שלא יחטא ואם השוק אינו בשכונת היהודים שרי (כנה"ג).</w:t>
      </w:r>
    </w:p>
  </w:footnote>
  <w:footnote w:id="1190">
    <w:p w14:paraId="3168C674" w14:textId="77777777" w:rsidR="004B2E7C" w:rsidRDefault="004B2E7C" w:rsidP="00285819">
      <w:pPr>
        <w:pStyle w:val="a7"/>
      </w:pPr>
      <w:r>
        <w:rPr>
          <w:rStyle w:val="a9"/>
        </w:rPr>
        <w:footnoteRef/>
      </w:r>
      <w:r>
        <w:rPr>
          <w:rtl/>
        </w:rPr>
        <w:t xml:space="preserve"> </w:t>
      </w:r>
      <w:r>
        <w:rPr>
          <w:rFonts w:cs="Arial"/>
          <w:rtl/>
        </w:rPr>
        <w:t>וה"ה דאפילו מתחלת השבוע אסור כיון שייחד לו על שבת וכנ"ל בס"ב ואפילו קצץ לא מהני בזה אלא נקט מע"ש משום סיפא דאם אומר לו קנה לעצמך אפילו מע"ש מותר, משנ"ב (סקי"ב).</w:t>
      </w:r>
    </w:p>
  </w:footnote>
  <w:footnote w:id="1191">
    <w:p w14:paraId="1B9220B1" w14:textId="77777777" w:rsidR="004B2E7C" w:rsidRDefault="004B2E7C" w:rsidP="00285819">
      <w:pPr>
        <w:pStyle w:val="a7"/>
      </w:pPr>
      <w:r>
        <w:rPr>
          <w:rStyle w:val="a9"/>
        </w:rPr>
        <w:footnoteRef/>
      </w:r>
      <w:r>
        <w:rPr>
          <w:rtl/>
        </w:rPr>
        <w:t xml:space="preserve"> </w:t>
      </w:r>
      <w:r>
        <w:rPr>
          <w:rFonts w:cs="Arial"/>
          <w:rtl/>
        </w:rPr>
        <w:t>מקור דין זה נלמד מהא דלקמן סימן תמ"ח ס"ד לגבי חמץ ועיין בב"ח ובא"ר שמצדדים שם דאפילו אם מבטיחו שיקנה ממנו אח"כ ג"כ מותר כיון דעכשיו קונה לעצמו</w:t>
      </w:r>
      <w:r>
        <w:rPr>
          <w:rtl/>
        </w:rPr>
        <w:t>, משנ"ב (סקי"ג).</w:t>
      </w:r>
    </w:p>
  </w:footnote>
  <w:footnote w:id="1192">
    <w:p w14:paraId="4FFCE3E4" w14:textId="77777777" w:rsidR="004B2E7C" w:rsidRDefault="004B2E7C" w:rsidP="00285819">
      <w:pPr>
        <w:pStyle w:val="a7"/>
        <w:rPr>
          <w:color w:val="FF0000"/>
          <w:rtl/>
        </w:rPr>
      </w:pPr>
      <w:r>
        <w:rPr>
          <w:rStyle w:val="a9"/>
        </w:rPr>
        <w:footnoteRef/>
      </w:r>
      <w:r>
        <w:rPr>
          <w:rtl/>
        </w:rPr>
        <w:t xml:space="preserve"> </w:t>
      </w:r>
      <w:r>
        <w:rPr>
          <w:rFonts w:cs="Arial"/>
          <w:rtl/>
        </w:rPr>
        <w:t xml:space="preserve">וכ' הדרכ"מ (אות א) דכל זה לדברי הסמ"ק, אבל לפי דברי הסמ"ג </w:t>
      </w:r>
      <w:r>
        <w:rPr>
          <w:rFonts w:cs="Arial"/>
          <w:sz w:val="16"/>
          <w:szCs w:val="16"/>
          <w:rtl/>
        </w:rPr>
        <w:t>(שמתירו אפילו בערב שבת אם אינו אומר לו לקנות ולמכור בשבת)</w:t>
      </w:r>
      <w:r>
        <w:rPr>
          <w:rFonts w:cs="Arial"/>
          <w:rtl/>
        </w:rPr>
        <w:t xml:space="preserve"> אפילו אם קצץ לא מהני אם אמר לו לילך בשבת. ועיין לעיל סי' רמז גם כן אין חילוק בין ערב שבת לרביעי וחמישי.</w:t>
      </w:r>
      <w:r>
        <w:rPr>
          <w:color w:val="FF0000"/>
          <w:rtl/>
        </w:rPr>
        <w:t xml:space="preserve"> לא הבנתי צ"ע שוב</w:t>
      </w:r>
    </w:p>
  </w:footnote>
  <w:footnote w:id="1193">
    <w:p w14:paraId="33BF8782" w14:textId="77777777" w:rsidR="004B2E7C" w:rsidRDefault="004B2E7C" w:rsidP="00285819">
      <w:pPr>
        <w:pStyle w:val="a7"/>
      </w:pPr>
      <w:r>
        <w:rPr>
          <w:rStyle w:val="a9"/>
        </w:rPr>
        <w:footnoteRef/>
      </w:r>
      <w:r>
        <w:rPr>
          <w:rtl/>
        </w:rPr>
        <w:t xml:space="preserve"> </w:t>
      </w:r>
      <w:r>
        <w:rPr>
          <w:rFonts w:cs="Arial"/>
          <w:rtl/>
        </w:rPr>
        <w:t>ומשמע מדבריו שאם לא קצץ לו שכר אסור דומיא דאגרות, ונראה דבשלא קצץ לו שכר מותר ליתן לו ברביעי ובחמישי דומיא דאגרות (שם), זולתי לדעת הרמב"ם (פ"ו ה"כ) והרי"ף (ז.) דאף באגרות אסור כל שלא קצץ לו שכר כמו שנתבאר בסי' רמז (ב"י ד"ה ומ"ש בשם), ב"י.</w:t>
      </w:r>
    </w:p>
  </w:footnote>
  <w:footnote w:id="1194">
    <w:p w14:paraId="55BE4C5C" w14:textId="77777777" w:rsidR="004B2E7C" w:rsidRDefault="004B2E7C" w:rsidP="00285819">
      <w:pPr>
        <w:pStyle w:val="a7"/>
        <w:rPr>
          <w:rtl/>
        </w:rPr>
      </w:pPr>
      <w:r>
        <w:rPr>
          <w:rStyle w:val="a9"/>
        </w:rPr>
        <w:footnoteRef/>
      </w:r>
      <w:r>
        <w:rPr>
          <w:rtl/>
        </w:rPr>
        <w:t xml:space="preserve"> </w:t>
      </w:r>
      <w:r>
        <w:rPr>
          <w:rFonts w:cs="Arial"/>
          <w:rtl/>
        </w:rPr>
        <w:t>משמע אפילו לא קצץ, כמ"ש בב"י בשם סמ"ג, ובסי' רמה ס"ה פסק כסמ"ק דוקא בקצץ מותר, וצ"ל דכאן מיירי דאפשר לקנות ולמכור מבעו"י כמו באיגרת אם לא קצץ כדי כו', ואפשר דגם הסמ"ג וסמ"ק ל"פ כנ"ל, גר"א.</w:t>
      </w:r>
      <w:r>
        <w:rPr>
          <w:rtl/>
        </w:rPr>
        <w:t xml:space="preserve"> וכ' המשנ"ב (סקט"ו) </w:t>
      </w:r>
      <w:r>
        <w:rPr>
          <w:rFonts w:cs="Arial"/>
          <w:rtl/>
        </w:rPr>
        <w:t>דאם יום השוק שם בשבת ובאותו מקום אינו מצוי לקנות כ"א ביומא דשוקא כמו שרגיל בעיירות קטנות הו"ל כמזכיר לו יום השבת בפירוש בין שמבקשו לקנות עבורו או שנותן לו למכור ואפילו בתחלת השבוע אסור ובמקום שמצוי קצת גם בשאר ימים אין איסור אלא אם כן מזכיר בפירוש יום השבת וכן אם אמר לו הישראל ראה שאני צריך לילך לדרכי במו"ש הוי ג"כ כמזכיר יום השבת בפירוש.</w:t>
      </w:r>
    </w:p>
  </w:footnote>
  <w:footnote w:id="1195">
    <w:p w14:paraId="00843FDD" w14:textId="77777777" w:rsidR="004B2E7C" w:rsidRDefault="004B2E7C" w:rsidP="00285819">
      <w:pPr>
        <w:pStyle w:val="a7"/>
      </w:pPr>
      <w:r>
        <w:rPr>
          <w:rStyle w:val="a9"/>
        </w:rPr>
        <w:footnoteRef/>
      </w:r>
      <w:r>
        <w:rPr>
          <w:rtl/>
        </w:rPr>
        <w:t xml:space="preserve"> </w:t>
      </w:r>
      <w:r>
        <w:rPr>
          <w:rFonts w:cs="Arial"/>
          <w:rtl/>
        </w:rPr>
        <w:t>דאף שקצץ לו שכר עבור זה ולא יחד לו שיוליכנו בשבת וגוי אדעתא דנפשיה לוקח בשבת אפ"ה אסור כיון שלוקח מבית ישראל בשבת וכדלעיל בסי' רנב ס"א. ובעניננו שהסחורה היא של ישראל אפילו יחד לו מקום והניח שם הסחורה לא מהני, משנ"ב (סקט"ז). וכתב עוד המשנ"ב (סקי"ז)- אבל אם לקחה קודם שבת אע"פ שמפליג בשבת מחוץ לתחום שרי כיון שקצץ לו שכר ואדעתא דנפשיה קעביד כמו שנתבאר בסי' רנב</w:t>
      </w:r>
      <w:r>
        <w:rPr>
          <w:rtl/>
        </w:rPr>
        <w:t>.</w:t>
      </w:r>
    </w:p>
  </w:footnote>
  <w:footnote w:id="1196">
    <w:p w14:paraId="6C92BDFA" w14:textId="77777777" w:rsidR="004B2E7C" w:rsidRDefault="004B2E7C" w:rsidP="00285819">
      <w:pPr>
        <w:pStyle w:val="a7"/>
      </w:pPr>
      <w:r>
        <w:rPr>
          <w:rStyle w:val="a9"/>
        </w:rPr>
        <w:footnoteRef/>
      </w:r>
      <w:r>
        <w:rPr>
          <w:rtl/>
        </w:rPr>
        <w:t xml:space="preserve"> </w:t>
      </w:r>
      <w:r>
        <w:rPr>
          <w:rFonts w:cs="Arial"/>
          <w:rtl/>
        </w:rPr>
        <w:t>לפי עשרו בממון או במלקות אם אין לו ממון ואם טעה וסבר שמותר אין עונשין אותו ונאמן לומר שוגג הייתי</w:t>
      </w:r>
      <w:r>
        <w:rPr>
          <w:rtl/>
        </w:rPr>
        <w:t>, משנ"ב</w:t>
      </w:r>
      <w:r>
        <w:rPr>
          <w:sz w:val="16"/>
          <w:szCs w:val="16"/>
          <w:rtl/>
        </w:rPr>
        <w:t xml:space="preserve"> (סקי"ח)</w:t>
      </w:r>
      <w:r>
        <w:rPr>
          <w:rtl/>
        </w:rPr>
        <w:t>.</w:t>
      </w:r>
    </w:p>
  </w:footnote>
  <w:footnote w:id="1197">
    <w:p w14:paraId="548EFE9B" w14:textId="77777777" w:rsidR="004B2E7C" w:rsidRDefault="004B2E7C" w:rsidP="00285819">
      <w:pPr>
        <w:pStyle w:val="a7"/>
        <w:rPr>
          <w:rtl/>
        </w:rPr>
      </w:pPr>
      <w:r>
        <w:rPr>
          <w:rStyle w:val="a9"/>
        </w:rPr>
        <w:footnoteRef/>
      </w:r>
      <w:r>
        <w:rPr>
          <w:rtl/>
        </w:rPr>
        <w:t xml:space="preserve"> </w:t>
      </w:r>
      <w:r>
        <w:rPr>
          <w:rFonts w:asciiTheme="minorBidi" w:hAnsiTheme="minorBidi" w:cs="Arial"/>
          <w:rtl/>
        </w:rPr>
        <w:t>וכתב הה"מ- זה מוסכם מהגאונים שדוחין שבות דשבות לגבי אמירה לגוי במכשירי מילה אע"פ שאין דוחין את השבת, ולמדו כן ממה שאמר בפרק הדר (עירובין סז:) שמותר לומר לגוי להביא חמין לתינוק דרך מבוי שאינו מעורב, ומכאן למד רבינו לכל המצות, ויש חולקים ואומרים דמילה שאני דניתנה שבת לידחות אצלה אבל בשאר מצות אסור, וכן סוברים שאינו מותר אלא במקום חולי גמור עכ"ל, וגם הר"ן כתב שתי סברות אלו בסוף פרק ר' אליעזר דמילה (נו. ד"ה אבל). וכתוב בסוף הגהות אחרונות דמרדכי (סי' תעד) שראבי"ה (סי' שצא ד"ה מי האדם) סובר כהרמב"ם</w:t>
      </w:r>
      <w:r>
        <w:rPr>
          <w:rtl/>
        </w:rPr>
        <w:t>.</w:t>
      </w:r>
    </w:p>
  </w:footnote>
  <w:footnote w:id="1198">
    <w:p w14:paraId="0CCA5D26" w14:textId="77777777" w:rsidR="004B2E7C" w:rsidRDefault="004B2E7C" w:rsidP="00285819">
      <w:pPr>
        <w:pStyle w:val="a7"/>
        <w:rPr>
          <w:rtl/>
        </w:rPr>
      </w:pPr>
      <w:r>
        <w:rPr>
          <w:rStyle w:val="a9"/>
        </w:rPr>
        <w:footnoteRef/>
      </w:r>
      <w:r>
        <w:rPr>
          <w:rtl/>
        </w:rPr>
        <w:t xml:space="preserve"> </w:t>
      </w:r>
      <w:r>
        <w:rPr>
          <w:rFonts w:hint="cs"/>
          <w:rtl/>
        </w:rPr>
        <w:t>כ"כ הב"י בשמו וז"ל הרשב"א-</w:t>
      </w:r>
      <w:r>
        <w:rPr>
          <w:rFonts w:asciiTheme="minorBidi" w:hAnsiTheme="minorBidi" w:cs="Arial"/>
          <w:rtl/>
        </w:rPr>
        <w:t xml:space="preserve"> אין אומרין בשבותין זו דומה לזו ואין לנו בהם אלא מה שהתירו בפירוש שהרי לעיתים מתירין אותם מחמת דבר אחר שיראה קל שמעלה וכותב בשבת בערכאות של גוים מפני קניית בית בארץ ישראל ולעיתים מעמידין אותם אפילו במקום כרת החמור כהזאה ואזמל (פסחים צב.).</w:t>
      </w:r>
    </w:p>
  </w:footnote>
  <w:footnote w:id="1199">
    <w:p w14:paraId="4A64304E" w14:textId="77777777" w:rsidR="004B2E7C" w:rsidRDefault="004B2E7C" w:rsidP="00285819">
      <w:pPr>
        <w:pStyle w:val="a7"/>
      </w:pPr>
      <w:r>
        <w:rPr>
          <w:rStyle w:val="a9"/>
        </w:rPr>
        <w:footnoteRef/>
      </w:r>
      <w:r>
        <w:rPr>
          <w:rtl/>
        </w:rPr>
        <w:t xml:space="preserve"> </w:t>
      </w:r>
      <w:r>
        <w:rPr>
          <w:rFonts w:hint="cs"/>
          <w:rtl/>
        </w:rPr>
        <w:t xml:space="preserve">וז"ל הב"י- </w:t>
      </w:r>
      <w:r>
        <w:rPr>
          <w:rFonts w:asciiTheme="minorBidi" w:hAnsiTheme="minorBidi" w:cs="Arial"/>
          <w:rtl/>
        </w:rPr>
        <w:t>וזהו דעת רבינו שכתב בסי' שלח (קיב:) שאבי העזרי (ראבי"ה סי' תשצו) התיר לומר לגוי לנגן בכלי שיר בחופות דאמירה לגוי במקום מצוה שרי ואני כתבתי למעלה שאין להתיר אמירה לגוי אלא בדבר שהוא עצמו דוחה שבת כגון מילה עכ"ל.</w:t>
      </w:r>
    </w:p>
  </w:footnote>
  <w:footnote w:id="1200">
    <w:p w14:paraId="009DEE57" w14:textId="77777777" w:rsidR="004B2E7C" w:rsidRDefault="004B2E7C" w:rsidP="00285819">
      <w:pPr>
        <w:pStyle w:val="a7"/>
        <w:rPr>
          <w:rtl/>
        </w:rPr>
      </w:pPr>
      <w:r>
        <w:rPr>
          <w:rStyle w:val="a9"/>
        </w:rPr>
        <w:footnoteRef/>
      </w:r>
      <w:r>
        <w:rPr>
          <w:rtl/>
        </w:rPr>
        <w:t xml:space="preserve"> </w:t>
      </w:r>
      <w:r>
        <w:rPr>
          <w:rFonts w:asciiTheme="minorBidi" w:hAnsiTheme="minorBidi" w:cs="Arial"/>
          <w:rtl/>
        </w:rPr>
        <w:t xml:space="preserve">תוס' </w:t>
      </w:r>
      <w:r>
        <w:rPr>
          <w:rFonts w:asciiTheme="minorBidi" w:hAnsiTheme="minorBidi" w:cs="Arial"/>
          <w:sz w:val="16"/>
          <w:szCs w:val="16"/>
          <w:rtl/>
        </w:rPr>
        <w:t xml:space="preserve">(גיטין ח: ד"ה אף על גב, וב"ק פ: ד"ה אומר) </w:t>
      </w:r>
      <w:r>
        <w:rPr>
          <w:rFonts w:asciiTheme="minorBidi" w:hAnsiTheme="minorBidi" w:cs="Arial"/>
          <w:rtl/>
        </w:rPr>
        <w:t xml:space="preserve">סמ"ג </w:t>
      </w:r>
      <w:r>
        <w:rPr>
          <w:rFonts w:asciiTheme="minorBidi" w:hAnsiTheme="minorBidi" w:cs="Arial"/>
          <w:sz w:val="16"/>
          <w:szCs w:val="16"/>
          <w:rtl/>
        </w:rPr>
        <w:t>(עשין כח, קטו ע"ג, וכ"כ הגה"מ בשמו [פ"ו אות כ, ד"ק ה"י])</w:t>
      </w:r>
      <w:r>
        <w:rPr>
          <w:rFonts w:asciiTheme="minorBidi" w:hAnsiTheme="minorBidi" w:cs="Arial"/>
          <w:rtl/>
        </w:rPr>
        <w:t xml:space="preserve"> רשב"א </w:t>
      </w:r>
      <w:r>
        <w:rPr>
          <w:rFonts w:asciiTheme="minorBidi" w:hAnsiTheme="minorBidi" w:cs="Arial"/>
          <w:sz w:val="16"/>
          <w:szCs w:val="16"/>
          <w:rtl/>
        </w:rPr>
        <w:t xml:space="preserve">(ח"א סי' רצז, תשט) </w:t>
      </w:r>
      <w:r>
        <w:rPr>
          <w:rFonts w:asciiTheme="minorBidi" w:hAnsiTheme="minorBidi" w:cs="Arial"/>
          <w:rtl/>
        </w:rPr>
        <w:t>טור</w:t>
      </w:r>
      <w:r>
        <w:rPr>
          <w:rFonts w:asciiTheme="minorBidi" w:hAnsiTheme="minorBidi" w:cs="Arial"/>
          <w:sz w:val="16"/>
          <w:szCs w:val="16"/>
          <w:rtl/>
        </w:rPr>
        <w:t xml:space="preserve"> (כ"כ הב"י בשמו)</w:t>
      </w:r>
      <w:r>
        <w:rPr>
          <w:rtl/>
        </w:rPr>
        <w:t>.</w:t>
      </w:r>
    </w:p>
  </w:footnote>
  <w:footnote w:id="1201">
    <w:p w14:paraId="45CD3674" w14:textId="77777777" w:rsidR="004B2E7C" w:rsidRDefault="004B2E7C" w:rsidP="00285819">
      <w:pPr>
        <w:pStyle w:val="a7"/>
        <w:rPr>
          <w:rtl/>
        </w:rPr>
      </w:pPr>
      <w:r>
        <w:rPr>
          <w:rStyle w:val="a9"/>
        </w:rPr>
        <w:footnoteRef/>
      </w:r>
      <w:r>
        <w:rPr>
          <w:rtl/>
        </w:rPr>
        <w:t xml:space="preserve"> </w:t>
      </w:r>
      <w:r>
        <w:rPr>
          <w:rFonts w:asciiTheme="minorBidi" w:hAnsiTheme="minorBidi" w:cs="Arial"/>
          <w:rtl/>
        </w:rPr>
        <w:t>וכ"כ בדרכמ"א סי' שלא בשם הר"ן פרק חבית (סא. ד"ה ובמקום) ומגיד משנה פ"ו דשבת (ה"ט)</w:t>
      </w:r>
      <w:r>
        <w:rPr>
          <w:rtl/>
        </w:rPr>
        <w:t>.</w:t>
      </w:r>
    </w:p>
  </w:footnote>
  <w:footnote w:id="1202">
    <w:p w14:paraId="6CAED87B" w14:textId="77777777" w:rsidR="004B2E7C" w:rsidRDefault="004B2E7C" w:rsidP="00285819">
      <w:pPr>
        <w:pStyle w:val="a7"/>
      </w:pPr>
      <w:r>
        <w:rPr>
          <w:rStyle w:val="a9"/>
        </w:rPr>
        <w:footnoteRef/>
      </w:r>
      <w:r>
        <w:rPr>
          <w:rtl/>
        </w:rPr>
        <w:t xml:space="preserve"> </w:t>
      </w:r>
      <w:r>
        <w:rPr>
          <w:rFonts w:cs="Arial"/>
          <w:rtl/>
        </w:rPr>
        <w:t xml:space="preserve">ולא משמע כן לקמן ססשכ"ה, </w:t>
      </w:r>
      <w:r>
        <w:rPr>
          <w:rtl/>
        </w:rPr>
        <w:t>דרכ"מ (אות ב)</w:t>
      </w:r>
      <w:r>
        <w:rPr>
          <w:rFonts w:cs="Arial"/>
          <w:rtl/>
        </w:rPr>
        <w:t>.</w:t>
      </w:r>
      <w:r>
        <w:rPr>
          <w:rtl/>
        </w:rPr>
        <w:t xml:space="preserve"> </w:t>
      </w:r>
    </w:p>
  </w:footnote>
  <w:footnote w:id="1203">
    <w:p w14:paraId="0AB3D1E9" w14:textId="77777777" w:rsidR="004B2E7C" w:rsidRDefault="004B2E7C" w:rsidP="00285819">
      <w:pPr>
        <w:pStyle w:val="a7"/>
        <w:rPr>
          <w:rtl/>
        </w:rPr>
      </w:pPr>
      <w:r>
        <w:rPr>
          <w:rStyle w:val="a9"/>
        </w:rPr>
        <w:footnoteRef/>
      </w:r>
      <w:r>
        <w:rPr>
          <w:rtl/>
        </w:rPr>
        <w:t xml:space="preserve"> </w:t>
      </w:r>
      <w:r>
        <w:rPr>
          <w:rFonts w:asciiTheme="minorBidi" w:hAnsiTheme="minorBidi" w:cs="Arial"/>
          <w:rtl/>
        </w:rPr>
        <w:t>וכ' הב"י- הא דהתיר בדבר שאפשר למצוא תקנה ע"י ישראל לעשותו וכו' אפשר דלא התיר אלא לדבר מצוה דוקא אבל שלא לדבר מצוה לא, ומ"מ אין דבריו מובנים לי שכתב והיכא דאיכא למימר דילמא אתי לאיחלופי ברשות הרבים אסור אמירה לגוי וכו' שזה סותר מה שכתב קודם לכן בסמוך שאם אפשר לעשותו כגון ברשות הרבים דיכול להביא ע"י מחיצות בני אדם שרי וצ"ע.</w:t>
      </w:r>
      <w:r>
        <w:rPr>
          <w:rtl/>
        </w:rPr>
        <w:t xml:space="preserve"> עכ"ל. וכ' הדרכ"מ (אות ב)- </w:t>
      </w:r>
      <w:r>
        <w:rPr>
          <w:rFonts w:cs="Arial"/>
          <w:rtl/>
        </w:rPr>
        <w:t>ואפשר ליישב דברי ראבי"ה דהכי קאמר דבמקום דאיכא למיחש משום הרואים דמתירין אמירה לגוי ברשות הרבים ואתו להתיר נמי שאר אמירות לגוי אסור ובכה"ג אסור אפילו אמירה דרבנן אפילו במקום מצוה דחיישינן דלמא אתי לאחלופי בשאר אמירות כן נ"ל.</w:t>
      </w:r>
    </w:p>
  </w:footnote>
  <w:footnote w:id="1204">
    <w:p w14:paraId="2F88886D" w14:textId="77777777" w:rsidR="004B2E7C" w:rsidRDefault="004B2E7C" w:rsidP="00285819">
      <w:pPr>
        <w:pStyle w:val="a7"/>
      </w:pPr>
      <w:r>
        <w:rPr>
          <w:rStyle w:val="a9"/>
        </w:rPr>
        <w:footnoteRef/>
      </w:r>
      <w:r>
        <w:rPr>
          <w:rtl/>
        </w:rPr>
        <w:t xml:space="preserve"> </w:t>
      </w:r>
      <w:r>
        <w:rPr>
          <w:rFonts w:cs="Arial"/>
          <w:rtl/>
        </w:rPr>
        <w:t>ואפשר דע"פ זה נהגו להקל בדבר, ובסימן זה יתבאר דיש חולקים בדבר, דרכ"מ (אות ג, ובסי' רעו ס"ב בהג"ה פסק כדעה זו במקום צורך גדול).</w:t>
      </w:r>
      <w:r>
        <w:rPr>
          <w:rFonts w:asciiTheme="minorBidi" w:hAnsiTheme="minorBidi" w:cs="Arial"/>
          <w:rtl/>
        </w:rPr>
        <w:t xml:space="preserve"> וכ' הב"י דטעמו </w:t>
      </w:r>
      <w:r>
        <w:rPr>
          <w:rFonts w:asciiTheme="minorBidi" w:hAnsiTheme="minorBidi" w:cs="Arial"/>
          <w:sz w:val="16"/>
          <w:szCs w:val="16"/>
          <w:rtl/>
        </w:rPr>
        <w:t xml:space="preserve">{של בהעי"ט} </w:t>
      </w:r>
      <w:r>
        <w:rPr>
          <w:rFonts w:asciiTheme="minorBidi" w:hAnsiTheme="minorBidi" w:cs="Arial"/>
          <w:rtl/>
        </w:rPr>
        <w:t>לפי שהוא מפרש השמועה בענין דשרי אמירה לגוי אפילו בדבר שיש בו מלאכה גמורה גבי מכשירי מילה, כדברי בה"ג</w:t>
      </w:r>
      <w:r>
        <w:rPr>
          <w:rFonts w:asciiTheme="minorBidi" w:hAnsiTheme="minorBidi" w:cs="Arial"/>
          <w:sz w:val="16"/>
          <w:szCs w:val="16"/>
          <w:rtl/>
        </w:rPr>
        <w:t xml:space="preserve"> (הל' מילה, כג ע"ג)</w:t>
      </w:r>
      <w:r>
        <w:rPr>
          <w:rFonts w:asciiTheme="minorBidi" w:hAnsiTheme="minorBidi" w:cs="Arial"/>
          <w:rtl/>
        </w:rPr>
        <w:t>, והוא משוה שאר מצות למכשירי מילה כדרך שהשוה אותם הרמב"ם לפי שטתו, אבל הרי"ף</w:t>
      </w:r>
      <w:r>
        <w:rPr>
          <w:rFonts w:asciiTheme="minorBidi" w:hAnsiTheme="minorBidi" w:cs="Arial"/>
          <w:sz w:val="16"/>
          <w:szCs w:val="16"/>
          <w:rtl/>
        </w:rPr>
        <w:t xml:space="preserve"> (נה:-נו.) </w:t>
      </w:r>
      <w:r>
        <w:rPr>
          <w:rFonts w:asciiTheme="minorBidi" w:hAnsiTheme="minorBidi" w:cs="Arial"/>
          <w:rtl/>
        </w:rPr>
        <w:t>והרמב"ם חולקים על זה דאפילו לצורך מילה לא התירו אמירה לגוי בדבר שאסור מן התורה, וכל שכן שהסוברים כדעת התוס' שכתב רבינו בסמוך דאסרי בהא דבהעי"ט דהא אפילו בשבות דשבות אסרי.</w:t>
      </w:r>
    </w:p>
  </w:footnote>
  <w:footnote w:id="1205">
    <w:p w14:paraId="23E67A97" w14:textId="77777777" w:rsidR="004B2E7C" w:rsidRDefault="004B2E7C" w:rsidP="00285819">
      <w:pPr>
        <w:pStyle w:val="a7"/>
      </w:pPr>
      <w:r>
        <w:rPr>
          <w:rStyle w:val="a9"/>
        </w:rPr>
        <w:footnoteRef/>
      </w:r>
      <w:r>
        <w:rPr>
          <w:rtl/>
        </w:rPr>
        <w:t xml:space="preserve"> </w:t>
      </w:r>
      <w:r>
        <w:rPr>
          <w:rFonts w:cs="Arial"/>
          <w:rtl/>
        </w:rPr>
        <w:t>דאלו בחולי ממש הכולל כל הגוף או שיש בו סכנת אבר אפילו ישראל עושה שבות לחד דעה כמ"ש סי' שכח סי"ז, ודע שאין מדמין דבר לדבר בענין השבותין ואין לך בם להתיר אלא מה שאמרו חכמים דלגבי מילה לא התירו שבות דאמירה לגוי במקום מלאכה דאורייתא כמ"ש סי' שלא ס"ו וגבי לוקח בית בארץ ישראל מותר כמ"ש סי' שו סי"א, משנ"ב (סקכ"א).</w:t>
      </w:r>
    </w:p>
  </w:footnote>
  <w:footnote w:id="1206">
    <w:p w14:paraId="5BF9C726" w14:textId="77777777" w:rsidR="004B2E7C" w:rsidRDefault="004B2E7C" w:rsidP="00285819">
      <w:pPr>
        <w:pStyle w:val="a7"/>
      </w:pPr>
      <w:r>
        <w:rPr>
          <w:rStyle w:val="a9"/>
        </w:rPr>
        <w:footnoteRef/>
      </w:r>
      <w:r>
        <w:rPr>
          <w:rtl/>
        </w:rPr>
        <w:t xml:space="preserve"> </w:t>
      </w:r>
      <w:r>
        <w:rPr>
          <w:rFonts w:cs="Arial"/>
          <w:rtl/>
        </w:rPr>
        <w:t>עיין במ"א שמסיק דדוקא במקום הפסד גדול אבל בלא"ה אין להקל כלל ובא"ר מפקפק אפילו באופן זה ועיין בסי"ט לענין סחורה הנפסדת ע"י גשמים</w:t>
      </w:r>
      <w:r>
        <w:rPr>
          <w:rtl/>
        </w:rPr>
        <w:t>, משנ"ב (סקכ"ב).</w:t>
      </w:r>
    </w:p>
  </w:footnote>
  <w:footnote w:id="1207">
    <w:p w14:paraId="1859E3E9" w14:textId="77777777" w:rsidR="004B2E7C" w:rsidRDefault="004B2E7C" w:rsidP="00285819">
      <w:pPr>
        <w:pStyle w:val="a7"/>
        <w:rPr>
          <w:rtl/>
        </w:rPr>
      </w:pPr>
      <w:r>
        <w:rPr>
          <w:rStyle w:val="a9"/>
        </w:rPr>
        <w:footnoteRef/>
      </w:r>
      <w:r>
        <w:rPr>
          <w:rtl/>
        </w:rPr>
        <w:t xml:space="preserve"> </w:t>
      </w:r>
      <w:r>
        <w:rPr>
          <w:rFonts w:cs="Arial"/>
          <w:rtl/>
        </w:rPr>
        <w:t>גזירה שמא יכתוב</w:t>
      </w:r>
      <w:r>
        <w:rPr>
          <w:rtl/>
        </w:rPr>
        <w:t>, רמב"ם (פכ"ג הי"ח).</w:t>
      </w:r>
    </w:p>
  </w:footnote>
  <w:footnote w:id="1208">
    <w:p w14:paraId="4B8912B9" w14:textId="77777777" w:rsidR="004B2E7C" w:rsidRDefault="004B2E7C" w:rsidP="00285819">
      <w:pPr>
        <w:pStyle w:val="a7"/>
        <w:rPr>
          <w:rtl/>
        </w:rPr>
      </w:pPr>
      <w:r>
        <w:rPr>
          <w:rStyle w:val="a9"/>
        </w:rPr>
        <w:footnoteRef/>
      </w:r>
      <w:r>
        <w:rPr>
          <w:rtl/>
        </w:rPr>
        <w:t xml:space="preserve"> </w:t>
      </w:r>
      <w:r>
        <w:rPr>
          <w:rFonts w:cs="Arial"/>
          <w:rtl/>
        </w:rPr>
        <w:t>נראה פשוט דלא בעינן ודאי אצלו אלא גם אם הוא מסופק אם יש עדיין אצלו ע"כ בא לחשבון ואע"ג שלפי החשבון אין להם כלום אצלו אסור כיון דהחשבון היה לצורך אצלו משא"כ אם קודם החשבון ברור לו שאין להם אצלו נמצא שהחשבון ללא תועלת ובזה דוקא שרי דנקרא חשבון של מה בכך, מ"מ יש למנוע מזה מצד שיחה בטילה בשבת, ומבואר בר"י שאם יש צורך בחשבון לאחר גם כן אסור</w:t>
      </w:r>
      <w:r>
        <w:rPr>
          <w:rtl/>
        </w:rPr>
        <w:t>, ט"ז (סק"ה).</w:t>
      </w:r>
    </w:p>
  </w:footnote>
  <w:footnote w:id="1209">
    <w:p w14:paraId="64A01C12" w14:textId="77777777" w:rsidR="004B2E7C" w:rsidRDefault="004B2E7C" w:rsidP="00285819">
      <w:pPr>
        <w:pStyle w:val="a7"/>
        <w:rPr>
          <w:rtl/>
        </w:rPr>
      </w:pPr>
      <w:r>
        <w:rPr>
          <w:rStyle w:val="a9"/>
        </w:rPr>
        <w:footnoteRef/>
      </w:r>
      <w:r>
        <w:rPr>
          <w:rtl/>
        </w:rPr>
        <w:t xml:space="preserve"> </w:t>
      </w:r>
      <w:r>
        <w:rPr>
          <w:rFonts w:cs="Arial"/>
          <w:rtl/>
        </w:rPr>
        <w:t>כתב הרמב"ם (פכ"ג הי"ח) חשבונות שאין בהם צורך מותר לחשבן כיצד כמה סאין תבואה היה לנו בשנה פלונית כמה דינרין הוצאנו בחתונת בננו כך וכך חיילותיו של מלך וכיוצא באלו שהן שיחה בטלה שאין בהן צורך כלל עכ"ד, ופי' המ"מ דרמז לנו שיש למנוע מזה מצד שיחה בטלה שאין שיחה בטלה ראוי ליראי חטא. וגם בביאורי רש"ל כתב שאפילו בחול אינו יפה כ"כ לת"ח דהוי כמושב לצים ומבטל בהן לימודו [א"ר]</w:t>
      </w:r>
      <w:r>
        <w:rPr>
          <w:rtl/>
        </w:rPr>
        <w:t>, משנ"ב (סקכ"ז).</w:t>
      </w:r>
    </w:p>
  </w:footnote>
  <w:footnote w:id="1210">
    <w:p w14:paraId="6D61C8B6" w14:textId="77777777" w:rsidR="004B2E7C" w:rsidRDefault="004B2E7C" w:rsidP="00285819">
      <w:pPr>
        <w:pStyle w:val="a7"/>
        <w:rPr>
          <w:rtl/>
        </w:rPr>
      </w:pPr>
      <w:r>
        <w:rPr>
          <w:rStyle w:val="a9"/>
        </w:rPr>
        <w:footnoteRef/>
      </w:r>
      <w:r>
        <w:rPr>
          <w:rtl/>
        </w:rPr>
        <w:t xml:space="preserve"> </w:t>
      </w:r>
      <w:r>
        <w:rPr>
          <w:rFonts w:cs="Arial"/>
          <w:rtl/>
        </w:rPr>
        <w:t xml:space="preserve">עכשיו נראה אם תעמוד עמי לערב, אם תבא אלי לכשתחשך, ושניהם יודעין שעל מנת לשוכרו לפעולתו הוא מזהירו, וכיון דלא מפרש בהדיא - שרי, כדמפרש טעמא לקמן: דבור אסור, הרהור מותר, רש"י. אך הסמ"ג </w:t>
      </w:r>
      <w:r>
        <w:rPr>
          <w:rFonts w:cs="Arial"/>
          <w:sz w:val="16"/>
          <w:szCs w:val="16"/>
          <w:rtl/>
        </w:rPr>
        <w:t xml:space="preserve">(לאוין סה, כב ע"ג) </w:t>
      </w:r>
      <w:r>
        <w:rPr>
          <w:rFonts w:cs="Arial"/>
          <w:rtl/>
        </w:rPr>
        <w:t xml:space="preserve">פירש בשם ר"י </w:t>
      </w:r>
      <w:r>
        <w:rPr>
          <w:rFonts w:cs="Arial"/>
          <w:sz w:val="16"/>
          <w:szCs w:val="16"/>
          <w:rtl/>
        </w:rPr>
        <w:t xml:space="preserve">(תוס' ע"ז ז. ד"ה הנראה) </w:t>
      </w:r>
      <w:r>
        <w:rPr>
          <w:rFonts w:cs="Arial"/>
          <w:rtl/>
        </w:rPr>
        <w:t xml:space="preserve">הנראה בעיניך שתוכל לעמוד עמי לערב. </w:t>
      </w:r>
      <w:r>
        <w:rPr>
          <w:rFonts w:cs="Arial"/>
          <w:color w:val="E36C0A" w:themeColor="accent6" w:themeShade="BF"/>
          <w:rtl/>
        </w:rPr>
        <w:t>וכ"כ בשו"ע</w:t>
      </w:r>
      <w:r>
        <w:rPr>
          <w:rFonts w:cs="Arial"/>
          <w:rtl/>
        </w:rPr>
        <w:t xml:space="preserve">. ובהגהות חדשות פכ"ד </w:t>
      </w:r>
      <w:r>
        <w:rPr>
          <w:rFonts w:cs="Arial"/>
          <w:sz w:val="16"/>
          <w:szCs w:val="16"/>
          <w:rtl/>
        </w:rPr>
        <w:t xml:space="preserve">(אות א) </w:t>
      </w:r>
      <w:r>
        <w:rPr>
          <w:rFonts w:cs="Arial"/>
          <w:rtl/>
        </w:rPr>
        <w:t>כתוב פר"י הנראה טוב בעיניך</w:t>
      </w:r>
      <w:r>
        <w:rPr>
          <w:rtl/>
        </w:rPr>
        <w:t>.</w:t>
      </w:r>
    </w:p>
  </w:footnote>
  <w:footnote w:id="1211">
    <w:p w14:paraId="5B5DD6B7" w14:textId="77777777" w:rsidR="004B2E7C" w:rsidRDefault="004B2E7C" w:rsidP="00285819">
      <w:pPr>
        <w:pStyle w:val="a7"/>
      </w:pPr>
      <w:r>
        <w:rPr>
          <w:rStyle w:val="a9"/>
        </w:rPr>
        <w:footnoteRef/>
      </w:r>
      <w:r>
        <w:rPr>
          <w:rtl/>
        </w:rPr>
        <w:t xml:space="preserve"> </w:t>
      </w:r>
      <w:r>
        <w:rPr>
          <w:rFonts w:cs="Arial"/>
          <w:rtl/>
        </w:rPr>
        <w:t>ונראה לי דבאומר לו כן כדי שיזמין לו סוס לרכוב עליו מיירי</w:t>
      </w:r>
      <w:r>
        <w:rPr>
          <w:rtl/>
        </w:rPr>
        <w:t>, ב"י.</w:t>
      </w:r>
    </w:p>
  </w:footnote>
  <w:footnote w:id="1212">
    <w:p w14:paraId="3A031A33" w14:textId="77777777" w:rsidR="004B2E7C" w:rsidRDefault="004B2E7C" w:rsidP="00285819">
      <w:pPr>
        <w:pStyle w:val="a7"/>
        <w:rPr>
          <w:rtl/>
        </w:rPr>
      </w:pPr>
      <w:r>
        <w:rPr>
          <w:rStyle w:val="a9"/>
        </w:rPr>
        <w:footnoteRef/>
      </w:r>
      <w:r>
        <w:rPr>
          <w:rtl/>
        </w:rPr>
        <w:t xml:space="preserve"> </w:t>
      </w:r>
      <w:r>
        <w:rPr>
          <w:rFonts w:cs="Arial"/>
          <w:rtl/>
        </w:rPr>
        <w:t>אבל לגוי אסור לפי שהוא רוצה לדעת אותה מלאכה (הג"א פ"ק דע"א ד"מ) אבל בתו' בשבת דף ק"ן דוחין זה דטעמא דשרי משום דהרהור מותר ל"ש גוי ל"ש ישראל</w:t>
      </w:r>
    </w:p>
  </w:footnote>
  <w:footnote w:id="1213">
    <w:p w14:paraId="2410E9B3" w14:textId="77777777" w:rsidR="004B2E7C" w:rsidRDefault="004B2E7C" w:rsidP="00285819">
      <w:pPr>
        <w:pStyle w:val="a7"/>
        <w:rPr>
          <w:rtl/>
        </w:rPr>
      </w:pPr>
      <w:r>
        <w:rPr>
          <w:rStyle w:val="a9"/>
        </w:rPr>
        <w:footnoteRef/>
      </w:r>
      <w:r>
        <w:rPr>
          <w:rtl/>
        </w:rPr>
        <w:t xml:space="preserve"> </w:t>
      </w:r>
      <w:r>
        <w:rPr>
          <w:rFonts w:cs="Arial"/>
          <w:rtl/>
        </w:rPr>
        <w:t>משבעים אמה לשבעים אמה הולך אפילו בשבת, שהכל חשוב כעיר אחת וכל העיר כארבע אמות, כדאמרי' בעירובין</w:t>
      </w:r>
      <w:r>
        <w:rPr>
          <w:rFonts w:cs="Arial"/>
          <w:sz w:val="16"/>
          <w:szCs w:val="16"/>
          <w:rtl/>
        </w:rPr>
        <w:t xml:space="preserve"> (כא.)</w:t>
      </w:r>
      <w:r>
        <w:rPr>
          <w:rFonts w:cs="Arial"/>
          <w:rtl/>
        </w:rPr>
        <w:t>, רש"י.</w:t>
      </w:r>
      <w:r>
        <w:rPr>
          <w:rtl/>
        </w:rPr>
        <w:t xml:space="preserve"> </w:t>
      </w:r>
    </w:p>
  </w:footnote>
  <w:footnote w:id="1214">
    <w:p w14:paraId="37E24355" w14:textId="77777777" w:rsidR="004B2E7C" w:rsidRDefault="004B2E7C" w:rsidP="00285819">
      <w:pPr>
        <w:pStyle w:val="a7"/>
        <w:rPr>
          <w:rtl/>
        </w:rPr>
      </w:pPr>
      <w:r>
        <w:rPr>
          <w:rStyle w:val="a9"/>
        </w:rPr>
        <w:footnoteRef/>
      </w:r>
      <w:r>
        <w:rPr>
          <w:rtl/>
        </w:rPr>
        <w:t xml:space="preserve"> </w:t>
      </w:r>
      <w:r>
        <w:rPr>
          <w:rFonts w:asciiTheme="minorBidi" w:hAnsiTheme="minorBidi"/>
          <w:rtl/>
        </w:rPr>
        <w:t>וכן כל כיוצא בזה שיש בו צד היתר לעשותו היום יכול לומר לחבירו שיעשנו למחר, טור. וכ' הב"י דפשוט הוא.</w:t>
      </w:r>
    </w:p>
  </w:footnote>
  <w:footnote w:id="1215">
    <w:p w14:paraId="7E3DDC68" w14:textId="77777777" w:rsidR="004B2E7C" w:rsidRDefault="004B2E7C" w:rsidP="00285819">
      <w:pPr>
        <w:pStyle w:val="a7"/>
      </w:pPr>
      <w:r>
        <w:rPr>
          <w:rStyle w:val="a9"/>
        </w:rPr>
        <w:footnoteRef/>
      </w:r>
      <w:r>
        <w:rPr>
          <w:rtl/>
        </w:rPr>
        <w:t xml:space="preserve"> </w:t>
      </w:r>
      <w:r>
        <w:rPr>
          <w:rFonts w:asciiTheme="minorBidi" w:hAnsiTheme="minorBidi" w:cs="Arial"/>
          <w:rtl/>
        </w:rPr>
        <w:t>כלומר יכול לומר הבא לי פירות למחר כיון שאם יש שם מחיצות מביא כמו שתאמר שאם יש שם בורגנין הולך ואין חילוק בין אם אמר לחבירו דבר זה אני עושה למחר ובין אומר עשה לי דבר זה למחר וכיון דמותר באמירתו מותר בחשיכתו</w:t>
      </w:r>
      <w:r>
        <w:rPr>
          <w:rtl/>
        </w:rPr>
        <w:t>, רא"ש (שם).</w:t>
      </w:r>
    </w:p>
  </w:footnote>
  <w:footnote w:id="1216">
    <w:p w14:paraId="263D7B64" w14:textId="77777777" w:rsidR="004B2E7C" w:rsidRDefault="004B2E7C" w:rsidP="00285819">
      <w:pPr>
        <w:pStyle w:val="a7"/>
        <w:rPr>
          <w:rtl/>
        </w:rPr>
      </w:pPr>
      <w:r>
        <w:rPr>
          <w:rStyle w:val="a9"/>
        </w:rPr>
        <w:footnoteRef/>
      </w:r>
      <w:r>
        <w:rPr>
          <w:rtl/>
        </w:rPr>
        <w:t xml:space="preserve"> </w:t>
      </w:r>
      <w:r>
        <w:rPr>
          <w:rFonts w:asciiTheme="minorBidi" w:hAnsiTheme="minorBidi" w:cs="Arial"/>
          <w:rtl/>
        </w:rPr>
        <w:t>שאי אפשר לקצצן בשבת על ידי שום תקנה, רש"י.</w:t>
      </w:r>
    </w:p>
  </w:footnote>
  <w:footnote w:id="1217">
    <w:p w14:paraId="1FB37DAD" w14:textId="77777777" w:rsidR="004B2E7C" w:rsidRDefault="004B2E7C" w:rsidP="00285819">
      <w:pPr>
        <w:pStyle w:val="a7"/>
      </w:pPr>
      <w:r>
        <w:rPr>
          <w:rStyle w:val="a9"/>
        </w:rPr>
        <w:footnoteRef/>
      </w:r>
      <w:r>
        <w:rPr>
          <w:rtl/>
        </w:rPr>
        <w:t xml:space="preserve"> </w:t>
      </w:r>
      <w:r>
        <w:rPr>
          <w:rFonts w:asciiTheme="minorBidi" w:hAnsiTheme="minorBidi" w:cs="Arial"/>
          <w:rtl/>
        </w:rPr>
        <w:t>כלומר דתבן דבר תלוש הוא ואפילו הכי אסור</w:t>
      </w:r>
      <w:r>
        <w:rPr>
          <w:rtl/>
        </w:rPr>
        <w:t>, ב"י.</w:t>
      </w:r>
    </w:p>
  </w:footnote>
  <w:footnote w:id="1218">
    <w:p w14:paraId="43E9213A" w14:textId="77777777" w:rsidR="004B2E7C" w:rsidRDefault="004B2E7C" w:rsidP="00285819">
      <w:pPr>
        <w:pStyle w:val="a7"/>
        <w:rPr>
          <w:rtl/>
        </w:rPr>
      </w:pPr>
      <w:r>
        <w:rPr>
          <w:rStyle w:val="a9"/>
        </w:rPr>
        <w:footnoteRef/>
      </w:r>
      <w:r>
        <w:rPr>
          <w:rtl/>
        </w:rPr>
        <w:t xml:space="preserve"> </w:t>
      </w:r>
      <w:r>
        <w:rPr>
          <w:rFonts w:asciiTheme="minorBidi" w:hAnsiTheme="minorBidi" w:cs="Arial"/>
          <w:rtl/>
        </w:rPr>
        <w:t>שאם יש שם מחיצות אינו מביא משום דמוקצה הוא, רש"י.</w:t>
      </w:r>
    </w:p>
  </w:footnote>
  <w:footnote w:id="1219">
    <w:p w14:paraId="61AC7D91" w14:textId="77777777" w:rsidR="004B2E7C" w:rsidRDefault="004B2E7C" w:rsidP="00285819">
      <w:pPr>
        <w:pStyle w:val="a7"/>
      </w:pPr>
      <w:r>
        <w:rPr>
          <w:rStyle w:val="a9"/>
        </w:rPr>
        <w:footnoteRef/>
      </w:r>
      <w:r>
        <w:rPr>
          <w:rtl/>
        </w:rPr>
        <w:t xml:space="preserve"> </w:t>
      </w:r>
      <w:r>
        <w:rPr>
          <w:rFonts w:asciiTheme="minorBidi" w:hAnsiTheme="minorBidi" w:cs="Arial"/>
          <w:rtl/>
        </w:rPr>
        <w:t xml:space="preserve">תוס' </w:t>
      </w:r>
      <w:r>
        <w:rPr>
          <w:rFonts w:asciiTheme="minorBidi" w:hAnsiTheme="minorBidi" w:cs="Arial"/>
          <w:sz w:val="16"/>
          <w:szCs w:val="16"/>
          <w:rtl/>
        </w:rPr>
        <w:t>(ד"ה לכרך)</w:t>
      </w:r>
      <w:r>
        <w:rPr>
          <w:rFonts w:asciiTheme="minorBidi" w:hAnsiTheme="minorBidi" w:cs="Arial"/>
          <w:rtl/>
        </w:rPr>
        <w:t xml:space="preserve"> רמב"ן </w:t>
      </w:r>
      <w:r>
        <w:rPr>
          <w:rFonts w:asciiTheme="minorBidi" w:hAnsiTheme="minorBidi" w:cs="Arial"/>
          <w:sz w:val="16"/>
          <w:szCs w:val="16"/>
          <w:rtl/>
        </w:rPr>
        <w:t xml:space="preserve">(קנ: ד"ה הא, כ"כ הה"מ בשמו [פכ"ד ה"ג]) </w:t>
      </w:r>
      <w:r>
        <w:rPr>
          <w:rFonts w:asciiTheme="minorBidi" w:hAnsiTheme="minorBidi" w:cs="Arial"/>
          <w:rtl/>
        </w:rPr>
        <w:t xml:space="preserve">רשב"א </w:t>
      </w:r>
      <w:r>
        <w:rPr>
          <w:rFonts w:asciiTheme="minorBidi" w:hAnsiTheme="minorBidi" w:cs="Arial"/>
          <w:sz w:val="16"/>
          <w:szCs w:val="16"/>
          <w:rtl/>
        </w:rPr>
        <w:t xml:space="preserve">(קנ: ד"ה הא, כ"כ הה"מ בשמו [פכ"ד ה"ג]) </w:t>
      </w:r>
      <w:r>
        <w:rPr>
          <w:rFonts w:asciiTheme="minorBidi" w:hAnsiTheme="minorBidi" w:cs="Arial"/>
          <w:rtl/>
        </w:rPr>
        <w:t xml:space="preserve">רא"ש </w:t>
      </w:r>
      <w:r>
        <w:rPr>
          <w:rFonts w:asciiTheme="minorBidi" w:hAnsiTheme="minorBidi" w:cs="Arial"/>
          <w:sz w:val="16"/>
          <w:szCs w:val="16"/>
          <w:rtl/>
        </w:rPr>
        <w:t xml:space="preserve">(סי' ו) </w:t>
      </w:r>
      <w:r>
        <w:rPr>
          <w:rFonts w:asciiTheme="minorBidi" w:hAnsiTheme="minorBidi" w:cs="Arial"/>
          <w:rtl/>
        </w:rPr>
        <w:t xml:space="preserve">ור"ן </w:t>
      </w:r>
      <w:r>
        <w:rPr>
          <w:rFonts w:asciiTheme="minorBidi" w:hAnsiTheme="minorBidi" w:cs="Arial"/>
          <w:sz w:val="16"/>
          <w:szCs w:val="16"/>
          <w:rtl/>
        </w:rPr>
        <w:t>(סד. ד"ה מותר)</w:t>
      </w:r>
      <w:r>
        <w:rPr>
          <w:rtl/>
        </w:rPr>
        <w:t>.</w:t>
      </w:r>
    </w:p>
  </w:footnote>
  <w:footnote w:id="1220">
    <w:p w14:paraId="315A192A" w14:textId="77777777" w:rsidR="004B2E7C" w:rsidRDefault="004B2E7C" w:rsidP="00285819">
      <w:pPr>
        <w:pStyle w:val="a7"/>
        <w:rPr>
          <w:rtl/>
        </w:rPr>
      </w:pPr>
      <w:r>
        <w:rPr>
          <w:rStyle w:val="a9"/>
        </w:rPr>
        <w:footnoteRef/>
      </w:r>
      <w:r>
        <w:rPr>
          <w:rtl/>
        </w:rPr>
        <w:t xml:space="preserve"> </w:t>
      </w:r>
      <w:r>
        <w:rPr>
          <w:rFonts w:hint="cs"/>
          <w:rtl/>
        </w:rPr>
        <w:t>כתבו ה</w:t>
      </w:r>
      <w:r>
        <w:rPr>
          <w:rFonts w:asciiTheme="minorBidi" w:hAnsiTheme="minorBidi" w:cs="Arial"/>
          <w:rtl/>
        </w:rPr>
        <w:t xml:space="preserve">תוס' </w:t>
      </w:r>
      <w:r>
        <w:rPr>
          <w:rFonts w:asciiTheme="minorBidi" w:hAnsiTheme="minorBidi" w:cs="Arial"/>
          <w:sz w:val="16"/>
          <w:szCs w:val="16"/>
          <w:rtl/>
        </w:rPr>
        <w:t>(ד"ה לכרך)</w:t>
      </w:r>
      <w:r>
        <w:rPr>
          <w:rFonts w:asciiTheme="minorBidi" w:hAnsiTheme="minorBidi" w:cs="Arial"/>
          <w:rtl/>
        </w:rPr>
        <w:t xml:space="preserve">- תימא מאי איריא הוא אפילו לחבירו נמי יכול לומר לך לי </w:t>
      </w:r>
      <w:r>
        <w:rPr>
          <w:rFonts w:asciiTheme="minorBidi" w:hAnsiTheme="minorBidi" w:cs="Arial"/>
          <w:sz w:val="16"/>
          <w:szCs w:val="16"/>
          <w:rtl/>
        </w:rPr>
        <w:t xml:space="preserve">{היינו בשבילי/עימי} </w:t>
      </w:r>
      <w:r>
        <w:rPr>
          <w:rFonts w:asciiTheme="minorBidi" w:hAnsiTheme="minorBidi" w:cs="Arial"/>
          <w:rtl/>
        </w:rPr>
        <w:t>לכרך פלוני למחר מהאי טעמא דקאמר, וצריך לומר ד-...</w:t>
      </w:r>
    </w:p>
  </w:footnote>
  <w:footnote w:id="1221">
    <w:p w14:paraId="688432E7" w14:textId="77777777" w:rsidR="004B2E7C" w:rsidRDefault="004B2E7C" w:rsidP="00285819">
      <w:pPr>
        <w:pStyle w:val="a7"/>
        <w:rPr>
          <w:rtl/>
        </w:rPr>
      </w:pPr>
      <w:r>
        <w:rPr>
          <w:rStyle w:val="a9"/>
        </w:rPr>
        <w:footnoteRef/>
      </w:r>
      <w:r>
        <w:rPr>
          <w:rtl/>
        </w:rPr>
        <w:t xml:space="preserve"> </w:t>
      </w:r>
      <w:r>
        <w:rPr>
          <w:rFonts w:hint="cs"/>
          <w:rtl/>
        </w:rPr>
        <w:t>וכתב הב"י ד</w:t>
      </w:r>
      <w:r>
        <w:rPr>
          <w:rFonts w:asciiTheme="minorBidi" w:hAnsiTheme="minorBidi" w:cs="Arial"/>
          <w:rtl/>
        </w:rPr>
        <w:t>כן נראה מדברי כל הפוסקים (רי"ף סד., רמב"ם שם ה"ג, רא"ש שם).</w:t>
      </w:r>
    </w:p>
  </w:footnote>
  <w:footnote w:id="1222">
    <w:p w14:paraId="32A1AF2C" w14:textId="77777777" w:rsidR="004B2E7C" w:rsidRDefault="004B2E7C" w:rsidP="00285819">
      <w:pPr>
        <w:pStyle w:val="a7"/>
        <w:rPr>
          <w:rtl/>
        </w:rPr>
      </w:pPr>
      <w:r>
        <w:rPr>
          <w:rStyle w:val="a9"/>
        </w:rPr>
        <w:footnoteRef/>
      </w:r>
      <w:r>
        <w:rPr>
          <w:rtl/>
        </w:rPr>
        <w:t xml:space="preserve"> </w:t>
      </w:r>
      <w:r>
        <w:rPr>
          <w:rFonts w:asciiTheme="minorBidi" w:hAnsiTheme="minorBidi" w:cs="Arial"/>
          <w:rtl/>
        </w:rPr>
        <w:t>ומשמע מדבריו דדוקא בשיש בורגנין הוא דשרי הא לאו הכי לא, וא"א לומר כן דא"כ מאי קא משמע לן רב יהודה דמותר לומר למקום פלוני אני הולך למחר כיון דאפילו לילך ממש מותר היום, ועוד דבהדיא משמע בגמרא דבשאין היתר לילך שם בשבת הוא, אלא על כרחך בשאין שם בורגנין הוא וכדברי רש"י, ב"י.</w:t>
      </w:r>
    </w:p>
  </w:footnote>
  <w:footnote w:id="1223">
    <w:p w14:paraId="7FC9E9FF" w14:textId="77777777" w:rsidR="004B2E7C" w:rsidRDefault="004B2E7C" w:rsidP="00285819">
      <w:pPr>
        <w:pStyle w:val="a7"/>
        <w:rPr>
          <w:rtl/>
        </w:rPr>
      </w:pPr>
      <w:r>
        <w:rPr>
          <w:rStyle w:val="a9"/>
        </w:rPr>
        <w:footnoteRef/>
      </w:r>
      <w:r>
        <w:rPr>
          <w:rtl/>
        </w:rPr>
        <w:t xml:space="preserve"> </w:t>
      </w:r>
      <w:r>
        <w:rPr>
          <w:rFonts w:asciiTheme="minorBidi" w:hAnsiTheme="minorBidi" w:cs="Arial"/>
          <w:rtl/>
        </w:rPr>
        <w:t>להיות קרוב לצאת לשמור פירותיו וזה דבר המותר בשבת לשמור פירותיו אם היה בתוך תחומו</w:t>
      </w:r>
      <w:r>
        <w:rPr>
          <w:rtl/>
        </w:rPr>
        <w:t>, רש"י.</w:t>
      </w:r>
    </w:p>
  </w:footnote>
  <w:footnote w:id="1224">
    <w:p w14:paraId="0022D2A1" w14:textId="77777777" w:rsidR="004B2E7C" w:rsidRDefault="004B2E7C" w:rsidP="00285819">
      <w:pPr>
        <w:pStyle w:val="a7"/>
        <w:rPr>
          <w:rtl/>
        </w:rPr>
      </w:pPr>
      <w:r>
        <w:rPr>
          <w:rStyle w:val="a9"/>
        </w:rPr>
        <w:footnoteRef/>
      </w:r>
      <w:r>
        <w:rPr>
          <w:rtl/>
        </w:rPr>
        <w:t xml:space="preserve"> </w:t>
      </w:r>
      <w:r>
        <w:rPr>
          <w:rFonts w:asciiTheme="minorBidi" w:hAnsiTheme="minorBidi" w:cs="Arial"/>
          <w:rtl/>
        </w:rPr>
        <w:t>הואיל ועיקר מחשבתו לא היה לכך</w:t>
      </w:r>
      <w:r>
        <w:rPr>
          <w:rtl/>
        </w:rPr>
        <w:t>, רש"י.</w:t>
      </w:r>
    </w:p>
  </w:footnote>
  <w:footnote w:id="1225">
    <w:p w14:paraId="52F708AF" w14:textId="77777777" w:rsidR="004B2E7C" w:rsidRDefault="004B2E7C" w:rsidP="00285819">
      <w:pPr>
        <w:pStyle w:val="a7"/>
        <w:rPr>
          <w:rtl/>
        </w:rPr>
      </w:pPr>
      <w:r>
        <w:rPr>
          <w:rStyle w:val="a9"/>
        </w:rPr>
        <w:footnoteRef/>
      </w:r>
      <w:r>
        <w:rPr>
          <w:rtl/>
        </w:rPr>
        <w:t xml:space="preserve"> </w:t>
      </w:r>
      <w:r>
        <w:rPr>
          <w:rFonts w:hint="cs"/>
          <w:rtl/>
        </w:rPr>
        <w:t>ו</w:t>
      </w:r>
      <w:r>
        <w:rPr>
          <w:rFonts w:cs="Arial"/>
          <w:rtl/>
        </w:rPr>
        <w:t>אסור לומר אני ארכוב למחר רק יאמר אני הולך, וכן כששואל אותו ישאל אותו אם ילך למחר, מג"א (סקי"א).</w:t>
      </w:r>
    </w:p>
  </w:footnote>
  <w:footnote w:id="1226">
    <w:p w14:paraId="6A150321" w14:textId="77777777" w:rsidR="004B2E7C" w:rsidRDefault="004B2E7C" w:rsidP="00285819">
      <w:pPr>
        <w:pStyle w:val="a7"/>
      </w:pPr>
      <w:r>
        <w:rPr>
          <w:rStyle w:val="a9"/>
        </w:rPr>
        <w:footnoteRef/>
      </w:r>
      <w:r>
        <w:rPr>
          <w:rtl/>
        </w:rPr>
        <w:t xml:space="preserve"> </w:t>
      </w:r>
      <w:r>
        <w:rPr>
          <w:rFonts w:cs="Arial"/>
          <w:rtl/>
        </w:rPr>
        <w:t xml:space="preserve">תוס' </w:t>
      </w:r>
      <w:r>
        <w:rPr>
          <w:rFonts w:cs="Arial"/>
          <w:sz w:val="16"/>
          <w:szCs w:val="16"/>
          <w:rtl/>
        </w:rPr>
        <w:t xml:space="preserve">(קנ: ד"ה ואין) </w:t>
      </w:r>
      <w:r>
        <w:rPr>
          <w:rFonts w:cs="Arial"/>
          <w:rtl/>
        </w:rPr>
        <w:t xml:space="preserve">רמב"ן </w:t>
      </w:r>
      <w:r>
        <w:rPr>
          <w:rFonts w:cs="Arial"/>
          <w:sz w:val="16"/>
          <w:szCs w:val="16"/>
          <w:rtl/>
        </w:rPr>
        <w:t xml:space="preserve">(קנ: ד"ה מת, כ"כ הה"מ בשמו) </w:t>
      </w:r>
      <w:r>
        <w:rPr>
          <w:rFonts w:cs="Arial"/>
          <w:rtl/>
        </w:rPr>
        <w:t xml:space="preserve">רשב"א </w:t>
      </w:r>
      <w:r>
        <w:rPr>
          <w:rFonts w:cs="Arial"/>
          <w:sz w:val="16"/>
          <w:szCs w:val="16"/>
          <w:rtl/>
        </w:rPr>
        <w:t xml:space="preserve">(שם ד"ה על, כ"כ הה"מ בשמו) </w:t>
      </w:r>
      <w:r>
        <w:rPr>
          <w:rFonts w:cs="Arial"/>
          <w:rtl/>
        </w:rPr>
        <w:t xml:space="preserve">והה"מ </w:t>
      </w:r>
      <w:r>
        <w:rPr>
          <w:rFonts w:cs="Arial"/>
          <w:sz w:val="16"/>
          <w:szCs w:val="16"/>
          <w:rtl/>
        </w:rPr>
        <w:t>(פכ"ד ה"ב)</w:t>
      </w:r>
      <w:r>
        <w:rPr>
          <w:rtl/>
        </w:rPr>
        <w:t>.</w:t>
      </w:r>
    </w:p>
  </w:footnote>
  <w:footnote w:id="1227">
    <w:p w14:paraId="4326043F" w14:textId="77777777" w:rsidR="004B2E7C" w:rsidRDefault="004B2E7C" w:rsidP="00285819">
      <w:pPr>
        <w:pStyle w:val="a7"/>
        <w:rPr>
          <w:rtl/>
        </w:rPr>
      </w:pPr>
      <w:r>
        <w:rPr>
          <w:rStyle w:val="a9"/>
        </w:rPr>
        <w:footnoteRef/>
      </w:r>
      <w:r>
        <w:rPr>
          <w:rtl/>
        </w:rPr>
        <w:t xml:space="preserve"> </w:t>
      </w:r>
      <w:r>
        <w:rPr>
          <w:rFonts w:cs="Arial"/>
          <w:rtl/>
        </w:rPr>
        <w:t>וכתב הה"מ שכן נראה מדברי הרמב"ם משום שכתב 'עד סוף התחום'.</w:t>
      </w:r>
    </w:p>
  </w:footnote>
  <w:footnote w:id="1228">
    <w:p w14:paraId="247DB703" w14:textId="77777777" w:rsidR="004B2E7C" w:rsidRDefault="004B2E7C" w:rsidP="00285819">
      <w:pPr>
        <w:pStyle w:val="a7"/>
        <w:rPr>
          <w:rtl/>
        </w:rPr>
      </w:pPr>
      <w:r>
        <w:rPr>
          <w:rStyle w:val="a9"/>
        </w:rPr>
        <w:footnoteRef/>
      </w:r>
      <w:r>
        <w:rPr>
          <w:rtl/>
        </w:rPr>
        <w:t xml:space="preserve"> </w:t>
      </w:r>
      <w:r>
        <w:rPr>
          <w:rFonts w:cs="Arial"/>
          <w:rtl/>
        </w:rPr>
        <w:t xml:space="preserve"> </w:t>
      </w:r>
      <w:r>
        <w:rPr>
          <w:rFonts w:cs="Arial" w:hint="cs"/>
          <w:rtl/>
        </w:rPr>
        <w:t>ומיירי שאינו עומד אצל הגינה דאל"ה הרי מנכר מילתא ע"י עמידתו שרוצה לעשות בה איזה דבר במוצ"ש וכדלעיל בסי' שו ס"א, עי"ש במשנ"ב סק"א, משנ"ב (סקל"ט).</w:t>
      </w:r>
    </w:p>
  </w:footnote>
  <w:footnote w:id="1229">
    <w:p w14:paraId="05E2A491" w14:textId="77777777" w:rsidR="004B2E7C" w:rsidRDefault="004B2E7C" w:rsidP="00285819">
      <w:pPr>
        <w:pStyle w:val="a7"/>
      </w:pPr>
      <w:r>
        <w:rPr>
          <w:rStyle w:val="a9"/>
        </w:rPr>
        <w:footnoteRef/>
      </w:r>
      <w:r>
        <w:rPr>
          <w:rtl/>
        </w:rPr>
        <w:t xml:space="preserve"> </w:t>
      </w:r>
      <w:r>
        <w:rPr>
          <w:rFonts w:cs="Arial"/>
          <w:rtl/>
        </w:rPr>
        <w:t>היינו אפילו היום וקמ"ל דלא נימא דהוי כמו ששוכרו, משנ"ב (סקמ"א).</w:t>
      </w:r>
    </w:p>
  </w:footnote>
  <w:footnote w:id="1230">
    <w:p w14:paraId="62D0042C" w14:textId="77777777" w:rsidR="004B2E7C" w:rsidRDefault="004B2E7C" w:rsidP="00285819">
      <w:pPr>
        <w:pStyle w:val="a7"/>
      </w:pPr>
      <w:r>
        <w:rPr>
          <w:rStyle w:val="a9"/>
        </w:rPr>
        <w:footnoteRef/>
      </w:r>
      <w:r>
        <w:rPr>
          <w:rtl/>
        </w:rPr>
        <w:t xml:space="preserve"> </w:t>
      </w:r>
      <w:r>
        <w:rPr>
          <w:rFonts w:cs="Arial"/>
          <w:rtl/>
        </w:rPr>
        <w:t>ולא ביאר אם מותר אם אסור, ב"י.</w:t>
      </w:r>
    </w:p>
  </w:footnote>
  <w:footnote w:id="1231">
    <w:p w14:paraId="613D0059" w14:textId="77777777" w:rsidR="004B2E7C" w:rsidRDefault="004B2E7C" w:rsidP="00285819">
      <w:pPr>
        <w:pStyle w:val="a7"/>
      </w:pPr>
      <w:r>
        <w:rPr>
          <w:rStyle w:val="a9"/>
        </w:rPr>
        <w:footnoteRef/>
      </w:r>
      <w:r>
        <w:rPr>
          <w:rtl/>
        </w:rPr>
        <w:t xml:space="preserve"> </w:t>
      </w:r>
      <w:r>
        <w:rPr>
          <w:rFonts w:cs="Arial"/>
          <w:rtl/>
        </w:rPr>
        <w:t>דסתם הלואה ל' יום אבל שאלה זמנו לאלתר, וא"כ במקום שנוהגין שסתם הלואה רשאי לתבעו לאלתר כמו שנוהגין במדינתינו רשאי לומר הלויני, מג"א (סקי"ד).</w:t>
      </w:r>
      <w:r>
        <w:rPr>
          <w:rtl/>
        </w:rPr>
        <w:t xml:space="preserve"> ועיין בביאור הלכה דכתב שאין דבר זה ברור.</w:t>
      </w:r>
    </w:p>
  </w:footnote>
  <w:footnote w:id="1232">
    <w:p w14:paraId="7C43338A" w14:textId="77777777" w:rsidR="004B2E7C" w:rsidRDefault="004B2E7C" w:rsidP="00285819">
      <w:pPr>
        <w:pStyle w:val="a7"/>
        <w:rPr>
          <w:rtl/>
        </w:rPr>
      </w:pPr>
      <w:r>
        <w:rPr>
          <w:rStyle w:val="a9"/>
        </w:rPr>
        <w:footnoteRef/>
      </w:r>
      <w:r>
        <w:rPr>
          <w:rtl/>
        </w:rPr>
        <w:t xml:space="preserve"> </w:t>
      </w:r>
      <w:r>
        <w:rPr>
          <w:rFonts w:cs="Arial"/>
          <w:rtl/>
        </w:rPr>
        <w:t>כתב הפמ"ג בשם הרשב"א דבלשון הלואה לא מהני אפילו אם מתנה עמו שמלוהו רק לזמן מועט דלא פלוג רבנן עוד כתב הפמ"ג דאפילו אם לוה ספרים שהוא דבר מצוה ג"כ לא יאמר לשון הלואה</w:t>
      </w:r>
      <w:r>
        <w:rPr>
          <w:rtl/>
        </w:rPr>
        <w:t>, משנ"ב (סקמ"ג).</w:t>
      </w:r>
    </w:p>
  </w:footnote>
  <w:footnote w:id="1233">
    <w:p w14:paraId="391D33D6" w14:textId="77777777" w:rsidR="004B2E7C" w:rsidRDefault="004B2E7C" w:rsidP="00285819">
      <w:pPr>
        <w:pStyle w:val="a7"/>
        <w:rPr>
          <w:rtl/>
        </w:rPr>
      </w:pPr>
      <w:r>
        <w:rPr>
          <w:rStyle w:val="a9"/>
        </w:rPr>
        <w:footnoteRef/>
      </w:r>
      <w:r>
        <w:rPr>
          <w:rtl/>
        </w:rPr>
        <w:t xml:space="preserve"> </w:t>
      </w:r>
      <w:r>
        <w:rPr>
          <w:rFonts w:cs="Arial"/>
          <w:rtl/>
        </w:rPr>
        <w:t>ומותר ג"כ לסיים ואחזור ואתן לך</w:t>
      </w:r>
      <w:r>
        <w:rPr>
          <w:rtl/>
        </w:rPr>
        <w:t>, משנ"ב (סקמ"ד, ע"פ הט"ז סק"ט).</w:t>
      </w:r>
    </w:p>
  </w:footnote>
  <w:footnote w:id="1234">
    <w:p w14:paraId="305A7894" w14:textId="77777777" w:rsidR="004B2E7C" w:rsidRDefault="004B2E7C" w:rsidP="00285819">
      <w:pPr>
        <w:pStyle w:val="a7"/>
        <w:rPr>
          <w:rtl/>
        </w:rPr>
      </w:pPr>
      <w:r>
        <w:rPr>
          <w:rStyle w:val="a9"/>
        </w:rPr>
        <w:footnoteRef/>
      </w:r>
      <w:r>
        <w:rPr>
          <w:rtl/>
        </w:rPr>
        <w:t xml:space="preserve"> </w:t>
      </w:r>
      <w:r>
        <w:rPr>
          <w:rFonts w:cs="Arial"/>
          <w:rtl/>
        </w:rPr>
        <w:t>משמע בגמרא דוקא יין ושמן ודבר שהוא צורך שבת אבל דבר שאינו צורך שבת אסור להניח משכון, ועמ"ש סי' שו ס"ו דקאמר וכן ערב פסח שחל וכו' מניח טליתו, משמע דבשאר דברים אסור רק לצורך קרבן או אכילה ושתיה, וכ"מ בר"ן פ"ק דכתובות שהקשה היאך מותר להתפיס מטלטלין לכתובתה הא הוי קונה קנין בשבת וכו', מג"א (סקי"ד).</w:t>
      </w:r>
      <w:r>
        <w:rPr>
          <w:rtl/>
        </w:rPr>
        <w:t xml:space="preserve"> וכ"כ המשנ"ב (סקמ"ה).</w:t>
      </w:r>
    </w:p>
  </w:footnote>
  <w:footnote w:id="1235">
    <w:p w14:paraId="19D08575" w14:textId="77777777" w:rsidR="004B2E7C" w:rsidRDefault="004B2E7C" w:rsidP="00285819">
      <w:pPr>
        <w:pStyle w:val="a7"/>
      </w:pPr>
      <w:r>
        <w:rPr>
          <w:rStyle w:val="a9"/>
        </w:rPr>
        <w:footnoteRef/>
      </w:r>
      <w:r>
        <w:rPr>
          <w:rtl/>
        </w:rPr>
        <w:t xml:space="preserve"> </w:t>
      </w:r>
      <w:r>
        <w:rPr>
          <w:rFonts w:cs="Arial"/>
          <w:rtl/>
        </w:rPr>
        <w:t xml:space="preserve">היינו אפילו אם לוה ממנו כדי יין ושמן לזמן מרובה אסור לפורעם בשבת דכשם שבהלואה גזרינן שמא יכתוב כך בפרעון גזרינן שמא ימחוק החוב מן הפנקס, משנ"ב </w:t>
      </w:r>
      <w:r>
        <w:rPr>
          <w:rFonts w:cs="Arial"/>
          <w:sz w:val="16"/>
          <w:szCs w:val="16"/>
          <w:rtl/>
        </w:rPr>
        <w:t>(סקמ"ו)</w:t>
      </w:r>
      <w:r>
        <w:rPr>
          <w:rFonts w:cs="Arial"/>
          <w:rtl/>
        </w:rPr>
        <w:t xml:space="preserve">. וז"ל הריב"ש </w:t>
      </w:r>
      <w:r>
        <w:rPr>
          <w:rFonts w:cs="Arial"/>
          <w:sz w:val="16"/>
          <w:szCs w:val="16"/>
          <w:rtl/>
        </w:rPr>
        <w:t xml:space="preserve">(סי' קנו) </w:t>
      </w:r>
      <w:r>
        <w:rPr>
          <w:rFonts w:cs="Arial"/>
          <w:rtl/>
        </w:rPr>
        <w:t xml:space="preserve">אסור לפדות הבן דלא יהא אלא פורע חובו שאסור כדאמרינן </w:t>
      </w:r>
      <w:r>
        <w:rPr>
          <w:rFonts w:cs="Arial"/>
          <w:sz w:val="16"/>
          <w:szCs w:val="16"/>
          <w:rtl/>
        </w:rPr>
        <w:t xml:space="preserve">(שבת קמט.) </w:t>
      </w:r>
      <w:r>
        <w:rPr>
          <w:rFonts w:cs="Arial"/>
          <w:rtl/>
        </w:rPr>
        <w:t xml:space="preserve">משום לוים ופורעין ביו"ט עכ"ל, והתוס' פ"ה דב"מ </w:t>
      </w:r>
      <w:r>
        <w:rPr>
          <w:rFonts w:cs="Arial"/>
          <w:sz w:val="16"/>
          <w:szCs w:val="16"/>
          <w:rtl/>
        </w:rPr>
        <w:t xml:space="preserve">(עה. ד"ה ומשום) </w:t>
      </w:r>
      <w:r>
        <w:rPr>
          <w:rFonts w:cs="Arial"/>
          <w:rtl/>
        </w:rPr>
        <w:t xml:space="preserve">כתבו דאסור לומר לשון הלואה ופריעה אלא לשון שאלה וחזרה עכ"ל. ודוקא בדבר שהוא מאכל וצורך שבת אבל בלא"ה אסור בכל לשון עמ"ש סי' שו ס"ז, מג"א </w:t>
      </w:r>
      <w:r>
        <w:rPr>
          <w:rFonts w:cs="Arial"/>
          <w:sz w:val="16"/>
          <w:szCs w:val="16"/>
          <w:rtl/>
        </w:rPr>
        <w:t>(סקט"ו)</w:t>
      </w:r>
      <w:r>
        <w:rPr>
          <w:rFonts w:cs="Arial"/>
          <w:rtl/>
        </w:rPr>
        <w:t>.</w:t>
      </w:r>
    </w:p>
  </w:footnote>
  <w:footnote w:id="1236">
    <w:p w14:paraId="6F9C9C1D" w14:textId="77777777" w:rsidR="004B2E7C" w:rsidRDefault="004B2E7C" w:rsidP="00285819">
      <w:pPr>
        <w:pStyle w:val="a7"/>
        <w:rPr>
          <w:rtl/>
        </w:rPr>
      </w:pPr>
      <w:r>
        <w:rPr>
          <w:rStyle w:val="a9"/>
        </w:rPr>
        <w:footnoteRef/>
      </w:r>
      <w:r>
        <w:rPr>
          <w:rtl/>
        </w:rPr>
        <w:t xml:space="preserve"> </w:t>
      </w:r>
      <w:r>
        <w:rPr>
          <w:rFonts w:cs="Arial"/>
          <w:rtl/>
        </w:rPr>
        <w:t>שאינו מגיע לשם למחוק, רש"י.</w:t>
      </w:r>
    </w:p>
  </w:footnote>
  <w:footnote w:id="1237">
    <w:p w14:paraId="661DF0BB" w14:textId="77777777" w:rsidR="004B2E7C" w:rsidRDefault="004B2E7C" w:rsidP="00285819">
      <w:pPr>
        <w:pStyle w:val="a7"/>
      </w:pPr>
      <w:r>
        <w:rPr>
          <w:rStyle w:val="a9"/>
        </w:rPr>
        <w:footnoteRef/>
      </w:r>
      <w:r>
        <w:rPr>
          <w:rtl/>
        </w:rPr>
        <w:t xml:space="preserve"> </w:t>
      </w:r>
      <w:r>
        <w:rPr>
          <w:rFonts w:cs="Arial"/>
          <w:rtl/>
        </w:rPr>
        <w:t xml:space="preserve">וכתבו הרי"ף </w:t>
      </w:r>
      <w:r>
        <w:rPr>
          <w:rFonts w:cs="Arial"/>
          <w:sz w:val="16"/>
          <w:szCs w:val="16"/>
          <w:rtl/>
        </w:rPr>
        <w:t xml:space="preserve">(סג:) </w:t>
      </w:r>
      <w:r>
        <w:rPr>
          <w:rFonts w:cs="Arial"/>
          <w:rtl/>
        </w:rPr>
        <w:t xml:space="preserve">והרא"ש </w:t>
      </w:r>
      <w:r>
        <w:rPr>
          <w:rFonts w:cs="Arial"/>
          <w:sz w:val="16"/>
          <w:szCs w:val="16"/>
          <w:rtl/>
        </w:rPr>
        <w:t xml:space="preserve">(סי' א) </w:t>
      </w:r>
      <w:r>
        <w:rPr>
          <w:rFonts w:cs="Arial"/>
          <w:rtl/>
        </w:rPr>
        <w:t xml:space="preserve">דלית הלכתא כרב ביבי </w:t>
      </w:r>
      <w:r>
        <w:rPr>
          <w:rFonts w:cs="Arial"/>
          <w:sz w:val="16"/>
          <w:szCs w:val="16"/>
          <w:rtl/>
        </w:rPr>
        <w:t xml:space="preserve">{אלא אסרינן כתב שנכתב במקום גבוה בכותל} </w:t>
      </w:r>
      <w:r>
        <w:rPr>
          <w:rFonts w:cs="Arial"/>
          <w:rtl/>
        </w:rPr>
        <w:t xml:space="preserve">משום דפליג עליה רבה </w:t>
      </w:r>
      <w:r>
        <w:rPr>
          <w:rFonts w:cs="Arial"/>
          <w:sz w:val="16"/>
          <w:szCs w:val="16"/>
          <w:rtl/>
        </w:rPr>
        <w:t xml:space="preserve">(שבת יב:) </w:t>
      </w:r>
      <w:r>
        <w:rPr>
          <w:rFonts w:cs="Arial"/>
          <w:rtl/>
        </w:rPr>
        <w:t xml:space="preserve">דאמר לא יקרא לאור הנר אפילו גבוה שתי קומות ואפילו גבוה שתי מרדעות וקי"ל דהלכתא כוותיה, וכ"כ הרמב"ם פכ"ג </w:t>
      </w:r>
      <w:r>
        <w:rPr>
          <w:rFonts w:cs="Arial"/>
          <w:sz w:val="16"/>
          <w:szCs w:val="16"/>
          <w:rtl/>
        </w:rPr>
        <w:t>(הי"ט)</w:t>
      </w:r>
      <w:r>
        <w:rPr>
          <w:rFonts w:cs="Arial"/>
          <w:rtl/>
        </w:rPr>
        <w:t>, ב"י</w:t>
      </w:r>
    </w:p>
  </w:footnote>
  <w:footnote w:id="1238">
    <w:p w14:paraId="25A91ADD" w14:textId="77777777" w:rsidR="004B2E7C" w:rsidRDefault="004B2E7C" w:rsidP="00285819">
      <w:pPr>
        <w:pStyle w:val="a7"/>
        <w:rPr>
          <w:rtl/>
        </w:rPr>
      </w:pPr>
      <w:r>
        <w:rPr>
          <w:rStyle w:val="a9"/>
        </w:rPr>
        <w:footnoteRef/>
      </w:r>
      <w:r>
        <w:rPr>
          <w:rtl/>
        </w:rPr>
        <w:t xml:space="preserve"> </w:t>
      </w:r>
      <w:r>
        <w:rPr>
          <w:rFonts w:cs="Arial"/>
          <w:rtl/>
        </w:rPr>
        <w:t>שנמוך, ויכול להגיע שם ולמחוק</w:t>
      </w:r>
      <w:r>
        <w:rPr>
          <w:rtl/>
        </w:rPr>
        <w:t>, רש"י.</w:t>
      </w:r>
    </w:p>
  </w:footnote>
  <w:footnote w:id="1239">
    <w:p w14:paraId="63785D76" w14:textId="77777777" w:rsidR="004B2E7C" w:rsidRDefault="004B2E7C" w:rsidP="00285819">
      <w:pPr>
        <w:pStyle w:val="a7"/>
        <w:rPr>
          <w:rtl/>
        </w:rPr>
      </w:pPr>
      <w:r>
        <w:rPr>
          <w:rStyle w:val="a9"/>
        </w:rPr>
        <w:footnoteRef/>
      </w:r>
      <w:r>
        <w:rPr>
          <w:rtl/>
        </w:rPr>
        <w:t xml:space="preserve"> </w:t>
      </w:r>
      <w:r>
        <w:rPr>
          <w:rFonts w:cs="Arial"/>
          <w:rtl/>
        </w:rPr>
        <w:t>דגודא בשטרא לא מיחלף, אבל טבלא ופינקס מיחלף</w:t>
      </w:r>
      <w:r>
        <w:rPr>
          <w:rtl/>
        </w:rPr>
        <w:t>, רש"י.</w:t>
      </w:r>
    </w:p>
  </w:footnote>
  <w:footnote w:id="1240">
    <w:p w14:paraId="1BA65528" w14:textId="77777777" w:rsidR="004B2E7C" w:rsidRDefault="004B2E7C" w:rsidP="00285819">
      <w:pPr>
        <w:pStyle w:val="a7"/>
        <w:rPr>
          <w:rtl/>
        </w:rPr>
      </w:pPr>
      <w:r>
        <w:rPr>
          <w:rStyle w:val="a9"/>
        </w:rPr>
        <w:footnoteRef/>
      </w:r>
      <w:r>
        <w:rPr>
          <w:rtl/>
        </w:rPr>
        <w:t xml:space="preserve"> </w:t>
      </w:r>
      <w:r>
        <w:rPr>
          <w:rFonts w:cs="Arial"/>
          <w:rtl/>
        </w:rPr>
        <w:t>דבהדיא כתיב בברייתא שמטבלא ופנקס אין למנות</w:t>
      </w:r>
    </w:p>
  </w:footnote>
  <w:footnote w:id="1241">
    <w:p w14:paraId="571D987A" w14:textId="77777777" w:rsidR="004B2E7C" w:rsidRDefault="004B2E7C" w:rsidP="00285819">
      <w:pPr>
        <w:pStyle w:val="a7"/>
      </w:pPr>
      <w:r>
        <w:rPr>
          <w:rStyle w:val="a9"/>
        </w:rPr>
        <w:footnoteRef/>
      </w:r>
      <w:r>
        <w:rPr>
          <w:rtl/>
        </w:rPr>
        <w:t xml:space="preserve"> </w:t>
      </w:r>
      <w:r>
        <w:rPr>
          <w:rFonts w:cs="Arial"/>
          <w:rtl/>
        </w:rPr>
        <w:t xml:space="preserve">ואפילו עיון בעלמא בלא קריאה אסור, ר"ן </w:t>
      </w:r>
      <w:r>
        <w:rPr>
          <w:rFonts w:cs="Arial"/>
          <w:sz w:val="16"/>
          <w:szCs w:val="16"/>
          <w:rtl/>
        </w:rPr>
        <w:t>(פרק שואל (פכ"ג) סג. ד"ה וכתבו, הביאו הדרכ"מ אות ו)</w:t>
      </w:r>
      <w:r>
        <w:rPr>
          <w:rFonts w:cs="Arial"/>
          <w:rtl/>
        </w:rPr>
        <w:t>.</w:t>
      </w:r>
      <w:r>
        <w:rPr>
          <w:rtl/>
        </w:rPr>
        <w:t xml:space="preserve"> וכ"כ הרא"ש </w:t>
      </w:r>
      <w:r>
        <w:rPr>
          <w:sz w:val="16"/>
          <w:szCs w:val="16"/>
          <w:rtl/>
        </w:rPr>
        <w:t xml:space="preserve">( שבת פכ"ג סי' א) </w:t>
      </w:r>
      <w:r>
        <w:rPr>
          <w:rtl/>
        </w:rPr>
        <w:t xml:space="preserve">והטור </w:t>
      </w:r>
      <w:r>
        <w:rPr>
          <w:sz w:val="16"/>
          <w:szCs w:val="16"/>
          <w:rtl/>
        </w:rPr>
        <w:t>(עמ' רצב)</w:t>
      </w:r>
      <w:r>
        <w:rPr>
          <w:rtl/>
        </w:rPr>
        <w:t>.</w:t>
      </w:r>
      <w:r>
        <w:rPr>
          <w:color w:val="00B0F0"/>
          <w:rtl/>
        </w:rPr>
        <w:t xml:space="preserve"> (וכ"פ הרמ"א)</w:t>
      </w:r>
      <w:r>
        <w:rPr>
          <w:color w:val="E36C0A" w:themeColor="accent6" w:themeShade="BF"/>
          <w:rtl/>
        </w:rPr>
        <w:t xml:space="preserve"> (וכ"פ בשו"ע</w:t>
      </w:r>
      <w:r>
        <w:rPr>
          <w:color w:val="E36C0A" w:themeColor="accent6" w:themeShade="BF"/>
          <w:sz w:val="16"/>
          <w:szCs w:val="16"/>
          <w:rtl/>
        </w:rPr>
        <w:t xml:space="preserve"> </w:t>
      </w:r>
      <w:r>
        <w:rPr>
          <w:sz w:val="16"/>
          <w:szCs w:val="16"/>
          <w:rtl/>
        </w:rPr>
        <w:t>[בסע' יג]</w:t>
      </w:r>
      <w:r>
        <w:rPr>
          <w:color w:val="E36C0A" w:themeColor="accent6" w:themeShade="BF"/>
          <w:rtl/>
        </w:rPr>
        <w:t>)</w:t>
      </w:r>
    </w:p>
  </w:footnote>
  <w:footnote w:id="1242">
    <w:p w14:paraId="256F5BF6" w14:textId="77777777" w:rsidR="004B2E7C" w:rsidRDefault="004B2E7C" w:rsidP="00285819">
      <w:pPr>
        <w:pStyle w:val="a7"/>
        <w:rPr>
          <w:rtl/>
        </w:rPr>
      </w:pPr>
      <w:r>
        <w:rPr>
          <w:rStyle w:val="a9"/>
        </w:rPr>
        <w:footnoteRef/>
      </w:r>
      <w:r>
        <w:rPr>
          <w:rtl/>
        </w:rPr>
        <w:t xml:space="preserve"> </w:t>
      </w:r>
      <w:r>
        <w:rPr>
          <w:rFonts w:hint="cs"/>
          <w:rtl/>
        </w:rPr>
        <w:t>שאינו מגיע לשם למחוק, משנ"ב (סקמ"ח).</w:t>
      </w:r>
    </w:p>
  </w:footnote>
  <w:footnote w:id="1243">
    <w:p w14:paraId="3C27A577" w14:textId="77777777" w:rsidR="004B2E7C" w:rsidRDefault="004B2E7C" w:rsidP="00285819">
      <w:pPr>
        <w:pStyle w:val="a7"/>
      </w:pPr>
      <w:r>
        <w:rPr>
          <w:rStyle w:val="a9"/>
        </w:rPr>
        <w:footnoteRef/>
      </w:r>
      <w:r>
        <w:rPr>
          <w:rtl/>
        </w:rPr>
        <w:t xml:space="preserve"> </w:t>
      </w:r>
      <w:r>
        <w:rPr>
          <w:rFonts w:cs="Arial"/>
          <w:rtl/>
        </w:rPr>
        <w:t xml:space="preserve">בגמרא איתא שני טעמים, אחד שמא ימחוק מן האורחין ומן המגדים דהיינו שלפעמים רואה שלא הכין להם כל צרכם ומתחרט שזימן אורחים יותר מן הראוי ומוחק מן הכתב כדי שלא יקראם השמש וכן במיני מגדים ג"כ מתנחם לפעמים למעטם, ועוד טעם שמא יבוא לקרות גם בשטרי הדיוטות, וזה אסור כדלקמיה בסי"ג, משנ"ב (סקמ"ז). </w:t>
      </w:r>
    </w:p>
  </w:footnote>
  <w:footnote w:id="1244">
    <w:p w14:paraId="58038971" w14:textId="77777777" w:rsidR="004B2E7C" w:rsidRDefault="004B2E7C" w:rsidP="00285819">
      <w:pPr>
        <w:pStyle w:val="a7"/>
      </w:pPr>
      <w:r>
        <w:rPr>
          <w:rStyle w:val="a9"/>
        </w:rPr>
        <w:footnoteRef/>
      </w:r>
      <w:r>
        <w:rPr>
          <w:rtl/>
        </w:rPr>
        <w:t xml:space="preserve"> </w:t>
      </w:r>
      <w:r>
        <w:rPr>
          <w:rFonts w:cs="Arial"/>
          <w:rtl/>
        </w:rPr>
        <w:t xml:space="preserve"> </w:t>
      </w:r>
      <w:r>
        <w:rPr>
          <w:rFonts w:cs="Arial" w:hint="cs"/>
          <w:rtl/>
        </w:rPr>
        <w:t>כדי למנות האורחים ומיני מגדים, עולת שבת (סקי"ט).</w:t>
      </w:r>
      <w:r>
        <w:rPr>
          <w:rtl/>
        </w:rPr>
        <w:t xml:space="preserve"> וכ"כ המשנ"ב (בגליון שו"ע), וכתב שצריך לגרוס 'ואפילו' דקאי על דין זימן אורחים. אך העטרת צבי (סקי"ב) כתב דמיירי על האגרות.</w:t>
      </w:r>
    </w:p>
  </w:footnote>
  <w:footnote w:id="1245">
    <w:p w14:paraId="1ABC8B45" w14:textId="77777777" w:rsidR="004B2E7C" w:rsidRDefault="004B2E7C" w:rsidP="00285819">
      <w:pPr>
        <w:pStyle w:val="a7"/>
      </w:pPr>
      <w:r>
        <w:rPr>
          <w:rStyle w:val="a9"/>
        </w:rPr>
        <w:footnoteRef/>
      </w:r>
      <w:r>
        <w:rPr>
          <w:rtl/>
        </w:rPr>
        <w:t xml:space="preserve"> </w:t>
      </w:r>
      <w:r>
        <w:rPr>
          <w:rFonts w:asciiTheme="minorBidi" w:hAnsiTheme="minorBidi" w:cs="Arial"/>
          <w:rtl/>
        </w:rPr>
        <w:t>וכן אלו שכותבין הנדבות ונותנין לשליח צבור, וכן שכותבין המתים שמתו באותה שנה ונותנין לשליח צבור ועושה השכבות, וכן מה שהשמש מכריז הסכמות הקהל מתוך הכתב</w:t>
      </w:r>
      <w:r>
        <w:rPr>
          <w:rtl/>
        </w:rPr>
        <w:t>, כנה"ג ועול"ש.</w:t>
      </w:r>
      <w:r>
        <w:rPr>
          <w:rFonts w:asciiTheme="minorBidi" w:hAnsiTheme="minorBidi" w:cs="Arial"/>
          <w:rtl/>
        </w:rPr>
        <w:t xml:space="preserve"> אך העטרת צבי (סקי"ג) כתב בשם הב"ח (ס"ה)- דמה שנהגו ביריד לובלין ושאר ירידים שהשמש קורא מתוך הכתב את מי שהוא מחרים על פי ב"ד על דבר חובותיו, ולא חיישינן לקורא בשטרי הדיוטות, אין כח לשום מורה לבטל מנהג זה שנהגו להקל לפני כמה גדולים</w:t>
      </w:r>
      <w:r>
        <w:rPr>
          <w:rtl/>
        </w:rPr>
        <w:t>.</w:t>
      </w:r>
    </w:p>
  </w:footnote>
  <w:footnote w:id="1246">
    <w:p w14:paraId="4E379A07" w14:textId="77777777" w:rsidR="004B2E7C" w:rsidRDefault="004B2E7C" w:rsidP="00285819">
      <w:pPr>
        <w:pStyle w:val="a7"/>
        <w:rPr>
          <w:rtl/>
        </w:rPr>
      </w:pPr>
      <w:r>
        <w:rPr>
          <w:rStyle w:val="a9"/>
        </w:rPr>
        <w:footnoteRef/>
      </w:r>
      <w:r>
        <w:rPr>
          <w:rtl/>
        </w:rPr>
        <w:t xml:space="preserve"> </w:t>
      </w:r>
      <w:r>
        <w:rPr>
          <w:rFonts w:cs="Arial"/>
          <w:rtl/>
        </w:rPr>
        <w:t>כתבו התוס' דתימא דנהגו העולם לקרות בכתבים ואגרות השלוחים ממקום למקום, ולטלטלם ודאי שרי דהא ראויים לצור על פי צלוחיתו ונראה לר"י ד-...</w:t>
      </w:r>
    </w:p>
  </w:footnote>
  <w:footnote w:id="1247">
    <w:p w14:paraId="461CCEB7" w14:textId="77777777" w:rsidR="004B2E7C" w:rsidRDefault="004B2E7C" w:rsidP="00285819">
      <w:pPr>
        <w:pStyle w:val="a7"/>
      </w:pPr>
      <w:r>
        <w:rPr>
          <w:rStyle w:val="a9"/>
        </w:rPr>
        <w:footnoteRef/>
      </w:r>
      <w:r>
        <w:rPr>
          <w:rtl/>
        </w:rPr>
        <w:t xml:space="preserve"> </w:t>
      </w:r>
      <w:r>
        <w:rPr>
          <w:rFonts w:cs="Arial"/>
          <w:rtl/>
        </w:rPr>
        <w:t>ר"ת</w:t>
      </w:r>
      <w:r>
        <w:rPr>
          <w:rFonts w:cs="Arial"/>
          <w:sz w:val="16"/>
          <w:szCs w:val="16"/>
          <w:rtl/>
        </w:rPr>
        <w:t xml:space="preserve"> (כ"כ התוס' [שם] בשמו)</w:t>
      </w:r>
      <w:r>
        <w:rPr>
          <w:rFonts w:cs="Arial"/>
          <w:rtl/>
        </w:rPr>
        <w:t xml:space="preserve"> ראבי"ה </w:t>
      </w:r>
      <w:r>
        <w:rPr>
          <w:rFonts w:cs="Arial"/>
          <w:sz w:val="16"/>
          <w:szCs w:val="16"/>
          <w:rtl/>
        </w:rPr>
        <w:t xml:space="preserve">(סי' תשמד, כ"כ המרדכי בשמו [שבת סי' רנד, ביצה סי' תרסה]) </w:t>
      </w:r>
      <w:r>
        <w:rPr>
          <w:rFonts w:cs="Arial"/>
          <w:rtl/>
        </w:rPr>
        <w:t xml:space="preserve">מהר"ם </w:t>
      </w:r>
      <w:r>
        <w:rPr>
          <w:rFonts w:cs="Arial"/>
          <w:sz w:val="16"/>
          <w:szCs w:val="16"/>
          <w:rtl/>
        </w:rPr>
        <w:t xml:space="preserve">(כ"כ בשמו ההגה"מ [פ"ו ד"ק הל' כ, ובהגה' חדשות פ"ב מהל' יו"ט אות כ]) </w:t>
      </w:r>
      <w:r>
        <w:rPr>
          <w:rFonts w:cs="Arial"/>
          <w:rtl/>
        </w:rPr>
        <w:t xml:space="preserve">והג"א </w:t>
      </w:r>
      <w:r>
        <w:rPr>
          <w:rFonts w:cs="Arial"/>
          <w:sz w:val="16"/>
          <w:szCs w:val="16"/>
          <w:rtl/>
        </w:rPr>
        <w:t>(פרק אין צדין ביצה סי' יד)</w:t>
      </w:r>
      <w:r>
        <w:rPr>
          <w:rtl/>
        </w:rPr>
        <w:t>.</w:t>
      </w:r>
    </w:p>
  </w:footnote>
  <w:footnote w:id="1248">
    <w:p w14:paraId="5A3329F5" w14:textId="77777777" w:rsidR="004B2E7C" w:rsidRDefault="004B2E7C" w:rsidP="00285819">
      <w:pPr>
        <w:pStyle w:val="a7"/>
        <w:rPr>
          <w:rtl/>
        </w:rPr>
      </w:pPr>
      <w:r>
        <w:rPr>
          <w:rStyle w:val="a9"/>
        </w:rPr>
        <w:footnoteRef/>
      </w:r>
      <w:r>
        <w:rPr>
          <w:rtl/>
        </w:rPr>
        <w:t xml:space="preserve"> </w:t>
      </w:r>
      <w:r>
        <w:rPr>
          <w:rFonts w:hint="cs"/>
          <w:rtl/>
        </w:rPr>
        <w:t xml:space="preserve">וכתבו התוס'- </w:t>
      </w:r>
      <w:r>
        <w:rPr>
          <w:rFonts w:cs="Arial"/>
          <w:rtl/>
        </w:rPr>
        <w:t xml:space="preserve">אפילו יודע שאין בו פיקוח נפש מתיר ר"ת דלא הוי שטרי הדיוטות כיון דאין צריך למה שכתוב בהם ואם אינו יודע שמא יש בהם צורך גדול או פיקוח נפש ושרי וכן משמע בירושלמי </w:t>
      </w:r>
      <w:r>
        <w:rPr>
          <w:rFonts w:cs="Arial"/>
          <w:sz w:val="16"/>
          <w:szCs w:val="16"/>
          <w:rtl/>
        </w:rPr>
        <w:t>(שהובא לעיל)</w:t>
      </w:r>
      <w:r>
        <w:rPr>
          <w:rFonts w:cs="Arial"/>
          <w:rtl/>
        </w:rPr>
        <w:t>.</w:t>
      </w:r>
    </w:p>
  </w:footnote>
  <w:footnote w:id="1249">
    <w:p w14:paraId="77DD6FEC" w14:textId="77777777" w:rsidR="004B2E7C" w:rsidRDefault="004B2E7C" w:rsidP="00285819">
      <w:pPr>
        <w:pStyle w:val="a7"/>
        <w:rPr>
          <w:rtl/>
        </w:rPr>
      </w:pPr>
      <w:r>
        <w:rPr>
          <w:rStyle w:val="a9"/>
        </w:rPr>
        <w:footnoteRef/>
      </w:r>
      <w:r>
        <w:rPr>
          <w:rtl/>
        </w:rPr>
        <w:t xml:space="preserve"> </w:t>
      </w:r>
      <w:r>
        <w:rPr>
          <w:rFonts w:cs="Arial"/>
          <w:rtl/>
        </w:rPr>
        <w:t>ואע"פ שבפרק שואל (סד: ד"ה תנו) כתב שהרמב"ן (קנא. ד"ה הא) סובר דאגרות שלום לא מיקרי שטרי הדיוטות בפרק כל כתבי (מג: ד"ה והלכתא) כתב כדברי רש"י דאגרות שלום הוי שטרי הדיוטות.</w:t>
      </w:r>
    </w:p>
  </w:footnote>
  <w:footnote w:id="1250">
    <w:p w14:paraId="051B9B5C" w14:textId="77777777" w:rsidR="004B2E7C" w:rsidRDefault="004B2E7C" w:rsidP="00285819">
      <w:pPr>
        <w:pStyle w:val="a7"/>
      </w:pPr>
      <w:r>
        <w:rPr>
          <w:rStyle w:val="a9"/>
        </w:rPr>
        <w:footnoteRef/>
      </w:r>
      <w:r>
        <w:rPr>
          <w:rtl/>
        </w:rPr>
        <w:t xml:space="preserve"> </w:t>
      </w:r>
      <w:r>
        <w:rPr>
          <w:rFonts w:cs="Arial"/>
          <w:rtl/>
        </w:rPr>
        <w:t xml:space="preserve">רש"י </w:t>
      </w:r>
      <w:r>
        <w:rPr>
          <w:rFonts w:cs="Arial"/>
          <w:sz w:val="16"/>
          <w:szCs w:val="16"/>
          <w:rtl/>
        </w:rPr>
        <w:t xml:space="preserve">(קטז:) </w:t>
      </w:r>
      <w:r>
        <w:rPr>
          <w:rFonts w:cs="Arial"/>
          <w:rtl/>
        </w:rPr>
        <w:t xml:space="preserve">רמב"ם </w:t>
      </w:r>
      <w:r>
        <w:rPr>
          <w:rFonts w:cs="Arial"/>
          <w:sz w:val="16"/>
          <w:szCs w:val="16"/>
          <w:rtl/>
        </w:rPr>
        <w:t xml:space="preserve">(בפהמ"ש ריש פכ"ג, כ"כ הה"מ בשמו [שם]) </w:t>
      </w:r>
      <w:r>
        <w:rPr>
          <w:rFonts w:cs="Arial"/>
          <w:rtl/>
        </w:rPr>
        <w:t xml:space="preserve">רשב"א </w:t>
      </w:r>
      <w:r>
        <w:rPr>
          <w:rFonts w:cs="Arial"/>
          <w:sz w:val="16"/>
          <w:szCs w:val="16"/>
          <w:rtl/>
        </w:rPr>
        <w:t>(קמט. סוד"ה לא, כ"כ הה"מ בשמו [פכ"ג הי"ט])</w:t>
      </w:r>
      <w:r>
        <w:rPr>
          <w:rFonts w:cs="Arial"/>
          <w:rtl/>
        </w:rPr>
        <w:t xml:space="preserve"> ה"ר יונה </w:t>
      </w:r>
      <w:r>
        <w:rPr>
          <w:rFonts w:cs="Arial"/>
          <w:sz w:val="16"/>
          <w:szCs w:val="16"/>
          <w:rtl/>
        </w:rPr>
        <w:t xml:space="preserve">(כ"כ הרא"ש בשמו) </w:t>
      </w:r>
      <w:r>
        <w:rPr>
          <w:rFonts w:cs="Arial"/>
          <w:rtl/>
        </w:rPr>
        <w:t xml:space="preserve">רא"ש </w:t>
      </w:r>
      <w:r>
        <w:rPr>
          <w:rFonts w:cs="Arial"/>
          <w:sz w:val="16"/>
          <w:szCs w:val="16"/>
          <w:rtl/>
        </w:rPr>
        <w:t>(פרק שואל סי' א)</w:t>
      </w:r>
      <w:r>
        <w:rPr>
          <w:rFonts w:cs="Arial"/>
          <w:rtl/>
        </w:rPr>
        <w:t xml:space="preserve"> טור ור"ן</w:t>
      </w:r>
      <w:r>
        <w:rPr>
          <w:rFonts w:cs="Arial"/>
          <w:sz w:val="16"/>
          <w:szCs w:val="16"/>
          <w:rtl/>
        </w:rPr>
        <w:t xml:space="preserve"> (שם)</w:t>
      </w:r>
      <w:r>
        <w:rPr>
          <w:rtl/>
        </w:rPr>
        <w:t>.</w:t>
      </w:r>
    </w:p>
  </w:footnote>
  <w:footnote w:id="1251">
    <w:p w14:paraId="0F23DE2F" w14:textId="77777777" w:rsidR="004B2E7C" w:rsidRDefault="004B2E7C" w:rsidP="00285819">
      <w:pPr>
        <w:pStyle w:val="a7"/>
        <w:rPr>
          <w:rtl/>
        </w:rPr>
      </w:pPr>
      <w:r>
        <w:rPr>
          <w:rStyle w:val="a9"/>
        </w:rPr>
        <w:footnoteRef/>
      </w:r>
      <w:r>
        <w:rPr>
          <w:rtl/>
        </w:rPr>
        <w:t xml:space="preserve"> </w:t>
      </w:r>
      <w:r>
        <w:rPr>
          <w:rFonts w:cs="Arial"/>
          <w:rtl/>
        </w:rPr>
        <w:t>וכתב הרשב"א בתשובה (ח"ז סי' שמו) לקרות אגרת שלומים בשבת כבר ראית דעתי שהוא אסור ומכל מקום מי שדעתו נוטה לדעת הרמב"ן אין בידינו לדחות אותו וכמו שאמרו מאן דאית ליה כרבי יהודה מאן דעביד כר' מאיר מילט לייט ליה ולפיכך מאן דנוהג כאחד מן הגדולים ואין בידינו ראיה מכרחת אין בידינו כח למנוע והאמת יורה דרכו עכ"ל.</w:t>
      </w:r>
    </w:p>
  </w:footnote>
  <w:footnote w:id="1252">
    <w:p w14:paraId="6E0F68AB" w14:textId="77777777" w:rsidR="004B2E7C" w:rsidRDefault="004B2E7C" w:rsidP="00285819">
      <w:pPr>
        <w:pStyle w:val="a7"/>
      </w:pPr>
      <w:r>
        <w:rPr>
          <w:rStyle w:val="a9"/>
        </w:rPr>
        <w:footnoteRef/>
      </w:r>
      <w:r>
        <w:rPr>
          <w:rtl/>
        </w:rPr>
        <w:t xml:space="preserve"> </w:t>
      </w:r>
      <w:r>
        <w:rPr>
          <w:rFonts w:hint="cs"/>
          <w:rtl/>
        </w:rPr>
        <w:t xml:space="preserve">וכן נהגו, הה"מ </w:t>
      </w:r>
      <w:r>
        <w:rPr>
          <w:rFonts w:cs="Arial"/>
          <w:rtl/>
        </w:rPr>
        <w:t>(פכ"ג הי"ט).</w:t>
      </w:r>
    </w:p>
  </w:footnote>
  <w:footnote w:id="1253">
    <w:p w14:paraId="602F5FC8" w14:textId="77777777" w:rsidR="004B2E7C" w:rsidRDefault="004B2E7C" w:rsidP="00285819">
      <w:pPr>
        <w:pStyle w:val="a7"/>
        <w:rPr>
          <w:rtl/>
        </w:rPr>
      </w:pPr>
      <w:r>
        <w:rPr>
          <w:rStyle w:val="a9"/>
        </w:rPr>
        <w:footnoteRef/>
      </w:r>
      <w:r>
        <w:rPr>
          <w:rtl/>
        </w:rPr>
        <w:t xml:space="preserve"> </w:t>
      </w:r>
      <w:r>
        <w:rPr>
          <w:rFonts w:cs="Arial"/>
          <w:rtl/>
        </w:rPr>
        <w:t>נראה מדבריו דאפי' לדעת ה"ר יונה וסיעתו מותר לקרות באגרת שהובאה לו בשבת דלא אסרו לקרות אלא כשנשתלחה לו קודם לכן שכבר יודע מה שכתוב בה וה"ה אפילו נשתלחה לו בשבת אם קראה כבר כיון שיודע מה שבתוכה אסור לקרותה משום שטרי הדיוטות ולא משמע כן מדברי רבינו אלא מאן דאסר בכל גוונא אסר אפי' הובאה בשבת ואינו יודע אם יש בה צורך הגוף</w:t>
      </w:r>
      <w:r>
        <w:rPr>
          <w:rtl/>
        </w:rPr>
        <w:t>, ב"י.</w:t>
      </w:r>
    </w:p>
  </w:footnote>
  <w:footnote w:id="1254">
    <w:p w14:paraId="147A58A5" w14:textId="77777777" w:rsidR="004B2E7C" w:rsidRDefault="004B2E7C" w:rsidP="00285819">
      <w:pPr>
        <w:pStyle w:val="a7"/>
        <w:rPr>
          <w:rtl/>
        </w:rPr>
      </w:pPr>
      <w:r>
        <w:rPr>
          <w:rStyle w:val="a9"/>
        </w:rPr>
        <w:footnoteRef/>
      </w:r>
      <w:r>
        <w:rPr>
          <w:rtl/>
        </w:rPr>
        <w:t xml:space="preserve"> </w:t>
      </w:r>
      <w:r>
        <w:rPr>
          <w:rFonts w:cs="Arial"/>
          <w:rtl/>
        </w:rPr>
        <w:t xml:space="preserve">שבה"ל </w:t>
      </w:r>
      <w:r>
        <w:rPr>
          <w:rFonts w:cs="Arial"/>
          <w:sz w:val="16"/>
          <w:szCs w:val="16"/>
          <w:rtl/>
        </w:rPr>
        <w:t xml:space="preserve">(סי' קכב) </w:t>
      </w:r>
      <w:r>
        <w:rPr>
          <w:rFonts w:cs="Arial"/>
          <w:rtl/>
        </w:rPr>
        <w:t xml:space="preserve">בשם ה"ר בנימין </w:t>
      </w:r>
      <w:r>
        <w:rPr>
          <w:rFonts w:cs="Arial"/>
          <w:sz w:val="16"/>
          <w:szCs w:val="16"/>
          <w:rtl/>
        </w:rPr>
        <w:t xml:space="preserve">(כנראה אחיו הגדול - רבי בנימין ב"ר אברהם) </w:t>
      </w:r>
      <w:r>
        <w:rPr>
          <w:rFonts w:cs="Arial"/>
          <w:rtl/>
        </w:rPr>
        <w:t xml:space="preserve">ה"ר יונה </w:t>
      </w:r>
      <w:r>
        <w:rPr>
          <w:rFonts w:cs="Arial"/>
          <w:sz w:val="16"/>
          <w:szCs w:val="16"/>
          <w:rtl/>
        </w:rPr>
        <w:t xml:space="preserve">(כ"כ הרא"ש בשמו) </w:t>
      </w:r>
      <w:r>
        <w:rPr>
          <w:rFonts w:cs="Arial"/>
          <w:rtl/>
        </w:rPr>
        <w:t xml:space="preserve">רא"ש </w:t>
      </w:r>
      <w:r>
        <w:rPr>
          <w:rFonts w:cs="Arial"/>
          <w:sz w:val="16"/>
          <w:szCs w:val="16"/>
          <w:rtl/>
        </w:rPr>
        <w:t>(שם)</w:t>
      </w:r>
      <w:r>
        <w:rPr>
          <w:rFonts w:cs="Arial"/>
          <w:rtl/>
        </w:rPr>
        <w:t xml:space="preserve"> טור ור"ן</w:t>
      </w:r>
      <w:r>
        <w:rPr>
          <w:rFonts w:cs="Arial"/>
          <w:sz w:val="16"/>
          <w:szCs w:val="16"/>
          <w:rtl/>
        </w:rPr>
        <w:t xml:space="preserve"> (שבת סג.)</w:t>
      </w:r>
    </w:p>
  </w:footnote>
  <w:footnote w:id="1255">
    <w:p w14:paraId="34A77561" w14:textId="77777777" w:rsidR="004B2E7C" w:rsidRDefault="004B2E7C" w:rsidP="00285819">
      <w:pPr>
        <w:pStyle w:val="a7"/>
        <w:rPr>
          <w:rtl/>
        </w:rPr>
      </w:pPr>
      <w:r>
        <w:rPr>
          <w:rStyle w:val="a9"/>
        </w:rPr>
        <w:footnoteRef/>
      </w:r>
      <w:r>
        <w:rPr>
          <w:rtl/>
        </w:rPr>
        <w:t xml:space="preserve"> </w:t>
      </w:r>
      <w:r>
        <w:rPr>
          <w:rFonts w:cs="Arial"/>
          <w:rtl/>
        </w:rPr>
        <w:t>לפי שא"א שלא ישא ויתן בענייני האגרת</w:t>
      </w:r>
      <w:r>
        <w:rPr>
          <w:rtl/>
        </w:rPr>
        <w:t>, שבה"ל בשם ר' בנימין.</w:t>
      </w:r>
    </w:p>
  </w:footnote>
  <w:footnote w:id="1256">
    <w:p w14:paraId="174ED000" w14:textId="77777777" w:rsidR="004B2E7C" w:rsidRDefault="004B2E7C" w:rsidP="00285819">
      <w:pPr>
        <w:pStyle w:val="a7"/>
        <w:rPr>
          <w:rtl/>
        </w:rPr>
      </w:pPr>
      <w:r>
        <w:rPr>
          <w:rStyle w:val="a9"/>
        </w:rPr>
        <w:footnoteRef/>
      </w:r>
      <w:r>
        <w:rPr>
          <w:rtl/>
        </w:rPr>
        <w:t xml:space="preserve"> </w:t>
      </w:r>
      <w:r>
        <w:rPr>
          <w:rFonts w:cs="Arial"/>
          <w:rtl/>
        </w:rPr>
        <w:t>י"א</w:t>
      </w:r>
      <w:r>
        <w:rPr>
          <w:rFonts w:cs="Arial"/>
          <w:sz w:val="16"/>
          <w:szCs w:val="16"/>
          <w:rtl/>
        </w:rPr>
        <w:t xml:space="preserve"> (רא"ש בשם ר"י)</w:t>
      </w:r>
      <w:r>
        <w:rPr>
          <w:rFonts w:cs="Arial"/>
          <w:rtl/>
        </w:rPr>
        <w:t xml:space="preserve"> משום ממצוא חפצך וי"א</w:t>
      </w:r>
      <w:r>
        <w:rPr>
          <w:rFonts w:cs="Arial"/>
          <w:sz w:val="14"/>
          <w:szCs w:val="14"/>
          <w:rtl/>
        </w:rPr>
        <w:t xml:space="preserve"> </w:t>
      </w:r>
      <w:r>
        <w:rPr>
          <w:rFonts w:cs="Arial"/>
          <w:sz w:val="16"/>
          <w:szCs w:val="16"/>
          <w:rtl/>
        </w:rPr>
        <w:t>(רמב"ם)</w:t>
      </w:r>
      <w:r>
        <w:rPr>
          <w:rFonts w:cs="Arial"/>
          <w:rtl/>
        </w:rPr>
        <w:t xml:space="preserve"> משום שמא ימחוק, משנ"ב (סקנ"א).</w:t>
      </w:r>
    </w:p>
  </w:footnote>
  <w:footnote w:id="1257">
    <w:p w14:paraId="458E4799" w14:textId="77777777" w:rsidR="004B2E7C" w:rsidRDefault="004B2E7C" w:rsidP="00285819">
      <w:pPr>
        <w:pStyle w:val="a7"/>
      </w:pPr>
      <w:r>
        <w:rPr>
          <w:rStyle w:val="a9"/>
        </w:rPr>
        <w:footnoteRef/>
      </w:r>
      <w:r>
        <w:rPr>
          <w:rtl/>
        </w:rPr>
        <w:t xml:space="preserve"> </w:t>
      </w:r>
      <w:r>
        <w:rPr>
          <w:rFonts w:cs="Arial"/>
          <w:rtl/>
        </w:rPr>
        <w:t>נראה שהוא סובר שאסור לטלטלו דהוי מוקצה ומיהו לעיין בו כיון שאינו מטלטלו וגם אינו מדבר שרי, ב"י.</w:t>
      </w:r>
    </w:p>
  </w:footnote>
  <w:footnote w:id="1258">
    <w:p w14:paraId="7E5D89E0" w14:textId="77777777" w:rsidR="004B2E7C" w:rsidRDefault="004B2E7C" w:rsidP="00285819">
      <w:pPr>
        <w:pStyle w:val="a7"/>
      </w:pPr>
      <w:r>
        <w:rPr>
          <w:rStyle w:val="a9"/>
        </w:rPr>
        <w:footnoteRef/>
      </w:r>
      <w:r>
        <w:rPr>
          <w:rtl/>
        </w:rPr>
        <w:t xml:space="preserve"> </w:t>
      </w:r>
      <w:r>
        <w:rPr>
          <w:rFonts w:cs="Arial"/>
          <w:rtl/>
        </w:rPr>
        <w:t xml:space="preserve">ואע"ג דדבר הבא מחוץ לתחום אם אין במינו במחובר מותר לטלטלו אפילו מי שהובא בשבילו כמבואר בסי' תקטו </w:t>
      </w:r>
      <w:r>
        <w:rPr>
          <w:rFonts w:cs="Arial"/>
          <w:sz w:val="16"/>
          <w:szCs w:val="16"/>
          <w:rtl/>
        </w:rPr>
        <w:t xml:space="preserve">(רנ:) </w:t>
      </w:r>
      <w:r>
        <w:rPr>
          <w:rFonts w:cs="Arial"/>
          <w:rtl/>
        </w:rPr>
        <w:t xml:space="preserve">י"ל דהתם שאני כדיהיב הרא"ש </w:t>
      </w:r>
      <w:r>
        <w:rPr>
          <w:rFonts w:cs="Arial"/>
          <w:sz w:val="16"/>
          <w:szCs w:val="16"/>
          <w:rtl/>
        </w:rPr>
        <w:t xml:space="preserve">(ביצה פ"ג סי' ב) </w:t>
      </w:r>
      <w:r>
        <w:rPr>
          <w:rFonts w:cs="Arial"/>
          <w:rtl/>
        </w:rPr>
        <w:t>טעמא דכיון דשרי באכילה לישראל אין לו דין מוקצה ליאסר בטלטול. וכבר כתבתי שהתוס' פשוט להם שמותר לטלטל אגרות השלוחים ממקום למקום וכ"כ הגהות פ"ו והמרדכי בפ"ק דיו"ט בשם אבי העזרי, ב"י.</w:t>
      </w:r>
    </w:p>
  </w:footnote>
  <w:footnote w:id="1259">
    <w:p w14:paraId="657F59A6" w14:textId="77777777" w:rsidR="004B2E7C" w:rsidRDefault="004B2E7C" w:rsidP="00285819">
      <w:pPr>
        <w:pStyle w:val="a7"/>
        <w:rPr>
          <w:rtl/>
        </w:rPr>
      </w:pPr>
      <w:r>
        <w:rPr>
          <w:rStyle w:val="a9"/>
        </w:rPr>
        <w:footnoteRef/>
      </w:r>
      <w:r>
        <w:rPr>
          <w:rtl/>
        </w:rPr>
        <w:t xml:space="preserve"> </w:t>
      </w:r>
      <w:r>
        <w:rPr>
          <w:rFonts w:cs="Arial"/>
          <w:rtl/>
        </w:rPr>
        <w:t>ומצאתי כתוב בהגהת אלפסי (שלט"ג סג. אות ב) מיהו נראה דאם היה בו פסקים ודינים ופירושי התורה דמותר לקרות בהן לכו"ע אפילו אם הובאו מערב שבת, ועיין בסמוך (אות ח) כתבתי היתר אם הם כתובים בלשון הקודש, דרכ"מ (אות ז).</w:t>
      </w:r>
    </w:p>
  </w:footnote>
  <w:footnote w:id="1260">
    <w:p w14:paraId="619F1822" w14:textId="77777777" w:rsidR="004B2E7C" w:rsidRDefault="004B2E7C" w:rsidP="00285819">
      <w:pPr>
        <w:pStyle w:val="a7"/>
        <w:rPr>
          <w:rtl/>
        </w:rPr>
      </w:pPr>
      <w:r>
        <w:rPr>
          <w:rStyle w:val="a9"/>
        </w:rPr>
        <w:footnoteRef/>
      </w:r>
      <w:r>
        <w:rPr>
          <w:rtl/>
        </w:rPr>
        <w:t xml:space="preserve"> </w:t>
      </w:r>
      <w:r>
        <w:rPr>
          <w:rFonts w:cs="Arial"/>
          <w:rtl/>
        </w:rPr>
        <w:t>ומדברי התוס' פרק כל כתבי (קטז: ד"ה וכ"ש) מבואר דאפילו לעיין בהם אסור, ויתבאר בסמוך. וכן מבואר מלשון התוספתא (פי"ח ה"א) דאסור להסתכל בהם, וכ"כ הרא"ש בפרק השואל (פכ"ג סי' א)</w:t>
      </w:r>
      <w:r>
        <w:rPr>
          <w:rtl/>
        </w:rPr>
        <w:t>, עול"ש (סקי"ט).</w:t>
      </w:r>
    </w:p>
  </w:footnote>
  <w:footnote w:id="1261">
    <w:p w14:paraId="2F6DC098" w14:textId="77777777" w:rsidR="004B2E7C" w:rsidRDefault="004B2E7C" w:rsidP="00285819">
      <w:pPr>
        <w:pStyle w:val="a7"/>
        <w:rPr>
          <w:rtl/>
        </w:rPr>
      </w:pPr>
      <w:r>
        <w:rPr>
          <w:rStyle w:val="a9"/>
        </w:rPr>
        <w:footnoteRef/>
      </w:r>
      <w:r>
        <w:rPr>
          <w:rtl/>
        </w:rPr>
        <w:t xml:space="preserve"> </w:t>
      </w:r>
      <w:r>
        <w:rPr>
          <w:rFonts w:cs="Arial"/>
          <w:rtl/>
        </w:rPr>
        <w:t>אבל בחול מותר דכיון דדבר מועט הוא ליכא למיחש לאמשוכי (מהרש"א), מג"א (סקכ"א).</w:t>
      </w:r>
    </w:p>
  </w:footnote>
  <w:footnote w:id="1262">
    <w:p w14:paraId="208264CE" w14:textId="77777777" w:rsidR="004B2E7C" w:rsidRDefault="004B2E7C" w:rsidP="00285819">
      <w:pPr>
        <w:pStyle w:val="a7"/>
      </w:pPr>
      <w:r>
        <w:rPr>
          <w:rStyle w:val="a9"/>
        </w:rPr>
        <w:footnoteRef/>
      </w:r>
      <w:r>
        <w:rPr>
          <w:rtl/>
        </w:rPr>
        <w:t xml:space="preserve"> </w:t>
      </w:r>
      <w:r>
        <w:rPr>
          <w:rFonts w:cs="Arial"/>
          <w:rtl/>
        </w:rPr>
        <w:t>לשון חללים, רש"י.</w:t>
      </w:r>
    </w:p>
  </w:footnote>
  <w:footnote w:id="1263">
    <w:p w14:paraId="456207A8" w14:textId="77777777" w:rsidR="004B2E7C" w:rsidRDefault="004B2E7C" w:rsidP="00285819">
      <w:pPr>
        <w:pStyle w:val="a7"/>
      </w:pPr>
      <w:r>
        <w:rPr>
          <w:rStyle w:val="a9"/>
        </w:rPr>
        <w:footnoteRef/>
      </w:r>
      <w:r>
        <w:rPr>
          <w:rtl/>
        </w:rPr>
        <w:t xml:space="preserve"> </w:t>
      </w:r>
      <w:r>
        <w:rPr>
          <w:rFonts w:cs="Arial"/>
          <w:rtl/>
        </w:rPr>
        <w:t>אל אשר אתם עושים מדעת לבבכם וחלל שלכם, רש"י.</w:t>
      </w:r>
    </w:p>
  </w:footnote>
  <w:footnote w:id="1264">
    <w:p w14:paraId="5CCC832F" w14:textId="77777777" w:rsidR="004B2E7C" w:rsidRDefault="004B2E7C" w:rsidP="00285819">
      <w:pPr>
        <w:pStyle w:val="a7"/>
      </w:pPr>
      <w:r>
        <w:rPr>
          <w:rStyle w:val="a9"/>
        </w:rPr>
        <w:footnoteRef/>
      </w:r>
      <w:r>
        <w:rPr>
          <w:rtl/>
        </w:rPr>
        <w:t xml:space="preserve"> </w:t>
      </w:r>
      <w:r>
        <w:rPr>
          <w:rFonts w:cs="Arial"/>
          <w:rtl/>
        </w:rPr>
        <w:t xml:space="preserve">ויש לדקדק מדבריהם דלא נאסר לקרות בשטרי הדיוטות אלא כשכתובים בל' לע"ז אבל אם כתובים בל' הקודש מותר לקרות בהן דהלשון בעצמו יש בו קדושה ולומד ממנו דברי תורה. אבל לא נראה כן ממה שאכתוב בסמוך לדעת מקצת רבוותא דאסרו לקרות בספרי חכמות חיצוניות אע"ג דמסתמא הם כתובים בלשה"ק. מיהו נראה מאחר דאינו אלא איסור דרבנן דיש לסמוך אדקדוק דברי התוס' לקרות בהן כשהן כתובים בלשה"ק. ולכן נוהגין גם כן לקרות בספרי החכמות בשבת. ואפשר דאף הרמב"ם והר"ן והמ"מ לא אסרו אלא בימים הראשונים שהיו כותבים כל הפירושים והחכמות בלשונות אחרות כמו שידוע מספרי הרמב"ם שהוצרכו להעתיק אח"כ, אבל בלשה"ק נראה דשרי, ואע"ג דכתב הסמ"ג </w:t>
      </w:r>
      <w:r>
        <w:rPr>
          <w:rFonts w:cs="Arial"/>
          <w:sz w:val="16"/>
          <w:szCs w:val="16"/>
          <w:rtl/>
        </w:rPr>
        <w:t xml:space="preserve">(עשין נ, קלב ע"א) </w:t>
      </w:r>
      <w:r>
        <w:rPr>
          <w:rFonts w:cs="Arial"/>
          <w:rtl/>
        </w:rPr>
        <w:t xml:space="preserve">והביאו המרדכי ר"פ הזורק </w:t>
      </w:r>
      <w:r>
        <w:rPr>
          <w:rFonts w:cs="Arial"/>
          <w:sz w:val="16"/>
          <w:szCs w:val="16"/>
          <w:rtl/>
        </w:rPr>
        <w:t xml:space="preserve">(גיטין סי' תלו) </w:t>
      </w:r>
      <w:r>
        <w:rPr>
          <w:rFonts w:cs="Arial"/>
          <w:rtl/>
        </w:rPr>
        <w:t xml:space="preserve">דגט בזמן הזה מותר לטלטלו שאדם יכול ללמוד ממנו כמה הלכות גט וכמ"ש באבה"ע סי' קלו </w:t>
      </w:r>
      <w:r>
        <w:rPr>
          <w:rFonts w:cs="Arial"/>
          <w:sz w:val="16"/>
          <w:szCs w:val="16"/>
          <w:rtl/>
        </w:rPr>
        <w:t>(דרכמ"א אות ז)</w:t>
      </w:r>
      <w:r>
        <w:rPr>
          <w:rFonts w:cs="Arial"/>
          <w:rtl/>
        </w:rPr>
        <w:t xml:space="preserve"> וע"ש דמשמע הא בלא"ה אסור, י"ל נמי דשאני גט דנכתב בכל לשון כמו שיתבאר באבה"ע סי' קכו </w:t>
      </w:r>
      <w:r>
        <w:rPr>
          <w:rFonts w:cs="Arial"/>
          <w:sz w:val="16"/>
          <w:szCs w:val="16"/>
          <w:rtl/>
        </w:rPr>
        <w:t xml:space="preserve">(עמ' קלז) </w:t>
      </w:r>
      <w:r>
        <w:rPr>
          <w:rFonts w:cs="Arial"/>
          <w:rtl/>
        </w:rPr>
        <w:t>ולהכי נקט דיכול ללמוד ממנו הלכות הגט אבל בלא"ה אסור, אבל בלשון הקודש הכל שרי כדיוק התוס' דנקטו דוקא לשון לעז, כן נראה לי, דרכ"מ (אות ח).</w:t>
      </w:r>
      <w:r>
        <w:rPr>
          <w:rtl/>
        </w:rPr>
        <w:t xml:space="preserve"> </w:t>
      </w:r>
      <w:r>
        <w:rPr>
          <w:color w:val="00B0F0"/>
          <w:rtl/>
        </w:rPr>
        <w:t>(וכ"פ בהגה)</w:t>
      </w:r>
    </w:p>
  </w:footnote>
  <w:footnote w:id="1265">
    <w:p w14:paraId="2CD18308" w14:textId="77777777" w:rsidR="004B2E7C" w:rsidRDefault="004B2E7C" w:rsidP="00285819">
      <w:pPr>
        <w:pStyle w:val="a7"/>
      </w:pPr>
      <w:r>
        <w:rPr>
          <w:rStyle w:val="a9"/>
        </w:rPr>
        <w:footnoteRef/>
      </w:r>
      <w:r>
        <w:rPr>
          <w:rtl/>
        </w:rPr>
        <w:t xml:space="preserve"> </w:t>
      </w:r>
      <w:r>
        <w:rPr>
          <w:rFonts w:cs="Arial"/>
          <w:rtl/>
        </w:rPr>
        <w:t>ואין בכלל זה יוסיפון וספר יוחסין ודברי הימים של ר"י כהן ושבט יהודה שמהם ילמדו דברי מוסר ויראה וע"כ אפילו כתובים בלעז שרי</w:t>
      </w:r>
      <w:r>
        <w:rPr>
          <w:rtl/>
        </w:rPr>
        <w:t>, משנ"ב (סקנ"ח).</w:t>
      </w:r>
    </w:p>
  </w:footnote>
  <w:footnote w:id="1266">
    <w:p w14:paraId="7C9CA564" w14:textId="77777777" w:rsidR="004B2E7C" w:rsidRDefault="004B2E7C" w:rsidP="00285819">
      <w:pPr>
        <w:pStyle w:val="a7"/>
        <w:rPr>
          <w:rtl/>
        </w:rPr>
      </w:pPr>
      <w:r>
        <w:rPr>
          <w:rStyle w:val="a9"/>
        </w:rPr>
        <w:footnoteRef/>
      </w:r>
      <w:r>
        <w:rPr>
          <w:rtl/>
        </w:rPr>
        <w:t xml:space="preserve"> </w:t>
      </w:r>
      <w:r>
        <w:rPr>
          <w:rFonts w:cs="Arial"/>
          <w:rtl/>
        </w:rPr>
        <w:t xml:space="preserve">וה"ה ההולך לטרטיאות וקרקסיאות והם מיני שחוק כדאיתא בע"ז </w:t>
      </w:r>
      <w:r>
        <w:rPr>
          <w:rFonts w:cs="Arial"/>
          <w:sz w:val="16"/>
          <w:szCs w:val="16"/>
          <w:rtl/>
        </w:rPr>
        <w:t xml:space="preserve">(יח:) </w:t>
      </w:r>
      <w:r>
        <w:rPr>
          <w:rFonts w:cs="Arial"/>
          <w:rtl/>
        </w:rPr>
        <w:t xml:space="preserve">ומיני תחבולה, ולא ידענא מי התיר להם בפורים, ואפשר שנמשך להם משחוק שעושים זכר לאחשורוש, ועבב"י בחו"מ </w:t>
      </w:r>
      <w:r>
        <w:rPr>
          <w:rFonts w:cs="Arial"/>
          <w:sz w:val="16"/>
          <w:szCs w:val="16"/>
          <w:rtl/>
        </w:rPr>
        <w:t>(סי' קסג מחודש ס"ט)</w:t>
      </w:r>
      <w:r>
        <w:rPr>
          <w:rFonts w:cs="Arial"/>
          <w:rtl/>
        </w:rPr>
        <w:t>, מג"א</w:t>
      </w:r>
      <w:r>
        <w:rPr>
          <w:rFonts w:cs="Arial"/>
          <w:sz w:val="16"/>
          <w:szCs w:val="16"/>
          <w:rtl/>
        </w:rPr>
        <w:t xml:space="preserve"> (סקכ"ב)</w:t>
      </w:r>
      <w:r>
        <w:rPr>
          <w:rFonts w:cs="Arial"/>
          <w:rtl/>
        </w:rPr>
        <w:t>.</w:t>
      </w:r>
      <w:r>
        <w:rPr>
          <w:rtl/>
        </w:rPr>
        <w:t xml:space="preserve"> </w:t>
      </w:r>
      <w:r>
        <w:rPr>
          <w:rFonts w:cs="Arial"/>
          <w:rtl/>
        </w:rPr>
        <w:t>ובעו"ה כיום נעשה דבר זה כהפקר אצל איזה אנשים לילך לבית טרטיאות והכתוב צוח ואומר אל תשמח ישראל אל גיל וכו' וגם איכא בזה משום מגרי יצה"ר בנפשם ואחז"ל כל המתלוצץ נופל בגיהנם שנאמר וגו' ויסורין באין עליו שנאמר ועתה אל תתלוצצו פן יחזקו מוסריכם</w:t>
      </w:r>
      <w:r>
        <w:rPr>
          <w:rtl/>
        </w:rPr>
        <w:t>, משנ"ב</w:t>
      </w:r>
      <w:r>
        <w:rPr>
          <w:sz w:val="16"/>
          <w:szCs w:val="16"/>
          <w:rtl/>
        </w:rPr>
        <w:t xml:space="preserve"> (סקנ"ט)</w:t>
      </w:r>
      <w:r>
        <w:rPr>
          <w:rtl/>
        </w:rPr>
        <w:t>.</w:t>
      </w:r>
    </w:p>
  </w:footnote>
  <w:footnote w:id="1267">
    <w:p w14:paraId="2081E537" w14:textId="77777777" w:rsidR="004B2E7C" w:rsidRDefault="004B2E7C" w:rsidP="00285819">
      <w:pPr>
        <w:pStyle w:val="a7"/>
      </w:pPr>
      <w:r>
        <w:rPr>
          <w:rStyle w:val="a9"/>
        </w:rPr>
        <w:footnoteRef/>
      </w:r>
      <w:r>
        <w:rPr>
          <w:rtl/>
        </w:rPr>
        <w:t xml:space="preserve"> </w:t>
      </w:r>
      <w:r>
        <w:rPr>
          <w:rFonts w:cs="Arial"/>
          <w:rtl/>
        </w:rPr>
        <w:t>התוס' והרא"ש כתב דדוקא בדיוקנא העשויה לשם ע"ז עובר, ע"ש, אבל בע"ז דף נ' כתבו התוס' דאפי' בכל דיוקנא אסור אלא בצורתא דזוזא שרי שרגיל לראות בה תדיר ולא שייך הפנאה, והעולם נוהגין כסברא ראשונה, ונ"ל דראיה בעלמא שרי לכו"ע, עי' ר"ס רכט, מג"א (סקכ"ג).</w:t>
      </w:r>
    </w:p>
  </w:footnote>
  <w:footnote w:id="1268">
    <w:p w14:paraId="32433A6F" w14:textId="77777777" w:rsidR="004B2E7C" w:rsidRDefault="004B2E7C" w:rsidP="00285819">
      <w:pPr>
        <w:pStyle w:val="a7"/>
      </w:pPr>
      <w:r>
        <w:rPr>
          <w:rStyle w:val="a9"/>
        </w:rPr>
        <w:footnoteRef/>
      </w:r>
      <w:r>
        <w:rPr>
          <w:rtl/>
        </w:rPr>
        <w:t xml:space="preserve"> </w:t>
      </w:r>
      <w:r>
        <w:rPr>
          <w:rFonts w:cs="Arial"/>
          <w:rtl/>
        </w:rPr>
        <w:t xml:space="preserve">וכן מוכרי ספרים הסוחרים בענינים כאלו וממציאין אותם לקונים לקרות בהם הם בכלל זה ועי' בס' מחנה חיים </w:t>
      </w:r>
      <w:r>
        <w:rPr>
          <w:rFonts w:cs="Arial"/>
          <w:sz w:val="16"/>
          <w:szCs w:val="16"/>
          <w:rtl/>
        </w:rPr>
        <w:t xml:space="preserve">(תשו' א) </w:t>
      </w:r>
      <w:r>
        <w:rPr>
          <w:rFonts w:cs="Arial"/>
          <w:rtl/>
        </w:rPr>
        <w:t xml:space="preserve">שהאריך בענין זה מאד ואחז"ל גדול המחטיא לאדם יותר מן ההורגו שההורגו הוא רק בעוה"ז והמחטיאו הוא גם בעוה"ב, משנ"ב </w:t>
      </w:r>
      <w:r>
        <w:rPr>
          <w:rFonts w:cs="Arial"/>
          <w:sz w:val="16"/>
          <w:szCs w:val="16"/>
          <w:rtl/>
        </w:rPr>
        <w:t>(ס"ק סא)</w:t>
      </w:r>
      <w:r>
        <w:rPr>
          <w:rFonts w:cs="Arial"/>
          <w:rtl/>
        </w:rPr>
        <w:t>.</w:t>
      </w:r>
    </w:p>
  </w:footnote>
  <w:footnote w:id="1269">
    <w:p w14:paraId="58258ACA" w14:textId="77777777" w:rsidR="004B2E7C" w:rsidRDefault="004B2E7C" w:rsidP="00285819">
      <w:pPr>
        <w:pStyle w:val="a7"/>
      </w:pPr>
      <w:r>
        <w:rPr>
          <w:rStyle w:val="a9"/>
        </w:rPr>
        <w:footnoteRef/>
      </w:r>
      <w:r>
        <w:rPr>
          <w:rtl/>
        </w:rPr>
        <w:t xml:space="preserve"> </w:t>
      </w:r>
      <w:r>
        <w:rPr>
          <w:rFonts w:cs="Arial"/>
          <w:rtl/>
        </w:rPr>
        <w:t xml:space="preserve">דהלשון בעצמו יש בו קדושה ולומד ממנו ד"ת, וגט מותר לטלטלו אע"פ שכתב בלע"ז דיכול ללמוד ממנו דיני גט </w:t>
      </w:r>
      <w:r>
        <w:rPr>
          <w:rFonts w:cs="Arial"/>
          <w:sz w:val="16"/>
          <w:szCs w:val="16"/>
          <w:rtl/>
        </w:rPr>
        <w:t>(דרכ"מ וכ"כ המט"מ)</w:t>
      </w:r>
      <w:r>
        <w:rPr>
          <w:rFonts w:cs="Arial"/>
          <w:rtl/>
        </w:rPr>
        <w:t>, אבל של"ה אוסר וכ"מ באגודה, וב"ח כתב דבחול מותר ובשבת אסור אף בלה"ק, ולדעת רמ"א אף אגרת שלום הכתובה בלה"ק שרי לקרות דיש ללמוד מתוכו הלשון וגם כתובים בו כמה פסוקים של תורה, מג"א (סקכ"ד).</w:t>
      </w:r>
    </w:p>
  </w:footnote>
  <w:footnote w:id="1270">
    <w:p w14:paraId="334A58C0" w14:textId="77777777" w:rsidR="004B2E7C" w:rsidRDefault="004B2E7C" w:rsidP="00285819">
      <w:pPr>
        <w:pStyle w:val="a7"/>
      </w:pPr>
      <w:r>
        <w:rPr>
          <w:rStyle w:val="a9"/>
        </w:rPr>
        <w:footnoteRef/>
      </w:r>
      <w:r>
        <w:rPr>
          <w:rtl/>
        </w:rPr>
        <w:t xml:space="preserve"> </w:t>
      </w:r>
      <w:r>
        <w:rPr>
          <w:rFonts w:cs="Arial"/>
          <w:rtl/>
        </w:rPr>
        <w:t>אבל האגודה והט"ז והב"ח ועוד הרבה אחרונים חולקין ע"ז ואוסרין וכן הוא ג"כ דעת הגר"א ולפ"ז גם באגרת שלום אין נ"מ בין לשון לעז ובין לשה"ק</w:t>
      </w:r>
      <w:r>
        <w:rPr>
          <w:rtl/>
        </w:rPr>
        <w:t>, משנ"ב (ס"ק סד).</w:t>
      </w:r>
    </w:p>
  </w:footnote>
  <w:footnote w:id="1271">
    <w:p w14:paraId="463B90C5" w14:textId="77777777" w:rsidR="004B2E7C" w:rsidRDefault="004B2E7C" w:rsidP="00285819">
      <w:pPr>
        <w:pStyle w:val="a7"/>
        <w:rPr>
          <w:rtl/>
        </w:rPr>
      </w:pPr>
      <w:r>
        <w:rPr>
          <w:rStyle w:val="a9"/>
        </w:rPr>
        <w:footnoteRef/>
      </w:r>
      <w:r>
        <w:rPr>
          <w:rtl/>
        </w:rPr>
        <w:t xml:space="preserve"> </w:t>
      </w:r>
      <w:r>
        <w:rPr>
          <w:rFonts w:cs="Arial"/>
          <w:rtl/>
        </w:rPr>
        <w:t>ובדברי חשק שהוא מגרה יצה"ר לכו"ע אסור אפילו בלה"ק וכל שאסור לקרותו אסור אפילו לטלטלו [ט"ז], משנ"ב (ס"ק סב).</w:t>
      </w:r>
    </w:p>
  </w:footnote>
  <w:footnote w:id="1272">
    <w:p w14:paraId="762DB94B" w14:textId="77777777" w:rsidR="004B2E7C" w:rsidRDefault="004B2E7C" w:rsidP="00285819">
      <w:pPr>
        <w:pStyle w:val="a7"/>
      </w:pPr>
      <w:r>
        <w:rPr>
          <w:rStyle w:val="a9"/>
        </w:rPr>
        <w:footnoteRef/>
      </w:r>
      <w:r>
        <w:rPr>
          <w:rtl/>
        </w:rPr>
        <w:t xml:space="preserve"> </w:t>
      </w:r>
      <w:r>
        <w:rPr>
          <w:rFonts w:cs="Arial"/>
          <w:rtl/>
        </w:rPr>
        <w:t>כגון נביאים שמפטירין בהן בשבת בבית הכנסת, רש"י.</w:t>
      </w:r>
    </w:p>
  </w:footnote>
  <w:footnote w:id="1273">
    <w:p w14:paraId="532A6962" w14:textId="77777777" w:rsidR="004B2E7C" w:rsidRDefault="004B2E7C" w:rsidP="00285819">
      <w:pPr>
        <w:pStyle w:val="a7"/>
      </w:pPr>
      <w:r>
        <w:rPr>
          <w:rStyle w:val="a9"/>
        </w:rPr>
        <w:footnoteRef/>
      </w:r>
      <w:r>
        <w:rPr>
          <w:rtl/>
        </w:rPr>
        <w:t xml:space="preserve"> </w:t>
      </w:r>
      <w:r>
        <w:rPr>
          <w:rFonts w:cs="Arial"/>
          <w:rtl/>
        </w:rPr>
        <w:t>כגון כתובים, ורבינו הלוי אמר: דאפילו יחידים אין קורין בהן, כדקתני טעמא משום ביטול בית המדרש, דמשכי לבא, ובשבת היו דורשין דרשה לבעלי בתים שעסוקין במלאכה כל ימות החול, ובתוך הדרשה היו מורין להן הלכות איסור והיתר, וטוב להן לשמוע מלקרות בכתובים, רש"י.</w:t>
      </w:r>
    </w:p>
  </w:footnote>
  <w:footnote w:id="1274">
    <w:p w14:paraId="1D19A740" w14:textId="77777777" w:rsidR="004B2E7C" w:rsidRDefault="004B2E7C" w:rsidP="00285819">
      <w:pPr>
        <w:pStyle w:val="a7"/>
      </w:pPr>
      <w:r>
        <w:rPr>
          <w:rStyle w:val="a9"/>
        </w:rPr>
        <w:footnoteRef/>
      </w:r>
      <w:r>
        <w:rPr>
          <w:rtl/>
        </w:rPr>
        <w:t xml:space="preserve"> </w:t>
      </w:r>
      <w:r>
        <w:rPr>
          <w:rFonts w:cs="Arial"/>
          <w:rtl/>
        </w:rPr>
        <w:t>קודם אכילה היו דורשין</w:t>
      </w:r>
      <w:r>
        <w:rPr>
          <w:rtl/>
        </w:rPr>
        <w:t>, רש"י.</w:t>
      </w:r>
    </w:p>
  </w:footnote>
  <w:footnote w:id="1275">
    <w:p w14:paraId="7C320322" w14:textId="77777777" w:rsidR="004B2E7C" w:rsidRDefault="004B2E7C" w:rsidP="00285819">
      <w:pPr>
        <w:pStyle w:val="a7"/>
        <w:rPr>
          <w:rtl/>
        </w:rPr>
      </w:pPr>
      <w:r>
        <w:rPr>
          <w:rStyle w:val="a9"/>
        </w:rPr>
        <w:footnoteRef/>
      </w:r>
      <w:r>
        <w:rPr>
          <w:rtl/>
        </w:rPr>
        <w:t xml:space="preserve"> </w:t>
      </w:r>
      <w:r>
        <w:rPr>
          <w:rFonts w:cs="Arial"/>
          <w:rtl/>
        </w:rPr>
        <w:t>לאחר אכילה לא דרשו משום שכרות, רש"י.</w:t>
      </w:r>
    </w:p>
  </w:footnote>
  <w:footnote w:id="1276">
    <w:p w14:paraId="25AF3B18" w14:textId="77777777" w:rsidR="004B2E7C" w:rsidRDefault="004B2E7C" w:rsidP="00285819">
      <w:pPr>
        <w:pStyle w:val="a7"/>
      </w:pPr>
      <w:r>
        <w:rPr>
          <w:rStyle w:val="a9"/>
        </w:rPr>
        <w:footnoteRef/>
      </w:r>
      <w:r>
        <w:rPr>
          <w:rtl/>
        </w:rPr>
        <w:t xml:space="preserve"> </w:t>
      </w:r>
      <w:r>
        <w:rPr>
          <w:rFonts w:cs="Arial"/>
          <w:rtl/>
        </w:rPr>
        <w:t xml:space="preserve">והביא דבריו הה"מ </w:t>
      </w:r>
      <w:r>
        <w:rPr>
          <w:rFonts w:cs="Arial"/>
          <w:sz w:val="16"/>
          <w:szCs w:val="16"/>
          <w:rtl/>
        </w:rPr>
        <w:t>(פכ"ג הי"ט)</w:t>
      </w:r>
      <w:r>
        <w:rPr>
          <w:rtl/>
        </w:rPr>
        <w:t>.</w:t>
      </w:r>
    </w:p>
  </w:footnote>
  <w:footnote w:id="1277">
    <w:p w14:paraId="4E7AD86A" w14:textId="77777777" w:rsidR="004B2E7C" w:rsidRDefault="004B2E7C" w:rsidP="00285819">
      <w:pPr>
        <w:pStyle w:val="a7"/>
        <w:rPr>
          <w:rtl/>
        </w:rPr>
      </w:pPr>
      <w:r>
        <w:rPr>
          <w:rStyle w:val="a9"/>
        </w:rPr>
        <w:footnoteRef/>
      </w:r>
      <w:r>
        <w:rPr>
          <w:rtl/>
        </w:rPr>
        <w:t xml:space="preserve"> </w:t>
      </w:r>
      <w:r>
        <w:rPr>
          <w:rFonts w:cs="Arial"/>
          <w:rtl/>
        </w:rPr>
        <w:t>משמע דדוקא בכתבי הקדש או ספר שיש בו סרך קדושה קורין אבל לא בספר שאין בו סרך קדושה, והיינו כדברי הרמב"ם, ב"י.</w:t>
      </w:r>
    </w:p>
  </w:footnote>
  <w:footnote w:id="1278">
    <w:p w14:paraId="59CD4C66" w14:textId="77777777" w:rsidR="004B2E7C" w:rsidRDefault="004B2E7C" w:rsidP="00285819">
      <w:pPr>
        <w:pStyle w:val="a7"/>
        <w:rPr>
          <w:rtl/>
        </w:rPr>
      </w:pPr>
      <w:r>
        <w:rPr>
          <w:rStyle w:val="a9"/>
        </w:rPr>
        <w:footnoteRef/>
      </w:r>
      <w:r>
        <w:rPr>
          <w:rtl/>
        </w:rPr>
        <w:t xml:space="preserve"> </w:t>
      </w:r>
      <w:r>
        <w:rPr>
          <w:rFonts w:cs="Arial"/>
          <w:rtl/>
        </w:rPr>
        <w:t>נראה מדבריו שמותר ללמוד בספרי החכמות בשבת... וכ"כ האגור (סי' תקח) שהרשב"א (ח"ז סי' רפח) והרמב"ן התירו לקרוא בשבת בספרי רפואות מפני שחכמה היא ולא דמי לשטרי הדיוטות, ב"י.</w:t>
      </w:r>
    </w:p>
  </w:footnote>
  <w:footnote w:id="1279">
    <w:p w14:paraId="33F8C27E" w14:textId="77777777" w:rsidR="004B2E7C" w:rsidRDefault="004B2E7C" w:rsidP="00285819">
      <w:pPr>
        <w:pStyle w:val="a7"/>
      </w:pPr>
      <w:r>
        <w:rPr>
          <w:rStyle w:val="a9"/>
        </w:rPr>
        <w:footnoteRef/>
      </w:r>
      <w:r>
        <w:rPr>
          <w:rtl/>
        </w:rPr>
        <w:t xml:space="preserve"> </w:t>
      </w:r>
      <w:r>
        <w:rPr>
          <w:rFonts w:cs="Arial"/>
          <w:rtl/>
        </w:rPr>
        <w:t>וכן נוהגין להקל</w:t>
      </w:r>
      <w:r>
        <w:rPr>
          <w:rFonts w:cs="Arial"/>
          <w:sz w:val="16"/>
          <w:szCs w:val="16"/>
          <w:rtl/>
        </w:rPr>
        <w:t xml:space="preserve"> (לבוש ושולחן עצי שיטים והגר"ז)</w:t>
      </w:r>
      <w:r>
        <w:rPr>
          <w:rFonts w:cs="Arial"/>
          <w:rtl/>
        </w:rPr>
        <w:t xml:space="preserve">, וכ' בא"ר דירא שמים ראוי להחמיר בזה כי הרמב"ם והר"ן אוסרים, משנ"ב </w:t>
      </w:r>
      <w:r>
        <w:rPr>
          <w:rFonts w:cs="Arial"/>
          <w:sz w:val="16"/>
          <w:szCs w:val="16"/>
          <w:rtl/>
        </w:rPr>
        <w:t>(ס"ק סה)</w:t>
      </w:r>
      <w:r>
        <w:rPr>
          <w:rFonts w:cs="Arial"/>
          <w:rtl/>
        </w:rPr>
        <w:t>.</w:t>
      </w:r>
    </w:p>
  </w:footnote>
  <w:footnote w:id="1280">
    <w:p w14:paraId="694A22A7" w14:textId="77777777" w:rsidR="004B2E7C" w:rsidRDefault="004B2E7C" w:rsidP="00285819">
      <w:pPr>
        <w:pStyle w:val="a7"/>
      </w:pPr>
      <w:r>
        <w:rPr>
          <w:rStyle w:val="a9"/>
        </w:rPr>
        <w:footnoteRef/>
      </w:r>
      <w:r>
        <w:rPr>
          <w:rtl/>
        </w:rPr>
        <w:t xml:space="preserve"> </w:t>
      </w:r>
      <w:r>
        <w:rPr>
          <w:rFonts w:cs="Arial"/>
          <w:rtl/>
        </w:rPr>
        <w:t>היינו כלי של החוזים בכוכבים, מג"א (סקכ"ה).</w:t>
      </w:r>
    </w:p>
  </w:footnote>
  <w:footnote w:id="1281">
    <w:p w14:paraId="5C205A6D" w14:textId="77777777" w:rsidR="004B2E7C" w:rsidRDefault="004B2E7C" w:rsidP="00285819">
      <w:pPr>
        <w:pStyle w:val="a7"/>
      </w:pPr>
      <w:r>
        <w:rPr>
          <w:rStyle w:val="a9"/>
        </w:rPr>
        <w:footnoteRef/>
      </w:r>
      <w:r>
        <w:rPr>
          <w:rtl/>
        </w:rPr>
        <w:t xml:space="preserve"> </w:t>
      </w:r>
      <w:r>
        <w:rPr>
          <w:rFonts w:cs="Arial"/>
          <w:rtl/>
        </w:rPr>
        <w:t>משמע דאפי' דבר שמותר בחול כמ"ש ביו"ד סי' קעט ס"ד אסור בשבת משום ממצוא חפציך אא"כ משום רפואה כמ"ש סי' שו ס"ז</w:t>
      </w:r>
      <w:r>
        <w:rPr>
          <w:rtl/>
        </w:rPr>
        <w:t>, מג"א (סקכ"ו).</w:t>
      </w:r>
    </w:p>
  </w:footnote>
  <w:footnote w:id="1282">
    <w:p w14:paraId="6039E7CE" w14:textId="77777777" w:rsidR="004B2E7C" w:rsidRDefault="004B2E7C" w:rsidP="00285819">
      <w:pPr>
        <w:pStyle w:val="a7"/>
        <w:rPr>
          <w:rtl/>
        </w:rPr>
      </w:pPr>
      <w:r>
        <w:rPr>
          <w:rStyle w:val="a9"/>
        </w:rPr>
        <w:footnoteRef/>
      </w:r>
      <w:r>
        <w:rPr>
          <w:rtl/>
        </w:rPr>
        <w:t xml:space="preserve"> </w:t>
      </w:r>
      <w:r>
        <w:rPr>
          <w:rFonts w:cs="Arial"/>
          <w:rtl/>
        </w:rPr>
        <w:t>כלומר שיש אש בתנור ובהוצאתו הקדרה נוגע בגחלים ומבעירם א"נ שאם לא היה חם כ"כ היה הגוי מבעיר האש ומחממו</w:t>
      </w:r>
      <w:r>
        <w:rPr>
          <w:rtl/>
        </w:rPr>
        <w:t>, ב"י.</w:t>
      </w:r>
    </w:p>
  </w:footnote>
  <w:footnote w:id="1283">
    <w:p w14:paraId="287EAC5E" w14:textId="77777777" w:rsidR="004B2E7C" w:rsidRDefault="004B2E7C" w:rsidP="00285819">
      <w:pPr>
        <w:pStyle w:val="a7"/>
        <w:rPr>
          <w:rtl/>
        </w:rPr>
      </w:pPr>
      <w:r>
        <w:rPr>
          <w:rStyle w:val="a9"/>
        </w:rPr>
        <w:footnoteRef/>
      </w:r>
      <w:r>
        <w:rPr>
          <w:rtl/>
        </w:rPr>
        <w:t xml:space="preserve"> </w:t>
      </w:r>
      <w:r>
        <w:rPr>
          <w:rFonts w:cs="Arial"/>
          <w:rtl/>
        </w:rPr>
        <w:t>ר"ל דיש דברים שאסורים אף בחול מפני שהם בכלל כשוף ויש דברים שאסורים מפני הסכנה לדעת ר' יוסי כדאיתא בגמרא וע"כ אמר דדברים המותרים בחול מותר אף בשבת ועיין במ"א ושאר אחרונים שהסכימו דדוקא משום רפואה שרי אבל בלא"ה אסור משום ממצוא חפצך, משנ"ב (ס"ק סז).</w:t>
      </w:r>
    </w:p>
  </w:footnote>
  <w:footnote w:id="1284">
    <w:p w14:paraId="1EA76685" w14:textId="77777777" w:rsidR="004B2E7C" w:rsidRDefault="004B2E7C" w:rsidP="00285819">
      <w:pPr>
        <w:pStyle w:val="a7"/>
      </w:pPr>
      <w:r>
        <w:rPr>
          <w:rStyle w:val="a9"/>
        </w:rPr>
        <w:footnoteRef/>
      </w:r>
      <w:r>
        <w:rPr>
          <w:rtl/>
        </w:rPr>
        <w:t xml:space="preserve"> </w:t>
      </w:r>
      <w:r>
        <w:rPr>
          <w:rFonts w:cs="Arial"/>
          <w:rtl/>
        </w:rPr>
        <w:t xml:space="preserve">וכ"כ בסמ"ק (סי' רפב עמ' רצה) אלא שמסיים בה דשמא הלכות גדולות ר"ל כל שיש בו הפסד ממון הכל מותר ותלמודינו ממעט דבר שאין בו הפסד ממון. </w:t>
      </w:r>
    </w:p>
  </w:footnote>
  <w:footnote w:id="1285">
    <w:p w14:paraId="1714C407" w14:textId="77777777" w:rsidR="004B2E7C" w:rsidRDefault="004B2E7C" w:rsidP="00285819">
      <w:pPr>
        <w:pStyle w:val="a7"/>
      </w:pPr>
      <w:r>
        <w:rPr>
          <w:rStyle w:val="a9"/>
        </w:rPr>
        <w:footnoteRef/>
      </w:r>
      <w:r>
        <w:rPr>
          <w:rtl/>
        </w:rPr>
        <w:t xml:space="preserve"> </w:t>
      </w:r>
      <w:r>
        <w:rPr>
          <w:rFonts w:cs="Arial"/>
          <w:rtl/>
        </w:rPr>
        <w:t>דמתוך שאדם בהול על ממונו אי לא שרית ליה אפילו באופנים אלו אתי להציל בעצמו ולעשות מלאכה דאו'</w:t>
      </w:r>
      <w:r>
        <w:rPr>
          <w:rtl/>
        </w:rPr>
        <w:t>, משנ"ב (ס"ק סט).</w:t>
      </w:r>
    </w:p>
  </w:footnote>
  <w:footnote w:id="1286">
    <w:p w14:paraId="12B0ED81" w14:textId="77777777" w:rsidR="004B2E7C" w:rsidRDefault="004B2E7C" w:rsidP="00285819">
      <w:pPr>
        <w:pStyle w:val="a7"/>
        <w:rPr>
          <w:rtl/>
        </w:rPr>
      </w:pPr>
      <w:r>
        <w:rPr>
          <w:rStyle w:val="a9"/>
        </w:rPr>
        <w:footnoteRef/>
      </w:r>
      <w:r>
        <w:rPr>
          <w:rtl/>
        </w:rPr>
        <w:t xml:space="preserve"> </w:t>
      </w:r>
      <w:r>
        <w:rPr>
          <w:rFonts w:cs="Arial"/>
          <w:rtl/>
        </w:rPr>
        <w:t>והיינו אפילו אם יצטרך לזה לעשות מלאכה דאורייתא כגון להוציא מרה"י לר"ה וכה"ג, דאלו טלטול מוקצה בעלמא או מרה"י לכרמלית אפילו לצוות לגוי בהדיא שיעשה זה ג"כ מותר לפי המבואר לעיל בס"ה אם יש בזה הפסד גדול, משנ"ב (ס"ק סח).</w:t>
      </w:r>
    </w:p>
  </w:footnote>
  <w:footnote w:id="1287">
    <w:p w14:paraId="289420BE" w14:textId="77777777" w:rsidR="004B2E7C" w:rsidRDefault="004B2E7C" w:rsidP="00285819">
      <w:pPr>
        <w:pStyle w:val="a7"/>
      </w:pPr>
      <w:r>
        <w:rPr>
          <w:rStyle w:val="a9"/>
        </w:rPr>
        <w:footnoteRef/>
      </w:r>
      <w:r>
        <w:rPr>
          <w:rtl/>
        </w:rPr>
        <w:t xml:space="preserve"> </w:t>
      </w:r>
      <w:r>
        <w:rPr>
          <w:rFonts w:cs="Arial"/>
          <w:rtl/>
        </w:rPr>
        <w:t>אבל לומר לו בלשון נוכח אם תציל לא תפסיד אסור [א"ר שהביא זה מש"ג וכן משמע ביו"ד רכ"א ס"ח], משנ"ב (סק"ע).</w:t>
      </w:r>
    </w:p>
  </w:footnote>
  <w:footnote w:id="1288">
    <w:p w14:paraId="55B8D950" w14:textId="77777777" w:rsidR="004B2E7C" w:rsidRDefault="004B2E7C" w:rsidP="00285819">
      <w:pPr>
        <w:pStyle w:val="a7"/>
      </w:pPr>
      <w:r>
        <w:rPr>
          <w:rStyle w:val="a9"/>
        </w:rPr>
        <w:footnoteRef/>
      </w:r>
      <w:r>
        <w:rPr>
          <w:rtl/>
        </w:rPr>
        <w:t xml:space="preserve"> </w:t>
      </w:r>
      <w:r>
        <w:rPr>
          <w:rFonts w:cs="Arial"/>
          <w:rtl/>
        </w:rPr>
        <w:t xml:space="preserve">והמיקל לא הפסיד </w:t>
      </w:r>
      <w:r>
        <w:rPr>
          <w:rFonts w:cs="Arial"/>
          <w:sz w:val="16"/>
          <w:szCs w:val="16"/>
          <w:rtl/>
        </w:rPr>
        <w:t>(לבוש ומג"א)</w:t>
      </w:r>
      <w:r>
        <w:rPr>
          <w:rFonts w:cs="Arial"/>
          <w:rtl/>
        </w:rPr>
        <w:t xml:space="preserve">, וכ"ס המחבר לקמן סי' שלד סכ"ו ולקרות לגוי להראות לו ולא לומר לו לכו"ע שרי, משנ"ב </w:t>
      </w:r>
      <w:r>
        <w:rPr>
          <w:rFonts w:cs="Arial"/>
          <w:sz w:val="16"/>
          <w:szCs w:val="16"/>
          <w:rtl/>
        </w:rPr>
        <w:t>(סקע"א)</w:t>
      </w:r>
      <w:r>
        <w:rPr>
          <w:rFonts w:cs="Arial"/>
          <w:rtl/>
        </w:rPr>
        <w:t>.</w:t>
      </w:r>
    </w:p>
  </w:footnote>
  <w:footnote w:id="1289">
    <w:p w14:paraId="2F75A60F" w14:textId="77777777" w:rsidR="004B2E7C" w:rsidRDefault="004B2E7C" w:rsidP="00285819">
      <w:pPr>
        <w:pStyle w:val="a7"/>
      </w:pPr>
      <w:r>
        <w:rPr>
          <w:rStyle w:val="a9"/>
        </w:rPr>
        <w:footnoteRef/>
      </w:r>
      <w:r>
        <w:rPr>
          <w:rtl/>
        </w:rPr>
        <w:t xml:space="preserve"> </w:t>
      </w:r>
      <w:r>
        <w:rPr>
          <w:rFonts w:cs="Arial"/>
          <w:rtl/>
        </w:rPr>
        <w:t>וכוותיה נקטינן</w:t>
      </w:r>
      <w:r>
        <w:rPr>
          <w:rtl/>
        </w:rPr>
        <w:t>, ב"י.</w:t>
      </w:r>
    </w:p>
  </w:footnote>
  <w:footnote w:id="1290">
    <w:p w14:paraId="4F7058AD" w14:textId="77777777" w:rsidR="004B2E7C" w:rsidRDefault="004B2E7C" w:rsidP="00285819">
      <w:pPr>
        <w:pStyle w:val="a7"/>
        <w:rPr>
          <w:rtl/>
        </w:rPr>
      </w:pPr>
      <w:r>
        <w:rPr>
          <w:rStyle w:val="a9"/>
        </w:rPr>
        <w:footnoteRef/>
      </w:r>
      <w:r>
        <w:rPr>
          <w:rtl/>
        </w:rPr>
        <w:t xml:space="preserve"> </w:t>
      </w:r>
      <w:r>
        <w:rPr>
          <w:rFonts w:cs="Arial"/>
          <w:rtl/>
        </w:rPr>
        <w:t>הוא מה שכתב רבינו בסי' שכה (צו.) דאפילו היה קמח או עיסה בין השמשות לא הוי מוקצה, ב"י.</w:t>
      </w:r>
    </w:p>
  </w:footnote>
  <w:footnote w:id="1291">
    <w:p w14:paraId="2406CCC6" w14:textId="77777777" w:rsidR="004B2E7C" w:rsidRDefault="004B2E7C" w:rsidP="00285819">
      <w:pPr>
        <w:pStyle w:val="a7"/>
      </w:pPr>
      <w:r>
        <w:rPr>
          <w:rStyle w:val="a9"/>
        </w:rPr>
        <w:footnoteRef/>
      </w:r>
      <w:r>
        <w:rPr>
          <w:rtl/>
        </w:rPr>
        <w:t xml:space="preserve"> </w:t>
      </w:r>
      <w:r>
        <w:rPr>
          <w:rFonts w:cs="Arial"/>
          <w:rtl/>
        </w:rPr>
        <w:t>הא דשרי לומר לגוי פשוט הוא דבאין לו תבשיל אחר להאכילו הוא דאל"כ יאכילנו מאותו תבשיל ואם הוא קר יחממנו כנגד האש במקום שאין היד סולדת.</w:t>
      </w:r>
    </w:p>
  </w:footnote>
  <w:footnote w:id="1292">
    <w:p w14:paraId="33EA9F4C" w14:textId="77777777" w:rsidR="004B2E7C" w:rsidRDefault="004B2E7C" w:rsidP="00285819">
      <w:pPr>
        <w:pStyle w:val="a7"/>
        <w:rPr>
          <w:rtl/>
        </w:rPr>
      </w:pPr>
      <w:r>
        <w:rPr>
          <w:rStyle w:val="a9"/>
        </w:rPr>
        <w:footnoteRef/>
      </w:r>
      <w:r>
        <w:rPr>
          <w:rtl/>
        </w:rPr>
        <w:t xml:space="preserve"> </w:t>
      </w:r>
      <w:r>
        <w:rPr>
          <w:rFonts w:cs="Arial"/>
          <w:rtl/>
        </w:rPr>
        <w:t>ולא קודם כדי שלא יבוא לומר לגוי לעשות מלאכה בשבת. ואם היה בפרהסיא שידעו בו רבים שנעשה בשביל ישראל אסור לעולם אפילו עשה הגוי מעצמו בשבילו [מ"א בשם הרמב"ם], וכדלקמן בסי' שכה סי"ד וע"ש מה שכתבנו דעת הט"ז בשם הר"ן בענין זה</w:t>
      </w:r>
      <w:r>
        <w:rPr>
          <w:rtl/>
        </w:rPr>
        <w:t>, משנ"ב (סקע"ב).</w:t>
      </w:r>
    </w:p>
  </w:footnote>
  <w:footnote w:id="1293">
    <w:p w14:paraId="4AEDF881" w14:textId="77777777" w:rsidR="004B2E7C" w:rsidRDefault="004B2E7C" w:rsidP="00285819">
      <w:pPr>
        <w:pStyle w:val="a7"/>
        <w:rPr>
          <w:rtl/>
        </w:rPr>
      </w:pPr>
      <w:r>
        <w:rPr>
          <w:rStyle w:val="a9"/>
        </w:rPr>
        <w:footnoteRef/>
      </w:r>
      <w:r>
        <w:rPr>
          <w:rtl/>
        </w:rPr>
        <w:t xml:space="preserve"> </w:t>
      </w:r>
      <w:r>
        <w:rPr>
          <w:rFonts w:cs="Arial"/>
          <w:rtl/>
        </w:rPr>
        <w:t>דכיון שאותו דבר שאומר לגוי לעשות בשביל עצמו הוא אינו יכול בעצמו לעשות - הוא בכלל אמירה לגוי שבות ואסור אע"פ שאינו מתהנה הישראל כלל במלאכה זו, ואעפ"כ מותר לומר לו לעשות מלאכה לעצמו כגון שיאמר לו קח בשר שלך ובשל אותו לצרכך וכה"ג, דכיון שלא היה הדבר מעולם של ישראל כלל והגוי עושה אותה ג"כ רק בשביל עצמו לא גזרו עליו איסור דאמירה לגוי, משנ"ב</w:t>
      </w:r>
      <w:r>
        <w:rPr>
          <w:rFonts w:cs="Arial"/>
          <w:sz w:val="16"/>
          <w:szCs w:val="16"/>
          <w:rtl/>
        </w:rPr>
        <w:t xml:space="preserve"> (סקע"ג)</w:t>
      </w:r>
      <w:r>
        <w:rPr>
          <w:rFonts w:cs="Arial"/>
          <w:rtl/>
        </w:rPr>
        <w:t>.</w:t>
      </w:r>
      <w:r>
        <w:rPr>
          <w:rtl/>
        </w:rPr>
        <w:t xml:space="preserve"> וכתב עוד המשנ"ב </w:t>
      </w:r>
      <w:r>
        <w:rPr>
          <w:sz w:val="16"/>
          <w:szCs w:val="16"/>
          <w:rtl/>
        </w:rPr>
        <w:t xml:space="preserve">(סקע"ד) </w:t>
      </w:r>
      <w:r>
        <w:rPr>
          <w:rFonts w:cs="Arial"/>
          <w:rtl/>
        </w:rPr>
        <w:t>שהא"ר הוכיח מתוס' ורא"ש דאף בע"ש אסור ליתן לגוי ולומר לו שיבשל בשבת לעצמו</w:t>
      </w:r>
      <w:r>
        <w:rPr>
          <w:rtl/>
        </w:rPr>
        <w:t>.</w:t>
      </w:r>
    </w:p>
  </w:footnote>
  <w:footnote w:id="1294">
    <w:p w14:paraId="26635B29" w14:textId="77777777" w:rsidR="004B2E7C" w:rsidRDefault="004B2E7C" w:rsidP="00285819">
      <w:pPr>
        <w:pStyle w:val="a7"/>
      </w:pPr>
      <w:r>
        <w:rPr>
          <w:rStyle w:val="a9"/>
        </w:rPr>
        <w:footnoteRef/>
      </w:r>
      <w:r>
        <w:rPr>
          <w:rtl/>
        </w:rPr>
        <w:t xml:space="preserve"> </w:t>
      </w:r>
      <w:r>
        <w:rPr>
          <w:rFonts w:cs="Arial"/>
          <w:rtl/>
        </w:rPr>
        <w:t>הקשה הרב"י בסי' שמ"ב הא אין מעשרין כמ"ש סי' רס"א, ואי מיירי בדמאי אפילו בלא טרדה שרי, וע"ש שכתב שאפי' ודאי שרי לעשר אפי' שלא לצורך השבת אם הוא טרוד ונחפז לדידן דקי"ל לא גזרו על שבות ב"ה בשעה"ד, ול"נ דל"ש טרדא בזה, דיכול לעשרן בא' בשבת, ולכן נ"ל שכונת הטור כדאיתא במשנה פ"ו דדמאי דאם שכח לעשר עד ב"ה יכול לקרות שם, וכ"כ התוס' בסוכה (כג.) ע"ש, ונ"ל דדוקא במעשר פירות דהוי דרבנן או בחו"ל, אבל בדגן ויין ושמן דהוי דאו' קי"ל דאין ברירה ולא מהני קריאת שם, ועי' ברמב"ם פ"א מתרומות דכ"א, ובכ"מ, וביש"ש בב"ק פ"ה בדיני ברירה סי' יג ועביו"ד סי' שלא ססי"א</w:t>
      </w:r>
      <w:r>
        <w:rPr>
          <w:rtl/>
        </w:rPr>
        <w:t>, מג"א</w:t>
      </w:r>
      <w:r>
        <w:rPr>
          <w:sz w:val="16"/>
          <w:szCs w:val="16"/>
          <w:rtl/>
        </w:rPr>
        <w:t xml:space="preserve"> (סק"ל)</w:t>
      </w:r>
      <w:r>
        <w:rPr>
          <w:rtl/>
        </w:rPr>
        <w:t>.</w:t>
      </w:r>
    </w:p>
  </w:footnote>
  <w:footnote w:id="1295">
    <w:p w14:paraId="4CACF5C2" w14:textId="77777777" w:rsidR="004B2E7C" w:rsidRDefault="004B2E7C" w:rsidP="00285819">
      <w:pPr>
        <w:pStyle w:val="a7"/>
        <w:rPr>
          <w:rtl/>
        </w:rPr>
      </w:pPr>
      <w:r>
        <w:rPr>
          <w:rStyle w:val="a9"/>
        </w:rPr>
        <w:footnoteRef/>
      </w:r>
      <w:r>
        <w:rPr>
          <w:rtl/>
        </w:rPr>
        <w:t xml:space="preserve"> </w:t>
      </w:r>
      <w:r>
        <w:rPr>
          <w:rFonts w:cs="Arial"/>
          <w:rtl/>
        </w:rPr>
        <w:t>וה"ה שאסור לומר לו דבר שיבין מתוך כך שיעשה מלאכה (פסקי רקנ"ט סי' צט), וא"כ אסור לומר לגוי שיקנח חוטמו כדי שיבין שיסיר הפחם שבראש הנר, דדוקא לומר לו דבר שמבין שיעשה אחר השבת מותר, כמ"ש ס"ז, אבל כשעושה בשבת אסור דהא אפי' הגוי עשה מלאכה מעצמו לצורך ישראל אסור ליהנות ממנו כמ"ש סי' שכה, כ"ש לרמוז לו, דלא כהב"ח ע"ש, ועמ"ש סי"ד בשם רמ"מ דהתם אין או' משום ציווי לגוי רק שא"ל שאינו יכול לקרות</w:t>
      </w:r>
      <w:r>
        <w:rPr>
          <w:rtl/>
        </w:rPr>
        <w:t xml:space="preserve">, מג"א (סקל"א). </w:t>
      </w:r>
      <w:r>
        <w:rPr>
          <w:rFonts w:cs="Arial"/>
          <w:rtl/>
        </w:rPr>
        <w:t>אך כשאומר הרמיזה לגוי שלא בלשון צווי כגון שאומר הנר אינו מאיר יפה או איני יכול לקרות לאור הנר הזה שיש בו פחם ושומע הגויי ומתקנו שרי דאין זה בכלל אמירה ואין לאסור מטעם שנהנה ממלאכה שעשה הגוי בשבילו דאין זה הנאה כ"כ דגם מקודם היה יכול ע"פ הדחק לקרות לאורו [פמ"ג]</w:t>
      </w:r>
      <w:r>
        <w:rPr>
          <w:rtl/>
        </w:rPr>
        <w:t>, משנ"ב (סקע"ו).</w:t>
      </w:r>
    </w:p>
  </w:footnote>
  <w:footnote w:id="1296">
    <w:p w14:paraId="225CE05B" w14:textId="77777777" w:rsidR="004B2E7C" w:rsidRDefault="004B2E7C" w:rsidP="00285819">
      <w:pPr>
        <w:pStyle w:val="a7"/>
        <w:rPr>
          <w:rtl/>
        </w:rPr>
      </w:pPr>
      <w:r>
        <w:rPr>
          <w:rStyle w:val="a9"/>
        </w:rPr>
        <w:footnoteRef/>
      </w:r>
      <w:r>
        <w:rPr>
          <w:rtl/>
        </w:rPr>
        <w:t xml:space="preserve"> </w:t>
      </w:r>
      <w:r>
        <w:rPr>
          <w:rFonts w:hint="cs"/>
          <w:rtl/>
        </w:rPr>
        <w:t>וכן גוי</w:t>
      </w:r>
      <w:r>
        <w:rPr>
          <w:rFonts w:cs="Arial"/>
          <w:rtl/>
        </w:rPr>
        <w:t xml:space="preserve"> שהביא חפציו בשבת לבית ישראל אפילו הם אסורים בטלטול והביאם בשביל ישראל כיון שהם ביד גוי רשאי לומר לו לפנותן לאיזה מקום שירצה [מ"א בשם המ"מ]</w:t>
      </w:r>
      <w:r>
        <w:rPr>
          <w:rtl/>
        </w:rPr>
        <w:t>, משנ"ב (סקע"ח).</w:t>
      </w:r>
    </w:p>
  </w:footnote>
  <w:footnote w:id="1297">
    <w:p w14:paraId="6017C478" w14:textId="77777777" w:rsidR="004B2E7C" w:rsidRDefault="004B2E7C" w:rsidP="00285819">
      <w:pPr>
        <w:pStyle w:val="a7"/>
        <w:rPr>
          <w:rtl/>
        </w:rPr>
      </w:pPr>
      <w:r>
        <w:rPr>
          <w:rStyle w:val="a9"/>
        </w:rPr>
        <w:footnoteRef/>
      </w:r>
      <w:r>
        <w:rPr>
          <w:rtl/>
        </w:rPr>
        <w:t xml:space="preserve"> </w:t>
      </w:r>
      <w:r>
        <w:rPr>
          <w:rFonts w:cs="Arial"/>
          <w:rtl/>
        </w:rPr>
        <w:t xml:space="preserve">אבל אם התבואה של ישראל אסור לומר לגוי לפנותו, וה"ה בכל דבר המוקצה, דה"ל שבות דשבות </w:t>
      </w:r>
      <w:r>
        <w:rPr>
          <w:rFonts w:cs="Arial"/>
          <w:sz w:val="16"/>
          <w:szCs w:val="16"/>
          <w:rtl/>
        </w:rPr>
        <w:t>(מג"א</w:t>
      </w:r>
      <w:r>
        <w:rPr>
          <w:rFonts w:cs="Arial"/>
          <w:sz w:val="12"/>
          <w:szCs w:val="12"/>
          <w:rtl/>
        </w:rPr>
        <w:t xml:space="preserve"> </w:t>
      </w:r>
      <w:r>
        <w:rPr>
          <w:rFonts w:cs="Arial"/>
          <w:sz w:val="16"/>
          <w:szCs w:val="16"/>
          <w:rtl/>
        </w:rPr>
        <w:t>סקל"ב)</w:t>
      </w:r>
      <w:r>
        <w:rPr>
          <w:rFonts w:cs="Arial"/>
          <w:rtl/>
        </w:rPr>
        <w:t>,</w:t>
      </w:r>
      <w:r>
        <w:rPr>
          <w:rtl/>
        </w:rPr>
        <w:t xml:space="preserve"> </w:t>
      </w:r>
      <w:r>
        <w:rPr>
          <w:rFonts w:cs="Arial"/>
          <w:rtl/>
        </w:rPr>
        <w:t>ואין מותר כ"א לצורך מצוה או קצת חולי, וכנ"ל בס"ה [מג"א, והט"ז לקמן בסי' שח סק"ז חולק ע"ז, ודעת הא"ר כהמג"א, ועיין בפמ"ג מה שכתב אודות זה, ובמה שכתבנו בסי' רעט ס"ד בהג"ה במ"ב]</w:t>
      </w:r>
      <w:r>
        <w:rPr>
          <w:rtl/>
        </w:rPr>
        <w:t>, משנ"ב (סקע"ז).</w:t>
      </w:r>
    </w:p>
  </w:footnote>
  <w:footnote w:id="1298">
    <w:p w14:paraId="0AD91F64" w14:textId="77777777" w:rsidR="004B2E7C" w:rsidRDefault="004B2E7C" w:rsidP="00285819">
      <w:pPr>
        <w:pStyle w:val="a7"/>
        <w:rPr>
          <w:rtl/>
        </w:rPr>
      </w:pPr>
      <w:r>
        <w:rPr>
          <w:rStyle w:val="a9"/>
        </w:rPr>
        <w:footnoteRef/>
      </w:r>
      <w:r>
        <w:rPr>
          <w:rtl/>
        </w:rPr>
        <w:t xml:space="preserve"> </w:t>
      </w:r>
      <w:r>
        <w:rPr>
          <w:rFonts w:cs="Arial"/>
          <w:rtl/>
        </w:rPr>
        <w:t>ואפילו אם הגוי אינו עושה הגבינות כ"א בשבת, אם הישראל מקבלם בחובו ושאם לא יקבלם יפסיד חובו – שרי, דבעת העשייה עדיין הם שלו, משנ"ב (סקע"ט).</w:t>
      </w:r>
    </w:p>
  </w:footnote>
  <w:footnote w:id="1299">
    <w:p w14:paraId="74CEB2EE" w14:textId="44185F31" w:rsidR="00752724" w:rsidRDefault="00752724" w:rsidP="00285819">
      <w:pPr>
        <w:pStyle w:val="a7"/>
        <w:rPr>
          <w:rtl/>
        </w:rPr>
      </w:pPr>
      <w:r>
        <w:rPr>
          <w:rStyle w:val="a9"/>
        </w:rPr>
        <w:footnoteRef/>
      </w:r>
      <w:r>
        <w:rPr>
          <w:rtl/>
        </w:rPr>
        <w:t xml:space="preserve"> </w:t>
      </w:r>
      <w:r w:rsidRPr="00752724">
        <w:rPr>
          <w:rFonts w:cs="Arial"/>
          <w:rtl/>
        </w:rPr>
        <w:t>רבינו כתב בכאן טעמים נכונים מאד באיסור הטלטול ולא נזכרו בגמרא ובהשגות הזכיר הר"א ז"ל טעם אחר שהוא מפני גדר ההוצאה כמ"ש בגמרא (שבת קכד:) בכל הכלים אטו טלטול לאו צורך הוצאה הוא בתמיה ולא הזכיר רבינו טעם זה לפי שאע"פ שבתחלה נאסר הטלטול מפני גדר ההוצאה בימי נחמיה בן חכליה שלא היו נזהרין בהוצאה אח"כ התירו קצת כלים כמוזכר בגמרא (שם קכג:) ונאסרו השאר מפני הטעמים שכתב רבינו. ומ"ש אטו טלטול לאו צורך הוצאה הוא רצו לומר כי סבה ראשונה לאסור הטלטול מפני גדר ההוצאה ואף על פי שבטל הטעם לא בטלה גזרה. ואפשר שרבינו הזכיר טעמים אלו שחדש הוא ז"ל ולא לומר שאין שם טעם אחר וזה נראה יותר</w:t>
      </w:r>
      <w:r>
        <w:rPr>
          <w:rFonts w:hint="cs"/>
          <w:rtl/>
        </w:rPr>
        <w:t>, הה"מ.</w:t>
      </w:r>
    </w:p>
  </w:footnote>
  <w:footnote w:id="1300">
    <w:p w14:paraId="09442FE9" w14:textId="77777777" w:rsidR="00EE588E" w:rsidRDefault="00EE588E" w:rsidP="00285819">
      <w:pPr>
        <w:pStyle w:val="a7"/>
        <w:rPr>
          <w:rtl/>
        </w:rPr>
      </w:pPr>
      <w:r>
        <w:rPr>
          <w:rStyle w:val="a9"/>
        </w:rPr>
        <w:footnoteRef/>
      </w:r>
      <w:r>
        <w:rPr>
          <w:rtl/>
        </w:rPr>
        <w:t xml:space="preserve"> </w:t>
      </w:r>
      <w:r w:rsidRPr="00AD724C">
        <w:rPr>
          <w:rFonts w:cs="Arial"/>
          <w:rtl/>
        </w:rPr>
        <w:t>ומתוך דבריו פה יתבאר לך שמוקצה מחמת חסרון כיס אין לו צד היתר לטלטלו</w:t>
      </w:r>
      <w:r>
        <w:rPr>
          <w:rFonts w:hint="cs"/>
          <w:rtl/>
        </w:rPr>
        <w:t>, ב"י.</w:t>
      </w:r>
    </w:p>
  </w:footnote>
  <w:footnote w:id="1301">
    <w:p w14:paraId="1F60D346" w14:textId="483F519E" w:rsidR="00EE588E" w:rsidRDefault="00EE588E" w:rsidP="00285819">
      <w:pPr>
        <w:pStyle w:val="a7"/>
      </w:pPr>
      <w:r>
        <w:rPr>
          <w:rStyle w:val="a9"/>
        </w:rPr>
        <w:footnoteRef/>
      </w:r>
      <w:r>
        <w:rPr>
          <w:rtl/>
        </w:rPr>
        <w:t xml:space="preserve"> </w:t>
      </w:r>
      <w:r>
        <w:rPr>
          <w:rFonts w:cs="Arial" w:hint="cs"/>
          <w:rtl/>
        </w:rPr>
        <w:t xml:space="preserve">אך </w:t>
      </w:r>
      <w:r w:rsidRPr="00AD724C">
        <w:rPr>
          <w:rFonts w:cs="Arial"/>
          <w:rtl/>
        </w:rPr>
        <w:t>מותר לטלטלו לצורך גופו ולצורך מקומו ולא נאסר אלא מחמה לצל</w:t>
      </w:r>
      <w:r>
        <w:rPr>
          <w:rFonts w:cs="Arial" w:hint="cs"/>
          <w:rtl/>
        </w:rPr>
        <w:t>, ב"י.</w:t>
      </w:r>
    </w:p>
  </w:footnote>
  <w:footnote w:id="1302">
    <w:p w14:paraId="7CA4900A" w14:textId="77777777" w:rsidR="00E8146C" w:rsidRDefault="00EE588E" w:rsidP="00285819">
      <w:pPr>
        <w:pStyle w:val="a7"/>
        <w:rPr>
          <w:rFonts w:cs="Arial"/>
          <w:rtl/>
        </w:rPr>
      </w:pPr>
      <w:r>
        <w:rPr>
          <w:rStyle w:val="a9"/>
        </w:rPr>
        <w:footnoteRef/>
      </w:r>
      <w:r>
        <w:rPr>
          <w:rtl/>
        </w:rPr>
        <w:t xml:space="preserve"> </w:t>
      </w:r>
      <w:r w:rsidRPr="00E8146C">
        <w:rPr>
          <w:rFonts w:cs="Arial"/>
          <w:u w:val="single"/>
          <w:rtl/>
        </w:rPr>
        <w:t>ויש בו דרכי היתר י"ג:</w:t>
      </w:r>
      <w:r w:rsidRPr="00AD724C">
        <w:rPr>
          <w:rFonts w:cs="Arial"/>
          <w:rtl/>
        </w:rPr>
        <w:t xml:space="preserve"> </w:t>
      </w:r>
    </w:p>
    <w:p w14:paraId="28F6E666" w14:textId="2EAD56E7" w:rsidR="00E8146C" w:rsidRPr="00E8146C" w:rsidRDefault="00EE588E" w:rsidP="00285819">
      <w:pPr>
        <w:pStyle w:val="a7"/>
        <w:numPr>
          <w:ilvl w:val="0"/>
          <w:numId w:val="7"/>
        </w:numPr>
      </w:pPr>
      <w:r w:rsidRPr="00AD724C">
        <w:rPr>
          <w:rFonts w:cs="Arial"/>
          <w:rtl/>
        </w:rPr>
        <w:t>הא'</w:t>
      </w:r>
      <w:r w:rsidR="00E8146C">
        <w:rPr>
          <w:rFonts w:cs="Arial" w:hint="cs"/>
          <w:rtl/>
        </w:rPr>
        <w:t>-</w:t>
      </w:r>
      <w:r w:rsidRPr="00AD724C">
        <w:rPr>
          <w:rFonts w:cs="Arial"/>
          <w:rtl/>
        </w:rPr>
        <w:t xml:space="preserve"> יש דברים שמותר לטלטלם על ידי מחשבה</w:t>
      </w:r>
      <w:r w:rsidR="003A0F1B">
        <w:rPr>
          <w:rFonts w:cs="Arial" w:hint="cs"/>
          <w:rtl/>
        </w:rPr>
        <w:t>,</w:t>
      </w:r>
      <w:r w:rsidRPr="00AD724C">
        <w:rPr>
          <w:rFonts w:cs="Arial"/>
          <w:rtl/>
        </w:rPr>
        <w:t xml:space="preserve"> כמו חריות של דקל ונסרים של אומן וחבילי קש ועצים שהתקינן למאכל בהמה ולבנים שנשארו מהבנין</w:t>
      </w:r>
      <w:r w:rsidR="00E8146C">
        <w:rPr>
          <w:rFonts w:cs="Arial" w:hint="cs"/>
          <w:rtl/>
        </w:rPr>
        <w:t>.</w:t>
      </w:r>
      <w:r w:rsidRPr="00AD724C">
        <w:rPr>
          <w:rFonts w:cs="Arial"/>
          <w:rtl/>
        </w:rPr>
        <w:t xml:space="preserve"> </w:t>
      </w:r>
    </w:p>
    <w:p w14:paraId="22E76248" w14:textId="4AEBAC51" w:rsidR="00E8146C" w:rsidRPr="00E8146C" w:rsidRDefault="00EE588E" w:rsidP="00285819">
      <w:pPr>
        <w:pStyle w:val="a7"/>
        <w:numPr>
          <w:ilvl w:val="0"/>
          <w:numId w:val="7"/>
        </w:numPr>
      </w:pPr>
      <w:r w:rsidRPr="00AD724C">
        <w:rPr>
          <w:rFonts w:cs="Arial"/>
          <w:rtl/>
        </w:rPr>
        <w:t>הב'</w:t>
      </w:r>
      <w:r w:rsidR="00E8146C">
        <w:rPr>
          <w:rFonts w:cs="Arial" w:hint="cs"/>
          <w:rtl/>
        </w:rPr>
        <w:t>-</w:t>
      </w:r>
      <w:r w:rsidRPr="00AD724C">
        <w:rPr>
          <w:rFonts w:cs="Arial"/>
          <w:rtl/>
        </w:rPr>
        <w:t xml:space="preserve"> יש דברים שצריכים הכנסה ויחוד מקום</w:t>
      </w:r>
      <w:r w:rsidR="003A0F1B">
        <w:rPr>
          <w:rFonts w:cs="Arial" w:hint="cs"/>
          <w:rtl/>
        </w:rPr>
        <w:t>,</w:t>
      </w:r>
      <w:r w:rsidRPr="00AD724C">
        <w:rPr>
          <w:rFonts w:cs="Arial"/>
          <w:rtl/>
        </w:rPr>
        <w:t xml:space="preserve"> כמו שאמרו (שבת נ.) מכניס אדם מלא קופתו עפר ועושה בה צרכיו והוא שייחד לו קרן זוית</w:t>
      </w:r>
      <w:r w:rsidR="00E8146C">
        <w:rPr>
          <w:rFonts w:cs="Arial" w:hint="cs"/>
          <w:rtl/>
        </w:rPr>
        <w:t>.</w:t>
      </w:r>
      <w:r w:rsidRPr="00AD724C">
        <w:rPr>
          <w:rFonts w:cs="Arial"/>
          <w:rtl/>
        </w:rPr>
        <w:t xml:space="preserve"> </w:t>
      </w:r>
    </w:p>
    <w:p w14:paraId="7351D925" w14:textId="4D2C5DF8" w:rsidR="00E8146C" w:rsidRPr="00E8146C" w:rsidRDefault="00EE588E" w:rsidP="00285819">
      <w:pPr>
        <w:pStyle w:val="a7"/>
        <w:numPr>
          <w:ilvl w:val="0"/>
          <w:numId w:val="7"/>
        </w:numPr>
      </w:pPr>
      <w:r w:rsidRPr="00AD724C">
        <w:rPr>
          <w:rFonts w:cs="Arial"/>
          <w:rtl/>
        </w:rPr>
        <w:t>הג'</w:t>
      </w:r>
      <w:r w:rsidR="00E8146C">
        <w:rPr>
          <w:rFonts w:cs="Arial" w:hint="cs"/>
          <w:rtl/>
        </w:rPr>
        <w:t>-</w:t>
      </w:r>
      <w:r w:rsidRPr="00AD724C">
        <w:rPr>
          <w:rFonts w:cs="Arial"/>
          <w:rtl/>
        </w:rPr>
        <w:t xml:space="preserve"> יש דברים שצריכים שפשוף או למוד</w:t>
      </w:r>
      <w:r w:rsidR="003A0F1B">
        <w:rPr>
          <w:rFonts w:cs="Arial" w:hint="cs"/>
          <w:rtl/>
        </w:rPr>
        <w:t>,</w:t>
      </w:r>
      <w:r w:rsidRPr="00AD724C">
        <w:rPr>
          <w:rFonts w:cs="Arial"/>
          <w:rtl/>
        </w:rPr>
        <w:t xml:space="preserve"> כמו שאמרו בגמרא (שבת קכה:) על נדבך של אבנים</w:t>
      </w:r>
      <w:r w:rsidR="003A0F1B">
        <w:rPr>
          <w:rFonts w:cs="Arial" w:hint="cs"/>
          <w:rtl/>
        </w:rPr>
        <w:t>.</w:t>
      </w:r>
      <w:r w:rsidRPr="00AD724C">
        <w:rPr>
          <w:rFonts w:cs="Arial"/>
          <w:rtl/>
        </w:rPr>
        <w:t xml:space="preserve"> ואע</w:t>
      </w:r>
      <w:r w:rsidR="00E8146C">
        <w:rPr>
          <w:rFonts w:cs="Arial" w:hint="cs"/>
          <w:rtl/>
        </w:rPr>
        <w:t>"</w:t>
      </w:r>
      <w:r w:rsidRPr="00AD724C">
        <w:rPr>
          <w:rFonts w:cs="Arial"/>
          <w:rtl/>
        </w:rPr>
        <w:t>פ שלא הזכיר רבינו זה אני אזכירנו בע"ה (סה. ד"ה חריות)</w:t>
      </w:r>
      <w:r w:rsidR="00E8146C">
        <w:rPr>
          <w:rFonts w:cs="Arial" w:hint="cs"/>
          <w:rtl/>
        </w:rPr>
        <w:t>.</w:t>
      </w:r>
      <w:r w:rsidRPr="00AD724C">
        <w:rPr>
          <w:rFonts w:cs="Arial"/>
          <w:rtl/>
        </w:rPr>
        <w:t xml:space="preserve"> </w:t>
      </w:r>
    </w:p>
    <w:p w14:paraId="0FCEF72D" w14:textId="77777777" w:rsidR="00E8146C" w:rsidRPr="00E8146C" w:rsidRDefault="00EE588E" w:rsidP="00285819">
      <w:pPr>
        <w:pStyle w:val="a7"/>
        <w:numPr>
          <w:ilvl w:val="0"/>
          <w:numId w:val="7"/>
        </w:numPr>
      </w:pPr>
      <w:r w:rsidRPr="00AD724C">
        <w:rPr>
          <w:rFonts w:cs="Arial"/>
          <w:rtl/>
        </w:rPr>
        <w:t>הד'</w:t>
      </w:r>
      <w:r w:rsidR="00E8146C">
        <w:rPr>
          <w:rFonts w:cs="Arial" w:hint="cs"/>
          <w:rtl/>
        </w:rPr>
        <w:t>-</w:t>
      </w:r>
      <w:r w:rsidRPr="00AD724C">
        <w:rPr>
          <w:rFonts w:cs="Arial"/>
          <w:rtl/>
        </w:rPr>
        <w:t xml:space="preserve"> כיסוי בור ודות ניטלים אם יש להם בית אחיזה</w:t>
      </w:r>
      <w:r w:rsidR="00E8146C">
        <w:rPr>
          <w:rFonts w:cs="Arial" w:hint="cs"/>
          <w:rtl/>
        </w:rPr>
        <w:t>.</w:t>
      </w:r>
      <w:r w:rsidRPr="00AD724C">
        <w:rPr>
          <w:rFonts w:cs="Arial"/>
          <w:rtl/>
        </w:rPr>
        <w:t xml:space="preserve"> </w:t>
      </w:r>
    </w:p>
    <w:p w14:paraId="4400B228" w14:textId="77777777" w:rsidR="00E8146C" w:rsidRPr="00E8146C" w:rsidRDefault="00EE588E" w:rsidP="00285819">
      <w:pPr>
        <w:pStyle w:val="a7"/>
        <w:numPr>
          <w:ilvl w:val="0"/>
          <w:numId w:val="7"/>
        </w:numPr>
      </w:pPr>
      <w:r w:rsidRPr="00AD724C">
        <w:rPr>
          <w:rFonts w:cs="Arial"/>
          <w:rtl/>
        </w:rPr>
        <w:t>הה'</w:t>
      </w:r>
      <w:r w:rsidR="00E8146C">
        <w:rPr>
          <w:rFonts w:cs="Arial" w:hint="cs"/>
          <w:rtl/>
        </w:rPr>
        <w:t>-</w:t>
      </w:r>
      <w:r w:rsidRPr="00AD724C">
        <w:rPr>
          <w:rFonts w:cs="Arial"/>
          <w:rtl/>
        </w:rPr>
        <w:t xml:space="preserve"> התירו לטלטל אבנים מקורזלות לצורך בית הכסא</w:t>
      </w:r>
      <w:r w:rsidR="00E8146C">
        <w:rPr>
          <w:rFonts w:cs="Arial" w:hint="cs"/>
          <w:rtl/>
        </w:rPr>
        <w:t>.</w:t>
      </w:r>
      <w:r w:rsidRPr="00AD724C">
        <w:rPr>
          <w:rFonts w:cs="Arial"/>
          <w:rtl/>
        </w:rPr>
        <w:t xml:space="preserve"> </w:t>
      </w:r>
    </w:p>
    <w:p w14:paraId="3F804C91" w14:textId="77777777" w:rsidR="00E8146C" w:rsidRPr="00E8146C" w:rsidRDefault="00EE588E" w:rsidP="00285819">
      <w:pPr>
        <w:pStyle w:val="a7"/>
        <w:numPr>
          <w:ilvl w:val="0"/>
          <w:numId w:val="7"/>
        </w:numPr>
      </w:pPr>
      <w:r w:rsidRPr="00AD724C">
        <w:rPr>
          <w:rFonts w:cs="Arial"/>
          <w:rtl/>
        </w:rPr>
        <w:t>הו'</w:t>
      </w:r>
      <w:r w:rsidR="00E8146C">
        <w:rPr>
          <w:rFonts w:cs="Arial" w:hint="cs"/>
          <w:rtl/>
        </w:rPr>
        <w:t>-</w:t>
      </w:r>
      <w:r w:rsidRPr="00AD724C">
        <w:rPr>
          <w:rFonts w:cs="Arial"/>
          <w:rtl/>
        </w:rPr>
        <w:t xml:space="preserve"> התירו לטלטל גרף של רעי כלומר כלי המיוחד לרעי ואין בו רעי מותר לטלטלו על ידי מים שנותן בו</w:t>
      </w:r>
      <w:r w:rsidR="00E8146C">
        <w:rPr>
          <w:rFonts w:cs="Arial" w:hint="cs"/>
          <w:rtl/>
        </w:rPr>
        <w:t>.</w:t>
      </w:r>
      <w:r w:rsidRPr="00AD724C">
        <w:rPr>
          <w:rFonts w:cs="Arial"/>
          <w:rtl/>
        </w:rPr>
        <w:t xml:space="preserve"> </w:t>
      </w:r>
    </w:p>
    <w:p w14:paraId="7A18CE36" w14:textId="738D1A7F" w:rsidR="00E8146C" w:rsidRPr="00E8146C" w:rsidRDefault="00EE588E" w:rsidP="00285819">
      <w:pPr>
        <w:pStyle w:val="a7"/>
        <w:numPr>
          <w:ilvl w:val="0"/>
          <w:numId w:val="7"/>
        </w:numPr>
      </w:pPr>
      <w:r w:rsidRPr="00AD724C">
        <w:rPr>
          <w:rFonts w:cs="Arial"/>
          <w:rtl/>
        </w:rPr>
        <w:t>הז'</w:t>
      </w:r>
      <w:r w:rsidR="00E8146C">
        <w:rPr>
          <w:rFonts w:cs="Arial" w:hint="cs"/>
          <w:rtl/>
        </w:rPr>
        <w:t>-</w:t>
      </w:r>
      <w:r w:rsidRPr="00AD724C">
        <w:rPr>
          <w:rFonts w:cs="Arial"/>
          <w:rtl/>
        </w:rPr>
        <w:t xml:space="preserve"> התירו לטלטל המת מפני הדליקה</w:t>
      </w:r>
      <w:r w:rsidR="00E8146C">
        <w:rPr>
          <w:rFonts w:cs="Arial" w:hint="cs"/>
          <w:rtl/>
        </w:rPr>
        <w:t>.</w:t>
      </w:r>
      <w:r w:rsidRPr="00AD724C">
        <w:rPr>
          <w:rFonts w:cs="Arial"/>
          <w:rtl/>
        </w:rPr>
        <w:t xml:space="preserve"> </w:t>
      </w:r>
    </w:p>
    <w:p w14:paraId="3AE76F9D" w14:textId="77777777" w:rsidR="00E8146C" w:rsidRPr="00E8146C" w:rsidRDefault="00EE588E" w:rsidP="00285819">
      <w:pPr>
        <w:pStyle w:val="a7"/>
        <w:numPr>
          <w:ilvl w:val="0"/>
          <w:numId w:val="7"/>
        </w:numPr>
      </w:pPr>
      <w:r w:rsidRPr="00AD724C">
        <w:rPr>
          <w:rFonts w:cs="Arial"/>
          <w:rtl/>
        </w:rPr>
        <w:t>הח'</w:t>
      </w:r>
      <w:r w:rsidR="00E8146C">
        <w:rPr>
          <w:rFonts w:cs="Arial" w:hint="cs"/>
          <w:rtl/>
        </w:rPr>
        <w:t>-</w:t>
      </w:r>
      <w:r w:rsidRPr="00AD724C">
        <w:rPr>
          <w:rFonts w:cs="Arial"/>
          <w:rtl/>
        </w:rPr>
        <w:t xml:space="preserve"> התירו לטלטל המת מפני החמה על ידי ככר או תינוק</w:t>
      </w:r>
      <w:r w:rsidR="00E8146C">
        <w:rPr>
          <w:rFonts w:cs="Arial" w:hint="cs"/>
          <w:rtl/>
        </w:rPr>
        <w:t>.</w:t>
      </w:r>
      <w:r w:rsidRPr="00AD724C">
        <w:rPr>
          <w:rFonts w:cs="Arial"/>
          <w:rtl/>
        </w:rPr>
        <w:t xml:space="preserve"> </w:t>
      </w:r>
    </w:p>
    <w:p w14:paraId="2BAEEADA" w14:textId="77777777" w:rsidR="00E8146C" w:rsidRPr="00E8146C" w:rsidRDefault="00EE588E" w:rsidP="00285819">
      <w:pPr>
        <w:pStyle w:val="a7"/>
        <w:numPr>
          <w:ilvl w:val="0"/>
          <w:numId w:val="7"/>
        </w:numPr>
      </w:pPr>
      <w:r w:rsidRPr="00AD724C">
        <w:rPr>
          <w:rFonts w:cs="Arial"/>
          <w:rtl/>
        </w:rPr>
        <w:t>הט'</w:t>
      </w:r>
      <w:r w:rsidR="00E8146C">
        <w:rPr>
          <w:rFonts w:cs="Arial" w:hint="cs"/>
          <w:rtl/>
        </w:rPr>
        <w:t>-</w:t>
      </w:r>
      <w:r w:rsidRPr="00AD724C">
        <w:rPr>
          <w:rFonts w:cs="Arial"/>
          <w:rtl/>
        </w:rPr>
        <w:t xml:space="preserve"> התירו לטלטל קוץ המונח במקום שרבים דורסים בו כדי שלא יזוקו</w:t>
      </w:r>
      <w:r w:rsidR="00E8146C">
        <w:rPr>
          <w:rFonts w:cs="Arial" w:hint="cs"/>
          <w:rtl/>
        </w:rPr>
        <w:t>.</w:t>
      </w:r>
      <w:r w:rsidRPr="00AD724C">
        <w:rPr>
          <w:rFonts w:cs="Arial"/>
          <w:rtl/>
        </w:rPr>
        <w:t xml:space="preserve"> </w:t>
      </w:r>
    </w:p>
    <w:p w14:paraId="735678FA" w14:textId="3A1DDED7" w:rsidR="00E8146C" w:rsidRPr="00E8146C" w:rsidRDefault="00EE588E" w:rsidP="00285819">
      <w:pPr>
        <w:pStyle w:val="a7"/>
        <w:numPr>
          <w:ilvl w:val="0"/>
          <w:numId w:val="7"/>
        </w:numPr>
      </w:pPr>
      <w:r w:rsidRPr="00AD724C">
        <w:rPr>
          <w:rFonts w:cs="Arial"/>
          <w:rtl/>
        </w:rPr>
        <w:t>הי'</w:t>
      </w:r>
      <w:r w:rsidR="00E8146C">
        <w:rPr>
          <w:rFonts w:cs="Arial" w:hint="cs"/>
          <w:rtl/>
        </w:rPr>
        <w:t>-</w:t>
      </w:r>
      <w:r w:rsidRPr="00AD724C">
        <w:rPr>
          <w:rFonts w:cs="Arial"/>
          <w:rtl/>
        </w:rPr>
        <w:t xml:space="preserve"> התירו לטלטל גרף של רעי</w:t>
      </w:r>
      <w:r w:rsidR="003A0F1B">
        <w:rPr>
          <w:rFonts w:cs="Arial" w:hint="cs"/>
          <w:rtl/>
        </w:rPr>
        <w:t>,</w:t>
      </w:r>
      <w:r w:rsidRPr="00AD724C">
        <w:rPr>
          <w:rFonts w:cs="Arial"/>
          <w:rtl/>
        </w:rPr>
        <w:t xml:space="preserve"> כלומר הרעי עצמו מותר לטלטלו בין על ידי כלי בין שלא על ידי כלי</w:t>
      </w:r>
      <w:r w:rsidR="00E8146C">
        <w:rPr>
          <w:rFonts w:cs="Arial" w:hint="cs"/>
          <w:rtl/>
        </w:rPr>
        <w:t>.</w:t>
      </w:r>
      <w:r w:rsidRPr="00AD724C">
        <w:rPr>
          <w:rFonts w:cs="Arial"/>
          <w:rtl/>
        </w:rPr>
        <w:t xml:space="preserve"> </w:t>
      </w:r>
    </w:p>
    <w:p w14:paraId="0D9A9AA4" w14:textId="26FABF97" w:rsidR="00E8146C" w:rsidRPr="00E8146C" w:rsidRDefault="00EE588E" w:rsidP="00285819">
      <w:pPr>
        <w:pStyle w:val="a7"/>
        <w:numPr>
          <w:ilvl w:val="0"/>
          <w:numId w:val="7"/>
        </w:numPr>
      </w:pPr>
      <w:r w:rsidRPr="00AD724C">
        <w:rPr>
          <w:rFonts w:cs="Arial"/>
          <w:rtl/>
        </w:rPr>
        <w:t>הי"א</w:t>
      </w:r>
      <w:r w:rsidR="00E8146C">
        <w:rPr>
          <w:rFonts w:cs="Arial" w:hint="cs"/>
          <w:rtl/>
        </w:rPr>
        <w:t>-</w:t>
      </w:r>
      <w:r w:rsidRPr="00AD724C">
        <w:rPr>
          <w:rFonts w:cs="Arial"/>
          <w:rtl/>
        </w:rPr>
        <w:t xml:space="preserve"> התירו לטלטל קליפי אגוזים ע</w:t>
      </w:r>
      <w:r w:rsidR="003A0F1B">
        <w:rPr>
          <w:rFonts w:cs="Arial" w:hint="cs"/>
          <w:rtl/>
        </w:rPr>
        <w:t>"</w:t>
      </w:r>
      <w:r w:rsidRPr="00AD724C">
        <w:rPr>
          <w:rFonts w:cs="Arial"/>
          <w:rtl/>
        </w:rPr>
        <w:t>י שמסלק הטבלא ונוערה</w:t>
      </w:r>
      <w:r w:rsidR="003A0F1B">
        <w:rPr>
          <w:rFonts w:cs="Arial" w:hint="cs"/>
          <w:rtl/>
        </w:rPr>
        <w:t>,</w:t>
      </w:r>
      <w:r w:rsidRPr="00AD724C">
        <w:rPr>
          <w:rFonts w:cs="Arial"/>
          <w:rtl/>
        </w:rPr>
        <w:t xml:space="preserve"> וענין סילוק זה יתבאר לקמן (סה: ד"ה ומ"ש ופרורין)</w:t>
      </w:r>
      <w:r w:rsidR="00E8146C">
        <w:rPr>
          <w:rFonts w:cs="Arial" w:hint="cs"/>
          <w:rtl/>
        </w:rPr>
        <w:t>.</w:t>
      </w:r>
      <w:r w:rsidRPr="00AD724C">
        <w:rPr>
          <w:rFonts w:cs="Arial"/>
          <w:rtl/>
        </w:rPr>
        <w:t xml:space="preserve"> </w:t>
      </w:r>
    </w:p>
    <w:p w14:paraId="16CE659E" w14:textId="7C94C364" w:rsidR="00E8146C" w:rsidRPr="00E8146C" w:rsidRDefault="00EE588E" w:rsidP="00285819">
      <w:pPr>
        <w:pStyle w:val="a7"/>
        <w:numPr>
          <w:ilvl w:val="0"/>
          <w:numId w:val="7"/>
        </w:numPr>
      </w:pPr>
      <w:r w:rsidRPr="00AD724C">
        <w:rPr>
          <w:rFonts w:cs="Arial"/>
          <w:rtl/>
        </w:rPr>
        <w:t>הי"ב</w:t>
      </w:r>
      <w:r w:rsidR="00E8146C">
        <w:rPr>
          <w:rFonts w:cs="Arial" w:hint="cs"/>
          <w:rtl/>
        </w:rPr>
        <w:t>-</w:t>
      </w:r>
      <w:r w:rsidRPr="00AD724C">
        <w:rPr>
          <w:rFonts w:cs="Arial"/>
          <w:rtl/>
        </w:rPr>
        <w:t xml:space="preserve"> התירו לטלטל שברי כלים אע</w:t>
      </w:r>
      <w:r w:rsidR="00E8146C">
        <w:rPr>
          <w:rFonts w:cs="Arial" w:hint="cs"/>
          <w:rtl/>
        </w:rPr>
        <w:t>"</w:t>
      </w:r>
      <w:r w:rsidRPr="00AD724C">
        <w:rPr>
          <w:rFonts w:cs="Arial"/>
          <w:rtl/>
        </w:rPr>
        <w:t>פ דדמו לצרורות</w:t>
      </w:r>
      <w:r w:rsidR="003A0F1B">
        <w:rPr>
          <w:rFonts w:cs="Arial" w:hint="cs"/>
          <w:rtl/>
        </w:rPr>
        <w:t>,</w:t>
      </w:r>
      <w:r w:rsidRPr="00AD724C">
        <w:rPr>
          <w:rFonts w:cs="Arial"/>
          <w:rtl/>
        </w:rPr>
        <w:t xml:space="preserve"> ובלבד שיהו עושין מעין מלאכה</w:t>
      </w:r>
      <w:r w:rsidR="00E8146C">
        <w:rPr>
          <w:rFonts w:cs="Arial" w:hint="cs"/>
          <w:rtl/>
        </w:rPr>
        <w:t>.</w:t>
      </w:r>
      <w:r w:rsidRPr="00AD724C">
        <w:rPr>
          <w:rFonts w:cs="Arial"/>
          <w:rtl/>
        </w:rPr>
        <w:t xml:space="preserve"> </w:t>
      </w:r>
    </w:p>
    <w:p w14:paraId="608DDC34" w14:textId="25043891" w:rsidR="00EE588E" w:rsidRDefault="00EE588E" w:rsidP="00285819">
      <w:pPr>
        <w:pStyle w:val="a7"/>
        <w:numPr>
          <w:ilvl w:val="0"/>
          <w:numId w:val="7"/>
        </w:numPr>
      </w:pPr>
      <w:r w:rsidRPr="00AD724C">
        <w:rPr>
          <w:rFonts w:cs="Arial"/>
          <w:rtl/>
        </w:rPr>
        <w:t>הי"ג</w:t>
      </w:r>
      <w:r w:rsidR="00E8146C">
        <w:rPr>
          <w:rFonts w:cs="Arial" w:hint="cs"/>
          <w:rtl/>
        </w:rPr>
        <w:t>-</w:t>
      </w:r>
      <w:r w:rsidRPr="00AD724C">
        <w:rPr>
          <w:rFonts w:cs="Arial"/>
          <w:rtl/>
        </w:rPr>
        <w:t xml:space="preserve"> התירו לטלטל האיסור בגופו שלא בנענוע ידיו</w:t>
      </w:r>
      <w:r w:rsidR="003A0F1B">
        <w:rPr>
          <w:rFonts w:cs="Arial" w:hint="cs"/>
          <w:rtl/>
        </w:rPr>
        <w:t>,</w:t>
      </w:r>
      <w:r w:rsidRPr="00AD724C">
        <w:rPr>
          <w:rFonts w:cs="Arial"/>
          <w:rtl/>
        </w:rPr>
        <w:t xml:space="preserve"> כדתנן (שבת קמא.) קש שעל המטה מנענעו בגופו</w:t>
      </w:r>
      <w:r w:rsidR="003A0F1B">
        <w:rPr>
          <w:rFonts w:cs="Arial" w:hint="cs"/>
          <w:rtl/>
        </w:rPr>
        <w:t>.</w:t>
      </w:r>
      <w:r w:rsidRPr="00AD724C">
        <w:rPr>
          <w:rFonts w:cs="Arial"/>
          <w:rtl/>
        </w:rPr>
        <w:t xml:space="preserve"> אבל אם ע</w:t>
      </w:r>
      <w:r w:rsidR="003A0F1B">
        <w:rPr>
          <w:rFonts w:cs="Arial" w:hint="cs"/>
          <w:rtl/>
        </w:rPr>
        <w:t>"</w:t>
      </w:r>
      <w:r w:rsidRPr="00AD724C">
        <w:rPr>
          <w:rFonts w:cs="Arial"/>
          <w:rtl/>
        </w:rPr>
        <w:t>י נענוע ידיו מטלטל האיסור</w:t>
      </w:r>
      <w:r w:rsidR="003A0F1B">
        <w:rPr>
          <w:rFonts w:cs="Arial" w:hint="cs"/>
          <w:rtl/>
        </w:rPr>
        <w:t>,</w:t>
      </w:r>
      <w:r w:rsidRPr="00AD724C">
        <w:rPr>
          <w:rFonts w:cs="Arial"/>
          <w:rtl/>
        </w:rPr>
        <w:t xml:space="preserve"> ואפילו אם אינו נוגע בו</w:t>
      </w:r>
      <w:r w:rsidR="003A0F1B">
        <w:rPr>
          <w:rFonts w:cs="Arial" w:hint="cs"/>
          <w:rtl/>
        </w:rPr>
        <w:t>,</w:t>
      </w:r>
      <w:r w:rsidRPr="00AD724C">
        <w:rPr>
          <w:rFonts w:cs="Arial"/>
          <w:rtl/>
        </w:rPr>
        <w:t xml:space="preserve"> זה נקרא טלטול מן הצד ואסור כל שהוא צריך לדבר האסור</w:t>
      </w:r>
      <w:r>
        <w:rPr>
          <w:rFonts w:cs="Arial" w:hint="cs"/>
          <w:rtl/>
        </w:rPr>
        <w:t>.</w:t>
      </w:r>
    </w:p>
  </w:footnote>
  <w:footnote w:id="1303">
    <w:p w14:paraId="120B32C6" w14:textId="77777777" w:rsidR="00EE588E" w:rsidRDefault="00EE588E" w:rsidP="00285819">
      <w:pPr>
        <w:pStyle w:val="a7"/>
        <w:rPr>
          <w:rFonts w:cs="Arial"/>
          <w:rtl/>
        </w:rPr>
      </w:pPr>
      <w:r>
        <w:rPr>
          <w:rStyle w:val="a9"/>
        </w:rPr>
        <w:footnoteRef/>
      </w:r>
      <w:r>
        <w:rPr>
          <w:rtl/>
        </w:rPr>
        <w:t xml:space="preserve"> </w:t>
      </w:r>
      <w:r w:rsidRPr="00E8146C">
        <w:rPr>
          <w:rFonts w:cs="Arial" w:hint="cs"/>
          <w:u w:val="single"/>
          <w:rtl/>
        </w:rPr>
        <w:t>ו</w:t>
      </w:r>
      <w:r w:rsidRPr="00E8146C">
        <w:rPr>
          <w:rFonts w:cs="Arial"/>
          <w:u w:val="single"/>
          <w:rtl/>
        </w:rPr>
        <w:t>יש בו גם כן דרכי היתר ומספרם ה':</w:t>
      </w:r>
      <w:r w:rsidRPr="001E3C1B">
        <w:rPr>
          <w:rFonts w:cs="Arial"/>
          <w:rtl/>
        </w:rPr>
        <w:t xml:space="preserve"> </w:t>
      </w:r>
    </w:p>
    <w:p w14:paraId="52A7843C" w14:textId="06B5EBE9" w:rsidR="00EE588E" w:rsidRPr="001E3C1B" w:rsidRDefault="00EE588E" w:rsidP="00285819">
      <w:pPr>
        <w:pStyle w:val="a7"/>
        <w:numPr>
          <w:ilvl w:val="0"/>
          <w:numId w:val="6"/>
        </w:numPr>
      </w:pPr>
      <w:r w:rsidRPr="001E3C1B">
        <w:rPr>
          <w:rFonts w:cs="Arial"/>
          <w:rtl/>
        </w:rPr>
        <w:t>הא'</w:t>
      </w:r>
      <w:r>
        <w:rPr>
          <w:rFonts w:cs="Arial" w:hint="cs"/>
          <w:rtl/>
        </w:rPr>
        <w:t>-</w:t>
      </w:r>
      <w:r w:rsidRPr="001E3C1B">
        <w:rPr>
          <w:rFonts w:cs="Arial"/>
          <w:rtl/>
        </w:rPr>
        <w:t xml:space="preserve"> אם לא הונחו שם מדעת אלא ששכחם שם מותר להטות החבית כדי שתפול האבן</w:t>
      </w:r>
      <w:r w:rsidR="003A0F1B">
        <w:rPr>
          <w:rFonts w:cs="Arial" w:hint="cs"/>
          <w:rtl/>
        </w:rPr>
        <w:t>,</w:t>
      </w:r>
      <w:r w:rsidRPr="001E3C1B">
        <w:rPr>
          <w:rFonts w:cs="Arial"/>
          <w:rtl/>
        </w:rPr>
        <w:t xml:space="preserve"> ולנער הכר והמעות נופלות</w:t>
      </w:r>
      <w:r w:rsidR="003A0F1B">
        <w:rPr>
          <w:rFonts w:cs="Arial" w:hint="cs"/>
          <w:rtl/>
        </w:rPr>
        <w:t>,</w:t>
      </w:r>
      <w:r w:rsidRPr="001E3C1B">
        <w:rPr>
          <w:rFonts w:cs="Arial"/>
          <w:rtl/>
        </w:rPr>
        <w:t xml:space="preserve"> דטלטול מן הצד לצורך דבר המותר שרי</w:t>
      </w:r>
      <w:r w:rsidR="003A0F1B">
        <w:rPr>
          <w:rFonts w:cs="Arial" w:hint="cs"/>
          <w:rtl/>
        </w:rPr>
        <w:t>.</w:t>
      </w:r>
      <w:r w:rsidRPr="001E3C1B">
        <w:rPr>
          <w:rFonts w:cs="Arial"/>
          <w:rtl/>
        </w:rPr>
        <w:t xml:space="preserve"> ומטעם זה צנון שטמנו בקרקע אם מקצת עליו מגולות נוטלו אע</w:t>
      </w:r>
      <w:r w:rsidR="003A0F1B">
        <w:rPr>
          <w:rFonts w:cs="Arial" w:hint="cs"/>
          <w:rtl/>
        </w:rPr>
        <w:t>"</w:t>
      </w:r>
      <w:r w:rsidRPr="001E3C1B">
        <w:rPr>
          <w:rFonts w:cs="Arial"/>
          <w:rtl/>
        </w:rPr>
        <w:t>פ שבנטילתו מזיז עפר ממקומו</w:t>
      </w:r>
      <w:r w:rsidR="003A0F1B">
        <w:rPr>
          <w:rFonts w:cs="Arial" w:hint="cs"/>
          <w:rtl/>
        </w:rPr>
        <w:t>,</w:t>
      </w:r>
      <w:r w:rsidRPr="001E3C1B">
        <w:rPr>
          <w:rFonts w:cs="Arial"/>
          <w:rtl/>
        </w:rPr>
        <w:t xml:space="preserve"> וכן פגה שטמנה בתבן מותר לתחוב בה מחט וליטלה</w:t>
      </w:r>
      <w:r>
        <w:rPr>
          <w:rFonts w:cs="Arial" w:hint="cs"/>
          <w:rtl/>
        </w:rPr>
        <w:t>.</w:t>
      </w:r>
      <w:r w:rsidRPr="001E3C1B">
        <w:rPr>
          <w:rFonts w:cs="Arial"/>
          <w:rtl/>
        </w:rPr>
        <w:t xml:space="preserve"> </w:t>
      </w:r>
    </w:p>
    <w:p w14:paraId="7F88D55F" w14:textId="3169C97C" w:rsidR="00EE588E" w:rsidRPr="001E3C1B" w:rsidRDefault="00EE588E" w:rsidP="00285819">
      <w:pPr>
        <w:pStyle w:val="a7"/>
        <w:numPr>
          <w:ilvl w:val="0"/>
          <w:numId w:val="6"/>
        </w:numPr>
      </w:pPr>
      <w:r w:rsidRPr="001E3C1B">
        <w:rPr>
          <w:rFonts w:cs="Arial"/>
          <w:rtl/>
        </w:rPr>
        <w:t>הב'</w:t>
      </w:r>
      <w:r>
        <w:rPr>
          <w:rFonts w:cs="Arial" w:hint="cs"/>
          <w:rtl/>
        </w:rPr>
        <w:t>-</w:t>
      </w:r>
      <w:r w:rsidRPr="001E3C1B">
        <w:rPr>
          <w:rFonts w:cs="Arial"/>
          <w:rtl/>
        </w:rPr>
        <w:t xml:space="preserve"> אם היתה חבית זו בין החביות שאינו יכול להטותה</w:t>
      </w:r>
      <w:r w:rsidR="00A22A2C">
        <w:rPr>
          <w:rFonts w:cs="Arial" w:hint="cs"/>
          <w:rtl/>
        </w:rPr>
        <w:t>,</w:t>
      </w:r>
      <w:r w:rsidRPr="001E3C1B">
        <w:rPr>
          <w:rFonts w:cs="Arial"/>
          <w:rtl/>
        </w:rPr>
        <w:t xml:space="preserve"> או שהיה צריך למקום החבית והכר</w:t>
      </w:r>
      <w:r w:rsidR="00A22A2C">
        <w:rPr>
          <w:rFonts w:cs="Arial" w:hint="cs"/>
          <w:rtl/>
        </w:rPr>
        <w:t>,</w:t>
      </w:r>
      <w:r w:rsidRPr="001E3C1B">
        <w:rPr>
          <w:rFonts w:cs="Arial"/>
          <w:rtl/>
        </w:rPr>
        <w:t xml:space="preserve"> מגביהן כמו שהן עם האבן והמעות עליהם ומניחם במקום אחר</w:t>
      </w:r>
      <w:r w:rsidR="00A22A2C">
        <w:rPr>
          <w:rFonts w:cs="Arial" w:hint="cs"/>
          <w:rtl/>
        </w:rPr>
        <w:t>,</w:t>
      </w:r>
      <w:r w:rsidRPr="001E3C1B">
        <w:rPr>
          <w:rFonts w:cs="Arial"/>
          <w:rtl/>
        </w:rPr>
        <w:t xml:space="preserve"> כיון שלא הונחו שם מדעת</w:t>
      </w:r>
      <w:r>
        <w:rPr>
          <w:rFonts w:cs="Arial" w:hint="cs"/>
          <w:rtl/>
        </w:rPr>
        <w:t>.</w:t>
      </w:r>
      <w:r w:rsidRPr="001E3C1B">
        <w:rPr>
          <w:rFonts w:cs="Arial"/>
          <w:rtl/>
        </w:rPr>
        <w:t xml:space="preserve"> </w:t>
      </w:r>
    </w:p>
    <w:p w14:paraId="3F6EAD13" w14:textId="63C9FDF7" w:rsidR="00EE588E" w:rsidRPr="001E3C1B" w:rsidRDefault="00EE588E" w:rsidP="00285819">
      <w:pPr>
        <w:pStyle w:val="a7"/>
        <w:numPr>
          <w:ilvl w:val="0"/>
          <w:numId w:val="6"/>
        </w:numPr>
      </w:pPr>
      <w:r w:rsidRPr="001E3C1B">
        <w:rPr>
          <w:rFonts w:cs="Arial"/>
          <w:rtl/>
        </w:rPr>
        <w:t>הג'</w:t>
      </w:r>
      <w:r>
        <w:rPr>
          <w:rFonts w:cs="Arial" w:hint="cs"/>
          <w:rtl/>
        </w:rPr>
        <w:t>-</w:t>
      </w:r>
      <w:r w:rsidRPr="001E3C1B">
        <w:rPr>
          <w:rFonts w:cs="Arial"/>
          <w:rtl/>
        </w:rPr>
        <w:t xml:space="preserve"> אם יש ביד בנו שיש לו געגועין עליו אבן מותר ליטלו והאבן בידו</w:t>
      </w:r>
      <w:r w:rsidR="00A22A2C">
        <w:rPr>
          <w:rFonts w:cs="Arial" w:hint="cs"/>
          <w:rtl/>
        </w:rPr>
        <w:t>.</w:t>
      </w:r>
      <w:r w:rsidRPr="001E3C1B">
        <w:rPr>
          <w:rFonts w:cs="Arial"/>
          <w:rtl/>
        </w:rPr>
        <w:t xml:space="preserve"> ודוקא אבן</w:t>
      </w:r>
      <w:r w:rsidR="00A22A2C">
        <w:rPr>
          <w:rFonts w:cs="Arial" w:hint="cs"/>
          <w:rtl/>
        </w:rPr>
        <w:t>,</w:t>
      </w:r>
      <w:r w:rsidRPr="001E3C1B">
        <w:rPr>
          <w:rFonts w:cs="Arial"/>
          <w:rtl/>
        </w:rPr>
        <w:t xml:space="preserve"> אבל דינר לא</w:t>
      </w:r>
      <w:r>
        <w:rPr>
          <w:rFonts w:cs="Arial" w:hint="cs"/>
          <w:rtl/>
        </w:rPr>
        <w:t>.</w:t>
      </w:r>
      <w:r w:rsidRPr="001E3C1B">
        <w:rPr>
          <w:rFonts w:cs="Arial"/>
          <w:rtl/>
        </w:rPr>
        <w:t xml:space="preserve"> </w:t>
      </w:r>
    </w:p>
    <w:p w14:paraId="13F28CA5" w14:textId="5720CE23" w:rsidR="00EE588E" w:rsidRPr="001E3C1B" w:rsidRDefault="00EE588E" w:rsidP="00285819">
      <w:pPr>
        <w:pStyle w:val="a7"/>
        <w:numPr>
          <w:ilvl w:val="0"/>
          <w:numId w:val="6"/>
        </w:numPr>
      </w:pPr>
      <w:r w:rsidRPr="001E3C1B">
        <w:rPr>
          <w:rFonts w:cs="Arial"/>
          <w:rtl/>
        </w:rPr>
        <w:t>הד'</w:t>
      </w:r>
      <w:r>
        <w:rPr>
          <w:rFonts w:cs="Arial" w:hint="cs"/>
          <w:rtl/>
        </w:rPr>
        <w:t>-</w:t>
      </w:r>
      <w:r w:rsidRPr="001E3C1B">
        <w:rPr>
          <w:rFonts w:cs="Arial"/>
          <w:rtl/>
        </w:rPr>
        <w:t xml:space="preserve"> אבן שבקרויה שממלאין בה מים אם היא מהודקת מותר לטלטלה עם האבן מפני שהיא כדופן</w:t>
      </w:r>
      <w:r w:rsidR="00A22A2C">
        <w:rPr>
          <w:rFonts w:cs="Arial" w:hint="cs"/>
          <w:rtl/>
        </w:rPr>
        <w:t>,</w:t>
      </w:r>
      <w:r w:rsidRPr="001E3C1B">
        <w:rPr>
          <w:rFonts w:cs="Arial"/>
          <w:rtl/>
        </w:rPr>
        <w:t xml:space="preserve"> וכן כלכלה נקובה ונסתם הנקב באבן מותר לטלטלה עם האבן מזה הטעם</w:t>
      </w:r>
      <w:r>
        <w:rPr>
          <w:rFonts w:cs="Arial" w:hint="cs"/>
          <w:rtl/>
        </w:rPr>
        <w:t>.</w:t>
      </w:r>
      <w:r w:rsidRPr="001E3C1B">
        <w:rPr>
          <w:rFonts w:cs="Arial"/>
          <w:rtl/>
        </w:rPr>
        <w:t xml:space="preserve"> </w:t>
      </w:r>
    </w:p>
    <w:p w14:paraId="5B0A4824" w14:textId="66446C7F" w:rsidR="00EE588E" w:rsidRDefault="00EE588E" w:rsidP="00285819">
      <w:pPr>
        <w:pStyle w:val="a7"/>
        <w:numPr>
          <w:ilvl w:val="0"/>
          <w:numId w:val="6"/>
        </w:numPr>
      </w:pPr>
      <w:r w:rsidRPr="001E3C1B">
        <w:rPr>
          <w:rFonts w:cs="Arial"/>
          <w:rtl/>
        </w:rPr>
        <w:t>הה'</w:t>
      </w:r>
      <w:r>
        <w:rPr>
          <w:rFonts w:cs="Arial" w:hint="cs"/>
          <w:rtl/>
        </w:rPr>
        <w:t>-</w:t>
      </w:r>
      <w:r w:rsidRPr="001E3C1B">
        <w:rPr>
          <w:rFonts w:cs="Arial"/>
          <w:rtl/>
        </w:rPr>
        <w:t xml:space="preserve"> כלי שמלאכתו להיתר שיש בו דבר איסור ודבר היתר ואי אפשר לנערם</w:t>
      </w:r>
      <w:r w:rsidR="00A22A2C">
        <w:rPr>
          <w:rFonts w:cs="Arial" w:hint="cs"/>
          <w:rtl/>
        </w:rPr>
        <w:t>,</w:t>
      </w:r>
      <w:r w:rsidRPr="001E3C1B">
        <w:rPr>
          <w:rFonts w:cs="Arial"/>
          <w:rtl/>
        </w:rPr>
        <w:t xml:space="preserve"> כגון כלכלה שיש בה אבן ופירות רטובים שאם ינערם יפסדו</w:t>
      </w:r>
      <w:r w:rsidR="00A22A2C">
        <w:rPr>
          <w:rFonts w:cs="Arial" w:hint="cs"/>
          <w:rtl/>
        </w:rPr>
        <w:t xml:space="preserve"> -</w:t>
      </w:r>
      <w:r w:rsidRPr="001E3C1B">
        <w:rPr>
          <w:rFonts w:cs="Arial"/>
          <w:rtl/>
        </w:rPr>
        <w:t xml:space="preserve"> מותר לטלטלם</w:t>
      </w:r>
      <w:r w:rsidR="00A22A2C">
        <w:rPr>
          <w:rFonts w:cs="Arial" w:hint="cs"/>
          <w:rtl/>
        </w:rPr>
        <w:t>.</w:t>
      </w:r>
      <w:r w:rsidRPr="001E3C1B">
        <w:rPr>
          <w:rFonts w:cs="Arial"/>
          <w:rtl/>
        </w:rPr>
        <w:t xml:space="preserve"> וכן כנונא אגב קיטמא אע</w:t>
      </w:r>
      <w:r>
        <w:rPr>
          <w:rFonts w:cs="Arial" w:hint="cs"/>
          <w:rtl/>
        </w:rPr>
        <w:t>"</w:t>
      </w:r>
      <w:r w:rsidRPr="001E3C1B">
        <w:rPr>
          <w:rFonts w:cs="Arial"/>
          <w:rtl/>
        </w:rPr>
        <w:t>ג דאיכא עליה שברי עצים</w:t>
      </w:r>
      <w:r w:rsidR="00A22A2C">
        <w:rPr>
          <w:rFonts w:cs="Arial" w:hint="cs"/>
          <w:rtl/>
        </w:rPr>
        <w:t>,</w:t>
      </w:r>
      <w:r w:rsidRPr="001E3C1B">
        <w:rPr>
          <w:rFonts w:cs="Arial"/>
          <w:rtl/>
        </w:rPr>
        <w:t xml:space="preserve"> משום דאי אפשר למינקט קיטמא לחודיה אפילו אי שדי ליה מכנונא</w:t>
      </w:r>
      <w:r w:rsidR="00A22A2C">
        <w:rPr>
          <w:rFonts w:cs="Arial" w:hint="cs"/>
          <w:rtl/>
        </w:rPr>
        <w:t>.</w:t>
      </w:r>
      <w:r w:rsidRPr="001E3C1B">
        <w:rPr>
          <w:rFonts w:cs="Arial"/>
          <w:rtl/>
        </w:rPr>
        <w:t xml:space="preserve"> והוא שדבר המותר חשוב מדבר האסור</w:t>
      </w:r>
      <w:r w:rsidR="00A22A2C">
        <w:rPr>
          <w:rFonts w:cs="Arial" w:hint="cs"/>
          <w:rtl/>
        </w:rPr>
        <w:t>.</w:t>
      </w:r>
      <w:r w:rsidRPr="001E3C1B">
        <w:rPr>
          <w:rFonts w:cs="Arial"/>
          <w:rtl/>
        </w:rPr>
        <w:t xml:space="preserve"> והוא שצריך לגוף דבר המותר או למקום הכלכלה והכנונא. </w:t>
      </w:r>
    </w:p>
  </w:footnote>
  <w:footnote w:id="1304">
    <w:p w14:paraId="0562D016" w14:textId="1EEA1D24" w:rsidR="00502813" w:rsidRDefault="00502813" w:rsidP="00285819">
      <w:pPr>
        <w:pStyle w:val="a7"/>
        <w:rPr>
          <w:rtl/>
        </w:rPr>
      </w:pPr>
      <w:r>
        <w:rPr>
          <w:rStyle w:val="a9"/>
        </w:rPr>
        <w:footnoteRef/>
      </w:r>
      <w:r>
        <w:rPr>
          <w:rtl/>
        </w:rPr>
        <w:t xml:space="preserve"> </w:t>
      </w:r>
      <w:r w:rsidRPr="00502813">
        <w:rPr>
          <w:rFonts w:cs="Arial"/>
          <w:rtl/>
        </w:rPr>
        <w:t>מגירה גדולה שעשויה לקצוץ קורות</w:t>
      </w:r>
      <w:r>
        <w:rPr>
          <w:rFonts w:hint="cs"/>
          <w:rtl/>
        </w:rPr>
        <w:t>, רש"י.</w:t>
      </w:r>
      <w:r w:rsidR="00DE7348" w:rsidRPr="00DE7348">
        <w:rPr>
          <w:rFonts w:cs="Arial"/>
          <w:rtl/>
        </w:rPr>
        <w:t xml:space="preserve"> </w:t>
      </w:r>
      <w:r w:rsidR="00DE7348" w:rsidRPr="00F63421">
        <w:rPr>
          <w:rFonts w:cs="Arial"/>
          <w:rtl/>
        </w:rPr>
        <w:t>והתוספות (ד"ה וסכינא) כתבו שיש מפרשים סכינא דאשכבתא סכין ששוחטין בו שמקפיד שלא תפגם</w:t>
      </w:r>
      <w:r w:rsidR="00DE7348">
        <w:rPr>
          <w:rFonts w:cs="Arial" w:hint="cs"/>
          <w:rtl/>
        </w:rPr>
        <w:t>.</w:t>
      </w:r>
      <w:r w:rsidR="00DE7348" w:rsidRPr="00F63421">
        <w:rPr>
          <w:rFonts w:cs="Arial"/>
          <w:rtl/>
        </w:rPr>
        <w:t xml:space="preserve"> וכתב הרא"ש (סי' ד) וכן נמי סכין של מילה ואיזמל של ספרים וסכין של סופרים שמתקנים בהם הקולמוסין</w:t>
      </w:r>
      <w:r w:rsidR="00DE7348">
        <w:rPr>
          <w:rFonts w:cs="Arial" w:hint="cs"/>
          <w:rtl/>
        </w:rPr>
        <w:t>,</w:t>
      </w:r>
      <w:r w:rsidR="00DE7348" w:rsidRPr="00F63421">
        <w:rPr>
          <w:rFonts w:cs="Arial"/>
          <w:rtl/>
        </w:rPr>
        <w:t xml:space="preserve"> כיון שמקפידים לעשות בהם תשמיש אחר אסור לטלטלם בשבת</w:t>
      </w:r>
      <w:r w:rsidR="00DE7348">
        <w:rPr>
          <w:rFonts w:cs="Arial" w:hint="cs"/>
          <w:rtl/>
        </w:rPr>
        <w:t>.</w:t>
      </w:r>
    </w:p>
  </w:footnote>
  <w:footnote w:id="1305">
    <w:p w14:paraId="5628E8C1" w14:textId="7385A603" w:rsidR="00502813" w:rsidRDefault="00502813" w:rsidP="00285819">
      <w:pPr>
        <w:pStyle w:val="a7"/>
      </w:pPr>
      <w:r>
        <w:rPr>
          <w:rStyle w:val="a9"/>
        </w:rPr>
        <w:footnoteRef/>
      </w:r>
      <w:r>
        <w:rPr>
          <w:rtl/>
        </w:rPr>
        <w:t xml:space="preserve"> </w:t>
      </w:r>
      <w:r w:rsidRPr="00502813">
        <w:rPr>
          <w:rFonts w:cs="Arial"/>
          <w:rtl/>
        </w:rPr>
        <w:t>הוא כלי גדול העשוי כסכין שבו עושין חריץ של תלם המענה, קולטר"א בלעז</w:t>
      </w:r>
      <w:r>
        <w:rPr>
          <w:rFonts w:cs="Arial" w:hint="cs"/>
          <w:rtl/>
        </w:rPr>
        <w:t>.</w:t>
      </w:r>
      <w:r w:rsidRPr="00502813">
        <w:rPr>
          <w:rFonts w:cs="Arial"/>
          <w:rtl/>
        </w:rPr>
        <w:t xml:space="preserve"> דהנך קפיד עלייהו, ומייחד להם מקום, דלא חזו למלאכה אחרת</w:t>
      </w:r>
      <w:r>
        <w:rPr>
          <w:rFonts w:cs="Arial" w:hint="cs"/>
          <w:rtl/>
        </w:rPr>
        <w:t>, רש"י.</w:t>
      </w:r>
    </w:p>
  </w:footnote>
  <w:footnote w:id="1306">
    <w:p w14:paraId="242BD2CB" w14:textId="09CD6F4F" w:rsidR="00502813" w:rsidRDefault="00502813" w:rsidP="00285819">
      <w:pPr>
        <w:pStyle w:val="a7"/>
        <w:rPr>
          <w:rtl/>
        </w:rPr>
      </w:pPr>
      <w:r>
        <w:rPr>
          <w:rStyle w:val="a9"/>
        </w:rPr>
        <w:footnoteRef/>
      </w:r>
      <w:r>
        <w:rPr>
          <w:rtl/>
        </w:rPr>
        <w:t xml:space="preserve"> </w:t>
      </w:r>
      <w:r w:rsidRPr="00502813">
        <w:rPr>
          <w:rFonts w:cs="Arial"/>
          <w:rtl/>
        </w:rPr>
        <w:t>כלי נחושת העשוי כנפה נקבים נקבים והוא של כובסים, ונותנו על הבגדים ומזלף בו המים עליהן, ויש מפרשים: שמגמרין מוגמר מתחתיו, והבגדים מונחין עליו ומתגמרין דרך הנקבים</w:t>
      </w:r>
      <w:r>
        <w:rPr>
          <w:rFonts w:hint="cs"/>
          <w:rtl/>
        </w:rPr>
        <w:t>, רש"י.</w:t>
      </w:r>
    </w:p>
  </w:footnote>
  <w:footnote w:id="1307">
    <w:p w14:paraId="43C1CFA7" w14:textId="69091808" w:rsidR="00502813" w:rsidRDefault="00502813" w:rsidP="00285819">
      <w:pPr>
        <w:pStyle w:val="a7"/>
      </w:pPr>
      <w:r>
        <w:rPr>
          <w:rStyle w:val="a9"/>
        </w:rPr>
        <w:footnoteRef/>
      </w:r>
      <w:r>
        <w:rPr>
          <w:rtl/>
        </w:rPr>
        <w:t xml:space="preserve"> </w:t>
      </w:r>
      <w:r w:rsidRPr="00502813">
        <w:rPr>
          <w:rFonts w:cs="Arial"/>
          <w:rtl/>
        </w:rPr>
        <w:t>סכין של רצענין</w:t>
      </w:r>
      <w:r>
        <w:rPr>
          <w:rFonts w:cs="Arial" w:hint="cs"/>
          <w:rtl/>
        </w:rPr>
        <w:t>, רש"י.</w:t>
      </w:r>
    </w:p>
  </w:footnote>
  <w:footnote w:id="1308">
    <w:p w14:paraId="1E548920" w14:textId="59E11072" w:rsidR="00502813" w:rsidRDefault="00502813" w:rsidP="00285819">
      <w:pPr>
        <w:pStyle w:val="a7"/>
      </w:pPr>
      <w:r>
        <w:rPr>
          <w:rStyle w:val="a9"/>
        </w:rPr>
        <w:footnoteRef/>
      </w:r>
      <w:r>
        <w:rPr>
          <w:rtl/>
        </w:rPr>
        <w:t xml:space="preserve"> </w:t>
      </w:r>
      <w:r w:rsidRPr="00502813">
        <w:rPr>
          <w:rFonts w:cs="Arial"/>
          <w:rtl/>
        </w:rPr>
        <w:t>סכין של בית המקולין שהקצבין מקצבין בו בשר</w:t>
      </w:r>
      <w:r>
        <w:rPr>
          <w:rFonts w:cs="Arial" w:hint="cs"/>
          <w:rtl/>
        </w:rPr>
        <w:t>, רש"י.</w:t>
      </w:r>
    </w:p>
  </w:footnote>
  <w:footnote w:id="1309">
    <w:p w14:paraId="15376146" w14:textId="564BB13B" w:rsidR="00502813" w:rsidRDefault="00502813" w:rsidP="00285819">
      <w:pPr>
        <w:pStyle w:val="a7"/>
        <w:rPr>
          <w:rtl/>
        </w:rPr>
      </w:pPr>
      <w:r>
        <w:rPr>
          <w:rStyle w:val="a9"/>
        </w:rPr>
        <w:footnoteRef/>
      </w:r>
      <w:r>
        <w:rPr>
          <w:rtl/>
        </w:rPr>
        <w:t xml:space="preserve"> </w:t>
      </w:r>
      <w:r w:rsidRPr="00502813">
        <w:rPr>
          <w:rFonts w:cs="Arial"/>
          <w:rtl/>
        </w:rPr>
        <w:t xml:space="preserve">דולויר"א </w:t>
      </w:r>
      <w:r w:rsidRPr="00502813">
        <w:rPr>
          <w:rFonts w:cs="Arial" w:hint="cs"/>
          <w:sz w:val="16"/>
          <w:szCs w:val="16"/>
          <w:rtl/>
        </w:rPr>
        <w:t>(</w:t>
      </w:r>
      <w:r w:rsidRPr="00502813">
        <w:rPr>
          <w:rFonts w:cs="Arial"/>
          <w:sz w:val="16"/>
          <w:szCs w:val="16"/>
          <w:rtl/>
        </w:rPr>
        <w:t>מין גרזן רחב</w:t>
      </w:r>
      <w:r w:rsidRPr="00502813">
        <w:rPr>
          <w:rFonts w:cs="Arial" w:hint="cs"/>
          <w:sz w:val="16"/>
          <w:szCs w:val="16"/>
          <w:rtl/>
        </w:rPr>
        <w:t>)</w:t>
      </w:r>
      <w:r w:rsidRPr="00502813">
        <w:rPr>
          <w:rFonts w:cs="Arial"/>
          <w:rtl/>
        </w:rPr>
        <w:t>, כל הני קפדי עלייהו משום דמפגמי, ומקצי להו בידים</w:t>
      </w:r>
      <w:r>
        <w:rPr>
          <w:rFonts w:hint="cs"/>
          <w:rtl/>
        </w:rPr>
        <w:t>, רש"י.</w:t>
      </w:r>
    </w:p>
  </w:footnote>
  <w:footnote w:id="1310">
    <w:p w14:paraId="7961B52D" w14:textId="22454AED" w:rsidR="00611858" w:rsidRDefault="00611858" w:rsidP="00285819">
      <w:pPr>
        <w:pStyle w:val="a7"/>
      </w:pPr>
      <w:r>
        <w:rPr>
          <w:rStyle w:val="a9"/>
        </w:rPr>
        <w:footnoteRef/>
      </w:r>
      <w:r>
        <w:rPr>
          <w:rtl/>
        </w:rPr>
        <w:t xml:space="preserve"> </w:t>
      </w:r>
      <w:r w:rsidRPr="004664A5">
        <w:rPr>
          <w:rFonts w:cs="Arial"/>
          <w:rtl/>
        </w:rPr>
        <w:t>וכתב במהרי"ל (הל' שבת אות לו) דאפילו אם אותו סכין תחוב בנדן אצל שאר סכינים אסור לטלטלו עכ"ל</w:t>
      </w:r>
      <w:r w:rsidR="00D059AB">
        <w:rPr>
          <w:rFonts w:cs="Arial" w:hint="cs"/>
          <w:rtl/>
        </w:rPr>
        <w:t>, דרכ"מ (אות א).</w:t>
      </w:r>
      <w:r w:rsidR="003D1A42">
        <w:rPr>
          <w:rFonts w:hint="cs"/>
          <w:rtl/>
        </w:rPr>
        <w:t xml:space="preserve"> </w:t>
      </w:r>
      <w:r w:rsidR="003D1A42" w:rsidRPr="003D1A42">
        <w:rPr>
          <w:rFonts w:hint="cs"/>
          <w:color w:val="00B0F0"/>
          <w:rtl/>
        </w:rPr>
        <w:t>(וכ"פ בהג"ה)</w:t>
      </w:r>
    </w:p>
  </w:footnote>
  <w:footnote w:id="1311">
    <w:p w14:paraId="2202E27C" w14:textId="0C9DF5C3" w:rsidR="004C461A" w:rsidRDefault="004C461A" w:rsidP="00285819">
      <w:pPr>
        <w:pStyle w:val="a7"/>
      </w:pPr>
      <w:r>
        <w:rPr>
          <w:rStyle w:val="a9"/>
        </w:rPr>
        <w:footnoteRef/>
      </w:r>
      <w:r>
        <w:rPr>
          <w:rtl/>
        </w:rPr>
        <w:t xml:space="preserve"> </w:t>
      </w:r>
      <w:r w:rsidRPr="00F63421">
        <w:rPr>
          <w:rFonts w:cs="Arial"/>
          <w:rtl/>
        </w:rPr>
        <w:t xml:space="preserve">והרב המגיד כתב </w:t>
      </w:r>
      <w:r>
        <w:rPr>
          <w:rFonts w:cs="Arial" w:hint="cs"/>
          <w:rtl/>
        </w:rPr>
        <w:t>(</w:t>
      </w:r>
      <w:r w:rsidRPr="00F63421">
        <w:rPr>
          <w:rFonts w:cs="Arial"/>
          <w:rtl/>
        </w:rPr>
        <w:t>פכ</w:t>
      </w:r>
      <w:r>
        <w:rPr>
          <w:rFonts w:cs="Arial" w:hint="cs"/>
          <w:rtl/>
        </w:rPr>
        <w:t>"</w:t>
      </w:r>
      <w:r w:rsidRPr="00F63421">
        <w:rPr>
          <w:rFonts w:cs="Arial"/>
          <w:rtl/>
        </w:rPr>
        <w:t xml:space="preserve">ו הי"ד) גבי אוצר של תבואה שאם יש לו כלים המוכנים לסחורה והוצרך להם </w:t>
      </w:r>
      <w:r>
        <w:rPr>
          <w:rFonts w:cs="Arial" w:hint="cs"/>
          <w:rtl/>
        </w:rPr>
        <w:t xml:space="preserve">- </w:t>
      </w:r>
      <w:r w:rsidRPr="00F63421">
        <w:rPr>
          <w:rFonts w:cs="Arial"/>
          <w:rtl/>
        </w:rPr>
        <w:t>מותר לטלטלם</w:t>
      </w:r>
      <w:r>
        <w:rPr>
          <w:rFonts w:cs="Arial" w:hint="cs"/>
          <w:rtl/>
        </w:rPr>
        <w:t>,</w:t>
      </w:r>
      <w:r w:rsidRPr="00F63421">
        <w:rPr>
          <w:rFonts w:cs="Arial"/>
          <w:rtl/>
        </w:rPr>
        <w:t xml:space="preserve"> וכל שכן הוא מפירות המוכנים לסחורה שהותרו אפילו באכילה</w:t>
      </w:r>
      <w:r>
        <w:rPr>
          <w:rFonts w:cs="Arial" w:hint="cs"/>
          <w:rtl/>
        </w:rPr>
        <w:t>.</w:t>
      </w:r>
      <w:r w:rsidRPr="00F63421">
        <w:rPr>
          <w:rFonts w:cs="Arial"/>
          <w:rtl/>
        </w:rPr>
        <w:t xml:space="preserve"> עכ"ל</w:t>
      </w:r>
      <w:r>
        <w:rPr>
          <w:rFonts w:cs="Arial" w:hint="cs"/>
          <w:rtl/>
        </w:rPr>
        <w:t>.</w:t>
      </w:r>
      <w:r w:rsidRPr="00F63421">
        <w:rPr>
          <w:rFonts w:cs="Arial"/>
          <w:rtl/>
        </w:rPr>
        <w:t xml:space="preserve"> וכן משמע מכרכי דזוזי דאיתא בס</w:t>
      </w:r>
      <w:r>
        <w:rPr>
          <w:rFonts w:cs="Arial" w:hint="cs"/>
          <w:rtl/>
        </w:rPr>
        <w:t>פ"ק</w:t>
      </w:r>
      <w:r w:rsidRPr="00F63421">
        <w:rPr>
          <w:rFonts w:cs="Arial"/>
          <w:rtl/>
        </w:rPr>
        <w:t xml:space="preserve"> (יט:) ובס</w:t>
      </w:r>
      <w:r>
        <w:rPr>
          <w:rFonts w:cs="Arial" w:hint="cs"/>
          <w:rtl/>
        </w:rPr>
        <w:t>"פ</w:t>
      </w:r>
      <w:r w:rsidRPr="00F63421">
        <w:rPr>
          <w:rFonts w:cs="Arial"/>
          <w:rtl/>
        </w:rPr>
        <w:t xml:space="preserve"> מי שהחשיך (קנו:)</w:t>
      </w:r>
      <w:r>
        <w:rPr>
          <w:rFonts w:cs="Arial" w:hint="cs"/>
          <w:rtl/>
        </w:rPr>
        <w:t>.</w:t>
      </w:r>
      <w:r w:rsidRPr="00F63421">
        <w:rPr>
          <w:rFonts w:cs="Arial"/>
          <w:rtl/>
        </w:rPr>
        <w:t xml:space="preserve"> וגם לפי מה שפירשו התוספות שם בס</w:t>
      </w:r>
      <w:r>
        <w:rPr>
          <w:rFonts w:cs="Arial" w:hint="cs"/>
          <w:rtl/>
        </w:rPr>
        <w:t>פ"ק</w:t>
      </w:r>
      <w:r w:rsidRPr="00F63421">
        <w:rPr>
          <w:rFonts w:cs="Arial"/>
          <w:rtl/>
        </w:rPr>
        <w:t xml:space="preserve"> (ד"ה הני) מכל מקום פשיטא להו דלרבי שמעון אפילו בכלים המיוחדים לעסקא לית ליה מוקצה</w:t>
      </w:r>
      <w:r>
        <w:rPr>
          <w:rFonts w:cs="Arial" w:hint="cs"/>
          <w:rtl/>
        </w:rPr>
        <w:t>.</w:t>
      </w:r>
      <w:r w:rsidRPr="00F63421">
        <w:rPr>
          <w:rFonts w:cs="Arial"/>
          <w:rtl/>
        </w:rPr>
        <w:t xml:space="preserve"> וצריך לומר דהא דכתב הרמב"ם דכלים המוקצים לסחורה אסור לטלטלן </w:t>
      </w:r>
      <w:r>
        <w:rPr>
          <w:rFonts w:cs="Arial" w:hint="cs"/>
          <w:rtl/>
        </w:rPr>
        <w:t xml:space="preserve">- </w:t>
      </w:r>
      <w:r w:rsidRPr="00F63421">
        <w:rPr>
          <w:rFonts w:cs="Arial"/>
          <w:rtl/>
        </w:rPr>
        <w:t>היינו דוקא כשמקפיד עליהם שמא יפסדו</w:t>
      </w:r>
      <w:r>
        <w:rPr>
          <w:rFonts w:cs="Arial" w:hint="cs"/>
          <w:rtl/>
        </w:rPr>
        <w:t>,</w:t>
      </w:r>
      <w:r w:rsidRPr="00F63421">
        <w:rPr>
          <w:rFonts w:cs="Arial"/>
          <w:rtl/>
        </w:rPr>
        <w:t xml:space="preserve"> ומשום הכי אע</w:t>
      </w:r>
      <w:r>
        <w:rPr>
          <w:rFonts w:cs="Arial" w:hint="cs"/>
          <w:rtl/>
        </w:rPr>
        <w:t>"</w:t>
      </w:r>
      <w:r w:rsidRPr="00F63421">
        <w:rPr>
          <w:rFonts w:cs="Arial"/>
          <w:rtl/>
        </w:rPr>
        <w:t>פ שאינם יקרים ביותר כיון שהם מוקצים לסחורה אסור לטלטלם</w:t>
      </w:r>
      <w:r>
        <w:rPr>
          <w:rFonts w:cs="Arial" w:hint="cs"/>
          <w:rtl/>
        </w:rPr>
        <w:t>,</w:t>
      </w:r>
      <w:r w:rsidRPr="00F63421">
        <w:rPr>
          <w:rFonts w:cs="Arial"/>
          <w:rtl/>
        </w:rPr>
        <w:t xml:space="preserve"> דשמקפיד עליהם שמא יפסדו דקתני קאי גם לכלים המוקצים לסחורה</w:t>
      </w:r>
      <w:r>
        <w:rPr>
          <w:rFonts w:cs="Arial" w:hint="cs"/>
          <w:rtl/>
        </w:rPr>
        <w:t>.</w:t>
      </w:r>
      <w:r w:rsidRPr="00F63421">
        <w:rPr>
          <w:rFonts w:cs="Arial"/>
          <w:rtl/>
        </w:rPr>
        <w:t xml:space="preserve"> הא אם אינו מקפיד עליהם</w:t>
      </w:r>
      <w:r>
        <w:rPr>
          <w:rFonts w:cs="Arial" w:hint="cs"/>
          <w:rtl/>
        </w:rPr>
        <w:t>,</w:t>
      </w:r>
      <w:r w:rsidRPr="00F63421">
        <w:rPr>
          <w:rFonts w:cs="Arial"/>
          <w:rtl/>
        </w:rPr>
        <w:t xml:space="preserve"> אע</w:t>
      </w:r>
      <w:r>
        <w:rPr>
          <w:rFonts w:cs="Arial" w:hint="cs"/>
          <w:rtl/>
        </w:rPr>
        <w:t>"</w:t>
      </w:r>
      <w:r w:rsidRPr="00F63421">
        <w:rPr>
          <w:rFonts w:cs="Arial"/>
          <w:rtl/>
        </w:rPr>
        <w:t xml:space="preserve">פ שהם מוקצים לסחורה </w:t>
      </w:r>
      <w:r>
        <w:rPr>
          <w:rFonts w:cs="Arial" w:hint="cs"/>
          <w:rtl/>
        </w:rPr>
        <w:t xml:space="preserve">- </w:t>
      </w:r>
      <w:r w:rsidRPr="00F63421">
        <w:rPr>
          <w:rFonts w:cs="Arial"/>
          <w:rtl/>
        </w:rPr>
        <w:t>מותר לטלטלם</w:t>
      </w:r>
      <w:r>
        <w:rPr>
          <w:rFonts w:cs="Arial" w:hint="cs"/>
          <w:rtl/>
        </w:rPr>
        <w:t>,</w:t>
      </w:r>
      <w:r w:rsidRPr="00F63421">
        <w:rPr>
          <w:rFonts w:cs="Arial"/>
          <w:rtl/>
        </w:rPr>
        <w:t xml:space="preserve"> וכדברי הרב המגיד</w:t>
      </w:r>
      <w:r>
        <w:rPr>
          <w:rFonts w:cs="Arial" w:hint="cs"/>
          <w:rtl/>
        </w:rPr>
        <w:t>, ב"י.</w:t>
      </w:r>
      <w:r w:rsidR="003D1A42" w:rsidRPr="003D1A42">
        <w:rPr>
          <w:rFonts w:cs="Arial" w:hint="cs"/>
          <w:color w:val="E36C0A" w:themeColor="accent6" w:themeShade="BF"/>
          <w:rtl/>
        </w:rPr>
        <w:t xml:space="preserve"> </w:t>
      </w:r>
      <w:r w:rsidR="003D1A42" w:rsidRPr="003D1A42">
        <w:rPr>
          <w:rFonts w:hint="cs"/>
          <w:color w:val="00B0F0"/>
          <w:rtl/>
        </w:rPr>
        <w:t xml:space="preserve">(וכ"פ </w:t>
      </w:r>
      <w:r w:rsidR="003D1A42">
        <w:rPr>
          <w:rFonts w:hint="cs"/>
          <w:color w:val="00B0F0"/>
          <w:rtl/>
        </w:rPr>
        <w:t>הרמ"א</w:t>
      </w:r>
      <w:r w:rsidR="003D1A42" w:rsidRPr="003D1A42">
        <w:rPr>
          <w:rFonts w:hint="cs"/>
          <w:color w:val="00B0F0"/>
          <w:rtl/>
        </w:rPr>
        <w:t>)</w:t>
      </w:r>
      <w:r w:rsidR="003D1A42" w:rsidRPr="003D1A42">
        <w:rPr>
          <w:rFonts w:cs="Arial" w:hint="cs"/>
          <w:color w:val="E36C0A" w:themeColor="accent6" w:themeShade="BF"/>
          <w:rtl/>
        </w:rPr>
        <w:t xml:space="preserve"> (וכ"פ בשו"ע</w:t>
      </w:r>
      <w:r w:rsidR="003D1A42">
        <w:rPr>
          <w:rFonts w:cs="Arial" w:hint="cs"/>
          <w:color w:val="E36C0A" w:themeColor="accent6" w:themeShade="BF"/>
          <w:sz w:val="16"/>
          <w:szCs w:val="16"/>
          <w:rtl/>
        </w:rPr>
        <w:t xml:space="preserve"> </w:t>
      </w:r>
      <w:r w:rsidR="003D1A42" w:rsidRPr="003D1A42">
        <w:rPr>
          <w:rFonts w:cs="Arial" w:hint="cs"/>
          <w:color w:val="000000" w:themeColor="text1"/>
          <w:sz w:val="16"/>
          <w:szCs w:val="16"/>
          <w:rtl/>
        </w:rPr>
        <w:t xml:space="preserve">[בסי' שי סע' </w:t>
      </w:r>
      <w:r w:rsidR="003D1A42">
        <w:rPr>
          <w:rFonts w:cs="Arial" w:hint="cs"/>
          <w:color w:val="000000" w:themeColor="text1"/>
          <w:sz w:val="16"/>
          <w:szCs w:val="16"/>
          <w:rtl/>
        </w:rPr>
        <w:t>ב</w:t>
      </w:r>
      <w:r w:rsidR="003D1A42" w:rsidRPr="003D1A42">
        <w:rPr>
          <w:rFonts w:cs="Arial" w:hint="cs"/>
          <w:color w:val="000000" w:themeColor="text1"/>
          <w:sz w:val="16"/>
          <w:szCs w:val="16"/>
          <w:rtl/>
        </w:rPr>
        <w:t>]</w:t>
      </w:r>
      <w:r w:rsidR="003D1A42" w:rsidRPr="003D1A42">
        <w:rPr>
          <w:rFonts w:cs="Arial" w:hint="cs"/>
          <w:color w:val="E36C0A" w:themeColor="accent6" w:themeShade="BF"/>
          <w:rtl/>
        </w:rPr>
        <w:t>)</w:t>
      </w:r>
    </w:p>
  </w:footnote>
  <w:footnote w:id="1312">
    <w:p w14:paraId="52C220E5" w14:textId="77777777" w:rsidR="001D543F" w:rsidRDefault="001D543F" w:rsidP="00285819">
      <w:pPr>
        <w:pStyle w:val="a7"/>
      </w:pPr>
      <w:r>
        <w:rPr>
          <w:rStyle w:val="a9"/>
        </w:rPr>
        <w:footnoteRef/>
      </w:r>
      <w:r>
        <w:rPr>
          <w:rtl/>
        </w:rPr>
        <w:t xml:space="preserve"> </w:t>
      </w:r>
      <w:r w:rsidRPr="00BF512D">
        <w:rPr>
          <w:rFonts w:cs="Arial"/>
          <w:rtl/>
        </w:rPr>
        <w:t xml:space="preserve">כן נראה שהוא דעת הרמב"ם </w:t>
      </w:r>
      <w:r>
        <w:rPr>
          <w:rFonts w:cs="Arial" w:hint="cs"/>
          <w:rtl/>
        </w:rPr>
        <w:t>(</w:t>
      </w:r>
      <w:r w:rsidRPr="00BF512D">
        <w:rPr>
          <w:rFonts w:cs="Arial"/>
          <w:rtl/>
        </w:rPr>
        <w:t>פכ"ה ה"ט) שלא הזכיר היתר טלטול לצורך גופו ולצורך מקומו במוקצה מחמת חסרון כיס כמו שהזכיר (ה"ה, ז) בכלי שמלאכתו לאיסור</w:t>
      </w:r>
      <w:r>
        <w:rPr>
          <w:rFonts w:cs="Arial" w:hint="cs"/>
          <w:rtl/>
        </w:rPr>
        <w:t>, ב"י.</w:t>
      </w:r>
      <w:r w:rsidRPr="00B14BC7">
        <w:rPr>
          <w:rFonts w:cs="Arial"/>
          <w:rtl/>
        </w:rPr>
        <w:t xml:space="preserve"> </w:t>
      </w:r>
    </w:p>
  </w:footnote>
  <w:footnote w:id="1313">
    <w:p w14:paraId="7FA3D229" w14:textId="77777777" w:rsidR="009B73DE" w:rsidRDefault="009B73DE" w:rsidP="00285819">
      <w:pPr>
        <w:pStyle w:val="a7"/>
      </w:pPr>
      <w:r>
        <w:rPr>
          <w:rStyle w:val="a9"/>
        </w:rPr>
        <w:footnoteRef/>
      </w:r>
      <w:r>
        <w:rPr>
          <w:rtl/>
        </w:rPr>
        <w:t xml:space="preserve"> </w:t>
      </w:r>
      <w:r>
        <w:rPr>
          <w:rFonts w:hint="cs"/>
          <w:rtl/>
        </w:rPr>
        <w:t xml:space="preserve">וז"ל- </w:t>
      </w:r>
      <w:r w:rsidRPr="00752724">
        <w:rPr>
          <w:rFonts w:cs="Arial"/>
          <w:rtl/>
        </w:rPr>
        <w:t>או אפי</w:t>
      </w:r>
      <w:r>
        <w:rPr>
          <w:rFonts w:cs="Arial" w:hint="cs"/>
          <w:rtl/>
        </w:rPr>
        <w:t>לו</w:t>
      </w:r>
      <w:r w:rsidRPr="00752724">
        <w:rPr>
          <w:rFonts w:cs="Arial"/>
          <w:rtl/>
        </w:rPr>
        <w:t xml:space="preserve"> אם צריך לו</w:t>
      </w:r>
      <w:r>
        <w:rPr>
          <w:rFonts w:cs="Arial" w:hint="cs"/>
          <w:rtl/>
        </w:rPr>
        <w:t>,</w:t>
      </w:r>
      <w:r w:rsidRPr="00752724">
        <w:rPr>
          <w:rFonts w:cs="Arial"/>
          <w:rtl/>
        </w:rPr>
        <w:t xml:space="preserve"> והוא דבר שמקפיד עליו שלא לעשות בו אלא מלאכתו</w:t>
      </w:r>
      <w:r>
        <w:rPr>
          <w:rFonts w:cs="Arial" w:hint="cs"/>
          <w:rtl/>
        </w:rPr>
        <w:t>,</w:t>
      </w:r>
      <w:r w:rsidRPr="00752724">
        <w:rPr>
          <w:rFonts w:cs="Arial"/>
          <w:rtl/>
        </w:rPr>
        <w:t xml:space="preserve"> כגון קורנס של בשמים שחושש עליו שלא יתלכלך </w:t>
      </w:r>
      <w:r>
        <w:rPr>
          <w:rFonts w:cs="Arial"/>
          <w:rtl/>
        </w:rPr>
        <w:t>–</w:t>
      </w:r>
      <w:r>
        <w:rPr>
          <w:rFonts w:cs="Arial" w:hint="cs"/>
          <w:rtl/>
        </w:rPr>
        <w:t xml:space="preserve"> </w:t>
      </w:r>
      <w:r w:rsidRPr="00752724">
        <w:rPr>
          <w:rFonts w:cs="Arial"/>
          <w:rtl/>
        </w:rPr>
        <w:t>אסור</w:t>
      </w:r>
      <w:r>
        <w:rPr>
          <w:rFonts w:cs="Arial" w:hint="cs"/>
          <w:rtl/>
        </w:rPr>
        <w:t xml:space="preserve">. עכ"ל. </w:t>
      </w:r>
      <w:r w:rsidRPr="009B73DE">
        <w:rPr>
          <w:rFonts w:cs="Arial" w:hint="cs"/>
          <w:sz w:val="16"/>
          <w:szCs w:val="16"/>
          <w:rtl/>
        </w:rPr>
        <w:t>(</w:t>
      </w:r>
      <w:r w:rsidRPr="009B73DE">
        <w:rPr>
          <w:rFonts w:cs="Arial"/>
          <w:sz w:val="16"/>
          <w:szCs w:val="16"/>
          <w:rtl/>
        </w:rPr>
        <w:t>הרי שאע</w:t>
      </w:r>
      <w:r w:rsidRPr="009B73DE">
        <w:rPr>
          <w:rFonts w:cs="Arial" w:hint="cs"/>
          <w:sz w:val="16"/>
          <w:szCs w:val="16"/>
          <w:rtl/>
        </w:rPr>
        <w:t>"</w:t>
      </w:r>
      <w:r w:rsidRPr="009B73DE">
        <w:rPr>
          <w:rFonts w:cs="Arial"/>
          <w:sz w:val="16"/>
          <w:szCs w:val="16"/>
          <w:rtl/>
        </w:rPr>
        <w:t>פ שצריך לו לגופו אסר</w:t>
      </w:r>
      <w:r w:rsidRPr="009B73DE">
        <w:rPr>
          <w:rFonts w:cs="Arial" w:hint="cs"/>
          <w:sz w:val="16"/>
          <w:szCs w:val="16"/>
          <w:rtl/>
        </w:rPr>
        <w:t>,</w:t>
      </w:r>
      <w:r w:rsidRPr="009B73DE">
        <w:rPr>
          <w:rFonts w:cs="Arial"/>
          <w:sz w:val="16"/>
          <w:szCs w:val="16"/>
          <w:rtl/>
        </w:rPr>
        <w:t xml:space="preserve"> מפני שמקפיד עליו</w:t>
      </w:r>
      <w:r w:rsidRPr="009B73DE">
        <w:rPr>
          <w:rFonts w:cs="Arial" w:hint="cs"/>
          <w:sz w:val="16"/>
          <w:szCs w:val="16"/>
          <w:rtl/>
        </w:rPr>
        <w:t>,</w:t>
      </w:r>
      <w:r w:rsidRPr="009B73DE">
        <w:rPr>
          <w:rFonts w:cs="Arial"/>
          <w:sz w:val="16"/>
          <w:szCs w:val="16"/>
          <w:rtl/>
        </w:rPr>
        <w:t xml:space="preserve"> דהיינו מוקצה מחמת חסרון כיס</w:t>
      </w:r>
      <w:r w:rsidRPr="009B73DE">
        <w:rPr>
          <w:rFonts w:cs="Arial" w:hint="cs"/>
          <w:sz w:val="16"/>
          <w:szCs w:val="16"/>
          <w:rtl/>
        </w:rPr>
        <w:t>, ב"י)</w:t>
      </w:r>
      <w:r>
        <w:rPr>
          <w:rFonts w:cs="Arial" w:hint="cs"/>
          <w:rtl/>
        </w:rPr>
        <w:t>.</w:t>
      </w:r>
    </w:p>
  </w:footnote>
  <w:footnote w:id="1314">
    <w:p w14:paraId="7DC459FA" w14:textId="08CA625C" w:rsidR="00F719E6" w:rsidRDefault="00F719E6" w:rsidP="00285819">
      <w:pPr>
        <w:pStyle w:val="a7"/>
      </w:pPr>
      <w:r>
        <w:rPr>
          <w:rStyle w:val="a9"/>
        </w:rPr>
        <w:footnoteRef/>
      </w:r>
      <w:r>
        <w:rPr>
          <w:rtl/>
        </w:rPr>
        <w:t xml:space="preserve"> </w:t>
      </w:r>
      <w:r w:rsidRPr="00BF512D">
        <w:rPr>
          <w:rFonts w:cs="Arial"/>
          <w:rtl/>
        </w:rPr>
        <w:t>וכיון דלצורך גופו אסור כל שכן לצורך מקומו</w:t>
      </w:r>
      <w:r>
        <w:rPr>
          <w:rFonts w:cs="Arial" w:hint="cs"/>
          <w:rtl/>
        </w:rPr>
        <w:t>,</w:t>
      </w:r>
      <w:r w:rsidRPr="00BF512D">
        <w:rPr>
          <w:rFonts w:cs="Arial"/>
          <w:rtl/>
        </w:rPr>
        <w:t xml:space="preserve"> כדמשמע בגמרא (קכג:) דלצורך גופו עדיף מלצורך מקומו</w:t>
      </w:r>
      <w:r>
        <w:rPr>
          <w:rFonts w:cs="Arial" w:hint="cs"/>
          <w:rtl/>
        </w:rPr>
        <w:t>, ב"י.</w:t>
      </w:r>
      <w:r w:rsidR="00B16BD8">
        <w:rPr>
          <w:rFonts w:hint="cs"/>
          <w:rtl/>
        </w:rPr>
        <w:t xml:space="preserve"> </w:t>
      </w:r>
      <w:r w:rsidR="00B16BD8" w:rsidRPr="00B16BD8">
        <w:rPr>
          <w:rFonts w:hint="cs"/>
          <w:sz w:val="16"/>
          <w:szCs w:val="16"/>
          <w:rtl/>
        </w:rPr>
        <w:t>(</w:t>
      </w:r>
      <w:r w:rsidR="00B16BD8" w:rsidRPr="00B16BD8">
        <w:rPr>
          <w:rFonts w:cs="Arial" w:hint="cs"/>
          <w:sz w:val="16"/>
          <w:szCs w:val="16"/>
          <w:rtl/>
        </w:rPr>
        <w:t xml:space="preserve">וז"ל הגמרא- </w:t>
      </w:r>
      <w:r w:rsidR="00B16BD8" w:rsidRPr="00B16BD8">
        <w:rPr>
          <w:rFonts w:cs="Arial"/>
          <w:sz w:val="16"/>
          <w:szCs w:val="16"/>
          <w:rtl/>
        </w:rPr>
        <w:t>אמר אביי:</w:t>
      </w:r>
      <w:r w:rsidR="00B16BD8" w:rsidRPr="00B16BD8">
        <w:rPr>
          <w:rFonts w:cs="Arial" w:hint="cs"/>
          <w:sz w:val="16"/>
          <w:szCs w:val="16"/>
          <w:rtl/>
        </w:rPr>
        <w:t xml:space="preserve">... </w:t>
      </w:r>
      <w:r w:rsidR="00B16BD8" w:rsidRPr="00B16BD8">
        <w:rPr>
          <w:rFonts w:cs="Arial"/>
          <w:sz w:val="16"/>
          <w:szCs w:val="16"/>
          <w:rtl/>
        </w:rPr>
        <w:t>וחזרו והתירו דבר שמלאכתו לאיסור לצורך גופו - אין, לצורך מקומו - לא</w:t>
      </w:r>
      <w:r w:rsidR="00B16BD8" w:rsidRPr="00B16BD8">
        <w:rPr>
          <w:rFonts w:hint="cs"/>
          <w:sz w:val="16"/>
          <w:szCs w:val="16"/>
          <w:rtl/>
        </w:rPr>
        <w:t>)</w:t>
      </w:r>
      <w:r w:rsidR="00B16BD8">
        <w:rPr>
          <w:rFonts w:hint="cs"/>
          <w:sz w:val="16"/>
          <w:szCs w:val="16"/>
          <w:rtl/>
        </w:rPr>
        <w:t>.</w:t>
      </w:r>
    </w:p>
  </w:footnote>
  <w:footnote w:id="1315">
    <w:p w14:paraId="09825BAE" w14:textId="7CF8407B" w:rsidR="003D1A42" w:rsidRDefault="003D1A42" w:rsidP="00285819">
      <w:pPr>
        <w:pStyle w:val="a7"/>
        <w:rPr>
          <w:rtl/>
        </w:rPr>
      </w:pPr>
      <w:r>
        <w:rPr>
          <w:rStyle w:val="a9"/>
        </w:rPr>
        <w:footnoteRef/>
      </w:r>
      <w:r>
        <w:rPr>
          <w:rtl/>
        </w:rPr>
        <w:t xml:space="preserve"> </w:t>
      </w:r>
      <w:r w:rsidRPr="003D1A42">
        <w:rPr>
          <w:rFonts w:cs="Arial"/>
          <w:rtl/>
        </w:rPr>
        <w:t>פי' אותו הסכין של סופרים אסור לטלטלו דהו"א הואיל והוא תחוב עם שאר סכינים לא קפיד עליה קמ"ל דאסור אבל הנדן עם הסכינים שרי לטלטל אף שהוא ג"כ בתוכו דהא נעשית בסיס לאיסור ולהיתר ומותר לנער ג"כ את הסכין הזה מתוכו ואם הסכין הזה חשוב יותר מסכינים דהתירא אסור אז לטלטל הנדן כלל עיין סוף סי' ש"י</w:t>
      </w:r>
      <w:r>
        <w:rPr>
          <w:rFonts w:hint="cs"/>
          <w:rtl/>
        </w:rPr>
        <w:t>, משנ"ב (סק"ה).</w:t>
      </w:r>
    </w:p>
  </w:footnote>
  <w:footnote w:id="1316">
    <w:p w14:paraId="45A7F12E" w14:textId="176885A9" w:rsidR="003D1A42" w:rsidRDefault="003D1A42" w:rsidP="00285819">
      <w:pPr>
        <w:pStyle w:val="a7"/>
        <w:rPr>
          <w:rtl/>
        </w:rPr>
      </w:pPr>
      <w:r>
        <w:rPr>
          <w:rStyle w:val="a9"/>
        </w:rPr>
        <w:footnoteRef/>
      </w:r>
      <w:r>
        <w:rPr>
          <w:rtl/>
        </w:rPr>
        <w:t xml:space="preserve"> </w:t>
      </w:r>
      <w:r w:rsidRPr="003D1A42">
        <w:rPr>
          <w:rFonts w:cs="Arial"/>
          <w:rtl/>
        </w:rPr>
        <w:t>ואם הוא אינו מקפיד לא הוי לדידיה מוקצה מחמת חסרון כיס [מ"א]</w:t>
      </w:r>
      <w:r>
        <w:rPr>
          <w:rFonts w:hint="cs"/>
          <w:rtl/>
        </w:rPr>
        <w:t>, משנ"ב (סק"ו).</w:t>
      </w:r>
    </w:p>
  </w:footnote>
  <w:footnote w:id="1317">
    <w:p w14:paraId="674887F6" w14:textId="5ABEA1E5" w:rsidR="003D1A42" w:rsidRDefault="003D1A42" w:rsidP="00285819">
      <w:pPr>
        <w:pStyle w:val="a7"/>
      </w:pPr>
      <w:r>
        <w:rPr>
          <w:rStyle w:val="a9"/>
        </w:rPr>
        <w:footnoteRef/>
      </w:r>
      <w:r>
        <w:rPr>
          <w:rtl/>
        </w:rPr>
        <w:t xml:space="preserve"> </w:t>
      </w:r>
      <w:r w:rsidRPr="003D1A42">
        <w:rPr>
          <w:rFonts w:cs="Arial"/>
          <w:rtl/>
        </w:rPr>
        <w:t>שלא להשתמש בהם כדי שלא יתקלקלו אבל אם אינו מקפיד עליהם אף שהם מיוחדים לסחורה ונתנם באוצר ג"כ שרי לטלטל</w:t>
      </w:r>
      <w:r>
        <w:rPr>
          <w:rFonts w:cs="Arial" w:hint="cs"/>
          <w:rtl/>
        </w:rPr>
        <w:t>, משנ"ב (סק"ז).</w:t>
      </w:r>
    </w:p>
  </w:footnote>
  <w:footnote w:id="1318">
    <w:p w14:paraId="4A3E9805" w14:textId="77777777" w:rsidR="002C190A" w:rsidRDefault="002C190A" w:rsidP="00285819">
      <w:pPr>
        <w:pStyle w:val="a7"/>
      </w:pPr>
      <w:r>
        <w:rPr>
          <w:rStyle w:val="a9"/>
        </w:rPr>
        <w:footnoteRef/>
      </w:r>
      <w:r>
        <w:rPr>
          <w:rtl/>
        </w:rPr>
        <w:t xml:space="preserve"> </w:t>
      </w:r>
      <w:r w:rsidRPr="00A84C10">
        <w:rPr>
          <w:rFonts w:cs="Arial"/>
          <w:rtl/>
        </w:rPr>
        <w:t>כוורת</w:t>
      </w:r>
      <w:r>
        <w:rPr>
          <w:rFonts w:cs="Arial" w:hint="cs"/>
          <w:rtl/>
        </w:rPr>
        <w:t>, רש"י.</w:t>
      </w:r>
    </w:p>
  </w:footnote>
  <w:footnote w:id="1319">
    <w:p w14:paraId="5E5ACD29" w14:textId="3A136690" w:rsidR="002C190A" w:rsidRDefault="002C190A" w:rsidP="00285819">
      <w:pPr>
        <w:pStyle w:val="a7"/>
      </w:pPr>
      <w:r>
        <w:rPr>
          <w:rStyle w:val="a9"/>
        </w:rPr>
        <w:footnoteRef/>
      </w:r>
      <w:r>
        <w:rPr>
          <w:rtl/>
        </w:rPr>
        <w:t xml:space="preserve"> </w:t>
      </w:r>
      <w:r w:rsidRPr="00A84C10">
        <w:rPr>
          <w:rFonts w:cs="Arial"/>
          <w:rtl/>
        </w:rPr>
        <w:t>דתורת כלי עליה</w:t>
      </w:r>
      <w:r>
        <w:rPr>
          <w:rFonts w:cs="Arial" w:hint="cs"/>
          <w:rtl/>
        </w:rPr>
        <w:t>, רש"י.</w:t>
      </w:r>
      <w:r w:rsidR="009647BD">
        <w:rPr>
          <w:rFonts w:hint="cs"/>
          <w:rtl/>
        </w:rPr>
        <w:t xml:space="preserve"> כור הוא 249 ליטר לפי הגר"ח נאה.</w:t>
      </w:r>
    </w:p>
  </w:footnote>
  <w:footnote w:id="1320">
    <w:p w14:paraId="5C7D7376" w14:textId="77777777" w:rsidR="002C190A" w:rsidRDefault="002C190A" w:rsidP="00285819">
      <w:pPr>
        <w:pStyle w:val="a7"/>
      </w:pPr>
      <w:r>
        <w:rPr>
          <w:rStyle w:val="a9"/>
        </w:rPr>
        <w:footnoteRef/>
      </w:r>
      <w:r>
        <w:rPr>
          <w:rtl/>
        </w:rPr>
        <w:t xml:space="preserve"> </w:t>
      </w:r>
      <w:r w:rsidRPr="00A84C10">
        <w:rPr>
          <w:rFonts w:cs="Arial"/>
          <w:rtl/>
        </w:rPr>
        <w:t>גדולה יותר מדאי, ואין תורת כלי עליה</w:t>
      </w:r>
      <w:r>
        <w:rPr>
          <w:rFonts w:cs="Arial" w:hint="cs"/>
          <w:rtl/>
        </w:rPr>
        <w:t>, רש"י.</w:t>
      </w:r>
    </w:p>
  </w:footnote>
  <w:footnote w:id="1321">
    <w:p w14:paraId="53C36057" w14:textId="77777777" w:rsidR="002C190A" w:rsidRDefault="002C190A" w:rsidP="00285819">
      <w:pPr>
        <w:pStyle w:val="a7"/>
      </w:pPr>
      <w:r>
        <w:rPr>
          <w:rStyle w:val="a9"/>
        </w:rPr>
        <w:footnoteRef/>
      </w:r>
      <w:r>
        <w:rPr>
          <w:rtl/>
        </w:rPr>
        <w:t xml:space="preserve"> </w:t>
      </w:r>
      <w:r w:rsidRPr="009F79C1">
        <w:rPr>
          <w:rFonts w:cs="Arial"/>
          <w:rtl/>
        </w:rPr>
        <w:t>ספינה גדולה שפורשים בה לים הגדול, ומי הים מלוחין, ועושין כלי גדול כמין בור, ונותנין לתוכו מים יפים</w:t>
      </w:r>
      <w:r>
        <w:rPr>
          <w:rFonts w:cs="Arial" w:hint="cs"/>
          <w:rtl/>
        </w:rPr>
        <w:t>, רש"י.</w:t>
      </w:r>
    </w:p>
  </w:footnote>
  <w:footnote w:id="1322">
    <w:p w14:paraId="0953C7B8" w14:textId="236C5265" w:rsidR="002C190A" w:rsidRDefault="002C190A" w:rsidP="00285819">
      <w:pPr>
        <w:pStyle w:val="a7"/>
      </w:pPr>
      <w:r>
        <w:rPr>
          <w:rStyle w:val="a9"/>
        </w:rPr>
        <w:footnoteRef/>
      </w:r>
      <w:r>
        <w:rPr>
          <w:rtl/>
        </w:rPr>
        <w:t xml:space="preserve"> </w:t>
      </w:r>
      <w:r w:rsidRPr="009F79C1">
        <w:rPr>
          <w:rFonts w:cs="Arial"/>
          <w:rtl/>
        </w:rPr>
        <w:t>ששים סאה, ביבש, שהגודש מחזיק שליש בכלים שלהם, שהיו עשויין כים שעשה שלמה, גובהן כחצי רחבן והם עגולים</w:t>
      </w:r>
      <w:r>
        <w:rPr>
          <w:rFonts w:cs="Arial" w:hint="cs"/>
          <w:rtl/>
        </w:rPr>
        <w:t>, רש"י.</w:t>
      </w:r>
      <w:r w:rsidR="002B1DAE">
        <w:rPr>
          <w:rFonts w:hint="cs"/>
          <w:rtl/>
        </w:rPr>
        <w:t xml:space="preserve"> סאה היא 8.3 ליטר לדעת הגר"ח נאה.</w:t>
      </w:r>
    </w:p>
  </w:footnote>
  <w:footnote w:id="1323">
    <w:p w14:paraId="6AF67AF4" w14:textId="2F14D90C" w:rsidR="009F7511" w:rsidRDefault="009F7511" w:rsidP="00285819">
      <w:pPr>
        <w:pStyle w:val="a7"/>
      </w:pPr>
      <w:r>
        <w:rPr>
          <w:rStyle w:val="a9"/>
        </w:rPr>
        <w:footnoteRef/>
      </w:r>
      <w:r>
        <w:rPr>
          <w:rtl/>
        </w:rPr>
        <w:t xml:space="preserve"> </w:t>
      </w:r>
      <w:r w:rsidRPr="009F7511">
        <w:rPr>
          <w:rFonts w:cs="Arial"/>
          <w:rtl/>
        </w:rPr>
        <w:t>קורה, כמו בצל קורתי (בראשית יט) בטלל שרותי</w:t>
      </w:r>
      <w:r>
        <w:rPr>
          <w:rFonts w:cs="Arial" w:hint="cs"/>
          <w:rtl/>
        </w:rPr>
        <w:t>, רש"י.</w:t>
      </w:r>
    </w:p>
  </w:footnote>
  <w:footnote w:id="1324">
    <w:p w14:paraId="5CC0FAAA" w14:textId="77A745AA" w:rsidR="009F7511" w:rsidRDefault="009F7511" w:rsidP="00285819">
      <w:pPr>
        <w:pStyle w:val="a7"/>
        <w:rPr>
          <w:rtl/>
        </w:rPr>
      </w:pPr>
      <w:r>
        <w:rPr>
          <w:rStyle w:val="a9"/>
        </w:rPr>
        <w:footnoteRef/>
      </w:r>
      <w:r>
        <w:rPr>
          <w:rtl/>
        </w:rPr>
        <w:t xml:space="preserve"> </w:t>
      </w:r>
      <w:r w:rsidRPr="009F7511">
        <w:rPr>
          <w:rFonts w:cs="Arial"/>
          <w:rtl/>
        </w:rPr>
        <w:t>כלומר: משאוי עשרה בני אדם היה בה, ואפילו הכי לא אסר עלייהו</w:t>
      </w:r>
      <w:r>
        <w:rPr>
          <w:rFonts w:hint="cs"/>
          <w:rtl/>
        </w:rPr>
        <w:t>, רש"י.</w:t>
      </w:r>
    </w:p>
  </w:footnote>
  <w:footnote w:id="1325">
    <w:p w14:paraId="2A058B70" w14:textId="77777777" w:rsidR="009F7511" w:rsidRDefault="009F7511" w:rsidP="00285819">
      <w:pPr>
        <w:pStyle w:val="a7"/>
      </w:pPr>
      <w:r>
        <w:rPr>
          <w:rStyle w:val="a9"/>
        </w:rPr>
        <w:footnoteRef/>
      </w:r>
      <w:r>
        <w:rPr>
          <w:rtl/>
        </w:rPr>
        <w:t xml:space="preserve"> </w:t>
      </w:r>
      <w:r w:rsidRPr="009F7511">
        <w:rPr>
          <w:rFonts w:cs="Arial"/>
          <w:rtl/>
        </w:rPr>
        <w:t>לסומכה בלילה</w:t>
      </w:r>
      <w:r>
        <w:rPr>
          <w:rFonts w:cs="Arial" w:hint="cs"/>
          <w:rtl/>
        </w:rPr>
        <w:t>, רש"י.</w:t>
      </w:r>
    </w:p>
  </w:footnote>
  <w:footnote w:id="1326">
    <w:p w14:paraId="66D3AD6B" w14:textId="013E54D1" w:rsidR="009F7511" w:rsidRDefault="009F7511" w:rsidP="00285819">
      <w:pPr>
        <w:pStyle w:val="a7"/>
        <w:rPr>
          <w:rtl/>
        </w:rPr>
      </w:pPr>
      <w:r>
        <w:rPr>
          <w:rStyle w:val="a9"/>
        </w:rPr>
        <w:footnoteRef/>
      </w:r>
      <w:r>
        <w:rPr>
          <w:rtl/>
        </w:rPr>
        <w:t xml:space="preserve"> </w:t>
      </w:r>
      <w:r w:rsidRPr="009F7511">
        <w:rPr>
          <w:rFonts w:cs="Arial"/>
          <w:rtl/>
        </w:rPr>
        <w:t>שראויה לישב עליה</w:t>
      </w:r>
      <w:r>
        <w:rPr>
          <w:rFonts w:hint="cs"/>
          <w:rtl/>
        </w:rPr>
        <w:t>, רש"י.</w:t>
      </w:r>
    </w:p>
  </w:footnote>
  <w:footnote w:id="1327">
    <w:p w14:paraId="0FD11FA7" w14:textId="44E01C2B" w:rsidR="0079459D" w:rsidRDefault="0079459D" w:rsidP="00285819">
      <w:pPr>
        <w:pStyle w:val="a7"/>
        <w:rPr>
          <w:rtl/>
        </w:rPr>
      </w:pPr>
      <w:r>
        <w:rPr>
          <w:rStyle w:val="a9"/>
        </w:rPr>
        <w:footnoteRef/>
      </w:r>
      <w:r>
        <w:rPr>
          <w:rtl/>
        </w:rPr>
        <w:t xml:space="preserve"> </w:t>
      </w:r>
      <w:r w:rsidRPr="0079459D">
        <w:rPr>
          <w:rFonts w:cs="Arial"/>
          <w:rtl/>
        </w:rPr>
        <w:t xml:space="preserve">מורטיי"ר </w:t>
      </w:r>
      <w:r>
        <w:rPr>
          <w:rFonts w:cs="Arial" w:hint="cs"/>
          <w:rtl/>
        </w:rPr>
        <w:t>(</w:t>
      </w:r>
      <w:r w:rsidRPr="0079459D">
        <w:rPr>
          <w:rFonts w:cs="Arial"/>
          <w:rtl/>
        </w:rPr>
        <w:t>מכתשת</w:t>
      </w:r>
      <w:r>
        <w:rPr>
          <w:rFonts w:cs="Arial" w:hint="cs"/>
          <w:rtl/>
        </w:rPr>
        <w:t>)</w:t>
      </w:r>
      <w:r>
        <w:rPr>
          <w:rFonts w:hint="cs"/>
          <w:rtl/>
        </w:rPr>
        <w:t>, רש"י.</w:t>
      </w:r>
    </w:p>
  </w:footnote>
  <w:footnote w:id="1328">
    <w:p w14:paraId="3C67B61F" w14:textId="1AF7116A" w:rsidR="0079459D" w:rsidRDefault="0079459D" w:rsidP="00285819">
      <w:pPr>
        <w:pStyle w:val="a7"/>
        <w:rPr>
          <w:rtl/>
        </w:rPr>
      </w:pPr>
      <w:r>
        <w:rPr>
          <w:rStyle w:val="a9"/>
        </w:rPr>
        <w:footnoteRef/>
      </w:r>
      <w:r>
        <w:rPr>
          <w:rtl/>
        </w:rPr>
        <w:t xml:space="preserve"> </w:t>
      </w:r>
      <w:r w:rsidRPr="0079459D">
        <w:rPr>
          <w:rFonts w:cs="Arial"/>
          <w:rtl/>
        </w:rPr>
        <w:t>לתך חטין, חמשה עשר סאין, חצי כור</w:t>
      </w:r>
      <w:r>
        <w:rPr>
          <w:rFonts w:hint="cs"/>
          <w:rtl/>
        </w:rPr>
        <w:t>, רש"י.</w:t>
      </w:r>
    </w:p>
  </w:footnote>
  <w:footnote w:id="1329">
    <w:p w14:paraId="6E08D530" w14:textId="46297A32" w:rsidR="00357CCA" w:rsidRDefault="00357CCA" w:rsidP="00285819">
      <w:pPr>
        <w:pStyle w:val="a7"/>
      </w:pPr>
      <w:r>
        <w:rPr>
          <w:rStyle w:val="a9"/>
        </w:rPr>
        <w:footnoteRef/>
      </w:r>
      <w:r>
        <w:rPr>
          <w:rtl/>
        </w:rPr>
        <w:t xml:space="preserve"> </w:t>
      </w:r>
      <w:r w:rsidRPr="00357CCA">
        <w:rPr>
          <w:rFonts w:cs="Arial"/>
          <w:rtl/>
        </w:rPr>
        <w:t>וה"ה אבן גדולה וקורה גדולה אם יש תורת כלי עליה דהיינו שמיוחדים לתשמיש שרי לטלטלן ובכלי מותר אפילו אינו רגיל לטלטלה בימות החול מ"מ לא אמרינן דמפני כבדותה הוא קובע לה מקום ומקצה אותה מדעתו מלטלטלה. ונראה דאם בימות החול הוא זהיר להניעה ממקומה כדי שלא תפסד ותתקלקל ממילא הוא בכלל מוקצה מחמת חסרון כיס ואסור לטלטלה</w:t>
      </w:r>
      <w:r>
        <w:rPr>
          <w:rFonts w:cs="Arial" w:hint="cs"/>
          <w:rtl/>
        </w:rPr>
        <w:t>, משנ"ב (סק"ח).</w:t>
      </w:r>
    </w:p>
  </w:footnote>
  <w:footnote w:id="1330">
    <w:p w14:paraId="5AEE79A1" w14:textId="77777777" w:rsidR="0057553A" w:rsidRDefault="0057553A" w:rsidP="00285819">
      <w:pPr>
        <w:pStyle w:val="a7"/>
        <w:rPr>
          <w:rtl/>
        </w:rPr>
      </w:pPr>
      <w:r>
        <w:rPr>
          <w:rStyle w:val="a9"/>
        </w:rPr>
        <w:footnoteRef/>
      </w:r>
      <w:r>
        <w:rPr>
          <w:rtl/>
        </w:rPr>
        <w:t xml:space="preserve"> </w:t>
      </w:r>
      <w:r>
        <w:rPr>
          <w:rFonts w:hint="cs"/>
          <w:rtl/>
        </w:rPr>
        <w:t>בחלק מהגירסאות איתא 'אביי'. וכן היה לפני הב"י.</w:t>
      </w:r>
    </w:p>
  </w:footnote>
  <w:footnote w:id="1331">
    <w:p w14:paraId="7250CE92" w14:textId="76C01012" w:rsidR="00E166F9" w:rsidRDefault="00E166F9" w:rsidP="00285819">
      <w:pPr>
        <w:pStyle w:val="a7"/>
      </w:pPr>
      <w:r>
        <w:rPr>
          <w:rStyle w:val="a9"/>
        </w:rPr>
        <w:footnoteRef/>
      </w:r>
      <w:r>
        <w:rPr>
          <w:rtl/>
        </w:rPr>
        <w:t xml:space="preserve"> </w:t>
      </w:r>
      <w:r w:rsidRPr="00E166F9">
        <w:rPr>
          <w:rFonts w:cs="Arial"/>
          <w:rtl/>
        </w:rPr>
        <w:t>ואע</w:t>
      </w:r>
      <w:r>
        <w:rPr>
          <w:rFonts w:cs="Arial" w:hint="cs"/>
          <w:rtl/>
        </w:rPr>
        <w:t>"</w:t>
      </w:r>
      <w:r w:rsidRPr="00E166F9">
        <w:rPr>
          <w:rFonts w:cs="Arial"/>
          <w:rtl/>
        </w:rPr>
        <w:t>ג דהיא אינה ניטלת - מטלטלין את הכלי לצורכה, ולאפוקי מדרבי יצחק, דאמר (שבת מג</w:t>
      </w:r>
      <w:r>
        <w:rPr>
          <w:rFonts w:cs="Arial" w:hint="cs"/>
          <w:rtl/>
        </w:rPr>
        <w:t>.)</w:t>
      </w:r>
      <w:r w:rsidRPr="00E166F9">
        <w:rPr>
          <w:rFonts w:cs="Arial"/>
          <w:rtl/>
        </w:rPr>
        <w:t>: אין כלי ניטל אלא לדבר הניטל בשבת, ואיהו מוקי לה בצריך למקומו של כלי</w:t>
      </w:r>
      <w:r>
        <w:rPr>
          <w:rFonts w:cs="Arial" w:hint="cs"/>
          <w:rtl/>
        </w:rPr>
        <w:t>, רש"י.</w:t>
      </w:r>
    </w:p>
  </w:footnote>
  <w:footnote w:id="1332">
    <w:p w14:paraId="45E21AB8" w14:textId="7CF38B57" w:rsidR="00B90253" w:rsidRDefault="00B90253" w:rsidP="00285819">
      <w:pPr>
        <w:pStyle w:val="a7"/>
        <w:rPr>
          <w:rtl/>
        </w:rPr>
      </w:pPr>
      <w:r>
        <w:rPr>
          <w:rStyle w:val="a9"/>
        </w:rPr>
        <w:footnoteRef/>
      </w:r>
      <w:r>
        <w:rPr>
          <w:rtl/>
        </w:rPr>
        <w:t xml:space="preserve"> </w:t>
      </w:r>
      <w:r>
        <w:rPr>
          <w:rFonts w:cs="Arial" w:hint="cs"/>
          <w:rtl/>
        </w:rPr>
        <w:t>וכ"כ ה</w:t>
      </w:r>
      <w:r w:rsidRPr="00487EF5">
        <w:rPr>
          <w:rFonts w:cs="Arial"/>
          <w:rtl/>
        </w:rPr>
        <w:t>מרדכי (</w:t>
      </w:r>
      <w:r>
        <w:rPr>
          <w:rFonts w:cs="Arial" w:hint="cs"/>
          <w:rtl/>
        </w:rPr>
        <w:t xml:space="preserve">ביצה </w:t>
      </w:r>
      <w:r w:rsidRPr="00487EF5">
        <w:rPr>
          <w:rFonts w:cs="Arial"/>
          <w:rtl/>
        </w:rPr>
        <w:t>סי' תרמה) והג</w:t>
      </w:r>
      <w:r>
        <w:rPr>
          <w:rFonts w:cs="Arial" w:hint="cs"/>
          <w:rtl/>
        </w:rPr>
        <w:t>"</w:t>
      </w:r>
      <w:r w:rsidRPr="00487EF5">
        <w:rPr>
          <w:rFonts w:cs="Arial"/>
          <w:rtl/>
        </w:rPr>
        <w:t>א (</w:t>
      </w:r>
      <w:r>
        <w:rPr>
          <w:rFonts w:cs="Arial" w:hint="cs"/>
          <w:rtl/>
        </w:rPr>
        <w:t xml:space="preserve">ביצה </w:t>
      </w:r>
      <w:r w:rsidRPr="00487EF5">
        <w:rPr>
          <w:rFonts w:cs="Arial"/>
          <w:rtl/>
        </w:rPr>
        <w:t>סי' א ד"ה מההיא)</w:t>
      </w:r>
      <w:r>
        <w:rPr>
          <w:rFonts w:cs="Arial" w:hint="cs"/>
          <w:rtl/>
        </w:rPr>
        <w:t>, דרכ"מ (אות ג).</w:t>
      </w:r>
    </w:p>
  </w:footnote>
  <w:footnote w:id="1333">
    <w:p w14:paraId="0DF41F81" w14:textId="1ACD1523" w:rsidR="00E47778" w:rsidRDefault="00E47778" w:rsidP="00285819">
      <w:pPr>
        <w:pStyle w:val="a7"/>
      </w:pPr>
      <w:r>
        <w:rPr>
          <w:rStyle w:val="a9"/>
        </w:rPr>
        <w:footnoteRef/>
      </w:r>
      <w:r>
        <w:rPr>
          <w:rtl/>
        </w:rPr>
        <w:t xml:space="preserve"> </w:t>
      </w:r>
      <w:r w:rsidRPr="00E47778">
        <w:rPr>
          <w:rFonts w:cs="Arial"/>
          <w:rtl/>
        </w:rPr>
        <w:t>משמע דבמוקצים מחמת איסור אסור לטלטלן אפילו הוצרך להם לגופן או למקומן</w:t>
      </w:r>
      <w:r>
        <w:rPr>
          <w:rFonts w:cs="Arial" w:hint="cs"/>
          <w:rtl/>
        </w:rPr>
        <w:t>.</w:t>
      </w:r>
      <w:r w:rsidRPr="00E47778">
        <w:rPr>
          <w:rFonts w:cs="Arial"/>
          <w:rtl/>
        </w:rPr>
        <w:t xml:space="preserve"> וכן כתוב בהג</w:t>
      </w:r>
      <w:r>
        <w:rPr>
          <w:rFonts w:cs="Arial" w:hint="cs"/>
          <w:rtl/>
        </w:rPr>
        <w:t>"א</w:t>
      </w:r>
      <w:r w:rsidRPr="00E47778">
        <w:rPr>
          <w:rFonts w:cs="Arial"/>
          <w:rtl/>
        </w:rPr>
        <w:t xml:space="preserve"> פרק כירה (סי' כ)</w:t>
      </w:r>
      <w:r>
        <w:rPr>
          <w:rFonts w:cs="Arial" w:hint="cs"/>
          <w:rtl/>
        </w:rPr>
        <w:t>.</w:t>
      </w:r>
      <w:r w:rsidRPr="00E47778">
        <w:rPr>
          <w:rFonts w:cs="Arial"/>
          <w:rtl/>
        </w:rPr>
        <w:t xml:space="preserve"> וכן נראה מדברי רבינו ירוחם בח"ב (סז:)</w:t>
      </w:r>
      <w:r>
        <w:rPr>
          <w:rFonts w:cs="Arial" w:hint="cs"/>
          <w:rtl/>
        </w:rPr>
        <w:t>.</w:t>
      </w:r>
      <w:r w:rsidRPr="00E47778">
        <w:rPr>
          <w:rFonts w:cs="Arial"/>
          <w:rtl/>
        </w:rPr>
        <w:t xml:space="preserve"> וכן נראה מדברי הרא"ש בתשובה (כלל כב סי' ח) בחילוק דיני המוקצה</w:t>
      </w:r>
      <w:r>
        <w:rPr>
          <w:rFonts w:cs="Arial" w:hint="cs"/>
          <w:rtl/>
        </w:rPr>
        <w:t>.</w:t>
      </w:r>
      <w:r w:rsidRPr="00E47778">
        <w:rPr>
          <w:rFonts w:cs="Arial"/>
          <w:rtl/>
        </w:rPr>
        <w:t xml:space="preserve"> וטעמא משום דכלי שמלאכתו לאיסור לא איתקצאי לבין השמשות</w:t>
      </w:r>
      <w:r>
        <w:rPr>
          <w:rFonts w:cs="Arial" w:hint="cs"/>
          <w:rtl/>
        </w:rPr>
        <w:t>,</w:t>
      </w:r>
      <w:r w:rsidRPr="00E47778">
        <w:rPr>
          <w:rFonts w:cs="Arial"/>
          <w:rtl/>
        </w:rPr>
        <w:t xml:space="preserve"> שהרי היה מותר לטלטלו לצורך גופו ולצורך מקומו</w:t>
      </w:r>
      <w:r>
        <w:rPr>
          <w:rFonts w:cs="Arial" w:hint="cs"/>
          <w:rtl/>
        </w:rPr>
        <w:t>,</w:t>
      </w:r>
      <w:r w:rsidRPr="00E47778">
        <w:rPr>
          <w:rFonts w:cs="Arial"/>
          <w:rtl/>
        </w:rPr>
        <w:t xml:space="preserve"> אבל נר שהדליקו בו שבין השמשות היה אסור לטלטלו כלל אפילו לצורך גופו ומקומו</w:t>
      </w:r>
      <w:r>
        <w:rPr>
          <w:rFonts w:cs="Arial" w:hint="cs"/>
          <w:rtl/>
        </w:rPr>
        <w:t>,</w:t>
      </w:r>
      <w:r w:rsidRPr="00E47778">
        <w:rPr>
          <w:rFonts w:cs="Arial"/>
          <w:rtl/>
        </w:rPr>
        <w:t xml:space="preserve"> דבעודו דולק פשיטא דאסור לטלטלו בכל גוונא כדאמרינן בפרק נוטל (קמב:) במניח אבן על פי החבית ומעות על הכר דבמניח נעשה בסיס לדבר האסור</w:t>
      </w:r>
      <w:r>
        <w:rPr>
          <w:rFonts w:cs="Arial" w:hint="cs"/>
          <w:rtl/>
        </w:rPr>
        <w:t>,</w:t>
      </w:r>
      <w:r w:rsidRPr="00E47778">
        <w:rPr>
          <w:rFonts w:cs="Arial"/>
          <w:rtl/>
        </w:rPr>
        <w:t xml:space="preserve"> הלכך איתקצאי כה</w:t>
      </w:r>
      <w:r w:rsidR="00E36F80">
        <w:rPr>
          <w:rFonts w:cs="Arial" w:hint="cs"/>
          <w:rtl/>
        </w:rPr>
        <w:t>"</w:t>
      </w:r>
      <w:r w:rsidRPr="00E47778">
        <w:rPr>
          <w:rFonts w:cs="Arial"/>
          <w:rtl/>
        </w:rPr>
        <w:t>ג לכולי יומא</w:t>
      </w:r>
      <w:r>
        <w:rPr>
          <w:rFonts w:cs="Arial" w:hint="cs"/>
          <w:rtl/>
        </w:rPr>
        <w:t>, ב"י (בסי' רעט).</w:t>
      </w:r>
    </w:p>
  </w:footnote>
  <w:footnote w:id="1334">
    <w:p w14:paraId="1BC1B4DB" w14:textId="1DF682D4" w:rsidR="006F590D" w:rsidRDefault="006F590D" w:rsidP="00285819">
      <w:pPr>
        <w:pStyle w:val="a7"/>
      </w:pPr>
      <w:r>
        <w:rPr>
          <w:rStyle w:val="a9"/>
        </w:rPr>
        <w:footnoteRef/>
      </w:r>
      <w:r>
        <w:rPr>
          <w:rtl/>
        </w:rPr>
        <w:t xml:space="preserve"> </w:t>
      </w:r>
      <w:r w:rsidRPr="006F590D">
        <w:rPr>
          <w:rFonts w:cs="Arial"/>
          <w:rtl/>
        </w:rPr>
        <w:t>כלומר שמיוחדת לדבר שאסור לעשות בשבת ואפילו אם רק רוב מלאכתו לאיסור הוא ג"כ בכלל זה</w:t>
      </w:r>
      <w:r>
        <w:rPr>
          <w:rFonts w:cs="Arial" w:hint="cs"/>
          <w:rtl/>
        </w:rPr>
        <w:t>, משנ"ב (סק"י).</w:t>
      </w:r>
    </w:p>
  </w:footnote>
  <w:footnote w:id="1335">
    <w:p w14:paraId="065CFDFE" w14:textId="702D3B78" w:rsidR="00334495" w:rsidRDefault="00334495" w:rsidP="00285819">
      <w:pPr>
        <w:pStyle w:val="a7"/>
        <w:rPr>
          <w:rtl/>
        </w:rPr>
      </w:pPr>
      <w:r>
        <w:rPr>
          <w:rStyle w:val="a9"/>
        </w:rPr>
        <w:footnoteRef/>
      </w:r>
      <w:r>
        <w:rPr>
          <w:rtl/>
        </w:rPr>
        <w:t xml:space="preserve"> </w:t>
      </w:r>
      <w:r w:rsidRPr="00334495">
        <w:rPr>
          <w:rFonts w:cs="Arial"/>
          <w:rtl/>
        </w:rPr>
        <w:t>ומיירי שאין לו כלי היתר לתשמיש זה דאל"ה אין לו להשתמש בכלי זה</w:t>
      </w:r>
      <w:r>
        <w:rPr>
          <w:rFonts w:hint="cs"/>
          <w:rtl/>
        </w:rPr>
        <w:t xml:space="preserve">, </w:t>
      </w:r>
      <w:r w:rsidRPr="006916AD">
        <w:rPr>
          <w:rFonts w:hint="cs"/>
          <w:b/>
          <w:bCs/>
          <w:rtl/>
        </w:rPr>
        <w:t>משנ"ב</w:t>
      </w:r>
      <w:r>
        <w:rPr>
          <w:rFonts w:hint="cs"/>
          <w:rtl/>
        </w:rPr>
        <w:t xml:space="preserve"> (סקי"ב).</w:t>
      </w:r>
      <w:r w:rsidRPr="00334495">
        <w:rPr>
          <w:rtl/>
        </w:rPr>
        <w:t xml:space="preserve"> </w:t>
      </w:r>
      <w:r w:rsidRPr="00334495">
        <w:rPr>
          <w:rFonts w:cs="Arial"/>
          <w:rtl/>
        </w:rPr>
        <w:t xml:space="preserve">כן מוכח בשבת </w:t>
      </w:r>
      <w:r w:rsidR="004750BC">
        <w:rPr>
          <w:rFonts w:cs="Arial" w:hint="cs"/>
          <w:rtl/>
        </w:rPr>
        <w:t>(</w:t>
      </w:r>
      <w:r w:rsidRPr="00334495">
        <w:rPr>
          <w:rFonts w:cs="Arial"/>
          <w:rtl/>
        </w:rPr>
        <w:t>קכד</w:t>
      </w:r>
      <w:r w:rsidR="004750BC">
        <w:rPr>
          <w:rFonts w:cs="Arial" w:hint="cs"/>
          <w:rtl/>
        </w:rPr>
        <w:t>.)</w:t>
      </w:r>
      <w:r w:rsidRPr="00334495">
        <w:rPr>
          <w:rFonts w:cs="Arial"/>
          <w:rtl/>
        </w:rPr>
        <w:t xml:space="preserve"> בגמרא דמשני, מקלות</w:t>
      </w:r>
      <w:r w:rsidR="00A433C7">
        <w:rPr>
          <w:rFonts w:cs="Arial" w:hint="cs"/>
          <w:rtl/>
        </w:rPr>
        <w:t xml:space="preserve"> -</w:t>
      </w:r>
      <w:r w:rsidRPr="00334495">
        <w:rPr>
          <w:rFonts w:cs="Arial"/>
          <w:rtl/>
        </w:rPr>
        <w:t xml:space="preserve"> אפשר כדר' אלעזר</w:t>
      </w:r>
      <w:r w:rsidR="00A433C7">
        <w:rPr>
          <w:rFonts w:cs="Arial" w:hint="cs"/>
          <w:rtl/>
        </w:rPr>
        <w:t>.</w:t>
      </w:r>
      <w:r w:rsidRPr="00334495">
        <w:rPr>
          <w:rFonts w:cs="Arial"/>
          <w:rtl/>
        </w:rPr>
        <w:t xml:space="preserve"> הרי דאף שמוכנין היו לזה מערב שבת, דדקין וחלקין היו, ושם כלי שמלאכתו להיתר הוא, אפילו הכי אסור כיון דשלא לצורך הוא וכדלקמן, וכל שכן בזה שהוא כלי שמלאכתו לאסור</w:t>
      </w:r>
      <w:r>
        <w:rPr>
          <w:rFonts w:hint="cs"/>
          <w:rtl/>
        </w:rPr>
        <w:t xml:space="preserve">, </w:t>
      </w:r>
      <w:r w:rsidRPr="006916AD">
        <w:rPr>
          <w:rFonts w:hint="cs"/>
          <w:b/>
          <w:bCs/>
          <w:rtl/>
        </w:rPr>
        <w:t>שער הציון</w:t>
      </w:r>
      <w:r>
        <w:rPr>
          <w:rFonts w:hint="cs"/>
          <w:rtl/>
        </w:rPr>
        <w:t xml:space="preserve"> (סקי"ג).</w:t>
      </w:r>
    </w:p>
  </w:footnote>
  <w:footnote w:id="1336">
    <w:p w14:paraId="315D198B" w14:textId="51EC15BD" w:rsidR="00E21295" w:rsidRDefault="00E21295" w:rsidP="00285819">
      <w:pPr>
        <w:pStyle w:val="a7"/>
      </w:pPr>
      <w:r>
        <w:rPr>
          <w:rStyle w:val="a9"/>
        </w:rPr>
        <w:footnoteRef/>
      </w:r>
      <w:r>
        <w:rPr>
          <w:rtl/>
        </w:rPr>
        <w:t xml:space="preserve"> </w:t>
      </w:r>
      <w:r w:rsidRPr="00E21295">
        <w:rPr>
          <w:rFonts w:cs="Arial"/>
          <w:rtl/>
        </w:rPr>
        <w:t>דכיון שהוא בידו שנטלה לצורך גופה או מקומה רשאי לטלטלה יותר</w:t>
      </w:r>
      <w:r w:rsidR="004750BC">
        <w:rPr>
          <w:rFonts w:cs="Arial" w:hint="cs"/>
          <w:rtl/>
        </w:rPr>
        <w:t>.</w:t>
      </w:r>
      <w:r w:rsidRPr="00E21295">
        <w:rPr>
          <w:rFonts w:cs="Arial"/>
          <w:rtl/>
        </w:rPr>
        <w:t xml:space="preserve"> וכתב המ"א דה"ה אם שכח ונטלה בידו רשאי לטלטלה יותר</w:t>
      </w:r>
      <w:r w:rsidR="004750BC">
        <w:rPr>
          <w:rFonts w:cs="Arial" w:hint="cs"/>
          <w:rtl/>
        </w:rPr>
        <w:t>,</w:t>
      </w:r>
      <w:r w:rsidRPr="00E21295">
        <w:rPr>
          <w:rFonts w:cs="Arial"/>
          <w:rtl/>
        </w:rPr>
        <w:t xml:space="preserve"> אף שהנטילה היה שלא לצורך גופה ומקומה</w:t>
      </w:r>
      <w:r w:rsidR="004750BC">
        <w:rPr>
          <w:rFonts w:cs="Arial" w:hint="cs"/>
          <w:rtl/>
        </w:rPr>
        <w:t>.</w:t>
      </w:r>
      <w:r w:rsidRPr="00E21295">
        <w:rPr>
          <w:rFonts w:cs="Arial"/>
          <w:rtl/>
        </w:rPr>
        <w:t xml:space="preserve"> ועיין באחרונים שהכריעו דהאי היתרא לא שייך אלא בכלי שמלאכתו לאיסור</w:t>
      </w:r>
      <w:r w:rsidR="004750BC">
        <w:rPr>
          <w:rFonts w:cs="Arial" w:hint="cs"/>
          <w:rtl/>
        </w:rPr>
        <w:t>,</w:t>
      </w:r>
      <w:r w:rsidRPr="00E21295">
        <w:rPr>
          <w:rFonts w:cs="Arial"/>
          <w:rtl/>
        </w:rPr>
        <w:t xml:space="preserve"> ולא במוקצה מחמת גופו כגון מעות ואבנים וכיוצא בהן</w:t>
      </w:r>
      <w:r w:rsidR="004750BC">
        <w:rPr>
          <w:rFonts w:cs="Arial" w:hint="cs"/>
          <w:rtl/>
        </w:rPr>
        <w:t>.</w:t>
      </w:r>
      <w:r w:rsidRPr="00E21295">
        <w:rPr>
          <w:rFonts w:cs="Arial"/>
          <w:rtl/>
        </w:rPr>
        <w:t xml:space="preserve"> ובביאור הגר"א לעיל </w:t>
      </w:r>
      <w:r w:rsidR="004750BC">
        <w:rPr>
          <w:rFonts w:cs="Arial" w:hint="cs"/>
          <w:rtl/>
        </w:rPr>
        <w:t>(</w:t>
      </w:r>
      <w:r w:rsidRPr="00E21295">
        <w:rPr>
          <w:rFonts w:cs="Arial"/>
          <w:rtl/>
        </w:rPr>
        <w:t>סי</w:t>
      </w:r>
      <w:r w:rsidR="004750BC">
        <w:rPr>
          <w:rFonts w:cs="Arial" w:hint="cs"/>
          <w:rtl/>
        </w:rPr>
        <w:t>'</w:t>
      </w:r>
      <w:r w:rsidRPr="00E21295">
        <w:rPr>
          <w:rFonts w:cs="Arial"/>
          <w:rtl/>
        </w:rPr>
        <w:t xml:space="preserve"> רסו סי"ב</w:t>
      </w:r>
      <w:r w:rsidR="004750BC">
        <w:rPr>
          <w:rFonts w:cs="Arial" w:hint="cs"/>
          <w:rtl/>
        </w:rPr>
        <w:t>)</w:t>
      </w:r>
      <w:r w:rsidRPr="00E21295">
        <w:rPr>
          <w:rFonts w:cs="Arial"/>
          <w:rtl/>
        </w:rPr>
        <w:t xml:space="preserve"> חולק על המ"א וס"ל דלא התירו אלא כשהתחיל לטלטל ברשות</w:t>
      </w:r>
      <w:r w:rsidR="004750BC">
        <w:rPr>
          <w:rFonts w:cs="Arial" w:hint="cs"/>
          <w:rtl/>
        </w:rPr>
        <w:t>.</w:t>
      </w:r>
      <w:r w:rsidRPr="00E21295">
        <w:rPr>
          <w:rFonts w:cs="Arial"/>
          <w:rtl/>
        </w:rPr>
        <w:t xml:space="preserve"> וכן משמע בר"ן ריש ביצה עי"ש</w:t>
      </w:r>
      <w:r w:rsidR="004750BC">
        <w:rPr>
          <w:rFonts w:cs="Arial" w:hint="cs"/>
          <w:rtl/>
        </w:rPr>
        <w:t>.</w:t>
      </w:r>
      <w:r w:rsidRPr="00E21295">
        <w:rPr>
          <w:rFonts w:cs="Arial"/>
          <w:rtl/>
        </w:rPr>
        <w:t xml:space="preserve"> ועיין לקמן סימן של"א ס"ה במ"ב לענין איזמל מילה. איתא בסימן שי"א ס"ח דטלטול מוקצה בגופו </w:t>
      </w:r>
      <w:r w:rsidR="004750BC">
        <w:rPr>
          <w:rFonts w:cs="Arial" w:hint="cs"/>
          <w:rtl/>
        </w:rPr>
        <w:t xml:space="preserve">- </w:t>
      </w:r>
      <w:r w:rsidRPr="00E21295">
        <w:rPr>
          <w:rFonts w:cs="Arial"/>
          <w:rtl/>
        </w:rPr>
        <w:t>אפילו לצורך דבר המוקצה מותר</w:t>
      </w:r>
      <w:r w:rsidR="004750BC">
        <w:rPr>
          <w:rFonts w:cs="Arial" w:hint="cs"/>
          <w:rtl/>
        </w:rPr>
        <w:t>,</w:t>
      </w:r>
      <w:r w:rsidRPr="00E21295">
        <w:rPr>
          <w:rFonts w:cs="Arial"/>
          <w:rtl/>
        </w:rPr>
        <w:t xml:space="preserve"> דזה לא נקרא טלטול כלל</w:t>
      </w:r>
      <w:r w:rsidR="004750BC">
        <w:rPr>
          <w:rFonts w:cs="Arial" w:hint="cs"/>
          <w:rtl/>
        </w:rPr>
        <w:t>.</w:t>
      </w:r>
      <w:r w:rsidRPr="00E21295">
        <w:rPr>
          <w:rFonts w:cs="Arial"/>
          <w:rtl/>
        </w:rPr>
        <w:t xml:space="preserve"> ולפ"ז אם מונח איזה דבר מוקצה על הארץ מותר לדחפו ברגליו כדי שלא יבוא להפסד</w:t>
      </w:r>
      <w:r>
        <w:rPr>
          <w:rFonts w:cs="Arial" w:hint="cs"/>
          <w:rtl/>
        </w:rPr>
        <w:t>, משנ"ב (סקי"ג).</w:t>
      </w:r>
    </w:p>
  </w:footnote>
  <w:footnote w:id="1337">
    <w:p w14:paraId="035E3238" w14:textId="0DF0B3D3" w:rsidR="00E21295" w:rsidRDefault="00E21295" w:rsidP="00285819">
      <w:pPr>
        <w:pStyle w:val="a7"/>
      </w:pPr>
      <w:r>
        <w:rPr>
          <w:rStyle w:val="a9"/>
        </w:rPr>
        <w:footnoteRef/>
      </w:r>
      <w:r>
        <w:rPr>
          <w:rtl/>
        </w:rPr>
        <w:t xml:space="preserve"> </w:t>
      </w:r>
      <w:r w:rsidRPr="00E21295">
        <w:rPr>
          <w:rFonts w:cs="Arial"/>
          <w:rtl/>
        </w:rPr>
        <w:t xml:space="preserve">דהוא דומיא דמחמה לצל. וע"י </w:t>
      </w:r>
      <w:r w:rsidR="004750BC">
        <w:rPr>
          <w:rFonts w:cs="Arial" w:hint="cs"/>
          <w:rtl/>
        </w:rPr>
        <w:t>גו</w:t>
      </w:r>
      <w:r w:rsidRPr="00E21295">
        <w:rPr>
          <w:rFonts w:cs="Arial"/>
          <w:rtl/>
        </w:rPr>
        <w:t>י י"ל דשרי בכל זה [פמ"ג]</w:t>
      </w:r>
      <w:r>
        <w:rPr>
          <w:rFonts w:cs="Arial" w:hint="cs"/>
          <w:rtl/>
        </w:rPr>
        <w:t>, משנ"ב (סקט"ו).</w:t>
      </w:r>
    </w:p>
  </w:footnote>
  <w:footnote w:id="1338">
    <w:p w14:paraId="5B4EF21B" w14:textId="5999092D" w:rsidR="00E21295" w:rsidRDefault="00E21295" w:rsidP="00285819">
      <w:pPr>
        <w:pStyle w:val="a7"/>
      </w:pPr>
      <w:r>
        <w:rPr>
          <w:rStyle w:val="a9"/>
        </w:rPr>
        <w:footnoteRef/>
      </w:r>
      <w:r>
        <w:rPr>
          <w:rtl/>
        </w:rPr>
        <w:t xml:space="preserve"> </w:t>
      </w:r>
      <w:r w:rsidRPr="00E21295">
        <w:rPr>
          <w:rFonts w:cs="Arial"/>
          <w:rtl/>
        </w:rPr>
        <w:t>ואם חושב עליו גם לתשמיש מותר לטלטל אפילו עיקר כונתו מחמה לצל</w:t>
      </w:r>
      <w:r>
        <w:rPr>
          <w:rFonts w:cs="Arial" w:hint="cs"/>
          <w:rtl/>
        </w:rPr>
        <w:t>, משנ"ב (סקט"ז).</w:t>
      </w:r>
    </w:p>
  </w:footnote>
  <w:footnote w:id="1339">
    <w:p w14:paraId="677AD5FE" w14:textId="6CE67258" w:rsidR="00E21295" w:rsidRDefault="00E21295" w:rsidP="00285819">
      <w:pPr>
        <w:pStyle w:val="a7"/>
      </w:pPr>
      <w:r>
        <w:rPr>
          <w:rStyle w:val="a9"/>
        </w:rPr>
        <w:footnoteRef/>
      </w:r>
      <w:r>
        <w:rPr>
          <w:rtl/>
        </w:rPr>
        <w:t xml:space="preserve"> </w:t>
      </w:r>
      <w:r w:rsidRPr="00E21295">
        <w:rPr>
          <w:rFonts w:cs="Arial"/>
          <w:rtl/>
        </w:rPr>
        <w:t>עיין בסימן ש"י ס"ו ובמ"א שם דהיכא דהנגיעה היא לצורך דבר המוקצה</w:t>
      </w:r>
      <w:r w:rsidR="004750BC">
        <w:rPr>
          <w:rFonts w:cs="Arial" w:hint="cs"/>
          <w:rtl/>
        </w:rPr>
        <w:t>,</w:t>
      </w:r>
      <w:r w:rsidRPr="00E21295">
        <w:rPr>
          <w:rFonts w:cs="Arial"/>
          <w:rtl/>
        </w:rPr>
        <w:t xml:space="preserve"> כגון שכופה כלי על המוקצה לשמרה צריך ליזהר שלא ליגע בה</w:t>
      </w:r>
      <w:r w:rsidR="004750BC">
        <w:rPr>
          <w:rFonts w:cs="Arial" w:hint="cs"/>
          <w:rtl/>
        </w:rPr>
        <w:t>.</w:t>
      </w:r>
      <w:r w:rsidRPr="00E21295">
        <w:rPr>
          <w:rFonts w:cs="Arial"/>
          <w:rtl/>
        </w:rPr>
        <w:t xml:space="preserve"> והגר"א שם בביאורו פסק כהה</w:t>
      </w:r>
      <w:r w:rsidR="004750BC">
        <w:rPr>
          <w:rFonts w:cs="Arial" w:hint="cs"/>
          <w:rtl/>
        </w:rPr>
        <w:t>"</w:t>
      </w:r>
      <w:r w:rsidRPr="00E21295">
        <w:rPr>
          <w:rFonts w:cs="Arial"/>
          <w:rtl/>
        </w:rPr>
        <w:t>מ דנגיעה בכל גווני שרי אם לא יבוא לנדנוד ע"י הנגיעה</w:t>
      </w:r>
      <w:r w:rsidR="004750BC">
        <w:rPr>
          <w:rFonts w:cs="Arial" w:hint="cs"/>
          <w:rtl/>
        </w:rPr>
        <w:t>.</w:t>
      </w:r>
      <w:r w:rsidRPr="00E21295">
        <w:rPr>
          <w:rFonts w:cs="Arial"/>
          <w:rtl/>
        </w:rPr>
        <w:t xml:space="preserve"> וכ"כ בדה"ח</w:t>
      </w:r>
      <w:r>
        <w:rPr>
          <w:rFonts w:cs="Arial" w:hint="cs"/>
          <w:rtl/>
        </w:rPr>
        <w:t>, משנ"ב</w:t>
      </w:r>
      <w:r w:rsidRPr="00E21295">
        <w:rPr>
          <w:rFonts w:cs="Arial" w:hint="cs"/>
          <w:sz w:val="16"/>
          <w:szCs w:val="16"/>
          <w:rtl/>
        </w:rPr>
        <w:t xml:space="preserve"> (סקי"ז)</w:t>
      </w:r>
      <w:r>
        <w:rPr>
          <w:rFonts w:cs="Arial" w:hint="cs"/>
          <w:rtl/>
        </w:rPr>
        <w:t>.</w:t>
      </w:r>
    </w:p>
  </w:footnote>
  <w:footnote w:id="1340">
    <w:p w14:paraId="0E5EF304" w14:textId="5FBD7FB8" w:rsidR="00E21295" w:rsidRDefault="00E21295" w:rsidP="00285819">
      <w:pPr>
        <w:pStyle w:val="a7"/>
      </w:pPr>
      <w:r>
        <w:rPr>
          <w:rStyle w:val="a9"/>
        </w:rPr>
        <w:footnoteRef/>
      </w:r>
      <w:r>
        <w:rPr>
          <w:rtl/>
        </w:rPr>
        <w:t xml:space="preserve"> </w:t>
      </w:r>
      <w:r w:rsidRPr="00E21295">
        <w:rPr>
          <w:rFonts w:cs="Arial"/>
          <w:rtl/>
        </w:rPr>
        <w:t>היינו אפילו כשהדבר מוקצה תלוי וע"י לקיחת ההיתר מתנדנד מ"מ שרי</w:t>
      </w:r>
      <w:r w:rsidR="004750BC">
        <w:rPr>
          <w:rFonts w:cs="Arial" w:hint="cs"/>
          <w:rtl/>
        </w:rPr>
        <w:t>,</w:t>
      </w:r>
      <w:r w:rsidRPr="00E21295">
        <w:rPr>
          <w:rFonts w:cs="Arial"/>
          <w:rtl/>
        </w:rPr>
        <w:t xml:space="preserve"> דזה מקרי טלטול מן הצד לצורך דבר המותר [פמ"ג]</w:t>
      </w:r>
      <w:r>
        <w:rPr>
          <w:rFonts w:cs="Arial" w:hint="cs"/>
          <w:rtl/>
        </w:rPr>
        <w:t>, משנ"ב (סקי"ט).</w:t>
      </w:r>
    </w:p>
  </w:footnote>
  <w:footnote w:id="1341">
    <w:p w14:paraId="1B688A17" w14:textId="46DE4C35" w:rsidR="00401BE5" w:rsidRDefault="00401BE5" w:rsidP="00285819">
      <w:pPr>
        <w:pStyle w:val="a7"/>
      </w:pPr>
      <w:r>
        <w:rPr>
          <w:rStyle w:val="a9"/>
        </w:rPr>
        <w:footnoteRef/>
      </w:r>
      <w:r>
        <w:rPr>
          <w:rtl/>
        </w:rPr>
        <w:t xml:space="preserve"> </w:t>
      </w:r>
      <w:r>
        <w:rPr>
          <w:rFonts w:hint="cs"/>
          <w:rtl/>
        </w:rPr>
        <w:t xml:space="preserve">עיין בחידושים המיוחסים לר"ן (שבת קכג:) שכתב וז"ל- </w:t>
      </w:r>
      <w:r>
        <w:rPr>
          <w:rFonts w:cs="Arial" w:hint="cs"/>
          <w:rtl/>
        </w:rPr>
        <w:t>א</w:t>
      </w:r>
      <w:r w:rsidRPr="00401BE5">
        <w:rPr>
          <w:rFonts w:cs="Arial"/>
          <w:rtl/>
        </w:rPr>
        <w:t xml:space="preserve">ע"פ שמשתמשין בהן קצת לפעמים לאיסור שהן ראויין לתשמיש איסור מ"מ ניטלין הן לתשמיש של היתר כיון </w:t>
      </w:r>
      <w:r w:rsidRPr="00401BE5">
        <w:rPr>
          <w:rFonts w:cs="Arial"/>
          <w:b/>
          <w:bCs/>
          <w:rtl/>
        </w:rPr>
        <w:t xml:space="preserve">דעיקר עשייתן </w:t>
      </w:r>
      <w:r w:rsidRPr="00401BE5">
        <w:rPr>
          <w:rFonts w:cs="Arial"/>
          <w:rtl/>
        </w:rPr>
        <w:t>הן להיתר</w:t>
      </w:r>
      <w:r>
        <w:rPr>
          <w:rFonts w:cs="Arial" w:hint="cs"/>
          <w:rtl/>
        </w:rPr>
        <w:t>.</w:t>
      </w:r>
    </w:p>
  </w:footnote>
  <w:footnote w:id="1342">
    <w:p w14:paraId="2C6038CF" w14:textId="17AF139F" w:rsidR="00B229C1" w:rsidRPr="00B229C1" w:rsidRDefault="00B229C1" w:rsidP="00285819">
      <w:pPr>
        <w:pStyle w:val="a7"/>
        <w:rPr>
          <w:rFonts w:asciiTheme="minorBidi" w:hAnsiTheme="minorBidi" w:cs="Arial"/>
        </w:rPr>
      </w:pPr>
      <w:r>
        <w:rPr>
          <w:rStyle w:val="a9"/>
        </w:rPr>
        <w:footnoteRef/>
      </w:r>
      <w:r>
        <w:rPr>
          <w:rtl/>
        </w:rPr>
        <w:t xml:space="preserve"> </w:t>
      </w:r>
      <w:r>
        <w:rPr>
          <w:rFonts w:asciiTheme="minorBidi" w:hAnsiTheme="minorBidi" w:cs="Arial" w:hint="cs"/>
          <w:rtl/>
        </w:rPr>
        <w:t>ה</w:t>
      </w:r>
      <w:r w:rsidRPr="00B229C1">
        <w:rPr>
          <w:rFonts w:asciiTheme="minorBidi" w:hAnsiTheme="minorBidi" w:cs="Arial"/>
          <w:rtl/>
        </w:rPr>
        <w:t>אג"מ (או"ח ח"ג סימן מט, וח"ד סימן צא אות ה, וח"ה סימן כב אות כב)</w:t>
      </w:r>
      <w:r>
        <w:rPr>
          <w:rFonts w:asciiTheme="minorBidi" w:hAnsiTheme="minorBidi" w:cs="Arial" w:hint="cs"/>
          <w:rtl/>
        </w:rPr>
        <w:t xml:space="preserve"> כתב</w:t>
      </w:r>
      <w:r w:rsidRPr="00B229C1">
        <w:rPr>
          <w:rFonts w:asciiTheme="minorBidi" w:hAnsiTheme="minorBidi" w:cs="Arial"/>
          <w:rtl/>
        </w:rPr>
        <w:t xml:space="preserve"> ש</w:t>
      </w:r>
      <w:r>
        <w:rPr>
          <w:rFonts w:asciiTheme="minorBidi" w:hAnsiTheme="minorBidi" w:cs="Arial" w:hint="cs"/>
          <w:rtl/>
        </w:rPr>
        <w:t xml:space="preserve">יש </w:t>
      </w:r>
      <w:r w:rsidRPr="00B229C1">
        <w:rPr>
          <w:rFonts w:asciiTheme="minorBidi" w:hAnsiTheme="minorBidi" w:cs="Arial"/>
          <w:rtl/>
        </w:rPr>
        <w:t xml:space="preserve">טעם גדול לאסור, שהרי הכח שעושה המלאכה בהן הוא באיסור ע"י חיבורן להחשמל עי"ש. </w:t>
      </w:r>
      <w:r>
        <w:rPr>
          <w:rFonts w:asciiTheme="minorBidi" w:hAnsiTheme="minorBidi" w:cs="Arial" w:hint="cs"/>
          <w:rtl/>
        </w:rPr>
        <w:t>אך במקום אחר</w:t>
      </w:r>
      <w:r w:rsidRPr="00B229C1">
        <w:rPr>
          <w:rFonts w:asciiTheme="minorBidi" w:hAnsiTheme="minorBidi" w:cs="Arial"/>
          <w:rtl/>
        </w:rPr>
        <w:t xml:space="preserve"> (ח"ה סימן כג) כתב, דאף שכתב להחמיר בזה, העיקר להקל בזה וכן הוא עצמו נוהג, אבל הרוצה להחמיר רשאי</w:t>
      </w:r>
      <w:r>
        <w:rPr>
          <w:rFonts w:asciiTheme="minorBidi" w:hAnsiTheme="minorBidi" w:cs="Arial" w:hint="cs"/>
          <w:rtl/>
        </w:rPr>
        <w:t>.</w:t>
      </w:r>
    </w:p>
  </w:footnote>
  <w:footnote w:id="1343">
    <w:p w14:paraId="2857FE1C" w14:textId="3D284FB2" w:rsidR="001054AB" w:rsidRDefault="001054AB" w:rsidP="00285819">
      <w:pPr>
        <w:pStyle w:val="a7"/>
      </w:pPr>
      <w:r>
        <w:rPr>
          <w:rStyle w:val="a9"/>
        </w:rPr>
        <w:footnoteRef/>
      </w:r>
      <w:r>
        <w:rPr>
          <w:rtl/>
        </w:rPr>
        <w:t xml:space="preserve"> </w:t>
      </w:r>
      <w:r>
        <w:rPr>
          <w:rFonts w:hint="cs"/>
          <w:rtl/>
        </w:rPr>
        <w:t xml:space="preserve">וז"ל- </w:t>
      </w:r>
      <w:r w:rsidRPr="001054AB">
        <w:rPr>
          <w:rFonts w:cs="Arial"/>
          <w:rtl/>
        </w:rPr>
        <w:t>עתה נחזור לראשית דברינו, דעכ"פ נראה דאותן מנורות חשמל שאפשר לטלטלן ממקום למקום שהזכרנו בתחלת דברינו, או תנור חימום חשמלי שמעבירים אותו ממקום למקום, יתכן שמותר לטלטל אותם גם בשבת, וזה אינו דוקא לדידן אלא כן הוא גם להחזו"א כיון דלית בהו חשש כבוי וגם אין להם קביעת מקום וגם החוטים האדומים שבתוך התנור או החוט הלוהט שבמנורה הוא קבוע כל הזמן בלי שום תוספת מרגע לרגע</w:t>
      </w:r>
      <w:r>
        <w:rPr>
          <w:rFonts w:cs="Arial" w:hint="cs"/>
          <w:rtl/>
        </w:rPr>
        <w:t>.</w:t>
      </w:r>
    </w:p>
  </w:footnote>
  <w:footnote w:id="1344">
    <w:p w14:paraId="6BE455CB" w14:textId="491C58C4" w:rsidR="00B229C1" w:rsidRDefault="00B229C1" w:rsidP="00285819">
      <w:pPr>
        <w:pStyle w:val="a7"/>
      </w:pPr>
      <w:r>
        <w:rPr>
          <w:rStyle w:val="a9"/>
        </w:rPr>
        <w:footnoteRef/>
      </w:r>
      <w:r>
        <w:rPr>
          <w:rtl/>
        </w:rPr>
        <w:t xml:space="preserve"> </w:t>
      </w:r>
      <w:r w:rsidRPr="00B229C1">
        <w:rPr>
          <w:rFonts w:asciiTheme="minorBidi" w:hAnsiTheme="minorBidi" w:cs="Arial"/>
          <w:rtl/>
        </w:rPr>
        <w:t>ועיין שם עוד במנחת שלמה (ב - ג סי' כו) תשובה מהגרשז"א להגרי"א הענקין דמהאי טעמא מותר לטלטל מכשיר שמיעה אף מחמה לצל, כיון שבשעה שהוא פועל אין הכלי עומד לעשות בו איסור, והוא כמו שעון שהתירו הפוסקים לטלטלו.</w:t>
      </w:r>
      <w:r w:rsidR="00C105BD">
        <w:rPr>
          <w:rFonts w:hint="cs"/>
          <w:rtl/>
        </w:rPr>
        <w:t xml:space="preserve"> וכן התיר </w:t>
      </w:r>
      <w:r w:rsidR="00C105BD">
        <w:rPr>
          <w:rFonts w:cs="Arial" w:hint="cs"/>
          <w:rtl/>
        </w:rPr>
        <w:t>ב</w:t>
      </w:r>
      <w:r w:rsidR="00C105BD" w:rsidRPr="00C105BD">
        <w:rPr>
          <w:rFonts w:cs="Arial"/>
          <w:rtl/>
        </w:rPr>
        <w:t xml:space="preserve">שו"ת חלקת יעקב </w:t>
      </w:r>
      <w:r w:rsidR="00C105BD">
        <w:rPr>
          <w:rFonts w:cs="Arial" w:hint="cs"/>
          <w:rtl/>
        </w:rPr>
        <w:t>(</w:t>
      </w:r>
      <w:r w:rsidR="00C105BD" w:rsidRPr="00C105BD">
        <w:rPr>
          <w:rFonts w:cs="Arial"/>
          <w:rtl/>
        </w:rPr>
        <w:t>אורח חיים סימן קיז</w:t>
      </w:r>
      <w:r w:rsidR="00C105BD">
        <w:rPr>
          <w:rFonts w:cs="Arial" w:hint="cs"/>
          <w:rtl/>
        </w:rPr>
        <w:t>) בשמיכה חשמלית.</w:t>
      </w:r>
    </w:p>
  </w:footnote>
  <w:footnote w:id="1345">
    <w:p w14:paraId="14D80D09" w14:textId="77777777" w:rsidR="00924D28" w:rsidRDefault="00924D28" w:rsidP="00285819">
      <w:pPr>
        <w:pStyle w:val="a7"/>
        <w:rPr>
          <w:rtl/>
        </w:rPr>
      </w:pPr>
      <w:r>
        <w:rPr>
          <w:rStyle w:val="a9"/>
        </w:rPr>
        <w:footnoteRef/>
      </w:r>
      <w:r>
        <w:rPr>
          <w:rtl/>
        </w:rPr>
        <w:t xml:space="preserve"> </w:t>
      </w:r>
      <w:r>
        <w:rPr>
          <w:rFonts w:hint="cs"/>
          <w:rtl/>
        </w:rPr>
        <w:t>בחלק מהגירסאות איתא 'אביי'. וכן היה לפני הב"י.</w:t>
      </w:r>
    </w:p>
  </w:footnote>
  <w:footnote w:id="1346">
    <w:p w14:paraId="138E18A8" w14:textId="71C437E4" w:rsidR="0092478B" w:rsidRDefault="0092478B" w:rsidP="00285819">
      <w:pPr>
        <w:pStyle w:val="a7"/>
      </w:pPr>
      <w:r>
        <w:rPr>
          <w:rStyle w:val="a9"/>
        </w:rPr>
        <w:footnoteRef/>
      </w:r>
      <w:r>
        <w:rPr>
          <w:rtl/>
        </w:rPr>
        <w:t xml:space="preserve"> </w:t>
      </w:r>
      <w:r w:rsidRPr="0092478B">
        <w:rPr>
          <w:rFonts w:cs="Arial"/>
          <w:rtl/>
        </w:rPr>
        <w:t>בגיגית מלאה מים</w:t>
      </w:r>
      <w:r>
        <w:rPr>
          <w:rFonts w:cs="Arial" w:hint="cs"/>
          <w:rtl/>
        </w:rPr>
        <w:t>, רש"י.</w:t>
      </w:r>
    </w:p>
  </w:footnote>
  <w:footnote w:id="1347">
    <w:p w14:paraId="5517E758" w14:textId="5A7D1EDB" w:rsidR="0092478B" w:rsidRDefault="0092478B" w:rsidP="00285819">
      <w:pPr>
        <w:pStyle w:val="a7"/>
      </w:pPr>
      <w:r>
        <w:rPr>
          <w:rStyle w:val="a9"/>
        </w:rPr>
        <w:footnoteRef/>
      </w:r>
      <w:r>
        <w:rPr>
          <w:rtl/>
        </w:rPr>
        <w:t xml:space="preserve"> </w:t>
      </w:r>
      <w:r w:rsidRPr="0092478B">
        <w:rPr>
          <w:rFonts w:cs="Arial"/>
          <w:rtl/>
        </w:rPr>
        <w:t>שלא לצורך, אלא לאיעסוקי בעלמא</w:t>
      </w:r>
      <w:r>
        <w:rPr>
          <w:rFonts w:cs="Arial" w:hint="cs"/>
          <w:rtl/>
        </w:rPr>
        <w:t>, רש"י.</w:t>
      </w:r>
    </w:p>
  </w:footnote>
  <w:footnote w:id="1348">
    <w:p w14:paraId="643F6249" w14:textId="77777777" w:rsidR="00C05379" w:rsidRDefault="00C05379" w:rsidP="00285819">
      <w:pPr>
        <w:pStyle w:val="a7"/>
      </w:pPr>
      <w:r>
        <w:rPr>
          <w:rStyle w:val="a9"/>
        </w:rPr>
        <w:footnoteRef/>
      </w:r>
      <w:r>
        <w:rPr>
          <w:rtl/>
        </w:rPr>
        <w:t xml:space="preserve"> </w:t>
      </w:r>
      <w:r>
        <w:rPr>
          <w:rFonts w:hint="cs"/>
          <w:rtl/>
        </w:rPr>
        <w:t xml:space="preserve">וז"ל- </w:t>
      </w:r>
      <w:r w:rsidRPr="00B04086">
        <w:rPr>
          <w:rFonts w:cs="Arial"/>
          <w:rtl/>
        </w:rPr>
        <w:t>כל כלי שמלאכתו להיתר</w:t>
      </w:r>
      <w:r>
        <w:rPr>
          <w:rFonts w:cs="Arial" w:hint="cs"/>
          <w:rtl/>
        </w:rPr>
        <w:t>,</w:t>
      </w:r>
      <w:r w:rsidRPr="00B04086">
        <w:rPr>
          <w:rFonts w:cs="Arial"/>
          <w:rtl/>
        </w:rPr>
        <w:t xml:space="preserve"> בין היה של עץ או של חרס או של אבן או של מתכת </w:t>
      </w:r>
      <w:r>
        <w:rPr>
          <w:rFonts w:cs="Arial" w:hint="cs"/>
          <w:rtl/>
        </w:rPr>
        <w:t xml:space="preserve">- </w:t>
      </w:r>
      <w:r w:rsidRPr="00B04086">
        <w:rPr>
          <w:rFonts w:cs="Arial"/>
          <w:rtl/>
        </w:rPr>
        <w:t>מותר לטלטלו בשבת בין בשביל עצמו של כלי</w:t>
      </w:r>
      <w:r>
        <w:rPr>
          <w:rFonts w:cs="Arial" w:hint="cs"/>
          <w:rtl/>
        </w:rPr>
        <w:t>,</w:t>
      </w:r>
      <w:r w:rsidRPr="00B04086">
        <w:rPr>
          <w:rFonts w:cs="Arial"/>
          <w:rtl/>
        </w:rPr>
        <w:t xml:space="preserve"> בין לצורך מקומו</w:t>
      </w:r>
      <w:r>
        <w:rPr>
          <w:rFonts w:cs="Arial" w:hint="cs"/>
          <w:rtl/>
        </w:rPr>
        <w:t>,</w:t>
      </w:r>
      <w:r w:rsidRPr="00B04086">
        <w:rPr>
          <w:rFonts w:cs="Arial"/>
          <w:rtl/>
        </w:rPr>
        <w:t xml:space="preserve"> בין לצורך גופו</w:t>
      </w:r>
      <w:r w:rsidRPr="00B04086">
        <w:rPr>
          <w:rFonts w:cs="Arial" w:hint="cs"/>
          <w:rtl/>
        </w:rPr>
        <w:t>.</w:t>
      </w:r>
      <w:r>
        <w:rPr>
          <w:rFonts w:cs="Arial" w:hint="cs"/>
          <w:rtl/>
        </w:rPr>
        <w:t>.</w:t>
      </w:r>
      <w:r w:rsidRPr="00B04086">
        <w:rPr>
          <w:rFonts w:cs="Arial"/>
          <w:rtl/>
        </w:rPr>
        <w:t>. כיצד</w:t>
      </w:r>
      <w:r>
        <w:rPr>
          <w:rFonts w:cs="Arial" w:hint="cs"/>
          <w:rtl/>
        </w:rPr>
        <w:t>,</w:t>
      </w:r>
      <w:r w:rsidRPr="00B04086">
        <w:rPr>
          <w:rFonts w:cs="Arial"/>
          <w:rtl/>
        </w:rPr>
        <w:t xml:space="preserve"> מטלטל הוא את הקערה של עץ לאכול בה</w:t>
      </w:r>
      <w:r>
        <w:rPr>
          <w:rFonts w:cs="Arial" w:hint="cs"/>
          <w:rtl/>
        </w:rPr>
        <w:t>,</w:t>
      </w:r>
      <w:r w:rsidRPr="00B04086">
        <w:rPr>
          <w:rFonts w:cs="Arial"/>
          <w:rtl/>
        </w:rPr>
        <w:t xml:space="preserve"> או לישב במקומה, או כדי שלא תגנב</w:t>
      </w:r>
      <w:r>
        <w:rPr>
          <w:rFonts w:cs="Arial" w:hint="cs"/>
          <w:rtl/>
        </w:rPr>
        <w:t>,</w:t>
      </w:r>
      <w:r w:rsidRPr="00B04086">
        <w:rPr>
          <w:rFonts w:cs="Arial"/>
          <w:rtl/>
        </w:rPr>
        <w:t xml:space="preserve"> וזה הוא בשביל עצמה</w:t>
      </w:r>
      <w:r>
        <w:rPr>
          <w:rFonts w:cs="Arial" w:hint="cs"/>
          <w:rtl/>
        </w:rPr>
        <w:t>.</w:t>
      </w:r>
      <w:r w:rsidRPr="00B04086">
        <w:rPr>
          <w:rFonts w:cs="Arial"/>
          <w:rtl/>
        </w:rPr>
        <w:t xml:space="preserve"> וכן אם טלטל אותה מן החמה כדי שלא תיבש ותשבר או מן הגשמים כדי שלא תתפח ותפסד </w:t>
      </w:r>
      <w:r>
        <w:rPr>
          <w:rFonts w:cs="Arial" w:hint="cs"/>
          <w:rtl/>
        </w:rPr>
        <w:t xml:space="preserve">- </w:t>
      </w:r>
      <w:r w:rsidRPr="00B04086">
        <w:rPr>
          <w:rFonts w:cs="Arial"/>
          <w:rtl/>
        </w:rPr>
        <w:t>הרי זה טלטול בשביל עצמה ומותר מפני שמלאכתה להיתר</w:t>
      </w:r>
      <w:r>
        <w:rPr>
          <w:rFonts w:cs="Arial" w:hint="cs"/>
          <w:rtl/>
        </w:rPr>
        <w:t xml:space="preserve">. עכ"ל. וכתב הה"מ- </w:t>
      </w:r>
      <w:r w:rsidRPr="00B04086">
        <w:rPr>
          <w:rFonts w:cs="Arial"/>
          <w:rtl/>
        </w:rPr>
        <w:t>ודע שמדברי רבינו נראה שאין לטלטל שום כלי שלא לצורך כלל</w:t>
      </w:r>
      <w:r>
        <w:rPr>
          <w:rFonts w:cs="Arial" w:hint="cs"/>
          <w:rtl/>
        </w:rPr>
        <w:t>.</w:t>
      </w:r>
      <w:r w:rsidRPr="00B04086">
        <w:rPr>
          <w:rFonts w:cs="Arial"/>
          <w:rtl/>
        </w:rPr>
        <w:t xml:space="preserve"> ואף הרשב"א ז"ל כן העלה פ' כירה שיש להחמיר שלא ליטול כלי ללא צורך</w:t>
      </w:r>
      <w:r>
        <w:rPr>
          <w:rFonts w:cs="Arial" w:hint="cs"/>
          <w:rtl/>
        </w:rPr>
        <w:t>.</w:t>
      </w:r>
      <w:r w:rsidRPr="00B04086">
        <w:rPr>
          <w:rFonts w:cs="Arial"/>
          <w:rtl/>
        </w:rPr>
        <w:t xml:space="preserve"> וכן בדין</w:t>
      </w:r>
      <w:r>
        <w:rPr>
          <w:rFonts w:cs="Arial" w:hint="cs"/>
          <w:rtl/>
        </w:rPr>
        <w:t>,</w:t>
      </w:r>
      <w:r w:rsidRPr="00B04086">
        <w:rPr>
          <w:rFonts w:cs="Arial"/>
          <w:rtl/>
        </w:rPr>
        <w:t xml:space="preserve"> שהרי בגמרא נחלקו אביי ורבה על רבא ואמרו דאפי' כלי שמלאכתו להיתר אינו מותר בשביל עצמו של כלי דהיינו מחמה לצל. ופירשו שלא לצורך דמשנתנו לצורך מקומו</w:t>
      </w:r>
      <w:r>
        <w:rPr>
          <w:rFonts w:cs="Arial" w:hint="cs"/>
          <w:rtl/>
        </w:rPr>
        <w:t>,</w:t>
      </w:r>
      <w:r w:rsidRPr="00B04086">
        <w:rPr>
          <w:rFonts w:cs="Arial"/>
          <w:rtl/>
        </w:rPr>
        <w:t xml:space="preserve"> ורבא בא והתיר ופי' דלא לצורך אפי' מחמה לצל</w:t>
      </w:r>
      <w:r>
        <w:rPr>
          <w:rFonts w:cs="Arial" w:hint="cs"/>
          <w:rtl/>
        </w:rPr>
        <w:t>.</w:t>
      </w:r>
      <w:r w:rsidRPr="00B04086">
        <w:rPr>
          <w:rFonts w:cs="Arial"/>
          <w:rtl/>
        </w:rPr>
        <w:t xml:space="preserve"> ואם דעת רבא היא להתיר אפי' שלא לצורך כלל לא היה לו להזכיר מחמה לצל אלא היה לומר שלא לצורך דמשנתנו דהיינו שלא לצורך כלל. וכן הדברים מוכרעים שם לפי דעתי. ויש מפרשים מתירין כלי שמלאכתו להיתר אפי' שלא לצורך כלל ואין להם על מה שיסמוכו</w:t>
      </w:r>
      <w:r>
        <w:rPr>
          <w:rFonts w:cs="Arial" w:hint="cs"/>
          <w:rtl/>
        </w:rPr>
        <w:t>.</w:t>
      </w:r>
    </w:p>
  </w:footnote>
  <w:footnote w:id="1349">
    <w:p w14:paraId="6D0A8A8F" w14:textId="355035EA" w:rsidR="00A7419D" w:rsidRDefault="00A7419D" w:rsidP="00285819">
      <w:pPr>
        <w:pStyle w:val="a7"/>
      </w:pPr>
      <w:r>
        <w:rPr>
          <w:rStyle w:val="a9"/>
        </w:rPr>
        <w:footnoteRef/>
      </w:r>
      <w:r>
        <w:rPr>
          <w:rtl/>
        </w:rPr>
        <w:t xml:space="preserve"> </w:t>
      </w:r>
      <w:r>
        <w:rPr>
          <w:rFonts w:hint="cs"/>
          <w:rtl/>
        </w:rPr>
        <w:t xml:space="preserve">וז"ל- </w:t>
      </w:r>
      <w:r w:rsidRPr="00A7419D">
        <w:rPr>
          <w:rFonts w:cs="Arial"/>
          <w:rtl/>
        </w:rPr>
        <w:t>ואיכא מ"ד דנהי שמלאכתו להיתר מחמה לצל שרי אפ"ה שלא לצורך כלל אסור וראיה לדבר מדתניא בגמ' [קכג</w:t>
      </w:r>
      <w:r>
        <w:rPr>
          <w:rFonts w:cs="Arial" w:hint="cs"/>
          <w:rtl/>
        </w:rPr>
        <w:t>:</w:t>
      </w:r>
      <w:r w:rsidRPr="00A7419D">
        <w:rPr>
          <w:rFonts w:cs="Arial"/>
          <w:rtl/>
        </w:rPr>
        <w:t>] בראשונה היו אומרים ג' כלים ניטלין בשבת מקצוע של דבילה וזוהמא ליסתרין של קדרה וסכין קטנה שע"ג שולחן כלומר דבימי נחמיה בן חכליה מתוך שהיו פרוצין בהלכות שבת לא התירו להם לטלטל אלא ג' כלים הללו שהן צריכין ביותר וקתני בתר הכי כשנמנעו מלהקל בהלכות שבת התירו וחזרו והתירו ומפרשינן בגמ' התירו דבר שמלאכתו להיתר בין לצורך גופו בין לצורך מקומו ולא מחמה לצל וחזרו והתירו מחמה לצל ומדלא קאמר וחזרו והתירו לגמרי משמע דשלא לצורך כלל אסור שכיון שמתחלה נאסרו כולן בכל ענין חוץ מג' כלים הללו אין לנו אלא מה שהתירו חכמים בהם וכל המתיר יותר מכן עליו להביא הראיה ועוד יש בזה הוכחה אחרת בגמ' וכתבתיה בחדושי</w:t>
      </w:r>
      <w:r>
        <w:rPr>
          <w:rFonts w:cs="Arial" w:hint="cs"/>
          <w:rtl/>
        </w:rPr>
        <w:t>.</w:t>
      </w:r>
    </w:p>
  </w:footnote>
  <w:footnote w:id="1350">
    <w:p w14:paraId="6C116DE1" w14:textId="14B17CB3" w:rsidR="0064625C" w:rsidRDefault="0064625C" w:rsidP="00285819">
      <w:pPr>
        <w:pStyle w:val="a7"/>
        <w:rPr>
          <w:rtl/>
        </w:rPr>
      </w:pPr>
      <w:r>
        <w:rPr>
          <w:rStyle w:val="a9"/>
        </w:rPr>
        <w:footnoteRef/>
      </w:r>
      <w:r>
        <w:rPr>
          <w:rtl/>
        </w:rPr>
        <w:t xml:space="preserve"> </w:t>
      </w:r>
      <w:r w:rsidRPr="0064625C">
        <w:rPr>
          <w:rFonts w:cs="Arial"/>
          <w:rtl/>
        </w:rPr>
        <w:t>שופר מיטלטל וחצוצרות אינן מיטלטלין, דמוקצה הוא, אבל שופר - תורת כלי עליו, כדאמרן לעיל</w:t>
      </w:r>
      <w:r>
        <w:rPr>
          <w:rFonts w:hint="cs"/>
          <w:rtl/>
        </w:rPr>
        <w:t>, רש"י.</w:t>
      </w:r>
    </w:p>
  </w:footnote>
  <w:footnote w:id="1351">
    <w:p w14:paraId="211B3DFD" w14:textId="4DE21777" w:rsidR="0064625C" w:rsidRDefault="0064625C" w:rsidP="00285819">
      <w:pPr>
        <w:pStyle w:val="a7"/>
      </w:pPr>
      <w:r>
        <w:rPr>
          <w:rStyle w:val="a9"/>
        </w:rPr>
        <w:footnoteRef/>
      </w:r>
      <w:r>
        <w:rPr>
          <w:rtl/>
        </w:rPr>
        <w:t xml:space="preserve"> </w:t>
      </w:r>
      <w:r w:rsidRPr="0064625C">
        <w:rPr>
          <w:rFonts w:cs="Arial"/>
          <w:rtl/>
        </w:rPr>
        <w:t>דקתני תרוייהו מטלטלין - ר' שמעון היא, דלית ליה מוקצה</w:t>
      </w:r>
      <w:r>
        <w:rPr>
          <w:rFonts w:cs="Arial" w:hint="cs"/>
          <w:rtl/>
        </w:rPr>
        <w:t>, רש"י.</w:t>
      </w:r>
    </w:p>
  </w:footnote>
  <w:footnote w:id="1352">
    <w:p w14:paraId="3CD96FC8" w14:textId="25643293" w:rsidR="0064625C" w:rsidRDefault="0064625C" w:rsidP="00285819">
      <w:pPr>
        <w:pStyle w:val="a7"/>
      </w:pPr>
      <w:r>
        <w:rPr>
          <w:rStyle w:val="a9"/>
        </w:rPr>
        <w:footnoteRef/>
      </w:r>
      <w:r>
        <w:rPr>
          <w:rtl/>
        </w:rPr>
        <w:t xml:space="preserve"> </w:t>
      </w:r>
      <w:r w:rsidRPr="0064625C">
        <w:rPr>
          <w:rFonts w:cs="Arial"/>
          <w:rtl/>
        </w:rPr>
        <w:t>דקתני: אף שופר אין מטלטלין - ר' נחמיה, דאמר: אפילו תרווד אפילו טלית אין ניטלין אלא לצורך תשמישו המיוחד, ועיקר שופר לאו לגמוע מים קאי</w:t>
      </w:r>
      <w:r>
        <w:rPr>
          <w:rFonts w:cs="Arial" w:hint="cs"/>
          <w:rtl/>
        </w:rPr>
        <w:t>, רש"י.</w:t>
      </w:r>
    </w:p>
  </w:footnote>
  <w:footnote w:id="1353">
    <w:p w14:paraId="1382BB24" w14:textId="09AD9272" w:rsidR="00BF33A2" w:rsidRDefault="00BF33A2" w:rsidP="00285819">
      <w:pPr>
        <w:pStyle w:val="a7"/>
        <w:rPr>
          <w:rtl/>
        </w:rPr>
      </w:pPr>
      <w:r>
        <w:rPr>
          <w:rStyle w:val="a9"/>
        </w:rPr>
        <w:footnoteRef/>
      </w:r>
      <w:r>
        <w:rPr>
          <w:rtl/>
        </w:rPr>
        <w:t xml:space="preserve"> </w:t>
      </w:r>
      <w:r w:rsidRPr="00496C74">
        <w:rPr>
          <w:rFonts w:cs="Arial"/>
          <w:rtl/>
        </w:rPr>
        <w:t xml:space="preserve">וכן כתוב </w:t>
      </w:r>
      <w:r>
        <w:rPr>
          <w:rFonts w:cs="Arial" w:hint="cs"/>
          <w:rtl/>
        </w:rPr>
        <w:t>ב</w:t>
      </w:r>
      <w:r w:rsidRPr="00496C74">
        <w:rPr>
          <w:rFonts w:cs="Arial"/>
          <w:rtl/>
        </w:rPr>
        <w:t>הג</w:t>
      </w:r>
      <w:r>
        <w:rPr>
          <w:rFonts w:cs="Arial" w:hint="cs"/>
          <w:rtl/>
        </w:rPr>
        <w:t>"א (</w:t>
      </w:r>
      <w:r w:rsidRPr="00496C74">
        <w:rPr>
          <w:rFonts w:cs="Arial"/>
          <w:rtl/>
        </w:rPr>
        <w:t>ס</w:t>
      </w:r>
      <w:r>
        <w:rPr>
          <w:rFonts w:cs="Arial" w:hint="cs"/>
          <w:rtl/>
        </w:rPr>
        <w:t>"פ</w:t>
      </w:r>
      <w:r w:rsidRPr="00496C74">
        <w:rPr>
          <w:rFonts w:cs="Arial"/>
          <w:rtl/>
        </w:rPr>
        <w:t xml:space="preserve"> במה מדליקין סי' כד) ואו</w:t>
      </w:r>
      <w:r>
        <w:rPr>
          <w:rFonts w:cs="Arial" w:hint="cs"/>
          <w:rtl/>
        </w:rPr>
        <w:t>"</w:t>
      </w:r>
      <w:r w:rsidRPr="00496C74">
        <w:rPr>
          <w:rFonts w:cs="Arial"/>
          <w:rtl/>
        </w:rPr>
        <w:t>ז (הל</w:t>
      </w:r>
      <w:r>
        <w:rPr>
          <w:rFonts w:cs="Arial" w:hint="cs"/>
          <w:rtl/>
        </w:rPr>
        <w:t>'</w:t>
      </w:r>
      <w:r w:rsidRPr="00496C74">
        <w:rPr>
          <w:rFonts w:cs="Arial"/>
          <w:rtl/>
        </w:rPr>
        <w:t xml:space="preserve"> שבת סי</w:t>
      </w:r>
      <w:r>
        <w:rPr>
          <w:rFonts w:cs="Arial" w:hint="cs"/>
          <w:rtl/>
        </w:rPr>
        <w:t>'</w:t>
      </w:r>
      <w:r w:rsidRPr="00496C74">
        <w:rPr>
          <w:rFonts w:cs="Arial"/>
          <w:rtl/>
        </w:rPr>
        <w:t xml:space="preserve"> פו אות א, הל</w:t>
      </w:r>
      <w:r>
        <w:rPr>
          <w:rFonts w:cs="Arial" w:hint="cs"/>
          <w:rtl/>
        </w:rPr>
        <w:t>'</w:t>
      </w:r>
      <w:r w:rsidRPr="00496C74">
        <w:rPr>
          <w:rFonts w:cs="Arial"/>
          <w:rtl/>
        </w:rPr>
        <w:t xml:space="preserve"> יו</w:t>
      </w:r>
      <w:r>
        <w:rPr>
          <w:rFonts w:cs="Arial" w:hint="cs"/>
          <w:rtl/>
        </w:rPr>
        <w:t>"</w:t>
      </w:r>
      <w:r w:rsidRPr="00496C74">
        <w:rPr>
          <w:rFonts w:cs="Arial"/>
          <w:rtl/>
        </w:rPr>
        <w:t>ט ס</w:t>
      </w:r>
      <w:r>
        <w:rPr>
          <w:rFonts w:cs="Arial" w:hint="cs"/>
          <w:rtl/>
        </w:rPr>
        <w:t>"ס</w:t>
      </w:r>
      <w:r w:rsidRPr="00496C74">
        <w:rPr>
          <w:rFonts w:cs="Arial"/>
          <w:rtl/>
        </w:rPr>
        <w:t xml:space="preserve"> שמא)</w:t>
      </w:r>
      <w:r>
        <w:rPr>
          <w:rFonts w:cs="Arial" w:hint="cs"/>
          <w:rtl/>
        </w:rPr>
        <w:t>, דרכ"מ (אות יג).</w:t>
      </w:r>
    </w:p>
  </w:footnote>
  <w:footnote w:id="1354">
    <w:p w14:paraId="1181DA2C" w14:textId="3E91CACD" w:rsidR="001B7B8C" w:rsidRDefault="001B7B8C" w:rsidP="00285819">
      <w:pPr>
        <w:pStyle w:val="a7"/>
        <w:rPr>
          <w:rtl/>
        </w:rPr>
      </w:pPr>
      <w:r>
        <w:rPr>
          <w:rStyle w:val="a9"/>
        </w:rPr>
        <w:footnoteRef/>
      </w:r>
      <w:r>
        <w:rPr>
          <w:rtl/>
        </w:rPr>
        <w:t xml:space="preserve"> </w:t>
      </w:r>
      <w:r w:rsidRPr="004F1EC2">
        <w:rPr>
          <w:rFonts w:cs="Arial"/>
          <w:rtl/>
        </w:rPr>
        <w:t xml:space="preserve">והר"ר לוי ן' חביב ז"ל </w:t>
      </w:r>
      <w:r>
        <w:rPr>
          <w:rFonts w:cs="Arial" w:hint="cs"/>
          <w:rtl/>
        </w:rPr>
        <w:t xml:space="preserve">(הביאו הב"י) </w:t>
      </w:r>
      <w:r w:rsidRPr="004F1EC2">
        <w:rPr>
          <w:rFonts w:cs="Arial"/>
          <w:rtl/>
        </w:rPr>
        <w:t>העתיק לשון הספר הנזכר וכתב עליו דמרגלא בפומייהו דאינשי שתפילין אסור לטלטלם</w:t>
      </w:r>
      <w:r>
        <w:rPr>
          <w:rFonts w:cs="Arial" w:hint="cs"/>
          <w:rtl/>
        </w:rPr>
        <w:t>,</w:t>
      </w:r>
      <w:r w:rsidRPr="004F1EC2">
        <w:rPr>
          <w:rFonts w:cs="Arial"/>
          <w:rtl/>
        </w:rPr>
        <w:t xml:space="preserve"> וקצתם אומרים שהם מוקצה מחמת מצוה</w:t>
      </w:r>
      <w:r w:rsidRPr="004F1EC2">
        <w:rPr>
          <w:rFonts w:cs="Arial" w:hint="cs"/>
          <w:rtl/>
        </w:rPr>
        <w:t>.</w:t>
      </w:r>
      <w:r w:rsidRPr="004F1EC2">
        <w:rPr>
          <w:rFonts w:cs="Arial"/>
          <w:rtl/>
        </w:rPr>
        <w:t xml:space="preserve"> </w:t>
      </w:r>
      <w:r>
        <w:rPr>
          <w:rFonts w:cs="Arial" w:hint="cs"/>
          <w:rtl/>
        </w:rPr>
        <w:t xml:space="preserve">וכתב הב"י וז"ל- </w:t>
      </w:r>
      <w:r w:rsidRPr="004F1EC2">
        <w:rPr>
          <w:rFonts w:cs="Arial"/>
          <w:rtl/>
        </w:rPr>
        <w:t>ובעיני נראה שהוא שיבוש גמור</w:t>
      </w:r>
      <w:r>
        <w:rPr>
          <w:rFonts w:cs="Arial" w:hint="cs"/>
          <w:rtl/>
        </w:rPr>
        <w:t>,</w:t>
      </w:r>
      <w:r w:rsidRPr="004F1EC2">
        <w:rPr>
          <w:rFonts w:cs="Arial"/>
          <w:rtl/>
        </w:rPr>
        <w:t xml:space="preserve"> שהמחבר </w:t>
      </w:r>
      <w:r>
        <w:rPr>
          <w:rFonts w:cs="Arial" w:hint="cs"/>
          <w:sz w:val="16"/>
          <w:szCs w:val="16"/>
          <w:rtl/>
        </w:rPr>
        <w:t xml:space="preserve">{היינו מחבר ספר המקדש} </w:t>
      </w:r>
      <w:r w:rsidRPr="004F1EC2">
        <w:rPr>
          <w:rFonts w:cs="Arial"/>
          <w:rtl/>
        </w:rPr>
        <w:t>עצמו לא הזכיר כן</w:t>
      </w:r>
      <w:r>
        <w:rPr>
          <w:rFonts w:cs="Arial" w:hint="cs"/>
          <w:rtl/>
        </w:rPr>
        <w:t>,</w:t>
      </w:r>
      <w:r w:rsidRPr="004F1EC2">
        <w:rPr>
          <w:rFonts w:cs="Arial"/>
          <w:rtl/>
        </w:rPr>
        <w:t xml:space="preserve"> אדרבה הזכיר המצוה לסיבת היתר הטלטול</w:t>
      </w:r>
      <w:r w:rsidRPr="004F1EC2">
        <w:rPr>
          <w:rFonts w:cs="Arial" w:hint="cs"/>
          <w:rtl/>
        </w:rPr>
        <w:t>.</w:t>
      </w:r>
      <w:r w:rsidRPr="004F1EC2">
        <w:rPr>
          <w:rFonts w:cs="Arial"/>
          <w:rtl/>
        </w:rPr>
        <w:t xml:space="preserve"> גם הרא"ש בתשובה (כלל כב סי' ח) הזכיר כל דיני המוקצה והאריך בהם ולא הזכיר דבר מזה</w:t>
      </w:r>
      <w:r w:rsidRPr="004F1EC2">
        <w:rPr>
          <w:rFonts w:cs="Arial" w:hint="cs"/>
          <w:rtl/>
        </w:rPr>
        <w:t>,</w:t>
      </w:r>
      <w:r w:rsidRPr="004F1EC2">
        <w:rPr>
          <w:rFonts w:cs="Arial"/>
          <w:rtl/>
        </w:rPr>
        <w:t xml:space="preserve"> ובודאי נראה מלשונו שאין בתפילין דין מוקצה כלל</w:t>
      </w:r>
      <w:r w:rsidRPr="004F1EC2">
        <w:rPr>
          <w:rFonts w:cs="Arial" w:hint="cs"/>
          <w:rtl/>
        </w:rPr>
        <w:t>,</w:t>
      </w:r>
      <w:r w:rsidRPr="004F1EC2">
        <w:rPr>
          <w:rFonts w:cs="Arial"/>
          <w:rtl/>
        </w:rPr>
        <w:t xml:space="preserve"> דאם כן לא הוה שתיק מיניה</w:t>
      </w:r>
      <w:r w:rsidRPr="004F1EC2">
        <w:rPr>
          <w:rFonts w:cs="Arial" w:hint="cs"/>
          <w:rtl/>
        </w:rPr>
        <w:t>.</w:t>
      </w:r>
      <w:r w:rsidRPr="004F1EC2">
        <w:rPr>
          <w:rFonts w:cs="Arial"/>
          <w:rtl/>
        </w:rPr>
        <w:t xml:space="preserve"> והתוספות כתבו בספ</w:t>
      </w:r>
      <w:r w:rsidR="00FB1400">
        <w:rPr>
          <w:rFonts w:cs="Arial" w:hint="cs"/>
          <w:rtl/>
        </w:rPr>
        <w:t>"</w:t>
      </w:r>
      <w:r w:rsidRPr="004F1EC2">
        <w:rPr>
          <w:rFonts w:cs="Arial"/>
          <w:rtl/>
        </w:rPr>
        <w:t>ק דיום טוב (טו. ד"ה הכי) שאם ירצה אדם להניח תפלין בשבת אין איסור בדבר כלל</w:t>
      </w:r>
      <w:r>
        <w:rPr>
          <w:rFonts w:cs="Arial" w:hint="cs"/>
          <w:rtl/>
        </w:rPr>
        <w:t>.</w:t>
      </w:r>
      <w:r w:rsidRPr="004F1EC2">
        <w:rPr>
          <w:rFonts w:cs="Arial"/>
          <w:rtl/>
        </w:rPr>
        <w:t xml:space="preserve"> כי מה שאמרו (מנחות לו:) יצאו שבתות וימים טובים שהם עצמם אות</w:t>
      </w:r>
      <w:r>
        <w:rPr>
          <w:rFonts w:cs="Arial" w:hint="cs"/>
          <w:rtl/>
        </w:rPr>
        <w:t>,</w:t>
      </w:r>
      <w:r w:rsidRPr="004F1EC2">
        <w:rPr>
          <w:rFonts w:cs="Arial"/>
          <w:rtl/>
        </w:rPr>
        <w:t xml:space="preserve"> היינו שאין צורך להניח בהם תפלין</w:t>
      </w:r>
      <w:r>
        <w:rPr>
          <w:rFonts w:cs="Arial" w:hint="cs"/>
          <w:rtl/>
        </w:rPr>
        <w:t>,</w:t>
      </w:r>
      <w:r w:rsidRPr="004F1EC2">
        <w:rPr>
          <w:rFonts w:cs="Arial"/>
          <w:rtl/>
        </w:rPr>
        <w:t xml:space="preserve"> אבל אם הניחם אין איסור בדבר</w:t>
      </w:r>
      <w:r w:rsidRPr="004F1EC2">
        <w:rPr>
          <w:rFonts w:cs="Arial" w:hint="cs"/>
          <w:rtl/>
        </w:rPr>
        <w:t>.</w:t>
      </w:r>
      <w:r w:rsidRPr="004F1EC2">
        <w:rPr>
          <w:rFonts w:cs="Arial"/>
          <w:rtl/>
        </w:rPr>
        <w:t xml:space="preserve"> וכך הם דברי רש"י (ביצה טו. ד"ה זוג) והר"ן (ח. ד"ה רב) ז"ל</w:t>
      </w:r>
      <w:r w:rsidRPr="004F1EC2">
        <w:rPr>
          <w:rFonts w:cs="Arial" w:hint="cs"/>
          <w:rtl/>
        </w:rPr>
        <w:t>.</w:t>
      </w:r>
      <w:r w:rsidRPr="004F1EC2">
        <w:rPr>
          <w:rFonts w:cs="Arial"/>
          <w:rtl/>
        </w:rPr>
        <w:t xml:space="preserve"> ומשם יתבאר כי הראיה שהביא מפרק הניזקין היא בנויה על הקדמה שהתפילין אסור להניחם בשבת</w:t>
      </w:r>
      <w:r w:rsidRPr="004F1EC2">
        <w:rPr>
          <w:rFonts w:cs="Arial" w:hint="cs"/>
          <w:rtl/>
        </w:rPr>
        <w:t>,</w:t>
      </w:r>
      <w:r w:rsidRPr="004F1EC2">
        <w:rPr>
          <w:rFonts w:cs="Arial"/>
          <w:rtl/>
        </w:rPr>
        <w:t xml:space="preserve"> ואינו כן</w:t>
      </w:r>
      <w:r w:rsidRPr="004F1EC2">
        <w:rPr>
          <w:rFonts w:cs="Arial" w:hint="cs"/>
          <w:rtl/>
        </w:rPr>
        <w:t>.</w:t>
      </w:r>
      <w:r w:rsidRPr="004F1EC2">
        <w:rPr>
          <w:rFonts w:cs="Arial"/>
          <w:rtl/>
        </w:rPr>
        <w:t xml:space="preserve"> וכן כתוב בתרו</w:t>
      </w:r>
      <w:r w:rsidR="00FB1400">
        <w:rPr>
          <w:rFonts w:cs="Arial" w:hint="cs"/>
          <w:rtl/>
        </w:rPr>
        <w:t>ה"ד</w:t>
      </w:r>
      <w:r w:rsidRPr="004F1EC2">
        <w:rPr>
          <w:rFonts w:cs="Arial"/>
          <w:rtl/>
        </w:rPr>
        <w:t xml:space="preserve"> (סי' ע) דהיתר גמור הוא לטלטל תפילין אם יש שום צורך בדבר</w:t>
      </w:r>
      <w:r>
        <w:rPr>
          <w:rFonts w:hint="cs"/>
          <w:rtl/>
        </w:rPr>
        <w:t>.</w:t>
      </w:r>
    </w:p>
  </w:footnote>
  <w:footnote w:id="1355">
    <w:p w14:paraId="79B4E61E" w14:textId="297C7E22" w:rsidR="00785699" w:rsidRDefault="00785699" w:rsidP="00285819">
      <w:pPr>
        <w:pStyle w:val="a7"/>
      </w:pPr>
      <w:r>
        <w:rPr>
          <w:rStyle w:val="a9"/>
        </w:rPr>
        <w:footnoteRef/>
      </w:r>
      <w:r>
        <w:rPr>
          <w:rtl/>
        </w:rPr>
        <w:t xml:space="preserve"> </w:t>
      </w:r>
      <w:r w:rsidRPr="00785699">
        <w:rPr>
          <w:rFonts w:cs="Arial"/>
          <w:rtl/>
        </w:rPr>
        <w:t>היינו אם כל היום לא יצרכנו כלל אבל אם יצטרך לו באותו יום והוא מטלטלו כדי שיהא מוכן לו בשעתו שרי [ט"ז]</w:t>
      </w:r>
      <w:r>
        <w:rPr>
          <w:rFonts w:cs="Arial" w:hint="cs"/>
          <w:rtl/>
        </w:rPr>
        <w:t>, משנ"ב (סקכ"א).</w:t>
      </w:r>
    </w:p>
  </w:footnote>
  <w:footnote w:id="1356">
    <w:p w14:paraId="0713B513" w14:textId="192E75AE" w:rsidR="00247F03" w:rsidRDefault="00247F03" w:rsidP="00285819">
      <w:pPr>
        <w:pStyle w:val="a7"/>
      </w:pPr>
      <w:r>
        <w:rPr>
          <w:rStyle w:val="a9"/>
        </w:rPr>
        <w:footnoteRef/>
      </w:r>
      <w:r>
        <w:rPr>
          <w:rtl/>
        </w:rPr>
        <w:t xml:space="preserve"> </w:t>
      </w:r>
      <w:r w:rsidRPr="00247F03">
        <w:rPr>
          <w:rFonts w:cs="Arial"/>
          <w:rtl/>
        </w:rPr>
        <w:t>ואינו מובן הא כיון שמטלטלן וודאי יש לו איזה כונה בזה וצ"ל כגון דאינו אלא מתעסק בעלמא ואין לו שום כונה בטלטולו אך אם יש לו תענוג במה שמטלטלו נהי דבמלאכתו לאיסור לא נחשוב זה צורך הגוף מ"מ במלאכתו להיתר ודאי דמותר</w:t>
      </w:r>
      <w:r>
        <w:rPr>
          <w:rFonts w:cs="Arial" w:hint="cs"/>
          <w:rtl/>
        </w:rPr>
        <w:t>, ערוה"ש (סע' טו).</w:t>
      </w:r>
    </w:p>
  </w:footnote>
  <w:footnote w:id="1357">
    <w:p w14:paraId="134DBAE5" w14:textId="6AFC2B45" w:rsidR="00785699" w:rsidRDefault="00785699" w:rsidP="00285819">
      <w:pPr>
        <w:pStyle w:val="a7"/>
      </w:pPr>
      <w:r>
        <w:rPr>
          <w:rStyle w:val="a9"/>
        </w:rPr>
        <w:footnoteRef/>
      </w:r>
      <w:r>
        <w:rPr>
          <w:rtl/>
        </w:rPr>
        <w:t xml:space="preserve"> </w:t>
      </w:r>
      <w:r w:rsidRPr="00785699">
        <w:rPr>
          <w:rFonts w:cs="Arial"/>
          <w:rtl/>
        </w:rPr>
        <w:t>פי' כל הספרים שמותר לקרות בהן ועיין בש"ת לענין מגילה ופמ"ג מצדד כהאליהו רבה דמגילה נמי בכלל זה</w:t>
      </w:r>
      <w:r>
        <w:rPr>
          <w:rFonts w:cs="Arial" w:hint="cs"/>
          <w:rtl/>
        </w:rPr>
        <w:t>, משנ"ב (סקכ"ב).</w:t>
      </w:r>
    </w:p>
  </w:footnote>
  <w:footnote w:id="1358">
    <w:p w14:paraId="29808F17" w14:textId="32079AA3" w:rsidR="00785699" w:rsidRDefault="00785699" w:rsidP="00285819">
      <w:pPr>
        <w:pStyle w:val="a7"/>
      </w:pPr>
      <w:r>
        <w:rPr>
          <w:rStyle w:val="a9"/>
        </w:rPr>
        <w:footnoteRef/>
      </w:r>
      <w:r>
        <w:rPr>
          <w:rtl/>
        </w:rPr>
        <w:t xml:space="preserve"> </w:t>
      </w:r>
      <w:r w:rsidRPr="00785699">
        <w:rPr>
          <w:rFonts w:cs="Arial"/>
          <w:rtl/>
        </w:rPr>
        <w:t>וה"ה כוסות וקערות וצלוחיות וסכין שע"ג השלחן דתדירין בתשמיש לא חלה עלייהו תורת מוקצה כלל וכאוכלין וכתבי הקודש דמי וע"כ מותרין לטלטלן אפילו שלא לצורך כלל</w:t>
      </w:r>
      <w:r w:rsidR="00CF5D70">
        <w:rPr>
          <w:rFonts w:cs="Arial" w:hint="cs"/>
          <w:sz w:val="16"/>
          <w:szCs w:val="16"/>
          <w:rtl/>
        </w:rPr>
        <w:t xml:space="preserve"> (</w:t>
      </w:r>
      <w:r w:rsidR="00CF5D70" w:rsidRPr="00CF5D70">
        <w:rPr>
          <w:rFonts w:cs="Arial"/>
          <w:sz w:val="16"/>
          <w:szCs w:val="16"/>
          <w:rtl/>
        </w:rPr>
        <w:t>שלט</w:t>
      </w:r>
      <w:r w:rsidR="00CF5D70">
        <w:rPr>
          <w:rFonts w:cs="Arial" w:hint="cs"/>
          <w:sz w:val="16"/>
          <w:szCs w:val="16"/>
          <w:rtl/>
        </w:rPr>
        <w:t>"</w:t>
      </w:r>
      <w:r w:rsidR="00CF5D70" w:rsidRPr="00CF5D70">
        <w:rPr>
          <w:rFonts w:cs="Arial"/>
          <w:sz w:val="16"/>
          <w:szCs w:val="16"/>
          <w:rtl/>
        </w:rPr>
        <w:t>ג ושאר אחרונים. ואף דבאחרונים מוזכר סכין קטן שעל השולחן, לאו דוקא הוא, ולישנא דגמרא נקטו</w:t>
      </w:r>
      <w:r w:rsidR="00CF5D70">
        <w:rPr>
          <w:rFonts w:cs="Arial" w:hint="cs"/>
          <w:sz w:val="16"/>
          <w:szCs w:val="16"/>
          <w:rtl/>
        </w:rPr>
        <w:t>, שעה"צ [סק"כ])</w:t>
      </w:r>
      <w:r w:rsidR="00CF5D70">
        <w:rPr>
          <w:rFonts w:cs="Arial" w:hint="cs"/>
          <w:rtl/>
        </w:rPr>
        <w:t>.</w:t>
      </w:r>
      <w:r w:rsidRPr="00785699">
        <w:rPr>
          <w:rFonts w:cs="Arial"/>
          <w:rtl/>
        </w:rPr>
        <w:t xml:space="preserve"> ויש מחמירין אפילו בכלים אלו</w:t>
      </w:r>
      <w:r w:rsidRPr="00785699">
        <w:rPr>
          <w:rtl/>
        </w:rPr>
        <w:t xml:space="preserve"> </w:t>
      </w:r>
      <w:r w:rsidRPr="00785699">
        <w:rPr>
          <w:rFonts w:hint="cs"/>
          <w:sz w:val="16"/>
          <w:szCs w:val="16"/>
          <w:rtl/>
        </w:rPr>
        <w:t>(</w:t>
      </w:r>
      <w:r w:rsidRPr="00785699">
        <w:rPr>
          <w:rFonts w:cs="Arial"/>
          <w:sz w:val="16"/>
          <w:szCs w:val="16"/>
          <w:rtl/>
        </w:rPr>
        <w:t>כן משמע מהרמב"ם בפכ</w:t>
      </w:r>
      <w:r>
        <w:rPr>
          <w:rFonts w:cs="Arial" w:hint="cs"/>
          <w:sz w:val="16"/>
          <w:szCs w:val="16"/>
          <w:rtl/>
        </w:rPr>
        <w:t>"</w:t>
      </w:r>
      <w:r w:rsidRPr="00785699">
        <w:rPr>
          <w:rFonts w:cs="Arial"/>
          <w:sz w:val="16"/>
          <w:szCs w:val="16"/>
          <w:rtl/>
        </w:rPr>
        <w:t>ה</w:t>
      </w:r>
      <w:r w:rsidR="00CF5D70">
        <w:rPr>
          <w:rFonts w:cs="Arial" w:hint="cs"/>
          <w:sz w:val="16"/>
          <w:szCs w:val="16"/>
          <w:rtl/>
        </w:rPr>
        <w:t>, שעה"צ [סקכ"א]</w:t>
      </w:r>
      <w:r>
        <w:rPr>
          <w:rFonts w:cs="Arial" w:hint="cs"/>
          <w:sz w:val="16"/>
          <w:szCs w:val="16"/>
          <w:rtl/>
        </w:rPr>
        <w:t>)</w:t>
      </w:r>
      <w:r>
        <w:rPr>
          <w:rFonts w:cs="Arial" w:hint="cs"/>
          <w:rtl/>
        </w:rPr>
        <w:t>, משנ"ב (סקכ"ג).</w:t>
      </w:r>
    </w:p>
  </w:footnote>
  <w:footnote w:id="1359">
    <w:p w14:paraId="7EBBC678" w14:textId="1C9BBD71" w:rsidR="00657250" w:rsidRDefault="00657250" w:rsidP="00285819">
      <w:pPr>
        <w:pStyle w:val="a7"/>
      </w:pPr>
      <w:r>
        <w:rPr>
          <w:rStyle w:val="a9"/>
        </w:rPr>
        <w:footnoteRef/>
      </w:r>
      <w:r>
        <w:rPr>
          <w:rtl/>
        </w:rPr>
        <w:t xml:space="preserve"> </w:t>
      </w:r>
      <w:r w:rsidRPr="00657250">
        <w:rPr>
          <w:rFonts w:cs="Arial"/>
          <w:rtl/>
        </w:rPr>
        <w:t>היינו כדי שלא יגנבו או שלא יתקלקלו בחמה וכיוצא בזה והט"ז ומ"א מחמירין וסוברין דתפלין מקרי כלי שמלאכתו לאיסור דהרי אסור להניחן בשבת וכנ"ל בסימן ל"א וע"כ אין לטלטלן כ"א בצריך לגופן [היינו כדי שישמרוהו מהמזיקין] או למקומן ומ"מ במקום הדחק יש להקל כדעה הראשונה וכמו שכתבנו בסימן ל"א בבה"ל ע"ש</w:t>
      </w:r>
      <w:r>
        <w:rPr>
          <w:rFonts w:cs="Arial" w:hint="cs"/>
          <w:rtl/>
        </w:rPr>
        <w:t>, משנ"ב (סקכ"ד).</w:t>
      </w:r>
    </w:p>
  </w:footnote>
  <w:footnote w:id="1360">
    <w:p w14:paraId="51381152" w14:textId="1CEF4140" w:rsidR="00657250" w:rsidRDefault="00657250" w:rsidP="00285819">
      <w:pPr>
        <w:pStyle w:val="a7"/>
      </w:pPr>
      <w:r>
        <w:rPr>
          <w:rStyle w:val="a9"/>
        </w:rPr>
        <w:footnoteRef/>
      </w:r>
      <w:r>
        <w:rPr>
          <w:rtl/>
        </w:rPr>
        <w:t xml:space="preserve"> </w:t>
      </w:r>
      <w:r w:rsidRPr="00657250">
        <w:rPr>
          <w:rFonts w:cs="Arial"/>
          <w:rtl/>
        </w:rPr>
        <w:t>דהרי הוא מיוחד לתקיעה דהוא אסור בשבת וע"כ מקרי כלי שמלאכתו לאיסור. ולולב אסור לטלטלו אפילו לצורך גופו ומקומו דאין עליו שם כלי כלל</w:t>
      </w:r>
      <w:r>
        <w:rPr>
          <w:rFonts w:cs="Arial" w:hint="cs"/>
          <w:rtl/>
        </w:rPr>
        <w:t>, משנ"ב (סקכ"ה).</w:t>
      </w:r>
    </w:p>
  </w:footnote>
  <w:footnote w:id="1361">
    <w:p w14:paraId="10CF0E17" w14:textId="7B8AC6E6" w:rsidR="00FB1400" w:rsidRDefault="00FB1400" w:rsidP="00285819">
      <w:pPr>
        <w:pStyle w:val="a7"/>
      </w:pPr>
      <w:r>
        <w:rPr>
          <w:rStyle w:val="a9"/>
        </w:rPr>
        <w:footnoteRef/>
      </w:r>
      <w:r>
        <w:rPr>
          <w:rtl/>
        </w:rPr>
        <w:t xml:space="preserve"> </w:t>
      </w:r>
      <w:r w:rsidRPr="00FB1400">
        <w:rPr>
          <w:rFonts w:cs="Arial"/>
          <w:rtl/>
        </w:rPr>
        <w:t>רשות הרבים</w:t>
      </w:r>
      <w:r>
        <w:rPr>
          <w:rFonts w:cs="Arial" w:hint="cs"/>
          <w:rtl/>
        </w:rPr>
        <w:t xml:space="preserve">, רש"י. </w:t>
      </w:r>
    </w:p>
  </w:footnote>
  <w:footnote w:id="1362">
    <w:p w14:paraId="296DDFDA" w14:textId="1EF911EA" w:rsidR="004469F4" w:rsidRDefault="004469F4" w:rsidP="00285819">
      <w:pPr>
        <w:pStyle w:val="a7"/>
        <w:rPr>
          <w:rtl/>
        </w:rPr>
      </w:pPr>
      <w:r>
        <w:rPr>
          <w:rStyle w:val="a9"/>
        </w:rPr>
        <w:footnoteRef/>
      </w:r>
      <w:r>
        <w:rPr>
          <w:rtl/>
        </w:rPr>
        <w:t xml:space="preserve"> </w:t>
      </w:r>
      <w:r w:rsidRPr="004469F4">
        <w:rPr>
          <w:rFonts w:cs="Arial"/>
          <w:rtl/>
        </w:rPr>
        <w:t>מניח תרווד על העומרים לטלטלן אגב תרווד</w:t>
      </w:r>
      <w:r>
        <w:rPr>
          <w:rFonts w:hint="cs"/>
          <w:rtl/>
        </w:rPr>
        <w:t>, רש"י.</w:t>
      </w:r>
    </w:p>
  </w:footnote>
  <w:footnote w:id="1363">
    <w:p w14:paraId="1494E9E2" w14:textId="46E1119D" w:rsidR="004469F4" w:rsidRDefault="004469F4" w:rsidP="00285819">
      <w:pPr>
        <w:pStyle w:val="a7"/>
        <w:rPr>
          <w:rtl/>
        </w:rPr>
      </w:pPr>
      <w:r>
        <w:rPr>
          <w:rStyle w:val="a9"/>
        </w:rPr>
        <w:footnoteRef/>
      </w:r>
      <w:r>
        <w:rPr>
          <w:rtl/>
        </w:rPr>
        <w:t xml:space="preserve"> </w:t>
      </w:r>
      <w:r w:rsidRPr="004469F4">
        <w:rPr>
          <w:rFonts w:cs="Arial"/>
          <w:rtl/>
        </w:rPr>
        <w:t>חי בלא מליח</w:t>
      </w:r>
      <w:r>
        <w:rPr>
          <w:rFonts w:hint="cs"/>
          <w:rtl/>
        </w:rPr>
        <w:t>, רש"י.</w:t>
      </w:r>
    </w:p>
  </w:footnote>
  <w:footnote w:id="1364">
    <w:p w14:paraId="0107469F" w14:textId="75856544" w:rsidR="004469F4" w:rsidRDefault="004469F4" w:rsidP="00285819">
      <w:pPr>
        <w:pStyle w:val="a7"/>
      </w:pPr>
      <w:r>
        <w:rPr>
          <w:rStyle w:val="a9"/>
        </w:rPr>
        <w:footnoteRef/>
      </w:r>
      <w:r>
        <w:rPr>
          <w:rtl/>
        </w:rPr>
        <w:t xml:space="preserve"> </w:t>
      </w:r>
      <w:r w:rsidRPr="004469F4">
        <w:rPr>
          <w:rFonts w:cs="Arial"/>
          <w:rtl/>
        </w:rPr>
        <w:t>סבורים הם שהם חריפים</w:t>
      </w:r>
      <w:r>
        <w:rPr>
          <w:rFonts w:cs="Arial" w:hint="cs"/>
          <w:rtl/>
        </w:rPr>
        <w:t>, רש"י.</w:t>
      </w:r>
    </w:p>
  </w:footnote>
  <w:footnote w:id="1365">
    <w:p w14:paraId="7C54CC17" w14:textId="7A8B14C9" w:rsidR="004469F4" w:rsidRDefault="004469F4" w:rsidP="00285819">
      <w:pPr>
        <w:pStyle w:val="a7"/>
      </w:pPr>
      <w:r>
        <w:rPr>
          <w:rStyle w:val="a9"/>
        </w:rPr>
        <w:footnoteRef/>
      </w:r>
      <w:r>
        <w:rPr>
          <w:rtl/>
        </w:rPr>
        <w:t xml:space="preserve"> </w:t>
      </w:r>
      <w:r w:rsidRPr="004469F4">
        <w:rPr>
          <w:rFonts w:cs="Arial"/>
          <w:rtl/>
        </w:rPr>
        <w:t>בארנקי ודסקיא מניח עליה ככר או תינוק - בשכחה, ובמקום התורפה, ומשום הפסד ממון</w:t>
      </w:r>
      <w:r>
        <w:rPr>
          <w:rFonts w:cs="Arial" w:hint="cs"/>
          <w:rtl/>
        </w:rPr>
        <w:t>, רש"י.</w:t>
      </w:r>
    </w:p>
  </w:footnote>
  <w:footnote w:id="1366">
    <w:p w14:paraId="20C29C33" w14:textId="07FEC3A0" w:rsidR="00215402" w:rsidRDefault="00215402" w:rsidP="00285819">
      <w:pPr>
        <w:pStyle w:val="a7"/>
        <w:rPr>
          <w:rtl/>
        </w:rPr>
      </w:pPr>
      <w:r>
        <w:rPr>
          <w:rStyle w:val="a9"/>
        </w:rPr>
        <w:footnoteRef/>
      </w:r>
      <w:r>
        <w:rPr>
          <w:rtl/>
        </w:rPr>
        <w:t xml:space="preserve"> </w:t>
      </w:r>
      <w:r w:rsidRPr="00215402">
        <w:rPr>
          <w:rFonts w:cs="Arial"/>
          <w:rtl/>
        </w:rPr>
        <w:t>עלי ומדוכה</w:t>
      </w:r>
      <w:r>
        <w:rPr>
          <w:rFonts w:hint="cs"/>
          <w:rtl/>
        </w:rPr>
        <w:t>, רש"י.</w:t>
      </w:r>
    </w:p>
  </w:footnote>
  <w:footnote w:id="1367">
    <w:p w14:paraId="2078E2CF" w14:textId="1CA25676" w:rsidR="005A4AAA" w:rsidRDefault="005A4AAA" w:rsidP="00285819">
      <w:pPr>
        <w:pStyle w:val="a7"/>
        <w:rPr>
          <w:rtl/>
        </w:rPr>
      </w:pPr>
      <w:r>
        <w:rPr>
          <w:rStyle w:val="a9"/>
        </w:rPr>
        <w:footnoteRef/>
      </w:r>
      <w:r>
        <w:rPr>
          <w:rtl/>
        </w:rPr>
        <w:t xml:space="preserve"> </w:t>
      </w:r>
      <w:r>
        <w:rPr>
          <w:rFonts w:hint="cs"/>
          <w:rtl/>
        </w:rPr>
        <w:t>ואע"פ שהיא מוקצה מחמת חסרון כיס התירו לטלטלה אגב השום שבה.</w:t>
      </w:r>
    </w:p>
  </w:footnote>
  <w:footnote w:id="1368">
    <w:p w14:paraId="40022305" w14:textId="3423C8AA" w:rsidR="00431AF6" w:rsidRDefault="00431AF6" w:rsidP="00285819">
      <w:pPr>
        <w:pStyle w:val="a7"/>
      </w:pPr>
      <w:r>
        <w:rPr>
          <w:rStyle w:val="a9"/>
        </w:rPr>
        <w:footnoteRef/>
      </w:r>
      <w:r>
        <w:rPr>
          <w:rtl/>
        </w:rPr>
        <w:t xml:space="preserve"> </w:t>
      </w:r>
      <w:r w:rsidRPr="005B618A">
        <w:rPr>
          <w:rFonts w:cs="Arial"/>
          <w:rtl/>
        </w:rPr>
        <w:t xml:space="preserve">וזהו ששנינו </w:t>
      </w:r>
      <w:r>
        <w:rPr>
          <w:rFonts w:cs="Arial" w:hint="cs"/>
          <w:rtl/>
        </w:rPr>
        <w:t>(</w:t>
      </w:r>
      <w:r w:rsidRPr="005B618A">
        <w:rPr>
          <w:rFonts w:cs="Arial"/>
          <w:rtl/>
        </w:rPr>
        <w:t>שבת קכג</w:t>
      </w:r>
      <w:r>
        <w:rPr>
          <w:rFonts w:cs="Arial" w:hint="cs"/>
          <w:rtl/>
        </w:rPr>
        <w:t>:</w:t>
      </w:r>
      <w:r w:rsidRPr="005B618A">
        <w:rPr>
          <w:rFonts w:cs="Arial"/>
          <w:rtl/>
        </w:rPr>
        <w:t>) מדוכה אם יש עליה שום מטלטלין. ואע</w:t>
      </w:r>
      <w:r>
        <w:rPr>
          <w:rFonts w:cs="Arial" w:hint="cs"/>
          <w:rtl/>
        </w:rPr>
        <w:t>"</w:t>
      </w:r>
      <w:r w:rsidRPr="005B618A">
        <w:rPr>
          <w:rFonts w:cs="Arial"/>
          <w:rtl/>
        </w:rPr>
        <w:t>ג דלא אמרו (שבת קמב:) ככר או תינוק אלא במת</w:t>
      </w:r>
      <w:r>
        <w:rPr>
          <w:rFonts w:cs="Arial" w:hint="cs"/>
          <w:rtl/>
        </w:rPr>
        <w:t>,</w:t>
      </w:r>
      <w:r w:rsidRPr="005B618A">
        <w:rPr>
          <w:rFonts w:cs="Arial"/>
          <w:rtl/>
        </w:rPr>
        <w:t xml:space="preserve"> התם במוקצה מחמת </w:t>
      </w:r>
      <w:r>
        <w:rPr>
          <w:rFonts w:cs="Arial" w:hint="cs"/>
          <w:rtl/>
        </w:rPr>
        <w:t>[</w:t>
      </w:r>
      <w:r w:rsidRPr="00CF62AC">
        <w:rPr>
          <w:rFonts w:cs="Arial"/>
          <w:rtl/>
        </w:rPr>
        <w:t>גופו כאבנים וכיוצא בהם דהוו דומיא דמת</w:t>
      </w:r>
      <w:r>
        <w:rPr>
          <w:rFonts w:cs="Arial" w:hint="cs"/>
          <w:rtl/>
        </w:rPr>
        <w:t>,</w:t>
      </w:r>
      <w:r w:rsidRPr="00CF62AC">
        <w:rPr>
          <w:rFonts w:cs="Arial"/>
          <w:rtl/>
        </w:rPr>
        <w:t xml:space="preserve"> אי נמי בארנקי מלאה מעות דבטל לגבי מעות דהוו כמו אבנים</w:t>
      </w:r>
      <w:r>
        <w:rPr>
          <w:rFonts w:cs="Arial" w:hint="cs"/>
          <w:rtl/>
        </w:rPr>
        <w:t xml:space="preserve">], </w:t>
      </w:r>
      <w:r w:rsidRPr="005B618A">
        <w:rPr>
          <w:rFonts w:cs="Arial"/>
          <w:rtl/>
        </w:rPr>
        <w:t>אבל במדוכה כיון שיש עליה תורת כלי שרי לטלטלה אגב אוכלין שעליה. כך נראה לרבינו אב"ן</w:t>
      </w:r>
      <w:r w:rsidR="0002632B" w:rsidRPr="0002632B">
        <w:rPr>
          <w:rFonts w:cs="Arial"/>
          <w:rtl/>
        </w:rPr>
        <w:t>.</w:t>
      </w:r>
      <w:r>
        <w:rPr>
          <w:rFonts w:cs="Arial" w:hint="cs"/>
          <w:rtl/>
        </w:rPr>
        <w:t>.</w:t>
      </w:r>
      <w:r w:rsidRPr="005B618A">
        <w:rPr>
          <w:rFonts w:cs="Arial"/>
          <w:rtl/>
        </w:rPr>
        <w:t>. ויש מי שמתרץ מדוכה היינו טעמא דשרי לטלטולה אגב שום שעליה מפני שהמדוכה לשום כקדירה לתבשיל שהוא תשמיש לשום מבעוד יום, הילכך שרי לטלטולה אפילו מחמה לצל</w:t>
      </w:r>
      <w:r w:rsidR="00C06D53">
        <w:rPr>
          <w:rFonts w:cs="Arial" w:hint="cs"/>
          <w:rtl/>
        </w:rPr>
        <w:t>,</w:t>
      </w:r>
      <w:r>
        <w:rPr>
          <w:rFonts w:cs="Arial" w:hint="cs"/>
          <w:rtl/>
        </w:rPr>
        <w:t xml:space="preserve"> רא"ש (שם).</w:t>
      </w:r>
    </w:p>
  </w:footnote>
  <w:footnote w:id="1369">
    <w:p w14:paraId="1F3AFD4F" w14:textId="6B05C9C3" w:rsidR="00125184" w:rsidRDefault="00125184" w:rsidP="00285819">
      <w:pPr>
        <w:pStyle w:val="a7"/>
      </w:pPr>
      <w:r>
        <w:rPr>
          <w:rStyle w:val="a9"/>
        </w:rPr>
        <w:footnoteRef/>
      </w:r>
      <w:r>
        <w:rPr>
          <w:rtl/>
        </w:rPr>
        <w:t xml:space="preserve"> </w:t>
      </w:r>
      <w:r>
        <w:rPr>
          <w:rFonts w:cs="Arial" w:hint="cs"/>
          <w:rtl/>
        </w:rPr>
        <w:t>ו</w:t>
      </w:r>
      <w:r w:rsidRPr="00125184">
        <w:rPr>
          <w:rFonts w:cs="Arial"/>
          <w:rtl/>
        </w:rPr>
        <w:t>אע</w:t>
      </w:r>
      <w:r>
        <w:rPr>
          <w:rFonts w:cs="Arial" w:hint="cs"/>
          <w:rtl/>
        </w:rPr>
        <w:t>"</w:t>
      </w:r>
      <w:r w:rsidRPr="00125184">
        <w:rPr>
          <w:rFonts w:cs="Arial"/>
          <w:rtl/>
        </w:rPr>
        <w:t xml:space="preserve">פ שהתירו עצמות או קליפין או גרעינין של תמרה אגב ריפתא </w:t>
      </w:r>
      <w:r>
        <w:rPr>
          <w:rFonts w:cs="Arial" w:hint="cs"/>
          <w:sz w:val="16"/>
          <w:szCs w:val="16"/>
          <w:rtl/>
        </w:rPr>
        <w:t>{אע"ג שאינם כלי, התם-}</w:t>
      </w:r>
      <w:r>
        <w:rPr>
          <w:rFonts w:cs="Arial" w:hint="cs"/>
          <w:rtl/>
        </w:rPr>
        <w:t xml:space="preserve"> </w:t>
      </w:r>
      <w:r w:rsidRPr="00125184">
        <w:rPr>
          <w:rFonts w:cs="Arial"/>
          <w:rtl/>
        </w:rPr>
        <w:t>משום דלא חשיבי ובטלי לגבי פת</w:t>
      </w:r>
      <w:r>
        <w:rPr>
          <w:rFonts w:cs="Arial" w:hint="cs"/>
          <w:rtl/>
        </w:rPr>
        <w:t>, רא"ש (שם).</w:t>
      </w:r>
    </w:p>
  </w:footnote>
  <w:footnote w:id="1370">
    <w:p w14:paraId="2F96AE20" w14:textId="3C8A9BFD" w:rsidR="005A4AAA" w:rsidRDefault="005A4AAA" w:rsidP="00285819">
      <w:pPr>
        <w:pStyle w:val="a7"/>
      </w:pPr>
      <w:r>
        <w:rPr>
          <w:rStyle w:val="a9"/>
        </w:rPr>
        <w:footnoteRef/>
      </w:r>
      <w:r>
        <w:rPr>
          <w:rtl/>
        </w:rPr>
        <w:t xml:space="preserve"> </w:t>
      </w:r>
      <w:r w:rsidRPr="002A45F7">
        <w:rPr>
          <w:rFonts w:cs="Arial"/>
          <w:rtl/>
        </w:rPr>
        <w:t>הכי אסיק רב אשי בפרק נוטל (קמב:) לא אמרו ככר או תינוק אלא למת בלבד</w:t>
      </w:r>
      <w:r w:rsidR="00C06D53">
        <w:rPr>
          <w:rFonts w:cs="Arial" w:hint="cs"/>
          <w:rtl/>
        </w:rPr>
        <w:t>.</w:t>
      </w:r>
      <w:r w:rsidRPr="002A45F7">
        <w:rPr>
          <w:rFonts w:cs="Arial"/>
          <w:rtl/>
        </w:rPr>
        <w:t xml:space="preserve"> וכבר כתבתי בסימן ש"ח (סו. ד"ה גרעיני) טעם למה התירו לטלטל גרעיני תמרה אגב ריפתא ולמה יש אומרים דכלי שמלאכתו לאיסור מותר לטלטלו מחמה לצל על ידי ככר או תינוק</w:t>
      </w:r>
      <w:r>
        <w:rPr>
          <w:rFonts w:cs="Arial" w:hint="cs"/>
          <w:rtl/>
        </w:rPr>
        <w:t>, ב"י (בסי' שיא).</w:t>
      </w:r>
    </w:p>
  </w:footnote>
  <w:footnote w:id="1371">
    <w:p w14:paraId="69CD36FC" w14:textId="60877B40" w:rsidR="005A4AAA" w:rsidRDefault="005A4AAA" w:rsidP="00285819">
      <w:pPr>
        <w:pStyle w:val="a7"/>
      </w:pPr>
      <w:r>
        <w:rPr>
          <w:rStyle w:val="a9"/>
        </w:rPr>
        <w:footnoteRef/>
      </w:r>
      <w:r>
        <w:rPr>
          <w:rtl/>
        </w:rPr>
        <w:t xml:space="preserve"> </w:t>
      </w:r>
      <w:r w:rsidRPr="002A45F7">
        <w:rPr>
          <w:rFonts w:cs="Arial"/>
          <w:rtl/>
        </w:rPr>
        <w:t>כן כתב שם הרא"ש (סי' ב) בשם רבינו ניסים (גאון מהדו' מק"נ פ"א עמ' 46) וכבר נתבאר משפטם בסימן רע"ט (לז.)</w:t>
      </w:r>
      <w:r>
        <w:rPr>
          <w:rFonts w:cs="Arial" w:hint="cs"/>
          <w:rtl/>
        </w:rPr>
        <w:t xml:space="preserve">, </w:t>
      </w:r>
      <w:r w:rsidRPr="005A4AAA">
        <w:rPr>
          <w:rFonts w:cs="Arial" w:hint="cs"/>
          <w:b/>
          <w:bCs/>
          <w:rtl/>
        </w:rPr>
        <w:t>ב"י</w:t>
      </w:r>
      <w:r>
        <w:rPr>
          <w:rFonts w:cs="Arial" w:hint="cs"/>
          <w:rtl/>
        </w:rPr>
        <w:t xml:space="preserve"> (בסי' שיא).</w:t>
      </w:r>
      <w:r w:rsidRPr="005A4AAA">
        <w:rPr>
          <w:rtl/>
        </w:rPr>
        <w:t xml:space="preserve"> </w:t>
      </w:r>
      <w:r>
        <w:rPr>
          <w:rFonts w:hint="cs"/>
          <w:rtl/>
        </w:rPr>
        <w:t>ו</w:t>
      </w:r>
      <w:r w:rsidRPr="005A4AAA">
        <w:rPr>
          <w:rFonts w:cs="Arial"/>
          <w:rtl/>
        </w:rPr>
        <w:t>צ"ל דר</w:t>
      </w:r>
      <w:r>
        <w:rPr>
          <w:rFonts w:cs="Arial" w:hint="cs"/>
          <w:rtl/>
        </w:rPr>
        <w:t>צון הטור לומר</w:t>
      </w:r>
      <w:r w:rsidRPr="005A4AAA">
        <w:rPr>
          <w:rFonts w:cs="Arial"/>
          <w:rtl/>
        </w:rPr>
        <w:t xml:space="preserve"> </w:t>
      </w:r>
      <w:r>
        <w:rPr>
          <w:rFonts w:cs="Arial" w:hint="cs"/>
          <w:rtl/>
        </w:rPr>
        <w:t>ד</w:t>
      </w:r>
      <w:r w:rsidRPr="005A4AAA">
        <w:rPr>
          <w:rFonts w:cs="Arial"/>
          <w:rtl/>
        </w:rPr>
        <w:t>דוקא מנורה מפני שדחייה בידים בין השמשות אבל שאר כלי שמלאכתו לאיסור מותר לטלטלו אפילו מחמה לצל ע"י ככר ותינוק וכמו שכתב הרא"ש בתשובה (כלל כב סי' ח) והביאו ב</w:t>
      </w:r>
      <w:r w:rsidR="006F3544">
        <w:rPr>
          <w:rFonts w:cs="Arial" w:hint="cs"/>
          <w:rtl/>
        </w:rPr>
        <w:t>"</w:t>
      </w:r>
      <w:r w:rsidRPr="005A4AAA">
        <w:rPr>
          <w:rFonts w:cs="Arial"/>
          <w:rtl/>
        </w:rPr>
        <w:t>י בריש סימן ש"ח (עמ' רצט ד"ה כתב הרא"ש) עיין שם גם שם (עמ' שיב ד"ה וכתב) בדין גרעיני תמרה עיין שם</w:t>
      </w:r>
      <w:r>
        <w:rPr>
          <w:rFonts w:hint="cs"/>
          <w:rtl/>
        </w:rPr>
        <w:t xml:space="preserve">, </w:t>
      </w:r>
      <w:r w:rsidRPr="005A4AAA">
        <w:rPr>
          <w:rFonts w:hint="cs"/>
          <w:b/>
          <w:bCs/>
          <w:rtl/>
        </w:rPr>
        <w:t>פרישה</w:t>
      </w:r>
      <w:r>
        <w:rPr>
          <w:rFonts w:hint="cs"/>
          <w:rtl/>
        </w:rPr>
        <w:t xml:space="preserve"> (סי' שיא אות ח).</w:t>
      </w:r>
      <w:r w:rsidR="00C06D53">
        <w:rPr>
          <w:rFonts w:hint="cs"/>
          <w:rtl/>
        </w:rPr>
        <w:t xml:space="preserve"> אך מדברי </w:t>
      </w:r>
      <w:r w:rsidR="00C06D53" w:rsidRPr="00C06D53">
        <w:rPr>
          <w:rFonts w:hint="cs"/>
          <w:b/>
          <w:bCs/>
          <w:rtl/>
        </w:rPr>
        <w:t>הדרכ"מ</w:t>
      </w:r>
      <w:r w:rsidR="00C06D53">
        <w:rPr>
          <w:rFonts w:hint="cs"/>
          <w:rtl/>
        </w:rPr>
        <w:t xml:space="preserve"> </w:t>
      </w:r>
      <w:r w:rsidR="00C06D53" w:rsidRPr="00487EF5">
        <w:rPr>
          <w:rFonts w:cs="Arial"/>
          <w:rtl/>
        </w:rPr>
        <w:t>(</w:t>
      </w:r>
      <w:r w:rsidR="00C06D53">
        <w:rPr>
          <w:rFonts w:cs="Arial" w:hint="cs"/>
          <w:rtl/>
        </w:rPr>
        <w:t xml:space="preserve">אות </w:t>
      </w:r>
      <w:r w:rsidR="00C06D53" w:rsidRPr="00487EF5">
        <w:rPr>
          <w:rFonts w:cs="Arial"/>
          <w:rtl/>
        </w:rPr>
        <w:t>ג*)</w:t>
      </w:r>
      <w:r w:rsidR="00C06D53">
        <w:rPr>
          <w:rFonts w:hint="cs"/>
          <w:rtl/>
        </w:rPr>
        <w:t xml:space="preserve"> נראה שהבין שדעת הטור (בסי' שיא) לאסור בכל הדברים האסורים בטלטול, וכדעת בעל ההשלמה.</w:t>
      </w:r>
    </w:p>
  </w:footnote>
  <w:footnote w:id="1372">
    <w:p w14:paraId="5B5FC5F4" w14:textId="07A2AAB4" w:rsidR="00A449B0" w:rsidRDefault="00A449B0" w:rsidP="00285819">
      <w:pPr>
        <w:pStyle w:val="a7"/>
      </w:pPr>
      <w:r>
        <w:rPr>
          <w:rStyle w:val="a9"/>
        </w:rPr>
        <w:footnoteRef/>
      </w:r>
      <w:r>
        <w:rPr>
          <w:rtl/>
        </w:rPr>
        <w:t xml:space="preserve"> </w:t>
      </w:r>
      <w:r w:rsidRPr="00A449B0">
        <w:rPr>
          <w:rFonts w:cs="Arial"/>
          <w:rtl/>
        </w:rPr>
        <w:t>וה"ה כלי שהוא מוקצה מחמת חסרון כיס נראה דמותר אף דאין בו היתר לעצמו לצורך גופו ומקומו. דהא מקור הדין זה יצא מההוא דמדוכה דיש בו שום. והרי בר"פ כל הכלים רצה להוכיח מזה הברייתא דכלי שמלאכתו לאיסו' אסור לצורך גופו ומקומו. הרי אף דאין לו היתר כלל. אפ"ה מטלטל אגב השום. ולפ"ז ה"ה הנר שהדליקו בו בשבת מותר ע"י ככר ותנוק. וכן הביא המאור בשם חכם א'</w:t>
      </w:r>
      <w:r w:rsidR="006F3544">
        <w:rPr>
          <w:rFonts w:cs="Arial" w:hint="cs"/>
          <w:rtl/>
        </w:rPr>
        <w:t>.</w:t>
      </w:r>
      <w:r w:rsidRPr="00A449B0">
        <w:rPr>
          <w:rFonts w:cs="Arial"/>
          <w:rtl/>
        </w:rPr>
        <w:t xml:space="preserve"> וע' לעיל סי' רע"ט ס"ג ובט"ז סי' שי"א סק"ה</w:t>
      </w:r>
      <w:r w:rsidR="006F3544">
        <w:rPr>
          <w:rFonts w:cs="Arial" w:hint="cs"/>
          <w:rtl/>
        </w:rPr>
        <w:t>.</w:t>
      </w:r>
      <w:r w:rsidRPr="00A449B0">
        <w:rPr>
          <w:rFonts w:cs="Arial"/>
          <w:rtl/>
        </w:rPr>
        <w:t xml:space="preserve"> וע' תוס' </w:t>
      </w:r>
      <w:r w:rsidR="00955189">
        <w:rPr>
          <w:rFonts w:cs="Arial" w:hint="cs"/>
          <w:rtl/>
        </w:rPr>
        <w:t>(</w:t>
      </w:r>
      <w:r w:rsidRPr="00A449B0">
        <w:rPr>
          <w:rFonts w:cs="Arial"/>
          <w:rtl/>
        </w:rPr>
        <w:t>ביצה כא</w:t>
      </w:r>
      <w:r w:rsidR="00955189">
        <w:rPr>
          <w:rFonts w:cs="Arial" w:hint="cs"/>
          <w:rtl/>
        </w:rPr>
        <w:t>.</w:t>
      </w:r>
      <w:r w:rsidRPr="00A449B0">
        <w:rPr>
          <w:rFonts w:cs="Arial"/>
          <w:rtl/>
        </w:rPr>
        <w:t xml:space="preserve"> ד"ה כנונא</w:t>
      </w:r>
      <w:r w:rsidR="00955189">
        <w:rPr>
          <w:rFonts w:cs="Arial" w:hint="cs"/>
          <w:rtl/>
        </w:rPr>
        <w:t>)</w:t>
      </w:r>
      <w:r w:rsidRPr="00A449B0">
        <w:rPr>
          <w:rFonts w:cs="Arial"/>
          <w:rtl/>
        </w:rPr>
        <w:t xml:space="preserve"> ודו"ק</w:t>
      </w:r>
      <w:r>
        <w:rPr>
          <w:rFonts w:cs="Arial" w:hint="cs"/>
          <w:rtl/>
        </w:rPr>
        <w:t>, רעק"א (בגליון).</w:t>
      </w:r>
    </w:p>
  </w:footnote>
  <w:footnote w:id="1373">
    <w:p w14:paraId="5BF16F60" w14:textId="1AB8FC1B" w:rsidR="001419F4" w:rsidRDefault="001419F4" w:rsidP="00285819">
      <w:pPr>
        <w:pStyle w:val="a7"/>
        <w:rPr>
          <w:rtl/>
        </w:rPr>
      </w:pPr>
      <w:r>
        <w:rPr>
          <w:rStyle w:val="a9"/>
        </w:rPr>
        <w:footnoteRef/>
      </w:r>
      <w:r>
        <w:rPr>
          <w:rtl/>
        </w:rPr>
        <w:t xml:space="preserve"> </w:t>
      </w:r>
      <w:r w:rsidRPr="001419F4">
        <w:rPr>
          <w:rFonts w:cs="Arial"/>
          <w:rtl/>
        </w:rPr>
        <w:t>לאו דוקא ככר הוא הדין אם נתן שאר חפץ המותר בתוכה</w:t>
      </w:r>
      <w:r w:rsidR="00A449B0">
        <w:rPr>
          <w:rFonts w:cs="Arial" w:hint="cs"/>
          <w:rtl/>
        </w:rPr>
        <w:t>.</w:t>
      </w:r>
      <w:r w:rsidRPr="001419F4">
        <w:rPr>
          <w:rFonts w:cs="Arial"/>
          <w:rtl/>
        </w:rPr>
        <w:t xml:space="preserve"> והנה דעה זו היא דעת הרא"ש אבל הרבה מהראשונים חולקין ע"ז וס"ל דלא התירו ככר ותינוק אלא למת בלבד לטלטלו על ידיהם</w:t>
      </w:r>
      <w:r w:rsidR="00A449B0">
        <w:rPr>
          <w:rFonts w:cs="Arial" w:hint="cs"/>
          <w:rtl/>
        </w:rPr>
        <w:t>,</w:t>
      </w:r>
      <w:r w:rsidRPr="001419F4">
        <w:rPr>
          <w:rFonts w:cs="Arial"/>
          <w:rtl/>
        </w:rPr>
        <w:t xml:space="preserve"> וכדלקמן בסימן שי"א ס"א</w:t>
      </w:r>
      <w:r w:rsidR="00A449B0">
        <w:rPr>
          <w:rFonts w:cs="Arial" w:hint="cs"/>
          <w:rtl/>
        </w:rPr>
        <w:t>,</w:t>
      </w:r>
      <w:r w:rsidRPr="001419F4">
        <w:rPr>
          <w:rFonts w:cs="Arial"/>
          <w:rtl/>
        </w:rPr>
        <w:t xml:space="preserve"> אבל לא בשאר דבר מוקצה אף שהוא כלי</w:t>
      </w:r>
      <w:r w:rsidR="00A449B0">
        <w:rPr>
          <w:rFonts w:cs="Arial" w:hint="cs"/>
          <w:rtl/>
        </w:rPr>
        <w:t>.</w:t>
      </w:r>
      <w:r w:rsidRPr="001419F4">
        <w:rPr>
          <w:rFonts w:cs="Arial"/>
          <w:rtl/>
        </w:rPr>
        <w:t xml:space="preserve"> וכן הכריעו הרבה אחרונים</w:t>
      </w:r>
      <w:r w:rsidR="00A449B0">
        <w:rPr>
          <w:rFonts w:cs="Arial" w:hint="cs"/>
          <w:rtl/>
        </w:rPr>
        <w:t>.</w:t>
      </w:r>
      <w:r w:rsidRPr="001419F4">
        <w:rPr>
          <w:rFonts w:cs="Arial"/>
          <w:rtl/>
        </w:rPr>
        <w:t xml:space="preserve"> וכ"ז דוקא אם יניח בתוך הכלי שאר דבר שאינו מיוחד לה אבל אם מונח שם דבר המיוחד לה כמו שום במדוכה ששוחקין בה או שמונח בקדירה קצת מהתבשיל לכו"ע מותר לטלטל הכלי אגב המאכל</w:t>
      </w:r>
      <w:r>
        <w:rPr>
          <w:rFonts w:cs="Arial" w:hint="cs"/>
          <w:rtl/>
        </w:rPr>
        <w:t>, משנ"ב (סקכ"ו).</w:t>
      </w:r>
    </w:p>
  </w:footnote>
  <w:footnote w:id="1374">
    <w:p w14:paraId="13D61FD8" w14:textId="7A0E40E3" w:rsidR="00B8033A" w:rsidRDefault="00B8033A" w:rsidP="00285819">
      <w:pPr>
        <w:pStyle w:val="a7"/>
      </w:pPr>
      <w:r>
        <w:rPr>
          <w:rStyle w:val="a9"/>
        </w:rPr>
        <w:footnoteRef/>
      </w:r>
      <w:r>
        <w:rPr>
          <w:rtl/>
        </w:rPr>
        <w:t xml:space="preserve"> </w:t>
      </w:r>
      <w:r w:rsidRPr="00B8033A">
        <w:rPr>
          <w:rFonts w:hint="cs"/>
          <w:rtl/>
        </w:rPr>
        <w:t xml:space="preserve">ולגבי מקום שאין בו כלי שאפשר לכסותו עם השבר </w:t>
      </w:r>
      <w:r>
        <w:rPr>
          <w:rFonts w:cs="Arial" w:hint="cs"/>
          <w:rtl/>
        </w:rPr>
        <w:t xml:space="preserve">- </w:t>
      </w:r>
      <w:r w:rsidRPr="00B8033A">
        <w:rPr>
          <w:rFonts w:cs="Arial" w:hint="cs"/>
          <w:rtl/>
        </w:rPr>
        <w:t>עיין בסעיף הבא מה דינו.</w:t>
      </w:r>
    </w:p>
  </w:footnote>
  <w:footnote w:id="1375">
    <w:p w14:paraId="55A97437" w14:textId="2CE00CB2" w:rsidR="009A7623" w:rsidRDefault="009A7623" w:rsidP="00285819">
      <w:pPr>
        <w:pStyle w:val="a7"/>
        <w:rPr>
          <w:rtl/>
        </w:rPr>
      </w:pPr>
      <w:r>
        <w:rPr>
          <w:rStyle w:val="a9"/>
        </w:rPr>
        <w:footnoteRef/>
      </w:r>
      <w:r>
        <w:rPr>
          <w:rtl/>
        </w:rPr>
        <w:t xml:space="preserve"> </w:t>
      </w:r>
      <w:r w:rsidRPr="00487EF5">
        <w:rPr>
          <w:rFonts w:cs="Arial"/>
          <w:rtl/>
        </w:rPr>
        <w:t>וכן הוא בה</w:t>
      </w:r>
      <w:r w:rsidR="00270C93">
        <w:rPr>
          <w:rFonts w:cs="Arial" w:hint="cs"/>
          <w:rtl/>
        </w:rPr>
        <w:t>ג</w:t>
      </w:r>
      <w:r w:rsidRPr="00487EF5">
        <w:rPr>
          <w:rFonts w:cs="Arial"/>
          <w:rtl/>
        </w:rPr>
        <w:t>מ</w:t>
      </w:r>
      <w:r w:rsidR="00270C93">
        <w:rPr>
          <w:rFonts w:cs="Arial" w:hint="cs"/>
          <w:rtl/>
        </w:rPr>
        <w:t>"</w:t>
      </w:r>
      <w:r w:rsidRPr="00487EF5">
        <w:rPr>
          <w:rFonts w:cs="Arial"/>
          <w:rtl/>
        </w:rPr>
        <w:t>ר</w:t>
      </w:r>
      <w:r w:rsidR="00270C93">
        <w:rPr>
          <w:rFonts w:cs="Arial" w:hint="cs"/>
          <w:rtl/>
        </w:rPr>
        <w:t xml:space="preserve"> </w:t>
      </w:r>
      <w:r w:rsidRPr="00487EF5">
        <w:rPr>
          <w:rFonts w:cs="Arial"/>
          <w:rtl/>
        </w:rPr>
        <w:t>(סי' תנו עט ע"ד) דכל דבר דאית ביה היזק שרי לטלטולי</w:t>
      </w:r>
      <w:r w:rsidR="00270C93">
        <w:rPr>
          <w:rFonts w:cs="Arial" w:hint="cs"/>
          <w:rtl/>
        </w:rPr>
        <w:t>, דרכ"מ (אות ה).</w:t>
      </w:r>
    </w:p>
  </w:footnote>
  <w:footnote w:id="1376">
    <w:p w14:paraId="3AF7046A" w14:textId="5A42F9FD" w:rsidR="00E97D23" w:rsidRDefault="00E97D23" w:rsidP="00285819">
      <w:pPr>
        <w:pStyle w:val="a7"/>
      </w:pPr>
      <w:r>
        <w:rPr>
          <w:rStyle w:val="a9"/>
        </w:rPr>
        <w:footnoteRef/>
      </w:r>
      <w:r>
        <w:rPr>
          <w:rtl/>
        </w:rPr>
        <w:t xml:space="preserve"> </w:t>
      </w:r>
      <w:r w:rsidRPr="00E97D23">
        <w:rPr>
          <w:rFonts w:cs="Arial"/>
          <w:rtl/>
        </w:rPr>
        <w:t>אבל אם הוא של חרס אסור לפנותן דאין מצוי כ"כ היזק ואע</w:t>
      </w:r>
      <w:r>
        <w:rPr>
          <w:rFonts w:cs="Arial" w:hint="cs"/>
          <w:rtl/>
        </w:rPr>
        <w:t>"</w:t>
      </w:r>
      <w:r w:rsidRPr="00E97D23">
        <w:rPr>
          <w:rFonts w:cs="Arial"/>
          <w:rtl/>
        </w:rPr>
        <w:t>פ שכשהוא דורס עליהן משברן מ"מ מותר דדבר שאין מתכוין הוא. ודוקא לפנותן בידים אסור אבל מותר לדחותן ברגליו דטלטול מוקצה בגופו מותר וכדלקמן בסימן שי"א ס"ח</w:t>
      </w:r>
      <w:r>
        <w:rPr>
          <w:rFonts w:cs="Arial" w:hint="cs"/>
          <w:rtl/>
        </w:rPr>
        <w:t>, משנ"ב (סק"ל).</w:t>
      </w:r>
    </w:p>
  </w:footnote>
  <w:footnote w:id="1377">
    <w:p w14:paraId="13282767" w14:textId="77777777" w:rsidR="000254C9" w:rsidRDefault="000254C9" w:rsidP="00285819">
      <w:pPr>
        <w:pStyle w:val="a7"/>
      </w:pPr>
      <w:r>
        <w:rPr>
          <w:rStyle w:val="a9"/>
        </w:rPr>
        <w:footnoteRef/>
      </w:r>
      <w:r>
        <w:rPr>
          <w:rtl/>
        </w:rPr>
        <w:t xml:space="preserve"> </w:t>
      </w:r>
      <w:r w:rsidRPr="00492254">
        <w:rPr>
          <w:rFonts w:cs="Arial"/>
          <w:rtl/>
        </w:rPr>
        <w:t>דשכיחי בה כלים, שהחרס הזה ראוי להם לכיסוי, ותורת כלי עליו</w:t>
      </w:r>
      <w:r>
        <w:rPr>
          <w:rFonts w:cs="Arial" w:hint="cs"/>
          <w:rtl/>
        </w:rPr>
        <w:t>, רש"י.</w:t>
      </w:r>
    </w:p>
  </w:footnote>
  <w:footnote w:id="1378">
    <w:p w14:paraId="067C468E" w14:textId="77777777" w:rsidR="000254C9" w:rsidRDefault="000254C9" w:rsidP="00285819">
      <w:pPr>
        <w:pStyle w:val="a7"/>
        <w:rPr>
          <w:rtl/>
        </w:rPr>
      </w:pPr>
      <w:r>
        <w:rPr>
          <w:rStyle w:val="a9"/>
        </w:rPr>
        <w:footnoteRef/>
      </w:r>
      <w:r>
        <w:rPr>
          <w:rtl/>
        </w:rPr>
        <w:t xml:space="preserve"> </w:t>
      </w:r>
      <w:r w:rsidRPr="00492254">
        <w:rPr>
          <w:rFonts w:cs="Arial"/>
          <w:rtl/>
        </w:rPr>
        <w:t>אפילו בתוך ארבע אמות, דלא שכיחי ביה מאני, ולא חזי לכסויי</w:t>
      </w:r>
      <w:r>
        <w:rPr>
          <w:rFonts w:hint="cs"/>
          <w:rtl/>
        </w:rPr>
        <w:t>, רש"י.</w:t>
      </w:r>
    </w:p>
  </w:footnote>
  <w:footnote w:id="1379">
    <w:p w14:paraId="68AB6889" w14:textId="77777777" w:rsidR="000254C9" w:rsidRDefault="000254C9" w:rsidP="00285819">
      <w:pPr>
        <w:pStyle w:val="a7"/>
      </w:pPr>
      <w:r>
        <w:rPr>
          <w:rStyle w:val="a9"/>
        </w:rPr>
        <w:footnoteRef/>
      </w:r>
      <w:r>
        <w:rPr>
          <w:rtl/>
        </w:rPr>
        <w:t xml:space="preserve"> </w:t>
      </w:r>
      <w:r w:rsidRPr="00492254">
        <w:rPr>
          <w:rFonts w:cs="Arial"/>
          <w:rtl/>
        </w:rPr>
        <w:t>הואיל ולאו רשות הרבים הוא, שכיחי דאזלי ויתבי התם, וחזי לכסות בו רוק</w:t>
      </w:r>
      <w:r>
        <w:rPr>
          <w:rFonts w:cs="Arial" w:hint="cs"/>
          <w:rtl/>
        </w:rPr>
        <w:t>, רש"י.</w:t>
      </w:r>
    </w:p>
  </w:footnote>
  <w:footnote w:id="1380">
    <w:p w14:paraId="12D63D65" w14:textId="77777777" w:rsidR="000254C9" w:rsidRDefault="000254C9" w:rsidP="00285819">
      <w:pPr>
        <w:pStyle w:val="a7"/>
        <w:rPr>
          <w:rtl/>
        </w:rPr>
      </w:pPr>
      <w:r>
        <w:rPr>
          <w:rStyle w:val="a9"/>
        </w:rPr>
        <w:footnoteRef/>
      </w:r>
      <w:r>
        <w:rPr>
          <w:rtl/>
        </w:rPr>
        <w:t xml:space="preserve"> </w:t>
      </w:r>
      <w:r w:rsidRPr="00492254">
        <w:rPr>
          <w:rFonts w:cs="Arial"/>
          <w:rtl/>
        </w:rPr>
        <w:t>כיון דבחצר כלי הוא - בעלמא נמי לא פקע שם כלי מיניה</w:t>
      </w:r>
      <w:r>
        <w:rPr>
          <w:rFonts w:hint="cs"/>
          <w:rtl/>
        </w:rPr>
        <w:t>, רש"י.</w:t>
      </w:r>
    </w:p>
  </w:footnote>
  <w:footnote w:id="1381">
    <w:p w14:paraId="3FFDF534" w14:textId="77777777" w:rsidR="000254C9" w:rsidRDefault="000254C9" w:rsidP="00285819">
      <w:pPr>
        <w:pStyle w:val="a7"/>
      </w:pPr>
      <w:r>
        <w:rPr>
          <w:rStyle w:val="a9"/>
        </w:rPr>
        <w:footnoteRef/>
      </w:r>
      <w:r>
        <w:rPr>
          <w:rtl/>
        </w:rPr>
        <w:t xml:space="preserve"> </w:t>
      </w:r>
      <w:r w:rsidRPr="00492254">
        <w:rPr>
          <w:rFonts w:cs="Arial"/>
          <w:rtl/>
        </w:rPr>
        <w:t>שם רשות הרבים</w:t>
      </w:r>
      <w:r>
        <w:rPr>
          <w:rFonts w:cs="Arial" w:hint="cs"/>
          <w:rtl/>
        </w:rPr>
        <w:t>, רש"י.</w:t>
      </w:r>
    </w:p>
  </w:footnote>
  <w:footnote w:id="1382">
    <w:p w14:paraId="0CB4977F" w14:textId="77777777" w:rsidR="000254C9" w:rsidRPr="00492254" w:rsidRDefault="000254C9" w:rsidP="00285819">
      <w:pPr>
        <w:pStyle w:val="a7"/>
        <w:rPr>
          <w:rFonts w:cs="Arial"/>
        </w:rPr>
      </w:pPr>
      <w:r>
        <w:rPr>
          <w:rStyle w:val="a9"/>
        </w:rPr>
        <w:footnoteRef/>
      </w:r>
      <w:r>
        <w:rPr>
          <w:rtl/>
        </w:rPr>
        <w:t xml:space="preserve"> </w:t>
      </w:r>
      <w:r w:rsidRPr="00492254">
        <w:rPr>
          <w:rFonts w:cs="Arial"/>
          <w:rtl/>
        </w:rPr>
        <w:t>נתלכלך מנעלו בטיט</w:t>
      </w:r>
      <w:r>
        <w:rPr>
          <w:rFonts w:cs="Arial" w:hint="cs"/>
          <w:rtl/>
        </w:rPr>
        <w:t>, רש"י.</w:t>
      </w:r>
    </w:p>
  </w:footnote>
  <w:footnote w:id="1383">
    <w:p w14:paraId="0724A12E" w14:textId="77777777" w:rsidR="000254C9" w:rsidRDefault="000254C9" w:rsidP="00285819">
      <w:pPr>
        <w:pStyle w:val="a7"/>
        <w:rPr>
          <w:rtl/>
        </w:rPr>
      </w:pPr>
      <w:r>
        <w:rPr>
          <w:rStyle w:val="a9"/>
        </w:rPr>
        <w:footnoteRef/>
      </w:r>
      <w:r>
        <w:rPr>
          <w:rtl/>
        </w:rPr>
        <w:t xml:space="preserve"> </w:t>
      </w:r>
      <w:r w:rsidRPr="00492254">
        <w:rPr>
          <w:rFonts w:cs="Arial"/>
          <w:rtl/>
        </w:rPr>
        <w:t>מקנחו</w:t>
      </w:r>
      <w:r>
        <w:rPr>
          <w:rFonts w:cs="Arial" w:hint="cs"/>
          <w:rtl/>
        </w:rPr>
        <w:t>, רש"י.</w:t>
      </w:r>
    </w:p>
  </w:footnote>
  <w:footnote w:id="1384">
    <w:p w14:paraId="23482479" w14:textId="77777777" w:rsidR="000254C9" w:rsidRDefault="000254C9" w:rsidP="00285819">
      <w:pPr>
        <w:pStyle w:val="a7"/>
      </w:pPr>
      <w:r>
        <w:rPr>
          <w:rStyle w:val="a9"/>
        </w:rPr>
        <w:footnoteRef/>
      </w:r>
      <w:r>
        <w:rPr>
          <w:rtl/>
        </w:rPr>
        <w:t xml:space="preserve"> </w:t>
      </w:r>
      <w:r w:rsidRPr="00492254">
        <w:rPr>
          <w:rFonts w:cs="Arial"/>
          <w:rtl/>
        </w:rPr>
        <w:t>לקינוח, ואף על גב דלא שכיח - הרי שם כלי עליו בחצר</w:t>
      </w:r>
      <w:r>
        <w:rPr>
          <w:rFonts w:cs="Arial" w:hint="cs"/>
          <w:rtl/>
        </w:rPr>
        <w:t>, רש"י.</w:t>
      </w:r>
    </w:p>
  </w:footnote>
  <w:footnote w:id="1385">
    <w:p w14:paraId="21AC09BB" w14:textId="77777777" w:rsidR="000254C9" w:rsidRDefault="000254C9" w:rsidP="00285819">
      <w:pPr>
        <w:pStyle w:val="a7"/>
      </w:pPr>
      <w:r>
        <w:rPr>
          <w:rStyle w:val="a9"/>
        </w:rPr>
        <w:footnoteRef/>
      </w:r>
      <w:r>
        <w:rPr>
          <w:rtl/>
        </w:rPr>
        <w:t xml:space="preserve"> </w:t>
      </w:r>
      <w:r w:rsidRPr="004F58E1">
        <w:rPr>
          <w:rFonts w:cs="Arial"/>
          <w:rtl/>
        </w:rPr>
        <w:t>יתקן, להתיר בליטותיו ועוקציו בשבת, דעביד כלי והוי מכה בפטיש</w:t>
      </w:r>
      <w:r>
        <w:rPr>
          <w:rFonts w:cs="Arial" w:hint="cs"/>
          <w:rtl/>
        </w:rPr>
        <w:t>, רש"י.</w:t>
      </w:r>
    </w:p>
  </w:footnote>
  <w:footnote w:id="1386">
    <w:p w14:paraId="66762010" w14:textId="5AC46F33" w:rsidR="00FB321C" w:rsidRDefault="00FB321C" w:rsidP="00285819">
      <w:pPr>
        <w:pStyle w:val="a7"/>
      </w:pPr>
      <w:r>
        <w:rPr>
          <w:rStyle w:val="a9"/>
        </w:rPr>
        <w:footnoteRef/>
      </w:r>
      <w:r>
        <w:rPr>
          <w:rtl/>
        </w:rPr>
        <w:t xml:space="preserve"> </w:t>
      </w:r>
      <w:r>
        <w:rPr>
          <w:rFonts w:hint="cs"/>
          <w:rtl/>
        </w:rPr>
        <w:t xml:space="preserve">את המגופת חבית. אבל אם זרק כלי לאשפה מבעו"י </w:t>
      </w:r>
      <w:r>
        <w:rPr>
          <w:rtl/>
        </w:rPr>
        <w:t>–</w:t>
      </w:r>
      <w:r>
        <w:rPr>
          <w:rFonts w:hint="cs"/>
          <w:rtl/>
        </w:rPr>
        <w:t xml:space="preserve"> בטלה דעתו אצל כל אדם</w:t>
      </w:r>
      <w:r w:rsidR="00C90576">
        <w:rPr>
          <w:rFonts w:hint="cs"/>
          <w:rtl/>
        </w:rPr>
        <w:t xml:space="preserve"> והכלי מותר בטלטול (ע"פ התוס' [ד"ה אם זרקה] והמשנ"ב [סקנ"א])</w:t>
      </w:r>
      <w:r>
        <w:rPr>
          <w:rFonts w:hint="cs"/>
          <w:rtl/>
        </w:rPr>
        <w:t>.</w:t>
      </w:r>
    </w:p>
  </w:footnote>
  <w:footnote w:id="1387">
    <w:p w14:paraId="5FFE0141" w14:textId="3E515928" w:rsidR="000254C9" w:rsidRDefault="000254C9" w:rsidP="00285819">
      <w:pPr>
        <w:pStyle w:val="a7"/>
      </w:pPr>
      <w:r>
        <w:rPr>
          <w:rStyle w:val="a9"/>
        </w:rPr>
        <w:footnoteRef/>
      </w:r>
      <w:r>
        <w:rPr>
          <w:rtl/>
        </w:rPr>
        <w:t xml:space="preserve"> </w:t>
      </w:r>
      <w:r w:rsidRPr="004F58E1">
        <w:rPr>
          <w:rFonts w:cs="Arial"/>
          <w:rtl/>
        </w:rPr>
        <w:t>גלי דעתיה מאתמול דלאו מנא הוא</w:t>
      </w:r>
      <w:r>
        <w:rPr>
          <w:rFonts w:cs="Arial" w:hint="cs"/>
          <w:rtl/>
        </w:rPr>
        <w:t xml:space="preserve">, </w:t>
      </w:r>
      <w:r w:rsidRPr="00C90576">
        <w:rPr>
          <w:rFonts w:cs="Arial" w:hint="cs"/>
          <w:b/>
          <w:bCs/>
          <w:rtl/>
        </w:rPr>
        <w:t>רש"י</w:t>
      </w:r>
      <w:r>
        <w:rPr>
          <w:rFonts w:cs="Arial" w:hint="cs"/>
          <w:rtl/>
        </w:rPr>
        <w:t>.</w:t>
      </w:r>
      <w:r w:rsidR="00C90576" w:rsidRPr="00C90576">
        <w:rPr>
          <w:rtl/>
        </w:rPr>
        <w:t xml:space="preserve"> </w:t>
      </w:r>
      <w:r w:rsidR="00C90576">
        <w:rPr>
          <w:rFonts w:cs="Arial" w:hint="cs"/>
          <w:rtl/>
        </w:rPr>
        <w:t>ו</w:t>
      </w:r>
      <w:r w:rsidR="00C90576" w:rsidRPr="00C90576">
        <w:rPr>
          <w:rFonts w:cs="Arial"/>
          <w:rtl/>
        </w:rPr>
        <w:t>השתא לא פריך אלא מעתה זרק לגלימא מבעוד יום דכיון דלא היה מוכן מבעו"י ליכא לדמויי לגלימי</w:t>
      </w:r>
      <w:r w:rsidR="00C90576">
        <w:rPr>
          <w:rFonts w:hint="cs"/>
          <w:rtl/>
        </w:rPr>
        <w:t xml:space="preserve">, </w:t>
      </w:r>
      <w:r w:rsidR="00C90576" w:rsidRPr="00C90576">
        <w:rPr>
          <w:rFonts w:hint="cs"/>
          <w:b/>
          <w:bCs/>
          <w:rtl/>
        </w:rPr>
        <w:t xml:space="preserve">תוס' </w:t>
      </w:r>
      <w:r w:rsidR="00C90576">
        <w:rPr>
          <w:rFonts w:hint="cs"/>
          <w:rtl/>
        </w:rPr>
        <w:t>(ד"ה אם זרקה).</w:t>
      </w:r>
    </w:p>
  </w:footnote>
  <w:footnote w:id="1388">
    <w:p w14:paraId="2E830EE7" w14:textId="4F54A1A8" w:rsidR="000254C9" w:rsidRDefault="000254C9" w:rsidP="00285819">
      <w:pPr>
        <w:pStyle w:val="a7"/>
      </w:pPr>
      <w:r>
        <w:rPr>
          <w:rStyle w:val="a9"/>
        </w:rPr>
        <w:footnoteRef/>
      </w:r>
      <w:r>
        <w:rPr>
          <w:rtl/>
        </w:rPr>
        <w:t xml:space="preserve"> </w:t>
      </w:r>
      <w:r>
        <w:rPr>
          <w:rFonts w:cs="Arial"/>
          <w:rtl/>
        </w:rPr>
        <w:t>מ</w:t>
      </w:r>
      <w:r>
        <w:rPr>
          <w:rFonts w:cs="Arial" w:hint="cs"/>
          <w:rtl/>
        </w:rPr>
        <w:t xml:space="preserve">ה </w:t>
      </w:r>
      <w:r>
        <w:rPr>
          <w:rFonts w:cs="Arial"/>
          <w:rtl/>
        </w:rPr>
        <w:t>ש</w:t>
      </w:r>
      <w:r>
        <w:rPr>
          <w:rFonts w:cs="Arial" w:hint="cs"/>
          <w:rtl/>
        </w:rPr>
        <w:t>כתב</w:t>
      </w:r>
      <w:r>
        <w:rPr>
          <w:rFonts w:cs="Arial"/>
          <w:rtl/>
        </w:rPr>
        <w:t xml:space="preserve"> רבינו </w:t>
      </w:r>
      <w:r>
        <w:rPr>
          <w:rFonts w:cs="Arial" w:hint="cs"/>
          <w:rtl/>
        </w:rPr>
        <w:t>'</w:t>
      </w:r>
      <w:r>
        <w:rPr>
          <w:rFonts w:cs="Arial"/>
          <w:rtl/>
        </w:rPr>
        <w:t>שנשברה בחול</w:t>
      </w:r>
      <w:r>
        <w:rPr>
          <w:rFonts w:cs="Arial" w:hint="cs"/>
          <w:rtl/>
        </w:rPr>
        <w:t>',</w:t>
      </w:r>
      <w:r>
        <w:rPr>
          <w:rFonts w:cs="Arial"/>
          <w:rtl/>
        </w:rPr>
        <w:t xml:space="preserve"> נראה שהוא ממה שכתבו התוספות שם (ד"ה ורבא) ורבא אמר אפילו ברשות הרבים </w:t>
      </w:r>
      <w:r>
        <w:rPr>
          <w:rFonts w:cs="Arial" w:hint="cs"/>
          <w:rtl/>
        </w:rPr>
        <w:t xml:space="preserve">- </w:t>
      </w:r>
      <w:r>
        <w:rPr>
          <w:rFonts w:cs="Arial"/>
          <w:rtl/>
        </w:rPr>
        <w:t>ובהנך דנשברו מערב שבת קאמר</w:t>
      </w:r>
      <w:r>
        <w:rPr>
          <w:rFonts w:cs="Arial" w:hint="cs"/>
          <w:rtl/>
        </w:rPr>
        <w:t>,</w:t>
      </w:r>
      <w:r>
        <w:rPr>
          <w:rFonts w:cs="Arial"/>
          <w:rtl/>
        </w:rPr>
        <w:t xml:space="preserve"> דאי בנשברו בשבת הא אמרינן בפרק נוטל (קמג.) דרבא אית ליה מוקצה וכל שכן נולד עכ"ל</w:t>
      </w:r>
      <w:r>
        <w:rPr>
          <w:rFonts w:cs="Arial" w:hint="cs"/>
          <w:rtl/>
        </w:rPr>
        <w:t>.</w:t>
      </w:r>
      <w:r>
        <w:rPr>
          <w:rFonts w:cs="Arial"/>
          <w:rtl/>
        </w:rPr>
        <w:t xml:space="preserve"> אך תימה</w:t>
      </w:r>
      <w:r>
        <w:rPr>
          <w:rFonts w:cs="Arial" w:hint="cs"/>
          <w:rtl/>
        </w:rPr>
        <w:t>,</w:t>
      </w:r>
      <w:r>
        <w:rPr>
          <w:rFonts w:cs="Arial"/>
          <w:rtl/>
        </w:rPr>
        <w:t xml:space="preserve"> דכיון דחזי לכסות כלי</w:t>
      </w:r>
      <w:r>
        <w:rPr>
          <w:rFonts w:cs="Arial" w:hint="cs"/>
          <w:rtl/>
        </w:rPr>
        <w:t>,</w:t>
      </w:r>
      <w:r>
        <w:rPr>
          <w:rFonts w:cs="Arial"/>
          <w:rtl/>
        </w:rPr>
        <w:t xml:space="preserve"> אפילו נשבר בשבת נמי לאו נולד הוא לתנא קמא דרבי יהודה כמו שנתבאר בסמוך</w:t>
      </w:r>
      <w:r>
        <w:rPr>
          <w:rFonts w:cs="Arial" w:hint="cs"/>
          <w:rtl/>
        </w:rPr>
        <w:t>.</w:t>
      </w:r>
      <w:r>
        <w:rPr>
          <w:rFonts w:cs="Arial"/>
          <w:rtl/>
        </w:rPr>
        <w:t xml:space="preserve"> וכיון דרבינו כתב בסמוך דאפילו נשברו בשבת שרי לטלטלן כיון שראויין לכסות כלים וכדברי תנא קמא</w:t>
      </w:r>
      <w:r>
        <w:rPr>
          <w:rFonts w:cs="Arial" w:hint="cs"/>
          <w:rtl/>
        </w:rPr>
        <w:t>,</w:t>
      </w:r>
      <w:r>
        <w:rPr>
          <w:rFonts w:cs="Arial"/>
          <w:rtl/>
        </w:rPr>
        <w:t xml:space="preserve"> היאך כתב כאן דבנשברה בחול שרי לטלטולי דמשמע הא אם נשברה בשבת אסור</w:t>
      </w:r>
      <w:r>
        <w:rPr>
          <w:rFonts w:cs="Arial" w:hint="cs"/>
          <w:rtl/>
        </w:rPr>
        <w:t>.</w:t>
      </w:r>
      <w:r>
        <w:rPr>
          <w:rFonts w:cs="Arial"/>
          <w:rtl/>
        </w:rPr>
        <w:t xml:space="preserve"> ושמא יש לומר דהתם בכלים שנשברו</w:t>
      </w:r>
      <w:r>
        <w:rPr>
          <w:rFonts w:cs="Arial" w:hint="cs"/>
          <w:rtl/>
        </w:rPr>
        <w:t>,</w:t>
      </w:r>
      <w:r>
        <w:rPr>
          <w:rFonts w:cs="Arial"/>
          <w:rtl/>
        </w:rPr>
        <w:t xml:space="preserve"> והכא בכלי שנשברה ממנו חתיכה</w:t>
      </w:r>
      <w:r>
        <w:rPr>
          <w:rFonts w:cs="Arial" w:hint="cs"/>
          <w:rtl/>
        </w:rPr>
        <w:t>,</w:t>
      </w:r>
      <w:r>
        <w:rPr>
          <w:rFonts w:cs="Arial"/>
          <w:rtl/>
        </w:rPr>
        <w:t xml:space="preserve"> וכדדייק לישנא דרבינו</w:t>
      </w:r>
      <w:r>
        <w:rPr>
          <w:rFonts w:cs="Arial" w:hint="cs"/>
          <w:rtl/>
        </w:rPr>
        <w:t>.</w:t>
      </w:r>
      <w:r>
        <w:rPr>
          <w:rFonts w:cs="Arial"/>
          <w:rtl/>
        </w:rPr>
        <w:t xml:space="preserve"> דכיון שהכלי עדיין משמש תשמישו הראשון</w:t>
      </w:r>
      <w:r>
        <w:rPr>
          <w:rFonts w:cs="Arial" w:hint="cs"/>
          <w:rtl/>
        </w:rPr>
        <w:t>,</w:t>
      </w:r>
      <w:r>
        <w:rPr>
          <w:rFonts w:cs="Arial"/>
          <w:rtl/>
        </w:rPr>
        <w:t xml:space="preserve"> וחתיכה זו שנשברה ממנו לא היתה ראויה לשמש בפני עצמה קודם שנשברה</w:t>
      </w:r>
      <w:r>
        <w:rPr>
          <w:rFonts w:cs="Arial" w:hint="cs"/>
          <w:rtl/>
        </w:rPr>
        <w:t>,</w:t>
      </w:r>
      <w:r>
        <w:rPr>
          <w:rFonts w:cs="Arial"/>
          <w:rtl/>
        </w:rPr>
        <w:t xml:space="preserve"> ועכשיו שנשברה היא ראויה לשמש בפני עצמה</w:t>
      </w:r>
      <w:r>
        <w:rPr>
          <w:rFonts w:cs="Arial" w:hint="cs"/>
          <w:rtl/>
        </w:rPr>
        <w:t xml:space="preserve"> -</w:t>
      </w:r>
      <w:r>
        <w:rPr>
          <w:rFonts w:cs="Arial"/>
          <w:rtl/>
        </w:rPr>
        <w:t xml:space="preserve"> הוי נולד</w:t>
      </w:r>
      <w:r>
        <w:rPr>
          <w:rFonts w:cs="Arial" w:hint="cs"/>
          <w:rtl/>
        </w:rPr>
        <w:t xml:space="preserve">, </w:t>
      </w:r>
      <w:r w:rsidRPr="004F58E1">
        <w:rPr>
          <w:rFonts w:cs="Arial" w:hint="cs"/>
          <w:b/>
          <w:bCs/>
          <w:rtl/>
        </w:rPr>
        <w:t>ב"י</w:t>
      </w:r>
      <w:r>
        <w:rPr>
          <w:rFonts w:cs="Arial" w:hint="cs"/>
          <w:rtl/>
        </w:rPr>
        <w:t>.</w:t>
      </w:r>
      <w:r w:rsidRPr="004F58E1">
        <w:rPr>
          <w:rFonts w:cs="Arial"/>
          <w:rtl/>
        </w:rPr>
        <w:t xml:space="preserve"> </w:t>
      </w:r>
      <w:r w:rsidRPr="00487EF5">
        <w:rPr>
          <w:rFonts w:cs="Arial"/>
          <w:rtl/>
        </w:rPr>
        <w:t>ואפשר לומר דהא דנקט נשברה בחול לאו דוקא</w:t>
      </w:r>
      <w:r>
        <w:rPr>
          <w:rFonts w:cs="Arial" w:hint="cs"/>
          <w:rtl/>
        </w:rPr>
        <w:t>,</w:t>
      </w:r>
      <w:r w:rsidRPr="00487EF5">
        <w:rPr>
          <w:rFonts w:cs="Arial"/>
          <w:rtl/>
        </w:rPr>
        <w:t xml:space="preserve"> אלא נקט משום דבעינן זרקה לאשפה מבעוד יום</w:t>
      </w:r>
      <w:r>
        <w:rPr>
          <w:rFonts w:cs="Arial" w:hint="cs"/>
          <w:rtl/>
        </w:rPr>
        <w:t>,</w:t>
      </w:r>
      <w:r w:rsidRPr="00487EF5">
        <w:rPr>
          <w:rFonts w:cs="Arial"/>
          <w:rtl/>
        </w:rPr>
        <w:t xml:space="preserve"> אבל אם לא זרקה עד שחשכה מאחר שכשקדש היום הוי מוכן </w:t>
      </w:r>
      <w:r>
        <w:rPr>
          <w:rFonts w:cs="Arial" w:hint="cs"/>
          <w:rtl/>
        </w:rPr>
        <w:t xml:space="preserve">- </w:t>
      </w:r>
      <w:r w:rsidRPr="00487EF5">
        <w:rPr>
          <w:rFonts w:cs="Arial"/>
          <w:rtl/>
        </w:rPr>
        <w:t>לא פקעה מיניה תו שם כלי כדאמרינן בגמרא</w:t>
      </w:r>
      <w:r>
        <w:rPr>
          <w:rFonts w:cs="Arial" w:hint="cs"/>
          <w:rtl/>
        </w:rPr>
        <w:t>,</w:t>
      </w:r>
      <w:r w:rsidRPr="00487EF5">
        <w:rPr>
          <w:rFonts w:cs="Arial"/>
          <w:rtl/>
        </w:rPr>
        <w:t xml:space="preserve"> לכן נקט נשברה בחול משום סיפא</w:t>
      </w:r>
      <w:r>
        <w:rPr>
          <w:rFonts w:cs="Arial" w:hint="cs"/>
          <w:rtl/>
        </w:rPr>
        <w:t xml:space="preserve">, </w:t>
      </w:r>
      <w:r w:rsidRPr="004F58E1">
        <w:rPr>
          <w:rFonts w:cs="Arial" w:hint="cs"/>
          <w:b/>
          <w:bCs/>
          <w:rtl/>
        </w:rPr>
        <w:t xml:space="preserve">דרכ"מ </w:t>
      </w:r>
      <w:r>
        <w:rPr>
          <w:rFonts w:cs="Arial" w:hint="cs"/>
          <w:rtl/>
        </w:rPr>
        <w:t>(אות ד).</w:t>
      </w:r>
      <w:r w:rsidR="00E97D23">
        <w:rPr>
          <w:rFonts w:hint="cs"/>
          <w:rtl/>
        </w:rPr>
        <w:t xml:space="preserve"> וכ"כ </w:t>
      </w:r>
      <w:r w:rsidR="00E97D23" w:rsidRPr="00E97D23">
        <w:rPr>
          <w:rFonts w:hint="cs"/>
          <w:b/>
          <w:bCs/>
          <w:rtl/>
        </w:rPr>
        <w:t xml:space="preserve">המשנ"ב </w:t>
      </w:r>
      <w:r w:rsidR="00E97D23">
        <w:rPr>
          <w:rFonts w:hint="cs"/>
          <w:rtl/>
        </w:rPr>
        <w:t>(סקל"ב).</w:t>
      </w:r>
    </w:p>
  </w:footnote>
  <w:footnote w:id="1389">
    <w:p w14:paraId="558EE250" w14:textId="77777777" w:rsidR="006D5969" w:rsidRDefault="006D5969" w:rsidP="00285819">
      <w:pPr>
        <w:pStyle w:val="a7"/>
        <w:rPr>
          <w:rtl/>
        </w:rPr>
      </w:pPr>
      <w:r>
        <w:rPr>
          <w:rStyle w:val="a9"/>
        </w:rPr>
        <w:footnoteRef/>
      </w:r>
      <w:r>
        <w:rPr>
          <w:rtl/>
        </w:rPr>
        <w:t xml:space="preserve"> </w:t>
      </w:r>
      <w:r>
        <w:rPr>
          <w:rFonts w:hint="cs"/>
          <w:rtl/>
        </w:rPr>
        <w:t xml:space="preserve">וז"ל- </w:t>
      </w:r>
      <w:r w:rsidRPr="00A52AC6">
        <w:rPr>
          <w:rFonts w:cs="Arial"/>
          <w:rtl/>
        </w:rPr>
        <w:t>כל דבר שאינו כלי כגון צרורות שבחצר וכיוצא בהם אסור לטלטלן</w:t>
      </w:r>
      <w:r>
        <w:rPr>
          <w:rFonts w:cs="Arial" w:hint="cs"/>
          <w:rtl/>
        </w:rPr>
        <w:t>.</w:t>
      </w:r>
    </w:p>
  </w:footnote>
  <w:footnote w:id="1390">
    <w:p w14:paraId="5C930743" w14:textId="13F4DD54" w:rsidR="00B62973" w:rsidRDefault="00B62973" w:rsidP="00285819">
      <w:pPr>
        <w:pStyle w:val="a7"/>
        <w:rPr>
          <w:rtl/>
        </w:rPr>
      </w:pPr>
      <w:r>
        <w:rPr>
          <w:rStyle w:val="a9"/>
        </w:rPr>
        <w:footnoteRef/>
      </w:r>
      <w:r>
        <w:rPr>
          <w:rtl/>
        </w:rPr>
        <w:t xml:space="preserve"> </w:t>
      </w:r>
      <w:r w:rsidRPr="00A52AC6">
        <w:rPr>
          <w:rFonts w:cs="Arial"/>
          <w:rtl/>
        </w:rPr>
        <w:t>ואפילו לצורך גופן</w:t>
      </w:r>
      <w:r>
        <w:rPr>
          <w:rFonts w:hint="cs"/>
          <w:rtl/>
        </w:rPr>
        <w:t>, ב"י.</w:t>
      </w:r>
    </w:p>
  </w:footnote>
  <w:footnote w:id="1391">
    <w:p w14:paraId="12254B55" w14:textId="748EAB47" w:rsidR="00701B04" w:rsidRDefault="00701B04" w:rsidP="00285819">
      <w:pPr>
        <w:pStyle w:val="a7"/>
      </w:pPr>
      <w:r>
        <w:rPr>
          <w:rStyle w:val="a9"/>
        </w:rPr>
        <w:footnoteRef/>
      </w:r>
      <w:r>
        <w:rPr>
          <w:rtl/>
        </w:rPr>
        <w:t xml:space="preserve"> </w:t>
      </w:r>
      <w:r w:rsidRPr="00701B04">
        <w:rPr>
          <w:rFonts w:cs="Arial"/>
          <w:rtl/>
        </w:rPr>
        <w:t>וכגון עששית של ברזל וטבלא וכן בקעת [היינו חתיכת עץ] כיון שאינו כלי אסור לטלטלו אפילו לצורך גופו כגון לתקוע אותו במקום בריח לדלת או לסמוך בו איזה דף שישב עליו אם לא שיעשה בו קצת מעשה תיקון קודם השבת להוכיח שעומד להשתמש בו או שייחדנה מע"ש לעולם להשתמש בו וכמ"ש לקמן בסכ"ב ורבים נכשלין בזה [אחרונים]</w:t>
      </w:r>
      <w:r>
        <w:rPr>
          <w:rFonts w:cs="Arial" w:hint="cs"/>
          <w:rtl/>
        </w:rPr>
        <w:t>..</w:t>
      </w:r>
      <w:r w:rsidRPr="00701B04">
        <w:rPr>
          <w:rFonts w:cs="Arial"/>
          <w:rtl/>
        </w:rPr>
        <w:t>.</w:t>
      </w:r>
      <w:r>
        <w:rPr>
          <w:rFonts w:cs="Arial" w:hint="cs"/>
          <w:rtl/>
        </w:rPr>
        <w:t>, משנ"ב (סקל"ד).</w:t>
      </w:r>
    </w:p>
  </w:footnote>
  <w:footnote w:id="1392">
    <w:p w14:paraId="7D067DF7" w14:textId="7CF2CCEC" w:rsidR="008760DA" w:rsidRDefault="008760DA" w:rsidP="00285819">
      <w:pPr>
        <w:pStyle w:val="a7"/>
        <w:rPr>
          <w:rtl/>
        </w:rPr>
      </w:pPr>
      <w:r>
        <w:rPr>
          <w:rStyle w:val="a9"/>
        </w:rPr>
        <w:footnoteRef/>
      </w:r>
      <w:r>
        <w:rPr>
          <w:rtl/>
        </w:rPr>
        <w:t xml:space="preserve"> </w:t>
      </w:r>
      <w:r w:rsidRPr="008760DA">
        <w:rPr>
          <w:rFonts w:cs="Arial"/>
          <w:rtl/>
        </w:rPr>
        <w:t>כל הכלים שיש להם דלתות, כגון שידה תיבה ומגדל - ניטלין בשבת, ודלתות שיש להם בצדן עמהן, ניטלין עמהן</w:t>
      </w:r>
      <w:r>
        <w:rPr>
          <w:rFonts w:hint="cs"/>
          <w:rtl/>
        </w:rPr>
        <w:t>, רש"י.</w:t>
      </w:r>
    </w:p>
  </w:footnote>
  <w:footnote w:id="1393">
    <w:p w14:paraId="35FA5E86" w14:textId="4A632E3F" w:rsidR="008760DA" w:rsidRDefault="008760DA" w:rsidP="00285819">
      <w:pPr>
        <w:pStyle w:val="a7"/>
        <w:rPr>
          <w:rtl/>
        </w:rPr>
      </w:pPr>
      <w:r>
        <w:rPr>
          <w:rStyle w:val="a9"/>
        </w:rPr>
        <w:footnoteRef/>
      </w:r>
      <w:r>
        <w:rPr>
          <w:rtl/>
        </w:rPr>
        <w:t xml:space="preserve"> </w:t>
      </w:r>
      <w:r w:rsidRPr="008760DA">
        <w:rPr>
          <w:rFonts w:cs="Arial"/>
          <w:rtl/>
        </w:rPr>
        <w:t>הדלתות מן הכלים - ניטלין, ואין דומין לדלתות הבית שאין ניטלין, לפי שדלתות הבית אינן מן המוכן לטלטל, שאינן כלי, אבל אלו הן כלי אגב אביהן</w:t>
      </w:r>
      <w:r>
        <w:rPr>
          <w:rFonts w:hint="cs"/>
          <w:rtl/>
        </w:rPr>
        <w:t>, רש"י.</w:t>
      </w:r>
    </w:p>
  </w:footnote>
  <w:footnote w:id="1394">
    <w:p w14:paraId="083AE280" w14:textId="029B2EA4" w:rsidR="00AC47E8" w:rsidRDefault="00AC47E8" w:rsidP="00285819">
      <w:pPr>
        <w:pStyle w:val="a7"/>
      </w:pPr>
      <w:r>
        <w:rPr>
          <w:rStyle w:val="a9"/>
        </w:rPr>
        <w:footnoteRef/>
      </w:r>
      <w:r>
        <w:rPr>
          <w:rtl/>
        </w:rPr>
        <w:t xml:space="preserve"> </w:t>
      </w:r>
      <w:r w:rsidR="00B73703">
        <w:rPr>
          <w:rFonts w:hint="cs"/>
          <w:rtl/>
        </w:rPr>
        <w:t>רש"י לא גרס תיבה זו (כמ"ש הר"ן, ולכן מהר"ם מחק אותה), אך הרמב"ם בפהמ"ש כן גרס תיבה זו. וכן</w:t>
      </w:r>
      <w:r>
        <w:rPr>
          <w:rFonts w:hint="cs"/>
          <w:rtl/>
        </w:rPr>
        <w:t xml:space="preserve"> </w:t>
      </w:r>
      <w:r w:rsidR="00B73703">
        <w:rPr>
          <w:rFonts w:hint="cs"/>
          <w:rtl/>
        </w:rPr>
        <w:t xml:space="preserve">נראה </w:t>
      </w:r>
      <w:r>
        <w:rPr>
          <w:rFonts w:hint="cs"/>
          <w:rtl/>
        </w:rPr>
        <w:t>מהמשך הגמ' שכך צריך לגרוס.</w:t>
      </w:r>
    </w:p>
  </w:footnote>
  <w:footnote w:id="1395">
    <w:p w14:paraId="671AC684" w14:textId="4BBCAD01" w:rsidR="00C17F08" w:rsidRDefault="00C17F08" w:rsidP="00285819">
      <w:pPr>
        <w:pStyle w:val="a7"/>
      </w:pPr>
      <w:r>
        <w:rPr>
          <w:rStyle w:val="a9"/>
        </w:rPr>
        <w:footnoteRef/>
      </w:r>
      <w:r>
        <w:rPr>
          <w:rtl/>
        </w:rPr>
        <w:t xml:space="preserve"> </w:t>
      </w:r>
      <w:r w:rsidRPr="00C17F08">
        <w:rPr>
          <w:rFonts w:cs="Arial"/>
          <w:rtl/>
        </w:rPr>
        <w:t>פי' ולא מבעיא נתפרקו בשבת דמותר דמוכנין הן ע"ג אביהן כי עייל שבתא</w:t>
      </w:r>
      <w:r w:rsidR="005F0EBF">
        <w:rPr>
          <w:rFonts w:cs="Arial" w:hint="cs"/>
          <w:rtl/>
        </w:rPr>
        <w:t>,</w:t>
      </w:r>
      <w:r w:rsidRPr="00C17F08">
        <w:rPr>
          <w:rFonts w:cs="Arial"/>
          <w:rtl/>
        </w:rPr>
        <w:t xml:space="preserve"> אלא אפילו בחול מותר משום דאכתי כלי הוא שראוי להתחבר עם הכלי</w:t>
      </w:r>
      <w:r w:rsidR="00BA3803">
        <w:rPr>
          <w:rFonts w:cs="Arial" w:hint="cs"/>
          <w:rtl/>
        </w:rPr>
        <w:t>,</w:t>
      </w:r>
      <w:r w:rsidRPr="00C17F08">
        <w:rPr>
          <w:rFonts w:cs="Arial"/>
          <w:rtl/>
        </w:rPr>
        <w:t xml:space="preserve"> וע"כ מותר לטלטלן אפילו מחמה לצל אפילו כשאין ראוין למלאכה אחרת כלל</w:t>
      </w:r>
      <w:r w:rsidR="00C331ED">
        <w:rPr>
          <w:rFonts w:cs="Arial" w:hint="cs"/>
          <w:rtl/>
        </w:rPr>
        <w:t>.</w:t>
      </w:r>
      <w:r w:rsidRPr="00C17F08">
        <w:rPr>
          <w:rFonts w:cs="Arial"/>
          <w:rtl/>
        </w:rPr>
        <w:t xml:space="preserve"> וכ"ז בדלתות הכלי דככיסוי כלי חשובין</w:t>
      </w:r>
      <w:r w:rsidR="005F0EBF">
        <w:rPr>
          <w:rFonts w:cs="Arial" w:hint="cs"/>
          <w:rtl/>
        </w:rPr>
        <w:t>,</w:t>
      </w:r>
      <w:r w:rsidRPr="00C17F08">
        <w:rPr>
          <w:rFonts w:cs="Arial"/>
          <w:rtl/>
        </w:rPr>
        <w:t xml:space="preserve"> אבל בדלתות הבית או החלונות אע</w:t>
      </w:r>
      <w:r w:rsidR="00C331ED">
        <w:rPr>
          <w:rFonts w:cs="Arial" w:hint="cs"/>
          <w:rtl/>
        </w:rPr>
        <w:t>"</w:t>
      </w:r>
      <w:r w:rsidRPr="00C17F08">
        <w:rPr>
          <w:rFonts w:cs="Arial"/>
          <w:rtl/>
        </w:rPr>
        <w:t>פ שראוין לאיזה תשמיש וככלי חשובין מ"מ כיון שלא הוכנו לכך אסורים בטלטול דסתמן עומדין להתחבר עם הבית</w:t>
      </w:r>
      <w:r w:rsidR="00BA3803">
        <w:rPr>
          <w:rFonts w:cs="Arial" w:hint="cs"/>
          <w:rtl/>
        </w:rPr>
        <w:t>,</w:t>
      </w:r>
      <w:r w:rsidRPr="00C17F08">
        <w:rPr>
          <w:rFonts w:cs="Arial"/>
          <w:rtl/>
        </w:rPr>
        <w:t xml:space="preserve"> ולכן אסור בין נתפרקו בחול ובין בשבת. ודלתות של לול תרנגולין כדלתות הבית חשובין גם לענין איסור טלטול</w:t>
      </w:r>
      <w:r>
        <w:rPr>
          <w:rFonts w:cs="Arial" w:hint="cs"/>
          <w:rtl/>
        </w:rPr>
        <w:t>..., משנ"ב (סקל"ה).</w:t>
      </w:r>
    </w:p>
  </w:footnote>
  <w:footnote w:id="1396">
    <w:p w14:paraId="32A8818A" w14:textId="2C42E549" w:rsidR="008760DA" w:rsidRDefault="008760DA" w:rsidP="00285819">
      <w:pPr>
        <w:pStyle w:val="a7"/>
      </w:pPr>
      <w:r>
        <w:rPr>
          <w:rStyle w:val="a9"/>
        </w:rPr>
        <w:footnoteRef/>
      </w:r>
      <w:r>
        <w:rPr>
          <w:rtl/>
        </w:rPr>
        <w:t xml:space="preserve"> </w:t>
      </w:r>
      <w:r w:rsidRPr="008760DA">
        <w:rPr>
          <w:rFonts w:cs="Arial"/>
          <w:rtl/>
        </w:rPr>
        <w:t>משמע מסלקין אותן בשבת [מהיתר] ציר שלהן</w:t>
      </w:r>
      <w:r>
        <w:rPr>
          <w:rFonts w:cs="Arial" w:hint="cs"/>
          <w:rtl/>
        </w:rPr>
        <w:t>, רש"י.</w:t>
      </w:r>
    </w:p>
  </w:footnote>
  <w:footnote w:id="1397">
    <w:p w14:paraId="75B433BC" w14:textId="68050153" w:rsidR="008760DA" w:rsidRDefault="008760DA" w:rsidP="00285819">
      <w:pPr>
        <w:pStyle w:val="a7"/>
        <w:rPr>
          <w:rtl/>
        </w:rPr>
      </w:pPr>
      <w:r>
        <w:rPr>
          <w:rStyle w:val="a9"/>
        </w:rPr>
        <w:footnoteRef/>
      </w:r>
      <w:r>
        <w:rPr>
          <w:rtl/>
        </w:rPr>
        <w:t xml:space="preserve"> </w:t>
      </w:r>
      <w:r w:rsidRPr="008760DA">
        <w:rPr>
          <w:rFonts w:cs="Arial"/>
          <w:rtl/>
        </w:rPr>
        <w:t>שמתיר סילוקו ואוסר חזרתו</w:t>
      </w:r>
      <w:r>
        <w:rPr>
          <w:rFonts w:hint="cs"/>
          <w:rtl/>
        </w:rPr>
        <w:t>, רש"י.</w:t>
      </w:r>
    </w:p>
  </w:footnote>
  <w:footnote w:id="1398">
    <w:p w14:paraId="2C2D6EDA" w14:textId="3F7B9D89" w:rsidR="003065FB" w:rsidRDefault="003065FB" w:rsidP="00285819">
      <w:pPr>
        <w:pStyle w:val="a7"/>
      </w:pPr>
      <w:r>
        <w:rPr>
          <w:rStyle w:val="a9"/>
        </w:rPr>
        <w:footnoteRef/>
      </w:r>
      <w:r>
        <w:rPr>
          <w:rtl/>
        </w:rPr>
        <w:t xml:space="preserve"> </w:t>
      </w:r>
      <w:r w:rsidRPr="00F63421">
        <w:rPr>
          <w:rFonts w:cs="Arial"/>
          <w:rtl/>
        </w:rPr>
        <w:t>הילכך נוטלין</w:t>
      </w:r>
      <w:r w:rsidR="00E25F07">
        <w:rPr>
          <w:rFonts w:cs="Arial" w:hint="cs"/>
          <w:rtl/>
        </w:rPr>
        <w:t>,</w:t>
      </w:r>
      <w:r w:rsidRPr="00F63421">
        <w:rPr>
          <w:rFonts w:cs="Arial"/>
          <w:rtl/>
        </w:rPr>
        <w:t xml:space="preserve"> ומיהו אין מחזירין מדרבנן</w:t>
      </w:r>
      <w:r>
        <w:rPr>
          <w:rFonts w:cs="Arial" w:hint="cs"/>
          <w:rtl/>
        </w:rPr>
        <w:t>, רש"י.</w:t>
      </w:r>
    </w:p>
  </w:footnote>
  <w:footnote w:id="1399">
    <w:p w14:paraId="7FF2EF0A" w14:textId="6A865BC6" w:rsidR="00E25F07" w:rsidRDefault="00E25F07" w:rsidP="00285819">
      <w:pPr>
        <w:pStyle w:val="a7"/>
      </w:pPr>
      <w:r>
        <w:rPr>
          <w:rStyle w:val="a9"/>
        </w:rPr>
        <w:footnoteRef/>
      </w:r>
      <w:r>
        <w:rPr>
          <w:rtl/>
        </w:rPr>
        <w:t xml:space="preserve"> </w:t>
      </w:r>
      <w:r w:rsidRPr="00F63421">
        <w:rPr>
          <w:rFonts w:cs="Arial"/>
          <w:rtl/>
        </w:rPr>
        <w:t>בחזקה בסכין ויתדות והוה ליה גמר מלאכה וחייב משום מכה בפטיש</w:t>
      </w:r>
      <w:r>
        <w:rPr>
          <w:rFonts w:cs="Arial" w:hint="cs"/>
          <w:rtl/>
        </w:rPr>
        <w:t>, רש"י.</w:t>
      </w:r>
    </w:p>
  </w:footnote>
  <w:footnote w:id="1400">
    <w:p w14:paraId="31A3D660" w14:textId="631ACE88" w:rsidR="00354EDA" w:rsidRDefault="00354EDA" w:rsidP="00285819">
      <w:pPr>
        <w:pStyle w:val="a7"/>
      </w:pPr>
      <w:r>
        <w:rPr>
          <w:rStyle w:val="a9"/>
        </w:rPr>
        <w:footnoteRef/>
      </w:r>
      <w:r>
        <w:rPr>
          <w:rtl/>
        </w:rPr>
        <w:t xml:space="preserve"> </w:t>
      </w:r>
      <w:r w:rsidRPr="00F63421">
        <w:rPr>
          <w:rFonts w:cs="Arial"/>
          <w:rtl/>
        </w:rPr>
        <w:t>ותמה אני למה הוצרכו לגזירה שמא יתקע במה שמחובר לקרקע</w:t>
      </w:r>
      <w:r>
        <w:rPr>
          <w:rFonts w:cs="Arial" w:hint="cs"/>
          <w:rtl/>
        </w:rPr>
        <w:t>,</w:t>
      </w:r>
      <w:r w:rsidRPr="00F63421">
        <w:rPr>
          <w:rFonts w:cs="Arial"/>
          <w:rtl/>
        </w:rPr>
        <w:t xml:space="preserve"> שהרי בלא תקיעה חייב משום בונה כמבואר פ</w:t>
      </w:r>
      <w:r>
        <w:rPr>
          <w:rFonts w:cs="Arial" w:hint="cs"/>
          <w:rtl/>
        </w:rPr>
        <w:t>"</w:t>
      </w:r>
      <w:r w:rsidRPr="00F63421">
        <w:rPr>
          <w:rFonts w:cs="Arial"/>
          <w:rtl/>
        </w:rPr>
        <w:t>י (הי"ד)</w:t>
      </w:r>
      <w:r>
        <w:rPr>
          <w:rFonts w:cs="Arial" w:hint="cs"/>
          <w:rtl/>
        </w:rPr>
        <w:t xml:space="preserve">, </w:t>
      </w:r>
      <w:r w:rsidRPr="00E82DF9">
        <w:rPr>
          <w:rFonts w:cs="Arial" w:hint="cs"/>
          <w:b/>
          <w:bCs/>
          <w:rtl/>
        </w:rPr>
        <w:t>הה"מ</w:t>
      </w:r>
      <w:r>
        <w:rPr>
          <w:rFonts w:cs="Arial" w:hint="cs"/>
          <w:rtl/>
        </w:rPr>
        <w:t xml:space="preserve"> (פכ"ב הכ"ה).</w:t>
      </w:r>
      <w:r w:rsidRPr="00F63421">
        <w:rPr>
          <w:rFonts w:cs="Arial"/>
          <w:rtl/>
        </w:rPr>
        <w:t xml:space="preserve"> </w:t>
      </w:r>
      <w:r w:rsidR="00561C11">
        <w:rPr>
          <w:rFonts w:cs="Arial" w:hint="cs"/>
          <w:rtl/>
        </w:rPr>
        <w:t xml:space="preserve">וכתב </w:t>
      </w:r>
      <w:r w:rsidR="00561C11" w:rsidRPr="00561C11">
        <w:rPr>
          <w:rFonts w:cs="Arial" w:hint="cs"/>
          <w:b/>
          <w:bCs/>
          <w:rtl/>
        </w:rPr>
        <w:t>הב"י</w:t>
      </w:r>
      <w:r w:rsidR="00561C11">
        <w:rPr>
          <w:rFonts w:cs="Arial" w:hint="cs"/>
          <w:rtl/>
        </w:rPr>
        <w:t xml:space="preserve"> דיש </w:t>
      </w:r>
      <w:r w:rsidRPr="00F63421">
        <w:rPr>
          <w:rFonts w:cs="Arial"/>
          <w:rtl/>
        </w:rPr>
        <w:t>לומר דכיון דכלים הם</w:t>
      </w:r>
      <w:r w:rsidR="00E82DF9">
        <w:rPr>
          <w:rFonts w:cs="Arial" w:hint="cs"/>
          <w:sz w:val="16"/>
          <w:szCs w:val="16"/>
          <w:rtl/>
        </w:rPr>
        <w:t xml:space="preserve"> {הדלתות שמחוברות לקרקע, כמו דלת לול או בית}</w:t>
      </w:r>
      <w:r w:rsidR="00E82DF9">
        <w:rPr>
          <w:rFonts w:cs="Arial" w:hint="cs"/>
          <w:rtl/>
        </w:rPr>
        <w:t>,</w:t>
      </w:r>
      <w:r w:rsidRPr="00F63421">
        <w:rPr>
          <w:rFonts w:cs="Arial"/>
          <w:rtl/>
        </w:rPr>
        <w:t xml:space="preserve"> אע</w:t>
      </w:r>
      <w:r>
        <w:rPr>
          <w:rFonts w:cs="Arial" w:hint="cs"/>
          <w:rtl/>
        </w:rPr>
        <w:t>"</w:t>
      </w:r>
      <w:r w:rsidRPr="00F63421">
        <w:rPr>
          <w:rFonts w:cs="Arial"/>
          <w:rtl/>
        </w:rPr>
        <w:t>ג דמחוברים לקרקע הם</w:t>
      </w:r>
      <w:r>
        <w:rPr>
          <w:rFonts w:cs="Arial" w:hint="cs"/>
          <w:rtl/>
        </w:rPr>
        <w:t>,</w:t>
      </w:r>
      <w:r w:rsidRPr="00F63421">
        <w:rPr>
          <w:rFonts w:cs="Arial"/>
          <w:rtl/>
        </w:rPr>
        <w:t xml:space="preserve"> לא פסיקא לן מילתא למימר דמשום דמחברי בארעא אית בהו בנין וסתירה</w:t>
      </w:r>
      <w:r>
        <w:rPr>
          <w:rFonts w:cs="Arial" w:hint="cs"/>
          <w:rtl/>
        </w:rPr>
        <w:t>.</w:t>
      </w:r>
      <w:r w:rsidRPr="00F63421">
        <w:rPr>
          <w:rFonts w:cs="Arial"/>
          <w:rtl/>
        </w:rPr>
        <w:t xml:space="preserve"> ומכל מקום אפשר למימר הכי</w:t>
      </w:r>
      <w:r>
        <w:rPr>
          <w:rFonts w:cs="Arial" w:hint="cs"/>
          <w:rtl/>
        </w:rPr>
        <w:t>,</w:t>
      </w:r>
      <w:r w:rsidRPr="00F63421">
        <w:rPr>
          <w:rFonts w:cs="Arial"/>
          <w:rtl/>
        </w:rPr>
        <w:t xml:space="preserve"> והיינו דאמרינן קסבר כיון דמחברי בארעא וכו'</w:t>
      </w:r>
      <w:r>
        <w:rPr>
          <w:rFonts w:cs="Arial" w:hint="cs"/>
          <w:rtl/>
        </w:rPr>
        <w:t>,</w:t>
      </w:r>
      <w:r w:rsidRPr="00F63421">
        <w:rPr>
          <w:rFonts w:cs="Arial"/>
          <w:rtl/>
        </w:rPr>
        <w:t xml:space="preserve"> כלומר אפשר למימר דסבר הכי</w:t>
      </w:r>
      <w:r>
        <w:rPr>
          <w:rFonts w:cs="Arial" w:hint="cs"/>
          <w:rtl/>
        </w:rPr>
        <w:t>,</w:t>
      </w:r>
      <w:r w:rsidRPr="00F63421">
        <w:rPr>
          <w:rFonts w:cs="Arial"/>
          <w:rtl/>
        </w:rPr>
        <w:t xml:space="preserve"> וכי אסיקנא גזירה שמא יתקע תו לא צריכין לטעמא דכיון דמחברי בארעא</w:t>
      </w:r>
      <w:r w:rsidR="00561C11">
        <w:rPr>
          <w:rFonts w:cs="Arial" w:hint="cs"/>
          <w:rtl/>
        </w:rPr>
        <w:t>.</w:t>
      </w:r>
      <w:r w:rsidR="00670602">
        <w:rPr>
          <w:rFonts w:hint="cs"/>
          <w:rtl/>
        </w:rPr>
        <w:t xml:space="preserve"> עכ"ל. </w:t>
      </w:r>
      <w:r w:rsidR="00D37022" w:rsidRPr="00D37022">
        <w:rPr>
          <w:rFonts w:hint="cs"/>
          <w:sz w:val="16"/>
          <w:szCs w:val="16"/>
          <w:rtl/>
        </w:rPr>
        <w:t>(</w:t>
      </w:r>
      <w:r w:rsidR="00670602" w:rsidRPr="00D37022">
        <w:rPr>
          <w:rFonts w:hint="cs"/>
          <w:sz w:val="16"/>
          <w:szCs w:val="16"/>
          <w:rtl/>
        </w:rPr>
        <w:t xml:space="preserve">ואולי אפשר לתרץ את דברי הרמב"ם (וממילא גם את דברי הרי"ף, ובכך להסביר גם את דברי השו"ע) שהמציאות שונה בין מכסה של בור ודות (פ"י הי"ד) לבין דלת של לול (פכ"ב הכ"ה). במכסה של בור בזמנם (וכמו בזמננו) לא היה צריך לתקוע אותו בתוך הצירים כדי שיחזיק, אלא מכניס את המכסה לצירים </w:t>
      </w:r>
      <w:r w:rsidR="000F3B5C" w:rsidRPr="00D37022">
        <w:rPr>
          <w:rFonts w:hint="cs"/>
          <w:sz w:val="16"/>
          <w:szCs w:val="16"/>
          <w:rtl/>
        </w:rPr>
        <w:t xml:space="preserve">(מצד אחד לצידו השני) </w:t>
      </w:r>
      <w:r w:rsidR="00670602" w:rsidRPr="00D37022">
        <w:rPr>
          <w:rFonts w:hint="cs"/>
          <w:sz w:val="16"/>
          <w:szCs w:val="16"/>
          <w:rtl/>
        </w:rPr>
        <w:t>וזה לא נשמט אם לא יוציאו אותו במתכו</w:t>
      </w:r>
      <w:r w:rsidR="000F3B5C" w:rsidRPr="00D37022">
        <w:rPr>
          <w:rFonts w:hint="cs"/>
          <w:sz w:val="16"/>
          <w:szCs w:val="16"/>
          <w:rtl/>
        </w:rPr>
        <w:t>ו</w:t>
      </w:r>
      <w:r w:rsidR="00670602" w:rsidRPr="00D37022">
        <w:rPr>
          <w:rFonts w:hint="cs"/>
          <w:sz w:val="16"/>
          <w:szCs w:val="16"/>
          <w:rtl/>
        </w:rPr>
        <w:t xml:space="preserve">ן מהצירים. אך דלת של לול </w:t>
      </w:r>
      <w:r w:rsidR="000F3B5C" w:rsidRPr="00D37022">
        <w:rPr>
          <w:rFonts w:hint="cs"/>
          <w:sz w:val="16"/>
          <w:szCs w:val="16"/>
          <w:rtl/>
        </w:rPr>
        <w:t xml:space="preserve">של זמנם היה </w:t>
      </w:r>
      <w:r w:rsidR="00670602" w:rsidRPr="00D37022">
        <w:rPr>
          <w:rFonts w:hint="cs"/>
          <w:sz w:val="16"/>
          <w:szCs w:val="16"/>
          <w:rtl/>
        </w:rPr>
        <w:t>חייב לתקוע את הציר העליון במקומו כדי ש</w:t>
      </w:r>
      <w:r w:rsidR="000F3B5C" w:rsidRPr="00D37022">
        <w:rPr>
          <w:rFonts w:hint="cs"/>
          <w:sz w:val="16"/>
          <w:szCs w:val="16"/>
          <w:rtl/>
        </w:rPr>
        <w:t>הדלת לא ת</w:t>
      </w:r>
      <w:r w:rsidR="00670602" w:rsidRPr="00D37022">
        <w:rPr>
          <w:rFonts w:hint="cs"/>
          <w:sz w:val="16"/>
          <w:szCs w:val="16"/>
          <w:rtl/>
        </w:rPr>
        <w:t xml:space="preserve">צא החוצה, ואם לא יתקעו </w:t>
      </w:r>
      <w:r w:rsidR="00670602" w:rsidRPr="00D37022">
        <w:rPr>
          <w:sz w:val="16"/>
          <w:szCs w:val="16"/>
          <w:rtl/>
        </w:rPr>
        <w:t>–</w:t>
      </w:r>
      <w:r w:rsidR="00670602" w:rsidRPr="00D37022">
        <w:rPr>
          <w:rFonts w:hint="cs"/>
          <w:sz w:val="16"/>
          <w:szCs w:val="16"/>
          <w:rtl/>
        </w:rPr>
        <w:t xml:space="preserve"> הדלת תצא ממקומה בהזזה הראשונה. ומכיון שכן במכסה הבור</w:t>
      </w:r>
      <w:r w:rsidR="000F3B5C" w:rsidRPr="00D37022">
        <w:rPr>
          <w:rFonts w:hint="cs"/>
          <w:sz w:val="16"/>
          <w:szCs w:val="16"/>
          <w:rtl/>
        </w:rPr>
        <w:t xml:space="preserve"> </w:t>
      </w:r>
      <w:r w:rsidR="000F3B5C" w:rsidRPr="00D37022">
        <w:rPr>
          <w:sz w:val="16"/>
          <w:szCs w:val="16"/>
          <w:rtl/>
        </w:rPr>
        <w:t>–</w:t>
      </w:r>
      <w:r w:rsidR="000F3B5C" w:rsidRPr="00D37022">
        <w:rPr>
          <w:rFonts w:hint="cs"/>
          <w:sz w:val="16"/>
          <w:szCs w:val="16"/>
          <w:rtl/>
        </w:rPr>
        <w:t xml:space="preserve"> מיד כשמכניס לציר חייב משום בונה, ולא שייך לומר גזרה שמא יתקע כי אין דרך לתקוע שם. אבל בדלת של לול גם אם אני אחזיר בשבת לצירים היא לא תחזיק אם לא אתקע, וממילא לא אעבור על בונה כל עוד לא אתקע, ואם אתקע אעבור על בונה (כמו שכתב הרמב"ם בתחילת דבריו), וממילא שייך רק לגזור שמא יתקע. ואז מובן התירוץ של הב"י שהתירץ של רבא (שמא יתקע) חוזר על הכל, גם על שידה וכו' וגם על דלת של לול. אלא שיש לשאול למה הרמב"ם כתב גזירה שמא יתקע גם לגבי שידה וכו', והרי אין בניין וסתירה בכלים (</w:t>
      </w:r>
      <w:r w:rsidR="00D37022" w:rsidRPr="00D37022">
        <w:rPr>
          <w:rFonts w:hint="cs"/>
          <w:sz w:val="16"/>
          <w:szCs w:val="16"/>
          <w:rtl/>
        </w:rPr>
        <w:t>פכ"ב משבת הכ"ו). אלא יש לתרץ כמו שתירץ הר"ן את דברי הרי"ף דבהכי (עשיה מחדש או מעשה אומן) יש בנין בכלים. א"נ יש לתרץ שהרמב"ם סמך על מה שכתב בהכ"ו שאין בנין בכלים ולכן חילק וכתב 'אבל דלת שידה וכו'...', שבאלו לא כיון באומרו שהתוקע חייב משום בונה</w:t>
      </w:r>
      <w:r w:rsidR="00D37022">
        <w:rPr>
          <w:rFonts w:hint="cs"/>
          <w:sz w:val="16"/>
          <w:szCs w:val="16"/>
          <w:rtl/>
        </w:rPr>
        <w:t>. וממילא כך יש לפרש את דברי השו"ע)</w:t>
      </w:r>
    </w:p>
  </w:footnote>
  <w:footnote w:id="1401">
    <w:p w14:paraId="797BFF03" w14:textId="5A507685" w:rsidR="007D2EE8" w:rsidRDefault="007D2EE8" w:rsidP="00285819">
      <w:pPr>
        <w:pStyle w:val="a7"/>
      </w:pPr>
      <w:r>
        <w:rPr>
          <w:rStyle w:val="a9"/>
        </w:rPr>
        <w:footnoteRef/>
      </w:r>
      <w:r>
        <w:rPr>
          <w:rtl/>
        </w:rPr>
        <w:t xml:space="preserve"> </w:t>
      </w:r>
      <w:r w:rsidRPr="007D2EE8">
        <w:rPr>
          <w:rFonts w:cs="Arial"/>
          <w:rtl/>
        </w:rPr>
        <w:t>לאו משום דיש בנין בכלים</w:t>
      </w:r>
      <w:r w:rsidR="006043D3">
        <w:rPr>
          <w:rFonts w:cs="Arial" w:hint="cs"/>
          <w:rtl/>
        </w:rPr>
        <w:t>,</w:t>
      </w:r>
      <w:r w:rsidRPr="007D2EE8">
        <w:rPr>
          <w:rFonts w:cs="Arial"/>
          <w:rtl/>
        </w:rPr>
        <w:t xml:space="preserve"> אלא משום גזירה שמא יתקע וכדמפרש ואזיל</w:t>
      </w:r>
      <w:r w:rsidR="006043D3">
        <w:rPr>
          <w:rFonts w:cs="Arial" w:hint="cs"/>
          <w:rtl/>
        </w:rPr>
        <w:t>,</w:t>
      </w:r>
      <w:r w:rsidRPr="007D2EE8">
        <w:rPr>
          <w:rFonts w:cs="Arial"/>
          <w:rtl/>
        </w:rPr>
        <w:t xml:space="preserve"> כלומר שמא יתקע מסמר או יתד בחזקה וחייב משום מכה בפטיש</w:t>
      </w:r>
      <w:r>
        <w:rPr>
          <w:rFonts w:cs="Arial" w:hint="cs"/>
          <w:rtl/>
        </w:rPr>
        <w:t>.</w:t>
      </w:r>
      <w:r w:rsidRPr="007D2EE8">
        <w:rPr>
          <w:rFonts w:cs="Arial"/>
          <w:rtl/>
        </w:rPr>
        <w:t xml:space="preserve"> א"נ משום בונה</w:t>
      </w:r>
      <w:r>
        <w:rPr>
          <w:rFonts w:cs="Arial" w:hint="cs"/>
          <w:rtl/>
        </w:rPr>
        <w:t>,</w:t>
      </w:r>
      <w:r w:rsidRPr="007D2EE8">
        <w:rPr>
          <w:rFonts w:cs="Arial"/>
          <w:rtl/>
        </w:rPr>
        <w:t xml:space="preserve"> דכי אמרינן </w:t>
      </w:r>
      <w:r w:rsidR="006043D3">
        <w:rPr>
          <w:rFonts w:cs="Arial" w:hint="cs"/>
          <w:rtl/>
        </w:rPr>
        <w:t>(</w:t>
      </w:r>
      <w:r w:rsidRPr="007D2EE8">
        <w:rPr>
          <w:rFonts w:cs="Arial"/>
          <w:rtl/>
        </w:rPr>
        <w:t>ביצה כב</w:t>
      </w:r>
      <w:r>
        <w:rPr>
          <w:rFonts w:cs="Arial" w:hint="cs"/>
          <w:rtl/>
        </w:rPr>
        <w:t>.</w:t>
      </w:r>
      <w:r w:rsidR="006043D3">
        <w:rPr>
          <w:rFonts w:cs="Arial" w:hint="cs"/>
          <w:rtl/>
        </w:rPr>
        <w:t>)</w:t>
      </w:r>
      <w:r w:rsidRPr="007D2EE8">
        <w:rPr>
          <w:rFonts w:cs="Arial"/>
          <w:rtl/>
        </w:rPr>
        <w:t xml:space="preserve"> אין בנין בכלים ה"מ בכלי שנתפרק ואין צריך אומן בחזרתו אבל עושה כלי מתחלתו</w:t>
      </w:r>
      <w:r w:rsidR="006043D3">
        <w:rPr>
          <w:rFonts w:cs="Arial" w:hint="cs"/>
          <w:rtl/>
        </w:rPr>
        <w:t>,</w:t>
      </w:r>
      <w:r w:rsidRPr="007D2EE8">
        <w:rPr>
          <w:rFonts w:cs="Arial"/>
          <w:rtl/>
        </w:rPr>
        <w:t xml:space="preserve"> א"נ כלי שנתפרק וצריך אומן בחזרתו</w:t>
      </w:r>
      <w:r w:rsidR="006043D3">
        <w:rPr>
          <w:rFonts w:cs="Arial" w:hint="cs"/>
          <w:rtl/>
        </w:rPr>
        <w:t xml:space="preserve"> -</w:t>
      </w:r>
      <w:r w:rsidRPr="007D2EE8">
        <w:rPr>
          <w:rFonts w:cs="Arial"/>
          <w:rtl/>
        </w:rPr>
        <w:t xml:space="preserve"> כל שהחזירו לא מיקרי בנין בכלים אלא עושה כלי מיקרי ומחייב משום בונה</w:t>
      </w:r>
      <w:r w:rsidR="006043D3">
        <w:rPr>
          <w:rFonts w:cs="Arial" w:hint="cs"/>
          <w:rtl/>
        </w:rPr>
        <w:t>,</w:t>
      </w:r>
      <w:r w:rsidRPr="007D2EE8">
        <w:rPr>
          <w:rFonts w:cs="Arial"/>
          <w:rtl/>
        </w:rPr>
        <w:t xml:space="preserve"> ומש"ה חיישינן לשמא יתקע</w:t>
      </w:r>
      <w:r w:rsidR="006043D3">
        <w:rPr>
          <w:rFonts w:cs="Arial" w:hint="cs"/>
          <w:rtl/>
        </w:rPr>
        <w:t>,</w:t>
      </w:r>
      <w:r w:rsidRPr="007D2EE8">
        <w:rPr>
          <w:rFonts w:cs="Arial"/>
          <w:rtl/>
        </w:rPr>
        <w:t xml:space="preserve"> דכל כה"ג מלאכת אומן הוא</w:t>
      </w:r>
      <w:r>
        <w:rPr>
          <w:rFonts w:cs="Arial" w:hint="cs"/>
          <w:rtl/>
        </w:rPr>
        <w:t>,</w:t>
      </w:r>
      <w:r w:rsidRPr="007D2EE8">
        <w:rPr>
          <w:rFonts w:cs="Arial"/>
          <w:rtl/>
        </w:rPr>
        <w:t xml:space="preserve"> וכבר כתבתי זה למעלה בפ' הבונה בס"ד</w:t>
      </w:r>
      <w:r>
        <w:rPr>
          <w:rFonts w:cs="Arial" w:hint="cs"/>
          <w:rtl/>
        </w:rPr>
        <w:t>, ר"ן (מז. מדפה"ר ד"ה ולא).</w:t>
      </w:r>
    </w:p>
  </w:footnote>
  <w:footnote w:id="1402">
    <w:p w14:paraId="13F5D473" w14:textId="031E91FA" w:rsidR="00354EDA" w:rsidRDefault="00354EDA" w:rsidP="00285819">
      <w:pPr>
        <w:pStyle w:val="a7"/>
        <w:rPr>
          <w:rtl/>
        </w:rPr>
      </w:pPr>
      <w:r>
        <w:rPr>
          <w:rStyle w:val="a9"/>
        </w:rPr>
        <w:footnoteRef/>
      </w:r>
      <w:r>
        <w:rPr>
          <w:rtl/>
        </w:rPr>
        <w:t xml:space="preserve"> </w:t>
      </w:r>
      <w:r w:rsidRPr="00F63421">
        <w:rPr>
          <w:rFonts w:cs="Arial"/>
          <w:rtl/>
        </w:rPr>
        <w:t>ואע</w:t>
      </w:r>
      <w:r>
        <w:rPr>
          <w:rFonts w:cs="Arial" w:hint="cs"/>
          <w:rtl/>
        </w:rPr>
        <w:t>"</w:t>
      </w:r>
      <w:r w:rsidRPr="00F63421">
        <w:rPr>
          <w:rFonts w:cs="Arial"/>
          <w:rtl/>
        </w:rPr>
        <w:t>פ שהרי"ף (מז.) סתם וכתב גזירה שמא יתקע</w:t>
      </w:r>
      <w:r>
        <w:rPr>
          <w:rFonts w:cs="Arial" w:hint="cs"/>
          <w:rtl/>
        </w:rPr>
        <w:t>,</w:t>
      </w:r>
      <w:r w:rsidRPr="00F63421">
        <w:rPr>
          <w:rFonts w:cs="Arial"/>
          <w:rtl/>
        </w:rPr>
        <w:t xml:space="preserve"> כבר כתב הר"ן (ד"ה של לול) דלא קאי אלא אדלת שידה תיבה ומגדל דאין מחזירין</w:t>
      </w:r>
      <w:r>
        <w:rPr>
          <w:rFonts w:cs="Arial" w:hint="cs"/>
          <w:rtl/>
        </w:rPr>
        <w:t>,</w:t>
      </w:r>
      <w:r w:rsidRPr="00F63421">
        <w:rPr>
          <w:rFonts w:cs="Arial"/>
          <w:rtl/>
        </w:rPr>
        <w:t xml:space="preserve"> אבל דלת של לול של תרנגולין הוי טעמא משום דכיון דמחובר לקרקע אית ביה בנין וסתירה</w:t>
      </w:r>
      <w:r w:rsidR="00E82DF9">
        <w:rPr>
          <w:rFonts w:cs="Arial" w:hint="cs"/>
          <w:rtl/>
        </w:rPr>
        <w:t xml:space="preserve"> </w:t>
      </w:r>
      <w:r w:rsidR="00E82DF9" w:rsidRPr="00E82DF9">
        <w:rPr>
          <w:rFonts w:hint="cs"/>
          <w:color w:val="E36C0A" w:themeColor="accent6" w:themeShade="BF"/>
          <w:sz w:val="16"/>
          <w:szCs w:val="16"/>
          <w:rtl/>
        </w:rPr>
        <w:t>(וכ"פ בשו"ע)</w:t>
      </w:r>
      <w:r>
        <w:rPr>
          <w:rFonts w:cs="Arial" w:hint="cs"/>
          <w:rtl/>
        </w:rPr>
        <w:t>.</w:t>
      </w:r>
      <w:r w:rsidRPr="00F63421">
        <w:rPr>
          <w:rFonts w:cs="Arial"/>
          <w:rtl/>
        </w:rPr>
        <w:t xml:space="preserve"> אבל הה</w:t>
      </w:r>
      <w:r>
        <w:rPr>
          <w:rFonts w:cs="Arial" w:hint="cs"/>
          <w:rtl/>
        </w:rPr>
        <w:t>"</w:t>
      </w:r>
      <w:r w:rsidRPr="00F63421">
        <w:rPr>
          <w:rFonts w:cs="Arial"/>
          <w:rtl/>
        </w:rPr>
        <w:t xml:space="preserve">מ </w:t>
      </w:r>
      <w:r>
        <w:rPr>
          <w:rFonts w:cs="Arial" w:hint="cs"/>
          <w:rtl/>
        </w:rPr>
        <w:t xml:space="preserve">(פכ"ב הכ"ה) </w:t>
      </w:r>
      <w:r w:rsidRPr="00F63421">
        <w:rPr>
          <w:rFonts w:cs="Arial"/>
          <w:rtl/>
        </w:rPr>
        <w:t>סובר דקאי אף אלול של תרנגולים</w:t>
      </w:r>
      <w:r>
        <w:rPr>
          <w:rFonts w:cs="Arial" w:hint="cs"/>
          <w:rtl/>
        </w:rPr>
        <w:t>, ב"י.</w:t>
      </w:r>
    </w:p>
  </w:footnote>
  <w:footnote w:id="1403">
    <w:p w14:paraId="25053E25" w14:textId="4571EFE8" w:rsidR="007D2EE8" w:rsidRDefault="007D2EE8" w:rsidP="00285819">
      <w:pPr>
        <w:pStyle w:val="a7"/>
      </w:pPr>
      <w:r>
        <w:rPr>
          <w:rStyle w:val="a9"/>
        </w:rPr>
        <w:footnoteRef/>
      </w:r>
      <w:r>
        <w:rPr>
          <w:rtl/>
        </w:rPr>
        <w:t xml:space="preserve"> </w:t>
      </w:r>
      <w:r w:rsidRPr="007D2EE8">
        <w:rPr>
          <w:rFonts w:cs="Arial"/>
          <w:rtl/>
        </w:rPr>
        <w:t>צ"ל דלול דהכא מיירי כגון שבנאה מתחלה במחובר לקרקע דאם היתה מתחלה כלי בפ"ע אלא שחיברה אח"כ לקרקע דינו כמ"ש בסעיף יו"ד בכלי המחובר לקרקע בטיט ע"ש כ"כ בספר תו"ש אבל בפמ"ג כתב דשאני התם דהוא כיסוי בעלמא אבל הכא דיש ציר להדלת חמיר טפי ואפילו כשיש בית אחיזה להדלת אסור ע"ש</w:t>
      </w:r>
      <w:r>
        <w:rPr>
          <w:rFonts w:cs="Arial" w:hint="cs"/>
          <w:rtl/>
        </w:rPr>
        <w:t>, משנ"ב (סק"מ).</w:t>
      </w:r>
    </w:p>
  </w:footnote>
  <w:footnote w:id="1404">
    <w:p w14:paraId="00285465" w14:textId="32FF64B7" w:rsidR="007D2EE8" w:rsidRDefault="007D2EE8" w:rsidP="00285819">
      <w:pPr>
        <w:pStyle w:val="a7"/>
      </w:pPr>
      <w:r>
        <w:rPr>
          <w:rStyle w:val="a9"/>
        </w:rPr>
        <w:footnoteRef/>
      </w:r>
      <w:r>
        <w:rPr>
          <w:rtl/>
        </w:rPr>
        <w:t xml:space="preserve"> </w:t>
      </w:r>
      <w:r w:rsidRPr="007D2EE8">
        <w:rPr>
          <w:rFonts w:cs="Arial"/>
          <w:rtl/>
        </w:rPr>
        <w:t>ומחייב משום בונה וא"כ גם החלונות אסור ליטול ולהחזיר דמחוברין הם ואפילו ע"י א"י אסור משום שבות [ט"ז לקמן בסימן שי"ג ע"ש מה שנכתוב בבה"ל בזה]</w:t>
      </w:r>
      <w:r>
        <w:rPr>
          <w:rFonts w:cs="Arial" w:hint="cs"/>
          <w:rtl/>
        </w:rPr>
        <w:t>, משנ"ב (סקל"ט).</w:t>
      </w:r>
    </w:p>
  </w:footnote>
  <w:footnote w:id="1405">
    <w:p w14:paraId="0A3D0215" w14:textId="4A7B29FA" w:rsidR="00CF0ECB" w:rsidRPr="000908D5" w:rsidRDefault="00CF0ECB" w:rsidP="00285819">
      <w:pPr>
        <w:pStyle w:val="a7"/>
        <w:rPr>
          <w:rFonts w:cs="Arial"/>
        </w:rPr>
      </w:pPr>
      <w:r>
        <w:rPr>
          <w:rStyle w:val="a9"/>
        </w:rPr>
        <w:footnoteRef/>
      </w:r>
      <w:r>
        <w:rPr>
          <w:rtl/>
        </w:rPr>
        <w:t xml:space="preserve"> </w:t>
      </w:r>
      <w:r w:rsidR="00B167A2" w:rsidRPr="00F63421">
        <w:rPr>
          <w:rFonts w:cs="Arial"/>
          <w:rtl/>
        </w:rPr>
        <w:t>ופירש רש"י (ד"ה א"ר יוחנן) שיהיה ראוי לתשמיש אחר</w:t>
      </w:r>
      <w:r w:rsidR="00B167A2">
        <w:rPr>
          <w:rFonts w:cs="Arial" w:hint="cs"/>
          <w:rtl/>
        </w:rPr>
        <w:t>.</w:t>
      </w:r>
      <w:r w:rsidR="00B167A2" w:rsidRPr="00F63421">
        <w:rPr>
          <w:rFonts w:cs="Arial"/>
          <w:rtl/>
        </w:rPr>
        <w:t xml:space="preserve"> והקשו עליו התוספות (ד"ה וכי) דאם כן פשיטא</w:t>
      </w:r>
      <w:r w:rsidR="00B167A2">
        <w:rPr>
          <w:rFonts w:cs="Arial" w:hint="cs"/>
          <w:rtl/>
        </w:rPr>
        <w:t>.</w:t>
      </w:r>
      <w:r w:rsidR="00B167A2" w:rsidRPr="00F63421">
        <w:rPr>
          <w:rFonts w:cs="Arial"/>
          <w:rtl/>
        </w:rPr>
        <w:t xml:space="preserve"> אלא נראה לר</w:t>
      </w:r>
      <w:r w:rsidR="00B167A2">
        <w:rPr>
          <w:rFonts w:cs="Arial" w:hint="cs"/>
          <w:rtl/>
        </w:rPr>
        <w:t>"</w:t>
      </w:r>
      <w:r w:rsidR="00B167A2" w:rsidRPr="00F63421">
        <w:rPr>
          <w:rFonts w:cs="Arial"/>
          <w:rtl/>
        </w:rPr>
        <w:t>ת דהכי פירושו דאיכא תורת כלי עליהם שתיקנו ועשה בו מעשה והכינו לכך אפילו אינו ראוי לדבר אחר</w:t>
      </w:r>
      <w:r w:rsidR="00B167A2">
        <w:rPr>
          <w:rFonts w:cs="Arial" w:hint="cs"/>
          <w:rtl/>
        </w:rPr>
        <w:t>.</w:t>
      </w:r>
      <w:r w:rsidR="00B167A2" w:rsidRPr="00F63421">
        <w:rPr>
          <w:rFonts w:cs="Arial"/>
          <w:rtl/>
        </w:rPr>
        <w:t xml:space="preserve"> וכן נראה שהוא דעת הה</w:t>
      </w:r>
      <w:r w:rsidR="00B167A2">
        <w:rPr>
          <w:rFonts w:cs="Arial" w:hint="cs"/>
          <w:rtl/>
        </w:rPr>
        <w:t>"</w:t>
      </w:r>
      <w:r w:rsidR="00B167A2" w:rsidRPr="00F63421">
        <w:rPr>
          <w:rFonts w:cs="Arial"/>
          <w:rtl/>
        </w:rPr>
        <w:t>מ בפכ"ה (הי"ג)</w:t>
      </w:r>
      <w:r w:rsidR="00B167A2">
        <w:rPr>
          <w:rFonts w:cs="Arial" w:hint="cs"/>
          <w:rtl/>
        </w:rPr>
        <w:t>.</w:t>
      </w:r>
      <w:r w:rsidR="00B167A2" w:rsidRPr="00F63421">
        <w:rPr>
          <w:rFonts w:cs="Arial"/>
          <w:rtl/>
        </w:rPr>
        <w:t xml:space="preserve"> וכ</w:t>
      </w:r>
      <w:r w:rsidR="00B167A2">
        <w:rPr>
          <w:rFonts w:cs="Arial" w:hint="cs"/>
          <w:rtl/>
        </w:rPr>
        <w:t>"</w:t>
      </w:r>
      <w:r w:rsidR="00B167A2" w:rsidRPr="00F63421">
        <w:rPr>
          <w:rFonts w:cs="Arial"/>
          <w:rtl/>
        </w:rPr>
        <w:t>כ הרא"ש בתשובה (כלל כב סי' ח דרך י)</w:t>
      </w:r>
      <w:r w:rsidR="00B167A2">
        <w:rPr>
          <w:rFonts w:cs="Arial" w:hint="cs"/>
          <w:rtl/>
        </w:rPr>
        <w:t xml:space="preserve">, </w:t>
      </w:r>
      <w:r w:rsidR="00B167A2" w:rsidRPr="000908D5">
        <w:rPr>
          <w:rFonts w:cs="Arial" w:hint="cs"/>
          <w:b/>
          <w:bCs/>
          <w:rtl/>
        </w:rPr>
        <w:t>ב"י</w:t>
      </w:r>
      <w:r w:rsidR="00B167A2">
        <w:rPr>
          <w:rFonts w:cs="Arial" w:hint="cs"/>
          <w:rtl/>
        </w:rPr>
        <w:t xml:space="preserve">. </w:t>
      </w:r>
      <w:r w:rsidR="008868B6" w:rsidRPr="00E97D23">
        <w:rPr>
          <w:rFonts w:hint="cs"/>
          <w:color w:val="E36C0A" w:themeColor="accent6" w:themeShade="BF"/>
          <w:rtl/>
        </w:rPr>
        <w:t>(וכ"פ בשו"ע)</w:t>
      </w:r>
    </w:p>
  </w:footnote>
  <w:footnote w:id="1406">
    <w:p w14:paraId="09380E67" w14:textId="7339F5F9" w:rsidR="000908D5" w:rsidRDefault="000908D5" w:rsidP="00285819">
      <w:pPr>
        <w:pStyle w:val="a7"/>
        <w:rPr>
          <w:rtl/>
        </w:rPr>
      </w:pPr>
      <w:r>
        <w:rPr>
          <w:rStyle w:val="a9"/>
        </w:rPr>
        <w:footnoteRef/>
      </w:r>
      <w:r>
        <w:rPr>
          <w:rtl/>
        </w:rPr>
        <w:t xml:space="preserve"> </w:t>
      </w:r>
      <w:r w:rsidRPr="00F63421">
        <w:rPr>
          <w:rFonts w:cs="Arial"/>
          <w:rtl/>
        </w:rPr>
        <w:t>וכתב הר"ן (מט: ד"ה ומסתברא) ומסתברא לי דכי בעינן בכיסוי כלים אע</w:t>
      </w:r>
      <w:r>
        <w:rPr>
          <w:rFonts w:cs="Arial" w:hint="cs"/>
          <w:rtl/>
        </w:rPr>
        <w:t>"</w:t>
      </w:r>
      <w:r w:rsidRPr="00F63421">
        <w:rPr>
          <w:rFonts w:cs="Arial"/>
          <w:rtl/>
        </w:rPr>
        <w:t>ג דלא חברינהו בארעא שיהא תורת כלי עליהם הני מילי שלא נשתמש בהם מבעוד יום</w:t>
      </w:r>
      <w:r>
        <w:rPr>
          <w:rFonts w:cs="Arial" w:hint="cs"/>
          <w:rtl/>
        </w:rPr>
        <w:t>,</w:t>
      </w:r>
      <w:r w:rsidRPr="00F63421">
        <w:rPr>
          <w:rFonts w:cs="Arial"/>
          <w:rtl/>
        </w:rPr>
        <w:t xml:space="preserve"> אבל כל שכבר נשתמש בהם </w:t>
      </w:r>
      <w:r>
        <w:rPr>
          <w:rFonts w:cs="Arial" w:hint="cs"/>
          <w:rtl/>
        </w:rPr>
        <w:t xml:space="preserve">- </w:t>
      </w:r>
      <w:r w:rsidRPr="00F63421">
        <w:rPr>
          <w:rFonts w:cs="Arial"/>
          <w:rtl/>
        </w:rPr>
        <w:t>היינו תורת כלי שלהם</w:t>
      </w:r>
      <w:r>
        <w:rPr>
          <w:rFonts w:cs="Arial" w:hint="cs"/>
          <w:rtl/>
        </w:rPr>
        <w:t>,</w:t>
      </w:r>
      <w:r w:rsidRPr="00F63421">
        <w:rPr>
          <w:rFonts w:cs="Arial"/>
          <w:rtl/>
        </w:rPr>
        <w:t xml:space="preserve"> כדאמרינן בפ</w:t>
      </w:r>
      <w:r w:rsidR="008868B6">
        <w:rPr>
          <w:rFonts w:cs="Arial" w:hint="cs"/>
          <w:rtl/>
        </w:rPr>
        <w:t>'</w:t>
      </w:r>
      <w:r w:rsidRPr="00F63421">
        <w:rPr>
          <w:rFonts w:cs="Arial"/>
          <w:rtl/>
        </w:rPr>
        <w:t xml:space="preserve"> במה טומנין (נ.) בחריות של דקל שייחדן לישיבה</w:t>
      </w:r>
      <w:r>
        <w:rPr>
          <w:rFonts w:hint="cs"/>
          <w:rtl/>
        </w:rPr>
        <w:t>, ב"י.</w:t>
      </w:r>
      <w:r w:rsidRPr="000908D5">
        <w:rPr>
          <w:rFonts w:hint="cs"/>
          <w:color w:val="E36C0A" w:themeColor="accent6" w:themeShade="BF"/>
          <w:rtl/>
        </w:rPr>
        <w:t xml:space="preserve"> </w:t>
      </w:r>
      <w:r w:rsidRPr="00E97D23">
        <w:rPr>
          <w:rFonts w:hint="cs"/>
          <w:color w:val="E36C0A" w:themeColor="accent6" w:themeShade="BF"/>
          <w:rtl/>
        </w:rPr>
        <w:t>(וכ"פ בשו"ע)</w:t>
      </w:r>
      <w:r w:rsidR="008868B6">
        <w:rPr>
          <w:rFonts w:cs="Arial" w:hint="cs"/>
          <w:rtl/>
        </w:rPr>
        <w:t xml:space="preserve">. ועוד כתב </w:t>
      </w:r>
      <w:r w:rsidR="008868B6" w:rsidRPr="000908D5">
        <w:rPr>
          <w:rFonts w:cs="Arial" w:hint="cs"/>
          <w:b/>
          <w:bCs/>
          <w:rtl/>
        </w:rPr>
        <w:t>הב"י</w:t>
      </w:r>
      <w:r w:rsidR="008868B6">
        <w:rPr>
          <w:rFonts w:cs="Arial" w:hint="cs"/>
          <w:rtl/>
        </w:rPr>
        <w:t xml:space="preserve"> שאינו יודע מדוע השמיט הטור תנאי זה </w:t>
      </w:r>
      <w:r w:rsidR="008868B6" w:rsidRPr="008868B6">
        <w:rPr>
          <w:rFonts w:cs="Arial" w:hint="cs"/>
          <w:sz w:val="16"/>
          <w:szCs w:val="16"/>
          <w:rtl/>
        </w:rPr>
        <w:t>(</w:t>
      </w:r>
      <w:r w:rsidR="008868B6" w:rsidRPr="008868B6">
        <w:rPr>
          <w:rFonts w:cs="Arial"/>
          <w:sz w:val="16"/>
          <w:szCs w:val="16"/>
          <w:rtl/>
        </w:rPr>
        <w:t>שי</w:t>
      </w:r>
      <w:r w:rsidR="008868B6" w:rsidRPr="008868B6">
        <w:rPr>
          <w:rFonts w:cs="Arial" w:hint="cs"/>
          <w:sz w:val="16"/>
          <w:szCs w:val="16"/>
          <w:rtl/>
        </w:rPr>
        <w:t>הא</w:t>
      </w:r>
      <w:r w:rsidR="008868B6" w:rsidRPr="008868B6">
        <w:rPr>
          <w:rFonts w:cs="Arial"/>
          <w:sz w:val="16"/>
          <w:szCs w:val="16"/>
          <w:rtl/>
        </w:rPr>
        <w:t xml:space="preserve"> תורת כלי עליהם</w:t>
      </w:r>
      <w:r w:rsidR="008868B6" w:rsidRPr="008868B6">
        <w:rPr>
          <w:rFonts w:cs="Arial" w:hint="cs"/>
          <w:sz w:val="16"/>
          <w:szCs w:val="16"/>
          <w:rtl/>
        </w:rPr>
        <w:t>)</w:t>
      </w:r>
      <w:r w:rsidR="008868B6">
        <w:rPr>
          <w:rFonts w:cs="Arial" w:hint="cs"/>
          <w:rtl/>
        </w:rPr>
        <w:t>.</w:t>
      </w:r>
    </w:p>
  </w:footnote>
  <w:footnote w:id="1407">
    <w:p w14:paraId="2978126D" w14:textId="2E2D4A21" w:rsidR="00364D38" w:rsidRDefault="00364D38" w:rsidP="00285819">
      <w:pPr>
        <w:pStyle w:val="a7"/>
      </w:pPr>
      <w:r>
        <w:rPr>
          <w:rStyle w:val="a9"/>
        </w:rPr>
        <w:footnoteRef/>
      </w:r>
      <w:r>
        <w:rPr>
          <w:rtl/>
        </w:rPr>
        <w:t xml:space="preserve"> </w:t>
      </w:r>
      <w:r w:rsidRPr="00364D38">
        <w:rPr>
          <w:rFonts w:cs="Arial"/>
          <w:rtl/>
        </w:rPr>
        <w:t>בור בחפירה ודות בבנין והוא ג"כ בתוך הקרקע אלא שלמעלה קצת גלוי</w:t>
      </w:r>
      <w:r>
        <w:rPr>
          <w:rFonts w:cs="Arial" w:hint="cs"/>
          <w:rtl/>
        </w:rPr>
        <w:t>, משנ"ב (סקמ"א).</w:t>
      </w:r>
    </w:p>
  </w:footnote>
  <w:footnote w:id="1408">
    <w:p w14:paraId="78B7B50F" w14:textId="2C45A87E" w:rsidR="00364D38" w:rsidRDefault="00364D38" w:rsidP="00285819">
      <w:pPr>
        <w:pStyle w:val="a7"/>
      </w:pPr>
      <w:r>
        <w:rPr>
          <w:rStyle w:val="a9"/>
        </w:rPr>
        <w:footnoteRef/>
      </w:r>
      <w:r>
        <w:rPr>
          <w:rtl/>
        </w:rPr>
        <w:t xml:space="preserve"> </w:t>
      </w:r>
      <w:r w:rsidRPr="00364D38">
        <w:rPr>
          <w:rFonts w:cs="Arial"/>
          <w:rtl/>
        </w:rPr>
        <w:t>אף שתקנם ועשה בהם מעשה המוכיח שעומד לכסות</w:t>
      </w:r>
      <w:r w:rsidR="00D87CF8">
        <w:rPr>
          <w:rFonts w:cs="Arial" w:hint="cs"/>
          <w:rtl/>
        </w:rPr>
        <w:t>,</w:t>
      </w:r>
      <w:r w:rsidRPr="00364D38">
        <w:rPr>
          <w:rFonts w:cs="Arial"/>
          <w:rtl/>
        </w:rPr>
        <w:t xml:space="preserve"> או שמשתמש בהם תמיד לזה דבזה הוסר מעליהם שם מוקצה וכדלקמן בסכ"ב</w:t>
      </w:r>
      <w:r w:rsidR="00D87CF8">
        <w:rPr>
          <w:rFonts w:cs="Arial" w:hint="cs"/>
          <w:rtl/>
        </w:rPr>
        <w:t xml:space="preserve"> -</w:t>
      </w:r>
      <w:r w:rsidRPr="00364D38">
        <w:rPr>
          <w:rFonts w:cs="Arial"/>
          <w:rtl/>
        </w:rPr>
        <w:t xml:space="preserve"> אפ"ה אסור כאן</w:t>
      </w:r>
      <w:r w:rsidR="00D87CF8">
        <w:rPr>
          <w:rFonts w:cs="Arial" w:hint="cs"/>
          <w:rtl/>
        </w:rPr>
        <w:t>,</w:t>
      </w:r>
      <w:r w:rsidRPr="00364D38">
        <w:rPr>
          <w:rFonts w:cs="Arial"/>
          <w:rtl/>
        </w:rPr>
        <w:t xml:space="preserve"> דכיון דהם כיסוי קרקעות הוי כבונה אם מכסה אותם</w:t>
      </w:r>
      <w:r w:rsidR="00D87CF8">
        <w:rPr>
          <w:rFonts w:cs="Arial" w:hint="cs"/>
          <w:rtl/>
        </w:rPr>
        <w:t>,</w:t>
      </w:r>
      <w:r w:rsidRPr="00364D38">
        <w:rPr>
          <w:rFonts w:cs="Arial"/>
          <w:rtl/>
        </w:rPr>
        <w:t xml:space="preserve"> או כסותר אם נוטל הכיסוי</w:t>
      </w:r>
      <w:r w:rsidR="00D87CF8">
        <w:rPr>
          <w:rFonts w:cs="Arial" w:hint="cs"/>
          <w:rtl/>
        </w:rPr>
        <w:t>.</w:t>
      </w:r>
      <w:r w:rsidRPr="00364D38">
        <w:rPr>
          <w:rFonts w:cs="Arial"/>
          <w:rtl/>
        </w:rPr>
        <w:t xml:space="preserve"> משא"כ כשיש להם בית יד לאחוז בם מוכח דהוא כלי ולמשקל ואהדורי עביד ולא הוי כבונה וסותר</w:t>
      </w:r>
      <w:r w:rsidR="00D87CF8">
        <w:rPr>
          <w:rFonts w:cs="Arial" w:hint="cs"/>
          <w:rtl/>
        </w:rPr>
        <w:t>.</w:t>
      </w:r>
      <w:r w:rsidRPr="00364D38">
        <w:rPr>
          <w:rFonts w:cs="Arial"/>
          <w:rtl/>
        </w:rPr>
        <w:t xml:space="preserve"> ועיין במ"א שביאר דמה שכתב המחבר </w:t>
      </w:r>
      <w:r w:rsidR="00D87CF8">
        <w:rPr>
          <w:rFonts w:cs="Arial" w:hint="cs"/>
          <w:rtl/>
        </w:rPr>
        <w:t>'</w:t>
      </w:r>
      <w:r w:rsidRPr="00364D38">
        <w:rPr>
          <w:rFonts w:cs="Arial"/>
          <w:rtl/>
        </w:rPr>
        <w:t>אינם ניטלים</w:t>
      </w:r>
      <w:r w:rsidR="00D87CF8">
        <w:rPr>
          <w:rFonts w:cs="Arial" w:hint="cs"/>
          <w:rtl/>
        </w:rPr>
        <w:t>'</w:t>
      </w:r>
      <w:r w:rsidRPr="00364D38">
        <w:rPr>
          <w:rFonts w:cs="Arial"/>
          <w:rtl/>
        </w:rPr>
        <w:t xml:space="preserve"> היינו דאסורים אפילו בטלטול בעלמא אפילו אם נתפרקו כבר מע"ש מן הבור</w:t>
      </w:r>
      <w:r w:rsidR="00D87CF8">
        <w:rPr>
          <w:rFonts w:cs="Arial" w:hint="cs"/>
          <w:rtl/>
        </w:rPr>
        <w:t>.</w:t>
      </w:r>
      <w:r w:rsidRPr="00364D38">
        <w:rPr>
          <w:rFonts w:cs="Arial"/>
          <w:rtl/>
        </w:rPr>
        <w:t xml:space="preserve"> וכ"ש דאסור ליטלם מן הבור</w:t>
      </w:r>
      <w:r w:rsidR="00D87CF8">
        <w:rPr>
          <w:rFonts w:cs="Arial" w:hint="cs"/>
          <w:rtl/>
        </w:rPr>
        <w:t>.</w:t>
      </w:r>
      <w:r w:rsidRPr="00364D38">
        <w:rPr>
          <w:rFonts w:cs="Arial"/>
          <w:rtl/>
        </w:rPr>
        <w:t xml:space="preserve"> והטעם דכיון דהם עומדים ומוכנים לכיסוי קרקעות אינם מן המוכן לטלטל אף שתורת כלי עליהם</w:t>
      </w:r>
      <w:r>
        <w:rPr>
          <w:rFonts w:cs="Arial" w:hint="cs"/>
          <w:rtl/>
        </w:rPr>
        <w:t>, משנ"ב (סקמ"ב).</w:t>
      </w:r>
    </w:p>
  </w:footnote>
  <w:footnote w:id="1409">
    <w:p w14:paraId="2D3F7569" w14:textId="69F7E2A1" w:rsidR="008E5D08" w:rsidRDefault="008E5D08" w:rsidP="00285819">
      <w:pPr>
        <w:pStyle w:val="a7"/>
        <w:rPr>
          <w:rtl/>
        </w:rPr>
      </w:pPr>
      <w:r>
        <w:rPr>
          <w:rStyle w:val="a9"/>
        </w:rPr>
        <w:footnoteRef/>
      </w:r>
      <w:r>
        <w:rPr>
          <w:rtl/>
        </w:rPr>
        <w:t xml:space="preserve"> </w:t>
      </w:r>
      <w:r w:rsidRPr="008E5D08">
        <w:rPr>
          <w:rFonts w:cs="Arial"/>
          <w:rtl/>
        </w:rPr>
        <w:t>ר"ל שהכלי מחובר לקרקע בטיט מלמטה ואף דבעלמא מחובר לקרקע הרי הוא כקרקע הכא כיון דכיסוי אינו מחובר בציר להכלי והכלי מגולה למעלה לא מחזי כבונה משא"כ בכיסוי חביות הקבורות בקרקע כיון דהם טמונות כולן בקרקע גזרו רבנן אטו כסוי בור ודות</w:t>
      </w:r>
      <w:r>
        <w:rPr>
          <w:rFonts w:hint="cs"/>
          <w:rtl/>
        </w:rPr>
        <w:t>, משנ"ב (סקמ"ג).</w:t>
      </w:r>
    </w:p>
  </w:footnote>
  <w:footnote w:id="1410">
    <w:p w14:paraId="4E2646BD" w14:textId="023BC28A" w:rsidR="008E5D08" w:rsidRDefault="008E5D08" w:rsidP="00285819">
      <w:pPr>
        <w:pStyle w:val="a7"/>
      </w:pPr>
      <w:r>
        <w:rPr>
          <w:rStyle w:val="a9"/>
        </w:rPr>
        <w:footnoteRef/>
      </w:r>
      <w:r>
        <w:rPr>
          <w:rtl/>
        </w:rPr>
        <w:t xml:space="preserve"> </w:t>
      </w:r>
      <w:r w:rsidRPr="008E5D08">
        <w:rPr>
          <w:rFonts w:cs="Arial"/>
          <w:rtl/>
        </w:rPr>
        <w:t>היינו שהכינם לכסות הכלי וה"ה אם לא עשה בהם מעשה כלל רק שיחדו מע"ש לכסוי ג"כ סגי דבכל זה הוסר שם מוקצה וכדלקמן בס"כ גבי חריות [תו"ש]</w:t>
      </w:r>
      <w:r>
        <w:rPr>
          <w:rFonts w:cs="Arial" w:hint="cs"/>
          <w:rtl/>
        </w:rPr>
        <w:t>, משנ"ב (סקמ"ה).</w:t>
      </w:r>
    </w:p>
  </w:footnote>
  <w:footnote w:id="1411">
    <w:p w14:paraId="6979E7F9" w14:textId="77777777" w:rsidR="00FF0175" w:rsidRDefault="00FF0175" w:rsidP="00285819">
      <w:pPr>
        <w:pStyle w:val="a7"/>
      </w:pPr>
      <w:r>
        <w:rPr>
          <w:rStyle w:val="a9"/>
        </w:rPr>
        <w:footnoteRef/>
      </w:r>
      <w:r>
        <w:rPr>
          <w:rtl/>
        </w:rPr>
        <w:t xml:space="preserve"> </w:t>
      </w:r>
      <w:r w:rsidRPr="0007522D">
        <w:rPr>
          <w:rFonts w:cs="Arial"/>
          <w:rtl/>
        </w:rPr>
        <w:t>חור שלה</w:t>
      </w:r>
      <w:r>
        <w:rPr>
          <w:rFonts w:cs="Arial" w:hint="cs"/>
          <w:rtl/>
        </w:rPr>
        <w:t>, רש"י.</w:t>
      </w:r>
    </w:p>
  </w:footnote>
  <w:footnote w:id="1412">
    <w:p w14:paraId="04C534F5" w14:textId="77777777" w:rsidR="00FF0175" w:rsidRDefault="00FF0175" w:rsidP="00285819">
      <w:pPr>
        <w:pStyle w:val="a7"/>
      </w:pPr>
      <w:r>
        <w:rPr>
          <w:rStyle w:val="a9"/>
        </w:rPr>
        <w:footnoteRef/>
      </w:r>
      <w:r>
        <w:rPr>
          <w:rtl/>
        </w:rPr>
        <w:t xml:space="preserve"> </w:t>
      </w:r>
      <w:r>
        <w:rPr>
          <w:rFonts w:hint="cs"/>
          <w:rtl/>
        </w:rPr>
        <w:t>חוד המחט.</w:t>
      </w:r>
    </w:p>
  </w:footnote>
  <w:footnote w:id="1413">
    <w:p w14:paraId="1C8D4F9B" w14:textId="77777777" w:rsidR="00FF0175" w:rsidRDefault="00FF0175" w:rsidP="00285819">
      <w:pPr>
        <w:pStyle w:val="a7"/>
        <w:rPr>
          <w:rtl/>
        </w:rPr>
      </w:pPr>
      <w:r>
        <w:rPr>
          <w:rStyle w:val="a9"/>
        </w:rPr>
        <w:footnoteRef/>
      </w:r>
      <w:r>
        <w:rPr>
          <w:rtl/>
        </w:rPr>
        <w:t xml:space="preserve"> </w:t>
      </w:r>
      <w:r w:rsidRPr="0007522D">
        <w:rPr>
          <w:rFonts w:cs="Arial"/>
          <w:rtl/>
        </w:rPr>
        <w:t>לטלטלה, מי בטל תורת כלי מינה, או לא</w:t>
      </w:r>
      <w:r>
        <w:rPr>
          <w:rFonts w:hint="cs"/>
          <w:rtl/>
        </w:rPr>
        <w:t>, רש"י.</w:t>
      </w:r>
    </w:p>
  </w:footnote>
  <w:footnote w:id="1414">
    <w:p w14:paraId="7433B46A" w14:textId="77777777" w:rsidR="00FF0175" w:rsidRDefault="00FF0175" w:rsidP="00285819">
      <w:pPr>
        <w:pStyle w:val="a7"/>
      </w:pPr>
      <w:r>
        <w:rPr>
          <w:rStyle w:val="a9"/>
        </w:rPr>
        <w:footnoteRef/>
      </w:r>
      <w:r>
        <w:rPr>
          <w:rtl/>
        </w:rPr>
        <w:t xml:space="preserve"> </w:t>
      </w:r>
      <w:r w:rsidRPr="0007522D">
        <w:rPr>
          <w:rFonts w:cs="Arial"/>
          <w:rtl/>
        </w:rPr>
        <w:t>גולמי מחטין העומדות לינקב, דנקובה נגמרה מלאכתה, ושאינה נקובה אינה נגמרה מלאכתה, הלכך, לענין טומאה הוא דלא הוי כלי, אבל בטלטול - שריא, דחזי לקוץ</w:t>
      </w:r>
      <w:r>
        <w:rPr>
          <w:rFonts w:cs="Arial" w:hint="cs"/>
          <w:rtl/>
        </w:rPr>
        <w:t>, רש"י.</w:t>
      </w:r>
    </w:p>
  </w:footnote>
  <w:footnote w:id="1415">
    <w:p w14:paraId="7E9D2ECE" w14:textId="77777777" w:rsidR="00FF0175" w:rsidRDefault="00FF0175" w:rsidP="00285819">
      <w:pPr>
        <w:pStyle w:val="a7"/>
      </w:pPr>
      <w:r>
        <w:rPr>
          <w:rStyle w:val="a9"/>
        </w:rPr>
        <w:footnoteRef/>
      </w:r>
      <w:r>
        <w:rPr>
          <w:rtl/>
        </w:rPr>
        <w:t xml:space="preserve"> </w:t>
      </w:r>
      <w:r w:rsidRPr="0007522D">
        <w:rPr>
          <w:rFonts w:cs="Arial"/>
          <w:rtl/>
        </w:rPr>
        <w:t>ולא נקיב לה</w:t>
      </w:r>
      <w:r>
        <w:rPr>
          <w:rFonts w:cs="Arial" w:hint="cs"/>
          <w:rtl/>
        </w:rPr>
        <w:t>, רש"י.</w:t>
      </w:r>
    </w:p>
  </w:footnote>
  <w:footnote w:id="1416">
    <w:p w14:paraId="6F198F0B" w14:textId="77777777" w:rsidR="00FF0175" w:rsidRDefault="00FF0175" w:rsidP="00285819">
      <w:pPr>
        <w:pStyle w:val="a7"/>
      </w:pPr>
      <w:r>
        <w:rPr>
          <w:rStyle w:val="a9"/>
        </w:rPr>
        <w:footnoteRef/>
      </w:r>
      <w:r>
        <w:rPr>
          <w:rtl/>
        </w:rPr>
        <w:t xml:space="preserve"> </w:t>
      </w:r>
      <w:r w:rsidRPr="0007522D">
        <w:rPr>
          <w:rFonts w:cs="Arial"/>
          <w:rtl/>
        </w:rPr>
        <w:t>כמות שהיא, ולנטילת קוץ</w:t>
      </w:r>
      <w:r>
        <w:rPr>
          <w:rFonts w:cs="Arial" w:hint="cs"/>
          <w:rtl/>
        </w:rPr>
        <w:t>, רש"י.</w:t>
      </w:r>
    </w:p>
  </w:footnote>
  <w:footnote w:id="1417">
    <w:p w14:paraId="42917CBA" w14:textId="77777777" w:rsidR="00FF0175" w:rsidRDefault="00FF0175" w:rsidP="00285819">
      <w:pPr>
        <w:pStyle w:val="a7"/>
      </w:pPr>
      <w:r>
        <w:rPr>
          <w:rStyle w:val="a9"/>
        </w:rPr>
        <w:footnoteRef/>
      </w:r>
      <w:r>
        <w:rPr>
          <w:rtl/>
        </w:rPr>
        <w:t xml:space="preserve"> </w:t>
      </w:r>
      <w:r w:rsidRPr="0007522D">
        <w:rPr>
          <w:rFonts w:cs="Arial"/>
          <w:rtl/>
        </w:rPr>
        <w:t>שברי מתכות אדם זורקה לבין גרוטאות, ובטל שם כלי מינה</w:t>
      </w:r>
      <w:r>
        <w:rPr>
          <w:rFonts w:cs="Arial" w:hint="cs"/>
          <w:rtl/>
        </w:rPr>
        <w:t>, רש"י.</w:t>
      </w:r>
    </w:p>
  </w:footnote>
  <w:footnote w:id="1418">
    <w:p w14:paraId="5C92466D" w14:textId="30AB3A31" w:rsidR="00FF0175" w:rsidRDefault="00FF0175" w:rsidP="00285819">
      <w:pPr>
        <w:pStyle w:val="a7"/>
        <w:rPr>
          <w:rtl/>
        </w:rPr>
      </w:pPr>
      <w:r>
        <w:rPr>
          <w:rStyle w:val="a9"/>
        </w:rPr>
        <w:footnoteRef/>
      </w:r>
      <w:r>
        <w:rPr>
          <w:rtl/>
        </w:rPr>
        <w:t xml:space="preserve"> </w:t>
      </w:r>
      <w:r w:rsidRPr="00FF0175">
        <w:rPr>
          <w:rFonts w:cs="Arial"/>
          <w:rtl/>
        </w:rPr>
        <w:t>הוא מחט מיוחד לתפירה והוי ככל כלי שמלאכתו לאיסור ומותר לטלטל לצורך גופו דהיינו ליטול הקוץ או שנוקב בה את המורסא להוציא ממנה ליחה וה"ה שמותר לתחוב בה את המלבושים לחברן בעת הדחק ואם הוא במקום שאסור לצאת בו בשבת כבר מבואר לעיל בסימן ש"ג סעיף ט' דאסור ועיין בסעיף י"ח ובמה שכתבנו שם</w:t>
      </w:r>
      <w:r>
        <w:rPr>
          <w:rFonts w:hint="cs"/>
          <w:rtl/>
        </w:rPr>
        <w:t>, משנ"ב (סקמ"ו).</w:t>
      </w:r>
    </w:p>
  </w:footnote>
  <w:footnote w:id="1419">
    <w:p w14:paraId="553D90AF" w14:textId="4CFBF0A8" w:rsidR="00FF0175" w:rsidRDefault="00FF0175" w:rsidP="00285819">
      <w:pPr>
        <w:pStyle w:val="a7"/>
      </w:pPr>
      <w:r>
        <w:rPr>
          <w:rStyle w:val="a9"/>
        </w:rPr>
        <w:footnoteRef/>
      </w:r>
      <w:r>
        <w:rPr>
          <w:rtl/>
        </w:rPr>
        <w:t xml:space="preserve"> </w:t>
      </w:r>
      <w:r w:rsidRPr="00FF0175">
        <w:rPr>
          <w:rFonts w:cs="Arial"/>
          <w:rtl/>
        </w:rPr>
        <w:t>וה"ה שמותר לטלטלה לצורך מקומה וכ"ש שמותר לטלטלה אם מצאה מונחת במקום שיכולין ליזוק בה אנשי ביתו דבזה אפילו בניטל חורה שאין עליה שם כלי כלל ג"כ מותר לטלטלה</w:t>
      </w:r>
      <w:r>
        <w:rPr>
          <w:rFonts w:cs="Arial" w:hint="cs"/>
          <w:rtl/>
        </w:rPr>
        <w:t>, משנ"ב (סקמ"ז).</w:t>
      </w:r>
    </w:p>
  </w:footnote>
  <w:footnote w:id="1420">
    <w:p w14:paraId="221235F5" w14:textId="0D7FB15A" w:rsidR="00FF0175" w:rsidRDefault="00FF0175" w:rsidP="00285819">
      <w:pPr>
        <w:pStyle w:val="a7"/>
      </w:pPr>
      <w:r>
        <w:rPr>
          <w:rStyle w:val="a9"/>
        </w:rPr>
        <w:footnoteRef/>
      </w:r>
      <w:r>
        <w:rPr>
          <w:rtl/>
        </w:rPr>
        <w:t xml:space="preserve"> </w:t>
      </w:r>
      <w:r w:rsidRPr="00FF0175">
        <w:rPr>
          <w:rFonts w:cs="Arial"/>
          <w:rtl/>
        </w:rPr>
        <w:t>ואם יחדה מבעוד יום לאיזה תשמיש הוי כלי ומותר לטלטלה כדין כל כלי שמלאכתו להיתר [פמ"ג]</w:t>
      </w:r>
      <w:r>
        <w:rPr>
          <w:rFonts w:cs="Arial" w:hint="cs"/>
          <w:rtl/>
        </w:rPr>
        <w:t>, משנ"ב (סקמ"ח).</w:t>
      </w:r>
      <w:r w:rsidRPr="00FF0175">
        <w:rPr>
          <w:rFonts w:cs="Arial"/>
          <w:rtl/>
        </w:rPr>
        <w:t xml:space="preserve"> </w:t>
      </w:r>
      <w:r>
        <w:rPr>
          <w:rFonts w:cs="Arial" w:hint="cs"/>
          <w:rtl/>
        </w:rPr>
        <w:t xml:space="preserve">וכ"כ הדרכ"מ </w:t>
      </w:r>
      <w:r w:rsidRPr="00245F0F">
        <w:rPr>
          <w:rFonts w:cs="Arial"/>
          <w:rtl/>
        </w:rPr>
        <w:t>(</w:t>
      </w:r>
      <w:r>
        <w:rPr>
          <w:rFonts w:cs="Arial" w:hint="cs"/>
          <w:rtl/>
        </w:rPr>
        <w:t xml:space="preserve">אות </w:t>
      </w:r>
      <w:r w:rsidRPr="00245F0F">
        <w:rPr>
          <w:rFonts w:cs="Arial"/>
          <w:rtl/>
        </w:rPr>
        <w:t>ה*) עיין לעיל סימן ש"ג (עמ' קסח ד"ה כתב המרדכי, ד"מ הארוך אות א סוד"ה שמעמדת)</w:t>
      </w:r>
      <w:r>
        <w:rPr>
          <w:rFonts w:cs="Arial" w:hint="cs"/>
          <w:rtl/>
        </w:rPr>
        <w:t>.</w:t>
      </w:r>
    </w:p>
  </w:footnote>
  <w:footnote w:id="1421">
    <w:p w14:paraId="24996BA9" w14:textId="2E55EB31" w:rsidR="000A358A" w:rsidRDefault="000A358A" w:rsidP="00285819">
      <w:pPr>
        <w:pStyle w:val="a7"/>
      </w:pPr>
      <w:r>
        <w:rPr>
          <w:rStyle w:val="a9"/>
        </w:rPr>
        <w:footnoteRef/>
      </w:r>
      <w:r>
        <w:rPr>
          <w:rtl/>
        </w:rPr>
        <w:t xml:space="preserve"> </w:t>
      </w:r>
      <w:r>
        <w:rPr>
          <w:rFonts w:hint="cs"/>
          <w:rtl/>
        </w:rPr>
        <w:t xml:space="preserve">סימן </w:t>
      </w:r>
      <w:r>
        <w:rPr>
          <w:rtl/>
        </w:rPr>
        <w:t>–</w:t>
      </w:r>
      <w:r>
        <w:rPr>
          <w:rFonts w:hint="cs"/>
          <w:rtl/>
        </w:rPr>
        <w:t xml:space="preserve"> קרומיות כלי היתר.</w:t>
      </w:r>
    </w:p>
  </w:footnote>
  <w:footnote w:id="1422">
    <w:p w14:paraId="6372BA0E" w14:textId="77777777" w:rsidR="002876E4" w:rsidRPr="002876E4" w:rsidRDefault="002876E4" w:rsidP="00285819">
      <w:pPr>
        <w:pStyle w:val="a7"/>
        <w:rPr>
          <w:rFonts w:cs="Arial"/>
          <w:rtl/>
        </w:rPr>
      </w:pPr>
      <w:r>
        <w:rPr>
          <w:rStyle w:val="a9"/>
        </w:rPr>
        <w:footnoteRef/>
      </w:r>
      <w:r>
        <w:rPr>
          <w:rtl/>
        </w:rPr>
        <w:t xml:space="preserve"> </w:t>
      </w:r>
      <w:r>
        <w:rPr>
          <w:rFonts w:cs="Arial" w:hint="cs"/>
          <w:rtl/>
        </w:rPr>
        <w:t xml:space="preserve">בר המדורי היה </w:t>
      </w:r>
      <w:r w:rsidRPr="002876E4">
        <w:rPr>
          <w:rFonts w:cs="Arial"/>
          <w:rtl/>
        </w:rPr>
        <w:t>אמורא בבלי בדור השלישי. תלמידו של שמואל (יומא פז</w:t>
      </w:r>
      <w:r>
        <w:rPr>
          <w:rFonts w:cs="Arial" w:hint="cs"/>
          <w:rtl/>
        </w:rPr>
        <w:t>:</w:t>
      </w:r>
      <w:r w:rsidRPr="002876E4">
        <w:rPr>
          <w:rFonts w:cs="Arial"/>
          <w:rtl/>
        </w:rPr>
        <w:t>). ורבו של רבא (שבת קז</w:t>
      </w:r>
      <w:r>
        <w:rPr>
          <w:rFonts w:cs="Arial" w:hint="cs"/>
          <w:rtl/>
        </w:rPr>
        <w:t>:</w:t>
      </w:r>
      <w:r w:rsidRPr="002876E4">
        <w:rPr>
          <w:rFonts w:cs="Arial"/>
          <w:rtl/>
        </w:rPr>
        <w:t>).</w:t>
      </w:r>
    </w:p>
  </w:footnote>
  <w:footnote w:id="1423">
    <w:p w14:paraId="05BD5D29" w14:textId="416A6775" w:rsidR="002876E4" w:rsidRDefault="002876E4" w:rsidP="00285819">
      <w:pPr>
        <w:pStyle w:val="a7"/>
      </w:pPr>
      <w:r>
        <w:rPr>
          <w:rStyle w:val="a9"/>
        </w:rPr>
        <w:footnoteRef/>
      </w:r>
      <w:r>
        <w:rPr>
          <w:rtl/>
        </w:rPr>
        <w:t xml:space="preserve"> </w:t>
      </w:r>
      <w:r w:rsidRPr="002876E4">
        <w:rPr>
          <w:rFonts w:cs="Arial"/>
          <w:rtl/>
        </w:rPr>
        <w:t>שנפרדו מן מחצלת ישנה ובין שנפרדו מע"ש ובין שנפרדו בשבת</w:t>
      </w:r>
      <w:r>
        <w:rPr>
          <w:rFonts w:cs="Arial" w:hint="cs"/>
          <w:rtl/>
        </w:rPr>
        <w:t>, משנ"ב (סקמ"ט).</w:t>
      </w:r>
    </w:p>
  </w:footnote>
  <w:footnote w:id="1424">
    <w:p w14:paraId="599BFB72" w14:textId="030437C0" w:rsidR="00994C84" w:rsidRDefault="00994C84" w:rsidP="00285819">
      <w:pPr>
        <w:pStyle w:val="a7"/>
      </w:pPr>
      <w:r>
        <w:rPr>
          <w:rStyle w:val="a9"/>
        </w:rPr>
        <w:footnoteRef/>
      </w:r>
      <w:r>
        <w:rPr>
          <w:rtl/>
        </w:rPr>
        <w:t xml:space="preserve"> </w:t>
      </w:r>
      <w:r w:rsidRPr="00994C84">
        <w:rPr>
          <w:rFonts w:cs="Arial"/>
          <w:rtl/>
        </w:rPr>
        <w:t>אפילו אין בהם ג' על ג'</w:t>
      </w:r>
      <w:r w:rsidR="000A358A">
        <w:rPr>
          <w:rFonts w:cs="Arial" w:hint="cs"/>
          <w:rtl/>
        </w:rPr>
        <w:t>,</w:t>
      </w:r>
      <w:r w:rsidRPr="00994C84">
        <w:rPr>
          <w:rFonts w:cs="Arial"/>
          <w:rtl/>
        </w:rPr>
        <w:t xml:space="preserve"> ואפילו מחמה לצל מותר</w:t>
      </w:r>
      <w:r>
        <w:rPr>
          <w:rFonts w:cs="Arial" w:hint="cs"/>
          <w:rtl/>
        </w:rPr>
        <w:t>, משנ"ב (סק"נ).</w:t>
      </w:r>
    </w:p>
  </w:footnote>
  <w:footnote w:id="1425">
    <w:p w14:paraId="48FA69A6" w14:textId="182D4DE7" w:rsidR="00994C84" w:rsidRDefault="00994C84" w:rsidP="00285819">
      <w:pPr>
        <w:pStyle w:val="a7"/>
      </w:pPr>
      <w:r>
        <w:rPr>
          <w:rStyle w:val="a9"/>
        </w:rPr>
        <w:footnoteRef/>
      </w:r>
      <w:r>
        <w:rPr>
          <w:rtl/>
        </w:rPr>
        <w:t xml:space="preserve"> </w:t>
      </w:r>
      <w:r w:rsidRPr="00994C84">
        <w:rPr>
          <w:rFonts w:cs="Arial"/>
          <w:rtl/>
        </w:rPr>
        <w:t>דבטלה מהיות עוד כלי. ובמחצלת שלמה אפילו זרקן לאשפה מותר דבטלה דעתו אצל כל אדם</w:t>
      </w:r>
      <w:r>
        <w:rPr>
          <w:rFonts w:cs="Arial" w:hint="cs"/>
          <w:rtl/>
        </w:rPr>
        <w:t>, משנ"ב (סקנ"א).</w:t>
      </w:r>
    </w:p>
  </w:footnote>
  <w:footnote w:id="1426">
    <w:p w14:paraId="1DA5669B" w14:textId="14E160BE" w:rsidR="00A47EEC" w:rsidRDefault="00A47EEC" w:rsidP="00285819">
      <w:pPr>
        <w:pStyle w:val="a7"/>
        <w:rPr>
          <w:rtl/>
        </w:rPr>
      </w:pPr>
      <w:r>
        <w:rPr>
          <w:rStyle w:val="a9"/>
        </w:rPr>
        <w:footnoteRef/>
      </w:r>
      <w:r>
        <w:rPr>
          <w:rtl/>
        </w:rPr>
        <w:t xml:space="preserve"> </w:t>
      </w:r>
      <w:r w:rsidRPr="00A47EEC">
        <w:rPr>
          <w:rFonts w:cs="Arial"/>
          <w:rtl/>
        </w:rPr>
        <w:t>טליתות, כדאמר בסוכה (יא</w:t>
      </w:r>
      <w:r w:rsidR="00F61968">
        <w:rPr>
          <w:rFonts w:cs="Arial" w:hint="cs"/>
          <w:rtl/>
        </w:rPr>
        <w:t>.</w:t>
      </w:r>
      <w:r w:rsidRPr="00A47EEC">
        <w:rPr>
          <w:rFonts w:cs="Arial"/>
          <w:rtl/>
        </w:rPr>
        <w:t>) רמא תכילתא בפירזמא דאינשי ביתיה</w:t>
      </w:r>
      <w:r>
        <w:rPr>
          <w:rFonts w:hint="cs"/>
          <w:rtl/>
        </w:rPr>
        <w:t>, רש"י.</w:t>
      </w:r>
    </w:p>
  </w:footnote>
  <w:footnote w:id="1427">
    <w:p w14:paraId="62C84923" w14:textId="77777777" w:rsidR="00CF1981" w:rsidRDefault="00CF1981" w:rsidP="00285819">
      <w:pPr>
        <w:pStyle w:val="a7"/>
      </w:pPr>
      <w:r>
        <w:rPr>
          <w:rStyle w:val="a9"/>
        </w:rPr>
        <w:footnoteRef/>
      </w:r>
      <w:r>
        <w:rPr>
          <w:rtl/>
        </w:rPr>
        <w:t xml:space="preserve"> </w:t>
      </w:r>
      <w:r>
        <w:rPr>
          <w:rFonts w:hint="cs"/>
          <w:rtl/>
        </w:rPr>
        <w:t xml:space="preserve">וז"ל- </w:t>
      </w:r>
      <w:r w:rsidRPr="005010EA">
        <w:rPr>
          <w:rFonts w:cs="Arial"/>
          <w:rtl/>
        </w:rPr>
        <w:t xml:space="preserve">שירי בגדים שבלו שאין בהן שלש על שלש </w:t>
      </w:r>
      <w:r w:rsidRPr="005010EA">
        <w:rPr>
          <w:rFonts w:cs="Arial" w:hint="cs"/>
          <w:rtl/>
        </w:rPr>
        <w:t xml:space="preserve">- </w:t>
      </w:r>
      <w:r w:rsidRPr="005010EA">
        <w:rPr>
          <w:rFonts w:cs="Arial"/>
          <w:rtl/>
        </w:rPr>
        <w:t>אסור לטלטלן</w:t>
      </w:r>
      <w:r w:rsidRPr="005010EA">
        <w:rPr>
          <w:rFonts w:cs="Arial" w:hint="cs"/>
          <w:rtl/>
        </w:rPr>
        <w:t>,</w:t>
      </w:r>
      <w:r w:rsidRPr="005010EA">
        <w:rPr>
          <w:rFonts w:cs="Arial"/>
          <w:rtl/>
        </w:rPr>
        <w:t xml:space="preserve"> שאינן ראויין לא לעניים ולא לעשירים</w:t>
      </w:r>
      <w:r>
        <w:rPr>
          <w:rFonts w:cs="Arial" w:hint="cs"/>
          <w:rtl/>
        </w:rPr>
        <w:t>.</w:t>
      </w:r>
    </w:p>
  </w:footnote>
  <w:footnote w:id="1428">
    <w:p w14:paraId="02967998" w14:textId="1F6F587E" w:rsidR="00BB1924" w:rsidRDefault="00BB1924" w:rsidP="00285819">
      <w:pPr>
        <w:pStyle w:val="a7"/>
      </w:pPr>
      <w:r>
        <w:rPr>
          <w:rStyle w:val="a9"/>
        </w:rPr>
        <w:footnoteRef/>
      </w:r>
      <w:r w:rsidRPr="005010EA">
        <w:rPr>
          <w:rFonts w:cs="Arial"/>
          <w:rtl/>
        </w:rPr>
        <w:t xml:space="preserve"> ורבינו סובר דבכל טליתות אסור</w:t>
      </w:r>
      <w:r>
        <w:rPr>
          <w:rFonts w:cs="Arial" w:hint="cs"/>
          <w:rtl/>
        </w:rPr>
        <w:t>,</w:t>
      </w:r>
      <w:r w:rsidRPr="005010EA">
        <w:rPr>
          <w:rFonts w:cs="Arial"/>
          <w:rtl/>
        </w:rPr>
        <w:t xml:space="preserve"> וקצת מפרשים סוברים כדברי הראב"ד ז"ל</w:t>
      </w:r>
      <w:r>
        <w:rPr>
          <w:rFonts w:cs="Arial" w:hint="cs"/>
          <w:rtl/>
        </w:rPr>
        <w:t>,</w:t>
      </w:r>
      <w:r w:rsidRPr="00BB1924">
        <w:rPr>
          <w:rFonts w:cs="Arial" w:hint="cs"/>
          <w:rtl/>
        </w:rPr>
        <w:t xml:space="preserve"> </w:t>
      </w:r>
      <w:r>
        <w:rPr>
          <w:rFonts w:cs="Arial" w:hint="cs"/>
          <w:rtl/>
        </w:rPr>
        <w:t>הה"מ (שם).</w:t>
      </w:r>
    </w:p>
  </w:footnote>
  <w:footnote w:id="1429">
    <w:p w14:paraId="5A6EF115" w14:textId="3E03115B" w:rsidR="00CF1981" w:rsidRDefault="00CF1981" w:rsidP="00285819">
      <w:pPr>
        <w:pStyle w:val="a7"/>
        <w:rPr>
          <w:rtl/>
        </w:rPr>
      </w:pPr>
      <w:r>
        <w:rPr>
          <w:rStyle w:val="a9"/>
        </w:rPr>
        <w:footnoteRef/>
      </w:r>
      <w:r>
        <w:rPr>
          <w:rtl/>
        </w:rPr>
        <w:t xml:space="preserve"> </w:t>
      </w:r>
      <w:r w:rsidRPr="00CF1981">
        <w:rPr>
          <w:rFonts w:cs="Arial"/>
          <w:rtl/>
        </w:rPr>
        <w:t>דיש בזה קצת חשיבות דחזיין לעניים</w:t>
      </w:r>
      <w:r w:rsidR="0009434B">
        <w:rPr>
          <w:rFonts w:cs="Arial" w:hint="cs"/>
          <w:rtl/>
        </w:rPr>
        <w:t>.</w:t>
      </w:r>
      <w:r w:rsidRPr="00CF1981">
        <w:rPr>
          <w:rFonts w:cs="Arial"/>
          <w:rtl/>
        </w:rPr>
        <w:t xml:space="preserve"> ועיין באחרונים שכתבו דלעשירים אסור לטלטלן דלהם לא חשיבי שירי מטלניות אא"כ יש בהם ג' טפחים על ג' טפחים לדעה זו</w:t>
      </w:r>
      <w:r>
        <w:rPr>
          <w:rFonts w:hint="cs"/>
          <w:rtl/>
        </w:rPr>
        <w:t>, משנ"ב (סקנ"ב).</w:t>
      </w:r>
    </w:p>
  </w:footnote>
  <w:footnote w:id="1430">
    <w:p w14:paraId="06CBBA50" w14:textId="50F42DE9" w:rsidR="00CF1981" w:rsidRDefault="00CF1981" w:rsidP="00285819">
      <w:pPr>
        <w:pStyle w:val="a7"/>
        <w:rPr>
          <w:rtl/>
        </w:rPr>
      </w:pPr>
      <w:r>
        <w:rPr>
          <w:rStyle w:val="a9"/>
        </w:rPr>
        <w:footnoteRef/>
      </w:r>
      <w:r>
        <w:rPr>
          <w:rtl/>
        </w:rPr>
        <w:t xml:space="preserve"> </w:t>
      </w:r>
      <w:r w:rsidRPr="00CF1981">
        <w:rPr>
          <w:rFonts w:cs="Arial"/>
          <w:rtl/>
        </w:rPr>
        <w:t>היינו כ"ז שלא זרקן לאשפה</w:t>
      </w:r>
      <w:r>
        <w:rPr>
          <w:rFonts w:hint="cs"/>
          <w:rtl/>
        </w:rPr>
        <w:t>, משנ"ב (סקנ"ג).</w:t>
      </w:r>
    </w:p>
  </w:footnote>
  <w:footnote w:id="1431">
    <w:p w14:paraId="44F3A065" w14:textId="64B7D7FD" w:rsidR="00E32989" w:rsidRDefault="00E32989" w:rsidP="00285819">
      <w:pPr>
        <w:pStyle w:val="a7"/>
      </w:pPr>
      <w:r>
        <w:rPr>
          <w:rStyle w:val="a9"/>
        </w:rPr>
        <w:footnoteRef/>
      </w:r>
      <w:r>
        <w:rPr>
          <w:rtl/>
        </w:rPr>
        <w:t xml:space="preserve"> </w:t>
      </w:r>
      <w:r w:rsidRPr="00E32989">
        <w:rPr>
          <w:rFonts w:cs="Arial"/>
          <w:rtl/>
        </w:rPr>
        <w:t xml:space="preserve">פורמ"ה </w:t>
      </w:r>
      <w:r>
        <w:rPr>
          <w:rFonts w:cs="Arial" w:hint="cs"/>
          <w:rtl/>
        </w:rPr>
        <w:t>(</w:t>
      </w:r>
      <w:r w:rsidRPr="00E32989">
        <w:rPr>
          <w:rFonts w:cs="Arial"/>
          <w:rtl/>
        </w:rPr>
        <w:t>אימום, דפוס שעליו שמים נעלים</w:t>
      </w:r>
      <w:r>
        <w:rPr>
          <w:rFonts w:cs="Arial" w:hint="cs"/>
          <w:rtl/>
        </w:rPr>
        <w:t>), רש"י.</w:t>
      </w:r>
    </w:p>
  </w:footnote>
  <w:footnote w:id="1432">
    <w:p w14:paraId="20785EE7" w14:textId="20354C62" w:rsidR="00E32989" w:rsidRDefault="00E32989" w:rsidP="00285819">
      <w:pPr>
        <w:pStyle w:val="a7"/>
      </w:pPr>
      <w:r>
        <w:rPr>
          <w:rStyle w:val="a9"/>
        </w:rPr>
        <w:footnoteRef/>
      </w:r>
      <w:r>
        <w:rPr>
          <w:rtl/>
        </w:rPr>
        <w:t xml:space="preserve"> </w:t>
      </w:r>
      <w:r w:rsidRPr="00E32989">
        <w:rPr>
          <w:rFonts w:cs="Arial"/>
          <w:rtl/>
        </w:rPr>
        <w:t>אלמא לאו כלי הוא, ובשבת נמי אסור לטלטלו</w:t>
      </w:r>
      <w:r>
        <w:rPr>
          <w:rFonts w:cs="Arial" w:hint="cs"/>
          <w:rtl/>
        </w:rPr>
        <w:t>, רש"י.</w:t>
      </w:r>
    </w:p>
  </w:footnote>
  <w:footnote w:id="1433">
    <w:p w14:paraId="618732AB" w14:textId="1CD6733D" w:rsidR="003D09F2" w:rsidRDefault="003D09F2" w:rsidP="00285819">
      <w:pPr>
        <w:pStyle w:val="a7"/>
      </w:pPr>
      <w:r>
        <w:rPr>
          <w:rStyle w:val="a9"/>
        </w:rPr>
        <w:footnoteRef/>
      </w:r>
      <w:r>
        <w:rPr>
          <w:rtl/>
        </w:rPr>
        <w:t xml:space="preserve"> </w:t>
      </w:r>
      <w:r w:rsidRPr="003D09F2">
        <w:rPr>
          <w:rFonts w:cs="Arial"/>
          <w:rtl/>
        </w:rPr>
        <w:t>בפרק כל הכלים: דבר שמלאכתו לאיסור, בין שהוא צריך להשתמש בגופו של כלי, בין שאינו צריך אלא למקומו - מותר לטלטלו, מאחר שתורת כלי עליו, שפיר איכא לאוקומי להא דתני שומטין כרבנן, דכיון דכלי הוא, ואימוס נמי כלי הוא, ואף על גב דמלאכתו דאימוס לאיסור, לתקן מנעלין - מטלטלין להאי אימוס משום צורך מקומו, דהיינו מנעל שהאימוס נתון לתוכו</w:t>
      </w:r>
      <w:r>
        <w:rPr>
          <w:rFonts w:cs="Arial" w:hint="cs"/>
          <w:rtl/>
        </w:rPr>
        <w:t>, רש"י.</w:t>
      </w:r>
    </w:p>
  </w:footnote>
  <w:footnote w:id="1434">
    <w:p w14:paraId="3A74B714" w14:textId="3DFB862B" w:rsidR="003D09F2" w:rsidRDefault="003D09F2" w:rsidP="00285819">
      <w:pPr>
        <w:pStyle w:val="a7"/>
      </w:pPr>
      <w:r>
        <w:rPr>
          <w:rStyle w:val="a9"/>
        </w:rPr>
        <w:footnoteRef/>
      </w:r>
      <w:r>
        <w:rPr>
          <w:rtl/>
        </w:rPr>
        <w:t xml:space="preserve"> </w:t>
      </w:r>
      <w:r w:rsidRPr="003D09F2">
        <w:rPr>
          <w:rFonts w:cs="Arial"/>
          <w:rtl/>
        </w:rPr>
        <w:t>נהי נמי דמנעל שעל האימוס לרבנן כלי הוא - אימוס מיהא מלאכתו לאיסור הוא, וזה ששומט ממנו את המנעל - אינו צריך לגופו של אימוס, והיכי מטלטל ליה?</w:t>
      </w:r>
      <w:r>
        <w:rPr>
          <w:rFonts w:cs="Arial" w:hint="cs"/>
          <w:rtl/>
        </w:rPr>
        <w:t>, רש"י.</w:t>
      </w:r>
    </w:p>
  </w:footnote>
  <w:footnote w:id="1435">
    <w:p w14:paraId="70BD9600" w14:textId="4B7D4164" w:rsidR="003D09F2" w:rsidRDefault="003D09F2" w:rsidP="00285819">
      <w:pPr>
        <w:pStyle w:val="a7"/>
      </w:pPr>
      <w:r>
        <w:rPr>
          <w:rStyle w:val="a9"/>
        </w:rPr>
        <w:footnoteRef/>
      </w:r>
      <w:r>
        <w:rPr>
          <w:rtl/>
        </w:rPr>
        <w:t xml:space="preserve"> </w:t>
      </w:r>
      <w:r w:rsidRPr="003D09F2">
        <w:rPr>
          <w:rFonts w:cs="Arial"/>
          <w:rtl/>
        </w:rPr>
        <w:t>שהמנעל נשמט מאליו, ואין צריך לטלטל האימוס</w:t>
      </w:r>
      <w:r>
        <w:rPr>
          <w:rFonts w:cs="Arial" w:hint="cs"/>
          <w:rtl/>
        </w:rPr>
        <w:t>, רש"י.</w:t>
      </w:r>
    </w:p>
  </w:footnote>
  <w:footnote w:id="1436">
    <w:p w14:paraId="51C21BE1" w14:textId="70CE2BD2" w:rsidR="003D09F2" w:rsidRDefault="003D09F2" w:rsidP="00285819">
      <w:pPr>
        <w:pStyle w:val="a7"/>
      </w:pPr>
      <w:r>
        <w:rPr>
          <w:rStyle w:val="a9"/>
        </w:rPr>
        <w:footnoteRef/>
      </w:r>
      <w:r>
        <w:rPr>
          <w:rtl/>
        </w:rPr>
        <w:t xml:space="preserve"> </w:t>
      </w:r>
      <w:r w:rsidRPr="003D09F2">
        <w:rPr>
          <w:rFonts w:cs="Arial"/>
          <w:rtl/>
        </w:rPr>
        <w:t>ועל כרחך טעמא משום דאימוס אסור לטלטל לצורך מקומו</w:t>
      </w:r>
      <w:r>
        <w:rPr>
          <w:rFonts w:cs="Arial" w:hint="cs"/>
          <w:rtl/>
        </w:rPr>
        <w:t>, רש"י.</w:t>
      </w:r>
    </w:p>
  </w:footnote>
  <w:footnote w:id="1437">
    <w:p w14:paraId="5434F83F" w14:textId="6AC64E9A" w:rsidR="003D09F2" w:rsidRDefault="003D09F2" w:rsidP="00285819">
      <w:pPr>
        <w:pStyle w:val="a7"/>
        <w:rPr>
          <w:rtl/>
        </w:rPr>
      </w:pPr>
      <w:r>
        <w:rPr>
          <w:rStyle w:val="a9"/>
        </w:rPr>
        <w:footnoteRef/>
      </w:r>
      <w:r>
        <w:rPr>
          <w:rtl/>
        </w:rPr>
        <w:t xml:space="preserve"> </w:t>
      </w:r>
      <w:r w:rsidRPr="003D09F2">
        <w:rPr>
          <w:rFonts w:cs="Arial"/>
          <w:rtl/>
        </w:rPr>
        <w:t>כי אמרה ליה ר' יהודה לההוא דמפליג בין רפוי לשאינו רפוי - אליבא דר' אליעזר אמר, דאמר: מנעל שעל האימוס לאו גמר כלי הוא כל זמן שמחוסר הוצאה, ולענין שבת נמי, אסור לטלטלו משום דלאו כלי הוא, ואשמעינן דרפוי לאו מחוסר הוצאה הוא, ומותר לטלטלו, דאילו לרבנן, אע</w:t>
      </w:r>
      <w:r w:rsidR="001A573F">
        <w:rPr>
          <w:rFonts w:cs="Arial" w:hint="cs"/>
          <w:rtl/>
        </w:rPr>
        <w:t>"</w:t>
      </w:r>
      <w:r w:rsidRPr="003D09F2">
        <w:rPr>
          <w:rFonts w:cs="Arial"/>
          <w:rtl/>
        </w:rPr>
        <w:t>ג דאין רפוי - מותר, דטעמא דשאין רפוי אסור לר' יהודה - לאו משום אימוס הוא, אלא משום מנעל גופיה</w:t>
      </w:r>
      <w:r>
        <w:rPr>
          <w:rFonts w:hint="cs"/>
          <w:rtl/>
        </w:rPr>
        <w:t>, רש"י.</w:t>
      </w:r>
    </w:p>
  </w:footnote>
  <w:footnote w:id="1438">
    <w:p w14:paraId="02837F98" w14:textId="19F95047" w:rsidR="00E54BA7" w:rsidRDefault="00E54BA7" w:rsidP="00285819">
      <w:pPr>
        <w:pStyle w:val="a7"/>
      </w:pPr>
      <w:r>
        <w:rPr>
          <w:rStyle w:val="a9"/>
        </w:rPr>
        <w:footnoteRef/>
      </w:r>
      <w:r>
        <w:rPr>
          <w:rtl/>
        </w:rPr>
        <w:t xml:space="preserve"> </w:t>
      </w:r>
      <w:r w:rsidRPr="00E54BA7">
        <w:rPr>
          <w:rFonts w:cs="Arial"/>
          <w:rtl/>
        </w:rPr>
        <w:t>נקט חדש לרבותא אף שהוא מהודק על הדפוס שפיר ואינו יכול לשמטו מעליו אא"כ מטלטל גם הדפוס בידים אפ"ה שרי</w:t>
      </w:r>
      <w:r>
        <w:rPr>
          <w:rFonts w:cs="Arial" w:hint="cs"/>
          <w:rtl/>
        </w:rPr>
        <w:t>..., משנ"ב (סקנ"ו).</w:t>
      </w:r>
    </w:p>
  </w:footnote>
  <w:footnote w:id="1439">
    <w:p w14:paraId="12172807" w14:textId="7A3E108D" w:rsidR="00E54BA7" w:rsidRDefault="00E54BA7" w:rsidP="00285819">
      <w:pPr>
        <w:pStyle w:val="a7"/>
      </w:pPr>
      <w:r>
        <w:rPr>
          <w:rStyle w:val="a9"/>
        </w:rPr>
        <w:footnoteRef/>
      </w:r>
      <w:r>
        <w:rPr>
          <w:rtl/>
        </w:rPr>
        <w:t xml:space="preserve"> </w:t>
      </w:r>
      <w:r w:rsidRPr="00E54BA7">
        <w:rPr>
          <w:rFonts w:cs="Arial"/>
          <w:rtl/>
        </w:rPr>
        <w:t>לפי טעם זה ה"ה דמותר לשמוט הדפוס מתוך המנעל</w:t>
      </w:r>
      <w:r w:rsidR="004B542A">
        <w:rPr>
          <w:rFonts w:cs="Arial" w:hint="cs"/>
          <w:rtl/>
        </w:rPr>
        <w:t>,</w:t>
      </w:r>
      <w:r w:rsidRPr="00E54BA7">
        <w:rPr>
          <w:rFonts w:cs="Arial"/>
          <w:rtl/>
        </w:rPr>
        <w:t xml:space="preserve"> בין שהוא תקוע בו בחוזק ובין ברפוי</w:t>
      </w:r>
      <w:r w:rsidR="004B542A">
        <w:rPr>
          <w:rFonts w:cs="Arial" w:hint="cs"/>
          <w:rtl/>
        </w:rPr>
        <w:t>.</w:t>
      </w:r>
      <w:r w:rsidRPr="00E54BA7">
        <w:rPr>
          <w:rFonts w:cs="Arial"/>
          <w:rtl/>
        </w:rPr>
        <w:t xml:space="preserve"> והא"ר מפקפק ברפוי</w:t>
      </w:r>
      <w:r w:rsidR="004B542A">
        <w:rPr>
          <w:rFonts w:cs="Arial" w:hint="cs"/>
          <w:rtl/>
        </w:rPr>
        <w:t>,</w:t>
      </w:r>
      <w:r w:rsidRPr="00E54BA7">
        <w:rPr>
          <w:rFonts w:cs="Arial"/>
          <w:rtl/>
        </w:rPr>
        <w:t xml:space="preserve"> דלמה יטלטל הדפוס</w:t>
      </w:r>
      <w:r w:rsidR="004B542A">
        <w:rPr>
          <w:rFonts w:cs="Arial" w:hint="cs"/>
          <w:rtl/>
        </w:rPr>
        <w:t>?</w:t>
      </w:r>
      <w:r w:rsidRPr="00E54BA7">
        <w:rPr>
          <w:rFonts w:cs="Arial"/>
          <w:rtl/>
        </w:rPr>
        <w:t xml:space="preserve"> טוב יותר שישמיט המנעל מעליו אחרי שהוא רפוי ולא יטלטלו בידים</w:t>
      </w:r>
      <w:r w:rsidR="004B542A">
        <w:rPr>
          <w:rFonts w:cs="Arial" w:hint="cs"/>
          <w:rtl/>
        </w:rPr>
        <w:t>.</w:t>
      </w:r>
      <w:r w:rsidRPr="00E54BA7">
        <w:rPr>
          <w:rFonts w:cs="Arial"/>
          <w:rtl/>
        </w:rPr>
        <w:t xml:space="preserve"> ובמקום שקשה להשמיט המנעל בודאי אין להחמיר</w:t>
      </w:r>
      <w:r>
        <w:rPr>
          <w:rFonts w:cs="Arial" w:hint="cs"/>
          <w:rtl/>
        </w:rPr>
        <w:t>, משנ"ב (סקנ"ז).</w:t>
      </w:r>
    </w:p>
  </w:footnote>
  <w:footnote w:id="1440">
    <w:p w14:paraId="54DBBE22" w14:textId="69EA9243" w:rsidR="009E4AE5" w:rsidRDefault="009E4AE5" w:rsidP="00285819">
      <w:pPr>
        <w:pStyle w:val="a7"/>
      </w:pPr>
      <w:r>
        <w:rPr>
          <w:rStyle w:val="a9"/>
        </w:rPr>
        <w:footnoteRef/>
      </w:r>
      <w:r>
        <w:rPr>
          <w:rtl/>
        </w:rPr>
        <w:t xml:space="preserve"> </w:t>
      </w:r>
      <w:r w:rsidRPr="009E4AE5">
        <w:rPr>
          <w:rFonts w:cs="Arial"/>
          <w:rtl/>
        </w:rPr>
        <w:t>ונפל הסנדל מרגלו, שעל ידי הרצועה הוא עומד, שהסנדל פתוח מעל גביו, וצדדיו של עץ או של עור שלוק וקשה, והרצועות נקשרות על גב הרגל, ומעמידות אותו</w:t>
      </w:r>
      <w:r>
        <w:rPr>
          <w:rFonts w:cs="Arial" w:hint="cs"/>
          <w:rtl/>
        </w:rPr>
        <w:t>, רש"י.</w:t>
      </w:r>
    </w:p>
  </w:footnote>
  <w:footnote w:id="1441">
    <w:p w14:paraId="1FE7ED38" w14:textId="2E79CB31" w:rsidR="009E4AE5" w:rsidRDefault="009E4AE5" w:rsidP="00285819">
      <w:pPr>
        <w:pStyle w:val="a7"/>
      </w:pPr>
      <w:r>
        <w:rPr>
          <w:rStyle w:val="a9"/>
        </w:rPr>
        <w:footnoteRef/>
      </w:r>
      <w:r>
        <w:rPr>
          <w:rtl/>
        </w:rPr>
        <w:t xml:space="preserve"> </w:t>
      </w:r>
      <w:r w:rsidRPr="009E4AE5">
        <w:rPr>
          <w:rFonts w:cs="Arial"/>
          <w:rtl/>
        </w:rPr>
        <w:t>דראוי לטלטול</w:t>
      </w:r>
      <w:r>
        <w:rPr>
          <w:rFonts w:cs="Arial" w:hint="cs"/>
          <w:rtl/>
        </w:rPr>
        <w:t>, רש"י.</w:t>
      </w:r>
    </w:p>
  </w:footnote>
  <w:footnote w:id="1442">
    <w:p w14:paraId="4EE46DE1" w14:textId="2C7CE3F0" w:rsidR="009E4AE5" w:rsidRDefault="009E4AE5" w:rsidP="00285819">
      <w:pPr>
        <w:pStyle w:val="a7"/>
        <w:rPr>
          <w:rtl/>
        </w:rPr>
      </w:pPr>
      <w:r>
        <w:rPr>
          <w:rStyle w:val="a9"/>
        </w:rPr>
        <w:footnoteRef/>
      </w:r>
      <w:r>
        <w:rPr>
          <w:rtl/>
        </w:rPr>
        <w:t xml:space="preserve"> </w:t>
      </w:r>
      <w:r w:rsidRPr="009E4AE5">
        <w:rPr>
          <w:rFonts w:cs="Arial"/>
          <w:rtl/>
        </w:rPr>
        <w:t>בחצר</w:t>
      </w:r>
      <w:r>
        <w:rPr>
          <w:rFonts w:hint="cs"/>
          <w:rtl/>
        </w:rPr>
        <w:t>, רש"י.</w:t>
      </w:r>
    </w:p>
  </w:footnote>
  <w:footnote w:id="1443">
    <w:p w14:paraId="1367A835" w14:textId="2DAC8AFF" w:rsidR="00B1687F" w:rsidRDefault="00B1687F" w:rsidP="00285819">
      <w:pPr>
        <w:pStyle w:val="a7"/>
      </w:pPr>
      <w:r>
        <w:rPr>
          <w:rStyle w:val="a9"/>
        </w:rPr>
        <w:footnoteRef/>
      </w:r>
      <w:r>
        <w:rPr>
          <w:rtl/>
        </w:rPr>
        <w:t xml:space="preserve"> </w:t>
      </w:r>
      <w:r>
        <w:rPr>
          <w:rFonts w:cs="Arial"/>
          <w:rtl/>
        </w:rPr>
        <w:t>וכתבוהו הרי"ף (מא:) והרא"ש (סי' א)</w:t>
      </w:r>
      <w:r>
        <w:rPr>
          <w:rFonts w:cs="Arial" w:hint="cs"/>
          <w:rtl/>
        </w:rPr>
        <w:t xml:space="preserve">. </w:t>
      </w:r>
      <w:r>
        <w:rPr>
          <w:rFonts w:cs="Arial"/>
          <w:rtl/>
        </w:rPr>
        <w:t xml:space="preserve">אבל הרמב"ם </w:t>
      </w:r>
      <w:r>
        <w:rPr>
          <w:rFonts w:cs="Arial" w:hint="cs"/>
          <w:rtl/>
        </w:rPr>
        <w:t>(</w:t>
      </w:r>
      <w:r>
        <w:rPr>
          <w:rFonts w:cs="Arial"/>
          <w:rtl/>
        </w:rPr>
        <w:t>פ</w:t>
      </w:r>
      <w:r>
        <w:rPr>
          <w:rFonts w:cs="Arial" w:hint="cs"/>
          <w:rtl/>
        </w:rPr>
        <w:t>"</w:t>
      </w:r>
      <w:r>
        <w:rPr>
          <w:rFonts w:cs="Arial"/>
          <w:rtl/>
        </w:rPr>
        <w:t>י ה"ד) כתב דינא דעובדא דרבי ירמיה</w:t>
      </w:r>
      <w:r>
        <w:rPr>
          <w:rFonts w:cs="Arial" w:hint="cs"/>
          <w:rtl/>
        </w:rPr>
        <w:t>,</w:t>
      </w:r>
      <w:r>
        <w:rPr>
          <w:rFonts w:cs="Arial"/>
          <w:rtl/>
        </w:rPr>
        <w:t xml:space="preserve"> ולא כתב דינא דהאי עובדא</w:t>
      </w:r>
      <w:r>
        <w:rPr>
          <w:rFonts w:cs="Arial" w:hint="cs"/>
          <w:rtl/>
        </w:rPr>
        <w:t xml:space="preserve"> </w:t>
      </w:r>
      <w:r>
        <w:rPr>
          <w:rFonts w:cs="Arial" w:hint="cs"/>
          <w:sz w:val="16"/>
          <w:szCs w:val="16"/>
          <w:rtl/>
        </w:rPr>
        <w:t xml:space="preserve">{וז"ל- </w:t>
      </w:r>
      <w:r w:rsidRPr="00B1687F">
        <w:rPr>
          <w:rFonts w:cs="Arial"/>
          <w:sz w:val="16"/>
          <w:szCs w:val="16"/>
          <w:rtl/>
        </w:rPr>
        <w:t>כל שראוי למאכל בהמה מותר לקשור אותו בשבת, לפיכך אם נפסקה רצועת סנדלו בכרמלית נוטל גמי לח הראוי למאכל בהמה וכורך עליו וקושר הגמי</w:t>
      </w:r>
      <w:r>
        <w:rPr>
          <w:rFonts w:cs="Arial" w:hint="cs"/>
          <w:sz w:val="16"/>
          <w:szCs w:val="16"/>
          <w:rtl/>
        </w:rPr>
        <w:t>}</w:t>
      </w:r>
      <w:r>
        <w:rPr>
          <w:rFonts w:cs="Arial" w:hint="cs"/>
          <w:rtl/>
        </w:rPr>
        <w:t>.</w:t>
      </w:r>
      <w:r>
        <w:rPr>
          <w:rFonts w:cs="Arial"/>
          <w:rtl/>
        </w:rPr>
        <w:t xml:space="preserve"> וכתב ה</w:t>
      </w:r>
      <w:r>
        <w:rPr>
          <w:rFonts w:cs="Arial" w:hint="cs"/>
          <w:rtl/>
        </w:rPr>
        <w:t>ה"</w:t>
      </w:r>
      <w:r>
        <w:rPr>
          <w:rFonts w:cs="Arial"/>
          <w:rtl/>
        </w:rPr>
        <w:t>מ ואולי דעתו כדעת קצת מפרשים (רי"ף מח.) שסוברים דהא דרב יוסף אתיא דלא כהלכתא</w:t>
      </w:r>
      <w:r>
        <w:rPr>
          <w:rFonts w:cs="Arial" w:hint="cs"/>
          <w:rtl/>
        </w:rPr>
        <w:t>,</w:t>
      </w:r>
      <w:r>
        <w:rPr>
          <w:rFonts w:cs="Arial"/>
          <w:rtl/>
        </w:rPr>
        <w:t xml:space="preserve"> שסובר שכלי שנשבר אינו ראוי לטלטלו אא</w:t>
      </w:r>
      <w:r>
        <w:rPr>
          <w:rFonts w:cs="Arial" w:hint="cs"/>
          <w:rtl/>
        </w:rPr>
        <w:t>"</w:t>
      </w:r>
      <w:r>
        <w:rPr>
          <w:rFonts w:cs="Arial"/>
          <w:rtl/>
        </w:rPr>
        <w:t>כ עושה מעין מלאכתו הראשונה</w:t>
      </w:r>
      <w:r>
        <w:rPr>
          <w:rFonts w:cs="Arial" w:hint="cs"/>
          <w:rtl/>
        </w:rPr>
        <w:t>,</w:t>
      </w:r>
      <w:r>
        <w:rPr>
          <w:rFonts w:cs="Arial"/>
          <w:rtl/>
        </w:rPr>
        <w:t xml:space="preserve"> ואין הלכה כן עכ"ל</w:t>
      </w:r>
      <w:r>
        <w:rPr>
          <w:rFonts w:cs="Arial" w:hint="cs"/>
          <w:rtl/>
        </w:rPr>
        <w:t>.</w:t>
      </w:r>
      <w:r>
        <w:rPr>
          <w:rFonts w:cs="Arial"/>
          <w:rtl/>
        </w:rPr>
        <w:t xml:space="preserve"> ונראה שטעמו מדאמר ליה אביי לרב יוסף והא מנא הוא דאי בעינא הפיכנא ליה מימין לשמאל</w:t>
      </w:r>
      <w:r>
        <w:rPr>
          <w:rFonts w:cs="Arial" w:hint="cs"/>
          <w:rtl/>
        </w:rPr>
        <w:t>...</w:t>
      </w:r>
      <w:r>
        <w:rPr>
          <w:rFonts w:cs="Arial"/>
          <w:rtl/>
        </w:rPr>
        <w:t xml:space="preserve"> והא אכתי מנא הוא דמפיכנא ליה לרגל האחרת ונמצאת החיצונה פנימית</w:t>
      </w:r>
      <w:r>
        <w:rPr>
          <w:rFonts w:cs="Arial" w:hint="cs"/>
          <w:rtl/>
        </w:rPr>
        <w:t>,</w:t>
      </w:r>
      <w:r>
        <w:rPr>
          <w:rFonts w:cs="Arial"/>
          <w:rtl/>
        </w:rPr>
        <w:t xml:space="preserve"> א"ל מדקא מתרץ רבי יוחנן אליבא דרבי יהודה שמע מינה הלכה כרבי יהודה דאמר נפסקה פנימית טמאה חיצונה טהורה</w:t>
      </w:r>
      <w:r>
        <w:rPr>
          <w:rFonts w:cs="Arial" w:hint="cs"/>
          <w:rtl/>
        </w:rPr>
        <w:t>,</w:t>
      </w:r>
      <w:r>
        <w:rPr>
          <w:rFonts w:cs="Arial"/>
          <w:rtl/>
        </w:rPr>
        <w:t xml:space="preserve"> ומשמע ליה </w:t>
      </w:r>
      <w:r>
        <w:rPr>
          <w:rFonts w:cs="Arial" w:hint="cs"/>
          <w:sz w:val="16"/>
          <w:szCs w:val="16"/>
          <w:rtl/>
        </w:rPr>
        <w:t xml:space="preserve">{לרמב"ם} </w:t>
      </w:r>
      <w:r>
        <w:rPr>
          <w:rFonts w:cs="Arial"/>
          <w:rtl/>
        </w:rPr>
        <w:t>דכיון דאכתי כלי הוא אלא שאינו משמש מעין מלאכתו הראשונה חזי לטלטול כדתנן בפרק כל הכלים (קכד:) דכיון שעושין מעין מלאכה מותר לטלטלם ואע</w:t>
      </w:r>
      <w:r>
        <w:rPr>
          <w:rFonts w:cs="Arial" w:hint="cs"/>
          <w:rtl/>
        </w:rPr>
        <w:t>"</w:t>
      </w:r>
      <w:r>
        <w:rPr>
          <w:rFonts w:cs="Arial"/>
          <w:rtl/>
        </w:rPr>
        <w:t>פ שאינם עושים מעין מלאכתם הראשונה</w:t>
      </w:r>
      <w:r>
        <w:rPr>
          <w:rFonts w:cs="Arial" w:hint="cs"/>
          <w:rtl/>
        </w:rPr>
        <w:t>.</w:t>
      </w:r>
      <w:r>
        <w:rPr>
          <w:rFonts w:cs="Arial"/>
          <w:rtl/>
        </w:rPr>
        <w:t xml:space="preserve"> ונראה לי שיש לדחות</w:t>
      </w:r>
      <w:r>
        <w:rPr>
          <w:rFonts w:cs="Arial" w:hint="cs"/>
          <w:rtl/>
        </w:rPr>
        <w:t>,</w:t>
      </w:r>
      <w:r>
        <w:rPr>
          <w:rFonts w:cs="Arial"/>
          <w:rtl/>
        </w:rPr>
        <w:t xml:space="preserve"> דסנדל שאני</w:t>
      </w:r>
      <w:r>
        <w:rPr>
          <w:rFonts w:cs="Arial" w:hint="cs"/>
          <w:rtl/>
        </w:rPr>
        <w:t>,</w:t>
      </w:r>
      <w:r>
        <w:rPr>
          <w:rFonts w:cs="Arial"/>
          <w:rtl/>
        </w:rPr>
        <w:t xml:space="preserve"> דלא חזי לכסות בו כלי כדחזי שאר שברי כלים משום דמימאיס</w:t>
      </w:r>
      <w:r>
        <w:rPr>
          <w:rFonts w:cs="Arial" w:hint="cs"/>
          <w:rtl/>
        </w:rPr>
        <w:t>,</w:t>
      </w:r>
      <w:r>
        <w:rPr>
          <w:rFonts w:cs="Arial"/>
          <w:rtl/>
        </w:rPr>
        <w:t xml:space="preserve"> ומשום הכי כל היכא שאינו ראוי לנעול לאו כלי הוא כלל</w:t>
      </w:r>
      <w:r>
        <w:rPr>
          <w:rFonts w:cs="Arial" w:hint="cs"/>
          <w:rtl/>
        </w:rPr>
        <w:t>,</w:t>
      </w:r>
      <w:r>
        <w:rPr>
          <w:rFonts w:cs="Arial"/>
          <w:rtl/>
        </w:rPr>
        <w:t xml:space="preserve"> ואפילו לתנא קמא דרבי יהודה</w:t>
      </w:r>
      <w:r>
        <w:rPr>
          <w:rFonts w:cs="Arial" w:hint="cs"/>
          <w:rtl/>
        </w:rPr>
        <w:t>.</w:t>
      </w:r>
      <w:r>
        <w:rPr>
          <w:rFonts w:cs="Arial"/>
          <w:rtl/>
        </w:rPr>
        <w:t xml:space="preserve"> ומכל מקום כיון שהרי"ף והרא"ש מסכימין לדעת אחת הכי נקטינן</w:t>
      </w:r>
      <w:r>
        <w:rPr>
          <w:rFonts w:cs="Arial" w:hint="cs"/>
          <w:rtl/>
        </w:rPr>
        <w:t>, ב"י.</w:t>
      </w:r>
    </w:p>
  </w:footnote>
  <w:footnote w:id="1444">
    <w:p w14:paraId="25E0676E" w14:textId="146C10E2" w:rsidR="004C0E81" w:rsidRDefault="004C0E81" w:rsidP="00285819">
      <w:pPr>
        <w:pStyle w:val="a7"/>
      </w:pPr>
      <w:r>
        <w:rPr>
          <w:rStyle w:val="a9"/>
        </w:rPr>
        <w:footnoteRef/>
      </w:r>
      <w:r>
        <w:rPr>
          <w:rtl/>
        </w:rPr>
        <w:t xml:space="preserve"> </w:t>
      </w:r>
      <w:r w:rsidRPr="004C0E81">
        <w:rPr>
          <w:rFonts w:cs="Arial"/>
          <w:rtl/>
        </w:rPr>
        <w:t>שהסנדל יש לו שתי תרסיות, והן של עור, מקום קביעות הרצועות אחת מבחוץ ואחת מבפנים לבין שני רגלים, כעין שיש למנעלים שלנו, וכשנפסק הפנימי - ראוי הוא לתקנו, ואף על גב שתיקונו ניכר וגנאי הוא - מיהו לצד פנים לא מיתחזי, וכשנפסקה חיצונה אינו הגון שוב לתקנו, והך דאביי חיצונה איפסיק, משום הכי אסריה רב יוסף אפילו לטלטלו, ואמר ליה אביי: והא אכתי מנא הוא, דהפיכנא ליה לרגל האחרת, ונמצאת החיצונה פנימית</w:t>
      </w:r>
      <w:r>
        <w:rPr>
          <w:rFonts w:cs="Arial" w:hint="cs"/>
          <w:rtl/>
        </w:rPr>
        <w:t>, רש"י.</w:t>
      </w:r>
    </w:p>
  </w:footnote>
  <w:footnote w:id="1445">
    <w:p w14:paraId="2758A420" w14:textId="74FFB4D6" w:rsidR="004C0E81" w:rsidRDefault="004C0E81" w:rsidP="00285819">
      <w:pPr>
        <w:pStyle w:val="a7"/>
      </w:pPr>
      <w:r>
        <w:rPr>
          <w:rStyle w:val="a9"/>
        </w:rPr>
        <w:footnoteRef/>
      </w:r>
      <w:r>
        <w:rPr>
          <w:rtl/>
        </w:rPr>
        <w:t xml:space="preserve"> </w:t>
      </w:r>
      <w:r w:rsidRPr="004C0E81">
        <w:rPr>
          <w:rFonts w:cs="Arial"/>
          <w:rtl/>
        </w:rPr>
        <w:t>למילתיה דר' יהודה לקמן, ומפרש לה</w:t>
      </w:r>
      <w:r>
        <w:rPr>
          <w:rFonts w:cs="Arial" w:hint="cs"/>
          <w:rtl/>
        </w:rPr>
        <w:t>, רש"י.</w:t>
      </w:r>
    </w:p>
  </w:footnote>
  <w:footnote w:id="1446">
    <w:p w14:paraId="1CD5811F" w14:textId="7DF3F8FA" w:rsidR="004C0E81" w:rsidRDefault="004C0E81" w:rsidP="00285819">
      <w:pPr>
        <w:pStyle w:val="a7"/>
        <w:rPr>
          <w:rtl/>
        </w:rPr>
      </w:pPr>
      <w:r>
        <w:rPr>
          <w:rStyle w:val="a9"/>
        </w:rPr>
        <w:footnoteRef/>
      </w:r>
      <w:r>
        <w:rPr>
          <w:rtl/>
        </w:rPr>
        <w:t xml:space="preserve"> </w:t>
      </w:r>
      <w:r w:rsidRPr="004C0E81">
        <w:rPr>
          <w:rFonts w:cs="Arial"/>
          <w:rtl/>
        </w:rPr>
        <w:t>דאמר משנפסקה החיצונה לאו מנא הוא</w:t>
      </w:r>
      <w:r>
        <w:rPr>
          <w:rFonts w:hint="cs"/>
          <w:rtl/>
        </w:rPr>
        <w:t>, רש"י.</w:t>
      </w:r>
    </w:p>
  </w:footnote>
  <w:footnote w:id="1447">
    <w:p w14:paraId="03093E12" w14:textId="4383C73A" w:rsidR="004C0E81" w:rsidRDefault="004C0E81" w:rsidP="00285819">
      <w:pPr>
        <w:pStyle w:val="a7"/>
      </w:pPr>
      <w:r>
        <w:rPr>
          <w:rStyle w:val="a9"/>
        </w:rPr>
        <w:footnoteRef/>
      </w:r>
      <w:r>
        <w:rPr>
          <w:rtl/>
        </w:rPr>
        <w:t xml:space="preserve"> </w:t>
      </w:r>
      <w:r w:rsidRPr="004C0E81">
        <w:rPr>
          <w:rFonts w:cs="Arial"/>
          <w:rtl/>
        </w:rPr>
        <w:t>שכלפי גב הרגל, שאוחזו בהן כשנועלו</w:t>
      </w:r>
      <w:r>
        <w:rPr>
          <w:rFonts w:cs="Arial" w:hint="cs"/>
          <w:rtl/>
        </w:rPr>
        <w:t>, רש"י.</w:t>
      </w:r>
    </w:p>
  </w:footnote>
  <w:footnote w:id="1448">
    <w:p w14:paraId="68153202" w14:textId="72772185" w:rsidR="004C0E81" w:rsidRDefault="004C0E81" w:rsidP="00285819">
      <w:pPr>
        <w:pStyle w:val="a7"/>
      </w:pPr>
      <w:r>
        <w:rPr>
          <w:rStyle w:val="a9"/>
        </w:rPr>
        <w:footnoteRef/>
      </w:r>
      <w:r>
        <w:rPr>
          <w:rtl/>
        </w:rPr>
        <w:t xml:space="preserve"> </w:t>
      </w:r>
      <w:r w:rsidRPr="004C0E81">
        <w:rPr>
          <w:rFonts w:cs="Arial"/>
          <w:rtl/>
        </w:rPr>
        <w:t>מקום קביעות הרצועות</w:t>
      </w:r>
      <w:r>
        <w:rPr>
          <w:rFonts w:cs="Arial" w:hint="cs"/>
          <w:rtl/>
        </w:rPr>
        <w:t>, רש"י.</w:t>
      </w:r>
    </w:p>
  </w:footnote>
  <w:footnote w:id="1449">
    <w:p w14:paraId="47A80939" w14:textId="55D0CA5D" w:rsidR="004C0E81" w:rsidRDefault="004C0E81" w:rsidP="00285819">
      <w:pPr>
        <w:pStyle w:val="a7"/>
      </w:pPr>
      <w:r>
        <w:rPr>
          <w:rStyle w:val="a9"/>
        </w:rPr>
        <w:footnoteRef/>
      </w:r>
      <w:r>
        <w:rPr>
          <w:rtl/>
        </w:rPr>
        <w:t xml:space="preserve"> </w:t>
      </w:r>
      <w:r w:rsidRPr="004C0E81">
        <w:rPr>
          <w:rFonts w:cs="Arial"/>
          <w:rtl/>
        </w:rPr>
        <w:t xml:space="preserve">שול"א </w:t>
      </w:r>
      <w:r w:rsidR="001A573F">
        <w:rPr>
          <w:rFonts w:cs="Arial" w:hint="cs"/>
          <w:rtl/>
        </w:rPr>
        <w:t>(</w:t>
      </w:r>
      <w:r w:rsidRPr="004C0E81">
        <w:rPr>
          <w:rFonts w:cs="Arial"/>
          <w:rtl/>
        </w:rPr>
        <w:t>סוליית הנעל</w:t>
      </w:r>
      <w:r w:rsidR="001A573F">
        <w:rPr>
          <w:rFonts w:cs="Arial" w:hint="cs"/>
          <w:rtl/>
        </w:rPr>
        <w:t>)</w:t>
      </w:r>
      <w:r w:rsidRPr="004C0E81">
        <w:rPr>
          <w:rFonts w:cs="Arial"/>
          <w:rtl/>
        </w:rPr>
        <w:t xml:space="preserve"> בלעז, שתחת פרסות הרגל</w:t>
      </w:r>
      <w:r>
        <w:rPr>
          <w:rFonts w:cs="Arial" w:hint="cs"/>
          <w:rtl/>
        </w:rPr>
        <w:t>, רש"י.</w:t>
      </w:r>
    </w:p>
  </w:footnote>
  <w:footnote w:id="1450">
    <w:p w14:paraId="6BAC8EDA" w14:textId="32C50855" w:rsidR="004C0E81" w:rsidRDefault="004C0E81" w:rsidP="00285819">
      <w:pPr>
        <w:pStyle w:val="a7"/>
        <w:rPr>
          <w:rtl/>
        </w:rPr>
      </w:pPr>
      <w:r>
        <w:rPr>
          <w:rStyle w:val="a9"/>
        </w:rPr>
        <w:footnoteRef/>
      </w:r>
      <w:r>
        <w:rPr>
          <w:rtl/>
        </w:rPr>
        <w:t xml:space="preserve"> </w:t>
      </w:r>
      <w:r w:rsidRPr="004C0E81">
        <w:rPr>
          <w:rFonts w:cs="Arial"/>
          <w:rtl/>
        </w:rPr>
        <w:t>דתו לא מתקני ליה, ואי נמי מתקני ליה - חדוש הוא, והשתא מיהא בטיל ליה</w:t>
      </w:r>
      <w:r>
        <w:rPr>
          <w:rFonts w:hint="cs"/>
          <w:rtl/>
        </w:rPr>
        <w:t>, רש"י.</w:t>
      </w:r>
    </w:p>
  </w:footnote>
  <w:footnote w:id="1451">
    <w:p w14:paraId="0B41EB4C" w14:textId="5C1D3C5D" w:rsidR="004C0E81" w:rsidRDefault="004C0E81" w:rsidP="00285819">
      <w:pPr>
        <w:pStyle w:val="a7"/>
      </w:pPr>
      <w:r>
        <w:rPr>
          <w:rStyle w:val="a9"/>
        </w:rPr>
        <w:footnoteRef/>
      </w:r>
      <w:r>
        <w:rPr>
          <w:rtl/>
        </w:rPr>
        <w:t xml:space="preserve"> </w:t>
      </w:r>
      <w:r w:rsidRPr="004C0E81">
        <w:rPr>
          <w:rFonts w:cs="Arial"/>
          <w:rtl/>
        </w:rPr>
        <w:t>לא פרחה טומאה מעליו, דאכתי מנא הוא, ואפילו נפסקה החיצונה, דאי בעי מפיך ליה מימין לשמאל, ונמצאת חיצונה נעשית פנימית</w:t>
      </w:r>
      <w:r>
        <w:rPr>
          <w:rFonts w:cs="Arial" w:hint="cs"/>
          <w:rtl/>
        </w:rPr>
        <w:t>, רש"י.</w:t>
      </w:r>
    </w:p>
  </w:footnote>
  <w:footnote w:id="1452">
    <w:p w14:paraId="4256413D" w14:textId="46865CAA" w:rsidR="004C0E81" w:rsidRDefault="004C0E81" w:rsidP="00285819">
      <w:pPr>
        <w:pStyle w:val="a7"/>
        <w:rPr>
          <w:rtl/>
        </w:rPr>
      </w:pPr>
      <w:r>
        <w:rPr>
          <w:rStyle w:val="a9"/>
        </w:rPr>
        <w:footnoteRef/>
      </w:r>
      <w:r>
        <w:rPr>
          <w:rtl/>
        </w:rPr>
        <w:t xml:space="preserve"> </w:t>
      </w:r>
      <w:r w:rsidRPr="004C0E81">
        <w:rPr>
          <w:rFonts w:cs="Arial"/>
          <w:rtl/>
        </w:rPr>
        <w:t>אשמעינן ר' יוחנן, דכי היכי דלענין טומאה משוי ליה מנא - לענין שבת נמי מנא הוא, אבל לחליצה - לאו מנא הוא, ואינו כשר לחליצה, והא אנן תנן: חלצה בסנדל של שמאל בימין, שהחליצה ברגל ימיני ואם נעל בו סנדל שמאל וחלצה - כשר, ואי נפסקה חיצונה דסנדל של שמאל אמאי לא הוה כשר לחלוץ הואיל ובעלמא סנדל הוא, משום דחזי להפוכי - הכא נמי חזי להפוכי</w:t>
      </w:r>
      <w:r>
        <w:rPr>
          <w:rFonts w:hint="cs"/>
          <w:rtl/>
        </w:rPr>
        <w:t>, רש"י.</w:t>
      </w:r>
    </w:p>
  </w:footnote>
  <w:footnote w:id="1453">
    <w:p w14:paraId="5AB6CAF0" w14:textId="5039D76C" w:rsidR="00A36BC5" w:rsidRDefault="00A36BC5" w:rsidP="00285819">
      <w:pPr>
        <w:pStyle w:val="a7"/>
      </w:pPr>
      <w:r>
        <w:rPr>
          <w:rStyle w:val="a9"/>
        </w:rPr>
        <w:footnoteRef/>
      </w:r>
      <w:r>
        <w:rPr>
          <w:rtl/>
        </w:rPr>
        <w:t xml:space="preserve"> </w:t>
      </w:r>
      <w:r w:rsidRPr="00A36BC5">
        <w:rPr>
          <w:rFonts w:cs="Arial"/>
          <w:rtl/>
        </w:rPr>
        <w:t>כדמפרש ואזיל, ואשמעינן דכי אמרינן חלצה כו', ואליבא דרבנן - לא מצינן</w:t>
      </w:r>
      <w:r w:rsidRPr="00A36BC5">
        <w:rPr>
          <w:rtl/>
        </w:rPr>
        <w:t xml:space="preserve"> </w:t>
      </w:r>
      <w:r w:rsidRPr="00A36BC5">
        <w:rPr>
          <w:rFonts w:cs="Arial"/>
          <w:rtl/>
        </w:rPr>
        <w:t>לאוקמיה לדר' יוחנן ולמימר: וכן לחליצה, ולאשמעינן דמנא הוא, דאם כן, מאי אתא לאשמעינן ר' יוחנן כיון דלמילתיה מנא הוא - בהדיא תנן לה מתניתין, ומשום דאפכי לא מיפסל, דתנן: חלצה בשל שמאל בימין חליצתה כשרה, והיינו דאמר לעיל דמתרץ ר' יוחנן אליביה דר' יהודה</w:t>
      </w:r>
      <w:r>
        <w:rPr>
          <w:rFonts w:cs="Arial" w:hint="cs"/>
          <w:rtl/>
        </w:rPr>
        <w:t>, רש"י.</w:t>
      </w:r>
    </w:p>
  </w:footnote>
  <w:footnote w:id="1454">
    <w:p w14:paraId="5DE8C0A4" w14:textId="248087DD" w:rsidR="00A36BC5" w:rsidRDefault="00A36BC5" w:rsidP="00285819">
      <w:pPr>
        <w:pStyle w:val="a7"/>
        <w:rPr>
          <w:rtl/>
        </w:rPr>
      </w:pPr>
      <w:r>
        <w:rPr>
          <w:rStyle w:val="a9"/>
        </w:rPr>
        <w:footnoteRef/>
      </w:r>
      <w:r>
        <w:rPr>
          <w:rtl/>
        </w:rPr>
        <w:t xml:space="preserve"> </w:t>
      </w:r>
      <w:r w:rsidRPr="00A36BC5">
        <w:rPr>
          <w:rFonts w:cs="Arial"/>
          <w:rtl/>
        </w:rPr>
        <w:t>הך דמדרס</w:t>
      </w:r>
      <w:r>
        <w:rPr>
          <w:rFonts w:hint="cs"/>
          <w:rtl/>
        </w:rPr>
        <w:t>, רש"י.</w:t>
      </w:r>
    </w:p>
  </w:footnote>
  <w:footnote w:id="1455">
    <w:p w14:paraId="14D6B7DD" w14:textId="29DC84BA" w:rsidR="002E3B43" w:rsidRDefault="002E3B43" w:rsidP="00285819">
      <w:pPr>
        <w:pStyle w:val="a7"/>
      </w:pPr>
      <w:r>
        <w:rPr>
          <w:rStyle w:val="a9"/>
        </w:rPr>
        <w:footnoteRef/>
      </w:r>
      <w:r>
        <w:rPr>
          <w:rtl/>
        </w:rPr>
        <w:t xml:space="preserve"> </w:t>
      </w:r>
      <w:r w:rsidRPr="002E3B43">
        <w:rPr>
          <w:rFonts w:cs="Arial"/>
          <w:rtl/>
        </w:rPr>
        <w:t>והך דנפסקה שניה דקתני - תרווייהו בחיצונות קאמר, וסתמא כר' יהודה, דכיון דנפסקו חיצונות טהור</w:t>
      </w:r>
      <w:r>
        <w:rPr>
          <w:rFonts w:cs="Arial" w:hint="cs"/>
          <w:rtl/>
        </w:rPr>
        <w:t>, רש"י.</w:t>
      </w:r>
    </w:p>
  </w:footnote>
  <w:footnote w:id="1456">
    <w:p w14:paraId="2BAD8A0D" w14:textId="66AD222F" w:rsidR="002E3B43" w:rsidRDefault="002E3B43" w:rsidP="00285819">
      <w:pPr>
        <w:pStyle w:val="a7"/>
      </w:pPr>
      <w:r>
        <w:rPr>
          <w:rStyle w:val="a9"/>
        </w:rPr>
        <w:footnoteRef/>
      </w:r>
      <w:r>
        <w:rPr>
          <w:rtl/>
        </w:rPr>
        <w:t xml:space="preserve"> </w:t>
      </w:r>
      <w:r w:rsidRPr="002E3B43">
        <w:rPr>
          <w:rFonts w:cs="Arial"/>
          <w:rtl/>
        </w:rPr>
        <w:t>דאמר הלכה כר' יהודה</w:t>
      </w:r>
      <w:r>
        <w:rPr>
          <w:rFonts w:cs="Arial" w:hint="cs"/>
          <w:rtl/>
        </w:rPr>
        <w:t>, רש"י.</w:t>
      </w:r>
    </w:p>
  </w:footnote>
  <w:footnote w:id="1457">
    <w:p w14:paraId="462A996C" w14:textId="5B42BC9B" w:rsidR="0019227A" w:rsidRDefault="0019227A" w:rsidP="00285819">
      <w:pPr>
        <w:pStyle w:val="a7"/>
        <w:rPr>
          <w:rtl/>
        </w:rPr>
      </w:pPr>
      <w:r>
        <w:rPr>
          <w:rStyle w:val="a9"/>
        </w:rPr>
        <w:footnoteRef/>
      </w:r>
      <w:r>
        <w:rPr>
          <w:rtl/>
        </w:rPr>
        <w:t xml:space="preserve"> </w:t>
      </w:r>
      <w:r w:rsidRPr="0019227A">
        <w:rPr>
          <w:rFonts w:cs="Arial"/>
          <w:rtl/>
        </w:rPr>
        <w:t>וכ"ז בסנדלים שלהם אבל במנעלים שלנו אף על פי שנפסקה עדיין חזי ללבישה ותורת כלי עליה דדוקא במנעלים שלהם שהיו פתוחים לגמרי מלמעלה וצדדיו של עץ או של עור קשה והרצועה נקשרת ע"ג הרגל ואם נפסקה לא היה יכול לנועלו משא"כ בשלנו</w:t>
      </w:r>
      <w:r>
        <w:rPr>
          <w:rFonts w:hint="cs"/>
          <w:rtl/>
        </w:rPr>
        <w:t>, משנ"ב (ס</w:t>
      </w:r>
      <w:r w:rsidR="00B878FC">
        <w:rPr>
          <w:rFonts w:hint="cs"/>
          <w:rtl/>
        </w:rPr>
        <w:t>קנ"ט</w:t>
      </w:r>
      <w:r>
        <w:rPr>
          <w:rFonts w:hint="cs"/>
          <w:rtl/>
        </w:rPr>
        <w:t>).</w:t>
      </w:r>
    </w:p>
  </w:footnote>
  <w:footnote w:id="1458">
    <w:p w14:paraId="4375F41D" w14:textId="2A4A7F8B" w:rsidR="0019227A" w:rsidRDefault="0019227A" w:rsidP="00285819">
      <w:pPr>
        <w:pStyle w:val="a7"/>
      </w:pPr>
      <w:r>
        <w:rPr>
          <w:rStyle w:val="a9"/>
        </w:rPr>
        <w:footnoteRef/>
      </w:r>
      <w:r>
        <w:rPr>
          <w:rtl/>
        </w:rPr>
        <w:t xml:space="preserve"> </w:t>
      </w:r>
      <w:r w:rsidR="00B878FC" w:rsidRPr="00B878FC">
        <w:rPr>
          <w:rFonts w:cs="Arial"/>
          <w:rtl/>
        </w:rPr>
        <w:t>ר"ל דשם אין נשמר ע"כ התירו לו לכרוך כדי שלא יאבד</w:t>
      </w:r>
      <w:r>
        <w:rPr>
          <w:rFonts w:hint="cs"/>
          <w:rtl/>
        </w:rPr>
        <w:t>, משנ"ב (סע' קטן ס)</w:t>
      </w:r>
      <w:r w:rsidR="00B878FC">
        <w:rPr>
          <w:rFonts w:hint="cs"/>
          <w:rtl/>
        </w:rPr>
        <w:t>.</w:t>
      </w:r>
    </w:p>
  </w:footnote>
  <w:footnote w:id="1459">
    <w:p w14:paraId="4996258B" w14:textId="502799A2" w:rsidR="0019227A" w:rsidRDefault="0019227A" w:rsidP="00285819">
      <w:pPr>
        <w:pStyle w:val="a7"/>
      </w:pPr>
      <w:r>
        <w:rPr>
          <w:rStyle w:val="a9"/>
        </w:rPr>
        <w:footnoteRef/>
      </w:r>
      <w:r>
        <w:rPr>
          <w:rtl/>
        </w:rPr>
        <w:t xml:space="preserve"> </w:t>
      </w:r>
      <w:r w:rsidRPr="0019227A">
        <w:rPr>
          <w:rFonts w:cs="Arial"/>
          <w:rtl/>
        </w:rPr>
        <w:t>ובחוט או משיחה דעת המ"א דאסור דלמא מבטל ליה התם והוי קשר של של קיימא אך לענוב אותו בעניבה לכו"ע מותר</w:t>
      </w:r>
      <w:r w:rsidR="00B878FC">
        <w:rPr>
          <w:rFonts w:hint="cs"/>
          <w:rtl/>
        </w:rPr>
        <w:t>, משנ"ב (סע' קטן ס</w:t>
      </w:r>
      <w:r w:rsidR="00855CAD">
        <w:rPr>
          <w:rFonts w:hint="cs"/>
          <w:rtl/>
        </w:rPr>
        <w:t>א</w:t>
      </w:r>
      <w:r w:rsidR="00B878FC">
        <w:rPr>
          <w:rFonts w:hint="cs"/>
          <w:rtl/>
        </w:rPr>
        <w:t>).</w:t>
      </w:r>
    </w:p>
  </w:footnote>
  <w:footnote w:id="1460">
    <w:p w14:paraId="506A3169" w14:textId="76B6715B" w:rsidR="0019227A" w:rsidRDefault="0019227A" w:rsidP="00285819">
      <w:pPr>
        <w:pStyle w:val="a7"/>
        <w:rPr>
          <w:rtl/>
        </w:rPr>
      </w:pPr>
      <w:r>
        <w:rPr>
          <w:rStyle w:val="a9"/>
        </w:rPr>
        <w:footnoteRef/>
      </w:r>
      <w:r>
        <w:rPr>
          <w:rtl/>
        </w:rPr>
        <w:t xml:space="preserve"> </w:t>
      </w:r>
      <w:r w:rsidRPr="0019227A">
        <w:rPr>
          <w:rFonts w:cs="Arial"/>
          <w:rtl/>
        </w:rPr>
        <w:t>משום מוקצה וכנ"ל אלא יניחו שם ואם רבים שם וגנאי לו לילך בלא מנעל שרי משום כבוד הבריות [מ"א]</w:t>
      </w:r>
      <w:r w:rsidR="00B878FC">
        <w:rPr>
          <w:rFonts w:hint="cs"/>
          <w:rtl/>
        </w:rPr>
        <w:t>, משנ"ב (סע' קטן ס</w:t>
      </w:r>
      <w:r w:rsidR="00855CAD">
        <w:rPr>
          <w:rFonts w:hint="cs"/>
          <w:rtl/>
        </w:rPr>
        <w:t>ב</w:t>
      </w:r>
      <w:r w:rsidR="00B878FC">
        <w:rPr>
          <w:rFonts w:hint="cs"/>
          <w:rtl/>
        </w:rPr>
        <w:t>).</w:t>
      </w:r>
    </w:p>
  </w:footnote>
  <w:footnote w:id="1461">
    <w:p w14:paraId="05C59152" w14:textId="3722CA82" w:rsidR="00076C7C" w:rsidRDefault="00076C7C" w:rsidP="00285819">
      <w:pPr>
        <w:pStyle w:val="a7"/>
        <w:rPr>
          <w:rtl/>
        </w:rPr>
      </w:pPr>
      <w:r>
        <w:rPr>
          <w:rStyle w:val="a9"/>
        </w:rPr>
        <w:footnoteRef/>
      </w:r>
      <w:r>
        <w:rPr>
          <w:rtl/>
        </w:rPr>
        <w:t xml:space="preserve"> </w:t>
      </w:r>
      <w:r w:rsidRPr="00076C7C">
        <w:rPr>
          <w:rFonts w:cs="Arial"/>
          <w:rtl/>
        </w:rPr>
        <w:t>כששוטחין אותה לנגבה תוחבים קנה מבית יד לבית יד, וכשנוטלה בשבת ישלפנה מן הקנה ולא הקנה ממנה, דלא חזי לטלטולי, דלהסקה קאי</w:t>
      </w:r>
      <w:r>
        <w:rPr>
          <w:rFonts w:hint="cs"/>
          <w:rtl/>
        </w:rPr>
        <w:t>, רש"י.</w:t>
      </w:r>
    </w:p>
  </w:footnote>
  <w:footnote w:id="1462">
    <w:p w14:paraId="7046AB36" w14:textId="7DA36B7A" w:rsidR="00076C7C" w:rsidRDefault="00076C7C" w:rsidP="00285819">
      <w:pPr>
        <w:pStyle w:val="a7"/>
      </w:pPr>
      <w:r>
        <w:rPr>
          <w:rStyle w:val="a9"/>
        </w:rPr>
        <w:footnoteRef/>
      </w:r>
      <w:r>
        <w:rPr>
          <w:rtl/>
        </w:rPr>
        <w:t xml:space="preserve"> </w:t>
      </w:r>
      <w:r w:rsidRPr="00076C7C">
        <w:rPr>
          <w:rFonts w:cs="Arial"/>
          <w:rtl/>
        </w:rPr>
        <w:t>קנה של אורגים, דתורת כלי עליו שרי</w:t>
      </w:r>
      <w:r>
        <w:rPr>
          <w:rFonts w:cs="Arial" w:hint="cs"/>
          <w:rtl/>
        </w:rPr>
        <w:t>, רש"י.</w:t>
      </w:r>
    </w:p>
  </w:footnote>
  <w:footnote w:id="1463">
    <w:p w14:paraId="572EF22E" w14:textId="4686237A" w:rsidR="00E40B3E" w:rsidRDefault="00E40B3E" w:rsidP="00285819">
      <w:pPr>
        <w:pStyle w:val="a7"/>
      </w:pPr>
      <w:r>
        <w:rPr>
          <w:rStyle w:val="a9"/>
        </w:rPr>
        <w:footnoteRef/>
      </w:r>
      <w:r>
        <w:rPr>
          <w:rtl/>
        </w:rPr>
        <w:t xml:space="preserve"> </w:t>
      </w:r>
      <w:r>
        <w:rPr>
          <w:rFonts w:cs="Arial"/>
          <w:rtl/>
        </w:rPr>
        <w:t>פטפוטים שלה כעין רגלים</w:t>
      </w:r>
      <w:r>
        <w:rPr>
          <w:rFonts w:cs="Arial" w:hint="cs"/>
          <w:rtl/>
        </w:rPr>
        <w:t>, רש"י.</w:t>
      </w:r>
    </w:p>
  </w:footnote>
  <w:footnote w:id="1464">
    <w:p w14:paraId="64645747" w14:textId="7D604BA8" w:rsidR="00185F3C" w:rsidRDefault="00185F3C" w:rsidP="00285819">
      <w:pPr>
        <w:pStyle w:val="a7"/>
      </w:pPr>
      <w:r>
        <w:rPr>
          <w:rStyle w:val="a9"/>
        </w:rPr>
        <w:footnoteRef/>
      </w:r>
      <w:r>
        <w:rPr>
          <w:rtl/>
        </w:rPr>
        <w:t xml:space="preserve"> </w:t>
      </w:r>
      <w:r w:rsidRPr="00B2563A">
        <w:rPr>
          <w:rFonts w:asciiTheme="minorBidi" w:hAnsiTheme="minorBidi" w:cs="Arial"/>
          <w:rtl/>
        </w:rPr>
        <w:t xml:space="preserve">בסוף פרק כירה </w:t>
      </w:r>
      <w:r>
        <w:rPr>
          <w:rFonts w:asciiTheme="minorBidi" w:hAnsiTheme="minorBidi" w:cs="Arial" w:hint="cs"/>
          <w:rtl/>
        </w:rPr>
        <w:t>(</w:t>
      </w:r>
      <w:r w:rsidRPr="00B2563A">
        <w:rPr>
          <w:rFonts w:asciiTheme="minorBidi" w:hAnsiTheme="minorBidi" w:cs="Arial"/>
          <w:rtl/>
        </w:rPr>
        <w:t>מז</w:t>
      </w:r>
      <w:r>
        <w:rPr>
          <w:rFonts w:asciiTheme="minorBidi" w:hAnsiTheme="minorBidi" w:cs="Arial" w:hint="cs"/>
          <w:rtl/>
        </w:rPr>
        <w:t>:)</w:t>
      </w:r>
      <w:r w:rsidRPr="00B2563A">
        <w:rPr>
          <w:rFonts w:asciiTheme="minorBidi" w:hAnsiTheme="minorBidi" w:cs="Arial"/>
          <w:rtl/>
        </w:rPr>
        <w:t xml:space="preserve"> מתיר רבן שמעון בן גמליאל לחבר רגלי המטה למטה אם החיבור הוא רפוי. וכן היא ההלכה. וכתבו התוספות בפרק במה טומנים </w:t>
      </w:r>
      <w:r>
        <w:rPr>
          <w:rFonts w:asciiTheme="minorBidi" w:hAnsiTheme="minorBidi" w:cs="Arial" w:hint="cs"/>
          <w:rtl/>
        </w:rPr>
        <w:t>(</w:t>
      </w:r>
      <w:r w:rsidRPr="00B2563A">
        <w:rPr>
          <w:rFonts w:asciiTheme="minorBidi" w:hAnsiTheme="minorBidi" w:cs="Arial"/>
          <w:rtl/>
        </w:rPr>
        <w:t>מח</w:t>
      </w:r>
      <w:r>
        <w:rPr>
          <w:rFonts w:asciiTheme="minorBidi" w:hAnsiTheme="minorBidi" w:cs="Arial" w:hint="cs"/>
          <w:rtl/>
        </w:rPr>
        <w:t>.</w:t>
      </w:r>
      <w:r w:rsidRPr="00B2563A">
        <w:rPr>
          <w:rFonts w:asciiTheme="minorBidi" w:hAnsiTheme="minorBidi" w:cs="Arial"/>
          <w:rtl/>
        </w:rPr>
        <w:t xml:space="preserve"> ד"ה הא</w:t>
      </w:r>
      <w:r>
        <w:rPr>
          <w:rFonts w:asciiTheme="minorBidi" w:hAnsiTheme="minorBidi" w:cs="Arial" w:hint="cs"/>
          <w:rtl/>
        </w:rPr>
        <w:t>)</w:t>
      </w:r>
      <w:r w:rsidRPr="00B2563A">
        <w:rPr>
          <w:rFonts w:asciiTheme="minorBidi" w:hAnsiTheme="minorBidi" w:cs="Arial"/>
          <w:rtl/>
        </w:rPr>
        <w:t xml:space="preserve"> שבמקום שיש רגילות לתקוע </w:t>
      </w:r>
      <w:r w:rsidR="00437FE1">
        <w:rPr>
          <w:rFonts w:asciiTheme="minorBidi" w:hAnsiTheme="minorBidi" w:cs="Arial" w:hint="cs"/>
          <w:rtl/>
        </w:rPr>
        <w:t xml:space="preserve">- </w:t>
      </w:r>
      <w:r w:rsidRPr="00B2563A">
        <w:rPr>
          <w:rFonts w:asciiTheme="minorBidi" w:hAnsiTheme="minorBidi" w:cs="Arial"/>
          <w:rtl/>
        </w:rPr>
        <w:t>אסור לחבר אף כשהחבור רפוי. וכן פסק הרמ"א</w:t>
      </w:r>
      <w:r>
        <w:rPr>
          <w:rFonts w:asciiTheme="minorBidi" w:hAnsiTheme="minorBidi" w:cs="Arial" w:hint="cs"/>
          <w:rtl/>
        </w:rPr>
        <w:t xml:space="preserve"> (סי' </w:t>
      </w:r>
      <w:r w:rsidRPr="00B2563A">
        <w:rPr>
          <w:rFonts w:asciiTheme="minorBidi" w:hAnsiTheme="minorBidi" w:cs="Arial"/>
          <w:rtl/>
        </w:rPr>
        <w:t>שיג ס"ו</w:t>
      </w:r>
      <w:r w:rsidR="00437FE1">
        <w:rPr>
          <w:rFonts w:asciiTheme="minorBidi" w:hAnsiTheme="minorBidi" w:cs="Arial" w:hint="cs"/>
          <w:rtl/>
        </w:rPr>
        <w:t>, וכ"כ הב"י שם סע' ח</w:t>
      </w:r>
      <w:r>
        <w:rPr>
          <w:rFonts w:asciiTheme="minorBidi" w:hAnsiTheme="minorBidi" w:cs="Arial" w:hint="cs"/>
          <w:rtl/>
        </w:rPr>
        <w:t>)</w:t>
      </w:r>
      <w:r w:rsidRPr="00B2563A">
        <w:rPr>
          <w:rFonts w:asciiTheme="minorBidi" w:hAnsiTheme="minorBidi" w:cs="Arial"/>
          <w:rtl/>
        </w:rPr>
        <w:t>. וכתב החזון איש</w:t>
      </w:r>
      <w:r>
        <w:rPr>
          <w:rFonts w:asciiTheme="minorBidi" w:hAnsiTheme="minorBidi" w:cs="Arial" w:hint="cs"/>
          <w:rtl/>
        </w:rPr>
        <w:t xml:space="preserve"> (</w:t>
      </w:r>
      <w:r w:rsidRPr="00B2563A">
        <w:rPr>
          <w:rFonts w:asciiTheme="minorBidi" w:hAnsiTheme="minorBidi" w:cs="Arial"/>
          <w:rtl/>
        </w:rPr>
        <w:t>סי</w:t>
      </w:r>
      <w:r>
        <w:rPr>
          <w:rFonts w:asciiTheme="minorBidi" w:hAnsiTheme="minorBidi" w:cs="Arial" w:hint="cs"/>
          <w:rtl/>
        </w:rPr>
        <w:t>'</w:t>
      </w:r>
      <w:r w:rsidRPr="00B2563A">
        <w:rPr>
          <w:rFonts w:asciiTheme="minorBidi" w:hAnsiTheme="minorBidi" w:cs="Arial"/>
          <w:rtl/>
        </w:rPr>
        <w:t xml:space="preserve"> נ אות י</w:t>
      </w:r>
      <w:r>
        <w:rPr>
          <w:rFonts w:asciiTheme="minorBidi" w:hAnsiTheme="minorBidi" w:cs="Arial" w:hint="cs"/>
          <w:rtl/>
        </w:rPr>
        <w:t>)</w:t>
      </w:r>
      <w:r w:rsidRPr="00B2563A">
        <w:rPr>
          <w:rFonts w:asciiTheme="minorBidi" w:hAnsiTheme="minorBidi" w:cs="Arial"/>
          <w:rtl/>
        </w:rPr>
        <w:t>, שלפי שיטת התוספות, האיסור לטלטל את הכירה הוא כאשר הדרך לתקוע, אבל בכירה שאין דרך לתקוע את רגליה בחוזק - מותר גם לטלטלה</w:t>
      </w:r>
      <w:r>
        <w:rPr>
          <w:rFonts w:asciiTheme="minorBidi" w:hAnsiTheme="minorBidi" w:cs="Arial" w:hint="cs"/>
          <w:rtl/>
        </w:rPr>
        <w:t xml:space="preserve"> </w:t>
      </w:r>
      <w:r>
        <w:rPr>
          <w:rFonts w:cs="Arial" w:hint="cs"/>
          <w:sz w:val="16"/>
          <w:szCs w:val="16"/>
          <w:rtl/>
        </w:rPr>
        <w:t>(</w:t>
      </w:r>
      <w:r w:rsidRPr="00B2563A">
        <w:rPr>
          <w:rFonts w:cs="Arial" w:hint="cs"/>
          <w:sz w:val="16"/>
          <w:szCs w:val="16"/>
          <w:rtl/>
        </w:rPr>
        <w:t>הער</w:t>
      </w:r>
      <w:r>
        <w:rPr>
          <w:rFonts w:cs="Arial" w:hint="cs"/>
          <w:sz w:val="16"/>
          <w:szCs w:val="16"/>
          <w:rtl/>
        </w:rPr>
        <w:t>ה 52</w:t>
      </w:r>
      <w:r w:rsidRPr="00B2563A">
        <w:rPr>
          <w:rFonts w:cs="Arial" w:hint="cs"/>
          <w:sz w:val="16"/>
          <w:szCs w:val="16"/>
          <w:rtl/>
        </w:rPr>
        <w:t xml:space="preserve"> </w:t>
      </w:r>
      <w:r>
        <w:rPr>
          <w:rFonts w:cs="Arial" w:hint="cs"/>
          <w:sz w:val="16"/>
          <w:szCs w:val="16"/>
          <w:rtl/>
        </w:rPr>
        <w:t xml:space="preserve">פירוש </w:t>
      </w:r>
      <w:r w:rsidRPr="00B2563A">
        <w:rPr>
          <w:rFonts w:cs="Arial" w:hint="cs"/>
          <w:sz w:val="16"/>
          <w:szCs w:val="16"/>
          <w:rtl/>
        </w:rPr>
        <w:t>חברותא)</w:t>
      </w:r>
      <w:r>
        <w:rPr>
          <w:rFonts w:hint="cs"/>
          <w:rtl/>
        </w:rPr>
        <w:t>.</w:t>
      </w:r>
    </w:p>
  </w:footnote>
  <w:footnote w:id="1465">
    <w:p w14:paraId="3C2B3E07" w14:textId="6228D9BB" w:rsidR="00076C7C" w:rsidRDefault="00076C7C" w:rsidP="00285819">
      <w:pPr>
        <w:pStyle w:val="a7"/>
      </w:pPr>
      <w:r>
        <w:rPr>
          <w:rStyle w:val="a9"/>
        </w:rPr>
        <w:footnoteRef/>
      </w:r>
      <w:r>
        <w:rPr>
          <w:rtl/>
        </w:rPr>
        <w:t xml:space="preserve"> </w:t>
      </w:r>
      <w:r w:rsidRPr="00076C7C">
        <w:rPr>
          <w:rFonts w:cs="Arial"/>
          <w:rtl/>
        </w:rPr>
        <w:t>כשמחבר לה הרגל יתקענה בחוזק והוי בונה</w:t>
      </w:r>
      <w:r w:rsidR="00D90FF1">
        <w:rPr>
          <w:rFonts w:cs="Arial" w:hint="cs"/>
          <w:rtl/>
        </w:rPr>
        <w:t>.</w:t>
      </w:r>
      <w:r w:rsidRPr="00076C7C">
        <w:rPr>
          <w:rFonts w:cs="Arial"/>
          <w:rtl/>
        </w:rPr>
        <w:t xml:space="preserve"> אבל </w:t>
      </w:r>
      <w:r w:rsidR="00D90FF1">
        <w:rPr>
          <w:rFonts w:cs="Arial" w:hint="cs"/>
          <w:rtl/>
        </w:rPr>
        <w:t xml:space="preserve">ת"ק </w:t>
      </w:r>
      <w:r w:rsidRPr="00076C7C">
        <w:rPr>
          <w:rFonts w:cs="Arial"/>
          <w:rtl/>
        </w:rPr>
        <w:t>היכא דלא נשמטה אלא אחת - לא חייש למתקע כולי האי</w:t>
      </w:r>
      <w:r>
        <w:rPr>
          <w:rFonts w:cs="Arial" w:hint="cs"/>
          <w:rtl/>
        </w:rPr>
        <w:t>, רש"י.</w:t>
      </w:r>
      <w:r w:rsidR="00B2563A" w:rsidRPr="00B2563A">
        <w:rPr>
          <w:rtl/>
        </w:rPr>
        <w:t xml:space="preserve"> </w:t>
      </w:r>
      <w:r w:rsidR="00B2563A">
        <w:rPr>
          <w:rFonts w:cs="Arial" w:hint="cs"/>
          <w:rtl/>
        </w:rPr>
        <w:t>ו</w:t>
      </w:r>
      <w:r w:rsidR="00B2563A" w:rsidRPr="00B2563A">
        <w:rPr>
          <w:rFonts w:cs="Arial"/>
          <w:rtl/>
        </w:rPr>
        <w:t xml:space="preserve">בפרק הבונה </w:t>
      </w:r>
      <w:r w:rsidR="00B2563A">
        <w:rPr>
          <w:rFonts w:cs="Arial" w:hint="cs"/>
          <w:rtl/>
        </w:rPr>
        <w:t>(</w:t>
      </w:r>
      <w:r w:rsidR="00B2563A" w:rsidRPr="00B2563A">
        <w:rPr>
          <w:rFonts w:cs="Arial"/>
          <w:rtl/>
        </w:rPr>
        <w:t>קב</w:t>
      </w:r>
      <w:r w:rsidR="00B2563A">
        <w:rPr>
          <w:rFonts w:cs="Arial" w:hint="cs"/>
          <w:rtl/>
        </w:rPr>
        <w:t>.)</w:t>
      </w:r>
      <w:r w:rsidR="00B2563A" w:rsidRPr="00B2563A">
        <w:rPr>
          <w:rFonts w:cs="Arial"/>
          <w:rtl/>
        </w:rPr>
        <w:t xml:space="preserve"> נחלקו במכניס יד לקרדום על ידי שתוחב יתד קטן בחור שלו. רב מחייב משום בונה, ושמואל מחייב משום מכה בפטיש. יתכן שרש"י כתב כאן שהתוקע חייב משום בונה כי אנו עוסקים בדברי רב. ועיין ברש"י </w:t>
      </w:r>
      <w:r w:rsidR="00B2563A">
        <w:rPr>
          <w:rFonts w:cs="Arial" w:hint="cs"/>
          <w:rtl/>
        </w:rPr>
        <w:t>(</w:t>
      </w:r>
      <w:r w:rsidR="00B2563A" w:rsidRPr="00B2563A">
        <w:rPr>
          <w:rFonts w:cs="Arial"/>
          <w:rtl/>
        </w:rPr>
        <w:t>מז</w:t>
      </w:r>
      <w:r w:rsidR="00B2563A">
        <w:rPr>
          <w:rFonts w:cs="Arial" w:hint="cs"/>
          <w:rtl/>
        </w:rPr>
        <w:t>.</w:t>
      </w:r>
      <w:r w:rsidR="00B2563A" w:rsidRPr="00B2563A">
        <w:rPr>
          <w:rFonts w:cs="Arial"/>
          <w:rtl/>
        </w:rPr>
        <w:t xml:space="preserve"> ד"ה חייב חטאת</w:t>
      </w:r>
      <w:r w:rsidR="00B2563A">
        <w:rPr>
          <w:rFonts w:cs="Arial" w:hint="cs"/>
          <w:rtl/>
        </w:rPr>
        <w:t xml:space="preserve">) </w:t>
      </w:r>
      <w:r w:rsidR="00B2563A">
        <w:rPr>
          <w:rFonts w:cs="Arial" w:hint="cs"/>
          <w:sz w:val="16"/>
          <w:szCs w:val="16"/>
          <w:rtl/>
        </w:rPr>
        <w:t>(</w:t>
      </w:r>
      <w:r w:rsidR="00B2563A" w:rsidRPr="00B2563A">
        <w:rPr>
          <w:rFonts w:cs="Arial" w:hint="cs"/>
          <w:sz w:val="16"/>
          <w:szCs w:val="16"/>
          <w:rtl/>
        </w:rPr>
        <w:t>הער</w:t>
      </w:r>
      <w:r w:rsidR="00B2563A">
        <w:rPr>
          <w:rFonts w:cs="Arial" w:hint="cs"/>
          <w:sz w:val="16"/>
          <w:szCs w:val="16"/>
          <w:rtl/>
        </w:rPr>
        <w:t>ה 52</w:t>
      </w:r>
      <w:r w:rsidR="00B2563A" w:rsidRPr="00B2563A">
        <w:rPr>
          <w:rFonts w:cs="Arial" w:hint="cs"/>
          <w:sz w:val="16"/>
          <w:szCs w:val="16"/>
          <w:rtl/>
        </w:rPr>
        <w:t xml:space="preserve"> </w:t>
      </w:r>
      <w:r w:rsidR="00B2563A">
        <w:rPr>
          <w:rFonts w:cs="Arial" w:hint="cs"/>
          <w:sz w:val="16"/>
          <w:szCs w:val="16"/>
          <w:rtl/>
        </w:rPr>
        <w:t xml:space="preserve">פירוש </w:t>
      </w:r>
      <w:r w:rsidR="00B2563A" w:rsidRPr="00B2563A">
        <w:rPr>
          <w:rFonts w:cs="Arial" w:hint="cs"/>
          <w:sz w:val="16"/>
          <w:szCs w:val="16"/>
          <w:rtl/>
        </w:rPr>
        <w:t>חברותא)</w:t>
      </w:r>
      <w:r w:rsidR="00B2563A">
        <w:rPr>
          <w:rFonts w:cs="Arial" w:hint="cs"/>
          <w:rtl/>
        </w:rPr>
        <w:t>.</w:t>
      </w:r>
    </w:p>
  </w:footnote>
  <w:footnote w:id="1466">
    <w:p w14:paraId="5DE3081E" w14:textId="7DBF542C" w:rsidR="00F529CD" w:rsidRDefault="00F529CD" w:rsidP="00285819">
      <w:pPr>
        <w:pStyle w:val="a7"/>
        <w:rPr>
          <w:rtl/>
        </w:rPr>
      </w:pPr>
      <w:r>
        <w:rPr>
          <w:rStyle w:val="a9"/>
        </w:rPr>
        <w:footnoteRef/>
      </w:r>
      <w:r>
        <w:rPr>
          <w:rtl/>
        </w:rPr>
        <w:t xml:space="preserve"> </w:t>
      </w:r>
      <w:r w:rsidRPr="00F529CD">
        <w:rPr>
          <w:rFonts w:cs="Arial"/>
          <w:rtl/>
        </w:rPr>
        <w:t>ומכל מקום להחזיר הרגל למקומה משמע דפשיטא דאסור גזירה שמא יתקע</w:t>
      </w:r>
      <w:r w:rsidR="00F1575A">
        <w:rPr>
          <w:rFonts w:cs="Arial" w:hint="cs"/>
          <w:rtl/>
        </w:rPr>
        <w:t>,</w:t>
      </w:r>
      <w:r w:rsidRPr="00F529CD">
        <w:rPr>
          <w:rFonts w:cs="Arial"/>
          <w:rtl/>
        </w:rPr>
        <w:t xml:space="preserve"> שאע</w:t>
      </w:r>
      <w:r w:rsidR="00F1575A">
        <w:rPr>
          <w:rFonts w:cs="Arial" w:hint="cs"/>
          <w:rtl/>
        </w:rPr>
        <w:t>"</w:t>
      </w:r>
      <w:r w:rsidRPr="00F529CD">
        <w:rPr>
          <w:rFonts w:cs="Arial"/>
          <w:rtl/>
        </w:rPr>
        <w:t>פ שהוא רפוי כיון דדרך רגלי הספסלים להיות תקועין גזרינן ביה שמא יתקע</w:t>
      </w:r>
      <w:r>
        <w:rPr>
          <w:rFonts w:hint="cs"/>
          <w:rtl/>
        </w:rPr>
        <w:t xml:space="preserve">, </w:t>
      </w:r>
      <w:r w:rsidRPr="00F529CD">
        <w:rPr>
          <w:rFonts w:hint="cs"/>
          <w:b/>
          <w:bCs/>
          <w:rtl/>
        </w:rPr>
        <w:t>ב"י</w:t>
      </w:r>
      <w:r>
        <w:rPr>
          <w:rFonts w:hint="cs"/>
          <w:rtl/>
        </w:rPr>
        <w:t xml:space="preserve"> (סי' שיג סע' ח).</w:t>
      </w:r>
      <w:r w:rsidR="00951437" w:rsidRPr="00951437">
        <w:rPr>
          <w:rFonts w:cs="Arial" w:hint="cs"/>
          <w:color w:val="00B0F0"/>
          <w:rtl/>
        </w:rPr>
        <w:t xml:space="preserve"> (וכ"פ הרמ"א)</w:t>
      </w:r>
      <w:r w:rsidR="00951437">
        <w:rPr>
          <w:rFonts w:cs="Arial" w:hint="cs"/>
          <w:rtl/>
        </w:rPr>
        <w:t>.</w:t>
      </w:r>
      <w:r w:rsidRPr="00F529CD">
        <w:rPr>
          <w:rFonts w:cs="Arial"/>
          <w:rtl/>
        </w:rPr>
        <w:t xml:space="preserve"> </w:t>
      </w:r>
      <w:r w:rsidRPr="00487EF5">
        <w:rPr>
          <w:rFonts w:cs="Arial"/>
          <w:rtl/>
        </w:rPr>
        <w:t>מיהו נראה לי אם ישב עליה מבעוד יום מותר לישב עליה בשבת</w:t>
      </w:r>
      <w:r>
        <w:rPr>
          <w:rFonts w:cs="Arial" w:hint="cs"/>
          <w:rtl/>
        </w:rPr>
        <w:t>,</w:t>
      </w:r>
      <w:r w:rsidRPr="00487EF5">
        <w:rPr>
          <w:rFonts w:cs="Arial"/>
          <w:rtl/>
        </w:rPr>
        <w:t xml:space="preserve"> דלא גרע מחריות של דקל כמו שיתבאר בסמוך</w:t>
      </w:r>
      <w:r>
        <w:rPr>
          <w:rFonts w:cs="Arial" w:hint="cs"/>
          <w:rtl/>
        </w:rPr>
        <w:t xml:space="preserve">, </w:t>
      </w:r>
      <w:r w:rsidRPr="00F529CD">
        <w:rPr>
          <w:rFonts w:cs="Arial" w:hint="cs"/>
          <w:b/>
          <w:bCs/>
          <w:rtl/>
        </w:rPr>
        <w:t>דרכ"מ</w:t>
      </w:r>
      <w:r>
        <w:rPr>
          <w:rFonts w:cs="Arial" w:hint="cs"/>
          <w:rtl/>
        </w:rPr>
        <w:t xml:space="preserve"> (אות ו).</w:t>
      </w:r>
      <w:r w:rsidR="00951437" w:rsidRPr="00951437">
        <w:rPr>
          <w:rFonts w:cs="Arial" w:hint="cs"/>
          <w:color w:val="00B0F0"/>
          <w:rtl/>
        </w:rPr>
        <w:t xml:space="preserve"> (וכ"פ </w:t>
      </w:r>
      <w:r w:rsidR="00951437">
        <w:rPr>
          <w:rFonts w:cs="Arial" w:hint="cs"/>
          <w:color w:val="00B0F0"/>
          <w:rtl/>
        </w:rPr>
        <w:t>בהג"ה</w:t>
      </w:r>
      <w:r w:rsidR="00951437" w:rsidRPr="00951437">
        <w:rPr>
          <w:rFonts w:cs="Arial" w:hint="cs"/>
          <w:color w:val="00B0F0"/>
          <w:rtl/>
        </w:rPr>
        <w:t>)</w:t>
      </w:r>
    </w:p>
  </w:footnote>
  <w:footnote w:id="1467">
    <w:p w14:paraId="0199ADFB" w14:textId="69622F1E" w:rsidR="00923463" w:rsidRDefault="00923463" w:rsidP="00285819">
      <w:pPr>
        <w:pStyle w:val="a7"/>
      </w:pPr>
      <w:r>
        <w:rPr>
          <w:rStyle w:val="a9"/>
        </w:rPr>
        <w:footnoteRef/>
      </w:r>
      <w:r>
        <w:rPr>
          <w:rtl/>
        </w:rPr>
        <w:t xml:space="preserve"> </w:t>
      </w:r>
      <w:r w:rsidRPr="00923463">
        <w:rPr>
          <w:rFonts w:cs="Arial"/>
          <w:rtl/>
        </w:rPr>
        <w:t>היינו מע"ש וגם מיירי שנתייבש קצת מבע"י דאם היה טופח ע"מ להטפיח בבין השמשות אסור לטלטל החלוק כל השבת דמיגו דאתקצאי לביה"ש וכדלעיל בסי' ש"א סמ"ו בהג"ה איתקצאי לכולי יומא</w:t>
      </w:r>
      <w:r w:rsidR="00855CAD">
        <w:rPr>
          <w:rFonts w:hint="cs"/>
          <w:rtl/>
        </w:rPr>
        <w:t>, משנ"ב (סע' קטן סג).</w:t>
      </w:r>
    </w:p>
  </w:footnote>
  <w:footnote w:id="1468">
    <w:p w14:paraId="6F3FC668" w14:textId="36065C27" w:rsidR="00923463" w:rsidRDefault="00923463" w:rsidP="00285819">
      <w:pPr>
        <w:pStyle w:val="a7"/>
      </w:pPr>
      <w:r>
        <w:rPr>
          <w:rStyle w:val="a9"/>
        </w:rPr>
        <w:footnoteRef/>
      </w:r>
      <w:r>
        <w:rPr>
          <w:rtl/>
        </w:rPr>
        <w:t xml:space="preserve"> </w:t>
      </w:r>
      <w:r w:rsidRPr="00923463">
        <w:rPr>
          <w:rFonts w:cs="Arial"/>
          <w:rtl/>
        </w:rPr>
        <w:t>לכאורה הלא מטלטל עי"ז גם הקנה</w:t>
      </w:r>
      <w:r w:rsidR="00B05DBC">
        <w:rPr>
          <w:rFonts w:cs="Arial" w:hint="cs"/>
          <w:rtl/>
        </w:rPr>
        <w:t>,</w:t>
      </w:r>
      <w:r w:rsidRPr="00923463">
        <w:rPr>
          <w:rFonts w:cs="Arial"/>
          <w:rtl/>
        </w:rPr>
        <w:t xml:space="preserve"> ובס</w:t>
      </w:r>
      <w:r w:rsidR="00B05DBC">
        <w:rPr>
          <w:rFonts w:cs="Arial" w:hint="cs"/>
          <w:rtl/>
        </w:rPr>
        <w:t xml:space="preserve">ע' </w:t>
      </w:r>
      <w:r w:rsidRPr="00923463">
        <w:rPr>
          <w:rFonts w:cs="Arial"/>
          <w:rtl/>
        </w:rPr>
        <w:t>י"ד מוכח דהיה אסור לשמוט המנעל מפני דמטלטל עי"ז הדפוס אי לאו דדפוס היה כלי וקנה לאו כלי הוא</w:t>
      </w:r>
      <w:r w:rsidR="00B05DBC">
        <w:rPr>
          <w:rFonts w:cs="Arial" w:hint="cs"/>
          <w:rtl/>
        </w:rPr>
        <w:t>.</w:t>
      </w:r>
      <w:r w:rsidRPr="00923463">
        <w:rPr>
          <w:rFonts w:cs="Arial"/>
          <w:rtl/>
        </w:rPr>
        <w:t xml:space="preserve"> י"ל דהכא מיירי שיכול לשמוט הכתונת בלי טלטול הקנה עמו [א"ר]</w:t>
      </w:r>
      <w:r w:rsidR="00855CAD">
        <w:rPr>
          <w:rFonts w:hint="cs"/>
          <w:rtl/>
        </w:rPr>
        <w:t>, משנ"ב (סע' קטן סד).</w:t>
      </w:r>
    </w:p>
  </w:footnote>
  <w:footnote w:id="1469">
    <w:p w14:paraId="0417542B" w14:textId="5E20D190" w:rsidR="00923463" w:rsidRDefault="00923463" w:rsidP="00285819">
      <w:pPr>
        <w:pStyle w:val="a7"/>
      </w:pPr>
      <w:r>
        <w:rPr>
          <w:rStyle w:val="a9"/>
        </w:rPr>
        <w:footnoteRef/>
      </w:r>
      <w:r>
        <w:rPr>
          <w:rtl/>
        </w:rPr>
        <w:t xml:space="preserve"> </w:t>
      </w:r>
      <w:r w:rsidRPr="00923463">
        <w:rPr>
          <w:rFonts w:cs="Arial"/>
          <w:rtl/>
        </w:rPr>
        <w:t>ואף שכבר נשתמש בו מבע"י עדיין לא נעשה כלי בכך דלא היה דרכם ליחודי קנים להכי [ר"ן]</w:t>
      </w:r>
      <w:r w:rsidR="00855CAD">
        <w:rPr>
          <w:rFonts w:cs="Arial" w:hint="cs"/>
          <w:rtl/>
        </w:rPr>
        <w:t>.</w:t>
      </w:r>
      <w:r w:rsidRPr="00923463">
        <w:rPr>
          <w:rFonts w:cs="Arial"/>
          <w:rtl/>
        </w:rPr>
        <w:t xml:space="preserve"> ולפ"ז לדידן דדרך ליחד קנים לתלות עליהן שרי בהכי [אחרונים]</w:t>
      </w:r>
      <w:r w:rsidR="00855CAD">
        <w:rPr>
          <w:rFonts w:hint="cs"/>
          <w:rtl/>
        </w:rPr>
        <w:t>, משנ"ב (סע' קטן סה).</w:t>
      </w:r>
    </w:p>
  </w:footnote>
  <w:footnote w:id="1470">
    <w:p w14:paraId="0F9B53F8" w14:textId="0FFFD94C" w:rsidR="00923463" w:rsidRDefault="00923463" w:rsidP="00285819">
      <w:pPr>
        <w:pStyle w:val="a7"/>
      </w:pPr>
      <w:r>
        <w:rPr>
          <w:rStyle w:val="a9"/>
        </w:rPr>
        <w:footnoteRef/>
      </w:r>
      <w:r>
        <w:rPr>
          <w:rtl/>
        </w:rPr>
        <w:t xml:space="preserve"> </w:t>
      </w:r>
      <w:r w:rsidRPr="00923463">
        <w:rPr>
          <w:rFonts w:cs="Arial"/>
          <w:rtl/>
        </w:rPr>
        <w:t>כגון קנה המיוחד לאיזה תשמיש</w:t>
      </w:r>
      <w:r w:rsidR="00855CAD">
        <w:rPr>
          <w:rFonts w:hint="cs"/>
          <w:rtl/>
        </w:rPr>
        <w:t>, משנ"ב (סע' קטן סו).</w:t>
      </w:r>
    </w:p>
  </w:footnote>
  <w:footnote w:id="1471">
    <w:p w14:paraId="4E56B590" w14:textId="5210B8CC" w:rsidR="00923463" w:rsidRDefault="00923463" w:rsidP="00285819">
      <w:pPr>
        <w:pStyle w:val="a7"/>
      </w:pPr>
      <w:r>
        <w:rPr>
          <w:rStyle w:val="a9"/>
        </w:rPr>
        <w:footnoteRef/>
      </w:r>
      <w:r>
        <w:rPr>
          <w:rtl/>
        </w:rPr>
        <w:t xml:space="preserve"> </w:t>
      </w:r>
      <w:r w:rsidRPr="00923463">
        <w:rPr>
          <w:rFonts w:cs="Arial"/>
          <w:rtl/>
        </w:rPr>
        <w:t>דהלא הוא צריך למקומו של הכלי דהיינו החלוק</w:t>
      </w:r>
      <w:r w:rsidR="00855CAD">
        <w:rPr>
          <w:rFonts w:hint="cs"/>
          <w:rtl/>
        </w:rPr>
        <w:t>, משנ"ב (סע' קטן סז).</w:t>
      </w:r>
    </w:p>
  </w:footnote>
  <w:footnote w:id="1472">
    <w:p w14:paraId="3669571E" w14:textId="58394A48" w:rsidR="00923463" w:rsidRDefault="00923463" w:rsidP="00285819">
      <w:pPr>
        <w:pStyle w:val="a7"/>
      </w:pPr>
      <w:r>
        <w:rPr>
          <w:rStyle w:val="a9"/>
        </w:rPr>
        <w:footnoteRef/>
      </w:r>
      <w:r>
        <w:rPr>
          <w:rtl/>
        </w:rPr>
        <w:t xml:space="preserve"> </w:t>
      </w:r>
      <w:r w:rsidRPr="00923463">
        <w:rPr>
          <w:rFonts w:cs="Arial"/>
          <w:rtl/>
        </w:rPr>
        <w:t>דגזרינן שמא יתקע הרגל לשם בחוזק לחברה וחייב משום מכה בפטיש או משום בנין לאיזה פוסקים</w:t>
      </w:r>
      <w:r w:rsidR="00855CAD">
        <w:rPr>
          <w:rFonts w:hint="cs"/>
          <w:rtl/>
        </w:rPr>
        <w:t>, משנ"ב (סע' קטן סח).</w:t>
      </w:r>
      <w:r w:rsidR="00B05DBC" w:rsidRPr="00B05DBC">
        <w:rPr>
          <w:rFonts w:asciiTheme="minorBidi" w:hAnsiTheme="minorBidi" w:cs="Arial" w:hint="cs"/>
          <w:rtl/>
        </w:rPr>
        <w:t xml:space="preserve"> </w:t>
      </w:r>
      <w:r w:rsidR="00B05DBC">
        <w:rPr>
          <w:rFonts w:asciiTheme="minorBidi" w:hAnsiTheme="minorBidi" w:cs="Arial" w:hint="cs"/>
          <w:rtl/>
        </w:rPr>
        <w:t>ו</w:t>
      </w:r>
      <w:r w:rsidR="00B05DBC" w:rsidRPr="00B2563A">
        <w:rPr>
          <w:rFonts w:asciiTheme="minorBidi" w:hAnsiTheme="minorBidi" w:cs="Arial"/>
          <w:rtl/>
        </w:rPr>
        <w:t xml:space="preserve">בשולחן שלמה (להגאון ר' שלמה זלמן אויערבאך זצ"ל) סי' שח סעיף ט"ו כתב דעל פי זה זוג משקפיים שנפל אחד מידיו או עגלת ילדים שנתפרקה א' מגלגליו </w:t>
      </w:r>
      <w:r w:rsidR="00B05DBC">
        <w:rPr>
          <w:rFonts w:asciiTheme="minorBidi" w:hAnsiTheme="minorBidi" w:cs="Arial" w:hint="cs"/>
          <w:rtl/>
        </w:rPr>
        <w:t xml:space="preserve">- </w:t>
      </w:r>
      <w:r w:rsidR="00B05DBC" w:rsidRPr="00B2563A">
        <w:rPr>
          <w:rFonts w:asciiTheme="minorBidi" w:hAnsiTheme="minorBidi" w:cs="Arial"/>
          <w:rtl/>
        </w:rPr>
        <w:t>אסור לטלטל המשקפים והעגלה בשבת. ועיי"ש שהביא חידוש גדול משו"ע הרב (סעיף מ"ז) דלא אסרו רק שיטלטלו אותו לצורך גופו, דהיינו לשום שימוש בעולם, אבל לצורך מקומו שרי לטלטל, והוא לא כמוקצה מחמת גופו שאסור בין לצורך גופו בין לצורך מקומו, ולא ככלי שמלאכתו לאיסור שמותר לטלטלו בין לצורך גופו בין לצורך מקומו</w:t>
      </w:r>
      <w:r w:rsidR="00B05DBC">
        <w:rPr>
          <w:rFonts w:hint="cs"/>
          <w:rtl/>
        </w:rPr>
        <w:t>.</w:t>
      </w:r>
    </w:p>
  </w:footnote>
  <w:footnote w:id="1473">
    <w:p w14:paraId="06403C04" w14:textId="7DEA2DF7" w:rsidR="00923463" w:rsidRDefault="00923463" w:rsidP="00285819">
      <w:pPr>
        <w:pStyle w:val="a7"/>
      </w:pPr>
      <w:r>
        <w:rPr>
          <w:rStyle w:val="a9"/>
        </w:rPr>
        <w:footnoteRef/>
      </w:r>
      <w:r>
        <w:rPr>
          <w:rtl/>
        </w:rPr>
        <w:t xml:space="preserve"> </w:t>
      </w:r>
      <w:r w:rsidRPr="00923463">
        <w:rPr>
          <w:rFonts w:cs="Arial"/>
          <w:rtl/>
        </w:rPr>
        <w:t>הכל מטעם הנ"ל</w:t>
      </w:r>
      <w:r w:rsidR="00185F3C">
        <w:rPr>
          <w:rFonts w:cs="Arial" w:hint="cs"/>
          <w:rtl/>
        </w:rPr>
        <w:t>.</w:t>
      </w:r>
      <w:r w:rsidRPr="00923463">
        <w:rPr>
          <w:rFonts w:cs="Arial"/>
          <w:rtl/>
        </w:rPr>
        <w:t xml:space="preserve"> ודוקא בנשמט דאפשר לחברו וע"כ אסרו אפילו בטלטול משום שמא אתי ליתקע</w:t>
      </w:r>
      <w:r w:rsidR="00185F3C">
        <w:rPr>
          <w:rFonts w:cs="Arial" w:hint="cs"/>
          <w:rtl/>
        </w:rPr>
        <w:t>,</w:t>
      </w:r>
      <w:r w:rsidRPr="00923463">
        <w:rPr>
          <w:rFonts w:cs="Arial"/>
          <w:rtl/>
        </w:rPr>
        <w:t xml:space="preserve"> אבל אם נשבר רגל אחד דלא שייך בו שמא יתקע אלא צריך לעשות רגל אחר ולזה לא חיישינן ע"כ מותר בטלטול</w:t>
      </w:r>
      <w:r w:rsidR="00185F3C">
        <w:rPr>
          <w:rFonts w:cs="Arial" w:hint="cs"/>
          <w:rtl/>
        </w:rPr>
        <w:t>.</w:t>
      </w:r>
      <w:r w:rsidRPr="00923463">
        <w:rPr>
          <w:rFonts w:cs="Arial"/>
          <w:rtl/>
        </w:rPr>
        <w:t xml:space="preserve"> ורמ"א דנקט לקמיה אפילו נשברה</w:t>
      </w:r>
      <w:r w:rsidR="00185F3C">
        <w:rPr>
          <w:rFonts w:cs="Arial" w:hint="cs"/>
          <w:rtl/>
        </w:rPr>
        <w:t xml:space="preserve"> -</w:t>
      </w:r>
      <w:r w:rsidRPr="00923463">
        <w:rPr>
          <w:rFonts w:cs="Arial"/>
          <w:rtl/>
        </w:rPr>
        <w:t xml:space="preserve"> לאו דוקא הוא אלא נשמט קאמר. גם אם נשמט אותו הרגל מכבר ואין כאן אותו הרגל כלל אלא הספסל הוא בלא רגל </w:t>
      </w:r>
      <w:r w:rsidR="00185F3C">
        <w:rPr>
          <w:rFonts w:cs="Arial" w:hint="cs"/>
          <w:rtl/>
        </w:rPr>
        <w:t xml:space="preserve">- </w:t>
      </w:r>
      <w:r w:rsidRPr="00923463">
        <w:rPr>
          <w:rFonts w:cs="Arial"/>
          <w:rtl/>
        </w:rPr>
        <w:t>אין איסור לסמוך אותו על ספסל אחר</w:t>
      </w:r>
      <w:r w:rsidR="00185F3C">
        <w:rPr>
          <w:rFonts w:cs="Arial" w:hint="cs"/>
          <w:rtl/>
        </w:rPr>
        <w:t>,</w:t>
      </w:r>
      <w:r w:rsidRPr="00923463">
        <w:rPr>
          <w:rFonts w:cs="Arial"/>
          <w:rtl/>
        </w:rPr>
        <w:t xml:space="preserve"> דכאן לא שייך שמא יתקע [ט"ז וש"א]</w:t>
      </w:r>
      <w:r w:rsidR="00855CAD">
        <w:rPr>
          <w:rFonts w:hint="cs"/>
          <w:rtl/>
        </w:rPr>
        <w:t>, משנ"ב (סע' קטן סט).</w:t>
      </w:r>
    </w:p>
  </w:footnote>
  <w:footnote w:id="1474">
    <w:p w14:paraId="40D03279" w14:textId="4AFB88C7" w:rsidR="00923463" w:rsidRDefault="00923463" w:rsidP="00285819">
      <w:pPr>
        <w:pStyle w:val="a7"/>
      </w:pPr>
      <w:r>
        <w:rPr>
          <w:rStyle w:val="a9"/>
        </w:rPr>
        <w:footnoteRef/>
      </w:r>
      <w:r>
        <w:rPr>
          <w:rtl/>
        </w:rPr>
        <w:t xml:space="preserve"> </w:t>
      </w:r>
      <w:r w:rsidRPr="00923463">
        <w:rPr>
          <w:rFonts w:cs="Arial"/>
          <w:rtl/>
        </w:rPr>
        <w:t>ובישיבה לחוד אם אינו מטלטל פשיטא דמותר [א"ר]</w:t>
      </w:r>
      <w:r w:rsidR="00855CAD">
        <w:rPr>
          <w:rFonts w:cs="Arial" w:hint="cs"/>
          <w:rtl/>
        </w:rPr>
        <w:t>, משנ"ב (סק"ע).</w:t>
      </w:r>
    </w:p>
  </w:footnote>
  <w:footnote w:id="1475">
    <w:p w14:paraId="4148AECE" w14:textId="3A4D2DD9" w:rsidR="00923463" w:rsidRDefault="00923463" w:rsidP="00285819">
      <w:pPr>
        <w:pStyle w:val="a7"/>
      </w:pPr>
      <w:r>
        <w:rPr>
          <w:rStyle w:val="a9"/>
        </w:rPr>
        <w:footnoteRef/>
      </w:r>
      <w:r>
        <w:rPr>
          <w:rtl/>
        </w:rPr>
        <w:t xml:space="preserve"> </w:t>
      </w:r>
      <w:r w:rsidRPr="00923463">
        <w:rPr>
          <w:rFonts w:cs="Arial"/>
          <w:rtl/>
        </w:rPr>
        <w:t>דכיון שישב עליה כך פ"א בלי רגל שוב לא יתקע</w:t>
      </w:r>
      <w:r w:rsidR="00855CAD">
        <w:rPr>
          <w:rFonts w:cs="Arial" w:hint="cs"/>
          <w:rtl/>
        </w:rPr>
        <w:t>, משנ"ב (סקע"א).</w:t>
      </w:r>
      <w:r w:rsidR="00D62371" w:rsidRPr="00D62371">
        <w:rPr>
          <w:rFonts w:asciiTheme="minorBidi" w:hAnsiTheme="minorBidi" w:cs="Arial"/>
          <w:rtl/>
        </w:rPr>
        <w:t xml:space="preserve"> </w:t>
      </w:r>
      <w:r w:rsidR="00D62371" w:rsidRPr="00B2563A">
        <w:rPr>
          <w:rFonts w:asciiTheme="minorBidi" w:hAnsiTheme="minorBidi" w:cs="Arial"/>
          <w:rtl/>
        </w:rPr>
        <w:t>ונשאל הגר"ש וואזנר שליט"א (בנחלת ישראל פ"ו אות ב') במקום רבים, כגון ביהכנ"ס, שנשמט רגל של ספסל, וישב עליה אחד לפני שבת, אם זה מועיל להתיר לכולם לשבת עליו בשבת. והשיב דהמשנ"ב מבאר שם הטעם דכיון דישב עליה כך מבלי לתקוע, תו ליכא למיחש שמא יתקע, שהרי גלי דעתי' דניחא לי' כך. ולפ"ז כתב, דרק מי שישב עליו לפני שבת, אצלו ליכא הגזירה שמא יתקע, אבל לאחר עדיין ישנו הגזירה</w:t>
      </w:r>
      <w:r w:rsidR="00D62371">
        <w:rPr>
          <w:rFonts w:hint="cs"/>
          <w:rtl/>
        </w:rPr>
        <w:t>.</w:t>
      </w:r>
    </w:p>
  </w:footnote>
  <w:footnote w:id="1476">
    <w:p w14:paraId="6C5F4C42" w14:textId="7D67748E" w:rsidR="00855CAD" w:rsidRDefault="00855CAD" w:rsidP="00285819">
      <w:pPr>
        <w:pStyle w:val="a7"/>
      </w:pPr>
      <w:r>
        <w:rPr>
          <w:rStyle w:val="a9"/>
        </w:rPr>
        <w:footnoteRef/>
      </w:r>
      <w:r>
        <w:rPr>
          <w:rtl/>
        </w:rPr>
        <w:t xml:space="preserve"> </w:t>
      </w:r>
      <w:r w:rsidRPr="00855CAD">
        <w:rPr>
          <w:rFonts w:cs="Arial"/>
          <w:rtl/>
        </w:rPr>
        <w:t>היינו אפילו אם לא יתקענה בחוזק משום חששא שמא אתי לתקוע דסתם רגלי הספסלין דרכן להיות מהודקין וחיישינן לזה וכ"ז אפילו בישב על הספסל כבר פ"א קודם השבת דבלא זה אסור הספסל אפילו בטלטול. כתב המ"א דאם דרך הרגל להיות לעולם רפוי אצלו מותר להכניסו ברפיון ועיין בביאור הלכה. וכ"ז ברפוי ממש אבל רפוי ולא רפוי אסור [ב"י בסי' שי"ג]</w:t>
      </w:r>
      <w:r>
        <w:rPr>
          <w:rFonts w:cs="Arial" w:hint="cs"/>
          <w:rtl/>
        </w:rPr>
        <w:t>, משנ"ב (סקע"ב).</w:t>
      </w:r>
    </w:p>
  </w:footnote>
  <w:footnote w:id="1477">
    <w:p w14:paraId="4D2EC6E4" w14:textId="77777777" w:rsidR="00FF7CD6" w:rsidRDefault="00FF7CD6" w:rsidP="00285819">
      <w:pPr>
        <w:pStyle w:val="a7"/>
      </w:pPr>
      <w:r>
        <w:rPr>
          <w:rStyle w:val="a9"/>
        </w:rPr>
        <w:footnoteRef/>
      </w:r>
      <w:r>
        <w:rPr>
          <w:rtl/>
        </w:rPr>
        <w:t xml:space="preserve"> </w:t>
      </w:r>
      <w:r w:rsidRPr="00F63421">
        <w:rPr>
          <w:rFonts w:cs="Arial"/>
          <w:rtl/>
        </w:rPr>
        <w:t>ו</w:t>
      </w:r>
      <w:r>
        <w:rPr>
          <w:rFonts w:cs="Arial" w:hint="cs"/>
          <w:rtl/>
        </w:rPr>
        <w:t>כן איתא ב</w:t>
      </w:r>
      <w:r w:rsidRPr="00F63421">
        <w:rPr>
          <w:rFonts w:cs="Arial"/>
          <w:rtl/>
        </w:rPr>
        <w:t>פרק המביא כדי יין (ביצה לא:)</w:t>
      </w:r>
      <w:r>
        <w:rPr>
          <w:rFonts w:cs="Arial" w:hint="cs"/>
          <w:rtl/>
        </w:rPr>
        <w:t>.</w:t>
      </w:r>
    </w:p>
  </w:footnote>
  <w:footnote w:id="1478">
    <w:p w14:paraId="169106C0" w14:textId="77777777" w:rsidR="00FF7CD6" w:rsidRDefault="00FF7CD6" w:rsidP="00285819">
      <w:pPr>
        <w:pStyle w:val="a7"/>
      </w:pPr>
      <w:r>
        <w:rPr>
          <w:rStyle w:val="a9"/>
        </w:rPr>
        <w:footnoteRef/>
      </w:r>
      <w:r>
        <w:rPr>
          <w:rtl/>
        </w:rPr>
        <w:t xml:space="preserve"> </w:t>
      </w:r>
      <w:r w:rsidRPr="00FF7CD6">
        <w:rPr>
          <w:rFonts w:cs="Arial"/>
          <w:rtl/>
        </w:rPr>
        <w:t>שהשלים בניינו וניתותר, ומהשתא לא קיימי לבנין אלא לישב עליהם, ותורת כלי עליהם</w:t>
      </w:r>
      <w:r>
        <w:rPr>
          <w:rFonts w:cs="Arial" w:hint="cs"/>
          <w:rtl/>
        </w:rPr>
        <w:t>, רש"י.</w:t>
      </w:r>
    </w:p>
  </w:footnote>
  <w:footnote w:id="1479">
    <w:p w14:paraId="54BCB922" w14:textId="77777777" w:rsidR="00FF7CD6" w:rsidRDefault="00FF7CD6" w:rsidP="00285819">
      <w:pPr>
        <w:pStyle w:val="a7"/>
      </w:pPr>
      <w:r>
        <w:rPr>
          <w:rStyle w:val="a9"/>
        </w:rPr>
        <w:footnoteRef/>
      </w:r>
      <w:r>
        <w:rPr>
          <w:rtl/>
        </w:rPr>
        <w:t xml:space="preserve"> </w:t>
      </w:r>
      <w:r w:rsidRPr="00FF7CD6">
        <w:rPr>
          <w:rFonts w:cs="Arial"/>
          <w:rtl/>
        </w:rPr>
        <w:t>אי סדרן זו על זו, ודאי אקצינהו לצורך בנין אחר</w:t>
      </w:r>
      <w:r>
        <w:rPr>
          <w:rFonts w:cs="Arial" w:hint="cs"/>
          <w:rtl/>
        </w:rPr>
        <w:t>, רש"י.</w:t>
      </w:r>
    </w:p>
  </w:footnote>
  <w:footnote w:id="1480">
    <w:p w14:paraId="32749F9A" w14:textId="211E05F0" w:rsidR="00A16E04" w:rsidRDefault="00FF7CD6" w:rsidP="00285819">
      <w:pPr>
        <w:pStyle w:val="a7"/>
        <w:rPr>
          <w:rtl/>
        </w:rPr>
      </w:pPr>
      <w:r>
        <w:rPr>
          <w:rStyle w:val="a9"/>
        </w:rPr>
        <w:footnoteRef/>
      </w:r>
      <w:r>
        <w:rPr>
          <w:rtl/>
        </w:rPr>
        <w:t xml:space="preserve"> </w:t>
      </w:r>
      <w:r w:rsidRPr="00FF7CD6">
        <w:rPr>
          <w:rFonts w:cs="Arial"/>
          <w:rtl/>
        </w:rPr>
        <w:t>והוי תורת כלי עלייהו דכל דראוי למידי ועומד לכך תורת כלי עליה וכמו נסרים ועורות לקמן בסכ"ה כ"ו ומותר לטלטל אפילו מחמה לצל כדין כלי שמלאכתו להיתר. ומשמע דא"צ מחשבה מע"ש למזגא עלייהו [א"ר] ויש מחמירין בזה. כתב הפמ"ג אם נשברו הלבנים כל שראוי למידי הוו כדין שברי כלים בסעיף וי"ו וזיי"ן ע"ש</w:t>
      </w:r>
      <w:r>
        <w:rPr>
          <w:rFonts w:cs="Arial" w:hint="cs"/>
          <w:rtl/>
        </w:rPr>
        <w:t xml:space="preserve">, </w:t>
      </w:r>
      <w:r w:rsidR="007670B2" w:rsidRPr="00A16E04">
        <w:rPr>
          <w:rFonts w:cs="Arial" w:hint="cs"/>
          <w:b/>
          <w:bCs/>
          <w:rtl/>
        </w:rPr>
        <w:t>משנ"ב</w:t>
      </w:r>
      <w:r w:rsidR="007670B2">
        <w:rPr>
          <w:rFonts w:cs="Arial" w:hint="cs"/>
          <w:rtl/>
        </w:rPr>
        <w:t xml:space="preserve"> (סקע"ג)</w:t>
      </w:r>
      <w:r>
        <w:rPr>
          <w:rFonts w:cs="Arial" w:hint="cs"/>
          <w:rtl/>
        </w:rPr>
        <w:t>.</w:t>
      </w:r>
      <w:r w:rsidR="00A16E04" w:rsidRPr="00A16E04">
        <w:rPr>
          <w:rtl/>
        </w:rPr>
        <w:t xml:space="preserve"> </w:t>
      </w:r>
      <w:r w:rsidR="00A16E04">
        <w:rPr>
          <w:rFonts w:cs="Arial"/>
          <w:rtl/>
        </w:rPr>
        <w:t>ובזמנינו שאין דרך לייחד לבנים לישיבה, ומה שנשאר מהבנין עומד לבנין אחר, אין בידינו היתר זה לטלטל לבנים שנשארו מהבנין, אא"כ יחדן לישיבה לעולם.</w:t>
      </w:r>
    </w:p>
    <w:p w14:paraId="3C638A39" w14:textId="0F456BAC" w:rsidR="00FF7CD6" w:rsidRDefault="00A16E04" w:rsidP="00285819">
      <w:pPr>
        <w:pStyle w:val="a7"/>
      </w:pPr>
      <w:r>
        <w:rPr>
          <w:rFonts w:cs="Arial"/>
          <w:rtl/>
        </w:rPr>
        <w:t>וכמו כן ערימת חול העומדת לבנין, מוקצה היא בהחלט, וגם מה שנשתייר ממנה דינה כעפר ועצים ואבנים, ואסור בטלטול, ויש לחנך ולאסור על הילדים מלשחק ולנגוע בחול זה</w:t>
      </w:r>
      <w:r>
        <w:rPr>
          <w:rFonts w:cs="Arial" w:hint="cs"/>
          <w:rtl/>
        </w:rPr>
        <w:t xml:space="preserve">, </w:t>
      </w:r>
      <w:r w:rsidRPr="00A16E04">
        <w:rPr>
          <w:rFonts w:cs="Arial" w:hint="cs"/>
          <w:b/>
          <w:bCs/>
          <w:rtl/>
        </w:rPr>
        <w:t>פסק"ת</w:t>
      </w:r>
      <w:r>
        <w:rPr>
          <w:rFonts w:cs="Arial" w:hint="cs"/>
          <w:rtl/>
        </w:rPr>
        <w:t xml:space="preserve"> (אות לא)</w:t>
      </w:r>
      <w:r>
        <w:rPr>
          <w:rFonts w:cs="Arial"/>
          <w:rtl/>
        </w:rPr>
        <w:t>.</w:t>
      </w:r>
    </w:p>
  </w:footnote>
  <w:footnote w:id="1481">
    <w:p w14:paraId="13CDA593" w14:textId="682FB2EF" w:rsidR="00FF7CD6" w:rsidRDefault="00FF7CD6" w:rsidP="00285819">
      <w:pPr>
        <w:pStyle w:val="a7"/>
      </w:pPr>
      <w:r>
        <w:rPr>
          <w:rStyle w:val="a9"/>
        </w:rPr>
        <w:footnoteRef/>
      </w:r>
      <w:r>
        <w:rPr>
          <w:rtl/>
        </w:rPr>
        <w:t xml:space="preserve"> </w:t>
      </w:r>
      <w:r w:rsidRPr="00FF7CD6">
        <w:rPr>
          <w:rFonts w:cs="Arial"/>
          <w:rtl/>
        </w:rPr>
        <w:t>אפילו לצורך גופו ומקומו דליכא תורת כלי עליהן ודינייהו כדין אבנים המבואר לקמן בסכ"ב דלא מהני מחשבה מע"ש לזה</w:t>
      </w:r>
      <w:r>
        <w:rPr>
          <w:rFonts w:cs="Arial" w:hint="cs"/>
          <w:rtl/>
        </w:rPr>
        <w:t>, רש"י.</w:t>
      </w:r>
    </w:p>
  </w:footnote>
  <w:footnote w:id="1482">
    <w:p w14:paraId="7A2D2302" w14:textId="02C4BAE8" w:rsidR="003D4E3C" w:rsidRDefault="003D4E3C" w:rsidP="00285819">
      <w:pPr>
        <w:pStyle w:val="a7"/>
      </w:pPr>
      <w:r>
        <w:rPr>
          <w:rStyle w:val="a9"/>
        </w:rPr>
        <w:footnoteRef/>
      </w:r>
      <w:r>
        <w:rPr>
          <w:rtl/>
        </w:rPr>
        <w:t xml:space="preserve"> </w:t>
      </w:r>
      <w:r w:rsidRPr="003D4E3C">
        <w:rPr>
          <w:rFonts w:cs="Arial"/>
          <w:rtl/>
        </w:rPr>
        <w:t>דפינהו שרי לתת לתוכו צונן</w:t>
      </w:r>
      <w:r>
        <w:rPr>
          <w:rFonts w:cs="Arial" w:hint="cs"/>
          <w:rtl/>
        </w:rPr>
        <w:t>, רש"י.</w:t>
      </w:r>
    </w:p>
  </w:footnote>
  <w:footnote w:id="1483">
    <w:p w14:paraId="38EDF13A" w14:textId="6B8C3C4A" w:rsidR="003D4E3C" w:rsidRDefault="003D4E3C" w:rsidP="00285819">
      <w:pPr>
        <w:pStyle w:val="a7"/>
      </w:pPr>
      <w:r>
        <w:rPr>
          <w:rStyle w:val="a9"/>
        </w:rPr>
        <w:footnoteRef/>
      </w:r>
      <w:r>
        <w:rPr>
          <w:rtl/>
        </w:rPr>
        <w:t xml:space="preserve"> </w:t>
      </w:r>
      <w:r w:rsidRPr="003D4E3C">
        <w:rPr>
          <w:rFonts w:cs="Arial"/>
          <w:rtl/>
        </w:rPr>
        <w:t>ולא לצרף, כגון שלא מלאהו כולו, ורב משמע ליה פינהו - כרב אדא, שפינה ממנו חמין</w:t>
      </w:r>
      <w:r>
        <w:rPr>
          <w:rFonts w:cs="Arial" w:hint="cs"/>
          <w:rtl/>
        </w:rPr>
        <w:t>, רש"י.</w:t>
      </w:r>
    </w:p>
  </w:footnote>
  <w:footnote w:id="1484">
    <w:p w14:paraId="436DD711" w14:textId="0309EC38" w:rsidR="003D4E3C" w:rsidRDefault="003D4E3C" w:rsidP="00285819">
      <w:pPr>
        <w:pStyle w:val="a7"/>
      </w:pPr>
      <w:r>
        <w:rPr>
          <w:rStyle w:val="a9"/>
        </w:rPr>
        <w:footnoteRef/>
      </w:r>
      <w:r>
        <w:rPr>
          <w:rtl/>
        </w:rPr>
        <w:t xml:space="preserve"> </w:t>
      </w:r>
      <w:r w:rsidRPr="003D4E3C">
        <w:rPr>
          <w:rFonts w:cs="Arial"/>
          <w:rtl/>
        </w:rPr>
        <w:t>שמלאהו כולו</w:t>
      </w:r>
      <w:r>
        <w:rPr>
          <w:rFonts w:cs="Arial" w:hint="cs"/>
          <w:rtl/>
        </w:rPr>
        <w:t>, רש"י.</w:t>
      </w:r>
    </w:p>
  </w:footnote>
  <w:footnote w:id="1485">
    <w:p w14:paraId="6028F2D4" w14:textId="7B6E1855" w:rsidR="008A659F" w:rsidRDefault="008A659F" w:rsidP="00285819">
      <w:pPr>
        <w:pStyle w:val="a7"/>
      </w:pPr>
      <w:r>
        <w:rPr>
          <w:rStyle w:val="a9"/>
        </w:rPr>
        <w:footnoteRef/>
      </w:r>
      <w:r>
        <w:rPr>
          <w:rtl/>
        </w:rPr>
        <w:t xml:space="preserve"> </w:t>
      </w:r>
      <w:r w:rsidRPr="008A659F">
        <w:rPr>
          <w:rFonts w:cs="Arial"/>
          <w:rtl/>
        </w:rPr>
        <w:t>שמשליכין לחוץ פסולת של ברזל, דלא שייך כבוי בהכי מדאורייתא, ומדרבנן אסורה, והיכא דאיכא נזקא לרבים - לא גזרו על השבות</w:t>
      </w:r>
      <w:r>
        <w:rPr>
          <w:rFonts w:cs="Arial" w:hint="cs"/>
          <w:rtl/>
        </w:rPr>
        <w:t>, רש"י.</w:t>
      </w:r>
    </w:p>
  </w:footnote>
  <w:footnote w:id="1486">
    <w:p w14:paraId="1A43D236" w14:textId="5DD2D25B" w:rsidR="008A659F" w:rsidRDefault="008A659F" w:rsidP="00285819">
      <w:pPr>
        <w:pStyle w:val="a7"/>
      </w:pPr>
      <w:r>
        <w:rPr>
          <w:rStyle w:val="a9"/>
        </w:rPr>
        <w:footnoteRef/>
      </w:r>
      <w:r>
        <w:rPr>
          <w:rtl/>
        </w:rPr>
        <w:t xml:space="preserve"> </w:t>
      </w:r>
      <w:r w:rsidRPr="008A659F">
        <w:rPr>
          <w:rFonts w:cs="Arial"/>
          <w:rtl/>
        </w:rPr>
        <w:t>דאיסורא דאורייתא היא, וחייב סקילה</w:t>
      </w:r>
      <w:r>
        <w:rPr>
          <w:rFonts w:cs="Arial" w:hint="cs"/>
          <w:rtl/>
        </w:rPr>
        <w:t>, רש"י.</w:t>
      </w:r>
    </w:p>
  </w:footnote>
  <w:footnote w:id="1487">
    <w:p w14:paraId="1C16DD8E" w14:textId="2C69D168" w:rsidR="008A659F" w:rsidRDefault="008A659F" w:rsidP="00285819">
      <w:pPr>
        <w:pStyle w:val="a7"/>
      </w:pPr>
      <w:r>
        <w:rPr>
          <w:rStyle w:val="a9"/>
        </w:rPr>
        <w:footnoteRef/>
      </w:r>
      <w:r>
        <w:rPr>
          <w:rtl/>
        </w:rPr>
        <w:t xml:space="preserve"> </w:t>
      </w:r>
      <w:r w:rsidRPr="008A659F">
        <w:rPr>
          <w:rFonts w:cs="Arial"/>
          <w:rtl/>
        </w:rPr>
        <w:t>דהא לר' שמעון מלאכה שאינה צריכה לגופה - פטור עליה, וכל כיבוי אינו צריך לגופו, חוץ מעושי פחמין או מהבהבי פתילה</w:t>
      </w:r>
      <w:r>
        <w:rPr>
          <w:rFonts w:cs="Arial" w:hint="cs"/>
          <w:rtl/>
        </w:rPr>
        <w:t>, רש"י.</w:t>
      </w:r>
    </w:p>
  </w:footnote>
  <w:footnote w:id="1488">
    <w:p w14:paraId="5943AD2D" w14:textId="2090D003" w:rsidR="008A659F" w:rsidRDefault="008A659F" w:rsidP="00285819">
      <w:pPr>
        <w:pStyle w:val="a7"/>
      </w:pPr>
      <w:r>
        <w:rPr>
          <w:rStyle w:val="a9"/>
        </w:rPr>
        <w:footnoteRef/>
      </w:r>
      <w:r>
        <w:rPr>
          <w:rtl/>
        </w:rPr>
        <w:t xml:space="preserve"> </w:t>
      </w:r>
      <w:r w:rsidRPr="008A659F">
        <w:rPr>
          <w:rFonts w:cs="Arial"/>
          <w:rtl/>
        </w:rPr>
        <w:t>כיון דאמרת לא גזרו שבות דכיבוי מתכת במקום נזקא דרבים</w:t>
      </w:r>
      <w:r>
        <w:rPr>
          <w:rFonts w:cs="Arial" w:hint="cs"/>
          <w:rtl/>
        </w:rPr>
        <w:t>, רש"י.</w:t>
      </w:r>
    </w:p>
  </w:footnote>
  <w:footnote w:id="1489">
    <w:p w14:paraId="1015503A" w14:textId="413E1248" w:rsidR="008A659F" w:rsidRDefault="008A659F" w:rsidP="00285819">
      <w:pPr>
        <w:pStyle w:val="a7"/>
      </w:pPr>
      <w:r>
        <w:rPr>
          <w:rStyle w:val="a9"/>
        </w:rPr>
        <w:footnoteRef/>
      </w:r>
      <w:r>
        <w:rPr>
          <w:rtl/>
        </w:rPr>
        <w:t xml:space="preserve"> </w:t>
      </w:r>
      <w:r w:rsidRPr="008A659F">
        <w:rPr>
          <w:rFonts w:cs="Arial"/>
          <w:rtl/>
        </w:rPr>
        <w:t>עד שיסלקנו לצידי רשות הרבים, דאיסורא דרבנן הוא</w:t>
      </w:r>
      <w:r>
        <w:rPr>
          <w:rFonts w:cs="Arial" w:hint="cs"/>
          <w:rtl/>
        </w:rPr>
        <w:t>, רש"י.</w:t>
      </w:r>
    </w:p>
  </w:footnote>
  <w:footnote w:id="1490">
    <w:p w14:paraId="71491290" w14:textId="19E583C3" w:rsidR="008A659F" w:rsidRDefault="008A659F" w:rsidP="00285819">
      <w:pPr>
        <w:pStyle w:val="a7"/>
      </w:pPr>
      <w:r>
        <w:rPr>
          <w:rStyle w:val="a9"/>
        </w:rPr>
        <w:footnoteRef/>
      </w:r>
      <w:r>
        <w:rPr>
          <w:rtl/>
        </w:rPr>
        <w:t xml:space="preserve"> </w:t>
      </w:r>
      <w:r w:rsidRPr="008A659F">
        <w:rPr>
          <w:rFonts w:cs="Arial"/>
          <w:rtl/>
        </w:rPr>
        <w:t>דטלטול דידיה דרבנן</w:t>
      </w:r>
      <w:r>
        <w:rPr>
          <w:rFonts w:cs="Arial" w:hint="cs"/>
          <w:rtl/>
        </w:rPr>
        <w:t>, רש"י.</w:t>
      </w:r>
    </w:p>
  </w:footnote>
  <w:footnote w:id="1491">
    <w:p w14:paraId="36FE83D2" w14:textId="66823E69" w:rsidR="008A659F" w:rsidRDefault="008A659F" w:rsidP="00285819">
      <w:pPr>
        <w:pStyle w:val="a7"/>
      </w:pPr>
      <w:r>
        <w:rPr>
          <w:rStyle w:val="a9"/>
        </w:rPr>
        <w:footnoteRef/>
      </w:r>
      <w:r>
        <w:rPr>
          <w:rtl/>
        </w:rPr>
        <w:t xml:space="preserve"> </w:t>
      </w:r>
      <w:r w:rsidRPr="008A659F">
        <w:rPr>
          <w:rFonts w:cs="Arial"/>
          <w:rtl/>
        </w:rPr>
        <w:t>יעבירנו בעקירה אחת</w:t>
      </w:r>
      <w:r>
        <w:rPr>
          <w:rFonts w:cs="Arial" w:hint="cs"/>
          <w:rtl/>
        </w:rPr>
        <w:t>, רש"י.</w:t>
      </w:r>
    </w:p>
  </w:footnote>
  <w:footnote w:id="1492">
    <w:p w14:paraId="610B6F3E" w14:textId="339DBD35" w:rsidR="00A16E04" w:rsidRDefault="00A16E04" w:rsidP="00285819">
      <w:pPr>
        <w:pStyle w:val="a7"/>
      </w:pPr>
      <w:r>
        <w:rPr>
          <w:rStyle w:val="a9"/>
        </w:rPr>
        <w:footnoteRef/>
      </w:r>
      <w:r>
        <w:rPr>
          <w:rtl/>
        </w:rPr>
        <w:t xml:space="preserve"> </w:t>
      </w:r>
      <w:r w:rsidRPr="003D4E3C">
        <w:rPr>
          <w:rFonts w:cs="Arial"/>
          <w:rtl/>
        </w:rPr>
        <w:t xml:space="preserve">הריטב"א תמה, הרי להלכה קיימא לן כרבי שמעון, שמלאכה שאינה צריכה לגופה פטור, ואם כן, כשמעביר את הקוץ ברשות הרבים לצורך הרבים, הוי מלאכה שאינה צריכה לגופה, שאסורה רק מדרבנן, ולצורך הרבים לא גזרו, ואם כן יהא מותר להוליך את הקוץ ד' אמות ברשות הרבים לצורך הרבים? ותירץ, שרבינא סבר כרבי יהודה. אבל אין הכי נמי, להלכה מותר להוליכו ארבע אמות ממש לצורך הרבים. ובמגדל עוז </w:t>
      </w:r>
      <w:r>
        <w:rPr>
          <w:rFonts w:cs="Arial" w:hint="cs"/>
          <w:rtl/>
        </w:rPr>
        <w:t>(</w:t>
      </w:r>
      <w:r w:rsidRPr="003D4E3C">
        <w:rPr>
          <w:rFonts w:cs="Arial"/>
          <w:rtl/>
        </w:rPr>
        <w:t>א ז</w:t>
      </w:r>
      <w:r>
        <w:rPr>
          <w:rFonts w:cs="Arial" w:hint="cs"/>
          <w:rtl/>
        </w:rPr>
        <w:t>)</w:t>
      </w:r>
      <w:r w:rsidRPr="003D4E3C">
        <w:rPr>
          <w:rFonts w:cs="Arial"/>
          <w:rtl/>
        </w:rPr>
        <w:t xml:space="preserve"> כתב שמדברי רבינא שהוא בתראה הוציא הרמב"ם שההלכה כרבי יהודה במלאכה שאינה צריכה לגופה. וראה במגיד משנה שם. וכן הוכיח בעל המאור </w:t>
      </w:r>
      <w:r>
        <w:rPr>
          <w:rFonts w:cs="Arial" w:hint="cs"/>
          <w:rtl/>
        </w:rPr>
        <w:t>(</w:t>
      </w:r>
      <w:r w:rsidRPr="003D4E3C">
        <w:rPr>
          <w:rFonts w:cs="Arial"/>
          <w:rtl/>
        </w:rPr>
        <w:t>יג</w:t>
      </w:r>
      <w:r>
        <w:rPr>
          <w:rFonts w:cs="Arial" w:hint="cs"/>
          <w:rtl/>
        </w:rPr>
        <w:t>.)</w:t>
      </w:r>
      <w:r w:rsidRPr="003D4E3C">
        <w:rPr>
          <w:rFonts w:cs="Arial"/>
          <w:rtl/>
        </w:rPr>
        <w:t xml:space="preserve">. אכן, הטור והשולחן ערוך פסקו כרבי שמעון </w:t>
      </w:r>
      <w:r>
        <w:rPr>
          <w:rFonts w:cs="Arial" w:hint="cs"/>
          <w:rtl/>
        </w:rPr>
        <w:t>(</w:t>
      </w:r>
      <w:r w:rsidRPr="003D4E3C">
        <w:rPr>
          <w:rFonts w:cs="Arial"/>
          <w:rtl/>
        </w:rPr>
        <w:t>סי</w:t>
      </w:r>
      <w:r>
        <w:rPr>
          <w:rFonts w:cs="Arial" w:hint="cs"/>
          <w:rtl/>
        </w:rPr>
        <w:t>'</w:t>
      </w:r>
      <w:r w:rsidRPr="003D4E3C">
        <w:rPr>
          <w:rFonts w:cs="Arial"/>
          <w:rtl/>
        </w:rPr>
        <w:t xml:space="preserve"> רעח, שלד כז</w:t>
      </w:r>
      <w:r>
        <w:rPr>
          <w:rFonts w:cs="Arial" w:hint="cs"/>
          <w:rtl/>
        </w:rPr>
        <w:t>)</w:t>
      </w:r>
      <w:r w:rsidRPr="003D4E3C">
        <w:rPr>
          <w:rFonts w:cs="Arial"/>
          <w:rtl/>
        </w:rPr>
        <w:t xml:space="preserve">, ובכל זאת הביאו </w:t>
      </w:r>
      <w:r>
        <w:rPr>
          <w:rFonts w:cs="Arial" w:hint="cs"/>
          <w:rtl/>
        </w:rPr>
        <w:t>(</w:t>
      </w:r>
      <w:r w:rsidRPr="003D4E3C">
        <w:rPr>
          <w:rFonts w:cs="Arial"/>
          <w:rtl/>
        </w:rPr>
        <w:t>בסימן שח יח</w:t>
      </w:r>
      <w:r>
        <w:rPr>
          <w:rFonts w:cs="Arial" w:hint="cs"/>
          <w:rtl/>
        </w:rPr>
        <w:t>)</w:t>
      </w:r>
      <w:r w:rsidRPr="003D4E3C">
        <w:rPr>
          <w:rFonts w:cs="Arial"/>
          <w:rtl/>
        </w:rPr>
        <w:t xml:space="preserve"> את מימרא דרבינא, ותמה התוספת שבת </w:t>
      </w:r>
      <w:r>
        <w:rPr>
          <w:rFonts w:cs="Arial" w:hint="cs"/>
          <w:rtl/>
        </w:rPr>
        <w:t xml:space="preserve">(אות </w:t>
      </w:r>
      <w:r w:rsidRPr="003D4E3C">
        <w:rPr>
          <w:rFonts w:cs="Arial"/>
          <w:rtl/>
        </w:rPr>
        <w:t>נט</w:t>
      </w:r>
      <w:r>
        <w:rPr>
          <w:rFonts w:cs="Arial" w:hint="cs"/>
          <w:rtl/>
        </w:rPr>
        <w:t>)</w:t>
      </w:r>
      <w:r w:rsidRPr="003D4E3C">
        <w:rPr>
          <w:rFonts w:cs="Arial"/>
          <w:rtl/>
        </w:rPr>
        <w:t xml:space="preserve"> מדוע לא התירו לטלטל ד' אמות ממש. וראה בריטב"א תירוץ נוסף, שאע</w:t>
      </w:r>
      <w:r>
        <w:rPr>
          <w:rFonts w:cs="Arial" w:hint="cs"/>
          <w:rtl/>
        </w:rPr>
        <w:t>"</w:t>
      </w:r>
      <w:r w:rsidRPr="003D4E3C">
        <w:rPr>
          <w:rFonts w:cs="Arial"/>
          <w:rtl/>
        </w:rPr>
        <w:t>פ שהעברת הקוץ ארבע אמות ברשות הרבים לצורך הרבים היא רק איסור דרבנן, מכל מקום, כל מה שאפשר לשנות צריך לשנות, כדי שלא יבואו לטעות בעלמא להתיר טלטול ברשות הרבים. וכן כתבו בעל המאור [שם] המאירי וההשלמה</w:t>
      </w:r>
      <w:r>
        <w:rPr>
          <w:rFonts w:cs="Arial" w:hint="cs"/>
          <w:sz w:val="14"/>
          <w:szCs w:val="14"/>
          <w:rtl/>
        </w:rPr>
        <w:t xml:space="preserve"> (הערה 215, פירוש חברותא)</w:t>
      </w:r>
      <w:r w:rsidRPr="003D4E3C">
        <w:rPr>
          <w:rFonts w:cs="Arial"/>
          <w:rtl/>
        </w:rPr>
        <w:t>.</w:t>
      </w:r>
    </w:p>
  </w:footnote>
  <w:footnote w:id="1493">
    <w:p w14:paraId="13047C03" w14:textId="18E11808" w:rsidR="00450E38" w:rsidRDefault="00450E38" w:rsidP="00285819">
      <w:pPr>
        <w:pStyle w:val="a7"/>
      </w:pPr>
      <w:r>
        <w:rPr>
          <w:rStyle w:val="a9"/>
        </w:rPr>
        <w:footnoteRef/>
      </w:r>
      <w:r>
        <w:rPr>
          <w:rtl/>
        </w:rPr>
        <w:t xml:space="preserve"> </w:t>
      </w:r>
      <w:r w:rsidRPr="00450E38">
        <w:rPr>
          <w:rFonts w:cs="Arial"/>
          <w:rtl/>
        </w:rPr>
        <w:t>דעת הריב"ש המובא במ"א דאם היה הקוץ גדול אסור לטלטלו דבנקל יכול להזהר ממנו שלא יוזק כיון דנראה לכל</w:t>
      </w:r>
      <w:r w:rsidR="00A16E04">
        <w:rPr>
          <w:rFonts w:cs="Arial" w:hint="cs"/>
          <w:rtl/>
        </w:rPr>
        <w:t>.</w:t>
      </w:r>
      <w:r w:rsidRPr="00450E38">
        <w:rPr>
          <w:rFonts w:cs="Arial"/>
          <w:rtl/>
        </w:rPr>
        <w:t xml:space="preserve"> ועיין במ"א שהקשה עליו</w:t>
      </w:r>
      <w:r w:rsidR="00A16E04">
        <w:rPr>
          <w:rFonts w:cs="Arial" w:hint="cs"/>
          <w:rtl/>
        </w:rPr>
        <w:t>.</w:t>
      </w:r>
      <w:r w:rsidRPr="00450E38">
        <w:rPr>
          <w:rFonts w:cs="Arial"/>
          <w:rtl/>
        </w:rPr>
        <w:t xml:space="preserve"> ובתו"ש מיישבו ומצדד להורות כמותו</w:t>
      </w:r>
      <w:r w:rsidR="00A16E04">
        <w:rPr>
          <w:rFonts w:cs="Arial" w:hint="cs"/>
          <w:rtl/>
        </w:rPr>
        <w:t>.</w:t>
      </w:r>
      <w:r w:rsidRPr="00450E38">
        <w:rPr>
          <w:rFonts w:cs="Arial"/>
          <w:rtl/>
        </w:rPr>
        <w:t xml:space="preserve"> ועי</w:t>
      </w:r>
      <w:r>
        <w:rPr>
          <w:rFonts w:cs="Arial" w:hint="cs"/>
          <w:rtl/>
        </w:rPr>
        <w:t>'</w:t>
      </w:r>
      <w:r w:rsidRPr="00450E38">
        <w:rPr>
          <w:rFonts w:cs="Arial"/>
          <w:rtl/>
        </w:rPr>
        <w:t xml:space="preserve"> בספר שלחן עצי שטים דבטלטול מן הצד מותר גם בזה</w:t>
      </w:r>
      <w:r>
        <w:rPr>
          <w:rFonts w:cs="Arial" w:hint="cs"/>
          <w:rtl/>
        </w:rPr>
        <w:t>, משנ"ב (סקע"ה).</w:t>
      </w:r>
    </w:p>
  </w:footnote>
  <w:footnote w:id="1494">
    <w:p w14:paraId="797DD763" w14:textId="19B22F33" w:rsidR="00450E38" w:rsidRDefault="00450E38" w:rsidP="00285819">
      <w:pPr>
        <w:pStyle w:val="a7"/>
      </w:pPr>
      <w:r>
        <w:rPr>
          <w:rStyle w:val="a9"/>
        </w:rPr>
        <w:footnoteRef/>
      </w:r>
      <w:r>
        <w:rPr>
          <w:rtl/>
        </w:rPr>
        <w:t xml:space="preserve"> </w:t>
      </w:r>
      <w:r w:rsidRPr="00450E38">
        <w:rPr>
          <w:rFonts w:cs="Arial"/>
          <w:rtl/>
        </w:rPr>
        <w:t>עד שיסלקנו לצדי ר"ה מקום שאין דורסין בו רבים</w:t>
      </w:r>
      <w:r w:rsidR="00A16E04">
        <w:rPr>
          <w:rFonts w:cs="Arial" w:hint="cs"/>
          <w:rtl/>
        </w:rPr>
        <w:t>.</w:t>
      </w:r>
      <w:r w:rsidRPr="00450E38">
        <w:rPr>
          <w:rFonts w:cs="Arial"/>
          <w:rtl/>
        </w:rPr>
        <w:t xml:space="preserve"> ומשמע במ"א דדוקא אם לא היה הקוץ מונח שם מע"ש</w:t>
      </w:r>
      <w:r w:rsidR="00A16E04">
        <w:rPr>
          <w:rFonts w:cs="Arial" w:hint="cs"/>
          <w:rtl/>
        </w:rPr>
        <w:t>,</w:t>
      </w:r>
      <w:r w:rsidRPr="00450E38">
        <w:rPr>
          <w:rFonts w:cs="Arial"/>
          <w:rtl/>
        </w:rPr>
        <w:t xml:space="preserve"> דאל"כ היה לו לסלקו מע"ש</w:t>
      </w:r>
      <w:r w:rsidR="00A16E04">
        <w:rPr>
          <w:rFonts w:cs="Arial" w:hint="cs"/>
          <w:rtl/>
        </w:rPr>
        <w:t>.</w:t>
      </w:r>
      <w:r w:rsidRPr="00450E38">
        <w:rPr>
          <w:rFonts w:cs="Arial"/>
          <w:rtl/>
        </w:rPr>
        <w:t xml:space="preserve"> אבל הא"ר חולק עליו וס"ל דאפילו מונח שם מע"ש מותר ליטלה בשבת</w:t>
      </w:r>
      <w:r>
        <w:rPr>
          <w:rFonts w:cs="Arial" w:hint="cs"/>
          <w:rtl/>
        </w:rPr>
        <w:t>, משנ"ב (סקע"ו).</w:t>
      </w:r>
    </w:p>
  </w:footnote>
  <w:footnote w:id="1495">
    <w:p w14:paraId="31985557" w14:textId="43EBCCE1" w:rsidR="00450E38" w:rsidRDefault="00450E38" w:rsidP="00285819">
      <w:pPr>
        <w:pStyle w:val="a7"/>
      </w:pPr>
      <w:r>
        <w:rPr>
          <w:rStyle w:val="a9"/>
        </w:rPr>
        <w:footnoteRef/>
      </w:r>
      <w:r>
        <w:rPr>
          <w:rtl/>
        </w:rPr>
        <w:t xml:space="preserve"> </w:t>
      </w:r>
      <w:r w:rsidRPr="00450E38">
        <w:rPr>
          <w:rFonts w:cs="Arial"/>
          <w:rtl/>
        </w:rPr>
        <w:t>והא דאיתא לעיל בס"ו בהג"ה דאם יש שברי זכוכית בבית מותר לסלקו ולפנותו</w:t>
      </w:r>
      <w:r>
        <w:rPr>
          <w:rFonts w:cs="Arial" w:hint="cs"/>
          <w:rtl/>
        </w:rPr>
        <w:t>,</w:t>
      </w:r>
      <w:r w:rsidRPr="00450E38">
        <w:rPr>
          <w:rFonts w:cs="Arial"/>
          <w:rtl/>
        </w:rPr>
        <w:t xml:space="preserve"> אף שסתם בית אין מצוי בו רבים כ"כ</w:t>
      </w:r>
      <w:r>
        <w:rPr>
          <w:rFonts w:cs="Arial" w:hint="cs"/>
          <w:rtl/>
        </w:rPr>
        <w:t>,</w:t>
      </w:r>
      <w:r w:rsidRPr="00450E38">
        <w:rPr>
          <w:rFonts w:cs="Arial"/>
          <w:rtl/>
        </w:rPr>
        <w:t xml:space="preserve"> שם הוא רק איסור מוקצה</w:t>
      </w:r>
      <w:r>
        <w:rPr>
          <w:rFonts w:cs="Arial" w:hint="cs"/>
          <w:rtl/>
        </w:rPr>
        <w:t>,</w:t>
      </w:r>
      <w:r w:rsidRPr="00450E38">
        <w:rPr>
          <w:rFonts w:cs="Arial"/>
          <w:rtl/>
        </w:rPr>
        <w:t xml:space="preserve"> ואיסור טלטול ד"א בכרמלית</w:t>
      </w:r>
      <w:r>
        <w:rPr>
          <w:rFonts w:cs="Arial" w:hint="cs"/>
          <w:rtl/>
        </w:rPr>
        <w:t>,</w:t>
      </w:r>
      <w:r w:rsidRPr="00450E38">
        <w:rPr>
          <w:rFonts w:cs="Arial"/>
          <w:rtl/>
        </w:rPr>
        <w:t xml:space="preserve"> או בר"ה פחות מזה</w:t>
      </w:r>
      <w:r>
        <w:rPr>
          <w:rFonts w:cs="Arial" w:hint="cs"/>
          <w:rtl/>
        </w:rPr>
        <w:t>,</w:t>
      </w:r>
      <w:r w:rsidRPr="00450E38">
        <w:rPr>
          <w:rFonts w:cs="Arial"/>
          <w:rtl/>
        </w:rPr>
        <w:t xml:space="preserve"> חמור מזה [כן מצדד הפמ"ג]</w:t>
      </w:r>
      <w:r>
        <w:rPr>
          <w:rFonts w:cs="Arial" w:hint="cs"/>
          <w:rtl/>
        </w:rPr>
        <w:t>, משנ"ב (סקע"ז).</w:t>
      </w:r>
    </w:p>
  </w:footnote>
  <w:footnote w:id="1496">
    <w:p w14:paraId="0C5289F9" w14:textId="77777777" w:rsidR="00521E68" w:rsidRDefault="00521E68" w:rsidP="00285819">
      <w:pPr>
        <w:pStyle w:val="a7"/>
        <w:rPr>
          <w:rtl/>
        </w:rPr>
      </w:pPr>
      <w:r>
        <w:rPr>
          <w:rStyle w:val="a9"/>
        </w:rPr>
        <w:footnoteRef/>
      </w:r>
      <w:r>
        <w:rPr>
          <w:rtl/>
        </w:rPr>
        <w:t xml:space="preserve"> </w:t>
      </w:r>
      <w:r w:rsidRPr="00020E84">
        <w:rPr>
          <w:rFonts w:cs="Arial"/>
          <w:rtl/>
        </w:rPr>
        <w:t>הואיל וקטן הוא ונוח ליטלו משם - אינו ממעט</w:t>
      </w:r>
      <w:r>
        <w:rPr>
          <w:rFonts w:hint="cs"/>
          <w:rtl/>
        </w:rPr>
        <w:t>, רש"י.</w:t>
      </w:r>
    </w:p>
  </w:footnote>
  <w:footnote w:id="1497">
    <w:p w14:paraId="5583DF1C" w14:textId="4EB00AB3" w:rsidR="00521E68" w:rsidRDefault="00521E68" w:rsidP="00285819">
      <w:pPr>
        <w:pStyle w:val="a7"/>
      </w:pPr>
      <w:r>
        <w:rPr>
          <w:rStyle w:val="a9"/>
        </w:rPr>
        <w:footnoteRef/>
      </w:r>
      <w:r>
        <w:rPr>
          <w:rtl/>
        </w:rPr>
        <w:t xml:space="preserve"> </w:t>
      </w:r>
      <w:r>
        <w:rPr>
          <w:rFonts w:hint="cs"/>
          <w:rtl/>
        </w:rPr>
        <w:t xml:space="preserve">מדובר </w:t>
      </w:r>
      <w:r>
        <w:rPr>
          <w:rFonts w:cs="Arial" w:hint="cs"/>
          <w:rtl/>
        </w:rPr>
        <w:t>ב</w:t>
      </w:r>
      <w:r w:rsidRPr="00521E68">
        <w:rPr>
          <w:rFonts w:cs="Arial"/>
          <w:rtl/>
        </w:rPr>
        <w:t>כותל שבין שתי חצירות</w:t>
      </w:r>
      <w:r w:rsidR="00010D63">
        <w:rPr>
          <w:rFonts w:cs="Arial" w:hint="cs"/>
          <w:rtl/>
        </w:rPr>
        <w:t>,</w:t>
      </w:r>
      <w:r w:rsidRPr="00521E68">
        <w:rPr>
          <w:rFonts w:cs="Arial"/>
          <w:rtl/>
        </w:rPr>
        <w:t xml:space="preserve"> גבוה עשרה ורחב ארבעה, ששתי החצרות אסורות </w:t>
      </w:r>
      <w:r w:rsidR="002A53D9">
        <w:rPr>
          <w:rFonts w:cs="Arial" w:hint="cs"/>
          <w:rtl/>
        </w:rPr>
        <w:t>להשתמש בכותל</w:t>
      </w:r>
      <w:r w:rsidRPr="00521E68">
        <w:rPr>
          <w:rFonts w:cs="Arial"/>
          <w:rtl/>
        </w:rPr>
        <w:t xml:space="preserve"> מפני שלשניהן קשה התשמיש, ובא למעטו מגובה עשרה טפחים מצידו האחד של הכותל ע</w:t>
      </w:r>
      <w:r w:rsidR="00010D63">
        <w:rPr>
          <w:rFonts w:cs="Arial" w:hint="cs"/>
          <w:rtl/>
        </w:rPr>
        <w:t>"</w:t>
      </w:r>
      <w:r w:rsidRPr="00521E68">
        <w:rPr>
          <w:rFonts w:cs="Arial"/>
          <w:rtl/>
        </w:rPr>
        <w:t xml:space="preserve">י העמדת </w:t>
      </w:r>
      <w:r>
        <w:rPr>
          <w:rFonts w:cs="Arial" w:hint="cs"/>
          <w:rtl/>
        </w:rPr>
        <w:t>הסולם</w:t>
      </w:r>
      <w:r w:rsidRPr="00521E68">
        <w:rPr>
          <w:rFonts w:cs="Arial"/>
          <w:rtl/>
        </w:rPr>
        <w:t xml:space="preserve"> וכיוצא ב</w:t>
      </w:r>
      <w:r>
        <w:rPr>
          <w:rFonts w:cs="Arial" w:hint="cs"/>
          <w:rtl/>
        </w:rPr>
        <w:t xml:space="preserve">ו </w:t>
      </w:r>
      <w:r w:rsidRPr="00521E68">
        <w:rPr>
          <w:rFonts w:cs="Arial"/>
          <w:rtl/>
        </w:rPr>
        <w:t>בסמוך לכותל, כדי שיהא לבני חצר אחת תשמישו בנחת.</w:t>
      </w:r>
    </w:p>
  </w:footnote>
  <w:footnote w:id="1498">
    <w:p w14:paraId="3F132437" w14:textId="77777777" w:rsidR="00521E68" w:rsidRDefault="00521E68" w:rsidP="00285819">
      <w:pPr>
        <w:pStyle w:val="a7"/>
      </w:pPr>
      <w:r>
        <w:rPr>
          <w:rStyle w:val="a9"/>
        </w:rPr>
        <w:footnoteRef/>
      </w:r>
      <w:r>
        <w:rPr>
          <w:rtl/>
        </w:rPr>
        <w:t xml:space="preserve"> </w:t>
      </w:r>
      <w:r w:rsidRPr="00020E84">
        <w:rPr>
          <w:rFonts w:cs="Arial"/>
          <w:rtl/>
        </w:rPr>
        <w:t xml:space="preserve">אישקלוניי"ש </w:t>
      </w:r>
      <w:r>
        <w:rPr>
          <w:rFonts w:cs="Arial" w:hint="cs"/>
          <w:rtl/>
        </w:rPr>
        <w:t>(</w:t>
      </w:r>
      <w:r w:rsidRPr="00020E84">
        <w:rPr>
          <w:rFonts w:cs="Arial"/>
          <w:rtl/>
        </w:rPr>
        <w:t>שלבי סולם</w:t>
      </w:r>
      <w:r>
        <w:rPr>
          <w:rFonts w:cs="Arial" w:hint="cs"/>
          <w:rtl/>
        </w:rPr>
        <w:t>), רש"י.</w:t>
      </w:r>
    </w:p>
  </w:footnote>
  <w:footnote w:id="1499">
    <w:p w14:paraId="5C613329" w14:textId="64D7E987" w:rsidR="00521E68" w:rsidRDefault="00521E68" w:rsidP="00285819">
      <w:pPr>
        <w:pStyle w:val="a7"/>
        <w:rPr>
          <w:rtl/>
        </w:rPr>
      </w:pPr>
      <w:r>
        <w:rPr>
          <w:rStyle w:val="a9"/>
        </w:rPr>
        <w:footnoteRef/>
      </w:r>
      <w:r>
        <w:rPr>
          <w:rtl/>
        </w:rPr>
        <w:t xml:space="preserve"> </w:t>
      </w:r>
      <w:r w:rsidRPr="00020E84">
        <w:rPr>
          <w:rFonts w:cs="Arial"/>
          <w:rtl/>
        </w:rPr>
        <w:t>ומתוך שהוא כבד אין נוטלין אותו משם, ולא משום איסור אלא משום שקשה ליטלו</w:t>
      </w:r>
      <w:r>
        <w:rPr>
          <w:rFonts w:hint="cs"/>
          <w:rtl/>
        </w:rPr>
        <w:t>, רש"י.</w:t>
      </w:r>
      <w:r w:rsidR="00C21BFC">
        <w:rPr>
          <w:rFonts w:hint="cs"/>
          <w:rtl/>
        </w:rPr>
        <w:t xml:space="preserve"> אך מר"ח משמע שאסור לטלטלו. </w:t>
      </w:r>
      <w:r w:rsidR="00A26498">
        <w:rPr>
          <w:rFonts w:hint="cs"/>
          <w:rtl/>
        </w:rPr>
        <w:t>ונראה שכך דעת הרמב"ם דלקמן.</w:t>
      </w:r>
    </w:p>
  </w:footnote>
  <w:footnote w:id="1500">
    <w:p w14:paraId="1F8A1EB0" w14:textId="47559848" w:rsidR="0011705F" w:rsidRDefault="0011705F" w:rsidP="00285819">
      <w:pPr>
        <w:pStyle w:val="a7"/>
        <w:rPr>
          <w:rtl/>
        </w:rPr>
      </w:pPr>
      <w:r>
        <w:rPr>
          <w:rStyle w:val="a9"/>
        </w:rPr>
        <w:footnoteRef/>
      </w:r>
      <w:r>
        <w:rPr>
          <w:rtl/>
        </w:rPr>
        <w:t xml:space="preserve"> </w:t>
      </w:r>
      <w:r w:rsidRPr="00245F0F">
        <w:rPr>
          <w:rFonts w:cs="Arial"/>
          <w:rtl/>
        </w:rPr>
        <w:t>נראה דהאי אפילו קאי אסולם של בית דלא מיבעיא סולם של בית שהיא קטנה דשרי אלא אפילו סולם של עלייה שהיא גדולה נמי שרי וכמו שכתבו התוס</w:t>
      </w:r>
      <w:r w:rsidR="007877D5">
        <w:rPr>
          <w:rFonts w:cs="Arial" w:hint="cs"/>
          <w:rtl/>
        </w:rPr>
        <w:t>'</w:t>
      </w:r>
      <w:r w:rsidRPr="00245F0F">
        <w:rPr>
          <w:rFonts w:cs="Arial"/>
          <w:rtl/>
        </w:rPr>
        <w:t xml:space="preserve"> (ד"ה מאי) והרא"ש (סי' יד) ריש ביצה (ט</w:t>
      </w:r>
      <w:r w:rsidR="007877D5">
        <w:rPr>
          <w:rFonts w:cs="Arial" w:hint="cs"/>
          <w:rtl/>
        </w:rPr>
        <w:t>:</w:t>
      </w:r>
      <w:r w:rsidRPr="00245F0F">
        <w:rPr>
          <w:rFonts w:cs="Arial"/>
          <w:rtl/>
        </w:rPr>
        <w:t>) אבל אין לפרש דהאי אפילו קאי אסולם של שובך דהא סולם של שובך יותר אסורה לטלטלה בשבת מסולם של עלייה. ועיין לקמן סימן תקי"ח דביום טוב הוא בהיפך</w:t>
      </w:r>
      <w:r w:rsidR="007877D5">
        <w:rPr>
          <w:rFonts w:cs="Arial" w:hint="cs"/>
          <w:rtl/>
        </w:rPr>
        <w:t>..., דרכ"מ (אות ז).</w:t>
      </w:r>
    </w:p>
  </w:footnote>
  <w:footnote w:id="1501">
    <w:p w14:paraId="73008B5A" w14:textId="3776DDC0" w:rsidR="007877D5" w:rsidRDefault="007877D5" w:rsidP="00285819">
      <w:pPr>
        <w:pStyle w:val="a7"/>
        <w:rPr>
          <w:rtl/>
        </w:rPr>
      </w:pPr>
      <w:r>
        <w:rPr>
          <w:rStyle w:val="a9"/>
        </w:rPr>
        <w:footnoteRef/>
      </w:r>
      <w:r>
        <w:rPr>
          <w:rtl/>
        </w:rPr>
        <w:t xml:space="preserve"> </w:t>
      </w:r>
      <w:r>
        <w:rPr>
          <w:rFonts w:cs="Arial"/>
          <w:rtl/>
        </w:rPr>
        <w:t>סובר רבינו שדעת הרא"ש כתירוצא דמחלק בין שבת ליום טוב</w:t>
      </w:r>
      <w:r>
        <w:rPr>
          <w:rFonts w:cs="Arial" w:hint="cs"/>
          <w:rtl/>
        </w:rPr>
        <w:t>.</w:t>
      </w:r>
      <w:r>
        <w:rPr>
          <w:rFonts w:cs="Arial"/>
          <w:rtl/>
        </w:rPr>
        <w:t xml:space="preserve"> וכן כתב ברמזים (סי' יד)</w:t>
      </w:r>
      <w:r>
        <w:rPr>
          <w:rFonts w:hint="cs"/>
          <w:rtl/>
        </w:rPr>
        <w:t>, ב"י.</w:t>
      </w:r>
    </w:p>
  </w:footnote>
  <w:footnote w:id="1502">
    <w:p w14:paraId="120249A9" w14:textId="5F080594" w:rsidR="00893DA0" w:rsidRDefault="00893DA0" w:rsidP="00285819">
      <w:pPr>
        <w:pStyle w:val="a7"/>
      </w:pPr>
      <w:r>
        <w:rPr>
          <w:rStyle w:val="a9"/>
        </w:rPr>
        <w:footnoteRef/>
      </w:r>
      <w:r>
        <w:rPr>
          <w:rtl/>
        </w:rPr>
        <w:t xml:space="preserve"> </w:t>
      </w:r>
      <w:r w:rsidRPr="00893DA0">
        <w:rPr>
          <w:rFonts w:cs="Arial"/>
          <w:rtl/>
        </w:rPr>
        <w:t>דהיינו של שובך להוליך - קא אסר ר' דוסא, ואתא למימר: הולכה - אסור, הטיה - שרי, ובשל עליה לא איירי כלל</w:t>
      </w:r>
      <w:r>
        <w:rPr>
          <w:rFonts w:cs="Arial" w:hint="cs"/>
          <w:rtl/>
        </w:rPr>
        <w:t>, רש"י.</w:t>
      </w:r>
    </w:p>
  </w:footnote>
  <w:footnote w:id="1503">
    <w:p w14:paraId="6CB23C3D" w14:textId="2DC0D725" w:rsidR="00801E18" w:rsidRDefault="00801E18" w:rsidP="00285819">
      <w:pPr>
        <w:pStyle w:val="a7"/>
      </w:pPr>
      <w:r>
        <w:rPr>
          <w:rStyle w:val="a9"/>
        </w:rPr>
        <w:footnoteRef/>
      </w:r>
      <w:r>
        <w:rPr>
          <w:rtl/>
        </w:rPr>
        <w:t xml:space="preserve"> </w:t>
      </w:r>
      <w:r w:rsidRPr="00801E18">
        <w:rPr>
          <w:rFonts w:cs="Arial"/>
          <w:rtl/>
        </w:rPr>
        <w:t>אבל סולמות שבבית שעשויין לטלטל מזוית לזוית לצורך איזה תשמיש לא אתי למימר להטיח גגו הוא צריך ומותר לטלטלו כדי להוציא על ידו איזה דבר מן העליה או להעלותו</w:t>
      </w:r>
      <w:r>
        <w:rPr>
          <w:rFonts w:cs="Arial" w:hint="cs"/>
          <w:rtl/>
        </w:rPr>
        <w:t>.</w:t>
      </w:r>
      <w:r w:rsidRPr="00801E18">
        <w:rPr>
          <w:rFonts w:cs="Arial"/>
          <w:rtl/>
        </w:rPr>
        <w:t xml:space="preserve"> ועיין לקמן בסימן תקי"ח בט"ז שכתב דאפילו אם הסולם הוא גדול ג"כ מותר</w:t>
      </w:r>
      <w:r>
        <w:rPr>
          <w:rFonts w:cs="Arial" w:hint="cs"/>
          <w:rtl/>
        </w:rPr>
        <w:t>, משנ"ב (סקע"ח).</w:t>
      </w:r>
    </w:p>
  </w:footnote>
  <w:footnote w:id="1504">
    <w:p w14:paraId="5FC87D40" w14:textId="2D4F5030" w:rsidR="00801E18" w:rsidRDefault="00801E18" w:rsidP="00285819">
      <w:pPr>
        <w:pStyle w:val="a7"/>
      </w:pPr>
      <w:r>
        <w:rPr>
          <w:rStyle w:val="a9"/>
        </w:rPr>
        <w:footnoteRef/>
      </w:r>
      <w:r>
        <w:rPr>
          <w:rtl/>
        </w:rPr>
        <w:t xml:space="preserve"> </w:t>
      </w:r>
      <w:r w:rsidRPr="00801E18">
        <w:rPr>
          <w:rFonts w:cs="Arial"/>
          <w:rtl/>
        </w:rPr>
        <w:t>עיין בפמ"ג דלפי דעת הרמב"ם אפילו לצורך גופו ומקומו אסור</w:t>
      </w:r>
      <w:r>
        <w:rPr>
          <w:rFonts w:cs="Arial" w:hint="cs"/>
          <w:rtl/>
        </w:rPr>
        <w:t>, משנ"ב (סק"פ).</w:t>
      </w:r>
    </w:p>
  </w:footnote>
  <w:footnote w:id="1505">
    <w:p w14:paraId="6FBE2E15" w14:textId="243B5D1B" w:rsidR="008E1BA8" w:rsidRDefault="008E1BA8" w:rsidP="00285819">
      <w:pPr>
        <w:pStyle w:val="a7"/>
      </w:pPr>
      <w:r>
        <w:rPr>
          <w:rStyle w:val="a9"/>
        </w:rPr>
        <w:footnoteRef/>
      </w:r>
      <w:r>
        <w:rPr>
          <w:rtl/>
        </w:rPr>
        <w:t xml:space="preserve"> </w:t>
      </w:r>
      <w:r w:rsidRPr="008E1BA8">
        <w:rPr>
          <w:rFonts w:cs="Arial"/>
          <w:rtl/>
        </w:rPr>
        <w:t>כמבואר בשו"ע הרב סי' תקי"ח סעי' ו' ושם במשנ"ב סקכ"ח (וע' להלן מ"ב סקפ"ב ואות ל"ג). ובביה"ל (ד"ה סולם) בשם הגר"א מצדד להתיר טלטול ממש במקומו, שלא אסרוהו אלא להוליכו ממקום למקום</w:t>
      </w:r>
      <w:r>
        <w:rPr>
          <w:rFonts w:cs="Arial" w:hint="cs"/>
          <w:rtl/>
        </w:rPr>
        <w:t>, פסק"ת (הערה 295).</w:t>
      </w:r>
    </w:p>
  </w:footnote>
  <w:footnote w:id="1506">
    <w:p w14:paraId="200F00E4" w14:textId="77777777" w:rsidR="005A62D7" w:rsidRDefault="005A62D7" w:rsidP="00285819">
      <w:pPr>
        <w:pStyle w:val="a7"/>
      </w:pPr>
      <w:r>
        <w:rPr>
          <w:rStyle w:val="a9"/>
        </w:rPr>
        <w:footnoteRef/>
      </w:r>
      <w:r>
        <w:rPr>
          <w:rtl/>
        </w:rPr>
        <w:t xml:space="preserve"> </w:t>
      </w:r>
      <w:r w:rsidRPr="00F63421">
        <w:rPr>
          <w:rFonts w:cs="Arial"/>
          <w:rtl/>
        </w:rPr>
        <w:t>לקשרן יחד מבעוד יום להוכיח שלישיבה עומדין ואם לא קשרם יחד אסור לטלטלן למחר דלא הוי יחוד במחשבה</w:t>
      </w:r>
      <w:r>
        <w:rPr>
          <w:rFonts w:cs="Arial" w:hint="cs"/>
          <w:rtl/>
        </w:rPr>
        <w:t>, רש"י.</w:t>
      </w:r>
    </w:p>
  </w:footnote>
  <w:footnote w:id="1507">
    <w:p w14:paraId="7AA1E738" w14:textId="77777777" w:rsidR="005A62D7" w:rsidRDefault="005A62D7" w:rsidP="00285819">
      <w:pPr>
        <w:pStyle w:val="a7"/>
        <w:rPr>
          <w:rtl/>
        </w:rPr>
      </w:pPr>
      <w:r>
        <w:rPr>
          <w:rStyle w:val="a9"/>
        </w:rPr>
        <w:footnoteRef/>
      </w:r>
      <w:r>
        <w:rPr>
          <w:rtl/>
        </w:rPr>
        <w:t xml:space="preserve"> </w:t>
      </w:r>
      <w:r w:rsidRPr="008575C7">
        <w:rPr>
          <w:rFonts w:cs="Arial"/>
          <w:rtl/>
        </w:rPr>
        <w:t>עליהן מבעוד יום</w:t>
      </w:r>
      <w:r>
        <w:rPr>
          <w:rFonts w:hint="cs"/>
          <w:rtl/>
        </w:rPr>
        <w:t>, רש"י.</w:t>
      </w:r>
    </w:p>
  </w:footnote>
  <w:footnote w:id="1508">
    <w:p w14:paraId="3030389F" w14:textId="77777777" w:rsidR="005A62D7" w:rsidRDefault="005A62D7" w:rsidP="00285819">
      <w:pPr>
        <w:pStyle w:val="a7"/>
      </w:pPr>
      <w:r>
        <w:rPr>
          <w:rStyle w:val="a9"/>
        </w:rPr>
        <w:footnoteRef/>
      </w:r>
      <w:r>
        <w:rPr>
          <w:rtl/>
        </w:rPr>
        <w:t xml:space="preserve"> </w:t>
      </w:r>
      <w:r w:rsidRPr="008575C7">
        <w:rPr>
          <w:rFonts w:cs="Arial"/>
          <w:rtl/>
        </w:rPr>
        <w:t>עליהן לישב למחר - גלי דעתיה דלישיבה קיימי</w:t>
      </w:r>
      <w:r>
        <w:rPr>
          <w:rFonts w:cs="Arial" w:hint="cs"/>
          <w:rtl/>
        </w:rPr>
        <w:t>, רש"י.</w:t>
      </w:r>
    </w:p>
  </w:footnote>
  <w:footnote w:id="1509">
    <w:p w14:paraId="4C53D226" w14:textId="2BD2312A" w:rsidR="00A26498" w:rsidRDefault="00A26498" w:rsidP="00285819">
      <w:pPr>
        <w:pStyle w:val="a7"/>
        <w:rPr>
          <w:rtl/>
        </w:rPr>
      </w:pPr>
      <w:r>
        <w:rPr>
          <w:rStyle w:val="a9"/>
        </w:rPr>
        <w:footnoteRef/>
      </w:r>
      <w:r>
        <w:rPr>
          <w:rtl/>
        </w:rPr>
        <w:t xml:space="preserve"> </w:t>
      </w:r>
      <w:r w:rsidRPr="00A26498">
        <w:rPr>
          <w:rFonts w:cs="Arial"/>
          <w:rtl/>
        </w:rPr>
        <w:t>פשתן סרוק שנותנין על המכה</w:t>
      </w:r>
      <w:r>
        <w:rPr>
          <w:rFonts w:hint="cs"/>
          <w:rtl/>
        </w:rPr>
        <w:t>, רש"י.</w:t>
      </w:r>
    </w:p>
  </w:footnote>
  <w:footnote w:id="1510">
    <w:p w14:paraId="6A5FE14A" w14:textId="6412AF53" w:rsidR="00A26498" w:rsidRDefault="00A26498" w:rsidP="00285819">
      <w:pPr>
        <w:pStyle w:val="a7"/>
      </w:pPr>
      <w:r>
        <w:rPr>
          <w:rStyle w:val="a9"/>
        </w:rPr>
        <w:footnoteRef/>
      </w:r>
      <w:r>
        <w:rPr>
          <w:rtl/>
        </w:rPr>
        <w:t xml:space="preserve"> </w:t>
      </w:r>
      <w:r w:rsidRPr="00A26498">
        <w:rPr>
          <w:rFonts w:cs="Arial"/>
          <w:rtl/>
        </w:rPr>
        <w:t>צמר מנופץ הניתן על המכה</w:t>
      </w:r>
      <w:r>
        <w:rPr>
          <w:rFonts w:cs="Arial" w:hint="cs"/>
          <w:rtl/>
        </w:rPr>
        <w:t>, רש"י.</w:t>
      </w:r>
    </w:p>
  </w:footnote>
  <w:footnote w:id="1511">
    <w:p w14:paraId="27C29826" w14:textId="71F85CB8" w:rsidR="00A26498" w:rsidRDefault="00A26498" w:rsidP="00285819">
      <w:pPr>
        <w:pStyle w:val="a7"/>
      </w:pPr>
      <w:r>
        <w:rPr>
          <w:rStyle w:val="a9"/>
        </w:rPr>
        <w:footnoteRef/>
      </w:r>
      <w:r>
        <w:rPr>
          <w:rtl/>
        </w:rPr>
        <w:t xml:space="preserve"> </w:t>
      </w:r>
      <w:r w:rsidRPr="00A26498">
        <w:rPr>
          <w:rFonts w:cs="Arial"/>
          <w:rtl/>
        </w:rPr>
        <w:t>גלי דעתיה דלמכה קיימי, להניחן עליה בשבת, דלאו לרפואה נינהו, אלא שלא ישרטו מלבושיו את מכתו, והוה ליה כמלבוש דעלמא, אבל לא צבען בשמן, דלאו מלבוש נינהו - הוה ליה משאוי, ואין יוצאין בו לרשות הרבים</w:t>
      </w:r>
      <w:r>
        <w:rPr>
          <w:rFonts w:cs="Arial" w:hint="cs"/>
          <w:rtl/>
        </w:rPr>
        <w:t>, רש"י.</w:t>
      </w:r>
    </w:p>
  </w:footnote>
  <w:footnote w:id="1512">
    <w:p w14:paraId="7CAB333C" w14:textId="593A2915" w:rsidR="009F64BF" w:rsidRDefault="009F64BF" w:rsidP="00285819">
      <w:pPr>
        <w:pStyle w:val="a7"/>
      </w:pPr>
      <w:r>
        <w:rPr>
          <w:rStyle w:val="a9"/>
        </w:rPr>
        <w:footnoteRef/>
      </w:r>
      <w:r>
        <w:rPr>
          <w:rtl/>
        </w:rPr>
        <w:t xml:space="preserve"> </w:t>
      </w:r>
      <w:r w:rsidRPr="009F64BF">
        <w:rPr>
          <w:rFonts w:cs="Arial"/>
          <w:rtl/>
        </w:rPr>
        <w:t>היינו כרב אסי, דאמר: ישב אף על פי שלא קשר ולא חישב</w:t>
      </w:r>
      <w:r>
        <w:rPr>
          <w:rFonts w:cs="Arial" w:hint="cs"/>
          <w:rtl/>
        </w:rPr>
        <w:t>, רש"י.</w:t>
      </w:r>
    </w:p>
  </w:footnote>
  <w:footnote w:id="1513">
    <w:p w14:paraId="3756EA75" w14:textId="3A7BEBAE" w:rsidR="009F64BF" w:rsidRDefault="009F64BF" w:rsidP="00285819">
      <w:pPr>
        <w:pStyle w:val="a7"/>
      </w:pPr>
      <w:r>
        <w:rPr>
          <w:rStyle w:val="a9"/>
        </w:rPr>
        <w:footnoteRef/>
      </w:r>
      <w:r>
        <w:rPr>
          <w:rtl/>
        </w:rPr>
        <w:t xml:space="preserve"> </w:t>
      </w:r>
      <w:r w:rsidRPr="009F64BF">
        <w:rPr>
          <w:rFonts w:cs="Arial"/>
          <w:rtl/>
        </w:rPr>
        <w:t>כרב אסי</w:t>
      </w:r>
      <w:r>
        <w:rPr>
          <w:rFonts w:cs="Arial" w:hint="cs"/>
          <w:rtl/>
        </w:rPr>
        <w:t>, רש"י.</w:t>
      </w:r>
    </w:p>
  </w:footnote>
  <w:footnote w:id="1514">
    <w:p w14:paraId="1BC9AB20" w14:textId="77777777" w:rsidR="005A62D7" w:rsidRDefault="005A62D7" w:rsidP="00285819">
      <w:pPr>
        <w:pStyle w:val="a7"/>
      </w:pPr>
      <w:r>
        <w:rPr>
          <w:rStyle w:val="a9"/>
        </w:rPr>
        <w:footnoteRef/>
      </w:r>
      <w:r>
        <w:rPr>
          <w:rtl/>
        </w:rPr>
        <w:t xml:space="preserve"> </w:t>
      </w:r>
      <w:r w:rsidRPr="00746494">
        <w:rPr>
          <w:rFonts w:cs="Arial"/>
          <w:rtl/>
        </w:rPr>
        <w:t>סתמיה לטינא קאי, ללבנים או להסקה, ומוקצה הוא, ואם היה נתון על המטה ולא לשכב עליו, ובא בשבת לשכב עליו, והוצרך לנענעו ולשוטחו לשכיבה שלא יהא צבור וקשה</w:t>
      </w:r>
      <w:r>
        <w:rPr>
          <w:rFonts w:cs="Arial" w:hint="cs"/>
          <w:rtl/>
        </w:rPr>
        <w:t>, רש"י.</w:t>
      </w:r>
    </w:p>
  </w:footnote>
  <w:footnote w:id="1515">
    <w:p w14:paraId="22B6B52E" w14:textId="3D630B8A" w:rsidR="005A62D7" w:rsidRDefault="005A62D7" w:rsidP="00285819">
      <w:pPr>
        <w:pStyle w:val="a7"/>
        <w:rPr>
          <w:rtl/>
        </w:rPr>
      </w:pPr>
      <w:r>
        <w:rPr>
          <w:rStyle w:val="a9"/>
        </w:rPr>
        <w:footnoteRef/>
      </w:r>
      <w:r>
        <w:rPr>
          <w:rtl/>
        </w:rPr>
        <w:t xml:space="preserve"> </w:t>
      </w:r>
      <w:r w:rsidRPr="00746494">
        <w:rPr>
          <w:rFonts w:cs="Arial"/>
          <w:rtl/>
        </w:rPr>
        <w:t>ששכב עליו מבעוד יום, ואע</w:t>
      </w:r>
      <w:r w:rsidR="00A14BFB">
        <w:rPr>
          <w:rFonts w:cs="Arial" w:hint="cs"/>
          <w:rtl/>
        </w:rPr>
        <w:t>"</w:t>
      </w:r>
      <w:r w:rsidRPr="00746494">
        <w:rPr>
          <w:rFonts w:cs="Arial"/>
          <w:rtl/>
        </w:rPr>
        <w:t>פ שלא יחדו לכך ולא חישב עליו, דהיינו כרב אסי</w:t>
      </w:r>
      <w:r>
        <w:rPr>
          <w:rFonts w:hint="cs"/>
          <w:rtl/>
        </w:rPr>
        <w:t>, רש"י.</w:t>
      </w:r>
      <w:r>
        <w:rPr>
          <w:rtl/>
        </w:rPr>
        <w:tab/>
      </w:r>
    </w:p>
  </w:footnote>
  <w:footnote w:id="1516">
    <w:p w14:paraId="56517549" w14:textId="77777777" w:rsidR="005A62D7" w:rsidRDefault="005A62D7" w:rsidP="00285819">
      <w:pPr>
        <w:pStyle w:val="a7"/>
        <w:rPr>
          <w:rtl/>
        </w:rPr>
      </w:pPr>
      <w:r>
        <w:rPr>
          <w:rStyle w:val="a9"/>
        </w:rPr>
        <w:footnoteRef/>
      </w:r>
      <w:r>
        <w:rPr>
          <w:rtl/>
        </w:rPr>
        <w:t xml:space="preserve"> </w:t>
      </w:r>
      <w:r w:rsidRPr="00746494">
        <w:rPr>
          <w:rFonts w:cs="Arial"/>
          <w:rtl/>
        </w:rPr>
        <w:t>זעירי קאמר לה</w:t>
      </w:r>
      <w:r>
        <w:rPr>
          <w:rFonts w:cs="Arial" w:hint="cs"/>
          <w:rtl/>
        </w:rPr>
        <w:t>, רש"י.</w:t>
      </w:r>
    </w:p>
  </w:footnote>
  <w:footnote w:id="1517">
    <w:p w14:paraId="0E0D479E" w14:textId="77777777" w:rsidR="005A62D7" w:rsidRDefault="005A62D7" w:rsidP="00285819">
      <w:pPr>
        <w:pStyle w:val="a7"/>
      </w:pPr>
      <w:r>
        <w:rPr>
          <w:rStyle w:val="a9"/>
        </w:rPr>
        <w:footnoteRef/>
      </w:r>
      <w:r>
        <w:rPr>
          <w:rtl/>
        </w:rPr>
        <w:t xml:space="preserve"> </w:t>
      </w:r>
      <w:r w:rsidRPr="00746494">
        <w:rPr>
          <w:rFonts w:cs="Arial"/>
          <w:rtl/>
        </w:rPr>
        <w:t xml:space="preserve">ולא יכלו לקשור מבעוד יום, והתם הוא דשרי בלא קישור, אבל בעלמא </w:t>
      </w:r>
      <w:r>
        <w:rPr>
          <w:rFonts w:cs="Arial"/>
          <w:rtl/>
        </w:rPr>
        <w:t>–</w:t>
      </w:r>
      <w:r w:rsidRPr="00746494">
        <w:rPr>
          <w:rFonts w:cs="Arial"/>
          <w:rtl/>
        </w:rPr>
        <w:t xml:space="preserve"> לא</w:t>
      </w:r>
      <w:r>
        <w:rPr>
          <w:rFonts w:cs="Arial" w:hint="cs"/>
          <w:rtl/>
        </w:rPr>
        <w:t>, רש"י.</w:t>
      </w:r>
    </w:p>
  </w:footnote>
  <w:footnote w:id="1518">
    <w:p w14:paraId="2E812090" w14:textId="77777777" w:rsidR="005A62D7" w:rsidRDefault="005A62D7" w:rsidP="00285819">
      <w:pPr>
        <w:pStyle w:val="a7"/>
      </w:pPr>
      <w:r>
        <w:rPr>
          <w:rStyle w:val="a9"/>
        </w:rPr>
        <w:footnoteRef/>
      </w:r>
      <w:r>
        <w:rPr>
          <w:rtl/>
        </w:rPr>
        <w:t xml:space="preserve"> </w:t>
      </w:r>
      <w:r w:rsidRPr="00696D4C">
        <w:rPr>
          <w:rFonts w:cs="Arial"/>
          <w:rtl/>
        </w:rPr>
        <w:t>מיהו לצורך מצות בית המשתה או בית המדרש סגי במחשבה לכולי עלמא והכי משמע בגמרא</w:t>
      </w:r>
      <w:r>
        <w:rPr>
          <w:rFonts w:cs="Arial" w:hint="cs"/>
          <w:rtl/>
        </w:rPr>
        <w:t>,</w:t>
      </w:r>
      <w:r w:rsidRPr="00696D4C">
        <w:rPr>
          <w:rFonts w:cs="Arial"/>
          <w:rtl/>
        </w:rPr>
        <w:t xml:space="preserve"> הג</w:t>
      </w:r>
      <w:r>
        <w:rPr>
          <w:rFonts w:cs="Arial" w:hint="cs"/>
          <w:rtl/>
        </w:rPr>
        <w:t>"א</w:t>
      </w:r>
      <w:r w:rsidRPr="00696D4C">
        <w:rPr>
          <w:rFonts w:cs="Arial"/>
          <w:rtl/>
        </w:rPr>
        <w:t xml:space="preserve"> (סי' ח).</w:t>
      </w:r>
    </w:p>
  </w:footnote>
  <w:footnote w:id="1519">
    <w:p w14:paraId="2ACAF594" w14:textId="1D4222F5" w:rsidR="005A62D7" w:rsidRDefault="005A62D7" w:rsidP="00285819">
      <w:pPr>
        <w:pStyle w:val="a7"/>
        <w:rPr>
          <w:rtl/>
        </w:rPr>
      </w:pPr>
      <w:r>
        <w:rPr>
          <w:rStyle w:val="a9"/>
        </w:rPr>
        <w:footnoteRef/>
      </w:r>
      <w:r>
        <w:rPr>
          <w:rtl/>
        </w:rPr>
        <w:t xml:space="preserve"> </w:t>
      </w:r>
      <w:r w:rsidRPr="00F63421">
        <w:rPr>
          <w:rFonts w:cs="Arial"/>
          <w:rtl/>
        </w:rPr>
        <w:t>וכתב הר"ן (כג.)</w:t>
      </w:r>
      <w:r w:rsidR="00952470">
        <w:rPr>
          <w:rFonts w:cs="Arial" w:hint="cs"/>
          <w:rtl/>
        </w:rPr>
        <w:t>-</w:t>
      </w:r>
      <w:r w:rsidRPr="00F63421">
        <w:rPr>
          <w:rFonts w:cs="Arial"/>
          <w:rtl/>
        </w:rPr>
        <w:t xml:space="preserve"> ומדקאמר רב אסי אע</w:t>
      </w:r>
      <w:r>
        <w:rPr>
          <w:rFonts w:cs="Arial" w:hint="cs"/>
          <w:rtl/>
        </w:rPr>
        <w:t>"</w:t>
      </w:r>
      <w:r w:rsidRPr="00F63421">
        <w:rPr>
          <w:rFonts w:cs="Arial"/>
          <w:rtl/>
        </w:rPr>
        <w:t>פ שלא חשב משמע דמוסיף הוא על דברי שמואל</w:t>
      </w:r>
      <w:r>
        <w:rPr>
          <w:rFonts w:cs="Arial" w:hint="cs"/>
          <w:rtl/>
        </w:rPr>
        <w:t>,</w:t>
      </w:r>
      <w:r w:rsidRPr="00F63421">
        <w:rPr>
          <w:rFonts w:cs="Arial"/>
          <w:rtl/>
        </w:rPr>
        <w:t xml:space="preserve"> דטפי עדיף חשב מישב</w:t>
      </w:r>
      <w:r>
        <w:rPr>
          <w:rFonts w:cs="Arial" w:hint="cs"/>
          <w:rtl/>
        </w:rPr>
        <w:t>.</w:t>
      </w:r>
      <w:r w:rsidRPr="00F63421">
        <w:rPr>
          <w:rFonts w:cs="Arial"/>
          <w:rtl/>
        </w:rPr>
        <w:t xml:space="preserve"> הילכך קיי</w:t>
      </w:r>
      <w:r>
        <w:rPr>
          <w:rFonts w:cs="Arial" w:hint="cs"/>
          <w:rtl/>
        </w:rPr>
        <w:t>"</w:t>
      </w:r>
      <w:r w:rsidRPr="00F63421">
        <w:rPr>
          <w:rFonts w:cs="Arial"/>
          <w:rtl/>
        </w:rPr>
        <w:t>ל דבין חשב בין ישב מותר</w:t>
      </w:r>
      <w:r>
        <w:rPr>
          <w:rFonts w:cs="Arial" w:hint="cs"/>
          <w:rtl/>
        </w:rPr>
        <w:t>.</w:t>
      </w:r>
      <w:r w:rsidRPr="00F63421">
        <w:rPr>
          <w:rFonts w:cs="Arial"/>
          <w:rtl/>
        </w:rPr>
        <w:t xml:space="preserve"> וכן פסק רבינו האי</w:t>
      </w:r>
      <w:r>
        <w:rPr>
          <w:rFonts w:cs="Arial" w:hint="cs"/>
          <w:rtl/>
        </w:rPr>
        <w:t>,</w:t>
      </w:r>
      <w:r w:rsidRPr="00F63421">
        <w:rPr>
          <w:rFonts w:cs="Arial"/>
          <w:rtl/>
        </w:rPr>
        <w:t xml:space="preserve"> וכן דעת ה"ר יונה</w:t>
      </w:r>
      <w:r>
        <w:rPr>
          <w:rFonts w:cs="Arial" w:hint="cs"/>
          <w:rtl/>
        </w:rPr>
        <w:t>.</w:t>
      </w:r>
      <w:r w:rsidRPr="00F63421">
        <w:rPr>
          <w:rFonts w:cs="Arial"/>
          <w:rtl/>
        </w:rPr>
        <w:t xml:space="preserve"> אבל הרמב"ן (נ. ד"ה ורב) כתב דלרב אסי דוקא ישב מהני אבל חשב לא מהני</w:t>
      </w:r>
      <w:r>
        <w:rPr>
          <w:rFonts w:cs="Arial" w:hint="cs"/>
          <w:rtl/>
        </w:rPr>
        <w:t>.</w:t>
      </w:r>
      <w:r w:rsidRPr="00F63421">
        <w:rPr>
          <w:rFonts w:cs="Arial"/>
          <w:rtl/>
        </w:rPr>
        <w:t xml:space="preserve"> ולא נראו לי דבריו עכ"ל</w:t>
      </w:r>
      <w:r>
        <w:rPr>
          <w:rFonts w:cs="Arial" w:hint="cs"/>
          <w:sz w:val="16"/>
          <w:szCs w:val="16"/>
          <w:rtl/>
        </w:rPr>
        <w:t xml:space="preserve"> [הר"ן]</w:t>
      </w:r>
      <w:r>
        <w:rPr>
          <w:rFonts w:cs="Arial" w:hint="cs"/>
          <w:rtl/>
        </w:rPr>
        <w:t>.</w:t>
      </w:r>
      <w:r w:rsidRPr="00F63421">
        <w:rPr>
          <w:rFonts w:cs="Arial"/>
          <w:rtl/>
        </w:rPr>
        <w:t xml:space="preserve"> ודעת הרא"ש כהר"ן דחשב נמי מהני</w:t>
      </w:r>
      <w:r>
        <w:rPr>
          <w:rFonts w:cs="Arial" w:hint="cs"/>
          <w:rtl/>
        </w:rPr>
        <w:t>,</w:t>
      </w:r>
      <w:r w:rsidRPr="00F63421">
        <w:rPr>
          <w:rFonts w:cs="Arial"/>
          <w:rtl/>
        </w:rPr>
        <w:t xml:space="preserve"> וכן דעת הרמב"ם</w:t>
      </w:r>
      <w:r w:rsidR="00952470">
        <w:rPr>
          <w:rFonts w:cs="Arial" w:hint="cs"/>
          <w:rtl/>
        </w:rPr>
        <w:t xml:space="preserve"> (שם)</w:t>
      </w:r>
      <w:r>
        <w:rPr>
          <w:rFonts w:cs="Arial" w:hint="cs"/>
          <w:rtl/>
        </w:rPr>
        <w:t>, ב"י.</w:t>
      </w:r>
      <w:r w:rsidR="00952470" w:rsidRPr="00952470">
        <w:rPr>
          <w:rFonts w:cs="Arial" w:hint="cs"/>
          <w:color w:val="E36C0A" w:themeColor="accent6" w:themeShade="BF"/>
          <w:rtl/>
        </w:rPr>
        <w:t xml:space="preserve"> (וכ"פ בשו"ע)</w:t>
      </w:r>
    </w:p>
  </w:footnote>
  <w:footnote w:id="1520">
    <w:p w14:paraId="51283E41" w14:textId="1611EF2D" w:rsidR="00952470" w:rsidRDefault="00952470" w:rsidP="00285819">
      <w:pPr>
        <w:pStyle w:val="a7"/>
      </w:pPr>
      <w:r>
        <w:rPr>
          <w:rStyle w:val="a9"/>
        </w:rPr>
        <w:footnoteRef/>
      </w:r>
      <w:r>
        <w:rPr>
          <w:rtl/>
        </w:rPr>
        <w:t xml:space="preserve"> </w:t>
      </w:r>
      <w:r w:rsidRPr="00F63421">
        <w:rPr>
          <w:rFonts w:cs="Arial"/>
          <w:rtl/>
        </w:rPr>
        <w:t>כתב הרא"ש שם גבי יוצאין בפקורין ובציפה (נ.) דלפי דברי ר"י (נ. ד"ה ואם) משמע דבעי מחשבה לצורך השבת</w:t>
      </w:r>
      <w:r>
        <w:rPr>
          <w:rFonts w:cs="Arial" w:hint="cs"/>
          <w:rtl/>
        </w:rPr>
        <w:t>,</w:t>
      </w:r>
      <w:r w:rsidRPr="00F63421">
        <w:rPr>
          <w:rFonts w:cs="Arial"/>
          <w:rtl/>
        </w:rPr>
        <w:t xml:space="preserve"> ולא משמע הכי לעיל</w:t>
      </w:r>
      <w:r>
        <w:rPr>
          <w:rFonts w:cs="Arial" w:hint="cs"/>
          <w:rtl/>
        </w:rPr>
        <w:t>,</w:t>
      </w:r>
      <w:r w:rsidRPr="00F63421">
        <w:rPr>
          <w:rFonts w:cs="Arial"/>
          <w:rtl/>
        </w:rPr>
        <w:t xml:space="preserve"> דנמלך עליהן דקתני גבי חריות של דקל משמע דאפילו בחול מהניא הך מחשבה</w:t>
      </w:r>
      <w:r>
        <w:rPr>
          <w:rFonts w:cs="Arial" w:hint="cs"/>
          <w:rtl/>
        </w:rPr>
        <w:t>, ב"י.</w:t>
      </w:r>
    </w:p>
  </w:footnote>
  <w:footnote w:id="1521">
    <w:p w14:paraId="7565EE3C" w14:textId="67B3C5BE" w:rsidR="00675C0F" w:rsidRDefault="00675C0F" w:rsidP="00285819">
      <w:pPr>
        <w:pStyle w:val="a7"/>
        <w:rPr>
          <w:rtl/>
        </w:rPr>
      </w:pPr>
      <w:r>
        <w:rPr>
          <w:rStyle w:val="a9"/>
        </w:rPr>
        <w:footnoteRef/>
      </w:r>
      <w:r>
        <w:rPr>
          <w:rtl/>
        </w:rPr>
        <w:t xml:space="preserve"> </w:t>
      </w:r>
      <w:r w:rsidRPr="00675C0F">
        <w:rPr>
          <w:rFonts w:cs="Arial"/>
          <w:rtl/>
        </w:rPr>
        <w:t>משמע דסתמא לא אסירי ועיין לקמיה מש"כ דעצים שלנו סתמא עומדים להסקה.</w:t>
      </w:r>
      <w:r>
        <w:rPr>
          <w:rFonts w:hint="cs"/>
          <w:rtl/>
        </w:rPr>
        <w:t>.., משנ"ב (סקפ"א).</w:t>
      </w:r>
    </w:p>
  </w:footnote>
  <w:footnote w:id="1522">
    <w:p w14:paraId="3D660AC4" w14:textId="538A88FD" w:rsidR="00675C0F" w:rsidRDefault="00675C0F" w:rsidP="00285819">
      <w:pPr>
        <w:pStyle w:val="a7"/>
      </w:pPr>
      <w:r>
        <w:rPr>
          <w:rStyle w:val="a9"/>
        </w:rPr>
        <w:footnoteRef/>
      </w:r>
      <w:r>
        <w:rPr>
          <w:rtl/>
        </w:rPr>
        <w:t xml:space="preserve"> </w:t>
      </w:r>
      <w:r w:rsidRPr="00675C0F">
        <w:rPr>
          <w:rFonts w:cs="Arial"/>
          <w:rtl/>
        </w:rPr>
        <w:t>היינו טלטול ממש</w:t>
      </w:r>
      <w:r w:rsidR="00875EE1">
        <w:rPr>
          <w:rFonts w:cs="Arial" w:hint="cs"/>
          <w:rtl/>
        </w:rPr>
        <w:t>,</w:t>
      </w:r>
      <w:r w:rsidRPr="00675C0F">
        <w:rPr>
          <w:rFonts w:cs="Arial"/>
          <w:rtl/>
        </w:rPr>
        <w:t xml:space="preserve"> אבל לישב עליהם כשאין מזיזן ממקומן ודאי שרי</w:t>
      </w:r>
      <w:r w:rsidR="00875EE1">
        <w:rPr>
          <w:rFonts w:cs="Arial" w:hint="cs"/>
          <w:rtl/>
        </w:rPr>
        <w:t>.</w:t>
      </w:r>
      <w:r w:rsidRPr="00675C0F">
        <w:rPr>
          <w:rFonts w:cs="Arial"/>
          <w:rtl/>
        </w:rPr>
        <w:t xml:space="preserve"> ואפילו כשמזיזן ע"י ישיבתו מצדד המ"א להקל דטלטול מן הצד הוא כל זמן שאין מזיזן בידים</w:t>
      </w:r>
      <w:r w:rsidR="00251A78">
        <w:rPr>
          <w:rFonts w:cs="Arial" w:hint="cs"/>
          <w:rtl/>
        </w:rPr>
        <w:t>.</w:t>
      </w:r>
      <w:r w:rsidRPr="00675C0F">
        <w:rPr>
          <w:rFonts w:cs="Arial"/>
          <w:rtl/>
        </w:rPr>
        <w:t xml:space="preserve"> ומצאתי במאירי שגם הוא הסכים לזה</w:t>
      </w:r>
      <w:r w:rsidR="00251A78">
        <w:rPr>
          <w:rFonts w:cs="Arial" w:hint="cs"/>
          <w:rtl/>
        </w:rPr>
        <w:t>,</w:t>
      </w:r>
      <w:r w:rsidRPr="00675C0F">
        <w:rPr>
          <w:rFonts w:cs="Arial"/>
          <w:rtl/>
        </w:rPr>
        <w:t xml:space="preserve"> רק שכתב דבמקום שאין צורך ראוי לפרוש מזה</w:t>
      </w:r>
      <w:r>
        <w:rPr>
          <w:rFonts w:cs="Arial" w:hint="cs"/>
          <w:rtl/>
        </w:rPr>
        <w:t xml:space="preserve">, </w:t>
      </w:r>
      <w:r w:rsidRPr="008E1BA8">
        <w:rPr>
          <w:rFonts w:cs="Arial" w:hint="cs"/>
          <w:b/>
          <w:bCs/>
          <w:rtl/>
        </w:rPr>
        <w:t>משנ"ב</w:t>
      </w:r>
      <w:r>
        <w:rPr>
          <w:rFonts w:cs="Arial" w:hint="cs"/>
          <w:rtl/>
        </w:rPr>
        <w:t xml:space="preserve"> (סקפ"ב).</w:t>
      </w:r>
      <w:r w:rsidR="008E1BA8" w:rsidRPr="008E1BA8">
        <w:rPr>
          <w:rtl/>
        </w:rPr>
        <w:t xml:space="preserve"> </w:t>
      </w:r>
      <w:r w:rsidR="008E1BA8">
        <w:rPr>
          <w:rFonts w:cs="Arial"/>
          <w:rtl/>
        </w:rPr>
        <w:t>ו</w:t>
      </w:r>
      <w:r w:rsidR="008E1BA8">
        <w:rPr>
          <w:rFonts w:cs="Arial" w:hint="cs"/>
          <w:rtl/>
        </w:rPr>
        <w:t>קשה ד</w:t>
      </w:r>
      <w:r w:rsidR="008E1BA8">
        <w:rPr>
          <w:rFonts w:cs="Arial"/>
          <w:rtl/>
        </w:rPr>
        <w:t>בשו"ע סימן שי"א (סעי' ח') מתיר לכתחילה לשכב על קש מוקצה שעל גבי המיטה, הגם שתוך כדי השכיבה מנענעו בגופו כדי שיהא צף ורך לשכב עליו (לשון המשנ"ב שם סקל"ב עפ"י רש"י שבת קמ"א ע"א), ולא מצאנו במשנ"ב ובשאר פוסקים (שם) שום הגבלה בדבר.</w:t>
      </w:r>
      <w:r w:rsidR="008E1BA8">
        <w:rPr>
          <w:rFonts w:hint="cs"/>
          <w:rtl/>
        </w:rPr>
        <w:t xml:space="preserve"> </w:t>
      </w:r>
      <w:r w:rsidR="008E1BA8">
        <w:rPr>
          <w:rFonts w:cs="Arial"/>
          <w:rtl/>
        </w:rPr>
        <w:t>ומאידך בסימן ש"ב כתב המשנ"ב (בשער הציון סקל"ה) לאסור לקנח מנעליו באבן מן הרפש שנדבק עליהם, אם ינדנד האבן תוך כדי קינוחו</w:t>
      </w:r>
      <w:r w:rsidR="008E1BA8">
        <w:rPr>
          <w:rFonts w:cs="Arial" w:hint="cs"/>
          <w:rtl/>
        </w:rPr>
        <w:t xml:space="preserve">, </w:t>
      </w:r>
      <w:r w:rsidR="008E1BA8" w:rsidRPr="008E1BA8">
        <w:rPr>
          <w:rFonts w:cs="Arial" w:hint="cs"/>
          <w:b/>
          <w:bCs/>
          <w:rtl/>
        </w:rPr>
        <w:t>פסק"ת</w:t>
      </w:r>
      <w:r w:rsidR="008E1BA8">
        <w:rPr>
          <w:rFonts w:cs="Arial" w:hint="cs"/>
          <w:rtl/>
        </w:rPr>
        <w:t xml:space="preserve"> (אות לג)</w:t>
      </w:r>
      <w:r w:rsidR="008E1BA8">
        <w:rPr>
          <w:rFonts w:cs="Arial"/>
          <w:rtl/>
        </w:rPr>
        <w:t>.</w:t>
      </w:r>
    </w:p>
  </w:footnote>
  <w:footnote w:id="1523">
    <w:p w14:paraId="70F94C44" w14:textId="7FAFC732" w:rsidR="00675C0F" w:rsidRDefault="00675C0F" w:rsidP="00285819">
      <w:pPr>
        <w:pStyle w:val="a7"/>
      </w:pPr>
      <w:r>
        <w:rPr>
          <w:rStyle w:val="a9"/>
        </w:rPr>
        <w:footnoteRef/>
      </w:r>
      <w:r>
        <w:rPr>
          <w:rtl/>
        </w:rPr>
        <w:t xml:space="preserve"> </w:t>
      </w:r>
      <w:r w:rsidRPr="00675C0F">
        <w:rPr>
          <w:rFonts w:cs="Arial"/>
          <w:rtl/>
        </w:rPr>
        <w:t>היינו אפילו לטלטלם כדי לישב עליהם</w:t>
      </w:r>
      <w:r>
        <w:rPr>
          <w:rFonts w:cs="Arial" w:hint="cs"/>
          <w:rtl/>
        </w:rPr>
        <w:t>, משנ"ב (סקפ"ד).</w:t>
      </w:r>
    </w:p>
  </w:footnote>
  <w:footnote w:id="1524">
    <w:p w14:paraId="740E79FD" w14:textId="1DAE34CE" w:rsidR="00675C0F" w:rsidRDefault="00675C0F" w:rsidP="00285819">
      <w:pPr>
        <w:pStyle w:val="a7"/>
      </w:pPr>
      <w:r>
        <w:rPr>
          <w:rStyle w:val="a9"/>
        </w:rPr>
        <w:footnoteRef/>
      </w:r>
      <w:r>
        <w:rPr>
          <w:rtl/>
        </w:rPr>
        <w:t xml:space="preserve"> </w:t>
      </w:r>
      <w:r w:rsidRPr="00675C0F">
        <w:rPr>
          <w:rFonts w:cs="Arial"/>
          <w:rtl/>
        </w:rPr>
        <w:t>ואע</w:t>
      </w:r>
      <w:r w:rsidR="00875EE1">
        <w:rPr>
          <w:rFonts w:cs="Arial" w:hint="cs"/>
          <w:rtl/>
        </w:rPr>
        <w:t>"</w:t>
      </w:r>
      <w:r w:rsidRPr="00675C0F">
        <w:rPr>
          <w:rFonts w:cs="Arial"/>
          <w:rtl/>
        </w:rPr>
        <w:t>פ שלא חישב עליהם מבע</w:t>
      </w:r>
      <w:r w:rsidR="00875EE1">
        <w:rPr>
          <w:rFonts w:cs="Arial" w:hint="cs"/>
          <w:rtl/>
        </w:rPr>
        <w:t>ו</w:t>
      </w:r>
      <w:r w:rsidRPr="00675C0F">
        <w:rPr>
          <w:rFonts w:cs="Arial"/>
          <w:rtl/>
        </w:rPr>
        <w:t>"י</w:t>
      </w:r>
      <w:r w:rsidR="00875EE1">
        <w:rPr>
          <w:rFonts w:cs="Arial" w:hint="cs"/>
          <w:rtl/>
        </w:rPr>
        <w:t>,</w:t>
      </w:r>
      <w:r w:rsidRPr="00675C0F">
        <w:rPr>
          <w:rFonts w:cs="Arial"/>
          <w:rtl/>
        </w:rPr>
        <w:t xml:space="preserve"> דבזה שישב גלה דעתו דלישיבה קיימא והוסר מעליהם שם מוקצה</w:t>
      </w:r>
      <w:r>
        <w:rPr>
          <w:rFonts w:cs="Arial" w:hint="cs"/>
          <w:rtl/>
        </w:rPr>
        <w:t>, משנ"ב (סקפ"ג).</w:t>
      </w:r>
    </w:p>
  </w:footnote>
  <w:footnote w:id="1525">
    <w:p w14:paraId="7E56D410" w14:textId="20AECE6B" w:rsidR="00675C0F" w:rsidRDefault="00675C0F" w:rsidP="00285819">
      <w:pPr>
        <w:pStyle w:val="a7"/>
      </w:pPr>
      <w:r>
        <w:rPr>
          <w:rStyle w:val="a9"/>
        </w:rPr>
        <w:footnoteRef/>
      </w:r>
      <w:r>
        <w:rPr>
          <w:rtl/>
        </w:rPr>
        <w:t xml:space="preserve"> </w:t>
      </w:r>
      <w:r w:rsidRPr="00675C0F">
        <w:rPr>
          <w:rFonts w:cs="Arial"/>
          <w:rtl/>
        </w:rPr>
        <w:t>והא"ר הביא בשם כמה ראשונים שס"ל דמחשבה לא מהני אא"כ חישב לישב עליהם בשבת</w:t>
      </w:r>
      <w:r>
        <w:rPr>
          <w:rFonts w:cs="Arial" w:hint="cs"/>
          <w:rtl/>
        </w:rPr>
        <w:t>, משנ"ב (סקפ"ו).</w:t>
      </w:r>
    </w:p>
  </w:footnote>
  <w:footnote w:id="1526">
    <w:p w14:paraId="7B830B1E" w14:textId="77777777" w:rsidR="00493E55" w:rsidRDefault="00493E55" w:rsidP="00285819">
      <w:pPr>
        <w:pStyle w:val="a7"/>
      </w:pPr>
      <w:r>
        <w:rPr>
          <w:rStyle w:val="a9"/>
        </w:rPr>
        <w:footnoteRef/>
      </w:r>
      <w:r>
        <w:rPr>
          <w:rtl/>
        </w:rPr>
        <w:t xml:space="preserve"> </w:t>
      </w:r>
      <w:r w:rsidRPr="00F63421">
        <w:rPr>
          <w:rFonts w:cs="Arial"/>
          <w:rtl/>
        </w:rPr>
        <w:t>לקשרן יחד מבעוד יום להוכיח שלישיבה עומדין ואם לא קשרם יחד אסור לטלטלן למחר דלא הוי יחוד במחשבה</w:t>
      </w:r>
      <w:r>
        <w:rPr>
          <w:rFonts w:cs="Arial" w:hint="cs"/>
          <w:rtl/>
        </w:rPr>
        <w:t>, רש"י.</w:t>
      </w:r>
    </w:p>
  </w:footnote>
  <w:footnote w:id="1527">
    <w:p w14:paraId="6D4E7DCC" w14:textId="77777777" w:rsidR="00493E55" w:rsidRDefault="00493E55" w:rsidP="00285819">
      <w:pPr>
        <w:pStyle w:val="a7"/>
        <w:rPr>
          <w:rtl/>
        </w:rPr>
      </w:pPr>
      <w:r>
        <w:rPr>
          <w:rStyle w:val="a9"/>
        </w:rPr>
        <w:footnoteRef/>
      </w:r>
      <w:r>
        <w:rPr>
          <w:rtl/>
        </w:rPr>
        <w:t xml:space="preserve"> </w:t>
      </w:r>
      <w:r w:rsidRPr="008575C7">
        <w:rPr>
          <w:rFonts w:cs="Arial"/>
          <w:rtl/>
        </w:rPr>
        <w:t>עליהן מבעוד יום</w:t>
      </w:r>
      <w:r>
        <w:rPr>
          <w:rFonts w:hint="cs"/>
          <w:rtl/>
        </w:rPr>
        <w:t>, רש"י.</w:t>
      </w:r>
    </w:p>
  </w:footnote>
  <w:footnote w:id="1528">
    <w:p w14:paraId="773CFDB5" w14:textId="77777777" w:rsidR="00493E55" w:rsidRDefault="00493E55" w:rsidP="00285819">
      <w:pPr>
        <w:pStyle w:val="a7"/>
      </w:pPr>
      <w:r>
        <w:rPr>
          <w:rStyle w:val="a9"/>
        </w:rPr>
        <w:footnoteRef/>
      </w:r>
      <w:r>
        <w:rPr>
          <w:rtl/>
        </w:rPr>
        <w:t xml:space="preserve"> </w:t>
      </w:r>
      <w:r w:rsidRPr="008575C7">
        <w:rPr>
          <w:rFonts w:cs="Arial"/>
          <w:rtl/>
        </w:rPr>
        <w:t>עליהן לישב למחר - גלי דעתיה דלישיבה קיימי</w:t>
      </w:r>
      <w:r>
        <w:rPr>
          <w:rFonts w:cs="Arial" w:hint="cs"/>
          <w:rtl/>
        </w:rPr>
        <w:t>, רש"י.</w:t>
      </w:r>
    </w:p>
  </w:footnote>
  <w:footnote w:id="1529">
    <w:p w14:paraId="79DDF9AB" w14:textId="77777777" w:rsidR="00493E55" w:rsidRDefault="00493E55" w:rsidP="00285819">
      <w:pPr>
        <w:pStyle w:val="a7"/>
        <w:rPr>
          <w:rtl/>
        </w:rPr>
      </w:pPr>
      <w:r>
        <w:rPr>
          <w:rStyle w:val="a9"/>
        </w:rPr>
        <w:footnoteRef/>
      </w:r>
      <w:r>
        <w:rPr>
          <w:rtl/>
        </w:rPr>
        <w:t xml:space="preserve"> </w:t>
      </w:r>
      <w:r w:rsidRPr="00A26498">
        <w:rPr>
          <w:rFonts w:cs="Arial"/>
          <w:rtl/>
        </w:rPr>
        <w:t>פשתן סרוק שנותנין על המכה</w:t>
      </w:r>
      <w:r>
        <w:rPr>
          <w:rFonts w:hint="cs"/>
          <w:rtl/>
        </w:rPr>
        <w:t>, רש"י.</w:t>
      </w:r>
    </w:p>
  </w:footnote>
  <w:footnote w:id="1530">
    <w:p w14:paraId="53C00B22" w14:textId="77777777" w:rsidR="00493E55" w:rsidRDefault="00493E55" w:rsidP="00285819">
      <w:pPr>
        <w:pStyle w:val="a7"/>
      </w:pPr>
      <w:r>
        <w:rPr>
          <w:rStyle w:val="a9"/>
        </w:rPr>
        <w:footnoteRef/>
      </w:r>
      <w:r>
        <w:rPr>
          <w:rtl/>
        </w:rPr>
        <w:t xml:space="preserve"> </w:t>
      </w:r>
      <w:r w:rsidRPr="00A26498">
        <w:rPr>
          <w:rFonts w:cs="Arial"/>
          <w:rtl/>
        </w:rPr>
        <w:t>צמר מנופץ הניתן על המכה</w:t>
      </w:r>
      <w:r>
        <w:rPr>
          <w:rFonts w:cs="Arial" w:hint="cs"/>
          <w:rtl/>
        </w:rPr>
        <w:t>, רש"י.</w:t>
      </w:r>
    </w:p>
  </w:footnote>
  <w:footnote w:id="1531">
    <w:p w14:paraId="0977F47E" w14:textId="77777777" w:rsidR="00493E55" w:rsidRDefault="00493E55" w:rsidP="00285819">
      <w:pPr>
        <w:pStyle w:val="a7"/>
      </w:pPr>
      <w:r>
        <w:rPr>
          <w:rStyle w:val="a9"/>
        </w:rPr>
        <w:footnoteRef/>
      </w:r>
      <w:r>
        <w:rPr>
          <w:rtl/>
        </w:rPr>
        <w:t xml:space="preserve"> </w:t>
      </w:r>
      <w:r w:rsidRPr="00A26498">
        <w:rPr>
          <w:rFonts w:cs="Arial"/>
          <w:rtl/>
        </w:rPr>
        <w:t>גלי דעתיה דלמכה קיימי, להניחן עליה בשבת, דלאו לרפואה נינהו, אלא שלא ישרטו מלבושיו את מכתו, והוה ליה כמלבוש דעלמא, אבל לא צבען בשמן, דלאו מלבוש נינהו - הוה ליה משאוי, ואין יוצאין בו לרשות הרבים</w:t>
      </w:r>
      <w:r>
        <w:rPr>
          <w:rFonts w:cs="Arial" w:hint="cs"/>
          <w:rtl/>
        </w:rPr>
        <w:t>, רש"י.</w:t>
      </w:r>
    </w:p>
  </w:footnote>
  <w:footnote w:id="1532">
    <w:p w14:paraId="59EB30C8" w14:textId="77777777" w:rsidR="00493E55" w:rsidRDefault="00493E55" w:rsidP="00285819">
      <w:pPr>
        <w:pStyle w:val="a7"/>
      </w:pPr>
      <w:r>
        <w:rPr>
          <w:rStyle w:val="a9"/>
        </w:rPr>
        <w:footnoteRef/>
      </w:r>
      <w:r>
        <w:rPr>
          <w:rtl/>
        </w:rPr>
        <w:t xml:space="preserve"> </w:t>
      </w:r>
      <w:r w:rsidRPr="009F64BF">
        <w:rPr>
          <w:rFonts w:cs="Arial"/>
          <w:rtl/>
        </w:rPr>
        <w:t>היינו כרב אסי, דאמר: ישב אף על פי שלא קשר ולא חישב</w:t>
      </w:r>
      <w:r>
        <w:rPr>
          <w:rFonts w:cs="Arial" w:hint="cs"/>
          <w:rtl/>
        </w:rPr>
        <w:t>, רש"י.</w:t>
      </w:r>
    </w:p>
  </w:footnote>
  <w:footnote w:id="1533">
    <w:p w14:paraId="2EBB4C89" w14:textId="77777777" w:rsidR="00493E55" w:rsidRDefault="00493E55" w:rsidP="00285819">
      <w:pPr>
        <w:pStyle w:val="a7"/>
      </w:pPr>
      <w:r>
        <w:rPr>
          <w:rStyle w:val="a9"/>
        </w:rPr>
        <w:footnoteRef/>
      </w:r>
      <w:r>
        <w:rPr>
          <w:rtl/>
        </w:rPr>
        <w:t xml:space="preserve"> </w:t>
      </w:r>
      <w:r w:rsidRPr="009F64BF">
        <w:rPr>
          <w:rFonts w:cs="Arial"/>
          <w:rtl/>
        </w:rPr>
        <w:t>כרב אסי</w:t>
      </w:r>
      <w:r>
        <w:rPr>
          <w:rFonts w:cs="Arial" w:hint="cs"/>
          <w:rtl/>
        </w:rPr>
        <w:t>, רש"י.</w:t>
      </w:r>
    </w:p>
  </w:footnote>
  <w:footnote w:id="1534">
    <w:p w14:paraId="6274027A" w14:textId="77777777" w:rsidR="00493E55" w:rsidRDefault="00493E55" w:rsidP="00285819">
      <w:pPr>
        <w:pStyle w:val="a7"/>
      </w:pPr>
      <w:r>
        <w:rPr>
          <w:rStyle w:val="a9"/>
        </w:rPr>
        <w:footnoteRef/>
      </w:r>
      <w:r>
        <w:rPr>
          <w:rtl/>
        </w:rPr>
        <w:t xml:space="preserve"> </w:t>
      </w:r>
      <w:r w:rsidRPr="00746494">
        <w:rPr>
          <w:rFonts w:cs="Arial"/>
          <w:rtl/>
        </w:rPr>
        <w:t>סתמיה לטינא קאי, ללבנים או להסקה, ומוקצה הוא, ואם היה נתון על המטה ולא לשכב עליו, ובא בשבת לשכב עליו, והוצרך לנענעו ולשוטחו לשכיבה שלא יהא צבור וקשה</w:t>
      </w:r>
      <w:r>
        <w:rPr>
          <w:rFonts w:cs="Arial" w:hint="cs"/>
          <w:rtl/>
        </w:rPr>
        <w:t>, רש"י.</w:t>
      </w:r>
    </w:p>
  </w:footnote>
  <w:footnote w:id="1535">
    <w:p w14:paraId="178FF2F1" w14:textId="77777777" w:rsidR="00493E55" w:rsidRDefault="00493E55" w:rsidP="00285819">
      <w:pPr>
        <w:pStyle w:val="a7"/>
        <w:rPr>
          <w:rtl/>
        </w:rPr>
      </w:pPr>
      <w:r>
        <w:rPr>
          <w:rStyle w:val="a9"/>
        </w:rPr>
        <w:footnoteRef/>
      </w:r>
      <w:r>
        <w:rPr>
          <w:rtl/>
        </w:rPr>
        <w:t xml:space="preserve"> </w:t>
      </w:r>
      <w:r w:rsidRPr="00746494">
        <w:rPr>
          <w:rFonts w:cs="Arial"/>
          <w:rtl/>
        </w:rPr>
        <w:t>ששכב עליו מבעוד יום, ואף על פי שלא יחדו לכך ולא חישב עליו, דהיינו כרב אסי</w:t>
      </w:r>
      <w:r>
        <w:rPr>
          <w:rFonts w:hint="cs"/>
          <w:rtl/>
        </w:rPr>
        <w:t>, רש"י.</w:t>
      </w:r>
      <w:r>
        <w:rPr>
          <w:rtl/>
        </w:rPr>
        <w:tab/>
      </w:r>
    </w:p>
  </w:footnote>
  <w:footnote w:id="1536">
    <w:p w14:paraId="0867BB41" w14:textId="77777777" w:rsidR="00493E55" w:rsidRDefault="00493E55" w:rsidP="00285819">
      <w:pPr>
        <w:pStyle w:val="a7"/>
        <w:rPr>
          <w:rtl/>
        </w:rPr>
      </w:pPr>
      <w:r>
        <w:rPr>
          <w:rStyle w:val="a9"/>
        </w:rPr>
        <w:footnoteRef/>
      </w:r>
      <w:r>
        <w:rPr>
          <w:rtl/>
        </w:rPr>
        <w:t xml:space="preserve"> </w:t>
      </w:r>
      <w:r w:rsidRPr="00746494">
        <w:rPr>
          <w:rFonts w:cs="Arial"/>
          <w:rtl/>
        </w:rPr>
        <w:t>זעירי קאמר לה</w:t>
      </w:r>
      <w:r>
        <w:rPr>
          <w:rFonts w:cs="Arial" w:hint="cs"/>
          <w:rtl/>
        </w:rPr>
        <w:t>, רש"י.</w:t>
      </w:r>
    </w:p>
  </w:footnote>
  <w:footnote w:id="1537">
    <w:p w14:paraId="0E876CD5" w14:textId="77777777" w:rsidR="00493E55" w:rsidRDefault="00493E55" w:rsidP="00285819">
      <w:pPr>
        <w:pStyle w:val="a7"/>
      </w:pPr>
      <w:r>
        <w:rPr>
          <w:rStyle w:val="a9"/>
        </w:rPr>
        <w:footnoteRef/>
      </w:r>
      <w:r>
        <w:rPr>
          <w:rtl/>
        </w:rPr>
        <w:t xml:space="preserve"> </w:t>
      </w:r>
      <w:r w:rsidRPr="00746494">
        <w:rPr>
          <w:rFonts w:cs="Arial"/>
          <w:rtl/>
        </w:rPr>
        <w:t xml:space="preserve">ולא יכלו לקשור מבעוד יום, והתם הוא דשרי בלא קישור, אבל בעלמא </w:t>
      </w:r>
      <w:r>
        <w:rPr>
          <w:rFonts w:cs="Arial"/>
          <w:rtl/>
        </w:rPr>
        <w:t>–</w:t>
      </w:r>
      <w:r w:rsidRPr="00746494">
        <w:rPr>
          <w:rFonts w:cs="Arial"/>
          <w:rtl/>
        </w:rPr>
        <w:t xml:space="preserve"> לא</w:t>
      </w:r>
      <w:r>
        <w:rPr>
          <w:rFonts w:cs="Arial" w:hint="cs"/>
          <w:rtl/>
        </w:rPr>
        <w:t>, רש"י.</w:t>
      </w:r>
    </w:p>
  </w:footnote>
  <w:footnote w:id="1538">
    <w:p w14:paraId="4CD1C3EF" w14:textId="50D33094" w:rsidR="0090750D" w:rsidRDefault="0090750D" w:rsidP="00285819">
      <w:pPr>
        <w:pStyle w:val="a7"/>
      </w:pPr>
      <w:r>
        <w:rPr>
          <w:rStyle w:val="a9"/>
        </w:rPr>
        <w:footnoteRef/>
      </w:r>
      <w:r>
        <w:rPr>
          <w:rtl/>
        </w:rPr>
        <w:t xml:space="preserve"> </w:t>
      </w:r>
      <w:r w:rsidRPr="0090750D">
        <w:rPr>
          <w:rFonts w:cs="Arial"/>
          <w:rtl/>
        </w:rPr>
        <w:t>לקמן בהאי מסכתא</w:t>
      </w:r>
      <w:r>
        <w:rPr>
          <w:rFonts w:cs="Arial" w:hint="cs"/>
          <w:rtl/>
        </w:rPr>
        <w:t>, רש"י.</w:t>
      </w:r>
    </w:p>
  </w:footnote>
  <w:footnote w:id="1539">
    <w:p w14:paraId="58707AC4" w14:textId="3D6C0743" w:rsidR="0090750D" w:rsidRDefault="0090750D" w:rsidP="00285819">
      <w:pPr>
        <w:pStyle w:val="a7"/>
      </w:pPr>
      <w:r>
        <w:rPr>
          <w:rStyle w:val="a9"/>
        </w:rPr>
        <w:footnoteRef/>
      </w:r>
      <w:r>
        <w:rPr>
          <w:rtl/>
        </w:rPr>
        <w:t xml:space="preserve"> </w:t>
      </w:r>
      <w:r w:rsidRPr="0090750D">
        <w:rPr>
          <w:rFonts w:cs="Arial"/>
          <w:rtl/>
        </w:rPr>
        <w:t>והוצרך ליטול מן היין שבתוכה</w:t>
      </w:r>
      <w:r>
        <w:rPr>
          <w:rFonts w:cs="Arial" w:hint="cs"/>
          <w:rtl/>
        </w:rPr>
        <w:t>, רש"י.</w:t>
      </w:r>
    </w:p>
  </w:footnote>
  <w:footnote w:id="1540">
    <w:p w14:paraId="0E5B30D0" w14:textId="4C3363C8" w:rsidR="0090750D" w:rsidRDefault="0090750D" w:rsidP="00285819">
      <w:pPr>
        <w:pStyle w:val="a7"/>
      </w:pPr>
      <w:r>
        <w:rPr>
          <w:rStyle w:val="a9"/>
        </w:rPr>
        <w:footnoteRef/>
      </w:r>
      <w:r>
        <w:rPr>
          <w:rtl/>
        </w:rPr>
        <w:t xml:space="preserve"> </w:t>
      </w:r>
      <w:r w:rsidRPr="0090750D">
        <w:rPr>
          <w:rFonts w:cs="Arial"/>
          <w:rtl/>
        </w:rPr>
        <w:t>דלא נתכוין לעשותה כלי</w:t>
      </w:r>
      <w:r>
        <w:rPr>
          <w:rFonts w:cs="Arial" w:hint="cs"/>
          <w:rtl/>
        </w:rPr>
        <w:t>, רש"י.</w:t>
      </w:r>
    </w:p>
  </w:footnote>
  <w:footnote w:id="1541">
    <w:p w14:paraId="77EAAC0E" w14:textId="1C3F71A1" w:rsidR="0090750D" w:rsidRDefault="0090750D" w:rsidP="00285819">
      <w:pPr>
        <w:pStyle w:val="a7"/>
        <w:rPr>
          <w:rtl/>
        </w:rPr>
      </w:pPr>
      <w:r>
        <w:rPr>
          <w:rStyle w:val="a9"/>
        </w:rPr>
        <w:footnoteRef/>
      </w:r>
      <w:r>
        <w:rPr>
          <w:rtl/>
        </w:rPr>
        <w:t xml:space="preserve"> </w:t>
      </w:r>
      <w:r w:rsidRPr="0090750D">
        <w:rPr>
          <w:rFonts w:cs="Arial"/>
          <w:rtl/>
        </w:rPr>
        <w:t>האבן כיסוי לחבית, ומגלה אותה כדרכה</w:t>
      </w:r>
      <w:r>
        <w:rPr>
          <w:rFonts w:hint="cs"/>
          <w:rtl/>
        </w:rPr>
        <w:t>, רש"י.</w:t>
      </w:r>
    </w:p>
  </w:footnote>
  <w:footnote w:id="1542">
    <w:p w14:paraId="46FAFD89" w14:textId="60588C20" w:rsidR="0090750D" w:rsidRDefault="0090750D" w:rsidP="00285819">
      <w:pPr>
        <w:pStyle w:val="a7"/>
        <w:rPr>
          <w:rtl/>
        </w:rPr>
      </w:pPr>
      <w:r>
        <w:rPr>
          <w:rStyle w:val="a9"/>
        </w:rPr>
        <w:footnoteRef/>
      </w:r>
      <w:r>
        <w:rPr>
          <w:rtl/>
        </w:rPr>
        <w:t xml:space="preserve"> </w:t>
      </w:r>
      <w:r w:rsidRPr="0090750D">
        <w:rPr>
          <w:rFonts w:cs="Arial"/>
          <w:rtl/>
        </w:rPr>
        <w:t>על שמועה שלי, שאמרתי במניח אין האבן נעשה כלי</w:t>
      </w:r>
      <w:r>
        <w:rPr>
          <w:rFonts w:hint="cs"/>
          <w:rtl/>
        </w:rPr>
        <w:t>, רש"י.</w:t>
      </w:r>
    </w:p>
  </w:footnote>
  <w:footnote w:id="1543">
    <w:p w14:paraId="07C0FA60" w14:textId="1D40340C" w:rsidR="008F4E48" w:rsidRDefault="008F4E48" w:rsidP="00285819">
      <w:pPr>
        <w:pStyle w:val="a7"/>
      </w:pPr>
      <w:r>
        <w:rPr>
          <w:rStyle w:val="a9"/>
        </w:rPr>
        <w:footnoteRef/>
      </w:r>
      <w:r>
        <w:rPr>
          <w:rtl/>
        </w:rPr>
        <w:t xml:space="preserve"> </w:t>
      </w:r>
      <w:r w:rsidRPr="008F4E48">
        <w:rPr>
          <w:rFonts w:cs="Arial"/>
          <w:rtl/>
        </w:rPr>
        <w:t>אלמא אבן נעשה כלי</w:t>
      </w:r>
      <w:r>
        <w:rPr>
          <w:rFonts w:cs="Arial" w:hint="cs"/>
          <w:rtl/>
        </w:rPr>
        <w:t>, רש"י.</w:t>
      </w:r>
    </w:p>
  </w:footnote>
  <w:footnote w:id="1544">
    <w:p w14:paraId="4839A7E6" w14:textId="3B4B6B71" w:rsidR="008F4E48" w:rsidRDefault="008F4E48" w:rsidP="00285819">
      <w:pPr>
        <w:pStyle w:val="a7"/>
      </w:pPr>
      <w:r>
        <w:rPr>
          <w:rStyle w:val="a9"/>
        </w:rPr>
        <w:footnoteRef/>
      </w:r>
      <w:r>
        <w:rPr>
          <w:rtl/>
        </w:rPr>
        <w:t xml:space="preserve"> </w:t>
      </w:r>
      <w:r w:rsidRPr="008F4E48">
        <w:rPr>
          <w:rFonts w:cs="Arial"/>
          <w:rtl/>
        </w:rPr>
        <w:t>שקשרה יפה</w:t>
      </w:r>
      <w:r>
        <w:rPr>
          <w:rFonts w:cs="Arial" w:hint="cs"/>
          <w:rtl/>
        </w:rPr>
        <w:t>, רש"י.</w:t>
      </w:r>
    </w:p>
  </w:footnote>
  <w:footnote w:id="1545">
    <w:p w14:paraId="6F68D733" w14:textId="4E40E816" w:rsidR="008F4E48" w:rsidRDefault="008F4E48" w:rsidP="00285819">
      <w:pPr>
        <w:pStyle w:val="a7"/>
      </w:pPr>
      <w:r>
        <w:rPr>
          <w:rStyle w:val="a9"/>
        </w:rPr>
        <w:footnoteRef/>
      </w:r>
      <w:r>
        <w:rPr>
          <w:rtl/>
        </w:rPr>
        <w:t xml:space="preserve"> </w:t>
      </w:r>
      <w:r w:rsidRPr="008F4E48">
        <w:rPr>
          <w:rFonts w:cs="Arial"/>
          <w:rtl/>
        </w:rPr>
        <w:t>ולא אמרינן נעשה כלי בהנחה בעלמא, וקשיא לדידי, דאמרי לעיל במניח נעשה כיסוי לחבית</w:t>
      </w:r>
      <w:r>
        <w:rPr>
          <w:rFonts w:cs="Arial" w:hint="cs"/>
          <w:rtl/>
        </w:rPr>
        <w:t>, רש"י.</w:t>
      </w:r>
    </w:p>
  </w:footnote>
  <w:footnote w:id="1546">
    <w:p w14:paraId="72F7BB36" w14:textId="7A73235A" w:rsidR="008F4E48" w:rsidRDefault="008F4E48" w:rsidP="00285819">
      <w:pPr>
        <w:pStyle w:val="a7"/>
      </w:pPr>
      <w:r>
        <w:rPr>
          <w:rStyle w:val="a9"/>
        </w:rPr>
        <w:footnoteRef/>
      </w:r>
      <w:r>
        <w:rPr>
          <w:rtl/>
        </w:rPr>
        <w:t xml:space="preserve"> </w:t>
      </w:r>
      <w:r w:rsidRPr="008F4E48">
        <w:rPr>
          <w:rFonts w:cs="Arial"/>
          <w:rtl/>
        </w:rPr>
        <w:t>לא קשיא לי; דהתם הואיל ובלא קשירה לא חזיא למלאות, דהא נפלה, והאי לאו הדקה - בטולי בטלה מתורת כלי, גלי דעתיה דלא חשיב ליה, אבל כיסוי חבית - הנחה משויא ליה כלי</w:t>
      </w:r>
      <w:r>
        <w:rPr>
          <w:rFonts w:cs="Arial" w:hint="cs"/>
          <w:rtl/>
        </w:rPr>
        <w:t>, רש"י.</w:t>
      </w:r>
    </w:p>
  </w:footnote>
  <w:footnote w:id="1547">
    <w:p w14:paraId="256B052E" w14:textId="018693E4" w:rsidR="008F4E48" w:rsidRDefault="008F4E48" w:rsidP="00285819">
      <w:pPr>
        <w:pStyle w:val="a7"/>
      </w:pPr>
      <w:r>
        <w:rPr>
          <w:rStyle w:val="a9"/>
        </w:rPr>
        <w:footnoteRef/>
      </w:r>
      <w:r>
        <w:rPr>
          <w:rtl/>
        </w:rPr>
        <w:t xml:space="preserve"> </w:t>
      </w:r>
      <w:r w:rsidRPr="008F4E48">
        <w:rPr>
          <w:rFonts w:cs="Arial"/>
          <w:rtl/>
        </w:rPr>
        <w:t>ר' אמי ור' אסי</w:t>
      </w:r>
      <w:r>
        <w:rPr>
          <w:rFonts w:cs="Arial" w:hint="cs"/>
          <w:rtl/>
        </w:rPr>
        <w:t>, רש"י.</w:t>
      </w:r>
    </w:p>
  </w:footnote>
  <w:footnote w:id="1548">
    <w:p w14:paraId="4DACDA57" w14:textId="1D9C300D" w:rsidR="007F5D92" w:rsidRDefault="007F5D92" w:rsidP="00285819">
      <w:pPr>
        <w:pStyle w:val="a7"/>
      </w:pPr>
      <w:r>
        <w:rPr>
          <w:rStyle w:val="a9"/>
        </w:rPr>
        <w:footnoteRef/>
      </w:r>
      <w:r>
        <w:rPr>
          <w:rtl/>
        </w:rPr>
        <w:t xml:space="preserve"> </w:t>
      </w:r>
      <w:r w:rsidRPr="007F5D92">
        <w:rPr>
          <w:rFonts w:cs="Arial"/>
          <w:rtl/>
        </w:rPr>
        <w:t>אבנים סדורות ומוקצות לבנין</w:t>
      </w:r>
      <w:r>
        <w:rPr>
          <w:rFonts w:cs="Arial" w:hint="cs"/>
          <w:rtl/>
        </w:rPr>
        <w:t>, רש"י.</w:t>
      </w:r>
    </w:p>
  </w:footnote>
  <w:footnote w:id="1549">
    <w:p w14:paraId="1DE0AD26" w14:textId="240A85A5" w:rsidR="00DC6A17" w:rsidRDefault="00DC6A17" w:rsidP="00285819">
      <w:pPr>
        <w:pStyle w:val="a7"/>
      </w:pPr>
      <w:r>
        <w:rPr>
          <w:rStyle w:val="a9"/>
        </w:rPr>
        <w:footnoteRef/>
      </w:r>
      <w:r>
        <w:rPr>
          <w:rtl/>
        </w:rPr>
        <w:t xml:space="preserve"> </w:t>
      </w:r>
      <w:r w:rsidRPr="00DC6A17">
        <w:rPr>
          <w:rFonts w:cs="Arial"/>
          <w:rtl/>
        </w:rPr>
        <w:t>סדרו אותם והשיבום, כדי שלא נצטרך ליגע בהם למחר, לפי שאין הזמנה במעשה כל דהו מועלת לאבן לעשותה כלי, ור' אמי לטעמיה, דאמר לעיל: אין אבן נעשית כלי בהנחה</w:t>
      </w:r>
      <w:r>
        <w:rPr>
          <w:rFonts w:cs="Arial" w:hint="cs"/>
          <w:rtl/>
        </w:rPr>
        <w:t>, רש"י.</w:t>
      </w:r>
      <w:r>
        <w:rPr>
          <w:rFonts w:hint="cs"/>
          <w:rtl/>
        </w:rPr>
        <w:t xml:space="preserve"> </w:t>
      </w:r>
    </w:p>
  </w:footnote>
  <w:footnote w:id="1550">
    <w:p w14:paraId="047A90CB" w14:textId="512C9D88" w:rsidR="00DC6A17" w:rsidRDefault="00DC6A17" w:rsidP="00285819">
      <w:pPr>
        <w:pStyle w:val="a7"/>
      </w:pPr>
      <w:r>
        <w:rPr>
          <w:rStyle w:val="a9"/>
        </w:rPr>
        <w:footnoteRef/>
      </w:r>
      <w:r>
        <w:rPr>
          <w:rtl/>
        </w:rPr>
        <w:t xml:space="preserve"> </w:t>
      </w:r>
      <w:r w:rsidRPr="00DC6A17">
        <w:rPr>
          <w:rFonts w:cs="Arial"/>
          <w:rtl/>
        </w:rPr>
        <w:t>מן הטיט, שיהו נאות לישב, ולמחר תלמדום, דבמעשה כל דהו נעשה כלי</w:t>
      </w:r>
      <w:r>
        <w:rPr>
          <w:rFonts w:cs="Arial" w:hint="cs"/>
          <w:rtl/>
        </w:rPr>
        <w:t>, רש"י.</w:t>
      </w:r>
    </w:p>
  </w:footnote>
  <w:footnote w:id="1551">
    <w:p w14:paraId="497DC152" w14:textId="0B255243" w:rsidR="00DC6A17" w:rsidRDefault="00DC6A17" w:rsidP="00285819">
      <w:pPr>
        <w:pStyle w:val="a7"/>
      </w:pPr>
      <w:r>
        <w:rPr>
          <w:rStyle w:val="a9"/>
        </w:rPr>
        <w:footnoteRef/>
      </w:r>
      <w:r>
        <w:rPr>
          <w:rtl/>
        </w:rPr>
        <w:t xml:space="preserve"> </w:t>
      </w:r>
      <w:r w:rsidRPr="00DC6A17">
        <w:rPr>
          <w:rFonts w:cs="Arial"/>
          <w:rtl/>
        </w:rPr>
        <w:t>סדר של קורות חדשות שמסדרין אותן לבנין כדי שלא יתעקמו</w:t>
      </w:r>
      <w:r>
        <w:rPr>
          <w:rFonts w:cs="Arial" w:hint="cs"/>
          <w:rtl/>
        </w:rPr>
        <w:t>, רש"י.</w:t>
      </w:r>
    </w:p>
  </w:footnote>
  <w:footnote w:id="1552">
    <w:p w14:paraId="0E580151" w14:textId="6CF48D8C" w:rsidR="00DC6A17" w:rsidRDefault="00DC6A17" w:rsidP="00285819">
      <w:pPr>
        <w:pStyle w:val="a7"/>
        <w:rPr>
          <w:rtl/>
        </w:rPr>
      </w:pPr>
      <w:r>
        <w:rPr>
          <w:rStyle w:val="a9"/>
        </w:rPr>
        <w:footnoteRef/>
      </w:r>
      <w:r>
        <w:rPr>
          <w:rtl/>
        </w:rPr>
        <w:t xml:space="preserve"> </w:t>
      </w:r>
      <w:r w:rsidRPr="00DC6A17">
        <w:rPr>
          <w:rFonts w:cs="Arial"/>
          <w:rtl/>
        </w:rPr>
        <w:t>ולא אבנים</w:t>
      </w:r>
      <w:r>
        <w:rPr>
          <w:rFonts w:hint="cs"/>
          <w:rtl/>
        </w:rPr>
        <w:t>, רש"י.</w:t>
      </w:r>
      <w:r w:rsidRPr="00DC6A17">
        <w:rPr>
          <w:rFonts w:hint="cs"/>
          <w:rtl/>
        </w:rPr>
        <w:t xml:space="preserve"> </w:t>
      </w:r>
    </w:p>
  </w:footnote>
  <w:footnote w:id="1553">
    <w:p w14:paraId="362AC8A4" w14:textId="55277714" w:rsidR="00DC6A17" w:rsidRDefault="00DC6A17" w:rsidP="00285819">
      <w:pPr>
        <w:pStyle w:val="a7"/>
        <w:rPr>
          <w:rtl/>
        </w:rPr>
      </w:pPr>
      <w:r>
        <w:rPr>
          <w:rStyle w:val="a9"/>
        </w:rPr>
        <w:footnoteRef/>
      </w:r>
      <w:r>
        <w:rPr>
          <w:rtl/>
        </w:rPr>
        <w:t xml:space="preserve"> </w:t>
      </w:r>
      <w:r w:rsidRPr="00DC6A17">
        <w:rPr>
          <w:rFonts w:cs="Arial"/>
          <w:rtl/>
        </w:rPr>
        <w:t>עץ ארוך שמגששים בו המים לפני הספינה, לידע שהוא בעומקו שתוכל ספינה להלך בהן</w:t>
      </w:r>
      <w:r>
        <w:rPr>
          <w:rFonts w:hint="cs"/>
          <w:rtl/>
        </w:rPr>
        <w:t>, רש"י.</w:t>
      </w:r>
    </w:p>
  </w:footnote>
  <w:footnote w:id="1554">
    <w:p w14:paraId="10A10FD7" w14:textId="7CEC2079" w:rsidR="00DC6A17" w:rsidRDefault="00DC6A17" w:rsidP="00285819">
      <w:pPr>
        <w:pStyle w:val="a7"/>
      </w:pPr>
      <w:r>
        <w:rPr>
          <w:rStyle w:val="a9"/>
        </w:rPr>
        <w:footnoteRef/>
      </w:r>
      <w:r>
        <w:rPr>
          <w:rtl/>
        </w:rPr>
        <w:t xml:space="preserve"> </w:t>
      </w:r>
      <w:r w:rsidRPr="00DC6A17">
        <w:rPr>
          <w:rFonts w:cs="Arial"/>
          <w:rtl/>
        </w:rPr>
        <w:t>שלא יתעקם, ומייחד ליה מקום ומקצה ליה בידים, ואפילו לר' שמעון אסור לטלטלו, דמוקצה מחמת חסרון כיס אפילו ר' שמעון מודה</w:t>
      </w:r>
      <w:r>
        <w:rPr>
          <w:rFonts w:cs="Arial" w:hint="cs"/>
          <w:rtl/>
        </w:rPr>
        <w:t>, רש"י.</w:t>
      </w:r>
    </w:p>
  </w:footnote>
  <w:footnote w:id="1555">
    <w:p w14:paraId="4E0EC884" w14:textId="4DBC8B80" w:rsidR="00361DFD" w:rsidRDefault="00361DFD" w:rsidP="00285819">
      <w:pPr>
        <w:pStyle w:val="a7"/>
      </w:pPr>
      <w:r>
        <w:rPr>
          <w:rStyle w:val="a9"/>
        </w:rPr>
        <w:footnoteRef/>
      </w:r>
      <w:r>
        <w:rPr>
          <w:rtl/>
        </w:rPr>
        <w:t xml:space="preserve"> </w:t>
      </w:r>
      <w:r>
        <w:rPr>
          <w:rFonts w:cs="Arial"/>
          <w:rtl/>
        </w:rPr>
        <w:t>ופסק רבינו</w:t>
      </w:r>
      <w:r>
        <w:rPr>
          <w:rFonts w:cs="Arial" w:hint="cs"/>
          <w:rtl/>
        </w:rPr>
        <w:t xml:space="preserve"> כרבי אמי.</w:t>
      </w:r>
      <w:r>
        <w:rPr>
          <w:rFonts w:cs="Arial"/>
          <w:rtl/>
        </w:rPr>
        <w:t xml:space="preserve"> ואין מכל זה בהלכות כלום</w:t>
      </w:r>
      <w:r>
        <w:rPr>
          <w:rFonts w:cs="Arial" w:hint="cs"/>
          <w:rtl/>
        </w:rPr>
        <w:t>,</w:t>
      </w:r>
      <w:r>
        <w:rPr>
          <w:rFonts w:cs="Arial"/>
          <w:rtl/>
        </w:rPr>
        <w:t xml:space="preserve"> ובסמוך אבאר הטעם</w:t>
      </w:r>
      <w:r>
        <w:rPr>
          <w:rFonts w:cs="Arial" w:hint="cs"/>
          <w:rtl/>
        </w:rPr>
        <w:t>.</w:t>
      </w:r>
      <w:r>
        <w:rPr>
          <w:rFonts w:hint="cs"/>
          <w:rtl/>
        </w:rPr>
        <w:t xml:space="preserve"> </w:t>
      </w:r>
      <w:r>
        <w:rPr>
          <w:rFonts w:cs="Arial"/>
          <w:rtl/>
        </w:rPr>
        <w:t>חריות של דקל וכו'. פרק במה טומנין (נ</w:t>
      </w:r>
      <w:r w:rsidR="009E1EE4">
        <w:rPr>
          <w:rFonts w:cs="Arial" w:hint="cs"/>
          <w:rtl/>
        </w:rPr>
        <w:t>.</w:t>
      </w:r>
      <w:r>
        <w:rPr>
          <w:rFonts w:cs="Arial"/>
          <w:rtl/>
        </w:rPr>
        <w:t>) חריות של דקל שגדרן לעצים ונמלך עליהם לישיבה צריך לקשר</w:t>
      </w:r>
      <w:r w:rsidR="009E1EE4">
        <w:rPr>
          <w:rFonts w:cs="Arial" w:hint="cs"/>
          <w:rtl/>
        </w:rPr>
        <w:t>,</w:t>
      </w:r>
      <w:r>
        <w:rPr>
          <w:rFonts w:cs="Arial"/>
          <w:rtl/>
        </w:rPr>
        <w:t xml:space="preserve"> רשב"ג אומר א"צ לקשר</w:t>
      </w:r>
      <w:r w:rsidR="009E1EE4">
        <w:rPr>
          <w:rFonts w:cs="Arial" w:hint="cs"/>
          <w:rtl/>
        </w:rPr>
        <w:t>.</w:t>
      </w:r>
      <w:r>
        <w:rPr>
          <w:rFonts w:cs="Arial"/>
          <w:rtl/>
        </w:rPr>
        <w:t xml:space="preserve"> ואמרו שם רב אמר קשר כת"ק</w:t>
      </w:r>
      <w:r w:rsidR="009E1EE4">
        <w:rPr>
          <w:rFonts w:cs="Arial" w:hint="cs"/>
          <w:rtl/>
        </w:rPr>
        <w:t>,</w:t>
      </w:r>
      <w:r>
        <w:rPr>
          <w:rFonts w:cs="Arial"/>
          <w:rtl/>
        </w:rPr>
        <w:t xml:space="preserve"> ושמואל אמר חשב סגי כרשב"ג</w:t>
      </w:r>
      <w:r w:rsidR="009E1EE4">
        <w:rPr>
          <w:rFonts w:cs="Arial" w:hint="cs"/>
          <w:rtl/>
        </w:rPr>
        <w:t>,</w:t>
      </w:r>
      <w:r>
        <w:rPr>
          <w:rFonts w:cs="Arial"/>
          <w:rtl/>
        </w:rPr>
        <w:t xml:space="preserve"> ורב אשי אמר ישב סגי אע</w:t>
      </w:r>
      <w:r w:rsidR="009E1EE4">
        <w:rPr>
          <w:rFonts w:cs="Arial" w:hint="cs"/>
          <w:rtl/>
        </w:rPr>
        <w:t>"</w:t>
      </w:r>
      <w:r>
        <w:rPr>
          <w:rFonts w:cs="Arial"/>
          <w:rtl/>
        </w:rPr>
        <w:t>פ שלא חשב ושלא קשר</w:t>
      </w:r>
      <w:r w:rsidR="009E1EE4">
        <w:rPr>
          <w:rFonts w:cs="Arial" w:hint="cs"/>
          <w:rtl/>
        </w:rPr>
        <w:t>.</w:t>
      </w:r>
      <w:r>
        <w:rPr>
          <w:rFonts w:cs="Arial"/>
          <w:rtl/>
        </w:rPr>
        <w:t xml:space="preserve"> ונסתייעו דברי רב אשי שם. והלכה כמותו כדאיתא בהלכות. ופירשו ז"ל דלרב אשי כ"ש חשב אע</w:t>
      </w:r>
      <w:r w:rsidR="009E1EE4">
        <w:rPr>
          <w:rFonts w:cs="Arial" w:hint="cs"/>
          <w:rtl/>
        </w:rPr>
        <w:t>"</w:t>
      </w:r>
      <w:r>
        <w:rPr>
          <w:rFonts w:cs="Arial"/>
          <w:rtl/>
        </w:rPr>
        <w:t>פ שלא ישב וזה דעת רבינו. מכאן למדנו שמחשבה בלחוד סגי. ונ"ל שלכך השמיטו בהלכות ההיא דנדבך</w:t>
      </w:r>
      <w:r w:rsidR="00536E98">
        <w:rPr>
          <w:rFonts w:cs="Arial" w:hint="cs"/>
          <w:rtl/>
        </w:rPr>
        <w:t>,</w:t>
      </w:r>
      <w:r>
        <w:rPr>
          <w:rFonts w:cs="Arial"/>
          <w:rtl/>
        </w:rPr>
        <w:t xml:space="preserve"> משום דמהכא </w:t>
      </w:r>
      <w:r w:rsidR="00536E98">
        <w:rPr>
          <w:rFonts w:cs="Arial" w:hint="cs"/>
          <w:sz w:val="16"/>
          <w:szCs w:val="16"/>
          <w:rtl/>
        </w:rPr>
        <w:t xml:space="preserve">{בחריות} </w:t>
      </w:r>
      <w:r>
        <w:rPr>
          <w:rFonts w:cs="Arial"/>
          <w:rtl/>
        </w:rPr>
        <w:t>שמעינן שא"צ מעשה ובמחשבה בלחוד סגי</w:t>
      </w:r>
      <w:r>
        <w:rPr>
          <w:rFonts w:cs="Arial" w:hint="cs"/>
          <w:rtl/>
        </w:rPr>
        <w:t>.</w:t>
      </w:r>
      <w:r>
        <w:rPr>
          <w:rFonts w:cs="Arial"/>
          <w:rtl/>
        </w:rPr>
        <w:t xml:space="preserve"> וא"כ יש לתמוה על רבינו למה פסק למעלה כמאן דמצריך מעשה</w:t>
      </w:r>
      <w:r w:rsidR="00536E98">
        <w:rPr>
          <w:rFonts w:cs="Arial" w:hint="cs"/>
          <w:rtl/>
        </w:rPr>
        <w:t>,</w:t>
      </w:r>
      <w:r>
        <w:rPr>
          <w:rFonts w:cs="Arial"/>
          <w:rtl/>
        </w:rPr>
        <w:t xml:space="preserve"> שכתב </w:t>
      </w:r>
      <w:r w:rsidR="00536E98">
        <w:rPr>
          <w:rFonts w:cs="Arial" w:hint="cs"/>
          <w:rtl/>
        </w:rPr>
        <w:t>'</w:t>
      </w:r>
      <w:r>
        <w:rPr>
          <w:rFonts w:cs="Arial"/>
          <w:rtl/>
        </w:rPr>
        <w:t>אם למדום</w:t>
      </w:r>
      <w:r w:rsidR="00536E98">
        <w:rPr>
          <w:rFonts w:cs="Arial" w:hint="cs"/>
          <w:rtl/>
        </w:rPr>
        <w:t>'</w:t>
      </w:r>
      <w:r>
        <w:rPr>
          <w:rFonts w:cs="Arial"/>
          <w:rtl/>
        </w:rPr>
        <w:t>. ונ"ל שדעת רבינו דשאני חריות דאיכא דקיימי לישיבה ואיכא דקיימי לעצים</w:t>
      </w:r>
      <w:r w:rsidR="009E1EE4">
        <w:rPr>
          <w:rFonts w:cs="Arial" w:hint="cs"/>
          <w:rtl/>
        </w:rPr>
        <w:t>,</w:t>
      </w:r>
      <w:r>
        <w:rPr>
          <w:rFonts w:cs="Arial"/>
          <w:rtl/>
        </w:rPr>
        <w:t xml:space="preserve"> וכאן לא נאסרו אלא מפני מחשבתו שגדרן לעצים</w:t>
      </w:r>
      <w:r w:rsidR="00536E98">
        <w:rPr>
          <w:rFonts w:cs="Arial" w:hint="cs"/>
          <w:rtl/>
        </w:rPr>
        <w:t>,</w:t>
      </w:r>
      <w:r>
        <w:rPr>
          <w:rFonts w:cs="Arial"/>
          <w:rtl/>
        </w:rPr>
        <w:t xml:space="preserve"> וזהו שהזכיר כן בדוקא</w:t>
      </w:r>
      <w:r w:rsidR="00536E98">
        <w:rPr>
          <w:rFonts w:cs="Arial" w:hint="cs"/>
          <w:rtl/>
        </w:rPr>
        <w:t>.</w:t>
      </w:r>
      <w:r>
        <w:rPr>
          <w:rFonts w:cs="Arial"/>
          <w:rtl/>
        </w:rPr>
        <w:t xml:space="preserve"> ומפני כך מחשבת ישיבה מוציאה מידי מחשבה דלעצים. אבל נדבך של אבנים ליכא דקאי לישיבה</w:t>
      </w:r>
      <w:r w:rsidR="009E1EE4">
        <w:rPr>
          <w:rFonts w:cs="Arial" w:hint="cs"/>
          <w:rtl/>
        </w:rPr>
        <w:t>,</w:t>
      </w:r>
      <w:r>
        <w:rPr>
          <w:rFonts w:cs="Arial"/>
          <w:rtl/>
        </w:rPr>
        <w:t xml:space="preserve"> ולפיכך צריך מעשה להוכיח שהן לישיבה</w:t>
      </w:r>
      <w:r w:rsidR="00536E98">
        <w:rPr>
          <w:rFonts w:cs="Arial" w:hint="cs"/>
          <w:rtl/>
        </w:rPr>
        <w:t>.</w:t>
      </w:r>
      <w:r>
        <w:rPr>
          <w:rFonts w:cs="Arial"/>
          <w:rtl/>
        </w:rPr>
        <w:t xml:space="preserve"> כנ"ל לדעת רבינו</w:t>
      </w:r>
      <w:r w:rsidR="009E1EE4">
        <w:rPr>
          <w:rFonts w:cs="Arial" w:hint="cs"/>
          <w:rtl/>
        </w:rPr>
        <w:t xml:space="preserve">, </w:t>
      </w:r>
      <w:r w:rsidR="009E1EE4" w:rsidRPr="00E15F81">
        <w:rPr>
          <w:rFonts w:cs="Arial" w:hint="cs"/>
          <w:b/>
          <w:bCs/>
          <w:rtl/>
        </w:rPr>
        <w:t>הה"מ</w:t>
      </w:r>
      <w:r w:rsidR="00E15F81">
        <w:rPr>
          <w:rFonts w:cs="Arial" w:hint="cs"/>
          <w:rtl/>
        </w:rPr>
        <w:t xml:space="preserve"> (שם)</w:t>
      </w:r>
      <w:r w:rsidR="009E1EE4">
        <w:rPr>
          <w:rFonts w:cs="Arial" w:hint="cs"/>
          <w:rtl/>
        </w:rPr>
        <w:t>.</w:t>
      </w:r>
      <w:r w:rsidR="00E15F81" w:rsidRPr="00E15F81">
        <w:rPr>
          <w:rFonts w:cs="Arial"/>
          <w:rtl/>
        </w:rPr>
        <w:t xml:space="preserve"> </w:t>
      </w:r>
      <w:r w:rsidR="00E15F81" w:rsidRPr="00F63421">
        <w:rPr>
          <w:rFonts w:cs="Arial"/>
          <w:rtl/>
        </w:rPr>
        <w:t>ולי נראה שאע</w:t>
      </w:r>
      <w:r w:rsidR="00E15F81">
        <w:rPr>
          <w:rFonts w:cs="Arial" w:hint="cs"/>
          <w:rtl/>
        </w:rPr>
        <w:t>"</w:t>
      </w:r>
      <w:r w:rsidR="00E15F81" w:rsidRPr="00F63421">
        <w:rPr>
          <w:rFonts w:cs="Arial"/>
          <w:rtl/>
        </w:rPr>
        <w:t>פ שהשמיט הרי"ף דין נדבך</w:t>
      </w:r>
      <w:r w:rsidR="00536E98">
        <w:rPr>
          <w:rFonts w:cs="Arial" w:hint="cs"/>
          <w:rtl/>
        </w:rPr>
        <w:t>,</w:t>
      </w:r>
      <w:r w:rsidR="00E15F81" w:rsidRPr="00F63421">
        <w:rPr>
          <w:rFonts w:cs="Arial"/>
          <w:rtl/>
        </w:rPr>
        <w:t xml:space="preserve"> אין ספק שהוא מחלק בין חריות לאבנים</w:t>
      </w:r>
      <w:r w:rsidR="00E15F81">
        <w:rPr>
          <w:rFonts w:cs="Arial" w:hint="cs"/>
          <w:rtl/>
        </w:rPr>
        <w:t>,</w:t>
      </w:r>
      <w:r w:rsidR="00E15F81" w:rsidRPr="00F63421">
        <w:rPr>
          <w:rFonts w:cs="Arial"/>
          <w:rtl/>
        </w:rPr>
        <w:t xml:space="preserve"> דהא רב אסי (נ.) גופיה דאמר גבי חריות ישב אע</w:t>
      </w:r>
      <w:r w:rsidR="00E15F81">
        <w:rPr>
          <w:rFonts w:cs="Arial" w:hint="cs"/>
          <w:rtl/>
        </w:rPr>
        <w:t>"</w:t>
      </w:r>
      <w:r w:rsidR="00E15F81" w:rsidRPr="00F63421">
        <w:rPr>
          <w:rFonts w:cs="Arial"/>
          <w:rtl/>
        </w:rPr>
        <w:t>פ שלא חשב</w:t>
      </w:r>
      <w:r w:rsidR="00E15F81">
        <w:rPr>
          <w:rFonts w:cs="Arial" w:hint="cs"/>
          <w:rtl/>
        </w:rPr>
        <w:t>,</w:t>
      </w:r>
      <w:r w:rsidR="00E15F81" w:rsidRPr="00F63421">
        <w:rPr>
          <w:rFonts w:cs="Arial"/>
          <w:rtl/>
        </w:rPr>
        <w:t xml:space="preserve"> אמר גבי נדבך צאו ושפשפום</w:t>
      </w:r>
      <w:r w:rsidR="00E15F81">
        <w:rPr>
          <w:rFonts w:cs="Arial" w:hint="cs"/>
          <w:rtl/>
        </w:rPr>
        <w:t>.</w:t>
      </w:r>
      <w:r w:rsidR="00E15F81" w:rsidRPr="00F63421">
        <w:rPr>
          <w:rFonts w:cs="Arial"/>
          <w:rtl/>
        </w:rPr>
        <w:t xml:space="preserve"> וא</w:t>
      </w:r>
      <w:r w:rsidR="00E15F81">
        <w:rPr>
          <w:rFonts w:cs="Arial" w:hint="cs"/>
          <w:rtl/>
        </w:rPr>
        <w:t>"</w:t>
      </w:r>
      <w:r w:rsidR="00E15F81" w:rsidRPr="00F63421">
        <w:rPr>
          <w:rFonts w:cs="Arial"/>
          <w:rtl/>
        </w:rPr>
        <w:t>כ על כרחך יש לחלק בין חריות לאבנים</w:t>
      </w:r>
      <w:r w:rsidR="00E15F81">
        <w:rPr>
          <w:rFonts w:cs="Arial" w:hint="cs"/>
          <w:rtl/>
        </w:rPr>
        <w:t>.</w:t>
      </w:r>
      <w:r w:rsidR="00E15F81" w:rsidRPr="00F63421">
        <w:rPr>
          <w:rFonts w:cs="Arial"/>
          <w:rtl/>
        </w:rPr>
        <w:t xml:space="preserve"> וטעמא דנדבך כדפירש רש"י </w:t>
      </w:r>
      <w:r w:rsidR="00E15F81">
        <w:rPr>
          <w:rFonts w:cs="Arial" w:hint="cs"/>
          <w:sz w:val="16"/>
          <w:szCs w:val="16"/>
          <w:rtl/>
        </w:rPr>
        <w:t>(</w:t>
      </w:r>
      <w:r w:rsidR="00E15F81" w:rsidRPr="003B754D">
        <w:rPr>
          <w:rFonts w:cs="Arial"/>
          <w:sz w:val="16"/>
          <w:szCs w:val="16"/>
          <w:rtl/>
        </w:rPr>
        <w:t>צאו ולמדום</w:t>
      </w:r>
      <w:r w:rsidR="00E15F81">
        <w:rPr>
          <w:rFonts w:cs="Arial" w:hint="cs"/>
          <w:sz w:val="16"/>
          <w:szCs w:val="16"/>
          <w:rtl/>
        </w:rPr>
        <w:t xml:space="preserve"> -</w:t>
      </w:r>
      <w:r w:rsidR="00E15F81" w:rsidRPr="003B754D">
        <w:rPr>
          <w:rFonts w:cs="Arial"/>
          <w:sz w:val="16"/>
          <w:szCs w:val="16"/>
          <w:rtl/>
        </w:rPr>
        <w:t xml:space="preserve"> סדרום והושיבום כדי שלא נצטרך ליגע בהן למחר לפי שאין הזמנה אפילו במעשה חשוב מועיל לאבן לעשותה כלי</w:t>
      </w:r>
      <w:r w:rsidR="00E15F81" w:rsidRPr="003B754D">
        <w:rPr>
          <w:rFonts w:cs="Arial" w:hint="cs"/>
          <w:sz w:val="16"/>
          <w:szCs w:val="16"/>
          <w:rtl/>
        </w:rPr>
        <w:t>,</w:t>
      </w:r>
      <w:r w:rsidR="00E15F81" w:rsidRPr="003B754D">
        <w:rPr>
          <w:rFonts w:cs="Arial"/>
          <w:sz w:val="16"/>
          <w:szCs w:val="16"/>
          <w:rtl/>
        </w:rPr>
        <w:t xml:space="preserve"> ורבי אמי לטעמיה דאמר לעיל אין אבן נעשית כלי בהנחה: ושפשפום</w:t>
      </w:r>
      <w:r w:rsidR="00E15F81">
        <w:rPr>
          <w:rFonts w:cs="Arial" w:hint="cs"/>
          <w:sz w:val="16"/>
          <w:szCs w:val="16"/>
          <w:rtl/>
        </w:rPr>
        <w:t xml:space="preserve"> -</w:t>
      </w:r>
      <w:r w:rsidR="00E15F81" w:rsidRPr="003B754D">
        <w:rPr>
          <w:rFonts w:cs="Arial"/>
          <w:sz w:val="16"/>
          <w:szCs w:val="16"/>
          <w:rtl/>
        </w:rPr>
        <w:t xml:space="preserve"> מן הטיט שיהו נאות לישב ולמחר תלמדום דבמעשה כל דהו נעשה כלי</w:t>
      </w:r>
      <w:r w:rsidR="00E15F81" w:rsidRPr="003B754D">
        <w:rPr>
          <w:rFonts w:cs="Arial" w:hint="cs"/>
          <w:sz w:val="16"/>
          <w:szCs w:val="16"/>
          <w:rtl/>
        </w:rPr>
        <w:t>)</w:t>
      </w:r>
      <w:r w:rsidR="00E15F81">
        <w:rPr>
          <w:rFonts w:cs="Arial" w:hint="cs"/>
          <w:rtl/>
        </w:rPr>
        <w:t>.</w:t>
      </w:r>
      <w:r w:rsidR="00E15F81" w:rsidRPr="00F63421">
        <w:rPr>
          <w:rFonts w:cs="Arial"/>
          <w:rtl/>
        </w:rPr>
        <w:t xml:space="preserve"> דהשתא לכו</w:t>
      </w:r>
      <w:r w:rsidR="00536E98">
        <w:rPr>
          <w:rFonts w:cs="Arial" w:hint="cs"/>
          <w:rtl/>
        </w:rPr>
        <w:t>"ע</w:t>
      </w:r>
      <w:r w:rsidR="00E15F81" w:rsidRPr="00F63421">
        <w:rPr>
          <w:rFonts w:cs="Arial"/>
          <w:rtl/>
        </w:rPr>
        <w:t xml:space="preserve"> באבנים לא סגי בחשב</w:t>
      </w:r>
      <w:r w:rsidR="00E15F81">
        <w:rPr>
          <w:rFonts w:cs="Arial" w:hint="cs"/>
          <w:rtl/>
        </w:rPr>
        <w:t>,</w:t>
      </w:r>
      <w:r w:rsidR="00E15F81" w:rsidRPr="00F63421">
        <w:rPr>
          <w:rFonts w:cs="Arial"/>
          <w:rtl/>
        </w:rPr>
        <w:t xml:space="preserve"> ולא השמיטה הרי"ף להא דנדבך אלא לפי שסמך לו על מה שכתב בפרק נוטל (נט:) אמתניתין דאבן שעל פי חבית מטה על צדה והיא נופלת ואמר רב הונא לא שנו אלא בשוכח אבל במניח נעשה בסיס לדבר האסור</w:t>
      </w:r>
      <w:r w:rsidR="00E15F81">
        <w:rPr>
          <w:rFonts w:cs="Arial" w:hint="cs"/>
          <w:rtl/>
        </w:rPr>
        <w:t>,</w:t>
      </w:r>
      <w:r w:rsidR="00E15F81" w:rsidRPr="00F63421">
        <w:rPr>
          <w:rFonts w:cs="Arial"/>
          <w:rtl/>
        </w:rPr>
        <w:t xml:space="preserve"> והלכתא כוותיה דקאי רבי אמי בשם רבי יוחנן כוותיה בפרק כל הכלים</w:t>
      </w:r>
      <w:r w:rsidR="00E15F81">
        <w:rPr>
          <w:rFonts w:cs="Arial" w:hint="cs"/>
          <w:rtl/>
        </w:rPr>
        <w:t>,</w:t>
      </w:r>
      <w:r w:rsidR="00E15F81" w:rsidRPr="00F63421">
        <w:rPr>
          <w:rFonts w:cs="Arial"/>
          <w:rtl/>
        </w:rPr>
        <w:t xml:space="preserve"> כלומר דמייתינן התם מתניתין דאבן שעל פי חבית ואמר רבי אמי אמר רבי יוחנן לא שנו אלא בשוכח אבל במניח נעשה בסיס לדבר האסור</w:t>
      </w:r>
      <w:r w:rsidR="00E15F81">
        <w:rPr>
          <w:rFonts w:cs="Arial" w:hint="cs"/>
          <w:rtl/>
        </w:rPr>
        <w:t>.</w:t>
      </w:r>
      <w:r w:rsidR="00E15F81" w:rsidRPr="00F63421">
        <w:rPr>
          <w:rFonts w:cs="Arial"/>
          <w:rtl/>
        </w:rPr>
        <w:t xml:space="preserve"> ומזה נלמוד דלא סגי לאבן בחשב</w:t>
      </w:r>
      <w:r w:rsidR="00E15F81">
        <w:rPr>
          <w:rFonts w:cs="Arial" w:hint="cs"/>
          <w:rtl/>
        </w:rPr>
        <w:t>,</w:t>
      </w:r>
      <w:r w:rsidR="00E15F81" w:rsidRPr="00F63421">
        <w:rPr>
          <w:rFonts w:cs="Arial"/>
          <w:rtl/>
        </w:rPr>
        <w:t xml:space="preserve"> ד</w:t>
      </w:r>
      <w:r w:rsidR="00E15F81">
        <w:rPr>
          <w:rFonts w:cs="Arial" w:hint="cs"/>
          <w:rtl/>
        </w:rPr>
        <w:t>ֵ</w:t>
      </w:r>
      <w:r w:rsidR="00E15F81" w:rsidRPr="00F63421">
        <w:rPr>
          <w:rFonts w:cs="Arial"/>
          <w:rtl/>
        </w:rPr>
        <w:t>ס</w:t>
      </w:r>
      <w:r w:rsidR="00E15F81">
        <w:rPr>
          <w:rFonts w:cs="Arial" w:hint="cs"/>
          <w:rtl/>
        </w:rPr>
        <w:t>ַ</w:t>
      </w:r>
      <w:r w:rsidR="00E15F81" w:rsidRPr="00F63421">
        <w:rPr>
          <w:rFonts w:cs="Arial"/>
          <w:rtl/>
        </w:rPr>
        <w:t>ת</w:t>
      </w:r>
      <w:r w:rsidR="00E15F81">
        <w:rPr>
          <w:rFonts w:cs="Arial" w:hint="cs"/>
          <w:rtl/>
        </w:rPr>
        <w:t>ָ</w:t>
      </w:r>
      <w:r w:rsidR="00E15F81" w:rsidRPr="00F63421">
        <w:rPr>
          <w:rFonts w:cs="Arial"/>
          <w:rtl/>
        </w:rPr>
        <w:t xml:space="preserve">ם </w:t>
      </w:r>
      <w:r w:rsidR="00E15F81">
        <w:rPr>
          <w:rFonts w:cs="Arial" w:hint="cs"/>
          <w:rtl/>
        </w:rPr>
        <w:t>'</w:t>
      </w:r>
      <w:r w:rsidR="00E15F81" w:rsidRPr="00F63421">
        <w:rPr>
          <w:rFonts w:cs="Arial"/>
          <w:rtl/>
        </w:rPr>
        <w:t>אסור במניח</w:t>
      </w:r>
      <w:r w:rsidR="00E15F81">
        <w:rPr>
          <w:rFonts w:cs="Arial" w:hint="cs"/>
          <w:rtl/>
        </w:rPr>
        <w:t>',</w:t>
      </w:r>
      <w:r w:rsidR="00E15F81" w:rsidRPr="00F63421">
        <w:rPr>
          <w:rFonts w:cs="Arial"/>
          <w:rtl/>
        </w:rPr>
        <w:t xml:space="preserve"> ומשמע דאפילו מניח על דעת ליטלה בשבת אסור</w:t>
      </w:r>
      <w:r w:rsidR="00E15F81">
        <w:rPr>
          <w:rFonts w:cs="Arial" w:hint="cs"/>
          <w:rtl/>
        </w:rPr>
        <w:t>,</w:t>
      </w:r>
      <w:r w:rsidR="00E15F81" w:rsidRPr="00F63421">
        <w:rPr>
          <w:rFonts w:cs="Arial"/>
          <w:rtl/>
        </w:rPr>
        <w:t xml:space="preserve"> וכדמשמע מדברי רש"י</w:t>
      </w:r>
      <w:r w:rsidR="00E15F81">
        <w:rPr>
          <w:rFonts w:cs="Arial" w:hint="cs"/>
          <w:rtl/>
        </w:rPr>
        <w:t>,</w:t>
      </w:r>
      <w:r w:rsidR="00E15F81" w:rsidRPr="00F63421">
        <w:rPr>
          <w:rFonts w:cs="Arial"/>
          <w:rtl/>
        </w:rPr>
        <w:t xml:space="preserve"> ודלא כסברת בעל התרומה (סי' רנד ד"ה פרק) שכתב רבינו בסימן ש"ט</w:t>
      </w:r>
      <w:r w:rsidR="00E15F81">
        <w:rPr>
          <w:rFonts w:cs="Arial" w:hint="cs"/>
          <w:rtl/>
        </w:rPr>
        <w:t>.</w:t>
      </w:r>
      <w:r w:rsidR="00E15F81" w:rsidRPr="00F63421">
        <w:rPr>
          <w:rFonts w:cs="Arial"/>
          <w:rtl/>
        </w:rPr>
        <w:t xml:space="preserve"> וגם הרא"ש (פכ"א סי' א) כתב כדברי הרי"ף בפרק נוטל</w:t>
      </w:r>
      <w:r w:rsidR="00E15F81">
        <w:rPr>
          <w:rFonts w:cs="Arial" w:hint="cs"/>
          <w:rtl/>
        </w:rPr>
        <w:t>,</w:t>
      </w:r>
      <w:r w:rsidR="00E15F81" w:rsidRPr="00F63421">
        <w:rPr>
          <w:rFonts w:cs="Arial"/>
          <w:rtl/>
        </w:rPr>
        <w:t xml:space="preserve"> ולפיכך השמיט גם הוא (פי"ז סי' ח) להא דנדבך של אבנים</w:t>
      </w:r>
      <w:r w:rsidR="00E15F81">
        <w:rPr>
          <w:rFonts w:cs="Arial" w:hint="cs"/>
          <w:rtl/>
        </w:rPr>
        <w:t>.</w:t>
      </w:r>
      <w:r w:rsidR="00E15F81" w:rsidRPr="00F63421">
        <w:rPr>
          <w:rFonts w:cs="Arial"/>
          <w:rtl/>
        </w:rPr>
        <w:t xml:space="preserve"> אלא שעדיין היו צריכין לכתבה ללמדנו אם הלכה כמאן דאמר למדום או כמאן דאמר שפשפום</w:t>
      </w:r>
      <w:r w:rsidR="00536E98">
        <w:rPr>
          <w:rFonts w:cs="Arial" w:hint="cs"/>
          <w:rtl/>
        </w:rPr>
        <w:t>.</w:t>
      </w:r>
      <w:r w:rsidR="00E15F81" w:rsidRPr="00F63421">
        <w:rPr>
          <w:rFonts w:cs="Arial"/>
          <w:rtl/>
        </w:rPr>
        <w:t xml:space="preserve"> ואפשר דסבירא ליה כמאן דאמר שפשפום</w:t>
      </w:r>
      <w:r w:rsidR="00536E98">
        <w:rPr>
          <w:rFonts w:cs="Arial" w:hint="cs"/>
          <w:rtl/>
        </w:rPr>
        <w:t>,</w:t>
      </w:r>
      <w:r w:rsidR="00E15F81" w:rsidRPr="00F63421">
        <w:rPr>
          <w:rFonts w:cs="Arial"/>
          <w:rtl/>
        </w:rPr>
        <w:t xml:space="preserve"> ולכך סתמו דבריהם לומר דלא סגי במחשבה לחוד</w:t>
      </w:r>
      <w:r w:rsidR="00E15F81">
        <w:rPr>
          <w:rFonts w:cs="Arial" w:hint="cs"/>
          <w:rtl/>
        </w:rPr>
        <w:t>,</w:t>
      </w:r>
      <w:r w:rsidR="00E15F81" w:rsidRPr="00F63421">
        <w:rPr>
          <w:rFonts w:cs="Arial"/>
          <w:rtl/>
        </w:rPr>
        <w:t xml:space="preserve"> וממילא משמע דבמעשה כל דהו סגי</w:t>
      </w:r>
      <w:r w:rsidR="00E15F81">
        <w:rPr>
          <w:rFonts w:cs="Arial" w:hint="cs"/>
          <w:rtl/>
        </w:rPr>
        <w:t>.</w:t>
      </w:r>
      <w:r w:rsidR="00E15F81" w:rsidRPr="00F63421">
        <w:rPr>
          <w:rFonts w:cs="Arial"/>
          <w:rtl/>
        </w:rPr>
        <w:t xml:space="preserve"> וכ</w:t>
      </w:r>
      <w:r w:rsidR="00E15F81">
        <w:rPr>
          <w:rFonts w:cs="Arial" w:hint="cs"/>
          <w:rtl/>
        </w:rPr>
        <w:t>"</w:t>
      </w:r>
      <w:r w:rsidR="00E15F81" w:rsidRPr="00F63421">
        <w:rPr>
          <w:rFonts w:cs="Arial"/>
          <w:rtl/>
        </w:rPr>
        <w:t xml:space="preserve">כ </w:t>
      </w:r>
      <w:r w:rsidR="00E15F81">
        <w:rPr>
          <w:rFonts w:cs="Arial" w:hint="cs"/>
          <w:rtl/>
        </w:rPr>
        <w:t>רי"ו</w:t>
      </w:r>
      <w:r w:rsidR="00E15F81" w:rsidRPr="00F63421">
        <w:rPr>
          <w:rFonts w:cs="Arial"/>
          <w:rtl/>
        </w:rPr>
        <w:t xml:space="preserve"> </w:t>
      </w:r>
      <w:r w:rsidR="00E15F81">
        <w:rPr>
          <w:rFonts w:cs="Arial" w:hint="cs"/>
          <w:rtl/>
        </w:rPr>
        <w:t>(</w:t>
      </w:r>
      <w:r w:rsidR="00E15F81" w:rsidRPr="00F63421">
        <w:rPr>
          <w:rFonts w:cs="Arial"/>
          <w:rtl/>
        </w:rPr>
        <w:t>חי"ג ני"ב פד ע"ד) שהפוסקים כרבי יוחנן אינו צריך מעשה גדול אלא כל דהו כגון לשפשף האבנים</w:t>
      </w:r>
      <w:r w:rsidR="00536E98">
        <w:rPr>
          <w:rFonts w:cs="Arial" w:hint="cs"/>
          <w:rtl/>
        </w:rPr>
        <w:t>,</w:t>
      </w:r>
      <w:r w:rsidR="00E15F81" w:rsidRPr="00F63421">
        <w:rPr>
          <w:rFonts w:cs="Arial"/>
          <w:rtl/>
        </w:rPr>
        <w:t xml:space="preserve"> לא לסדרם. או אפשר דסבירא ליה כמאן דאמר למדום וכיון דפסקו כרבי אמי דאמר במניח נעשה בסיס לדבר האסור ממילא קיי</w:t>
      </w:r>
      <w:r w:rsidR="00E15F81">
        <w:rPr>
          <w:rFonts w:cs="Arial" w:hint="cs"/>
          <w:rtl/>
        </w:rPr>
        <w:t>"</w:t>
      </w:r>
      <w:r w:rsidR="00E15F81" w:rsidRPr="00F63421">
        <w:rPr>
          <w:rFonts w:cs="Arial"/>
          <w:rtl/>
        </w:rPr>
        <w:t>ל כוותיה במאי דאמר למדום</w:t>
      </w:r>
      <w:r w:rsidR="00E15F81">
        <w:rPr>
          <w:rFonts w:cs="Arial" w:hint="cs"/>
          <w:rtl/>
        </w:rPr>
        <w:t>,</w:t>
      </w:r>
      <w:r w:rsidR="00E15F81" w:rsidRPr="00F63421">
        <w:rPr>
          <w:rFonts w:cs="Arial"/>
          <w:rtl/>
        </w:rPr>
        <w:t xml:space="preserve"> דלטעמיה אזיל כדאמרינן בגמרא</w:t>
      </w:r>
      <w:r w:rsidR="00E15F81">
        <w:rPr>
          <w:rFonts w:cs="Arial" w:hint="cs"/>
          <w:rtl/>
        </w:rPr>
        <w:t>.</w:t>
      </w:r>
      <w:r w:rsidR="00E15F81" w:rsidRPr="00F63421">
        <w:rPr>
          <w:rFonts w:cs="Arial"/>
          <w:rtl/>
        </w:rPr>
        <w:t xml:space="preserve"> והרא"ש בתשובה (כלל כב סי' ח דרך י) כתב שיש מי שפסק כרבי אמי</w:t>
      </w:r>
      <w:r w:rsidR="00536E98">
        <w:rPr>
          <w:rFonts w:cs="Arial" w:hint="cs"/>
          <w:rtl/>
        </w:rPr>
        <w:t>,</w:t>
      </w:r>
      <w:r w:rsidR="00E15F81" w:rsidRPr="00F63421">
        <w:rPr>
          <w:rFonts w:cs="Arial"/>
          <w:rtl/>
        </w:rPr>
        <w:t xml:space="preserve"> ויש מי שפסק כרבי אסי</w:t>
      </w:r>
      <w:r w:rsidR="00536E98">
        <w:rPr>
          <w:rFonts w:cs="Arial" w:hint="cs"/>
          <w:rtl/>
        </w:rPr>
        <w:t>,</w:t>
      </w:r>
      <w:r w:rsidR="00E15F81" w:rsidRPr="00F63421">
        <w:rPr>
          <w:rFonts w:cs="Arial"/>
          <w:rtl/>
        </w:rPr>
        <w:t xml:space="preserve"> ולא הכריע ביניהם</w:t>
      </w:r>
      <w:r w:rsidR="00E15F81">
        <w:rPr>
          <w:rFonts w:cs="Arial" w:hint="cs"/>
          <w:rtl/>
        </w:rPr>
        <w:t>.</w:t>
      </w:r>
      <w:r w:rsidR="00E15F81" w:rsidRPr="00F63421">
        <w:rPr>
          <w:rFonts w:cs="Arial"/>
          <w:rtl/>
        </w:rPr>
        <w:t xml:space="preserve"> ומכל מקום כיון שהרמב"ם פסק בהדיא כמאן דאמר למדום </w:t>
      </w:r>
      <w:r w:rsidR="00536E98">
        <w:rPr>
          <w:rFonts w:cs="Arial" w:hint="cs"/>
          <w:rtl/>
        </w:rPr>
        <w:t xml:space="preserve">- </w:t>
      </w:r>
      <w:r w:rsidR="00E15F81" w:rsidRPr="00F63421">
        <w:rPr>
          <w:rFonts w:cs="Arial"/>
          <w:rtl/>
        </w:rPr>
        <w:t>הכי נקטינן</w:t>
      </w:r>
      <w:r w:rsidR="00E15F81">
        <w:rPr>
          <w:rFonts w:hint="cs"/>
          <w:rtl/>
        </w:rPr>
        <w:t xml:space="preserve">, </w:t>
      </w:r>
      <w:r w:rsidR="00E15F81" w:rsidRPr="00E15F81">
        <w:rPr>
          <w:rFonts w:hint="cs"/>
          <w:b/>
          <w:bCs/>
          <w:rtl/>
        </w:rPr>
        <w:t>ב"י</w:t>
      </w:r>
      <w:r w:rsidR="00E15F81">
        <w:rPr>
          <w:rFonts w:hint="cs"/>
          <w:rtl/>
        </w:rPr>
        <w:t>.</w:t>
      </w:r>
    </w:p>
  </w:footnote>
  <w:footnote w:id="1556">
    <w:p w14:paraId="4914F733" w14:textId="743477D4" w:rsidR="00077B97" w:rsidRDefault="00077B97" w:rsidP="00285819">
      <w:pPr>
        <w:pStyle w:val="a7"/>
        <w:rPr>
          <w:rtl/>
        </w:rPr>
      </w:pPr>
      <w:r>
        <w:rPr>
          <w:rStyle w:val="a9"/>
        </w:rPr>
        <w:footnoteRef/>
      </w:r>
      <w:r>
        <w:rPr>
          <w:rtl/>
        </w:rPr>
        <w:t xml:space="preserve"> </w:t>
      </w:r>
      <w:r>
        <w:rPr>
          <w:rFonts w:cs="Arial" w:hint="cs"/>
          <w:rtl/>
        </w:rPr>
        <w:t xml:space="preserve">המרדכי </w:t>
      </w:r>
      <w:r w:rsidRPr="00487EF5">
        <w:rPr>
          <w:rFonts w:cs="Arial"/>
          <w:rtl/>
        </w:rPr>
        <w:t>פסק בהדיא דאין חילוק בין אבנים לחריות</w:t>
      </w:r>
      <w:r>
        <w:rPr>
          <w:rFonts w:cs="Arial" w:hint="cs"/>
          <w:rtl/>
        </w:rPr>
        <w:t>,</w:t>
      </w:r>
      <w:r w:rsidRPr="00487EF5">
        <w:rPr>
          <w:rFonts w:cs="Arial"/>
          <w:rtl/>
        </w:rPr>
        <w:t xml:space="preserve"> ואדרבה כתב דיש אומרים דוקא בחריות של דקל פליגי משום דמזיזן כשיושב עליהן</w:t>
      </w:r>
      <w:r>
        <w:rPr>
          <w:rFonts w:cs="Arial" w:hint="cs"/>
          <w:rtl/>
        </w:rPr>
        <w:t>,</w:t>
      </w:r>
      <w:r w:rsidRPr="00487EF5">
        <w:rPr>
          <w:rFonts w:cs="Arial"/>
          <w:rtl/>
        </w:rPr>
        <w:t xml:space="preserve"> אבל אבנים שרי דאין מזיזן. ותמיהני שלא הביא בית יוסף דברי המרדכי</w:t>
      </w:r>
      <w:r>
        <w:rPr>
          <w:rFonts w:cs="Arial" w:hint="cs"/>
          <w:rtl/>
        </w:rPr>
        <w:t>.</w:t>
      </w:r>
      <w:r w:rsidRPr="00487EF5">
        <w:rPr>
          <w:rFonts w:cs="Arial"/>
          <w:rtl/>
        </w:rPr>
        <w:t xml:space="preserve"> וקצת משמע כן בהר"ן ס</w:t>
      </w:r>
      <w:r>
        <w:rPr>
          <w:rFonts w:cs="Arial" w:hint="cs"/>
          <w:rtl/>
        </w:rPr>
        <w:t>"</w:t>
      </w:r>
      <w:r w:rsidRPr="00487EF5">
        <w:rPr>
          <w:rFonts w:cs="Arial"/>
          <w:rtl/>
        </w:rPr>
        <w:t>פ כל כתבי (מו: ד"ה עשה) דמותר לישב על אבנים בשבת</w:t>
      </w:r>
      <w:r>
        <w:rPr>
          <w:rFonts w:cs="Arial" w:hint="cs"/>
          <w:rtl/>
        </w:rPr>
        <w:t>.</w:t>
      </w:r>
      <w:r w:rsidRPr="00487EF5">
        <w:rPr>
          <w:rFonts w:cs="Arial"/>
          <w:rtl/>
        </w:rPr>
        <w:t xml:space="preserve"> וגם המגיד משנה כתב </w:t>
      </w:r>
      <w:r>
        <w:rPr>
          <w:rFonts w:cs="Arial" w:hint="cs"/>
          <w:rtl/>
        </w:rPr>
        <w:t>(</w:t>
      </w:r>
      <w:r w:rsidRPr="00487EF5">
        <w:rPr>
          <w:rFonts w:cs="Arial"/>
          <w:rtl/>
        </w:rPr>
        <w:t>פכ"ה הכ"א) דדעת הרי"ף שאין לחלק ביניהם</w:t>
      </w:r>
      <w:r>
        <w:rPr>
          <w:rFonts w:cs="Arial" w:hint="cs"/>
          <w:rtl/>
        </w:rPr>
        <w:t>.</w:t>
      </w:r>
      <w:r w:rsidRPr="00487EF5">
        <w:rPr>
          <w:rFonts w:cs="Arial"/>
          <w:rtl/>
        </w:rPr>
        <w:t xml:space="preserve"> וכן יש לפרש דעת הרא"ש (סי' ח) דלא חילק ביניהם</w:t>
      </w:r>
      <w:r>
        <w:rPr>
          <w:rFonts w:cs="Arial" w:hint="cs"/>
          <w:rtl/>
        </w:rPr>
        <w:t>.</w:t>
      </w:r>
      <w:r w:rsidRPr="00487EF5">
        <w:rPr>
          <w:rFonts w:cs="Arial"/>
          <w:rtl/>
        </w:rPr>
        <w:t xml:space="preserve"> אלא שבית יוסף דחק עצמו לפרש דעת הרא"ש והרי"ף כדעת הרמב"ם</w:t>
      </w:r>
      <w:r>
        <w:rPr>
          <w:rFonts w:cs="Arial" w:hint="cs"/>
          <w:rtl/>
        </w:rPr>
        <w:t>, דרכ"מ (אות ח).</w:t>
      </w:r>
      <w:r w:rsidR="003C76BC">
        <w:rPr>
          <w:rFonts w:hint="cs"/>
          <w:rtl/>
        </w:rPr>
        <w:t xml:space="preserve"> </w:t>
      </w:r>
      <w:r w:rsidR="003C76BC" w:rsidRPr="003C76BC">
        <w:rPr>
          <w:rFonts w:hint="cs"/>
          <w:sz w:val="16"/>
          <w:szCs w:val="16"/>
          <w:rtl/>
        </w:rPr>
        <w:t>(וצל"ע על דברי הדרכ"מ, שהרי המרדכי דיבר רק על ישיבה לא על טלטול האבנים, ובישיבה כו"ע מודי דשרי, וכמו שיש לפרש את דברי הרמב"ם והשו"ע. ועוד שהמרדכי עצמו לא סבירא ליה כן בסי' תטז. ועוד שגם בהמשך דבריו פה מביא את דברי החולקים, ואם כן מהיכן נדע כיצד פסק)</w:t>
      </w:r>
      <w:r w:rsidR="003C76BC">
        <w:rPr>
          <w:rFonts w:hint="cs"/>
          <w:sz w:val="16"/>
          <w:szCs w:val="16"/>
          <w:rtl/>
        </w:rPr>
        <w:t>.</w:t>
      </w:r>
    </w:p>
  </w:footnote>
  <w:footnote w:id="1557">
    <w:p w14:paraId="57143C20" w14:textId="15FD1C95" w:rsidR="0014428B" w:rsidRDefault="0014428B" w:rsidP="00285819">
      <w:pPr>
        <w:pStyle w:val="a7"/>
      </w:pPr>
      <w:r>
        <w:rPr>
          <w:rStyle w:val="a9"/>
        </w:rPr>
        <w:footnoteRef/>
      </w:r>
      <w:r>
        <w:rPr>
          <w:rtl/>
        </w:rPr>
        <w:t xml:space="preserve"> </w:t>
      </w:r>
      <w:r w:rsidR="00295831" w:rsidRPr="00295831">
        <w:rPr>
          <w:rFonts w:cs="Arial"/>
          <w:rtl/>
        </w:rPr>
        <w:t>נ"ל ודאי היכא דאין מזיזן ודאי שרי לישב עליהן לכ</w:t>
      </w:r>
      <w:r w:rsidR="00295831">
        <w:rPr>
          <w:rFonts w:cs="Arial" w:hint="cs"/>
          <w:rtl/>
        </w:rPr>
        <w:t>ו</w:t>
      </w:r>
      <w:r w:rsidR="00295831" w:rsidRPr="00295831">
        <w:rPr>
          <w:rFonts w:cs="Arial"/>
          <w:rtl/>
        </w:rPr>
        <w:t>"ע</w:t>
      </w:r>
      <w:r w:rsidR="00295831">
        <w:rPr>
          <w:rFonts w:cs="Arial" w:hint="cs"/>
          <w:rtl/>
        </w:rPr>
        <w:t>,</w:t>
      </w:r>
      <w:r w:rsidR="00295831" w:rsidRPr="00295831">
        <w:rPr>
          <w:rFonts w:cs="Arial"/>
          <w:rtl/>
        </w:rPr>
        <w:t xml:space="preserve"> דמוקצה אינו אסור בנגיעה</w:t>
      </w:r>
      <w:r w:rsidR="00295831">
        <w:rPr>
          <w:rFonts w:cs="Arial" w:hint="cs"/>
          <w:rtl/>
        </w:rPr>
        <w:t>,</w:t>
      </w:r>
      <w:r w:rsidR="00295831" w:rsidRPr="00295831">
        <w:rPr>
          <w:rFonts w:cs="Arial"/>
          <w:rtl/>
        </w:rPr>
        <w:t xml:space="preserve"> וכמ"ש הר"ן בפשיטות</w:t>
      </w:r>
      <w:r w:rsidR="00295831">
        <w:rPr>
          <w:rFonts w:cs="Arial" w:hint="cs"/>
          <w:rtl/>
        </w:rPr>
        <w:t>.</w:t>
      </w:r>
      <w:r w:rsidR="00295831" w:rsidRPr="00295831">
        <w:rPr>
          <w:rFonts w:cs="Arial"/>
          <w:rtl/>
        </w:rPr>
        <w:t xml:space="preserve"> וכ"כ רש"י </w:t>
      </w:r>
      <w:r w:rsidR="00295831">
        <w:rPr>
          <w:rFonts w:cs="Arial" w:hint="cs"/>
          <w:rtl/>
        </w:rPr>
        <w:t>(נ.)</w:t>
      </w:r>
      <w:r w:rsidR="00295831" w:rsidRPr="00295831">
        <w:rPr>
          <w:rFonts w:cs="Arial"/>
          <w:rtl/>
        </w:rPr>
        <w:t xml:space="preserve"> וז"ל חריות וכו' צריך לקשר אם לא קשר אסור לטלטלן למחר</w:t>
      </w:r>
      <w:r w:rsidR="00295831">
        <w:rPr>
          <w:rFonts w:cs="Arial" w:hint="cs"/>
          <w:rtl/>
        </w:rPr>
        <w:t>.</w:t>
      </w:r>
      <w:r w:rsidR="00295831" w:rsidRPr="00295831">
        <w:rPr>
          <w:rFonts w:cs="Arial"/>
          <w:rtl/>
        </w:rPr>
        <w:t xml:space="preserve"> וכ"כ דף קכ"ה סדרו אבנים כדי שלא נצטרך ליגע בהם למחר לפי שאין הזמנה מועיל לאבן לעשות כלי עכ"ל</w:t>
      </w:r>
      <w:r w:rsidR="00295831">
        <w:rPr>
          <w:rFonts w:cs="Arial" w:hint="cs"/>
          <w:rtl/>
        </w:rPr>
        <w:t>.</w:t>
      </w:r>
      <w:r w:rsidR="00295831" w:rsidRPr="00295831">
        <w:rPr>
          <w:rFonts w:cs="Arial"/>
          <w:rtl/>
        </w:rPr>
        <w:t xml:space="preserve"> הרי דמותר לישב עליהם אע</w:t>
      </w:r>
      <w:r w:rsidR="00295831">
        <w:rPr>
          <w:rFonts w:cs="Arial" w:hint="cs"/>
          <w:rtl/>
        </w:rPr>
        <w:t>"</w:t>
      </w:r>
      <w:r w:rsidR="00295831" w:rsidRPr="00295831">
        <w:rPr>
          <w:rFonts w:cs="Arial"/>
          <w:rtl/>
        </w:rPr>
        <w:t>פ שהם מוקצים</w:t>
      </w:r>
      <w:r w:rsidR="00295831">
        <w:rPr>
          <w:rFonts w:cs="Arial" w:hint="cs"/>
          <w:rtl/>
        </w:rPr>
        <w:t>,</w:t>
      </w:r>
      <w:r w:rsidR="00295831" w:rsidRPr="00295831">
        <w:rPr>
          <w:rFonts w:cs="Arial"/>
          <w:rtl/>
        </w:rPr>
        <w:t xml:space="preserve"> אלא דבחריות מסתמא כשיושב עליהם מזיזן ולכן אסור</w:t>
      </w:r>
      <w:r w:rsidR="00295831">
        <w:rPr>
          <w:rFonts w:cs="Arial" w:hint="cs"/>
          <w:rtl/>
        </w:rPr>
        <w:t>,</w:t>
      </w:r>
      <w:r w:rsidR="00295831" w:rsidRPr="00295831">
        <w:rPr>
          <w:rFonts w:cs="Arial"/>
          <w:rtl/>
        </w:rPr>
        <w:t xml:space="preserve"> אבל אבנים כשהן כבדים מותר לישב עליהם לכ</w:t>
      </w:r>
      <w:r w:rsidR="00295831">
        <w:rPr>
          <w:rFonts w:cs="Arial" w:hint="cs"/>
          <w:rtl/>
        </w:rPr>
        <w:t>ו</w:t>
      </w:r>
      <w:r w:rsidR="00295831" w:rsidRPr="00295831">
        <w:rPr>
          <w:rFonts w:cs="Arial"/>
          <w:rtl/>
        </w:rPr>
        <w:t>"ע</w:t>
      </w:r>
      <w:r w:rsidR="00295831">
        <w:rPr>
          <w:rFonts w:cs="Arial" w:hint="cs"/>
          <w:rtl/>
        </w:rPr>
        <w:t>.</w:t>
      </w:r>
      <w:r w:rsidR="00295831" w:rsidRPr="00295831">
        <w:rPr>
          <w:rFonts w:cs="Arial"/>
          <w:rtl/>
        </w:rPr>
        <w:t xml:space="preserve"> והרמב"ם מיירי באבנים שאין גדולים כ"כ</w:t>
      </w:r>
      <w:r w:rsidR="00295831">
        <w:rPr>
          <w:rFonts w:cs="Arial" w:hint="cs"/>
          <w:rtl/>
        </w:rPr>
        <w:t>,</w:t>
      </w:r>
      <w:r w:rsidR="00295831" w:rsidRPr="00295831">
        <w:rPr>
          <w:rFonts w:cs="Arial"/>
          <w:rtl/>
        </w:rPr>
        <w:t xml:space="preserve"> וכשיושב עליהם מזיזן</w:t>
      </w:r>
      <w:r w:rsidR="00295831">
        <w:rPr>
          <w:rFonts w:cs="Arial" w:hint="cs"/>
          <w:rtl/>
        </w:rPr>
        <w:t>,</w:t>
      </w:r>
      <w:r w:rsidR="00295831" w:rsidRPr="00295831">
        <w:rPr>
          <w:rFonts w:cs="Arial"/>
          <w:rtl/>
        </w:rPr>
        <w:t xml:space="preserve"> ולכן אסור אא"כ עשה בהן מעשה מאתמול</w:t>
      </w:r>
      <w:r w:rsidR="00295831">
        <w:rPr>
          <w:rFonts w:cs="Arial" w:hint="cs"/>
          <w:rtl/>
        </w:rPr>
        <w:t>,</w:t>
      </w:r>
      <w:r w:rsidR="00295831" w:rsidRPr="00295831">
        <w:rPr>
          <w:rFonts w:cs="Arial"/>
          <w:rtl/>
        </w:rPr>
        <w:t xml:space="preserve"> וכמ"ש המ"מ וס"ל דכשסדרום הוי מעשה</w:t>
      </w:r>
      <w:r w:rsidR="00295831">
        <w:rPr>
          <w:rFonts w:cs="Arial" w:hint="cs"/>
          <w:rtl/>
        </w:rPr>
        <w:t>...</w:t>
      </w:r>
      <w:r w:rsidR="00295831" w:rsidRPr="00295831">
        <w:rPr>
          <w:rFonts w:cs="Arial"/>
          <w:rtl/>
        </w:rPr>
        <w:t xml:space="preserve"> ומיהו צ"ע דבסי' שי"א ס"ח אמרי' דמנענע הקש בגופו ומותר לשכב עליו</w:t>
      </w:r>
      <w:r w:rsidR="00295831">
        <w:rPr>
          <w:rFonts w:cs="Arial" w:hint="cs"/>
          <w:rtl/>
        </w:rPr>
        <w:t>,</w:t>
      </w:r>
      <w:r w:rsidR="00295831" w:rsidRPr="00295831">
        <w:rPr>
          <w:rFonts w:cs="Arial"/>
          <w:rtl/>
        </w:rPr>
        <w:t xml:space="preserve"> ומכ"ש לישב עליו</w:t>
      </w:r>
      <w:r w:rsidR="00295831">
        <w:rPr>
          <w:rFonts w:cs="Arial" w:hint="cs"/>
          <w:rtl/>
        </w:rPr>
        <w:t>,</w:t>
      </w:r>
      <w:r w:rsidR="00295831" w:rsidRPr="00295831">
        <w:rPr>
          <w:rFonts w:cs="Arial"/>
          <w:rtl/>
        </w:rPr>
        <w:t xml:space="preserve"> וצ"ע</w:t>
      </w:r>
      <w:r w:rsidR="00295831">
        <w:rPr>
          <w:rFonts w:cs="Arial" w:hint="cs"/>
          <w:rtl/>
        </w:rPr>
        <w:t>,</w:t>
      </w:r>
      <w:r w:rsidR="00295831" w:rsidRPr="00295831">
        <w:rPr>
          <w:rFonts w:cs="Arial"/>
          <w:rtl/>
        </w:rPr>
        <w:t xml:space="preserve"> וכ"מ בעירובין </w:t>
      </w:r>
      <w:r w:rsidR="00295831">
        <w:rPr>
          <w:rFonts w:cs="Arial" w:hint="cs"/>
          <w:rtl/>
        </w:rPr>
        <w:t>(</w:t>
      </w:r>
      <w:r w:rsidR="00295831" w:rsidRPr="00295831">
        <w:rPr>
          <w:rFonts w:cs="Arial"/>
          <w:rtl/>
        </w:rPr>
        <w:t>לז</w:t>
      </w:r>
      <w:r w:rsidR="00295831">
        <w:rPr>
          <w:rFonts w:cs="Arial" w:hint="cs"/>
          <w:rtl/>
        </w:rPr>
        <w:t>:).</w:t>
      </w:r>
      <w:r w:rsidR="00295831" w:rsidRPr="00295831">
        <w:rPr>
          <w:rFonts w:cs="Arial"/>
          <w:rtl/>
        </w:rPr>
        <w:t xml:space="preserve"> לכן נ"ל דגם דעת הרמב"ם שצריך לסדרם היום כדי שלא יצטרך ליגע בהן למחר כדעת רש"י אבל מותר לישב עליה</w:t>
      </w:r>
      <w:r w:rsidR="00295831">
        <w:rPr>
          <w:rFonts w:cs="Arial" w:hint="cs"/>
          <w:rtl/>
        </w:rPr>
        <w:t>ם</w:t>
      </w:r>
      <w:r w:rsidR="00295831" w:rsidRPr="00295831">
        <w:rPr>
          <w:rFonts w:cs="Arial"/>
          <w:rtl/>
        </w:rPr>
        <w:t xml:space="preserve"> בלא סידור</w:t>
      </w:r>
      <w:r w:rsidR="00295831">
        <w:rPr>
          <w:rFonts w:cs="Arial" w:hint="cs"/>
          <w:rtl/>
        </w:rPr>
        <w:t>, מג"א (סקמ"א).</w:t>
      </w:r>
      <w:r w:rsidR="00295831" w:rsidRPr="00295831">
        <w:rPr>
          <w:rFonts w:cs="Arial"/>
          <w:rtl/>
        </w:rPr>
        <w:t xml:space="preserve"> </w:t>
      </w:r>
      <w:r w:rsidRPr="0014428B">
        <w:rPr>
          <w:rFonts w:cs="Arial"/>
          <w:rtl/>
        </w:rPr>
        <w:t>פירש המ"א דהיינו לטלטלם בשבת כדי לישב עליהם אבל ישיבה לחודא שרי בכל ענין וכנ"ל</w:t>
      </w:r>
      <w:r>
        <w:rPr>
          <w:rFonts w:cs="Arial" w:hint="cs"/>
          <w:rtl/>
        </w:rPr>
        <w:t xml:space="preserve">, </w:t>
      </w:r>
      <w:r>
        <w:rPr>
          <w:rFonts w:hint="cs"/>
          <w:rtl/>
        </w:rPr>
        <w:t>משנ"ב (סקפ"ח)</w:t>
      </w:r>
      <w:r>
        <w:rPr>
          <w:rFonts w:cs="Arial" w:hint="cs"/>
          <w:rtl/>
        </w:rPr>
        <w:t>.</w:t>
      </w:r>
    </w:p>
  </w:footnote>
  <w:footnote w:id="1558">
    <w:p w14:paraId="0380EAA5" w14:textId="3EE85EF5" w:rsidR="0014428B" w:rsidRDefault="0014428B" w:rsidP="00285819">
      <w:pPr>
        <w:pStyle w:val="a7"/>
      </w:pPr>
      <w:r>
        <w:rPr>
          <w:rStyle w:val="a9"/>
        </w:rPr>
        <w:footnoteRef/>
      </w:r>
      <w:r>
        <w:rPr>
          <w:rtl/>
        </w:rPr>
        <w:t xml:space="preserve"> </w:t>
      </w:r>
      <w:r w:rsidRPr="0014428B">
        <w:rPr>
          <w:rFonts w:cs="Arial"/>
          <w:rtl/>
        </w:rPr>
        <w:t>מלשון המחבר משמע דבזה שסדרם מבעוד יום כדי לישב עליהם הוא בכלל מעשה גמורה ומותר שוב לטלטלם למחר אפילו להדיא</w:t>
      </w:r>
      <w:r w:rsidR="00766F8D">
        <w:rPr>
          <w:rFonts w:cs="Arial" w:hint="cs"/>
          <w:sz w:val="16"/>
          <w:szCs w:val="16"/>
          <w:rtl/>
        </w:rPr>
        <w:t xml:space="preserve"> {וכן מוכח בסי' שיב ס"י}</w:t>
      </w:r>
      <w:r>
        <w:rPr>
          <w:rFonts w:cs="Arial" w:hint="cs"/>
          <w:rtl/>
        </w:rPr>
        <w:t>.</w:t>
      </w:r>
      <w:r w:rsidRPr="0014428B">
        <w:rPr>
          <w:rFonts w:cs="Arial"/>
          <w:rtl/>
        </w:rPr>
        <w:t xml:space="preserve"> אבל המ"א מצדד כשיטת רש"י דהסידור לא מהני אלא כדי שלא יצטרך ליגע בהם למחר</w:t>
      </w:r>
      <w:r>
        <w:rPr>
          <w:rFonts w:cs="Arial" w:hint="cs"/>
          <w:rtl/>
        </w:rPr>
        <w:t xml:space="preserve">, </w:t>
      </w:r>
      <w:r>
        <w:rPr>
          <w:rFonts w:hint="cs"/>
          <w:rtl/>
        </w:rPr>
        <w:t>משנ"ב (סקפ"ט)</w:t>
      </w:r>
      <w:r>
        <w:rPr>
          <w:rFonts w:cs="Arial" w:hint="cs"/>
          <w:rtl/>
        </w:rPr>
        <w:t>.</w:t>
      </w:r>
      <w:r>
        <w:rPr>
          <w:rFonts w:hint="cs"/>
          <w:rtl/>
        </w:rPr>
        <w:t xml:space="preserve"> </w:t>
      </w:r>
    </w:p>
  </w:footnote>
  <w:footnote w:id="1559">
    <w:p w14:paraId="6F67DF9C" w14:textId="3E785E39" w:rsidR="0014428B" w:rsidRDefault="0014428B" w:rsidP="00285819">
      <w:pPr>
        <w:pStyle w:val="a7"/>
        <w:rPr>
          <w:rtl/>
        </w:rPr>
      </w:pPr>
      <w:r>
        <w:rPr>
          <w:rStyle w:val="a9"/>
        </w:rPr>
        <w:footnoteRef/>
      </w:r>
      <w:r>
        <w:rPr>
          <w:rtl/>
        </w:rPr>
        <w:t xml:space="preserve"> </w:t>
      </w:r>
      <w:r w:rsidRPr="0014428B">
        <w:rPr>
          <w:rFonts w:cs="Arial"/>
          <w:rtl/>
        </w:rPr>
        <w:t>עיין במ"א שהשיג על הרמ"א וסבירא ליה דאבן חמור מחריות כמו שכתב בסעיף כ"ב דבעינן דוקא יחוד לעולם וכן משמע דעת ש"א</w:t>
      </w:r>
      <w:r>
        <w:rPr>
          <w:rFonts w:hint="cs"/>
          <w:rtl/>
        </w:rPr>
        <w:t>, משנ"ב (סק"צ).</w:t>
      </w:r>
    </w:p>
  </w:footnote>
  <w:footnote w:id="1560">
    <w:p w14:paraId="6269CEF9" w14:textId="118FFADD" w:rsidR="00CC32BB" w:rsidRDefault="00CC32BB" w:rsidP="00285819">
      <w:pPr>
        <w:pStyle w:val="a7"/>
        <w:rPr>
          <w:rtl/>
        </w:rPr>
      </w:pPr>
      <w:r>
        <w:rPr>
          <w:rStyle w:val="a9"/>
        </w:rPr>
        <w:footnoteRef/>
      </w:r>
      <w:r>
        <w:rPr>
          <w:rtl/>
        </w:rPr>
        <w:t xml:space="preserve"> </w:t>
      </w:r>
      <w:r>
        <w:rPr>
          <w:rFonts w:cs="Arial" w:hint="cs"/>
          <w:rtl/>
        </w:rPr>
        <w:t xml:space="preserve">היינו </w:t>
      </w:r>
      <w:r w:rsidRPr="00CC32BB">
        <w:rPr>
          <w:rFonts w:cs="Arial"/>
          <w:rtl/>
        </w:rPr>
        <w:t>דאם רוצה להשתמש בו צריך לעשות אותו המעשה</w:t>
      </w:r>
      <w:r>
        <w:rPr>
          <w:rFonts w:cs="Arial" w:hint="cs"/>
          <w:rtl/>
        </w:rPr>
        <w:t xml:space="preserve"> כדי שיוכל להשתמש בו.</w:t>
      </w:r>
      <w:r w:rsidRPr="00CC32BB">
        <w:rPr>
          <w:rFonts w:cs="Arial"/>
          <w:rtl/>
        </w:rPr>
        <w:t xml:space="preserve"> ו</w:t>
      </w:r>
      <w:r>
        <w:rPr>
          <w:rFonts w:cs="Arial" w:hint="cs"/>
          <w:rtl/>
        </w:rPr>
        <w:t xml:space="preserve">אם </w:t>
      </w:r>
      <w:r w:rsidRPr="00CC32BB">
        <w:rPr>
          <w:rFonts w:cs="Arial"/>
          <w:rtl/>
        </w:rPr>
        <w:t>הוא לא עשה חיישינן דלמא לא מקיימא מחשבתו</w:t>
      </w:r>
      <w:r>
        <w:rPr>
          <w:rFonts w:cs="Arial" w:hint="cs"/>
          <w:rtl/>
        </w:rPr>
        <w:t>.</w:t>
      </w:r>
    </w:p>
  </w:footnote>
  <w:footnote w:id="1561">
    <w:p w14:paraId="3881ABD0" w14:textId="1BFE784F" w:rsidR="00C215A4" w:rsidRDefault="00C215A4" w:rsidP="00285819">
      <w:pPr>
        <w:pStyle w:val="a7"/>
      </w:pPr>
      <w:r>
        <w:rPr>
          <w:rStyle w:val="a9"/>
        </w:rPr>
        <w:footnoteRef/>
      </w:r>
      <w:r>
        <w:rPr>
          <w:rtl/>
        </w:rPr>
        <w:t xml:space="preserve"> </w:t>
      </w:r>
      <w:r w:rsidRPr="00F63421">
        <w:rPr>
          <w:rFonts w:cs="Arial"/>
          <w:rtl/>
        </w:rPr>
        <w:t>ומיהו להרא"ש (פ"ד סי' ח) דסבר דבפקורין וציפה נמי סגי בחשב</w:t>
      </w:r>
      <w:r w:rsidR="00EB0522">
        <w:rPr>
          <w:rFonts w:cs="Arial" w:hint="cs"/>
          <w:rtl/>
        </w:rPr>
        <w:t>,</w:t>
      </w:r>
      <w:r w:rsidRPr="00F63421">
        <w:rPr>
          <w:rFonts w:cs="Arial"/>
          <w:rtl/>
        </w:rPr>
        <w:t xml:space="preserve"> אפשר דהוא הדין לאבן</w:t>
      </w:r>
      <w:r w:rsidR="00EB0522">
        <w:rPr>
          <w:rFonts w:cs="Arial" w:hint="cs"/>
          <w:rtl/>
        </w:rPr>
        <w:t>.</w:t>
      </w:r>
      <w:r w:rsidR="00EB0522" w:rsidRPr="00EB0522">
        <w:rPr>
          <w:rFonts w:cs="Arial"/>
          <w:rtl/>
        </w:rPr>
        <w:t xml:space="preserve"> </w:t>
      </w:r>
      <w:r w:rsidR="00EB0522" w:rsidRPr="00F63421">
        <w:rPr>
          <w:rFonts w:cs="Arial"/>
          <w:rtl/>
        </w:rPr>
        <w:t>ומכל מקום משמע דצריך לעשות בה שום מעשה כדי לטלטלה למחר</w:t>
      </w:r>
      <w:r w:rsidR="00EB0522">
        <w:rPr>
          <w:rFonts w:cs="Arial" w:hint="cs"/>
          <w:rtl/>
        </w:rPr>
        <w:t>,</w:t>
      </w:r>
      <w:r w:rsidR="00EB0522" w:rsidRPr="00F63421">
        <w:rPr>
          <w:rFonts w:cs="Arial"/>
          <w:rtl/>
        </w:rPr>
        <w:t xml:space="preserve"> כדאמרינן גבי נדבך של אבנים צאו ושפשפום</w:t>
      </w:r>
      <w:r w:rsidR="00EB0522">
        <w:rPr>
          <w:rFonts w:cs="Arial" w:hint="cs"/>
          <w:rtl/>
        </w:rPr>
        <w:t>,</w:t>
      </w:r>
      <w:r w:rsidR="00EB0522" w:rsidRPr="00F63421">
        <w:rPr>
          <w:rFonts w:cs="Arial"/>
          <w:rtl/>
        </w:rPr>
        <w:t xml:space="preserve"> וכדפירש רש"י שם</w:t>
      </w:r>
      <w:r w:rsidR="00EB0522">
        <w:rPr>
          <w:rFonts w:cs="Arial" w:hint="cs"/>
          <w:rtl/>
        </w:rPr>
        <w:t>.</w:t>
      </w:r>
      <w:r w:rsidR="00EB0522" w:rsidRPr="00F63421">
        <w:rPr>
          <w:rFonts w:cs="Arial"/>
          <w:rtl/>
        </w:rPr>
        <w:t xml:space="preserve"> וכן כתב המרדכי </w:t>
      </w:r>
      <w:r w:rsidR="009A759C">
        <w:rPr>
          <w:rFonts w:cs="Arial" w:hint="cs"/>
          <w:rtl/>
        </w:rPr>
        <w:t>(ס"פ</w:t>
      </w:r>
      <w:r w:rsidR="00EB0522" w:rsidRPr="00F63421">
        <w:rPr>
          <w:rFonts w:cs="Arial"/>
          <w:rtl/>
        </w:rPr>
        <w:t xml:space="preserve"> כל הכלים סי' תטז) שהרוצה להשתמש באבן או בבקעת בשבת לסגור בהם הדלת או להכות בהם הברזא צריך שיעשה שום מעשה של תיקון מבעוד יום</w:t>
      </w:r>
      <w:r w:rsidR="00EB0522">
        <w:rPr>
          <w:rFonts w:cs="Arial" w:hint="cs"/>
          <w:rtl/>
        </w:rPr>
        <w:t>,</w:t>
      </w:r>
      <w:r w:rsidR="00EB0522" w:rsidRPr="00F63421">
        <w:rPr>
          <w:rFonts w:cs="Arial"/>
          <w:rtl/>
        </w:rPr>
        <w:t xml:space="preserve"> ואם לאו אסור</w:t>
      </w:r>
      <w:r w:rsidR="00EB0522">
        <w:rPr>
          <w:rFonts w:cs="Arial" w:hint="cs"/>
          <w:rtl/>
        </w:rPr>
        <w:t>.</w:t>
      </w:r>
      <w:r w:rsidR="00EB0522" w:rsidRPr="00F63421">
        <w:rPr>
          <w:rFonts w:cs="Arial"/>
          <w:rtl/>
        </w:rPr>
        <w:t xml:space="preserve"> וכן כתב ר</w:t>
      </w:r>
      <w:r w:rsidR="00EB0522">
        <w:rPr>
          <w:rFonts w:cs="Arial" w:hint="cs"/>
          <w:rtl/>
        </w:rPr>
        <w:t>י"ו</w:t>
      </w:r>
      <w:r w:rsidR="00EB0522" w:rsidRPr="00F63421">
        <w:rPr>
          <w:rFonts w:cs="Arial"/>
          <w:rtl/>
        </w:rPr>
        <w:t xml:space="preserve"> (שם ע"ג) דאבן שעל פי חבית נעשה בסיס לדבר האסור</w:t>
      </w:r>
      <w:r w:rsidR="00EB0522">
        <w:rPr>
          <w:rFonts w:cs="Arial" w:hint="cs"/>
          <w:rtl/>
        </w:rPr>
        <w:t>,</w:t>
      </w:r>
      <w:r w:rsidR="00EB0522" w:rsidRPr="00F63421">
        <w:rPr>
          <w:rFonts w:cs="Arial"/>
          <w:rtl/>
        </w:rPr>
        <w:t xml:space="preserve"> ולא דמי לחריות של דקל דמותר לישב עליהם ואין צריך לקשור</w:t>
      </w:r>
      <w:r w:rsidR="00EB0522">
        <w:rPr>
          <w:rFonts w:cs="Arial" w:hint="cs"/>
          <w:rtl/>
        </w:rPr>
        <w:t>,</w:t>
      </w:r>
      <w:r w:rsidR="00EB0522" w:rsidRPr="00F63421">
        <w:rPr>
          <w:rFonts w:cs="Arial"/>
          <w:rtl/>
        </w:rPr>
        <w:t xml:space="preserve"> דאבן שאני דצריך מעשה הניכר מערב שבת עכ"ל</w:t>
      </w:r>
      <w:r w:rsidR="00EB0522">
        <w:rPr>
          <w:rFonts w:cs="Arial" w:hint="cs"/>
          <w:rtl/>
        </w:rPr>
        <w:t>,</w:t>
      </w:r>
      <w:r>
        <w:rPr>
          <w:rFonts w:cs="Arial" w:hint="cs"/>
          <w:rtl/>
        </w:rPr>
        <w:t xml:space="preserve"> </w:t>
      </w:r>
      <w:r w:rsidRPr="00EB0522">
        <w:rPr>
          <w:rFonts w:cs="Arial" w:hint="cs"/>
          <w:b/>
          <w:bCs/>
          <w:rtl/>
        </w:rPr>
        <w:t>ב"י</w:t>
      </w:r>
      <w:r>
        <w:rPr>
          <w:rFonts w:cs="Arial" w:hint="cs"/>
          <w:rtl/>
        </w:rPr>
        <w:t>.</w:t>
      </w:r>
      <w:r w:rsidR="00EB0522" w:rsidRPr="00EB0522">
        <w:rPr>
          <w:rFonts w:cs="Arial"/>
          <w:rtl/>
        </w:rPr>
        <w:t xml:space="preserve"> </w:t>
      </w:r>
      <w:r w:rsidR="00EB0522" w:rsidRPr="000E65AE">
        <w:rPr>
          <w:rFonts w:cs="Arial"/>
          <w:rtl/>
        </w:rPr>
        <w:t>ולעיל סימן רנ"ט משמע מדברי הטור דביחוד סגי</w:t>
      </w:r>
      <w:r w:rsidR="00EB0522">
        <w:rPr>
          <w:rFonts w:hint="cs"/>
          <w:rtl/>
        </w:rPr>
        <w:t xml:space="preserve">, </w:t>
      </w:r>
      <w:r w:rsidR="00EB0522" w:rsidRPr="00EB0522">
        <w:rPr>
          <w:rFonts w:hint="cs"/>
          <w:b/>
          <w:bCs/>
          <w:rtl/>
        </w:rPr>
        <w:t>דרכ"מ</w:t>
      </w:r>
      <w:r w:rsidR="00EB0522">
        <w:rPr>
          <w:rFonts w:hint="cs"/>
          <w:rtl/>
        </w:rPr>
        <w:t xml:space="preserve"> </w:t>
      </w:r>
      <w:r w:rsidR="00EB0522" w:rsidRPr="000E65AE">
        <w:rPr>
          <w:rFonts w:cs="Arial"/>
          <w:rtl/>
        </w:rPr>
        <w:t>(</w:t>
      </w:r>
      <w:r w:rsidR="00EB0522">
        <w:rPr>
          <w:rFonts w:cs="Arial" w:hint="cs"/>
          <w:rtl/>
        </w:rPr>
        <w:t xml:space="preserve">אות </w:t>
      </w:r>
      <w:r w:rsidR="00EB0522" w:rsidRPr="000E65AE">
        <w:rPr>
          <w:rFonts w:cs="Arial"/>
          <w:rtl/>
        </w:rPr>
        <w:t>ח*)</w:t>
      </w:r>
      <w:r w:rsidR="00EB0522">
        <w:rPr>
          <w:rFonts w:cs="Arial" w:hint="cs"/>
          <w:rtl/>
        </w:rPr>
        <w:t>.</w:t>
      </w:r>
      <w:r w:rsidR="00EE0F7D" w:rsidRPr="00EE0F7D">
        <w:rPr>
          <w:rFonts w:hint="cs"/>
          <w:color w:val="00B0F0"/>
          <w:rtl/>
        </w:rPr>
        <w:t xml:space="preserve"> (וכ"כ בהג"ה)</w:t>
      </w:r>
    </w:p>
  </w:footnote>
  <w:footnote w:id="1562">
    <w:p w14:paraId="4F0995E3" w14:textId="65CE6D0E" w:rsidR="00EE0F7D" w:rsidRDefault="00EE0F7D" w:rsidP="00285819">
      <w:pPr>
        <w:pStyle w:val="a7"/>
      </w:pPr>
      <w:r>
        <w:rPr>
          <w:rStyle w:val="a9"/>
        </w:rPr>
        <w:footnoteRef/>
      </w:r>
      <w:r>
        <w:rPr>
          <w:rtl/>
        </w:rPr>
        <w:t xml:space="preserve"> </w:t>
      </w:r>
      <w:r w:rsidRPr="00C215A4">
        <w:rPr>
          <w:rFonts w:cs="Arial"/>
          <w:rtl/>
        </w:rPr>
        <w:t xml:space="preserve">וכדאמר </w:t>
      </w:r>
      <w:r w:rsidRPr="00C215A4">
        <w:rPr>
          <w:rFonts w:cs="Arial" w:hint="cs"/>
          <w:rtl/>
        </w:rPr>
        <w:t>(</w:t>
      </w:r>
      <w:r w:rsidRPr="00C215A4">
        <w:rPr>
          <w:rFonts w:cs="Arial"/>
          <w:rtl/>
        </w:rPr>
        <w:t>שבת נ</w:t>
      </w:r>
      <w:r w:rsidRPr="00C215A4">
        <w:rPr>
          <w:rFonts w:cs="Arial" w:hint="cs"/>
          <w:rtl/>
        </w:rPr>
        <w:t>.</w:t>
      </w:r>
      <w:r w:rsidRPr="00C215A4">
        <w:rPr>
          <w:rFonts w:cs="Arial"/>
          <w:rtl/>
        </w:rPr>
        <w:t>) גבי גיזי צמר ואין מטלטלין אותן</w:t>
      </w:r>
      <w:r w:rsidRPr="00C215A4">
        <w:rPr>
          <w:rFonts w:cs="Arial" w:hint="cs"/>
          <w:rtl/>
        </w:rPr>
        <w:t>,</w:t>
      </w:r>
      <w:r w:rsidRPr="00C215A4">
        <w:rPr>
          <w:rFonts w:cs="Arial"/>
          <w:rtl/>
        </w:rPr>
        <w:t xml:space="preserve"> ואמר רבא לא שנו אלא שלא טמן בהם</w:t>
      </w:r>
      <w:r w:rsidRPr="00C215A4">
        <w:rPr>
          <w:rFonts w:cs="Arial" w:hint="cs"/>
          <w:rtl/>
        </w:rPr>
        <w:t>,</w:t>
      </w:r>
      <w:r w:rsidRPr="00C215A4">
        <w:rPr>
          <w:rFonts w:cs="Arial"/>
          <w:rtl/>
        </w:rPr>
        <w:t xml:space="preserve"> אבל טמן בהם מטלטלין אותן. ואיתביה ההוא מרבנן גיזי צמר ואין מטלטלין אותן</w:t>
      </w:r>
      <w:r>
        <w:rPr>
          <w:rFonts w:cs="Arial" w:hint="cs"/>
          <w:rtl/>
        </w:rPr>
        <w:t>.</w:t>
      </w:r>
      <w:r w:rsidRPr="00C215A4">
        <w:rPr>
          <w:rFonts w:cs="Arial"/>
          <w:rtl/>
        </w:rPr>
        <w:t xml:space="preserve"> והדר ביה ואמר לא שנו אלא שלא יחדן להטמנה</w:t>
      </w:r>
      <w:r>
        <w:rPr>
          <w:rFonts w:cs="Arial" w:hint="cs"/>
          <w:rtl/>
        </w:rPr>
        <w:t>,</w:t>
      </w:r>
      <w:r w:rsidRPr="00C215A4">
        <w:rPr>
          <w:rFonts w:cs="Arial"/>
          <w:rtl/>
        </w:rPr>
        <w:t xml:space="preserve"> אבל יחדן להטמנה מטלטלין. אלמא אע</w:t>
      </w:r>
      <w:r>
        <w:rPr>
          <w:rFonts w:cs="Arial" w:hint="cs"/>
          <w:rtl/>
        </w:rPr>
        <w:t>"</w:t>
      </w:r>
      <w:r w:rsidRPr="00C215A4">
        <w:rPr>
          <w:rFonts w:cs="Arial"/>
          <w:rtl/>
        </w:rPr>
        <w:t>פ שטמן בהם אין זה יחוד המתיר עד שיחדנו להטמנה לשבתות ולא לשבת זו בלבד</w:t>
      </w:r>
      <w:r>
        <w:rPr>
          <w:rFonts w:cs="Arial" w:hint="cs"/>
          <w:rtl/>
        </w:rPr>
        <w:t>,</w:t>
      </w:r>
      <w:r w:rsidRPr="00C215A4">
        <w:rPr>
          <w:rFonts w:cs="Arial"/>
          <w:rtl/>
        </w:rPr>
        <w:t xml:space="preserve"> וכקופת עפר </w:t>
      </w:r>
      <w:r>
        <w:rPr>
          <w:rFonts w:cs="Arial" w:hint="cs"/>
          <w:rtl/>
        </w:rPr>
        <w:t xml:space="preserve">(סז.) </w:t>
      </w:r>
      <w:r w:rsidRPr="00C215A4">
        <w:rPr>
          <w:rFonts w:cs="Arial"/>
          <w:rtl/>
        </w:rPr>
        <w:t>שמיחד לה מקום להיות מוכנת לצרכיו. ובפרק נוטל (קלט</w:t>
      </w:r>
      <w:r w:rsidRPr="00C215A4">
        <w:rPr>
          <w:rFonts w:cs="Arial" w:hint="cs"/>
          <w:rtl/>
        </w:rPr>
        <w:t>.</w:t>
      </w:r>
      <w:r>
        <w:rPr>
          <w:rFonts w:cs="Arial" w:hint="cs"/>
          <w:rtl/>
        </w:rPr>
        <w:t>, בציוני הב"י קמב:</w:t>
      </w:r>
      <w:r w:rsidRPr="00C215A4">
        <w:rPr>
          <w:rFonts w:cs="Arial"/>
          <w:rtl/>
        </w:rPr>
        <w:t>) אבן שעל פי החבית מטה על צדה והיא נופלת. ואמרי' עלה אמר רב הונא לא שנו אלא בשלא הניח אבל הניח נעשה בסיס לדבר האסור. והתם במניח לשעתה לכסותה</w:t>
      </w:r>
      <w:r w:rsidRPr="00C215A4">
        <w:rPr>
          <w:rFonts w:cs="Arial" w:hint="cs"/>
          <w:rtl/>
        </w:rPr>
        <w:t>.</w:t>
      </w:r>
      <w:r w:rsidRPr="00C215A4">
        <w:rPr>
          <w:rFonts w:cs="Arial"/>
          <w:rtl/>
        </w:rPr>
        <w:t xml:space="preserve"> משמע מדאיפלגי בה רב יוסף בפרק כל הכלים גבי האבן שבקירוייא</w:t>
      </w:r>
      <w:r>
        <w:rPr>
          <w:rFonts w:cs="Arial" w:hint="cs"/>
          <w:rtl/>
        </w:rPr>
        <w:t>,</w:t>
      </w:r>
      <w:r w:rsidRPr="00C215A4">
        <w:rPr>
          <w:rFonts w:cs="Arial"/>
          <w:rtl/>
        </w:rPr>
        <w:t xml:space="preserve"> דאמרינן לא שנו אלא בשוכח אבל במניח נעשה כיסוי לחבית</w:t>
      </w:r>
      <w:r>
        <w:rPr>
          <w:rFonts w:cs="Arial" w:hint="cs"/>
          <w:rtl/>
        </w:rPr>
        <w:t>,</w:t>
      </w:r>
      <w:r w:rsidRPr="00C215A4">
        <w:rPr>
          <w:rFonts w:cs="Arial"/>
          <w:rtl/>
        </w:rPr>
        <w:t xml:space="preserve"> דאלמא כיסוי חבית לשעתא הניחה</w:t>
      </w:r>
      <w:r>
        <w:rPr>
          <w:rFonts w:cs="Arial" w:hint="cs"/>
          <w:rtl/>
        </w:rPr>
        <w:t>,</w:t>
      </w:r>
      <w:r w:rsidRPr="00C215A4">
        <w:rPr>
          <w:rFonts w:cs="Arial"/>
          <w:rtl/>
        </w:rPr>
        <w:t xml:space="preserve"> ואפ"ה לא קיי</w:t>
      </w:r>
      <w:r>
        <w:rPr>
          <w:rFonts w:cs="Arial" w:hint="cs"/>
          <w:rtl/>
        </w:rPr>
        <w:t>"</w:t>
      </w:r>
      <w:r w:rsidRPr="00C215A4">
        <w:rPr>
          <w:rFonts w:cs="Arial"/>
          <w:rtl/>
        </w:rPr>
        <w:t>ל כרב יוסף עד שיחדנה לכיסוי לעולם ולא לשבת אחת</w:t>
      </w:r>
      <w:r>
        <w:rPr>
          <w:rFonts w:cs="Arial" w:hint="cs"/>
          <w:rtl/>
        </w:rPr>
        <w:t>, רשב"א (שם).</w:t>
      </w:r>
    </w:p>
  </w:footnote>
  <w:footnote w:id="1563">
    <w:p w14:paraId="2513A68A" w14:textId="27027187" w:rsidR="00C215A4" w:rsidRDefault="00C215A4" w:rsidP="00285819">
      <w:pPr>
        <w:pStyle w:val="a7"/>
        <w:rPr>
          <w:rtl/>
        </w:rPr>
      </w:pPr>
      <w:r>
        <w:rPr>
          <w:rStyle w:val="a9"/>
        </w:rPr>
        <w:footnoteRef/>
      </w:r>
      <w:r>
        <w:rPr>
          <w:rtl/>
        </w:rPr>
        <w:t xml:space="preserve"> </w:t>
      </w:r>
      <w:r>
        <w:rPr>
          <w:rFonts w:cs="Arial" w:hint="cs"/>
          <w:rtl/>
        </w:rPr>
        <w:t xml:space="preserve">הר"ן (שם) </w:t>
      </w:r>
      <w:r w:rsidRPr="00F63421">
        <w:rPr>
          <w:rFonts w:cs="Arial"/>
          <w:rtl/>
        </w:rPr>
        <w:t xml:space="preserve">הביא </w:t>
      </w:r>
      <w:r>
        <w:rPr>
          <w:rFonts w:cs="Arial" w:hint="cs"/>
          <w:rtl/>
        </w:rPr>
        <w:t xml:space="preserve">את </w:t>
      </w:r>
      <w:r w:rsidRPr="00F63421">
        <w:rPr>
          <w:rFonts w:cs="Arial"/>
          <w:rtl/>
        </w:rPr>
        <w:t xml:space="preserve">דברי </w:t>
      </w:r>
      <w:r>
        <w:rPr>
          <w:rFonts w:cs="Arial" w:hint="cs"/>
          <w:rtl/>
        </w:rPr>
        <w:t>הרשב"א</w:t>
      </w:r>
      <w:r w:rsidRPr="00F63421">
        <w:rPr>
          <w:rFonts w:cs="Arial"/>
          <w:rtl/>
        </w:rPr>
        <w:t xml:space="preserve"> </w:t>
      </w:r>
      <w:r>
        <w:rPr>
          <w:rFonts w:cs="Arial" w:hint="cs"/>
          <w:rtl/>
        </w:rPr>
        <w:t xml:space="preserve">הנ"ל </w:t>
      </w:r>
      <w:r w:rsidRPr="00F63421">
        <w:rPr>
          <w:rFonts w:cs="Arial"/>
          <w:rtl/>
        </w:rPr>
        <w:t>וכתב עליו ד</w:t>
      </w:r>
      <w:r>
        <w:rPr>
          <w:rFonts w:hint="cs"/>
          <w:rtl/>
        </w:rPr>
        <w:t>-...</w:t>
      </w:r>
    </w:p>
  </w:footnote>
  <w:footnote w:id="1564">
    <w:p w14:paraId="52C0897C" w14:textId="25A83F09" w:rsidR="007068C0" w:rsidRDefault="007068C0" w:rsidP="00285819">
      <w:pPr>
        <w:pStyle w:val="a7"/>
        <w:rPr>
          <w:rtl/>
        </w:rPr>
      </w:pPr>
      <w:r>
        <w:rPr>
          <w:rStyle w:val="a9"/>
        </w:rPr>
        <w:footnoteRef/>
      </w:r>
      <w:r>
        <w:rPr>
          <w:rtl/>
        </w:rPr>
        <w:t xml:space="preserve"> </w:t>
      </w:r>
      <w:r>
        <w:rPr>
          <w:rFonts w:cs="Arial" w:hint="cs"/>
          <w:rtl/>
        </w:rPr>
        <w:t>ו</w:t>
      </w:r>
      <w:r w:rsidRPr="002A006D">
        <w:rPr>
          <w:rFonts w:cs="Arial"/>
          <w:rtl/>
        </w:rPr>
        <w:t>נראה דאפילו אם הלכה כרבי אמי</w:t>
      </w:r>
      <w:r>
        <w:rPr>
          <w:rFonts w:cs="Arial" w:hint="cs"/>
          <w:rtl/>
        </w:rPr>
        <w:t>,</w:t>
      </w:r>
      <w:r w:rsidRPr="002A006D">
        <w:rPr>
          <w:rFonts w:cs="Arial"/>
          <w:rtl/>
        </w:rPr>
        <w:t xml:space="preserve"> דאמר צאו ולמדום אמר להם לפי שאין הזמנה אפילו במעשה חשוב מועיל לאבן לעשותה כלי</w:t>
      </w:r>
      <w:r w:rsidR="00295831">
        <w:rPr>
          <w:rFonts w:cs="Arial" w:hint="cs"/>
          <w:sz w:val="16"/>
          <w:szCs w:val="16"/>
          <w:rtl/>
        </w:rPr>
        <w:t xml:space="preserve"> {ל' רש"י}</w:t>
      </w:r>
      <w:r w:rsidRPr="002A006D">
        <w:rPr>
          <w:rFonts w:cs="Arial" w:hint="cs"/>
          <w:rtl/>
        </w:rPr>
        <w:t>,</w:t>
      </w:r>
      <w:r w:rsidRPr="002A006D">
        <w:rPr>
          <w:rFonts w:cs="Arial"/>
          <w:rtl/>
        </w:rPr>
        <w:t xml:space="preserve"> איכא למימר דמודה רבי אמי ביחוד אבן לפצוע בה אגוזים דמהני בה מעשה</w:t>
      </w:r>
      <w:r w:rsidRPr="002A006D">
        <w:rPr>
          <w:rFonts w:cs="Arial" w:hint="cs"/>
          <w:rtl/>
        </w:rPr>
        <w:t>,</w:t>
      </w:r>
      <w:r w:rsidRPr="002A006D">
        <w:rPr>
          <w:rFonts w:cs="Arial"/>
          <w:rtl/>
        </w:rPr>
        <w:t xml:space="preserve"> וכמו שכתבו הפוסקים האלו</w:t>
      </w:r>
      <w:r>
        <w:rPr>
          <w:rFonts w:cs="Arial" w:hint="cs"/>
          <w:rtl/>
        </w:rPr>
        <w:t>,</w:t>
      </w:r>
      <w:r w:rsidRPr="002A006D">
        <w:rPr>
          <w:rFonts w:cs="Arial"/>
          <w:rtl/>
        </w:rPr>
        <w:t xml:space="preserve"> דשאני התם שאין האבן עשויה לישב עליה ומשום הכי לא מהני בה שום מעשה</w:t>
      </w:r>
      <w:r w:rsidRPr="002A006D">
        <w:rPr>
          <w:rFonts w:cs="Arial" w:hint="cs"/>
          <w:rtl/>
        </w:rPr>
        <w:t>,</w:t>
      </w:r>
      <w:r w:rsidRPr="002A006D">
        <w:rPr>
          <w:rFonts w:cs="Arial"/>
          <w:rtl/>
        </w:rPr>
        <w:t xml:space="preserve"> אבל לפצוע בה אגוזים דאורחה בהכי מהני</w:t>
      </w:r>
      <w:r w:rsidRPr="002A006D">
        <w:rPr>
          <w:rFonts w:cs="Arial" w:hint="cs"/>
          <w:rtl/>
        </w:rPr>
        <w:t>.</w:t>
      </w:r>
      <w:r w:rsidRPr="002A006D">
        <w:rPr>
          <w:rFonts w:cs="Arial"/>
          <w:rtl/>
        </w:rPr>
        <w:t xml:space="preserve"> ואפילו בלי שום מעשה אפשר דשרי אם יחדה לכך כיון דאורחה בהכי</w:t>
      </w:r>
      <w:r w:rsidRPr="002A006D">
        <w:rPr>
          <w:rFonts w:cs="Arial" w:hint="cs"/>
          <w:rtl/>
        </w:rPr>
        <w:t>,</w:t>
      </w:r>
      <w:r w:rsidRPr="002A006D">
        <w:rPr>
          <w:rFonts w:cs="Arial"/>
          <w:rtl/>
        </w:rPr>
        <w:t xml:space="preserve"> וכמו שכתבתי בסמוך בשם הר"ן</w:t>
      </w:r>
      <w:r w:rsidRPr="002A006D">
        <w:rPr>
          <w:rFonts w:cs="Arial" w:hint="cs"/>
          <w:rtl/>
        </w:rPr>
        <w:t>.</w:t>
      </w:r>
      <w:r w:rsidRPr="002A006D">
        <w:rPr>
          <w:rFonts w:cs="Arial"/>
          <w:rtl/>
        </w:rPr>
        <w:t xml:space="preserve"> ויש להביא קצת ראיה מדתנן בפרק במה אשה (סה.) פורפת על האבן ועל האגוז ועל המטבע ובלבד שלא תפרוף לכתחלה בשבת</w:t>
      </w:r>
      <w:r w:rsidRPr="002A006D">
        <w:rPr>
          <w:rFonts w:cs="Arial" w:hint="cs"/>
          <w:rtl/>
        </w:rPr>
        <w:t>.</w:t>
      </w:r>
      <w:r w:rsidRPr="002A006D">
        <w:rPr>
          <w:rFonts w:cs="Arial"/>
          <w:rtl/>
        </w:rPr>
        <w:t xml:space="preserve"> ופריך בגמרא (שם:) והאמרת רישא פורפת</w:t>
      </w:r>
      <w:r w:rsidRPr="002A006D">
        <w:rPr>
          <w:rFonts w:cs="Arial" w:hint="cs"/>
          <w:rtl/>
        </w:rPr>
        <w:t>.</w:t>
      </w:r>
      <w:r w:rsidRPr="002A006D">
        <w:rPr>
          <w:rFonts w:cs="Arial"/>
          <w:rtl/>
        </w:rPr>
        <w:t xml:space="preserve"> אמר אביי סיפא אתאן למטבע</w:t>
      </w:r>
      <w:r w:rsidRPr="002A006D">
        <w:rPr>
          <w:rFonts w:cs="Arial" w:hint="cs"/>
          <w:rtl/>
        </w:rPr>
        <w:t>.</w:t>
      </w:r>
      <w:r w:rsidRPr="002A006D">
        <w:rPr>
          <w:rFonts w:cs="Arial"/>
          <w:rtl/>
        </w:rPr>
        <w:t xml:space="preserve"> ופירש רש"י סיפא דקתני לא תפרוף אתאן למטבע דלאו בר טלטול הוא</w:t>
      </w:r>
      <w:r w:rsidRPr="002A006D">
        <w:rPr>
          <w:rFonts w:cs="Arial" w:hint="cs"/>
          <w:rtl/>
        </w:rPr>
        <w:t>.</w:t>
      </w:r>
      <w:r w:rsidRPr="002A006D">
        <w:rPr>
          <w:rFonts w:cs="Arial"/>
          <w:rtl/>
        </w:rPr>
        <w:t xml:space="preserve"> אבל אבן שהקצה לכך</w:t>
      </w:r>
      <w:r w:rsidRPr="002A006D">
        <w:rPr>
          <w:rFonts w:cs="Arial" w:hint="cs"/>
          <w:rtl/>
        </w:rPr>
        <w:t>,</w:t>
      </w:r>
      <w:r w:rsidRPr="002A006D">
        <w:rPr>
          <w:rFonts w:cs="Arial"/>
          <w:rtl/>
        </w:rPr>
        <w:t xml:space="preserve"> ראוי לטלטול</w:t>
      </w:r>
      <w:r w:rsidRPr="002A006D">
        <w:rPr>
          <w:rFonts w:cs="Arial" w:hint="cs"/>
          <w:rtl/>
        </w:rPr>
        <w:t>.</w:t>
      </w:r>
      <w:r w:rsidRPr="002A006D">
        <w:rPr>
          <w:rFonts w:cs="Arial"/>
          <w:rtl/>
        </w:rPr>
        <w:t xml:space="preserve"> הרי דבהקצה לכך סגי אפילו לא עשה בה שום מעשה</w:t>
      </w:r>
      <w:r w:rsidRPr="002A006D">
        <w:rPr>
          <w:rFonts w:cs="Arial" w:hint="cs"/>
          <w:rtl/>
        </w:rPr>
        <w:t xml:space="preserve">. </w:t>
      </w:r>
      <w:r w:rsidRPr="002A006D">
        <w:rPr>
          <w:rFonts w:cs="Arial"/>
          <w:rtl/>
        </w:rPr>
        <w:t>אחר זמן רב שכתבתי זה בא לידי ספר שבלי הלקט (סי' נז ד"ה כתב) וכתב שה"ר ישעיה (פסקי רי"ד שבת עמ' רצא) דקדק מראיה זו להתיר לטלטל בשבת אבנים שסידרו בהן הקדרה מערב שבת</w:t>
      </w:r>
      <w:r w:rsidRPr="002A006D">
        <w:rPr>
          <w:rFonts w:cs="Arial" w:hint="cs"/>
          <w:rtl/>
        </w:rPr>
        <w:t>,</w:t>
      </w:r>
      <w:r w:rsidRPr="002A006D">
        <w:rPr>
          <w:rFonts w:cs="Arial"/>
          <w:rtl/>
        </w:rPr>
        <w:t xml:space="preserve"> והוא הדין באבנים שסוגרין בהן הדלת כיון שהן מיוחדים ומוקצים לכך מותר לטלטלן</w:t>
      </w:r>
      <w:r w:rsidRPr="002A006D">
        <w:rPr>
          <w:rFonts w:cs="Arial" w:hint="cs"/>
          <w:rtl/>
        </w:rPr>
        <w:t>.</w:t>
      </w:r>
      <w:r w:rsidRPr="002A006D">
        <w:rPr>
          <w:rFonts w:cs="Arial"/>
          <w:rtl/>
        </w:rPr>
        <w:t xml:space="preserve"> וכתב עוד (ד"ה וכן) כל דבר שנעלו בו הדלתות בחול יכול לטלטלו בשבת ואפילו באבנים</w:t>
      </w:r>
      <w:r>
        <w:rPr>
          <w:rFonts w:cs="Arial" w:hint="cs"/>
          <w:rtl/>
        </w:rPr>
        <w:t>,</w:t>
      </w:r>
      <w:r w:rsidRPr="002A006D">
        <w:rPr>
          <w:rFonts w:cs="Arial"/>
          <w:rtl/>
        </w:rPr>
        <w:t xml:space="preserve"> וכל שכן אם יחדם והזמינם לכך שנעשו כלים מיוחדים לכך במחשבתו ואע</w:t>
      </w:r>
      <w:r w:rsidRPr="002A006D">
        <w:rPr>
          <w:rFonts w:cs="Arial" w:hint="cs"/>
          <w:rtl/>
        </w:rPr>
        <w:t>"</w:t>
      </w:r>
      <w:r w:rsidRPr="002A006D">
        <w:rPr>
          <w:rFonts w:cs="Arial"/>
          <w:rtl/>
        </w:rPr>
        <w:t>פ שאין קשורין לא בדלת ולא בחלון עכ"ל</w:t>
      </w:r>
      <w:r>
        <w:rPr>
          <w:rFonts w:hint="cs"/>
          <w:rtl/>
        </w:rPr>
        <w:t>, ב"י.</w:t>
      </w:r>
    </w:p>
  </w:footnote>
  <w:footnote w:id="1565">
    <w:p w14:paraId="35E7C7E3" w14:textId="64B28779" w:rsidR="000550DD" w:rsidRDefault="000550DD" w:rsidP="00285819">
      <w:pPr>
        <w:pStyle w:val="a7"/>
      </w:pPr>
      <w:r>
        <w:rPr>
          <w:rStyle w:val="a9"/>
        </w:rPr>
        <w:footnoteRef/>
      </w:r>
      <w:r>
        <w:rPr>
          <w:rtl/>
        </w:rPr>
        <w:t xml:space="preserve"> </w:t>
      </w:r>
      <w:r>
        <w:rPr>
          <w:rFonts w:hint="cs"/>
          <w:rtl/>
        </w:rPr>
        <w:t xml:space="preserve">וז"ל השו"ע שם- </w:t>
      </w:r>
      <w:r w:rsidRPr="000550DD">
        <w:rPr>
          <w:rFonts w:cs="Arial"/>
          <w:rtl/>
        </w:rPr>
        <w:t>הנותנים אבנים ולבנים סביב הקדירה צריך שייחדם לכך לעולם, שהרי כל זמן שלא יחדן אינם חשובים לו ומשליכן. הילכך אסור לטלטלן, אם לא שיצניעם ומיחדן לכך.</w:t>
      </w:r>
    </w:p>
  </w:footnote>
  <w:footnote w:id="1566">
    <w:p w14:paraId="71CA15B3" w14:textId="4E86124F" w:rsidR="0006778D" w:rsidRDefault="0006778D" w:rsidP="00285819">
      <w:pPr>
        <w:pStyle w:val="a7"/>
      </w:pPr>
      <w:r>
        <w:rPr>
          <w:rStyle w:val="a9"/>
        </w:rPr>
        <w:footnoteRef/>
      </w:r>
      <w:r>
        <w:rPr>
          <w:rtl/>
        </w:rPr>
        <w:t xml:space="preserve"> </w:t>
      </w:r>
      <w:r w:rsidRPr="0006778D">
        <w:rPr>
          <w:rFonts w:cs="Arial"/>
          <w:rtl/>
        </w:rPr>
        <w:t>לעשות הפעולות האלו בשבת וכ"ש אם לא חשב רק שעשה הפעולות האלו מבעוד יום ולא דמי לחריות הנ"ל בס"כ דשם איכא חריות דקיימא לישיבה אבל הכא אין דרך כלל להזמין אבן או בקעת להשתמש בהן וע"כ בעינן שייחד לעולם מערב שבת להשתמש בהן איזה תשמיש ואז הוסר מעליהם שם מוקצה</w:t>
      </w:r>
      <w:r>
        <w:rPr>
          <w:rFonts w:cs="Arial" w:hint="cs"/>
          <w:rtl/>
        </w:rPr>
        <w:t xml:space="preserve">, משנ"ב (סקצ"ב). </w:t>
      </w:r>
    </w:p>
  </w:footnote>
  <w:footnote w:id="1567">
    <w:p w14:paraId="30D56EA1" w14:textId="2D4BFE6B" w:rsidR="0006778D" w:rsidRDefault="0006778D" w:rsidP="00285819">
      <w:pPr>
        <w:pStyle w:val="a7"/>
      </w:pPr>
      <w:r>
        <w:rPr>
          <w:rStyle w:val="a9"/>
        </w:rPr>
        <w:footnoteRef/>
      </w:r>
      <w:r>
        <w:rPr>
          <w:rtl/>
        </w:rPr>
        <w:t xml:space="preserve"> </w:t>
      </w:r>
      <w:r w:rsidRPr="0006778D">
        <w:rPr>
          <w:rFonts w:cs="Arial"/>
          <w:rtl/>
        </w:rPr>
        <w:t>ואם היה רגיל בימות החול להשתמש בהן איזה תשמיש סגי אפילו לא יחדן בפירוש. והאי יחוד שכתוב בשו"ע נראה דאפילו במחשבה בעלמא ולא בעינן שיפרש בפה</w:t>
      </w:r>
      <w:r>
        <w:rPr>
          <w:rFonts w:cs="Arial" w:hint="cs"/>
          <w:rtl/>
        </w:rPr>
        <w:t>, משנ"ב (סקצ"ג).</w:t>
      </w:r>
    </w:p>
  </w:footnote>
  <w:footnote w:id="1568">
    <w:p w14:paraId="66DC33E8" w14:textId="40D0BAD2" w:rsidR="0006778D" w:rsidRDefault="0006778D" w:rsidP="00285819">
      <w:pPr>
        <w:pStyle w:val="a7"/>
      </w:pPr>
      <w:r>
        <w:rPr>
          <w:rStyle w:val="a9"/>
        </w:rPr>
        <w:footnoteRef/>
      </w:r>
      <w:r>
        <w:rPr>
          <w:rtl/>
        </w:rPr>
        <w:t xml:space="preserve"> </w:t>
      </w:r>
      <w:r w:rsidRPr="0006778D">
        <w:rPr>
          <w:rFonts w:cs="Arial"/>
          <w:rtl/>
        </w:rPr>
        <w:t>אא"כ עשה בהן מעשה המוכיח שעומדין להשתמש</w:t>
      </w:r>
      <w:r>
        <w:rPr>
          <w:rFonts w:cs="Arial" w:hint="cs"/>
          <w:rtl/>
        </w:rPr>
        <w:t>, משנ"ב (סקצ"ד).</w:t>
      </w:r>
    </w:p>
  </w:footnote>
  <w:footnote w:id="1569">
    <w:p w14:paraId="28D0216F" w14:textId="055F3224" w:rsidR="0006778D" w:rsidRDefault="0006778D" w:rsidP="00285819">
      <w:pPr>
        <w:pStyle w:val="a7"/>
      </w:pPr>
      <w:r>
        <w:rPr>
          <w:rStyle w:val="a9"/>
        </w:rPr>
        <w:footnoteRef/>
      </w:r>
      <w:r>
        <w:rPr>
          <w:rtl/>
        </w:rPr>
        <w:t xml:space="preserve"> </w:t>
      </w:r>
      <w:r w:rsidRPr="0006778D">
        <w:rPr>
          <w:rFonts w:cs="Arial"/>
          <w:rtl/>
        </w:rPr>
        <w:t>ולא דמי לסכ"א דשאני התם שאין האבן עשויה לישב עליה משא"כ הכא דאורחא בהכי להכי מהני ביחוד לשבת אחת ועיין מה שכתבנו לעיל סי' ש"ג סכ"ב</w:t>
      </w:r>
      <w:r>
        <w:rPr>
          <w:rFonts w:cs="Arial" w:hint="cs"/>
          <w:rtl/>
        </w:rPr>
        <w:t>, משנ"ב (סקצ"ה).</w:t>
      </w:r>
    </w:p>
  </w:footnote>
  <w:footnote w:id="1570">
    <w:p w14:paraId="6FA1FF99" w14:textId="4493989C" w:rsidR="0006778D" w:rsidRDefault="0006778D" w:rsidP="00285819">
      <w:pPr>
        <w:pStyle w:val="a7"/>
      </w:pPr>
      <w:r>
        <w:rPr>
          <w:rStyle w:val="a9"/>
        </w:rPr>
        <w:footnoteRef/>
      </w:r>
      <w:r>
        <w:rPr>
          <w:rtl/>
        </w:rPr>
        <w:t xml:space="preserve"> </w:t>
      </w:r>
      <w:r w:rsidRPr="0006778D">
        <w:rPr>
          <w:rFonts w:cs="Arial"/>
          <w:rtl/>
        </w:rPr>
        <w:t>ר"ל דבשניהם בעינן יחוד לעולם</w:t>
      </w:r>
      <w:r>
        <w:rPr>
          <w:rFonts w:cs="Arial" w:hint="cs"/>
          <w:rtl/>
        </w:rPr>
        <w:t>, משנ"ב (סקצ"ו).</w:t>
      </w:r>
    </w:p>
  </w:footnote>
  <w:footnote w:id="1571">
    <w:p w14:paraId="0412C912" w14:textId="7A939681" w:rsidR="00EE0F7D" w:rsidRDefault="00EE0F7D" w:rsidP="00285819">
      <w:pPr>
        <w:pStyle w:val="a7"/>
      </w:pPr>
      <w:r>
        <w:rPr>
          <w:rStyle w:val="a9"/>
        </w:rPr>
        <w:footnoteRef/>
      </w:r>
      <w:r>
        <w:rPr>
          <w:rtl/>
        </w:rPr>
        <w:t xml:space="preserve"> </w:t>
      </w:r>
      <w:r w:rsidRPr="00EE0F7D">
        <w:rPr>
          <w:rFonts w:cs="Arial"/>
          <w:rtl/>
        </w:rPr>
        <w:t>היינו מה שמבואר שם ס"ב דאפילו באבנים סגי ביחוד לעולם. ולענין מידי דאורחיה בהכי נראה דבמקום הצורך יש לסמוך להקל דסגי ביחוד לשבת אחת</w:t>
      </w:r>
      <w:r>
        <w:rPr>
          <w:rFonts w:cs="Arial" w:hint="cs"/>
          <w:rtl/>
        </w:rPr>
        <w:t>, משנ"ב (סקצ"ז).</w:t>
      </w:r>
    </w:p>
  </w:footnote>
  <w:footnote w:id="1572">
    <w:p w14:paraId="289A0A73" w14:textId="61A8EC24" w:rsidR="009A7623" w:rsidRDefault="009A7623" w:rsidP="00285819">
      <w:pPr>
        <w:pStyle w:val="a7"/>
      </w:pPr>
      <w:r>
        <w:rPr>
          <w:rStyle w:val="a9"/>
        </w:rPr>
        <w:footnoteRef/>
      </w:r>
      <w:r w:rsidRPr="00496C74">
        <w:rPr>
          <w:rFonts w:cs="Arial"/>
          <w:rtl/>
        </w:rPr>
        <w:t xml:space="preserve"> וכן כתב הכל בו (הל' שבת לד ב)</w:t>
      </w:r>
      <w:r w:rsidR="004C2C90">
        <w:rPr>
          <w:rFonts w:cs="Arial" w:hint="cs"/>
          <w:rtl/>
        </w:rPr>
        <w:t>,</w:t>
      </w:r>
      <w:r w:rsidRPr="00496C74">
        <w:rPr>
          <w:rFonts w:cs="Arial"/>
          <w:rtl/>
        </w:rPr>
        <w:t xml:space="preserve"> וכתב ובלבד שיזהר שלא יהרוג הזבובים כשמבריחם עכ"ל</w:t>
      </w:r>
      <w:r w:rsidR="004C2C90">
        <w:rPr>
          <w:rFonts w:cs="Arial" w:hint="cs"/>
          <w:rtl/>
        </w:rPr>
        <w:t xml:space="preserve">, דרכ"מ </w:t>
      </w:r>
      <w:r w:rsidR="004C2C90" w:rsidRPr="00496C74">
        <w:rPr>
          <w:rFonts w:cs="Arial"/>
          <w:rtl/>
        </w:rPr>
        <w:t>(</w:t>
      </w:r>
      <w:r w:rsidR="004C2C90">
        <w:rPr>
          <w:rFonts w:cs="Arial" w:hint="cs"/>
          <w:rtl/>
        </w:rPr>
        <w:t xml:space="preserve">אות </w:t>
      </w:r>
      <w:r w:rsidR="004C2C90" w:rsidRPr="00496C74">
        <w:rPr>
          <w:rFonts w:cs="Arial"/>
          <w:rtl/>
        </w:rPr>
        <w:t>ח**)</w:t>
      </w:r>
      <w:r w:rsidR="004C2C90">
        <w:rPr>
          <w:rFonts w:cs="Arial" w:hint="cs"/>
          <w:rtl/>
        </w:rPr>
        <w:t>.</w:t>
      </w:r>
    </w:p>
  </w:footnote>
  <w:footnote w:id="1573">
    <w:p w14:paraId="1B5DDEBA" w14:textId="03A255CC" w:rsidR="003A7CF0" w:rsidRDefault="003A7CF0" w:rsidP="00285819">
      <w:pPr>
        <w:pStyle w:val="a7"/>
      </w:pPr>
      <w:r>
        <w:rPr>
          <w:rStyle w:val="a9"/>
        </w:rPr>
        <w:footnoteRef/>
      </w:r>
      <w:r>
        <w:rPr>
          <w:rtl/>
        </w:rPr>
        <w:t xml:space="preserve"> </w:t>
      </w:r>
      <w:r w:rsidRPr="003A7CF0">
        <w:rPr>
          <w:rFonts w:cs="Arial"/>
          <w:rtl/>
        </w:rPr>
        <w:t xml:space="preserve">ספר יכין ובועז, הוא אוסף תשובותיהם של שני אחים ממשפחת דוראן </w:t>
      </w:r>
      <w:r w:rsidRPr="003A7CF0">
        <w:rPr>
          <w:rFonts w:cs="Arial" w:hint="cs"/>
          <w:sz w:val="16"/>
          <w:szCs w:val="16"/>
          <w:rtl/>
        </w:rPr>
        <w:t>(</w:t>
      </w:r>
      <w:r w:rsidRPr="003A7CF0">
        <w:rPr>
          <w:rFonts w:cs="Arial"/>
          <w:sz w:val="16"/>
          <w:szCs w:val="16"/>
          <w:rtl/>
        </w:rPr>
        <w:t xml:space="preserve">משפחה </w:t>
      </w:r>
      <w:r w:rsidRPr="003A7CF0">
        <w:rPr>
          <w:rFonts w:cs="Arial" w:hint="cs"/>
          <w:sz w:val="16"/>
          <w:szCs w:val="16"/>
          <w:rtl/>
        </w:rPr>
        <w:t xml:space="preserve">זו </w:t>
      </w:r>
      <w:r w:rsidRPr="003A7CF0">
        <w:rPr>
          <w:rFonts w:cs="Arial"/>
          <w:sz w:val="16"/>
          <w:szCs w:val="16"/>
          <w:rtl/>
        </w:rPr>
        <w:t>מקורה בפרובנס,</w:t>
      </w:r>
      <w:r w:rsidRPr="003A7CF0">
        <w:rPr>
          <w:rFonts w:cs="Arial" w:hint="cs"/>
          <w:sz w:val="16"/>
          <w:szCs w:val="16"/>
          <w:rtl/>
        </w:rPr>
        <w:t xml:space="preserve"> לאחמ"כ עברו ל</w:t>
      </w:r>
      <w:r w:rsidRPr="003A7CF0">
        <w:rPr>
          <w:rFonts w:cs="Arial"/>
          <w:sz w:val="16"/>
          <w:szCs w:val="16"/>
          <w:rtl/>
        </w:rPr>
        <w:t xml:space="preserve">אי מיורקה </w:t>
      </w:r>
      <w:r w:rsidRPr="003A7CF0">
        <w:rPr>
          <w:rFonts w:cs="Arial" w:hint="cs"/>
          <w:sz w:val="16"/>
          <w:szCs w:val="16"/>
          <w:rtl/>
        </w:rPr>
        <w:t>[</w:t>
      </w:r>
      <w:r w:rsidRPr="003A7CF0">
        <w:rPr>
          <w:rFonts w:cs="Arial"/>
          <w:sz w:val="16"/>
          <w:szCs w:val="16"/>
          <w:rtl/>
        </w:rPr>
        <w:t>שע"י ספרד</w:t>
      </w:r>
      <w:r w:rsidRPr="003A7CF0">
        <w:rPr>
          <w:rFonts w:cs="Arial" w:hint="cs"/>
          <w:sz w:val="16"/>
          <w:szCs w:val="16"/>
          <w:rtl/>
        </w:rPr>
        <w:t>] ולאחמ"כ</w:t>
      </w:r>
      <w:r w:rsidRPr="003A7CF0">
        <w:rPr>
          <w:rFonts w:cs="Arial"/>
          <w:sz w:val="16"/>
          <w:szCs w:val="16"/>
          <w:rtl/>
        </w:rPr>
        <w:t xml:space="preserve"> </w:t>
      </w:r>
      <w:r w:rsidRPr="003A7CF0">
        <w:rPr>
          <w:rFonts w:cs="Arial" w:hint="cs"/>
          <w:sz w:val="16"/>
          <w:szCs w:val="16"/>
          <w:rtl/>
        </w:rPr>
        <w:t>[</w:t>
      </w:r>
      <w:r w:rsidRPr="003A7CF0">
        <w:rPr>
          <w:rFonts w:cs="Arial"/>
          <w:sz w:val="16"/>
          <w:szCs w:val="16"/>
          <w:rtl/>
        </w:rPr>
        <w:t>1391</w:t>
      </w:r>
      <w:r w:rsidRPr="003A7CF0">
        <w:rPr>
          <w:rFonts w:cs="Arial" w:hint="cs"/>
          <w:sz w:val="16"/>
          <w:szCs w:val="16"/>
          <w:rtl/>
        </w:rPr>
        <w:t>]</w:t>
      </w:r>
      <w:r w:rsidRPr="003A7CF0">
        <w:rPr>
          <w:rFonts w:cs="Arial"/>
          <w:sz w:val="16"/>
          <w:szCs w:val="16"/>
          <w:rtl/>
        </w:rPr>
        <w:t xml:space="preserve"> </w:t>
      </w:r>
      <w:r w:rsidRPr="003A7CF0">
        <w:rPr>
          <w:rFonts w:cs="Arial" w:hint="cs"/>
          <w:sz w:val="16"/>
          <w:szCs w:val="16"/>
          <w:rtl/>
        </w:rPr>
        <w:t>ל</w:t>
      </w:r>
      <w:r w:rsidRPr="003A7CF0">
        <w:rPr>
          <w:rFonts w:cs="Arial"/>
          <w:sz w:val="16"/>
          <w:szCs w:val="16"/>
          <w:rtl/>
        </w:rPr>
        <w:t>אלג'יר</w:t>
      </w:r>
      <w:r w:rsidRPr="003A7CF0">
        <w:rPr>
          <w:rFonts w:cs="Arial" w:hint="cs"/>
          <w:sz w:val="16"/>
          <w:szCs w:val="16"/>
          <w:rtl/>
        </w:rPr>
        <w:t>)</w:t>
      </w:r>
      <w:r w:rsidRPr="003A7CF0">
        <w:rPr>
          <w:rFonts w:cs="Arial"/>
          <w:rtl/>
        </w:rPr>
        <w:t>. ה</w:t>
      </w:r>
      <w:r>
        <w:rPr>
          <w:rFonts w:cs="Arial" w:hint="cs"/>
          <w:rtl/>
        </w:rPr>
        <w:t xml:space="preserve">ראשון הוא </w:t>
      </w:r>
      <w:r w:rsidRPr="003A7CF0">
        <w:rPr>
          <w:rFonts w:cs="Arial"/>
          <w:rtl/>
        </w:rPr>
        <w:t xml:space="preserve">רבי צמח (חלק א'), </w:t>
      </w:r>
      <w:r>
        <w:rPr>
          <w:rFonts w:cs="Arial" w:hint="cs"/>
          <w:rtl/>
        </w:rPr>
        <w:t>השני הוא</w:t>
      </w:r>
      <w:r w:rsidRPr="003A7CF0">
        <w:rPr>
          <w:rFonts w:cs="Arial"/>
          <w:rtl/>
        </w:rPr>
        <w:t xml:space="preserve"> רבי שמעון (חלק ב').</w:t>
      </w:r>
      <w:r>
        <w:rPr>
          <w:rFonts w:hint="cs"/>
          <w:rtl/>
        </w:rPr>
        <w:t xml:space="preserve"> כנראה שר' שמעון הוא נכדו של </w:t>
      </w:r>
      <w:r w:rsidR="00171499">
        <w:rPr>
          <w:rFonts w:hint="cs"/>
          <w:rtl/>
        </w:rPr>
        <w:t xml:space="preserve">ר' שמעון בר צמח (מחבר ספר התשב"ץ, שנפטר בשנת ר"ד [1444]), ובנו של ר' שלמה ב"ר שמעון (המכונה </w:t>
      </w:r>
      <w:r>
        <w:rPr>
          <w:rFonts w:hint="cs"/>
          <w:rtl/>
        </w:rPr>
        <w:t>הרשב"ש</w:t>
      </w:r>
      <w:r w:rsidR="00171499">
        <w:rPr>
          <w:rFonts w:hint="cs"/>
          <w:rtl/>
        </w:rPr>
        <w:t>, שנפטר בשנת רכ"ז [1467]).</w:t>
      </w:r>
      <w:r>
        <w:rPr>
          <w:rFonts w:hint="cs"/>
          <w:rtl/>
        </w:rPr>
        <w:t xml:space="preserve"> </w:t>
      </w:r>
    </w:p>
  </w:footnote>
  <w:footnote w:id="1574">
    <w:p w14:paraId="4169A146" w14:textId="7D05B1F3" w:rsidR="003A7CF0" w:rsidRDefault="003A7CF0" w:rsidP="00285819">
      <w:pPr>
        <w:pStyle w:val="a7"/>
        <w:rPr>
          <w:rtl/>
        </w:rPr>
      </w:pPr>
      <w:r>
        <w:rPr>
          <w:rStyle w:val="a9"/>
        </w:rPr>
        <w:footnoteRef/>
      </w:r>
      <w:r>
        <w:rPr>
          <w:rtl/>
        </w:rPr>
        <w:t xml:space="preserve"> </w:t>
      </w:r>
      <w:r>
        <w:rPr>
          <w:rFonts w:hint="cs"/>
          <w:rtl/>
        </w:rPr>
        <w:t xml:space="preserve">וז"ל- </w:t>
      </w:r>
      <w:r>
        <w:rPr>
          <w:rFonts w:cs="Arial"/>
          <w:rtl/>
        </w:rPr>
        <w:t>אח ויקר ישמרך אלהים בא בשפולי כתבך לשון זה לא נעלם מכבודכם שמנהגנו גם הראשונים ז"ל שהמכני' בנו הפעם הראשונ</w:t>
      </w:r>
      <w:r w:rsidR="00171499">
        <w:rPr>
          <w:rFonts w:cs="Arial" w:hint="cs"/>
          <w:rtl/>
        </w:rPr>
        <w:t>ה</w:t>
      </w:r>
      <w:r>
        <w:rPr>
          <w:rFonts w:cs="Arial"/>
          <w:rtl/>
        </w:rPr>
        <w:t xml:space="preserve"> לבית הכנסת יבא הנער עם נר שעוה</w:t>
      </w:r>
      <w:r w:rsidR="00171499">
        <w:rPr>
          <w:rFonts w:cs="Arial" w:hint="cs"/>
          <w:rtl/>
        </w:rPr>
        <w:t>,</w:t>
      </w:r>
      <w:r>
        <w:rPr>
          <w:rFonts w:cs="Arial"/>
          <w:rtl/>
        </w:rPr>
        <w:t xml:space="preserve"> א</w:t>
      </w:r>
      <w:r w:rsidR="00171499">
        <w:rPr>
          <w:rFonts w:cs="Arial" w:hint="cs"/>
          <w:rtl/>
        </w:rPr>
        <w:t>חד</w:t>
      </w:r>
      <w:r>
        <w:rPr>
          <w:rFonts w:cs="Arial"/>
          <w:rtl/>
        </w:rPr>
        <w:t xml:space="preserve"> שבת ואחד י</w:t>
      </w:r>
      <w:r w:rsidR="00171499">
        <w:rPr>
          <w:rFonts w:cs="Arial" w:hint="cs"/>
          <w:rtl/>
        </w:rPr>
        <w:t>ו</w:t>
      </w:r>
      <w:r>
        <w:rPr>
          <w:rFonts w:cs="Arial"/>
          <w:rtl/>
        </w:rPr>
        <w:t>"ט</w:t>
      </w:r>
      <w:r w:rsidR="00171499">
        <w:rPr>
          <w:rFonts w:cs="Arial" w:hint="cs"/>
          <w:rtl/>
        </w:rPr>
        <w:t>,</w:t>
      </w:r>
      <w:r>
        <w:rPr>
          <w:rFonts w:cs="Arial"/>
          <w:rtl/>
        </w:rPr>
        <w:t xml:space="preserve"> והשתא קשיא לן</w:t>
      </w:r>
      <w:r w:rsidR="00171499">
        <w:rPr>
          <w:rFonts w:cs="Arial" w:hint="cs"/>
          <w:rtl/>
        </w:rPr>
        <w:t xml:space="preserve">... </w:t>
      </w:r>
      <w:r>
        <w:rPr>
          <w:rFonts w:cs="Arial"/>
          <w:rtl/>
        </w:rPr>
        <w:t xml:space="preserve">דיש איסור טלטולא דשבתא. </w:t>
      </w:r>
    </w:p>
    <w:p w14:paraId="6122A2E8" w14:textId="2EEB7288" w:rsidR="003A7CF0" w:rsidRDefault="003A7CF0" w:rsidP="00285819">
      <w:pPr>
        <w:pStyle w:val="a7"/>
      </w:pPr>
      <w:r>
        <w:rPr>
          <w:rFonts w:cs="Arial"/>
          <w:rtl/>
        </w:rPr>
        <w:t>ועתה אני אשיבך מלין ואת רעיך עמך. ודע כי מה שנראה לנו בזה</w:t>
      </w:r>
      <w:r w:rsidR="00D717EF">
        <w:rPr>
          <w:rFonts w:cs="Arial" w:hint="cs"/>
          <w:rtl/>
        </w:rPr>
        <w:t>,</w:t>
      </w:r>
      <w:r>
        <w:rPr>
          <w:rFonts w:cs="Arial"/>
          <w:rtl/>
        </w:rPr>
        <w:t xml:space="preserve"> שאין בדבר זה איסו</w:t>
      </w:r>
      <w:r w:rsidR="00D717EF">
        <w:rPr>
          <w:rFonts w:cs="Arial" w:hint="cs"/>
          <w:rtl/>
        </w:rPr>
        <w:t>ר,</w:t>
      </w:r>
      <w:r>
        <w:rPr>
          <w:rFonts w:cs="Arial"/>
          <w:rtl/>
        </w:rPr>
        <w:t xml:space="preserve"> ולא צד המביא לידי איסו</w:t>
      </w:r>
      <w:r w:rsidR="00D717EF">
        <w:rPr>
          <w:rFonts w:cs="Arial" w:hint="cs"/>
          <w:rtl/>
        </w:rPr>
        <w:t>ר,</w:t>
      </w:r>
      <w:r>
        <w:rPr>
          <w:rFonts w:cs="Arial"/>
          <w:rtl/>
        </w:rPr>
        <w:t xml:space="preserve"> לא מחמת טלטולא ולא מחמת הקדישא</w:t>
      </w:r>
      <w:r w:rsidR="00D717EF">
        <w:rPr>
          <w:rFonts w:cs="Arial" w:hint="cs"/>
          <w:rtl/>
        </w:rPr>
        <w:t>.</w:t>
      </w:r>
      <w:r>
        <w:rPr>
          <w:rFonts w:cs="Arial"/>
          <w:rtl/>
        </w:rPr>
        <w:t xml:space="preserve"> אמנם מחמת טלטולא אין איסור בדבר לא מצד השעוה והפתילה ולא מצד התחברות</w:t>
      </w:r>
      <w:r w:rsidR="00D717EF">
        <w:rPr>
          <w:rFonts w:cs="Arial" w:hint="cs"/>
          <w:rtl/>
        </w:rPr>
        <w:t>ה</w:t>
      </w:r>
      <w:r>
        <w:rPr>
          <w:rFonts w:cs="Arial"/>
          <w:rtl/>
        </w:rPr>
        <w:t xml:space="preserve"> והיו לנר מצד השעו' הטע'</w:t>
      </w:r>
      <w:r w:rsidR="00D717EF">
        <w:rPr>
          <w:rFonts w:cs="Arial" w:hint="cs"/>
          <w:rtl/>
        </w:rPr>
        <w:t>,</w:t>
      </w:r>
      <w:r>
        <w:rPr>
          <w:rFonts w:cs="Arial"/>
          <w:rtl/>
        </w:rPr>
        <w:t xml:space="preserve"> כי כל דבר שאסו' לטלטלו בשבת אם הכינן מערב שבת או אם חשב עליו מותר בשבת</w:t>
      </w:r>
      <w:r w:rsidR="00D717EF">
        <w:rPr>
          <w:rFonts w:cs="Arial" w:hint="cs"/>
          <w:rtl/>
        </w:rPr>
        <w:t>,</w:t>
      </w:r>
      <w:r>
        <w:rPr>
          <w:rFonts w:cs="Arial"/>
          <w:rtl/>
        </w:rPr>
        <w:t xml:space="preserve"> דההיא דבפ' הכלים דאמרינן התם פעם א' הלך ר' למקום א' ומצא נדבך של אבנים אמר לתלמידיו צאו וחשבו עליהם ואיכא מאן דאמר אמר להם צאו ולמדום פי' סדרום כדי לישב עליהם והרמב"ם ז"ל פסק כלישנא קמא דמחשבה תספיק</w:t>
      </w:r>
      <w:r w:rsidR="00A22E25">
        <w:rPr>
          <w:rFonts w:cs="Arial" w:hint="cs"/>
          <w:sz w:val="16"/>
          <w:szCs w:val="16"/>
          <w:rtl/>
        </w:rPr>
        <w:t xml:space="preserve"> {צ"ע שהרי בהדיא הצריך לימוד האבנים ולא רק מחשבה}</w:t>
      </w:r>
      <w:r w:rsidR="00D717EF">
        <w:rPr>
          <w:rFonts w:cs="Arial" w:hint="cs"/>
          <w:rtl/>
        </w:rPr>
        <w:t>,</w:t>
      </w:r>
      <w:r>
        <w:rPr>
          <w:rFonts w:cs="Arial"/>
          <w:rtl/>
        </w:rPr>
        <w:t xml:space="preserve"> ואם בהלכות לא הביא דין הנדבך לא מפני שאין דעתו כן אלא טעם יש לדבר למה לא כתבו אלא שאין הפנאי מסכים להאריך בו</w:t>
      </w:r>
      <w:r w:rsidR="00D717EF">
        <w:rPr>
          <w:rFonts w:cs="Arial" w:hint="cs"/>
          <w:rtl/>
        </w:rPr>
        <w:t>,</w:t>
      </w:r>
      <w:r>
        <w:rPr>
          <w:rFonts w:cs="Arial"/>
          <w:rtl/>
        </w:rPr>
        <w:t xml:space="preserve"> והכל מודו דמעשה או מחשבה מערב שבת יתר לטלטל בשבת מה שאסור לטלטלו</w:t>
      </w:r>
      <w:r w:rsidR="00D717EF">
        <w:rPr>
          <w:rFonts w:cs="Arial" w:hint="cs"/>
          <w:rtl/>
        </w:rPr>
        <w:t>.</w:t>
      </w:r>
      <w:r>
        <w:rPr>
          <w:rFonts w:cs="Arial"/>
          <w:rtl/>
        </w:rPr>
        <w:t xml:space="preserve"> ומעתה צא ולמד לענין האי עובדא שאין איסור בדבר במה שהביאו עם הנער יום שבת לבית הכנסת כי בודאי מע"ש חשבו להביא</w:t>
      </w:r>
      <w:r w:rsidR="00D717EF">
        <w:rPr>
          <w:rFonts w:cs="Arial" w:hint="cs"/>
          <w:rtl/>
        </w:rPr>
        <w:t>.</w:t>
      </w:r>
      <w:r>
        <w:rPr>
          <w:rFonts w:cs="Arial"/>
          <w:rtl/>
        </w:rPr>
        <w:t xml:space="preserve"> וכן יש הוכחה לזה דמחשבה מועיל מההיא דאמרי' בפ' במה טומנין חריות של דקל שגדרן לעצים ונמלך עליהם לישיבה צריך לקשרם רשב"ג אומר אין צריך קשר אמרו שם רב אמר קשר כת"ק ושמואל אמר חשב סגי כרשב"ג ורב אשי אמר ישב סגי אעפ"י שלא חשב ולא קשר והלכה כרב אשי כמו שכתוב בהלכות ופירש"י ז"ל לדרב אשי כ"ש חשב אעפ"י שלא ישב מכאן למדנו שבמחשבה בלחוד סגי</w:t>
      </w:r>
      <w:r w:rsidR="00D717EF">
        <w:rPr>
          <w:rFonts w:cs="Arial" w:hint="cs"/>
          <w:rtl/>
        </w:rPr>
        <w:t>.</w:t>
      </w:r>
      <w:r>
        <w:rPr>
          <w:rFonts w:cs="Arial"/>
          <w:rtl/>
        </w:rPr>
        <w:t xml:space="preserve"> ועוד י"ל שלא תהא זאת אלא כקופה מלאה עפר שאם יחדה בקרן זוית מע"ש שמותר לטלטלה ולעשות מהעפר מה שירצה</w:t>
      </w:r>
      <w:r w:rsidR="00D717EF">
        <w:rPr>
          <w:rFonts w:cs="Arial" w:hint="cs"/>
          <w:rtl/>
        </w:rPr>
        <w:t>.</w:t>
      </w:r>
      <w:r>
        <w:rPr>
          <w:rFonts w:cs="Arial"/>
          <w:rtl/>
        </w:rPr>
        <w:t xml:space="preserve"> וכן היה בפ' במה טומנין אמר רב יהודה מכניס אדם מלא קופתו עפר ועושה בה כל צרכיו אמר רב זוטרא והוא שיחד לה קרן זוית</w:t>
      </w:r>
      <w:r w:rsidR="00D717EF">
        <w:rPr>
          <w:rFonts w:cs="Arial" w:hint="cs"/>
          <w:rtl/>
        </w:rPr>
        <w:t>.</w:t>
      </w:r>
      <w:r>
        <w:rPr>
          <w:rFonts w:cs="Arial"/>
          <w:rtl/>
        </w:rPr>
        <w:t xml:space="preserve"> א"כ למדנו מזה אין חשש טלטול במה שהכניס בידו הנער בשבת כי בודאי מע"ש חשבו להוציאה הרי הדבר מותר מצד טלטול השעוה. ואם מצד התחברות השעוה והפתילה והיו לנר</w:t>
      </w:r>
      <w:r w:rsidR="00D717EF">
        <w:rPr>
          <w:rFonts w:cs="Arial" w:hint="cs"/>
          <w:rtl/>
        </w:rPr>
        <w:t>,</w:t>
      </w:r>
      <w:r>
        <w:rPr>
          <w:rFonts w:cs="Arial"/>
          <w:rtl/>
        </w:rPr>
        <w:t xml:space="preserve"> פשיטא דנר חדש מותר לטלטלו בשבת</w:t>
      </w:r>
      <w:r w:rsidR="00D717EF">
        <w:rPr>
          <w:rFonts w:cs="Arial" w:hint="cs"/>
          <w:rtl/>
        </w:rPr>
        <w:t>,</w:t>
      </w:r>
      <w:r>
        <w:rPr>
          <w:rFonts w:cs="Arial"/>
          <w:rtl/>
        </w:rPr>
        <w:t xml:space="preserve"> שהרי שנינו בפ' כירה מטלטלין נר חדש אבל לא ישן ולית דפליג</w:t>
      </w:r>
      <w:r w:rsidR="00D717EF">
        <w:rPr>
          <w:rFonts w:cs="Arial" w:hint="cs"/>
          <w:rtl/>
        </w:rPr>
        <w:t>.</w:t>
      </w:r>
      <w:r>
        <w:rPr>
          <w:rFonts w:cs="Arial"/>
          <w:rtl/>
        </w:rPr>
        <w:t xml:space="preserve"> א"כ נר זה של שעוה חדש מותר הוא לטלטלו בשבת ואין בו צד איסור</w:t>
      </w:r>
      <w:r w:rsidR="00D717EF">
        <w:rPr>
          <w:rFonts w:cs="Arial" w:hint="cs"/>
          <w:rtl/>
        </w:rPr>
        <w:t>.</w:t>
      </w:r>
      <w:r>
        <w:rPr>
          <w:rFonts w:cs="Arial"/>
          <w:rtl/>
        </w:rPr>
        <w:t xml:space="preserve"> ואפי' בנר שהדליקו בו באותה שבת שאסור לטלטלו לכולי עלמא ואם התנה עליו מע"ש מותר לטלטלו בשבת כמו שכתב הרמב"ן ז"ל</w:t>
      </w:r>
      <w:r w:rsidR="00D717EF">
        <w:rPr>
          <w:rFonts w:cs="Arial" w:hint="cs"/>
          <w:rtl/>
        </w:rPr>
        <w:t>..</w:t>
      </w:r>
      <w:r>
        <w:rPr>
          <w:rFonts w:cs="Arial"/>
          <w:rtl/>
        </w:rPr>
        <w:t>.</w:t>
      </w:r>
    </w:p>
  </w:footnote>
  <w:footnote w:id="1575">
    <w:p w14:paraId="18C92F9C" w14:textId="3DB8D91D" w:rsidR="003A7CF0" w:rsidRDefault="003A7CF0" w:rsidP="00285819">
      <w:pPr>
        <w:pStyle w:val="a7"/>
      </w:pPr>
      <w:r>
        <w:rPr>
          <w:rStyle w:val="a9"/>
        </w:rPr>
        <w:footnoteRef/>
      </w:r>
      <w:r>
        <w:rPr>
          <w:rtl/>
        </w:rPr>
        <w:t xml:space="preserve"> </w:t>
      </w:r>
      <w:r w:rsidRPr="00F63421">
        <w:rPr>
          <w:rFonts w:cs="Arial"/>
          <w:rtl/>
        </w:rPr>
        <w:t>ולי אין הנדון דומה לראיה דשאני התם שהן ראויין להשתמש בהן בשבת</w:t>
      </w:r>
      <w:r>
        <w:rPr>
          <w:rFonts w:cs="Arial" w:hint="cs"/>
          <w:rtl/>
        </w:rPr>
        <w:t>,</w:t>
      </w:r>
      <w:r w:rsidRPr="00F63421">
        <w:rPr>
          <w:rFonts w:cs="Arial"/>
          <w:rtl/>
        </w:rPr>
        <w:t xml:space="preserve"> מה שאין כן בנר של שעוה</w:t>
      </w:r>
      <w:r>
        <w:rPr>
          <w:rFonts w:cs="Arial" w:hint="cs"/>
          <w:rtl/>
        </w:rPr>
        <w:t xml:space="preserve">, </w:t>
      </w:r>
      <w:r w:rsidRPr="002013E0">
        <w:rPr>
          <w:rFonts w:cs="Arial" w:hint="cs"/>
          <w:b/>
          <w:bCs/>
          <w:rtl/>
        </w:rPr>
        <w:t>ב"י</w:t>
      </w:r>
      <w:r>
        <w:rPr>
          <w:rFonts w:cs="Arial" w:hint="cs"/>
          <w:rtl/>
        </w:rPr>
        <w:t>.</w:t>
      </w:r>
      <w:r w:rsidR="002013E0" w:rsidRPr="002013E0">
        <w:rPr>
          <w:rtl/>
        </w:rPr>
        <w:t xml:space="preserve"> </w:t>
      </w:r>
      <w:r w:rsidR="002013E0" w:rsidRPr="002013E0">
        <w:rPr>
          <w:rFonts w:cs="Arial"/>
          <w:rtl/>
        </w:rPr>
        <w:t>ואפשר לדחות דזהו התשמיש שלהם שמביאין בבית המדרש עם התינוק</w:t>
      </w:r>
      <w:r w:rsidR="002013E0">
        <w:rPr>
          <w:rFonts w:hint="cs"/>
          <w:rtl/>
        </w:rPr>
        <w:t xml:space="preserve">, </w:t>
      </w:r>
      <w:r w:rsidR="002013E0" w:rsidRPr="002013E0">
        <w:rPr>
          <w:rFonts w:hint="cs"/>
          <w:b/>
          <w:bCs/>
          <w:rtl/>
        </w:rPr>
        <w:t>עולת שבת</w:t>
      </w:r>
      <w:r w:rsidR="002013E0">
        <w:rPr>
          <w:rFonts w:hint="cs"/>
          <w:rtl/>
        </w:rPr>
        <w:t xml:space="preserve"> (סק"נ</w:t>
      </w:r>
      <w:r w:rsidR="00BE0661">
        <w:rPr>
          <w:rFonts w:hint="cs"/>
          <w:rtl/>
        </w:rPr>
        <w:t xml:space="preserve">, </w:t>
      </w:r>
      <w:r w:rsidR="00BE0661" w:rsidRPr="00BE0661">
        <w:rPr>
          <w:rFonts w:cs="Arial"/>
          <w:rtl/>
        </w:rPr>
        <w:t>הרב שמואל ב"ר יוסף מקרקא</w:t>
      </w:r>
      <w:r w:rsidR="00BE0661">
        <w:rPr>
          <w:rFonts w:cs="Arial" w:hint="cs"/>
          <w:rtl/>
        </w:rPr>
        <w:t>.</w:t>
      </w:r>
      <w:r w:rsidR="00BE0661" w:rsidRPr="00BE0661">
        <w:rPr>
          <w:rFonts w:cs="Arial"/>
          <w:rtl/>
        </w:rPr>
        <w:t xml:space="preserve"> </w:t>
      </w:r>
      <w:r w:rsidR="00BE0661">
        <w:rPr>
          <w:rFonts w:cs="Arial" w:hint="cs"/>
          <w:rtl/>
        </w:rPr>
        <w:t>ה</w:t>
      </w:r>
      <w:r w:rsidR="00BE0661" w:rsidRPr="00BE0661">
        <w:rPr>
          <w:rFonts w:cs="Arial"/>
          <w:rtl/>
        </w:rPr>
        <w:t>מגן אברהם מביא את דבריו פעמים רבות וחולק עליו באופן שיטתי ולפעמים בחריפות</w:t>
      </w:r>
      <w:r w:rsidR="002013E0">
        <w:rPr>
          <w:rFonts w:hint="cs"/>
          <w:rtl/>
        </w:rPr>
        <w:t>).</w:t>
      </w:r>
      <w:r w:rsidR="00BE0661" w:rsidRPr="00BE0661">
        <w:rPr>
          <w:rtl/>
        </w:rPr>
        <w:t xml:space="preserve"> </w:t>
      </w:r>
      <w:r w:rsidR="00BE0661" w:rsidRPr="00BE0661">
        <w:rPr>
          <w:rFonts w:cs="Arial"/>
          <w:rtl/>
        </w:rPr>
        <w:t>ו</w:t>
      </w:r>
      <w:r w:rsidR="00BE0661">
        <w:rPr>
          <w:rFonts w:cs="Arial" w:hint="cs"/>
          <w:rtl/>
        </w:rPr>
        <w:t xml:space="preserve">כ"כ </w:t>
      </w:r>
      <w:r w:rsidR="00BE0661" w:rsidRPr="00BE0661">
        <w:rPr>
          <w:rFonts w:cs="Arial" w:hint="cs"/>
          <w:b/>
          <w:bCs/>
          <w:rtl/>
        </w:rPr>
        <w:t>המג"א</w:t>
      </w:r>
      <w:r w:rsidR="00BE0661">
        <w:rPr>
          <w:rFonts w:cs="Arial" w:hint="cs"/>
          <w:rtl/>
        </w:rPr>
        <w:t xml:space="preserve"> (סקי"ח) וז"ל- ו</w:t>
      </w:r>
      <w:r w:rsidR="00BE0661" w:rsidRPr="00BE0661">
        <w:rPr>
          <w:rFonts w:cs="Arial"/>
          <w:rtl/>
        </w:rPr>
        <w:t>טעם המקומות</w:t>
      </w:r>
      <w:r w:rsidR="00BE0661">
        <w:rPr>
          <w:rFonts w:cs="Arial" w:hint="cs"/>
          <w:rtl/>
        </w:rPr>
        <w:t xml:space="preserve"> </w:t>
      </w:r>
      <w:r w:rsidR="00BE0661" w:rsidRPr="00BE0661">
        <w:rPr>
          <w:rFonts w:cs="Arial"/>
          <w:rtl/>
        </w:rPr>
        <w:t>כגון שהקטן נוטלו בידו ליכ</w:t>
      </w:r>
      <w:r w:rsidR="00BE0661">
        <w:rPr>
          <w:rFonts w:cs="Arial" w:hint="cs"/>
          <w:rtl/>
        </w:rPr>
        <w:t>א</w:t>
      </w:r>
      <w:r w:rsidR="00BE0661" w:rsidRPr="00BE0661">
        <w:rPr>
          <w:rFonts w:cs="Arial"/>
          <w:rtl/>
        </w:rPr>
        <w:t xml:space="preserve"> איסור</w:t>
      </w:r>
      <w:r w:rsidR="00BE0661">
        <w:rPr>
          <w:rFonts w:cs="Arial" w:hint="cs"/>
          <w:rtl/>
        </w:rPr>
        <w:t xml:space="preserve">א. </w:t>
      </w:r>
      <w:r w:rsidR="00BE0661" w:rsidRPr="00BE0661">
        <w:rPr>
          <w:rFonts w:cs="Arial"/>
          <w:rtl/>
        </w:rPr>
        <w:t>ומיהו יש להחמיר ערסי' ש"ט וסי' שמ"ג</w:t>
      </w:r>
      <w:r w:rsidR="00EA71EE">
        <w:rPr>
          <w:rFonts w:cs="Arial" w:hint="cs"/>
          <w:rtl/>
        </w:rPr>
        <w:t>. עכ"ל. היינו שיש להחמיר מכיון ש</w:t>
      </w:r>
      <w:r w:rsidR="00EA71EE" w:rsidRPr="00EA71EE">
        <w:rPr>
          <w:rFonts w:cs="Arial"/>
          <w:rtl/>
        </w:rPr>
        <w:t>להאכילו בידים, אסור אפילו דברים שאסורים מדברי סופרים</w:t>
      </w:r>
      <w:r w:rsidR="00BE0661">
        <w:rPr>
          <w:rFonts w:cs="Arial" w:hint="cs"/>
          <w:rtl/>
        </w:rPr>
        <w:t xml:space="preserve"> (</w:t>
      </w:r>
      <w:r w:rsidR="00EA71EE">
        <w:rPr>
          <w:rFonts w:cs="Arial" w:hint="cs"/>
          <w:rtl/>
        </w:rPr>
        <w:t xml:space="preserve">כמבואר בסי' שמג, </w:t>
      </w:r>
      <w:r w:rsidR="00BE0661">
        <w:rPr>
          <w:rFonts w:cs="Arial" w:hint="cs"/>
          <w:rtl/>
        </w:rPr>
        <w:t>דיני קטן בשבת).</w:t>
      </w:r>
    </w:p>
  </w:footnote>
  <w:footnote w:id="1576">
    <w:p w14:paraId="6CA8AF09" w14:textId="77939CF9" w:rsidR="002013E0" w:rsidRDefault="002013E0" w:rsidP="00285819">
      <w:pPr>
        <w:pStyle w:val="a7"/>
      </w:pPr>
      <w:r>
        <w:rPr>
          <w:rStyle w:val="a9"/>
        </w:rPr>
        <w:footnoteRef/>
      </w:r>
      <w:r>
        <w:rPr>
          <w:rtl/>
        </w:rPr>
        <w:t xml:space="preserve"> </w:t>
      </w:r>
      <w:r w:rsidRPr="002013E0">
        <w:rPr>
          <w:rFonts w:cs="Arial"/>
          <w:rtl/>
        </w:rPr>
        <w:t>והוא הדין לאיים על התינוקות (מ"ב סקצ"ח). אמנם אין ללמוד מכאן להתיר לייחד מבעוד יום ברשותו אבנים ושאר דברי מוקצה על מנת לזורקן בשבת על בעלי חיים או גנבים או שאר בני אדם שרוצה להפחידם, כי יש להבדיל בין ענף דקל שנשאר ברשותו והוא יחוד לעולם לצורך זה, משא"כ אבנים וכדו' שלאחר שזורקן חוזרים להיות הפקר, ואין זה יחוד לעולם, לכן אסור הדבר בהחלט, אא"כ הוא במצב של סכנה מחמת בעלי חיים הרודפים אחריו (ואפילו אינו סכנת חיים), שבזה התירו גם טלטול מוקצה ממש</w:t>
      </w:r>
      <w:r>
        <w:rPr>
          <w:rFonts w:cs="Arial" w:hint="cs"/>
          <w:rtl/>
        </w:rPr>
        <w:t>, פסק"ת (אות לו).</w:t>
      </w:r>
    </w:p>
  </w:footnote>
  <w:footnote w:id="1577">
    <w:p w14:paraId="21EE7457" w14:textId="51641612" w:rsidR="002013E0" w:rsidRDefault="002013E0" w:rsidP="00285819">
      <w:pPr>
        <w:pStyle w:val="a7"/>
      </w:pPr>
      <w:r>
        <w:rPr>
          <w:rStyle w:val="a9"/>
        </w:rPr>
        <w:footnoteRef/>
      </w:r>
      <w:r>
        <w:rPr>
          <w:rtl/>
        </w:rPr>
        <w:t xml:space="preserve"> </w:t>
      </w:r>
      <w:r w:rsidRPr="002013E0">
        <w:rPr>
          <w:rFonts w:cs="Arial"/>
          <w:rtl/>
        </w:rPr>
        <w:t>לאו דוקא כשחתכו לצורך דה"ה כשחתכו לשרפה והוי מוקצה ואח"כ יחדו לכך מבע"י כיון דאורחיה הוא מהני יחוד לשבת זו וכנ"ל בסכ"ב [תו"ש ופמ"ג]</w:t>
      </w:r>
      <w:r>
        <w:rPr>
          <w:rFonts w:cs="Arial" w:hint="cs"/>
          <w:rtl/>
        </w:rPr>
        <w:t>, משנ"ב (סק"ק).</w:t>
      </w:r>
    </w:p>
  </w:footnote>
  <w:footnote w:id="1578">
    <w:p w14:paraId="596C9815" w14:textId="77777777" w:rsidR="00EA71EE" w:rsidRDefault="00EA71EE" w:rsidP="00285819">
      <w:pPr>
        <w:pStyle w:val="a7"/>
      </w:pPr>
      <w:r>
        <w:rPr>
          <w:rStyle w:val="a9"/>
        </w:rPr>
        <w:footnoteRef/>
      </w:r>
      <w:r>
        <w:rPr>
          <w:rtl/>
        </w:rPr>
        <w:t xml:space="preserve"> </w:t>
      </w:r>
      <w:r w:rsidRPr="00F63421">
        <w:rPr>
          <w:rFonts w:cs="Arial"/>
          <w:rtl/>
        </w:rPr>
        <w:t>לקשרן יחד מבעוד יום להוכיח שלישיבה עומדין ואם לא קשרם יחד אסור לטלטלן למחר דלא הוי יחוד במחשבה</w:t>
      </w:r>
      <w:r>
        <w:rPr>
          <w:rFonts w:cs="Arial" w:hint="cs"/>
          <w:rtl/>
        </w:rPr>
        <w:t>, רש"י.</w:t>
      </w:r>
    </w:p>
  </w:footnote>
  <w:footnote w:id="1579">
    <w:p w14:paraId="36134E9F" w14:textId="77777777" w:rsidR="00EA71EE" w:rsidRDefault="00EA71EE" w:rsidP="00285819">
      <w:pPr>
        <w:pStyle w:val="a7"/>
        <w:rPr>
          <w:rtl/>
        </w:rPr>
      </w:pPr>
      <w:r>
        <w:rPr>
          <w:rStyle w:val="a9"/>
        </w:rPr>
        <w:footnoteRef/>
      </w:r>
      <w:r>
        <w:rPr>
          <w:rtl/>
        </w:rPr>
        <w:t xml:space="preserve"> </w:t>
      </w:r>
      <w:r w:rsidRPr="008575C7">
        <w:rPr>
          <w:rFonts w:cs="Arial"/>
          <w:rtl/>
        </w:rPr>
        <w:t>עליהן מבעוד יום</w:t>
      </w:r>
      <w:r>
        <w:rPr>
          <w:rFonts w:hint="cs"/>
          <w:rtl/>
        </w:rPr>
        <w:t>, רש"י.</w:t>
      </w:r>
    </w:p>
  </w:footnote>
  <w:footnote w:id="1580">
    <w:p w14:paraId="1DBC004E" w14:textId="77777777" w:rsidR="00EA71EE" w:rsidRDefault="00EA71EE" w:rsidP="00285819">
      <w:pPr>
        <w:pStyle w:val="a7"/>
      </w:pPr>
      <w:r>
        <w:rPr>
          <w:rStyle w:val="a9"/>
        </w:rPr>
        <w:footnoteRef/>
      </w:r>
      <w:r>
        <w:rPr>
          <w:rtl/>
        </w:rPr>
        <w:t xml:space="preserve"> </w:t>
      </w:r>
      <w:r w:rsidRPr="008575C7">
        <w:rPr>
          <w:rFonts w:cs="Arial"/>
          <w:rtl/>
        </w:rPr>
        <w:t>עליהן לישב למחר - גלי דעתיה דלישיבה קיימי</w:t>
      </w:r>
      <w:r>
        <w:rPr>
          <w:rFonts w:cs="Arial" w:hint="cs"/>
          <w:rtl/>
        </w:rPr>
        <w:t>, רש"י.</w:t>
      </w:r>
    </w:p>
  </w:footnote>
  <w:footnote w:id="1581">
    <w:p w14:paraId="5064824F" w14:textId="77777777" w:rsidR="00EA71EE" w:rsidRDefault="00EA71EE" w:rsidP="00285819">
      <w:pPr>
        <w:pStyle w:val="a7"/>
        <w:rPr>
          <w:rtl/>
        </w:rPr>
      </w:pPr>
      <w:r>
        <w:rPr>
          <w:rStyle w:val="a9"/>
        </w:rPr>
        <w:footnoteRef/>
      </w:r>
      <w:r>
        <w:rPr>
          <w:rtl/>
        </w:rPr>
        <w:t xml:space="preserve"> </w:t>
      </w:r>
      <w:r w:rsidRPr="00A26498">
        <w:rPr>
          <w:rFonts w:cs="Arial"/>
          <w:rtl/>
        </w:rPr>
        <w:t>פשתן סרוק שנותנין על המכה</w:t>
      </w:r>
      <w:r>
        <w:rPr>
          <w:rFonts w:hint="cs"/>
          <w:rtl/>
        </w:rPr>
        <w:t>, רש"י.</w:t>
      </w:r>
    </w:p>
  </w:footnote>
  <w:footnote w:id="1582">
    <w:p w14:paraId="3AE7DF99" w14:textId="14B5EB5A" w:rsidR="00EA71EE" w:rsidRDefault="00EA71EE" w:rsidP="00285819">
      <w:pPr>
        <w:pStyle w:val="a7"/>
      </w:pPr>
      <w:r>
        <w:rPr>
          <w:rStyle w:val="a9"/>
        </w:rPr>
        <w:footnoteRef/>
      </w:r>
      <w:r>
        <w:rPr>
          <w:rtl/>
        </w:rPr>
        <w:t xml:space="preserve"> </w:t>
      </w:r>
      <w:r w:rsidRPr="00A26498">
        <w:rPr>
          <w:rFonts w:cs="Arial"/>
          <w:rtl/>
        </w:rPr>
        <w:t>צמר מנופץ הניתן על המכה</w:t>
      </w:r>
      <w:r>
        <w:rPr>
          <w:rFonts w:cs="Arial" w:hint="cs"/>
          <w:rtl/>
        </w:rPr>
        <w:t>, רש"י.</w:t>
      </w:r>
      <w:r w:rsidR="002D0806">
        <w:rPr>
          <w:rFonts w:hint="cs"/>
          <w:rtl/>
        </w:rPr>
        <w:t xml:space="preserve"> והתוס' (ד"ה </w:t>
      </w:r>
      <w:r w:rsidR="002D0806" w:rsidRPr="002D0806">
        <w:rPr>
          <w:rFonts w:cs="Arial"/>
          <w:rtl/>
        </w:rPr>
        <w:t>בפקורין ובציפא</w:t>
      </w:r>
      <w:r w:rsidR="002D0806">
        <w:rPr>
          <w:rFonts w:cs="Arial" w:hint="cs"/>
          <w:rtl/>
        </w:rPr>
        <w:t>) כתבו</w:t>
      </w:r>
      <w:r w:rsidR="002D0806" w:rsidRPr="002D0806">
        <w:rPr>
          <w:rFonts w:cs="Arial"/>
          <w:rtl/>
        </w:rPr>
        <w:t>- פר"ח כיפה שיש בה שער ונותנין אותה בראש הקרח ונראה שהוא שער ראשו</w:t>
      </w:r>
      <w:r w:rsidR="002D0806">
        <w:rPr>
          <w:rFonts w:hint="cs"/>
          <w:rtl/>
        </w:rPr>
        <w:t>.</w:t>
      </w:r>
    </w:p>
  </w:footnote>
  <w:footnote w:id="1583">
    <w:p w14:paraId="6C79D4AF" w14:textId="77777777" w:rsidR="00EA71EE" w:rsidRDefault="00EA71EE" w:rsidP="00285819">
      <w:pPr>
        <w:pStyle w:val="a7"/>
      </w:pPr>
      <w:r>
        <w:rPr>
          <w:rStyle w:val="a9"/>
        </w:rPr>
        <w:footnoteRef/>
      </w:r>
      <w:r>
        <w:rPr>
          <w:rtl/>
        </w:rPr>
        <w:t xml:space="preserve"> </w:t>
      </w:r>
      <w:r w:rsidRPr="00A26498">
        <w:rPr>
          <w:rFonts w:cs="Arial"/>
          <w:rtl/>
        </w:rPr>
        <w:t>גלי דעתיה דלמכה קיימי, להניחן עליה בשבת, דלאו לרפואה נינהו, אלא שלא ישרטו מלבושיו את מכתו, והוה ליה כמלבוש דעלמא, אבל לא צבען בשמן, דלאו מלבוש נינהו - הוה ליה משאוי, ואין יוצאין בו לרשות הרבים</w:t>
      </w:r>
      <w:r>
        <w:rPr>
          <w:rFonts w:cs="Arial" w:hint="cs"/>
          <w:rtl/>
        </w:rPr>
        <w:t>, רש"י.</w:t>
      </w:r>
    </w:p>
  </w:footnote>
  <w:footnote w:id="1584">
    <w:p w14:paraId="12489F5F" w14:textId="5B4F5F5B" w:rsidR="002D0806" w:rsidRDefault="002D0806" w:rsidP="00285819">
      <w:pPr>
        <w:pStyle w:val="a7"/>
        <w:rPr>
          <w:rtl/>
        </w:rPr>
      </w:pPr>
      <w:r>
        <w:rPr>
          <w:rStyle w:val="a9"/>
        </w:rPr>
        <w:footnoteRef/>
      </w:r>
      <w:r>
        <w:rPr>
          <w:rtl/>
        </w:rPr>
        <w:t xml:space="preserve"> </w:t>
      </w:r>
      <w:r w:rsidRPr="002D0806">
        <w:rPr>
          <w:rFonts w:cs="Arial"/>
          <w:rtl/>
        </w:rPr>
        <w:t>לאו דוקא אין יוצאין</w:t>
      </w:r>
      <w:r>
        <w:rPr>
          <w:rFonts w:cs="Arial" w:hint="cs"/>
          <w:rtl/>
        </w:rPr>
        <w:t>,</w:t>
      </w:r>
      <w:r w:rsidRPr="002D0806">
        <w:rPr>
          <w:rFonts w:cs="Arial"/>
          <w:rtl/>
        </w:rPr>
        <w:t xml:space="preserve"> דאפילו לטלטלם אסור לפי שאינם מוכנים</w:t>
      </w:r>
      <w:r>
        <w:rPr>
          <w:rFonts w:cs="Arial" w:hint="cs"/>
          <w:rtl/>
        </w:rPr>
        <w:t>,</w:t>
      </w:r>
      <w:r w:rsidRPr="002D0806">
        <w:rPr>
          <w:rFonts w:cs="Arial"/>
          <w:rtl/>
        </w:rPr>
        <w:t xml:space="preserve"> אלא נקט אין יוצאין אגב רישא</w:t>
      </w:r>
      <w:r>
        <w:rPr>
          <w:rFonts w:cs="Arial" w:hint="cs"/>
          <w:rtl/>
        </w:rPr>
        <w:t>.</w:t>
      </w:r>
      <w:r w:rsidRPr="002D0806">
        <w:rPr>
          <w:rFonts w:cs="Arial"/>
          <w:rtl/>
        </w:rPr>
        <w:t xml:space="preserve"> ובסמוך נמי דקאמר </w:t>
      </w:r>
      <w:r>
        <w:rPr>
          <w:rFonts w:cs="Arial" w:hint="cs"/>
          <w:rtl/>
        </w:rPr>
        <w:t>'</w:t>
      </w:r>
      <w:r w:rsidRPr="002D0806">
        <w:rPr>
          <w:rFonts w:cs="Arial"/>
          <w:rtl/>
        </w:rPr>
        <w:t>אבל יצא בהן שעה אחת מבעוד יום</w:t>
      </w:r>
      <w:r>
        <w:rPr>
          <w:rFonts w:cs="Arial" w:hint="cs"/>
          <w:rtl/>
        </w:rPr>
        <w:t>' -</w:t>
      </w:r>
      <w:r w:rsidRPr="002D0806">
        <w:rPr>
          <w:rFonts w:cs="Arial"/>
          <w:rtl/>
        </w:rPr>
        <w:t xml:space="preserve"> לאו דוקא יצא</w:t>
      </w:r>
      <w:r>
        <w:rPr>
          <w:rFonts w:cs="Arial" w:hint="cs"/>
          <w:rtl/>
        </w:rPr>
        <w:t>,</w:t>
      </w:r>
      <w:r w:rsidRPr="002D0806">
        <w:rPr>
          <w:rFonts w:cs="Arial"/>
          <w:rtl/>
        </w:rPr>
        <w:t xml:space="preserve"> דהוא הדין ישב בהן בביתו</w:t>
      </w:r>
      <w:r>
        <w:rPr>
          <w:rFonts w:hint="cs"/>
          <w:rtl/>
        </w:rPr>
        <w:t xml:space="preserve">, </w:t>
      </w:r>
      <w:r w:rsidRPr="00CA2B84">
        <w:rPr>
          <w:rFonts w:hint="cs"/>
          <w:b/>
          <w:bCs/>
          <w:rtl/>
        </w:rPr>
        <w:t>תוס'</w:t>
      </w:r>
      <w:r>
        <w:rPr>
          <w:rFonts w:hint="cs"/>
          <w:rtl/>
        </w:rPr>
        <w:t xml:space="preserve"> </w:t>
      </w:r>
      <w:r w:rsidRPr="006B1C07">
        <w:rPr>
          <w:rFonts w:hint="cs"/>
          <w:sz w:val="16"/>
          <w:szCs w:val="16"/>
          <w:rtl/>
        </w:rPr>
        <w:t xml:space="preserve">(שם ד"ה </w:t>
      </w:r>
      <w:r w:rsidRPr="006B1C07">
        <w:rPr>
          <w:rFonts w:cs="Arial"/>
          <w:sz w:val="16"/>
          <w:szCs w:val="16"/>
          <w:rtl/>
        </w:rPr>
        <w:t>אבל לא צבען בשמן אין יוצאין בהן</w:t>
      </w:r>
      <w:r w:rsidRPr="006B1C07">
        <w:rPr>
          <w:rFonts w:cs="Arial" w:hint="cs"/>
          <w:sz w:val="16"/>
          <w:szCs w:val="16"/>
          <w:rtl/>
        </w:rPr>
        <w:t>)</w:t>
      </w:r>
      <w:r>
        <w:rPr>
          <w:rFonts w:cs="Arial" w:hint="cs"/>
          <w:rtl/>
        </w:rPr>
        <w:t>.</w:t>
      </w:r>
      <w:r>
        <w:rPr>
          <w:rFonts w:hint="cs"/>
          <w:rtl/>
        </w:rPr>
        <w:t xml:space="preserve"> </w:t>
      </w:r>
      <w:r w:rsidR="00CA2B84" w:rsidRPr="00F63421">
        <w:rPr>
          <w:rFonts w:cs="Arial"/>
          <w:rtl/>
        </w:rPr>
        <w:t>וכך מבואר בדברי רבינו שכתב מותר ליתנם על גבי המכה בשבת שאין בהן משום מוקצה אך במה שכתב או שיצא בהן היה לו לפרש דאפילו לא יצא נמי אלא ישב בהן בביתו סגי</w:t>
      </w:r>
      <w:r w:rsidR="006B1C07">
        <w:rPr>
          <w:rFonts w:hint="cs"/>
          <w:rtl/>
        </w:rPr>
        <w:t>...</w:t>
      </w:r>
      <w:r w:rsidR="006B1C07" w:rsidRPr="006B1C07">
        <w:rPr>
          <w:rFonts w:cs="Arial"/>
          <w:rtl/>
        </w:rPr>
        <w:t xml:space="preserve"> </w:t>
      </w:r>
      <w:r w:rsidR="006B1C07" w:rsidRPr="00F63421">
        <w:rPr>
          <w:rFonts w:cs="Arial"/>
          <w:rtl/>
        </w:rPr>
        <w:t>והרמב"ם כתב הא דיוצאין בפקורין ובציפה בפי"ט (הט"ז) בדיני הוצאה</w:t>
      </w:r>
      <w:r w:rsidR="006B1C07">
        <w:rPr>
          <w:rFonts w:cs="Arial" w:hint="cs"/>
          <w:rtl/>
        </w:rPr>
        <w:t>.</w:t>
      </w:r>
      <w:r w:rsidR="006B1C07" w:rsidRPr="00F63421">
        <w:rPr>
          <w:rFonts w:cs="Arial"/>
          <w:rtl/>
        </w:rPr>
        <w:t xml:space="preserve"> נראה שהוא מפרשה לענין הוצאה כפשטא דלישנא דקתני אין יוצאין בהם ואם יצא בהן וכו'</w:t>
      </w:r>
      <w:r w:rsidR="006B1C07">
        <w:rPr>
          <w:rFonts w:cs="Arial" w:hint="cs"/>
          <w:rtl/>
        </w:rPr>
        <w:t>,</w:t>
      </w:r>
      <w:r w:rsidR="006B1C07" w:rsidRPr="00F63421">
        <w:rPr>
          <w:rFonts w:cs="Arial"/>
          <w:rtl/>
        </w:rPr>
        <w:t xml:space="preserve"> וכבר ביארתי דבריו בס</w:t>
      </w:r>
      <w:r w:rsidR="006B1C07">
        <w:rPr>
          <w:rFonts w:cs="Arial" w:hint="cs"/>
          <w:rtl/>
        </w:rPr>
        <w:t>"ס</w:t>
      </w:r>
      <w:r w:rsidR="006B1C07" w:rsidRPr="00F63421">
        <w:rPr>
          <w:rFonts w:cs="Arial"/>
          <w:rtl/>
        </w:rPr>
        <w:t xml:space="preserve"> ש"א (נד: ד"ה ומ"ש רבינו ולא)</w:t>
      </w:r>
      <w:r w:rsidR="00CA2B84">
        <w:rPr>
          <w:rFonts w:hint="cs"/>
          <w:rtl/>
        </w:rPr>
        <w:t xml:space="preserve">, </w:t>
      </w:r>
      <w:r w:rsidR="00CA2B84" w:rsidRPr="00CA2B84">
        <w:rPr>
          <w:rFonts w:hint="cs"/>
          <w:b/>
          <w:bCs/>
          <w:rtl/>
        </w:rPr>
        <w:t>ב"י</w:t>
      </w:r>
      <w:r w:rsidR="00CA2B84">
        <w:rPr>
          <w:rFonts w:hint="cs"/>
          <w:rtl/>
        </w:rPr>
        <w:t>.</w:t>
      </w:r>
    </w:p>
  </w:footnote>
  <w:footnote w:id="1585">
    <w:p w14:paraId="18E13131" w14:textId="1DF1FA88" w:rsidR="00EA71EE" w:rsidRDefault="00EA71EE" w:rsidP="00285819">
      <w:pPr>
        <w:pStyle w:val="a7"/>
      </w:pPr>
      <w:r>
        <w:rPr>
          <w:rStyle w:val="a9"/>
        </w:rPr>
        <w:footnoteRef/>
      </w:r>
      <w:r>
        <w:rPr>
          <w:rtl/>
        </w:rPr>
        <w:t xml:space="preserve"> </w:t>
      </w:r>
      <w:r w:rsidRPr="009F64BF">
        <w:rPr>
          <w:rFonts w:cs="Arial"/>
          <w:rtl/>
        </w:rPr>
        <w:t>היינו כרב אסי, דאמר: ישב אע</w:t>
      </w:r>
      <w:r w:rsidR="00252032">
        <w:rPr>
          <w:rFonts w:cs="Arial" w:hint="cs"/>
          <w:rtl/>
        </w:rPr>
        <w:t>"</w:t>
      </w:r>
      <w:r w:rsidRPr="009F64BF">
        <w:rPr>
          <w:rFonts w:cs="Arial"/>
          <w:rtl/>
        </w:rPr>
        <w:t>פ שלא קשר ולא חישב</w:t>
      </w:r>
      <w:r>
        <w:rPr>
          <w:rFonts w:cs="Arial" w:hint="cs"/>
          <w:rtl/>
        </w:rPr>
        <w:t>, רש"י.</w:t>
      </w:r>
    </w:p>
  </w:footnote>
  <w:footnote w:id="1586">
    <w:p w14:paraId="2D9BF4EE" w14:textId="3480341F" w:rsidR="002F12FF" w:rsidRDefault="002F12FF" w:rsidP="00285819">
      <w:pPr>
        <w:pStyle w:val="a7"/>
        <w:rPr>
          <w:rtl/>
        </w:rPr>
      </w:pPr>
      <w:r>
        <w:rPr>
          <w:rStyle w:val="a9"/>
        </w:rPr>
        <w:footnoteRef/>
      </w:r>
      <w:r>
        <w:rPr>
          <w:rtl/>
        </w:rPr>
        <w:t xml:space="preserve"> </w:t>
      </w:r>
      <w:r w:rsidRPr="00CA2B84">
        <w:rPr>
          <w:rFonts w:cs="Arial"/>
          <w:rtl/>
        </w:rPr>
        <w:t>ולפי דברי ר"י (תוס' ד"ה ואם) משמע דבעיא מחשבה לצורך השבת</w:t>
      </w:r>
      <w:r>
        <w:rPr>
          <w:rFonts w:cs="Arial" w:hint="cs"/>
          <w:rtl/>
        </w:rPr>
        <w:t>,</w:t>
      </w:r>
      <w:r w:rsidRPr="00CA2B84">
        <w:rPr>
          <w:rFonts w:cs="Arial"/>
          <w:rtl/>
        </w:rPr>
        <w:t xml:space="preserve"> והך צביעה דצבען כדי לצאת בהן מבעוד יום גריעא ממחשבה לצורך שבת</w:t>
      </w:r>
      <w:r w:rsidRPr="00CA2B84">
        <w:rPr>
          <w:rFonts w:cs="Arial" w:hint="cs"/>
          <w:rtl/>
        </w:rPr>
        <w:t>,</w:t>
      </w:r>
      <w:r w:rsidRPr="00CA2B84">
        <w:rPr>
          <w:rFonts w:cs="Arial"/>
          <w:rtl/>
        </w:rPr>
        <w:t xml:space="preserve"> וקמשמע לן דאפילו הכי מהניא</w:t>
      </w:r>
      <w:r w:rsidRPr="00CA2B84">
        <w:rPr>
          <w:rFonts w:cs="Arial" w:hint="cs"/>
          <w:rtl/>
        </w:rPr>
        <w:t>.</w:t>
      </w:r>
      <w:r w:rsidRPr="00CA2B84">
        <w:rPr>
          <w:rFonts w:cs="Arial"/>
          <w:rtl/>
        </w:rPr>
        <w:t xml:space="preserve"> ולא משמע הכי לעיל</w:t>
      </w:r>
      <w:r w:rsidRPr="00CA2B84">
        <w:rPr>
          <w:rFonts w:cs="Arial" w:hint="cs"/>
          <w:rtl/>
        </w:rPr>
        <w:t>,</w:t>
      </w:r>
      <w:r w:rsidRPr="00CA2B84">
        <w:rPr>
          <w:rFonts w:cs="Arial"/>
          <w:rtl/>
        </w:rPr>
        <w:t xml:space="preserve"> דנמלך עליהן דקתני גבי חריות של דקל משמע דאפילו בחול מהניא הך מחשבה לרבן שמעון בן גמליאל</w:t>
      </w:r>
      <w:r w:rsidR="00237756">
        <w:rPr>
          <w:rFonts w:cs="Arial" w:hint="cs"/>
          <w:rtl/>
        </w:rPr>
        <w:t>...</w:t>
      </w:r>
      <w:r>
        <w:rPr>
          <w:rFonts w:hint="cs"/>
          <w:rtl/>
        </w:rPr>
        <w:t>, רא"ש (סי' ח).</w:t>
      </w:r>
    </w:p>
  </w:footnote>
  <w:footnote w:id="1587">
    <w:p w14:paraId="0110177E" w14:textId="1E9F6CE7" w:rsidR="00E96D56" w:rsidRDefault="00E96D56" w:rsidP="00285819">
      <w:pPr>
        <w:pStyle w:val="a7"/>
      </w:pPr>
      <w:r>
        <w:rPr>
          <w:rStyle w:val="a9"/>
        </w:rPr>
        <w:footnoteRef/>
      </w:r>
      <w:r>
        <w:rPr>
          <w:rtl/>
        </w:rPr>
        <w:t xml:space="preserve"> </w:t>
      </w:r>
      <w:r w:rsidRPr="00E96D56">
        <w:rPr>
          <w:rFonts w:cs="Arial"/>
          <w:rtl/>
        </w:rPr>
        <w:t>הטעם הכל כנ"ל בחריות ס"כ דכיון שחשב או ישב הוסר מעליהם שם מוקצה</w:t>
      </w:r>
      <w:r>
        <w:rPr>
          <w:rFonts w:cs="Arial" w:hint="cs"/>
          <w:rtl/>
        </w:rPr>
        <w:t>, משנ"ב (סקק"א).</w:t>
      </w:r>
    </w:p>
  </w:footnote>
  <w:footnote w:id="1588">
    <w:p w14:paraId="580E35C1" w14:textId="3689166D" w:rsidR="00E96D56" w:rsidRDefault="00E96D56" w:rsidP="00285819">
      <w:pPr>
        <w:pStyle w:val="a7"/>
      </w:pPr>
      <w:r>
        <w:rPr>
          <w:rStyle w:val="a9"/>
        </w:rPr>
        <w:footnoteRef/>
      </w:r>
      <w:r>
        <w:rPr>
          <w:rtl/>
        </w:rPr>
        <w:t xml:space="preserve"> </w:t>
      </w:r>
      <w:r w:rsidRPr="00E96D56">
        <w:rPr>
          <w:rFonts w:cs="Arial"/>
          <w:rtl/>
        </w:rPr>
        <w:t>לפי מה שכתוב לעיל בס"כ ה"ה אם חשב ליתנם על המכה בחול</w:t>
      </w:r>
      <w:r>
        <w:rPr>
          <w:rFonts w:cs="Arial" w:hint="cs"/>
          <w:rtl/>
        </w:rPr>
        <w:t>, משנ"ב (סקק"ג).</w:t>
      </w:r>
    </w:p>
  </w:footnote>
  <w:footnote w:id="1589">
    <w:p w14:paraId="2B04640F" w14:textId="13CC3414" w:rsidR="00E22E6C" w:rsidRDefault="00E22E6C" w:rsidP="00285819">
      <w:pPr>
        <w:pStyle w:val="a7"/>
        <w:rPr>
          <w:rtl/>
        </w:rPr>
      </w:pPr>
      <w:r>
        <w:rPr>
          <w:rStyle w:val="a9"/>
        </w:rPr>
        <w:footnoteRef/>
      </w:r>
      <w:r>
        <w:rPr>
          <w:rtl/>
        </w:rPr>
        <w:t xml:space="preserve"> </w:t>
      </w:r>
      <w:r w:rsidRPr="00E22E6C">
        <w:rPr>
          <w:rFonts w:cs="Arial"/>
          <w:rtl/>
        </w:rPr>
        <w:t>צ"ע</w:t>
      </w:r>
      <w:r>
        <w:rPr>
          <w:rFonts w:cs="Arial" w:hint="cs"/>
          <w:rtl/>
        </w:rPr>
        <w:t>,</w:t>
      </w:r>
      <w:r w:rsidRPr="00E22E6C">
        <w:rPr>
          <w:rFonts w:cs="Arial"/>
          <w:rtl/>
        </w:rPr>
        <w:t xml:space="preserve"> דהא הר"ן בשם הר"י לא אסר אלא לצאת בהן משום דלא מוכח</w:t>
      </w:r>
      <w:r>
        <w:rPr>
          <w:rFonts w:cs="Arial" w:hint="cs"/>
          <w:rtl/>
        </w:rPr>
        <w:t>א</w:t>
      </w:r>
      <w:r w:rsidRPr="00E22E6C">
        <w:rPr>
          <w:rFonts w:cs="Arial"/>
          <w:rtl/>
        </w:rPr>
        <w:t xml:space="preserve"> מילת</w:t>
      </w:r>
      <w:r>
        <w:rPr>
          <w:rFonts w:cs="Arial" w:hint="cs"/>
          <w:rtl/>
        </w:rPr>
        <w:t>א</w:t>
      </w:r>
      <w:r w:rsidRPr="00E22E6C">
        <w:rPr>
          <w:rFonts w:cs="Arial"/>
          <w:rtl/>
        </w:rPr>
        <w:t xml:space="preserve"> דמיחדו למכתו ומחזי כמוצי</w:t>
      </w:r>
      <w:r>
        <w:rPr>
          <w:rFonts w:cs="Arial" w:hint="cs"/>
          <w:rtl/>
        </w:rPr>
        <w:t>א</w:t>
      </w:r>
      <w:r w:rsidRPr="00E22E6C">
        <w:rPr>
          <w:rFonts w:cs="Arial"/>
          <w:rtl/>
        </w:rPr>
        <w:t xml:space="preserve"> בשבת</w:t>
      </w:r>
      <w:r>
        <w:rPr>
          <w:rFonts w:cs="Arial" w:hint="cs"/>
          <w:rtl/>
        </w:rPr>
        <w:t>,</w:t>
      </w:r>
      <w:r w:rsidRPr="00E22E6C">
        <w:rPr>
          <w:rFonts w:cs="Arial"/>
          <w:rtl/>
        </w:rPr>
        <w:t xml:space="preserve"> אבל לטלטלן לכ</w:t>
      </w:r>
      <w:r>
        <w:rPr>
          <w:rFonts w:cs="Arial" w:hint="cs"/>
          <w:rtl/>
        </w:rPr>
        <w:t>ו</w:t>
      </w:r>
      <w:r w:rsidRPr="00E22E6C">
        <w:rPr>
          <w:rFonts w:cs="Arial"/>
          <w:rtl/>
        </w:rPr>
        <w:t>"ע סגי במחשבה כמו חריות בס"כ</w:t>
      </w:r>
      <w:r>
        <w:rPr>
          <w:rFonts w:cs="Arial" w:hint="cs"/>
          <w:rtl/>
        </w:rPr>
        <w:t>,</w:t>
      </w:r>
      <w:r w:rsidRPr="00E22E6C">
        <w:rPr>
          <w:rFonts w:cs="Arial"/>
          <w:rtl/>
        </w:rPr>
        <w:t xml:space="preserve"> והרב"י שפתח בטלטול וכתב וי"א כו'</w:t>
      </w:r>
      <w:r>
        <w:rPr>
          <w:rFonts w:cs="Arial" w:hint="cs"/>
          <w:rtl/>
        </w:rPr>
        <w:t xml:space="preserve"> -</w:t>
      </w:r>
      <w:r w:rsidRPr="00E22E6C">
        <w:rPr>
          <w:rFonts w:cs="Arial"/>
          <w:rtl/>
        </w:rPr>
        <w:t xml:space="preserve"> דבריו צ"ע לישבם</w:t>
      </w:r>
      <w:r>
        <w:rPr>
          <w:rFonts w:hint="cs"/>
          <w:rtl/>
        </w:rPr>
        <w:t xml:space="preserve">, </w:t>
      </w:r>
      <w:r w:rsidRPr="003B1234">
        <w:rPr>
          <w:rFonts w:hint="cs"/>
          <w:b/>
          <w:bCs/>
          <w:rtl/>
        </w:rPr>
        <w:t>מג"א</w:t>
      </w:r>
      <w:r>
        <w:rPr>
          <w:rFonts w:hint="cs"/>
          <w:rtl/>
        </w:rPr>
        <w:t xml:space="preserve"> (סקמ"ו).</w:t>
      </w:r>
      <w:r w:rsidR="003B1234" w:rsidRPr="003B1234">
        <w:rPr>
          <w:rtl/>
        </w:rPr>
        <w:t xml:space="preserve"> </w:t>
      </w:r>
      <w:r w:rsidR="00A90EF2">
        <w:rPr>
          <w:rFonts w:cs="Arial" w:hint="cs"/>
          <w:rtl/>
        </w:rPr>
        <w:t xml:space="preserve">וכתב </w:t>
      </w:r>
      <w:r w:rsidR="00A90EF2" w:rsidRPr="00A90EF2">
        <w:rPr>
          <w:rFonts w:cs="Arial" w:hint="cs"/>
          <w:b/>
          <w:bCs/>
          <w:rtl/>
        </w:rPr>
        <w:t>הא"ר</w:t>
      </w:r>
      <w:r w:rsidR="00A90EF2">
        <w:rPr>
          <w:rFonts w:cs="Arial" w:hint="cs"/>
          <w:rtl/>
        </w:rPr>
        <w:t xml:space="preserve"> (סקמ"ט) ד</w:t>
      </w:r>
      <w:r w:rsidR="003B1234" w:rsidRPr="003B1234">
        <w:rPr>
          <w:rFonts w:cs="Arial"/>
          <w:rtl/>
        </w:rPr>
        <w:t xml:space="preserve">אשתמיט ליה תשו' רשב"א </w:t>
      </w:r>
      <w:r w:rsidR="003B1234" w:rsidRPr="00A90EF2">
        <w:rPr>
          <w:rFonts w:cs="Arial" w:hint="cs"/>
          <w:sz w:val="16"/>
          <w:szCs w:val="16"/>
          <w:rtl/>
        </w:rPr>
        <w:t>(</w:t>
      </w:r>
      <w:r w:rsidR="003B1234" w:rsidRPr="00A90EF2">
        <w:rPr>
          <w:rFonts w:cs="Arial"/>
          <w:sz w:val="16"/>
          <w:szCs w:val="16"/>
          <w:rtl/>
        </w:rPr>
        <w:t>ח"א סי' תשנו</w:t>
      </w:r>
      <w:r w:rsidR="003B1234" w:rsidRPr="00A90EF2">
        <w:rPr>
          <w:rFonts w:cs="Arial" w:hint="cs"/>
          <w:sz w:val="16"/>
          <w:szCs w:val="16"/>
          <w:rtl/>
        </w:rPr>
        <w:t xml:space="preserve">, </w:t>
      </w:r>
      <w:r w:rsidR="003B1234" w:rsidRPr="00A90EF2">
        <w:rPr>
          <w:rFonts w:cs="Arial"/>
          <w:sz w:val="16"/>
          <w:szCs w:val="16"/>
          <w:rtl/>
        </w:rPr>
        <w:t>ועי' ח"ה סי' רכה</w:t>
      </w:r>
      <w:r w:rsidR="003B1234" w:rsidRPr="00A90EF2">
        <w:rPr>
          <w:rFonts w:cs="Arial" w:hint="cs"/>
          <w:sz w:val="16"/>
          <w:szCs w:val="16"/>
          <w:rtl/>
        </w:rPr>
        <w:t>)</w:t>
      </w:r>
      <w:r w:rsidR="003B1234" w:rsidRPr="00A90EF2">
        <w:rPr>
          <w:rFonts w:cs="Arial"/>
          <w:sz w:val="16"/>
          <w:szCs w:val="16"/>
          <w:rtl/>
        </w:rPr>
        <w:t xml:space="preserve"> </w:t>
      </w:r>
      <w:r w:rsidR="003B1234" w:rsidRPr="003B1234">
        <w:rPr>
          <w:rFonts w:cs="Arial"/>
          <w:rtl/>
        </w:rPr>
        <w:t>דכתב לטלטל אבן לפצע אגוזים צריך שישתמש בו מבעוד יום כמו בפוקרין וציפה וכו' כי היכי דליהוי בו היכירא</w:t>
      </w:r>
      <w:r w:rsidR="003B1234">
        <w:rPr>
          <w:rFonts w:cs="Arial" w:hint="cs"/>
          <w:rtl/>
        </w:rPr>
        <w:t>.</w:t>
      </w:r>
      <w:r w:rsidR="003B1234" w:rsidRPr="003B1234">
        <w:rPr>
          <w:rFonts w:cs="Arial"/>
          <w:rtl/>
        </w:rPr>
        <w:t xml:space="preserve"> הרי להדיא דאף לענין טלטול בעינן מעשה, וכן מבואר בר"ן </w:t>
      </w:r>
      <w:r w:rsidR="003B1234">
        <w:rPr>
          <w:rFonts w:cs="Arial" w:hint="cs"/>
          <w:rtl/>
        </w:rPr>
        <w:t>(</w:t>
      </w:r>
      <w:r w:rsidR="003B1234" w:rsidRPr="003B1234">
        <w:rPr>
          <w:rFonts w:cs="Arial"/>
          <w:rtl/>
        </w:rPr>
        <w:t>פ' במה טומנין שם</w:t>
      </w:r>
      <w:r w:rsidR="003B1234">
        <w:rPr>
          <w:rFonts w:cs="Arial" w:hint="cs"/>
          <w:rtl/>
        </w:rPr>
        <w:t>)</w:t>
      </w:r>
      <w:r w:rsidR="003B1234" w:rsidRPr="003B1234">
        <w:rPr>
          <w:rFonts w:cs="Arial"/>
          <w:rtl/>
        </w:rPr>
        <w:t xml:space="preserve"> במ"ש על הרשב"א</w:t>
      </w:r>
      <w:r w:rsidR="003B1234">
        <w:rPr>
          <w:rFonts w:cs="Arial" w:hint="cs"/>
          <w:rtl/>
        </w:rPr>
        <w:t>,</w:t>
      </w:r>
      <w:r w:rsidR="003B1234" w:rsidRPr="003B1234">
        <w:rPr>
          <w:rFonts w:cs="Arial"/>
          <w:rtl/>
        </w:rPr>
        <w:t xml:space="preserve"> והביאו ב"י בקצרה עי"ש, ור"ן בשם רבינו יונה קאי על הש"ס מיירי ביציאה, לכך הזכיר נמי דין הוצאה.</w:t>
      </w:r>
    </w:p>
  </w:footnote>
  <w:footnote w:id="1590">
    <w:p w14:paraId="776139D8" w14:textId="2315A0E2" w:rsidR="006C4943" w:rsidRDefault="006C4943" w:rsidP="00285819">
      <w:pPr>
        <w:pStyle w:val="a7"/>
      </w:pPr>
      <w:r>
        <w:rPr>
          <w:rStyle w:val="a9"/>
        </w:rPr>
        <w:footnoteRef/>
      </w:r>
      <w:r>
        <w:rPr>
          <w:rtl/>
        </w:rPr>
        <w:t xml:space="preserve"> </w:t>
      </w:r>
      <w:r>
        <w:rPr>
          <w:rFonts w:asciiTheme="minorBidi" w:hAnsiTheme="minorBidi" w:cs="Arial" w:hint="cs"/>
          <w:rtl/>
        </w:rPr>
        <w:t xml:space="preserve">אבל </w:t>
      </w:r>
      <w:r w:rsidRPr="00C500AE">
        <w:rPr>
          <w:rFonts w:asciiTheme="minorBidi" w:hAnsiTheme="minorBidi" w:cs="Arial"/>
          <w:rtl/>
        </w:rPr>
        <w:t>אם הוא בחבילה גדולה, אם כי דרך שימושה על ידי שתולשים ממנה כפי הנצרך, וקיימא לן לאסור תלישתה בשבת, מכל מקום דינה ככלי שמלאכתו לאיסור, כיון שאפשר בשעת הדחק להשתמש בה בלי לתלוש, ולאחר שבת יתלוש החלק המשומש, אמנם יש שכתבו שאין הדרך להשתמש בה באופן כזה אפילו לא בשעת הדחק, ולכן דינה כמוקצה מחמת גופו.</w:t>
      </w:r>
      <w:r w:rsidRPr="00C500AE">
        <w:rPr>
          <w:rFonts w:asciiTheme="minorBidi" w:hAnsiTheme="minorBidi" w:hint="cs"/>
          <w:rtl/>
        </w:rPr>
        <w:t xml:space="preserve"> </w:t>
      </w:r>
      <w:r w:rsidRPr="00C500AE">
        <w:rPr>
          <w:rFonts w:asciiTheme="minorBidi" w:hAnsiTheme="minorBidi" w:cs="Arial"/>
          <w:rtl/>
        </w:rPr>
        <w:t>אמנם גליל נייר טואלט, כיון שבשעת הדחק מפני כבוד הבריות מתירים לכתחילה להשתמש באופן שאינו קורע בידים, אלא מניח חלק הנייר המשומש בתוך המים ונקרע מאליו בזרם המים, לכן דינו ככלי שמלאכתו לאיסור, שמותר בטלטול לצורך גופו ומקומו</w:t>
      </w:r>
      <w:r>
        <w:rPr>
          <w:rFonts w:asciiTheme="minorBidi" w:hAnsiTheme="minorBidi" w:cs="Arial" w:hint="cs"/>
          <w:rtl/>
        </w:rPr>
        <w:t xml:space="preserve"> </w:t>
      </w:r>
      <w:r w:rsidRPr="006C4943">
        <w:rPr>
          <w:rFonts w:asciiTheme="minorBidi" w:hAnsiTheme="minorBidi" w:cs="Arial" w:hint="cs"/>
          <w:sz w:val="16"/>
          <w:szCs w:val="16"/>
          <w:rtl/>
        </w:rPr>
        <w:t>{וה"ה מפת ניילון בגליל, אבל נייר כסף לא}</w:t>
      </w:r>
      <w:r>
        <w:rPr>
          <w:rFonts w:asciiTheme="minorBidi" w:hAnsiTheme="minorBidi" w:cs="Arial" w:hint="cs"/>
          <w:rtl/>
        </w:rPr>
        <w:t>, פסק"ת (אות לז).</w:t>
      </w:r>
    </w:p>
  </w:footnote>
  <w:footnote w:id="1591">
    <w:p w14:paraId="69EE5CF4" w14:textId="4DD8685C" w:rsidR="00502E0E" w:rsidRDefault="00502E0E" w:rsidP="00285819">
      <w:pPr>
        <w:pStyle w:val="a7"/>
      </w:pPr>
      <w:r>
        <w:rPr>
          <w:rStyle w:val="a9"/>
        </w:rPr>
        <w:footnoteRef/>
      </w:r>
      <w:r>
        <w:rPr>
          <w:rtl/>
        </w:rPr>
        <w:t xml:space="preserve"> </w:t>
      </w:r>
      <w:r w:rsidRPr="00502E0E">
        <w:rPr>
          <w:rFonts w:cs="Arial"/>
          <w:rtl/>
        </w:rPr>
        <w:t>לא ישטחנו במקום דריסת הרגלים, שזהו צורך עבוד, שמתעבד על ידי הדריסה</w:t>
      </w:r>
      <w:r>
        <w:rPr>
          <w:rFonts w:cs="Arial" w:hint="cs"/>
          <w:rtl/>
        </w:rPr>
        <w:t>, רש"י.</w:t>
      </w:r>
    </w:p>
  </w:footnote>
  <w:footnote w:id="1592">
    <w:p w14:paraId="7E3965C8" w14:textId="77777777" w:rsidR="009C01AF" w:rsidRDefault="009C01AF" w:rsidP="00285819">
      <w:pPr>
        <w:pStyle w:val="a7"/>
      </w:pPr>
      <w:r>
        <w:rPr>
          <w:rStyle w:val="a9"/>
        </w:rPr>
        <w:footnoteRef/>
      </w:r>
      <w:r>
        <w:rPr>
          <w:rtl/>
        </w:rPr>
        <w:t xml:space="preserve"> </w:t>
      </w:r>
      <w:r w:rsidRPr="002A0965">
        <w:rPr>
          <w:rFonts w:cs="Arial"/>
          <w:rtl/>
        </w:rPr>
        <w:t>ואף על פי שהמלח מועיל לעבוד</w:t>
      </w:r>
      <w:r>
        <w:rPr>
          <w:rFonts w:cs="Arial" w:hint="cs"/>
          <w:rtl/>
        </w:rPr>
        <w:t>, רש"י.</w:t>
      </w:r>
    </w:p>
  </w:footnote>
  <w:footnote w:id="1593">
    <w:p w14:paraId="7B029E8B" w14:textId="77777777" w:rsidR="009C01AF" w:rsidRDefault="009C01AF" w:rsidP="00285819">
      <w:pPr>
        <w:pStyle w:val="a7"/>
      </w:pPr>
      <w:r>
        <w:rPr>
          <w:rStyle w:val="a9"/>
        </w:rPr>
        <w:footnoteRef/>
      </w:r>
      <w:r>
        <w:rPr>
          <w:rtl/>
        </w:rPr>
        <w:t xml:space="preserve"> </w:t>
      </w:r>
      <w:r w:rsidRPr="002A0965">
        <w:rPr>
          <w:rFonts w:cs="Arial"/>
          <w:rtl/>
        </w:rPr>
        <w:t>דאין מולחין אותו יפה</w:t>
      </w:r>
      <w:r>
        <w:rPr>
          <w:rFonts w:cs="Arial" w:hint="cs"/>
          <w:rtl/>
        </w:rPr>
        <w:t>, רש"י.</w:t>
      </w:r>
    </w:p>
  </w:footnote>
  <w:footnote w:id="1594">
    <w:p w14:paraId="2E892220" w14:textId="77777777" w:rsidR="009C01AF" w:rsidRDefault="009C01AF" w:rsidP="00285819">
      <w:pPr>
        <w:pStyle w:val="a7"/>
      </w:pPr>
      <w:r>
        <w:rPr>
          <w:rStyle w:val="a9"/>
        </w:rPr>
        <w:footnoteRef/>
      </w:r>
      <w:r>
        <w:rPr>
          <w:rtl/>
        </w:rPr>
        <w:t xml:space="preserve"> </w:t>
      </w:r>
      <w:r w:rsidRPr="002A0965">
        <w:rPr>
          <w:rFonts w:cs="Arial"/>
          <w:rtl/>
        </w:rPr>
        <w:t>ביום טוב כדי שלא יסריחו, ואפילו נשחטה הבהמה ביום טוב</w:t>
      </w:r>
      <w:r>
        <w:rPr>
          <w:rFonts w:cs="Arial" w:hint="cs"/>
          <w:rtl/>
        </w:rPr>
        <w:t>, רש"י.</w:t>
      </w:r>
    </w:p>
  </w:footnote>
  <w:footnote w:id="1595">
    <w:p w14:paraId="5DEEE131" w14:textId="77777777" w:rsidR="009C01AF" w:rsidRDefault="009C01AF" w:rsidP="00285819">
      <w:pPr>
        <w:pStyle w:val="a7"/>
      </w:pPr>
      <w:r>
        <w:rPr>
          <w:rStyle w:val="a9"/>
        </w:rPr>
        <w:footnoteRef/>
      </w:r>
      <w:r>
        <w:rPr>
          <w:rtl/>
        </w:rPr>
        <w:t xml:space="preserve"> </w:t>
      </w:r>
      <w:r w:rsidRPr="002A0965">
        <w:rPr>
          <w:rFonts w:cs="Arial"/>
          <w:rtl/>
        </w:rPr>
        <w:t>דשרו בית הלל, משום דאי לא שרית ליה ממנע ולא שחיט</w:t>
      </w:r>
      <w:r>
        <w:rPr>
          <w:rFonts w:cs="Arial" w:hint="cs"/>
          <w:rtl/>
        </w:rPr>
        <w:t>, רש"י.</w:t>
      </w:r>
    </w:p>
  </w:footnote>
  <w:footnote w:id="1596">
    <w:p w14:paraId="3041FE27" w14:textId="4B1742AA" w:rsidR="009C01AF" w:rsidRDefault="009C01AF" w:rsidP="00285819">
      <w:pPr>
        <w:pStyle w:val="a7"/>
      </w:pPr>
      <w:r>
        <w:rPr>
          <w:rStyle w:val="a9"/>
        </w:rPr>
        <w:footnoteRef/>
      </w:r>
      <w:r>
        <w:rPr>
          <w:rtl/>
        </w:rPr>
        <w:t xml:space="preserve"> </w:t>
      </w:r>
      <w:r w:rsidRPr="002A0965">
        <w:rPr>
          <w:rFonts w:cs="Arial"/>
          <w:rtl/>
        </w:rPr>
        <w:t xml:space="preserve">שתהא שטיחתו לצורך עבוד, דמימר אמר: האי דשרו ליה רבנן לתתו לפני הדריסה - מפני צורך יום טוב התירו, שאף שטיחתו צורך יום טוב דחזי למזגא עליה, אבל הכא גבי חלבים, כי שרית לשוטחן - מוכחא מלתא שלתקון החלבים התרתו, ואתי נמי לממלחינהו, ומליחה מאבות מלאכות היא בדבר שיש בו עבוד, דתנן </w:t>
      </w:r>
      <w:r w:rsidRPr="00F412A2">
        <w:rPr>
          <w:rFonts w:cs="Arial"/>
          <w:sz w:val="16"/>
          <w:szCs w:val="16"/>
          <w:rtl/>
        </w:rPr>
        <w:t>(שבת עג</w:t>
      </w:r>
      <w:r w:rsidRPr="00F412A2">
        <w:rPr>
          <w:rFonts w:cs="Arial" w:hint="cs"/>
          <w:sz w:val="16"/>
          <w:szCs w:val="16"/>
          <w:rtl/>
        </w:rPr>
        <w:t>.</w:t>
      </w:r>
      <w:r w:rsidRPr="00F412A2">
        <w:rPr>
          <w:rFonts w:cs="Arial"/>
          <w:sz w:val="16"/>
          <w:szCs w:val="16"/>
          <w:rtl/>
        </w:rPr>
        <w:t>)</w:t>
      </w:r>
      <w:r w:rsidRPr="002A0965">
        <w:rPr>
          <w:rFonts w:cs="Arial"/>
          <w:rtl/>
        </w:rPr>
        <w:t>: והמולחו והמעבדו</w:t>
      </w:r>
      <w:r>
        <w:rPr>
          <w:rFonts w:cs="Arial" w:hint="cs"/>
          <w:rtl/>
        </w:rPr>
        <w:t>, רש"י.</w:t>
      </w:r>
      <w:r w:rsidR="00F412A2" w:rsidRPr="00F412A2">
        <w:rPr>
          <w:rFonts w:cs="Arial" w:hint="cs"/>
          <w:rtl/>
        </w:rPr>
        <w:t xml:space="preserve"> </w:t>
      </w:r>
      <w:r w:rsidR="00F412A2">
        <w:rPr>
          <w:rFonts w:cs="Arial" w:hint="cs"/>
          <w:rtl/>
        </w:rPr>
        <w:t xml:space="preserve">וכתבו התוס' </w:t>
      </w:r>
      <w:r w:rsidR="00F412A2" w:rsidRPr="00F412A2">
        <w:rPr>
          <w:rFonts w:cs="Arial" w:hint="cs"/>
          <w:sz w:val="16"/>
          <w:szCs w:val="16"/>
          <w:rtl/>
        </w:rPr>
        <w:t>(שבת מט. ד"ה טומנין)</w:t>
      </w:r>
      <w:r w:rsidR="00F412A2">
        <w:rPr>
          <w:rFonts w:cs="Arial" w:hint="cs"/>
          <w:rtl/>
        </w:rPr>
        <w:t xml:space="preserve"> </w:t>
      </w:r>
      <w:r w:rsidR="00F412A2" w:rsidRPr="0082136A">
        <w:rPr>
          <w:rFonts w:cs="Arial"/>
          <w:rtl/>
        </w:rPr>
        <w:t>דהתירו סופן משום תחילתן פי' כדי שישחוט לצורך יו</w:t>
      </w:r>
      <w:r w:rsidR="00F412A2">
        <w:rPr>
          <w:rFonts w:cs="Arial" w:hint="cs"/>
          <w:rtl/>
        </w:rPr>
        <w:t>"</w:t>
      </w:r>
      <w:r w:rsidR="00F412A2" w:rsidRPr="0082136A">
        <w:rPr>
          <w:rFonts w:cs="Arial"/>
          <w:rtl/>
        </w:rPr>
        <w:t>ט</w:t>
      </w:r>
      <w:r w:rsidR="00F412A2" w:rsidRPr="0082136A">
        <w:rPr>
          <w:rFonts w:cs="Arial" w:hint="cs"/>
          <w:rtl/>
        </w:rPr>
        <w:t>,</w:t>
      </w:r>
      <w:r w:rsidR="00F412A2" w:rsidRPr="0082136A">
        <w:rPr>
          <w:rFonts w:cs="Arial"/>
          <w:rtl/>
        </w:rPr>
        <w:t xml:space="preserve"> אבל עור דמע</w:t>
      </w:r>
      <w:r w:rsidR="00F412A2">
        <w:rPr>
          <w:rFonts w:cs="Arial" w:hint="cs"/>
          <w:rtl/>
        </w:rPr>
        <w:t>י</w:t>
      </w:r>
      <w:r w:rsidR="00F412A2" w:rsidRPr="0082136A">
        <w:rPr>
          <w:rFonts w:cs="Arial"/>
          <w:rtl/>
        </w:rPr>
        <w:t>ו</w:t>
      </w:r>
      <w:r w:rsidR="00F412A2">
        <w:rPr>
          <w:rFonts w:cs="Arial" w:hint="cs"/>
          <w:rtl/>
        </w:rPr>
        <w:t>"</w:t>
      </w:r>
      <w:r w:rsidR="00F412A2" w:rsidRPr="0082136A">
        <w:rPr>
          <w:rFonts w:cs="Arial"/>
          <w:rtl/>
        </w:rPr>
        <w:t>ט משמע התם</w:t>
      </w:r>
      <w:r w:rsidR="00F412A2">
        <w:rPr>
          <w:rFonts w:cs="Arial" w:hint="cs"/>
          <w:rtl/>
        </w:rPr>
        <w:t xml:space="preserve"> </w:t>
      </w:r>
      <w:r w:rsidR="00F412A2" w:rsidRPr="00F412A2">
        <w:rPr>
          <w:rFonts w:cs="Arial" w:hint="cs"/>
          <w:sz w:val="16"/>
          <w:szCs w:val="16"/>
          <w:rtl/>
        </w:rPr>
        <w:t>(בביצה שם)</w:t>
      </w:r>
      <w:r w:rsidR="00F412A2" w:rsidRPr="00F412A2">
        <w:rPr>
          <w:rFonts w:cs="Arial"/>
          <w:sz w:val="16"/>
          <w:szCs w:val="16"/>
          <w:rtl/>
        </w:rPr>
        <w:t xml:space="preserve"> </w:t>
      </w:r>
      <w:r w:rsidR="00F412A2" w:rsidRPr="0082136A">
        <w:rPr>
          <w:rFonts w:cs="Arial"/>
          <w:rtl/>
        </w:rPr>
        <w:t>דאסור לטלטל</w:t>
      </w:r>
      <w:r w:rsidR="00F412A2">
        <w:rPr>
          <w:rFonts w:hint="cs"/>
          <w:rtl/>
        </w:rPr>
        <w:t>.</w:t>
      </w:r>
    </w:p>
  </w:footnote>
  <w:footnote w:id="1597">
    <w:p w14:paraId="6B9CFA71" w14:textId="594E6B72" w:rsidR="00DC5FAE" w:rsidRDefault="00DC5FAE" w:rsidP="00285819">
      <w:pPr>
        <w:pStyle w:val="a7"/>
      </w:pPr>
      <w:r>
        <w:rPr>
          <w:rStyle w:val="a9"/>
        </w:rPr>
        <w:footnoteRef/>
      </w:r>
      <w:r>
        <w:rPr>
          <w:rtl/>
        </w:rPr>
        <w:t xml:space="preserve"> </w:t>
      </w:r>
      <w:r>
        <w:rPr>
          <w:rFonts w:cs="Arial" w:hint="cs"/>
          <w:rtl/>
        </w:rPr>
        <w:t>חכמים לר' ישמעאל בנו של ר' יוחנן בן ברוקא</w:t>
      </w:r>
      <w:r>
        <w:rPr>
          <w:rFonts w:cs="Arial" w:hint="cs"/>
          <w:sz w:val="16"/>
          <w:szCs w:val="16"/>
          <w:rtl/>
        </w:rPr>
        <w:t xml:space="preserve"> (אמרי ליה הכי לגבי ההוא אמינא שהוא אוסר טלטול העור והם מתירים, אבל בעמוד הבא הגמ' רב אשי חוזר בו ואומר שלא נחלקו בטלטול אלא במלאכה)</w:t>
      </w:r>
      <w:r>
        <w:rPr>
          <w:rFonts w:cs="Arial" w:hint="cs"/>
          <w:rtl/>
        </w:rPr>
        <w:t>.</w:t>
      </w:r>
    </w:p>
  </w:footnote>
  <w:footnote w:id="1598">
    <w:p w14:paraId="39F46F26" w14:textId="549F43E4" w:rsidR="001F5A7E" w:rsidRDefault="001F5A7E" w:rsidP="00285819">
      <w:pPr>
        <w:pStyle w:val="a7"/>
      </w:pPr>
      <w:r>
        <w:rPr>
          <w:rStyle w:val="a9"/>
        </w:rPr>
        <w:footnoteRef/>
      </w:r>
      <w:r>
        <w:rPr>
          <w:rtl/>
        </w:rPr>
        <w:t xml:space="preserve"> </w:t>
      </w:r>
      <w:r w:rsidRPr="001F5A7E">
        <w:rPr>
          <w:rFonts w:cs="Arial"/>
          <w:rtl/>
        </w:rPr>
        <w:t>עורות, כמו והפשיט תרגום וישלח</w:t>
      </w:r>
      <w:r>
        <w:rPr>
          <w:rFonts w:cs="Arial" w:hint="cs"/>
          <w:rtl/>
        </w:rPr>
        <w:t>, רש"י.</w:t>
      </w:r>
    </w:p>
  </w:footnote>
  <w:footnote w:id="1599">
    <w:p w14:paraId="7A7D67F6" w14:textId="28D64043" w:rsidR="001F5A7E" w:rsidRDefault="001F5A7E" w:rsidP="00285819">
      <w:pPr>
        <w:pStyle w:val="a7"/>
        <w:rPr>
          <w:rtl/>
        </w:rPr>
      </w:pPr>
      <w:r>
        <w:rPr>
          <w:rStyle w:val="a9"/>
        </w:rPr>
        <w:footnoteRef/>
      </w:r>
      <w:r>
        <w:rPr>
          <w:rtl/>
        </w:rPr>
        <w:t xml:space="preserve"> </w:t>
      </w:r>
      <w:r w:rsidRPr="001F5A7E">
        <w:rPr>
          <w:rFonts w:cs="Arial"/>
          <w:rtl/>
        </w:rPr>
        <w:t>בין שטמן בהן בין שלא טמן בהן, דחזו למזגא עלייהו</w:t>
      </w:r>
      <w:r>
        <w:rPr>
          <w:rFonts w:hint="cs"/>
          <w:rtl/>
        </w:rPr>
        <w:t>, רש"י.</w:t>
      </w:r>
    </w:p>
  </w:footnote>
  <w:footnote w:id="1600">
    <w:p w14:paraId="416EC78A" w14:textId="7162CF94" w:rsidR="008456A6" w:rsidRDefault="008456A6" w:rsidP="00285819">
      <w:pPr>
        <w:pStyle w:val="a7"/>
        <w:rPr>
          <w:rtl/>
        </w:rPr>
      </w:pPr>
      <w:r>
        <w:rPr>
          <w:rStyle w:val="a9"/>
        </w:rPr>
        <w:footnoteRef/>
      </w:r>
      <w:r>
        <w:rPr>
          <w:rtl/>
        </w:rPr>
        <w:t xml:space="preserve"> </w:t>
      </w:r>
      <w:r w:rsidRPr="0082136A">
        <w:rPr>
          <w:rFonts w:cs="Arial"/>
          <w:rtl/>
        </w:rPr>
        <w:t>ולפירושו האי דביצה נמי מיירי בעור בהמה דקה</w:t>
      </w:r>
      <w:r w:rsidRPr="0082136A">
        <w:rPr>
          <w:rFonts w:cs="Arial" w:hint="cs"/>
          <w:rtl/>
        </w:rPr>
        <w:t>,</w:t>
      </w:r>
      <w:r w:rsidRPr="0082136A">
        <w:rPr>
          <w:rFonts w:cs="Arial"/>
          <w:rtl/>
        </w:rPr>
        <w:t xml:space="preserve"> והא דתנן בפ' כל כתבי (קכ.) פורסין עור גדי על גבי התבה כו' צריך לומר לפי' דמיירי כשיחדו לישיבה</w:t>
      </w:r>
      <w:r>
        <w:rPr>
          <w:rFonts w:hint="cs"/>
          <w:rtl/>
        </w:rPr>
        <w:t>, תוס' (מט. ד"ה טומנין).</w:t>
      </w:r>
      <w:r w:rsidR="00F412A2" w:rsidRPr="003B075A">
        <w:rPr>
          <w:rFonts w:cs="Arial" w:hint="cs"/>
          <w:color w:val="00B0F0"/>
          <w:rtl/>
        </w:rPr>
        <w:t xml:space="preserve"> (וכ"</w:t>
      </w:r>
      <w:r w:rsidR="00F412A2">
        <w:rPr>
          <w:rFonts w:cs="Arial" w:hint="cs"/>
          <w:color w:val="00B0F0"/>
          <w:rtl/>
        </w:rPr>
        <w:t>כ</w:t>
      </w:r>
      <w:r w:rsidR="00F412A2" w:rsidRPr="003B075A">
        <w:rPr>
          <w:rFonts w:cs="Arial" w:hint="cs"/>
          <w:color w:val="00B0F0"/>
          <w:rtl/>
        </w:rPr>
        <w:t xml:space="preserve"> הרמ"א)</w:t>
      </w:r>
    </w:p>
  </w:footnote>
  <w:footnote w:id="1601">
    <w:p w14:paraId="45D37A8C" w14:textId="5549DA9C" w:rsidR="004B588F" w:rsidRDefault="004B588F" w:rsidP="00285819">
      <w:pPr>
        <w:pStyle w:val="a7"/>
      </w:pPr>
      <w:r>
        <w:rPr>
          <w:rStyle w:val="a9"/>
        </w:rPr>
        <w:footnoteRef/>
      </w:r>
      <w:r>
        <w:rPr>
          <w:rtl/>
        </w:rPr>
        <w:t xml:space="preserve"> </w:t>
      </w:r>
      <w:r w:rsidRPr="004B588F">
        <w:rPr>
          <w:rFonts w:cs="Arial"/>
          <w:rtl/>
        </w:rPr>
        <w:t>בזה מותר לדעה זו אפילו בדקה</w:t>
      </w:r>
      <w:r>
        <w:rPr>
          <w:rFonts w:cs="Arial" w:hint="cs"/>
          <w:rtl/>
        </w:rPr>
        <w:t>.</w:t>
      </w:r>
      <w:r w:rsidRPr="004B588F">
        <w:rPr>
          <w:rFonts w:cs="Arial"/>
          <w:rtl/>
        </w:rPr>
        <w:t xml:space="preserve"> ולחים דלא חזי לישיבה אסור בשניהם אא"כ חישב עליהן לישיבה מבעוד יום</w:t>
      </w:r>
      <w:r>
        <w:rPr>
          <w:rFonts w:cs="Arial" w:hint="cs"/>
          <w:rtl/>
        </w:rPr>
        <w:t>.</w:t>
      </w:r>
      <w:r w:rsidRPr="004B588F">
        <w:rPr>
          <w:rFonts w:cs="Arial"/>
          <w:rtl/>
        </w:rPr>
        <w:t xml:space="preserve"> ודעה ב' ס"ל דאין חילוק</w:t>
      </w:r>
      <w:r>
        <w:rPr>
          <w:rFonts w:cs="Arial" w:hint="cs"/>
          <w:rtl/>
        </w:rPr>
        <w:t>,</w:t>
      </w:r>
      <w:r w:rsidRPr="004B588F">
        <w:rPr>
          <w:rFonts w:cs="Arial"/>
          <w:rtl/>
        </w:rPr>
        <w:t xml:space="preserve"> דבין ביבשים ובין בלחים שרי בגסה</w:t>
      </w:r>
      <w:r>
        <w:rPr>
          <w:rFonts w:cs="Arial" w:hint="cs"/>
          <w:rtl/>
        </w:rPr>
        <w:t>,</w:t>
      </w:r>
      <w:r w:rsidRPr="004B588F">
        <w:rPr>
          <w:rFonts w:cs="Arial"/>
          <w:rtl/>
        </w:rPr>
        <w:t xml:space="preserve"> אבל בדקה בעינן חישב בין בלחים ובין ביבשים</w:t>
      </w:r>
      <w:r>
        <w:rPr>
          <w:rFonts w:cs="Arial" w:hint="cs"/>
          <w:rtl/>
        </w:rPr>
        <w:t>, משנ"ב (סקק"ה).</w:t>
      </w:r>
    </w:p>
  </w:footnote>
  <w:footnote w:id="1602">
    <w:p w14:paraId="7ED30138" w14:textId="7A14D6EE" w:rsidR="004B588F" w:rsidRDefault="004B588F" w:rsidP="00285819">
      <w:pPr>
        <w:pStyle w:val="a7"/>
      </w:pPr>
      <w:r>
        <w:rPr>
          <w:rStyle w:val="a9"/>
        </w:rPr>
        <w:footnoteRef/>
      </w:r>
      <w:r>
        <w:rPr>
          <w:rtl/>
        </w:rPr>
        <w:t xml:space="preserve"> </w:t>
      </w:r>
      <w:r w:rsidRPr="004B588F">
        <w:rPr>
          <w:rFonts w:cs="Arial"/>
          <w:rtl/>
        </w:rPr>
        <w:t>אף דסתמייהו עומדות אצלו למכירה אפ"ה לא אמרינן בהן דקפיד עלייהו מלהשתמש בהן</w:t>
      </w:r>
      <w:r>
        <w:rPr>
          <w:rFonts w:cs="Arial" w:hint="cs"/>
          <w:rtl/>
        </w:rPr>
        <w:t>, משנ"ב (סקק"ו).</w:t>
      </w:r>
    </w:p>
  </w:footnote>
  <w:footnote w:id="1603">
    <w:p w14:paraId="4B7758D1" w14:textId="7EF889EB" w:rsidR="004C36B4" w:rsidRDefault="004C36B4" w:rsidP="00285819">
      <w:pPr>
        <w:pStyle w:val="a7"/>
      </w:pPr>
      <w:r>
        <w:rPr>
          <w:rStyle w:val="a9"/>
        </w:rPr>
        <w:footnoteRef/>
      </w:r>
      <w:r>
        <w:rPr>
          <w:rtl/>
        </w:rPr>
        <w:t xml:space="preserve"> </w:t>
      </w:r>
      <w:r w:rsidRPr="004C36B4">
        <w:rPr>
          <w:rFonts w:cs="Arial"/>
          <w:rtl/>
        </w:rPr>
        <w:t>ואם נתנן לאוצר לסחורה צריכין יחוד דוקא וכמו שכתב רסי' רנ"ט</w:t>
      </w:r>
      <w:r>
        <w:rPr>
          <w:rFonts w:cs="Arial" w:hint="cs"/>
          <w:rtl/>
        </w:rPr>
        <w:t>, משנ"ב (סקק"ח).</w:t>
      </w:r>
    </w:p>
  </w:footnote>
  <w:footnote w:id="1604">
    <w:p w14:paraId="7F1FF5F6" w14:textId="6630084B" w:rsidR="005B58DF" w:rsidRDefault="005B58DF" w:rsidP="00285819">
      <w:pPr>
        <w:pStyle w:val="a7"/>
        <w:rPr>
          <w:rtl/>
        </w:rPr>
      </w:pPr>
      <w:r>
        <w:rPr>
          <w:rStyle w:val="a9"/>
        </w:rPr>
        <w:footnoteRef/>
      </w:r>
      <w:r>
        <w:rPr>
          <w:rtl/>
        </w:rPr>
        <w:t xml:space="preserve"> </w:t>
      </w:r>
      <w:r w:rsidRPr="005B58DF">
        <w:rPr>
          <w:rFonts w:cs="Arial"/>
          <w:rtl/>
        </w:rPr>
        <w:t>בידים מעל השלחן</w:t>
      </w:r>
      <w:r>
        <w:rPr>
          <w:rFonts w:hint="cs"/>
          <w:rtl/>
        </w:rPr>
        <w:t>, רש"י.</w:t>
      </w:r>
    </w:p>
  </w:footnote>
  <w:footnote w:id="1605">
    <w:p w14:paraId="33F1F176" w14:textId="658F2C1B" w:rsidR="005B58DF" w:rsidRDefault="005B58DF" w:rsidP="00285819">
      <w:pPr>
        <w:pStyle w:val="a7"/>
      </w:pPr>
      <w:r>
        <w:rPr>
          <w:rStyle w:val="a9"/>
        </w:rPr>
        <w:footnoteRef/>
      </w:r>
      <w:r>
        <w:rPr>
          <w:rtl/>
        </w:rPr>
        <w:t xml:space="preserve"> </w:t>
      </w:r>
      <w:r w:rsidRPr="005B58DF">
        <w:rPr>
          <w:rFonts w:cs="Arial"/>
          <w:rtl/>
        </w:rPr>
        <w:t>קשין, שאינן ראויין לכלב</w:t>
      </w:r>
      <w:r>
        <w:rPr>
          <w:rFonts w:cs="Arial" w:hint="cs"/>
          <w:rtl/>
        </w:rPr>
        <w:t xml:space="preserve">, </w:t>
      </w:r>
      <w:r w:rsidRPr="00BE2C56">
        <w:rPr>
          <w:rFonts w:cs="Arial" w:hint="cs"/>
          <w:b/>
          <w:bCs/>
          <w:rtl/>
        </w:rPr>
        <w:t>רש"י</w:t>
      </w:r>
      <w:r>
        <w:rPr>
          <w:rFonts w:cs="Arial" w:hint="cs"/>
          <w:rtl/>
        </w:rPr>
        <w:t>.</w:t>
      </w:r>
      <w:r w:rsidR="00E76020" w:rsidRPr="00E76020">
        <w:rPr>
          <w:rFonts w:cs="Arial" w:hint="cs"/>
          <w:rtl/>
        </w:rPr>
        <w:t xml:space="preserve"> </w:t>
      </w:r>
      <w:r w:rsidR="00E76020">
        <w:rPr>
          <w:rFonts w:cs="Arial" w:hint="cs"/>
          <w:rtl/>
        </w:rPr>
        <w:t xml:space="preserve">אך </w:t>
      </w:r>
      <w:r w:rsidR="00E76020" w:rsidRPr="00BE2C56">
        <w:rPr>
          <w:rFonts w:cs="Arial" w:hint="cs"/>
          <w:b/>
          <w:bCs/>
          <w:rtl/>
        </w:rPr>
        <w:t>התוס'</w:t>
      </w:r>
      <w:r w:rsidR="00E76020">
        <w:rPr>
          <w:rFonts w:cs="Arial" w:hint="cs"/>
          <w:rtl/>
        </w:rPr>
        <w:t xml:space="preserve"> (</w:t>
      </w:r>
      <w:r w:rsidR="00E76020" w:rsidRPr="00F63421">
        <w:rPr>
          <w:rFonts w:cs="Arial"/>
          <w:rtl/>
        </w:rPr>
        <w:t>ד"ה עצמות וקליפין</w:t>
      </w:r>
      <w:r w:rsidR="00E76020">
        <w:rPr>
          <w:rFonts w:cs="Arial" w:hint="cs"/>
          <w:rtl/>
        </w:rPr>
        <w:t xml:space="preserve">) כתבו- עצמות וקליפין </w:t>
      </w:r>
      <w:r w:rsidR="00E76020" w:rsidRPr="00E76020">
        <w:rPr>
          <w:rFonts w:cs="Arial"/>
          <w:rtl/>
        </w:rPr>
        <w:t>לא כפירוש הקונטרס דפירש אפילו קשין ואין ראויין לאכילת כלבים</w:t>
      </w:r>
      <w:r w:rsidR="00AD5211">
        <w:rPr>
          <w:rFonts w:cs="Arial" w:hint="cs"/>
          <w:rtl/>
        </w:rPr>
        <w:t>,</w:t>
      </w:r>
      <w:r w:rsidR="00E76020" w:rsidRPr="00E76020">
        <w:rPr>
          <w:rFonts w:cs="Arial"/>
          <w:rtl/>
        </w:rPr>
        <w:t xml:space="preserve"> דהאי תנא אמרינן בגמרא דכרבי שמעון סבירא ליה ור"ש בעי לכל הפחות ראויות למאכל בהמה דקתני מעבירין מעל השלחן פירורין כו' מפני שהוא מאכל בהמה ומוקמינן בגמרא כוותיה</w:t>
      </w:r>
      <w:r w:rsidR="00E76020">
        <w:rPr>
          <w:rFonts w:cs="Arial" w:hint="cs"/>
          <w:rtl/>
        </w:rPr>
        <w:t>. עכ"ל.</w:t>
      </w:r>
      <w:r w:rsidR="00BE2C56" w:rsidRPr="00BE2C56">
        <w:rPr>
          <w:rtl/>
        </w:rPr>
        <w:t xml:space="preserve"> </w:t>
      </w:r>
      <w:r w:rsidR="00BE2C56" w:rsidRPr="00BE2C56">
        <w:rPr>
          <w:rFonts w:cs="Arial"/>
          <w:rtl/>
        </w:rPr>
        <w:t>לכך נ"ל שהם ראוים למאכל בהמה כגון עצמות רכים וקליפי תפוחים ובית הלל סברי כיון דלא חזי למאכל אדם לא</w:t>
      </w:r>
      <w:r w:rsidR="00BE2C56">
        <w:rPr>
          <w:rFonts w:cs="Arial" w:hint="cs"/>
          <w:rtl/>
        </w:rPr>
        <w:t xml:space="preserve">, </w:t>
      </w:r>
      <w:r w:rsidR="00BE2C56" w:rsidRPr="00BE2C56">
        <w:rPr>
          <w:rFonts w:cs="Arial" w:hint="cs"/>
          <w:b/>
          <w:bCs/>
          <w:rtl/>
        </w:rPr>
        <w:t>תוס'</w:t>
      </w:r>
      <w:r w:rsidR="00BE2C56">
        <w:rPr>
          <w:rFonts w:cs="Arial" w:hint="cs"/>
          <w:rtl/>
        </w:rPr>
        <w:t xml:space="preserve"> (ביצה ב. ד"ה מגביהין).</w:t>
      </w:r>
      <w:r w:rsidR="00E76020" w:rsidRPr="00F63421">
        <w:rPr>
          <w:rFonts w:cs="Arial"/>
          <w:rtl/>
        </w:rPr>
        <w:t xml:space="preserve"> וכן כתבו הרי"ף (נט:) והרא"ש (סי' ב) והר"ן (שם ד"ה מתני')</w:t>
      </w:r>
      <w:r w:rsidR="00E76020">
        <w:rPr>
          <w:rFonts w:cs="Arial" w:hint="cs"/>
          <w:rtl/>
        </w:rPr>
        <w:t>.</w:t>
      </w:r>
      <w:r w:rsidR="00E76020" w:rsidRPr="00F63421">
        <w:rPr>
          <w:rFonts w:cs="Arial"/>
          <w:rtl/>
        </w:rPr>
        <w:t xml:space="preserve"> וכן כתב הרמב"ם בפרק כ"ו (הט"ז)</w:t>
      </w:r>
      <w:r w:rsidR="00E76020">
        <w:rPr>
          <w:rFonts w:cs="Arial" w:hint="cs"/>
          <w:rtl/>
        </w:rPr>
        <w:t xml:space="preserve">, </w:t>
      </w:r>
      <w:r w:rsidR="00E76020" w:rsidRPr="00BE2C56">
        <w:rPr>
          <w:rFonts w:cs="Arial" w:hint="cs"/>
          <w:b/>
          <w:bCs/>
          <w:rtl/>
        </w:rPr>
        <w:t>ב"י</w:t>
      </w:r>
      <w:r w:rsidR="00E76020">
        <w:rPr>
          <w:rFonts w:cs="Arial" w:hint="cs"/>
          <w:rtl/>
        </w:rPr>
        <w:t>.</w:t>
      </w:r>
      <w:r w:rsidR="0018546F" w:rsidRPr="0018546F">
        <w:rPr>
          <w:rFonts w:cs="Arial" w:hint="cs"/>
          <w:color w:val="E36C0A" w:themeColor="accent6" w:themeShade="BF"/>
          <w:rtl/>
        </w:rPr>
        <w:t xml:space="preserve"> </w:t>
      </w:r>
      <w:r w:rsidR="0018546F" w:rsidRPr="003B075A">
        <w:rPr>
          <w:rFonts w:cs="Arial" w:hint="cs"/>
          <w:color w:val="E36C0A" w:themeColor="accent6" w:themeShade="BF"/>
          <w:rtl/>
        </w:rPr>
        <w:t>(וכ"פ בשו"ע)</w:t>
      </w:r>
    </w:p>
  </w:footnote>
  <w:footnote w:id="1606">
    <w:p w14:paraId="29DEF043" w14:textId="3F0F91D5" w:rsidR="005B58DF" w:rsidRDefault="005B58DF" w:rsidP="00285819">
      <w:pPr>
        <w:pStyle w:val="a7"/>
        <w:rPr>
          <w:rtl/>
        </w:rPr>
      </w:pPr>
      <w:r>
        <w:rPr>
          <w:rStyle w:val="a9"/>
        </w:rPr>
        <w:footnoteRef/>
      </w:r>
      <w:r>
        <w:rPr>
          <w:rtl/>
        </w:rPr>
        <w:t xml:space="preserve"> </w:t>
      </w:r>
      <w:r w:rsidRPr="005B58DF">
        <w:rPr>
          <w:rFonts w:cs="Arial"/>
          <w:rtl/>
        </w:rPr>
        <w:t>של אגוזים, דלית להו לבית שמאי מוקצה</w:t>
      </w:r>
      <w:r>
        <w:rPr>
          <w:rFonts w:hint="cs"/>
          <w:rtl/>
        </w:rPr>
        <w:t>, רש"י.</w:t>
      </w:r>
    </w:p>
  </w:footnote>
  <w:footnote w:id="1607">
    <w:p w14:paraId="48B47A9E" w14:textId="479BC488" w:rsidR="005B58DF" w:rsidRDefault="005B58DF" w:rsidP="00285819">
      <w:pPr>
        <w:pStyle w:val="a7"/>
      </w:pPr>
      <w:r>
        <w:rPr>
          <w:rStyle w:val="a9"/>
        </w:rPr>
        <w:footnoteRef/>
      </w:r>
      <w:r>
        <w:rPr>
          <w:rtl/>
        </w:rPr>
        <w:t xml:space="preserve"> </w:t>
      </w:r>
      <w:r w:rsidRPr="005B58DF">
        <w:rPr>
          <w:rFonts w:cs="Arial"/>
          <w:rtl/>
        </w:rPr>
        <w:t>שיש תורת כלי עליה, אבל לא יטלטל הקליפין בידים, כר' יהודה</w:t>
      </w:r>
      <w:r>
        <w:rPr>
          <w:rFonts w:cs="Arial" w:hint="cs"/>
          <w:rtl/>
        </w:rPr>
        <w:t>, רש"י.</w:t>
      </w:r>
    </w:p>
  </w:footnote>
  <w:footnote w:id="1608">
    <w:p w14:paraId="6A5E34BE" w14:textId="29183F67" w:rsidR="00BE2C56" w:rsidRDefault="00BE2C56" w:rsidP="00285819">
      <w:pPr>
        <w:pStyle w:val="a7"/>
      </w:pPr>
      <w:r>
        <w:rPr>
          <w:rStyle w:val="a9"/>
        </w:rPr>
        <w:footnoteRef/>
      </w:r>
      <w:r>
        <w:rPr>
          <w:rtl/>
        </w:rPr>
        <w:t xml:space="preserve"> </w:t>
      </w:r>
      <w:r w:rsidRPr="00BE2C56">
        <w:rPr>
          <w:rFonts w:cs="Arial"/>
          <w:rtl/>
        </w:rPr>
        <w:t>תימה והלא היא בסיס לדבר האסור דהא לא שכח הואיל והניחם שם מדעתו</w:t>
      </w:r>
      <w:r>
        <w:rPr>
          <w:rFonts w:cs="Arial" w:hint="cs"/>
          <w:rtl/>
        </w:rPr>
        <w:t>.</w:t>
      </w:r>
      <w:r w:rsidRPr="00BE2C56">
        <w:rPr>
          <w:rFonts w:cs="Arial"/>
          <w:rtl/>
        </w:rPr>
        <w:t xml:space="preserve"> ויש לומר דלפירוש ר</w:t>
      </w:r>
      <w:r>
        <w:rPr>
          <w:rFonts w:cs="Arial" w:hint="cs"/>
          <w:rtl/>
        </w:rPr>
        <w:t>"</w:t>
      </w:r>
      <w:r w:rsidRPr="00BE2C56">
        <w:rPr>
          <w:rFonts w:cs="Arial"/>
          <w:rtl/>
        </w:rPr>
        <w:t>ת ניחא דפירש במסכת שבת דלא הוי בסיס לדבר האסור אלא כשדעתו להניחם שם כל היום</w:t>
      </w:r>
      <w:r>
        <w:rPr>
          <w:rFonts w:cs="Arial" w:hint="cs"/>
          <w:rtl/>
        </w:rPr>
        <w:t>,</w:t>
      </w:r>
      <w:r w:rsidRPr="00BE2C56">
        <w:rPr>
          <w:rFonts w:cs="Arial"/>
          <w:rtl/>
        </w:rPr>
        <w:t xml:space="preserve"> א</w:t>
      </w:r>
      <w:r>
        <w:rPr>
          <w:rFonts w:cs="Arial" w:hint="cs"/>
          <w:rtl/>
        </w:rPr>
        <w:t>"נ</w:t>
      </w:r>
      <w:r w:rsidRPr="00BE2C56">
        <w:rPr>
          <w:rFonts w:cs="Arial"/>
          <w:rtl/>
        </w:rPr>
        <w:t xml:space="preserve"> כיון דהוו שם אוכלין הוה ליה בסיס לדבר האסור ולדבר המותר ושרי כדמוכח פרק נוטל (שם קמב.)</w:t>
      </w:r>
      <w:r>
        <w:rPr>
          <w:rFonts w:cs="Arial" w:hint="cs"/>
          <w:rtl/>
        </w:rPr>
        <w:t>,</w:t>
      </w:r>
      <w:r w:rsidRPr="00BE2C56">
        <w:rPr>
          <w:rFonts w:cs="Arial"/>
          <w:rtl/>
        </w:rPr>
        <w:t xml:space="preserve"> ועוד דאין זה מניח בכוונה דהא אינו חושש היכן יפלו</w:t>
      </w:r>
      <w:r>
        <w:rPr>
          <w:rFonts w:cs="Arial" w:hint="cs"/>
          <w:rtl/>
        </w:rPr>
        <w:t>, תוס' (ביצה ב. ד"ה ובית הלל).</w:t>
      </w:r>
    </w:p>
  </w:footnote>
  <w:footnote w:id="1609">
    <w:p w14:paraId="5CF0D2C5" w14:textId="47402BFA" w:rsidR="005B58DF" w:rsidRDefault="005B58DF" w:rsidP="00285819">
      <w:pPr>
        <w:pStyle w:val="a7"/>
      </w:pPr>
      <w:r>
        <w:rPr>
          <w:rStyle w:val="a9"/>
        </w:rPr>
        <w:footnoteRef/>
      </w:r>
      <w:r>
        <w:rPr>
          <w:rtl/>
        </w:rPr>
        <w:t xml:space="preserve"> </w:t>
      </w:r>
      <w:r w:rsidRPr="005B58DF">
        <w:rPr>
          <w:rFonts w:cs="Arial"/>
          <w:rtl/>
        </w:rPr>
        <w:t>סתמא היא</w:t>
      </w:r>
      <w:r>
        <w:rPr>
          <w:rFonts w:cs="Arial" w:hint="cs"/>
          <w:rtl/>
        </w:rPr>
        <w:t>, רש"י.</w:t>
      </w:r>
    </w:p>
  </w:footnote>
  <w:footnote w:id="1610">
    <w:p w14:paraId="1BFF70AE" w14:textId="6CFB6D42" w:rsidR="00DA246B" w:rsidRDefault="00DA246B" w:rsidP="00285819">
      <w:pPr>
        <w:pStyle w:val="a7"/>
      </w:pPr>
      <w:r>
        <w:rPr>
          <w:rStyle w:val="a9"/>
        </w:rPr>
        <w:footnoteRef/>
      </w:r>
      <w:r>
        <w:rPr>
          <w:rtl/>
        </w:rPr>
        <w:t xml:space="preserve"> </w:t>
      </w:r>
      <w:r w:rsidRPr="00DA246B">
        <w:rPr>
          <w:rFonts w:cs="Arial"/>
          <w:rtl/>
        </w:rPr>
        <w:t>וכל שכן כזית, כדמפרש טעמא שהם מאכל בהמה</w:t>
      </w:r>
      <w:r>
        <w:rPr>
          <w:rFonts w:cs="Arial" w:hint="cs"/>
          <w:rtl/>
        </w:rPr>
        <w:t>, רש"י.</w:t>
      </w:r>
    </w:p>
  </w:footnote>
  <w:footnote w:id="1611">
    <w:p w14:paraId="5C323EA0" w14:textId="19B2D13C" w:rsidR="00DA246B" w:rsidRDefault="00DA246B" w:rsidP="00285819">
      <w:pPr>
        <w:pStyle w:val="a7"/>
      </w:pPr>
      <w:r>
        <w:rPr>
          <w:rStyle w:val="a9"/>
        </w:rPr>
        <w:footnoteRef/>
      </w:r>
      <w:r>
        <w:rPr>
          <w:rtl/>
        </w:rPr>
        <w:t xml:space="preserve"> </w:t>
      </w:r>
      <w:r w:rsidRPr="00DA246B">
        <w:rPr>
          <w:rFonts w:cs="Arial"/>
          <w:rtl/>
        </w:rPr>
        <w:t>שרביטין של קטנית שהקטנית גדל בהם</w:t>
      </w:r>
      <w:r>
        <w:rPr>
          <w:rFonts w:cs="Arial" w:hint="cs"/>
          <w:rtl/>
        </w:rPr>
        <w:t>, רש"י.</w:t>
      </w:r>
    </w:p>
  </w:footnote>
  <w:footnote w:id="1612">
    <w:p w14:paraId="4E1970C3" w14:textId="6FA7ABAA" w:rsidR="00DA246B" w:rsidRDefault="00DA246B" w:rsidP="00285819">
      <w:pPr>
        <w:pStyle w:val="a7"/>
      </w:pPr>
      <w:r>
        <w:rPr>
          <w:rStyle w:val="a9"/>
        </w:rPr>
        <w:footnoteRef/>
      </w:r>
      <w:r>
        <w:rPr>
          <w:rtl/>
        </w:rPr>
        <w:t xml:space="preserve"> </w:t>
      </w:r>
      <w:r w:rsidRPr="00DA246B">
        <w:rPr>
          <w:rFonts w:cs="Arial"/>
          <w:rtl/>
        </w:rPr>
        <w:t>אין אנו סומכין על משנתינו כמות שהיא שנויה, אלא מוחלפת שיטתה, ובית שמאי כר' יהודה כו'</w:t>
      </w:r>
      <w:r>
        <w:rPr>
          <w:rFonts w:cs="Arial" w:hint="cs"/>
          <w:rtl/>
        </w:rPr>
        <w:t>, רש"י.</w:t>
      </w:r>
    </w:p>
  </w:footnote>
  <w:footnote w:id="1613">
    <w:p w14:paraId="76A9EEAD" w14:textId="46F8AAE1" w:rsidR="009C40FE" w:rsidRDefault="009C40FE" w:rsidP="00285819">
      <w:pPr>
        <w:pStyle w:val="a7"/>
      </w:pPr>
      <w:r>
        <w:rPr>
          <w:rStyle w:val="a9"/>
        </w:rPr>
        <w:footnoteRef/>
      </w:r>
      <w:r>
        <w:rPr>
          <w:rtl/>
        </w:rPr>
        <w:t xml:space="preserve"> </w:t>
      </w:r>
      <w:r w:rsidRPr="009C40FE">
        <w:rPr>
          <w:rFonts w:cs="Arial"/>
          <w:rtl/>
        </w:rPr>
        <w:t>אפילו אם נתפרקו מן הבשר בשבת דמבעוד יום לא היה מוכן לכלבים אפ"ה שרי וכ"ש אם נתפרקו מבע"י</w:t>
      </w:r>
      <w:r>
        <w:rPr>
          <w:rFonts w:cs="Arial" w:hint="cs"/>
          <w:rtl/>
        </w:rPr>
        <w:t>, משנ"ב (סקק"י).</w:t>
      </w:r>
      <w:r w:rsidRPr="009C40FE">
        <w:rPr>
          <w:rtl/>
        </w:rPr>
        <w:t xml:space="preserve"> </w:t>
      </w:r>
      <w:r w:rsidRPr="009C40FE">
        <w:rPr>
          <w:rFonts w:cs="Arial"/>
          <w:rtl/>
        </w:rPr>
        <w:t>כן מוכח מב</w:t>
      </w:r>
      <w:r>
        <w:rPr>
          <w:rFonts w:cs="Arial" w:hint="cs"/>
          <w:rtl/>
        </w:rPr>
        <w:t>"י</w:t>
      </w:r>
      <w:r w:rsidRPr="009C40FE">
        <w:rPr>
          <w:rFonts w:cs="Arial"/>
          <w:rtl/>
        </w:rPr>
        <w:t xml:space="preserve"> ומג</w:t>
      </w:r>
      <w:r>
        <w:rPr>
          <w:rFonts w:cs="Arial" w:hint="cs"/>
          <w:rtl/>
        </w:rPr>
        <w:t>"א</w:t>
      </w:r>
      <w:r w:rsidRPr="009C40FE">
        <w:rPr>
          <w:rFonts w:cs="Arial"/>
          <w:rtl/>
        </w:rPr>
        <w:t xml:space="preserve"> וזהו דעת כל הפוסקים, לבד להמחמירים לקמן בסי</w:t>
      </w:r>
      <w:r>
        <w:rPr>
          <w:rFonts w:cs="Arial" w:hint="cs"/>
          <w:rtl/>
        </w:rPr>
        <w:t>'</w:t>
      </w:r>
      <w:r w:rsidRPr="009C40FE">
        <w:rPr>
          <w:rFonts w:cs="Arial"/>
          <w:rtl/>
        </w:rPr>
        <w:t xml:space="preserve"> תצ"ה סע</w:t>
      </w:r>
      <w:r>
        <w:rPr>
          <w:rFonts w:cs="Arial" w:hint="cs"/>
          <w:rtl/>
        </w:rPr>
        <w:t>'</w:t>
      </w:r>
      <w:r w:rsidRPr="009C40FE">
        <w:rPr>
          <w:rFonts w:cs="Arial"/>
          <w:rtl/>
        </w:rPr>
        <w:t xml:space="preserve"> ד בהג"ה לענין נולד, יש להחמיר בזה</w:t>
      </w:r>
      <w:r>
        <w:rPr>
          <w:rFonts w:cs="Arial" w:hint="cs"/>
          <w:rtl/>
        </w:rPr>
        <w:t>, שער הציון (אות צג).</w:t>
      </w:r>
    </w:p>
  </w:footnote>
  <w:footnote w:id="1614">
    <w:p w14:paraId="0BC2EA61" w14:textId="7476869B" w:rsidR="009C40FE" w:rsidRDefault="009C40FE" w:rsidP="00285819">
      <w:pPr>
        <w:pStyle w:val="a7"/>
      </w:pPr>
      <w:r>
        <w:rPr>
          <w:rStyle w:val="a9"/>
        </w:rPr>
        <w:footnoteRef/>
      </w:r>
      <w:r>
        <w:rPr>
          <w:rtl/>
        </w:rPr>
        <w:t xml:space="preserve"> </w:t>
      </w:r>
      <w:r w:rsidRPr="009C40FE">
        <w:rPr>
          <w:rFonts w:cs="Arial"/>
          <w:rtl/>
        </w:rPr>
        <w:t>היינו שמפני קטנותן סתמא עומדין רק למאכל בהמה ועופות</w:t>
      </w:r>
      <w:r>
        <w:rPr>
          <w:rFonts w:cs="Arial" w:hint="cs"/>
          <w:rtl/>
        </w:rPr>
        <w:t>, משנ"ב (סקקי"א).</w:t>
      </w:r>
    </w:p>
  </w:footnote>
  <w:footnote w:id="1615">
    <w:p w14:paraId="08B46608" w14:textId="71135A7D" w:rsidR="00D42F64" w:rsidRDefault="00D42F64" w:rsidP="00285819">
      <w:pPr>
        <w:pStyle w:val="a7"/>
        <w:rPr>
          <w:rtl/>
        </w:rPr>
      </w:pPr>
      <w:r>
        <w:rPr>
          <w:rStyle w:val="a9"/>
        </w:rPr>
        <w:footnoteRef/>
      </w:r>
      <w:r>
        <w:rPr>
          <w:rtl/>
        </w:rPr>
        <w:t xml:space="preserve"> </w:t>
      </w:r>
      <w:r w:rsidRPr="00D42F64">
        <w:rPr>
          <w:rFonts w:cs="Arial"/>
          <w:rtl/>
        </w:rPr>
        <w:t>וה"ה בעצמות שהם קשים שאינם ראויים אפילו לכלבים בין אם נתפרקו בשבת או מבעוד יום אבל כ"ז הוא דוקא אם נתפרקו לגמרי לאפוקי אם נשתייר מקצת בשר על עצמות מותר לטלטל אותם אגב הבשר</w:t>
      </w:r>
      <w:r>
        <w:rPr>
          <w:rFonts w:hint="cs"/>
          <w:rtl/>
        </w:rPr>
        <w:t>, משנ"ב (סקקי"ד).</w:t>
      </w:r>
    </w:p>
  </w:footnote>
  <w:footnote w:id="1616">
    <w:p w14:paraId="6330906F" w14:textId="6116012C" w:rsidR="00D42F64" w:rsidRDefault="00D42F64" w:rsidP="00285819">
      <w:pPr>
        <w:pStyle w:val="a7"/>
      </w:pPr>
      <w:r>
        <w:rPr>
          <w:rStyle w:val="a9"/>
        </w:rPr>
        <w:footnoteRef/>
      </w:r>
      <w:r>
        <w:rPr>
          <w:rtl/>
        </w:rPr>
        <w:t xml:space="preserve"> </w:t>
      </w:r>
      <w:r w:rsidRPr="00D42F64">
        <w:rPr>
          <w:rFonts w:cs="Arial"/>
          <w:rtl/>
        </w:rPr>
        <w:t>הוא דף המונח על השלחן כדי לשום עליו הלחם וה"ה מפה הפרוסה וטעם ההיתר הוא כיון דלא מטלטלו בידים. וה"ה אם מעבירם ע"י דבר אחר כגון שהוא מגרר אותם ע"י סכין מן המפה דמותר אם הוא צריך להשתמש במקום שמונח שם העצמות והקליפין דזה מקרי טלטול מן הצד ושרי אם הוא לצורך דבר המותר וכדלקמן בסימן שי"א ס"ח. ואם נתקבצו הרבה יחד ומאוס עליו להניחן כך על השלחן מותר להעבירן בידים דהוו ליה לדידיה כגרף של רעי [כן משמע בגמרא ע"ש]</w:t>
      </w:r>
      <w:r>
        <w:rPr>
          <w:rFonts w:cs="Arial" w:hint="cs"/>
          <w:rtl/>
        </w:rPr>
        <w:t>, משנ"ב (סקקי"ה).</w:t>
      </w:r>
    </w:p>
  </w:footnote>
  <w:footnote w:id="1617">
    <w:p w14:paraId="0FD4BA7C" w14:textId="383A17A1" w:rsidR="00D42F64" w:rsidRDefault="00D42F64" w:rsidP="00285819">
      <w:pPr>
        <w:pStyle w:val="a7"/>
      </w:pPr>
      <w:r>
        <w:rPr>
          <w:rStyle w:val="a9"/>
        </w:rPr>
        <w:footnoteRef/>
      </w:r>
      <w:r>
        <w:rPr>
          <w:rtl/>
        </w:rPr>
        <w:t xml:space="preserve"> </w:t>
      </w:r>
      <w:r w:rsidRPr="00D42F64">
        <w:rPr>
          <w:rFonts w:cs="Arial"/>
          <w:rtl/>
        </w:rPr>
        <w:t>ואפשר שאפילו לכתחלה מותר להניח פת כדי להגביה הטבלא אם קשה ליה הניעור עיין במ"א ופמ"ג</w:t>
      </w:r>
      <w:r>
        <w:rPr>
          <w:rFonts w:cs="Arial" w:hint="cs"/>
          <w:rtl/>
        </w:rPr>
        <w:t>, משנ"ב (סקקט"ז).</w:t>
      </w:r>
    </w:p>
  </w:footnote>
  <w:footnote w:id="1618">
    <w:p w14:paraId="7FCA313E" w14:textId="2237191E" w:rsidR="0066293D" w:rsidRDefault="0066293D" w:rsidP="00285819">
      <w:pPr>
        <w:pStyle w:val="a7"/>
      </w:pPr>
      <w:r>
        <w:rPr>
          <w:rStyle w:val="a9"/>
        </w:rPr>
        <w:footnoteRef/>
      </w:r>
      <w:r>
        <w:rPr>
          <w:rtl/>
        </w:rPr>
        <w:t xml:space="preserve"> </w:t>
      </w:r>
      <w:r>
        <w:rPr>
          <w:rFonts w:cs="Arial"/>
          <w:rtl/>
        </w:rPr>
        <w:t>וכתב הה</w:t>
      </w:r>
      <w:r>
        <w:rPr>
          <w:rFonts w:cs="Arial" w:hint="cs"/>
          <w:rtl/>
        </w:rPr>
        <w:t>"</w:t>
      </w:r>
      <w:r>
        <w:rPr>
          <w:rFonts w:cs="Arial"/>
          <w:rtl/>
        </w:rPr>
        <w:t>מ בפכ"ו (הי"ח) דטעמא דבעינן התקינן משום דסתמא להסקה קיימי</w:t>
      </w:r>
      <w:r>
        <w:rPr>
          <w:rFonts w:cs="Arial" w:hint="cs"/>
          <w:rtl/>
        </w:rPr>
        <w:t>,</w:t>
      </w:r>
      <w:r>
        <w:rPr>
          <w:rFonts w:cs="Arial"/>
          <w:rtl/>
        </w:rPr>
        <w:t xml:space="preserve"> ואע</w:t>
      </w:r>
      <w:r>
        <w:rPr>
          <w:rFonts w:cs="Arial" w:hint="cs"/>
          <w:rtl/>
        </w:rPr>
        <w:t>"</w:t>
      </w:r>
      <w:r>
        <w:rPr>
          <w:rFonts w:cs="Arial"/>
          <w:rtl/>
        </w:rPr>
        <w:t>ג דחזו למאכל בהמה בסתמא לא קיימי להכי</w:t>
      </w:r>
      <w:r>
        <w:rPr>
          <w:rFonts w:cs="Arial" w:hint="cs"/>
          <w:rtl/>
        </w:rPr>
        <w:t>, ב"י.</w:t>
      </w:r>
    </w:p>
  </w:footnote>
  <w:footnote w:id="1619">
    <w:p w14:paraId="6D234267" w14:textId="44F2D4F7" w:rsidR="0066293D" w:rsidRDefault="0066293D" w:rsidP="00285819">
      <w:pPr>
        <w:pStyle w:val="a7"/>
      </w:pPr>
      <w:r>
        <w:rPr>
          <w:rStyle w:val="a9"/>
        </w:rPr>
        <w:footnoteRef/>
      </w:r>
      <w:r>
        <w:rPr>
          <w:rtl/>
        </w:rPr>
        <w:t xml:space="preserve"> </w:t>
      </w:r>
      <w:r>
        <w:rPr>
          <w:rFonts w:cs="Arial" w:hint="cs"/>
          <w:rtl/>
        </w:rPr>
        <w:t xml:space="preserve">וז"ל- </w:t>
      </w:r>
      <w:r w:rsidRPr="0066293D">
        <w:rPr>
          <w:rFonts w:cs="Arial"/>
          <w:sz w:val="22"/>
          <w:szCs w:val="22"/>
          <w:rtl/>
        </w:rPr>
        <w:t>חבילי</w:t>
      </w:r>
      <w:r w:rsidRPr="0066293D">
        <w:rPr>
          <w:rFonts w:cs="Arial"/>
          <w:rtl/>
        </w:rPr>
        <w:t xml:space="preserve"> קש וחבילי עצים וחבילי זרדין אם התקינן למאכל בהמה מטלטלין אותן ואם לאו אין מטלטלין אותן, חבילי סיאה (פואה) ואיזוב וקורנית, הכניסן לעצים אין מסתפק מהם בשבת, למאכל בהמה מסתפק מהן, וכן באמינתא וכן בפיגם וכן בשאר מיני תבלין.</w:t>
      </w:r>
    </w:p>
  </w:footnote>
  <w:footnote w:id="1620">
    <w:p w14:paraId="24C2BA22" w14:textId="566CE900" w:rsidR="00D42F64" w:rsidRDefault="00D42F64" w:rsidP="00285819">
      <w:pPr>
        <w:pStyle w:val="a7"/>
      </w:pPr>
      <w:r>
        <w:rPr>
          <w:rStyle w:val="a9"/>
        </w:rPr>
        <w:footnoteRef/>
      </w:r>
      <w:r>
        <w:rPr>
          <w:rtl/>
        </w:rPr>
        <w:t xml:space="preserve"> </w:t>
      </w:r>
      <w:r w:rsidRPr="00D42F64">
        <w:rPr>
          <w:rFonts w:cs="Arial"/>
          <w:rtl/>
        </w:rPr>
        <w:t>היינו שהזמינן אבל בלא הזמנה אפילו הם חבילות קטנות אסור לטלטלן וטעמא דסתמא עומדין להסקה ולכך אף שחזו למאכל בהמה אסור. כתב המ"א קש שלנו סתמא עומד לשכיבה או למאכל בהמה ועיין בתוספות שבת דזה תלוי במנהג המקומות ולפ"ז במקומות שחבילי תבן סתמן עומדין לבנין לכסות הגגות הם מוקצה וצריך הזמנה</w:t>
      </w:r>
      <w:r>
        <w:rPr>
          <w:rFonts w:cs="Arial" w:hint="cs"/>
          <w:rtl/>
        </w:rPr>
        <w:t>, משנ"ב (סקקי"ח).</w:t>
      </w:r>
    </w:p>
  </w:footnote>
  <w:footnote w:id="1621">
    <w:p w14:paraId="4200ED2C" w14:textId="64C45E53" w:rsidR="003F3684" w:rsidRDefault="003F3684" w:rsidP="00285819">
      <w:pPr>
        <w:pStyle w:val="a7"/>
      </w:pPr>
      <w:r>
        <w:rPr>
          <w:rStyle w:val="a9"/>
        </w:rPr>
        <w:footnoteRef/>
      </w:r>
      <w:r>
        <w:rPr>
          <w:rtl/>
        </w:rPr>
        <w:t xml:space="preserve"> </w:t>
      </w:r>
      <w:r w:rsidRPr="003F3684">
        <w:rPr>
          <w:rFonts w:cs="Arial"/>
          <w:rtl/>
        </w:rPr>
        <w:t>ראוי הוא להיות לו פילין ולהאכילן</w:t>
      </w:r>
      <w:r>
        <w:rPr>
          <w:rFonts w:cs="Arial" w:hint="cs"/>
          <w:rtl/>
        </w:rPr>
        <w:t>, רש"י.</w:t>
      </w:r>
    </w:p>
  </w:footnote>
  <w:footnote w:id="1622">
    <w:p w14:paraId="216930B2" w14:textId="49BCCFC9" w:rsidR="00BD42B8" w:rsidRDefault="00BD42B8" w:rsidP="00285819">
      <w:pPr>
        <w:pStyle w:val="a7"/>
      </w:pPr>
      <w:r>
        <w:rPr>
          <w:rStyle w:val="a9"/>
        </w:rPr>
        <w:footnoteRef/>
      </w:r>
      <w:r>
        <w:rPr>
          <w:rtl/>
        </w:rPr>
        <w:t xml:space="preserve"> </w:t>
      </w:r>
      <w:r>
        <w:rPr>
          <w:rFonts w:cs="Arial" w:hint="cs"/>
          <w:rtl/>
        </w:rPr>
        <w:t xml:space="preserve">וכתב הב"י דנראה שהטור פירש </w:t>
      </w:r>
      <w:r w:rsidRPr="00FB3622">
        <w:rPr>
          <w:rFonts w:cs="Arial"/>
          <w:rtl/>
        </w:rPr>
        <w:t>דתנא קמא דברייתא בשיטת רבן שמעון בן גמליאל אמרה</w:t>
      </w:r>
      <w:r>
        <w:rPr>
          <w:rFonts w:cs="Arial" w:hint="cs"/>
          <w:rtl/>
        </w:rPr>
        <w:t>,</w:t>
      </w:r>
      <w:r w:rsidRPr="00FB3622">
        <w:rPr>
          <w:rFonts w:cs="Arial"/>
          <w:rtl/>
        </w:rPr>
        <w:t xml:space="preserve"> ומשום הכי שרי חצב וחרדל</w:t>
      </w:r>
      <w:r>
        <w:rPr>
          <w:rFonts w:cs="Arial" w:hint="cs"/>
          <w:rtl/>
        </w:rPr>
        <w:t>,</w:t>
      </w:r>
      <w:r w:rsidRPr="00FB3622">
        <w:rPr>
          <w:rFonts w:cs="Arial"/>
          <w:rtl/>
        </w:rPr>
        <w:t xml:space="preserve"> דתנא קמא דמתניתין הא אסר בחרדל</w:t>
      </w:r>
      <w:r>
        <w:rPr>
          <w:rFonts w:cs="Arial" w:hint="cs"/>
          <w:rtl/>
        </w:rPr>
        <w:t>,</w:t>
      </w:r>
      <w:r w:rsidRPr="00FB3622">
        <w:rPr>
          <w:rFonts w:cs="Arial"/>
          <w:rtl/>
        </w:rPr>
        <w:t xml:space="preserve"> אלא ודאי כרבי שמעון בן גמליאל סבירא ליה</w:t>
      </w:r>
      <w:r>
        <w:rPr>
          <w:rFonts w:cs="Arial" w:hint="cs"/>
          <w:rtl/>
        </w:rPr>
        <w:t>,</w:t>
      </w:r>
      <w:r w:rsidRPr="00FB3622">
        <w:rPr>
          <w:rFonts w:cs="Arial"/>
          <w:rtl/>
        </w:rPr>
        <w:t xml:space="preserve"> ורבן שמעון בן גמליאל אתא לאוסופי עליה שברי זכוכית</w:t>
      </w:r>
      <w:r>
        <w:rPr>
          <w:rFonts w:cs="Arial" w:hint="cs"/>
          <w:rtl/>
        </w:rPr>
        <w:t>.</w:t>
      </w:r>
      <w:r w:rsidRPr="00FB3622">
        <w:rPr>
          <w:rFonts w:cs="Arial"/>
          <w:rtl/>
        </w:rPr>
        <w:t xml:space="preserve"> כך נראה שהיא דעת רבינו</w:t>
      </w:r>
      <w:r>
        <w:rPr>
          <w:rFonts w:cs="Arial" w:hint="cs"/>
          <w:rtl/>
        </w:rPr>
        <w:t>,</w:t>
      </w:r>
      <w:r w:rsidRPr="00FB3622">
        <w:rPr>
          <w:rFonts w:cs="Arial"/>
          <w:rtl/>
        </w:rPr>
        <w:t xml:space="preserve"> ומשום הכי פסק דאין מטלטלין חצב ולא חרדל</w:t>
      </w:r>
      <w:r>
        <w:rPr>
          <w:rFonts w:cs="Arial" w:hint="cs"/>
          <w:rtl/>
        </w:rPr>
        <w:t>,</w:t>
      </w:r>
      <w:r w:rsidRPr="00FB3622">
        <w:rPr>
          <w:rFonts w:cs="Arial"/>
          <w:rtl/>
        </w:rPr>
        <w:t xml:space="preserve"> דכיון דאוקימנא לרבן שמעון בן גמליאל בשיטה לא קיימא לן כוותיה</w:t>
      </w:r>
      <w:r>
        <w:rPr>
          <w:rFonts w:cs="Arial" w:hint="cs"/>
          <w:rtl/>
        </w:rPr>
        <w:t>.</w:t>
      </w:r>
      <w:r w:rsidRPr="00FB3622">
        <w:rPr>
          <w:rFonts w:cs="Arial"/>
          <w:rtl/>
        </w:rPr>
        <w:t xml:space="preserve"> וכן כתב הרב המגיד (שם הט"ז) שהרשב"א (קכח. ד"ה מתני') פסק כתנא קמא דמתניתין</w:t>
      </w:r>
      <w:r>
        <w:rPr>
          <w:rFonts w:cs="Arial" w:hint="cs"/>
          <w:rtl/>
        </w:rPr>
        <w:t>, ב"י.</w:t>
      </w:r>
    </w:p>
  </w:footnote>
  <w:footnote w:id="1623">
    <w:p w14:paraId="1517BE9A" w14:textId="411D9C32" w:rsidR="00BD42B8" w:rsidRPr="00F15ECE" w:rsidRDefault="00BD42B8" w:rsidP="00285819">
      <w:pPr>
        <w:pStyle w:val="a7"/>
        <w:rPr>
          <w:rFonts w:cs="Arial"/>
          <w:rtl/>
        </w:rPr>
      </w:pPr>
      <w:r>
        <w:rPr>
          <w:rStyle w:val="a9"/>
        </w:rPr>
        <w:footnoteRef/>
      </w:r>
      <w:r>
        <w:rPr>
          <w:rtl/>
        </w:rPr>
        <w:t xml:space="preserve"> </w:t>
      </w:r>
      <w:r>
        <w:rPr>
          <w:rFonts w:cs="Arial" w:hint="cs"/>
          <w:rtl/>
        </w:rPr>
        <w:t>מוכח ד</w:t>
      </w:r>
      <w:r w:rsidRPr="00FB3622">
        <w:rPr>
          <w:rFonts w:cs="Arial"/>
          <w:rtl/>
        </w:rPr>
        <w:t xml:space="preserve">הרמב"ם </w:t>
      </w:r>
      <w:r>
        <w:rPr>
          <w:rFonts w:cs="Arial" w:hint="cs"/>
          <w:rtl/>
        </w:rPr>
        <w:t xml:space="preserve">ס"ל </w:t>
      </w:r>
      <w:r w:rsidRPr="00FB3622">
        <w:rPr>
          <w:rFonts w:cs="Arial"/>
          <w:rtl/>
        </w:rPr>
        <w:t>דמותר לטלטל חצב וחרדל ואע</w:t>
      </w:r>
      <w:r>
        <w:rPr>
          <w:rFonts w:cs="Arial" w:hint="cs"/>
          <w:rtl/>
        </w:rPr>
        <w:t>"</w:t>
      </w:r>
      <w:r w:rsidRPr="00FB3622">
        <w:rPr>
          <w:rFonts w:cs="Arial"/>
          <w:rtl/>
        </w:rPr>
        <w:t>פ שאין לו צביים ולא יונים</w:t>
      </w:r>
      <w:r>
        <w:rPr>
          <w:rFonts w:cs="Arial" w:hint="cs"/>
          <w:rtl/>
        </w:rPr>
        <w:t>.</w:t>
      </w:r>
      <w:r w:rsidRPr="00FB3622">
        <w:rPr>
          <w:rFonts w:cs="Arial"/>
          <w:rtl/>
        </w:rPr>
        <w:t xml:space="preserve"> וכתב עליו ה</w:t>
      </w:r>
      <w:r w:rsidR="00F15ECE">
        <w:rPr>
          <w:rFonts w:cs="Arial" w:hint="cs"/>
          <w:rtl/>
        </w:rPr>
        <w:t>ה"מ</w:t>
      </w:r>
      <w:r w:rsidRPr="00FB3622">
        <w:rPr>
          <w:rFonts w:cs="Arial"/>
          <w:rtl/>
        </w:rPr>
        <w:t xml:space="preserve"> בגמרא תנו רבנן מטלטלין את החצב וכו'</w:t>
      </w:r>
      <w:r>
        <w:rPr>
          <w:rFonts w:cs="Arial" w:hint="cs"/>
          <w:rtl/>
        </w:rPr>
        <w:t>,</w:t>
      </w:r>
      <w:r w:rsidRPr="00FB3622">
        <w:rPr>
          <w:rFonts w:cs="Arial"/>
          <w:rtl/>
        </w:rPr>
        <w:t xml:space="preserve"> וכתובה בהלכות (רי"ף נ:)</w:t>
      </w:r>
      <w:r>
        <w:rPr>
          <w:rFonts w:cs="Arial" w:hint="cs"/>
          <w:rtl/>
        </w:rPr>
        <w:t>,</w:t>
      </w:r>
      <w:r w:rsidRPr="00FB3622">
        <w:rPr>
          <w:rFonts w:cs="Arial"/>
          <w:rtl/>
        </w:rPr>
        <w:t xml:space="preserve"> ואני תמה היאך כתבו היתר בחרדל</w:t>
      </w:r>
      <w:r>
        <w:rPr>
          <w:rFonts w:cs="Arial" w:hint="cs"/>
          <w:rtl/>
        </w:rPr>
        <w:t>,</w:t>
      </w:r>
      <w:r w:rsidRPr="00FB3622">
        <w:rPr>
          <w:rFonts w:cs="Arial"/>
          <w:rtl/>
        </w:rPr>
        <w:t xml:space="preserve"> שהרי במשנה (קכו:) שנינו ולא את הלוף ולא את החרדל והיא סתם משנה בלא מחלוקת עכ"ל</w:t>
      </w:r>
      <w:r>
        <w:rPr>
          <w:rFonts w:cs="Arial" w:hint="cs"/>
          <w:rtl/>
        </w:rPr>
        <w:t xml:space="preserve">. </w:t>
      </w:r>
      <w:r w:rsidRPr="00BD42B8">
        <w:rPr>
          <w:rFonts w:cs="Arial" w:hint="cs"/>
          <w:sz w:val="16"/>
          <w:szCs w:val="16"/>
          <w:rtl/>
        </w:rPr>
        <w:t>(</w:t>
      </w:r>
      <w:r w:rsidRPr="00BD42B8">
        <w:rPr>
          <w:rFonts w:cs="Arial"/>
          <w:sz w:val="16"/>
          <w:szCs w:val="16"/>
          <w:rtl/>
        </w:rPr>
        <w:t>ואני אומר דאי משום הא לא איריא</w:t>
      </w:r>
      <w:r w:rsidRPr="00BD42B8">
        <w:rPr>
          <w:rFonts w:cs="Arial" w:hint="cs"/>
          <w:sz w:val="16"/>
          <w:szCs w:val="16"/>
          <w:rtl/>
        </w:rPr>
        <w:t>,</w:t>
      </w:r>
      <w:r w:rsidRPr="00BD42B8">
        <w:rPr>
          <w:rFonts w:cs="Arial"/>
          <w:sz w:val="16"/>
          <w:szCs w:val="16"/>
          <w:rtl/>
        </w:rPr>
        <w:t xml:space="preserve"> דרבן שמעון בן גמליאל דמתיר בלוף הוא הדין דמתיר בחרדל כדמשמע בברייתא</w:t>
      </w:r>
      <w:r w:rsidRPr="00BD42B8">
        <w:rPr>
          <w:rFonts w:cs="Arial" w:hint="cs"/>
          <w:sz w:val="16"/>
          <w:szCs w:val="16"/>
          <w:rtl/>
        </w:rPr>
        <w:t>,</w:t>
      </w:r>
      <w:r w:rsidRPr="00BD42B8">
        <w:rPr>
          <w:rFonts w:cs="Arial"/>
          <w:sz w:val="16"/>
          <w:szCs w:val="16"/>
          <w:rtl/>
        </w:rPr>
        <w:t xml:space="preserve"> וכמו שכתבו התוספות (קכח. ד"ה רשב"ג)</w:t>
      </w:r>
      <w:r w:rsidRPr="00BD42B8">
        <w:rPr>
          <w:rFonts w:cs="Arial" w:hint="cs"/>
          <w:sz w:val="16"/>
          <w:szCs w:val="16"/>
          <w:rtl/>
        </w:rPr>
        <w:t>,</w:t>
      </w:r>
      <w:r w:rsidRPr="00BD42B8">
        <w:rPr>
          <w:rFonts w:cs="Arial"/>
          <w:sz w:val="16"/>
          <w:szCs w:val="16"/>
          <w:rtl/>
        </w:rPr>
        <w:t xml:space="preserve"> וכל מקום ששנה רבן שמעון בן גמליאל במשנתינו הלכה כמותו</w:t>
      </w:r>
      <w:r w:rsidRPr="00BD42B8">
        <w:rPr>
          <w:rFonts w:cs="Arial" w:hint="cs"/>
          <w:sz w:val="16"/>
          <w:szCs w:val="16"/>
          <w:rtl/>
        </w:rPr>
        <w:t>.</w:t>
      </w:r>
      <w:r w:rsidRPr="00BD42B8">
        <w:rPr>
          <w:rFonts w:cs="Arial"/>
          <w:sz w:val="16"/>
          <w:szCs w:val="16"/>
          <w:rtl/>
        </w:rPr>
        <w:t xml:space="preserve"> אלא הכי הוה ליה לאקשויי דכיון דאוקימנא לרבן שמעון בן גמליאל בשיטה לא קיימא לן כוותיה</w:t>
      </w:r>
      <w:r w:rsidRPr="00BD42B8">
        <w:rPr>
          <w:rFonts w:cs="Arial" w:hint="cs"/>
          <w:sz w:val="16"/>
          <w:szCs w:val="16"/>
          <w:rtl/>
        </w:rPr>
        <w:t>.</w:t>
      </w:r>
      <w:r w:rsidRPr="00BD42B8">
        <w:rPr>
          <w:rFonts w:cs="Arial"/>
          <w:sz w:val="16"/>
          <w:szCs w:val="16"/>
          <w:rtl/>
        </w:rPr>
        <w:t xml:space="preserve"> והרי"ף (נ:) כפי נוסחאות שלנו נראה שפוסק כתנא קמא דמתניתין</w:t>
      </w:r>
      <w:r w:rsidRPr="00BD42B8">
        <w:rPr>
          <w:rFonts w:cs="Arial" w:hint="cs"/>
          <w:sz w:val="16"/>
          <w:szCs w:val="16"/>
          <w:rtl/>
        </w:rPr>
        <w:t>,</w:t>
      </w:r>
      <w:r w:rsidRPr="00BD42B8">
        <w:rPr>
          <w:rFonts w:cs="Arial"/>
          <w:sz w:val="16"/>
          <w:szCs w:val="16"/>
          <w:rtl/>
        </w:rPr>
        <w:t xml:space="preserve"> דכתב דלית הלכתא כרבי שמעון בן גמליאל</w:t>
      </w:r>
      <w:r w:rsidRPr="00BD42B8">
        <w:rPr>
          <w:rFonts w:cs="Arial" w:hint="cs"/>
          <w:sz w:val="16"/>
          <w:szCs w:val="16"/>
          <w:rtl/>
        </w:rPr>
        <w:t>.</w:t>
      </w:r>
      <w:r w:rsidRPr="00BD42B8">
        <w:rPr>
          <w:rFonts w:cs="Arial"/>
          <w:sz w:val="16"/>
          <w:szCs w:val="16"/>
          <w:rtl/>
        </w:rPr>
        <w:t xml:space="preserve"> וכתב עוד</w:t>
      </w:r>
      <w:r w:rsidRPr="00BD42B8">
        <w:rPr>
          <w:rFonts w:cs="Arial" w:hint="cs"/>
          <w:sz w:val="16"/>
          <w:szCs w:val="16"/>
          <w:rtl/>
        </w:rPr>
        <w:t>-</w:t>
      </w:r>
      <w:r w:rsidRPr="00BD42B8">
        <w:rPr>
          <w:rFonts w:cs="Arial"/>
          <w:sz w:val="16"/>
          <w:szCs w:val="16"/>
          <w:rtl/>
        </w:rPr>
        <w:t xml:space="preserve"> ואין מטלטלין את החרדל דקיימא לן בהא כסתם משנה</w:t>
      </w:r>
      <w:r w:rsidRPr="00BD42B8">
        <w:rPr>
          <w:rFonts w:cs="Arial" w:hint="cs"/>
          <w:sz w:val="16"/>
          <w:szCs w:val="16"/>
          <w:rtl/>
        </w:rPr>
        <w:t>.</w:t>
      </w:r>
      <w:r w:rsidRPr="00BD42B8">
        <w:rPr>
          <w:rFonts w:cs="Arial"/>
          <w:sz w:val="16"/>
          <w:szCs w:val="16"/>
          <w:rtl/>
        </w:rPr>
        <w:t xml:space="preserve"> אבל הרב המגיד כתב שדעתו כדעת הרמב"ם</w:t>
      </w:r>
      <w:r w:rsidRPr="00BD42B8">
        <w:rPr>
          <w:rFonts w:cs="Arial" w:hint="cs"/>
          <w:sz w:val="16"/>
          <w:szCs w:val="16"/>
          <w:rtl/>
        </w:rPr>
        <w:t>,</w:t>
      </w:r>
      <w:r w:rsidRPr="00BD42B8">
        <w:rPr>
          <w:rFonts w:cs="Arial"/>
          <w:sz w:val="16"/>
          <w:szCs w:val="16"/>
          <w:rtl/>
        </w:rPr>
        <w:t xml:space="preserve"> וכן כתב הר"ן (ד"ה ומסקנא)</w:t>
      </w:r>
      <w:r>
        <w:rPr>
          <w:rFonts w:cs="Arial" w:hint="cs"/>
          <w:sz w:val="16"/>
          <w:szCs w:val="16"/>
          <w:rtl/>
        </w:rPr>
        <w:t>)</w:t>
      </w:r>
      <w:r w:rsidRPr="00FB3622">
        <w:rPr>
          <w:rFonts w:cs="Arial"/>
          <w:rtl/>
        </w:rPr>
        <w:t xml:space="preserve"> ויישב הר"ן דעתם דמשמע דסבירא להו דתנא דמתניתין ותנא דברייתא לא פליגי אהדדי אלא מר כי אתריה ומר כי אתריה באתריה</w:t>
      </w:r>
      <w:r>
        <w:rPr>
          <w:rFonts w:cs="Arial" w:hint="cs"/>
          <w:rtl/>
        </w:rPr>
        <w:t>,</w:t>
      </w:r>
      <w:r w:rsidRPr="00FB3622">
        <w:rPr>
          <w:rFonts w:cs="Arial"/>
          <w:rtl/>
        </w:rPr>
        <w:t xml:space="preserve"> דתנא דברייתא היו רגילין לגדל יונים</w:t>
      </w:r>
      <w:r>
        <w:rPr>
          <w:rFonts w:cs="Arial" w:hint="cs"/>
          <w:rtl/>
        </w:rPr>
        <w:t>,</w:t>
      </w:r>
      <w:r w:rsidRPr="00FB3622">
        <w:rPr>
          <w:rFonts w:cs="Arial"/>
          <w:rtl/>
        </w:rPr>
        <w:t xml:space="preserve"> ובאתריה דתנא דמתניתין לא היו רגילין בהם</w:t>
      </w:r>
      <w:r>
        <w:rPr>
          <w:rFonts w:cs="Arial" w:hint="cs"/>
          <w:rtl/>
        </w:rPr>
        <w:t>,</w:t>
      </w:r>
      <w:r w:rsidRPr="00FB3622">
        <w:rPr>
          <w:rFonts w:cs="Arial"/>
          <w:rtl/>
        </w:rPr>
        <w:t xml:space="preserve"> אבל לכו</w:t>
      </w:r>
      <w:r>
        <w:rPr>
          <w:rFonts w:cs="Arial" w:hint="cs"/>
          <w:rtl/>
        </w:rPr>
        <w:t>"ע</w:t>
      </w:r>
      <w:r w:rsidRPr="00FB3622">
        <w:rPr>
          <w:rFonts w:cs="Arial"/>
          <w:rtl/>
        </w:rPr>
        <w:t xml:space="preserve"> אין מטלטלין אלא מה שהוא ראוי לבהמה חיה ועוף המצויים אצל בני אדם עכ"ל</w:t>
      </w:r>
      <w:r>
        <w:rPr>
          <w:rFonts w:cs="Arial" w:hint="cs"/>
          <w:rtl/>
        </w:rPr>
        <w:t>.</w:t>
      </w:r>
      <w:r w:rsidRPr="00FB3622">
        <w:rPr>
          <w:rFonts w:cs="Arial"/>
          <w:rtl/>
        </w:rPr>
        <w:t xml:space="preserve"> וכך מבואר מדברי הרמב"ם (שם הט"ז - יז)</w:t>
      </w:r>
      <w:r>
        <w:rPr>
          <w:rFonts w:cs="Arial" w:hint="cs"/>
          <w:rtl/>
        </w:rPr>
        <w:t>...</w:t>
      </w:r>
      <w:r w:rsidRPr="00FB3622">
        <w:rPr>
          <w:rFonts w:cs="Arial"/>
          <w:rtl/>
        </w:rPr>
        <w:t xml:space="preserve"> ואם כן לדידן דשכיחי יונים</w:t>
      </w:r>
      <w:r>
        <w:rPr>
          <w:rFonts w:cs="Arial" w:hint="cs"/>
          <w:rtl/>
        </w:rPr>
        <w:t>,</w:t>
      </w:r>
      <w:r w:rsidRPr="00FB3622">
        <w:rPr>
          <w:rFonts w:cs="Arial"/>
          <w:rtl/>
        </w:rPr>
        <w:t xml:space="preserve"> וכן צביים שהיו מצויין בזמנו וארצו של הרמב"ם</w:t>
      </w:r>
      <w:r>
        <w:rPr>
          <w:rFonts w:cs="Arial" w:hint="cs"/>
          <w:rtl/>
        </w:rPr>
        <w:t>,</w:t>
      </w:r>
      <w:r w:rsidRPr="00FB3622">
        <w:rPr>
          <w:rFonts w:cs="Arial"/>
          <w:rtl/>
        </w:rPr>
        <w:t xml:space="preserve"> כתב להתיר לטלטל מאכל הראוי להם</w:t>
      </w:r>
      <w:r>
        <w:rPr>
          <w:rFonts w:cs="Arial" w:hint="cs"/>
          <w:rtl/>
        </w:rPr>
        <w:t>,</w:t>
      </w:r>
      <w:r w:rsidRPr="00FB3622">
        <w:rPr>
          <w:rFonts w:cs="Arial"/>
          <w:rtl/>
        </w:rPr>
        <w:t xml:space="preserve"> דכי האי גוונא </w:t>
      </w:r>
      <w:r w:rsidR="00F15ECE">
        <w:rPr>
          <w:rFonts w:cs="Arial" w:hint="cs"/>
          <w:rtl/>
        </w:rPr>
        <w:t>לכו"ע</w:t>
      </w:r>
      <w:r w:rsidRPr="00FB3622">
        <w:rPr>
          <w:rFonts w:cs="Arial"/>
          <w:rtl/>
        </w:rPr>
        <w:t xml:space="preserve"> שרי</w:t>
      </w:r>
      <w:r>
        <w:rPr>
          <w:rFonts w:hint="cs"/>
          <w:rtl/>
        </w:rPr>
        <w:t>, ב"י.</w:t>
      </w:r>
    </w:p>
  </w:footnote>
  <w:footnote w:id="1624">
    <w:p w14:paraId="07A88640" w14:textId="77777777" w:rsidR="00C00DF6" w:rsidRDefault="00C00DF6" w:rsidP="00285819">
      <w:pPr>
        <w:pStyle w:val="a7"/>
      </w:pPr>
      <w:r>
        <w:rPr>
          <w:rStyle w:val="a9"/>
        </w:rPr>
        <w:footnoteRef/>
      </w:r>
      <w:r>
        <w:rPr>
          <w:rtl/>
        </w:rPr>
        <w:t xml:space="preserve"> </w:t>
      </w:r>
      <w:r w:rsidRPr="00DA246B">
        <w:rPr>
          <w:rFonts w:cs="Arial"/>
          <w:rtl/>
        </w:rPr>
        <w:t>אין אנו סומכין על משנתינו כמות שהיא שנויה, אלא מוחלפת שיטתה, ובית שמאי כר' יהודה כו'</w:t>
      </w:r>
      <w:r>
        <w:rPr>
          <w:rFonts w:cs="Arial" w:hint="cs"/>
          <w:rtl/>
        </w:rPr>
        <w:t>, רש"י.</w:t>
      </w:r>
    </w:p>
  </w:footnote>
  <w:footnote w:id="1625">
    <w:p w14:paraId="0A2703BA" w14:textId="7E8B5597" w:rsidR="00D52542" w:rsidRDefault="00D52542" w:rsidP="00285819">
      <w:pPr>
        <w:pStyle w:val="a7"/>
        <w:rPr>
          <w:rtl/>
        </w:rPr>
      </w:pPr>
      <w:r>
        <w:rPr>
          <w:rStyle w:val="a9"/>
        </w:rPr>
        <w:footnoteRef/>
      </w:r>
      <w:r>
        <w:rPr>
          <w:rtl/>
        </w:rPr>
        <w:t xml:space="preserve"> </w:t>
      </w:r>
      <w:r>
        <w:rPr>
          <w:rFonts w:cs="Arial" w:hint="cs"/>
          <w:rtl/>
        </w:rPr>
        <w:t xml:space="preserve">וכתב הב"י- </w:t>
      </w:r>
      <w:r w:rsidRPr="00C828F4">
        <w:rPr>
          <w:rFonts w:cs="Arial"/>
          <w:rtl/>
        </w:rPr>
        <w:t>ואיני יודע מה בין זה לנבלה שנתנבלה מערב שבת דאפילו רבי יהודה שרי בפרק מי שהחש</w:t>
      </w:r>
      <w:r>
        <w:rPr>
          <w:rFonts w:cs="Arial" w:hint="cs"/>
          <w:rtl/>
        </w:rPr>
        <w:t xml:space="preserve">יך </w:t>
      </w:r>
      <w:r w:rsidRPr="00C828F4">
        <w:rPr>
          <w:rFonts w:cs="Arial"/>
          <w:rtl/>
        </w:rPr>
        <w:t xml:space="preserve"> (קנו:)</w:t>
      </w:r>
      <w:r>
        <w:rPr>
          <w:rFonts w:cs="Arial" w:hint="cs"/>
          <w:rtl/>
        </w:rPr>
        <w:t xml:space="preserve">. </w:t>
      </w:r>
      <w:r>
        <w:rPr>
          <w:rFonts w:cs="Arial" w:hint="cs"/>
          <w:sz w:val="16"/>
          <w:szCs w:val="16"/>
          <w:rtl/>
        </w:rPr>
        <w:t>{</w:t>
      </w:r>
      <w:r w:rsidRPr="00D52542">
        <w:rPr>
          <w:rFonts w:cs="Arial"/>
          <w:sz w:val="16"/>
          <w:szCs w:val="16"/>
          <w:rtl/>
        </w:rPr>
        <w:t>ואיני יודע מה קשה לו</w:t>
      </w:r>
      <w:r w:rsidRPr="00D52542">
        <w:rPr>
          <w:rFonts w:cs="Arial" w:hint="cs"/>
          <w:sz w:val="16"/>
          <w:szCs w:val="16"/>
          <w:rtl/>
        </w:rPr>
        <w:t>,</w:t>
      </w:r>
      <w:r w:rsidRPr="00D52542">
        <w:rPr>
          <w:rFonts w:cs="Arial"/>
          <w:sz w:val="16"/>
          <w:szCs w:val="16"/>
          <w:rtl/>
        </w:rPr>
        <w:t xml:space="preserve"> דודאי אין מטלטלין עצמות שנתפרקו מן הבשר מערב שבת אם לא שיש לו כלבים</w:t>
      </w:r>
      <w:r>
        <w:rPr>
          <w:rFonts w:cs="Arial" w:hint="cs"/>
          <w:sz w:val="16"/>
          <w:szCs w:val="16"/>
          <w:rtl/>
        </w:rPr>
        <w:t>,</w:t>
      </w:r>
      <w:r w:rsidRPr="00D52542">
        <w:rPr>
          <w:rFonts w:cs="Arial"/>
          <w:sz w:val="16"/>
          <w:szCs w:val="16"/>
          <w:rtl/>
        </w:rPr>
        <w:t xml:space="preserve"> כמו שאין מטלטלין הלוף אא</w:t>
      </w:r>
      <w:r w:rsidRPr="00D52542">
        <w:rPr>
          <w:rFonts w:cs="Arial" w:hint="cs"/>
          <w:sz w:val="16"/>
          <w:szCs w:val="16"/>
          <w:rtl/>
        </w:rPr>
        <w:t>"</w:t>
      </w:r>
      <w:r w:rsidRPr="00D52542">
        <w:rPr>
          <w:rFonts w:cs="Arial"/>
          <w:sz w:val="16"/>
          <w:szCs w:val="16"/>
          <w:rtl/>
        </w:rPr>
        <w:t>כ יש לו עורבים</w:t>
      </w:r>
      <w:r w:rsidRPr="00D52542">
        <w:rPr>
          <w:rFonts w:cs="Arial" w:hint="cs"/>
          <w:sz w:val="16"/>
          <w:szCs w:val="16"/>
          <w:rtl/>
        </w:rPr>
        <w:t>.</w:t>
      </w:r>
      <w:r w:rsidRPr="00D52542">
        <w:rPr>
          <w:rFonts w:cs="Arial"/>
          <w:sz w:val="16"/>
          <w:szCs w:val="16"/>
          <w:rtl/>
        </w:rPr>
        <w:t xml:space="preserve"> וכן נבלה שנתנבלה מערב שבת לא שרי רבי יהודה אלא לחתכה לפני הכלבים כמו שמבואר פרק מי שהחשיך</w:t>
      </w:r>
      <w:r w:rsidRPr="00D52542">
        <w:rPr>
          <w:rFonts w:cs="Arial" w:hint="cs"/>
          <w:sz w:val="16"/>
          <w:szCs w:val="16"/>
          <w:rtl/>
        </w:rPr>
        <w:t>.</w:t>
      </w:r>
      <w:r w:rsidRPr="00D52542">
        <w:rPr>
          <w:rFonts w:cs="Arial"/>
          <w:sz w:val="16"/>
          <w:szCs w:val="16"/>
          <w:rtl/>
        </w:rPr>
        <w:t xml:space="preserve"> ולכן דברי הר"ן נכונים דדוקא עצמות שנתפרקו מן הבשר בשבת מותר להעבירן מן השולחן הואיל ועדיין ראויים לכלבים אע</w:t>
      </w:r>
      <w:r w:rsidRPr="00D52542">
        <w:rPr>
          <w:rFonts w:cs="Arial" w:hint="cs"/>
          <w:sz w:val="16"/>
          <w:szCs w:val="16"/>
          <w:rtl/>
        </w:rPr>
        <w:t>"</w:t>
      </w:r>
      <w:r w:rsidRPr="00D52542">
        <w:rPr>
          <w:rFonts w:cs="Arial"/>
          <w:sz w:val="16"/>
          <w:szCs w:val="16"/>
          <w:rtl/>
        </w:rPr>
        <w:t>פ שאין לו כלבים</w:t>
      </w:r>
      <w:r w:rsidRPr="00D52542">
        <w:rPr>
          <w:rFonts w:cs="Arial" w:hint="cs"/>
          <w:sz w:val="16"/>
          <w:szCs w:val="16"/>
          <w:rtl/>
        </w:rPr>
        <w:t>,</w:t>
      </w:r>
      <w:r w:rsidRPr="00D52542">
        <w:rPr>
          <w:rFonts w:cs="Arial"/>
          <w:sz w:val="16"/>
          <w:szCs w:val="16"/>
          <w:rtl/>
        </w:rPr>
        <w:t xml:space="preserve"> אבל שאר עצמות אסור לטלטלן</w:t>
      </w:r>
      <w:r w:rsidRPr="00D52542">
        <w:rPr>
          <w:rFonts w:cs="Arial" w:hint="cs"/>
          <w:sz w:val="16"/>
          <w:szCs w:val="16"/>
          <w:rtl/>
        </w:rPr>
        <w:t>,</w:t>
      </w:r>
      <w:r w:rsidRPr="00D52542">
        <w:rPr>
          <w:rFonts w:cs="Arial"/>
          <w:sz w:val="16"/>
          <w:szCs w:val="16"/>
          <w:rtl/>
        </w:rPr>
        <w:t xml:space="preserve"> ופשוט הוא בעיני. ונראה לי דדעת ב</w:t>
      </w:r>
      <w:r w:rsidR="00D8110C">
        <w:rPr>
          <w:rFonts w:cs="Arial" w:hint="cs"/>
          <w:sz w:val="16"/>
          <w:szCs w:val="16"/>
          <w:rtl/>
        </w:rPr>
        <w:t>"י</w:t>
      </w:r>
      <w:r w:rsidRPr="00D52542">
        <w:rPr>
          <w:rFonts w:cs="Arial"/>
          <w:sz w:val="16"/>
          <w:szCs w:val="16"/>
          <w:rtl/>
        </w:rPr>
        <w:t xml:space="preserve"> לטעמיה דכתב למטה (ד"מ הארוך סע' כט) בשם הר"ן גבי הלוף דהרי"ף והרמב"ם סבירא להו דאם עורבים מצויין אע</w:t>
      </w:r>
      <w:r w:rsidRPr="00D52542">
        <w:rPr>
          <w:rFonts w:cs="Arial" w:hint="cs"/>
          <w:sz w:val="16"/>
          <w:szCs w:val="16"/>
          <w:rtl/>
        </w:rPr>
        <w:t>"</w:t>
      </w:r>
      <w:r w:rsidRPr="00D52542">
        <w:rPr>
          <w:rFonts w:cs="Arial"/>
          <w:sz w:val="16"/>
          <w:szCs w:val="16"/>
          <w:rtl/>
        </w:rPr>
        <w:t>פ שאין לו שרי לטלטולי</w:t>
      </w:r>
      <w:r w:rsidRPr="00D52542">
        <w:rPr>
          <w:rFonts w:cs="Arial" w:hint="cs"/>
          <w:sz w:val="16"/>
          <w:szCs w:val="16"/>
          <w:rtl/>
        </w:rPr>
        <w:t>.</w:t>
      </w:r>
      <w:r w:rsidRPr="00D52542">
        <w:rPr>
          <w:rFonts w:cs="Arial"/>
          <w:sz w:val="16"/>
          <w:szCs w:val="16"/>
          <w:rtl/>
        </w:rPr>
        <w:t xml:space="preserve"> ואם כן עצמות הראויין לכלבים נמי</w:t>
      </w:r>
      <w:r w:rsidRPr="00D52542">
        <w:rPr>
          <w:rFonts w:cs="Arial" w:hint="cs"/>
          <w:sz w:val="16"/>
          <w:szCs w:val="16"/>
          <w:rtl/>
        </w:rPr>
        <w:t>.</w:t>
      </w:r>
      <w:r w:rsidRPr="00D52542">
        <w:rPr>
          <w:rFonts w:cs="Arial"/>
          <w:sz w:val="16"/>
          <w:szCs w:val="16"/>
          <w:rtl/>
        </w:rPr>
        <w:t xml:space="preserve"> אבל רבים חולקים בזה כמו שאכתוב למטה</w:t>
      </w:r>
      <w:r>
        <w:rPr>
          <w:rFonts w:cs="Arial" w:hint="cs"/>
          <w:sz w:val="16"/>
          <w:szCs w:val="16"/>
          <w:rtl/>
        </w:rPr>
        <w:t>, דרכ"מ [אות י]}</w:t>
      </w:r>
      <w:r>
        <w:rPr>
          <w:rFonts w:cs="Arial" w:hint="cs"/>
          <w:rtl/>
        </w:rPr>
        <w:t>.</w:t>
      </w:r>
      <w:r w:rsidRPr="00C828F4">
        <w:rPr>
          <w:rFonts w:cs="Arial"/>
          <w:rtl/>
        </w:rPr>
        <w:t xml:space="preserve"> ועוד דמדכתב אע</w:t>
      </w:r>
      <w:r w:rsidR="00D8110C">
        <w:rPr>
          <w:rFonts w:cs="Arial" w:hint="cs"/>
          <w:rtl/>
        </w:rPr>
        <w:t>"</w:t>
      </w:r>
      <w:r w:rsidRPr="00C828F4">
        <w:rPr>
          <w:rFonts w:cs="Arial"/>
          <w:rtl/>
        </w:rPr>
        <w:t>פ שנתפרקו העצמות וכו' בשבת</w:t>
      </w:r>
      <w:r>
        <w:rPr>
          <w:rFonts w:cs="Arial" w:hint="cs"/>
          <w:rtl/>
        </w:rPr>
        <w:t>,</w:t>
      </w:r>
      <w:r w:rsidRPr="00C828F4">
        <w:rPr>
          <w:rFonts w:cs="Arial"/>
          <w:rtl/>
        </w:rPr>
        <w:t xml:space="preserve"> משמע דכל שכן אם נתפרקו מערב שבת דשרי וכלפי לייא הוא</w:t>
      </w:r>
      <w:r>
        <w:rPr>
          <w:rFonts w:cs="Arial" w:hint="cs"/>
          <w:rtl/>
        </w:rPr>
        <w:t>.</w:t>
      </w:r>
      <w:r w:rsidRPr="00C828F4">
        <w:rPr>
          <w:rFonts w:cs="Arial"/>
          <w:rtl/>
        </w:rPr>
        <w:t xml:space="preserve"> ואפשר דיש להגיה רבי יהודה במקום רבי שמעון</w:t>
      </w:r>
      <w:r>
        <w:rPr>
          <w:rFonts w:cs="Arial" w:hint="cs"/>
          <w:rtl/>
        </w:rPr>
        <w:t>,</w:t>
      </w:r>
      <w:r w:rsidRPr="00C828F4">
        <w:rPr>
          <w:rFonts w:cs="Arial"/>
          <w:rtl/>
        </w:rPr>
        <w:t xml:space="preserve"> כלומר דאפילו רבי יהודה שרי בנבלה שנתנבלה מערב שבת והוא הדין לעצמות שנתפרקו מערב שבת כיון שהיו מוכנים לבהמה מערב שבת</w:t>
      </w:r>
      <w:r>
        <w:rPr>
          <w:rFonts w:cs="Arial" w:hint="cs"/>
          <w:rtl/>
        </w:rPr>
        <w:t>,</w:t>
      </w:r>
      <w:r w:rsidRPr="00C828F4">
        <w:rPr>
          <w:rFonts w:cs="Arial"/>
          <w:rtl/>
        </w:rPr>
        <w:t xml:space="preserve"> וצ"ע</w:t>
      </w:r>
      <w:r>
        <w:rPr>
          <w:rFonts w:cs="Arial" w:hint="cs"/>
          <w:rtl/>
        </w:rPr>
        <w:t xml:space="preserve">. </w:t>
      </w:r>
      <w:r w:rsidRPr="00D52542">
        <w:rPr>
          <w:rFonts w:cs="Arial" w:hint="cs"/>
          <w:sz w:val="16"/>
          <w:szCs w:val="16"/>
          <w:rtl/>
        </w:rPr>
        <w:t>(</w:t>
      </w:r>
      <w:r w:rsidRPr="00D52542">
        <w:rPr>
          <w:rFonts w:cs="Arial"/>
          <w:sz w:val="16"/>
          <w:szCs w:val="16"/>
          <w:rtl/>
        </w:rPr>
        <w:t>וכל זה אינו נכון</w:t>
      </w:r>
      <w:r w:rsidRPr="00D52542">
        <w:rPr>
          <w:rFonts w:cs="Arial" w:hint="cs"/>
          <w:sz w:val="16"/>
          <w:szCs w:val="16"/>
          <w:rtl/>
        </w:rPr>
        <w:t>,</w:t>
      </w:r>
      <w:r w:rsidRPr="00D52542">
        <w:rPr>
          <w:rFonts w:cs="Arial"/>
          <w:sz w:val="16"/>
          <w:szCs w:val="16"/>
          <w:rtl/>
        </w:rPr>
        <w:t xml:space="preserve"> דאע</w:t>
      </w:r>
      <w:r w:rsidRPr="00D52542">
        <w:rPr>
          <w:rFonts w:cs="Arial" w:hint="cs"/>
          <w:sz w:val="16"/>
          <w:szCs w:val="16"/>
          <w:rtl/>
        </w:rPr>
        <w:t>"</w:t>
      </w:r>
      <w:r w:rsidRPr="00D52542">
        <w:rPr>
          <w:rFonts w:cs="Arial"/>
          <w:sz w:val="16"/>
          <w:szCs w:val="16"/>
          <w:rtl/>
        </w:rPr>
        <w:t>פ דקאמר לאו אשבת קאי אלא אנתפרקו קאי</w:t>
      </w:r>
      <w:r w:rsidR="00D8110C">
        <w:rPr>
          <w:rFonts w:cs="Arial" w:hint="cs"/>
          <w:sz w:val="16"/>
          <w:szCs w:val="16"/>
          <w:rtl/>
        </w:rPr>
        <w:t>,</w:t>
      </w:r>
      <w:r w:rsidRPr="00D52542">
        <w:rPr>
          <w:rFonts w:cs="Arial"/>
          <w:sz w:val="16"/>
          <w:szCs w:val="16"/>
          <w:rtl/>
        </w:rPr>
        <w:t xml:space="preserve"> כלומר אע</w:t>
      </w:r>
      <w:r w:rsidRPr="00D52542">
        <w:rPr>
          <w:rFonts w:cs="Arial" w:hint="cs"/>
          <w:sz w:val="16"/>
          <w:szCs w:val="16"/>
          <w:rtl/>
        </w:rPr>
        <w:t>"</w:t>
      </w:r>
      <w:r w:rsidRPr="00D52542">
        <w:rPr>
          <w:rFonts w:cs="Arial"/>
          <w:sz w:val="16"/>
          <w:szCs w:val="16"/>
          <w:rtl/>
        </w:rPr>
        <w:t>פ שנתפרקו מן הבשר וכל שכן אם יש עליו עדיין קצת בשר ולא נתפרק לגמרי דשרי</w:t>
      </w:r>
      <w:r w:rsidR="00D8110C">
        <w:rPr>
          <w:rFonts w:cs="Arial" w:hint="cs"/>
          <w:sz w:val="16"/>
          <w:szCs w:val="16"/>
          <w:rtl/>
        </w:rPr>
        <w:t>,</w:t>
      </w:r>
      <w:r w:rsidRPr="00D52542">
        <w:rPr>
          <w:rFonts w:cs="Arial"/>
          <w:sz w:val="16"/>
          <w:szCs w:val="16"/>
          <w:rtl/>
        </w:rPr>
        <w:t xml:space="preserve"> כן נראה לי</w:t>
      </w:r>
      <w:r>
        <w:rPr>
          <w:rFonts w:cs="Arial" w:hint="cs"/>
          <w:sz w:val="16"/>
          <w:szCs w:val="16"/>
          <w:rtl/>
        </w:rPr>
        <w:t>, דרכ"מ [אות י]</w:t>
      </w:r>
      <w:r w:rsidRPr="00D52542">
        <w:rPr>
          <w:rFonts w:cs="Arial" w:hint="cs"/>
          <w:sz w:val="16"/>
          <w:szCs w:val="16"/>
          <w:rtl/>
        </w:rPr>
        <w:t>)</w:t>
      </w:r>
      <w:r>
        <w:rPr>
          <w:rFonts w:cs="Arial" w:hint="cs"/>
          <w:rtl/>
        </w:rPr>
        <w:t>.</w:t>
      </w:r>
    </w:p>
  </w:footnote>
  <w:footnote w:id="1626">
    <w:p w14:paraId="5D6E123C" w14:textId="197351F8" w:rsidR="00113628" w:rsidRDefault="00113628" w:rsidP="00285819">
      <w:pPr>
        <w:pStyle w:val="a7"/>
      </w:pPr>
      <w:r>
        <w:rPr>
          <w:rStyle w:val="a9"/>
        </w:rPr>
        <w:footnoteRef/>
      </w:r>
      <w:r>
        <w:rPr>
          <w:rtl/>
        </w:rPr>
        <w:t xml:space="preserve"> </w:t>
      </w:r>
      <w:r w:rsidRPr="00113628">
        <w:rPr>
          <w:rFonts w:cs="Arial"/>
          <w:rtl/>
        </w:rPr>
        <w:t>אצל רוב בני אדם ומה דעשירים מגדלין אותו המין בבתיהם לא נחשב מצוי</w:t>
      </w:r>
      <w:r>
        <w:rPr>
          <w:rFonts w:cs="Arial" w:hint="cs"/>
          <w:rtl/>
        </w:rPr>
        <w:t>, משנ"ב (סקקי"ט).</w:t>
      </w:r>
    </w:p>
  </w:footnote>
  <w:footnote w:id="1627">
    <w:p w14:paraId="73737188" w14:textId="76EC00B0" w:rsidR="00113628" w:rsidRDefault="00113628" w:rsidP="00285819">
      <w:pPr>
        <w:pStyle w:val="a7"/>
        <w:rPr>
          <w:rtl/>
        </w:rPr>
      </w:pPr>
      <w:r>
        <w:rPr>
          <w:rStyle w:val="a9"/>
        </w:rPr>
        <w:footnoteRef/>
      </w:r>
      <w:r>
        <w:rPr>
          <w:rtl/>
        </w:rPr>
        <w:t xml:space="preserve"> </w:t>
      </w:r>
      <w:r w:rsidRPr="00113628">
        <w:rPr>
          <w:rFonts w:cs="Arial"/>
          <w:rtl/>
        </w:rPr>
        <w:t>וכ"ש אם נתפרקו בשבת דהיה עומד בכניסת שבת לאכילת אדם דבודאי מותר לטלטל ואם אין כלבים מצוים באותו המקום גם באופן זה אסור לטלטל</w:t>
      </w:r>
      <w:r>
        <w:rPr>
          <w:rFonts w:hint="cs"/>
          <w:rtl/>
        </w:rPr>
        <w:t>, משנ"ב (סקקכ"א).</w:t>
      </w:r>
    </w:p>
  </w:footnote>
  <w:footnote w:id="1628">
    <w:p w14:paraId="5C85ECE0" w14:textId="520B057D" w:rsidR="00D025C1" w:rsidRDefault="00D025C1" w:rsidP="00285819">
      <w:pPr>
        <w:pStyle w:val="a7"/>
      </w:pPr>
      <w:r>
        <w:rPr>
          <w:rStyle w:val="a9"/>
        </w:rPr>
        <w:footnoteRef/>
      </w:r>
      <w:r>
        <w:rPr>
          <w:rtl/>
        </w:rPr>
        <w:t xml:space="preserve"> </w:t>
      </w:r>
      <w:r>
        <w:rPr>
          <w:rFonts w:hint="cs"/>
          <w:rtl/>
        </w:rPr>
        <w:t xml:space="preserve">סימן </w:t>
      </w:r>
      <w:r>
        <w:rPr>
          <w:rtl/>
        </w:rPr>
        <w:t>–</w:t>
      </w:r>
      <w:r>
        <w:rPr>
          <w:rFonts w:hint="cs"/>
          <w:rtl/>
        </w:rPr>
        <w:t xml:space="preserve"> גרעין קשה מאוד.</w:t>
      </w:r>
    </w:p>
  </w:footnote>
  <w:footnote w:id="1629">
    <w:p w14:paraId="3633D8E9" w14:textId="6E8EBAF5" w:rsidR="009D43A3" w:rsidRDefault="009D43A3" w:rsidP="00285819">
      <w:pPr>
        <w:pStyle w:val="a7"/>
        <w:rPr>
          <w:rtl/>
        </w:rPr>
      </w:pPr>
      <w:r>
        <w:rPr>
          <w:rStyle w:val="a9"/>
        </w:rPr>
        <w:footnoteRef/>
      </w:r>
      <w:r>
        <w:rPr>
          <w:rtl/>
        </w:rPr>
        <w:t xml:space="preserve"> </w:t>
      </w:r>
      <w:r w:rsidRPr="009D43A3">
        <w:rPr>
          <w:rFonts w:cs="Arial"/>
          <w:rtl/>
        </w:rPr>
        <w:t>פירוש</w:t>
      </w:r>
      <w:r>
        <w:rPr>
          <w:rFonts w:cs="Arial" w:hint="cs"/>
          <w:rtl/>
        </w:rPr>
        <w:t>:</w:t>
      </w:r>
      <w:r w:rsidRPr="009D43A3">
        <w:rPr>
          <w:rFonts w:cs="Arial"/>
          <w:rtl/>
        </w:rPr>
        <w:t xml:space="preserve"> מפני שהן רכין ונאכלין עם התמרה עצמה</w:t>
      </w:r>
      <w:r>
        <w:rPr>
          <w:rFonts w:cs="Arial" w:hint="cs"/>
          <w:rtl/>
        </w:rPr>
        <w:t>.</w:t>
      </w:r>
      <w:r w:rsidRPr="009D43A3">
        <w:rPr>
          <w:rFonts w:cs="Arial"/>
          <w:rtl/>
        </w:rPr>
        <w:t xml:space="preserve"> דפרסייתא אסור לטלטל</w:t>
      </w:r>
      <w:r>
        <w:rPr>
          <w:rFonts w:cs="Arial" w:hint="cs"/>
          <w:rtl/>
        </w:rPr>
        <w:t xml:space="preserve"> -</w:t>
      </w:r>
      <w:r w:rsidRPr="009D43A3">
        <w:rPr>
          <w:rFonts w:cs="Arial"/>
          <w:rtl/>
        </w:rPr>
        <w:t xml:space="preserve"> מפני שהן קשין ואין נאכלין עם התמרים</w:t>
      </w:r>
      <w:r>
        <w:rPr>
          <w:rFonts w:cs="Arial" w:hint="cs"/>
          <w:rtl/>
        </w:rPr>
        <w:t>.</w:t>
      </w:r>
      <w:r w:rsidRPr="009D43A3">
        <w:rPr>
          <w:rFonts w:cs="Arial"/>
          <w:rtl/>
        </w:rPr>
        <w:t xml:space="preserve"> פ</w:t>
      </w:r>
      <w:r>
        <w:rPr>
          <w:rFonts w:cs="Arial" w:hint="cs"/>
          <w:rtl/>
        </w:rPr>
        <w:t>"</w:t>
      </w:r>
      <w:r w:rsidRPr="009D43A3">
        <w:rPr>
          <w:rFonts w:cs="Arial"/>
          <w:rtl/>
        </w:rPr>
        <w:t>א</w:t>
      </w:r>
      <w:r>
        <w:rPr>
          <w:rFonts w:cs="Arial" w:hint="cs"/>
          <w:rtl/>
        </w:rPr>
        <w:t>:</w:t>
      </w:r>
      <w:r w:rsidRPr="009D43A3">
        <w:rPr>
          <w:rFonts w:cs="Arial"/>
          <w:rtl/>
        </w:rPr>
        <w:t xml:space="preserve"> תמרי ארמייתא </w:t>
      </w:r>
      <w:r>
        <w:rPr>
          <w:rFonts w:cs="Arial" w:hint="cs"/>
          <w:rtl/>
        </w:rPr>
        <w:t xml:space="preserve">- </w:t>
      </w:r>
      <w:r w:rsidRPr="009D43A3">
        <w:rPr>
          <w:rFonts w:cs="Arial"/>
          <w:rtl/>
        </w:rPr>
        <w:t>קשין הן ובהמה אוכלתן עם הגרעינין ולפיכך מטלטלין אותן</w:t>
      </w:r>
      <w:r>
        <w:rPr>
          <w:rFonts w:cs="Arial" w:hint="cs"/>
          <w:rtl/>
        </w:rPr>
        <w:t>.</w:t>
      </w:r>
      <w:r w:rsidRPr="009D43A3">
        <w:rPr>
          <w:rFonts w:cs="Arial"/>
          <w:rtl/>
        </w:rPr>
        <w:t xml:space="preserve"> ותמרי פרסייתא </w:t>
      </w:r>
      <w:r>
        <w:rPr>
          <w:rFonts w:cs="Arial" w:hint="cs"/>
          <w:rtl/>
        </w:rPr>
        <w:t xml:space="preserve">- </w:t>
      </w:r>
      <w:r w:rsidRPr="009D43A3">
        <w:rPr>
          <w:rFonts w:cs="Arial"/>
          <w:rtl/>
        </w:rPr>
        <w:t>רכין הן ואין הבהמה אוכלת אותן ולפיכך אין מטלטלין אותן</w:t>
      </w:r>
      <w:r>
        <w:rPr>
          <w:rFonts w:cs="Arial" w:hint="cs"/>
          <w:rtl/>
        </w:rPr>
        <w:t>.</w:t>
      </w:r>
      <w:r w:rsidRPr="009D43A3">
        <w:rPr>
          <w:rFonts w:cs="Arial"/>
          <w:rtl/>
        </w:rPr>
        <w:t xml:space="preserve"> ומסתברא דה"מ במקום שמאכילין את התמרים לבהמות כגון בבל ויריחו</w:t>
      </w:r>
      <w:r>
        <w:rPr>
          <w:rFonts w:cs="Arial" w:hint="cs"/>
          <w:rtl/>
        </w:rPr>
        <w:t>,</w:t>
      </w:r>
      <w:r w:rsidRPr="009D43A3">
        <w:rPr>
          <w:rFonts w:cs="Arial"/>
          <w:rtl/>
        </w:rPr>
        <w:t xml:space="preserve"> אבל במקום שאין מאכילין את התמרים לבהמות אלו ואלו אסור לטלטלן</w:t>
      </w:r>
      <w:r>
        <w:rPr>
          <w:rFonts w:hint="cs"/>
          <w:rtl/>
        </w:rPr>
        <w:t>, רי"ף (נט:).</w:t>
      </w:r>
    </w:p>
  </w:footnote>
  <w:footnote w:id="1630">
    <w:p w14:paraId="789B2A3B" w14:textId="457D3D86" w:rsidR="00556551" w:rsidRDefault="00556551" w:rsidP="00285819">
      <w:pPr>
        <w:pStyle w:val="a7"/>
        <w:rPr>
          <w:rtl/>
        </w:rPr>
      </w:pPr>
      <w:r>
        <w:rPr>
          <w:rStyle w:val="a9"/>
        </w:rPr>
        <w:footnoteRef/>
      </w:r>
      <w:r>
        <w:rPr>
          <w:rtl/>
        </w:rPr>
        <w:t xml:space="preserve"> </w:t>
      </w:r>
      <w:r w:rsidRPr="00556551">
        <w:rPr>
          <w:rFonts w:hint="cs"/>
          <w:u w:val="single"/>
          <w:rtl/>
        </w:rPr>
        <w:t>ותימה</w:t>
      </w:r>
      <w:r w:rsidRPr="00556551">
        <w:rPr>
          <w:rFonts w:cs="Arial"/>
          <w:u w:val="single"/>
          <w:rtl/>
        </w:rPr>
        <w:t xml:space="preserve"> דאמרינן בשבת (קמב:) לא התירו ככר או תינוק אלא למת בלבד</w:t>
      </w:r>
      <w:r w:rsidRPr="00556551">
        <w:rPr>
          <w:rFonts w:hint="cs"/>
          <w:u w:val="single"/>
          <w:rtl/>
        </w:rPr>
        <w:t>:</w:t>
      </w:r>
    </w:p>
    <w:p w14:paraId="35CB9A76" w14:textId="0D2D2C06" w:rsidR="00556551" w:rsidRDefault="00556551" w:rsidP="00285819">
      <w:pPr>
        <w:pStyle w:val="a7"/>
        <w:numPr>
          <w:ilvl w:val="0"/>
          <w:numId w:val="11"/>
        </w:numPr>
      </w:pPr>
      <w:r>
        <w:rPr>
          <w:rFonts w:cs="Arial" w:hint="cs"/>
          <w:rtl/>
        </w:rPr>
        <w:t xml:space="preserve">רא"ש </w:t>
      </w:r>
      <w:r w:rsidRPr="00556551">
        <w:rPr>
          <w:rFonts w:cs="Arial"/>
          <w:sz w:val="16"/>
          <w:szCs w:val="16"/>
          <w:rtl/>
        </w:rPr>
        <w:t>(כלל כב סי' ח)</w:t>
      </w:r>
      <w:r>
        <w:rPr>
          <w:rFonts w:cs="Arial" w:hint="cs"/>
          <w:rtl/>
        </w:rPr>
        <w:t>-</w:t>
      </w:r>
      <w:r w:rsidRPr="006B7F63">
        <w:rPr>
          <w:rFonts w:cs="Arial"/>
          <w:rtl/>
        </w:rPr>
        <w:t xml:space="preserve"> </w:t>
      </w:r>
      <w:r>
        <w:rPr>
          <w:rFonts w:cs="Arial" w:hint="cs"/>
          <w:rtl/>
        </w:rPr>
        <w:t>א</w:t>
      </w:r>
      <w:r w:rsidRPr="006B7F63">
        <w:rPr>
          <w:rFonts w:cs="Arial"/>
          <w:rtl/>
        </w:rPr>
        <w:t>ע</w:t>
      </w:r>
      <w:r>
        <w:rPr>
          <w:rFonts w:cs="Arial" w:hint="cs"/>
          <w:rtl/>
        </w:rPr>
        <w:t>"</w:t>
      </w:r>
      <w:r w:rsidRPr="006B7F63">
        <w:rPr>
          <w:rFonts w:cs="Arial"/>
          <w:rtl/>
        </w:rPr>
        <w:t>פ שלא אמרו (שבת ל: קמב:) ככר או תינוק אלא למת בלבד התם במוקצה מחמת גופו כאבנים וכיוצא בהם דהוו דומיא דמת</w:t>
      </w:r>
      <w:r w:rsidRPr="006B7F63">
        <w:rPr>
          <w:rFonts w:cs="Arial" w:hint="cs"/>
          <w:rtl/>
        </w:rPr>
        <w:t>,</w:t>
      </w:r>
      <w:r w:rsidRPr="006B7F63">
        <w:rPr>
          <w:rFonts w:cs="Arial"/>
          <w:rtl/>
        </w:rPr>
        <w:t xml:space="preserve"> אבל הני גרעינין כיון דחזו למאכל בהמה בטלין אגב הפת</w:t>
      </w:r>
      <w:r w:rsidRPr="006B7F63">
        <w:rPr>
          <w:rFonts w:cs="Arial" w:hint="cs"/>
          <w:rtl/>
        </w:rPr>
        <w:t>.</w:t>
      </w:r>
    </w:p>
    <w:p w14:paraId="0B40D094" w14:textId="77777777" w:rsidR="00931986" w:rsidRPr="00931986" w:rsidRDefault="00931986" w:rsidP="00285819">
      <w:pPr>
        <w:pStyle w:val="a7"/>
        <w:numPr>
          <w:ilvl w:val="0"/>
          <w:numId w:val="11"/>
        </w:numPr>
      </w:pPr>
      <w:r w:rsidRPr="00931986">
        <w:rPr>
          <w:rFonts w:cs="Arial"/>
          <w:rtl/>
        </w:rPr>
        <w:t>תוס</w:t>
      </w:r>
      <w:r w:rsidRPr="00931986">
        <w:rPr>
          <w:rFonts w:cs="Arial" w:hint="cs"/>
          <w:rtl/>
        </w:rPr>
        <w:t>'</w:t>
      </w:r>
      <w:r w:rsidRPr="00931986">
        <w:rPr>
          <w:rFonts w:cs="Arial"/>
          <w:rtl/>
        </w:rPr>
        <w:t xml:space="preserve"> </w:t>
      </w:r>
      <w:r w:rsidRPr="00931986">
        <w:rPr>
          <w:rFonts w:cs="Arial"/>
          <w:sz w:val="16"/>
          <w:szCs w:val="16"/>
          <w:rtl/>
        </w:rPr>
        <w:t>(</w:t>
      </w:r>
      <w:r w:rsidRPr="00931986">
        <w:rPr>
          <w:rFonts w:cs="Arial" w:hint="cs"/>
          <w:sz w:val="16"/>
          <w:szCs w:val="16"/>
          <w:rtl/>
        </w:rPr>
        <w:t xml:space="preserve">ביצה כא: </w:t>
      </w:r>
      <w:r w:rsidRPr="00931986">
        <w:rPr>
          <w:rFonts w:cs="Arial"/>
          <w:sz w:val="16"/>
          <w:szCs w:val="16"/>
          <w:rtl/>
        </w:rPr>
        <w:t>ד"ה עושה)</w:t>
      </w:r>
      <w:r w:rsidRPr="00931986">
        <w:rPr>
          <w:rFonts w:cs="Arial" w:hint="cs"/>
          <w:rtl/>
        </w:rPr>
        <w:t xml:space="preserve">- </w:t>
      </w:r>
      <w:r w:rsidRPr="00931986">
        <w:rPr>
          <w:rFonts w:cs="Arial"/>
          <w:rtl/>
        </w:rPr>
        <w:t>יש לומר דבדבר שיכול לעשותו מבעוד יום הוא דאמרינן הכי אבל הני סופלי לא היה יכול לעשותם מערב יום טוב</w:t>
      </w:r>
      <w:r w:rsidRPr="00931986">
        <w:rPr>
          <w:rFonts w:cs="Arial" w:hint="cs"/>
          <w:rtl/>
        </w:rPr>
        <w:t>.</w:t>
      </w:r>
      <w:r w:rsidRPr="00931986">
        <w:rPr>
          <w:rFonts w:cs="Arial"/>
          <w:rtl/>
        </w:rPr>
        <w:t xml:space="preserve"> </w:t>
      </w:r>
    </w:p>
    <w:p w14:paraId="18FE9DC0" w14:textId="1CB19DD6" w:rsidR="00931986" w:rsidRDefault="00931986" w:rsidP="00285819">
      <w:pPr>
        <w:pStyle w:val="a7"/>
        <w:numPr>
          <w:ilvl w:val="0"/>
          <w:numId w:val="11"/>
        </w:numPr>
      </w:pPr>
      <w:r w:rsidRPr="00931986">
        <w:rPr>
          <w:rFonts w:cs="Arial"/>
          <w:rtl/>
        </w:rPr>
        <w:t>ר</w:t>
      </w:r>
      <w:r>
        <w:rPr>
          <w:rFonts w:cs="Arial" w:hint="cs"/>
          <w:rtl/>
        </w:rPr>
        <w:t>יב"א</w:t>
      </w:r>
      <w:r w:rsidRPr="00931986">
        <w:rPr>
          <w:rFonts w:cs="Arial"/>
          <w:rtl/>
        </w:rPr>
        <w:t xml:space="preserve"> </w:t>
      </w:r>
      <w:r w:rsidRPr="00931986">
        <w:rPr>
          <w:rFonts w:cs="Arial"/>
          <w:sz w:val="16"/>
          <w:szCs w:val="16"/>
          <w:rtl/>
        </w:rPr>
        <w:t>(</w:t>
      </w:r>
      <w:r w:rsidRPr="00931986">
        <w:rPr>
          <w:rFonts w:cs="Arial" w:hint="cs"/>
          <w:sz w:val="16"/>
          <w:szCs w:val="16"/>
          <w:rtl/>
        </w:rPr>
        <w:t xml:space="preserve">כ"כ הרא"ש בשמו [ביצה פ"ב </w:t>
      </w:r>
      <w:r w:rsidRPr="00931986">
        <w:rPr>
          <w:rFonts w:cs="Arial"/>
          <w:sz w:val="16"/>
          <w:szCs w:val="16"/>
          <w:rtl/>
        </w:rPr>
        <w:t>סי' טו</w:t>
      </w:r>
      <w:r w:rsidRPr="00931986">
        <w:rPr>
          <w:rFonts w:cs="Arial" w:hint="cs"/>
          <w:sz w:val="16"/>
          <w:szCs w:val="16"/>
          <w:rtl/>
        </w:rPr>
        <w:t>]</w:t>
      </w:r>
      <w:r w:rsidRPr="00931986">
        <w:rPr>
          <w:rFonts w:cs="Arial"/>
          <w:sz w:val="16"/>
          <w:szCs w:val="16"/>
          <w:rtl/>
        </w:rPr>
        <w:t>)</w:t>
      </w:r>
      <w:r>
        <w:rPr>
          <w:rFonts w:cs="Arial" w:hint="cs"/>
          <w:rtl/>
        </w:rPr>
        <w:t>-</w:t>
      </w:r>
      <w:r w:rsidRPr="00931986">
        <w:rPr>
          <w:rFonts w:cs="Arial"/>
          <w:rtl/>
        </w:rPr>
        <w:t xml:space="preserve"> מטלטלין להו אגב ריפתא פיר</w:t>
      </w:r>
      <w:r>
        <w:rPr>
          <w:rFonts w:cs="Arial" w:hint="cs"/>
          <w:rtl/>
        </w:rPr>
        <w:t>ו</w:t>
      </w:r>
      <w:r w:rsidRPr="00931986">
        <w:rPr>
          <w:rFonts w:cs="Arial"/>
          <w:rtl/>
        </w:rPr>
        <w:t>ש כשאוכל הפרי זורק הגרעינין בפיו לתוך הסל שהלחם בו</w:t>
      </w:r>
      <w:r w:rsidR="00F64EFD">
        <w:rPr>
          <w:rFonts w:cs="Arial" w:hint="cs"/>
          <w:rtl/>
        </w:rPr>
        <w:t>,</w:t>
      </w:r>
      <w:r w:rsidRPr="00931986">
        <w:rPr>
          <w:rFonts w:cs="Arial"/>
          <w:rtl/>
        </w:rPr>
        <w:t xml:space="preserve"> אבל להניח לחם עלייהו כדי לטלטל </w:t>
      </w:r>
      <w:r w:rsidR="00F64EFD">
        <w:rPr>
          <w:rFonts w:cs="Arial" w:hint="cs"/>
          <w:rtl/>
        </w:rPr>
        <w:t xml:space="preserve">- </w:t>
      </w:r>
      <w:r w:rsidRPr="00931986">
        <w:rPr>
          <w:rFonts w:cs="Arial"/>
          <w:rtl/>
        </w:rPr>
        <w:t>אסור</w:t>
      </w:r>
      <w:r w:rsidR="00F64EFD">
        <w:rPr>
          <w:rFonts w:cs="Arial" w:hint="cs"/>
          <w:rtl/>
        </w:rPr>
        <w:t>,</w:t>
      </w:r>
      <w:r w:rsidRPr="00931986">
        <w:rPr>
          <w:rFonts w:cs="Arial"/>
          <w:rtl/>
        </w:rPr>
        <w:t xml:space="preserve"> דלא התירו ככר או תינוק אלא למת בלבד</w:t>
      </w:r>
      <w:r>
        <w:rPr>
          <w:rFonts w:hint="cs"/>
          <w:rtl/>
        </w:rPr>
        <w:t>.</w:t>
      </w:r>
    </w:p>
  </w:footnote>
  <w:footnote w:id="1631">
    <w:p w14:paraId="7E23DBA3" w14:textId="27441AA4" w:rsidR="006B067D" w:rsidRDefault="006B067D" w:rsidP="00285819">
      <w:pPr>
        <w:pStyle w:val="a7"/>
        <w:rPr>
          <w:rtl/>
        </w:rPr>
      </w:pPr>
      <w:r>
        <w:rPr>
          <w:rStyle w:val="a9"/>
        </w:rPr>
        <w:footnoteRef/>
      </w:r>
      <w:r>
        <w:rPr>
          <w:rtl/>
        </w:rPr>
        <w:t xml:space="preserve"> </w:t>
      </w:r>
      <w:r w:rsidRPr="006B067D">
        <w:rPr>
          <w:rFonts w:cs="Arial"/>
          <w:rtl/>
        </w:rPr>
        <w:t>צוברן לפניו כשאוכל התמרים עד שנמאסות בעיניו, ונוטלן אותן מפניו כגרף של ריעי, ונותנן לבהמה</w:t>
      </w:r>
      <w:r>
        <w:rPr>
          <w:rFonts w:hint="cs"/>
          <w:rtl/>
        </w:rPr>
        <w:t>, רש"י.</w:t>
      </w:r>
    </w:p>
  </w:footnote>
  <w:footnote w:id="1632">
    <w:p w14:paraId="0277B822" w14:textId="216B02D6" w:rsidR="006B067D" w:rsidRDefault="006B067D" w:rsidP="00285819">
      <w:pPr>
        <w:pStyle w:val="a7"/>
      </w:pPr>
      <w:r>
        <w:rPr>
          <w:rStyle w:val="a9"/>
        </w:rPr>
        <w:footnoteRef/>
      </w:r>
      <w:r>
        <w:rPr>
          <w:rtl/>
        </w:rPr>
        <w:t xml:space="preserve"> </w:t>
      </w:r>
      <w:r w:rsidRPr="006B067D">
        <w:rPr>
          <w:rFonts w:cs="Arial"/>
          <w:rtl/>
        </w:rPr>
        <w:t>אל עבר השלחן</w:t>
      </w:r>
      <w:r>
        <w:rPr>
          <w:rFonts w:cs="Arial" w:hint="cs"/>
          <w:rtl/>
        </w:rPr>
        <w:t>, רש"י.</w:t>
      </w:r>
    </w:p>
  </w:footnote>
  <w:footnote w:id="1633">
    <w:p w14:paraId="5CBEC5E0" w14:textId="715F08E4" w:rsidR="006B067D" w:rsidRDefault="006B067D" w:rsidP="00285819">
      <w:pPr>
        <w:pStyle w:val="a7"/>
        <w:rPr>
          <w:rtl/>
        </w:rPr>
      </w:pPr>
      <w:r>
        <w:rPr>
          <w:rStyle w:val="a9"/>
        </w:rPr>
        <w:footnoteRef/>
      </w:r>
      <w:r>
        <w:rPr>
          <w:rtl/>
        </w:rPr>
        <w:t xml:space="preserve"> </w:t>
      </w:r>
      <w:r w:rsidRPr="006B067D">
        <w:rPr>
          <w:rFonts w:cs="Arial"/>
          <w:rtl/>
        </w:rPr>
        <w:t>שהוא מיסב עליה</w:t>
      </w:r>
      <w:r>
        <w:rPr>
          <w:rFonts w:hint="cs"/>
          <w:rtl/>
        </w:rPr>
        <w:t>, רש"י.</w:t>
      </w:r>
    </w:p>
  </w:footnote>
  <w:footnote w:id="1634">
    <w:p w14:paraId="7154AC15" w14:textId="77777777" w:rsidR="001B093E" w:rsidRDefault="001B093E" w:rsidP="00285819">
      <w:pPr>
        <w:pStyle w:val="a7"/>
      </w:pPr>
      <w:r>
        <w:rPr>
          <w:rStyle w:val="a9"/>
        </w:rPr>
        <w:footnoteRef/>
      </w:r>
      <w:r>
        <w:rPr>
          <w:rtl/>
        </w:rPr>
        <w:t xml:space="preserve"> </w:t>
      </w:r>
      <w:r w:rsidRPr="00FB3622">
        <w:rPr>
          <w:rFonts w:cs="Arial"/>
          <w:rtl/>
        </w:rPr>
        <w:t>גרעיני תמרה</w:t>
      </w:r>
      <w:r>
        <w:rPr>
          <w:rFonts w:cs="Arial" w:hint="cs"/>
          <w:rtl/>
        </w:rPr>
        <w:t>, ב"י.</w:t>
      </w:r>
    </w:p>
  </w:footnote>
  <w:footnote w:id="1635">
    <w:p w14:paraId="1FCED23C" w14:textId="4684E835" w:rsidR="001B093E" w:rsidRDefault="001B093E" w:rsidP="00285819">
      <w:pPr>
        <w:pStyle w:val="a7"/>
      </w:pPr>
      <w:r>
        <w:rPr>
          <w:rStyle w:val="a9"/>
        </w:rPr>
        <w:footnoteRef/>
      </w:r>
      <w:r>
        <w:rPr>
          <w:rtl/>
        </w:rPr>
        <w:t xml:space="preserve"> </w:t>
      </w:r>
      <w:r>
        <w:rPr>
          <w:rFonts w:hint="cs"/>
          <w:rtl/>
        </w:rPr>
        <w:t>וז"ל-</w:t>
      </w:r>
      <w:r>
        <w:rPr>
          <w:rFonts w:cs="Arial" w:hint="cs"/>
          <w:rtl/>
        </w:rPr>
        <w:t xml:space="preserve"> </w:t>
      </w:r>
      <w:r w:rsidRPr="0050175B">
        <w:rPr>
          <w:rFonts w:cs="Arial"/>
          <w:rtl/>
        </w:rPr>
        <w:t>גרעיני תמרה מותר לטלטלן</w:t>
      </w:r>
      <w:r>
        <w:rPr>
          <w:rFonts w:cs="Arial" w:hint="cs"/>
          <w:rtl/>
        </w:rPr>
        <w:t>.</w:t>
      </w:r>
      <w:r w:rsidRPr="0050175B">
        <w:rPr>
          <w:rFonts w:cs="Arial"/>
          <w:rtl/>
        </w:rPr>
        <w:t xml:space="preserve"> ומ"מ אדם חשוב צריך להחמיר על עצמו שלא לטלטלן אלא דרך שינוי.</w:t>
      </w:r>
    </w:p>
  </w:footnote>
  <w:footnote w:id="1636">
    <w:p w14:paraId="44B61FCD" w14:textId="77777777" w:rsidR="00556551" w:rsidRDefault="00556551" w:rsidP="00285819">
      <w:pPr>
        <w:pStyle w:val="a7"/>
      </w:pPr>
      <w:r>
        <w:rPr>
          <w:rStyle w:val="a9"/>
        </w:rPr>
        <w:footnoteRef/>
      </w:r>
      <w:r>
        <w:rPr>
          <w:rtl/>
        </w:rPr>
        <w:t xml:space="preserve"> </w:t>
      </w:r>
      <w:r w:rsidRPr="006B7F63">
        <w:rPr>
          <w:rFonts w:cs="Arial"/>
          <w:rtl/>
        </w:rPr>
        <w:t xml:space="preserve">וכן כתב </w:t>
      </w:r>
      <w:r>
        <w:rPr>
          <w:rFonts w:cs="Arial" w:hint="cs"/>
          <w:sz w:val="16"/>
          <w:szCs w:val="16"/>
          <w:rtl/>
        </w:rPr>
        <w:t>{הרא"ש}</w:t>
      </w:r>
      <w:r>
        <w:rPr>
          <w:rFonts w:cs="Arial" w:hint="cs"/>
          <w:rtl/>
        </w:rPr>
        <w:t xml:space="preserve"> </w:t>
      </w:r>
      <w:r w:rsidRPr="006B7F63">
        <w:rPr>
          <w:rFonts w:cs="Arial"/>
          <w:rtl/>
        </w:rPr>
        <w:t>בתשובה (כלל כב סי' ח) בשם ר</w:t>
      </w:r>
      <w:r>
        <w:rPr>
          <w:rFonts w:cs="Arial" w:hint="cs"/>
          <w:rtl/>
        </w:rPr>
        <w:t>"</w:t>
      </w:r>
      <w:r w:rsidRPr="006B7F63">
        <w:rPr>
          <w:rFonts w:cs="Arial"/>
          <w:rtl/>
        </w:rPr>
        <w:t>ת דמחמיר על עצמו היה</w:t>
      </w:r>
      <w:r>
        <w:rPr>
          <w:rFonts w:cs="Arial" w:hint="cs"/>
          <w:rtl/>
        </w:rPr>
        <w:t>..</w:t>
      </w:r>
      <w:r w:rsidRPr="006B7F63">
        <w:rPr>
          <w:rFonts w:cs="Arial" w:hint="cs"/>
          <w:rtl/>
        </w:rPr>
        <w:t>.</w:t>
      </w:r>
      <w:r w:rsidRPr="006B7F63">
        <w:rPr>
          <w:rFonts w:cs="Arial"/>
          <w:rtl/>
        </w:rPr>
        <w:t xml:space="preserve"> וכ</w:t>
      </w:r>
      <w:r>
        <w:rPr>
          <w:rFonts w:cs="Arial" w:hint="cs"/>
          <w:rtl/>
        </w:rPr>
        <w:t>"</w:t>
      </w:r>
      <w:r w:rsidRPr="006B7F63">
        <w:rPr>
          <w:rFonts w:cs="Arial"/>
          <w:rtl/>
        </w:rPr>
        <w:t>כ התוס</w:t>
      </w:r>
      <w:r>
        <w:rPr>
          <w:rFonts w:cs="Arial" w:hint="cs"/>
          <w:rtl/>
        </w:rPr>
        <w:t>'</w:t>
      </w:r>
      <w:r w:rsidRPr="006B7F63">
        <w:rPr>
          <w:rFonts w:cs="Arial"/>
          <w:rtl/>
        </w:rPr>
        <w:t xml:space="preserve"> (שם קמג. ד"ה שמואל) דשמואל היה מחמיר על עצמו</w:t>
      </w:r>
      <w:r>
        <w:rPr>
          <w:rFonts w:cs="Arial" w:hint="cs"/>
          <w:rtl/>
        </w:rPr>
        <w:t>.</w:t>
      </w:r>
      <w:r w:rsidRPr="006B7F63">
        <w:rPr>
          <w:rFonts w:cs="Arial"/>
          <w:rtl/>
        </w:rPr>
        <w:t xml:space="preserve"> וכ</w:t>
      </w:r>
      <w:r>
        <w:rPr>
          <w:rFonts w:cs="Arial" w:hint="cs"/>
          <w:rtl/>
        </w:rPr>
        <w:t>"</w:t>
      </w:r>
      <w:r w:rsidRPr="006B7F63">
        <w:rPr>
          <w:rFonts w:cs="Arial"/>
          <w:rtl/>
        </w:rPr>
        <w:t>כ הר"ן (נט: ד"ה פרסייתא) בשם ה"ר יונה והרא"ה</w:t>
      </w:r>
      <w:r>
        <w:rPr>
          <w:rFonts w:cs="Arial" w:hint="cs"/>
          <w:rtl/>
        </w:rPr>
        <w:t>, ב"י.</w:t>
      </w:r>
    </w:p>
  </w:footnote>
  <w:footnote w:id="1637">
    <w:p w14:paraId="01FDD86A" w14:textId="77777777" w:rsidR="00931986" w:rsidRDefault="00931986" w:rsidP="00285819">
      <w:pPr>
        <w:pStyle w:val="a7"/>
      </w:pPr>
      <w:r>
        <w:rPr>
          <w:rStyle w:val="a9"/>
        </w:rPr>
        <w:footnoteRef/>
      </w:r>
      <w:r>
        <w:rPr>
          <w:rtl/>
        </w:rPr>
        <w:t xml:space="preserve"> </w:t>
      </w:r>
      <w:r w:rsidRPr="00931986">
        <w:rPr>
          <w:rFonts w:cs="Arial" w:hint="cs"/>
          <w:rtl/>
        </w:rPr>
        <w:t>וכ"כ הרא"ש (ביצה פ"ב סי' טו)</w:t>
      </w:r>
      <w:r w:rsidRPr="00931986">
        <w:rPr>
          <w:rFonts w:cs="Arial" w:hint="cs"/>
        </w:rPr>
        <w:t xml:space="preserve"> </w:t>
      </w:r>
      <w:r w:rsidRPr="00931986">
        <w:rPr>
          <w:rFonts w:cs="Arial" w:hint="cs"/>
          <w:rtl/>
        </w:rPr>
        <w:t xml:space="preserve">גבי </w:t>
      </w:r>
      <w:r w:rsidRPr="00931986">
        <w:rPr>
          <w:rFonts w:cs="Arial"/>
          <w:rtl/>
        </w:rPr>
        <w:t>הני סופלי</w:t>
      </w:r>
      <w:r w:rsidRPr="00931986">
        <w:rPr>
          <w:rFonts w:cs="Arial" w:hint="cs"/>
          <w:rtl/>
        </w:rPr>
        <w:t xml:space="preserve"> (ביצה כא:)</w:t>
      </w:r>
      <w:r w:rsidRPr="00931986">
        <w:rPr>
          <w:rFonts w:cs="Arial"/>
          <w:rtl/>
        </w:rPr>
        <w:t xml:space="preserve"> לא חזו לחיותא אלא על ידי שום תיקון</w:t>
      </w:r>
      <w:r w:rsidRPr="00931986">
        <w:rPr>
          <w:rFonts w:cs="Arial" w:hint="cs"/>
          <w:rtl/>
        </w:rPr>
        <w:t>,</w:t>
      </w:r>
      <w:r w:rsidRPr="00931986">
        <w:rPr>
          <w:rFonts w:cs="Arial"/>
          <w:rtl/>
        </w:rPr>
        <w:t xml:space="preserve"> אלא שלפעמים אוכלים אותם על ידי הדחק</w:t>
      </w:r>
      <w:r w:rsidRPr="00931986">
        <w:rPr>
          <w:rFonts w:cs="Arial" w:hint="cs"/>
          <w:rtl/>
        </w:rPr>
        <w:t>,</w:t>
      </w:r>
      <w:r w:rsidRPr="00931986">
        <w:rPr>
          <w:rFonts w:cs="Arial"/>
          <w:rtl/>
        </w:rPr>
        <w:t xml:space="preserve"> שאם היו ראויים להביא למאכל בהמה היה מותר לטלטלם בלא ריפתא</w:t>
      </w:r>
      <w:r>
        <w:rPr>
          <w:rFonts w:cs="Arial" w:hint="cs"/>
          <w:rtl/>
        </w:rPr>
        <w:t>.</w:t>
      </w:r>
    </w:p>
  </w:footnote>
  <w:footnote w:id="1638">
    <w:p w14:paraId="29ECF7E6" w14:textId="178FFFC6" w:rsidR="00D31B4B" w:rsidRDefault="00D31B4B" w:rsidP="00285819">
      <w:pPr>
        <w:pStyle w:val="a7"/>
        <w:rPr>
          <w:rtl/>
        </w:rPr>
      </w:pPr>
      <w:r>
        <w:rPr>
          <w:rStyle w:val="a9"/>
        </w:rPr>
        <w:footnoteRef/>
      </w:r>
      <w:r>
        <w:rPr>
          <w:rtl/>
        </w:rPr>
        <w:t xml:space="preserve"> </w:t>
      </w:r>
      <w:r>
        <w:rPr>
          <w:rFonts w:hint="cs"/>
          <w:rtl/>
        </w:rPr>
        <w:t xml:space="preserve">וכתב עוד הר"ן </w:t>
      </w:r>
      <w:r>
        <w:rPr>
          <w:rFonts w:cs="Arial" w:hint="cs"/>
          <w:rtl/>
        </w:rPr>
        <w:t>ש</w:t>
      </w:r>
      <w:r w:rsidRPr="00FB3622">
        <w:rPr>
          <w:rFonts w:cs="Arial"/>
          <w:rtl/>
        </w:rPr>
        <w:t>כן נראה דעת הרי"ף (נ</w:t>
      </w:r>
      <w:r w:rsidR="006B7F63">
        <w:rPr>
          <w:rFonts w:cs="Arial" w:hint="cs"/>
          <w:rtl/>
        </w:rPr>
        <w:t>ט:</w:t>
      </w:r>
      <w:r w:rsidRPr="00FB3622">
        <w:rPr>
          <w:rFonts w:cs="Arial"/>
          <w:rtl/>
        </w:rPr>
        <w:t>) שכתבן בהלכות</w:t>
      </w:r>
      <w:r w:rsidR="006B7F63">
        <w:rPr>
          <w:rFonts w:cs="Arial" w:hint="cs"/>
          <w:rtl/>
        </w:rPr>
        <w:t>.</w:t>
      </w:r>
    </w:p>
  </w:footnote>
  <w:footnote w:id="1639">
    <w:p w14:paraId="153B1A37" w14:textId="191715C0" w:rsidR="00931986" w:rsidRDefault="00931986" w:rsidP="00285819">
      <w:pPr>
        <w:pStyle w:val="a7"/>
      </w:pPr>
      <w:r>
        <w:rPr>
          <w:rStyle w:val="a9"/>
        </w:rPr>
        <w:footnoteRef/>
      </w:r>
      <w:r>
        <w:rPr>
          <w:rtl/>
        </w:rPr>
        <w:t xml:space="preserve"> </w:t>
      </w:r>
      <w:r w:rsidRPr="00931986">
        <w:rPr>
          <w:rFonts w:cs="Arial"/>
          <w:rtl/>
        </w:rPr>
        <w:t>אבל מקום שאין דרך להאכילם לבהמה אסור לטלטלם אף על גב דחזו לבהמה</w:t>
      </w:r>
      <w:r>
        <w:rPr>
          <w:rFonts w:cs="Arial" w:hint="cs"/>
          <w:rtl/>
        </w:rPr>
        <w:t>, משנ"ב (סקקכ"ב).</w:t>
      </w:r>
    </w:p>
  </w:footnote>
  <w:footnote w:id="1640">
    <w:p w14:paraId="0969987F" w14:textId="32738AB0" w:rsidR="00931986" w:rsidRDefault="00931986" w:rsidP="00285819">
      <w:pPr>
        <w:pStyle w:val="a7"/>
        <w:rPr>
          <w:rtl/>
        </w:rPr>
      </w:pPr>
      <w:r>
        <w:rPr>
          <w:rStyle w:val="a9"/>
        </w:rPr>
        <w:footnoteRef/>
      </w:r>
      <w:r>
        <w:rPr>
          <w:rtl/>
        </w:rPr>
        <w:t xml:space="preserve"> </w:t>
      </w:r>
      <w:r w:rsidRPr="00931986">
        <w:rPr>
          <w:rFonts w:cs="Arial"/>
          <w:rtl/>
        </w:rPr>
        <w:t>כגון לזורקן בלשונו או לטלטלן אגב פת</w:t>
      </w:r>
      <w:r>
        <w:rPr>
          <w:rFonts w:hint="cs"/>
          <w:rtl/>
        </w:rPr>
        <w:t>, משנ"ב (סקקכ"ד).</w:t>
      </w:r>
    </w:p>
  </w:footnote>
  <w:footnote w:id="1641">
    <w:p w14:paraId="05EFF06C" w14:textId="6F5B614D" w:rsidR="004E0DEA" w:rsidRDefault="004E0DEA" w:rsidP="00285819">
      <w:pPr>
        <w:pStyle w:val="a7"/>
      </w:pPr>
      <w:r>
        <w:rPr>
          <w:rStyle w:val="a9"/>
        </w:rPr>
        <w:footnoteRef/>
      </w:r>
      <w:r>
        <w:rPr>
          <w:rtl/>
        </w:rPr>
        <w:t xml:space="preserve"> </w:t>
      </w:r>
      <w:r w:rsidRPr="004E0DEA">
        <w:rPr>
          <w:rFonts w:cs="Arial"/>
          <w:rtl/>
        </w:rPr>
        <w:t>כלומר: באיסור מוקצה לענין אכילה - סבר לה כר' יהודה דאסר לאוכלו, ובאיסור מוקצה לטלטול - סבר לה כר' שמעון</w:t>
      </w:r>
      <w:r>
        <w:rPr>
          <w:rFonts w:cs="Arial" w:hint="cs"/>
          <w:rtl/>
        </w:rPr>
        <w:t>, רש"י.</w:t>
      </w:r>
    </w:p>
  </w:footnote>
  <w:footnote w:id="1642">
    <w:p w14:paraId="4270D287" w14:textId="0DF60AB0" w:rsidR="008800E9" w:rsidRDefault="008800E9" w:rsidP="00285819">
      <w:pPr>
        <w:pStyle w:val="a7"/>
      </w:pPr>
      <w:r>
        <w:rPr>
          <w:rStyle w:val="a9"/>
        </w:rPr>
        <w:footnoteRef/>
      </w:r>
      <w:r>
        <w:rPr>
          <w:rtl/>
        </w:rPr>
        <w:t xml:space="preserve"> </w:t>
      </w:r>
      <w:r w:rsidRPr="008800E9">
        <w:rPr>
          <w:rFonts w:cs="Arial"/>
          <w:rtl/>
        </w:rPr>
        <w:t>שאתם מניחים אותה בשמש ומתחמם, וסלקוהו על פיו מחמה לצל</w:t>
      </w:r>
      <w:r>
        <w:rPr>
          <w:rFonts w:cs="Arial" w:hint="cs"/>
          <w:rtl/>
        </w:rPr>
        <w:t>, רש"י.</w:t>
      </w:r>
    </w:p>
  </w:footnote>
  <w:footnote w:id="1643">
    <w:p w14:paraId="536D0D91" w14:textId="30D04CFA" w:rsidR="008800E9" w:rsidRDefault="008800E9" w:rsidP="00285819">
      <w:pPr>
        <w:pStyle w:val="a7"/>
      </w:pPr>
      <w:r>
        <w:rPr>
          <w:rStyle w:val="a9"/>
        </w:rPr>
        <w:footnoteRef/>
      </w:r>
      <w:r>
        <w:rPr>
          <w:rtl/>
        </w:rPr>
        <w:t xml:space="preserve"> </w:t>
      </w:r>
      <w:r w:rsidRPr="008800E9">
        <w:rPr>
          <w:rFonts w:cs="Arial"/>
          <w:rtl/>
        </w:rPr>
        <w:t>דאינו ראוי לכלום, ולכלבים לאו דעתיה למישדייה, אבל מליח - נאכל חי על ידי מלחו</w:t>
      </w:r>
      <w:r>
        <w:rPr>
          <w:rFonts w:cs="Arial" w:hint="cs"/>
          <w:rtl/>
        </w:rPr>
        <w:t>, רש"י.</w:t>
      </w:r>
    </w:p>
  </w:footnote>
  <w:footnote w:id="1644">
    <w:p w14:paraId="1D685CDC" w14:textId="57B01BEB" w:rsidR="00227F73" w:rsidRDefault="00227F73" w:rsidP="00285819">
      <w:pPr>
        <w:pStyle w:val="a7"/>
      </w:pPr>
      <w:r>
        <w:rPr>
          <w:rStyle w:val="a9"/>
        </w:rPr>
        <w:footnoteRef/>
      </w:r>
      <w:r>
        <w:rPr>
          <w:rtl/>
        </w:rPr>
        <w:t xml:space="preserve"> </w:t>
      </w:r>
      <w:r w:rsidRPr="00227F73">
        <w:rPr>
          <w:rFonts w:cs="Arial"/>
          <w:rtl/>
        </w:rPr>
        <w:t>היינו שיש בני אדם שדעתם יפה וכוססין בשר חי [שאין איסור באכילתו משום דם אחר שהודח כשאוכלו כשהוא חי כמ"ש ביו"ד סימן ס"ז] והנה ממ"א מבואר דדוקא במין הרך כגון יונה ובר אווזא אבל בשר בהמה אינו חזי לכוס ואסור לטלטלו אבל בט"ז פוסק דאפילו בשר בהמה טפל מותר לטלטלו ע"ש וכן הא"ר מסכים לדינא כהט"ז דאפילו בשר בהמה מותר לטלטלו ובביאור הגר"א חולק ג"כ על המ"א משום דאמרינן דכל בשר ראוי לאכול באומצא ע"ש וע"כ אף שראיתי בהרבה אחרונים שהעתיקו דברי המ"א לדינא במקום הדחק יש לסמוך על המקילין</w:t>
      </w:r>
      <w:r>
        <w:rPr>
          <w:rFonts w:cs="Arial" w:hint="cs"/>
          <w:rtl/>
        </w:rPr>
        <w:t>, משנ"ב (סקקכ"ה).</w:t>
      </w:r>
    </w:p>
  </w:footnote>
  <w:footnote w:id="1645">
    <w:p w14:paraId="21FD1581" w14:textId="7D4554C3" w:rsidR="00227F73" w:rsidRDefault="00227F73" w:rsidP="00285819">
      <w:pPr>
        <w:pStyle w:val="a7"/>
      </w:pPr>
      <w:r>
        <w:rPr>
          <w:rStyle w:val="a9"/>
        </w:rPr>
        <w:footnoteRef/>
      </w:r>
      <w:r>
        <w:rPr>
          <w:rtl/>
        </w:rPr>
        <w:t xml:space="preserve"> </w:t>
      </w:r>
      <w:r w:rsidRPr="00227F73">
        <w:rPr>
          <w:rFonts w:cs="Arial"/>
          <w:rtl/>
        </w:rPr>
        <w:t>בין המין שקורין הערינ"ג ובין כל המינין דכיון שהוא מלוח ראוי לאכול ע"י הדחק כמו בשר דחזי לאומצא וה"ה דג מעושן [תוספות שבת]</w:t>
      </w:r>
      <w:r>
        <w:rPr>
          <w:rFonts w:cs="Arial" w:hint="cs"/>
          <w:rtl/>
        </w:rPr>
        <w:t>, משנ"ב (סקקכ"ו).</w:t>
      </w:r>
    </w:p>
  </w:footnote>
  <w:footnote w:id="1646">
    <w:p w14:paraId="753F95E0" w14:textId="292F96E8" w:rsidR="00227F73" w:rsidRDefault="00227F73" w:rsidP="00285819">
      <w:pPr>
        <w:pStyle w:val="a7"/>
      </w:pPr>
      <w:r>
        <w:rPr>
          <w:rStyle w:val="a9"/>
        </w:rPr>
        <w:footnoteRef/>
      </w:r>
      <w:r>
        <w:rPr>
          <w:rtl/>
        </w:rPr>
        <w:t xml:space="preserve"> </w:t>
      </w:r>
      <w:r w:rsidRPr="00227F73">
        <w:rPr>
          <w:rFonts w:cs="Arial"/>
          <w:rtl/>
        </w:rPr>
        <w:t>הט"ז פירש דהיינו שאינו ראוי אף לכלבים דאם היה ראוי לכלבים אף דאינו עומד לאכילת כלבים מותר לטלטל</w:t>
      </w:r>
      <w:r>
        <w:rPr>
          <w:rFonts w:cs="Arial" w:hint="cs"/>
          <w:rtl/>
        </w:rPr>
        <w:t>.</w:t>
      </w:r>
      <w:r w:rsidRPr="00227F73">
        <w:rPr>
          <w:rFonts w:cs="Arial"/>
          <w:rtl/>
        </w:rPr>
        <w:t xml:space="preserve"> אבל המ"א כתב דדבר העומד לאכילת אדם ואינו ראוי לאכול כך עד מו</w:t>
      </w:r>
      <w:r w:rsidR="00052DC0">
        <w:rPr>
          <w:rFonts w:cs="Arial" w:hint="cs"/>
          <w:rtl/>
        </w:rPr>
        <w:t>צ</w:t>
      </w:r>
      <w:r w:rsidRPr="00227F73">
        <w:rPr>
          <w:rFonts w:cs="Arial"/>
          <w:rtl/>
        </w:rPr>
        <w:t>"ש</w:t>
      </w:r>
      <w:r w:rsidR="00052DC0">
        <w:rPr>
          <w:rFonts w:cs="Arial" w:hint="cs"/>
          <w:sz w:val="16"/>
          <w:szCs w:val="16"/>
          <w:rtl/>
        </w:rPr>
        <w:t xml:space="preserve"> {כגון קטניות קמח, פירות לא בשלים, וכו'}</w:t>
      </w:r>
      <w:r w:rsidR="00052DC0">
        <w:rPr>
          <w:rFonts w:cs="Arial" w:hint="cs"/>
          <w:rtl/>
        </w:rPr>
        <w:t>,</w:t>
      </w:r>
      <w:r w:rsidRPr="00227F73">
        <w:rPr>
          <w:rFonts w:cs="Arial"/>
          <w:rtl/>
        </w:rPr>
        <w:t xml:space="preserve"> אף דראוי הוא לאכילת כלבים מקצה איניש דעתיה מיניה משום דלא קאי לכלבים</w:t>
      </w:r>
      <w:r>
        <w:rPr>
          <w:rFonts w:cs="Arial" w:hint="cs"/>
          <w:rtl/>
        </w:rPr>
        <w:t>.</w:t>
      </w:r>
      <w:r w:rsidRPr="00227F73">
        <w:rPr>
          <w:rFonts w:cs="Arial"/>
          <w:rtl/>
        </w:rPr>
        <w:t xml:space="preserve"> ולפ"ז שומן צונן של בהמה דאינו עומד כך לאכילת אדם אסור לטלטלו וכן פסקו האחרונים</w:t>
      </w:r>
      <w:r>
        <w:rPr>
          <w:rFonts w:cs="Arial" w:hint="cs"/>
          <w:rtl/>
        </w:rPr>
        <w:t>, משנ"ב (סקקכ"ז).</w:t>
      </w:r>
    </w:p>
  </w:footnote>
  <w:footnote w:id="1647">
    <w:p w14:paraId="3821CBEE" w14:textId="39D040D4" w:rsidR="00E76AED" w:rsidRDefault="00E76AED" w:rsidP="00285819">
      <w:pPr>
        <w:pStyle w:val="a7"/>
        <w:rPr>
          <w:rtl/>
        </w:rPr>
      </w:pPr>
      <w:r>
        <w:rPr>
          <w:rStyle w:val="a9"/>
        </w:rPr>
        <w:footnoteRef/>
      </w:r>
      <w:r>
        <w:rPr>
          <w:rtl/>
        </w:rPr>
        <w:t xml:space="preserve"> </w:t>
      </w:r>
      <w:r w:rsidRPr="00E76AED">
        <w:rPr>
          <w:rFonts w:cs="Arial"/>
          <w:rtl/>
        </w:rPr>
        <w:t>כלומר שנקר בה נחש</w:t>
      </w:r>
      <w:r>
        <w:rPr>
          <w:rFonts w:hint="cs"/>
          <w:rtl/>
        </w:rPr>
        <w:t>, הה"מ (פכ"ו הי"ד).</w:t>
      </w:r>
    </w:p>
  </w:footnote>
  <w:footnote w:id="1648">
    <w:p w14:paraId="6ABCAC62" w14:textId="55F8D205" w:rsidR="00D637A3" w:rsidRDefault="00D637A3" w:rsidP="00285819">
      <w:pPr>
        <w:pStyle w:val="a7"/>
      </w:pPr>
      <w:r>
        <w:rPr>
          <w:rStyle w:val="a9"/>
        </w:rPr>
        <w:footnoteRef/>
      </w:r>
      <w:r>
        <w:rPr>
          <w:rtl/>
        </w:rPr>
        <w:t xml:space="preserve"> </w:t>
      </w:r>
      <w:r w:rsidRPr="00D637A3">
        <w:rPr>
          <w:rFonts w:cs="Arial"/>
          <w:rtl/>
        </w:rPr>
        <w:t>היינו לר"ה אבל לכרמלית שרי דאף לר"ה ליכא חיוב חטאת דדרך מלבוש הוא ולא אסור רק מדרבנן וממילא בכרמלית שרי לפי מה שנוהגין האידנא כסברא אחרונה לעיל בסימן ש"ג סי"ח כ"כ בספר אליהו רבה וכן צידד ג"כ בספר תו"ש להורות כמהרש"ל שמיקל בכרמלית ודלא כמ"א ובספר שלחן עצי שטים פסק ג"כ דמותר לצאת לכרמלית בסתם קמיע שלא בדקוהו ולא הועיל אבל בקמיע שאינו מומחה ודאי אף לכרמלית אסור</w:t>
      </w:r>
      <w:r>
        <w:rPr>
          <w:rFonts w:cs="Arial" w:hint="cs"/>
          <w:rtl/>
        </w:rPr>
        <w:t>, משנ"ב (סקקכ"ט).</w:t>
      </w:r>
    </w:p>
  </w:footnote>
  <w:footnote w:id="1649">
    <w:p w14:paraId="094B1EC3" w14:textId="690BDE87" w:rsidR="002419B9" w:rsidRDefault="002419B9" w:rsidP="00285819">
      <w:pPr>
        <w:pStyle w:val="a7"/>
      </w:pPr>
      <w:r>
        <w:rPr>
          <w:rStyle w:val="a9"/>
        </w:rPr>
        <w:footnoteRef/>
      </w:r>
      <w:r>
        <w:rPr>
          <w:rtl/>
        </w:rPr>
        <w:t xml:space="preserve"> </w:t>
      </w:r>
      <w:r w:rsidRPr="002419B9">
        <w:rPr>
          <w:rFonts w:cs="Arial"/>
          <w:rtl/>
        </w:rPr>
        <w:t>שלא יטפח בו ויתלכלך</w:t>
      </w:r>
      <w:r>
        <w:rPr>
          <w:rFonts w:cs="Arial" w:hint="cs"/>
          <w:rtl/>
        </w:rPr>
        <w:t>, רש"י.</w:t>
      </w:r>
    </w:p>
  </w:footnote>
  <w:footnote w:id="1650">
    <w:p w14:paraId="3B144DBC" w14:textId="3325D1FD" w:rsidR="002419B9" w:rsidRDefault="002419B9" w:rsidP="00285819">
      <w:pPr>
        <w:pStyle w:val="a7"/>
        <w:rPr>
          <w:rtl/>
        </w:rPr>
      </w:pPr>
      <w:r>
        <w:rPr>
          <w:rStyle w:val="a9"/>
        </w:rPr>
        <w:footnoteRef/>
      </w:r>
      <w:r>
        <w:rPr>
          <w:rtl/>
        </w:rPr>
        <w:t xml:space="preserve"> </w:t>
      </w:r>
      <w:r w:rsidRPr="002419B9">
        <w:rPr>
          <w:rFonts w:cs="Arial"/>
          <w:rtl/>
        </w:rPr>
        <w:t>רב חנן, שהיה כעוס ומתכוין להקניטו לר' אבין</w:t>
      </w:r>
      <w:r>
        <w:rPr>
          <w:rFonts w:hint="cs"/>
          <w:rtl/>
        </w:rPr>
        <w:t>, רש"י.</w:t>
      </w:r>
    </w:p>
  </w:footnote>
  <w:footnote w:id="1651">
    <w:p w14:paraId="4DAFA15F" w14:textId="557D2B22" w:rsidR="002419B9" w:rsidRDefault="002419B9" w:rsidP="00285819">
      <w:pPr>
        <w:pStyle w:val="a7"/>
      </w:pPr>
      <w:r>
        <w:rPr>
          <w:rStyle w:val="a9"/>
        </w:rPr>
        <w:footnoteRef/>
      </w:r>
      <w:r>
        <w:rPr>
          <w:rtl/>
        </w:rPr>
        <w:t xml:space="preserve"> </w:t>
      </w:r>
      <w:r w:rsidRPr="002419B9">
        <w:rPr>
          <w:rFonts w:cs="Arial"/>
          <w:rtl/>
        </w:rPr>
        <w:t>ולמה לי לכפות כלי יפנוה משם, שהרי ראויה לטלטל</w:t>
      </w:r>
      <w:r>
        <w:rPr>
          <w:rFonts w:cs="Arial" w:hint="cs"/>
          <w:rtl/>
        </w:rPr>
        <w:t>, רש"י.</w:t>
      </w:r>
    </w:p>
  </w:footnote>
  <w:footnote w:id="1652">
    <w:p w14:paraId="42D7F75E" w14:textId="7D944DA7" w:rsidR="00D423BA" w:rsidRDefault="00D423BA" w:rsidP="00285819">
      <w:pPr>
        <w:pStyle w:val="a7"/>
      </w:pPr>
      <w:r>
        <w:rPr>
          <w:rStyle w:val="a9"/>
        </w:rPr>
        <w:footnoteRef/>
      </w:r>
      <w:r>
        <w:rPr>
          <w:rtl/>
        </w:rPr>
        <w:t xml:space="preserve"> </w:t>
      </w:r>
      <w:r w:rsidRPr="00D423BA">
        <w:rPr>
          <w:rFonts w:cs="Arial"/>
          <w:rtl/>
        </w:rPr>
        <w:t>משום דמידי דנייד הוא, ולא קני שביתה, ואף על פי שבא מחוץ לתחום - כל אדם מוליכן למקום שעירב לו לילך, מיהו, שמעינן מינה דמותרין בטלטול, ואף על גב דמאתמול לא הוי הני קמן, כיון דאורחייהו בהכי - דעתיה עלייהו, הכי נמי: כיון דאורחיה דקטן בהכי - דעתיה עליה, דלכי תיתי - יאכילנה לכלבים, אמר לו ר' אבין - ואלא היכי אתנייה</w:t>
      </w:r>
      <w:r>
        <w:rPr>
          <w:rFonts w:cs="Arial" w:hint="cs"/>
          <w:rtl/>
        </w:rPr>
        <w:t>, רש"י.</w:t>
      </w:r>
    </w:p>
  </w:footnote>
  <w:footnote w:id="1653">
    <w:p w14:paraId="3731F90F" w14:textId="6108CECD" w:rsidR="002419B9" w:rsidRDefault="002419B9" w:rsidP="00285819">
      <w:pPr>
        <w:pStyle w:val="a7"/>
        <w:rPr>
          <w:rtl/>
        </w:rPr>
      </w:pPr>
      <w:r>
        <w:rPr>
          <w:rStyle w:val="a9"/>
        </w:rPr>
        <w:footnoteRef/>
      </w:r>
      <w:r>
        <w:rPr>
          <w:rtl/>
        </w:rPr>
        <w:t xml:space="preserve"> </w:t>
      </w:r>
      <w:r w:rsidRPr="002419B9">
        <w:rPr>
          <w:rFonts w:cs="Arial"/>
          <w:rtl/>
        </w:rPr>
        <w:t>דלא חזיא לכלבים, ושל קטן דקתני מתניתין - שמטפח בה קטן קאמר, ובשביל הקטן אמר כופין</w:t>
      </w:r>
      <w:r>
        <w:rPr>
          <w:rFonts w:hint="cs"/>
          <w:rtl/>
        </w:rPr>
        <w:t>, רש"י.</w:t>
      </w:r>
    </w:p>
  </w:footnote>
  <w:footnote w:id="1654">
    <w:p w14:paraId="53CF3447" w14:textId="54C8E197" w:rsidR="002419B9" w:rsidRDefault="002419B9" w:rsidP="00285819">
      <w:pPr>
        <w:pStyle w:val="a7"/>
      </w:pPr>
      <w:r>
        <w:rPr>
          <w:rStyle w:val="a9"/>
        </w:rPr>
        <w:footnoteRef/>
      </w:r>
      <w:r>
        <w:rPr>
          <w:rtl/>
        </w:rPr>
        <w:t xml:space="preserve"> </w:t>
      </w:r>
      <w:r w:rsidRPr="002419B9">
        <w:rPr>
          <w:rFonts w:cs="Arial"/>
          <w:rtl/>
        </w:rPr>
        <w:t>בשמים</w:t>
      </w:r>
      <w:r>
        <w:rPr>
          <w:rFonts w:cs="Arial" w:hint="cs"/>
          <w:rtl/>
        </w:rPr>
        <w:t>, רש"י.</w:t>
      </w:r>
    </w:p>
  </w:footnote>
  <w:footnote w:id="1655">
    <w:p w14:paraId="5D8F46F2" w14:textId="7EE2FCE5" w:rsidR="002419B9" w:rsidRDefault="002419B9" w:rsidP="00285819">
      <w:pPr>
        <w:pStyle w:val="a7"/>
        <w:rPr>
          <w:rtl/>
        </w:rPr>
      </w:pPr>
      <w:r>
        <w:rPr>
          <w:rStyle w:val="a9"/>
        </w:rPr>
        <w:footnoteRef/>
      </w:r>
      <w:r>
        <w:rPr>
          <w:rtl/>
        </w:rPr>
        <w:t xml:space="preserve"> </w:t>
      </w:r>
      <w:r w:rsidRPr="002419B9">
        <w:rPr>
          <w:rFonts w:cs="Arial"/>
          <w:rtl/>
        </w:rPr>
        <w:t>דלא רמי קמייהו, ולא גרף של רעי הוא</w:t>
      </w:r>
      <w:r>
        <w:rPr>
          <w:rFonts w:hint="cs"/>
          <w:rtl/>
        </w:rPr>
        <w:t>, רש"י.</w:t>
      </w:r>
    </w:p>
  </w:footnote>
  <w:footnote w:id="1656">
    <w:p w14:paraId="31579132" w14:textId="05003605" w:rsidR="00B46C42" w:rsidRDefault="00B46C42" w:rsidP="00285819">
      <w:pPr>
        <w:pStyle w:val="a7"/>
      </w:pPr>
      <w:r>
        <w:rPr>
          <w:rStyle w:val="a9"/>
        </w:rPr>
        <w:footnoteRef/>
      </w:r>
      <w:r>
        <w:rPr>
          <w:rtl/>
        </w:rPr>
        <w:t xml:space="preserve"> </w:t>
      </w:r>
      <w:r w:rsidRPr="00B46C42">
        <w:rPr>
          <w:rFonts w:cs="Arial"/>
          <w:rtl/>
        </w:rPr>
        <w:t>דמוקצין מחמת מאוס הן, ואי לאו אגב מיא - לא מצי לטלטלינהו, ולהוציאו הוא דשרו ליה משום כבודו</w:t>
      </w:r>
      <w:r>
        <w:rPr>
          <w:rFonts w:cs="Arial" w:hint="cs"/>
          <w:rtl/>
        </w:rPr>
        <w:t>, רש"י.</w:t>
      </w:r>
    </w:p>
  </w:footnote>
  <w:footnote w:id="1657">
    <w:p w14:paraId="73C1E25A" w14:textId="77F67CD7" w:rsidR="00B46C42" w:rsidRPr="00B46C42" w:rsidRDefault="00B46C42" w:rsidP="00285819">
      <w:pPr>
        <w:pStyle w:val="a7"/>
      </w:pPr>
      <w:r w:rsidRPr="00B46C42">
        <w:rPr>
          <w:rStyle w:val="a9"/>
        </w:rPr>
        <w:footnoteRef/>
      </w:r>
      <w:r w:rsidRPr="00B46C42">
        <w:rPr>
          <w:rtl/>
        </w:rPr>
        <w:t xml:space="preserve"> </w:t>
      </w:r>
      <w:r w:rsidRPr="00B46C42">
        <w:rPr>
          <w:rFonts w:cs="Arial"/>
          <w:rtl/>
        </w:rPr>
        <w:t>כלומר בחצר שבני אדם דרים בה</w:t>
      </w:r>
      <w:r w:rsidRPr="00B46C42">
        <w:rPr>
          <w:rFonts w:cs="Arial" w:hint="cs"/>
          <w:rtl/>
        </w:rPr>
        <w:t>, ב"י.</w:t>
      </w:r>
    </w:p>
  </w:footnote>
  <w:footnote w:id="1658">
    <w:p w14:paraId="6D0457AB" w14:textId="481E9A67" w:rsidR="00B46C42" w:rsidRPr="00B46C42" w:rsidRDefault="00B46C42" w:rsidP="00285819">
      <w:pPr>
        <w:pStyle w:val="a7"/>
      </w:pPr>
      <w:r w:rsidRPr="00B46C42">
        <w:rPr>
          <w:rStyle w:val="a9"/>
        </w:rPr>
        <w:footnoteRef/>
      </w:r>
      <w:r w:rsidRPr="00B46C42">
        <w:rPr>
          <w:rtl/>
        </w:rPr>
        <w:t xml:space="preserve"> </w:t>
      </w:r>
      <w:r w:rsidRPr="00B46C42">
        <w:rPr>
          <w:rFonts w:cs="Arial"/>
          <w:rtl/>
        </w:rPr>
        <w:t>והוא הדין לצואה של קטן</w:t>
      </w:r>
      <w:r w:rsidRPr="00B46C42">
        <w:rPr>
          <w:rFonts w:cs="Arial" w:hint="cs"/>
          <w:rtl/>
        </w:rPr>
        <w:t>, ב"י.</w:t>
      </w:r>
    </w:p>
  </w:footnote>
  <w:footnote w:id="1659">
    <w:p w14:paraId="4E057AC7" w14:textId="4F9A3966" w:rsidR="00B46C42" w:rsidRDefault="00B46C42" w:rsidP="00285819">
      <w:pPr>
        <w:pStyle w:val="a7"/>
      </w:pPr>
      <w:r>
        <w:rPr>
          <w:rStyle w:val="a9"/>
        </w:rPr>
        <w:footnoteRef/>
      </w:r>
      <w:r>
        <w:rPr>
          <w:rtl/>
        </w:rPr>
        <w:t xml:space="preserve"> </w:t>
      </w:r>
      <w:r w:rsidRPr="00B46C42">
        <w:rPr>
          <w:rFonts w:cs="Arial"/>
          <w:rtl/>
        </w:rPr>
        <w:t>כלומר ואפילו אם היא בחצר שדר בה אלא שהיא בחלק המוקצה מהחצר לאשפה או לתרנגולין ודרך כלל שהיא במקום שאין דירתו אצלה לא שריא להוציאה מדין גרף של רעי ואם ירא מפני התינוק שלא ילך שם ויתלכלך מותר לכפות עליה כלי</w:t>
      </w:r>
      <w:r w:rsidRPr="00B46C42">
        <w:rPr>
          <w:rFonts w:cs="Arial" w:hint="cs"/>
          <w:rtl/>
        </w:rPr>
        <w:t>, ב"י</w:t>
      </w:r>
      <w:r>
        <w:rPr>
          <w:rFonts w:cs="Arial" w:hint="cs"/>
          <w:rtl/>
        </w:rPr>
        <w:t>.</w:t>
      </w:r>
    </w:p>
  </w:footnote>
  <w:footnote w:id="1660">
    <w:p w14:paraId="3611563D" w14:textId="69A0ABA5" w:rsidR="00757BCD" w:rsidRDefault="00757BCD" w:rsidP="00285819">
      <w:pPr>
        <w:pStyle w:val="a7"/>
      </w:pPr>
      <w:r>
        <w:rPr>
          <w:rStyle w:val="a9"/>
        </w:rPr>
        <w:footnoteRef/>
      </w:r>
      <w:r>
        <w:rPr>
          <w:rtl/>
        </w:rPr>
        <w:t xml:space="preserve"> </w:t>
      </w:r>
      <w:r w:rsidRPr="00757BCD">
        <w:rPr>
          <w:rFonts w:cs="Arial"/>
          <w:rtl/>
        </w:rPr>
        <w:t>היינו שדרים בה כמו החצרות העשויות לפני הבתים שהוא מקום דריסת הרגל והתירו לפנותו משום כבודו וה"ה אם הוא מונח במבוי במקום דריסת הרגל מותר לסלקו לצדדים [מגן אברהם]</w:t>
      </w:r>
      <w:r>
        <w:rPr>
          <w:rFonts w:cs="Arial" w:hint="cs"/>
          <w:rtl/>
        </w:rPr>
        <w:t>, משנ"ב (סקקל"א).</w:t>
      </w:r>
    </w:p>
  </w:footnote>
  <w:footnote w:id="1661">
    <w:p w14:paraId="32D3DD1B" w14:textId="0D49727C" w:rsidR="00757BCD" w:rsidRDefault="00757BCD" w:rsidP="00285819">
      <w:pPr>
        <w:pStyle w:val="a7"/>
      </w:pPr>
      <w:r>
        <w:rPr>
          <w:rStyle w:val="a9"/>
        </w:rPr>
        <w:footnoteRef/>
      </w:r>
      <w:r>
        <w:rPr>
          <w:rtl/>
        </w:rPr>
        <w:t xml:space="preserve"> </w:t>
      </w:r>
      <w:r w:rsidRPr="00757BCD">
        <w:rPr>
          <w:rFonts w:cs="Arial"/>
          <w:rtl/>
        </w:rPr>
        <w:t>בין שהוא חצר אחרת או שהוא חצר שאחורי בתים או שהוא מונח באשפה שבחצר דאז אסור לטלטלם</w:t>
      </w:r>
      <w:r>
        <w:rPr>
          <w:rFonts w:cs="Arial" w:hint="cs"/>
          <w:rtl/>
        </w:rPr>
        <w:t>, משנ"ב (סקקל"ג).</w:t>
      </w:r>
    </w:p>
  </w:footnote>
  <w:footnote w:id="1662">
    <w:p w14:paraId="52051934" w14:textId="20F35462" w:rsidR="00757BCD" w:rsidRDefault="00757BCD" w:rsidP="00285819">
      <w:pPr>
        <w:pStyle w:val="a7"/>
      </w:pPr>
      <w:r>
        <w:rPr>
          <w:rStyle w:val="a9"/>
        </w:rPr>
        <w:footnoteRef/>
      </w:r>
      <w:r>
        <w:rPr>
          <w:rtl/>
        </w:rPr>
        <w:t xml:space="preserve"> </w:t>
      </w:r>
      <w:r w:rsidRPr="00757BCD">
        <w:rPr>
          <w:rFonts w:cs="Arial"/>
          <w:rtl/>
        </w:rPr>
        <w:t>דהא לא חזי למידי והוא מוקצה כאבן. וה"ה הגרף ועביט בלא רעי ומי רגלים ג"כ אסור כיון שהוא מקום שאין דר שם [א"ר]. ואם הוא מלא וא"א לפנות עליו מותר להוציאו ולהחזירו משום כבוד הבריות</w:t>
      </w:r>
      <w:r>
        <w:rPr>
          <w:rFonts w:cs="Arial" w:hint="cs"/>
          <w:rtl/>
        </w:rPr>
        <w:t>, משנ"ב (סקקל"ד).</w:t>
      </w:r>
    </w:p>
  </w:footnote>
  <w:footnote w:id="1663">
    <w:p w14:paraId="78E4D482" w14:textId="77777777" w:rsidR="0060573B" w:rsidRDefault="0060573B" w:rsidP="00285819">
      <w:pPr>
        <w:pStyle w:val="a7"/>
      </w:pPr>
      <w:r>
        <w:rPr>
          <w:rStyle w:val="a9"/>
        </w:rPr>
        <w:footnoteRef/>
      </w:r>
      <w:r>
        <w:rPr>
          <w:rtl/>
        </w:rPr>
        <w:t xml:space="preserve"> </w:t>
      </w:r>
      <w:r w:rsidRPr="00B46C42">
        <w:rPr>
          <w:rFonts w:cs="Arial"/>
          <w:rtl/>
        </w:rPr>
        <w:t>דמוקצין מחמת מאוס הן, ואי לאו אגב מיא - לא מצי לטלטלינהו, ולהוציאו הוא דשרו ליה משום כבודו</w:t>
      </w:r>
      <w:r>
        <w:rPr>
          <w:rFonts w:cs="Arial" w:hint="cs"/>
          <w:rtl/>
        </w:rPr>
        <w:t>, רש"י.</w:t>
      </w:r>
    </w:p>
  </w:footnote>
  <w:footnote w:id="1664">
    <w:p w14:paraId="53461C9F" w14:textId="1108A8F5" w:rsidR="00AE6881" w:rsidRDefault="00AE6881" w:rsidP="00285819">
      <w:pPr>
        <w:pStyle w:val="a7"/>
        <w:rPr>
          <w:rtl/>
        </w:rPr>
      </w:pPr>
      <w:r>
        <w:rPr>
          <w:rStyle w:val="a9"/>
        </w:rPr>
        <w:footnoteRef/>
      </w:r>
      <w:r>
        <w:rPr>
          <w:rtl/>
        </w:rPr>
        <w:t xml:space="preserve"> </w:t>
      </w:r>
      <w:r w:rsidRPr="00AE6881">
        <w:rPr>
          <w:rFonts w:cs="Arial"/>
          <w:rtl/>
        </w:rPr>
        <w:t>גרף ועביט שניהם של חרס אלא של רעי נקרא גרף ושל מי רגלים נקרא עביט</w:t>
      </w:r>
      <w:r>
        <w:rPr>
          <w:rFonts w:cs="Arial" w:hint="cs"/>
          <w:rtl/>
        </w:rPr>
        <w:t>,</w:t>
      </w:r>
      <w:r w:rsidRPr="00AE6881">
        <w:rPr>
          <w:rFonts w:cs="Arial"/>
          <w:rtl/>
        </w:rPr>
        <w:t xml:space="preserve"> וה"ה אם הוא של עץ</w:t>
      </w:r>
      <w:r>
        <w:rPr>
          <w:rFonts w:cs="Arial" w:hint="cs"/>
          <w:rtl/>
        </w:rPr>
        <w:t>,</w:t>
      </w:r>
      <w:r w:rsidRPr="00AE6881">
        <w:rPr>
          <w:rFonts w:cs="Arial"/>
          <w:rtl/>
        </w:rPr>
        <w:t xml:space="preserve"> ועיין לעיל בסימן פ"ז לענין אם הוא של מתכות</w:t>
      </w:r>
      <w:r>
        <w:rPr>
          <w:rFonts w:cs="Arial" w:hint="cs"/>
          <w:rtl/>
        </w:rPr>
        <w:t>, משנ"ב (סקקל"ו).</w:t>
      </w:r>
      <w:r w:rsidRPr="00AE6881">
        <w:rPr>
          <w:rFonts w:cs="Arial"/>
          <w:rtl/>
        </w:rPr>
        <w:t xml:space="preserve"> </w:t>
      </w:r>
      <w:r>
        <w:rPr>
          <w:rFonts w:hint="cs"/>
          <w:rtl/>
        </w:rPr>
        <w:t xml:space="preserve">ושם באו"ח סי' פז (ס"א) כתב השו"ע לעניין קריאת שמע, וז"ל- </w:t>
      </w:r>
      <w:r w:rsidRPr="00705CBF">
        <w:rPr>
          <w:rFonts w:cs="Arial"/>
          <w:rtl/>
        </w:rPr>
        <w:t>גרף של רעי ועביט של מי רגלים, של חרס או של עץ, צריך להרחיק מהם כמו מצואה, אפילו הטיל בהם מים; אבל אם הן של מתכת, או של זכוכית, או של חרס מצופה, מותר אם הם רחוצים יפה</w:t>
      </w:r>
      <w:r>
        <w:rPr>
          <w:rFonts w:cs="Arial" w:hint="cs"/>
          <w:rtl/>
        </w:rPr>
        <w:t>.</w:t>
      </w:r>
      <w:r>
        <w:rPr>
          <w:rFonts w:hint="cs"/>
          <w:rtl/>
        </w:rPr>
        <w:t xml:space="preserve"> עכ"ל. משמע דפחים שלנו שהם מפלסטיק ובתוכם מניחים שקית אשפה, כך שהם נשארים נקיים </w:t>
      </w:r>
      <w:r>
        <w:rPr>
          <w:rtl/>
        </w:rPr>
        <w:t>–</w:t>
      </w:r>
      <w:r>
        <w:rPr>
          <w:rFonts w:hint="cs"/>
          <w:rtl/>
        </w:rPr>
        <w:t xml:space="preserve"> לא מקרי גרף של רעי. וצל"ע.</w:t>
      </w:r>
    </w:p>
  </w:footnote>
  <w:footnote w:id="1665">
    <w:p w14:paraId="6A9C98E3" w14:textId="7142A2E1" w:rsidR="00AE6881" w:rsidRDefault="00AE6881" w:rsidP="00285819">
      <w:pPr>
        <w:pStyle w:val="a7"/>
        <w:rPr>
          <w:rtl/>
        </w:rPr>
      </w:pPr>
      <w:r>
        <w:rPr>
          <w:rStyle w:val="a9"/>
        </w:rPr>
        <w:footnoteRef/>
      </w:r>
      <w:r>
        <w:rPr>
          <w:rtl/>
        </w:rPr>
        <w:t xml:space="preserve"> </w:t>
      </w:r>
      <w:r w:rsidRPr="00AE6881">
        <w:rPr>
          <w:rFonts w:cs="Arial"/>
          <w:rtl/>
        </w:rPr>
        <w:t>והנה גרף ועביט אף על פי שהוא כלי מ"מ הוא בכלל מוקצה מחמת גופו משום דמאיס הרבה וחמיר מסתם מוקצה מחמת מיאוס דקי"ל בריש סימן ש"י דמותר דגרף הוא כאבן ודומיהן ורק להוציאן ממקום שדר שם התירו משום כבודו אבל להחזירן צריך מים דאז מטלטלן ע"י המים</w:t>
      </w:r>
      <w:r>
        <w:rPr>
          <w:rFonts w:hint="cs"/>
          <w:rtl/>
        </w:rPr>
        <w:t>, משנ"ב (סקקל"ו).</w:t>
      </w:r>
    </w:p>
  </w:footnote>
  <w:footnote w:id="1666">
    <w:p w14:paraId="04D23F77" w14:textId="2BE036F4" w:rsidR="00AE6881" w:rsidRDefault="00AE6881" w:rsidP="00285819">
      <w:pPr>
        <w:pStyle w:val="a7"/>
        <w:rPr>
          <w:rtl/>
        </w:rPr>
      </w:pPr>
      <w:r>
        <w:rPr>
          <w:rStyle w:val="a9"/>
        </w:rPr>
        <w:footnoteRef/>
      </w:r>
      <w:r>
        <w:rPr>
          <w:rtl/>
        </w:rPr>
        <w:t xml:space="preserve"> </w:t>
      </w:r>
      <w:r w:rsidRPr="00AE6881">
        <w:rPr>
          <w:rFonts w:cs="Arial"/>
          <w:rtl/>
        </w:rPr>
        <w:t>כתב המ"א דבעודו בידו מותר להחזיר אף בלא מים</w:t>
      </w:r>
      <w:r>
        <w:rPr>
          <w:rFonts w:cs="Arial" w:hint="cs"/>
          <w:rtl/>
        </w:rPr>
        <w:t>,</w:t>
      </w:r>
      <w:r w:rsidRPr="00AE6881">
        <w:rPr>
          <w:rFonts w:cs="Arial"/>
          <w:rtl/>
        </w:rPr>
        <w:t xml:space="preserve"> ועיין בא"ר ובפמ"ג שמפקפקין בזה</w:t>
      </w:r>
      <w:r>
        <w:rPr>
          <w:rFonts w:hint="cs"/>
          <w:rtl/>
        </w:rPr>
        <w:t>, ממשנ"ב (סקקל"ז).</w:t>
      </w:r>
    </w:p>
  </w:footnote>
  <w:footnote w:id="1667">
    <w:p w14:paraId="745DBDC6" w14:textId="7BEA89D7" w:rsidR="00AE6881" w:rsidRDefault="00AE6881" w:rsidP="00285819">
      <w:pPr>
        <w:pStyle w:val="a7"/>
      </w:pPr>
      <w:r>
        <w:rPr>
          <w:rStyle w:val="a9"/>
        </w:rPr>
        <w:footnoteRef/>
      </w:r>
      <w:r>
        <w:rPr>
          <w:rtl/>
        </w:rPr>
        <w:t xml:space="preserve"> </w:t>
      </w:r>
      <w:r w:rsidRPr="00AE6881">
        <w:rPr>
          <w:rFonts w:cs="Arial"/>
          <w:rtl/>
        </w:rPr>
        <w:t>ודוקא כשהם ראוים עדיין לשתיית בהמה</w:t>
      </w:r>
      <w:r w:rsidR="00BF5DCF">
        <w:rPr>
          <w:rFonts w:cs="Arial" w:hint="cs"/>
          <w:rtl/>
        </w:rPr>
        <w:t>,</w:t>
      </w:r>
      <w:r w:rsidRPr="00AE6881">
        <w:rPr>
          <w:rFonts w:cs="Arial"/>
          <w:rtl/>
        </w:rPr>
        <w:t xml:space="preserve"> דאל"כ אף המים גרף הן. והנה מדסתם השו"ע משמע דאפילו א"צ להוציא בו צואה ומי רגלים שרי להחזירו ע"י מים</w:t>
      </w:r>
      <w:r w:rsidR="00BF5DCF">
        <w:rPr>
          <w:rFonts w:cs="Arial" w:hint="cs"/>
          <w:rtl/>
        </w:rPr>
        <w:t>.</w:t>
      </w:r>
      <w:r w:rsidRPr="00AE6881">
        <w:rPr>
          <w:rFonts w:cs="Arial"/>
          <w:rtl/>
        </w:rPr>
        <w:t xml:space="preserve"> ויש מחמירין בזה כמ"ש בב"י</w:t>
      </w:r>
      <w:r w:rsidR="00BF5DCF">
        <w:rPr>
          <w:rFonts w:cs="Arial" w:hint="cs"/>
          <w:rtl/>
        </w:rPr>
        <w:t>.</w:t>
      </w:r>
      <w:r w:rsidRPr="00AE6881">
        <w:rPr>
          <w:rFonts w:cs="Arial"/>
          <w:rtl/>
        </w:rPr>
        <w:t xml:space="preserve"> ועיין בספר א"ר שמכריע דאם הוא מקום המשתמר לא יכניסנו שלא לצורך</w:t>
      </w:r>
      <w:r>
        <w:rPr>
          <w:rFonts w:cs="Arial" w:hint="cs"/>
          <w:rtl/>
        </w:rPr>
        <w:t>, משנ"ב (סקלל"ח).</w:t>
      </w:r>
    </w:p>
  </w:footnote>
  <w:footnote w:id="1668">
    <w:p w14:paraId="212C0709" w14:textId="77777777" w:rsidR="005F4DD7" w:rsidRDefault="005F4DD7" w:rsidP="00285819">
      <w:pPr>
        <w:pStyle w:val="a7"/>
        <w:rPr>
          <w:rtl/>
        </w:rPr>
      </w:pPr>
      <w:r>
        <w:rPr>
          <w:rStyle w:val="a9"/>
        </w:rPr>
        <w:footnoteRef/>
      </w:r>
      <w:r>
        <w:rPr>
          <w:rtl/>
        </w:rPr>
        <w:t xml:space="preserve"> </w:t>
      </w:r>
      <w:r w:rsidRPr="007C202D">
        <w:rPr>
          <w:rFonts w:cs="Arial"/>
          <w:rtl/>
        </w:rPr>
        <w:t>של יין, ששרה בהן פתו, ומטלטלן השמש להצניע הכוס</w:t>
      </w:r>
      <w:r>
        <w:rPr>
          <w:rFonts w:hint="cs"/>
          <w:rtl/>
        </w:rPr>
        <w:t>, רש"י.</w:t>
      </w:r>
    </w:p>
  </w:footnote>
  <w:footnote w:id="1669">
    <w:p w14:paraId="31169A25" w14:textId="77777777" w:rsidR="005F4DD7" w:rsidRDefault="005F4DD7" w:rsidP="00285819">
      <w:pPr>
        <w:pStyle w:val="a7"/>
        <w:rPr>
          <w:rtl/>
        </w:rPr>
      </w:pPr>
      <w:r>
        <w:rPr>
          <w:rStyle w:val="a9"/>
        </w:rPr>
        <w:footnoteRef/>
      </w:r>
      <w:r>
        <w:rPr>
          <w:rtl/>
        </w:rPr>
        <w:t xml:space="preserve"> </w:t>
      </w:r>
      <w:r w:rsidRPr="007C202D">
        <w:rPr>
          <w:rFonts w:cs="Arial"/>
          <w:rtl/>
        </w:rPr>
        <w:t>הא לא חזו, דמאיסי</w:t>
      </w:r>
      <w:r>
        <w:rPr>
          <w:rFonts w:hint="cs"/>
          <w:rtl/>
        </w:rPr>
        <w:t>, רש"י.</w:t>
      </w:r>
    </w:p>
  </w:footnote>
  <w:footnote w:id="1670">
    <w:p w14:paraId="4B2447EB" w14:textId="77777777" w:rsidR="005F4DD7" w:rsidRDefault="005F4DD7" w:rsidP="00285819">
      <w:pPr>
        <w:pStyle w:val="a7"/>
      </w:pPr>
      <w:r>
        <w:rPr>
          <w:rStyle w:val="a9"/>
        </w:rPr>
        <w:footnoteRef/>
      </w:r>
      <w:r>
        <w:rPr>
          <w:rtl/>
        </w:rPr>
        <w:t xml:space="preserve"> </w:t>
      </w:r>
      <w:r w:rsidRPr="007C202D">
        <w:rPr>
          <w:rFonts w:cs="Arial"/>
          <w:rtl/>
        </w:rPr>
        <w:t>כלי שמשימים בו הגחלים</w:t>
      </w:r>
      <w:r>
        <w:rPr>
          <w:rFonts w:cs="Arial" w:hint="cs"/>
          <w:rtl/>
        </w:rPr>
        <w:t>, רש"י.</w:t>
      </w:r>
    </w:p>
  </w:footnote>
  <w:footnote w:id="1671">
    <w:p w14:paraId="49E7F157" w14:textId="77777777" w:rsidR="005F4DD7" w:rsidRDefault="005F4DD7" w:rsidP="00285819">
      <w:pPr>
        <w:pStyle w:val="a7"/>
      </w:pPr>
      <w:r>
        <w:rPr>
          <w:rStyle w:val="a9"/>
        </w:rPr>
        <w:footnoteRef/>
      </w:r>
      <w:r>
        <w:rPr>
          <w:rtl/>
        </w:rPr>
        <w:t xml:space="preserve"> </w:t>
      </w:r>
      <w:r w:rsidRPr="007C202D">
        <w:rPr>
          <w:rFonts w:cs="Arial"/>
          <w:rtl/>
        </w:rPr>
        <w:t>דלא חזו, מטלטל להו עם כנונא</w:t>
      </w:r>
      <w:r>
        <w:rPr>
          <w:rFonts w:cs="Arial" w:hint="cs"/>
          <w:rtl/>
        </w:rPr>
        <w:t>, רש"י.</w:t>
      </w:r>
    </w:p>
  </w:footnote>
  <w:footnote w:id="1672">
    <w:p w14:paraId="622270D1" w14:textId="77777777" w:rsidR="005F4DD7" w:rsidRDefault="005F4DD7" w:rsidP="00285819">
      <w:pPr>
        <w:pStyle w:val="a7"/>
      </w:pPr>
      <w:r>
        <w:rPr>
          <w:rStyle w:val="a9"/>
        </w:rPr>
        <w:footnoteRef/>
      </w:r>
      <w:r>
        <w:rPr>
          <w:rtl/>
        </w:rPr>
        <w:t xml:space="preserve"> </w:t>
      </w:r>
      <w:r w:rsidRPr="007C202D">
        <w:rPr>
          <w:rFonts w:cs="Arial"/>
          <w:rtl/>
        </w:rPr>
        <w:t>ומוקצי טפי</w:t>
      </w:r>
      <w:r>
        <w:rPr>
          <w:rFonts w:cs="Arial" w:hint="cs"/>
          <w:rtl/>
        </w:rPr>
        <w:t>, רש"י.</w:t>
      </w:r>
    </w:p>
  </w:footnote>
  <w:footnote w:id="1673">
    <w:p w14:paraId="5E4EF670" w14:textId="77777777" w:rsidR="005F4DD7" w:rsidRDefault="005F4DD7" w:rsidP="00285819">
      <w:pPr>
        <w:pStyle w:val="a7"/>
        <w:rPr>
          <w:rtl/>
        </w:rPr>
      </w:pPr>
      <w:r>
        <w:rPr>
          <w:rStyle w:val="a9"/>
        </w:rPr>
        <w:footnoteRef/>
      </w:r>
      <w:r>
        <w:rPr>
          <w:rtl/>
        </w:rPr>
        <w:t xml:space="preserve"> </w:t>
      </w:r>
      <w:r w:rsidRPr="007C202D">
        <w:rPr>
          <w:rFonts w:cs="Arial"/>
          <w:rtl/>
        </w:rPr>
        <w:t>נהי דכי איתיה קמן מסלקינן ליה, אבל לאתויי קמן, או למיזל אנן לגביה כי היכי דנמאס עלן ונסלקיה - מי שרי?</w:t>
      </w:r>
      <w:r>
        <w:rPr>
          <w:rFonts w:hint="cs"/>
          <w:rtl/>
        </w:rPr>
        <w:t>, רש"י.</w:t>
      </w:r>
    </w:p>
  </w:footnote>
  <w:footnote w:id="1674">
    <w:p w14:paraId="33B464A5" w14:textId="77777777" w:rsidR="00A55D22" w:rsidRDefault="00A55D22" w:rsidP="00285819">
      <w:pPr>
        <w:pStyle w:val="a7"/>
      </w:pPr>
      <w:r>
        <w:rPr>
          <w:rStyle w:val="a9"/>
        </w:rPr>
        <w:footnoteRef/>
      </w:r>
      <w:r>
        <w:rPr>
          <w:rtl/>
        </w:rPr>
        <w:t xml:space="preserve"> </w:t>
      </w:r>
      <w:r w:rsidRPr="00B46C42">
        <w:rPr>
          <w:rFonts w:cs="Arial"/>
          <w:rtl/>
        </w:rPr>
        <w:t>לחוץ</w:t>
      </w:r>
      <w:r>
        <w:rPr>
          <w:rFonts w:cs="Arial" w:hint="cs"/>
          <w:rtl/>
        </w:rPr>
        <w:t>, רש"י.</w:t>
      </w:r>
    </w:p>
  </w:footnote>
  <w:footnote w:id="1675">
    <w:p w14:paraId="2A85D640" w14:textId="77777777" w:rsidR="00A55D22" w:rsidRDefault="00A55D22" w:rsidP="00285819">
      <w:pPr>
        <w:pStyle w:val="a7"/>
      </w:pPr>
      <w:r>
        <w:rPr>
          <w:rStyle w:val="a9"/>
        </w:rPr>
        <w:footnoteRef/>
      </w:r>
      <w:r>
        <w:rPr>
          <w:rtl/>
        </w:rPr>
        <w:t xml:space="preserve"> </w:t>
      </w:r>
      <w:r w:rsidRPr="00B46C42">
        <w:rPr>
          <w:rFonts w:cs="Arial"/>
          <w:rtl/>
        </w:rPr>
        <w:t>יחזירנו למקומו תחת הדלף</w:t>
      </w:r>
      <w:r>
        <w:rPr>
          <w:rFonts w:cs="Arial" w:hint="cs"/>
          <w:rtl/>
        </w:rPr>
        <w:t>, רש"י.</w:t>
      </w:r>
    </w:p>
  </w:footnote>
  <w:footnote w:id="1676">
    <w:p w14:paraId="6B791397" w14:textId="77777777" w:rsidR="00A55D22" w:rsidRDefault="00A55D22" w:rsidP="00285819">
      <w:pPr>
        <w:pStyle w:val="a7"/>
      </w:pPr>
      <w:r>
        <w:rPr>
          <w:rStyle w:val="a9"/>
        </w:rPr>
        <w:footnoteRef/>
      </w:r>
      <w:r>
        <w:rPr>
          <w:rtl/>
        </w:rPr>
        <w:t xml:space="preserve"> </w:t>
      </w:r>
      <w:r w:rsidRPr="00B46C42">
        <w:rPr>
          <w:rFonts w:cs="Arial"/>
          <w:rtl/>
        </w:rPr>
        <w:t>הדלף היה נופל על הרחים שלו, והיו עשוין בטיט, ונמוחים מפני הגשמים, ולא היה מספיק לכלים הצריכים לתת תחת הדלף</w:t>
      </w:r>
      <w:r>
        <w:rPr>
          <w:rFonts w:cs="Arial" w:hint="cs"/>
          <w:rtl/>
        </w:rPr>
        <w:t>, רש"י.</w:t>
      </w:r>
    </w:p>
  </w:footnote>
  <w:footnote w:id="1677">
    <w:p w14:paraId="1EF1667E" w14:textId="77777777" w:rsidR="00A55D22" w:rsidRDefault="00A55D22" w:rsidP="00285819">
      <w:pPr>
        <w:pStyle w:val="a7"/>
      </w:pPr>
      <w:r>
        <w:rPr>
          <w:rStyle w:val="a9"/>
        </w:rPr>
        <w:footnoteRef/>
      </w:r>
      <w:r>
        <w:rPr>
          <w:rtl/>
        </w:rPr>
        <w:t xml:space="preserve"> </w:t>
      </w:r>
      <w:r w:rsidRPr="00B46C42">
        <w:rPr>
          <w:rFonts w:cs="Arial"/>
          <w:rtl/>
        </w:rPr>
        <w:t>לבית שהוא שם, דלהוי כגרף של רעי, שיהו מאוסים הרחים לך להיות לפני מטתך, ואתה מותר לטלטלן ולהוציאן לחוץ, כדאמר לקמן דגרף של רעי מותר להוציאו לאשפה</w:t>
      </w:r>
      <w:r>
        <w:rPr>
          <w:rFonts w:cs="Arial" w:hint="cs"/>
          <w:rtl/>
        </w:rPr>
        <w:t>, רש"י.</w:t>
      </w:r>
    </w:p>
  </w:footnote>
  <w:footnote w:id="1678">
    <w:p w14:paraId="2DF5B323" w14:textId="77777777" w:rsidR="00A55D22" w:rsidRDefault="00A55D22" w:rsidP="00285819">
      <w:pPr>
        <w:pStyle w:val="a7"/>
        <w:rPr>
          <w:rtl/>
        </w:rPr>
      </w:pPr>
      <w:r>
        <w:rPr>
          <w:rStyle w:val="a9"/>
        </w:rPr>
        <w:footnoteRef/>
      </w:r>
      <w:r>
        <w:rPr>
          <w:rtl/>
        </w:rPr>
        <w:t xml:space="preserve"> </w:t>
      </w:r>
      <w:r w:rsidRPr="00B46C42">
        <w:rPr>
          <w:rFonts w:cs="Arial"/>
          <w:rtl/>
        </w:rPr>
        <w:t>וכי מותר לגרום שיהא הדבר מאוס לו כדי שיוציאנו?</w:t>
      </w:r>
      <w:r>
        <w:rPr>
          <w:rFonts w:hint="cs"/>
          <w:rtl/>
        </w:rPr>
        <w:t>, רש"י.</w:t>
      </w:r>
    </w:p>
  </w:footnote>
  <w:footnote w:id="1679">
    <w:p w14:paraId="45E60481" w14:textId="77777777" w:rsidR="00A55D22" w:rsidRDefault="00A55D22" w:rsidP="00285819">
      <w:pPr>
        <w:pStyle w:val="a7"/>
      </w:pPr>
      <w:r>
        <w:rPr>
          <w:rStyle w:val="a9"/>
        </w:rPr>
        <w:footnoteRef/>
      </w:r>
      <w:r>
        <w:rPr>
          <w:rtl/>
        </w:rPr>
        <w:t xml:space="preserve"> </w:t>
      </w:r>
      <w:r w:rsidRPr="00B46C42">
        <w:rPr>
          <w:rFonts w:cs="Arial"/>
          <w:rtl/>
        </w:rPr>
        <w:t>תבואני זאת בשכרי שעברתי על דברי רבי, גרף ועביט כלי חרס הן, אלא של רעי קרוי גרף, ושל מימי רגלים קרוי עביט</w:t>
      </w:r>
      <w:r>
        <w:rPr>
          <w:rFonts w:cs="Arial" w:hint="cs"/>
          <w:rtl/>
        </w:rPr>
        <w:t>, רש"י.</w:t>
      </w:r>
    </w:p>
  </w:footnote>
  <w:footnote w:id="1680">
    <w:p w14:paraId="2C9A442E" w14:textId="061721FF" w:rsidR="00B854E3" w:rsidRDefault="00B854E3" w:rsidP="00285819">
      <w:pPr>
        <w:pStyle w:val="a7"/>
      </w:pPr>
      <w:r>
        <w:rPr>
          <w:rStyle w:val="a9"/>
        </w:rPr>
        <w:footnoteRef/>
      </w:r>
      <w:r>
        <w:rPr>
          <w:rtl/>
        </w:rPr>
        <w:t xml:space="preserve"> </w:t>
      </w:r>
      <w:r>
        <w:rPr>
          <w:rFonts w:hint="cs"/>
          <w:rtl/>
        </w:rPr>
        <w:t xml:space="preserve">וז"ל- </w:t>
      </w:r>
      <w:r w:rsidRPr="00B854E3">
        <w:rPr>
          <w:rFonts w:cs="Arial"/>
          <w:rtl/>
        </w:rPr>
        <w:t>אע</w:t>
      </w:r>
      <w:r>
        <w:rPr>
          <w:rFonts w:cs="Arial" w:hint="cs"/>
          <w:rtl/>
        </w:rPr>
        <w:t>"</w:t>
      </w:r>
      <w:r w:rsidRPr="00B854E3">
        <w:rPr>
          <w:rFonts w:cs="Arial"/>
          <w:rtl/>
        </w:rPr>
        <w:t xml:space="preserve">ג דאמרינן לעיל פ' יום טוב </w:t>
      </w:r>
      <w:r>
        <w:rPr>
          <w:rFonts w:cs="Arial" w:hint="cs"/>
          <w:rtl/>
        </w:rPr>
        <w:t>(</w:t>
      </w:r>
      <w:r w:rsidRPr="00B854E3">
        <w:rPr>
          <w:rFonts w:cs="Arial"/>
          <w:rtl/>
        </w:rPr>
        <w:t>כא: ושם) דאין עושין גרף של רעי לכתחלה ס"ל לרבה דהכא שרי משום פסידא דבי רחיא</w:t>
      </w:r>
      <w:r>
        <w:rPr>
          <w:rFonts w:cs="Arial" w:hint="cs"/>
          <w:rtl/>
        </w:rPr>
        <w:t>,</w:t>
      </w:r>
      <w:r w:rsidRPr="00B854E3">
        <w:rPr>
          <w:rFonts w:cs="Arial"/>
          <w:rtl/>
        </w:rPr>
        <w:t xml:space="preserve"> או משום דלא מקרו לכתחלה כל כך הכא</w:t>
      </w:r>
      <w:r>
        <w:rPr>
          <w:rFonts w:cs="Arial" w:hint="cs"/>
          <w:rtl/>
        </w:rPr>
        <w:t>,</w:t>
      </w:r>
      <w:r w:rsidRPr="00B854E3">
        <w:rPr>
          <w:rFonts w:cs="Arial"/>
          <w:rtl/>
        </w:rPr>
        <w:t xml:space="preserve"> כיון שהיו הגשמים כבר מזלפין בבית אין כל כך לכתחלה כמו מזמנין נכרי</w:t>
      </w:r>
      <w:r>
        <w:rPr>
          <w:rFonts w:cs="Arial" w:hint="cs"/>
          <w:rtl/>
        </w:rPr>
        <w:t>.</w:t>
      </w:r>
    </w:p>
  </w:footnote>
  <w:footnote w:id="1681">
    <w:p w14:paraId="079B20A6" w14:textId="58DF9550" w:rsidR="00B854E3" w:rsidRDefault="00B854E3" w:rsidP="00285819">
      <w:pPr>
        <w:pStyle w:val="a7"/>
      </w:pPr>
      <w:r>
        <w:rPr>
          <w:rStyle w:val="a9"/>
        </w:rPr>
        <w:footnoteRef/>
      </w:r>
      <w:r>
        <w:rPr>
          <w:rtl/>
        </w:rPr>
        <w:t xml:space="preserve"> </w:t>
      </w:r>
      <w:r>
        <w:rPr>
          <w:rFonts w:hint="cs"/>
          <w:rtl/>
        </w:rPr>
        <w:t xml:space="preserve">וז"ל- </w:t>
      </w:r>
      <w:r>
        <w:rPr>
          <w:rFonts w:cs="Arial" w:hint="cs"/>
          <w:rtl/>
        </w:rPr>
        <w:t>ואע"ג</w:t>
      </w:r>
      <w:r w:rsidRPr="00B854E3">
        <w:rPr>
          <w:rFonts w:cs="Arial"/>
          <w:rtl/>
        </w:rPr>
        <w:t xml:space="preserve"> דאין עושין גרף של ריעי לכתחלה כדאמרינן לעיל גבי שיורי כוסות</w:t>
      </w:r>
      <w:r>
        <w:rPr>
          <w:rFonts w:cs="Arial" w:hint="cs"/>
          <w:rtl/>
        </w:rPr>
        <w:t>,</w:t>
      </w:r>
      <w:r w:rsidRPr="00B854E3">
        <w:rPr>
          <w:rFonts w:cs="Arial"/>
          <w:rtl/>
        </w:rPr>
        <w:t xml:space="preserve"> משום הפסד ממונו שרי</w:t>
      </w:r>
      <w:r>
        <w:rPr>
          <w:rFonts w:cs="Arial" w:hint="cs"/>
          <w:rtl/>
        </w:rPr>
        <w:t>,</w:t>
      </w:r>
      <w:r w:rsidRPr="00B854E3">
        <w:rPr>
          <w:rFonts w:cs="Arial"/>
          <w:rtl/>
        </w:rPr>
        <w:t xml:space="preserve"> א"נ לא היה עושה גרף אלא שהכניס מטתו ומימאסי לי' הריחים לפני מטתו ומפיק להו לברא. העתק מן התוס'</w:t>
      </w:r>
      <w:r>
        <w:rPr>
          <w:rFonts w:cs="Arial" w:hint="cs"/>
          <w:rtl/>
        </w:rPr>
        <w:t>.</w:t>
      </w:r>
    </w:p>
  </w:footnote>
  <w:footnote w:id="1682">
    <w:p w14:paraId="5B0960A8" w14:textId="74A9C9D5" w:rsidR="00D5290E" w:rsidRDefault="00D5290E" w:rsidP="00285819">
      <w:pPr>
        <w:pStyle w:val="a7"/>
        <w:rPr>
          <w:rtl/>
        </w:rPr>
      </w:pPr>
      <w:r>
        <w:rPr>
          <w:rStyle w:val="a9"/>
        </w:rPr>
        <w:footnoteRef/>
      </w:r>
      <w:r>
        <w:rPr>
          <w:rtl/>
        </w:rPr>
        <w:t xml:space="preserve"> </w:t>
      </w:r>
      <w:r>
        <w:rPr>
          <w:rFonts w:cs="Arial" w:hint="cs"/>
          <w:rtl/>
        </w:rPr>
        <w:t xml:space="preserve">וז"ל שם- </w:t>
      </w:r>
      <w:r w:rsidRPr="0068178D">
        <w:rPr>
          <w:rFonts w:cs="Arial"/>
          <w:rtl/>
        </w:rPr>
        <w:t>נותנין כלי תחת הדלף ואם נתמלא הכלי שופך ושונה ואינו נמנע, והוא שיהיה הדלף ראוי לרחיצה</w:t>
      </w:r>
      <w:r>
        <w:rPr>
          <w:rFonts w:cs="Arial" w:hint="cs"/>
          <w:rtl/>
        </w:rPr>
        <w:t>.</w:t>
      </w:r>
      <w:r w:rsidRPr="0068178D">
        <w:rPr>
          <w:rFonts w:cs="Arial"/>
          <w:rtl/>
        </w:rPr>
        <w:t xml:space="preserve"> אבל אם אינו ראוי </w:t>
      </w:r>
      <w:r>
        <w:rPr>
          <w:rFonts w:cs="Arial" w:hint="cs"/>
          <w:rtl/>
        </w:rPr>
        <w:t xml:space="preserve">- </w:t>
      </w:r>
      <w:r w:rsidRPr="0068178D">
        <w:rPr>
          <w:rFonts w:cs="Arial"/>
          <w:rtl/>
        </w:rPr>
        <w:t>אין נותנין</w:t>
      </w:r>
      <w:r>
        <w:rPr>
          <w:rFonts w:cs="Arial" w:hint="cs"/>
          <w:rtl/>
        </w:rPr>
        <w:t>,</w:t>
      </w:r>
      <w:r w:rsidRPr="0068178D">
        <w:rPr>
          <w:rFonts w:cs="Arial"/>
          <w:rtl/>
        </w:rPr>
        <w:t xml:space="preserve"> ואם נתן מותר לטלטלו במים המאוסין שבו, שאין עושין גרף של רעי לכתחלה</w:t>
      </w:r>
      <w:r>
        <w:rPr>
          <w:rFonts w:cs="Arial" w:hint="cs"/>
          <w:rtl/>
        </w:rPr>
        <w:t>.</w:t>
      </w:r>
    </w:p>
  </w:footnote>
  <w:footnote w:id="1683">
    <w:p w14:paraId="7E4C8D72" w14:textId="77777777" w:rsidR="007F0A6D" w:rsidRDefault="007F0A6D" w:rsidP="00285819">
      <w:pPr>
        <w:pStyle w:val="a7"/>
        <w:rPr>
          <w:rtl/>
        </w:rPr>
      </w:pPr>
      <w:r>
        <w:rPr>
          <w:rStyle w:val="a9"/>
        </w:rPr>
        <w:footnoteRef/>
      </w:r>
      <w:r>
        <w:rPr>
          <w:rtl/>
        </w:rPr>
        <w:t xml:space="preserve"> </w:t>
      </w:r>
      <w:r w:rsidRPr="00BC3AD9">
        <w:rPr>
          <w:rFonts w:cs="Arial"/>
          <w:rtl/>
        </w:rPr>
        <w:t xml:space="preserve">באמרם </w:t>
      </w:r>
      <w:r>
        <w:rPr>
          <w:rFonts w:cs="Arial" w:hint="cs"/>
          <w:rtl/>
        </w:rPr>
        <w:t>'</w:t>
      </w:r>
      <w:r w:rsidRPr="00BC3AD9">
        <w:rPr>
          <w:rFonts w:cs="Arial"/>
          <w:rtl/>
        </w:rPr>
        <w:t>לכתחלה</w:t>
      </w:r>
      <w:r>
        <w:rPr>
          <w:rFonts w:cs="Arial" w:hint="cs"/>
          <w:rtl/>
        </w:rPr>
        <w:t>'</w:t>
      </w:r>
      <w:r w:rsidRPr="00BC3AD9">
        <w:rPr>
          <w:rFonts w:cs="Arial"/>
          <w:rtl/>
        </w:rPr>
        <w:t xml:space="preserve"> למד רבינו שאם עבר ועשה מותר לטלטלו שאם אסור למה אין עושין אותו לכתחלה ומה הפסד יש בעשייתו אם לא היה מותר לטלטלו לכשנעשה</w:t>
      </w:r>
      <w:r>
        <w:rPr>
          <w:rFonts w:cs="Arial" w:hint="cs"/>
          <w:rtl/>
        </w:rPr>
        <w:t>,</w:t>
      </w:r>
      <w:r w:rsidRPr="005F4DD7">
        <w:rPr>
          <w:rFonts w:cs="Arial"/>
          <w:rtl/>
        </w:rPr>
        <w:t xml:space="preserve"> הה</w:t>
      </w:r>
      <w:r>
        <w:rPr>
          <w:rFonts w:cs="Arial" w:hint="cs"/>
          <w:rtl/>
        </w:rPr>
        <w:t>"</w:t>
      </w:r>
      <w:r w:rsidRPr="005F4DD7">
        <w:rPr>
          <w:rFonts w:cs="Arial"/>
          <w:rtl/>
        </w:rPr>
        <w:t>מ (פכ"ה הכ"ד)</w:t>
      </w:r>
      <w:r>
        <w:rPr>
          <w:rFonts w:cs="Arial" w:hint="cs"/>
          <w:rtl/>
        </w:rPr>
        <w:t>.</w:t>
      </w:r>
    </w:p>
  </w:footnote>
  <w:footnote w:id="1684">
    <w:p w14:paraId="460C3633" w14:textId="159B4EFB" w:rsidR="00F45317" w:rsidRDefault="00F45317" w:rsidP="00285819">
      <w:pPr>
        <w:pStyle w:val="a7"/>
        <w:rPr>
          <w:rtl/>
        </w:rPr>
      </w:pPr>
      <w:r>
        <w:rPr>
          <w:rStyle w:val="a9"/>
        </w:rPr>
        <w:footnoteRef/>
      </w:r>
      <w:r>
        <w:rPr>
          <w:rtl/>
        </w:rPr>
        <w:t xml:space="preserve"> </w:t>
      </w:r>
      <w:r w:rsidRPr="00F45317">
        <w:rPr>
          <w:rFonts w:cs="Arial"/>
          <w:rtl/>
        </w:rPr>
        <w:t>נראה לי דלאו למימרא דדוקא קודם שימאס הוא דשרי לקבוע ישיבתו אצלו כדי להוציאו לכשימאס אבל אם כבר נמאס אסור לקבוע ישיבתו אצלו</w:t>
      </w:r>
      <w:r>
        <w:rPr>
          <w:rFonts w:cs="Arial" w:hint="cs"/>
          <w:rtl/>
        </w:rPr>
        <w:t>,</w:t>
      </w:r>
      <w:r w:rsidRPr="00F45317">
        <w:rPr>
          <w:rFonts w:cs="Arial"/>
          <w:rtl/>
        </w:rPr>
        <w:t xml:space="preserve"> דאם כן אתי דלא כתוספות (שם) ודלא כהרא"ש (שו"ת שם)</w:t>
      </w:r>
      <w:r>
        <w:rPr>
          <w:rFonts w:cs="Arial" w:hint="cs"/>
          <w:rtl/>
        </w:rPr>
        <w:t>,</w:t>
      </w:r>
      <w:r w:rsidRPr="00F45317">
        <w:rPr>
          <w:rFonts w:cs="Arial"/>
          <w:rtl/>
        </w:rPr>
        <w:t xml:space="preserve"> דאינהו שרו בכל גווני כל שאינו עושה הגרף בידים</w:t>
      </w:r>
      <w:r>
        <w:rPr>
          <w:rFonts w:cs="Arial" w:hint="cs"/>
          <w:rtl/>
        </w:rPr>
        <w:t>.</w:t>
      </w:r>
      <w:r w:rsidRPr="00F45317">
        <w:rPr>
          <w:rFonts w:cs="Arial"/>
          <w:rtl/>
        </w:rPr>
        <w:t xml:space="preserve"> אלא היינו לומר שמותר לקבוע ישיבתו אצלו</w:t>
      </w:r>
      <w:r>
        <w:rPr>
          <w:rFonts w:cs="Arial" w:hint="cs"/>
          <w:rtl/>
        </w:rPr>
        <w:t>,</w:t>
      </w:r>
      <w:r w:rsidRPr="00F45317">
        <w:rPr>
          <w:rFonts w:cs="Arial"/>
          <w:rtl/>
        </w:rPr>
        <w:t xml:space="preserve"> וכשישהה שם מעט תתאונן דעתו עליו מחמת המיאוס ויוציאנו</w:t>
      </w:r>
      <w:r>
        <w:rPr>
          <w:rFonts w:cs="Arial" w:hint="cs"/>
          <w:rtl/>
        </w:rPr>
        <w:t>,</w:t>
      </w:r>
      <w:r w:rsidRPr="00F45317">
        <w:rPr>
          <w:rFonts w:cs="Arial"/>
          <w:rtl/>
        </w:rPr>
        <w:t xml:space="preserve"> וכדברי התוספות והרא"ש ז"ל</w:t>
      </w:r>
      <w:r>
        <w:rPr>
          <w:rFonts w:hint="cs"/>
          <w:rtl/>
        </w:rPr>
        <w:t>, ב"י.</w:t>
      </w:r>
    </w:p>
  </w:footnote>
  <w:footnote w:id="1685">
    <w:p w14:paraId="4B0B2371" w14:textId="577C6DC4" w:rsidR="003E790F" w:rsidRPr="00A522D2" w:rsidRDefault="003E790F" w:rsidP="00285819">
      <w:pPr>
        <w:pStyle w:val="a7"/>
        <w:rPr>
          <w:rFonts w:cs="Arial"/>
        </w:rPr>
      </w:pPr>
      <w:r>
        <w:rPr>
          <w:rStyle w:val="a9"/>
        </w:rPr>
        <w:footnoteRef/>
      </w:r>
      <w:r>
        <w:rPr>
          <w:rtl/>
        </w:rPr>
        <w:t xml:space="preserve"> </w:t>
      </w:r>
      <w:r w:rsidRPr="00F45317">
        <w:rPr>
          <w:rFonts w:cs="Arial"/>
          <w:rtl/>
        </w:rPr>
        <w:t>משמע דקביעות ישיבה מיהא בעינן</w:t>
      </w:r>
      <w:r>
        <w:rPr>
          <w:rFonts w:cs="Arial" w:hint="cs"/>
          <w:rtl/>
        </w:rPr>
        <w:t>,</w:t>
      </w:r>
      <w:r w:rsidRPr="00F45317">
        <w:rPr>
          <w:rFonts w:cs="Arial"/>
          <w:rtl/>
        </w:rPr>
        <w:t xml:space="preserve"> כגון מטה לשכב או שולחן לאכול</w:t>
      </w:r>
      <w:r>
        <w:rPr>
          <w:rFonts w:cs="Arial" w:hint="cs"/>
          <w:rtl/>
        </w:rPr>
        <w:t>,</w:t>
      </w:r>
      <w:r w:rsidRPr="00F45317">
        <w:rPr>
          <w:rFonts w:cs="Arial"/>
          <w:rtl/>
        </w:rPr>
        <w:t xml:space="preserve"> אבל ישיבה גרידא לא חשיבא להוציא הגרף על</w:t>
      </w:r>
      <w:r>
        <w:rPr>
          <w:rFonts w:cs="Arial" w:hint="cs"/>
          <w:rtl/>
        </w:rPr>
        <w:t xml:space="preserve"> יד</w:t>
      </w:r>
      <w:r w:rsidRPr="00F45317">
        <w:rPr>
          <w:rFonts w:cs="Arial"/>
          <w:rtl/>
        </w:rPr>
        <w:t>י כך</w:t>
      </w:r>
      <w:r>
        <w:rPr>
          <w:rFonts w:cs="Arial" w:hint="cs"/>
          <w:rtl/>
        </w:rPr>
        <w:t>,</w:t>
      </w:r>
      <w:r w:rsidRPr="00F45317">
        <w:rPr>
          <w:rFonts w:cs="Arial"/>
          <w:rtl/>
        </w:rPr>
        <w:t xml:space="preserve"> דאמרינן ליה קום פוק כיון דמעיקרא לא היה יושב שם ועכשיו נכנס דרך עראי</w:t>
      </w:r>
      <w:r w:rsidR="00A522D2">
        <w:rPr>
          <w:rFonts w:cs="Arial" w:hint="cs"/>
          <w:rtl/>
        </w:rPr>
        <w:t>, ב"י</w:t>
      </w:r>
      <w:r>
        <w:rPr>
          <w:rFonts w:cs="Arial" w:hint="cs"/>
          <w:rtl/>
        </w:rPr>
        <w:t>.</w:t>
      </w:r>
      <w:r w:rsidRPr="00F45317">
        <w:rPr>
          <w:rFonts w:cs="Arial"/>
          <w:rtl/>
        </w:rPr>
        <w:t xml:space="preserve"> </w:t>
      </w:r>
      <w:r w:rsidR="00A522D2" w:rsidRPr="0068178D">
        <w:rPr>
          <w:rFonts w:cs="Arial" w:hint="cs"/>
          <w:color w:val="E36C0A" w:themeColor="accent6" w:themeShade="BF"/>
          <w:rtl/>
        </w:rPr>
        <w:t>(וכ"פ בשו"ע</w:t>
      </w:r>
      <w:r w:rsidR="00A522D2">
        <w:rPr>
          <w:rFonts w:cs="Arial" w:hint="cs"/>
          <w:color w:val="E36C0A" w:themeColor="accent6" w:themeShade="BF"/>
          <w:sz w:val="16"/>
          <w:szCs w:val="16"/>
          <w:rtl/>
        </w:rPr>
        <w:t xml:space="preserve"> </w:t>
      </w:r>
      <w:r w:rsidR="00A522D2" w:rsidRPr="00D5290E">
        <w:rPr>
          <w:rFonts w:cs="Arial" w:hint="cs"/>
          <w:color w:val="000000" w:themeColor="text1"/>
          <w:sz w:val="16"/>
          <w:szCs w:val="16"/>
          <w:rtl/>
        </w:rPr>
        <w:t>[</w:t>
      </w:r>
      <w:r w:rsidR="00A522D2">
        <w:rPr>
          <w:rFonts w:cs="Arial" w:hint="cs"/>
          <w:color w:val="000000" w:themeColor="text1"/>
          <w:sz w:val="16"/>
          <w:szCs w:val="16"/>
          <w:rtl/>
        </w:rPr>
        <w:t>בסע' הבא</w:t>
      </w:r>
      <w:r w:rsidR="00A522D2" w:rsidRPr="00D5290E">
        <w:rPr>
          <w:rFonts w:cs="Arial" w:hint="cs"/>
          <w:color w:val="000000" w:themeColor="text1"/>
          <w:sz w:val="16"/>
          <w:szCs w:val="16"/>
          <w:rtl/>
        </w:rPr>
        <w:t>]</w:t>
      </w:r>
      <w:r w:rsidR="00A522D2" w:rsidRPr="0068178D">
        <w:rPr>
          <w:rFonts w:cs="Arial" w:hint="cs"/>
          <w:color w:val="E36C0A" w:themeColor="accent6" w:themeShade="BF"/>
          <w:rtl/>
        </w:rPr>
        <w:t>)</w:t>
      </w:r>
      <w:r>
        <w:rPr>
          <w:rFonts w:cs="Arial" w:hint="cs"/>
          <w:rtl/>
        </w:rPr>
        <w:t>.</w:t>
      </w:r>
    </w:p>
  </w:footnote>
  <w:footnote w:id="1686">
    <w:p w14:paraId="455E74E8" w14:textId="57A5025E" w:rsidR="003E790F" w:rsidRDefault="003E790F" w:rsidP="00285819">
      <w:pPr>
        <w:pStyle w:val="a7"/>
      </w:pPr>
      <w:r>
        <w:rPr>
          <w:rStyle w:val="a9"/>
        </w:rPr>
        <w:footnoteRef/>
      </w:r>
      <w:r>
        <w:rPr>
          <w:rtl/>
        </w:rPr>
        <w:t xml:space="preserve"> </w:t>
      </w:r>
      <w:r w:rsidRPr="00F45317">
        <w:rPr>
          <w:rFonts w:cs="Arial"/>
          <w:rtl/>
        </w:rPr>
        <w:t>אע</w:t>
      </w:r>
      <w:r>
        <w:rPr>
          <w:rFonts w:cs="Arial" w:hint="cs"/>
          <w:rtl/>
        </w:rPr>
        <w:t>"</w:t>
      </w:r>
      <w:r w:rsidRPr="00F45317">
        <w:rPr>
          <w:rFonts w:cs="Arial"/>
          <w:rtl/>
        </w:rPr>
        <w:t>ג דרבה לא אמר ליה לאביי אלא עייל פורייך להתם</w:t>
      </w:r>
      <w:r>
        <w:rPr>
          <w:rFonts w:cs="Arial" w:hint="cs"/>
          <w:rtl/>
        </w:rPr>
        <w:t>,</w:t>
      </w:r>
      <w:r w:rsidRPr="00F45317">
        <w:rPr>
          <w:rFonts w:cs="Arial"/>
          <w:rtl/>
        </w:rPr>
        <w:t xml:space="preserve"> משמע ליה דפוריך לאו דוקא</w:t>
      </w:r>
      <w:r>
        <w:rPr>
          <w:rFonts w:cs="Arial" w:hint="cs"/>
          <w:rtl/>
        </w:rPr>
        <w:t>.</w:t>
      </w:r>
      <w:r w:rsidRPr="00F45317">
        <w:rPr>
          <w:rFonts w:cs="Arial"/>
          <w:rtl/>
        </w:rPr>
        <w:t xml:space="preserve"> וכן כתב הרא"ש בתשובה (שם) גבי חילוקי המוקצה מותר להכניס מטתו או כלי תשמישו לגרום להיות גרף להוציאו</w:t>
      </w:r>
      <w:r>
        <w:rPr>
          <w:rFonts w:cs="Arial" w:hint="cs"/>
          <w:rtl/>
        </w:rPr>
        <w:t>, ב"י.</w:t>
      </w:r>
    </w:p>
  </w:footnote>
  <w:footnote w:id="1687">
    <w:p w14:paraId="200B2A64" w14:textId="761B374B" w:rsidR="00A522D2" w:rsidRDefault="00A522D2" w:rsidP="00285819">
      <w:pPr>
        <w:pStyle w:val="a7"/>
        <w:rPr>
          <w:rtl/>
        </w:rPr>
      </w:pPr>
      <w:r>
        <w:rPr>
          <w:rStyle w:val="a9"/>
        </w:rPr>
        <w:footnoteRef/>
      </w:r>
      <w:r>
        <w:rPr>
          <w:rtl/>
        </w:rPr>
        <w:t xml:space="preserve"> </w:t>
      </w:r>
      <w:r w:rsidRPr="003E790F">
        <w:rPr>
          <w:rFonts w:cs="Arial"/>
          <w:rtl/>
        </w:rPr>
        <w:t>שמעתי שהורה אחד מחכמי הדור לאדם אחד שרתחה חבית של צבע שלו והיה יוצא כל הצבע ונשפך לארץ</w:t>
      </w:r>
      <w:r w:rsidRPr="003E790F">
        <w:rPr>
          <w:rFonts w:cs="Arial" w:hint="cs"/>
          <w:rtl/>
        </w:rPr>
        <w:t>,</w:t>
      </w:r>
      <w:r w:rsidRPr="003E790F">
        <w:rPr>
          <w:rFonts w:cs="Arial"/>
          <w:rtl/>
        </w:rPr>
        <w:t xml:space="preserve"> שיקבע שם מטתו או שולחנו ואז יהא הצבע נמאס בעיניו ויוציאנו משם בכלים</w:t>
      </w:r>
      <w:r w:rsidRPr="003E790F">
        <w:rPr>
          <w:rFonts w:cs="Arial" w:hint="cs"/>
          <w:rtl/>
        </w:rPr>
        <w:t>,</w:t>
      </w:r>
      <w:r w:rsidRPr="003E790F">
        <w:rPr>
          <w:rFonts w:cs="Arial"/>
          <w:rtl/>
        </w:rPr>
        <w:t xml:space="preserve"> והיינו מהאי עובדא דריחייא</w:t>
      </w:r>
      <w:r w:rsidRPr="003E790F">
        <w:rPr>
          <w:rFonts w:cs="Arial" w:hint="cs"/>
          <w:rtl/>
        </w:rPr>
        <w:t>,</w:t>
      </w:r>
      <w:r w:rsidRPr="003E790F">
        <w:rPr>
          <w:rFonts w:cs="Arial"/>
          <w:rtl/>
        </w:rPr>
        <w:t xml:space="preserve"> ויפה הורה אם היה בבית</w:t>
      </w:r>
      <w:r w:rsidRPr="003E790F">
        <w:rPr>
          <w:rFonts w:cs="Arial" w:hint="cs"/>
          <w:rtl/>
        </w:rPr>
        <w:t>,</w:t>
      </w:r>
      <w:r w:rsidRPr="003E790F">
        <w:rPr>
          <w:rFonts w:cs="Arial"/>
          <w:rtl/>
        </w:rPr>
        <w:t xml:space="preserve"> אבל אם היה בחצר נראה מדברי הה</w:t>
      </w:r>
      <w:r w:rsidRPr="003E790F">
        <w:rPr>
          <w:rFonts w:cs="Arial" w:hint="cs"/>
          <w:rtl/>
        </w:rPr>
        <w:t>"</w:t>
      </w:r>
      <w:r w:rsidRPr="003E790F">
        <w:rPr>
          <w:rFonts w:cs="Arial"/>
          <w:rtl/>
        </w:rPr>
        <w:t>מ שאסור</w:t>
      </w:r>
      <w:r w:rsidRPr="003E790F">
        <w:rPr>
          <w:rFonts w:cs="Arial" w:hint="cs"/>
          <w:rtl/>
        </w:rPr>
        <w:t>,</w:t>
      </w:r>
      <w:r w:rsidRPr="003E790F">
        <w:rPr>
          <w:rFonts w:cs="Arial"/>
          <w:rtl/>
        </w:rPr>
        <w:t xml:space="preserve"> שכתב בפכ"ה (שם) וז</w:t>
      </w:r>
      <w:r w:rsidRPr="003E790F">
        <w:rPr>
          <w:rFonts w:cs="Arial" w:hint="cs"/>
          <w:rtl/>
        </w:rPr>
        <w:t>"ל:</w:t>
      </w:r>
      <w:r w:rsidRPr="003E790F">
        <w:rPr>
          <w:rFonts w:cs="Arial"/>
          <w:rtl/>
        </w:rPr>
        <w:t xml:space="preserve"> והמפרשים (ראב"ד שם) למדו ממעשה זה דבמקום הפסד </w:t>
      </w:r>
      <w:r>
        <w:rPr>
          <w:rFonts w:cs="Arial" w:hint="cs"/>
          <w:rtl/>
        </w:rPr>
        <w:t>[</w:t>
      </w:r>
      <w:r w:rsidRPr="003E790F">
        <w:rPr>
          <w:rFonts w:cs="Arial"/>
          <w:rtl/>
        </w:rPr>
        <w:t>אם</w:t>
      </w:r>
      <w:r>
        <w:rPr>
          <w:rFonts w:cs="Arial" w:hint="cs"/>
          <w:rtl/>
        </w:rPr>
        <w:t>]</w:t>
      </w:r>
      <w:r w:rsidRPr="003E790F">
        <w:rPr>
          <w:rFonts w:cs="Arial"/>
          <w:rtl/>
        </w:rPr>
        <w:t xml:space="preserve"> יש שם דירה יכול לשים מטתו שם כדי שיהיה כגרף של רעי</w:t>
      </w:r>
      <w:r>
        <w:rPr>
          <w:rFonts w:cs="Arial" w:hint="cs"/>
          <w:sz w:val="16"/>
          <w:szCs w:val="16"/>
          <w:rtl/>
        </w:rPr>
        <w:t xml:space="preserve"> [עכ"ל]</w:t>
      </w:r>
      <w:r w:rsidRPr="003E790F">
        <w:rPr>
          <w:rFonts w:cs="Arial"/>
          <w:rtl/>
        </w:rPr>
        <w:t xml:space="preserve">. דמשמע דאם אינו בית דירה </w:t>
      </w:r>
      <w:r w:rsidRPr="003E790F">
        <w:rPr>
          <w:rFonts w:cs="Arial" w:hint="cs"/>
          <w:rtl/>
        </w:rPr>
        <w:t xml:space="preserve">- </w:t>
      </w:r>
      <w:r w:rsidRPr="003E790F">
        <w:rPr>
          <w:rFonts w:cs="Arial"/>
          <w:rtl/>
        </w:rPr>
        <w:t>לא</w:t>
      </w:r>
      <w:r w:rsidRPr="003E790F">
        <w:rPr>
          <w:rFonts w:cs="Arial" w:hint="cs"/>
          <w:rtl/>
        </w:rPr>
        <w:t>,</w:t>
      </w:r>
      <w:r w:rsidRPr="003E790F">
        <w:rPr>
          <w:rFonts w:cs="Arial"/>
          <w:rtl/>
        </w:rPr>
        <w:t xml:space="preserve"> משום דמינכרא הערמתו</w:t>
      </w:r>
      <w:r>
        <w:rPr>
          <w:rFonts w:cs="Arial" w:hint="cs"/>
          <w:rtl/>
        </w:rPr>
        <w:t xml:space="preserve"> </w:t>
      </w:r>
      <w:r>
        <w:rPr>
          <w:rFonts w:cs="Arial" w:hint="cs"/>
          <w:sz w:val="16"/>
          <w:szCs w:val="16"/>
          <w:rtl/>
        </w:rPr>
        <w:t>(</w:t>
      </w:r>
      <w:r w:rsidRPr="00802D40">
        <w:rPr>
          <w:rFonts w:cs="Arial"/>
          <w:sz w:val="16"/>
          <w:szCs w:val="16"/>
          <w:rtl/>
        </w:rPr>
        <w:t>והרא"ש כתב בתשובה בחילוקי המוקצה התירו לטלטל גרף של רעי וכו' והני מילי בבית</w:t>
      </w:r>
      <w:r w:rsidRPr="00802D40">
        <w:rPr>
          <w:rFonts w:cs="Arial" w:hint="cs"/>
          <w:sz w:val="16"/>
          <w:szCs w:val="16"/>
          <w:rtl/>
        </w:rPr>
        <w:t>,</w:t>
      </w:r>
      <w:r w:rsidRPr="00802D40">
        <w:rPr>
          <w:rFonts w:cs="Arial"/>
          <w:sz w:val="16"/>
          <w:szCs w:val="16"/>
          <w:rtl/>
        </w:rPr>
        <w:t xml:space="preserve"> אבל בחצר או במקום שאין אדם מקפיד עליו </w:t>
      </w:r>
      <w:r w:rsidRPr="00802D40">
        <w:rPr>
          <w:rFonts w:cs="Arial" w:hint="cs"/>
          <w:sz w:val="16"/>
          <w:szCs w:val="16"/>
          <w:rtl/>
        </w:rPr>
        <w:t xml:space="preserve">- </w:t>
      </w:r>
      <w:r w:rsidRPr="00802D40">
        <w:rPr>
          <w:rFonts w:cs="Arial"/>
          <w:sz w:val="16"/>
          <w:szCs w:val="16"/>
          <w:rtl/>
        </w:rPr>
        <w:t>לא ואסור לעשות גרף של רעי לכתחלה</w:t>
      </w:r>
      <w:r w:rsidRPr="00802D40">
        <w:rPr>
          <w:rFonts w:cs="Arial" w:hint="cs"/>
          <w:sz w:val="16"/>
          <w:szCs w:val="16"/>
          <w:rtl/>
        </w:rPr>
        <w:t>,</w:t>
      </w:r>
      <w:r w:rsidRPr="00802D40">
        <w:rPr>
          <w:rFonts w:cs="Arial"/>
          <w:sz w:val="16"/>
          <w:szCs w:val="16"/>
          <w:rtl/>
        </w:rPr>
        <w:t xml:space="preserve"> אבל אם הוא במקום שאדם מקפיד מותר להכניס מטתו או כלי תשמישו לגרום להיות גרף להוציאו עכ"ל</w:t>
      </w:r>
      <w:r w:rsidRPr="00802D40">
        <w:rPr>
          <w:rFonts w:cs="Arial" w:hint="cs"/>
          <w:sz w:val="16"/>
          <w:szCs w:val="16"/>
          <w:rtl/>
        </w:rPr>
        <w:t>.</w:t>
      </w:r>
      <w:r w:rsidRPr="00802D40">
        <w:rPr>
          <w:rFonts w:cs="Arial"/>
          <w:sz w:val="16"/>
          <w:szCs w:val="16"/>
          <w:rtl/>
        </w:rPr>
        <w:t xml:space="preserve"> ומשמע דמקום שאדם מקפיד דקאמר</w:t>
      </w:r>
      <w:r w:rsidRPr="00802D40">
        <w:rPr>
          <w:rFonts w:cs="Arial" w:hint="cs"/>
          <w:sz w:val="16"/>
          <w:szCs w:val="16"/>
          <w:rtl/>
        </w:rPr>
        <w:t>,</w:t>
      </w:r>
      <w:r w:rsidRPr="00802D40">
        <w:rPr>
          <w:rFonts w:cs="Arial"/>
          <w:sz w:val="16"/>
          <w:szCs w:val="16"/>
          <w:rtl/>
        </w:rPr>
        <w:t xml:space="preserve"> היינו שהוא בית דירה וכיוצא</w:t>
      </w:r>
      <w:r w:rsidRPr="00802D40">
        <w:rPr>
          <w:rFonts w:cs="Arial" w:hint="cs"/>
          <w:sz w:val="16"/>
          <w:szCs w:val="16"/>
          <w:rtl/>
        </w:rPr>
        <w:t>,</w:t>
      </w:r>
      <w:r w:rsidRPr="00802D40">
        <w:rPr>
          <w:rFonts w:cs="Arial"/>
          <w:sz w:val="16"/>
          <w:szCs w:val="16"/>
          <w:rtl/>
        </w:rPr>
        <w:t xml:space="preserve"> שדרך בני אדם להקפיד שלא יהא שם גרף לפי שדרכו לדור שם</w:t>
      </w:r>
      <w:r w:rsidRPr="00802D40">
        <w:rPr>
          <w:rFonts w:cs="Arial" w:hint="cs"/>
          <w:sz w:val="16"/>
          <w:szCs w:val="16"/>
          <w:rtl/>
        </w:rPr>
        <w:t>,</w:t>
      </w:r>
      <w:r w:rsidRPr="00802D40">
        <w:rPr>
          <w:rFonts w:cs="Arial"/>
          <w:sz w:val="16"/>
          <w:szCs w:val="16"/>
          <w:rtl/>
        </w:rPr>
        <w:t xml:space="preserve"> אע</w:t>
      </w:r>
      <w:r w:rsidRPr="00802D40">
        <w:rPr>
          <w:rFonts w:cs="Arial" w:hint="cs"/>
          <w:sz w:val="16"/>
          <w:szCs w:val="16"/>
          <w:rtl/>
        </w:rPr>
        <w:t>"</w:t>
      </w:r>
      <w:r w:rsidRPr="00802D40">
        <w:rPr>
          <w:rFonts w:cs="Arial"/>
          <w:sz w:val="16"/>
          <w:szCs w:val="16"/>
          <w:rtl/>
        </w:rPr>
        <w:t>פ שעתה אין קביעותו שם מכניס מטתו או כלי תשמישו וימאס בעיניו ויוציאנו</w:t>
      </w:r>
      <w:r w:rsidRPr="00802D40">
        <w:rPr>
          <w:rFonts w:cs="Arial" w:hint="cs"/>
          <w:sz w:val="16"/>
          <w:szCs w:val="16"/>
          <w:rtl/>
        </w:rPr>
        <w:t>,</w:t>
      </w:r>
      <w:r w:rsidRPr="00802D40">
        <w:rPr>
          <w:rFonts w:cs="Arial"/>
          <w:sz w:val="16"/>
          <w:szCs w:val="16"/>
          <w:rtl/>
        </w:rPr>
        <w:t xml:space="preserve"> אבל אם הוא מקום שאין אדם מקפיד</w:t>
      </w:r>
      <w:r w:rsidRPr="00802D40">
        <w:rPr>
          <w:rFonts w:cs="Arial" w:hint="cs"/>
          <w:sz w:val="16"/>
          <w:szCs w:val="16"/>
          <w:rtl/>
        </w:rPr>
        <w:t>,</w:t>
      </w:r>
      <w:r w:rsidRPr="00802D40">
        <w:rPr>
          <w:rFonts w:cs="Arial"/>
          <w:sz w:val="16"/>
          <w:szCs w:val="16"/>
          <w:rtl/>
        </w:rPr>
        <w:t xml:space="preserve"> כלומר שהוא במקום שאינו בית דירה כגון חצר וכיוצא בו שאין דרך בני אדם להקפיד על גרף כשהוא שם </w:t>
      </w:r>
      <w:r w:rsidRPr="00802D40">
        <w:rPr>
          <w:rFonts w:cs="Arial" w:hint="cs"/>
          <w:sz w:val="16"/>
          <w:szCs w:val="16"/>
          <w:rtl/>
        </w:rPr>
        <w:t xml:space="preserve">- </w:t>
      </w:r>
      <w:r w:rsidRPr="00802D40">
        <w:rPr>
          <w:rFonts w:cs="Arial"/>
          <w:sz w:val="16"/>
          <w:szCs w:val="16"/>
          <w:rtl/>
        </w:rPr>
        <w:t>לא שרינן ליה להוציאו על ידי שיכניס שם מטתו</w:t>
      </w:r>
      <w:r w:rsidRPr="00802D40">
        <w:rPr>
          <w:rFonts w:cs="Arial" w:hint="cs"/>
          <w:sz w:val="16"/>
          <w:szCs w:val="16"/>
          <w:rtl/>
        </w:rPr>
        <w:t>,</w:t>
      </w:r>
      <w:r w:rsidRPr="00802D40">
        <w:rPr>
          <w:rFonts w:cs="Arial"/>
          <w:sz w:val="16"/>
          <w:szCs w:val="16"/>
          <w:rtl/>
        </w:rPr>
        <w:t xml:space="preserve"> דכיון שאינו בית דירה מינכרא הערמתו</w:t>
      </w:r>
      <w:r w:rsidRPr="00802D40">
        <w:rPr>
          <w:rFonts w:cs="Arial" w:hint="cs"/>
          <w:sz w:val="16"/>
          <w:szCs w:val="16"/>
          <w:rtl/>
        </w:rPr>
        <w:t>,</w:t>
      </w:r>
      <w:r w:rsidRPr="00802D40">
        <w:rPr>
          <w:rFonts w:cs="Arial"/>
          <w:sz w:val="16"/>
          <w:szCs w:val="16"/>
          <w:rtl/>
        </w:rPr>
        <w:t xml:space="preserve"> וכדמשמע מדברי הה</w:t>
      </w:r>
      <w:r w:rsidRPr="00802D40">
        <w:rPr>
          <w:rFonts w:cs="Arial" w:hint="cs"/>
          <w:sz w:val="16"/>
          <w:szCs w:val="16"/>
          <w:rtl/>
        </w:rPr>
        <w:t>"</w:t>
      </w:r>
      <w:r w:rsidRPr="00802D40">
        <w:rPr>
          <w:rFonts w:cs="Arial"/>
          <w:sz w:val="16"/>
          <w:szCs w:val="16"/>
          <w:rtl/>
        </w:rPr>
        <w:t>מ</w:t>
      </w:r>
      <w:r w:rsidRPr="00802D40">
        <w:rPr>
          <w:rFonts w:cs="Arial" w:hint="cs"/>
          <w:sz w:val="16"/>
          <w:szCs w:val="16"/>
          <w:rtl/>
        </w:rPr>
        <w:t>.</w:t>
      </w:r>
      <w:r w:rsidRPr="00802D40">
        <w:rPr>
          <w:rFonts w:cs="Arial"/>
          <w:sz w:val="16"/>
          <w:szCs w:val="16"/>
          <w:rtl/>
        </w:rPr>
        <w:t xml:space="preserve"> אלא שמצאתי בנוסחא אחרת כתוב</w:t>
      </w:r>
      <w:r w:rsidRPr="00802D40">
        <w:rPr>
          <w:rFonts w:cs="Arial" w:hint="cs"/>
          <w:sz w:val="16"/>
          <w:szCs w:val="16"/>
          <w:rtl/>
        </w:rPr>
        <w:t>:</w:t>
      </w:r>
      <w:r w:rsidRPr="00802D40">
        <w:rPr>
          <w:rFonts w:cs="Arial"/>
          <w:sz w:val="16"/>
          <w:szCs w:val="16"/>
          <w:rtl/>
        </w:rPr>
        <w:t xml:space="preserve"> </w:t>
      </w:r>
      <w:r w:rsidRPr="00802D40">
        <w:rPr>
          <w:rFonts w:cs="Arial" w:hint="cs"/>
          <w:sz w:val="16"/>
          <w:szCs w:val="16"/>
          <w:rtl/>
        </w:rPr>
        <w:t>'</w:t>
      </w:r>
      <w:r w:rsidRPr="00802D40">
        <w:rPr>
          <w:rFonts w:cs="Arial"/>
          <w:sz w:val="16"/>
          <w:szCs w:val="16"/>
          <w:rtl/>
        </w:rPr>
        <w:t xml:space="preserve">אבל אם הוא במקום </w:t>
      </w:r>
      <w:r w:rsidRPr="00802D40">
        <w:rPr>
          <w:rFonts w:cs="Arial" w:hint="cs"/>
          <w:sz w:val="16"/>
          <w:szCs w:val="16"/>
          <w:rtl/>
        </w:rPr>
        <w:t>[</w:t>
      </w:r>
      <w:r w:rsidRPr="00802D40">
        <w:rPr>
          <w:rFonts w:cs="Arial"/>
          <w:sz w:val="16"/>
          <w:szCs w:val="16"/>
          <w:rtl/>
        </w:rPr>
        <w:t>שאין</w:t>
      </w:r>
      <w:r w:rsidRPr="00802D40">
        <w:rPr>
          <w:rFonts w:cs="Arial" w:hint="cs"/>
          <w:sz w:val="16"/>
          <w:szCs w:val="16"/>
          <w:rtl/>
        </w:rPr>
        <w:t>]</w:t>
      </w:r>
      <w:r w:rsidRPr="00802D40">
        <w:rPr>
          <w:rFonts w:cs="Arial"/>
          <w:sz w:val="16"/>
          <w:szCs w:val="16"/>
          <w:rtl/>
        </w:rPr>
        <w:t xml:space="preserve"> אדם מקפיד מותר להכניס מטתו</w:t>
      </w:r>
      <w:r w:rsidRPr="00802D40">
        <w:rPr>
          <w:rFonts w:cs="Arial" w:hint="cs"/>
          <w:sz w:val="16"/>
          <w:szCs w:val="16"/>
          <w:rtl/>
        </w:rPr>
        <w:t>'.</w:t>
      </w:r>
      <w:r w:rsidRPr="00802D40">
        <w:rPr>
          <w:rFonts w:cs="Arial"/>
          <w:sz w:val="16"/>
          <w:szCs w:val="16"/>
          <w:rtl/>
        </w:rPr>
        <w:t xml:space="preserve"> ומוכיחים הדברים שזו היא הנוסחא האמיתית</w:t>
      </w:r>
      <w:r w:rsidRPr="00802D40">
        <w:rPr>
          <w:rFonts w:cs="Arial" w:hint="cs"/>
          <w:sz w:val="16"/>
          <w:szCs w:val="16"/>
          <w:rtl/>
        </w:rPr>
        <w:t>,</w:t>
      </w:r>
      <w:r w:rsidRPr="00802D40">
        <w:rPr>
          <w:rFonts w:cs="Arial"/>
          <w:sz w:val="16"/>
          <w:szCs w:val="16"/>
          <w:rtl/>
        </w:rPr>
        <w:t xml:space="preserve"> דבמקום שאין אדם מקפיד הוא דצריך להכניס מטתו</w:t>
      </w:r>
      <w:r w:rsidRPr="00802D40">
        <w:rPr>
          <w:rFonts w:cs="Arial" w:hint="cs"/>
          <w:sz w:val="16"/>
          <w:szCs w:val="16"/>
          <w:rtl/>
        </w:rPr>
        <w:t>,</w:t>
      </w:r>
      <w:r w:rsidRPr="00802D40">
        <w:rPr>
          <w:rFonts w:cs="Arial"/>
          <w:sz w:val="16"/>
          <w:szCs w:val="16"/>
          <w:rtl/>
        </w:rPr>
        <w:t xml:space="preserve"> דאילו במקום שאדם מקפיד בלא הכנסת מטה נמי שרי להוציאו</w:t>
      </w:r>
      <w:r>
        <w:rPr>
          <w:rFonts w:cs="Arial" w:hint="cs"/>
          <w:sz w:val="16"/>
          <w:szCs w:val="16"/>
          <w:rtl/>
        </w:rPr>
        <w:t>)</w:t>
      </w:r>
      <w:r w:rsidRPr="00802D40">
        <w:rPr>
          <w:rFonts w:cs="Arial" w:hint="cs"/>
          <w:sz w:val="16"/>
          <w:szCs w:val="16"/>
          <w:rtl/>
        </w:rPr>
        <w:t>.</w:t>
      </w:r>
      <w:r w:rsidRPr="00802D40">
        <w:rPr>
          <w:rFonts w:cs="Arial"/>
          <w:sz w:val="16"/>
          <w:szCs w:val="16"/>
          <w:rtl/>
        </w:rPr>
        <w:t xml:space="preserve"> </w:t>
      </w:r>
      <w:r>
        <w:rPr>
          <w:rFonts w:cs="Arial" w:hint="cs"/>
          <w:rtl/>
        </w:rPr>
        <w:t>ו</w:t>
      </w:r>
      <w:r w:rsidRPr="003E790F">
        <w:rPr>
          <w:rFonts w:cs="Arial"/>
          <w:rtl/>
        </w:rPr>
        <w:t>בדברי הה</w:t>
      </w:r>
      <w:r>
        <w:rPr>
          <w:rFonts w:cs="Arial" w:hint="cs"/>
          <w:rtl/>
        </w:rPr>
        <w:t>"</w:t>
      </w:r>
      <w:r w:rsidRPr="003E790F">
        <w:rPr>
          <w:rFonts w:cs="Arial"/>
          <w:rtl/>
        </w:rPr>
        <w:t xml:space="preserve">מ צריך להגיה "ואין" במקום </w:t>
      </w:r>
      <w:r w:rsidRPr="003E790F">
        <w:rPr>
          <w:rFonts w:cs="Arial" w:hint="cs"/>
          <w:rtl/>
        </w:rPr>
        <w:t>"</w:t>
      </w:r>
      <w:r w:rsidRPr="003E790F">
        <w:rPr>
          <w:rFonts w:cs="Arial"/>
          <w:rtl/>
        </w:rPr>
        <w:t>ואם</w:t>
      </w:r>
      <w:r w:rsidRPr="003E790F">
        <w:rPr>
          <w:rFonts w:cs="Arial" w:hint="cs"/>
          <w:rtl/>
        </w:rPr>
        <w:t>",</w:t>
      </w:r>
      <w:r w:rsidRPr="003E790F">
        <w:rPr>
          <w:rFonts w:cs="Arial"/>
          <w:rtl/>
        </w:rPr>
        <w:t xml:space="preserve"> כלומר</w:t>
      </w:r>
      <w:r>
        <w:rPr>
          <w:rFonts w:cs="Arial" w:hint="cs"/>
          <w:rtl/>
        </w:rPr>
        <w:t xml:space="preserve"> </w:t>
      </w:r>
      <w:r>
        <w:rPr>
          <w:rFonts w:cs="Arial" w:hint="cs"/>
          <w:sz w:val="16"/>
          <w:szCs w:val="16"/>
          <w:rtl/>
        </w:rPr>
        <w:t>{לגרוס בל' הה"מ}</w:t>
      </w:r>
      <w:r>
        <w:rPr>
          <w:rFonts w:cs="Arial" w:hint="cs"/>
          <w:rtl/>
        </w:rPr>
        <w:t>-</w:t>
      </w:r>
      <w:r w:rsidRPr="003E790F">
        <w:rPr>
          <w:rFonts w:cs="Arial"/>
          <w:rtl/>
        </w:rPr>
        <w:t xml:space="preserve"> </w:t>
      </w:r>
      <w:r>
        <w:rPr>
          <w:rFonts w:cs="Arial" w:hint="cs"/>
          <w:rtl/>
        </w:rPr>
        <w:t>'</w:t>
      </w:r>
      <w:r w:rsidRPr="003E790F">
        <w:rPr>
          <w:rFonts w:cs="Arial"/>
          <w:rtl/>
        </w:rPr>
        <w:t>דבמקום הפסד ואין שם דירה יכול לשים מטתו שם</w:t>
      </w:r>
      <w:r>
        <w:rPr>
          <w:rFonts w:cs="Arial" w:hint="cs"/>
          <w:rtl/>
        </w:rPr>
        <w:t>'</w:t>
      </w:r>
      <w:r>
        <w:rPr>
          <w:rFonts w:cs="Arial" w:hint="cs"/>
          <w:sz w:val="16"/>
          <w:szCs w:val="16"/>
          <w:rtl/>
        </w:rPr>
        <w:t xml:space="preserve"> {וכ</w:t>
      </w:r>
      <w:r w:rsidR="00F216AD">
        <w:rPr>
          <w:rFonts w:cs="Arial" w:hint="cs"/>
          <w:sz w:val="16"/>
          <w:szCs w:val="16"/>
          <w:rtl/>
        </w:rPr>
        <w:t>ך</w:t>
      </w:r>
      <w:r>
        <w:rPr>
          <w:rFonts w:cs="Arial" w:hint="cs"/>
          <w:sz w:val="16"/>
          <w:szCs w:val="16"/>
          <w:rtl/>
        </w:rPr>
        <w:t xml:space="preserve"> ה</w:t>
      </w:r>
      <w:r w:rsidR="00F216AD">
        <w:rPr>
          <w:rFonts w:cs="Arial" w:hint="cs"/>
          <w:sz w:val="16"/>
          <w:szCs w:val="16"/>
          <w:rtl/>
        </w:rPr>
        <w:t>יא הגירסא</w:t>
      </w:r>
      <w:r>
        <w:rPr>
          <w:rFonts w:cs="Arial" w:hint="cs"/>
          <w:sz w:val="16"/>
          <w:szCs w:val="16"/>
          <w:rtl/>
        </w:rPr>
        <w:t xml:space="preserve"> לפנינו}</w:t>
      </w:r>
      <w:r w:rsidRPr="003E790F">
        <w:rPr>
          <w:rFonts w:cs="Arial" w:hint="cs"/>
          <w:rtl/>
        </w:rPr>
        <w:t>,</w:t>
      </w:r>
      <w:r w:rsidRPr="003E790F">
        <w:rPr>
          <w:rFonts w:cs="Arial"/>
          <w:rtl/>
        </w:rPr>
        <w:t xml:space="preserve"> שאילו היה שם דירה אפילו לא היה שם הפסד שרי</w:t>
      </w:r>
      <w:r w:rsidRPr="003E790F">
        <w:rPr>
          <w:rFonts w:cs="Arial" w:hint="cs"/>
          <w:rtl/>
        </w:rPr>
        <w:t>,</w:t>
      </w:r>
      <w:r w:rsidRPr="003E790F">
        <w:rPr>
          <w:rFonts w:cs="Arial"/>
          <w:rtl/>
        </w:rPr>
        <w:t xml:space="preserve"> ותו מה צורך לשים מטתו שם הא בלאו הכי הוא מקום שמקפידין עליו ושרי</w:t>
      </w:r>
      <w:r w:rsidRPr="003E790F">
        <w:rPr>
          <w:rFonts w:cs="Arial" w:hint="cs"/>
          <w:rtl/>
        </w:rPr>
        <w:t>.</w:t>
      </w:r>
      <w:r w:rsidRPr="003E790F">
        <w:rPr>
          <w:rFonts w:cs="Arial"/>
          <w:rtl/>
        </w:rPr>
        <w:t xml:space="preserve"> וכך הם דברי הראב"ד בהשגות (שם)</w:t>
      </w:r>
      <w:r w:rsidRPr="003E790F">
        <w:rPr>
          <w:rFonts w:cs="Arial" w:hint="cs"/>
          <w:rtl/>
        </w:rPr>
        <w:t>,</w:t>
      </w:r>
      <w:r w:rsidRPr="003E790F">
        <w:rPr>
          <w:rFonts w:cs="Arial"/>
          <w:rtl/>
        </w:rPr>
        <w:t xml:space="preserve"> וכתב הה</w:t>
      </w:r>
      <w:r>
        <w:rPr>
          <w:rFonts w:cs="Arial" w:hint="cs"/>
          <w:rtl/>
        </w:rPr>
        <w:t>"</w:t>
      </w:r>
      <w:r w:rsidRPr="003E790F">
        <w:rPr>
          <w:rFonts w:cs="Arial"/>
          <w:rtl/>
        </w:rPr>
        <w:t>מ שהם דברים ברורים</w:t>
      </w:r>
      <w:r>
        <w:rPr>
          <w:rFonts w:cs="Arial" w:hint="cs"/>
          <w:rtl/>
        </w:rPr>
        <w:t>, ב"י.</w:t>
      </w:r>
    </w:p>
  </w:footnote>
  <w:footnote w:id="1688">
    <w:p w14:paraId="4A78EA41" w14:textId="338A9A2D" w:rsidR="00ED2CE2" w:rsidRDefault="00ED2CE2" w:rsidP="00285819">
      <w:pPr>
        <w:pStyle w:val="a7"/>
        <w:rPr>
          <w:rtl/>
        </w:rPr>
      </w:pPr>
      <w:r>
        <w:rPr>
          <w:rStyle w:val="a9"/>
        </w:rPr>
        <w:footnoteRef/>
      </w:r>
      <w:r>
        <w:rPr>
          <w:rtl/>
        </w:rPr>
        <w:t xml:space="preserve"> </w:t>
      </w:r>
      <w:r w:rsidRPr="00ED2CE2">
        <w:rPr>
          <w:rFonts w:cs="Arial"/>
          <w:rtl/>
        </w:rPr>
        <w:t>המפרשים למדו ממעשה זה דבמקום הפסד ואין שם דירה יכול לשום מטתו שם כדי שיהא כגרף של רעי</w:t>
      </w:r>
      <w:r w:rsidR="004F41C5">
        <w:rPr>
          <w:rFonts w:cs="Arial" w:hint="cs"/>
          <w:rtl/>
        </w:rPr>
        <w:t>,</w:t>
      </w:r>
      <w:r w:rsidRPr="00ED2CE2">
        <w:rPr>
          <w:rFonts w:cs="Arial"/>
          <w:rtl/>
        </w:rPr>
        <w:t xml:space="preserve"> וזה לא נתבאר בדברי רבינו</w:t>
      </w:r>
      <w:r w:rsidR="004F41C5">
        <w:rPr>
          <w:rFonts w:cs="Arial" w:hint="cs"/>
          <w:rtl/>
        </w:rPr>
        <w:t>,</w:t>
      </w:r>
      <w:r w:rsidRPr="00ED2CE2">
        <w:rPr>
          <w:rFonts w:cs="Arial"/>
          <w:rtl/>
        </w:rPr>
        <w:t xml:space="preserve"> וצ"ע למה לא ביאר זה</w:t>
      </w:r>
      <w:r w:rsidR="004F41C5">
        <w:rPr>
          <w:rFonts w:cs="Arial" w:hint="cs"/>
          <w:rtl/>
        </w:rPr>
        <w:t>,</w:t>
      </w:r>
      <w:r w:rsidRPr="00ED2CE2">
        <w:rPr>
          <w:rFonts w:cs="Arial"/>
          <w:rtl/>
        </w:rPr>
        <w:t xml:space="preserve"> ודברי ההשגות בכאן דברים ברורים</w:t>
      </w:r>
      <w:r>
        <w:rPr>
          <w:rFonts w:hint="cs"/>
          <w:rtl/>
        </w:rPr>
        <w:t xml:space="preserve">, </w:t>
      </w:r>
      <w:r w:rsidRPr="00ED2CE2">
        <w:rPr>
          <w:rFonts w:hint="cs"/>
          <w:b/>
          <w:bCs/>
          <w:rtl/>
        </w:rPr>
        <w:t>הה"מ</w:t>
      </w:r>
      <w:r>
        <w:rPr>
          <w:rFonts w:hint="cs"/>
          <w:rtl/>
        </w:rPr>
        <w:t xml:space="preserve"> (שם). וכתב </w:t>
      </w:r>
      <w:r w:rsidRPr="00ED2CE2">
        <w:rPr>
          <w:rFonts w:hint="cs"/>
          <w:b/>
          <w:bCs/>
          <w:rtl/>
        </w:rPr>
        <w:t>הב"י</w:t>
      </w:r>
      <w:r>
        <w:rPr>
          <w:rFonts w:hint="cs"/>
          <w:rtl/>
        </w:rPr>
        <w:t xml:space="preserve"> </w:t>
      </w:r>
      <w:r>
        <w:rPr>
          <w:rFonts w:cs="Arial" w:hint="cs"/>
          <w:rtl/>
        </w:rPr>
        <w:t>דאפשר דה</w:t>
      </w:r>
      <w:r w:rsidRPr="00F45317">
        <w:rPr>
          <w:rFonts w:cs="Arial"/>
          <w:rtl/>
        </w:rPr>
        <w:t xml:space="preserve">רמב"ם </w:t>
      </w:r>
      <w:r>
        <w:rPr>
          <w:rFonts w:cs="Arial" w:hint="cs"/>
          <w:rtl/>
        </w:rPr>
        <w:t xml:space="preserve">לא הביא </w:t>
      </w:r>
      <w:r w:rsidRPr="00F45317">
        <w:rPr>
          <w:rFonts w:cs="Arial"/>
          <w:rtl/>
        </w:rPr>
        <w:t>דין עובדא דריחיי</w:t>
      </w:r>
      <w:r>
        <w:rPr>
          <w:rFonts w:cs="Arial" w:hint="cs"/>
          <w:rtl/>
        </w:rPr>
        <w:t>א</w:t>
      </w:r>
      <w:r w:rsidRPr="00F45317">
        <w:rPr>
          <w:rFonts w:cs="Arial"/>
          <w:rtl/>
        </w:rPr>
        <w:t xml:space="preserve"> משום דכי אותביה אביי וכי עושין גרף של רעי לכתחלה שתיק ליה אלמא קיבלה מיניה</w:t>
      </w:r>
      <w:r>
        <w:rPr>
          <w:rFonts w:cs="Arial" w:hint="cs"/>
          <w:rtl/>
        </w:rPr>
        <w:t>,</w:t>
      </w:r>
      <w:r w:rsidRPr="00F45317">
        <w:rPr>
          <w:rFonts w:cs="Arial"/>
          <w:rtl/>
        </w:rPr>
        <w:t xml:space="preserve"> והא דאמר אביי תיתי לי דעברי אדמר דברי אנינות בעלמא היו ולא משום דדינא הכי</w:t>
      </w:r>
      <w:r>
        <w:rPr>
          <w:rFonts w:cs="Arial" w:hint="cs"/>
          <w:rtl/>
        </w:rPr>
        <w:t>.</w:t>
      </w:r>
    </w:p>
  </w:footnote>
  <w:footnote w:id="1689">
    <w:p w14:paraId="0988D1A1" w14:textId="0E0D1CB3" w:rsidR="003377CD" w:rsidRDefault="003377CD" w:rsidP="00285819">
      <w:pPr>
        <w:pStyle w:val="a7"/>
      </w:pPr>
      <w:r>
        <w:rPr>
          <w:rStyle w:val="a9"/>
        </w:rPr>
        <w:footnoteRef/>
      </w:r>
      <w:r>
        <w:rPr>
          <w:rtl/>
        </w:rPr>
        <w:t xml:space="preserve"> </w:t>
      </w:r>
      <w:r w:rsidRPr="003377CD">
        <w:rPr>
          <w:rFonts w:cs="Arial"/>
          <w:rtl/>
        </w:rPr>
        <w:t>והוא הדין לשאר כלי תשמישו, כגון ספריו ללמוד בהם, וכיוצא בענין זה, שזהו נקרא קביעות ישיבה</w:t>
      </w:r>
      <w:r>
        <w:rPr>
          <w:rFonts w:cs="Arial" w:hint="cs"/>
          <w:rtl/>
        </w:rPr>
        <w:t>, פסק"ת (אות נב).</w:t>
      </w:r>
    </w:p>
  </w:footnote>
  <w:footnote w:id="1690">
    <w:p w14:paraId="712E66D5" w14:textId="33DDD8A1" w:rsidR="003377CD" w:rsidRDefault="003377CD" w:rsidP="00285819">
      <w:pPr>
        <w:pStyle w:val="a7"/>
      </w:pPr>
      <w:r>
        <w:rPr>
          <w:rStyle w:val="a9"/>
        </w:rPr>
        <w:footnoteRef/>
      </w:r>
      <w:r>
        <w:rPr>
          <w:rtl/>
        </w:rPr>
        <w:t xml:space="preserve"> </w:t>
      </w:r>
      <w:r w:rsidRPr="003377CD">
        <w:rPr>
          <w:rFonts w:cs="Arial"/>
          <w:rtl/>
        </w:rPr>
        <w:t>אך ימשיך ישיבתו שם גם לאחר הוצאת המוקצה</w:t>
      </w:r>
      <w:r>
        <w:rPr>
          <w:rFonts w:cs="Arial" w:hint="cs"/>
          <w:rtl/>
        </w:rPr>
        <w:t>, פסק"ת (אות נב).</w:t>
      </w:r>
    </w:p>
  </w:footnote>
  <w:footnote w:id="1691">
    <w:p w14:paraId="41D32A97" w14:textId="3D310DF7" w:rsidR="00F44659" w:rsidRDefault="00F44659" w:rsidP="00285819">
      <w:pPr>
        <w:pStyle w:val="a7"/>
      </w:pPr>
      <w:r>
        <w:rPr>
          <w:rStyle w:val="a9"/>
        </w:rPr>
        <w:footnoteRef/>
      </w:r>
      <w:r>
        <w:rPr>
          <w:rtl/>
        </w:rPr>
        <w:t xml:space="preserve"> </w:t>
      </w:r>
      <w:r w:rsidRPr="00F44659">
        <w:rPr>
          <w:rFonts w:cs="Arial"/>
          <w:rtl/>
        </w:rPr>
        <w:t>לכסות בו צואה ורוק, ומערה העפר בביתו לארץ, ונוטלו תמיד לכל צרכיו</w:t>
      </w:r>
      <w:r>
        <w:rPr>
          <w:rFonts w:cs="Arial" w:hint="cs"/>
          <w:rtl/>
        </w:rPr>
        <w:t>, רש"י.</w:t>
      </w:r>
    </w:p>
  </w:footnote>
  <w:footnote w:id="1692">
    <w:p w14:paraId="57585A27" w14:textId="322BB784" w:rsidR="00F44659" w:rsidRDefault="00F44659" w:rsidP="00285819">
      <w:pPr>
        <w:pStyle w:val="a7"/>
      </w:pPr>
      <w:r>
        <w:rPr>
          <w:rStyle w:val="a9"/>
        </w:rPr>
        <w:footnoteRef/>
      </w:r>
      <w:r>
        <w:rPr>
          <w:rtl/>
        </w:rPr>
        <w:t xml:space="preserve"> </w:t>
      </w:r>
      <w:r w:rsidRPr="00F44659">
        <w:rPr>
          <w:rFonts w:cs="Arial"/>
          <w:rtl/>
        </w:rPr>
        <w:t>דהוי כמוכן ועומד לכך, אבל נתנו באמצע ביתו למדרס רגלים - הרי הוא בטל לגבי קרקעית הבית, ומוקצה ואסור</w:t>
      </w:r>
      <w:r>
        <w:rPr>
          <w:rFonts w:cs="Arial" w:hint="cs"/>
          <w:rtl/>
        </w:rPr>
        <w:t>, רש"י.</w:t>
      </w:r>
    </w:p>
  </w:footnote>
  <w:footnote w:id="1693">
    <w:p w14:paraId="0BD55201" w14:textId="7016C3B4" w:rsidR="00F44659" w:rsidRDefault="00F44659" w:rsidP="00285819">
      <w:pPr>
        <w:pStyle w:val="a7"/>
      </w:pPr>
      <w:r>
        <w:rPr>
          <w:rStyle w:val="a9"/>
        </w:rPr>
        <w:footnoteRef/>
      </w:r>
      <w:r>
        <w:rPr>
          <w:rtl/>
        </w:rPr>
        <w:t xml:space="preserve"> </w:t>
      </w:r>
      <w:r w:rsidRPr="00F44659">
        <w:rPr>
          <w:rFonts w:cs="Arial"/>
          <w:rtl/>
        </w:rPr>
        <w:t>דשרי במחשבה בעלמא, שאין מעשה מוכיח שעומד לעשות צרכיו</w:t>
      </w:r>
      <w:r>
        <w:rPr>
          <w:rFonts w:cs="Arial" w:hint="cs"/>
          <w:rtl/>
        </w:rPr>
        <w:t>, רש"י.</w:t>
      </w:r>
    </w:p>
  </w:footnote>
  <w:footnote w:id="1694">
    <w:p w14:paraId="7D31D944" w14:textId="24AAC21C" w:rsidR="00F44659" w:rsidRDefault="00F44659" w:rsidP="00285819">
      <w:pPr>
        <w:pStyle w:val="a7"/>
      </w:pPr>
      <w:r>
        <w:rPr>
          <w:rStyle w:val="a9"/>
        </w:rPr>
        <w:footnoteRef/>
      </w:r>
      <w:r>
        <w:rPr>
          <w:rtl/>
        </w:rPr>
        <w:t xml:space="preserve"> </w:t>
      </w:r>
      <w:r w:rsidRPr="00F44659">
        <w:rPr>
          <w:rFonts w:cs="Arial"/>
          <w:rtl/>
        </w:rPr>
        <w:t>שבן מעשה הוא, שיכול לעשות בו מעשה הוכחה</w:t>
      </w:r>
      <w:r>
        <w:rPr>
          <w:rFonts w:cs="Arial" w:hint="cs"/>
          <w:rtl/>
        </w:rPr>
        <w:t>, רש"י.</w:t>
      </w:r>
    </w:p>
  </w:footnote>
  <w:footnote w:id="1695">
    <w:p w14:paraId="5DFC8303" w14:textId="2CECF2E0" w:rsidR="00AB79D3" w:rsidRDefault="00AB79D3" w:rsidP="00285819">
      <w:pPr>
        <w:pStyle w:val="a7"/>
        <w:rPr>
          <w:rtl/>
        </w:rPr>
      </w:pPr>
      <w:r>
        <w:rPr>
          <w:rStyle w:val="a9"/>
        </w:rPr>
        <w:footnoteRef/>
      </w:r>
      <w:r>
        <w:rPr>
          <w:rtl/>
        </w:rPr>
        <w:t xml:space="preserve"> </w:t>
      </w:r>
      <w:r w:rsidRPr="00BC5DAA">
        <w:rPr>
          <w:rFonts w:cs="Arial"/>
          <w:rtl/>
        </w:rPr>
        <w:t>ומיהו התוספות (ד"ה והאידנא) והרא"ש (סי' ג) ז"ל כתבו בהמצניע (צה.) דכיבוד אסור מפני שמזיז עפר ממקומו</w:t>
      </w:r>
      <w:r>
        <w:rPr>
          <w:rFonts w:cs="Arial" w:hint="cs"/>
          <w:rtl/>
        </w:rPr>
        <w:t xml:space="preserve"> </w:t>
      </w:r>
      <w:r>
        <w:rPr>
          <w:rFonts w:cs="Arial" w:hint="cs"/>
          <w:sz w:val="16"/>
          <w:szCs w:val="16"/>
          <w:rtl/>
        </w:rPr>
        <w:t>{עכ"ד}</w:t>
      </w:r>
      <w:r>
        <w:rPr>
          <w:rFonts w:cs="Arial" w:hint="cs"/>
          <w:rtl/>
        </w:rPr>
        <w:t>.</w:t>
      </w:r>
      <w:r w:rsidRPr="00BC5DAA">
        <w:rPr>
          <w:rFonts w:cs="Arial"/>
          <w:rtl/>
        </w:rPr>
        <w:t xml:space="preserve"> ואם כן אסור לטלטל עפר אא</w:t>
      </w:r>
      <w:r w:rsidRPr="00BC5DAA">
        <w:rPr>
          <w:rFonts w:cs="Arial" w:hint="cs"/>
          <w:rtl/>
        </w:rPr>
        <w:t>"</w:t>
      </w:r>
      <w:r w:rsidRPr="00BC5DAA">
        <w:rPr>
          <w:rFonts w:cs="Arial"/>
          <w:rtl/>
        </w:rPr>
        <w:t>כ ייחד לו קרן זוית</w:t>
      </w:r>
      <w:r>
        <w:rPr>
          <w:rFonts w:cs="Arial" w:hint="cs"/>
          <w:rtl/>
        </w:rPr>
        <w:t>,</w:t>
      </w:r>
      <w:r w:rsidRPr="00BC5DAA">
        <w:rPr>
          <w:rFonts w:cs="Arial"/>
          <w:rtl/>
        </w:rPr>
        <w:t xml:space="preserve"> וכמו שאמרו (ביצה ח.) מכניס אדם מלא קופתו עפר וכו'</w:t>
      </w:r>
      <w:r>
        <w:rPr>
          <w:rFonts w:cs="Arial" w:hint="cs"/>
          <w:rtl/>
        </w:rPr>
        <w:t>, ב"י</w:t>
      </w:r>
      <w:r w:rsidRPr="00BC5DAA">
        <w:rPr>
          <w:rFonts w:cs="Arial" w:hint="cs"/>
          <w:rtl/>
        </w:rPr>
        <w:t>.</w:t>
      </w:r>
    </w:p>
  </w:footnote>
  <w:footnote w:id="1696">
    <w:p w14:paraId="2930DF64" w14:textId="06C2A181" w:rsidR="00AB79D3" w:rsidRDefault="00AB79D3" w:rsidP="00285819">
      <w:pPr>
        <w:pStyle w:val="a7"/>
        <w:rPr>
          <w:rtl/>
        </w:rPr>
      </w:pPr>
      <w:r>
        <w:rPr>
          <w:rStyle w:val="a9"/>
        </w:rPr>
        <w:footnoteRef/>
      </w:r>
      <w:r>
        <w:rPr>
          <w:rtl/>
        </w:rPr>
        <w:t xml:space="preserve"> </w:t>
      </w:r>
      <w:r w:rsidRPr="00AB79D3">
        <w:rPr>
          <w:rFonts w:cs="Arial"/>
          <w:rtl/>
        </w:rPr>
        <w:t>ובענין שאין בו משום עשיית גומא דהיינו שיטול בשוה או שהחול דק או תיחוח דתיכף כשנוטל החול נופל לתוך הגומא וסותמה כן כתב בתו"ש מלקמן סימן תצ"ח ועי"ש במה שכתבנו בזה</w:t>
      </w:r>
      <w:r>
        <w:rPr>
          <w:rFonts w:hint="cs"/>
          <w:rtl/>
        </w:rPr>
        <w:t>, משנ"ב (סקקמ"ג).</w:t>
      </w:r>
    </w:p>
  </w:footnote>
  <w:footnote w:id="1697">
    <w:p w14:paraId="566C02D6" w14:textId="3F9C9F29" w:rsidR="00AB79D3" w:rsidRDefault="00AB79D3" w:rsidP="00285819">
      <w:pPr>
        <w:pStyle w:val="a7"/>
      </w:pPr>
      <w:r>
        <w:rPr>
          <w:rStyle w:val="a9"/>
        </w:rPr>
        <w:footnoteRef/>
      </w:r>
      <w:r>
        <w:rPr>
          <w:rtl/>
        </w:rPr>
        <w:t xml:space="preserve"> </w:t>
      </w:r>
      <w:r w:rsidRPr="00AB79D3">
        <w:rPr>
          <w:rFonts w:cs="Arial"/>
          <w:rtl/>
        </w:rPr>
        <w:t>אפילו אם בעת שהכניס הקופה לבית היה כונתו לכסות צואה ורוק מ"מ כיון שפזרו באמצע ביתו למדרס רגלים הרי הוא בטל לגבי קרקעית הבית והוא מוקצה ואסור ולפ"ז אסור ליקח בשבת מעט מן החול המפוזר בקרקע הבית להשתמש בו לאיזה דבר</w:t>
      </w:r>
      <w:r>
        <w:rPr>
          <w:rFonts w:cs="Arial" w:hint="cs"/>
          <w:rtl/>
        </w:rPr>
        <w:t>, משנ"ב (סקקמ"ד).</w:t>
      </w:r>
    </w:p>
  </w:footnote>
  <w:footnote w:id="1698">
    <w:p w14:paraId="753950D2" w14:textId="3A4C7743" w:rsidR="00AB79D3" w:rsidRDefault="00AB79D3" w:rsidP="00285819">
      <w:pPr>
        <w:pStyle w:val="a7"/>
      </w:pPr>
      <w:r>
        <w:rPr>
          <w:rStyle w:val="a9"/>
        </w:rPr>
        <w:footnoteRef/>
      </w:r>
      <w:r>
        <w:rPr>
          <w:rtl/>
        </w:rPr>
        <w:t xml:space="preserve"> </w:t>
      </w:r>
      <w:r w:rsidRPr="00AB79D3">
        <w:rPr>
          <w:rFonts w:cs="Arial"/>
          <w:rtl/>
        </w:rPr>
        <w:t>ואם טמון בעפר שהוא מוקצה עיין לקמן סימן שי"א סעיף ח' וט' מה שכתוב שם</w:t>
      </w:r>
      <w:r>
        <w:rPr>
          <w:rFonts w:cs="Arial" w:hint="cs"/>
          <w:rtl/>
        </w:rPr>
        <w:t>, משנ"ב (סקקמ"ה).</w:t>
      </w:r>
    </w:p>
  </w:footnote>
  <w:footnote w:id="1699">
    <w:p w14:paraId="484ED5F8" w14:textId="48D69679" w:rsidR="00561381" w:rsidRDefault="00561381" w:rsidP="00285819">
      <w:pPr>
        <w:pStyle w:val="a7"/>
      </w:pPr>
      <w:r>
        <w:rPr>
          <w:rStyle w:val="a9"/>
        </w:rPr>
        <w:footnoteRef/>
      </w:r>
      <w:r>
        <w:rPr>
          <w:rtl/>
        </w:rPr>
        <w:t xml:space="preserve"> </w:t>
      </w:r>
      <w:r w:rsidRPr="00561381">
        <w:rPr>
          <w:rFonts w:cs="Arial"/>
          <w:rtl/>
        </w:rPr>
        <w:t>אשמעינן דכלי ניטל לדבר שאינו ניטל בשבת</w:t>
      </w:r>
      <w:r>
        <w:rPr>
          <w:rFonts w:cs="Arial" w:hint="cs"/>
          <w:rtl/>
        </w:rPr>
        <w:t>..., רש"י.</w:t>
      </w:r>
    </w:p>
  </w:footnote>
  <w:footnote w:id="1700">
    <w:p w14:paraId="58BF90D6" w14:textId="586BEF9C" w:rsidR="007D33C2" w:rsidRDefault="007D33C2" w:rsidP="00285819">
      <w:pPr>
        <w:pStyle w:val="a7"/>
        <w:rPr>
          <w:rtl/>
        </w:rPr>
      </w:pPr>
      <w:r>
        <w:rPr>
          <w:rStyle w:val="a9"/>
        </w:rPr>
        <w:footnoteRef/>
      </w:r>
      <w:r>
        <w:rPr>
          <w:rtl/>
        </w:rPr>
        <w:t xml:space="preserve"> </w:t>
      </w:r>
      <w:r w:rsidRPr="007D33C2">
        <w:rPr>
          <w:rFonts w:cs="Arial"/>
          <w:rtl/>
        </w:rPr>
        <w:t>והיינו דתניא (שם) אין עוקרין בהמה חיה ועוף</w:t>
      </w:r>
      <w:r w:rsidRPr="007D33C2">
        <w:rPr>
          <w:rFonts w:cs="Arial" w:hint="cs"/>
          <w:rtl/>
        </w:rPr>
        <w:t>,</w:t>
      </w:r>
      <w:r w:rsidRPr="007D33C2">
        <w:rPr>
          <w:rFonts w:cs="Arial"/>
          <w:rtl/>
        </w:rPr>
        <w:t xml:space="preserve"> ויתבאר בסמוך</w:t>
      </w:r>
      <w:r w:rsidRPr="007D33C2">
        <w:rPr>
          <w:rFonts w:cs="Arial" w:hint="cs"/>
          <w:rtl/>
        </w:rPr>
        <w:t xml:space="preserve"> (סע' מ), ב"י</w:t>
      </w:r>
      <w:r>
        <w:rPr>
          <w:rFonts w:hint="cs"/>
          <w:rtl/>
        </w:rPr>
        <w:t>.</w:t>
      </w:r>
    </w:p>
  </w:footnote>
  <w:footnote w:id="1701">
    <w:p w14:paraId="350075C4" w14:textId="75E3E912" w:rsidR="00FC18A1" w:rsidRDefault="00FC18A1" w:rsidP="00285819">
      <w:pPr>
        <w:pStyle w:val="a7"/>
        <w:rPr>
          <w:rtl/>
        </w:rPr>
      </w:pPr>
      <w:r>
        <w:rPr>
          <w:rStyle w:val="a9"/>
        </w:rPr>
        <w:footnoteRef/>
      </w:r>
      <w:r>
        <w:rPr>
          <w:rtl/>
        </w:rPr>
        <w:t xml:space="preserve"> </w:t>
      </w:r>
      <w:r w:rsidRPr="00FC18A1">
        <w:rPr>
          <w:rFonts w:cs="Arial"/>
          <w:rtl/>
        </w:rPr>
        <w:t>דהם בכלל מוקצה כעצים ואבנים דהא לא חזו. ואפילו אם יכול להגיע להפסד על ידם כגון שהעוף פורח ע"ג הכלים ויכול לשברם אפ"ה אסור לתפסם בידים ואפילו אם הוא מורגל בבית מכבר דתו אין בו משום חשש צידה כמבואר בסימן שט"ז אפ"ה ליטלם בידים אסור משום מוקצה אלא יפריחנה מעליהם וכמבואר בסימן של"ד במ"א בסק"ג דאיסור טלטול מוקצה הוא אפילו במקום הפסד</w:t>
      </w:r>
      <w:r>
        <w:rPr>
          <w:rFonts w:hint="cs"/>
          <w:rtl/>
        </w:rPr>
        <w:t>, משנ"ב (סקקמ"ו).</w:t>
      </w:r>
    </w:p>
  </w:footnote>
  <w:footnote w:id="1702">
    <w:p w14:paraId="4636DA41" w14:textId="1140DFEA" w:rsidR="005C0034" w:rsidRDefault="005C0034" w:rsidP="00285819">
      <w:pPr>
        <w:pStyle w:val="a7"/>
      </w:pPr>
      <w:r>
        <w:rPr>
          <w:rStyle w:val="a9"/>
        </w:rPr>
        <w:footnoteRef/>
      </w:r>
      <w:r>
        <w:rPr>
          <w:rtl/>
        </w:rPr>
        <w:t xml:space="preserve"> </w:t>
      </w:r>
      <w:r w:rsidRPr="005C0034">
        <w:rPr>
          <w:rFonts w:cs="Arial"/>
          <w:rtl/>
        </w:rPr>
        <w:t>בידים</w:t>
      </w:r>
      <w:r>
        <w:rPr>
          <w:rFonts w:cs="Arial" w:hint="cs"/>
          <w:rtl/>
        </w:rPr>
        <w:t>, רש"י.</w:t>
      </w:r>
    </w:p>
  </w:footnote>
  <w:footnote w:id="1703">
    <w:p w14:paraId="6603BC1F" w14:textId="55916079" w:rsidR="005C0034" w:rsidRDefault="005C0034" w:rsidP="00285819">
      <w:pPr>
        <w:pStyle w:val="a7"/>
      </w:pPr>
      <w:r>
        <w:rPr>
          <w:rStyle w:val="a9"/>
        </w:rPr>
        <w:footnoteRef/>
      </w:r>
      <w:r>
        <w:rPr>
          <w:rtl/>
        </w:rPr>
        <w:t xml:space="preserve"> </w:t>
      </w:r>
      <w:r w:rsidRPr="005C0034">
        <w:rPr>
          <w:rFonts w:cs="Arial"/>
          <w:rtl/>
        </w:rPr>
        <w:t>אוחז בצוארו ובצדדין וגוררו ומסייעו ומנענע לו ברגליו</w:t>
      </w:r>
      <w:r>
        <w:rPr>
          <w:rFonts w:cs="Arial" w:hint="cs"/>
          <w:rtl/>
        </w:rPr>
        <w:t>, רש"י.</w:t>
      </w:r>
    </w:p>
  </w:footnote>
  <w:footnote w:id="1704">
    <w:p w14:paraId="31DE10D8" w14:textId="55AEF9D6" w:rsidR="005C0034" w:rsidRDefault="005C0034" w:rsidP="00285819">
      <w:pPr>
        <w:pStyle w:val="a7"/>
      </w:pPr>
      <w:r>
        <w:rPr>
          <w:rStyle w:val="a9"/>
        </w:rPr>
        <w:footnoteRef/>
      </w:r>
      <w:r>
        <w:rPr>
          <w:rtl/>
        </w:rPr>
        <w:t xml:space="preserve"> </w:t>
      </w:r>
      <w:r w:rsidRPr="005C0034">
        <w:rPr>
          <w:rFonts w:cs="Arial"/>
          <w:rtl/>
        </w:rPr>
        <w:t>שלא יהא אוחזה בגפיה ורגליה נוגעין לארץ ומוליכה</w:t>
      </w:r>
      <w:r>
        <w:rPr>
          <w:rFonts w:cs="Arial" w:hint="cs"/>
          <w:rtl/>
        </w:rPr>
        <w:t>, רש"י.</w:t>
      </w:r>
    </w:p>
  </w:footnote>
  <w:footnote w:id="1705">
    <w:p w14:paraId="5FE08D8F" w14:textId="16550CDD" w:rsidR="005C0034" w:rsidRDefault="005C0034" w:rsidP="00285819">
      <w:pPr>
        <w:pStyle w:val="a7"/>
        <w:rPr>
          <w:rtl/>
        </w:rPr>
      </w:pPr>
      <w:r>
        <w:rPr>
          <w:rStyle w:val="a9"/>
        </w:rPr>
        <w:footnoteRef/>
      </w:r>
      <w:r>
        <w:rPr>
          <w:rtl/>
        </w:rPr>
        <w:t xml:space="preserve"> </w:t>
      </w:r>
      <w:r w:rsidRPr="005C0034">
        <w:rPr>
          <w:rFonts w:cs="Arial"/>
          <w:rtl/>
        </w:rPr>
        <w:t xml:space="preserve">מגבהת עצמה מן הארץ, ונמצא זה מטלטל, אבל אווזים - כשאוחזים בגפיהן, הן מהלכין ברגליהן </w:t>
      </w:r>
      <w:r w:rsidR="006906F6" w:rsidRPr="006906F6">
        <w:rPr>
          <w:rFonts w:cs="Arial" w:hint="cs"/>
          <w:sz w:val="16"/>
          <w:szCs w:val="16"/>
          <w:rtl/>
        </w:rPr>
        <w:t>(</w:t>
      </w:r>
      <w:r w:rsidRPr="006906F6">
        <w:rPr>
          <w:rFonts w:cs="Arial"/>
          <w:sz w:val="16"/>
          <w:szCs w:val="16"/>
          <w:rtl/>
        </w:rPr>
        <w:t>ומיהו, ברשות הרבים לא, משום שמא יגביה מן הארץ ונמצא נושאן, דסתמא כרבנן דפליגי עליה דר' נתן בהמצניע (שבת צד</w:t>
      </w:r>
      <w:r w:rsidRPr="006906F6">
        <w:rPr>
          <w:rFonts w:cs="Arial" w:hint="cs"/>
          <w:sz w:val="16"/>
          <w:szCs w:val="16"/>
          <w:rtl/>
        </w:rPr>
        <w:t>.</w:t>
      </w:r>
      <w:r w:rsidRPr="006906F6">
        <w:rPr>
          <w:rFonts w:cs="Arial"/>
          <w:sz w:val="16"/>
          <w:szCs w:val="16"/>
          <w:rtl/>
        </w:rPr>
        <w:t>) גבי המוציא חיה ועוף בין חיין בין שחוטין חייב</w:t>
      </w:r>
      <w:r w:rsidR="00F35252">
        <w:rPr>
          <w:rFonts w:cs="Arial" w:hint="cs"/>
          <w:sz w:val="16"/>
          <w:szCs w:val="16"/>
          <w:rtl/>
        </w:rPr>
        <w:t>.</w:t>
      </w:r>
      <w:r w:rsidRPr="006906F6">
        <w:rPr>
          <w:rFonts w:cs="Arial"/>
          <w:sz w:val="16"/>
          <w:szCs w:val="16"/>
          <w:rtl/>
        </w:rPr>
        <w:t xml:space="preserve"> והאשה מדדה את בנה אפילו ברשות הרבים, דאי נמי מגביה ליה - חי נושא את עצמו, דהכי מוקמינן התם דבאדם מודו רבנן לר' נתן</w:t>
      </w:r>
      <w:r w:rsidR="006906F6">
        <w:rPr>
          <w:rFonts w:cs="Arial" w:hint="cs"/>
          <w:sz w:val="16"/>
          <w:szCs w:val="16"/>
          <w:rtl/>
        </w:rPr>
        <w:t>)</w:t>
      </w:r>
      <w:r>
        <w:rPr>
          <w:rFonts w:hint="cs"/>
          <w:rtl/>
        </w:rPr>
        <w:t xml:space="preserve">, </w:t>
      </w:r>
      <w:r w:rsidRPr="006906F6">
        <w:rPr>
          <w:rFonts w:hint="cs"/>
          <w:b/>
          <w:bCs/>
          <w:rtl/>
        </w:rPr>
        <w:t>רש"י</w:t>
      </w:r>
      <w:r>
        <w:rPr>
          <w:rFonts w:hint="cs"/>
          <w:rtl/>
        </w:rPr>
        <w:t>.</w:t>
      </w:r>
      <w:r w:rsidR="006906F6">
        <w:rPr>
          <w:rFonts w:hint="cs"/>
          <w:rtl/>
        </w:rPr>
        <w:t xml:space="preserve"> </w:t>
      </w:r>
      <w:r w:rsidR="006906F6">
        <w:rPr>
          <w:rFonts w:cs="Arial"/>
          <w:rtl/>
        </w:rPr>
        <w:t>והרמב"ם כתב בפכ"ה (הכ"ו) שאין מדדין תרנגולת מפני שהיא נשמטת מן היד ונמצאו אגפיה נתלשין</w:t>
      </w:r>
      <w:r w:rsidR="006906F6">
        <w:rPr>
          <w:rFonts w:cs="Arial" w:hint="cs"/>
          <w:rtl/>
        </w:rPr>
        <w:t>,</w:t>
      </w:r>
      <w:r w:rsidR="006906F6">
        <w:rPr>
          <w:rFonts w:cs="Arial"/>
          <w:rtl/>
        </w:rPr>
        <w:t xml:space="preserve"> וכן כתב סמ"ג (לאוין סה כג.)</w:t>
      </w:r>
      <w:r w:rsidR="006906F6">
        <w:rPr>
          <w:rFonts w:cs="Arial" w:hint="cs"/>
          <w:rtl/>
        </w:rPr>
        <w:t xml:space="preserve">, </w:t>
      </w:r>
      <w:r w:rsidR="006906F6" w:rsidRPr="006906F6">
        <w:rPr>
          <w:rFonts w:cs="Arial" w:hint="cs"/>
          <w:b/>
          <w:bCs/>
          <w:rtl/>
        </w:rPr>
        <w:t>ב"י</w:t>
      </w:r>
      <w:r w:rsidR="006906F6">
        <w:rPr>
          <w:rFonts w:cs="Arial" w:hint="cs"/>
          <w:rtl/>
        </w:rPr>
        <w:t>.</w:t>
      </w:r>
      <w:r w:rsidR="005F6B42">
        <w:rPr>
          <w:rFonts w:hint="cs"/>
          <w:rtl/>
        </w:rPr>
        <w:t xml:space="preserve"> והראב"ד (פכ"ה הכ"ו בהשגות) פירש</w:t>
      </w:r>
      <w:r w:rsidR="005F6B42" w:rsidRPr="005F6B42">
        <w:rPr>
          <w:rtl/>
        </w:rPr>
        <w:t xml:space="preserve"> </w:t>
      </w:r>
      <w:r w:rsidR="005F6B42" w:rsidRPr="005F6B42">
        <w:rPr>
          <w:rFonts w:cs="Arial"/>
          <w:rtl/>
        </w:rPr>
        <w:t>שהיא מקפיא נפשה והיא ניטלת ביד</w:t>
      </w:r>
      <w:r w:rsidR="005F6B42">
        <w:rPr>
          <w:rFonts w:cs="Arial" w:hint="cs"/>
          <w:rtl/>
        </w:rPr>
        <w:t>.</w:t>
      </w:r>
    </w:p>
  </w:footnote>
  <w:footnote w:id="1706">
    <w:p w14:paraId="127D5B33" w14:textId="56881363" w:rsidR="00E30F7B" w:rsidRDefault="00E30F7B" w:rsidP="00285819">
      <w:pPr>
        <w:pStyle w:val="a7"/>
      </w:pPr>
      <w:r>
        <w:rPr>
          <w:rStyle w:val="a9"/>
        </w:rPr>
        <w:footnoteRef/>
      </w:r>
      <w:r>
        <w:rPr>
          <w:rtl/>
        </w:rPr>
        <w:t xml:space="preserve"> </w:t>
      </w:r>
      <w:r w:rsidRPr="00E30F7B">
        <w:rPr>
          <w:rFonts w:cs="Arial"/>
          <w:rtl/>
        </w:rPr>
        <w:t>רגליה לגמרי מן הארץ, דמוקצה היא לטלטלה</w:t>
      </w:r>
      <w:r>
        <w:rPr>
          <w:rFonts w:cs="Arial" w:hint="cs"/>
          <w:rtl/>
        </w:rPr>
        <w:t>, רש"י.</w:t>
      </w:r>
    </w:p>
  </w:footnote>
  <w:footnote w:id="1707">
    <w:p w14:paraId="22D5FCBC" w14:textId="10C82A12" w:rsidR="00E30F7B" w:rsidRDefault="00E30F7B" w:rsidP="00285819">
      <w:pPr>
        <w:pStyle w:val="a7"/>
      </w:pPr>
      <w:r>
        <w:rPr>
          <w:rStyle w:val="a9"/>
        </w:rPr>
        <w:footnoteRef/>
      </w:r>
      <w:r>
        <w:rPr>
          <w:rtl/>
        </w:rPr>
        <w:t xml:space="preserve"> </w:t>
      </w:r>
      <w:r w:rsidRPr="00E30F7B">
        <w:rPr>
          <w:rFonts w:cs="Arial"/>
          <w:rtl/>
        </w:rPr>
        <w:t>אוחזה בשני צדדיה בידו ומדדה, והוה טלטול טפי מדחייה שדחפה מאחריה</w:t>
      </w:r>
      <w:r>
        <w:rPr>
          <w:rFonts w:cs="Arial" w:hint="cs"/>
          <w:rtl/>
        </w:rPr>
        <w:t xml:space="preserve">, </w:t>
      </w:r>
      <w:r w:rsidRPr="00E30F7B">
        <w:rPr>
          <w:rFonts w:cs="Arial" w:hint="cs"/>
          <w:b/>
          <w:bCs/>
          <w:rtl/>
        </w:rPr>
        <w:t>רש"י</w:t>
      </w:r>
      <w:r>
        <w:rPr>
          <w:rFonts w:cs="Arial" w:hint="cs"/>
          <w:rtl/>
        </w:rPr>
        <w:t>.</w:t>
      </w:r>
      <w:r w:rsidRPr="00E30F7B">
        <w:rPr>
          <w:rFonts w:cs="Arial"/>
          <w:rtl/>
        </w:rPr>
        <w:t xml:space="preserve"> </w:t>
      </w:r>
      <w:r>
        <w:rPr>
          <w:rFonts w:cs="Arial"/>
          <w:rtl/>
        </w:rPr>
        <w:t xml:space="preserve">וכתב </w:t>
      </w:r>
      <w:r w:rsidRPr="00E30F7B">
        <w:rPr>
          <w:rFonts w:cs="Arial"/>
          <w:rtl/>
        </w:rPr>
        <w:t>הר"ן</w:t>
      </w:r>
      <w:r>
        <w:rPr>
          <w:rFonts w:cs="Arial"/>
          <w:rtl/>
        </w:rPr>
        <w:t xml:space="preserve"> (נא: ד"ה ומיהו) ומיהו קשיא לי היאך מדדין בהמה חיה ועוף כלל ואפילו בחצר</w:t>
      </w:r>
      <w:r>
        <w:rPr>
          <w:rFonts w:cs="Arial" w:hint="cs"/>
          <w:rtl/>
        </w:rPr>
        <w:t>,</w:t>
      </w:r>
      <w:r>
        <w:rPr>
          <w:rFonts w:cs="Arial"/>
          <w:rtl/>
        </w:rPr>
        <w:t xml:space="preserve"> הא כל מידי דלא חזי לטלטול</w:t>
      </w:r>
      <w:r>
        <w:rPr>
          <w:rFonts w:cs="Arial" w:hint="cs"/>
          <w:rtl/>
        </w:rPr>
        <w:t>,</w:t>
      </w:r>
      <w:r>
        <w:rPr>
          <w:rFonts w:cs="Arial"/>
          <w:rtl/>
        </w:rPr>
        <w:t xml:space="preserve"> כשם שאין מטלטלין כולו כך אין מטלטלין מקצתו</w:t>
      </w:r>
      <w:r>
        <w:rPr>
          <w:rFonts w:cs="Arial" w:hint="cs"/>
          <w:rtl/>
        </w:rPr>
        <w:t>.</w:t>
      </w:r>
      <w:r>
        <w:rPr>
          <w:rFonts w:cs="Arial"/>
          <w:rtl/>
        </w:rPr>
        <w:t xml:space="preserve"> לפיכך נראה לי דהכא משום צער בעלי חיים נגעו בה</w:t>
      </w:r>
      <w:r>
        <w:rPr>
          <w:rFonts w:cs="Arial" w:hint="cs"/>
          <w:rtl/>
        </w:rPr>
        <w:t>,</w:t>
      </w:r>
      <w:r>
        <w:rPr>
          <w:rFonts w:cs="Arial"/>
          <w:rtl/>
        </w:rPr>
        <w:t xml:space="preserve"> ודוקא כשצריכין לכך</w:t>
      </w:r>
      <w:r>
        <w:rPr>
          <w:rFonts w:cs="Arial" w:hint="cs"/>
          <w:rtl/>
        </w:rPr>
        <w:t>,</w:t>
      </w:r>
      <w:r>
        <w:rPr>
          <w:rFonts w:cs="Arial"/>
          <w:rtl/>
        </w:rPr>
        <w:t xml:space="preserve"> אבל כשאין צריכין לא עכ"ל</w:t>
      </w:r>
      <w:r>
        <w:rPr>
          <w:rFonts w:cs="Arial" w:hint="cs"/>
          <w:rtl/>
        </w:rPr>
        <w:t xml:space="preserve">, </w:t>
      </w:r>
      <w:r w:rsidRPr="00E30F7B">
        <w:rPr>
          <w:rFonts w:cs="Arial" w:hint="cs"/>
          <w:b/>
          <w:bCs/>
          <w:rtl/>
        </w:rPr>
        <w:t>ב"י</w:t>
      </w:r>
      <w:r>
        <w:rPr>
          <w:rFonts w:hint="cs"/>
          <w:rtl/>
        </w:rPr>
        <w:t>.</w:t>
      </w:r>
      <w:r w:rsidR="005F6B42">
        <w:rPr>
          <w:rFonts w:hint="cs"/>
          <w:rtl/>
        </w:rPr>
        <w:t xml:space="preserve"> </w:t>
      </w:r>
      <w:r w:rsidR="005F6B42" w:rsidRPr="005F6B42">
        <w:rPr>
          <w:rFonts w:hint="cs"/>
          <w:color w:val="E36C0A" w:themeColor="accent6" w:themeShade="BF"/>
          <w:rtl/>
        </w:rPr>
        <w:t>(וכ"פ בשו"ע)</w:t>
      </w:r>
    </w:p>
  </w:footnote>
  <w:footnote w:id="1708">
    <w:p w14:paraId="117E4F4D" w14:textId="77777777" w:rsidR="00561381" w:rsidRDefault="00561381" w:rsidP="00285819">
      <w:pPr>
        <w:pStyle w:val="a7"/>
      </w:pPr>
      <w:r>
        <w:rPr>
          <w:rStyle w:val="a9"/>
        </w:rPr>
        <w:footnoteRef/>
      </w:r>
      <w:r>
        <w:rPr>
          <w:rtl/>
        </w:rPr>
        <w:t xml:space="preserve"> </w:t>
      </w:r>
      <w:r w:rsidRPr="003E7804">
        <w:rPr>
          <w:rFonts w:cs="Arial"/>
          <w:rtl/>
        </w:rPr>
        <w:t>דקתני דוחין אבל לא מדדין</w:t>
      </w:r>
      <w:r>
        <w:rPr>
          <w:rFonts w:cs="Arial" w:hint="cs"/>
          <w:rtl/>
        </w:rPr>
        <w:t>, רש"י.</w:t>
      </w:r>
    </w:p>
  </w:footnote>
  <w:footnote w:id="1709">
    <w:p w14:paraId="35B50428" w14:textId="77777777" w:rsidR="00561381" w:rsidRDefault="00561381" w:rsidP="00285819">
      <w:pPr>
        <w:pStyle w:val="a7"/>
      </w:pPr>
      <w:r>
        <w:rPr>
          <w:rStyle w:val="a9"/>
        </w:rPr>
        <w:footnoteRef/>
      </w:r>
      <w:r>
        <w:rPr>
          <w:rtl/>
        </w:rPr>
        <w:t xml:space="preserve"> </w:t>
      </w:r>
      <w:r w:rsidRPr="003E7804">
        <w:rPr>
          <w:rFonts w:cs="Arial"/>
          <w:rtl/>
        </w:rPr>
        <w:t>ורישא בשאר עופות</w:t>
      </w:r>
      <w:r>
        <w:rPr>
          <w:rFonts w:cs="Arial" w:hint="cs"/>
          <w:rtl/>
        </w:rPr>
        <w:t>, רש"י.</w:t>
      </w:r>
    </w:p>
  </w:footnote>
  <w:footnote w:id="1710">
    <w:p w14:paraId="425F776F" w14:textId="104696E9" w:rsidR="002154E2" w:rsidRDefault="002154E2" w:rsidP="00285819">
      <w:pPr>
        <w:pStyle w:val="a7"/>
        <w:rPr>
          <w:rtl/>
        </w:rPr>
      </w:pPr>
      <w:r>
        <w:rPr>
          <w:rStyle w:val="a9"/>
        </w:rPr>
        <w:footnoteRef/>
      </w:r>
      <w:r>
        <w:rPr>
          <w:rtl/>
        </w:rPr>
        <w:t xml:space="preserve"> </w:t>
      </w:r>
      <w:r w:rsidRPr="002154E2">
        <w:rPr>
          <w:rFonts w:cs="Arial"/>
          <w:rtl/>
        </w:rPr>
        <w:t>משמטים כלפי מטה, ומכבידין עצמן להשמיט מיד הנושאן</w:t>
      </w:r>
      <w:r>
        <w:rPr>
          <w:rFonts w:hint="cs"/>
          <w:rtl/>
        </w:rPr>
        <w:t>, רש"י.</w:t>
      </w:r>
    </w:p>
  </w:footnote>
  <w:footnote w:id="1711">
    <w:p w14:paraId="69A10718" w14:textId="7EFCA9F8" w:rsidR="00F35252" w:rsidRDefault="00F35252" w:rsidP="00285819">
      <w:pPr>
        <w:pStyle w:val="a7"/>
      </w:pPr>
      <w:r>
        <w:rPr>
          <w:rStyle w:val="a9"/>
        </w:rPr>
        <w:footnoteRef/>
      </w:r>
      <w:r>
        <w:rPr>
          <w:rtl/>
        </w:rPr>
        <w:t xml:space="preserve"> </w:t>
      </w:r>
      <w:r>
        <w:rPr>
          <w:rFonts w:cs="Arial"/>
          <w:rtl/>
        </w:rPr>
        <w:t xml:space="preserve">מדקתני </w:t>
      </w:r>
      <w:r>
        <w:rPr>
          <w:rFonts w:cs="Arial" w:hint="cs"/>
          <w:rtl/>
        </w:rPr>
        <w:t xml:space="preserve">'מדדין... </w:t>
      </w:r>
      <w:r>
        <w:rPr>
          <w:rFonts w:cs="Arial"/>
          <w:rtl/>
        </w:rPr>
        <w:t>בחצר</w:t>
      </w:r>
      <w:r>
        <w:rPr>
          <w:rFonts w:cs="Arial" w:hint="cs"/>
          <w:rtl/>
        </w:rPr>
        <w:t>'</w:t>
      </w:r>
      <w:r>
        <w:rPr>
          <w:rFonts w:cs="Arial"/>
          <w:rtl/>
        </w:rPr>
        <w:t xml:space="preserve"> משמע דלא שרי אלא בחצר דוקא אבל לא בכרמלית</w:t>
      </w:r>
      <w:r>
        <w:rPr>
          <w:rFonts w:cs="Arial" w:hint="cs"/>
          <w:rtl/>
        </w:rPr>
        <w:t>,</w:t>
      </w:r>
      <w:r>
        <w:rPr>
          <w:rFonts w:cs="Arial"/>
          <w:rtl/>
        </w:rPr>
        <w:t xml:space="preserve"> ובכלל </w:t>
      </w:r>
      <w:r>
        <w:rPr>
          <w:rFonts w:cs="Arial" w:hint="cs"/>
          <w:rtl/>
        </w:rPr>
        <w:t>'</w:t>
      </w:r>
      <w:r>
        <w:rPr>
          <w:rFonts w:cs="Arial"/>
          <w:rtl/>
        </w:rPr>
        <w:t>אבל לא ברשות הרבים</w:t>
      </w:r>
      <w:r>
        <w:rPr>
          <w:rFonts w:cs="Arial" w:hint="cs"/>
          <w:rtl/>
        </w:rPr>
        <w:t>'</w:t>
      </w:r>
      <w:r>
        <w:rPr>
          <w:rFonts w:cs="Arial"/>
          <w:rtl/>
        </w:rPr>
        <w:t xml:space="preserve"> היא כרמלית</w:t>
      </w:r>
      <w:r>
        <w:rPr>
          <w:rFonts w:cs="Arial" w:hint="cs"/>
          <w:rtl/>
        </w:rPr>
        <w:t>,</w:t>
      </w:r>
      <w:r>
        <w:rPr>
          <w:rFonts w:cs="Arial"/>
          <w:rtl/>
        </w:rPr>
        <w:t xml:space="preserve"> דכרמלית לגבי חצר </w:t>
      </w:r>
      <w:r>
        <w:rPr>
          <w:rFonts w:cs="Arial" w:hint="cs"/>
          <w:rtl/>
        </w:rPr>
        <w:t xml:space="preserve">- </w:t>
      </w:r>
      <w:r>
        <w:rPr>
          <w:rFonts w:cs="Arial"/>
          <w:rtl/>
        </w:rPr>
        <w:t>רשות הרבים קרי לה</w:t>
      </w:r>
      <w:r>
        <w:rPr>
          <w:rFonts w:cs="Arial" w:hint="cs"/>
          <w:rtl/>
        </w:rPr>
        <w:t>,</w:t>
      </w:r>
      <w:r>
        <w:rPr>
          <w:rFonts w:cs="Arial"/>
          <w:rtl/>
        </w:rPr>
        <w:t xml:space="preserve"> דאל</w:t>
      </w:r>
      <w:r>
        <w:rPr>
          <w:rFonts w:cs="Arial" w:hint="cs"/>
          <w:rtl/>
        </w:rPr>
        <w:t>"</w:t>
      </w:r>
      <w:r>
        <w:rPr>
          <w:rFonts w:cs="Arial"/>
          <w:rtl/>
        </w:rPr>
        <w:t>כ קשה דיוקא דרישא אדיוקא דסיפא</w:t>
      </w:r>
      <w:r>
        <w:rPr>
          <w:rFonts w:cs="Arial" w:hint="cs"/>
          <w:rtl/>
        </w:rPr>
        <w:t>.</w:t>
      </w:r>
      <w:r w:rsidRPr="00F35252">
        <w:rPr>
          <w:rFonts w:cs="Arial"/>
          <w:rtl/>
        </w:rPr>
        <w:t xml:space="preserve"> </w:t>
      </w:r>
      <w:r>
        <w:rPr>
          <w:rFonts w:cs="Arial"/>
          <w:rtl/>
        </w:rPr>
        <w:t>ופירש רש"י (ד"ה דמקפיא נפשה) טעמא דברשות הרבים לא משום שמא יגביהם מן הארץ ונמצא נושאן</w:t>
      </w:r>
      <w:r>
        <w:rPr>
          <w:rFonts w:cs="Arial" w:hint="cs"/>
          <w:rtl/>
        </w:rPr>
        <w:t>.</w:t>
      </w:r>
      <w:r>
        <w:rPr>
          <w:rFonts w:cs="Arial"/>
          <w:rtl/>
        </w:rPr>
        <w:t xml:space="preserve"> ותמיהא לי</w:t>
      </w:r>
      <w:r>
        <w:rPr>
          <w:rFonts w:cs="Arial" w:hint="cs"/>
          <w:rtl/>
        </w:rPr>
        <w:t>,</w:t>
      </w:r>
      <w:r>
        <w:rPr>
          <w:rFonts w:cs="Arial"/>
          <w:rtl/>
        </w:rPr>
        <w:t xml:space="preserve"> דכיון דברשות הרבים לא מיתסר אלא משום גזירה</w:t>
      </w:r>
      <w:r>
        <w:rPr>
          <w:rFonts w:cs="Arial" w:hint="cs"/>
          <w:rtl/>
        </w:rPr>
        <w:t>,</w:t>
      </w:r>
      <w:r>
        <w:rPr>
          <w:rFonts w:cs="Arial"/>
          <w:rtl/>
        </w:rPr>
        <w:t xml:space="preserve"> אמאי אסרינן בכרמלית</w:t>
      </w:r>
      <w:r>
        <w:rPr>
          <w:rFonts w:cs="Arial" w:hint="cs"/>
          <w:rtl/>
        </w:rPr>
        <w:t>,</w:t>
      </w:r>
      <w:r>
        <w:rPr>
          <w:rFonts w:cs="Arial"/>
          <w:rtl/>
        </w:rPr>
        <w:t xml:space="preserve"> הא קיי</w:t>
      </w:r>
      <w:r>
        <w:rPr>
          <w:rFonts w:cs="Arial" w:hint="cs"/>
          <w:rtl/>
        </w:rPr>
        <w:t>"</w:t>
      </w:r>
      <w:r>
        <w:rPr>
          <w:rFonts w:cs="Arial"/>
          <w:rtl/>
        </w:rPr>
        <w:t>ל כרבא דאמר בפרק בתרא דעירובין (צט.) דלא גזרינן כרמלית אטו רשות הרבים במידי דלא מיתסר ברשות הרבים אלא משום גזירה</w:t>
      </w:r>
      <w:r>
        <w:rPr>
          <w:rFonts w:cs="Arial" w:hint="cs"/>
          <w:rtl/>
        </w:rPr>
        <w:t>,</w:t>
      </w:r>
      <w:r>
        <w:rPr>
          <w:rFonts w:cs="Arial"/>
          <w:rtl/>
        </w:rPr>
        <w:t xml:space="preserve"> וכן כתב רבינו בסימן ש"נ</w:t>
      </w:r>
      <w:r>
        <w:rPr>
          <w:rFonts w:cs="Arial" w:hint="cs"/>
          <w:rtl/>
        </w:rPr>
        <w:t>, ב"י.</w:t>
      </w:r>
    </w:p>
  </w:footnote>
  <w:footnote w:id="1712">
    <w:p w14:paraId="238103AD" w14:textId="0188DA83" w:rsidR="00AD01A9" w:rsidRDefault="00AD01A9" w:rsidP="00285819">
      <w:pPr>
        <w:pStyle w:val="a7"/>
      </w:pPr>
      <w:r>
        <w:rPr>
          <w:rStyle w:val="a9"/>
        </w:rPr>
        <w:footnoteRef/>
      </w:r>
      <w:r>
        <w:rPr>
          <w:rtl/>
        </w:rPr>
        <w:t xml:space="preserve"> </w:t>
      </w:r>
      <w:r>
        <w:rPr>
          <w:rFonts w:cs="Arial" w:hint="cs"/>
          <w:rtl/>
        </w:rPr>
        <w:t xml:space="preserve">כתב הב"י וז"ל- </w:t>
      </w:r>
      <w:r w:rsidRPr="00AD01A9">
        <w:rPr>
          <w:rFonts w:cs="Arial"/>
          <w:rtl/>
        </w:rPr>
        <w:t xml:space="preserve">והא דאסרינן לדדות ברשות הרבים לא חילק רבינו בין בהמה לבהמה וגם הרמב"ם </w:t>
      </w:r>
      <w:r w:rsidRPr="00AD01A9">
        <w:rPr>
          <w:rFonts w:cs="Arial" w:hint="cs"/>
          <w:rtl/>
        </w:rPr>
        <w:t>(</w:t>
      </w:r>
      <w:r w:rsidRPr="00AD01A9">
        <w:rPr>
          <w:rFonts w:cs="Arial"/>
          <w:rtl/>
        </w:rPr>
        <w:t>פכ"ה הכ"ו) לא חילק בכך</w:t>
      </w:r>
      <w:r w:rsidRPr="00AD01A9">
        <w:rPr>
          <w:rFonts w:cs="Arial" w:hint="cs"/>
          <w:rtl/>
        </w:rPr>
        <w:t>.</w:t>
      </w:r>
      <w:r w:rsidRPr="00AD01A9">
        <w:rPr>
          <w:rFonts w:cs="Arial"/>
          <w:rtl/>
        </w:rPr>
        <w:t xml:space="preserve"> אבל הר"ן (נא. ד"ה דוחין) כתב</w:t>
      </w:r>
      <w:r>
        <w:rPr>
          <w:rFonts w:cs="Arial" w:hint="cs"/>
          <w:rtl/>
        </w:rPr>
        <w:t>-...</w:t>
      </w:r>
    </w:p>
  </w:footnote>
  <w:footnote w:id="1713">
    <w:p w14:paraId="6E7C42FA" w14:textId="5D0BCD56" w:rsidR="00FC18A1" w:rsidRDefault="00FC18A1" w:rsidP="00285819">
      <w:pPr>
        <w:pStyle w:val="a7"/>
        <w:rPr>
          <w:rtl/>
        </w:rPr>
      </w:pPr>
      <w:r>
        <w:rPr>
          <w:rStyle w:val="a9"/>
        </w:rPr>
        <w:footnoteRef/>
      </w:r>
      <w:r>
        <w:rPr>
          <w:rtl/>
        </w:rPr>
        <w:t xml:space="preserve"> </w:t>
      </w:r>
      <w:r w:rsidRPr="00FC18A1">
        <w:rPr>
          <w:rFonts w:cs="Arial"/>
          <w:rtl/>
        </w:rPr>
        <w:t>בין גדולים בין קטנים</w:t>
      </w:r>
      <w:r>
        <w:rPr>
          <w:rFonts w:hint="cs"/>
          <w:rtl/>
        </w:rPr>
        <w:t>, משנ"ב (סקקמ"ז).</w:t>
      </w:r>
      <w:r w:rsidRPr="00FC18A1">
        <w:rPr>
          <w:rtl/>
        </w:rPr>
        <w:t xml:space="preserve"> </w:t>
      </w:r>
      <w:r>
        <w:rPr>
          <w:rFonts w:cs="Arial" w:hint="cs"/>
          <w:rtl/>
        </w:rPr>
        <w:t>ד</w:t>
      </w:r>
      <w:r w:rsidRPr="00FC18A1">
        <w:rPr>
          <w:rFonts w:cs="Arial"/>
          <w:rtl/>
        </w:rPr>
        <w:t>אף דהר"ן סבירא לה דגדולים מותר לדדן אפילו ברשות הרבים, כבר כתב בבית יוסף מדסתמו הרמב"ם והטור משמע דלא סבירא להו כן, ולכן סתם גם כן פה להחמיר, וכן משמע בפרי מגדים</w:t>
      </w:r>
      <w:r>
        <w:rPr>
          <w:rFonts w:cs="Arial" w:hint="cs"/>
          <w:rtl/>
        </w:rPr>
        <w:t>, שער הציון (אות קכ).</w:t>
      </w:r>
      <w:r w:rsidR="007F2E47" w:rsidRPr="007F2E47">
        <w:rPr>
          <w:rtl/>
        </w:rPr>
        <w:t xml:space="preserve"> </w:t>
      </w:r>
      <w:r w:rsidR="007F2E47" w:rsidRPr="007F2E47">
        <w:rPr>
          <w:rFonts w:cs="Arial"/>
          <w:rtl/>
        </w:rPr>
        <w:t>ומ"מ נראה דבעגלים גדולים מותר לדדות בכרמלית</w:t>
      </w:r>
      <w:r w:rsidR="007F2E47">
        <w:rPr>
          <w:rFonts w:hint="cs"/>
          <w:rtl/>
        </w:rPr>
        <w:t>, משנ"ב (סקק"נ).</w:t>
      </w:r>
    </w:p>
  </w:footnote>
  <w:footnote w:id="1714">
    <w:p w14:paraId="06DA802B" w14:textId="2BEDBA6F" w:rsidR="007F2E47" w:rsidRDefault="007F2E47" w:rsidP="00285819">
      <w:pPr>
        <w:pStyle w:val="a7"/>
      </w:pPr>
      <w:r>
        <w:rPr>
          <w:rStyle w:val="a9"/>
        </w:rPr>
        <w:footnoteRef/>
      </w:r>
      <w:r>
        <w:rPr>
          <w:rtl/>
        </w:rPr>
        <w:t xml:space="preserve"> </w:t>
      </w:r>
      <w:r w:rsidRPr="007F2E47">
        <w:rPr>
          <w:rFonts w:cs="Arial"/>
          <w:rtl/>
        </w:rPr>
        <w:t>ומשום צער בע"ח דאל"כ אסור לעשות כן דבכל מידי דלא חזי לטלטול כשם שאין מטלטלין כולו כך אין מטלטלין מקצתו כמ"ש סימן שי"א ס"ז גבי מת שלא יזיז ממנו אבר</w:t>
      </w:r>
      <w:r>
        <w:rPr>
          <w:rFonts w:cs="Arial" w:hint="cs"/>
          <w:rtl/>
        </w:rPr>
        <w:t>, משנ"ב (סקקנ"א).</w:t>
      </w:r>
    </w:p>
  </w:footnote>
  <w:footnote w:id="1715">
    <w:p w14:paraId="7C767C69" w14:textId="17B5BAAD" w:rsidR="007F2E47" w:rsidRDefault="007F2E47" w:rsidP="00285819">
      <w:pPr>
        <w:pStyle w:val="a7"/>
      </w:pPr>
      <w:r>
        <w:rPr>
          <w:rStyle w:val="a9"/>
        </w:rPr>
        <w:footnoteRef/>
      </w:r>
      <w:r>
        <w:rPr>
          <w:rtl/>
        </w:rPr>
        <w:t xml:space="preserve"> </w:t>
      </w:r>
      <w:r w:rsidRPr="007F2E47">
        <w:rPr>
          <w:rFonts w:cs="Arial"/>
          <w:rtl/>
        </w:rPr>
        <w:t>אפילו אם אינו לצרכה כדי להאכילה אלא לתועלתו כדי שלא יבוא לידי הפסד ממון</w:t>
      </w:r>
      <w:r>
        <w:rPr>
          <w:rFonts w:cs="Arial" w:hint="cs"/>
          <w:rtl/>
        </w:rPr>
        <w:t>,</w:t>
      </w:r>
      <w:r w:rsidRPr="007F2E47">
        <w:rPr>
          <w:rFonts w:cs="Arial"/>
          <w:rtl/>
        </w:rPr>
        <w:t xml:space="preserve"> כגון שברחה מן הבית לחוץ</w:t>
      </w:r>
      <w:r>
        <w:rPr>
          <w:rFonts w:cs="Arial" w:hint="cs"/>
          <w:rtl/>
        </w:rPr>
        <w:t>,</w:t>
      </w:r>
      <w:r w:rsidRPr="007F2E47">
        <w:rPr>
          <w:rFonts w:cs="Arial"/>
          <w:rtl/>
        </w:rPr>
        <w:t xml:space="preserve"> וה"ה אם ברחה מן הביצים</w:t>
      </w:r>
      <w:r>
        <w:rPr>
          <w:rFonts w:cs="Arial" w:hint="cs"/>
          <w:rtl/>
        </w:rPr>
        <w:t>,</w:t>
      </w:r>
      <w:r w:rsidRPr="007F2E47">
        <w:rPr>
          <w:rFonts w:cs="Arial"/>
          <w:rtl/>
        </w:rPr>
        <w:t xml:space="preserve"> אבל בלא הפסד ממון אפילו הדחיה אינו נכון כיון שאינו לצרכה [ב"ח וא"ר]</w:t>
      </w:r>
      <w:r>
        <w:rPr>
          <w:rFonts w:cs="Arial" w:hint="cs"/>
          <w:rtl/>
        </w:rPr>
        <w:t>, משנ"ב (סקקנ"ב).</w:t>
      </w:r>
    </w:p>
  </w:footnote>
  <w:footnote w:id="1716">
    <w:p w14:paraId="2C0412FC" w14:textId="7B3450C4" w:rsidR="00BE29FE" w:rsidRDefault="00BE29FE" w:rsidP="00285819">
      <w:pPr>
        <w:pStyle w:val="a7"/>
      </w:pPr>
      <w:r>
        <w:rPr>
          <w:rStyle w:val="a9"/>
        </w:rPr>
        <w:footnoteRef/>
      </w:r>
      <w:r>
        <w:rPr>
          <w:rtl/>
        </w:rPr>
        <w:t xml:space="preserve"> </w:t>
      </w:r>
      <w:r>
        <w:rPr>
          <w:rFonts w:hint="cs"/>
          <w:rtl/>
        </w:rPr>
        <w:t xml:space="preserve">סימן </w:t>
      </w:r>
      <w:r>
        <w:rPr>
          <w:rtl/>
        </w:rPr>
        <w:t>–</w:t>
      </w:r>
      <w:r>
        <w:rPr>
          <w:rFonts w:hint="cs"/>
          <w:rtl/>
        </w:rPr>
        <w:t xml:space="preserve"> צריך דחיפה.</w:t>
      </w:r>
    </w:p>
  </w:footnote>
  <w:footnote w:id="1717">
    <w:p w14:paraId="7B269CA5" w14:textId="77777777" w:rsidR="007C115F" w:rsidRDefault="007C115F" w:rsidP="00285819">
      <w:pPr>
        <w:pStyle w:val="a7"/>
        <w:rPr>
          <w:rtl/>
        </w:rPr>
      </w:pPr>
      <w:r>
        <w:rPr>
          <w:rStyle w:val="a9"/>
        </w:rPr>
        <w:footnoteRef/>
      </w:r>
      <w:r>
        <w:rPr>
          <w:rtl/>
        </w:rPr>
        <w:t xml:space="preserve"> </w:t>
      </w:r>
      <w:r w:rsidRPr="002154E2">
        <w:rPr>
          <w:rFonts w:cs="Arial"/>
          <w:rtl/>
        </w:rPr>
        <w:t>משמטים כלפי מטה, ומכבידין עצמן להשמיט מיד הנושאן</w:t>
      </w:r>
      <w:r>
        <w:rPr>
          <w:rFonts w:hint="cs"/>
          <w:rtl/>
        </w:rPr>
        <w:t>, רש"י.</w:t>
      </w:r>
    </w:p>
  </w:footnote>
  <w:footnote w:id="1718">
    <w:p w14:paraId="544B5F8A" w14:textId="13B2C4D1" w:rsidR="005A0413" w:rsidRDefault="005A0413" w:rsidP="00285819">
      <w:pPr>
        <w:pStyle w:val="a7"/>
      </w:pPr>
      <w:r>
        <w:rPr>
          <w:rStyle w:val="a9"/>
        </w:rPr>
        <w:footnoteRef/>
      </w:r>
      <w:r>
        <w:rPr>
          <w:rtl/>
        </w:rPr>
        <w:t xml:space="preserve"> </w:t>
      </w:r>
      <w:r>
        <w:rPr>
          <w:rFonts w:cs="Arial"/>
          <w:rtl/>
        </w:rPr>
        <w:t>וקיימא לן הכי (עירובין פב.) דכל מקום שאמר רבי יהודה אימתי אינו אלא לפרש דברי חכמים</w:t>
      </w:r>
      <w:r>
        <w:rPr>
          <w:rFonts w:cs="Arial" w:hint="cs"/>
          <w:rtl/>
        </w:rPr>
        <w:t>, ב"י.</w:t>
      </w:r>
    </w:p>
  </w:footnote>
  <w:footnote w:id="1719">
    <w:p w14:paraId="24B66B8F" w14:textId="54281898" w:rsidR="00E438C1" w:rsidRDefault="00E438C1" w:rsidP="00285819">
      <w:pPr>
        <w:pStyle w:val="a7"/>
        <w:rPr>
          <w:rtl/>
        </w:rPr>
      </w:pPr>
      <w:r>
        <w:rPr>
          <w:rStyle w:val="a9"/>
        </w:rPr>
        <w:footnoteRef/>
      </w:r>
      <w:r>
        <w:rPr>
          <w:rtl/>
        </w:rPr>
        <w:t xml:space="preserve"> </w:t>
      </w:r>
      <w:r w:rsidRPr="00E438C1">
        <w:rPr>
          <w:rFonts w:cs="Arial"/>
          <w:rtl/>
        </w:rPr>
        <w:t>דאי נמי מגביה ליה - חי נושא את עצמו, דהכי מוקמינן התם (שבת צד</w:t>
      </w:r>
      <w:r w:rsidRPr="00E438C1">
        <w:rPr>
          <w:rFonts w:cs="Arial" w:hint="cs"/>
          <w:rtl/>
        </w:rPr>
        <w:t>.</w:t>
      </w:r>
      <w:r w:rsidRPr="00E438C1">
        <w:rPr>
          <w:rFonts w:cs="Arial"/>
          <w:rtl/>
        </w:rPr>
        <w:t>) דבאדם מודו רבנן לר' נתן</w:t>
      </w:r>
      <w:r w:rsidRPr="00E438C1">
        <w:rPr>
          <w:rFonts w:hint="cs"/>
          <w:rtl/>
        </w:rPr>
        <w:t xml:space="preserve">, </w:t>
      </w:r>
      <w:r w:rsidRPr="008246DF">
        <w:rPr>
          <w:rFonts w:hint="cs"/>
          <w:b/>
          <w:bCs/>
          <w:rtl/>
        </w:rPr>
        <w:t>רש"י</w:t>
      </w:r>
      <w:r>
        <w:rPr>
          <w:rFonts w:hint="cs"/>
          <w:rtl/>
        </w:rPr>
        <w:t xml:space="preserve"> (דמקפיא נפשה)</w:t>
      </w:r>
      <w:r w:rsidRPr="00E438C1">
        <w:rPr>
          <w:rFonts w:hint="cs"/>
          <w:rtl/>
        </w:rPr>
        <w:t>.</w:t>
      </w:r>
      <w:r w:rsidR="008246DF" w:rsidRPr="008246DF">
        <w:rPr>
          <w:rFonts w:cs="Arial"/>
          <w:rtl/>
        </w:rPr>
        <w:t xml:space="preserve"> </w:t>
      </w:r>
      <w:r w:rsidR="008246DF">
        <w:rPr>
          <w:rFonts w:cs="Arial"/>
          <w:rtl/>
        </w:rPr>
        <w:t>אבל אם היה גורר אסור</w:t>
      </w:r>
      <w:r w:rsidR="008246DF">
        <w:rPr>
          <w:rFonts w:cs="Arial" w:hint="cs"/>
          <w:rtl/>
        </w:rPr>
        <w:t>,</w:t>
      </w:r>
      <w:r w:rsidR="008246DF">
        <w:rPr>
          <w:rFonts w:cs="Arial"/>
          <w:rtl/>
        </w:rPr>
        <w:t xml:space="preserve"> וכן הלכתא</w:t>
      </w:r>
      <w:r w:rsidR="008246DF">
        <w:rPr>
          <w:rFonts w:cs="Arial" w:hint="cs"/>
          <w:rtl/>
        </w:rPr>
        <w:t>,</w:t>
      </w:r>
      <w:r w:rsidR="008246DF">
        <w:rPr>
          <w:rFonts w:cs="Arial"/>
          <w:rtl/>
        </w:rPr>
        <w:t xml:space="preserve"> דכיון שהוא קטן כל כך שאינו אלא גורר לא מודו רבנן לרבי נתן</w:t>
      </w:r>
      <w:r w:rsidR="008246DF">
        <w:rPr>
          <w:rFonts w:cs="Arial" w:hint="cs"/>
          <w:rtl/>
        </w:rPr>
        <w:t xml:space="preserve">, </w:t>
      </w:r>
      <w:r w:rsidR="008246DF" w:rsidRPr="008246DF">
        <w:rPr>
          <w:rFonts w:cs="Arial"/>
          <w:b/>
          <w:bCs/>
          <w:rtl/>
        </w:rPr>
        <w:t>ר"ן</w:t>
      </w:r>
      <w:r w:rsidR="008246DF">
        <w:rPr>
          <w:rFonts w:cs="Arial"/>
          <w:rtl/>
        </w:rPr>
        <w:t xml:space="preserve"> (נא: דיבור ראשון)</w:t>
      </w:r>
      <w:r w:rsidR="008246DF">
        <w:rPr>
          <w:rFonts w:cs="Arial" w:hint="cs"/>
          <w:rtl/>
        </w:rPr>
        <w:t>.</w:t>
      </w:r>
      <w:r w:rsidR="008246DF">
        <w:rPr>
          <w:rFonts w:cs="Arial"/>
          <w:rtl/>
        </w:rPr>
        <w:t xml:space="preserve"> וכ</w:t>
      </w:r>
      <w:r w:rsidR="008246DF">
        <w:rPr>
          <w:rFonts w:cs="Arial" w:hint="cs"/>
          <w:rtl/>
        </w:rPr>
        <w:t>"כ רי"ו</w:t>
      </w:r>
      <w:r w:rsidR="008246DF">
        <w:rPr>
          <w:rFonts w:cs="Arial"/>
          <w:rtl/>
        </w:rPr>
        <w:t xml:space="preserve"> </w:t>
      </w:r>
      <w:r w:rsidR="008246DF">
        <w:rPr>
          <w:rFonts w:cs="Arial" w:hint="cs"/>
          <w:rtl/>
        </w:rPr>
        <w:t>(</w:t>
      </w:r>
      <w:r w:rsidR="008246DF">
        <w:rPr>
          <w:rFonts w:cs="Arial"/>
          <w:rtl/>
        </w:rPr>
        <w:t>נ</w:t>
      </w:r>
      <w:r w:rsidR="008246DF">
        <w:rPr>
          <w:rFonts w:cs="Arial" w:hint="cs"/>
          <w:rtl/>
        </w:rPr>
        <w:t>"</w:t>
      </w:r>
      <w:r w:rsidR="008246DF">
        <w:rPr>
          <w:rFonts w:cs="Arial"/>
          <w:rtl/>
        </w:rPr>
        <w:t>א</w:t>
      </w:r>
      <w:r w:rsidR="008246DF">
        <w:rPr>
          <w:rFonts w:cs="Arial" w:hint="cs"/>
          <w:rtl/>
        </w:rPr>
        <w:t xml:space="preserve"> </w:t>
      </w:r>
      <w:r w:rsidR="008246DF">
        <w:rPr>
          <w:rFonts w:cs="Arial"/>
          <w:rtl/>
        </w:rPr>
        <w:t>ח</w:t>
      </w:r>
      <w:r w:rsidR="008246DF">
        <w:rPr>
          <w:rFonts w:cs="Arial" w:hint="cs"/>
          <w:rtl/>
        </w:rPr>
        <w:t>"</w:t>
      </w:r>
      <w:r w:rsidR="008246DF">
        <w:rPr>
          <w:rFonts w:cs="Arial"/>
          <w:rtl/>
        </w:rPr>
        <w:t>א יג ע"ג) וז</w:t>
      </w:r>
      <w:r w:rsidR="008246DF">
        <w:rPr>
          <w:rFonts w:cs="Arial" w:hint="cs"/>
          <w:rtl/>
        </w:rPr>
        <w:t>"ל-</w:t>
      </w:r>
      <w:r w:rsidR="008246DF">
        <w:rPr>
          <w:rFonts w:cs="Arial"/>
          <w:rtl/>
        </w:rPr>
        <w:t xml:space="preserve"> ודוקא שנוטל אחת ומניח אחת</w:t>
      </w:r>
      <w:r w:rsidR="008246DF">
        <w:rPr>
          <w:rFonts w:cs="Arial" w:hint="cs"/>
          <w:rtl/>
        </w:rPr>
        <w:t>,</w:t>
      </w:r>
      <w:r w:rsidR="008246DF">
        <w:rPr>
          <w:rFonts w:cs="Arial"/>
          <w:rtl/>
        </w:rPr>
        <w:t xml:space="preserve"> כלומר שהתינוק מניע רגלו כשמגביה האחת מניח האחרת</w:t>
      </w:r>
      <w:r w:rsidR="008246DF">
        <w:rPr>
          <w:rFonts w:cs="Arial" w:hint="cs"/>
          <w:rtl/>
        </w:rPr>
        <w:t>,</w:t>
      </w:r>
      <w:r w:rsidR="008246DF">
        <w:rPr>
          <w:rFonts w:cs="Arial"/>
          <w:rtl/>
        </w:rPr>
        <w:t xml:space="preserve"> אבל גורר שתי רגליו</w:t>
      </w:r>
      <w:r w:rsidR="008246DF">
        <w:rPr>
          <w:rFonts w:cs="Arial" w:hint="cs"/>
          <w:rtl/>
        </w:rPr>
        <w:t xml:space="preserve"> -</w:t>
      </w:r>
      <w:r w:rsidR="008246DF">
        <w:rPr>
          <w:rFonts w:cs="Arial"/>
          <w:rtl/>
        </w:rPr>
        <w:t xml:space="preserve"> אסור מפני שנושאתו</w:t>
      </w:r>
      <w:r w:rsidR="008246DF">
        <w:rPr>
          <w:rFonts w:cs="Arial" w:hint="cs"/>
          <w:rtl/>
        </w:rPr>
        <w:t>.</w:t>
      </w:r>
      <w:r w:rsidR="008246DF">
        <w:rPr>
          <w:rFonts w:cs="Arial"/>
          <w:rtl/>
        </w:rPr>
        <w:t xml:space="preserve"> ואותם שאומרים שמותר לישא תינוק כשגורר שתי רגליו דהחי נושא את עצמו </w:t>
      </w:r>
      <w:r w:rsidR="008246DF">
        <w:rPr>
          <w:rFonts w:cs="Arial" w:hint="cs"/>
          <w:rtl/>
        </w:rPr>
        <w:t xml:space="preserve">- </w:t>
      </w:r>
      <w:r w:rsidR="008246DF">
        <w:rPr>
          <w:rFonts w:cs="Arial"/>
          <w:rtl/>
        </w:rPr>
        <w:t>טעות הוא בידם</w:t>
      </w:r>
      <w:r w:rsidR="008246DF">
        <w:rPr>
          <w:rFonts w:cs="Arial" w:hint="cs"/>
          <w:rtl/>
        </w:rPr>
        <w:t>,</w:t>
      </w:r>
      <w:r w:rsidR="008246DF">
        <w:rPr>
          <w:rFonts w:cs="Arial"/>
          <w:rtl/>
        </w:rPr>
        <w:t xml:space="preserve"> דלא אמרו חי נושא את עצמו אלא לפוטרו מחטאת</w:t>
      </w:r>
      <w:r w:rsidR="008246DF">
        <w:rPr>
          <w:rFonts w:cs="Arial" w:hint="cs"/>
          <w:rtl/>
        </w:rPr>
        <w:t>,</w:t>
      </w:r>
      <w:r w:rsidR="008246DF">
        <w:rPr>
          <w:rFonts w:cs="Arial"/>
          <w:rtl/>
        </w:rPr>
        <w:t xml:space="preserve"> אבל אסור כל זמן שיגרור אותן</w:t>
      </w:r>
      <w:r w:rsidR="008246DF">
        <w:rPr>
          <w:rFonts w:cs="Arial" w:hint="cs"/>
          <w:rtl/>
        </w:rPr>
        <w:t>.</w:t>
      </w:r>
      <w:r w:rsidR="008246DF">
        <w:rPr>
          <w:rFonts w:cs="Arial"/>
          <w:rtl/>
        </w:rPr>
        <w:t xml:space="preserve"> אלא כשמגביה אחת ומניח אחת כמו שכתבתי עכ"ל</w:t>
      </w:r>
      <w:r w:rsidR="008246DF">
        <w:rPr>
          <w:rFonts w:cs="Arial" w:hint="cs"/>
          <w:rtl/>
        </w:rPr>
        <w:t xml:space="preserve">, </w:t>
      </w:r>
      <w:r w:rsidR="008246DF" w:rsidRPr="008246DF">
        <w:rPr>
          <w:rFonts w:cs="Arial" w:hint="cs"/>
          <w:b/>
          <w:bCs/>
          <w:rtl/>
        </w:rPr>
        <w:t>ב"י</w:t>
      </w:r>
      <w:r w:rsidR="008246DF">
        <w:rPr>
          <w:rFonts w:cs="Arial" w:hint="cs"/>
          <w:rtl/>
        </w:rPr>
        <w:t>.</w:t>
      </w:r>
    </w:p>
  </w:footnote>
  <w:footnote w:id="1720">
    <w:p w14:paraId="1FBDD22C" w14:textId="47055DF6" w:rsidR="00790F53" w:rsidRDefault="00790F53" w:rsidP="00285819">
      <w:pPr>
        <w:pStyle w:val="a7"/>
      </w:pPr>
      <w:r>
        <w:rPr>
          <w:rStyle w:val="a9"/>
        </w:rPr>
        <w:footnoteRef/>
      </w:r>
      <w:r>
        <w:rPr>
          <w:rtl/>
        </w:rPr>
        <w:t xml:space="preserve"> </w:t>
      </w:r>
      <w:r>
        <w:rPr>
          <w:rFonts w:hint="cs"/>
          <w:rtl/>
        </w:rPr>
        <w:t>איחר.</w:t>
      </w:r>
    </w:p>
  </w:footnote>
  <w:footnote w:id="1721">
    <w:p w14:paraId="445286C5" w14:textId="5817BD9B" w:rsidR="00454569" w:rsidRDefault="00454569" w:rsidP="00285819">
      <w:pPr>
        <w:pStyle w:val="a7"/>
      </w:pPr>
      <w:r>
        <w:rPr>
          <w:rStyle w:val="a9"/>
        </w:rPr>
        <w:footnoteRef/>
      </w:r>
      <w:r>
        <w:rPr>
          <w:rtl/>
        </w:rPr>
        <w:t xml:space="preserve"> </w:t>
      </w:r>
      <w:r w:rsidRPr="00454569">
        <w:rPr>
          <w:rFonts w:cs="Arial"/>
          <w:rtl/>
        </w:rPr>
        <w:t>ש"מ דרבי חייא הוא דאמר מה שביד עכו"ם א"צ הכנה דאל"כ לא הוה רב אומר כן</w:t>
      </w:r>
      <w:r>
        <w:rPr>
          <w:rFonts w:cs="Arial" w:hint="cs"/>
          <w:rtl/>
        </w:rPr>
        <w:t>, קרבן העדה.</w:t>
      </w:r>
    </w:p>
  </w:footnote>
  <w:footnote w:id="1722">
    <w:p w14:paraId="568AD857" w14:textId="77777777" w:rsidR="00B77B88" w:rsidRDefault="00B77B88" w:rsidP="00285819">
      <w:pPr>
        <w:pStyle w:val="a7"/>
      </w:pPr>
      <w:r>
        <w:rPr>
          <w:rStyle w:val="a9"/>
        </w:rPr>
        <w:footnoteRef/>
      </w:r>
      <w:r>
        <w:rPr>
          <w:rtl/>
        </w:rPr>
        <w:t xml:space="preserve"> </w:t>
      </w:r>
      <w:r w:rsidRPr="00F76A96">
        <w:rPr>
          <w:rFonts w:cs="Arial"/>
          <w:rtl/>
        </w:rPr>
        <w:t>תמרי דעיסקא כדי נסבה דהא אפילו בשל ישראל לא הוו מוקצה כמו שנתבאר</w:t>
      </w:r>
      <w:r w:rsidRPr="00F76A96">
        <w:rPr>
          <w:rFonts w:cs="Arial" w:hint="cs"/>
          <w:rtl/>
        </w:rPr>
        <w:t>, ב"י</w:t>
      </w:r>
      <w:r>
        <w:rPr>
          <w:rFonts w:cs="Arial" w:hint="cs"/>
          <w:rtl/>
        </w:rPr>
        <w:t>.</w:t>
      </w:r>
    </w:p>
  </w:footnote>
  <w:footnote w:id="1723">
    <w:p w14:paraId="279A5E72" w14:textId="77777777" w:rsidR="00B77B88" w:rsidRDefault="00B77B88" w:rsidP="00285819">
      <w:pPr>
        <w:pStyle w:val="a7"/>
        <w:rPr>
          <w:rtl/>
        </w:rPr>
      </w:pPr>
      <w:r>
        <w:rPr>
          <w:rStyle w:val="a9"/>
        </w:rPr>
        <w:footnoteRef/>
      </w:r>
      <w:r>
        <w:rPr>
          <w:rtl/>
        </w:rPr>
        <w:t xml:space="preserve"> </w:t>
      </w:r>
      <w:r w:rsidRPr="00F76A96">
        <w:rPr>
          <w:rFonts w:cs="Arial"/>
          <w:rtl/>
        </w:rPr>
        <w:t>וכן כתב הר"ן בסוף פרק כל כתבי (מו: ד"ה עשה) אמתניתין דעשה כבש לירד בו ירד אחריו ישראל</w:t>
      </w:r>
      <w:r w:rsidRPr="00F76A96">
        <w:rPr>
          <w:rFonts w:hint="cs"/>
          <w:rtl/>
        </w:rPr>
        <w:t>, ב"י. וצל"ע מדוע הב"י לא הביא את המשך דברי הכל בו בשם הראב"ד</w:t>
      </w:r>
      <w:r>
        <w:rPr>
          <w:rFonts w:hint="cs"/>
          <w:rtl/>
        </w:rPr>
        <w:t>.</w:t>
      </w:r>
    </w:p>
  </w:footnote>
  <w:footnote w:id="1724">
    <w:p w14:paraId="6825F0E9" w14:textId="77777777" w:rsidR="00B77B88" w:rsidRDefault="00B77B88" w:rsidP="00285819">
      <w:pPr>
        <w:pStyle w:val="a7"/>
      </w:pPr>
      <w:r>
        <w:rPr>
          <w:rStyle w:val="a9"/>
        </w:rPr>
        <w:footnoteRef/>
      </w:r>
      <w:r>
        <w:rPr>
          <w:rFonts w:cs="Arial" w:hint="cs"/>
          <w:rtl/>
        </w:rPr>
        <w:t xml:space="preserve"> </w:t>
      </w:r>
      <w:r w:rsidRPr="002B27A3">
        <w:rPr>
          <w:rFonts w:cs="Arial"/>
          <w:rtl/>
        </w:rPr>
        <w:t xml:space="preserve">ומכאן אתה דן לדברים התלושין שאפאן או צלאן או בשלן הנכרי לצרכו בדברים שאין בהם משום בשולי נכרים שמותרין לישראל ואין בהם משום מוקצה והוא שראוין מתחלתן לכוס הא אם אינן ראוין מוקצין הן ואסורין לפי שיש לו איסור מוקצה בשבת משום דלא חזי והיינו דאמרינן בפ"ק דחולין </w:t>
      </w:r>
      <w:r>
        <w:rPr>
          <w:rFonts w:cs="Arial" w:hint="cs"/>
          <w:rtl/>
        </w:rPr>
        <w:t>(</w:t>
      </w:r>
      <w:r w:rsidRPr="002B27A3">
        <w:rPr>
          <w:rFonts w:cs="Arial"/>
          <w:rtl/>
        </w:rPr>
        <w:t>טו</w:t>
      </w:r>
      <w:r>
        <w:rPr>
          <w:rFonts w:cs="Arial" w:hint="cs"/>
          <w:rtl/>
        </w:rPr>
        <w:t>:)</w:t>
      </w:r>
      <w:r w:rsidRPr="002B27A3">
        <w:rPr>
          <w:rFonts w:cs="Arial"/>
          <w:rtl/>
        </w:rPr>
        <w:t xml:space="preserve"> השוחט לחולה בשבת אסור לבריא</w:t>
      </w:r>
      <w:r>
        <w:rPr>
          <w:rFonts w:cs="Arial" w:hint="cs"/>
          <w:rtl/>
        </w:rPr>
        <w:t>,</w:t>
      </w:r>
      <w:r w:rsidRPr="002B27A3">
        <w:rPr>
          <w:rFonts w:cs="Arial"/>
          <w:rtl/>
        </w:rPr>
        <w:t xml:space="preserve"> המבשל לחולה בשבת מותר לבריא</w:t>
      </w:r>
      <w:r>
        <w:rPr>
          <w:rFonts w:cs="Arial" w:hint="cs"/>
          <w:rtl/>
        </w:rPr>
        <w:t>,</w:t>
      </w:r>
      <w:r w:rsidRPr="002B27A3">
        <w:rPr>
          <w:rFonts w:cs="Arial"/>
          <w:rtl/>
        </w:rPr>
        <w:t xml:space="preserve"> מ"ט האי ראוי לכוס והאי אינו ראוי לכוס</w:t>
      </w:r>
      <w:r>
        <w:rPr>
          <w:rFonts w:cs="Arial" w:hint="cs"/>
          <w:rtl/>
        </w:rPr>
        <w:t>, ר"ן (שם).</w:t>
      </w:r>
    </w:p>
  </w:footnote>
  <w:footnote w:id="1725">
    <w:p w14:paraId="260F74A3" w14:textId="073B3B37" w:rsidR="00B75114" w:rsidRDefault="00B75114" w:rsidP="00285819">
      <w:pPr>
        <w:pStyle w:val="a7"/>
      </w:pPr>
      <w:r>
        <w:rPr>
          <w:rStyle w:val="a9"/>
        </w:rPr>
        <w:footnoteRef/>
      </w:r>
      <w:r>
        <w:rPr>
          <w:rtl/>
        </w:rPr>
        <w:t xml:space="preserve"> </w:t>
      </w:r>
      <w:r w:rsidRPr="00B75114">
        <w:rPr>
          <w:rFonts w:cs="Arial"/>
          <w:rtl/>
        </w:rPr>
        <w:t>דהא אפילו תגביהנו פטורה דחי נושא את עצמו ולית בזה אלא איסורא דרבנן והוי גזירה לגזירה ואם נושא כפות או חולה חייב דבזה לא שייך שנושא את עצמו. והנושא מת הוי מלאכה שא"צ לגופה עיין סימן רע"ח</w:t>
      </w:r>
      <w:r>
        <w:rPr>
          <w:rFonts w:cs="Arial" w:hint="cs"/>
          <w:rtl/>
        </w:rPr>
        <w:t>, משנ"ב (סקקנ"ג).</w:t>
      </w:r>
    </w:p>
  </w:footnote>
  <w:footnote w:id="1726">
    <w:p w14:paraId="7AF4D5A5" w14:textId="68A5A483" w:rsidR="00B75114" w:rsidRDefault="00B75114" w:rsidP="00285819">
      <w:pPr>
        <w:pStyle w:val="a7"/>
        <w:rPr>
          <w:rtl/>
        </w:rPr>
      </w:pPr>
      <w:r>
        <w:rPr>
          <w:rStyle w:val="a9"/>
        </w:rPr>
        <w:footnoteRef/>
      </w:r>
      <w:r>
        <w:rPr>
          <w:rtl/>
        </w:rPr>
        <w:t xml:space="preserve"> </w:t>
      </w:r>
      <w:r w:rsidRPr="00B75114">
        <w:rPr>
          <w:rFonts w:cs="Arial"/>
          <w:rtl/>
        </w:rPr>
        <w:t>מפני שנושאתו</w:t>
      </w:r>
      <w:r>
        <w:rPr>
          <w:rFonts w:cs="Arial" w:hint="cs"/>
          <w:rtl/>
        </w:rPr>
        <w:t>,</w:t>
      </w:r>
      <w:r w:rsidRPr="00B75114">
        <w:rPr>
          <w:rFonts w:cs="Arial"/>
          <w:rtl/>
        </w:rPr>
        <w:t xml:space="preserve"> כ"כ רש"י</w:t>
      </w:r>
      <w:r>
        <w:rPr>
          <w:rFonts w:cs="Arial" w:hint="cs"/>
          <w:rtl/>
        </w:rPr>
        <w:t>.</w:t>
      </w:r>
      <w:r w:rsidRPr="00B75114">
        <w:rPr>
          <w:rFonts w:cs="Arial"/>
          <w:rtl/>
        </w:rPr>
        <w:t xml:space="preserve"> משמע דס"ל דהוי כמו שנושאו</w:t>
      </w:r>
      <w:r>
        <w:rPr>
          <w:rFonts w:cs="Arial" w:hint="cs"/>
          <w:rtl/>
        </w:rPr>
        <w:t>,</w:t>
      </w:r>
      <w:r w:rsidRPr="00B75114">
        <w:rPr>
          <w:rFonts w:cs="Arial"/>
          <w:rtl/>
        </w:rPr>
        <w:t xml:space="preserve"> וא"כ אפילו בכרמלית אסור</w:t>
      </w:r>
      <w:r>
        <w:rPr>
          <w:rFonts w:cs="Arial" w:hint="cs"/>
          <w:rtl/>
        </w:rPr>
        <w:t>.</w:t>
      </w:r>
      <w:r w:rsidRPr="00B75114">
        <w:rPr>
          <w:rFonts w:cs="Arial"/>
          <w:rtl/>
        </w:rPr>
        <w:t xml:space="preserve"> ויש שמקילין בזה</w:t>
      </w:r>
      <w:r>
        <w:rPr>
          <w:rFonts w:cs="Arial" w:hint="cs"/>
          <w:rtl/>
        </w:rPr>
        <w:t>.</w:t>
      </w:r>
      <w:r w:rsidRPr="00B75114">
        <w:rPr>
          <w:rFonts w:cs="Arial"/>
          <w:rtl/>
        </w:rPr>
        <w:t xml:space="preserve"> אבל לישא אותו על כתפו גם בכרמלית </w:t>
      </w:r>
      <w:r>
        <w:rPr>
          <w:rFonts w:cs="Arial" w:hint="cs"/>
          <w:rtl/>
        </w:rPr>
        <w:t xml:space="preserve">- </w:t>
      </w:r>
      <w:r w:rsidRPr="00B75114">
        <w:rPr>
          <w:rFonts w:cs="Arial"/>
          <w:rtl/>
        </w:rPr>
        <w:t>אסור לכו"ע</w:t>
      </w:r>
      <w:r>
        <w:rPr>
          <w:rFonts w:cs="Arial" w:hint="cs"/>
          <w:rtl/>
        </w:rPr>
        <w:t>.</w:t>
      </w:r>
      <w:r w:rsidRPr="00B75114">
        <w:rPr>
          <w:rFonts w:cs="Arial"/>
          <w:rtl/>
        </w:rPr>
        <w:t xml:space="preserve"> ויש מהמון שנכשלין בזה שנושאין קטנים על כתפיהם</w:t>
      </w:r>
      <w:r>
        <w:rPr>
          <w:rFonts w:cs="Arial" w:hint="cs"/>
          <w:rtl/>
        </w:rPr>
        <w:t>,</w:t>
      </w:r>
      <w:r w:rsidRPr="00B75114">
        <w:rPr>
          <w:rFonts w:cs="Arial"/>
          <w:rtl/>
        </w:rPr>
        <w:t xml:space="preserve"> וטעותן הוא מפני שהקטן יכול לילך בעצמו</w:t>
      </w:r>
      <w:r>
        <w:rPr>
          <w:rFonts w:cs="Arial" w:hint="cs"/>
          <w:rtl/>
        </w:rPr>
        <w:t>,</w:t>
      </w:r>
      <w:r w:rsidRPr="00B75114">
        <w:rPr>
          <w:rFonts w:cs="Arial"/>
          <w:rtl/>
        </w:rPr>
        <w:t xml:space="preserve"> ושגגה היא דאיסור דרבנן יש בכל אופן אפילו בכרמלית</w:t>
      </w:r>
      <w:r>
        <w:rPr>
          <w:rFonts w:cs="Arial" w:hint="cs"/>
          <w:rtl/>
        </w:rPr>
        <w:t>.</w:t>
      </w:r>
      <w:r w:rsidRPr="00B75114">
        <w:rPr>
          <w:rFonts w:cs="Arial"/>
          <w:rtl/>
        </w:rPr>
        <w:t xml:space="preserve"> ומ"מ טוב למנוע מלומר להן שבודאי לא ישמעו לנו ומוטב שיהיו שוגגין ואל יהיו מזידין. וקטן שאין יכול לילך בעצמו כלל חייב לרוב הפוסקים כשנשאו בר"ה. וע"י </w:t>
      </w:r>
      <w:r>
        <w:rPr>
          <w:rFonts w:cs="Arial" w:hint="cs"/>
          <w:rtl/>
        </w:rPr>
        <w:t>גו</w:t>
      </w:r>
      <w:r w:rsidRPr="00B75114">
        <w:rPr>
          <w:rFonts w:cs="Arial"/>
          <w:rtl/>
        </w:rPr>
        <w:t>י שרי לדידן דאין מצוי אצלנו ר"ה [פמ"ג]. המוציא תינוק וכיס תלוי בצוארו חייב אף שהתינוק יכול לילך בעצמו דאין בו איסור דאורייתא דחי נושא את עצמו מ"מ חייב משום כיס דכיס אינו בטל לגביה שהוא אין צריך לו</w:t>
      </w:r>
      <w:r>
        <w:rPr>
          <w:rFonts w:cs="Arial" w:hint="cs"/>
          <w:rtl/>
        </w:rPr>
        <w:t>.</w:t>
      </w:r>
      <w:r w:rsidRPr="00B75114">
        <w:rPr>
          <w:rFonts w:cs="Arial"/>
          <w:rtl/>
        </w:rPr>
        <w:t xml:space="preserve"> אבל המוציא גדול המלובש בכליו פטור דבגדיו טפלים לו ועליו אינו חייב דהוא נושא א"ע ולית ביה אלא איסורא דרבנן [רמב"ם והובא במ"א]</w:t>
      </w:r>
      <w:r>
        <w:rPr>
          <w:rFonts w:hint="cs"/>
          <w:rtl/>
        </w:rPr>
        <w:t>, משנ"ב (סקקנ"ד).</w:t>
      </w:r>
    </w:p>
  </w:footnote>
  <w:footnote w:id="1727">
    <w:p w14:paraId="22730AED" w14:textId="77B1687C" w:rsidR="00BE1F3E" w:rsidRDefault="00BE1F3E" w:rsidP="00285819">
      <w:pPr>
        <w:pStyle w:val="a7"/>
      </w:pPr>
      <w:r>
        <w:rPr>
          <w:rStyle w:val="a9"/>
        </w:rPr>
        <w:footnoteRef/>
      </w:r>
      <w:r>
        <w:rPr>
          <w:rtl/>
        </w:rPr>
        <w:t xml:space="preserve"> </w:t>
      </w:r>
      <w:r w:rsidRPr="00BE1F3E">
        <w:rPr>
          <w:rFonts w:cs="Arial"/>
          <w:rtl/>
        </w:rPr>
        <w:t>שהן מוקצין מחמת איסור טבל, ואסורין לטלטל</w:t>
      </w:r>
      <w:r>
        <w:rPr>
          <w:rFonts w:cs="Arial" w:hint="cs"/>
          <w:rtl/>
        </w:rPr>
        <w:t>, רש"י.</w:t>
      </w:r>
    </w:p>
  </w:footnote>
  <w:footnote w:id="1728">
    <w:p w14:paraId="30812047" w14:textId="002707CF" w:rsidR="00BE1F3E" w:rsidRDefault="00BE1F3E" w:rsidP="00285819">
      <w:pPr>
        <w:pStyle w:val="a7"/>
      </w:pPr>
      <w:r>
        <w:rPr>
          <w:rStyle w:val="a9"/>
        </w:rPr>
        <w:footnoteRef/>
      </w:r>
      <w:r>
        <w:rPr>
          <w:rtl/>
        </w:rPr>
        <w:t xml:space="preserve"> </w:t>
      </w:r>
      <w:r w:rsidRPr="00BE1F3E">
        <w:rPr>
          <w:rFonts w:cs="Arial"/>
          <w:rtl/>
        </w:rPr>
        <w:t>שאינו חסר</w:t>
      </w:r>
      <w:r>
        <w:rPr>
          <w:rFonts w:cs="Arial" w:hint="cs"/>
          <w:rtl/>
        </w:rPr>
        <w:t>, רש"י.</w:t>
      </w:r>
    </w:p>
  </w:footnote>
  <w:footnote w:id="1729">
    <w:p w14:paraId="415C8195" w14:textId="77777777" w:rsidR="000C38C0" w:rsidRDefault="000C38C0" w:rsidP="00285819">
      <w:pPr>
        <w:pStyle w:val="a7"/>
        <w:rPr>
          <w:rtl/>
        </w:rPr>
      </w:pPr>
      <w:r>
        <w:rPr>
          <w:rStyle w:val="a9"/>
        </w:rPr>
        <w:footnoteRef/>
      </w:r>
      <w:r>
        <w:rPr>
          <w:rtl/>
        </w:rPr>
        <w:t xml:space="preserve"> </w:t>
      </w:r>
      <w:r w:rsidRPr="00AD4DF7">
        <w:rPr>
          <w:rFonts w:cs="Arial"/>
          <w:rtl/>
        </w:rPr>
        <w:t>וכ</w:t>
      </w:r>
      <w:r>
        <w:rPr>
          <w:rFonts w:cs="Arial" w:hint="cs"/>
          <w:rtl/>
        </w:rPr>
        <w:t xml:space="preserve">ן </w:t>
      </w:r>
      <w:r w:rsidRPr="00AD4DF7">
        <w:rPr>
          <w:rFonts w:cs="Arial"/>
          <w:rtl/>
        </w:rPr>
        <w:t>ה</w:t>
      </w:r>
      <w:r>
        <w:rPr>
          <w:rFonts w:cs="Arial" w:hint="cs"/>
          <w:rtl/>
        </w:rPr>
        <w:t>וא</w:t>
      </w:r>
      <w:r w:rsidRPr="00AD4DF7">
        <w:rPr>
          <w:rFonts w:cs="Arial"/>
          <w:rtl/>
        </w:rPr>
        <w:t xml:space="preserve"> בשבת פ"ד ה"ב</w:t>
      </w:r>
      <w:r>
        <w:rPr>
          <w:rFonts w:hint="cs"/>
          <w:rtl/>
        </w:rPr>
        <w:t>.</w:t>
      </w:r>
    </w:p>
  </w:footnote>
  <w:footnote w:id="1730">
    <w:p w14:paraId="47D417D4" w14:textId="0860E74B" w:rsidR="007A62DB" w:rsidRDefault="007A62DB" w:rsidP="00285819">
      <w:pPr>
        <w:pStyle w:val="a7"/>
        <w:rPr>
          <w:rtl/>
        </w:rPr>
      </w:pPr>
      <w:r>
        <w:rPr>
          <w:rStyle w:val="a9"/>
        </w:rPr>
        <w:footnoteRef/>
      </w:r>
      <w:r>
        <w:rPr>
          <w:rtl/>
        </w:rPr>
        <w:t xml:space="preserve"> </w:t>
      </w:r>
      <w:r w:rsidRPr="006F590D">
        <w:rPr>
          <w:rFonts w:cs="Arial"/>
          <w:rtl/>
        </w:rPr>
        <w:t>עיין במרדכי פ' במ"ט, דמחלק כה"ג לענין קנים, משום דמתנע</w:t>
      </w:r>
      <w:r>
        <w:rPr>
          <w:rFonts w:cs="Arial" w:hint="cs"/>
          <w:rtl/>
        </w:rPr>
        <w:t>נ</w:t>
      </w:r>
      <w:r w:rsidRPr="006F590D">
        <w:rPr>
          <w:rFonts w:cs="Arial"/>
          <w:rtl/>
        </w:rPr>
        <w:t>ענים</w:t>
      </w:r>
      <w:r>
        <w:rPr>
          <w:rFonts w:hint="cs"/>
          <w:rtl/>
        </w:rPr>
        <w:t>, תרוה"ד (סי' סז).</w:t>
      </w:r>
    </w:p>
  </w:footnote>
  <w:footnote w:id="1731">
    <w:p w14:paraId="2CA916A3" w14:textId="7709C354" w:rsidR="007A62DB" w:rsidRDefault="007A62DB" w:rsidP="00285819">
      <w:pPr>
        <w:pStyle w:val="a7"/>
      </w:pPr>
      <w:r>
        <w:rPr>
          <w:rStyle w:val="a9"/>
        </w:rPr>
        <w:footnoteRef/>
      </w:r>
      <w:r>
        <w:rPr>
          <w:rtl/>
        </w:rPr>
        <w:t xml:space="preserve"> </w:t>
      </w:r>
      <w:r w:rsidRPr="00AD4DF7">
        <w:rPr>
          <w:rFonts w:cs="Arial"/>
          <w:rtl/>
        </w:rPr>
        <w:t>ובמג"א (</w:t>
      </w:r>
      <w:r w:rsidR="00B05450">
        <w:rPr>
          <w:rFonts w:cs="Arial" w:hint="cs"/>
          <w:rtl/>
        </w:rPr>
        <w:t xml:space="preserve">סי' </w:t>
      </w:r>
      <w:r w:rsidRPr="00AD4DF7">
        <w:rPr>
          <w:rFonts w:cs="Arial"/>
          <w:rtl/>
        </w:rPr>
        <w:t>שי סק"ג) הביאו להלכה. והגר"א הקשה עליו ממשנה בשבת (קנא</w:t>
      </w:r>
      <w:r>
        <w:rPr>
          <w:rFonts w:cs="Arial" w:hint="cs"/>
          <w:rtl/>
        </w:rPr>
        <w:t>.</w:t>
      </w:r>
      <w:r w:rsidRPr="00AD4DF7">
        <w:rPr>
          <w:rFonts w:cs="Arial"/>
          <w:rtl/>
        </w:rPr>
        <w:t>) דעושין כל צרכי המת סכין ומדיחין אותו ובלבד שלא יזיז בו אבר, וחזינן דמותר ליגע בלא טלטול גם לצורך המוקצה דהא גם במת לא התירו איסור מוקצה אלא ע"י ככר או תינוק</w:t>
      </w:r>
      <w:r>
        <w:rPr>
          <w:rFonts w:cs="Arial" w:hint="cs"/>
          <w:rtl/>
        </w:rPr>
        <w:t xml:space="preserve">, </w:t>
      </w:r>
      <w:r w:rsidRPr="006F590D">
        <w:rPr>
          <w:rFonts w:cs="Arial"/>
          <w:rtl/>
        </w:rPr>
        <w:t xml:space="preserve">הערות הגרי"ש אלישיב </w:t>
      </w:r>
      <w:r>
        <w:rPr>
          <w:rFonts w:cs="Arial" w:hint="cs"/>
          <w:rtl/>
        </w:rPr>
        <w:t>(</w:t>
      </w:r>
      <w:r w:rsidRPr="006F590D">
        <w:rPr>
          <w:rFonts w:cs="Arial"/>
          <w:rtl/>
        </w:rPr>
        <w:t>ביצה ג</w:t>
      </w:r>
      <w:r>
        <w:rPr>
          <w:rFonts w:cs="Arial" w:hint="cs"/>
          <w:rtl/>
        </w:rPr>
        <w:t>:)</w:t>
      </w:r>
      <w:r w:rsidRPr="00AD4DF7">
        <w:rPr>
          <w:rFonts w:cs="Arial"/>
          <w:rtl/>
        </w:rPr>
        <w:t>.</w:t>
      </w:r>
    </w:p>
  </w:footnote>
  <w:footnote w:id="1732">
    <w:p w14:paraId="6981BD1D" w14:textId="2C644F31" w:rsidR="001F0587" w:rsidRDefault="001F0587" w:rsidP="00285819">
      <w:pPr>
        <w:pStyle w:val="a7"/>
      </w:pPr>
      <w:r>
        <w:rPr>
          <w:rStyle w:val="a9"/>
        </w:rPr>
        <w:footnoteRef/>
      </w:r>
      <w:r>
        <w:rPr>
          <w:rtl/>
        </w:rPr>
        <w:t xml:space="preserve"> </w:t>
      </w:r>
      <w:r>
        <w:rPr>
          <w:rFonts w:cs="Arial" w:hint="cs"/>
          <w:rtl/>
        </w:rPr>
        <w:t>וכ"כ רי"ו</w:t>
      </w:r>
      <w:r w:rsidRPr="00FB3622">
        <w:rPr>
          <w:rFonts w:cs="Arial"/>
          <w:rtl/>
        </w:rPr>
        <w:t xml:space="preserve"> </w:t>
      </w:r>
      <w:r>
        <w:rPr>
          <w:rFonts w:cs="Arial" w:hint="cs"/>
          <w:rtl/>
        </w:rPr>
        <w:t>(</w:t>
      </w:r>
      <w:r w:rsidRPr="00FB3622">
        <w:rPr>
          <w:rFonts w:cs="Arial"/>
          <w:rtl/>
        </w:rPr>
        <w:t>ח</w:t>
      </w:r>
      <w:r>
        <w:rPr>
          <w:rFonts w:cs="Arial" w:hint="cs"/>
          <w:rtl/>
        </w:rPr>
        <w:t xml:space="preserve">י"ג </w:t>
      </w:r>
      <w:r w:rsidRPr="00FB3622">
        <w:rPr>
          <w:rFonts w:cs="Arial"/>
          <w:rtl/>
        </w:rPr>
        <w:t>ני"ב פה.</w:t>
      </w:r>
      <w:r>
        <w:rPr>
          <w:rFonts w:cs="Arial" w:hint="cs"/>
          <w:rtl/>
        </w:rPr>
        <w:t>)</w:t>
      </w:r>
      <w:r w:rsidRPr="00FB3622">
        <w:rPr>
          <w:rFonts w:cs="Arial"/>
          <w:rtl/>
        </w:rPr>
        <w:t xml:space="preserve"> ה</w:t>
      </w:r>
      <w:r>
        <w:rPr>
          <w:rFonts w:cs="Arial" w:hint="cs"/>
          <w:rtl/>
        </w:rPr>
        <w:t>ה"מ</w:t>
      </w:r>
      <w:r w:rsidRPr="00FB3622">
        <w:rPr>
          <w:rFonts w:cs="Arial"/>
          <w:rtl/>
        </w:rPr>
        <w:t xml:space="preserve"> (</w:t>
      </w:r>
      <w:r>
        <w:rPr>
          <w:rFonts w:cs="Arial" w:hint="cs"/>
          <w:rtl/>
        </w:rPr>
        <w:t xml:space="preserve">פכ"ה </w:t>
      </w:r>
      <w:r w:rsidRPr="00FB3622">
        <w:rPr>
          <w:rFonts w:cs="Arial"/>
          <w:rtl/>
        </w:rPr>
        <w:t>הכ"ג</w:t>
      </w:r>
      <w:r>
        <w:rPr>
          <w:rFonts w:cs="Arial" w:hint="cs"/>
          <w:rtl/>
        </w:rPr>
        <w:t>,</w:t>
      </w:r>
      <w:r w:rsidRPr="00FB3622">
        <w:rPr>
          <w:rFonts w:cs="Arial"/>
          <w:rtl/>
        </w:rPr>
        <w:t xml:space="preserve"> גבי אין נותנין כלי תחת התרנגולת לקבל ביצתה אבל כופה הוא הכלי עליה</w:t>
      </w:r>
      <w:r>
        <w:rPr>
          <w:rFonts w:cs="Arial" w:hint="cs"/>
          <w:rtl/>
        </w:rPr>
        <w:t xml:space="preserve">) </w:t>
      </w:r>
      <w:r w:rsidRPr="00FB3622">
        <w:rPr>
          <w:rFonts w:cs="Arial"/>
          <w:rtl/>
        </w:rPr>
        <w:t>ו</w:t>
      </w:r>
      <w:r>
        <w:rPr>
          <w:rFonts w:cs="Arial" w:hint="cs"/>
          <w:rtl/>
        </w:rPr>
        <w:t>תרוה"ד (סי' סז).</w:t>
      </w:r>
      <w:r w:rsidRPr="00FB3622">
        <w:rPr>
          <w:rFonts w:cs="Arial"/>
          <w:rtl/>
        </w:rPr>
        <w:t xml:space="preserve"> וכן כתב הכל בו בסוף דיני שבת (שם לד:) בשם רבינו מאיר וכתב שגם כן התיר ליגע בתנור של בית החורף שהוחם בשבת</w:t>
      </w:r>
      <w:r>
        <w:rPr>
          <w:rFonts w:cs="Arial" w:hint="cs"/>
          <w:rtl/>
        </w:rPr>
        <w:t>.</w:t>
      </w:r>
      <w:r w:rsidRPr="00FB3622">
        <w:rPr>
          <w:rFonts w:cs="Arial"/>
          <w:rtl/>
        </w:rPr>
        <w:t xml:space="preserve"> ועוד אכתוב בזה בסימן ש"י (סט: ומ"ש רבינו) גבי כל דבר שאסור לטלטלו אסור ליתן תחתיו כלי וכו' אבל מותר לכסותו ובלבד שלא יגע בו וגם בסימן תקי"ג (רמו. ד"ה ומ"ש ובלבד) אכתוב בזה</w:t>
      </w:r>
      <w:r>
        <w:rPr>
          <w:rFonts w:cs="Arial" w:hint="cs"/>
          <w:rtl/>
        </w:rPr>
        <w:t>, ב"י.</w:t>
      </w:r>
    </w:p>
  </w:footnote>
  <w:footnote w:id="1733">
    <w:p w14:paraId="61F97719" w14:textId="0AA74CD4" w:rsidR="00A370FC" w:rsidRDefault="00A370FC" w:rsidP="00285819">
      <w:pPr>
        <w:pStyle w:val="a7"/>
      </w:pPr>
      <w:r>
        <w:rPr>
          <w:rStyle w:val="a9"/>
        </w:rPr>
        <w:footnoteRef/>
      </w:r>
      <w:r>
        <w:rPr>
          <w:rtl/>
        </w:rPr>
        <w:t xml:space="preserve"> </w:t>
      </w:r>
      <w:r w:rsidRPr="00A370FC">
        <w:rPr>
          <w:rFonts w:cs="Arial"/>
          <w:rtl/>
        </w:rPr>
        <w:t>גם רבינו מאיר התיר ליגע בשבת במעמד שלפני ארון הקדש והנרות דולקות ועומדות עליו ובלבד שלא יהא מנענעו אף על פי שהוא תשמיש מוקצה דאפילו מוקצה עצמו אינו אסור ליגע כ"א כשמנענעו</w:t>
      </w:r>
      <w:r>
        <w:rPr>
          <w:rFonts w:cs="Arial" w:hint="cs"/>
          <w:rtl/>
        </w:rPr>
        <w:t>, מרדכי (שבת סי' ת).</w:t>
      </w:r>
      <w:r w:rsidR="00EB3785">
        <w:rPr>
          <w:rFonts w:hint="cs"/>
          <w:rtl/>
        </w:rPr>
        <w:t xml:space="preserve"> ועוד כתב שם המרדכי </w:t>
      </w:r>
      <w:r w:rsidR="00EB3785">
        <w:rPr>
          <w:rFonts w:cs="Arial" w:hint="cs"/>
          <w:rtl/>
        </w:rPr>
        <w:t>לגבי דלת שבצידה הפנימי תלוי נר</w:t>
      </w:r>
      <w:r w:rsidR="001F0587">
        <w:rPr>
          <w:rFonts w:cs="Arial" w:hint="cs"/>
          <w:rtl/>
        </w:rPr>
        <w:t xml:space="preserve"> דאסור לטלטלו משום כיבוי ו</w:t>
      </w:r>
      <w:r w:rsidR="00EB3785" w:rsidRPr="00EB3785">
        <w:rPr>
          <w:rFonts w:cs="Arial"/>
          <w:rtl/>
        </w:rPr>
        <w:t xml:space="preserve">אין להקשות לפי' זה </w:t>
      </w:r>
      <w:r w:rsidR="001F0587">
        <w:rPr>
          <w:rFonts w:cs="Arial" w:hint="cs"/>
          <w:rtl/>
        </w:rPr>
        <w:t>ד</w:t>
      </w:r>
      <w:r w:rsidR="00EB3785" w:rsidRPr="00EB3785">
        <w:rPr>
          <w:rFonts w:cs="Arial"/>
          <w:rtl/>
        </w:rPr>
        <w:t>בלא כיבוי והבערה יהא אסור מחמת טלטול הנר</w:t>
      </w:r>
      <w:r w:rsidR="001F0587">
        <w:rPr>
          <w:rFonts w:cs="Arial" w:hint="cs"/>
          <w:rtl/>
        </w:rPr>
        <w:t>,</w:t>
      </w:r>
      <w:r w:rsidR="00EB3785" w:rsidRPr="00EB3785">
        <w:rPr>
          <w:rFonts w:cs="Arial"/>
          <w:rtl/>
        </w:rPr>
        <w:t xml:space="preserve"> די"ל דנעילת הדלת לא חשיב טלטול הנר וגם לא נעשה בסיס לנר דחשיב ובטיל לגבי הבית ולא לגבי הנר</w:t>
      </w:r>
      <w:r w:rsidR="001F0587">
        <w:rPr>
          <w:rFonts w:cs="Arial" w:hint="cs"/>
          <w:rtl/>
        </w:rPr>
        <w:t>.</w:t>
      </w:r>
    </w:p>
  </w:footnote>
  <w:footnote w:id="1734">
    <w:p w14:paraId="5865B569" w14:textId="77777777" w:rsidR="006F590D" w:rsidRDefault="006F590D" w:rsidP="00285819">
      <w:pPr>
        <w:pStyle w:val="a7"/>
        <w:rPr>
          <w:rtl/>
        </w:rPr>
      </w:pPr>
      <w:r>
        <w:rPr>
          <w:rStyle w:val="a9"/>
        </w:rPr>
        <w:footnoteRef/>
      </w:r>
      <w:r>
        <w:rPr>
          <w:rtl/>
        </w:rPr>
        <w:t xml:space="preserve"> </w:t>
      </w:r>
      <w:r w:rsidRPr="00216370">
        <w:rPr>
          <w:rFonts w:cs="Arial"/>
          <w:rtl/>
        </w:rPr>
        <w:t>לא ידעתי טעם וכי המוקצה והנולד אסור ליגע בהן כל שאינו מנענע הא ודאי לא ואפשר שמא ינענע הביצה ע</w:t>
      </w:r>
      <w:r>
        <w:rPr>
          <w:rFonts w:cs="Arial" w:hint="cs"/>
          <w:rtl/>
        </w:rPr>
        <w:t>"</w:t>
      </w:r>
      <w:r w:rsidRPr="00216370">
        <w:rPr>
          <w:rFonts w:cs="Arial"/>
          <w:rtl/>
        </w:rPr>
        <w:t>י הכלי</w:t>
      </w:r>
      <w:r>
        <w:rPr>
          <w:rFonts w:hint="cs"/>
          <w:rtl/>
        </w:rPr>
        <w:t>, הה"מ</w:t>
      </w:r>
      <w:r w:rsidRPr="00216370">
        <w:rPr>
          <w:rFonts w:hint="cs"/>
          <w:sz w:val="16"/>
          <w:szCs w:val="16"/>
          <w:rtl/>
        </w:rPr>
        <w:t xml:space="preserve"> (שם)</w:t>
      </w:r>
      <w:r>
        <w:rPr>
          <w:rFonts w:hint="cs"/>
          <w:rtl/>
        </w:rPr>
        <w:t>.</w:t>
      </w:r>
    </w:p>
  </w:footnote>
  <w:footnote w:id="1735">
    <w:p w14:paraId="3C50E9C0" w14:textId="39F47A7F" w:rsidR="00BC4280" w:rsidRDefault="00BC4280" w:rsidP="00285819">
      <w:pPr>
        <w:pStyle w:val="a7"/>
      </w:pPr>
      <w:r>
        <w:rPr>
          <w:rStyle w:val="a9"/>
        </w:rPr>
        <w:footnoteRef/>
      </w:r>
      <w:r>
        <w:rPr>
          <w:rtl/>
        </w:rPr>
        <w:t xml:space="preserve"> </w:t>
      </w:r>
      <w:r w:rsidRPr="004F58E1">
        <w:rPr>
          <w:rFonts w:cs="Arial"/>
          <w:rtl/>
        </w:rPr>
        <w:t>יתקן, להתיר בליטותיו ועוקציו בשבת, דעביד כלי והוי מכה בפטיש</w:t>
      </w:r>
      <w:r>
        <w:rPr>
          <w:rFonts w:cs="Arial" w:hint="cs"/>
          <w:rtl/>
        </w:rPr>
        <w:t>, רש"י.</w:t>
      </w:r>
      <w:r w:rsidR="000E5FA7">
        <w:rPr>
          <w:rFonts w:hint="cs"/>
          <w:rtl/>
        </w:rPr>
        <w:t xml:space="preserve"> אך הרי"ף (מח:) כתב ד</w:t>
      </w:r>
      <w:r w:rsidR="000E5FA7" w:rsidRPr="000E5FA7">
        <w:rPr>
          <w:rFonts w:cs="Arial"/>
          <w:rtl/>
        </w:rPr>
        <w:t xml:space="preserve">פירוש </w:t>
      </w:r>
      <w:r w:rsidR="000E5FA7">
        <w:rPr>
          <w:rFonts w:cs="Arial" w:hint="cs"/>
          <w:rtl/>
        </w:rPr>
        <w:t>'</w:t>
      </w:r>
      <w:r w:rsidR="000E5FA7" w:rsidRPr="000E5FA7">
        <w:rPr>
          <w:rFonts w:cs="Arial"/>
          <w:rtl/>
        </w:rPr>
        <w:t>לא יספות</w:t>
      </w:r>
      <w:r w:rsidR="000E5FA7">
        <w:rPr>
          <w:rFonts w:cs="Arial" w:hint="cs"/>
          <w:rtl/>
        </w:rPr>
        <w:t>' -</w:t>
      </w:r>
      <w:r w:rsidR="000E5FA7" w:rsidRPr="000E5FA7">
        <w:rPr>
          <w:rFonts w:cs="Arial"/>
          <w:rtl/>
        </w:rPr>
        <w:t xml:space="preserve"> לא יחתוך</w:t>
      </w:r>
      <w:r w:rsidR="000E5FA7">
        <w:rPr>
          <w:rFonts w:cs="Arial" w:hint="cs"/>
          <w:rtl/>
        </w:rPr>
        <w:t>,</w:t>
      </w:r>
      <w:r w:rsidR="000E5FA7" w:rsidRPr="000E5FA7">
        <w:rPr>
          <w:rFonts w:cs="Arial"/>
          <w:rtl/>
        </w:rPr>
        <w:t xml:space="preserve"> כדתנן באבטיח</w:t>
      </w:r>
      <w:r w:rsidR="000E5FA7">
        <w:rPr>
          <w:rFonts w:cs="Arial" w:hint="cs"/>
          <w:rtl/>
        </w:rPr>
        <w:t>.</w:t>
      </w:r>
    </w:p>
  </w:footnote>
  <w:footnote w:id="1736">
    <w:p w14:paraId="7207CF3B" w14:textId="05E71C13" w:rsidR="00DB4C1F" w:rsidRDefault="00DB4C1F" w:rsidP="00285819">
      <w:pPr>
        <w:pStyle w:val="a7"/>
      </w:pPr>
      <w:r>
        <w:rPr>
          <w:rStyle w:val="a9"/>
        </w:rPr>
        <w:footnoteRef/>
      </w:r>
      <w:r>
        <w:rPr>
          <w:rtl/>
        </w:rPr>
        <w:t xml:space="preserve"> </w:t>
      </w:r>
      <w:r w:rsidRPr="00BC4280">
        <w:rPr>
          <w:rFonts w:cs="Arial"/>
          <w:rtl/>
        </w:rPr>
        <w:t>וכתב הרב המגיד דהיינו מדתניא בפרק כל הכלים (קכד:) גבי מגופת חבית שנכתתה לא יספות ממנה שבר לכסות בה את הכלי ולסמוך בה כרעי המטה ופירש בהלכות (רי"ף מח:) לא יספות לא יחתוך</w:t>
      </w:r>
      <w:r>
        <w:rPr>
          <w:rFonts w:cs="Arial" w:hint="cs"/>
          <w:rtl/>
        </w:rPr>
        <w:t>, ב"י.</w:t>
      </w:r>
    </w:p>
  </w:footnote>
  <w:footnote w:id="1737">
    <w:p w14:paraId="416F96F7" w14:textId="7D3DCDE0" w:rsidR="00DB4C1F" w:rsidRDefault="00DB4C1F" w:rsidP="00285819">
      <w:pPr>
        <w:pStyle w:val="a7"/>
      </w:pPr>
      <w:r>
        <w:rPr>
          <w:rStyle w:val="a9"/>
        </w:rPr>
        <w:footnoteRef/>
      </w:r>
      <w:r>
        <w:rPr>
          <w:rtl/>
        </w:rPr>
        <w:t xml:space="preserve"> </w:t>
      </w:r>
      <w:r w:rsidRPr="00DB4C1F">
        <w:rPr>
          <w:rFonts w:cs="Arial"/>
          <w:rtl/>
        </w:rPr>
        <w:t>ר"ל שלא יתלוש ממנו</w:t>
      </w:r>
      <w:r>
        <w:rPr>
          <w:rFonts w:cs="Arial" w:hint="cs"/>
          <w:rtl/>
        </w:rPr>
        <w:t>,</w:t>
      </w:r>
      <w:r w:rsidRPr="00DB4C1F">
        <w:rPr>
          <w:rFonts w:cs="Arial"/>
          <w:rtl/>
        </w:rPr>
        <w:t xml:space="preserve"> דבמעשה התלישה הוא בכלל תקון כלי</w:t>
      </w:r>
      <w:r>
        <w:rPr>
          <w:rFonts w:cs="Arial" w:hint="cs"/>
          <w:rtl/>
        </w:rPr>
        <w:t>,</w:t>
      </w:r>
      <w:r w:rsidRPr="00DB4C1F">
        <w:rPr>
          <w:rFonts w:cs="Arial"/>
          <w:rtl/>
        </w:rPr>
        <w:t xml:space="preserve"> וכמו שיתבאר בסימן ש"מ שכל דבר שמתקנו בשבת לאיזה תשמיש יש בו משום תקון כלי. וה"ה אם כבר נפל החרס והוא מתקנו להסיר בליטותיו ועוקציו כדי שיוכל לכסות בו וכה"ג דאסור</w:t>
      </w:r>
      <w:r>
        <w:rPr>
          <w:rFonts w:cs="Arial" w:hint="cs"/>
          <w:rtl/>
        </w:rPr>
        <w:t>,</w:t>
      </w:r>
      <w:r w:rsidRPr="00DB4C1F">
        <w:rPr>
          <w:rFonts w:cs="Arial"/>
          <w:rtl/>
        </w:rPr>
        <w:t xml:space="preserve"> והוא בכלל מכה בפטיש כמ"ש רש"י</w:t>
      </w:r>
      <w:r>
        <w:rPr>
          <w:rFonts w:cs="Arial" w:hint="cs"/>
          <w:rtl/>
        </w:rPr>
        <w:t>.</w:t>
      </w:r>
      <w:r w:rsidRPr="00DB4C1F">
        <w:rPr>
          <w:rFonts w:cs="Arial"/>
          <w:rtl/>
        </w:rPr>
        <w:t xml:space="preserve"> אבל ליקח החרס שנשבר מהכלי ולכסות בו מנא בלי שום תיקון ודאי שרי כמבואר לעיל סע</w:t>
      </w:r>
      <w:r>
        <w:rPr>
          <w:rFonts w:cs="Arial" w:hint="cs"/>
          <w:rtl/>
        </w:rPr>
        <w:t>' ז, משנ"ב (סקקנ"ו).</w:t>
      </w:r>
    </w:p>
  </w:footnote>
  <w:footnote w:id="1738">
    <w:p w14:paraId="27C08089" w14:textId="293037C5" w:rsidR="00863724" w:rsidRDefault="00863724" w:rsidP="00285819">
      <w:pPr>
        <w:pStyle w:val="a7"/>
      </w:pPr>
      <w:r>
        <w:rPr>
          <w:rStyle w:val="a9"/>
        </w:rPr>
        <w:footnoteRef/>
      </w:r>
      <w:r>
        <w:rPr>
          <w:rtl/>
        </w:rPr>
        <w:t xml:space="preserve"> </w:t>
      </w:r>
      <w:r>
        <w:rPr>
          <w:rFonts w:hint="cs"/>
          <w:rtl/>
        </w:rPr>
        <w:t xml:space="preserve">תלת </w:t>
      </w:r>
      <w:r w:rsidRPr="00863724">
        <w:rPr>
          <w:rFonts w:cs="Arial"/>
          <w:rtl/>
        </w:rPr>
        <w:t>מאה מדות של פתיתי לחם שהיו נותנים כל ע"ש לעניים</w:t>
      </w:r>
      <w:r>
        <w:rPr>
          <w:rFonts w:cs="Arial" w:hint="cs"/>
          <w:rtl/>
        </w:rPr>
        <w:t>, קרבן העדה.</w:t>
      </w:r>
    </w:p>
  </w:footnote>
  <w:footnote w:id="1739">
    <w:p w14:paraId="5F0E020E" w14:textId="5F0B2C9B" w:rsidR="00863724" w:rsidRDefault="00863724" w:rsidP="00285819">
      <w:pPr>
        <w:pStyle w:val="a7"/>
      </w:pPr>
      <w:r>
        <w:rPr>
          <w:rStyle w:val="a9"/>
        </w:rPr>
        <w:footnoteRef/>
      </w:r>
      <w:r>
        <w:rPr>
          <w:rtl/>
        </w:rPr>
        <w:t xml:space="preserve"> </w:t>
      </w:r>
      <w:r w:rsidRPr="00863724">
        <w:rPr>
          <w:rFonts w:cs="Arial"/>
          <w:rtl/>
        </w:rPr>
        <w:t>בשבת</w:t>
      </w:r>
      <w:r>
        <w:rPr>
          <w:rFonts w:cs="Arial" w:hint="cs"/>
          <w:rtl/>
        </w:rPr>
        <w:t>.</w:t>
      </w:r>
      <w:r w:rsidRPr="00863724">
        <w:rPr>
          <w:rFonts w:cs="Arial"/>
          <w:rtl/>
        </w:rPr>
        <w:t xml:space="preserve"> א"נ שהיו מבלין ימיהם בהם ולא עסקו בתורה</w:t>
      </w:r>
      <w:r>
        <w:rPr>
          <w:rFonts w:cs="Arial" w:hint="cs"/>
          <w:rtl/>
        </w:rPr>
        <w:t>, קרבן העדה.</w:t>
      </w:r>
      <w:r w:rsidR="007F0566">
        <w:rPr>
          <w:rFonts w:hint="cs"/>
          <w:rtl/>
        </w:rPr>
        <w:t xml:space="preserve"> וגם מדברי הרוקח (הל' שבת סי' נה) משמע שחטאם של טור שמעון הוא משום שבמקום לבוא ללמוד תורה</w:t>
      </w:r>
      <w:r w:rsidR="004E7EAC">
        <w:rPr>
          <w:rFonts w:hint="cs"/>
          <w:rtl/>
        </w:rPr>
        <w:t xml:space="preserve"> בשבת</w:t>
      </w:r>
      <w:r w:rsidR="007F0566">
        <w:rPr>
          <w:rFonts w:hint="cs"/>
          <w:rtl/>
        </w:rPr>
        <w:t xml:space="preserve"> </w:t>
      </w:r>
      <w:r w:rsidR="007F0566" w:rsidRPr="004E7EAC">
        <w:rPr>
          <w:rFonts w:hint="cs"/>
          <w:sz w:val="16"/>
          <w:szCs w:val="16"/>
          <w:rtl/>
        </w:rPr>
        <w:t xml:space="preserve">(בזמן </w:t>
      </w:r>
      <w:r w:rsidR="004E7EAC">
        <w:rPr>
          <w:rFonts w:hint="cs"/>
          <w:sz w:val="16"/>
          <w:szCs w:val="16"/>
          <w:rtl/>
        </w:rPr>
        <w:t>שנקבע ללימוד ב</w:t>
      </w:r>
      <w:r w:rsidR="007F0566" w:rsidRPr="004E7EAC">
        <w:rPr>
          <w:rFonts w:hint="cs"/>
          <w:sz w:val="16"/>
          <w:szCs w:val="16"/>
          <w:rtl/>
        </w:rPr>
        <w:t xml:space="preserve">בית המדרש) </w:t>
      </w:r>
      <w:r w:rsidR="007F0566">
        <w:rPr>
          <w:rFonts w:hint="cs"/>
          <w:rtl/>
        </w:rPr>
        <w:t>שיחקו בכדור.</w:t>
      </w:r>
      <w:r w:rsidR="004E7EAC">
        <w:rPr>
          <w:rFonts w:hint="cs"/>
          <w:rtl/>
        </w:rPr>
        <w:t xml:space="preserve"> וכן כתב בפירוש המטה משה (סי' תעז)</w:t>
      </w:r>
      <w:r w:rsidR="00EC55AD">
        <w:rPr>
          <w:rFonts w:hint="cs"/>
          <w:rtl/>
        </w:rPr>
        <w:t xml:space="preserve">, וכן גרס בירשולמי וז"ל- </w:t>
      </w:r>
      <w:r w:rsidR="00EC55AD" w:rsidRPr="00EC55AD">
        <w:rPr>
          <w:rFonts w:cs="Arial"/>
          <w:rtl/>
        </w:rPr>
        <w:t>בפרק בתרא דתענית בירושלמי (פ"ד ה"</w:t>
      </w:r>
      <w:r w:rsidR="00EC55AD">
        <w:rPr>
          <w:rFonts w:cs="Arial" w:hint="cs"/>
          <w:rtl/>
        </w:rPr>
        <w:t>ה</w:t>
      </w:r>
      <w:r w:rsidR="00EC55AD" w:rsidRPr="00EC55AD">
        <w:rPr>
          <w:rFonts w:cs="Arial"/>
          <w:rtl/>
        </w:rPr>
        <w:t>) טור דשמעון למה חרב, מפני שהיו משחקים בכדור ובטלים מן התורה</w:t>
      </w:r>
      <w:r w:rsidR="00EC55AD">
        <w:rPr>
          <w:rFonts w:cs="Arial" w:hint="cs"/>
          <w:rtl/>
        </w:rPr>
        <w:t>.</w:t>
      </w:r>
      <w:r w:rsidR="00EC55AD" w:rsidRPr="00EC55AD">
        <w:rPr>
          <w:rFonts w:cs="Arial"/>
          <w:rtl/>
        </w:rPr>
        <w:t xml:space="preserve"> ומשמע דלשחוק בכדור שלא בזמן בית המדרש מותר, וכן כתבו התוס' בפ"ק דביצה (יב. ד"ה ה"ג) דמותר לשחוק בכדור בשבת ויום טוב</w:t>
      </w:r>
      <w:r w:rsidR="00EC55AD">
        <w:rPr>
          <w:rFonts w:cs="Arial" w:hint="cs"/>
          <w:rtl/>
        </w:rPr>
        <w:t>.</w:t>
      </w:r>
      <w:r w:rsidR="00EC55AD">
        <w:rPr>
          <w:rFonts w:hint="cs"/>
          <w:rtl/>
        </w:rPr>
        <w:t xml:space="preserve"> עכ"ל המטה משה.</w:t>
      </w:r>
    </w:p>
  </w:footnote>
  <w:footnote w:id="1740">
    <w:p w14:paraId="462E7BDD" w14:textId="657EE920" w:rsidR="00EC55AD" w:rsidRDefault="00EC55AD" w:rsidP="00285819">
      <w:pPr>
        <w:pStyle w:val="a7"/>
      </w:pPr>
      <w:r>
        <w:rPr>
          <w:rStyle w:val="a9"/>
        </w:rPr>
        <w:footnoteRef/>
      </w:r>
      <w:r>
        <w:rPr>
          <w:rtl/>
        </w:rPr>
        <w:t xml:space="preserve"> </w:t>
      </w:r>
      <w:r>
        <w:rPr>
          <w:rFonts w:cs="Arial" w:hint="cs"/>
          <w:rtl/>
        </w:rPr>
        <w:t>כן גרס</w:t>
      </w:r>
      <w:r>
        <w:rPr>
          <w:rFonts w:hint="cs"/>
          <w:rtl/>
        </w:rPr>
        <w:t>ו הרוקח (הל' שבת סי' נה) המטה משה (סי' תעז) בירושלמי.</w:t>
      </w:r>
    </w:p>
  </w:footnote>
  <w:footnote w:id="1741">
    <w:p w14:paraId="6904AF44" w14:textId="46313144" w:rsidR="007F0566" w:rsidRDefault="007F0566" w:rsidP="00285819">
      <w:pPr>
        <w:pStyle w:val="a7"/>
        <w:rPr>
          <w:rtl/>
        </w:rPr>
      </w:pPr>
      <w:r>
        <w:rPr>
          <w:rStyle w:val="a9"/>
        </w:rPr>
        <w:footnoteRef/>
      </w:r>
      <w:r>
        <w:rPr>
          <w:rtl/>
        </w:rPr>
        <w:t xml:space="preserve"> </w:t>
      </w:r>
      <w:r>
        <w:rPr>
          <w:rFonts w:hint="cs"/>
          <w:rtl/>
        </w:rPr>
        <w:t>כך היא גירסת שבה"ל (סי' קכא).</w:t>
      </w:r>
    </w:p>
  </w:footnote>
  <w:footnote w:id="1742">
    <w:p w14:paraId="699C24BD" w14:textId="69DE9C7A" w:rsidR="00910D3F" w:rsidRDefault="00910D3F" w:rsidP="00285819">
      <w:pPr>
        <w:pStyle w:val="a7"/>
      </w:pPr>
      <w:r>
        <w:rPr>
          <w:rStyle w:val="a9"/>
        </w:rPr>
        <w:footnoteRef/>
      </w:r>
      <w:r>
        <w:rPr>
          <w:rtl/>
        </w:rPr>
        <w:t xml:space="preserve"> </w:t>
      </w:r>
      <w:r w:rsidRPr="00910D3F">
        <w:rPr>
          <w:rFonts w:cs="Arial"/>
          <w:rtl/>
        </w:rPr>
        <w:t>לפי שנחלקו באלו ר' אליעזר וחכמים בסדר טהרות (כלים פכ"ג) וחכמים אומרים אינן מקבלין טומאה, לפי שכלי עור אין מקבל טומאה אא</w:t>
      </w:r>
      <w:r w:rsidR="008D4525">
        <w:rPr>
          <w:rFonts w:cs="Arial" w:hint="cs"/>
          <w:rtl/>
        </w:rPr>
        <w:t>"</w:t>
      </w:r>
      <w:r w:rsidRPr="00910D3F">
        <w:rPr>
          <w:rFonts w:cs="Arial"/>
          <w:rtl/>
        </w:rPr>
        <w:t>כ יש לו בית קיבול דהא איתקש לשק, והני הואיל וקבולן נעשית למלאותן מלוי בתוכו עולמית לא שמיה קבול</w:t>
      </w:r>
      <w:r w:rsidR="008D4525">
        <w:rPr>
          <w:rFonts w:cs="Arial" w:hint="cs"/>
          <w:rtl/>
        </w:rPr>
        <w:t>.</w:t>
      </w:r>
      <w:r w:rsidRPr="00910D3F">
        <w:rPr>
          <w:rFonts w:cs="Arial"/>
          <w:rtl/>
        </w:rPr>
        <w:t xml:space="preserve"> ור' אליעזר אומר מקבל טומאה, דבית קיבול העשוי למלאות שמיה קבול</w:t>
      </w:r>
      <w:r w:rsidR="008D4525">
        <w:rPr>
          <w:rFonts w:cs="Arial" w:hint="cs"/>
          <w:rtl/>
        </w:rPr>
        <w:t>.</w:t>
      </w:r>
      <w:r w:rsidRPr="00910D3F">
        <w:rPr>
          <w:rFonts w:cs="Arial"/>
          <w:rtl/>
        </w:rPr>
        <w:t xml:space="preserve"> ועוד נחלקו בכדור ובאימוס שנקרעו ונראה חלל שלהם, דמודו רבנן דמקבלי טומאה דהא איכא בית קיבול, ופליגי לענין טבילה, שחכמים אומרים מה שבתוכו חוצץ, ור' אליעזר אומר מה שבתוכו אינו חוצץ, דכולי חד כלי הוא, ובשעת פטירתו היו רוצין לידע אם חזר בו ושאלוהו: מה אתה אומר באותן שני המחלוקות אמר להם: טמאים אפילו שלמים והטומאה נוגעת מבחוץ</w:t>
      </w:r>
      <w:r>
        <w:rPr>
          <w:rFonts w:cs="Arial" w:hint="cs"/>
          <w:rtl/>
        </w:rPr>
        <w:t>, רש"י.</w:t>
      </w:r>
    </w:p>
  </w:footnote>
  <w:footnote w:id="1743">
    <w:p w14:paraId="77CD9227" w14:textId="56BB6F29" w:rsidR="00910D3F" w:rsidRDefault="00910D3F" w:rsidP="00285819">
      <w:pPr>
        <w:pStyle w:val="a7"/>
        <w:rPr>
          <w:rtl/>
        </w:rPr>
      </w:pPr>
      <w:r>
        <w:rPr>
          <w:rStyle w:val="a9"/>
        </w:rPr>
        <w:footnoteRef/>
      </w:r>
      <w:r>
        <w:rPr>
          <w:rtl/>
        </w:rPr>
        <w:t xml:space="preserve"> </w:t>
      </w:r>
      <w:r w:rsidRPr="00910D3F">
        <w:rPr>
          <w:rFonts w:cs="Arial"/>
          <w:rtl/>
        </w:rPr>
        <w:t>כלומר אם נקרעו שחכמים מודים שמקבלין טומאה וחלוקין עלי לומר שהמלוי חוצץ, ועומד אני בדברי שהמלוי אינו חוצץ - שמטבילן כמות שהן</w:t>
      </w:r>
      <w:r>
        <w:rPr>
          <w:rFonts w:hint="cs"/>
          <w:rtl/>
        </w:rPr>
        <w:t>, רש"י.</w:t>
      </w:r>
    </w:p>
  </w:footnote>
  <w:footnote w:id="1744">
    <w:p w14:paraId="333DC8B0" w14:textId="23919087" w:rsidR="00526D12" w:rsidRDefault="00526D12" w:rsidP="00285819">
      <w:pPr>
        <w:pStyle w:val="a7"/>
      </w:pPr>
      <w:r>
        <w:rPr>
          <w:rStyle w:val="a9"/>
        </w:rPr>
        <w:footnoteRef/>
      </w:r>
      <w:r>
        <w:rPr>
          <w:rtl/>
        </w:rPr>
        <w:t xml:space="preserve"> </w:t>
      </w:r>
      <w:r w:rsidRPr="00FB3622">
        <w:rPr>
          <w:rFonts w:cs="Arial"/>
          <w:rtl/>
        </w:rPr>
        <w:t>משמע שמותר לטלטל הכדור ביו</w:t>
      </w:r>
      <w:r>
        <w:rPr>
          <w:rFonts w:cs="Arial" w:hint="cs"/>
          <w:rtl/>
        </w:rPr>
        <w:t>"</w:t>
      </w:r>
      <w:r w:rsidRPr="00FB3622">
        <w:rPr>
          <w:rFonts w:cs="Arial"/>
          <w:rtl/>
        </w:rPr>
        <w:t>ט והוא הדין בשבת דבדברים אלו יו</w:t>
      </w:r>
      <w:r>
        <w:rPr>
          <w:rFonts w:cs="Arial" w:hint="cs"/>
          <w:rtl/>
        </w:rPr>
        <w:t>"</w:t>
      </w:r>
      <w:r w:rsidRPr="00FB3622">
        <w:rPr>
          <w:rFonts w:cs="Arial"/>
          <w:rtl/>
        </w:rPr>
        <w:t>ט ושבת שוים הם</w:t>
      </w:r>
      <w:r>
        <w:rPr>
          <w:rFonts w:cs="Arial" w:hint="cs"/>
          <w:rtl/>
        </w:rPr>
        <w:t xml:space="preserve">, </w:t>
      </w:r>
      <w:r w:rsidRPr="00526D12">
        <w:rPr>
          <w:rFonts w:cs="Arial" w:hint="cs"/>
          <w:b/>
          <w:bCs/>
          <w:rtl/>
        </w:rPr>
        <w:t>ב"י</w:t>
      </w:r>
      <w:r>
        <w:rPr>
          <w:rFonts w:cs="Arial" w:hint="cs"/>
          <w:rtl/>
        </w:rPr>
        <w:t>.</w:t>
      </w:r>
      <w:r w:rsidRPr="00526D12">
        <w:rPr>
          <w:rFonts w:cs="Arial"/>
          <w:rtl/>
        </w:rPr>
        <w:t xml:space="preserve"> </w:t>
      </w:r>
      <w:r w:rsidRPr="00496C74">
        <w:rPr>
          <w:rFonts w:cs="Arial"/>
          <w:rtl/>
        </w:rPr>
        <w:t>ופשוט הוא דאף למאן דשרי מכל מקום אסור לשחוק ברשות הרבים בשבת</w:t>
      </w:r>
      <w:r>
        <w:rPr>
          <w:rFonts w:cs="Arial" w:hint="cs"/>
          <w:rtl/>
        </w:rPr>
        <w:t>,</w:t>
      </w:r>
      <w:r w:rsidRPr="00496C74">
        <w:rPr>
          <w:rFonts w:cs="Arial"/>
          <w:rtl/>
        </w:rPr>
        <w:t xml:space="preserve"> ואפילו בכרמלית</w:t>
      </w:r>
      <w:r>
        <w:rPr>
          <w:rFonts w:cs="Arial" w:hint="cs"/>
          <w:rtl/>
        </w:rPr>
        <w:t>,</w:t>
      </w:r>
      <w:r w:rsidRPr="00496C74">
        <w:rPr>
          <w:rFonts w:cs="Arial"/>
          <w:rtl/>
        </w:rPr>
        <w:t xml:space="preserve"> דבקל הוא שנופל לחוץ מארבע אמות ואתי לאתויי</w:t>
      </w:r>
      <w:r>
        <w:rPr>
          <w:rFonts w:cs="Arial" w:hint="cs"/>
          <w:rtl/>
        </w:rPr>
        <w:t>,</w:t>
      </w:r>
      <w:r w:rsidRPr="00496C74">
        <w:rPr>
          <w:rFonts w:cs="Arial"/>
          <w:rtl/>
        </w:rPr>
        <w:t xml:space="preserve"> וכל שכן אם השחוק הוא בדרך שמוציאו דאסור</w:t>
      </w:r>
      <w:r>
        <w:rPr>
          <w:rFonts w:cs="Arial" w:hint="cs"/>
          <w:rtl/>
        </w:rPr>
        <w:t>.</w:t>
      </w:r>
      <w:r w:rsidRPr="00496C74">
        <w:rPr>
          <w:rFonts w:cs="Arial"/>
          <w:rtl/>
        </w:rPr>
        <w:t xml:space="preserve"> אבל ביו</w:t>
      </w:r>
      <w:r>
        <w:rPr>
          <w:rFonts w:cs="Arial" w:hint="cs"/>
          <w:rtl/>
        </w:rPr>
        <w:t>"</w:t>
      </w:r>
      <w:r w:rsidRPr="00496C74">
        <w:rPr>
          <w:rFonts w:cs="Arial"/>
          <w:rtl/>
        </w:rPr>
        <w:t>ט מותר לשחוק אפי</w:t>
      </w:r>
      <w:r>
        <w:rPr>
          <w:rFonts w:cs="Arial" w:hint="cs"/>
          <w:rtl/>
        </w:rPr>
        <w:t>'</w:t>
      </w:r>
      <w:r w:rsidRPr="00496C74">
        <w:rPr>
          <w:rFonts w:cs="Arial"/>
          <w:rtl/>
        </w:rPr>
        <w:t xml:space="preserve"> ברשות הרבים</w:t>
      </w:r>
      <w:r>
        <w:rPr>
          <w:rFonts w:cs="Arial" w:hint="cs"/>
          <w:rtl/>
        </w:rPr>
        <w:t>,</w:t>
      </w:r>
      <w:r w:rsidRPr="00496C74">
        <w:rPr>
          <w:rFonts w:cs="Arial"/>
          <w:rtl/>
        </w:rPr>
        <w:t xml:space="preserve"> וכ</w:t>
      </w:r>
      <w:r>
        <w:rPr>
          <w:rFonts w:cs="Arial" w:hint="cs"/>
          <w:rtl/>
        </w:rPr>
        <w:t>"</w:t>
      </w:r>
      <w:r w:rsidRPr="00496C74">
        <w:rPr>
          <w:rFonts w:cs="Arial"/>
          <w:rtl/>
        </w:rPr>
        <w:t>כ התוס</w:t>
      </w:r>
      <w:r>
        <w:rPr>
          <w:rFonts w:cs="Arial" w:hint="cs"/>
          <w:rtl/>
        </w:rPr>
        <w:t>'</w:t>
      </w:r>
      <w:r w:rsidRPr="00496C74">
        <w:rPr>
          <w:rFonts w:cs="Arial"/>
          <w:rtl/>
        </w:rPr>
        <w:t xml:space="preserve"> פ</w:t>
      </w:r>
      <w:r>
        <w:rPr>
          <w:rFonts w:cs="Arial" w:hint="cs"/>
          <w:rtl/>
        </w:rPr>
        <w:t>"</w:t>
      </w:r>
      <w:r w:rsidRPr="00496C74">
        <w:rPr>
          <w:rFonts w:cs="Arial"/>
          <w:rtl/>
        </w:rPr>
        <w:t>ק דביצה (יב</w:t>
      </w:r>
      <w:r>
        <w:rPr>
          <w:rFonts w:cs="Arial" w:hint="cs"/>
          <w:rtl/>
        </w:rPr>
        <w:t>.</w:t>
      </w:r>
      <w:r w:rsidRPr="00496C74">
        <w:rPr>
          <w:rFonts w:cs="Arial"/>
          <w:rtl/>
        </w:rPr>
        <w:t>)</w:t>
      </w:r>
      <w:r>
        <w:rPr>
          <w:rFonts w:cs="Arial" w:hint="cs"/>
          <w:rtl/>
        </w:rPr>
        <w:t xml:space="preserve">, </w:t>
      </w:r>
      <w:r w:rsidRPr="00526D12">
        <w:rPr>
          <w:rFonts w:cs="Arial" w:hint="cs"/>
          <w:b/>
          <w:bCs/>
          <w:rtl/>
        </w:rPr>
        <w:t>דרכ"מ</w:t>
      </w:r>
      <w:r>
        <w:rPr>
          <w:rFonts w:cs="Arial" w:hint="cs"/>
          <w:rtl/>
        </w:rPr>
        <w:t xml:space="preserve"> (אות יא).</w:t>
      </w:r>
    </w:p>
  </w:footnote>
  <w:footnote w:id="1745">
    <w:p w14:paraId="61BA281C" w14:textId="1F879FB1" w:rsidR="00937D3E" w:rsidRDefault="00937D3E" w:rsidP="00285819">
      <w:pPr>
        <w:pStyle w:val="a7"/>
      </w:pPr>
      <w:r>
        <w:rPr>
          <w:rStyle w:val="a9"/>
        </w:rPr>
        <w:footnoteRef/>
      </w:r>
      <w:r>
        <w:rPr>
          <w:rtl/>
        </w:rPr>
        <w:t xml:space="preserve"> </w:t>
      </w:r>
      <w:r w:rsidRPr="00937D3E">
        <w:rPr>
          <w:rFonts w:cs="Arial"/>
          <w:rtl/>
        </w:rPr>
        <w:t>וברור שמאמר זה מקורו במדרש הלכה א"י שנאבד מאתנו. הרי שאסרו בא"י לשחק בכדור בשבת ויו"ט, אבל היו כאלו שהקילו בזה ולא שמעו לדברי חכמים, כמ"ש בתוספתא שבת פי"א הנ"ל. ולפי הירושלמי כאן, חרב טור שמעון משום זה, אולם למרות זה הקילו לעצמם בזה גם באשכנז בזמן רבותינו בעלי התוספות, והתוס' בביצה לימדו זכות ע"ז. אולם מספר חסידים והרוקח, נראה שהרבה מרבותינו מחו בידיהם, וכמ"ש בסי' ש"ח, או מטעם ביטול תורה או מטעם שהתעמלות אסורה בשבת, ולשחק בכדור או פסיעה גסה הם מסוגי התעמלות</w:t>
      </w:r>
      <w:r>
        <w:rPr>
          <w:rFonts w:cs="Arial" w:hint="cs"/>
          <w:rtl/>
        </w:rPr>
        <w:t>, עלי תמר</w:t>
      </w:r>
      <w:r w:rsidR="00950A3D">
        <w:rPr>
          <w:rFonts w:cs="Arial" w:hint="cs"/>
          <w:rtl/>
        </w:rPr>
        <w:t xml:space="preserve"> (שם)</w:t>
      </w:r>
      <w:r>
        <w:rPr>
          <w:rFonts w:cs="Arial" w:hint="cs"/>
          <w:rtl/>
        </w:rPr>
        <w:t>.</w:t>
      </w:r>
    </w:p>
  </w:footnote>
  <w:footnote w:id="1746">
    <w:p w14:paraId="57F79DC2" w14:textId="4C5B87A9" w:rsidR="00767848" w:rsidRDefault="00767848" w:rsidP="00285819">
      <w:pPr>
        <w:pStyle w:val="a7"/>
      </w:pPr>
      <w:r>
        <w:rPr>
          <w:rStyle w:val="a9"/>
        </w:rPr>
        <w:footnoteRef/>
      </w:r>
      <w:r>
        <w:rPr>
          <w:rtl/>
        </w:rPr>
        <w:t xml:space="preserve"> </w:t>
      </w:r>
      <w:r w:rsidRPr="00767848">
        <w:rPr>
          <w:rFonts w:cs="Arial"/>
          <w:rtl/>
        </w:rPr>
        <w:t>בין אם היא של נייר או של עץ שאין שם כלי עליו מחמת שראוי לשחוק בו והוי כאבן שהוא מוקצה מגופו ואפילו בטלטול בעלמא אסור לדעה זו [אחרונים]</w:t>
      </w:r>
      <w:r>
        <w:rPr>
          <w:rFonts w:cs="Arial" w:hint="cs"/>
          <w:rtl/>
        </w:rPr>
        <w:t>, משנ"ב (סקקנ"ז).</w:t>
      </w:r>
    </w:p>
  </w:footnote>
  <w:footnote w:id="1747">
    <w:p w14:paraId="366E6B51" w14:textId="0EC1FE0E" w:rsidR="00767848" w:rsidRDefault="00767848" w:rsidP="00285819">
      <w:pPr>
        <w:pStyle w:val="a7"/>
      </w:pPr>
      <w:r>
        <w:rPr>
          <w:rStyle w:val="a9"/>
        </w:rPr>
        <w:footnoteRef/>
      </w:r>
      <w:r>
        <w:rPr>
          <w:rtl/>
        </w:rPr>
        <w:t xml:space="preserve"> </w:t>
      </w:r>
      <w:r w:rsidRPr="00767848">
        <w:rPr>
          <w:rFonts w:cs="Arial"/>
          <w:rtl/>
        </w:rPr>
        <w:t>אפשר שטעמם שכיון שעשוי לכך ומיוחד לזה בתמידות לא שייך בו שם מוקצה וכדלעיל בסכ"ב. ומ"מ לכו"ע אסור לשחוק בר"ה ואפילו בכרמלית בשבת דבקל הוא שיפול לחוץ מד' אמות ואתי לאתויי אבל ביום טוב מותר אפילו בר"ה לשחוק בו לדעה זו. וכ"ז כששוחק שלא ע"ג קרקע אבל ע"ג קרקע לכו"ע אסור משום חשש אשויי גומות וכדלקמן בסי' של"ח לענין שחיקת אגוזים ומ"מ אין למחות בנשים וקטנים דמוטב שיהיו שוגגין ואל יהיו מזידין</w:t>
      </w:r>
      <w:r>
        <w:rPr>
          <w:rFonts w:cs="Arial" w:hint="cs"/>
          <w:rtl/>
        </w:rPr>
        <w:t>, משנ"ב (סקקנ"ח).</w:t>
      </w:r>
    </w:p>
  </w:footnote>
  <w:footnote w:id="1748">
    <w:p w14:paraId="1E5C6973" w14:textId="44E4990E" w:rsidR="00106EE1" w:rsidRDefault="00106EE1" w:rsidP="00285819">
      <w:pPr>
        <w:pStyle w:val="a7"/>
        <w:rPr>
          <w:rtl/>
        </w:rPr>
      </w:pPr>
      <w:r>
        <w:rPr>
          <w:rStyle w:val="a9"/>
        </w:rPr>
        <w:footnoteRef/>
      </w:r>
      <w:r>
        <w:rPr>
          <w:rtl/>
        </w:rPr>
        <w:t xml:space="preserve"> </w:t>
      </w:r>
      <w:r w:rsidRPr="00106EE1">
        <w:rPr>
          <w:rFonts w:cs="Arial"/>
          <w:rtl/>
        </w:rPr>
        <w:t>ר"ל שע"י החום יוצאים התולעים מן הזרע ואף על גב דאין מכוין לזה מ"מ פסיק רישא הוא ומלאכת מחשבת הוא</w:t>
      </w:r>
      <w:r>
        <w:rPr>
          <w:rFonts w:hint="cs"/>
          <w:rtl/>
        </w:rPr>
        <w:t>, משנ"ב (סקקנ"ט).</w:t>
      </w:r>
    </w:p>
  </w:footnote>
  <w:footnote w:id="1749">
    <w:p w14:paraId="09F580B6" w14:textId="518CF3A6" w:rsidR="00FB1852" w:rsidRDefault="00FB1852" w:rsidP="00285819">
      <w:pPr>
        <w:pStyle w:val="a7"/>
        <w:rPr>
          <w:rtl/>
        </w:rPr>
      </w:pPr>
      <w:r>
        <w:rPr>
          <w:rStyle w:val="a9"/>
        </w:rPr>
        <w:footnoteRef/>
      </w:r>
      <w:r>
        <w:rPr>
          <w:rtl/>
        </w:rPr>
        <w:t xml:space="preserve"> </w:t>
      </w:r>
      <w:r w:rsidRPr="00FB1852">
        <w:rPr>
          <w:rFonts w:cs="Arial"/>
          <w:rtl/>
        </w:rPr>
        <w:t>ספר התשב"ץ הקטן (להבדיל משו"ת התשב"ץ לר' שמעון ב"ר צמח דוראן) נכתב בידי ר' שמשון ב"ר צדוק, תלמידו ומשרתו של מהר"ם מרוטנבורג, שחי בגרמניה במאה הי"ג - י"ד. הספר כולל 590 פסקים של המהר"ם מרוטנבורג בנושאים שונים, רובם נכתבו בידי ר' שמשון על - פי מה שראה ושמע, אולם בספר ישנם גם פסקים שנוסחו בידי מהר"ם עצמו</w:t>
      </w:r>
      <w:r>
        <w:rPr>
          <w:rFonts w:cs="Arial" w:hint="cs"/>
          <w:rtl/>
        </w:rPr>
        <w:t xml:space="preserve"> </w:t>
      </w:r>
      <w:r>
        <w:rPr>
          <w:rFonts w:cs="Arial" w:hint="cs"/>
          <w:sz w:val="14"/>
          <w:szCs w:val="14"/>
          <w:rtl/>
        </w:rPr>
        <w:t>(ביגורפיה פרוה"ש)</w:t>
      </w:r>
      <w:r w:rsidRPr="00FB1852">
        <w:rPr>
          <w:rFonts w:cs="Arial"/>
          <w:rtl/>
        </w:rPr>
        <w:t>.</w:t>
      </w:r>
    </w:p>
  </w:footnote>
  <w:footnote w:id="1750">
    <w:p w14:paraId="6BCDB846" w14:textId="0EECEBDA" w:rsidR="00FB1852" w:rsidRPr="008A292E" w:rsidRDefault="00FB1852" w:rsidP="00285819">
      <w:pPr>
        <w:pStyle w:val="a7"/>
        <w:rPr>
          <w:rFonts w:cs="Arial"/>
          <w:rtl/>
        </w:rPr>
      </w:pPr>
      <w:r>
        <w:rPr>
          <w:rStyle w:val="a9"/>
        </w:rPr>
        <w:footnoteRef/>
      </w:r>
      <w:r>
        <w:rPr>
          <w:rtl/>
        </w:rPr>
        <w:t xml:space="preserve"> </w:t>
      </w:r>
      <w:r w:rsidR="008A292E">
        <w:rPr>
          <w:rFonts w:hint="cs"/>
          <w:rtl/>
        </w:rPr>
        <w:t xml:space="preserve">כתב המרדכי (ביצה סי' תרסו) שבא </w:t>
      </w:r>
      <w:r w:rsidR="008A292E" w:rsidRPr="008A292E">
        <w:rPr>
          <w:rFonts w:cs="Arial"/>
          <w:rtl/>
        </w:rPr>
        <w:t xml:space="preserve">מעשה </w:t>
      </w:r>
      <w:r w:rsidR="008A292E">
        <w:rPr>
          <w:rFonts w:cs="Arial" w:hint="cs"/>
          <w:rtl/>
        </w:rPr>
        <w:t>לפני האו"ז לגבי טלטול שעטנז ביו"ט, ו</w:t>
      </w:r>
      <w:r w:rsidR="008A292E" w:rsidRPr="008A292E">
        <w:rPr>
          <w:rFonts w:cs="Arial"/>
          <w:rtl/>
        </w:rPr>
        <w:t>אסר</w:t>
      </w:r>
      <w:r w:rsidR="008A292E">
        <w:rPr>
          <w:rFonts w:cs="Arial" w:hint="cs"/>
          <w:rtl/>
        </w:rPr>
        <w:t xml:space="preserve"> להם</w:t>
      </w:r>
      <w:r w:rsidR="008A292E" w:rsidRPr="008A292E">
        <w:rPr>
          <w:rFonts w:cs="Arial"/>
          <w:rtl/>
        </w:rPr>
        <w:t xml:space="preserve"> לטלטל</w:t>
      </w:r>
      <w:r w:rsidR="008A292E">
        <w:rPr>
          <w:rFonts w:cs="Arial" w:hint="cs"/>
          <w:rtl/>
        </w:rPr>
        <w:t>ו</w:t>
      </w:r>
      <w:r w:rsidR="008A292E" w:rsidRPr="008A292E">
        <w:rPr>
          <w:rFonts w:cs="Arial"/>
          <w:rtl/>
        </w:rPr>
        <w:t xml:space="preserve"> הואיל ואינו ראוי ללבוש והוי כלאים</w:t>
      </w:r>
      <w:r w:rsidR="008A292E">
        <w:rPr>
          <w:rFonts w:cs="Arial" w:hint="cs"/>
          <w:rtl/>
        </w:rPr>
        <w:t>. ושאל האו"ז (</w:t>
      </w:r>
      <w:r>
        <w:rPr>
          <w:rFonts w:hint="cs"/>
          <w:rtl/>
        </w:rPr>
        <w:t>ר' יצחק ב"ר משה) שאל</w:t>
      </w:r>
      <w:r w:rsidR="008A292E">
        <w:rPr>
          <w:rFonts w:hint="cs"/>
          <w:rtl/>
        </w:rPr>
        <w:t>ה זו (ועוד כמה שאלות)</w:t>
      </w:r>
      <w:r>
        <w:rPr>
          <w:rFonts w:hint="cs"/>
          <w:rtl/>
        </w:rPr>
        <w:t xml:space="preserve"> לרבו ה"ר שמחה, וזו </w:t>
      </w:r>
      <w:r w:rsidR="008A292E">
        <w:rPr>
          <w:rFonts w:hint="cs"/>
          <w:rtl/>
        </w:rPr>
        <w:t>תשובתו</w:t>
      </w:r>
      <w:r>
        <w:rPr>
          <w:rFonts w:hint="cs"/>
          <w:rtl/>
        </w:rPr>
        <w:t>-...</w:t>
      </w:r>
    </w:p>
  </w:footnote>
  <w:footnote w:id="1751">
    <w:p w14:paraId="287A5D9C" w14:textId="1B1ACE35" w:rsidR="00106EE1" w:rsidRDefault="00106EE1" w:rsidP="00285819">
      <w:pPr>
        <w:pStyle w:val="a7"/>
        <w:rPr>
          <w:rtl/>
        </w:rPr>
      </w:pPr>
      <w:r>
        <w:rPr>
          <w:rStyle w:val="a9"/>
        </w:rPr>
        <w:footnoteRef/>
      </w:r>
      <w:r>
        <w:rPr>
          <w:rtl/>
        </w:rPr>
        <w:t xml:space="preserve"> </w:t>
      </w:r>
      <w:r w:rsidRPr="00106EE1">
        <w:rPr>
          <w:rFonts w:cs="Arial"/>
          <w:rtl/>
        </w:rPr>
        <w:t>מפני שאסור ללבשו ומוקצה הוא ואפילו לצורך גופו ומקומו אסור [א"ר וש"א]</w:t>
      </w:r>
      <w:r>
        <w:rPr>
          <w:rFonts w:hint="cs"/>
          <w:rtl/>
        </w:rPr>
        <w:t>, משנ"ב (ס"ק קס).</w:t>
      </w:r>
    </w:p>
  </w:footnote>
  <w:footnote w:id="1752">
    <w:p w14:paraId="11063DB9" w14:textId="2C50A8B9" w:rsidR="00106EE1" w:rsidRDefault="00106EE1" w:rsidP="00285819">
      <w:pPr>
        <w:pStyle w:val="a7"/>
      </w:pPr>
      <w:r>
        <w:rPr>
          <w:rStyle w:val="a9"/>
        </w:rPr>
        <w:footnoteRef/>
      </w:r>
      <w:r>
        <w:rPr>
          <w:rtl/>
        </w:rPr>
        <w:t xml:space="preserve"> </w:t>
      </w:r>
      <w:r w:rsidRPr="00106EE1">
        <w:rPr>
          <w:rFonts w:cs="Arial"/>
          <w:rtl/>
        </w:rPr>
        <w:t>ככל כלי שמלאכתו לאיסור דמותר לטלטלו לצורך גופו ועיין מש"כ לעיל בסכ"ג</w:t>
      </w:r>
      <w:r>
        <w:rPr>
          <w:rFonts w:cs="Arial" w:hint="cs"/>
          <w:rtl/>
        </w:rPr>
        <w:t>, משנ"ב (ס"ק קסב).</w:t>
      </w:r>
    </w:p>
  </w:footnote>
  <w:footnote w:id="1753">
    <w:p w14:paraId="6AB97E72" w14:textId="6AF2DF27" w:rsidR="00A860FD" w:rsidRDefault="00A860FD" w:rsidP="00285819">
      <w:pPr>
        <w:pStyle w:val="a7"/>
        <w:rPr>
          <w:rtl/>
        </w:rPr>
      </w:pPr>
      <w:r>
        <w:rPr>
          <w:rStyle w:val="a9"/>
        </w:rPr>
        <w:footnoteRef/>
      </w:r>
      <w:r>
        <w:rPr>
          <w:rtl/>
        </w:rPr>
        <w:t xml:space="preserve"> </w:t>
      </w:r>
      <w:r>
        <w:rPr>
          <w:rFonts w:cs="Arial" w:hint="cs"/>
          <w:rtl/>
        </w:rPr>
        <w:t>והיינו ב</w:t>
      </w:r>
      <w:r w:rsidRPr="00734A4F">
        <w:rPr>
          <w:rFonts w:cs="Arial"/>
          <w:rtl/>
        </w:rPr>
        <w:t>קרקע המרוצף</w:t>
      </w:r>
      <w:r>
        <w:rPr>
          <w:rFonts w:cs="Arial" w:hint="cs"/>
          <w:rtl/>
        </w:rPr>
        <w:t xml:space="preserve">, </w:t>
      </w:r>
      <w:r>
        <w:rPr>
          <w:rFonts w:hint="cs"/>
          <w:rtl/>
        </w:rPr>
        <w:t>עיין בסי' שלז סע' ב.</w:t>
      </w:r>
    </w:p>
  </w:footnote>
  <w:footnote w:id="1754">
    <w:p w14:paraId="61F47AFB" w14:textId="79132CAF" w:rsidR="00A60B1A" w:rsidRDefault="00A60B1A" w:rsidP="00285819">
      <w:pPr>
        <w:pStyle w:val="a7"/>
      </w:pPr>
      <w:r>
        <w:rPr>
          <w:rStyle w:val="a9"/>
        </w:rPr>
        <w:footnoteRef/>
      </w:r>
      <w:r>
        <w:rPr>
          <w:rtl/>
        </w:rPr>
        <w:t xml:space="preserve"> </w:t>
      </w:r>
      <w:r w:rsidRPr="00A60B1A">
        <w:rPr>
          <w:rFonts w:cs="Arial"/>
          <w:rtl/>
        </w:rPr>
        <w:t>קנה חלול, וכשהוא ארוך אין צופין בו למרחוק, וכשהוא קצר צופין בו יותר, והיתה שפופרת של רבן גמליאל מתוקנת למדת צפיית אלפים או בים או ביבשה</w:t>
      </w:r>
      <w:r>
        <w:rPr>
          <w:rFonts w:cs="Arial" w:hint="cs"/>
          <w:rtl/>
        </w:rPr>
        <w:t>, רש"י.</w:t>
      </w:r>
    </w:p>
  </w:footnote>
  <w:footnote w:id="1755">
    <w:p w14:paraId="47BDB568" w14:textId="21D840B6" w:rsidR="00304AC8" w:rsidRDefault="00304AC8" w:rsidP="00285819">
      <w:pPr>
        <w:pStyle w:val="a7"/>
      </w:pPr>
      <w:r>
        <w:rPr>
          <w:rStyle w:val="a9"/>
        </w:rPr>
        <w:footnoteRef/>
      </w:r>
      <w:r>
        <w:rPr>
          <w:rtl/>
        </w:rPr>
        <w:t xml:space="preserve"> </w:t>
      </w:r>
      <w:r w:rsidRPr="00304AC8">
        <w:rPr>
          <w:rFonts w:cs="Arial"/>
          <w:rtl/>
        </w:rPr>
        <w:t>ומיהו לדעת הרמב"ם (פירוש המשנה פכ"ג מ"ב) שכתבתי בסימן ש"ז (</w:t>
      </w:r>
      <w:r w:rsidR="00C906EA">
        <w:rPr>
          <w:rFonts w:cs="Arial" w:hint="cs"/>
          <w:rtl/>
        </w:rPr>
        <w:t xml:space="preserve">סע' יז, </w:t>
      </w:r>
      <w:r w:rsidRPr="00304AC8">
        <w:rPr>
          <w:rFonts w:cs="Arial"/>
          <w:rtl/>
        </w:rPr>
        <w:t xml:space="preserve">סב: ד"ה כתב) </w:t>
      </w:r>
      <w:bookmarkStart w:id="10" w:name="_Hlk93245852"/>
      <w:r w:rsidRPr="00304AC8">
        <w:rPr>
          <w:rFonts w:cs="Arial"/>
          <w:rtl/>
        </w:rPr>
        <w:t>שאסור לקרות בשבת בשום ספר זולת ספרי הנבואות ופירושיהן</w:t>
      </w:r>
      <w:r w:rsidR="00C906EA">
        <w:rPr>
          <w:rFonts w:cs="Arial" w:hint="cs"/>
          <w:rtl/>
        </w:rPr>
        <w:t xml:space="preserve"> -</w:t>
      </w:r>
      <w:r w:rsidRPr="00304AC8">
        <w:rPr>
          <w:rFonts w:cs="Arial"/>
          <w:rtl/>
        </w:rPr>
        <w:t xml:space="preserve"> אפשר דלטלטלן נמי אסור</w:t>
      </w:r>
      <w:bookmarkEnd w:id="10"/>
      <w:r w:rsidR="00C906EA">
        <w:rPr>
          <w:rFonts w:cs="Arial" w:hint="cs"/>
          <w:rtl/>
        </w:rPr>
        <w:t>,</w:t>
      </w:r>
      <w:r w:rsidRPr="00304AC8">
        <w:rPr>
          <w:rFonts w:cs="Arial"/>
          <w:rtl/>
        </w:rPr>
        <w:t xml:space="preserve"> והוא הדין לאצטרול"ב</w:t>
      </w:r>
      <w:r>
        <w:rPr>
          <w:rFonts w:cs="Arial" w:hint="cs"/>
          <w:rtl/>
        </w:rPr>
        <w:t>, ב"י</w:t>
      </w:r>
      <w:r w:rsidRPr="00304AC8">
        <w:rPr>
          <w:rFonts w:cs="Arial" w:hint="cs"/>
          <w:rtl/>
        </w:rPr>
        <w:t>.</w:t>
      </w:r>
    </w:p>
  </w:footnote>
  <w:footnote w:id="1756">
    <w:p w14:paraId="7D29FB50" w14:textId="2E24A94C" w:rsidR="00B13CD2" w:rsidRDefault="00B13CD2" w:rsidP="00285819">
      <w:pPr>
        <w:pStyle w:val="a7"/>
      </w:pPr>
      <w:r>
        <w:rPr>
          <w:rStyle w:val="a9"/>
        </w:rPr>
        <w:footnoteRef/>
      </w:r>
      <w:r>
        <w:rPr>
          <w:rtl/>
        </w:rPr>
        <w:t xml:space="preserve"> </w:t>
      </w:r>
      <w:r w:rsidRPr="00B13CD2">
        <w:rPr>
          <w:rFonts w:cs="Arial"/>
          <w:rtl/>
        </w:rPr>
        <w:t>היינו מה שכתוב לעיל בסימן ש"ז סי"ז דאסור ללמוד בשבת בספרי החכמה וכן להביט באצטרלו"ב [הוא כלי שחוזין בו הכוכבים] אפשר דלדידיה ה"ה דאסורים בטלטול ועיין בביאור הגר"א שדעתו דאפילו להרמב"ם מותר בטלטול וגם בענין לימוד מצדד כשיטת הרשב"א ועיין מה שכתבנו לעיל בסימן ש"ז סי"ז</w:t>
      </w:r>
      <w:r>
        <w:rPr>
          <w:rFonts w:cs="Arial" w:hint="cs"/>
          <w:rtl/>
        </w:rPr>
        <w:t>, משנ"ב (ס"ק קסד).</w:t>
      </w:r>
    </w:p>
  </w:footnote>
  <w:footnote w:id="1757">
    <w:p w14:paraId="594B96C9" w14:textId="005AD179" w:rsidR="00B44685" w:rsidRDefault="00B44685" w:rsidP="00285819">
      <w:pPr>
        <w:pStyle w:val="a7"/>
        <w:rPr>
          <w:rtl/>
        </w:rPr>
      </w:pPr>
      <w:r>
        <w:rPr>
          <w:rStyle w:val="a9"/>
        </w:rPr>
        <w:footnoteRef/>
      </w:r>
      <w:r>
        <w:rPr>
          <w:rtl/>
        </w:rPr>
        <w:t xml:space="preserve"> </w:t>
      </w:r>
      <w:r>
        <w:rPr>
          <w:rFonts w:hint="cs"/>
          <w:rtl/>
        </w:rPr>
        <w:t>שאלה זו מובאת במהרי"ל בסי' קצג אות ט, ונשאלה ע"י ה"ר יצחק.</w:t>
      </w:r>
    </w:p>
  </w:footnote>
  <w:footnote w:id="1758">
    <w:p w14:paraId="47F4B163" w14:textId="48E0F81A" w:rsidR="006B1538" w:rsidRPr="006B1538" w:rsidRDefault="006B1538" w:rsidP="00285819">
      <w:pPr>
        <w:pStyle w:val="a7"/>
      </w:pPr>
      <w:r>
        <w:rPr>
          <w:rStyle w:val="a9"/>
        </w:rPr>
        <w:footnoteRef/>
      </w:r>
      <w:r>
        <w:rPr>
          <w:rtl/>
        </w:rPr>
        <w:t xml:space="preserve"> </w:t>
      </w:r>
      <w:r w:rsidRPr="006B1538">
        <w:rPr>
          <w:rFonts w:cs="Arial"/>
          <w:rtl/>
        </w:rPr>
        <w:t>הוא כלי שממלאין בו חול והחול יוצא דרך נקב מתחתיתו ועשויה קוין קוין לשער בו השעות</w:t>
      </w:r>
      <w:r>
        <w:rPr>
          <w:rFonts w:hint="cs"/>
          <w:rtl/>
        </w:rPr>
        <w:t>, משנ"ב (ס"ק קסה).</w:t>
      </w:r>
    </w:p>
  </w:footnote>
  <w:footnote w:id="1759">
    <w:p w14:paraId="43226A20" w14:textId="7831662D" w:rsidR="006B1538" w:rsidRDefault="006B1538" w:rsidP="00285819">
      <w:pPr>
        <w:pStyle w:val="a7"/>
      </w:pPr>
      <w:r>
        <w:rPr>
          <w:rStyle w:val="a9"/>
        </w:rPr>
        <w:footnoteRef/>
      </w:r>
      <w:r>
        <w:rPr>
          <w:rtl/>
        </w:rPr>
        <w:t xml:space="preserve"> </w:t>
      </w:r>
      <w:r w:rsidRPr="006B1538">
        <w:rPr>
          <w:rFonts w:cs="Arial"/>
          <w:rtl/>
        </w:rPr>
        <w:t>כגון שהוא עשוי חוליות חוליות להכיר בו השעות כשהצל מגיע לאיזה חוליא</w:t>
      </w:r>
      <w:r>
        <w:rPr>
          <w:rFonts w:cs="Arial" w:hint="cs"/>
          <w:rtl/>
        </w:rPr>
        <w:t>, ס"ק קסו).</w:t>
      </w:r>
    </w:p>
  </w:footnote>
  <w:footnote w:id="1760">
    <w:p w14:paraId="056AB5F7" w14:textId="387F23A0" w:rsidR="00990A86" w:rsidRDefault="00990A86" w:rsidP="00285819">
      <w:pPr>
        <w:pStyle w:val="a7"/>
      </w:pPr>
      <w:r>
        <w:rPr>
          <w:rStyle w:val="a9"/>
        </w:rPr>
        <w:footnoteRef/>
      </w:r>
      <w:r>
        <w:rPr>
          <w:rtl/>
        </w:rPr>
        <w:t xml:space="preserve"> </w:t>
      </w:r>
      <w:r w:rsidRPr="00990A86">
        <w:rPr>
          <w:rFonts w:cs="Arial"/>
          <w:rtl/>
        </w:rPr>
        <w:t>דדמי למדידת הזמן או הצל והוי בכלל כלי שמלאכתו לאיסור דמדידה בשבת אסור כשאינה של מצוה ואפילו אם הוא לומד על ידו מ"מ עיקר המדידה אינה של מצוה מיהו כשצריך לו לגופו או מקומו בודאי שרי דהא כלי הוא</w:t>
      </w:r>
      <w:r>
        <w:rPr>
          <w:rFonts w:cs="Arial" w:hint="cs"/>
          <w:rtl/>
        </w:rPr>
        <w:t>, משנ"ב (ס"ק קסז).</w:t>
      </w:r>
    </w:p>
  </w:footnote>
  <w:footnote w:id="1761">
    <w:p w14:paraId="4465B937" w14:textId="2615BDAC" w:rsidR="00990A86" w:rsidRDefault="00990A86" w:rsidP="00285819">
      <w:pPr>
        <w:pStyle w:val="a7"/>
      </w:pPr>
      <w:r>
        <w:rPr>
          <w:rStyle w:val="a9"/>
        </w:rPr>
        <w:footnoteRef/>
      </w:r>
      <w:r>
        <w:rPr>
          <w:rtl/>
        </w:rPr>
        <w:t xml:space="preserve"> </w:t>
      </w:r>
      <w:r w:rsidRPr="00990A86">
        <w:rPr>
          <w:rFonts w:cs="Arial"/>
          <w:rtl/>
        </w:rPr>
        <w:t>ובזיי"גער שלנו יש להתיר [פמ"ג ומחה"ש וש"א] ודוקא הקטנים שקורין טאשי"ן אוה"ר אבל הגדולים שקורין וואנ"ד אוה"ר אסור לטלטל ואפילו אותן כלי שעות העומדין בתיבה על הקרקע יש להחמיר בטלטול אם לא לצורך מקומו [שע"ת]</w:t>
      </w:r>
      <w:r>
        <w:rPr>
          <w:rFonts w:cs="Arial" w:hint="cs"/>
          <w:rtl/>
        </w:rPr>
        <w:t>, משנ"ב (ס"ק קסח).</w:t>
      </w:r>
    </w:p>
  </w:footnote>
  <w:footnote w:id="1762">
    <w:p w14:paraId="4D455E69" w14:textId="76E28535" w:rsidR="00687D16" w:rsidRDefault="00687D16" w:rsidP="00285819">
      <w:pPr>
        <w:pStyle w:val="a7"/>
        <w:rPr>
          <w:rtl/>
        </w:rPr>
      </w:pPr>
      <w:r>
        <w:rPr>
          <w:rStyle w:val="a9"/>
        </w:rPr>
        <w:footnoteRef/>
      </w:r>
      <w:r>
        <w:rPr>
          <w:rtl/>
        </w:rPr>
        <w:t xml:space="preserve"> </w:t>
      </w:r>
      <w:r w:rsidRPr="00687D16">
        <w:rPr>
          <w:rFonts w:cs="Arial"/>
          <w:rtl/>
        </w:rPr>
        <w:t>שנשתיירו מן האור, ולבונה דחזיא להריח, ואגב לבונה מטלטל למחתה עם אפרה, דומיא דכלכלה מלאה פירות והאבן בתוכה</w:t>
      </w:r>
      <w:r>
        <w:rPr>
          <w:rFonts w:hint="cs"/>
          <w:rtl/>
        </w:rPr>
        <w:t>, רש"י.</w:t>
      </w:r>
    </w:p>
  </w:footnote>
  <w:footnote w:id="1763">
    <w:p w14:paraId="59F911F1" w14:textId="554687FD" w:rsidR="00687D16" w:rsidRDefault="00687D16" w:rsidP="00285819">
      <w:pPr>
        <w:pStyle w:val="a7"/>
        <w:rPr>
          <w:rtl/>
        </w:rPr>
      </w:pPr>
      <w:r>
        <w:rPr>
          <w:rStyle w:val="a9"/>
        </w:rPr>
        <w:footnoteRef/>
      </w:r>
      <w:r>
        <w:rPr>
          <w:rtl/>
        </w:rPr>
        <w:t xml:space="preserve"> </w:t>
      </w:r>
      <w:r w:rsidRPr="00687D16">
        <w:rPr>
          <w:rFonts w:cs="Arial"/>
          <w:rtl/>
        </w:rPr>
        <w:t>דנשיא ועשיר הוה, מי חשיבי</w:t>
      </w:r>
      <w:r>
        <w:rPr>
          <w:rFonts w:hint="cs"/>
          <w:rtl/>
        </w:rPr>
        <w:t>, רש"י.</w:t>
      </w:r>
    </w:p>
  </w:footnote>
  <w:footnote w:id="1764">
    <w:p w14:paraId="44B42C21" w14:textId="0923371C" w:rsidR="00687D16" w:rsidRDefault="00687D16" w:rsidP="00285819">
      <w:pPr>
        <w:pStyle w:val="a7"/>
      </w:pPr>
      <w:r>
        <w:rPr>
          <w:rStyle w:val="a9"/>
        </w:rPr>
        <w:footnoteRef/>
      </w:r>
      <w:r>
        <w:rPr>
          <w:rtl/>
        </w:rPr>
        <w:t xml:space="preserve"> </w:t>
      </w:r>
      <w:r w:rsidRPr="00687D16">
        <w:rPr>
          <w:rFonts w:cs="Arial"/>
          <w:rtl/>
        </w:rPr>
        <w:t>שלש על שלש, או שחוטן עבה - הוו בגדים לעניים לענין טומאה</w:t>
      </w:r>
      <w:r>
        <w:rPr>
          <w:rFonts w:cs="Arial" w:hint="cs"/>
          <w:rtl/>
        </w:rPr>
        <w:t>, רש"י.</w:t>
      </w:r>
    </w:p>
  </w:footnote>
  <w:footnote w:id="1765">
    <w:p w14:paraId="28EF61D0" w14:textId="42A34CE2" w:rsidR="00687D16" w:rsidRDefault="00687D16" w:rsidP="00285819">
      <w:pPr>
        <w:pStyle w:val="a7"/>
      </w:pPr>
      <w:r>
        <w:rPr>
          <w:rStyle w:val="a9"/>
        </w:rPr>
        <w:footnoteRef/>
      </w:r>
      <w:r>
        <w:rPr>
          <w:rtl/>
        </w:rPr>
        <w:t xml:space="preserve"> </w:t>
      </w:r>
      <w:r w:rsidRPr="00687D16">
        <w:rPr>
          <w:rFonts w:cs="Arial"/>
          <w:rtl/>
        </w:rPr>
        <w:t>שלשה על שלשה הוו בגדים לעשירים, וכל שכן לעניים, אבל בגדי עניים לעשירים - לא הוה בגד גבייהו, ולא מקבלי טומאה, הכא נמי: בי רבי בטלי קרטין</w:t>
      </w:r>
      <w:r>
        <w:rPr>
          <w:rFonts w:cs="Arial" w:hint="cs"/>
          <w:rtl/>
        </w:rPr>
        <w:t>, רש"י.</w:t>
      </w:r>
    </w:p>
  </w:footnote>
  <w:footnote w:id="1766">
    <w:p w14:paraId="263D37B6" w14:textId="76E13179" w:rsidR="00990A86" w:rsidRDefault="00990A86" w:rsidP="00285819">
      <w:pPr>
        <w:pStyle w:val="a7"/>
      </w:pPr>
      <w:r>
        <w:rPr>
          <w:rStyle w:val="a9"/>
        </w:rPr>
        <w:footnoteRef/>
      </w:r>
      <w:r>
        <w:rPr>
          <w:rtl/>
        </w:rPr>
        <w:t xml:space="preserve"> </w:t>
      </w:r>
      <w:r>
        <w:rPr>
          <w:rFonts w:hint="cs"/>
          <w:rtl/>
        </w:rPr>
        <w:t>ר</w:t>
      </w:r>
      <w:r w:rsidRPr="00990A86">
        <w:rPr>
          <w:rFonts w:cs="Arial"/>
          <w:rtl/>
        </w:rPr>
        <w:t>"ל שהוא דבר שהוא גרוע בעיני העשירים ואין דרכם להשתמש בו מחמת עשרם ומקצים אותם מדעתם</w:t>
      </w:r>
      <w:r>
        <w:rPr>
          <w:rFonts w:cs="Arial" w:hint="cs"/>
          <w:rtl/>
        </w:rPr>
        <w:t>,</w:t>
      </w:r>
      <w:r w:rsidRPr="00990A86">
        <w:rPr>
          <w:rFonts w:cs="Arial"/>
          <w:rtl/>
        </w:rPr>
        <w:t xml:space="preserve"> כגון שירי מטלניות שהם פחותים משלשה טפחים על שלשה טפחים</w:t>
      </w:r>
      <w:r>
        <w:rPr>
          <w:rFonts w:cs="Arial" w:hint="cs"/>
          <w:rtl/>
        </w:rPr>
        <w:t>,</w:t>
      </w:r>
      <w:r w:rsidRPr="00990A86">
        <w:rPr>
          <w:rFonts w:cs="Arial"/>
          <w:rtl/>
        </w:rPr>
        <w:t xml:space="preserve"> דלא חזיין רק לעניים לאיזה טלאי ולא לעשירים</w:t>
      </w:r>
      <w:r>
        <w:rPr>
          <w:rFonts w:cs="Arial" w:hint="cs"/>
          <w:rtl/>
        </w:rPr>
        <w:t>,</w:t>
      </w:r>
      <w:r w:rsidRPr="00990A86">
        <w:rPr>
          <w:rFonts w:cs="Arial"/>
          <w:rtl/>
        </w:rPr>
        <w:t xml:space="preserve"> ע"כ נאסר לעשירים אף בטלטול</w:t>
      </w:r>
      <w:r>
        <w:rPr>
          <w:rFonts w:cs="Arial" w:hint="cs"/>
          <w:rtl/>
        </w:rPr>
        <w:t>, משנ"ב (ס"ק קסט).</w:t>
      </w:r>
    </w:p>
  </w:footnote>
  <w:footnote w:id="1767">
    <w:p w14:paraId="3B50EAE1" w14:textId="39B19030" w:rsidR="00990A86" w:rsidRDefault="00990A86" w:rsidP="00285819">
      <w:pPr>
        <w:pStyle w:val="a7"/>
        <w:rPr>
          <w:rtl/>
        </w:rPr>
      </w:pPr>
      <w:r>
        <w:rPr>
          <w:rStyle w:val="a9"/>
        </w:rPr>
        <w:footnoteRef/>
      </w:r>
      <w:r>
        <w:rPr>
          <w:rtl/>
        </w:rPr>
        <w:t xml:space="preserve"> </w:t>
      </w:r>
      <w:r w:rsidRPr="00990A86">
        <w:rPr>
          <w:rFonts w:cs="Arial"/>
          <w:rtl/>
        </w:rPr>
        <w:t>שכבר הוקצה מדעתו של בעה"ב העשיר ואין חילוק בין עניים שבביתו בין עניים שחוץ לביתו דאזלינן בתר מי שהוא בעליו והא דאיתא לעיל בסי"ג דאם יש בהן ג' אצבעות על ג' אצבעות מותר לטלטלן היינו דוקא כשהם של עני ואז מותר גם העשיר לטלטל אותן ועיין בט"ז שמסיק דדוקא כשהעשיר דר בבית העני שאז הוא נגרר אחריו אבל עשיר דעלמא אסור לטלטל כיון שמ"מ אינו ראוי לו שהוא פחות מג' טפחים על ג' טפחים. עוד כתבו הפוסקים דמה שפסק המחבר דמוקצה לבעה"ב הוי מוקצה לכל הוא דוקא בדבר שאינו ראוי לבעליו מחמת גריעותא כנ"ל אבל דבר שאינו ראוי לבעליו מחמת איסור כגון שנדר מככר לא נעשה מוקצה בשביל זה הואיל דמותר לאחרים ואף הוא עצמו מותר לטלטלו ואם אסר על כל העולם אז אסור לכל לטלטלו</w:t>
      </w:r>
      <w:r>
        <w:rPr>
          <w:rFonts w:hint="cs"/>
          <w:rtl/>
        </w:rPr>
        <w:t>, משנ"ב (סקק"ע).</w:t>
      </w:r>
    </w:p>
  </w:footnote>
  <w:footnote w:id="1768">
    <w:p w14:paraId="22D267EF" w14:textId="074BAA2D" w:rsidR="0061669C" w:rsidRDefault="0061669C" w:rsidP="00285819">
      <w:pPr>
        <w:pStyle w:val="a7"/>
      </w:pPr>
      <w:r>
        <w:rPr>
          <w:rStyle w:val="a9"/>
        </w:rPr>
        <w:footnoteRef/>
      </w:r>
      <w:r>
        <w:rPr>
          <w:rtl/>
        </w:rPr>
        <w:t xml:space="preserve"> </w:t>
      </w:r>
      <w:r w:rsidRPr="0061669C">
        <w:rPr>
          <w:rFonts w:cs="Arial"/>
          <w:rtl/>
        </w:rPr>
        <w:t>בחצר, ולא אמרינן דמטלטל לאבן</w:t>
      </w:r>
      <w:r>
        <w:rPr>
          <w:rFonts w:cs="Arial" w:hint="cs"/>
          <w:rtl/>
        </w:rPr>
        <w:t>, רש"י.</w:t>
      </w:r>
    </w:p>
  </w:footnote>
  <w:footnote w:id="1769">
    <w:p w14:paraId="3EF02E37" w14:textId="4FBCCD4E" w:rsidR="0061669C" w:rsidRDefault="0061669C" w:rsidP="00285819">
      <w:pPr>
        <w:pStyle w:val="a7"/>
      </w:pPr>
      <w:r>
        <w:rPr>
          <w:rStyle w:val="a9"/>
        </w:rPr>
        <w:footnoteRef/>
      </w:r>
      <w:r>
        <w:rPr>
          <w:rtl/>
        </w:rPr>
        <w:t xml:space="preserve"> </w:t>
      </w:r>
      <w:r w:rsidRPr="0061669C">
        <w:rPr>
          <w:rFonts w:cs="Arial"/>
          <w:rtl/>
        </w:rPr>
        <w:t>שאם לא יטלנו יחלה, ולא העמידו טלטול שלא בידים במקום סכנה, ואע</w:t>
      </w:r>
      <w:r>
        <w:rPr>
          <w:rFonts w:cs="Arial" w:hint="cs"/>
          <w:rtl/>
        </w:rPr>
        <w:t>"</w:t>
      </w:r>
      <w:r w:rsidRPr="0061669C">
        <w:rPr>
          <w:rFonts w:cs="Arial"/>
          <w:rtl/>
        </w:rPr>
        <w:t>ג דלאו סכנת נפש גמורה, אלא סכנת חולי</w:t>
      </w:r>
      <w:r>
        <w:rPr>
          <w:rFonts w:cs="Arial" w:hint="cs"/>
          <w:rtl/>
        </w:rPr>
        <w:t>, רש"י.</w:t>
      </w:r>
    </w:p>
  </w:footnote>
  <w:footnote w:id="1770">
    <w:p w14:paraId="525CA1BC" w14:textId="301C8512" w:rsidR="00AC41F8" w:rsidRDefault="00AC41F8" w:rsidP="00285819">
      <w:pPr>
        <w:pStyle w:val="a7"/>
        <w:rPr>
          <w:rtl/>
        </w:rPr>
      </w:pPr>
      <w:r>
        <w:rPr>
          <w:rStyle w:val="a9"/>
        </w:rPr>
        <w:footnoteRef/>
      </w:r>
      <w:r>
        <w:rPr>
          <w:rtl/>
        </w:rPr>
        <w:t xml:space="preserve"> </w:t>
      </w:r>
      <w:r w:rsidRPr="00AC41F8">
        <w:rPr>
          <w:rFonts w:cs="Arial"/>
          <w:rtl/>
        </w:rPr>
        <w:t>ומיירי שהוא בחצר דאין בה אלא משום איסור טלטול ולכך לא אסרו בזה משום צערא דתינוק כדלקמן אבל בר"ה ודאי אסור משום איסור הוצאה דכשנושא את התינוק הוי כאלו נושא את האבן בידו [גמרא]</w:t>
      </w:r>
      <w:r>
        <w:rPr>
          <w:rFonts w:hint="cs"/>
          <w:rtl/>
        </w:rPr>
        <w:t>, משנ"ב (סק"א).</w:t>
      </w:r>
    </w:p>
  </w:footnote>
  <w:footnote w:id="1771">
    <w:p w14:paraId="7B4D0548" w14:textId="7FE4322C" w:rsidR="000A424C" w:rsidRDefault="000A424C" w:rsidP="00285819">
      <w:pPr>
        <w:pStyle w:val="a7"/>
      </w:pPr>
      <w:r>
        <w:rPr>
          <w:rStyle w:val="a9"/>
        </w:rPr>
        <w:footnoteRef/>
      </w:r>
      <w:r>
        <w:rPr>
          <w:rtl/>
        </w:rPr>
        <w:t xml:space="preserve"> </w:t>
      </w:r>
      <w:r w:rsidRPr="000A424C">
        <w:rPr>
          <w:rFonts w:cs="Arial"/>
          <w:rtl/>
        </w:rPr>
        <w:t>עד שיסתלקו הפירות מן האבן לתוך הכלכלה לצדדין, וישליך האבן לבדה בנעורתה</w:t>
      </w:r>
      <w:r>
        <w:rPr>
          <w:rFonts w:cs="Arial" w:hint="cs"/>
          <w:rtl/>
        </w:rPr>
        <w:t>, רש"י.</w:t>
      </w:r>
    </w:p>
  </w:footnote>
  <w:footnote w:id="1772">
    <w:p w14:paraId="3F8C5899" w14:textId="3E37BAAD" w:rsidR="000A424C" w:rsidRDefault="000A424C" w:rsidP="00285819">
      <w:pPr>
        <w:pStyle w:val="a7"/>
      </w:pPr>
      <w:r>
        <w:rPr>
          <w:rStyle w:val="a9"/>
        </w:rPr>
        <w:footnoteRef/>
      </w:r>
      <w:r>
        <w:rPr>
          <w:rtl/>
        </w:rPr>
        <w:t xml:space="preserve"> </w:t>
      </w:r>
      <w:r w:rsidRPr="000A424C">
        <w:rPr>
          <w:rFonts w:cs="Arial"/>
          <w:rtl/>
        </w:rPr>
        <w:t>שנפחת דופנה או שוליה</w:t>
      </w:r>
      <w:r>
        <w:rPr>
          <w:rFonts w:cs="Arial" w:hint="cs"/>
          <w:rtl/>
        </w:rPr>
        <w:t>, רש"י.</w:t>
      </w:r>
    </w:p>
  </w:footnote>
  <w:footnote w:id="1773">
    <w:p w14:paraId="38EDD978" w14:textId="77777777" w:rsidR="000A424C" w:rsidRDefault="000A424C" w:rsidP="00285819">
      <w:pPr>
        <w:pStyle w:val="a7"/>
      </w:pPr>
      <w:r>
        <w:rPr>
          <w:rStyle w:val="a9"/>
        </w:rPr>
        <w:footnoteRef/>
      </w:r>
      <w:r>
        <w:rPr>
          <w:rtl/>
        </w:rPr>
        <w:t xml:space="preserve"> </w:t>
      </w:r>
      <w:r w:rsidRPr="0090750D">
        <w:rPr>
          <w:rFonts w:cs="Arial"/>
          <w:rtl/>
        </w:rPr>
        <w:t>לקמן בהאי מסכתא</w:t>
      </w:r>
      <w:r>
        <w:rPr>
          <w:rFonts w:cs="Arial" w:hint="cs"/>
          <w:rtl/>
        </w:rPr>
        <w:t>, רש"י.</w:t>
      </w:r>
    </w:p>
  </w:footnote>
  <w:footnote w:id="1774">
    <w:p w14:paraId="17BC9D9F" w14:textId="77777777" w:rsidR="000A424C" w:rsidRDefault="000A424C" w:rsidP="00285819">
      <w:pPr>
        <w:pStyle w:val="a7"/>
      </w:pPr>
      <w:r>
        <w:rPr>
          <w:rStyle w:val="a9"/>
        </w:rPr>
        <w:footnoteRef/>
      </w:r>
      <w:r>
        <w:rPr>
          <w:rtl/>
        </w:rPr>
        <w:t xml:space="preserve"> </w:t>
      </w:r>
      <w:r w:rsidRPr="0090750D">
        <w:rPr>
          <w:rFonts w:cs="Arial"/>
          <w:rtl/>
        </w:rPr>
        <w:t>והוצרך ליטול מן היין שבתוכה</w:t>
      </w:r>
      <w:r>
        <w:rPr>
          <w:rFonts w:cs="Arial" w:hint="cs"/>
          <w:rtl/>
        </w:rPr>
        <w:t>, רש"י.</w:t>
      </w:r>
    </w:p>
  </w:footnote>
  <w:footnote w:id="1775">
    <w:p w14:paraId="39F7AC1D" w14:textId="77777777" w:rsidR="000A424C" w:rsidRDefault="000A424C" w:rsidP="00285819">
      <w:pPr>
        <w:pStyle w:val="a7"/>
        <w:rPr>
          <w:rtl/>
        </w:rPr>
      </w:pPr>
      <w:r>
        <w:rPr>
          <w:rStyle w:val="a9"/>
        </w:rPr>
        <w:footnoteRef/>
      </w:r>
      <w:r>
        <w:rPr>
          <w:rtl/>
        </w:rPr>
        <w:t xml:space="preserve"> </w:t>
      </w:r>
      <w:r w:rsidRPr="0090750D">
        <w:rPr>
          <w:rFonts w:cs="Arial"/>
          <w:rtl/>
        </w:rPr>
        <w:t>על שמועה שלי, שאמרתי במניח אין האבן נעשה כלי</w:t>
      </w:r>
      <w:r>
        <w:rPr>
          <w:rFonts w:hint="cs"/>
          <w:rtl/>
        </w:rPr>
        <w:t>, רש"י.</w:t>
      </w:r>
    </w:p>
  </w:footnote>
  <w:footnote w:id="1776">
    <w:p w14:paraId="6D9295B8" w14:textId="77777777" w:rsidR="000A424C" w:rsidRDefault="000A424C" w:rsidP="00285819">
      <w:pPr>
        <w:pStyle w:val="a7"/>
      </w:pPr>
      <w:r>
        <w:rPr>
          <w:rStyle w:val="a9"/>
        </w:rPr>
        <w:footnoteRef/>
      </w:r>
      <w:r>
        <w:rPr>
          <w:rtl/>
        </w:rPr>
        <w:t xml:space="preserve"> </w:t>
      </w:r>
      <w:r w:rsidRPr="008F4E48">
        <w:rPr>
          <w:rFonts w:cs="Arial"/>
          <w:rtl/>
        </w:rPr>
        <w:t>אלמא אבן נעשה כלי</w:t>
      </w:r>
      <w:r>
        <w:rPr>
          <w:rFonts w:cs="Arial" w:hint="cs"/>
          <w:rtl/>
        </w:rPr>
        <w:t>, רש"י.</w:t>
      </w:r>
    </w:p>
  </w:footnote>
  <w:footnote w:id="1777">
    <w:p w14:paraId="2B86B519" w14:textId="77777777" w:rsidR="000A424C" w:rsidRDefault="000A424C" w:rsidP="00285819">
      <w:pPr>
        <w:pStyle w:val="a7"/>
      </w:pPr>
      <w:r>
        <w:rPr>
          <w:rStyle w:val="a9"/>
        </w:rPr>
        <w:footnoteRef/>
      </w:r>
      <w:r>
        <w:rPr>
          <w:rtl/>
        </w:rPr>
        <w:t xml:space="preserve"> </w:t>
      </w:r>
      <w:r w:rsidRPr="008F4E48">
        <w:rPr>
          <w:rFonts w:cs="Arial"/>
          <w:rtl/>
        </w:rPr>
        <w:t>שקשרה יפה</w:t>
      </w:r>
      <w:r>
        <w:rPr>
          <w:rFonts w:cs="Arial" w:hint="cs"/>
          <w:rtl/>
        </w:rPr>
        <w:t>, רש"י.</w:t>
      </w:r>
    </w:p>
  </w:footnote>
  <w:footnote w:id="1778">
    <w:p w14:paraId="058DCB89" w14:textId="76A1AC5D" w:rsidR="0040186F" w:rsidRDefault="0040186F" w:rsidP="00285819">
      <w:pPr>
        <w:pStyle w:val="a7"/>
      </w:pPr>
      <w:r>
        <w:rPr>
          <w:rStyle w:val="a9"/>
        </w:rPr>
        <w:footnoteRef/>
      </w:r>
      <w:r>
        <w:rPr>
          <w:rtl/>
        </w:rPr>
        <w:t xml:space="preserve"> </w:t>
      </w:r>
      <w:r w:rsidRPr="0040186F">
        <w:rPr>
          <w:rFonts w:cs="Arial"/>
          <w:rtl/>
        </w:rPr>
        <w:t>ומיירי שהדקה יפה להכלכלה או שקשר אבל בלא"ה לא נעשה כדופנה</w:t>
      </w:r>
      <w:r>
        <w:rPr>
          <w:rFonts w:cs="Arial" w:hint="cs"/>
          <w:rtl/>
        </w:rPr>
        <w:t>, רש"י.</w:t>
      </w:r>
    </w:p>
  </w:footnote>
  <w:footnote w:id="1779">
    <w:p w14:paraId="0F631AE4" w14:textId="12EE1108" w:rsidR="0040186F" w:rsidRDefault="0040186F" w:rsidP="00285819">
      <w:pPr>
        <w:pStyle w:val="a7"/>
      </w:pPr>
      <w:r>
        <w:rPr>
          <w:rStyle w:val="a9"/>
        </w:rPr>
        <w:footnoteRef/>
      </w:r>
      <w:r>
        <w:rPr>
          <w:rtl/>
        </w:rPr>
        <w:t xml:space="preserve"> </w:t>
      </w:r>
      <w:r w:rsidRPr="0040186F">
        <w:rPr>
          <w:rFonts w:cs="Arial"/>
          <w:rtl/>
        </w:rPr>
        <w:t>דעיקר נעשית בסיס לפירות, הלכך אבן מיטלטלת אגב כלי ופירות, שהוא מותר</w:t>
      </w:r>
      <w:r>
        <w:rPr>
          <w:rFonts w:cs="Arial" w:hint="cs"/>
          <w:rtl/>
        </w:rPr>
        <w:t>, רש"י.</w:t>
      </w:r>
    </w:p>
  </w:footnote>
  <w:footnote w:id="1780">
    <w:p w14:paraId="4C48F958" w14:textId="7DC31518" w:rsidR="0040186F" w:rsidRDefault="0040186F" w:rsidP="00285819">
      <w:pPr>
        <w:pStyle w:val="a7"/>
      </w:pPr>
      <w:r>
        <w:rPr>
          <w:rStyle w:val="a9"/>
        </w:rPr>
        <w:footnoteRef/>
      </w:r>
      <w:r>
        <w:rPr>
          <w:rtl/>
        </w:rPr>
        <w:t xml:space="preserve"> </w:t>
      </w:r>
      <w:r w:rsidRPr="0040186F">
        <w:rPr>
          <w:rFonts w:cs="Arial"/>
          <w:rtl/>
        </w:rPr>
        <w:t>ילקטם מעל הארץ בידיו, ויחזירה לכלכלה, ויטלטלם, ולמה התירו אבן לטלטל אגב כלי ופירות?</w:t>
      </w:r>
      <w:r>
        <w:rPr>
          <w:rFonts w:cs="Arial" w:hint="cs"/>
          <w:rtl/>
        </w:rPr>
        <w:t>, רש"י.</w:t>
      </w:r>
    </w:p>
  </w:footnote>
  <w:footnote w:id="1781">
    <w:p w14:paraId="54857AB9" w14:textId="3773F29C" w:rsidR="0040186F" w:rsidRDefault="0040186F" w:rsidP="00285819">
      <w:pPr>
        <w:pStyle w:val="a7"/>
      </w:pPr>
      <w:r>
        <w:rPr>
          <w:rStyle w:val="a9"/>
        </w:rPr>
        <w:footnoteRef/>
      </w:r>
      <w:r>
        <w:rPr>
          <w:rtl/>
        </w:rPr>
        <w:t xml:space="preserve"> </w:t>
      </w:r>
      <w:r w:rsidRPr="0040186F">
        <w:rPr>
          <w:rFonts w:cs="Arial"/>
          <w:rtl/>
        </w:rPr>
        <w:t>בפירות מבושלין ורכין מאד, כגון תאנים ותותים וענבים, שאם ישליכם לארץ יטנפו</w:t>
      </w:r>
      <w:r>
        <w:rPr>
          <w:rFonts w:cs="Arial" w:hint="cs"/>
          <w:rtl/>
        </w:rPr>
        <w:t>, רש"י.</w:t>
      </w:r>
    </w:p>
  </w:footnote>
  <w:footnote w:id="1782">
    <w:p w14:paraId="331CC940" w14:textId="77777777" w:rsidR="0040186F" w:rsidRDefault="0040186F" w:rsidP="00285819">
      <w:pPr>
        <w:pStyle w:val="a7"/>
      </w:pPr>
      <w:r>
        <w:rPr>
          <w:rStyle w:val="a9"/>
        </w:rPr>
        <w:footnoteRef/>
      </w:r>
      <w:r>
        <w:rPr>
          <w:rtl/>
        </w:rPr>
        <w:t xml:space="preserve"> </w:t>
      </w:r>
      <w:r w:rsidRPr="000A424C">
        <w:rPr>
          <w:rFonts w:cs="Arial"/>
          <w:rtl/>
        </w:rPr>
        <w:t>עד שיסתלקו הפירות מן האבן לתוך הכלכלה לצדדין, וישליך האבן לבדה בנעורתה</w:t>
      </w:r>
      <w:r>
        <w:rPr>
          <w:rFonts w:cs="Arial" w:hint="cs"/>
          <w:rtl/>
        </w:rPr>
        <w:t>, רש"י.</w:t>
      </w:r>
    </w:p>
  </w:footnote>
  <w:footnote w:id="1783">
    <w:p w14:paraId="72616933" w14:textId="77777777" w:rsidR="0040186F" w:rsidRDefault="0040186F" w:rsidP="00285819">
      <w:pPr>
        <w:pStyle w:val="a7"/>
      </w:pPr>
      <w:r>
        <w:rPr>
          <w:rStyle w:val="a9"/>
        </w:rPr>
        <w:footnoteRef/>
      </w:r>
      <w:r>
        <w:rPr>
          <w:rtl/>
        </w:rPr>
        <w:t xml:space="preserve"> </w:t>
      </w:r>
      <w:r w:rsidRPr="000A424C">
        <w:rPr>
          <w:rFonts w:cs="Arial"/>
          <w:rtl/>
        </w:rPr>
        <w:t>שנפחת דופנה או שוליה</w:t>
      </w:r>
      <w:r>
        <w:rPr>
          <w:rFonts w:cs="Arial" w:hint="cs"/>
          <w:rtl/>
        </w:rPr>
        <w:t>, רש"י.</w:t>
      </w:r>
    </w:p>
  </w:footnote>
  <w:footnote w:id="1784">
    <w:p w14:paraId="50D76CCA" w14:textId="04A43AF9" w:rsidR="000C01B5" w:rsidRDefault="000C01B5" w:rsidP="00285819">
      <w:pPr>
        <w:pStyle w:val="a7"/>
      </w:pPr>
      <w:r>
        <w:rPr>
          <w:rStyle w:val="a9"/>
        </w:rPr>
        <w:footnoteRef/>
      </w:r>
      <w:r>
        <w:rPr>
          <w:rtl/>
        </w:rPr>
        <w:t xml:space="preserve"> </w:t>
      </w:r>
      <w:r w:rsidRPr="000C01B5">
        <w:rPr>
          <w:rFonts w:cs="Arial"/>
          <w:rtl/>
        </w:rPr>
        <w:t>אף שיש אבן בתוכה</w:t>
      </w:r>
      <w:r w:rsidR="00B77403">
        <w:rPr>
          <w:rFonts w:cs="Arial" w:hint="cs"/>
          <w:rtl/>
        </w:rPr>
        <w:t>,</w:t>
      </w:r>
      <w:r w:rsidRPr="000C01B5">
        <w:rPr>
          <w:rFonts w:cs="Arial"/>
          <w:rtl/>
        </w:rPr>
        <w:t xml:space="preserve"> דנעשית הכלכלה בסיס לאיסור ולהיתר וההיתר חשוב יותר ובטל האיסור לגבה והוי כאלו אינו בסיס רק להיתר</w:t>
      </w:r>
      <w:r>
        <w:rPr>
          <w:rFonts w:cs="Arial" w:hint="cs"/>
          <w:rtl/>
        </w:rPr>
        <w:t>,</w:t>
      </w:r>
      <w:r w:rsidRPr="000C01B5">
        <w:rPr>
          <w:rFonts w:cs="Arial"/>
          <w:rtl/>
        </w:rPr>
        <w:t xml:space="preserve"> ואע</w:t>
      </w:r>
      <w:r>
        <w:rPr>
          <w:rFonts w:cs="Arial" w:hint="cs"/>
          <w:rtl/>
        </w:rPr>
        <w:t>"</w:t>
      </w:r>
      <w:r w:rsidRPr="000C01B5">
        <w:rPr>
          <w:rFonts w:cs="Arial"/>
          <w:rtl/>
        </w:rPr>
        <w:t>ג דממילא מיטלטל גם האבן שרי לטלטל הכלכלה ולהגיע למקום שירצה</w:t>
      </w:r>
      <w:r>
        <w:rPr>
          <w:rFonts w:cs="Arial" w:hint="cs"/>
          <w:rtl/>
        </w:rPr>
        <w:t>.</w:t>
      </w:r>
      <w:r w:rsidRPr="000C01B5">
        <w:rPr>
          <w:rFonts w:cs="Arial"/>
          <w:rtl/>
        </w:rPr>
        <w:t xml:space="preserve"> ואין צריך ללקט הפירות מתוך הסל בידו פן יפלו לארץ</w:t>
      </w:r>
      <w:r>
        <w:rPr>
          <w:rFonts w:cs="Arial" w:hint="cs"/>
          <w:rtl/>
        </w:rPr>
        <w:t>.</w:t>
      </w:r>
      <w:r w:rsidRPr="000C01B5">
        <w:rPr>
          <w:rFonts w:cs="Arial"/>
          <w:rtl/>
        </w:rPr>
        <w:t xml:space="preserve"> אבל אם הפירות מונחים בסלים קטנים תוך הכלכלה</w:t>
      </w:r>
      <w:r>
        <w:rPr>
          <w:rFonts w:cs="Arial" w:hint="cs"/>
          <w:rtl/>
        </w:rPr>
        <w:t>,</w:t>
      </w:r>
      <w:r w:rsidRPr="000C01B5">
        <w:rPr>
          <w:rFonts w:cs="Arial"/>
          <w:rtl/>
        </w:rPr>
        <w:t xml:space="preserve"> יטלם בידו מתוך הכלכלה</w:t>
      </w:r>
      <w:r>
        <w:rPr>
          <w:rFonts w:cs="Arial" w:hint="cs"/>
          <w:rtl/>
        </w:rPr>
        <w:t>, משנ"ב (סק"ט).</w:t>
      </w:r>
    </w:p>
  </w:footnote>
  <w:footnote w:id="1785">
    <w:p w14:paraId="1053ADEA" w14:textId="77777777" w:rsidR="000C01B5" w:rsidRDefault="000C01B5" w:rsidP="00285819">
      <w:pPr>
        <w:pStyle w:val="a7"/>
      </w:pPr>
      <w:r>
        <w:rPr>
          <w:rStyle w:val="a9"/>
        </w:rPr>
        <w:footnoteRef/>
      </w:r>
      <w:r>
        <w:rPr>
          <w:rtl/>
        </w:rPr>
        <w:t xml:space="preserve"> </w:t>
      </w:r>
      <w:r w:rsidRPr="000C01B5">
        <w:rPr>
          <w:rFonts w:cs="Arial"/>
          <w:rtl/>
        </w:rPr>
        <w:t>כיון שיוכל באיזה עצה לתקן שלא יטלטל האבן לא הקילו בזה אף שהוא בסיס לאיסור ולהיתר וכן אם יכול לנער האבן לבד מתוך הכלכלה ולהשליכו ג"כ מחוייב בזה וכמבואר לקמן בסימן ש"י ס"ח בהג"ה</w:t>
      </w:r>
      <w:r>
        <w:rPr>
          <w:rFonts w:cs="Arial" w:hint="cs"/>
          <w:rtl/>
        </w:rPr>
        <w:t>, משנ"ב (סק"י).</w:t>
      </w:r>
    </w:p>
  </w:footnote>
  <w:footnote w:id="1786">
    <w:p w14:paraId="165AE7F1" w14:textId="77777777" w:rsidR="000C01B5" w:rsidRDefault="000C01B5" w:rsidP="00285819">
      <w:pPr>
        <w:pStyle w:val="a7"/>
        <w:rPr>
          <w:rtl/>
        </w:rPr>
      </w:pPr>
      <w:r>
        <w:rPr>
          <w:rStyle w:val="a9"/>
        </w:rPr>
        <w:footnoteRef/>
      </w:r>
      <w:r>
        <w:rPr>
          <w:rtl/>
        </w:rPr>
        <w:t xml:space="preserve"> </w:t>
      </w:r>
      <w:r w:rsidRPr="000C01B5">
        <w:rPr>
          <w:rFonts w:cs="Arial"/>
          <w:rtl/>
        </w:rPr>
        <w:t>ר"ל ואח"כ יחזור ויניחם לתוך הכלכלה אם רוצה להגיעם לשלחן</w:t>
      </w:r>
      <w:r>
        <w:rPr>
          <w:rFonts w:cs="Arial" w:hint="cs"/>
          <w:rtl/>
        </w:rPr>
        <w:t>.</w:t>
      </w:r>
      <w:r w:rsidRPr="000C01B5">
        <w:rPr>
          <w:rFonts w:cs="Arial"/>
          <w:rtl/>
        </w:rPr>
        <w:t xml:space="preserve"> ואך יזהר שלא יתפזרו אחת הנה ואחת הנה דאל"ה אסור ללקט אותם ולהניחם אח"כ בתוך הכלכלה משום עובדא דחול</w:t>
      </w:r>
      <w:r>
        <w:rPr>
          <w:rFonts w:cs="Arial" w:hint="cs"/>
          <w:rtl/>
        </w:rPr>
        <w:t>,</w:t>
      </w:r>
      <w:r w:rsidRPr="000C01B5">
        <w:rPr>
          <w:rFonts w:cs="Arial"/>
          <w:rtl/>
        </w:rPr>
        <w:t xml:space="preserve"> וכמבואר לקמן בסוף סימן של"ה [תו"ש]</w:t>
      </w:r>
      <w:r>
        <w:rPr>
          <w:rFonts w:cs="Arial" w:hint="cs"/>
          <w:rtl/>
        </w:rPr>
        <w:t>, משנ"ב (סקי"א).</w:t>
      </w:r>
    </w:p>
  </w:footnote>
  <w:footnote w:id="1787">
    <w:p w14:paraId="61ADB816" w14:textId="1217FC41" w:rsidR="000C01B5" w:rsidRDefault="000C01B5" w:rsidP="00285819">
      <w:pPr>
        <w:pStyle w:val="a7"/>
        <w:rPr>
          <w:rtl/>
        </w:rPr>
      </w:pPr>
      <w:r>
        <w:rPr>
          <w:rStyle w:val="a9"/>
        </w:rPr>
        <w:footnoteRef/>
      </w:r>
      <w:r>
        <w:rPr>
          <w:rtl/>
        </w:rPr>
        <w:t xml:space="preserve"> </w:t>
      </w:r>
      <w:r w:rsidRPr="000C01B5">
        <w:rPr>
          <w:rFonts w:cs="Arial"/>
          <w:rtl/>
        </w:rPr>
        <w:t>דאז א"א לנער דשמא יפול האבן למקום שצריך אליו לכך יכול ליטלנו כמות שהיא עם האבן ולטלטלה עד מקום שירצה וינער אותה שם או יניחנו כמות שהיא</w:t>
      </w:r>
      <w:r>
        <w:rPr>
          <w:rFonts w:hint="cs"/>
          <w:rtl/>
        </w:rPr>
        <w:t>, משנ"ב (סקי"ב).</w:t>
      </w:r>
    </w:p>
  </w:footnote>
  <w:footnote w:id="1788">
    <w:p w14:paraId="3DD39A15" w14:textId="77777777" w:rsidR="00216D73" w:rsidRDefault="00216D73" w:rsidP="00285819">
      <w:pPr>
        <w:pStyle w:val="a7"/>
      </w:pPr>
      <w:r>
        <w:rPr>
          <w:rStyle w:val="a9"/>
        </w:rPr>
        <w:footnoteRef/>
      </w:r>
      <w:r>
        <w:rPr>
          <w:rtl/>
        </w:rPr>
        <w:t xml:space="preserve"> </w:t>
      </w:r>
      <w:r w:rsidRPr="0088445B">
        <w:rPr>
          <w:rFonts w:cs="Arial"/>
          <w:rtl/>
        </w:rPr>
        <w:t>מטה על צדה דחבית</w:t>
      </w:r>
      <w:r>
        <w:rPr>
          <w:rFonts w:cs="Arial" w:hint="cs"/>
          <w:rtl/>
        </w:rPr>
        <w:t>, רש"י.</w:t>
      </w:r>
    </w:p>
  </w:footnote>
  <w:footnote w:id="1789">
    <w:p w14:paraId="79CAD9B6" w14:textId="77777777" w:rsidR="00216D73" w:rsidRDefault="00216D73" w:rsidP="00285819">
      <w:pPr>
        <w:pStyle w:val="a7"/>
      </w:pPr>
      <w:r>
        <w:rPr>
          <w:rStyle w:val="a9"/>
        </w:rPr>
        <w:footnoteRef/>
      </w:r>
      <w:r>
        <w:rPr>
          <w:rtl/>
        </w:rPr>
        <w:t xml:space="preserve"> </w:t>
      </w:r>
      <w:r w:rsidRPr="0088445B">
        <w:rPr>
          <w:rFonts w:cs="Arial"/>
          <w:rtl/>
        </w:rPr>
        <w:t>ששכח האבן עליה בין השמשות, ולא מדעת</w:t>
      </w:r>
      <w:r>
        <w:rPr>
          <w:rFonts w:cs="Arial" w:hint="cs"/>
          <w:rtl/>
        </w:rPr>
        <w:t>, רש"י.</w:t>
      </w:r>
    </w:p>
  </w:footnote>
  <w:footnote w:id="1790">
    <w:p w14:paraId="760F2342" w14:textId="77777777" w:rsidR="00216D73" w:rsidRDefault="00216D73" w:rsidP="00285819">
      <w:pPr>
        <w:pStyle w:val="a7"/>
        <w:rPr>
          <w:rtl/>
        </w:rPr>
      </w:pPr>
      <w:r>
        <w:rPr>
          <w:rStyle w:val="a9"/>
        </w:rPr>
        <w:footnoteRef/>
      </w:r>
      <w:r>
        <w:rPr>
          <w:rtl/>
        </w:rPr>
        <w:t xml:space="preserve"> </w:t>
      </w:r>
      <w:r w:rsidRPr="0088445B">
        <w:rPr>
          <w:rFonts w:cs="Arial"/>
          <w:rtl/>
        </w:rPr>
        <w:t>ואסור להטותה, שאף החבית מוקצה</w:t>
      </w:r>
      <w:r>
        <w:rPr>
          <w:rFonts w:hint="cs"/>
          <w:rtl/>
        </w:rPr>
        <w:t>, רש"י.</w:t>
      </w:r>
    </w:p>
  </w:footnote>
  <w:footnote w:id="1791">
    <w:p w14:paraId="3DC89CD4" w14:textId="77777777" w:rsidR="00216D73" w:rsidRDefault="00216D73" w:rsidP="00285819">
      <w:pPr>
        <w:pStyle w:val="a7"/>
      </w:pPr>
      <w:r>
        <w:rPr>
          <w:rStyle w:val="a9"/>
        </w:rPr>
        <w:footnoteRef/>
      </w:r>
      <w:r>
        <w:rPr>
          <w:rtl/>
        </w:rPr>
        <w:t xml:space="preserve"> </w:t>
      </w:r>
      <w:r w:rsidRPr="0088445B">
        <w:rPr>
          <w:rFonts w:cs="Arial"/>
          <w:rtl/>
        </w:rPr>
        <w:t>דמתניתין, דקתני: מגביה ומטה על צדה, דאית ליה, דכי טרח - מטרח בחבית דהוי היתרא, ולא יטול האבן ממש דהוי איסורא, ואף על גב דהשתא נמי אבן מטלטל בהדי חבית</w:t>
      </w:r>
      <w:r>
        <w:rPr>
          <w:rFonts w:cs="Arial" w:hint="cs"/>
          <w:rtl/>
        </w:rPr>
        <w:t>, רש"י.</w:t>
      </w:r>
    </w:p>
  </w:footnote>
  <w:footnote w:id="1792">
    <w:p w14:paraId="5435429D" w14:textId="77777777" w:rsidR="00216D73" w:rsidRDefault="00216D73" w:rsidP="00285819">
      <w:pPr>
        <w:pStyle w:val="a7"/>
      </w:pPr>
      <w:r>
        <w:rPr>
          <w:rStyle w:val="a9"/>
        </w:rPr>
        <w:footnoteRef/>
      </w:r>
      <w:r>
        <w:rPr>
          <w:rtl/>
        </w:rPr>
        <w:t xml:space="preserve"> </w:t>
      </w:r>
      <w:r w:rsidRPr="0088445B">
        <w:rPr>
          <w:rFonts w:cs="Arial"/>
          <w:rtl/>
        </w:rPr>
        <w:t>אליבא דבית הלל</w:t>
      </w:r>
      <w:r>
        <w:rPr>
          <w:rFonts w:cs="Arial" w:hint="cs"/>
          <w:rtl/>
        </w:rPr>
        <w:t>, רש"י.</w:t>
      </w:r>
    </w:p>
  </w:footnote>
  <w:footnote w:id="1793">
    <w:p w14:paraId="1A495375" w14:textId="77777777" w:rsidR="00216D73" w:rsidRDefault="00216D73" w:rsidP="00285819">
      <w:pPr>
        <w:pStyle w:val="a7"/>
        <w:rPr>
          <w:rtl/>
        </w:rPr>
      </w:pPr>
      <w:r>
        <w:rPr>
          <w:rStyle w:val="a9"/>
        </w:rPr>
        <w:footnoteRef/>
      </w:r>
      <w:r>
        <w:rPr>
          <w:rtl/>
        </w:rPr>
        <w:t xml:space="preserve"> </w:t>
      </w:r>
      <w:r w:rsidRPr="0088445B">
        <w:rPr>
          <w:rFonts w:cs="Arial"/>
          <w:rtl/>
        </w:rPr>
        <w:t>לכולי יין מן החבית לא משתקיל ליה יין שבשוליה עד דשקיל ומגבה לה לחבית - כפסולת מרובה דמי, דאי בתחלתו לא מגבה לה לחבית - סוף סוף מיבעי ליה לאגבוהה תו לחבית, הלכך הוה ליה מפיש בטרחא</w:t>
      </w:r>
      <w:r>
        <w:rPr>
          <w:rFonts w:hint="cs"/>
          <w:rtl/>
        </w:rPr>
        <w:t>, רש"י.</w:t>
      </w:r>
    </w:p>
  </w:footnote>
  <w:footnote w:id="1794">
    <w:p w14:paraId="20C64CA7" w14:textId="14C81983" w:rsidR="0074395C" w:rsidRDefault="0074395C" w:rsidP="00285819">
      <w:pPr>
        <w:pStyle w:val="a7"/>
      </w:pPr>
      <w:r>
        <w:rPr>
          <w:rStyle w:val="a9"/>
        </w:rPr>
        <w:footnoteRef/>
      </w:r>
      <w:r>
        <w:rPr>
          <w:rtl/>
        </w:rPr>
        <w:t xml:space="preserve"> </w:t>
      </w:r>
      <w:r w:rsidRPr="0074395C">
        <w:rPr>
          <w:rFonts w:cs="Arial"/>
          <w:rtl/>
        </w:rPr>
        <w:t>ואפילו ניטלו המעות והאבן שהרי נעשו בסיס לדבר האסור</w:t>
      </w:r>
      <w:r>
        <w:rPr>
          <w:rFonts w:cs="Arial" w:hint="cs"/>
          <w:rtl/>
        </w:rPr>
        <w:t xml:space="preserve">, </w:t>
      </w:r>
      <w:r w:rsidRPr="0074395C">
        <w:rPr>
          <w:rFonts w:cs="Arial" w:hint="cs"/>
          <w:b/>
          <w:bCs/>
          <w:rtl/>
        </w:rPr>
        <w:t xml:space="preserve">רמב"ם </w:t>
      </w:r>
      <w:r>
        <w:rPr>
          <w:rFonts w:cs="Arial" w:hint="cs"/>
          <w:rtl/>
        </w:rPr>
        <w:t>(שם).</w:t>
      </w:r>
      <w:r w:rsidRPr="0074395C">
        <w:rPr>
          <w:rFonts w:cs="Arial"/>
          <w:rtl/>
        </w:rPr>
        <w:t xml:space="preserve"> </w:t>
      </w:r>
      <w:r w:rsidRPr="002E279A">
        <w:rPr>
          <w:rFonts w:cs="Arial"/>
          <w:rtl/>
        </w:rPr>
        <w:t>ופשוט הוא</w:t>
      </w:r>
      <w:r>
        <w:rPr>
          <w:rFonts w:cs="Arial" w:hint="cs"/>
          <w:rtl/>
        </w:rPr>
        <w:t>,</w:t>
      </w:r>
      <w:r w:rsidRPr="002E279A">
        <w:rPr>
          <w:rFonts w:cs="Arial"/>
          <w:rtl/>
        </w:rPr>
        <w:t xml:space="preserve"> דמגו דאתקצאי לבין השמשות אתקצאי לכולי יומא וכמו שיתבאר בסימן שאחר זה</w:t>
      </w:r>
      <w:r w:rsidR="009F5F23">
        <w:rPr>
          <w:rFonts w:cs="Arial" w:hint="cs"/>
          <w:rtl/>
        </w:rPr>
        <w:t xml:space="preserve"> </w:t>
      </w:r>
      <w:r w:rsidR="009F5F23" w:rsidRPr="009F5F23">
        <w:rPr>
          <w:rFonts w:hint="cs"/>
          <w:color w:val="00B0F0"/>
          <w:sz w:val="16"/>
          <w:szCs w:val="16"/>
          <w:rtl/>
        </w:rPr>
        <w:t>(וכ"פ הרמ"א)</w:t>
      </w:r>
      <w:r>
        <w:rPr>
          <w:rFonts w:cs="Arial" w:hint="cs"/>
          <w:rtl/>
        </w:rPr>
        <w:t>.</w:t>
      </w:r>
      <w:r w:rsidRPr="002E279A">
        <w:rPr>
          <w:rFonts w:cs="Arial"/>
          <w:rtl/>
        </w:rPr>
        <w:t xml:space="preserve"> ומינה שאם לא היו שם בין השמשות אלא בשבת הונחו שם</w:t>
      </w:r>
      <w:r>
        <w:rPr>
          <w:rFonts w:cs="Arial" w:hint="cs"/>
          <w:rtl/>
        </w:rPr>
        <w:t>,</w:t>
      </w:r>
      <w:r w:rsidRPr="002E279A">
        <w:rPr>
          <w:rFonts w:cs="Arial"/>
          <w:rtl/>
        </w:rPr>
        <w:t xml:space="preserve"> אם ניטלו משם בשבת </w:t>
      </w:r>
      <w:r>
        <w:rPr>
          <w:rFonts w:cs="Arial" w:hint="cs"/>
          <w:rtl/>
        </w:rPr>
        <w:t xml:space="preserve">- </w:t>
      </w:r>
      <w:r w:rsidRPr="002E279A">
        <w:rPr>
          <w:rFonts w:cs="Arial"/>
          <w:rtl/>
        </w:rPr>
        <w:t>חזר להיתרו</w:t>
      </w:r>
      <w:r>
        <w:rPr>
          <w:rFonts w:cs="Arial" w:hint="cs"/>
          <w:rtl/>
        </w:rPr>
        <w:t>,</w:t>
      </w:r>
      <w:r w:rsidRPr="002E279A">
        <w:rPr>
          <w:rFonts w:cs="Arial"/>
          <w:rtl/>
        </w:rPr>
        <w:t xml:space="preserve"> כמו שיתבאר בסימן ש"י דאין מוקצה לחצי שבת</w:t>
      </w:r>
      <w:r>
        <w:rPr>
          <w:rFonts w:cs="Arial" w:hint="cs"/>
          <w:rtl/>
        </w:rPr>
        <w:t>,</w:t>
      </w:r>
      <w:r w:rsidRPr="002E279A">
        <w:rPr>
          <w:rFonts w:cs="Arial"/>
          <w:rtl/>
        </w:rPr>
        <w:t xml:space="preserve"> וכן כתב הכל בו (סי' לא, לב ע"ג)</w:t>
      </w:r>
      <w:r>
        <w:rPr>
          <w:rFonts w:cs="Arial" w:hint="cs"/>
          <w:rtl/>
        </w:rPr>
        <w:t xml:space="preserve">, </w:t>
      </w:r>
      <w:r w:rsidRPr="0074395C">
        <w:rPr>
          <w:rFonts w:cs="Arial" w:hint="cs"/>
          <w:b/>
          <w:bCs/>
          <w:rtl/>
        </w:rPr>
        <w:t>ב"י</w:t>
      </w:r>
      <w:r>
        <w:rPr>
          <w:rFonts w:cs="Arial" w:hint="cs"/>
          <w:rtl/>
        </w:rPr>
        <w:t>.</w:t>
      </w:r>
    </w:p>
  </w:footnote>
  <w:footnote w:id="1795">
    <w:p w14:paraId="0B9F7FCB" w14:textId="20827901" w:rsidR="002E279A" w:rsidRDefault="002E279A" w:rsidP="00285819">
      <w:pPr>
        <w:pStyle w:val="a7"/>
        <w:rPr>
          <w:rtl/>
        </w:rPr>
      </w:pPr>
      <w:r>
        <w:rPr>
          <w:rStyle w:val="a9"/>
        </w:rPr>
        <w:footnoteRef/>
      </w:r>
      <w:r>
        <w:rPr>
          <w:rtl/>
        </w:rPr>
        <w:t xml:space="preserve"> </w:t>
      </w:r>
      <w:r>
        <w:rPr>
          <w:rFonts w:cs="Arial"/>
          <w:rtl/>
        </w:rPr>
        <w:t>אבל במניח נעשה בסיס לדבר האסור ואפילו להטותה אסור כדבסמוך</w:t>
      </w:r>
      <w:r>
        <w:rPr>
          <w:rFonts w:hint="cs"/>
          <w:rtl/>
        </w:rPr>
        <w:t>, ב"י.</w:t>
      </w:r>
    </w:p>
  </w:footnote>
  <w:footnote w:id="1796">
    <w:p w14:paraId="5D50DEA5" w14:textId="6CBDF451" w:rsidR="0074395C" w:rsidRDefault="0074395C" w:rsidP="00285819">
      <w:pPr>
        <w:pStyle w:val="a7"/>
        <w:rPr>
          <w:rtl/>
        </w:rPr>
      </w:pPr>
      <w:r>
        <w:rPr>
          <w:rStyle w:val="a9"/>
        </w:rPr>
        <w:footnoteRef/>
      </w:r>
      <w:r>
        <w:rPr>
          <w:rtl/>
        </w:rPr>
        <w:t xml:space="preserve"> </w:t>
      </w:r>
      <w:r>
        <w:rPr>
          <w:rFonts w:cs="Arial" w:hint="cs"/>
          <w:rtl/>
        </w:rPr>
        <w:t xml:space="preserve">ר"ת </w:t>
      </w:r>
      <w:r w:rsidRPr="002E279A">
        <w:rPr>
          <w:rFonts w:cs="Arial"/>
          <w:sz w:val="16"/>
          <w:szCs w:val="16"/>
          <w:rtl/>
        </w:rPr>
        <w:t>(</w:t>
      </w:r>
      <w:r>
        <w:rPr>
          <w:rFonts w:cs="Arial" w:hint="cs"/>
          <w:sz w:val="16"/>
          <w:szCs w:val="16"/>
          <w:rtl/>
        </w:rPr>
        <w:t>בתוס' שם, וב</w:t>
      </w:r>
      <w:r w:rsidRPr="002E279A">
        <w:rPr>
          <w:rFonts w:cs="Arial"/>
          <w:sz w:val="16"/>
          <w:szCs w:val="16"/>
          <w:rtl/>
        </w:rPr>
        <w:t>ספר הישר סי' רמד)</w:t>
      </w:r>
      <w:r>
        <w:rPr>
          <w:rFonts w:cs="Arial" w:hint="cs"/>
          <w:sz w:val="16"/>
          <w:szCs w:val="16"/>
          <w:rtl/>
        </w:rPr>
        <w:t xml:space="preserve"> </w:t>
      </w:r>
      <w:r>
        <w:rPr>
          <w:rFonts w:cs="Arial" w:hint="cs"/>
          <w:rtl/>
        </w:rPr>
        <w:t xml:space="preserve">תרומה </w:t>
      </w:r>
      <w:r>
        <w:rPr>
          <w:rFonts w:cs="Arial" w:hint="cs"/>
          <w:sz w:val="16"/>
          <w:szCs w:val="16"/>
          <w:rtl/>
        </w:rPr>
        <w:t>(סי' רנד, וכ"כ הטור בשמו)</w:t>
      </w:r>
      <w:r>
        <w:rPr>
          <w:rFonts w:cs="Arial" w:hint="cs"/>
          <w:rtl/>
        </w:rPr>
        <w:t xml:space="preserve"> וסמ"ג </w:t>
      </w:r>
      <w:r w:rsidRPr="002E279A">
        <w:rPr>
          <w:rFonts w:cs="Arial"/>
          <w:sz w:val="16"/>
          <w:szCs w:val="16"/>
          <w:rtl/>
        </w:rPr>
        <w:t>(לאוין סה, כ ע"ד</w:t>
      </w:r>
      <w:r w:rsidRPr="002E279A">
        <w:rPr>
          <w:rFonts w:cs="Arial" w:hint="cs"/>
          <w:sz w:val="16"/>
          <w:szCs w:val="16"/>
          <w:rtl/>
        </w:rPr>
        <w:t>, וכ"כ בשמו הגה"מ [</w:t>
      </w:r>
      <w:r w:rsidRPr="002E279A">
        <w:rPr>
          <w:rFonts w:cs="Arial"/>
          <w:sz w:val="16"/>
          <w:szCs w:val="16"/>
          <w:rtl/>
        </w:rPr>
        <w:t>פכ"ה ד"ק הי"ז</w:t>
      </w:r>
      <w:r w:rsidRPr="002E279A">
        <w:rPr>
          <w:rFonts w:cs="Arial" w:hint="cs"/>
          <w:sz w:val="16"/>
          <w:szCs w:val="16"/>
          <w:rtl/>
        </w:rPr>
        <w:t>]</w:t>
      </w:r>
      <w:r w:rsidRPr="002E279A">
        <w:rPr>
          <w:rFonts w:cs="Arial"/>
          <w:sz w:val="16"/>
          <w:szCs w:val="16"/>
          <w:rtl/>
        </w:rPr>
        <w:t>)</w:t>
      </w:r>
      <w:r>
        <w:rPr>
          <w:rFonts w:hint="cs"/>
          <w:rtl/>
        </w:rPr>
        <w:t>.</w:t>
      </w:r>
    </w:p>
  </w:footnote>
  <w:footnote w:id="1797">
    <w:p w14:paraId="027F7ABC" w14:textId="7B37270E" w:rsidR="00BC212A" w:rsidRDefault="00BC212A" w:rsidP="00285819">
      <w:pPr>
        <w:pStyle w:val="a7"/>
        <w:rPr>
          <w:rtl/>
        </w:rPr>
      </w:pPr>
      <w:r>
        <w:rPr>
          <w:rStyle w:val="a9"/>
        </w:rPr>
        <w:footnoteRef/>
      </w:r>
      <w:r>
        <w:rPr>
          <w:rtl/>
        </w:rPr>
        <w:t xml:space="preserve"> </w:t>
      </w:r>
      <w:r w:rsidRPr="002E279A">
        <w:rPr>
          <w:rFonts w:cs="Arial"/>
          <w:rtl/>
        </w:rPr>
        <w:t>ודקדק כן מדברי הרמב"ם שכתב בפכ"ה (הי"ז) אבל הניח מעות על הכר בערב שבת אסור</w:t>
      </w:r>
      <w:r>
        <w:rPr>
          <w:rFonts w:cs="Arial" w:hint="cs"/>
          <w:rtl/>
        </w:rPr>
        <w:t>.</w:t>
      </w:r>
      <w:r w:rsidRPr="002E279A">
        <w:rPr>
          <w:rFonts w:cs="Arial"/>
          <w:rtl/>
        </w:rPr>
        <w:t xml:space="preserve"> ואין נראה לי משם ראיה דאיכא למימר דכל קמי שבתא ערב שבת קרי ליה</w:t>
      </w:r>
      <w:r>
        <w:rPr>
          <w:rFonts w:cs="Arial" w:hint="cs"/>
          <w:rtl/>
        </w:rPr>
        <w:t>.</w:t>
      </w:r>
      <w:r w:rsidRPr="002E279A">
        <w:rPr>
          <w:rFonts w:cs="Arial"/>
          <w:rtl/>
        </w:rPr>
        <w:t xml:space="preserve"> אלא שהביא עוד ראיה ממאי דפירש רש"י (קמב:) לא שנו אלא בשוכח ששכח האבן עליו בין השמשות ולא מדעת</w:t>
      </w:r>
      <w:r>
        <w:rPr>
          <w:rFonts w:cs="Arial" w:hint="cs"/>
          <w:rtl/>
        </w:rPr>
        <w:t>.</w:t>
      </w:r>
      <w:r w:rsidRPr="002E279A">
        <w:rPr>
          <w:rFonts w:cs="Arial"/>
          <w:rtl/>
        </w:rPr>
        <w:t xml:space="preserve"> וזו ראיה טובה אלא שלפי זה אפילו בהניח בער</w:t>
      </w:r>
      <w:r>
        <w:rPr>
          <w:rFonts w:cs="Arial" w:hint="cs"/>
          <w:rtl/>
        </w:rPr>
        <w:t>"</w:t>
      </w:r>
      <w:r w:rsidRPr="002E279A">
        <w:rPr>
          <w:rFonts w:cs="Arial"/>
          <w:rtl/>
        </w:rPr>
        <w:t>ש כל ששכח בין השמשות הוה ליה למישרי</w:t>
      </w:r>
      <w:r>
        <w:rPr>
          <w:rFonts w:cs="Arial" w:hint="cs"/>
          <w:rtl/>
        </w:rPr>
        <w:t>.</w:t>
      </w:r>
      <w:r w:rsidRPr="00BC212A">
        <w:rPr>
          <w:rFonts w:cs="Arial"/>
          <w:rtl/>
        </w:rPr>
        <w:t xml:space="preserve"> </w:t>
      </w:r>
      <w:r w:rsidRPr="002E279A">
        <w:rPr>
          <w:rFonts w:cs="Arial"/>
          <w:rtl/>
        </w:rPr>
        <w:t>וכתוב עוד שם שהיה מי שעלה על דעתו להביא ראיה מדברי רש"י (שם ד"ה בשוכח) לומר דלא נעשה שום דבר בסיס אלא אם כן הניח על דבר מוקצה בשביל שיהא מתיישב עליו בטוב אבל מה שמניחים בדרך אקראי כמו שרגילין לשים בתיבה חפצים אלו על אלו מפני שאין לו ריוח לא חשיב מניח</w:t>
      </w:r>
      <w:r w:rsidR="007A7A7C">
        <w:rPr>
          <w:rFonts w:cs="Arial" w:hint="cs"/>
          <w:rtl/>
        </w:rPr>
        <w:t>,</w:t>
      </w:r>
      <w:r w:rsidRPr="002E279A">
        <w:rPr>
          <w:rFonts w:cs="Arial"/>
          <w:rtl/>
        </w:rPr>
        <w:t xml:space="preserve"> והוא ז"ל דחה דבריו</w:t>
      </w:r>
      <w:r w:rsidR="00DA24F4">
        <w:rPr>
          <w:rFonts w:hint="cs"/>
          <w:rtl/>
        </w:rPr>
        <w:t xml:space="preserve"> </w:t>
      </w:r>
      <w:r w:rsidR="00DA24F4" w:rsidRPr="00DA24F4">
        <w:rPr>
          <w:rFonts w:hint="cs"/>
          <w:color w:val="E36C0A" w:themeColor="accent6" w:themeShade="BF"/>
          <w:sz w:val="16"/>
          <w:szCs w:val="16"/>
          <w:rtl/>
        </w:rPr>
        <w:t>(וכן נראה שפסק בשו"ע</w:t>
      </w:r>
      <w:r w:rsidR="00DA24F4" w:rsidRPr="00DA24F4">
        <w:rPr>
          <w:rFonts w:hint="cs"/>
          <w:sz w:val="16"/>
          <w:szCs w:val="16"/>
          <w:rtl/>
        </w:rPr>
        <w:t xml:space="preserve"> [סי' שי ס"ז]</w:t>
      </w:r>
      <w:r w:rsidR="00DA24F4" w:rsidRPr="00DA24F4">
        <w:rPr>
          <w:rFonts w:hint="cs"/>
          <w:color w:val="E36C0A" w:themeColor="accent6" w:themeShade="BF"/>
          <w:sz w:val="16"/>
          <w:szCs w:val="16"/>
          <w:rtl/>
        </w:rPr>
        <w:t>)</w:t>
      </w:r>
      <w:r>
        <w:rPr>
          <w:rFonts w:hint="cs"/>
          <w:rtl/>
        </w:rPr>
        <w:t>, ב"י.</w:t>
      </w:r>
    </w:p>
  </w:footnote>
  <w:footnote w:id="1798">
    <w:p w14:paraId="3BB1C0A1" w14:textId="2DF3AB8C" w:rsidR="009F5F23" w:rsidRDefault="009F5F23" w:rsidP="00285819">
      <w:pPr>
        <w:pStyle w:val="a7"/>
      </w:pPr>
      <w:r>
        <w:rPr>
          <w:rStyle w:val="a9"/>
        </w:rPr>
        <w:footnoteRef/>
      </w:r>
      <w:r>
        <w:rPr>
          <w:rtl/>
        </w:rPr>
        <w:t xml:space="preserve"> </w:t>
      </w:r>
      <w:r w:rsidRPr="009F5F23">
        <w:rPr>
          <w:rFonts w:cs="Arial"/>
          <w:rtl/>
        </w:rPr>
        <w:t>דהרי הוא רק טלטול מן הצד כיון שאינו מטלטל המוקצה להדיא רק עם ההיתר וכונתו ג"כ בשביל שהוא צריך לההיתר וכנ"ל ודבר זה שרי כדלקמן בשי"א ס"ח ואפ"ה ברישא כשהיה אפשר לו בניעור צריך ניעור דוקא</w:t>
      </w:r>
      <w:r>
        <w:rPr>
          <w:rFonts w:cs="Arial" w:hint="cs"/>
          <w:rtl/>
        </w:rPr>
        <w:t>, משנ"ב (סקי"ז).</w:t>
      </w:r>
    </w:p>
  </w:footnote>
  <w:footnote w:id="1799">
    <w:p w14:paraId="4F375400" w14:textId="519BF30E" w:rsidR="007A7A7C" w:rsidRDefault="007A7A7C" w:rsidP="00285819">
      <w:pPr>
        <w:pStyle w:val="a7"/>
      </w:pPr>
      <w:r>
        <w:rPr>
          <w:rStyle w:val="a9"/>
        </w:rPr>
        <w:footnoteRef/>
      </w:r>
      <w:r>
        <w:rPr>
          <w:rtl/>
        </w:rPr>
        <w:t xml:space="preserve"> </w:t>
      </w:r>
      <w:r w:rsidRPr="007A7A7C">
        <w:rPr>
          <w:rFonts w:cs="Arial"/>
          <w:rtl/>
        </w:rPr>
        <w:t>אבל אם הניחם בכונה בחול ולא היה דעתו בפירוש שישארו שם בשבת ואח"כ שכחם שם מקרי שוכח [כתבי מהרא"י]</w:t>
      </w:r>
      <w:r>
        <w:rPr>
          <w:rFonts w:cs="Arial" w:hint="cs"/>
          <w:rtl/>
        </w:rPr>
        <w:t>.</w:t>
      </w:r>
      <w:r w:rsidRPr="007A7A7C">
        <w:rPr>
          <w:rFonts w:cs="Arial"/>
          <w:rtl/>
        </w:rPr>
        <w:t xml:space="preserve"> ודעת הב"י דאפילו הניחם בע"ש כל שלא היה דעתו בפירוש שישאר שם בכניסת שבת ובביה"ש שכחו לסלק</w:t>
      </w:r>
      <w:r>
        <w:rPr>
          <w:rFonts w:cs="Arial" w:hint="cs"/>
          <w:rtl/>
        </w:rPr>
        <w:t xml:space="preserve"> -</w:t>
      </w:r>
      <w:r w:rsidRPr="007A7A7C">
        <w:rPr>
          <w:rFonts w:cs="Arial"/>
          <w:rtl/>
        </w:rPr>
        <w:t xml:space="preserve"> גם זה הוא בכלל שכח. והנה בעיקר דין בסיס מסיק במ"א דלא מקרי בסיס אא"כ הניח עליו דבר המוקצה בשביל שיתיישב עליו בטוב</w:t>
      </w:r>
      <w:r>
        <w:rPr>
          <w:rFonts w:cs="Arial" w:hint="cs"/>
          <w:rtl/>
        </w:rPr>
        <w:t>,</w:t>
      </w:r>
      <w:r w:rsidRPr="007A7A7C">
        <w:rPr>
          <w:rFonts w:cs="Arial"/>
          <w:rtl/>
        </w:rPr>
        <w:t xml:space="preserve"> אבל מה שמניחין בדרך אקראי כמו שרגילין להשים בתיבה חפצים אלו על אלו מפני שאין לו ריוח לפנות לכל חפץ מקום בשולי התיבה </w:t>
      </w:r>
      <w:r>
        <w:rPr>
          <w:rFonts w:cs="Arial" w:hint="cs"/>
          <w:rtl/>
        </w:rPr>
        <w:t xml:space="preserve">- </w:t>
      </w:r>
      <w:r w:rsidRPr="007A7A7C">
        <w:rPr>
          <w:rFonts w:cs="Arial"/>
          <w:rtl/>
        </w:rPr>
        <w:t>כה"ג לא חשיב מניח אלא שוכח ומותר לטלטל חפץ המותר אחר שניערו המוקצה מעליו</w:t>
      </w:r>
      <w:r>
        <w:rPr>
          <w:rFonts w:cs="Arial" w:hint="cs"/>
          <w:rtl/>
        </w:rPr>
        <w:t>.</w:t>
      </w:r>
      <w:r w:rsidRPr="007A7A7C">
        <w:rPr>
          <w:rFonts w:cs="Arial"/>
          <w:rtl/>
        </w:rPr>
        <w:t xml:space="preserve"> </w:t>
      </w:r>
      <w:r w:rsidRPr="007A7A7C">
        <w:rPr>
          <w:rFonts w:cs="Arial"/>
          <w:sz w:val="16"/>
          <w:szCs w:val="16"/>
          <w:rtl/>
        </w:rPr>
        <w:t>[ומ"מ התיבה גופא לכו"ע הוי בסיס לדבר איסור אם המוקצה חשוב יותר ואסור לטלטלה דהא עכ"פ דעתו היה שיהיה מונח המוקצה בתיבה. ח"א]</w:t>
      </w:r>
      <w:r>
        <w:rPr>
          <w:rFonts w:cs="Arial" w:hint="cs"/>
          <w:rtl/>
        </w:rPr>
        <w:t>.</w:t>
      </w:r>
      <w:r w:rsidRPr="007A7A7C">
        <w:rPr>
          <w:rFonts w:cs="Arial"/>
          <w:rtl/>
        </w:rPr>
        <w:t xml:space="preserve"> ולפ"ז מה שנוהגין בשבת להסיר המפה העליונה מעל השלחן אחר שמסיר ה</w:t>
      </w:r>
      <w:r w:rsidR="00D450E8">
        <w:rPr>
          <w:rFonts w:cs="Arial" w:hint="cs"/>
          <w:rtl/>
        </w:rPr>
        <w:t>גו</w:t>
      </w:r>
      <w:r w:rsidRPr="007A7A7C">
        <w:rPr>
          <w:rFonts w:cs="Arial"/>
          <w:rtl/>
        </w:rPr>
        <w:t xml:space="preserve">י המנורה מעליה </w:t>
      </w:r>
      <w:r>
        <w:rPr>
          <w:rFonts w:cs="Arial" w:hint="cs"/>
          <w:rtl/>
        </w:rPr>
        <w:t xml:space="preserve">- </w:t>
      </w:r>
      <w:r w:rsidRPr="007A7A7C">
        <w:rPr>
          <w:rFonts w:cs="Arial"/>
          <w:rtl/>
        </w:rPr>
        <w:t>כדין עושין</w:t>
      </w:r>
      <w:r>
        <w:rPr>
          <w:rFonts w:cs="Arial" w:hint="cs"/>
          <w:rtl/>
        </w:rPr>
        <w:t>,</w:t>
      </w:r>
      <w:r w:rsidRPr="007A7A7C">
        <w:rPr>
          <w:rFonts w:cs="Arial"/>
          <w:rtl/>
        </w:rPr>
        <w:t xml:space="preserve"> לפי שא"צ שתהא המנורה דוקא על המפה אלא על השלחן ואינו מעמידה על המפה אלא מפני שא"א לו לפנות מקום להמנורה בגוף השלחן עצמו או מפני שאינו חושש לפנות לה מקום ולפיכך לא נעשית המפה בסיס להמנורה שעליה שתאסר בטלטול</w:t>
      </w:r>
      <w:r>
        <w:rPr>
          <w:rFonts w:cs="Arial" w:hint="cs"/>
          <w:rtl/>
        </w:rPr>
        <w:t>.</w:t>
      </w:r>
      <w:r w:rsidRPr="007A7A7C">
        <w:rPr>
          <w:rFonts w:cs="Arial"/>
          <w:rtl/>
        </w:rPr>
        <w:t xml:space="preserve"> </w:t>
      </w:r>
      <w:r w:rsidRPr="007A7A7C">
        <w:rPr>
          <w:rFonts w:cs="Arial"/>
          <w:sz w:val="16"/>
          <w:szCs w:val="16"/>
          <w:rtl/>
        </w:rPr>
        <w:t>[ובמפה התחתונה א"צ לכל זה דהלא בזמננו הדרך להניח עליה הלחם ביה"ש ונעשית בסיס לזה דהוא חשוב יותר]</w:t>
      </w:r>
      <w:r>
        <w:rPr>
          <w:rFonts w:cs="Arial" w:hint="cs"/>
          <w:rtl/>
        </w:rPr>
        <w:t>.</w:t>
      </w:r>
      <w:r w:rsidRPr="007A7A7C">
        <w:rPr>
          <w:rFonts w:cs="Arial"/>
          <w:rtl/>
        </w:rPr>
        <w:t xml:space="preserve"> ויש מחמירין בכל זה</w:t>
      </w:r>
      <w:r>
        <w:rPr>
          <w:rFonts w:cs="Arial" w:hint="cs"/>
          <w:rtl/>
        </w:rPr>
        <w:t>.</w:t>
      </w:r>
      <w:r w:rsidRPr="007A7A7C">
        <w:rPr>
          <w:rFonts w:cs="Arial"/>
          <w:rtl/>
        </w:rPr>
        <w:t xml:space="preserve"> ובמקום הצורך נראה דיש להקל</w:t>
      </w:r>
      <w:r>
        <w:rPr>
          <w:rFonts w:cs="Arial" w:hint="cs"/>
          <w:rtl/>
        </w:rPr>
        <w:t>,</w:t>
      </w:r>
      <w:r w:rsidRPr="007A7A7C">
        <w:rPr>
          <w:rFonts w:cs="Arial"/>
          <w:rtl/>
        </w:rPr>
        <w:t xml:space="preserve"> דכמה אחרונים סוברין כוותיה דהמ"א. קינה של תרנגולת ויש שם ביצה שיש בה אפרוח שאותה ביצה אסורה בטלטול אף שלא ידע מבע"י שיהיה שם הביצה מ"מ כיון שדרך הוא בכך הוי כמניח ולא הוי כשוכח ונעשה הקינה בסיס להביצה</w:t>
      </w:r>
      <w:r>
        <w:rPr>
          <w:rFonts w:cs="Arial" w:hint="cs"/>
          <w:rtl/>
        </w:rPr>
        <w:t>.</w:t>
      </w:r>
      <w:r w:rsidRPr="007A7A7C">
        <w:rPr>
          <w:rFonts w:cs="Arial"/>
          <w:rtl/>
        </w:rPr>
        <w:t xml:space="preserve"> וכן בכל מקום כיוצא בזה בדבר שדרכו להיות המוקצה עליו בודאי הוי כמניח</w:t>
      </w:r>
      <w:r>
        <w:rPr>
          <w:rFonts w:cs="Arial" w:hint="cs"/>
          <w:rtl/>
        </w:rPr>
        <w:t>, משנ"ב (סקי"ח).</w:t>
      </w:r>
    </w:p>
  </w:footnote>
  <w:footnote w:id="1800">
    <w:p w14:paraId="5CD3DBE9" w14:textId="0CEE47F2" w:rsidR="0094469B" w:rsidRDefault="0094469B" w:rsidP="00285819">
      <w:pPr>
        <w:pStyle w:val="a7"/>
      </w:pPr>
      <w:r>
        <w:rPr>
          <w:rStyle w:val="a9"/>
        </w:rPr>
        <w:footnoteRef/>
      </w:r>
      <w:r>
        <w:rPr>
          <w:rtl/>
        </w:rPr>
        <w:t xml:space="preserve"> </w:t>
      </w:r>
      <w:r w:rsidRPr="0094469B">
        <w:rPr>
          <w:rFonts w:cs="Arial"/>
          <w:rtl/>
        </w:rPr>
        <w:t>וה"ה אפילו אם חשב שיהיה מונח עליו כל היום עד איזה זמן קודם שקיעת החמה ואח"כ לסלקם ג"כ לא מקרי בסיס לדידהו ואם נמלך אח"כ לסלק המוקצה מקודם מותר לנער דכיון דאינו על כל יום השבת לא חל שם בסיס כלל אבל אם חשב לסלק בין השמשות הוי כמי שחשב על כל היום דביה"ש ספק לילה [פמ"ג]</w:t>
      </w:r>
      <w:r>
        <w:rPr>
          <w:rFonts w:cs="Arial" w:hint="cs"/>
          <w:rtl/>
        </w:rPr>
        <w:t>, משנ"ב (סקכ"ב).</w:t>
      </w:r>
    </w:p>
  </w:footnote>
  <w:footnote w:id="1801">
    <w:p w14:paraId="317ECD6E" w14:textId="415B2A1E" w:rsidR="007A7A7C" w:rsidRDefault="007A7A7C" w:rsidP="00285819">
      <w:pPr>
        <w:pStyle w:val="a7"/>
      </w:pPr>
      <w:r>
        <w:rPr>
          <w:rStyle w:val="a9"/>
        </w:rPr>
        <w:footnoteRef/>
      </w:r>
      <w:r>
        <w:rPr>
          <w:rtl/>
        </w:rPr>
        <w:t xml:space="preserve"> </w:t>
      </w:r>
      <w:r w:rsidRPr="007A7A7C">
        <w:rPr>
          <w:rFonts w:cs="Arial"/>
          <w:rtl/>
        </w:rPr>
        <w:t xml:space="preserve">ס"ל דלא נעשה בסיס כלל כיון שחשב לסלק מעליו המוקצה אח"כ. ובמקום פסידא יש לסמוך על דעה זו [אחרונים]. ודע דאפילו לדעה זו מסתברא דדוקא כשחשב בהדיא לסלק אח"כ המוקצה בשבת [ע"י ניעור או ע"י </w:t>
      </w:r>
      <w:r w:rsidR="00662F84">
        <w:rPr>
          <w:rFonts w:cs="Arial" w:hint="cs"/>
          <w:rtl/>
        </w:rPr>
        <w:t>גו</w:t>
      </w:r>
      <w:r w:rsidRPr="007A7A7C">
        <w:rPr>
          <w:rFonts w:cs="Arial"/>
          <w:rtl/>
        </w:rPr>
        <w:t>י] או דבר שדרכו בכך לסלק המוקצה אח"כ</w:t>
      </w:r>
      <w:r w:rsidR="00662F84">
        <w:rPr>
          <w:rFonts w:cs="Arial" w:hint="cs"/>
          <w:rtl/>
        </w:rPr>
        <w:t>.</w:t>
      </w:r>
      <w:r w:rsidRPr="007A7A7C">
        <w:rPr>
          <w:rFonts w:cs="Arial"/>
          <w:rtl/>
        </w:rPr>
        <w:t xml:space="preserve"> אבל אם חשב בסתמא שיהיה מונח עליו המוקצה בשבת לכו"ע נעשה בסיס אף דלא חשב בהדיא שיהיה מונח עליו כל השבת</w:t>
      </w:r>
      <w:r>
        <w:rPr>
          <w:rFonts w:cs="Arial" w:hint="cs"/>
          <w:rtl/>
        </w:rPr>
        <w:t>, משנ"ב (סקי"ט).</w:t>
      </w:r>
    </w:p>
  </w:footnote>
  <w:footnote w:id="1802">
    <w:p w14:paraId="48DCE159" w14:textId="00BADCF2" w:rsidR="0094469B" w:rsidRDefault="0094469B" w:rsidP="00285819">
      <w:pPr>
        <w:pStyle w:val="a7"/>
        <w:rPr>
          <w:rtl/>
        </w:rPr>
      </w:pPr>
      <w:r>
        <w:rPr>
          <w:rStyle w:val="a9"/>
        </w:rPr>
        <w:footnoteRef/>
      </w:r>
      <w:r>
        <w:rPr>
          <w:rtl/>
        </w:rPr>
        <w:t xml:space="preserve"> </w:t>
      </w:r>
      <w:r w:rsidRPr="0094469B">
        <w:rPr>
          <w:rFonts w:cs="Arial"/>
          <w:rtl/>
        </w:rPr>
        <w:t>זה קאי גם אדעה ראשונה דאפילו לא הניחו אלא לכניסת שבת וניטל אח"כ מ"מ אסור הכלי כל השבת</w:t>
      </w:r>
      <w:r>
        <w:rPr>
          <w:rFonts w:hint="cs"/>
          <w:rtl/>
        </w:rPr>
        <w:t>, משנ"ב (סקכ"ג).</w:t>
      </w:r>
    </w:p>
  </w:footnote>
  <w:footnote w:id="1803">
    <w:p w14:paraId="69B57BE4" w14:textId="44278A52" w:rsidR="0094469B" w:rsidRDefault="0094469B" w:rsidP="00285819">
      <w:pPr>
        <w:pStyle w:val="a7"/>
      </w:pPr>
      <w:r>
        <w:rPr>
          <w:rStyle w:val="a9"/>
        </w:rPr>
        <w:footnoteRef/>
      </w:r>
      <w:r>
        <w:rPr>
          <w:rtl/>
        </w:rPr>
        <w:t xml:space="preserve"> </w:t>
      </w:r>
      <w:r w:rsidRPr="0094469B">
        <w:rPr>
          <w:rFonts w:cs="Arial"/>
          <w:rtl/>
        </w:rPr>
        <w:t>ואפילו אם הדבר מוקצה הוא ג"כ של חבירו</w:t>
      </w:r>
      <w:r>
        <w:rPr>
          <w:rFonts w:cs="Arial" w:hint="cs"/>
          <w:rtl/>
        </w:rPr>
        <w:t>, משנ"ב (סקכ"ה).</w:t>
      </w:r>
    </w:p>
  </w:footnote>
  <w:footnote w:id="1804">
    <w:p w14:paraId="56E7B45C" w14:textId="0E2B5CD5" w:rsidR="0094469B" w:rsidRDefault="0094469B" w:rsidP="00285819">
      <w:pPr>
        <w:pStyle w:val="a7"/>
      </w:pPr>
      <w:r>
        <w:rPr>
          <w:rStyle w:val="a9"/>
        </w:rPr>
        <w:footnoteRef/>
      </w:r>
      <w:r>
        <w:rPr>
          <w:rtl/>
        </w:rPr>
        <w:t xml:space="preserve"> </w:t>
      </w:r>
      <w:r w:rsidRPr="0094469B">
        <w:rPr>
          <w:rFonts w:cs="Arial"/>
          <w:rtl/>
        </w:rPr>
        <w:t>היינו דמותר לטלטל הכלי כשצריך לה א</w:t>
      </w:r>
      <w:r>
        <w:rPr>
          <w:rFonts w:cs="Arial" w:hint="cs"/>
          <w:rtl/>
        </w:rPr>
        <w:t>ַ</w:t>
      </w:r>
      <w:r w:rsidRPr="0094469B">
        <w:rPr>
          <w:rFonts w:cs="Arial"/>
          <w:rtl/>
        </w:rPr>
        <w:t>ח</w:t>
      </w:r>
      <w:r>
        <w:rPr>
          <w:rFonts w:cs="Arial" w:hint="cs"/>
          <w:rtl/>
        </w:rPr>
        <w:t>ַ</w:t>
      </w:r>
      <w:r w:rsidRPr="0094469B">
        <w:rPr>
          <w:rFonts w:cs="Arial"/>
          <w:rtl/>
        </w:rPr>
        <w:t>ר שינער המוקצה ממנה</w:t>
      </w:r>
      <w:r>
        <w:rPr>
          <w:rFonts w:cs="Arial" w:hint="cs"/>
          <w:rtl/>
        </w:rPr>
        <w:t>, משנ"ב (סקכ"ו).</w:t>
      </w:r>
    </w:p>
  </w:footnote>
  <w:footnote w:id="1805">
    <w:p w14:paraId="176982FC" w14:textId="1A4E4190" w:rsidR="0094469B" w:rsidRDefault="0094469B" w:rsidP="00285819">
      <w:pPr>
        <w:pStyle w:val="a7"/>
        <w:rPr>
          <w:rtl/>
        </w:rPr>
      </w:pPr>
      <w:r>
        <w:rPr>
          <w:rStyle w:val="a9"/>
        </w:rPr>
        <w:footnoteRef/>
      </w:r>
      <w:r>
        <w:rPr>
          <w:rtl/>
        </w:rPr>
        <w:t xml:space="preserve"> </w:t>
      </w:r>
      <w:r w:rsidRPr="0094469B">
        <w:rPr>
          <w:rFonts w:cs="Arial"/>
          <w:rtl/>
        </w:rPr>
        <w:t>אך אם עשה כן לטובת חבירו ומן הסתם ניחא ליה בזה כגון שנטל ראובן כלי והעמידו מבע"י תחת הנר בבית שמעון כדי שיפול הנר לתוכו ולא תהיה דליקה ונפל הנר לתוכו קודם ביה"ש והיה בתוכו עד אחר ביה"ש נעשית הכלי בסיס להנר ואסור לטלטלה כל השבת אף לאחר שנסתלק הנר כ"כ הרבה אחרונים ובדה"ח מצדד דאם היה בדעתו לסלק אח"כ המוקצה בשבת נוכל לצרף בזה דעת הי"א הנ"ל דבזה לא מקרי בסיס כלל</w:t>
      </w:r>
      <w:r>
        <w:rPr>
          <w:rFonts w:hint="cs"/>
          <w:rtl/>
        </w:rPr>
        <w:t>, משנ"ב (סקכ"ז).</w:t>
      </w:r>
    </w:p>
  </w:footnote>
  <w:footnote w:id="1806">
    <w:p w14:paraId="7B23A853" w14:textId="34BC90D1" w:rsidR="00252B2B" w:rsidRDefault="00252B2B" w:rsidP="00285819">
      <w:pPr>
        <w:pStyle w:val="a7"/>
        <w:rPr>
          <w:rtl/>
        </w:rPr>
      </w:pPr>
      <w:r>
        <w:rPr>
          <w:rStyle w:val="a9"/>
        </w:rPr>
        <w:footnoteRef/>
      </w:r>
      <w:r>
        <w:rPr>
          <w:rtl/>
        </w:rPr>
        <w:t xml:space="preserve"> </w:t>
      </w:r>
      <w:r w:rsidRPr="00252B2B">
        <w:rPr>
          <w:rFonts w:cs="Arial"/>
          <w:rtl/>
        </w:rPr>
        <w:t>דמנערה ואינו מטלטלה בעודן עליה</w:t>
      </w:r>
      <w:r>
        <w:rPr>
          <w:rFonts w:hint="cs"/>
          <w:rtl/>
        </w:rPr>
        <w:t>, רש"י.</w:t>
      </w:r>
    </w:p>
  </w:footnote>
  <w:footnote w:id="1807">
    <w:p w14:paraId="13C4849B" w14:textId="0453FEFE" w:rsidR="00252B2B" w:rsidRDefault="00252B2B" w:rsidP="00285819">
      <w:pPr>
        <w:pStyle w:val="a7"/>
      </w:pPr>
      <w:r>
        <w:rPr>
          <w:rStyle w:val="a9"/>
        </w:rPr>
        <w:footnoteRef/>
      </w:r>
      <w:r>
        <w:rPr>
          <w:rtl/>
        </w:rPr>
        <w:t xml:space="preserve"> </w:t>
      </w:r>
      <w:r w:rsidRPr="00252B2B">
        <w:rPr>
          <w:rFonts w:cs="Arial"/>
          <w:rtl/>
        </w:rPr>
        <w:t>של כר, לשכב עליו, הלכך בניעור סגיא, ושדי ליה באתרייהו</w:t>
      </w:r>
      <w:r>
        <w:rPr>
          <w:rFonts w:cs="Arial" w:hint="cs"/>
          <w:rtl/>
        </w:rPr>
        <w:t>, רש"י.</w:t>
      </w:r>
    </w:p>
  </w:footnote>
  <w:footnote w:id="1808">
    <w:p w14:paraId="6F0DA78B" w14:textId="0259C892" w:rsidR="00252B2B" w:rsidRDefault="00252B2B" w:rsidP="00285819">
      <w:pPr>
        <w:pStyle w:val="a7"/>
        <w:rPr>
          <w:rtl/>
        </w:rPr>
      </w:pPr>
      <w:r>
        <w:rPr>
          <w:rStyle w:val="a9"/>
        </w:rPr>
        <w:footnoteRef/>
      </w:r>
      <w:r>
        <w:rPr>
          <w:rtl/>
        </w:rPr>
        <w:t xml:space="preserve"> </w:t>
      </w:r>
      <w:r w:rsidRPr="00252B2B">
        <w:rPr>
          <w:rFonts w:cs="Arial"/>
          <w:rtl/>
        </w:rPr>
        <w:t>של כר - מטלטלו עם המעות למקום אחר</w:t>
      </w:r>
      <w:r>
        <w:rPr>
          <w:rFonts w:hint="cs"/>
          <w:rtl/>
        </w:rPr>
        <w:t>, רש"י.</w:t>
      </w:r>
    </w:p>
  </w:footnote>
  <w:footnote w:id="1809">
    <w:p w14:paraId="3EB82356" w14:textId="4C6C928F" w:rsidR="002D04BB" w:rsidRDefault="002D04BB" w:rsidP="00285819">
      <w:pPr>
        <w:pStyle w:val="a7"/>
        <w:rPr>
          <w:rtl/>
        </w:rPr>
      </w:pPr>
      <w:r>
        <w:rPr>
          <w:rStyle w:val="a9"/>
        </w:rPr>
        <w:footnoteRef/>
      </w:r>
      <w:r>
        <w:rPr>
          <w:rtl/>
        </w:rPr>
        <w:t xml:space="preserve"> </w:t>
      </w:r>
      <w:r>
        <w:rPr>
          <w:rFonts w:hint="cs"/>
          <w:rtl/>
        </w:rPr>
        <w:t xml:space="preserve">מטרון הוא כובע המחובר למעיל, וכשאינו מכסה בו ראשו מפשילו לאחוריו על גבו. </w:t>
      </w:r>
    </w:p>
  </w:footnote>
  <w:footnote w:id="1810">
    <w:p w14:paraId="61B8EDB5" w14:textId="003F4C65" w:rsidR="00917643" w:rsidRDefault="00917643" w:rsidP="00285819">
      <w:pPr>
        <w:pStyle w:val="a7"/>
        <w:rPr>
          <w:rtl/>
        </w:rPr>
      </w:pPr>
      <w:r>
        <w:rPr>
          <w:rStyle w:val="a9"/>
        </w:rPr>
        <w:footnoteRef/>
      </w:r>
      <w:r>
        <w:rPr>
          <w:rtl/>
        </w:rPr>
        <w:t xml:space="preserve"> </w:t>
      </w:r>
      <w:r w:rsidRPr="00D30917">
        <w:rPr>
          <w:rFonts w:cs="Arial"/>
          <w:rtl/>
        </w:rPr>
        <w:t>ואפשר דבשוכח בתוכה מעות הוא</w:t>
      </w:r>
      <w:r>
        <w:rPr>
          <w:rFonts w:cs="Arial" w:hint="cs"/>
          <w:rtl/>
        </w:rPr>
        <w:t>,</w:t>
      </w:r>
      <w:r w:rsidRPr="00D30917">
        <w:rPr>
          <w:rFonts w:cs="Arial"/>
          <w:rtl/>
        </w:rPr>
        <w:t xml:space="preserve"> וכמו שכתבתי בסמוך</w:t>
      </w:r>
      <w:r>
        <w:rPr>
          <w:rFonts w:cs="Arial" w:hint="cs"/>
          <w:rtl/>
        </w:rPr>
        <w:t>.</w:t>
      </w:r>
      <w:r w:rsidRPr="00D30917">
        <w:rPr>
          <w:rFonts w:cs="Arial"/>
          <w:rtl/>
        </w:rPr>
        <w:t xml:space="preserve"> אי נמי אפשר דאפילו באין בתוכה מעות מיירי ועל פי דעת רבינו תם (מד: בסוף ד"ה הא) במטה שיחדה למעות שיתבאר בסימן ש"י (סט: ד"ה הלכך)</w:t>
      </w:r>
      <w:r>
        <w:rPr>
          <w:rFonts w:cs="Arial" w:hint="cs"/>
          <w:rtl/>
        </w:rPr>
        <w:t>, ב"י.</w:t>
      </w:r>
      <w:r>
        <w:rPr>
          <w:rFonts w:hint="cs"/>
          <w:rtl/>
        </w:rPr>
        <w:t xml:space="preserve"> והב"ח (סי' רסו אות ה) כתב </w:t>
      </w:r>
      <w:r>
        <w:rPr>
          <w:rFonts w:cs="Arial" w:hint="cs"/>
          <w:rtl/>
        </w:rPr>
        <w:t>ד</w:t>
      </w:r>
      <w:r w:rsidRPr="00917643">
        <w:rPr>
          <w:rFonts w:cs="Arial"/>
          <w:rtl/>
        </w:rPr>
        <w:t>נראה דהיינו דוקא בשיש בתוכו מעות דהמלבוש טפל אל המעות</w:t>
      </w:r>
      <w:r>
        <w:rPr>
          <w:rFonts w:cs="Arial" w:hint="cs"/>
          <w:rtl/>
        </w:rPr>
        <w:t>,</w:t>
      </w:r>
      <w:r w:rsidRPr="00917643">
        <w:rPr>
          <w:rFonts w:cs="Arial"/>
          <w:rtl/>
        </w:rPr>
        <w:t xml:space="preserve"> אבל אם אין בו מעות הכיס הוא טפל אל המלבוש ומותר ללובשו וכן נוהגין</w:t>
      </w:r>
      <w:r>
        <w:rPr>
          <w:rFonts w:cs="Arial" w:hint="cs"/>
          <w:rtl/>
        </w:rPr>
        <w:t>. עכ"ל. והביאו כנה"ג (סי' רסו אות ב).</w:t>
      </w:r>
    </w:p>
  </w:footnote>
  <w:footnote w:id="1811">
    <w:p w14:paraId="37A0B8EF" w14:textId="08A624FD" w:rsidR="006B699D" w:rsidRDefault="006B699D" w:rsidP="00285819">
      <w:pPr>
        <w:pStyle w:val="a7"/>
      </w:pPr>
      <w:r>
        <w:rPr>
          <w:rStyle w:val="a9"/>
        </w:rPr>
        <w:footnoteRef/>
      </w:r>
      <w:r>
        <w:rPr>
          <w:rtl/>
        </w:rPr>
        <w:t xml:space="preserve"> </w:t>
      </w:r>
      <w:r w:rsidRPr="006B699D">
        <w:rPr>
          <w:rFonts w:cs="Arial"/>
          <w:rtl/>
        </w:rPr>
        <w:t>אשוכח קאי דבמניח הרי החבית גופא נעשית בסיס ומוקצה הוא</w:t>
      </w:r>
      <w:r>
        <w:rPr>
          <w:rFonts w:cs="Arial" w:hint="cs"/>
          <w:rtl/>
        </w:rPr>
        <w:t>, משנ"ב (סקכ"ח).</w:t>
      </w:r>
    </w:p>
  </w:footnote>
  <w:footnote w:id="1812">
    <w:p w14:paraId="310F74E1" w14:textId="77777777" w:rsidR="00F22001" w:rsidRDefault="00F22001" w:rsidP="00285819">
      <w:pPr>
        <w:pStyle w:val="a7"/>
        <w:rPr>
          <w:rtl/>
        </w:rPr>
      </w:pPr>
      <w:r>
        <w:rPr>
          <w:rStyle w:val="a9"/>
        </w:rPr>
        <w:footnoteRef/>
      </w:r>
      <w:r>
        <w:rPr>
          <w:rtl/>
        </w:rPr>
        <w:t xml:space="preserve"> </w:t>
      </w:r>
      <w:r>
        <w:rPr>
          <w:rFonts w:cs="Arial" w:hint="cs"/>
          <w:rtl/>
        </w:rPr>
        <w:t>והה"מ כתב בשם הרי"ף ד</w:t>
      </w:r>
      <w:r w:rsidRPr="0014614F">
        <w:rPr>
          <w:rFonts w:cs="Arial"/>
          <w:rtl/>
        </w:rPr>
        <w:t xml:space="preserve">מטלטלין </w:t>
      </w:r>
      <w:r>
        <w:rPr>
          <w:rFonts w:cs="Arial" w:hint="cs"/>
          <w:rtl/>
        </w:rPr>
        <w:t>תלא דבשרא</w:t>
      </w:r>
      <w:r w:rsidRPr="0014614F">
        <w:rPr>
          <w:rFonts w:cs="Arial"/>
          <w:rtl/>
        </w:rPr>
        <w:t xml:space="preserve"> דתורת כלי עליו דרגילות הוא להצניעו</w:t>
      </w:r>
      <w:r>
        <w:rPr>
          <w:rFonts w:cs="Arial" w:hint="cs"/>
          <w:rtl/>
        </w:rPr>
        <w:t>.</w:t>
      </w:r>
      <w:r w:rsidRPr="0014614F">
        <w:rPr>
          <w:rFonts w:cs="Arial"/>
          <w:rtl/>
        </w:rPr>
        <w:t xml:space="preserve"> דכוורי</w:t>
      </w:r>
      <w:r>
        <w:rPr>
          <w:rFonts w:cs="Arial" w:hint="cs"/>
          <w:rtl/>
        </w:rPr>
        <w:t xml:space="preserve"> -</w:t>
      </w:r>
      <w:r w:rsidRPr="0014614F">
        <w:rPr>
          <w:rFonts w:cs="Arial"/>
          <w:rtl/>
        </w:rPr>
        <w:t xml:space="preserve"> לא</w:t>
      </w:r>
      <w:r>
        <w:rPr>
          <w:rFonts w:cs="Arial" w:hint="cs"/>
          <w:rtl/>
        </w:rPr>
        <w:t>,</w:t>
      </w:r>
      <w:r w:rsidRPr="0014614F">
        <w:rPr>
          <w:rFonts w:cs="Arial"/>
          <w:rtl/>
        </w:rPr>
        <w:t xml:space="preserve"> אלא כל שנשתמש בו זורקו לבין העצים</w:t>
      </w:r>
      <w:r>
        <w:rPr>
          <w:rFonts w:cs="Arial" w:hint="cs"/>
          <w:rtl/>
        </w:rPr>
        <w:t>. ע"כ.</w:t>
      </w:r>
      <w:r w:rsidRPr="0014614F">
        <w:rPr>
          <w:rFonts w:cs="Arial"/>
          <w:rtl/>
        </w:rPr>
        <w:t xml:space="preserve"> ונראה מדבריו שנוסחת ההלכות שבידו מוחלפת מנוסחא שבידינו</w:t>
      </w:r>
      <w:r>
        <w:rPr>
          <w:rFonts w:cs="Arial" w:hint="cs"/>
          <w:rtl/>
        </w:rPr>
        <w:t>, ב"י</w:t>
      </w:r>
      <w:r w:rsidRPr="0014614F">
        <w:rPr>
          <w:rFonts w:cs="Arial"/>
          <w:rtl/>
        </w:rPr>
        <w:t>.</w:t>
      </w:r>
    </w:p>
  </w:footnote>
  <w:footnote w:id="1813">
    <w:p w14:paraId="0C369A91" w14:textId="247B660D" w:rsidR="0014614F" w:rsidRDefault="0014614F" w:rsidP="00285819">
      <w:pPr>
        <w:pStyle w:val="a7"/>
      </w:pPr>
      <w:r>
        <w:rPr>
          <w:rStyle w:val="a9"/>
        </w:rPr>
        <w:footnoteRef/>
      </w:r>
      <w:r>
        <w:rPr>
          <w:rtl/>
        </w:rPr>
        <w:t xml:space="preserve"> </w:t>
      </w:r>
      <w:r w:rsidRPr="0014614F">
        <w:rPr>
          <w:rFonts w:cs="Arial"/>
          <w:rtl/>
        </w:rPr>
        <w:t>וזה כדברי רב</w:t>
      </w:r>
      <w:r>
        <w:rPr>
          <w:rFonts w:cs="Arial" w:hint="cs"/>
          <w:rtl/>
        </w:rPr>
        <w:t>, ב"י.</w:t>
      </w:r>
    </w:p>
  </w:footnote>
  <w:footnote w:id="1814">
    <w:p w14:paraId="031DF9DD" w14:textId="01075B51" w:rsidR="004D2918" w:rsidRDefault="004D2918" w:rsidP="00285819">
      <w:pPr>
        <w:pStyle w:val="a7"/>
        <w:rPr>
          <w:rtl/>
        </w:rPr>
      </w:pPr>
      <w:r>
        <w:rPr>
          <w:rStyle w:val="a9"/>
        </w:rPr>
        <w:footnoteRef/>
      </w:r>
      <w:r>
        <w:rPr>
          <w:rtl/>
        </w:rPr>
        <w:t xml:space="preserve"> </w:t>
      </w:r>
      <w:r>
        <w:rPr>
          <w:rFonts w:cs="Arial"/>
          <w:rtl/>
        </w:rPr>
        <w:t>דכיון דלא מסיק אדעתיה שיכבה היום אקציניה מדעתיה</w:t>
      </w:r>
      <w:r>
        <w:rPr>
          <w:rFonts w:hint="cs"/>
          <w:rtl/>
        </w:rPr>
        <w:t>, ב"י.</w:t>
      </w:r>
    </w:p>
  </w:footnote>
  <w:footnote w:id="1815">
    <w:p w14:paraId="3C37BC86" w14:textId="1E82A769" w:rsidR="000753D8" w:rsidRDefault="000753D8" w:rsidP="00285819">
      <w:pPr>
        <w:pStyle w:val="a7"/>
      </w:pPr>
      <w:r>
        <w:rPr>
          <w:rStyle w:val="a9"/>
        </w:rPr>
        <w:footnoteRef/>
      </w:r>
      <w:r>
        <w:rPr>
          <w:rtl/>
        </w:rPr>
        <w:t xml:space="preserve"> </w:t>
      </w:r>
      <w:r>
        <w:rPr>
          <w:rFonts w:cs="Arial"/>
          <w:rtl/>
        </w:rPr>
        <w:t>אלמא דכל זמן שהמעות עליה אסור לגררה</w:t>
      </w:r>
      <w:r>
        <w:rPr>
          <w:rFonts w:cs="Arial" w:hint="cs"/>
          <w:rtl/>
        </w:rPr>
        <w:t>.</w:t>
      </w:r>
      <w:r>
        <w:rPr>
          <w:rFonts w:cs="Arial"/>
          <w:rtl/>
        </w:rPr>
        <w:t xml:space="preserve"> וכן כתב שם רש"י ההיא רבי שמעון היא ומיהו מעות לא חזו מידי ומודה רבי שמעון דעודן עליו אסור</w:t>
      </w:r>
      <w:r w:rsidR="009924C8">
        <w:rPr>
          <w:rFonts w:cs="Arial" w:hint="cs"/>
          <w:rtl/>
        </w:rPr>
        <w:t>,</w:t>
      </w:r>
      <w:r>
        <w:rPr>
          <w:rFonts w:cs="Arial" w:hint="cs"/>
          <w:rtl/>
        </w:rPr>
        <w:t xml:space="preserve"> ב"י.</w:t>
      </w:r>
      <w:r w:rsidR="009924C8">
        <w:rPr>
          <w:rFonts w:cs="Arial" w:hint="cs"/>
          <w:rtl/>
        </w:rPr>
        <w:t xml:space="preserve"> וכתב עוד הב"י- </w:t>
      </w:r>
      <w:r w:rsidR="009924C8">
        <w:rPr>
          <w:rFonts w:cs="Arial"/>
          <w:rtl/>
        </w:rPr>
        <w:t>וקשה לי היכי מוקמינן ברייתא (מד:) דמוכני שלה וכו' כרבי שמעון</w:t>
      </w:r>
      <w:r w:rsidR="009924C8">
        <w:rPr>
          <w:rFonts w:cs="Arial" w:hint="cs"/>
          <w:rtl/>
        </w:rPr>
        <w:t>,</w:t>
      </w:r>
      <w:r w:rsidR="009924C8">
        <w:rPr>
          <w:rFonts w:cs="Arial"/>
          <w:rtl/>
        </w:rPr>
        <w:t xml:space="preserve"> וכי אין עליה מעות שרינן אע</w:t>
      </w:r>
      <w:r w:rsidR="009924C8">
        <w:rPr>
          <w:rFonts w:cs="Arial" w:hint="cs"/>
          <w:rtl/>
        </w:rPr>
        <w:t>"</w:t>
      </w:r>
      <w:r w:rsidR="009924C8">
        <w:rPr>
          <w:rFonts w:cs="Arial"/>
          <w:rtl/>
        </w:rPr>
        <w:t>ג דהוו עלה בין השמשות</w:t>
      </w:r>
      <w:r w:rsidR="009924C8">
        <w:rPr>
          <w:rFonts w:cs="Arial" w:hint="cs"/>
          <w:rtl/>
        </w:rPr>
        <w:t>?</w:t>
      </w:r>
      <w:r w:rsidR="009924C8">
        <w:rPr>
          <w:rFonts w:cs="Arial"/>
          <w:rtl/>
        </w:rPr>
        <w:t xml:space="preserve"> הא דמו לנר גדול דמודה ביה רבי שמעון מפני שאין אדם יושב ומצפה מתי יכבה כיון דאסור לכבותה בידים ואם יניחוה תהיה דולקת והולכת כל השבת</w:t>
      </w:r>
      <w:r w:rsidR="009924C8">
        <w:rPr>
          <w:rFonts w:cs="Arial" w:hint="cs"/>
          <w:rtl/>
        </w:rPr>
        <w:t>,</w:t>
      </w:r>
      <w:r w:rsidR="009924C8">
        <w:rPr>
          <w:rFonts w:cs="Arial"/>
          <w:rtl/>
        </w:rPr>
        <w:t xml:space="preserve"> הכי נמי כיון דאסור ליטלם בידים הרי הם עשויים להיות עומדים שם כל השבת גם לרבי שמעון הוו מוקצה</w:t>
      </w:r>
      <w:r w:rsidR="009924C8">
        <w:rPr>
          <w:rFonts w:cs="Arial" w:hint="cs"/>
          <w:rtl/>
        </w:rPr>
        <w:t>.</w:t>
      </w:r>
      <w:r w:rsidR="009924C8">
        <w:rPr>
          <w:rFonts w:cs="Arial"/>
          <w:rtl/>
        </w:rPr>
        <w:t xml:space="preserve"> ואפשר דכיון שאין מוכני זה מיוחד למעות עשויים הם לינטל על ידי עבד או תינוק ולא מקצי להו מדעתיה</w:t>
      </w:r>
      <w:r w:rsidR="009924C8">
        <w:rPr>
          <w:rFonts w:cs="Arial" w:hint="cs"/>
          <w:rtl/>
        </w:rPr>
        <w:t>.</w:t>
      </w:r>
      <w:r w:rsidR="009924C8">
        <w:rPr>
          <w:rFonts w:cs="Arial"/>
          <w:rtl/>
        </w:rPr>
        <w:t xml:space="preserve"> אבל נר גדול מאחר שנתן בו שמן רב כדי להדליק כל השבת ודאי לא היה בדעתו שיכבנו גוי ולא תינוק אלא שידלוק וילך</w:t>
      </w:r>
      <w:r w:rsidR="009924C8">
        <w:rPr>
          <w:rFonts w:cs="Arial" w:hint="cs"/>
          <w:rtl/>
        </w:rPr>
        <w:t>,</w:t>
      </w:r>
      <w:r w:rsidR="009924C8">
        <w:rPr>
          <w:rFonts w:cs="Arial"/>
          <w:rtl/>
        </w:rPr>
        <w:t xml:space="preserve"> הילכך אמרינן אסוחי אסחי לדעתיה מיניה והוי מוקצה</w:t>
      </w:r>
      <w:r w:rsidR="009924C8">
        <w:rPr>
          <w:rFonts w:cs="Arial" w:hint="cs"/>
          <w:rtl/>
        </w:rPr>
        <w:t>.</w:t>
      </w:r>
    </w:p>
  </w:footnote>
  <w:footnote w:id="1816">
    <w:p w14:paraId="4D82916D" w14:textId="6B05950E" w:rsidR="00CC6124" w:rsidRDefault="00CC6124" w:rsidP="00285819">
      <w:pPr>
        <w:pStyle w:val="a7"/>
      </w:pPr>
      <w:r>
        <w:rPr>
          <w:rStyle w:val="a9"/>
        </w:rPr>
        <w:footnoteRef/>
      </w:r>
      <w:r>
        <w:rPr>
          <w:rtl/>
        </w:rPr>
        <w:t xml:space="preserve"> </w:t>
      </w:r>
      <w:r>
        <w:rPr>
          <w:rFonts w:cs="Arial"/>
          <w:rtl/>
        </w:rPr>
        <w:t xml:space="preserve">ופירש רש"י גרוגרות </w:t>
      </w:r>
      <w:r>
        <w:rPr>
          <w:rFonts w:cs="Arial" w:hint="cs"/>
          <w:rtl/>
        </w:rPr>
        <w:t xml:space="preserve">- </w:t>
      </w:r>
      <w:r>
        <w:rPr>
          <w:rFonts w:cs="Arial"/>
          <w:rtl/>
        </w:rPr>
        <w:t>תאנים שמעלה לגג ליבשן ומשנשתהו שם מעט אינם ראויים לאכילה עד שיתייבשו</w:t>
      </w:r>
      <w:r>
        <w:rPr>
          <w:rFonts w:cs="Arial" w:hint="cs"/>
          <w:rtl/>
        </w:rPr>
        <w:t>.</w:t>
      </w:r>
      <w:r>
        <w:rPr>
          <w:rFonts w:cs="Arial"/>
          <w:rtl/>
        </w:rPr>
        <w:t xml:space="preserve"> וכן צמוקים דענבים</w:t>
      </w:r>
      <w:r>
        <w:rPr>
          <w:rFonts w:cs="Arial" w:hint="cs"/>
          <w:rtl/>
        </w:rPr>
        <w:t>.</w:t>
      </w:r>
      <w:r>
        <w:rPr>
          <w:rFonts w:cs="Arial"/>
          <w:rtl/>
        </w:rPr>
        <w:t xml:space="preserve"> והתוספות (שם ד"ה אלא בגרוגרות) כתבו</w:t>
      </w:r>
      <w:r>
        <w:rPr>
          <w:rFonts w:cs="Arial" w:hint="cs"/>
          <w:rtl/>
        </w:rPr>
        <w:t>-</w:t>
      </w:r>
      <w:r>
        <w:rPr>
          <w:rFonts w:cs="Arial"/>
          <w:rtl/>
        </w:rPr>
        <w:t xml:space="preserve"> בירושלמי (ביצה פ"ד ה"א) מפרש שמסריחין בנתיים</w:t>
      </w:r>
      <w:r>
        <w:rPr>
          <w:rFonts w:cs="Arial" w:hint="cs"/>
          <w:rtl/>
        </w:rPr>
        <w:t>,</w:t>
      </w:r>
      <w:r>
        <w:rPr>
          <w:rFonts w:cs="Arial"/>
          <w:rtl/>
        </w:rPr>
        <w:t xml:space="preserve"> וכיון שמתקלקלין כל כך אין דעתו לקחתם עד שיתקנו היטב</w:t>
      </w:r>
      <w:r>
        <w:rPr>
          <w:rFonts w:cs="Arial" w:hint="cs"/>
          <w:rtl/>
        </w:rPr>
        <w:t>, ב"י.</w:t>
      </w:r>
    </w:p>
  </w:footnote>
  <w:footnote w:id="1817">
    <w:p w14:paraId="15231D8F" w14:textId="46157BA1" w:rsidR="00CC6124" w:rsidRDefault="00CC6124" w:rsidP="00285819">
      <w:pPr>
        <w:pStyle w:val="a7"/>
      </w:pPr>
      <w:r>
        <w:rPr>
          <w:rStyle w:val="a9"/>
        </w:rPr>
        <w:footnoteRef/>
      </w:r>
      <w:r>
        <w:rPr>
          <w:rtl/>
        </w:rPr>
        <w:t xml:space="preserve"> </w:t>
      </w:r>
      <w:r w:rsidRPr="00CC6124">
        <w:rPr>
          <w:rFonts w:cs="Arial"/>
          <w:rtl/>
        </w:rPr>
        <w:t>תמרים הנלקטים קודם בישולן, וכונסין אותם בסלים שעושין מלולבין, והן מתבשלות מאליהן, מהו לאכול מהן קודם בישולן, מי מודה בהן דמוקצות הן כגרוגרות וצימוקין, או לא</w:t>
      </w:r>
      <w:r>
        <w:rPr>
          <w:rFonts w:cs="Arial" w:hint="cs"/>
          <w:rtl/>
        </w:rPr>
        <w:t>, רש"י.</w:t>
      </w:r>
    </w:p>
  </w:footnote>
  <w:footnote w:id="1818">
    <w:p w14:paraId="010208A5" w14:textId="7A235249" w:rsidR="00C03858" w:rsidRDefault="00C03858" w:rsidP="00285819">
      <w:pPr>
        <w:pStyle w:val="a7"/>
      </w:pPr>
      <w:r>
        <w:rPr>
          <w:rStyle w:val="a9"/>
        </w:rPr>
        <w:footnoteRef/>
      </w:r>
      <w:r>
        <w:rPr>
          <w:rtl/>
        </w:rPr>
        <w:t xml:space="preserve"> </w:t>
      </w:r>
      <w:r w:rsidR="002044FB" w:rsidRPr="002044FB">
        <w:rPr>
          <w:rFonts w:cs="Arial"/>
          <w:rtl/>
        </w:rPr>
        <w:t>דאיכא תרתי: דדחינהו בידים, ולא חזו</w:t>
      </w:r>
      <w:r w:rsidR="002044FB">
        <w:rPr>
          <w:rFonts w:cs="Arial" w:hint="cs"/>
          <w:rtl/>
        </w:rPr>
        <w:t xml:space="preserve">, </w:t>
      </w:r>
      <w:r w:rsidR="002044FB" w:rsidRPr="00C41565">
        <w:rPr>
          <w:rFonts w:cs="Arial" w:hint="cs"/>
          <w:b/>
          <w:bCs/>
          <w:rtl/>
        </w:rPr>
        <w:t>רש"י</w:t>
      </w:r>
      <w:r w:rsidR="002044FB">
        <w:rPr>
          <w:rFonts w:cs="Arial" w:hint="cs"/>
          <w:rtl/>
        </w:rPr>
        <w:t>.</w:t>
      </w:r>
      <w:r w:rsidR="002044FB" w:rsidRPr="002044FB">
        <w:rPr>
          <w:rFonts w:cs="Arial"/>
          <w:rtl/>
        </w:rPr>
        <w:t xml:space="preserve"> </w:t>
      </w:r>
      <w:r w:rsidR="00C41565">
        <w:rPr>
          <w:rFonts w:cs="Arial"/>
          <w:rtl/>
        </w:rPr>
        <w:t>וכתבו זה הרי"ף (כא.) והרא"ש (סי' כא)</w:t>
      </w:r>
      <w:r w:rsidR="00C41565">
        <w:rPr>
          <w:rFonts w:cs="Arial" w:hint="cs"/>
          <w:rtl/>
        </w:rPr>
        <w:t>.</w:t>
      </w:r>
      <w:r w:rsidR="00C41565">
        <w:rPr>
          <w:rFonts w:cs="Arial"/>
          <w:rtl/>
        </w:rPr>
        <w:t xml:space="preserve"> וכ</w:t>
      </w:r>
      <w:r w:rsidR="00C41565">
        <w:rPr>
          <w:rFonts w:cs="Arial" w:hint="cs"/>
          <w:rtl/>
        </w:rPr>
        <w:t>"</w:t>
      </w:r>
      <w:r w:rsidR="00C41565">
        <w:rPr>
          <w:rFonts w:cs="Arial"/>
          <w:rtl/>
        </w:rPr>
        <w:t>כ הרמב"ם בפכ"ו (הי"ד)</w:t>
      </w:r>
      <w:r w:rsidR="00C41565">
        <w:rPr>
          <w:rFonts w:cs="Arial" w:hint="cs"/>
          <w:rtl/>
        </w:rPr>
        <w:t xml:space="preserve">, </w:t>
      </w:r>
      <w:r w:rsidR="00C41565" w:rsidRPr="00C41565">
        <w:rPr>
          <w:rFonts w:cs="Arial" w:hint="cs"/>
          <w:b/>
          <w:bCs/>
          <w:rtl/>
        </w:rPr>
        <w:t>ב"י</w:t>
      </w:r>
      <w:r w:rsidR="00C41565">
        <w:rPr>
          <w:rFonts w:cs="Arial" w:hint="cs"/>
          <w:rtl/>
        </w:rPr>
        <w:t xml:space="preserve">. </w:t>
      </w:r>
      <w:r>
        <w:rPr>
          <w:rFonts w:cs="Arial"/>
          <w:rtl/>
        </w:rPr>
        <w:t>ו</w:t>
      </w:r>
      <w:r w:rsidR="00C41565">
        <w:rPr>
          <w:rFonts w:cs="Arial" w:hint="cs"/>
          <w:rtl/>
        </w:rPr>
        <w:t>כתב עוד הב"י ד</w:t>
      </w:r>
      <w:r>
        <w:rPr>
          <w:rFonts w:cs="Arial"/>
          <w:rtl/>
        </w:rPr>
        <w:t xml:space="preserve">פירש הרמב"ם </w:t>
      </w:r>
      <w:r w:rsidR="00C41565">
        <w:rPr>
          <w:rFonts w:cs="Arial" w:hint="cs"/>
          <w:rtl/>
        </w:rPr>
        <w:t>ד</w:t>
      </w:r>
      <w:r>
        <w:rPr>
          <w:rFonts w:cs="Arial"/>
          <w:rtl/>
        </w:rPr>
        <w:t>אין מוקצה בדבר שהוא אוכל אלא גרוגרות וצמוקים</w:t>
      </w:r>
      <w:r>
        <w:rPr>
          <w:rFonts w:cs="Arial" w:hint="cs"/>
          <w:rtl/>
        </w:rPr>
        <w:t>.</w:t>
      </w:r>
      <w:r>
        <w:rPr>
          <w:rFonts w:cs="Arial"/>
          <w:rtl/>
        </w:rPr>
        <w:t xml:space="preserve"> וכן נראה מדברי רש"י</w:t>
      </w:r>
      <w:r>
        <w:rPr>
          <w:rFonts w:cs="Arial" w:hint="cs"/>
          <w:rtl/>
        </w:rPr>
        <w:t>.</w:t>
      </w:r>
      <w:r>
        <w:rPr>
          <w:rFonts w:cs="Arial"/>
          <w:rtl/>
        </w:rPr>
        <w:t xml:space="preserve"> וכן משמע בגמרא</w:t>
      </w:r>
      <w:r>
        <w:rPr>
          <w:rFonts w:cs="Arial" w:hint="cs"/>
          <w:rtl/>
        </w:rPr>
        <w:t>.</w:t>
      </w:r>
    </w:p>
  </w:footnote>
  <w:footnote w:id="1819">
    <w:p w14:paraId="0C50D7C9" w14:textId="3818A299" w:rsidR="00C03858" w:rsidRDefault="00C03858" w:rsidP="00285819">
      <w:pPr>
        <w:pStyle w:val="a7"/>
      </w:pPr>
      <w:r>
        <w:rPr>
          <w:rStyle w:val="a9"/>
        </w:rPr>
        <w:footnoteRef/>
      </w:r>
      <w:r>
        <w:rPr>
          <w:rtl/>
        </w:rPr>
        <w:t xml:space="preserve"> </w:t>
      </w:r>
      <w:r>
        <w:rPr>
          <w:rFonts w:cs="Arial"/>
          <w:rtl/>
        </w:rPr>
        <w:t>וכבר כתבו התוספות (מה. ד"ה אלא שמן) דרבי יוחנן הכי נמי סבירא ליה דמסתמא לא פליג על רבי</w:t>
      </w:r>
      <w:r w:rsidR="00CC6124">
        <w:rPr>
          <w:rFonts w:cs="Arial" w:hint="cs"/>
          <w:rtl/>
        </w:rPr>
        <w:t>, ב"י</w:t>
      </w:r>
      <w:r>
        <w:rPr>
          <w:rFonts w:cs="Arial" w:hint="cs"/>
          <w:rtl/>
        </w:rPr>
        <w:t>.</w:t>
      </w:r>
      <w:r>
        <w:rPr>
          <w:rFonts w:cs="Arial"/>
          <w:rtl/>
        </w:rPr>
        <w:t xml:space="preserve"> </w:t>
      </w:r>
    </w:p>
  </w:footnote>
  <w:footnote w:id="1820">
    <w:p w14:paraId="6986D50C" w14:textId="076E2879" w:rsidR="002347E9" w:rsidRDefault="002347E9" w:rsidP="00285819">
      <w:pPr>
        <w:pStyle w:val="a7"/>
      </w:pPr>
      <w:r>
        <w:rPr>
          <w:rStyle w:val="a9"/>
        </w:rPr>
        <w:footnoteRef/>
      </w:r>
      <w:r>
        <w:rPr>
          <w:rtl/>
        </w:rPr>
        <w:t xml:space="preserve"> </w:t>
      </w:r>
      <w:r w:rsidRPr="00132526">
        <w:rPr>
          <w:rFonts w:cs="Arial"/>
          <w:rtl/>
        </w:rPr>
        <w:t xml:space="preserve">אבל מידי דלא חזי לכסויי ביה מנא כי קרני דאומנא משום דאי נפלי מיתברי </w:t>
      </w:r>
      <w:r>
        <w:rPr>
          <w:rFonts w:cs="Arial" w:hint="cs"/>
          <w:rtl/>
        </w:rPr>
        <w:t xml:space="preserve">- </w:t>
      </w:r>
      <w:r w:rsidRPr="00132526">
        <w:rPr>
          <w:rFonts w:cs="Arial"/>
          <w:rtl/>
        </w:rPr>
        <w:t>אסור לטלטלינהו</w:t>
      </w:r>
      <w:r>
        <w:rPr>
          <w:rFonts w:cs="Arial" w:hint="cs"/>
          <w:sz w:val="16"/>
          <w:szCs w:val="16"/>
          <w:rtl/>
        </w:rPr>
        <w:t xml:space="preserve"> {אע"ג דאיכא תורת כלי עליה}</w:t>
      </w:r>
      <w:r>
        <w:rPr>
          <w:rFonts w:cs="Arial" w:hint="cs"/>
          <w:rtl/>
        </w:rPr>
        <w:t>, ר"ן</w:t>
      </w:r>
      <w:r w:rsidRPr="00132526">
        <w:rPr>
          <w:rFonts w:cs="Arial"/>
          <w:rtl/>
        </w:rPr>
        <w:t xml:space="preserve"> (סו: ד"ה אמר)</w:t>
      </w:r>
      <w:r>
        <w:rPr>
          <w:rFonts w:cs="Arial" w:hint="cs"/>
          <w:rtl/>
        </w:rPr>
        <w:t>.</w:t>
      </w:r>
    </w:p>
  </w:footnote>
  <w:footnote w:id="1821">
    <w:p w14:paraId="05D633B1" w14:textId="772F5B05" w:rsidR="000A6BD7" w:rsidRDefault="000A6BD7" w:rsidP="00285819">
      <w:pPr>
        <w:pStyle w:val="a7"/>
      </w:pPr>
      <w:r>
        <w:rPr>
          <w:rStyle w:val="a9"/>
        </w:rPr>
        <w:footnoteRef/>
      </w:r>
      <w:r>
        <w:rPr>
          <w:rtl/>
        </w:rPr>
        <w:t xml:space="preserve"> </w:t>
      </w:r>
      <w:r w:rsidRPr="000A6BD7">
        <w:rPr>
          <w:rFonts w:cs="Arial"/>
          <w:rtl/>
        </w:rPr>
        <w:t>איידי דאיירי בבית הבד נקט ליה, שמן המשתייר בזויות הבד תחת הטעינה והוא ניתן לבדדין, וכן מחצלות של בדדין, שמכסין בהן את הזיתים</w:t>
      </w:r>
      <w:r>
        <w:rPr>
          <w:rFonts w:cs="Arial" w:hint="cs"/>
          <w:rtl/>
        </w:rPr>
        <w:t>, רש"י.</w:t>
      </w:r>
    </w:p>
  </w:footnote>
  <w:footnote w:id="1822">
    <w:p w14:paraId="7376FE7D" w14:textId="77777777" w:rsidR="000A6BD7" w:rsidRDefault="000A6BD7" w:rsidP="00285819">
      <w:pPr>
        <w:pStyle w:val="a7"/>
        <w:rPr>
          <w:rtl/>
        </w:rPr>
      </w:pPr>
      <w:r>
        <w:rPr>
          <w:rStyle w:val="a9"/>
        </w:rPr>
        <w:footnoteRef/>
      </w:r>
      <w:r>
        <w:rPr>
          <w:rtl/>
        </w:rPr>
        <w:t xml:space="preserve"> </w:t>
      </w:r>
      <w:r w:rsidRPr="000A6BD7">
        <w:rPr>
          <w:rFonts w:cs="Arial"/>
          <w:rtl/>
        </w:rPr>
        <w:t>לטלטולי, משום מוקצה, דרב סבר כר' יהודה במוקצה, ושמואל סבר כר' שמעון, דלית ליה מוקצה, והכי אמרינן במי שהחשיך</w:t>
      </w:r>
      <w:r>
        <w:rPr>
          <w:rFonts w:hint="cs"/>
          <w:rtl/>
        </w:rPr>
        <w:t>, רש"י.</w:t>
      </w:r>
    </w:p>
  </w:footnote>
  <w:footnote w:id="1823">
    <w:p w14:paraId="38A8C205" w14:textId="01D8A81B" w:rsidR="000A6BD7" w:rsidRDefault="000A6BD7" w:rsidP="00285819">
      <w:pPr>
        <w:pStyle w:val="a7"/>
      </w:pPr>
      <w:r>
        <w:rPr>
          <w:rStyle w:val="a9"/>
        </w:rPr>
        <w:footnoteRef/>
      </w:r>
      <w:r>
        <w:rPr>
          <w:rtl/>
        </w:rPr>
        <w:t xml:space="preserve"> </w:t>
      </w:r>
      <w:r w:rsidRPr="000A6BD7">
        <w:rPr>
          <w:rFonts w:cs="Arial"/>
          <w:rtl/>
        </w:rPr>
        <w:t>זוג של מחצלות שמכסים בהן את פרגמטיא של ספינה, וזוזי - לשון זוג, לפי שהן שתים ועשויות כאהל, ובתשובות הגאונים מצאתי כרכי דזיווי ומפרש שהוא לשון ספינה בלשון ארמי</w:t>
      </w:r>
      <w:r>
        <w:rPr>
          <w:rFonts w:cs="Arial" w:hint="cs"/>
          <w:rtl/>
        </w:rPr>
        <w:t>, רש"י.</w:t>
      </w:r>
    </w:p>
  </w:footnote>
  <w:footnote w:id="1824">
    <w:p w14:paraId="1CEEBAC5" w14:textId="45051224" w:rsidR="000A6BD7" w:rsidRDefault="000A6BD7" w:rsidP="00285819">
      <w:pPr>
        <w:pStyle w:val="a7"/>
      </w:pPr>
      <w:r>
        <w:rPr>
          <w:rStyle w:val="a9"/>
        </w:rPr>
        <w:footnoteRef/>
      </w:r>
      <w:r>
        <w:rPr>
          <w:rtl/>
        </w:rPr>
        <w:t xml:space="preserve"> </w:t>
      </w:r>
      <w:r w:rsidRPr="000A6BD7">
        <w:rPr>
          <w:rFonts w:cs="Arial"/>
          <w:rtl/>
        </w:rPr>
        <w:t>העומדת לחלבה</w:t>
      </w:r>
      <w:r>
        <w:rPr>
          <w:rFonts w:cs="Arial" w:hint="cs"/>
          <w:rtl/>
        </w:rPr>
        <w:t>, רש"י.</w:t>
      </w:r>
    </w:p>
  </w:footnote>
  <w:footnote w:id="1825">
    <w:p w14:paraId="5E4136C1" w14:textId="33461053" w:rsidR="000A6BD7" w:rsidRDefault="000A6BD7" w:rsidP="00285819">
      <w:pPr>
        <w:pStyle w:val="a7"/>
      </w:pPr>
      <w:r>
        <w:rPr>
          <w:rStyle w:val="a9"/>
        </w:rPr>
        <w:footnoteRef/>
      </w:r>
      <w:r>
        <w:rPr>
          <w:rtl/>
        </w:rPr>
        <w:t xml:space="preserve"> </w:t>
      </w:r>
      <w:r w:rsidRPr="000A6BD7">
        <w:rPr>
          <w:rFonts w:cs="Arial"/>
          <w:rtl/>
        </w:rPr>
        <w:t>העומדת לגיזתה</w:t>
      </w:r>
      <w:r>
        <w:rPr>
          <w:rFonts w:cs="Arial" w:hint="cs"/>
          <w:rtl/>
        </w:rPr>
        <w:t>, רש"י.</w:t>
      </w:r>
    </w:p>
  </w:footnote>
  <w:footnote w:id="1826">
    <w:p w14:paraId="47946742" w14:textId="2D265632" w:rsidR="000A6BD7" w:rsidRDefault="000A6BD7" w:rsidP="00285819">
      <w:pPr>
        <w:pStyle w:val="a7"/>
      </w:pPr>
      <w:r>
        <w:rPr>
          <w:rStyle w:val="a9"/>
        </w:rPr>
        <w:footnoteRef/>
      </w:r>
      <w:r>
        <w:rPr>
          <w:rtl/>
        </w:rPr>
        <w:t xml:space="preserve"> </w:t>
      </w:r>
      <w:r w:rsidRPr="000A6BD7">
        <w:rPr>
          <w:rFonts w:cs="Arial"/>
          <w:rtl/>
        </w:rPr>
        <w:t>העומד לחרישה</w:t>
      </w:r>
      <w:r>
        <w:rPr>
          <w:rFonts w:cs="Arial" w:hint="cs"/>
          <w:rtl/>
        </w:rPr>
        <w:t>, רש"י.</w:t>
      </w:r>
    </w:p>
  </w:footnote>
  <w:footnote w:id="1827">
    <w:p w14:paraId="641EE038" w14:textId="48F37E97" w:rsidR="000A6BD7" w:rsidRDefault="000A6BD7" w:rsidP="00285819">
      <w:pPr>
        <w:pStyle w:val="a7"/>
      </w:pPr>
      <w:r>
        <w:rPr>
          <w:rStyle w:val="a9"/>
        </w:rPr>
        <w:footnoteRef/>
      </w:r>
      <w:r>
        <w:rPr>
          <w:rtl/>
        </w:rPr>
        <w:t xml:space="preserve"> </w:t>
      </w:r>
      <w:r w:rsidRPr="000A6BD7">
        <w:rPr>
          <w:rFonts w:cs="Arial"/>
          <w:rtl/>
        </w:rPr>
        <w:t>העומדין להוליכן לסחורה למקום אחר</w:t>
      </w:r>
      <w:r>
        <w:rPr>
          <w:rFonts w:cs="Arial" w:hint="cs"/>
          <w:rtl/>
        </w:rPr>
        <w:t>, רש"י.</w:t>
      </w:r>
    </w:p>
  </w:footnote>
  <w:footnote w:id="1828">
    <w:p w14:paraId="3746D163" w14:textId="77777777" w:rsidR="00F2101F" w:rsidRDefault="00F2101F" w:rsidP="00285819">
      <w:pPr>
        <w:pStyle w:val="a7"/>
      </w:pPr>
      <w:r>
        <w:rPr>
          <w:rStyle w:val="a9"/>
        </w:rPr>
        <w:footnoteRef/>
      </w:r>
      <w:r>
        <w:rPr>
          <w:rtl/>
        </w:rPr>
        <w:t xml:space="preserve"> </w:t>
      </w:r>
      <w:r w:rsidRPr="009E5B85">
        <w:rPr>
          <w:rFonts w:cs="Arial"/>
          <w:rtl/>
        </w:rPr>
        <w:t xml:space="preserve">ופירש רש"י בפרק אין צדין </w:t>
      </w:r>
      <w:r w:rsidRPr="009E5B85">
        <w:rPr>
          <w:rFonts w:cs="Arial"/>
          <w:sz w:val="16"/>
          <w:szCs w:val="16"/>
          <w:rtl/>
        </w:rPr>
        <w:t xml:space="preserve">(ביצה כד: ד"ה אם יש מאותו המין) </w:t>
      </w:r>
      <w:r w:rsidRPr="009E5B85">
        <w:rPr>
          <w:rFonts w:cs="Arial"/>
          <w:rtl/>
        </w:rPr>
        <w:t>גבי גוי שהביא דורון לישראל דטעמא משום דדמי לגרוגרות וצמוקים דמדלא לקטינהו מאתמול אקצינהו ולא תחלוק במחובר בין שלו בין של גוי</w:t>
      </w:r>
      <w:r>
        <w:rPr>
          <w:rFonts w:cs="Arial" w:hint="cs"/>
          <w:sz w:val="16"/>
          <w:szCs w:val="16"/>
          <w:rtl/>
        </w:rPr>
        <w:t xml:space="preserve"> [עכ"ל רש"י]</w:t>
      </w:r>
      <w:r>
        <w:rPr>
          <w:rFonts w:cs="Arial" w:hint="cs"/>
          <w:rtl/>
        </w:rPr>
        <w:t>.</w:t>
      </w:r>
      <w:r w:rsidRPr="009E5B85">
        <w:rPr>
          <w:rFonts w:cs="Arial"/>
          <w:rtl/>
        </w:rPr>
        <w:t xml:space="preserve"> ונראה לי דטעמא דכיון שעל ידי לקיטתו היו ניתרים</w:t>
      </w:r>
      <w:r>
        <w:rPr>
          <w:rFonts w:cs="Arial" w:hint="cs"/>
          <w:rtl/>
        </w:rPr>
        <w:t>,</w:t>
      </w:r>
      <w:r w:rsidRPr="009E5B85">
        <w:rPr>
          <w:rFonts w:cs="Arial"/>
          <w:rtl/>
        </w:rPr>
        <w:t xml:space="preserve"> ואי לא לקיט להו אסור ליהנות מהם במחובר</w:t>
      </w:r>
      <w:r>
        <w:rPr>
          <w:rFonts w:cs="Arial" w:hint="cs"/>
          <w:rtl/>
        </w:rPr>
        <w:t>,</w:t>
      </w:r>
      <w:r w:rsidRPr="009E5B85">
        <w:rPr>
          <w:rFonts w:cs="Arial"/>
          <w:rtl/>
        </w:rPr>
        <w:t xml:space="preserve"> ומאחר שלא לקטם הוה ליה כאילו דחינהו בידים ופירש שאינו רוצה ליהנות מהם</w:t>
      </w:r>
      <w:r>
        <w:rPr>
          <w:rFonts w:cs="Arial" w:hint="cs"/>
          <w:rtl/>
        </w:rPr>
        <w:t>.</w:t>
      </w:r>
      <w:r w:rsidRPr="009E5B85">
        <w:rPr>
          <w:rFonts w:cs="Arial"/>
          <w:rtl/>
        </w:rPr>
        <w:t xml:space="preserve"> והילכך אפילו לקטן גוי </w:t>
      </w:r>
      <w:r>
        <w:rPr>
          <w:rFonts w:cs="Arial" w:hint="cs"/>
          <w:rtl/>
        </w:rPr>
        <w:t xml:space="preserve">- </w:t>
      </w:r>
      <w:r w:rsidRPr="009E5B85">
        <w:rPr>
          <w:rFonts w:cs="Arial"/>
          <w:rtl/>
        </w:rPr>
        <w:t>אסורים דהוה ליה מוקצה</w:t>
      </w:r>
      <w:r>
        <w:rPr>
          <w:rFonts w:cs="Arial" w:hint="cs"/>
          <w:rtl/>
        </w:rPr>
        <w:t>.</w:t>
      </w:r>
      <w:r w:rsidRPr="009E5B85">
        <w:rPr>
          <w:rFonts w:cs="Arial"/>
          <w:rtl/>
        </w:rPr>
        <w:t xml:space="preserve"> ומשום הכי גזרו בכל מחובר</w:t>
      </w:r>
      <w:r>
        <w:rPr>
          <w:rFonts w:cs="Arial" w:hint="cs"/>
          <w:rtl/>
        </w:rPr>
        <w:t>,</w:t>
      </w:r>
      <w:r w:rsidRPr="009E5B85">
        <w:rPr>
          <w:rFonts w:cs="Arial"/>
          <w:rtl/>
        </w:rPr>
        <w:t xml:space="preserve"> אפילו היכא שלא היה בידו ללקטן</w:t>
      </w:r>
      <w:r>
        <w:rPr>
          <w:rFonts w:cs="Arial" w:hint="cs"/>
          <w:rtl/>
        </w:rPr>
        <w:t>,</w:t>
      </w:r>
      <w:r w:rsidRPr="009E5B85">
        <w:rPr>
          <w:rFonts w:cs="Arial"/>
          <w:rtl/>
        </w:rPr>
        <w:t xml:space="preserve"> דלא פלוג רבנן</w:t>
      </w:r>
      <w:r w:rsidRPr="009E5B85">
        <w:rPr>
          <w:rFonts w:cs="Arial" w:hint="cs"/>
          <w:rtl/>
        </w:rPr>
        <w:t>.</w:t>
      </w:r>
      <w:r w:rsidRPr="009E5B85">
        <w:rPr>
          <w:rFonts w:cs="Arial"/>
          <w:rtl/>
        </w:rPr>
        <w:t xml:space="preserve"> </w:t>
      </w:r>
      <w:r w:rsidRPr="00C11FA3">
        <w:rPr>
          <w:rFonts w:cs="Arial"/>
          <w:rtl/>
        </w:rPr>
        <w:t>והר"ן כתב שם (יג. ד"ה אמר) שהרז"ה (שם ד"ה והא) כתב על דברי רש"י שלא היה צריך לכך</w:t>
      </w:r>
      <w:r w:rsidRPr="00C11FA3">
        <w:rPr>
          <w:rFonts w:cs="Arial" w:hint="cs"/>
          <w:rtl/>
        </w:rPr>
        <w:t>,</w:t>
      </w:r>
      <w:r w:rsidRPr="00C11FA3">
        <w:rPr>
          <w:rFonts w:cs="Arial"/>
          <w:rtl/>
        </w:rPr>
        <w:t xml:space="preserve"> כי ברור הוא דמודה רבי שמעון בכל מוקצה מחמת איסור שאין דעתו עליו כגון כוס וקערה ועששית (שבת מד.)</w:t>
      </w:r>
      <w:r w:rsidRPr="00C11FA3">
        <w:rPr>
          <w:rFonts w:cs="Arial" w:hint="cs"/>
          <w:rtl/>
        </w:rPr>
        <w:t>,</w:t>
      </w:r>
      <w:r w:rsidRPr="00C11FA3">
        <w:rPr>
          <w:rFonts w:cs="Arial"/>
          <w:rtl/>
        </w:rPr>
        <w:t xml:space="preserve"> ודבריו נראין לי עיקר אע</w:t>
      </w:r>
      <w:r w:rsidRPr="00C11FA3">
        <w:rPr>
          <w:rFonts w:cs="Arial" w:hint="cs"/>
          <w:rtl/>
        </w:rPr>
        <w:t>"</w:t>
      </w:r>
      <w:r w:rsidRPr="00C11FA3">
        <w:rPr>
          <w:rFonts w:cs="Arial"/>
          <w:rtl/>
        </w:rPr>
        <w:t>פ שחלק עליהם הרמב"ן ז"ל (מלחמות שם) עכ"ל</w:t>
      </w:r>
      <w:r w:rsidRPr="00C11FA3">
        <w:rPr>
          <w:rFonts w:cs="Arial" w:hint="cs"/>
          <w:sz w:val="16"/>
          <w:szCs w:val="16"/>
          <w:rtl/>
        </w:rPr>
        <w:t xml:space="preserve"> [הר"ן]</w:t>
      </w:r>
      <w:r w:rsidRPr="00C11FA3">
        <w:rPr>
          <w:rFonts w:cs="Arial" w:hint="cs"/>
          <w:rtl/>
        </w:rPr>
        <w:t>.</w:t>
      </w:r>
      <w:r w:rsidRPr="00C11FA3">
        <w:rPr>
          <w:rFonts w:cs="Arial"/>
          <w:rtl/>
        </w:rPr>
        <w:t xml:space="preserve"> ונראה דמהני טעמי איכא מוקצה בדבר המחוסר צידה אפילו לרבי שמעון</w:t>
      </w:r>
      <w:r w:rsidRPr="00C11FA3">
        <w:rPr>
          <w:rFonts w:cs="Arial" w:hint="cs"/>
          <w:rtl/>
        </w:rPr>
        <w:t>,</w:t>
      </w:r>
      <w:r w:rsidRPr="00C11FA3">
        <w:rPr>
          <w:rFonts w:cs="Arial"/>
          <w:rtl/>
        </w:rPr>
        <w:t xml:space="preserve"> וכמו שיתבאר בסימן שכ"ה (צו: ד"ה א"י) ועיין בסימן שי"ח (פא: דיבור ראשון)</w:t>
      </w:r>
      <w:r>
        <w:rPr>
          <w:rFonts w:cs="Arial" w:hint="cs"/>
          <w:rtl/>
        </w:rPr>
        <w:t>, ב"י.</w:t>
      </w:r>
    </w:p>
  </w:footnote>
  <w:footnote w:id="1829">
    <w:p w14:paraId="1D77A442" w14:textId="67EC2F52" w:rsidR="00796BDA" w:rsidRDefault="00796BDA" w:rsidP="00285819">
      <w:pPr>
        <w:pStyle w:val="a7"/>
        <w:rPr>
          <w:rtl/>
        </w:rPr>
      </w:pPr>
      <w:r>
        <w:rPr>
          <w:rStyle w:val="a9"/>
        </w:rPr>
        <w:footnoteRef/>
      </w:r>
      <w:r>
        <w:rPr>
          <w:rtl/>
        </w:rPr>
        <w:t xml:space="preserve"> </w:t>
      </w:r>
      <w:r w:rsidRPr="00796BDA">
        <w:rPr>
          <w:rFonts w:cs="Arial"/>
          <w:rtl/>
        </w:rPr>
        <w:t>וא"כ נר שהדליקו בה בשבת אסור לטלטלו</w:t>
      </w:r>
      <w:r>
        <w:rPr>
          <w:rFonts w:cs="Arial" w:hint="cs"/>
          <w:rtl/>
        </w:rPr>
        <w:t>.</w:t>
      </w:r>
      <w:r w:rsidRPr="00796BDA">
        <w:rPr>
          <w:rFonts w:cs="Arial"/>
          <w:rtl/>
        </w:rPr>
        <w:t xml:space="preserve"> ויש מתירין משום דהוי כגרף של רעי</w:t>
      </w:r>
      <w:r>
        <w:rPr>
          <w:rFonts w:cs="Arial" w:hint="cs"/>
          <w:rtl/>
        </w:rPr>
        <w:t>.</w:t>
      </w:r>
      <w:r w:rsidRPr="00796BDA">
        <w:rPr>
          <w:rFonts w:cs="Arial"/>
          <w:rtl/>
        </w:rPr>
        <w:t xml:space="preserve"> ואין זה נכון</w:t>
      </w:r>
      <w:r>
        <w:rPr>
          <w:rFonts w:cs="Arial" w:hint="cs"/>
          <w:rtl/>
        </w:rPr>
        <w:t>,</w:t>
      </w:r>
      <w:r w:rsidRPr="00796BDA">
        <w:rPr>
          <w:rFonts w:cs="Arial"/>
          <w:rtl/>
        </w:rPr>
        <w:t xml:space="preserve"> כי כל השוטים יאמרו דאנינו דעתייהו</w:t>
      </w:r>
      <w:r>
        <w:rPr>
          <w:rFonts w:cs="Arial" w:hint="cs"/>
          <w:rtl/>
        </w:rPr>
        <w:t>,</w:t>
      </w:r>
      <w:r w:rsidRPr="00796BDA">
        <w:rPr>
          <w:rFonts w:cs="Arial"/>
          <w:rtl/>
        </w:rPr>
        <w:t xml:space="preserve"> ואינו מותר אלא למי שהוא אסטניס</w:t>
      </w:r>
      <w:r>
        <w:rPr>
          <w:rFonts w:cs="Arial" w:hint="cs"/>
          <w:rtl/>
        </w:rPr>
        <w:t>.</w:t>
      </w:r>
      <w:r w:rsidRPr="00796BDA">
        <w:rPr>
          <w:rFonts w:cs="Arial"/>
          <w:rtl/>
        </w:rPr>
        <w:t xml:space="preserve"> והמחמיר לא הפסיד</w:t>
      </w:r>
      <w:r>
        <w:rPr>
          <w:rFonts w:hint="cs"/>
          <w:rtl/>
        </w:rPr>
        <w:t xml:space="preserve">, </w:t>
      </w:r>
      <w:r w:rsidRPr="00796BDA">
        <w:rPr>
          <w:rFonts w:hint="cs"/>
          <w:b/>
          <w:bCs/>
          <w:rtl/>
        </w:rPr>
        <w:t>מרדכי</w:t>
      </w:r>
      <w:r>
        <w:rPr>
          <w:rFonts w:hint="cs"/>
          <w:rtl/>
        </w:rPr>
        <w:t xml:space="preserve"> (סי' תרמב).</w:t>
      </w:r>
      <w:r w:rsidRPr="00796BDA">
        <w:rPr>
          <w:rFonts w:cs="Arial"/>
          <w:rtl/>
        </w:rPr>
        <w:t xml:space="preserve"> </w:t>
      </w:r>
      <w:r w:rsidRPr="003E5D2E">
        <w:rPr>
          <w:rFonts w:cs="Arial"/>
          <w:rtl/>
        </w:rPr>
        <w:t>ואני תמה על המתירים</w:t>
      </w:r>
      <w:r>
        <w:rPr>
          <w:rFonts w:cs="Arial" w:hint="cs"/>
          <w:rtl/>
        </w:rPr>
        <w:t>.</w:t>
      </w:r>
      <w:r w:rsidRPr="003E5D2E">
        <w:rPr>
          <w:rFonts w:cs="Arial"/>
          <w:rtl/>
        </w:rPr>
        <w:t xml:space="preserve"> וגם על מה שכתב </w:t>
      </w:r>
      <w:r>
        <w:rPr>
          <w:rFonts w:cs="Arial" w:hint="cs"/>
          <w:rtl/>
        </w:rPr>
        <w:t>'</w:t>
      </w:r>
      <w:r w:rsidRPr="003E5D2E">
        <w:rPr>
          <w:rFonts w:cs="Arial"/>
          <w:rtl/>
        </w:rPr>
        <w:t>ואין זה נכון</w:t>
      </w:r>
      <w:r>
        <w:rPr>
          <w:rFonts w:cs="Arial" w:hint="cs"/>
          <w:rtl/>
        </w:rPr>
        <w:t>'</w:t>
      </w:r>
      <w:r w:rsidRPr="003E5D2E">
        <w:rPr>
          <w:rFonts w:cs="Arial"/>
          <w:rtl/>
        </w:rPr>
        <w:t xml:space="preserve"> יש לתמוה שלא דחה דבריהם אלא במילי דחומרא בעלמא</w:t>
      </w:r>
      <w:r>
        <w:rPr>
          <w:rFonts w:hint="cs"/>
          <w:rtl/>
        </w:rPr>
        <w:t xml:space="preserve">, </w:t>
      </w:r>
      <w:r w:rsidRPr="00796BDA">
        <w:rPr>
          <w:rFonts w:hint="cs"/>
          <w:b/>
          <w:bCs/>
          <w:rtl/>
        </w:rPr>
        <w:t>ב"י</w:t>
      </w:r>
      <w:r>
        <w:rPr>
          <w:rFonts w:hint="cs"/>
          <w:rtl/>
        </w:rPr>
        <w:t>.</w:t>
      </w:r>
    </w:p>
  </w:footnote>
  <w:footnote w:id="1830">
    <w:p w14:paraId="79919BE2" w14:textId="77777777" w:rsidR="00836E4D" w:rsidRDefault="00836E4D" w:rsidP="00285819">
      <w:pPr>
        <w:pStyle w:val="a7"/>
      </w:pPr>
      <w:r>
        <w:rPr>
          <w:rStyle w:val="a9"/>
        </w:rPr>
        <w:footnoteRef/>
      </w:r>
      <w:r>
        <w:rPr>
          <w:rtl/>
        </w:rPr>
        <w:t xml:space="preserve"> </w:t>
      </w:r>
      <w:r>
        <w:rPr>
          <w:rFonts w:hint="cs"/>
          <w:rtl/>
        </w:rPr>
        <w:t>איחר.</w:t>
      </w:r>
    </w:p>
  </w:footnote>
  <w:footnote w:id="1831">
    <w:p w14:paraId="62161C12" w14:textId="77777777" w:rsidR="00836E4D" w:rsidRDefault="00836E4D" w:rsidP="00285819">
      <w:pPr>
        <w:pStyle w:val="a7"/>
      </w:pPr>
      <w:r>
        <w:rPr>
          <w:rStyle w:val="a9"/>
        </w:rPr>
        <w:footnoteRef/>
      </w:r>
      <w:r>
        <w:rPr>
          <w:rtl/>
        </w:rPr>
        <w:t xml:space="preserve"> </w:t>
      </w:r>
      <w:r w:rsidRPr="00454569">
        <w:rPr>
          <w:rFonts w:cs="Arial"/>
          <w:rtl/>
        </w:rPr>
        <w:t>ש"מ דרבי חייא הוא דאמר מה שביד עכו"ם א"צ הכנה דאל"כ לא הוה רב אומר כן</w:t>
      </w:r>
      <w:r>
        <w:rPr>
          <w:rFonts w:cs="Arial" w:hint="cs"/>
          <w:rtl/>
        </w:rPr>
        <w:t>, קרבן העדה.</w:t>
      </w:r>
    </w:p>
  </w:footnote>
  <w:footnote w:id="1832">
    <w:p w14:paraId="4FC037D8" w14:textId="79C5909F" w:rsidR="00F76A96" w:rsidRDefault="00F76A96" w:rsidP="00285819">
      <w:pPr>
        <w:pStyle w:val="a7"/>
      </w:pPr>
      <w:r>
        <w:rPr>
          <w:rStyle w:val="a9"/>
        </w:rPr>
        <w:footnoteRef/>
      </w:r>
      <w:r>
        <w:rPr>
          <w:rtl/>
        </w:rPr>
        <w:t xml:space="preserve"> </w:t>
      </w:r>
      <w:r w:rsidRPr="00F76A96">
        <w:rPr>
          <w:rFonts w:cs="Arial"/>
          <w:rtl/>
        </w:rPr>
        <w:t>תמרי דעיסקא כדי נסבה דהא אפילו בשל ישראל לא הוו מוקצה כמו שנתבאר</w:t>
      </w:r>
      <w:r w:rsidRPr="00F76A96">
        <w:rPr>
          <w:rFonts w:cs="Arial" w:hint="cs"/>
          <w:rtl/>
        </w:rPr>
        <w:t>, ב"י</w:t>
      </w:r>
      <w:r>
        <w:rPr>
          <w:rFonts w:cs="Arial" w:hint="cs"/>
          <w:rtl/>
        </w:rPr>
        <w:t>.</w:t>
      </w:r>
    </w:p>
  </w:footnote>
  <w:footnote w:id="1833">
    <w:p w14:paraId="120592C3" w14:textId="56E3313A" w:rsidR="00F76A96" w:rsidRDefault="00F76A96" w:rsidP="00285819">
      <w:pPr>
        <w:pStyle w:val="a7"/>
        <w:rPr>
          <w:rtl/>
        </w:rPr>
      </w:pPr>
      <w:r>
        <w:rPr>
          <w:rStyle w:val="a9"/>
        </w:rPr>
        <w:footnoteRef/>
      </w:r>
      <w:r>
        <w:rPr>
          <w:rtl/>
        </w:rPr>
        <w:t xml:space="preserve"> </w:t>
      </w:r>
      <w:r w:rsidRPr="00F76A96">
        <w:rPr>
          <w:rFonts w:cs="Arial"/>
          <w:rtl/>
        </w:rPr>
        <w:t>וכן כתב הר"ן בסוף פרק כל כתבי (מו: ד"ה עשה) אמתניתין דעשה כבש לירד בו ירד אחריו ישראל</w:t>
      </w:r>
      <w:r w:rsidRPr="00F76A96">
        <w:rPr>
          <w:rFonts w:hint="cs"/>
          <w:rtl/>
        </w:rPr>
        <w:t>, ב"י. וצל"ע מדוע הב"י לא הביא את המשך דברי הכל בו בשם הראב"ד</w:t>
      </w:r>
      <w:r>
        <w:rPr>
          <w:rFonts w:hint="cs"/>
          <w:rtl/>
        </w:rPr>
        <w:t>.</w:t>
      </w:r>
    </w:p>
  </w:footnote>
  <w:footnote w:id="1834">
    <w:p w14:paraId="48E9C879" w14:textId="5EA66211" w:rsidR="002D4002" w:rsidRDefault="002D4002" w:rsidP="00285819">
      <w:pPr>
        <w:pStyle w:val="a7"/>
      </w:pPr>
      <w:r>
        <w:rPr>
          <w:rStyle w:val="a9"/>
        </w:rPr>
        <w:footnoteRef/>
      </w:r>
      <w:r>
        <w:rPr>
          <w:rFonts w:cs="Arial" w:hint="cs"/>
          <w:rtl/>
        </w:rPr>
        <w:t xml:space="preserve"> </w:t>
      </w:r>
      <w:r w:rsidRPr="002B27A3">
        <w:rPr>
          <w:rFonts w:cs="Arial"/>
          <w:rtl/>
        </w:rPr>
        <w:t xml:space="preserve">ומכאן אתה דן לדברים התלושין שאפאן או צלאן או בשלן הנכרי לצרכו בדברים שאין בהם משום בשולי נכרים שמותרין לישראל ואין בהם משום מוקצה והוא שראוין מתחלתן לכוס הא אם אינן ראוין מוקצין הן ואסורין לפי שיש לו איסור מוקצה בשבת משום דלא חזי והיינו דאמרינן בפ"ק דחולין </w:t>
      </w:r>
      <w:r>
        <w:rPr>
          <w:rFonts w:cs="Arial" w:hint="cs"/>
          <w:rtl/>
        </w:rPr>
        <w:t>(</w:t>
      </w:r>
      <w:r w:rsidRPr="002B27A3">
        <w:rPr>
          <w:rFonts w:cs="Arial"/>
          <w:rtl/>
        </w:rPr>
        <w:t>טו</w:t>
      </w:r>
      <w:r>
        <w:rPr>
          <w:rFonts w:cs="Arial" w:hint="cs"/>
          <w:rtl/>
        </w:rPr>
        <w:t>:)</w:t>
      </w:r>
      <w:r w:rsidRPr="002B27A3">
        <w:rPr>
          <w:rFonts w:cs="Arial"/>
          <w:rtl/>
        </w:rPr>
        <w:t xml:space="preserve"> השוחט לחולה בשבת אסור לבריא</w:t>
      </w:r>
      <w:r>
        <w:rPr>
          <w:rFonts w:cs="Arial" w:hint="cs"/>
          <w:rtl/>
        </w:rPr>
        <w:t>,</w:t>
      </w:r>
      <w:r w:rsidRPr="002B27A3">
        <w:rPr>
          <w:rFonts w:cs="Arial"/>
          <w:rtl/>
        </w:rPr>
        <w:t xml:space="preserve"> המבשל לחולה בשבת מותר לבריא</w:t>
      </w:r>
      <w:r>
        <w:rPr>
          <w:rFonts w:cs="Arial" w:hint="cs"/>
          <w:rtl/>
        </w:rPr>
        <w:t>,</w:t>
      </w:r>
      <w:r w:rsidRPr="002B27A3">
        <w:rPr>
          <w:rFonts w:cs="Arial"/>
          <w:rtl/>
        </w:rPr>
        <w:t xml:space="preserve"> מ"ט האי ראוי לכוס והאי אינו ראוי לכוס</w:t>
      </w:r>
      <w:r>
        <w:rPr>
          <w:rFonts w:cs="Arial" w:hint="cs"/>
          <w:rtl/>
        </w:rPr>
        <w:t>, ר"ן (שם).</w:t>
      </w:r>
    </w:p>
  </w:footnote>
  <w:footnote w:id="1835">
    <w:p w14:paraId="6F7E472F" w14:textId="60FB830B" w:rsidR="00F61A49" w:rsidRDefault="00F61A49" w:rsidP="00285819">
      <w:pPr>
        <w:pStyle w:val="a7"/>
        <w:rPr>
          <w:rtl/>
        </w:rPr>
      </w:pPr>
      <w:r>
        <w:rPr>
          <w:rStyle w:val="a9"/>
        </w:rPr>
        <w:footnoteRef/>
      </w:r>
      <w:r>
        <w:rPr>
          <w:rtl/>
        </w:rPr>
        <w:t xml:space="preserve"> </w:t>
      </w:r>
      <w:r w:rsidRPr="00F61A49">
        <w:rPr>
          <w:rFonts w:cs="Arial"/>
          <w:rtl/>
        </w:rPr>
        <w:t>ועיין במאירי שכתב דדוקא כשלא היו הזרעים עדיין מכוסין בעפר ועיין לקמן בסימן שי"א ס"ח ובמ"ב שם סקכ"ז</w:t>
      </w:r>
      <w:r>
        <w:rPr>
          <w:rFonts w:hint="cs"/>
          <w:rtl/>
        </w:rPr>
        <w:t>, משנ"ב (סק"ו).</w:t>
      </w:r>
    </w:p>
  </w:footnote>
  <w:footnote w:id="1836">
    <w:p w14:paraId="15C767C3" w14:textId="6EA29DD0" w:rsidR="000032EE" w:rsidRDefault="000032EE" w:rsidP="00285819">
      <w:pPr>
        <w:pStyle w:val="a7"/>
      </w:pPr>
      <w:r>
        <w:rPr>
          <w:rStyle w:val="a9"/>
        </w:rPr>
        <w:footnoteRef/>
      </w:r>
      <w:r>
        <w:rPr>
          <w:rtl/>
        </w:rPr>
        <w:t xml:space="preserve"> </w:t>
      </w:r>
      <w:r w:rsidRPr="000032EE">
        <w:rPr>
          <w:rFonts w:cs="Arial"/>
          <w:rtl/>
        </w:rPr>
        <w:t>דאי השרישו היה חייב משום עוקר דבר מגידולו</w:t>
      </w:r>
      <w:r>
        <w:rPr>
          <w:rFonts w:cs="Arial" w:hint="cs"/>
          <w:rtl/>
        </w:rPr>
        <w:t>, משנ"ב (סק"ז).</w:t>
      </w:r>
    </w:p>
  </w:footnote>
  <w:footnote w:id="1837">
    <w:p w14:paraId="16AD0D4F" w14:textId="6D47E2E0" w:rsidR="00AA5272" w:rsidRDefault="00AA5272" w:rsidP="00285819">
      <w:pPr>
        <w:pStyle w:val="a7"/>
      </w:pPr>
      <w:r>
        <w:rPr>
          <w:rStyle w:val="a9"/>
        </w:rPr>
        <w:footnoteRef/>
      </w:r>
      <w:r>
        <w:rPr>
          <w:rtl/>
        </w:rPr>
        <w:t xml:space="preserve"> </w:t>
      </w:r>
      <w:r w:rsidRPr="00AA5272">
        <w:rPr>
          <w:rFonts w:cs="Arial"/>
          <w:rtl/>
        </w:rPr>
        <w:t>ר"ל דאף שהעלה ה</w:t>
      </w:r>
      <w:r>
        <w:rPr>
          <w:rFonts w:cs="Arial" w:hint="cs"/>
          <w:rtl/>
        </w:rPr>
        <w:t>גו</w:t>
      </w:r>
      <w:r w:rsidRPr="00AA5272">
        <w:rPr>
          <w:rFonts w:cs="Arial"/>
          <w:rtl/>
        </w:rPr>
        <w:t>י מבע"י ליבשן ודחיין בידים מ"מ לא חל עלייהו שם מוקצה</w:t>
      </w:r>
      <w:r>
        <w:rPr>
          <w:rFonts w:cs="Arial" w:hint="cs"/>
          <w:rtl/>
        </w:rPr>
        <w:t>.</w:t>
      </w:r>
      <w:r w:rsidRPr="00AA5272">
        <w:rPr>
          <w:rFonts w:cs="Arial"/>
          <w:rtl/>
        </w:rPr>
        <w:t xml:space="preserve"> ועיין בספר בית מאיר שמפקפק בזה מאד כיון דדחייה בידים ולא חזי לאכילה אטו משום ד</w:t>
      </w:r>
      <w:r>
        <w:rPr>
          <w:rFonts w:cs="Arial" w:hint="cs"/>
          <w:rtl/>
        </w:rPr>
        <w:t>גוי</w:t>
      </w:r>
      <w:r w:rsidRPr="00AA5272">
        <w:rPr>
          <w:rFonts w:cs="Arial"/>
          <w:rtl/>
        </w:rPr>
        <w:t xml:space="preserve"> הוא נותן דעתו יותר לזה</w:t>
      </w:r>
      <w:r>
        <w:rPr>
          <w:rFonts w:cs="Arial" w:hint="cs"/>
          <w:rtl/>
        </w:rPr>
        <w:t>.</w:t>
      </w:r>
      <w:r w:rsidRPr="00AA5272">
        <w:rPr>
          <w:rFonts w:cs="Arial"/>
          <w:rtl/>
        </w:rPr>
        <w:t xml:space="preserve"> וע"ש שמאריך בזה</w:t>
      </w:r>
      <w:r>
        <w:rPr>
          <w:rFonts w:cs="Arial" w:hint="cs"/>
          <w:rtl/>
        </w:rPr>
        <w:t>.</w:t>
      </w:r>
      <w:r w:rsidRPr="00AA5272">
        <w:rPr>
          <w:rFonts w:cs="Arial"/>
          <w:rtl/>
        </w:rPr>
        <w:t xml:space="preserve"> והגר"ז סובר ג"כ כהבית מאיר</w:t>
      </w:r>
      <w:r>
        <w:rPr>
          <w:rFonts w:cs="Arial" w:hint="cs"/>
          <w:rtl/>
        </w:rPr>
        <w:t>,</w:t>
      </w:r>
      <w:r w:rsidRPr="00AA5272">
        <w:rPr>
          <w:rFonts w:cs="Arial"/>
          <w:rtl/>
        </w:rPr>
        <w:t xml:space="preserve"> וע"כ מפרש דמיירי השו"ע דוקא בגרוגרות וצמוקין דחזו ולא חזו</w:t>
      </w:r>
      <w:r>
        <w:rPr>
          <w:rFonts w:cs="Arial" w:hint="cs"/>
          <w:rtl/>
        </w:rPr>
        <w:t>,</w:t>
      </w:r>
      <w:r w:rsidRPr="00AA5272">
        <w:rPr>
          <w:rFonts w:cs="Arial"/>
          <w:rtl/>
        </w:rPr>
        <w:t xml:space="preserve"> וכדלקמן בס"ה דפוסק השו"ע שם דמהני הזמנה</w:t>
      </w:r>
      <w:r>
        <w:rPr>
          <w:rFonts w:cs="Arial" w:hint="cs"/>
          <w:rtl/>
        </w:rPr>
        <w:t>,</w:t>
      </w:r>
      <w:r w:rsidRPr="00AA5272">
        <w:rPr>
          <w:rFonts w:cs="Arial"/>
          <w:rtl/>
        </w:rPr>
        <w:t xml:space="preserve"> בזה פסק הכלבו דב</w:t>
      </w:r>
      <w:r>
        <w:rPr>
          <w:rFonts w:cs="Arial" w:hint="cs"/>
          <w:rtl/>
        </w:rPr>
        <w:t>גוי</w:t>
      </w:r>
      <w:r w:rsidRPr="00AA5272">
        <w:rPr>
          <w:rFonts w:cs="Arial"/>
          <w:rtl/>
        </w:rPr>
        <w:t xml:space="preserve"> אפילו אי לא הזמין מהני דאינו מקצה מדעתו</w:t>
      </w:r>
      <w:r>
        <w:rPr>
          <w:rFonts w:cs="Arial" w:hint="cs"/>
          <w:rtl/>
        </w:rPr>
        <w:t>,</w:t>
      </w:r>
      <w:r w:rsidRPr="00AA5272">
        <w:rPr>
          <w:rFonts w:cs="Arial"/>
          <w:rtl/>
        </w:rPr>
        <w:t xml:space="preserve"> אבל אי לא חזו לגמרי דקי"ל דאפילו הזמנה לא מהני בישראל בזה אין נ"מ בין ישראל ל</w:t>
      </w:r>
      <w:r>
        <w:rPr>
          <w:rFonts w:cs="Arial" w:hint="cs"/>
          <w:rtl/>
        </w:rPr>
        <w:t>גוי, משנ"ב (סקי"ג).</w:t>
      </w:r>
    </w:p>
  </w:footnote>
  <w:footnote w:id="1838">
    <w:p w14:paraId="58331B3A" w14:textId="3FF987EB" w:rsidR="00186E81" w:rsidRDefault="00186E81" w:rsidP="00285819">
      <w:pPr>
        <w:pStyle w:val="a7"/>
        <w:rPr>
          <w:rtl/>
        </w:rPr>
      </w:pPr>
      <w:r>
        <w:rPr>
          <w:rStyle w:val="a9"/>
        </w:rPr>
        <w:footnoteRef/>
      </w:r>
      <w:r>
        <w:rPr>
          <w:rtl/>
        </w:rPr>
        <w:t xml:space="preserve"> </w:t>
      </w:r>
      <w:r w:rsidRPr="00186E81">
        <w:rPr>
          <w:rFonts w:cs="Arial"/>
          <w:rtl/>
        </w:rPr>
        <w:t>משום חצי שבת, אם הוקצה בחציו - מי הוי מוקצה לכולי שבת, אם לא?</w:t>
      </w:r>
      <w:r>
        <w:rPr>
          <w:rFonts w:hint="cs"/>
          <w:rtl/>
        </w:rPr>
        <w:t>, רש"י.</w:t>
      </w:r>
    </w:p>
  </w:footnote>
  <w:footnote w:id="1839">
    <w:p w14:paraId="47D2B5E1" w14:textId="5472BDDB" w:rsidR="00186E81" w:rsidRDefault="00186E81" w:rsidP="00285819">
      <w:pPr>
        <w:pStyle w:val="a7"/>
        <w:rPr>
          <w:rtl/>
        </w:rPr>
      </w:pPr>
      <w:r>
        <w:rPr>
          <w:rStyle w:val="a9"/>
        </w:rPr>
        <w:footnoteRef/>
      </w:r>
      <w:r>
        <w:rPr>
          <w:rtl/>
        </w:rPr>
        <w:t xml:space="preserve"> </w:t>
      </w:r>
      <w:r w:rsidRPr="00186E81">
        <w:rPr>
          <w:rFonts w:cs="Arial"/>
          <w:rtl/>
        </w:rPr>
        <w:t>מכדי סתם מוקצה היינו גרוגרות וצמוקין, שמעלה אותן על מנת ליבשן, ומקצה אותן לכך ומשמתחילין ליבש - אין ראוין לאכילה עד שייבשו לגמרי, והא חצי שבת דקא אמרת, היכי מספקא לך?</w:t>
      </w:r>
      <w:r>
        <w:rPr>
          <w:rFonts w:hint="cs"/>
          <w:rtl/>
        </w:rPr>
        <w:t>, רש"י.</w:t>
      </w:r>
    </w:p>
  </w:footnote>
  <w:footnote w:id="1840">
    <w:p w14:paraId="4BBCBBCF" w14:textId="2E1CD261" w:rsidR="00186E81" w:rsidRDefault="00186E81" w:rsidP="00285819">
      <w:pPr>
        <w:pStyle w:val="a7"/>
        <w:rPr>
          <w:rtl/>
        </w:rPr>
      </w:pPr>
      <w:r>
        <w:rPr>
          <w:rStyle w:val="a9"/>
        </w:rPr>
        <w:footnoteRef/>
      </w:r>
      <w:r>
        <w:rPr>
          <w:rtl/>
        </w:rPr>
        <w:t xml:space="preserve"> </w:t>
      </w:r>
      <w:r w:rsidRPr="00186E81">
        <w:rPr>
          <w:rFonts w:cs="Arial"/>
          <w:rtl/>
        </w:rPr>
        <w:t>שנגמרה מלאכתן - בין השמשות אחזו, ואין כאן אפילו חצי שבת בהקצאה כלל</w:t>
      </w:r>
      <w:r>
        <w:rPr>
          <w:rFonts w:hint="cs"/>
          <w:rtl/>
        </w:rPr>
        <w:t>, רש"י.</w:t>
      </w:r>
    </w:p>
  </w:footnote>
  <w:footnote w:id="1841">
    <w:p w14:paraId="2AC7D353" w14:textId="762F94B4" w:rsidR="00186E81" w:rsidRDefault="00186E81" w:rsidP="00285819">
      <w:pPr>
        <w:pStyle w:val="a7"/>
      </w:pPr>
      <w:r>
        <w:rPr>
          <w:rStyle w:val="a9"/>
        </w:rPr>
        <w:footnoteRef/>
      </w:r>
      <w:r>
        <w:rPr>
          <w:rtl/>
        </w:rPr>
        <w:t xml:space="preserve"> </w:t>
      </w:r>
      <w:r w:rsidRPr="00186E81">
        <w:rPr>
          <w:rFonts w:cs="Arial"/>
          <w:rtl/>
        </w:rPr>
        <w:t>בין השמשות - ודאי אסורין, דאין כאן הכנה מבעוד יום, ומאן דאית ליה מוקצה - הכנה מבעוד יום בעי, כדכתיב ביום הששי והכינו את אשר יביאו (שמות טז)</w:t>
      </w:r>
      <w:r>
        <w:rPr>
          <w:rFonts w:cs="Arial" w:hint="cs"/>
          <w:rtl/>
        </w:rPr>
        <w:t>, רש"י.</w:t>
      </w:r>
    </w:p>
  </w:footnote>
  <w:footnote w:id="1842">
    <w:p w14:paraId="2D9A664E" w14:textId="0C1F9FC5" w:rsidR="00186E81" w:rsidRDefault="00186E81" w:rsidP="00285819">
      <w:pPr>
        <w:pStyle w:val="a7"/>
        <w:rPr>
          <w:rtl/>
        </w:rPr>
      </w:pPr>
      <w:r>
        <w:rPr>
          <w:rStyle w:val="a9"/>
        </w:rPr>
        <w:footnoteRef/>
      </w:r>
      <w:r>
        <w:rPr>
          <w:rtl/>
        </w:rPr>
        <w:t xml:space="preserve"> </w:t>
      </w:r>
      <w:r w:rsidRPr="00186E81">
        <w:rPr>
          <w:rFonts w:cs="Arial"/>
          <w:rtl/>
        </w:rPr>
        <w:t>בין השמשות, ואדחו - בשבת, שנפלה עליהן גשמים ותפחו, והדר אחזו - ששזפתן השמש, וקא מיבעיא לן: הך שעתא דאתקצו, מי אסרה להו כולי יומא או לא?</w:t>
      </w:r>
      <w:r>
        <w:rPr>
          <w:rFonts w:hint="cs"/>
          <w:rtl/>
        </w:rPr>
        <w:t>, רש"י.</w:t>
      </w:r>
    </w:p>
  </w:footnote>
  <w:footnote w:id="1843">
    <w:p w14:paraId="03122ED6" w14:textId="01F7A848" w:rsidR="00F300AD" w:rsidRDefault="00F300AD" w:rsidP="00285819">
      <w:pPr>
        <w:pStyle w:val="a7"/>
      </w:pPr>
      <w:r>
        <w:rPr>
          <w:rStyle w:val="a9"/>
        </w:rPr>
        <w:footnoteRef/>
      </w:r>
      <w:r>
        <w:rPr>
          <w:rtl/>
        </w:rPr>
        <w:t xml:space="preserve"> </w:t>
      </w:r>
      <w:r w:rsidRPr="00F300AD">
        <w:rPr>
          <w:rFonts w:cs="Arial"/>
          <w:rtl/>
        </w:rPr>
        <w:t>אין הבעלים יודעים שיבש, שלא בדקוהו מבעוד יום, ולמחר מצאוהו שיבש היה מאתמול</w:t>
      </w:r>
      <w:r>
        <w:rPr>
          <w:rFonts w:cs="Arial" w:hint="cs"/>
          <w:rtl/>
        </w:rPr>
        <w:t>, רש"י.</w:t>
      </w:r>
    </w:p>
  </w:footnote>
  <w:footnote w:id="1844">
    <w:p w14:paraId="29492E71" w14:textId="557839F9" w:rsidR="00F300AD" w:rsidRDefault="00F300AD" w:rsidP="00285819">
      <w:pPr>
        <w:pStyle w:val="a7"/>
      </w:pPr>
      <w:r>
        <w:rPr>
          <w:rStyle w:val="a9"/>
        </w:rPr>
        <w:footnoteRef/>
      </w:r>
      <w:r>
        <w:rPr>
          <w:rtl/>
        </w:rPr>
        <w:t xml:space="preserve"> </w:t>
      </w:r>
      <w:r w:rsidRPr="00F300AD">
        <w:rPr>
          <w:rFonts w:cs="Arial"/>
          <w:rtl/>
        </w:rPr>
        <w:t>דכי אסקיה מעיקרא לא אקצייה אלא ליבש, והרי יבש והוכן מבעוד יום, כך פירש רב אחאי בשאלתות שלו</w:t>
      </w:r>
      <w:r>
        <w:rPr>
          <w:rFonts w:cs="Arial" w:hint="cs"/>
          <w:rtl/>
        </w:rPr>
        <w:t>, רש"י.</w:t>
      </w:r>
    </w:p>
  </w:footnote>
  <w:footnote w:id="1845">
    <w:p w14:paraId="40682051" w14:textId="14E388FB" w:rsidR="003A4452" w:rsidRPr="00A70789" w:rsidRDefault="003A4452" w:rsidP="00285819">
      <w:pPr>
        <w:pStyle w:val="a7"/>
        <w:rPr>
          <w:rFonts w:cs="Arial"/>
        </w:rPr>
      </w:pPr>
      <w:r>
        <w:rPr>
          <w:rStyle w:val="a9"/>
        </w:rPr>
        <w:footnoteRef/>
      </w:r>
      <w:r>
        <w:rPr>
          <w:rtl/>
        </w:rPr>
        <w:t xml:space="preserve"> </w:t>
      </w:r>
      <w:r w:rsidRPr="00132526">
        <w:rPr>
          <w:rFonts w:cs="Arial"/>
          <w:rtl/>
        </w:rPr>
        <w:t>ודבריו תמוהים דהא אמרינן בגמרא פרק כירה (מה.) דשאר פירות בר מגרוגרות וצמוקים לית בהו מוקצה</w:t>
      </w:r>
      <w:r w:rsidR="00516194">
        <w:rPr>
          <w:rFonts w:cs="Arial" w:hint="cs"/>
          <w:rtl/>
        </w:rPr>
        <w:t>,</w:t>
      </w:r>
      <w:r w:rsidRPr="00132526">
        <w:rPr>
          <w:rFonts w:cs="Arial"/>
          <w:rtl/>
        </w:rPr>
        <w:t xml:space="preserve"> ואם כן למה הוצרך ליתן טעם מפני שגמרו בידי אדם</w:t>
      </w:r>
      <w:r w:rsidR="00516194">
        <w:rPr>
          <w:rFonts w:cs="Arial" w:hint="cs"/>
          <w:rtl/>
        </w:rPr>
        <w:t>.</w:t>
      </w:r>
      <w:r w:rsidRPr="00132526">
        <w:rPr>
          <w:rFonts w:cs="Arial"/>
          <w:rtl/>
        </w:rPr>
        <w:t xml:space="preserve"> ועוד דהני ודאי לא הוי גמרו בידי אדם</w:t>
      </w:r>
      <w:r>
        <w:rPr>
          <w:rFonts w:cs="Arial" w:hint="cs"/>
          <w:rtl/>
        </w:rPr>
        <w:t xml:space="preserve">, </w:t>
      </w:r>
      <w:r w:rsidRPr="00A70789">
        <w:rPr>
          <w:rFonts w:cs="Arial" w:hint="cs"/>
          <w:b/>
          <w:bCs/>
          <w:rtl/>
        </w:rPr>
        <w:t>ב"י</w:t>
      </w:r>
      <w:r>
        <w:rPr>
          <w:rFonts w:cs="Arial" w:hint="cs"/>
          <w:rtl/>
        </w:rPr>
        <w:t>.</w:t>
      </w:r>
      <w:r w:rsidR="00516194">
        <w:rPr>
          <w:rFonts w:hint="cs"/>
          <w:rtl/>
        </w:rPr>
        <w:t xml:space="preserve"> </w:t>
      </w:r>
      <w:r w:rsidR="00A70789">
        <w:rPr>
          <w:rFonts w:cs="Arial" w:hint="cs"/>
          <w:rtl/>
        </w:rPr>
        <w:t>ו</w:t>
      </w:r>
      <w:r w:rsidR="00516194" w:rsidRPr="00516194">
        <w:rPr>
          <w:rFonts w:cs="Arial"/>
          <w:rtl/>
        </w:rPr>
        <w:t>כתבו הפוסקים</w:t>
      </w:r>
      <w:r w:rsidR="00A70789">
        <w:rPr>
          <w:rFonts w:cs="Arial" w:hint="cs"/>
          <w:rtl/>
        </w:rPr>
        <w:t xml:space="preserve"> (מאמר מרדכי חמד משה ולבושי שרד)</w:t>
      </w:r>
      <w:r w:rsidR="00516194" w:rsidRPr="00516194">
        <w:rPr>
          <w:rFonts w:cs="Arial"/>
          <w:rtl/>
        </w:rPr>
        <w:t xml:space="preserve"> </w:t>
      </w:r>
      <w:r w:rsidR="00A70789">
        <w:rPr>
          <w:rFonts w:cs="Arial" w:hint="cs"/>
          <w:rtl/>
        </w:rPr>
        <w:t>ד</w:t>
      </w:r>
      <w:r w:rsidR="00516194" w:rsidRPr="00516194">
        <w:rPr>
          <w:rFonts w:cs="Arial"/>
          <w:rtl/>
        </w:rPr>
        <w:t>אימתי אמרינן דאתקצאי לבין השמשות</w:t>
      </w:r>
      <w:r w:rsidR="00A70789">
        <w:rPr>
          <w:rFonts w:cs="Arial" w:hint="cs"/>
          <w:rtl/>
        </w:rPr>
        <w:t>,</w:t>
      </w:r>
      <w:r w:rsidR="00516194" w:rsidRPr="00516194">
        <w:rPr>
          <w:rFonts w:cs="Arial"/>
          <w:rtl/>
        </w:rPr>
        <w:t xml:space="preserve"> דוקא דברים שגמרו בידי שמים</w:t>
      </w:r>
      <w:r w:rsidR="00A70789">
        <w:rPr>
          <w:rFonts w:cs="Arial" w:hint="cs"/>
          <w:rtl/>
        </w:rPr>
        <w:t>,</w:t>
      </w:r>
      <w:r w:rsidR="00516194" w:rsidRPr="00516194">
        <w:rPr>
          <w:rFonts w:cs="Arial"/>
          <w:rtl/>
        </w:rPr>
        <w:t xml:space="preserve"> כגון גרוגרות דאין נגמרין אלא ע"י חום החמה ושמא יהיה יום ענן בשבת ואסח דעתיה מנייהו</w:t>
      </w:r>
      <w:r w:rsidR="00A70789">
        <w:rPr>
          <w:rFonts w:cs="Arial" w:hint="cs"/>
          <w:rtl/>
        </w:rPr>
        <w:t>.</w:t>
      </w:r>
      <w:r w:rsidR="00516194" w:rsidRPr="00516194">
        <w:rPr>
          <w:rFonts w:cs="Arial"/>
          <w:rtl/>
        </w:rPr>
        <w:t xml:space="preserve"> אבל דבר שנגמר בידי אדם</w:t>
      </w:r>
      <w:r w:rsidR="00A70789">
        <w:rPr>
          <w:rFonts w:cs="Arial" w:hint="cs"/>
          <w:rtl/>
        </w:rPr>
        <w:t>,</w:t>
      </w:r>
      <w:r w:rsidR="00516194" w:rsidRPr="00516194">
        <w:rPr>
          <w:rFonts w:cs="Arial"/>
          <w:rtl/>
        </w:rPr>
        <w:t xml:space="preserve"> כגון תמרים שנתן עליהם מים בע"ש</w:t>
      </w:r>
      <w:r w:rsidR="00A70789">
        <w:rPr>
          <w:rFonts w:cs="Arial" w:hint="cs"/>
          <w:rtl/>
        </w:rPr>
        <w:t>,</w:t>
      </w:r>
      <w:r w:rsidR="00516194" w:rsidRPr="00516194">
        <w:rPr>
          <w:rFonts w:cs="Arial"/>
          <w:rtl/>
        </w:rPr>
        <w:t xml:space="preserve"> אף דבודאי אינם ראוים בבין השמשות לא התמרים ולא המים דהא לא קלטו טעם התמרים שיהו ראוין לשתיה</w:t>
      </w:r>
      <w:r w:rsidR="00A70789">
        <w:rPr>
          <w:rFonts w:cs="Arial" w:hint="cs"/>
          <w:rtl/>
        </w:rPr>
        <w:t>,</w:t>
      </w:r>
      <w:r w:rsidR="00516194" w:rsidRPr="00516194">
        <w:rPr>
          <w:rFonts w:cs="Arial"/>
          <w:rtl/>
        </w:rPr>
        <w:t xml:space="preserve"> וגם התמרים לע"ע לא חזיין </w:t>
      </w:r>
      <w:r w:rsidR="00A70789">
        <w:rPr>
          <w:rFonts w:cs="Arial" w:hint="cs"/>
          <w:rtl/>
        </w:rPr>
        <w:t xml:space="preserve">- </w:t>
      </w:r>
      <w:r w:rsidR="00516194" w:rsidRPr="00516194">
        <w:rPr>
          <w:rFonts w:cs="Arial"/>
          <w:rtl/>
        </w:rPr>
        <w:t>אפ"ה לא אסח דעתיה מנייהו על יום השבת שיהא מוקצה מחמת זה</w:t>
      </w:r>
      <w:r w:rsidR="00A70789">
        <w:rPr>
          <w:rFonts w:cs="Arial" w:hint="cs"/>
          <w:rtl/>
        </w:rPr>
        <w:t>,</w:t>
      </w:r>
      <w:r w:rsidR="00516194" w:rsidRPr="00516194">
        <w:rPr>
          <w:rFonts w:cs="Arial"/>
          <w:rtl/>
        </w:rPr>
        <w:t xml:space="preserve"> דהא בידו להשהותן עד למחר שיקלטו טעם התמרים</w:t>
      </w:r>
      <w:r w:rsidR="00A70789">
        <w:rPr>
          <w:rFonts w:cs="Arial" w:hint="cs"/>
          <w:rtl/>
        </w:rPr>
        <w:t xml:space="preserve">, </w:t>
      </w:r>
      <w:r w:rsidR="00A70789" w:rsidRPr="00A70789">
        <w:rPr>
          <w:rFonts w:cs="Arial" w:hint="cs"/>
          <w:b/>
          <w:bCs/>
          <w:rtl/>
        </w:rPr>
        <w:t>משנ"ב</w:t>
      </w:r>
      <w:r w:rsidR="00A70789">
        <w:rPr>
          <w:rFonts w:cs="Arial" w:hint="cs"/>
          <w:rtl/>
        </w:rPr>
        <w:t xml:space="preserve"> (סקי"ט). </w:t>
      </w:r>
      <w:r w:rsidR="00A70789">
        <w:rPr>
          <w:rFonts w:hint="cs"/>
          <w:rtl/>
        </w:rPr>
        <w:t xml:space="preserve">וכתבו </w:t>
      </w:r>
      <w:r w:rsidR="00A70789">
        <w:rPr>
          <w:rFonts w:cs="Arial" w:hint="cs"/>
          <w:rtl/>
        </w:rPr>
        <w:t>כן</w:t>
      </w:r>
      <w:r w:rsidR="00A70789" w:rsidRPr="00516194">
        <w:rPr>
          <w:rFonts w:cs="Arial"/>
          <w:rtl/>
        </w:rPr>
        <w:t xml:space="preserve"> לישב דברי הכל בו</w:t>
      </w:r>
      <w:r w:rsidR="00A70789">
        <w:rPr>
          <w:rFonts w:cs="Arial" w:hint="cs"/>
          <w:rtl/>
        </w:rPr>
        <w:t xml:space="preserve"> מהשגת הב"י...</w:t>
      </w:r>
      <w:r w:rsidR="00A70789" w:rsidRPr="00516194">
        <w:rPr>
          <w:rFonts w:cs="Arial"/>
          <w:rtl/>
        </w:rPr>
        <w:t xml:space="preserve"> ואמרו דדבר זה הוה אמינא דהוא כגרוגרות וצמוקין, דהא דחיין בידים ולא חזי, קא משמע לן דזה מקרי גמרו בידי אדם וכמו שכתבנו</w:t>
      </w:r>
      <w:r w:rsidR="00A70789">
        <w:rPr>
          <w:rFonts w:cs="Arial" w:hint="cs"/>
          <w:rtl/>
        </w:rPr>
        <w:t xml:space="preserve">, </w:t>
      </w:r>
      <w:r w:rsidR="00A70789" w:rsidRPr="00A70789">
        <w:rPr>
          <w:rFonts w:cs="Arial" w:hint="cs"/>
          <w:b/>
          <w:bCs/>
          <w:rtl/>
        </w:rPr>
        <w:t>שער הציון</w:t>
      </w:r>
      <w:r w:rsidR="00A70789">
        <w:rPr>
          <w:rFonts w:cs="Arial" w:hint="cs"/>
          <w:rtl/>
        </w:rPr>
        <w:t xml:space="preserve"> (סקט"ז).</w:t>
      </w:r>
    </w:p>
  </w:footnote>
  <w:footnote w:id="1846">
    <w:p w14:paraId="01201BCC" w14:textId="77777777" w:rsidR="00663B43" w:rsidRDefault="00663B43" w:rsidP="00285819">
      <w:pPr>
        <w:pStyle w:val="a7"/>
      </w:pPr>
      <w:r>
        <w:rPr>
          <w:rStyle w:val="a9"/>
        </w:rPr>
        <w:footnoteRef/>
      </w:r>
      <w:r>
        <w:rPr>
          <w:rtl/>
        </w:rPr>
        <w:t xml:space="preserve"> </w:t>
      </w:r>
      <w:r w:rsidRPr="00E166F9">
        <w:rPr>
          <w:rFonts w:cs="Arial"/>
          <w:rtl/>
        </w:rPr>
        <w:t>ואע</w:t>
      </w:r>
      <w:r>
        <w:rPr>
          <w:rFonts w:cs="Arial" w:hint="cs"/>
          <w:rtl/>
        </w:rPr>
        <w:t>"</w:t>
      </w:r>
      <w:r w:rsidRPr="00E166F9">
        <w:rPr>
          <w:rFonts w:cs="Arial"/>
          <w:rtl/>
        </w:rPr>
        <w:t>ג דהיא אינה ניטלת - מטלטלין את הכלי לצורכה, ולאפוקי מדרבי יצחק, דאמר (שבת מג</w:t>
      </w:r>
      <w:r>
        <w:rPr>
          <w:rFonts w:cs="Arial" w:hint="cs"/>
          <w:rtl/>
        </w:rPr>
        <w:t>.)</w:t>
      </w:r>
      <w:r w:rsidRPr="00E166F9">
        <w:rPr>
          <w:rFonts w:cs="Arial"/>
          <w:rtl/>
        </w:rPr>
        <w:t>: אין כלי ניטל אלא לדבר הניטל בשבת, ואיהו מוקי לה בצריך למקומו של כלי</w:t>
      </w:r>
      <w:r>
        <w:rPr>
          <w:rFonts w:cs="Arial" w:hint="cs"/>
          <w:rtl/>
        </w:rPr>
        <w:t>, רש"י.</w:t>
      </w:r>
    </w:p>
  </w:footnote>
  <w:footnote w:id="1847">
    <w:p w14:paraId="64C0D500" w14:textId="77777777" w:rsidR="00B05450" w:rsidRDefault="00B05450" w:rsidP="00285819">
      <w:pPr>
        <w:pStyle w:val="a7"/>
        <w:rPr>
          <w:rtl/>
        </w:rPr>
      </w:pPr>
      <w:r>
        <w:rPr>
          <w:rStyle w:val="a9"/>
        </w:rPr>
        <w:footnoteRef/>
      </w:r>
      <w:r>
        <w:rPr>
          <w:rtl/>
        </w:rPr>
        <w:t xml:space="preserve"> </w:t>
      </w:r>
      <w:r w:rsidRPr="00AD4DF7">
        <w:rPr>
          <w:rFonts w:cs="Arial"/>
          <w:rtl/>
        </w:rPr>
        <w:t>וכ</w:t>
      </w:r>
      <w:r>
        <w:rPr>
          <w:rFonts w:cs="Arial" w:hint="cs"/>
          <w:rtl/>
        </w:rPr>
        <w:t xml:space="preserve">ן </w:t>
      </w:r>
      <w:r w:rsidRPr="00AD4DF7">
        <w:rPr>
          <w:rFonts w:cs="Arial"/>
          <w:rtl/>
        </w:rPr>
        <w:t>ה</w:t>
      </w:r>
      <w:r>
        <w:rPr>
          <w:rFonts w:cs="Arial" w:hint="cs"/>
          <w:rtl/>
        </w:rPr>
        <w:t>וא</w:t>
      </w:r>
      <w:r w:rsidRPr="00AD4DF7">
        <w:rPr>
          <w:rFonts w:cs="Arial"/>
          <w:rtl/>
        </w:rPr>
        <w:t xml:space="preserve"> בשבת פ"ד ה"ב</w:t>
      </w:r>
      <w:r>
        <w:rPr>
          <w:rFonts w:hint="cs"/>
          <w:rtl/>
        </w:rPr>
        <w:t>.</w:t>
      </w:r>
    </w:p>
  </w:footnote>
  <w:footnote w:id="1848">
    <w:p w14:paraId="54B83E23" w14:textId="77777777" w:rsidR="00B05450" w:rsidRDefault="00B05450" w:rsidP="00285819">
      <w:pPr>
        <w:pStyle w:val="a7"/>
        <w:rPr>
          <w:rtl/>
        </w:rPr>
      </w:pPr>
      <w:r>
        <w:rPr>
          <w:rStyle w:val="a9"/>
        </w:rPr>
        <w:footnoteRef/>
      </w:r>
      <w:r>
        <w:rPr>
          <w:rtl/>
        </w:rPr>
        <w:t xml:space="preserve"> </w:t>
      </w:r>
      <w:r w:rsidRPr="006F590D">
        <w:rPr>
          <w:rFonts w:cs="Arial"/>
          <w:rtl/>
        </w:rPr>
        <w:t>עיין במרדכי פ' במ"ט, דמחלק כה"ג לענין קנים, משום דמתנע</w:t>
      </w:r>
      <w:r>
        <w:rPr>
          <w:rFonts w:cs="Arial" w:hint="cs"/>
          <w:rtl/>
        </w:rPr>
        <w:t>נ</w:t>
      </w:r>
      <w:r w:rsidRPr="006F590D">
        <w:rPr>
          <w:rFonts w:cs="Arial"/>
          <w:rtl/>
        </w:rPr>
        <w:t>ענים</w:t>
      </w:r>
      <w:r>
        <w:rPr>
          <w:rFonts w:hint="cs"/>
          <w:rtl/>
        </w:rPr>
        <w:t>, תרוה"ד (סי' סז).</w:t>
      </w:r>
    </w:p>
  </w:footnote>
  <w:footnote w:id="1849">
    <w:p w14:paraId="3B349616" w14:textId="686CD266" w:rsidR="00B05450" w:rsidRDefault="00B05450" w:rsidP="00285819">
      <w:pPr>
        <w:pStyle w:val="a7"/>
      </w:pPr>
      <w:r>
        <w:rPr>
          <w:rStyle w:val="a9"/>
        </w:rPr>
        <w:footnoteRef/>
      </w:r>
      <w:r>
        <w:rPr>
          <w:rtl/>
        </w:rPr>
        <w:t xml:space="preserve"> </w:t>
      </w:r>
      <w:r w:rsidRPr="00AD4DF7">
        <w:rPr>
          <w:rFonts w:cs="Arial"/>
          <w:rtl/>
        </w:rPr>
        <w:t>ובמג"א (</w:t>
      </w:r>
      <w:r>
        <w:rPr>
          <w:rFonts w:cs="Arial" w:hint="cs"/>
          <w:rtl/>
        </w:rPr>
        <w:t xml:space="preserve">סי' </w:t>
      </w:r>
      <w:r w:rsidRPr="00AD4DF7">
        <w:rPr>
          <w:rFonts w:cs="Arial"/>
          <w:rtl/>
        </w:rPr>
        <w:t>שי סק"ג) הביאו להלכה. והגר"א הקשה עליו ממשנה בשבת (קנא</w:t>
      </w:r>
      <w:r>
        <w:rPr>
          <w:rFonts w:cs="Arial" w:hint="cs"/>
          <w:rtl/>
        </w:rPr>
        <w:t>.</w:t>
      </w:r>
      <w:r w:rsidRPr="00AD4DF7">
        <w:rPr>
          <w:rFonts w:cs="Arial"/>
          <w:rtl/>
        </w:rPr>
        <w:t>) דעושין כל צרכי המת סכין ומדיחין אותו ובלבד שלא יזיז בו אבר, וחזינן דמותר ליגע בלא טלטול גם לצורך המוקצה דהא גם במת לא התירו איסור מוקצה אלא ע"י ככר או תינוק</w:t>
      </w:r>
      <w:r>
        <w:rPr>
          <w:rFonts w:cs="Arial" w:hint="cs"/>
          <w:rtl/>
        </w:rPr>
        <w:t xml:space="preserve">, </w:t>
      </w:r>
      <w:r w:rsidRPr="006F590D">
        <w:rPr>
          <w:rFonts w:cs="Arial"/>
          <w:rtl/>
        </w:rPr>
        <w:t xml:space="preserve">הערות הגרי"ש אלישיב </w:t>
      </w:r>
      <w:r>
        <w:rPr>
          <w:rFonts w:cs="Arial" w:hint="cs"/>
          <w:rtl/>
        </w:rPr>
        <w:t>(</w:t>
      </w:r>
      <w:r w:rsidRPr="006F590D">
        <w:rPr>
          <w:rFonts w:cs="Arial"/>
          <w:rtl/>
        </w:rPr>
        <w:t>ביצה ג</w:t>
      </w:r>
      <w:r>
        <w:rPr>
          <w:rFonts w:cs="Arial" w:hint="cs"/>
          <w:rtl/>
        </w:rPr>
        <w:t>:)</w:t>
      </w:r>
      <w:r w:rsidRPr="00AD4DF7">
        <w:rPr>
          <w:rFonts w:cs="Arial"/>
          <w:rtl/>
        </w:rPr>
        <w:t>.</w:t>
      </w:r>
    </w:p>
  </w:footnote>
  <w:footnote w:id="1850">
    <w:p w14:paraId="57E0880F" w14:textId="77777777" w:rsidR="00E36894" w:rsidRDefault="00E36894" w:rsidP="00285819">
      <w:pPr>
        <w:pStyle w:val="a7"/>
      </w:pPr>
      <w:r>
        <w:rPr>
          <w:rStyle w:val="a9"/>
        </w:rPr>
        <w:footnoteRef/>
      </w:r>
      <w:r>
        <w:rPr>
          <w:rtl/>
        </w:rPr>
        <w:t xml:space="preserve"> </w:t>
      </w:r>
      <w:r w:rsidRPr="00E36894">
        <w:rPr>
          <w:rFonts w:cs="Arial"/>
          <w:rtl/>
        </w:rPr>
        <w:t>אפילו בחול, הרי הוקצה לאיסור ואסור לטלטלה, ואפילו נסתלקו המעות מבעוד יום, ולא דמי לנר של מתכת דשרי ר' יהודה - דהתם בלא יחדו</w:t>
      </w:r>
      <w:r>
        <w:rPr>
          <w:rFonts w:cs="Arial" w:hint="cs"/>
          <w:rtl/>
        </w:rPr>
        <w:t>, רש"י.</w:t>
      </w:r>
    </w:p>
  </w:footnote>
  <w:footnote w:id="1851">
    <w:p w14:paraId="51B91E33" w14:textId="77777777" w:rsidR="00DF7C18" w:rsidRDefault="00DF7C18" w:rsidP="00285819">
      <w:pPr>
        <w:pStyle w:val="a7"/>
      </w:pPr>
      <w:r>
        <w:rPr>
          <w:rStyle w:val="a9"/>
        </w:rPr>
        <w:footnoteRef/>
      </w:r>
      <w:r>
        <w:rPr>
          <w:rtl/>
        </w:rPr>
        <w:t xml:space="preserve"> </w:t>
      </w:r>
      <w:r w:rsidRPr="00E36894">
        <w:rPr>
          <w:rFonts w:cs="Arial"/>
          <w:rtl/>
        </w:rPr>
        <w:t>אין עליה מעות בשבת</w:t>
      </w:r>
      <w:r>
        <w:rPr>
          <w:rFonts w:cs="Arial" w:hint="cs"/>
          <w:rtl/>
        </w:rPr>
        <w:t>, רש"י.</w:t>
      </w:r>
    </w:p>
  </w:footnote>
  <w:footnote w:id="1852">
    <w:p w14:paraId="76EE67A7" w14:textId="16D2ACCD" w:rsidR="00524246" w:rsidRDefault="00524246" w:rsidP="00285819">
      <w:pPr>
        <w:pStyle w:val="a7"/>
      </w:pPr>
      <w:r>
        <w:rPr>
          <w:rStyle w:val="a9"/>
        </w:rPr>
        <w:footnoteRef/>
      </w:r>
      <w:r>
        <w:rPr>
          <w:rtl/>
        </w:rPr>
        <w:t xml:space="preserve"> </w:t>
      </w:r>
      <w:r w:rsidRPr="00524246">
        <w:rPr>
          <w:rFonts w:cs="Arial"/>
          <w:rtl/>
        </w:rPr>
        <w:t>ע</w:t>
      </w:r>
      <w:r>
        <w:rPr>
          <w:rFonts w:cs="Arial" w:hint="cs"/>
          <w:rtl/>
        </w:rPr>
        <w:t xml:space="preserve">ל </w:t>
      </w:r>
      <w:r w:rsidRPr="00524246">
        <w:rPr>
          <w:rFonts w:cs="Arial"/>
          <w:rtl/>
        </w:rPr>
        <w:t>כ</w:t>
      </w:r>
      <w:r>
        <w:rPr>
          <w:rFonts w:cs="Arial" w:hint="cs"/>
          <w:rtl/>
        </w:rPr>
        <w:t>רחך</w:t>
      </w:r>
      <w:r w:rsidRPr="00524246">
        <w:rPr>
          <w:rFonts w:cs="Arial"/>
          <w:rtl/>
        </w:rPr>
        <w:t xml:space="preserve"> במניח איירי</w:t>
      </w:r>
      <w:r>
        <w:rPr>
          <w:rFonts w:cs="Arial" w:hint="cs"/>
          <w:rtl/>
        </w:rPr>
        <w:t>,</w:t>
      </w:r>
      <w:r w:rsidRPr="00524246">
        <w:rPr>
          <w:rFonts w:cs="Arial"/>
          <w:rtl/>
        </w:rPr>
        <w:t xml:space="preserve"> דבשכח תנן פרק נוטל (קמב:) מנער הכר והן נופלות</w:t>
      </w:r>
      <w:r>
        <w:rPr>
          <w:rFonts w:cs="Arial" w:hint="cs"/>
          <w:rtl/>
        </w:rPr>
        <w:t>.</w:t>
      </w:r>
      <w:r w:rsidRPr="00524246">
        <w:rPr>
          <w:rFonts w:cs="Arial"/>
          <w:rtl/>
        </w:rPr>
        <w:t xml:space="preserve"> ובמניח בשבת איירי</w:t>
      </w:r>
      <w:r>
        <w:rPr>
          <w:rFonts w:cs="Arial" w:hint="cs"/>
          <w:rtl/>
        </w:rPr>
        <w:t>,</w:t>
      </w:r>
      <w:r w:rsidRPr="00524246">
        <w:rPr>
          <w:rFonts w:cs="Arial"/>
          <w:rtl/>
        </w:rPr>
        <w:t xml:space="preserve"> דבהניח מבעוד יום והיו עליה בין השמשות אפילו אין עליה מעות אסור לטלטלה כדקאמר בסיפא דמילתיה</w:t>
      </w:r>
      <w:r>
        <w:rPr>
          <w:rFonts w:cs="Arial" w:hint="cs"/>
          <w:rtl/>
        </w:rPr>
        <w:t>.</w:t>
      </w:r>
      <w:r w:rsidRPr="00524246">
        <w:rPr>
          <w:rFonts w:cs="Arial"/>
          <w:rtl/>
        </w:rPr>
        <w:t xml:space="preserve"> וקשה דאיך יכול להיות שמניח לדעת בשבת</w:t>
      </w:r>
      <w:r>
        <w:rPr>
          <w:rFonts w:cs="Arial" w:hint="cs"/>
          <w:rtl/>
        </w:rPr>
        <w:t>,</w:t>
      </w:r>
      <w:r w:rsidRPr="00524246">
        <w:rPr>
          <w:rFonts w:cs="Arial"/>
          <w:rtl/>
        </w:rPr>
        <w:t xml:space="preserve"> וי"ל כגון שהניח </w:t>
      </w:r>
      <w:r>
        <w:rPr>
          <w:rFonts w:cs="Arial" w:hint="cs"/>
          <w:rtl/>
        </w:rPr>
        <w:t>גו</w:t>
      </w:r>
      <w:r w:rsidRPr="00524246">
        <w:rPr>
          <w:rFonts w:cs="Arial"/>
          <w:rtl/>
        </w:rPr>
        <w:t>י או תינוק לדעת ישראל</w:t>
      </w:r>
      <w:r>
        <w:rPr>
          <w:rFonts w:cs="Arial" w:hint="cs"/>
          <w:rtl/>
        </w:rPr>
        <w:t>, תוס' (ד"ה יש עליה).</w:t>
      </w:r>
    </w:p>
  </w:footnote>
  <w:footnote w:id="1853">
    <w:p w14:paraId="557647AC" w14:textId="06A44D63" w:rsidR="00E36894" w:rsidRDefault="00E36894" w:rsidP="00285819">
      <w:pPr>
        <w:pStyle w:val="a7"/>
        <w:rPr>
          <w:rtl/>
        </w:rPr>
      </w:pPr>
      <w:r>
        <w:rPr>
          <w:rStyle w:val="a9"/>
        </w:rPr>
        <w:footnoteRef/>
      </w:r>
      <w:r>
        <w:rPr>
          <w:rtl/>
        </w:rPr>
        <w:t xml:space="preserve"> </w:t>
      </w:r>
      <w:r w:rsidRPr="00E36894">
        <w:rPr>
          <w:rFonts w:cs="Arial"/>
          <w:rtl/>
        </w:rPr>
        <w:t>ואע</w:t>
      </w:r>
      <w:r w:rsidR="00524246">
        <w:rPr>
          <w:rFonts w:cs="Arial" w:hint="cs"/>
          <w:rtl/>
        </w:rPr>
        <w:t>"</w:t>
      </w:r>
      <w:r w:rsidRPr="00E36894">
        <w:rPr>
          <w:rFonts w:cs="Arial"/>
          <w:rtl/>
        </w:rPr>
        <w:t>ג דהניח עליה מעות בחול</w:t>
      </w:r>
      <w:r>
        <w:rPr>
          <w:rFonts w:hint="cs"/>
          <w:rtl/>
        </w:rPr>
        <w:t>, רש"י.</w:t>
      </w:r>
    </w:p>
  </w:footnote>
  <w:footnote w:id="1854">
    <w:p w14:paraId="6BB4CE9E" w14:textId="38871B23" w:rsidR="00DF7C18" w:rsidRDefault="00DF7C18" w:rsidP="00285819">
      <w:pPr>
        <w:pStyle w:val="a7"/>
      </w:pPr>
      <w:r>
        <w:rPr>
          <w:rStyle w:val="a9"/>
        </w:rPr>
        <w:footnoteRef/>
      </w:r>
      <w:r>
        <w:rPr>
          <w:rtl/>
        </w:rPr>
        <w:t xml:space="preserve"> </w:t>
      </w:r>
      <w:r w:rsidRPr="00DF7C18">
        <w:rPr>
          <w:rFonts w:cs="Arial"/>
          <w:rtl/>
        </w:rPr>
        <w:t>שנסתלקו מבעוד יום - שלא היו עליה כל בין השמשות, אבל היו עליה כל בין השמשות - איתקצי לכולי יומא</w:t>
      </w:r>
      <w:r>
        <w:rPr>
          <w:rFonts w:cs="Arial" w:hint="cs"/>
          <w:rtl/>
        </w:rPr>
        <w:t>, רש"י.</w:t>
      </w:r>
    </w:p>
  </w:footnote>
  <w:footnote w:id="1855">
    <w:p w14:paraId="5BD07F90" w14:textId="77777777" w:rsidR="00E36894" w:rsidRDefault="00E36894" w:rsidP="00285819">
      <w:pPr>
        <w:pStyle w:val="a7"/>
      </w:pPr>
      <w:r>
        <w:rPr>
          <w:rStyle w:val="a9"/>
        </w:rPr>
        <w:footnoteRef/>
      </w:r>
      <w:r>
        <w:rPr>
          <w:rtl/>
        </w:rPr>
        <w:t xml:space="preserve"> </w:t>
      </w:r>
      <w:r>
        <w:rPr>
          <w:rFonts w:cs="Arial"/>
          <w:rtl/>
        </w:rPr>
        <w:t>אלמא דכל זמן שהמעות עליה אסור לגררה</w:t>
      </w:r>
      <w:r>
        <w:rPr>
          <w:rFonts w:cs="Arial" w:hint="cs"/>
          <w:rtl/>
        </w:rPr>
        <w:t>.</w:t>
      </w:r>
      <w:r>
        <w:rPr>
          <w:rFonts w:cs="Arial"/>
          <w:rtl/>
        </w:rPr>
        <w:t xml:space="preserve"> וכן כתב שם רש"י ההיא רבי שמעון היא ומיהו מעות לא חזו מידי ומודה רבי שמעון דעודן עליו אסור</w:t>
      </w:r>
      <w:r>
        <w:rPr>
          <w:rFonts w:cs="Arial" w:hint="cs"/>
          <w:rtl/>
        </w:rPr>
        <w:t xml:space="preserve">, ב"י. וכתב עוד הב"י- </w:t>
      </w:r>
      <w:r>
        <w:rPr>
          <w:rFonts w:cs="Arial"/>
          <w:rtl/>
        </w:rPr>
        <w:t>וקשה לי היכי מוקמינן ברייתא (מד:) דמוכני שלה וכו' כרבי שמעון</w:t>
      </w:r>
      <w:r>
        <w:rPr>
          <w:rFonts w:cs="Arial" w:hint="cs"/>
          <w:rtl/>
        </w:rPr>
        <w:t>,</w:t>
      </w:r>
      <w:r>
        <w:rPr>
          <w:rFonts w:cs="Arial"/>
          <w:rtl/>
        </w:rPr>
        <w:t xml:space="preserve"> וכי אין עליה מעות שרינן אע</w:t>
      </w:r>
      <w:r>
        <w:rPr>
          <w:rFonts w:cs="Arial" w:hint="cs"/>
          <w:rtl/>
        </w:rPr>
        <w:t>"</w:t>
      </w:r>
      <w:r>
        <w:rPr>
          <w:rFonts w:cs="Arial"/>
          <w:rtl/>
        </w:rPr>
        <w:t>ג דהוו עלה בין השמשות</w:t>
      </w:r>
      <w:r>
        <w:rPr>
          <w:rFonts w:cs="Arial" w:hint="cs"/>
          <w:rtl/>
        </w:rPr>
        <w:t>?</w:t>
      </w:r>
      <w:r>
        <w:rPr>
          <w:rFonts w:cs="Arial"/>
          <w:rtl/>
        </w:rPr>
        <w:t xml:space="preserve"> הא דמו לנר גדול דמודה ביה רבי שמעון מפני שאין אדם יושב ומצפה מתי יכבה כיון דאסור לכבותה בידים ואם יניחוה תהיה דולקת והולכת כל השבת</w:t>
      </w:r>
      <w:r>
        <w:rPr>
          <w:rFonts w:cs="Arial" w:hint="cs"/>
          <w:rtl/>
        </w:rPr>
        <w:t>,</w:t>
      </w:r>
      <w:r>
        <w:rPr>
          <w:rFonts w:cs="Arial"/>
          <w:rtl/>
        </w:rPr>
        <w:t xml:space="preserve"> הכי נמי כיון דאסור ליטלם בידים הרי הם עשויים להיות עומדים שם כל השבת גם לרבי שמעון הוו מוקצה</w:t>
      </w:r>
      <w:r>
        <w:rPr>
          <w:rFonts w:cs="Arial" w:hint="cs"/>
          <w:rtl/>
        </w:rPr>
        <w:t>.</w:t>
      </w:r>
      <w:r>
        <w:rPr>
          <w:rFonts w:cs="Arial"/>
          <w:rtl/>
        </w:rPr>
        <w:t xml:space="preserve"> ואפשר דכיון שאין מוכני זה מיוחד למעות עשויים הם לינטל על ידי עבד או תינוק ולא מקצי להו מדעתיה</w:t>
      </w:r>
      <w:r>
        <w:rPr>
          <w:rFonts w:cs="Arial" w:hint="cs"/>
          <w:rtl/>
        </w:rPr>
        <w:t>.</w:t>
      </w:r>
      <w:r>
        <w:rPr>
          <w:rFonts w:cs="Arial"/>
          <w:rtl/>
        </w:rPr>
        <w:t xml:space="preserve"> אבל נר גדול מאחר שנתן בו שמן רב כדי להדליק כל השבת ודאי לא היה בדעתו שיכבנו גוי ולא תינוק אלא שידלוק וילך</w:t>
      </w:r>
      <w:r>
        <w:rPr>
          <w:rFonts w:cs="Arial" w:hint="cs"/>
          <w:rtl/>
        </w:rPr>
        <w:t>,</w:t>
      </w:r>
      <w:r>
        <w:rPr>
          <w:rFonts w:cs="Arial"/>
          <w:rtl/>
        </w:rPr>
        <w:t xml:space="preserve"> הילכך אמרינן אסוחי אסחי לדעתיה מיניה והוי מוקצה</w:t>
      </w:r>
      <w:r>
        <w:rPr>
          <w:rFonts w:cs="Arial" w:hint="cs"/>
          <w:rtl/>
        </w:rPr>
        <w:t>.</w:t>
      </w:r>
    </w:p>
  </w:footnote>
  <w:footnote w:id="1856">
    <w:p w14:paraId="59329AC3" w14:textId="769FCFB4" w:rsidR="00132526" w:rsidRDefault="00132526" w:rsidP="00285819">
      <w:pPr>
        <w:pStyle w:val="a7"/>
        <w:rPr>
          <w:rtl/>
        </w:rPr>
      </w:pPr>
      <w:r>
        <w:rPr>
          <w:rStyle w:val="a9"/>
        </w:rPr>
        <w:footnoteRef/>
      </w:r>
      <w:r>
        <w:rPr>
          <w:rtl/>
        </w:rPr>
        <w:t xml:space="preserve"> </w:t>
      </w:r>
      <w:r w:rsidRPr="00FC5BE5">
        <w:rPr>
          <w:rFonts w:cs="Arial"/>
          <w:rtl/>
        </w:rPr>
        <w:t>עיין לקמן סוף סימן שי"א (אות ח) אי אמרינן באוכלין דנעשים בסיס לדבר האסור</w:t>
      </w:r>
      <w:r w:rsidR="00E36894">
        <w:rPr>
          <w:rFonts w:cs="Arial" w:hint="cs"/>
          <w:rtl/>
        </w:rPr>
        <w:t>, דרכ"מ (אות א).</w:t>
      </w:r>
    </w:p>
  </w:footnote>
  <w:footnote w:id="1857">
    <w:p w14:paraId="18310A1A" w14:textId="77777777" w:rsidR="00366109" w:rsidRDefault="00366109" w:rsidP="00285819">
      <w:pPr>
        <w:pStyle w:val="a7"/>
      </w:pPr>
      <w:r>
        <w:rPr>
          <w:rStyle w:val="a9"/>
        </w:rPr>
        <w:footnoteRef/>
      </w:r>
      <w:r>
        <w:rPr>
          <w:rtl/>
        </w:rPr>
        <w:t xml:space="preserve"> </w:t>
      </w:r>
      <w:r>
        <w:rPr>
          <w:rFonts w:hint="cs"/>
          <w:rtl/>
        </w:rPr>
        <w:t xml:space="preserve">וז"ל- </w:t>
      </w:r>
      <w:r>
        <w:rPr>
          <w:rFonts w:cs="Arial" w:hint="cs"/>
          <w:rtl/>
        </w:rPr>
        <w:t>ודעת ה</w:t>
      </w:r>
      <w:r>
        <w:rPr>
          <w:rFonts w:cs="Arial"/>
          <w:rtl/>
        </w:rPr>
        <w:t>רמב"ם</w:t>
      </w:r>
      <w:r>
        <w:rPr>
          <w:rFonts w:cs="Arial" w:hint="cs"/>
          <w:rtl/>
        </w:rPr>
        <w:t xml:space="preserve"> </w:t>
      </w:r>
      <w:r>
        <w:rPr>
          <w:rFonts w:cs="Arial"/>
          <w:rtl/>
        </w:rPr>
        <w:t>נראה שהיא כדעת הרי"ף</w:t>
      </w:r>
      <w:r>
        <w:rPr>
          <w:rFonts w:cs="Arial" w:hint="cs"/>
          <w:rtl/>
        </w:rPr>
        <w:t>,</w:t>
      </w:r>
      <w:r>
        <w:rPr>
          <w:rFonts w:cs="Arial"/>
          <w:rtl/>
        </w:rPr>
        <w:t xml:space="preserve"> </w:t>
      </w:r>
      <w:r>
        <w:rPr>
          <w:rFonts w:cs="Arial" w:hint="cs"/>
          <w:rtl/>
        </w:rPr>
        <w:t>ש</w:t>
      </w:r>
      <w:r>
        <w:rPr>
          <w:rFonts w:cs="Arial"/>
          <w:rtl/>
        </w:rPr>
        <w:t>לא חילק בין יחדה למעות ללא יחדה</w:t>
      </w:r>
      <w:r>
        <w:rPr>
          <w:rFonts w:cs="Arial" w:hint="cs"/>
          <w:rtl/>
        </w:rPr>
        <w:t>.</w:t>
      </w:r>
    </w:p>
  </w:footnote>
  <w:footnote w:id="1858">
    <w:p w14:paraId="2C5D3D8C" w14:textId="77777777" w:rsidR="00366109" w:rsidRDefault="00366109" w:rsidP="00285819">
      <w:pPr>
        <w:pStyle w:val="a7"/>
        <w:rPr>
          <w:rtl/>
        </w:rPr>
      </w:pPr>
      <w:r>
        <w:rPr>
          <w:rStyle w:val="a9"/>
        </w:rPr>
        <w:footnoteRef/>
      </w:r>
      <w:r>
        <w:rPr>
          <w:rtl/>
        </w:rPr>
        <w:t xml:space="preserve"> </w:t>
      </w:r>
      <w:r>
        <w:rPr>
          <w:rFonts w:cs="Arial"/>
          <w:rtl/>
        </w:rPr>
        <w:t>וכתב הר"ן (שם ד"ה ומטה) דטעמו משום דרב לטעמיה דסבירא ליה כרבי יהודה דאית ליה מוקצה</w:t>
      </w:r>
      <w:r>
        <w:rPr>
          <w:rFonts w:cs="Arial" w:hint="cs"/>
          <w:rtl/>
        </w:rPr>
        <w:t>,</w:t>
      </w:r>
      <w:r>
        <w:rPr>
          <w:rFonts w:cs="Arial"/>
          <w:rtl/>
        </w:rPr>
        <w:t xml:space="preserve"> אבל לדידן דקיי</w:t>
      </w:r>
      <w:r>
        <w:rPr>
          <w:rFonts w:cs="Arial" w:hint="cs"/>
          <w:rtl/>
        </w:rPr>
        <w:t>"</w:t>
      </w:r>
      <w:r>
        <w:rPr>
          <w:rFonts w:cs="Arial"/>
          <w:rtl/>
        </w:rPr>
        <w:t>ל כרבי שמעון אפילו יחדה נמי שרי</w:t>
      </w:r>
      <w:r>
        <w:rPr>
          <w:rFonts w:cs="Arial" w:hint="cs"/>
          <w:rtl/>
        </w:rPr>
        <w:t>.</w:t>
      </w:r>
      <w:r>
        <w:rPr>
          <w:rFonts w:cs="Arial"/>
          <w:rtl/>
        </w:rPr>
        <w:t xml:space="preserve"> וכן כתב הרא"ש (סי' כ) לדעת הרי"ף</w:t>
      </w:r>
      <w:r>
        <w:rPr>
          <w:rFonts w:hint="cs"/>
          <w:rtl/>
        </w:rPr>
        <w:t>, ב"י.</w:t>
      </w:r>
    </w:p>
  </w:footnote>
  <w:footnote w:id="1859">
    <w:p w14:paraId="1F295B4A" w14:textId="77777777" w:rsidR="00C44056" w:rsidRDefault="00C44056" w:rsidP="00285819">
      <w:pPr>
        <w:pStyle w:val="a7"/>
        <w:rPr>
          <w:rtl/>
        </w:rPr>
      </w:pPr>
      <w:r>
        <w:rPr>
          <w:rStyle w:val="a9"/>
        </w:rPr>
        <w:footnoteRef/>
      </w:r>
      <w:r>
        <w:rPr>
          <w:rtl/>
        </w:rPr>
        <w:t xml:space="preserve"> </w:t>
      </w:r>
      <w:r w:rsidRPr="00366109">
        <w:rPr>
          <w:rFonts w:cs="Arial"/>
          <w:rtl/>
        </w:rPr>
        <w:t>מידי דהוה אכיפי ומזורי דאמר בריש כל הכלים (</w:t>
      </w:r>
      <w:r>
        <w:rPr>
          <w:rFonts w:cs="Arial" w:hint="cs"/>
          <w:rtl/>
        </w:rPr>
        <w:t>ק</w:t>
      </w:r>
      <w:r w:rsidRPr="00366109">
        <w:rPr>
          <w:rFonts w:cs="Arial"/>
          <w:rtl/>
        </w:rPr>
        <w:t>כג</w:t>
      </w:r>
      <w:r>
        <w:rPr>
          <w:rFonts w:cs="Arial" w:hint="cs"/>
          <w:rtl/>
        </w:rPr>
        <w:t>.</w:t>
      </w:r>
      <w:r w:rsidRPr="00366109">
        <w:rPr>
          <w:rFonts w:cs="Arial"/>
          <w:rtl/>
        </w:rPr>
        <w:t xml:space="preserve">) </w:t>
      </w:r>
      <w:r>
        <w:rPr>
          <w:rFonts w:cs="Arial" w:hint="cs"/>
          <w:rtl/>
        </w:rPr>
        <w:t>'</w:t>
      </w:r>
      <w:r w:rsidRPr="00366109">
        <w:rPr>
          <w:rFonts w:cs="Arial"/>
          <w:rtl/>
        </w:rPr>
        <w:t>הכל מודים כיון דמייחד להו מקום</w:t>
      </w:r>
      <w:r>
        <w:rPr>
          <w:rFonts w:cs="Arial" w:hint="cs"/>
          <w:rtl/>
        </w:rPr>
        <w:t>'. ופר"ת '</w:t>
      </w:r>
      <w:r w:rsidRPr="00366109">
        <w:rPr>
          <w:rFonts w:cs="Arial"/>
          <w:rtl/>
        </w:rPr>
        <w:t>הכל מודים</w:t>
      </w:r>
      <w:r>
        <w:rPr>
          <w:rFonts w:cs="Arial" w:hint="cs"/>
          <w:rtl/>
        </w:rPr>
        <w:t>'</w:t>
      </w:r>
      <w:r w:rsidRPr="00366109">
        <w:rPr>
          <w:rFonts w:cs="Arial"/>
          <w:rtl/>
        </w:rPr>
        <w:t xml:space="preserve"> ואפילו ר</w:t>
      </w:r>
      <w:r>
        <w:rPr>
          <w:rFonts w:cs="Arial" w:hint="cs"/>
          <w:rtl/>
        </w:rPr>
        <w:t>בי שמעון.</w:t>
      </w:r>
      <w:r w:rsidRPr="00366109">
        <w:rPr>
          <w:rFonts w:cs="Arial"/>
          <w:rtl/>
        </w:rPr>
        <w:t xml:space="preserve"> משום דהוה קשה ליה מהא דאמר לקמן בפרק מפנין (קכח</w:t>
      </w:r>
      <w:r>
        <w:rPr>
          <w:rFonts w:cs="Arial" w:hint="cs"/>
          <w:rtl/>
        </w:rPr>
        <w:t>.</w:t>
      </w:r>
      <w:r w:rsidRPr="00366109">
        <w:rPr>
          <w:rFonts w:cs="Arial"/>
          <w:rtl/>
        </w:rPr>
        <w:t>) דרב סבר כר' שמעון במוקצה דטלטול. הלכך צריך לומר דהך דמטה ר"ש מודה בה</w:t>
      </w:r>
      <w:r>
        <w:rPr>
          <w:rFonts w:hint="cs"/>
          <w:rtl/>
        </w:rPr>
        <w:t>, רא"ש (שם).</w:t>
      </w:r>
    </w:p>
  </w:footnote>
  <w:footnote w:id="1860">
    <w:p w14:paraId="109FE5A6" w14:textId="45B18531" w:rsidR="00C44056" w:rsidRDefault="00C44056" w:rsidP="00285819">
      <w:pPr>
        <w:pStyle w:val="a7"/>
        <w:rPr>
          <w:rtl/>
        </w:rPr>
      </w:pPr>
      <w:r>
        <w:rPr>
          <w:rStyle w:val="a9"/>
        </w:rPr>
        <w:footnoteRef/>
      </w:r>
      <w:r>
        <w:rPr>
          <w:rtl/>
        </w:rPr>
        <w:t xml:space="preserve"> </w:t>
      </w:r>
      <w:r>
        <w:rPr>
          <w:rFonts w:cs="Arial"/>
          <w:rtl/>
        </w:rPr>
        <w:t>ומשמע שדינו כדין כלי שמלאכתו לאיסור שנתבאר בסימן ש"ח (סג: ד"ה ומ"ש כלי)</w:t>
      </w:r>
      <w:r>
        <w:rPr>
          <w:rFonts w:cs="Arial" w:hint="cs"/>
          <w:rtl/>
        </w:rPr>
        <w:t>,</w:t>
      </w:r>
      <w:r>
        <w:rPr>
          <w:rFonts w:cs="Arial"/>
          <w:rtl/>
        </w:rPr>
        <w:t xml:space="preserve"> דלצורך גופו או לצורך מקומו מותר</w:t>
      </w:r>
      <w:r>
        <w:rPr>
          <w:rFonts w:cs="Arial" w:hint="cs"/>
          <w:rtl/>
        </w:rPr>
        <w:t>,</w:t>
      </w:r>
      <w:r>
        <w:rPr>
          <w:rFonts w:cs="Arial"/>
          <w:rtl/>
        </w:rPr>
        <w:t xml:space="preserve"> מחמה לצל אסור</w:t>
      </w:r>
      <w:r>
        <w:rPr>
          <w:rFonts w:cs="Arial" w:hint="cs"/>
          <w:rtl/>
        </w:rPr>
        <w:t>.</w:t>
      </w:r>
      <w:r>
        <w:rPr>
          <w:rFonts w:cs="Arial"/>
          <w:rtl/>
        </w:rPr>
        <w:t xml:space="preserve"> ואם כן לא אסר רבינו תם אלא לטלטלו מחמה לצל</w:t>
      </w:r>
      <w:r>
        <w:rPr>
          <w:rFonts w:cs="Arial" w:hint="cs"/>
          <w:rtl/>
        </w:rPr>
        <w:t>,</w:t>
      </w:r>
      <w:r>
        <w:rPr>
          <w:rFonts w:cs="Arial"/>
          <w:rtl/>
        </w:rPr>
        <w:t xml:space="preserve"> אבל לצורך גופו או לצורך מקומו שרי</w:t>
      </w:r>
      <w:r>
        <w:rPr>
          <w:rFonts w:cs="Arial" w:hint="cs"/>
          <w:rtl/>
        </w:rPr>
        <w:t>,</w:t>
      </w:r>
      <w:r>
        <w:rPr>
          <w:rFonts w:cs="Arial"/>
          <w:rtl/>
        </w:rPr>
        <w:t xml:space="preserve"> והוא שאין עליה מעות</w:t>
      </w:r>
      <w:r>
        <w:rPr>
          <w:rFonts w:cs="Arial" w:hint="cs"/>
          <w:rtl/>
        </w:rPr>
        <w:t>.</w:t>
      </w:r>
      <w:r>
        <w:rPr>
          <w:rFonts w:cs="Arial"/>
          <w:rtl/>
        </w:rPr>
        <w:t xml:space="preserve"> וכן כתוב בהג</w:t>
      </w:r>
      <w:r>
        <w:rPr>
          <w:rFonts w:cs="Arial" w:hint="cs"/>
          <w:rtl/>
        </w:rPr>
        <w:t>"א</w:t>
      </w:r>
      <w:r>
        <w:rPr>
          <w:rFonts w:cs="Arial"/>
          <w:rtl/>
        </w:rPr>
        <w:t xml:space="preserve"> (</w:t>
      </w:r>
      <w:r>
        <w:rPr>
          <w:rFonts w:cs="Arial" w:hint="cs"/>
          <w:rtl/>
        </w:rPr>
        <w:t xml:space="preserve">פ"ג </w:t>
      </w:r>
      <w:r>
        <w:rPr>
          <w:rFonts w:cs="Arial"/>
          <w:rtl/>
        </w:rPr>
        <w:t xml:space="preserve">סי' כ </w:t>
      </w:r>
      <w:r>
        <w:rPr>
          <w:rFonts w:cs="Arial" w:hint="cs"/>
          <w:rtl/>
        </w:rPr>
        <w:t>הגהה ד</w:t>
      </w:r>
      <w:r>
        <w:rPr>
          <w:rFonts w:cs="Arial"/>
          <w:rtl/>
        </w:rPr>
        <w:t>)</w:t>
      </w:r>
      <w:r>
        <w:rPr>
          <w:rFonts w:hint="cs"/>
          <w:rtl/>
        </w:rPr>
        <w:t>, ב"י.</w:t>
      </w:r>
      <w:r w:rsidR="00522139" w:rsidRPr="00522139">
        <w:rPr>
          <w:rFonts w:hint="cs"/>
          <w:color w:val="00B0F0"/>
          <w:rtl/>
        </w:rPr>
        <w:t xml:space="preserve"> </w:t>
      </w:r>
      <w:r w:rsidR="00522139" w:rsidRPr="00DA24F4">
        <w:rPr>
          <w:rFonts w:hint="cs"/>
          <w:color w:val="00B0F0"/>
          <w:rtl/>
        </w:rPr>
        <w:t>(וכ"פ הרמ"א)</w:t>
      </w:r>
    </w:p>
  </w:footnote>
  <w:footnote w:id="1861">
    <w:p w14:paraId="0E215500" w14:textId="66C201F6" w:rsidR="00BB5C2A" w:rsidRDefault="00BB5C2A" w:rsidP="00285819">
      <w:pPr>
        <w:pStyle w:val="a7"/>
      </w:pPr>
      <w:r>
        <w:rPr>
          <w:rStyle w:val="a9"/>
        </w:rPr>
        <w:footnoteRef/>
      </w:r>
      <w:r>
        <w:rPr>
          <w:rtl/>
        </w:rPr>
        <w:t xml:space="preserve"> </w:t>
      </w:r>
      <w:r w:rsidRPr="00B32F95">
        <w:rPr>
          <w:rFonts w:cs="Arial"/>
          <w:rtl/>
        </w:rPr>
        <w:t>ופשוט שזה על פי דברי רבינו תם</w:t>
      </w:r>
      <w:r>
        <w:rPr>
          <w:rFonts w:cs="Arial" w:hint="cs"/>
          <w:rtl/>
        </w:rPr>
        <w:t>,</w:t>
      </w:r>
      <w:r w:rsidRPr="00B32F95">
        <w:rPr>
          <w:rFonts w:cs="Arial"/>
          <w:rtl/>
        </w:rPr>
        <w:t xml:space="preserve"> דלשאר פוסקים אפילו יחדה למעות נמי כל שאין עליה עתה מעות וגם לא היו עליה ביהש"מ </w:t>
      </w:r>
      <w:r>
        <w:rPr>
          <w:rFonts w:cs="Arial" w:hint="cs"/>
          <w:rtl/>
        </w:rPr>
        <w:t xml:space="preserve">- </w:t>
      </w:r>
      <w:r w:rsidRPr="00B32F95">
        <w:rPr>
          <w:rFonts w:cs="Arial"/>
          <w:rtl/>
        </w:rPr>
        <w:t>שרי לטלטלה</w:t>
      </w:r>
      <w:r>
        <w:rPr>
          <w:rFonts w:cs="Arial" w:hint="cs"/>
          <w:rtl/>
        </w:rPr>
        <w:t>,</w:t>
      </w:r>
      <w:r w:rsidRPr="00B32F95">
        <w:rPr>
          <w:rFonts w:cs="Arial"/>
          <w:rtl/>
        </w:rPr>
        <w:t xml:space="preserve"> וכמו שנתבאר</w:t>
      </w:r>
      <w:r>
        <w:rPr>
          <w:rFonts w:cs="Arial" w:hint="cs"/>
          <w:rtl/>
        </w:rPr>
        <w:t>, ב"י.</w:t>
      </w:r>
    </w:p>
  </w:footnote>
  <w:footnote w:id="1862">
    <w:p w14:paraId="18F767BF" w14:textId="55CCC9BF" w:rsidR="00522139" w:rsidRDefault="00522139" w:rsidP="00285819">
      <w:pPr>
        <w:pStyle w:val="a7"/>
      </w:pPr>
      <w:r>
        <w:rPr>
          <w:rStyle w:val="a9"/>
        </w:rPr>
        <w:footnoteRef/>
      </w:r>
      <w:r>
        <w:rPr>
          <w:rtl/>
        </w:rPr>
        <w:t xml:space="preserve"> </w:t>
      </w:r>
      <w:r w:rsidRPr="00522139">
        <w:rPr>
          <w:rFonts w:cs="Arial"/>
          <w:rtl/>
        </w:rPr>
        <w:t>כ"כ ב"י לדעת הרא"ש</w:t>
      </w:r>
      <w:r>
        <w:rPr>
          <w:rFonts w:cs="Arial" w:hint="cs"/>
          <w:rtl/>
        </w:rPr>
        <w:t xml:space="preserve"> </w:t>
      </w:r>
      <w:r>
        <w:rPr>
          <w:rFonts w:cs="Arial" w:hint="cs"/>
          <w:sz w:val="16"/>
          <w:szCs w:val="16"/>
          <w:rtl/>
        </w:rPr>
        <w:t>{בדעת ר"ת}</w:t>
      </w:r>
      <w:r>
        <w:rPr>
          <w:rFonts w:cs="Arial" w:hint="cs"/>
          <w:rtl/>
        </w:rPr>
        <w:t>.</w:t>
      </w:r>
      <w:r w:rsidRPr="00522139">
        <w:rPr>
          <w:rFonts w:cs="Arial"/>
          <w:rtl/>
        </w:rPr>
        <w:t xml:space="preserve"> וצ"ע</w:t>
      </w:r>
      <w:r>
        <w:rPr>
          <w:rFonts w:cs="Arial" w:hint="cs"/>
          <w:rtl/>
        </w:rPr>
        <w:t>,</w:t>
      </w:r>
      <w:r w:rsidRPr="00522139">
        <w:rPr>
          <w:rFonts w:cs="Arial"/>
          <w:rtl/>
        </w:rPr>
        <w:t xml:space="preserve"> דהא הרא"ש כתב דדמי לסיכי זירי ומזורי דכיון דקפיד עליה מייחד להו מקום</w:t>
      </w:r>
      <w:r>
        <w:rPr>
          <w:rFonts w:cs="Arial" w:hint="cs"/>
          <w:rtl/>
        </w:rPr>
        <w:t>,</w:t>
      </w:r>
      <w:r w:rsidRPr="00522139">
        <w:rPr>
          <w:rFonts w:cs="Arial"/>
          <w:rtl/>
        </w:rPr>
        <w:t xml:space="preserve"> וא"כ אפי' לצורך גופו אסור וכמ"ש סימן ש"ח ס"א</w:t>
      </w:r>
      <w:r>
        <w:rPr>
          <w:rFonts w:cs="Arial" w:hint="cs"/>
          <w:rtl/>
        </w:rPr>
        <w:t>.</w:t>
      </w:r>
      <w:r w:rsidRPr="00522139">
        <w:rPr>
          <w:rFonts w:cs="Arial"/>
          <w:rtl/>
        </w:rPr>
        <w:t xml:space="preserve"> וכ"מ בהג"מ שכ' דדמי לגרוגרות וצמוקי' ע"ש</w:t>
      </w:r>
      <w:r>
        <w:rPr>
          <w:rFonts w:cs="Arial" w:hint="cs"/>
          <w:rtl/>
        </w:rPr>
        <w:t>.</w:t>
      </w:r>
      <w:r w:rsidRPr="00522139">
        <w:rPr>
          <w:rFonts w:cs="Arial"/>
          <w:rtl/>
        </w:rPr>
        <w:t xml:space="preserve"> וכ"כ התוספות </w:t>
      </w:r>
      <w:r>
        <w:rPr>
          <w:rFonts w:cs="Arial" w:hint="cs"/>
          <w:rtl/>
        </w:rPr>
        <w:t>(</w:t>
      </w:r>
      <w:r w:rsidRPr="00522139">
        <w:rPr>
          <w:rFonts w:cs="Arial"/>
          <w:rtl/>
        </w:rPr>
        <w:t>לו</w:t>
      </w:r>
      <w:r>
        <w:rPr>
          <w:rFonts w:cs="Arial" w:hint="cs"/>
          <w:rtl/>
        </w:rPr>
        <w:t>.).</w:t>
      </w:r>
      <w:r w:rsidRPr="00522139">
        <w:rPr>
          <w:rFonts w:cs="Arial"/>
          <w:rtl/>
        </w:rPr>
        <w:t xml:space="preserve"> ומ"ש בהג"א היינו דעת אחרת וכ"כ הראב"ן דכ"ע מודו בזה אם יחדה ה"ל כלי שמלאכתו לאיסור וכמ"ש סימן ש"ח ס"ו דאסור כי אם לצורך גופו ומקומו לכן</w:t>
      </w:r>
      <w:r>
        <w:rPr>
          <w:rFonts w:cs="Arial" w:hint="cs"/>
          <w:rtl/>
        </w:rPr>
        <w:t>.</w:t>
      </w:r>
      <w:r w:rsidRPr="00522139">
        <w:rPr>
          <w:rFonts w:cs="Arial"/>
          <w:rtl/>
        </w:rPr>
        <w:t xml:space="preserve"> נ"ל להחמיר</w:t>
      </w:r>
      <w:r>
        <w:rPr>
          <w:rFonts w:cs="Arial" w:hint="cs"/>
          <w:rtl/>
        </w:rPr>
        <w:t xml:space="preserve">, </w:t>
      </w:r>
      <w:r w:rsidRPr="00522139">
        <w:rPr>
          <w:rFonts w:cs="Arial" w:hint="cs"/>
          <w:b/>
          <w:bCs/>
          <w:rtl/>
        </w:rPr>
        <w:t>מ"א</w:t>
      </w:r>
      <w:r>
        <w:rPr>
          <w:rFonts w:cs="Arial" w:hint="cs"/>
          <w:rtl/>
        </w:rPr>
        <w:t xml:space="preserve"> (סק"ה).</w:t>
      </w:r>
      <w:r w:rsidRPr="00522139">
        <w:rPr>
          <w:rFonts w:cs="Arial"/>
          <w:rtl/>
        </w:rPr>
        <w:t xml:space="preserve"> וכן בפרישה וביאור הגר"א מסכימים לדבריו</w:t>
      </w:r>
      <w:r w:rsidR="00A57F0B">
        <w:rPr>
          <w:rFonts w:cs="Arial" w:hint="cs"/>
          <w:rtl/>
        </w:rPr>
        <w:t>...</w:t>
      </w:r>
      <w:r w:rsidR="00A57F0B" w:rsidRPr="00A57F0B">
        <w:rPr>
          <w:rtl/>
        </w:rPr>
        <w:t xml:space="preserve"> </w:t>
      </w:r>
      <w:r w:rsidR="00A57F0B" w:rsidRPr="00A57F0B">
        <w:rPr>
          <w:rFonts w:cs="Arial"/>
          <w:rtl/>
        </w:rPr>
        <w:t>ומ"מ לדינא מסכים בספר א"ר דאף שהכיס מיוחד למעות כל שאין דרכו להקפיד להניח בו דברים אחרים איננו בכלל מוקצה מחמת חסרון כיס רק כסתם כלי שמלאכתו לאיסור ושרי לצורך גופו או מקומו וכן הסכים בספר בית מאיר ע"ש</w:t>
      </w:r>
      <w:r>
        <w:rPr>
          <w:rFonts w:cs="Arial" w:hint="cs"/>
          <w:rtl/>
        </w:rPr>
        <w:t xml:space="preserve">, </w:t>
      </w:r>
      <w:r w:rsidRPr="00522139">
        <w:rPr>
          <w:rFonts w:cs="Arial" w:hint="cs"/>
          <w:b/>
          <w:bCs/>
          <w:rtl/>
        </w:rPr>
        <w:t>משנ"ב</w:t>
      </w:r>
      <w:r>
        <w:rPr>
          <w:rFonts w:cs="Arial" w:hint="cs"/>
          <w:rtl/>
        </w:rPr>
        <w:t xml:space="preserve"> (סקכ"ה</w:t>
      </w:r>
      <w:r w:rsidR="00A57F0B">
        <w:rPr>
          <w:rFonts w:cs="Arial" w:hint="cs"/>
          <w:rtl/>
        </w:rPr>
        <w:t xml:space="preserve"> וסקכ"ז</w:t>
      </w:r>
      <w:r>
        <w:rPr>
          <w:rFonts w:cs="Arial" w:hint="cs"/>
          <w:rtl/>
        </w:rPr>
        <w:t>).</w:t>
      </w:r>
    </w:p>
  </w:footnote>
  <w:footnote w:id="1863">
    <w:p w14:paraId="1E19C420" w14:textId="5F8EDDC9" w:rsidR="00AB1790" w:rsidRDefault="00AB1790" w:rsidP="00285819">
      <w:pPr>
        <w:pStyle w:val="a7"/>
      </w:pPr>
      <w:r>
        <w:rPr>
          <w:rStyle w:val="a9"/>
        </w:rPr>
        <w:footnoteRef/>
      </w:r>
      <w:r>
        <w:rPr>
          <w:rtl/>
        </w:rPr>
        <w:t xml:space="preserve"> </w:t>
      </w:r>
      <w:r w:rsidRPr="00AB1790">
        <w:rPr>
          <w:rFonts w:cs="Arial"/>
          <w:rtl/>
        </w:rPr>
        <w:t>ודע דלאו דוקא שכח</w:t>
      </w:r>
      <w:r>
        <w:rPr>
          <w:rFonts w:cs="Arial" w:hint="cs"/>
          <w:rtl/>
        </w:rPr>
        <w:t>,</w:t>
      </w:r>
      <w:r w:rsidRPr="00AB1790">
        <w:rPr>
          <w:rFonts w:cs="Arial"/>
          <w:rtl/>
        </w:rPr>
        <w:t xml:space="preserve"> דאפילו אם הניח מעות בכוון מבע"י ודעתו היה שישאר שם כל השבת אף דהכיס נעשה בסיס להמעות מ"מ מותר לטלטל הבגד אף בעוד שהמעות מונח בכיס</w:t>
      </w:r>
      <w:r>
        <w:rPr>
          <w:rFonts w:cs="Arial" w:hint="cs"/>
          <w:rtl/>
        </w:rPr>
        <w:t>,</w:t>
      </w:r>
      <w:r w:rsidRPr="00AB1790">
        <w:rPr>
          <w:rFonts w:cs="Arial"/>
          <w:rtl/>
        </w:rPr>
        <w:t xml:space="preserve"> דהבגד לא נעשה בסיס הואיל ואינם על עיקר הבגד</w:t>
      </w:r>
      <w:r>
        <w:rPr>
          <w:rFonts w:cs="Arial" w:hint="cs"/>
          <w:rtl/>
        </w:rPr>
        <w:t xml:space="preserve">. </w:t>
      </w:r>
      <w:r w:rsidRPr="00AB1790">
        <w:rPr>
          <w:rFonts w:cs="Arial"/>
          <w:rtl/>
        </w:rPr>
        <w:t>ומ"מ אסור להכניס ידו בהכיס דעכ"פ הכיס נעשה בסיס להמעות ואפילו לאחר שהוסרו המעות מתוכם דהרי עכ"פ ביה"ש אתקצאי הכיס להמעות</w:t>
      </w:r>
      <w:r>
        <w:rPr>
          <w:rFonts w:cs="Arial" w:hint="cs"/>
          <w:rtl/>
        </w:rPr>
        <w:t>.</w:t>
      </w:r>
      <w:r w:rsidRPr="00AB1790">
        <w:rPr>
          <w:rFonts w:cs="Arial"/>
          <w:rtl/>
        </w:rPr>
        <w:t xml:space="preserve"> ומ"מ אם אפשר בניעור יראה לנער מתחלה דיש שסוברין דאף שהמעות אינם על עיקר הבגד ג"כ צריך לנער קודם שיטלטל הבגד בין בהניח ובין בשכח וכמו שנכתוב לקמיה</w:t>
      </w:r>
      <w:r>
        <w:rPr>
          <w:rFonts w:cs="Arial" w:hint="cs"/>
          <w:rtl/>
        </w:rPr>
        <w:t>, משנ"ב (סקכ"ט).</w:t>
      </w:r>
    </w:p>
  </w:footnote>
  <w:footnote w:id="1864">
    <w:p w14:paraId="4B54BE24" w14:textId="77777777" w:rsidR="009931C8" w:rsidRDefault="009931C8" w:rsidP="00285819">
      <w:pPr>
        <w:pStyle w:val="a7"/>
      </w:pPr>
      <w:r>
        <w:rPr>
          <w:rStyle w:val="a9"/>
        </w:rPr>
        <w:footnoteRef/>
      </w:r>
      <w:r>
        <w:rPr>
          <w:rtl/>
        </w:rPr>
        <w:t xml:space="preserve"> </w:t>
      </w:r>
      <w:r w:rsidRPr="006A53CA">
        <w:rPr>
          <w:rFonts w:cs="Arial"/>
          <w:rtl/>
        </w:rPr>
        <w:t>כלי נחשת שמביאין בו האור לפני שרים להתחמם</w:t>
      </w:r>
      <w:r>
        <w:rPr>
          <w:rFonts w:cs="Arial" w:hint="cs"/>
          <w:rtl/>
        </w:rPr>
        <w:t>, רש"י.</w:t>
      </w:r>
    </w:p>
  </w:footnote>
  <w:footnote w:id="1865">
    <w:p w14:paraId="592896B8" w14:textId="2DF07E3B" w:rsidR="00105302" w:rsidRDefault="009931C8" w:rsidP="00285819">
      <w:pPr>
        <w:pStyle w:val="a7"/>
        <w:rPr>
          <w:rFonts w:cs="Arial"/>
          <w:rtl/>
        </w:rPr>
      </w:pPr>
      <w:r>
        <w:rPr>
          <w:rStyle w:val="a9"/>
        </w:rPr>
        <w:footnoteRef/>
      </w:r>
      <w:r>
        <w:rPr>
          <w:rtl/>
        </w:rPr>
        <w:t xml:space="preserve"> </w:t>
      </w:r>
      <w:r w:rsidR="00105302" w:rsidRPr="00BF4888">
        <w:rPr>
          <w:rFonts w:cs="Arial" w:hint="cs"/>
          <w:u w:val="single"/>
          <w:rtl/>
        </w:rPr>
        <w:t>מה ההוא אמינא של הגמרא לאסור את הכנונא אגב קיטמא</w:t>
      </w:r>
      <w:r w:rsidR="00C23CA6">
        <w:rPr>
          <w:rFonts w:cs="Arial" w:hint="cs"/>
          <w:u w:val="single"/>
          <w:rtl/>
        </w:rPr>
        <w:t>, ומדוע התירו</w:t>
      </w:r>
      <w:r w:rsidR="00105302" w:rsidRPr="00BF4888">
        <w:rPr>
          <w:rFonts w:cs="Arial" w:hint="cs"/>
          <w:u w:val="single"/>
          <w:rtl/>
        </w:rPr>
        <w:t>:</w:t>
      </w:r>
    </w:p>
    <w:p w14:paraId="30790C8C" w14:textId="6EAEF96E" w:rsidR="00105302" w:rsidRPr="00105302" w:rsidRDefault="00105302" w:rsidP="00285819">
      <w:pPr>
        <w:pStyle w:val="a7"/>
        <w:numPr>
          <w:ilvl w:val="0"/>
          <w:numId w:val="17"/>
        </w:numPr>
      </w:pPr>
      <w:r>
        <w:rPr>
          <w:rFonts w:cs="Arial" w:hint="cs"/>
          <w:rtl/>
        </w:rPr>
        <w:t>רש"י</w:t>
      </w:r>
      <w:r>
        <w:rPr>
          <w:rFonts w:cs="Arial" w:hint="cs"/>
          <w:sz w:val="16"/>
          <w:szCs w:val="16"/>
          <w:rtl/>
        </w:rPr>
        <w:t xml:space="preserve"> (ד"ה אגב קטמיה)</w:t>
      </w:r>
      <w:r>
        <w:rPr>
          <w:rFonts w:cs="Arial" w:hint="cs"/>
          <w:rtl/>
        </w:rPr>
        <w:t xml:space="preserve">- </w:t>
      </w:r>
      <w:r w:rsidRPr="009931C8">
        <w:rPr>
          <w:rFonts w:cs="Arial"/>
          <w:rtl/>
        </w:rPr>
        <w:t>שהיו צריכין לאפרו לכסות רוק או צואה, ואם תאמר: מה צד איסור יש כאן, היינו רבותא, דאע</w:t>
      </w:r>
      <w:r>
        <w:rPr>
          <w:rFonts w:cs="Arial" w:hint="cs"/>
          <w:rtl/>
        </w:rPr>
        <w:t>"</w:t>
      </w:r>
      <w:r w:rsidRPr="009931C8">
        <w:rPr>
          <w:rFonts w:cs="Arial"/>
          <w:rtl/>
        </w:rPr>
        <w:t>ג דאיכא עליה שברי עצים, והא דר' רומנוס נמי האי מחתה באפרה דקאמר מחתה בשביל אפרה שהיה צריך לו, ודעתייהו עליה מאתמול, ורבותא אשמעינן, אע</w:t>
      </w:r>
      <w:r>
        <w:rPr>
          <w:rFonts w:cs="Arial" w:hint="cs"/>
          <w:rtl/>
        </w:rPr>
        <w:t>"</w:t>
      </w:r>
      <w:r w:rsidRPr="009931C8">
        <w:rPr>
          <w:rFonts w:cs="Arial"/>
          <w:rtl/>
        </w:rPr>
        <w:t>ג דאיכא עליה שברי עצים דהוי ככלכלה של פירות והאבן בתוכה</w:t>
      </w:r>
      <w:r>
        <w:rPr>
          <w:rFonts w:cs="Arial" w:hint="cs"/>
          <w:rtl/>
        </w:rPr>
        <w:t>.</w:t>
      </w:r>
      <w:r w:rsidRPr="00105302">
        <w:rPr>
          <w:rFonts w:cs="Arial" w:hint="cs"/>
          <w:sz w:val="16"/>
          <w:szCs w:val="16"/>
          <w:rtl/>
        </w:rPr>
        <w:t xml:space="preserve"> (</w:t>
      </w:r>
      <w:r w:rsidRPr="00105302">
        <w:rPr>
          <w:rFonts w:cs="Arial"/>
          <w:sz w:val="16"/>
          <w:szCs w:val="16"/>
          <w:rtl/>
        </w:rPr>
        <w:t>ו</w:t>
      </w:r>
      <w:r>
        <w:rPr>
          <w:rFonts w:cs="Arial" w:hint="cs"/>
          <w:sz w:val="16"/>
          <w:szCs w:val="16"/>
          <w:rtl/>
        </w:rPr>
        <w:t>כתב הב"י ש</w:t>
      </w:r>
      <w:r w:rsidRPr="00105302">
        <w:rPr>
          <w:rFonts w:cs="Arial"/>
          <w:sz w:val="16"/>
          <w:szCs w:val="16"/>
          <w:rtl/>
        </w:rPr>
        <w:t>כן פירשו התוספות (ד"ה הנח) והרא"ש (סי' כב)</w:t>
      </w:r>
      <w:r w:rsidRPr="00105302">
        <w:rPr>
          <w:rFonts w:cs="Arial" w:hint="cs"/>
          <w:sz w:val="16"/>
          <w:szCs w:val="16"/>
          <w:rtl/>
        </w:rPr>
        <w:t>,</w:t>
      </w:r>
      <w:r w:rsidRPr="00105302">
        <w:rPr>
          <w:rFonts w:cs="Arial"/>
          <w:sz w:val="16"/>
          <w:szCs w:val="16"/>
          <w:rtl/>
        </w:rPr>
        <w:t xml:space="preserve"> וכן פירש ה</w:t>
      </w:r>
      <w:r w:rsidRPr="00105302">
        <w:rPr>
          <w:rFonts w:cs="Arial" w:hint="cs"/>
          <w:sz w:val="16"/>
          <w:szCs w:val="16"/>
          <w:rtl/>
        </w:rPr>
        <w:t>ה"</w:t>
      </w:r>
      <w:r w:rsidRPr="00105302">
        <w:rPr>
          <w:rFonts w:cs="Arial"/>
          <w:sz w:val="16"/>
          <w:szCs w:val="16"/>
          <w:rtl/>
        </w:rPr>
        <w:t>מ בפכ"ו (הי"ג)</w:t>
      </w:r>
      <w:r>
        <w:rPr>
          <w:rFonts w:hint="cs"/>
          <w:sz w:val="16"/>
          <w:szCs w:val="16"/>
          <w:rtl/>
        </w:rPr>
        <w:t>)</w:t>
      </w:r>
      <w:r w:rsidR="00247DE4" w:rsidRPr="00247DE4">
        <w:rPr>
          <w:rFonts w:hint="cs"/>
          <w:color w:val="E36C0A" w:themeColor="accent6" w:themeShade="BF"/>
          <w:rtl/>
        </w:rPr>
        <w:t xml:space="preserve"> </w:t>
      </w:r>
      <w:r w:rsidR="00247DE4" w:rsidRPr="00B05450">
        <w:rPr>
          <w:rFonts w:hint="cs"/>
          <w:color w:val="E36C0A" w:themeColor="accent6" w:themeShade="BF"/>
          <w:rtl/>
        </w:rPr>
        <w:t>(וכ"פ בשו"ע)</w:t>
      </w:r>
    </w:p>
    <w:p w14:paraId="7C69CAB4" w14:textId="110471D7" w:rsidR="00105302" w:rsidRDefault="00105302" w:rsidP="00285819">
      <w:pPr>
        <w:pStyle w:val="a7"/>
        <w:numPr>
          <w:ilvl w:val="0"/>
          <w:numId w:val="17"/>
        </w:numPr>
      </w:pPr>
      <w:r w:rsidRPr="00BF4888">
        <w:rPr>
          <w:rFonts w:cs="Arial"/>
          <w:rtl/>
        </w:rPr>
        <w:t xml:space="preserve">רמב"ן </w:t>
      </w:r>
      <w:r w:rsidRPr="00BF4888">
        <w:rPr>
          <w:rFonts w:cs="Arial"/>
          <w:sz w:val="16"/>
          <w:szCs w:val="16"/>
          <w:rtl/>
        </w:rPr>
        <w:t>(מז. ד"ה מחתה)</w:t>
      </w:r>
      <w:r w:rsidRPr="00BF4888">
        <w:rPr>
          <w:rFonts w:cs="Arial" w:hint="cs"/>
          <w:rtl/>
        </w:rPr>
        <w:t xml:space="preserve">- </w:t>
      </w:r>
      <w:r w:rsidRPr="00BF4888">
        <w:rPr>
          <w:rFonts w:cs="Arial"/>
          <w:rtl/>
        </w:rPr>
        <w:t>אפילו באפר שאינו ראוי שרי</w:t>
      </w:r>
      <w:r>
        <w:rPr>
          <w:rFonts w:cs="Arial" w:hint="cs"/>
          <w:rtl/>
        </w:rPr>
        <w:t>,</w:t>
      </w:r>
      <w:r w:rsidRPr="00BF4888">
        <w:rPr>
          <w:rFonts w:cs="Arial"/>
          <w:rtl/>
        </w:rPr>
        <w:t xml:space="preserve"> והכי קאמר מטלטלין כנונא אגב קיטמיה כלומר שאע</w:t>
      </w:r>
      <w:r>
        <w:rPr>
          <w:rFonts w:cs="Arial" w:hint="cs"/>
          <w:rtl/>
        </w:rPr>
        <w:t>"</w:t>
      </w:r>
      <w:r w:rsidRPr="00BF4888">
        <w:rPr>
          <w:rFonts w:cs="Arial"/>
          <w:rtl/>
        </w:rPr>
        <w:t>פ שהאפר אינו ראוי</w:t>
      </w:r>
      <w:r>
        <w:rPr>
          <w:rFonts w:cs="Arial" w:hint="cs"/>
          <w:rtl/>
        </w:rPr>
        <w:t>,</w:t>
      </w:r>
      <w:r w:rsidRPr="00BF4888">
        <w:rPr>
          <w:rFonts w:cs="Arial"/>
          <w:rtl/>
        </w:rPr>
        <w:t xml:space="preserve"> ואיכא נמי בתוך הכנונא דבר אחר שאינו ראוי לטלטל דהיינו שברי עצים</w:t>
      </w:r>
      <w:r>
        <w:rPr>
          <w:rFonts w:cs="Arial" w:hint="cs"/>
          <w:rtl/>
        </w:rPr>
        <w:t>,</w:t>
      </w:r>
      <w:r w:rsidRPr="00BF4888">
        <w:rPr>
          <w:rFonts w:cs="Arial"/>
          <w:rtl/>
        </w:rPr>
        <w:t xml:space="preserve"> אפילו הכי כיון שהמחתה מותרת לטלטלה מפני שהיא ראויה לתשמיש </w:t>
      </w:r>
      <w:r>
        <w:rPr>
          <w:rFonts w:cs="Arial" w:hint="cs"/>
          <w:rtl/>
        </w:rPr>
        <w:t xml:space="preserve">- </w:t>
      </w:r>
      <w:r w:rsidRPr="00BF4888">
        <w:rPr>
          <w:rFonts w:cs="Arial"/>
          <w:rtl/>
        </w:rPr>
        <w:t>אין אוסרין אותה מפני אפר ושברי עצים שבה משום דהנהו מילי טפלים הם לכלי ובטלי אגבה ולא הויא מחתה לדידהו בסיס לדבר האסור</w:t>
      </w:r>
      <w:r>
        <w:rPr>
          <w:rFonts w:hint="cs"/>
          <w:rtl/>
        </w:rPr>
        <w:t>.</w:t>
      </w:r>
      <w:r w:rsidRPr="00105302">
        <w:rPr>
          <w:rFonts w:cs="Arial" w:hint="cs"/>
          <w:sz w:val="16"/>
          <w:szCs w:val="16"/>
          <w:rtl/>
        </w:rPr>
        <w:t xml:space="preserve"> (</w:t>
      </w:r>
      <w:r>
        <w:rPr>
          <w:rFonts w:cs="Arial" w:hint="cs"/>
          <w:sz w:val="16"/>
          <w:szCs w:val="16"/>
          <w:rtl/>
        </w:rPr>
        <w:t>הביאו ה</w:t>
      </w:r>
      <w:r w:rsidRPr="00105302">
        <w:rPr>
          <w:rFonts w:cs="Arial"/>
          <w:sz w:val="16"/>
          <w:szCs w:val="16"/>
          <w:rtl/>
        </w:rPr>
        <w:t>ר"ן (כא: דבור ראשון)</w:t>
      </w:r>
      <w:r>
        <w:rPr>
          <w:rFonts w:cs="Arial" w:hint="cs"/>
          <w:sz w:val="16"/>
          <w:szCs w:val="16"/>
          <w:rtl/>
        </w:rPr>
        <w:t xml:space="preserve"> וכתב- </w:t>
      </w:r>
      <w:r w:rsidRPr="00105302">
        <w:rPr>
          <w:rFonts w:cs="Arial"/>
          <w:sz w:val="16"/>
          <w:szCs w:val="16"/>
          <w:rtl/>
        </w:rPr>
        <w:t>ולא נראה לי שיהא דעת הרי"ף כן דלדידן דלא קיימא לן כרבי שמעון במוקצה מחמת איסור לא משכחת לה שיהא האפר דבר שאינו ניטל ותהיה הכנונא מותרת אלא כשהסיקו גוי בשבת דלא אתקצאי בין השמשות אי נמי באפר שהוסק מערב שבת אלא שאינו ראוי לטלטלו מפני שנפלו עליו מים וכיוצא בו וכל כיוצא בזה היה לו להרי"ף לפרש</w:t>
      </w:r>
      <w:r>
        <w:rPr>
          <w:rFonts w:cs="Arial" w:hint="cs"/>
          <w:sz w:val="16"/>
          <w:szCs w:val="16"/>
          <w:rtl/>
        </w:rPr>
        <w:t>)</w:t>
      </w:r>
    </w:p>
    <w:p w14:paraId="0D0F3603" w14:textId="7E275A7F" w:rsidR="009931C8" w:rsidRDefault="00105302" w:rsidP="00285819">
      <w:pPr>
        <w:pStyle w:val="a7"/>
        <w:numPr>
          <w:ilvl w:val="0"/>
          <w:numId w:val="17"/>
        </w:numPr>
      </w:pPr>
      <w:r>
        <w:rPr>
          <w:rFonts w:hint="cs"/>
          <w:rtl/>
        </w:rPr>
        <w:t xml:space="preserve">ראב"ד </w:t>
      </w:r>
      <w:r w:rsidRPr="00105302">
        <w:rPr>
          <w:rFonts w:hint="cs"/>
          <w:sz w:val="16"/>
          <w:szCs w:val="16"/>
          <w:rtl/>
        </w:rPr>
        <w:t>(פכ"ו הי"ג בהשגות)</w:t>
      </w:r>
      <w:r>
        <w:rPr>
          <w:rFonts w:hint="cs"/>
          <w:rtl/>
        </w:rPr>
        <w:t xml:space="preserve">- </w:t>
      </w:r>
      <w:r w:rsidRPr="00DD292D">
        <w:rPr>
          <w:rFonts w:cs="Arial"/>
          <w:rtl/>
        </w:rPr>
        <w:t xml:space="preserve">הגמרא </w:t>
      </w:r>
      <w:r>
        <w:rPr>
          <w:rFonts w:cs="Arial" w:hint="cs"/>
          <w:rtl/>
        </w:rPr>
        <w:t xml:space="preserve">מיירי </w:t>
      </w:r>
      <w:r w:rsidRPr="00DD292D">
        <w:rPr>
          <w:rFonts w:cs="Arial"/>
          <w:rtl/>
        </w:rPr>
        <w:t>שהיה בו מקצת אפר שהוסק מערב שבת ומקצת שהוסק בשבת</w:t>
      </w:r>
      <w:r>
        <w:rPr>
          <w:rFonts w:cs="Arial" w:hint="cs"/>
          <w:rtl/>
        </w:rPr>
        <w:t>,</w:t>
      </w:r>
      <w:r w:rsidRPr="00DD292D">
        <w:rPr>
          <w:rFonts w:cs="Arial"/>
          <w:rtl/>
        </w:rPr>
        <w:t xml:space="preserve"> וכלי שנעשה בסיס לאיסור ולהיתר מותר לטלטלו</w:t>
      </w:r>
      <w:r w:rsidR="00BF4888">
        <w:rPr>
          <w:rFonts w:hint="cs"/>
          <w:rtl/>
        </w:rPr>
        <w:t>.</w:t>
      </w:r>
    </w:p>
    <w:p w14:paraId="46C7BBC3" w14:textId="46B9BFA8" w:rsidR="00C23CA6" w:rsidRDefault="00C23CA6" w:rsidP="00285819">
      <w:pPr>
        <w:pStyle w:val="a7"/>
        <w:numPr>
          <w:ilvl w:val="0"/>
          <w:numId w:val="17"/>
        </w:numPr>
      </w:pPr>
      <w:r>
        <w:rPr>
          <w:rFonts w:hint="cs"/>
          <w:rtl/>
        </w:rPr>
        <w:t xml:space="preserve">רמב"ם </w:t>
      </w:r>
      <w:r w:rsidRPr="00DD292D">
        <w:rPr>
          <w:rFonts w:cs="Arial" w:hint="cs"/>
          <w:sz w:val="16"/>
          <w:szCs w:val="16"/>
          <w:rtl/>
        </w:rPr>
        <w:t>(</w:t>
      </w:r>
      <w:r w:rsidRPr="00DD292D">
        <w:rPr>
          <w:rFonts w:cs="Arial"/>
          <w:sz w:val="16"/>
          <w:szCs w:val="16"/>
          <w:rtl/>
        </w:rPr>
        <w:t>פכ"ו הי"ג)</w:t>
      </w:r>
      <w:r>
        <w:rPr>
          <w:rFonts w:hint="cs"/>
          <w:rtl/>
        </w:rPr>
        <w:t>-</w:t>
      </w:r>
      <w:r w:rsidRPr="00DD292D">
        <w:rPr>
          <w:rtl/>
        </w:rPr>
        <w:t xml:space="preserve"> </w:t>
      </w:r>
      <w:r w:rsidRPr="00DD292D">
        <w:rPr>
          <w:rFonts w:cs="Arial"/>
          <w:rtl/>
        </w:rPr>
        <w:t>ומטלטלין כנונא מפני אפרו אע</w:t>
      </w:r>
      <w:r>
        <w:rPr>
          <w:rFonts w:cs="Arial" w:hint="cs"/>
          <w:rtl/>
        </w:rPr>
        <w:t>"</w:t>
      </w:r>
      <w:r w:rsidRPr="00DD292D">
        <w:rPr>
          <w:rFonts w:cs="Arial"/>
          <w:rtl/>
        </w:rPr>
        <w:t>פ שיש עליו שברי עצים מפני שהוא כגרף של רעי</w:t>
      </w:r>
      <w:r>
        <w:rPr>
          <w:rFonts w:hint="cs"/>
          <w:rtl/>
        </w:rPr>
        <w:t>.</w:t>
      </w:r>
      <w:r w:rsidR="00247DE4" w:rsidRPr="00247DE4">
        <w:rPr>
          <w:rFonts w:hint="cs"/>
          <w:sz w:val="16"/>
          <w:szCs w:val="16"/>
          <w:rtl/>
        </w:rPr>
        <w:t xml:space="preserve"> (</w:t>
      </w:r>
      <w:r w:rsidR="00247DE4" w:rsidRPr="00247DE4">
        <w:rPr>
          <w:rFonts w:cs="Arial"/>
          <w:sz w:val="16"/>
          <w:szCs w:val="16"/>
          <w:rtl/>
        </w:rPr>
        <w:t>ונדחק הרב המגיד בפירוש ההלכה לדעתו</w:t>
      </w:r>
      <w:r w:rsidR="00247DE4" w:rsidRPr="00247DE4">
        <w:rPr>
          <w:rFonts w:cs="Arial" w:hint="cs"/>
          <w:sz w:val="16"/>
          <w:szCs w:val="16"/>
          <w:rtl/>
        </w:rPr>
        <w:t>, ב"י</w:t>
      </w:r>
      <w:r w:rsidR="00247DE4">
        <w:rPr>
          <w:rFonts w:cs="Arial" w:hint="cs"/>
          <w:sz w:val="16"/>
          <w:szCs w:val="16"/>
          <w:rtl/>
        </w:rPr>
        <w:t>)</w:t>
      </w:r>
    </w:p>
  </w:footnote>
  <w:footnote w:id="1866">
    <w:p w14:paraId="78410BC8" w14:textId="68B3B782" w:rsidR="00BC4D0D" w:rsidRDefault="00BC4D0D" w:rsidP="00285819">
      <w:pPr>
        <w:pStyle w:val="a7"/>
        <w:rPr>
          <w:rtl/>
        </w:rPr>
      </w:pPr>
      <w:r>
        <w:rPr>
          <w:rStyle w:val="a9"/>
        </w:rPr>
        <w:footnoteRef/>
      </w:r>
      <w:r>
        <w:rPr>
          <w:rtl/>
        </w:rPr>
        <w:t xml:space="preserve"> </w:t>
      </w:r>
      <w:r w:rsidRPr="00BC4D0D">
        <w:rPr>
          <w:rFonts w:cs="Arial"/>
          <w:rtl/>
        </w:rPr>
        <w:t>משום דלא איפשר למינקט קיטמא לחודה אפילו אי שדי ליה מכנונא</w:t>
      </w:r>
      <w:r>
        <w:rPr>
          <w:rFonts w:cs="Arial" w:hint="cs"/>
          <w:rtl/>
        </w:rPr>
        <w:t>,</w:t>
      </w:r>
      <w:r w:rsidRPr="00BC4D0D">
        <w:rPr>
          <w:rFonts w:cs="Arial"/>
          <w:rtl/>
        </w:rPr>
        <w:t xml:space="preserve"> </w:t>
      </w:r>
      <w:r w:rsidRPr="00BC4D0D">
        <w:rPr>
          <w:rFonts w:cs="Arial"/>
          <w:b/>
          <w:bCs/>
          <w:rtl/>
        </w:rPr>
        <w:t>רא"ש</w:t>
      </w:r>
      <w:r>
        <w:rPr>
          <w:rFonts w:cs="Arial"/>
          <w:rtl/>
        </w:rPr>
        <w:t xml:space="preserve"> (כלל כב סי' ח דרך הג')</w:t>
      </w:r>
      <w:r>
        <w:rPr>
          <w:rFonts w:cs="Arial" w:hint="cs"/>
          <w:rtl/>
        </w:rPr>
        <w:t>.</w:t>
      </w:r>
      <w:r>
        <w:rPr>
          <w:rFonts w:cs="Arial"/>
          <w:rtl/>
        </w:rPr>
        <w:t xml:space="preserve"> ומשמע דטעמא משום דשברי עצים היינו שברים או פחמין קטנים שאי אפשר ליטול האפר מבלעדם</w:t>
      </w:r>
      <w:r>
        <w:rPr>
          <w:rFonts w:cs="Arial" w:hint="cs"/>
          <w:rtl/>
        </w:rPr>
        <w:t>.</w:t>
      </w:r>
      <w:r>
        <w:rPr>
          <w:rFonts w:cs="Arial"/>
          <w:rtl/>
        </w:rPr>
        <w:t xml:space="preserve"> ונראה מדבריו שם דלא שרי' לטלטולי כנונא אגב קיטמיה אלא בצריך לאפר או למקום הכנונא</w:t>
      </w:r>
      <w:r>
        <w:rPr>
          <w:rFonts w:cs="Arial" w:hint="cs"/>
          <w:rtl/>
        </w:rPr>
        <w:t>,</w:t>
      </w:r>
      <w:r>
        <w:rPr>
          <w:rFonts w:cs="Arial"/>
          <w:rtl/>
        </w:rPr>
        <w:t xml:space="preserve"> אבל אם אינו צריך אלא לגוף הכנונא</w:t>
      </w:r>
      <w:r>
        <w:rPr>
          <w:rFonts w:cs="Arial" w:hint="cs"/>
          <w:rtl/>
        </w:rPr>
        <w:t xml:space="preserve"> -</w:t>
      </w:r>
      <w:r>
        <w:rPr>
          <w:rFonts w:cs="Arial"/>
          <w:rtl/>
        </w:rPr>
        <w:t xml:space="preserve"> ינער האפר ושברי העצים במקומם ויטול הכנונא ולא יטלטלנה כמות שהיא</w:t>
      </w:r>
      <w:r>
        <w:rPr>
          <w:rFonts w:cs="Arial" w:hint="cs"/>
          <w:rtl/>
        </w:rPr>
        <w:t xml:space="preserve">, </w:t>
      </w:r>
      <w:r w:rsidRPr="00BC4D0D">
        <w:rPr>
          <w:rFonts w:cs="Arial" w:hint="cs"/>
          <w:b/>
          <w:bCs/>
          <w:rtl/>
        </w:rPr>
        <w:t>ב"י</w:t>
      </w:r>
      <w:r>
        <w:rPr>
          <w:rFonts w:cs="Arial" w:hint="cs"/>
          <w:rtl/>
        </w:rPr>
        <w:t>.</w:t>
      </w:r>
      <w:r w:rsidR="00247DE4" w:rsidRPr="00247DE4">
        <w:rPr>
          <w:rFonts w:hint="cs"/>
          <w:color w:val="E36C0A" w:themeColor="accent6" w:themeShade="BF"/>
          <w:rtl/>
        </w:rPr>
        <w:t xml:space="preserve"> </w:t>
      </w:r>
      <w:r w:rsidR="00247DE4" w:rsidRPr="00B05450">
        <w:rPr>
          <w:rFonts w:hint="cs"/>
          <w:color w:val="E36C0A" w:themeColor="accent6" w:themeShade="BF"/>
          <w:rtl/>
        </w:rPr>
        <w:t>(וכ"פ בשו"ע)</w:t>
      </w:r>
      <w:r w:rsidR="00247DE4" w:rsidRPr="00247DE4">
        <w:rPr>
          <w:rFonts w:hint="cs"/>
          <w:color w:val="00B0F0"/>
          <w:rtl/>
        </w:rPr>
        <w:t>(וכ"פ הרמ"א)</w:t>
      </w:r>
    </w:p>
  </w:footnote>
  <w:footnote w:id="1867">
    <w:p w14:paraId="50BCCAD2" w14:textId="32312D8D" w:rsidR="00BC4D0D" w:rsidRDefault="00BC4D0D" w:rsidP="00285819">
      <w:pPr>
        <w:pStyle w:val="a7"/>
        <w:rPr>
          <w:rtl/>
        </w:rPr>
      </w:pPr>
      <w:r>
        <w:rPr>
          <w:rStyle w:val="a9"/>
        </w:rPr>
        <w:footnoteRef/>
      </w:r>
      <w:r>
        <w:rPr>
          <w:rtl/>
        </w:rPr>
        <w:t xml:space="preserve"> </w:t>
      </w:r>
      <w:r w:rsidRPr="00BC4D0D">
        <w:rPr>
          <w:rFonts w:cs="Arial"/>
          <w:rtl/>
        </w:rPr>
        <w:t>ר' יהודה ור' שמעון שנחלקו בנר ישן</w:t>
      </w:r>
      <w:r>
        <w:rPr>
          <w:rFonts w:hint="cs"/>
          <w:rtl/>
        </w:rPr>
        <w:t>, רש"י.</w:t>
      </w:r>
    </w:p>
  </w:footnote>
  <w:footnote w:id="1868">
    <w:p w14:paraId="4703CF16" w14:textId="33807652" w:rsidR="00BC4D0D" w:rsidRDefault="00BC4D0D" w:rsidP="00285819">
      <w:pPr>
        <w:pStyle w:val="a7"/>
        <w:rPr>
          <w:rtl/>
        </w:rPr>
      </w:pPr>
      <w:r>
        <w:rPr>
          <w:rStyle w:val="a9"/>
        </w:rPr>
        <w:footnoteRef/>
      </w:r>
      <w:r>
        <w:rPr>
          <w:rtl/>
        </w:rPr>
        <w:t xml:space="preserve"> </w:t>
      </w:r>
      <w:r w:rsidRPr="00BC4D0D">
        <w:rPr>
          <w:rFonts w:cs="Arial"/>
          <w:rtl/>
        </w:rPr>
        <w:t>שחשובות להן שברי פתילה, שאין בגדים של פשתן מצויין להם - הלכך לא בטלי, ונעשה נר בסיס להן</w:t>
      </w:r>
      <w:r>
        <w:rPr>
          <w:rFonts w:hint="cs"/>
          <w:rtl/>
        </w:rPr>
        <w:t xml:space="preserve">, </w:t>
      </w:r>
      <w:r w:rsidRPr="004245A4">
        <w:rPr>
          <w:rFonts w:hint="cs"/>
          <w:b/>
          <w:bCs/>
          <w:rtl/>
        </w:rPr>
        <w:t>רש"י</w:t>
      </w:r>
      <w:r>
        <w:rPr>
          <w:rFonts w:hint="cs"/>
          <w:rtl/>
        </w:rPr>
        <w:t>.</w:t>
      </w:r>
      <w:r w:rsidR="00105302" w:rsidRPr="00105302">
        <w:rPr>
          <w:rFonts w:cs="Arial"/>
          <w:rtl/>
        </w:rPr>
        <w:t xml:space="preserve"> </w:t>
      </w:r>
      <w:r w:rsidR="00105302">
        <w:rPr>
          <w:rFonts w:cs="Arial"/>
          <w:rtl/>
        </w:rPr>
        <w:t>וכתבו התוספות (ד"ה בגלילא) דאין נראה לרבינו תם אלא הכי פירושו בגלילא שנו שהיה להם רוב שמן ולהכי לא בטלי שברי פתילה אגב שמן עכ"ל</w:t>
      </w:r>
      <w:r w:rsidR="004245A4">
        <w:rPr>
          <w:rFonts w:cs="Arial" w:hint="cs"/>
          <w:rtl/>
        </w:rPr>
        <w:t>.</w:t>
      </w:r>
      <w:r w:rsidR="00105302">
        <w:rPr>
          <w:rFonts w:cs="Arial"/>
          <w:rtl/>
        </w:rPr>
        <w:t xml:space="preserve"> ודברי רבינו כפירוש רבינו תם</w:t>
      </w:r>
      <w:r w:rsidR="004245A4">
        <w:rPr>
          <w:rFonts w:cs="Arial" w:hint="cs"/>
          <w:rtl/>
        </w:rPr>
        <w:t xml:space="preserve">, </w:t>
      </w:r>
      <w:r w:rsidR="004245A4" w:rsidRPr="004245A4">
        <w:rPr>
          <w:rFonts w:cs="Arial" w:hint="cs"/>
          <w:b/>
          <w:bCs/>
          <w:rtl/>
        </w:rPr>
        <w:t>ב"י</w:t>
      </w:r>
      <w:r w:rsidR="00105302">
        <w:rPr>
          <w:rFonts w:cs="Arial" w:hint="cs"/>
          <w:rtl/>
        </w:rPr>
        <w:t>.</w:t>
      </w:r>
    </w:p>
  </w:footnote>
  <w:footnote w:id="1869">
    <w:p w14:paraId="51BB22B4" w14:textId="7EAE3307" w:rsidR="001F3AFF" w:rsidRDefault="001F3AFF" w:rsidP="00285819">
      <w:pPr>
        <w:pStyle w:val="a7"/>
      </w:pPr>
      <w:r>
        <w:rPr>
          <w:rStyle w:val="a9"/>
        </w:rPr>
        <w:footnoteRef/>
      </w:r>
      <w:r>
        <w:rPr>
          <w:rtl/>
        </w:rPr>
        <w:t xml:space="preserve"> </w:t>
      </w:r>
      <w:r w:rsidRPr="001F3AFF">
        <w:rPr>
          <w:rFonts w:cs="Arial"/>
          <w:rtl/>
        </w:rPr>
        <w:t>לאפוקי אם הוסק בשבת דאסור בזה לכו"ע משום נולד דנעשה מעשה חדש</w:t>
      </w:r>
      <w:r>
        <w:rPr>
          <w:rFonts w:cs="Arial" w:hint="cs"/>
          <w:rtl/>
        </w:rPr>
        <w:t>,</w:t>
      </w:r>
      <w:r w:rsidRPr="001F3AFF">
        <w:rPr>
          <w:rFonts w:cs="Arial"/>
          <w:rtl/>
        </w:rPr>
        <w:t xml:space="preserve"> דמעיקרא עצים והשתא אפר</w:t>
      </w:r>
      <w:r>
        <w:rPr>
          <w:rFonts w:cs="Arial" w:hint="cs"/>
          <w:rtl/>
        </w:rPr>
        <w:t>.</w:t>
      </w:r>
      <w:r w:rsidRPr="001F3AFF">
        <w:rPr>
          <w:rFonts w:cs="Arial"/>
          <w:rtl/>
        </w:rPr>
        <w:t xml:space="preserve"> ואם נתערב אפר המותר באפר האסור והאיסור לא היה ניכר קודם שנתערב</w:t>
      </w:r>
      <w:r>
        <w:rPr>
          <w:rFonts w:cs="Arial" w:hint="cs"/>
          <w:rtl/>
        </w:rPr>
        <w:t xml:space="preserve"> -</w:t>
      </w:r>
      <w:r w:rsidRPr="001F3AFF">
        <w:rPr>
          <w:rFonts w:cs="Arial"/>
          <w:rtl/>
        </w:rPr>
        <w:t xml:space="preserve"> בטל ברוב</w:t>
      </w:r>
      <w:r>
        <w:rPr>
          <w:rFonts w:cs="Arial" w:hint="cs"/>
          <w:rtl/>
        </w:rPr>
        <w:t>.</w:t>
      </w:r>
      <w:r w:rsidRPr="001F3AFF">
        <w:rPr>
          <w:rFonts w:cs="Arial"/>
          <w:rtl/>
        </w:rPr>
        <w:t xml:space="preserve"> דאי היה ניכר קי"ל דדשיל"מ אפילו באלף לא בטל</w:t>
      </w:r>
      <w:r>
        <w:rPr>
          <w:rFonts w:cs="Arial" w:hint="cs"/>
          <w:rtl/>
        </w:rPr>
        <w:t>,</w:t>
      </w:r>
      <w:r w:rsidRPr="001F3AFF">
        <w:rPr>
          <w:rFonts w:cs="Arial"/>
          <w:rtl/>
        </w:rPr>
        <w:t xml:space="preserve"> ומוקצה יש לה מתירין בערב. כתב הח"א נ"ל דמים הנוטפין מן האילנות בימי ניסן אסורין ג"כ משום נולד ואפילו יש כבר כלי עם מים מע"ש שנוטף לתוכו אפ"ה אסור ולא אמרינן בזה דבטל דהא טיפה הנוטפת היתה ניכר קודם שנתערב בהמים וקי"ל דדבר שיש לו מתירין אפילו באלף לא בטיל</w:t>
      </w:r>
      <w:r>
        <w:rPr>
          <w:rFonts w:cs="Arial" w:hint="cs"/>
          <w:rtl/>
        </w:rPr>
        <w:t>, משנ"ב (סקל"ב).</w:t>
      </w:r>
    </w:p>
  </w:footnote>
  <w:footnote w:id="1870">
    <w:p w14:paraId="6C77ECCF" w14:textId="368E2331" w:rsidR="00C555B3" w:rsidRDefault="00C555B3" w:rsidP="00285819">
      <w:pPr>
        <w:pStyle w:val="a7"/>
      </w:pPr>
      <w:r>
        <w:rPr>
          <w:rStyle w:val="a9"/>
        </w:rPr>
        <w:footnoteRef/>
      </w:r>
      <w:r>
        <w:rPr>
          <w:rtl/>
        </w:rPr>
        <w:t xml:space="preserve"> </w:t>
      </w:r>
      <w:r w:rsidRPr="00C555B3">
        <w:rPr>
          <w:rFonts w:cs="Arial"/>
          <w:rtl/>
        </w:rPr>
        <w:t>ואם שניהם שוין אסור. כתבו הפוסקים דאם לכל העולם ההיתר חשוב יותר ולדידיה אינו חשוב אזלינן בתר דידיה וה"ה איפכא</w:t>
      </w:r>
      <w:r>
        <w:rPr>
          <w:rFonts w:cs="Arial" w:hint="cs"/>
          <w:rtl/>
        </w:rPr>
        <w:t>, משנ"ב (סקל"ג).</w:t>
      </w:r>
    </w:p>
  </w:footnote>
  <w:footnote w:id="1871">
    <w:p w14:paraId="5963B9DD" w14:textId="77777777" w:rsidR="00C555B3" w:rsidRDefault="00C555B3" w:rsidP="00285819">
      <w:pPr>
        <w:pStyle w:val="a7"/>
      </w:pPr>
      <w:r>
        <w:rPr>
          <w:rStyle w:val="a9"/>
        </w:rPr>
        <w:footnoteRef/>
      </w:r>
      <w:r>
        <w:rPr>
          <w:rtl/>
        </w:rPr>
        <w:t xml:space="preserve"> </w:t>
      </w:r>
      <w:r w:rsidRPr="00FB1400">
        <w:rPr>
          <w:rFonts w:cs="Arial"/>
          <w:rtl/>
        </w:rPr>
        <w:t>רשות הרבים</w:t>
      </w:r>
      <w:r>
        <w:rPr>
          <w:rFonts w:cs="Arial" w:hint="cs"/>
          <w:rtl/>
        </w:rPr>
        <w:t xml:space="preserve">, רש"י. </w:t>
      </w:r>
    </w:p>
  </w:footnote>
  <w:footnote w:id="1872">
    <w:p w14:paraId="450CF962" w14:textId="77777777" w:rsidR="00C555B3" w:rsidRDefault="00C555B3" w:rsidP="00285819">
      <w:pPr>
        <w:pStyle w:val="a7"/>
        <w:rPr>
          <w:rtl/>
        </w:rPr>
      </w:pPr>
      <w:r>
        <w:rPr>
          <w:rStyle w:val="a9"/>
        </w:rPr>
        <w:footnoteRef/>
      </w:r>
      <w:r>
        <w:rPr>
          <w:rtl/>
        </w:rPr>
        <w:t xml:space="preserve"> </w:t>
      </w:r>
      <w:r w:rsidRPr="00833247">
        <w:rPr>
          <w:rFonts w:cs="Arial"/>
          <w:rtl/>
        </w:rPr>
        <w:t>ונראה לי דאוכלין לאו דוקא</w:t>
      </w:r>
      <w:r>
        <w:rPr>
          <w:rFonts w:cs="Arial" w:hint="cs"/>
          <w:rtl/>
        </w:rPr>
        <w:t>,</w:t>
      </w:r>
      <w:r w:rsidRPr="00833247">
        <w:rPr>
          <w:rFonts w:cs="Arial"/>
          <w:rtl/>
        </w:rPr>
        <w:t xml:space="preserve"> דהוא הדין לכל דבר המותר לטלטל</w:t>
      </w:r>
      <w:r>
        <w:rPr>
          <w:rFonts w:hint="cs"/>
          <w:rtl/>
        </w:rPr>
        <w:t>, ב"י.</w:t>
      </w:r>
    </w:p>
  </w:footnote>
  <w:footnote w:id="1873">
    <w:p w14:paraId="5118DBA6" w14:textId="77777777" w:rsidR="00C555B3" w:rsidRPr="001F3AFF" w:rsidRDefault="00C555B3" w:rsidP="00285819">
      <w:pPr>
        <w:pStyle w:val="a7"/>
        <w:rPr>
          <w:rtl/>
        </w:rPr>
      </w:pPr>
      <w:r>
        <w:rPr>
          <w:rStyle w:val="a9"/>
        </w:rPr>
        <w:footnoteRef/>
      </w:r>
      <w:r>
        <w:rPr>
          <w:rtl/>
        </w:rPr>
        <w:t xml:space="preserve"> </w:t>
      </w:r>
      <w:r>
        <w:rPr>
          <w:rFonts w:hint="cs"/>
          <w:rtl/>
        </w:rPr>
        <w:t xml:space="preserve">דווקא בכה"ג, דהמעות הינם מוקצה מחמת גופו, ולכן גם הבסיס נהפך למוקצה מחמת גופו. אך אם דבר האיסור הוא מוקצה מחמת איסור כבר נתבאר (סי' שח סע' ה) שדעת הרא"ש </w:t>
      </w:r>
      <w:r w:rsidRPr="00CF62AC">
        <w:rPr>
          <w:rFonts w:cs="Arial"/>
          <w:sz w:val="16"/>
          <w:szCs w:val="16"/>
          <w:rtl/>
        </w:rPr>
        <w:t>(כלל כב סי' ח)</w:t>
      </w:r>
      <w:r>
        <w:rPr>
          <w:rFonts w:cs="Arial" w:hint="cs"/>
          <w:rtl/>
        </w:rPr>
        <w:t xml:space="preserve"> ורי"ו</w:t>
      </w:r>
      <w:r w:rsidRPr="0023461B">
        <w:rPr>
          <w:rtl/>
        </w:rPr>
        <w:t xml:space="preserve"> </w:t>
      </w:r>
      <w:r w:rsidRPr="0023461B">
        <w:rPr>
          <w:rFonts w:cs="Arial" w:hint="cs"/>
          <w:sz w:val="16"/>
          <w:szCs w:val="16"/>
          <w:rtl/>
        </w:rPr>
        <w:t>(</w:t>
      </w:r>
      <w:r w:rsidRPr="0023461B">
        <w:rPr>
          <w:rFonts w:cs="Arial"/>
          <w:sz w:val="16"/>
          <w:szCs w:val="16"/>
          <w:rtl/>
        </w:rPr>
        <w:t>תא</w:t>
      </w:r>
      <w:r w:rsidRPr="0023461B">
        <w:rPr>
          <w:rFonts w:cs="Arial" w:hint="cs"/>
          <w:sz w:val="16"/>
          <w:szCs w:val="16"/>
          <w:rtl/>
        </w:rPr>
        <w:t>"</w:t>
      </w:r>
      <w:r w:rsidRPr="0023461B">
        <w:rPr>
          <w:rFonts w:cs="Arial"/>
          <w:sz w:val="16"/>
          <w:szCs w:val="16"/>
          <w:rtl/>
        </w:rPr>
        <w:t>ו ני</w:t>
      </w:r>
      <w:r w:rsidRPr="0023461B">
        <w:rPr>
          <w:rFonts w:cs="Arial" w:hint="cs"/>
          <w:sz w:val="16"/>
          <w:szCs w:val="16"/>
          <w:rtl/>
        </w:rPr>
        <w:t>"</w:t>
      </w:r>
      <w:r w:rsidRPr="0023461B">
        <w:rPr>
          <w:rFonts w:cs="Arial"/>
          <w:sz w:val="16"/>
          <w:szCs w:val="16"/>
          <w:rtl/>
        </w:rPr>
        <w:t>ב חי</w:t>
      </w:r>
      <w:r w:rsidRPr="0023461B">
        <w:rPr>
          <w:rFonts w:cs="Arial" w:hint="cs"/>
          <w:sz w:val="16"/>
          <w:szCs w:val="16"/>
          <w:rtl/>
        </w:rPr>
        <w:t>"</w:t>
      </w:r>
      <w:r w:rsidRPr="0023461B">
        <w:rPr>
          <w:rFonts w:cs="Arial"/>
          <w:sz w:val="16"/>
          <w:szCs w:val="16"/>
          <w:rtl/>
        </w:rPr>
        <w:t>ג פה ב</w:t>
      </w:r>
      <w:r w:rsidRPr="0023461B">
        <w:rPr>
          <w:rFonts w:cs="Arial" w:hint="cs"/>
          <w:sz w:val="16"/>
          <w:szCs w:val="16"/>
          <w:rtl/>
        </w:rPr>
        <w:t>)</w:t>
      </w:r>
      <w:r>
        <w:rPr>
          <w:rFonts w:cs="Arial" w:hint="cs"/>
          <w:sz w:val="16"/>
          <w:szCs w:val="16"/>
          <w:rtl/>
        </w:rPr>
        <w:t xml:space="preserve"> </w:t>
      </w:r>
      <w:r>
        <w:rPr>
          <w:rFonts w:hint="cs"/>
          <w:rtl/>
        </w:rPr>
        <w:t xml:space="preserve">להתיר אגב כיכר או תינוק להרימו אפילו ללא הבסיס, כיון שיש עליו תורת כלי. </w:t>
      </w:r>
      <w:r w:rsidRPr="00431AF6">
        <w:rPr>
          <w:rFonts w:cs="Arial" w:hint="cs"/>
          <w:color w:val="E36C0A" w:themeColor="accent6" w:themeShade="BF"/>
          <w:rtl/>
        </w:rPr>
        <w:t>(וכ"</w:t>
      </w:r>
      <w:r>
        <w:rPr>
          <w:rFonts w:cs="Arial" w:hint="cs"/>
          <w:color w:val="E36C0A" w:themeColor="accent6" w:themeShade="BF"/>
          <w:rtl/>
        </w:rPr>
        <w:t>כ</w:t>
      </w:r>
      <w:r w:rsidRPr="00431AF6">
        <w:rPr>
          <w:rFonts w:cs="Arial" w:hint="cs"/>
          <w:color w:val="E36C0A" w:themeColor="accent6" w:themeShade="BF"/>
          <w:rtl/>
        </w:rPr>
        <w:t xml:space="preserve"> בשו"ע</w:t>
      </w:r>
      <w:r>
        <w:rPr>
          <w:rFonts w:hint="cs"/>
          <w:sz w:val="16"/>
          <w:szCs w:val="16"/>
          <w:rtl/>
        </w:rPr>
        <w:t xml:space="preserve"> </w:t>
      </w:r>
      <w:r w:rsidRPr="001F3AFF">
        <w:rPr>
          <w:rFonts w:hint="cs"/>
          <w:sz w:val="16"/>
          <w:szCs w:val="16"/>
          <w:rtl/>
        </w:rPr>
        <w:t>[</w:t>
      </w:r>
      <w:r>
        <w:rPr>
          <w:rFonts w:hint="cs"/>
          <w:sz w:val="16"/>
          <w:szCs w:val="16"/>
          <w:rtl/>
        </w:rPr>
        <w:t>סי' שח ס"ה</w:t>
      </w:r>
      <w:r w:rsidRPr="001F3AFF">
        <w:rPr>
          <w:rFonts w:hint="cs"/>
          <w:sz w:val="16"/>
          <w:szCs w:val="16"/>
          <w:rtl/>
        </w:rPr>
        <w:t>]</w:t>
      </w:r>
      <w:r w:rsidRPr="001F3AFF">
        <w:rPr>
          <w:rFonts w:hint="cs"/>
          <w:color w:val="E36C0A" w:themeColor="accent6" w:themeShade="BF"/>
          <w:rtl/>
        </w:rPr>
        <w:t>)</w:t>
      </w:r>
      <w:r>
        <w:rPr>
          <w:rFonts w:hint="cs"/>
          <w:rtl/>
        </w:rPr>
        <w:t>.</w:t>
      </w:r>
    </w:p>
  </w:footnote>
  <w:footnote w:id="1874">
    <w:p w14:paraId="56C1EB8B" w14:textId="44DDB5EC" w:rsidR="00285B70" w:rsidRPr="00285B70" w:rsidRDefault="00285B70" w:rsidP="00285819">
      <w:pPr>
        <w:pStyle w:val="a7"/>
        <w:rPr>
          <w:rFonts w:cs="Arial"/>
          <w:rtl/>
        </w:rPr>
      </w:pPr>
      <w:r>
        <w:rPr>
          <w:rStyle w:val="a9"/>
        </w:rPr>
        <w:footnoteRef/>
      </w:r>
      <w:r>
        <w:rPr>
          <w:rtl/>
        </w:rPr>
        <w:t xml:space="preserve"> </w:t>
      </w:r>
      <w:r w:rsidRPr="00285B70">
        <w:rPr>
          <w:rFonts w:cs="Arial"/>
          <w:rtl/>
        </w:rPr>
        <w:t>וקשה מהא דאמר לקמן בפרק כל הכלים (קכג</w:t>
      </w:r>
      <w:r>
        <w:rPr>
          <w:rFonts w:cs="Arial" w:hint="cs"/>
          <w:rtl/>
        </w:rPr>
        <w:t>.</w:t>
      </w:r>
      <w:r w:rsidRPr="00285B70">
        <w:rPr>
          <w:rFonts w:cs="Arial"/>
          <w:rtl/>
        </w:rPr>
        <w:t>) הלכתא כרבי אלעזר בן תדאי דאמר טלטול מן הצד לא שמיה טלטול</w:t>
      </w:r>
      <w:r>
        <w:rPr>
          <w:rFonts w:cs="Arial" w:hint="cs"/>
          <w:rtl/>
        </w:rPr>
        <w:t>.</w:t>
      </w:r>
      <w:r w:rsidRPr="00285B70">
        <w:rPr>
          <w:rFonts w:cs="Arial"/>
          <w:rtl/>
        </w:rPr>
        <w:t xml:space="preserve"> ונראה דע"כ צריך לחלק בענין טלטול מן הצד דהכא סבר רב דשמיה טלטול</w:t>
      </w:r>
      <w:r>
        <w:rPr>
          <w:rFonts w:cs="Arial" w:hint="cs"/>
          <w:rtl/>
        </w:rPr>
        <w:t>,</w:t>
      </w:r>
      <w:r w:rsidRPr="00285B70">
        <w:rPr>
          <w:rFonts w:cs="Arial"/>
          <w:rtl/>
        </w:rPr>
        <w:t xml:space="preserve"> ולקמן בפ' תולין (קמא</w:t>
      </w:r>
      <w:r>
        <w:rPr>
          <w:rFonts w:cs="Arial" w:hint="cs"/>
          <w:rtl/>
        </w:rPr>
        <w:t>.</w:t>
      </w:r>
      <w:r w:rsidRPr="00285B70">
        <w:rPr>
          <w:rFonts w:cs="Arial"/>
          <w:rtl/>
        </w:rPr>
        <w:t>) אמרי בי רב לא שמיה טלטול</w:t>
      </w:r>
      <w:r>
        <w:rPr>
          <w:rFonts w:cs="Arial" w:hint="cs"/>
          <w:rtl/>
        </w:rPr>
        <w:t>,</w:t>
      </w:r>
      <w:r w:rsidRPr="00285B70">
        <w:rPr>
          <w:rFonts w:cs="Arial"/>
          <w:rtl/>
        </w:rPr>
        <w:t xml:space="preserve"> ובכולה הש"ס </w:t>
      </w:r>
      <w:r w:rsidRPr="00285B70">
        <w:rPr>
          <w:rFonts w:cs="Arial"/>
          <w:sz w:val="16"/>
          <w:szCs w:val="16"/>
          <w:rtl/>
        </w:rPr>
        <w:t>(</w:t>
      </w:r>
      <w:r w:rsidRPr="00285B70">
        <w:rPr>
          <w:rFonts w:cs="Arial" w:hint="cs"/>
          <w:sz w:val="16"/>
          <w:szCs w:val="16"/>
          <w:rtl/>
        </w:rPr>
        <w:t xml:space="preserve">ב"מ </w:t>
      </w:r>
      <w:r w:rsidRPr="00285B70">
        <w:rPr>
          <w:rFonts w:cs="Arial"/>
          <w:sz w:val="16"/>
          <w:szCs w:val="16"/>
          <w:rtl/>
        </w:rPr>
        <w:t>קב</w:t>
      </w:r>
      <w:r w:rsidRPr="00285B70">
        <w:rPr>
          <w:rFonts w:cs="Arial" w:hint="cs"/>
          <w:sz w:val="16"/>
          <w:szCs w:val="16"/>
          <w:rtl/>
        </w:rPr>
        <w:t>., ב"ב</w:t>
      </w:r>
      <w:r w:rsidRPr="00285B70">
        <w:rPr>
          <w:rFonts w:cs="Arial"/>
          <w:sz w:val="16"/>
          <w:szCs w:val="16"/>
          <w:rtl/>
        </w:rPr>
        <w:t xml:space="preserve"> קה</w:t>
      </w:r>
      <w:r w:rsidRPr="00285B70">
        <w:rPr>
          <w:rFonts w:cs="Arial" w:hint="cs"/>
          <w:sz w:val="16"/>
          <w:szCs w:val="16"/>
          <w:rtl/>
        </w:rPr>
        <w:t>:</w:t>
      </w:r>
      <w:r w:rsidRPr="00285B70">
        <w:rPr>
          <w:rFonts w:cs="Arial"/>
          <w:sz w:val="16"/>
          <w:szCs w:val="16"/>
          <w:rtl/>
        </w:rPr>
        <w:t>)</w:t>
      </w:r>
      <w:r>
        <w:rPr>
          <w:rFonts w:cs="Arial" w:hint="cs"/>
          <w:rtl/>
        </w:rPr>
        <w:t xml:space="preserve"> </w:t>
      </w:r>
      <w:r w:rsidRPr="00285B70">
        <w:rPr>
          <w:rFonts w:cs="Arial"/>
          <w:rtl/>
        </w:rPr>
        <w:t>משמע דאמרי בי רב היינו רב</w:t>
      </w:r>
      <w:r>
        <w:rPr>
          <w:rFonts w:cs="Arial" w:hint="cs"/>
          <w:rtl/>
        </w:rPr>
        <w:t xml:space="preserve">... </w:t>
      </w:r>
      <w:r w:rsidRPr="00285B70">
        <w:rPr>
          <w:rFonts w:cs="Arial"/>
          <w:rtl/>
        </w:rPr>
        <w:t>וע"ק דהיכי מצי רב למיסר להופכו ממטה למטה והתנן לקמן בפרק נוטל (קמב</w:t>
      </w:r>
      <w:r>
        <w:rPr>
          <w:rFonts w:cs="Arial" w:hint="cs"/>
          <w:rtl/>
        </w:rPr>
        <w:t>:</w:t>
      </w:r>
      <w:r w:rsidRPr="00285B70">
        <w:rPr>
          <w:rFonts w:cs="Arial"/>
          <w:rtl/>
        </w:rPr>
        <w:t>) מעות שעל הכר נוער את הכר והן נופלות. אבן שעל פי החבית מטה על צדה והיא נופלת.</w:t>
      </w:r>
      <w:r>
        <w:rPr>
          <w:rFonts w:cs="Arial" w:hint="cs"/>
          <w:rtl/>
        </w:rPr>
        <w:t>.</w:t>
      </w:r>
      <w:r w:rsidRPr="00285B70">
        <w:rPr>
          <w:rFonts w:cs="Arial"/>
          <w:rtl/>
        </w:rPr>
        <w:t>. ועוד קשה דאפי' רבנן דפליגי עליה דר' אליעזר בן תדאי לקמן בפרק כל הכלים (קכג</w:t>
      </w:r>
      <w:r>
        <w:rPr>
          <w:rFonts w:cs="Arial" w:hint="cs"/>
          <w:rtl/>
        </w:rPr>
        <w:t>.</w:t>
      </w:r>
      <w:r w:rsidRPr="00285B70">
        <w:rPr>
          <w:rFonts w:cs="Arial"/>
          <w:rtl/>
        </w:rPr>
        <w:t>) וסברי דשמיה טלטול מודו דבכה"ג דמת לא חשיב טלטול דהא שרו פגה שהטמינה ברמץ וחררה שהטמינה בגחלים אם מגולה מקצת</w:t>
      </w:r>
      <w:r>
        <w:rPr>
          <w:rFonts w:cs="Arial" w:hint="cs"/>
          <w:rtl/>
        </w:rPr>
        <w:t>.</w:t>
      </w:r>
      <w:r w:rsidRPr="00285B70">
        <w:rPr>
          <w:rFonts w:cs="Arial"/>
          <w:rtl/>
        </w:rPr>
        <w:t xml:space="preserve"> הלכך נראה דלא דמי טלטול דהכא לשאר טלטול</w:t>
      </w:r>
      <w:r>
        <w:rPr>
          <w:rFonts w:cs="Arial" w:hint="cs"/>
          <w:rtl/>
        </w:rPr>
        <w:t>.</w:t>
      </w:r>
      <w:r w:rsidRPr="00285B70">
        <w:rPr>
          <w:rFonts w:cs="Arial"/>
          <w:rtl/>
        </w:rPr>
        <w:t xml:space="preserve"> דטלטול דהכא הוי לצורך המת שאסור לטלטלו</w:t>
      </w:r>
      <w:r>
        <w:rPr>
          <w:rFonts w:cs="Arial" w:hint="cs"/>
          <w:rtl/>
        </w:rPr>
        <w:t>,</w:t>
      </w:r>
      <w:r w:rsidRPr="00285B70">
        <w:rPr>
          <w:rFonts w:cs="Arial"/>
          <w:rtl/>
        </w:rPr>
        <w:t xml:space="preserve"> ולא לצורך המטה</w:t>
      </w:r>
      <w:r>
        <w:rPr>
          <w:rFonts w:cs="Arial" w:hint="cs"/>
          <w:rtl/>
        </w:rPr>
        <w:t>,</w:t>
      </w:r>
      <w:r w:rsidRPr="00285B70">
        <w:rPr>
          <w:rFonts w:cs="Arial"/>
          <w:rtl/>
        </w:rPr>
        <w:t xml:space="preserve"> ולהכי שמיה טלטול. אבל כל הני ניעור</w:t>
      </w:r>
      <w:r>
        <w:rPr>
          <w:rFonts w:cs="Arial" w:hint="cs"/>
          <w:rtl/>
        </w:rPr>
        <w:t>,</w:t>
      </w:r>
      <w:r w:rsidRPr="00285B70">
        <w:rPr>
          <w:rFonts w:cs="Arial"/>
          <w:rtl/>
        </w:rPr>
        <w:t xml:space="preserve"> עיקר צורך טלטול בשביל דבר של היתר</w:t>
      </w:r>
      <w:r>
        <w:rPr>
          <w:rFonts w:cs="Arial" w:hint="cs"/>
          <w:rtl/>
        </w:rPr>
        <w:t>,</w:t>
      </w:r>
      <w:r w:rsidRPr="00285B70">
        <w:rPr>
          <w:rFonts w:cs="Arial"/>
          <w:rtl/>
        </w:rPr>
        <w:t xml:space="preserve"> הלכך לא מייתי הכא אלא פלוגתא דר' יהודה בן לקיש ורבנן דפליגי במת ולא מייתי ההוא דר' אליעזר בן תדאי ורבנן. וכן חילק גם רב אלפס. והקשה על זה ה"ר יונה מהא דתנן לקמן בפרק תולין (קמ</w:t>
      </w:r>
      <w:r>
        <w:rPr>
          <w:rFonts w:cs="Arial" w:hint="cs"/>
          <w:rtl/>
        </w:rPr>
        <w:t>א.</w:t>
      </w:r>
      <w:r w:rsidRPr="00285B70">
        <w:rPr>
          <w:rFonts w:cs="Arial"/>
          <w:rtl/>
        </w:rPr>
        <w:t>) הקש שעל המטה לא ינענענו בידו אבל מנענעו בגופו ודייקי מיניה בי רב דטלטול מן הצד ל"ש טלטול והתם לצורך הקש שהוא מוקצה הוא מטלטל. ולא קשה דהתם אף טלטול אין כאן כמו פגה וחררה ופוגלא שהוא מטלטלן בידו ואגבן מטלטלין דבר אסור. אבל בקש אינו מטלטל אלא בגופו כלאחר יד הלכך אע</w:t>
      </w:r>
      <w:r>
        <w:rPr>
          <w:rFonts w:cs="Arial" w:hint="cs"/>
          <w:rtl/>
        </w:rPr>
        <w:t>"</w:t>
      </w:r>
      <w:r w:rsidRPr="00285B70">
        <w:rPr>
          <w:rFonts w:cs="Arial"/>
          <w:rtl/>
        </w:rPr>
        <w:t>ג דלקש שהוא מוקצה הוא צריך מדמה ליה לטלטול מן הצד שהוא צורך לדבר המותר</w:t>
      </w:r>
      <w:r>
        <w:rPr>
          <w:rFonts w:hint="cs"/>
          <w:rtl/>
        </w:rPr>
        <w:t>, רא"ש (פ"ג סי' יט).</w:t>
      </w:r>
    </w:p>
  </w:footnote>
  <w:footnote w:id="1875">
    <w:p w14:paraId="25674EB1" w14:textId="20773519" w:rsidR="00E0450C" w:rsidRDefault="00E0450C" w:rsidP="00285819">
      <w:pPr>
        <w:pStyle w:val="a7"/>
      </w:pPr>
      <w:r>
        <w:rPr>
          <w:rStyle w:val="a9"/>
        </w:rPr>
        <w:footnoteRef/>
      </w:r>
      <w:r>
        <w:rPr>
          <w:rtl/>
        </w:rPr>
        <w:t xml:space="preserve"> </w:t>
      </w:r>
      <w:r w:rsidR="001B3E51">
        <w:rPr>
          <w:rFonts w:cs="Arial" w:hint="cs"/>
          <w:rtl/>
        </w:rPr>
        <w:t>נ</w:t>
      </w:r>
      <w:r w:rsidRPr="009679F9">
        <w:rPr>
          <w:rFonts w:cs="Arial"/>
          <w:rtl/>
        </w:rPr>
        <w:t>ראה מדבריו דהני מילי כשאין לו אלא מטה אחת</w:t>
      </w:r>
      <w:r>
        <w:rPr>
          <w:rFonts w:cs="Arial" w:hint="cs"/>
          <w:rtl/>
        </w:rPr>
        <w:t>,</w:t>
      </w:r>
      <w:r w:rsidRPr="009679F9">
        <w:rPr>
          <w:rFonts w:cs="Arial"/>
          <w:rtl/>
        </w:rPr>
        <w:t xml:space="preserve"> אבל אם יש לו שתי מטות הופכו ממטה למטה ולא יטלטלנו להדיא</w:t>
      </w:r>
      <w:r>
        <w:rPr>
          <w:rFonts w:cs="Arial" w:hint="cs"/>
          <w:rtl/>
        </w:rPr>
        <w:t>, ב"י.</w:t>
      </w:r>
    </w:p>
  </w:footnote>
  <w:footnote w:id="1876">
    <w:p w14:paraId="75CEC814" w14:textId="04B9AE5E" w:rsidR="006F673F" w:rsidRDefault="006F673F" w:rsidP="00285819">
      <w:pPr>
        <w:pStyle w:val="a7"/>
        <w:rPr>
          <w:rtl/>
        </w:rPr>
      </w:pPr>
      <w:r>
        <w:rPr>
          <w:rStyle w:val="a9"/>
        </w:rPr>
        <w:footnoteRef/>
      </w:r>
      <w:r>
        <w:rPr>
          <w:rtl/>
        </w:rPr>
        <w:t xml:space="preserve"> </w:t>
      </w:r>
      <w:r w:rsidRPr="006F673F">
        <w:rPr>
          <w:rFonts w:cs="Arial"/>
          <w:rtl/>
        </w:rPr>
        <w:t>וה"ה שאר חפץ שמותר לטלטל</w:t>
      </w:r>
      <w:r>
        <w:rPr>
          <w:rFonts w:cs="Arial" w:hint="cs"/>
          <w:rtl/>
        </w:rPr>
        <w:t>.</w:t>
      </w:r>
      <w:r w:rsidRPr="006F673F">
        <w:rPr>
          <w:rFonts w:cs="Arial"/>
          <w:rtl/>
        </w:rPr>
        <w:t xml:space="preserve"> והטעם שהצריכו לכל זה ולא התירו לטלטלו להדיא כמו שמסיים לבסוף משום דכל מה שאפשר למעבד בקצת היתר טפי עדיף</w:t>
      </w:r>
      <w:r>
        <w:rPr>
          <w:rFonts w:hint="cs"/>
          <w:rtl/>
        </w:rPr>
        <w:t>, משנ"ב (סק"א).</w:t>
      </w:r>
    </w:p>
  </w:footnote>
  <w:footnote w:id="1877">
    <w:p w14:paraId="72A6405D" w14:textId="5FE690C8" w:rsidR="006F673F" w:rsidRDefault="006F673F" w:rsidP="00285819">
      <w:pPr>
        <w:pStyle w:val="a7"/>
        <w:rPr>
          <w:rtl/>
        </w:rPr>
      </w:pPr>
      <w:r>
        <w:rPr>
          <w:rStyle w:val="a9"/>
        </w:rPr>
        <w:footnoteRef/>
      </w:r>
      <w:r>
        <w:rPr>
          <w:rtl/>
        </w:rPr>
        <w:t xml:space="preserve"> </w:t>
      </w:r>
      <w:r w:rsidRPr="006F673F">
        <w:rPr>
          <w:rFonts w:cs="Arial"/>
          <w:rtl/>
        </w:rPr>
        <w:t>והיינו שמניח עליו או אצלו ומטלטלו עמו ולא מינכר כ"כ טלטול המוקצה אף שגם המת הוא מוקצה מפני שמטלטל שניהם כאחד</w:t>
      </w:r>
      <w:r w:rsidR="00CB7D02">
        <w:rPr>
          <w:rFonts w:cs="Arial" w:hint="cs"/>
          <w:rtl/>
        </w:rPr>
        <w:t>...</w:t>
      </w:r>
      <w:r>
        <w:rPr>
          <w:rFonts w:hint="cs"/>
          <w:rtl/>
        </w:rPr>
        <w:t>, משנ"ב (סק"ב).</w:t>
      </w:r>
    </w:p>
  </w:footnote>
  <w:footnote w:id="1878">
    <w:p w14:paraId="4A2868B0" w14:textId="2758CDD7" w:rsidR="00CB7D02" w:rsidRDefault="00CB7D02" w:rsidP="00285819">
      <w:pPr>
        <w:pStyle w:val="a7"/>
        <w:rPr>
          <w:rtl/>
        </w:rPr>
      </w:pPr>
      <w:r>
        <w:rPr>
          <w:rStyle w:val="a9"/>
        </w:rPr>
        <w:footnoteRef/>
      </w:r>
      <w:r>
        <w:rPr>
          <w:rtl/>
        </w:rPr>
        <w:t xml:space="preserve"> </w:t>
      </w:r>
      <w:r>
        <w:rPr>
          <w:rFonts w:cs="Arial" w:hint="cs"/>
          <w:rtl/>
        </w:rPr>
        <w:t>מ</w:t>
      </w:r>
      <w:r w:rsidRPr="00CB7D02">
        <w:rPr>
          <w:rFonts w:cs="Arial"/>
          <w:rtl/>
        </w:rPr>
        <w:t>שמע מזה דלרשות אחר אסור להוציא בכל גווני</w:t>
      </w:r>
      <w:r>
        <w:rPr>
          <w:rFonts w:cs="Arial" w:hint="cs"/>
          <w:rtl/>
        </w:rPr>
        <w:t>.</w:t>
      </w:r>
      <w:r w:rsidRPr="00CB7D02">
        <w:rPr>
          <w:rFonts w:cs="Arial"/>
          <w:rtl/>
        </w:rPr>
        <w:t xml:space="preserve"> אבל הרבה אחרונים הסכימו דאפילו לרשות אחרת שלא ערבו עם זה או לכרמלית שרי להוציא מפני בזיון המת</w:t>
      </w:r>
      <w:r>
        <w:rPr>
          <w:rFonts w:cs="Arial" w:hint="cs"/>
          <w:rtl/>
        </w:rPr>
        <w:t>.</w:t>
      </w:r>
      <w:r w:rsidRPr="00CB7D02">
        <w:rPr>
          <w:rFonts w:cs="Arial"/>
          <w:rtl/>
        </w:rPr>
        <w:t xml:space="preserve"> ולענין אם צריך לזה ככר ותינוק תליא בשתי דעות המבואר בס"ב</w:t>
      </w:r>
      <w:r>
        <w:rPr>
          <w:rFonts w:cs="Arial" w:hint="cs"/>
          <w:rtl/>
        </w:rPr>
        <w:t>.</w:t>
      </w:r>
      <w:r w:rsidRPr="00CB7D02">
        <w:rPr>
          <w:rFonts w:cs="Arial"/>
          <w:rtl/>
        </w:rPr>
        <w:t xml:space="preserve"> ויש מאחרונים שכתבו דגם דעת המחבר הוא כן</w:t>
      </w:r>
      <w:r>
        <w:rPr>
          <w:rFonts w:cs="Arial" w:hint="cs"/>
          <w:rtl/>
        </w:rPr>
        <w:t>,</w:t>
      </w:r>
      <w:r w:rsidRPr="00CB7D02">
        <w:rPr>
          <w:rFonts w:cs="Arial"/>
          <w:rtl/>
        </w:rPr>
        <w:t xml:space="preserve"> ומה שכתב באותו רשות ר"ל דמה שכתבנו מילתא דפסיקא דצריך לכתחלה ככר או תינוק הוא דוקא באותו רשות</w:t>
      </w:r>
      <w:r>
        <w:rPr>
          <w:rFonts w:cs="Arial" w:hint="cs"/>
          <w:rtl/>
        </w:rPr>
        <w:t>,</w:t>
      </w:r>
      <w:r w:rsidRPr="00CB7D02">
        <w:rPr>
          <w:rFonts w:cs="Arial"/>
          <w:rtl/>
        </w:rPr>
        <w:t xml:space="preserve"> אבל כשמוציאו לרשות אחר [כגון שהדליקה הוא בכל החצר והוכרח להוציאו משם] אז לאו מילתא דפסיקא הוא</w:t>
      </w:r>
      <w:r>
        <w:rPr>
          <w:rFonts w:cs="Arial" w:hint="cs"/>
          <w:rtl/>
        </w:rPr>
        <w:t>,</w:t>
      </w:r>
      <w:r w:rsidRPr="00CB7D02">
        <w:rPr>
          <w:rFonts w:cs="Arial"/>
          <w:rtl/>
        </w:rPr>
        <w:t xml:space="preserve"> די"א דאדרבה דטוב להוציאו בלא ככר ותינוק כדי למעט באיסור הוצאה וכמבואר בס"ב</w:t>
      </w:r>
      <w:r>
        <w:rPr>
          <w:rFonts w:hint="cs"/>
          <w:rtl/>
        </w:rPr>
        <w:t>, משנ"ב (סק"ד).</w:t>
      </w:r>
    </w:p>
  </w:footnote>
  <w:footnote w:id="1879">
    <w:p w14:paraId="25663661" w14:textId="1860087C" w:rsidR="00CB7D02" w:rsidRDefault="00CB7D02" w:rsidP="00285819">
      <w:pPr>
        <w:pStyle w:val="a7"/>
      </w:pPr>
      <w:r>
        <w:rPr>
          <w:rStyle w:val="a9"/>
        </w:rPr>
        <w:footnoteRef/>
      </w:r>
      <w:r>
        <w:rPr>
          <w:rtl/>
        </w:rPr>
        <w:t xml:space="preserve"> </w:t>
      </w:r>
      <w:r w:rsidRPr="00CB7D02">
        <w:rPr>
          <w:rFonts w:cs="Arial"/>
          <w:rtl/>
        </w:rPr>
        <w:t>מיירי שעדיין לא הסריח אלא שחושש פן יסריח ולכך החמיר המחבר דדוקא באותו רשות מותר להוציא ואזיל לטעמיה בריש ס"ב אבל לדעת רמ"א בהג"ה שם דהביא דעת רש"י וטור גם במוטל בחמה שהוא קרוב להסריח נמי שרי להוציא לרשות אחר וכן פסק הב"ח להקל</w:t>
      </w:r>
      <w:r>
        <w:rPr>
          <w:rFonts w:cs="Arial" w:hint="cs"/>
          <w:rtl/>
        </w:rPr>
        <w:t>, משנ"ב (סק"ה).</w:t>
      </w:r>
    </w:p>
  </w:footnote>
  <w:footnote w:id="1880">
    <w:p w14:paraId="1AA4C00E" w14:textId="44F911BA" w:rsidR="00CB7D02" w:rsidRDefault="00CB7D02" w:rsidP="00285819">
      <w:pPr>
        <w:pStyle w:val="a7"/>
      </w:pPr>
      <w:r>
        <w:rPr>
          <w:rStyle w:val="a9"/>
        </w:rPr>
        <w:footnoteRef/>
      </w:r>
      <w:r>
        <w:rPr>
          <w:rtl/>
        </w:rPr>
        <w:t xml:space="preserve"> </w:t>
      </w:r>
      <w:r w:rsidRPr="00CB7D02">
        <w:rPr>
          <w:rFonts w:cs="Arial"/>
          <w:rtl/>
        </w:rPr>
        <w:t>ומטעם זה אסור לדחוף ע"י קנה דבר שהוא מוקצה [ט"ז]</w:t>
      </w:r>
      <w:r>
        <w:rPr>
          <w:rFonts w:cs="Arial" w:hint="cs"/>
          <w:rtl/>
        </w:rPr>
        <w:t>.</w:t>
      </w:r>
      <w:r w:rsidRPr="00CB7D02">
        <w:rPr>
          <w:rFonts w:cs="Arial"/>
          <w:rtl/>
        </w:rPr>
        <w:t xml:space="preserve"> אך אם דחיפתו הוא מפני שצריך להשתמש במקום שמונח בו המוקצה </w:t>
      </w:r>
      <w:r>
        <w:rPr>
          <w:rFonts w:cs="Arial" w:hint="cs"/>
          <w:rtl/>
        </w:rPr>
        <w:t xml:space="preserve">- </w:t>
      </w:r>
      <w:r w:rsidRPr="00CB7D02">
        <w:rPr>
          <w:rFonts w:cs="Arial"/>
          <w:rtl/>
        </w:rPr>
        <w:t>שרי</w:t>
      </w:r>
      <w:r>
        <w:rPr>
          <w:rFonts w:cs="Arial" w:hint="cs"/>
          <w:rtl/>
        </w:rPr>
        <w:t>,</w:t>
      </w:r>
      <w:r w:rsidRPr="00CB7D02">
        <w:rPr>
          <w:rFonts w:cs="Arial"/>
          <w:rtl/>
        </w:rPr>
        <w:t xml:space="preserve"> דהוי טלטול מן הצד לצורך דבר המותר</w:t>
      </w:r>
      <w:r>
        <w:rPr>
          <w:rFonts w:cs="Arial" w:hint="cs"/>
          <w:rtl/>
        </w:rPr>
        <w:t>,</w:t>
      </w:r>
      <w:r w:rsidRPr="00CB7D02">
        <w:rPr>
          <w:rFonts w:cs="Arial"/>
          <w:rtl/>
        </w:rPr>
        <w:t xml:space="preserve"> וכדלקמן בס"ח</w:t>
      </w:r>
      <w:r>
        <w:rPr>
          <w:rFonts w:cs="Arial" w:hint="cs"/>
          <w:rtl/>
        </w:rPr>
        <w:t>.</w:t>
      </w:r>
      <w:r w:rsidRPr="00CB7D02">
        <w:rPr>
          <w:rFonts w:cs="Arial"/>
          <w:rtl/>
        </w:rPr>
        <w:t xml:space="preserve"> ועיין לעיל בסימן ש"ח במ</w:t>
      </w:r>
      <w:r>
        <w:rPr>
          <w:rFonts w:cs="Arial" w:hint="cs"/>
          <w:rtl/>
        </w:rPr>
        <w:t>שנ</w:t>
      </w:r>
      <w:r w:rsidRPr="00CB7D02">
        <w:rPr>
          <w:rFonts w:cs="Arial"/>
          <w:rtl/>
        </w:rPr>
        <w:t>"ב סקקט"ו</w:t>
      </w:r>
      <w:r>
        <w:rPr>
          <w:rFonts w:cs="Arial" w:hint="cs"/>
          <w:rtl/>
        </w:rPr>
        <w:t>, משנ"ב (סק"ו).</w:t>
      </w:r>
    </w:p>
  </w:footnote>
  <w:footnote w:id="1881">
    <w:p w14:paraId="415889A6" w14:textId="7C9C7FE2" w:rsidR="00F73B25" w:rsidRDefault="00F73B25" w:rsidP="00285819">
      <w:pPr>
        <w:pStyle w:val="a7"/>
      </w:pPr>
      <w:r>
        <w:rPr>
          <w:rStyle w:val="a9"/>
        </w:rPr>
        <w:footnoteRef/>
      </w:r>
      <w:r>
        <w:rPr>
          <w:rtl/>
        </w:rPr>
        <w:t xml:space="preserve"> </w:t>
      </w:r>
      <w:r w:rsidRPr="00F73B25">
        <w:rPr>
          <w:rFonts w:cs="Arial"/>
          <w:rtl/>
        </w:rPr>
        <w:t>שהיה מוטל בבזיון, או בדליקה או בחמה</w:t>
      </w:r>
      <w:r w:rsidR="009D3B22">
        <w:rPr>
          <w:rFonts w:cs="Arial" w:hint="cs"/>
          <w:rtl/>
        </w:rPr>
        <w:t>...</w:t>
      </w:r>
      <w:r>
        <w:rPr>
          <w:rFonts w:cs="Arial" w:hint="cs"/>
          <w:rtl/>
        </w:rPr>
        <w:t>, רש"י.</w:t>
      </w:r>
      <w:r w:rsidR="00F04C47">
        <w:rPr>
          <w:rFonts w:cs="Arial" w:hint="cs"/>
          <w:rtl/>
        </w:rPr>
        <w:t xml:space="preserve"> </w:t>
      </w:r>
    </w:p>
  </w:footnote>
  <w:footnote w:id="1882">
    <w:p w14:paraId="55A1E230" w14:textId="4680FFA9" w:rsidR="00F73B25" w:rsidRDefault="00F73B25" w:rsidP="00285819">
      <w:pPr>
        <w:pStyle w:val="a7"/>
      </w:pPr>
      <w:r>
        <w:rPr>
          <w:rStyle w:val="a9"/>
        </w:rPr>
        <w:footnoteRef/>
      </w:r>
      <w:r>
        <w:rPr>
          <w:rtl/>
        </w:rPr>
        <w:t xml:space="preserve"> </w:t>
      </w:r>
      <w:r w:rsidRPr="00F73B25">
        <w:rPr>
          <w:rFonts w:cs="Arial"/>
          <w:rtl/>
        </w:rPr>
        <w:t>לאו דלא תסור</w:t>
      </w:r>
      <w:r>
        <w:rPr>
          <w:rFonts w:cs="Arial" w:hint="cs"/>
          <w:rtl/>
        </w:rPr>
        <w:t xml:space="preserve"> (דברים יז יא)</w:t>
      </w:r>
      <w:r w:rsidRPr="00F73B25">
        <w:rPr>
          <w:rFonts w:cs="Arial"/>
          <w:rtl/>
        </w:rPr>
        <w:t>, כי הכא</w:t>
      </w:r>
      <w:r>
        <w:rPr>
          <w:rFonts w:cs="Arial" w:hint="cs"/>
          <w:rtl/>
        </w:rPr>
        <w:t>, רש"י.</w:t>
      </w:r>
    </w:p>
  </w:footnote>
  <w:footnote w:id="1883">
    <w:p w14:paraId="6F4A9D6C" w14:textId="77777777" w:rsidR="00F04C47" w:rsidRDefault="00F04C47" w:rsidP="00285819">
      <w:pPr>
        <w:pStyle w:val="a7"/>
      </w:pPr>
      <w:r>
        <w:rPr>
          <w:rStyle w:val="a9"/>
        </w:rPr>
        <w:footnoteRef/>
      </w:r>
      <w:r>
        <w:rPr>
          <w:rtl/>
        </w:rPr>
        <w:t xml:space="preserve"> </w:t>
      </w:r>
      <w:r>
        <w:rPr>
          <w:rFonts w:hint="cs"/>
          <w:rtl/>
        </w:rPr>
        <w:t xml:space="preserve">וז"ל- </w:t>
      </w:r>
      <w:r>
        <w:rPr>
          <w:rFonts w:cs="Arial"/>
          <w:rtl/>
        </w:rPr>
        <w:t>ואם הוא מוטל בחמה</w:t>
      </w:r>
      <w:r>
        <w:rPr>
          <w:rFonts w:cs="Arial" w:hint="cs"/>
          <w:rtl/>
        </w:rPr>
        <w:t>,</w:t>
      </w:r>
      <w:r>
        <w:rPr>
          <w:rFonts w:cs="Arial"/>
          <w:rtl/>
        </w:rPr>
        <w:t xml:space="preserve"> או בבזיון כגון שהוא מסריח</w:t>
      </w:r>
      <w:r>
        <w:rPr>
          <w:rFonts w:cs="Arial" w:hint="cs"/>
          <w:rtl/>
        </w:rPr>
        <w:t>,</w:t>
      </w:r>
      <w:r>
        <w:rPr>
          <w:rFonts w:cs="Arial"/>
          <w:rtl/>
        </w:rPr>
        <w:t xml:space="preserve"> אם יש לו ככר או תינוק מניחו עליו ומטלטלו על ידו אפי' מרה"י לכרמלית</w:t>
      </w:r>
      <w:r>
        <w:rPr>
          <w:rFonts w:cs="Arial" w:hint="cs"/>
          <w:rtl/>
        </w:rPr>
        <w:t>.</w:t>
      </w:r>
    </w:p>
  </w:footnote>
  <w:footnote w:id="1884">
    <w:p w14:paraId="3C7CE985" w14:textId="5C2056DD" w:rsidR="00AF7B76" w:rsidRDefault="00AF7B76" w:rsidP="00285819">
      <w:pPr>
        <w:pStyle w:val="a7"/>
        <w:rPr>
          <w:rtl/>
        </w:rPr>
      </w:pPr>
      <w:r>
        <w:rPr>
          <w:rStyle w:val="a9"/>
        </w:rPr>
        <w:footnoteRef/>
      </w:r>
      <w:r>
        <w:rPr>
          <w:rtl/>
        </w:rPr>
        <w:t xml:space="preserve"> </w:t>
      </w:r>
      <w:r w:rsidRPr="00AF7B76">
        <w:rPr>
          <w:rFonts w:cs="Arial"/>
          <w:rtl/>
        </w:rPr>
        <w:t>והיינו טעמא משום דהוצאה כיון דלא אפשר בלאו הכי</w:t>
      </w:r>
      <w:r>
        <w:rPr>
          <w:rFonts w:cs="Arial" w:hint="cs"/>
          <w:rtl/>
        </w:rPr>
        <w:t>,</w:t>
      </w:r>
      <w:r w:rsidRPr="00AF7B76">
        <w:rPr>
          <w:rFonts w:cs="Arial"/>
          <w:rtl/>
        </w:rPr>
        <w:t xml:space="preserve"> משום כבוד הבריות שרי</w:t>
      </w:r>
      <w:r>
        <w:rPr>
          <w:rFonts w:cs="Arial" w:hint="cs"/>
          <w:rtl/>
        </w:rPr>
        <w:t>.</w:t>
      </w:r>
      <w:r w:rsidRPr="00AF7B76">
        <w:rPr>
          <w:rFonts w:cs="Arial"/>
          <w:rtl/>
        </w:rPr>
        <w:t xml:space="preserve"> אבל טלטול כיון דאפשר לתקוני</w:t>
      </w:r>
      <w:r>
        <w:rPr>
          <w:rFonts w:cs="Arial" w:hint="cs"/>
          <w:rtl/>
        </w:rPr>
        <w:t>,</w:t>
      </w:r>
      <w:r w:rsidRPr="00AF7B76">
        <w:rPr>
          <w:rFonts w:cs="Arial"/>
          <w:rtl/>
        </w:rPr>
        <w:t xml:space="preserve"> מתקנינן ולא שרינן אלא ע"י ככר או תינוק</w:t>
      </w:r>
      <w:r>
        <w:rPr>
          <w:rFonts w:cs="Arial" w:hint="cs"/>
          <w:rtl/>
        </w:rPr>
        <w:t>, ר"ן (שם).</w:t>
      </w:r>
      <w:r>
        <w:rPr>
          <w:rFonts w:hint="cs"/>
          <w:rtl/>
        </w:rPr>
        <w:t xml:space="preserve"> וכתב הר"ן שם בתחילת דבריו שכן דעת הראשונים.</w:t>
      </w:r>
    </w:p>
  </w:footnote>
  <w:footnote w:id="1885">
    <w:p w14:paraId="1F3B626C" w14:textId="33B09CAD" w:rsidR="008259D6" w:rsidRDefault="008259D6" w:rsidP="00285819">
      <w:pPr>
        <w:pStyle w:val="a7"/>
        <w:rPr>
          <w:rtl/>
        </w:rPr>
      </w:pPr>
      <w:r>
        <w:rPr>
          <w:rStyle w:val="a9"/>
        </w:rPr>
        <w:footnoteRef/>
      </w:r>
      <w:r>
        <w:rPr>
          <w:rtl/>
        </w:rPr>
        <w:t xml:space="preserve"> </w:t>
      </w:r>
      <w:r>
        <w:rPr>
          <w:rFonts w:cs="Arial"/>
          <w:rtl/>
        </w:rPr>
        <w:t xml:space="preserve">ודע שכתב הרמב"ן בספר תורת האדם </w:t>
      </w:r>
      <w:r w:rsidRPr="008259D6">
        <w:rPr>
          <w:rFonts w:cs="Arial"/>
          <w:sz w:val="16"/>
          <w:szCs w:val="16"/>
          <w:rtl/>
        </w:rPr>
        <w:t xml:space="preserve">(ענין מי שמתו ד"ה בפרק כירה) </w:t>
      </w:r>
      <w:r>
        <w:rPr>
          <w:rFonts w:cs="Arial"/>
          <w:rtl/>
        </w:rPr>
        <w:t>שכדבריו נראה שהוא דעת הרמב"ם</w:t>
      </w:r>
      <w:r>
        <w:rPr>
          <w:rFonts w:cs="Arial" w:hint="cs"/>
          <w:rtl/>
        </w:rPr>
        <w:t>.</w:t>
      </w:r>
      <w:r>
        <w:rPr>
          <w:rFonts w:cs="Arial"/>
          <w:rtl/>
        </w:rPr>
        <w:t xml:space="preserve"> ומשמע שטעמו מדסתם דבריו בדין זה בפכ"ו ולא הזכיר ככר או תינוק</w:t>
      </w:r>
      <w:r>
        <w:rPr>
          <w:rFonts w:cs="Arial" w:hint="cs"/>
          <w:rtl/>
        </w:rPr>
        <w:t>.</w:t>
      </w:r>
      <w:r>
        <w:rPr>
          <w:rFonts w:cs="Arial"/>
          <w:rtl/>
        </w:rPr>
        <w:t xml:space="preserve"> ואי מהא לא איריא שהרמב"ם העתיק לשון הגמרא כמנהגו ואין בו הכרע</w:t>
      </w:r>
      <w:r>
        <w:rPr>
          <w:rFonts w:cs="Arial" w:hint="cs"/>
          <w:rtl/>
        </w:rPr>
        <w:t>, ב"י.</w:t>
      </w:r>
    </w:p>
  </w:footnote>
  <w:footnote w:id="1886">
    <w:p w14:paraId="76FDF9AF" w14:textId="25E41D80" w:rsidR="00CD2B87" w:rsidRDefault="00CD2B87" w:rsidP="00285819">
      <w:pPr>
        <w:pStyle w:val="a7"/>
      </w:pPr>
      <w:r>
        <w:rPr>
          <w:rStyle w:val="a9"/>
        </w:rPr>
        <w:footnoteRef/>
      </w:r>
      <w:r>
        <w:rPr>
          <w:rtl/>
        </w:rPr>
        <w:t xml:space="preserve"> </w:t>
      </w:r>
      <w:r w:rsidRPr="008259D6">
        <w:rPr>
          <w:rFonts w:cs="Arial"/>
          <w:rtl/>
        </w:rPr>
        <w:t>ובכהאי גוונא הוי מת המוטל בחמה דפרק כירה (מג:)</w:t>
      </w:r>
      <w:r>
        <w:rPr>
          <w:rFonts w:cs="Arial" w:hint="cs"/>
          <w:rtl/>
        </w:rPr>
        <w:t>,</w:t>
      </w:r>
      <w:r w:rsidRPr="008259D6">
        <w:rPr>
          <w:rFonts w:cs="Arial"/>
          <w:rtl/>
        </w:rPr>
        <w:t xml:space="preserve"> אלא דהתם כשיש להם מקום באותו רשות יכולין לפנותו שם</w:t>
      </w:r>
      <w:r>
        <w:rPr>
          <w:rFonts w:cs="Arial" w:hint="cs"/>
          <w:rtl/>
        </w:rPr>
        <w:t>, ב"י.</w:t>
      </w:r>
    </w:p>
  </w:footnote>
  <w:footnote w:id="1887">
    <w:p w14:paraId="6D15FAA3" w14:textId="77777777" w:rsidR="00143C51" w:rsidRDefault="00143C51" w:rsidP="00285819">
      <w:pPr>
        <w:pStyle w:val="a7"/>
        <w:rPr>
          <w:rtl/>
        </w:rPr>
      </w:pPr>
      <w:r>
        <w:rPr>
          <w:rStyle w:val="a9"/>
        </w:rPr>
        <w:footnoteRef/>
      </w:r>
      <w:r>
        <w:rPr>
          <w:rtl/>
        </w:rPr>
        <w:t xml:space="preserve"> </w:t>
      </w:r>
      <w:r w:rsidRPr="008259D6">
        <w:rPr>
          <w:rFonts w:cs="Arial"/>
          <w:rtl/>
        </w:rPr>
        <w:t>נראה שהוא מפרש דשכבא דפרק המצניע (שם) בשכבר הסריח</w:t>
      </w:r>
      <w:r>
        <w:rPr>
          <w:rFonts w:cs="Arial" w:hint="cs"/>
          <w:rtl/>
        </w:rPr>
        <w:t>,</w:t>
      </w:r>
      <w:r w:rsidRPr="008259D6">
        <w:rPr>
          <w:rFonts w:cs="Arial"/>
          <w:rtl/>
        </w:rPr>
        <w:t xml:space="preserve"> ומפני כך התירו להוציאו לכרמלית</w:t>
      </w:r>
      <w:r>
        <w:rPr>
          <w:rFonts w:cs="Arial" w:hint="cs"/>
          <w:rtl/>
        </w:rPr>
        <w:t>.</w:t>
      </w:r>
      <w:r w:rsidRPr="008259D6">
        <w:rPr>
          <w:rFonts w:cs="Arial"/>
          <w:rtl/>
        </w:rPr>
        <w:t xml:space="preserve"> אבל אם לא הסריח עדיין</w:t>
      </w:r>
      <w:r>
        <w:rPr>
          <w:rFonts w:cs="Arial" w:hint="cs"/>
          <w:rtl/>
        </w:rPr>
        <w:t>,</w:t>
      </w:r>
      <w:r w:rsidRPr="008259D6">
        <w:rPr>
          <w:rFonts w:cs="Arial"/>
          <w:rtl/>
        </w:rPr>
        <w:t xml:space="preserve"> אע</w:t>
      </w:r>
      <w:r>
        <w:rPr>
          <w:rFonts w:cs="Arial" w:hint="cs"/>
          <w:rtl/>
        </w:rPr>
        <w:t>"</w:t>
      </w:r>
      <w:r w:rsidRPr="008259D6">
        <w:rPr>
          <w:rFonts w:cs="Arial"/>
          <w:rtl/>
        </w:rPr>
        <w:t>פ שמוטל בחמה אסור להוציאו לרשות אחרת</w:t>
      </w:r>
      <w:r>
        <w:rPr>
          <w:rFonts w:cs="Arial" w:hint="cs"/>
          <w:rtl/>
        </w:rPr>
        <w:t>.</w:t>
      </w:r>
      <w:r w:rsidRPr="008259D6">
        <w:rPr>
          <w:rFonts w:cs="Arial"/>
          <w:rtl/>
        </w:rPr>
        <w:t xml:space="preserve"> ובכהאי גוונא הוא דאיפליגו רב ושמואל בפרק כירה (מג:) כשמטלטלו באותו רשות ממקום למקום אי בעי ככר או תינוק או אם מטלטלו מן הצד בלא ככר ותינוק</w:t>
      </w:r>
      <w:r>
        <w:rPr>
          <w:rFonts w:cs="Arial" w:hint="cs"/>
          <w:rtl/>
        </w:rPr>
        <w:t>, ב"י.</w:t>
      </w:r>
    </w:p>
  </w:footnote>
  <w:footnote w:id="1888">
    <w:p w14:paraId="1F16B37D" w14:textId="77777777" w:rsidR="006A0D17" w:rsidRDefault="006A0D17" w:rsidP="00285819">
      <w:pPr>
        <w:pStyle w:val="a7"/>
      </w:pPr>
      <w:r>
        <w:rPr>
          <w:rStyle w:val="a9"/>
        </w:rPr>
        <w:footnoteRef/>
      </w:r>
      <w:r>
        <w:rPr>
          <w:rtl/>
        </w:rPr>
        <w:t xml:space="preserve"> </w:t>
      </w:r>
      <w:r w:rsidRPr="00B543A8">
        <w:rPr>
          <w:rFonts w:cs="Arial"/>
          <w:rtl/>
        </w:rPr>
        <w:t>וצ"ל דמיירי כשהוא בענין שאי אפשר לשמוט הכר מתחתיו דאם לא כן אסור לטלטלו אלא שומט הכר מתחתיו כדתנן בפרק שואל (קנא.)</w:t>
      </w:r>
      <w:r>
        <w:rPr>
          <w:rFonts w:cs="Arial" w:hint="cs"/>
          <w:rtl/>
        </w:rPr>
        <w:t>, ב"י.</w:t>
      </w:r>
    </w:p>
  </w:footnote>
  <w:footnote w:id="1889">
    <w:p w14:paraId="291808BB" w14:textId="77777777" w:rsidR="00275706" w:rsidRDefault="00275706" w:rsidP="00285819">
      <w:pPr>
        <w:pStyle w:val="a7"/>
      </w:pPr>
      <w:r>
        <w:rPr>
          <w:rStyle w:val="a9"/>
        </w:rPr>
        <w:footnoteRef/>
      </w:r>
      <w:r>
        <w:rPr>
          <w:rtl/>
        </w:rPr>
        <w:t xml:space="preserve"> </w:t>
      </w:r>
      <w:r w:rsidRPr="0023056F">
        <w:rPr>
          <w:rFonts w:cs="Arial"/>
          <w:rtl/>
        </w:rPr>
        <w:t>ונראה מדבריו דשפיר קאמר רבינו ברוך ולא קיי</w:t>
      </w:r>
      <w:r>
        <w:rPr>
          <w:rFonts w:cs="Arial" w:hint="cs"/>
          <w:rtl/>
        </w:rPr>
        <w:t>"</w:t>
      </w:r>
      <w:r w:rsidRPr="0023056F">
        <w:rPr>
          <w:rFonts w:cs="Arial"/>
          <w:rtl/>
        </w:rPr>
        <w:t>ל כרא"ם</w:t>
      </w:r>
      <w:r>
        <w:rPr>
          <w:rFonts w:cs="Arial" w:hint="cs"/>
          <w:rtl/>
        </w:rPr>
        <w:t>.</w:t>
      </w:r>
      <w:r w:rsidRPr="0023056F">
        <w:rPr>
          <w:rFonts w:cs="Arial"/>
          <w:rtl/>
        </w:rPr>
        <w:t xml:space="preserve"> אבל בהג</w:t>
      </w:r>
      <w:r>
        <w:rPr>
          <w:rFonts w:cs="Arial" w:hint="cs"/>
          <w:rtl/>
        </w:rPr>
        <w:t>ה"</w:t>
      </w:r>
      <w:r w:rsidRPr="0023056F">
        <w:rPr>
          <w:rFonts w:cs="Arial"/>
          <w:rtl/>
        </w:rPr>
        <w:t>מ פ</w:t>
      </w:r>
      <w:r>
        <w:rPr>
          <w:rFonts w:cs="Arial" w:hint="cs"/>
          <w:rtl/>
        </w:rPr>
        <w:t>"</w:t>
      </w:r>
      <w:r w:rsidRPr="0023056F">
        <w:rPr>
          <w:rFonts w:cs="Arial"/>
          <w:rtl/>
        </w:rPr>
        <w:t>ו (אות כ) כתב סתם כדברי רא"ם</w:t>
      </w:r>
      <w:r>
        <w:rPr>
          <w:rFonts w:cs="Arial" w:hint="cs"/>
          <w:rtl/>
        </w:rPr>
        <w:t>.</w:t>
      </w:r>
      <w:r w:rsidRPr="0023056F">
        <w:rPr>
          <w:rFonts w:cs="Arial"/>
          <w:rtl/>
        </w:rPr>
        <w:t xml:space="preserve"> וכן נראה לענ"ד</w:t>
      </w:r>
      <w:r>
        <w:rPr>
          <w:rFonts w:cs="Arial" w:hint="cs"/>
          <w:rtl/>
        </w:rPr>
        <w:t>,</w:t>
      </w:r>
      <w:r w:rsidRPr="0023056F">
        <w:rPr>
          <w:rFonts w:cs="Arial"/>
          <w:rtl/>
        </w:rPr>
        <w:t xml:space="preserve"> דמאחר שפירש רש"י דשכבא דהמצניע היה מוטל בבזיון</w:t>
      </w:r>
      <w:r>
        <w:rPr>
          <w:rFonts w:cs="Arial" w:hint="cs"/>
          <w:rtl/>
        </w:rPr>
        <w:t>,</w:t>
      </w:r>
      <w:r w:rsidRPr="0023056F">
        <w:rPr>
          <w:rFonts w:cs="Arial"/>
          <w:rtl/>
        </w:rPr>
        <w:t xml:space="preserve"> מי ישמע לרבינו ברוך להניח דברי רש"י ולשמוע לו שמפרש דדוקא מפני הדליקה התירו</w:t>
      </w:r>
      <w:r w:rsidRPr="006A10E3">
        <w:rPr>
          <w:rFonts w:cs="Arial"/>
          <w:sz w:val="16"/>
          <w:szCs w:val="16"/>
          <w:rtl/>
        </w:rPr>
        <w:t xml:space="preserve"> </w:t>
      </w:r>
      <w:r>
        <w:rPr>
          <w:rFonts w:cs="Arial" w:hint="cs"/>
          <w:sz w:val="16"/>
          <w:szCs w:val="16"/>
          <w:rtl/>
        </w:rPr>
        <w:t>(</w:t>
      </w:r>
      <w:r w:rsidRPr="006A10E3">
        <w:rPr>
          <w:rFonts w:cs="Arial"/>
          <w:sz w:val="16"/>
          <w:szCs w:val="16"/>
          <w:rtl/>
        </w:rPr>
        <w:t>ומה שהקשה מדאמרינן בפרק כירה דטלטול מן הצד אסור מחמה לצל</w:t>
      </w:r>
      <w:r w:rsidRPr="006A10E3">
        <w:rPr>
          <w:rFonts w:cs="Arial" w:hint="cs"/>
          <w:sz w:val="16"/>
          <w:szCs w:val="16"/>
          <w:rtl/>
        </w:rPr>
        <w:t>,</w:t>
      </w:r>
      <w:r w:rsidRPr="006A10E3">
        <w:rPr>
          <w:rFonts w:cs="Arial"/>
          <w:sz w:val="16"/>
          <w:szCs w:val="16"/>
          <w:rtl/>
        </w:rPr>
        <w:t xml:space="preserve"> י"ל דשאני טלטול דכיון דאפשר על ידי תינוק או ככר לא התירו בענין אחר</w:t>
      </w:r>
      <w:r w:rsidRPr="006A10E3">
        <w:rPr>
          <w:rFonts w:cs="Arial" w:hint="cs"/>
          <w:sz w:val="16"/>
          <w:szCs w:val="16"/>
          <w:rtl/>
        </w:rPr>
        <w:t>,</w:t>
      </w:r>
      <w:r w:rsidRPr="006A10E3">
        <w:rPr>
          <w:rFonts w:cs="Arial"/>
          <w:sz w:val="16"/>
          <w:szCs w:val="16"/>
          <w:rtl/>
        </w:rPr>
        <w:t xml:space="preserve"> וכמו שכתבו התוספות בפרק המצניע (צד. ד"ה גדול)</w:t>
      </w:r>
      <w:r w:rsidRPr="006A10E3">
        <w:rPr>
          <w:rFonts w:cs="Arial" w:hint="cs"/>
          <w:sz w:val="16"/>
          <w:szCs w:val="16"/>
          <w:rtl/>
        </w:rPr>
        <w:t>.</w:t>
      </w:r>
      <w:r w:rsidRPr="006A10E3">
        <w:rPr>
          <w:rFonts w:cs="Arial"/>
          <w:sz w:val="16"/>
          <w:szCs w:val="16"/>
          <w:rtl/>
        </w:rPr>
        <w:t xml:space="preserve"> ומה שהקשה ממת ביום טוב ראשון יתעסקו בו עממין מאי איריא יום טוב אפילו שבת נמי</w:t>
      </w:r>
      <w:r w:rsidRPr="006A10E3">
        <w:rPr>
          <w:rFonts w:cs="Arial" w:hint="cs"/>
          <w:sz w:val="16"/>
          <w:szCs w:val="16"/>
          <w:rtl/>
        </w:rPr>
        <w:t>,</w:t>
      </w:r>
      <w:r w:rsidRPr="006A10E3">
        <w:rPr>
          <w:rFonts w:cs="Arial"/>
          <w:sz w:val="16"/>
          <w:szCs w:val="16"/>
          <w:rtl/>
        </w:rPr>
        <w:t xml:space="preserve"> י"ל דיתעסקו בו עממין לקברו קאמר</w:t>
      </w:r>
      <w:r w:rsidRPr="006A10E3">
        <w:rPr>
          <w:rFonts w:cs="Arial" w:hint="cs"/>
          <w:sz w:val="16"/>
          <w:szCs w:val="16"/>
          <w:rtl/>
        </w:rPr>
        <w:t>,</w:t>
      </w:r>
      <w:r w:rsidRPr="006A10E3">
        <w:rPr>
          <w:rFonts w:cs="Arial"/>
          <w:sz w:val="16"/>
          <w:szCs w:val="16"/>
          <w:rtl/>
        </w:rPr>
        <w:t xml:space="preserve"> ודוקא ביום טוב</w:t>
      </w:r>
      <w:r w:rsidRPr="006A10E3">
        <w:rPr>
          <w:rFonts w:cs="Arial" w:hint="cs"/>
          <w:sz w:val="16"/>
          <w:szCs w:val="16"/>
          <w:rtl/>
        </w:rPr>
        <w:t>,</w:t>
      </w:r>
      <w:r w:rsidRPr="006A10E3">
        <w:rPr>
          <w:rFonts w:cs="Arial"/>
          <w:sz w:val="16"/>
          <w:szCs w:val="16"/>
          <w:rtl/>
        </w:rPr>
        <w:t xml:space="preserve"> אבל בשבת ויום הכפורים לא</w:t>
      </w:r>
      <w:r w:rsidRPr="006A10E3">
        <w:rPr>
          <w:rFonts w:cs="Arial" w:hint="cs"/>
          <w:sz w:val="16"/>
          <w:szCs w:val="16"/>
          <w:rtl/>
        </w:rPr>
        <w:t>,</w:t>
      </w:r>
      <w:r w:rsidRPr="006A10E3">
        <w:rPr>
          <w:rFonts w:cs="Arial"/>
          <w:sz w:val="16"/>
          <w:szCs w:val="16"/>
          <w:rtl/>
        </w:rPr>
        <w:t xml:space="preserve"> אבל להוציאו ממקום הבזיון אפילו בשבת שרי כנ"ל</w:t>
      </w:r>
      <w:r>
        <w:rPr>
          <w:rFonts w:cs="Arial" w:hint="cs"/>
          <w:sz w:val="16"/>
          <w:szCs w:val="16"/>
          <w:rtl/>
        </w:rPr>
        <w:t>)</w:t>
      </w:r>
      <w:r>
        <w:rPr>
          <w:rFonts w:cs="Arial" w:hint="cs"/>
          <w:rtl/>
        </w:rPr>
        <w:t>.</w:t>
      </w:r>
      <w:r w:rsidRPr="0023056F">
        <w:rPr>
          <w:rFonts w:cs="Arial"/>
          <w:rtl/>
        </w:rPr>
        <w:t xml:space="preserve"> וכן כתב בשבלי הלקט </w:t>
      </w:r>
      <w:r w:rsidRPr="00AB5D19">
        <w:rPr>
          <w:rFonts w:cs="Arial"/>
          <w:sz w:val="16"/>
          <w:szCs w:val="16"/>
          <w:rtl/>
        </w:rPr>
        <w:t>(סי' קיח)</w:t>
      </w:r>
      <w:r>
        <w:rPr>
          <w:rFonts w:cs="Arial" w:hint="cs"/>
          <w:rtl/>
        </w:rPr>
        <w:t xml:space="preserve">- </w:t>
      </w:r>
      <w:r w:rsidRPr="0023056F">
        <w:rPr>
          <w:rFonts w:cs="Arial"/>
          <w:rtl/>
        </w:rPr>
        <w:t xml:space="preserve">מסתברא דאם היה המת מוטל בבזיון ברשות הרבים או במקום מפולת </w:t>
      </w:r>
      <w:r>
        <w:rPr>
          <w:rFonts w:cs="Arial" w:hint="cs"/>
          <w:rtl/>
        </w:rPr>
        <w:t xml:space="preserve">- </w:t>
      </w:r>
      <w:r w:rsidRPr="0023056F">
        <w:rPr>
          <w:rFonts w:cs="Arial"/>
          <w:rtl/>
        </w:rPr>
        <w:t>מותר להוליכו על ידי גוים</w:t>
      </w:r>
      <w:r>
        <w:rPr>
          <w:rFonts w:cs="Arial" w:hint="cs"/>
          <w:rtl/>
        </w:rPr>
        <w:t>.</w:t>
      </w:r>
      <w:r w:rsidRPr="0023056F">
        <w:rPr>
          <w:rFonts w:cs="Arial"/>
          <w:rtl/>
        </w:rPr>
        <w:t xml:space="preserve"> ואם היה בכרמלית </w:t>
      </w:r>
      <w:r>
        <w:rPr>
          <w:rFonts w:cs="Arial" w:hint="cs"/>
          <w:rtl/>
        </w:rPr>
        <w:t xml:space="preserve">- </w:t>
      </w:r>
      <w:r w:rsidRPr="0023056F">
        <w:rPr>
          <w:rFonts w:cs="Arial"/>
          <w:rtl/>
        </w:rPr>
        <w:t>אפילו על ידי ישראל</w:t>
      </w:r>
      <w:r>
        <w:rPr>
          <w:rFonts w:cs="Arial" w:hint="cs"/>
          <w:rtl/>
        </w:rPr>
        <w:t>,</w:t>
      </w:r>
      <w:r w:rsidRPr="0023056F">
        <w:rPr>
          <w:rFonts w:cs="Arial"/>
          <w:rtl/>
        </w:rPr>
        <w:t xml:space="preserve"> מפני כבוד הבריות עכ"ל</w:t>
      </w:r>
      <w:r>
        <w:rPr>
          <w:rFonts w:cs="Arial" w:hint="cs"/>
          <w:rtl/>
        </w:rPr>
        <w:t xml:space="preserve">, ב"י. </w:t>
      </w:r>
    </w:p>
  </w:footnote>
  <w:footnote w:id="1890">
    <w:p w14:paraId="2923F51D" w14:textId="478AED27" w:rsidR="00307346" w:rsidRDefault="00307346" w:rsidP="00285819">
      <w:pPr>
        <w:pStyle w:val="a7"/>
      </w:pPr>
      <w:r>
        <w:rPr>
          <w:rStyle w:val="a9"/>
        </w:rPr>
        <w:footnoteRef/>
      </w:r>
      <w:r>
        <w:rPr>
          <w:rtl/>
        </w:rPr>
        <w:t xml:space="preserve"> </w:t>
      </w:r>
      <w:r>
        <w:rPr>
          <w:rFonts w:hint="cs"/>
          <w:rtl/>
        </w:rPr>
        <w:t xml:space="preserve">שפוטר במלאכה שאינה צריכה לגופה. אך בחידושיו (שם) כתב </w:t>
      </w:r>
      <w:r w:rsidRPr="00307346">
        <w:rPr>
          <w:rFonts w:cs="Arial"/>
          <w:rtl/>
        </w:rPr>
        <w:t>שאפי' בהוצאת מת אפשר שהיא לגופה כאותה שאמרו בירושל' בגוי שהוציאו לכלבו</w:t>
      </w:r>
      <w:r>
        <w:rPr>
          <w:rFonts w:cs="Arial" w:hint="cs"/>
          <w:rtl/>
        </w:rPr>
        <w:t>.</w:t>
      </w:r>
    </w:p>
  </w:footnote>
  <w:footnote w:id="1891">
    <w:p w14:paraId="3B8E446D" w14:textId="5E5AC8D3" w:rsidR="002C21C5" w:rsidRDefault="002C21C5" w:rsidP="00285819">
      <w:pPr>
        <w:pStyle w:val="a7"/>
      </w:pPr>
      <w:r>
        <w:rPr>
          <w:rStyle w:val="a9"/>
        </w:rPr>
        <w:footnoteRef/>
      </w:r>
      <w:r>
        <w:rPr>
          <w:rtl/>
        </w:rPr>
        <w:t xml:space="preserve"> </w:t>
      </w:r>
      <w:r>
        <w:rPr>
          <w:rFonts w:hint="cs"/>
          <w:rtl/>
        </w:rPr>
        <w:t>וכן דעת הר"ן</w:t>
      </w:r>
      <w:r w:rsidRPr="009D3B22">
        <w:rPr>
          <w:rFonts w:cs="Arial"/>
          <w:rtl/>
        </w:rPr>
        <w:t xml:space="preserve"> בפרק המצניע (שם ד"ה ודאמרינן גדול כבוד הבריות)</w:t>
      </w:r>
      <w:r>
        <w:rPr>
          <w:rFonts w:cs="Arial" w:hint="cs"/>
          <w:rtl/>
        </w:rPr>
        <w:t>.</w:t>
      </w:r>
    </w:p>
  </w:footnote>
  <w:footnote w:id="1892">
    <w:p w14:paraId="57F6FB77" w14:textId="2308364F" w:rsidR="009679F9" w:rsidRDefault="009679F9" w:rsidP="00285819">
      <w:pPr>
        <w:pStyle w:val="a7"/>
        <w:rPr>
          <w:rtl/>
        </w:rPr>
      </w:pPr>
      <w:r>
        <w:rPr>
          <w:rStyle w:val="a9"/>
        </w:rPr>
        <w:footnoteRef/>
      </w:r>
      <w:r>
        <w:rPr>
          <w:rtl/>
        </w:rPr>
        <w:t xml:space="preserve"> </w:t>
      </w:r>
      <w:r w:rsidRPr="009679F9">
        <w:rPr>
          <w:rFonts w:cs="Arial"/>
          <w:rtl/>
        </w:rPr>
        <w:t xml:space="preserve">ובתשובות מהרי"ל </w:t>
      </w:r>
      <w:r w:rsidR="008713B6">
        <w:rPr>
          <w:rFonts w:cs="Arial" w:hint="cs"/>
          <w:rtl/>
        </w:rPr>
        <w:t>(</w:t>
      </w:r>
      <w:r w:rsidRPr="009679F9">
        <w:rPr>
          <w:rFonts w:cs="Arial"/>
          <w:rtl/>
        </w:rPr>
        <w:t>סי</w:t>
      </w:r>
      <w:r w:rsidR="008713B6">
        <w:rPr>
          <w:rFonts w:cs="Arial" w:hint="cs"/>
          <w:rtl/>
        </w:rPr>
        <w:t>'</w:t>
      </w:r>
      <w:r w:rsidRPr="009679F9">
        <w:rPr>
          <w:rFonts w:cs="Arial"/>
          <w:rtl/>
        </w:rPr>
        <w:t xml:space="preserve"> סה</w:t>
      </w:r>
      <w:r w:rsidR="008713B6">
        <w:rPr>
          <w:rFonts w:cs="Arial" w:hint="cs"/>
          <w:rtl/>
        </w:rPr>
        <w:t>)</w:t>
      </w:r>
      <w:r w:rsidRPr="009679F9">
        <w:rPr>
          <w:rFonts w:cs="Arial"/>
          <w:rtl/>
        </w:rPr>
        <w:t xml:space="preserve"> משמע קצת דשרי</w:t>
      </w:r>
      <w:r w:rsidR="000E5744">
        <w:rPr>
          <w:rFonts w:cs="Arial" w:hint="cs"/>
          <w:rtl/>
        </w:rPr>
        <w:t>,</w:t>
      </w:r>
      <w:r w:rsidRPr="009679F9">
        <w:rPr>
          <w:rFonts w:cs="Arial"/>
          <w:rtl/>
        </w:rPr>
        <w:t xml:space="preserve"> ועיי"ש וכתבתי דבריו בי</w:t>
      </w:r>
      <w:r w:rsidR="008713B6">
        <w:rPr>
          <w:rFonts w:cs="Arial" w:hint="cs"/>
          <w:rtl/>
        </w:rPr>
        <w:t>ו"</w:t>
      </w:r>
      <w:r w:rsidRPr="009679F9">
        <w:rPr>
          <w:rFonts w:cs="Arial"/>
          <w:rtl/>
        </w:rPr>
        <w:t>ד סי</w:t>
      </w:r>
      <w:r w:rsidR="008713B6">
        <w:rPr>
          <w:rFonts w:cs="Arial" w:hint="cs"/>
          <w:rtl/>
        </w:rPr>
        <w:t>'</w:t>
      </w:r>
      <w:r w:rsidRPr="009679F9">
        <w:rPr>
          <w:rFonts w:cs="Arial"/>
          <w:rtl/>
        </w:rPr>
        <w:t xml:space="preserve"> שעב </w:t>
      </w:r>
      <w:r w:rsidR="004706B2">
        <w:rPr>
          <w:rFonts w:cs="Arial" w:hint="cs"/>
          <w:rtl/>
        </w:rPr>
        <w:t>(</w:t>
      </w:r>
      <w:r w:rsidRPr="009679F9">
        <w:rPr>
          <w:rFonts w:cs="Arial"/>
          <w:rtl/>
        </w:rPr>
        <w:t>ארוך אות ב)</w:t>
      </w:r>
      <w:r w:rsidR="008713B6">
        <w:rPr>
          <w:rFonts w:cs="Arial" w:hint="cs"/>
          <w:rtl/>
        </w:rPr>
        <w:t>,</w:t>
      </w:r>
      <w:r w:rsidRPr="009679F9">
        <w:rPr>
          <w:rFonts w:cs="Arial"/>
          <w:rtl/>
        </w:rPr>
        <w:t xml:space="preserve"> ומשמע שם דעל ידי גוי שרי לטלטלו משום כבוד כהנים</w:t>
      </w:r>
      <w:r w:rsidR="008713B6">
        <w:rPr>
          <w:rFonts w:cs="Arial" w:hint="cs"/>
          <w:rtl/>
        </w:rPr>
        <w:t>,</w:t>
      </w:r>
      <w:r w:rsidR="008713B6">
        <w:rPr>
          <w:rFonts w:hint="cs"/>
          <w:rtl/>
        </w:rPr>
        <w:t xml:space="preserve"> דרכ"מ (אות ד).</w:t>
      </w:r>
      <w:r w:rsidR="008713B6" w:rsidRPr="008713B6">
        <w:rPr>
          <w:rFonts w:hint="cs"/>
          <w:color w:val="00B0F0"/>
          <w:rtl/>
        </w:rPr>
        <w:t xml:space="preserve"> </w:t>
      </w:r>
      <w:r w:rsidR="008713B6" w:rsidRPr="00EE6FF4">
        <w:rPr>
          <w:rFonts w:hint="cs"/>
          <w:color w:val="00B0F0"/>
          <w:rtl/>
        </w:rPr>
        <w:t>(וכ"פ הרמ"א)</w:t>
      </w:r>
    </w:p>
  </w:footnote>
  <w:footnote w:id="1893">
    <w:p w14:paraId="04DBFBB3" w14:textId="77777777" w:rsidR="006A0D17" w:rsidRDefault="006A0D17" w:rsidP="00285819">
      <w:pPr>
        <w:pStyle w:val="a7"/>
        <w:rPr>
          <w:rtl/>
        </w:rPr>
      </w:pPr>
      <w:r>
        <w:rPr>
          <w:rStyle w:val="a9"/>
        </w:rPr>
        <w:footnoteRef/>
      </w:r>
      <w:r>
        <w:rPr>
          <w:rtl/>
        </w:rPr>
        <w:t xml:space="preserve"> </w:t>
      </w:r>
      <w:r w:rsidRPr="009679F9">
        <w:rPr>
          <w:rFonts w:cs="Arial"/>
          <w:rtl/>
        </w:rPr>
        <w:t>(ג) אבל בהגהות שם דף (קע"ט ע"ג) (פ א) משמע בשם ר"ב דאסור להזיז אבר על ידי ככר או תינוק</w:t>
      </w:r>
    </w:p>
  </w:footnote>
  <w:footnote w:id="1894">
    <w:p w14:paraId="46A34B94" w14:textId="1F45A595" w:rsidR="000E5744" w:rsidRDefault="000E5744" w:rsidP="00285819">
      <w:pPr>
        <w:pStyle w:val="a7"/>
        <w:rPr>
          <w:rtl/>
        </w:rPr>
      </w:pPr>
      <w:r>
        <w:rPr>
          <w:rStyle w:val="a9"/>
        </w:rPr>
        <w:footnoteRef/>
      </w:r>
      <w:r>
        <w:rPr>
          <w:rtl/>
        </w:rPr>
        <w:t xml:space="preserve"> </w:t>
      </w:r>
      <w:r w:rsidRPr="000E5744">
        <w:rPr>
          <w:rFonts w:cs="Arial"/>
          <w:rtl/>
        </w:rPr>
        <w:t>ודע דלדעת היש אומרים הנ"ל שמקילין בקרוב להסריח אפילו יש להם מקום לצאת מותר להוציאו מפני שלא יסריח</w:t>
      </w:r>
      <w:r>
        <w:rPr>
          <w:rFonts w:hint="cs"/>
          <w:rtl/>
        </w:rPr>
        <w:t>, משנ"ב (סק"ז).</w:t>
      </w:r>
    </w:p>
  </w:footnote>
  <w:footnote w:id="1895">
    <w:p w14:paraId="7B733635" w14:textId="75305E51" w:rsidR="00307346" w:rsidRDefault="00307346" w:rsidP="00285819">
      <w:pPr>
        <w:pStyle w:val="a7"/>
      </w:pPr>
      <w:r>
        <w:rPr>
          <w:rStyle w:val="a9"/>
        </w:rPr>
        <w:footnoteRef/>
      </w:r>
      <w:r>
        <w:rPr>
          <w:rtl/>
        </w:rPr>
        <w:t xml:space="preserve"> </w:t>
      </w:r>
      <w:r w:rsidRPr="00307346">
        <w:rPr>
          <w:rFonts w:cs="Arial"/>
          <w:rtl/>
        </w:rPr>
        <w:t>טעמו דהו"ל מלאכה שא"צ לגופה דהא אין צריך למת ולית ביה רק איסור דרבנן לר"ש דקיי"ל כוותיה ובמת לא גזרו מפני כבוד הבריות אבל הדעה ראשונה ס"ל דלא התירו אלא כרמלית דלית לה עיקר בדאורייתא משא"כ בזה דשם מלאכה עליה אלא שאין צריך לגופה לא התירו אף במת</w:t>
      </w:r>
      <w:r w:rsidR="009C7994">
        <w:rPr>
          <w:rFonts w:cs="Arial" w:hint="cs"/>
          <w:rtl/>
        </w:rPr>
        <w:t>.</w:t>
      </w:r>
      <w:r w:rsidRPr="00307346">
        <w:rPr>
          <w:rFonts w:cs="Arial"/>
          <w:rtl/>
        </w:rPr>
        <w:t xml:space="preserve"> ועיין בט"ז וכן בא"ר דהלכה כדעה ראשונה משום דהרבה פוסקים סוברין כמותה ובפרט דמלאכה שא"צ לגופה ג"כ לא ברירא דהוא פטור עליה דיש שפוסקין כר' יהודה דמחייב עליה עיין בסוף סימן של"ד</w:t>
      </w:r>
      <w:r>
        <w:rPr>
          <w:rFonts w:cs="Arial" w:hint="cs"/>
          <w:rtl/>
        </w:rPr>
        <w:t>, משנ"ב (סק"י).</w:t>
      </w:r>
    </w:p>
  </w:footnote>
  <w:footnote w:id="1896">
    <w:p w14:paraId="45821238" w14:textId="2F6DDF0C" w:rsidR="00307346" w:rsidRDefault="00307346" w:rsidP="00285819">
      <w:pPr>
        <w:pStyle w:val="a7"/>
      </w:pPr>
      <w:r>
        <w:rPr>
          <w:rStyle w:val="a9"/>
        </w:rPr>
        <w:footnoteRef/>
      </w:r>
      <w:r>
        <w:rPr>
          <w:rtl/>
        </w:rPr>
        <w:t xml:space="preserve"> </w:t>
      </w:r>
      <w:r w:rsidRPr="00307346">
        <w:rPr>
          <w:rFonts w:cs="Arial"/>
          <w:rtl/>
        </w:rPr>
        <w:t>דוקא כשהוא גדול קצת דשייך בו חי נושא את עצמו ולית ביה בעלמא רק איסור דרבנן ובמת לא גזרו משא"כ בקטן ביותר [עיין סימן ש"ח סמ"א ובמ"ב שם] הוא שוה לככר וחייב על הוצאתם גופא</w:t>
      </w:r>
      <w:r>
        <w:rPr>
          <w:rFonts w:cs="Arial" w:hint="cs"/>
          <w:rtl/>
        </w:rPr>
        <w:t>, משנ"ב (סקי"א).</w:t>
      </w:r>
    </w:p>
  </w:footnote>
  <w:footnote w:id="1897">
    <w:p w14:paraId="55A495B6" w14:textId="1E88DFED" w:rsidR="00307346" w:rsidRDefault="00307346" w:rsidP="00285819">
      <w:pPr>
        <w:pStyle w:val="a7"/>
      </w:pPr>
      <w:r>
        <w:rPr>
          <w:rStyle w:val="a9"/>
        </w:rPr>
        <w:footnoteRef/>
      </w:r>
      <w:r>
        <w:rPr>
          <w:rtl/>
        </w:rPr>
        <w:t xml:space="preserve"> </w:t>
      </w:r>
      <w:r w:rsidRPr="00307346">
        <w:rPr>
          <w:rFonts w:cs="Arial"/>
          <w:rtl/>
        </w:rPr>
        <w:t xml:space="preserve">ר"ל כמו שהתירו בישראל ע"י ככר ותינוק התירו ע"י </w:t>
      </w:r>
      <w:r>
        <w:rPr>
          <w:rFonts w:cs="Arial" w:hint="cs"/>
          <w:rtl/>
        </w:rPr>
        <w:t>גו</w:t>
      </w:r>
      <w:r w:rsidRPr="00307346">
        <w:rPr>
          <w:rFonts w:cs="Arial"/>
          <w:rtl/>
        </w:rPr>
        <w:t xml:space="preserve">י אף בלי ככר ותינוק וממילא משמע קצת מלשון זה דדוקא לכרמלית אבל לר"ה דאסור לרוב פוסקים ע"י ישראל אף ע"י ככר ותינוק אפילו ע"י </w:t>
      </w:r>
      <w:r>
        <w:rPr>
          <w:rFonts w:cs="Arial" w:hint="cs"/>
          <w:rtl/>
        </w:rPr>
        <w:t>גוי</w:t>
      </w:r>
      <w:r w:rsidRPr="00307346">
        <w:rPr>
          <w:rFonts w:cs="Arial"/>
          <w:rtl/>
        </w:rPr>
        <w:t xml:space="preserve"> אסור וכ"כ במ"א ובא"ר מצדד בשם כמה פוסקים שסוברין להקל גם בר"ה</w:t>
      </w:r>
      <w:r>
        <w:rPr>
          <w:rFonts w:cs="Arial" w:hint="cs"/>
          <w:rtl/>
        </w:rPr>
        <w:t>, משנ"ב (סקי"ב).</w:t>
      </w:r>
    </w:p>
  </w:footnote>
  <w:footnote w:id="1898">
    <w:p w14:paraId="2FF29DF8" w14:textId="04D4B4A1" w:rsidR="006658E7" w:rsidRDefault="006658E7" w:rsidP="00285819">
      <w:pPr>
        <w:pStyle w:val="a7"/>
      </w:pPr>
      <w:r>
        <w:rPr>
          <w:rStyle w:val="a9"/>
        </w:rPr>
        <w:footnoteRef/>
      </w:r>
      <w:r>
        <w:rPr>
          <w:rtl/>
        </w:rPr>
        <w:t xml:space="preserve"> </w:t>
      </w:r>
      <w:r w:rsidRPr="006658E7">
        <w:rPr>
          <w:rFonts w:cs="Arial"/>
          <w:rtl/>
        </w:rPr>
        <w:t>שיהיו יכולים להיות בבתיהם שהיו תחת גג אחד עם המת</w:t>
      </w:r>
      <w:r>
        <w:rPr>
          <w:rFonts w:cs="Arial" w:hint="cs"/>
          <w:rtl/>
        </w:rPr>
        <w:t>,</w:t>
      </w:r>
      <w:r w:rsidRPr="006658E7">
        <w:rPr>
          <w:rFonts w:cs="Arial"/>
          <w:rtl/>
        </w:rPr>
        <w:t xml:space="preserve"> דלא הותר טלטול המת ע"י ככר או תינוק אלא לצורך המת. וכתבו האחרונים דטלטול מן הצד דהיינו להפכו ממטה למטה שרי לצורך כהנים אפילו שלא ע"י ככר ותינוק דהרי הוא טלטול מן הצד לצורך מקומו דשרי וכדלקמן בס"ה. ומ"מ בין בזה וכן במה שמתיר הרמ"א ע"י א"י הוא דוקא אם הקרובין רוצין דמשום בזיון המת ליכא בזה דמה לו כשמטהרין אותו בבית זה או בבית אחר אבל אין יכולין לכופן להוציאו מן הבית שמת שם [אם לא במקום שהמנהג לשאתו מיד במקום שמטהרין אותו יכול לכופן] ואפילו היה בהכ"נ תחת גג אחד עם המת והכהנים מעוכבין עי"ז לילך לבהכ"נ דהוא מצוה משום דזהו כבוד הקרובים שיטהרו ויעשו צרכי המת בביתם אם לא בנפל דליכא משום כבוד י"א דיכולין לכופן להוציא מן הבית בשביל הכהנים וע"פ האופנים המבוארים למעלה [כ"ז מתבאר מדברי המ"א וש"א ועיין מה שכתב המ"א עוד בענין זה]</w:t>
      </w:r>
      <w:r>
        <w:rPr>
          <w:rFonts w:cs="Arial" w:hint="cs"/>
          <w:rtl/>
        </w:rPr>
        <w:t>, משנ"ב (סקי"ד).</w:t>
      </w:r>
    </w:p>
  </w:footnote>
  <w:footnote w:id="1899">
    <w:p w14:paraId="0E6DD48B" w14:textId="709D53B6" w:rsidR="006658E7" w:rsidRDefault="006658E7" w:rsidP="00285819">
      <w:pPr>
        <w:pStyle w:val="a7"/>
      </w:pPr>
      <w:r>
        <w:rPr>
          <w:rStyle w:val="a9"/>
        </w:rPr>
        <w:footnoteRef/>
      </w:r>
      <w:r>
        <w:rPr>
          <w:rtl/>
        </w:rPr>
        <w:t xml:space="preserve"> </w:t>
      </w:r>
      <w:r w:rsidRPr="006658E7">
        <w:rPr>
          <w:rFonts w:cs="Arial"/>
          <w:rtl/>
        </w:rPr>
        <w:t>דשבות דשבות לצורך מצוה שרי</w:t>
      </w:r>
      <w:r>
        <w:rPr>
          <w:rFonts w:cs="Arial" w:hint="cs"/>
          <w:rtl/>
        </w:rPr>
        <w:t>,</w:t>
      </w:r>
      <w:r w:rsidRPr="006658E7">
        <w:rPr>
          <w:rFonts w:cs="Arial"/>
          <w:rtl/>
        </w:rPr>
        <w:t xml:space="preserve"> וכדלעיל בסימן ש"ז ס"ה</w:t>
      </w:r>
      <w:r>
        <w:rPr>
          <w:rFonts w:cs="Arial" w:hint="cs"/>
          <w:rtl/>
        </w:rPr>
        <w:t>,</w:t>
      </w:r>
      <w:r w:rsidRPr="006658E7">
        <w:rPr>
          <w:rFonts w:cs="Arial"/>
          <w:rtl/>
        </w:rPr>
        <w:t xml:space="preserve"> ועי"ש דלצורך גדול חשוב ג"כ כצורך מצוה ולהכי שרינן הכא ע"י </w:t>
      </w:r>
      <w:r>
        <w:rPr>
          <w:rFonts w:cs="Arial" w:hint="cs"/>
          <w:rtl/>
        </w:rPr>
        <w:t>גו</w:t>
      </w:r>
      <w:r w:rsidRPr="006658E7">
        <w:rPr>
          <w:rFonts w:cs="Arial"/>
          <w:rtl/>
        </w:rPr>
        <w:t>י לצורך כהנים</w:t>
      </w:r>
      <w:r>
        <w:rPr>
          <w:rFonts w:cs="Arial" w:hint="cs"/>
          <w:rtl/>
        </w:rPr>
        <w:t>,</w:t>
      </w:r>
      <w:r w:rsidRPr="006658E7">
        <w:rPr>
          <w:rFonts w:cs="Arial"/>
          <w:rtl/>
        </w:rPr>
        <w:t xml:space="preserve"> וכן משמע מהגר"א</w:t>
      </w:r>
      <w:r>
        <w:rPr>
          <w:rFonts w:cs="Arial" w:hint="cs"/>
          <w:rtl/>
        </w:rPr>
        <w:t>, משנ"ב (סקי"ד).</w:t>
      </w:r>
    </w:p>
  </w:footnote>
  <w:footnote w:id="1900">
    <w:p w14:paraId="5CE0C156" w14:textId="7156AC74" w:rsidR="00705CE9" w:rsidRDefault="00705CE9" w:rsidP="00285819">
      <w:pPr>
        <w:pStyle w:val="a7"/>
      </w:pPr>
      <w:r>
        <w:rPr>
          <w:rStyle w:val="a9"/>
        </w:rPr>
        <w:footnoteRef/>
      </w:r>
      <w:r>
        <w:rPr>
          <w:rtl/>
        </w:rPr>
        <w:t xml:space="preserve"> </w:t>
      </w:r>
      <w:r w:rsidRPr="00705CE9">
        <w:rPr>
          <w:rFonts w:cs="Arial"/>
          <w:rtl/>
        </w:rPr>
        <w:t>רבי יהודה ב"ר בנימין הרופא למשפחת הענווים היה מחכמי איטליה במפנה האלף השישי (המאה הי"ג). היה ממנהיגי הקהילה ברומא, ועמד בראש בית המדרש בעיר. היה רבו ובן דודו של ר' צדקיה ב"ר אברהם בעל שיבולי הלקט</w:t>
      </w:r>
      <w:r>
        <w:rPr>
          <w:rFonts w:cs="Arial" w:hint="cs"/>
          <w:rtl/>
        </w:rPr>
        <w:t xml:space="preserve"> </w:t>
      </w:r>
      <w:r w:rsidRPr="00705CE9">
        <w:rPr>
          <w:rFonts w:cs="Arial" w:hint="cs"/>
          <w:sz w:val="16"/>
          <w:szCs w:val="16"/>
          <w:rtl/>
        </w:rPr>
        <w:t>(ביוגרפיה פרויה"ש)</w:t>
      </w:r>
      <w:r>
        <w:rPr>
          <w:rFonts w:cs="Arial" w:hint="cs"/>
          <w:rtl/>
        </w:rPr>
        <w:t>.</w:t>
      </w:r>
    </w:p>
  </w:footnote>
  <w:footnote w:id="1901">
    <w:p w14:paraId="27919360" w14:textId="6431EC9B" w:rsidR="003E301A" w:rsidRDefault="003E301A" w:rsidP="00285819">
      <w:pPr>
        <w:pStyle w:val="a7"/>
      </w:pPr>
      <w:r>
        <w:rPr>
          <w:rStyle w:val="a9"/>
        </w:rPr>
        <w:footnoteRef/>
      </w:r>
      <w:r>
        <w:rPr>
          <w:rtl/>
        </w:rPr>
        <w:t xml:space="preserve"> </w:t>
      </w:r>
      <w:r w:rsidRPr="009679F9">
        <w:rPr>
          <w:rFonts w:cs="Arial"/>
          <w:rtl/>
        </w:rPr>
        <w:t>ודברי הגהות אלו אינם נכונים בטעם</w:t>
      </w:r>
      <w:r>
        <w:rPr>
          <w:rFonts w:cs="Arial" w:hint="cs"/>
          <w:rtl/>
        </w:rPr>
        <w:t>,</w:t>
      </w:r>
      <w:r w:rsidRPr="009679F9">
        <w:rPr>
          <w:rFonts w:cs="Arial"/>
          <w:rtl/>
        </w:rPr>
        <w:t xml:space="preserve"> דהא קיי</w:t>
      </w:r>
      <w:r>
        <w:rPr>
          <w:rFonts w:cs="Arial" w:hint="cs"/>
          <w:rtl/>
        </w:rPr>
        <w:t>"</w:t>
      </w:r>
      <w:r w:rsidRPr="009679F9">
        <w:rPr>
          <w:rFonts w:cs="Arial"/>
          <w:rtl/>
        </w:rPr>
        <w:t>ל דכלי ניטל אף לדבר שאינו ניטל וכמו שנתבאר לעיל סימן ש"י (ב"י עמ' רב ד"ה כל דבר) ומכל מקום אפשר שראוי לחוש לדבריהם דהא מבואר לעיל דאע</w:t>
      </w:r>
      <w:r>
        <w:rPr>
          <w:rFonts w:cs="Arial" w:hint="cs"/>
          <w:rtl/>
        </w:rPr>
        <w:t>"</w:t>
      </w:r>
      <w:r w:rsidRPr="009679F9">
        <w:rPr>
          <w:rFonts w:cs="Arial"/>
          <w:rtl/>
        </w:rPr>
        <w:t>ג דניטל לדבר שאינו ניטל מכל מקום צריך שלא יגע בה</w:t>
      </w:r>
      <w:r>
        <w:rPr>
          <w:rFonts w:cs="Arial" w:hint="cs"/>
          <w:rtl/>
        </w:rPr>
        <w:t xml:space="preserve">, דרכ"מ (אות ב). אינני מבין כלל, שהרי </w:t>
      </w:r>
      <w:r w:rsidR="00DD1F86">
        <w:rPr>
          <w:rFonts w:cs="Arial" w:hint="cs"/>
          <w:rtl/>
        </w:rPr>
        <w:t>אין הלכה כר' יצחק (כמבואר בסי' שח סע' ג) ו</w:t>
      </w:r>
      <w:r w:rsidR="001C6D25">
        <w:rPr>
          <w:rFonts w:cs="Arial" w:hint="cs"/>
          <w:rtl/>
        </w:rPr>
        <w:t>יכול אף לגעת ובלבד שלא יזיז (כמבואר בסי' שח סע' מב) ו</w:t>
      </w:r>
      <w:r w:rsidR="00DD1F86">
        <w:rPr>
          <w:rFonts w:cs="Arial" w:hint="cs"/>
          <w:rtl/>
        </w:rPr>
        <w:t xml:space="preserve">לא </w:t>
      </w:r>
      <w:r>
        <w:rPr>
          <w:rFonts w:cs="Arial" w:hint="cs"/>
          <w:rtl/>
        </w:rPr>
        <w:t xml:space="preserve">אמרו </w:t>
      </w:r>
      <w:r w:rsidR="001C6D25">
        <w:rPr>
          <w:rFonts w:cs="Arial" w:hint="cs"/>
          <w:rtl/>
        </w:rPr>
        <w:t>שלא יגע אלא</w:t>
      </w:r>
      <w:r>
        <w:rPr>
          <w:rFonts w:cs="Arial" w:hint="cs"/>
          <w:rtl/>
        </w:rPr>
        <w:t xml:space="preserve"> רק לגבי דבר המתגלגל כביצה וקנים</w:t>
      </w:r>
      <w:r w:rsidR="00DD1F86">
        <w:rPr>
          <w:rFonts w:cs="Arial" w:hint="cs"/>
          <w:rtl/>
        </w:rPr>
        <w:t xml:space="preserve"> (</w:t>
      </w:r>
      <w:r w:rsidR="00DD1F86" w:rsidRPr="00DD1F86">
        <w:rPr>
          <w:rFonts w:cs="Arial" w:hint="cs"/>
          <w:rtl/>
        </w:rPr>
        <w:t>סי' שי ס"ו, ו</w:t>
      </w:r>
      <w:r w:rsidR="00DD1F86">
        <w:rPr>
          <w:rFonts w:cs="Arial" w:hint="cs"/>
          <w:rtl/>
        </w:rPr>
        <w:t>ב</w:t>
      </w:r>
      <w:r w:rsidR="00DD1F86" w:rsidRPr="00DD1F86">
        <w:rPr>
          <w:rFonts w:cs="Arial" w:hint="cs"/>
          <w:rtl/>
        </w:rPr>
        <w:t>סי' שכב ס"א)</w:t>
      </w:r>
      <w:r w:rsidRPr="00DD1F86">
        <w:rPr>
          <w:rFonts w:cs="Arial" w:hint="cs"/>
          <w:rtl/>
        </w:rPr>
        <w:t>. ומדוע נחוש להחמיר בדבר שאין הלכה כמותו?.</w:t>
      </w:r>
    </w:p>
  </w:footnote>
  <w:footnote w:id="1902">
    <w:p w14:paraId="387737B6" w14:textId="2B480C8E" w:rsidR="009679F9" w:rsidRDefault="009679F9" w:rsidP="00285819">
      <w:pPr>
        <w:pStyle w:val="a7"/>
      </w:pPr>
      <w:r>
        <w:rPr>
          <w:rStyle w:val="a9"/>
        </w:rPr>
        <w:footnoteRef/>
      </w:r>
      <w:r>
        <w:rPr>
          <w:rtl/>
        </w:rPr>
        <w:t xml:space="preserve"> </w:t>
      </w:r>
      <w:r w:rsidR="008806D1" w:rsidRPr="00B543A8">
        <w:rPr>
          <w:rFonts w:cs="Arial"/>
          <w:rtl/>
        </w:rPr>
        <w:t>ומשמע לי שאין כן דעת רש"י והפוסקים דאם כן הוי להו לפרושי</w:t>
      </w:r>
      <w:r w:rsidR="008806D1">
        <w:rPr>
          <w:rFonts w:cs="Arial" w:hint="cs"/>
          <w:rtl/>
        </w:rPr>
        <w:t>.</w:t>
      </w:r>
      <w:r w:rsidR="008806D1" w:rsidRPr="00B543A8">
        <w:rPr>
          <w:rFonts w:cs="Arial"/>
          <w:rtl/>
        </w:rPr>
        <w:t xml:space="preserve"> וראייתו יש לדחות</w:t>
      </w:r>
      <w:r w:rsidR="008806D1">
        <w:rPr>
          <w:rFonts w:cs="Arial" w:hint="cs"/>
          <w:rtl/>
        </w:rPr>
        <w:t>,</w:t>
      </w:r>
      <w:r w:rsidR="008806D1" w:rsidRPr="00B543A8">
        <w:rPr>
          <w:rFonts w:cs="Arial"/>
          <w:rtl/>
        </w:rPr>
        <w:t xml:space="preserve"> דשאני התם דאין לומר שהכוס יהא בטל לגבי שיורין</w:t>
      </w:r>
      <w:r w:rsidR="008806D1">
        <w:rPr>
          <w:rFonts w:cs="Arial" w:hint="cs"/>
          <w:rtl/>
        </w:rPr>
        <w:t>,</w:t>
      </w:r>
      <w:r w:rsidR="008806D1" w:rsidRPr="00B543A8">
        <w:rPr>
          <w:rFonts w:cs="Arial"/>
          <w:rtl/>
        </w:rPr>
        <w:t xml:space="preserve"> אבל הכא הכסות בטל לגבי המת</w:t>
      </w:r>
      <w:r w:rsidR="008806D1">
        <w:rPr>
          <w:rFonts w:cs="Arial" w:hint="cs"/>
          <w:rtl/>
        </w:rPr>
        <w:t>.</w:t>
      </w:r>
      <w:r w:rsidR="008806D1" w:rsidRPr="00B543A8">
        <w:rPr>
          <w:rFonts w:cs="Arial"/>
          <w:rtl/>
        </w:rPr>
        <w:t xml:space="preserve"> ואע</w:t>
      </w:r>
      <w:r w:rsidR="008806D1">
        <w:rPr>
          <w:rFonts w:cs="Arial" w:hint="cs"/>
          <w:rtl/>
        </w:rPr>
        <w:t>"</w:t>
      </w:r>
      <w:r w:rsidR="008806D1" w:rsidRPr="00B543A8">
        <w:rPr>
          <w:rFonts w:cs="Arial"/>
          <w:rtl/>
        </w:rPr>
        <w:t>פ שכתב הרמב"ן בספר תורת האדם יכול ליתן עליו ככר או תינוק או אחד מהכלים שהוא לבוש וכיוצא בהם</w:t>
      </w:r>
      <w:r w:rsidR="008806D1">
        <w:rPr>
          <w:rFonts w:cs="Arial" w:hint="cs"/>
          <w:rtl/>
        </w:rPr>
        <w:t>,</w:t>
      </w:r>
      <w:r w:rsidR="008806D1" w:rsidRPr="00B543A8">
        <w:rPr>
          <w:rFonts w:cs="Arial"/>
          <w:rtl/>
        </w:rPr>
        <w:t xml:space="preserve"> יש לומר דאע</w:t>
      </w:r>
      <w:r w:rsidR="008806D1">
        <w:rPr>
          <w:rFonts w:cs="Arial" w:hint="cs"/>
          <w:rtl/>
        </w:rPr>
        <w:t>"</w:t>
      </w:r>
      <w:r w:rsidR="008806D1" w:rsidRPr="00B543A8">
        <w:rPr>
          <w:rFonts w:cs="Arial"/>
          <w:rtl/>
        </w:rPr>
        <w:t>פ שכל</w:t>
      </w:r>
      <w:r w:rsidR="008806D1">
        <w:rPr>
          <w:rFonts w:cs="Arial" w:hint="cs"/>
          <w:rtl/>
        </w:rPr>
        <w:t>י</w:t>
      </w:r>
      <w:r w:rsidR="008806D1" w:rsidRPr="00B543A8">
        <w:rPr>
          <w:rFonts w:cs="Arial"/>
          <w:rtl/>
        </w:rPr>
        <w:t xml:space="preserve"> שהוא נתון עליו אינו בטל לגביה, כסותו ממש בטל הוא לגביה</w:t>
      </w:r>
      <w:r w:rsidR="008806D1">
        <w:rPr>
          <w:rFonts w:cs="Arial" w:hint="cs"/>
          <w:rtl/>
        </w:rPr>
        <w:t>, ב"י.</w:t>
      </w:r>
      <w:r w:rsidR="00BB419E">
        <w:rPr>
          <w:rFonts w:cs="Arial" w:hint="cs"/>
          <w:rtl/>
        </w:rPr>
        <w:t xml:space="preserve"> </w:t>
      </w:r>
    </w:p>
  </w:footnote>
  <w:footnote w:id="1903">
    <w:p w14:paraId="381DB6BE" w14:textId="523B0845" w:rsidR="009679F9" w:rsidRDefault="009679F9" w:rsidP="00285819">
      <w:pPr>
        <w:pStyle w:val="a7"/>
        <w:rPr>
          <w:rtl/>
        </w:rPr>
      </w:pPr>
      <w:r>
        <w:rPr>
          <w:rStyle w:val="a9"/>
        </w:rPr>
        <w:footnoteRef/>
      </w:r>
      <w:r>
        <w:rPr>
          <w:rtl/>
        </w:rPr>
        <w:t xml:space="preserve"> </w:t>
      </w:r>
      <w:r w:rsidR="00CE068E" w:rsidRPr="00275706">
        <w:rPr>
          <w:rFonts w:cs="Arial"/>
          <w:rtl/>
        </w:rPr>
        <w:t>ודבריו נכונים כמו שיתבאר בסוף סימן זה דלצורך דבר המותר שרי טלטול מן הצד</w:t>
      </w:r>
      <w:r w:rsidR="00CE068E">
        <w:rPr>
          <w:rFonts w:cs="Arial" w:hint="cs"/>
          <w:rtl/>
        </w:rPr>
        <w:t>, ב"י.</w:t>
      </w:r>
      <w:r w:rsidR="00CE068E" w:rsidRPr="009679F9">
        <w:rPr>
          <w:rFonts w:cs="Arial"/>
          <w:rtl/>
        </w:rPr>
        <w:t xml:space="preserve"> </w:t>
      </w:r>
    </w:p>
  </w:footnote>
  <w:footnote w:id="1904">
    <w:p w14:paraId="05990B7B" w14:textId="77777777" w:rsidR="00FE343C" w:rsidRDefault="00FE343C" w:rsidP="00285819">
      <w:pPr>
        <w:pStyle w:val="a7"/>
      </w:pPr>
      <w:r>
        <w:rPr>
          <w:rStyle w:val="a9"/>
        </w:rPr>
        <w:footnoteRef/>
      </w:r>
      <w:r>
        <w:rPr>
          <w:rtl/>
        </w:rPr>
        <w:t xml:space="preserve"> </w:t>
      </w:r>
      <w:r w:rsidRPr="00FB1400">
        <w:rPr>
          <w:rFonts w:cs="Arial"/>
          <w:rtl/>
        </w:rPr>
        <w:t>רשות הרבים</w:t>
      </w:r>
      <w:r>
        <w:rPr>
          <w:rFonts w:cs="Arial" w:hint="cs"/>
          <w:rtl/>
        </w:rPr>
        <w:t xml:space="preserve">, רש"י. </w:t>
      </w:r>
    </w:p>
  </w:footnote>
  <w:footnote w:id="1905">
    <w:p w14:paraId="5B5A1399" w14:textId="77777777" w:rsidR="00FE343C" w:rsidRDefault="00FE343C" w:rsidP="00285819">
      <w:pPr>
        <w:pStyle w:val="a7"/>
        <w:rPr>
          <w:rtl/>
        </w:rPr>
      </w:pPr>
      <w:r>
        <w:rPr>
          <w:rStyle w:val="a9"/>
        </w:rPr>
        <w:footnoteRef/>
      </w:r>
      <w:r>
        <w:rPr>
          <w:rtl/>
        </w:rPr>
        <w:t xml:space="preserve"> </w:t>
      </w:r>
      <w:r w:rsidRPr="004469F4">
        <w:rPr>
          <w:rFonts w:cs="Arial"/>
          <w:rtl/>
        </w:rPr>
        <w:t>מניח תרווד על העומרים לטלטלן אגב תרווד</w:t>
      </w:r>
      <w:r>
        <w:rPr>
          <w:rFonts w:hint="cs"/>
          <w:rtl/>
        </w:rPr>
        <w:t>, רש"י.</w:t>
      </w:r>
    </w:p>
  </w:footnote>
  <w:footnote w:id="1906">
    <w:p w14:paraId="29AEAAFA" w14:textId="77777777" w:rsidR="00FE343C" w:rsidRDefault="00FE343C" w:rsidP="00285819">
      <w:pPr>
        <w:pStyle w:val="a7"/>
        <w:rPr>
          <w:rtl/>
        </w:rPr>
      </w:pPr>
      <w:r>
        <w:rPr>
          <w:rStyle w:val="a9"/>
        </w:rPr>
        <w:footnoteRef/>
      </w:r>
      <w:r>
        <w:rPr>
          <w:rtl/>
        </w:rPr>
        <w:t xml:space="preserve"> </w:t>
      </w:r>
      <w:r w:rsidRPr="004469F4">
        <w:rPr>
          <w:rFonts w:cs="Arial"/>
          <w:rtl/>
        </w:rPr>
        <w:t>חי בלא מליח</w:t>
      </w:r>
      <w:r>
        <w:rPr>
          <w:rFonts w:hint="cs"/>
          <w:rtl/>
        </w:rPr>
        <w:t>, רש"י.</w:t>
      </w:r>
    </w:p>
  </w:footnote>
  <w:footnote w:id="1907">
    <w:p w14:paraId="2CE1FCDB" w14:textId="77777777" w:rsidR="00FE343C" w:rsidRDefault="00FE343C" w:rsidP="00285819">
      <w:pPr>
        <w:pStyle w:val="a7"/>
      </w:pPr>
      <w:r>
        <w:rPr>
          <w:rStyle w:val="a9"/>
        </w:rPr>
        <w:footnoteRef/>
      </w:r>
      <w:r>
        <w:rPr>
          <w:rtl/>
        </w:rPr>
        <w:t xml:space="preserve"> </w:t>
      </w:r>
      <w:r w:rsidRPr="004469F4">
        <w:rPr>
          <w:rFonts w:cs="Arial"/>
          <w:rtl/>
        </w:rPr>
        <w:t>סבורים הם שהם חריפים</w:t>
      </w:r>
      <w:r>
        <w:rPr>
          <w:rFonts w:cs="Arial" w:hint="cs"/>
          <w:rtl/>
        </w:rPr>
        <w:t>, רש"י.</w:t>
      </w:r>
    </w:p>
  </w:footnote>
  <w:footnote w:id="1908">
    <w:p w14:paraId="74AE34B3" w14:textId="77777777" w:rsidR="00FE343C" w:rsidRDefault="00FE343C" w:rsidP="00285819">
      <w:pPr>
        <w:pStyle w:val="a7"/>
      </w:pPr>
      <w:r>
        <w:rPr>
          <w:rStyle w:val="a9"/>
        </w:rPr>
        <w:footnoteRef/>
      </w:r>
      <w:r>
        <w:rPr>
          <w:rtl/>
        </w:rPr>
        <w:t xml:space="preserve"> </w:t>
      </w:r>
      <w:r w:rsidRPr="004469F4">
        <w:rPr>
          <w:rFonts w:cs="Arial"/>
          <w:rtl/>
        </w:rPr>
        <w:t>בארנקי ודסקיא מניח עליה ככר או תינוק - בשכחה, ובמקום התורפה, ומשום הפסד ממון</w:t>
      </w:r>
      <w:r>
        <w:rPr>
          <w:rFonts w:cs="Arial" w:hint="cs"/>
          <w:rtl/>
        </w:rPr>
        <w:t>, רש"י.</w:t>
      </w:r>
    </w:p>
  </w:footnote>
  <w:footnote w:id="1909">
    <w:p w14:paraId="5A289A62" w14:textId="77777777" w:rsidR="00FE343C" w:rsidRDefault="00FE343C" w:rsidP="00285819">
      <w:pPr>
        <w:pStyle w:val="a7"/>
        <w:rPr>
          <w:rtl/>
        </w:rPr>
      </w:pPr>
      <w:r>
        <w:rPr>
          <w:rStyle w:val="a9"/>
        </w:rPr>
        <w:footnoteRef/>
      </w:r>
      <w:r>
        <w:rPr>
          <w:rtl/>
        </w:rPr>
        <w:t xml:space="preserve"> </w:t>
      </w:r>
      <w:r w:rsidRPr="00215402">
        <w:rPr>
          <w:rFonts w:cs="Arial"/>
          <w:rtl/>
        </w:rPr>
        <w:t>עלי ומדוכה</w:t>
      </w:r>
      <w:r>
        <w:rPr>
          <w:rFonts w:hint="cs"/>
          <w:rtl/>
        </w:rPr>
        <w:t>, רש"י.</w:t>
      </w:r>
    </w:p>
  </w:footnote>
  <w:footnote w:id="1910">
    <w:p w14:paraId="62B7760B" w14:textId="77777777" w:rsidR="00FE343C" w:rsidRDefault="00FE343C" w:rsidP="00285819">
      <w:pPr>
        <w:pStyle w:val="a7"/>
        <w:rPr>
          <w:rtl/>
        </w:rPr>
      </w:pPr>
      <w:r>
        <w:rPr>
          <w:rStyle w:val="a9"/>
        </w:rPr>
        <w:footnoteRef/>
      </w:r>
      <w:r>
        <w:rPr>
          <w:rtl/>
        </w:rPr>
        <w:t xml:space="preserve"> </w:t>
      </w:r>
      <w:r>
        <w:rPr>
          <w:rFonts w:hint="cs"/>
          <w:rtl/>
        </w:rPr>
        <w:t>ואע"פ שהיא מוקצה מחמת חסרון כיס התירו לטלטלה אגב השום שבה.</w:t>
      </w:r>
    </w:p>
  </w:footnote>
  <w:footnote w:id="1911">
    <w:p w14:paraId="33387909" w14:textId="77777777" w:rsidR="00FE343C" w:rsidRDefault="00FE343C" w:rsidP="00285819">
      <w:pPr>
        <w:pStyle w:val="a7"/>
      </w:pPr>
      <w:r>
        <w:rPr>
          <w:rStyle w:val="a9"/>
        </w:rPr>
        <w:footnoteRef/>
      </w:r>
      <w:r>
        <w:rPr>
          <w:rtl/>
        </w:rPr>
        <w:t xml:space="preserve"> </w:t>
      </w:r>
      <w:r w:rsidRPr="005B618A">
        <w:rPr>
          <w:rFonts w:cs="Arial"/>
          <w:rtl/>
        </w:rPr>
        <w:t xml:space="preserve">וזהו ששנינו </w:t>
      </w:r>
      <w:r>
        <w:rPr>
          <w:rFonts w:cs="Arial" w:hint="cs"/>
          <w:rtl/>
        </w:rPr>
        <w:t>(</w:t>
      </w:r>
      <w:r w:rsidRPr="005B618A">
        <w:rPr>
          <w:rFonts w:cs="Arial"/>
          <w:rtl/>
        </w:rPr>
        <w:t>שבת קכג</w:t>
      </w:r>
      <w:r>
        <w:rPr>
          <w:rFonts w:cs="Arial" w:hint="cs"/>
          <w:rtl/>
        </w:rPr>
        <w:t>:</w:t>
      </w:r>
      <w:r w:rsidRPr="005B618A">
        <w:rPr>
          <w:rFonts w:cs="Arial"/>
          <w:rtl/>
        </w:rPr>
        <w:t>) מדוכה אם יש עליה שום מטלטלין. ואע</w:t>
      </w:r>
      <w:r>
        <w:rPr>
          <w:rFonts w:cs="Arial" w:hint="cs"/>
          <w:rtl/>
        </w:rPr>
        <w:t>"</w:t>
      </w:r>
      <w:r w:rsidRPr="005B618A">
        <w:rPr>
          <w:rFonts w:cs="Arial"/>
          <w:rtl/>
        </w:rPr>
        <w:t>ג דלא אמרו (שבת קמב:) ככר או תינוק אלא במת</w:t>
      </w:r>
      <w:r>
        <w:rPr>
          <w:rFonts w:cs="Arial" w:hint="cs"/>
          <w:rtl/>
        </w:rPr>
        <w:t>,</w:t>
      </w:r>
      <w:r w:rsidRPr="005B618A">
        <w:rPr>
          <w:rFonts w:cs="Arial"/>
          <w:rtl/>
        </w:rPr>
        <w:t xml:space="preserve"> התם במוקצה מחמת </w:t>
      </w:r>
      <w:r>
        <w:rPr>
          <w:rFonts w:cs="Arial" w:hint="cs"/>
          <w:rtl/>
        </w:rPr>
        <w:t>[</w:t>
      </w:r>
      <w:r w:rsidRPr="00CF62AC">
        <w:rPr>
          <w:rFonts w:cs="Arial"/>
          <w:rtl/>
        </w:rPr>
        <w:t>גופו כאבנים וכיוצא בהם דהוו דומיא דמת</w:t>
      </w:r>
      <w:r>
        <w:rPr>
          <w:rFonts w:cs="Arial" w:hint="cs"/>
          <w:rtl/>
        </w:rPr>
        <w:t>,</w:t>
      </w:r>
      <w:r w:rsidRPr="00CF62AC">
        <w:rPr>
          <w:rFonts w:cs="Arial"/>
          <w:rtl/>
        </w:rPr>
        <w:t xml:space="preserve"> אי נמי בארנקי מלאה מעות דבטל לגבי מעות דהוו כמו אבנים</w:t>
      </w:r>
      <w:r>
        <w:rPr>
          <w:rFonts w:cs="Arial" w:hint="cs"/>
          <w:rtl/>
        </w:rPr>
        <w:t xml:space="preserve">], </w:t>
      </w:r>
      <w:r w:rsidRPr="005B618A">
        <w:rPr>
          <w:rFonts w:cs="Arial"/>
          <w:rtl/>
        </w:rPr>
        <w:t>אבל במדוכה כיון שיש עליה תורת כלי שרי לטלטלה אגב אוכלין שעליה. כך נראה לרבינו אב"ן</w:t>
      </w:r>
      <w:r w:rsidRPr="0002632B">
        <w:rPr>
          <w:rFonts w:cs="Arial"/>
          <w:rtl/>
        </w:rPr>
        <w:t>.</w:t>
      </w:r>
      <w:r>
        <w:rPr>
          <w:rFonts w:cs="Arial" w:hint="cs"/>
          <w:rtl/>
        </w:rPr>
        <w:t>.</w:t>
      </w:r>
      <w:r w:rsidRPr="005B618A">
        <w:rPr>
          <w:rFonts w:cs="Arial"/>
          <w:rtl/>
        </w:rPr>
        <w:t>. ויש מי שמתרץ מדוכה היינו טעמא דשרי לטלטולה אגב שום שעליה מפני שהמדוכה לשום כקדירה לתבשיל שהוא תשמיש לשום מבעוד יום, הילכך שרי לטלטולה אפילו מחמה לצל</w:t>
      </w:r>
      <w:r>
        <w:rPr>
          <w:rFonts w:cs="Arial" w:hint="cs"/>
          <w:rtl/>
        </w:rPr>
        <w:t>, רא"ש (שם).</w:t>
      </w:r>
    </w:p>
  </w:footnote>
  <w:footnote w:id="1912">
    <w:p w14:paraId="18881D79" w14:textId="77777777" w:rsidR="00FE343C" w:rsidRDefault="00FE343C" w:rsidP="00285819">
      <w:pPr>
        <w:pStyle w:val="a7"/>
      </w:pPr>
      <w:r>
        <w:rPr>
          <w:rStyle w:val="a9"/>
        </w:rPr>
        <w:footnoteRef/>
      </w:r>
      <w:r>
        <w:rPr>
          <w:rtl/>
        </w:rPr>
        <w:t xml:space="preserve"> </w:t>
      </w:r>
      <w:r>
        <w:rPr>
          <w:rFonts w:cs="Arial" w:hint="cs"/>
          <w:rtl/>
        </w:rPr>
        <w:t>ו</w:t>
      </w:r>
      <w:r w:rsidRPr="00125184">
        <w:rPr>
          <w:rFonts w:cs="Arial"/>
          <w:rtl/>
        </w:rPr>
        <w:t>אע</w:t>
      </w:r>
      <w:r>
        <w:rPr>
          <w:rFonts w:cs="Arial" w:hint="cs"/>
          <w:rtl/>
        </w:rPr>
        <w:t>"</w:t>
      </w:r>
      <w:r w:rsidRPr="00125184">
        <w:rPr>
          <w:rFonts w:cs="Arial"/>
          <w:rtl/>
        </w:rPr>
        <w:t xml:space="preserve">פ שהתירו עצמות או קליפין או גרעינין של תמרה אגב ריפתא </w:t>
      </w:r>
      <w:r>
        <w:rPr>
          <w:rFonts w:cs="Arial" w:hint="cs"/>
          <w:sz w:val="16"/>
          <w:szCs w:val="16"/>
          <w:rtl/>
        </w:rPr>
        <w:t>{אע"ג שאינם כלי, התם-}</w:t>
      </w:r>
      <w:r>
        <w:rPr>
          <w:rFonts w:cs="Arial" w:hint="cs"/>
          <w:rtl/>
        </w:rPr>
        <w:t xml:space="preserve"> </w:t>
      </w:r>
      <w:r w:rsidRPr="00125184">
        <w:rPr>
          <w:rFonts w:cs="Arial"/>
          <w:rtl/>
        </w:rPr>
        <w:t>משום דלא חשיבי ובטלי לגבי פת</w:t>
      </w:r>
      <w:r>
        <w:rPr>
          <w:rFonts w:cs="Arial" w:hint="cs"/>
          <w:rtl/>
        </w:rPr>
        <w:t>, רא"ש (שם).</w:t>
      </w:r>
    </w:p>
  </w:footnote>
  <w:footnote w:id="1913">
    <w:p w14:paraId="38DF5E35" w14:textId="1C190B57" w:rsidR="00FE343C" w:rsidRDefault="00FE343C" w:rsidP="00285819">
      <w:pPr>
        <w:pStyle w:val="a7"/>
      </w:pPr>
      <w:r>
        <w:rPr>
          <w:rStyle w:val="a9"/>
        </w:rPr>
        <w:footnoteRef/>
      </w:r>
      <w:r>
        <w:rPr>
          <w:rtl/>
        </w:rPr>
        <w:t xml:space="preserve"> </w:t>
      </w:r>
      <w:r w:rsidRPr="002A45F7">
        <w:rPr>
          <w:rFonts w:cs="Arial"/>
          <w:rtl/>
        </w:rPr>
        <w:t>הכי אסיק רב אשי בפרק נוטל (קמב:) לא אמרו ככר או תינוק אלא למת בלבד</w:t>
      </w:r>
      <w:r>
        <w:rPr>
          <w:rFonts w:cs="Arial" w:hint="cs"/>
          <w:rtl/>
        </w:rPr>
        <w:t>.</w:t>
      </w:r>
      <w:r w:rsidRPr="002A45F7">
        <w:rPr>
          <w:rFonts w:cs="Arial"/>
          <w:rtl/>
        </w:rPr>
        <w:t xml:space="preserve"> וכבר כתבתי בסימן ש"ח (סו. ד"ה גרעיני) טעם למה התירו לטלטל גרעיני תמרה אגב ריפתא ולמה יש אומרים דכלי שמלאכתו לאיסור מותר לטלטלו מחמה לצל על ידי ככר או תינוק</w:t>
      </w:r>
      <w:r>
        <w:rPr>
          <w:rFonts w:cs="Arial" w:hint="cs"/>
          <w:rtl/>
        </w:rPr>
        <w:t>, ב"י.</w:t>
      </w:r>
    </w:p>
  </w:footnote>
  <w:footnote w:id="1914">
    <w:p w14:paraId="6C2DFA62" w14:textId="1126F351" w:rsidR="00FE343C" w:rsidRDefault="00FE343C" w:rsidP="00285819">
      <w:pPr>
        <w:pStyle w:val="a7"/>
      </w:pPr>
      <w:r>
        <w:rPr>
          <w:rStyle w:val="a9"/>
        </w:rPr>
        <w:footnoteRef/>
      </w:r>
      <w:r>
        <w:rPr>
          <w:rtl/>
        </w:rPr>
        <w:t xml:space="preserve"> </w:t>
      </w:r>
      <w:r w:rsidRPr="002A45F7">
        <w:rPr>
          <w:rFonts w:cs="Arial"/>
          <w:rtl/>
        </w:rPr>
        <w:t>כן כתב שם הרא"ש (סי' ב) בשם רבינו ניסים (גאון מהדו' מק"נ פ"א עמ' 46) וכבר נתבאר משפטם בסימן רע"ט (לז.)</w:t>
      </w:r>
      <w:r>
        <w:rPr>
          <w:rFonts w:cs="Arial" w:hint="cs"/>
          <w:rtl/>
        </w:rPr>
        <w:t xml:space="preserve">, </w:t>
      </w:r>
      <w:r w:rsidRPr="005A4AAA">
        <w:rPr>
          <w:rFonts w:cs="Arial" w:hint="cs"/>
          <w:b/>
          <w:bCs/>
          <w:rtl/>
        </w:rPr>
        <w:t>ב"י</w:t>
      </w:r>
      <w:r>
        <w:rPr>
          <w:rFonts w:cs="Arial" w:hint="cs"/>
          <w:rtl/>
        </w:rPr>
        <w:t>.</w:t>
      </w:r>
      <w:r w:rsidRPr="005A4AAA">
        <w:rPr>
          <w:rtl/>
        </w:rPr>
        <w:t xml:space="preserve"> </w:t>
      </w:r>
      <w:r>
        <w:rPr>
          <w:rFonts w:hint="cs"/>
          <w:rtl/>
        </w:rPr>
        <w:t>ו</w:t>
      </w:r>
      <w:r w:rsidRPr="005A4AAA">
        <w:rPr>
          <w:rFonts w:cs="Arial"/>
          <w:rtl/>
        </w:rPr>
        <w:t>צ"ל דר</w:t>
      </w:r>
      <w:r>
        <w:rPr>
          <w:rFonts w:cs="Arial" w:hint="cs"/>
          <w:rtl/>
        </w:rPr>
        <w:t>צון הטור לומר</w:t>
      </w:r>
      <w:r w:rsidRPr="005A4AAA">
        <w:rPr>
          <w:rFonts w:cs="Arial"/>
          <w:rtl/>
        </w:rPr>
        <w:t xml:space="preserve"> </w:t>
      </w:r>
      <w:r>
        <w:rPr>
          <w:rFonts w:cs="Arial" w:hint="cs"/>
          <w:rtl/>
        </w:rPr>
        <w:t>ד</w:t>
      </w:r>
      <w:r w:rsidRPr="005A4AAA">
        <w:rPr>
          <w:rFonts w:cs="Arial"/>
          <w:rtl/>
        </w:rPr>
        <w:t>דוקא מנורה מפני שדחייה בידים בין השמשות אבל שאר כלי שמלאכתו לאיסור מותר לטלטלו אפילו מחמה לצל ע"י ככר ותינוק וכמו שכתב הרא"ש בתשובה (כלל כב סי' ח) והביאו ב</w:t>
      </w:r>
      <w:r>
        <w:rPr>
          <w:rFonts w:cs="Arial" w:hint="cs"/>
          <w:rtl/>
        </w:rPr>
        <w:t>"</w:t>
      </w:r>
      <w:r w:rsidRPr="005A4AAA">
        <w:rPr>
          <w:rFonts w:cs="Arial"/>
          <w:rtl/>
        </w:rPr>
        <w:t>י בריש סימן ש"ח (עמ' רצט ד"ה כתב הרא"ש) עיין שם גם שם (עמ' שיב ד"ה וכתב) בדין גרעיני תמרה עיין שם</w:t>
      </w:r>
      <w:r>
        <w:rPr>
          <w:rFonts w:hint="cs"/>
          <w:rtl/>
        </w:rPr>
        <w:t xml:space="preserve">, </w:t>
      </w:r>
      <w:r w:rsidRPr="005A4AAA">
        <w:rPr>
          <w:rFonts w:hint="cs"/>
          <w:b/>
          <w:bCs/>
          <w:rtl/>
        </w:rPr>
        <w:t>פרישה</w:t>
      </w:r>
      <w:r>
        <w:rPr>
          <w:rFonts w:hint="cs"/>
          <w:rtl/>
        </w:rPr>
        <w:t xml:space="preserve"> (אות ח). אך מדברי </w:t>
      </w:r>
      <w:r w:rsidRPr="00C06D53">
        <w:rPr>
          <w:rFonts w:hint="cs"/>
          <w:b/>
          <w:bCs/>
          <w:rtl/>
        </w:rPr>
        <w:t>הדרכ"מ</w:t>
      </w:r>
      <w:r>
        <w:rPr>
          <w:rFonts w:hint="cs"/>
          <w:rtl/>
        </w:rPr>
        <w:t xml:space="preserve"> </w:t>
      </w:r>
      <w:r w:rsidRPr="00487EF5">
        <w:rPr>
          <w:rFonts w:cs="Arial"/>
          <w:rtl/>
        </w:rPr>
        <w:t>(</w:t>
      </w:r>
      <w:r w:rsidR="00571B81">
        <w:rPr>
          <w:rFonts w:cs="Arial" w:hint="cs"/>
          <w:rtl/>
        </w:rPr>
        <w:t xml:space="preserve">סי' שח </w:t>
      </w:r>
      <w:r>
        <w:rPr>
          <w:rFonts w:cs="Arial" w:hint="cs"/>
          <w:rtl/>
        </w:rPr>
        <w:t xml:space="preserve">אות </w:t>
      </w:r>
      <w:r w:rsidRPr="00487EF5">
        <w:rPr>
          <w:rFonts w:cs="Arial"/>
          <w:rtl/>
        </w:rPr>
        <w:t>ג*)</w:t>
      </w:r>
      <w:r>
        <w:rPr>
          <w:rFonts w:hint="cs"/>
          <w:rtl/>
        </w:rPr>
        <w:t xml:space="preserve"> נראה שהבין שדעת הטור לאסור בכל הדברים האסורים בטלטול, וכדעת בעל ההשלמה.</w:t>
      </w:r>
    </w:p>
  </w:footnote>
  <w:footnote w:id="1915">
    <w:p w14:paraId="712B5F5B" w14:textId="089C9840" w:rsidR="00CD2DDD" w:rsidRDefault="00CD2DDD" w:rsidP="00285819">
      <w:pPr>
        <w:pStyle w:val="a7"/>
      </w:pPr>
      <w:r>
        <w:rPr>
          <w:rStyle w:val="a9"/>
        </w:rPr>
        <w:footnoteRef/>
      </w:r>
      <w:r>
        <w:rPr>
          <w:rtl/>
        </w:rPr>
        <w:t xml:space="preserve"> </w:t>
      </w:r>
      <w:r w:rsidRPr="00CD2DDD">
        <w:rPr>
          <w:rFonts w:cs="Arial"/>
          <w:rtl/>
        </w:rPr>
        <w:t>דאין כלי ניטל אלא לדבר הניטל</w:t>
      </w:r>
      <w:r>
        <w:rPr>
          <w:rFonts w:cs="Arial" w:hint="cs"/>
          <w:rtl/>
        </w:rPr>
        <w:t>, רש"י.</w:t>
      </w:r>
    </w:p>
  </w:footnote>
  <w:footnote w:id="1916">
    <w:p w14:paraId="05D6A8DD" w14:textId="7CBACACC" w:rsidR="00CD2DDD" w:rsidRDefault="00CD2DDD" w:rsidP="00285819">
      <w:pPr>
        <w:pStyle w:val="a7"/>
      </w:pPr>
      <w:r>
        <w:rPr>
          <w:rStyle w:val="a9"/>
        </w:rPr>
        <w:footnoteRef/>
      </w:r>
      <w:r>
        <w:rPr>
          <w:rtl/>
        </w:rPr>
        <w:t xml:space="preserve"> </w:t>
      </w:r>
      <w:r w:rsidRPr="00CD2DDD">
        <w:rPr>
          <w:rFonts w:cs="Arial"/>
          <w:rtl/>
        </w:rPr>
        <w:t>ויש לחוש שמא ימהר להסריח</w:t>
      </w:r>
      <w:r>
        <w:rPr>
          <w:rFonts w:cs="Arial" w:hint="cs"/>
          <w:rtl/>
        </w:rPr>
        <w:t>, רש"י.</w:t>
      </w:r>
    </w:p>
  </w:footnote>
  <w:footnote w:id="1917">
    <w:p w14:paraId="7A27980D" w14:textId="57F1B911" w:rsidR="00CD2DDD" w:rsidRDefault="00CD2DDD" w:rsidP="00285819">
      <w:pPr>
        <w:pStyle w:val="a7"/>
      </w:pPr>
      <w:r>
        <w:rPr>
          <w:rStyle w:val="a9"/>
        </w:rPr>
        <w:footnoteRef/>
      </w:r>
      <w:r>
        <w:rPr>
          <w:rtl/>
        </w:rPr>
        <w:t xml:space="preserve"> </w:t>
      </w:r>
      <w:r w:rsidRPr="00CD2DDD">
        <w:rPr>
          <w:rFonts w:cs="Arial"/>
          <w:rtl/>
        </w:rPr>
        <w:t>על גבי הקרקע, כדי שיצטערו מחום הקרקע ויצטרכו להביא מטות לישב עליהן, והמטות יהיו למחיצה, כדמסיים ואזיל</w:t>
      </w:r>
      <w:r>
        <w:rPr>
          <w:rFonts w:cs="Arial" w:hint="cs"/>
          <w:rtl/>
        </w:rPr>
        <w:t>, רש"י.</w:t>
      </w:r>
    </w:p>
  </w:footnote>
  <w:footnote w:id="1918">
    <w:p w14:paraId="2E03547F" w14:textId="408EB8FB" w:rsidR="00CD2DDD" w:rsidRDefault="00CD2DDD" w:rsidP="00285819">
      <w:pPr>
        <w:pStyle w:val="a7"/>
      </w:pPr>
      <w:r>
        <w:rPr>
          <w:rStyle w:val="a9"/>
        </w:rPr>
        <w:footnoteRef/>
      </w:r>
      <w:r>
        <w:rPr>
          <w:rtl/>
        </w:rPr>
        <w:t xml:space="preserve"> </w:t>
      </w:r>
      <w:r w:rsidRPr="00CD2DDD">
        <w:rPr>
          <w:rFonts w:cs="Arial"/>
          <w:rtl/>
        </w:rPr>
        <w:t>על ראשן לצל</w:t>
      </w:r>
      <w:r>
        <w:rPr>
          <w:rFonts w:cs="Arial" w:hint="cs"/>
          <w:rtl/>
        </w:rPr>
        <w:t>, רש"י.</w:t>
      </w:r>
    </w:p>
  </w:footnote>
  <w:footnote w:id="1919">
    <w:p w14:paraId="44873ED6" w14:textId="4694D71D" w:rsidR="00CD2DDD" w:rsidRDefault="00CD2DDD" w:rsidP="00285819">
      <w:pPr>
        <w:pStyle w:val="a7"/>
      </w:pPr>
      <w:r>
        <w:rPr>
          <w:rStyle w:val="a9"/>
        </w:rPr>
        <w:footnoteRef/>
      </w:r>
      <w:r>
        <w:rPr>
          <w:rtl/>
        </w:rPr>
        <w:t xml:space="preserve"> </w:t>
      </w:r>
      <w:r w:rsidRPr="00CD2DDD">
        <w:rPr>
          <w:rFonts w:cs="Arial"/>
          <w:rtl/>
        </w:rPr>
        <w:t>שתהא המחצלת מונחת עליה, וכן זה, נמצאת מחיצה עשויה מאליה, ולכשירצו נשמטין והולכין להם</w:t>
      </w:r>
      <w:r>
        <w:rPr>
          <w:rFonts w:cs="Arial" w:hint="cs"/>
          <w:rtl/>
        </w:rPr>
        <w:t>.</w:t>
      </w:r>
      <w:r w:rsidRPr="00CD2DDD">
        <w:rPr>
          <w:rFonts w:cs="Arial"/>
          <w:rtl/>
        </w:rPr>
        <w:t xml:space="preserve"> ודוקא נקט חם להם מלמטה ברישא</w:t>
      </w:r>
      <w:r w:rsidR="00BF0ADE">
        <w:rPr>
          <w:rFonts w:cs="Arial" w:hint="cs"/>
          <w:rtl/>
        </w:rPr>
        <w:t>,</w:t>
      </w:r>
      <w:r w:rsidRPr="00CD2DDD">
        <w:rPr>
          <w:rFonts w:cs="Arial"/>
          <w:rtl/>
        </w:rPr>
        <w:t xml:space="preserve"> שיביאו המטות לישיבה ברישא, והדר מחצלת לפרוש עליהן לצל, ואוחזין אותה בידיהן עד לאחר שעה שיזקפום וישמטום, דהוה ליה כי ההוא דאמרינן</w:t>
      </w:r>
      <w:r w:rsidRPr="00BF0ADE">
        <w:rPr>
          <w:rFonts w:cs="Arial"/>
          <w:sz w:val="16"/>
          <w:szCs w:val="16"/>
          <w:rtl/>
        </w:rPr>
        <w:t xml:space="preserve"> (עירובין קא</w:t>
      </w:r>
      <w:r w:rsidR="00BF0ADE" w:rsidRPr="00BF0ADE">
        <w:rPr>
          <w:rFonts w:cs="Arial" w:hint="cs"/>
          <w:sz w:val="16"/>
          <w:szCs w:val="16"/>
          <w:rtl/>
        </w:rPr>
        <w:t>., ביצה לב:</w:t>
      </w:r>
      <w:r w:rsidRPr="00BF0ADE">
        <w:rPr>
          <w:rFonts w:cs="Arial"/>
          <w:sz w:val="16"/>
          <w:szCs w:val="16"/>
          <w:rtl/>
        </w:rPr>
        <w:t>)</w:t>
      </w:r>
      <w:r w:rsidRPr="00CD2DDD">
        <w:rPr>
          <w:rFonts w:cs="Arial"/>
          <w:rtl/>
        </w:rPr>
        <w:t xml:space="preserve"> האי מדורתא, מלמעלה למטה </w:t>
      </w:r>
      <w:r w:rsidR="00BF0ADE">
        <w:rPr>
          <w:rFonts w:cs="Arial"/>
          <w:rtl/>
        </w:rPr>
        <w:t>–</w:t>
      </w:r>
      <w:r w:rsidRPr="00CD2DDD">
        <w:rPr>
          <w:rFonts w:cs="Arial"/>
          <w:rtl/>
        </w:rPr>
        <w:t xml:space="preserve"> שרי</w:t>
      </w:r>
      <w:r w:rsidR="00BF0ADE">
        <w:rPr>
          <w:rFonts w:cs="Arial" w:hint="cs"/>
          <w:rtl/>
        </w:rPr>
        <w:t>.</w:t>
      </w:r>
      <w:r w:rsidRPr="00CD2DDD">
        <w:rPr>
          <w:rFonts w:cs="Arial"/>
          <w:rtl/>
        </w:rPr>
        <w:t xml:space="preserve"> אבל לאתויי מעיקרא מטות לצורך האהל - לא, דהוה ליה מלמטה למעלה כדרך בנין, וקיימא לן </w:t>
      </w:r>
      <w:r w:rsidR="00BF0ADE" w:rsidRPr="00BF0ADE">
        <w:rPr>
          <w:rFonts w:cs="Arial"/>
          <w:sz w:val="16"/>
          <w:szCs w:val="16"/>
          <w:rtl/>
        </w:rPr>
        <w:t>(שבת קכה:)</w:t>
      </w:r>
      <w:r w:rsidR="00BF0ADE">
        <w:rPr>
          <w:rFonts w:cs="Arial" w:hint="cs"/>
          <w:rtl/>
        </w:rPr>
        <w:t xml:space="preserve"> </w:t>
      </w:r>
      <w:r w:rsidRPr="00CD2DDD">
        <w:rPr>
          <w:rFonts w:cs="Arial"/>
          <w:rtl/>
        </w:rPr>
        <w:t>אין עושין אהל עראי בתחילה בשבת</w:t>
      </w:r>
      <w:r>
        <w:rPr>
          <w:rFonts w:cs="Arial" w:hint="cs"/>
          <w:rtl/>
        </w:rPr>
        <w:t>, רש"י.</w:t>
      </w:r>
      <w:r w:rsidR="008C669E">
        <w:rPr>
          <w:rFonts w:hint="cs"/>
          <w:rtl/>
        </w:rPr>
        <w:t xml:space="preserve"> ועיין לקמןשהרמב"ם פירש אחרת.</w:t>
      </w:r>
    </w:p>
  </w:footnote>
  <w:footnote w:id="1920">
    <w:p w14:paraId="7E050271" w14:textId="3978A0AB" w:rsidR="007E3A32" w:rsidRDefault="007E3A32" w:rsidP="00285819">
      <w:pPr>
        <w:pStyle w:val="a7"/>
        <w:rPr>
          <w:rtl/>
        </w:rPr>
      </w:pPr>
      <w:r>
        <w:rPr>
          <w:rStyle w:val="a9"/>
        </w:rPr>
        <w:footnoteRef/>
      </w:r>
      <w:r>
        <w:rPr>
          <w:rtl/>
        </w:rPr>
        <w:t xml:space="preserve"> </w:t>
      </w:r>
      <w:r w:rsidRPr="00E52EAA">
        <w:rPr>
          <w:rFonts w:cs="Arial"/>
          <w:rtl/>
        </w:rPr>
        <w:t>ומכל מקום יש לדקדק למה פסקו דבאין שני בני אדם ויושבים בצדו וכו'</w:t>
      </w:r>
      <w:r>
        <w:rPr>
          <w:rFonts w:cs="Arial" w:hint="cs"/>
          <w:rtl/>
        </w:rPr>
        <w:t>,</w:t>
      </w:r>
      <w:r w:rsidRPr="00E52EAA">
        <w:rPr>
          <w:rFonts w:cs="Arial"/>
          <w:rtl/>
        </w:rPr>
        <w:t xml:space="preserve"> הא בלאו הכי יכולין לעשות כן</w:t>
      </w:r>
      <w:r>
        <w:rPr>
          <w:rFonts w:cs="Arial" w:hint="cs"/>
          <w:rtl/>
        </w:rPr>
        <w:t>,</w:t>
      </w:r>
      <w:r w:rsidRPr="00E52EAA">
        <w:rPr>
          <w:rFonts w:cs="Arial"/>
          <w:rtl/>
        </w:rPr>
        <w:t xml:space="preserve"> דהא בגמרא (מג:) איתא למימרא זו אמאי דאמר (שם.) רבי יצחק אין כלי ניטל אלא לצורך דבר הניטל</w:t>
      </w:r>
      <w:r>
        <w:rPr>
          <w:rFonts w:cs="Arial" w:hint="cs"/>
          <w:rtl/>
        </w:rPr>
        <w:t xml:space="preserve">... </w:t>
      </w:r>
      <w:r w:rsidRPr="00E52EAA">
        <w:rPr>
          <w:rFonts w:cs="Arial"/>
          <w:rtl/>
        </w:rPr>
        <w:t xml:space="preserve">משמע דלמאן דאמר כלי ניטל אפילו לצורך דבר שאינו ניטל </w:t>
      </w:r>
      <w:r>
        <w:rPr>
          <w:rFonts w:cs="Arial" w:hint="cs"/>
          <w:rtl/>
        </w:rPr>
        <w:t xml:space="preserve">- </w:t>
      </w:r>
      <w:r w:rsidRPr="00E52EAA">
        <w:rPr>
          <w:rFonts w:cs="Arial"/>
          <w:rtl/>
        </w:rPr>
        <w:t>עושין מחיצה למת בשביל מת</w:t>
      </w:r>
      <w:r>
        <w:rPr>
          <w:rFonts w:cs="Arial" w:hint="cs"/>
          <w:rtl/>
        </w:rPr>
        <w:t>.</w:t>
      </w:r>
      <w:r w:rsidRPr="00E52EAA">
        <w:rPr>
          <w:rFonts w:cs="Arial"/>
          <w:rtl/>
        </w:rPr>
        <w:t xml:space="preserve"> ואם כן אין צריכין שני בני אדם לישב בצדו</w:t>
      </w:r>
      <w:r>
        <w:rPr>
          <w:rFonts w:cs="Arial" w:hint="cs"/>
          <w:rtl/>
        </w:rPr>
        <w:t>,</w:t>
      </w:r>
      <w:r w:rsidRPr="00E52EAA">
        <w:rPr>
          <w:rFonts w:cs="Arial"/>
          <w:rtl/>
        </w:rPr>
        <w:t xml:space="preserve"> אלא להדיא מותר לעשות בשביל מת כדרך שמותר לעשות בשביל חי</w:t>
      </w:r>
      <w:r>
        <w:rPr>
          <w:rFonts w:cs="Arial" w:hint="cs"/>
          <w:rtl/>
        </w:rPr>
        <w:t>.</w:t>
      </w:r>
      <w:r w:rsidRPr="00E52EAA">
        <w:rPr>
          <w:rFonts w:cs="Arial"/>
          <w:rtl/>
        </w:rPr>
        <w:t xml:space="preserve"> וכיון דקיי</w:t>
      </w:r>
      <w:r>
        <w:rPr>
          <w:rFonts w:cs="Arial" w:hint="cs"/>
          <w:rtl/>
        </w:rPr>
        <w:t>"</w:t>
      </w:r>
      <w:r w:rsidRPr="00E52EAA">
        <w:rPr>
          <w:rFonts w:cs="Arial"/>
          <w:rtl/>
        </w:rPr>
        <w:t>ל כמאן דאמר כלי ניטל אפילו לצורך דבר שאינו ניטל כמו שנתבאר בסימן ש"י (סט:)</w:t>
      </w:r>
      <w:r>
        <w:rPr>
          <w:rFonts w:cs="Arial" w:hint="cs"/>
          <w:rtl/>
        </w:rPr>
        <w:t>,</w:t>
      </w:r>
      <w:r w:rsidRPr="00E52EAA">
        <w:rPr>
          <w:rFonts w:cs="Arial"/>
          <w:rtl/>
        </w:rPr>
        <w:t xml:space="preserve"> תו לא הוה לן למיפסק כהאי מימרא</w:t>
      </w:r>
      <w:r>
        <w:rPr>
          <w:rFonts w:cs="Arial" w:hint="cs"/>
          <w:rtl/>
        </w:rPr>
        <w:t>.</w:t>
      </w:r>
      <w:r w:rsidRPr="00E52EAA">
        <w:rPr>
          <w:rFonts w:cs="Arial"/>
          <w:rtl/>
        </w:rPr>
        <w:t xml:space="preserve"> ואפשר שמטעם זה השמיטוה הרי"ף והרא"ש</w:t>
      </w:r>
      <w:r>
        <w:rPr>
          <w:rFonts w:cs="Arial" w:hint="cs"/>
          <w:rtl/>
        </w:rPr>
        <w:t>.</w:t>
      </w:r>
      <w:r w:rsidRPr="00E52EAA">
        <w:rPr>
          <w:rFonts w:cs="Arial"/>
          <w:rtl/>
        </w:rPr>
        <w:t xml:space="preserve"> ואם כן יש לתמוה על הרמב"ם ועל רבינו שכתבוה</w:t>
      </w:r>
      <w:r>
        <w:rPr>
          <w:rFonts w:cs="Arial" w:hint="cs"/>
          <w:rtl/>
        </w:rPr>
        <w:t>.</w:t>
      </w:r>
      <w:r w:rsidRPr="00E52EAA">
        <w:rPr>
          <w:rFonts w:cs="Arial"/>
          <w:rtl/>
        </w:rPr>
        <w:t xml:space="preserve"> ואפשר דסבירא להו דנהי דרב ששת סבר דטעמא דבעינן שיבואו שני בני אדם וישבו בצדו הוא משום טלטול הכלים שיהיו ניטלים לצורך החי ולא לצורך המת וכדרבי יצחק</w:t>
      </w:r>
      <w:r>
        <w:rPr>
          <w:rFonts w:cs="Arial" w:hint="cs"/>
          <w:rtl/>
        </w:rPr>
        <w:t>,</w:t>
      </w:r>
      <w:r w:rsidRPr="00E52EAA">
        <w:rPr>
          <w:rFonts w:cs="Arial"/>
          <w:rtl/>
        </w:rPr>
        <w:t xml:space="preserve"> מיהו אנן דלא קיי</w:t>
      </w:r>
      <w:r>
        <w:rPr>
          <w:rFonts w:cs="Arial" w:hint="cs"/>
          <w:rtl/>
        </w:rPr>
        <w:t>"</w:t>
      </w:r>
      <w:r w:rsidRPr="00E52EAA">
        <w:rPr>
          <w:rFonts w:cs="Arial"/>
          <w:rtl/>
        </w:rPr>
        <w:t>ל כוותיה מפרשינן דטעמא לאו משום כלים הוא</w:t>
      </w:r>
      <w:r>
        <w:rPr>
          <w:rFonts w:cs="Arial" w:hint="cs"/>
          <w:rtl/>
        </w:rPr>
        <w:t>,</w:t>
      </w:r>
      <w:r w:rsidRPr="00E52EAA">
        <w:rPr>
          <w:rFonts w:cs="Arial"/>
          <w:rtl/>
        </w:rPr>
        <w:t xml:space="preserve"> דלצורך המת נמי ניטלין</w:t>
      </w:r>
      <w:r>
        <w:rPr>
          <w:rFonts w:cs="Arial" w:hint="cs"/>
          <w:rtl/>
        </w:rPr>
        <w:t>,</w:t>
      </w:r>
      <w:r w:rsidRPr="00E52EAA">
        <w:rPr>
          <w:rFonts w:cs="Arial"/>
          <w:rtl/>
        </w:rPr>
        <w:t xml:space="preserve"> אלא טעמא כדי שתהא המחיצה נעשית מאליה דאין עושין אהל עראי</w:t>
      </w:r>
      <w:r>
        <w:rPr>
          <w:rFonts w:cs="Arial" w:hint="cs"/>
          <w:rtl/>
        </w:rPr>
        <w:t>,</w:t>
      </w:r>
      <w:r w:rsidRPr="00E52EAA">
        <w:rPr>
          <w:rFonts w:cs="Arial"/>
          <w:rtl/>
        </w:rPr>
        <w:t xml:space="preserve"> ובשביל צער החי התירו לעשותה בשינוי כזה</w:t>
      </w:r>
      <w:r>
        <w:rPr>
          <w:rFonts w:cs="Arial" w:hint="cs"/>
          <w:rtl/>
        </w:rPr>
        <w:t>,</w:t>
      </w:r>
      <w:r w:rsidRPr="00E52EAA">
        <w:rPr>
          <w:rFonts w:cs="Arial"/>
          <w:rtl/>
        </w:rPr>
        <w:t xml:space="preserve"> אבל מפני המת לבד לא התירו</w:t>
      </w:r>
      <w:r>
        <w:rPr>
          <w:rFonts w:cs="Arial" w:hint="cs"/>
          <w:rtl/>
        </w:rPr>
        <w:t>.</w:t>
      </w:r>
      <w:r w:rsidRPr="00E52EAA">
        <w:rPr>
          <w:rFonts w:cs="Arial"/>
          <w:rtl/>
        </w:rPr>
        <w:t xml:space="preserve"> וזהו שכתב רבינו </w:t>
      </w:r>
      <w:r>
        <w:rPr>
          <w:rFonts w:cs="Arial" w:hint="cs"/>
          <w:rtl/>
        </w:rPr>
        <w:t>'</w:t>
      </w:r>
      <w:r w:rsidRPr="00E52EAA">
        <w:rPr>
          <w:rFonts w:cs="Arial"/>
          <w:rtl/>
        </w:rPr>
        <w:t>באים שני בני אדם</w:t>
      </w:r>
      <w:r>
        <w:rPr>
          <w:rFonts w:cs="Arial" w:hint="cs"/>
          <w:rtl/>
        </w:rPr>
        <w:t>...</w:t>
      </w:r>
      <w:r w:rsidRPr="00E52EAA">
        <w:rPr>
          <w:rFonts w:cs="Arial"/>
          <w:rtl/>
        </w:rPr>
        <w:t xml:space="preserve"> בענין שתעשה המחיצה מאליה שנראה כאילו עשה לצורך החי שאין מחללין את השבת לצורך מת אפילו באיסור דרבנן</w:t>
      </w:r>
      <w:r>
        <w:rPr>
          <w:rFonts w:cs="Arial" w:hint="cs"/>
          <w:rtl/>
        </w:rPr>
        <w:t>',</w:t>
      </w:r>
      <w:r w:rsidRPr="00E52EAA">
        <w:rPr>
          <w:rFonts w:cs="Arial"/>
          <w:rtl/>
        </w:rPr>
        <w:t xml:space="preserve"> הרי שתלה הדבר בעשיית המחיצה ולא בטלטול הכלי</w:t>
      </w:r>
      <w:r>
        <w:rPr>
          <w:rFonts w:cs="Arial" w:hint="cs"/>
          <w:rtl/>
        </w:rPr>
        <w:t>.</w:t>
      </w:r>
      <w:r w:rsidRPr="00E52EAA">
        <w:rPr>
          <w:rFonts w:cs="Arial"/>
          <w:rtl/>
        </w:rPr>
        <w:t xml:space="preserve"> ואפשר דרב הונא נמי משום עשיית מחיצה קאמר</w:t>
      </w:r>
      <w:r>
        <w:rPr>
          <w:rFonts w:cs="Arial" w:hint="cs"/>
          <w:rtl/>
        </w:rPr>
        <w:t>,</w:t>
      </w:r>
      <w:r w:rsidRPr="00E52EAA">
        <w:rPr>
          <w:rFonts w:cs="Arial"/>
          <w:rtl/>
        </w:rPr>
        <w:t xml:space="preserve"> וכדדייקא לישניה</w:t>
      </w:r>
      <w:r>
        <w:rPr>
          <w:rFonts w:cs="Arial" w:hint="cs"/>
          <w:rtl/>
        </w:rPr>
        <w:t>,</w:t>
      </w:r>
      <w:r w:rsidRPr="00E52EAA">
        <w:rPr>
          <w:rFonts w:cs="Arial"/>
          <w:rtl/>
        </w:rPr>
        <w:t xml:space="preserve"> ולא לענין טלטול כלים</w:t>
      </w:r>
      <w:r>
        <w:rPr>
          <w:rFonts w:cs="Arial" w:hint="cs"/>
          <w:rtl/>
        </w:rPr>
        <w:t>.</w:t>
      </w:r>
      <w:r w:rsidRPr="00E52EAA">
        <w:rPr>
          <w:rFonts w:cs="Arial"/>
          <w:rtl/>
        </w:rPr>
        <w:t xml:space="preserve"> ורב ששת הוא שרצה לפרש דבריו משום טלטול וכדרבי יצחק</w:t>
      </w:r>
      <w:r>
        <w:rPr>
          <w:rFonts w:cs="Arial" w:hint="cs"/>
          <w:rtl/>
        </w:rPr>
        <w:t>,</w:t>
      </w:r>
      <w:r w:rsidRPr="00E52EAA">
        <w:rPr>
          <w:rFonts w:cs="Arial"/>
          <w:rtl/>
        </w:rPr>
        <w:t xml:space="preserve"> וליתא </w:t>
      </w:r>
      <w:r w:rsidRPr="003F7107">
        <w:rPr>
          <w:rFonts w:cs="Arial" w:hint="cs"/>
          <w:sz w:val="16"/>
          <w:szCs w:val="16"/>
          <w:rtl/>
        </w:rPr>
        <w:t>(</w:t>
      </w:r>
      <w:r w:rsidRPr="003F7107">
        <w:rPr>
          <w:rFonts w:cs="Arial"/>
          <w:sz w:val="16"/>
          <w:szCs w:val="16"/>
          <w:rtl/>
        </w:rPr>
        <w:t>ובהכי אתי שפיר מה שהכריע הרי"ף בפרק מי שהחשיך (סו:) דליתא לדרבי יצחק מדאמר רב הונא (שבת קנד:) היתה בהמתו טעונה כלי זכוכית וכו' ודוקא בשליפי זוטרי</w:t>
      </w:r>
      <w:r w:rsidRPr="003F7107">
        <w:rPr>
          <w:rFonts w:cs="Arial" w:hint="cs"/>
          <w:sz w:val="16"/>
          <w:szCs w:val="16"/>
          <w:rtl/>
        </w:rPr>
        <w:t>,</w:t>
      </w:r>
      <w:r w:rsidRPr="003F7107">
        <w:rPr>
          <w:rFonts w:cs="Arial"/>
          <w:sz w:val="16"/>
          <w:szCs w:val="16"/>
          <w:rtl/>
        </w:rPr>
        <w:t xml:space="preserve"> וכתב הר"ן (שם ד"ה מהא שמעינן) שהקשה עליו הרז"ה (שם) דהא רב הונא אית ליה דרבי יצחק וכדאמרינן פוקו ואמרו לרבי יצחק כבר תרגמא רב הונא לשמעתיך</w:t>
      </w:r>
      <w:r w:rsidRPr="003F7107">
        <w:rPr>
          <w:rFonts w:cs="Arial" w:hint="cs"/>
          <w:sz w:val="16"/>
          <w:szCs w:val="16"/>
          <w:rtl/>
        </w:rPr>
        <w:t>,</w:t>
      </w:r>
      <w:r w:rsidRPr="003F7107">
        <w:rPr>
          <w:rFonts w:cs="Arial"/>
          <w:sz w:val="16"/>
          <w:szCs w:val="16"/>
          <w:rtl/>
        </w:rPr>
        <w:t xml:space="preserve"> וכיון שכן אפילו תימא דלא קיימא לן כרבי יצחק מכל מקום ה"ל לאקשויי מיניה לרב הונא דסבירא ליה הכי</w:t>
      </w:r>
      <w:r>
        <w:rPr>
          <w:rFonts w:cs="Arial" w:hint="cs"/>
          <w:sz w:val="16"/>
          <w:szCs w:val="16"/>
          <w:rtl/>
        </w:rPr>
        <w:t>)</w:t>
      </w:r>
      <w:r>
        <w:rPr>
          <w:rFonts w:cs="Arial" w:hint="cs"/>
          <w:rtl/>
        </w:rPr>
        <w:t>.</w:t>
      </w:r>
      <w:r w:rsidRPr="00E52EAA">
        <w:rPr>
          <w:rFonts w:cs="Arial"/>
          <w:rtl/>
        </w:rPr>
        <w:t xml:space="preserve"> ובמה שכתבתי נתיישב</w:t>
      </w:r>
      <w:r>
        <w:rPr>
          <w:rFonts w:cs="Arial" w:hint="cs"/>
          <w:rtl/>
        </w:rPr>
        <w:t>,</w:t>
      </w:r>
      <w:r w:rsidRPr="00E52EAA">
        <w:rPr>
          <w:rFonts w:cs="Arial"/>
          <w:rtl/>
        </w:rPr>
        <w:t xml:space="preserve"> דלא הוי מצי לאקשויי ליה מדרבי יצחק כיון דלפום קושטא לא סבירא להו כוותיה</w:t>
      </w:r>
      <w:r>
        <w:rPr>
          <w:rFonts w:cs="Arial" w:hint="cs"/>
          <w:rtl/>
        </w:rPr>
        <w:t>.</w:t>
      </w:r>
      <w:r w:rsidRPr="00E52EAA">
        <w:rPr>
          <w:rFonts w:cs="Arial"/>
          <w:rtl/>
        </w:rPr>
        <w:t xml:space="preserve"> ולפי זה מה שהשמיטוה הרי"ף והרא"ש</w:t>
      </w:r>
      <w:r>
        <w:rPr>
          <w:rFonts w:cs="Arial" w:hint="cs"/>
          <w:rtl/>
        </w:rPr>
        <w:t>,</w:t>
      </w:r>
      <w:r w:rsidRPr="00E52EAA">
        <w:rPr>
          <w:rFonts w:cs="Arial"/>
          <w:rtl/>
        </w:rPr>
        <w:t xml:space="preserve"> לאו משום דלא סברי הכי</w:t>
      </w:r>
      <w:r>
        <w:rPr>
          <w:rFonts w:cs="Arial" w:hint="cs"/>
          <w:rtl/>
        </w:rPr>
        <w:t>,</w:t>
      </w:r>
      <w:r w:rsidRPr="00E52EAA">
        <w:rPr>
          <w:rFonts w:cs="Arial"/>
          <w:rtl/>
        </w:rPr>
        <w:t xml:space="preserve"> אלא משום דמשמע להו שדבר פשוט הוא שאין מותר לעשות אהל עראי אלא לצורך החי</w:t>
      </w:r>
      <w:r>
        <w:rPr>
          <w:rFonts w:hint="cs"/>
          <w:rtl/>
        </w:rPr>
        <w:t>, ב"י.</w:t>
      </w:r>
    </w:p>
  </w:footnote>
  <w:footnote w:id="1921">
    <w:p w14:paraId="1DB19FC4" w14:textId="35A942CB" w:rsidR="002D5888" w:rsidRDefault="002D5888" w:rsidP="00285819">
      <w:pPr>
        <w:pStyle w:val="a7"/>
      </w:pPr>
      <w:r>
        <w:rPr>
          <w:rStyle w:val="a9"/>
        </w:rPr>
        <w:footnoteRef/>
      </w:r>
      <w:r>
        <w:rPr>
          <w:rtl/>
        </w:rPr>
        <w:t xml:space="preserve"> </w:t>
      </w:r>
      <w:r w:rsidRPr="00E52EAA">
        <w:rPr>
          <w:rFonts w:cs="Arial"/>
          <w:rtl/>
        </w:rPr>
        <w:t>ונראה מדבריו שאין שם אהל אלא מהמחצלאות בלבד</w:t>
      </w:r>
      <w:r>
        <w:rPr>
          <w:rFonts w:cs="Arial" w:hint="cs"/>
          <w:rtl/>
        </w:rPr>
        <w:t>,</w:t>
      </w:r>
      <w:r w:rsidRPr="00E52EAA">
        <w:rPr>
          <w:rFonts w:cs="Arial"/>
          <w:rtl/>
        </w:rPr>
        <w:t xml:space="preserve"> וזוקף מטתו דקאמר לא להיות עומדת זקופה והמחצלת עליה כדפירש רש"י אלא לומר שזוקפה ומסירה משם אם ירצה</w:t>
      </w:r>
      <w:r>
        <w:rPr>
          <w:rFonts w:cs="Arial" w:hint="cs"/>
          <w:rtl/>
        </w:rPr>
        <w:t>,</w:t>
      </w:r>
      <w:r w:rsidRPr="00E52EAA">
        <w:rPr>
          <w:rFonts w:cs="Arial"/>
          <w:rtl/>
        </w:rPr>
        <w:t xml:space="preserve"> לפי שאינה צריכה לו עוד. ולפי זה מאי דמצריכינן שישבו תחלה עד שיחם להם ואז יביאו מטות וישבו עליהם אע</w:t>
      </w:r>
      <w:r>
        <w:rPr>
          <w:rFonts w:cs="Arial" w:hint="cs"/>
          <w:rtl/>
        </w:rPr>
        <w:t>"</w:t>
      </w:r>
      <w:r w:rsidRPr="00E52EAA">
        <w:rPr>
          <w:rFonts w:cs="Arial"/>
          <w:rtl/>
        </w:rPr>
        <w:t>פ שאין למטות צורך לאהל היינו כדי שיהא נראה דפריסת מחצלאות לא כדי לעשות אהל בחיבור שתיהן היתה אלא כדי לפרוס כל אחד על עצמו להגן מפני החמה שהרי גם כשחם להם מלמטה הביא כל אחד מטתו וישבו עליהן</w:t>
      </w:r>
      <w:r>
        <w:rPr>
          <w:rFonts w:cs="Arial" w:hint="cs"/>
          <w:rtl/>
        </w:rPr>
        <w:t>.</w:t>
      </w:r>
      <w:r w:rsidRPr="00E52EAA">
        <w:rPr>
          <w:rFonts w:cs="Arial"/>
          <w:rtl/>
        </w:rPr>
        <w:t xml:space="preserve"> ואפשר שאם רצה להניח מחצלת על המטה אינו רשאי לדעת הרמב"ם</w:t>
      </w:r>
      <w:r>
        <w:rPr>
          <w:rFonts w:cs="Arial" w:hint="cs"/>
          <w:rtl/>
        </w:rPr>
        <w:t>.</w:t>
      </w:r>
      <w:r w:rsidRPr="00E52EAA">
        <w:rPr>
          <w:rFonts w:cs="Arial"/>
          <w:rtl/>
        </w:rPr>
        <w:t xml:space="preserve"> ומשום הכי אמרו שזוקף מטתו</w:t>
      </w:r>
      <w:r>
        <w:rPr>
          <w:rFonts w:cs="Arial" w:hint="cs"/>
          <w:rtl/>
        </w:rPr>
        <w:t>,</w:t>
      </w:r>
      <w:r w:rsidRPr="00E52EAA">
        <w:rPr>
          <w:rFonts w:cs="Arial"/>
          <w:rtl/>
        </w:rPr>
        <w:t xml:space="preserve"> כלומר ולא יניחנה שם</w:t>
      </w:r>
      <w:r>
        <w:rPr>
          <w:rFonts w:cs="Arial" w:hint="cs"/>
          <w:rtl/>
        </w:rPr>
        <w:t>,</w:t>
      </w:r>
      <w:r w:rsidRPr="00E52EAA">
        <w:rPr>
          <w:rFonts w:cs="Arial"/>
          <w:rtl/>
        </w:rPr>
        <w:t xml:space="preserve"> כי היכי דתהוי היכרא שלא נתכוון בפריסת המחצלת לעשות אהל משתיהן אלא להגן עליהם מפני החמה</w:t>
      </w:r>
      <w:r>
        <w:rPr>
          <w:rFonts w:cs="Arial" w:hint="cs"/>
          <w:rtl/>
        </w:rPr>
        <w:t>.</w:t>
      </w:r>
      <w:r w:rsidRPr="00E52EAA">
        <w:rPr>
          <w:rFonts w:cs="Arial"/>
          <w:rtl/>
        </w:rPr>
        <w:t xml:space="preserve"> שהרי כשחם לו מלמטה הביא מטה וישב עליה</w:t>
      </w:r>
      <w:r>
        <w:rPr>
          <w:rFonts w:cs="Arial" w:hint="cs"/>
          <w:rtl/>
        </w:rPr>
        <w:t>,</w:t>
      </w:r>
      <w:r w:rsidRPr="00E52EAA">
        <w:rPr>
          <w:rFonts w:cs="Arial"/>
          <w:rtl/>
        </w:rPr>
        <w:t xml:space="preserve"> וכשעמד זקפה משם והלך לו</w:t>
      </w:r>
      <w:r>
        <w:rPr>
          <w:rFonts w:cs="Arial" w:hint="cs"/>
          <w:rtl/>
        </w:rPr>
        <w:t>, ב"י.</w:t>
      </w:r>
    </w:p>
  </w:footnote>
  <w:footnote w:id="1922">
    <w:p w14:paraId="0A6F05A1" w14:textId="0C083B2C" w:rsidR="007A7B6F" w:rsidRDefault="007A7B6F" w:rsidP="00285819">
      <w:pPr>
        <w:pStyle w:val="a7"/>
        <w:rPr>
          <w:rtl/>
        </w:rPr>
      </w:pPr>
      <w:r>
        <w:rPr>
          <w:rStyle w:val="a9"/>
        </w:rPr>
        <w:footnoteRef/>
      </w:r>
      <w:r>
        <w:rPr>
          <w:rtl/>
        </w:rPr>
        <w:t xml:space="preserve"> </w:t>
      </w:r>
      <w:r w:rsidRPr="007A7B6F">
        <w:rPr>
          <w:rFonts w:cs="Arial"/>
          <w:rtl/>
        </w:rPr>
        <w:t>כדי להפסיק בינם לקרקע. ואין להקשות כיון דלבסוף זוקף מטתו ומסירה אח"כ וכדלקמיה ונשאר רק המחצלת פרוסה על המת יביאו מיד המחצלת ויפרוס על גביו ואח"כ כשישמט ישאר על המת י"ל דא"כ יהא ניכר יותר שעושה לצורך המת ואסור לעשות אהל עראי לצורך המת אבל השתא ניכר שעשו לצורך עצמן שהרי כשחם להם מלמטה הביאו מטה ויאמרו שגם המחצלת הביאו מתחלה רק בשביל עצמן</w:t>
      </w:r>
      <w:r>
        <w:rPr>
          <w:rFonts w:hint="cs"/>
          <w:rtl/>
        </w:rPr>
        <w:t>, משנ"ב (סקי"ט).</w:t>
      </w:r>
    </w:p>
  </w:footnote>
  <w:footnote w:id="1923">
    <w:p w14:paraId="5C02931D" w14:textId="21CC64CF" w:rsidR="007A7B6F" w:rsidRDefault="007A7B6F" w:rsidP="00285819">
      <w:pPr>
        <w:pStyle w:val="a7"/>
        <w:rPr>
          <w:rtl/>
        </w:rPr>
      </w:pPr>
      <w:r>
        <w:rPr>
          <w:rStyle w:val="a9"/>
        </w:rPr>
        <w:footnoteRef/>
      </w:r>
      <w:r>
        <w:rPr>
          <w:rtl/>
        </w:rPr>
        <w:t xml:space="preserve"> </w:t>
      </w:r>
      <w:r w:rsidRPr="007A7B6F">
        <w:rPr>
          <w:rFonts w:cs="Arial"/>
          <w:rtl/>
        </w:rPr>
        <w:t>ר"ל שזוקפה ומסירה והוא נשמט מתחת המחצלת והמחצלאות הם קשים וזקופים ונשארים ממילא כאהל על המת. ועיין במ"א דאם הוא מתירא שלא יסריח המת ויצטרכו לצאת שרי לפרוס עליו מחצלת להדיא אך שיהיה בלא עשיית אהל</w:t>
      </w:r>
      <w:r>
        <w:rPr>
          <w:rFonts w:hint="cs"/>
          <w:rtl/>
        </w:rPr>
        <w:t>, משנ"ב (סק"כ).</w:t>
      </w:r>
    </w:p>
  </w:footnote>
  <w:footnote w:id="1924">
    <w:p w14:paraId="26238314" w14:textId="5D7C5B56" w:rsidR="0007272E" w:rsidRDefault="0007272E" w:rsidP="00285819">
      <w:pPr>
        <w:pStyle w:val="a7"/>
      </w:pPr>
      <w:r>
        <w:rPr>
          <w:rStyle w:val="a9"/>
        </w:rPr>
        <w:footnoteRef/>
      </w:r>
      <w:r>
        <w:rPr>
          <w:rtl/>
        </w:rPr>
        <w:t xml:space="preserve"> </w:t>
      </w:r>
      <w:r w:rsidRPr="0007272E">
        <w:rPr>
          <w:rFonts w:cs="Arial"/>
          <w:rtl/>
        </w:rPr>
        <w:t>סיכה הוא בשמן</w:t>
      </w:r>
      <w:r>
        <w:rPr>
          <w:rFonts w:cs="Arial" w:hint="cs"/>
          <w:rtl/>
        </w:rPr>
        <w:t>,</w:t>
      </w:r>
      <w:r w:rsidRPr="0007272E">
        <w:rPr>
          <w:rFonts w:cs="Arial"/>
          <w:rtl/>
        </w:rPr>
        <w:t xml:space="preserve"> והדחה </w:t>
      </w:r>
      <w:r>
        <w:rPr>
          <w:rFonts w:cs="Arial" w:hint="cs"/>
          <w:rtl/>
        </w:rPr>
        <w:t xml:space="preserve">הוא </w:t>
      </w:r>
      <w:r w:rsidRPr="0007272E">
        <w:rPr>
          <w:rFonts w:cs="Arial"/>
          <w:rtl/>
        </w:rPr>
        <w:t>במים קרים</w:t>
      </w:r>
      <w:r>
        <w:rPr>
          <w:rFonts w:cs="Arial" w:hint="cs"/>
          <w:rtl/>
        </w:rPr>
        <w:t>.</w:t>
      </w:r>
    </w:p>
  </w:footnote>
  <w:footnote w:id="1925">
    <w:p w14:paraId="629478EB" w14:textId="308C179D" w:rsidR="0007272E" w:rsidRDefault="0007272E" w:rsidP="00285819">
      <w:pPr>
        <w:pStyle w:val="a7"/>
      </w:pPr>
      <w:r>
        <w:rPr>
          <w:rStyle w:val="a9"/>
        </w:rPr>
        <w:footnoteRef/>
      </w:r>
      <w:r>
        <w:rPr>
          <w:rtl/>
        </w:rPr>
        <w:t xml:space="preserve"> </w:t>
      </w:r>
      <w:r w:rsidRPr="0007272E">
        <w:rPr>
          <w:rFonts w:cs="Arial"/>
          <w:rtl/>
        </w:rPr>
        <w:t>אבל אסור לשמוט המת מע"ג הכר דהוא טלטול ממש והעולם נוהגין להגביה אותו מעל הכרים ע"י ככר אף במקום שאין לחוש שיסריח ויש למחות בידם רק לשמוט הכרים מתחתיו מותר ובמקצת מקומות נוהגין להעצים עיניו ולישר אבריו שלא יתעקמו ואומרים דאיתא בזוהר שהיא סכנה ואף דדבר זה אין לו שרש ע"פ הדין דבמשנה איתא דאין מעצימין עיניו של מת וכן שלא יזיז בו אבר וכל הראשונים סתמו כן וכמו שפסק בשו"ע מ"מ במקום שנהגו אין למחות כיון שיש להם סמך ע"פ הזוהר אך באמת בזוהר לא נזכר סכנה כ"א לענין עינים וא"כ לישר האברים אין להם שום סמך ובא"ר כתב דבמקום שנוהגין להקל בזה משום שחוששין שלא יתעקמו ויהיה בזיון למת יעשו כמ"ש במרדכי שמניח ככר [או שאר דבר שמותר לטלטל וכנ"ל] על אותן האברים ודוחק עליו עד שיפשטו אבריו</w:t>
      </w:r>
      <w:r>
        <w:rPr>
          <w:rFonts w:cs="Arial" w:hint="cs"/>
          <w:rtl/>
        </w:rPr>
        <w:t>, משנ"ב (סקכ"ב).</w:t>
      </w:r>
    </w:p>
  </w:footnote>
  <w:footnote w:id="1926">
    <w:p w14:paraId="653BABFA" w14:textId="362E0963" w:rsidR="00755C64" w:rsidRDefault="00755C64" w:rsidP="00285819">
      <w:pPr>
        <w:pStyle w:val="a7"/>
      </w:pPr>
      <w:r>
        <w:rPr>
          <w:rStyle w:val="a9"/>
        </w:rPr>
        <w:footnoteRef/>
      </w:r>
      <w:r>
        <w:rPr>
          <w:rtl/>
        </w:rPr>
        <w:t xml:space="preserve"> </w:t>
      </w:r>
      <w:r w:rsidRPr="00755C64">
        <w:rPr>
          <w:rFonts w:cs="Arial"/>
          <w:rtl/>
        </w:rPr>
        <w:t>תאנה שלא בשלה כל צרכה, וטומנין בתבן להתבשל, ותבן מוקצה הוי לטיט</w:t>
      </w:r>
      <w:r>
        <w:rPr>
          <w:rFonts w:cs="Arial" w:hint="cs"/>
          <w:rtl/>
        </w:rPr>
        <w:t>, רש"י.</w:t>
      </w:r>
    </w:p>
  </w:footnote>
  <w:footnote w:id="1927">
    <w:p w14:paraId="4BD94D35" w14:textId="12ADDF79" w:rsidR="00755C64" w:rsidRDefault="00755C64" w:rsidP="00285819">
      <w:pPr>
        <w:pStyle w:val="a7"/>
      </w:pPr>
      <w:r>
        <w:rPr>
          <w:rStyle w:val="a9"/>
        </w:rPr>
        <w:footnoteRef/>
      </w:r>
      <w:r>
        <w:rPr>
          <w:rtl/>
        </w:rPr>
        <w:t xml:space="preserve"> </w:t>
      </w:r>
      <w:r w:rsidRPr="00755C64">
        <w:rPr>
          <w:rFonts w:cs="Arial"/>
          <w:rtl/>
        </w:rPr>
        <w:t>שיכול לאוחזה במקום המגולה, דאפילו טלטול מן הצד ליכא, שאין צריך להגביה התבן אלא מגביה מקום המגולה, והתבן נשמט ונופל</w:t>
      </w:r>
      <w:r>
        <w:rPr>
          <w:rFonts w:cs="Arial" w:hint="cs"/>
          <w:rtl/>
        </w:rPr>
        <w:t>, רש"י.</w:t>
      </w:r>
    </w:p>
  </w:footnote>
  <w:footnote w:id="1928">
    <w:p w14:paraId="7457B200" w14:textId="1FD733B7" w:rsidR="00755C64" w:rsidRDefault="00755C64" w:rsidP="00285819">
      <w:pPr>
        <w:pStyle w:val="a7"/>
      </w:pPr>
      <w:r>
        <w:rPr>
          <w:rStyle w:val="a9"/>
        </w:rPr>
        <w:footnoteRef/>
      </w:r>
      <w:r>
        <w:rPr>
          <w:rtl/>
        </w:rPr>
        <w:t xml:space="preserve"> </w:t>
      </w:r>
      <w:r w:rsidRPr="00755C64">
        <w:rPr>
          <w:rFonts w:cs="Arial"/>
          <w:rtl/>
        </w:rPr>
        <w:t>צנון תלוש שהטמינו בארץ ונתגלה ראשו</w:t>
      </w:r>
      <w:r>
        <w:rPr>
          <w:rFonts w:cs="Arial" w:hint="cs"/>
          <w:rtl/>
        </w:rPr>
        <w:t>, רש"י.</w:t>
      </w:r>
    </w:p>
  </w:footnote>
  <w:footnote w:id="1929">
    <w:p w14:paraId="5E836E11" w14:textId="4744B2C2" w:rsidR="00755C64" w:rsidRDefault="00755C64" w:rsidP="00285819">
      <w:pPr>
        <w:pStyle w:val="a7"/>
        <w:rPr>
          <w:rtl/>
        </w:rPr>
      </w:pPr>
      <w:r>
        <w:rPr>
          <w:rStyle w:val="a9"/>
        </w:rPr>
        <w:footnoteRef/>
      </w:r>
      <w:r>
        <w:rPr>
          <w:rtl/>
        </w:rPr>
        <w:t xml:space="preserve"> </w:t>
      </w:r>
      <w:r w:rsidRPr="00755C64">
        <w:rPr>
          <w:rFonts w:cs="Arial"/>
          <w:rtl/>
        </w:rPr>
        <w:t>אם היה העליון שלה למעלה והקצר למטה, וכשהוא שולפה חולצה מעליון שלה לתחתון שלה, ורוחב הצנון למעלה - מותר, דליכא טלטול לעפר כלל, שהרי נתגלה ראשו</w:t>
      </w:r>
      <w:r>
        <w:rPr>
          <w:rFonts w:hint="cs"/>
          <w:rtl/>
        </w:rPr>
        <w:t>, רש"י.</w:t>
      </w:r>
    </w:p>
  </w:footnote>
  <w:footnote w:id="1930">
    <w:p w14:paraId="2E871E26" w14:textId="35E25631" w:rsidR="00755C64" w:rsidRDefault="00755C64" w:rsidP="00285819">
      <w:pPr>
        <w:pStyle w:val="a7"/>
      </w:pPr>
      <w:r>
        <w:rPr>
          <w:rStyle w:val="a9"/>
        </w:rPr>
        <w:footnoteRef/>
      </w:r>
      <w:r>
        <w:rPr>
          <w:rtl/>
        </w:rPr>
        <w:t xml:space="preserve"> </w:t>
      </w:r>
      <w:r w:rsidRPr="00755C64">
        <w:rPr>
          <w:rFonts w:cs="Arial"/>
          <w:rtl/>
        </w:rPr>
        <w:t>שמזיז עפר, לפי שהגומא קצרה מלמעלה, ורוחב הצנון מלמטה, ואף על גב דטלטול עפר מן הצד הוא, שאינו אוחזו ממש בידו</w:t>
      </w:r>
      <w:r>
        <w:rPr>
          <w:rFonts w:cs="Arial" w:hint="cs"/>
          <w:rtl/>
        </w:rPr>
        <w:t>, רש"י.</w:t>
      </w:r>
    </w:p>
  </w:footnote>
  <w:footnote w:id="1931">
    <w:p w14:paraId="5334B904" w14:textId="0F983F34" w:rsidR="009727CB" w:rsidRPr="00285B70" w:rsidRDefault="009727CB" w:rsidP="00285819">
      <w:pPr>
        <w:pStyle w:val="a7"/>
        <w:rPr>
          <w:rFonts w:cs="Arial"/>
          <w:rtl/>
        </w:rPr>
      </w:pPr>
      <w:r>
        <w:rPr>
          <w:rStyle w:val="a9"/>
        </w:rPr>
        <w:footnoteRef/>
      </w:r>
      <w:r>
        <w:rPr>
          <w:rtl/>
        </w:rPr>
        <w:t xml:space="preserve"> </w:t>
      </w:r>
      <w:r>
        <w:rPr>
          <w:rFonts w:cs="Arial" w:hint="cs"/>
          <w:rtl/>
        </w:rPr>
        <w:t xml:space="preserve">וז"ל- </w:t>
      </w:r>
      <w:r w:rsidRPr="00285B70">
        <w:rPr>
          <w:rFonts w:cs="Arial"/>
          <w:rtl/>
        </w:rPr>
        <w:t>וקשה מהא דאמר לקמן בפרק כל הכלים (קכג</w:t>
      </w:r>
      <w:r>
        <w:rPr>
          <w:rFonts w:cs="Arial" w:hint="cs"/>
          <w:rtl/>
        </w:rPr>
        <w:t>.</w:t>
      </w:r>
      <w:r w:rsidRPr="00285B70">
        <w:rPr>
          <w:rFonts w:cs="Arial"/>
          <w:rtl/>
        </w:rPr>
        <w:t>) הלכתא כרבי אלעזר בן תדאי דאמר טלטול מן הצד לא שמיה טלטול</w:t>
      </w:r>
      <w:r>
        <w:rPr>
          <w:rFonts w:cs="Arial" w:hint="cs"/>
          <w:rtl/>
        </w:rPr>
        <w:t>.</w:t>
      </w:r>
      <w:r w:rsidRPr="00285B70">
        <w:rPr>
          <w:rFonts w:cs="Arial"/>
          <w:rtl/>
        </w:rPr>
        <w:t xml:space="preserve"> ונראה דע"כ צריך לחלק בענין טלטול מן הצד דהכא סבר רב דשמיה טלטול</w:t>
      </w:r>
      <w:r>
        <w:rPr>
          <w:rFonts w:cs="Arial" w:hint="cs"/>
          <w:rtl/>
        </w:rPr>
        <w:t>,</w:t>
      </w:r>
      <w:r w:rsidRPr="00285B70">
        <w:rPr>
          <w:rFonts w:cs="Arial"/>
          <w:rtl/>
        </w:rPr>
        <w:t xml:space="preserve"> ולקמן בפ' תולין (קמא</w:t>
      </w:r>
      <w:r>
        <w:rPr>
          <w:rFonts w:cs="Arial" w:hint="cs"/>
          <w:rtl/>
        </w:rPr>
        <w:t>.</w:t>
      </w:r>
      <w:r w:rsidRPr="00285B70">
        <w:rPr>
          <w:rFonts w:cs="Arial"/>
          <w:rtl/>
        </w:rPr>
        <w:t>) אמרי בי רב לא שמיה טלטול</w:t>
      </w:r>
      <w:r>
        <w:rPr>
          <w:rFonts w:cs="Arial" w:hint="cs"/>
          <w:rtl/>
        </w:rPr>
        <w:t>,</w:t>
      </w:r>
      <w:r w:rsidRPr="00285B70">
        <w:rPr>
          <w:rFonts w:cs="Arial"/>
          <w:rtl/>
        </w:rPr>
        <w:t xml:space="preserve"> ובכולה הש"ס </w:t>
      </w:r>
      <w:r w:rsidRPr="00285B70">
        <w:rPr>
          <w:rFonts w:cs="Arial"/>
          <w:sz w:val="16"/>
          <w:szCs w:val="16"/>
          <w:rtl/>
        </w:rPr>
        <w:t>(</w:t>
      </w:r>
      <w:r w:rsidRPr="00285B70">
        <w:rPr>
          <w:rFonts w:cs="Arial" w:hint="cs"/>
          <w:sz w:val="16"/>
          <w:szCs w:val="16"/>
          <w:rtl/>
        </w:rPr>
        <w:t xml:space="preserve">ב"מ </w:t>
      </w:r>
      <w:r w:rsidRPr="00285B70">
        <w:rPr>
          <w:rFonts w:cs="Arial"/>
          <w:sz w:val="16"/>
          <w:szCs w:val="16"/>
          <w:rtl/>
        </w:rPr>
        <w:t>קב</w:t>
      </w:r>
      <w:r w:rsidRPr="00285B70">
        <w:rPr>
          <w:rFonts w:cs="Arial" w:hint="cs"/>
          <w:sz w:val="16"/>
          <w:szCs w:val="16"/>
          <w:rtl/>
        </w:rPr>
        <w:t>., ב"ב</w:t>
      </w:r>
      <w:r w:rsidRPr="00285B70">
        <w:rPr>
          <w:rFonts w:cs="Arial"/>
          <w:sz w:val="16"/>
          <w:szCs w:val="16"/>
          <w:rtl/>
        </w:rPr>
        <w:t xml:space="preserve"> קה</w:t>
      </w:r>
      <w:r w:rsidRPr="00285B70">
        <w:rPr>
          <w:rFonts w:cs="Arial" w:hint="cs"/>
          <w:sz w:val="16"/>
          <w:szCs w:val="16"/>
          <w:rtl/>
        </w:rPr>
        <w:t>:</w:t>
      </w:r>
      <w:r w:rsidRPr="00285B70">
        <w:rPr>
          <w:rFonts w:cs="Arial"/>
          <w:sz w:val="16"/>
          <w:szCs w:val="16"/>
          <w:rtl/>
        </w:rPr>
        <w:t>)</w:t>
      </w:r>
      <w:r>
        <w:rPr>
          <w:rFonts w:cs="Arial" w:hint="cs"/>
          <w:rtl/>
        </w:rPr>
        <w:t xml:space="preserve"> </w:t>
      </w:r>
      <w:r w:rsidRPr="00285B70">
        <w:rPr>
          <w:rFonts w:cs="Arial"/>
          <w:rtl/>
        </w:rPr>
        <w:t>משמע דאמרי בי רב היינו רב</w:t>
      </w:r>
      <w:r>
        <w:rPr>
          <w:rFonts w:cs="Arial" w:hint="cs"/>
          <w:rtl/>
        </w:rPr>
        <w:t xml:space="preserve">... </w:t>
      </w:r>
      <w:r w:rsidRPr="00285B70">
        <w:rPr>
          <w:rFonts w:cs="Arial"/>
          <w:rtl/>
        </w:rPr>
        <w:t>וע</w:t>
      </w:r>
      <w:r>
        <w:rPr>
          <w:rFonts w:cs="Arial" w:hint="cs"/>
          <w:rtl/>
        </w:rPr>
        <w:t>וד קשה</w:t>
      </w:r>
      <w:r w:rsidRPr="00285B70">
        <w:rPr>
          <w:rFonts w:cs="Arial"/>
          <w:rtl/>
        </w:rPr>
        <w:t xml:space="preserve"> דהיכי מצי רב למיסר להופכו ממטה למטה והתנן לקמן בפרק נוטל (קמב</w:t>
      </w:r>
      <w:r>
        <w:rPr>
          <w:rFonts w:cs="Arial" w:hint="cs"/>
          <w:rtl/>
        </w:rPr>
        <w:t>:</w:t>
      </w:r>
      <w:r w:rsidRPr="00285B70">
        <w:rPr>
          <w:rFonts w:cs="Arial"/>
          <w:rtl/>
        </w:rPr>
        <w:t>) מעות שעל הכר נוער את הכר והן נופלות. אבן שעל פי החבית מטה על צדה והיא נופלת.</w:t>
      </w:r>
      <w:r>
        <w:rPr>
          <w:rFonts w:cs="Arial" w:hint="cs"/>
          <w:rtl/>
        </w:rPr>
        <w:t>.</w:t>
      </w:r>
      <w:r w:rsidRPr="00285B70">
        <w:rPr>
          <w:rFonts w:cs="Arial"/>
          <w:rtl/>
        </w:rPr>
        <w:t>. ועוד קשה דאפי' רבנן דפליגי עליה דר' אליעזר בן תדאי לקמן בפרק כל הכלים (קכג</w:t>
      </w:r>
      <w:r>
        <w:rPr>
          <w:rFonts w:cs="Arial" w:hint="cs"/>
          <w:rtl/>
        </w:rPr>
        <w:t>.</w:t>
      </w:r>
      <w:r w:rsidRPr="00285B70">
        <w:rPr>
          <w:rFonts w:cs="Arial"/>
          <w:rtl/>
        </w:rPr>
        <w:t>) וסברי דשמיה טלטול מודו דבכה"ג דמת לא חשיב טלטול דהא שרו פגה שהטמינה ברמץ וחררה שהטמינה בגחלים אם מגולה מקצת</w:t>
      </w:r>
      <w:r>
        <w:rPr>
          <w:rFonts w:cs="Arial" w:hint="cs"/>
          <w:rtl/>
        </w:rPr>
        <w:t>.</w:t>
      </w:r>
      <w:r w:rsidRPr="00285B70">
        <w:rPr>
          <w:rFonts w:cs="Arial"/>
          <w:rtl/>
        </w:rPr>
        <w:t xml:space="preserve"> הלכך נראה דלא דמי טלטול דהכא לשאר טלטול</w:t>
      </w:r>
      <w:r>
        <w:rPr>
          <w:rFonts w:cs="Arial" w:hint="cs"/>
          <w:rtl/>
        </w:rPr>
        <w:t>.</w:t>
      </w:r>
      <w:r w:rsidRPr="00285B70">
        <w:rPr>
          <w:rFonts w:cs="Arial"/>
          <w:rtl/>
        </w:rPr>
        <w:t xml:space="preserve"> דטלטול דהכא הוי לצורך המת שאסור לטלטלו</w:t>
      </w:r>
      <w:r>
        <w:rPr>
          <w:rFonts w:cs="Arial" w:hint="cs"/>
          <w:rtl/>
        </w:rPr>
        <w:t>,</w:t>
      </w:r>
      <w:r w:rsidRPr="00285B70">
        <w:rPr>
          <w:rFonts w:cs="Arial"/>
          <w:rtl/>
        </w:rPr>
        <w:t xml:space="preserve"> ולא לצורך המטה</w:t>
      </w:r>
      <w:r>
        <w:rPr>
          <w:rFonts w:cs="Arial" w:hint="cs"/>
          <w:rtl/>
        </w:rPr>
        <w:t>,</w:t>
      </w:r>
      <w:r w:rsidRPr="00285B70">
        <w:rPr>
          <w:rFonts w:cs="Arial"/>
          <w:rtl/>
        </w:rPr>
        <w:t xml:space="preserve"> ולהכי שמיה טלטול. אבל כל הני ניעור</w:t>
      </w:r>
      <w:r>
        <w:rPr>
          <w:rFonts w:cs="Arial" w:hint="cs"/>
          <w:rtl/>
        </w:rPr>
        <w:t>,</w:t>
      </w:r>
      <w:r w:rsidRPr="00285B70">
        <w:rPr>
          <w:rFonts w:cs="Arial"/>
          <w:rtl/>
        </w:rPr>
        <w:t xml:space="preserve"> עיקר צורך טלטול בשביל דבר של היתר</w:t>
      </w:r>
      <w:r>
        <w:rPr>
          <w:rFonts w:cs="Arial" w:hint="cs"/>
          <w:rtl/>
        </w:rPr>
        <w:t>,</w:t>
      </w:r>
      <w:r w:rsidRPr="00285B70">
        <w:rPr>
          <w:rFonts w:cs="Arial"/>
          <w:rtl/>
        </w:rPr>
        <w:t xml:space="preserve"> הלכך לא מייתי הכא אלא פלוגתא דר' יהודה בן לקיש ורבנן דפליגי במת ולא מייתי ההוא דר' אליעזר בן תדאי ורבנן. וכן חילק גם רב אלפס. והקשה על זה ה"ר יונה מהא דתנן לקמן בפרק תולין (קמ</w:t>
      </w:r>
      <w:r>
        <w:rPr>
          <w:rFonts w:cs="Arial" w:hint="cs"/>
          <w:rtl/>
        </w:rPr>
        <w:t>א.</w:t>
      </w:r>
      <w:r w:rsidRPr="00285B70">
        <w:rPr>
          <w:rFonts w:cs="Arial"/>
          <w:rtl/>
        </w:rPr>
        <w:t>) הקש שעל המטה לא ינענענו בידו אבל מנענעו בגופו ודייקי מיניה בי רב דטלטול מן הצד ל"ש טלטול והתם לצורך הקש שהוא מוקצה הוא מטלטל. ולא קשה דהתם אף טלטול אין כאן כמו פגה וחררה ופוגלא שהוא מטלטלן בידו ואגבן מטלטלין דבר אסור. אבל בקש אינו מטלטל אלא בגופו כלאחר יד הלכך אע</w:t>
      </w:r>
      <w:r>
        <w:rPr>
          <w:rFonts w:cs="Arial" w:hint="cs"/>
          <w:rtl/>
        </w:rPr>
        <w:t>"</w:t>
      </w:r>
      <w:r w:rsidRPr="00285B70">
        <w:rPr>
          <w:rFonts w:cs="Arial"/>
          <w:rtl/>
        </w:rPr>
        <w:t>ג דלקש שהוא מוקצה הוא צריך מדמה ליה לטלטול מן הצד שהוא צורך לדבר המותר</w:t>
      </w:r>
      <w:r>
        <w:rPr>
          <w:rFonts w:hint="cs"/>
          <w:rtl/>
        </w:rPr>
        <w:t>.</w:t>
      </w:r>
    </w:p>
  </w:footnote>
  <w:footnote w:id="1932">
    <w:p w14:paraId="0BDCD194" w14:textId="0B5E22FC" w:rsidR="00164007" w:rsidRDefault="00164007" w:rsidP="00285819">
      <w:pPr>
        <w:pStyle w:val="a7"/>
        <w:rPr>
          <w:rtl/>
        </w:rPr>
      </w:pPr>
      <w:r>
        <w:rPr>
          <w:rStyle w:val="a9"/>
        </w:rPr>
        <w:footnoteRef/>
      </w:r>
      <w:r>
        <w:rPr>
          <w:rtl/>
        </w:rPr>
        <w:t xml:space="preserve"> </w:t>
      </w:r>
      <w:r w:rsidRPr="009727CB">
        <w:rPr>
          <w:rFonts w:cs="Arial"/>
          <w:rtl/>
        </w:rPr>
        <w:t>וכן כתב הרמב"ם בפכ"ה (הי"ד)</w:t>
      </w:r>
      <w:r w:rsidRPr="009727CB">
        <w:rPr>
          <w:rFonts w:cs="Arial" w:hint="cs"/>
          <w:rtl/>
        </w:rPr>
        <w:t>,</w:t>
      </w:r>
      <w:r w:rsidRPr="009727CB">
        <w:rPr>
          <w:rFonts w:cs="Arial"/>
          <w:rtl/>
        </w:rPr>
        <w:t xml:space="preserve"> וכן כתב הרב המגיד בשם המפרשים</w:t>
      </w:r>
      <w:r>
        <w:rPr>
          <w:rFonts w:hint="cs"/>
          <w:rtl/>
        </w:rPr>
        <w:t>, ב"י.</w:t>
      </w:r>
    </w:p>
  </w:footnote>
  <w:footnote w:id="1933">
    <w:p w14:paraId="1B35AB6F" w14:textId="6E8A9535" w:rsidR="00D66CC5" w:rsidRDefault="00D66CC5" w:rsidP="00285819">
      <w:pPr>
        <w:pStyle w:val="a7"/>
      </w:pPr>
      <w:r>
        <w:rPr>
          <w:rStyle w:val="a9"/>
        </w:rPr>
        <w:footnoteRef/>
      </w:r>
      <w:r w:rsidRPr="002B45A4">
        <w:rPr>
          <w:rFonts w:cs="Arial"/>
          <w:rtl/>
        </w:rPr>
        <w:t xml:space="preserve"> ע</w:t>
      </w:r>
      <w:r w:rsidR="00FB5B2E">
        <w:rPr>
          <w:rFonts w:cs="Arial" w:hint="cs"/>
          <w:rtl/>
        </w:rPr>
        <w:t>"</w:t>
      </w:r>
      <w:r w:rsidRPr="002B45A4">
        <w:rPr>
          <w:rFonts w:cs="Arial"/>
          <w:rtl/>
        </w:rPr>
        <w:t>ל סי</w:t>
      </w:r>
      <w:r w:rsidR="00FB5B2E">
        <w:rPr>
          <w:rFonts w:cs="Arial" w:hint="cs"/>
          <w:rtl/>
        </w:rPr>
        <w:t>'</w:t>
      </w:r>
      <w:r w:rsidRPr="002B45A4">
        <w:rPr>
          <w:rFonts w:cs="Arial"/>
          <w:rtl/>
        </w:rPr>
        <w:t xml:space="preserve"> שח (</w:t>
      </w:r>
      <w:r>
        <w:rPr>
          <w:rFonts w:cs="Arial" w:hint="cs"/>
          <w:rtl/>
        </w:rPr>
        <w:t>סע'</w:t>
      </w:r>
      <w:r w:rsidRPr="002B45A4">
        <w:rPr>
          <w:rFonts w:cs="Arial"/>
          <w:rtl/>
        </w:rPr>
        <w:t xml:space="preserve">, </w:t>
      </w:r>
      <w:r>
        <w:rPr>
          <w:rFonts w:cs="Arial" w:hint="cs"/>
          <w:rtl/>
        </w:rPr>
        <w:t>ו</w:t>
      </w:r>
      <w:r w:rsidRPr="002B45A4">
        <w:rPr>
          <w:rFonts w:cs="Arial"/>
          <w:rtl/>
        </w:rPr>
        <w:t>ד</w:t>
      </w:r>
      <w:r>
        <w:rPr>
          <w:rFonts w:cs="Arial" w:hint="cs"/>
          <w:rtl/>
        </w:rPr>
        <w:t>רכ</w:t>
      </w:r>
      <w:r w:rsidRPr="002B45A4">
        <w:rPr>
          <w:rFonts w:cs="Arial"/>
          <w:rtl/>
        </w:rPr>
        <w:t>מ</w:t>
      </w:r>
      <w:r>
        <w:rPr>
          <w:rFonts w:cs="Arial" w:hint="cs"/>
          <w:rtl/>
        </w:rPr>
        <w:t>"א</w:t>
      </w:r>
      <w:r w:rsidRPr="002B45A4">
        <w:rPr>
          <w:rFonts w:cs="Arial"/>
          <w:rtl/>
        </w:rPr>
        <w:t xml:space="preserve"> אות ב) דהוא הדין חשב לשכב עליו</w:t>
      </w:r>
      <w:r>
        <w:rPr>
          <w:rFonts w:cs="Arial" w:hint="cs"/>
          <w:rtl/>
        </w:rPr>
        <w:t>,</w:t>
      </w:r>
      <w:r w:rsidRPr="002B45A4">
        <w:rPr>
          <w:rFonts w:cs="Arial"/>
          <w:rtl/>
        </w:rPr>
        <w:t xml:space="preserve"> וכ</w:t>
      </w:r>
      <w:r>
        <w:rPr>
          <w:rFonts w:cs="Arial" w:hint="cs"/>
          <w:rtl/>
        </w:rPr>
        <w:t>"</w:t>
      </w:r>
      <w:r w:rsidRPr="002B45A4">
        <w:rPr>
          <w:rFonts w:cs="Arial"/>
          <w:rtl/>
        </w:rPr>
        <w:t>כ הר"ן (כג. ד"ה או</w:t>
      </w:r>
      <w:r w:rsidR="00FB5B2E">
        <w:rPr>
          <w:rFonts w:cs="Arial" w:hint="cs"/>
          <w:rtl/>
        </w:rPr>
        <w:t xml:space="preserve"> שהיה</w:t>
      </w:r>
      <w:r w:rsidRPr="002B45A4">
        <w:rPr>
          <w:rFonts w:cs="Arial"/>
          <w:rtl/>
        </w:rPr>
        <w:t>)</w:t>
      </w:r>
      <w:r>
        <w:rPr>
          <w:rFonts w:cs="Arial" w:hint="cs"/>
          <w:rtl/>
        </w:rPr>
        <w:t>, דרכ"מ (אות ט).</w:t>
      </w:r>
      <w:r w:rsidR="00FB5B2E" w:rsidRPr="00FB5B2E">
        <w:rPr>
          <w:rFonts w:cs="Arial" w:hint="cs"/>
          <w:color w:val="00B0F0"/>
          <w:rtl/>
        </w:rPr>
        <w:t xml:space="preserve"> </w:t>
      </w:r>
      <w:r w:rsidR="00FB5B2E" w:rsidRPr="00E75D69">
        <w:rPr>
          <w:rFonts w:cs="Arial" w:hint="cs"/>
          <w:color w:val="00B0F0"/>
          <w:rtl/>
        </w:rPr>
        <w:t xml:space="preserve">(וכ"פ </w:t>
      </w:r>
      <w:r w:rsidR="00FB5B2E">
        <w:rPr>
          <w:rFonts w:cs="Arial" w:hint="cs"/>
          <w:color w:val="00B0F0"/>
          <w:rtl/>
        </w:rPr>
        <w:t>בהג"ה</w:t>
      </w:r>
      <w:r w:rsidR="00FB5B2E" w:rsidRPr="00E75D69">
        <w:rPr>
          <w:rFonts w:cs="Arial" w:hint="cs"/>
          <w:color w:val="00B0F0"/>
          <w:rtl/>
        </w:rPr>
        <w:t>)</w:t>
      </w:r>
    </w:p>
  </w:footnote>
  <w:footnote w:id="1934">
    <w:p w14:paraId="1F5E80B6" w14:textId="77777777" w:rsidR="000B7221" w:rsidRPr="008C1C8E" w:rsidRDefault="000B7221"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עשב שהוא נאה למראה ולהריח, וממלאין כד עפר לח ותוחבין אותו לתוכו, ונותנו לפני שרים, וכשהוא רוצה נוטלו ומריח בו ומחזירו למקומו, ואי מבעוד יום דצה לתוך העפר ושלפה והדר דצה - שפיר דמי ליטלה למחר ולהחזירה, שהרי הורחב מקום מושבה והוחלק מבעוד יום, ואינו מזיז עפר, רש"י.</w:t>
      </w:r>
    </w:p>
  </w:footnote>
  <w:footnote w:id="1935">
    <w:p w14:paraId="63DC6241" w14:textId="499227C0" w:rsidR="00645110" w:rsidRDefault="00645110" w:rsidP="00285819">
      <w:pPr>
        <w:pStyle w:val="a7"/>
      </w:pPr>
      <w:r>
        <w:rPr>
          <w:rStyle w:val="a9"/>
        </w:rPr>
        <w:footnoteRef/>
      </w:r>
      <w:r>
        <w:rPr>
          <w:rtl/>
        </w:rPr>
        <w:t xml:space="preserve"> </w:t>
      </w:r>
      <w:r>
        <w:rPr>
          <w:rFonts w:cs="Arial" w:hint="cs"/>
          <w:rtl/>
        </w:rPr>
        <w:t>ו</w:t>
      </w:r>
      <w:r>
        <w:rPr>
          <w:rFonts w:cs="Arial"/>
          <w:rtl/>
        </w:rPr>
        <w:t>לא שרי על ידי שיתחוב בו כוש או כרכר כמו בפירות הטמונים בתבן דבסמוך</w:t>
      </w:r>
      <w:r>
        <w:rPr>
          <w:rFonts w:cs="Arial" w:hint="cs"/>
          <w:rtl/>
        </w:rPr>
        <w:t>,</w:t>
      </w:r>
      <w:r>
        <w:rPr>
          <w:rFonts w:cs="Arial"/>
          <w:rtl/>
        </w:rPr>
        <w:t xml:space="preserve"> משום דכיון שהגומא מכוסה אם תוחב בהם כוש או כרכר מיחזי כעושה גומא</w:t>
      </w:r>
      <w:r>
        <w:rPr>
          <w:rFonts w:cs="Arial" w:hint="cs"/>
          <w:rtl/>
        </w:rPr>
        <w:t>,</w:t>
      </w:r>
      <w:r>
        <w:rPr>
          <w:rFonts w:cs="Arial"/>
          <w:rtl/>
        </w:rPr>
        <w:t xml:space="preserve"> אבל בתבן וקש אין בהם משום גומא</w:t>
      </w:r>
      <w:r>
        <w:rPr>
          <w:rFonts w:cs="Arial" w:hint="cs"/>
          <w:rtl/>
        </w:rPr>
        <w:t xml:space="preserve">, הה"מ </w:t>
      </w:r>
      <w:r>
        <w:rPr>
          <w:rFonts w:cs="Arial"/>
          <w:rtl/>
        </w:rPr>
        <w:t>(</w:t>
      </w:r>
      <w:r>
        <w:rPr>
          <w:rFonts w:cs="Arial" w:hint="cs"/>
          <w:rtl/>
        </w:rPr>
        <w:t xml:space="preserve">פכ"ה </w:t>
      </w:r>
      <w:r>
        <w:rPr>
          <w:rFonts w:cs="Arial"/>
          <w:rtl/>
        </w:rPr>
        <w:t>הט"ו)</w:t>
      </w:r>
      <w:r>
        <w:rPr>
          <w:rFonts w:cs="Arial" w:hint="cs"/>
          <w:rtl/>
        </w:rPr>
        <w:t>.</w:t>
      </w:r>
    </w:p>
  </w:footnote>
  <w:footnote w:id="1936">
    <w:p w14:paraId="77ACDC95" w14:textId="77777777" w:rsidR="000B7221" w:rsidRPr="008C1C8E" w:rsidRDefault="000B7221"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להנך רבנן דאמרי דאי לא דצה ושלפה אסור, רש"י.</w:t>
      </w:r>
    </w:p>
  </w:footnote>
  <w:footnote w:id="1937">
    <w:p w14:paraId="3D97358B" w14:textId="77777777" w:rsidR="000B7221" w:rsidRPr="008C1C8E" w:rsidRDefault="000B7221" w:rsidP="00285819">
      <w:pPr>
        <w:spacing w:after="0" w:line="240" w:lineRule="auto"/>
        <w:rPr>
          <w:rFonts w:asciiTheme="minorBidi" w:hAnsiTheme="minorBidi"/>
          <w:sz w:val="20"/>
          <w:szCs w:val="20"/>
          <w:rtl/>
        </w:rPr>
      </w:pPr>
      <w:r w:rsidRPr="008C1C8E">
        <w:rPr>
          <w:rStyle w:val="a9"/>
          <w:rFonts w:asciiTheme="minorBidi" w:hAnsiTheme="minorBidi"/>
          <w:sz w:val="20"/>
          <w:szCs w:val="20"/>
        </w:rPr>
        <w:footnoteRef/>
      </w:r>
      <w:r w:rsidRPr="008C1C8E">
        <w:rPr>
          <w:rFonts w:asciiTheme="minorBidi" w:hAnsiTheme="minorBidi"/>
          <w:sz w:val="20"/>
          <w:szCs w:val="20"/>
          <w:rtl/>
        </w:rPr>
        <w:t xml:space="preserve"> להשתמר בקרקע שכן דרכו, הא דנקט מקצת עליו מגולין - משום ניטלין בשבת נקט לה, ולאו משום מידי אחריני, דאי אין מקצת עליו מגולין - אין לו במה לאוחזה, אלא אם כן מזיז העפר בידים, רש"י.</w:t>
      </w:r>
    </w:p>
  </w:footnote>
  <w:footnote w:id="1938">
    <w:p w14:paraId="6CEDE13F" w14:textId="77777777" w:rsidR="000B7221" w:rsidRPr="008C1C8E" w:rsidRDefault="000B7221"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דאין זו שתילה, רש"י.</w:t>
      </w:r>
    </w:p>
  </w:footnote>
  <w:footnote w:id="1939">
    <w:p w14:paraId="7CE72039" w14:textId="77777777" w:rsidR="000B7221" w:rsidRPr="008C1C8E" w:rsidRDefault="000B7221"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דנימא בטלה לה אגב קרקע, והרי הוא כלוקטה מתחלה, ויהא צריך לעשר על הנוסף, שמא ניתוסף, רש"י.</w:t>
      </w:r>
    </w:p>
  </w:footnote>
  <w:footnote w:id="1940">
    <w:p w14:paraId="49CC321A" w14:textId="77777777" w:rsidR="000B7221" w:rsidRPr="008C1C8E" w:rsidRDefault="000B7221"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שאוחזה במקצת עליה המגולין, ולא חייש אם העפר ניזוז מאליו, והוא הדין לסליקוסתא, רש"י.</w:t>
      </w:r>
    </w:p>
  </w:footnote>
  <w:footnote w:id="1941">
    <w:p w14:paraId="4863678F" w14:textId="58967551" w:rsidR="00645110" w:rsidRDefault="00645110" w:rsidP="00285819">
      <w:pPr>
        <w:pStyle w:val="a7"/>
      </w:pPr>
      <w:r>
        <w:rPr>
          <w:rStyle w:val="a9"/>
        </w:rPr>
        <w:footnoteRef/>
      </w:r>
      <w:r>
        <w:rPr>
          <w:rtl/>
        </w:rPr>
        <w:t xml:space="preserve"> </w:t>
      </w:r>
      <w:r w:rsidRPr="00645110">
        <w:rPr>
          <w:rFonts w:cs="Arial"/>
          <w:rtl/>
        </w:rPr>
        <w:t>צנון שטומנין בקרקע להתקיים, כשבא לחלצו מלמעלה למטה - שרי אם היה ראשה מלמעלה ועוקצה מלמטה, וחולצה מראשה העבה תחילה ועוקצה נמשך אחריה - מותר</w:t>
      </w:r>
      <w:r w:rsidR="009241A7">
        <w:rPr>
          <w:rFonts w:cs="Arial" w:hint="cs"/>
          <w:rtl/>
        </w:rPr>
        <w:t>,</w:t>
      </w:r>
      <w:r w:rsidRPr="00645110">
        <w:rPr>
          <w:rFonts w:cs="Arial"/>
          <w:rtl/>
        </w:rPr>
        <w:t xml:space="preserve"> לפי שהגומא רחבה מלמעלה ואין מזיזין הקרקע כשהוא שומטה</w:t>
      </w:r>
      <w:r w:rsidR="009241A7">
        <w:rPr>
          <w:rFonts w:cs="Arial" w:hint="cs"/>
          <w:rtl/>
        </w:rPr>
        <w:t>.</w:t>
      </w:r>
      <w:r w:rsidRPr="00645110">
        <w:rPr>
          <w:rFonts w:cs="Arial"/>
          <w:rtl/>
        </w:rPr>
        <w:t xml:space="preserve"> אבל אם חולצה מלמטה למעלה, שתחתונה נתון למעלה וראש עליונה שהוא עב נתון למטה, והוא שומטה מסופה לראשה - אסור, לפי שהגומא קצרה מלמעלה, וכשהוא חולצה מזיז העפר ומטלטלו, ואע</w:t>
      </w:r>
      <w:r w:rsidR="009241A7">
        <w:rPr>
          <w:rFonts w:cs="Arial" w:hint="cs"/>
          <w:rtl/>
        </w:rPr>
        <w:t>"</w:t>
      </w:r>
      <w:r w:rsidRPr="00645110">
        <w:rPr>
          <w:rFonts w:cs="Arial"/>
          <w:rtl/>
        </w:rPr>
        <w:t>ג דטלטול מן הצד הוא - שמיה טלטול, ואסור</w:t>
      </w:r>
      <w:r>
        <w:rPr>
          <w:rFonts w:cs="Arial" w:hint="cs"/>
          <w:rtl/>
        </w:rPr>
        <w:t>, רש"י.</w:t>
      </w:r>
    </w:p>
  </w:footnote>
  <w:footnote w:id="1942">
    <w:p w14:paraId="0DAAD4D7" w14:textId="17496884" w:rsidR="00645110" w:rsidRDefault="00645110" w:rsidP="00285819">
      <w:pPr>
        <w:pStyle w:val="a7"/>
      </w:pPr>
      <w:r>
        <w:rPr>
          <w:rStyle w:val="a9"/>
        </w:rPr>
        <w:footnoteRef/>
      </w:r>
      <w:r>
        <w:rPr>
          <w:rtl/>
        </w:rPr>
        <w:t xml:space="preserve"> </w:t>
      </w:r>
      <w:r w:rsidRPr="00645110">
        <w:rPr>
          <w:rFonts w:cs="Arial"/>
          <w:rtl/>
        </w:rPr>
        <w:t>דאילו ממתניתין שמעינן דלא שמיה טלטול, דקתני: מנענעו בגופו</w:t>
      </w:r>
      <w:r>
        <w:rPr>
          <w:rFonts w:cs="Arial" w:hint="cs"/>
          <w:rtl/>
        </w:rPr>
        <w:t>, רש"י.</w:t>
      </w:r>
    </w:p>
  </w:footnote>
  <w:footnote w:id="1943">
    <w:p w14:paraId="1DF8494A" w14:textId="5F8726B3" w:rsidR="00FB5B2E" w:rsidRDefault="00FB5B2E" w:rsidP="00285819">
      <w:pPr>
        <w:pStyle w:val="a7"/>
        <w:rPr>
          <w:rtl/>
        </w:rPr>
      </w:pPr>
      <w:r>
        <w:rPr>
          <w:rStyle w:val="a9"/>
        </w:rPr>
        <w:footnoteRef/>
      </w:r>
      <w:r>
        <w:rPr>
          <w:rtl/>
        </w:rPr>
        <w:t xml:space="preserve"> </w:t>
      </w:r>
      <w:r w:rsidRPr="00FB5B2E">
        <w:rPr>
          <w:rFonts w:cs="Arial"/>
          <w:rtl/>
        </w:rPr>
        <w:t>וסתמא להסקה, ומוקצה הוא, ובא לשכב עליו ומנענעו כדי שיהא צף ורך לשכב</w:t>
      </w:r>
      <w:r>
        <w:rPr>
          <w:rFonts w:hint="cs"/>
          <w:rtl/>
        </w:rPr>
        <w:t>, רש"י.</w:t>
      </w:r>
    </w:p>
  </w:footnote>
  <w:footnote w:id="1944">
    <w:p w14:paraId="6BB85202" w14:textId="2AC9DD96" w:rsidR="00FB5B2E" w:rsidRDefault="00FB5B2E" w:rsidP="00285819">
      <w:pPr>
        <w:pStyle w:val="a7"/>
        <w:rPr>
          <w:rtl/>
        </w:rPr>
      </w:pPr>
      <w:r>
        <w:rPr>
          <w:rStyle w:val="a9"/>
        </w:rPr>
        <w:footnoteRef/>
      </w:r>
      <w:r>
        <w:rPr>
          <w:rtl/>
        </w:rPr>
        <w:t xml:space="preserve"> </w:t>
      </w:r>
      <w:r w:rsidRPr="00FB5B2E">
        <w:rPr>
          <w:rFonts w:cs="Arial"/>
          <w:rtl/>
        </w:rPr>
        <w:t>בכתפיו, וטלטול מן הצד הוא, דלא שמיה טלטול</w:t>
      </w:r>
      <w:r>
        <w:rPr>
          <w:rFonts w:hint="cs"/>
          <w:rtl/>
        </w:rPr>
        <w:t>, רש"י.</w:t>
      </w:r>
    </w:p>
  </w:footnote>
  <w:footnote w:id="1945">
    <w:p w14:paraId="36D72C06" w14:textId="230174F4" w:rsidR="00032C79" w:rsidRPr="00D66CC5" w:rsidRDefault="00032C79" w:rsidP="00285819">
      <w:pPr>
        <w:pStyle w:val="a7"/>
      </w:pPr>
      <w:r>
        <w:rPr>
          <w:rStyle w:val="a9"/>
        </w:rPr>
        <w:footnoteRef/>
      </w:r>
      <w:r w:rsidR="00FC3527">
        <w:rPr>
          <w:rFonts w:cs="Arial" w:hint="cs"/>
          <w:rtl/>
        </w:rPr>
        <w:t xml:space="preserve"> </w:t>
      </w:r>
      <w:r w:rsidR="00FC3527" w:rsidRPr="00FC3527">
        <w:rPr>
          <w:rFonts w:cs="Arial"/>
          <w:rtl/>
        </w:rPr>
        <w:t>ולמדנו מדבריהם דאפי</w:t>
      </w:r>
      <w:r w:rsidR="00FC3527">
        <w:rPr>
          <w:rFonts w:cs="Arial" w:hint="cs"/>
          <w:rtl/>
        </w:rPr>
        <w:t>'</w:t>
      </w:r>
      <w:r w:rsidR="00FC3527" w:rsidRPr="00FC3527">
        <w:rPr>
          <w:rFonts w:cs="Arial"/>
          <w:rtl/>
        </w:rPr>
        <w:t xml:space="preserve"> לדידן דקי</w:t>
      </w:r>
      <w:r w:rsidR="00FC3527">
        <w:rPr>
          <w:rFonts w:cs="Arial" w:hint="cs"/>
          <w:rtl/>
        </w:rPr>
        <w:t>י"</w:t>
      </w:r>
      <w:r w:rsidR="00FC3527" w:rsidRPr="00FC3527">
        <w:rPr>
          <w:rFonts w:cs="Arial"/>
          <w:rtl/>
        </w:rPr>
        <w:t>ל טלטול מן הצד לצורך דבר היתר מותר היינו דוקא בשוכח או במניח על מנת ליטול בשבת</w:t>
      </w:r>
      <w:r w:rsidR="00FC3527" w:rsidRPr="00FC3527">
        <w:rPr>
          <w:rFonts w:cs="Arial" w:hint="cs"/>
          <w:rtl/>
        </w:rPr>
        <w:t>,</w:t>
      </w:r>
      <w:r w:rsidR="00FC3527" w:rsidRPr="00FC3527">
        <w:rPr>
          <w:rFonts w:cs="Arial"/>
          <w:rtl/>
        </w:rPr>
        <w:t xml:space="preserve"> אבל מניח ליטול אחר השבת מלמטה למעלה </w:t>
      </w:r>
      <w:r w:rsidR="00FC3527" w:rsidRPr="00FC3527">
        <w:rPr>
          <w:rFonts w:cs="Arial" w:hint="cs"/>
          <w:rtl/>
        </w:rPr>
        <w:t xml:space="preserve">- </w:t>
      </w:r>
      <w:r w:rsidR="00FC3527" w:rsidRPr="00FC3527">
        <w:rPr>
          <w:rFonts w:cs="Arial"/>
          <w:rtl/>
        </w:rPr>
        <w:t>אסור במכל שכן דניעור</w:t>
      </w:r>
      <w:r w:rsidR="00FC3527">
        <w:rPr>
          <w:rFonts w:hint="cs"/>
          <w:rtl/>
        </w:rPr>
        <w:t>,</w:t>
      </w:r>
      <w:r w:rsidR="00FC3527" w:rsidRPr="00D66CC5">
        <w:rPr>
          <w:rFonts w:hint="cs"/>
          <w:rtl/>
        </w:rPr>
        <w:t xml:space="preserve"> ב"י.</w:t>
      </w:r>
    </w:p>
  </w:footnote>
  <w:footnote w:id="1946">
    <w:p w14:paraId="3237C8A3" w14:textId="3858DDEB" w:rsidR="006D04FF" w:rsidRDefault="006D04FF" w:rsidP="00285819">
      <w:pPr>
        <w:pStyle w:val="a7"/>
      </w:pPr>
      <w:r>
        <w:rPr>
          <w:rStyle w:val="a9"/>
        </w:rPr>
        <w:footnoteRef/>
      </w:r>
      <w:r>
        <w:rPr>
          <w:rtl/>
        </w:rPr>
        <w:t xml:space="preserve"> </w:t>
      </w:r>
      <w:r w:rsidRPr="006D04FF">
        <w:rPr>
          <w:rFonts w:cs="Arial"/>
          <w:rtl/>
        </w:rPr>
        <w:t>וטענה זו אפשר דמהניא גם לפגה שטמנה בתבן שלא נעשית הפגה בסיס לתבן אלא לצורך שתתבשל בתבן ולסלקה אח</w:t>
      </w:r>
      <w:r w:rsidRPr="006D04FF">
        <w:rPr>
          <w:rFonts w:cs="Arial" w:hint="cs"/>
          <w:rtl/>
        </w:rPr>
        <w:t>"</w:t>
      </w:r>
      <w:r w:rsidRPr="006D04FF">
        <w:rPr>
          <w:rFonts w:cs="Arial"/>
          <w:rtl/>
        </w:rPr>
        <w:t>כ</w:t>
      </w:r>
      <w:r w:rsidRPr="006D04FF">
        <w:rPr>
          <w:rFonts w:cs="Arial" w:hint="cs"/>
          <w:rtl/>
        </w:rPr>
        <w:t>.</w:t>
      </w:r>
      <w:r w:rsidRPr="006D04FF">
        <w:rPr>
          <w:rFonts w:cs="Arial"/>
          <w:rtl/>
        </w:rPr>
        <w:t xml:space="preserve"> ואפשר שדעת הפוסקים כן ומשום הכי סתמו דבריהם ולא חילקו בדין זה בין שוכח למניח</w:t>
      </w:r>
      <w:r w:rsidRPr="006D04FF">
        <w:rPr>
          <w:rFonts w:cs="Arial" w:hint="cs"/>
          <w:rtl/>
        </w:rPr>
        <w:t>.</w:t>
      </w:r>
      <w:r w:rsidRPr="006D04FF">
        <w:rPr>
          <w:rFonts w:cs="Arial"/>
          <w:rtl/>
        </w:rPr>
        <w:t xml:space="preserve"> ואע</w:t>
      </w:r>
      <w:r w:rsidRPr="006D04FF">
        <w:rPr>
          <w:rFonts w:cs="Arial" w:hint="cs"/>
          <w:rtl/>
        </w:rPr>
        <w:t>"</w:t>
      </w:r>
      <w:r w:rsidRPr="006D04FF">
        <w:rPr>
          <w:rFonts w:cs="Arial"/>
          <w:rtl/>
        </w:rPr>
        <w:t>פ שאפשר לומר שסמכו על מה שכתבו באבן על פי חבית ומעות שעל הכר דדוקא בשוכח מותר ולא במניח וכל שכן לטלטל מן הצד דאסור במניח</w:t>
      </w:r>
      <w:r w:rsidRPr="006D04FF">
        <w:rPr>
          <w:rFonts w:cs="Arial" w:hint="cs"/>
          <w:rtl/>
        </w:rPr>
        <w:t>,</w:t>
      </w:r>
      <w:r w:rsidRPr="006D04FF">
        <w:rPr>
          <w:rFonts w:cs="Arial"/>
          <w:rtl/>
        </w:rPr>
        <w:t xml:space="preserve"> כיון דמוקצה דרבנן הוא ויש צד לומר שהפוסקים סוברים להקל</w:t>
      </w:r>
      <w:r w:rsidRPr="006D04FF">
        <w:rPr>
          <w:rFonts w:cs="Arial" w:hint="cs"/>
          <w:rtl/>
        </w:rPr>
        <w:t xml:space="preserve"> -</w:t>
      </w:r>
      <w:r w:rsidRPr="006D04FF">
        <w:rPr>
          <w:rFonts w:cs="Arial"/>
          <w:rtl/>
        </w:rPr>
        <w:t xml:space="preserve"> הכי נקטינן</w:t>
      </w:r>
      <w:r>
        <w:rPr>
          <w:rFonts w:cs="Arial" w:hint="cs"/>
          <w:rtl/>
        </w:rPr>
        <w:t>, ב"י.</w:t>
      </w:r>
    </w:p>
  </w:footnote>
  <w:footnote w:id="1947">
    <w:p w14:paraId="07AC975F" w14:textId="0C7942B9" w:rsidR="00D66CC5" w:rsidRDefault="00D66CC5" w:rsidP="00285819">
      <w:pPr>
        <w:pStyle w:val="a7"/>
      </w:pPr>
      <w:r w:rsidRPr="00D66CC5">
        <w:rPr>
          <w:rStyle w:val="a9"/>
        </w:rPr>
        <w:footnoteRef/>
      </w:r>
      <w:r w:rsidRPr="00D66CC5">
        <w:rPr>
          <w:rFonts w:cs="Arial"/>
          <w:rtl/>
        </w:rPr>
        <w:t xml:space="preserve"> וכתב ב</w:t>
      </w:r>
      <w:r w:rsidRPr="00D66CC5">
        <w:rPr>
          <w:rFonts w:cs="Arial" w:hint="cs"/>
          <w:rtl/>
        </w:rPr>
        <w:t>"י</w:t>
      </w:r>
      <w:r w:rsidRPr="00D66CC5">
        <w:rPr>
          <w:rFonts w:cs="Arial"/>
          <w:rtl/>
        </w:rPr>
        <w:t xml:space="preserve"> דכן דעת הפוסקים שסתמו דבריהם</w:t>
      </w:r>
      <w:r w:rsidRPr="00D66CC5">
        <w:rPr>
          <w:rFonts w:cs="Arial" w:hint="cs"/>
          <w:rtl/>
        </w:rPr>
        <w:t>,</w:t>
      </w:r>
      <w:r w:rsidRPr="00D66CC5">
        <w:rPr>
          <w:rFonts w:cs="Arial"/>
          <w:rtl/>
        </w:rPr>
        <w:t xml:space="preserve"> והכי נקטינן</w:t>
      </w:r>
      <w:r w:rsidRPr="00D66CC5">
        <w:rPr>
          <w:rFonts w:cs="Arial" w:hint="cs"/>
          <w:rtl/>
        </w:rPr>
        <w:t xml:space="preserve">, דרכ"מ </w:t>
      </w:r>
      <w:r w:rsidRPr="00D66CC5">
        <w:rPr>
          <w:rFonts w:cs="Arial" w:hint="cs"/>
          <w:sz w:val="16"/>
          <w:szCs w:val="16"/>
          <w:rtl/>
        </w:rPr>
        <w:t>(או</w:t>
      </w:r>
      <w:r w:rsidRPr="00FC3527">
        <w:rPr>
          <w:rFonts w:cs="Arial" w:hint="cs"/>
          <w:sz w:val="16"/>
          <w:szCs w:val="16"/>
          <w:rtl/>
        </w:rPr>
        <w:t>ת ח)</w:t>
      </w:r>
      <w:r>
        <w:rPr>
          <w:rFonts w:cs="Arial" w:hint="cs"/>
          <w:rtl/>
        </w:rPr>
        <w:t>.</w:t>
      </w:r>
    </w:p>
  </w:footnote>
  <w:footnote w:id="1948">
    <w:p w14:paraId="1AC754BE" w14:textId="2D9622E3" w:rsidR="00251E63" w:rsidRDefault="00251E63" w:rsidP="00285819">
      <w:pPr>
        <w:pStyle w:val="a7"/>
      </w:pPr>
      <w:r>
        <w:rPr>
          <w:rStyle w:val="a9"/>
        </w:rPr>
        <w:footnoteRef/>
      </w:r>
      <w:r>
        <w:rPr>
          <w:rtl/>
        </w:rPr>
        <w:t xml:space="preserve"> </w:t>
      </w:r>
      <w:r w:rsidRPr="00251E63">
        <w:rPr>
          <w:rFonts w:cs="Arial"/>
          <w:rtl/>
        </w:rPr>
        <w:t>דאי לא היו העלין מגולין כלל הרי בע"כ מזיז עפר בידים ואסור ואפילו אם ירצה לתחוב מחט או כוש דרך העפר בצנון וליטלו וכמו בס"ט ג"כ אסור דנראה כעושה גומא [מ"מ]</w:t>
      </w:r>
      <w:r>
        <w:rPr>
          <w:rFonts w:cs="Arial" w:hint="cs"/>
          <w:rtl/>
        </w:rPr>
        <w:t>.</w:t>
      </w:r>
      <w:r w:rsidRPr="00251E63">
        <w:rPr>
          <w:rFonts w:cs="Arial"/>
          <w:rtl/>
        </w:rPr>
        <w:t xml:space="preserve"> ויש מקילין ע"י תחיבת מחט וכוש</w:t>
      </w:r>
      <w:r>
        <w:rPr>
          <w:rFonts w:cs="Arial" w:hint="cs"/>
          <w:rtl/>
        </w:rPr>
        <w:t xml:space="preserve"> </w:t>
      </w:r>
      <w:r>
        <w:rPr>
          <w:rFonts w:cs="Arial" w:hint="cs"/>
          <w:sz w:val="16"/>
          <w:szCs w:val="16"/>
          <w:rtl/>
        </w:rPr>
        <w:t>(</w:t>
      </w:r>
      <w:r w:rsidRPr="00251E63">
        <w:rPr>
          <w:rFonts w:cs="Arial"/>
          <w:sz w:val="16"/>
          <w:szCs w:val="16"/>
          <w:rtl/>
        </w:rPr>
        <w:t>עיין במג</w:t>
      </w:r>
      <w:r>
        <w:rPr>
          <w:rFonts w:cs="Arial" w:hint="cs"/>
          <w:sz w:val="16"/>
          <w:szCs w:val="16"/>
          <w:rtl/>
        </w:rPr>
        <w:t>"</w:t>
      </w:r>
      <w:r w:rsidRPr="00251E63">
        <w:rPr>
          <w:rFonts w:cs="Arial"/>
          <w:sz w:val="16"/>
          <w:szCs w:val="16"/>
          <w:rtl/>
        </w:rPr>
        <w:t>א שהקשה על המגיד משנה מירושלמי, ועיין באליה רבה שכתב שאין מוכרח מירושלמי, ומכל מקום כתב לבסוף שדעת הריא"ז גם כן כהמ</w:t>
      </w:r>
      <w:r>
        <w:rPr>
          <w:rFonts w:cs="Arial" w:hint="cs"/>
          <w:sz w:val="16"/>
          <w:szCs w:val="16"/>
          <w:rtl/>
        </w:rPr>
        <w:t>ג"</w:t>
      </w:r>
      <w:r w:rsidRPr="00251E63">
        <w:rPr>
          <w:rFonts w:cs="Arial"/>
          <w:sz w:val="16"/>
          <w:szCs w:val="16"/>
          <w:rtl/>
        </w:rPr>
        <w:t>א להקל בזה</w:t>
      </w:r>
      <w:r>
        <w:rPr>
          <w:rFonts w:cs="Arial" w:hint="cs"/>
          <w:sz w:val="16"/>
          <w:szCs w:val="16"/>
          <w:rtl/>
        </w:rPr>
        <w:t>, שעה"צ [סקל"ב])</w:t>
      </w:r>
      <w:r>
        <w:rPr>
          <w:rFonts w:cs="Arial" w:hint="cs"/>
          <w:rtl/>
        </w:rPr>
        <w:t>, משנ"ב (סקכ"ה).</w:t>
      </w:r>
    </w:p>
  </w:footnote>
  <w:footnote w:id="1949">
    <w:p w14:paraId="6E89CB77" w14:textId="54FF0AB2" w:rsidR="00251E63" w:rsidRDefault="00251E63" w:rsidP="00285819">
      <w:pPr>
        <w:pStyle w:val="a7"/>
      </w:pPr>
      <w:r>
        <w:rPr>
          <w:rStyle w:val="a9"/>
        </w:rPr>
        <w:footnoteRef/>
      </w:r>
      <w:r>
        <w:rPr>
          <w:rtl/>
        </w:rPr>
        <w:t xml:space="preserve"> </w:t>
      </w:r>
      <w:r w:rsidRPr="00251E63">
        <w:rPr>
          <w:rFonts w:cs="Arial"/>
          <w:rtl/>
        </w:rPr>
        <w:t>דאם היה נתכוין לזריעה אף שלא השריש אסור כיון שמתחלה היה רוצה בהשרשתן וטמונין בקרקע כדרך הזריעה ועיין במ"א שהקשה ע"ז מהא דקי"ל בגמרא [והובא לעיל בסימן ש"י ס"ב] דחטין שזרען בקרקע ועדיין לא השרישו דמותר ללקטן ולאכלן ומ"מ אין לזוז מפסק המחבר דכן נמצא בכמה ראשונים [הרוקח והרמב"ן בחידושיו והמאירי] וההיא דלעיל תירץ המאירי דמיירי כשלא היו הזרעים עדיין מכוסין בעפר</w:t>
      </w:r>
      <w:r>
        <w:rPr>
          <w:rFonts w:cs="Arial" w:hint="cs"/>
          <w:rtl/>
        </w:rPr>
        <w:t>, משנ"ב (סקכ"ז).</w:t>
      </w:r>
    </w:p>
  </w:footnote>
  <w:footnote w:id="1950">
    <w:p w14:paraId="534B6B2C" w14:textId="30B5DAF9" w:rsidR="00251E63" w:rsidRDefault="00251E63" w:rsidP="00285819">
      <w:pPr>
        <w:pStyle w:val="a7"/>
      </w:pPr>
      <w:r>
        <w:rPr>
          <w:rStyle w:val="a9"/>
        </w:rPr>
        <w:footnoteRef/>
      </w:r>
      <w:r>
        <w:rPr>
          <w:rtl/>
        </w:rPr>
        <w:t xml:space="preserve"> </w:t>
      </w:r>
      <w:r w:rsidRPr="00251E63">
        <w:rPr>
          <w:rFonts w:cs="Arial"/>
          <w:rtl/>
        </w:rPr>
        <w:t>כתבו האחרונים דההיתר דלקיחת הצנון מהארץ מיירי כשטמונין בשדה דאי בבית אסור שמא יבא להשוות אח"כ הגומות שבקרקע הבית שנעשה עי"ז [ואך אם הם טמונין בחול ועפר שמונחין בקרן זוית והכניסן לעשות בו צרכיו מותר להוציאן ואפילו לא היה מגולה כלל מלמעלה וכמו שנתבאר לעיל בסימן ש"ח סל"ח וע"ז רמז בהג"ה בס"ט] וכעין זה איתא בגמרא ג"כ גבי עמודים של אורג שהיו תקועין בקרקע הבית שאסור לטלטלן ממקומן שמא יבא להשוות הגומות אח"כ</w:t>
      </w:r>
      <w:r>
        <w:rPr>
          <w:rFonts w:cs="Arial" w:hint="cs"/>
          <w:rtl/>
        </w:rPr>
        <w:t>, משנ"ב (סקכ"ח).</w:t>
      </w:r>
    </w:p>
  </w:footnote>
  <w:footnote w:id="1951">
    <w:p w14:paraId="15EE59C9" w14:textId="47861D4C" w:rsidR="00251E63" w:rsidRDefault="00251E63" w:rsidP="00285819">
      <w:pPr>
        <w:pStyle w:val="a7"/>
      </w:pPr>
      <w:r>
        <w:rPr>
          <w:rStyle w:val="a9"/>
        </w:rPr>
        <w:footnoteRef/>
      </w:r>
      <w:r>
        <w:rPr>
          <w:rtl/>
        </w:rPr>
        <w:t xml:space="preserve"> </w:t>
      </w:r>
      <w:r w:rsidRPr="00251E63">
        <w:rPr>
          <w:rFonts w:cs="Arial"/>
          <w:rtl/>
        </w:rPr>
        <w:t>ר"ל דבאוכלין אלו לא שייך בסיס דהלא לא היתה כונתו בהטמנה שיהא האוכל משמש להעפר אלא אדרבה שיהא העפר משמש להאוכל וה"ה לענין פירות הטמונין בתבן דלקמיה אפי' היה דעתו שישארו שם כל השבת ג"כ לא נעשו הפירות בסיס להתבן שעל גבן מטעם הנ"ל</w:t>
      </w:r>
      <w:r>
        <w:rPr>
          <w:rFonts w:cs="Arial" w:hint="cs"/>
          <w:rtl/>
        </w:rPr>
        <w:t>, משנ"ב (סקכ"ט).</w:t>
      </w:r>
    </w:p>
  </w:footnote>
  <w:footnote w:id="1952">
    <w:p w14:paraId="434D0FE1" w14:textId="77777777" w:rsidR="00D47EF3" w:rsidRDefault="00D47EF3" w:rsidP="00285819">
      <w:pPr>
        <w:pStyle w:val="a7"/>
      </w:pPr>
      <w:r>
        <w:rPr>
          <w:rStyle w:val="a9"/>
        </w:rPr>
        <w:footnoteRef/>
      </w:r>
      <w:r>
        <w:rPr>
          <w:rtl/>
        </w:rPr>
        <w:t xml:space="preserve"> </w:t>
      </w:r>
      <w:r w:rsidRPr="00755C64">
        <w:rPr>
          <w:rFonts w:cs="Arial"/>
          <w:rtl/>
        </w:rPr>
        <w:t>תאנה שלא בשלה כל צרכה, וטומנין בתבן להתבשל, ותבן מוקצה הוי לטיט</w:t>
      </w:r>
      <w:r>
        <w:rPr>
          <w:rFonts w:cs="Arial" w:hint="cs"/>
          <w:rtl/>
        </w:rPr>
        <w:t>, רש"י.</w:t>
      </w:r>
    </w:p>
  </w:footnote>
  <w:footnote w:id="1953">
    <w:p w14:paraId="7E66F30A" w14:textId="77777777" w:rsidR="00D47EF3" w:rsidRDefault="00D47EF3" w:rsidP="00285819">
      <w:pPr>
        <w:pStyle w:val="a7"/>
      </w:pPr>
      <w:r>
        <w:rPr>
          <w:rStyle w:val="a9"/>
        </w:rPr>
        <w:footnoteRef/>
      </w:r>
      <w:r>
        <w:rPr>
          <w:rtl/>
        </w:rPr>
        <w:t xml:space="preserve"> </w:t>
      </w:r>
      <w:r w:rsidRPr="00755C64">
        <w:rPr>
          <w:rFonts w:cs="Arial"/>
          <w:rtl/>
        </w:rPr>
        <w:t>שיכול לאוחזה במקום המגולה, דאפילו טלטול מן הצד ליכא, שאין צריך להגביה התבן אלא מגביה מקום המגולה, והתבן נשמט ונופל</w:t>
      </w:r>
      <w:r>
        <w:rPr>
          <w:rFonts w:cs="Arial" w:hint="cs"/>
          <w:rtl/>
        </w:rPr>
        <w:t>, רש"י.</w:t>
      </w:r>
    </w:p>
  </w:footnote>
  <w:footnote w:id="1954">
    <w:p w14:paraId="4E86D1B3" w14:textId="77777777" w:rsidR="00D47EF3" w:rsidRDefault="00D47EF3" w:rsidP="00285819">
      <w:pPr>
        <w:pStyle w:val="a7"/>
      </w:pPr>
      <w:r>
        <w:rPr>
          <w:rStyle w:val="a9"/>
        </w:rPr>
        <w:footnoteRef/>
      </w:r>
      <w:r>
        <w:rPr>
          <w:rtl/>
        </w:rPr>
        <w:t xml:space="preserve"> </w:t>
      </w:r>
      <w:r w:rsidRPr="00755C64">
        <w:rPr>
          <w:rFonts w:cs="Arial"/>
          <w:rtl/>
        </w:rPr>
        <w:t>צנון תלוש שהטמינו בארץ ונתגלה ראשו</w:t>
      </w:r>
      <w:r>
        <w:rPr>
          <w:rFonts w:cs="Arial" w:hint="cs"/>
          <w:rtl/>
        </w:rPr>
        <w:t>, רש"י.</w:t>
      </w:r>
    </w:p>
  </w:footnote>
  <w:footnote w:id="1955">
    <w:p w14:paraId="25279EAA" w14:textId="77777777" w:rsidR="00D47EF3" w:rsidRDefault="00D47EF3" w:rsidP="00285819">
      <w:pPr>
        <w:pStyle w:val="a7"/>
        <w:rPr>
          <w:rtl/>
        </w:rPr>
      </w:pPr>
      <w:r>
        <w:rPr>
          <w:rStyle w:val="a9"/>
        </w:rPr>
        <w:footnoteRef/>
      </w:r>
      <w:r>
        <w:rPr>
          <w:rtl/>
        </w:rPr>
        <w:t xml:space="preserve"> </w:t>
      </w:r>
      <w:r w:rsidRPr="00755C64">
        <w:rPr>
          <w:rFonts w:cs="Arial"/>
          <w:rtl/>
        </w:rPr>
        <w:t>אם היה העליון שלה למעלה והקצר למטה, וכשהוא שולפה חולצה מעליון שלה לתחתון שלה, ורוחב הצנון למעלה - מותר, דליכא טלטול לעפר כלל, שהרי נתגלה ראשו</w:t>
      </w:r>
      <w:r>
        <w:rPr>
          <w:rFonts w:hint="cs"/>
          <w:rtl/>
        </w:rPr>
        <w:t>, רש"י.</w:t>
      </w:r>
    </w:p>
  </w:footnote>
  <w:footnote w:id="1956">
    <w:p w14:paraId="7BFEA30A" w14:textId="77777777" w:rsidR="00D47EF3" w:rsidRDefault="00D47EF3" w:rsidP="00285819">
      <w:pPr>
        <w:pStyle w:val="a7"/>
      </w:pPr>
      <w:r>
        <w:rPr>
          <w:rStyle w:val="a9"/>
        </w:rPr>
        <w:footnoteRef/>
      </w:r>
      <w:r>
        <w:rPr>
          <w:rtl/>
        </w:rPr>
        <w:t xml:space="preserve"> </w:t>
      </w:r>
      <w:r w:rsidRPr="00755C64">
        <w:rPr>
          <w:rFonts w:cs="Arial"/>
          <w:rtl/>
        </w:rPr>
        <w:t>שמזיז עפר, לפי שהגומא קצרה מלמעלה, ורוחב הצנון מלמטה, ואף על גב דטלטול עפר מן הצד הוא, שאינו אוחזו ממש בידו</w:t>
      </w:r>
      <w:r>
        <w:rPr>
          <w:rFonts w:cs="Arial" w:hint="cs"/>
          <w:rtl/>
        </w:rPr>
        <w:t>, רש"י.</w:t>
      </w:r>
    </w:p>
  </w:footnote>
  <w:footnote w:id="1957">
    <w:p w14:paraId="02F3AEAA" w14:textId="2283A475" w:rsidR="004D6548" w:rsidRDefault="004D6548" w:rsidP="00285819">
      <w:pPr>
        <w:pStyle w:val="a7"/>
      </w:pPr>
      <w:r>
        <w:rPr>
          <w:rStyle w:val="a9"/>
        </w:rPr>
        <w:footnoteRef/>
      </w:r>
      <w:r>
        <w:rPr>
          <w:rtl/>
        </w:rPr>
        <w:t xml:space="preserve"> </w:t>
      </w:r>
      <w:r w:rsidRPr="00B9602D">
        <w:rPr>
          <w:rFonts w:cs="Arial"/>
          <w:rtl/>
        </w:rPr>
        <w:t>פירש רש"י (עירובין עז.) והוא שכבו עכשיו הגחלים</w:t>
      </w:r>
      <w:r w:rsidRPr="00B9602D">
        <w:rPr>
          <w:rFonts w:cs="Arial" w:hint="cs"/>
          <w:rtl/>
        </w:rPr>
        <w:t>.</w:t>
      </w:r>
      <w:r w:rsidRPr="00B9602D">
        <w:rPr>
          <w:rFonts w:cs="Arial"/>
          <w:rtl/>
        </w:rPr>
        <w:t xml:space="preserve"> הא בשלא כבו </w:t>
      </w:r>
      <w:r w:rsidRPr="00B9602D">
        <w:rPr>
          <w:rFonts w:cs="Arial" w:hint="cs"/>
          <w:rtl/>
        </w:rPr>
        <w:t xml:space="preserve">- </w:t>
      </w:r>
      <w:r w:rsidRPr="00B9602D">
        <w:rPr>
          <w:rFonts w:cs="Arial"/>
          <w:rtl/>
        </w:rPr>
        <w:t>לא</w:t>
      </w:r>
      <w:r w:rsidRPr="00B9602D">
        <w:rPr>
          <w:rFonts w:cs="Arial" w:hint="cs"/>
          <w:rtl/>
        </w:rPr>
        <w:t>,</w:t>
      </w:r>
      <w:r w:rsidRPr="00B9602D">
        <w:rPr>
          <w:rFonts w:cs="Arial"/>
          <w:rtl/>
        </w:rPr>
        <w:t xml:space="preserve"> דמתוך שנהפכין מכבה העליונות ומבעיר התחתונות (כדאיתא בכריתות כ.)</w:t>
      </w:r>
      <w:r w:rsidRPr="00B9602D">
        <w:rPr>
          <w:rFonts w:cs="Arial" w:hint="cs"/>
          <w:rtl/>
        </w:rPr>
        <w:t>,</w:t>
      </w:r>
      <w:r w:rsidRPr="00B9602D">
        <w:rPr>
          <w:rFonts w:cs="Arial"/>
          <w:rtl/>
        </w:rPr>
        <w:t xml:space="preserve"> וכן כתב הרשב"א (שם ד"ה וחררה)</w:t>
      </w:r>
      <w:r w:rsidRPr="00B9602D">
        <w:rPr>
          <w:rFonts w:cs="Arial" w:hint="cs"/>
          <w:rtl/>
        </w:rPr>
        <w:t>,</w:t>
      </w:r>
      <w:r w:rsidRPr="00B9602D">
        <w:rPr>
          <w:rFonts w:cs="Arial"/>
          <w:rtl/>
        </w:rPr>
        <w:t xml:space="preserve"> </w:t>
      </w:r>
      <w:r w:rsidRPr="00B9602D">
        <w:rPr>
          <w:rFonts w:cs="Arial"/>
          <w:b/>
          <w:bCs/>
          <w:rtl/>
        </w:rPr>
        <w:t>הה</w:t>
      </w:r>
      <w:r w:rsidRPr="00B9602D">
        <w:rPr>
          <w:rFonts w:cs="Arial" w:hint="cs"/>
          <w:b/>
          <w:bCs/>
          <w:rtl/>
        </w:rPr>
        <w:t>"</w:t>
      </w:r>
      <w:r w:rsidRPr="00B9602D">
        <w:rPr>
          <w:rFonts w:cs="Arial"/>
          <w:b/>
          <w:bCs/>
          <w:rtl/>
        </w:rPr>
        <w:t>מ</w:t>
      </w:r>
      <w:r w:rsidRPr="00B9602D">
        <w:rPr>
          <w:rFonts w:cs="Arial"/>
          <w:rtl/>
        </w:rPr>
        <w:t xml:space="preserve"> </w:t>
      </w:r>
      <w:r w:rsidRPr="00B9602D">
        <w:rPr>
          <w:rFonts w:cs="Arial" w:hint="cs"/>
          <w:rtl/>
        </w:rPr>
        <w:t>(</w:t>
      </w:r>
      <w:r w:rsidRPr="00B9602D">
        <w:rPr>
          <w:rFonts w:cs="Arial"/>
          <w:rtl/>
        </w:rPr>
        <w:t>פכ"ה הי"ד)</w:t>
      </w:r>
      <w:r w:rsidRPr="00B9602D">
        <w:rPr>
          <w:rFonts w:cs="Arial" w:hint="cs"/>
          <w:rtl/>
        </w:rPr>
        <w:t>.</w:t>
      </w:r>
      <w:r w:rsidRPr="00B9602D">
        <w:rPr>
          <w:rFonts w:cs="Arial"/>
          <w:rtl/>
        </w:rPr>
        <w:t xml:space="preserve"> ונראה דמשום הכי השמיט רבינו דין חררה שטמנה בגחלים</w:t>
      </w:r>
      <w:r w:rsidRPr="00B9602D">
        <w:rPr>
          <w:rFonts w:cs="Arial" w:hint="cs"/>
          <w:rtl/>
        </w:rPr>
        <w:t>,</w:t>
      </w:r>
      <w:r w:rsidRPr="00B9602D">
        <w:rPr>
          <w:rFonts w:cs="Arial"/>
          <w:rtl/>
        </w:rPr>
        <w:t xml:space="preserve"> דכיון דבכבו מוקמינן לה לית בה רבותא טפי מבפירות הטמונין בתבן</w:t>
      </w:r>
      <w:r w:rsidRPr="00B9602D">
        <w:rPr>
          <w:rFonts w:cs="Arial" w:hint="cs"/>
          <w:rtl/>
        </w:rPr>
        <w:t>,</w:t>
      </w:r>
      <w:r w:rsidRPr="00B9602D">
        <w:rPr>
          <w:rFonts w:cs="Arial"/>
          <w:rtl/>
        </w:rPr>
        <w:t xml:space="preserve"> ולא רצה לכתבה ולהאריך להתנות דדוקא בכבו גחלים היא כיון דלית בה רבותא</w:t>
      </w:r>
      <w:r>
        <w:rPr>
          <w:rFonts w:cs="Arial" w:hint="cs"/>
          <w:rtl/>
        </w:rPr>
        <w:t xml:space="preserve">. </w:t>
      </w:r>
      <w:r w:rsidRPr="004D6548">
        <w:rPr>
          <w:rFonts w:cs="Arial"/>
          <w:rtl/>
        </w:rPr>
        <w:t xml:space="preserve">והרמב"ם (שם הט"ו) כתב </w:t>
      </w:r>
      <w:r w:rsidRPr="004D6548">
        <w:rPr>
          <w:rFonts w:cs="Arial" w:hint="cs"/>
          <w:rtl/>
        </w:rPr>
        <w:t>'</w:t>
      </w:r>
      <w:r w:rsidRPr="004D6548">
        <w:rPr>
          <w:rFonts w:cs="Arial"/>
          <w:rtl/>
        </w:rPr>
        <w:t xml:space="preserve">חררה </w:t>
      </w:r>
      <w:r w:rsidRPr="004D6548">
        <w:rPr>
          <w:rFonts w:cs="Arial"/>
          <w:b/>
          <w:bCs/>
          <w:rtl/>
        </w:rPr>
        <w:t>שעל גבי</w:t>
      </w:r>
      <w:r w:rsidRPr="004D6548">
        <w:rPr>
          <w:rFonts w:cs="Arial"/>
          <w:rtl/>
        </w:rPr>
        <w:t xml:space="preserve"> גחלים</w:t>
      </w:r>
      <w:r w:rsidRPr="004D6548">
        <w:rPr>
          <w:rFonts w:cs="Arial" w:hint="cs"/>
          <w:rtl/>
        </w:rPr>
        <w:t>'</w:t>
      </w:r>
      <w:r w:rsidRPr="004D6548">
        <w:rPr>
          <w:rFonts w:cs="Arial"/>
          <w:rtl/>
        </w:rPr>
        <w:t xml:space="preserve"> ולפי דבריו אפילו בלא כבו נמי מיתוקמא שפיר</w:t>
      </w:r>
      <w:r w:rsidRPr="004D6548">
        <w:rPr>
          <w:rFonts w:cs="Arial" w:hint="cs"/>
          <w:rtl/>
        </w:rPr>
        <w:t>,</w:t>
      </w:r>
      <w:r w:rsidRPr="004D6548">
        <w:rPr>
          <w:rFonts w:cs="Arial"/>
          <w:rtl/>
        </w:rPr>
        <w:t xml:space="preserve"> שמאחר שאינה טמונה אינו חותה הגחלים בנטילת החררה אלא שמנענען דהוי טלטול מן הצד ושרי</w:t>
      </w:r>
      <w:r w:rsidRPr="004D6548">
        <w:rPr>
          <w:rFonts w:cs="Arial" w:hint="cs"/>
          <w:rtl/>
        </w:rPr>
        <w:t>.</w:t>
      </w:r>
      <w:r w:rsidRPr="004D6548">
        <w:rPr>
          <w:rFonts w:cs="Arial"/>
          <w:rtl/>
        </w:rPr>
        <w:t xml:space="preserve"> וברייתא דקתני שטמנה בגחלים</w:t>
      </w:r>
      <w:r w:rsidRPr="004D6548">
        <w:rPr>
          <w:rFonts w:cs="Arial" w:hint="cs"/>
          <w:rtl/>
        </w:rPr>
        <w:t>,</w:t>
      </w:r>
      <w:r w:rsidRPr="004D6548">
        <w:rPr>
          <w:rFonts w:cs="Arial"/>
          <w:rtl/>
        </w:rPr>
        <w:t xml:space="preserve"> לא טמנה קאמר</w:t>
      </w:r>
      <w:r w:rsidRPr="004D6548">
        <w:rPr>
          <w:rFonts w:cs="Arial" w:hint="cs"/>
          <w:rtl/>
        </w:rPr>
        <w:t>,</w:t>
      </w:r>
      <w:r w:rsidRPr="004D6548">
        <w:rPr>
          <w:rFonts w:cs="Arial"/>
          <w:rtl/>
        </w:rPr>
        <w:t xml:space="preserve"> אלא שהניחה על גבי גחלים</w:t>
      </w:r>
      <w:r w:rsidRPr="004D6548">
        <w:rPr>
          <w:rFonts w:cs="Arial" w:hint="cs"/>
          <w:rtl/>
        </w:rPr>
        <w:t>,</w:t>
      </w:r>
      <w:r w:rsidRPr="004D6548">
        <w:rPr>
          <w:rFonts w:cs="Arial"/>
          <w:rtl/>
        </w:rPr>
        <w:t xml:space="preserve"> אלא דאיידי דנקט בפגה שטמנה נקט נמי בחררה שטמנה ולאו דוקא</w:t>
      </w:r>
      <w:r w:rsidRPr="004D6548">
        <w:rPr>
          <w:rFonts w:cs="Arial" w:hint="cs"/>
          <w:rtl/>
        </w:rPr>
        <w:t>.</w:t>
      </w:r>
      <w:r w:rsidRPr="004D6548">
        <w:rPr>
          <w:rFonts w:cs="Arial"/>
          <w:rtl/>
        </w:rPr>
        <w:t xml:space="preserve"> אי נמי</w:t>
      </w:r>
      <w:r w:rsidRPr="004D6548">
        <w:rPr>
          <w:rFonts w:cs="Arial" w:hint="cs"/>
          <w:rtl/>
        </w:rPr>
        <w:t>,</w:t>
      </w:r>
      <w:r w:rsidRPr="004D6548">
        <w:rPr>
          <w:rFonts w:cs="Arial"/>
          <w:rtl/>
        </w:rPr>
        <w:t xml:space="preserve"> איידי דבכבו שרי אפילו טמנה</w:t>
      </w:r>
      <w:r w:rsidRPr="004D6548">
        <w:rPr>
          <w:rFonts w:cs="Arial" w:hint="cs"/>
          <w:rtl/>
        </w:rPr>
        <w:t>,</w:t>
      </w:r>
      <w:r w:rsidRPr="004D6548">
        <w:rPr>
          <w:rFonts w:cs="Arial"/>
          <w:rtl/>
        </w:rPr>
        <w:t xml:space="preserve"> נקט טמנה</w:t>
      </w:r>
      <w:r w:rsidRPr="004D6548">
        <w:rPr>
          <w:rFonts w:cs="Arial" w:hint="cs"/>
          <w:rtl/>
        </w:rPr>
        <w:t>,</w:t>
      </w:r>
      <w:r w:rsidRPr="004D6548">
        <w:rPr>
          <w:rFonts w:cs="Arial"/>
          <w:rtl/>
        </w:rPr>
        <w:t xml:space="preserve"> אבל אין הכי נמי דהיכא דלא כבו לא שרי אלא בהניחה על גבי גחלים</w:t>
      </w:r>
      <w:r>
        <w:rPr>
          <w:rFonts w:cs="Arial" w:hint="cs"/>
          <w:rtl/>
        </w:rPr>
        <w:t xml:space="preserve">, </w:t>
      </w:r>
      <w:r w:rsidRPr="004D6548">
        <w:rPr>
          <w:rFonts w:cs="Arial" w:hint="cs"/>
          <w:b/>
          <w:bCs/>
          <w:rtl/>
        </w:rPr>
        <w:t>ב"י</w:t>
      </w:r>
      <w:r w:rsidRPr="004D6548">
        <w:rPr>
          <w:rFonts w:cs="Arial" w:hint="cs"/>
          <w:rtl/>
        </w:rPr>
        <w:t>.</w:t>
      </w:r>
    </w:p>
  </w:footnote>
  <w:footnote w:id="1958">
    <w:p w14:paraId="3BDE5CEE" w14:textId="4FE31450" w:rsidR="000B7A46" w:rsidRDefault="000B7A46" w:rsidP="00285819">
      <w:pPr>
        <w:pStyle w:val="a7"/>
        <w:rPr>
          <w:rtl/>
        </w:rPr>
      </w:pPr>
      <w:r>
        <w:rPr>
          <w:rStyle w:val="a9"/>
        </w:rPr>
        <w:footnoteRef/>
      </w:r>
      <w:r>
        <w:rPr>
          <w:rtl/>
        </w:rPr>
        <w:t xml:space="preserve"> </w:t>
      </w:r>
      <w:r w:rsidRPr="000B7A46">
        <w:rPr>
          <w:rFonts w:cs="Arial"/>
          <w:rtl/>
        </w:rPr>
        <w:t>תבן הוא הקנה הנקצר עם השבולת וקש הוא מה שנשאר בשדה אחר הקצירה</w:t>
      </w:r>
      <w:r>
        <w:rPr>
          <w:rFonts w:hint="cs"/>
          <w:rtl/>
        </w:rPr>
        <w:t>, משנ"ב (סקל"ה).</w:t>
      </w:r>
    </w:p>
  </w:footnote>
  <w:footnote w:id="1959">
    <w:p w14:paraId="23DE0A3C" w14:textId="77777777" w:rsidR="00155474" w:rsidRDefault="00155474" w:rsidP="00285819">
      <w:pPr>
        <w:pStyle w:val="a7"/>
      </w:pPr>
      <w:r>
        <w:rPr>
          <w:rStyle w:val="a9"/>
        </w:rPr>
        <w:footnoteRef/>
      </w:r>
      <w:r>
        <w:rPr>
          <w:rtl/>
        </w:rPr>
        <w:t xml:space="preserve"> </w:t>
      </w:r>
      <w:r w:rsidRPr="00FD7A76">
        <w:rPr>
          <w:rFonts w:cs="Arial"/>
          <w:rtl/>
        </w:rPr>
        <w:t>שהוא חמת קטן</w:t>
      </w:r>
      <w:r>
        <w:rPr>
          <w:rFonts w:cs="Arial" w:hint="cs"/>
          <w:rtl/>
        </w:rPr>
        <w:t>.</w:t>
      </w:r>
      <w:r w:rsidRPr="00FD7A76">
        <w:rPr>
          <w:rFonts w:cs="Arial"/>
          <w:rtl/>
        </w:rPr>
        <w:t xml:space="preserve"> כלומר</w:t>
      </w:r>
      <w:r>
        <w:rPr>
          <w:rFonts w:cs="Arial" w:hint="cs"/>
          <w:rtl/>
        </w:rPr>
        <w:t>,</w:t>
      </w:r>
      <w:r w:rsidRPr="00FD7A76">
        <w:rPr>
          <w:rFonts w:cs="Arial"/>
          <w:rtl/>
        </w:rPr>
        <w:t xml:space="preserve"> ביד הכל שרי</w:t>
      </w:r>
      <w:r>
        <w:rPr>
          <w:rFonts w:cs="Arial" w:hint="cs"/>
          <w:rtl/>
        </w:rPr>
        <w:t>,</w:t>
      </w:r>
      <w:r w:rsidRPr="00FD7A76">
        <w:rPr>
          <w:rFonts w:cs="Arial"/>
          <w:rtl/>
        </w:rPr>
        <w:t xml:space="preserve"> ובלבד שלא יקח בכלי</w:t>
      </w:r>
      <w:r>
        <w:rPr>
          <w:rFonts w:cs="Arial" w:hint="cs"/>
          <w:rtl/>
        </w:rPr>
        <w:t>, קרבן העדה.</w:t>
      </w:r>
    </w:p>
  </w:footnote>
  <w:footnote w:id="1960">
    <w:p w14:paraId="183B5A3E" w14:textId="77777777" w:rsidR="00155474" w:rsidRDefault="00155474" w:rsidP="00285819">
      <w:pPr>
        <w:pStyle w:val="a7"/>
        <w:rPr>
          <w:rtl/>
        </w:rPr>
      </w:pPr>
      <w:r>
        <w:rPr>
          <w:rStyle w:val="a9"/>
        </w:rPr>
        <w:footnoteRef/>
      </w:r>
      <w:r>
        <w:rPr>
          <w:rtl/>
        </w:rPr>
        <w:t xml:space="preserve"> </w:t>
      </w:r>
      <w:r w:rsidRPr="00FD7A76">
        <w:rPr>
          <w:rFonts w:cs="Arial"/>
          <w:rtl/>
        </w:rPr>
        <w:t>של מוכרי בשמים</w:t>
      </w:r>
      <w:r>
        <w:rPr>
          <w:rFonts w:hint="cs"/>
          <w:rtl/>
        </w:rPr>
        <w:t>, קרבן העדה.</w:t>
      </w:r>
    </w:p>
  </w:footnote>
  <w:footnote w:id="1961">
    <w:p w14:paraId="3801CA13" w14:textId="77777777" w:rsidR="00155474" w:rsidRDefault="00155474" w:rsidP="00285819">
      <w:pPr>
        <w:pStyle w:val="a7"/>
      </w:pPr>
      <w:r>
        <w:rPr>
          <w:rStyle w:val="a9"/>
        </w:rPr>
        <w:footnoteRef/>
      </w:r>
      <w:r>
        <w:rPr>
          <w:rtl/>
        </w:rPr>
        <w:t xml:space="preserve"> </w:t>
      </w:r>
      <w:r w:rsidRPr="00FD7A76">
        <w:rPr>
          <w:rFonts w:cs="Arial"/>
          <w:rtl/>
        </w:rPr>
        <w:t>שטוחנין בו בשם אחד אבל אם היא גדולה שטוחנין בה הרבה מיני בשמים אסור</w:t>
      </w:r>
      <w:r>
        <w:rPr>
          <w:rFonts w:cs="Arial" w:hint="cs"/>
          <w:rtl/>
        </w:rPr>
        <w:t>, קרבן העדה.</w:t>
      </w:r>
    </w:p>
  </w:footnote>
  <w:footnote w:id="1962">
    <w:p w14:paraId="5B274BB8" w14:textId="3C7459A1" w:rsidR="00C347E4" w:rsidRDefault="00C347E4" w:rsidP="00285819">
      <w:pPr>
        <w:pStyle w:val="a7"/>
      </w:pPr>
      <w:r>
        <w:rPr>
          <w:rStyle w:val="a9"/>
        </w:rPr>
        <w:footnoteRef/>
      </w:r>
      <w:r>
        <w:rPr>
          <w:rtl/>
        </w:rPr>
        <w:t xml:space="preserve"> </w:t>
      </w:r>
      <w:r w:rsidRPr="00C347E4">
        <w:rPr>
          <w:rFonts w:cs="Arial"/>
          <w:rtl/>
        </w:rPr>
        <w:t>להתחייב עליהן, אי נמי: לטלטלן בחצר, ולהכניסן לבית הכסא, ואידי ואידי חד שיעורא הוא, דבמידי דחזי להו מיחייב על הוצאתו</w:t>
      </w:r>
      <w:r>
        <w:rPr>
          <w:rFonts w:cs="Arial" w:hint="cs"/>
          <w:rtl/>
        </w:rPr>
        <w:t>, רש"י.</w:t>
      </w:r>
    </w:p>
  </w:footnote>
  <w:footnote w:id="1963">
    <w:p w14:paraId="351E2472" w14:textId="79AF9CA5" w:rsidR="00C347E4" w:rsidRDefault="00C347E4" w:rsidP="00285819">
      <w:pPr>
        <w:pStyle w:val="a7"/>
      </w:pPr>
      <w:r>
        <w:rPr>
          <w:rStyle w:val="a9"/>
        </w:rPr>
        <w:footnoteRef/>
      </w:r>
      <w:r>
        <w:rPr>
          <w:rtl/>
        </w:rPr>
        <w:t xml:space="preserve"> </w:t>
      </w:r>
      <w:r w:rsidRPr="00C347E4">
        <w:rPr>
          <w:rFonts w:cs="Arial"/>
          <w:rtl/>
        </w:rPr>
        <w:t>שלש מכניסין לקינוח, ומקנח זו אחר זו, אחת כזית ואחת כאגוז ואחת כביצה, בתחלה מקנח פי הרעי בקטנה להסיר רעי הנדבק שם, שהגדולה פוחסת ומלכלך סביבותיו</w:t>
      </w:r>
      <w:r>
        <w:rPr>
          <w:rFonts w:cs="Arial" w:hint="cs"/>
          <w:rtl/>
        </w:rPr>
        <w:t>, רש"י.</w:t>
      </w:r>
    </w:p>
  </w:footnote>
  <w:footnote w:id="1964">
    <w:p w14:paraId="15C681BD" w14:textId="6FCE75C0" w:rsidR="00C347E4" w:rsidRDefault="00C347E4" w:rsidP="00285819">
      <w:pPr>
        <w:pStyle w:val="a7"/>
      </w:pPr>
      <w:r>
        <w:rPr>
          <w:rStyle w:val="a9"/>
        </w:rPr>
        <w:footnoteRef/>
      </w:r>
      <w:r>
        <w:rPr>
          <w:rtl/>
        </w:rPr>
        <w:t xml:space="preserve"> </w:t>
      </w:r>
      <w:r w:rsidRPr="00C347E4">
        <w:rPr>
          <w:rFonts w:cs="Arial"/>
          <w:rtl/>
        </w:rPr>
        <w:t>מאזנים יכניס לשם לשקול?</w:t>
      </w:r>
      <w:r>
        <w:rPr>
          <w:rFonts w:cs="Arial" w:hint="cs"/>
          <w:rtl/>
        </w:rPr>
        <w:t>, רש"י.</w:t>
      </w:r>
    </w:p>
  </w:footnote>
  <w:footnote w:id="1965">
    <w:p w14:paraId="2B22A6E4" w14:textId="047B08D2" w:rsidR="00C347E4" w:rsidRDefault="00C347E4" w:rsidP="00285819">
      <w:pPr>
        <w:pStyle w:val="a7"/>
      </w:pPr>
      <w:r>
        <w:rPr>
          <w:rStyle w:val="a9"/>
        </w:rPr>
        <w:footnoteRef/>
      </w:r>
      <w:r>
        <w:rPr>
          <w:rtl/>
        </w:rPr>
        <w:t xml:space="preserve"> </w:t>
      </w:r>
      <w:r w:rsidRPr="00C347E4">
        <w:rPr>
          <w:rFonts w:cs="Arial"/>
          <w:rtl/>
        </w:rPr>
        <w:t>בין שלשתן, או אפילו הן ארבע וחמש ובין כולן מלא היד</w:t>
      </w:r>
      <w:r>
        <w:rPr>
          <w:rFonts w:cs="Arial" w:hint="cs"/>
          <w:rtl/>
        </w:rPr>
        <w:t>, רש"י.</w:t>
      </w:r>
    </w:p>
  </w:footnote>
  <w:footnote w:id="1966">
    <w:p w14:paraId="7A1ABB47" w14:textId="50C883FB" w:rsidR="00C347E4" w:rsidRDefault="00C347E4" w:rsidP="00285819">
      <w:pPr>
        <w:pStyle w:val="a7"/>
      </w:pPr>
      <w:r>
        <w:rPr>
          <w:rStyle w:val="a9"/>
        </w:rPr>
        <w:footnoteRef/>
      </w:r>
      <w:r>
        <w:rPr>
          <w:rtl/>
        </w:rPr>
        <w:t xml:space="preserve"> </w:t>
      </w:r>
      <w:r w:rsidRPr="00C347E4">
        <w:rPr>
          <w:rFonts w:cs="Arial"/>
          <w:rtl/>
        </w:rPr>
        <w:t xml:space="preserve">בקוד"ש בלעז </w:t>
      </w:r>
      <w:r w:rsidRPr="00C347E4">
        <w:rPr>
          <w:rFonts w:cs="Arial" w:hint="cs"/>
          <w:sz w:val="16"/>
          <w:szCs w:val="16"/>
          <w:rtl/>
        </w:rPr>
        <w:t>(</w:t>
      </w:r>
      <w:r w:rsidRPr="00C347E4">
        <w:rPr>
          <w:rFonts w:cs="Arial"/>
          <w:sz w:val="16"/>
          <w:szCs w:val="16"/>
          <w:rtl/>
        </w:rPr>
        <w:t>והוא אבנים מחודדות בצד אחד</w:t>
      </w:r>
      <w:r>
        <w:rPr>
          <w:rFonts w:cs="Arial" w:hint="cs"/>
          <w:sz w:val="16"/>
          <w:szCs w:val="16"/>
          <w:rtl/>
        </w:rPr>
        <w:t>)</w:t>
      </w:r>
      <w:r w:rsidRPr="00C347E4">
        <w:rPr>
          <w:rFonts w:cs="Arial"/>
          <w:rtl/>
        </w:rPr>
        <w:t xml:space="preserve"> שיהיו חדודות וראויות לקינוח</w:t>
      </w:r>
      <w:r>
        <w:rPr>
          <w:rFonts w:cs="Arial" w:hint="cs"/>
          <w:rtl/>
        </w:rPr>
        <w:t>, רש"י</w:t>
      </w:r>
      <w:r>
        <w:rPr>
          <w:rFonts w:cs="Arial"/>
          <w:rtl/>
        </w:rPr>
        <w:t xml:space="preserve"> (</w:t>
      </w:r>
      <w:r>
        <w:rPr>
          <w:rFonts w:cs="Arial" w:hint="cs"/>
          <w:rtl/>
        </w:rPr>
        <w:t>כאן, וכן פירש ב</w:t>
      </w:r>
      <w:r>
        <w:rPr>
          <w:rFonts w:cs="Arial"/>
          <w:rtl/>
        </w:rPr>
        <w:t>סוכה לו:)</w:t>
      </w:r>
      <w:r>
        <w:rPr>
          <w:rFonts w:cs="Arial" w:hint="cs"/>
          <w:rtl/>
        </w:rPr>
        <w:t>.</w:t>
      </w:r>
      <w:r>
        <w:rPr>
          <w:rFonts w:cs="Arial"/>
          <w:rtl/>
        </w:rPr>
        <w:t xml:space="preserve"> וכן כתב ה</w:t>
      </w:r>
      <w:r>
        <w:rPr>
          <w:rFonts w:cs="Arial" w:hint="cs"/>
          <w:rtl/>
        </w:rPr>
        <w:t>ה"</w:t>
      </w:r>
      <w:r>
        <w:rPr>
          <w:rFonts w:cs="Arial"/>
          <w:rtl/>
        </w:rPr>
        <w:t xml:space="preserve">מ </w:t>
      </w:r>
      <w:r>
        <w:rPr>
          <w:rFonts w:cs="Arial" w:hint="cs"/>
          <w:rtl/>
        </w:rPr>
        <w:t>(</w:t>
      </w:r>
      <w:r>
        <w:rPr>
          <w:rFonts w:cs="Arial"/>
          <w:rtl/>
        </w:rPr>
        <w:t>פכ"ו ה"ד) שמקורזלות הן חדות</w:t>
      </w:r>
      <w:r>
        <w:rPr>
          <w:rFonts w:cs="Arial" w:hint="cs"/>
          <w:rtl/>
        </w:rPr>
        <w:t>.</w:t>
      </w:r>
      <w:r>
        <w:rPr>
          <w:rFonts w:cs="Arial"/>
          <w:rtl/>
        </w:rPr>
        <w:t xml:space="preserve"> והתוספות פירשו </w:t>
      </w:r>
      <w:r>
        <w:rPr>
          <w:rFonts w:cs="Arial" w:hint="cs"/>
          <w:rtl/>
        </w:rPr>
        <w:t>(</w:t>
      </w:r>
      <w:r>
        <w:rPr>
          <w:rFonts w:cs="Arial"/>
          <w:rtl/>
        </w:rPr>
        <w:t>פרק לולב הגזול ד"ה מקורזלות) דהיינו שהן רכות</w:t>
      </w:r>
      <w:r>
        <w:rPr>
          <w:rFonts w:cs="Arial" w:hint="cs"/>
          <w:rtl/>
        </w:rPr>
        <w:t>.</w:t>
      </w:r>
      <w:r>
        <w:rPr>
          <w:rFonts w:cs="Arial"/>
          <w:rtl/>
        </w:rPr>
        <w:t xml:space="preserve"> והר"ן (שבת לד. ד"ה ת"ר) כתב מקורזלות ראויות לקינוח</w:t>
      </w:r>
      <w:r>
        <w:rPr>
          <w:rFonts w:cs="Arial" w:hint="cs"/>
          <w:rtl/>
        </w:rPr>
        <w:t>.</w:t>
      </w:r>
      <w:r>
        <w:rPr>
          <w:rFonts w:cs="Arial"/>
          <w:rtl/>
        </w:rPr>
        <w:t xml:space="preserve"> ואפשר דהיינו לומר דלא שני לן בין חדות לשאינן חדות דבראויות לקינוח תליא מילתא</w:t>
      </w:r>
      <w:r>
        <w:rPr>
          <w:rFonts w:cs="Arial" w:hint="cs"/>
          <w:rtl/>
        </w:rPr>
        <w:t>,</w:t>
      </w:r>
      <w:r>
        <w:rPr>
          <w:rFonts w:cs="Arial"/>
          <w:rtl/>
        </w:rPr>
        <w:t xml:space="preserve"> ולאורחא דמילתא נקט מקורזלות</w:t>
      </w:r>
      <w:r>
        <w:rPr>
          <w:rFonts w:cs="Arial" w:hint="cs"/>
          <w:rtl/>
        </w:rPr>
        <w:t>.</w:t>
      </w:r>
      <w:r>
        <w:rPr>
          <w:rFonts w:cs="Arial"/>
          <w:rtl/>
        </w:rPr>
        <w:t xml:space="preserve"> וטעמא דשרו טלטול אבנים לקנח בבית הכסא משום כבוד הבריות כדלקמן</w:t>
      </w:r>
      <w:r>
        <w:rPr>
          <w:rFonts w:cs="Arial" w:hint="cs"/>
          <w:rtl/>
        </w:rPr>
        <w:t>, ב"י.</w:t>
      </w:r>
    </w:p>
  </w:footnote>
  <w:footnote w:id="1967">
    <w:p w14:paraId="74338859" w14:textId="109F23B8" w:rsidR="00E24BC4" w:rsidRDefault="00E24BC4" w:rsidP="00285819">
      <w:pPr>
        <w:pStyle w:val="a7"/>
      </w:pPr>
      <w:r>
        <w:rPr>
          <w:rStyle w:val="a9"/>
        </w:rPr>
        <w:footnoteRef/>
      </w:r>
      <w:r>
        <w:rPr>
          <w:rtl/>
        </w:rPr>
        <w:t xml:space="preserve"> </w:t>
      </w:r>
      <w:r w:rsidRPr="00E24BC4">
        <w:rPr>
          <w:rFonts w:cs="Arial"/>
          <w:rtl/>
        </w:rPr>
        <w:t>בתוך ארבע אמות או בחצר, דלא ליתסר לטלטולינהו</w:t>
      </w:r>
      <w:r>
        <w:rPr>
          <w:rFonts w:cs="Arial" w:hint="cs"/>
          <w:rtl/>
        </w:rPr>
        <w:t>, רש"י.</w:t>
      </w:r>
    </w:p>
  </w:footnote>
  <w:footnote w:id="1968">
    <w:p w14:paraId="57056EBC" w14:textId="3FE0323E" w:rsidR="004441DC" w:rsidRDefault="004441DC" w:rsidP="00285819">
      <w:pPr>
        <w:pStyle w:val="a7"/>
      </w:pPr>
      <w:r>
        <w:rPr>
          <w:rStyle w:val="a9"/>
        </w:rPr>
        <w:footnoteRef/>
      </w:r>
      <w:r>
        <w:rPr>
          <w:rtl/>
        </w:rPr>
        <w:t xml:space="preserve"> </w:t>
      </w:r>
      <w:r w:rsidRPr="004441DC">
        <w:rPr>
          <w:rFonts w:cs="Arial"/>
          <w:rtl/>
        </w:rPr>
        <w:t>שאם ישתיירו לו ערבית יקנח בהם שחרית - מכניס שם מלא יד</w:t>
      </w:r>
      <w:r>
        <w:rPr>
          <w:rFonts w:cs="Arial" w:hint="cs"/>
          <w:rtl/>
        </w:rPr>
        <w:t>, רש"י.</w:t>
      </w:r>
    </w:p>
  </w:footnote>
  <w:footnote w:id="1969">
    <w:p w14:paraId="2D81E47F" w14:textId="23DAB5E2" w:rsidR="00A23EBC" w:rsidRDefault="00A23EBC" w:rsidP="00285819">
      <w:pPr>
        <w:pStyle w:val="a7"/>
        <w:rPr>
          <w:rtl/>
        </w:rPr>
      </w:pPr>
      <w:r>
        <w:rPr>
          <w:rStyle w:val="a9"/>
        </w:rPr>
        <w:footnoteRef/>
      </w:r>
      <w:r>
        <w:rPr>
          <w:rtl/>
        </w:rPr>
        <w:t xml:space="preserve"> </w:t>
      </w:r>
      <w:r w:rsidRPr="004441DC">
        <w:rPr>
          <w:rFonts w:cs="Arial"/>
          <w:rtl/>
        </w:rPr>
        <w:t>כשיעור המכריע, כאגוז נפיש מכזית וזוטר מכביצה</w:t>
      </w:r>
      <w:r>
        <w:rPr>
          <w:rFonts w:hint="cs"/>
          <w:rtl/>
        </w:rPr>
        <w:t xml:space="preserve">, רש"י. כן פירש רש"י, ומכאן והלאה מילתא באפי נפשא היא, ולכן יש לשים נקודה. אך לדברי הרי"ף תוס' רא"ש ור"ן אין לשים פה נקודה מכיון שהמילה 'כהכרע' דבוקה להמשך המשפט, ורק </w:t>
      </w:r>
      <w:r w:rsidR="0069264F">
        <w:rPr>
          <w:rFonts w:hint="cs"/>
          <w:rtl/>
        </w:rPr>
        <w:t xml:space="preserve">אחרי </w:t>
      </w:r>
      <w:r>
        <w:rPr>
          <w:rFonts w:hint="cs"/>
          <w:rtl/>
        </w:rPr>
        <w:t>דברי רב ששת והלאה היא מלתא באפי נפשא.</w:t>
      </w:r>
    </w:p>
  </w:footnote>
  <w:footnote w:id="1970">
    <w:p w14:paraId="5874F271" w14:textId="036E6B90" w:rsidR="004441DC" w:rsidRDefault="004441DC" w:rsidP="00285819">
      <w:pPr>
        <w:pStyle w:val="a7"/>
      </w:pPr>
      <w:r>
        <w:rPr>
          <w:rStyle w:val="a9"/>
        </w:rPr>
        <w:footnoteRef/>
      </w:r>
      <w:r>
        <w:rPr>
          <w:rtl/>
        </w:rPr>
        <w:t xml:space="preserve"> </w:t>
      </w:r>
      <w:r w:rsidRPr="004441DC">
        <w:rPr>
          <w:rFonts w:cs="Arial"/>
          <w:rtl/>
        </w:rPr>
        <w:t>מלאכתה לאיסור, אסור לטלטל</w:t>
      </w:r>
      <w:r>
        <w:rPr>
          <w:rFonts w:cs="Arial" w:hint="cs"/>
          <w:rtl/>
        </w:rPr>
        <w:t>, רש"י.</w:t>
      </w:r>
    </w:p>
  </w:footnote>
  <w:footnote w:id="1971">
    <w:p w14:paraId="160E2542" w14:textId="4CCD75AE" w:rsidR="004441DC" w:rsidRDefault="004441DC" w:rsidP="00285819">
      <w:pPr>
        <w:pStyle w:val="a7"/>
        <w:rPr>
          <w:rtl/>
        </w:rPr>
      </w:pPr>
      <w:r>
        <w:rPr>
          <w:rStyle w:val="a9"/>
        </w:rPr>
        <w:footnoteRef/>
      </w:r>
      <w:r>
        <w:rPr>
          <w:rtl/>
        </w:rPr>
        <w:t xml:space="preserve"> </w:t>
      </w:r>
      <w:r w:rsidRPr="004441DC">
        <w:rPr>
          <w:rFonts w:cs="Arial"/>
          <w:rtl/>
        </w:rPr>
        <w:t>קנוח, המעיד שעשויה לכך - מותר לטלטלה לקינוח</w:t>
      </w:r>
      <w:r>
        <w:rPr>
          <w:rFonts w:cs="Arial" w:hint="cs"/>
          <w:rtl/>
        </w:rPr>
        <w:t xml:space="preserve">, </w:t>
      </w:r>
      <w:r w:rsidRPr="00A477F2">
        <w:rPr>
          <w:rFonts w:cs="Arial" w:hint="cs"/>
          <w:b/>
          <w:bCs/>
          <w:rtl/>
        </w:rPr>
        <w:t>רש"י</w:t>
      </w:r>
      <w:r>
        <w:rPr>
          <w:rFonts w:cs="Arial" w:hint="cs"/>
          <w:rtl/>
        </w:rPr>
        <w:t>.</w:t>
      </w:r>
      <w:r w:rsidR="00A477F2" w:rsidRPr="00A477F2">
        <w:rPr>
          <w:rFonts w:cs="Arial"/>
          <w:rtl/>
        </w:rPr>
        <w:t xml:space="preserve"> </w:t>
      </w:r>
      <w:r w:rsidR="00A477F2">
        <w:rPr>
          <w:rFonts w:cs="Arial"/>
          <w:rtl/>
        </w:rPr>
        <w:t>והר"ן (שם ד"ה א"ר ינאי) כתב שאין פירוש רש"י מחוור מכמה טעמים</w:t>
      </w:r>
      <w:r w:rsidR="00A477F2">
        <w:rPr>
          <w:rFonts w:cs="Arial" w:hint="cs"/>
          <w:rtl/>
        </w:rPr>
        <w:t>,</w:t>
      </w:r>
      <w:r w:rsidR="00A477F2">
        <w:rPr>
          <w:rFonts w:cs="Arial"/>
          <w:rtl/>
        </w:rPr>
        <w:t xml:space="preserve"> ואחד מהם דבלאו עד נמי מאי טעמא לא שריא דהא כל כלי שמלאכתו לאיסור מותר לטלטלו לצורך גופו ולצורך מקומו</w:t>
      </w:r>
      <w:r w:rsidR="00A477F2">
        <w:rPr>
          <w:rFonts w:cs="Arial" w:hint="cs"/>
          <w:rtl/>
        </w:rPr>
        <w:t>,</w:t>
      </w:r>
      <w:r w:rsidR="00A477F2">
        <w:rPr>
          <w:rFonts w:cs="Arial"/>
          <w:rtl/>
        </w:rPr>
        <w:t xml:space="preserve"> אלא ודאי כולה חדא מילתא היא וה"ק</w:t>
      </w:r>
      <w:r w:rsidR="00A477F2">
        <w:rPr>
          <w:rFonts w:cs="Arial" w:hint="cs"/>
          <w:rtl/>
        </w:rPr>
        <w:t>-</w:t>
      </w:r>
      <w:r w:rsidR="00A477F2">
        <w:rPr>
          <w:rFonts w:cs="Arial"/>
          <w:rtl/>
        </w:rPr>
        <w:t xml:space="preserve"> ואם לאו כהכרע מדוכה קטנה של בשמים</w:t>
      </w:r>
      <w:r w:rsidR="00A477F2">
        <w:rPr>
          <w:rFonts w:cs="Arial" w:hint="cs"/>
          <w:rtl/>
        </w:rPr>
        <w:t>.</w:t>
      </w:r>
      <w:r w:rsidR="00A477F2">
        <w:rPr>
          <w:rFonts w:cs="Arial"/>
          <w:rtl/>
        </w:rPr>
        <w:t xml:space="preserve"> כלומר שאם אין לו מקום קבוע לבית הכסא לא התירו לו מלא היד אלא אבן אחת כהכרע מדוכה קטנה של בשמים</w:t>
      </w:r>
      <w:r w:rsidR="00A477F2">
        <w:rPr>
          <w:rFonts w:cs="Arial" w:hint="cs"/>
          <w:rtl/>
        </w:rPr>
        <w:t>,</w:t>
      </w:r>
      <w:r w:rsidR="00A477F2">
        <w:rPr>
          <w:rFonts w:cs="Arial"/>
          <w:rtl/>
        </w:rPr>
        <w:t xml:space="preserve"> כלומר כמשקלה</w:t>
      </w:r>
      <w:r w:rsidR="00A477F2">
        <w:rPr>
          <w:rFonts w:cs="Arial" w:hint="cs"/>
          <w:rtl/>
        </w:rPr>
        <w:t>.</w:t>
      </w:r>
      <w:r w:rsidR="00A477F2">
        <w:rPr>
          <w:rFonts w:cs="Arial"/>
          <w:rtl/>
        </w:rPr>
        <w:t xml:space="preserve"> והכי מוכח האי פירושא בירושלמי (שבת פ"ח ה"ו)</w:t>
      </w:r>
      <w:r w:rsidR="00A477F2">
        <w:rPr>
          <w:rFonts w:cs="Arial" w:hint="cs"/>
          <w:rtl/>
        </w:rPr>
        <w:t>.</w:t>
      </w:r>
      <w:r w:rsidR="00A477F2">
        <w:rPr>
          <w:rFonts w:cs="Arial"/>
          <w:rtl/>
        </w:rPr>
        <w:t xml:space="preserve"> ורב ששת אמר בתר הכי דאפילו אבן גדולה</w:t>
      </w:r>
      <w:r w:rsidR="00A477F2">
        <w:rPr>
          <w:rFonts w:cs="Arial" w:hint="cs"/>
          <w:rtl/>
        </w:rPr>
        <w:t>,</w:t>
      </w:r>
      <w:r w:rsidR="00A477F2">
        <w:rPr>
          <w:rFonts w:cs="Arial"/>
          <w:rtl/>
        </w:rPr>
        <w:t xml:space="preserve"> כל שיש עליה עד מותר לטלטלה</w:t>
      </w:r>
      <w:r w:rsidR="00A477F2">
        <w:rPr>
          <w:rFonts w:cs="Arial" w:hint="cs"/>
          <w:rtl/>
        </w:rPr>
        <w:t>,</w:t>
      </w:r>
      <w:r w:rsidR="00A477F2">
        <w:rPr>
          <w:rFonts w:cs="Arial"/>
          <w:rtl/>
        </w:rPr>
        <w:t xml:space="preserve"> שמוכנת היא לכך</w:t>
      </w:r>
      <w:r w:rsidR="00A477F2">
        <w:rPr>
          <w:rFonts w:cs="Arial" w:hint="cs"/>
          <w:rtl/>
        </w:rPr>
        <w:t>.</w:t>
      </w:r>
      <w:r w:rsidR="00A477F2">
        <w:rPr>
          <w:rFonts w:cs="Arial"/>
          <w:rtl/>
        </w:rPr>
        <w:t xml:space="preserve"> וכן כתבו התוספות (שבת פא. ד"ה ואם) וז</w:t>
      </w:r>
      <w:r w:rsidR="00A477F2">
        <w:rPr>
          <w:rFonts w:cs="Arial" w:hint="cs"/>
          <w:rtl/>
        </w:rPr>
        <w:t>"</w:t>
      </w:r>
      <w:r w:rsidR="00A477F2">
        <w:rPr>
          <w:rFonts w:cs="Arial"/>
          <w:rtl/>
        </w:rPr>
        <w:t>ל</w:t>
      </w:r>
      <w:r w:rsidR="00A477F2">
        <w:rPr>
          <w:rFonts w:cs="Arial" w:hint="cs"/>
          <w:rtl/>
        </w:rPr>
        <w:t>-</w:t>
      </w:r>
      <w:r w:rsidR="00A477F2">
        <w:rPr>
          <w:rFonts w:cs="Arial"/>
          <w:rtl/>
        </w:rPr>
        <w:t xml:space="preserve"> ואם לאו כהכרע</w:t>
      </w:r>
      <w:r w:rsidR="00A477F2">
        <w:rPr>
          <w:rFonts w:cs="Arial" w:hint="cs"/>
          <w:rtl/>
        </w:rPr>
        <w:t>,</w:t>
      </w:r>
      <w:r w:rsidR="00A477F2">
        <w:rPr>
          <w:rFonts w:cs="Arial"/>
          <w:rtl/>
        </w:rPr>
        <w:t xml:space="preserve"> נראה לר</w:t>
      </w:r>
      <w:r w:rsidR="00A477F2">
        <w:rPr>
          <w:rFonts w:cs="Arial" w:hint="cs"/>
          <w:rtl/>
        </w:rPr>
        <w:t>"</w:t>
      </w:r>
      <w:r w:rsidR="00A477F2">
        <w:rPr>
          <w:rFonts w:cs="Arial"/>
          <w:rtl/>
        </w:rPr>
        <w:t>ת כגירסת ר</w:t>
      </w:r>
      <w:r w:rsidR="00A477F2">
        <w:rPr>
          <w:rFonts w:cs="Arial" w:hint="cs"/>
          <w:rtl/>
        </w:rPr>
        <w:t>"ח</w:t>
      </w:r>
      <w:r w:rsidR="00A477F2">
        <w:rPr>
          <w:rFonts w:cs="Arial"/>
          <w:rtl/>
        </w:rPr>
        <w:t xml:space="preserve"> (בגליון שם) ואם לאו כהכרע מדוכה קטנה של בשמים</w:t>
      </w:r>
      <w:r w:rsidR="00A477F2">
        <w:rPr>
          <w:rFonts w:cs="Arial" w:hint="cs"/>
          <w:rtl/>
        </w:rPr>
        <w:t>,</w:t>
      </w:r>
      <w:r w:rsidR="00A477F2">
        <w:rPr>
          <w:rFonts w:cs="Arial"/>
          <w:rtl/>
        </w:rPr>
        <w:t xml:space="preserve"> והכרע פירוש רגל</w:t>
      </w:r>
      <w:r w:rsidR="00A477F2">
        <w:rPr>
          <w:rFonts w:cs="Arial" w:hint="cs"/>
          <w:rtl/>
        </w:rPr>
        <w:t>,</w:t>
      </w:r>
      <w:r w:rsidR="00A477F2">
        <w:rPr>
          <w:rFonts w:cs="Arial"/>
          <w:rtl/>
        </w:rPr>
        <w:t xml:space="preserve"> כמו כרעי המטה (סוכה כא:)</w:t>
      </w:r>
      <w:r w:rsidR="00A477F2">
        <w:rPr>
          <w:rFonts w:cs="Arial" w:hint="cs"/>
          <w:rtl/>
        </w:rPr>
        <w:t>,</w:t>
      </w:r>
      <w:r w:rsidR="00A477F2">
        <w:rPr>
          <w:rFonts w:cs="Arial"/>
          <w:rtl/>
        </w:rPr>
        <w:t xml:space="preserve"> וכן מפרש בירושלמי כמלא רגל מדוכה קטנה של בשמים</w:t>
      </w:r>
      <w:r w:rsidR="00A477F2">
        <w:rPr>
          <w:rFonts w:cs="Arial" w:hint="cs"/>
          <w:rtl/>
        </w:rPr>
        <w:t>.</w:t>
      </w:r>
      <w:r w:rsidR="00A477F2">
        <w:rPr>
          <w:rFonts w:cs="Arial"/>
          <w:rtl/>
        </w:rPr>
        <w:t xml:space="preserve"> אמר רב ששת אם יש עליה עד מותר</w:t>
      </w:r>
      <w:r w:rsidR="00A477F2">
        <w:rPr>
          <w:rFonts w:cs="Arial" w:hint="cs"/>
          <w:rtl/>
        </w:rPr>
        <w:t>,</w:t>
      </w:r>
      <w:r w:rsidR="00A477F2">
        <w:rPr>
          <w:rFonts w:cs="Arial"/>
          <w:rtl/>
        </w:rPr>
        <w:t xml:space="preserve"> מילתא באפי נפשה היא</w:t>
      </w:r>
      <w:r w:rsidR="00A477F2">
        <w:rPr>
          <w:rFonts w:cs="Arial" w:hint="cs"/>
          <w:rtl/>
        </w:rPr>
        <w:t>,</w:t>
      </w:r>
      <w:r w:rsidR="00A477F2">
        <w:rPr>
          <w:rFonts w:cs="Arial"/>
          <w:rtl/>
        </w:rPr>
        <w:t xml:space="preserve"> פירוש מותר לקנח בה אפילו גדולה יותר מכביצה</w:t>
      </w:r>
      <w:r w:rsidR="00A477F2">
        <w:rPr>
          <w:rFonts w:cs="Arial" w:hint="cs"/>
          <w:rtl/>
        </w:rPr>
        <w:t>,</w:t>
      </w:r>
      <w:r w:rsidR="00A477F2">
        <w:rPr>
          <w:rFonts w:cs="Arial"/>
          <w:rtl/>
        </w:rPr>
        <w:t xml:space="preserve"> או אם יש הרבה ממלא היד מותר ליטול כולן</w:t>
      </w:r>
      <w:r w:rsidR="00A477F2">
        <w:rPr>
          <w:rFonts w:cs="Arial" w:hint="cs"/>
          <w:rtl/>
        </w:rPr>
        <w:t>,</w:t>
      </w:r>
      <w:r w:rsidR="00A477F2">
        <w:rPr>
          <w:rFonts w:cs="Arial"/>
          <w:rtl/>
        </w:rPr>
        <w:t xml:space="preserve"> דכיון דיש עליהן עד</w:t>
      </w:r>
      <w:r w:rsidR="00A477F2">
        <w:rPr>
          <w:rFonts w:cs="Arial" w:hint="cs"/>
          <w:rtl/>
        </w:rPr>
        <w:t>,</w:t>
      </w:r>
      <w:r w:rsidR="00A477F2">
        <w:rPr>
          <w:rFonts w:cs="Arial"/>
          <w:rtl/>
        </w:rPr>
        <w:t xml:space="preserve"> דהיינו שקינוח ניכר בו</w:t>
      </w:r>
      <w:r w:rsidR="00A477F2">
        <w:rPr>
          <w:rFonts w:cs="Arial" w:hint="cs"/>
          <w:rtl/>
        </w:rPr>
        <w:t>,</w:t>
      </w:r>
      <w:r w:rsidR="00A477F2">
        <w:rPr>
          <w:rFonts w:cs="Arial"/>
          <w:rtl/>
        </w:rPr>
        <w:t xml:space="preserve"> הוכנו כולן</w:t>
      </w:r>
      <w:r w:rsidR="00A477F2">
        <w:rPr>
          <w:rFonts w:cs="Arial" w:hint="cs"/>
          <w:rtl/>
        </w:rPr>
        <w:t>.</w:t>
      </w:r>
      <w:r w:rsidR="00A477F2">
        <w:rPr>
          <w:rFonts w:cs="Arial"/>
          <w:rtl/>
        </w:rPr>
        <w:t xml:space="preserve"> וכן פירשו הרי"ף </w:t>
      </w:r>
      <w:r w:rsidR="00A477F2" w:rsidRPr="00D172C6">
        <w:rPr>
          <w:rFonts w:cs="Arial"/>
          <w:sz w:val="16"/>
          <w:szCs w:val="16"/>
          <w:rtl/>
        </w:rPr>
        <w:t>(לד.</w:t>
      </w:r>
      <w:r w:rsidR="00D172C6" w:rsidRPr="00D172C6">
        <w:rPr>
          <w:rFonts w:cs="Arial" w:hint="cs"/>
          <w:sz w:val="16"/>
          <w:szCs w:val="16"/>
          <w:rtl/>
        </w:rPr>
        <w:t>, רק שלגבי '</w:t>
      </w:r>
      <w:r w:rsidR="00D172C6" w:rsidRPr="00D172C6">
        <w:rPr>
          <w:rFonts w:cs="Arial"/>
          <w:sz w:val="16"/>
          <w:szCs w:val="16"/>
          <w:rtl/>
        </w:rPr>
        <w:t>אם יש עליה עד מותר</w:t>
      </w:r>
      <w:r w:rsidR="00D172C6" w:rsidRPr="00D172C6">
        <w:rPr>
          <w:rFonts w:cs="Arial" w:hint="cs"/>
          <w:sz w:val="16"/>
          <w:szCs w:val="16"/>
          <w:rtl/>
        </w:rPr>
        <w:t>' כתב-</w:t>
      </w:r>
      <w:r w:rsidR="00D172C6" w:rsidRPr="00D172C6">
        <w:rPr>
          <w:rFonts w:cs="Arial"/>
          <w:sz w:val="16"/>
          <w:szCs w:val="16"/>
          <w:rtl/>
        </w:rPr>
        <w:t xml:space="preserve"> פירשוהו רבנן עד כגון סמרטוטין</w:t>
      </w:r>
      <w:r w:rsidR="00A477F2" w:rsidRPr="00D172C6">
        <w:rPr>
          <w:rFonts w:cs="Arial"/>
          <w:sz w:val="16"/>
          <w:szCs w:val="16"/>
          <w:rtl/>
        </w:rPr>
        <w:t>)</w:t>
      </w:r>
      <w:r w:rsidR="00A477F2">
        <w:rPr>
          <w:rFonts w:cs="Arial"/>
          <w:rtl/>
        </w:rPr>
        <w:t xml:space="preserve"> והרא"ש (סי' ב)</w:t>
      </w:r>
      <w:r w:rsidR="00A477F2">
        <w:rPr>
          <w:rFonts w:cs="Arial" w:hint="cs"/>
          <w:rtl/>
        </w:rPr>
        <w:t>,</w:t>
      </w:r>
      <w:r w:rsidR="00A477F2">
        <w:rPr>
          <w:rFonts w:cs="Arial"/>
          <w:rtl/>
        </w:rPr>
        <w:t xml:space="preserve"> וכך הם דברי רבינו</w:t>
      </w:r>
      <w:r w:rsidR="00A477F2">
        <w:rPr>
          <w:rFonts w:cs="Arial" w:hint="cs"/>
          <w:rtl/>
        </w:rPr>
        <w:t>.</w:t>
      </w:r>
      <w:r w:rsidR="00A477F2">
        <w:rPr>
          <w:rFonts w:cs="Arial"/>
          <w:rtl/>
        </w:rPr>
        <w:t xml:space="preserve"> והרמב"ם בפרק כ"ו (ה"ד) כתב דברי רב ששת כפירוש הרי"ף והרא"ש</w:t>
      </w:r>
      <w:r w:rsidR="00A477F2">
        <w:rPr>
          <w:rFonts w:cs="Arial" w:hint="cs"/>
          <w:rtl/>
        </w:rPr>
        <w:t>,</w:t>
      </w:r>
      <w:r w:rsidR="00A477F2">
        <w:rPr>
          <w:rFonts w:cs="Arial"/>
          <w:rtl/>
        </w:rPr>
        <w:t xml:space="preserve"> והיכא דאין עליהם עד כתב שמכניס שלש אבנים מקורזלות לקנח בהם וכמה שיעורן כמלוא היד</w:t>
      </w:r>
      <w:r w:rsidR="00A477F2">
        <w:rPr>
          <w:rFonts w:cs="Arial" w:hint="cs"/>
          <w:rtl/>
        </w:rPr>
        <w:t>.</w:t>
      </w:r>
      <w:r w:rsidR="00A477F2">
        <w:rPr>
          <w:rFonts w:cs="Arial"/>
          <w:rtl/>
        </w:rPr>
        <w:t xml:space="preserve"> ולא חילק בין שיש לו מקום קבוע לאין לו</w:t>
      </w:r>
      <w:r w:rsidR="00A477F2">
        <w:rPr>
          <w:rFonts w:cs="Arial" w:hint="cs"/>
          <w:rtl/>
        </w:rPr>
        <w:t>,</w:t>
      </w:r>
      <w:r w:rsidR="00A477F2">
        <w:rPr>
          <w:rFonts w:cs="Arial"/>
          <w:rtl/>
        </w:rPr>
        <w:t xml:space="preserve"> ואפשר דסבירא ליה דלא קי</w:t>
      </w:r>
      <w:r w:rsidR="00A477F2">
        <w:rPr>
          <w:rFonts w:cs="Arial" w:hint="cs"/>
          <w:rtl/>
        </w:rPr>
        <w:t>י"</w:t>
      </w:r>
      <w:r w:rsidR="00A477F2">
        <w:rPr>
          <w:rFonts w:cs="Arial"/>
          <w:rtl/>
        </w:rPr>
        <w:t>ל כרבי ינאי</w:t>
      </w:r>
      <w:r w:rsidR="00A477F2">
        <w:rPr>
          <w:rFonts w:cs="Arial" w:hint="cs"/>
          <w:rtl/>
        </w:rPr>
        <w:t>,</w:t>
      </w:r>
      <w:r w:rsidR="00A477F2">
        <w:rPr>
          <w:rFonts w:cs="Arial"/>
          <w:rtl/>
        </w:rPr>
        <w:t xml:space="preserve"> דכיון שלא חילקו בברייתא בין יש לו מקום קבוע לאין לו</w:t>
      </w:r>
      <w:r w:rsidR="00A477F2">
        <w:rPr>
          <w:rFonts w:cs="Arial" w:hint="cs"/>
          <w:rtl/>
        </w:rPr>
        <w:t xml:space="preserve"> -</w:t>
      </w:r>
      <w:r w:rsidR="00A477F2">
        <w:rPr>
          <w:rFonts w:cs="Arial"/>
          <w:rtl/>
        </w:rPr>
        <w:t xml:space="preserve"> הכי נקטינן דשיעורא הוי מלא היד בכל מקום</w:t>
      </w:r>
      <w:r w:rsidR="00A477F2">
        <w:rPr>
          <w:rFonts w:hint="cs"/>
          <w:rtl/>
        </w:rPr>
        <w:t>,</w:t>
      </w:r>
      <w:r w:rsidR="00A477F2">
        <w:rPr>
          <w:rFonts w:hint="cs"/>
          <w:b/>
          <w:bCs/>
          <w:rtl/>
        </w:rPr>
        <w:t xml:space="preserve"> </w:t>
      </w:r>
      <w:r w:rsidR="00A477F2" w:rsidRPr="00A477F2">
        <w:rPr>
          <w:rFonts w:hint="cs"/>
          <w:b/>
          <w:bCs/>
          <w:rtl/>
        </w:rPr>
        <w:t>ב"י</w:t>
      </w:r>
      <w:r w:rsidR="00A477F2">
        <w:rPr>
          <w:rFonts w:hint="cs"/>
          <w:rtl/>
        </w:rPr>
        <w:t>.</w:t>
      </w:r>
    </w:p>
  </w:footnote>
  <w:footnote w:id="1972">
    <w:p w14:paraId="0950EF4C" w14:textId="011D2AEC" w:rsidR="00A477F2" w:rsidRDefault="00A477F2" w:rsidP="00285819">
      <w:pPr>
        <w:pStyle w:val="a7"/>
      </w:pPr>
      <w:r>
        <w:rPr>
          <w:rStyle w:val="a9"/>
        </w:rPr>
        <w:footnoteRef/>
      </w:r>
      <w:r>
        <w:rPr>
          <w:rtl/>
        </w:rPr>
        <w:t xml:space="preserve"> </w:t>
      </w:r>
      <w:r>
        <w:rPr>
          <w:rFonts w:cs="Arial"/>
          <w:rtl/>
        </w:rPr>
        <w:t>ופירש רש"י מי חיישינן לטרחא יתירה או לא</w:t>
      </w:r>
      <w:r>
        <w:rPr>
          <w:rFonts w:cs="Arial" w:hint="cs"/>
          <w:rtl/>
        </w:rPr>
        <w:t>.</w:t>
      </w:r>
      <w:r>
        <w:rPr>
          <w:rFonts w:cs="Arial"/>
          <w:rtl/>
        </w:rPr>
        <w:t xml:space="preserve"> והתוספות (שם: ד"ה מהו) והר"ן (שם ד"ה בעא) פירשו מי אמרינן כי שרו רבנן לטלטל אבנים הני מילי כשאין לו מקום ליפנות שאי אפשר להכניסן מבעוד יום</w:t>
      </w:r>
      <w:r>
        <w:rPr>
          <w:rFonts w:cs="Arial" w:hint="cs"/>
          <w:rtl/>
        </w:rPr>
        <w:t>,</w:t>
      </w:r>
      <w:r>
        <w:rPr>
          <w:rFonts w:cs="Arial"/>
          <w:rtl/>
        </w:rPr>
        <w:t xml:space="preserve"> אבל כשנפנה לגג בתוך ביתו כיון שיש לו מקום קבוע אסור</w:t>
      </w:r>
      <w:r>
        <w:rPr>
          <w:rFonts w:cs="Arial" w:hint="cs"/>
          <w:rtl/>
        </w:rPr>
        <w:t>,</w:t>
      </w:r>
      <w:r>
        <w:rPr>
          <w:rFonts w:cs="Arial"/>
          <w:rtl/>
        </w:rPr>
        <w:t xml:space="preserve"> שהיה לו להכינם מאתמול</w:t>
      </w:r>
      <w:r>
        <w:rPr>
          <w:rFonts w:cs="Arial" w:hint="cs"/>
          <w:rtl/>
        </w:rPr>
        <w:t>.</w:t>
      </w:r>
      <w:r>
        <w:rPr>
          <w:rFonts w:cs="Arial"/>
          <w:rtl/>
        </w:rPr>
        <w:t xml:space="preserve"> אמר ליה גדול כבוד הבריות שדוחה את לא תעשה שבתורה</w:t>
      </w:r>
      <w:r>
        <w:rPr>
          <w:rFonts w:cs="Arial" w:hint="cs"/>
          <w:rtl/>
        </w:rPr>
        <w:t>, ב"י.</w:t>
      </w:r>
    </w:p>
  </w:footnote>
  <w:footnote w:id="1973">
    <w:p w14:paraId="02B9FA92" w14:textId="57FF57C0" w:rsidR="00DA0F8A" w:rsidRDefault="00DA0F8A" w:rsidP="00285819">
      <w:pPr>
        <w:pStyle w:val="a7"/>
        <w:rPr>
          <w:rtl/>
        </w:rPr>
      </w:pPr>
      <w:r>
        <w:rPr>
          <w:rStyle w:val="a9"/>
        </w:rPr>
        <w:footnoteRef/>
      </w:r>
      <w:r>
        <w:rPr>
          <w:rtl/>
        </w:rPr>
        <w:t xml:space="preserve"> </w:t>
      </w:r>
      <w:r w:rsidRPr="00DA0F8A">
        <w:rPr>
          <w:rFonts w:cs="Arial"/>
          <w:rtl/>
        </w:rPr>
        <w:t>כשיעורן כאן, כך שיעורן כאן</w:t>
      </w:r>
      <w:r>
        <w:rPr>
          <w:rFonts w:hint="cs"/>
          <w:rtl/>
        </w:rPr>
        <w:t>, רש"י.</w:t>
      </w:r>
    </w:p>
  </w:footnote>
  <w:footnote w:id="1974">
    <w:p w14:paraId="2A4AA7C3" w14:textId="1AB90CD6" w:rsidR="00DA0F8A" w:rsidRDefault="00DA0F8A" w:rsidP="00285819">
      <w:pPr>
        <w:pStyle w:val="a7"/>
      </w:pPr>
      <w:r>
        <w:rPr>
          <w:rStyle w:val="a9"/>
        </w:rPr>
        <w:footnoteRef/>
      </w:r>
      <w:r>
        <w:rPr>
          <w:rtl/>
        </w:rPr>
        <w:t xml:space="preserve"> </w:t>
      </w:r>
      <w:r w:rsidRPr="00DA0F8A">
        <w:rPr>
          <w:rFonts w:cs="Arial"/>
          <w:rtl/>
        </w:rPr>
        <w:t>בתוך ארבע אמות, ובית כסא בשדה, ואינו מוקף מחיצות, ואין כאן אלא טלטול דרבנן, ומשום כבוד הבריות לא גזור</w:t>
      </w:r>
      <w:r>
        <w:rPr>
          <w:rFonts w:cs="Arial" w:hint="cs"/>
          <w:rtl/>
        </w:rPr>
        <w:t>, רש"י.</w:t>
      </w:r>
    </w:p>
  </w:footnote>
  <w:footnote w:id="1975">
    <w:p w14:paraId="2D8669F7" w14:textId="1A6EEC0C" w:rsidR="00DA0F8A" w:rsidRDefault="00DA0F8A" w:rsidP="00285819">
      <w:pPr>
        <w:pStyle w:val="a7"/>
        <w:rPr>
          <w:rtl/>
        </w:rPr>
      </w:pPr>
      <w:r>
        <w:rPr>
          <w:rStyle w:val="a9"/>
        </w:rPr>
        <w:footnoteRef/>
      </w:r>
      <w:r>
        <w:rPr>
          <w:rtl/>
        </w:rPr>
        <w:t xml:space="preserve"> </w:t>
      </w:r>
      <w:r w:rsidRPr="00DA0F8A">
        <w:rPr>
          <w:rFonts w:cs="Arial"/>
          <w:rtl/>
        </w:rPr>
        <w:t>קסבר: בהכי חזיא לקינוח, אבל גדולה לא חזיא</w:t>
      </w:r>
      <w:r>
        <w:rPr>
          <w:rFonts w:hint="cs"/>
          <w:rtl/>
        </w:rPr>
        <w:t>, רש"י.</w:t>
      </w:r>
    </w:p>
  </w:footnote>
  <w:footnote w:id="1976">
    <w:p w14:paraId="6D0EE85D" w14:textId="752912F7" w:rsidR="00EB0A41" w:rsidRDefault="00EB0A41" w:rsidP="00285819">
      <w:pPr>
        <w:pStyle w:val="a7"/>
      </w:pPr>
      <w:r>
        <w:rPr>
          <w:rStyle w:val="a9"/>
        </w:rPr>
        <w:footnoteRef/>
      </w:r>
      <w:r>
        <w:rPr>
          <w:rtl/>
        </w:rPr>
        <w:t xml:space="preserve"> </w:t>
      </w:r>
      <w:r w:rsidRPr="00EB0A41">
        <w:rPr>
          <w:rFonts w:cs="Arial"/>
          <w:rtl/>
        </w:rPr>
        <w:t>וה"ה צרורות או שאר דבר כה"ג דלאו בר טלטול הוא</w:t>
      </w:r>
      <w:r>
        <w:rPr>
          <w:rFonts w:cs="Arial" w:hint="cs"/>
          <w:rtl/>
        </w:rPr>
        <w:t>, משנ"ב (סק"א).</w:t>
      </w:r>
    </w:p>
  </w:footnote>
  <w:footnote w:id="1977">
    <w:p w14:paraId="26C416A9" w14:textId="3595D11C" w:rsidR="00EB0A41" w:rsidRDefault="00EB0A41" w:rsidP="00285819">
      <w:pPr>
        <w:pStyle w:val="a7"/>
      </w:pPr>
      <w:r>
        <w:rPr>
          <w:rStyle w:val="a9"/>
        </w:rPr>
        <w:footnoteRef/>
      </w:r>
      <w:r>
        <w:rPr>
          <w:rtl/>
        </w:rPr>
        <w:t xml:space="preserve"> </w:t>
      </w:r>
      <w:r w:rsidRPr="00EB0A41">
        <w:rPr>
          <w:rFonts w:cs="Arial"/>
          <w:rtl/>
        </w:rPr>
        <w:t>ברי"ף ורא"ש איתא כשעור ראש בוכנא קטנה שדכין בו את הבושם וכן משמע בטור</w:t>
      </w:r>
      <w:r>
        <w:rPr>
          <w:rFonts w:cs="Arial" w:hint="cs"/>
          <w:rtl/>
        </w:rPr>
        <w:t>, משנ"ב (סק"ד).</w:t>
      </w:r>
    </w:p>
  </w:footnote>
  <w:footnote w:id="1978">
    <w:p w14:paraId="727DDEB4" w14:textId="36279897" w:rsidR="0031049A" w:rsidRDefault="0031049A" w:rsidP="00285819">
      <w:pPr>
        <w:pStyle w:val="a7"/>
      </w:pPr>
      <w:r>
        <w:rPr>
          <w:rStyle w:val="a9"/>
        </w:rPr>
        <w:footnoteRef/>
      </w:r>
      <w:r>
        <w:rPr>
          <w:rtl/>
        </w:rPr>
        <w:t xml:space="preserve"> </w:t>
      </w:r>
      <w:r w:rsidRPr="0031049A">
        <w:rPr>
          <w:rFonts w:cs="Arial"/>
          <w:rtl/>
        </w:rPr>
        <w:t>משמע מלשון זה דאם אינו ניכר אף שידוע שקינח בו אסור ליקח ממנו מלא היד אם אין לו מקום קבוע</w:t>
      </w:r>
      <w:r>
        <w:rPr>
          <w:rFonts w:cs="Arial" w:hint="cs"/>
          <w:rtl/>
        </w:rPr>
        <w:t>.</w:t>
      </w:r>
      <w:r w:rsidRPr="0031049A">
        <w:rPr>
          <w:rFonts w:cs="Arial"/>
          <w:rtl/>
        </w:rPr>
        <w:t xml:space="preserve"> ויש מקילין בזה דכיון שידוע שקינח בו הוי כניכר</w:t>
      </w:r>
      <w:r>
        <w:rPr>
          <w:rFonts w:cs="Arial" w:hint="cs"/>
          <w:rtl/>
        </w:rPr>
        <w:t>, משנ"ב (סק"ה).</w:t>
      </w:r>
    </w:p>
  </w:footnote>
  <w:footnote w:id="1979">
    <w:p w14:paraId="603C2D73" w14:textId="5E5D145B" w:rsidR="0031049A" w:rsidRDefault="0031049A" w:rsidP="00285819">
      <w:pPr>
        <w:pStyle w:val="a7"/>
      </w:pPr>
      <w:r>
        <w:rPr>
          <w:rStyle w:val="a9"/>
        </w:rPr>
        <w:footnoteRef/>
      </w:r>
      <w:r>
        <w:rPr>
          <w:rtl/>
        </w:rPr>
        <w:t xml:space="preserve"> </w:t>
      </w:r>
      <w:r w:rsidRPr="0031049A">
        <w:rPr>
          <w:rFonts w:cs="Arial"/>
          <w:rtl/>
        </w:rPr>
        <w:t>היינו מע"ש ומיירי כשלא יחדן מע"ש בפירוש לכך דאם יחדן אפילו לא קינח בהן מעולם מותר להכניסן כמה שירצה וה"ה נייר חלק שמקפיד עליו דיש בו משום מוקצה ג"כ מהני יחוד מע"ש דעי"ז הוסר מעליו שם מוקצה ומותר להכניס לבהכ"ס כמה שירצה ואם לא יחדן אינו מותר להכניס לבהכ"ס שאינו קבוע רק כפי צרכו לפעם זה בלבד ואסור לקרוע הנייר בשבת וכמבואר לקמן בסימן ש"מ סי"ג ע"ש במ"ב</w:t>
      </w:r>
      <w:r>
        <w:rPr>
          <w:rFonts w:cs="Arial" w:hint="cs"/>
          <w:rtl/>
        </w:rPr>
        <w:t>, משנ"ב (סק"ו).</w:t>
      </w:r>
    </w:p>
  </w:footnote>
  <w:footnote w:id="1980">
    <w:p w14:paraId="1E035E3C" w14:textId="51354514" w:rsidR="0031049A" w:rsidRDefault="0031049A" w:rsidP="00285819">
      <w:pPr>
        <w:pStyle w:val="a7"/>
        <w:rPr>
          <w:rtl/>
        </w:rPr>
      </w:pPr>
      <w:r>
        <w:rPr>
          <w:rStyle w:val="a9"/>
        </w:rPr>
        <w:footnoteRef/>
      </w:r>
      <w:r>
        <w:rPr>
          <w:rtl/>
        </w:rPr>
        <w:t xml:space="preserve"> </w:t>
      </w:r>
      <w:r w:rsidRPr="0031049A">
        <w:rPr>
          <w:rFonts w:cs="Arial"/>
          <w:rtl/>
        </w:rPr>
        <w:t>וכן עיקר [א"ר]</w:t>
      </w:r>
      <w:r>
        <w:rPr>
          <w:rFonts w:cs="Arial" w:hint="cs"/>
          <w:rtl/>
        </w:rPr>
        <w:t>.</w:t>
      </w:r>
      <w:r w:rsidRPr="0031049A">
        <w:rPr>
          <w:rFonts w:cs="Arial"/>
          <w:rtl/>
        </w:rPr>
        <w:t xml:space="preserve"> ור</w:t>
      </w:r>
      <w:r>
        <w:rPr>
          <w:rFonts w:cs="Arial" w:hint="cs"/>
          <w:rtl/>
        </w:rPr>
        <w:t>שות הרבים</w:t>
      </w:r>
      <w:r w:rsidRPr="0031049A">
        <w:rPr>
          <w:rFonts w:cs="Arial"/>
          <w:rtl/>
        </w:rPr>
        <w:t xml:space="preserve"> דידן אף שלהרבה פוסקים דינו ככרמלית מ"מ אין להקל</w:t>
      </w:r>
      <w:r>
        <w:rPr>
          <w:rFonts w:hint="cs"/>
          <w:rtl/>
        </w:rPr>
        <w:t>, משנ"ב (סק"ח).</w:t>
      </w:r>
    </w:p>
  </w:footnote>
  <w:footnote w:id="1981">
    <w:p w14:paraId="33B239C0" w14:textId="77777777" w:rsidR="0031049A" w:rsidRDefault="0031049A" w:rsidP="00285819">
      <w:pPr>
        <w:pStyle w:val="a7"/>
      </w:pPr>
      <w:r>
        <w:rPr>
          <w:rStyle w:val="a9"/>
        </w:rPr>
        <w:footnoteRef/>
      </w:r>
      <w:r>
        <w:rPr>
          <w:rtl/>
        </w:rPr>
        <w:t xml:space="preserve"> </w:t>
      </w:r>
      <w:r w:rsidRPr="004441DC">
        <w:rPr>
          <w:rFonts w:cs="Arial"/>
          <w:rtl/>
        </w:rPr>
        <w:t>שאם ישתיירו לו ערבית יקנח בהם שחרית - מכניס שם מלא יד</w:t>
      </w:r>
      <w:r>
        <w:rPr>
          <w:rFonts w:cs="Arial" w:hint="cs"/>
          <w:rtl/>
        </w:rPr>
        <w:t>, רש"י.</w:t>
      </w:r>
    </w:p>
  </w:footnote>
  <w:footnote w:id="1982">
    <w:p w14:paraId="575E4FB8" w14:textId="68D73A7E" w:rsidR="0031049A" w:rsidRDefault="0031049A" w:rsidP="00285819">
      <w:pPr>
        <w:pStyle w:val="a7"/>
        <w:rPr>
          <w:rtl/>
        </w:rPr>
      </w:pPr>
      <w:r>
        <w:rPr>
          <w:rStyle w:val="a9"/>
        </w:rPr>
        <w:footnoteRef/>
      </w:r>
      <w:r>
        <w:rPr>
          <w:rtl/>
        </w:rPr>
        <w:t xml:space="preserve"> </w:t>
      </w:r>
      <w:r w:rsidRPr="004441DC">
        <w:rPr>
          <w:rFonts w:cs="Arial"/>
          <w:rtl/>
        </w:rPr>
        <w:t>כשיעור המכריע, כאגוז נפיש מכזית וזוטר מכביצה</w:t>
      </w:r>
      <w:r>
        <w:rPr>
          <w:rFonts w:hint="cs"/>
          <w:rtl/>
        </w:rPr>
        <w:t>, רש"י.</w:t>
      </w:r>
      <w:r w:rsidR="000F32AA">
        <w:rPr>
          <w:rFonts w:hint="cs"/>
          <w:rtl/>
        </w:rPr>
        <w:t xml:space="preserve"> כן פירש רש"י, ומכאן והלאה מילתא באפי נפשא היא, ולכן יש לשים נקודה. אך לדברי הרי"ף תוס' רא"ש ור"ן אין לשים פה נקודה מכיון שהמילה 'כהכרע' דבוקה להמשך המשפט</w:t>
      </w:r>
      <w:r w:rsidR="00A23EBC">
        <w:rPr>
          <w:rFonts w:hint="cs"/>
          <w:rtl/>
        </w:rPr>
        <w:t xml:space="preserve">, ורק </w:t>
      </w:r>
      <w:r w:rsidR="00AB6216">
        <w:rPr>
          <w:rFonts w:hint="cs"/>
          <w:rtl/>
        </w:rPr>
        <w:t xml:space="preserve">לאחר </w:t>
      </w:r>
      <w:r w:rsidR="00A23EBC">
        <w:rPr>
          <w:rFonts w:hint="cs"/>
          <w:rtl/>
        </w:rPr>
        <w:t>דברי רב ששת והלאה היא מלתא באפי נפשא</w:t>
      </w:r>
      <w:r w:rsidR="000F32AA">
        <w:rPr>
          <w:rFonts w:hint="cs"/>
          <w:rtl/>
        </w:rPr>
        <w:t>.</w:t>
      </w:r>
    </w:p>
  </w:footnote>
  <w:footnote w:id="1983">
    <w:p w14:paraId="58251EEF" w14:textId="77777777" w:rsidR="0031049A" w:rsidRDefault="0031049A" w:rsidP="00285819">
      <w:pPr>
        <w:pStyle w:val="a7"/>
      </w:pPr>
      <w:r>
        <w:rPr>
          <w:rStyle w:val="a9"/>
        </w:rPr>
        <w:footnoteRef/>
      </w:r>
      <w:r>
        <w:rPr>
          <w:rtl/>
        </w:rPr>
        <w:t xml:space="preserve"> </w:t>
      </w:r>
      <w:r w:rsidRPr="004441DC">
        <w:rPr>
          <w:rFonts w:cs="Arial"/>
          <w:rtl/>
        </w:rPr>
        <w:t>מלאכתה לאיסור, אסור לטלטל</w:t>
      </w:r>
      <w:r>
        <w:rPr>
          <w:rFonts w:cs="Arial" w:hint="cs"/>
          <w:rtl/>
        </w:rPr>
        <w:t>, רש"י.</w:t>
      </w:r>
    </w:p>
  </w:footnote>
  <w:footnote w:id="1984">
    <w:p w14:paraId="23208F8B" w14:textId="0DDEE9E2" w:rsidR="0031049A" w:rsidRDefault="0031049A" w:rsidP="00285819">
      <w:pPr>
        <w:pStyle w:val="a7"/>
        <w:rPr>
          <w:rtl/>
        </w:rPr>
      </w:pPr>
      <w:r>
        <w:rPr>
          <w:rStyle w:val="a9"/>
        </w:rPr>
        <w:footnoteRef/>
      </w:r>
      <w:r>
        <w:rPr>
          <w:rtl/>
        </w:rPr>
        <w:t xml:space="preserve"> </w:t>
      </w:r>
      <w:r w:rsidRPr="004441DC">
        <w:rPr>
          <w:rFonts w:cs="Arial"/>
          <w:rtl/>
        </w:rPr>
        <w:t>קנוח, המעיד שעשויה לכך - מותר לטלטלה</w:t>
      </w:r>
      <w:r w:rsidR="00A23EBC">
        <w:rPr>
          <w:rFonts w:cs="Arial" w:hint="cs"/>
          <w:sz w:val="14"/>
          <w:szCs w:val="14"/>
          <w:rtl/>
        </w:rPr>
        <w:t xml:space="preserve"> {את המדוכה}</w:t>
      </w:r>
      <w:r w:rsidRPr="004441DC">
        <w:rPr>
          <w:rFonts w:cs="Arial"/>
          <w:rtl/>
        </w:rPr>
        <w:t xml:space="preserve"> </w:t>
      </w:r>
      <w:r w:rsidRPr="0080220E">
        <w:rPr>
          <w:rFonts w:cs="Arial"/>
          <w:rtl/>
        </w:rPr>
        <w:t>לקינוח</w:t>
      </w:r>
      <w:r w:rsidRPr="0080220E">
        <w:rPr>
          <w:rFonts w:cs="Arial" w:hint="cs"/>
          <w:rtl/>
        </w:rPr>
        <w:t>, רש"י.</w:t>
      </w:r>
      <w:r w:rsidRPr="0080220E">
        <w:rPr>
          <w:rFonts w:cs="Arial"/>
          <w:rtl/>
        </w:rPr>
        <w:t xml:space="preserve"> והר"ן (שם ד"ה א"ר ינאי) </w:t>
      </w:r>
      <w:r w:rsidR="00A23EBC">
        <w:rPr>
          <w:rFonts w:cs="Arial" w:hint="cs"/>
          <w:rtl/>
        </w:rPr>
        <w:t xml:space="preserve">לשיטתו </w:t>
      </w:r>
      <w:r w:rsidR="0080220E" w:rsidRPr="0080220E">
        <w:rPr>
          <w:rFonts w:cs="Arial" w:hint="cs"/>
          <w:rtl/>
        </w:rPr>
        <w:t xml:space="preserve">פירש דמיירי על האבנים שדיברו בהם לעיל, </w:t>
      </w:r>
      <w:r w:rsidR="00AB6216">
        <w:rPr>
          <w:rFonts w:cs="Arial" w:hint="cs"/>
          <w:rtl/>
        </w:rPr>
        <w:t xml:space="preserve">מפרש </w:t>
      </w:r>
      <w:r w:rsidR="0080220E" w:rsidRPr="0080220E">
        <w:rPr>
          <w:rFonts w:cs="Arial" w:hint="cs"/>
          <w:rtl/>
        </w:rPr>
        <w:t>ש</w:t>
      </w:r>
      <w:r w:rsidRPr="0080220E">
        <w:rPr>
          <w:rFonts w:cs="Arial"/>
          <w:rtl/>
        </w:rPr>
        <w:t>אפילו אבן גדולה</w:t>
      </w:r>
      <w:r w:rsidRPr="0080220E">
        <w:rPr>
          <w:rFonts w:cs="Arial" w:hint="cs"/>
          <w:rtl/>
        </w:rPr>
        <w:t>,</w:t>
      </w:r>
      <w:r w:rsidRPr="0080220E">
        <w:rPr>
          <w:rFonts w:cs="Arial"/>
          <w:rtl/>
        </w:rPr>
        <w:t xml:space="preserve"> כל שיש עליה עד </w:t>
      </w:r>
      <w:r w:rsidR="00AB6216">
        <w:rPr>
          <w:rFonts w:cs="Arial" w:hint="cs"/>
          <w:rtl/>
        </w:rPr>
        <w:t xml:space="preserve">- </w:t>
      </w:r>
      <w:r w:rsidRPr="0080220E">
        <w:rPr>
          <w:rFonts w:cs="Arial"/>
          <w:rtl/>
        </w:rPr>
        <w:t>מותר לטלטלה</w:t>
      </w:r>
      <w:r>
        <w:rPr>
          <w:rFonts w:cs="Arial" w:hint="cs"/>
          <w:rtl/>
        </w:rPr>
        <w:t>,</w:t>
      </w:r>
      <w:r>
        <w:rPr>
          <w:rFonts w:cs="Arial"/>
          <w:rtl/>
        </w:rPr>
        <w:t xml:space="preserve"> שמוכנת היא לכך</w:t>
      </w:r>
      <w:r>
        <w:rPr>
          <w:rFonts w:cs="Arial" w:hint="cs"/>
          <w:rtl/>
        </w:rPr>
        <w:t>.</w:t>
      </w:r>
      <w:r>
        <w:rPr>
          <w:rFonts w:cs="Arial"/>
          <w:rtl/>
        </w:rPr>
        <w:t xml:space="preserve"> וכן כתבו התוספות (שבת פא. ד"ה ואם)</w:t>
      </w:r>
      <w:r w:rsidR="0080220E">
        <w:rPr>
          <w:rFonts w:cs="Arial" w:hint="cs"/>
          <w:rtl/>
        </w:rPr>
        <w:t>.</w:t>
      </w:r>
      <w:r>
        <w:rPr>
          <w:rFonts w:cs="Arial"/>
          <w:rtl/>
        </w:rPr>
        <w:t xml:space="preserve"> </w:t>
      </w:r>
      <w:r w:rsidR="0080220E">
        <w:rPr>
          <w:rFonts w:cs="Arial" w:hint="cs"/>
          <w:rtl/>
        </w:rPr>
        <w:t xml:space="preserve">וגם </w:t>
      </w:r>
      <w:r>
        <w:rPr>
          <w:rFonts w:cs="Arial"/>
          <w:rtl/>
        </w:rPr>
        <w:t xml:space="preserve">הרי"ף </w:t>
      </w:r>
      <w:r w:rsidRPr="00D172C6">
        <w:rPr>
          <w:rFonts w:cs="Arial"/>
          <w:sz w:val="16"/>
          <w:szCs w:val="16"/>
          <w:rtl/>
        </w:rPr>
        <w:t>(לד.</w:t>
      </w:r>
      <w:r w:rsidR="0080220E">
        <w:rPr>
          <w:rFonts w:cs="Arial" w:hint="cs"/>
          <w:sz w:val="16"/>
          <w:szCs w:val="16"/>
          <w:rtl/>
        </w:rPr>
        <w:t>)</w:t>
      </w:r>
      <w:r w:rsidRPr="00D172C6">
        <w:rPr>
          <w:rFonts w:cs="Arial" w:hint="cs"/>
          <w:sz w:val="16"/>
          <w:szCs w:val="16"/>
          <w:rtl/>
        </w:rPr>
        <w:t xml:space="preserve"> </w:t>
      </w:r>
      <w:r w:rsidR="0080220E">
        <w:rPr>
          <w:rFonts w:cs="Arial" w:hint="cs"/>
          <w:rtl/>
        </w:rPr>
        <w:t>פירש</w:t>
      </w:r>
      <w:r w:rsidRPr="0080220E">
        <w:rPr>
          <w:rFonts w:cs="Arial" w:hint="cs"/>
          <w:rtl/>
        </w:rPr>
        <w:t xml:space="preserve"> </w:t>
      </w:r>
      <w:r w:rsidR="0080220E">
        <w:rPr>
          <w:rFonts w:cs="Arial" w:hint="cs"/>
          <w:rtl/>
        </w:rPr>
        <w:t>דמיירי על האבנים,</w:t>
      </w:r>
      <w:r w:rsidR="00A23EBC">
        <w:rPr>
          <w:rFonts w:cs="Arial" w:hint="cs"/>
          <w:rtl/>
        </w:rPr>
        <w:t xml:space="preserve"> </w:t>
      </w:r>
      <w:r w:rsidR="0080220E">
        <w:rPr>
          <w:rFonts w:cs="Arial" w:hint="cs"/>
          <w:rtl/>
        </w:rPr>
        <w:t>אבל כתב</w:t>
      </w:r>
      <w:r w:rsidRPr="0080220E">
        <w:rPr>
          <w:rFonts w:cs="Arial"/>
          <w:rtl/>
        </w:rPr>
        <w:t xml:space="preserve"> </w:t>
      </w:r>
      <w:r w:rsidR="00A23EBC">
        <w:rPr>
          <w:rFonts w:cs="Arial" w:hint="cs"/>
          <w:rtl/>
        </w:rPr>
        <w:t>ש</w:t>
      </w:r>
      <w:r w:rsidRPr="0080220E">
        <w:rPr>
          <w:rFonts w:cs="Arial"/>
          <w:rtl/>
        </w:rPr>
        <w:t xml:space="preserve">רבנן </w:t>
      </w:r>
      <w:r w:rsidR="00A23EBC">
        <w:rPr>
          <w:rFonts w:cs="Arial" w:hint="cs"/>
          <w:rtl/>
        </w:rPr>
        <w:t>פרישו את המילה '</w:t>
      </w:r>
      <w:r w:rsidRPr="0080220E">
        <w:rPr>
          <w:rFonts w:cs="Arial"/>
          <w:rtl/>
        </w:rPr>
        <w:t>עד</w:t>
      </w:r>
      <w:r w:rsidR="00A23EBC">
        <w:rPr>
          <w:rFonts w:cs="Arial" w:hint="cs"/>
          <w:rtl/>
        </w:rPr>
        <w:t>'</w:t>
      </w:r>
      <w:r w:rsidRPr="0080220E">
        <w:rPr>
          <w:rFonts w:cs="Arial"/>
          <w:rtl/>
        </w:rPr>
        <w:t xml:space="preserve"> כגון סמרטוטין</w:t>
      </w:r>
      <w:r>
        <w:rPr>
          <w:rFonts w:hint="cs"/>
          <w:rtl/>
        </w:rPr>
        <w:t>.</w:t>
      </w:r>
    </w:p>
  </w:footnote>
  <w:footnote w:id="1985">
    <w:p w14:paraId="64545E4F" w14:textId="23EBE0DF" w:rsidR="0080220E" w:rsidRDefault="0080220E" w:rsidP="00285819">
      <w:pPr>
        <w:pStyle w:val="a7"/>
      </w:pPr>
      <w:r>
        <w:rPr>
          <w:rStyle w:val="a9"/>
        </w:rPr>
        <w:footnoteRef/>
      </w:r>
      <w:r>
        <w:rPr>
          <w:rtl/>
        </w:rPr>
        <w:t xml:space="preserve"> </w:t>
      </w:r>
      <w:r>
        <w:rPr>
          <w:rFonts w:hint="cs"/>
          <w:rtl/>
        </w:rPr>
        <w:t>אותו עד,</w:t>
      </w:r>
      <w:r w:rsidR="00AB6216">
        <w:rPr>
          <w:rFonts w:hint="cs"/>
          <w:rtl/>
        </w:rPr>
        <w:t xml:space="preserve"> </w:t>
      </w:r>
      <w:r>
        <w:rPr>
          <w:rFonts w:hint="cs"/>
          <w:rtl/>
        </w:rPr>
        <w:t>רש"י.</w:t>
      </w:r>
    </w:p>
  </w:footnote>
  <w:footnote w:id="1986">
    <w:p w14:paraId="6F119145" w14:textId="6537C8A5" w:rsidR="0080220E" w:rsidRDefault="0080220E" w:rsidP="00285819">
      <w:pPr>
        <w:pStyle w:val="a7"/>
      </w:pPr>
      <w:r>
        <w:rPr>
          <w:rStyle w:val="a9"/>
        </w:rPr>
        <w:footnoteRef/>
      </w:r>
      <w:r>
        <w:rPr>
          <w:rtl/>
        </w:rPr>
        <w:t xml:space="preserve"> </w:t>
      </w:r>
      <w:r w:rsidRPr="0080220E">
        <w:rPr>
          <w:rFonts w:cs="Arial"/>
          <w:rtl/>
        </w:rPr>
        <w:t>מי בטיל לייחוד דידהו, או לא</w:t>
      </w:r>
      <w:r>
        <w:rPr>
          <w:rFonts w:cs="Arial" w:hint="cs"/>
          <w:rtl/>
        </w:rPr>
        <w:t>, רש"י.</w:t>
      </w:r>
    </w:p>
  </w:footnote>
  <w:footnote w:id="1987">
    <w:p w14:paraId="6B53969C" w14:textId="5AB715E9" w:rsidR="0080220E" w:rsidRDefault="0080220E" w:rsidP="00285819">
      <w:pPr>
        <w:pStyle w:val="a7"/>
        <w:rPr>
          <w:rtl/>
        </w:rPr>
      </w:pPr>
      <w:r>
        <w:rPr>
          <w:rStyle w:val="a9"/>
        </w:rPr>
        <w:footnoteRef/>
      </w:r>
      <w:r>
        <w:rPr>
          <w:rtl/>
        </w:rPr>
        <w:t xml:space="preserve"> </w:t>
      </w:r>
      <w:r w:rsidRPr="0080220E">
        <w:rPr>
          <w:rFonts w:cs="Arial"/>
          <w:rtl/>
        </w:rPr>
        <w:t>דכיון דמאיס לא חזי לבשמים, ולא מיבטל ליה מבית הכסא</w:t>
      </w:r>
      <w:r>
        <w:rPr>
          <w:rFonts w:hint="cs"/>
          <w:rtl/>
        </w:rPr>
        <w:t>, רש"י.</w:t>
      </w:r>
    </w:p>
  </w:footnote>
  <w:footnote w:id="1988">
    <w:p w14:paraId="773E8011" w14:textId="1DC25FA8" w:rsidR="00C637FF" w:rsidRDefault="00C637FF" w:rsidP="00285819">
      <w:pPr>
        <w:pStyle w:val="a7"/>
      </w:pPr>
      <w:r>
        <w:rPr>
          <w:rStyle w:val="a9"/>
        </w:rPr>
        <w:footnoteRef/>
      </w:r>
      <w:r>
        <w:rPr>
          <w:rtl/>
        </w:rPr>
        <w:t xml:space="preserve"> </w:t>
      </w:r>
      <w:r w:rsidRPr="00C637FF">
        <w:rPr>
          <w:rFonts w:cs="Arial"/>
          <w:rtl/>
        </w:rPr>
        <w:t>היינו שהכניסן מתחלה לקנח בהן ואח"כ ירדו עליהן גשמים ונטבעו בקרקע או בטיט</w:t>
      </w:r>
      <w:r>
        <w:rPr>
          <w:rFonts w:cs="Arial" w:hint="cs"/>
          <w:rtl/>
        </w:rPr>
        <w:t>, משנ"ב (סק"ט).</w:t>
      </w:r>
    </w:p>
  </w:footnote>
  <w:footnote w:id="1989">
    <w:p w14:paraId="57D38D86" w14:textId="17EFCB9F" w:rsidR="00C637FF" w:rsidRDefault="00C637FF" w:rsidP="00285819">
      <w:pPr>
        <w:pStyle w:val="a7"/>
      </w:pPr>
      <w:r>
        <w:rPr>
          <w:rStyle w:val="a9"/>
        </w:rPr>
        <w:footnoteRef/>
      </w:r>
      <w:r>
        <w:rPr>
          <w:rtl/>
        </w:rPr>
        <w:t xml:space="preserve"> </w:t>
      </w:r>
      <w:r w:rsidRPr="00C637FF">
        <w:rPr>
          <w:rFonts w:cs="Arial"/>
          <w:rtl/>
        </w:rPr>
        <w:t>היינו שניכרין למעלה מן הקרקע ולא נטבעו בקרקע לגמרי</w:t>
      </w:r>
      <w:r>
        <w:rPr>
          <w:rFonts w:cs="Arial" w:hint="cs"/>
          <w:rtl/>
        </w:rPr>
        <w:t>, משנ"ב (סק"י).</w:t>
      </w:r>
    </w:p>
  </w:footnote>
  <w:footnote w:id="1990">
    <w:p w14:paraId="2CACE248" w14:textId="7D016155" w:rsidR="00C637FF" w:rsidRDefault="00C637FF" w:rsidP="00285819">
      <w:pPr>
        <w:pStyle w:val="a7"/>
      </w:pPr>
      <w:r>
        <w:rPr>
          <w:rStyle w:val="a9"/>
        </w:rPr>
        <w:footnoteRef/>
      </w:r>
      <w:r>
        <w:rPr>
          <w:rtl/>
        </w:rPr>
        <w:t xml:space="preserve"> </w:t>
      </w:r>
      <w:r w:rsidRPr="00C637FF">
        <w:rPr>
          <w:rFonts w:cs="Arial"/>
          <w:rtl/>
        </w:rPr>
        <w:t>ר"ל אפילו אם היה זה באיזה רצפה שבחצר והו"א דיש בזה חשש סתירה שסותר הרצפה בזה שנוטל האבן או דהו"א דטוחן בנטילתו את העפר שסביבו קמ"ל דשרי</w:t>
      </w:r>
      <w:r>
        <w:rPr>
          <w:rFonts w:cs="Arial" w:hint="cs"/>
          <w:rtl/>
        </w:rPr>
        <w:t>, משנ"ב (סקי"א).</w:t>
      </w:r>
    </w:p>
  </w:footnote>
  <w:footnote w:id="1991">
    <w:p w14:paraId="59DA06E1" w14:textId="5BC4F50A" w:rsidR="00C637FF" w:rsidRDefault="00C637FF" w:rsidP="00285819">
      <w:pPr>
        <w:pStyle w:val="a7"/>
      </w:pPr>
      <w:r>
        <w:rPr>
          <w:rStyle w:val="a9"/>
        </w:rPr>
        <w:footnoteRef/>
      </w:r>
      <w:r>
        <w:rPr>
          <w:rtl/>
        </w:rPr>
        <w:t xml:space="preserve"> </w:t>
      </w:r>
      <w:r w:rsidRPr="00C637FF">
        <w:rPr>
          <w:rFonts w:cs="Arial"/>
          <w:rtl/>
        </w:rPr>
        <w:t>דאינו מתכוין לתלוש, ומותר, דהלכה כר' שמעון</w:t>
      </w:r>
      <w:r>
        <w:rPr>
          <w:rFonts w:cs="Arial" w:hint="cs"/>
          <w:rtl/>
        </w:rPr>
        <w:t>, רש"י.</w:t>
      </w:r>
    </w:p>
  </w:footnote>
  <w:footnote w:id="1992">
    <w:p w14:paraId="56B3D037" w14:textId="4BE99EE9" w:rsidR="00C637FF" w:rsidRDefault="00C637FF" w:rsidP="00285819">
      <w:pPr>
        <w:pStyle w:val="a7"/>
        <w:rPr>
          <w:rtl/>
        </w:rPr>
      </w:pPr>
      <w:r>
        <w:rPr>
          <w:rStyle w:val="a9"/>
        </w:rPr>
        <w:footnoteRef/>
      </w:r>
      <w:r>
        <w:rPr>
          <w:rtl/>
        </w:rPr>
        <w:t xml:space="preserve"> </w:t>
      </w:r>
      <w:r w:rsidRPr="00C637FF">
        <w:rPr>
          <w:rFonts w:cs="Arial"/>
          <w:rtl/>
        </w:rPr>
        <w:t>במתכוין - חייב, דמקום גידולו הוא, אף על פי שהוא צרור ואינו עפר</w:t>
      </w:r>
      <w:r>
        <w:rPr>
          <w:rFonts w:hint="cs"/>
          <w:rtl/>
        </w:rPr>
        <w:t>, רש"י.</w:t>
      </w:r>
    </w:p>
  </w:footnote>
  <w:footnote w:id="1993">
    <w:p w14:paraId="65E87264" w14:textId="7B56EF7A" w:rsidR="008D2987" w:rsidRDefault="008D2987" w:rsidP="00285819">
      <w:pPr>
        <w:pStyle w:val="a7"/>
      </w:pPr>
      <w:r>
        <w:rPr>
          <w:rStyle w:val="a9"/>
        </w:rPr>
        <w:footnoteRef/>
      </w:r>
      <w:r>
        <w:rPr>
          <w:rtl/>
        </w:rPr>
        <w:t xml:space="preserve"> </w:t>
      </w:r>
      <w:r w:rsidRPr="008D2987">
        <w:rPr>
          <w:rFonts w:cs="Arial"/>
          <w:rtl/>
        </w:rPr>
        <w:t>דאמר: מותר לקנח בו, ולא אמרינן צרור זה העשבים שעלו מלחלוחית הקרקע הן יוצאין, וכשמגביהן הרי הוא כעוקרן מגידוליהן</w:t>
      </w:r>
      <w:r>
        <w:rPr>
          <w:rFonts w:cs="Arial" w:hint="cs"/>
          <w:rtl/>
        </w:rPr>
        <w:t>, רש"י.</w:t>
      </w:r>
    </w:p>
  </w:footnote>
  <w:footnote w:id="1994">
    <w:p w14:paraId="2B3D7308" w14:textId="77777777" w:rsidR="008D2987" w:rsidRDefault="008D2987" w:rsidP="00285819">
      <w:pPr>
        <w:pStyle w:val="a7"/>
        <w:rPr>
          <w:rtl/>
        </w:rPr>
      </w:pPr>
      <w:r>
        <w:rPr>
          <w:rStyle w:val="a9"/>
        </w:rPr>
        <w:footnoteRef/>
      </w:r>
      <w:r>
        <w:rPr>
          <w:rtl/>
        </w:rPr>
        <w:t xml:space="preserve"> </w:t>
      </w:r>
      <w:r w:rsidRPr="008D2987">
        <w:rPr>
          <w:rFonts w:cs="Arial"/>
          <w:rtl/>
        </w:rPr>
        <w:t>עציץ נקוב שזרעו בו</w:t>
      </w:r>
      <w:r>
        <w:rPr>
          <w:rFonts w:hint="cs"/>
          <w:rtl/>
        </w:rPr>
        <w:t>, רש"י.</w:t>
      </w:r>
    </w:p>
  </w:footnote>
  <w:footnote w:id="1995">
    <w:p w14:paraId="6595537B" w14:textId="0804EE16" w:rsidR="008D2987" w:rsidRDefault="008D2987" w:rsidP="00285819">
      <w:pPr>
        <w:pStyle w:val="a7"/>
        <w:rPr>
          <w:rtl/>
        </w:rPr>
      </w:pPr>
      <w:r>
        <w:rPr>
          <w:rStyle w:val="a9"/>
        </w:rPr>
        <w:footnoteRef/>
      </w:r>
      <w:r>
        <w:rPr>
          <w:rtl/>
        </w:rPr>
        <w:t xml:space="preserve"> </w:t>
      </w:r>
      <w:r w:rsidRPr="008D2987">
        <w:rPr>
          <w:rFonts w:cs="Arial"/>
          <w:rtl/>
        </w:rPr>
        <w:t>ולא אמרינן תולש הוא</w:t>
      </w:r>
      <w:r>
        <w:rPr>
          <w:rFonts w:hint="cs"/>
          <w:rtl/>
        </w:rPr>
        <w:t>, רש"י.</w:t>
      </w:r>
    </w:p>
  </w:footnote>
  <w:footnote w:id="1996">
    <w:p w14:paraId="20385A55" w14:textId="56BA871D" w:rsidR="008D2987" w:rsidRDefault="008D2987" w:rsidP="00285819">
      <w:pPr>
        <w:pStyle w:val="a7"/>
      </w:pPr>
      <w:r>
        <w:rPr>
          <w:rStyle w:val="a9"/>
        </w:rPr>
        <w:footnoteRef/>
      </w:r>
      <w:r>
        <w:rPr>
          <w:rtl/>
        </w:rPr>
        <w:t xml:space="preserve"> </w:t>
      </w:r>
      <w:r w:rsidRPr="008D2987">
        <w:rPr>
          <w:rFonts w:cs="Arial"/>
          <w:rtl/>
        </w:rPr>
        <w:t>קינוח, כבוד הבריות</w:t>
      </w:r>
      <w:r>
        <w:rPr>
          <w:rFonts w:cs="Arial" w:hint="cs"/>
          <w:rtl/>
        </w:rPr>
        <w:t>, רש"י.</w:t>
      </w:r>
    </w:p>
  </w:footnote>
  <w:footnote w:id="1997">
    <w:p w14:paraId="024911BF" w14:textId="57032C50" w:rsidR="00D42AD3" w:rsidRDefault="00D42AD3" w:rsidP="00285819">
      <w:pPr>
        <w:pStyle w:val="a7"/>
      </w:pPr>
      <w:r>
        <w:rPr>
          <w:rStyle w:val="a9"/>
        </w:rPr>
        <w:footnoteRef/>
      </w:r>
      <w:r>
        <w:rPr>
          <w:rtl/>
        </w:rPr>
        <w:t xml:space="preserve"> </w:t>
      </w:r>
      <w:r w:rsidRPr="00D42AD3">
        <w:rPr>
          <w:rFonts w:cs="Arial"/>
          <w:rtl/>
        </w:rPr>
        <w:t>דאינו נהנה שוב מריח הקרקע, ולי נראה דהאי חייב לאו דווקא, אלא אסור משום דדמי לתולש, דאי חייב ממש קאמר, לצורך היכי שרי רבנן איסור כרת וסקילה משום קינוח, ודומה לו במסכת סנהדרין (פב</w:t>
      </w:r>
      <w:r>
        <w:rPr>
          <w:rFonts w:cs="Arial" w:hint="cs"/>
          <w:rtl/>
        </w:rPr>
        <w:t>.</w:t>
      </w:r>
      <w:r w:rsidRPr="00D42AD3">
        <w:rPr>
          <w:rFonts w:cs="Arial"/>
          <w:rtl/>
        </w:rPr>
        <w:t>): הבא על הכותית חייב משום נשג"ז, דלאו מדאורייתא היא, אלא מדרבנן</w:t>
      </w:r>
      <w:r>
        <w:rPr>
          <w:rFonts w:cs="Arial" w:hint="cs"/>
          <w:rtl/>
        </w:rPr>
        <w:t xml:space="preserve">, </w:t>
      </w:r>
      <w:r w:rsidRPr="00D42AD3">
        <w:rPr>
          <w:rFonts w:cs="Arial" w:hint="cs"/>
          <w:b/>
          <w:bCs/>
          <w:rtl/>
        </w:rPr>
        <w:t>רש"י</w:t>
      </w:r>
      <w:r>
        <w:rPr>
          <w:rFonts w:cs="Arial" w:hint="cs"/>
          <w:rtl/>
        </w:rPr>
        <w:t>.</w:t>
      </w:r>
      <w:r w:rsidRPr="00D42AD3">
        <w:rPr>
          <w:rFonts w:cs="Arial"/>
          <w:rtl/>
        </w:rPr>
        <w:t xml:space="preserve"> </w:t>
      </w:r>
      <w:r w:rsidRPr="004C5375">
        <w:rPr>
          <w:rFonts w:cs="Arial"/>
          <w:rtl/>
        </w:rPr>
        <w:t>וכתב הה</w:t>
      </w:r>
      <w:r>
        <w:rPr>
          <w:rFonts w:cs="Arial" w:hint="cs"/>
          <w:rtl/>
        </w:rPr>
        <w:t>"</w:t>
      </w:r>
      <w:r w:rsidRPr="004C5375">
        <w:rPr>
          <w:rFonts w:cs="Arial"/>
          <w:rtl/>
        </w:rPr>
        <w:t xml:space="preserve">מ </w:t>
      </w:r>
      <w:r>
        <w:rPr>
          <w:rFonts w:cs="Arial" w:hint="cs"/>
          <w:rtl/>
        </w:rPr>
        <w:t>(</w:t>
      </w:r>
      <w:r w:rsidRPr="004C5375">
        <w:rPr>
          <w:rFonts w:cs="Arial"/>
          <w:rtl/>
        </w:rPr>
        <w:t>פ</w:t>
      </w:r>
      <w:r>
        <w:rPr>
          <w:rFonts w:cs="Arial" w:hint="cs"/>
          <w:rtl/>
        </w:rPr>
        <w:t>"</w:t>
      </w:r>
      <w:r w:rsidRPr="004C5375">
        <w:rPr>
          <w:rFonts w:cs="Arial"/>
          <w:rtl/>
        </w:rPr>
        <w:t>ח ה"ד)</w:t>
      </w:r>
      <w:r>
        <w:rPr>
          <w:rFonts w:cs="Arial" w:hint="cs"/>
          <w:rtl/>
        </w:rPr>
        <w:t>-</w:t>
      </w:r>
      <w:r w:rsidRPr="004C5375">
        <w:rPr>
          <w:rFonts w:cs="Arial"/>
          <w:rtl/>
        </w:rPr>
        <w:t xml:space="preserve"> ונראה שלא היה גורס בההיא דצרור </w:t>
      </w:r>
      <w:r>
        <w:rPr>
          <w:rFonts w:cs="Arial" w:hint="cs"/>
          <w:rtl/>
        </w:rPr>
        <w:t>'</w:t>
      </w:r>
      <w:r w:rsidRPr="004C5375">
        <w:rPr>
          <w:rFonts w:cs="Arial"/>
          <w:rtl/>
        </w:rPr>
        <w:t>חייב חטאת</w:t>
      </w:r>
      <w:r>
        <w:rPr>
          <w:rFonts w:cs="Arial" w:hint="cs"/>
          <w:rtl/>
        </w:rPr>
        <w:t>',</w:t>
      </w:r>
      <w:r w:rsidRPr="004C5375">
        <w:rPr>
          <w:rFonts w:cs="Arial"/>
          <w:rtl/>
        </w:rPr>
        <w:t xml:space="preserve"> אלא </w:t>
      </w:r>
      <w:r>
        <w:rPr>
          <w:rFonts w:cs="Arial" w:hint="cs"/>
          <w:rtl/>
        </w:rPr>
        <w:t>'</w:t>
      </w:r>
      <w:r w:rsidRPr="004C5375">
        <w:rPr>
          <w:rFonts w:cs="Arial"/>
          <w:rtl/>
        </w:rPr>
        <w:t>חייב</w:t>
      </w:r>
      <w:r>
        <w:rPr>
          <w:rFonts w:cs="Arial" w:hint="cs"/>
          <w:rtl/>
        </w:rPr>
        <w:t>'</w:t>
      </w:r>
      <w:r w:rsidRPr="004C5375">
        <w:rPr>
          <w:rFonts w:cs="Arial"/>
          <w:rtl/>
        </w:rPr>
        <w:t xml:space="preserve"> בלבד עכ"ל</w:t>
      </w:r>
      <w:r>
        <w:rPr>
          <w:rFonts w:cs="Arial" w:hint="cs"/>
          <w:rtl/>
        </w:rPr>
        <w:t>.</w:t>
      </w:r>
      <w:r w:rsidRPr="004C5375">
        <w:rPr>
          <w:rFonts w:cs="Arial"/>
          <w:rtl/>
        </w:rPr>
        <w:t xml:space="preserve"> ולי נראה שאפשר שגורס בההיא דצרור </w:t>
      </w:r>
      <w:r>
        <w:rPr>
          <w:rFonts w:cs="Arial" w:hint="cs"/>
          <w:rtl/>
        </w:rPr>
        <w:t>'</w:t>
      </w:r>
      <w:r w:rsidRPr="004C5375">
        <w:rPr>
          <w:rFonts w:cs="Arial"/>
          <w:rtl/>
        </w:rPr>
        <w:t>התולש ממנו חייב חטאת</w:t>
      </w:r>
      <w:r>
        <w:rPr>
          <w:rFonts w:cs="Arial" w:hint="cs"/>
          <w:rtl/>
        </w:rPr>
        <w:t>',</w:t>
      </w:r>
      <w:r w:rsidRPr="004C5375">
        <w:rPr>
          <w:rFonts w:cs="Arial"/>
          <w:rtl/>
        </w:rPr>
        <w:t xml:space="preserve"> ומה שפירש דחייב לאו דוקא</w:t>
      </w:r>
      <w:r>
        <w:rPr>
          <w:rFonts w:cs="Arial" w:hint="cs"/>
          <w:rtl/>
        </w:rPr>
        <w:t>,</w:t>
      </w:r>
      <w:r w:rsidRPr="004C5375">
        <w:rPr>
          <w:rFonts w:cs="Arial"/>
          <w:rtl/>
        </w:rPr>
        <w:t xml:space="preserve"> קאי אהיה על גבי קרקע והניחו על גבי יתדות</w:t>
      </w:r>
      <w:r>
        <w:rPr>
          <w:rFonts w:cs="Arial" w:hint="cs"/>
          <w:rtl/>
        </w:rPr>
        <w:t>,</w:t>
      </w:r>
      <w:r w:rsidRPr="004C5375">
        <w:rPr>
          <w:rFonts w:cs="Arial"/>
          <w:rtl/>
        </w:rPr>
        <w:t xml:space="preserve"> דאם איתא דחייב בחטאת לא הוו שרי משום קינוח כיון דפסיק רישיה הוא</w:t>
      </w:r>
      <w:r>
        <w:rPr>
          <w:rFonts w:cs="Arial" w:hint="cs"/>
          <w:rtl/>
        </w:rPr>
        <w:t>,</w:t>
      </w:r>
      <w:r w:rsidRPr="004C5375">
        <w:rPr>
          <w:rFonts w:cs="Arial"/>
          <w:rtl/>
        </w:rPr>
        <w:t xml:space="preserve"> אבל מתולש אף על גב דחייב חטאת לא קשיא לן אמאי שרו רבנן</w:t>
      </w:r>
      <w:r>
        <w:rPr>
          <w:rFonts w:cs="Arial" w:hint="cs"/>
          <w:rtl/>
        </w:rPr>
        <w:t>,</w:t>
      </w:r>
      <w:r w:rsidRPr="004C5375">
        <w:rPr>
          <w:rFonts w:cs="Arial"/>
          <w:rtl/>
        </w:rPr>
        <w:t xml:space="preserve"> כיון שכשמקנח אינו מכוין לתלוש הא קיימא לן דדבר שאין מתכוין מותר</w:t>
      </w:r>
      <w:r>
        <w:rPr>
          <w:rFonts w:cs="Arial" w:hint="cs"/>
          <w:rtl/>
        </w:rPr>
        <w:t>,</w:t>
      </w:r>
      <w:r w:rsidRPr="004C5375">
        <w:rPr>
          <w:rFonts w:cs="Arial"/>
          <w:rtl/>
        </w:rPr>
        <w:t xml:space="preserve"> וכיון דלאו פסיק רישיה הוא שהרי אפשר לקנח בו ולא יתלשו העשבים שרי</w:t>
      </w:r>
      <w:r>
        <w:rPr>
          <w:rFonts w:hint="cs"/>
          <w:rtl/>
        </w:rPr>
        <w:t xml:space="preserve">, </w:t>
      </w:r>
      <w:r w:rsidRPr="00D42AD3">
        <w:rPr>
          <w:rFonts w:hint="cs"/>
          <w:b/>
          <w:bCs/>
          <w:rtl/>
        </w:rPr>
        <w:t>ב"י</w:t>
      </w:r>
      <w:r>
        <w:rPr>
          <w:rFonts w:hint="cs"/>
          <w:rtl/>
        </w:rPr>
        <w:t>.</w:t>
      </w:r>
    </w:p>
  </w:footnote>
  <w:footnote w:id="1998">
    <w:p w14:paraId="3E1FD1C5" w14:textId="0A76BAE7" w:rsidR="00CA55B0" w:rsidRDefault="00CA55B0" w:rsidP="00285819">
      <w:pPr>
        <w:pStyle w:val="a7"/>
      </w:pPr>
      <w:r>
        <w:rPr>
          <w:rStyle w:val="a9"/>
        </w:rPr>
        <w:footnoteRef/>
      </w:r>
      <w:r>
        <w:rPr>
          <w:rtl/>
        </w:rPr>
        <w:t xml:space="preserve"> </w:t>
      </w:r>
      <w:r w:rsidRPr="00CA55B0">
        <w:rPr>
          <w:rFonts w:cs="Arial"/>
          <w:rtl/>
        </w:rPr>
        <w:t>מדסתם משמע דאפילו מונח על הארץ מותר ליטלו ואף דיש בזה עכ"פ לכו"ע איסור תלישה מדרבנן דמחזי כתולש הכא משום כבוד הבריות לא גזרו ועיין במה שנכתוב לקמן בסימן של"ו ס"ה וס"ח במ"ב ובה"ל</w:t>
      </w:r>
      <w:r>
        <w:rPr>
          <w:rFonts w:cs="Arial" w:hint="cs"/>
          <w:rtl/>
        </w:rPr>
        <w:t>, משנ"ב (סקי"ב).</w:t>
      </w:r>
    </w:p>
  </w:footnote>
  <w:footnote w:id="1999">
    <w:p w14:paraId="24F0B5F8" w14:textId="661D55EB" w:rsidR="00CA55B0" w:rsidRDefault="00CA55B0" w:rsidP="00285819">
      <w:pPr>
        <w:pStyle w:val="a7"/>
        <w:rPr>
          <w:rtl/>
        </w:rPr>
      </w:pPr>
      <w:r>
        <w:rPr>
          <w:rStyle w:val="a9"/>
        </w:rPr>
        <w:footnoteRef/>
      </w:r>
      <w:r>
        <w:rPr>
          <w:rtl/>
        </w:rPr>
        <w:t xml:space="preserve"> </w:t>
      </w:r>
      <w:r w:rsidRPr="00CA55B0">
        <w:rPr>
          <w:rFonts w:cs="Arial"/>
          <w:rtl/>
        </w:rPr>
        <w:t>ר"ל דאף דבהתלישה יש בו איסורא דאורייתא לכו"ע וכדלקמן בסימן של"ו ס"ו אפ"ה לא חיישינן שיהיה נתלש כיון שאינו מתכוין לזה ולאו פסיק רישא הוא</w:t>
      </w:r>
      <w:r>
        <w:rPr>
          <w:rFonts w:hint="cs"/>
          <w:rtl/>
        </w:rPr>
        <w:t>, משנ"ב (סקי"ג).</w:t>
      </w:r>
    </w:p>
  </w:footnote>
  <w:footnote w:id="2000">
    <w:p w14:paraId="6C1A154B" w14:textId="3FBF7E76" w:rsidR="00135133" w:rsidRDefault="00135133" w:rsidP="00285819">
      <w:pPr>
        <w:pStyle w:val="a7"/>
        <w:rPr>
          <w:rtl/>
        </w:rPr>
      </w:pPr>
      <w:r>
        <w:rPr>
          <w:rStyle w:val="a9"/>
        </w:rPr>
        <w:footnoteRef/>
      </w:r>
      <w:r>
        <w:rPr>
          <w:rtl/>
        </w:rPr>
        <w:t xml:space="preserve"> </w:t>
      </w:r>
      <w:r w:rsidRPr="00135133">
        <w:rPr>
          <w:rFonts w:cs="Arial"/>
          <w:rtl/>
        </w:rPr>
        <w:t xml:space="preserve">כמו שקל פיסת - רגב </w:t>
      </w:r>
      <w:r w:rsidRPr="00135133">
        <w:rPr>
          <w:rFonts w:cs="Arial"/>
          <w:sz w:val="16"/>
          <w:szCs w:val="16"/>
          <w:rtl/>
        </w:rPr>
        <w:t>(סנהדרין סד</w:t>
      </w:r>
      <w:r w:rsidRPr="00135133">
        <w:rPr>
          <w:rFonts w:cs="Arial" w:hint="cs"/>
          <w:sz w:val="16"/>
          <w:szCs w:val="16"/>
          <w:rtl/>
        </w:rPr>
        <w:t>.</w:t>
      </w:r>
      <w:r w:rsidRPr="00135133">
        <w:rPr>
          <w:rFonts w:cs="Arial"/>
          <w:sz w:val="16"/>
          <w:szCs w:val="16"/>
          <w:rtl/>
        </w:rPr>
        <w:t xml:space="preserve">) </w:t>
      </w:r>
      <w:r w:rsidRPr="00135133">
        <w:rPr>
          <w:rFonts w:cs="Arial"/>
          <w:rtl/>
        </w:rPr>
        <w:t>שקורין גלישט"א</w:t>
      </w:r>
      <w:r w:rsidRPr="00135133">
        <w:rPr>
          <w:rFonts w:cs="Arial" w:hint="cs"/>
          <w:sz w:val="16"/>
          <w:szCs w:val="16"/>
          <w:rtl/>
        </w:rPr>
        <w:t xml:space="preserve"> (</w:t>
      </w:r>
      <w:r w:rsidRPr="00135133">
        <w:rPr>
          <w:rFonts w:cs="Arial"/>
          <w:sz w:val="16"/>
          <w:szCs w:val="16"/>
          <w:rtl/>
        </w:rPr>
        <w:t>ומשמעו רגב אדמה</w:t>
      </w:r>
      <w:r w:rsidRPr="00135133">
        <w:rPr>
          <w:rFonts w:cs="Arial" w:hint="cs"/>
          <w:sz w:val="16"/>
          <w:szCs w:val="16"/>
          <w:rtl/>
        </w:rPr>
        <w:t>)</w:t>
      </w:r>
      <w:r>
        <w:rPr>
          <w:rFonts w:cs="Arial" w:hint="cs"/>
          <w:rtl/>
        </w:rPr>
        <w:t>,</w:t>
      </w:r>
      <w:r w:rsidRPr="00135133">
        <w:rPr>
          <w:rFonts w:cs="Arial"/>
          <w:rtl/>
        </w:rPr>
        <w:t xml:space="preserve"> דהואיל ומיפרכה לא חזי לקינוח ואסורה לטלטל</w:t>
      </w:r>
      <w:r>
        <w:rPr>
          <w:rFonts w:hint="cs"/>
          <w:rtl/>
        </w:rPr>
        <w:t>, רש"י.</w:t>
      </w:r>
    </w:p>
  </w:footnote>
  <w:footnote w:id="2001">
    <w:p w14:paraId="668739C5" w14:textId="4F35F88B" w:rsidR="00135133" w:rsidRDefault="00135133" w:rsidP="00285819">
      <w:pPr>
        <w:pStyle w:val="a7"/>
      </w:pPr>
      <w:r>
        <w:rPr>
          <w:rStyle w:val="a9"/>
        </w:rPr>
        <w:footnoteRef/>
      </w:r>
      <w:r>
        <w:rPr>
          <w:rtl/>
        </w:rPr>
        <w:t xml:space="preserve"> </w:t>
      </w:r>
      <w:r w:rsidRPr="00135133">
        <w:rPr>
          <w:rFonts w:cs="Arial"/>
          <w:rtl/>
        </w:rPr>
        <w:t>הכי מיקרו, משום שבבל ארץ לחה היא, והמחרישה מעלה רגבים</w:t>
      </w:r>
      <w:r>
        <w:rPr>
          <w:rFonts w:cs="Arial" w:hint="cs"/>
          <w:rtl/>
        </w:rPr>
        <w:t>, רש"י.</w:t>
      </w:r>
    </w:p>
  </w:footnote>
  <w:footnote w:id="2002">
    <w:p w14:paraId="67E81DC8" w14:textId="3646D165" w:rsidR="00243CDB" w:rsidRDefault="00243CDB" w:rsidP="00285819">
      <w:pPr>
        <w:pStyle w:val="a7"/>
      </w:pPr>
      <w:r>
        <w:rPr>
          <w:rStyle w:val="a9"/>
        </w:rPr>
        <w:footnoteRef/>
      </w:r>
      <w:r>
        <w:rPr>
          <w:rtl/>
        </w:rPr>
        <w:t xml:space="preserve"> </w:t>
      </w:r>
      <w:r w:rsidRPr="00243CDB">
        <w:rPr>
          <w:rFonts w:cs="Arial"/>
          <w:rtl/>
        </w:rPr>
        <w:t>שלא ינתק בו שיני הכרכשא שהיא תלויה בהן</w:t>
      </w:r>
      <w:r>
        <w:rPr>
          <w:rFonts w:cs="Arial" w:hint="cs"/>
          <w:rtl/>
        </w:rPr>
        <w:t>, רש"י.</w:t>
      </w:r>
    </w:p>
  </w:footnote>
  <w:footnote w:id="2003">
    <w:p w14:paraId="6EEBAB79" w14:textId="2AB7D3E8" w:rsidR="00243CDB" w:rsidRDefault="00243CDB" w:rsidP="00285819">
      <w:pPr>
        <w:pStyle w:val="a7"/>
        <w:rPr>
          <w:rtl/>
        </w:rPr>
      </w:pPr>
      <w:r>
        <w:rPr>
          <w:rStyle w:val="a9"/>
        </w:rPr>
        <w:footnoteRef/>
      </w:r>
      <w:r>
        <w:rPr>
          <w:rtl/>
        </w:rPr>
        <w:t xml:space="preserve"> </w:t>
      </w:r>
      <w:r w:rsidRPr="00243CDB">
        <w:rPr>
          <w:rFonts w:cs="Arial"/>
          <w:rtl/>
        </w:rPr>
        <w:t>שאין איסור טלטול בצרורות, דאסור לקנח בחרס משום כשפים, שהרי יכול לקנח בצרור</w:t>
      </w:r>
      <w:r>
        <w:rPr>
          <w:rFonts w:hint="cs"/>
          <w:rtl/>
        </w:rPr>
        <w:t>, רש"י.</w:t>
      </w:r>
    </w:p>
  </w:footnote>
  <w:footnote w:id="2004">
    <w:p w14:paraId="3B5DA2E4" w14:textId="7A39DB96" w:rsidR="00243CDB" w:rsidRDefault="00243CDB" w:rsidP="00285819">
      <w:pPr>
        <w:pStyle w:val="a7"/>
      </w:pPr>
      <w:r>
        <w:rPr>
          <w:rStyle w:val="a9"/>
        </w:rPr>
        <w:footnoteRef/>
      </w:r>
      <w:r>
        <w:rPr>
          <w:rtl/>
        </w:rPr>
        <w:t xml:space="preserve"> </w:t>
      </w:r>
      <w:r w:rsidRPr="00243CDB">
        <w:rPr>
          <w:rFonts w:cs="Arial"/>
          <w:rtl/>
        </w:rPr>
        <w:t>לחתות בו אור או לחשוף מים מגבא, אימא שפיר דמי, דמוטב שיקנח בו מלטלטל צרור</w:t>
      </w:r>
      <w:r>
        <w:rPr>
          <w:rFonts w:cs="Arial" w:hint="cs"/>
          <w:rtl/>
        </w:rPr>
        <w:t>, רש"י.</w:t>
      </w:r>
    </w:p>
  </w:footnote>
  <w:footnote w:id="2005">
    <w:p w14:paraId="4DF806C6" w14:textId="330054F2" w:rsidR="00243CDB" w:rsidRDefault="00243CDB" w:rsidP="00285819">
      <w:pPr>
        <w:pStyle w:val="a7"/>
      </w:pPr>
      <w:r>
        <w:rPr>
          <w:rStyle w:val="a9"/>
        </w:rPr>
        <w:footnoteRef/>
      </w:r>
      <w:r>
        <w:rPr>
          <w:rtl/>
        </w:rPr>
        <w:t xml:space="preserve"> </w:t>
      </w:r>
      <w:r w:rsidRPr="00243CDB">
        <w:rPr>
          <w:rFonts w:cs="Arial"/>
          <w:rtl/>
        </w:rPr>
        <w:t>דלא, אי משום סכנה אי משום כשפים</w:t>
      </w:r>
      <w:r>
        <w:rPr>
          <w:rFonts w:cs="Arial" w:hint="cs"/>
          <w:rtl/>
        </w:rPr>
        <w:t>, רש"י.</w:t>
      </w:r>
    </w:p>
  </w:footnote>
  <w:footnote w:id="2006">
    <w:p w14:paraId="5F582CDE" w14:textId="75EFFA81" w:rsidR="005B45FF" w:rsidRDefault="005B45FF" w:rsidP="00285819">
      <w:pPr>
        <w:pStyle w:val="a7"/>
      </w:pPr>
      <w:r>
        <w:rPr>
          <w:rStyle w:val="a9"/>
        </w:rPr>
        <w:footnoteRef/>
      </w:r>
      <w:r>
        <w:rPr>
          <w:rtl/>
        </w:rPr>
        <w:t xml:space="preserve"> </w:t>
      </w:r>
      <w:r w:rsidRPr="005B45FF">
        <w:rPr>
          <w:rFonts w:cs="Arial"/>
          <w:rtl/>
        </w:rPr>
        <w:t>עיין במאירי דאם הוא רגב קשה כאבנים שאינה עשויה להתפרך מותר ולהכי דייק הגמרא ואמר כרשיני בבלייתא שהיא רכה</w:t>
      </w:r>
      <w:r>
        <w:rPr>
          <w:rFonts w:cs="Arial" w:hint="cs"/>
          <w:rtl/>
        </w:rPr>
        <w:t>, ביאור הלכה (ד"ה רגב אדמה).</w:t>
      </w:r>
    </w:p>
  </w:footnote>
  <w:footnote w:id="2007">
    <w:p w14:paraId="130EC365" w14:textId="4A4DF3C1" w:rsidR="009812AA" w:rsidRDefault="009812AA" w:rsidP="00285819">
      <w:pPr>
        <w:pStyle w:val="a7"/>
      </w:pPr>
      <w:r>
        <w:rPr>
          <w:rStyle w:val="a9"/>
        </w:rPr>
        <w:footnoteRef/>
      </w:r>
      <w:r>
        <w:rPr>
          <w:rtl/>
        </w:rPr>
        <w:t xml:space="preserve"> </w:t>
      </w:r>
      <w:r w:rsidRPr="009812AA">
        <w:rPr>
          <w:rFonts w:cs="Arial"/>
          <w:rtl/>
        </w:rPr>
        <w:t>בשבת, אף על פי דלאו בר טלטול הוא בעלמא</w:t>
      </w:r>
      <w:r>
        <w:rPr>
          <w:rFonts w:cs="Arial" w:hint="cs"/>
          <w:rtl/>
        </w:rPr>
        <w:t>, רש"י.</w:t>
      </w:r>
    </w:p>
  </w:footnote>
  <w:footnote w:id="2008">
    <w:p w14:paraId="5BEC2D2F" w14:textId="20AFB5A8" w:rsidR="009812AA" w:rsidRDefault="009812AA" w:rsidP="00285819">
      <w:pPr>
        <w:pStyle w:val="a7"/>
      </w:pPr>
      <w:r>
        <w:rPr>
          <w:rStyle w:val="a9"/>
        </w:rPr>
        <w:footnoteRef/>
      </w:r>
      <w:r>
        <w:rPr>
          <w:rtl/>
        </w:rPr>
        <w:t xml:space="preserve"> </w:t>
      </w:r>
      <w:r w:rsidRPr="009812AA">
        <w:rPr>
          <w:rFonts w:cs="Arial"/>
          <w:rtl/>
        </w:rPr>
        <w:t>משום סכנה</w:t>
      </w:r>
      <w:r>
        <w:rPr>
          <w:rFonts w:cs="Arial" w:hint="cs"/>
          <w:rtl/>
        </w:rPr>
        <w:t>, רש"י.</w:t>
      </w:r>
    </w:p>
  </w:footnote>
  <w:footnote w:id="2009">
    <w:p w14:paraId="05374436" w14:textId="75B4BB8C" w:rsidR="009812AA" w:rsidRDefault="009812AA" w:rsidP="00285819">
      <w:pPr>
        <w:pStyle w:val="a7"/>
      </w:pPr>
      <w:r>
        <w:rPr>
          <w:rStyle w:val="a9"/>
        </w:rPr>
        <w:footnoteRef/>
      </w:r>
      <w:r>
        <w:rPr>
          <w:rtl/>
        </w:rPr>
        <w:t xml:space="preserve"> </w:t>
      </w:r>
      <w:r w:rsidRPr="009812AA">
        <w:rPr>
          <w:rFonts w:cs="Arial"/>
          <w:rtl/>
        </w:rPr>
        <w:t>שיש תורת כלי עליה</w:t>
      </w:r>
      <w:r>
        <w:rPr>
          <w:rFonts w:cs="Arial" w:hint="cs"/>
          <w:rtl/>
        </w:rPr>
        <w:t>, רש"י.</w:t>
      </w:r>
    </w:p>
  </w:footnote>
  <w:footnote w:id="2010">
    <w:p w14:paraId="5C663E99" w14:textId="15B90AC4" w:rsidR="009812AA" w:rsidRDefault="009812AA" w:rsidP="00285819">
      <w:pPr>
        <w:pStyle w:val="a7"/>
        <w:rPr>
          <w:rtl/>
        </w:rPr>
      </w:pPr>
      <w:r>
        <w:rPr>
          <w:rStyle w:val="a9"/>
        </w:rPr>
        <w:footnoteRef/>
      </w:r>
      <w:r>
        <w:rPr>
          <w:rtl/>
        </w:rPr>
        <w:t xml:space="preserve"> </w:t>
      </w:r>
      <w:r w:rsidRPr="009812AA">
        <w:rPr>
          <w:rFonts w:cs="Arial"/>
          <w:rtl/>
        </w:rPr>
        <w:t>שהם חלקים, ואינן מקרעין את הבשר</w:t>
      </w:r>
      <w:r>
        <w:rPr>
          <w:rFonts w:cs="Arial" w:hint="cs"/>
          <w:rtl/>
        </w:rPr>
        <w:t>, רש"י.</w:t>
      </w:r>
    </w:p>
  </w:footnote>
  <w:footnote w:id="2011">
    <w:p w14:paraId="6D15E5B1" w14:textId="4D9D082B" w:rsidR="009812AA" w:rsidRDefault="009812AA" w:rsidP="00285819">
      <w:pPr>
        <w:pStyle w:val="a7"/>
      </w:pPr>
      <w:r>
        <w:rPr>
          <w:rStyle w:val="a9"/>
        </w:rPr>
        <w:footnoteRef/>
      </w:r>
      <w:r>
        <w:rPr>
          <w:rtl/>
        </w:rPr>
        <w:t xml:space="preserve"> </w:t>
      </w:r>
      <w:r w:rsidRPr="009812AA">
        <w:rPr>
          <w:rFonts w:cs="Arial"/>
          <w:rtl/>
        </w:rPr>
        <w:t>שהעשבים לחים, וחותכין את הבשר</w:t>
      </w:r>
      <w:r>
        <w:rPr>
          <w:rFonts w:cs="Arial" w:hint="cs"/>
          <w:rtl/>
        </w:rPr>
        <w:t xml:space="preserve">. </w:t>
      </w:r>
      <w:r w:rsidRPr="009812AA">
        <w:rPr>
          <w:rFonts w:cs="Arial"/>
          <w:rtl/>
        </w:rPr>
        <w:t>ורבותינו מפרשים: משום תלישה, ואיני יודע מהו, דאי בעשבים מחוברין - מי איכא מאן דשרי, וכמדומה אני דמוקמי לה במחוברין, ומקנח בהן בחיבורן</w:t>
      </w:r>
      <w:r>
        <w:rPr>
          <w:rFonts w:cs="Arial" w:hint="cs"/>
          <w:rtl/>
        </w:rPr>
        <w:t>, רש"י.</w:t>
      </w:r>
    </w:p>
  </w:footnote>
  <w:footnote w:id="2012">
    <w:p w14:paraId="53716948" w14:textId="4E73873E" w:rsidR="0079258D" w:rsidRDefault="0079258D" w:rsidP="00285819">
      <w:pPr>
        <w:pStyle w:val="a7"/>
      </w:pPr>
      <w:r>
        <w:rPr>
          <w:rStyle w:val="a9"/>
        </w:rPr>
        <w:footnoteRef/>
      </w:r>
      <w:r>
        <w:rPr>
          <w:rtl/>
        </w:rPr>
        <w:t xml:space="preserve"> </w:t>
      </w:r>
      <w:r w:rsidRPr="0079258D">
        <w:rPr>
          <w:rFonts w:cs="Arial"/>
          <w:rtl/>
        </w:rPr>
        <w:t>דלאו בר טלטול הוא, הלכך, מקנח בעשבים כשהן במחובר, ולא יזיזם, ומשום שימוש במחובר לא מיתסר, כדאמרינן בעירובין בפרק שלישי (לד</w:t>
      </w:r>
      <w:r>
        <w:rPr>
          <w:rFonts w:cs="Arial" w:hint="cs"/>
          <w:rtl/>
        </w:rPr>
        <w:t>:</w:t>
      </w:r>
      <w:r w:rsidRPr="0079258D">
        <w:rPr>
          <w:rFonts w:cs="Arial"/>
          <w:rtl/>
        </w:rPr>
        <w:t>) דלא אסרו אלא באילן ובקנים עוזרדין, לפי שהן קשין</w:t>
      </w:r>
      <w:r>
        <w:rPr>
          <w:rFonts w:cs="Arial" w:hint="cs"/>
          <w:rtl/>
        </w:rPr>
        <w:t>, רש"י.</w:t>
      </w:r>
    </w:p>
  </w:footnote>
  <w:footnote w:id="2013">
    <w:p w14:paraId="3373B8BC" w14:textId="256F3223" w:rsidR="0079258D" w:rsidRDefault="0079258D" w:rsidP="00285819">
      <w:pPr>
        <w:pStyle w:val="a7"/>
      </w:pPr>
      <w:r>
        <w:rPr>
          <w:rStyle w:val="a9"/>
        </w:rPr>
        <w:footnoteRef/>
      </w:r>
      <w:r>
        <w:rPr>
          <w:rtl/>
        </w:rPr>
        <w:t xml:space="preserve"> </w:t>
      </w:r>
      <w:r w:rsidRPr="0079258D">
        <w:rPr>
          <w:rFonts w:cs="Arial"/>
          <w:rtl/>
        </w:rPr>
        <w:t>אין אור שולט בו</w:t>
      </w:r>
      <w:r>
        <w:rPr>
          <w:rFonts w:cs="Arial" w:hint="cs"/>
          <w:rtl/>
        </w:rPr>
        <w:t>, רש"י.</w:t>
      </w:r>
    </w:p>
  </w:footnote>
  <w:footnote w:id="2014">
    <w:p w14:paraId="691EB622" w14:textId="4DC41080" w:rsidR="00CB5ADD" w:rsidRDefault="00CB5ADD" w:rsidP="00285819">
      <w:pPr>
        <w:pStyle w:val="a7"/>
      </w:pPr>
      <w:r>
        <w:rPr>
          <w:rStyle w:val="a9"/>
        </w:rPr>
        <w:footnoteRef/>
      </w:r>
      <w:r>
        <w:rPr>
          <w:rtl/>
        </w:rPr>
        <w:t xml:space="preserve"> </w:t>
      </w:r>
      <w:r w:rsidRPr="00CB5ADD">
        <w:rPr>
          <w:rFonts w:cs="Arial"/>
          <w:rtl/>
        </w:rPr>
        <w:t>דבאינם חלקים דיש חשש סכנה בדבר מוטב יותר לקנח בצרור אף שהוא מוקצה</w:t>
      </w:r>
      <w:r>
        <w:rPr>
          <w:rFonts w:cs="Arial" w:hint="cs"/>
          <w:rtl/>
        </w:rPr>
        <w:t>, משנ"ב (סקט"ו).</w:t>
      </w:r>
    </w:p>
  </w:footnote>
  <w:footnote w:id="2015">
    <w:p w14:paraId="76CCC657" w14:textId="4B1DF4A1" w:rsidR="00CB5ADD" w:rsidRDefault="00CB5ADD" w:rsidP="00285819">
      <w:pPr>
        <w:pStyle w:val="a7"/>
      </w:pPr>
      <w:r>
        <w:rPr>
          <w:rStyle w:val="a9"/>
        </w:rPr>
        <w:footnoteRef/>
      </w:r>
      <w:r>
        <w:rPr>
          <w:rtl/>
        </w:rPr>
        <w:t xml:space="preserve"> </w:t>
      </w:r>
      <w:r w:rsidRPr="00CB5ADD">
        <w:rPr>
          <w:rFonts w:cs="Arial"/>
          <w:rtl/>
        </w:rPr>
        <w:t>ואף דעדיין יש בזה חשש כשפים וכדלעיל בסימן ג' מ"מ לא התירו משום זה לקנח בצרור שהוא מוקצה כיון שיש לו חרס לקנח שאין בו משום מוקצה וכדמפרש ובפרט לפי מה שכתב רמ"א שם דהאידנא לא חיישינן בזה לכשפים</w:t>
      </w:r>
      <w:r>
        <w:rPr>
          <w:rFonts w:cs="Arial" w:hint="cs"/>
          <w:rtl/>
        </w:rPr>
        <w:t>, משנ"ב (סקט"ז).</w:t>
      </w:r>
    </w:p>
  </w:footnote>
  <w:footnote w:id="2016">
    <w:p w14:paraId="168C625D" w14:textId="263C38AC" w:rsidR="00CB5ADD" w:rsidRDefault="00CB5ADD" w:rsidP="00285819">
      <w:pPr>
        <w:pStyle w:val="a7"/>
        <w:rPr>
          <w:rtl/>
        </w:rPr>
      </w:pPr>
      <w:r>
        <w:rPr>
          <w:rStyle w:val="a9"/>
        </w:rPr>
        <w:footnoteRef/>
      </w:r>
      <w:r>
        <w:rPr>
          <w:rtl/>
        </w:rPr>
        <w:t xml:space="preserve"> </w:t>
      </w:r>
      <w:r w:rsidRPr="00CB5ADD">
        <w:rPr>
          <w:rFonts w:cs="Arial"/>
          <w:rtl/>
        </w:rPr>
        <w:t>אלא יקנח בצרור אף דהוא מוקצה. איתא בגמרא מותר לפנות אחורי הגדר דשדה חבירו ומותר ליטול צרור לקנח אפילו בשבת והיינו מן השדה אבל לא יטול מן הגדר אפילו בגדר עב דאין עושה נקב דנראה כסותר</w:t>
      </w:r>
      <w:r>
        <w:rPr>
          <w:rFonts w:hint="cs"/>
          <w:rtl/>
        </w:rPr>
        <w:t>, משנ"ב (סקי"ח).</w:t>
      </w:r>
    </w:p>
  </w:footnote>
  <w:footnote w:id="2017">
    <w:p w14:paraId="738D5BD6" w14:textId="6E6A63CB" w:rsidR="00CB5ADD" w:rsidRDefault="00CB5ADD" w:rsidP="00285819">
      <w:pPr>
        <w:pStyle w:val="a7"/>
      </w:pPr>
      <w:r>
        <w:rPr>
          <w:rStyle w:val="a9"/>
        </w:rPr>
        <w:footnoteRef/>
      </w:r>
      <w:r>
        <w:rPr>
          <w:rtl/>
        </w:rPr>
        <w:t xml:space="preserve"> </w:t>
      </w:r>
      <w:r w:rsidRPr="00CB5ADD">
        <w:rPr>
          <w:rFonts w:cs="Arial"/>
          <w:rtl/>
        </w:rPr>
        <w:t>היינו שלא ישמוט אותם ממקום חיבורם משום תלישה</w:t>
      </w:r>
      <w:r>
        <w:rPr>
          <w:rFonts w:cs="Arial" w:hint="cs"/>
          <w:rtl/>
        </w:rPr>
        <w:t>, משנ"ב (סקי"ט).</w:t>
      </w:r>
    </w:p>
  </w:footnote>
  <w:footnote w:id="2018">
    <w:p w14:paraId="0FD7DAD4" w14:textId="48CC7558" w:rsidR="006D452C" w:rsidRDefault="006D452C" w:rsidP="00285819">
      <w:pPr>
        <w:pStyle w:val="a7"/>
        <w:rPr>
          <w:rtl/>
        </w:rPr>
      </w:pPr>
      <w:r>
        <w:rPr>
          <w:rStyle w:val="a9"/>
        </w:rPr>
        <w:footnoteRef/>
      </w:r>
      <w:r>
        <w:rPr>
          <w:rtl/>
        </w:rPr>
        <w:t xml:space="preserve"> </w:t>
      </w:r>
      <w:r w:rsidRPr="006D452C">
        <w:rPr>
          <w:rFonts w:cs="Arial"/>
          <w:rtl/>
        </w:rPr>
        <w:t>הנצרך ליפנות ואינו יכול ליפנות, אמרינן לקמן בפירקין</w:t>
      </w:r>
      <w:r>
        <w:rPr>
          <w:rFonts w:cs="Arial" w:hint="cs"/>
          <w:rtl/>
        </w:rPr>
        <w:t xml:space="preserve"> (פב.)</w:t>
      </w:r>
      <w:r w:rsidRPr="006D452C">
        <w:rPr>
          <w:rFonts w:cs="Arial"/>
          <w:rtl/>
        </w:rPr>
        <w:t xml:space="preserve"> דממשמש בצרור בנקב והוא נפתח, וקא סלקא דעתך דקאמר: ובשבת אסור למשמש כלל כדרך שממשמשים בחול</w:t>
      </w:r>
      <w:r>
        <w:rPr>
          <w:rFonts w:hint="cs"/>
          <w:rtl/>
        </w:rPr>
        <w:t>, רש"י.</w:t>
      </w:r>
    </w:p>
  </w:footnote>
  <w:footnote w:id="2019">
    <w:p w14:paraId="58887731" w14:textId="3A075CF9" w:rsidR="00383396" w:rsidRDefault="00383396" w:rsidP="00285819">
      <w:pPr>
        <w:pStyle w:val="a7"/>
        <w:rPr>
          <w:rtl/>
        </w:rPr>
      </w:pPr>
      <w:r>
        <w:rPr>
          <w:rStyle w:val="a9"/>
        </w:rPr>
        <w:footnoteRef/>
      </w:r>
      <w:r>
        <w:rPr>
          <w:rtl/>
        </w:rPr>
        <w:t xml:space="preserve"> </w:t>
      </w:r>
      <w:r w:rsidRPr="00383396">
        <w:rPr>
          <w:rFonts w:cs="Arial"/>
          <w:rtl/>
        </w:rPr>
        <w:t>דאמר מר (תמיד כז</w:t>
      </w:r>
      <w:r>
        <w:rPr>
          <w:rFonts w:cs="Arial" w:hint="cs"/>
          <w:rtl/>
        </w:rPr>
        <w:t>:</w:t>
      </w:r>
      <w:r w:rsidRPr="00383396">
        <w:rPr>
          <w:rFonts w:cs="Arial"/>
          <w:rtl/>
        </w:rPr>
        <w:t>): עמוד החוזר מביא אדם לידי הדרוקן</w:t>
      </w:r>
      <w:r>
        <w:rPr>
          <w:rFonts w:hint="cs"/>
          <w:rtl/>
        </w:rPr>
        <w:t>, רש"י.</w:t>
      </w:r>
    </w:p>
  </w:footnote>
  <w:footnote w:id="2020">
    <w:p w14:paraId="7F0F6DB8" w14:textId="500CB9E9" w:rsidR="00383396" w:rsidRDefault="00383396" w:rsidP="00285819">
      <w:pPr>
        <w:pStyle w:val="a7"/>
        <w:rPr>
          <w:rtl/>
        </w:rPr>
      </w:pPr>
      <w:r>
        <w:rPr>
          <w:rStyle w:val="a9"/>
        </w:rPr>
        <w:footnoteRef/>
      </w:r>
      <w:r>
        <w:rPr>
          <w:rtl/>
        </w:rPr>
        <w:t xml:space="preserve"> </w:t>
      </w:r>
      <w:r w:rsidRPr="00383396">
        <w:rPr>
          <w:rFonts w:cs="Arial"/>
          <w:rtl/>
        </w:rPr>
        <w:t>האי כדרך דקאמר רבא - כדרך הממשמש בחול בלא שינוי משום השרת נימין, אבל כלאחר יד: כגון אוחז צרור בשתי אצבעותיו - שפיר דמי</w:t>
      </w:r>
      <w:r>
        <w:rPr>
          <w:rFonts w:hint="cs"/>
          <w:rtl/>
        </w:rPr>
        <w:t>, רש"י.</w:t>
      </w:r>
    </w:p>
  </w:footnote>
  <w:footnote w:id="2021">
    <w:p w14:paraId="285E6350" w14:textId="18FB1F8F" w:rsidR="00621D5A" w:rsidRDefault="00621D5A" w:rsidP="00285819">
      <w:pPr>
        <w:pStyle w:val="a7"/>
        <w:rPr>
          <w:rtl/>
        </w:rPr>
      </w:pPr>
      <w:r>
        <w:rPr>
          <w:rStyle w:val="a9"/>
        </w:rPr>
        <w:footnoteRef/>
      </w:r>
      <w:r>
        <w:rPr>
          <w:rtl/>
        </w:rPr>
        <w:t xml:space="preserve"> </w:t>
      </w:r>
      <w:r w:rsidRPr="00621D5A">
        <w:rPr>
          <w:rFonts w:cs="Arial"/>
          <w:rtl/>
        </w:rPr>
        <w:t>דהוא בכלל תולש ואף על גב דאינו מכוין לזה פסיק רישא הוא ע"י המשמוש. לא ימשמש בצרור של הקינוח להחליקו שלא ישרט בשרו כדרך שהוא עושה בחול משום ממחק אלא כלאחר יד</w:t>
      </w:r>
      <w:r>
        <w:rPr>
          <w:rFonts w:hint="cs"/>
          <w:rtl/>
        </w:rPr>
        <w:t>, משנ"ב (סק"כ).</w:t>
      </w:r>
    </w:p>
  </w:footnote>
  <w:footnote w:id="2022">
    <w:p w14:paraId="2CE76AB8" w14:textId="10DC4ED7" w:rsidR="00621D5A" w:rsidRDefault="00621D5A" w:rsidP="00285819">
      <w:pPr>
        <w:pStyle w:val="a7"/>
      </w:pPr>
      <w:r>
        <w:rPr>
          <w:rStyle w:val="a9"/>
        </w:rPr>
        <w:footnoteRef/>
      </w:r>
      <w:r>
        <w:rPr>
          <w:rtl/>
        </w:rPr>
        <w:t xml:space="preserve"> </w:t>
      </w:r>
      <w:r w:rsidRPr="00621D5A">
        <w:rPr>
          <w:rFonts w:cs="Arial"/>
          <w:rtl/>
        </w:rPr>
        <w:t>בנחת [ב"י בשם רי"ו והכי איתא לקמן בסוף סימן שכ"ח]</w:t>
      </w:r>
      <w:r>
        <w:rPr>
          <w:rFonts w:cs="Arial" w:hint="cs"/>
          <w:rtl/>
        </w:rPr>
        <w:t>, משנ"ב (סקכ"א).</w:t>
      </w:r>
    </w:p>
  </w:footnote>
  <w:footnote w:id="2023">
    <w:p w14:paraId="0759420C" w14:textId="77777777" w:rsidR="00621D5A" w:rsidRDefault="00621D5A" w:rsidP="00285819">
      <w:pPr>
        <w:pStyle w:val="a7"/>
        <w:rPr>
          <w:rtl/>
        </w:rPr>
      </w:pPr>
      <w:r>
        <w:rPr>
          <w:rStyle w:val="a9"/>
        </w:rPr>
        <w:footnoteRef/>
      </w:r>
      <w:r>
        <w:rPr>
          <w:rtl/>
        </w:rPr>
        <w:t xml:space="preserve"> </w:t>
      </w:r>
      <w:r>
        <w:rPr>
          <w:rFonts w:hint="cs"/>
          <w:rtl/>
        </w:rPr>
        <w:t xml:space="preserve">וז"ל- </w:t>
      </w:r>
      <w:r w:rsidRPr="003F2955">
        <w:rPr>
          <w:rFonts w:cs="Arial"/>
          <w:rtl/>
        </w:rPr>
        <w:t>וששאלתם על משמוש ברזא או צרור בפי טבעת אם מותר. אמר רבה (שבת פא</w:t>
      </w:r>
      <w:r>
        <w:rPr>
          <w:rFonts w:cs="Arial" w:hint="cs"/>
          <w:rtl/>
        </w:rPr>
        <w:t>.</w:t>
      </w:r>
      <w:r w:rsidRPr="003F2955">
        <w:rPr>
          <w:rFonts w:cs="Arial"/>
          <w:rtl/>
        </w:rPr>
        <w:t>) אסור למשמש בשבת כדרך שהוא עושה בחול. ופרכינן מתקיף לה מר זוטרא ליסתכן. ומשני כלאחר יד ופירש"י על ידי שינוי. כגון שאוחז הברזא או הצרור בשתי אצבעותיו. ומשמע אבל בלא שינוי דאסור הוא בכל היד כדרך שעושה בחול. ואם הוא תוחב כולו בגוף מותר להתפלל בעודו בגוף הואיל ואינו נראה מבחוץ כלל. ואסור לצאת בה בשבת אפי' בעודה בגוף כיון דמכנסה תדיר כדי לחזור ולהוציאה. הואיל ואפשר במשמוש גרידא ועל ידי שינוי. ובהכי סגי דלא ליסתכן. לא שרינן ליה להכניסו כולו אפילו על ידי שינוי לצאת בו בשבת</w:t>
      </w:r>
      <w:r>
        <w:rPr>
          <w:rFonts w:cs="Arial" w:hint="cs"/>
          <w:rtl/>
        </w:rPr>
        <w:t>.</w:t>
      </w:r>
    </w:p>
  </w:footnote>
  <w:footnote w:id="2024">
    <w:p w14:paraId="064780BB" w14:textId="77777777" w:rsidR="00621D5A" w:rsidRDefault="00621D5A" w:rsidP="00285819">
      <w:pPr>
        <w:pStyle w:val="a7"/>
        <w:rPr>
          <w:rtl/>
        </w:rPr>
      </w:pPr>
      <w:r>
        <w:rPr>
          <w:rStyle w:val="a9"/>
        </w:rPr>
        <w:footnoteRef/>
      </w:r>
      <w:r>
        <w:rPr>
          <w:rtl/>
        </w:rPr>
        <w:t xml:space="preserve"> </w:t>
      </w:r>
      <w:r>
        <w:rPr>
          <w:rFonts w:cs="Arial" w:hint="cs"/>
          <w:rtl/>
        </w:rPr>
        <w:t xml:space="preserve">וז"ל- </w:t>
      </w:r>
      <w:r w:rsidRPr="002B45A4">
        <w:rPr>
          <w:rFonts w:cs="Arial"/>
          <w:rtl/>
        </w:rPr>
        <w:t>תשובה להרב ר"מ מרוטנבורג ששאלת על משמוש הברזא בפי הטבעת אם מותר בשבת אמרינן התם אמר רבא אסור למשמש בצרור בשבת כדרך שעושה בחול מתקיף לה מר זוטרא ליסתכן ומשני כלאחר יד אלמא ע"י שינוי שרי כגון שאוחז הצרור או הברזא בשתי אצבעותיו וממשמש אבל בכל היד לא ואם תחוב כולו בגוף היה נראה דשרי לצאת בו דלא דמי להא דתנן בפ' המצניע (צב</w:t>
      </w:r>
      <w:r>
        <w:rPr>
          <w:rFonts w:cs="Arial" w:hint="cs"/>
          <w:rtl/>
        </w:rPr>
        <w:t>.</w:t>
      </w:r>
      <w:r w:rsidRPr="002B45A4">
        <w:rPr>
          <w:rFonts w:cs="Arial"/>
          <w:rtl/>
        </w:rPr>
        <w:t>) המוציא בפיו ובמרפקו פטור וכל פטורי שבת פטור אבל אסור דהתם כשהוא פותח פיו ופושט מרפקו המשוי נראה אבל הכא שהוא בלוע כולו בגוף היה נראה דשרי אמנם איני מתירו כיון שמכניסו תדיר כדי לחזור ולהוציא אף על גב דלא דמיא ממש להני איכא למימר דפטור אבל אסור כי הני והואיל ואפשר במשמוש גרידא וע"י שינוי ובהכי סגי דלא ליסתכן לא שרינן ליה להכניסו כולו אפי' ע"י שינוי לצאת בו בשבת ע"כ</w:t>
      </w:r>
      <w:r>
        <w:rPr>
          <w:rFonts w:hint="cs"/>
          <w:rtl/>
        </w:rPr>
        <w:t>.</w:t>
      </w:r>
    </w:p>
  </w:footnote>
  <w:footnote w:id="2025">
    <w:p w14:paraId="3B9AAF25" w14:textId="56AC98D4" w:rsidR="00621D5A" w:rsidRDefault="00621D5A" w:rsidP="00285819">
      <w:pPr>
        <w:pStyle w:val="a7"/>
      </w:pPr>
      <w:r>
        <w:rPr>
          <w:rStyle w:val="a9"/>
        </w:rPr>
        <w:footnoteRef/>
      </w:r>
      <w:r>
        <w:rPr>
          <w:rtl/>
        </w:rPr>
        <w:t xml:space="preserve"> </w:t>
      </w:r>
      <w:r w:rsidRPr="00621D5A">
        <w:rPr>
          <w:rFonts w:cs="Arial"/>
          <w:rtl/>
        </w:rPr>
        <w:t>שכיון שמכניסה תדיר כדי לחזור ולהוציאה אינה בטלה אצל הגוף והרי זה כמוציא בפיו ומרפקו דאסור מד"ס</w:t>
      </w:r>
      <w:r>
        <w:rPr>
          <w:rFonts w:cs="Arial" w:hint="cs"/>
          <w:rtl/>
        </w:rPr>
        <w:t>.</w:t>
      </w:r>
      <w:r w:rsidRPr="00621D5A">
        <w:rPr>
          <w:rFonts w:cs="Arial"/>
          <w:rtl/>
        </w:rPr>
        <w:t xml:space="preserve"> אבל דבר הבלוע בגוף מותר לצאת בו כגון לבלוע מרגלית או זהב ולצאת בו לר"ה</w:t>
      </w:r>
      <w:r>
        <w:rPr>
          <w:rFonts w:cs="Arial" w:hint="cs"/>
          <w:rtl/>
        </w:rPr>
        <w:t>, משנ"ב (סקכ"ג).</w:t>
      </w:r>
    </w:p>
  </w:footnote>
  <w:footnote w:id="2026">
    <w:p w14:paraId="6BCCD7C2" w14:textId="77777777" w:rsidR="00511C44" w:rsidRDefault="00511C44" w:rsidP="00285819">
      <w:pPr>
        <w:pStyle w:val="a7"/>
        <w:rPr>
          <w:rtl/>
        </w:rPr>
      </w:pPr>
      <w:r>
        <w:rPr>
          <w:rStyle w:val="a9"/>
        </w:rPr>
        <w:footnoteRef/>
      </w:r>
      <w:r>
        <w:rPr>
          <w:rtl/>
        </w:rPr>
        <w:t xml:space="preserve"> </w:t>
      </w:r>
      <w:r w:rsidRPr="00787F0E">
        <w:rPr>
          <w:rFonts w:cs="Arial"/>
          <w:rtl/>
        </w:rPr>
        <w:t>חרישה ראשונה, ועומד לזריעה</w:t>
      </w:r>
      <w:r>
        <w:rPr>
          <w:rFonts w:hint="cs"/>
          <w:rtl/>
        </w:rPr>
        <w:t>, רש"י.</w:t>
      </w:r>
    </w:p>
  </w:footnote>
  <w:footnote w:id="2027">
    <w:p w14:paraId="2C7E1FF8" w14:textId="77777777" w:rsidR="00511C44" w:rsidRDefault="00511C44" w:rsidP="00285819">
      <w:pPr>
        <w:pStyle w:val="a7"/>
      </w:pPr>
      <w:r>
        <w:rPr>
          <w:rStyle w:val="a9"/>
        </w:rPr>
        <w:footnoteRef/>
      </w:r>
      <w:r>
        <w:rPr>
          <w:rtl/>
        </w:rPr>
        <w:t xml:space="preserve"> </w:t>
      </w:r>
      <w:r w:rsidRPr="00787F0E">
        <w:rPr>
          <w:rFonts w:cs="Arial"/>
          <w:rtl/>
        </w:rPr>
        <w:t>ובשדה חבירו, מפני שדש את נירו ומקשה את החרישה</w:t>
      </w:r>
      <w:r>
        <w:rPr>
          <w:rFonts w:cs="Arial" w:hint="cs"/>
          <w:rtl/>
        </w:rPr>
        <w:t>, רש"י.</w:t>
      </w:r>
    </w:p>
  </w:footnote>
  <w:footnote w:id="2028">
    <w:p w14:paraId="7D9D358C" w14:textId="77777777" w:rsidR="00511C44" w:rsidRDefault="00511C44" w:rsidP="00285819">
      <w:pPr>
        <w:pStyle w:val="a7"/>
        <w:rPr>
          <w:rtl/>
        </w:rPr>
      </w:pPr>
      <w:r>
        <w:rPr>
          <w:rStyle w:val="a9"/>
        </w:rPr>
        <w:footnoteRef/>
      </w:r>
      <w:r>
        <w:rPr>
          <w:rtl/>
        </w:rPr>
        <w:t xml:space="preserve"> </w:t>
      </w:r>
      <w:r w:rsidRPr="00787F0E">
        <w:rPr>
          <w:rFonts w:cs="Arial"/>
          <w:rtl/>
        </w:rPr>
        <w:t>שמחמת לחלוחית הניר עשבים עולין על הצרור, וכשהוא מקנח בו נתלשים</w:t>
      </w:r>
      <w:r>
        <w:rPr>
          <w:rFonts w:hint="cs"/>
          <w:rtl/>
        </w:rPr>
        <w:t>, רש"י.</w:t>
      </w:r>
    </w:p>
  </w:footnote>
  <w:footnote w:id="2029">
    <w:p w14:paraId="131C2E81" w14:textId="77777777" w:rsidR="00511C44" w:rsidRDefault="00511C44" w:rsidP="00285819">
      <w:pPr>
        <w:pStyle w:val="a7"/>
      </w:pPr>
      <w:r>
        <w:rPr>
          <w:rStyle w:val="a9"/>
        </w:rPr>
        <w:footnoteRef/>
      </w:r>
      <w:r>
        <w:rPr>
          <w:rtl/>
        </w:rPr>
        <w:t xml:space="preserve"> </w:t>
      </w:r>
      <w:r w:rsidRPr="00511C44">
        <w:rPr>
          <w:rFonts w:cs="Arial"/>
          <w:rtl/>
        </w:rPr>
        <w:t>ממקום גבשושית</w:t>
      </w:r>
      <w:r>
        <w:rPr>
          <w:rFonts w:cs="Arial" w:hint="cs"/>
          <w:rtl/>
        </w:rPr>
        <w:t>, רש"י.</w:t>
      </w:r>
    </w:p>
  </w:footnote>
  <w:footnote w:id="2030">
    <w:p w14:paraId="3B30BB0B" w14:textId="77777777" w:rsidR="00511C44" w:rsidRDefault="00511C44" w:rsidP="00285819">
      <w:pPr>
        <w:pStyle w:val="a7"/>
      </w:pPr>
      <w:r>
        <w:rPr>
          <w:rStyle w:val="a9"/>
        </w:rPr>
        <w:footnoteRef/>
      </w:r>
      <w:r>
        <w:rPr>
          <w:rtl/>
        </w:rPr>
        <w:t xml:space="preserve"> </w:t>
      </w:r>
      <w:r w:rsidRPr="00511C44">
        <w:rPr>
          <w:rFonts w:cs="Arial"/>
          <w:rtl/>
        </w:rPr>
        <w:t>למקום גומא, ומשוה החרישה והוי תולדה דחורש</w:t>
      </w:r>
      <w:r>
        <w:rPr>
          <w:rFonts w:cs="Arial" w:hint="cs"/>
          <w:rtl/>
        </w:rPr>
        <w:t>, רש"י.</w:t>
      </w:r>
    </w:p>
  </w:footnote>
  <w:footnote w:id="2031">
    <w:p w14:paraId="578466F7" w14:textId="77777777" w:rsidR="00511C44" w:rsidRDefault="00511C44" w:rsidP="00285819">
      <w:pPr>
        <w:pStyle w:val="a7"/>
        <w:rPr>
          <w:rtl/>
        </w:rPr>
      </w:pPr>
      <w:r>
        <w:rPr>
          <w:rStyle w:val="a9"/>
        </w:rPr>
        <w:footnoteRef/>
      </w:r>
      <w:r>
        <w:rPr>
          <w:rtl/>
        </w:rPr>
        <w:t xml:space="preserve"> </w:t>
      </w:r>
      <w:r w:rsidRPr="00511C44">
        <w:rPr>
          <w:rFonts w:cs="Arial"/>
          <w:rtl/>
        </w:rPr>
        <w:t>שייך בנין, וזה שמשוה גומות - בנין הרצפה הוא, ובשדה מתקן החרישה</w:t>
      </w:r>
      <w:r>
        <w:rPr>
          <w:rFonts w:hint="cs"/>
          <w:rtl/>
        </w:rPr>
        <w:t>, רש"י.</w:t>
      </w:r>
    </w:p>
  </w:footnote>
  <w:footnote w:id="2032">
    <w:p w14:paraId="393B5D65" w14:textId="3BBDDD9B" w:rsidR="00E31B6E" w:rsidRDefault="00E31B6E" w:rsidP="00285819">
      <w:pPr>
        <w:pStyle w:val="a7"/>
      </w:pPr>
      <w:r>
        <w:rPr>
          <w:rStyle w:val="a9"/>
        </w:rPr>
        <w:footnoteRef/>
      </w:r>
      <w:r>
        <w:rPr>
          <w:rtl/>
        </w:rPr>
        <w:t xml:space="preserve"> </w:t>
      </w:r>
      <w:r w:rsidRPr="00E31B6E">
        <w:rPr>
          <w:rFonts w:cs="Arial"/>
          <w:rtl/>
        </w:rPr>
        <w:t>אבנים גדולות שמצדדין אותן להיות כמין מושב חלול, ויושבין עליהם בשדות במקום המיוחד לבית הכסא</w:t>
      </w:r>
      <w:r>
        <w:rPr>
          <w:rFonts w:cs="Arial" w:hint="cs"/>
          <w:rtl/>
        </w:rPr>
        <w:t>, רש"י.</w:t>
      </w:r>
    </w:p>
  </w:footnote>
  <w:footnote w:id="2033">
    <w:p w14:paraId="499DA9C3" w14:textId="5B53D88C" w:rsidR="00E31B6E" w:rsidRDefault="00E31B6E" w:rsidP="00285819">
      <w:pPr>
        <w:pStyle w:val="a7"/>
      </w:pPr>
      <w:r>
        <w:rPr>
          <w:rStyle w:val="a9"/>
        </w:rPr>
        <w:footnoteRef/>
      </w:r>
      <w:r>
        <w:rPr>
          <w:rtl/>
        </w:rPr>
        <w:t xml:space="preserve"> </w:t>
      </w:r>
      <w:r w:rsidRPr="00E31B6E">
        <w:rPr>
          <w:rFonts w:cs="Arial"/>
          <w:rtl/>
        </w:rPr>
        <w:t>שיש לו גג, אבל הכא ליכא גג</w:t>
      </w:r>
      <w:r>
        <w:rPr>
          <w:rFonts w:cs="Arial" w:hint="cs"/>
          <w:rtl/>
        </w:rPr>
        <w:t>, רש"י.</w:t>
      </w:r>
    </w:p>
  </w:footnote>
  <w:footnote w:id="2034">
    <w:p w14:paraId="4352515E" w14:textId="3BE69DD5" w:rsidR="00E31B6E" w:rsidRDefault="00E31B6E" w:rsidP="00285819">
      <w:pPr>
        <w:pStyle w:val="a7"/>
      </w:pPr>
      <w:r>
        <w:rPr>
          <w:rStyle w:val="a9"/>
        </w:rPr>
        <w:footnoteRef/>
      </w:r>
      <w:r>
        <w:rPr>
          <w:rtl/>
        </w:rPr>
        <w:t xml:space="preserve"> </w:t>
      </w:r>
      <w:r w:rsidRPr="00E31B6E">
        <w:rPr>
          <w:rFonts w:cs="Arial"/>
          <w:rtl/>
        </w:rPr>
        <w:t>כסא של בנין לבנים וטיט</w:t>
      </w:r>
      <w:r>
        <w:rPr>
          <w:rFonts w:cs="Arial" w:hint="cs"/>
          <w:rtl/>
        </w:rPr>
        <w:t>, רש"י.</w:t>
      </w:r>
    </w:p>
  </w:footnote>
  <w:footnote w:id="2035">
    <w:p w14:paraId="09B6ECDE" w14:textId="11B97F24" w:rsidR="00E31B6E" w:rsidRDefault="00E31B6E" w:rsidP="00285819">
      <w:pPr>
        <w:pStyle w:val="a7"/>
      </w:pPr>
      <w:r>
        <w:rPr>
          <w:rStyle w:val="a9"/>
        </w:rPr>
        <w:footnoteRef/>
      </w:r>
      <w:r>
        <w:rPr>
          <w:rtl/>
        </w:rPr>
        <w:t xml:space="preserve"> </w:t>
      </w:r>
      <w:r w:rsidRPr="00E31B6E">
        <w:rPr>
          <w:rFonts w:cs="Arial"/>
          <w:rtl/>
        </w:rPr>
        <w:t>שאינו להתקיים</w:t>
      </w:r>
      <w:r>
        <w:rPr>
          <w:rFonts w:cs="Arial" w:hint="cs"/>
          <w:rtl/>
        </w:rPr>
        <w:t>,</w:t>
      </w:r>
      <w:r w:rsidR="001252AA">
        <w:rPr>
          <w:rFonts w:cs="Arial" w:hint="cs"/>
          <w:rtl/>
        </w:rPr>
        <w:t xml:space="preserve"> </w:t>
      </w:r>
      <w:r>
        <w:rPr>
          <w:rFonts w:cs="Arial" w:hint="cs"/>
          <w:rtl/>
        </w:rPr>
        <w:t>רש"י.</w:t>
      </w:r>
    </w:p>
  </w:footnote>
  <w:footnote w:id="2036">
    <w:p w14:paraId="733F707F" w14:textId="11C1782D" w:rsidR="001252AA" w:rsidRDefault="001252AA" w:rsidP="00285819">
      <w:pPr>
        <w:pStyle w:val="a7"/>
        <w:rPr>
          <w:rtl/>
        </w:rPr>
      </w:pPr>
      <w:r>
        <w:rPr>
          <w:rStyle w:val="a9"/>
        </w:rPr>
        <w:footnoteRef/>
      </w:r>
      <w:r>
        <w:rPr>
          <w:rtl/>
        </w:rPr>
        <w:t xml:space="preserve"> </w:t>
      </w:r>
      <w:r w:rsidRPr="001252AA">
        <w:rPr>
          <w:rFonts w:cs="Arial"/>
          <w:rtl/>
        </w:rPr>
        <w:t>י</w:t>
      </w:r>
      <w:r>
        <w:rPr>
          <w:rFonts w:cs="Arial" w:hint="cs"/>
          <w:rtl/>
        </w:rPr>
        <w:t xml:space="preserve">ש </w:t>
      </w:r>
      <w:r w:rsidRPr="001252AA">
        <w:rPr>
          <w:rFonts w:cs="Arial"/>
          <w:rtl/>
        </w:rPr>
        <w:t>א</w:t>
      </w:r>
      <w:r>
        <w:rPr>
          <w:rFonts w:cs="Arial" w:hint="cs"/>
          <w:rtl/>
        </w:rPr>
        <w:t>ומרים</w:t>
      </w:r>
      <w:r w:rsidRPr="001252AA">
        <w:rPr>
          <w:rFonts w:cs="Arial"/>
          <w:rtl/>
        </w:rPr>
        <w:t xml:space="preserve"> </w:t>
      </w:r>
      <w:r>
        <w:rPr>
          <w:rFonts w:cs="Arial" w:hint="cs"/>
          <w:sz w:val="16"/>
          <w:szCs w:val="16"/>
          <w:rtl/>
        </w:rPr>
        <w:t>(</w:t>
      </w:r>
      <w:r w:rsidRPr="001252AA">
        <w:rPr>
          <w:rFonts w:cs="Arial"/>
          <w:sz w:val="16"/>
          <w:szCs w:val="16"/>
          <w:rtl/>
        </w:rPr>
        <w:t>רש"ל בי</w:t>
      </w:r>
      <w:r>
        <w:rPr>
          <w:rFonts w:cs="Arial" w:hint="cs"/>
          <w:sz w:val="16"/>
          <w:szCs w:val="16"/>
          <w:rtl/>
        </w:rPr>
        <w:t>ש"</w:t>
      </w:r>
      <w:r w:rsidRPr="001252AA">
        <w:rPr>
          <w:rFonts w:cs="Arial"/>
          <w:sz w:val="16"/>
          <w:szCs w:val="16"/>
          <w:rtl/>
        </w:rPr>
        <w:t>ש, והביאו באליה רבה, וראיתו מדקאמר הגמרא, אבנים של בית הכסא, אבל לפי מה שפרש רש"י שם בביצה אין הכרח לזה</w:t>
      </w:r>
      <w:r>
        <w:rPr>
          <w:rFonts w:cs="Arial" w:hint="cs"/>
          <w:sz w:val="16"/>
          <w:szCs w:val="16"/>
          <w:rtl/>
        </w:rPr>
        <w:t>, שער הציון [אות כח])</w:t>
      </w:r>
      <w:r>
        <w:rPr>
          <w:rFonts w:cs="Arial" w:hint="cs"/>
          <w:rtl/>
        </w:rPr>
        <w:t xml:space="preserve"> </w:t>
      </w:r>
      <w:r w:rsidRPr="001252AA">
        <w:rPr>
          <w:rFonts w:cs="Arial"/>
          <w:rtl/>
        </w:rPr>
        <w:t>דוקא אם היו האבנים מוכנים מכבר לזה דאל"ה לא הותר איסור מוקצה בשביל זה דלא מצינו שהותר אלא לקינוח</w:t>
      </w:r>
      <w:r>
        <w:rPr>
          <w:rFonts w:hint="cs"/>
          <w:rtl/>
        </w:rPr>
        <w:t>, משנ"ב (סקכ"ה). ומלשון השו"ע לא משמע כדברי הרש"ל, שהרי כתב שהמקום מיוחד לבית הכסא, ולא כתב כן לגבי האבנים.</w:t>
      </w:r>
    </w:p>
  </w:footnote>
  <w:footnote w:id="2037">
    <w:p w14:paraId="21ACFEE5" w14:textId="6B8918C9" w:rsidR="001252AA" w:rsidRDefault="001252AA" w:rsidP="00285819">
      <w:pPr>
        <w:pStyle w:val="a7"/>
      </w:pPr>
      <w:r>
        <w:rPr>
          <w:rStyle w:val="a9"/>
        </w:rPr>
        <w:footnoteRef/>
      </w:r>
      <w:r>
        <w:rPr>
          <w:rtl/>
        </w:rPr>
        <w:t xml:space="preserve"> </w:t>
      </w:r>
      <w:r w:rsidRPr="001252AA">
        <w:rPr>
          <w:rFonts w:cs="Arial"/>
          <w:rtl/>
        </w:rPr>
        <w:t>היינו להעמיד הדפנות שמכאן ומכאן אבל להניח אבן למעלה על שתיהן אסור משום אהל אף דאהל עראי הוא</w:t>
      </w:r>
      <w:r>
        <w:rPr>
          <w:rFonts w:cs="Arial" w:hint="cs"/>
          <w:rtl/>
        </w:rPr>
        <w:t>,</w:t>
      </w:r>
      <w:r w:rsidRPr="001252AA">
        <w:rPr>
          <w:rFonts w:cs="Arial"/>
          <w:rtl/>
        </w:rPr>
        <w:t xml:space="preserve"> כ"כ מ"א</w:t>
      </w:r>
      <w:r>
        <w:rPr>
          <w:rFonts w:cs="Arial" w:hint="cs"/>
          <w:rtl/>
        </w:rPr>
        <w:t>.</w:t>
      </w:r>
      <w:r w:rsidRPr="001252AA">
        <w:rPr>
          <w:rFonts w:cs="Arial"/>
          <w:rtl/>
        </w:rPr>
        <w:t xml:space="preserve"> אבל הא"ר ומאמר מרדכי מתירין גם בזה</w:t>
      </w:r>
      <w:r>
        <w:rPr>
          <w:rFonts w:cs="Arial" w:hint="cs"/>
          <w:rtl/>
        </w:rPr>
        <w:t>, משנ"ב (סקכ"ו).</w:t>
      </w:r>
    </w:p>
  </w:footnote>
  <w:footnote w:id="2038">
    <w:p w14:paraId="7306FC99" w14:textId="16D463DA" w:rsidR="00D85097" w:rsidRDefault="00D85097" w:rsidP="00285819">
      <w:pPr>
        <w:pStyle w:val="a7"/>
        <w:rPr>
          <w:rtl/>
        </w:rPr>
      </w:pPr>
      <w:r>
        <w:rPr>
          <w:rStyle w:val="a9"/>
        </w:rPr>
        <w:footnoteRef/>
      </w:r>
      <w:r>
        <w:rPr>
          <w:rtl/>
        </w:rPr>
        <w:t xml:space="preserve"> </w:t>
      </w:r>
      <w:r w:rsidRPr="00D85097">
        <w:rPr>
          <w:rFonts w:cs="Arial"/>
          <w:rtl/>
        </w:rPr>
        <w:t>שאינו נגרר בארץ, שהחבל שהוא קשור בו אינו מגיע לארץ</w:t>
      </w:r>
      <w:r>
        <w:rPr>
          <w:rFonts w:hint="cs"/>
          <w:rtl/>
        </w:rPr>
        <w:t>, רש"י.</w:t>
      </w:r>
    </w:p>
  </w:footnote>
  <w:footnote w:id="2039">
    <w:p w14:paraId="4D4EDA94" w14:textId="4EAA5A91" w:rsidR="00D85097" w:rsidRDefault="00D85097" w:rsidP="00285819">
      <w:pPr>
        <w:pStyle w:val="a7"/>
      </w:pPr>
      <w:r>
        <w:rPr>
          <w:rStyle w:val="a9"/>
        </w:rPr>
        <w:footnoteRef/>
      </w:r>
      <w:r>
        <w:rPr>
          <w:rtl/>
        </w:rPr>
        <w:t xml:space="preserve"> </w:t>
      </w:r>
      <w:r w:rsidRPr="00D85097">
        <w:rPr>
          <w:rFonts w:cs="Arial"/>
          <w:rtl/>
        </w:rPr>
        <w:t>דמיחזי כמוסיף על הבנין</w:t>
      </w:r>
      <w:r>
        <w:rPr>
          <w:rFonts w:cs="Arial" w:hint="cs"/>
          <w:rtl/>
        </w:rPr>
        <w:t>, רש"י.</w:t>
      </w:r>
    </w:p>
  </w:footnote>
  <w:footnote w:id="2040">
    <w:p w14:paraId="13C9E425" w14:textId="0F678A39" w:rsidR="004774C3" w:rsidRDefault="004774C3" w:rsidP="00285819">
      <w:pPr>
        <w:pStyle w:val="a7"/>
      </w:pPr>
      <w:r>
        <w:rPr>
          <w:rStyle w:val="a9"/>
        </w:rPr>
        <w:footnoteRef/>
      </w:r>
      <w:r>
        <w:rPr>
          <w:rtl/>
        </w:rPr>
        <w:t xml:space="preserve"> </w:t>
      </w:r>
      <w:r>
        <w:rPr>
          <w:rFonts w:cs="Arial"/>
          <w:rtl/>
        </w:rPr>
        <w:t>כלומר: אפילו קשירה לא צריך</w:t>
      </w:r>
      <w:r>
        <w:rPr>
          <w:rFonts w:cs="Arial" w:hint="cs"/>
          <w:rtl/>
        </w:rPr>
        <w:t>, רש"י.</w:t>
      </w:r>
    </w:p>
  </w:footnote>
  <w:footnote w:id="2041">
    <w:p w14:paraId="1A1E0660" w14:textId="7CFABB54" w:rsidR="004774C3" w:rsidRDefault="004774C3" w:rsidP="00285819">
      <w:pPr>
        <w:pStyle w:val="a7"/>
        <w:rPr>
          <w:rtl/>
        </w:rPr>
      </w:pPr>
      <w:r>
        <w:rPr>
          <w:rStyle w:val="a9"/>
        </w:rPr>
        <w:footnoteRef/>
      </w:r>
      <w:r>
        <w:rPr>
          <w:rtl/>
        </w:rPr>
        <w:t xml:space="preserve"> </w:t>
      </w:r>
      <w:r>
        <w:rPr>
          <w:rFonts w:cs="Arial"/>
          <w:rtl/>
        </w:rPr>
        <w:t>מוכן מאתמול לכך</w:t>
      </w:r>
      <w:r>
        <w:rPr>
          <w:rFonts w:cs="Arial" w:hint="cs"/>
          <w:rtl/>
        </w:rPr>
        <w:t>, רש"י.</w:t>
      </w:r>
    </w:p>
  </w:footnote>
  <w:footnote w:id="2042">
    <w:p w14:paraId="1680F4C0" w14:textId="05232E11" w:rsidR="004774C3" w:rsidRDefault="004774C3" w:rsidP="00285819">
      <w:pPr>
        <w:pStyle w:val="a7"/>
        <w:rPr>
          <w:rtl/>
        </w:rPr>
      </w:pPr>
      <w:r>
        <w:rPr>
          <w:rStyle w:val="a9"/>
        </w:rPr>
        <w:footnoteRef/>
      </w:r>
      <w:r>
        <w:rPr>
          <w:rtl/>
        </w:rPr>
        <w:t xml:space="preserve"> </w:t>
      </w:r>
      <w:r w:rsidRPr="004774C3">
        <w:rPr>
          <w:rFonts w:cs="Arial"/>
          <w:rtl/>
        </w:rPr>
        <w:t>אמאי פשיט ליה מר לקולא</w:t>
      </w:r>
      <w:r>
        <w:rPr>
          <w:rFonts w:hint="cs"/>
          <w:rtl/>
        </w:rPr>
        <w:t>, רש"י.</w:t>
      </w:r>
    </w:p>
  </w:footnote>
  <w:footnote w:id="2043">
    <w:p w14:paraId="08BE20E7" w14:textId="2A9DA337" w:rsidR="004774C3" w:rsidRDefault="004774C3" w:rsidP="00285819">
      <w:pPr>
        <w:pStyle w:val="a7"/>
        <w:rPr>
          <w:rtl/>
        </w:rPr>
      </w:pPr>
      <w:r>
        <w:rPr>
          <w:rStyle w:val="a9"/>
        </w:rPr>
        <w:footnoteRef/>
      </w:r>
      <w:r>
        <w:rPr>
          <w:rtl/>
        </w:rPr>
        <w:t xml:space="preserve"> </w:t>
      </w:r>
      <w:r w:rsidRPr="004774C3">
        <w:rPr>
          <w:rFonts w:cs="Arial"/>
          <w:rtl/>
        </w:rPr>
        <w:t>דלא פליגי רבנן אלא אתלויה, דר' אליעזר בעי קשור ותלוי, ואפילו קשור, אם ראשו נגרר לארץ, חשיב ליה ר' אליעזר כשומטו מן הקרקע ובונה בו לכתחלה, ורבנן אמרי ליה: בין תלוי בין נגרר פוקקין בו ובלבד שיהא קשור</w:t>
      </w:r>
      <w:r>
        <w:rPr>
          <w:rFonts w:hint="cs"/>
          <w:rtl/>
        </w:rPr>
        <w:t>, רש"י.</w:t>
      </w:r>
    </w:p>
  </w:footnote>
  <w:footnote w:id="2044">
    <w:p w14:paraId="06058F5B" w14:textId="17BEED98" w:rsidR="004774C3" w:rsidRDefault="004774C3" w:rsidP="00285819">
      <w:pPr>
        <w:pStyle w:val="a7"/>
      </w:pPr>
      <w:r>
        <w:rPr>
          <w:rStyle w:val="a9"/>
        </w:rPr>
        <w:footnoteRef/>
      </w:r>
      <w:r>
        <w:rPr>
          <w:rtl/>
        </w:rPr>
        <w:t xml:space="preserve"> </w:t>
      </w:r>
      <w:r w:rsidRPr="004774C3">
        <w:rPr>
          <w:rFonts w:cs="Arial"/>
          <w:rtl/>
        </w:rPr>
        <w:t>בתלייה הוא דפליגי ולא בקשירה, דמדמי לה לפלוגתא דנגר הנגרר, והתם לדברי הכל קשור בעינן</w:t>
      </w:r>
      <w:r>
        <w:rPr>
          <w:rFonts w:cs="Arial" w:hint="cs"/>
          <w:rtl/>
        </w:rPr>
        <w:t>, רש"י.</w:t>
      </w:r>
    </w:p>
  </w:footnote>
  <w:footnote w:id="2045">
    <w:p w14:paraId="28C2BCEE" w14:textId="721A896E" w:rsidR="004774C3" w:rsidRDefault="004774C3" w:rsidP="00285819">
      <w:pPr>
        <w:pStyle w:val="a7"/>
      </w:pPr>
      <w:r>
        <w:rPr>
          <w:rStyle w:val="a9"/>
        </w:rPr>
        <w:footnoteRef/>
      </w:r>
      <w:r>
        <w:rPr>
          <w:rtl/>
        </w:rPr>
        <w:t xml:space="preserve"> </w:t>
      </w:r>
      <w:r w:rsidRPr="004774C3">
        <w:rPr>
          <w:rFonts w:cs="Arial"/>
          <w:rtl/>
        </w:rPr>
        <w:t>יתד שתוקעין בחור שבמפתן ונועלין בו את הדלת</w:t>
      </w:r>
      <w:r>
        <w:rPr>
          <w:rFonts w:cs="Arial" w:hint="cs"/>
          <w:rtl/>
        </w:rPr>
        <w:t>, רש"י.</w:t>
      </w:r>
    </w:p>
  </w:footnote>
  <w:footnote w:id="2046">
    <w:p w14:paraId="36ECFF75" w14:textId="236A512A" w:rsidR="004774C3" w:rsidRDefault="004774C3" w:rsidP="00285819">
      <w:pPr>
        <w:pStyle w:val="a7"/>
        <w:rPr>
          <w:rtl/>
        </w:rPr>
      </w:pPr>
      <w:r>
        <w:rPr>
          <w:rStyle w:val="a9"/>
        </w:rPr>
        <w:footnoteRef/>
      </w:r>
      <w:r>
        <w:rPr>
          <w:rtl/>
        </w:rPr>
        <w:t xml:space="preserve"> </w:t>
      </w:r>
      <w:r w:rsidRPr="004774C3">
        <w:rPr>
          <w:rFonts w:cs="Arial"/>
          <w:rtl/>
        </w:rPr>
        <w:t>כדמפרש: שקשור בדלת, אלא שראשו נגרר לארץ</w:t>
      </w:r>
      <w:r>
        <w:rPr>
          <w:rFonts w:hint="cs"/>
          <w:rtl/>
        </w:rPr>
        <w:t>, רש"י.</w:t>
      </w:r>
    </w:p>
  </w:footnote>
  <w:footnote w:id="2047">
    <w:p w14:paraId="5799A72D" w14:textId="43C04EA7" w:rsidR="004774C3" w:rsidRDefault="004774C3" w:rsidP="00285819">
      <w:pPr>
        <w:pStyle w:val="a7"/>
      </w:pPr>
      <w:r>
        <w:rPr>
          <w:rStyle w:val="a9"/>
        </w:rPr>
        <w:footnoteRef/>
      </w:r>
      <w:r>
        <w:rPr>
          <w:rtl/>
        </w:rPr>
        <w:t xml:space="preserve"> </w:t>
      </w:r>
      <w:r w:rsidRPr="004774C3">
        <w:rPr>
          <w:rFonts w:cs="Arial"/>
          <w:rtl/>
        </w:rPr>
        <w:t>דכיון דקשור בו - מיוחד ועומד לכך, וכבר נבנה בנין זה מבעוד יום, ואין בו אלא גזירת שבות מדבריהם - ואין שבות במקדש</w:t>
      </w:r>
      <w:r>
        <w:rPr>
          <w:rFonts w:cs="Arial" w:hint="cs"/>
          <w:rtl/>
        </w:rPr>
        <w:t>, רש"י.</w:t>
      </w:r>
    </w:p>
  </w:footnote>
  <w:footnote w:id="2048">
    <w:p w14:paraId="765C77E2" w14:textId="045A8645" w:rsidR="004774C3" w:rsidRDefault="004774C3" w:rsidP="00285819">
      <w:pPr>
        <w:pStyle w:val="a7"/>
      </w:pPr>
      <w:r>
        <w:rPr>
          <w:rStyle w:val="a9"/>
        </w:rPr>
        <w:footnoteRef/>
      </w:r>
      <w:r>
        <w:rPr>
          <w:rtl/>
        </w:rPr>
        <w:t xml:space="preserve"> </w:t>
      </w:r>
      <w:r w:rsidRPr="004774C3">
        <w:rPr>
          <w:rFonts w:cs="Arial"/>
          <w:rtl/>
        </w:rPr>
        <w:t>שאינו קשור כלל, אלא כשהוא שומטו מן החור מניחו על גבי קרקע, הלכך, כשתוקעו בשבת - בונה הוא, ואיסורא דאורייתא הוא, אף במקדש</w:t>
      </w:r>
      <w:r>
        <w:rPr>
          <w:rFonts w:cs="Arial" w:hint="cs"/>
          <w:rtl/>
        </w:rPr>
        <w:t>, רש"י.</w:t>
      </w:r>
    </w:p>
  </w:footnote>
  <w:footnote w:id="2049">
    <w:p w14:paraId="076BAF86" w14:textId="3FD7E009" w:rsidR="004774C3" w:rsidRDefault="004774C3" w:rsidP="00285819">
      <w:pPr>
        <w:pStyle w:val="a7"/>
        <w:rPr>
          <w:rtl/>
        </w:rPr>
      </w:pPr>
      <w:r>
        <w:rPr>
          <w:rStyle w:val="a9"/>
        </w:rPr>
        <w:footnoteRef/>
      </w:r>
      <w:r>
        <w:rPr>
          <w:rtl/>
        </w:rPr>
        <w:t xml:space="preserve"> </w:t>
      </w:r>
      <w:r w:rsidRPr="004774C3">
        <w:rPr>
          <w:rFonts w:cs="Arial"/>
          <w:rtl/>
        </w:rPr>
        <w:t>דכיון דמתוקן מאתמול להכי לאו בונה הוא</w:t>
      </w:r>
      <w:r>
        <w:rPr>
          <w:rFonts w:hint="cs"/>
          <w:rtl/>
        </w:rPr>
        <w:t>, רש"י.</w:t>
      </w:r>
    </w:p>
  </w:footnote>
  <w:footnote w:id="2050">
    <w:p w14:paraId="2C3FE41F" w14:textId="55A86D75" w:rsidR="004774C3" w:rsidRDefault="004774C3" w:rsidP="00285819">
      <w:pPr>
        <w:pStyle w:val="a7"/>
        <w:rPr>
          <w:rtl/>
        </w:rPr>
      </w:pPr>
      <w:r>
        <w:rPr>
          <w:rStyle w:val="a9"/>
        </w:rPr>
        <w:footnoteRef/>
      </w:r>
      <w:r>
        <w:rPr>
          <w:rtl/>
        </w:rPr>
        <w:t xml:space="preserve"> </w:t>
      </w:r>
      <w:r w:rsidRPr="004774C3">
        <w:rPr>
          <w:rFonts w:cs="Arial"/>
          <w:rtl/>
        </w:rPr>
        <w:t>ראשו העליון אבל ראשו התחתון מגיע לארץ</w:t>
      </w:r>
      <w:r>
        <w:rPr>
          <w:rFonts w:hint="cs"/>
          <w:rtl/>
        </w:rPr>
        <w:t>, רש"י.</w:t>
      </w:r>
    </w:p>
  </w:footnote>
  <w:footnote w:id="2051">
    <w:p w14:paraId="571F6FC6" w14:textId="639569FD" w:rsidR="00F25A6B" w:rsidRDefault="00F25A6B" w:rsidP="00285819">
      <w:pPr>
        <w:pStyle w:val="a7"/>
      </w:pPr>
      <w:r>
        <w:rPr>
          <w:rStyle w:val="a9"/>
        </w:rPr>
        <w:footnoteRef/>
      </w:r>
      <w:r>
        <w:rPr>
          <w:rtl/>
        </w:rPr>
        <w:t xml:space="preserve"> </w:t>
      </w:r>
      <w:r w:rsidRPr="00F25A6B">
        <w:rPr>
          <w:rFonts w:cs="Arial"/>
          <w:rtl/>
        </w:rPr>
        <w:t>אסור דבעי תרתי</w:t>
      </w:r>
      <w:r>
        <w:rPr>
          <w:rFonts w:cs="Arial" w:hint="cs"/>
          <w:rtl/>
        </w:rPr>
        <w:t>, רש"י.</w:t>
      </w:r>
    </w:p>
  </w:footnote>
  <w:footnote w:id="2052">
    <w:p w14:paraId="1BC0E974" w14:textId="703608D5" w:rsidR="00F25A6B" w:rsidRDefault="00F25A6B" w:rsidP="00285819">
      <w:pPr>
        <w:pStyle w:val="a7"/>
      </w:pPr>
      <w:r>
        <w:rPr>
          <w:rStyle w:val="a9"/>
        </w:rPr>
        <w:footnoteRef/>
      </w:r>
      <w:r>
        <w:rPr>
          <w:rtl/>
        </w:rPr>
        <w:t xml:space="preserve"> </w:t>
      </w:r>
      <w:r w:rsidRPr="00F25A6B">
        <w:rPr>
          <w:rFonts w:cs="Arial"/>
          <w:rtl/>
        </w:rPr>
        <w:t>דאמר גבי פקק החלון תרתי בעינן מכלל דר' יהודה כרבנן אלמא רבנן קשירה בעו</w:t>
      </w:r>
      <w:r>
        <w:rPr>
          <w:rFonts w:cs="Arial" w:hint="cs"/>
          <w:rtl/>
        </w:rPr>
        <w:t>, רש"י.</w:t>
      </w:r>
    </w:p>
  </w:footnote>
  <w:footnote w:id="2053">
    <w:p w14:paraId="1B2972C6" w14:textId="1053EFFA" w:rsidR="00F25A6B" w:rsidRDefault="00F25A6B" w:rsidP="00285819">
      <w:pPr>
        <w:pStyle w:val="a7"/>
      </w:pPr>
      <w:r>
        <w:rPr>
          <w:rStyle w:val="a9"/>
        </w:rPr>
        <w:footnoteRef/>
      </w:r>
      <w:r>
        <w:rPr>
          <w:rtl/>
        </w:rPr>
        <w:t xml:space="preserve"> </w:t>
      </w:r>
      <w:r w:rsidRPr="00F25A6B">
        <w:rPr>
          <w:rFonts w:cs="Arial"/>
          <w:rtl/>
        </w:rPr>
        <w:t>דאפילו קשירה לא בעי כרבן שמעון בן גמליאל דאמר מתוקן בהזמנה בעלמא ואע</w:t>
      </w:r>
      <w:r w:rsidR="00D06C5D">
        <w:rPr>
          <w:rFonts w:cs="Arial" w:hint="cs"/>
          <w:rtl/>
        </w:rPr>
        <w:t>"</w:t>
      </w:r>
      <w:r w:rsidRPr="00F25A6B">
        <w:rPr>
          <w:rFonts w:cs="Arial"/>
          <w:rtl/>
        </w:rPr>
        <w:t>פ שאינו קשור</w:t>
      </w:r>
      <w:r>
        <w:rPr>
          <w:rFonts w:cs="Arial" w:hint="cs"/>
          <w:rtl/>
        </w:rPr>
        <w:t xml:space="preserve">, </w:t>
      </w:r>
      <w:r w:rsidRPr="00D06C5D">
        <w:rPr>
          <w:rFonts w:cs="Arial" w:hint="cs"/>
          <w:b/>
          <w:bCs/>
          <w:rtl/>
        </w:rPr>
        <w:t>רש"י</w:t>
      </w:r>
      <w:r>
        <w:rPr>
          <w:rFonts w:cs="Arial" w:hint="cs"/>
          <w:rtl/>
        </w:rPr>
        <w:t>.</w:t>
      </w:r>
      <w:r w:rsidR="00D06C5D" w:rsidRPr="00D06C5D">
        <w:rPr>
          <w:rFonts w:cs="Arial"/>
          <w:rtl/>
        </w:rPr>
        <w:t xml:space="preserve"> </w:t>
      </w:r>
      <w:r w:rsidR="002A4EE6">
        <w:rPr>
          <w:rFonts w:cs="Arial" w:hint="cs"/>
          <w:rtl/>
        </w:rPr>
        <w:t xml:space="preserve">   </w:t>
      </w:r>
      <w:r w:rsidR="00D06C5D">
        <w:rPr>
          <w:rFonts w:cs="Arial"/>
          <w:rtl/>
        </w:rPr>
        <w:t>וכתבו התוספות בין קשור בין שאינו קשור והוא שמתוקן נראה לר</w:t>
      </w:r>
      <w:r w:rsidR="00EB410B">
        <w:rPr>
          <w:rFonts w:cs="Arial" w:hint="cs"/>
          <w:rtl/>
        </w:rPr>
        <w:t>"</w:t>
      </w:r>
      <w:r w:rsidR="00D06C5D">
        <w:rPr>
          <w:rFonts w:cs="Arial"/>
          <w:rtl/>
        </w:rPr>
        <w:t>ת (ספר הישר חלק החידושים סי' רפד) דלאו בתיקון של מעשה אלא במחשבה בעלמא כדמוכח לקמן דקאמר כרבן שמעון בן גמליאל סבירא לי דאמר מתוקן אע</w:t>
      </w:r>
      <w:r w:rsidR="00EB410B">
        <w:rPr>
          <w:rFonts w:cs="Arial" w:hint="cs"/>
          <w:rtl/>
        </w:rPr>
        <w:t>"</w:t>
      </w:r>
      <w:r w:rsidR="00D06C5D">
        <w:rPr>
          <w:rFonts w:cs="Arial"/>
          <w:rtl/>
        </w:rPr>
        <w:t>פ שאינו קשור דהיינו במחשבה</w:t>
      </w:r>
      <w:r w:rsidR="00EB410B">
        <w:rPr>
          <w:rFonts w:cs="Arial" w:hint="cs"/>
          <w:rtl/>
        </w:rPr>
        <w:t>,</w:t>
      </w:r>
      <w:r w:rsidR="00D06C5D">
        <w:rPr>
          <w:rFonts w:cs="Arial"/>
          <w:rtl/>
        </w:rPr>
        <w:t xml:space="preserve"> ומשמע דלגמרי סבירא ליה כוותיה</w:t>
      </w:r>
      <w:r w:rsidR="00EB410B">
        <w:rPr>
          <w:rFonts w:cs="Arial" w:hint="cs"/>
          <w:rtl/>
        </w:rPr>
        <w:t>.</w:t>
      </w:r>
      <w:r w:rsidR="00D06C5D">
        <w:rPr>
          <w:rFonts w:cs="Arial"/>
          <w:rtl/>
        </w:rPr>
        <w:t xml:space="preserve"> וכן כתב הה</w:t>
      </w:r>
      <w:r w:rsidR="00EB410B">
        <w:rPr>
          <w:rFonts w:cs="Arial" w:hint="cs"/>
          <w:rtl/>
        </w:rPr>
        <w:t>"</w:t>
      </w:r>
      <w:r w:rsidR="00D06C5D">
        <w:rPr>
          <w:rFonts w:cs="Arial"/>
          <w:rtl/>
        </w:rPr>
        <w:t xml:space="preserve">מ </w:t>
      </w:r>
      <w:r w:rsidR="00EB410B">
        <w:rPr>
          <w:rFonts w:cs="Arial" w:hint="cs"/>
          <w:rtl/>
        </w:rPr>
        <w:t>(</w:t>
      </w:r>
      <w:r w:rsidR="00D06C5D">
        <w:rPr>
          <w:rFonts w:cs="Arial"/>
          <w:rtl/>
        </w:rPr>
        <w:t>פכ"ב ה"ל) בשם הרשב"א (קכו. ד"ה הא דא"ר)</w:t>
      </w:r>
      <w:r w:rsidR="00D06C5D">
        <w:rPr>
          <w:rFonts w:cs="Arial" w:hint="cs"/>
          <w:rtl/>
        </w:rPr>
        <w:t xml:space="preserve">, </w:t>
      </w:r>
      <w:r w:rsidR="00D06C5D" w:rsidRPr="002A4EE6">
        <w:rPr>
          <w:rFonts w:cs="Arial" w:hint="cs"/>
          <w:b/>
          <w:bCs/>
          <w:rtl/>
        </w:rPr>
        <w:t>ב"י</w:t>
      </w:r>
      <w:r w:rsidR="00D06C5D">
        <w:rPr>
          <w:rFonts w:cs="Arial" w:hint="cs"/>
          <w:rtl/>
        </w:rPr>
        <w:t>.</w:t>
      </w:r>
    </w:p>
  </w:footnote>
  <w:footnote w:id="2054">
    <w:p w14:paraId="099567AB" w14:textId="48DA7D4B" w:rsidR="00F25A6B" w:rsidRDefault="00F25A6B" w:rsidP="00285819">
      <w:pPr>
        <w:pStyle w:val="a7"/>
      </w:pPr>
      <w:r>
        <w:rPr>
          <w:rStyle w:val="a9"/>
        </w:rPr>
        <w:footnoteRef/>
      </w:r>
      <w:r>
        <w:rPr>
          <w:rtl/>
        </w:rPr>
        <w:t xml:space="preserve"> </w:t>
      </w:r>
      <w:r w:rsidRPr="00F25A6B">
        <w:rPr>
          <w:rFonts w:cs="Arial"/>
          <w:rtl/>
        </w:rPr>
        <w:t>שהזמינו</w:t>
      </w:r>
      <w:r>
        <w:rPr>
          <w:rFonts w:cs="Arial" w:hint="cs"/>
          <w:rtl/>
        </w:rPr>
        <w:t>, רש"י.</w:t>
      </w:r>
    </w:p>
  </w:footnote>
  <w:footnote w:id="2055">
    <w:p w14:paraId="1DDEF56A" w14:textId="66488909" w:rsidR="00F25A6B" w:rsidRDefault="00F25A6B" w:rsidP="00285819">
      <w:pPr>
        <w:pStyle w:val="a7"/>
        <w:rPr>
          <w:rtl/>
        </w:rPr>
      </w:pPr>
      <w:r>
        <w:rPr>
          <w:rStyle w:val="a9"/>
        </w:rPr>
        <w:footnoteRef/>
      </w:r>
      <w:r>
        <w:rPr>
          <w:rtl/>
        </w:rPr>
        <w:t xml:space="preserve"> </w:t>
      </w:r>
      <w:r w:rsidRPr="00F25A6B">
        <w:rPr>
          <w:rFonts w:cs="Arial"/>
          <w:rtl/>
        </w:rPr>
        <w:t>שהכיסוי ראוי לתשמיש עצמו, הוא דניטלין בשבת, ואם אין תורת כלי עליו - לא אמרינן כיסוי כלי הוה כלי, ודלתות שידה תיבה ומגדל דתנא מתניתין נוטלין - יש תורת כלי עליהן, דראויין לישב עליהן ולתת עליהן מזונות לקטן, ולקמן מפרש אמאי בעינן בית אחיזה, הואיל ותורת כלי עליהן, אלמא לרבי יוחנן מידי דליכא תורת כלי עליו - לא מטלטלין, והאי קנה מאי תורת כלי עליו איכא אי משום דפותח ונועל בו - אין זו תורת כלי עליו, אלא תורת בנין</w:t>
      </w:r>
      <w:r>
        <w:rPr>
          <w:rFonts w:hint="cs"/>
          <w:rtl/>
        </w:rPr>
        <w:t>, רש"י.</w:t>
      </w:r>
    </w:p>
  </w:footnote>
  <w:footnote w:id="2056">
    <w:p w14:paraId="1E85149B" w14:textId="0BE8623A" w:rsidR="00F25A6B" w:rsidRDefault="00F25A6B" w:rsidP="00285819">
      <w:pPr>
        <w:pStyle w:val="a7"/>
      </w:pPr>
      <w:r>
        <w:rPr>
          <w:rStyle w:val="a9"/>
        </w:rPr>
        <w:footnoteRef/>
      </w:r>
      <w:r>
        <w:rPr>
          <w:rtl/>
        </w:rPr>
        <w:t xml:space="preserve"> </w:t>
      </w:r>
      <w:r w:rsidRPr="00F25A6B">
        <w:rPr>
          <w:rFonts w:cs="Arial"/>
          <w:rtl/>
        </w:rPr>
        <w:t>שראוי להפך בו זיתים או לפצע בו אגוזים</w:t>
      </w:r>
      <w:r>
        <w:rPr>
          <w:rFonts w:cs="Arial" w:hint="cs"/>
          <w:rtl/>
        </w:rPr>
        <w:t xml:space="preserve">, </w:t>
      </w:r>
      <w:r w:rsidRPr="002A4EE6">
        <w:rPr>
          <w:rFonts w:cs="Arial" w:hint="cs"/>
          <w:b/>
          <w:bCs/>
          <w:rtl/>
        </w:rPr>
        <w:t>רש"י</w:t>
      </w:r>
      <w:r>
        <w:rPr>
          <w:rFonts w:cs="Arial" w:hint="cs"/>
          <w:rtl/>
        </w:rPr>
        <w:t>.</w:t>
      </w:r>
      <w:r w:rsidR="00EB410B" w:rsidRPr="00EB410B">
        <w:rPr>
          <w:rFonts w:cs="Arial"/>
          <w:rtl/>
        </w:rPr>
        <w:t xml:space="preserve"> </w:t>
      </w:r>
      <w:r w:rsidR="002A4EE6">
        <w:rPr>
          <w:rFonts w:cs="Arial" w:hint="cs"/>
          <w:rtl/>
        </w:rPr>
        <w:t xml:space="preserve">    </w:t>
      </w:r>
      <w:r w:rsidR="00EB410B">
        <w:rPr>
          <w:rFonts w:cs="Arial"/>
          <w:rtl/>
        </w:rPr>
        <w:t>אבל התוספות (ד"ה וכי תימא) כתבו דאין נראה לר</w:t>
      </w:r>
      <w:r w:rsidR="00C67E28">
        <w:rPr>
          <w:rFonts w:cs="Arial" w:hint="cs"/>
          <w:rtl/>
        </w:rPr>
        <w:t>"</w:t>
      </w:r>
      <w:r w:rsidR="00EB410B">
        <w:rPr>
          <w:rFonts w:cs="Arial"/>
          <w:rtl/>
        </w:rPr>
        <w:t>ת כי למה יש לנו להצריך שלדבר אחר יהא ראוי כיון שראוי לדבר זה אלא נראה לר</w:t>
      </w:r>
      <w:r w:rsidR="00C67E28">
        <w:rPr>
          <w:rFonts w:cs="Arial" w:hint="cs"/>
          <w:rtl/>
        </w:rPr>
        <w:t>"</w:t>
      </w:r>
      <w:r w:rsidR="00EB410B">
        <w:rPr>
          <w:rFonts w:cs="Arial"/>
          <w:rtl/>
        </w:rPr>
        <w:t>ת דהכי פירושו דאיכא תורת כלים עליהם שתיקנו ועשה בו מעשה והכינו לכך שמאחר שתיקנו והכינו לכך יש תורת כלי עליו אפילו אינו ראוי לדבר אחר כמו חריות של דקל שאינם ראויים לשום תשמיש אלא לישיבה אעפ</w:t>
      </w:r>
      <w:r w:rsidR="00C67E28">
        <w:rPr>
          <w:rFonts w:cs="Arial" w:hint="cs"/>
          <w:rtl/>
        </w:rPr>
        <w:t>"</w:t>
      </w:r>
      <w:r w:rsidR="00EB410B">
        <w:rPr>
          <w:rFonts w:cs="Arial"/>
          <w:rtl/>
        </w:rPr>
        <w:t>כ יכול להכינם ולטלטלם בשבת. וכן נראה שהוא דעת הה</w:t>
      </w:r>
      <w:r w:rsidR="00EB410B">
        <w:rPr>
          <w:rFonts w:cs="Arial" w:hint="cs"/>
          <w:rtl/>
        </w:rPr>
        <w:t>"</w:t>
      </w:r>
      <w:r w:rsidR="00EB410B">
        <w:rPr>
          <w:rFonts w:cs="Arial"/>
          <w:rtl/>
        </w:rPr>
        <w:t xml:space="preserve">מ </w:t>
      </w:r>
      <w:r w:rsidR="00EB410B">
        <w:rPr>
          <w:rFonts w:cs="Arial" w:hint="cs"/>
          <w:rtl/>
        </w:rPr>
        <w:t>(</w:t>
      </w:r>
      <w:r w:rsidR="00EB410B">
        <w:rPr>
          <w:rFonts w:cs="Arial"/>
          <w:rtl/>
        </w:rPr>
        <w:t>פכ"ה סוף הי"ג)</w:t>
      </w:r>
      <w:r w:rsidR="00EB410B">
        <w:rPr>
          <w:rFonts w:hint="cs"/>
          <w:rtl/>
        </w:rPr>
        <w:t xml:space="preserve">, </w:t>
      </w:r>
      <w:r w:rsidR="00EB410B" w:rsidRPr="002A4EE6">
        <w:rPr>
          <w:rFonts w:hint="cs"/>
          <w:b/>
          <w:bCs/>
          <w:rtl/>
        </w:rPr>
        <w:t>ב"י</w:t>
      </w:r>
      <w:r w:rsidR="00EB410B">
        <w:rPr>
          <w:rFonts w:hint="cs"/>
          <w:rtl/>
        </w:rPr>
        <w:t>.</w:t>
      </w:r>
    </w:p>
  </w:footnote>
  <w:footnote w:id="2057">
    <w:p w14:paraId="033860C2" w14:textId="36433CE7" w:rsidR="00F25A6B" w:rsidRDefault="00F25A6B" w:rsidP="00285819">
      <w:pPr>
        <w:pStyle w:val="a7"/>
      </w:pPr>
      <w:r>
        <w:rPr>
          <w:rStyle w:val="a9"/>
        </w:rPr>
        <w:footnoteRef/>
      </w:r>
      <w:r>
        <w:rPr>
          <w:rtl/>
        </w:rPr>
        <w:t xml:space="preserve"> </w:t>
      </w:r>
      <w:r w:rsidRPr="00F25A6B">
        <w:rPr>
          <w:rFonts w:cs="Arial"/>
          <w:rtl/>
        </w:rPr>
        <w:t>דמתוקן, ואע</w:t>
      </w:r>
      <w:r w:rsidR="00C67E28">
        <w:rPr>
          <w:rFonts w:cs="Arial" w:hint="cs"/>
          <w:rtl/>
        </w:rPr>
        <w:t>"</w:t>
      </w:r>
      <w:r w:rsidRPr="00F25A6B">
        <w:rPr>
          <w:rFonts w:cs="Arial"/>
          <w:rtl/>
        </w:rPr>
        <w:t>פ שאינו קשור</w:t>
      </w:r>
      <w:r>
        <w:rPr>
          <w:rFonts w:cs="Arial" w:hint="cs"/>
          <w:rtl/>
        </w:rPr>
        <w:t>, רש"י.</w:t>
      </w:r>
    </w:p>
  </w:footnote>
  <w:footnote w:id="2058">
    <w:p w14:paraId="20AC0052" w14:textId="3CC3B2A6" w:rsidR="00F25A6B" w:rsidRDefault="00F25A6B" w:rsidP="00285819">
      <w:pPr>
        <w:pStyle w:val="a7"/>
      </w:pPr>
      <w:r>
        <w:rPr>
          <w:rStyle w:val="a9"/>
        </w:rPr>
        <w:footnoteRef/>
      </w:r>
      <w:r>
        <w:rPr>
          <w:rtl/>
        </w:rPr>
        <w:t xml:space="preserve"> </w:t>
      </w:r>
      <w:r w:rsidRPr="00F25A6B">
        <w:rPr>
          <w:rFonts w:cs="Arial"/>
          <w:rtl/>
        </w:rPr>
        <w:t>דבעי תורת כלי</w:t>
      </w:r>
      <w:r>
        <w:rPr>
          <w:rFonts w:cs="Arial" w:hint="cs"/>
          <w:rtl/>
        </w:rPr>
        <w:t>, רש"י.</w:t>
      </w:r>
    </w:p>
  </w:footnote>
  <w:footnote w:id="2059">
    <w:p w14:paraId="4209694B" w14:textId="1EFD72B1" w:rsidR="00533DA2" w:rsidRDefault="00533DA2" w:rsidP="00285819">
      <w:pPr>
        <w:pStyle w:val="a7"/>
      </w:pPr>
      <w:r>
        <w:rPr>
          <w:rStyle w:val="a9"/>
        </w:rPr>
        <w:footnoteRef/>
      </w:r>
      <w:r>
        <w:rPr>
          <w:rtl/>
        </w:rPr>
        <w:t xml:space="preserve"> </w:t>
      </w:r>
      <w:r w:rsidRPr="00533DA2">
        <w:rPr>
          <w:rFonts w:cs="Arial"/>
          <w:rtl/>
        </w:rPr>
        <w:t>בפרק בתרא</w:t>
      </w:r>
      <w:r w:rsidR="00F44496">
        <w:rPr>
          <w:rFonts w:cs="Arial" w:hint="cs"/>
          <w:rtl/>
        </w:rPr>
        <w:t xml:space="preserve"> (קנז.)</w:t>
      </w:r>
      <w:r w:rsidRPr="00533DA2">
        <w:rPr>
          <w:rFonts w:cs="Arial"/>
          <w:rtl/>
        </w:rPr>
        <w:t>, בימי אביו של ר' צדוק ובימי אבא שאול בן בטנית שפקקו את המאור בטפיח, וקשרו את המקידה בגמי לידע אם יש בגיגית פותח טפח, והתם מפרש לה, וקתני: מדבריהם למדנו</w:t>
      </w:r>
      <w:r>
        <w:rPr>
          <w:rFonts w:cs="Arial" w:hint="cs"/>
          <w:rtl/>
        </w:rPr>
        <w:t>, רש"י.</w:t>
      </w:r>
    </w:p>
  </w:footnote>
  <w:footnote w:id="2060">
    <w:p w14:paraId="531A78B6" w14:textId="77777777" w:rsidR="00533DA2" w:rsidRDefault="00533DA2" w:rsidP="00285819">
      <w:pPr>
        <w:pStyle w:val="a7"/>
      </w:pPr>
      <w:r>
        <w:rPr>
          <w:rStyle w:val="a9"/>
        </w:rPr>
        <w:footnoteRef/>
      </w:r>
      <w:r>
        <w:rPr>
          <w:rtl/>
        </w:rPr>
        <w:t xml:space="preserve"> </w:t>
      </w:r>
      <w:r w:rsidRPr="00533DA2">
        <w:rPr>
          <w:rFonts w:cs="Arial"/>
          <w:rtl/>
        </w:rPr>
        <w:t>את המאור בדבר שאינו קשור ותלוי</w:t>
      </w:r>
      <w:r>
        <w:rPr>
          <w:rFonts w:cs="Arial" w:hint="cs"/>
          <w:rtl/>
        </w:rPr>
        <w:t>, רש"י.</w:t>
      </w:r>
    </w:p>
  </w:footnote>
  <w:footnote w:id="2061">
    <w:p w14:paraId="56DBE2AD" w14:textId="21D3632B" w:rsidR="00EB410B" w:rsidRDefault="00EB410B" w:rsidP="00285819">
      <w:pPr>
        <w:pStyle w:val="a7"/>
        <w:rPr>
          <w:rtl/>
        </w:rPr>
      </w:pPr>
      <w:r>
        <w:rPr>
          <w:rStyle w:val="a9"/>
        </w:rPr>
        <w:footnoteRef/>
      </w:r>
      <w:r>
        <w:rPr>
          <w:rtl/>
        </w:rPr>
        <w:t xml:space="preserve"> </w:t>
      </w:r>
      <w:r w:rsidRPr="00EB410B">
        <w:rPr>
          <w:rFonts w:cs="Arial" w:hint="cs"/>
          <w:rtl/>
        </w:rPr>
        <w:t>היינו ד</w:t>
      </w:r>
      <w:r w:rsidRPr="00EB410B">
        <w:rPr>
          <w:rFonts w:cs="Arial"/>
          <w:rtl/>
        </w:rPr>
        <w:t>אע"ג דסתם לן תנא בסוף עירובין (קב.) כרבי אליעזר לא קיי</w:t>
      </w:r>
      <w:r w:rsidRPr="00EB410B">
        <w:rPr>
          <w:rFonts w:cs="Arial" w:hint="cs"/>
          <w:rtl/>
        </w:rPr>
        <w:t>"</w:t>
      </w:r>
      <w:r w:rsidRPr="00EB410B">
        <w:rPr>
          <w:rFonts w:cs="Arial"/>
          <w:rtl/>
        </w:rPr>
        <w:t>ל כוותיה משום דבסוף שבת (קנז.) סתם לן כרבנן דקתני מעשה בימי אביו של רבי צדוק וכו' ומדבריהם למדנו שפוקקין ומעשה רב</w:t>
      </w:r>
      <w:r w:rsidRPr="00EB410B">
        <w:rPr>
          <w:rFonts w:cs="Arial" w:hint="cs"/>
          <w:rtl/>
        </w:rPr>
        <w:t>, ב"י</w:t>
      </w:r>
      <w:r>
        <w:rPr>
          <w:rFonts w:hint="cs"/>
          <w:rtl/>
        </w:rPr>
        <w:t>.</w:t>
      </w:r>
    </w:p>
  </w:footnote>
  <w:footnote w:id="2062">
    <w:p w14:paraId="73F0A429" w14:textId="5024F47E" w:rsidR="002A4EE6" w:rsidRDefault="002A4EE6" w:rsidP="00285819">
      <w:pPr>
        <w:pStyle w:val="a7"/>
        <w:rPr>
          <w:rtl/>
        </w:rPr>
      </w:pPr>
      <w:r>
        <w:rPr>
          <w:rStyle w:val="a9"/>
        </w:rPr>
        <w:footnoteRef/>
      </w:r>
      <w:r>
        <w:rPr>
          <w:rtl/>
        </w:rPr>
        <w:t xml:space="preserve"> </w:t>
      </w:r>
      <w:r w:rsidRPr="002A4EE6">
        <w:rPr>
          <w:rFonts w:cs="Arial"/>
          <w:b/>
          <w:bCs/>
          <w:rtl/>
        </w:rPr>
        <w:t xml:space="preserve">והרא"ש </w:t>
      </w:r>
      <w:r>
        <w:rPr>
          <w:rFonts w:cs="Arial"/>
          <w:rtl/>
        </w:rPr>
        <w:t>(סי' ח) תמה על הרי"ף שפסק כרבי אבא בר כהנא דלא בעי בפקק החלון קשור אלא מתוקן והאי מתוקן לאו בתיקון מעשה איירי אלא במחשבה בעלמא כמו שהוכיח ר</w:t>
      </w:r>
      <w:r>
        <w:rPr>
          <w:rFonts w:cs="Arial" w:hint="cs"/>
          <w:rtl/>
        </w:rPr>
        <w:t>"</w:t>
      </w:r>
      <w:r>
        <w:rPr>
          <w:rFonts w:cs="Arial"/>
          <w:rtl/>
        </w:rPr>
        <w:t>ת</w:t>
      </w:r>
      <w:r>
        <w:rPr>
          <w:rFonts w:cs="Arial" w:hint="cs"/>
          <w:rtl/>
        </w:rPr>
        <w:t>,</w:t>
      </w:r>
      <w:r>
        <w:rPr>
          <w:rFonts w:cs="Arial"/>
          <w:rtl/>
        </w:rPr>
        <w:t xml:space="preserve"> ובעירובין (לד:) פסק כרבי יהודה בנגר דבעי קשור. וכתב דצריך לומר דלית ליה הא דרבי יוחנן דאמר כמחלוקת כאן כך מחלוקת בנגר הנגרר</w:t>
      </w:r>
      <w:r>
        <w:rPr>
          <w:rFonts w:cs="Arial" w:hint="cs"/>
          <w:rtl/>
        </w:rPr>
        <w:t>,</w:t>
      </w:r>
      <w:r>
        <w:rPr>
          <w:rFonts w:cs="Arial"/>
          <w:rtl/>
        </w:rPr>
        <w:t xml:space="preserve"> אלא סבר </w:t>
      </w:r>
      <w:r>
        <w:rPr>
          <w:rFonts w:cs="Arial" w:hint="cs"/>
          <w:sz w:val="16"/>
          <w:szCs w:val="16"/>
          <w:rtl/>
        </w:rPr>
        <w:t xml:space="preserve">{הרי"ף} </w:t>
      </w:r>
      <w:r>
        <w:rPr>
          <w:rFonts w:cs="Arial"/>
          <w:rtl/>
        </w:rPr>
        <w:t>דבנגרר שתוחבו בקרקע דמי קצת לבנין הילכך בעינן קשירה לאפוקי מאיסור בנין</w:t>
      </w:r>
      <w:r>
        <w:rPr>
          <w:rFonts w:cs="Arial" w:hint="cs"/>
          <w:rtl/>
        </w:rPr>
        <w:t>,</w:t>
      </w:r>
      <w:r>
        <w:rPr>
          <w:rFonts w:cs="Arial"/>
          <w:rtl/>
        </w:rPr>
        <w:t xml:space="preserve"> אבל פקק החלון לא שייך ביה בנין כלל וסגי במחשבה לאפוקי מאיסור טלטול</w:t>
      </w:r>
      <w:r>
        <w:rPr>
          <w:rFonts w:cs="Arial" w:hint="cs"/>
          <w:rtl/>
        </w:rPr>
        <w:t>.</w:t>
      </w:r>
      <w:r>
        <w:rPr>
          <w:rFonts w:cs="Arial"/>
          <w:rtl/>
        </w:rPr>
        <w:t xml:space="preserve"> וכן צריך לחלק עוד לדעת הרי"ף דהכא פסק כרבי יוחנן דפליג עליה דר</w:t>
      </w:r>
      <w:r>
        <w:rPr>
          <w:rFonts w:cs="Arial" w:hint="cs"/>
          <w:rtl/>
        </w:rPr>
        <w:t xml:space="preserve">שב"ג </w:t>
      </w:r>
      <w:r>
        <w:rPr>
          <w:rFonts w:cs="Arial"/>
          <w:rtl/>
        </w:rPr>
        <w:t>בחדא ומצריך תורת כלי בקנה שהתקינו להיות פותח ונועל בו</w:t>
      </w:r>
      <w:r>
        <w:rPr>
          <w:rFonts w:cs="Arial" w:hint="cs"/>
          <w:rtl/>
        </w:rPr>
        <w:t>,</w:t>
      </w:r>
      <w:r>
        <w:rPr>
          <w:rFonts w:cs="Arial"/>
          <w:rtl/>
        </w:rPr>
        <w:t xml:space="preserve"> ובפרק במה טומנין (ריש כג.) פסק כרבן שמעון בן גמליאל בחריות של דקל דסגי במחשבה</w:t>
      </w:r>
      <w:r>
        <w:rPr>
          <w:rFonts w:cs="Arial" w:hint="cs"/>
          <w:rtl/>
        </w:rPr>
        <w:t>.</w:t>
      </w:r>
      <w:r>
        <w:rPr>
          <w:rFonts w:cs="Arial"/>
          <w:rtl/>
        </w:rPr>
        <w:t xml:space="preserve"> אלא היינו טעמא לפי שקנה הוא לצורך נעילת בית ודמי קצת לנגר הנגרר חמיר טפי וצריך תיקון כלי</w:t>
      </w:r>
      <w:r>
        <w:rPr>
          <w:rFonts w:cs="Arial" w:hint="cs"/>
          <w:rtl/>
        </w:rPr>
        <w:t>.</w:t>
      </w:r>
      <w:r>
        <w:rPr>
          <w:rFonts w:cs="Arial"/>
          <w:rtl/>
        </w:rPr>
        <w:t xml:space="preserve"> והנה עתה חילוקים שלשה בפסק זה לדעת הרי"ף</w:t>
      </w:r>
      <w:r>
        <w:rPr>
          <w:rFonts w:cs="Arial" w:hint="cs"/>
          <w:rtl/>
        </w:rPr>
        <w:t>:</w:t>
      </w:r>
      <w:r>
        <w:rPr>
          <w:rFonts w:cs="Arial"/>
          <w:rtl/>
        </w:rPr>
        <w:t xml:space="preserve"> בפקק החלון סגי במחשבה כמו בחריות של דקל</w:t>
      </w:r>
      <w:r>
        <w:rPr>
          <w:rFonts w:cs="Arial" w:hint="cs"/>
          <w:rtl/>
        </w:rPr>
        <w:t>.</w:t>
      </w:r>
      <w:r>
        <w:rPr>
          <w:rFonts w:cs="Arial"/>
          <w:rtl/>
        </w:rPr>
        <w:t xml:space="preserve"> ובנגר הנגרר צריך קשירה לאפוקי מאיסור בנין</w:t>
      </w:r>
      <w:r>
        <w:rPr>
          <w:rFonts w:cs="Arial" w:hint="cs"/>
          <w:rtl/>
        </w:rPr>
        <w:t>.</w:t>
      </w:r>
      <w:r>
        <w:rPr>
          <w:rFonts w:cs="Arial"/>
          <w:rtl/>
        </w:rPr>
        <w:t xml:space="preserve"> ובקנה שהוא פותח ונועל בו צריך תיקון כלי</w:t>
      </w:r>
      <w:r>
        <w:rPr>
          <w:rFonts w:cs="Arial" w:hint="cs"/>
          <w:rtl/>
        </w:rPr>
        <w:t>.</w:t>
      </w:r>
      <w:r>
        <w:rPr>
          <w:rFonts w:cs="Arial"/>
          <w:rtl/>
        </w:rPr>
        <w:t xml:space="preserve"> עכ"ל</w:t>
      </w:r>
      <w:r>
        <w:rPr>
          <w:rFonts w:cs="Arial" w:hint="cs"/>
          <w:rtl/>
        </w:rPr>
        <w:t>.</w:t>
      </w:r>
      <w:r>
        <w:rPr>
          <w:rFonts w:cs="Arial"/>
          <w:rtl/>
        </w:rPr>
        <w:t xml:space="preserve"> </w:t>
      </w:r>
      <w:r>
        <w:rPr>
          <w:rFonts w:cs="Arial" w:hint="cs"/>
          <w:rtl/>
        </w:rPr>
        <w:t xml:space="preserve">   </w:t>
      </w:r>
      <w:r>
        <w:rPr>
          <w:rFonts w:cs="Arial"/>
          <w:rtl/>
        </w:rPr>
        <w:t xml:space="preserve">אבל </w:t>
      </w:r>
      <w:r w:rsidRPr="002A4EE6">
        <w:rPr>
          <w:rFonts w:cs="Arial"/>
          <w:b/>
          <w:bCs/>
          <w:rtl/>
        </w:rPr>
        <w:t>הר"ן</w:t>
      </w:r>
      <w:r>
        <w:rPr>
          <w:rFonts w:cs="Arial"/>
          <w:rtl/>
        </w:rPr>
        <w:t xml:space="preserve"> (מט: ד"ה בין קשור וד"ה ומסתברא) כתב דכי אמרינן גבי פקק החלון והוא שמתוקן</w:t>
      </w:r>
      <w:r>
        <w:rPr>
          <w:rFonts w:cs="Arial" w:hint="cs"/>
          <w:rtl/>
        </w:rPr>
        <w:t>,</w:t>
      </w:r>
      <w:r>
        <w:rPr>
          <w:rFonts w:cs="Arial"/>
          <w:rtl/>
        </w:rPr>
        <w:t xml:space="preserve"> לא בהזמנה בלחוד קאמר</w:t>
      </w:r>
      <w:r>
        <w:rPr>
          <w:rFonts w:cs="Arial" w:hint="cs"/>
          <w:rtl/>
        </w:rPr>
        <w:t>,</w:t>
      </w:r>
      <w:r>
        <w:rPr>
          <w:rFonts w:cs="Arial"/>
          <w:rtl/>
        </w:rPr>
        <w:t xml:space="preserve"> אלא צריך שיהא עליו תורת כלי או שנשתמש בו מבעוד יום</w:t>
      </w:r>
      <w:r>
        <w:rPr>
          <w:rFonts w:cs="Arial" w:hint="cs"/>
          <w:rtl/>
        </w:rPr>
        <w:t>,</w:t>
      </w:r>
      <w:r>
        <w:rPr>
          <w:rFonts w:cs="Arial"/>
          <w:rtl/>
        </w:rPr>
        <w:t xml:space="preserve"> דכל שכבר נשתמש בהם היינו תורת כלי עליהם</w:t>
      </w:r>
      <w:r>
        <w:rPr>
          <w:rFonts w:cs="Arial" w:hint="cs"/>
          <w:rtl/>
        </w:rPr>
        <w:t>.</w:t>
      </w:r>
      <w:r>
        <w:rPr>
          <w:rFonts w:cs="Arial"/>
          <w:rtl/>
        </w:rPr>
        <w:t xml:space="preserve"> ולפיכך לא הזכיר האלפסי בפקק החלון תורת כלי דמסתמא נשתמש מבעוד יום</w:t>
      </w:r>
      <w:r>
        <w:rPr>
          <w:rFonts w:cs="Arial" w:hint="cs"/>
          <w:rtl/>
        </w:rPr>
        <w:t>,</w:t>
      </w:r>
      <w:r>
        <w:rPr>
          <w:rFonts w:cs="Arial"/>
          <w:rtl/>
        </w:rPr>
        <w:t xml:space="preserve"> שהרי צריך הוא להיות מכוון למדתו של חלון</w:t>
      </w:r>
      <w:r>
        <w:rPr>
          <w:rFonts w:cs="Arial" w:hint="cs"/>
          <w:rtl/>
        </w:rPr>
        <w:t>.</w:t>
      </w:r>
      <w:r>
        <w:rPr>
          <w:rFonts w:cs="Arial"/>
          <w:rtl/>
        </w:rPr>
        <w:t xml:space="preserve"> אבל בקנה שהתקינו בעל הבית להיות פותח ונועל בו הוא שהזכיר תורת כלי</w:t>
      </w:r>
      <w:r>
        <w:rPr>
          <w:rFonts w:cs="Arial" w:hint="cs"/>
          <w:rtl/>
        </w:rPr>
        <w:t>,</w:t>
      </w:r>
      <w:r>
        <w:rPr>
          <w:rFonts w:cs="Arial"/>
          <w:rtl/>
        </w:rPr>
        <w:t xml:space="preserve"> משום דלא משמע שנשתמש בו עכ"ל. </w:t>
      </w:r>
      <w:r>
        <w:rPr>
          <w:rFonts w:cs="Arial" w:hint="cs"/>
          <w:rtl/>
        </w:rPr>
        <w:t xml:space="preserve">     </w:t>
      </w:r>
      <w:r>
        <w:rPr>
          <w:rFonts w:cs="Arial"/>
          <w:rtl/>
        </w:rPr>
        <w:t xml:space="preserve">ודעת </w:t>
      </w:r>
      <w:r w:rsidRPr="002A4EE6">
        <w:rPr>
          <w:rFonts w:cs="Arial"/>
          <w:b/>
          <w:bCs/>
          <w:rtl/>
        </w:rPr>
        <w:t>רבינו</w:t>
      </w:r>
      <w:r>
        <w:rPr>
          <w:rFonts w:cs="Arial"/>
          <w:rtl/>
        </w:rPr>
        <w:t xml:space="preserve"> כדברי הרא"ש</w:t>
      </w:r>
      <w:r>
        <w:rPr>
          <w:rFonts w:cs="Arial" w:hint="cs"/>
          <w:rtl/>
        </w:rPr>
        <w:t>, ב"י.</w:t>
      </w:r>
    </w:p>
  </w:footnote>
  <w:footnote w:id="2063">
    <w:p w14:paraId="25AFCF0D" w14:textId="64A6EE40" w:rsidR="007674A4" w:rsidRDefault="007674A4" w:rsidP="00285819">
      <w:pPr>
        <w:pStyle w:val="a7"/>
      </w:pPr>
      <w:r>
        <w:rPr>
          <w:rStyle w:val="a9"/>
        </w:rPr>
        <w:footnoteRef/>
      </w:r>
      <w:r>
        <w:rPr>
          <w:rtl/>
        </w:rPr>
        <w:t xml:space="preserve"> </w:t>
      </w:r>
      <w:r>
        <w:rPr>
          <w:rFonts w:cs="Arial"/>
          <w:rtl/>
        </w:rPr>
        <w:t>כלומר ולא דמי לקנה שמוסקין בו זיתים ויש עליו תורת כלי שכתב (שם) שהרי הוא ככלי שמלאכתו לאיסור דשאני הכא שהתקינו בידים</w:t>
      </w:r>
      <w:r>
        <w:rPr>
          <w:rFonts w:cs="Arial" w:hint="cs"/>
          <w:rtl/>
        </w:rPr>
        <w:t>.</w:t>
      </w:r>
      <w:r>
        <w:rPr>
          <w:rFonts w:cs="Arial"/>
          <w:rtl/>
        </w:rPr>
        <w:t xml:space="preserve"> אי נמי קנה שמוסקין בו זיתים הוי מלאכתו לאיסור ושנועלין בו הוי מלאכתו להיתר</w:t>
      </w:r>
      <w:r>
        <w:rPr>
          <w:rFonts w:cs="Arial" w:hint="cs"/>
          <w:rtl/>
        </w:rPr>
        <w:t>, ב"י.</w:t>
      </w:r>
      <w:r w:rsidRPr="003C6BB0">
        <w:rPr>
          <w:rFonts w:cs="Arial" w:hint="cs"/>
          <w:color w:val="00B0F0"/>
          <w:rtl/>
        </w:rPr>
        <w:t xml:space="preserve"> </w:t>
      </w:r>
    </w:p>
  </w:footnote>
  <w:footnote w:id="2064">
    <w:p w14:paraId="4EE75DCE" w14:textId="04C9AA95" w:rsidR="00A069F9" w:rsidRDefault="00A069F9" w:rsidP="00285819">
      <w:pPr>
        <w:pStyle w:val="a7"/>
      </w:pPr>
      <w:r>
        <w:rPr>
          <w:rStyle w:val="a9"/>
        </w:rPr>
        <w:footnoteRef/>
      </w:r>
      <w:r>
        <w:rPr>
          <w:rtl/>
        </w:rPr>
        <w:t xml:space="preserve"> </w:t>
      </w:r>
      <w:r w:rsidRPr="00A069F9">
        <w:rPr>
          <w:rFonts w:cs="Arial"/>
          <w:rtl/>
        </w:rPr>
        <w:t>כשהוא קשור ותלוי בחבל של קיימא, וראוי לטלטלו על ידי אותו חבל, ואינו נפסק בידיה</w:t>
      </w:r>
      <w:r>
        <w:rPr>
          <w:rFonts w:cs="Arial" w:hint="cs"/>
          <w:rtl/>
        </w:rPr>
        <w:t>, רש"י.</w:t>
      </w:r>
    </w:p>
  </w:footnote>
  <w:footnote w:id="2065">
    <w:p w14:paraId="22504D0C" w14:textId="18A15B60" w:rsidR="00A069F9" w:rsidRDefault="00A069F9" w:rsidP="00285819">
      <w:pPr>
        <w:pStyle w:val="a7"/>
        <w:rPr>
          <w:rtl/>
        </w:rPr>
      </w:pPr>
      <w:r>
        <w:rPr>
          <w:rStyle w:val="a9"/>
        </w:rPr>
        <w:footnoteRef/>
      </w:r>
      <w:r>
        <w:rPr>
          <w:rtl/>
        </w:rPr>
        <w:t xml:space="preserve"> </w:t>
      </w:r>
      <w:r w:rsidRPr="00A069F9">
        <w:rPr>
          <w:rFonts w:cs="Arial"/>
          <w:rtl/>
        </w:rPr>
        <w:t>דשרי, דכיון דקשור ותלוי יפה - מוכחא מלתא דלנעול קאי, ולא מיחזי כבונה</w:t>
      </w:r>
      <w:r>
        <w:rPr>
          <w:rFonts w:hint="cs"/>
          <w:rtl/>
        </w:rPr>
        <w:t>, רש"י.</w:t>
      </w:r>
    </w:p>
  </w:footnote>
  <w:footnote w:id="2066">
    <w:p w14:paraId="09415556" w14:textId="343DFB77" w:rsidR="00F44496" w:rsidRDefault="00F44496" w:rsidP="00285819">
      <w:pPr>
        <w:pStyle w:val="a7"/>
      </w:pPr>
      <w:r>
        <w:rPr>
          <w:rStyle w:val="a9"/>
        </w:rPr>
        <w:footnoteRef/>
      </w:r>
      <w:r>
        <w:rPr>
          <w:rtl/>
        </w:rPr>
        <w:t xml:space="preserve"> </w:t>
      </w:r>
      <w:r w:rsidRPr="00F44496">
        <w:rPr>
          <w:rFonts w:cs="Arial"/>
          <w:rtl/>
        </w:rPr>
        <w:t>שהחבל דק, ואם היה רוצה ליטלו משם לטלטלו על ידי אותו חבל - מיד נפסק, ר' אליעזר סבר: כיון דאינו ניטל באיגדו - דהוה כמי שאינו קשור, ותנן לקמן נגר המונח, שאינו קשור בדלת - אין נועלין בו, והאי נמי מונח הוא, משום גלוסטרא לא שרי ליה, ור' יוסי סבר: גלוסטרא מהניא ליה, דכיון דכלי הוא - לא הוי כבנין</w:t>
      </w:r>
      <w:r>
        <w:rPr>
          <w:rFonts w:cs="Arial" w:hint="cs"/>
          <w:rtl/>
        </w:rPr>
        <w:t>, רש"י.</w:t>
      </w:r>
    </w:p>
  </w:footnote>
  <w:footnote w:id="2067">
    <w:p w14:paraId="74D8E148" w14:textId="37B5E64D" w:rsidR="00FE3185" w:rsidRDefault="00FE3185" w:rsidP="00285819">
      <w:pPr>
        <w:pStyle w:val="a7"/>
        <w:rPr>
          <w:rtl/>
        </w:rPr>
      </w:pPr>
      <w:r>
        <w:rPr>
          <w:rStyle w:val="a9"/>
        </w:rPr>
        <w:footnoteRef/>
      </w:r>
      <w:r>
        <w:rPr>
          <w:rtl/>
        </w:rPr>
        <w:t xml:space="preserve"> </w:t>
      </w:r>
      <w:r w:rsidRPr="00FE3185">
        <w:rPr>
          <w:rFonts w:cs="Arial"/>
          <w:rtl/>
        </w:rPr>
        <w:t>שקשור בדלת אבל אינו תלוי, שהחבל ארוך, ומתוך שנגרר - אינו נראה כקשור, וכשאין בראשו גלוסטרא קאמר</w:t>
      </w:r>
      <w:r>
        <w:rPr>
          <w:rFonts w:hint="cs"/>
          <w:rtl/>
        </w:rPr>
        <w:t>, רש"י.</w:t>
      </w:r>
    </w:p>
  </w:footnote>
  <w:footnote w:id="2068">
    <w:p w14:paraId="35E35885" w14:textId="1DC79129" w:rsidR="00FE3185" w:rsidRDefault="00FE3185" w:rsidP="00285819">
      <w:pPr>
        <w:pStyle w:val="a7"/>
        <w:rPr>
          <w:rtl/>
        </w:rPr>
      </w:pPr>
      <w:r>
        <w:rPr>
          <w:rStyle w:val="a9"/>
        </w:rPr>
        <w:footnoteRef/>
      </w:r>
      <w:r>
        <w:rPr>
          <w:rtl/>
        </w:rPr>
        <w:t xml:space="preserve"> </w:t>
      </w:r>
      <w:r w:rsidRPr="00FE3185">
        <w:rPr>
          <w:rFonts w:cs="Arial"/>
          <w:rtl/>
        </w:rPr>
        <w:t>דשבות בעלמא הוא, דאינו בונה ממש, הואיל וקשור לכך, אלא, הואיל ונגרר - מיחזי כבונה, ואין שבות דרבנן במקדש, דלא גזרו שם</w:t>
      </w:r>
      <w:r>
        <w:rPr>
          <w:rFonts w:hint="cs"/>
          <w:rtl/>
        </w:rPr>
        <w:t>, רש"י.</w:t>
      </w:r>
    </w:p>
  </w:footnote>
  <w:footnote w:id="2069">
    <w:p w14:paraId="275935CD" w14:textId="13A9E919" w:rsidR="00FE3185" w:rsidRDefault="00FE3185" w:rsidP="00285819">
      <w:pPr>
        <w:pStyle w:val="a7"/>
      </w:pPr>
      <w:r>
        <w:rPr>
          <w:rStyle w:val="a9"/>
        </w:rPr>
        <w:footnoteRef/>
      </w:r>
      <w:r>
        <w:rPr>
          <w:rtl/>
        </w:rPr>
        <w:t xml:space="preserve"> </w:t>
      </w:r>
      <w:r w:rsidRPr="00FE3185">
        <w:rPr>
          <w:rFonts w:cs="Arial"/>
          <w:rtl/>
        </w:rPr>
        <w:t>שאינו קשור כלל - הוי בנין ממש, ור' יהודה סבר: לאו בנין ממש הוא, אלא דומה לבנין, ובמקדש לא גזרו שבות</w:t>
      </w:r>
      <w:r>
        <w:rPr>
          <w:rFonts w:cs="Arial" w:hint="cs"/>
          <w:rtl/>
        </w:rPr>
        <w:t>, רש"י.</w:t>
      </w:r>
    </w:p>
  </w:footnote>
  <w:footnote w:id="2070">
    <w:p w14:paraId="1C4D7AA2" w14:textId="469B9556" w:rsidR="00F4298B" w:rsidRDefault="00F4298B" w:rsidP="00285819">
      <w:pPr>
        <w:pStyle w:val="a7"/>
      </w:pPr>
      <w:r>
        <w:rPr>
          <w:rStyle w:val="a9"/>
        </w:rPr>
        <w:footnoteRef/>
      </w:r>
      <w:r>
        <w:rPr>
          <w:rtl/>
        </w:rPr>
        <w:t xml:space="preserve"> </w:t>
      </w:r>
      <w:r w:rsidRPr="00F4298B">
        <w:rPr>
          <w:rFonts w:cs="Arial"/>
          <w:rtl/>
        </w:rPr>
        <w:t>דמותר אפילו במדינה אבל לא במונח, דשרי ליה ר' יהודה במקדש - לית הלכתא כוותיה, דכיון שאינו קשור שם - בנין גמור הוא, כשאר נגרים שנועצים בכותלים, והבונה כל שהוא - חייב, ומלאכה דאורייתא לא הותרה במקדש חוץ מהקרבת תמידין ומוספין וקרבנות צבור, שדוחין את השבת מגזירת הכתוב</w:t>
      </w:r>
      <w:r>
        <w:rPr>
          <w:rFonts w:cs="Arial" w:hint="cs"/>
          <w:rtl/>
        </w:rPr>
        <w:t>, רש"י.</w:t>
      </w:r>
    </w:p>
  </w:footnote>
  <w:footnote w:id="2071">
    <w:p w14:paraId="3C2DCDFC" w14:textId="51F12332" w:rsidR="00F4298B" w:rsidRDefault="00F4298B" w:rsidP="00285819">
      <w:pPr>
        <w:pStyle w:val="a7"/>
      </w:pPr>
      <w:r>
        <w:rPr>
          <w:rStyle w:val="a9"/>
        </w:rPr>
        <w:footnoteRef/>
      </w:r>
      <w:r>
        <w:rPr>
          <w:rtl/>
        </w:rPr>
        <w:t xml:space="preserve"> </w:t>
      </w:r>
      <w:r w:rsidRPr="00F4298B">
        <w:rPr>
          <w:rFonts w:cs="Arial"/>
          <w:rtl/>
        </w:rPr>
        <w:t>עצמה, דמוכח שפיר, ולא שקשור במזוזה</w:t>
      </w:r>
      <w:r>
        <w:rPr>
          <w:rFonts w:cs="Arial" w:hint="cs"/>
          <w:rtl/>
        </w:rPr>
        <w:t>, רש"י.</w:t>
      </w:r>
    </w:p>
  </w:footnote>
  <w:footnote w:id="2072">
    <w:p w14:paraId="710E26A3" w14:textId="4ACB03F3" w:rsidR="00F4298B" w:rsidRDefault="00F4298B" w:rsidP="00285819">
      <w:pPr>
        <w:pStyle w:val="a7"/>
      </w:pPr>
      <w:r>
        <w:rPr>
          <w:rStyle w:val="a9"/>
        </w:rPr>
        <w:footnoteRef/>
      </w:r>
      <w:r>
        <w:rPr>
          <w:rtl/>
        </w:rPr>
        <w:t xml:space="preserve"> </w:t>
      </w:r>
      <w:r w:rsidRPr="00F4298B">
        <w:rPr>
          <w:rFonts w:cs="Arial"/>
          <w:rtl/>
        </w:rPr>
        <w:t>כלומר: קשור היה בחבל חזק</w:t>
      </w:r>
      <w:r>
        <w:rPr>
          <w:rFonts w:cs="Arial" w:hint="cs"/>
          <w:rtl/>
        </w:rPr>
        <w:t>, רש"י.</w:t>
      </w:r>
    </w:p>
  </w:footnote>
  <w:footnote w:id="2073">
    <w:p w14:paraId="21A350CF" w14:textId="6ABC361F" w:rsidR="00CE0BE0" w:rsidRDefault="00CE0BE0" w:rsidP="00285819">
      <w:pPr>
        <w:pStyle w:val="a7"/>
      </w:pPr>
      <w:r>
        <w:rPr>
          <w:rStyle w:val="a9"/>
        </w:rPr>
        <w:footnoteRef/>
      </w:r>
      <w:r>
        <w:rPr>
          <w:rtl/>
        </w:rPr>
        <w:t xml:space="preserve"> </w:t>
      </w:r>
      <w:r>
        <w:rPr>
          <w:rFonts w:cs="Arial"/>
          <w:rtl/>
        </w:rPr>
        <w:t xml:space="preserve">נראה מדבריו שהוא מפרש דניטל באגדו </w:t>
      </w:r>
      <w:r>
        <w:rPr>
          <w:rFonts w:cs="Arial" w:hint="cs"/>
          <w:rtl/>
        </w:rPr>
        <w:t xml:space="preserve">- </w:t>
      </w:r>
      <w:r>
        <w:rPr>
          <w:rFonts w:cs="Arial"/>
          <w:rtl/>
        </w:rPr>
        <w:t>היינו שמתיר ראש החבל שבדלת והנגר מיטלטל עם החבל</w:t>
      </w:r>
      <w:r>
        <w:rPr>
          <w:rFonts w:cs="Arial" w:hint="cs"/>
          <w:rtl/>
        </w:rPr>
        <w:t>.</w:t>
      </w:r>
      <w:r>
        <w:rPr>
          <w:rFonts w:cs="Arial"/>
          <w:rtl/>
        </w:rPr>
        <w:t xml:space="preserve"> ואינו ניטל באגדו </w:t>
      </w:r>
      <w:r>
        <w:rPr>
          <w:rFonts w:cs="Arial" w:hint="cs"/>
          <w:rtl/>
        </w:rPr>
        <w:t xml:space="preserve">- </w:t>
      </w:r>
      <w:r>
        <w:rPr>
          <w:rFonts w:cs="Arial"/>
          <w:rtl/>
        </w:rPr>
        <w:t>היינו שמתיר ראש החבל שבנגר שנמצא הנגר מיטלטל בלא חבל וכל שהוא מיטלטל עם החבל הקשור בו אפילו אין ראש החבל השני קשור בשום מקום שרי דהיינו ניטל באגדו ודאמרינן בעובדא דרבי טבלא דהוה תלי בעברא דדשא לאו דוקא אלא מעשה שהיה כך היה וכן כתב הרב המגיד בשם התוספות ובשם הרשב"א דתלי בעברא לאו דוקא</w:t>
      </w:r>
      <w:r w:rsidR="00B871B8">
        <w:rPr>
          <w:rFonts w:cs="Arial" w:hint="cs"/>
          <w:rtl/>
        </w:rPr>
        <w:t>.</w:t>
      </w:r>
      <w:r w:rsidR="00B871B8" w:rsidRPr="00B871B8">
        <w:rPr>
          <w:rFonts w:cs="Arial"/>
          <w:rtl/>
        </w:rPr>
        <w:t xml:space="preserve"> </w:t>
      </w:r>
      <w:r w:rsidR="00B871B8">
        <w:rPr>
          <w:rFonts w:cs="Arial" w:hint="cs"/>
          <w:rtl/>
        </w:rPr>
        <w:t xml:space="preserve">    </w:t>
      </w:r>
      <w:r w:rsidR="00B871B8">
        <w:rPr>
          <w:rFonts w:cs="Arial"/>
          <w:rtl/>
        </w:rPr>
        <w:t>ואחר שכתבתי זה מצאתי שכתב הריטב"א (קא: ד"ה בניטל באגדו) בשם התוספות וה"ר ישעיה (פסקי רי"ד קא:) דניטל באגדו היינו שעשו לו בראשו קשר אחד שהיו נוטלין אותו בקשר ההוא ותולין אותו בכותל כשאר כלים ולפיכך מתיר בו דכלי גמור הוא וכל שהוא כלי לא מיחזי כבונה</w:t>
      </w:r>
      <w:r w:rsidR="00B871B8">
        <w:rPr>
          <w:rFonts w:cs="Arial" w:hint="cs"/>
          <w:rtl/>
        </w:rPr>
        <w:t>.</w:t>
      </w:r>
      <w:r w:rsidR="00B871B8">
        <w:rPr>
          <w:rFonts w:cs="Arial"/>
          <w:rtl/>
        </w:rPr>
        <w:t xml:space="preserve"> הילכך אע</w:t>
      </w:r>
      <w:r w:rsidR="00B871B8">
        <w:rPr>
          <w:rFonts w:cs="Arial" w:hint="cs"/>
          <w:rtl/>
        </w:rPr>
        <w:t>"</w:t>
      </w:r>
      <w:r w:rsidR="00B871B8">
        <w:rPr>
          <w:rFonts w:cs="Arial"/>
          <w:rtl/>
        </w:rPr>
        <w:t>פ שאינו קשור לא בדלת ולא בעברא דדשא נועלין בו</w:t>
      </w:r>
      <w:r w:rsidR="00B871B8">
        <w:rPr>
          <w:rFonts w:cs="Arial" w:hint="cs"/>
          <w:rtl/>
        </w:rPr>
        <w:t>.</w:t>
      </w:r>
      <w:r w:rsidR="00B871B8">
        <w:rPr>
          <w:rFonts w:cs="Arial"/>
          <w:rtl/>
        </w:rPr>
        <w:t xml:space="preserve"> והא דאמרינן בעובדא דרבי טבלא דניטל באגדו הוה ולהכי לא אמר להו ולא מידי אף על גב דאמרינן התם דהוה תלי בעברא דדשא מעשה שהיה כך היה דבלאו הכי נמי שרי עכ"ל</w:t>
      </w:r>
      <w:r w:rsidR="00B871B8">
        <w:rPr>
          <w:rFonts w:cs="Arial" w:hint="cs"/>
          <w:rtl/>
        </w:rPr>
        <w:t xml:space="preserve">.     </w:t>
      </w:r>
      <w:r w:rsidR="00B871B8">
        <w:rPr>
          <w:rFonts w:cs="Arial"/>
          <w:rtl/>
        </w:rPr>
        <w:t xml:space="preserve"> ונכון לומר שכן היה מפרש הרמב"ם אלא דקשיא לן הא דאמר רבא והוא שקשור בדלת ומשמע דדוקא דלת מדפריך ליה מעובדא דתלי בעברא דדשא וכיון דכי קשור בדלת אגודו מוכיח עליו מאי איריא דלת</w:t>
      </w:r>
      <w:r w:rsidR="00B871B8">
        <w:rPr>
          <w:rFonts w:cs="Arial" w:hint="cs"/>
          <w:rtl/>
        </w:rPr>
        <w:t>,</w:t>
      </w:r>
      <w:r w:rsidR="00B871B8">
        <w:rPr>
          <w:rFonts w:cs="Arial"/>
          <w:rtl/>
        </w:rPr>
        <w:t xml:space="preserve"> הא כל כי האי גוונא בכל דוכתא שרי כדמסיק ההוא ניטל באגדו הוה. ולכן נ"ל שדעתו כמו שפירשתי תחלה</w:t>
      </w:r>
      <w:r w:rsidR="00B871B8">
        <w:rPr>
          <w:rFonts w:cs="Arial" w:hint="cs"/>
          <w:rtl/>
        </w:rPr>
        <w:t>,</w:t>
      </w:r>
      <w:r w:rsidR="00B871B8">
        <w:rPr>
          <w:rFonts w:cs="Arial"/>
          <w:rtl/>
        </w:rPr>
        <w:t xml:space="preserve"> וליישב קושיא זו נראה לי שענין הנגר הוא על שני דרכים</w:t>
      </w:r>
      <w:r w:rsidR="00B871B8">
        <w:rPr>
          <w:rFonts w:cs="Arial" w:hint="cs"/>
          <w:rtl/>
        </w:rPr>
        <w:t>:</w:t>
      </w:r>
      <w:r w:rsidR="00B871B8">
        <w:rPr>
          <w:rFonts w:cs="Arial"/>
          <w:rtl/>
        </w:rPr>
        <w:t xml:space="preserve"> האחד</w:t>
      </w:r>
      <w:r w:rsidR="00B871B8">
        <w:rPr>
          <w:rFonts w:cs="Arial" w:hint="cs"/>
          <w:rtl/>
        </w:rPr>
        <w:t>,</w:t>
      </w:r>
      <w:r w:rsidR="00B871B8">
        <w:rPr>
          <w:rFonts w:cs="Arial"/>
          <w:rtl/>
        </w:rPr>
        <w:t xml:space="preserve"> שראש החבל הקשור בדלת אין מתירין אותו לעולם</w:t>
      </w:r>
      <w:r w:rsidR="00B871B8">
        <w:rPr>
          <w:rFonts w:cs="Arial" w:hint="cs"/>
          <w:rtl/>
        </w:rPr>
        <w:t>,</w:t>
      </w:r>
      <w:r w:rsidR="00B871B8">
        <w:rPr>
          <w:rFonts w:cs="Arial"/>
          <w:rtl/>
        </w:rPr>
        <w:t xml:space="preserve"> אבל ראש החבל השני קושרים אותו בנגר בעת שרוצים לנעול בו</w:t>
      </w:r>
      <w:r w:rsidR="00B871B8">
        <w:rPr>
          <w:rFonts w:cs="Arial" w:hint="cs"/>
          <w:rtl/>
        </w:rPr>
        <w:t>,</w:t>
      </w:r>
      <w:r w:rsidR="00B871B8">
        <w:rPr>
          <w:rFonts w:cs="Arial"/>
          <w:rtl/>
        </w:rPr>
        <w:t xml:space="preserve"> וכשפותחים מתירין אותו ונוטלין הנגר לבדו ומניחין אותו בקרן זוית. השני</w:t>
      </w:r>
      <w:r w:rsidR="00B871B8">
        <w:rPr>
          <w:rFonts w:cs="Arial" w:hint="cs"/>
          <w:rtl/>
        </w:rPr>
        <w:t>,</w:t>
      </w:r>
      <w:r w:rsidR="00B871B8">
        <w:rPr>
          <w:rFonts w:cs="Arial"/>
          <w:rtl/>
        </w:rPr>
        <w:t xml:space="preserve"> שראש החבל הקשור בנגר אין מתירין אותו לעולם אבל ראש החבל הקשור בדלת קושרין אותו בעת שרוצין לנעול וכשפותחים מתירין אותו מהדלת ונוטלין הנגר ואגדו עמו ומניחין אותו בקרן זוית</w:t>
      </w:r>
      <w:r w:rsidR="00B871B8">
        <w:rPr>
          <w:rFonts w:cs="Arial" w:hint="cs"/>
          <w:rtl/>
        </w:rPr>
        <w:t>.</w:t>
      </w:r>
      <w:r w:rsidR="00B871B8">
        <w:rPr>
          <w:rFonts w:cs="Arial"/>
          <w:rtl/>
        </w:rPr>
        <w:t xml:space="preserve"> ורבא איירי בנגר שהוא בדרך הראשון</w:t>
      </w:r>
      <w:r w:rsidR="00B871B8">
        <w:rPr>
          <w:rFonts w:cs="Arial" w:hint="cs"/>
          <w:rtl/>
        </w:rPr>
        <w:t>,</w:t>
      </w:r>
      <w:r w:rsidR="00B871B8">
        <w:rPr>
          <w:rFonts w:cs="Arial"/>
          <w:rtl/>
        </w:rPr>
        <w:t xml:space="preserve"> דכיון שהנגר ניטל בלא אגד אפילו קשור ותלוי במקום אחר אסור</w:t>
      </w:r>
      <w:r w:rsidR="00B871B8">
        <w:rPr>
          <w:rFonts w:cs="Arial" w:hint="cs"/>
          <w:rtl/>
        </w:rPr>
        <w:t>,</w:t>
      </w:r>
      <w:r w:rsidR="00B871B8">
        <w:rPr>
          <w:rFonts w:cs="Arial"/>
          <w:rtl/>
        </w:rPr>
        <w:t xml:space="preserve"> דהא כיון שהוא עשוי ליטלו משם בלא אגד אין אגד זה מוכיח עליו</w:t>
      </w:r>
      <w:r w:rsidR="00B871B8">
        <w:rPr>
          <w:rFonts w:cs="Arial" w:hint="cs"/>
          <w:rtl/>
        </w:rPr>
        <w:t>.</w:t>
      </w:r>
      <w:r w:rsidR="00B871B8">
        <w:rPr>
          <w:rFonts w:cs="Arial"/>
          <w:rtl/>
        </w:rPr>
        <w:t xml:space="preserve"> ועובדא דרבי טבלא קס"ד שהיה בנגר העשוי בדרך זה</w:t>
      </w:r>
      <w:r w:rsidR="00B871B8">
        <w:rPr>
          <w:rFonts w:cs="Arial" w:hint="cs"/>
          <w:rtl/>
        </w:rPr>
        <w:t>,</w:t>
      </w:r>
      <w:r w:rsidR="00B871B8">
        <w:rPr>
          <w:rFonts w:cs="Arial"/>
          <w:rtl/>
        </w:rPr>
        <w:t xml:space="preserve"> ומשום הכי פריך לרבא מיניה</w:t>
      </w:r>
      <w:r w:rsidR="00B871B8">
        <w:rPr>
          <w:rFonts w:cs="Arial" w:hint="cs"/>
          <w:rtl/>
        </w:rPr>
        <w:t>,</w:t>
      </w:r>
      <w:r w:rsidR="00B871B8">
        <w:rPr>
          <w:rFonts w:cs="Arial"/>
          <w:rtl/>
        </w:rPr>
        <w:t xml:space="preserve"> ושני דעובדא דרבי טבלא לאו בנגר העשוי בדרך זה</w:t>
      </w:r>
      <w:r w:rsidR="00B871B8">
        <w:rPr>
          <w:rFonts w:cs="Arial" w:hint="cs"/>
          <w:rtl/>
        </w:rPr>
        <w:t xml:space="preserve"> </w:t>
      </w:r>
      <w:r w:rsidR="00B871B8">
        <w:rPr>
          <w:rFonts w:cs="Arial"/>
          <w:rtl/>
        </w:rPr>
        <w:t>היה אלא בעשוי בדרך השני שהוא ניטל ואגדו עמו</w:t>
      </w:r>
      <w:r w:rsidR="00B871B8">
        <w:rPr>
          <w:rFonts w:cs="Arial" w:hint="cs"/>
          <w:rtl/>
        </w:rPr>
        <w:t>,</w:t>
      </w:r>
      <w:r w:rsidR="00B871B8">
        <w:rPr>
          <w:rFonts w:cs="Arial"/>
          <w:rtl/>
        </w:rPr>
        <w:t xml:space="preserve"> ומשום הכי שרי בתלי בעברא דדשא</w:t>
      </w:r>
      <w:r w:rsidR="00B871B8">
        <w:rPr>
          <w:rFonts w:cs="Arial" w:hint="cs"/>
          <w:rtl/>
        </w:rPr>
        <w:t>,</w:t>
      </w:r>
      <w:r w:rsidR="00B871B8">
        <w:rPr>
          <w:rFonts w:cs="Arial"/>
          <w:rtl/>
        </w:rPr>
        <w:t xml:space="preserve"> והוא הדין למונח בקרן זוית כמו שנתבאר</w:t>
      </w:r>
      <w:r w:rsidR="00B871B8">
        <w:rPr>
          <w:rFonts w:cs="Arial" w:hint="cs"/>
          <w:rtl/>
        </w:rPr>
        <w:t>,</w:t>
      </w:r>
      <w:r>
        <w:rPr>
          <w:rFonts w:cs="Arial" w:hint="cs"/>
          <w:rtl/>
        </w:rPr>
        <w:t xml:space="preserve"> ב"י.</w:t>
      </w:r>
    </w:p>
  </w:footnote>
  <w:footnote w:id="2074">
    <w:p w14:paraId="6B1244CD" w14:textId="7D19A297" w:rsidR="001E1881" w:rsidRDefault="001E1881" w:rsidP="00285819">
      <w:pPr>
        <w:pStyle w:val="a7"/>
      </w:pPr>
      <w:r>
        <w:rPr>
          <w:rStyle w:val="a9"/>
        </w:rPr>
        <w:footnoteRef/>
      </w:r>
      <w:r>
        <w:rPr>
          <w:rtl/>
        </w:rPr>
        <w:t xml:space="preserve"> </w:t>
      </w:r>
      <w:r w:rsidRPr="001E1881">
        <w:rPr>
          <w:rFonts w:cs="Arial"/>
          <w:rtl/>
        </w:rPr>
        <w:t>וזה מהני אפילו אם לא נשתמש בו עדיין מעולם לזה וכ"ש אם נשתמש בו מכבר אפילו רק פ"א דכבר ירדה עליהם תורת כלי ולא צריך תו אפילו מחשבה</w:t>
      </w:r>
      <w:r>
        <w:rPr>
          <w:rFonts w:cs="Arial" w:hint="cs"/>
          <w:rtl/>
        </w:rPr>
        <w:t>.</w:t>
      </w:r>
      <w:r w:rsidRPr="001E1881">
        <w:rPr>
          <w:rFonts w:cs="Arial"/>
          <w:rtl/>
        </w:rPr>
        <w:t xml:space="preserve"> ודע דהא דבעינן דעתו מע"ש היינו דוקא בדבר שדרך לבטלו שם אבל דבר שאין דרך לבטלו לעולם אלא לפי שעה כגון בגד וכי"ב מותר לסתום בו אפילו לא היה דעתו עליו מע"ש [ח"א]</w:t>
      </w:r>
      <w:r>
        <w:rPr>
          <w:rFonts w:cs="Arial" w:hint="cs"/>
          <w:rtl/>
        </w:rPr>
        <w:t>, משנ"ב (סק"ג).</w:t>
      </w:r>
    </w:p>
  </w:footnote>
  <w:footnote w:id="2075">
    <w:p w14:paraId="13859C12" w14:textId="6D506E99" w:rsidR="007E7BC6" w:rsidRDefault="007E7BC6" w:rsidP="00285819">
      <w:pPr>
        <w:pStyle w:val="a7"/>
        <w:rPr>
          <w:rtl/>
        </w:rPr>
      </w:pPr>
      <w:r>
        <w:rPr>
          <w:rStyle w:val="a9"/>
        </w:rPr>
        <w:footnoteRef/>
      </w:r>
      <w:r>
        <w:rPr>
          <w:rtl/>
        </w:rPr>
        <w:t xml:space="preserve"> </w:t>
      </w:r>
      <w:r w:rsidRPr="007E7BC6">
        <w:rPr>
          <w:rFonts w:cs="Arial"/>
          <w:rtl/>
        </w:rPr>
        <w:t>שנכנס הנגר בחור האסקופה, ונפחת אותו החור ויוצא הנגר לצד הקרקע, ונועץ בקרקע, ועד השתא איירי כשהאסקופה גבוהה, ואין החור ניקב עד לארץ</w:t>
      </w:r>
      <w:r>
        <w:rPr>
          <w:rFonts w:hint="cs"/>
          <w:rtl/>
        </w:rPr>
        <w:t>, רש"י.</w:t>
      </w:r>
    </w:p>
  </w:footnote>
  <w:footnote w:id="2076">
    <w:p w14:paraId="116F6277" w14:textId="7F6DB0EC" w:rsidR="007E7BC6" w:rsidRDefault="007E7BC6" w:rsidP="00285819">
      <w:pPr>
        <w:pStyle w:val="a7"/>
      </w:pPr>
      <w:r>
        <w:rPr>
          <w:rStyle w:val="a9"/>
        </w:rPr>
        <w:footnoteRef/>
      </w:r>
      <w:r>
        <w:rPr>
          <w:rtl/>
        </w:rPr>
        <w:t xml:space="preserve"> </w:t>
      </w:r>
      <w:r w:rsidRPr="007E7BC6">
        <w:rPr>
          <w:rFonts w:cs="Arial"/>
          <w:rtl/>
        </w:rPr>
        <w:t>שנפסק החבל שהוא קשור בו, והרי הוא מונח בקרן זוית כשפותח אותו</w:t>
      </w:r>
      <w:r>
        <w:rPr>
          <w:rFonts w:cs="Arial" w:hint="cs"/>
          <w:rtl/>
        </w:rPr>
        <w:t>, רש"י.</w:t>
      </w:r>
    </w:p>
  </w:footnote>
  <w:footnote w:id="2077">
    <w:p w14:paraId="012147A1" w14:textId="2488AB40" w:rsidR="007E7BC6" w:rsidRDefault="007E7BC6" w:rsidP="00285819">
      <w:pPr>
        <w:pStyle w:val="a7"/>
      </w:pPr>
      <w:r>
        <w:rPr>
          <w:rStyle w:val="a9"/>
        </w:rPr>
        <w:footnoteRef/>
      </w:r>
      <w:r>
        <w:rPr>
          <w:rtl/>
        </w:rPr>
        <w:t xml:space="preserve"> </w:t>
      </w:r>
      <w:r w:rsidRPr="007E7BC6">
        <w:rPr>
          <w:rFonts w:cs="Arial"/>
          <w:rtl/>
        </w:rPr>
        <w:t>לנגר שאינו קשור כלל, ותחב בית יד באמצעיתו, ודומה למקבת, דהשתא ודאי מוכח מילתא הוא דכלי הוא, מהו לנעול בו</w:t>
      </w:r>
      <w:r>
        <w:rPr>
          <w:rFonts w:cs="Arial" w:hint="cs"/>
          <w:rtl/>
        </w:rPr>
        <w:t>, רש"י.</w:t>
      </w:r>
      <w:r w:rsidR="006917C5" w:rsidRPr="006917C5">
        <w:rPr>
          <w:rFonts w:cs="Arial" w:hint="cs"/>
          <w:rtl/>
        </w:rPr>
        <w:t xml:space="preserve"> </w:t>
      </w:r>
      <w:r w:rsidR="006917C5">
        <w:rPr>
          <w:rFonts w:cs="Arial" w:hint="cs"/>
          <w:rtl/>
        </w:rPr>
        <w:t xml:space="preserve">אך </w:t>
      </w:r>
      <w:r w:rsidR="006917C5" w:rsidRPr="00D22DC5">
        <w:rPr>
          <w:rFonts w:cs="Arial"/>
          <w:rtl/>
        </w:rPr>
        <w:t>הרי"ף (לד:) פירש דבנקמז קאמר</w:t>
      </w:r>
      <w:r w:rsidR="006917C5">
        <w:rPr>
          <w:rFonts w:cs="Arial" w:hint="cs"/>
          <w:rtl/>
        </w:rPr>
        <w:t xml:space="preserve"> ואי </w:t>
      </w:r>
      <w:r w:rsidR="006917C5" w:rsidRPr="006917C5">
        <w:rPr>
          <w:rFonts w:cs="Arial"/>
          <w:rtl/>
        </w:rPr>
        <w:t>עשה לו בית יד שרי</w:t>
      </w:r>
      <w:r w:rsidR="006917C5">
        <w:rPr>
          <w:rFonts w:cs="Arial" w:hint="cs"/>
          <w:rtl/>
        </w:rPr>
        <w:t>.</w:t>
      </w:r>
      <w:r w:rsidR="006917C5" w:rsidRPr="006917C5">
        <w:rPr>
          <w:rFonts w:cs="Arial"/>
          <w:rtl/>
        </w:rPr>
        <w:t xml:space="preserve"> דכיון דכלי הוא תו לא מיחזי כבונה שאין דרך לשקע כלי בבנין לבטלו שם.</w:t>
      </w:r>
      <w:r w:rsidR="006917C5">
        <w:rPr>
          <w:rFonts w:cs="Arial" w:hint="cs"/>
          <w:rtl/>
        </w:rPr>
        <w:t>.</w:t>
      </w:r>
      <w:r w:rsidR="006917C5" w:rsidRPr="006917C5">
        <w:rPr>
          <w:rFonts w:cs="Arial"/>
          <w:rtl/>
        </w:rPr>
        <w:t>. והפוסקים שלא פסקו דין זה דעשה לו בית יד נראה שהוא מפני שנראה להם דבר פשוט כיון דכלי הוא וכדאמר ליה בתמיהא בוכנא קאמרת</w:t>
      </w:r>
      <w:r w:rsidR="006917C5">
        <w:rPr>
          <w:rFonts w:cs="Arial" w:hint="cs"/>
          <w:rtl/>
        </w:rPr>
        <w:t>, ע"פ ב"י.</w:t>
      </w:r>
      <w:r w:rsidR="006917C5">
        <w:rPr>
          <w:rFonts w:hint="cs"/>
          <w:rtl/>
        </w:rPr>
        <w:t xml:space="preserve"> </w:t>
      </w:r>
      <w:r w:rsidR="006917C5" w:rsidRPr="006917C5">
        <w:rPr>
          <w:rFonts w:hint="cs"/>
          <w:color w:val="FF0000"/>
          <w:rtl/>
        </w:rPr>
        <w:t>וצל"ע מדוע הב"י לא פסק כמותו בשו"ע.</w:t>
      </w:r>
    </w:p>
  </w:footnote>
  <w:footnote w:id="2078">
    <w:p w14:paraId="25D58CC8" w14:textId="1EA53493" w:rsidR="002B5B71" w:rsidRDefault="002B5B71" w:rsidP="00285819">
      <w:pPr>
        <w:pStyle w:val="a7"/>
        <w:rPr>
          <w:rtl/>
        </w:rPr>
      </w:pPr>
      <w:r>
        <w:rPr>
          <w:rStyle w:val="a9"/>
        </w:rPr>
        <w:footnoteRef/>
      </w:r>
      <w:r>
        <w:rPr>
          <w:rtl/>
        </w:rPr>
        <w:t xml:space="preserve"> </w:t>
      </w:r>
      <w:r w:rsidRPr="002B5B71">
        <w:rPr>
          <w:rFonts w:cs="Arial"/>
          <w:rtl/>
        </w:rPr>
        <w:t xml:space="preserve">ואם מתחלה עשה חלל בקרקע מקום שהנגר יהיה ראשו שם ואינו מוסיף נקב בארץ </w:t>
      </w:r>
      <w:r>
        <w:rPr>
          <w:rFonts w:cs="Arial" w:hint="cs"/>
          <w:rtl/>
        </w:rPr>
        <w:t xml:space="preserve">- </w:t>
      </w:r>
      <w:r w:rsidRPr="002B5B71">
        <w:rPr>
          <w:rFonts w:cs="Arial"/>
          <w:rtl/>
        </w:rPr>
        <w:t>אין איסור</w:t>
      </w:r>
      <w:r>
        <w:rPr>
          <w:rFonts w:cs="Arial" w:hint="cs"/>
          <w:rtl/>
        </w:rPr>
        <w:t>.</w:t>
      </w:r>
      <w:r w:rsidRPr="002B5B71">
        <w:rPr>
          <w:rFonts w:cs="Arial"/>
          <w:rtl/>
        </w:rPr>
        <w:t xml:space="preserve"> ובזה ניחא מה שברוב הבתים עושין נקבים בחומה אצל הדלת מכאן ומכאן ותוחבין הבריח לשם שהולך מקצה זה לזה</w:t>
      </w:r>
      <w:r>
        <w:rPr>
          <w:rFonts w:cs="Arial" w:hint="cs"/>
          <w:rtl/>
        </w:rPr>
        <w:t>,</w:t>
      </w:r>
      <w:r w:rsidRPr="002B5B71">
        <w:rPr>
          <w:rFonts w:cs="Arial"/>
          <w:rtl/>
        </w:rPr>
        <w:t xml:space="preserve"> ולא אמרינן דהוי כבונה</w:t>
      </w:r>
      <w:r>
        <w:rPr>
          <w:rFonts w:cs="Arial" w:hint="cs"/>
          <w:rtl/>
        </w:rPr>
        <w:t>,</w:t>
      </w:r>
      <w:r w:rsidRPr="002B5B71">
        <w:rPr>
          <w:rFonts w:cs="Arial"/>
          <w:rtl/>
        </w:rPr>
        <w:t xml:space="preserve"> דמה לי שנכנס בחומה או למטה בארץ</w:t>
      </w:r>
      <w:r>
        <w:rPr>
          <w:rFonts w:cs="Arial" w:hint="cs"/>
          <w:rtl/>
        </w:rPr>
        <w:t>.</w:t>
      </w:r>
      <w:r w:rsidRPr="002B5B71">
        <w:rPr>
          <w:rFonts w:cs="Arial"/>
          <w:rtl/>
        </w:rPr>
        <w:t xml:space="preserve"> אלא משום שנעשה מתחלה לכך נקבים בחומה ע"כ אין איסור</w:t>
      </w:r>
      <w:r>
        <w:rPr>
          <w:rFonts w:cs="Arial" w:hint="cs"/>
          <w:rtl/>
        </w:rPr>
        <w:t>.</w:t>
      </w:r>
      <w:r w:rsidRPr="002B5B71">
        <w:rPr>
          <w:rFonts w:cs="Arial"/>
          <w:rtl/>
        </w:rPr>
        <w:t xml:space="preserve"> ועוד נראה דכיון שעושין טבעת של ברזל באמצע הבריח ובו אוחזין בשעת פתיחה ונעילה ומושכין את הבריח זה הוי כעשה לו בית יד דמותר אפילו באינו קשור אפילו בנפחתה האסקופה [ט"ז וש"א]</w:t>
      </w:r>
      <w:r>
        <w:rPr>
          <w:rFonts w:cs="Arial" w:hint="cs"/>
          <w:rtl/>
        </w:rPr>
        <w:t>.</w:t>
      </w:r>
      <w:r w:rsidRPr="002B5B71">
        <w:rPr>
          <w:rFonts w:cs="Arial"/>
          <w:rtl/>
        </w:rPr>
        <w:t xml:space="preserve"> ונראה דאפילו לדעת הגר"א שמחמיר לעיל בעשה לו בית יד לדעת רש"י והטור </w:t>
      </w:r>
      <w:r>
        <w:rPr>
          <w:rFonts w:cs="Arial" w:hint="cs"/>
          <w:rtl/>
        </w:rPr>
        <w:t xml:space="preserve">- </w:t>
      </w:r>
      <w:r w:rsidRPr="002B5B71">
        <w:rPr>
          <w:rFonts w:cs="Arial"/>
          <w:rtl/>
        </w:rPr>
        <w:t>יש להקל בזה מפני צירוף טעם הראשון של הט"ז</w:t>
      </w:r>
      <w:r>
        <w:rPr>
          <w:rFonts w:hint="cs"/>
          <w:rtl/>
        </w:rPr>
        <w:t>, משנ"ב (סקכ"ב).</w:t>
      </w:r>
    </w:p>
  </w:footnote>
  <w:footnote w:id="2079">
    <w:p w14:paraId="2A3C8C31" w14:textId="77777777" w:rsidR="009456C6" w:rsidRDefault="009456C6" w:rsidP="00285819">
      <w:pPr>
        <w:pStyle w:val="a7"/>
      </w:pPr>
      <w:r>
        <w:rPr>
          <w:rStyle w:val="a9"/>
        </w:rPr>
        <w:footnoteRef/>
      </w:r>
      <w:r>
        <w:rPr>
          <w:rtl/>
        </w:rPr>
        <w:t xml:space="preserve"> </w:t>
      </w:r>
      <w:r w:rsidRPr="009329C1">
        <w:rPr>
          <w:rFonts w:cs="Arial"/>
          <w:rtl/>
        </w:rPr>
        <w:t>רחבה שאחורי הבתים, ומשום הכי נקט לה, משום שאין משתמשין בה תדיר, ואין בעל הבית חושש לעשות לה דלת תלויה כראוי וקבועה, אלא זקופה כנגד הפתח, וכשהוא פותח מטילה לארץ, ויש שתלויות אבל נגררות לארץ</w:t>
      </w:r>
      <w:r>
        <w:rPr>
          <w:rFonts w:cs="Arial" w:hint="cs"/>
          <w:rtl/>
        </w:rPr>
        <w:t>, רש"י.</w:t>
      </w:r>
    </w:p>
  </w:footnote>
  <w:footnote w:id="2080">
    <w:p w14:paraId="6FDB0F49" w14:textId="77777777" w:rsidR="009456C6" w:rsidRDefault="009456C6" w:rsidP="00285819">
      <w:pPr>
        <w:pStyle w:val="a7"/>
      </w:pPr>
      <w:r>
        <w:rPr>
          <w:rStyle w:val="a9"/>
        </w:rPr>
        <w:footnoteRef/>
      </w:r>
      <w:r>
        <w:rPr>
          <w:rtl/>
        </w:rPr>
        <w:t xml:space="preserve"> </w:t>
      </w:r>
      <w:r w:rsidRPr="009329C1">
        <w:rPr>
          <w:rFonts w:cs="Arial"/>
          <w:rtl/>
        </w:rPr>
        <w:t>קוצים שעשאם חבילות, והתקינם לסתום בהם פרצה, ופעמים שהוא פותחה</w:t>
      </w:r>
      <w:r>
        <w:rPr>
          <w:rFonts w:cs="Arial" w:hint="cs"/>
          <w:rtl/>
        </w:rPr>
        <w:t>, רש"י.</w:t>
      </w:r>
    </w:p>
  </w:footnote>
  <w:footnote w:id="2081">
    <w:p w14:paraId="41E65B68" w14:textId="77777777" w:rsidR="009456C6" w:rsidRDefault="009456C6" w:rsidP="00285819">
      <w:pPr>
        <w:pStyle w:val="a7"/>
      </w:pPr>
      <w:r>
        <w:rPr>
          <w:rStyle w:val="a9"/>
        </w:rPr>
        <w:footnoteRef/>
      </w:r>
      <w:r>
        <w:rPr>
          <w:rtl/>
        </w:rPr>
        <w:t xml:space="preserve"> </w:t>
      </w:r>
      <w:r w:rsidRPr="009329C1">
        <w:rPr>
          <w:rFonts w:cs="Arial"/>
          <w:rtl/>
        </w:rPr>
        <w:t>בשבת, משום דעביד בנין, או אפילו כשהיא תלויה ונגררת - אין זה קבועה, וכשהוא מגביהה על המשקוף, כיון דאינה קבועה שם מחזי כבונה</w:t>
      </w:r>
      <w:r>
        <w:rPr>
          <w:rFonts w:cs="Arial" w:hint="cs"/>
          <w:rtl/>
        </w:rPr>
        <w:t>, רש"י.</w:t>
      </w:r>
    </w:p>
  </w:footnote>
  <w:footnote w:id="2082">
    <w:p w14:paraId="3D4D703C" w14:textId="77777777" w:rsidR="009456C6" w:rsidRDefault="009456C6" w:rsidP="00285819">
      <w:pPr>
        <w:pStyle w:val="a7"/>
        <w:rPr>
          <w:rtl/>
        </w:rPr>
      </w:pPr>
      <w:r>
        <w:rPr>
          <w:rStyle w:val="a9"/>
        </w:rPr>
        <w:footnoteRef/>
      </w:r>
      <w:r>
        <w:rPr>
          <w:rtl/>
        </w:rPr>
        <w:t xml:space="preserve"> </w:t>
      </w:r>
      <w:r w:rsidRPr="009329C1">
        <w:rPr>
          <w:rFonts w:cs="Arial"/>
          <w:rtl/>
        </w:rPr>
        <w:t>הוא כלי שאוחזין בו מאחורי המחרישה כשהן חורשין, יש שנועלים ומעמידים אותו במקום דלת כנגד הפתח</w:t>
      </w:r>
      <w:r>
        <w:rPr>
          <w:rFonts w:hint="cs"/>
          <w:rtl/>
        </w:rPr>
        <w:t>, רש"י.</w:t>
      </w:r>
    </w:p>
  </w:footnote>
  <w:footnote w:id="2083">
    <w:p w14:paraId="5ED78443" w14:textId="77777777" w:rsidR="009456C6" w:rsidRDefault="009456C6" w:rsidP="00285819">
      <w:pPr>
        <w:pStyle w:val="a7"/>
        <w:rPr>
          <w:rtl/>
        </w:rPr>
      </w:pPr>
      <w:r>
        <w:rPr>
          <w:rStyle w:val="a9"/>
        </w:rPr>
        <w:footnoteRef/>
      </w:r>
      <w:r>
        <w:rPr>
          <w:rtl/>
        </w:rPr>
        <w:t xml:space="preserve"> </w:t>
      </w:r>
      <w:r w:rsidRPr="009329C1">
        <w:rPr>
          <w:rFonts w:cs="Arial"/>
          <w:rtl/>
        </w:rPr>
        <w:t>אלמא: אתלויין הוא דקפיד, אבל אגבוהים מן הארץ - לא חייש</w:t>
      </w:r>
      <w:r>
        <w:rPr>
          <w:rFonts w:hint="cs"/>
          <w:rtl/>
        </w:rPr>
        <w:t>, רש"י.</w:t>
      </w:r>
    </w:p>
  </w:footnote>
  <w:footnote w:id="2084">
    <w:p w14:paraId="0CF9EFB6" w14:textId="77777777" w:rsidR="009456C6" w:rsidRDefault="009456C6" w:rsidP="00285819">
      <w:pPr>
        <w:pStyle w:val="a7"/>
      </w:pPr>
      <w:r>
        <w:rPr>
          <w:rStyle w:val="a9"/>
        </w:rPr>
        <w:footnoteRef/>
      </w:r>
      <w:r>
        <w:rPr>
          <w:rtl/>
        </w:rPr>
        <w:t xml:space="preserve"> </w:t>
      </w:r>
      <w:r w:rsidRPr="009329C1">
        <w:rPr>
          <w:rFonts w:cs="Arial"/>
          <w:rtl/>
        </w:rPr>
        <w:t>דמוכחא מילתא דדלת גמורה היא, והרי היא קשורה ותלויה ולא מחזי כבונה</w:t>
      </w:r>
      <w:r>
        <w:rPr>
          <w:rFonts w:cs="Arial" w:hint="cs"/>
          <w:rtl/>
        </w:rPr>
        <w:t>, רש"י.</w:t>
      </w:r>
    </w:p>
  </w:footnote>
  <w:footnote w:id="2085">
    <w:p w14:paraId="6B6DC5C6" w14:textId="2AC52EB6" w:rsidR="009456C6" w:rsidRDefault="009456C6" w:rsidP="00285819">
      <w:pPr>
        <w:pStyle w:val="a7"/>
      </w:pPr>
      <w:r>
        <w:rPr>
          <w:rStyle w:val="a9"/>
        </w:rPr>
        <w:footnoteRef/>
      </w:r>
      <w:r>
        <w:rPr>
          <w:rtl/>
        </w:rPr>
        <w:t xml:space="preserve"> </w:t>
      </w:r>
      <w:r w:rsidRPr="009329C1">
        <w:rPr>
          <w:rFonts w:cs="Arial"/>
          <w:rtl/>
        </w:rPr>
        <w:t>ואע</w:t>
      </w:r>
      <w:r w:rsidR="00E10D3C">
        <w:rPr>
          <w:rFonts w:cs="Arial" w:hint="cs"/>
          <w:rtl/>
        </w:rPr>
        <w:t>"</w:t>
      </w:r>
      <w:r w:rsidRPr="009329C1">
        <w:rPr>
          <w:rFonts w:cs="Arial"/>
          <w:rtl/>
        </w:rPr>
        <w:t>ג דהשתא ליכא - היכירא הוא דאיכא</w:t>
      </w:r>
      <w:r>
        <w:rPr>
          <w:rFonts w:cs="Arial" w:hint="cs"/>
          <w:rtl/>
        </w:rPr>
        <w:t>, רש"י.</w:t>
      </w:r>
    </w:p>
  </w:footnote>
  <w:footnote w:id="2086">
    <w:p w14:paraId="6D4920A8" w14:textId="77777777" w:rsidR="009456C6" w:rsidRDefault="009456C6" w:rsidP="00285819">
      <w:pPr>
        <w:pStyle w:val="a7"/>
        <w:rPr>
          <w:rtl/>
        </w:rPr>
      </w:pPr>
      <w:r>
        <w:rPr>
          <w:rStyle w:val="a9"/>
        </w:rPr>
        <w:footnoteRef/>
      </w:r>
      <w:r>
        <w:rPr>
          <w:rtl/>
        </w:rPr>
        <w:t xml:space="preserve"> </w:t>
      </w:r>
      <w:r w:rsidRPr="00D07DCD">
        <w:rPr>
          <w:rFonts w:cs="Arial"/>
          <w:rtl/>
        </w:rPr>
        <w:t>ולאו למימרא שיהא מותר להחזיר הדלת על צירה דהא תניא לקמן בפירקין (ק"ב ב') שאם החזיר חייב חטאת, אלא לומר דכי איתא בפתח ציר לא מיחזי כבונה וכדפרישנא</w:t>
      </w:r>
      <w:r>
        <w:rPr>
          <w:rFonts w:hint="cs"/>
          <w:rtl/>
        </w:rPr>
        <w:t>, ריטב"א (שם). וצל"ע מדוע הב"י השמיט משפט זה.</w:t>
      </w:r>
    </w:p>
  </w:footnote>
  <w:footnote w:id="2087">
    <w:p w14:paraId="1F1BAB7A" w14:textId="31B5A5E7" w:rsidR="009456C6" w:rsidRDefault="009456C6" w:rsidP="00285819">
      <w:pPr>
        <w:pStyle w:val="a7"/>
      </w:pPr>
      <w:r>
        <w:rPr>
          <w:rStyle w:val="a9"/>
        </w:rPr>
        <w:footnoteRef/>
      </w:r>
      <w:r>
        <w:rPr>
          <w:rtl/>
        </w:rPr>
        <w:t xml:space="preserve"> </w:t>
      </w:r>
      <w:r>
        <w:rPr>
          <w:rFonts w:cs="Arial" w:hint="cs"/>
          <w:rtl/>
        </w:rPr>
        <w:t>וז"ל-</w:t>
      </w:r>
      <w:r>
        <w:rPr>
          <w:rFonts w:cs="Arial"/>
          <w:rtl/>
        </w:rPr>
        <w:t xml:space="preserve"> כתב הרז"ה (עירובין לג:) הא דתנן הדלת שבמוקצה וכו' וכן הא דתניא דלת הנגררת ומחצלת הנגררת בזמן שקשורים ותלויים נועלים בהם כולהו כרבי אליעזר (שבת קכה:) דבעי בפקק החלון קשור ותלוי וקאמר רב ירמיה בר אבא (שם קכו.) מאן תנא נגר הנגרר רבי אליעזר היא והשתא דקיימא לן (עירובין קב.) הלכתא כרבי יהודה דבקשור אף על פי שאין תלוי סגי נקיטינן מינה דלית הלכתא כהני מתנייתא דבעו קשורים ותלויים ולא כתנא דמתניתין דבעי גבוהים מן הארץ. ולא נהירא לאוקומי סתמא דמתניתין דלא כהלכתא</w:t>
      </w:r>
      <w:r>
        <w:rPr>
          <w:rFonts w:cs="Arial" w:hint="cs"/>
          <w:rtl/>
        </w:rPr>
        <w:t>.</w:t>
      </w:r>
      <w:r>
        <w:rPr>
          <w:rFonts w:cs="Arial"/>
          <w:rtl/>
        </w:rPr>
        <w:t xml:space="preserve"> ויותר נראין דברי הראב"ד ז"ל וז</w:t>
      </w:r>
      <w:r>
        <w:rPr>
          <w:rFonts w:cs="Arial" w:hint="cs"/>
          <w:rtl/>
        </w:rPr>
        <w:t>ה</w:t>
      </w:r>
      <w:r>
        <w:rPr>
          <w:rFonts w:cs="Arial"/>
          <w:rtl/>
        </w:rPr>
        <w:t xml:space="preserve"> לשונו</w:t>
      </w:r>
      <w:r>
        <w:rPr>
          <w:rFonts w:cs="Arial" w:hint="cs"/>
          <w:rtl/>
        </w:rPr>
        <w:t>-</w:t>
      </w:r>
      <w:r>
        <w:rPr>
          <w:rFonts w:cs="Arial"/>
          <w:rtl/>
        </w:rPr>
        <w:t xml:space="preserve"> אי קשיא לך כיון דקיימא לן כרבי יהודה וכרבי שמעון בן גמליאל (שבת קכו.) דאמר מוסיף אוהל עראי מותר הא אמרינן לעיל במתניתין הדלת שבמוקצה וחדקין שבפרצה ומחצלת אין נועלין בהם אלא אם כן היו גבוהים מן הארץ ואסרי ליה משום בנין והלא תוספת אוהל עראי הוא שהרי הדלת עשוי הוא לפתוח ולסגור התם כיון שדלת של מוקצה הוא ושל פרצה לאו תוספת אוהל עראי הוא אלא קבע שאין עשוי ליפתח אלא לזמנים רחוקים לפי שאין דרך כניסתו ויציאתו עליהם ואם היה בפתח קבוע ליכנס ולצאת דרך שם אף על פי שאין גבוהין מן הארץ נועלין בהם</w:t>
      </w:r>
      <w:r w:rsidR="00E10D3C">
        <w:rPr>
          <w:rFonts w:hint="cs"/>
          <w:rtl/>
        </w:rPr>
        <w:t>.</w:t>
      </w:r>
    </w:p>
  </w:footnote>
  <w:footnote w:id="2088">
    <w:p w14:paraId="6A6F0024" w14:textId="6ABC70E5" w:rsidR="0001512A" w:rsidRDefault="0001512A" w:rsidP="00285819">
      <w:pPr>
        <w:pStyle w:val="a7"/>
      </w:pPr>
      <w:r>
        <w:rPr>
          <w:rStyle w:val="a9"/>
        </w:rPr>
        <w:footnoteRef/>
      </w:r>
      <w:r>
        <w:rPr>
          <w:rtl/>
        </w:rPr>
        <w:t xml:space="preserve"> </w:t>
      </w:r>
      <w:r w:rsidRPr="009456C6">
        <w:rPr>
          <w:rFonts w:cs="Arial"/>
          <w:rtl/>
        </w:rPr>
        <w:t>אבל לא משמע כן מדברי רש"י שכתב דנקט דלת שבמוקצה משום דאין בעל הבית חושש לעשות לה דלת תלויה כראוי וכו' משמע דהוא הדין לכל דלת שעשוי בענין זה אלא דנקט מוקצה משום דאורחא בהכי</w:t>
      </w:r>
      <w:r>
        <w:rPr>
          <w:rFonts w:cs="Arial" w:hint="cs"/>
          <w:rtl/>
        </w:rPr>
        <w:t>, ב"י.</w:t>
      </w:r>
    </w:p>
  </w:footnote>
  <w:footnote w:id="2089">
    <w:p w14:paraId="0D9BA404" w14:textId="0935CED3" w:rsidR="007D0851" w:rsidRDefault="007D0851" w:rsidP="00285819">
      <w:pPr>
        <w:pStyle w:val="a7"/>
      </w:pPr>
      <w:r>
        <w:rPr>
          <w:rStyle w:val="a9"/>
        </w:rPr>
        <w:footnoteRef/>
      </w:r>
      <w:r>
        <w:rPr>
          <w:rtl/>
        </w:rPr>
        <w:t xml:space="preserve"> </w:t>
      </w:r>
      <w:r w:rsidRPr="007D0851">
        <w:rPr>
          <w:rFonts w:cs="Arial"/>
          <w:rtl/>
        </w:rPr>
        <w:t>היינו שניכר שהיה להם ציר</w:t>
      </w:r>
      <w:r>
        <w:rPr>
          <w:rFonts w:cs="Arial" w:hint="cs"/>
          <w:rtl/>
        </w:rPr>
        <w:t>, משנ"ב (סקכ"ה).</w:t>
      </w:r>
    </w:p>
  </w:footnote>
  <w:footnote w:id="2090">
    <w:p w14:paraId="35D73E36" w14:textId="21CA8D32" w:rsidR="007D0851" w:rsidRDefault="007D0851" w:rsidP="00285819">
      <w:pPr>
        <w:pStyle w:val="a7"/>
      </w:pPr>
      <w:r>
        <w:rPr>
          <w:rStyle w:val="a9"/>
        </w:rPr>
        <w:footnoteRef/>
      </w:r>
      <w:r>
        <w:rPr>
          <w:rtl/>
        </w:rPr>
        <w:t xml:space="preserve"> </w:t>
      </w:r>
      <w:r w:rsidRPr="007D0851">
        <w:rPr>
          <w:rFonts w:cs="Arial"/>
          <w:rtl/>
        </w:rPr>
        <w:t>ר"ל שקשרם ותלאם שם מבע"י כדי לנעול בהן וע"כ מותר לנעול בהן בשבת שאף שכשהן פתוחין הן נגררות בארץ ורק כשהוא נועלן מגביהן וזוקפן על האסקופה מ"מ כיון שהן קשורות ומחוברות שם מבע"י ויש להן היכר ציר לא מחזי כבונה בשבת</w:t>
      </w:r>
      <w:r>
        <w:rPr>
          <w:rFonts w:cs="Arial" w:hint="cs"/>
          <w:rtl/>
        </w:rPr>
        <w:t>, משנ"ב (סקכ"ו).</w:t>
      </w:r>
    </w:p>
  </w:footnote>
  <w:footnote w:id="2091">
    <w:p w14:paraId="37D15102" w14:textId="032E216D" w:rsidR="007D0851" w:rsidRDefault="007D0851" w:rsidP="00285819">
      <w:pPr>
        <w:pStyle w:val="a7"/>
      </w:pPr>
      <w:r>
        <w:rPr>
          <w:rStyle w:val="a9"/>
        </w:rPr>
        <w:footnoteRef/>
      </w:r>
      <w:r>
        <w:rPr>
          <w:rtl/>
        </w:rPr>
        <w:t xml:space="preserve"> </w:t>
      </w:r>
      <w:r w:rsidRPr="007D0851">
        <w:rPr>
          <w:rFonts w:cs="Arial"/>
          <w:rtl/>
        </w:rPr>
        <w:t>ר"ל שהיו קשורות ותלויות מבע"י בענין שאף כשפותחן אינן נגררות בארץ ואפילו הן גבוהין מן הארץ רק כמלא נימא [גמרא] והטעם ששוב אינו נראה כבונה בנעילה זו אף אם אין להם היכר ציר הואיל שאף כשהן פתוחין הן מחוברין וקבועין שם היטב שאין נגררות בארץ</w:t>
      </w:r>
      <w:r>
        <w:rPr>
          <w:rFonts w:cs="Arial" w:hint="cs"/>
          <w:rtl/>
        </w:rPr>
        <w:t>, משנ"ב (סקכ"ז).</w:t>
      </w:r>
    </w:p>
  </w:footnote>
  <w:footnote w:id="2092">
    <w:p w14:paraId="73107B59" w14:textId="4EF87288" w:rsidR="007D0851" w:rsidRDefault="007D0851" w:rsidP="00285819">
      <w:pPr>
        <w:pStyle w:val="a7"/>
      </w:pPr>
      <w:r>
        <w:rPr>
          <w:rStyle w:val="a9"/>
        </w:rPr>
        <w:footnoteRef/>
      </w:r>
      <w:r>
        <w:rPr>
          <w:rtl/>
        </w:rPr>
        <w:t xml:space="preserve"> </w:t>
      </w:r>
      <w:r w:rsidRPr="007D0851">
        <w:rPr>
          <w:rFonts w:cs="Arial"/>
          <w:rtl/>
        </w:rPr>
        <w:t>והנה מלשון המחבר משמע דעכ"פ קשור מיהו בעינן</w:t>
      </w:r>
      <w:r>
        <w:rPr>
          <w:rFonts w:cs="Arial" w:hint="cs"/>
          <w:rtl/>
        </w:rPr>
        <w:t>,</w:t>
      </w:r>
      <w:r w:rsidRPr="007D0851">
        <w:rPr>
          <w:rFonts w:cs="Arial"/>
          <w:rtl/>
        </w:rPr>
        <w:t xml:space="preserve"> אבל מלשון הג"ה בס"ד משמע דס"ל דאפילו אינו קשור כלל שרי אם יש לה אסקופה מלמטה</w:t>
      </w:r>
      <w:r>
        <w:rPr>
          <w:rFonts w:cs="Arial" w:hint="cs"/>
          <w:rtl/>
        </w:rPr>
        <w:t>.</w:t>
      </w:r>
      <w:r w:rsidRPr="007D0851">
        <w:rPr>
          <w:rFonts w:cs="Arial"/>
          <w:rtl/>
        </w:rPr>
        <w:t xml:space="preserve"> ויש להקל בזה [עיין בהגר"א שכתב שכן הוא דעת הרי"ף והרמב"ם ובפרט שכן סתם הרמ"א]</w:t>
      </w:r>
      <w:r>
        <w:rPr>
          <w:rFonts w:cs="Arial" w:hint="cs"/>
          <w:rtl/>
        </w:rPr>
        <w:t>, משנ"ב (סקכ"ט).</w:t>
      </w:r>
    </w:p>
  </w:footnote>
  <w:footnote w:id="2093">
    <w:p w14:paraId="1037E033" w14:textId="25659D15" w:rsidR="003D7F4E" w:rsidRDefault="003D7F4E" w:rsidP="00285819">
      <w:pPr>
        <w:pStyle w:val="a7"/>
      </w:pPr>
      <w:r>
        <w:rPr>
          <w:rStyle w:val="a9"/>
        </w:rPr>
        <w:footnoteRef/>
      </w:r>
      <w:r>
        <w:rPr>
          <w:rtl/>
        </w:rPr>
        <w:t xml:space="preserve"> </w:t>
      </w:r>
      <w:r w:rsidRPr="003D7F4E">
        <w:rPr>
          <w:rFonts w:cs="Arial"/>
          <w:rtl/>
        </w:rPr>
        <w:t>דלת שהיא אלמנה מתקוניה</w:t>
      </w:r>
      <w:r>
        <w:rPr>
          <w:rFonts w:cs="Arial" w:hint="cs"/>
          <w:rtl/>
        </w:rPr>
        <w:t>, רש"י.</w:t>
      </w:r>
    </w:p>
  </w:footnote>
  <w:footnote w:id="2094">
    <w:p w14:paraId="53828063" w14:textId="71C51B4F" w:rsidR="003D7F4E" w:rsidRDefault="003D7F4E" w:rsidP="00285819">
      <w:pPr>
        <w:pStyle w:val="a7"/>
        <w:rPr>
          <w:rtl/>
        </w:rPr>
      </w:pPr>
      <w:r>
        <w:rPr>
          <w:rStyle w:val="a9"/>
        </w:rPr>
        <w:footnoteRef/>
      </w:r>
      <w:r>
        <w:rPr>
          <w:rtl/>
        </w:rPr>
        <w:t xml:space="preserve"> </w:t>
      </w:r>
      <w:r w:rsidRPr="00D22DC5">
        <w:rPr>
          <w:rFonts w:cs="Arial"/>
          <w:rtl/>
        </w:rPr>
        <w:t>לוח אחת</w:t>
      </w:r>
      <w:r>
        <w:rPr>
          <w:rFonts w:cs="Arial" w:hint="cs"/>
          <w:rtl/>
        </w:rPr>
        <w:t>,</w:t>
      </w:r>
      <w:r w:rsidRPr="00D22DC5">
        <w:rPr>
          <w:rFonts w:cs="Arial"/>
          <w:rtl/>
        </w:rPr>
        <w:t xml:space="preserve"> הרי"ף (לג:) והרא"ש (סי' יג). וכן פירש רש"י וכתב דטעמא משום דמיחזי כבונה ונותן קרש בכותל שאין בה היכר דלת</w:t>
      </w:r>
      <w:r w:rsidR="00E10D3C">
        <w:rPr>
          <w:rFonts w:cs="Arial" w:hint="cs"/>
          <w:rtl/>
        </w:rPr>
        <w:t>, ב"י</w:t>
      </w:r>
      <w:r w:rsidRPr="00D22DC5">
        <w:rPr>
          <w:rFonts w:cs="Arial"/>
          <w:rtl/>
        </w:rPr>
        <w:t>.</w:t>
      </w:r>
    </w:p>
  </w:footnote>
  <w:footnote w:id="2095">
    <w:p w14:paraId="0041FA22" w14:textId="36ABB624" w:rsidR="003D7F4E" w:rsidRDefault="003D7F4E" w:rsidP="00285819">
      <w:pPr>
        <w:pStyle w:val="a7"/>
      </w:pPr>
      <w:r>
        <w:rPr>
          <w:rStyle w:val="a9"/>
        </w:rPr>
        <w:footnoteRef/>
      </w:r>
      <w:r>
        <w:rPr>
          <w:rtl/>
        </w:rPr>
        <w:t xml:space="preserve"> </w:t>
      </w:r>
      <w:r w:rsidRPr="003D7F4E">
        <w:rPr>
          <w:rFonts w:cs="Arial"/>
          <w:rtl/>
        </w:rPr>
        <w:t xml:space="preserve">דילי"ש </w:t>
      </w:r>
      <w:r>
        <w:rPr>
          <w:rFonts w:cs="Arial" w:hint="cs"/>
          <w:rtl/>
        </w:rPr>
        <w:t>(</w:t>
      </w:r>
      <w:r w:rsidRPr="003D7F4E">
        <w:rPr>
          <w:rFonts w:cs="Arial"/>
          <w:rtl/>
        </w:rPr>
        <w:t>בריח או קרש העשויים לחיזוק הדלת</w:t>
      </w:r>
      <w:r>
        <w:rPr>
          <w:rFonts w:cs="Arial" w:hint="cs"/>
          <w:rtl/>
        </w:rPr>
        <w:t>),</w:t>
      </w:r>
      <w:r w:rsidRPr="003D7F4E">
        <w:rPr>
          <w:rFonts w:cs="Arial"/>
          <w:rtl/>
        </w:rPr>
        <w:t xml:space="preserve"> בריחים המחברין אותה</w:t>
      </w:r>
      <w:r>
        <w:rPr>
          <w:rFonts w:cs="Arial" w:hint="cs"/>
          <w:rtl/>
        </w:rPr>
        <w:t>, רש"י.</w:t>
      </w:r>
      <w:r w:rsidR="00F1430B" w:rsidRPr="00F1430B">
        <w:rPr>
          <w:rFonts w:cs="Arial"/>
          <w:rtl/>
        </w:rPr>
        <w:t xml:space="preserve"> </w:t>
      </w:r>
      <w:r w:rsidR="00F1430B">
        <w:rPr>
          <w:rFonts w:cs="Arial" w:hint="cs"/>
          <w:rtl/>
        </w:rPr>
        <w:t xml:space="preserve">ואך הרי"ף והרא"ש (שם) פירשו- </w:t>
      </w:r>
      <w:r w:rsidR="00F1430B" w:rsidRPr="00D22DC5">
        <w:rPr>
          <w:rFonts w:cs="Arial"/>
          <w:rtl/>
        </w:rPr>
        <w:t>אסקופה התחתונה אין לה אלא מורידין אותה על גבי הארץ וכשפותחין שומטין אותה ועוקרין אותה</w:t>
      </w:r>
      <w:r w:rsidR="00F1430B">
        <w:rPr>
          <w:rFonts w:cs="Arial" w:hint="cs"/>
          <w:rtl/>
        </w:rPr>
        <w:t>.</w:t>
      </w:r>
      <w:r w:rsidR="00F1430B" w:rsidRPr="00D22DC5">
        <w:rPr>
          <w:rFonts w:cs="Arial"/>
          <w:rtl/>
        </w:rPr>
        <w:t xml:space="preserve"> וכן פירש הרמב"ם בפרק כ"ו (ה"ט).</w:t>
      </w:r>
    </w:p>
  </w:footnote>
  <w:footnote w:id="2096">
    <w:p w14:paraId="4F76D95F" w14:textId="6D7E2594" w:rsidR="0045060A" w:rsidRDefault="0045060A" w:rsidP="00285819">
      <w:pPr>
        <w:pStyle w:val="a7"/>
        <w:rPr>
          <w:rtl/>
        </w:rPr>
      </w:pPr>
      <w:r>
        <w:rPr>
          <w:rStyle w:val="a9"/>
        </w:rPr>
        <w:footnoteRef/>
      </w:r>
      <w:r>
        <w:rPr>
          <w:rtl/>
        </w:rPr>
        <w:t xml:space="preserve"> </w:t>
      </w:r>
      <w:r w:rsidRPr="00D22DC5">
        <w:rPr>
          <w:rFonts w:cs="Arial"/>
          <w:rtl/>
        </w:rPr>
        <w:t>משום דאי דוקא בשלא היה לה ציר אפילו היא מכמה לוחות ואית לה אסקופה נמי</w:t>
      </w:r>
      <w:r>
        <w:rPr>
          <w:rFonts w:cs="Arial" w:hint="cs"/>
          <w:rtl/>
        </w:rPr>
        <w:t>,</w:t>
      </w:r>
      <w:r w:rsidRPr="00D22DC5">
        <w:rPr>
          <w:rFonts w:cs="Arial"/>
          <w:rtl/>
        </w:rPr>
        <w:t xml:space="preserve"> אלא על כרחך אפילו בשהיה לה ציר נמי אין נועלין בה</w:t>
      </w:r>
      <w:r>
        <w:rPr>
          <w:rFonts w:cs="Arial" w:hint="cs"/>
          <w:rtl/>
        </w:rPr>
        <w:t>.</w:t>
      </w:r>
      <w:r w:rsidRPr="00D22DC5">
        <w:rPr>
          <w:rFonts w:cs="Arial"/>
          <w:rtl/>
        </w:rPr>
        <w:t xml:space="preserve"> וכיון דהיה לה ציר לא מהני לה</w:t>
      </w:r>
      <w:r>
        <w:rPr>
          <w:rFonts w:cs="Arial" w:hint="cs"/>
          <w:rtl/>
        </w:rPr>
        <w:t>,</w:t>
      </w:r>
      <w:r w:rsidRPr="00D22DC5">
        <w:rPr>
          <w:rFonts w:cs="Arial"/>
          <w:rtl/>
        </w:rPr>
        <w:t xml:space="preserve"> גם ביש לה ציר אסור דהיה לה שוה ליש לה לרבא דקיימא לן כוותיה</w:t>
      </w:r>
      <w:r>
        <w:rPr>
          <w:rFonts w:cs="Arial" w:hint="cs"/>
          <w:rtl/>
        </w:rPr>
        <w:t>.</w:t>
      </w:r>
      <w:r w:rsidRPr="00D22DC5">
        <w:rPr>
          <w:rFonts w:cs="Arial"/>
          <w:rtl/>
        </w:rPr>
        <w:t xml:space="preserve"> ופסק רבינו כשני הלשונות להחמיר</w:t>
      </w:r>
      <w:r w:rsidR="005E3057">
        <w:rPr>
          <w:rFonts w:cs="Arial" w:hint="cs"/>
          <w:rtl/>
        </w:rPr>
        <w:t>.</w:t>
      </w:r>
      <w:r w:rsidR="005E3057" w:rsidRPr="005E3057">
        <w:rPr>
          <w:rFonts w:cs="Arial"/>
          <w:rtl/>
        </w:rPr>
        <w:t xml:space="preserve"> </w:t>
      </w:r>
      <w:r w:rsidR="005E3057" w:rsidRPr="00D22DC5">
        <w:rPr>
          <w:rFonts w:cs="Arial"/>
          <w:rtl/>
        </w:rPr>
        <w:t>ומה שכתב אין נועלין בה אפילו יש לה ציר פירושו ואינו מכניס הציר במקומו</w:t>
      </w:r>
      <w:r w:rsidR="005E3057">
        <w:rPr>
          <w:rFonts w:cs="Arial" w:hint="cs"/>
          <w:rtl/>
        </w:rPr>
        <w:t>,</w:t>
      </w:r>
      <w:r w:rsidR="005E3057" w:rsidRPr="00D22DC5">
        <w:rPr>
          <w:rFonts w:cs="Arial"/>
          <w:rtl/>
        </w:rPr>
        <w:t xml:space="preserve"> דאילו במכניסו למקומו מאי אפילו דקאמר</w:t>
      </w:r>
      <w:r w:rsidR="005E3057">
        <w:rPr>
          <w:rFonts w:cs="Arial" w:hint="cs"/>
          <w:rtl/>
        </w:rPr>
        <w:t>,</w:t>
      </w:r>
      <w:r w:rsidR="005E3057" w:rsidRPr="00D22DC5">
        <w:rPr>
          <w:rFonts w:cs="Arial"/>
          <w:rtl/>
        </w:rPr>
        <w:t xml:space="preserve"> אדרבה כל שמכניסו למקומו חמיר טפי דמיחזי כבונה כדאמרינן בפ</w:t>
      </w:r>
      <w:r w:rsidR="005E3057">
        <w:rPr>
          <w:rFonts w:cs="Arial" w:hint="cs"/>
          <w:rtl/>
        </w:rPr>
        <w:t>"</w:t>
      </w:r>
      <w:r w:rsidR="005E3057" w:rsidRPr="00D22DC5">
        <w:rPr>
          <w:rFonts w:cs="Arial"/>
          <w:rtl/>
        </w:rPr>
        <w:t>ק דביצה (יא:) גבי תריסי חנויות</w:t>
      </w:r>
      <w:r>
        <w:rPr>
          <w:rFonts w:hint="cs"/>
          <w:rtl/>
        </w:rPr>
        <w:t>, ב"י.</w:t>
      </w:r>
    </w:p>
  </w:footnote>
  <w:footnote w:id="2097">
    <w:p w14:paraId="5B72AD14" w14:textId="3898606F" w:rsidR="005E3057" w:rsidRDefault="005E3057" w:rsidP="00285819">
      <w:pPr>
        <w:pStyle w:val="a7"/>
        <w:rPr>
          <w:rtl/>
        </w:rPr>
      </w:pPr>
      <w:r>
        <w:rPr>
          <w:rStyle w:val="a9"/>
        </w:rPr>
        <w:footnoteRef/>
      </w:r>
      <w:r>
        <w:rPr>
          <w:rtl/>
        </w:rPr>
        <w:t xml:space="preserve"> </w:t>
      </w:r>
      <w:r w:rsidRPr="00D22DC5">
        <w:rPr>
          <w:rFonts w:cs="Arial"/>
          <w:rtl/>
        </w:rPr>
        <w:t>הרמב"ם (שם) פסק כשני הלשונות להקל דלעולם נועלין בה עד שיהו בה תרתי לריעותא</w:t>
      </w:r>
      <w:r>
        <w:rPr>
          <w:rFonts w:cs="Arial" w:hint="cs"/>
          <w:rtl/>
        </w:rPr>
        <w:t>,</w:t>
      </w:r>
      <w:r w:rsidRPr="00D22DC5">
        <w:rPr>
          <w:rFonts w:cs="Arial"/>
          <w:rtl/>
        </w:rPr>
        <w:t xml:space="preserve"> דחד שיפא ולית לה גישתמא</w:t>
      </w:r>
      <w:r>
        <w:rPr>
          <w:rFonts w:cs="Arial" w:hint="cs"/>
          <w:rtl/>
        </w:rPr>
        <w:t>.</w:t>
      </w:r>
      <w:r w:rsidRPr="00D22DC5">
        <w:rPr>
          <w:rFonts w:cs="Arial"/>
          <w:rtl/>
        </w:rPr>
        <w:t xml:space="preserve"> וטעמו משום דכיון דלא מיתסר אלא מדרבנן משום דמיחזי כבונה נקטינן לקולא</w:t>
      </w:r>
      <w:r>
        <w:rPr>
          <w:rFonts w:cs="Arial" w:hint="cs"/>
          <w:rtl/>
        </w:rPr>
        <w:t>.</w:t>
      </w:r>
      <w:r w:rsidRPr="00D22DC5">
        <w:rPr>
          <w:rFonts w:cs="Arial"/>
          <w:rtl/>
        </w:rPr>
        <w:t xml:space="preserve"> ומיהו הא דשרי הרמב"ם לנעול בה היינו בשאינו מכניס ציר למקומו</w:t>
      </w:r>
      <w:r>
        <w:rPr>
          <w:rFonts w:cs="Arial" w:hint="cs"/>
          <w:rtl/>
        </w:rPr>
        <w:t>,</w:t>
      </w:r>
      <w:r w:rsidRPr="00D22DC5">
        <w:rPr>
          <w:rFonts w:cs="Arial"/>
          <w:rtl/>
        </w:rPr>
        <w:t xml:space="preserve"> דאילו מכניס ציר למקומו אפילו בתריסי שידה תיבה ומגדל שהם מיטלטלים אסור כדאמרינן בפ</w:t>
      </w:r>
      <w:r>
        <w:rPr>
          <w:rFonts w:cs="Arial" w:hint="cs"/>
          <w:rtl/>
        </w:rPr>
        <w:t>"</w:t>
      </w:r>
      <w:r w:rsidRPr="00D22DC5">
        <w:rPr>
          <w:rFonts w:cs="Arial"/>
          <w:rtl/>
        </w:rPr>
        <w:t>ק דביצה גבי תריסי חנויות וכמו שכתבתי בסמוך</w:t>
      </w:r>
      <w:r>
        <w:rPr>
          <w:rFonts w:hint="cs"/>
          <w:rtl/>
        </w:rPr>
        <w:t>, ב"י.</w:t>
      </w:r>
    </w:p>
  </w:footnote>
  <w:footnote w:id="2098">
    <w:p w14:paraId="271C938E" w14:textId="115E86E3" w:rsidR="00716FF8" w:rsidRDefault="00716FF8" w:rsidP="00285819">
      <w:pPr>
        <w:pStyle w:val="a7"/>
      </w:pPr>
      <w:r>
        <w:rPr>
          <w:rStyle w:val="a9"/>
        </w:rPr>
        <w:footnoteRef/>
      </w:r>
      <w:r>
        <w:rPr>
          <w:rtl/>
        </w:rPr>
        <w:t xml:space="preserve"> </w:t>
      </w:r>
      <w:r w:rsidRPr="00716FF8">
        <w:rPr>
          <w:rFonts w:cs="Arial"/>
          <w:rtl/>
        </w:rPr>
        <w:t>היינו לפי שאין לה תקוני הדלת כשאר דלתות הוי כסתימה בעלמא ונראה כבונה ומיירי כאן אפילו בפתח העשוי לכניסה ויציאה תדיר</w:t>
      </w:r>
      <w:r>
        <w:rPr>
          <w:rFonts w:cs="Arial" w:hint="cs"/>
          <w:rtl/>
        </w:rPr>
        <w:t>, משנ"ב (סק"ל).</w:t>
      </w:r>
    </w:p>
  </w:footnote>
  <w:footnote w:id="2099">
    <w:p w14:paraId="5158D622" w14:textId="51605C4F" w:rsidR="00716FF8" w:rsidRDefault="00716FF8" w:rsidP="00285819">
      <w:pPr>
        <w:pStyle w:val="a7"/>
      </w:pPr>
      <w:r>
        <w:rPr>
          <w:rStyle w:val="a9"/>
        </w:rPr>
        <w:footnoteRef/>
      </w:r>
      <w:r>
        <w:rPr>
          <w:rtl/>
        </w:rPr>
        <w:t xml:space="preserve"> </w:t>
      </w:r>
      <w:r w:rsidRPr="00716FF8">
        <w:rPr>
          <w:rFonts w:cs="Arial"/>
          <w:rtl/>
        </w:rPr>
        <w:t>ודעת הרמב"ם דלא אסור אלא בתרתי לריעותא דהיינו שהוא מלוח אחד וגם אין לה אסקופה. ובפתח העשוי לכניסה ויציאה תדיר מצדדים האחרונים דיש לסמוך על שיטתו להקל</w:t>
      </w:r>
      <w:r>
        <w:rPr>
          <w:rFonts w:cs="Arial" w:hint="cs"/>
          <w:rtl/>
        </w:rPr>
        <w:t>, משנ"ב (סקל"א).</w:t>
      </w:r>
    </w:p>
  </w:footnote>
  <w:footnote w:id="2100">
    <w:p w14:paraId="4D6B4229" w14:textId="17D2ED0C" w:rsidR="00716FF8" w:rsidRDefault="00716FF8" w:rsidP="00285819">
      <w:pPr>
        <w:pStyle w:val="a7"/>
      </w:pPr>
      <w:r>
        <w:rPr>
          <w:rStyle w:val="a9"/>
        </w:rPr>
        <w:footnoteRef/>
      </w:r>
      <w:r>
        <w:rPr>
          <w:rtl/>
        </w:rPr>
        <w:t xml:space="preserve"> </w:t>
      </w:r>
      <w:r w:rsidRPr="00716FF8">
        <w:rPr>
          <w:rFonts w:cs="Arial"/>
          <w:rtl/>
        </w:rPr>
        <w:t>משמע מזה דהוא מיירי בשאינה קשורה אבל אם היא קשורה ותלויה אף שנגררת בארץ כשפותחה שרי אף שאין לה תקוני דלתות כראוי והיינו משום דכאן מיירי בפתח העשוי לכניסה ויציאה תדיר</w:t>
      </w:r>
      <w:r>
        <w:rPr>
          <w:rFonts w:cs="Arial" w:hint="cs"/>
          <w:rtl/>
        </w:rPr>
        <w:t>, משנ"ב (סקל"ב).</w:t>
      </w:r>
    </w:p>
  </w:footnote>
  <w:footnote w:id="2101">
    <w:p w14:paraId="3FB69ADB" w14:textId="5D63530C" w:rsidR="00E10D3C" w:rsidRDefault="00E10D3C" w:rsidP="00285819">
      <w:pPr>
        <w:pStyle w:val="a7"/>
      </w:pPr>
      <w:r>
        <w:rPr>
          <w:rStyle w:val="a9"/>
        </w:rPr>
        <w:footnoteRef/>
      </w:r>
      <w:r>
        <w:rPr>
          <w:rtl/>
        </w:rPr>
        <w:t xml:space="preserve"> </w:t>
      </w:r>
      <w:r w:rsidRPr="00E10D3C">
        <w:rPr>
          <w:rFonts w:cs="Arial"/>
          <w:rtl/>
        </w:rPr>
        <w:t>היינו שאינה קשורה כלל ואע</w:t>
      </w:r>
      <w:r>
        <w:rPr>
          <w:rFonts w:cs="Arial" w:hint="cs"/>
          <w:rtl/>
        </w:rPr>
        <w:t>"</w:t>
      </w:r>
      <w:r w:rsidRPr="00E10D3C">
        <w:rPr>
          <w:rFonts w:cs="Arial"/>
          <w:rtl/>
        </w:rPr>
        <w:t>ג דבריש ס"ג בדלת של רחבה שגם היא מסתמא עשויה כשאר דלתות ואפ"ה מחמרינן שיהא קשור ותלוי מבע"י הכא איירי בפתח שהוא עשוי לכניסה ויציאה תדיר וכנ"ל וס"ל דבזה לא בעינן קשר כלל וכמ"ש בסקכ"ט [הגר"א]</w:t>
      </w:r>
      <w:r>
        <w:rPr>
          <w:rFonts w:cs="Arial" w:hint="cs"/>
          <w:rtl/>
        </w:rPr>
        <w:t>, משנ"ב (סקל"ג).</w:t>
      </w:r>
    </w:p>
  </w:footnote>
  <w:footnote w:id="2102">
    <w:p w14:paraId="28E14399" w14:textId="20BDC23C" w:rsidR="009C6968" w:rsidRDefault="009C6968" w:rsidP="00285819">
      <w:pPr>
        <w:pStyle w:val="a7"/>
        <w:rPr>
          <w:rtl/>
        </w:rPr>
      </w:pPr>
      <w:r>
        <w:rPr>
          <w:rStyle w:val="a9"/>
        </w:rPr>
        <w:footnoteRef/>
      </w:r>
      <w:r>
        <w:rPr>
          <w:rtl/>
        </w:rPr>
        <w:t xml:space="preserve"> </w:t>
      </w:r>
      <w:r w:rsidRPr="009C6968">
        <w:rPr>
          <w:rFonts w:cs="Arial"/>
          <w:rtl/>
        </w:rPr>
        <w:t>ר"ל דהחקיקה נחשבת כאסקופה</w:t>
      </w:r>
      <w:r>
        <w:rPr>
          <w:rFonts w:hint="cs"/>
          <w:rtl/>
        </w:rPr>
        <w:t>, משנ"ב (סקל"ד).</w:t>
      </w:r>
    </w:p>
  </w:footnote>
  <w:footnote w:id="2103">
    <w:p w14:paraId="0D47E59F" w14:textId="5AD7C8B7" w:rsidR="00EA1647" w:rsidRDefault="00EA1647" w:rsidP="00285819">
      <w:pPr>
        <w:pStyle w:val="a7"/>
      </w:pPr>
      <w:r>
        <w:rPr>
          <w:rStyle w:val="a9"/>
        </w:rPr>
        <w:footnoteRef/>
      </w:r>
      <w:r>
        <w:rPr>
          <w:rtl/>
        </w:rPr>
        <w:t xml:space="preserve"> </w:t>
      </w:r>
      <w:r w:rsidRPr="00EA1647">
        <w:rPr>
          <w:rFonts w:cs="Arial"/>
          <w:rtl/>
        </w:rPr>
        <w:t>ויש חור במפתן שהציר נכנס לתוכו וכנגדו יש למעלה חור אחד שהציר העליון הוא בתוך החור</w:t>
      </w:r>
      <w:r>
        <w:rPr>
          <w:rFonts w:cs="Arial" w:hint="cs"/>
          <w:rtl/>
        </w:rPr>
        <w:t>, משנ"ב (סקל"ז).</w:t>
      </w:r>
    </w:p>
  </w:footnote>
  <w:footnote w:id="2104">
    <w:p w14:paraId="4CE7D4D3" w14:textId="6DDD7389" w:rsidR="00EA1647" w:rsidRDefault="00EA1647" w:rsidP="00285819">
      <w:pPr>
        <w:pStyle w:val="a7"/>
      </w:pPr>
      <w:r>
        <w:rPr>
          <w:rStyle w:val="a9"/>
        </w:rPr>
        <w:footnoteRef/>
      </w:r>
      <w:r>
        <w:rPr>
          <w:rtl/>
        </w:rPr>
        <w:t xml:space="preserve"> </w:t>
      </w:r>
      <w:r w:rsidRPr="00EA1647">
        <w:rPr>
          <w:rFonts w:cs="Arial"/>
          <w:rtl/>
        </w:rPr>
        <w:t>בחוזק בסכין וביתדות שלא יוכל עוד לצאת משם והוי מכה בפטיש ואפילו היכי שהחור הוא באמצע פתח התיבה דלא שייך למגזר כ"כ שמא יתקע אפ"ה אסור דגזרינן באמצע אטו מן הצד ואפילו בצירים שלנו שהם מברזל אסור להחזיר דלתי הכלים דגזרינן שמא יראה שהציר אינו תקוע יפה ויחבר אותו במסמרים</w:t>
      </w:r>
      <w:r>
        <w:rPr>
          <w:rFonts w:cs="Arial" w:hint="cs"/>
          <w:rtl/>
        </w:rPr>
        <w:t>, משנ"ב (סקל"ח).</w:t>
      </w:r>
    </w:p>
  </w:footnote>
  <w:footnote w:id="2105">
    <w:p w14:paraId="50576538" w14:textId="77777777" w:rsidR="00D200AC" w:rsidRDefault="00D200AC" w:rsidP="00285819">
      <w:pPr>
        <w:pStyle w:val="a7"/>
        <w:rPr>
          <w:rtl/>
        </w:rPr>
      </w:pPr>
      <w:r>
        <w:rPr>
          <w:rStyle w:val="a9"/>
        </w:rPr>
        <w:footnoteRef/>
      </w:r>
      <w:r>
        <w:rPr>
          <w:rtl/>
        </w:rPr>
        <w:t xml:space="preserve"> </w:t>
      </w:r>
      <w:r w:rsidRPr="0039359C">
        <w:rPr>
          <w:rFonts w:cs="Arial"/>
          <w:rtl/>
        </w:rPr>
        <w:t>צורפי נחשת או גרדיים, והולכין מעיר לעיר למלאכתן, ונושאין עמהן מטות של פרקים</w:t>
      </w:r>
      <w:r>
        <w:rPr>
          <w:rFonts w:hint="cs"/>
          <w:rtl/>
        </w:rPr>
        <w:t>, רש"י.</w:t>
      </w:r>
    </w:p>
  </w:footnote>
  <w:footnote w:id="2106">
    <w:p w14:paraId="43D2E6DE" w14:textId="77777777" w:rsidR="00D200AC" w:rsidRDefault="00D200AC" w:rsidP="00285819">
      <w:pPr>
        <w:pStyle w:val="a7"/>
        <w:rPr>
          <w:rtl/>
        </w:rPr>
      </w:pPr>
      <w:r>
        <w:rPr>
          <w:rStyle w:val="a9"/>
        </w:rPr>
        <w:footnoteRef/>
      </w:r>
      <w:r>
        <w:rPr>
          <w:rtl/>
        </w:rPr>
        <w:t xml:space="preserve"> </w:t>
      </w:r>
      <w:r w:rsidRPr="0039359C">
        <w:rPr>
          <w:rFonts w:cs="Arial"/>
          <w:rtl/>
        </w:rPr>
        <w:t>הוא תחלתו וגמרו, ונמצא עושה כלי, וחייב משום מכה בפטיש - אב לכל גומרי מלאכה, ולא משום בנין - דאין בנין בכלים</w:t>
      </w:r>
      <w:r>
        <w:rPr>
          <w:rFonts w:hint="cs"/>
          <w:rtl/>
        </w:rPr>
        <w:t>, רש"י.</w:t>
      </w:r>
    </w:p>
  </w:footnote>
  <w:footnote w:id="2107">
    <w:p w14:paraId="0CEF9E1B" w14:textId="77777777" w:rsidR="00D200AC" w:rsidRDefault="00D200AC" w:rsidP="00285819">
      <w:pPr>
        <w:pStyle w:val="a7"/>
      </w:pPr>
      <w:r>
        <w:rPr>
          <w:rStyle w:val="a9"/>
        </w:rPr>
        <w:footnoteRef/>
      </w:r>
      <w:r>
        <w:rPr>
          <w:rtl/>
        </w:rPr>
        <w:t xml:space="preserve"> </w:t>
      </w:r>
      <w:r w:rsidRPr="0039359C">
        <w:rPr>
          <w:rFonts w:cs="Arial"/>
          <w:rtl/>
        </w:rPr>
        <w:t>שיוצאין ממנה קנים לנרות הרבה ונוטלין הימנה, ובשעת הצורך מחזירין אותו</w:t>
      </w:r>
      <w:r>
        <w:rPr>
          <w:rFonts w:cs="Arial" w:hint="cs"/>
          <w:rtl/>
        </w:rPr>
        <w:t>, רש"י.</w:t>
      </w:r>
    </w:p>
  </w:footnote>
  <w:footnote w:id="2108">
    <w:p w14:paraId="5F9121E9" w14:textId="77777777" w:rsidR="00D200AC" w:rsidRDefault="00D200AC" w:rsidP="00285819">
      <w:pPr>
        <w:pStyle w:val="a7"/>
        <w:rPr>
          <w:rtl/>
        </w:rPr>
      </w:pPr>
      <w:r>
        <w:rPr>
          <w:rStyle w:val="a9"/>
        </w:rPr>
        <w:footnoteRef/>
      </w:r>
      <w:r>
        <w:rPr>
          <w:rtl/>
        </w:rPr>
        <w:t xml:space="preserve"> </w:t>
      </w:r>
      <w:r w:rsidRPr="0039359C">
        <w:rPr>
          <w:rFonts w:cs="Arial"/>
          <w:rtl/>
        </w:rPr>
        <w:t>הטחין ומלבנין הבית בסיד יש להן קנים של פרקים, ונותן מטלית בראשה ושורין בסיד המחוי, וטח את הבית, וכשהוא טח מלמטה אי אפשר לו אלא בקנה קצר, וכשהוא הולך ומגביה - מוסיף קנה על קנה ומאריכו</w:t>
      </w:r>
      <w:r>
        <w:rPr>
          <w:rFonts w:hint="cs"/>
          <w:rtl/>
        </w:rPr>
        <w:t>, רש"י.</w:t>
      </w:r>
    </w:p>
  </w:footnote>
  <w:footnote w:id="2109">
    <w:p w14:paraId="5DCED902" w14:textId="77777777" w:rsidR="00D200AC" w:rsidRDefault="00D200AC" w:rsidP="00285819">
      <w:pPr>
        <w:pStyle w:val="a7"/>
      </w:pPr>
      <w:r>
        <w:rPr>
          <w:rStyle w:val="a9"/>
        </w:rPr>
        <w:footnoteRef/>
      </w:r>
      <w:r>
        <w:rPr>
          <w:rtl/>
        </w:rPr>
        <w:t xml:space="preserve"> </w:t>
      </w:r>
      <w:r w:rsidRPr="0039359C">
        <w:rPr>
          <w:rFonts w:cs="Arial"/>
          <w:rtl/>
        </w:rPr>
        <w:t>שאין זה גמרו, שהרי צריך לחזור ולפרקו תמיד</w:t>
      </w:r>
      <w:r>
        <w:rPr>
          <w:rFonts w:cs="Arial" w:hint="cs"/>
          <w:rtl/>
        </w:rPr>
        <w:t>, רש"י.</w:t>
      </w:r>
    </w:p>
  </w:footnote>
  <w:footnote w:id="2110">
    <w:p w14:paraId="63681B1C" w14:textId="77777777" w:rsidR="00D200AC" w:rsidRDefault="00D200AC" w:rsidP="00285819">
      <w:pPr>
        <w:pStyle w:val="a7"/>
        <w:rPr>
          <w:rtl/>
        </w:rPr>
      </w:pPr>
      <w:r>
        <w:rPr>
          <w:rStyle w:val="a9"/>
        </w:rPr>
        <w:footnoteRef/>
      </w:r>
      <w:r>
        <w:rPr>
          <w:rtl/>
        </w:rPr>
        <w:t xml:space="preserve"> </w:t>
      </w:r>
      <w:r w:rsidRPr="0039359C">
        <w:rPr>
          <w:rFonts w:cs="Arial"/>
          <w:rtl/>
        </w:rPr>
        <w:t>שניהם מין כלי זמר, והוא עשוי נקבים נקבים ככברה, ומכניס בהן חלילים ומוציאין קולות הרבה, קרן עגולה - מעשה אומן הוא, וצריך לתקוע בנקבים בחוזק, והויא מלאכה, ובקרן פשוט - מכניסו בריוח, ודרכן לפרקם תמיד, ופטור, קתני מיהת בקני מנורה דחייב, והוא הדין למטה של טרסיים</w:t>
      </w:r>
      <w:r>
        <w:rPr>
          <w:rFonts w:hint="cs"/>
          <w:rtl/>
        </w:rPr>
        <w:t>, רש"י.</w:t>
      </w:r>
    </w:p>
  </w:footnote>
  <w:footnote w:id="2111">
    <w:p w14:paraId="2BE4E4E7" w14:textId="77777777" w:rsidR="00D200AC" w:rsidRDefault="00D200AC" w:rsidP="00285819">
      <w:pPr>
        <w:pStyle w:val="a7"/>
      </w:pPr>
      <w:r>
        <w:rPr>
          <w:rStyle w:val="a9"/>
        </w:rPr>
        <w:footnoteRef/>
      </w:r>
      <w:r>
        <w:rPr>
          <w:rtl/>
        </w:rPr>
        <w:t xml:space="preserve"> </w:t>
      </w:r>
      <w:r w:rsidRPr="0039359C">
        <w:rPr>
          <w:rFonts w:cs="Arial"/>
          <w:rtl/>
        </w:rPr>
        <w:t>ר' אבא ורב הונא בר חייא</w:t>
      </w:r>
      <w:r>
        <w:rPr>
          <w:rFonts w:cs="Arial" w:hint="cs"/>
          <w:rtl/>
        </w:rPr>
        <w:t>, רש"י.</w:t>
      </w:r>
    </w:p>
  </w:footnote>
  <w:footnote w:id="2112">
    <w:p w14:paraId="072E42B2" w14:textId="77777777" w:rsidR="00D200AC" w:rsidRDefault="00D200AC" w:rsidP="00285819">
      <w:pPr>
        <w:pStyle w:val="a7"/>
      </w:pPr>
      <w:r>
        <w:rPr>
          <w:rStyle w:val="a9"/>
        </w:rPr>
        <w:footnoteRef/>
      </w:r>
      <w:r>
        <w:rPr>
          <w:rtl/>
        </w:rPr>
        <w:t xml:space="preserve"> </w:t>
      </w:r>
      <w:r w:rsidRPr="0039359C">
        <w:rPr>
          <w:rFonts w:cs="Arial"/>
          <w:rtl/>
        </w:rPr>
        <w:t>כר' שמעון, דמתיר לכתחלה</w:t>
      </w:r>
      <w:r>
        <w:rPr>
          <w:rFonts w:cs="Arial" w:hint="cs"/>
          <w:rtl/>
        </w:rPr>
        <w:t>, רש"י.</w:t>
      </w:r>
    </w:p>
  </w:footnote>
  <w:footnote w:id="2113">
    <w:p w14:paraId="14C152CD" w14:textId="77777777" w:rsidR="00D200AC" w:rsidRDefault="00D200AC" w:rsidP="00285819">
      <w:pPr>
        <w:pStyle w:val="a7"/>
      </w:pPr>
      <w:r>
        <w:rPr>
          <w:rStyle w:val="a9"/>
        </w:rPr>
        <w:footnoteRef/>
      </w:r>
      <w:r>
        <w:rPr>
          <w:rtl/>
        </w:rPr>
        <w:t xml:space="preserve"> </w:t>
      </w:r>
      <w:r w:rsidRPr="0039359C">
        <w:rPr>
          <w:rFonts w:cs="Arial"/>
          <w:rtl/>
        </w:rPr>
        <w:t>כעין רגלים קטנים ויש להן בית קיבול, ומכניס לתוכן ראשי כרעי המטה, שלא ירקבו בארץ</w:t>
      </w:r>
      <w:r>
        <w:rPr>
          <w:rFonts w:cs="Arial" w:hint="cs"/>
          <w:rtl/>
        </w:rPr>
        <w:t>, רש"י.</w:t>
      </w:r>
    </w:p>
  </w:footnote>
  <w:footnote w:id="2114">
    <w:p w14:paraId="5792356C" w14:textId="77777777" w:rsidR="00D200AC" w:rsidRDefault="00D200AC" w:rsidP="00285819">
      <w:pPr>
        <w:pStyle w:val="a7"/>
        <w:rPr>
          <w:rtl/>
        </w:rPr>
      </w:pPr>
      <w:r>
        <w:rPr>
          <w:rStyle w:val="a9"/>
        </w:rPr>
        <w:footnoteRef/>
      </w:r>
      <w:r>
        <w:rPr>
          <w:rtl/>
        </w:rPr>
        <w:t xml:space="preserve"> </w:t>
      </w:r>
      <w:r w:rsidRPr="000C6EA2">
        <w:rPr>
          <w:rFonts w:cs="Arial"/>
          <w:rtl/>
        </w:rPr>
        <w:t>עץ קטן כמין דף שתוקעין בקשת, שקורין ארבלשטר"א שעליו מושך החץ</w:t>
      </w:r>
      <w:r>
        <w:rPr>
          <w:rFonts w:hint="cs"/>
          <w:rtl/>
        </w:rPr>
        <w:t>, רש"י.</w:t>
      </w:r>
    </w:p>
  </w:footnote>
  <w:footnote w:id="2115">
    <w:p w14:paraId="1F185DDB" w14:textId="77777777" w:rsidR="00D200AC" w:rsidRDefault="00D200AC" w:rsidP="00285819">
      <w:pPr>
        <w:pStyle w:val="a7"/>
      </w:pPr>
      <w:r>
        <w:rPr>
          <w:rStyle w:val="a9"/>
        </w:rPr>
        <w:footnoteRef/>
      </w:r>
      <w:r>
        <w:rPr>
          <w:rtl/>
        </w:rPr>
        <w:t xml:space="preserve"> </w:t>
      </w:r>
      <w:r w:rsidRPr="000C6EA2">
        <w:rPr>
          <w:rFonts w:cs="Arial"/>
          <w:rtl/>
        </w:rPr>
        <w:t>בחוזק, על ידי יתדות שקורין קויינ"ש</w:t>
      </w:r>
      <w:r>
        <w:rPr>
          <w:rFonts w:cs="Arial" w:hint="cs"/>
          <w:rtl/>
        </w:rPr>
        <w:t>, רש"י.</w:t>
      </w:r>
    </w:p>
  </w:footnote>
  <w:footnote w:id="2116">
    <w:p w14:paraId="04D56A70" w14:textId="77777777" w:rsidR="00D200AC" w:rsidRDefault="00D200AC" w:rsidP="00285819">
      <w:pPr>
        <w:pStyle w:val="a7"/>
      </w:pPr>
      <w:r>
        <w:rPr>
          <w:rStyle w:val="a9"/>
        </w:rPr>
        <w:footnoteRef/>
      </w:r>
      <w:r>
        <w:rPr>
          <w:rtl/>
        </w:rPr>
        <w:t xml:space="preserve"> </w:t>
      </w:r>
      <w:r w:rsidRPr="00D200AC">
        <w:rPr>
          <w:rFonts w:cs="Arial"/>
          <w:rtl/>
        </w:rPr>
        <w:t>טירנדי"ן</w:t>
      </w:r>
      <w:r>
        <w:rPr>
          <w:rFonts w:cs="Arial" w:hint="cs"/>
          <w:rtl/>
        </w:rPr>
        <w:t xml:space="preserve"> (</w:t>
      </w:r>
      <w:r w:rsidRPr="00D200AC">
        <w:rPr>
          <w:rFonts w:cs="Arial"/>
          <w:rtl/>
        </w:rPr>
        <w:t>מתקפל, ניתן להזזה</w:t>
      </w:r>
      <w:r>
        <w:rPr>
          <w:rFonts w:cs="Arial" w:hint="cs"/>
          <w:rtl/>
        </w:rPr>
        <w:t>),</w:t>
      </w:r>
      <w:r w:rsidRPr="00D200AC">
        <w:rPr>
          <w:rFonts w:cs="Arial"/>
          <w:rtl/>
        </w:rPr>
        <w:t xml:space="preserve"> והוא כעין של טרסיים</w:t>
      </w:r>
      <w:r>
        <w:rPr>
          <w:rFonts w:cs="Arial" w:hint="cs"/>
          <w:rtl/>
        </w:rPr>
        <w:t>, רש"י.</w:t>
      </w:r>
    </w:p>
  </w:footnote>
  <w:footnote w:id="2117">
    <w:p w14:paraId="0A60EFEE" w14:textId="77777777" w:rsidR="00D200AC" w:rsidRDefault="00D200AC" w:rsidP="00285819">
      <w:pPr>
        <w:pStyle w:val="a7"/>
      </w:pPr>
      <w:r>
        <w:rPr>
          <w:rStyle w:val="a9"/>
        </w:rPr>
        <w:footnoteRef/>
      </w:r>
      <w:r>
        <w:rPr>
          <w:rtl/>
        </w:rPr>
        <w:t xml:space="preserve"> </w:t>
      </w:r>
      <w:r w:rsidRPr="00D200AC">
        <w:rPr>
          <w:rFonts w:cs="Arial"/>
          <w:rtl/>
        </w:rPr>
        <w:t>מפני שאינה תקועה, ומהדקה בחוזק קרי לה מן הצד - כלומר על ידי שינוי</w:t>
      </w:r>
      <w:r>
        <w:rPr>
          <w:rFonts w:cs="Arial" w:hint="cs"/>
          <w:rtl/>
        </w:rPr>
        <w:t>, רש"י.</w:t>
      </w:r>
    </w:p>
  </w:footnote>
  <w:footnote w:id="2118">
    <w:p w14:paraId="30E3AEC0" w14:textId="6F15CD04" w:rsidR="00AC0345" w:rsidRDefault="00AC0345" w:rsidP="00285819">
      <w:pPr>
        <w:pStyle w:val="a7"/>
      </w:pPr>
      <w:r>
        <w:rPr>
          <w:rStyle w:val="a9"/>
        </w:rPr>
        <w:footnoteRef/>
      </w:r>
      <w:r>
        <w:rPr>
          <w:rtl/>
        </w:rPr>
        <w:t xml:space="preserve"> </w:t>
      </w:r>
      <w:r>
        <w:rPr>
          <w:rFonts w:hint="cs"/>
          <w:rtl/>
        </w:rPr>
        <w:t xml:space="preserve">יוצא שיש ג' חלוקות: א) תקיעה </w:t>
      </w:r>
      <w:r>
        <w:rPr>
          <w:rtl/>
        </w:rPr>
        <w:t>–</w:t>
      </w:r>
      <w:r>
        <w:rPr>
          <w:rFonts w:hint="cs"/>
          <w:rtl/>
        </w:rPr>
        <w:t xml:space="preserve"> חייב. ב) הידוק </w:t>
      </w:r>
      <w:r>
        <w:rPr>
          <w:rtl/>
        </w:rPr>
        <w:t>–</w:t>
      </w:r>
      <w:r>
        <w:rPr>
          <w:rFonts w:hint="cs"/>
          <w:rtl/>
        </w:rPr>
        <w:t xml:space="preserve"> אסור. ג) רפוי </w:t>
      </w:r>
      <w:r>
        <w:rPr>
          <w:rtl/>
        </w:rPr>
        <w:t>–</w:t>
      </w:r>
      <w:r>
        <w:rPr>
          <w:rFonts w:hint="cs"/>
          <w:rtl/>
        </w:rPr>
        <w:t xml:space="preserve"> מותר.</w:t>
      </w:r>
    </w:p>
  </w:footnote>
  <w:footnote w:id="2119">
    <w:p w14:paraId="5305CDE7" w14:textId="77777777" w:rsidR="00E478F4" w:rsidRDefault="00E478F4" w:rsidP="00285819">
      <w:pPr>
        <w:pStyle w:val="a7"/>
        <w:rPr>
          <w:rtl/>
        </w:rPr>
      </w:pPr>
      <w:r>
        <w:rPr>
          <w:rStyle w:val="a9"/>
        </w:rPr>
        <w:footnoteRef/>
      </w:r>
      <w:r>
        <w:rPr>
          <w:rtl/>
        </w:rPr>
        <w:t xml:space="preserve"> </w:t>
      </w:r>
      <w:r>
        <w:rPr>
          <w:rFonts w:cs="Arial" w:hint="cs"/>
          <w:rtl/>
        </w:rPr>
        <w:t>וכ"כ רי"ו</w:t>
      </w:r>
      <w:r>
        <w:rPr>
          <w:rFonts w:cs="Arial"/>
          <w:rtl/>
        </w:rPr>
        <w:t xml:space="preserve"> (</w:t>
      </w:r>
      <w:r>
        <w:rPr>
          <w:rFonts w:cs="Arial" w:hint="cs"/>
          <w:rtl/>
        </w:rPr>
        <w:t xml:space="preserve">ח"ד </w:t>
      </w:r>
      <w:r>
        <w:rPr>
          <w:rFonts w:cs="Arial"/>
          <w:rtl/>
        </w:rPr>
        <w:t>ני</w:t>
      </w:r>
      <w:r>
        <w:rPr>
          <w:rFonts w:cs="Arial" w:hint="cs"/>
          <w:rtl/>
        </w:rPr>
        <w:t>"</w:t>
      </w:r>
      <w:r>
        <w:rPr>
          <w:rFonts w:cs="Arial"/>
          <w:rtl/>
        </w:rPr>
        <w:t>ב עב ע"ג) בשם רבינו פרץ שמותר לפרקו ולהחזירו בשבת</w:t>
      </w:r>
      <w:r>
        <w:rPr>
          <w:rFonts w:cs="Arial" w:hint="cs"/>
          <w:rtl/>
        </w:rPr>
        <w:t>,</w:t>
      </w:r>
      <w:r>
        <w:rPr>
          <w:rFonts w:cs="Arial"/>
          <w:rtl/>
        </w:rPr>
        <w:t xml:space="preserve"> וכדברי רבינו</w:t>
      </w:r>
      <w:r>
        <w:rPr>
          <w:rFonts w:hint="cs"/>
          <w:rtl/>
        </w:rPr>
        <w:t>, ב"י.</w:t>
      </w:r>
    </w:p>
  </w:footnote>
  <w:footnote w:id="2120">
    <w:p w14:paraId="16696CB0" w14:textId="7AD65C27" w:rsidR="00E478F4" w:rsidRDefault="00E478F4" w:rsidP="00285819">
      <w:pPr>
        <w:pStyle w:val="a7"/>
      </w:pPr>
      <w:r>
        <w:rPr>
          <w:rStyle w:val="a9"/>
        </w:rPr>
        <w:footnoteRef/>
      </w:r>
      <w:r>
        <w:rPr>
          <w:rtl/>
        </w:rPr>
        <w:t xml:space="preserve"> </w:t>
      </w:r>
      <w:r>
        <w:rPr>
          <w:rFonts w:hint="cs"/>
          <w:rtl/>
        </w:rPr>
        <w:t>משמע שמותר אף להדק. שהרי ברפוי גם המהר"ם התיר, ובא הטור להוסיף עליו ולא רק לומר כדבריו.</w:t>
      </w:r>
      <w:r w:rsidR="005F2724">
        <w:rPr>
          <w:rFonts w:hint="cs"/>
          <w:rtl/>
        </w:rPr>
        <w:t xml:space="preserve"> ונראה </w:t>
      </w:r>
      <w:r w:rsidR="007539A5">
        <w:rPr>
          <w:rFonts w:hint="cs"/>
          <w:rtl/>
        </w:rPr>
        <w:t xml:space="preserve">גם </w:t>
      </w:r>
      <w:r w:rsidR="00347209">
        <w:rPr>
          <w:rFonts w:hint="cs"/>
          <w:rtl/>
        </w:rPr>
        <w:t xml:space="preserve">דלא סבירא ליה </w:t>
      </w:r>
      <w:r w:rsidR="007539A5">
        <w:rPr>
          <w:rFonts w:hint="cs"/>
          <w:rtl/>
        </w:rPr>
        <w:t xml:space="preserve">לטור </w:t>
      </w:r>
      <w:r w:rsidR="00347209">
        <w:rPr>
          <w:rFonts w:hint="cs"/>
          <w:rtl/>
        </w:rPr>
        <w:t>כהרשב"א שאמר רפוי ואינו רפוי אסור. שהרי הטור כתב בדיוק להיפך ממנו, שכוס מותר כיון שהיא מהודקת ולא מהודקת. וא"כ קשה על המשנ"ב (סקמ"ג) שהביא את דברי הרשב"א וגם כתב שכן דעת הב"י</w:t>
      </w:r>
      <w:r w:rsidR="007539A5">
        <w:rPr>
          <w:rFonts w:hint="cs"/>
          <w:rtl/>
        </w:rPr>
        <w:t>, והב"י פסק כהטור</w:t>
      </w:r>
      <w:r w:rsidR="00347209">
        <w:rPr>
          <w:rFonts w:hint="cs"/>
          <w:rtl/>
        </w:rPr>
        <w:t>.</w:t>
      </w:r>
      <w:r w:rsidR="007539A5">
        <w:rPr>
          <w:rFonts w:hint="cs"/>
          <w:rtl/>
        </w:rPr>
        <w:t xml:space="preserve"> </w:t>
      </w:r>
    </w:p>
  </w:footnote>
  <w:footnote w:id="2121">
    <w:p w14:paraId="55837287" w14:textId="0E5B09E1" w:rsidR="00DA462D" w:rsidRDefault="00DA462D" w:rsidP="00285819">
      <w:pPr>
        <w:pStyle w:val="a7"/>
        <w:rPr>
          <w:rtl/>
        </w:rPr>
      </w:pPr>
      <w:r>
        <w:rPr>
          <w:rStyle w:val="a9"/>
        </w:rPr>
        <w:footnoteRef/>
      </w:r>
      <w:r>
        <w:rPr>
          <w:rtl/>
        </w:rPr>
        <w:t xml:space="preserve"> </w:t>
      </w:r>
      <w:r w:rsidRPr="00DA462D">
        <w:rPr>
          <w:rFonts w:cs="Arial"/>
          <w:rtl/>
        </w:rPr>
        <w:t>וכן נראה ממה שאמר רבינו בסמוך גבי כוס של פרקים שמותר להחזירו לפי שאין דרך להדקו דמשמע הא אם היה דרך להדקו אסור להחזירו אפילו מניחו רפוי וכן נראה מדברי הג</w:t>
      </w:r>
      <w:r w:rsidR="00C34F47">
        <w:rPr>
          <w:rFonts w:cs="Arial" w:hint="cs"/>
          <w:rtl/>
        </w:rPr>
        <w:t>"א</w:t>
      </w:r>
      <w:r w:rsidRPr="00DA462D">
        <w:rPr>
          <w:rFonts w:cs="Arial"/>
          <w:rtl/>
        </w:rPr>
        <w:t xml:space="preserve"> שם (סי' כג). וכן כתוב בכל בו (סי' לא כז.) בשם הראב"ד דברים שאין אדם מקפיד עליהם אם יתנועע בתוך החור מותר להכניסן בחורן שאין לגזור שמא יתקע אלא בדבר שצריך להיות מעמידו בדוחק</w:t>
      </w:r>
      <w:r>
        <w:rPr>
          <w:rFonts w:hint="cs"/>
          <w:rtl/>
        </w:rPr>
        <w:t xml:space="preserve">, </w:t>
      </w:r>
      <w:r w:rsidRPr="00930468">
        <w:rPr>
          <w:rFonts w:hint="cs"/>
          <w:b/>
          <w:bCs/>
          <w:rtl/>
        </w:rPr>
        <w:t>ב"י</w:t>
      </w:r>
      <w:r>
        <w:rPr>
          <w:rFonts w:hint="cs"/>
          <w:rtl/>
        </w:rPr>
        <w:t>.</w:t>
      </w:r>
      <w:r w:rsidR="00930468">
        <w:rPr>
          <w:rFonts w:hint="cs"/>
          <w:rtl/>
        </w:rPr>
        <w:t xml:space="preserve"> </w:t>
      </w:r>
      <w:r>
        <w:rPr>
          <w:rFonts w:hint="cs"/>
          <w:rtl/>
        </w:rPr>
        <w:t xml:space="preserve"> </w:t>
      </w:r>
      <w:r w:rsidR="00930468">
        <w:rPr>
          <w:rFonts w:hint="cs"/>
          <w:rtl/>
        </w:rPr>
        <w:t xml:space="preserve">  </w:t>
      </w:r>
      <w:r w:rsidR="007B609B">
        <w:rPr>
          <w:rFonts w:hint="cs"/>
          <w:rtl/>
        </w:rPr>
        <w:t>וזה תמוה מאד דאדרבה הטור מתיר בכוס אפי' מהודק כיון אשין דרכו להדק בחוזק שהוא תקוע, אבל רפוי לעולם מותר, וכן מלשון הר"מ</w:t>
      </w:r>
      <w:r w:rsidR="007B609B">
        <w:rPr>
          <w:rFonts w:hint="cs"/>
          <w:sz w:val="16"/>
          <w:szCs w:val="16"/>
          <w:rtl/>
        </w:rPr>
        <w:t xml:space="preserve"> {הרמב"ם}</w:t>
      </w:r>
      <w:r w:rsidR="007B609B">
        <w:rPr>
          <w:rFonts w:hint="cs"/>
          <w:rtl/>
        </w:rPr>
        <w:t xml:space="preserve"> אין הכרע שלשון הר"מ כלשון הגמ', ומש"כ מותר להחזירו ר"ל ואם היה רצונו לעשותו רפוי מותר להחזירו, וכן דברי הכלבו מתפרשין לקולא כדברי הטור דבאין דרך לתקוע מותר הידוק, או שדעתו לאסור רפוי ברגילות לתקוע. והמחבר בסי' שי"ג ס"ו השמיט תנאי זה שיהא דרכה ברפוי' אפשר שחזר בו מרן, והרמ"א הביא, ולמש"כ אין מקור לד</w:t>
      </w:r>
      <w:r w:rsidR="00930468">
        <w:rPr>
          <w:rFonts w:hint="cs"/>
          <w:rtl/>
        </w:rPr>
        <w:t>"</w:t>
      </w:r>
      <w:r w:rsidR="007B609B">
        <w:rPr>
          <w:rFonts w:hint="cs"/>
          <w:rtl/>
        </w:rPr>
        <w:t>ז,</w:t>
      </w:r>
      <w:r w:rsidR="00930468">
        <w:rPr>
          <w:rFonts w:hint="cs"/>
          <w:rtl/>
        </w:rPr>
        <w:t xml:space="preserve"> ואפילו אם רגילות לתקוע אפשר להקל בדרבנן כיון דלא הזכירוהו הר"מ והטור, וכל שעושה רפוי בלתי מהודק מותר, ואפי' מהודק במקום שאין רגילות לתקוע אפשר להקל כדעת הטור,</w:t>
      </w:r>
      <w:r w:rsidR="007B609B">
        <w:rPr>
          <w:rFonts w:hint="cs"/>
          <w:rtl/>
        </w:rPr>
        <w:t xml:space="preserve"> </w:t>
      </w:r>
      <w:r w:rsidR="007B609B" w:rsidRPr="00930468">
        <w:rPr>
          <w:rFonts w:hint="cs"/>
          <w:b/>
          <w:bCs/>
          <w:rtl/>
        </w:rPr>
        <w:t>חזו"א</w:t>
      </w:r>
      <w:r w:rsidR="007B609B">
        <w:rPr>
          <w:rFonts w:hint="cs"/>
          <w:rtl/>
        </w:rPr>
        <w:t xml:space="preserve"> </w:t>
      </w:r>
      <w:r w:rsidR="007B609B">
        <w:rPr>
          <w:rFonts w:hint="cs"/>
          <w:sz w:val="16"/>
          <w:szCs w:val="16"/>
          <w:rtl/>
        </w:rPr>
        <w:t>(הל' שבת סי' נ ד"ה ובב"י)</w:t>
      </w:r>
      <w:r w:rsidR="00930468">
        <w:rPr>
          <w:rFonts w:hint="cs"/>
          <w:rtl/>
        </w:rPr>
        <w:t>.</w:t>
      </w:r>
    </w:p>
  </w:footnote>
  <w:footnote w:id="2122">
    <w:p w14:paraId="44791E1A" w14:textId="77777777" w:rsidR="009E7B18" w:rsidRDefault="009E7B18" w:rsidP="00285819">
      <w:pPr>
        <w:pStyle w:val="a7"/>
        <w:rPr>
          <w:rtl/>
        </w:rPr>
      </w:pPr>
      <w:r>
        <w:rPr>
          <w:rStyle w:val="a9"/>
        </w:rPr>
        <w:footnoteRef/>
      </w:r>
      <w:r>
        <w:rPr>
          <w:rtl/>
        </w:rPr>
        <w:t xml:space="preserve"> </w:t>
      </w:r>
      <w:r>
        <w:rPr>
          <w:rFonts w:hint="cs"/>
          <w:rtl/>
        </w:rPr>
        <w:t xml:space="preserve">וז"ל- </w:t>
      </w:r>
      <w:r>
        <w:rPr>
          <w:rFonts w:cs="Arial"/>
          <w:rtl/>
        </w:rPr>
        <w:t>זוקפין את המנורה ביום טוב להדליק בה את הנר ואפילו היא של חוליות, לפי שאין בנין וסתירה בכלים. ולפיכך אפילו אין חוליותיה רפויין אלא רפויין ואין רפויין מותר לזוקפה ביום טוב, אף על פי שכיוצא בה אסור אפילו לטלטלה בשבת, וכל שכן ברפוייה גמורה שהיא אף בשבת זוקפין אותה.</w:t>
      </w:r>
      <w:r>
        <w:rPr>
          <w:rFonts w:hint="cs"/>
          <w:rtl/>
        </w:rPr>
        <w:t xml:space="preserve"> </w:t>
      </w:r>
      <w:r>
        <w:rPr>
          <w:rFonts w:cs="Arial"/>
          <w:rtl/>
        </w:rPr>
        <w:t>ויראה לי שלא אמרו אלא במנורה שאין עשויה לתקוע חוליותיה, אבל עשויה לתקוע חוליותיה אסור לזוקפה.</w:t>
      </w:r>
    </w:p>
  </w:footnote>
  <w:footnote w:id="2123">
    <w:p w14:paraId="758492C6" w14:textId="77777777" w:rsidR="009E7B18" w:rsidRDefault="009E7B18" w:rsidP="00285819">
      <w:pPr>
        <w:pStyle w:val="a7"/>
      </w:pPr>
      <w:r>
        <w:rPr>
          <w:rStyle w:val="a9"/>
        </w:rPr>
        <w:footnoteRef/>
      </w:r>
      <w:r>
        <w:rPr>
          <w:rtl/>
        </w:rPr>
        <w:t xml:space="preserve"> </w:t>
      </w:r>
      <w:r>
        <w:rPr>
          <w:rFonts w:cs="Arial" w:hint="cs"/>
          <w:rtl/>
        </w:rPr>
        <w:t xml:space="preserve">וז"ל- </w:t>
      </w:r>
      <w:r w:rsidRPr="00DA462D">
        <w:rPr>
          <w:rFonts w:cs="Arial"/>
          <w:rtl/>
        </w:rPr>
        <w:t>וגדולי המפרשים כתבו במה שהתרנו ברפוי שלא נאמר אלא בדברים שדרכם להשמט ולהחזיר ואין אדם קפיד עליהם אבל דבר שאין דרכו להשמט ושאדם קפיד בהשמטתם אף ברפוי גמור אסור שמא יתקע שם יתד עד שלא ישמט ונמצא מכה בפטיש וזהו שאסרו בדלת שידה תיבה ומגדל בפ' כל הכלים ולא חלקו בין רפוי לשאינו רפוי</w:t>
      </w:r>
      <w:r>
        <w:rPr>
          <w:rFonts w:cs="Arial" w:hint="cs"/>
          <w:rtl/>
        </w:rPr>
        <w:t>.</w:t>
      </w:r>
    </w:p>
  </w:footnote>
  <w:footnote w:id="2124">
    <w:p w14:paraId="5D1A469E" w14:textId="77777777" w:rsidR="006E3A7A" w:rsidRDefault="006E3A7A" w:rsidP="00285819">
      <w:pPr>
        <w:pStyle w:val="a7"/>
        <w:rPr>
          <w:rtl/>
        </w:rPr>
      </w:pPr>
      <w:r>
        <w:rPr>
          <w:rStyle w:val="a9"/>
        </w:rPr>
        <w:footnoteRef/>
      </w:r>
      <w:r>
        <w:rPr>
          <w:rtl/>
        </w:rPr>
        <w:t xml:space="preserve"> </w:t>
      </w:r>
      <w:r>
        <w:rPr>
          <w:rFonts w:hint="cs"/>
          <w:rtl/>
        </w:rPr>
        <w:t xml:space="preserve">וז"ל- </w:t>
      </w:r>
      <w:r w:rsidRPr="00C84451">
        <w:rPr>
          <w:rFonts w:cs="Arial"/>
          <w:rtl/>
        </w:rPr>
        <w:t>אומר ר"י שאם נתקו חוטי הסרבל אם הנקב רחב ויכול להכניסם בלא טורח שרי כיון דעתיקי ובלבד שיתנם בענין זה שלא יהא לחוש שמא יתקע דבעניין שהוא רגילות לתקוע ולקשור נראה דאסורין להחזיר כדאסרינן בריש כל הכלים (קכב:) החזרת שידה תיבה ומגדל גזירה שמא יתקע.</w:t>
      </w:r>
    </w:p>
  </w:footnote>
  <w:footnote w:id="2125">
    <w:p w14:paraId="10991D52" w14:textId="46D47CA0" w:rsidR="00C34F47" w:rsidRDefault="00C34F47" w:rsidP="00285819">
      <w:pPr>
        <w:pStyle w:val="a7"/>
      </w:pPr>
      <w:r>
        <w:rPr>
          <w:rStyle w:val="a9"/>
        </w:rPr>
        <w:footnoteRef/>
      </w:r>
      <w:r>
        <w:rPr>
          <w:rtl/>
        </w:rPr>
        <w:t xml:space="preserve"> </w:t>
      </w:r>
      <w:r>
        <w:rPr>
          <w:rFonts w:cs="Arial" w:hint="cs"/>
          <w:rtl/>
        </w:rPr>
        <w:t>ש</w:t>
      </w:r>
      <w:r w:rsidRPr="00D53400">
        <w:rPr>
          <w:rFonts w:cs="Arial"/>
          <w:rtl/>
        </w:rPr>
        <w:t>התוקע חייב משום בונה</w:t>
      </w:r>
      <w:r>
        <w:rPr>
          <w:rFonts w:cs="Arial" w:hint="cs"/>
          <w:rtl/>
        </w:rPr>
        <w:t xml:space="preserve">, רמב"ם </w:t>
      </w:r>
      <w:r>
        <w:rPr>
          <w:rFonts w:cs="Arial" w:hint="cs"/>
          <w:sz w:val="16"/>
          <w:szCs w:val="16"/>
          <w:rtl/>
        </w:rPr>
        <w:t>(פכ"ב מהל' שבת הכ"ה)</w:t>
      </w:r>
      <w:r w:rsidRPr="00D53400">
        <w:rPr>
          <w:rFonts w:cs="Arial"/>
          <w:rtl/>
        </w:rPr>
        <w:t>.</w:t>
      </w:r>
    </w:p>
  </w:footnote>
  <w:footnote w:id="2126">
    <w:p w14:paraId="04FBE636" w14:textId="20D021A5" w:rsidR="002748C4" w:rsidRDefault="002748C4" w:rsidP="00285819">
      <w:pPr>
        <w:pStyle w:val="a7"/>
      </w:pPr>
      <w:r>
        <w:rPr>
          <w:rStyle w:val="a9"/>
        </w:rPr>
        <w:footnoteRef/>
      </w:r>
      <w:r>
        <w:rPr>
          <w:rtl/>
        </w:rPr>
        <w:t xml:space="preserve"> </w:t>
      </w:r>
      <w:r w:rsidRPr="002748C4">
        <w:rPr>
          <w:rFonts w:cs="Arial"/>
          <w:rtl/>
        </w:rPr>
        <w:t>כדאמרינן (שבת מז</w:t>
      </w:r>
      <w:r>
        <w:rPr>
          <w:rFonts w:cs="Arial" w:hint="cs"/>
          <w:rtl/>
        </w:rPr>
        <w:t>.</w:t>
      </w:r>
      <w:r w:rsidRPr="002748C4">
        <w:rPr>
          <w:rFonts w:cs="Arial"/>
          <w:rtl/>
        </w:rPr>
        <w:t>) מטה של טרסיים לא יתקע ואם תקע חייב חטאת שיש בניין בכלים. ודווקא במקום שצריך גבורה ואומנות יש בניין וסתירה בכלים אבל לא במקום שאין צריך גבורה ואומנות (שם קב</w:t>
      </w:r>
      <w:r>
        <w:rPr>
          <w:rFonts w:cs="Arial" w:hint="cs"/>
          <w:rtl/>
        </w:rPr>
        <w:t>:</w:t>
      </w:r>
      <w:r w:rsidRPr="002748C4">
        <w:rPr>
          <w:rFonts w:cs="Arial"/>
          <w:rtl/>
        </w:rPr>
        <w:t xml:space="preserve"> תד"ה האי), דהא תניא בר</w:t>
      </w:r>
      <w:r>
        <w:rPr>
          <w:rFonts w:cs="Arial" w:hint="cs"/>
          <w:rtl/>
        </w:rPr>
        <w:t>"</w:t>
      </w:r>
      <w:r w:rsidRPr="002748C4">
        <w:rPr>
          <w:rFonts w:cs="Arial"/>
          <w:rtl/>
        </w:rPr>
        <w:t>פ כל הכלים (שבת קכב</w:t>
      </w:r>
      <w:r>
        <w:rPr>
          <w:rFonts w:cs="Arial" w:hint="cs"/>
          <w:rtl/>
        </w:rPr>
        <w:t>:</w:t>
      </w:r>
      <w:r w:rsidRPr="002748C4">
        <w:rPr>
          <w:rFonts w:cs="Arial"/>
          <w:rtl/>
        </w:rPr>
        <w:t>) דלת של שידה תיבה ומגדל נוטלין ולא מחזירין גזירה שמא יתקע, וכן מוכיח גבי החזרת תריסין (ביצה י</w:t>
      </w:r>
      <w:r w:rsidR="00C34F47">
        <w:rPr>
          <w:rFonts w:cs="Arial" w:hint="cs"/>
          <w:rtl/>
        </w:rPr>
        <w:t>.</w:t>
      </w:r>
      <w:r w:rsidRPr="002748C4">
        <w:rPr>
          <w:rFonts w:cs="Arial"/>
          <w:rtl/>
        </w:rPr>
        <w:t>) ומנורה של חליות שמתיר במסכת ביצה (כב</w:t>
      </w:r>
      <w:r>
        <w:rPr>
          <w:rFonts w:cs="Arial" w:hint="cs"/>
          <w:rtl/>
        </w:rPr>
        <w:t>.</w:t>
      </w:r>
      <w:r w:rsidRPr="002748C4">
        <w:rPr>
          <w:rFonts w:cs="Arial"/>
          <w:rtl/>
        </w:rPr>
        <w:t>)</w:t>
      </w:r>
      <w:r>
        <w:rPr>
          <w:rFonts w:cs="Arial" w:hint="cs"/>
          <w:rtl/>
        </w:rPr>
        <w:t>, סמ"ג (לאוין סי' סה אות לד).</w:t>
      </w:r>
    </w:p>
  </w:footnote>
  <w:footnote w:id="2127">
    <w:p w14:paraId="4C17763C" w14:textId="449FE238" w:rsidR="001A5818" w:rsidRPr="001A5818" w:rsidRDefault="001A5818" w:rsidP="00285819">
      <w:pPr>
        <w:pStyle w:val="a7"/>
        <w:rPr>
          <w:rtl/>
        </w:rPr>
      </w:pPr>
      <w:r w:rsidRPr="001A5818">
        <w:rPr>
          <w:rStyle w:val="a9"/>
        </w:rPr>
        <w:footnoteRef/>
      </w:r>
      <w:r w:rsidRPr="001A5818">
        <w:rPr>
          <w:rtl/>
        </w:rPr>
        <w:t xml:space="preserve"> </w:t>
      </w:r>
      <w:r w:rsidRPr="001A5818">
        <w:rPr>
          <w:rFonts w:hint="cs"/>
          <w:rtl/>
        </w:rPr>
        <w:t xml:space="preserve">וכ"כ </w:t>
      </w:r>
      <w:r w:rsidRPr="001A5818">
        <w:rPr>
          <w:rFonts w:cs="Arial" w:hint="cs"/>
          <w:rtl/>
        </w:rPr>
        <w:t>הסמ"ג (לאוין סי' סה אות לד)</w:t>
      </w:r>
      <w:r w:rsidRPr="001A5818">
        <w:rPr>
          <w:rFonts w:hint="cs"/>
          <w:rtl/>
        </w:rPr>
        <w:t xml:space="preserve"> אורחות חיים (הל' שבת ח"א אות קכא) ובשוע"ה (סע' יט-כ).</w:t>
      </w:r>
    </w:p>
  </w:footnote>
  <w:footnote w:id="2128">
    <w:p w14:paraId="590E5534" w14:textId="44F7E694" w:rsidR="002601AF" w:rsidRDefault="002601AF" w:rsidP="00285819">
      <w:pPr>
        <w:pStyle w:val="a7"/>
        <w:rPr>
          <w:rtl/>
        </w:rPr>
      </w:pPr>
      <w:r>
        <w:rPr>
          <w:rStyle w:val="a9"/>
        </w:rPr>
        <w:footnoteRef/>
      </w:r>
      <w:r>
        <w:rPr>
          <w:rtl/>
        </w:rPr>
        <w:t xml:space="preserve"> </w:t>
      </w:r>
      <w:r w:rsidRPr="002601AF">
        <w:rPr>
          <w:rFonts w:cs="Arial"/>
          <w:rtl/>
        </w:rPr>
        <w:t>קא סלקא דעתין שמהדקו שם, ואינו יכול שוב ליטלו</w:t>
      </w:r>
      <w:r>
        <w:rPr>
          <w:rFonts w:hint="cs"/>
          <w:rtl/>
        </w:rPr>
        <w:t>, רש"י.</w:t>
      </w:r>
    </w:p>
  </w:footnote>
  <w:footnote w:id="2129">
    <w:p w14:paraId="25FC43EF" w14:textId="2FBCC9FD" w:rsidR="002601AF" w:rsidRDefault="002601AF" w:rsidP="00285819">
      <w:pPr>
        <w:pStyle w:val="a7"/>
        <w:rPr>
          <w:rtl/>
        </w:rPr>
      </w:pPr>
      <w:r>
        <w:rPr>
          <w:rStyle w:val="a9"/>
        </w:rPr>
        <w:footnoteRef/>
      </w:r>
      <w:r>
        <w:rPr>
          <w:rtl/>
        </w:rPr>
        <w:t xml:space="preserve"> </w:t>
      </w:r>
      <w:r w:rsidRPr="002601AF">
        <w:rPr>
          <w:rFonts w:cs="Arial"/>
          <w:rtl/>
        </w:rPr>
        <w:t>ואם אינו כלי רק עץ בעלמא כמו מקל אף על פי שמוכן הוא לטלטל מ"מ אסור לסמכו תחת הקורה דדמי לבונה כ"כ מ"א אבל הא"ר ותו"ש חולקים עליו ומתירים בכל דבר ששם כלי עליו לענין טלטול כיון שהוא עושה רק כדי שלא תרד יותר ועיין בפמ"ג</w:t>
      </w:r>
      <w:r>
        <w:rPr>
          <w:rFonts w:hint="cs"/>
          <w:rtl/>
        </w:rPr>
        <w:t>, משנ"ב (סקמ"ט).</w:t>
      </w:r>
    </w:p>
  </w:footnote>
  <w:footnote w:id="2130">
    <w:p w14:paraId="4CF93115" w14:textId="208598AD" w:rsidR="00780B4D" w:rsidRDefault="00780B4D" w:rsidP="00285819">
      <w:pPr>
        <w:pStyle w:val="a7"/>
        <w:rPr>
          <w:rtl/>
        </w:rPr>
      </w:pPr>
      <w:r>
        <w:rPr>
          <w:rStyle w:val="a9"/>
        </w:rPr>
        <w:footnoteRef/>
      </w:r>
      <w:r>
        <w:rPr>
          <w:rtl/>
        </w:rPr>
        <w:t xml:space="preserve"> </w:t>
      </w:r>
      <w:r w:rsidRPr="00F529CD">
        <w:rPr>
          <w:rFonts w:cs="Arial"/>
          <w:rtl/>
        </w:rPr>
        <w:t>ומכל מקום להחזיר הרגל למקומה משמע דפשיטא דאסור גזירה שמא יתקע</w:t>
      </w:r>
      <w:r>
        <w:rPr>
          <w:rFonts w:cs="Arial" w:hint="cs"/>
          <w:rtl/>
        </w:rPr>
        <w:t>,</w:t>
      </w:r>
      <w:r w:rsidRPr="00F529CD">
        <w:rPr>
          <w:rFonts w:cs="Arial"/>
          <w:rtl/>
        </w:rPr>
        <w:t xml:space="preserve"> שאע</w:t>
      </w:r>
      <w:r>
        <w:rPr>
          <w:rFonts w:cs="Arial" w:hint="cs"/>
          <w:rtl/>
        </w:rPr>
        <w:t>"</w:t>
      </w:r>
      <w:r w:rsidRPr="00F529CD">
        <w:rPr>
          <w:rFonts w:cs="Arial"/>
          <w:rtl/>
        </w:rPr>
        <w:t>פ שהוא רפוי כיון דדרך רגלי הספסלים להיות תקועין גזרינן ביה שמא יתקע</w:t>
      </w:r>
      <w:r>
        <w:rPr>
          <w:rFonts w:hint="cs"/>
          <w:rtl/>
        </w:rPr>
        <w:t xml:space="preserve">, </w:t>
      </w:r>
      <w:r w:rsidRPr="00F529CD">
        <w:rPr>
          <w:rFonts w:hint="cs"/>
          <w:b/>
          <w:bCs/>
          <w:rtl/>
        </w:rPr>
        <w:t>ב"י</w:t>
      </w:r>
      <w:r>
        <w:rPr>
          <w:rFonts w:hint="cs"/>
          <w:rtl/>
        </w:rPr>
        <w:t>.</w:t>
      </w:r>
      <w:r w:rsidRPr="00951437">
        <w:rPr>
          <w:rFonts w:cs="Arial" w:hint="cs"/>
          <w:color w:val="00B0F0"/>
          <w:rtl/>
        </w:rPr>
        <w:t xml:space="preserve"> (וכ"פ הרמ"א</w:t>
      </w:r>
      <w:r>
        <w:rPr>
          <w:rFonts w:cs="Arial" w:hint="cs"/>
          <w:color w:val="00B0F0"/>
          <w:sz w:val="16"/>
          <w:szCs w:val="16"/>
          <w:rtl/>
        </w:rPr>
        <w:t xml:space="preserve"> </w:t>
      </w:r>
      <w:r w:rsidRPr="00780B4D">
        <w:rPr>
          <w:rFonts w:cs="Arial" w:hint="cs"/>
          <w:color w:val="000000" w:themeColor="text1"/>
          <w:sz w:val="16"/>
          <w:szCs w:val="16"/>
          <w:rtl/>
        </w:rPr>
        <w:t>[</w:t>
      </w:r>
      <w:r>
        <w:rPr>
          <w:rFonts w:cs="Arial" w:hint="cs"/>
          <w:color w:val="000000" w:themeColor="text1"/>
          <w:sz w:val="16"/>
          <w:szCs w:val="16"/>
          <w:rtl/>
        </w:rPr>
        <w:t>סי' שח סט"ז</w:t>
      </w:r>
      <w:r w:rsidRPr="00780B4D">
        <w:rPr>
          <w:rFonts w:cs="Arial" w:hint="cs"/>
          <w:color w:val="000000" w:themeColor="text1"/>
          <w:sz w:val="16"/>
          <w:szCs w:val="16"/>
          <w:rtl/>
        </w:rPr>
        <w:t>]</w:t>
      </w:r>
      <w:r w:rsidRPr="00951437">
        <w:rPr>
          <w:rFonts w:cs="Arial" w:hint="cs"/>
          <w:color w:val="00B0F0"/>
          <w:rtl/>
        </w:rPr>
        <w:t>)</w:t>
      </w:r>
      <w:r>
        <w:rPr>
          <w:rFonts w:cs="Arial" w:hint="cs"/>
          <w:rtl/>
        </w:rPr>
        <w:t>.</w:t>
      </w:r>
      <w:r w:rsidRPr="00F529CD">
        <w:rPr>
          <w:rFonts w:cs="Arial"/>
          <w:rtl/>
        </w:rPr>
        <w:t xml:space="preserve"> </w:t>
      </w:r>
      <w:r w:rsidRPr="00487EF5">
        <w:rPr>
          <w:rFonts w:cs="Arial"/>
          <w:rtl/>
        </w:rPr>
        <w:t>מיהו נראה לי אם ישב עליה מבעוד יום מותר לישב עליה בשבת</w:t>
      </w:r>
      <w:r>
        <w:rPr>
          <w:rFonts w:cs="Arial" w:hint="cs"/>
          <w:rtl/>
        </w:rPr>
        <w:t>,</w:t>
      </w:r>
      <w:r w:rsidRPr="00487EF5">
        <w:rPr>
          <w:rFonts w:cs="Arial"/>
          <w:rtl/>
        </w:rPr>
        <w:t xml:space="preserve"> דלא גרע מחריות של דקל כמו שיתבאר בסמוך</w:t>
      </w:r>
      <w:r>
        <w:rPr>
          <w:rFonts w:cs="Arial" w:hint="cs"/>
          <w:rtl/>
        </w:rPr>
        <w:t xml:space="preserve">, </w:t>
      </w:r>
      <w:r w:rsidRPr="00F529CD">
        <w:rPr>
          <w:rFonts w:cs="Arial" w:hint="cs"/>
          <w:b/>
          <w:bCs/>
          <w:rtl/>
        </w:rPr>
        <w:t>דרכ"מ</w:t>
      </w:r>
      <w:r>
        <w:rPr>
          <w:rFonts w:cs="Arial" w:hint="cs"/>
          <w:rtl/>
        </w:rPr>
        <w:t xml:space="preserve"> (סי' שח אות ו).</w:t>
      </w:r>
      <w:r w:rsidRPr="00951437">
        <w:rPr>
          <w:rFonts w:cs="Arial" w:hint="cs"/>
          <w:color w:val="00B0F0"/>
          <w:rtl/>
        </w:rPr>
        <w:t xml:space="preserve"> (וכ"פ </w:t>
      </w:r>
      <w:r>
        <w:rPr>
          <w:rFonts w:cs="Arial" w:hint="cs"/>
          <w:color w:val="00B0F0"/>
          <w:rtl/>
        </w:rPr>
        <w:t>בהג"ה</w:t>
      </w:r>
      <w:r>
        <w:rPr>
          <w:rFonts w:cs="Arial" w:hint="cs"/>
          <w:color w:val="00B0F0"/>
          <w:sz w:val="16"/>
          <w:szCs w:val="16"/>
          <w:rtl/>
        </w:rPr>
        <w:t xml:space="preserve"> </w:t>
      </w:r>
      <w:r w:rsidRPr="00780B4D">
        <w:rPr>
          <w:rFonts w:cs="Arial" w:hint="cs"/>
          <w:color w:val="000000" w:themeColor="text1"/>
          <w:sz w:val="16"/>
          <w:szCs w:val="16"/>
          <w:rtl/>
        </w:rPr>
        <w:t>[</w:t>
      </w:r>
      <w:r>
        <w:rPr>
          <w:rFonts w:cs="Arial" w:hint="cs"/>
          <w:color w:val="000000" w:themeColor="text1"/>
          <w:sz w:val="16"/>
          <w:szCs w:val="16"/>
          <w:rtl/>
        </w:rPr>
        <w:t>סי' שח סט"ז</w:t>
      </w:r>
      <w:r w:rsidRPr="00780B4D">
        <w:rPr>
          <w:rFonts w:cs="Arial" w:hint="cs"/>
          <w:color w:val="000000" w:themeColor="text1"/>
          <w:sz w:val="16"/>
          <w:szCs w:val="16"/>
          <w:rtl/>
        </w:rPr>
        <w:t>]</w:t>
      </w:r>
      <w:r w:rsidRPr="00951437">
        <w:rPr>
          <w:rFonts w:cs="Arial" w:hint="cs"/>
          <w:color w:val="00B0F0"/>
          <w:rtl/>
        </w:rPr>
        <w:t>)</w:t>
      </w:r>
    </w:p>
  </w:footnote>
  <w:footnote w:id="2131">
    <w:p w14:paraId="1A592E9A" w14:textId="74756BB7" w:rsidR="00AA7779" w:rsidRDefault="00AA7779" w:rsidP="00285819">
      <w:pPr>
        <w:pStyle w:val="a7"/>
      </w:pPr>
      <w:r>
        <w:rPr>
          <w:rStyle w:val="a9"/>
        </w:rPr>
        <w:footnoteRef/>
      </w:r>
      <w:r>
        <w:rPr>
          <w:rtl/>
        </w:rPr>
        <w:t xml:space="preserve"> </w:t>
      </w:r>
      <w:r w:rsidRPr="00D22DC5">
        <w:rPr>
          <w:rFonts w:cs="Arial"/>
          <w:rtl/>
        </w:rPr>
        <w:t>וכתב הרב המגיד דהיינו דתניא בסוף פרק כירה (מז:) גבי מלבנות המטה לא יתקע ואם תקע חייב חטאת. וכן כתב בסמ"ג (לאוין סה טו ע"ג) וסמ"ק (סי' רפב עמ' רצג)</w:t>
      </w:r>
      <w:r>
        <w:rPr>
          <w:rFonts w:cs="Arial" w:hint="cs"/>
          <w:rtl/>
        </w:rPr>
        <w:t>, ב"י.</w:t>
      </w:r>
    </w:p>
  </w:footnote>
  <w:footnote w:id="2132">
    <w:p w14:paraId="2E2EC330" w14:textId="2F909C95" w:rsidR="00420DE2" w:rsidRDefault="00420DE2" w:rsidP="00285819">
      <w:pPr>
        <w:pStyle w:val="a7"/>
      </w:pPr>
      <w:r>
        <w:rPr>
          <w:rStyle w:val="a9"/>
        </w:rPr>
        <w:footnoteRef/>
      </w:r>
      <w:r>
        <w:rPr>
          <w:rtl/>
        </w:rPr>
        <w:t xml:space="preserve"> </w:t>
      </w:r>
      <w:r w:rsidRPr="00420DE2">
        <w:rPr>
          <w:rFonts w:cs="Arial"/>
          <w:rtl/>
        </w:rPr>
        <w:t>לדרוס עליה</w:t>
      </w:r>
      <w:r>
        <w:rPr>
          <w:rFonts w:cs="Arial" w:hint="cs"/>
          <w:rtl/>
        </w:rPr>
        <w:t>, רש"י.</w:t>
      </w:r>
    </w:p>
  </w:footnote>
  <w:footnote w:id="2133">
    <w:p w14:paraId="1D78CA74" w14:textId="77777777" w:rsidR="00420DE2" w:rsidRDefault="00420DE2" w:rsidP="00285819">
      <w:pPr>
        <w:pStyle w:val="a7"/>
      </w:pPr>
      <w:r>
        <w:rPr>
          <w:rStyle w:val="a9"/>
        </w:rPr>
        <w:footnoteRef/>
      </w:r>
      <w:r>
        <w:rPr>
          <w:rtl/>
        </w:rPr>
        <w:t xml:space="preserve"> </w:t>
      </w:r>
      <w:r w:rsidRPr="00420DE2">
        <w:rPr>
          <w:rFonts w:cs="Arial"/>
          <w:rtl/>
        </w:rPr>
        <w:t>כדרך חול</w:t>
      </w:r>
      <w:r>
        <w:rPr>
          <w:rFonts w:cs="Arial" w:hint="cs"/>
          <w:rtl/>
        </w:rPr>
        <w:t>, רש"י.</w:t>
      </w:r>
    </w:p>
  </w:footnote>
  <w:footnote w:id="2134">
    <w:p w14:paraId="301E681A" w14:textId="37F94302" w:rsidR="00420DE2" w:rsidRDefault="00420DE2" w:rsidP="00285819">
      <w:pPr>
        <w:pStyle w:val="a7"/>
      </w:pPr>
      <w:r>
        <w:rPr>
          <w:rStyle w:val="a9"/>
        </w:rPr>
        <w:footnoteRef/>
      </w:r>
      <w:r>
        <w:rPr>
          <w:rtl/>
        </w:rPr>
        <w:t xml:space="preserve"> </w:t>
      </w:r>
      <w:r w:rsidRPr="00420DE2">
        <w:rPr>
          <w:rFonts w:cs="Arial"/>
          <w:rtl/>
        </w:rPr>
        <w:t>שנשתברה, ונשארו השולים</w:t>
      </w:r>
      <w:r>
        <w:rPr>
          <w:rFonts w:cs="Arial" w:hint="cs"/>
          <w:rtl/>
        </w:rPr>
        <w:t>, רש"י.</w:t>
      </w:r>
      <w:r w:rsidRPr="00420DE2">
        <w:rPr>
          <w:rFonts w:cs="Arial"/>
          <w:rtl/>
        </w:rPr>
        <w:t xml:space="preserve"> </w:t>
      </w:r>
      <w:r w:rsidRPr="00D22DC5">
        <w:rPr>
          <w:rFonts w:cs="Arial"/>
          <w:rtl/>
        </w:rPr>
        <w:t>וכתבו התוספות (ד"ה דרש) אי נמי הופך הקופה ונותן על שוליה</w:t>
      </w:r>
      <w:r>
        <w:rPr>
          <w:rFonts w:cs="Arial" w:hint="cs"/>
          <w:rtl/>
        </w:rPr>
        <w:t>,</w:t>
      </w:r>
      <w:r w:rsidRPr="00D22DC5">
        <w:rPr>
          <w:rFonts w:cs="Arial"/>
          <w:rtl/>
        </w:rPr>
        <w:t xml:space="preserve"> דהיינו על ידי שינוי</w:t>
      </w:r>
      <w:r>
        <w:rPr>
          <w:rFonts w:cs="Arial" w:hint="cs"/>
          <w:rtl/>
        </w:rPr>
        <w:t>.</w:t>
      </w:r>
      <w:r w:rsidRPr="00D22DC5">
        <w:rPr>
          <w:rFonts w:cs="Arial"/>
          <w:rtl/>
        </w:rPr>
        <w:t xml:space="preserve"> אבל ביד נראה לר"י דאסור</w:t>
      </w:r>
      <w:r>
        <w:rPr>
          <w:rFonts w:cs="Arial" w:hint="cs"/>
          <w:rtl/>
        </w:rPr>
        <w:t>.</w:t>
      </w:r>
      <w:r>
        <w:rPr>
          <w:rFonts w:hint="cs"/>
          <w:rtl/>
        </w:rPr>
        <w:t xml:space="preserve"> </w:t>
      </w:r>
      <w:r w:rsidRPr="002601AF">
        <w:rPr>
          <w:rFonts w:hint="cs"/>
          <w:color w:val="E36C0A" w:themeColor="accent6" w:themeShade="BF"/>
          <w:rtl/>
        </w:rPr>
        <w:t>(וכ"פ בשו"ע)</w:t>
      </w:r>
    </w:p>
  </w:footnote>
  <w:footnote w:id="2135">
    <w:p w14:paraId="4061E53D" w14:textId="18461DB7" w:rsidR="00420DE2" w:rsidRDefault="00420DE2" w:rsidP="00285819">
      <w:pPr>
        <w:pStyle w:val="a7"/>
        <w:rPr>
          <w:rtl/>
        </w:rPr>
      </w:pPr>
      <w:r>
        <w:rPr>
          <w:rStyle w:val="a9"/>
        </w:rPr>
        <w:footnoteRef/>
      </w:r>
      <w:r>
        <w:rPr>
          <w:rtl/>
        </w:rPr>
        <w:t xml:space="preserve"> </w:t>
      </w:r>
      <w:r w:rsidRPr="00420DE2">
        <w:rPr>
          <w:rFonts w:cs="Arial"/>
          <w:rtl/>
        </w:rPr>
        <w:t>משום דלא מבטל ליה התם דחזי למאכל בהמה או לטיט אבל דבר דמבטל ליה התם כמו טיט וחול וצרורות אסור דאיכא משום אשויי גומות ודוקא הכא שבא לתקן החצר אסור דדמי לבנין אבל בענין אחר כמו שנוהגין לפזר חול בבוקר בבית כדי לכסות הרוק שרי דהא שרי לכסות הרוק באפר כמש"כ סוף סימן ש"י כיון שאינו מכוין לבנין</w:t>
      </w:r>
      <w:r>
        <w:rPr>
          <w:rFonts w:hint="cs"/>
          <w:rtl/>
        </w:rPr>
        <w:t>, משנ"ב (סקנ"ה).</w:t>
      </w:r>
    </w:p>
  </w:footnote>
  <w:footnote w:id="2136">
    <w:p w14:paraId="67553CD0" w14:textId="79296236" w:rsidR="00420DE2" w:rsidRDefault="00420DE2" w:rsidP="00285819">
      <w:pPr>
        <w:pStyle w:val="a7"/>
      </w:pPr>
      <w:r>
        <w:rPr>
          <w:rStyle w:val="a9"/>
        </w:rPr>
        <w:footnoteRef/>
      </w:r>
      <w:r>
        <w:rPr>
          <w:rtl/>
        </w:rPr>
        <w:t xml:space="preserve"> </w:t>
      </w:r>
      <w:r w:rsidRPr="00420DE2">
        <w:rPr>
          <w:rFonts w:cs="Arial"/>
          <w:rtl/>
        </w:rPr>
        <w:t>משום דהוא עובדא דחול. וע"י אינו יהודי שרי אם יש בו צורך הרבה ככל מידי שהוא שבות דשבות [ט"ז]</w:t>
      </w:r>
      <w:r>
        <w:rPr>
          <w:rFonts w:cs="Arial" w:hint="cs"/>
          <w:rtl/>
        </w:rPr>
        <w:t>, משנ"ב (סקנ"ו).</w:t>
      </w:r>
    </w:p>
  </w:footnote>
  <w:footnote w:id="2137">
    <w:p w14:paraId="28FAE524" w14:textId="7EC634B2" w:rsidR="004F0A0A" w:rsidRDefault="004F0A0A" w:rsidP="00285819">
      <w:pPr>
        <w:pStyle w:val="a7"/>
      </w:pPr>
      <w:r>
        <w:rPr>
          <w:rStyle w:val="a9"/>
        </w:rPr>
        <w:footnoteRef/>
      </w:r>
      <w:r>
        <w:rPr>
          <w:rtl/>
        </w:rPr>
        <w:t xml:space="preserve"> </w:t>
      </w:r>
      <w:r w:rsidRPr="008760DA">
        <w:rPr>
          <w:rFonts w:cs="Arial"/>
          <w:rtl/>
        </w:rPr>
        <w:t>משמע מסלקין אותן בשבת מהיתר ציר שלהן</w:t>
      </w:r>
      <w:r>
        <w:rPr>
          <w:rFonts w:cs="Arial" w:hint="cs"/>
          <w:rtl/>
        </w:rPr>
        <w:t>, רש"י.</w:t>
      </w:r>
    </w:p>
  </w:footnote>
  <w:footnote w:id="2138">
    <w:p w14:paraId="3C356DD2" w14:textId="77777777" w:rsidR="004F0A0A" w:rsidRDefault="004F0A0A" w:rsidP="00285819">
      <w:pPr>
        <w:pStyle w:val="a7"/>
        <w:rPr>
          <w:rtl/>
        </w:rPr>
      </w:pPr>
      <w:r>
        <w:rPr>
          <w:rStyle w:val="a9"/>
        </w:rPr>
        <w:footnoteRef/>
      </w:r>
      <w:r>
        <w:rPr>
          <w:rtl/>
        </w:rPr>
        <w:t xml:space="preserve"> </w:t>
      </w:r>
      <w:r w:rsidRPr="008760DA">
        <w:rPr>
          <w:rFonts w:cs="Arial"/>
          <w:rtl/>
        </w:rPr>
        <w:t>שמתיר סילוקו ואוסר חזרתו</w:t>
      </w:r>
      <w:r>
        <w:rPr>
          <w:rFonts w:hint="cs"/>
          <w:rtl/>
        </w:rPr>
        <w:t>, רש"י.</w:t>
      </w:r>
    </w:p>
  </w:footnote>
  <w:footnote w:id="2139">
    <w:p w14:paraId="68C2DFA9" w14:textId="77777777" w:rsidR="004F0A0A" w:rsidRDefault="004F0A0A" w:rsidP="00285819">
      <w:pPr>
        <w:pStyle w:val="a7"/>
      </w:pPr>
      <w:r>
        <w:rPr>
          <w:rStyle w:val="a9"/>
        </w:rPr>
        <w:footnoteRef/>
      </w:r>
      <w:r>
        <w:rPr>
          <w:rtl/>
        </w:rPr>
        <w:t xml:space="preserve"> </w:t>
      </w:r>
      <w:r w:rsidRPr="00F63421">
        <w:rPr>
          <w:rFonts w:cs="Arial"/>
          <w:rtl/>
        </w:rPr>
        <w:t>הילכך נוטלין</w:t>
      </w:r>
      <w:r>
        <w:rPr>
          <w:rFonts w:cs="Arial" w:hint="cs"/>
          <w:rtl/>
        </w:rPr>
        <w:t>,</w:t>
      </w:r>
      <w:r w:rsidRPr="00F63421">
        <w:rPr>
          <w:rFonts w:cs="Arial"/>
          <w:rtl/>
        </w:rPr>
        <w:t xml:space="preserve"> ומיהו אין מחזירין מדרבנן</w:t>
      </w:r>
      <w:r>
        <w:rPr>
          <w:rFonts w:cs="Arial" w:hint="cs"/>
          <w:rtl/>
        </w:rPr>
        <w:t>, רש"י.</w:t>
      </w:r>
    </w:p>
  </w:footnote>
  <w:footnote w:id="2140">
    <w:p w14:paraId="170B5673" w14:textId="77777777" w:rsidR="004F0A0A" w:rsidRDefault="004F0A0A" w:rsidP="00285819">
      <w:pPr>
        <w:pStyle w:val="a7"/>
      </w:pPr>
      <w:r>
        <w:rPr>
          <w:rStyle w:val="a9"/>
        </w:rPr>
        <w:footnoteRef/>
      </w:r>
      <w:r>
        <w:rPr>
          <w:rtl/>
        </w:rPr>
        <w:t xml:space="preserve"> </w:t>
      </w:r>
      <w:r w:rsidRPr="00F63421">
        <w:rPr>
          <w:rFonts w:cs="Arial"/>
          <w:rtl/>
        </w:rPr>
        <w:t>בחזקה בסכין ויתדות והוה ליה גמר מלאכה וחייב משום מכה בפטיש</w:t>
      </w:r>
      <w:r>
        <w:rPr>
          <w:rFonts w:cs="Arial" w:hint="cs"/>
          <w:rtl/>
        </w:rPr>
        <w:t>, רש"י.</w:t>
      </w:r>
    </w:p>
  </w:footnote>
  <w:footnote w:id="2141">
    <w:p w14:paraId="04080E20"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ובגמ' מפרש לה, וכגון שהמגדל ברשות היחיד, דאי הוה ביה מפתח לא הוה ביה שום איסור דהוא ועירובו ברשות היחיד, רש"י.</w:t>
      </w:r>
    </w:p>
  </w:footnote>
  <w:footnote w:id="2142">
    <w:p w14:paraId="44128870"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נהי דתרוויהו ברשות היחיד נינהו, כיון דלא מצי שקיל ליה הוה ליה כשני מקומות, רש"י.</w:t>
      </w:r>
    </w:p>
  </w:footnote>
  <w:footnote w:id="2143">
    <w:p w14:paraId="16090DFA"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שנוח לסותרו, וכדבעי לאוקומי באוירא דליבני, סדורות זו על גבי זו בלא טיט ביניהן, דלאו סתירה היא, רש"י.</w:t>
      </w:r>
    </w:p>
  </w:footnote>
  <w:footnote w:id="2144">
    <w:p w14:paraId="7469E8C3"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ואי בעי סתר ליה, רש"י.</w:t>
      </w:r>
    </w:p>
  </w:footnote>
  <w:footnote w:id="2145">
    <w:p w14:paraId="59E7C6AD" w14:textId="77777777" w:rsidR="00371E1B" w:rsidRPr="00073504" w:rsidRDefault="00371E1B" w:rsidP="00285819">
      <w:pPr>
        <w:pStyle w:val="a7"/>
        <w:rPr>
          <w:rFonts w:asciiTheme="minorBidi" w:hAnsiTheme="minorBidi"/>
          <w:color w:val="000000" w:themeColor="text1"/>
          <w:rtl/>
        </w:rPr>
      </w:pPr>
      <w:r w:rsidRPr="00073504">
        <w:rPr>
          <w:rStyle w:val="a9"/>
          <w:rFonts w:asciiTheme="minorBidi" w:hAnsiTheme="minorBidi"/>
          <w:color w:val="000000" w:themeColor="text1"/>
        </w:rPr>
        <w:footnoteRef/>
      </w:r>
      <w:r w:rsidRPr="00073504">
        <w:rPr>
          <w:rFonts w:asciiTheme="minorBidi" w:hAnsiTheme="minorBidi"/>
          <w:color w:val="000000" w:themeColor="text1"/>
          <w:rtl/>
        </w:rPr>
        <w:t xml:space="preserve"> </w:t>
      </w:r>
      <w:r>
        <w:rPr>
          <w:rFonts w:cs="Arial"/>
          <w:rtl/>
        </w:rPr>
        <w:t>פירש רש"י משום דאין במקלקל משום איסור שבת</w:t>
      </w:r>
      <w:r>
        <w:rPr>
          <w:rFonts w:cs="Arial" w:hint="cs"/>
          <w:rtl/>
        </w:rPr>
        <w:t>.</w:t>
      </w:r>
      <w:r>
        <w:rPr>
          <w:rFonts w:cs="Arial"/>
          <w:rtl/>
        </w:rPr>
        <w:t xml:space="preserve"> וכתב עליו הר"ן (סא: ד"ה מתני' שובר) ולא נהירא דנהי דכל המקלקלים פטורים (שבת קה:)</w:t>
      </w:r>
      <w:r>
        <w:rPr>
          <w:rFonts w:cs="Arial" w:hint="cs"/>
          <w:rtl/>
        </w:rPr>
        <w:t>,</w:t>
      </w:r>
      <w:r>
        <w:rPr>
          <w:rFonts w:cs="Arial"/>
          <w:rtl/>
        </w:rPr>
        <w:t xml:space="preserve"> איסורא מיהא איכא (שם ג.)</w:t>
      </w:r>
      <w:r>
        <w:rPr>
          <w:rFonts w:cs="Arial" w:hint="cs"/>
          <w:rtl/>
        </w:rPr>
        <w:t>,</w:t>
      </w:r>
      <w:r>
        <w:rPr>
          <w:rFonts w:cs="Arial"/>
          <w:rtl/>
        </w:rPr>
        <w:t xml:space="preserve"> אלא היינו טעמא דכיון דבעלמא מקלקל פטור אבל אסור הכא משום צורך שבת שרי לכתחלה</w:t>
      </w:r>
      <w:r>
        <w:rPr>
          <w:rFonts w:cs="Arial" w:hint="cs"/>
          <w:rtl/>
        </w:rPr>
        <w:t>,</w:t>
      </w:r>
      <w:r>
        <w:rPr>
          <w:rFonts w:cs="Arial"/>
          <w:rtl/>
        </w:rPr>
        <w:t xml:space="preserve"> מיהו דוקא בכלי קטן אבל בכלי גדול לא כיון דשייך ביה בנין וסתירה</w:t>
      </w:r>
      <w:r>
        <w:rPr>
          <w:rFonts w:asciiTheme="minorBidi" w:hAnsiTheme="minorBidi" w:hint="cs"/>
          <w:color w:val="000000" w:themeColor="text1"/>
          <w:rtl/>
        </w:rPr>
        <w:t>, ב"י.</w:t>
      </w:r>
    </w:p>
  </w:footnote>
  <w:footnote w:id="2146">
    <w:p w14:paraId="2BBDB331" w14:textId="77777777" w:rsidR="00371E1B" w:rsidRPr="008C1C8E" w:rsidRDefault="00371E1B"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לנוקבה יפה בפתח נאה, רש"י.</w:t>
      </w:r>
    </w:p>
  </w:footnote>
  <w:footnote w:id="2147">
    <w:p w14:paraId="2D8EF36D" w14:textId="676855F2" w:rsidR="00C31191" w:rsidRDefault="00C31191" w:rsidP="00285819">
      <w:pPr>
        <w:pStyle w:val="a7"/>
      </w:pPr>
      <w:r>
        <w:rPr>
          <w:rStyle w:val="a9"/>
        </w:rPr>
        <w:footnoteRef/>
      </w:r>
      <w:r>
        <w:rPr>
          <w:rtl/>
        </w:rPr>
        <w:t xml:space="preserve"> </w:t>
      </w:r>
      <w:r w:rsidRPr="00C31191">
        <w:rPr>
          <w:rFonts w:cs="Arial"/>
          <w:rtl/>
        </w:rPr>
        <w:t>דקטימה תקון כלאחר יד הוא, ולא תקון מעליא הוא אלא אם כן מחתכו וממחקו בסכין, והשתא קא מהדר לתרוצי קושיא דלעיל, הא דתני לעיל בקשין לא יקטמנו להריח, ר' אליעזר דאמר בקוטם לכלי חייב חטאת - הכא גבי קוטם להריח פטור אבל אסור, גזירה שמא יקטמנו לכלי, והא דרב יהודה דמפשח להריח - כרבנן, דאמרי בקוטם לכלי פטור אבל אסור, הכא להריח - מותר לכתחילה</w:t>
      </w:r>
      <w:r>
        <w:rPr>
          <w:rFonts w:cs="Arial" w:hint="cs"/>
          <w:rtl/>
        </w:rPr>
        <w:t>, רש"י.</w:t>
      </w:r>
    </w:p>
  </w:footnote>
  <w:footnote w:id="2148">
    <w:p w14:paraId="1F006AE4" w14:textId="226669C3" w:rsidR="00371E1B" w:rsidRDefault="00371E1B" w:rsidP="00285819">
      <w:pPr>
        <w:pStyle w:val="a7"/>
      </w:pPr>
      <w:r>
        <w:rPr>
          <w:rStyle w:val="a9"/>
        </w:rPr>
        <w:footnoteRef/>
      </w:r>
      <w:r>
        <w:rPr>
          <w:rtl/>
        </w:rPr>
        <w:t xml:space="preserve"> </w:t>
      </w:r>
      <w:r w:rsidRPr="00371E1B">
        <w:rPr>
          <w:rFonts w:cs="Arial"/>
          <w:rtl/>
        </w:rPr>
        <w:t>והא הכא דכי מתכוין לעשות כלי איכא חיובא דאורייתא, וכי לא מתכוין - לא גזור רבנן לכתחילה</w:t>
      </w:r>
      <w:r>
        <w:rPr>
          <w:rFonts w:cs="Arial" w:hint="cs"/>
          <w:rtl/>
        </w:rPr>
        <w:t>, רש"י.</w:t>
      </w:r>
    </w:p>
  </w:footnote>
  <w:footnote w:id="2149">
    <w:p w14:paraId="19EC35A7" w14:textId="70CC2D52" w:rsidR="00913738" w:rsidRDefault="00913738" w:rsidP="00285819">
      <w:pPr>
        <w:pStyle w:val="a7"/>
        <w:rPr>
          <w:rtl/>
        </w:rPr>
      </w:pPr>
      <w:r>
        <w:rPr>
          <w:rStyle w:val="a9"/>
        </w:rPr>
        <w:footnoteRef/>
      </w:r>
      <w:r>
        <w:rPr>
          <w:rtl/>
        </w:rPr>
        <w:t xml:space="preserve"> </w:t>
      </w:r>
      <w:r w:rsidRPr="00913738">
        <w:rPr>
          <w:rFonts w:cs="Arial"/>
          <w:rtl/>
        </w:rPr>
        <w:t>דמותר</w:t>
      </w:r>
      <w:r>
        <w:rPr>
          <w:rFonts w:hint="cs"/>
          <w:rtl/>
        </w:rPr>
        <w:t>, רש"י.</w:t>
      </w:r>
    </w:p>
  </w:footnote>
  <w:footnote w:id="2150">
    <w:p w14:paraId="14D1FB3F" w14:textId="254FDD24" w:rsidR="00913738" w:rsidRDefault="00913738" w:rsidP="00285819">
      <w:pPr>
        <w:pStyle w:val="a7"/>
      </w:pPr>
      <w:r>
        <w:rPr>
          <w:rStyle w:val="a9"/>
        </w:rPr>
        <w:footnoteRef/>
      </w:r>
      <w:r>
        <w:rPr>
          <w:rtl/>
        </w:rPr>
        <w:t xml:space="preserve"> </w:t>
      </w:r>
      <w:r w:rsidRPr="00913738">
        <w:rPr>
          <w:rFonts w:cs="Arial"/>
          <w:rtl/>
        </w:rPr>
        <w:t>חבית שבורה שמדבקין שבריה בשרף של עץ</w:t>
      </w:r>
      <w:r w:rsidR="00703A92">
        <w:rPr>
          <w:rFonts w:cs="Arial" w:hint="cs"/>
          <w:rtl/>
        </w:rPr>
        <w:t>...</w:t>
      </w:r>
      <w:r w:rsidRPr="00913738">
        <w:rPr>
          <w:rFonts w:cs="Arial"/>
          <w:rtl/>
        </w:rPr>
        <w:t xml:space="preserve"> וכיון דרעועה היא - ליכא למגזר בה</w:t>
      </w:r>
      <w:r w:rsidR="00F731F6">
        <w:rPr>
          <w:rFonts w:cs="Arial" w:hint="cs"/>
          <w:rtl/>
        </w:rPr>
        <w:t>,</w:t>
      </w:r>
      <w:r w:rsidRPr="00913738">
        <w:rPr>
          <w:rFonts w:cs="Arial"/>
          <w:rtl/>
        </w:rPr>
        <w:t xml:space="preserve"> שלא יתכוון לעשות כלי</w:t>
      </w:r>
      <w:r>
        <w:rPr>
          <w:rFonts w:cs="Arial" w:hint="cs"/>
          <w:rtl/>
        </w:rPr>
        <w:t>, רש"י.</w:t>
      </w:r>
      <w:r w:rsidR="00703A92" w:rsidRPr="00703A92">
        <w:rPr>
          <w:rtl/>
        </w:rPr>
        <w:t xml:space="preserve"> </w:t>
      </w:r>
      <w:r w:rsidR="00703A92">
        <w:rPr>
          <w:rFonts w:cs="Arial" w:hint="cs"/>
          <w:rtl/>
        </w:rPr>
        <w:t>וכתבו התוס' (שם ד"ה כי תניא) דכוונת</w:t>
      </w:r>
      <w:r w:rsidR="00703A92" w:rsidRPr="00703A92">
        <w:rPr>
          <w:rFonts w:cs="Arial"/>
          <w:rtl/>
        </w:rPr>
        <w:t xml:space="preserve"> רש"י דלא חיישינן לתקון כלי דהואיל ורעועה הרבה יחוס עליה דשמא יקלקל החבית ועושה נקב לכל הפחות שיוכל</w:t>
      </w:r>
      <w:r w:rsidR="000463FB">
        <w:rPr>
          <w:rFonts w:cs="Arial" w:hint="cs"/>
          <w:rtl/>
        </w:rPr>
        <w:t>.</w:t>
      </w:r>
      <w:r w:rsidR="00703A92" w:rsidRPr="00703A92">
        <w:rPr>
          <w:rFonts w:cs="Arial"/>
          <w:rtl/>
        </w:rPr>
        <w:t xml:space="preserve"> וה"ר יצחק פירש במסכת ערובין (דף לד: ושם בד"ה ואמאי) דכיון שהם מדובקים בזפת ואין החתיכות שלמות לא הוי שום תקון כלי</w:t>
      </w:r>
      <w:r w:rsidR="000463FB">
        <w:rPr>
          <w:rFonts w:cs="Arial" w:hint="cs"/>
          <w:sz w:val="16"/>
          <w:szCs w:val="16"/>
          <w:rtl/>
        </w:rPr>
        <w:t xml:space="preserve"> [עכ"ל התוס']</w:t>
      </w:r>
      <w:r w:rsidR="000463FB">
        <w:rPr>
          <w:rFonts w:cs="Arial" w:hint="cs"/>
          <w:rtl/>
        </w:rPr>
        <w:t>.</w:t>
      </w:r>
    </w:p>
  </w:footnote>
  <w:footnote w:id="2151">
    <w:p w14:paraId="26BFA392" w14:textId="79233572" w:rsidR="00266839" w:rsidRDefault="00266839" w:rsidP="00285819">
      <w:pPr>
        <w:pStyle w:val="a7"/>
      </w:pPr>
      <w:r>
        <w:rPr>
          <w:rStyle w:val="a9"/>
        </w:rPr>
        <w:footnoteRef/>
      </w:r>
      <w:r>
        <w:rPr>
          <w:rtl/>
        </w:rPr>
        <w:t xml:space="preserve"> </w:t>
      </w:r>
      <w:r w:rsidRPr="00266839">
        <w:rPr>
          <w:rFonts w:cs="Arial"/>
          <w:rtl/>
        </w:rPr>
        <w:t xml:space="preserve">שופתא יתד קטן שתוחבין בתוך בית יד של מרא </w:t>
      </w:r>
      <w:r>
        <w:rPr>
          <w:rFonts w:cs="Arial" w:hint="cs"/>
          <w:sz w:val="16"/>
          <w:szCs w:val="16"/>
          <w:rtl/>
        </w:rPr>
        <w:t xml:space="preserve">{מעדר} </w:t>
      </w:r>
      <w:r w:rsidRPr="00266839">
        <w:rPr>
          <w:rFonts w:cs="Arial"/>
          <w:rtl/>
        </w:rPr>
        <w:t>בהיותו בנקב הברזל, להדקו שלא יצא</w:t>
      </w:r>
      <w:r>
        <w:rPr>
          <w:rFonts w:cs="Arial" w:hint="cs"/>
          <w:rtl/>
        </w:rPr>
        <w:t>, רש"י.</w:t>
      </w:r>
    </w:p>
  </w:footnote>
  <w:footnote w:id="2152">
    <w:p w14:paraId="35BB2F9A" w14:textId="2BDE7505" w:rsidR="00613B3B" w:rsidRDefault="00613B3B" w:rsidP="00285819">
      <w:pPr>
        <w:pStyle w:val="a7"/>
      </w:pPr>
      <w:r>
        <w:rPr>
          <w:rStyle w:val="a9"/>
        </w:rPr>
        <w:footnoteRef/>
      </w:r>
      <w:r>
        <w:rPr>
          <w:rtl/>
        </w:rPr>
        <w:t xml:space="preserve"> </w:t>
      </w:r>
      <w:r w:rsidRPr="00F731F6">
        <w:rPr>
          <w:rFonts w:cs="Arial" w:hint="cs"/>
          <w:rtl/>
        </w:rPr>
        <w:t>על הא ד</w:t>
      </w:r>
      <w:r w:rsidRPr="00F731F6">
        <w:rPr>
          <w:rFonts w:cs="Arial"/>
          <w:rtl/>
        </w:rPr>
        <w:t>רב ושמואל דאמרי תרווייהו הכא בבנין של מגדל עסקינן כתב</w:t>
      </w:r>
      <w:r w:rsidRPr="00F731F6">
        <w:rPr>
          <w:rFonts w:cs="Arial" w:hint="cs"/>
          <w:rtl/>
        </w:rPr>
        <w:t xml:space="preserve"> </w:t>
      </w:r>
      <w:r w:rsidRPr="00F731F6">
        <w:rPr>
          <w:rFonts w:cs="Arial"/>
          <w:rtl/>
        </w:rPr>
        <w:t xml:space="preserve">הרא"ש </w:t>
      </w:r>
      <w:r w:rsidRPr="00F731F6">
        <w:rPr>
          <w:rFonts w:cs="Arial" w:hint="cs"/>
          <w:rtl/>
        </w:rPr>
        <w:t xml:space="preserve">(שם) </w:t>
      </w:r>
      <w:r w:rsidRPr="00F731F6">
        <w:rPr>
          <w:rFonts w:cs="Arial"/>
          <w:rtl/>
        </w:rPr>
        <w:t>וז</w:t>
      </w:r>
      <w:r w:rsidRPr="00F731F6">
        <w:rPr>
          <w:rFonts w:cs="Arial" w:hint="cs"/>
          <w:rtl/>
        </w:rPr>
        <w:t>"ל-</w:t>
      </w:r>
      <w:r w:rsidRPr="00F731F6">
        <w:rPr>
          <w:rFonts w:cs="Arial"/>
          <w:rtl/>
        </w:rPr>
        <w:t xml:space="preserve"> משמע דסלקא דעתיה מעיקרא דאיירי במגדל של עץ שהוא כלי</w:t>
      </w:r>
      <w:r w:rsidRPr="00F731F6">
        <w:rPr>
          <w:rFonts w:cs="Arial" w:hint="cs"/>
          <w:rtl/>
        </w:rPr>
        <w:t>,</w:t>
      </w:r>
      <w:r w:rsidRPr="00F731F6">
        <w:rPr>
          <w:rFonts w:cs="Arial"/>
          <w:rtl/>
        </w:rPr>
        <w:t xml:space="preserve"> ותימה מאי קשיא ליה הוא במקום אחד ועירובו במקום אחר</w:t>
      </w:r>
      <w:r w:rsidRPr="00F731F6">
        <w:rPr>
          <w:rFonts w:cs="Arial" w:hint="cs"/>
          <w:rtl/>
        </w:rPr>
        <w:t>,</w:t>
      </w:r>
      <w:r w:rsidRPr="00F731F6">
        <w:rPr>
          <w:rFonts w:cs="Arial"/>
          <w:rtl/>
        </w:rPr>
        <w:t xml:space="preserve"> והלא מותר לשבר כלי בשבת לאכול מה שבתוכו כדתנן בפרק חבית (קמו.) שובר אדם את החבית לאכול ממנה גרוגרות</w:t>
      </w:r>
      <w:r w:rsidRPr="00F731F6">
        <w:rPr>
          <w:rFonts w:cs="Arial" w:hint="cs"/>
          <w:rtl/>
        </w:rPr>
        <w:t>.</w:t>
      </w:r>
      <w:r w:rsidRPr="00F731F6">
        <w:rPr>
          <w:rFonts w:cs="Arial"/>
          <w:rtl/>
        </w:rPr>
        <w:t xml:space="preserve"> ויש לומר דבפרק המביא כדי יין (ביצה לג:) מוקי לה במוסתקי</w:t>
      </w:r>
      <w:r w:rsidRPr="00F731F6">
        <w:rPr>
          <w:rFonts w:cs="Arial" w:hint="cs"/>
          <w:rtl/>
        </w:rPr>
        <w:t>,</w:t>
      </w:r>
      <w:r w:rsidRPr="00F731F6">
        <w:rPr>
          <w:rFonts w:cs="Arial"/>
          <w:rtl/>
        </w:rPr>
        <w:t xml:space="preserve"> ופירש רש"י שברי כלים המדובקים יחד על ידי זפת</w:t>
      </w:r>
      <w:r w:rsidRPr="00F731F6">
        <w:rPr>
          <w:rFonts w:cs="Arial" w:hint="cs"/>
          <w:rtl/>
        </w:rPr>
        <w:t>,</w:t>
      </w:r>
      <w:r w:rsidRPr="00F731F6">
        <w:rPr>
          <w:rFonts w:cs="Arial"/>
          <w:rtl/>
        </w:rPr>
        <w:t xml:space="preserve"> דמחמת גריעותו לא חיישינן שמא יתכוין לעשות כלי. ואע</w:t>
      </w:r>
      <w:r w:rsidRPr="00F731F6">
        <w:rPr>
          <w:rFonts w:cs="Arial" w:hint="cs"/>
          <w:rtl/>
        </w:rPr>
        <w:t>"</w:t>
      </w:r>
      <w:r w:rsidRPr="00F731F6">
        <w:rPr>
          <w:rFonts w:cs="Arial"/>
          <w:rtl/>
        </w:rPr>
        <w:t>ג דהתם לא מוקי לה במוסתקי אלא לרבי אליעזר</w:t>
      </w:r>
      <w:r w:rsidR="009E6B76">
        <w:rPr>
          <w:rFonts w:cs="Arial" w:hint="cs"/>
          <w:rtl/>
        </w:rPr>
        <w:t>,</w:t>
      </w:r>
      <w:r w:rsidRPr="00F731F6">
        <w:rPr>
          <w:rFonts w:cs="Arial"/>
          <w:rtl/>
        </w:rPr>
        <w:t xml:space="preserve"> </w:t>
      </w:r>
      <w:r w:rsidRPr="00613B3B">
        <w:rPr>
          <w:rFonts w:cs="Arial"/>
          <w:rtl/>
        </w:rPr>
        <w:t>מיהו גם לרבנן איכא לאוקומי הכי</w:t>
      </w:r>
      <w:r w:rsidR="00981DA0">
        <w:rPr>
          <w:rFonts w:cs="Arial" w:hint="cs"/>
          <w:sz w:val="14"/>
          <w:szCs w:val="14"/>
          <w:rtl/>
        </w:rPr>
        <w:t xml:space="preserve"> {באו"ז [ח"ב סי' עח] חולק על זה, מובא לקמן}</w:t>
      </w:r>
      <w:r w:rsidR="00981DA0">
        <w:rPr>
          <w:rFonts w:cs="Arial" w:hint="cs"/>
          <w:rtl/>
        </w:rPr>
        <w:t>,</w:t>
      </w:r>
      <w:r w:rsidRPr="00613B3B">
        <w:rPr>
          <w:rFonts w:cs="Arial"/>
          <w:rtl/>
        </w:rPr>
        <w:t xml:space="preserve"> דרבנן לא פליגי עליה דר"א דקאמר ולא להריח בו אלא משום דאיהו סבירא ליה דבקטימת קיסם לחצות בו שיניו חייב חטאת. ורבנן נמי אי הוו מחייבי הוו מודו דאסור לקטום ולהריח. הלכך בתיקון כלי דשייך ביה בנין מודו רבנן דאסור לשבר החבית ולאכול ממנו גרוגרות אי לאו דאיירי במוסתקי</w:t>
      </w:r>
      <w:r>
        <w:rPr>
          <w:rFonts w:cs="Arial" w:hint="cs"/>
          <w:rtl/>
        </w:rPr>
        <w:t>,</w:t>
      </w:r>
      <w:r w:rsidRPr="00F731F6">
        <w:rPr>
          <w:rFonts w:cs="Arial"/>
          <w:rtl/>
        </w:rPr>
        <w:t xml:space="preserve"> דבנין גמור וסתירה גמורה שייכא שפיר בכלים כדאמרינן בריש הבונה (קב:) מאן דעייל שופתא בקופינא דמרא חייב משום בונה</w:t>
      </w:r>
      <w:r w:rsidRPr="00F731F6">
        <w:rPr>
          <w:rFonts w:cs="Arial" w:hint="cs"/>
          <w:rtl/>
        </w:rPr>
        <w:t>.</w:t>
      </w:r>
      <w:r w:rsidRPr="00F731F6">
        <w:rPr>
          <w:rFonts w:cs="Arial"/>
          <w:rtl/>
        </w:rPr>
        <w:t xml:space="preserve"> ולא כמו שפירש רש"י בפרק כלל גדול (עד: ד"ה ואי חייטיה) גבי מאן דעביד חביתא ותנורא וחלתא דמשום בונה לא מיחייב דאין בנין בכלים. והא דאמרינן בכל דוכתא אין בנין בכלים היינו דוקא כעין החזרת מנורה של חוליות דפרק כירה (מו.) ופ</w:t>
      </w:r>
      <w:r w:rsidRPr="00F731F6">
        <w:rPr>
          <w:rFonts w:cs="Arial" w:hint="cs"/>
          <w:rtl/>
        </w:rPr>
        <w:t>"</w:t>
      </w:r>
      <w:r w:rsidRPr="00F731F6">
        <w:rPr>
          <w:rFonts w:cs="Arial"/>
          <w:rtl/>
        </w:rPr>
        <w:t>ב דיום טוב (כב.)</w:t>
      </w:r>
      <w:r w:rsidRPr="00F731F6">
        <w:rPr>
          <w:rFonts w:cs="Arial" w:hint="cs"/>
          <w:rtl/>
        </w:rPr>
        <w:t>,</w:t>
      </w:r>
      <w:r w:rsidRPr="00F731F6">
        <w:rPr>
          <w:rFonts w:cs="Arial"/>
          <w:rtl/>
        </w:rPr>
        <w:t xml:space="preserve"> אבל כשעושה כל הכלי או תיקון גמור מיקרי שפיר בנין</w:t>
      </w:r>
      <w:r>
        <w:rPr>
          <w:rFonts w:cs="Arial" w:hint="cs"/>
          <w:rtl/>
        </w:rPr>
        <w:t>.</w:t>
      </w:r>
    </w:p>
  </w:footnote>
  <w:footnote w:id="2153">
    <w:p w14:paraId="6CA93D0C" w14:textId="7D76D299" w:rsidR="00F4404B" w:rsidRDefault="00F4404B" w:rsidP="00285819">
      <w:pPr>
        <w:pStyle w:val="a7"/>
      </w:pPr>
      <w:r>
        <w:rPr>
          <w:rStyle w:val="a9"/>
        </w:rPr>
        <w:footnoteRef/>
      </w:r>
      <w:r>
        <w:rPr>
          <w:rtl/>
        </w:rPr>
        <w:t xml:space="preserve"> </w:t>
      </w:r>
      <w:r>
        <w:rPr>
          <w:rFonts w:hint="cs"/>
          <w:rtl/>
        </w:rPr>
        <w:t>הרא"ש לקח את רוב דבריו מהתוס'</w:t>
      </w:r>
      <w:r>
        <w:rPr>
          <w:rFonts w:cs="Arial" w:hint="cs"/>
          <w:rtl/>
        </w:rPr>
        <w:t xml:space="preserve"> </w:t>
      </w:r>
      <w:r w:rsidRPr="00F4404B">
        <w:rPr>
          <w:rFonts w:cs="Arial" w:hint="cs"/>
          <w:sz w:val="16"/>
          <w:szCs w:val="16"/>
          <w:rtl/>
        </w:rPr>
        <w:t>(</w:t>
      </w:r>
      <w:r w:rsidRPr="00F4404B">
        <w:rPr>
          <w:rFonts w:cs="Arial"/>
          <w:sz w:val="16"/>
          <w:szCs w:val="16"/>
          <w:rtl/>
        </w:rPr>
        <w:t xml:space="preserve">פרק בכל מערבין </w:t>
      </w:r>
      <w:r w:rsidRPr="00F4404B">
        <w:rPr>
          <w:rFonts w:cs="Arial" w:hint="cs"/>
          <w:sz w:val="16"/>
          <w:szCs w:val="16"/>
          <w:rtl/>
        </w:rPr>
        <w:t>[</w:t>
      </w:r>
      <w:r w:rsidRPr="00F4404B">
        <w:rPr>
          <w:rFonts w:cs="Arial"/>
          <w:sz w:val="16"/>
          <w:szCs w:val="16"/>
          <w:rtl/>
        </w:rPr>
        <w:t>לד: ד"ה ואמאי</w:t>
      </w:r>
      <w:r w:rsidRPr="00F4404B">
        <w:rPr>
          <w:rFonts w:cs="Arial" w:hint="cs"/>
          <w:sz w:val="16"/>
          <w:szCs w:val="16"/>
          <w:rtl/>
        </w:rPr>
        <w:t xml:space="preserve">], </w:t>
      </w:r>
      <w:r w:rsidRPr="00F4404B">
        <w:rPr>
          <w:rFonts w:cs="Arial"/>
          <w:sz w:val="16"/>
          <w:szCs w:val="16"/>
          <w:rtl/>
        </w:rPr>
        <w:t xml:space="preserve">ובפרק חבית </w:t>
      </w:r>
      <w:r w:rsidRPr="00F4404B">
        <w:rPr>
          <w:rFonts w:cs="Arial" w:hint="cs"/>
          <w:sz w:val="16"/>
          <w:szCs w:val="16"/>
          <w:rtl/>
        </w:rPr>
        <w:t>[</w:t>
      </w:r>
      <w:r w:rsidRPr="00F4404B">
        <w:rPr>
          <w:rFonts w:cs="Arial"/>
          <w:sz w:val="16"/>
          <w:szCs w:val="16"/>
          <w:rtl/>
        </w:rPr>
        <w:t>קמו. ד"ה שובר</w:t>
      </w:r>
      <w:r w:rsidRPr="00F4404B">
        <w:rPr>
          <w:rFonts w:cs="Arial" w:hint="cs"/>
          <w:sz w:val="16"/>
          <w:szCs w:val="16"/>
          <w:rtl/>
        </w:rPr>
        <w:t>]</w:t>
      </w:r>
      <w:r w:rsidRPr="00F4404B">
        <w:rPr>
          <w:rFonts w:cs="Arial"/>
          <w:sz w:val="16"/>
          <w:szCs w:val="16"/>
          <w:rtl/>
        </w:rPr>
        <w:t xml:space="preserve"> ובפרק כלל גדול </w:t>
      </w:r>
      <w:r w:rsidRPr="00F4404B">
        <w:rPr>
          <w:rFonts w:cs="Arial" w:hint="cs"/>
          <w:sz w:val="16"/>
          <w:szCs w:val="16"/>
          <w:rtl/>
        </w:rPr>
        <w:t>[</w:t>
      </w:r>
      <w:r w:rsidRPr="00F4404B">
        <w:rPr>
          <w:rFonts w:cs="Arial"/>
          <w:sz w:val="16"/>
          <w:szCs w:val="16"/>
          <w:rtl/>
        </w:rPr>
        <w:t>עד: ד"ה חביתא</w:t>
      </w:r>
      <w:r w:rsidRPr="00F4404B">
        <w:rPr>
          <w:rFonts w:cs="Arial" w:hint="cs"/>
          <w:sz w:val="16"/>
          <w:szCs w:val="16"/>
          <w:rtl/>
        </w:rPr>
        <w:t>]</w:t>
      </w:r>
      <w:r w:rsidRPr="00F4404B">
        <w:rPr>
          <w:rFonts w:cs="Arial"/>
          <w:sz w:val="16"/>
          <w:szCs w:val="16"/>
          <w:rtl/>
        </w:rPr>
        <w:t>)</w:t>
      </w:r>
      <w:r>
        <w:rPr>
          <w:rFonts w:cs="Arial" w:hint="cs"/>
          <w:rtl/>
        </w:rPr>
        <w:t>. וצל"ע משום שבתוס' שבפ' הכל מערבין משמע שהתוס' למסקנה ס"ל כדברי הירושלמי, וכמו שתירץ הר"ן.</w:t>
      </w:r>
    </w:p>
  </w:footnote>
  <w:footnote w:id="2154">
    <w:p w14:paraId="19FC3BCB" w14:textId="77777777" w:rsidR="00981DA0" w:rsidRDefault="00981DA0" w:rsidP="00285819">
      <w:pPr>
        <w:pStyle w:val="a7"/>
      </w:pPr>
      <w:r>
        <w:rPr>
          <w:rStyle w:val="a9"/>
        </w:rPr>
        <w:footnoteRef/>
      </w:r>
      <w:r>
        <w:rPr>
          <w:rtl/>
        </w:rPr>
        <w:t xml:space="preserve"> </w:t>
      </w:r>
      <w:r>
        <w:rPr>
          <w:rFonts w:cs="Arial"/>
          <w:rtl/>
        </w:rPr>
        <w:t>כלומר אין צריך לומר שאסור לנוקבה יפה בפה נאה דמתקן מנא</w:t>
      </w:r>
      <w:r>
        <w:rPr>
          <w:rFonts w:cs="Arial" w:hint="cs"/>
          <w:rtl/>
        </w:rPr>
        <w:t>,</w:t>
      </w:r>
      <w:r>
        <w:rPr>
          <w:rFonts w:cs="Arial"/>
          <w:rtl/>
        </w:rPr>
        <w:t xml:space="preserve"> אלא אפילו לשוברה בענין שאינו עושה כלי אסור</w:t>
      </w:r>
      <w:r>
        <w:rPr>
          <w:rFonts w:cs="Arial" w:hint="cs"/>
          <w:rtl/>
        </w:rPr>
        <w:t>.</w:t>
      </w:r>
      <w:r>
        <w:rPr>
          <w:rFonts w:cs="Arial"/>
          <w:rtl/>
        </w:rPr>
        <w:t xml:space="preserve"> וטעמו משום דכל שהכלי שלם שאינו מדובק במוסתקי שייך ביה בנין וסתירה כמו שנתבאר</w:t>
      </w:r>
      <w:r>
        <w:rPr>
          <w:rFonts w:cs="Arial" w:hint="cs"/>
          <w:rtl/>
        </w:rPr>
        <w:t>, ב"י.</w:t>
      </w:r>
    </w:p>
  </w:footnote>
  <w:footnote w:id="2155">
    <w:p w14:paraId="5C5D3ACD" w14:textId="7AD4729B" w:rsidR="00613B3B" w:rsidRDefault="00613B3B" w:rsidP="00285819">
      <w:pPr>
        <w:pStyle w:val="a7"/>
        <w:rPr>
          <w:rtl/>
        </w:rPr>
      </w:pPr>
      <w:r>
        <w:rPr>
          <w:rStyle w:val="a9"/>
        </w:rPr>
        <w:footnoteRef/>
      </w:r>
      <w:r>
        <w:rPr>
          <w:rtl/>
        </w:rPr>
        <w:t xml:space="preserve"> </w:t>
      </w:r>
      <w:r w:rsidRPr="00F731F6">
        <w:rPr>
          <w:rFonts w:cs="Arial"/>
          <w:rtl/>
        </w:rPr>
        <w:t>ומשום הכי פרכינן בעירובין אנתנו במגדל הוא במקום אחד ועירובו במקום אחר הוא משום דבמגדל גדול עסקינן דהוי כאוהל ושייך ביה בנין וסתירה הא במגדל קטן לא שייך ביה בנין וסתירה ושרי</w:t>
      </w:r>
      <w:r w:rsidRPr="00F731F6">
        <w:rPr>
          <w:rFonts w:cs="Arial" w:hint="cs"/>
          <w:rtl/>
        </w:rPr>
        <w:t>,</w:t>
      </w:r>
      <w:r w:rsidRPr="00F731F6">
        <w:rPr>
          <w:rFonts w:cs="Arial"/>
          <w:rtl/>
        </w:rPr>
        <w:t xml:space="preserve"> וכן פירש רש"י בעירובין (לה. ד"ה ומתני') וכן מוכחת סוגיא דהתם</w:t>
      </w:r>
      <w:r>
        <w:rPr>
          <w:rFonts w:hint="cs"/>
          <w:rtl/>
        </w:rPr>
        <w:t xml:space="preserve">, </w:t>
      </w:r>
      <w:r w:rsidRPr="00073504">
        <w:rPr>
          <w:rFonts w:hint="cs"/>
          <w:b/>
          <w:bCs/>
          <w:rtl/>
        </w:rPr>
        <w:t>ר"ן</w:t>
      </w:r>
      <w:r>
        <w:rPr>
          <w:rFonts w:hint="cs"/>
          <w:rtl/>
        </w:rPr>
        <w:t xml:space="preserve"> (שם).</w:t>
      </w:r>
      <w:r w:rsidR="00073504">
        <w:rPr>
          <w:rFonts w:hint="cs"/>
          <w:rtl/>
        </w:rPr>
        <w:t xml:space="preserve">     </w:t>
      </w:r>
      <w:r w:rsidR="00073504">
        <w:rPr>
          <w:rFonts w:cs="Arial"/>
          <w:rtl/>
        </w:rPr>
        <w:t>וגם תירוץ זה הזכירו התוס</w:t>
      </w:r>
      <w:r w:rsidR="00073504">
        <w:rPr>
          <w:rFonts w:cs="Arial" w:hint="cs"/>
          <w:rtl/>
        </w:rPr>
        <w:t>'</w:t>
      </w:r>
      <w:r w:rsidR="00073504">
        <w:rPr>
          <w:rFonts w:cs="Arial"/>
          <w:rtl/>
        </w:rPr>
        <w:t xml:space="preserve"> בפרק בכל מערבין (לד: ד"ה ואמאי)</w:t>
      </w:r>
      <w:r w:rsidR="00073504">
        <w:rPr>
          <w:rFonts w:cs="Arial" w:hint="cs"/>
          <w:rtl/>
        </w:rPr>
        <w:t>,</w:t>
      </w:r>
      <w:r w:rsidR="00073504">
        <w:rPr>
          <w:rFonts w:cs="Arial"/>
          <w:rtl/>
        </w:rPr>
        <w:t xml:space="preserve"> אלא שנראה שלא סמכו עליו משום ההיא דמאן דעייל שופתא בקופינא דמרא חייב משום בונה אע</w:t>
      </w:r>
      <w:r w:rsidR="00073504">
        <w:rPr>
          <w:rFonts w:cs="Arial" w:hint="cs"/>
          <w:rtl/>
        </w:rPr>
        <w:t>"</w:t>
      </w:r>
      <w:r w:rsidR="00073504">
        <w:rPr>
          <w:rFonts w:cs="Arial"/>
          <w:rtl/>
        </w:rPr>
        <w:t>ג דכלי קטן הוא. ולהר"ן שסמך על תירוץ זה איכא לתרוצי דכי אמרינן אין בנין וסתירה בכלים הני מילי בכלי שנתפרק ואין צריך אומן בחזרתו</w:t>
      </w:r>
      <w:r w:rsidR="00073504">
        <w:rPr>
          <w:rFonts w:cs="Arial" w:hint="cs"/>
          <w:rtl/>
        </w:rPr>
        <w:t>,</w:t>
      </w:r>
      <w:r w:rsidR="00073504">
        <w:rPr>
          <w:rFonts w:cs="Arial"/>
          <w:rtl/>
        </w:rPr>
        <w:t xml:space="preserve"> אבל עושה כלי מתחלתו</w:t>
      </w:r>
      <w:r w:rsidR="00073504">
        <w:rPr>
          <w:rFonts w:cs="Arial" w:hint="cs"/>
          <w:rtl/>
        </w:rPr>
        <w:t>,</w:t>
      </w:r>
      <w:r w:rsidR="00073504">
        <w:rPr>
          <w:rFonts w:cs="Arial"/>
          <w:rtl/>
        </w:rPr>
        <w:t xml:space="preserve"> אי נמי כלי שנתפרק וצריך אומן בחזרתו כל שהחזירו לא מיקרי בנין בכלים אלא עושה כלי מיקרי ומיחייב משום בונה</w:t>
      </w:r>
      <w:r w:rsidR="00073504">
        <w:rPr>
          <w:rFonts w:cs="Arial" w:hint="cs"/>
          <w:rtl/>
        </w:rPr>
        <w:t>,</w:t>
      </w:r>
      <w:r w:rsidR="00073504">
        <w:rPr>
          <w:rFonts w:cs="Arial"/>
          <w:rtl/>
        </w:rPr>
        <w:t xml:space="preserve"> וכן כתב הוא ז"ל בריש פרק הבונה (לז. ד"ה ומקשו) ובריש פרק כל הכלים (מז. ד"ה ת"ר דלת)</w:t>
      </w:r>
      <w:r w:rsidR="00073504">
        <w:rPr>
          <w:rFonts w:cs="Arial" w:hint="cs"/>
          <w:rtl/>
        </w:rPr>
        <w:t>.</w:t>
      </w:r>
      <w:r w:rsidR="00073504">
        <w:rPr>
          <w:rFonts w:cs="Arial"/>
          <w:rtl/>
        </w:rPr>
        <w:t xml:space="preserve"> וכן כתב הרב המגיד בפרק י' (הי"ג)</w:t>
      </w:r>
      <w:r w:rsidR="00073504">
        <w:rPr>
          <w:rFonts w:cs="Arial" w:hint="cs"/>
          <w:rtl/>
        </w:rPr>
        <w:t>.</w:t>
      </w:r>
      <w:r w:rsidR="00073504">
        <w:rPr>
          <w:rFonts w:cs="Arial"/>
          <w:rtl/>
        </w:rPr>
        <w:t xml:space="preserve"> ואף על פי שכתבו התוספות (עירובין לד: ד"ה ואמאי) ומיהו בירושלמי (עירובין פ"ג ה"ג) קאמר הדא דתימא במגדל של אבן אבל במגדל של עץ נעשה כשובר את החבית לאכול ממנה גרוגרות</w:t>
      </w:r>
      <w:r w:rsidR="00073504">
        <w:rPr>
          <w:rFonts w:cs="Arial" w:hint="cs"/>
          <w:rtl/>
        </w:rPr>
        <w:t>,</w:t>
      </w:r>
      <w:r w:rsidR="00073504">
        <w:rPr>
          <w:rFonts w:cs="Arial"/>
          <w:rtl/>
        </w:rPr>
        <w:t xml:space="preserve"> משמע דבלא מוסתקי נמי שרי בכלי עץ</w:t>
      </w:r>
      <w:r w:rsidR="00073504">
        <w:rPr>
          <w:rFonts w:cs="Arial" w:hint="cs"/>
          <w:rtl/>
        </w:rPr>
        <w:t>,</w:t>
      </w:r>
      <w:r w:rsidR="00073504">
        <w:rPr>
          <w:rFonts w:cs="Arial"/>
          <w:rtl/>
        </w:rPr>
        <w:t xml:space="preserve"> לא סמך הרא"ש עליו</w:t>
      </w:r>
      <w:r w:rsidR="00073504">
        <w:rPr>
          <w:rFonts w:cs="Arial" w:hint="cs"/>
          <w:rtl/>
        </w:rPr>
        <w:t>.</w:t>
      </w:r>
      <w:r w:rsidR="00073504">
        <w:rPr>
          <w:rFonts w:cs="Arial"/>
          <w:rtl/>
        </w:rPr>
        <w:t xml:space="preserve"> ורבינו סתם דבריו כהרא"ש</w:t>
      </w:r>
      <w:r w:rsidR="00073504">
        <w:rPr>
          <w:rFonts w:cs="Arial" w:hint="cs"/>
          <w:rtl/>
        </w:rPr>
        <w:t>,</w:t>
      </w:r>
      <w:r w:rsidR="00073504" w:rsidRPr="00073504">
        <w:rPr>
          <w:rFonts w:cs="Arial" w:hint="cs"/>
          <w:b/>
          <w:bCs/>
          <w:rtl/>
        </w:rPr>
        <w:t xml:space="preserve"> ב"י</w:t>
      </w:r>
      <w:r w:rsidR="00073504">
        <w:rPr>
          <w:rFonts w:cs="Arial" w:hint="cs"/>
          <w:rtl/>
        </w:rPr>
        <w:t>.</w:t>
      </w:r>
    </w:p>
  </w:footnote>
  <w:footnote w:id="2156">
    <w:p w14:paraId="4928065F" w14:textId="5523D888" w:rsidR="00CD68E3" w:rsidRDefault="00CD68E3" w:rsidP="00285819">
      <w:pPr>
        <w:pStyle w:val="a7"/>
        <w:rPr>
          <w:rtl/>
        </w:rPr>
      </w:pPr>
      <w:r>
        <w:rPr>
          <w:rStyle w:val="a9"/>
        </w:rPr>
        <w:footnoteRef/>
      </w:r>
      <w:r>
        <w:rPr>
          <w:rtl/>
        </w:rPr>
        <w:t xml:space="preserve"> </w:t>
      </w:r>
      <w:r>
        <w:rPr>
          <w:rFonts w:hint="cs"/>
          <w:rtl/>
        </w:rPr>
        <w:t>והביא תרוה"ד (סי' סה)</w:t>
      </w:r>
      <w:r w:rsidRPr="00CD68E3">
        <w:rPr>
          <w:rtl/>
        </w:rPr>
        <w:t xml:space="preserve"> </w:t>
      </w:r>
      <w:r>
        <w:rPr>
          <w:rFonts w:cs="Arial" w:hint="cs"/>
          <w:rtl/>
        </w:rPr>
        <w:t xml:space="preserve">את דבריו </w:t>
      </w:r>
      <w:r w:rsidRPr="00CD68E3">
        <w:rPr>
          <w:rFonts w:cs="Arial"/>
          <w:rtl/>
        </w:rPr>
        <w:t>ד</w:t>
      </w:r>
      <w:r>
        <w:rPr>
          <w:rFonts w:cs="Arial" w:hint="cs"/>
          <w:rtl/>
        </w:rPr>
        <w:t>הא ד</w:t>
      </w:r>
      <w:r w:rsidRPr="00CD68E3">
        <w:rPr>
          <w:rFonts w:cs="Arial"/>
          <w:rtl/>
        </w:rPr>
        <w:t>שובר את החבית לאכול ממנה גרוגרות</w:t>
      </w:r>
      <w:r>
        <w:rPr>
          <w:rFonts w:cs="Arial" w:hint="cs"/>
          <w:rtl/>
        </w:rPr>
        <w:t xml:space="preserve"> </w:t>
      </w:r>
      <w:r w:rsidRPr="00CD68E3">
        <w:rPr>
          <w:rFonts w:cs="Arial"/>
          <w:rtl/>
        </w:rPr>
        <w:t>איירי בחבית שאינה מחזקת מ' סאה</w:t>
      </w:r>
      <w:r w:rsidR="007E3A67">
        <w:rPr>
          <w:rFonts w:cs="Arial" w:hint="cs"/>
          <w:rtl/>
        </w:rPr>
        <w:t xml:space="preserve"> </w:t>
      </w:r>
      <w:r w:rsidR="007E3A67" w:rsidRPr="004644A5">
        <w:rPr>
          <w:rFonts w:cs="Arial" w:hint="cs"/>
          <w:color w:val="00B0F0"/>
          <w:rtl/>
        </w:rPr>
        <w:t>(וכ"פ הרמ"א)</w:t>
      </w:r>
      <w:r>
        <w:rPr>
          <w:rFonts w:cs="Arial" w:hint="cs"/>
          <w:rtl/>
        </w:rPr>
        <w:t xml:space="preserve">. אבל לא הזכיר </w:t>
      </w:r>
      <w:r w:rsidR="007E3A67">
        <w:rPr>
          <w:rFonts w:cs="Arial" w:hint="cs"/>
          <w:rtl/>
        </w:rPr>
        <w:t xml:space="preserve">תרוה"ד </w:t>
      </w:r>
      <w:r>
        <w:rPr>
          <w:rFonts w:cs="Arial" w:hint="cs"/>
          <w:rtl/>
        </w:rPr>
        <w:t xml:space="preserve">את תחילת דבריו דמותר גם בחבית שלימה </w:t>
      </w:r>
      <w:r w:rsidR="00981DA0">
        <w:rPr>
          <w:rFonts w:cs="Arial" w:hint="cs"/>
          <w:rtl/>
        </w:rPr>
        <w:t>טובה</w:t>
      </w:r>
      <w:r>
        <w:rPr>
          <w:rFonts w:cs="Arial" w:hint="cs"/>
          <w:rtl/>
        </w:rPr>
        <w:t>.</w:t>
      </w:r>
      <w:r w:rsidR="00981DA0">
        <w:rPr>
          <w:rFonts w:hint="cs"/>
          <w:rtl/>
        </w:rPr>
        <w:t xml:space="preserve"> והב"י גם לא הביא את תחילת דברי האו"ז אלא רק את דברי תרוה"ד שציטט חלק מדבריו.</w:t>
      </w:r>
    </w:p>
  </w:footnote>
  <w:footnote w:id="2157">
    <w:p w14:paraId="41474492" w14:textId="76F6EED0" w:rsidR="004C7C95" w:rsidRPr="00CD68E3" w:rsidRDefault="004C7C95" w:rsidP="00285819">
      <w:pPr>
        <w:pStyle w:val="a7"/>
        <w:rPr>
          <w:rFonts w:cs="Arial"/>
          <w:rtl/>
        </w:rPr>
      </w:pPr>
      <w:r>
        <w:rPr>
          <w:rStyle w:val="a9"/>
        </w:rPr>
        <w:footnoteRef/>
      </w:r>
      <w:r>
        <w:rPr>
          <w:rtl/>
        </w:rPr>
        <w:t xml:space="preserve"> </w:t>
      </w:r>
      <w:r w:rsidR="001454BA">
        <w:rPr>
          <w:rFonts w:cs="Arial"/>
          <w:rtl/>
        </w:rPr>
        <w:t>ואפשר דלהר"ן נמי לא מיקרי כלי גדול אלא אם כן הוא מחזיק ארבעים סאה</w:t>
      </w:r>
      <w:r w:rsidR="001454BA">
        <w:rPr>
          <w:rFonts w:cs="Arial" w:hint="cs"/>
          <w:rtl/>
        </w:rPr>
        <w:t>, ב"י.</w:t>
      </w:r>
    </w:p>
  </w:footnote>
  <w:footnote w:id="2158">
    <w:p w14:paraId="43A81F7D" w14:textId="2DE957DC" w:rsidR="00911D19" w:rsidRDefault="00911D19" w:rsidP="00285819">
      <w:pPr>
        <w:pStyle w:val="a7"/>
      </w:pPr>
      <w:r>
        <w:rPr>
          <w:rStyle w:val="a9"/>
        </w:rPr>
        <w:footnoteRef/>
      </w:r>
      <w:r>
        <w:rPr>
          <w:rtl/>
        </w:rPr>
        <w:t xml:space="preserve"> </w:t>
      </w:r>
      <w:r>
        <w:rPr>
          <w:rFonts w:hint="cs"/>
          <w:rtl/>
        </w:rPr>
        <w:t>וכתב הראשון לציון (ביצה לג: סד"ה שם גמרא) דהרמב"ם והרי"ף שסתמו וכתבו את לשון המשנה כוונתם ככונת המשנה דמותר לשבור גם חבית שלמה וטובה. וכתב בערך השלחן (סי' שיד אות א) דכן דעת הרשב"ץ (ר"ה לב:).</w:t>
      </w:r>
    </w:p>
  </w:footnote>
  <w:footnote w:id="2159">
    <w:p w14:paraId="4A721F7D" w14:textId="5B4317CD" w:rsidR="00922D03" w:rsidRDefault="00922D03" w:rsidP="00285819">
      <w:pPr>
        <w:pStyle w:val="a7"/>
      </w:pPr>
      <w:r>
        <w:rPr>
          <w:rStyle w:val="a9"/>
        </w:rPr>
        <w:footnoteRef/>
      </w:r>
      <w:r>
        <w:rPr>
          <w:rtl/>
        </w:rPr>
        <w:t xml:space="preserve"> </w:t>
      </w:r>
      <w:r>
        <w:rPr>
          <w:rFonts w:hint="cs"/>
          <w:rtl/>
        </w:rPr>
        <w:t>בכלי, רש"י.</w:t>
      </w:r>
    </w:p>
  </w:footnote>
  <w:footnote w:id="2160">
    <w:p w14:paraId="4EE3C60F" w14:textId="4A31961E" w:rsidR="00922D03" w:rsidRDefault="00922D03" w:rsidP="00285819">
      <w:pPr>
        <w:pStyle w:val="a7"/>
      </w:pPr>
      <w:r>
        <w:rPr>
          <w:rStyle w:val="a9"/>
        </w:rPr>
        <w:footnoteRef/>
      </w:r>
      <w:r>
        <w:rPr>
          <w:rtl/>
        </w:rPr>
        <w:t xml:space="preserve"> </w:t>
      </w:r>
      <w:r w:rsidRPr="00922D03">
        <w:rPr>
          <w:rFonts w:cs="Arial"/>
          <w:rtl/>
        </w:rPr>
        <w:t>שנסתם, דכי חוזר ופותח - לאו כעושה פתח הוא, שהרי עשוי ועומד, וסתימתו לאו כלום</w:t>
      </w:r>
      <w:r>
        <w:rPr>
          <w:rFonts w:cs="Arial" w:hint="cs"/>
          <w:rtl/>
        </w:rPr>
        <w:t>, רש"י.</w:t>
      </w:r>
    </w:p>
  </w:footnote>
  <w:footnote w:id="2161">
    <w:p w14:paraId="0E8B2604" w14:textId="77777777" w:rsidR="00F11E35" w:rsidRDefault="00F11E35" w:rsidP="00285819">
      <w:pPr>
        <w:pStyle w:val="a7"/>
      </w:pPr>
      <w:r>
        <w:rPr>
          <w:rStyle w:val="a9"/>
        </w:rPr>
        <w:footnoteRef/>
      </w:r>
      <w:r>
        <w:rPr>
          <w:rtl/>
        </w:rPr>
        <w:t xml:space="preserve"> </w:t>
      </w:r>
      <w:r w:rsidRPr="00901BB1">
        <w:rPr>
          <w:rFonts w:cs="Arial"/>
          <w:rtl/>
        </w:rPr>
        <w:t>עשב שהוא נאה למראה ולהריח, וממלאין כד עפר לח ותוחבין אותו לתוכו, ונותנו לפני שרים, וכשהוא רוצה נוטלו ומריח בו ומחזירו למקומו, ואי מבעוד יום דצה לתוך העפר ושלפה והדר דצה - שפיר דמי ליטלה למחר ולהחזירה, שהרי הורחב מקום מושבה והוחלק מבעוד יום, ואינו מזיז עפר</w:t>
      </w:r>
      <w:r>
        <w:rPr>
          <w:rFonts w:cs="Arial" w:hint="cs"/>
          <w:rtl/>
        </w:rPr>
        <w:t>, רש"י.</w:t>
      </w:r>
    </w:p>
  </w:footnote>
  <w:footnote w:id="2162">
    <w:p w14:paraId="0B3E2353" w14:textId="77777777" w:rsidR="00F11E35" w:rsidRPr="008C1C8E" w:rsidRDefault="00F11E35"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שנועצין סכין בין שורות הלבנים שבבנין להשתמר, רש"י.</w:t>
      </w:r>
    </w:p>
  </w:footnote>
  <w:footnote w:id="2163">
    <w:p w14:paraId="69DDDFA5" w14:textId="77777777" w:rsidR="00F11E35" w:rsidRPr="008C1C8E" w:rsidRDefault="00F11E35"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קנים הדקלים שיוצאין הרבה בגזע אחד ותכופין זה בזה, שפיר דמי לנעוץ בתוכן סכין לשמרו, ואין חוששין שמא יגרור הקליפה וחייב משום מוחק, רש"י. ולכאורה דבתלושין מיירי אבל התוס' </w:t>
      </w:r>
      <w:r w:rsidRPr="008C1C8E">
        <w:rPr>
          <w:rFonts w:asciiTheme="minorBidi" w:hAnsiTheme="minorBidi"/>
          <w:sz w:val="16"/>
          <w:szCs w:val="16"/>
          <w:rtl/>
        </w:rPr>
        <w:t>(שם ד"ה גורדיתא)</w:t>
      </w:r>
      <w:r w:rsidRPr="008C1C8E">
        <w:rPr>
          <w:rFonts w:asciiTheme="minorBidi" w:hAnsiTheme="minorBidi"/>
          <w:rtl/>
        </w:rPr>
        <w:t xml:space="preserve"> כ' דבמחוברין נמי שרי והוא שהם למטה משלשה דליכא איסור משתמש במחובר למטה משלשה (שבת קכה:), ב"י.</w:t>
      </w:r>
    </w:p>
  </w:footnote>
  <w:footnote w:id="2164">
    <w:p w14:paraId="7FD9BB7E" w14:textId="77777777" w:rsidR="00F11E35" w:rsidRDefault="00F11E35" w:rsidP="00285819">
      <w:pPr>
        <w:pStyle w:val="a7"/>
      </w:pPr>
      <w:r>
        <w:rPr>
          <w:rStyle w:val="a9"/>
        </w:rPr>
        <w:footnoteRef/>
      </w:r>
      <w:r>
        <w:rPr>
          <w:rtl/>
        </w:rPr>
        <w:t xml:space="preserve"> </w:t>
      </w:r>
      <w:r w:rsidRPr="00901BB1">
        <w:rPr>
          <w:rFonts w:cs="Arial"/>
          <w:rtl/>
        </w:rPr>
        <w:t>להנך רבנן דאמרי דאי לא דצה ושלפה אסור</w:t>
      </w:r>
      <w:r>
        <w:rPr>
          <w:rFonts w:cs="Arial" w:hint="cs"/>
          <w:rtl/>
        </w:rPr>
        <w:t>, רש"י.</w:t>
      </w:r>
    </w:p>
  </w:footnote>
  <w:footnote w:id="2165">
    <w:p w14:paraId="5EFAC8F5" w14:textId="77777777" w:rsidR="00F11E35" w:rsidRDefault="00F11E35" w:rsidP="00285819">
      <w:pPr>
        <w:pStyle w:val="a7"/>
      </w:pPr>
      <w:r>
        <w:rPr>
          <w:rStyle w:val="a9"/>
        </w:rPr>
        <w:footnoteRef/>
      </w:r>
      <w:r>
        <w:rPr>
          <w:rtl/>
        </w:rPr>
        <w:t xml:space="preserve"> </w:t>
      </w:r>
      <w:r w:rsidRPr="002A2D50">
        <w:rPr>
          <w:rFonts w:cs="Arial"/>
          <w:rtl/>
        </w:rPr>
        <w:t>וכן כתב מהר"י ווייל בתשובותיו סימן ק"ל דבכותל אסור</w:t>
      </w:r>
      <w:r>
        <w:rPr>
          <w:rFonts w:cs="Arial" w:hint="cs"/>
          <w:rtl/>
        </w:rPr>
        <w:t>, דרכ"מ (אות ח).</w:t>
      </w:r>
    </w:p>
  </w:footnote>
  <w:footnote w:id="2166">
    <w:p w14:paraId="55FC4654" w14:textId="71EAA116" w:rsidR="00F11E35" w:rsidRDefault="00F11E35" w:rsidP="00285819">
      <w:pPr>
        <w:pStyle w:val="a7"/>
      </w:pPr>
      <w:r>
        <w:rPr>
          <w:rStyle w:val="a9"/>
        </w:rPr>
        <w:footnoteRef/>
      </w:r>
      <w:r>
        <w:rPr>
          <w:rtl/>
        </w:rPr>
        <w:t xml:space="preserve"> </w:t>
      </w:r>
      <w:r w:rsidRPr="004C7C95">
        <w:rPr>
          <w:rFonts w:asciiTheme="minorBidi" w:hAnsiTheme="minorBidi" w:cs="Arial"/>
          <w:rtl/>
        </w:rPr>
        <w:t>איני יורד לסוף דעת בעל תר</w:t>
      </w:r>
      <w:r w:rsidR="00D94365">
        <w:rPr>
          <w:rFonts w:asciiTheme="minorBidi" w:hAnsiTheme="minorBidi" w:cs="Arial" w:hint="cs"/>
          <w:rtl/>
        </w:rPr>
        <w:t>ו</w:t>
      </w:r>
      <w:r w:rsidRPr="004C7C95">
        <w:rPr>
          <w:rFonts w:asciiTheme="minorBidi" w:hAnsiTheme="minorBidi" w:cs="Arial"/>
          <w:rtl/>
        </w:rPr>
        <w:t>ה</w:t>
      </w:r>
      <w:r w:rsidR="00D94365">
        <w:rPr>
          <w:rFonts w:asciiTheme="minorBidi" w:hAnsiTheme="minorBidi" w:cs="Arial" w:hint="cs"/>
          <w:rtl/>
        </w:rPr>
        <w:t>"</w:t>
      </w:r>
      <w:r w:rsidRPr="004C7C95">
        <w:rPr>
          <w:rFonts w:asciiTheme="minorBidi" w:hAnsiTheme="minorBidi" w:cs="Arial"/>
          <w:rtl/>
        </w:rPr>
        <w:t>ד</w:t>
      </w:r>
      <w:r w:rsidR="00D94365">
        <w:rPr>
          <w:rFonts w:asciiTheme="minorBidi" w:hAnsiTheme="minorBidi" w:cs="Arial" w:hint="cs"/>
          <w:rtl/>
        </w:rPr>
        <w:t>,</w:t>
      </w:r>
      <w:r w:rsidRPr="004C7C95">
        <w:rPr>
          <w:rFonts w:asciiTheme="minorBidi" w:hAnsiTheme="minorBidi" w:cs="Arial"/>
          <w:rtl/>
        </w:rPr>
        <w:t xml:space="preserve"> שבתחלה כתב דנראה דלא שרי סכין התקוע בחבית אלא בשתקעוהו והוציאוהו כבר בחול הא לאו הכי לא</w:t>
      </w:r>
      <w:r>
        <w:rPr>
          <w:rFonts w:asciiTheme="minorBidi" w:hAnsiTheme="minorBidi" w:cs="Arial" w:hint="cs"/>
          <w:rtl/>
        </w:rPr>
        <w:t>.</w:t>
      </w:r>
      <w:r w:rsidRPr="004C7C95">
        <w:rPr>
          <w:rFonts w:asciiTheme="minorBidi" w:hAnsiTheme="minorBidi" w:cs="Arial"/>
          <w:rtl/>
        </w:rPr>
        <w:t xml:space="preserve"> ובסוף התשובה כתב שאם תקוע הסכין בדבר תלוש אין טעם לאסור ומשמע דאפילו לא דצה ושלפה שרי</w:t>
      </w:r>
      <w:r>
        <w:rPr>
          <w:rFonts w:asciiTheme="minorBidi" w:hAnsiTheme="minorBidi" w:cs="Arial" w:hint="cs"/>
          <w:rtl/>
        </w:rPr>
        <w:t>,</w:t>
      </w:r>
      <w:r w:rsidRPr="004C7C95">
        <w:rPr>
          <w:rFonts w:asciiTheme="minorBidi" w:hAnsiTheme="minorBidi" w:cs="Arial"/>
          <w:rtl/>
        </w:rPr>
        <w:t xml:space="preserve"> דאי בדצה ושלפה אפילו במידי דמחובר נמי שרי</w:t>
      </w:r>
      <w:r>
        <w:rPr>
          <w:rFonts w:asciiTheme="minorBidi" w:hAnsiTheme="minorBidi" w:cs="Arial" w:hint="cs"/>
          <w:rtl/>
        </w:rPr>
        <w:t>,</w:t>
      </w:r>
      <w:r w:rsidRPr="004C7C95">
        <w:rPr>
          <w:rFonts w:asciiTheme="minorBidi" w:hAnsiTheme="minorBidi" w:cs="Arial"/>
          <w:rtl/>
        </w:rPr>
        <w:t xml:space="preserve"> ואם כן חבית דתלוש היא אמאי לא אא</w:t>
      </w:r>
      <w:r>
        <w:rPr>
          <w:rFonts w:asciiTheme="minorBidi" w:hAnsiTheme="minorBidi" w:cs="Arial" w:hint="cs"/>
          <w:rtl/>
        </w:rPr>
        <w:t>"</w:t>
      </w:r>
      <w:r w:rsidRPr="004C7C95">
        <w:rPr>
          <w:rFonts w:asciiTheme="minorBidi" w:hAnsiTheme="minorBidi" w:cs="Arial"/>
          <w:rtl/>
        </w:rPr>
        <w:t>כ דצה ושלפה</w:t>
      </w:r>
      <w:r>
        <w:rPr>
          <w:rFonts w:asciiTheme="minorBidi" w:hAnsiTheme="minorBidi" w:cs="Arial" w:hint="cs"/>
          <w:rtl/>
        </w:rPr>
        <w:t>.</w:t>
      </w:r>
      <w:r w:rsidRPr="004C7C95">
        <w:rPr>
          <w:rFonts w:asciiTheme="minorBidi" w:hAnsiTheme="minorBidi" w:cs="Arial"/>
          <w:rtl/>
        </w:rPr>
        <w:t xml:space="preserve"> ושמא דוקא בחבית המחזקת ארבעים סאה קאמר שדינה כקרקע</w:t>
      </w:r>
      <w:r>
        <w:rPr>
          <w:rFonts w:asciiTheme="minorBidi" w:hAnsiTheme="minorBidi" w:cs="Arial" w:hint="cs"/>
          <w:rtl/>
        </w:rPr>
        <w:t>,</w:t>
      </w:r>
      <w:r w:rsidRPr="004C7C95">
        <w:rPr>
          <w:rFonts w:asciiTheme="minorBidi" w:hAnsiTheme="minorBidi" w:cs="Arial"/>
          <w:rtl/>
        </w:rPr>
        <w:t xml:space="preserve"> אבל אין זה במשמעות לשונו שכתב אפילו בחבית גדולה שמחזקת יותר מארבעים סאה</w:t>
      </w:r>
      <w:r>
        <w:rPr>
          <w:rFonts w:asciiTheme="minorBidi" w:hAnsiTheme="minorBidi" w:cs="Arial" w:hint="cs"/>
          <w:rtl/>
        </w:rPr>
        <w:t>,</w:t>
      </w:r>
      <w:r w:rsidRPr="004C7C95">
        <w:rPr>
          <w:rFonts w:asciiTheme="minorBidi" w:hAnsiTheme="minorBidi" w:cs="Arial"/>
          <w:rtl/>
        </w:rPr>
        <w:t xml:space="preserve"> משמע דבכל חבית מיירי</w:t>
      </w:r>
      <w:r>
        <w:rPr>
          <w:rFonts w:cs="Arial" w:hint="cs"/>
          <w:rtl/>
        </w:rPr>
        <w:t xml:space="preserve">, </w:t>
      </w:r>
      <w:r w:rsidRPr="00657B89">
        <w:rPr>
          <w:rFonts w:cs="Arial" w:hint="cs"/>
          <w:b/>
          <w:bCs/>
          <w:rtl/>
        </w:rPr>
        <w:t>ב"י</w:t>
      </w:r>
      <w:r>
        <w:rPr>
          <w:rFonts w:cs="Arial" w:hint="cs"/>
          <w:rtl/>
        </w:rPr>
        <w:t xml:space="preserve">.    </w:t>
      </w:r>
      <w:r w:rsidRPr="00094251">
        <w:rPr>
          <w:rFonts w:cs="Arial"/>
          <w:rtl/>
        </w:rPr>
        <w:t>ובאמת שיותר יש לתמוה על ב</w:t>
      </w:r>
      <w:r w:rsidR="00D94365">
        <w:rPr>
          <w:rFonts w:cs="Arial" w:hint="cs"/>
          <w:rtl/>
        </w:rPr>
        <w:t>"י</w:t>
      </w:r>
      <w:r w:rsidRPr="00094251">
        <w:rPr>
          <w:rFonts w:cs="Arial"/>
          <w:rtl/>
        </w:rPr>
        <w:t xml:space="preserve"> שכתב דברים אלו שהרי בתר</w:t>
      </w:r>
      <w:r w:rsidR="00BF2D3D">
        <w:rPr>
          <w:rFonts w:cs="Arial" w:hint="cs"/>
          <w:rtl/>
        </w:rPr>
        <w:t>ה"ד</w:t>
      </w:r>
      <w:r w:rsidRPr="00094251">
        <w:rPr>
          <w:rFonts w:cs="Arial"/>
          <w:rtl/>
        </w:rPr>
        <w:t xml:space="preserve"> מוכח בהדיא דטעם דבחבית אסור משום דאיכא למיחש שמתקן פתחא מה שאין כן בשאר דברים תלושים. ולכן דברי תרו</w:t>
      </w:r>
      <w:r w:rsidR="00D94365">
        <w:rPr>
          <w:rFonts w:cs="Arial" w:hint="cs"/>
          <w:rtl/>
        </w:rPr>
        <w:t>ה"ד</w:t>
      </w:r>
      <w:r w:rsidRPr="00094251">
        <w:rPr>
          <w:rFonts w:cs="Arial"/>
          <w:rtl/>
        </w:rPr>
        <w:t xml:space="preserve"> נכונים בטעמן ואין לפקפק עליהן</w:t>
      </w:r>
      <w:r>
        <w:rPr>
          <w:rFonts w:cs="Arial" w:hint="cs"/>
          <w:rtl/>
        </w:rPr>
        <w:t xml:space="preserve">, </w:t>
      </w:r>
      <w:r w:rsidRPr="00657B89">
        <w:rPr>
          <w:rFonts w:cs="Arial" w:hint="cs"/>
          <w:b/>
          <w:bCs/>
          <w:rtl/>
        </w:rPr>
        <w:t>דרכ"מ</w:t>
      </w:r>
      <w:r>
        <w:rPr>
          <w:rFonts w:cs="Arial" w:hint="cs"/>
          <w:rtl/>
        </w:rPr>
        <w:t xml:space="preserve"> (אות ט).</w:t>
      </w:r>
    </w:p>
  </w:footnote>
  <w:footnote w:id="2167">
    <w:p w14:paraId="1F1A2FCC" w14:textId="13330888" w:rsidR="000416E8" w:rsidRDefault="000416E8" w:rsidP="00285819">
      <w:pPr>
        <w:pStyle w:val="a7"/>
      </w:pPr>
      <w:r>
        <w:rPr>
          <w:rStyle w:val="a9"/>
        </w:rPr>
        <w:footnoteRef/>
      </w:r>
      <w:r>
        <w:rPr>
          <w:rtl/>
        </w:rPr>
        <w:t xml:space="preserve"> </w:t>
      </w:r>
      <w:r>
        <w:rPr>
          <w:rFonts w:hint="cs"/>
          <w:rtl/>
        </w:rPr>
        <w:t xml:space="preserve">צל"ע מדוע הרמ"א העתיק כאן את דברי תרוה"ד, והרי השו"ע מדבר במוסטקי, ותרוה"ד דיבר בחבית שלמה. ומכל מקום, בדיון האם השו"ע ס"ל לחלק בין כלי שלא מחזיק מ' סאה, לבין כלי שכן מחזיק נחלקו </w:t>
      </w:r>
      <w:r w:rsidRPr="000416E8">
        <w:rPr>
          <w:rFonts w:cs="Arial"/>
          <w:rtl/>
        </w:rPr>
        <w:t>גדולי האחרונים אי חיישי לחומרא זו, בפר"ח ובעולת שבת (סי' שי"ד סק"ד) ס"ל שאין חילוק בין גדולה לקטנה, ולדברי המאמ"ר (סק"ג) גם למחבר יש להחמיר במחזיק מ' סאה, ובכה"ח (סי' שי"ד סק"ב בשם עו"ש הנ"ל) כיון שהיא מילתא דרבנן ודאי אין להחמיר בו כל כך, וע' שו"ת אור לציון ח"ב פכ"ז אות ד' שיש לצדד להחמיר בזה גם לספרדים.</w:t>
      </w:r>
    </w:p>
  </w:footnote>
  <w:footnote w:id="2168">
    <w:p w14:paraId="20ECD336" w14:textId="0F81669D" w:rsidR="00F72EBC" w:rsidRDefault="00F72EBC" w:rsidP="00285819">
      <w:pPr>
        <w:pStyle w:val="a7"/>
      </w:pPr>
      <w:r>
        <w:rPr>
          <w:rStyle w:val="a9"/>
        </w:rPr>
        <w:footnoteRef/>
      </w:r>
      <w:r>
        <w:rPr>
          <w:rtl/>
        </w:rPr>
        <w:t xml:space="preserve"> </w:t>
      </w:r>
      <w:r w:rsidRPr="00E951F0">
        <w:rPr>
          <w:rFonts w:asciiTheme="minorBidi" w:hAnsiTheme="minorBidi" w:cs="Arial"/>
          <w:rtl/>
        </w:rPr>
        <w:t>והרשב"א והר"ן חולקים על זה וכתבו דדוקא לר"א מוקמינן הכי דלחכמים כיון דפטור אבל אסור במקלקל מותר לכתחלה</w:t>
      </w:r>
      <w:r>
        <w:rPr>
          <w:rFonts w:asciiTheme="minorBidi" w:hAnsiTheme="minorBidi" w:cs="Arial" w:hint="cs"/>
          <w:rtl/>
        </w:rPr>
        <w:t>.</w:t>
      </w:r>
      <w:r w:rsidRPr="00E951F0">
        <w:rPr>
          <w:rFonts w:asciiTheme="minorBidi" w:hAnsiTheme="minorBidi" w:cs="Arial"/>
          <w:rtl/>
        </w:rPr>
        <w:t xml:space="preserve"> וכן מוכח הסוגיא די"ט שם</w:t>
      </w:r>
      <w:r>
        <w:rPr>
          <w:rFonts w:asciiTheme="minorBidi" w:hAnsiTheme="minorBidi" w:cs="Arial" w:hint="cs"/>
          <w:rtl/>
        </w:rPr>
        <w:t>.</w:t>
      </w:r>
      <w:r w:rsidRPr="00E951F0">
        <w:rPr>
          <w:rFonts w:asciiTheme="minorBidi" w:hAnsiTheme="minorBidi" w:cs="Arial"/>
          <w:rtl/>
        </w:rPr>
        <w:t xml:space="preserve"> וכן הסוגיא דפ"ג דערובין לפי הס"ד ה"א במגדל של עץ דאהל הוא</w:t>
      </w:r>
      <w:r>
        <w:rPr>
          <w:rFonts w:asciiTheme="minorBidi" w:hAnsiTheme="minorBidi" w:cs="Arial" w:hint="cs"/>
          <w:rtl/>
        </w:rPr>
        <w:t>.</w:t>
      </w:r>
      <w:r w:rsidRPr="00E951F0">
        <w:rPr>
          <w:rFonts w:asciiTheme="minorBidi" w:hAnsiTheme="minorBidi" w:cs="Arial"/>
          <w:rtl/>
        </w:rPr>
        <w:t xml:space="preserve"> וכ"מ שם דקאמר מ"ס אהל הוא ומ"ס כו'</w:t>
      </w:r>
      <w:r>
        <w:rPr>
          <w:rFonts w:asciiTheme="minorBidi" w:hAnsiTheme="minorBidi" w:cs="Arial" w:hint="cs"/>
          <w:rtl/>
        </w:rPr>
        <w:t>,</w:t>
      </w:r>
      <w:r w:rsidRPr="00E951F0">
        <w:rPr>
          <w:rFonts w:asciiTheme="minorBidi" w:hAnsiTheme="minorBidi" w:cs="Arial"/>
          <w:rtl/>
        </w:rPr>
        <w:t xml:space="preserve"> אלמא דלמ"ד כלי ש"ד</w:t>
      </w:r>
      <w:r>
        <w:rPr>
          <w:rFonts w:asciiTheme="minorBidi" w:hAnsiTheme="minorBidi" w:cs="Arial" w:hint="cs"/>
          <w:rtl/>
        </w:rPr>
        <w:t>.</w:t>
      </w:r>
      <w:r w:rsidRPr="00E951F0">
        <w:rPr>
          <w:rFonts w:asciiTheme="minorBidi" w:hAnsiTheme="minorBidi" w:cs="Arial"/>
          <w:rtl/>
        </w:rPr>
        <w:t xml:space="preserve"> וכ"ד רש"י שם</w:t>
      </w:r>
      <w:r>
        <w:rPr>
          <w:rFonts w:asciiTheme="minorBidi" w:hAnsiTheme="minorBidi" w:cs="Arial" w:hint="cs"/>
          <w:rtl/>
        </w:rPr>
        <w:t>.</w:t>
      </w:r>
      <w:r w:rsidRPr="00E951F0">
        <w:rPr>
          <w:rFonts w:asciiTheme="minorBidi" w:hAnsiTheme="minorBidi" w:cs="Arial"/>
          <w:rtl/>
        </w:rPr>
        <w:t xml:space="preserve"> או הס"ד במגדל של אבן כמ"ש בירושלמי שם והביאו תוס' שם ושם</w:t>
      </w:r>
      <w:r>
        <w:rPr>
          <w:rFonts w:asciiTheme="minorBidi" w:hAnsiTheme="minorBidi" w:cs="Arial" w:hint="cs"/>
          <w:rtl/>
        </w:rPr>
        <w:t>.</w:t>
      </w:r>
      <w:r w:rsidRPr="00E951F0">
        <w:rPr>
          <w:rFonts w:asciiTheme="minorBidi" w:hAnsiTheme="minorBidi" w:cs="Arial"/>
          <w:rtl/>
        </w:rPr>
        <w:t xml:space="preserve"> וכן מש"ש הכא במנעול קטיר במיתנא נמי כה"ג דאהל הוא</w:t>
      </w:r>
      <w:r>
        <w:rPr>
          <w:rFonts w:asciiTheme="minorBidi" w:hAnsiTheme="minorBidi" w:cs="Arial" w:hint="cs"/>
          <w:rtl/>
        </w:rPr>
        <w:t>.</w:t>
      </w:r>
      <w:r w:rsidRPr="00E951F0">
        <w:rPr>
          <w:rFonts w:asciiTheme="minorBidi" w:hAnsiTheme="minorBidi" w:cs="Arial"/>
          <w:rtl/>
        </w:rPr>
        <w:t xml:space="preserve"> וע' בהג"ה שאינה כו' וע' מש"ל</w:t>
      </w:r>
      <w:r>
        <w:rPr>
          <w:rFonts w:asciiTheme="minorBidi" w:hAnsiTheme="minorBidi" w:cs="Arial" w:hint="cs"/>
          <w:rtl/>
        </w:rPr>
        <w:t>.</w:t>
      </w:r>
      <w:r w:rsidRPr="00E951F0">
        <w:rPr>
          <w:rFonts w:asciiTheme="minorBidi" w:hAnsiTheme="minorBidi" w:cs="Arial"/>
          <w:rtl/>
        </w:rPr>
        <w:t xml:space="preserve"> וכן עיקר</w:t>
      </w:r>
      <w:r>
        <w:rPr>
          <w:rFonts w:asciiTheme="minorBidi" w:hAnsiTheme="minorBidi" w:cs="Arial" w:hint="cs"/>
          <w:rtl/>
        </w:rPr>
        <w:t>, גר"א (ד"ה כגון).</w:t>
      </w:r>
    </w:p>
  </w:footnote>
  <w:footnote w:id="2169">
    <w:p w14:paraId="3A673F0C" w14:textId="1D8A2DFF"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w:t>
      </w:r>
      <w:r w:rsidR="00F72EBC" w:rsidRPr="00F72EBC">
        <w:rPr>
          <w:rFonts w:asciiTheme="minorBidi" w:hAnsiTheme="minorBidi" w:cs="Arial"/>
          <w:rtl/>
        </w:rPr>
        <w:t>דמחמת גריעות' לא חייס עליה וליכא למיחש שמא יתכוין לעשות כלי (תוס' ורא"ש)</w:t>
      </w:r>
      <w:r w:rsidRPr="008C1C8E">
        <w:rPr>
          <w:rFonts w:asciiTheme="minorBidi" w:hAnsiTheme="minorBidi"/>
          <w:rtl/>
        </w:rPr>
        <w:t>, מג"א (סק"ג).</w:t>
      </w:r>
    </w:p>
  </w:footnote>
  <w:footnote w:id="2170">
    <w:p w14:paraId="25EA87A0" w14:textId="59135F0F"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w:t>
      </w:r>
      <w:r w:rsidR="00F72EBC" w:rsidRPr="00F72EBC">
        <w:rPr>
          <w:rFonts w:asciiTheme="minorBidi" w:hAnsiTheme="minorBidi" w:cs="Arial"/>
          <w:rtl/>
        </w:rPr>
        <w:t>עיין בט"ז דמשמע דאפילו אם הנקב הוא נקב קטן שאינו עשוי להכניס ולהוציא ג"כ אסור עכ"פ מדרבנן אפילו בחבית כזו שהיא רעועה ואם הוא נקב גדול שעשוי להכניס ולהוציא יש בו איסור תורה וכן משמע בביאור הגר"א</w:t>
      </w:r>
      <w:r w:rsidR="00F72EBC">
        <w:rPr>
          <w:rFonts w:asciiTheme="minorBidi" w:hAnsiTheme="minorBidi" w:cs="Arial" w:hint="cs"/>
          <w:rtl/>
        </w:rPr>
        <w:t>, משנ"ב (סק"ו).</w:t>
      </w:r>
      <w:r w:rsidRPr="008C1C8E">
        <w:rPr>
          <w:rFonts w:asciiTheme="minorBidi" w:hAnsiTheme="minorBidi"/>
          <w:rtl/>
        </w:rPr>
        <w:t xml:space="preserve"> </w:t>
      </w:r>
    </w:p>
  </w:footnote>
  <w:footnote w:id="2171">
    <w:p w14:paraId="04849815" w14:textId="6BF215D7" w:rsidR="00F72EBC" w:rsidRDefault="00F72EBC" w:rsidP="00285819">
      <w:pPr>
        <w:pStyle w:val="a7"/>
      </w:pPr>
      <w:r>
        <w:rPr>
          <w:rStyle w:val="a9"/>
        </w:rPr>
        <w:footnoteRef/>
      </w:r>
      <w:r>
        <w:rPr>
          <w:rtl/>
        </w:rPr>
        <w:t xml:space="preserve"> </w:t>
      </w:r>
      <w:r w:rsidRPr="00F72EBC">
        <w:rPr>
          <w:rFonts w:cs="Arial"/>
          <w:rtl/>
        </w:rPr>
        <w:t>לא ידענ' מה חידש רמ"א</w:t>
      </w:r>
      <w:r>
        <w:rPr>
          <w:rFonts w:cs="Arial" w:hint="cs"/>
          <w:rtl/>
        </w:rPr>
        <w:t>, מג"א (סק"ד).</w:t>
      </w:r>
    </w:p>
  </w:footnote>
  <w:footnote w:id="2172">
    <w:p w14:paraId="3161DDEB"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ונ"ל דמדינא אין כאן איסור אפי' בכותל ובחבית גדולה כיון דדבר שאין מתכוין ומקלקל הוא, מג"א (סק"ד).</w:t>
      </w:r>
    </w:p>
  </w:footnote>
  <w:footnote w:id="2173">
    <w:p w14:paraId="307E7587" w14:textId="484A0522" w:rsidR="00F728B1" w:rsidRPr="008C1C8E" w:rsidRDefault="00F728B1"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דנוקבין</w:t>
      </w:r>
      <w:r>
        <w:rPr>
          <w:rFonts w:asciiTheme="minorBidi" w:hAnsiTheme="minorBidi" w:hint="cs"/>
          <w:rtl/>
        </w:rPr>
        <w:t>, רש"י</w:t>
      </w:r>
      <w:r w:rsidRPr="008C1C8E">
        <w:rPr>
          <w:rFonts w:asciiTheme="minorBidi" w:hAnsiTheme="minorBidi"/>
          <w:rtl/>
        </w:rPr>
        <w:t>.</w:t>
      </w:r>
    </w:p>
  </w:footnote>
  <w:footnote w:id="2174">
    <w:p w14:paraId="7E6F7D01" w14:textId="147A4D5D" w:rsidR="00F728B1" w:rsidRPr="008C1C8E" w:rsidRDefault="00F728B1"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דסתימה זו לא נעשית אלא לשמור ריח היין שלא יצא ויתקלקל, וכיון דלאו סתימה מעליותא עבדי לה - לאו כלום הוא</w:t>
      </w:r>
      <w:r>
        <w:rPr>
          <w:rFonts w:asciiTheme="minorBidi" w:hAnsiTheme="minorBidi" w:hint="cs"/>
          <w:rtl/>
        </w:rPr>
        <w:t>, רש"י</w:t>
      </w:r>
      <w:r w:rsidRPr="008C1C8E">
        <w:rPr>
          <w:rFonts w:asciiTheme="minorBidi" w:hAnsiTheme="minorBidi"/>
          <w:rtl/>
        </w:rPr>
        <w:t>.</w:t>
      </w:r>
    </w:p>
  </w:footnote>
  <w:footnote w:id="2175">
    <w:p w14:paraId="161B7BB6" w14:textId="4D6D6AA2" w:rsidR="00F728B1" w:rsidRPr="008C1C8E" w:rsidRDefault="00F728B1"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שיחזק הכלי שלא יצא יינו, הואיל וסתימה מעלייתא היא כי הדר נקיב לה הוי כפותח לכתחלה</w:t>
      </w:r>
      <w:r>
        <w:rPr>
          <w:rFonts w:asciiTheme="minorBidi" w:hAnsiTheme="minorBidi" w:hint="cs"/>
          <w:rtl/>
        </w:rPr>
        <w:t>, רש"י</w:t>
      </w:r>
      <w:r w:rsidRPr="008C1C8E">
        <w:rPr>
          <w:rFonts w:asciiTheme="minorBidi" w:hAnsiTheme="minorBidi"/>
          <w:rtl/>
        </w:rPr>
        <w:t>.</w:t>
      </w:r>
    </w:p>
  </w:footnote>
  <w:footnote w:id="2176">
    <w:p w14:paraId="3765C1C5" w14:textId="1E37CEC5" w:rsidR="00F728B1" w:rsidRPr="008C1C8E" w:rsidRDefault="00F728B1"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כיון דלאו כובד היין נשען עליו, סגי ליה בסתימה כל דהו</w:t>
      </w:r>
      <w:r>
        <w:rPr>
          <w:rFonts w:asciiTheme="minorBidi" w:hAnsiTheme="minorBidi" w:hint="cs"/>
          <w:rtl/>
        </w:rPr>
        <w:t>, רש"י</w:t>
      </w:r>
      <w:r w:rsidRPr="008C1C8E">
        <w:rPr>
          <w:rFonts w:asciiTheme="minorBidi" w:hAnsiTheme="minorBidi"/>
          <w:rtl/>
        </w:rPr>
        <w:t>.</w:t>
      </w:r>
    </w:p>
  </w:footnote>
  <w:footnote w:id="2177">
    <w:p w14:paraId="55C77570" w14:textId="06E0A108" w:rsidR="00F728B1" w:rsidRPr="008C1C8E" w:rsidRDefault="00F728B1"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אצל שוליו, שכל כובד היין נשען שם</w:t>
      </w:r>
      <w:r>
        <w:rPr>
          <w:rFonts w:asciiTheme="minorBidi" w:hAnsiTheme="minorBidi" w:hint="cs"/>
          <w:rtl/>
        </w:rPr>
        <w:t>, רש"י</w:t>
      </w:r>
      <w:r w:rsidRPr="008C1C8E">
        <w:rPr>
          <w:rFonts w:asciiTheme="minorBidi" w:hAnsiTheme="minorBidi"/>
          <w:rtl/>
        </w:rPr>
        <w:t>.</w:t>
      </w:r>
    </w:p>
  </w:footnote>
  <w:footnote w:id="2178">
    <w:p w14:paraId="5FF11F7B" w14:textId="090CFF87" w:rsidR="00F728B1" w:rsidRPr="008C1C8E" w:rsidRDefault="00F728B1"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דלא פקע שם פתח מיניה אלא בסתימה מעלייתא</w:t>
      </w:r>
      <w:r>
        <w:rPr>
          <w:rFonts w:asciiTheme="minorBidi" w:hAnsiTheme="minorBidi" w:hint="cs"/>
          <w:rtl/>
        </w:rPr>
        <w:t>, רש"י</w:t>
      </w:r>
      <w:r w:rsidRPr="008C1C8E">
        <w:rPr>
          <w:rFonts w:asciiTheme="minorBidi" w:hAnsiTheme="minorBidi"/>
          <w:rtl/>
        </w:rPr>
        <w:t>.</w:t>
      </w:r>
    </w:p>
  </w:footnote>
  <w:footnote w:id="2179">
    <w:p w14:paraId="3398029D" w14:textId="5880738D" w:rsidR="002B24BB" w:rsidRDefault="002B24BB" w:rsidP="00285819">
      <w:pPr>
        <w:pStyle w:val="a7"/>
      </w:pPr>
      <w:r>
        <w:rPr>
          <w:rStyle w:val="a9"/>
        </w:rPr>
        <w:footnoteRef/>
      </w:r>
      <w:r>
        <w:rPr>
          <w:rtl/>
        </w:rPr>
        <w:t xml:space="preserve"> </w:t>
      </w:r>
      <w:r w:rsidRPr="002B24BB">
        <w:rPr>
          <w:rFonts w:cs="Arial"/>
          <w:rtl/>
        </w:rPr>
        <w:t>והמת בתוכו, אינו מטמא סביביו</w:t>
      </w:r>
      <w:r>
        <w:rPr>
          <w:rFonts w:cs="Arial" w:hint="cs"/>
          <w:rtl/>
        </w:rPr>
        <w:t>, רש"י.</w:t>
      </w:r>
      <w:r>
        <w:rPr>
          <w:rFonts w:hint="cs"/>
          <w:rtl/>
        </w:rPr>
        <w:t xml:space="preserve"> </w:t>
      </w:r>
    </w:p>
  </w:footnote>
  <w:footnote w:id="2180">
    <w:p w14:paraId="0CFD9CF9" w14:textId="5A924458" w:rsidR="002B24BB" w:rsidRDefault="002B24BB" w:rsidP="00285819">
      <w:pPr>
        <w:pStyle w:val="a7"/>
      </w:pPr>
      <w:r>
        <w:rPr>
          <w:rStyle w:val="a9"/>
        </w:rPr>
        <w:footnoteRef/>
      </w:r>
      <w:r>
        <w:rPr>
          <w:rtl/>
        </w:rPr>
        <w:t xml:space="preserve"> </w:t>
      </w:r>
      <w:r w:rsidRPr="002B24BB">
        <w:rPr>
          <w:rFonts w:cs="Arial"/>
          <w:rtl/>
        </w:rPr>
        <w:t>וסתמו - נעשה קבר, ומטמא סביביו ארבע אמות, כדאמר בסוטה (מד</w:t>
      </w:r>
      <w:r>
        <w:rPr>
          <w:rFonts w:cs="Arial" w:hint="cs"/>
          <w:rtl/>
        </w:rPr>
        <w:t>.</w:t>
      </w:r>
      <w:r w:rsidRPr="002B24BB">
        <w:rPr>
          <w:rFonts w:cs="Arial"/>
          <w:rtl/>
        </w:rPr>
        <w:t>): מת תופס ארבע אמות לטומאה, וגזרה דרבנן שמא יאהיל ולא יבין</w:t>
      </w:r>
      <w:r>
        <w:rPr>
          <w:rFonts w:cs="Arial" w:hint="cs"/>
          <w:rtl/>
        </w:rPr>
        <w:t>, רש"י.</w:t>
      </w:r>
    </w:p>
  </w:footnote>
  <w:footnote w:id="2181">
    <w:p w14:paraId="777EEC44" w14:textId="77777777" w:rsidR="00850A39" w:rsidRDefault="00850A39" w:rsidP="00285819">
      <w:pPr>
        <w:pStyle w:val="a7"/>
      </w:pPr>
      <w:r>
        <w:rPr>
          <w:rStyle w:val="a9"/>
        </w:rPr>
        <w:footnoteRef/>
      </w:r>
      <w:r>
        <w:rPr>
          <w:rtl/>
        </w:rPr>
        <w:t xml:space="preserve"> </w:t>
      </w:r>
      <w:r w:rsidRPr="004C7C95">
        <w:rPr>
          <w:rFonts w:cs="Arial"/>
          <w:rtl/>
        </w:rPr>
        <w:t>כלומר אפילו אם נקב הישן היה גדול מותר לנקבו ומשמע דאפילו להוסיף על רוחב הנקב שרי והא דתנן (קב:) הקודח כל שהוא חייב היינו בנקב חדש דוקא ואי נמי במחובר לקרקע דוקא אבל לא בכלים וכמו שכתוב בתרומת הדשן סימן ס"ד</w:t>
      </w:r>
      <w:r>
        <w:rPr>
          <w:rFonts w:cs="Arial" w:hint="cs"/>
          <w:rtl/>
        </w:rPr>
        <w:t>, ב"י.</w:t>
      </w:r>
    </w:p>
  </w:footnote>
  <w:footnote w:id="2182">
    <w:p w14:paraId="0848E9D7" w14:textId="3F02862D" w:rsidR="00AD2E9E" w:rsidRDefault="00AD2E9E" w:rsidP="00285819">
      <w:pPr>
        <w:pStyle w:val="a7"/>
      </w:pPr>
      <w:r>
        <w:rPr>
          <w:rStyle w:val="a9"/>
        </w:rPr>
        <w:footnoteRef/>
      </w:r>
      <w:r>
        <w:rPr>
          <w:rtl/>
        </w:rPr>
        <w:t xml:space="preserve"> </w:t>
      </w:r>
      <w:r w:rsidRPr="00AD2E9E">
        <w:rPr>
          <w:rFonts w:cs="Arial"/>
          <w:rtl/>
        </w:rPr>
        <w:t>זו היא דעת הכל בו ועיין בא"ר שכתב דשאר פוסקים פליגי ע"ז ופסק כמותם וכן פסק בנחלת צבי אבל בפמ"ג וח"א משמע דיש לחוש להחמיר כדעת הי"א</w:t>
      </w:r>
      <w:r>
        <w:rPr>
          <w:rFonts w:cs="Arial" w:hint="cs"/>
          <w:rtl/>
        </w:rPr>
        <w:t>, משנ"ב (סקי"ט).</w:t>
      </w:r>
    </w:p>
  </w:footnote>
  <w:footnote w:id="2183">
    <w:p w14:paraId="20D43AA1" w14:textId="2443E980" w:rsidR="00611B8E" w:rsidRDefault="00611B8E" w:rsidP="00285819">
      <w:pPr>
        <w:pStyle w:val="a7"/>
        <w:rPr>
          <w:rtl/>
        </w:rPr>
      </w:pPr>
      <w:r>
        <w:rPr>
          <w:rStyle w:val="a9"/>
        </w:rPr>
        <w:footnoteRef/>
      </w:r>
      <w:r>
        <w:rPr>
          <w:rtl/>
        </w:rPr>
        <w:t xml:space="preserve"> </w:t>
      </w:r>
      <w:r>
        <w:rPr>
          <w:rFonts w:hint="cs"/>
          <w:rtl/>
        </w:rPr>
        <w:t xml:space="preserve">אחר שהביא הב"י את דברי ה"ר אביגדור הנ"ל כתב הב"י- </w:t>
      </w:r>
      <w:r w:rsidRPr="00611B8E">
        <w:rPr>
          <w:rFonts w:cs="Arial"/>
          <w:rtl/>
        </w:rPr>
        <w:t>וכן כתוב בשבלי הלקט (סי' קטז) וזה לשונו</w:t>
      </w:r>
      <w:r>
        <w:rPr>
          <w:rFonts w:cs="Arial" w:hint="cs"/>
          <w:rtl/>
        </w:rPr>
        <w:t>-...</w:t>
      </w:r>
    </w:p>
  </w:footnote>
  <w:footnote w:id="2184">
    <w:p w14:paraId="6150C897" w14:textId="7ABD55D8" w:rsidR="004C7C95" w:rsidRDefault="004C7C95" w:rsidP="00285819">
      <w:pPr>
        <w:pStyle w:val="a7"/>
      </w:pPr>
      <w:r>
        <w:rPr>
          <w:rStyle w:val="a9"/>
        </w:rPr>
        <w:footnoteRef/>
      </w:r>
      <w:r>
        <w:rPr>
          <w:rtl/>
        </w:rPr>
        <w:t xml:space="preserve"> </w:t>
      </w:r>
      <w:r w:rsidR="003A61E3" w:rsidRPr="004C7C95">
        <w:rPr>
          <w:rFonts w:cs="Arial"/>
          <w:rtl/>
        </w:rPr>
        <w:t>ובסמוך (עה. ד"ה אסור) אכתוב דין זה בשם הגמרא ויש לתמוה על מה שהצריך שהכינו לכך מאתמול שאיני רואה בגמרא רמז לזה</w:t>
      </w:r>
      <w:r w:rsidR="003A61E3">
        <w:rPr>
          <w:rFonts w:cs="Arial" w:hint="cs"/>
          <w:rtl/>
        </w:rPr>
        <w:t>, ב"י (בבדה"ב).</w:t>
      </w:r>
    </w:p>
  </w:footnote>
  <w:footnote w:id="2185">
    <w:p w14:paraId="3F8E5426" w14:textId="46D3AE19" w:rsidR="00770191" w:rsidRDefault="00770191" w:rsidP="00285819">
      <w:pPr>
        <w:pStyle w:val="a7"/>
      </w:pPr>
      <w:r>
        <w:rPr>
          <w:rStyle w:val="a9"/>
        </w:rPr>
        <w:footnoteRef/>
      </w:r>
      <w:r>
        <w:rPr>
          <w:rtl/>
        </w:rPr>
        <w:t xml:space="preserve"> </w:t>
      </w:r>
      <w:r w:rsidRPr="00770191">
        <w:rPr>
          <w:rFonts w:cs="Arial"/>
          <w:rtl/>
        </w:rPr>
        <w:t>שהרי עומד ומיוחד לכך ואינו מתקן כלי ומ"מ נראה דאסור לתקוע היטב בחזקה ביתדות דיש בזה משום גמר מלאכה</w:t>
      </w:r>
      <w:r>
        <w:rPr>
          <w:rFonts w:cs="Arial" w:hint="cs"/>
          <w:rtl/>
        </w:rPr>
        <w:t>, משנ"ב (סק"כ).</w:t>
      </w:r>
    </w:p>
  </w:footnote>
  <w:footnote w:id="2186">
    <w:p w14:paraId="345702DA"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לתקוע קנה חלול בנקב החבית, שיצא היין דרך הקנה, רש"י.</w:t>
      </w:r>
    </w:p>
  </w:footnote>
  <w:footnote w:id="2187">
    <w:p w14:paraId="09153C7E" w14:textId="0D50B99A"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רונגיי"ר (לחתוך, ליישר, לגזום) לתקנה למדת הנקב, </w:t>
      </w:r>
      <w:r w:rsidRPr="003E45B6">
        <w:rPr>
          <w:rFonts w:asciiTheme="minorBidi" w:hAnsiTheme="minorBidi"/>
          <w:b/>
          <w:bCs/>
          <w:rtl/>
        </w:rPr>
        <w:t>רש"י</w:t>
      </w:r>
      <w:r w:rsidRPr="008C1C8E">
        <w:rPr>
          <w:rFonts w:asciiTheme="minorBidi" w:hAnsiTheme="minorBidi"/>
          <w:rtl/>
        </w:rPr>
        <w:t>.</w:t>
      </w:r>
      <w:r w:rsidR="003E45B6" w:rsidRPr="003E45B6">
        <w:rPr>
          <w:rFonts w:asciiTheme="minorBidi" w:hAnsiTheme="minorBidi" w:cs="Arial"/>
          <w:rtl/>
        </w:rPr>
        <w:t xml:space="preserve"> </w:t>
      </w:r>
      <w:r w:rsidR="003E45B6">
        <w:rPr>
          <w:rFonts w:asciiTheme="minorBidi" w:hAnsiTheme="minorBidi" w:cs="Arial" w:hint="cs"/>
          <w:rtl/>
        </w:rPr>
        <w:t>ו</w:t>
      </w:r>
      <w:r w:rsidR="003E45B6" w:rsidRPr="004C7C95">
        <w:rPr>
          <w:rFonts w:asciiTheme="minorBidi" w:hAnsiTheme="minorBidi" w:cs="Arial"/>
          <w:rtl/>
        </w:rPr>
        <w:t xml:space="preserve">כתב רבינו ירוחם </w:t>
      </w:r>
      <w:r w:rsidR="003E45B6">
        <w:rPr>
          <w:rFonts w:asciiTheme="minorBidi" w:hAnsiTheme="minorBidi" w:cs="Arial" w:hint="cs"/>
          <w:rtl/>
        </w:rPr>
        <w:t>(</w:t>
      </w:r>
      <w:r w:rsidR="003E45B6" w:rsidRPr="004C7C95">
        <w:rPr>
          <w:rFonts w:asciiTheme="minorBidi" w:hAnsiTheme="minorBidi" w:cs="Arial"/>
          <w:rtl/>
        </w:rPr>
        <w:t>ח</w:t>
      </w:r>
      <w:r w:rsidR="003E45B6">
        <w:rPr>
          <w:rFonts w:asciiTheme="minorBidi" w:hAnsiTheme="minorBidi" w:cs="Arial" w:hint="cs"/>
          <w:rtl/>
        </w:rPr>
        <w:t>"</w:t>
      </w:r>
      <w:r w:rsidR="003E45B6" w:rsidRPr="004C7C95">
        <w:rPr>
          <w:rFonts w:asciiTheme="minorBidi" w:hAnsiTheme="minorBidi" w:cs="Arial"/>
          <w:rtl/>
        </w:rPr>
        <w:t>ח</w:t>
      </w:r>
      <w:r w:rsidR="003E45B6">
        <w:rPr>
          <w:rFonts w:asciiTheme="minorBidi" w:hAnsiTheme="minorBidi" w:cs="Arial" w:hint="cs"/>
          <w:rtl/>
        </w:rPr>
        <w:t xml:space="preserve"> ני"ב</w:t>
      </w:r>
      <w:r w:rsidR="003E45B6" w:rsidRPr="004C7C95">
        <w:rPr>
          <w:rFonts w:asciiTheme="minorBidi" w:hAnsiTheme="minorBidi" w:cs="Arial"/>
          <w:rtl/>
        </w:rPr>
        <w:t xml:space="preserve"> עח.) שנראה מפירוש רש"י שאסור לתקן בגוף השפופרת שום דבר</w:t>
      </w:r>
      <w:r w:rsidR="003E45B6">
        <w:rPr>
          <w:rFonts w:asciiTheme="minorBidi" w:hAnsiTheme="minorBidi" w:cs="Arial" w:hint="cs"/>
          <w:rtl/>
        </w:rPr>
        <w:t>,</w:t>
      </w:r>
      <w:r w:rsidR="003E45B6" w:rsidRPr="004C7C95">
        <w:rPr>
          <w:rFonts w:asciiTheme="minorBidi" w:hAnsiTheme="minorBidi" w:cs="Arial"/>
          <w:rtl/>
        </w:rPr>
        <w:t xml:space="preserve"> ואפילו ביד</w:t>
      </w:r>
      <w:r w:rsidR="003E45B6">
        <w:rPr>
          <w:rFonts w:asciiTheme="minorBidi" w:hAnsiTheme="minorBidi" w:cs="Arial" w:hint="cs"/>
          <w:rtl/>
        </w:rPr>
        <w:t>.</w:t>
      </w:r>
      <w:r w:rsidR="003E45B6" w:rsidRPr="004C7C95">
        <w:rPr>
          <w:rFonts w:asciiTheme="minorBidi" w:hAnsiTheme="minorBidi" w:cs="Arial"/>
          <w:rtl/>
        </w:rPr>
        <w:t xml:space="preserve"> אבל רבינו חננאל (גליון הגמרא שם) כתב שמתקנה ביד אבל לא בסכין</w:t>
      </w:r>
      <w:r w:rsidR="003E45B6">
        <w:rPr>
          <w:rFonts w:asciiTheme="minorBidi" w:hAnsiTheme="minorBidi" w:cs="Arial" w:hint="cs"/>
          <w:rtl/>
        </w:rPr>
        <w:t xml:space="preserve">, </w:t>
      </w:r>
      <w:r w:rsidR="003E45B6" w:rsidRPr="003E45B6">
        <w:rPr>
          <w:rFonts w:asciiTheme="minorBidi" w:hAnsiTheme="minorBidi" w:cs="Arial" w:hint="cs"/>
          <w:b/>
          <w:bCs/>
          <w:rtl/>
        </w:rPr>
        <w:t>ב"י</w:t>
      </w:r>
      <w:r w:rsidR="003E45B6">
        <w:rPr>
          <w:rFonts w:asciiTheme="minorBidi" w:hAnsiTheme="minorBidi" w:cs="Arial" w:hint="cs"/>
          <w:rtl/>
        </w:rPr>
        <w:t>.</w:t>
      </w:r>
    </w:p>
  </w:footnote>
  <w:footnote w:id="2188">
    <w:p w14:paraId="36699FA9"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אם נפלה, רש"י.</w:t>
      </w:r>
    </w:p>
  </w:footnote>
  <w:footnote w:id="2189">
    <w:p w14:paraId="0D1ED7E3"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לא ניתנה בנקב לידע אם למדתו היא, רש"י. אך הרמב"ם פירש שנחתכה שלא כמידת הנקב היינו שאינה מתוקנת כראוי, ואעפ"כ אין חוששין שמא יתקן.</w:t>
      </w:r>
    </w:p>
  </w:footnote>
  <w:footnote w:id="2190">
    <w:p w14:paraId="734CC97F"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לחותכה ולשפותה, רש"י.</w:t>
      </w:r>
    </w:p>
  </w:footnote>
  <w:footnote w:id="2191">
    <w:p w14:paraId="0C9CE643" w14:textId="18B390B8" w:rsidR="003E45B6" w:rsidRDefault="003E45B6" w:rsidP="00285819">
      <w:pPr>
        <w:pStyle w:val="a7"/>
        <w:rPr>
          <w:rtl/>
        </w:rPr>
      </w:pPr>
      <w:r>
        <w:rPr>
          <w:rStyle w:val="a9"/>
        </w:rPr>
        <w:footnoteRef/>
      </w:r>
      <w:r>
        <w:rPr>
          <w:rtl/>
        </w:rPr>
        <w:t xml:space="preserve"> </w:t>
      </w:r>
      <w:r w:rsidRPr="004C7C95">
        <w:rPr>
          <w:rFonts w:asciiTheme="minorBidi" w:hAnsiTheme="minorBidi" w:cs="Arial"/>
          <w:rtl/>
        </w:rPr>
        <w:t>נראה מדבריו שהוא מפרש דחתיכא ולא מתקנא כלומר שהשפופרת עצמה חסרה שום תיקון ואפילו הכי מותר להכניסה בנקב החבית</w:t>
      </w:r>
      <w:r>
        <w:rPr>
          <w:rFonts w:hint="cs"/>
          <w:rtl/>
        </w:rPr>
        <w:t>, ב"י.</w:t>
      </w:r>
    </w:p>
  </w:footnote>
  <w:footnote w:id="2192">
    <w:p w14:paraId="28DC3CF6" w14:textId="02F2FCA0" w:rsidR="007A064C" w:rsidRPr="008C1C8E" w:rsidRDefault="007A064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w:t>
      </w:r>
      <w:r w:rsidR="00B47247">
        <w:rPr>
          <w:rFonts w:asciiTheme="minorBidi" w:hAnsiTheme="minorBidi" w:cs="Arial" w:hint="cs"/>
          <w:rtl/>
        </w:rPr>
        <w:t xml:space="preserve">שובר </w:t>
      </w:r>
      <w:r w:rsidR="00B47247" w:rsidRPr="00B47247">
        <w:rPr>
          <w:rFonts w:asciiTheme="minorBidi" w:hAnsiTheme="minorBidi" w:cs="Arial"/>
          <w:rtl/>
        </w:rPr>
        <w:t>מן התלושין</w:t>
      </w:r>
      <w:r w:rsidR="00B47247">
        <w:rPr>
          <w:rFonts w:asciiTheme="minorBidi" w:hAnsiTheme="minorBidi" w:hint="cs"/>
          <w:rtl/>
        </w:rPr>
        <w:t>, ע"פ רש"י</w:t>
      </w:r>
      <w:r w:rsidRPr="008C1C8E">
        <w:rPr>
          <w:rFonts w:asciiTheme="minorBidi" w:hAnsiTheme="minorBidi"/>
          <w:rtl/>
        </w:rPr>
        <w:t>.</w:t>
      </w:r>
    </w:p>
  </w:footnote>
  <w:footnote w:id="2193">
    <w:p w14:paraId="4B663DE1" w14:textId="36C9E25D" w:rsidR="007A064C" w:rsidRPr="008C1C8E" w:rsidRDefault="007A064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w:t>
      </w:r>
      <w:r w:rsidR="00B47247" w:rsidRPr="00B47247">
        <w:rPr>
          <w:rFonts w:asciiTheme="minorBidi" w:hAnsiTheme="minorBidi" w:cs="Arial"/>
          <w:rtl/>
        </w:rPr>
        <w:t>מקלות גדולים, כמו ולא באלה ולא ברומח במסכת שבת (סג</w:t>
      </w:r>
      <w:r w:rsidR="00B47247">
        <w:rPr>
          <w:rFonts w:asciiTheme="minorBidi" w:hAnsiTheme="minorBidi" w:cs="Arial" w:hint="cs"/>
          <w:rtl/>
        </w:rPr>
        <w:t>.</w:t>
      </w:r>
      <w:r w:rsidR="00B47247" w:rsidRPr="00B47247">
        <w:rPr>
          <w:rFonts w:asciiTheme="minorBidi" w:hAnsiTheme="minorBidi" w:cs="Arial"/>
          <w:rtl/>
        </w:rPr>
        <w:t>)</w:t>
      </w:r>
      <w:r w:rsidR="00B47247">
        <w:rPr>
          <w:rFonts w:asciiTheme="minorBidi" w:hAnsiTheme="minorBidi" w:hint="cs"/>
          <w:rtl/>
        </w:rPr>
        <w:t>, רש"י.</w:t>
      </w:r>
    </w:p>
  </w:footnote>
  <w:footnote w:id="2194">
    <w:p w14:paraId="15081B45" w14:textId="0AB1E959" w:rsidR="007A064C" w:rsidRPr="008C1C8E" w:rsidRDefault="007A064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w:t>
      </w:r>
      <w:r w:rsidR="00B47247" w:rsidRPr="00B47247">
        <w:rPr>
          <w:rFonts w:asciiTheme="minorBidi" w:hAnsiTheme="minorBidi" w:cs="Arial"/>
          <w:rtl/>
        </w:rPr>
        <w:t xml:space="preserve">שהיא קשה, וראוי לעשות ממנו בית יד לקרדום ולפסל שקורין דולויי"ר </w:t>
      </w:r>
      <w:r w:rsidR="00B47247">
        <w:rPr>
          <w:rFonts w:asciiTheme="minorBidi" w:hAnsiTheme="minorBidi" w:cs="Arial" w:hint="cs"/>
          <w:rtl/>
        </w:rPr>
        <w:t>(</w:t>
      </w:r>
      <w:r w:rsidR="00B47247" w:rsidRPr="00B47247">
        <w:rPr>
          <w:rFonts w:asciiTheme="minorBidi" w:hAnsiTheme="minorBidi" w:cs="Arial"/>
          <w:rtl/>
        </w:rPr>
        <w:t>גרזן</w:t>
      </w:r>
      <w:r w:rsidR="00B47247">
        <w:rPr>
          <w:rFonts w:asciiTheme="minorBidi" w:hAnsiTheme="minorBidi" w:cs="Arial" w:hint="cs"/>
          <w:rtl/>
        </w:rPr>
        <w:t>)</w:t>
      </w:r>
      <w:r w:rsidR="00B47247" w:rsidRPr="00B47247">
        <w:rPr>
          <w:rFonts w:asciiTheme="minorBidi" w:hAnsiTheme="minorBidi" w:cs="Arial"/>
          <w:rtl/>
        </w:rPr>
        <w:t>, והוא היה שוברה להריח</w:t>
      </w:r>
      <w:r w:rsidR="00B47247">
        <w:rPr>
          <w:rFonts w:asciiTheme="minorBidi" w:hAnsiTheme="minorBidi" w:hint="cs"/>
          <w:rtl/>
        </w:rPr>
        <w:t>, רש"י</w:t>
      </w:r>
      <w:r w:rsidRPr="008C1C8E">
        <w:rPr>
          <w:rFonts w:asciiTheme="minorBidi" w:hAnsiTheme="minorBidi"/>
          <w:rtl/>
        </w:rPr>
        <w:t>.</w:t>
      </w:r>
    </w:p>
  </w:footnote>
  <w:footnote w:id="2195">
    <w:p w14:paraId="59B5A5B9" w14:textId="77777777" w:rsidR="003E45B6" w:rsidRPr="008C1C8E" w:rsidRDefault="003E45B6"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לתת עלה של הדס בנקב החבית, שהעלה עשוי כמרזב והיין זב דרך שם, רש"י. וכ' התוס' (ד"ה משום) שנראה כפירוש רש"י דכשלוקח עלה הדס ומקפלו כעין מרזב נראה כעושה מרזב, ולא דמי לגובתא דכיון שאינו עושה בו שום מעשה לא גזרינן.</w:t>
      </w:r>
    </w:p>
  </w:footnote>
  <w:footnote w:id="2196">
    <w:p w14:paraId="28A39222" w14:textId="77777777" w:rsidR="003E45B6" w:rsidRPr="008C1C8E" w:rsidRDefault="003E45B6"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שמא יכין מרזב, רש"י.</w:t>
      </w:r>
    </w:p>
  </w:footnote>
  <w:footnote w:id="2197">
    <w:p w14:paraId="2629F9B8" w14:textId="77777777" w:rsidR="003E45B6" w:rsidRPr="008C1C8E" w:rsidRDefault="003E45B6"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העלה מן הענף, וכיון דקטמיה הוה ליה כמתקן כלי כדתניא במסכת ביצה (לג:) לחצות בו שיניו לא יקטמנו, ואם קטמו חייב חטאת, רש"י.</w:t>
      </w:r>
    </w:p>
  </w:footnote>
  <w:footnote w:id="2198">
    <w:p w14:paraId="76F39325" w14:textId="5734A49F" w:rsidR="003B5AB9" w:rsidRDefault="003B5AB9" w:rsidP="00285819">
      <w:pPr>
        <w:pStyle w:val="a7"/>
        <w:rPr>
          <w:rtl/>
        </w:rPr>
      </w:pPr>
      <w:r>
        <w:rPr>
          <w:rStyle w:val="a9"/>
        </w:rPr>
        <w:footnoteRef/>
      </w:r>
      <w:r>
        <w:rPr>
          <w:rtl/>
        </w:rPr>
        <w:t xml:space="preserve"> </w:t>
      </w:r>
      <w:r w:rsidRPr="004C7C95">
        <w:rPr>
          <w:rFonts w:asciiTheme="minorBidi" w:hAnsiTheme="minorBidi" w:cs="Arial"/>
          <w:rtl/>
        </w:rPr>
        <w:t>ה</w:t>
      </w:r>
      <w:r w:rsidR="00B47247">
        <w:rPr>
          <w:rFonts w:asciiTheme="minorBidi" w:hAnsiTheme="minorBidi" w:cs="Arial" w:hint="cs"/>
          <w:rtl/>
        </w:rPr>
        <w:t>ה"מ</w:t>
      </w:r>
      <w:r w:rsidRPr="004C7C95">
        <w:rPr>
          <w:rFonts w:asciiTheme="minorBidi" w:hAnsiTheme="minorBidi" w:cs="Arial"/>
          <w:rtl/>
        </w:rPr>
        <w:t xml:space="preserve"> תמה על הרמב"ם ז"ל למה לא פסק כרב אשי דבתרא הוא. ואפשר שטעמו משום דהא דגזר שמא יקטום אתי דלא כהלכתא</w:t>
      </w:r>
      <w:r>
        <w:rPr>
          <w:rFonts w:asciiTheme="minorBidi" w:hAnsiTheme="minorBidi" w:cs="Arial" w:hint="cs"/>
          <w:rtl/>
        </w:rPr>
        <w:t>,</w:t>
      </w:r>
      <w:r w:rsidRPr="004C7C95">
        <w:rPr>
          <w:rFonts w:asciiTheme="minorBidi" w:hAnsiTheme="minorBidi" w:cs="Arial"/>
          <w:rtl/>
        </w:rPr>
        <w:t xml:space="preserve"> דכי קטים </w:t>
      </w:r>
      <w:r>
        <w:rPr>
          <w:rFonts w:asciiTheme="minorBidi" w:hAnsiTheme="minorBidi" w:cs="Arial" w:hint="cs"/>
          <w:sz w:val="16"/>
          <w:szCs w:val="16"/>
          <w:rtl/>
        </w:rPr>
        <w:t xml:space="preserve">{מהתלוש} </w:t>
      </w:r>
      <w:r w:rsidRPr="004C7C95">
        <w:rPr>
          <w:rFonts w:asciiTheme="minorBidi" w:hAnsiTheme="minorBidi" w:cs="Arial"/>
          <w:rtl/>
        </w:rPr>
        <w:t>מאי הוי</w:t>
      </w:r>
      <w:r>
        <w:rPr>
          <w:rFonts w:asciiTheme="minorBidi" w:hAnsiTheme="minorBidi" w:cs="Arial" w:hint="cs"/>
          <w:rtl/>
        </w:rPr>
        <w:t>,</w:t>
      </w:r>
      <w:r w:rsidRPr="004C7C95">
        <w:rPr>
          <w:rFonts w:asciiTheme="minorBidi" w:hAnsiTheme="minorBidi" w:cs="Arial"/>
          <w:rtl/>
        </w:rPr>
        <w:t xml:space="preserve"> והא אסיקנא בפרק המביא כדי יין (ביצה לג:) דרב יהודה מפשח ויהיב לן אלותא אלותא</w:t>
      </w:r>
      <w:r>
        <w:rPr>
          <w:rFonts w:asciiTheme="minorBidi" w:hAnsiTheme="minorBidi" w:cs="Arial" w:hint="cs"/>
          <w:rtl/>
        </w:rPr>
        <w:t>.</w:t>
      </w:r>
      <w:r w:rsidRPr="004C7C95">
        <w:rPr>
          <w:rFonts w:asciiTheme="minorBidi" w:hAnsiTheme="minorBidi" w:cs="Arial"/>
          <w:rtl/>
        </w:rPr>
        <w:t xml:space="preserve"> ורב אשי דאמר גזירה שמא יקטום לפרושי טעמא דשמואל אתא ולא משום דסבירא ליה הכי</w:t>
      </w:r>
      <w:r>
        <w:rPr>
          <w:rFonts w:asciiTheme="minorBidi" w:hAnsiTheme="minorBidi" w:cs="Arial" w:hint="cs"/>
          <w:rtl/>
        </w:rPr>
        <w:t>,</w:t>
      </w:r>
      <w:r w:rsidRPr="004C7C95">
        <w:rPr>
          <w:rFonts w:asciiTheme="minorBidi" w:hAnsiTheme="minorBidi" w:cs="Arial"/>
          <w:rtl/>
        </w:rPr>
        <w:t xml:space="preserve"> וכיון דלטעמיה דרב יימר מיתוקמא שפיר מימרא דשמואל אליבא דהלכתא לא דחינן לה מהלכתא</w:t>
      </w:r>
      <w:r>
        <w:rPr>
          <w:rFonts w:hint="cs"/>
          <w:rtl/>
        </w:rPr>
        <w:t>, ב"י.</w:t>
      </w:r>
    </w:p>
  </w:footnote>
  <w:footnote w:id="2199">
    <w:p w14:paraId="174EF537" w14:textId="0307E8EB" w:rsidR="003B5AB9" w:rsidRDefault="003B5AB9" w:rsidP="00285819">
      <w:pPr>
        <w:pStyle w:val="a7"/>
        <w:rPr>
          <w:rtl/>
        </w:rPr>
      </w:pPr>
      <w:r>
        <w:rPr>
          <w:rStyle w:val="a9"/>
        </w:rPr>
        <w:footnoteRef/>
      </w:r>
      <w:r>
        <w:rPr>
          <w:rtl/>
        </w:rPr>
        <w:t xml:space="preserve"> </w:t>
      </w:r>
      <w:r w:rsidRPr="004C7C95">
        <w:rPr>
          <w:rFonts w:asciiTheme="minorBidi" w:hAnsiTheme="minorBidi" w:cs="Arial"/>
          <w:rtl/>
        </w:rPr>
        <w:t>לדברי הרא"ש שפסק כרב אשי דאמר גזירה שמא יקטום לא תיקשי מההיא</w:t>
      </w:r>
      <w:r>
        <w:rPr>
          <w:rFonts w:asciiTheme="minorBidi" w:hAnsiTheme="minorBidi" w:cs="Arial" w:hint="cs"/>
          <w:rtl/>
        </w:rPr>
        <w:t xml:space="preserve"> </w:t>
      </w:r>
      <w:r w:rsidRPr="004C7C95">
        <w:rPr>
          <w:rFonts w:asciiTheme="minorBidi" w:hAnsiTheme="minorBidi" w:cs="Arial"/>
          <w:rtl/>
        </w:rPr>
        <w:t>דרב יהודה מפשח ויהיב לן אלותא אלותא</w:t>
      </w:r>
      <w:r>
        <w:rPr>
          <w:rFonts w:asciiTheme="minorBidi" w:hAnsiTheme="minorBidi" w:cs="Arial" w:hint="cs"/>
          <w:rtl/>
        </w:rPr>
        <w:t xml:space="preserve"> (ביצה לג:),</w:t>
      </w:r>
      <w:r w:rsidRPr="004C7C95">
        <w:rPr>
          <w:rFonts w:asciiTheme="minorBidi" w:hAnsiTheme="minorBidi" w:cs="Arial"/>
          <w:rtl/>
        </w:rPr>
        <w:t xml:space="preserve"> דשאני התם שקוטמו להריח בו והוי כשובר חבית לאכול ממנה גרוגרות</w:t>
      </w:r>
      <w:r>
        <w:rPr>
          <w:rFonts w:asciiTheme="minorBidi" w:hAnsiTheme="minorBidi" w:cs="Arial" w:hint="cs"/>
          <w:rtl/>
        </w:rPr>
        <w:t>,</w:t>
      </w:r>
      <w:r w:rsidRPr="004C7C95">
        <w:rPr>
          <w:rFonts w:asciiTheme="minorBidi" w:hAnsiTheme="minorBidi" w:cs="Arial"/>
          <w:rtl/>
        </w:rPr>
        <w:t xml:space="preserve"> אבל כשקוטמו ליתנו בנקב שבחבית הוי כקוטם לחצות בו שיניו ולפתוח בו את הדלת דבקשים לרבי אליעזר חייב חטאת ולרבנן פטור אבל אסור</w:t>
      </w:r>
      <w:r w:rsidR="007A064C">
        <w:rPr>
          <w:rFonts w:asciiTheme="minorBidi" w:hAnsiTheme="minorBidi" w:cs="Arial" w:hint="cs"/>
          <w:rtl/>
        </w:rPr>
        <w:t>,</w:t>
      </w:r>
      <w:r w:rsidRPr="004C7C95">
        <w:rPr>
          <w:rFonts w:asciiTheme="minorBidi" w:hAnsiTheme="minorBidi" w:cs="Arial"/>
          <w:rtl/>
        </w:rPr>
        <w:t xml:space="preserve"> כדאיתא פרק המביא כדי יין (שם)</w:t>
      </w:r>
      <w:r w:rsidR="007A064C">
        <w:rPr>
          <w:rFonts w:asciiTheme="minorBidi" w:hAnsiTheme="minorBidi" w:cs="Arial" w:hint="cs"/>
          <w:rtl/>
        </w:rPr>
        <w:t>,</w:t>
      </w:r>
      <w:r w:rsidRPr="004C7C95">
        <w:rPr>
          <w:rFonts w:asciiTheme="minorBidi" w:hAnsiTheme="minorBidi" w:cs="Arial"/>
          <w:rtl/>
        </w:rPr>
        <w:t xml:space="preserve"> הרי דלרבנן נמי איסורא איכא. אלא דקשיא לי אם כן היכי אסרינן למיתן טרפא דאסא משום גזירה שמא יקטום</w:t>
      </w:r>
      <w:r>
        <w:rPr>
          <w:rFonts w:asciiTheme="minorBidi" w:hAnsiTheme="minorBidi" w:cs="Arial" w:hint="cs"/>
          <w:rtl/>
        </w:rPr>
        <w:t>,</w:t>
      </w:r>
      <w:r w:rsidRPr="004C7C95">
        <w:rPr>
          <w:rFonts w:asciiTheme="minorBidi" w:hAnsiTheme="minorBidi" w:cs="Arial"/>
          <w:rtl/>
        </w:rPr>
        <w:t xml:space="preserve"> הא טרפא דאסא רכין נינהו ושרי</w:t>
      </w:r>
      <w:r>
        <w:rPr>
          <w:rFonts w:asciiTheme="minorBidi" w:hAnsiTheme="minorBidi" w:cs="Arial" w:hint="cs"/>
          <w:rtl/>
        </w:rPr>
        <w:t>.</w:t>
      </w:r>
      <w:r w:rsidRPr="004C7C95">
        <w:rPr>
          <w:rFonts w:asciiTheme="minorBidi" w:hAnsiTheme="minorBidi" w:cs="Arial"/>
          <w:rtl/>
        </w:rPr>
        <w:t xml:space="preserve"> ואפילו אם היו קשים אכתי הוי ליה גזירה לגזירה</w:t>
      </w:r>
      <w:r>
        <w:rPr>
          <w:rFonts w:asciiTheme="minorBidi" w:hAnsiTheme="minorBidi" w:cs="Arial" w:hint="cs"/>
          <w:rtl/>
        </w:rPr>
        <w:t>,</w:t>
      </w:r>
      <w:r w:rsidRPr="004C7C95">
        <w:rPr>
          <w:rFonts w:asciiTheme="minorBidi" w:hAnsiTheme="minorBidi" w:cs="Arial"/>
          <w:rtl/>
        </w:rPr>
        <w:t xml:space="preserve"> דהא לרבנן דקיימא לן כוותייהו כי קטים נמי לא מיתסר אלא מדרבנן</w:t>
      </w:r>
      <w:r>
        <w:rPr>
          <w:rFonts w:asciiTheme="minorBidi" w:hAnsiTheme="minorBidi" w:cs="Arial" w:hint="cs"/>
          <w:rtl/>
        </w:rPr>
        <w:t>.</w:t>
      </w:r>
      <w:r w:rsidRPr="004C7C95">
        <w:rPr>
          <w:rFonts w:asciiTheme="minorBidi" w:hAnsiTheme="minorBidi" w:cs="Arial"/>
          <w:rtl/>
        </w:rPr>
        <w:t xml:space="preserve"> וצריך עיון</w:t>
      </w:r>
      <w:r w:rsidR="007A064C">
        <w:rPr>
          <w:rFonts w:asciiTheme="minorBidi" w:hAnsiTheme="minorBidi" w:cs="Arial" w:hint="cs"/>
          <w:rtl/>
        </w:rPr>
        <w:t>.</w:t>
      </w:r>
      <w:r w:rsidR="007A064C" w:rsidRPr="007A064C">
        <w:rPr>
          <w:rFonts w:asciiTheme="minorBidi" w:hAnsiTheme="minorBidi" w:cs="Arial"/>
          <w:rtl/>
        </w:rPr>
        <w:t xml:space="preserve"> והר"ן כתב שם (יט. ד"ה אוכלי בהמה) וז</w:t>
      </w:r>
      <w:r w:rsidR="007A064C" w:rsidRPr="007A064C">
        <w:rPr>
          <w:rFonts w:asciiTheme="minorBidi" w:hAnsiTheme="minorBidi" w:cs="Arial" w:hint="cs"/>
          <w:rtl/>
        </w:rPr>
        <w:t xml:space="preserve">"ל- </w:t>
      </w:r>
      <w:r w:rsidR="007A064C" w:rsidRPr="007A064C">
        <w:rPr>
          <w:rFonts w:asciiTheme="minorBidi" w:hAnsiTheme="minorBidi" w:cs="Arial"/>
          <w:rtl/>
        </w:rPr>
        <w:t>וכי תימא והיכי מסקינן הכא דאוכלי בהמה כיון שהם רכין אין בהם משום תיקון כלי אע</w:t>
      </w:r>
      <w:r w:rsidR="007A064C" w:rsidRPr="007A064C">
        <w:rPr>
          <w:rFonts w:asciiTheme="minorBidi" w:hAnsiTheme="minorBidi" w:cs="Arial" w:hint="cs"/>
          <w:rtl/>
        </w:rPr>
        <w:t>"</w:t>
      </w:r>
      <w:r w:rsidR="007A064C" w:rsidRPr="007A064C">
        <w:rPr>
          <w:rFonts w:asciiTheme="minorBidi" w:hAnsiTheme="minorBidi" w:cs="Arial"/>
          <w:rtl/>
        </w:rPr>
        <w:t>פ שהוא מכוין לכך</w:t>
      </w:r>
      <w:r w:rsidR="007A064C" w:rsidRPr="007A064C">
        <w:rPr>
          <w:rFonts w:asciiTheme="minorBidi" w:hAnsiTheme="minorBidi" w:cs="Arial" w:hint="cs"/>
          <w:rtl/>
        </w:rPr>
        <w:t>,</w:t>
      </w:r>
      <w:r w:rsidR="007A064C" w:rsidRPr="007A064C">
        <w:rPr>
          <w:rFonts w:asciiTheme="minorBidi" w:hAnsiTheme="minorBidi" w:cs="Arial"/>
          <w:rtl/>
        </w:rPr>
        <w:t xml:space="preserve"> והא בפירוש אסרינן למיתן טרפא דאסא בחביתא</w:t>
      </w:r>
      <w:r w:rsidR="007A064C" w:rsidRPr="007A064C">
        <w:rPr>
          <w:rFonts w:asciiTheme="minorBidi" w:hAnsiTheme="minorBidi" w:cs="Arial" w:hint="cs"/>
          <w:rtl/>
        </w:rPr>
        <w:t>!?</w:t>
      </w:r>
      <w:r w:rsidR="007A064C" w:rsidRPr="007A064C">
        <w:rPr>
          <w:rFonts w:asciiTheme="minorBidi" w:hAnsiTheme="minorBidi" w:cs="Arial"/>
          <w:rtl/>
        </w:rPr>
        <w:t xml:space="preserve"> איכא למימר דהתם היינו טעמא לפי שדרך הוא שאפילו באוכלי בהמה מתקנין כלי העשוי כבר אבל לא שיעשו ממנו כלי לכתחלה עכ"ל</w:t>
      </w:r>
      <w:r w:rsidR="007A064C" w:rsidRPr="007A064C">
        <w:rPr>
          <w:rFonts w:asciiTheme="minorBidi" w:hAnsiTheme="minorBidi" w:cs="Arial" w:hint="cs"/>
          <w:rtl/>
        </w:rPr>
        <w:t>.</w:t>
      </w:r>
      <w:r w:rsidR="007A064C" w:rsidRPr="007A064C">
        <w:rPr>
          <w:rFonts w:asciiTheme="minorBidi" w:hAnsiTheme="minorBidi" w:cs="Arial"/>
          <w:rtl/>
        </w:rPr>
        <w:t xml:space="preserve"> ודבריו אלה אליבא דמאן דאמר משום מרזב</w:t>
      </w:r>
      <w:r w:rsidR="007A064C" w:rsidRPr="007A064C">
        <w:rPr>
          <w:rFonts w:asciiTheme="minorBidi" w:hAnsiTheme="minorBidi" w:cs="Arial" w:hint="cs"/>
          <w:rtl/>
        </w:rPr>
        <w:t>,</w:t>
      </w:r>
      <w:r w:rsidR="007A064C" w:rsidRPr="007A064C">
        <w:rPr>
          <w:rFonts w:asciiTheme="minorBidi" w:hAnsiTheme="minorBidi" w:cs="Arial"/>
          <w:rtl/>
        </w:rPr>
        <w:t xml:space="preserve"> דלמאן דאמר גזירה שמא יקטום ליכא איסורא דרבנן אלא משום שמא יקטום בקשין וכדפירש רש"י. ואפשר דסבר דגזירה שמא יקטום היינו שמא יקטום רכין ליתן בפי החבית דכל כי האי גוונא כיון שדרכו בכך אסור</w:t>
      </w:r>
      <w:r w:rsidR="007A064C">
        <w:rPr>
          <w:rFonts w:asciiTheme="minorBidi" w:hAnsiTheme="minorBidi" w:cs="Arial" w:hint="cs"/>
          <w:rtl/>
        </w:rPr>
        <w:t>,</w:t>
      </w:r>
      <w:r>
        <w:rPr>
          <w:rFonts w:asciiTheme="minorBidi" w:hAnsiTheme="minorBidi" w:cs="Arial" w:hint="cs"/>
          <w:rtl/>
        </w:rPr>
        <w:t xml:space="preserve"> ב"י.</w:t>
      </w:r>
      <w:r>
        <w:rPr>
          <w:rFonts w:hint="cs"/>
          <w:rtl/>
        </w:rPr>
        <w:t xml:space="preserve"> </w:t>
      </w:r>
    </w:p>
  </w:footnote>
  <w:footnote w:id="2200">
    <w:p w14:paraId="5A0904E5" w14:textId="5F39D423" w:rsidR="00217241" w:rsidRDefault="00217241" w:rsidP="00285819">
      <w:pPr>
        <w:pStyle w:val="a7"/>
        <w:rPr>
          <w:rtl/>
        </w:rPr>
      </w:pPr>
      <w:r>
        <w:rPr>
          <w:rStyle w:val="a9"/>
        </w:rPr>
        <w:footnoteRef/>
      </w:r>
      <w:r>
        <w:rPr>
          <w:rtl/>
        </w:rPr>
        <w:t xml:space="preserve"> </w:t>
      </w:r>
      <w:r w:rsidRPr="004C7C95">
        <w:rPr>
          <w:rFonts w:asciiTheme="minorBidi" w:hAnsiTheme="minorBidi" w:cs="Arial"/>
          <w:rtl/>
        </w:rPr>
        <w:t>נראה מדבריו שהוא מפרש דעד כאן לא שרי רב אשי אלא בדאיכא עלים הרבה קטומים שאם יתקלקל האחד יקח אחר ולא יצטרך לקטום</w:t>
      </w:r>
      <w:r>
        <w:rPr>
          <w:rFonts w:asciiTheme="minorBidi" w:hAnsiTheme="minorBidi" w:cs="Arial" w:hint="cs"/>
          <w:rtl/>
        </w:rPr>
        <w:t>,</w:t>
      </w:r>
      <w:r w:rsidRPr="004C7C95">
        <w:rPr>
          <w:rFonts w:asciiTheme="minorBidi" w:hAnsiTheme="minorBidi" w:cs="Arial"/>
          <w:rtl/>
        </w:rPr>
        <w:t xml:space="preserve"> אבל אם אין שם אלא עלה אחד קטום אסור שמא יתקלקל ויבוא לקטום עלה אחר ולהניח במקום הראשון</w:t>
      </w:r>
      <w:r>
        <w:rPr>
          <w:rFonts w:asciiTheme="minorBidi" w:hAnsiTheme="minorBidi" w:cs="Arial" w:hint="cs"/>
          <w:rtl/>
        </w:rPr>
        <w:t>.</w:t>
      </w:r>
      <w:r w:rsidRPr="004C7C95">
        <w:rPr>
          <w:rFonts w:asciiTheme="minorBidi" w:hAnsiTheme="minorBidi" w:cs="Arial"/>
          <w:rtl/>
        </w:rPr>
        <w:t xml:space="preserve"> ואפשר שהביאו לפרש כן מה שכתוב בנוסחי דידן בגמרא </w:t>
      </w:r>
      <w:r>
        <w:rPr>
          <w:rFonts w:asciiTheme="minorBidi" w:hAnsiTheme="minorBidi" w:cs="Arial" w:hint="cs"/>
          <w:rtl/>
        </w:rPr>
        <w:t>'</w:t>
      </w:r>
      <w:r w:rsidRPr="004C7C95">
        <w:rPr>
          <w:rFonts w:asciiTheme="minorBidi" w:hAnsiTheme="minorBidi" w:cs="Arial"/>
          <w:rtl/>
        </w:rPr>
        <w:t>איכא בינייהו דקטים ומנחי</w:t>
      </w:r>
      <w:r>
        <w:rPr>
          <w:rFonts w:asciiTheme="minorBidi" w:hAnsiTheme="minorBidi" w:cs="Arial" w:hint="cs"/>
          <w:rtl/>
        </w:rPr>
        <w:t>',</w:t>
      </w:r>
      <w:r w:rsidRPr="004C7C95">
        <w:rPr>
          <w:rFonts w:asciiTheme="minorBidi" w:hAnsiTheme="minorBidi" w:cs="Arial"/>
          <w:rtl/>
        </w:rPr>
        <w:t xml:space="preserve"> וכיון דקאמר מנחי בלשון רבים משמע ליה דעלים רבים קאמר</w:t>
      </w:r>
      <w:r>
        <w:rPr>
          <w:rFonts w:asciiTheme="minorBidi" w:hAnsiTheme="minorBidi" w:cs="Arial" w:hint="cs"/>
          <w:rtl/>
        </w:rPr>
        <w:t>.</w:t>
      </w:r>
      <w:r w:rsidRPr="004C7C95">
        <w:rPr>
          <w:rFonts w:asciiTheme="minorBidi" w:hAnsiTheme="minorBidi" w:cs="Arial"/>
          <w:rtl/>
        </w:rPr>
        <w:t xml:space="preserve"> ומכל מקום מה שכתב </w:t>
      </w:r>
      <w:r>
        <w:rPr>
          <w:rFonts w:asciiTheme="minorBidi" w:hAnsiTheme="minorBidi" w:cs="Arial" w:hint="cs"/>
          <w:rtl/>
        </w:rPr>
        <w:t>'</w:t>
      </w:r>
      <w:r w:rsidRPr="004C7C95">
        <w:rPr>
          <w:rFonts w:asciiTheme="minorBidi" w:hAnsiTheme="minorBidi" w:cs="Arial"/>
          <w:rtl/>
        </w:rPr>
        <w:t>ויש לו הרבה מהם</w:t>
      </w:r>
      <w:r>
        <w:rPr>
          <w:rFonts w:asciiTheme="minorBidi" w:hAnsiTheme="minorBidi" w:cs="Arial" w:hint="cs"/>
          <w:rtl/>
        </w:rPr>
        <w:t>'</w:t>
      </w:r>
      <w:r w:rsidRPr="004C7C95">
        <w:rPr>
          <w:rFonts w:asciiTheme="minorBidi" w:hAnsiTheme="minorBidi" w:cs="Arial"/>
          <w:rtl/>
        </w:rPr>
        <w:t xml:space="preserve"> </w:t>
      </w:r>
      <w:r>
        <w:rPr>
          <w:rFonts w:asciiTheme="minorBidi" w:hAnsiTheme="minorBidi" w:cs="Arial" w:hint="cs"/>
          <w:rtl/>
        </w:rPr>
        <w:t xml:space="preserve">- </w:t>
      </w:r>
      <w:r w:rsidRPr="004C7C95">
        <w:rPr>
          <w:rFonts w:asciiTheme="minorBidi" w:hAnsiTheme="minorBidi" w:cs="Arial"/>
          <w:rtl/>
        </w:rPr>
        <w:t>אינו מדוקדק</w:t>
      </w:r>
      <w:r>
        <w:rPr>
          <w:rFonts w:asciiTheme="minorBidi" w:hAnsiTheme="minorBidi" w:cs="Arial" w:hint="cs"/>
          <w:rtl/>
        </w:rPr>
        <w:t>,</w:t>
      </w:r>
      <w:r w:rsidRPr="004C7C95">
        <w:rPr>
          <w:rFonts w:asciiTheme="minorBidi" w:hAnsiTheme="minorBidi" w:cs="Arial"/>
          <w:rtl/>
        </w:rPr>
        <w:t xml:space="preserve"> דבשנים נמי סגי מדכתב אח"כ ואם אין לו אלא אחד וכו'</w:t>
      </w:r>
      <w:r>
        <w:rPr>
          <w:rFonts w:asciiTheme="minorBidi" w:hAnsiTheme="minorBidi" w:cs="Arial" w:hint="cs"/>
          <w:rtl/>
        </w:rPr>
        <w:t>,</w:t>
      </w:r>
      <w:r w:rsidRPr="004C7C95">
        <w:rPr>
          <w:rFonts w:asciiTheme="minorBidi" w:hAnsiTheme="minorBidi" w:cs="Arial"/>
          <w:rtl/>
        </w:rPr>
        <w:t xml:space="preserve"> משמע הא שנים שרו ומטעמא דפרישית</w:t>
      </w:r>
      <w:r>
        <w:rPr>
          <w:rFonts w:hint="cs"/>
          <w:rtl/>
        </w:rPr>
        <w:t>, ב"י.</w:t>
      </w:r>
    </w:p>
  </w:footnote>
  <w:footnote w:id="2201">
    <w:p w14:paraId="74DD4BE7"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תיבה זו הושמטה ממהדרות אמ"ד (אמסטרדם) ת"פ ואילך, הגוה"ע שו"ע פריעדמאן.</w:t>
      </w:r>
    </w:p>
  </w:footnote>
  <w:footnote w:id="2202">
    <w:p w14:paraId="68B5DE51"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ואע"ג דאוכלי בהמה אין בהם משום תיקון כלי</w:t>
      </w:r>
      <w:r w:rsidRPr="008C1C8E">
        <w:rPr>
          <w:rFonts w:asciiTheme="minorBidi" w:hAnsiTheme="minorBidi"/>
          <w:sz w:val="16"/>
          <w:szCs w:val="16"/>
          <w:rtl/>
        </w:rPr>
        <w:t xml:space="preserve"> (כמ"ש סימן שכ"ב ס"ד)</w:t>
      </w:r>
      <w:r w:rsidRPr="008C1C8E">
        <w:rPr>
          <w:rFonts w:asciiTheme="minorBidi" w:hAnsiTheme="minorBidi"/>
          <w:rtl/>
        </w:rPr>
        <w:t xml:space="preserve"> י"ל שדרך הוא שאפילו באוכלי בהמה מתקנים כלי העשוי כבר ולכן אסור אבל אין עושין ממנו כלי בתחלה, ר"ן, הובא בב"י ובמג"א (סק"ו).</w:t>
      </w:r>
    </w:p>
  </w:footnote>
  <w:footnote w:id="2203">
    <w:p w14:paraId="4E3CF67E" w14:textId="77777777" w:rsidR="009C0A19" w:rsidRDefault="009C0A19" w:rsidP="00285819">
      <w:pPr>
        <w:pStyle w:val="a7"/>
        <w:rPr>
          <w:rtl/>
        </w:rPr>
      </w:pPr>
      <w:r>
        <w:rPr>
          <w:rStyle w:val="a9"/>
        </w:rPr>
        <w:footnoteRef/>
      </w:r>
      <w:r>
        <w:rPr>
          <w:rtl/>
        </w:rPr>
        <w:t xml:space="preserve"> </w:t>
      </w:r>
      <w:r w:rsidRPr="00182CF6">
        <w:rPr>
          <w:rFonts w:cs="Arial"/>
          <w:rtl/>
        </w:rPr>
        <w:t>לדעת הרמב"ם</w:t>
      </w:r>
      <w:r>
        <w:rPr>
          <w:rFonts w:cs="Arial" w:hint="cs"/>
          <w:rtl/>
        </w:rPr>
        <w:t>,</w:t>
      </w:r>
      <w:r w:rsidRPr="00182CF6">
        <w:rPr>
          <w:rFonts w:cs="Arial"/>
          <w:rtl/>
        </w:rPr>
        <w:t xml:space="preserve"> דסבירא ליה דאסור ליתן עלה של הדס בתוך נקב החבית דהוה כעושה מרזב בשבת</w:t>
      </w:r>
      <w:r>
        <w:rPr>
          <w:rFonts w:cs="Arial" w:hint="cs"/>
          <w:rtl/>
        </w:rPr>
        <w:t>.</w:t>
      </w:r>
      <w:r w:rsidRPr="00182CF6">
        <w:rPr>
          <w:rFonts w:cs="Arial"/>
          <w:rtl/>
        </w:rPr>
        <w:t xml:space="preserve"> אבל לדעת המתירים שם כמו שיתבאר נראה דגם כאן שרי</w:t>
      </w:r>
      <w:r>
        <w:rPr>
          <w:rFonts w:cs="Arial" w:hint="cs"/>
          <w:rtl/>
        </w:rPr>
        <w:t>, דרכ"מ (אות ב).</w:t>
      </w:r>
    </w:p>
  </w:footnote>
  <w:footnote w:id="2204">
    <w:p w14:paraId="13C92B73" w14:textId="77777777" w:rsidR="009C0A19" w:rsidRDefault="009C0A19" w:rsidP="00285819">
      <w:pPr>
        <w:pStyle w:val="a7"/>
      </w:pPr>
      <w:r>
        <w:rPr>
          <w:rStyle w:val="a9"/>
        </w:rPr>
        <w:footnoteRef/>
      </w:r>
      <w:r>
        <w:rPr>
          <w:rtl/>
        </w:rPr>
        <w:t xml:space="preserve"> </w:t>
      </w:r>
      <w:r>
        <w:rPr>
          <w:rFonts w:hint="cs"/>
          <w:rtl/>
        </w:rPr>
        <w:t xml:space="preserve">צל"ע מה כוונת הרב באומרו 'אם אין לו אלא אחד', שהרי לרמב"ם שפסק כרב יימר לא שאני ליה אם יש לו אחד או הרבה. </w:t>
      </w:r>
    </w:p>
  </w:footnote>
  <w:footnote w:id="2205">
    <w:p w14:paraId="241EBDF1"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הדבוקה בפה החבית לעשות נקב, אלא נוטל את כולה, אבל כי נקיב לה - מתקן פתחא, רש"י.</w:t>
      </w:r>
    </w:p>
  </w:footnote>
  <w:footnote w:id="2206">
    <w:p w14:paraId="4A698B56"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דאין דרך פתח לחבית בכך, רש"י.</w:t>
      </w:r>
    </w:p>
  </w:footnote>
  <w:footnote w:id="2207">
    <w:p w14:paraId="4E133257"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לתחוב, פויינדור"א (לדקור) בלעז, רש"י.</w:t>
      </w:r>
    </w:p>
  </w:footnote>
  <w:footnote w:id="2208">
    <w:p w14:paraId="517F141D"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ברומח, לתוחבו בדופניה לנקבו, רש"י.</w:t>
      </w:r>
    </w:p>
  </w:footnote>
  <w:footnote w:id="2209">
    <w:p w14:paraId="13337494"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להרחיב מוצא היין בנקב גדול, מדלא נקיב ליה כדרך הנוקבין נקב עגול ויפה, רש"י.</w:t>
      </w:r>
    </w:p>
  </w:footnote>
  <w:footnote w:id="2210">
    <w:p w14:paraId="380C15A7" w14:textId="30EA0712"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שמרחיב פיה למטה ממגופתה, רש"י (ד"ה התם ודאי). היינו שמתיז חלק מהחבית עצמה, וכן נראה מהרמב"ם</w:t>
      </w:r>
      <w:r w:rsidR="00AB08D4">
        <w:rPr>
          <w:rFonts w:asciiTheme="minorBidi" w:hAnsiTheme="minorBidi" w:hint="cs"/>
          <w:rtl/>
        </w:rPr>
        <w:t xml:space="preserve"> (פכ"ג ה"ב)</w:t>
      </w:r>
      <w:r w:rsidRPr="008C1C8E">
        <w:rPr>
          <w:rFonts w:asciiTheme="minorBidi" w:hAnsiTheme="minorBidi"/>
          <w:rtl/>
        </w:rPr>
        <w:t>, ב"י. וכ"כ התוס'</w:t>
      </w:r>
      <w:r w:rsidR="00C516FB">
        <w:rPr>
          <w:rFonts w:asciiTheme="minorBidi" w:hAnsiTheme="minorBidi" w:hint="cs"/>
          <w:rtl/>
        </w:rPr>
        <w:t xml:space="preserve"> (שבת מח: ד"ה וכי).</w:t>
      </w:r>
      <w:r w:rsidRPr="008C1C8E">
        <w:rPr>
          <w:rFonts w:asciiTheme="minorBidi" w:hAnsiTheme="minorBidi"/>
          <w:rtl/>
        </w:rPr>
        <w:t xml:space="preserve"> אך הטור כ' "מותר להתיז ראש </w:t>
      </w:r>
      <w:r w:rsidRPr="00AB08D4">
        <w:rPr>
          <w:rFonts w:asciiTheme="minorBidi" w:hAnsiTheme="minorBidi"/>
          <w:b/>
          <w:bCs/>
          <w:rtl/>
        </w:rPr>
        <w:t>המגופה</w:t>
      </w:r>
      <w:r w:rsidRPr="008C1C8E">
        <w:rPr>
          <w:rFonts w:asciiTheme="minorBidi" w:hAnsiTheme="minorBidi"/>
          <w:rtl/>
        </w:rPr>
        <w:t>", והב"י פירש את דבריו כרש"י וסיעתו היינו שהתכו</w:t>
      </w:r>
      <w:r w:rsidR="00951C51">
        <w:rPr>
          <w:rFonts w:asciiTheme="minorBidi" w:hAnsiTheme="minorBidi" w:hint="cs"/>
          <w:rtl/>
        </w:rPr>
        <w:t>ו</w:t>
      </w:r>
      <w:r w:rsidRPr="008C1C8E">
        <w:rPr>
          <w:rFonts w:asciiTheme="minorBidi" w:hAnsiTheme="minorBidi"/>
          <w:rtl/>
        </w:rPr>
        <w:t>ן הטור לומר כך- "מותר להתיז ראש החבית שהמגופה בו"</w:t>
      </w:r>
      <w:r w:rsidR="00866997">
        <w:rPr>
          <w:rFonts w:asciiTheme="minorBidi" w:hAnsiTheme="minorBidi" w:hint="cs"/>
          <w:rtl/>
        </w:rPr>
        <w:t>.</w:t>
      </w:r>
      <w:r w:rsidRPr="008C1C8E">
        <w:rPr>
          <w:rFonts w:asciiTheme="minorBidi" w:hAnsiTheme="minorBidi"/>
          <w:rtl/>
        </w:rPr>
        <w:t xml:space="preserve"> א</w:t>
      </w:r>
      <w:r w:rsidR="00866997">
        <w:rPr>
          <w:rFonts w:asciiTheme="minorBidi" w:hAnsiTheme="minorBidi" w:hint="cs"/>
          <w:rtl/>
        </w:rPr>
        <w:t>מנם</w:t>
      </w:r>
      <w:r w:rsidRPr="008C1C8E">
        <w:rPr>
          <w:rFonts w:asciiTheme="minorBidi" w:hAnsiTheme="minorBidi"/>
          <w:rtl/>
        </w:rPr>
        <w:t xml:space="preserve"> המג"א פירש את דברי הטור כמשמעם.</w:t>
      </w:r>
    </w:p>
  </w:footnote>
  <w:footnote w:id="2211">
    <w:p w14:paraId="42A770E0"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שמרחיב פיה למטה ממגופתה, כדקתני: מתיז את ראשה, שפת פיה, רש"י.</w:t>
      </w:r>
    </w:p>
  </w:footnote>
  <w:footnote w:id="2212">
    <w:p w14:paraId="713A7DCB" w14:textId="46BEE121" w:rsidR="00417077" w:rsidRDefault="00417077" w:rsidP="00285819">
      <w:pPr>
        <w:pStyle w:val="a7"/>
      </w:pPr>
      <w:r>
        <w:rPr>
          <w:rStyle w:val="a9"/>
        </w:rPr>
        <w:footnoteRef/>
      </w:r>
      <w:r>
        <w:rPr>
          <w:rtl/>
        </w:rPr>
        <w:t xml:space="preserve"> </w:t>
      </w:r>
      <w:r w:rsidRPr="004C7C95">
        <w:rPr>
          <w:rFonts w:asciiTheme="minorBidi" w:hAnsiTheme="minorBidi" w:cs="Arial"/>
          <w:rtl/>
        </w:rPr>
        <w:t>כלומר יטול מגופתה</w:t>
      </w:r>
      <w:r>
        <w:rPr>
          <w:rFonts w:asciiTheme="minorBidi" w:hAnsiTheme="minorBidi" w:cs="Arial" w:hint="cs"/>
          <w:rtl/>
        </w:rPr>
        <w:t>, ב"י.</w:t>
      </w:r>
    </w:p>
  </w:footnote>
  <w:footnote w:id="2213">
    <w:p w14:paraId="2CA2069C"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בראש המגופה התם הוא דשרו רבנן, דלאו אורחא למיעבד פתחא התם, אלא נוטל כל המגופה, רש"י.</w:t>
      </w:r>
    </w:p>
  </w:footnote>
  <w:footnote w:id="2214">
    <w:p w14:paraId="5EE46237"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זמנין דעבדי לה משום פתחא, ואינו רוצה לפותחה למעלה שלא יפול עפר או פסולת ביין, רש"י.</w:t>
      </w:r>
    </w:p>
  </w:footnote>
  <w:footnote w:id="2215">
    <w:p w14:paraId="7A98C61F"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ואמגופה קאי, ודברי הכל, רש"י.</w:t>
      </w:r>
    </w:p>
  </w:footnote>
  <w:footnote w:id="2216">
    <w:p w14:paraId="51F593EA" w14:textId="77777777" w:rsidR="009A7623" w:rsidRPr="008C1C8E" w:rsidRDefault="009A7623" w:rsidP="00285819">
      <w:pPr>
        <w:spacing w:after="0" w:line="240" w:lineRule="auto"/>
        <w:rPr>
          <w:rFonts w:asciiTheme="minorBidi" w:hAnsiTheme="minorBidi"/>
          <w:sz w:val="20"/>
          <w:szCs w:val="20"/>
        </w:rPr>
      </w:pPr>
      <w:r w:rsidRPr="008C1C8E">
        <w:rPr>
          <w:rStyle w:val="a9"/>
          <w:rFonts w:asciiTheme="minorBidi" w:hAnsiTheme="minorBidi"/>
          <w:sz w:val="20"/>
          <w:szCs w:val="20"/>
        </w:rPr>
        <w:footnoteRef/>
      </w:r>
      <w:r w:rsidRPr="008C1C8E">
        <w:rPr>
          <w:rFonts w:asciiTheme="minorBidi" w:hAnsiTheme="minorBidi"/>
          <w:sz w:val="20"/>
          <w:szCs w:val="20"/>
          <w:rtl/>
        </w:rPr>
        <w:t xml:space="preserve"> התם הוא דקאסר ר' יהודה - משום דאיכא דעבדי ליה פתחא, רש"י.</w:t>
      </w:r>
    </w:p>
  </w:footnote>
  <w:footnote w:id="2217">
    <w:p w14:paraId="688DF36C" w14:textId="46BB513A" w:rsidR="00871017" w:rsidRDefault="00871017" w:rsidP="00285819">
      <w:pPr>
        <w:pStyle w:val="a7"/>
      </w:pPr>
      <w:r>
        <w:rPr>
          <w:rStyle w:val="a9"/>
        </w:rPr>
        <w:footnoteRef/>
      </w:r>
      <w:r>
        <w:rPr>
          <w:rtl/>
        </w:rPr>
        <w:t xml:space="preserve"> </w:t>
      </w:r>
      <w:r w:rsidRPr="004C7C95">
        <w:rPr>
          <w:rFonts w:asciiTheme="minorBidi" w:hAnsiTheme="minorBidi" w:cs="Arial"/>
          <w:rtl/>
        </w:rPr>
        <w:t>התוספות כתבו (מח: ד"ה וכי מה) דהא דאסר למיברז חביתא חבית גופה משמע</w:t>
      </w:r>
      <w:r>
        <w:rPr>
          <w:rFonts w:asciiTheme="minorBidi" w:hAnsiTheme="minorBidi" w:cs="Arial" w:hint="cs"/>
          <w:rtl/>
        </w:rPr>
        <w:t>,</w:t>
      </w:r>
      <w:r w:rsidRPr="004C7C95">
        <w:rPr>
          <w:rFonts w:asciiTheme="minorBidi" w:hAnsiTheme="minorBidi" w:cs="Arial"/>
          <w:rtl/>
        </w:rPr>
        <w:t xml:space="preserve"> ועוד דבמגופה שרי דתנן אין נוקבין מגופה של חבית דברי רבי יהודה וחכמים מתירין</w:t>
      </w:r>
      <w:r>
        <w:rPr>
          <w:rFonts w:asciiTheme="minorBidi" w:hAnsiTheme="minorBidi" w:cs="Arial" w:hint="cs"/>
          <w:rtl/>
        </w:rPr>
        <w:t>,</w:t>
      </w:r>
      <w:r w:rsidRPr="004C7C95">
        <w:rPr>
          <w:rFonts w:asciiTheme="minorBidi" w:hAnsiTheme="minorBidi" w:cs="Arial"/>
          <w:rtl/>
        </w:rPr>
        <w:t xml:space="preserve"> צריך לומר דאינהו סבירא להו כרב חסדא ומשום הכי כתבו דבמגופה שרי בכל גוונא לחכמים דקיי"ל כוותייהו</w:t>
      </w:r>
      <w:r>
        <w:rPr>
          <w:rFonts w:asciiTheme="minorBidi" w:hAnsiTheme="minorBidi" w:cs="Arial" w:hint="cs"/>
          <w:rtl/>
        </w:rPr>
        <w:t>,</w:t>
      </w:r>
      <w:r w:rsidRPr="004C7C95">
        <w:rPr>
          <w:rFonts w:asciiTheme="minorBidi" w:hAnsiTheme="minorBidi" w:cs="Arial"/>
          <w:rtl/>
        </w:rPr>
        <w:t xml:space="preserve"> וא"כ על כרחך לומר דלא אסר רב ששת למיברז אלא בגופה דחביתא</w:t>
      </w:r>
      <w:r>
        <w:rPr>
          <w:rFonts w:asciiTheme="minorBidi" w:hAnsiTheme="minorBidi" w:cs="Arial" w:hint="cs"/>
          <w:rtl/>
        </w:rPr>
        <w:t>.</w:t>
      </w:r>
      <w:r w:rsidRPr="004C7C95">
        <w:rPr>
          <w:rFonts w:asciiTheme="minorBidi" w:hAnsiTheme="minorBidi" w:cs="Arial"/>
          <w:rtl/>
        </w:rPr>
        <w:t xml:space="preserve"> אבל למאן דפסק כרב הונא ודאי דאפילו במגופה נמי אסור למיברז לדברי הכל כיון דמן הצד הוא דעד כאן לא שרו חכמים אלא מלמעלה</w:t>
      </w:r>
      <w:r>
        <w:rPr>
          <w:rFonts w:asciiTheme="minorBidi" w:hAnsiTheme="minorBidi" w:cs="Arial" w:hint="cs"/>
          <w:rtl/>
        </w:rPr>
        <w:t>, ב"י.</w:t>
      </w:r>
      <w:r w:rsidR="00866997" w:rsidRPr="00866997">
        <w:rPr>
          <w:rFonts w:cs="Arial" w:hint="cs"/>
          <w:color w:val="E36C0A" w:themeColor="accent6" w:themeShade="BF"/>
          <w:rtl/>
        </w:rPr>
        <w:t xml:space="preserve"> </w:t>
      </w:r>
      <w:r w:rsidR="00866997" w:rsidRPr="00866997">
        <w:rPr>
          <w:rFonts w:asciiTheme="minorBidi" w:hAnsiTheme="minorBidi" w:cs="Arial" w:hint="cs"/>
          <w:color w:val="E36C0A" w:themeColor="accent6" w:themeShade="BF"/>
          <w:rtl/>
        </w:rPr>
        <w:t>(וכ"פ בשו"ע)</w:t>
      </w:r>
    </w:p>
  </w:footnote>
  <w:footnote w:id="2218">
    <w:p w14:paraId="122D7C04" w14:textId="61F00708" w:rsidR="00417077" w:rsidRDefault="00417077" w:rsidP="00285819">
      <w:pPr>
        <w:pStyle w:val="a7"/>
      </w:pPr>
      <w:r>
        <w:rPr>
          <w:rStyle w:val="a9"/>
        </w:rPr>
        <w:footnoteRef/>
      </w:r>
      <w:r>
        <w:rPr>
          <w:rtl/>
        </w:rPr>
        <w:t xml:space="preserve"> </w:t>
      </w:r>
      <w:r>
        <w:rPr>
          <w:rFonts w:cs="Arial" w:hint="cs"/>
          <w:rtl/>
        </w:rPr>
        <w:t xml:space="preserve">האו"ז לא כתב כן בפירוש, אלא כתב כן לגבי שבירת תיבה ומגדל וכן לגבי שובר אדם חבית לאכול ממנה גרוגרות </w:t>
      </w:r>
      <w:r w:rsidRPr="000B2D30">
        <w:rPr>
          <w:rFonts w:cs="Arial" w:hint="cs"/>
          <w:sz w:val="16"/>
          <w:szCs w:val="16"/>
          <w:rtl/>
        </w:rPr>
        <w:t xml:space="preserve">(וז"ל- </w:t>
      </w:r>
      <w:r w:rsidRPr="000B2D30">
        <w:rPr>
          <w:rFonts w:cs="Arial"/>
          <w:sz w:val="16"/>
          <w:szCs w:val="16"/>
          <w:rtl/>
        </w:rPr>
        <w:t>הא דתנן שובר אדם את החבית אם הוא של עץ צריך שלא תהא מחזקת ארבעים סאה בלח</w:t>
      </w:r>
      <w:r w:rsidRPr="000B2D30">
        <w:rPr>
          <w:rFonts w:cs="Arial" w:hint="cs"/>
          <w:sz w:val="16"/>
          <w:szCs w:val="16"/>
          <w:rtl/>
        </w:rPr>
        <w:t>,</w:t>
      </w:r>
      <w:r w:rsidRPr="000B2D30">
        <w:rPr>
          <w:rFonts w:cs="Arial"/>
          <w:sz w:val="16"/>
          <w:szCs w:val="16"/>
          <w:rtl/>
        </w:rPr>
        <w:t xml:space="preserve"> שא"כ הוה אוהל ואסור לסתור האוהל</w:t>
      </w:r>
      <w:r>
        <w:rPr>
          <w:rFonts w:cs="Arial" w:hint="cs"/>
          <w:sz w:val="16"/>
          <w:szCs w:val="16"/>
          <w:rtl/>
        </w:rPr>
        <w:t>)</w:t>
      </w:r>
      <w:r>
        <w:rPr>
          <w:rFonts w:cs="Arial" w:hint="cs"/>
          <w:rtl/>
        </w:rPr>
        <w:t>, אבל לגבי מתיז לא דיבר בהדיא, אלא שכך נראה מדבריו.</w:t>
      </w:r>
    </w:p>
  </w:footnote>
  <w:footnote w:id="2219">
    <w:p w14:paraId="55384D33"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חבית של מוסטקי, היינו שחיבר שבריה בזפת, ולדעת הטור שכ'- "מותר להתיז ראש המגופה" מותר אפי' בחבית שלימה דאין המגופה חיבור לחבית, מג"א (סק"ז).</w:t>
      </w:r>
    </w:p>
  </w:footnote>
  <w:footnote w:id="2220">
    <w:p w14:paraId="6BF68B85"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אע"ג דבחבית אסור כמ"ש ס"א מגופה שאני מן החבית דאפי' אם היה עשוי הנקב שבמגופה להכניס ולהוציא לא מחייב והכא כיון שאינו עשוי להכניס ולהוציא שרי </w:t>
      </w:r>
      <w:r w:rsidRPr="008C1C8E">
        <w:rPr>
          <w:rFonts w:asciiTheme="minorBidi" w:hAnsiTheme="minorBidi"/>
          <w:sz w:val="16"/>
          <w:szCs w:val="16"/>
          <w:rtl/>
        </w:rPr>
        <w:t>(תוס' שבת מח: ד"ה וכי)</w:t>
      </w:r>
      <w:r w:rsidRPr="008C1C8E">
        <w:rPr>
          <w:rFonts w:asciiTheme="minorBidi" w:hAnsiTheme="minorBidi"/>
          <w:rtl/>
        </w:rPr>
        <w:t>, וא"כ אפי' בחבית שלימה שרי, מג"א (סק"ח).</w:t>
      </w:r>
    </w:p>
  </w:footnote>
  <w:footnote w:id="2221">
    <w:p w14:paraId="6C536007" w14:textId="42F5AC3B"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כגון דלתות פתחי בורות ומערה, הסגורים בקשרי חבלים</w:t>
      </w:r>
      <w:r w:rsidR="00C45A60" w:rsidRPr="008C1C8E">
        <w:rPr>
          <w:rFonts w:asciiTheme="minorBidi" w:hAnsiTheme="minorBidi"/>
          <w:rtl/>
        </w:rPr>
        <w:t>, רש"י</w:t>
      </w:r>
      <w:r w:rsidRPr="008C1C8E">
        <w:rPr>
          <w:rFonts w:asciiTheme="minorBidi" w:hAnsiTheme="minorBidi"/>
          <w:rtl/>
        </w:rPr>
        <w:t>.</w:t>
      </w:r>
    </w:p>
  </w:footnote>
  <w:footnote w:id="2222">
    <w:p w14:paraId="5597F057" w14:textId="65DD3E94"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את הקשר, דהא לאו קשר של קיימא הוא, שהרי להתיר תמיד הוא עשוי</w:t>
      </w:r>
      <w:r w:rsidR="00C45A60" w:rsidRPr="008C1C8E">
        <w:rPr>
          <w:rFonts w:asciiTheme="minorBidi" w:hAnsiTheme="minorBidi"/>
          <w:rtl/>
        </w:rPr>
        <w:t>, רש"י</w:t>
      </w:r>
      <w:r w:rsidRPr="008C1C8E">
        <w:rPr>
          <w:rFonts w:asciiTheme="minorBidi" w:hAnsiTheme="minorBidi"/>
          <w:rtl/>
        </w:rPr>
        <w:t>.</w:t>
      </w:r>
    </w:p>
  </w:footnote>
  <w:footnote w:id="2223">
    <w:p w14:paraId="40EC26ED" w14:textId="73B6AA39"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החבל, לסתור עבותו וגדילתו</w:t>
      </w:r>
      <w:r w:rsidR="00C45A60" w:rsidRPr="008C1C8E">
        <w:rPr>
          <w:rFonts w:asciiTheme="minorBidi" w:hAnsiTheme="minorBidi"/>
          <w:rtl/>
        </w:rPr>
        <w:t>, רש"י</w:t>
      </w:r>
      <w:r w:rsidRPr="008C1C8E">
        <w:rPr>
          <w:rFonts w:asciiTheme="minorBidi" w:hAnsiTheme="minorBidi"/>
          <w:rtl/>
        </w:rPr>
        <w:t>.</w:t>
      </w:r>
    </w:p>
  </w:footnote>
  <w:footnote w:id="2224">
    <w:p w14:paraId="3E9E2C76" w14:textId="41AD5394"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דהא סתירה היא, ויש סתירה בבנין של קרקע</w:t>
      </w:r>
      <w:r w:rsidR="00C45A60" w:rsidRPr="008C1C8E">
        <w:rPr>
          <w:rFonts w:asciiTheme="minorBidi" w:hAnsiTheme="minorBidi"/>
          <w:rtl/>
        </w:rPr>
        <w:t>, רש"י</w:t>
      </w:r>
      <w:r w:rsidRPr="008C1C8E">
        <w:rPr>
          <w:rFonts w:asciiTheme="minorBidi" w:hAnsiTheme="minorBidi"/>
          <w:rtl/>
        </w:rPr>
        <w:t>.</w:t>
      </w:r>
    </w:p>
  </w:footnote>
  <w:footnote w:id="2225">
    <w:p w14:paraId="551C86F4" w14:textId="316C2CCF"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כגון תיבה הנעולה על ידי קשר חבל - מתיר ומפקיע וחותך, דאין סתירה בכלים</w:t>
      </w:r>
      <w:r w:rsidR="00C45A60" w:rsidRPr="008C1C8E">
        <w:rPr>
          <w:rFonts w:asciiTheme="minorBidi" w:hAnsiTheme="minorBidi"/>
          <w:rtl/>
        </w:rPr>
        <w:t>, רש"י</w:t>
      </w:r>
      <w:r w:rsidRPr="008C1C8E">
        <w:rPr>
          <w:rFonts w:asciiTheme="minorBidi" w:hAnsiTheme="minorBidi"/>
          <w:rtl/>
        </w:rPr>
        <w:t>.</w:t>
      </w:r>
    </w:p>
  </w:footnote>
  <w:footnote w:id="2226">
    <w:p w14:paraId="19B4BA1A" w14:textId="77777777" w:rsidR="00A25F2E" w:rsidRPr="008C1C8E" w:rsidRDefault="00A25F2E"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ובגמ' מפרש לה, וכגון שהמגדל ברשות היחיד, דאי הוה ביה מפתח לא הוה ביה שום איסור דהוא ועירובו ברשות היחיד, רש"י.</w:t>
      </w:r>
    </w:p>
  </w:footnote>
  <w:footnote w:id="2227">
    <w:p w14:paraId="45543171" w14:textId="77777777" w:rsidR="00A25F2E" w:rsidRPr="008C1C8E" w:rsidRDefault="00A25F2E"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נהי דתרוויהו ברשות היחיד נינהו, כיון דלא מצי שקיל ליה הוה ליה כשני מקומות, רש"י.</w:t>
      </w:r>
    </w:p>
  </w:footnote>
  <w:footnote w:id="2228">
    <w:p w14:paraId="49F98628" w14:textId="77777777" w:rsidR="00A25F2E" w:rsidRPr="008C1C8E" w:rsidRDefault="00A25F2E"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שנוח לסותרו, וכדבעי לאוקומי באוירא דליבני, סדורות זו על גבי זו בלא טיט ביניהן, דלאו סתירה היא, רש"י.</w:t>
      </w:r>
    </w:p>
  </w:footnote>
  <w:footnote w:id="2229">
    <w:p w14:paraId="049C78AA" w14:textId="77777777" w:rsidR="00A25F2E" w:rsidRPr="008C1C8E" w:rsidRDefault="00A25F2E"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ואי בעי סתר ליה, רש"י.</w:t>
      </w:r>
    </w:p>
  </w:footnote>
  <w:footnote w:id="2230">
    <w:p w14:paraId="01CDB3DB" w14:textId="77777777" w:rsidR="00A25F2E" w:rsidRDefault="00A25F2E" w:rsidP="00285819">
      <w:pPr>
        <w:pStyle w:val="a7"/>
      </w:pPr>
      <w:r>
        <w:rPr>
          <w:rStyle w:val="a9"/>
        </w:rPr>
        <w:footnoteRef/>
      </w:r>
      <w:r>
        <w:rPr>
          <w:rtl/>
        </w:rPr>
        <w:t xml:space="preserve"> </w:t>
      </w:r>
      <w:r w:rsidRPr="00220941">
        <w:rPr>
          <w:rFonts w:cs="Arial"/>
          <w:rtl/>
        </w:rPr>
        <w:t>קשור המנעול בחבל</w:t>
      </w:r>
      <w:r>
        <w:rPr>
          <w:rFonts w:cs="Arial" w:hint="cs"/>
          <w:rtl/>
        </w:rPr>
        <w:t>, רש"י.</w:t>
      </w:r>
    </w:p>
  </w:footnote>
  <w:footnote w:id="2231">
    <w:p w14:paraId="4B797E79" w14:textId="77777777" w:rsidR="00A25F2E" w:rsidRDefault="00A25F2E" w:rsidP="00285819">
      <w:pPr>
        <w:pStyle w:val="a7"/>
      </w:pPr>
      <w:r>
        <w:rPr>
          <w:rStyle w:val="a9"/>
        </w:rPr>
        <w:footnoteRef/>
      </w:r>
      <w:r>
        <w:rPr>
          <w:rtl/>
        </w:rPr>
        <w:t xml:space="preserve"> </w:t>
      </w:r>
      <w:r w:rsidRPr="00220941">
        <w:rPr>
          <w:rFonts w:cs="Arial"/>
          <w:rtl/>
        </w:rPr>
        <w:t>דאי הוה מצי למיפסקיה בידיה - שפיר דמי אפילו לר' אליעזר, דאין חתיכה אסורה אלא במחובר, אבל הכא מקלקל הוא, ושרי, כדתניא במסכת ביצה (לא</w:t>
      </w:r>
      <w:r>
        <w:rPr>
          <w:rFonts w:cs="Arial" w:hint="cs"/>
          <w:rtl/>
        </w:rPr>
        <w:t>:</w:t>
      </w:r>
      <w:r w:rsidRPr="00220941">
        <w:rPr>
          <w:rFonts w:cs="Arial"/>
          <w:rtl/>
        </w:rPr>
        <w:t>): חותמות שבכלים מתיר ומפקיע וחותך</w:t>
      </w:r>
      <w:r>
        <w:rPr>
          <w:rFonts w:cs="Arial" w:hint="cs"/>
          <w:rtl/>
        </w:rPr>
        <w:t>..., רש"י.</w:t>
      </w:r>
    </w:p>
  </w:footnote>
  <w:footnote w:id="2232">
    <w:p w14:paraId="259C8455" w14:textId="77777777" w:rsidR="00217B27" w:rsidRDefault="00217B27" w:rsidP="00285819">
      <w:pPr>
        <w:pStyle w:val="a7"/>
        <w:rPr>
          <w:rtl/>
        </w:rPr>
      </w:pPr>
      <w:r>
        <w:rPr>
          <w:rStyle w:val="a9"/>
        </w:rPr>
        <w:footnoteRef/>
      </w:r>
      <w:r>
        <w:rPr>
          <w:rtl/>
        </w:rPr>
        <w:t xml:space="preserve"> </w:t>
      </w:r>
      <w:r>
        <w:rPr>
          <w:rFonts w:hint="cs"/>
          <w:rtl/>
        </w:rPr>
        <w:t>היינו אין בניין וסתירה בכלים כלל, דאזיל היראים לשיטתו כמבואר בסע' א.</w:t>
      </w:r>
    </w:p>
  </w:footnote>
  <w:footnote w:id="2233">
    <w:p w14:paraId="46B63BA6" w14:textId="77777777" w:rsidR="00A310FC" w:rsidRDefault="00A310FC" w:rsidP="00285819">
      <w:pPr>
        <w:pStyle w:val="a7"/>
      </w:pPr>
      <w:r>
        <w:rPr>
          <w:rStyle w:val="a9"/>
        </w:rPr>
        <w:footnoteRef/>
      </w:r>
      <w:r>
        <w:rPr>
          <w:rtl/>
        </w:rPr>
        <w:t xml:space="preserve"> </w:t>
      </w:r>
      <w:r>
        <w:rPr>
          <w:rFonts w:asciiTheme="minorBidi" w:hAnsiTheme="minorBidi" w:cs="Arial" w:hint="cs"/>
          <w:rtl/>
        </w:rPr>
        <w:t>וכתב ה</w:t>
      </w:r>
      <w:r w:rsidRPr="00A25F2E">
        <w:rPr>
          <w:rFonts w:asciiTheme="minorBidi" w:hAnsiTheme="minorBidi" w:cs="Arial"/>
          <w:rtl/>
        </w:rPr>
        <w:t xml:space="preserve">אגור </w:t>
      </w:r>
      <w:r w:rsidRPr="00226E61">
        <w:rPr>
          <w:rFonts w:asciiTheme="minorBidi" w:hAnsiTheme="minorBidi" w:cs="Arial"/>
          <w:sz w:val="16"/>
          <w:szCs w:val="16"/>
          <w:rtl/>
        </w:rPr>
        <w:t>(סי' תסג)</w:t>
      </w:r>
      <w:r>
        <w:rPr>
          <w:rFonts w:asciiTheme="minorBidi" w:hAnsiTheme="minorBidi" w:cs="Arial" w:hint="cs"/>
          <w:rtl/>
        </w:rPr>
        <w:t>-</w:t>
      </w:r>
      <w:r w:rsidRPr="00226E61">
        <w:rPr>
          <w:rtl/>
        </w:rPr>
        <w:t xml:space="preserve"> </w:t>
      </w:r>
      <w:r w:rsidRPr="00226E61">
        <w:rPr>
          <w:rFonts w:asciiTheme="minorBidi" w:hAnsiTheme="minorBidi" w:cs="Arial"/>
          <w:rtl/>
        </w:rPr>
        <w:t>ואני המחבר לא ראיתי שום מורה צדק מימי שמתיר לשבר הפותחות כלל אפי' שהיה לצורך שבת</w:t>
      </w:r>
      <w:r>
        <w:rPr>
          <w:rFonts w:asciiTheme="minorBidi" w:hAnsiTheme="minorBidi" w:cs="Arial" w:hint="cs"/>
          <w:rtl/>
        </w:rPr>
        <w:t>. עכ"ל.</w:t>
      </w:r>
      <w:r w:rsidRPr="00226E61">
        <w:rPr>
          <w:rFonts w:asciiTheme="minorBidi" w:hAnsiTheme="minorBidi" w:cs="Arial"/>
          <w:rtl/>
        </w:rPr>
        <w:t xml:space="preserve"> </w:t>
      </w:r>
      <w:r w:rsidRPr="00A25F2E">
        <w:rPr>
          <w:rFonts w:asciiTheme="minorBidi" w:hAnsiTheme="minorBidi" w:cs="Arial"/>
          <w:rtl/>
        </w:rPr>
        <w:t>ומשמע דעל ידי ישראל קאמר דאילו על ידי גוי אין להחמיר כל כך כיון דאיכא מאן דשרי אפילו על ידי ישראל</w:t>
      </w:r>
      <w:r>
        <w:rPr>
          <w:rFonts w:asciiTheme="minorBidi" w:hAnsiTheme="minorBidi" w:cs="Arial" w:hint="cs"/>
          <w:rtl/>
        </w:rPr>
        <w:t>, ב"י</w:t>
      </w:r>
      <w:r>
        <w:rPr>
          <w:rFonts w:cs="Arial" w:hint="cs"/>
          <w:rtl/>
        </w:rPr>
        <w:t>.</w:t>
      </w:r>
      <w:r w:rsidRPr="004C7C95">
        <w:rPr>
          <w:rFonts w:cs="Arial"/>
          <w:rtl/>
        </w:rPr>
        <w:t xml:space="preserve"> </w:t>
      </w:r>
    </w:p>
  </w:footnote>
  <w:footnote w:id="2234">
    <w:p w14:paraId="7C7A3172" w14:textId="64AC95D0" w:rsidR="00217B27" w:rsidRDefault="00217B27" w:rsidP="00285819">
      <w:pPr>
        <w:pStyle w:val="a7"/>
      </w:pPr>
      <w:r>
        <w:rPr>
          <w:rStyle w:val="a9"/>
        </w:rPr>
        <w:footnoteRef/>
      </w:r>
      <w:r>
        <w:rPr>
          <w:rtl/>
        </w:rPr>
        <w:t xml:space="preserve"> </w:t>
      </w:r>
      <w:r>
        <w:rPr>
          <w:rFonts w:asciiTheme="minorBidi" w:hAnsiTheme="minorBidi" w:cs="Arial" w:hint="cs"/>
          <w:rtl/>
        </w:rPr>
        <w:t xml:space="preserve">וז"ל- </w:t>
      </w:r>
      <w:r w:rsidRPr="00576F7D">
        <w:rPr>
          <w:rFonts w:asciiTheme="minorBidi" w:hAnsiTheme="minorBidi" w:cs="Arial"/>
          <w:rtl/>
        </w:rPr>
        <w:t>אמר רבי דמההיא דבכל מערבין (לד</w:t>
      </w:r>
      <w:r>
        <w:rPr>
          <w:rFonts w:asciiTheme="minorBidi" w:hAnsiTheme="minorBidi" w:cs="Arial" w:hint="cs"/>
          <w:rtl/>
        </w:rPr>
        <w:t>:</w:t>
      </w:r>
      <w:r w:rsidRPr="00576F7D">
        <w:rPr>
          <w:rFonts w:asciiTheme="minorBidi" w:hAnsiTheme="minorBidi" w:cs="Arial"/>
          <w:rtl/>
        </w:rPr>
        <w:t>) יש ללמוד דדווקא בקשור בחבל מפקיע וחותך אבל פותחת של עץ ושל מתכת אסור לשבר ולהפקיע מדקשיא לן גבי נתן עירובו במגדל אמאי הוא במקום אחד ועירובו במקום אחר דפשיטא ליה שאין יכול להפקיע הפותחת וליטול העירוב אע</w:t>
      </w:r>
      <w:r>
        <w:rPr>
          <w:rFonts w:asciiTheme="minorBidi" w:hAnsiTheme="minorBidi" w:cs="Arial" w:hint="cs"/>
          <w:rtl/>
        </w:rPr>
        <w:t>"</w:t>
      </w:r>
      <w:r w:rsidRPr="00576F7D">
        <w:rPr>
          <w:rFonts w:asciiTheme="minorBidi" w:hAnsiTheme="minorBidi" w:cs="Arial"/>
          <w:rtl/>
        </w:rPr>
        <w:t>פ דסתם המגדל שבכל התלמוד הוא כלי כמו הצד צבי לבית וצפור למגדל (שבת קו</w:t>
      </w:r>
      <w:r>
        <w:rPr>
          <w:rFonts w:asciiTheme="minorBidi" w:hAnsiTheme="minorBidi" w:cs="Arial" w:hint="cs"/>
          <w:rtl/>
        </w:rPr>
        <w:t>.</w:t>
      </w:r>
      <w:r w:rsidRPr="00576F7D">
        <w:rPr>
          <w:rFonts w:asciiTheme="minorBidi" w:hAnsiTheme="minorBidi" w:cs="Arial"/>
          <w:rtl/>
        </w:rPr>
        <w:t>) וכמו ההיא דתחילת פרק כל הכלים (שבת קכב</w:t>
      </w:r>
      <w:r>
        <w:rPr>
          <w:rFonts w:asciiTheme="minorBidi" w:hAnsiTheme="minorBidi" w:cs="Arial" w:hint="cs"/>
          <w:rtl/>
        </w:rPr>
        <w:t>:</w:t>
      </w:r>
      <w:r w:rsidRPr="00576F7D">
        <w:rPr>
          <w:rFonts w:asciiTheme="minorBidi" w:hAnsiTheme="minorBidi" w:cs="Arial"/>
          <w:rtl/>
        </w:rPr>
        <w:t>)</w:t>
      </w:r>
      <w:r>
        <w:rPr>
          <w:rFonts w:asciiTheme="minorBidi" w:hAnsiTheme="minorBidi" w:cs="Arial" w:hint="cs"/>
          <w:rtl/>
        </w:rPr>
        <w:t>.</w:t>
      </w:r>
    </w:p>
  </w:footnote>
  <w:footnote w:id="2235">
    <w:p w14:paraId="36642F8F" w14:textId="3FCC9B92" w:rsidR="000B08F1" w:rsidRDefault="000B08F1" w:rsidP="00285819">
      <w:pPr>
        <w:pStyle w:val="a7"/>
      </w:pPr>
      <w:r>
        <w:rPr>
          <w:rStyle w:val="a9"/>
        </w:rPr>
        <w:footnoteRef/>
      </w:r>
      <w:r>
        <w:rPr>
          <w:rtl/>
        </w:rPr>
        <w:t xml:space="preserve"> </w:t>
      </w:r>
      <w:r>
        <w:rPr>
          <w:rFonts w:asciiTheme="minorBidi" w:hAnsiTheme="minorBidi" w:cs="Arial" w:hint="cs"/>
          <w:rtl/>
        </w:rPr>
        <w:t>וכתב ה</w:t>
      </w:r>
      <w:r w:rsidRPr="00A25F2E">
        <w:rPr>
          <w:rFonts w:asciiTheme="minorBidi" w:hAnsiTheme="minorBidi" w:cs="Arial"/>
          <w:rtl/>
        </w:rPr>
        <w:t xml:space="preserve">אגור </w:t>
      </w:r>
      <w:r w:rsidRPr="00226E61">
        <w:rPr>
          <w:rFonts w:asciiTheme="minorBidi" w:hAnsiTheme="minorBidi" w:cs="Arial"/>
          <w:sz w:val="16"/>
          <w:szCs w:val="16"/>
          <w:rtl/>
        </w:rPr>
        <w:t>(סי' תסג)</w:t>
      </w:r>
      <w:r>
        <w:rPr>
          <w:rFonts w:asciiTheme="minorBidi" w:hAnsiTheme="minorBidi" w:cs="Arial" w:hint="cs"/>
          <w:rtl/>
        </w:rPr>
        <w:t>-</w:t>
      </w:r>
      <w:r w:rsidRPr="00226E61">
        <w:rPr>
          <w:rtl/>
        </w:rPr>
        <w:t xml:space="preserve"> </w:t>
      </w:r>
      <w:r w:rsidRPr="00226E61">
        <w:rPr>
          <w:rFonts w:asciiTheme="minorBidi" w:hAnsiTheme="minorBidi" w:cs="Arial"/>
          <w:rtl/>
        </w:rPr>
        <w:t>ואני המחבר לא ראיתי שום מורה צדק מימי שמתיר לשבר הפותחות כלל אפי' שהיה לצורך שבת</w:t>
      </w:r>
      <w:r>
        <w:rPr>
          <w:rFonts w:asciiTheme="minorBidi" w:hAnsiTheme="minorBidi" w:cs="Arial" w:hint="cs"/>
          <w:rtl/>
        </w:rPr>
        <w:t>. עכ"ל.</w:t>
      </w:r>
      <w:r w:rsidRPr="00226E61">
        <w:rPr>
          <w:rFonts w:asciiTheme="minorBidi" w:hAnsiTheme="minorBidi" w:cs="Arial"/>
          <w:rtl/>
        </w:rPr>
        <w:t xml:space="preserve"> </w:t>
      </w:r>
      <w:r w:rsidRPr="00A25F2E">
        <w:rPr>
          <w:rFonts w:asciiTheme="minorBidi" w:hAnsiTheme="minorBidi" w:cs="Arial"/>
          <w:rtl/>
        </w:rPr>
        <w:t>ומשמע דעל ידי ישראל קאמר דאילו על ידי גוי אין להחמיר כל כך כיון דאיכא מאן דשרי אפילו על ידי ישראל</w:t>
      </w:r>
      <w:r>
        <w:rPr>
          <w:rFonts w:asciiTheme="minorBidi" w:hAnsiTheme="minorBidi" w:cs="Arial" w:hint="cs"/>
          <w:rtl/>
        </w:rPr>
        <w:t>, ב"י</w:t>
      </w:r>
      <w:r>
        <w:rPr>
          <w:rFonts w:cs="Arial" w:hint="cs"/>
          <w:rtl/>
        </w:rPr>
        <w:t>.</w:t>
      </w:r>
      <w:r w:rsidRPr="004C7C95">
        <w:rPr>
          <w:rFonts w:cs="Arial"/>
          <w:rtl/>
        </w:rPr>
        <w:t xml:space="preserve"> </w:t>
      </w:r>
    </w:p>
  </w:footnote>
  <w:footnote w:id="2236">
    <w:p w14:paraId="78BE4477" w14:textId="7FFA299B" w:rsidR="00935823" w:rsidRDefault="00935823" w:rsidP="00285819">
      <w:pPr>
        <w:pStyle w:val="a7"/>
      </w:pPr>
      <w:r>
        <w:rPr>
          <w:rStyle w:val="a9"/>
        </w:rPr>
        <w:footnoteRef/>
      </w:r>
      <w:r>
        <w:rPr>
          <w:rtl/>
        </w:rPr>
        <w:t xml:space="preserve"> </w:t>
      </w:r>
      <w:r>
        <w:rPr>
          <w:rFonts w:asciiTheme="minorBidi" w:hAnsiTheme="minorBidi" w:cs="Arial" w:hint="cs"/>
          <w:rtl/>
        </w:rPr>
        <w:t>ולא נראה ל</w:t>
      </w:r>
      <w:r w:rsidRPr="008F47DC">
        <w:rPr>
          <w:rFonts w:asciiTheme="minorBidi" w:hAnsiTheme="minorBidi" w:cs="Arial"/>
          <w:rtl/>
        </w:rPr>
        <w:t xml:space="preserve">ה"ר פרץ דהא פ' כל הכלים </w:t>
      </w:r>
      <w:r>
        <w:rPr>
          <w:rFonts w:asciiTheme="minorBidi" w:hAnsiTheme="minorBidi" w:cs="Arial" w:hint="cs"/>
          <w:rtl/>
        </w:rPr>
        <w:t>(</w:t>
      </w:r>
      <w:r w:rsidRPr="008F47DC">
        <w:rPr>
          <w:rFonts w:asciiTheme="minorBidi" w:hAnsiTheme="minorBidi" w:cs="Arial"/>
          <w:rtl/>
        </w:rPr>
        <w:t>קכב</w:t>
      </w:r>
      <w:r>
        <w:rPr>
          <w:rFonts w:asciiTheme="minorBidi" w:hAnsiTheme="minorBidi" w:cs="Arial" w:hint="cs"/>
          <w:rtl/>
        </w:rPr>
        <w:t>:)</w:t>
      </w:r>
      <w:r w:rsidRPr="008F47DC">
        <w:rPr>
          <w:rFonts w:asciiTheme="minorBidi" w:hAnsiTheme="minorBidi" w:cs="Arial"/>
          <w:rtl/>
        </w:rPr>
        <w:t xml:space="preserve"> אמרינן דאסור להחזיר דלת של תיבה גזירה שמא יתקע פי' שמא ישים הצירים דהוא בנין חשוב</w:t>
      </w:r>
      <w:r>
        <w:rPr>
          <w:rFonts w:asciiTheme="minorBidi" w:hAnsiTheme="minorBidi" w:cs="Arial" w:hint="cs"/>
          <w:rtl/>
        </w:rPr>
        <w:t>, מרדכי (שם).</w:t>
      </w:r>
    </w:p>
  </w:footnote>
  <w:footnote w:id="2237">
    <w:p w14:paraId="3BDC7347" w14:textId="77777777" w:rsidR="00935823" w:rsidRDefault="00935823" w:rsidP="00285819">
      <w:pPr>
        <w:pStyle w:val="a7"/>
        <w:rPr>
          <w:rtl/>
        </w:rPr>
      </w:pPr>
      <w:r>
        <w:rPr>
          <w:rStyle w:val="a9"/>
        </w:rPr>
        <w:footnoteRef/>
      </w:r>
      <w:r>
        <w:rPr>
          <w:rtl/>
        </w:rPr>
        <w:t xml:space="preserve"> </w:t>
      </w:r>
      <w:r>
        <w:rPr>
          <w:rFonts w:hint="cs"/>
          <w:rtl/>
        </w:rPr>
        <w:t xml:space="preserve">הסמ"ק (מצוה רפב) כתב וז"ל- </w:t>
      </w:r>
      <w:r w:rsidRPr="00B25DDB">
        <w:rPr>
          <w:rFonts w:cs="Arial"/>
          <w:rtl/>
        </w:rPr>
        <w:t>כל בנין שצריך גבור</w:t>
      </w:r>
      <w:r>
        <w:rPr>
          <w:rFonts w:cs="Arial" w:hint="cs"/>
          <w:rtl/>
        </w:rPr>
        <w:t>ה</w:t>
      </w:r>
      <w:r w:rsidRPr="00B25DDB">
        <w:rPr>
          <w:rFonts w:cs="Arial"/>
          <w:rtl/>
        </w:rPr>
        <w:t xml:space="preserve"> ואומנות בכלים שייך בהו בנין. ואסרו חכמים להחזיר דלת של שידה תיבה ומגדל אע</w:t>
      </w:r>
      <w:r>
        <w:rPr>
          <w:rFonts w:cs="Arial" w:hint="cs"/>
          <w:rtl/>
        </w:rPr>
        <w:t>"</w:t>
      </w:r>
      <w:r w:rsidRPr="00B25DDB">
        <w:rPr>
          <w:rFonts w:cs="Arial"/>
          <w:rtl/>
        </w:rPr>
        <w:t>פ שאינן כלי גבורה ואומנות גזירה שמא יתקע בגבור</w:t>
      </w:r>
      <w:r>
        <w:rPr>
          <w:rFonts w:cs="Arial" w:hint="cs"/>
          <w:rtl/>
        </w:rPr>
        <w:t>ה</w:t>
      </w:r>
      <w:r w:rsidRPr="00B25DDB">
        <w:rPr>
          <w:rFonts w:cs="Arial"/>
          <w:rtl/>
        </w:rPr>
        <w:t xml:space="preserve"> ואומנות ואז הוי בנין דאוריתא וגזירה שמא יתקע באבן היתדות שקורין גאו"ץ בלע"ז, וכן כל כיוצא בו</w:t>
      </w:r>
      <w:r>
        <w:rPr>
          <w:rFonts w:cs="Arial" w:hint="cs"/>
          <w:rtl/>
        </w:rPr>
        <w:t>.</w:t>
      </w:r>
      <w:r w:rsidRPr="00B25DDB">
        <w:rPr>
          <w:rFonts w:cs="Arial"/>
          <w:rtl/>
        </w:rPr>
        <w:t xml:space="preserve"> אבל אם היה רפוי מותר כרבן שמעון בן גמליאל (מז</w:t>
      </w:r>
      <w:r>
        <w:rPr>
          <w:rFonts w:cs="Arial" w:hint="cs"/>
          <w:rtl/>
        </w:rPr>
        <w:t>.</w:t>
      </w:r>
      <w:r w:rsidRPr="00B25DDB">
        <w:rPr>
          <w:rFonts w:cs="Arial"/>
          <w:rtl/>
        </w:rPr>
        <w:t>)</w:t>
      </w:r>
      <w:r>
        <w:rPr>
          <w:rFonts w:cs="Arial" w:hint="cs"/>
          <w:rtl/>
        </w:rPr>
        <w:t>. עכ"ל</w:t>
      </w:r>
      <w:r w:rsidRPr="00B25DDB">
        <w:rPr>
          <w:rFonts w:cs="Arial"/>
          <w:rtl/>
        </w:rPr>
        <w:t>.</w:t>
      </w:r>
      <w:r>
        <w:rPr>
          <w:rFonts w:hint="cs"/>
          <w:rtl/>
        </w:rPr>
        <w:t xml:space="preserve"> וכתב ר"פ </w:t>
      </w:r>
      <w:r>
        <w:rPr>
          <w:rFonts w:hint="cs"/>
          <w:sz w:val="16"/>
          <w:szCs w:val="16"/>
          <w:rtl/>
        </w:rPr>
        <w:t>(על מש"כ הסמ"ק גזירה שמא יתקע באבת היתדות)</w:t>
      </w:r>
      <w:r>
        <w:rPr>
          <w:rFonts w:hint="cs"/>
          <w:rtl/>
        </w:rPr>
        <w:t xml:space="preserve"> וז"ל-...</w:t>
      </w:r>
    </w:p>
  </w:footnote>
  <w:footnote w:id="2238">
    <w:p w14:paraId="609C9449" w14:textId="104819C3" w:rsidR="004C7C95" w:rsidRDefault="004C7C95" w:rsidP="00285819">
      <w:pPr>
        <w:pStyle w:val="a7"/>
      </w:pPr>
      <w:r>
        <w:rPr>
          <w:rStyle w:val="a9"/>
        </w:rPr>
        <w:footnoteRef/>
      </w:r>
      <w:r w:rsidRPr="004C7C95">
        <w:rPr>
          <w:rFonts w:cs="Arial"/>
          <w:rtl/>
        </w:rPr>
        <w:t xml:space="preserve"> </w:t>
      </w:r>
      <w:r w:rsidR="001E305C" w:rsidRPr="00935823">
        <w:rPr>
          <w:rFonts w:asciiTheme="minorBidi" w:hAnsiTheme="minorBidi" w:cs="Arial"/>
          <w:rtl/>
        </w:rPr>
        <w:t>אפילו ביתדות שבכלים קאמר דאסור מטעם התוספות והרא"ש</w:t>
      </w:r>
      <w:r w:rsidR="001E305C">
        <w:rPr>
          <w:rFonts w:asciiTheme="minorBidi" w:hAnsiTheme="minorBidi" w:cs="Arial" w:hint="cs"/>
          <w:rtl/>
        </w:rPr>
        <w:t>, ב"י</w:t>
      </w:r>
      <w:r w:rsidR="001E305C" w:rsidRPr="00935823">
        <w:rPr>
          <w:rFonts w:asciiTheme="minorBidi" w:hAnsiTheme="minorBidi" w:cs="Arial" w:hint="cs"/>
          <w:rtl/>
        </w:rPr>
        <w:t>.</w:t>
      </w:r>
      <w:r w:rsidR="001E305C" w:rsidRPr="00935823">
        <w:rPr>
          <w:rFonts w:asciiTheme="minorBidi" w:hAnsiTheme="minorBidi" w:cs="Arial"/>
          <w:rtl/>
        </w:rPr>
        <w:t xml:space="preserve"> </w:t>
      </w:r>
      <w:r w:rsidR="001E305C">
        <w:rPr>
          <w:rFonts w:asciiTheme="minorBidi" w:hAnsiTheme="minorBidi" w:cs="Arial" w:hint="cs"/>
          <w:rtl/>
        </w:rPr>
        <w:t xml:space="preserve">וגם הדרכ"מ (אות ה) כתב </w:t>
      </w:r>
      <w:r w:rsidR="001E305C">
        <w:rPr>
          <w:rFonts w:cs="Arial" w:hint="cs"/>
          <w:rtl/>
        </w:rPr>
        <w:t>ש</w:t>
      </w:r>
      <w:r w:rsidRPr="004C7C95">
        <w:rPr>
          <w:rFonts w:cs="Arial"/>
          <w:rtl/>
        </w:rPr>
        <w:t>דברי הרא"ש דאוסר בשל עץ ושל מתכות נראים כדברי ה"ר פרץ</w:t>
      </w:r>
      <w:r w:rsidR="001E305C">
        <w:rPr>
          <w:rFonts w:cs="Arial" w:hint="cs"/>
          <w:rtl/>
        </w:rPr>
        <w:t>,</w:t>
      </w:r>
      <w:r w:rsidRPr="004C7C95">
        <w:rPr>
          <w:rFonts w:cs="Arial"/>
          <w:rtl/>
        </w:rPr>
        <w:t xml:space="preserve"> וכן כתבו המרדכי (סי' תלח) והתוספות (קמו. ד"ה מתיר) פרק חבית</w:t>
      </w:r>
      <w:r w:rsidR="001E305C">
        <w:rPr>
          <w:rFonts w:cs="Arial" w:hint="cs"/>
          <w:rtl/>
        </w:rPr>
        <w:t xml:space="preserve"> </w:t>
      </w:r>
      <w:r w:rsidR="001E305C">
        <w:rPr>
          <w:rFonts w:cs="Arial" w:hint="cs"/>
          <w:sz w:val="16"/>
          <w:szCs w:val="16"/>
          <w:rtl/>
        </w:rPr>
        <w:t>[עכ"ל הדרכ"מ]</w:t>
      </w:r>
      <w:r w:rsidR="00935823">
        <w:rPr>
          <w:rFonts w:cs="Arial" w:hint="cs"/>
          <w:rtl/>
        </w:rPr>
        <w:t>.</w:t>
      </w:r>
      <w:r w:rsidR="001E305C">
        <w:rPr>
          <w:rFonts w:cs="Arial" w:hint="cs"/>
          <w:rtl/>
        </w:rPr>
        <w:t xml:space="preserve"> וצל"ע, שהרי הרא"ש דיבר על שבירה, ולא על הסרה.</w:t>
      </w:r>
    </w:p>
  </w:footnote>
  <w:footnote w:id="2239">
    <w:p w14:paraId="41E6928E"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דלאו קשר של קיימא הוא, מג"א (סק"ט).</w:t>
      </w:r>
    </w:p>
  </w:footnote>
  <w:footnote w:id="2240">
    <w:p w14:paraId="45912EF2"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וביש"ש פ"ד דביצה ס"ט כ' דוקא בהפסד מרובה או שנחפז הרבה לצורך מצוה אבל בסכין או במחט שרי לפתוח כדאי' במשנה עכ"ל, מג"א (סקי"א).</w:t>
      </w:r>
    </w:p>
  </w:footnote>
  <w:footnote w:id="2241">
    <w:p w14:paraId="6DC2E030"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כלי של כפות תמרים, ועושין כמין סלים, ונותנים לתוכן תמרים רעים להתבשל, רש"י.</w:t>
      </w:r>
    </w:p>
  </w:footnote>
  <w:footnote w:id="2242">
    <w:p w14:paraId="681F8F51"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אם הכסוי קשור בחבל, רש"י.</w:t>
      </w:r>
    </w:p>
  </w:footnote>
  <w:footnote w:id="2243">
    <w:p w14:paraId="1DC9F643"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סותר שרשרות החבל בכלי, רש"י.</w:t>
      </w:r>
    </w:p>
  </w:footnote>
  <w:footnote w:id="2244">
    <w:p w14:paraId="5C817D84"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משמע דוקא הני דלאו כלים גמורים דאינם עשוים אלא שיתבשלו התמרים בתוכם אבל כלי גמור פשיטא דאסור, כ"מ בירושלמי דף י' ע"ב, מג"א (סקי"ג).</w:t>
      </w:r>
    </w:p>
  </w:footnote>
  <w:footnote w:id="2245">
    <w:p w14:paraId="360E487D" w14:textId="0A3FB0E9" w:rsidR="006F4FD2" w:rsidRDefault="006F4FD2" w:rsidP="00285819">
      <w:pPr>
        <w:pStyle w:val="a7"/>
        <w:rPr>
          <w:rtl/>
        </w:rPr>
      </w:pPr>
      <w:r>
        <w:rPr>
          <w:rStyle w:val="a9"/>
        </w:rPr>
        <w:footnoteRef/>
      </w:r>
      <w:r>
        <w:rPr>
          <w:rtl/>
        </w:rPr>
        <w:t xml:space="preserve"> </w:t>
      </w:r>
      <w:r>
        <w:rPr>
          <w:rFonts w:cs="Arial" w:hint="cs"/>
          <w:rtl/>
        </w:rPr>
        <w:t>הביאו ה</w:t>
      </w:r>
      <w:r w:rsidRPr="00BE4BEB">
        <w:rPr>
          <w:rFonts w:cs="Arial"/>
          <w:rtl/>
        </w:rPr>
        <w:t xml:space="preserve">מרדכי </w:t>
      </w:r>
      <w:r w:rsidRPr="00BE4BEB">
        <w:rPr>
          <w:rFonts w:cs="Arial"/>
          <w:sz w:val="16"/>
          <w:szCs w:val="16"/>
          <w:rtl/>
        </w:rPr>
        <w:t>(ביצה סי' תרצא)</w:t>
      </w:r>
      <w:r>
        <w:rPr>
          <w:rFonts w:cs="Arial" w:hint="cs"/>
          <w:rtl/>
        </w:rPr>
        <w:t xml:space="preserve">, והוסיף וכתב- </w:t>
      </w:r>
      <w:r w:rsidRPr="006F4FD2">
        <w:rPr>
          <w:rFonts w:cs="Arial"/>
          <w:rtl/>
        </w:rPr>
        <w:t>וה"ר מרדכי זצוק"ל ראה בבית רבי' מאיר שעל השולחן לפניו היו נוהגין לחתוך קשרי השפוד בשבת</w:t>
      </w:r>
      <w:r>
        <w:rPr>
          <w:rFonts w:cs="Arial" w:hint="cs"/>
          <w:rtl/>
        </w:rPr>
        <w:t>.</w:t>
      </w:r>
      <w:r w:rsidRPr="006F4FD2">
        <w:rPr>
          <w:rFonts w:cs="Arial"/>
          <w:rtl/>
        </w:rPr>
        <w:t xml:space="preserve"> וכן היו נוהגין בבית חמי רבי' יואל מפריש ז"ל</w:t>
      </w:r>
      <w:r>
        <w:rPr>
          <w:rFonts w:cs="Arial" w:hint="cs"/>
          <w:rtl/>
        </w:rPr>
        <w:t>. עכ"ל.</w:t>
      </w:r>
    </w:p>
  </w:footnote>
  <w:footnote w:id="2246">
    <w:p w14:paraId="6CA37DDB" w14:textId="77777777" w:rsidR="00232804" w:rsidRPr="008C1C8E" w:rsidRDefault="00232804"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כגון דלתות פתחי בורות ומערה, הסגורים בקשרי חבלים, רש"י.</w:t>
      </w:r>
    </w:p>
  </w:footnote>
  <w:footnote w:id="2247">
    <w:p w14:paraId="572033CB" w14:textId="54ADEB48" w:rsidR="00232804" w:rsidRPr="008C1C8E" w:rsidRDefault="00232804"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את הקשר, דהא לאו קשר של קיימא הוא, שהרי להתיר תמיד הוא עשוי, רש"י.</w:t>
      </w:r>
      <w:r w:rsidR="00006CE7" w:rsidRPr="00006CE7">
        <w:rPr>
          <w:rtl/>
        </w:rPr>
        <w:t xml:space="preserve"> </w:t>
      </w:r>
      <w:r w:rsidR="00006CE7">
        <w:rPr>
          <w:rFonts w:asciiTheme="minorBidi" w:hAnsiTheme="minorBidi" w:cs="Arial" w:hint="cs"/>
          <w:rtl/>
        </w:rPr>
        <w:t>וכתב הר"ן (שבת סא: ד"ה מתיר וכו') ש</w:t>
      </w:r>
      <w:r w:rsidR="00006CE7" w:rsidRPr="00006CE7">
        <w:rPr>
          <w:rFonts w:asciiTheme="minorBidi" w:hAnsiTheme="minorBidi" w:cs="Arial"/>
          <w:rtl/>
        </w:rPr>
        <w:t>מתיר</w:t>
      </w:r>
      <w:r w:rsidR="00006CE7">
        <w:rPr>
          <w:rFonts w:asciiTheme="minorBidi" w:hAnsiTheme="minorBidi" w:cs="Arial" w:hint="cs"/>
          <w:rtl/>
        </w:rPr>
        <w:t xml:space="preserve"> הוא</w:t>
      </w:r>
      <w:r w:rsidR="00006CE7" w:rsidRPr="00006CE7">
        <w:rPr>
          <w:rFonts w:asciiTheme="minorBidi" w:hAnsiTheme="minorBidi" w:cs="Arial"/>
          <w:rtl/>
        </w:rPr>
        <w:t xml:space="preserve"> ביד</w:t>
      </w:r>
      <w:r w:rsidR="00006CE7">
        <w:rPr>
          <w:rFonts w:asciiTheme="minorBidi" w:hAnsiTheme="minorBidi" w:cs="Arial" w:hint="cs"/>
          <w:rtl/>
        </w:rPr>
        <w:t>.</w:t>
      </w:r>
      <w:r w:rsidR="00006CE7">
        <w:rPr>
          <w:rFonts w:asciiTheme="minorBidi" w:hAnsiTheme="minorBidi" w:hint="cs"/>
          <w:rtl/>
        </w:rPr>
        <w:t xml:space="preserve"> אבל </w:t>
      </w:r>
      <w:r w:rsidR="00006CE7" w:rsidRPr="00006CE7">
        <w:rPr>
          <w:rFonts w:asciiTheme="minorBidi" w:hAnsiTheme="minorBidi" w:cs="Arial"/>
          <w:rtl/>
        </w:rPr>
        <w:t>מפקיע וחותך</w:t>
      </w:r>
      <w:r w:rsidR="00006CE7">
        <w:rPr>
          <w:rFonts w:asciiTheme="minorBidi" w:hAnsiTheme="minorBidi" w:cs="Arial" w:hint="cs"/>
          <w:rtl/>
        </w:rPr>
        <w:t xml:space="preserve"> הוא</w:t>
      </w:r>
      <w:r w:rsidR="00006CE7" w:rsidRPr="00006CE7">
        <w:rPr>
          <w:rFonts w:asciiTheme="minorBidi" w:hAnsiTheme="minorBidi" w:cs="Arial"/>
          <w:rtl/>
        </w:rPr>
        <w:t xml:space="preserve"> בכלי</w:t>
      </w:r>
      <w:r w:rsidR="00006CE7">
        <w:rPr>
          <w:rFonts w:asciiTheme="minorBidi" w:hAnsiTheme="minorBidi" w:cs="Arial" w:hint="cs"/>
          <w:rtl/>
        </w:rPr>
        <w:t>.</w:t>
      </w:r>
    </w:p>
  </w:footnote>
  <w:footnote w:id="2248">
    <w:p w14:paraId="096FC8B1" w14:textId="77777777" w:rsidR="00232804" w:rsidRPr="008C1C8E" w:rsidRDefault="00232804"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החבל, לסתור עבותו וגדילתו, רש"י.</w:t>
      </w:r>
    </w:p>
  </w:footnote>
  <w:footnote w:id="2249">
    <w:p w14:paraId="2072EEE4" w14:textId="77777777" w:rsidR="00232804" w:rsidRPr="008C1C8E" w:rsidRDefault="00232804"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דהא סתירה היא, ויש סתירה בבנין של קרקע, רש"י.</w:t>
      </w:r>
    </w:p>
  </w:footnote>
  <w:footnote w:id="2250">
    <w:p w14:paraId="3843BE45" w14:textId="29B41199" w:rsidR="00951251" w:rsidRDefault="00951251" w:rsidP="00285819">
      <w:pPr>
        <w:pStyle w:val="a7"/>
        <w:rPr>
          <w:rtl/>
        </w:rPr>
      </w:pPr>
      <w:r w:rsidRPr="00951251">
        <w:rPr>
          <w:rStyle w:val="a9"/>
        </w:rPr>
        <w:footnoteRef/>
      </w:r>
      <w:r w:rsidRPr="00951251">
        <w:rPr>
          <w:rtl/>
        </w:rPr>
        <w:t xml:space="preserve"> </w:t>
      </w:r>
      <w:r w:rsidRPr="00951251">
        <w:rPr>
          <w:rFonts w:cs="Arial" w:hint="cs"/>
          <w:rtl/>
        </w:rPr>
        <w:t xml:space="preserve">לאחר שהביא </w:t>
      </w:r>
      <w:r w:rsidRPr="00951251">
        <w:rPr>
          <w:rFonts w:cs="Arial"/>
          <w:rtl/>
        </w:rPr>
        <w:t>תרו</w:t>
      </w:r>
      <w:r w:rsidRPr="00951251">
        <w:rPr>
          <w:rFonts w:cs="Arial" w:hint="cs"/>
          <w:rtl/>
        </w:rPr>
        <w:t xml:space="preserve">ה"ד (סי' סה) את דברי המרדכי הנ"ל כתב וז"ל- </w:t>
      </w:r>
      <w:r w:rsidRPr="00951251">
        <w:rPr>
          <w:rFonts w:cs="Arial"/>
          <w:rtl/>
        </w:rPr>
        <w:t>אע"ג דהא דאסרינן להפקיע ולחתוך חותמות שבקרקעות</w:t>
      </w:r>
      <w:r w:rsidRPr="006760B9">
        <w:rPr>
          <w:rFonts w:cs="Arial"/>
          <w:rtl/>
        </w:rPr>
        <w:t xml:space="preserve"> בחותמות גריעי היא</w:t>
      </w:r>
      <w:r>
        <w:rPr>
          <w:rFonts w:cs="Arial" w:hint="cs"/>
          <w:rtl/>
        </w:rPr>
        <w:t>,</w:t>
      </w:r>
      <w:r w:rsidRPr="006760B9">
        <w:rPr>
          <w:rFonts w:cs="Arial"/>
          <w:rtl/>
        </w:rPr>
        <w:t xml:space="preserve"> דאי בחיבור יפה אפילו חותמות שבכלים נמי אסור כמו שכתבו התוספות והרא"ש</w:t>
      </w:r>
      <w:r>
        <w:rPr>
          <w:rFonts w:cs="Arial" w:hint="cs"/>
          <w:rtl/>
        </w:rPr>
        <w:t>,</w:t>
      </w:r>
      <w:r w:rsidRPr="006760B9">
        <w:rPr>
          <w:rFonts w:cs="Arial"/>
          <w:rtl/>
        </w:rPr>
        <w:t xml:space="preserve"> וא"כ א</w:t>
      </w:r>
      <w:r>
        <w:rPr>
          <w:rFonts w:cs="Arial" w:hint="cs"/>
          <w:rtl/>
        </w:rPr>
        <w:t>ע"ג</w:t>
      </w:r>
      <w:r w:rsidRPr="006760B9">
        <w:rPr>
          <w:rFonts w:cs="Arial"/>
          <w:rtl/>
        </w:rPr>
        <w:t xml:space="preserve"> דלא מכוין למיעבד פיתחא פסיק רישיה הוא לענין סתירת בנין</w:t>
      </w:r>
      <w:r>
        <w:rPr>
          <w:rFonts w:cs="Arial" w:hint="cs"/>
          <w:rtl/>
        </w:rPr>
        <w:t>,</w:t>
      </w:r>
      <w:r w:rsidRPr="006760B9">
        <w:rPr>
          <w:rFonts w:cs="Arial"/>
          <w:rtl/>
        </w:rPr>
        <w:t xml:space="preserve"> מיהו כתב אור זרוע (ח"ב סי' עח אות יב) בשם רש"י (עירובין לה. ד"ה ובעי סכינא) דלא שייכא סתירה דאורייתא אפילו בקרקע היכא דאינו עושה אלא פיתחא בעלמא אלא דמיחזי כסותר מדרבנן</w:t>
      </w:r>
      <w:r>
        <w:rPr>
          <w:rFonts w:cs="Arial" w:hint="cs"/>
          <w:rtl/>
        </w:rPr>
        <w:t>.</w:t>
      </w:r>
      <w:r w:rsidRPr="006760B9">
        <w:rPr>
          <w:rFonts w:cs="Arial"/>
          <w:rtl/>
        </w:rPr>
        <w:t xml:space="preserve"> ומתוך כך אית למימר דדוקא חותמות שבקרקע אע</w:t>
      </w:r>
      <w:r>
        <w:rPr>
          <w:rFonts w:cs="Arial" w:hint="cs"/>
          <w:rtl/>
        </w:rPr>
        <w:t>"</w:t>
      </w:r>
      <w:r w:rsidRPr="006760B9">
        <w:rPr>
          <w:rFonts w:cs="Arial"/>
          <w:rtl/>
        </w:rPr>
        <w:t>ג דגריעי אינון מכל מקום נעשו לחיבור ולסתימה זמן מה שהוא</w:t>
      </w:r>
      <w:r>
        <w:rPr>
          <w:rFonts w:cs="Arial" w:hint="cs"/>
          <w:rtl/>
        </w:rPr>
        <w:t>,</w:t>
      </w:r>
      <w:r w:rsidRPr="006760B9">
        <w:rPr>
          <w:rFonts w:cs="Arial"/>
          <w:rtl/>
        </w:rPr>
        <w:t xml:space="preserve"> ולכך שייך בהו סתירה מדרבנן דמיחזי כסותר</w:t>
      </w:r>
      <w:r>
        <w:rPr>
          <w:rFonts w:cs="Arial" w:hint="cs"/>
          <w:rtl/>
        </w:rPr>
        <w:t>.</w:t>
      </w:r>
      <w:r w:rsidRPr="006760B9">
        <w:rPr>
          <w:rFonts w:cs="Arial"/>
          <w:rtl/>
        </w:rPr>
        <w:t xml:space="preserve"> אבל שריקת התנור דלא נעשה כלל לקיים</w:t>
      </w:r>
      <w:r>
        <w:rPr>
          <w:rFonts w:cs="Arial" w:hint="cs"/>
          <w:rtl/>
        </w:rPr>
        <w:t>,</w:t>
      </w:r>
      <w:r w:rsidRPr="006760B9">
        <w:rPr>
          <w:rFonts w:cs="Arial"/>
          <w:rtl/>
        </w:rPr>
        <w:t xml:space="preserve"> רק לשמור החום לפי שעה ולמיסתר למחר </w:t>
      </w:r>
      <w:r>
        <w:rPr>
          <w:rFonts w:cs="Arial" w:hint="cs"/>
          <w:rtl/>
        </w:rPr>
        <w:t xml:space="preserve">- </w:t>
      </w:r>
      <w:r w:rsidRPr="006760B9">
        <w:rPr>
          <w:rFonts w:cs="Arial"/>
          <w:rtl/>
        </w:rPr>
        <w:t>שרי אפילו לכתחלה</w:t>
      </w:r>
      <w:r>
        <w:rPr>
          <w:rFonts w:cs="Arial" w:hint="cs"/>
          <w:rtl/>
        </w:rPr>
        <w:t>.</w:t>
      </w:r>
      <w:r w:rsidRPr="006760B9">
        <w:rPr>
          <w:rFonts w:cs="Arial"/>
          <w:rtl/>
        </w:rPr>
        <w:t xml:space="preserve"> ומה שפירש רש"י דשרי להתיר חותמות שבקרקע משום דלא הוי קשר של קיימא שעשוי להתיר תדיר</w:t>
      </w:r>
      <w:r>
        <w:rPr>
          <w:rFonts w:cs="Arial" w:hint="cs"/>
          <w:rtl/>
        </w:rPr>
        <w:t>,</w:t>
      </w:r>
      <w:r w:rsidRPr="006760B9">
        <w:rPr>
          <w:rFonts w:cs="Arial"/>
          <w:rtl/>
        </w:rPr>
        <w:t xml:space="preserve"> נראה שרצה לומר הקשר שסוגרין בו מתירין אותו כשבא לפתוח</w:t>
      </w:r>
      <w:r>
        <w:rPr>
          <w:rFonts w:cs="Arial" w:hint="cs"/>
          <w:rtl/>
        </w:rPr>
        <w:t>,</w:t>
      </w:r>
      <w:r w:rsidRPr="006760B9">
        <w:rPr>
          <w:rFonts w:cs="Arial"/>
          <w:rtl/>
        </w:rPr>
        <w:t xml:space="preserve"> וחוזר וקושר כשבא לנעול</w:t>
      </w:r>
      <w:r>
        <w:rPr>
          <w:rFonts w:cs="Arial" w:hint="cs"/>
          <w:rtl/>
        </w:rPr>
        <w:t>,</w:t>
      </w:r>
      <w:r w:rsidRPr="006760B9">
        <w:rPr>
          <w:rFonts w:cs="Arial"/>
          <w:rtl/>
        </w:rPr>
        <w:t xml:space="preserve"> אבל הדלת לעולם קבוע שם לאיזה זמ</w:t>
      </w:r>
      <w:r w:rsidRPr="006760B9">
        <w:rPr>
          <w:rFonts w:cs="Arial" w:hint="cs"/>
          <w:rtl/>
        </w:rPr>
        <w:t>ן.</w:t>
      </w:r>
    </w:p>
  </w:footnote>
  <w:footnote w:id="2251">
    <w:p w14:paraId="05D252E0"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סע' ז, ציונים לרמ"א.</w:t>
      </w:r>
    </w:p>
  </w:footnote>
  <w:footnote w:id="2252">
    <w:p w14:paraId="70C21EF5"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ויש כאן משום ממחק, רש"י.</w:t>
      </w:r>
    </w:p>
  </w:footnote>
  <w:footnote w:id="2253">
    <w:p w14:paraId="622A970F"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מדינה, רש"י.</w:t>
      </w:r>
    </w:p>
  </w:footnote>
  <w:footnote w:id="2254">
    <w:p w14:paraId="16F2169C"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שמא מירח השעוה לדובקה בדופני הכלי סביב הנקב, רש"י.</w:t>
      </w:r>
    </w:p>
  </w:footnote>
  <w:footnote w:id="2255">
    <w:p w14:paraId="605A1152"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שמן עב, רש"י.</w:t>
      </w:r>
    </w:p>
  </w:footnote>
  <w:footnote w:id="2256">
    <w:p w14:paraId="7A576EE5"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למרחו, רש"י.</w:t>
      </w:r>
    </w:p>
  </w:footnote>
  <w:footnote w:id="2257">
    <w:p w14:paraId="07464DEB"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צלע של שום, רש"י.</w:t>
      </w:r>
    </w:p>
  </w:footnote>
  <w:footnote w:id="2258">
    <w:p w14:paraId="2F27D443"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מקום שיש בו נקב בחבית והיין יוצא, נותנו שם בשבת לסתום, והוי כמתקן, ומערים לכתחילה, רש"י.</w:t>
      </w:r>
    </w:p>
  </w:footnote>
  <w:footnote w:id="2259">
    <w:p w14:paraId="2606E868"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להאי ברא דתומא מיכוינא, ועוד עביד אחריתי: אזל נאים במברא - בספינה רחבה העשויה לעבור המים, והיא של נכרי, ויודע הוא שיעבירנה הנכרי לצד האחר, רש"י. </w:t>
      </w:r>
    </w:p>
  </w:footnote>
  <w:footnote w:id="2260">
    <w:p w14:paraId="720E9DFE"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ומשמר שם פירות כרמו ונמצא שהנכרי מעבירו במים בשבת, רש"י.</w:t>
      </w:r>
    </w:p>
  </w:footnote>
  <w:footnote w:id="2261">
    <w:p w14:paraId="35D00CAA"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הכי גרסינן: הך הערמה לאו באיסורא דאורייתא הוא אלא באיסורא דרבנן, דאי נמי עביד ממש בלא הערמה אדרבנן הוא דעבר, הלכך דצורבא מרבנן הוא לא אחמירו עליה, דהוא לא אתי למעבד לכתחילה להדיא בלא הערמה לעבור שם לפני הכל, רש"י.</w:t>
      </w:r>
    </w:p>
  </w:footnote>
  <w:footnote w:id="2262">
    <w:p w14:paraId="0982A51C"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לד' רש"י מותר רק לצורבא מרבנן להערים ולאנוחי ברא דתומא בברזא ולמימר לאצנועי קא מכוינא, וכ"פ בשו"ע, אבל לדעת הרמב"ם מותר לכל אדם. (וכ' הה"מ והאו"ז שאולי הרמב"ם סובר שמה שאמר רב אשי,</w:t>
      </w:r>
      <w:r w:rsidRPr="008C1C8E">
        <w:rPr>
          <w:rFonts w:asciiTheme="minorBidi" w:hAnsiTheme="minorBidi"/>
          <w:sz w:val="24"/>
          <w:szCs w:val="24"/>
          <w:rtl/>
        </w:rPr>
        <w:t xml:space="preserve"> </w:t>
      </w:r>
      <w:r w:rsidRPr="008C1C8E">
        <w:rPr>
          <w:rFonts w:asciiTheme="minorBidi" w:hAnsiTheme="minorBidi"/>
          <w:rtl/>
        </w:rPr>
        <w:t>שמותר רק לצורבא מרבנן להערים, הוא לגבי העברה בנהר, ואסור משום דאוושא מילתה, אבל לאנוחי ברא דתומא שרי משום שלא אוושא מילתה)</w:t>
      </w:r>
    </w:p>
  </w:footnote>
  <w:footnote w:id="2263">
    <w:p w14:paraId="2C5D36CF" w14:textId="0770C10F" w:rsidR="005333B3" w:rsidRDefault="005333B3" w:rsidP="00285819">
      <w:pPr>
        <w:pStyle w:val="a7"/>
      </w:pPr>
      <w:r>
        <w:rPr>
          <w:rStyle w:val="a9"/>
        </w:rPr>
        <w:footnoteRef/>
      </w:r>
      <w:r>
        <w:rPr>
          <w:rtl/>
        </w:rPr>
        <w:t xml:space="preserve"> </w:t>
      </w:r>
      <w:r w:rsidRPr="00F20C8C">
        <w:rPr>
          <w:rFonts w:asciiTheme="minorBidi" w:hAnsiTheme="minorBidi" w:cs="Arial"/>
          <w:rtl/>
        </w:rPr>
        <w:t>הרמב"ם כתב סתם דמותר להערים להניח שם אוכל כדי להצניעו ונמצא הנקב נסתם</w:t>
      </w:r>
      <w:r>
        <w:rPr>
          <w:rFonts w:asciiTheme="minorBidi" w:hAnsiTheme="minorBidi" w:cs="Arial" w:hint="cs"/>
          <w:rtl/>
        </w:rPr>
        <w:t>,</w:t>
      </w:r>
      <w:r w:rsidRPr="00F20C8C">
        <w:rPr>
          <w:rFonts w:asciiTheme="minorBidi" w:hAnsiTheme="minorBidi" w:cs="Arial"/>
          <w:rtl/>
        </w:rPr>
        <w:t xml:space="preserve"> ולא חילק בין צורבא מרבנן לשאר אינשי. וכתב הרב המגיד שאולי הוא סובר שלא אמרו דוקא צורבא מרבנן אלא למיעבר להך גיסא דוקא אבל לאתנוחי ברא דתומא בברזא לכולי עלמא נמי שרי</w:t>
      </w:r>
      <w:r>
        <w:rPr>
          <w:rFonts w:asciiTheme="minorBidi" w:hAnsiTheme="minorBidi" w:cs="Arial" w:hint="cs"/>
          <w:rtl/>
        </w:rPr>
        <w:t>, ב"י.</w:t>
      </w:r>
    </w:p>
  </w:footnote>
  <w:footnote w:id="2264">
    <w:p w14:paraId="0B8F5459" w14:textId="2040B7C7" w:rsidR="008850E9" w:rsidRDefault="008850E9" w:rsidP="00285819">
      <w:pPr>
        <w:pStyle w:val="a7"/>
      </w:pPr>
      <w:r>
        <w:rPr>
          <w:rStyle w:val="a9"/>
        </w:rPr>
        <w:footnoteRef/>
      </w:r>
      <w:r>
        <w:rPr>
          <w:rtl/>
        </w:rPr>
        <w:t xml:space="preserve"> </w:t>
      </w:r>
      <w:r w:rsidRPr="00F20C8C">
        <w:rPr>
          <w:rFonts w:asciiTheme="minorBidi" w:hAnsiTheme="minorBidi" w:cs="Arial"/>
          <w:rtl/>
        </w:rPr>
        <w:t>וכתב על זה הה</w:t>
      </w:r>
      <w:r>
        <w:rPr>
          <w:rFonts w:asciiTheme="minorBidi" w:hAnsiTheme="minorBidi" w:cs="Arial" w:hint="cs"/>
          <w:rtl/>
        </w:rPr>
        <w:t>"</w:t>
      </w:r>
      <w:r w:rsidRPr="00F20C8C">
        <w:rPr>
          <w:rFonts w:asciiTheme="minorBidi" w:hAnsiTheme="minorBidi" w:cs="Arial"/>
          <w:rtl/>
        </w:rPr>
        <w:t>מ (שם)</w:t>
      </w:r>
      <w:r>
        <w:rPr>
          <w:rFonts w:asciiTheme="minorBidi" w:hAnsiTheme="minorBidi" w:cs="Arial" w:hint="cs"/>
          <w:rtl/>
        </w:rPr>
        <w:t>,</w:t>
      </w:r>
      <w:r w:rsidRPr="00F20C8C">
        <w:rPr>
          <w:rFonts w:asciiTheme="minorBidi" w:hAnsiTheme="minorBidi" w:cs="Arial"/>
          <w:rtl/>
        </w:rPr>
        <w:t xml:space="preserve"> ואם תשאל והלא כבר נתבאר למעלה שאסור לסתום כל נקב אפילו בקיסם או בצרור</w:t>
      </w:r>
      <w:r>
        <w:rPr>
          <w:rFonts w:asciiTheme="minorBidi" w:hAnsiTheme="minorBidi" w:cs="Arial" w:hint="cs"/>
          <w:rtl/>
        </w:rPr>
        <w:t>,</w:t>
      </w:r>
      <w:r w:rsidRPr="00F20C8C">
        <w:rPr>
          <w:rFonts w:asciiTheme="minorBidi" w:hAnsiTheme="minorBidi" w:cs="Arial"/>
          <w:rtl/>
        </w:rPr>
        <w:t xml:space="preserve"> וא"כ למה אנו צריכין בשמן לגזירת שעוה ובשעוה עצמה לגזירת מירוח</w:t>
      </w:r>
      <w:r>
        <w:rPr>
          <w:rFonts w:asciiTheme="minorBidi" w:hAnsiTheme="minorBidi" w:cs="Arial" w:hint="cs"/>
          <w:rtl/>
        </w:rPr>
        <w:t>,</w:t>
      </w:r>
      <w:r w:rsidRPr="00F20C8C">
        <w:rPr>
          <w:rFonts w:asciiTheme="minorBidi" w:hAnsiTheme="minorBidi" w:cs="Arial"/>
          <w:rtl/>
        </w:rPr>
        <w:t xml:space="preserve"> תשובתך</w:t>
      </w:r>
      <w:r>
        <w:rPr>
          <w:rFonts w:asciiTheme="minorBidi" w:hAnsiTheme="minorBidi" w:cs="Arial" w:hint="cs"/>
          <w:rtl/>
        </w:rPr>
        <w:t xml:space="preserve"> -</w:t>
      </w:r>
      <w:r w:rsidRPr="00F20C8C">
        <w:rPr>
          <w:rFonts w:asciiTheme="minorBidi" w:hAnsiTheme="minorBidi" w:cs="Arial"/>
          <w:rtl/>
        </w:rPr>
        <w:t xml:space="preserve"> אין סתימה זו כסתימה של מעלה</w:t>
      </w:r>
      <w:r>
        <w:rPr>
          <w:rFonts w:asciiTheme="minorBidi" w:hAnsiTheme="minorBidi" w:cs="Arial" w:hint="cs"/>
          <w:rtl/>
        </w:rPr>
        <w:t>,</w:t>
      </w:r>
      <w:r w:rsidRPr="00F20C8C">
        <w:rPr>
          <w:rFonts w:asciiTheme="minorBidi" w:hAnsiTheme="minorBidi" w:cs="Arial"/>
          <w:rtl/>
        </w:rPr>
        <w:t xml:space="preserve"> שהסתימה של מעלה היא שנכנסת תוך הנקב ובעובי הכלי</w:t>
      </w:r>
      <w:r>
        <w:rPr>
          <w:rFonts w:asciiTheme="minorBidi" w:hAnsiTheme="minorBidi" w:cs="Arial" w:hint="cs"/>
          <w:rtl/>
        </w:rPr>
        <w:t>,</w:t>
      </w:r>
      <w:r w:rsidRPr="00F20C8C">
        <w:rPr>
          <w:rFonts w:asciiTheme="minorBidi" w:hAnsiTheme="minorBidi" w:cs="Arial"/>
          <w:rtl/>
        </w:rPr>
        <w:t xml:space="preserve"> וסתימה זו היא על פני הכלי ומגבו ואינה אסורה מפני עצמה אלא מפני גזירת מירוח עכ"ל. ואפשר דסבירא ליה להרמב"ם דסתימת נקב החבית אסורה בכל דבר משום דהוי כבונה</w:t>
      </w:r>
      <w:r>
        <w:rPr>
          <w:rFonts w:asciiTheme="minorBidi" w:hAnsiTheme="minorBidi" w:cs="Arial" w:hint="cs"/>
          <w:rtl/>
        </w:rPr>
        <w:t>,</w:t>
      </w:r>
      <w:r w:rsidRPr="00F20C8C">
        <w:rPr>
          <w:rFonts w:asciiTheme="minorBidi" w:hAnsiTheme="minorBidi" w:cs="Arial"/>
          <w:rtl/>
        </w:rPr>
        <w:t xml:space="preserve"> ואם סתמו בשעוה אסור משום ממרח גם כן</w:t>
      </w:r>
      <w:r>
        <w:rPr>
          <w:rFonts w:asciiTheme="minorBidi" w:hAnsiTheme="minorBidi" w:cs="Arial" w:hint="cs"/>
          <w:rtl/>
        </w:rPr>
        <w:t>,</w:t>
      </w:r>
      <w:r w:rsidRPr="00F20C8C">
        <w:rPr>
          <w:rFonts w:asciiTheme="minorBidi" w:hAnsiTheme="minorBidi" w:cs="Arial"/>
          <w:rtl/>
        </w:rPr>
        <w:t xml:space="preserve"> והא דבמשחא שרי שמואל היינו לומר שאין בו משום ממרח אבל אין הכי נמי דאסור משום דהוי כבונה</w:t>
      </w:r>
      <w:r>
        <w:rPr>
          <w:rFonts w:asciiTheme="minorBidi" w:hAnsiTheme="minorBidi" w:cs="Arial" w:hint="cs"/>
          <w:rtl/>
        </w:rPr>
        <w:t>.</w:t>
      </w:r>
      <w:r w:rsidRPr="00F20C8C">
        <w:rPr>
          <w:rFonts w:asciiTheme="minorBidi" w:hAnsiTheme="minorBidi" w:cs="Arial"/>
          <w:rtl/>
        </w:rPr>
        <w:t xml:space="preserve"> [בדק הבית] ונראה שאין כל הדברים הללו אמורים אלא בסותם בדבר שאין דרך לסתום בו</w:t>
      </w:r>
      <w:r>
        <w:rPr>
          <w:rFonts w:asciiTheme="minorBidi" w:hAnsiTheme="minorBidi" w:cs="Arial" w:hint="cs"/>
          <w:rtl/>
        </w:rPr>
        <w:t>,</w:t>
      </w:r>
      <w:r w:rsidRPr="00F20C8C">
        <w:rPr>
          <w:rFonts w:asciiTheme="minorBidi" w:hAnsiTheme="minorBidi" w:cs="Arial"/>
          <w:rtl/>
        </w:rPr>
        <w:t xml:space="preserve"> אבל לסתום בעץ כמו שהוא דרך לסתום בין שהיין יוצא בין שאינו יוצא מותר [עד כאן]</w:t>
      </w:r>
      <w:r>
        <w:rPr>
          <w:rFonts w:asciiTheme="minorBidi" w:hAnsiTheme="minorBidi" w:cs="Arial" w:hint="cs"/>
          <w:rtl/>
        </w:rPr>
        <w:t xml:space="preserve">, </w:t>
      </w:r>
      <w:r w:rsidRPr="00105363">
        <w:rPr>
          <w:rFonts w:asciiTheme="minorBidi" w:hAnsiTheme="minorBidi" w:cs="Arial" w:hint="cs"/>
          <w:b/>
          <w:bCs/>
          <w:rtl/>
        </w:rPr>
        <w:t>ב"י</w:t>
      </w:r>
      <w:r>
        <w:rPr>
          <w:rFonts w:asciiTheme="minorBidi" w:hAnsiTheme="minorBidi" w:cs="Arial" w:hint="cs"/>
          <w:rtl/>
        </w:rPr>
        <w:t>.</w:t>
      </w:r>
      <w:r w:rsidR="00105363">
        <w:rPr>
          <w:rFonts w:hint="cs"/>
          <w:rtl/>
        </w:rPr>
        <w:t xml:space="preserve">   וקשה לי מדוע כתב הב"י שהרמב"ם אסר לסתום הנקב משום דהוי כבונה, שהרי כתב הרמב"ם בפכ"ב (הכ"ו) וז"ל- </w:t>
      </w:r>
      <w:r w:rsidR="00105363" w:rsidRPr="008A0EB1">
        <w:rPr>
          <w:rFonts w:cs="Arial"/>
          <w:rtl/>
        </w:rPr>
        <w:t>אין גודלין את שער הראש ואין פוקסין אותו מפני שנראה כבונה, ואין מחזירין מנורה של חליות ולא כסא המפוצל ולא שולחן המפוצל וכיוצא בהן מפני שנראה כבונה, ואם החזיר פטור שאין בנין בכלים ואין סתירה בכלים, ואם היה רפוי מותר להחזירו, ואין מתקנין חליות של שדרה של קטן זו בצד זו מפני שנראה כבונה.</w:t>
      </w:r>
      <w:r w:rsidR="00105363">
        <w:rPr>
          <w:rFonts w:hint="cs"/>
          <w:rtl/>
        </w:rPr>
        <w:t xml:space="preserve"> עכ"ל. מוכח דבכלים אין בנין וסתירה מדאו' אך מדרבנן פטור אבל אסור, אבל בצריך לאוכל שבתוך הכלי הרמב"ם כתב שמותר ולא גזרו בזה חז"ל. וכאן צריך לאוכלים שלא ילכו לאיבוד. וא"ת יש הבדל בין לפתוח ללסגור - הרמב"ם עצמו כתב שכשם שאסור לפתוח כך אסור לסגור. אז מוכח שהוא מדבר על משהו שאסור גם בפתיחה. אז או שנאמר שלא יפסדו האוכלים, או שנאמר דאסור משום מתקן מנא ולא כהב"י.</w:t>
      </w:r>
    </w:p>
  </w:footnote>
  <w:footnote w:id="2265">
    <w:p w14:paraId="3CCEBA3A"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נ"ל דאף דהאידנא דאין לנו ת"ח וכמו שכתבתי בססי' של"ט (סקי"ג) מ"מ בדין זה שרי הואיל והרמב"ם סבירא ליה דהערמה זו מותר לכל אדם, ופשוט בשעוה דאם מרח חייב חטאת או בשמן דגזרינן אטו שעוה, אפי' לת"ח אסור להערים אפי' בהנחה בעלמא. והאי שעוה צ"ל דהכינו לתשמיש מאתמול דאל"כ אסור בלא"ה משום מוקצה דלאו כלי הוא, מג"א (סקט"ז).</w:t>
      </w:r>
    </w:p>
  </w:footnote>
  <w:footnote w:id="2266">
    <w:p w14:paraId="099E5D12"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נוסף ממהדורת דיהרנפארט תנ"ב, הגוה"ע פריעדמאן.</w:t>
      </w:r>
    </w:p>
  </w:footnote>
  <w:footnote w:id="2267">
    <w:p w14:paraId="188E7019" w14:textId="77777777" w:rsidR="00FB116F" w:rsidRPr="008C1C8E" w:rsidRDefault="00FB116F"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שאינו נגרר בארץ, שהחבל שהוא קשור בו אינו מגיע לארץ, רש"י.</w:t>
      </w:r>
    </w:p>
  </w:footnote>
  <w:footnote w:id="2268">
    <w:p w14:paraId="31501A42" w14:textId="77777777" w:rsidR="00FB116F" w:rsidRPr="008C1C8E" w:rsidRDefault="00FB116F"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דמיחזי כמוסיף על הבנין, רש"י.</w:t>
      </w:r>
    </w:p>
  </w:footnote>
  <w:footnote w:id="2269">
    <w:p w14:paraId="06481BD7" w14:textId="3C179DEC"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לפרוס מחצלת על ארבע מחיצות או על ארבע קונדסים להיות צל לאהל מן החמה, ודוקא גג, אבל מחיצה לאו אהל הוא ושרי לפורסה לצניעות כדאמרינן עירובין (צד.) בעובדא דשמואל, ופקק החלון דמתניתין משום דבנין קבוע הוא ומיחזי כמוסיף על הבנין, רש"י.</w:t>
      </w:r>
    </w:p>
  </w:footnote>
  <w:footnote w:id="2270">
    <w:p w14:paraId="1760B1AB" w14:textId="77777777" w:rsidR="009A7623" w:rsidRPr="008C1C8E" w:rsidRDefault="009A7623" w:rsidP="00285819">
      <w:pPr>
        <w:spacing w:after="0" w:line="240" w:lineRule="auto"/>
        <w:rPr>
          <w:rFonts w:asciiTheme="minorBidi" w:hAnsiTheme="minorBidi"/>
          <w:sz w:val="20"/>
          <w:szCs w:val="20"/>
        </w:rPr>
      </w:pPr>
      <w:r w:rsidRPr="008C1C8E">
        <w:rPr>
          <w:rStyle w:val="a9"/>
          <w:rFonts w:asciiTheme="minorBidi" w:hAnsiTheme="minorBidi"/>
          <w:sz w:val="20"/>
          <w:szCs w:val="20"/>
        </w:rPr>
        <w:footnoteRef/>
      </w:r>
      <w:r w:rsidRPr="008C1C8E">
        <w:rPr>
          <w:rFonts w:asciiTheme="minorBidi" w:hAnsiTheme="minorBidi"/>
          <w:sz w:val="20"/>
          <w:szCs w:val="20"/>
          <w:rtl/>
        </w:rPr>
        <w:t xml:space="preserve"> כגון שהיה מחצלת פרוסה עליהן וכרוכה ונשאר בה אויר, ולמחר פושטה, דומיא דפקק, דמוסיף בעלמא הוא, רש"י.</w:t>
      </w:r>
    </w:p>
  </w:footnote>
  <w:footnote w:id="2271">
    <w:p w14:paraId="4E3C0C85" w14:textId="35EF2EAC" w:rsidR="00895B5E" w:rsidRDefault="00895B5E" w:rsidP="00285819">
      <w:pPr>
        <w:pStyle w:val="a7"/>
      </w:pPr>
      <w:r>
        <w:rPr>
          <w:rStyle w:val="a9"/>
        </w:rPr>
        <w:footnoteRef/>
      </w:r>
      <w:r>
        <w:rPr>
          <w:rtl/>
        </w:rPr>
        <w:t xml:space="preserve"> </w:t>
      </w:r>
      <w:r>
        <w:rPr>
          <w:rFonts w:hint="cs"/>
          <w:rtl/>
        </w:rPr>
        <w:t>סימן - גדר לצניעות</w:t>
      </w:r>
      <w:r w:rsidR="00EC4AA1">
        <w:rPr>
          <w:rFonts w:hint="cs"/>
          <w:rtl/>
        </w:rPr>
        <w:t>/לצל</w:t>
      </w:r>
      <w:r>
        <w:rPr>
          <w:rFonts w:hint="cs"/>
          <w:rtl/>
        </w:rPr>
        <w:t>.</w:t>
      </w:r>
    </w:p>
  </w:footnote>
  <w:footnote w:id="2272">
    <w:p w14:paraId="6D1AF317" w14:textId="1B7413C2" w:rsidR="00382FBA" w:rsidRDefault="00382FBA" w:rsidP="00285819">
      <w:pPr>
        <w:pStyle w:val="a7"/>
      </w:pPr>
      <w:r>
        <w:rPr>
          <w:rStyle w:val="a9"/>
        </w:rPr>
        <w:footnoteRef/>
      </w:r>
      <w:r>
        <w:rPr>
          <w:rtl/>
        </w:rPr>
        <w:t xml:space="preserve"> </w:t>
      </w:r>
      <w:r w:rsidRPr="00382FBA">
        <w:rPr>
          <w:rFonts w:cs="Arial"/>
          <w:rtl/>
        </w:rPr>
        <w:t>כדמעיקרא</w:t>
      </w:r>
      <w:r>
        <w:rPr>
          <w:rFonts w:cs="Arial" w:hint="cs"/>
          <w:rtl/>
        </w:rPr>
        <w:t>,</w:t>
      </w:r>
      <w:r w:rsidRPr="00382FBA">
        <w:rPr>
          <w:rFonts w:cs="Arial"/>
          <w:rtl/>
        </w:rPr>
        <w:t xml:space="preserve"> דאמרינן הואיל והותרה הותרה, ובכלי הבית קאמר שמואל, דאי בששבתו בחצר - אפילו מחצר לחצר נמי דהא שמואל הוא דאמר הלכה כר' שמעון, ואפילו עירבה כל אחת לעצמה - לא גזר משום מאני דבתים, ואף על גב דהשתא הוו להו חצר אחת כשנפל - לא אסרי להו בתים, דהא שרי לאפוקי מבתים לחצר הואיל והותר למקצת שבת</w:t>
      </w:r>
      <w:r>
        <w:rPr>
          <w:rFonts w:cs="Arial" w:hint="cs"/>
          <w:rtl/>
        </w:rPr>
        <w:t>, רש"י.</w:t>
      </w:r>
    </w:p>
  </w:footnote>
  <w:footnote w:id="2273">
    <w:p w14:paraId="1C74DF68" w14:textId="506DAFE4" w:rsidR="00382FBA" w:rsidRDefault="00382FBA" w:rsidP="00285819">
      <w:pPr>
        <w:pStyle w:val="a7"/>
      </w:pPr>
      <w:r>
        <w:rPr>
          <w:rStyle w:val="a9"/>
        </w:rPr>
        <w:footnoteRef/>
      </w:r>
      <w:r>
        <w:rPr>
          <w:rtl/>
        </w:rPr>
        <w:t xml:space="preserve"> </w:t>
      </w:r>
      <w:r w:rsidRPr="00382FBA">
        <w:rPr>
          <w:rFonts w:cs="Arial"/>
          <w:rtl/>
        </w:rPr>
        <w:t>קחו טלית ופרסו אותה שם להיות מחיצה</w:t>
      </w:r>
      <w:r>
        <w:rPr>
          <w:rFonts w:cs="Arial" w:hint="cs"/>
          <w:rtl/>
        </w:rPr>
        <w:t>, רש"י.</w:t>
      </w:r>
    </w:p>
  </w:footnote>
  <w:footnote w:id="2274">
    <w:p w14:paraId="1E4041F6" w14:textId="321080AF" w:rsidR="00784999" w:rsidRDefault="00784999" w:rsidP="00285819">
      <w:pPr>
        <w:pStyle w:val="a7"/>
        <w:rPr>
          <w:rtl/>
        </w:rPr>
      </w:pPr>
      <w:r>
        <w:rPr>
          <w:rStyle w:val="a9"/>
        </w:rPr>
        <w:footnoteRef/>
      </w:r>
      <w:r>
        <w:rPr>
          <w:rtl/>
        </w:rPr>
        <w:t xml:space="preserve"> </w:t>
      </w:r>
      <w:r w:rsidR="00382FBA" w:rsidRPr="00382FBA">
        <w:rPr>
          <w:rFonts w:cs="Arial"/>
          <w:rtl/>
        </w:rPr>
        <w:t>דקסבר אסור לטלטל הסדין שבתוכה</w:t>
      </w:r>
      <w:r w:rsidR="00382FBA">
        <w:rPr>
          <w:rFonts w:cs="Arial" w:hint="cs"/>
          <w:rtl/>
        </w:rPr>
        <w:t>,</w:t>
      </w:r>
      <w:r w:rsidR="00382FBA" w:rsidRPr="00382FBA">
        <w:rPr>
          <w:rFonts w:hint="cs"/>
          <w:rtl/>
        </w:rPr>
        <w:t xml:space="preserve"> </w:t>
      </w:r>
      <w:r w:rsidR="00382FBA">
        <w:rPr>
          <w:rFonts w:hint="cs"/>
          <w:rtl/>
        </w:rPr>
        <w:t>רש"י.</w:t>
      </w:r>
      <w:r w:rsidR="004736DC">
        <w:rPr>
          <w:rFonts w:hint="cs"/>
          <w:rtl/>
        </w:rPr>
        <w:t xml:space="preserve"> רש"י פירש כן משום דסבר ד</w:t>
      </w:r>
      <w:r w:rsidR="00382FBA" w:rsidRPr="004736DC">
        <w:rPr>
          <w:rFonts w:hint="cs"/>
          <w:rtl/>
        </w:rPr>
        <w:t>מותר לעשות מחיצה המתרת בשבת</w:t>
      </w:r>
      <w:r w:rsidR="00173C3A">
        <w:rPr>
          <w:rFonts w:cs="Arial" w:hint="cs"/>
          <w:rtl/>
        </w:rPr>
        <w:t xml:space="preserve">. </w:t>
      </w:r>
      <w:r w:rsidR="004736DC">
        <w:rPr>
          <w:rFonts w:cs="Arial" w:hint="cs"/>
          <w:rtl/>
        </w:rPr>
        <w:t>אך לדעת ר"ת אסור לעשות מחיצה המתרת בשבת ולכן פירש ר"ת ש</w:t>
      </w:r>
      <w:r w:rsidR="00173C3A">
        <w:rPr>
          <w:rFonts w:cs="Arial" w:hint="cs"/>
          <w:rtl/>
        </w:rPr>
        <w:t xml:space="preserve">רב הקפיד על שעשו מחיצה המתרת </w:t>
      </w:r>
      <w:r w:rsidR="00173C3A" w:rsidRPr="00173C3A">
        <w:rPr>
          <w:rFonts w:cs="Arial" w:hint="cs"/>
          <w:sz w:val="16"/>
          <w:szCs w:val="16"/>
          <w:rtl/>
        </w:rPr>
        <w:t xml:space="preserve">(דהרי </w:t>
      </w:r>
      <w:r w:rsidR="00F0418E">
        <w:rPr>
          <w:rFonts w:cs="Arial" w:hint="cs"/>
          <w:sz w:val="16"/>
          <w:szCs w:val="16"/>
          <w:rtl/>
        </w:rPr>
        <w:t xml:space="preserve">עד עכשיו היה </w:t>
      </w:r>
      <w:r w:rsidR="00173C3A" w:rsidRPr="00173C3A">
        <w:rPr>
          <w:rFonts w:cs="Arial" w:hint="cs"/>
          <w:sz w:val="16"/>
          <w:szCs w:val="16"/>
          <w:rtl/>
        </w:rPr>
        <w:t>מותר לטלטל רק בד' אמות, ו</w:t>
      </w:r>
      <w:r w:rsidR="00F0418E">
        <w:rPr>
          <w:rFonts w:cs="Arial" w:hint="cs"/>
          <w:sz w:val="16"/>
          <w:szCs w:val="16"/>
          <w:rtl/>
        </w:rPr>
        <w:t>עכשיו</w:t>
      </w:r>
      <w:r w:rsidR="00173C3A" w:rsidRPr="00173C3A">
        <w:rPr>
          <w:rFonts w:cs="Arial" w:hint="cs"/>
          <w:sz w:val="16"/>
          <w:szCs w:val="16"/>
          <w:rtl/>
        </w:rPr>
        <w:t xml:space="preserve"> מותר בכל החצר</w:t>
      </w:r>
      <w:r w:rsidR="00173C3A">
        <w:rPr>
          <w:rFonts w:cs="Arial" w:hint="cs"/>
          <w:sz w:val="16"/>
          <w:szCs w:val="16"/>
          <w:rtl/>
        </w:rPr>
        <w:t>)</w:t>
      </w:r>
      <w:r w:rsidR="00173C3A">
        <w:rPr>
          <w:rFonts w:cs="Arial" w:hint="cs"/>
          <w:rtl/>
        </w:rPr>
        <w:t>.</w:t>
      </w:r>
    </w:p>
  </w:footnote>
  <w:footnote w:id="2275">
    <w:p w14:paraId="3EC3C727" w14:textId="6D6CE836" w:rsidR="004736DC" w:rsidRDefault="004736DC" w:rsidP="00285819">
      <w:pPr>
        <w:pStyle w:val="a7"/>
        <w:rPr>
          <w:rtl/>
        </w:rPr>
      </w:pPr>
      <w:r>
        <w:rPr>
          <w:rStyle w:val="a9"/>
        </w:rPr>
        <w:footnoteRef/>
      </w:r>
      <w:r>
        <w:rPr>
          <w:rtl/>
        </w:rPr>
        <w:t xml:space="preserve"> </w:t>
      </w:r>
      <w:r w:rsidRPr="004736DC">
        <w:rPr>
          <w:rFonts w:cs="Arial"/>
          <w:rtl/>
        </w:rPr>
        <w:t>קחו אבנטו וקשרו בו את הטלית למחיצה</w:t>
      </w:r>
      <w:r>
        <w:rPr>
          <w:rFonts w:cs="Arial" w:hint="cs"/>
          <w:rtl/>
        </w:rPr>
        <w:t>, רש"י.</w:t>
      </w:r>
    </w:p>
  </w:footnote>
  <w:footnote w:id="2276">
    <w:p w14:paraId="67A3644F" w14:textId="415CEF2A" w:rsidR="00895B5E" w:rsidRDefault="00895B5E" w:rsidP="00285819">
      <w:pPr>
        <w:pStyle w:val="a7"/>
      </w:pPr>
      <w:r>
        <w:rPr>
          <w:rStyle w:val="a9"/>
        </w:rPr>
        <w:footnoteRef/>
      </w:r>
      <w:r>
        <w:rPr>
          <w:rtl/>
        </w:rPr>
        <w:t xml:space="preserve"> </w:t>
      </w:r>
      <w:r>
        <w:rPr>
          <w:rFonts w:hint="cs"/>
          <w:rtl/>
        </w:rPr>
        <w:t>סימן - דופן מתרת.</w:t>
      </w:r>
    </w:p>
  </w:footnote>
  <w:footnote w:id="2277">
    <w:p w14:paraId="4F65324A" w14:textId="23AF5EBD" w:rsidR="0046502D" w:rsidRDefault="0046502D" w:rsidP="00285819">
      <w:pPr>
        <w:pStyle w:val="a7"/>
        <w:rPr>
          <w:rtl/>
        </w:rPr>
      </w:pPr>
      <w:r>
        <w:rPr>
          <w:rStyle w:val="a9"/>
        </w:rPr>
        <w:footnoteRef/>
      </w:r>
      <w:r>
        <w:rPr>
          <w:rtl/>
        </w:rPr>
        <w:t xml:space="preserve"> </w:t>
      </w:r>
      <w:r w:rsidRPr="0046502D">
        <w:rPr>
          <w:rFonts w:cs="Arial"/>
          <w:rtl/>
        </w:rPr>
        <w:t>והא דקתני נפל דופנה לא יעמיד בה כו'</w:t>
      </w:r>
      <w:r>
        <w:rPr>
          <w:rFonts w:hint="cs"/>
          <w:rtl/>
        </w:rPr>
        <w:t>, רש"י.</w:t>
      </w:r>
    </w:p>
  </w:footnote>
  <w:footnote w:id="2278">
    <w:p w14:paraId="12F0D25B" w14:textId="750D15B1" w:rsidR="00EC4AA1" w:rsidRDefault="00EC4AA1" w:rsidP="00285819">
      <w:pPr>
        <w:pStyle w:val="a7"/>
        <w:rPr>
          <w:rtl/>
        </w:rPr>
      </w:pPr>
      <w:r>
        <w:rPr>
          <w:rStyle w:val="a9"/>
        </w:rPr>
        <w:footnoteRef/>
      </w:r>
      <w:r>
        <w:rPr>
          <w:rtl/>
        </w:rPr>
        <w:t xml:space="preserve"> </w:t>
      </w:r>
      <w:r w:rsidRPr="00EC4AA1">
        <w:rPr>
          <w:rFonts w:cs="Arial"/>
          <w:rtl/>
        </w:rPr>
        <w:t>דבשתי דפנות אין קרוי אהל, וכי עביד בה דופן שלישית - משוי ליה אהל, ומודו רבנן דאין עושין אהל עראי בתחילה, והא דתני מותר - בדופן רביעית, דבלאו הכי הוי אהל, והאי תוספת בעלמא הוא, ורבנן לטעמייהו, דאמרי מוסיפין אהל בשבת</w:t>
      </w:r>
      <w:r>
        <w:rPr>
          <w:rFonts w:cs="Arial" w:hint="cs"/>
          <w:rtl/>
        </w:rPr>
        <w:t>, רש"י.</w:t>
      </w:r>
    </w:p>
  </w:footnote>
  <w:footnote w:id="2279">
    <w:p w14:paraId="2FFC807D" w14:textId="2C6DE275" w:rsidR="0046502D" w:rsidRDefault="0046502D" w:rsidP="00285819">
      <w:pPr>
        <w:pStyle w:val="a7"/>
        <w:rPr>
          <w:rtl/>
        </w:rPr>
      </w:pPr>
      <w:r>
        <w:rPr>
          <w:rStyle w:val="a9"/>
        </w:rPr>
        <w:footnoteRef/>
      </w:r>
      <w:r>
        <w:rPr>
          <w:rtl/>
        </w:rPr>
        <w:t xml:space="preserve"> </w:t>
      </w:r>
      <w:r w:rsidRPr="0046502D">
        <w:rPr>
          <w:rFonts w:cs="Arial"/>
          <w:rtl/>
        </w:rPr>
        <w:t>דמשמע דופן שהיא מותרת בה, ורביעית לא הויא תיקון סוכה, דתנן (סוכה ב, א): ושאין לה שלש דפנות - פסולה, הא בשלש - כשירה</w:t>
      </w:r>
      <w:r>
        <w:rPr>
          <w:rFonts w:hint="cs"/>
          <w:rtl/>
        </w:rPr>
        <w:t>, רש"י.</w:t>
      </w:r>
    </w:p>
  </w:footnote>
  <w:footnote w:id="2280">
    <w:p w14:paraId="17DB8D20" w14:textId="50D7B641" w:rsidR="0046502D" w:rsidRDefault="0046502D" w:rsidP="00285819">
      <w:pPr>
        <w:pStyle w:val="a7"/>
      </w:pPr>
      <w:r>
        <w:rPr>
          <w:rStyle w:val="a9"/>
        </w:rPr>
        <w:footnoteRef/>
      </w:r>
      <w:r>
        <w:rPr>
          <w:rtl/>
        </w:rPr>
        <w:t xml:space="preserve"> </w:t>
      </w:r>
      <w:r w:rsidRPr="0046502D">
        <w:rPr>
          <w:rFonts w:cs="Arial"/>
          <w:rtl/>
        </w:rPr>
        <w:t>שהעומד שם יודע שלשם מחיצה העמידוהו שם אסור</w:t>
      </w:r>
      <w:r>
        <w:rPr>
          <w:rFonts w:cs="Arial" w:hint="cs"/>
          <w:rtl/>
        </w:rPr>
        <w:t>, רש"י.</w:t>
      </w:r>
    </w:p>
  </w:footnote>
  <w:footnote w:id="2281">
    <w:p w14:paraId="4FCF87F4" w14:textId="549EAB5C" w:rsidR="0046502D" w:rsidRDefault="0046502D" w:rsidP="00285819">
      <w:pPr>
        <w:pStyle w:val="a7"/>
        <w:rPr>
          <w:rtl/>
        </w:rPr>
      </w:pPr>
      <w:r>
        <w:rPr>
          <w:rStyle w:val="a9"/>
        </w:rPr>
        <w:footnoteRef/>
      </w:r>
      <w:r>
        <w:rPr>
          <w:rtl/>
        </w:rPr>
        <w:t xml:space="preserve"> </w:t>
      </w:r>
      <w:r w:rsidRPr="0046502D">
        <w:rPr>
          <w:rFonts w:cs="Arial"/>
          <w:rtl/>
        </w:rPr>
        <w:t>מותר, דמשום עשיית אהל ליכא למימר, דאין דרך בנין בכך, אבל כלי - דרך בנין בכך הוא, הלכך דופן שלישית אסור</w:t>
      </w:r>
      <w:r>
        <w:rPr>
          <w:rFonts w:hint="cs"/>
          <w:rtl/>
        </w:rPr>
        <w:t>, רש"י.</w:t>
      </w:r>
    </w:p>
  </w:footnote>
  <w:footnote w:id="2282">
    <w:p w14:paraId="6C1CC791" w14:textId="57E086E5" w:rsidR="0046502D" w:rsidRDefault="0046502D" w:rsidP="00285819">
      <w:pPr>
        <w:pStyle w:val="a7"/>
      </w:pPr>
      <w:r>
        <w:rPr>
          <w:rStyle w:val="a9"/>
        </w:rPr>
        <w:footnoteRef/>
      </w:r>
      <w:r>
        <w:rPr>
          <w:rtl/>
        </w:rPr>
        <w:t xml:space="preserve"> </w:t>
      </w:r>
      <w:r>
        <w:rPr>
          <w:rFonts w:asciiTheme="minorBidi" w:hAnsiTheme="minorBidi" w:cs="Arial" w:hint="cs"/>
          <w:rtl/>
        </w:rPr>
        <w:t xml:space="preserve">וז"ל- </w:t>
      </w:r>
      <w:r w:rsidRPr="00B6715C">
        <w:rPr>
          <w:rFonts w:asciiTheme="minorBidi" w:hAnsiTheme="minorBidi" w:cs="Arial"/>
          <w:rtl/>
        </w:rPr>
        <w:t>אסור לעשות אפילו אהל עראי בשבת וי</w:t>
      </w:r>
      <w:r>
        <w:rPr>
          <w:rFonts w:asciiTheme="minorBidi" w:hAnsiTheme="minorBidi" w:cs="Arial" w:hint="cs"/>
          <w:rtl/>
        </w:rPr>
        <w:t>ו</w:t>
      </w:r>
      <w:r w:rsidRPr="00B6715C">
        <w:rPr>
          <w:rFonts w:asciiTheme="minorBidi" w:hAnsiTheme="minorBidi" w:cs="Arial"/>
          <w:rtl/>
        </w:rPr>
        <w:t>"ט</w:t>
      </w:r>
      <w:r>
        <w:rPr>
          <w:rFonts w:asciiTheme="minorBidi" w:hAnsiTheme="minorBidi" w:cs="Arial" w:hint="cs"/>
          <w:rtl/>
        </w:rPr>
        <w:t>.</w:t>
      </w:r>
    </w:p>
  </w:footnote>
  <w:footnote w:id="2283">
    <w:p w14:paraId="3EA3C1D2" w14:textId="77777777" w:rsidR="00EC4AA1" w:rsidRDefault="00EC4AA1" w:rsidP="00285819">
      <w:pPr>
        <w:pStyle w:val="a7"/>
      </w:pPr>
      <w:r>
        <w:rPr>
          <w:rStyle w:val="a9"/>
        </w:rPr>
        <w:footnoteRef/>
      </w:r>
      <w:r>
        <w:rPr>
          <w:rtl/>
        </w:rPr>
        <w:t xml:space="preserve"> </w:t>
      </w:r>
      <w:r w:rsidRPr="00B6715C">
        <w:rPr>
          <w:rFonts w:asciiTheme="minorBidi" w:hAnsiTheme="minorBidi" w:cs="Arial"/>
          <w:rtl/>
        </w:rPr>
        <w:t>והר"ן (מט. ד"ה וכתב רש"י) האריך בביאור דברי רש"י ובסוף דבריו כתב מכלל דברים אלו אתה למד דרש"י סובר שאפילו מחיצה המתרת מותר לעשותה בשבת</w:t>
      </w:r>
      <w:r>
        <w:rPr>
          <w:rFonts w:asciiTheme="minorBidi" w:hAnsiTheme="minorBidi" w:cs="Arial" w:hint="cs"/>
          <w:rtl/>
        </w:rPr>
        <w:t>, ב"י.</w:t>
      </w:r>
      <w:r>
        <w:rPr>
          <w:rFonts w:hint="cs"/>
          <w:rtl/>
        </w:rPr>
        <w:t xml:space="preserve"> וכן נראה בבירור שהבינו התוס' (קכה: ד"ה הכל) מדברי רש"י.</w:t>
      </w:r>
    </w:p>
  </w:footnote>
  <w:footnote w:id="2284">
    <w:p w14:paraId="39FAC93B" w14:textId="0CD049D7" w:rsidR="00EB1DAD" w:rsidRDefault="00EB1DAD" w:rsidP="00285819">
      <w:pPr>
        <w:pStyle w:val="a7"/>
      </w:pPr>
      <w:r>
        <w:rPr>
          <w:rStyle w:val="a9"/>
        </w:rPr>
        <w:footnoteRef/>
      </w:r>
      <w:r>
        <w:rPr>
          <w:rtl/>
        </w:rPr>
        <w:t xml:space="preserve"> </w:t>
      </w:r>
      <w:r>
        <w:rPr>
          <w:rFonts w:hint="cs"/>
          <w:rtl/>
        </w:rPr>
        <w:t>וכן הוא במסכת שבת (קלח.).</w:t>
      </w:r>
    </w:p>
  </w:footnote>
  <w:footnote w:id="2285">
    <w:p w14:paraId="0AD97DDF" w14:textId="6FB9AD56" w:rsidR="007301CE" w:rsidRPr="008C1C8E" w:rsidRDefault="007301CE"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כנגד הפתח לצניעות, רש"י.</w:t>
      </w:r>
    </w:p>
  </w:footnote>
  <w:footnote w:id="2286">
    <w:p w14:paraId="54BE7EDF" w14:textId="6839DADA" w:rsidR="007301CE" w:rsidRPr="008C1C8E" w:rsidRDefault="007301CE" w:rsidP="00285819">
      <w:pPr>
        <w:spacing w:after="0" w:line="240" w:lineRule="auto"/>
        <w:rPr>
          <w:rFonts w:asciiTheme="minorBidi" w:hAnsiTheme="minorBidi"/>
          <w:sz w:val="20"/>
          <w:szCs w:val="20"/>
          <w:rtl/>
        </w:rPr>
      </w:pPr>
      <w:r w:rsidRPr="008C1C8E">
        <w:rPr>
          <w:rStyle w:val="a9"/>
          <w:rFonts w:asciiTheme="minorBidi" w:hAnsiTheme="minorBidi"/>
          <w:sz w:val="20"/>
          <w:szCs w:val="20"/>
        </w:rPr>
        <w:footnoteRef/>
      </w:r>
      <w:r w:rsidRPr="008C1C8E">
        <w:rPr>
          <w:rFonts w:asciiTheme="minorBidi" w:hAnsiTheme="minorBidi"/>
          <w:sz w:val="20"/>
          <w:szCs w:val="20"/>
          <w:rtl/>
        </w:rPr>
        <w:t xml:space="preserve"> שאין אהל אלא מי שעשוי כעין גג, רש"י</w:t>
      </w:r>
      <w:r w:rsidR="00EB1DAD">
        <w:rPr>
          <w:rFonts w:asciiTheme="minorBidi" w:hAnsiTheme="minorBidi" w:hint="cs"/>
          <w:sz w:val="20"/>
          <w:szCs w:val="20"/>
          <w:rtl/>
        </w:rPr>
        <w:t xml:space="preserve"> (שבת קלח.)</w:t>
      </w:r>
      <w:r w:rsidRPr="008C1C8E">
        <w:rPr>
          <w:rFonts w:asciiTheme="minorBidi" w:hAnsiTheme="minorBidi"/>
          <w:sz w:val="20"/>
          <w:szCs w:val="20"/>
          <w:rtl/>
        </w:rPr>
        <w:t xml:space="preserve">. </w:t>
      </w:r>
      <w:r w:rsidR="00EB1DAD">
        <w:rPr>
          <w:rFonts w:asciiTheme="minorBidi" w:hAnsiTheme="minorBidi" w:hint="cs"/>
          <w:sz w:val="20"/>
          <w:szCs w:val="20"/>
          <w:rtl/>
        </w:rPr>
        <w:t xml:space="preserve">וכאן (ערובין קב.) כתב רש"י: </w:t>
      </w:r>
      <w:r w:rsidRPr="008C1C8E">
        <w:rPr>
          <w:rFonts w:asciiTheme="minorBidi" w:hAnsiTheme="minorBidi"/>
          <w:sz w:val="20"/>
          <w:szCs w:val="20"/>
          <w:rtl/>
        </w:rPr>
        <w:t>דלאו אהל הוא דלא קביעא התם</w:t>
      </w:r>
      <w:r w:rsidR="00DF69A0">
        <w:rPr>
          <w:rFonts w:asciiTheme="minorBidi" w:hAnsiTheme="minorBidi" w:hint="cs"/>
          <w:sz w:val="20"/>
          <w:szCs w:val="20"/>
          <w:rtl/>
        </w:rPr>
        <w:t>,</w:t>
      </w:r>
      <w:r w:rsidRPr="008C1C8E">
        <w:rPr>
          <w:rFonts w:asciiTheme="minorBidi" w:hAnsiTheme="minorBidi"/>
          <w:sz w:val="20"/>
          <w:szCs w:val="20"/>
          <w:rtl/>
        </w:rPr>
        <w:t xml:space="preserve"> אלא כן דרכו לינתן ולהסתלק כדלת בעלמא.</w:t>
      </w:r>
    </w:p>
  </w:footnote>
  <w:footnote w:id="2287">
    <w:p w14:paraId="5B6A572D" w14:textId="7AED50AC" w:rsidR="00DF0D60" w:rsidRDefault="00DF0D60" w:rsidP="00285819">
      <w:pPr>
        <w:pStyle w:val="a7"/>
      </w:pPr>
      <w:r>
        <w:rPr>
          <w:rStyle w:val="a9"/>
        </w:rPr>
        <w:footnoteRef/>
      </w:r>
      <w:r>
        <w:rPr>
          <w:rtl/>
        </w:rPr>
        <w:t xml:space="preserve"> </w:t>
      </w:r>
      <w:r w:rsidRPr="00350D72">
        <w:rPr>
          <w:rFonts w:asciiTheme="minorBidi" w:hAnsiTheme="minorBidi" w:cs="Arial"/>
          <w:rtl/>
        </w:rPr>
        <w:t>כלומר כל מחיצה שאינה לצניעות אלא להתיר כי ההיא דמהר"ם אסור לעשותה בשבת</w:t>
      </w:r>
      <w:r>
        <w:rPr>
          <w:rFonts w:asciiTheme="minorBidi" w:hAnsiTheme="minorBidi" w:cs="Arial" w:hint="cs"/>
          <w:rtl/>
        </w:rPr>
        <w:t>,</w:t>
      </w:r>
      <w:r w:rsidRPr="00350D72">
        <w:rPr>
          <w:rFonts w:asciiTheme="minorBidi" w:hAnsiTheme="minorBidi" w:cs="Arial"/>
          <w:rtl/>
        </w:rPr>
        <w:t xml:space="preserve"> אבל אם אינה עשויה להתיר אפילו אם אינה לצניעות </w:t>
      </w:r>
      <w:r>
        <w:rPr>
          <w:rFonts w:asciiTheme="minorBidi" w:hAnsiTheme="minorBidi" w:cs="Arial" w:hint="cs"/>
          <w:rtl/>
        </w:rPr>
        <w:t xml:space="preserve">- </w:t>
      </w:r>
      <w:r w:rsidRPr="00350D72">
        <w:rPr>
          <w:rFonts w:asciiTheme="minorBidi" w:hAnsiTheme="minorBidi" w:cs="Arial"/>
          <w:rtl/>
        </w:rPr>
        <w:t>ודאי שמותר לעשותה בשבת</w:t>
      </w:r>
      <w:r>
        <w:rPr>
          <w:rFonts w:asciiTheme="minorBidi" w:hAnsiTheme="minorBidi" w:cs="Arial" w:hint="cs"/>
          <w:rtl/>
        </w:rPr>
        <w:t>.</w:t>
      </w:r>
      <w:r w:rsidRPr="00350D72">
        <w:rPr>
          <w:rFonts w:asciiTheme="minorBidi" w:hAnsiTheme="minorBidi" w:cs="Arial"/>
          <w:rtl/>
        </w:rPr>
        <w:t xml:space="preserve"> וזהו שכתב בסוף דבריו </w:t>
      </w:r>
      <w:r w:rsidR="00434A39">
        <w:rPr>
          <w:rFonts w:asciiTheme="minorBidi" w:hAnsiTheme="minorBidi" w:cs="Arial" w:hint="cs"/>
          <w:rtl/>
        </w:rPr>
        <w:t>'</w:t>
      </w:r>
      <w:r w:rsidRPr="00350D72">
        <w:rPr>
          <w:rFonts w:asciiTheme="minorBidi" w:hAnsiTheme="minorBidi" w:cs="Arial"/>
          <w:rtl/>
        </w:rPr>
        <w:t>גם מותר בשבת לעשות מחיצה להגן מפני החמה או מפני הצינה שלא תפול על האדם</w:t>
      </w:r>
      <w:r w:rsidR="00434A39">
        <w:rPr>
          <w:rFonts w:asciiTheme="minorBidi" w:hAnsiTheme="minorBidi" w:cs="Arial" w:hint="cs"/>
          <w:rtl/>
        </w:rPr>
        <w:t>', ב"י.</w:t>
      </w:r>
    </w:p>
  </w:footnote>
  <w:footnote w:id="2288">
    <w:p w14:paraId="19F48D92" w14:textId="62B5BF2B" w:rsidR="00434A39" w:rsidRDefault="00434A39" w:rsidP="00285819">
      <w:pPr>
        <w:pStyle w:val="a7"/>
      </w:pPr>
      <w:r>
        <w:rPr>
          <w:rStyle w:val="a9"/>
        </w:rPr>
        <w:footnoteRef/>
      </w:r>
      <w:r>
        <w:rPr>
          <w:rtl/>
        </w:rPr>
        <w:t xml:space="preserve"> </w:t>
      </w:r>
      <w:r>
        <w:rPr>
          <w:rFonts w:asciiTheme="minorBidi" w:hAnsiTheme="minorBidi" w:cs="Arial" w:hint="cs"/>
          <w:rtl/>
        </w:rPr>
        <w:t>ו</w:t>
      </w:r>
      <w:r w:rsidRPr="00350D72">
        <w:rPr>
          <w:rFonts w:asciiTheme="minorBidi" w:hAnsiTheme="minorBidi" w:cs="Arial"/>
          <w:rtl/>
        </w:rPr>
        <w:t>מה שהביא ראיה מדברי רב הונא דאמר ליה זיל כרוך בודיא ושייר בה טפח אע</w:t>
      </w:r>
      <w:r>
        <w:rPr>
          <w:rFonts w:asciiTheme="minorBidi" w:hAnsiTheme="minorBidi" w:cs="Arial" w:hint="cs"/>
          <w:rtl/>
        </w:rPr>
        <w:t>"</w:t>
      </w:r>
      <w:r w:rsidRPr="00350D72">
        <w:rPr>
          <w:rFonts w:asciiTheme="minorBidi" w:hAnsiTheme="minorBidi" w:cs="Arial"/>
          <w:rtl/>
        </w:rPr>
        <w:t>ג דהכא מחיצה והתם אהל</w:t>
      </w:r>
      <w:r>
        <w:rPr>
          <w:rFonts w:asciiTheme="minorBidi" w:hAnsiTheme="minorBidi" w:cs="Arial" w:hint="cs"/>
          <w:rtl/>
        </w:rPr>
        <w:t xml:space="preserve">, </w:t>
      </w:r>
      <w:r w:rsidRPr="00350D72">
        <w:rPr>
          <w:rFonts w:asciiTheme="minorBidi" w:hAnsiTheme="minorBidi" w:cs="Arial"/>
          <w:rtl/>
        </w:rPr>
        <w:t>מכל מקום מייתי שפיר דבשיור טפח שרי באהל עראי והוא הדין למחיצה המתרת</w:t>
      </w:r>
      <w:r>
        <w:rPr>
          <w:rFonts w:asciiTheme="minorBidi" w:hAnsiTheme="minorBidi" w:cs="Arial" w:hint="cs"/>
          <w:rtl/>
        </w:rPr>
        <w:t>, ב"י</w:t>
      </w:r>
      <w:r w:rsidRPr="00350D72">
        <w:rPr>
          <w:rFonts w:asciiTheme="minorBidi" w:hAnsiTheme="minorBidi" w:cs="Arial"/>
          <w:rtl/>
        </w:rPr>
        <w:t>.</w:t>
      </w:r>
    </w:p>
  </w:footnote>
  <w:footnote w:id="2289">
    <w:p w14:paraId="672FE3C9" w14:textId="55932736" w:rsidR="00675DD8" w:rsidRDefault="00675DD8" w:rsidP="00285819">
      <w:pPr>
        <w:pStyle w:val="a7"/>
      </w:pPr>
      <w:r>
        <w:rPr>
          <w:rStyle w:val="a9"/>
        </w:rPr>
        <w:footnoteRef/>
      </w:r>
      <w:r>
        <w:rPr>
          <w:rtl/>
        </w:rPr>
        <w:t xml:space="preserve"> </w:t>
      </w:r>
      <w:r w:rsidRPr="00EB1DAD">
        <w:rPr>
          <w:rFonts w:asciiTheme="minorBidi" w:hAnsiTheme="minorBidi" w:cs="Arial"/>
          <w:rtl/>
        </w:rPr>
        <w:t>וצריך לומר שהוא סובר כרבינו תם דמחיצה המתרת אסור לעשותה בשבת</w:t>
      </w:r>
      <w:r w:rsidR="00A5356D">
        <w:rPr>
          <w:rFonts w:asciiTheme="minorBidi" w:hAnsiTheme="minorBidi" w:cs="Arial" w:hint="cs"/>
          <w:rtl/>
        </w:rPr>
        <w:t>.</w:t>
      </w:r>
      <w:r w:rsidRPr="00EB1DAD">
        <w:rPr>
          <w:rFonts w:asciiTheme="minorBidi" w:hAnsiTheme="minorBidi" w:cs="Arial"/>
          <w:rtl/>
        </w:rPr>
        <w:t xml:space="preserve"> ומחיצה זו דמהר"ם כיון שנעשית להפסיק בין הספרים לאדם העושה צרכיו</w:t>
      </w:r>
      <w:r w:rsidR="00A5356D">
        <w:rPr>
          <w:rFonts w:asciiTheme="minorBidi" w:hAnsiTheme="minorBidi" w:cs="Arial" w:hint="cs"/>
          <w:rtl/>
        </w:rPr>
        <w:t xml:space="preserve"> -</w:t>
      </w:r>
      <w:r w:rsidRPr="00EB1DAD">
        <w:rPr>
          <w:rFonts w:asciiTheme="minorBidi" w:hAnsiTheme="minorBidi" w:cs="Arial"/>
          <w:rtl/>
        </w:rPr>
        <w:t xml:space="preserve"> חשיבה מחיצה המתרת ואסור לנטותה בשבת</w:t>
      </w:r>
      <w:r>
        <w:rPr>
          <w:rFonts w:asciiTheme="minorBidi" w:hAnsiTheme="minorBidi" w:cs="Arial" w:hint="cs"/>
          <w:rtl/>
        </w:rPr>
        <w:t>,</w:t>
      </w:r>
      <w:r w:rsidRPr="0068171B">
        <w:rPr>
          <w:rFonts w:asciiTheme="minorBidi" w:hAnsiTheme="minorBidi" w:cs="Arial" w:hint="cs"/>
          <w:rtl/>
        </w:rPr>
        <w:t xml:space="preserve"> ב"י</w:t>
      </w:r>
      <w:r>
        <w:rPr>
          <w:rFonts w:asciiTheme="minorBidi" w:hAnsiTheme="minorBidi" w:cs="Arial" w:hint="cs"/>
          <w:rtl/>
        </w:rPr>
        <w:t>.</w:t>
      </w:r>
    </w:p>
  </w:footnote>
  <w:footnote w:id="2290">
    <w:p w14:paraId="570E81BE" w14:textId="77777777" w:rsidR="000C2D1F" w:rsidRDefault="000C2D1F" w:rsidP="00285819">
      <w:pPr>
        <w:pStyle w:val="a7"/>
      </w:pPr>
      <w:r>
        <w:rPr>
          <w:rStyle w:val="a9"/>
        </w:rPr>
        <w:footnoteRef/>
      </w:r>
      <w:r>
        <w:rPr>
          <w:rFonts w:asciiTheme="minorBidi" w:hAnsiTheme="minorBidi" w:cs="Arial" w:hint="cs"/>
          <w:rtl/>
        </w:rPr>
        <w:t xml:space="preserve"> </w:t>
      </w:r>
      <w:r w:rsidRPr="00350D72">
        <w:rPr>
          <w:rFonts w:asciiTheme="minorBidi" w:hAnsiTheme="minorBidi" w:cs="Arial"/>
          <w:rtl/>
        </w:rPr>
        <w:t>ומדברי רש"י דפרק בתרא דעירובין משמע דלא שרינן בוילון אלא בשאינו תלוי שם בקביעות אבל אם הוא תלוי שם בקביעות אסור לנטותו ולפרקו בשבת</w:t>
      </w:r>
      <w:r>
        <w:rPr>
          <w:rFonts w:asciiTheme="minorBidi" w:hAnsiTheme="minorBidi" w:cs="Arial" w:hint="cs"/>
          <w:rtl/>
        </w:rPr>
        <w:t>.</w:t>
      </w:r>
      <w:r w:rsidRPr="00350D72">
        <w:rPr>
          <w:rFonts w:asciiTheme="minorBidi" w:hAnsiTheme="minorBidi" w:cs="Arial"/>
          <w:rtl/>
        </w:rPr>
        <w:t xml:space="preserve"> וכן נראה שסובר בעל תרו</w:t>
      </w:r>
      <w:r>
        <w:rPr>
          <w:rFonts w:asciiTheme="minorBidi" w:hAnsiTheme="minorBidi" w:cs="Arial" w:hint="cs"/>
          <w:rtl/>
        </w:rPr>
        <w:t>ה"ד (סי' סח).</w:t>
      </w:r>
      <w:r w:rsidRPr="00350D72">
        <w:rPr>
          <w:rFonts w:asciiTheme="minorBidi" w:hAnsiTheme="minorBidi" w:cs="Arial"/>
          <w:rtl/>
        </w:rPr>
        <w:t xml:space="preserve"> ולי נראה דא"כ לא הוה שתיק מיניה בריש פרק תולין</w:t>
      </w:r>
      <w:r>
        <w:rPr>
          <w:rFonts w:asciiTheme="minorBidi" w:hAnsiTheme="minorBidi" w:cs="Arial" w:hint="cs"/>
          <w:rtl/>
        </w:rPr>
        <w:t>.</w:t>
      </w:r>
      <w:r w:rsidRPr="00350D72">
        <w:rPr>
          <w:rFonts w:asciiTheme="minorBidi" w:hAnsiTheme="minorBidi" w:cs="Arial"/>
          <w:rtl/>
        </w:rPr>
        <w:t xml:space="preserve"> לכן נ"ל שאע"פ שתלוי שם בקביעות </w:t>
      </w:r>
      <w:r>
        <w:rPr>
          <w:rFonts w:asciiTheme="minorBidi" w:hAnsiTheme="minorBidi" w:cs="Arial" w:hint="cs"/>
          <w:rtl/>
        </w:rPr>
        <w:t xml:space="preserve">- </w:t>
      </w:r>
      <w:r w:rsidRPr="00350D72">
        <w:rPr>
          <w:rFonts w:asciiTheme="minorBidi" w:hAnsiTheme="minorBidi" w:cs="Arial"/>
          <w:rtl/>
        </w:rPr>
        <w:t>שרי</w:t>
      </w:r>
      <w:r>
        <w:rPr>
          <w:rFonts w:asciiTheme="minorBidi" w:hAnsiTheme="minorBidi" w:cs="Arial" w:hint="cs"/>
          <w:rtl/>
        </w:rPr>
        <w:t>.</w:t>
      </w:r>
      <w:r w:rsidRPr="00350D72">
        <w:rPr>
          <w:rFonts w:asciiTheme="minorBidi" w:hAnsiTheme="minorBidi" w:cs="Arial"/>
          <w:rtl/>
        </w:rPr>
        <w:t xml:space="preserve"> שהרי כיון שכולו נע ונד ברוח מצויה וגם אינו מעכב להולכים ועוברים דרך שם מיקרי לא קביע</w:t>
      </w:r>
      <w:r>
        <w:rPr>
          <w:rFonts w:asciiTheme="minorBidi" w:hAnsiTheme="minorBidi" w:cs="Arial" w:hint="cs"/>
          <w:rtl/>
        </w:rPr>
        <w:t>.</w:t>
      </w:r>
      <w:r w:rsidRPr="00350D72">
        <w:rPr>
          <w:rFonts w:asciiTheme="minorBidi" w:hAnsiTheme="minorBidi" w:cs="Arial"/>
          <w:rtl/>
        </w:rPr>
        <w:t xml:space="preserve"> וזהו שכתב דלא קביע התם אלא כן דרכו לינתן ולהסתלק כדלת בעלמא</w:t>
      </w:r>
      <w:r>
        <w:rPr>
          <w:rFonts w:asciiTheme="minorBidi" w:hAnsiTheme="minorBidi" w:cs="Arial" w:hint="cs"/>
          <w:rtl/>
        </w:rPr>
        <w:t>.</w:t>
      </w:r>
      <w:r w:rsidRPr="00350D72">
        <w:rPr>
          <w:rFonts w:asciiTheme="minorBidi" w:hAnsiTheme="minorBidi" w:cs="Arial"/>
          <w:rtl/>
        </w:rPr>
        <w:t xml:space="preserve"> אבל אם קבעו מלמעלה ומלמטה ומן הצדדין בענין שאין מזיזין אותו ממקומו הוה מיתסר משום בנין</w:t>
      </w:r>
      <w:r>
        <w:rPr>
          <w:rFonts w:asciiTheme="minorBidi" w:hAnsiTheme="minorBidi" w:cs="Arial" w:hint="cs"/>
          <w:rtl/>
        </w:rPr>
        <w:t>.</w:t>
      </w:r>
      <w:r w:rsidRPr="00350D72">
        <w:rPr>
          <w:rFonts w:asciiTheme="minorBidi" w:hAnsiTheme="minorBidi" w:cs="Arial"/>
          <w:rtl/>
        </w:rPr>
        <w:t xml:space="preserve"> ומשום דסתם וילון אין קובעין אותו כך כתב דכיון דלא קביע התם שרי</w:t>
      </w:r>
      <w:r>
        <w:rPr>
          <w:rFonts w:asciiTheme="minorBidi" w:hAnsiTheme="minorBidi" w:cs="Arial" w:hint="cs"/>
          <w:rtl/>
        </w:rPr>
        <w:t xml:space="preserve">, </w:t>
      </w:r>
      <w:r w:rsidRPr="006C2F57">
        <w:rPr>
          <w:rFonts w:asciiTheme="minorBidi" w:hAnsiTheme="minorBidi" w:cs="Arial" w:hint="cs"/>
          <w:b/>
          <w:bCs/>
          <w:rtl/>
        </w:rPr>
        <w:t>ב"י</w:t>
      </w:r>
      <w:r>
        <w:rPr>
          <w:rFonts w:asciiTheme="minorBidi" w:hAnsiTheme="minorBidi" w:cs="Arial" w:hint="cs"/>
          <w:rtl/>
        </w:rPr>
        <w:t>.</w:t>
      </w:r>
      <w:r>
        <w:rPr>
          <w:rFonts w:cs="Arial" w:hint="cs"/>
          <w:rtl/>
        </w:rPr>
        <w:t xml:space="preserve">   </w:t>
      </w:r>
      <w:r w:rsidRPr="00350D72">
        <w:rPr>
          <w:rFonts w:cs="Arial"/>
          <w:rtl/>
        </w:rPr>
        <w:t xml:space="preserve"> וכן הוא באור זרוע (הל' שבת סי' עח סוף אות ו) דכל מחיצה שאינה באה להתיר מותר לעשותה בשבת לכן בחג הסוכות מותר לתלות המפה על הכתלים וכנגד הפתח מפני הרוח שלא יכבה הנרות אבל למעלה תחת הסכך ודאי אסור</w:t>
      </w:r>
      <w:r>
        <w:rPr>
          <w:rFonts w:cs="Arial" w:hint="cs"/>
          <w:rtl/>
        </w:rPr>
        <w:t xml:space="preserve">, </w:t>
      </w:r>
      <w:r w:rsidRPr="006C2F57">
        <w:rPr>
          <w:rFonts w:cs="Arial" w:hint="cs"/>
          <w:b/>
          <w:bCs/>
          <w:rtl/>
        </w:rPr>
        <w:t>דרכ"מ</w:t>
      </w:r>
      <w:r>
        <w:rPr>
          <w:rFonts w:cs="Arial" w:hint="cs"/>
          <w:rtl/>
        </w:rPr>
        <w:t xml:space="preserve"> (אות ו).</w:t>
      </w:r>
    </w:p>
  </w:footnote>
  <w:footnote w:id="2291">
    <w:p w14:paraId="62944374" w14:textId="77777777" w:rsidR="000C2D1F" w:rsidRDefault="000C2D1F" w:rsidP="00285819">
      <w:pPr>
        <w:pStyle w:val="a7"/>
      </w:pPr>
      <w:r>
        <w:rPr>
          <w:rStyle w:val="a9"/>
        </w:rPr>
        <w:footnoteRef/>
      </w:r>
      <w:r>
        <w:rPr>
          <w:rtl/>
        </w:rPr>
        <w:t xml:space="preserve"> </w:t>
      </w:r>
      <w:r w:rsidRPr="00350D72">
        <w:rPr>
          <w:rFonts w:asciiTheme="minorBidi" w:hAnsiTheme="minorBidi" w:cs="Arial"/>
          <w:rtl/>
        </w:rPr>
        <w:t>והאידנא נהוג כולי עלמא היתר בדבר ולא ראינו מי שמיחה בכך</w:t>
      </w:r>
      <w:r>
        <w:rPr>
          <w:rFonts w:cs="Arial" w:hint="cs"/>
          <w:rtl/>
        </w:rPr>
        <w:t xml:space="preserve">, </w:t>
      </w:r>
      <w:r w:rsidRPr="006C2F57">
        <w:rPr>
          <w:rFonts w:cs="Arial" w:hint="cs"/>
          <w:b/>
          <w:bCs/>
          <w:rtl/>
        </w:rPr>
        <w:t>ב"י</w:t>
      </w:r>
      <w:r>
        <w:rPr>
          <w:rFonts w:cs="Arial" w:hint="cs"/>
          <w:rtl/>
        </w:rPr>
        <w:t>.</w:t>
      </w:r>
      <w:r w:rsidRPr="00350D72">
        <w:rPr>
          <w:rFonts w:cs="Arial"/>
          <w:rtl/>
        </w:rPr>
        <w:t xml:space="preserve"> </w:t>
      </w:r>
      <w:r>
        <w:rPr>
          <w:rFonts w:cs="Arial" w:hint="cs"/>
          <w:rtl/>
        </w:rPr>
        <w:t xml:space="preserve">   </w:t>
      </w:r>
      <w:r w:rsidRPr="00350D72">
        <w:rPr>
          <w:rFonts w:cs="Arial"/>
          <w:rtl/>
        </w:rPr>
        <w:t>וכן משמע מדברי מרדכי דלעיל</w:t>
      </w:r>
      <w:r>
        <w:rPr>
          <w:rFonts w:cs="Arial" w:hint="cs"/>
          <w:rtl/>
        </w:rPr>
        <w:t>.</w:t>
      </w:r>
      <w:r w:rsidRPr="00350D72">
        <w:rPr>
          <w:rFonts w:cs="Arial"/>
          <w:rtl/>
        </w:rPr>
        <w:t xml:space="preserve"> וכן הוא בכל בו (הל' שבת סי' לא כז ב) בהדיא</w:t>
      </w:r>
      <w:r>
        <w:rPr>
          <w:rFonts w:cs="Arial" w:hint="cs"/>
          <w:rtl/>
        </w:rPr>
        <w:t>,</w:t>
      </w:r>
      <w:r w:rsidRPr="00350D72">
        <w:rPr>
          <w:rFonts w:cs="Arial"/>
          <w:rtl/>
        </w:rPr>
        <w:t xml:space="preserve"> ובלבד שלא יעשה אהל</w:t>
      </w:r>
      <w:r>
        <w:rPr>
          <w:rFonts w:cs="Arial" w:hint="cs"/>
          <w:rtl/>
        </w:rPr>
        <w:t>.</w:t>
      </w:r>
      <w:r w:rsidRPr="00350D72">
        <w:rPr>
          <w:rFonts w:cs="Arial"/>
          <w:rtl/>
        </w:rPr>
        <w:t xml:space="preserve"> והם דברי הרמב"ם פרק כ"ב (הכ"ט ול"ב)</w:t>
      </w:r>
      <w:r>
        <w:rPr>
          <w:rFonts w:cs="Arial" w:hint="cs"/>
          <w:rtl/>
        </w:rPr>
        <w:t xml:space="preserve">, </w:t>
      </w:r>
      <w:r w:rsidRPr="006C2F57">
        <w:rPr>
          <w:rFonts w:cs="Arial" w:hint="cs"/>
          <w:b/>
          <w:bCs/>
          <w:rtl/>
        </w:rPr>
        <w:t>דרכ"מ</w:t>
      </w:r>
      <w:r>
        <w:rPr>
          <w:rFonts w:cs="Arial" w:hint="cs"/>
          <w:rtl/>
        </w:rPr>
        <w:t xml:space="preserve"> (אות ה). </w:t>
      </w:r>
      <w:r w:rsidRPr="008456DD">
        <w:rPr>
          <w:rFonts w:asciiTheme="minorBidi" w:hAnsiTheme="minorBidi" w:hint="cs"/>
          <w:color w:val="00B0F0"/>
          <w:rtl/>
        </w:rPr>
        <w:t>(וכ"פ</w:t>
      </w:r>
      <w:r>
        <w:rPr>
          <w:rFonts w:asciiTheme="minorBidi" w:hAnsiTheme="minorBidi" w:hint="cs"/>
          <w:color w:val="00B0F0"/>
          <w:rtl/>
        </w:rPr>
        <w:t xml:space="preserve"> בהג"ה</w:t>
      </w:r>
      <w:r w:rsidRPr="008456DD">
        <w:rPr>
          <w:rFonts w:asciiTheme="minorBidi" w:hAnsiTheme="minorBidi" w:hint="cs"/>
          <w:color w:val="00B0F0"/>
          <w:rtl/>
        </w:rPr>
        <w:t>)</w:t>
      </w:r>
    </w:p>
  </w:footnote>
  <w:footnote w:id="2292">
    <w:p w14:paraId="40CFA1B2" w14:textId="77777777" w:rsidR="0068171B" w:rsidRDefault="0068171B" w:rsidP="00285819">
      <w:pPr>
        <w:pStyle w:val="a7"/>
      </w:pPr>
      <w:r>
        <w:rPr>
          <w:rStyle w:val="a9"/>
        </w:rPr>
        <w:footnoteRef/>
      </w:r>
      <w:r>
        <w:rPr>
          <w:rtl/>
        </w:rPr>
        <w:t xml:space="preserve"> </w:t>
      </w:r>
      <w:r w:rsidRPr="00080F1D">
        <w:rPr>
          <w:rFonts w:cs="Arial"/>
          <w:rtl/>
        </w:rPr>
        <w:t>לשמש מטתו</w:t>
      </w:r>
      <w:r>
        <w:rPr>
          <w:rFonts w:cs="Arial" w:hint="cs"/>
          <w:rtl/>
        </w:rPr>
        <w:t>, רש"י.</w:t>
      </w:r>
    </w:p>
  </w:footnote>
  <w:footnote w:id="2293">
    <w:p w14:paraId="787AFD95" w14:textId="77777777" w:rsidR="0068171B" w:rsidRDefault="0068171B" w:rsidP="00285819">
      <w:pPr>
        <w:pStyle w:val="a7"/>
      </w:pPr>
      <w:r>
        <w:rPr>
          <w:rStyle w:val="a9"/>
        </w:rPr>
        <w:footnoteRef/>
      </w:r>
      <w:r>
        <w:rPr>
          <w:rtl/>
        </w:rPr>
        <w:t xml:space="preserve"> </w:t>
      </w:r>
      <w:r w:rsidRPr="00080F1D">
        <w:rPr>
          <w:rFonts w:cs="Arial"/>
          <w:rtl/>
        </w:rPr>
        <w:t>בסדין</w:t>
      </w:r>
      <w:r>
        <w:rPr>
          <w:rFonts w:cs="Arial" w:hint="cs"/>
          <w:rtl/>
        </w:rPr>
        <w:t>, רש"י.</w:t>
      </w:r>
    </w:p>
  </w:footnote>
  <w:footnote w:id="2294">
    <w:p w14:paraId="215F27C1" w14:textId="77777777" w:rsidR="0068171B" w:rsidRDefault="0068171B" w:rsidP="00285819">
      <w:pPr>
        <w:pStyle w:val="a7"/>
      </w:pPr>
      <w:r>
        <w:rPr>
          <w:rStyle w:val="a9"/>
        </w:rPr>
        <w:footnoteRef/>
      </w:r>
      <w:r>
        <w:rPr>
          <w:rtl/>
        </w:rPr>
        <w:t xml:space="preserve"> </w:t>
      </w:r>
      <w:r w:rsidRPr="00080F1D">
        <w:rPr>
          <w:rFonts w:cs="Arial"/>
          <w:rtl/>
        </w:rPr>
        <w:t>דאמר לקמן: מכשירי אוכל נפש שרו, ודריש יעשה לכם - לכל צרכיכם והאי נמי צרכיכם הוא, וכן תשמיש, ואנא דאסרנא - כרבנן דדרשי הוא לבדו</w:t>
      </w:r>
      <w:r>
        <w:rPr>
          <w:rFonts w:cs="Arial" w:hint="cs"/>
          <w:rtl/>
        </w:rPr>
        <w:t>, רש"י.</w:t>
      </w:r>
    </w:p>
  </w:footnote>
  <w:footnote w:id="2295">
    <w:p w14:paraId="3EB63FCD" w14:textId="0E91F77D" w:rsidR="003D0722" w:rsidRDefault="003D0722" w:rsidP="00285819">
      <w:pPr>
        <w:pStyle w:val="a7"/>
      </w:pPr>
      <w:r>
        <w:rPr>
          <w:rStyle w:val="a9"/>
        </w:rPr>
        <w:footnoteRef/>
      </w:r>
      <w:r>
        <w:rPr>
          <w:rtl/>
        </w:rPr>
        <w:t xml:space="preserve"> </w:t>
      </w:r>
      <w:r w:rsidRPr="003D0722">
        <w:rPr>
          <w:rFonts w:cs="Arial"/>
          <w:rtl/>
        </w:rPr>
        <w:t xml:space="preserve">ועכ"פ יש ט"ס בדבריו ולא רציתי להגיה מדעתי וז"ל הרמב"ם </w:t>
      </w:r>
      <w:r>
        <w:rPr>
          <w:rFonts w:cs="Arial" w:hint="cs"/>
          <w:rtl/>
        </w:rPr>
        <w:t>(</w:t>
      </w:r>
      <w:r w:rsidRPr="003D0722">
        <w:rPr>
          <w:rFonts w:cs="Arial"/>
          <w:rtl/>
        </w:rPr>
        <w:t>פ"ד מה' י</w:t>
      </w:r>
      <w:r>
        <w:rPr>
          <w:rFonts w:cs="Arial" w:hint="cs"/>
          <w:rtl/>
        </w:rPr>
        <w:t>ו</w:t>
      </w:r>
      <w:r w:rsidRPr="003D0722">
        <w:rPr>
          <w:rFonts w:cs="Arial"/>
          <w:rtl/>
        </w:rPr>
        <w:t>"ט</w:t>
      </w:r>
      <w:r>
        <w:rPr>
          <w:rFonts w:cs="Arial" w:hint="cs"/>
          <w:rtl/>
        </w:rPr>
        <w:t>)</w:t>
      </w:r>
      <w:r w:rsidRPr="003D0722">
        <w:rPr>
          <w:rFonts w:cs="Arial"/>
          <w:rtl/>
        </w:rPr>
        <w:t xml:space="preserve"> אין מכבין וכו' אלא כו' עושה מחיצה בינו לבין הנר</w:t>
      </w:r>
      <w:r>
        <w:rPr>
          <w:rFonts w:cs="Arial" w:hint="cs"/>
          <w:rtl/>
        </w:rPr>
        <w:t>,</w:t>
      </w:r>
      <w:r w:rsidRPr="003D0722">
        <w:rPr>
          <w:rFonts w:cs="Arial"/>
          <w:rtl/>
        </w:rPr>
        <w:t xml:space="preserve"> וכ"כ הסמ"ג</w:t>
      </w:r>
      <w:r>
        <w:rPr>
          <w:rFonts w:cs="Arial" w:hint="cs"/>
          <w:rtl/>
        </w:rPr>
        <w:t>,</w:t>
      </w:r>
      <w:r w:rsidRPr="003D0722">
        <w:rPr>
          <w:rFonts w:cs="Arial"/>
          <w:rtl/>
        </w:rPr>
        <w:t xml:space="preserve"> וכ"מ ברי"ו </w:t>
      </w:r>
      <w:r>
        <w:rPr>
          <w:rFonts w:cs="Arial" w:hint="cs"/>
          <w:rtl/>
        </w:rPr>
        <w:t>(</w:t>
      </w:r>
      <w:r w:rsidRPr="003D0722">
        <w:rPr>
          <w:rFonts w:cs="Arial"/>
          <w:rtl/>
        </w:rPr>
        <w:t>נ"ד ח"א</w:t>
      </w:r>
      <w:r>
        <w:rPr>
          <w:rFonts w:cs="Arial" w:hint="cs"/>
          <w:rtl/>
        </w:rPr>
        <w:t>),</w:t>
      </w:r>
      <w:r w:rsidRPr="003D0722">
        <w:rPr>
          <w:rFonts w:cs="Arial"/>
          <w:rtl/>
        </w:rPr>
        <w:t xml:space="preserve"> וכ"מ בהג"מ </w:t>
      </w:r>
      <w:r>
        <w:rPr>
          <w:rFonts w:cs="Arial" w:hint="cs"/>
          <w:rtl/>
        </w:rPr>
        <w:t>(</w:t>
      </w:r>
      <w:r w:rsidRPr="003D0722">
        <w:rPr>
          <w:rFonts w:cs="Arial"/>
          <w:rtl/>
        </w:rPr>
        <w:t>פ"ד מי"ט</w:t>
      </w:r>
      <w:r>
        <w:rPr>
          <w:rFonts w:cs="Arial" w:hint="cs"/>
          <w:rtl/>
        </w:rPr>
        <w:t>)</w:t>
      </w:r>
      <w:r w:rsidRPr="003D0722">
        <w:rPr>
          <w:rFonts w:cs="Arial"/>
          <w:rtl/>
        </w:rPr>
        <w:t xml:space="preserve"> בשם התוס' והראב"ד</w:t>
      </w:r>
      <w:r>
        <w:rPr>
          <w:rFonts w:cs="Arial" w:hint="cs"/>
          <w:rtl/>
        </w:rPr>
        <w:t>,</w:t>
      </w:r>
      <w:r w:rsidRPr="003D0722">
        <w:rPr>
          <w:rFonts w:cs="Arial"/>
          <w:rtl/>
        </w:rPr>
        <w:t xml:space="preserve"> וכ"כ ברוקח </w:t>
      </w:r>
      <w:r>
        <w:rPr>
          <w:rFonts w:cs="Arial" w:hint="cs"/>
          <w:rtl/>
        </w:rPr>
        <w:t>(</w:t>
      </w:r>
      <w:r w:rsidRPr="003D0722">
        <w:rPr>
          <w:rFonts w:cs="Arial"/>
          <w:rtl/>
        </w:rPr>
        <w:t>ה' נדה</w:t>
      </w:r>
      <w:r>
        <w:rPr>
          <w:rFonts w:cs="Arial" w:hint="cs"/>
          <w:rtl/>
        </w:rPr>
        <w:t>)</w:t>
      </w:r>
      <w:r w:rsidRPr="003D0722">
        <w:rPr>
          <w:rFonts w:cs="Arial"/>
          <w:rtl/>
        </w:rPr>
        <w:t xml:space="preserve"> וז"ל בי"ט עושה פרוסת בגד</w:t>
      </w:r>
      <w:r>
        <w:rPr>
          <w:rFonts w:cs="Arial" w:hint="cs"/>
          <w:rtl/>
        </w:rPr>
        <w:t>,</w:t>
      </w:r>
      <w:r w:rsidRPr="003D0722">
        <w:rPr>
          <w:rFonts w:cs="Arial"/>
          <w:rtl/>
        </w:rPr>
        <w:t xml:space="preserve"> וכ"מ בפסקי הרקנ"ט</w:t>
      </w:r>
      <w:r>
        <w:rPr>
          <w:rFonts w:cs="Arial" w:hint="cs"/>
          <w:rtl/>
        </w:rPr>
        <w:t>,</w:t>
      </w:r>
      <w:r w:rsidRPr="003D0722">
        <w:rPr>
          <w:rFonts w:cs="Arial"/>
          <w:rtl/>
        </w:rPr>
        <w:t xml:space="preserve"> וכ"מ מל' רש"י שכ' עושה מחיצה בסדין</w:t>
      </w:r>
      <w:r>
        <w:rPr>
          <w:rFonts w:cs="Arial" w:hint="cs"/>
          <w:rtl/>
        </w:rPr>
        <w:t>,</w:t>
      </w:r>
      <w:r w:rsidRPr="003D0722">
        <w:rPr>
          <w:rFonts w:cs="Arial"/>
          <w:rtl/>
        </w:rPr>
        <w:t xml:space="preserve"> משמע דמיירי בי"ט דאי בחול אפי' מחיצה גמורה שרי</w:t>
      </w:r>
      <w:r>
        <w:rPr>
          <w:rFonts w:cs="Arial" w:hint="cs"/>
          <w:rtl/>
        </w:rPr>
        <w:t>.</w:t>
      </w:r>
      <w:r w:rsidRPr="003D0722">
        <w:rPr>
          <w:rFonts w:cs="Arial"/>
          <w:rtl/>
        </w:rPr>
        <w:t xml:space="preserve"> והנה נ"ל לדקדק מל' המרדכי שכ' שמהר"ם עשה בכל לילה מחיצ' י</w:t>
      </w:r>
      <w:r>
        <w:rPr>
          <w:rFonts w:cs="Arial" w:hint="cs"/>
          <w:rtl/>
        </w:rPr>
        <w:t>' טפחים</w:t>
      </w:r>
      <w:r w:rsidRPr="003D0722">
        <w:rPr>
          <w:rFonts w:cs="Arial"/>
          <w:rtl/>
        </w:rPr>
        <w:t xml:space="preserve"> גובה לפני הספרי' כו'</w:t>
      </w:r>
      <w:r>
        <w:rPr>
          <w:rFonts w:cs="Arial" w:hint="cs"/>
          <w:rtl/>
        </w:rPr>
        <w:t>,</w:t>
      </w:r>
      <w:r w:rsidRPr="003D0722">
        <w:rPr>
          <w:rFonts w:cs="Arial"/>
          <w:rtl/>
        </w:rPr>
        <w:t xml:space="preserve"> משמע אף על פי שהספרי' היו עומדים מגולין למעל' מהמחיצה שרי להשתין דה"ל כאלו הוא ברשות אחר וכמ"ש סי' ע"ט ס"ב ולכן אסור לעשותה בשבת דבזה עושה רשות בפ"ע וגם צריך לקשור שלא יהא הרוח מניד אותו כמ"ש סי' תר"ל ס"י וכ"כ בי"ד סי' שמ"א בשם הרשב"א אבל כשתולה המחיצ' נגד כל הספרים שאין מגולין כלל פשיטא דאפי' אין גבוה י' שרי מ"ד אכיסוי בעלמא ולכן מותר לעשותו בשבת דאין עשוי' למחיצה אלא לכיסוי בעלמא ולצניעות' וה"ה בנר נמי דינא הכי אם עושה מחיצה גבוה י' והאור נראה למעלה מהמחיצה אסור לעשותו בשבת [עסי' ר"מ סי"א] אבל אם תוליהו שלא יראה הנר שרי דה"ל ככיסוי בעלמא ופשוט דאם היה מחיצה בולטת מן הצד לפני הספרים רחב טפח מותר לתלות סדין לפניו דה"ל תוס' אהל כמ"ש ריש סי' שי"ג ועיין בא"ע סי' כ"ה ס"ה והוא מדברי הרמב"ם פכ"א מה' א"ב וכתב המ"מ שם דמיירי דאין לו דבר לעשות מחיצה</w:t>
      </w:r>
      <w:r>
        <w:rPr>
          <w:rFonts w:cs="Arial" w:hint="cs"/>
          <w:rtl/>
        </w:rPr>
        <w:t>, מג"א (סק"ג).</w:t>
      </w:r>
    </w:p>
  </w:footnote>
  <w:footnote w:id="2296">
    <w:p w14:paraId="1E650864" w14:textId="40F69473" w:rsidR="0068171B" w:rsidRDefault="0068171B" w:rsidP="00285819">
      <w:pPr>
        <w:pStyle w:val="a7"/>
      </w:pPr>
      <w:r>
        <w:rPr>
          <w:rStyle w:val="a9"/>
        </w:rPr>
        <w:footnoteRef/>
      </w:r>
      <w:r>
        <w:rPr>
          <w:rtl/>
        </w:rPr>
        <w:t xml:space="preserve"> </w:t>
      </w:r>
      <w:r>
        <w:rPr>
          <w:rFonts w:hint="cs"/>
          <w:rtl/>
        </w:rPr>
        <w:t xml:space="preserve">וז"ל- </w:t>
      </w:r>
      <w:r w:rsidRPr="00080F1D">
        <w:rPr>
          <w:rFonts w:asciiTheme="minorBidi" w:hAnsiTheme="minorBidi" w:cs="Arial"/>
          <w:rtl/>
        </w:rPr>
        <w:t>וק</w:t>
      </w:r>
      <w:r>
        <w:rPr>
          <w:rFonts w:asciiTheme="minorBidi" w:hAnsiTheme="minorBidi" w:cs="Arial" w:hint="cs"/>
          <w:rtl/>
        </w:rPr>
        <w:t>שיא לי</w:t>
      </w:r>
      <w:r w:rsidRPr="00080F1D">
        <w:rPr>
          <w:rFonts w:asciiTheme="minorBidi" w:hAnsiTheme="minorBidi" w:cs="Arial"/>
          <w:rtl/>
        </w:rPr>
        <w:t xml:space="preserve"> מאי השיב לו תחלה אפשר בבית אחר ולא השיב לו מיד אסור כדרך כל משיב לשואל לאיזו צורך נותן לו עצה לילך לבית אחר שזהו פשיטא דמותר</w:t>
      </w:r>
      <w:r>
        <w:rPr>
          <w:rFonts w:asciiTheme="minorBidi" w:hAnsiTheme="minorBidi" w:cs="Arial" w:hint="cs"/>
          <w:rtl/>
        </w:rPr>
        <w:t>,</w:t>
      </w:r>
      <w:r w:rsidRPr="00080F1D">
        <w:rPr>
          <w:rFonts w:asciiTheme="minorBidi" w:hAnsiTheme="minorBidi" w:cs="Arial"/>
          <w:rtl/>
        </w:rPr>
        <w:t xml:space="preserve"> הליועץ נתנו לו</w:t>
      </w:r>
      <w:r>
        <w:rPr>
          <w:rFonts w:asciiTheme="minorBidi" w:hAnsiTheme="minorBidi" w:cs="Arial" w:hint="cs"/>
          <w:rtl/>
        </w:rPr>
        <w:t>?</w:t>
      </w:r>
      <w:r w:rsidRPr="00080F1D">
        <w:rPr>
          <w:rFonts w:asciiTheme="minorBidi" w:hAnsiTheme="minorBidi" w:cs="Arial"/>
          <w:rtl/>
        </w:rPr>
        <w:t xml:space="preserve"> ונראה דכיון דהלכה כר"י אלא שאין מורין כן ע"כ לא רצה לומר אסור בבירור כי באמת מותר מצד ההלכה כל שא"א בע"א</w:t>
      </w:r>
      <w:r>
        <w:rPr>
          <w:rFonts w:asciiTheme="minorBidi" w:hAnsiTheme="minorBidi" w:cs="Arial" w:hint="cs"/>
          <w:rtl/>
        </w:rPr>
        <w:t>,</w:t>
      </w:r>
      <w:r w:rsidRPr="00080F1D">
        <w:rPr>
          <w:rFonts w:asciiTheme="minorBidi" w:hAnsiTheme="minorBidi" w:cs="Arial"/>
          <w:rtl/>
        </w:rPr>
        <w:t xml:space="preserve"> ע"כ אמר אפשר בבית אחר ולא אמר ילך לבית אחר אלא ה"ק כיון שאפשר בבית אחר אסור לו בזה</w:t>
      </w:r>
      <w:r>
        <w:rPr>
          <w:rFonts w:asciiTheme="minorBidi" w:hAnsiTheme="minorBidi" w:cs="Arial" w:hint="cs"/>
          <w:rtl/>
        </w:rPr>
        <w:t>...</w:t>
      </w:r>
      <w:r w:rsidRPr="00080F1D">
        <w:rPr>
          <w:rFonts w:asciiTheme="minorBidi" w:hAnsiTheme="minorBidi" w:cs="Arial"/>
          <w:rtl/>
        </w:rPr>
        <w:t xml:space="preserve"> והשתא ניחא דאמר כי קאמינא אנא לרבנן ולא אמר ואנא ס"ל כרבנן אלא ודאי דהאמירה שאמרתי לך היא אליבא דרבנן לפי שאין מורין כן כר"י ונמצא דסוגיא זו כסוגיא דאין צדין אמר ר' נחמי' הוה קאימנ' קמי' דרבא והוה קא מעבר לסכינא אפומ' דדיקול' וא"ל לחדודי קא עביד מר או להעביר שמנונית' וא"ל להעביר שמנונית וחזיתיה לדעתי' דלחדודא קעביד וקסבר הל' כר"י ואין מורין כן</w:t>
      </w:r>
      <w:r>
        <w:rPr>
          <w:rFonts w:asciiTheme="minorBidi" w:hAnsiTheme="minorBidi" w:cs="Arial" w:hint="cs"/>
          <w:rtl/>
        </w:rPr>
        <w:t>,</w:t>
      </w:r>
      <w:r w:rsidRPr="00080F1D">
        <w:rPr>
          <w:rFonts w:asciiTheme="minorBidi" w:hAnsiTheme="minorBidi" w:cs="Arial"/>
          <w:rtl/>
        </w:rPr>
        <w:t xml:space="preserve"> פירש"י דמותר כל איש לעשות אבל אין מורין כן לרבים שלא יזלזלו אף במכשירין שאפשר לעשותן בעי"ט</w:t>
      </w:r>
      <w:r>
        <w:rPr>
          <w:rFonts w:asciiTheme="minorBidi" w:hAnsiTheme="minorBidi" w:cs="Arial" w:hint="cs"/>
          <w:rtl/>
        </w:rPr>
        <w:t>.</w:t>
      </w:r>
      <w:r w:rsidRPr="00080F1D">
        <w:rPr>
          <w:rFonts w:asciiTheme="minorBidi" w:hAnsiTheme="minorBidi" w:cs="Arial"/>
          <w:rtl/>
        </w:rPr>
        <w:t xml:space="preserve"> וא"כ ה"נ נתכוין אביי לדרך זה שלא לגלות ההיתר בפי'</w:t>
      </w:r>
      <w:r>
        <w:rPr>
          <w:rFonts w:asciiTheme="minorBidi" w:hAnsiTheme="minorBidi" w:cs="Arial" w:hint="cs"/>
          <w:sz w:val="16"/>
          <w:szCs w:val="16"/>
          <w:rtl/>
        </w:rPr>
        <w:t xml:space="preserve"> {וכתב עוד הט"ז שכן חילקו הרוקח הרמב"ן ורש"ל}</w:t>
      </w:r>
      <w:r>
        <w:rPr>
          <w:rFonts w:asciiTheme="minorBidi" w:hAnsiTheme="minorBidi" w:cs="Arial" w:hint="cs"/>
          <w:rtl/>
        </w:rPr>
        <w:t>.</w:t>
      </w:r>
      <w:r w:rsidRPr="00080F1D">
        <w:rPr>
          <w:rFonts w:asciiTheme="minorBidi" w:hAnsiTheme="minorBidi" w:cs="Arial"/>
          <w:rtl/>
        </w:rPr>
        <w:t xml:space="preserve"> ומ"ש מהר"ם במרדכי פ' כירה לעשות מחיצה דוקא קודם שבת בפני ספרים כדי שיעשה צרכיו בשבת </w:t>
      </w:r>
      <w:r>
        <w:rPr>
          <w:rFonts w:asciiTheme="minorBidi" w:hAnsiTheme="minorBidi" w:cs="Arial" w:hint="cs"/>
          <w:rtl/>
        </w:rPr>
        <w:t xml:space="preserve">- </w:t>
      </w:r>
      <w:r w:rsidRPr="00080F1D">
        <w:rPr>
          <w:rFonts w:asciiTheme="minorBidi" w:hAnsiTheme="minorBidi" w:cs="Arial"/>
          <w:rtl/>
        </w:rPr>
        <w:t>חומרא היא לכתחלה</w:t>
      </w:r>
      <w:r>
        <w:rPr>
          <w:rFonts w:asciiTheme="minorBidi" w:hAnsiTheme="minorBidi" w:cs="Arial" w:hint="cs"/>
          <w:rtl/>
        </w:rPr>
        <w:t>,</w:t>
      </w:r>
      <w:r w:rsidRPr="00080F1D">
        <w:rPr>
          <w:rFonts w:asciiTheme="minorBidi" w:hAnsiTheme="minorBidi" w:cs="Arial"/>
          <w:rtl/>
        </w:rPr>
        <w:t xml:space="preserve"> ובמ"ש ניחא מה דקי"ל במ"ש אביי אפשר לעשות מחיצה דהא מבואר בסי' שט"ו שאסור לעשות מחיצה בשבת כדי לשמש מטתו</w:t>
      </w:r>
      <w:r>
        <w:rPr>
          <w:rFonts w:asciiTheme="minorBidi" w:hAnsiTheme="minorBidi" w:cs="Arial" w:hint="cs"/>
          <w:rtl/>
        </w:rPr>
        <w:t>,</w:t>
      </w:r>
      <w:r w:rsidRPr="00080F1D">
        <w:rPr>
          <w:rFonts w:asciiTheme="minorBidi" w:hAnsiTheme="minorBidi" w:cs="Arial"/>
          <w:rtl/>
        </w:rPr>
        <w:t xml:space="preserve"> ואי ס"ד לומר דכאן אסור מן הדין בשביל תשמיש ה"ל י</w:t>
      </w:r>
      <w:r>
        <w:rPr>
          <w:rFonts w:asciiTheme="minorBidi" w:hAnsiTheme="minorBidi" w:cs="Arial" w:hint="cs"/>
          <w:rtl/>
        </w:rPr>
        <w:t>ו</w:t>
      </w:r>
      <w:r w:rsidRPr="00080F1D">
        <w:rPr>
          <w:rFonts w:asciiTheme="minorBidi" w:hAnsiTheme="minorBidi" w:cs="Arial"/>
          <w:rtl/>
        </w:rPr>
        <w:t>"ט כשבת</w:t>
      </w:r>
      <w:r>
        <w:rPr>
          <w:rFonts w:asciiTheme="minorBidi" w:hAnsiTheme="minorBidi" w:cs="Arial" w:hint="cs"/>
          <w:rtl/>
        </w:rPr>
        <w:t>,</w:t>
      </w:r>
      <w:r w:rsidRPr="00080F1D">
        <w:rPr>
          <w:rFonts w:asciiTheme="minorBidi" w:hAnsiTheme="minorBidi" w:cs="Arial"/>
          <w:rtl/>
        </w:rPr>
        <w:t xml:space="preserve"> וא"כ למה התיר אביי בעשיית מחיצה כאן אבל למה דפרישי' ניחא דמן הדין מותר לכבות כדי לשמש אלא שאין מורין כן וא"כ אין תועלת גמור בעשיית המחיצה וה"ל כעשיית מחיצה לצניעות בעלמא דמותר כדאי' בסי' שט"ו</w:t>
      </w:r>
      <w:r>
        <w:rPr>
          <w:rFonts w:asciiTheme="minorBidi" w:hAnsiTheme="minorBidi" w:cs="Arial" w:hint="cs"/>
          <w:rtl/>
        </w:rPr>
        <w:t>,</w:t>
      </w:r>
      <w:r w:rsidRPr="00080F1D">
        <w:rPr>
          <w:rFonts w:asciiTheme="minorBidi" w:hAnsiTheme="minorBidi" w:cs="Arial"/>
          <w:rtl/>
        </w:rPr>
        <w:t xml:space="preserve"> כנלע"ד בזה ג"כ כפית כלי מותר בשביל תשמיש כמ"ש בסי' רע"ז בסופו ע"ש</w:t>
      </w:r>
      <w:r>
        <w:rPr>
          <w:rFonts w:asciiTheme="minorBidi" w:hAnsiTheme="minorBidi" w:cs="Arial" w:hint="cs"/>
          <w:rtl/>
        </w:rPr>
        <w:t>.</w:t>
      </w:r>
    </w:p>
  </w:footnote>
  <w:footnote w:id="2297">
    <w:p w14:paraId="36E3013A"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דמכיון שהוא נע ונד ברוח מצויה וגם אינו מעכב להולכים ועוברים ושבים דרך שם מקרי לא קבוע, ב"י, אבל אסור לעשות תוספות אוהל קבוע כמ"ש הר"ן, מג"א (סק"א).</w:t>
      </w:r>
    </w:p>
  </w:footnote>
  <w:footnote w:id="2298">
    <w:p w14:paraId="3DB2DEFE"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ונ"ל פשוט דמותר לתלות בשבת סדינים המצויירים לנוי אע"פ שקבועים שם כיון שאין עשויים שם למחיצה, מג"א (סק"ב).</w:t>
      </w:r>
    </w:p>
  </w:footnote>
  <w:footnote w:id="2299">
    <w:p w14:paraId="2D9F6ED4"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וה"ה אם היה מחיצה בולטת מן הצד לפני הספרים רוחב טפח מותר לתלות סדין מלפניו דהוה ליה תוספת אהל, מג"א (סק"ג).</w:t>
      </w:r>
    </w:p>
  </w:footnote>
  <w:footnote w:id="2300">
    <w:p w14:paraId="586B8305"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אולמות שעושין בספינה שנועצין כעין מעגלין שקורין צרק"ל (עגול), ראשו אחד בדופן זה של ספינה וראשו שני בדופן זה והוא כפוף כמו אולם ועומד כמו כיפה ומרחיק כחצי אמה ונועץ אחר וכן על פני כולה ופורסין בגדים ומחצלות של גמי להגין מפני הצנה והגשמים, רש"י.</w:t>
      </w:r>
    </w:p>
  </w:footnote>
  <w:footnote w:id="2301">
    <w:p w14:paraId="2F8E4603" w14:textId="5D982949"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שרוחב של מעגל טפח</w:t>
      </w:r>
      <w:r w:rsidR="00611FC9">
        <w:rPr>
          <w:rFonts w:asciiTheme="minorBidi" w:hAnsiTheme="minorBidi" w:hint="cs"/>
          <w:rtl/>
        </w:rPr>
        <w:t>,</w:t>
      </w:r>
      <w:r w:rsidRPr="008C1C8E">
        <w:rPr>
          <w:rFonts w:asciiTheme="minorBidi" w:hAnsiTheme="minorBidi"/>
          <w:rtl/>
        </w:rPr>
        <w:t xml:space="preserve"> דבציר מטפח לא הוי אהל</w:t>
      </w:r>
      <w:r w:rsidR="00611FC9">
        <w:rPr>
          <w:rFonts w:asciiTheme="minorBidi" w:hAnsiTheme="minorBidi" w:hint="cs"/>
          <w:rtl/>
        </w:rPr>
        <w:t>,</w:t>
      </w:r>
      <w:r w:rsidRPr="008C1C8E">
        <w:rPr>
          <w:rFonts w:asciiTheme="minorBidi" w:hAnsiTheme="minorBidi"/>
          <w:rtl/>
        </w:rPr>
        <w:t xml:space="preserve"> אבל כשרוחב טפח </w:t>
      </w:r>
      <w:r w:rsidR="00611FC9">
        <w:rPr>
          <w:rFonts w:asciiTheme="minorBidi" w:hAnsiTheme="minorBidi" w:hint="cs"/>
          <w:rtl/>
        </w:rPr>
        <w:t xml:space="preserve">- </w:t>
      </w:r>
      <w:r w:rsidRPr="008C1C8E">
        <w:rPr>
          <w:rFonts w:asciiTheme="minorBidi" w:hAnsiTheme="minorBidi"/>
          <w:rtl/>
        </w:rPr>
        <w:t>מקרי אהל</w:t>
      </w:r>
      <w:r w:rsidR="00611FC9">
        <w:rPr>
          <w:rFonts w:asciiTheme="minorBidi" w:hAnsiTheme="minorBidi" w:hint="cs"/>
          <w:rtl/>
        </w:rPr>
        <w:t>.</w:t>
      </w:r>
      <w:r w:rsidRPr="008C1C8E">
        <w:rPr>
          <w:rFonts w:asciiTheme="minorBidi" w:hAnsiTheme="minorBidi"/>
          <w:rtl/>
        </w:rPr>
        <w:t xml:space="preserve"> נמצא</w:t>
      </w:r>
      <w:r w:rsidR="00611FC9">
        <w:rPr>
          <w:rFonts w:asciiTheme="minorBidi" w:hAnsiTheme="minorBidi" w:hint="cs"/>
          <w:rtl/>
        </w:rPr>
        <w:t>,</w:t>
      </w:r>
      <w:r w:rsidRPr="008C1C8E">
        <w:rPr>
          <w:rFonts w:asciiTheme="minorBidi" w:hAnsiTheme="minorBidi"/>
          <w:rtl/>
        </w:rPr>
        <w:t xml:space="preserve"> שם אהל עליו מבעוד יום</w:t>
      </w:r>
      <w:r w:rsidR="00611FC9">
        <w:rPr>
          <w:rFonts w:asciiTheme="minorBidi" w:hAnsiTheme="minorBidi" w:hint="cs"/>
          <w:rtl/>
        </w:rPr>
        <w:t>,</w:t>
      </w:r>
      <w:r w:rsidRPr="008C1C8E">
        <w:rPr>
          <w:rFonts w:asciiTheme="minorBidi" w:hAnsiTheme="minorBidi"/>
          <w:rtl/>
        </w:rPr>
        <w:t xml:space="preserve"> וכשהוא פורס עליו הבגד למחר אינו אלא מוסיף, רש"י.</w:t>
      </w:r>
      <w:r w:rsidR="00C85DFD">
        <w:rPr>
          <w:rFonts w:asciiTheme="minorBidi" w:hAnsiTheme="minorBidi" w:hint="cs"/>
          <w:rtl/>
        </w:rPr>
        <w:t xml:space="preserve"> </w:t>
      </w:r>
    </w:p>
  </w:footnote>
  <w:footnote w:id="2302">
    <w:p w14:paraId="0020A9D9"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דאיכא למימר לבוד, רש"י.</w:t>
      </w:r>
    </w:p>
  </w:footnote>
  <w:footnote w:id="2303">
    <w:p w14:paraId="42FA93F7" w14:textId="43506C58" w:rsidR="009D7ACC" w:rsidRPr="008C1C8E" w:rsidRDefault="009D7ACC"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w:t>
      </w:r>
      <w:r w:rsidR="00B648D6">
        <w:rPr>
          <w:rFonts w:cs="Arial"/>
          <w:rtl/>
        </w:rPr>
        <w:t>וכתבו הרי"ף בריש פרק כל הכלים (מט:)</w:t>
      </w:r>
      <w:r w:rsidR="00B648D6">
        <w:rPr>
          <w:rFonts w:cs="Arial" w:hint="cs"/>
          <w:rtl/>
        </w:rPr>
        <w:t>, ב"י.</w:t>
      </w:r>
    </w:p>
  </w:footnote>
  <w:footnote w:id="2304">
    <w:p w14:paraId="0020ABA0"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אילים, רש"י.</w:t>
      </w:r>
    </w:p>
  </w:footnote>
  <w:footnote w:id="2305">
    <w:p w14:paraId="0064B8AD" w14:textId="72832F63"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מפני השרב</w:t>
      </w:r>
      <w:r w:rsidR="00B648D6">
        <w:rPr>
          <w:rFonts w:asciiTheme="minorBidi" w:hAnsiTheme="minorBidi" w:hint="cs"/>
          <w:rtl/>
        </w:rPr>
        <w:t>, רש"י</w:t>
      </w:r>
      <w:r w:rsidRPr="008C1C8E">
        <w:rPr>
          <w:rFonts w:asciiTheme="minorBidi" w:hAnsiTheme="minorBidi"/>
          <w:rtl/>
        </w:rPr>
        <w:t>.</w:t>
      </w:r>
      <w:r w:rsidR="00640551">
        <w:rPr>
          <w:rFonts w:asciiTheme="minorBidi" w:hAnsiTheme="minorBidi" w:hint="cs"/>
          <w:rtl/>
        </w:rPr>
        <w:t xml:space="preserve"> דברי הגמרא מכאן והלאה לא קשורים לעניין עשיית אהל, ואעפ"כ הבאתים כדי שנוכל להבין את דברי רש"י לקמן.</w:t>
      </w:r>
    </w:p>
  </w:footnote>
  <w:footnote w:id="2306">
    <w:p w14:paraId="330D7265"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הנאת הקור, מפני הבל הקיץ, ובימות החול היו פורסין עליהן מחצלות ביום, ונוטלין בלילה, רש"י.</w:t>
      </w:r>
    </w:p>
  </w:footnote>
  <w:footnote w:id="2307">
    <w:p w14:paraId="25EA4B51"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מה נעביד להו בשבתא, רש"י.</w:t>
      </w:r>
    </w:p>
  </w:footnote>
  <w:footnote w:id="2308">
    <w:p w14:paraId="285820B1"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כשתסתלק המחצלת מעליהן לפנות ערב שבת, אל תסלקנה כולה משם, אלא הוי גולל אותה וכורך מעל הגג, ושייר בה טפח פרוסה דלהוי עליה שם אהל, רש"י.</w:t>
      </w:r>
    </w:p>
  </w:footnote>
  <w:footnote w:id="2309">
    <w:p w14:paraId="57EAFDF7"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דהוי תוספת ושרי, רש"י.</w:t>
      </w:r>
    </w:p>
  </w:footnote>
  <w:footnote w:id="2310">
    <w:p w14:paraId="3C2CE5C2" w14:textId="41C32D70" w:rsidR="00B648D6" w:rsidRDefault="00B648D6" w:rsidP="00285819">
      <w:pPr>
        <w:pStyle w:val="a7"/>
        <w:rPr>
          <w:rtl/>
        </w:rPr>
      </w:pPr>
      <w:r>
        <w:rPr>
          <w:rStyle w:val="a9"/>
        </w:rPr>
        <w:footnoteRef/>
      </w:r>
      <w:r>
        <w:rPr>
          <w:rtl/>
        </w:rPr>
        <w:t xml:space="preserve"> </w:t>
      </w:r>
      <w:r>
        <w:rPr>
          <w:rFonts w:cs="Arial"/>
          <w:rtl/>
        </w:rPr>
        <w:t>וכתבוהו הרי"ף (מט:) והרא"ש (סי' ט) בפרק כל הכלים</w:t>
      </w:r>
      <w:r>
        <w:rPr>
          <w:rFonts w:hint="cs"/>
          <w:rtl/>
        </w:rPr>
        <w:t>, ב"י.</w:t>
      </w:r>
    </w:p>
  </w:footnote>
  <w:footnote w:id="2311">
    <w:p w14:paraId="648C114D" w14:textId="116E0C45" w:rsidR="009F022E" w:rsidRPr="008C1C8E" w:rsidRDefault="009F022E"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w:t>
      </w:r>
      <w:r>
        <w:rPr>
          <w:rFonts w:asciiTheme="minorBidi" w:hAnsiTheme="minorBidi" w:hint="cs"/>
          <w:rtl/>
        </w:rPr>
        <w:t>את דברי התוס' הנ"ל לא מצאתי, וכן קשה מה שדקדקו התוס' מפירוש רש"י, שהרי רש"י (ד"ה כרוך בודיא) כתב בהדיא '</w:t>
      </w:r>
      <w:r w:rsidRPr="008C1C8E">
        <w:rPr>
          <w:rFonts w:asciiTheme="minorBidi" w:hAnsiTheme="minorBidi"/>
          <w:rtl/>
        </w:rPr>
        <w:t>ושייר בה טפח פרוסה דלהוי עליה שם אהל</w:t>
      </w:r>
      <w:r>
        <w:rPr>
          <w:rFonts w:asciiTheme="minorBidi" w:hAnsiTheme="minorBidi" w:hint="cs"/>
          <w:rtl/>
        </w:rPr>
        <w:t>',</w:t>
      </w:r>
      <w:r w:rsidRPr="009F022E">
        <w:rPr>
          <w:rFonts w:asciiTheme="minorBidi" w:hAnsiTheme="minorBidi"/>
          <w:rtl/>
        </w:rPr>
        <w:t xml:space="preserve"> </w:t>
      </w:r>
      <w:r w:rsidRPr="008C1C8E">
        <w:rPr>
          <w:rFonts w:asciiTheme="minorBidi" w:hAnsiTheme="minorBidi"/>
          <w:rtl/>
        </w:rPr>
        <w:t xml:space="preserve">וכ"כ הגר"א </w:t>
      </w:r>
      <w:r w:rsidRPr="008C1C8E">
        <w:rPr>
          <w:rFonts w:asciiTheme="minorBidi" w:hAnsiTheme="minorBidi"/>
          <w:sz w:val="16"/>
          <w:szCs w:val="16"/>
          <w:rtl/>
        </w:rPr>
        <w:t xml:space="preserve">(סקי"ב) </w:t>
      </w:r>
      <w:r w:rsidRPr="008C1C8E">
        <w:rPr>
          <w:rFonts w:asciiTheme="minorBidi" w:hAnsiTheme="minorBidi"/>
          <w:rtl/>
        </w:rPr>
        <w:t>שמשמע מדברי רש"י</w:t>
      </w:r>
      <w:r>
        <w:rPr>
          <w:rFonts w:asciiTheme="minorBidi" w:hAnsiTheme="minorBidi" w:hint="cs"/>
          <w:rtl/>
        </w:rPr>
        <w:t xml:space="preserve">, </w:t>
      </w:r>
      <w:r w:rsidRPr="008C1C8E">
        <w:rPr>
          <w:rFonts w:asciiTheme="minorBidi" w:hAnsiTheme="minorBidi"/>
          <w:rtl/>
        </w:rPr>
        <w:t>וגם הריטב"א בסוף דבריו כ' שאפשר להלום את דברי רש"י שצריך טפח פרוס.</w:t>
      </w:r>
      <w:r>
        <w:rPr>
          <w:rFonts w:asciiTheme="minorBidi" w:hAnsiTheme="minorBidi" w:hint="cs"/>
          <w:rtl/>
        </w:rPr>
        <w:t xml:space="preserve"> </w:t>
      </w:r>
      <w:r w:rsidRPr="008C1C8E">
        <w:rPr>
          <w:rFonts w:asciiTheme="minorBidi" w:hAnsiTheme="minorBidi"/>
          <w:rtl/>
        </w:rPr>
        <w:t>ואולי הי</w:t>
      </w:r>
      <w:r>
        <w:rPr>
          <w:rFonts w:asciiTheme="minorBidi" w:hAnsiTheme="minorBidi" w:hint="cs"/>
          <w:rtl/>
        </w:rPr>
        <w:t>ת</w:t>
      </w:r>
      <w:r w:rsidRPr="008C1C8E">
        <w:rPr>
          <w:rFonts w:asciiTheme="minorBidi" w:hAnsiTheme="minorBidi"/>
          <w:rtl/>
        </w:rPr>
        <w:t xml:space="preserve">ה לתוס' </w:t>
      </w:r>
      <w:r w:rsidR="00AF3D79">
        <w:rPr>
          <w:rFonts w:asciiTheme="minorBidi" w:hAnsiTheme="minorBidi" w:hint="cs"/>
          <w:rtl/>
        </w:rPr>
        <w:t xml:space="preserve">ולריטב"א </w:t>
      </w:r>
      <w:r w:rsidRPr="008C1C8E">
        <w:rPr>
          <w:rFonts w:asciiTheme="minorBidi" w:hAnsiTheme="minorBidi"/>
          <w:rtl/>
        </w:rPr>
        <w:t>גיר</w:t>
      </w:r>
      <w:r>
        <w:rPr>
          <w:rFonts w:asciiTheme="minorBidi" w:hAnsiTheme="minorBidi" w:hint="cs"/>
          <w:rtl/>
        </w:rPr>
        <w:t>סא</w:t>
      </w:r>
      <w:r w:rsidRPr="008C1C8E">
        <w:rPr>
          <w:rFonts w:asciiTheme="minorBidi" w:hAnsiTheme="minorBidi"/>
          <w:rtl/>
        </w:rPr>
        <w:t xml:space="preserve"> אחרת ברש"י</w:t>
      </w:r>
      <w:r>
        <w:rPr>
          <w:rFonts w:asciiTheme="minorBidi" w:hAnsiTheme="minorBidi" w:hint="cs"/>
          <w:rtl/>
        </w:rPr>
        <w:t xml:space="preserve">, או שהיה לריטב"א גירסא אחרת בתוס'. ומכל מקום כמסקנת הריטב"א כן כתבו התוס' </w:t>
      </w:r>
      <w:r>
        <w:rPr>
          <w:rFonts w:asciiTheme="minorBidi" w:hAnsiTheme="minorBidi" w:hint="cs"/>
          <w:sz w:val="16"/>
          <w:szCs w:val="16"/>
          <w:rtl/>
        </w:rPr>
        <w:t>(</w:t>
      </w:r>
      <w:r w:rsidRPr="00054513">
        <w:rPr>
          <w:rFonts w:asciiTheme="minorBidi" w:hAnsiTheme="minorBidi"/>
          <w:sz w:val="16"/>
          <w:szCs w:val="16"/>
          <w:rtl/>
        </w:rPr>
        <w:t>קלח. ד"ה כרך עליה, מג: ד"ה ופורסין עליהן ובעוד דוכתי</w:t>
      </w:r>
      <w:r>
        <w:rPr>
          <w:rFonts w:asciiTheme="minorBidi" w:hAnsiTheme="minorBidi" w:hint="cs"/>
          <w:sz w:val="16"/>
          <w:szCs w:val="16"/>
          <w:rtl/>
        </w:rPr>
        <w:t>)</w:t>
      </w:r>
      <w:r w:rsidRPr="008C1C8E">
        <w:rPr>
          <w:rFonts w:asciiTheme="minorBidi" w:hAnsiTheme="minorBidi"/>
          <w:rtl/>
        </w:rPr>
        <w:t xml:space="preserve"> </w:t>
      </w:r>
      <w:r>
        <w:rPr>
          <w:rFonts w:asciiTheme="minorBidi" w:hAnsiTheme="minorBidi" w:hint="cs"/>
          <w:rtl/>
        </w:rPr>
        <w:t xml:space="preserve">והרמב"ם </w:t>
      </w:r>
      <w:r w:rsidRPr="009F022E">
        <w:rPr>
          <w:rFonts w:asciiTheme="minorBidi" w:hAnsiTheme="minorBidi" w:hint="cs"/>
          <w:sz w:val="16"/>
          <w:szCs w:val="16"/>
          <w:rtl/>
        </w:rPr>
        <w:t>(פכ"ב הכ"ז)</w:t>
      </w:r>
      <w:r>
        <w:rPr>
          <w:rFonts w:asciiTheme="minorBidi" w:hAnsiTheme="minorBidi" w:hint="cs"/>
          <w:rtl/>
        </w:rPr>
        <w:t>.</w:t>
      </w:r>
    </w:p>
  </w:footnote>
  <w:footnote w:id="2312">
    <w:p w14:paraId="13E7466D"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מה שיש נותנים חשוקין של עץ על עריסת התינוק ונותנים עליה סדין אסור לעשות כן אא"כ עשויה כמש"כ פה, מג"א (סק"ד).</w:t>
      </w:r>
    </w:p>
  </w:footnote>
  <w:footnote w:id="2313">
    <w:p w14:paraId="5EE7F20B"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היסק גדול שעושין לפני שרים כדרך בנין, עושין לו כתלים מארבעה רוחות וסודרין עצים למעלה ודומה לאהל, רש"י.</w:t>
      </w:r>
    </w:p>
  </w:footnote>
  <w:footnote w:id="2314">
    <w:p w14:paraId="033D8749" w14:textId="77777777" w:rsidR="009A7623" w:rsidRPr="008C1C8E" w:rsidRDefault="009A7623" w:rsidP="00285819">
      <w:pPr>
        <w:spacing w:after="0" w:line="240" w:lineRule="auto"/>
        <w:rPr>
          <w:rFonts w:asciiTheme="minorBidi" w:hAnsiTheme="minorBidi"/>
          <w:sz w:val="20"/>
          <w:szCs w:val="20"/>
        </w:rPr>
      </w:pPr>
      <w:r w:rsidRPr="008C1C8E">
        <w:rPr>
          <w:rStyle w:val="a9"/>
          <w:rFonts w:asciiTheme="minorBidi" w:hAnsiTheme="minorBidi"/>
          <w:sz w:val="20"/>
          <w:szCs w:val="20"/>
        </w:rPr>
        <w:footnoteRef/>
      </w:r>
      <w:r w:rsidRPr="008C1C8E">
        <w:rPr>
          <w:rFonts w:asciiTheme="minorBidi" w:hAnsiTheme="minorBidi"/>
          <w:sz w:val="20"/>
          <w:szCs w:val="20"/>
          <w:rtl/>
        </w:rPr>
        <w:t xml:space="preserve"> להתחיל תחלה מן הגג ואחר כך יסדרו תחתיו עצי הכתלים שרי, רש"י.</w:t>
      </w:r>
    </w:p>
  </w:footnote>
  <w:footnote w:id="2315">
    <w:p w14:paraId="6A7BB596"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לסדר העצים של כתלים תחלה לעשות עליהם הגג אסורין שדרך בנין הוא, רש"י.</w:t>
      </w:r>
    </w:p>
  </w:footnote>
  <w:footnote w:id="2316">
    <w:p w14:paraId="26F232EF" w14:textId="04507CD8"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ביצים גסות הנתונות על פי כלי חלול כעין טרפי"ד (חצובה) או על האסכלא, אין מושיבין את הכלי תחלה ואח"כ יסדר עליו אלא יאחזנו בידו ויושיב הביצה עליו ואח"כ יושיב הכלי על הגחלים שלא יעשנו כסדר בנין, </w:t>
      </w:r>
      <w:r w:rsidRPr="00596222">
        <w:rPr>
          <w:rFonts w:asciiTheme="minorBidi" w:hAnsiTheme="minorBidi"/>
          <w:b/>
          <w:bCs/>
          <w:rtl/>
        </w:rPr>
        <w:t>רש"י</w:t>
      </w:r>
      <w:r w:rsidRPr="008C1C8E">
        <w:rPr>
          <w:rFonts w:asciiTheme="minorBidi" w:hAnsiTheme="minorBidi"/>
          <w:rtl/>
        </w:rPr>
        <w:t>.</w:t>
      </w:r>
      <w:r w:rsidR="00596222">
        <w:rPr>
          <w:rFonts w:asciiTheme="minorBidi" w:hAnsiTheme="minorBidi" w:hint="cs"/>
          <w:rtl/>
        </w:rPr>
        <w:t xml:space="preserve">  </w:t>
      </w:r>
      <w:r w:rsidR="00596222" w:rsidRPr="00596222">
        <w:rPr>
          <w:rFonts w:asciiTheme="minorBidi" w:hAnsiTheme="minorBidi" w:cs="Arial"/>
          <w:rtl/>
        </w:rPr>
        <w:t xml:space="preserve"> </w:t>
      </w:r>
      <w:r w:rsidR="00596222" w:rsidRPr="00011B8C">
        <w:rPr>
          <w:rFonts w:asciiTheme="minorBidi" w:hAnsiTheme="minorBidi" w:cs="Arial"/>
          <w:rtl/>
        </w:rPr>
        <w:t>ולא מיחוור שא"כ יהא אסור לתת קדרה ביום טוב על גבי כירה ואי אפשר שהרי אפילו בשבת התירו להחזיר קדרה על גבי כירה כדאיתא בפרק כירה (דף לח</w:t>
      </w:r>
      <w:r w:rsidR="00596222">
        <w:rPr>
          <w:rFonts w:asciiTheme="minorBidi" w:hAnsiTheme="minorBidi" w:cs="Arial" w:hint="cs"/>
          <w:rtl/>
        </w:rPr>
        <w:t>:</w:t>
      </w:r>
      <w:r w:rsidR="00596222" w:rsidRPr="00011B8C">
        <w:rPr>
          <w:rFonts w:asciiTheme="minorBidi" w:hAnsiTheme="minorBidi" w:cs="Arial"/>
          <w:rtl/>
        </w:rPr>
        <w:t>) ומעשים בכל יום ששופתין קדרה על גבה אלא הכי פירושה שאין נותנין ביצה מכאן וביצה מכאן וביצה על גביהן דדמיא לבנין שעושים מחיצות ואחר כך נותן את התקרה וכעין פוריא</w:t>
      </w:r>
      <w:r w:rsidR="00596222">
        <w:rPr>
          <w:rFonts w:asciiTheme="minorBidi" w:hAnsiTheme="minorBidi" w:hint="cs"/>
          <w:rtl/>
        </w:rPr>
        <w:t xml:space="preserve">, </w:t>
      </w:r>
      <w:r w:rsidR="00596222" w:rsidRPr="00596222">
        <w:rPr>
          <w:rFonts w:asciiTheme="minorBidi" w:hAnsiTheme="minorBidi" w:hint="cs"/>
          <w:b/>
          <w:bCs/>
          <w:rtl/>
        </w:rPr>
        <w:t>ר"ן</w:t>
      </w:r>
      <w:r w:rsidR="00596222">
        <w:rPr>
          <w:rFonts w:asciiTheme="minorBidi" w:hAnsiTheme="minorBidi" w:hint="cs"/>
          <w:rtl/>
        </w:rPr>
        <w:t xml:space="preserve"> (יח. ד"ה היא). וכן כתבו כל המפרשים (רי"ף (יח.) רמב"ם (הל' יו"ט פ"ד הט"ו) תוס' (ביצה ל</w:t>
      </w:r>
      <w:r w:rsidR="00943F16">
        <w:rPr>
          <w:rFonts w:asciiTheme="minorBidi" w:hAnsiTheme="minorBidi" w:hint="cs"/>
          <w:rtl/>
        </w:rPr>
        <w:t>ג.</w:t>
      </w:r>
      <w:r w:rsidR="00596222">
        <w:rPr>
          <w:rFonts w:asciiTheme="minorBidi" w:hAnsiTheme="minorBidi" w:hint="cs"/>
          <w:rtl/>
        </w:rPr>
        <w:t>) בשם ר"ח, רשב"א (ביצה לב: ושבת קלח.) ועוד.</w:t>
      </w:r>
    </w:p>
  </w:footnote>
  <w:footnote w:id="2317">
    <w:p w14:paraId="3498B379"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שמושיבין על שתי חביות, לא יקיפנה תחלה ואח"כ יושיב הקדרה עליהם אלא העליונה יתלה באויר ויאחזנה בידו ויסדרו החביות תחתיה סביב, רש"י.</w:t>
      </w:r>
    </w:p>
  </w:footnote>
  <w:footnote w:id="2318">
    <w:p w14:paraId="6129E8B8"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מטות השרים שפורקין אותן ומחזירין, לא יזקוף הכרעים תחלה לתת הארוכות בכרעים ואח"כ יפרוס העור למצע ששוכבין עליו, אלא פורס העור תחלה ויאחזוהו בני אדם בידיהם ואח"כ יביאו הארוכות ויקשרו הרצועות של עור בהן ואח"כ יזקפו הכרעים ויתנו הארוכות לתוכן, רש"י.</w:t>
      </w:r>
    </w:p>
  </w:footnote>
  <w:footnote w:id="2319">
    <w:p w14:paraId="1FD1CACA"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חביות שמסדרים באוצר ומושיבין אחת על גבי שתים, רש"י.</w:t>
      </w:r>
    </w:p>
  </w:footnote>
  <w:footnote w:id="2320">
    <w:p w14:paraId="45DCE2FB" w14:textId="6B6E2C5F" w:rsidR="00640551" w:rsidRDefault="00640551" w:rsidP="00285819">
      <w:pPr>
        <w:pStyle w:val="a7"/>
      </w:pPr>
      <w:r>
        <w:rPr>
          <w:rStyle w:val="a9"/>
        </w:rPr>
        <w:footnoteRef/>
      </w:r>
      <w:r>
        <w:rPr>
          <w:rtl/>
        </w:rPr>
        <w:t xml:space="preserve"> </w:t>
      </w:r>
      <w:r w:rsidRPr="00640551">
        <w:rPr>
          <w:rFonts w:cs="Arial"/>
          <w:rtl/>
        </w:rPr>
        <w:t>ענף עץ שהוא חד כקוץ, וראוי לתקעו בצלי כמין שפוד ולצלות בו</w:t>
      </w:r>
      <w:r>
        <w:rPr>
          <w:rFonts w:cs="Arial" w:hint="cs"/>
          <w:rtl/>
        </w:rPr>
        <w:t>, רש"י.</w:t>
      </w:r>
    </w:p>
  </w:footnote>
  <w:footnote w:id="2321">
    <w:p w14:paraId="7EAD475E" w14:textId="556666F7" w:rsidR="00640551" w:rsidRDefault="00640551" w:rsidP="00285819">
      <w:pPr>
        <w:pStyle w:val="a7"/>
      </w:pPr>
      <w:r>
        <w:rPr>
          <w:rStyle w:val="a9"/>
        </w:rPr>
        <w:footnoteRef/>
      </w:r>
      <w:r>
        <w:rPr>
          <w:rtl/>
        </w:rPr>
        <w:t xml:space="preserve"> </w:t>
      </w:r>
      <w:r w:rsidRPr="00640551">
        <w:rPr>
          <w:rFonts w:cs="Arial"/>
          <w:rtl/>
        </w:rPr>
        <w:t>ביום טוב, משום דמוקצה נינהו לטלטל, שלא עשאו לכלי מבעוד יום</w:t>
      </w:r>
      <w:r>
        <w:rPr>
          <w:rFonts w:cs="Arial" w:hint="cs"/>
          <w:rtl/>
        </w:rPr>
        <w:t>, רש"י.</w:t>
      </w:r>
    </w:p>
  </w:footnote>
  <w:footnote w:id="2322">
    <w:p w14:paraId="5928F74B" w14:textId="77777777" w:rsidR="00F44E52" w:rsidRDefault="00F44E52" w:rsidP="00285819">
      <w:pPr>
        <w:pStyle w:val="a7"/>
      </w:pPr>
      <w:r>
        <w:rPr>
          <w:rStyle w:val="a9"/>
        </w:rPr>
        <w:footnoteRef/>
      </w:r>
      <w:r>
        <w:rPr>
          <w:rtl/>
        </w:rPr>
        <w:t xml:space="preserve"> </w:t>
      </w:r>
      <w:r w:rsidRPr="00640551">
        <w:rPr>
          <w:rFonts w:cs="Arial"/>
          <w:rtl/>
        </w:rPr>
        <w:t>שאינו ראוי לטלטלו אפילו להסקה, דכולי עלמא לא פליגי דאסור</w:t>
      </w:r>
      <w:r>
        <w:rPr>
          <w:rFonts w:cs="Arial" w:hint="cs"/>
          <w:rtl/>
        </w:rPr>
        <w:t>, רש"י.</w:t>
      </w:r>
    </w:p>
  </w:footnote>
  <w:footnote w:id="2323">
    <w:p w14:paraId="699B3107" w14:textId="48F958CB" w:rsidR="00640551" w:rsidRDefault="00640551" w:rsidP="00285819">
      <w:pPr>
        <w:pStyle w:val="a7"/>
        <w:rPr>
          <w:rtl/>
        </w:rPr>
      </w:pPr>
      <w:r>
        <w:rPr>
          <w:rStyle w:val="a9"/>
        </w:rPr>
        <w:footnoteRef/>
      </w:r>
      <w:r>
        <w:rPr>
          <w:rtl/>
        </w:rPr>
        <w:t xml:space="preserve"> </w:t>
      </w:r>
      <w:r w:rsidRPr="00640551">
        <w:rPr>
          <w:rFonts w:cs="Arial"/>
          <w:rtl/>
        </w:rPr>
        <w:t>ולא נהירא דמה ענין זה לדבר שאין מתכוין הרי הוא עושה מה שמתכוין לעשות ואע</w:t>
      </w:r>
      <w:r>
        <w:rPr>
          <w:rFonts w:cs="Arial" w:hint="cs"/>
          <w:rtl/>
        </w:rPr>
        <w:t>"</w:t>
      </w:r>
      <w:r w:rsidRPr="00640551">
        <w:rPr>
          <w:rFonts w:cs="Arial"/>
          <w:rtl/>
        </w:rPr>
        <w:t>פ שאין מתכוין לבנין מ"מ מתכוין הוא לעשות דבר הדומה לבנין</w:t>
      </w:r>
      <w:r>
        <w:rPr>
          <w:rFonts w:hint="cs"/>
          <w:rtl/>
        </w:rPr>
        <w:t>, רא"ש (פ"ד סי' יא).</w:t>
      </w:r>
      <w:r w:rsidR="001864AD">
        <w:rPr>
          <w:rFonts w:hint="cs"/>
          <w:rtl/>
        </w:rPr>
        <w:t xml:space="preserve"> וכ"כ התוס' (לב: ד"ה </w:t>
      </w:r>
      <w:r w:rsidR="001864AD" w:rsidRPr="001864AD">
        <w:rPr>
          <w:rFonts w:cs="Arial"/>
          <w:rtl/>
        </w:rPr>
        <w:t>מלמטה למעלה</w:t>
      </w:r>
      <w:r w:rsidR="001864AD">
        <w:rPr>
          <w:rFonts w:cs="Arial" w:hint="cs"/>
          <w:rtl/>
        </w:rPr>
        <w:t>).</w:t>
      </w:r>
    </w:p>
  </w:footnote>
  <w:footnote w:id="2324">
    <w:p w14:paraId="2C30EDC5" w14:textId="0BAD4DDA" w:rsidR="00662222" w:rsidRDefault="00662222" w:rsidP="00285819">
      <w:pPr>
        <w:pStyle w:val="a7"/>
      </w:pPr>
      <w:r>
        <w:rPr>
          <w:rStyle w:val="a9"/>
        </w:rPr>
        <w:footnoteRef/>
      </w:r>
      <w:r>
        <w:rPr>
          <w:rtl/>
        </w:rPr>
        <w:t xml:space="preserve"> </w:t>
      </w:r>
      <w:r>
        <w:rPr>
          <w:rFonts w:hint="cs"/>
          <w:rtl/>
        </w:rPr>
        <w:t xml:space="preserve">וז"ל- </w:t>
      </w:r>
      <w:r>
        <w:rPr>
          <w:rFonts w:cs="Arial"/>
          <w:rtl/>
        </w:rPr>
        <w:t xml:space="preserve">העושה מדורה ביום טוב כשהוא עורך העצים אינו מניח זה על גבי זה עד שיסדיר המערכה מפני שנראה כבונה, ואף על פי שהוא בנין עראי אסור, אלא או שופך העצים בערבוב או עורך בשינוי, כיצד מניח עץ למעלה ומניח אחר תחתיו ואחר תחתיו עד שהוא מגיע לארץ. </w:t>
      </w:r>
      <w:r>
        <w:rPr>
          <w:rFonts w:hint="cs"/>
          <w:sz w:val="16"/>
          <w:szCs w:val="16"/>
          <w:rtl/>
        </w:rPr>
        <w:t xml:space="preserve">(הט"ו) </w:t>
      </w:r>
      <w:r>
        <w:rPr>
          <w:rFonts w:cs="Arial"/>
          <w:rtl/>
        </w:rPr>
        <w:t>וכן הקדרה אוחז אותה ומכניס האבנים תחתיה, אבל לא יניחנה על גבי האבנים, וכן המטה אוחז הקרשים למעלה ומכניס הרגלים תחתיהן, אפילו ביצים לא יעמיד אותן בשורה על גבי שורה עד שיעמדו כמו מגדל אלא ישנה ויתחיל מלמעלה למטה, וכן כל כיוצא בזה צריך שינוי.</w:t>
      </w:r>
      <w:r>
        <w:rPr>
          <w:rFonts w:cs="Arial" w:hint="cs"/>
          <w:rtl/>
        </w:rPr>
        <w:t>.</w:t>
      </w:r>
    </w:p>
  </w:footnote>
  <w:footnote w:id="2325">
    <w:p w14:paraId="2FAD1A45" w14:textId="52592DF2" w:rsidR="00662222" w:rsidRDefault="00662222" w:rsidP="00285819">
      <w:pPr>
        <w:pStyle w:val="a7"/>
      </w:pPr>
      <w:r>
        <w:rPr>
          <w:rStyle w:val="a9"/>
        </w:rPr>
        <w:footnoteRef/>
      </w:r>
      <w:r>
        <w:rPr>
          <w:rtl/>
        </w:rPr>
        <w:t xml:space="preserve"> </w:t>
      </w:r>
      <w:r w:rsidRPr="008B167E">
        <w:rPr>
          <w:rFonts w:cs="Arial"/>
          <w:rtl/>
        </w:rPr>
        <w:t>פי' לפירושו</w:t>
      </w:r>
      <w:r>
        <w:rPr>
          <w:rFonts w:cs="Arial" w:hint="cs"/>
          <w:sz w:val="16"/>
          <w:szCs w:val="16"/>
          <w:rtl/>
        </w:rPr>
        <w:t xml:space="preserve"> </w:t>
      </w:r>
      <w:r w:rsidRPr="008B167E">
        <w:rPr>
          <w:rFonts w:cs="Arial"/>
          <w:rtl/>
        </w:rPr>
        <w:t>כשעושין מדורה גדולה עושין ארבע שורות של עצים כעין ד' דפני התיבה ונותנין עליהן עצים מלמעלה</w:t>
      </w:r>
      <w:r>
        <w:rPr>
          <w:rFonts w:cs="Arial" w:hint="cs"/>
          <w:rtl/>
        </w:rPr>
        <w:t>,</w:t>
      </w:r>
      <w:r w:rsidRPr="008B167E">
        <w:rPr>
          <w:rFonts w:cs="Arial"/>
          <w:rtl/>
        </w:rPr>
        <w:t xml:space="preserve"> וקאמר שלא יעשה הדפנות תחלה אלא אחד יאחוז העצים העליונות בידו ואחד יעשה הדפנות תחתיהן שאין זה דרך בנין</w:t>
      </w:r>
      <w:r>
        <w:rPr>
          <w:rFonts w:asciiTheme="minorBidi" w:hAnsiTheme="minorBidi" w:cs="Arial" w:hint="cs"/>
          <w:rtl/>
        </w:rPr>
        <w:t>, רא"ש</w:t>
      </w:r>
      <w:r>
        <w:rPr>
          <w:rFonts w:asciiTheme="minorBidi" w:hAnsiTheme="minorBidi" w:cs="Arial" w:hint="cs"/>
          <w:sz w:val="16"/>
          <w:szCs w:val="16"/>
          <w:rtl/>
        </w:rPr>
        <w:t xml:space="preserve"> (ביצה פ"ד סי' יא)</w:t>
      </w:r>
      <w:r>
        <w:rPr>
          <w:rFonts w:cs="Arial" w:hint="cs"/>
          <w:rtl/>
        </w:rPr>
        <w:t>.</w:t>
      </w:r>
    </w:p>
  </w:footnote>
  <w:footnote w:id="2326">
    <w:p w14:paraId="7B5AF5D6" w14:textId="7B04BEF4" w:rsidR="00A84A9C" w:rsidRDefault="00A84A9C" w:rsidP="00285819">
      <w:pPr>
        <w:pStyle w:val="a7"/>
      </w:pPr>
      <w:r>
        <w:rPr>
          <w:rStyle w:val="a9"/>
        </w:rPr>
        <w:footnoteRef/>
      </w:r>
      <w:r>
        <w:rPr>
          <w:rtl/>
        </w:rPr>
        <w:t xml:space="preserve"> </w:t>
      </w:r>
      <w:r w:rsidRPr="008B167E">
        <w:rPr>
          <w:rFonts w:cs="Arial"/>
          <w:rtl/>
        </w:rPr>
        <w:t>ומה שכתב בפוריא שאסור לתת הרגלים תחלה וליתן הקרשים עליהן</w:t>
      </w:r>
      <w:r>
        <w:rPr>
          <w:rFonts w:cs="Arial" w:hint="cs"/>
          <w:rtl/>
        </w:rPr>
        <w:t xml:space="preserve"> -</w:t>
      </w:r>
      <w:r w:rsidRPr="008B167E">
        <w:rPr>
          <w:rFonts w:cs="Arial"/>
          <w:rtl/>
        </w:rPr>
        <w:t xml:space="preserve"> לא יתכן לאסור זה אם לא שיהא הרגלים ד' דפין מחוברין בארבע דופני התיבה</w:t>
      </w:r>
      <w:r>
        <w:rPr>
          <w:rFonts w:cs="Arial" w:hint="cs"/>
          <w:rtl/>
        </w:rPr>
        <w:t>,</w:t>
      </w:r>
      <w:r w:rsidRPr="008B167E">
        <w:rPr>
          <w:rFonts w:cs="Arial"/>
          <w:rtl/>
        </w:rPr>
        <w:t xml:space="preserve"> דאין אהל בלא מחיצות</w:t>
      </w:r>
      <w:r>
        <w:rPr>
          <w:rFonts w:cs="Arial" w:hint="cs"/>
          <w:rtl/>
        </w:rPr>
        <w:t>,</w:t>
      </w:r>
      <w:r w:rsidRPr="008B167E">
        <w:rPr>
          <w:rFonts w:cs="Arial"/>
          <w:rtl/>
        </w:rPr>
        <w:t xml:space="preserve"> ואין העולם נזהרין מלהניח השולחן על גבי הרגלים בשבת. והא דאמר בפרק בתרא דעירובין (קב</w:t>
      </w:r>
      <w:r>
        <w:rPr>
          <w:rFonts w:cs="Arial" w:hint="cs"/>
          <w:rtl/>
        </w:rPr>
        <w:t>.</w:t>
      </w:r>
      <w:r w:rsidRPr="008B167E">
        <w:rPr>
          <w:rFonts w:cs="Arial"/>
          <w:rtl/>
        </w:rPr>
        <w:t>) כרוך בודיא ושייר בה טפח אלמא דמקרי אהל בלא מחיצות התם שאני דהוי בנין חשוב. וגם עיקר כוונתו לעשיית אהל אבל בנין עראי כזה לא מיקרי אהל בלא מחיצות</w:t>
      </w:r>
      <w:r>
        <w:rPr>
          <w:rFonts w:asciiTheme="minorBidi" w:hAnsiTheme="minorBidi" w:cs="Arial" w:hint="cs"/>
          <w:rtl/>
        </w:rPr>
        <w:t>, רא"ש</w:t>
      </w:r>
      <w:r>
        <w:rPr>
          <w:rFonts w:asciiTheme="minorBidi" w:hAnsiTheme="minorBidi" w:cs="Arial" w:hint="cs"/>
          <w:sz w:val="16"/>
          <w:szCs w:val="16"/>
          <w:rtl/>
        </w:rPr>
        <w:t xml:space="preserve"> (ביצה פ"ד סי' יא)</w:t>
      </w:r>
      <w:r>
        <w:rPr>
          <w:rFonts w:cs="Arial" w:hint="cs"/>
          <w:rtl/>
        </w:rPr>
        <w:t>.</w:t>
      </w:r>
    </w:p>
  </w:footnote>
  <w:footnote w:id="2327">
    <w:p w14:paraId="696A0A16" w14:textId="5FF873B1" w:rsidR="00A06E0E" w:rsidRDefault="00A06E0E" w:rsidP="00285819">
      <w:pPr>
        <w:pStyle w:val="a7"/>
      </w:pPr>
      <w:r>
        <w:rPr>
          <w:rStyle w:val="a9"/>
        </w:rPr>
        <w:footnoteRef/>
      </w:r>
      <w:r>
        <w:rPr>
          <w:rFonts w:asciiTheme="minorBidi" w:hAnsiTheme="minorBidi" w:cs="Arial" w:hint="cs"/>
          <w:rtl/>
        </w:rPr>
        <w:t xml:space="preserve"> והרא"ש</w:t>
      </w:r>
      <w:r>
        <w:rPr>
          <w:rFonts w:asciiTheme="minorBidi" w:hAnsiTheme="minorBidi" w:cs="Arial" w:hint="cs"/>
          <w:sz w:val="16"/>
          <w:szCs w:val="16"/>
          <w:rtl/>
        </w:rPr>
        <w:t xml:space="preserve"> (ביצה פ"ד סי' יא)</w:t>
      </w:r>
      <w:r>
        <w:rPr>
          <w:rFonts w:cs="Arial" w:hint="cs"/>
          <w:rtl/>
        </w:rPr>
        <w:t xml:space="preserve"> הסכים עם התוס' לעניין מטה </w:t>
      </w:r>
      <w:r>
        <w:rPr>
          <w:rFonts w:hint="cs"/>
          <w:rtl/>
        </w:rPr>
        <w:t>ושלחן</w:t>
      </w:r>
      <w:r w:rsidR="00333D44">
        <w:rPr>
          <w:rFonts w:hint="cs"/>
          <w:rtl/>
        </w:rPr>
        <w:t>,</w:t>
      </w:r>
      <w:r>
        <w:rPr>
          <w:rFonts w:hint="cs"/>
          <w:rtl/>
        </w:rPr>
        <w:t xml:space="preserve"> וכתב</w:t>
      </w:r>
      <w:r w:rsidR="00333D44">
        <w:rPr>
          <w:rFonts w:hint="cs"/>
          <w:rtl/>
        </w:rPr>
        <w:t xml:space="preserve"> </w:t>
      </w:r>
      <w:r w:rsidR="00333D44" w:rsidRPr="00333D44">
        <w:rPr>
          <w:rFonts w:hint="cs"/>
          <w:sz w:val="16"/>
          <w:szCs w:val="16"/>
          <w:rtl/>
        </w:rPr>
        <w:t>(לשונו מובאת בה</w:t>
      </w:r>
      <w:r w:rsidR="00333D44">
        <w:rPr>
          <w:rFonts w:hint="cs"/>
          <w:sz w:val="16"/>
          <w:szCs w:val="16"/>
          <w:rtl/>
        </w:rPr>
        <w:t>ע</w:t>
      </w:r>
      <w:r w:rsidR="00333D44" w:rsidRPr="00333D44">
        <w:rPr>
          <w:rFonts w:hint="cs"/>
          <w:sz w:val="16"/>
          <w:szCs w:val="16"/>
          <w:rtl/>
        </w:rPr>
        <w:t>רה הקודמת)</w:t>
      </w:r>
      <w:r>
        <w:rPr>
          <w:rFonts w:hint="cs"/>
          <w:rtl/>
        </w:rPr>
        <w:t xml:space="preserve"> </w:t>
      </w:r>
      <w:r w:rsidR="00333D44">
        <w:rPr>
          <w:rFonts w:cs="Arial" w:hint="cs"/>
          <w:rtl/>
        </w:rPr>
        <w:t>שב</w:t>
      </w:r>
      <w:r w:rsidRPr="008B167E">
        <w:rPr>
          <w:rFonts w:cs="Arial"/>
          <w:rtl/>
        </w:rPr>
        <w:t>בנין עראי כזה לא מיקרי אהל בלא מחיצות</w:t>
      </w:r>
      <w:r>
        <w:rPr>
          <w:rFonts w:cs="Arial" w:hint="cs"/>
          <w:rtl/>
        </w:rPr>
        <w:t>.</w:t>
      </w:r>
      <w:r w:rsidR="00333D44">
        <w:rPr>
          <w:rFonts w:cs="Arial" w:hint="cs"/>
          <w:rtl/>
        </w:rPr>
        <w:t xml:space="preserve"> וצל"ע מדוע את שאר הדברים (ביצה, חביתא וכו') לא החשיב כבניין עראי.</w:t>
      </w:r>
    </w:p>
  </w:footnote>
  <w:footnote w:id="2328">
    <w:p w14:paraId="1C9E3B4D" w14:textId="77777777" w:rsidR="001147FA" w:rsidRDefault="001147FA" w:rsidP="00285819">
      <w:pPr>
        <w:pStyle w:val="a7"/>
      </w:pPr>
      <w:r>
        <w:rPr>
          <w:rStyle w:val="a9"/>
        </w:rPr>
        <w:footnoteRef/>
      </w:r>
      <w:r w:rsidRPr="00B6715C">
        <w:rPr>
          <w:rFonts w:cs="Arial"/>
          <w:rtl/>
        </w:rPr>
        <w:t xml:space="preserve"> וטעם זה הזכיר הטור למטה</w:t>
      </w:r>
      <w:r>
        <w:rPr>
          <w:rFonts w:cs="Arial" w:hint="cs"/>
          <w:rtl/>
        </w:rPr>
        <w:t xml:space="preserve"> (סע' ו), דרכ"מ (אות א).</w:t>
      </w:r>
    </w:p>
  </w:footnote>
  <w:footnote w:id="2329">
    <w:p w14:paraId="0C4A471B" w14:textId="77777777" w:rsidR="00812710" w:rsidRPr="008C1C8E" w:rsidRDefault="00812710" w:rsidP="00285819">
      <w:pPr>
        <w:spacing w:after="0" w:line="240" w:lineRule="auto"/>
        <w:rPr>
          <w:rFonts w:asciiTheme="minorBidi" w:hAnsiTheme="minorBidi"/>
          <w:sz w:val="20"/>
          <w:szCs w:val="20"/>
        </w:rPr>
      </w:pPr>
      <w:r w:rsidRPr="008C1C8E">
        <w:rPr>
          <w:rStyle w:val="a9"/>
          <w:rFonts w:asciiTheme="minorBidi" w:hAnsiTheme="minorBidi"/>
          <w:sz w:val="20"/>
          <w:szCs w:val="20"/>
        </w:rPr>
        <w:footnoteRef/>
      </w:r>
      <w:r w:rsidRPr="008C1C8E">
        <w:rPr>
          <w:rFonts w:asciiTheme="minorBidi" w:hAnsiTheme="minorBidi"/>
          <w:sz w:val="20"/>
          <w:szCs w:val="20"/>
          <w:rtl/>
        </w:rPr>
        <w:t xml:space="preserve"> מטלית.</w:t>
      </w:r>
    </w:p>
  </w:footnote>
  <w:footnote w:id="2330">
    <w:p w14:paraId="18969E71" w14:textId="77777777" w:rsidR="00812710" w:rsidRPr="008C1C8E" w:rsidRDefault="00812710"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דלאו אוהלא הוי, רש"י.</w:t>
      </w:r>
    </w:p>
  </w:footnote>
  <w:footnote w:id="2331">
    <w:p w14:paraId="6A38619F" w14:textId="77777777" w:rsidR="009B47DD" w:rsidRDefault="009B47DD" w:rsidP="00285819">
      <w:pPr>
        <w:pStyle w:val="a7"/>
      </w:pPr>
      <w:r>
        <w:rPr>
          <w:rStyle w:val="a9"/>
        </w:rPr>
        <w:footnoteRef/>
      </w:r>
      <w:r>
        <w:rPr>
          <w:rtl/>
        </w:rPr>
        <w:t xml:space="preserve"> </w:t>
      </w:r>
      <w:r>
        <w:rPr>
          <w:rFonts w:hint="cs"/>
          <w:rtl/>
        </w:rPr>
        <w:t>אך ה</w:t>
      </w:r>
      <w:r>
        <w:rPr>
          <w:rFonts w:asciiTheme="minorBidi" w:hAnsiTheme="minorBidi" w:cs="Arial" w:hint="cs"/>
          <w:rtl/>
        </w:rPr>
        <w:t>רא"ש</w:t>
      </w:r>
      <w:r>
        <w:rPr>
          <w:rFonts w:asciiTheme="minorBidi" w:hAnsiTheme="minorBidi" w:cs="Arial" w:hint="cs"/>
          <w:sz w:val="16"/>
          <w:szCs w:val="16"/>
          <w:rtl/>
        </w:rPr>
        <w:t xml:space="preserve"> (ביצה פ"ד סי' יא)</w:t>
      </w:r>
      <w:r>
        <w:rPr>
          <w:rFonts w:hint="cs"/>
          <w:rtl/>
        </w:rPr>
        <w:t xml:space="preserve"> פירש שלא היו שם מחיצות וז"ל- </w:t>
      </w:r>
      <w:r w:rsidRPr="008B167E">
        <w:rPr>
          <w:rFonts w:cs="Arial"/>
          <w:rtl/>
        </w:rPr>
        <w:t>והא דאמר בפרק בתרא דעירובין (קב</w:t>
      </w:r>
      <w:r>
        <w:rPr>
          <w:rFonts w:cs="Arial" w:hint="cs"/>
          <w:rtl/>
        </w:rPr>
        <w:t>.</w:t>
      </w:r>
      <w:r w:rsidRPr="008B167E">
        <w:rPr>
          <w:rFonts w:cs="Arial"/>
          <w:rtl/>
        </w:rPr>
        <w:t>) כרוך בודיא ושייר בה טפח אלמא דמקרי אהל בלא מחיצות התם שאני דהוי בנין חשוב. וגם עיקר כוונתו לעשיית אהל אבל בנין עראי כזה</w:t>
      </w:r>
      <w:r>
        <w:rPr>
          <w:rFonts w:cs="Arial" w:hint="cs"/>
          <w:sz w:val="16"/>
          <w:szCs w:val="16"/>
          <w:rtl/>
        </w:rPr>
        <w:t xml:space="preserve"> {כמו פוריא}</w:t>
      </w:r>
      <w:r w:rsidRPr="008B167E">
        <w:rPr>
          <w:rFonts w:cs="Arial"/>
          <w:rtl/>
        </w:rPr>
        <w:t xml:space="preserve"> לא מיקרי אהל בלא מחיצות</w:t>
      </w:r>
      <w:r>
        <w:rPr>
          <w:rFonts w:asciiTheme="minorBidi" w:hAnsiTheme="minorBidi" w:cs="Arial" w:hint="cs"/>
          <w:rtl/>
        </w:rPr>
        <w:t>.</w:t>
      </w:r>
    </w:p>
  </w:footnote>
  <w:footnote w:id="2332">
    <w:p w14:paraId="10060DAC" w14:textId="77777777" w:rsidR="009B47DD" w:rsidRDefault="009B47DD" w:rsidP="00285819">
      <w:pPr>
        <w:pStyle w:val="a7"/>
        <w:rPr>
          <w:rtl/>
        </w:rPr>
      </w:pPr>
      <w:r>
        <w:rPr>
          <w:rStyle w:val="a9"/>
        </w:rPr>
        <w:footnoteRef/>
      </w:r>
      <w:r>
        <w:rPr>
          <w:rtl/>
        </w:rPr>
        <w:t xml:space="preserve"> </w:t>
      </w:r>
      <w:r w:rsidRPr="00812710">
        <w:rPr>
          <w:rFonts w:cs="Arial"/>
          <w:rtl/>
        </w:rPr>
        <w:t>אך תימה דאמר בשבת (קלט:) האי פרוונקא דכובא אסירא והתם המחיצות היו עשויות כבר</w:t>
      </w:r>
      <w:r>
        <w:rPr>
          <w:rFonts w:cs="Arial" w:hint="cs"/>
          <w:rtl/>
        </w:rPr>
        <w:t>.</w:t>
      </w:r>
      <w:r w:rsidRPr="00812710">
        <w:rPr>
          <w:rFonts w:cs="Arial"/>
          <w:rtl/>
        </w:rPr>
        <w:t xml:space="preserve"> וי"ל דשאני התם</w:t>
      </w:r>
      <w:r>
        <w:rPr>
          <w:rFonts w:cs="Arial" w:hint="cs"/>
          <w:rtl/>
        </w:rPr>
        <w:t>,</w:t>
      </w:r>
      <w:r w:rsidRPr="00812710">
        <w:rPr>
          <w:rFonts w:cs="Arial"/>
          <w:rtl/>
        </w:rPr>
        <w:t xml:space="preserve"> הואיל ורחב הכובא יותר מדאי נעשה כאהל</w:t>
      </w:r>
      <w:r>
        <w:rPr>
          <w:rFonts w:hint="cs"/>
          <w:rtl/>
        </w:rPr>
        <w:t xml:space="preserve">, תוס' (ביצה לב: סד"ה מלמטה). אך הגר"א (סקי"ד) תירץ </w:t>
      </w:r>
      <w:r>
        <w:rPr>
          <w:rFonts w:asciiTheme="minorBidi" w:hAnsiTheme="minorBidi" w:cs="Arial" w:hint="cs"/>
          <w:color w:val="000000" w:themeColor="text1"/>
          <w:rtl/>
        </w:rPr>
        <w:t>ד</w:t>
      </w:r>
      <w:r w:rsidRPr="00BD6F21">
        <w:rPr>
          <w:rFonts w:asciiTheme="minorBidi" w:hAnsiTheme="minorBidi" w:cs="Arial"/>
          <w:color w:val="000000" w:themeColor="text1"/>
          <w:rtl/>
        </w:rPr>
        <w:t>שם כוונתו לאהל</w:t>
      </w:r>
      <w:r>
        <w:rPr>
          <w:rFonts w:asciiTheme="minorBidi" w:hAnsiTheme="minorBidi" w:cs="Arial" w:hint="cs"/>
          <w:color w:val="000000" w:themeColor="text1"/>
          <w:rtl/>
        </w:rPr>
        <w:t>.</w:t>
      </w:r>
    </w:p>
  </w:footnote>
  <w:footnote w:id="2333">
    <w:p w14:paraId="40F9A2DB" w14:textId="54E29B6B" w:rsidR="00BF3BC1" w:rsidRDefault="00BF3BC1" w:rsidP="00285819">
      <w:pPr>
        <w:pStyle w:val="a7"/>
        <w:rPr>
          <w:rtl/>
        </w:rPr>
      </w:pPr>
      <w:r>
        <w:rPr>
          <w:rStyle w:val="a9"/>
        </w:rPr>
        <w:footnoteRef/>
      </w:r>
      <w:r>
        <w:rPr>
          <w:rtl/>
        </w:rPr>
        <w:t xml:space="preserve"> </w:t>
      </w:r>
      <w:r>
        <w:rPr>
          <w:rFonts w:hint="cs"/>
          <w:rtl/>
        </w:rPr>
        <w:t xml:space="preserve">אע"ג שצריך לאויר </w:t>
      </w:r>
      <w:r w:rsidR="00194683">
        <w:rPr>
          <w:rFonts w:hint="cs"/>
          <w:rtl/>
        </w:rPr>
        <w:t>מתחת הקדרה</w:t>
      </w:r>
      <w:r>
        <w:rPr>
          <w:rFonts w:hint="cs"/>
          <w:rtl/>
        </w:rPr>
        <w:t xml:space="preserve"> (ע"פ דברי הר"ן</w:t>
      </w:r>
      <w:r w:rsidR="00194683">
        <w:rPr>
          <w:rFonts w:hint="cs"/>
          <w:rtl/>
        </w:rPr>
        <w:t xml:space="preserve"> שמובאים בסע' ו</w:t>
      </w:r>
      <w:r>
        <w:rPr>
          <w:rFonts w:hint="cs"/>
          <w:rtl/>
        </w:rPr>
        <w:t>).</w:t>
      </w:r>
      <w:r w:rsidR="00194683">
        <w:rPr>
          <w:rFonts w:hint="cs"/>
          <w:rtl/>
        </w:rPr>
        <w:t xml:space="preserve"> </w:t>
      </w:r>
    </w:p>
  </w:footnote>
  <w:footnote w:id="2334">
    <w:p w14:paraId="51201E67" w14:textId="4783C5BF" w:rsidR="00194683" w:rsidRPr="00BF3BC1" w:rsidRDefault="00194683" w:rsidP="00285819">
      <w:pPr>
        <w:pStyle w:val="a7"/>
      </w:pPr>
      <w:r>
        <w:rPr>
          <w:rStyle w:val="a9"/>
        </w:rPr>
        <w:footnoteRef/>
      </w:r>
      <w:r>
        <w:rPr>
          <w:rtl/>
        </w:rPr>
        <w:t xml:space="preserve"> </w:t>
      </w:r>
      <w:r>
        <w:rPr>
          <w:rFonts w:asciiTheme="minorBidi" w:hAnsiTheme="minorBidi" w:cs="Arial" w:hint="cs"/>
          <w:rtl/>
        </w:rPr>
        <w:t>וקשה דהרי הר"ן עצמו כתב שתי שורות לפני כן שמותר להחזיר קדרה על כירה בשבת כמבואר לעיל, אלא צריך לומר שכוונתו לומר כן כעין קדרה שמסדר אבנים אבנים תחתיה, שאז כשעושה כן בשבת מיחזי כבנין.</w:t>
      </w:r>
      <w:r>
        <w:rPr>
          <w:rFonts w:hint="cs"/>
          <w:rtl/>
        </w:rPr>
        <w:t xml:space="preserve"> אה אם לא עושה כן בשבת, אלא המחיצות מוכנות לפני השבת - מותר כל עוד אין עיקר כוונתו לאוהל.</w:t>
      </w:r>
    </w:p>
  </w:footnote>
  <w:footnote w:id="2335">
    <w:p w14:paraId="72F3687F" w14:textId="3ACA4BD3" w:rsidR="009A7623" w:rsidRPr="00BD6F21" w:rsidRDefault="009A7623" w:rsidP="00285819">
      <w:pPr>
        <w:pStyle w:val="a7"/>
        <w:rPr>
          <w:rFonts w:asciiTheme="minorBidi" w:hAnsiTheme="minorBidi"/>
          <w:color w:val="000000" w:themeColor="text1"/>
          <w:rtl/>
        </w:rPr>
      </w:pPr>
      <w:r w:rsidRPr="00BD6F21">
        <w:rPr>
          <w:rStyle w:val="a9"/>
          <w:rFonts w:asciiTheme="minorBidi" w:hAnsiTheme="minorBidi"/>
          <w:color w:val="000000" w:themeColor="text1"/>
        </w:rPr>
        <w:footnoteRef/>
      </w:r>
      <w:r w:rsidRPr="00BD6F21">
        <w:rPr>
          <w:rFonts w:asciiTheme="minorBidi" w:hAnsiTheme="minorBidi"/>
          <w:color w:val="000000" w:themeColor="text1"/>
          <w:rtl/>
        </w:rPr>
        <w:t xml:space="preserve"> וכן תיבה רחבה שיש עליה כפורת אם אינה קבועה בצירים </w:t>
      </w:r>
      <w:r w:rsidR="00BD6F21">
        <w:rPr>
          <w:rFonts w:asciiTheme="minorBidi" w:hAnsiTheme="minorBidi" w:hint="cs"/>
          <w:color w:val="000000" w:themeColor="text1"/>
          <w:rtl/>
        </w:rPr>
        <w:t xml:space="preserve">- </w:t>
      </w:r>
      <w:r w:rsidRPr="00BD6F21">
        <w:rPr>
          <w:rFonts w:asciiTheme="minorBidi" w:hAnsiTheme="minorBidi"/>
          <w:color w:val="000000" w:themeColor="text1"/>
          <w:rtl/>
        </w:rPr>
        <w:t>אסור להניח עליה בשבת</w:t>
      </w:r>
      <w:r w:rsidR="00BD6F21">
        <w:rPr>
          <w:rFonts w:asciiTheme="minorBidi" w:hAnsiTheme="minorBidi" w:hint="cs"/>
          <w:color w:val="000000" w:themeColor="text1"/>
          <w:rtl/>
        </w:rPr>
        <w:t>,</w:t>
      </w:r>
      <w:r w:rsidRPr="00BD6F21">
        <w:rPr>
          <w:rFonts w:asciiTheme="minorBidi" w:hAnsiTheme="minorBidi"/>
          <w:color w:val="000000" w:themeColor="text1"/>
          <w:rtl/>
        </w:rPr>
        <w:t xml:space="preserve"> </w:t>
      </w:r>
      <w:r w:rsidR="00BD6F21">
        <w:rPr>
          <w:rFonts w:asciiTheme="minorBidi" w:hAnsiTheme="minorBidi" w:hint="cs"/>
          <w:color w:val="000000" w:themeColor="text1"/>
          <w:rtl/>
        </w:rPr>
        <w:t>[ד]</w:t>
      </w:r>
      <w:r w:rsidRPr="00BD6F21">
        <w:rPr>
          <w:rFonts w:asciiTheme="minorBidi" w:hAnsiTheme="minorBidi"/>
          <w:color w:val="000000" w:themeColor="text1"/>
          <w:rtl/>
        </w:rPr>
        <w:t xml:space="preserve">אע"ג דאינה קבוע כלל ואינה עשויה אלא לפתח בעלמא אסור כמש"כ סי"ג (סקכ"א), מג"א (סק"ו). </w:t>
      </w:r>
    </w:p>
  </w:footnote>
  <w:footnote w:id="2336">
    <w:p w14:paraId="0AF21275" w14:textId="2DADDC99" w:rsidR="00BD6F21" w:rsidRPr="00BD6F21" w:rsidRDefault="00BD6F21" w:rsidP="00285819">
      <w:pPr>
        <w:pStyle w:val="a7"/>
        <w:rPr>
          <w:rFonts w:asciiTheme="minorBidi" w:hAnsiTheme="minorBidi"/>
          <w:color w:val="000000" w:themeColor="text1"/>
          <w:rtl/>
        </w:rPr>
      </w:pPr>
      <w:r w:rsidRPr="00BD6F21">
        <w:rPr>
          <w:rStyle w:val="a9"/>
          <w:rFonts w:asciiTheme="minorBidi" w:hAnsiTheme="minorBidi"/>
          <w:color w:val="000000" w:themeColor="text1"/>
        </w:rPr>
        <w:footnoteRef/>
      </w:r>
      <w:r w:rsidRPr="00BD6F21">
        <w:rPr>
          <w:rFonts w:asciiTheme="minorBidi" w:hAnsiTheme="minorBidi"/>
          <w:color w:val="000000" w:themeColor="text1"/>
          <w:rtl/>
        </w:rPr>
        <w:t xml:space="preserve"> </w:t>
      </w:r>
      <w:r w:rsidRPr="00BD6F21">
        <w:rPr>
          <w:rFonts w:asciiTheme="minorBidi" w:hAnsiTheme="minorBidi" w:cs="Arial"/>
          <w:color w:val="000000" w:themeColor="text1"/>
          <w:rtl/>
        </w:rPr>
        <w:t>מדלא אמרו אלא בכה"ג שיש ג"כ מחיצות</w:t>
      </w:r>
      <w:r>
        <w:rPr>
          <w:rFonts w:asciiTheme="minorBidi" w:hAnsiTheme="minorBidi" w:cs="Arial" w:hint="cs"/>
          <w:color w:val="000000" w:themeColor="text1"/>
          <w:rtl/>
        </w:rPr>
        <w:t>,</w:t>
      </w:r>
      <w:r w:rsidRPr="00BD6F21">
        <w:rPr>
          <w:rFonts w:asciiTheme="minorBidi" w:hAnsiTheme="minorBidi" w:cs="Arial"/>
          <w:color w:val="000000" w:themeColor="text1"/>
          <w:rtl/>
        </w:rPr>
        <w:t xml:space="preserve"> </w:t>
      </w:r>
      <w:r>
        <w:rPr>
          <w:rFonts w:asciiTheme="minorBidi" w:hAnsiTheme="minorBidi" w:cs="Arial" w:hint="cs"/>
          <w:color w:val="000000" w:themeColor="text1"/>
          <w:sz w:val="16"/>
          <w:szCs w:val="16"/>
          <w:rtl/>
        </w:rPr>
        <w:t xml:space="preserve">{משמע} </w:t>
      </w:r>
      <w:r w:rsidRPr="00BD6F21">
        <w:rPr>
          <w:rFonts w:asciiTheme="minorBidi" w:hAnsiTheme="minorBidi" w:cs="Arial"/>
          <w:color w:val="000000" w:themeColor="text1"/>
          <w:rtl/>
        </w:rPr>
        <w:t>אבל בלא מחיצות מותר</w:t>
      </w:r>
      <w:r>
        <w:rPr>
          <w:rFonts w:asciiTheme="minorBidi" w:hAnsiTheme="minorBidi" w:cs="Arial" w:hint="cs"/>
          <w:color w:val="000000" w:themeColor="text1"/>
          <w:rtl/>
        </w:rPr>
        <w:t>.</w:t>
      </w:r>
      <w:r w:rsidRPr="00BD6F21">
        <w:rPr>
          <w:rFonts w:asciiTheme="minorBidi" w:hAnsiTheme="minorBidi" w:cs="Arial"/>
          <w:color w:val="000000" w:themeColor="text1"/>
          <w:rtl/>
        </w:rPr>
        <w:t xml:space="preserve"> ואף במחיצות</w:t>
      </w:r>
      <w:r>
        <w:rPr>
          <w:rFonts w:asciiTheme="minorBidi" w:hAnsiTheme="minorBidi" w:cs="Arial" w:hint="cs"/>
          <w:color w:val="000000" w:themeColor="text1"/>
          <w:rtl/>
        </w:rPr>
        <w:t>,</w:t>
      </w:r>
      <w:r w:rsidRPr="00BD6F21">
        <w:rPr>
          <w:rFonts w:asciiTheme="minorBidi" w:hAnsiTheme="minorBidi" w:cs="Arial"/>
          <w:color w:val="000000" w:themeColor="text1"/>
          <w:rtl/>
        </w:rPr>
        <w:t xml:space="preserve"> היכא שאין עושה עתה </w:t>
      </w:r>
      <w:r>
        <w:rPr>
          <w:rFonts w:asciiTheme="minorBidi" w:hAnsiTheme="minorBidi" w:cs="Arial" w:hint="cs"/>
          <w:color w:val="000000" w:themeColor="text1"/>
          <w:rtl/>
        </w:rPr>
        <w:t xml:space="preserve">- </w:t>
      </w:r>
      <w:r w:rsidRPr="00BD6F21">
        <w:rPr>
          <w:rFonts w:asciiTheme="minorBidi" w:hAnsiTheme="minorBidi" w:cs="Arial"/>
          <w:color w:val="000000" w:themeColor="text1"/>
          <w:rtl/>
        </w:rPr>
        <w:t>מותר</w:t>
      </w:r>
      <w:r w:rsidR="00F22C43">
        <w:rPr>
          <w:rFonts w:asciiTheme="minorBidi" w:hAnsiTheme="minorBidi" w:cs="Arial" w:hint="cs"/>
          <w:color w:val="000000" w:themeColor="text1"/>
          <w:rtl/>
        </w:rPr>
        <w:t>,</w:t>
      </w:r>
      <w:r w:rsidRPr="00BD6F21">
        <w:rPr>
          <w:rFonts w:asciiTheme="minorBidi" w:hAnsiTheme="minorBidi" w:cs="Arial"/>
          <w:color w:val="000000" w:themeColor="text1"/>
          <w:rtl/>
        </w:rPr>
        <w:t xml:space="preserve"> כמ"ש </w:t>
      </w:r>
      <w:r>
        <w:rPr>
          <w:rFonts w:asciiTheme="minorBidi" w:hAnsiTheme="minorBidi" w:cs="Arial" w:hint="cs"/>
          <w:color w:val="000000" w:themeColor="text1"/>
          <w:rtl/>
        </w:rPr>
        <w:t>(</w:t>
      </w:r>
      <w:r w:rsidRPr="00BD6F21">
        <w:rPr>
          <w:rFonts w:asciiTheme="minorBidi" w:hAnsiTheme="minorBidi" w:cs="Arial"/>
          <w:color w:val="000000" w:themeColor="text1"/>
          <w:rtl/>
        </w:rPr>
        <w:t>לח</w:t>
      </w:r>
      <w:r>
        <w:rPr>
          <w:rFonts w:asciiTheme="minorBidi" w:hAnsiTheme="minorBidi" w:cs="Arial" w:hint="cs"/>
          <w:color w:val="000000" w:themeColor="text1"/>
          <w:rtl/>
        </w:rPr>
        <w:t>:)</w:t>
      </w:r>
      <w:r w:rsidRPr="00BD6F21">
        <w:rPr>
          <w:rFonts w:asciiTheme="minorBidi" w:hAnsiTheme="minorBidi" w:cs="Arial"/>
          <w:color w:val="000000" w:themeColor="text1"/>
          <w:rtl/>
        </w:rPr>
        <w:t xml:space="preserve"> מחזירין אף בשבת</w:t>
      </w:r>
      <w:r>
        <w:rPr>
          <w:rFonts w:asciiTheme="minorBidi" w:hAnsiTheme="minorBidi" w:cs="Arial" w:hint="cs"/>
          <w:color w:val="000000" w:themeColor="text1"/>
          <w:rtl/>
        </w:rPr>
        <w:t>,</w:t>
      </w:r>
      <w:r w:rsidRPr="00BD6F21">
        <w:rPr>
          <w:rFonts w:asciiTheme="minorBidi" w:hAnsiTheme="minorBidi" w:cs="Arial"/>
          <w:color w:val="000000" w:themeColor="text1"/>
          <w:rtl/>
        </w:rPr>
        <w:t xml:space="preserve"> ושם </w:t>
      </w:r>
      <w:r>
        <w:rPr>
          <w:rFonts w:asciiTheme="minorBidi" w:hAnsiTheme="minorBidi" w:cs="Arial" w:hint="cs"/>
          <w:color w:val="000000" w:themeColor="text1"/>
          <w:rtl/>
        </w:rPr>
        <w:t>(</w:t>
      </w:r>
      <w:r w:rsidRPr="00BD6F21">
        <w:rPr>
          <w:rFonts w:asciiTheme="minorBidi" w:hAnsiTheme="minorBidi" w:cs="Arial"/>
          <w:color w:val="000000" w:themeColor="text1"/>
          <w:rtl/>
        </w:rPr>
        <w:t>נא</w:t>
      </w:r>
      <w:r>
        <w:rPr>
          <w:rFonts w:asciiTheme="minorBidi" w:hAnsiTheme="minorBidi" w:cs="Arial" w:hint="cs"/>
          <w:color w:val="000000" w:themeColor="text1"/>
          <w:rtl/>
        </w:rPr>
        <w:t>:)</w:t>
      </w:r>
      <w:r w:rsidRPr="00BD6F21">
        <w:rPr>
          <w:rFonts w:asciiTheme="minorBidi" w:hAnsiTheme="minorBidi" w:cs="Arial"/>
          <w:color w:val="000000" w:themeColor="text1"/>
          <w:rtl/>
        </w:rPr>
        <w:t xml:space="preserve"> מניחין מיחם כו'</w:t>
      </w:r>
      <w:r>
        <w:rPr>
          <w:rFonts w:asciiTheme="minorBidi" w:hAnsiTheme="minorBidi" w:cs="Arial" w:hint="cs"/>
          <w:color w:val="000000" w:themeColor="text1"/>
          <w:rtl/>
        </w:rPr>
        <w:t>.</w:t>
      </w:r>
      <w:r w:rsidRPr="00BD6F21">
        <w:rPr>
          <w:rFonts w:asciiTheme="minorBidi" w:hAnsiTheme="minorBidi" w:cs="Arial"/>
          <w:color w:val="000000" w:themeColor="text1"/>
          <w:rtl/>
        </w:rPr>
        <w:t xml:space="preserve"> ואע</w:t>
      </w:r>
      <w:r>
        <w:rPr>
          <w:rFonts w:asciiTheme="minorBidi" w:hAnsiTheme="minorBidi" w:cs="Arial" w:hint="cs"/>
          <w:color w:val="000000" w:themeColor="text1"/>
          <w:rtl/>
        </w:rPr>
        <w:t>"</w:t>
      </w:r>
      <w:r w:rsidRPr="00BD6F21">
        <w:rPr>
          <w:rFonts w:asciiTheme="minorBidi" w:hAnsiTheme="minorBidi" w:cs="Arial"/>
          <w:color w:val="000000" w:themeColor="text1"/>
          <w:rtl/>
        </w:rPr>
        <w:t>ג שבס"ב וסי"ג מ</w:t>
      </w:r>
      <w:r>
        <w:rPr>
          <w:rFonts w:asciiTheme="minorBidi" w:hAnsiTheme="minorBidi" w:cs="Arial" w:hint="cs"/>
          <w:color w:val="000000" w:themeColor="text1"/>
          <w:rtl/>
        </w:rPr>
        <w:t>שמע</w:t>
      </w:r>
      <w:r w:rsidRPr="00BD6F21">
        <w:rPr>
          <w:rFonts w:asciiTheme="minorBidi" w:hAnsiTheme="minorBidi" w:cs="Arial"/>
          <w:color w:val="000000" w:themeColor="text1"/>
          <w:rtl/>
        </w:rPr>
        <w:t xml:space="preserve"> דאסור</w:t>
      </w:r>
      <w:r>
        <w:rPr>
          <w:rFonts w:asciiTheme="minorBidi" w:hAnsiTheme="minorBidi" w:cs="Arial" w:hint="cs"/>
          <w:color w:val="000000" w:themeColor="text1"/>
          <w:rtl/>
        </w:rPr>
        <w:t>,</w:t>
      </w:r>
      <w:r w:rsidRPr="00BD6F21">
        <w:rPr>
          <w:rFonts w:asciiTheme="minorBidi" w:hAnsiTheme="minorBidi" w:cs="Arial"/>
          <w:color w:val="000000" w:themeColor="text1"/>
          <w:rtl/>
        </w:rPr>
        <w:t xml:space="preserve"> שם כוונתו לאהל</w:t>
      </w:r>
      <w:r>
        <w:rPr>
          <w:rFonts w:asciiTheme="minorBidi" w:hAnsiTheme="minorBidi" w:cs="Arial" w:hint="cs"/>
          <w:color w:val="000000" w:themeColor="text1"/>
          <w:rtl/>
        </w:rPr>
        <w:t>.</w:t>
      </w:r>
      <w:r w:rsidRPr="00BD6F21">
        <w:rPr>
          <w:rFonts w:asciiTheme="minorBidi" w:hAnsiTheme="minorBidi" w:cs="Arial"/>
          <w:color w:val="000000" w:themeColor="text1"/>
          <w:rtl/>
        </w:rPr>
        <w:t xml:space="preserve"> ועמ"א סק</w:t>
      </w:r>
      <w:r>
        <w:rPr>
          <w:rFonts w:asciiTheme="minorBidi" w:hAnsiTheme="minorBidi" w:cs="Arial" w:hint="cs"/>
          <w:color w:val="000000" w:themeColor="text1"/>
          <w:rtl/>
        </w:rPr>
        <w:t>"</w:t>
      </w:r>
      <w:r w:rsidRPr="00BD6F21">
        <w:rPr>
          <w:rFonts w:asciiTheme="minorBidi" w:hAnsiTheme="minorBidi" w:cs="Arial"/>
          <w:color w:val="000000" w:themeColor="text1"/>
          <w:rtl/>
        </w:rPr>
        <w:t>ז</w:t>
      </w:r>
      <w:r>
        <w:rPr>
          <w:rFonts w:asciiTheme="minorBidi" w:hAnsiTheme="minorBidi" w:cs="Arial" w:hint="cs"/>
          <w:color w:val="000000" w:themeColor="text1"/>
          <w:rtl/>
        </w:rPr>
        <w:t>,</w:t>
      </w:r>
      <w:r w:rsidRPr="00BD6F21">
        <w:rPr>
          <w:rFonts w:asciiTheme="minorBidi" w:hAnsiTheme="minorBidi" w:cs="Arial"/>
          <w:color w:val="000000" w:themeColor="text1"/>
          <w:rtl/>
        </w:rPr>
        <w:t xml:space="preserve"> ע"ש סקכ"א</w:t>
      </w:r>
      <w:r>
        <w:rPr>
          <w:rFonts w:asciiTheme="minorBidi" w:hAnsiTheme="minorBidi" w:cs="Arial" w:hint="cs"/>
          <w:color w:val="000000" w:themeColor="text1"/>
          <w:rtl/>
        </w:rPr>
        <w:t>,</w:t>
      </w:r>
      <w:r w:rsidRPr="00BD6F21">
        <w:rPr>
          <w:rFonts w:asciiTheme="minorBidi" w:hAnsiTheme="minorBidi" w:cs="Arial"/>
          <w:color w:val="000000" w:themeColor="text1"/>
          <w:rtl/>
        </w:rPr>
        <w:t xml:space="preserve"> ע' ב"ח וט"ז סקי</w:t>
      </w:r>
      <w:r>
        <w:rPr>
          <w:rFonts w:asciiTheme="minorBidi" w:hAnsiTheme="minorBidi" w:cs="Arial" w:hint="cs"/>
          <w:color w:val="000000" w:themeColor="text1"/>
          <w:rtl/>
        </w:rPr>
        <w:t>"</w:t>
      </w:r>
      <w:r w:rsidRPr="00BD6F21">
        <w:rPr>
          <w:rFonts w:asciiTheme="minorBidi" w:hAnsiTheme="minorBidi" w:cs="Arial"/>
          <w:color w:val="000000" w:themeColor="text1"/>
          <w:rtl/>
        </w:rPr>
        <w:t>א</w:t>
      </w:r>
      <w:r w:rsidRPr="00BD6F21">
        <w:rPr>
          <w:rFonts w:asciiTheme="minorBidi" w:hAnsiTheme="minorBidi"/>
          <w:color w:val="000000" w:themeColor="text1"/>
          <w:rtl/>
        </w:rPr>
        <w:t>, גר"א (סקי"ד).</w:t>
      </w:r>
    </w:p>
  </w:footnote>
  <w:footnote w:id="2337">
    <w:p w14:paraId="44C7BA3E" w14:textId="065F9EEF" w:rsidR="008C7224" w:rsidRDefault="008C7224" w:rsidP="00285819">
      <w:pPr>
        <w:pStyle w:val="a7"/>
      </w:pPr>
      <w:r>
        <w:rPr>
          <w:rStyle w:val="a9"/>
        </w:rPr>
        <w:footnoteRef/>
      </w:r>
      <w:r>
        <w:rPr>
          <w:rtl/>
        </w:rPr>
        <w:t xml:space="preserve"> </w:t>
      </w:r>
      <w:r w:rsidRPr="008C7224">
        <w:rPr>
          <w:rFonts w:cs="Arial"/>
          <w:rtl/>
        </w:rPr>
        <w:t>ודע דכל זה הוא רק בגג שאינו עשוי לצל וכההיא דקרשים של המטה וכה"ג שעשוי רק להשתמש מלמעלה על גבו</w:t>
      </w:r>
      <w:r>
        <w:rPr>
          <w:rFonts w:cs="Arial" w:hint="cs"/>
          <w:rtl/>
        </w:rPr>
        <w:t>,</w:t>
      </w:r>
      <w:r w:rsidRPr="008C7224">
        <w:rPr>
          <w:rFonts w:cs="Arial"/>
          <w:rtl/>
        </w:rPr>
        <w:t xml:space="preserve"> אבל בגג העשוי לצל או להגן מפני הגשמים בודאי לכו"ע יש בזה איסורא וכמו שכתבנו במ"ב סק"כ ועיין לקמן במה שכתבנו לענין נשיאת אמבריל"ו</w:t>
      </w:r>
      <w:r>
        <w:rPr>
          <w:rFonts w:cs="Arial" w:hint="cs"/>
          <w:rtl/>
        </w:rPr>
        <w:t>, ביאור הלכה (ד"ה מטות שלנו).</w:t>
      </w:r>
    </w:p>
  </w:footnote>
  <w:footnote w:id="2338">
    <w:p w14:paraId="2910873D" w14:textId="77777777" w:rsidR="00057D98" w:rsidRPr="008C1C8E" w:rsidRDefault="00057D9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פרש"י כמו מטה גללניתא דכירה (מז:) והוא שם מקום, ומפרקין מטותיהן וכסאותן וטוענין אותן עמהן, וחוזרין ומחזירין אותן, ואסור גזרה שמא יתקע בחוזק. וכתבו התוס' </w:t>
      </w:r>
      <w:r w:rsidRPr="008C1C8E">
        <w:rPr>
          <w:rFonts w:asciiTheme="minorBidi" w:hAnsiTheme="minorBidi"/>
          <w:sz w:val="16"/>
          <w:szCs w:val="16"/>
          <w:rtl/>
        </w:rPr>
        <w:t>(ד"ה כסא גלין)</w:t>
      </w:r>
      <w:r w:rsidRPr="008C1C8E">
        <w:rPr>
          <w:rFonts w:asciiTheme="minorBidi" w:hAnsiTheme="minorBidi"/>
          <w:rtl/>
        </w:rPr>
        <w:t xml:space="preserve"> דאין נראה, דהרי כולה שמעתין מיירי באיסור אהל, אלא היינו מטה שפורסין עליה עור ואסור משום אהל כשמושיב תחלה המטה ואח"כ פורס העור דהוי ממטה למעלה ואסיר</w:t>
      </w:r>
      <w:r>
        <w:rPr>
          <w:rFonts w:asciiTheme="minorBidi" w:hAnsiTheme="minorBidi" w:hint="cs"/>
          <w:rtl/>
        </w:rPr>
        <w:t>, ב"י</w:t>
      </w:r>
      <w:r w:rsidRPr="008C1C8E">
        <w:rPr>
          <w:rFonts w:asciiTheme="minorBidi" w:hAnsiTheme="minorBidi"/>
          <w:rtl/>
        </w:rPr>
        <w:t xml:space="preserve">. </w:t>
      </w:r>
    </w:p>
  </w:footnote>
  <w:footnote w:id="2339">
    <w:p w14:paraId="7A210553" w14:textId="77777777" w:rsidR="00057D98" w:rsidRPr="008C1C8E" w:rsidRDefault="00057D9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דאהל עראי נינהו, וכסא גלין נמי גזרה שמא יתקע בחוזק, רש"י. </w:t>
      </w:r>
    </w:p>
  </w:footnote>
  <w:footnote w:id="2340">
    <w:p w14:paraId="5FD63D02" w14:textId="77777777" w:rsidR="00057D98" w:rsidRPr="008C1C8E" w:rsidRDefault="00057D9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שלנו, המחוברת ועומדת, אם היתה זקופה או מוטה על צדיה - מותר לנטותה לישבה על רגליה ואף על גב דהשתא עביד אהל - שרי, דלא מידי עביד אלא ליתובא בעלמא, רש"י.</w:t>
      </w:r>
    </w:p>
  </w:footnote>
  <w:footnote w:id="2341">
    <w:p w14:paraId="38EF594F" w14:textId="77777777" w:rsidR="00057D98" w:rsidRPr="008C1C8E" w:rsidRDefault="00057D9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כך שמו, ובלעז פלודשטוייל"י (כסא מתקפל), ועליונו של עור ומקפלין אותו, וכשמסלקין אותו סומכין אותו לכותל, וכשרוצה לישב עליו נוטהו ויושב על ארבע רגלים, רש"י.</w:t>
      </w:r>
    </w:p>
  </w:footnote>
  <w:footnote w:id="2342">
    <w:p w14:paraId="5141EE89" w14:textId="0EBD6F5C" w:rsidR="00057D98" w:rsidRPr="008C1C8E" w:rsidRDefault="00057D9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עשוי כעין כסא טרסקל אבל עור הפרוש עליו נקוב לבית הכסא, מותר לנטותו לכתחילה דהא עביד וקאי, רש"י. </w:t>
      </w:r>
    </w:p>
  </w:footnote>
  <w:footnote w:id="2343">
    <w:p w14:paraId="6968D881" w14:textId="77777777" w:rsidR="00057D98" w:rsidRDefault="00057D98" w:rsidP="00285819">
      <w:pPr>
        <w:pStyle w:val="a7"/>
      </w:pPr>
      <w:r>
        <w:rPr>
          <w:rStyle w:val="a9"/>
        </w:rPr>
        <w:footnoteRef/>
      </w:r>
      <w:r>
        <w:rPr>
          <w:rtl/>
        </w:rPr>
        <w:t xml:space="preserve"> </w:t>
      </w:r>
      <w:r>
        <w:rPr>
          <w:rFonts w:hint="cs"/>
          <w:rtl/>
        </w:rPr>
        <w:t xml:space="preserve">וז"ל- </w:t>
      </w:r>
      <w:r w:rsidRPr="00B6715C">
        <w:rPr>
          <w:rFonts w:asciiTheme="minorBidi" w:hAnsiTheme="minorBidi" w:cs="Arial"/>
          <w:rtl/>
        </w:rPr>
        <w:t xml:space="preserve">וכן מטה שמעמידין אותה אח"כ פורשין עליה עור </w:t>
      </w:r>
      <w:r>
        <w:rPr>
          <w:rFonts w:asciiTheme="minorBidi" w:hAnsiTheme="minorBidi" w:cs="Arial" w:hint="cs"/>
          <w:rtl/>
        </w:rPr>
        <w:t xml:space="preserve">- </w:t>
      </w:r>
      <w:r w:rsidRPr="00B6715C">
        <w:rPr>
          <w:rFonts w:asciiTheme="minorBidi" w:hAnsiTheme="minorBidi" w:cs="Arial"/>
          <w:rtl/>
        </w:rPr>
        <w:t>דמי לאהל ואסור להעמיד ולפרוש עליה</w:t>
      </w:r>
      <w:r>
        <w:rPr>
          <w:rFonts w:asciiTheme="minorBidi" w:hAnsiTheme="minorBidi" w:cs="Arial" w:hint="cs"/>
          <w:rtl/>
        </w:rPr>
        <w:t>.</w:t>
      </w:r>
      <w:r w:rsidRPr="00B6715C">
        <w:rPr>
          <w:rFonts w:asciiTheme="minorBidi" w:hAnsiTheme="minorBidi" w:cs="Arial"/>
          <w:rtl/>
        </w:rPr>
        <w:t xml:space="preserve"> ואם פירש אינו חייב חטאת</w:t>
      </w:r>
      <w:r>
        <w:rPr>
          <w:rFonts w:asciiTheme="minorBidi" w:hAnsiTheme="minorBidi" w:cs="Arial" w:hint="cs"/>
          <w:rtl/>
        </w:rPr>
        <w:t>.</w:t>
      </w:r>
    </w:p>
  </w:footnote>
  <w:footnote w:id="2344">
    <w:p w14:paraId="7646CBCA" w14:textId="77777777" w:rsidR="00057D98" w:rsidRDefault="00057D98" w:rsidP="00285819">
      <w:pPr>
        <w:pStyle w:val="a7"/>
      </w:pPr>
      <w:r>
        <w:rPr>
          <w:rStyle w:val="a9"/>
        </w:rPr>
        <w:footnoteRef/>
      </w:r>
      <w:r>
        <w:rPr>
          <w:rtl/>
        </w:rPr>
        <w:t xml:space="preserve"> </w:t>
      </w:r>
      <w:r>
        <w:rPr>
          <w:rFonts w:cs="Arial"/>
          <w:rtl/>
        </w:rPr>
        <w:t>וזה פשוט מהדינים שנתבארו בסמוך</w:t>
      </w:r>
      <w:r>
        <w:rPr>
          <w:rFonts w:cs="Arial" w:hint="cs"/>
          <w:rtl/>
        </w:rPr>
        <w:t>, ב"י.</w:t>
      </w:r>
      <w:r>
        <w:rPr>
          <w:rFonts w:hint="cs"/>
          <w:rtl/>
        </w:rPr>
        <w:t xml:space="preserve"> הב"י כתב כן על דברי הרשב"א אע"ג דלא סבירא ליה כוותיה לעניין איסור במטה שלנו שאין לה מחיצות עד לארץ. וכוונת הב"י לפסוק כהרשב"א בתנאי שמדובר במטה כמו שהעמידו התוס', היינו שמחיצותיה מגיעות לארץ.</w:t>
      </w:r>
    </w:p>
  </w:footnote>
  <w:footnote w:id="2345">
    <w:p w14:paraId="45ADA6D2" w14:textId="77777777" w:rsidR="004E5E90" w:rsidRDefault="004E5E90" w:rsidP="00285819">
      <w:pPr>
        <w:pStyle w:val="a7"/>
      </w:pPr>
      <w:r>
        <w:rPr>
          <w:rStyle w:val="a9"/>
        </w:rPr>
        <w:footnoteRef/>
      </w:r>
      <w:r>
        <w:rPr>
          <w:rtl/>
        </w:rPr>
        <w:t xml:space="preserve"> </w:t>
      </w:r>
      <w:r w:rsidRPr="00225EB0">
        <w:rPr>
          <w:rFonts w:cs="Arial"/>
          <w:rtl/>
        </w:rPr>
        <w:t>היינו גללניתא, שפורקה ומחזירה, והוא שם מקום, לשון אחר: קרמנאי - מוכרי בגדי פשתן מוכרין עליהן</w:t>
      </w:r>
      <w:r>
        <w:rPr>
          <w:rFonts w:cs="Arial" w:hint="cs"/>
          <w:rtl/>
        </w:rPr>
        <w:t>, רש"י.</w:t>
      </w:r>
    </w:p>
  </w:footnote>
  <w:footnote w:id="2346">
    <w:p w14:paraId="31E59E8E" w14:textId="77777777" w:rsidR="004E5E90" w:rsidRDefault="004E5E90" w:rsidP="00285819">
      <w:pPr>
        <w:pStyle w:val="a7"/>
      </w:pPr>
      <w:r>
        <w:rPr>
          <w:rStyle w:val="a9"/>
        </w:rPr>
        <w:footnoteRef/>
      </w:r>
      <w:r>
        <w:rPr>
          <w:rtl/>
        </w:rPr>
        <w:t xml:space="preserve"> </w:t>
      </w:r>
      <w:r w:rsidRPr="00225EB0">
        <w:rPr>
          <w:rFonts w:cs="Arial"/>
          <w:rtl/>
        </w:rPr>
        <w:t>כרך עליה חוט</w:t>
      </w:r>
      <w:r>
        <w:rPr>
          <w:rFonts w:cs="Arial" w:hint="cs"/>
          <w:rtl/>
        </w:rPr>
        <w:t>, רש"י.</w:t>
      </w:r>
    </w:p>
  </w:footnote>
  <w:footnote w:id="2347">
    <w:p w14:paraId="51008660" w14:textId="77777777" w:rsidR="004E5E90" w:rsidRDefault="004E5E90" w:rsidP="00285819">
      <w:pPr>
        <w:pStyle w:val="a7"/>
      </w:pPr>
      <w:r>
        <w:rPr>
          <w:rStyle w:val="a9"/>
        </w:rPr>
        <w:footnoteRef/>
      </w:r>
      <w:r>
        <w:rPr>
          <w:rtl/>
        </w:rPr>
        <w:t xml:space="preserve"> </w:t>
      </w:r>
      <w:r w:rsidRPr="00225EB0">
        <w:rPr>
          <w:rFonts w:cs="Arial"/>
          <w:rtl/>
        </w:rPr>
        <w:t>מטה שהיתה זקופה, והוא מושיבה על רגליה</w:t>
      </w:r>
      <w:r>
        <w:rPr>
          <w:rFonts w:cs="Arial" w:hint="cs"/>
          <w:rtl/>
        </w:rPr>
        <w:t>, רש"י.</w:t>
      </w:r>
      <w:r>
        <w:rPr>
          <w:rFonts w:hint="cs"/>
          <w:rtl/>
        </w:rPr>
        <w:t xml:space="preserve"> </w:t>
      </w:r>
    </w:p>
  </w:footnote>
  <w:footnote w:id="2348">
    <w:p w14:paraId="1C2FF415" w14:textId="77777777" w:rsidR="004E5E90" w:rsidRDefault="004E5E90" w:rsidP="00285819">
      <w:pPr>
        <w:pStyle w:val="a7"/>
      </w:pPr>
      <w:r>
        <w:rPr>
          <w:rStyle w:val="a9"/>
        </w:rPr>
        <w:footnoteRef/>
      </w:r>
      <w:r>
        <w:rPr>
          <w:rtl/>
        </w:rPr>
        <w:t xml:space="preserve"> </w:t>
      </w:r>
      <w:r w:rsidRPr="00225EB0">
        <w:rPr>
          <w:rFonts w:cs="Arial"/>
          <w:rtl/>
        </w:rPr>
        <w:t>בלילי שבת ראיתים פרוסות, ולבקר ראיתים מושלכים לארץ, אלמא: מותר לפורקה, והכי נמי מותר לנטותה</w:t>
      </w:r>
      <w:r>
        <w:rPr>
          <w:rFonts w:cs="Arial" w:hint="cs"/>
          <w:rtl/>
        </w:rPr>
        <w:t>, רש"י.</w:t>
      </w:r>
    </w:p>
  </w:footnote>
  <w:footnote w:id="2349">
    <w:p w14:paraId="7B3E39D5" w14:textId="7DD156EB" w:rsidR="00F85FFC" w:rsidRDefault="00F85FFC" w:rsidP="00285819">
      <w:pPr>
        <w:pStyle w:val="a7"/>
      </w:pPr>
      <w:r>
        <w:rPr>
          <w:rStyle w:val="a9"/>
        </w:rPr>
        <w:footnoteRef/>
      </w:r>
      <w:r>
        <w:rPr>
          <w:rtl/>
        </w:rPr>
        <w:t xml:space="preserve"> </w:t>
      </w:r>
      <w:r w:rsidRPr="00F85FFC">
        <w:rPr>
          <w:rFonts w:cs="Arial"/>
          <w:rtl/>
        </w:rPr>
        <w:t>ולפי המבואר לעיל בס"ג ע"כ מיירי הכא בשיש לה מחיצות המגיעות לארץ אבל במטה שלנו מותר בכל גווני</w:t>
      </w:r>
      <w:r>
        <w:rPr>
          <w:rFonts w:cs="Arial" w:hint="cs"/>
          <w:rtl/>
        </w:rPr>
        <w:t xml:space="preserve">, </w:t>
      </w:r>
      <w:r w:rsidRPr="00F85FFC">
        <w:rPr>
          <w:rFonts w:cs="Arial" w:hint="cs"/>
          <w:b/>
          <w:bCs/>
          <w:rtl/>
        </w:rPr>
        <w:t>משנ"ב</w:t>
      </w:r>
      <w:r>
        <w:rPr>
          <w:rFonts w:cs="Arial" w:hint="cs"/>
          <w:rtl/>
        </w:rPr>
        <w:t xml:space="preserve"> (סקכ"ג).</w:t>
      </w:r>
      <w:r w:rsidR="00C27547">
        <w:rPr>
          <w:rFonts w:hint="cs"/>
          <w:rtl/>
        </w:rPr>
        <w:t xml:space="preserve"> וכ"כ הבית מאיר (סי' שטו ד"ה וע"פ דברינו).</w:t>
      </w:r>
      <w:r w:rsidRPr="00F85FFC">
        <w:rPr>
          <w:rtl/>
        </w:rPr>
        <w:t xml:space="preserve"> </w:t>
      </w:r>
      <w:r w:rsidR="00D31228">
        <w:rPr>
          <w:rFonts w:hint="cs"/>
          <w:rtl/>
        </w:rPr>
        <w:t xml:space="preserve">או שמדובר במטה שיש לה רק שתי מחיצות, וכיון שצריך לאוירה גם התוס' יודו בזה, משא"כ בשלחן שאינו צריך לאווירו ואינו צריך לשנות סדר בנייתו אא"כ יש ארבע מחיצות, ע"פ ט"ז (סק"ד). </w:t>
      </w:r>
      <w:r w:rsidRPr="00F85FFC">
        <w:rPr>
          <w:rFonts w:cs="Arial"/>
          <w:rtl/>
        </w:rPr>
        <w:t>וגם מיירי שהעמיד עתה אותה בשבת במקום הזה כדי לפרוס עליה, וכן מדוקדק לשון הטור, דאם היתה עומדת פה מבעוד יום הרי נעשו המחיצות מבעוד יום ולית בזה משום אהל עראי, וכנ"ל, ולפי זה משכחת לה לענין איסור דרבנן דסתירה חמור מבנין, דבסתירה בודאי אפילו הכל נעשה מבעוד יום שייך בהו שם סתירה</w:t>
      </w:r>
      <w:r>
        <w:rPr>
          <w:rFonts w:cs="Arial" w:hint="cs"/>
          <w:rtl/>
        </w:rPr>
        <w:t xml:space="preserve">, </w:t>
      </w:r>
      <w:r w:rsidRPr="00F85FFC">
        <w:rPr>
          <w:rFonts w:cs="Arial" w:hint="cs"/>
          <w:b/>
          <w:bCs/>
          <w:rtl/>
        </w:rPr>
        <w:t>שער הציון</w:t>
      </w:r>
      <w:r>
        <w:rPr>
          <w:rFonts w:cs="Arial" w:hint="cs"/>
          <w:rtl/>
        </w:rPr>
        <w:t xml:space="preserve"> (סקל"א).</w:t>
      </w:r>
    </w:p>
  </w:footnote>
  <w:footnote w:id="2350">
    <w:p w14:paraId="56C485D4" w14:textId="4A417666" w:rsidR="00F85FFC" w:rsidRDefault="00F85FFC" w:rsidP="00285819">
      <w:pPr>
        <w:pStyle w:val="a7"/>
      </w:pPr>
      <w:r>
        <w:rPr>
          <w:rStyle w:val="a9"/>
        </w:rPr>
        <w:footnoteRef/>
      </w:r>
      <w:r>
        <w:rPr>
          <w:rtl/>
        </w:rPr>
        <w:t xml:space="preserve"> </w:t>
      </w:r>
      <w:r w:rsidRPr="00C90483">
        <w:rPr>
          <w:rFonts w:asciiTheme="minorBidi" w:hAnsiTheme="minorBidi" w:cs="Arial"/>
          <w:rtl/>
        </w:rPr>
        <w:t>עיין במ"ב ודע דאפילו אם יש לה מחיצות [וה"ה לדעת הרשב"א דמחמיר אפילו כשאין לה מחיצות] ג"כ יש עצה בפריסת הסדין אף שיש ג"ט בין חבל לחבל דהיינו שיאחזו האנשים הסדין או הכר באויר ויכניס אחר את המטה תחתיה וכיון שהוא שלא כדרך בנין לעשות תחלה הגג ואח"כ יכניס תחתיה מה שלמטה מהגג התירו באהל עראי וכדלעיל בס"ג</w:t>
      </w:r>
      <w:r>
        <w:rPr>
          <w:rFonts w:asciiTheme="minorBidi" w:hAnsiTheme="minorBidi" w:cs="Arial" w:hint="cs"/>
          <w:rtl/>
        </w:rPr>
        <w:t>,</w:t>
      </w:r>
      <w:r>
        <w:rPr>
          <w:rFonts w:asciiTheme="minorBidi" w:hAnsiTheme="minorBidi" w:hint="cs"/>
          <w:rtl/>
        </w:rPr>
        <w:t xml:space="preserve"> ביאור הלכה (ד"ה מטה שהיא).</w:t>
      </w:r>
    </w:p>
  </w:footnote>
  <w:footnote w:id="2351">
    <w:p w14:paraId="26B560EE" w14:textId="279387FD" w:rsidR="008757A5" w:rsidRDefault="008757A5" w:rsidP="00285819">
      <w:pPr>
        <w:pStyle w:val="a7"/>
      </w:pPr>
      <w:r>
        <w:rPr>
          <w:rStyle w:val="a9"/>
        </w:rPr>
        <w:footnoteRef/>
      </w:r>
      <w:r>
        <w:rPr>
          <w:rtl/>
        </w:rPr>
        <w:t xml:space="preserve"> </w:t>
      </w:r>
      <w:r>
        <w:rPr>
          <w:rFonts w:hint="cs"/>
          <w:rtl/>
        </w:rPr>
        <w:t xml:space="preserve">וכל שכן שמותר להושיב </w:t>
      </w:r>
      <w:r w:rsidRPr="00B6715C">
        <w:rPr>
          <w:rFonts w:asciiTheme="minorBidi" w:hAnsiTheme="minorBidi" w:cs="Arial"/>
          <w:rtl/>
        </w:rPr>
        <w:t xml:space="preserve">מטה כעין שלנו </w:t>
      </w:r>
      <w:r>
        <w:rPr>
          <w:rFonts w:asciiTheme="minorBidi" w:hAnsiTheme="minorBidi" w:cs="Arial" w:hint="cs"/>
          <w:rtl/>
        </w:rPr>
        <w:t xml:space="preserve">על רגליה </w:t>
      </w:r>
      <w:r w:rsidRPr="00B6715C">
        <w:rPr>
          <w:rFonts w:asciiTheme="minorBidi" w:hAnsiTheme="minorBidi" w:cs="Arial"/>
          <w:rtl/>
        </w:rPr>
        <w:t>אם היתה זקופה או מוטה על צדה</w:t>
      </w:r>
      <w:r>
        <w:rPr>
          <w:rFonts w:asciiTheme="minorBidi" w:hAnsiTheme="minorBidi" w:cs="Arial" w:hint="cs"/>
          <w:rtl/>
        </w:rPr>
        <w:t>,</w:t>
      </w:r>
      <w:r w:rsidRPr="00B6715C">
        <w:rPr>
          <w:rFonts w:asciiTheme="minorBidi" w:hAnsiTheme="minorBidi" w:cs="Arial"/>
          <w:rtl/>
        </w:rPr>
        <w:t xml:space="preserve"> דלאו מידי עביד</w:t>
      </w:r>
      <w:r>
        <w:rPr>
          <w:rFonts w:asciiTheme="minorBidi" w:hAnsiTheme="minorBidi" w:cs="Arial" w:hint="cs"/>
          <w:rtl/>
        </w:rPr>
        <w:t>.</w:t>
      </w:r>
    </w:p>
  </w:footnote>
  <w:footnote w:id="2352">
    <w:p w14:paraId="6079EEE1"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חביות שמסדרים באוצר ומושיבין אחת על גבי שתים, רש"י.</w:t>
      </w:r>
    </w:p>
  </w:footnote>
  <w:footnote w:id="2353">
    <w:p w14:paraId="4007B9CA" w14:textId="77777777" w:rsidR="00CE34E0" w:rsidRPr="008C1C8E" w:rsidRDefault="00CE34E0"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w:t>
      </w:r>
      <w:r w:rsidRPr="00350D72">
        <w:rPr>
          <w:rFonts w:asciiTheme="minorBidi" w:hAnsiTheme="minorBidi" w:cs="Arial"/>
          <w:rtl/>
        </w:rPr>
        <w:t>ואע</w:t>
      </w:r>
      <w:r>
        <w:rPr>
          <w:rFonts w:asciiTheme="minorBidi" w:hAnsiTheme="minorBidi" w:cs="Arial" w:hint="cs"/>
          <w:rtl/>
        </w:rPr>
        <w:t>"</w:t>
      </w:r>
      <w:r w:rsidRPr="00350D72">
        <w:rPr>
          <w:rFonts w:asciiTheme="minorBidi" w:hAnsiTheme="minorBidi" w:cs="Arial"/>
          <w:rtl/>
        </w:rPr>
        <w:t>ג דאמר רב נחמן מותר לצדדן ביום טוב משמע לרבינו דלאו דוקא דמאי שנא יום טוב משבת לענין זה</w:t>
      </w:r>
      <w:r>
        <w:rPr>
          <w:rFonts w:asciiTheme="minorBidi" w:hAnsiTheme="minorBidi" w:hint="cs"/>
          <w:rtl/>
        </w:rPr>
        <w:t>, ב"י.</w:t>
      </w:r>
      <w:r w:rsidRPr="008C1C8E">
        <w:rPr>
          <w:rFonts w:asciiTheme="minorBidi" w:hAnsiTheme="minorBidi"/>
          <w:rtl/>
        </w:rPr>
        <w:t xml:space="preserve"> והשו"ע כ</w:t>
      </w:r>
      <w:r>
        <w:rPr>
          <w:rFonts w:asciiTheme="minorBidi" w:hAnsiTheme="minorBidi" w:hint="cs"/>
          <w:rtl/>
        </w:rPr>
        <w:t>תב</w:t>
      </w:r>
      <w:r w:rsidRPr="008C1C8E">
        <w:rPr>
          <w:rFonts w:asciiTheme="minorBidi" w:hAnsiTheme="minorBidi"/>
          <w:rtl/>
        </w:rPr>
        <w:t xml:space="preserve"> דין זה בסימן שיב סע' י.</w:t>
      </w:r>
    </w:p>
  </w:footnote>
  <w:footnote w:id="2354">
    <w:p w14:paraId="4A18138E" w14:textId="4C246AAE" w:rsidR="00BA7D72" w:rsidRDefault="00BA7D72" w:rsidP="00285819">
      <w:pPr>
        <w:pStyle w:val="a7"/>
        <w:rPr>
          <w:rtl/>
        </w:rPr>
      </w:pPr>
      <w:r>
        <w:rPr>
          <w:rStyle w:val="a9"/>
        </w:rPr>
        <w:footnoteRef/>
      </w:r>
      <w:r>
        <w:rPr>
          <w:rtl/>
        </w:rPr>
        <w:t xml:space="preserve"> </w:t>
      </w:r>
      <w:r>
        <w:rPr>
          <w:rFonts w:hint="cs"/>
          <w:rtl/>
        </w:rPr>
        <w:t xml:space="preserve">בהערה (160) על הרשב"א הוצאת מוסד הרב קוק נכתב שכוונתו למה שכתבו התוס' </w:t>
      </w:r>
      <w:r w:rsidR="00EF6E80">
        <w:rPr>
          <w:rFonts w:hint="cs"/>
          <w:rtl/>
        </w:rPr>
        <w:t>(</w:t>
      </w:r>
      <w:r>
        <w:rPr>
          <w:rFonts w:hint="cs"/>
          <w:rtl/>
        </w:rPr>
        <w:t>בביצה ל</w:t>
      </w:r>
      <w:r w:rsidR="00EF6E80">
        <w:rPr>
          <w:rFonts w:hint="cs"/>
          <w:rtl/>
        </w:rPr>
        <w:t>ב: ד"ה מלמטה למעלה)</w:t>
      </w:r>
      <w:r>
        <w:rPr>
          <w:rFonts w:hint="cs"/>
          <w:rtl/>
        </w:rPr>
        <w:t xml:space="preserve"> בשם ר"ח</w:t>
      </w:r>
      <w:r w:rsidR="00EF6E80">
        <w:rPr>
          <w:rFonts w:hint="cs"/>
          <w:rtl/>
        </w:rPr>
        <w:t xml:space="preserve">, וז"ל התוס'- </w:t>
      </w:r>
      <w:r w:rsidR="00EF6E80" w:rsidRPr="00C85DFD">
        <w:rPr>
          <w:rFonts w:asciiTheme="minorBidi" w:hAnsiTheme="minorBidi" w:cs="Arial"/>
          <w:rtl/>
        </w:rPr>
        <w:t>וכן פר"ח גבי ביעתא כגון שיש ביצים מכאן וביצים מכאן וא' על גביהן והאור תחת אוירן</w:t>
      </w:r>
      <w:r w:rsidR="0070796E">
        <w:rPr>
          <w:rFonts w:asciiTheme="minorBidi" w:hAnsiTheme="minorBidi" w:cs="Arial" w:hint="cs"/>
          <w:rtl/>
        </w:rPr>
        <w:t>. עכ"ל</w:t>
      </w:r>
      <w:r w:rsidR="00EF6E80">
        <w:rPr>
          <w:rFonts w:asciiTheme="minorBidi" w:hAnsiTheme="minorBidi" w:cs="Arial" w:hint="cs"/>
          <w:rtl/>
        </w:rPr>
        <w:t>.</w:t>
      </w:r>
      <w:r w:rsidR="00EF6E80">
        <w:rPr>
          <w:rFonts w:hint="cs"/>
          <w:rtl/>
        </w:rPr>
        <w:t xml:space="preserve"> וקשה, חדא שאין זה פשט משמעות דבריו. ועוד, שכתבו </w:t>
      </w:r>
      <w:r w:rsidR="0070796E">
        <w:rPr>
          <w:rFonts w:hint="cs"/>
          <w:rtl/>
        </w:rPr>
        <w:t>"</w:t>
      </w:r>
      <w:r w:rsidR="00EF6E80" w:rsidRPr="0070796E">
        <w:rPr>
          <w:rFonts w:hint="cs"/>
          <w:b/>
          <w:bCs/>
          <w:rtl/>
        </w:rPr>
        <w:t>וכן</w:t>
      </w:r>
      <w:r w:rsidR="00EF6E80">
        <w:rPr>
          <w:rFonts w:hint="cs"/>
          <w:rtl/>
        </w:rPr>
        <w:t xml:space="preserve"> פירש ר"ח</w:t>
      </w:r>
      <w:r w:rsidR="0070796E">
        <w:rPr>
          <w:rFonts w:hint="cs"/>
          <w:rtl/>
        </w:rPr>
        <w:t>"</w:t>
      </w:r>
      <w:r w:rsidR="00EF6E80">
        <w:rPr>
          <w:rFonts w:hint="cs"/>
          <w:rtl/>
        </w:rPr>
        <w:t>, משמע דאלעיל קאי, ולעיל מינה לא הזכירו כלום מזה. וצל"ע מהיכן הוציא הרשב"א כן.</w:t>
      </w:r>
    </w:p>
  </w:footnote>
  <w:footnote w:id="2355">
    <w:p w14:paraId="77E07C2F" w14:textId="01543482" w:rsidR="005B2660" w:rsidRDefault="005B2660" w:rsidP="00285819">
      <w:pPr>
        <w:pStyle w:val="a7"/>
      </w:pPr>
      <w:r>
        <w:rPr>
          <w:rStyle w:val="a9"/>
        </w:rPr>
        <w:footnoteRef/>
      </w:r>
      <w:r>
        <w:rPr>
          <w:rtl/>
        </w:rPr>
        <w:t xml:space="preserve"> </w:t>
      </w:r>
      <w:r>
        <w:rPr>
          <w:rFonts w:cs="Arial" w:hint="cs"/>
          <w:rtl/>
        </w:rPr>
        <w:t>ותימא</w:t>
      </w:r>
      <w:r w:rsidRPr="007A6ABD">
        <w:rPr>
          <w:rFonts w:cs="Arial"/>
          <w:rtl/>
        </w:rPr>
        <w:t xml:space="preserve"> דהא אכתי קשה גבי מטה אמאי </w:t>
      </w:r>
      <w:r>
        <w:rPr>
          <w:rFonts w:cs="Arial" w:hint="cs"/>
          <w:rtl/>
        </w:rPr>
        <w:t>ה</w:t>
      </w:r>
      <w:r w:rsidRPr="007A6ABD">
        <w:rPr>
          <w:rFonts w:cs="Arial"/>
          <w:rtl/>
        </w:rPr>
        <w:t>צריך</w:t>
      </w:r>
      <w:r>
        <w:rPr>
          <w:rFonts w:cs="Arial" w:hint="cs"/>
          <w:rtl/>
        </w:rPr>
        <w:t xml:space="preserve"> הרא"ש</w:t>
      </w:r>
      <w:r w:rsidRPr="007A6ABD">
        <w:rPr>
          <w:rFonts w:cs="Arial"/>
          <w:rtl/>
        </w:rPr>
        <w:t xml:space="preserve"> ד' מחיצות</w:t>
      </w:r>
      <w:r>
        <w:rPr>
          <w:rFonts w:cs="Arial" w:hint="cs"/>
          <w:rtl/>
        </w:rPr>
        <w:t>,</w:t>
      </w:r>
      <w:r w:rsidRPr="007A6ABD">
        <w:rPr>
          <w:rFonts w:cs="Arial"/>
          <w:rtl/>
        </w:rPr>
        <w:t xml:space="preserve"> הלא צריך לאויר תחתיה לסנדלין</w:t>
      </w:r>
      <w:r>
        <w:rPr>
          <w:rFonts w:cs="Arial" w:hint="cs"/>
          <w:rtl/>
        </w:rPr>
        <w:t>.</w:t>
      </w:r>
    </w:p>
  </w:footnote>
  <w:footnote w:id="2356">
    <w:p w14:paraId="2ABD93D4" w14:textId="3A718C2C" w:rsidR="00BC26F5" w:rsidRDefault="00BC26F5" w:rsidP="00285819">
      <w:pPr>
        <w:pStyle w:val="a7"/>
        <w:rPr>
          <w:rtl/>
        </w:rPr>
      </w:pPr>
      <w:r>
        <w:rPr>
          <w:rStyle w:val="a9"/>
        </w:rPr>
        <w:footnoteRef/>
      </w:r>
      <w:r>
        <w:rPr>
          <w:rtl/>
        </w:rPr>
        <w:t xml:space="preserve"> </w:t>
      </w:r>
      <w:r>
        <w:rPr>
          <w:rFonts w:hint="cs"/>
          <w:rtl/>
        </w:rPr>
        <w:t>שלא כדברי הרא"ש שהצריך ד' מחיצות גבי מטה, ואפשר דלאו דוקא נקט, או שרק במטה צריך ד' מחיצות.</w:t>
      </w:r>
    </w:p>
  </w:footnote>
  <w:footnote w:id="2357">
    <w:p w14:paraId="156A2B83" w14:textId="1424C202" w:rsidR="001317B0" w:rsidRDefault="001317B0" w:rsidP="00285819">
      <w:pPr>
        <w:pStyle w:val="a7"/>
        <w:rPr>
          <w:rtl/>
        </w:rPr>
      </w:pPr>
      <w:r>
        <w:rPr>
          <w:rStyle w:val="a9"/>
        </w:rPr>
        <w:footnoteRef/>
      </w:r>
      <w:r>
        <w:rPr>
          <w:rtl/>
        </w:rPr>
        <w:t xml:space="preserve"> </w:t>
      </w:r>
      <w:r>
        <w:rPr>
          <w:rFonts w:hint="cs"/>
          <w:rtl/>
        </w:rPr>
        <w:t>השו"ע פסק כדברי הרשב"א שמובא בסע' הקודם, אך לא מטעמו.</w:t>
      </w:r>
      <w:r w:rsidR="009B3AAB">
        <w:rPr>
          <w:rFonts w:hint="cs"/>
          <w:rtl/>
        </w:rPr>
        <w:t xml:space="preserve"> וכתב הגר"א (</w:t>
      </w:r>
      <w:r w:rsidR="00BD405E">
        <w:rPr>
          <w:rFonts w:hint="cs"/>
          <w:rtl/>
        </w:rPr>
        <w:t>סע' ז</w:t>
      </w:r>
      <w:r w:rsidR="009B3AAB">
        <w:rPr>
          <w:rFonts w:hint="cs"/>
          <w:rtl/>
        </w:rPr>
        <w:t xml:space="preserve">) דשרי הכא </w:t>
      </w:r>
      <w:r w:rsidR="009B3AAB" w:rsidRPr="009B3AAB">
        <w:rPr>
          <w:rFonts w:cs="Arial"/>
          <w:rtl/>
        </w:rPr>
        <w:t xml:space="preserve">ממש"ש </w:t>
      </w:r>
      <w:r w:rsidR="009B3AAB">
        <w:rPr>
          <w:rFonts w:cs="Arial" w:hint="cs"/>
          <w:rtl/>
        </w:rPr>
        <w:t>(</w:t>
      </w:r>
      <w:r w:rsidR="009B3AAB" w:rsidRPr="009B3AAB">
        <w:rPr>
          <w:rFonts w:cs="Arial"/>
          <w:rtl/>
        </w:rPr>
        <w:t>קלט</w:t>
      </w:r>
      <w:r w:rsidR="009B3AAB">
        <w:rPr>
          <w:rFonts w:cs="Arial" w:hint="cs"/>
          <w:rtl/>
        </w:rPr>
        <w:t>:)</w:t>
      </w:r>
      <w:r w:rsidR="009B3AAB" w:rsidRPr="009B3AAB">
        <w:rPr>
          <w:rFonts w:cs="Arial"/>
          <w:rtl/>
        </w:rPr>
        <w:t xml:space="preserve"> מערים אדם כו'</w:t>
      </w:r>
      <w:r w:rsidR="009B3AAB">
        <w:rPr>
          <w:rFonts w:cs="Arial" w:hint="cs"/>
          <w:rtl/>
        </w:rPr>
        <w:t>.</w:t>
      </w:r>
      <w:r w:rsidR="009B3AAB" w:rsidRPr="009B3AAB">
        <w:rPr>
          <w:rFonts w:cs="Arial"/>
          <w:rtl/>
        </w:rPr>
        <w:t xml:space="preserve"> וערש"י ד"ה מערים כו'</w:t>
      </w:r>
      <w:r w:rsidR="009B3AAB">
        <w:rPr>
          <w:rFonts w:cs="Arial" w:hint="cs"/>
          <w:rtl/>
        </w:rPr>
        <w:t>.</w:t>
      </w:r>
      <w:r w:rsidR="009B3AAB" w:rsidRPr="009B3AAB">
        <w:rPr>
          <w:rFonts w:cs="Arial"/>
          <w:rtl/>
        </w:rPr>
        <w:t xml:space="preserve"> ולשיטתו אזיל שכ' שם קל"ח א' אלא אמר אביי מדרבנן היא כו' ושם חומרי מתנייתא דלאו בכולהו משום אהל</w:t>
      </w:r>
      <w:r w:rsidR="009B3AAB">
        <w:rPr>
          <w:rFonts w:cs="Arial" w:hint="cs"/>
          <w:rtl/>
        </w:rPr>
        <w:t>.</w:t>
      </w:r>
      <w:r w:rsidR="009B3AAB" w:rsidRPr="009B3AAB">
        <w:rPr>
          <w:rFonts w:cs="Arial"/>
          <w:rtl/>
        </w:rPr>
        <w:t xml:space="preserve"> אבל תוס' הקשו עליו ד"ה כסא גלין ע"ש</w:t>
      </w:r>
      <w:r w:rsidR="009B3AAB">
        <w:rPr>
          <w:rFonts w:cs="Arial" w:hint="cs"/>
          <w:rtl/>
        </w:rPr>
        <w:t>.</w:t>
      </w:r>
      <w:r w:rsidR="009B3AAB" w:rsidRPr="009B3AAB">
        <w:rPr>
          <w:rFonts w:cs="Arial"/>
          <w:rtl/>
        </w:rPr>
        <w:t xml:space="preserve"> ואע"ג דאמרינן שם מדרבנן היא שלא יעשה כו' מ"מ משום אהל עראי הוא דאיסור אהל עראי משום זה וכמ"ש בתשובת הרמב"ם</w:t>
      </w:r>
      <w:r w:rsidR="009B3AAB">
        <w:rPr>
          <w:rFonts w:cs="Arial" w:hint="cs"/>
          <w:rtl/>
        </w:rPr>
        <w:t>.</w:t>
      </w:r>
      <w:r w:rsidR="009B3AAB" w:rsidRPr="009B3AAB">
        <w:rPr>
          <w:rFonts w:cs="Arial"/>
          <w:rtl/>
        </w:rPr>
        <w:t xml:space="preserve"> וראיית רש"י ממ"ש שם לתלות בה רמונים ואי משום אהל מה לי שמרים או רמונים וכן מש"ש והוא דתלה כו' וזה דחקו לרש"י. אבל א"א לומר כן דהא אמרי' שם קלז ב' השתא ר"א אוסופי אהל עראי לא מוספינן למיעבד כו' אלמא משום אהל עראי הוא</w:t>
      </w:r>
      <w:r w:rsidR="009B3AAB">
        <w:rPr>
          <w:rFonts w:cs="Arial" w:hint="cs"/>
          <w:rtl/>
        </w:rPr>
        <w:t>.</w:t>
      </w:r>
      <w:r w:rsidR="009B3AAB" w:rsidRPr="009B3AAB">
        <w:rPr>
          <w:rFonts w:cs="Arial"/>
          <w:rtl/>
        </w:rPr>
        <w:t xml:space="preserve"> ומה שדחקו לרש"י דלתלות רמונים שרי כפי מ"ש כאן ניחא</w:t>
      </w:r>
      <w:r w:rsidR="009B3AAB">
        <w:rPr>
          <w:rFonts w:cs="Arial" w:hint="cs"/>
          <w:rtl/>
        </w:rPr>
        <w:t>.</w:t>
      </w:r>
      <w:r w:rsidR="009B3AAB" w:rsidRPr="009B3AAB">
        <w:rPr>
          <w:rFonts w:cs="Arial"/>
          <w:rtl/>
        </w:rPr>
        <w:t xml:space="preserve"> ועתוס' הנ"ל ד"ה כסא</w:t>
      </w:r>
      <w:r w:rsidR="009B3AAB">
        <w:rPr>
          <w:rFonts w:cs="Arial" w:hint="cs"/>
          <w:rtl/>
        </w:rPr>
        <w:t>.</w:t>
      </w:r>
      <w:r w:rsidR="009B3AAB" w:rsidRPr="009B3AAB">
        <w:rPr>
          <w:rFonts w:cs="Arial"/>
          <w:rtl/>
        </w:rPr>
        <w:t xml:space="preserve"> ותי' הרשב"א שם בשם רבו דתולה לשמרים צריך לחלל שתחתיו משא"כ ברמונים</w:t>
      </w:r>
      <w:r w:rsidR="009B3AAB">
        <w:rPr>
          <w:rFonts w:cs="Arial" w:hint="cs"/>
          <w:rtl/>
        </w:rPr>
        <w:t>.</w:t>
      </w:r>
      <w:r w:rsidR="009B3AAB" w:rsidRPr="009B3AAB">
        <w:rPr>
          <w:rFonts w:cs="Arial"/>
          <w:rtl/>
        </w:rPr>
        <w:t xml:space="preserve"> וע' ברשב"א שם</w:t>
      </w:r>
      <w:r w:rsidR="009B3AAB">
        <w:rPr>
          <w:rFonts w:cs="Arial" w:hint="cs"/>
          <w:rtl/>
        </w:rPr>
        <w:t>.</w:t>
      </w:r>
      <w:r w:rsidR="009B3AAB" w:rsidRPr="009B3AAB">
        <w:rPr>
          <w:rFonts w:cs="Arial"/>
          <w:rtl/>
        </w:rPr>
        <w:t xml:space="preserve"> ואף שיישב דברי רש"י לא כתב אלא ליישב דבריו</w:t>
      </w:r>
      <w:r w:rsidR="009B3AAB">
        <w:rPr>
          <w:rFonts w:cs="Arial" w:hint="cs"/>
          <w:rtl/>
        </w:rPr>
        <w:t>.</w:t>
      </w:r>
      <w:r w:rsidR="009B3AAB" w:rsidRPr="009B3AAB">
        <w:rPr>
          <w:rFonts w:cs="Arial"/>
          <w:rtl/>
        </w:rPr>
        <w:t xml:space="preserve"> וכן תוס' הנ"ל ד"ה כסא לא ס"ל כן</w:t>
      </w:r>
      <w:r w:rsidR="009B3AAB">
        <w:rPr>
          <w:rFonts w:cs="Arial" w:hint="cs"/>
          <w:rtl/>
        </w:rPr>
        <w:t>.</w:t>
      </w:r>
      <w:r w:rsidR="009B3AAB" w:rsidRPr="009B3AAB">
        <w:rPr>
          <w:rFonts w:cs="Arial"/>
          <w:rtl/>
        </w:rPr>
        <w:t xml:space="preserve"> ועתוס' דעירובין </w:t>
      </w:r>
      <w:r w:rsidR="009B3AAB">
        <w:rPr>
          <w:rFonts w:cs="Arial" w:hint="cs"/>
          <w:rtl/>
        </w:rPr>
        <w:t>(קא.).</w:t>
      </w:r>
    </w:p>
  </w:footnote>
  <w:footnote w:id="2358">
    <w:p w14:paraId="3B9543F9" w14:textId="6CEAA11D"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ומזה הטעם נמי שרי לפרוס מפה על השלחן וקצות המפה תלויות למטה מן השלחן מכל צד דאין בזה משום אהל כיון דא"צ לאויר שתחת השלחן ועוד כיון שמה שמונח על השלחן אין בו אוהל מותר גם היוצא ממנו וכמ"ש בסמוך לענין סדין היוצא חוץ למטה</w:t>
      </w:r>
      <w:r w:rsidR="007C771D">
        <w:rPr>
          <w:rFonts w:asciiTheme="minorBidi" w:hAnsiTheme="minorBidi" w:hint="cs"/>
          <w:rtl/>
        </w:rPr>
        <w:t>.</w:t>
      </w:r>
      <w:r w:rsidR="007C771D" w:rsidRPr="007C771D">
        <w:rPr>
          <w:rtl/>
        </w:rPr>
        <w:t xml:space="preserve"> </w:t>
      </w:r>
      <w:r w:rsidR="007C771D" w:rsidRPr="007C771D">
        <w:rPr>
          <w:rFonts w:asciiTheme="minorBidi" w:hAnsiTheme="minorBidi" w:cs="Arial"/>
          <w:rtl/>
        </w:rPr>
        <w:t>וטעם זה כתב מו"ח ז"ל</w:t>
      </w:r>
      <w:r w:rsidR="007C771D">
        <w:rPr>
          <w:rFonts w:asciiTheme="minorBidi" w:hAnsiTheme="minorBidi" w:cs="Arial" w:hint="cs"/>
          <w:rtl/>
        </w:rPr>
        <w:t>.</w:t>
      </w:r>
      <w:r w:rsidR="007C771D" w:rsidRPr="007C771D">
        <w:rPr>
          <w:rFonts w:asciiTheme="minorBidi" w:hAnsiTheme="minorBidi" w:cs="Arial"/>
          <w:rtl/>
        </w:rPr>
        <w:t xml:space="preserve"> ושמעתי מי שמחמיר בזה והוא מפריז על מדותיו</w:t>
      </w:r>
      <w:r w:rsidR="007C771D">
        <w:rPr>
          <w:rFonts w:asciiTheme="minorBidi" w:hAnsiTheme="minorBidi" w:hint="cs"/>
          <w:rtl/>
        </w:rPr>
        <w:t>,</w:t>
      </w:r>
      <w:r w:rsidRPr="008C1C8E">
        <w:rPr>
          <w:rFonts w:asciiTheme="minorBidi" w:hAnsiTheme="minorBidi"/>
          <w:rtl/>
        </w:rPr>
        <w:t xml:space="preserve"> ט"ז (סק"ז).</w:t>
      </w:r>
    </w:p>
  </w:footnote>
  <w:footnote w:id="2359">
    <w:p w14:paraId="5E8679F3" w14:textId="74759915" w:rsidR="000C605D" w:rsidRDefault="000C605D" w:rsidP="00285819">
      <w:pPr>
        <w:pStyle w:val="a7"/>
      </w:pPr>
      <w:r>
        <w:rPr>
          <w:rStyle w:val="a9"/>
        </w:rPr>
        <w:footnoteRef/>
      </w:r>
      <w:r>
        <w:rPr>
          <w:rtl/>
        </w:rPr>
        <w:t xml:space="preserve"> </w:t>
      </w:r>
      <w:r>
        <w:rPr>
          <w:rFonts w:hint="cs"/>
          <w:rtl/>
        </w:rPr>
        <w:t>סימן - חובה לפתוח קצת.</w:t>
      </w:r>
      <w:r w:rsidR="009302CF">
        <w:rPr>
          <w:rFonts w:hint="cs"/>
          <w:rtl/>
        </w:rPr>
        <w:t xml:space="preserve"> וכן - קשה לישון חצוי.</w:t>
      </w:r>
    </w:p>
  </w:footnote>
  <w:footnote w:id="2360">
    <w:p w14:paraId="3C572600" w14:textId="03A20F10" w:rsidR="000C605D" w:rsidRDefault="000C605D" w:rsidP="00285819">
      <w:pPr>
        <w:pStyle w:val="a7"/>
      </w:pPr>
      <w:r>
        <w:rPr>
          <w:rStyle w:val="a9"/>
        </w:rPr>
        <w:footnoteRef/>
      </w:r>
      <w:r>
        <w:rPr>
          <w:rtl/>
        </w:rPr>
        <w:t xml:space="preserve"> </w:t>
      </w:r>
      <w:r w:rsidRPr="00350D72">
        <w:rPr>
          <w:rFonts w:asciiTheme="minorBidi" w:hAnsiTheme="minorBidi" w:cs="Arial"/>
          <w:rtl/>
        </w:rPr>
        <w:t>ו</w:t>
      </w:r>
      <w:r>
        <w:rPr>
          <w:rFonts w:asciiTheme="minorBidi" w:hAnsiTheme="minorBidi" w:cs="Arial" w:hint="cs"/>
          <w:rtl/>
        </w:rPr>
        <w:t xml:space="preserve">כן </w:t>
      </w:r>
      <w:r w:rsidRPr="00350D72">
        <w:rPr>
          <w:rFonts w:asciiTheme="minorBidi" w:hAnsiTheme="minorBidi" w:cs="Arial"/>
          <w:rtl/>
        </w:rPr>
        <w:t>איתא בפרק המוצא תפילין (עירובין קב.)</w:t>
      </w:r>
      <w:r>
        <w:rPr>
          <w:rFonts w:asciiTheme="minorBidi" w:hAnsiTheme="minorBidi" w:cs="Arial" w:hint="cs"/>
          <w:rtl/>
        </w:rPr>
        <w:t>.</w:t>
      </w:r>
    </w:p>
  </w:footnote>
  <w:footnote w:id="2361">
    <w:p w14:paraId="09E21970" w14:textId="366A74EF" w:rsidR="001317B0" w:rsidRDefault="001317B0" w:rsidP="00285819">
      <w:pPr>
        <w:pStyle w:val="a7"/>
        <w:rPr>
          <w:rtl/>
        </w:rPr>
      </w:pPr>
      <w:r>
        <w:rPr>
          <w:rStyle w:val="a9"/>
        </w:rPr>
        <w:footnoteRef/>
      </w:r>
      <w:r>
        <w:rPr>
          <w:rtl/>
        </w:rPr>
        <w:t xml:space="preserve"> </w:t>
      </w:r>
      <w:r w:rsidRPr="001317B0">
        <w:rPr>
          <w:rFonts w:cs="Arial"/>
          <w:rtl/>
        </w:rPr>
        <w:t>לשטוח טליתו על גבי ארבע יתידות לישן תחתיה, וראשיו מתכפלין לכאן ולכאן לצד הארץ והויא ליה לכתלים להגן מן החמה, דהוי אהלא</w:t>
      </w:r>
      <w:r>
        <w:rPr>
          <w:rFonts w:hint="cs"/>
          <w:rtl/>
        </w:rPr>
        <w:t>, רש"י.</w:t>
      </w:r>
    </w:p>
  </w:footnote>
  <w:footnote w:id="2362">
    <w:p w14:paraId="11187A9B" w14:textId="74BB32FF" w:rsidR="001317B0" w:rsidRDefault="001317B0" w:rsidP="00285819">
      <w:pPr>
        <w:pStyle w:val="a7"/>
      </w:pPr>
      <w:r>
        <w:rPr>
          <w:rStyle w:val="a9"/>
        </w:rPr>
        <w:footnoteRef/>
      </w:r>
      <w:r>
        <w:rPr>
          <w:rtl/>
        </w:rPr>
        <w:t xml:space="preserve"> </w:t>
      </w:r>
      <w:r w:rsidRPr="001317B0">
        <w:rPr>
          <w:rFonts w:cs="Arial"/>
          <w:rtl/>
        </w:rPr>
        <w:t>מבעוד יום</w:t>
      </w:r>
      <w:r>
        <w:rPr>
          <w:rFonts w:cs="Arial" w:hint="cs"/>
          <w:rtl/>
        </w:rPr>
        <w:t>, רש"י.</w:t>
      </w:r>
    </w:p>
  </w:footnote>
  <w:footnote w:id="2363">
    <w:p w14:paraId="3E6DF856" w14:textId="32D7B93C" w:rsidR="001317B0" w:rsidRDefault="001317B0" w:rsidP="00285819">
      <w:pPr>
        <w:pStyle w:val="a7"/>
        <w:rPr>
          <w:rtl/>
        </w:rPr>
      </w:pPr>
      <w:r>
        <w:rPr>
          <w:rStyle w:val="a9"/>
        </w:rPr>
        <w:footnoteRef/>
      </w:r>
      <w:r>
        <w:rPr>
          <w:rtl/>
        </w:rPr>
        <w:t xml:space="preserve"> </w:t>
      </w:r>
      <w:r w:rsidRPr="001317B0">
        <w:rPr>
          <w:rFonts w:cs="Arial"/>
          <w:rtl/>
        </w:rPr>
        <w:t>ונתנה על הנס שעל הקנוף כשהיא מכופלת, וכרך עליה חוט למשכה בו לפורסה לכאן ולכאן - מותר למושכה בו בשבת, דמוסיף על אהל עראי הוא, ואינו כעושה לכתחילה</w:t>
      </w:r>
      <w:r>
        <w:rPr>
          <w:rFonts w:hint="cs"/>
          <w:rtl/>
        </w:rPr>
        <w:t>, רש"י.</w:t>
      </w:r>
    </w:p>
  </w:footnote>
  <w:footnote w:id="2364">
    <w:p w14:paraId="26F3D14E" w14:textId="77777777" w:rsidR="00775C7F" w:rsidRDefault="00775C7F" w:rsidP="00285819">
      <w:pPr>
        <w:pStyle w:val="a7"/>
      </w:pPr>
      <w:r>
        <w:rPr>
          <w:rStyle w:val="a9"/>
        </w:rPr>
        <w:footnoteRef/>
      </w:r>
      <w:r>
        <w:rPr>
          <w:rtl/>
        </w:rPr>
        <w:t xml:space="preserve"> </w:t>
      </w:r>
      <w:r w:rsidRPr="00225EB0">
        <w:rPr>
          <w:rFonts w:cs="Arial"/>
          <w:rtl/>
        </w:rPr>
        <w:t>היינו גללניתא, שפורקה ומחזירה, והוא שם מקום, לשון אחר: קרמנאי - מוכרי בגדי פשתן מוכרין עליהן</w:t>
      </w:r>
      <w:r>
        <w:rPr>
          <w:rFonts w:cs="Arial" w:hint="cs"/>
          <w:rtl/>
        </w:rPr>
        <w:t>, רש"י.</w:t>
      </w:r>
    </w:p>
  </w:footnote>
  <w:footnote w:id="2365">
    <w:p w14:paraId="72B16796" w14:textId="77777777" w:rsidR="00775C7F" w:rsidRDefault="00775C7F" w:rsidP="00285819">
      <w:pPr>
        <w:pStyle w:val="a7"/>
      </w:pPr>
      <w:r>
        <w:rPr>
          <w:rStyle w:val="a9"/>
        </w:rPr>
        <w:footnoteRef/>
      </w:r>
      <w:r>
        <w:rPr>
          <w:rtl/>
        </w:rPr>
        <w:t xml:space="preserve"> </w:t>
      </w:r>
      <w:r w:rsidRPr="00225EB0">
        <w:rPr>
          <w:rFonts w:cs="Arial"/>
          <w:rtl/>
        </w:rPr>
        <w:t>כרך עליה חוט</w:t>
      </w:r>
      <w:r>
        <w:rPr>
          <w:rFonts w:cs="Arial" w:hint="cs"/>
          <w:rtl/>
        </w:rPr>
        <w:t>, רש"י.</w:t>
      </w:r>
    </w:p>
  </w:footnote>
  <w:footnote w:id="2366">
    <w:p w14:paraId="1ADFE5EC" w14:textId="77777777" w:rsidR="00775C7F" w:rsidRDefault="00775C7F" w:rsidP="00285819">
      <w:pPr>
        <w:pStyle w:val="a7"/>
      </w:pPr>
      <w:r>
        <w:rPr>
          <w:rStyle w:val="a9"/>
        </w:rPr>
        <w:footnoteRef/>
      </w:r>
      <w:r>
        <w:rPr>
          <w:rtl/>
        </w:rPr>
        <w:t xml:space="preserve"> </w:t>
      </w:r>
      <w:r w:rsidRPr="00225EB0">
        <w:rPr>
          <w:rFonts w:cs="Arial"/>
          <w:rtl/>
        </w:rPr>
        <w:t>מטה שהיתה זקופה, והוא מושיבה על רגליה</w:t>
      </w:r>
      <w:r>
        <w:rPr>
          <w:rFonts w:cs="Arial" w:hint="cs"/>
          <w:rtl/>
        </w:rPr>
        <w:t>, רש"י.</w:t>
      </w:r>
      <w:r>
        <w:rPr>
          <w:rFonts w:hint="cs"/>
          <w:rtl/>
        </w:rPr>
        <w:t xml:space="preserve"> </w:t>
      </w:r>
    </w:p>
  </w:footnote>
  <w:footnote w:id="2367">
    <w:p w14:paraId="1A844F1A" w14:textId="77777777" w:rsidR="00775C7F" w:rsidRDefault="00775C7F" w:rsidP="00285819">
      <w:pPr>
        <w:pStyle w:val="a7"/>
      </w:pPr>
      <w:r>
        <w:rPr>
          <w:rStyle w:val="a9"/>
        </w:rPr>
        <w:footnoteRef/>
      </w:r>
      <w:r>
        <w:rPr>
          <w:rtl/>
        </w:rPr>
        <w:t xml:space="preserve"> </w:t>
      </w:r>
      <w:r w:rsidRPr="00225EB0">
        <w:rPr>
          <w:rFonts w:cs="Arial"/>
          <w:rtl/>
        </w:rPr>
        <w:t>בלילי שבת ראיתים פרוסות, ולבקר ראיתים מושלכים לארץ, אלמא: מותר לפורקה, והכי נמי מותר לנטותה</w:t>
      </w:r>
      <w:r>
        <w:rPr>
          <w:rFonts w:cs="Arial" w:hint="cs"/>
          <w:rtl/>
        </w:rPr>
        <w:t>, רש"י.</w:t>
      </w:r>
    </w:p>
  </w:footnote>
  <w:footnote w:id="2368">
    <w:p w14:paraId="32A48FF3" w14:textId="4FE27D4F" w:rsidR="00100E1C" w:rsidRDefault="00100E1C" w:rsidP="00285819">
      <w:pPr>
        <w:pStyle w:val="a7"/>
      </w:pPr>
      <w:r>
        <w:rPr>
          <w:rStyle w:val="a9"/>
        </w:rPr>
        <w:footnoteRef/>
      </w:r>
      <w:r>
        <w:rPr>
          <w:rtl/>
        </w:rPr>
        <w:t xml:space="preserve"> </w:t>
      </w:r>
      <w:r w:rsidRPr="00100E1C">
        <w:rPr>
          <w:rFonts w:cs="Arial"/>
          <w:rtl/>
        </w:rPr>
        <w:t>לא דמיא לשאר כילות, ששאר כילות פרוסות על גבי קינוף, שהיא לארבע רגלים ויש לה גג דהוי אהל, ושל חתנים - על גבי נקליטין, שאינם אלא שנים באמצעית המטה, וקנה נתון עליהם והבגד נתון עליו, ונופל לכאן ולכאן, ואין לה גג טפח - הלכך לאו אהל הוא</w:t>
      </w:r>
      <w:r>
        <w:rPr>
          <w:rFonts w:cs="Arial" w:hint="cs"/>
          <w:rtl/>
        </w:rPr>
        <w:t>, רש"י.</w:t>
      </w:r>
    </w:p>
  </w:footnote>
  <w:footnote w:id="2369">
    <w:p w14:paraId="3EBC413A" w14:textId="4284F635" w:rsidR="00100E1C" w:rsidRDefault="00100E1C" w:rsidP="00285819">
      <w:pPr>
        <w:pStyle w:val="a7"/>
      </w:pPr>
      <w:r>
        <w:rPr>
          <w:rStyle w:val="a9"/>
        </w:rPr>
        <w:footnoteRef/>
      </w:r>
      <w:r>
        <w:rPr>
          <w:rtl/>
        </w:rPr>
        <w:t xml:space="preserve"> </w:t>
      </w:r>
      <w:r w:rsidRPr="00100E1C">
        <w:rPr>
          <w:rFonts w:cs="Arial"/>
          <w:rtl/>
        </w:rPr>
        <w:t>שהיא הולכת ומתפשטת למטה</w:t>
      </w:r>
      <w:r>
        <w:rPr>
          <w:rFonts w:cs="Arial" w:hint="cs"/>
          <w:rtl/>
        </w:rPr>
        <w:t>, רש"י.</w:t>
      </w:r>
    </w:p>
  </w:footnote>
  <w:footnote w:id="2370">
    <w:p w14:paraId="44CF03A7" w14:textId="56CB5879" w:rsidR="00E94A49" w:rsidRPr="008C1C8E" w:rsidRDefault="00E94A49"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הרמב"ם </w:t>
      </w:r>
      <w:r w:rsidR="0081002A">
        <w:rPr>
          <w:rFonts w:asciiTheme="minorBidi" w:hAnsiTheme="minorBidi" w:hint="cs"/>
          <w:rtl/>
        </w:rPr>
        <w:t xml:space="preserve">(פכ"ב הכ"ט-ל) </w:t>
      </w:r>
      <w:r w:rsidRPr="008C1C8E">
        <w:rPr>
          <w:rFonts w:asciiTheme="minorBidi" w:hAnsiTheme="minorBidi"/>
          <w:rtl/>
        </w:rPr>
        <w:t xml:space="preserve">הר"ן </w:t>
      </w:r>
      <w:r w:rsidR="0081002A">
        <w:rPr>
          <w:rFonts w:asciiTheme="minorBidi" w:hAnsiTheme="minorBidi" w:hint="cs"/>
          <w:rtl/>
        </w:rPr>
        <w:t xml:space="preserve">(שם ד"ה כילת) </w:t>
      </w:r>
      <w:r w:rsidRPr="008C1C8E">
        <w:rPr>
          <w:rFonts w:asciiTheme="minorBidi" w:hAnsiTheme="minorBidi"/>
          <w:rtl/>
        </w:rPr>
        <w:t xml:space="preserve">והה"מ </w:t>
      </w:r>
      <w:r w:rsidR="0081002A">
        <w:rPr>
          <w:rFonts w:asciiTheme="minorBidi" w:hAnsiTheme="minorBidi" w:hint="cs"/>
          <w:rtl/>
        </w:rPr>
        <w:t xml:space="preserve">(שם) </w:t>
      </w:r>
      <w:r w:rsidRPr="008C1C8E">
        <w:rPr>
          <w:rFonts w:asciiTheme="minorBidi" w:hAnsiTheme="minorBidi"/>
          <w:rtl/>
        </w:rPr>
        <w:t xml:space="preserve">לא גרסו את מה שכתוב </w:t>
      </w:r>
      <w:r>
        <w:rPr>
          <w:rFonts w:asciiTheme="minorBidi" w:hAnsiTheme="minorBidi" w:hint="cs"/>
          <w:rtl/>
        </w:rPr>
        <w:t>בסוגריים המרובעות</w:t>
      </w:r>
      <w:r w:rsidRPr="008C1C8E">
        <w:rPr>
          <w:rFonts w:asciiTheme="minorBidi" w:hAnsiTheme="minorBidi"/>
          <w:rtl/>
        </w:rPr>
        <w:t>, וכ"נ שגרס הרי"ף, והגר"א (סקכ"א) הביא סיוע לגירסתם.</w:t>
      </w:r>
      <w:r w:rsidR="0042222A">
        <w:rPr>
          <w:rFonts w:asciiTheme="minorBidi" w:hAnsiTheme="minorBidi" w:hint="cs"/>
          <w:rtl/>
        </w:rPr>
        <w:t xml:space="preserve"> ועיין בקושיית התוס' (קלח: ד"ה שאין) על הא דאין בכילה שיפוע טפח. ולפי גירסת הרמב"ם לא קשה.</w:t>
      </w:r>
    </w:p>
  </w:footnote>
  <w:footnote w:id="2371">
    <w:p w14:paraId="5DD58F26" w14:textId="6C0FE685" w:rsidR="00100E1C" w:rsidRDefault="00100E1C" w:rsidP="00285819">
      <w:pPr>
        <w:pStyle w:val="a7"/>
      </w:pPr>
      <w:r>
        <w:rPr>
          <w:rStyle w:val="a9"/>
        </w:rPr>
        <w:footnoteRef/>
      </w:r>
      <w:r>
        <w:rPr>
          <w:rtl/>
        </w:rPr>
        <w:t xml:space="preserve"> </w:t>
      </w:r>
      <w:r w:rsidRPr="00100E1C">
        <w:rPr>
          <w:rFonts w:cs="Arial"/>
          <w:rtl/>
        </w:rPr>
        <w:t>שאין כל צד וצד נפשט למטה להתרחק טפח מכנגד אמצעיתו, דהיינו שאין ברחבו למטה טפחיים, וכילת חתנים אינה עשויה לישן תחתיה</w:t>
      </w:r>
      <w:r w:rsidR="00ED207A">
        <w:rPr>
          <w:rFonts w:cs="Arial" w:hint="cs"/>
          <w:sz w:val="16"/>
          <w:szCs w:val="16"/>
          <w:rtl/>
        </w:rPr>
        <w:t xml:space="preserve"> {</w:t>
      </w:r>
      <w:r w:rsidR="00ED207A" w:rsidRPr="00ED207A">
        <w:rPr>
          <w:rFonts w:cs="Arial"/>
          <w:sz w:val="16"/>
          <w:szCs w:val="16"/>
          <w:rtl/>
        </w:rPr>
        <w:t>כתב כן כי היכי דלא תיקשי כיון שאין ברחבה למטה שני טפחים למאי חזיא</w:t>
      </w:r>
      <w:r w:rsidR="00ED207A">
        <w:rPr>
          <w:rFonts w:cs="Arial" w:hint="cs"/>
          <w:sz w:val="16"/>
          <w:szCs w:val="16"/>
          <w:rtl/>
        </w:rPr>
        <w:t>, ב"י}</w:t>
      </w:r>
      <w:r>
        <w:rPr>
          <w:rFonts w:cs="Arial" w:hint="cs"/>
          <w:rtl/>
        </w:rPr>
        <w:t>, רש"י.</w:t>
      </w:r>
    </w:p>
  </w:footnote>
  <w:footnote w:id="2372">
    <w:p w14:paraId="3A318CB3" w14:textId="17755C18" w:rsidR="00100E1C" w:rsidRDefault="00100E1C" w:rsidP="00285819">
      <w:pPr>
        <w:pStyle w:val="a7"/>
      </w:pPr>
      <w:r>
        <w:rPr>
          <w:rStyle w:val="a9"/>
        </w:rPr>
        <w:footnoteRef/>
      </w:r>
      <w:r>
        <w:rPr>
          <w:rtl/>
        </w:rPr>
        <w:t xml:space="preserve"> </w:t>
      </w:r>
      <w:r w:rsidRPr="00100E1C">
        <w:rPr>
          <w:rFonts w:cs="Arial"/>
          <w:rtl/>
        </w:rPr>
        <w:t>ההוא טפח הוה קיר לאהל, והמטה נעשית לו גג</w:t>
      </w:r>
      <w:r>
        <w:rPr>
          <w:rFonts w:cs="Arial" w:hint="cs"/>
          <w:rtl/>
        </w:rPr>
        <w:t>, רש"י.</w:t>
      </w:r>
    </w:p>
  </w:footnote>
  <w:footnote w:id="2373">
    <w:p w14:paraId="5B3A2827" w14:textId="77777777" w:rsidR="00E94A49" w:rsidRPr="008C1C8E" w:rsidRDefault="00E94A49"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שם מקום, רש"י.</w:t>
      </w:r>
    </w:p>
  </w:footnote>
  <w:footnote w:id="2374">
    <w:p w14:paraId="61234CBD" w14:textId="77777777" w:rsidR="00E94A49" w:rsidRPr="008C1C8E" w:rsidRDefault="00E94A49"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לנטותה בשבת, רש"י.</w:t>
      </w:r>
    </w:p>
  </w:footnote>
  <w:footnote w:id="2375">
    <w:p w14:paraId="2243D012" w14:textId="77777777" w:rsidR="00E94A49" w:rsidRPr="008C1C8E" w:rsidRDefault="00E94A49"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צד היתר בה, רש"י.</w:t>
      </w:r>
    </w:p>
  </w:footnote>
  <w:footnote w:id="2376">
    <w:p w14:paraId="1E91FB1D" w14:textId="77777777" w:rsidR="00E94A49" w:rsidRPr="008C1C8E" w:rsidRDefault="00E94A49"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כרך עליה חוט או משיחה, רש"י.</w:t>
      </w:r>
    </w:p>
  </w:footnote>
  <w:footnote w:id="2377">
    <w:p w14:paraId="615B4054" w14:textId="77777777" w:rsidR="00E94A49" w:rsidRPr="008C1C8E" w:rsidRDefault="00E94A49"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ומקילי טפי, רש"י.</w:t>
      </w:r>
    </w:p>
  </w:footnote>
  <w:footnote w:id="2378">
    <w:p w14:paraId="37F9B21F" w14:textId="7693ACFA" w:rsidR="00537D26" w:rsidRDefault="00537D26" w:rsidP="00285819">
      <w:pPr>
        <w:pStyle w:val="a7"/>
      </w:pPr>
      <w:r>
        <w:rPr>
          <w:rStyle w:val="a9"/>
        </w:rPr>
        <w:footnoteRef/>
      </w:r>
      <w:r>
        <w:rPr>
          <w:rtl/>
        </w:rPr>
        <w:t xml:space="preserve"> </w:t>
      </w:r>
      <w:r>
        <w:rPr>
          <w:rFonts w:hint="cs"/>
          <w:rtl/>
        </w:rPr>
        <w:t>ובחבית שמניח על שתי חביות וכדו' שיש טפח בגג - גם מיקרי אהל ארעי, וזאת משום ששם אין כוונתו לאהל. כאן מתכון לאהל, ולכן כדי להגדירה כאהל ארעי הצריכו חכמים שלא יהיה בגגה טפח</w:t>
      </w:r>
      <w:r w:rsidR="009E1C6C">
        <w:rPr>
          <w:rFonts w:hint="cs"/>
          <w:rtl/>
        </w:rPr>
        <w:t xml:space="preserve"> ולא בג' הטפחים הסמוכים לגגה</w:t>
      </w:r>
      <w:r>
        <w:rPr>
          <w:rFonts w:hint="cs"/>
          <w:rtl/>
        </w:rPr>
        <w:t>.</w:t>
      </w:r>
    </w:p>
  </w:footnote>
  <w:footnote w:id="2379">
    <w:p w14:paraId="2948C86A" w14:textId="77777777" w:rsidR="00E27C0E" w:rsidRDefault="00E27C0E" w:rsidP="00285819">
      <w:pPr>
        <w:pStyle w:val="a7"/>
      </w:pPr>
      <w:r>
        <w:rPr>
          <w:rStyle w:val="a9"/>
        </w:rPr>
        <w:footnoteRef/>
      </w:r>
      <w:r>
        <w:rPr>
          <w:rtl/>
        </w:rPr>
        <w:t xml:space="preserve"> </w:t>
      </w:r>
      <w:r w:rsidRPr="00DC70BF">
        <w:rPr>
          <w:rFonts w:cs="Arial"/>
          <w:rtl/>
        </w:rPr>
        <w:t>ותמהני על הרי"ף שכתב כן</w:t>
      </w:r>
      <w:r>
        <w:rPr>
          <w:rFonts w:cs="Arial" w:hint="cs"/>
          <w:rtl/>
        </w:rPr>
        <w:t>,</w:t>
      </w:r>
      <w:r w:rsidRPr="00DC70BF">
        <w:rPr>
          <w:rFonts w:cs="Arial"/>
          <w:rtl/>
        </w:rPr>
        <w:t xml:space="preserve"> הא אמרן בשמעתין כילת חתנים מותר לנטותה ומותר לפורקה</w:t>
      </w:r>
      <w:r>
        <w:rPr>
          <w:rFonts w:cs="Arial" w:hint="cs"/>
          <w:rtl/>
        </w:rPr>
        <w:t>,</w:t>
      </w:r>
      <w:r w:rsidRPr="00DC70BF">
        <w:rPr>
          <w:rFonts w:cs="Arial"/>
          <w:rtl/>
        </w:rPr>
        <w:t xml:space="preserve"> ומוקי לה שאין בגגה טפח ולא בפחות משלשה סמוך לגגה טפח</w:t>
      </w:r>
      <w:r>
        <w:rPr>
          <w:rFonts w:cs="Arial" w:hint="cs"/>
          <w:rtl/>
        </w:rPr>
        <w:t>,</w:t>
      </w:r>
      <w:r w:rsidRPr="00DC70BF">
        <w:rPr>
          <w:rFonts w:cs="Arial"/>
          <w:rtl/>
        </w:rPr>
        <w:t xml:space="preserve"> ומאי שנא טלית כפולה שהיא יותר בנין עראי מכילת חתנים</w:t>
      </w:r>
      <w:r>
        <w:rPr>
          <w:rFonts w:cs="Arial" w:hint="cs"/>
          <w:rtl/>
        </w:rPr>
        <w:t>.</w:t>
      </w:r>
      <w:r w:rsidRPr="00DC70BF">
        <w:rPr>
          <w:rFonts w:cs="Arial"/>
          <w:rtl/>
        </w:rPr>
        <w:t xml:space="preserve"> ואין דבריו נראין בזה כלל</w:t>
      </w:r>
      <w:r>
        <w:rPr>
          <w:rFonts w:cs="Arial" w:hint="cs"/>
          <w:rtl/>
        </w:rPr>
        <w:t>, רא"ש (סי' ב).</w:t>
      </w:r>
    </w:p>
  </w:footnote>
  <w:footnote w:id="2380">
    <w:p w14:paraId="2F01F541" w14:textId="442E79D4" w:rsidR="00537D26" w:rsidRDefault="00537D26" w:rsidP="00285819">
      <w:pPr>
        <w:pStyle w:val="a7"/>
        <w:rPr>
          <w:rtl/>
        </w:rPr>
      </w:pPr>
      <w:r>
        <w:rPr>
          <w:rStyle w:val="a9"/>
        </w:rPr>
        <w:footnoteRef/>
      </w:r>
      <w:r>
        <w:rPr>
          <w:rtl/>
        </w:rPr>
        <w:t xml:space="preserve"> </w:t>
      </w:r>
      <w:r w:rsidRPr="00537D26">
        <w:rPr>
          <w:rFonts w:asciiTheme="minorBidi" w:hAnsiTheme="minorBidi" w:hint="cs"/>
          <w:color w:val="000000" w:themeColor="text1"/>
          <w:rtl/>
        </w:rPr>
        <w:t xml:space="preserve">וצל"ע </w:t>
      </w:r>
      <w:r>
        <w:rPr>
          <w:rFonts w:asciiTheme="minorBidi" w:hAnsiTheme="minorBidi" w:hint="cs"/>
          <w:color w:val="000000" w:themeColor="text1"/>
          <w:rtl/>
        </w:rPr>
        <w:t xml:space="preserve">לפי דברי </w:t>
      </w:r>
      <w:r w:rsidRPr="00537D26">
        <w:rPr>
          <w:rFonts w:asciiTheme="minorBidi" w:hAnsiTheme="minorBidi" w:hint="cs"/>
          <w:color w:val="000000" w:themeColor="text1"/>
          <w:rtl/>
        </w:rPr>
        <w:t xml:space="preserve">הרא"ש </w:t>
      </w:r>
      <w:r>
        <w:rPr>
          <w:rFonts w:asciiTheme="minorBidi" w:hAnsiTheme="minorBidi" w:hint="cs"/>
          <w:color w:val="000000" w:themeColor="text1"/>
          <w:rtl/>
        </w:rPr>
        <w:t>הללו מתי חשיב אהל קבע ומתי אהל ארעי.</w:t>
      </w:r>
    </w:p>
  </w:footnote>
  <w:footnote w:id="2381">
    <w:p w14:paraId="3355ACAB" w14:textId="1AEEB971" w:rsidR="00E27C0E" w:rsidRDefault="00E27C0E" w:rsidP="00285819">
      <w:pPr>
        <w:pStyle w:val="a7"/>
        <w:rPr>
          <w:rtl/>
        </w:rPr>
      </w:pPr>
      <w:r>
        <w:rPr>
          <w:rStyle w:val="a9"/>
        </w:rPr>
        <w:footnoteRef/>
      </w:r>
      <w:r>
        <w:rPr>
          <w:rtl/>
        </w:rPr>
        <w:t xml:space="preserve"> </w:t>
      </w:r>
      <w:r w:rsidRPr="00DC70BF">
        <w:rPr>
          <w:rFonts w:cs="Arial"/>
          <w:rtl/>
        </w:rPr>
        <w:t>ודעת רש"י נראה שהוא כדעת הרא"ש</w:t>
      </w:r>
      <w:r>
        <w:rPr>
          <w:rFonts w:cs="Arial" w:hint="cs"/>
          <w:rtl/>
        </w:rPr>
        <w:t>,</w:t>
      </w:r>
      <w:r w:rsidRPr="00DC70BF">
        <w:rPr>
          <w:rFonts w:cs="Arial"/>
          <w:rtl/>
        </w:rPr>
        <w:t xml:space="preserve"> דאהא דתני אביי (שם קלח.) כילה לא יעשה ואם עשה פטור אבל אסור פירש בשיש בגגה טפח</w:t>
      </w:r>
      <w:r>
        <w:rPr>
          <w:rFonts w:cs="Arial" w:hint="cs"/>
          <w:rtl/>
        </w:rPr>
        <w:t>.</w:t>
      </w:r>
      <w:r w:rsidRPr="00DC70BF">
        <w:rPr>
          <w:rFonts w:cs="Arial"/>
          <w:rtl/>
        </w:rPr>
        <w:t xml:space="preserve"> ולפי דברי הרי"ף בטלית כפולה נראה דדוקא כשאין בגגה טפח הוא דפטור אבל אסור אבל יש בגגה טפח אהל קבע הוי וחייב חטאת</w:t>
      </w:r>
      <w:r>
        <w:rPr>
          <w:rFonts w:hint="cs"/>
          <w:rtl/>
        </w:rPr>
        <w:t>, ב"י.</w:t>
      </w:r>
    </w:p>
  </w:footnote>
  <w:footnote w:id="2382">
    <w:p w14:paraId="2170A941" w14:textId="0F40A75A" w:rsidR="00FC4524" w:rsidRDefault="00FC4524" w:rsidP="00285819">
      <w:pPr>
        <w:pStyle w:val="a7"/>
        <w:rPr>
          <w:rtl/>
        </w:rPr>
      </w:pPr>
      <w:r>
        <w:rPr>
          <w:rStyle w:val="a9"/>
        </w:rPr>
        <w:footnoteRef/>
      </w:r>
      <w:r>
        <w:rPr>
          <w:rtl/>
        </w:rPr>
        <w:t xml:space="preserve"> </w:t>
      </w:r>
      <w:r w:rsidRPr="00FC4524">
        <w:rPr>
          <w:rFonts w:hint="cs"/>
          <w:u w:val="single"/>
          <w:rtl/>
        </w:rPr>
        <w:t>נמצא שיש כמה הבדלים בין דעת הרי"ף והרמב"ם לבין דעת רש"י והרא"ש:</w:t>
      </w:r>
      <w:r>
        <w:rPr>
          <w:rtl/>
        </w:rPr>
        <w:br/>
      </w:r>
      <w:r>
        <w:rPr>
          <w:rFonts w:hint="cs"/>
          <w:rtl/>
        </w:rPr>
        <w:t xml:space="preserve">א- לדעת הרי"ף והרמב"ם אסור שיהיה טפח לא בגגה ולא בג' טפחים הסמוכים לגגה, אבל לאחר מכן - יכול להיות רוחב טפח. ולרש"י והרא"ש אסור שיהיה רוחב טפח לא בתחילת גגה ולא </w:t>
      </w:r>
      <w:r w:rsidR="00D80E87">
        <w:rPr>
          <w:rFonts w:hint="cs"/>
          <w:rtl/>
        </w:rPr>
        <w:t>ברוחב השיפוע הכולל (</w:t>
      </w:r>
      <w:r>
        <w:rPr>
          <w:rFonts w:hint="cs"/>
          <w:rtl/>
        </w:rPr>
        <w:t>מתחי</w:t>
      </w:r>
      <w:r w:rsidR="00D80E87">
        <w:rPr>
          <w:rFonts w:hint="cs"/>
          <w:rtl/>
        </w:rPr>
        <w:t>ל</w:t>
      </w:r>
      <w:r>
        <w:rPr>
          <w:rFonts w:hint="cs"/>
          <w:rtl/>
        </w:rPr>
        <w:t xml:space="preserve">ת </w:t>
      </w:r>
      <w:r w:rsidR="00D80E87">
        <w:rPr>
          <w:rFonts w:hint="cs"/>
          <w:rtl/>
        </w:rPr>
        <w:t>הכילה/הטלית</w:t>
      </w:r>
      <w:r>
        <w:rPr>
          <w:rFonts w:hint="cs"/>
          <w:rtl/>
        </w:rPr>
        <w:t xml:space="preserve"> עד סופ</w:t>
      </w:r>
      <w:r w:rsidR="00D80E87">
        <w:rPr>
          <w:rFonts w:hint="cs"/>
          <w:rtl/>
        </w:rPr>
        <w:t>ה)</w:t>
      </w:r>
      <w:r>
        <w:rPr>
          <w:rFonts w:hint="cs"/>
          <w:rtl/>
        </w:rPr>
        <w:t>.</w:t>
      </w:r>
      <w:r w:rsidR="00D80E87">
        <w:rPr>
          <w:rtl/>
        </w:rPr>
        <w:br/>
      </w:r>
      <w:r w:rsidR="00D80E87">
        <w:rPr>
          <w:rFonts w:hint="cs"/>
          <w:rtl/>
        </w:rPr>
        <w:t>ב- לדעת הרי"ף והרמב"ם אין הבדל במידות בין כילת חתנים לבין כילה רגילה לבין טלית שבכותל. ולרש"י והרא"ש יש הבדל שבכולם יש רוחב טפח בגג או בג' טפחים סמוך לגג, ובכילת חתנים אין.</w:t>
      </w:r>
    </w:p>
    <w:p w14:paraId="3E60DCAC" w14:textId="55857C79" w:rsidR="00D80E87" w:rsidRDefault="00D80E87" w:rsidP="00285819">
      <w:pPr>
        <w:pStyle w:val="a7"/>
      </w:pPr>
      <w:r>
        <w:rPr>
          <w:rFonts w:hint="cs"/>
          <w:rtl/>
        </w:rPr>
        <w:t xml:space="preserve">ג- לדעת הרי"ף והרמב"ם היתר חוט ומשיכה שייך בכולם </w:t>
      </w:r>
      <w:r w:rsidRPr="00D80E87">
        <w:rPr>
          <w:rFonts w:hint="cs"/>
          <w:rtl/>
        </w:rPr>
        <w:t>כיון</w:t>
      </w:r>
      <w:r w:rsidRPr="00D80E87">
        <w:rPr>
          <w:rFonts w:hint="cs"/>
          <w:b/>
          <w:bCs/>
          <w:rtl/>
        </w:rPr>
        <w:t xml:space="preserve"> שאין</w:t>
      </w:r>
      <w:r>
        <w:rPr>
          <w:rFonts w:hint="cs"/>
          <w:rtl/>
        </w:rPr>
        <w:t xml:space="preserve"> </w:t>
      </w:r>
      <w:r w:rsidRPr="00D80E87">
        <w:rPr>
          <w:rFonts w:hint="cs"/>
          <w:b/>
          <w:bCs/>
          <w:rtl/>
        </w:rPr>
        <w:t>בהם</w:t>
      </w:r>
      <w:r>
        <w:rPr>
          <w:rFonts w:hint="cs"/>
          <w:rtl/>
        </w:rPr>
        <w:t xml:space="preserve"> רוחב טפח בגג או בג' הסמוכים לגג. ולרש"י והרא"ש ההיתר שייך בכולם גם כאשר </w:t>
      </w:r>
      <w:r w:rsidRPr="00D80E87">
        <w:rPr>
          <w:rFonts w:hint="cs"/>
          <w:b/>
          <w:bCs/>
          <w:rtl/>
        </w:rPr>
        <w:t>יש בהם</w:t>
      </w:r>
      <w:r>
        <w:rPr>
          <w:rFonts w:hint="cs"/>
          <w:rtl/>
        </w:rPr>
        <w:t xml:space="preserve"> רוחב טפח בגג או בג' הסמוכים לגג.</w:t>
      </w:r>
    </w:p>
  </w:footnote>
  <w:footnote w:id="2383">
    <w:p w14:paraId="3C1AC707" w14:textId="49F7F969" w:rsidR="008313EA" w:rsidRDefault="008313EA" w:rsidP="00285819">
      <w:pPr>
        <w:pStyle w:val="a7"/>
        <w:rPr>
          <w:rtl/>
        </w:rPr>
      </w:pPr>
      <w:r>
        <w:rPr>
          <w:rStyle w:val="a9"/>
        </w:rPr>
        <w:footnoteRef/>
      </w:r>
      <w:r>
        <w:rPr>
          <w:rtl/>
        </w:rPr>
        <w:t xml:space="preserve"> </w:t>
      </w:r>
      <w:r w:rsidRPr="00DC70BF">
        <w:rPr>
          <w:rFonts w:cs="Arial"/>
          <w:rtl/>
        </w:rPr>
        <w:t xml:space="preserve">ומכלל דברים אלו יתבאר לך שמה שכתב רבינו גבי כילת חתנים </w:t>
      </w:r>
      <w:r w:rsidR="00951C51">
        <w:rPr>
          <w:rFonts w:cs="Arial" w:hint="cs"/>
          <w:rtl/>
        </w:rPr>
        <w:t>'</w:t>
      </w:r>
      <w:r w:rsidRPr="00DC70BF">
        <w:rPr>
          <w:rFonts w:cs="Arial"/>
          <w:rtl/>
        </w:rPr>
        <w:t>ואם כרך עליה חוט או משיחה לנטותה בו מותר אפילו אית ביה כל הני</w:t>
      </w:r>
      <w:r w:rsidR="00951C51">
        <w:rPr>
          <w:rFonts w:cs="Arial" w:hint="cs"/>
          <w:rtl/>
        </w:rPr>
        <w:t>' -</w:t>
      </w:r>
      <w:r w:rsidRPr="00DC70BF">
        <w:rPr>
          <w:rFonts w:cs="Arial"/>
          <w:rtl/>
        </w:rPr>
        <w:t xml:space="preserve"> אינו אלא לדעת רש"י והרא"ש לבד</w:t>
      </w:r>
      <w:r>
        <w:rPr>
          <w:rFonts w:cs="Arial" w:hint="cs"/>
          <w:rtl/>
        </w:rPr>
        <w:t>,</w:t>
      </w:r>
      <w:r w:rsidRPr="00DC70BF">
        <w:rPr>
          <w:rFonts w:cs="Arial"/>
          <w:rtl/>
        </w:rPr>
        <w:t xml:space="preserve"> דאילו להרי"ף והרמב"ם לא שרי בכריכת חוט או משיחה אלא בדלית ביה חד מהני וכמו שנתבאר</w:t>
      </w:r>
      <w:r>
        <w:rPr>
          <w:rFonts w:cs="Arial" w:hint="cs"/>
          <w:rtl/>
        </w:rPr>
        <w:t>.</w:t>
      </w:r>
      <w:r w:rsidRPr="00DC70BF">
        <w:rPr>
          <w:rFonts w:cs="Arial"/>
          <w:rtl/>
        </w:rPr>
        <w:t xml:space="preserve"> והכי נקיטינן</w:t>
      </w:r>
      <w:r>
        <w:rPr>
          <w:rFonts w:hint="cs"/>
          <w:rtl/>
        </w:rPr>
        <w:t xml:space="preserve">, </w:t>
      </w:r>
      <w:r w:rsidRPr="00951C51">
        <w:rPr>
          <w:rFonts w:hint="cs"/>
          <w:b/>
          <w:bCs/>
          <w:rtl/>
        </w:rPr>
        <w:t>ב"י</w:t>
      </w:r>
      <w:r>
        <w:rPr>
          <w:rFonts w:hint="cs"/>
          <w:rtl/>
        </w:rPr>
        <w:t>.</w:t>
      </w:r>
      <w:r w:rsidRPr="008313EA">
        <w:rPr>
          <w:rFonts w:cs="Arial"/>
          <w:rtl/>
        </w:rPr>
        <w:t xml:space="preserve"> </w:t>
      </w:r>
      <w:r w:rsidR="00951C51">
        <w:rPr>
          <w:rFonts w:cs="Arial" w:hint="cs"/>
          <w:rtl/>
        </w:rPr>
        <w:t xml:space="preserve">   </w:t>
      </w:r>
      <w:r w:rsidRPr="00350D72">
        <w:rPr>
          <w:rFonts w:cs="Arial"/>
          <w:rtl/>
        </w:rPr>
        <w:t>ואין דבריו נראין דאף הרמב"ם כתב פכ"ב דכילת חתנים המתוקנת לכך מותר בדלית בה חד מהני ולא בעי חוט או משיחה אלא בשאר כילות כמו טלית כפולה שיתבאר בסמוך</w:t>
      </w:r>
      <w:r>
        <w:rPr>
          <w:rFonts w:cs="Arial" w:hint="cs"/>
          <w:rtl/>
        </w:rPr>
        <w:t>,</w:t>
      </w:r>
      <w:r w:rsidRPr="00350D72">
        <w:rPr>
          <w:rFonts w:cs="Arial"/>
          <w:rtl/>
        </w:rPr>
        <w:t xml:space="preserve"> וכן כתב הר"ן בדעת הרי"ף דדוקא כילת חתנים מותר לפרקה לפי שהיא מתוקנת לכך אבל שאר כילות לא אא</w:t>
      </w:r>
      <w:r>
        <w:rPr>
          <w:rFonts w:cs="Arial" w:hint="cs"/>
          <w:rtl/>
        </w:rPr>
        <w:t>"</w:t>
      </w:r>
      <w:r w:rsidRPr="00350D72">
        <w:rPr>
          <w:rFonts w:cs="Arial"/>
          <w:rtl/>
        </w:rPr>
        <w:t>כ כרך עליה חוט או משיחה. ואפשר ליישב דברי בית יוסף דהכי קאמר</w:t>
      </w:r>
      <w:r>
        <w:rPr>
          <w:rFonts w:cs="Arial" w:hint="cs"/>
          <w:rtl/>
        </w:rPr>
        <w:t>:</w:t>
      </w:r>
      <w:r w:rsidRPr="00350D72">
        <w:rPr>
          <w:rFonts w:cs="Arial"/>
          <w:rtl/>
        </w:rPr>
        <w:t xml:space="preserve"> דלא שרי על ידי חוט או משיחה אי אית ביה חד מהני</w:t>
      </w:r>
      <w:r>
        <w:rPr>
          <w:rFonts w:cs="Arial" w:hint="cs"/>
          <w:rtl/>
        </w:rPr>
        <w:t>,</w:t>
      </w:r>
      <w:r w:rsidRPr="00350D72">
        <w:rPr>
          <w:rFonts w:cs="Arial"/>
          <w:rtl/>
        </w:rPr>
        <w:t xml:space="preserve"> אלא בדלית ביה חד מהני</w:t>
      </w:r>
      <w:r>
        <w:rPr>
          <w:rFonts w:cs="Arial" w:hint="cs"/>
          <w:rtl/>
        </w:rPr>
        <w:t>,</w:t>
      </w:r>
      <w:r w:rsidRPr="00350D72">
        <w:rPr>
          <w:rFonts w:cs="Arial"/>
          <w:rtl/>
        </w:rPr>
        <w:t xml:space="preserve"> ואז אין אנו צריכין לחוט או משיחה בכילת חתנים המתוקנת לכך</w:t>
      </w:r>
      <w:r>
        <w:rPr>
          <w:rFonts w:cs="Arial" w:hint="cs"/>
          <w:rtl/>
        </w:rPr>
        <w:t>,</w:t>
      </w:r>
      <w:r w:rsidRPr="00350D72">
        <w:rPr>
          <w:rFonts w:cs="Arial"/>
          <w:rtl/>
        </w:rPr>
        <w:t xml:space="preserve"> וזהו נכון שכן דעת הרי"ף והרמב"ם</w:t>
      </w:r>
      <w:r>
        <w:rPr>
          <w:rFonts w:cs="Arial" w:hint="cs"/>
          <w:rtl/>
        </w:rPr>
        <w:t xml:space="preserve">, </w:t>
      </w:r>
      <w:r w:rsidRPr="00951C51">
        <w:rPr>
          <w:rFonts w:cs="Arial" w:hint="cs"/>
          <w:b/>
          <w:bCs/>
          <w:rtl/>
        </w:rPr>
        <w:t>דרכ"מ</w:t>
      </w:r>
      <w:r>
        <w:rPr>
          <w:rFonts w:cs="Arial" w:hint="cs"/>
          <w:rtl/>
        </w:rPr>
        <w:t xml:space="preserve"> (אות ג).</w:t>
      </w:r>
      <w:r w:rsidR="00951C51">
        <w:rPr>
          <w:rFonts w:hint="cs"/>
          <w:rtl/>
        </w:rPr>
        <w:t xml:space="preserve">    ונ"ל דדברי הב"י ברורים בטעמם, שהרי לדעת הרי"ף והרמב"ם </w:t>
      </w:r>
      <w:r w:rsidR="00826FBE">
        <w:rPr>
          <w:rFonts w:hint="cs"/>
          <w:rtl/>
        </w:rPr>
        <w:t xml:space="preserve">אין הבדל מבחינת המידות בין כילה רגילה לכילת חתנים, </w:t>
      </w:r>
      <w:r w:rsidR="003A3F26">
        <w:rPr>
          <w:rFonts w:hint="cs"/>
          <w:rtl/>
        </w:rPr>
        <w:t>ש</w:t>
      </w:r>
      <w:r w:rsidR="00826FBE">
        <w:rPr>
          <w:rFonts w:hint="cs"/>
          <w:rtl/>
        </w:rPr>
        <w:t xml:space="preserve">לשתיהן אין בגג טפח וגם לא בג' טפחים </w:t>
      </w:r>
      <w:r w:rsidR="003A3F26">
        <w:rPr>
          <w:rFonts w:hint="cs"/>
          <w:rtl/>
        </w:rPr>
        <w:t>הסמוכים לגגה.</w:t>
      </w:r>
      <w:r w:rsidR="00826FBE">
        <w:rPr>
          <w:rFonts w:hint="cs"/>
          <w:rtl/>
        </w:rPr>
        <w:t xml:space="preserve"> וההבדל בניהם הוא</w:t>
      </w:r>
      <w:r w:rsidR="003A3F26">
        <w:rPr>
          <w:rFonts w:hint="cs"/>
          <w:rtl/>
        </w:rPr>
        <w:t>:</w:t>
      </w:r>
      <w:r w:rsidR="00826FBE">
        <w:rPr>
          <w:rFonts w:hint="cs"/>
          <w:rtl/>
        </w:rPr>
        <w:t xml:space="preserve"> שבכילה רגילה אין לנטותה כיון שבסוף שיפוע הכילה נוצר אהל, רק שאין חייב עליה מן התורה כיון שאין </w:t>
      </w:r>
      <w:r w:rsidR="003A3F26">
        <w:rPr>
          <w:rFonts w:hint="cs"/>
          <w:rtl/>
        </w:rPr>
        <w:t>טפח בגגה או בג' טפחים הסמוכים לגגה</w:t>
      </w:r>
      <w:r w:rsidR="00826FBE">
        <w:rPr>
          <w:rFonts w:hint="cs"/>
          <w:rtl/>
        </w:rPr>
        <w:t xml:space="preserve">, הא אם היה רוחב טפח </w:t>
      </w:r>
      <w:r w:rsidR="00C56E10">
        <w:rPr>
          <w:rFonts w:hint="cs"/>
          <w:rtl/>
        </w:rPr>
        <w:t xml:space="preserve">בגגה או </w:t>
      </w:r>
      <w:r w:rsidR="003A3F26">
        <w:rPr>
          <w:rFonts w:hint="cs"/>
          <w:rtl/>
        </w:rPr>
        <w:t xml:space="preserve">בג' טפחים הסמוכים לגגה </w:t>
      </w:r>
      <w:r w:rsidR="00826FBE">
        <w:rPr>
          <w:rFonts w:hint="cs"/>
          <w:rtl/>
        </w:rPr>
        <w:t>- היה חייב מן התורה. ואע"ג שבכילת חתנים גם נוצר אהל בסוף שיפועה, כיון שלא מגיע השיפוע עד טפח סמוך למיטה, וכיון שהיא מתוקנת</w:t>
      </w:r>
      <w:r w:rsidR="00C56E10">
        <w:rPr>
          <w:rFonts w:hint="cs"/>
          <w:rtl/>
        </w:rPr>
        <w:t xml:space="preserve"> לכך</w:t>
      </w:r>
      <w:r w:rsidR="00826FBE">
        <w:rPr>
          <w:rFonts w:hint="cs"/>
          <w:rtl/>
        </w:rPr>
        <w:t xml:space="preserve"> - לא גזרו חכמים.</w:t>
      </w:r>
      <w:r w:rsidR="00C56E10">
        <w:rPr>
          <w:rFonts w:hint="cs"/>
          <w:rtl/>
        </w:rPr>
        <w:t xml:space="preserve"> ולכן כיון שבטלית כפולה וכן בכילת חתנים הוא איסור דרבנן, היינו אהל עראי, לפיכך אם כרך עליה חוט מער"ש</w:t>
      </w:r>
      <w:r w:rsidR="003A3F26">
        <w:rPr>
          <w:rFonts w:hint="cs"/>
          <w:rtl/>
        </w:rPr>
        <w:t xml:space="preserve"> -</w:t>
      </w:r>
      <w:r w:rsidR="00C56E10">
        <w:rPr>
          <w:rFonts w:hint="cs"/>
          <w:rtl/>
        </w:rPr>
        <w:t xml:space="preserve"> </w:t>
      </w:r>
      <w:r w:rsidR="003A3F26">
        <w:rPr>
          <w:rFonts w:hint="cs"/>
          <w:rtl/>
        </w:rPr>
        <w:t>התירו חז"ל את גזירתם</w:t>
      </w:r>
      <w:r w:rsidR="00C56E10">
        <w:rPr>
          <w:rFonts w:hint="cs"/>
          <w:rtl/>
        </w:rPr>
        <w:t xml:space="preserve">. משא"כ אם יש טפח בגגה או </w:t>
      </w:r>
      <w:r w:rsidR="003A3F26">
        <w:rPr>
          <w:rFonts w:hint="cs"/>
          <w:rtl/>
        </w:rPr>
        <w:t>בג' טפחים הסמוכים לגגה שאז אסורה מן התורה ולא יועיל לה חוט או משיכה להיכר</w:t>
      </w:r>
      <w:r w:rsidR="00FC4524">
        <w:rPr>
          <w:rFonts w:hint="cs"/>
          <w:rtl/>
        </w:rPr>
        <w:t>,</w:t>
      </w:r>
      <w:r w:rsidR="003A3F26">
        <w:rPr>
          <w:rFonts w:hint="cs"/>
          <w:rtl/>
        </w:rPr>
        <w:t xml:space="preserve"> אלא צריך שיהיה טפח פתוח מבעוד יום ויוסיף עליו בשבת.</w:t>
      </w:r>
    </w:p>
  </w:footnote>
  <w:footnote w:id="2384">
    <w:p w14:paraId="685D729C"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שמסננין בה שמרי יין ומותח פיה לכל צד בעגול ונעשה כאהל על חלל הכלי שקורין אשטנד"א </w:t>
      </w:r>
      <w:r w:rsidRPr="008C1C8E">
        <w:rPr>
          <w:rFonts w:asciiTheme="minorBidi" w:hAnsiTheme="minorBidi"/>
          <w:sz w:val="16"/>
          <w:szCs w:val="16"/>
          <w:rtl/>
        </w:rPr>
        <w:t>(מסננת לסינון היין)</w:t>
      </w:r>
      <w:r w:rsidRPr="008C1C8E">
        <w:rPr>
          <w:rFonts w:asciiTheme="minorBidi" w:hAnsiTheme="minorBidi"/>
          <w:rtl/>
        </w:rPr>
        <w:t xml:space="preserve"> ואע"ג דעביד אהל שרי ביו"ט כדמפרש בגמרא, אבל בשבת מיתלא לכתחילה לא, אבל אם תלויה היא נותנין לתוכה שמרים ומסנן דאין דרך בורר בכך, רש"י.</w:t>
      </w:r>
    </w:p>
  </w:footnote>
  <w:footnote w:id="2385">
    <w:p w14:paraId="6402ABA1"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תלה כלי קטן במגוד </w:t>
      </w:r>
      <w:r w:rsidRPr="008C1C8E">
        <w:rPr>
          <w:rFonts w:asciiTheme="minorBidi" w:hAnsiTheme="minorBidi"/>
          <w:sz w:val="16"/>
          <w:szCs w:val="16"/>
          <w:rtl/>
        </w:rPr>
        <w:t>(יתד)</w:t>
      </w:r>
      <w:r w:rsidRPr="008C1C8E">
        <w:rPr>
          <w:rFonts w:asciiTheme="minorBidi" w:hAnsiTheme="minorBidi"/>
          <w:rtl/>
        </w:rPr>
        <w:t>, רש"י.</w:t>
      </w:r>
    </w:p>
  </w:footnote>
  <w:footnote w:id="2386">
    <w:p w14:paraId="557F1AFA" w14:textId="77777777" w:rsidR="009A7623" w:rsidRPr="008C1C8E" w:rsidRDefault="009A7623" w:rsidP="00285819">
      <w:pPr>
        <w:spacing w:after="0" w:line="240" w:lineRule="auto"/>
        <w:rPr>
          <w:rFonts w:asciiTheme="minorBidi" w:hAnsiTheme="minorBidi"/>
          <w:sz w:val="20"/>
          <w:szCs w:val="20"/>
        </w:rPr>
      </w:pPr>
      <w:r w:rsidRPr="008C1C8E">
        <w:rPr>
          <w:rStyle w:val="a9"/>
          <w:rFonts w:asciiTheme="minorBidi" w:hAnsiTheme="minorBidi"/>
          <w:sz w:val="20"/>
          <w:szCs w:val="20"/>
        </w:rPr>
        <w:footnoteRef/>
      </w:r>
      <w:r w:rsidRPr="008C1C8E">
        <w:rPr>
          <w:rFonts w:asciiTheme="minorBidi" w:hAnsiTheme="minorBidi"/>
          <w:sz w:val="20"/>
          <w:szCs w:val="20"/>
          <w:rtl/>
        </w:rPr>
        <w:t xml:space="preserve"> והכא מאי חיובא איכא באהל עראי בנין גמור לא הוי, ומדרבנן הוא דמיתסר, רש"י.</w:t>
      </w:r>
    </w:p>
  </w:footnote>
  <w:footnote w:id="2387">
    <w:p w14:paraId="6FA1EF0D" w14:textId="12D206D6" w:rsidR="00F24777" w:rsidRDefault="00F24777" w:rsidP="00285819">
      <w:pPr>
        <w:pStyle w:val="a7"/>
        <w:rPr>
          <w:rtl/>
        </w:rPr>
      </w:pPr>
      <w:r>
        <w:rPr>
          <w:rStyle w:val="a9"/>
        </w:rPr>
        <w:footnoteRef/>
      </w:r>
      <w:r>
        <w:rPr>
          <w:rtl/>
        </w:rPr>
        <w:t xml:space="preserve"> </w:t>
      </w:r>
      <w:r w:rsidRPr="00F24777">
        <w:rPr>
          <w:rFonts w:cs="Arial"/>
          <w:rtl/>
        </w:rPr>
        <w:t>קאסרי לה חכמים דמתניתין, דלא שבקינן ליה למיתליה, למיעבד עובדא דחול</w:t>
      </w:r>
      <w:r>
        <w:rPr>
          <w:rFonts w:hint="cs"/>
          <w:rtl/>
        </w:rPr>
        <w:t>, רש"י.</w:t>
      </w:r>
    </w:p>
  </w:footnote>
  <w:footnote w:id="2388">
    <w:p w14:paraId="6B877148" w14:textId="5A5402E9" w:rsidR="000363E5" w:rsidRDefault="000363E5" w:rsidP="00285819">
      <w:pPr>
        <w:pStyle w:val="a7"/>
      </w:pPr>
      <w:r>
        <w:rPr>
          <w:rStyle w:val="a9"/>
        </w:rPr>
        <w:footnoteRef/>
      </w:r>
      <w:r>
        <w:rPr>
          <w:rtl/>
        </w:rPr>
        <w:t xml:space="preserve"> </w:t>
      </w:r>
      <w:r w:rsidRPr="000363E5">
        <w:rPr>
          <w:rFonts w:cs="Arial"/>
          <w:rtl/>
        </w:rPr>
        <w:t>לרבנן, דאמרי אין תולין את המשמרת ביום טוב, ואוקימנא דטעמא לאו משום אהל אלא משום עובדא דחול - מערים ותולה אותה לצורך רמונים דלאו עובדין דחול נינהו, ומסנן בה שמרים הואיל ונתלית, דהא אמרינן: נותנין לתלויה ביום טוב</w:t>
      </w:r>
      <w:r>
        <w:rPr>
          <w:rFonts w:cs="Arial" w:hint="cs"/>
          <w:rtl/>
        </w:rPr>
        <w:t>, רש"י.</w:t>
      </w:r>
    </w:p>
  </w:footnote>
  <w:footnote w:id="2389">
    <w:p w14:paraId="58227B16" w14:textId="77777777" w:rsidR="000363E5" w:rsidRDefault="000363E5" w:rsidP="00285819">
      <w:pPr>
        <w:pStyle w:val="a7"/>
      </w:pPr>
      <w:r>
        <w:rPr>
          <w:rStyle w:val="a9"/>
        </w:rPr>
        <w:footnoteRef/>
      </w:r>
      <w:r>
        <w:rPr>
          <w:rtl/>
        </w:rPr>
        <w:t xml:space="preserve"> </w:t>
      </w:r>
      <w:r w:rsidRPr="000363E5">
        <w:rPr>
          <w:rFonts w:cs="Arial"/>
          <w:rtl/>
        </w:rPr>
        <w:t>ברישא, דמוכח מילתא דמעיקרא לאו לשמרים תלייה</w:t>
      </w:r>
      <w:r>
        <w:rPr>
          <w:rFonts w:cs="Arial" w:hint="cs"/>
          <w:rtl/>
        </w:rPr>
        <w:t>, רש"י.</w:t>
      </w:r>
    </w:p>
  </w:footnote>
  <w:footnote w:id="2390">
    <w:p w14:paraId="77179619" w14:textId="45D3B928" w:rsidR="003C319B" w:rsidRDefault="003C319B" w:rsidP="00285819">
      <w:pPr>
        <w:pStyle w:val="a7"/>
      </w:pPr>
      <w:r>
        <w:rPr>
          <w:rStyle w:val="a9"/>
        </w:rPr>
        <w:footnoteRef/>
      </w:r>
      <w:r>
        <w:rPr>
          <w:rtl/>
        </w:rPr>
        <w:t xml:space="preserve"> </w:t>
      </w:r>
      <w:r>
        <w:rPr>
          <w:rFonts w:hint="cs"/>
          <w:rtl/>
        </w:rPr>
        <w:t xml:space="preserve">וז"ל- </w:t>
      </w:r>
      <w:r w:rsidRPr="003C319B">
        <w:rPr>
          <w:rFonts w:cs="Arial"/>
          <w:rtl/>
        </w:rPr>
        <w:t>ולי נראה דאביי משום אהל עראי אסר לה ומשום דא"ל רב יוסף חייב חטאת אמר איהו דליכא אלא שבות בעלמא דהיינו עובדין דחול והיינו מתניתא דאביי דתני משמרת בהדי כילה דמשום אהל עראי, והא דשרינן ברמונים משום דהתולה לשמרים מותחה יפה וקובעה בכיסכהא והתולה לרמונים אינו צריך לקובעה ולא למותחה יפה ולאו אהל הוא כלל.</w:t>
      </w:r>
    </w:p>
  </w:footnote>
  <w:footnote w:id="2391">
    <w:p w14:paraId="1E4BFD86" w14:textId="0BF467EE" w:rsidR="00BD405E" w:rsidRDefault="00BD405E" w:rsidP="00285819">
      <w:pPr>
        <w:pStyle w:val="a7"/>
      </w:pPr>
      <w:r>
        <w:rPr>
          <w:rStyle w:val="a9"/>
        </w:rPr>
        <w:footnoteRef/>
      </w:r>
      <w:r>
        <w:rPr>
          <w:rtl/>
        </w:rPr>
        <w:t xml:space="preserve"> </w:t>
      </w:r>
      <w:r w:rsidRPr="00BD405E">
        <w:rPr>
          <w:rFonts w:cs="Arial"/>
          <w:rtl/>
        </w:rPr>
        <w:t>ואע"ג שאמרו שם שלא יעשה כו' ר"ל דאיסור עשיית אהל עראי הוא משום זה</w:t>
      </w:r>
      <w:r>
        <w:rPr>
          <w:rFonts w:cs="Arial" w:hint="cs"/>
          <w:rtl/>
        </w:rPr>
        <w:t>, גר"א (סע' ט).</w:t>
      </w:r>
    </w:p>
  </w:footnote>
  <w:footnote w:id="2392">
    <w:p w14:paraId="13906091" w14:textId="3A7431BC" w:rsidR="0078002C" w:rsidRDefault="0078002C" w:rsidP="00285819">
      <w:pPr>
        <w:pStyle w:val="a7"/>
      </w:pPr>
      <w:r>
        <w:rPr>
          <w:rStyle w:val="a9"/>
        </w:rPr>
        <w:footnoteRef/>
      </w:r>
      <w:r>
        <w:rPr>
          <w:rtl/>
        </w:rPr>
        <w:t xml:space="preserve"> </w:t>
      </w:r>
      <w:r>
        <w:rPr>
          <w:rFonts w:hint="cs"/>
          <w:rtl/>
        </w:rPr>
        <w:t>הב"י לא הביא בסעיף זה שום דעה חוץ מד</w:t>
      </w:r>
      <w:r w:rsidR="0042222A">
        <w:rPr>
          <w:rFonts w:hint="cs"/>
          <w:rtl/>
        </w:rPr>
        <w:t>עת</w:t>
      </w:r>
      <w:r>
        <w:rPr>
          <w:rFonts w:hint="cs"/>
          <w:rtl/>
        </w:rPr>
        <w:t xml:space="preserve"> הטור. וצל"ע מדוע.</w:t>
      </w:r>
      <w:r w:rsidR="00BD405E">
        <w:rPr>
          <w:rFonts w:hint="cs"/>
          <w:rtl/>
        </w:rPr>
        <w:t xml:space="preserve"> </w:t>
      </w:r>
      <w:r w:rsidR="00BD405E" w:rsidRPr="00562750">
        <w:rPr>
          <w:rFonts w:asciiTheme="minorBidi" w:hAnsiTheme="minorBidi" w:hint="cs"/>
          <w:color w:val="000000" w:themeColor="text1"/>
          <w:rtl/>
        </w:rPr>
        <w:t>ועוד צל"ע מדוע אסר</w:t>
      </w:r>
      <w:r w:rsidR="00BD405E">
        <w:rPr>
          <w:rFonts w:asciiTheme="minorBidi" w:hAnsiTheme="minorBidi" w:hint="cs"/>
          <w:color w:val="000000" w:themeColor="text1"/>
          <w:rtl/>
        </w:rPr>
        <w:t>ו התוס' משום אהל</w:t>
      </w:r>
      <w:r w:rsidR="00BD405E" w:rsidRPr="00562750">
        <w:rPr>
          <w:rFonts w:asciiTheme="minorBidi" w:hAnsiTheme="minorBidi" w:hint="cs"/>
          <w:color w:val="000000" w:themeColor="text1"/>
          <w:rtl/>
        </w:rPr>
        <w:t>, והרי המחיצות כבר עשויות</w:t>
      </w:r>
      <w:r w:rsidR="00BD405E">
        <w:rPr>
          <w:rFonts w:asciiTheme="minorBidi" w:hAnsiTheme="minorBidi" w:hint="cs"/>
          <w:color w:val="000000" w:themeColor="text1"/>
          <w:rtl/>
        </w:rPr>
        <w:t xml:space="preserve">, ולשיטתם </w:t>
      </w:r>
      <w:r w:rsidR="00BD405E">
        <w:rPr>
          <w:rFonts w:asciiTheme="minorBidi" w:hAnsiTheme="minorBidi" w:hint="cs"/>
          <w:color w:val="000000" w:themeColor="text1"/>
          <w:sz w:val="16"/>
          <w:szCs w:val="16"/>
          <w:rtl/>
        </w:rPr>
        <w:t>(</w:t>
      </w:r>
      <w:r w:rsidR="00BD405E" w:rsidRPr="00562750">
        <w:rPr>
          <w:rFonts w:asciiTheme="minorBidi" w:hAnsiTheme="minorBidi" w:hint="cs"/>
          <w:color w:val="000000" w:themeColor="text1"/>
          <w:sz w:val="16"/>
          <w:szCs w:val="16"/>
          <w:rtl/>
        </w:rPr>
        <w:t>ביצה לב: ד"ה מלמטה למעלה, וכן בשבת [קלח. ד"ה כסא טרסקל] בשם ר"ת)</w:t>
      </w:r>
      <w:r w:rsidR="00BD405E">
        <w:rPr>
          <w:rFonts w:asciiTheme="minorBidi" w:hAnsiTheme="minorBidi" w:hint="cs"/>
          <w:color w:val="000000" w:themeColor="text1"/>
          <w:rtl/>
        </w:rPr>
        <w:t xml:space="preserve"> כל היכא שהמחיצות עשויות ליכא משום אהל</w:t>
      </w:r>
      <w:r w:rsidR="00BD405E" w:rsidRPr="00562750">
        <w:rPr>
          <w:rFonts w:asciiTheme="minorBidi" w:hAnsiTheme="minorBidi" w:hint="cs"/>
          <w:color w:val="000000" w:themeColor="text1"/>
          <w:rtl/>
        </w:rPr>
        <w:t xml:space="preserve"> </w:t>
      </w:r>
      <w:r w:rsidR="00BD405E" w:rsidRPr="00562750">
        <w:rPr>
          <w:rFonts w:asciiTheme="minorBidi" w:hAnsiTheme="minorBidi" w:hint="cs"/>
          <w:color w:val="000000" w:themeColor="text1"/>
          <w:sz w:val="16"/>
          <w:szCs w:val="16"/>
          <w:rtl/>
        </w:rPr>
        <w:t>(</w:t>
      </w:r>
      <w:r w:rsidR="00BD405E">
        <w:rPr>
          <w:rFonts w:asciiTheme="minorBidi" w:hAnsiTheme="minorBidi" w:hint="cs"/>
          <w:color w:val="000000" w:themeColor="text1"/>
          <w:sz w:val="16"/>
          <w:szCs w:val="16"/>
          <w:rtl/>
        </w:rPr>
        <w:t>וכ"פ ה</w:t>
      </w:r>
      <w:r w:rsidR="00BD405E" w:rsidRPr="00562750">
        <w:rPr>
          <w:rFonts w:asciiTheme="minorBidi" w:hAnsiTheme="minorBidi" w:hint="cs"/>
          <w:color w:val="000000" w:themeColor="text1"/>
          <w:sz w:val="16"/>
          <w:szCs w:val="16"/>
          <w:rtl/>
        </w:rPr>
        <w:t xml:space="preserve">גר"א (סקי"ד), עיין </w:t>
      </w:r>
      <w:r w:rsidR="00BD405E">
        <w:rPr>
          <w:rFonts w:asciiTheme="minorBidi" w:hAnsiTheme="minorBidi" w:hint="cs"/>
          <w:color w:val="000000" w:themeColor="text1"/>
          <w:sz w:val="16"/>
          <w:szCs w:val="16"/>
          <w:rtl/>
        </w:rPr>
        <w:t>ב</w:t>
      </w:r>
      <w:r w:rsidR="00BD405E" w:rsidRPr="00562750">
        <w:rPr>
          <w:rFonts w:asciiTheme="minorBidi" w:hAnsiTheme="minorBidi" w:hint="cs"/>
          <w:color w:val="000000" w:themeColor="text1"/>
          <w:sz w:val="16"/>
          <w:szCs w:val="16"/>
          <w:rtl/>
        </w:rPr>
        <w:t>סוף סעיף ג)</w:t>
      </w:r>
      <w:r w:rsidR="00BD405E" w:rsidRPr="00562750">
        <w:rPr>
          <w:rFonts w:asciiTheme="minorBidi" w:hAnsiTheme="minorBidi" w:hint="cs"/>
          <w:color w:val="000000" w:themeColor="text1"/>
          <w:rtl/>
        </w:rPr>
        <w:t xml:space="preserve">. ונראה </w:t>
      </w:r>
      <w:r w:rsidR="00BD405E">
        <w:rPr>
          <w:rFonts w:asciiTheme="minorBidi" w:hAnsiTheme="minorBidi" w:hint="cs"/>
          <w:color w:val="000000" w:themeColor="text1"/>
          <w:rtl/>
        </w:rPr>
        <w:t xml:space="preserve">דיש </w:t>
      </w:r>
      <w:r w:rsidR="00BD405E" w:rsidRPr="00562750">
        <w:rPr>
          <w:rFonts w:asciiTheme="minorBidi" w:hAnsiTheme="minorBidi" w:hint="cs"/>
          <w:color w:val="000000" w:themeColor="text1"/>
          <w:rtl/>
        </w:rPr>
        <w:t>לחלק בין קדרה שמניחים על הכירה</w:t>
      </w:r>
      <w:r w:rsidR="00BD405E">
        <w:rPr>
          <w:rFonts w:asciiTheme="minorBidi" w:hAnsiTheme="minorBidi" w:hint="cs"/>
          <w:color w:val="000000" w:themeColor="text1"/>
          <w:rtl/>
        </w:rPr>
        <w:t>,</w:t>
      </w:r>
      <w:r w:rsidR="00BD405E" w:rsidRPr="00562750">
        <w:rPr>
          <w:rFonts w:asciiTheme="minorBidi" w:hAnsiTheme="minorBidi" w:hint="cs"/>
          <w:color w:val="000000" w:themeColor="text1"/>
          <w:rtl/>
        </w:rPr>
        <w:t xml:space="preserve"> דשם מותר משום שלא מכוין לאהל, אבל כאן מכוין לאהל, שהרי רוצה גם לשמור על היין שלא יכנסו אליו לכלוכים</w:t>
      </w:r>
      <w:r w:rsidR="00BD405E">
        <w:rPr>
          <w:rFonts w:asciiTheme="minorBidi" w:hAnsiTheme="minorBidi" w:hint="cs"/>
          <w:color w:val="000000" w:themeColor="text1"/>
          <w:rtl/>
        </w:rPr>
        <w:t xml:space="preserve"> </w:t>
      </w:r>
      <w:r w:rsidR="00BD405E">
        <w:rPr>
          <w:rFonts w:asciiTheme="minorBidi" w:hAnsiTheme="minorBidi" w:hint="cs"/>
          <w:color w:val="000000" w:themeColor="text1"/>
          <w:sz w:val="16"/>
          <w:szCs w:val="16"/>
          <w:rtl/>
        </w:rPr>
        <w:t>(וכן תירץ הגר"א [סקי"ד] גבי הני דכרי דרב)</w:t>
      </w:r>
      <w:r w:rsidR="00BD405E" w:rsidRPr="00562750">
        <w:rPr>
          <w:rFonts w:asciiTheme="minorBidi" w:hAnsiTheme="minorBidi" w:hint="cs"/>
          <w:color w:val="000000" w:themeColor="text1"/>
          <w:rtl/>
        </w:rPr>
        <w:t>.</w:t>
      </w:r>
      <w:r w:rsidR="00BD405E">
        <w:rPr>
          <w:rFonts w:asciiTheme="minorBidi" w:hAnsiTheme="minorBidi" w:hint="cs"/>
          <w:color w:val="000000" w:themeColor="text1"/>
          <w:rtl/>
        </w:rPr>
        <w:t xml:space="preserve"> אבל אם כן קשה היאך היום אנו מניחים מכסים על הסירים ללא כל חשש, שהרי כוונתנו לאהל. ונראה דיש לחלק בין מכסה לבד/עור, שמכסה הרי הוא פתוח במעוד יום והוי כשייר טפח, </w:t>
      </w:r>
      <w:r w:rsidR="000B7870">
        <w:rPr>
          <w:rFonts w:asciiTheme="minorBidi" w:hAnsiTheme="minorBidi" w:hint="cs"/>
          <w:color w:val="000000" w:themeColor="text1"/>
          <w:rtl/>
        </w:rPr>
        <w:t>וגם הוא מוכן לזה ולא נראה כעושה אהל או ע</w:t>
      </w:r>
      <w:r w:rsidR="003D39F4">
        <w:rPr>
          <w:rFonts w:asciiTheme="minorBidi" w:hAnsiTheme="minorBidi" w:hint="cs"/>
          <w:color w:val="000000" w:themeColor="text1"/>
          <w:rtl/>
        </w:rPr>
        <w:t>ו</w:t>
      </w:r>
      <w:r w:rsidR="000B7870">
        <w:rPr>
          <w:rFonts w:asciiTheme="minorBidi" w:hAnsiTheme="minorBidi" w:hint="cs"/>
          <w:color w:val="000000" w:themeColor="text1"/>
          <w:rtl/>
        </w:rPr>
        <w:t xml:space="preserve">בדין דחול. </w:t>
      </w:r>
      <w:r w:rsidR="00BD405E">
        <w:rPr>
          <w:rFonts w:asciiTheme="minorBidi" w:hAnsiTheme="minorBidi" w:hint="cs"/>
          <w:color w:val="000000" w:themeColor="text1"/>
          <w:rtl/>
        </w:rPr>
        <w:t>אבל בד/עור שצריך למתוח לא נחשב כפתוח עד שיהיה על הסיר/כובא מבעו"י ויהיה פתוח טפח</w:t>
      </w:r>
      <w:r w:rsidR="000B7870">
        <w:rPr>
          <w:rFonts w:asciiTheme="minorBidi" w:hAnsiTheme="minorBidi" w:hint="cs"/>
          <w:color w:val="000000" w:themeColor="text1"/>
          <w:rtl/>
        </w:rPr>
        <w:t>, וגם נראה יותר כעושה אהל</w:t>
      </w:r>
      <w:r w:rsidR="003D39F4">
        <w:rPr>
          <w:rFonts w:asciiTheme="minorBidi" w:hAnsiTheme="minorBidi" w:hint="cs"/>
          <w:color w:val="000000" w:themeColor="text1"/>
          <w:rtl/>
        </w:rPr>
        <w:t xml:space="preserve"> כיון שמותח את הבד</w:t>
      </w:r>
      <w:r w:rsidR="000B7870">
        <w:rPr>
          <w:rFonts w:asciiTheme="minorBidi" w:hAnsiTheme="minorBidi" w:hint="cs"/>
          <w:color w:val="000000" w:themeColor="text1"/>
          <w:rtl/>
        </w:rPr>
        <w:t xml:space="preserve">. ולכן לגבי פרונקא דכובא </w:t>
      </w:r>
      <w:r w:rsidR="003D39F4">
        <w:rPr>
          <w:rFonts w:asciiTheme="minorBidi" w:hAnsiTheme="minorBidi" w:hint="cs"/>
          <w:color w:val="000000" w:themeColor="text1"/>
          <w:rtl/>
        </w:rPr>
        <w:t>אסרו (סע' יג), ולא ה</w:t>
      </w:r>
      <w:r w:rsidR="000B7870">
        <w:rPr>
          <w:rFonts w:asciiTheme="minorBidi" w:hAnsiTheme="minorBidi" w:hint="cs"/>
          <w:color w:val="000000" w:themeColor="text1"/>
          <w:rtl/>
        </w:rPr>
        <w:t>תירו</w:t>
      </w:r>
      <w:r w:rsidR="003D39F4">
        <w:rPr>
          <w:rFonts w:asciiTheme="minorBidi" w:hAnsiTheme="minorBidi" w:hint="cs"/>
          <w:color w:val="000000" w:themeColor="text1"/>
          <w:rtl/>
        </w:rPr>
        <w:t xml:space="preserve"> אלא רק</w:t>
      </w:r>
      <w:r w:rsidR="000B7870">
        <w:rPr>
          <w:rFonts w:asciiTheme="minorBidi" w:hAnsiTheme="minorBidi" w:hint="cs"/>
          <w:color w:val="000000" w:themeColor="text1"/>
          <w:rtl/>
        </w:rPr>
        <w:t xml:space="preserve"> אם משאיר </w:t>
      </w:r>
      <w:r w:rsidR="003D39F4">
        <w:rPr>
          <w:rFonts w:asciiTheme="minorBidi" w:hAnsiTheme="minorBidi" w:hint="cs"/>
          <w:color w:val="000000" w:themeColor="text1"/>
          <w:rtl/>
        </w:rPr>
        <w:t>ט</w:t>
      </w:r>
      <w:r w:rsidR="000B7870">
        <w:rPr>
          <w:rFonts w:asciiTheme="minorBidi" w:hAnsiTheme="minorBidi" w:hint="cs"/>
          <w:color w:val="000000" w:themeColor="text1"/>
          <w:rtl/>
        </w:rPr>
        <w:t>פח פ</w:t>
      </w:r>
      <w:r w:rsidR="003D39F4">
        <w:rPr>
          <w:rFonts w:asciiTheme="minorBidi" w:hAnsiTheme="minorBidi" w:hint="cs"/>
          <w:color w:val="000000" w:themeColor="text1"/>
          <w:rtl/>
        </w:rPr>
        <w:t>ת</w:t>
      </w:r>
      <w:r w:rsidR="000B7870">
        <w:rPr>
          <w:rFonts w:asciiTheme="minorBidi" w:hAnsiTheme="minorBidi" w:hint="cs"/>
          <w:color w:val="000000" w:themeColor="text1"/>
          <w:rtl/>
        </w:rPr>
        <w:t xml:space="preserve">וח, דאז </w:t>
      </w:r>
      <w:r w:rsidR="003D39F4">
        <w:rPr>
          <w:rFonts w:asciiTheme="minorBidi" w:hAnsiTheme="minorBidi" w:hint="cs"/>
          <w:color w:val="000000" w:themeColor="text1"/>
          <w:rtl/>
        </w:rPr>
        <w:t>לא מיחזי כעושה אהל</w:t>
      </w:r>
      <w:r w:rsidR="00BD405E">
        <w:rPr>
          <w:rFonts w:asciiTheme="minorBidi" w:hAnsiTheme="minorBidi" w:hint="cs"/>
          <w:color w:val="000000" w:themeColor="text1"/>
          <w:rtl/>
        </w:rPr>
        <w:t>.</w:t>
      </w:r>
      <w:r w:rsidR="003D39F4">
        <w:rPr>
          <w:rFonts w:asciiTheme="minorBidi" w:hAnsiTheme="minorBidi" w:hint="cs"/>
          <w:color w:val="000000" w:themeColor="text1"/>
          <w:rtl/>
        </w:rPr>
        <w:t xml:space="preserve"> וכעין זה כתב הט"ז (סקי"א) וז"ל- </w:t>
      </w:r>
      <w:r w:rsidR="003D39F4" w:rsidRPr="003D39F4">
        <w:rPr>
          <w:rFonts w:asciiTheme="minorBidi" w:hAnsiTheme="minorBidi" w:cs="Arial"/>
          <w:color w:val="000000" w:themeColor="text1"/>
          <w:rtl/>
        </w:rPr>
        <w:t>לפי הנלע"ד עיקר דלא אסרו חכמים בכיסוי משום אוהל אלא אם אין מיוחד לכך כההיא דכובא שנוטל בגד מעלמ' ומכסה על החבית</w:t>
      </w:r>
      <w:r w:rsidR="003D39F4">
        <w:rPr>
          <w:rFonts w:asciiTheme="minorBidi" w:hAnsiTheme="minorBidi" w:cs="Arial" w:hint="cs"/>
          <w:color w:val="000000" w:themeColor="text1"/>
          <w:rtl/>
        </w:rPr>
        <w:t>,</w:t>
      </w:r>
      <w:r w:rsidR="003D39F4" w:rsidRPr="003D39F4">
        <w:rPr>
          <w:rFonts w:asciiTheme="minorBidi" w:hAnsiTheme="minorBidi" w:cs="Arial"/>
          <w:color w:val="000000" w:themeColor="text1"/>
          <w:rtl/>
        </w:rPr>
        <w:t xml:space="preserve"> מה שאין כן בכסוי המיוחד להם ודרכו בכך תמיד לא מיחזי כעביד אהלא</w:t>
      </w:r>
      <w:r w:rsidR="003D39F4">
        <w:rPr>
          <w:rFonts w:asciiTheme="minorBidi" w:hAnsiTheme="minorBidi" w:cs="Arial" w:hint="cs"/>
          <w:color w:val="000000" w:themeColor="text1"/>
          <w:rtl/>
        </w:rPr>
        <w:t>.</w:t>
      </w:r>
    </w:p>
  </w:footnote>
  <w:footnote w:id="2393">
    <w:p w14:paraId="782AAD50" w14:textId="77777777" w:rsidR="00407054" w:rsidRDefault="00407054" w:rsidP="00285819">
      <w:pPr>
        <w:pStyle w:val="a7"/>
        <w:rPr>
          <w:rtl/>
        </w:rPr>
      </w:pPr>
      <w:r>
        <w:rPr>
          <w:rStyle w:val="a9"/>
        </w:rPr>
        <w:footnoteRef/>
      </w:r>
      <w:r>
        <w:rPr>
          <w:rtl/>
        </w:rPr>
        <w:t xml:space="preserve"> </w:t>
      </w:r>
      <w:r w:rsidRPr="000363E5">
        <w:rPr>
          <w:rFonts w:asciiTheme="minorBidi" w:hAnsiTheme="minorBidi" w:cs="Arial"/>
          <w:rtl/>
        </w:rPr>
        <w:t>ובודאי שאין משום אהל אלא בשצריך לחלל שתחתיו והוא שיש לו שלש מחיצות, אלא שאני תמיה כיון שאינו אהל אלא כשצריך לחללו בשעת נטייתו, אפילו בתולה לשמרים אם אין כלי תחתיו להאהיל עליו לישתרי, דהוה ליה כההוא דאמרינן בביצה (ל"ג א') בקדירה ומדורתא מלמעלה למטה שרי</w:t>
      </w:r>
      <w:r>
        <w:rPr>
          <w:rFonts w:asciiTheme="minorBidi" w:hAnsiTheme="minorBidi" w:cs="Arial" w:hint="cs"/>
          <w:rtl/>
        </w:rPr>
        <w:t>...</w:t>
      </w:r>
      <w:r w:rsidRPr="000363E5">
        <w:rPr>
          <w:rFonts w:asciiTheme="minorBidi" w:hAnsiTheme="minorBidi" w:cs="Arial"/>
          <w:rtl/>
        </w:rPr>
        <w:t xml:space="preserve"> והכא נמי כיון שאינו אהל עד שיתן תחתיה כלי כשהוא תולה את המשמרת ואחר כך נותן תחתיה כלי הוה ליה אהל העשוי מלמעלה למטה ושרי, ואם תאמר משמרת אסרו לפי שדרכה בכך שתחלה תולין אותה ואחר כך נותנין כלי תחתיה, אם כן אף על פי שבשעה שתלאה לרימונים לא היה צריך לחלל שתחתיו, עכשיו שהוא תולה בה שמרים ונותן כלי תחתיה ליתסר, ואולי נאמר שלא אסרו אלא בשדעתו מתחלה לתת כלי תחתיה, אבל השתא דאין דעתו לתת בחלל שתחתיה כלי נמצאת תלייתה בהיתר וכשנותן תחתיה כלי לבסוף אין עשייתו של אהל עכשיו, ואי נמי י"ל דכל שהוא צריך לשים כלי תחתיו מעכשיו הוא נקרא אהל שהרי צריך לאותו חלל כדי שישים תחתיו הכלי, אבל בתולה לרימונים אינו צריך לחלל כלל</w:t>
      </w:r>
      <w:r>
        <w:rPr>
          <w:rFonts w:hint="cs"/>
          <w:rtl/>
        </w:rPr>
        <w:t>, רשב"א (שם).</w:t>
      </w:r>
    </w:p>
  </w:footnote>
  <w:footnote w:id="2394">
    <w:p w14:paraId="1DE09EA8" w14:textId="55ED91E3" w:rsidR="005E6776" w:rsidRDefault="005E6776" w:rsidP="00285819">
      <w:pPr>
        <w:pStyle w:val="a7"/>
      </w:pPr>
      <w:r>
        <w:rPr>
          <w:rStyle w:val="a9"/>
        </w:rPr>
        <w:footnoteRef/>
      </w:r>
      <w:r>
        <w:rPr>
          <w:rtl/>
        </w:rPr>
        <w:t xml:space="preserve"> </w:t>
      </w:r>
      <w:r>
        <w:rPr>
          <w:rFonts w:hint="cs"/>
          <w:rtl/>
        </w:rPr>
        <w:t>היינו עובדין דחול. וכן כתב הה"מ שמצא בתשובה להרמב"ם שאסור משום עובדין דחול.</w:t>
      </w:r>
    </w:p>
  </w:footnote>
  <w:footnote w:id="2395">
    <w:p w14:paraId="7AC97F74" w14:textId="2128E127" w:rsidR="005E6776" w:rsidRDefault="005E6776" w:rsidP="00285819">
      <w:pPr>
        <w:pStyle w:val="a7"/>
      </w:pPr>
      <w:r>
        <w:rPr>
          <w:rStyle w:val="a9"/>
        </w:rPr>
        <w:footnoteRef/>
      </w:r>
      <w:r>
        <w:rPr>
          <w:rtl/>
        </w:rPr>
        <w:t xml:space="preserve"> </w:t>
      </w:r>
      <w:r w:rsidRPr="005E6776">
        <w:rPr>
          <w:rFonts w:cs="Arial"/>
          <w:rtl/>
        </w:rPr>
        <w:t>ונראה דעשוי כמין שק שקורין לוגין זא"ק והוא רחב ופתוח למעלה וסתום וחדוד למטה ומכניסין קצה החדוד בתוך הכלי והקצה העליון הרחב מסבבים בשפת פיהו את הכלי ונמצא הוא גג לכלי ועשוי כאהל ואסור מדרבנן אבל לתלות המשמרת כשהיא שטוחה על איזה יתד ובלי כלי תחתיה מותר דאפילו אהל עראי לא חשיב וכ"ש דמותר לתלות כלי ביתד</w:t>
      </w:r>
      <w:r>
        <w:rPr>
          <w:rFonts w:cs="Arial" w:hint="cs"/>
          <w:rtl/>
        </w:rPr>
        <w:t>, משנ"ב (סקל"ו).</w:t>
      </w:r>
    </w:p>
  </w:footnote>
  <w:footnote w:id="2396">
    <w:p w14:paraId="05B1EBE4" w14:textId="084E18DA" w:rsidR="001F682F" w:rsidRDefault="001F682F" w:rsidP="00285819">
      <w:pPr>
        <w:pStyle w:val="a7"/>
      </w:pPr>
      <w:r>
        <w:rPr>
          <w:rStyle w:val="a9"/>
        </w:rPr>
        <w:footnoteRef/>
      </w:r>
      <w:r>
        <w:rPr>
          <w:rtl/>
        </w:rPr>
        <w:t xml:space="preserve"> </w:t>
      </w:r>
      <w:r w:rsidRPr="001F682F">
        <w:rPr>
          <w:rFonts w:cs="Arial"/>
          <w:rtl/>
        </w:rPr>
        <w:t>ואסור לנטותה ולמותחה אם היתה תלויה עם השמרים מבעוד יום ואף על פי שגג בלא מחיצות אינו אסור משום אהל כאן אסרו כדי שלא יעשה כדרך שהוא עושה בחול משום זלזול שבת אבל מותר לתלותה ולמותחה כדי ליתן בה פירות או שאר דברים או אפילו כדי לסנן בה יין ומים צלולים שמותר לסננם בשבת ואין כאן זלזול שבת כלל</w:t>
      </w:r>
      <w:r>
        <w:rPr>
          <w:rFonts w:cs="Arial" w:hint="cs"/>
          <w:rtl/>
        </w:rPr>
        <w:t>, שולחן ערוך הרב (סע' יד).</w:t>
      </w:r>
    </w:p>
  </w:footnote>
  <w:footnote w:id="2397">
    <w:p w14:paraId="2787099B"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פי' שתולה אותו על המוט מקופל, מג"א (סקי"ג).</w:t>
      </w:r>
    </w:p>
  </w:footnote>
  <w:footnote w:id="2398">
    <w:p w14:paraId="028851F5"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פירוש, שע"י החוטין מושך אותה והוי כמוסיף על אהל עראי, ט"ז (סק"י).</w:t>
      </w:r>
    </w:p>
  </w:footnote>
  <w:footnote w:id="2399">
    <w:p w14:paraId="42BCE4E4"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פירוש, אף הפרוכת שרי אע"פ שלא היו עליה חוטין משום דאין אהל אלא העשוי כעין גג (מ"מ), ומשמע דאם עשוי להתיר (כמו דופן המתרת בסוכה) לא מהני חוטין, ועי' סע' א, מג"א (סקט"ו).</w:t>
      </w:r>
    </w:p>
  </w:footnote>
  <w:footnote w:id="2400">
    <w:p w14:paraId="207BE304"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הוא עור של בהמה תפור ופיו רחב מאד ויש לו שנצים ועוברי דרכים ממלאין אותו יין או חלב במקום שתוקעין שם אהליהם ללון ושוטחין אותו ופיו מתוח ע"ג יתידות והרוח עוברת מתחתיו ומצטנן שלא יתקלקל היין, והוי דומה לאהל לאחר שנמתח, רש"י.</w:t>
      </w:r>
    </w:p>
  </w:footnote>
  <w:footnote w:id="2401">
    <w:p w14:paraId="4BC0DD67" w14:textId="7BA18A4F" w:rsidR="009A7623" w:rsidRPr="00211AA3" w:rsidRDefault="009A7623" w:rsidP="00285819">
      <w:pPr>
        <w:pStyle w:val="a7"/>
        <w:rPr>
          <w:rFonts w:asciiTheme="minorBidi" w:hAnsiTheme="minorBidi"/>
          <w:color w:val="000000" w:themeColor="text1"/>
          <w:rtl/>
        </w:rPr>
      </w:pPr>
      <w:r w:rsidRPr="00211AA3">
        <w:rPr>
          <w:rStyle w:val="a9"/>
          <w:rFonts w:asciiTheme="minorBidi" w:hAnsiTheme="minorBidi"/>
          <w:color w:val="000000" w:themeColor="text1"/>
        </w:rPr>
        <w:footnoteRef/>
      </w:r>
      <w:r w:rsidRPr="00211AA3">
        <w:rPr>
          <w:rFonts w:asciiTheme="minorBidi" w:hAnsiTheme="minorBidi"/>
          <w:color w:val="000000" w:themeColor="text1"/>
          <w:rtl/>
        </w:rPr>
        <w:t xml:space="preserve"> גוד ברצועותיו ומונח על מקום קבוע שלו, </w:t>
      </w:r>
      <w:r w:rsidRPr="00211AA3">
        <w:rPr>
          <w:rFonts w:asciiTheme="minorBidi" w:hAnsiTheme="minorBidi"/>
          <w:b/>
          <w:bCs/>
          <w:color w:val="000000" w:themeColor="text1"/>
          <w:rtl/>
        </w:rPr>
        <w:t>רש"י</w:t>
      </w:r>
      <w:r w:rsidRPr="00211AA3">
        <w:rPr>
          <w:rFonts w:asciiTheme="minorBidi" w:hAnsiTheme="minorBidi"/>
          <w:color w:val="000000" w:themeColor="text1"/>
          <w:rtl/>
        </w:rPr>
        <w:t xml:space="preserve">. </w:t>
      </w:r>
      <w:r w:rsidR="00211AA3" w:rsidRPr="00211AA3">
        <w:rPr>
          <w:rFonts w:asciiTheme="minorBidi" w:hAnsiTheme="minorBidi" w:cs="Arial"/>
          <w:color w:val="000000" w:themeColor="text1"/>
          <w:rtl/>
        </w:rPr>
        <w:t>שכבר התחיל לעשותו אהל מערב שבת</w:t>
      </w:r>
      <w:r w:rsidR="00211AA3">
        <w:rPr>
          <w:rFonts w:asciiTheme="minorBidi" w:hAnsiTheme="minorBidi" w:cs="Arial" w:hint="cs"/>
          <w:color w:val="000000" w:themeColor="text1"/>
          <w:rtl/>
        </w:rPr>
        <w:t xml:space="preserve">, </w:t>
      </w:r>
      <w:r w:rsidR="00211AA3" w:rsidRPr="00211AA3">
        <w:rPr>
          <w:rFonts w:asciiTheme="minorBidi" w:hAnsiTheme="minorBidi" w:cs="Arial" w:hint="cs"/>
          <w:b/>
          <w:bCs/>
          <w:color w:val="000000" w:themeColor="text1"/>
          <w:rtl/>
        </w:rPr>
        <w:t>רי"ו</w:t>
      </w:r>
      <w:r w:rsidR="00211AA3">
        <w:rPr>
          <w:rFonts w:asciiTheme="minorBidi" w:hAnsiTheme="minorBidi" w:cs="Arial" w:hint="cs"/>
          <w:color w:val="000000" w:themeColor="text1"/>
          <w:rtl/>
        </w:rPr>
        <w:t xml:space="preserve"> (תא"ו ני"ב ח"ד עב טור ג),</w:t>
      </w:r>
    </w:p>
  </w:footnote>
  <w:footnote w:id="2402">
    <w:p w14:paraId="40FAA72A" w14:textId="35F12BF4"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והא דאמרן לעיל פטור אבל אסור היכא דלא הוי מתוקן בכיסנין, רש"י. </w:t>
      </w:r>
    </w:p>
  </w:footnote>
  <w:footnote w:id="2403">
    <w:p w14:paraId="6AEBBB90"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לא מימתח ליה שפיר, רש"י.</w:t>
      </w:r>
    </w:p>
  </w:footnote>
  <w:footnote w:id="2404">
    <w:p w14:paraId="70878430"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ממתח ליה שפיר, שמותחו על יתד זו וקושרו בה וחוזר ומותחו על זו וקושרו בה, כך פירשו רבותי וכן מצאתי בתשובת הגאונים ואיני יודע מהו, רש"י. </w:t>
      </w:r>
    </w:p>
  </w:footnote>
  <w:footnote w:id="2405">
    <w:p w14:paraId="19E70F77" w14:textId="6407C934"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w:t>
      </w:r>
      <w:r w:rsidR="00211AA3" w:rsidRPr="00211AA3">
        <w:rPr>
          <w:rFonts w:asciiTheme="minorBidi" w:hAnsiTheme="minorBidi" w:cs="Arial"/>
          <w:rtl/>
        </w:rPr>
        <w:t xml:space="preserve">וכילה </w:t>
      </w:r>
      <w:r w:rsidR="00211AA3" w:rsidRPr="00211AA3">
        <w:rPr>
          <w:rFonts w:asciiTheme="minorBidi" w:hAnsiTheme="minorBidi" w:cs="Arial"/>
          <w:b/>
          <w:bCs/>
          <w:rtl/>
        </w:rPr>
        <w:t>כשהיא אסורה</w:t>
      </w:r>
      <w:r w:rsidR="00211AA3" w:rsidRPr="00211AA3">
        <w:rPr>
          <w:rFonts w:asciiTheme="minorBidi" w:hAnsiTheme="minorBidi" w:cs="Arial"/>
          <w:rtl/>
        </w:rPr>
        <w:t xml:space="preserve"> אפילו בעשרה בני אדם אסור</w:t>
      </w:r>
      <w:r w:rsidR="009766BD">
        <w:rPr>
          <w:rFonts w:asciiTheme="minorBidi" w:hAnsiTheme="minorBidi" w:cs="Arial" w:hint="cs"/>
          <w:rtl/>
        </w:rPr>
        <w:t>...</w:t>
      </w:r>
      <w:r w:rsidR="00211AA3">
        <w:rPr>
          <w:rFonts w:asciiTheme="minorBidi" w:hAnsiTheme="minorBidi" w:cs="Arial" w:hint="cs"/>
          <w:rtl/>
        </w:rPr>
        <w:t>, רי"ו (שם טור ד).</w:t>
      </w:r>
      <w:r w:rsidR="00D71291">
        <w:rPr>
          <w:rFonts w:asciiTheme="minorBidi" w:hAnsiTheme="minorBidi" w:cs="Arial" w:hint="cs"/>
          <w:rtl/>
        </w:rPr>
        <w:t xml:space="preserve"> וכ"כ </w:t>
      </w:r>
      <w:r w:rsidR="009766BD">
        <w:rPr>
          <w:rFonts w:asciiTheme="minorBidi" w:hAnsiTheme="minorBidi" w:cs="Arial" w:hint="cs"/>
          <w:rtl/>
        </w:rPr>
        <w:t>ב</w:t>
      </w:r>
      <w:r w:rsidR="00D71291">
        <w:rPr>
          <w:rFonts w:asciiTheme="minorBidi" w:hAnsiTheme="minorBidi" w:cs="Arial" w:hint="cs"/>
          <w:rtl/>
        </w:rPr>
        <w:t>ביאו</w:t>
      </w:r>
      <w:r w:rsidR="009766BD">
        <w:rPr>
          <w:rFonts w:asciiTheme="minorBidi" w:hAnsiTheme="minorBidi" w:cs="Arial" w:hint="cs"/>
          <w:rtl/>
        </w:rPr>
        <w:t xml:space="preserve">ר </w:t>
      </w:r>
      <w:r w:rsidR="00D71291">
        <w:rPr>
          <w:rFonts w:asciiTheme="minorBidi" w:hAnsiTheme="minorBidi" w:cs="Arial" w:hint="cs"/>
          <w:rtl/>
        </w:rPr>
        <w:t>ה</w:t>
      </w:r>
      <w:r w:rsidR="009766BD">
        <w:rPr>
          <w:rFonts w:asciiTheme="minorBidi" w:hAnsiTheme="minorBidi" w:cs="Arial" w:hint="cs"/>
          <w:rtl/>
        </w:rPr>
        <w:t>לכה</w:t>
      </w:r>
      <w:r w:rsidR="00D71291">
        <w:rPr>
          <w:rFonts w:asciiTheme="minorBidi" w:hAnsiTheme="minorBidi" w:cs="Arial" w:hint="cs"/>
          <w:rtl/>
        </w:rPr>
        <w:t xml:space="preserve"> (סע' יב) </w:t>
      </w:r>
      <w:r w:rsidR="00CD5493">
        <w:rPr>
          <w:rFonts w:asciiTheme="minorBidi" w:hAnsiTheme="minorBidi" w:cs="Arial" w:hint="cs"/>
          <w:rtl/>
        </w:rPr>
        <w:t xml:space="preserve">וז"ל- </w:t>
      </w:r>
      <w:r w:rsidR="00D71291" w:rsidRPr="00D71291">
        <w:rPr>
          <w:rFonts w:asciiTheme="minorBidi" w:hAnsiTheme="minorBidi" w:cs="Arial"/>
          <w:rtl/>
        </w:rPr>
        <w:t>ע</w:t>
      </w:r>
      <w:r w:rsidR="00D71291">
        <w:rPr>
          <w:rFonts w:asciiTheme="minorBidi" w:hAnsiTheme="minorBidi" w:cs="Arial" w:hint="cs"/>
          <w:rtl/>
        </w:rPr>
        <w:t xml:space="preserve">ל </w:t>
      </w:r>
      <w:r w:rsidR="00D71291" w:rsidRPr="00D71291">
        <w:rPr>
          <w:rFonts w:asciiTheme="minorBidi" w:hAnsiTheme="minorBidi" w:cs="Arial"/>
          <w:rtl/>
        </w:rPr>
        <w:t>כ</w:t>
      </w:r>
      <w:r w:rsidR="00D71291">
        <w:rPr>
          <w:rFonts w:asciiTheme="minorBidi" w:hAnsiTheme="minorBidi" w:cs="Arial" w:hint="cs"/>
          <w:rtl/>
        </w:rPr>
        <w:t>רחך</w:t>
      </w:r>
      <w:r w:rsidR="00D71291" w:rsidRPr="00D71291">
        <w:rPr>
          <w:rFonts w:asciiTheme="minorBidi" w:hAnsiTheme="minorBidi" w:cs="Arial"/>
          <w:rtl/>
        </w:rPr>
        <w:t xml:space="preserve"> </w:t>
      </w:r>
      <w:r w:rsidR="00D71291">
        <w:rPr>
          <w:rFonts w:asciiTheme="minorBidi" w:hAnsiTheme="minorBidi" w:cs="Arial" w:hint="cs"/>
          <w:rtl/>
        </w:rPr>
        <w:t>מיירי הכא</w:t>
      </w:r>
      <w:r w:rsidR="00D71291" w:rsidRPr="00D71291">
        <w:rPr>
          <w:rFonts w:asciiTheme="minorBidi" w:hAnsiTheme="minorBidi" w:cs="Arial"/>
          <w:rtl/>
        </w:rPr>
        <w:t xml:space="preserve"> בחד גווני דמיירי בגוד</w:t>
      </w:r>
      <w:r w:rsidR="00D71291">
        <w:rPr>
          <w:rFonts w:asciiTheme="minorBidi" w:hAnsiTheme="minorBidi" w:cs="Arial" w:hint="cs"/>
          <w:rtl/>
        </w:rPr>
        <w:t>,</w:t>
      </w:r>
      <w:r w:rsidR="00D71291" w:rsidRPr="00D71291">
        <w:rPr>
          <w:rFonts w:asciiTheme="minorBidi" w:hAnsiTheme="minorBidi" w:cs="Arial"/>
          <w:rtl/>
        </w:rPr>
        <w:t xml:space="preserve"> דהיינו בחוטין</w:t>
      </w:r>
      <w:r w:rsidR="00D71291">
        <w:rPr>
          <w:rFonts w:asciiTheme="minorBidi" w:hAnsiTheme="minorBidi" w:cs="Arial" w:hint="cs"/>
          <w:rtl/>
        </w:rPr>
        <w:t>,</w:t>
      </w:r>
      <w:r w:rsidR="00D71291" w:rsidRPr="00D71291">
        <w:rPr>
          <w:rFonts w:asciiTheme="minorBidi" w:hAnsiTheme="minorBidi" w:cs="Arial"/>
          <w:rtl/>
        </w:rPr>
        <w:t xml:space="preserve"> ואפ"ה אסור בכילה</w:t>
      </w:r>
      <w:r w:rsidR="00D71291">
        <w:rPr>
          <w:rFonts w:asciiTheme="minorBidi" w:hAnsiTheme="minorBidi" w:cs="Arial" w:hint="cs"/>
          <w:rtl/>
        </w:rPr>
        <w:t>.</w:t>
      </w:r>
      <w:r w:rsidR="00D71291" w:rsidRPr="00D71291">
        <w:rPr>
          <w:rFonts w:asciiTheme="minorBidi" w:hAnsiTheme="minorBidi" w:cs="Arial"/>
          <w:rtl/>
        </w:rPr>
        <w:t xml:space="preserve"> ואי דמיירי הסוגיא בכילה שאין בגגה רוחב טפח אמאי יהיה אסור</w:t>
      </w:r>
      <w:r w:rsidR="00D71291">
        <w:rPr>
          <w:rFonts w:asciiTheme="minorBidi" w:hAnsiTheme="minorBidi" w:cs="Arial" w:hint="cs"/>
          <w:rtl/>
        </w:rPr>
        <w:t>?</w:t>
      </w:r>
      <w:r w:rsidR="00D71291" w:rsidRPr="00D71291">
        <w:rPr>
          <w:rFonts w:asciiTheme="minorBidi" w:hAnsiTheme="minorBidi" w:cs="Arial"/>
          <w:rtl/>
        </w:rPr>
        <w:t xml:space="preserve"> וע"כ פירש הר"ח </w:t>
      </w:r>
      <w:r w:rsidR="00F25E89">
        <w:rPr>
          <w:rFonts w:asciiTheme="minorBidi" w:hAnsiTheme="minorBidi" w:cs="Arial" w:hint="cs"/>
          <w:sz w:val="16"/>
          <w:szCs w:val="16"/>
          <w:rtl/>
        </w:rPr>
        <w:t>{</w:t>
      </w:r>
      <w:r w:rsidR="00CD5493" w:rsidRPr="00F25E89">
        <w:rPr>
          <w:rFonts w:asciiTheme="minorBidi" w:hAnsiTheme="minorBidi" w:cs="Arial"/>
          <w:sz w:val="16"/>
          <w:szCs w:val="16"/>
          <w:rtl/>
        </w:rPr>
        <w:t>וממילא</w:t>
      </w:r>
      <w:r w:rsidR="00F25E89" w:rsidRPr="00F25E89">
        <w:rPr>
          <w:rFonts w:asciiTheme="minorBidi" w:hAnsiTheme="minorBidi" w:cs="Arial" w:hint="cs"/>
          <w:sz w:val="16"/>
          <w:szCs w:val="16"/>
          <w:rtl/>
        </w:rPr>
        <w:t xml:space="preserve"> </w:t>
      </w:r>
      <w:r w:rsidR="00CD5493" w:rsidRPr="00F25E89">
        <w:rPr>
          <w:rFonts w:asciiTheme="minorBidi" w:hAnsiTheme="minorBidi" w:cs="Arial"/>
          <w:sz w:val="16"/>
          <w:szCs w:val="16"/>
          <w:rtl/>
        </w:rPr>
        <w:t>הרמב"ם</w:t>
      </w:r>
      <w:r w:rsidR="00F25E89" w:rsidRPr="00F25E89">
        <w:rPr>
          <w:rFonts w:asciiTheme="minorBidi" w:hAnsiTheme="minorBidi" w:cs="Arial" w:hint="cs"/>
          <w:sz w:val="16"/>
          <w:szCs w:val="16"/>
          <w:rtl/>
        </w:rPr>
        <w:t xml:space="preserve"> שהעתיק ד</w:t>
      </w:r>
      <w:r w:rsidR="00F25E89">
        <w:rPr>
          <w:rFonts w:asciiTheme="minorBidi" w:hAnsiTheme="minorBidi" w:cs="Arial" w:hint="cs"/>
          <w:sz w:val="16"/>
          <w:szCs w:val="16"/>
          <w:rtl/>
        </w:rPr>
        <w:t>בריו בסוגיא זו</w:t>
      </w:r>
      <w:r w:rsidR="00F25E89" w:rsidRPr="00F25E89">
        <w:rPr>
          <w:rFonts w:asciiTheme="minorBidi" w:hAnsiTheme="minorBidi" w:cs="Arial" w:hint="cs"/>
          <w:sz w:val="16"/>
          <w:szCs w:val="16"/>
          <w:rtl/>
        </w:rPr>
        <w:t>}</w:t>
      </w:r>
      <w:r w:rsidR="00CD5493" w:rsidRPr="00CD5493">
        <w:rPr>
          <w:rFonts w:asciiTheme="minorBidi" w:hAnsiTheme="minorBidi" w:cs="Arial"/>
          <w:rtl/>
        </w:rPr>
        <w:t xml:space="preserve"> </w:t>
      </w:r>
      <w:r w:rsidR="00D71291" w:rsidRPr="00D71291">
        <w:rPr>
          <w:rFonts w:asciiTheme="minorBidi" w:hAnsiTheme="minorBidi" w:cs="Arial"/>
          <w:rtl/>
        </w:rPr>
        <w:t>דמיירי שיש לה גג רוחב טפח</w:t>
      </w:r>
      <w:r w:rsidR="00D71291">
        <w:rPr>
          <w:rFonts w:asciiTheme="minorBidi" w:hAnsiTheme="minorBidi" w:cs="Arial" w:hint="cs"/>
          <w:rtl/>
        </w:rPr>
        <w:t>,</w:t>
      </w:r>
      <w:r w:rsidR="00D71291" w:rsidRPr="00D71291">
        <w:rPr>
          <w:rFonts w:asciiTheme="minorBidi" w:hAnsiTheme="minorBidi" w:cs="Arial"/>
          <w:rtl/>
        </w:rPr>
        <w:t xml:space="preserve"> ולהכי אסור אף שיש לה חוטין</w:t>
      </w:r>
      <w:r w:rsidR="00D71291">
        <w:rPr>
          <w:rFonts w:asciiTheme="minorBidi" w:hAnsiTheme="minorBidi" w:cs="Arial" w:hint="cs"/>
          <w:rtl/>
        </w:rPr>
        <w:t>.</w:t>
      </w:r>
      <w:r w:rsidR="00D71291" w:rsidRPr="00D71291">
        <w:rPr>
          <w:rFonts w:asciiTheme="minorBidi" w:hAnsiTheme="minorBidi" w:cs="Arial"/>
          <w:rtl/>
        </w:rPr>
        <w:t xml:space="preserve"> ואזיל הר"ח לשיטתי' דס"ל בריש הסוגיא דברוחב טפח לא מהני חוטין</w:t>
      </w:r>
      <w:r w:rsidR="00D71291">
        <w:rPr>
          <w:rFonts w:asciiTheme="minorBidi" w:hAnsiTheme="minorBidi" w:cs="Arial" w:hint="cs"/>
          <w:rtl/>
        </w:rPr>
        <w:t xml:space="preserve">. </w:t>
      </w:r>
      <w:r w:rsidR="00D71291" w:rsidRPr="00D71291">
        <w:rPr>
          <w:rFonts w:asciiTheme="minorBidi" w:hAnsiTheme="minorBidi" w:cs="Arial"/>
          <w:rtl/>
        </w:rPr>
        <w:t>ורש"י דס"ל בריש הסוגיא דחוטין מהני בגג רחב טפח ע"כ דמיירי הכא בשלא היו חוטין כרוכין עליה מבע"י</w:t>
      </w:r>
      <w:r w:rsidR="00D71291">
        <w:rPr>
          <w:rFonts w:asciiTheme="minorBidi" w:hAnsiTheme="minorBidi" w:cs="Arial" w:hint="cs"/>
          <w:rtl/>
        </w:rPr>
        <w:t>.</w:t>
      </w:r>
      <w:r w:rsidR="00D71291" w:rsidRPr="00D71291">
        <w:rPr>
          <w:rFonts w:asciiTheme="minorBidi" w:hAnsiTheme="minorBidi" w:cs="Arial"/>
          <w:rtl/>
        </w:rPr>
        <w:t xml:space="preserve"> וע"כ מוכרח לפרש גוד בכסכסו' שלא כפירוש ר"ח דהיינו חוטין</w:t>
      </w:r>
      <w:r w:rsidR="00D71291">
        <w:rPr>
          <w:rFonts w:asciiTheme="minorBidi" w:hAnsiTheme="minorBidi" w:cs="Arial" w:hint="cs"/>
          <w:rtl/>
        </w:rPr>
        <w:t>.</w:t>
      </w:r>
      <w:r w:rsidRPr="008C1C8E">
        <w:rPr>
          <w:rFonts w:asciiTheme="minorBidi" w:hAnsiTheme="minorBidi"/>
          <w:rtl/>
        </w:rPr>
        <w:t xml:space="preserve"> </w:t>
      </w:r>
    </w:p>
  </w:footnote>
  <w:footnote w:id="2406">
    <w:p w14:paraId="31D73472" w14:textId="1C02CF84" w:rsidR="00D55D2E" w:rsidRDefault="00D55D2E" w:rsidP="00285819">
      <w:pPr>
        <w:pStyle w:val="a7"/>
      </w:pPr>
      <w:r>
        <w:rPr>
          <w:rStyle w:val="a9"/>
        </w:rPr>
        <w:footnoteRef/>
      </w:r>
      <w:r>
        <w:rPr>
          <w:rtl/>
        </w:rPr>
        <w:t xml:space="preserve"> </w:t>
      </w:r>
      <w:r w:rsidRPr="00D55D2E">
        <w:rPr>
          <w:rFonts w:asciiTheme="minorBidi" w:hAnsiTheme="minorBidi" w:cs="Arial"/>
          <w:rtl/>
        </w:rPr>
        <w:t>משמע דסבירא ליה דגוד כעין פרוכת</w:t>
      </w:r>
      <w:r>
        <w:rPr>
          <w:rFonts w:asciiTheme="minorBidi" w:hAnsiTheme="minorBidi" w:cs="Arial" w:hint="cs"/>
          <w:rtl/>
        </w:rPr>
        <w:t>,</w:t>
      </w:r>
      <w:r w:rsidRPr="00D55D2E">
        <w:rPr>
          <w:rFonts w:asciiTheme="minorBidi" w:hAnsiTheme="minorBidi" w:cs="Arial"/>
          <w:rtl/>
        </w:rPr>
        <w:t xml:space="preserve"> ר"ן (נו: ד"ה גוד)</w:t>
      </w:r>
      <w:r>
        <w:rPr>
          <w:rFonts w:asciiTheme="minorBidi" w:hAnsiTheme="minorBidi" w:cs="Arial" w:hint="cs"/>
          <w:rtl/>
        </w:rPr>
        <w:t>.</w:t>
      </w:r>
    </w:p>
  </w:footnote>
  <w:footnote w:id="2407">
    <w:p w14:paraId="38970A73"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כלומר שלא יכפל לרחבו טפח דהוי אהל, וצ"ע דהא אמרינן בגמ' אם שרביב בגלימא טפח לא הוי אהל כל זמן דלא מהדק (וכמ"ש סי' ש"א סע' מ) וי"ל דשאני הכא דמכוין לעשות מחיצה משא"כ התם, מג"א (סקי"ח).</w:t>
      </w:r>
    </w:p>
  </w:footnote>
  <w:footnote w:id="2408">
    <w:p w14:paraId="0057DF1A" w14:textId="655E69AB" w:rsidR="004E6977" w:rsidRDefault="004E6977" w:rsidP="00285819">
      <w:pPr>
        <w:pStyle w:val="a7"/>
      </w:pPr>
      <w:r>
        <w:rPr>
          <w:rStyle w:val="a9"/>
        </w:rPr>
        <w:footnoteRef/>
      </w:r>
      <w:r>
        <w:rPr>
          <w:rtl/>
        </w:rPr>
        <w:t xml:space="preserve"> </w:t>
      </w:r>
      <w:r w:rsidRPr="004E6977">
        <w:rPr>
          <w:rFonts w:cs="Arial"/>
          <w:rtl/>
        </w:rPr>
        <w:t>הכפיפה מקרקעית כלי התחתון טפח, כמדת אהל</w:t>
      </w:r>
      <w:r>
        <w:rPr>
          <w:rFonts w:cs="Arial" w:hint="cs"/>
          <w:rtl/>
        </w:rPr>
        <w:t>, רש"י.</w:t>
      </w:r>
    </w:p>
  </w:footnote>
  <w:footnote w:id="2409">
    <w:p w14:paraId="12E4184C" w14:textId="60DB85A5" w:rsidR="00812710" w:rsidRPr="008C1C8E" w:rsidRDefault="00812710" w:rsidP="00285819">
      <w:pPr>
        <w:spacing w:after="0" w:line="240" w:lineRule="auto"/>
        <w:rPr>
          <w:rFonts w:asciiTheme="minorBidi" w:hAnsiTheme="minorBidi"/>
          <w:sz w:val="20"/>
          <w:szCs w:val="20"/>
        </w:rPr>
      </w:pPr>
      <w:r w:rsidRPr="008C1C8E">
        <w:rPr>
          <w:rStyle w:val="a9"/>
          <w:rFonts w:asciiTheme="minorBidi" w:hAnsiTheme="minorBidi"/>
          <w:sz w:val="20"/>
          <w:szCs w:val="20"/>
        </w:rPr>
        <w:footnoteRef/>
      </w:r>
      <w:r w:rsidRPr="008C1C8E">
        <w:rPr>
          <w:rFonts w:asciiTheme="minorBidi" w:hAnsiTheme="minorBidi"/>
          <w:sz w:val="20"/>
          <w:szCs w:val="20"/>
          <w:rtl/>
        </w:rPr>
        <w:t xml:space="preserve"> </w:t>
      </w:r>
      <w:r w:rsidR="00F25E89" w:rsidRPr="00F25E89">
        <w:rPr>
          <w:rFonts w:asciiTheme="minorBidi" w:hAnsiTheme="minorBidi" w:cs="Arial"/>
          <w:sz w:val="20"/>
          <w:szCs w:val="20"/>
          <w:rtl/>
        </w:rPr>
        <w:t>בגד ששוטחין על גיגית יין לכסותה</w:t>
      </w:r>
      <w:r w:rsidR="00F25E89">
        <w:rPr>
          <w:rFonts w:asciiTheme="minorBidi" w:hAnsiTheme="minorBidi" w:hint="cs"/>
          <w:sz w:val="20"/>
          <w:szCs w:val="20"/>
          <w:rtl/>
        </w:rPr>
        <w:t>, רש"י</w:t>
      </w:r>
      <w:r w:rsidRPr="008C1C8E">
        <w:rPr>
          <w:rFonts w:asciiTheme="minorBidi" w:hAnsiTheme="minorBidi"/>
          <w:sz w:val="20"/>
          <w:szCs w:val="20"/>
          <w:rtl/>
        </w:rPr>
        <w:t>.</w:t>
      </w:r>
    </w:p>
  </w:footnote>
  <w:footnote w:id="2410">
    <w:p w14:paraId="5384CDBD" w14:textId="77777777" w:rsidR="00812710" w:rsidRPr="008C1C8E" w:rsidRDefault="00812710"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דלאו אוהלא הוי, רש"י.</w:t>
      </w:r>
    </w:p>
  </w:footnote>
  <w:footnote w:id="2411">
    <w:p w14:paraId="39784963" w14:textId="6445AD75" w:rsidR="00BD405E" w:rsidRDefault="00BD405E" w:rsidP="00285819">
      <w:pPr>
        <w:pStyle w:val="a7"/>
        <w:rPr>
          <w:rtl/>
        </w:rPr>
      </w:pPr>
      <w:r>
        <w:rPr>
          <w:rStyle w:val="a9"/>
        </w:rPr>
        <w:footnoteRef/>
      </w:r>
      <w:r>
        <w:rPr>
          <w:rtl/>
        </w:rPr>
        <w:t xml:space="preserve"> </w:t>
      </w:r>
      <w:r>
        <w:rPr>
          <w:rFonts w:hint="cs"/>
          <w:rtl/>
        </w:rPr>
        <w:t>והגר"א (סקי"ד) תירץ דאסור משום שמכוין לעשות אהל, ולכן אסור אע"ג שהמחיצות כבר עשויות.</w:t>
      </w:r>
    </w:p>
  </w:footnote>
  <w:footnote w:id="2412">
    <w:p w14:paraId="45FC73F8" w14:textId="77777777" w:rsidR="0017469D" w:rsidRDefault="0017469D" w:rsidP="00285819">
      <w:pPr>
        <w:pStyle w:val="a7"/>
      </w:pPr>
      <w:r>
        <w:rPr>
          <w:rStyle w:val="a9"/>
        </w:rPr>
        <w:footnoteRef/>
      </w:r>
      <w:r>
        <w:rPr>
          <w:rtl/>
        </w:rPr>
        <w:t xml:space="preserve"> </w:t>
      </w:r>
      <w:r>
        <w:rPr>
          <w:rFonts w:asciiTheme="minorBidi" w:hAnsiTheme="minorBidi" w:cs="Arial" w:hint="cs"/>
          <w:rtl/>
        </w:rPr>
        <w:t xml:space="preserve">וז"ל- </w:t>
      </w:r>
      <w:r w:rsidRPr="004A779A">
        <w:rPr>
          <w:rFonts w:asciiTheme="minorBidi" w:hAnsiTheme="minorBidi" w:cs="Arial"/>
          <w:rtl/>
        </w:rPr>
        <w:t>בגד שמכסה בו פי החבית לא יכסה בו את כולה מפני שנעשה אהל אבל מכסה הוא מקצת פיה</w:t>
      </w:r>
      <w:r>
        <w:rPr>
          <w:rFonts w:asciiTheme="minorBidi" w:hAnsiTheme="minorBidi" w:cs="Arial" w:hint="cs"/>
          <w:rtl/>
        </w:rPr>
        <w:t>.</w:t>
      </w:r>
    </w:p>
  </w:footnote>
  <w:footnote w:id="2413">
    <w:p w14:paraId="4A5EED3E" w14:textId="3EBEDB77" w:rsidR="003D39F4" w:rsidRDefault="003D39F4" w:rsidP="00285819">
      <w:pPr>
        <w:pStyle w:val="a7"/>
      </w:pPr>
      <w:r>
        <w:rPr>
          <w:rStyle w:val="a9"/>
        </w:rPr>
        <w:footnoteRef/>
      </w:r>
      <w:r>
        <w:rPr>
          <w:rtl/>
        </w:rPr>
        <w:t xml:space="preserve"> </w:t>
      </w:r>
      <w:r>
        <w:rPr>
          <w:rFonts w:hint="cs"/>
          <w:rtl/>
        </w:rPr>
        <w:t>והוא שיש שם טפח מקרקעית הכלי, ע"פ רש"י והגר"א.</w:t>
      </w:r>
    </w:p>
  </w:footnote>
  <w:footnote w:id="2414">
    <w:p w14:paraId="08D33DE1" w14:textId="2F02D82D" w:rsidR="00057DFA" w:rsidRPr="008C1C8E" w:rsidRDefault="00057DFA" w:rsidP="00285819">
      <w:pPr>
        <w:pStyle w:val="a7"/>
        <w:rPr>
          <w:rFonts w:asciiTheme="minorBidi" w:hAnsiTheme="minorBidi"/>
          <w:rtl/>
        </w:rPr>
      </w:pPr>
      <w:r w:rsidRPr="008C1C8E">
        <w:rPr>
          <w:rStyle w:val="a9"/>
          <w:rFonts w:asciiTheme="minorBidi" w:hAnsiTheme="minorBidi"/>
        </w:rPr>
        <w:footnoteRef/>
      </w:r>
      <w:r>
        <w:rPr>
          <w:rFonts w:asciiTheme="minorBidi" w:hAnsiTheme="minorBidi" w:hint="cs"/>
          <w:rtl/>
        </w:rPr>
        <w:t xml:space="preserve"> </w:t>
      </w:r>
      <w:r w:rsidR="004E1C63" w:rsidRPr="004E1C63">
        <w:rPr>
          <w:rFonts w:asciiTheme="minorBidi" w:hAnsiTheme="minorBidi" w:cs="Arial"/>
          <w:rtl/>
        </w:rPr>
        <w:t xml:space="preserve">עד שהכניסו למגדל, משטיי"ר בלעז </w:t>
      </w:r>
      <w:r w:rsidR="004E1C63">
        <w:rPr>
          <w:rFonts w:asciiTheme="minorBidi" w:hAnsiTheme="minorBidi" w:cs="Arial" w:hint="cs"/>
          <w:rtl/>
        </w:rPr>
        <w:t>(</w:t>
      </w:r>
      <w:r w:rsidR="004E1C63" w:rsidRPr="004E1C63">
        <w:rPr>
          <w:rFonts w:asciiTheme="minorBidi" w:hAnsiTheme="minorBidi" w:cs="Arial"/>
          <w:rtl/>
        </w:rPr>
        <w:t>ארון</w:t>
      </w:r>
      <w:r w:rsidR="004E1C63">
        <w:rPr>
          <w:rFonts w:asciiTheme="minorBidi" w:hAnsiTheme="minorBidi" w:cs="Arial" w:hint="cs"/>
          <w:rtl/>
        </w:rPr>
        <w:t>),</w:t>
      </w:r>
      <w:r w:rsidR="004E1C63" w:rsidRPr="004E1C63">
        <w:rPr>
          <w:rFonts w:asciiTheme="minorBidi" w:hAnsiTheme="minorBidi" w:cs="Arial"/>
          <w:rtl/>
        </w:rPr>
        <w:t xml:space="preserve"> - חייב, דזו היא צידתו, אבל אם הכניסו לבית - אינו ניצוד בכך, שיוצא לו דרך חלונות</w:t>
      </w:r>
      <w:r>
        <w:rPr>
          <w:rFonts w:asciiTheme="minorBidi" w:hAnsiTheme="minorBidi" w:hint="cs"/>
          <w:rtl/>
        </w:rPr>
        <w:t>, רש"י.</w:t>
      </w:r>
    </w:p>
  </w:footnote>
  <w:footnote w:id="2415">
    <w:p w14:paraId="673225C0" w14:textId="7A4942DE" w:rsidR="00057DFA" w:rsidRPr="008C1C8E" w:rsidRDefault="00057DFA" w:rsidP="00285819">
      <w:pPr>
        <w:pStyle w:val="a7"/>
        <w:rPr>
          <w:rFonts w:asciiTheme="minorBidi" w:hAnsiTheme="minorBidi"/>
          <w:rtl/>
        </w:rPr>
      </w:pPr>
      <w:r w:rsidRPr="008C1C8E">
        <w:rPr>
          <w:rStyle w:val="a9"/>
          <w:rFonts w:asciiTheme="minorBidi" w:hAnsiTheme="minorBidi"/>
        </w:rPr>
        <w:footnoteRef/>
      </w:r>
      <w:r>
        <w:rPr>
          <w:rFonts w:asciiTheme="minorBidi" w:hAnsiTheme="minorBidi" w:hint="cs"/>
          <w:rtl/>
        </w:rPr>
        <w:t xml:space="preserve"> </w:t>
      </w:r>
      <w:r w:rsidR="004E1C63" w:rsidRPr="004E1C63">
        <w:rPr>
          <w:rFonts w:asciiTheme="minorBidi" w:hAnsiTheme="minorBidi" w:cs="Arial"/>
          <w:rtl/>
        </w:rPr>
        <w:t>קרפיפות מוקפין</w:t>
      </w:r>
      <w:r>
        <w:rPr>
          <w:rFonts w:asciiTheme="minorBidi" w:hAnsiTheme="minorBidi" w:hint="cs"/>
          <w:rtl/>
        </w:rPr>
        <w:t>, רש"י.</w:t>
      </w:r>
    </w:p>
  </w:footnote>
  <w:footnote w:id="2416">
    <w:p w14:paraId="52C7C643" w14:textId="134E548E" w:rsidR="00057DFA" w:rsidRPr="008C1C8E" w:rsidRDefault="00057DFA" w:rsidP="00285819">
      <w:pPr>
        <w:pStyle w:val="a7"/>
        <w:rPr>
          <w:rFonts w:asciiTheme="minorBidi" w:hAnsiTheme="minorBidi"/>
          <w:rtl/>
        </w:rPr>
      </w:pPr>
      <w:r w:rsidRPr="008C1C8E">
        <w:rPr>
          <w:rStyle w:val="a9"/>
          <w:rFonts w:asciiTheme="minorBidi" w:hAnsiTheme="minorBidi"/>
        </w:rPr>
        <w:footnoteRef/>
      </w:r>
      <w:r>
        <w:rPr>
          <w:rFonts w:asciiTheme="minorBidi" w:hAnsiTheme="minorBidi" w:hint="cs"/>
          <w:rtl/>
        </w:rPr>
        <w:t xml:space="preserve"> </w:t>
      </w:r>
      <w:r w:rsidR="004E1C63" w:rsidRPr="004E1C63">
        <w:rPr>
          <w:rFonts w:asciiTheme="minorBidi" w:hAnsiTheme="minorBidi" w:cs="Arial"/>
          <w:rtl/>
        </w:rPr>
        <w:t>אלמא לאו ניצוד ועומד קא חשיב ליה, שמע מינה: המכניסו לביבר - אין זו צידתו</w:t>
      </w:r>
      <w:r>
        <w:rPr>
          <w:rFonts w:asciiTheme="minorBidi" w:hAnsiTheme="minorBidi" w:hint="cs"/>
          <w:rtl/>
        </w:rPr>
        <w:t>, רש"י.</w:t>
      </w:r>
    </w:p>
  </w:footnote>
  <w:footnote w:id="2417">
    <w:p w14:paraId="7EBA4BF2" w14:textId="678539FA" w:rsidR="004E1C63" w:rsidRPr="008C1C8E" w:rsidRDefault="004E1C63" w:rsidP="00285819">
      <w:pPr>
        <w:pStyle w:val="a7"/>
        <w:rPr>
          <w:rFonts w:asciiTheme="minorBidi" w:hAnsiTheme="minorBidi"/>
          <w:rtl/>
        </w:rPr>
      </w:pPr>
      <w:r w:rsidRPr="008C1C8E">
        <w:rPr>
          <w:rStyle w:val="a9"/>
          <w:rFonts w:asciiTheme="minorBidi" w:hAnsiTheme="minorBidi"/>
        </w:rPr>
        <w:footnoteRef/>
      </w:r>
      <w:r>
        <w:rPr>
          <w:rFonts w:asciiTheme="minorBidi" w:hAnsiTheme="minorBidi" w:hint="cs"/>
          <w:rtl/>
        </w:rPr>
        <w:t xml:space="preserve"> </w:t>
      </w:r>
      <w:r w:rsidRPr="004E1C63">
        <w:rPr>
          <w:rFonts w:asciiTheme="minorBidi" w:hAnsiTheme="minorBidi" w:cs="Arial"/>
          <w:rtl/>
        </w:rPr>
        <w:t>כיון דהן מוקצה, לא מצי למטרח עלייהו</w:t>
      </w:r>
      <w:r>
        <w:rPr>
          <w:rFonts w:asciiTheme="minorBidi" w:hAnsiTheme="minorBidi" w:hint="cs"/>
          <w:rtl/>
        </w:rPr>
        <w:t>, רש"י.</w:t>
      </w:r>
    </w:p>
  </w:footnote>
  <w:footnote w:id="2418">
    <w:p w14:paraId="483A8419" w14:textId="40A29640" w:rsidR="004E1C63" w:rsidRPr="008C1C8E" w:rsidRDefault="004E1C63" w:rsidP="00285819">
      <w:pPr>
        <w:pStyle w:val="a7"/>
        <w:rPr>
          <w:rFonts w:asciiTheme="minorBidi" w:hAnsiTheme="minorBidi"/>
          <w:rtl/>
        </w:rPr>
      </w:pPr>
      <w:r w:rsidRPr="008C1C8E">
        <w:rPr>
          <w:rStyle w:val="a9"/>
          <w:rFonts w:asciiTheme="minorBidi" w:hAnsiTheme="minorBidi"/>
        </w:rPr>
        <w:footnoteRef/>
      </w:r>
      <w:r>
        <w:rPr>
          <w:rFonts w:asciiTheme="minorBidi" w:hAnsiTheme="minorBidi" w:hint="cs"/>
          <w:rtl/>
        </w:rPr>
        <w:t xml:space="preserve"> </w:t>
      </w:r>
      <w:r w:rsidRPr="004E1C63">
        <w:rPr>
          <w:rFonts w:asciiTheme="minorBidi" w:hAnsiTheme="minorBidi" w:cs="Arial"/>
          <w:rtl/>
        </w:rPr>
        <w:t>ההיא דאין צדין - ר' יהודה היא, דבמתניתין לא חשיב לה צידה עד שיכניסו לבית</w:t>
      </w:r>
      <w:r>
        <w:rPr>
          <w:rFonts w:asciiTheme="minorBidi" w:hAnsiTheme="minorBidi" w:hint="cs"/>
          <w:rtl/>
        </w:rPr>
        <w:t>, רש"י.</w:t>
      </w:r>
    </w:p>
  </w:footnote>
  <w:footnote w:id="2419">
    <w:p w14:paraId="4B0AB878" w14:textId="790BB8C3" w:rsidR="004E1C63" w:rsidRPr="008C1C8E" w:rsidRDefault="004E1C63" w:rsidP="00285819">
      <w:pPr>
        <w:pStyle w:val="a7"/>
        <w:rPr>
          <w:rFonts w:asciiTheme="minorBidi" w:hAnsiTheme="minorBidi"/>
          <w:rtl/>
        </w:rPr>
      </w:pPr>
      <w:r w:rsidRPr="008C1C8E">
        <w:rPr>
          <w:rStyle w:val="a9"/>
          <w:rFonts w:asciiTheme="minorBidi" w:hAnsiTheme="minorBidi"/>
        </w:rPr>
        <w:footnoteRef/>
      </w:r>
      <w:r>
        <w:rPr>
          <w:rFonts w:asciiTheme="minorBidi" w:hAnsiTheme="minorBidi" w:hint="cs"/>
          <w:rtl/>
        </w:rPr>
        <w:t xml:space="preserve"> </w:t>
      </w:r>
      <w:r w:rsidRPr="004E1C63">
        <w:rPr>
          <w:rFonts w:asciiTheme="minorBidi" w:hAnsiTheme="minorBidi" w:cs="Arial"/>
          <w:rtl/>
        </w:rPr>
        <w:t>דהא בין לר' יהודה בין לרבנן צפור למגדל קאמרי</w:t>
      </w:r>
      <w:r>
        <w:rPr>
          <w:rFonts w:asciiTheme="minorBidi" w:hAnsiTheme="minorBidi" w:hint="cs"/>
          <w:rtl/>
        </w:rPr>
        <w:t>, רש"י.</w:t>
      </w:r>
    </w:p>
  </w:footnote>
  <w:footnote w:id="2420">
    <w:p w14:paraId="2542B7BB" w14:textId="22483340" w:rsidR="004E1C63" w:rsidRPr="008C1C8E" w:rsidRDefault="004E1C63" w:rsidP="00285819">
      <w:pPr>
        <w:pStyle w:val="a7"/>
        <w:rPr>
          <w:rFonts w:asciiTheme="minorBidi" w:hAnsiTheme="minorBidi"/>
          <w:rtl/>
        </w:rPr>
      </w:pPr>
      <w:r w:rsidRPr="008C1C8E">
        <w:rPr>
          <w:rStyle w:val="a9"/>
          <w:rFonts w:asciiTheme="minorBidi" w:hAnsiTheme="minorBidi"/>
        </w:rPr>
        <w:footnoteRef/>
      </w:r>
      <w:r>
        <w:rPr>
          <w:rFonts w:asciiTheme="minorBidi" w:hAnsiTheme="minorBidi" w:hint="cs"/>
          <w:rtl/>
        </w:rPr>
        <w:t xml:space="preserve"> </w:t>
      </w:r>
      <w:r w:rsidRPr="004E1C63">
        <w:rPr>
          <w:rFonts w:asciiTheme="minorBidi" w:hAnsiTheme="minorBidi" w:cs="Arial"/>
          <w:rtl/>
        </w:rPr>
        <w:t>הוי ניצוד</w:t>
      </w:r>
      <w:r>
        <w:rPr>
          <w:rFonts w:asciiTheme="minorBidi" w:hAnsiTheme="minorBidi" w:hint="cs"/>
          <w:rtl/>
        </w:rPr>
        <w:t>, רש"י.</w:t>
      </w:r>
    </w:p>
  </w:footnote>
  <w:footnote w:id="2421">
    <w:p w14:paraId="1489AEB4" w14:textId="0F9C507B" w:rsidR="004E1C63" w:rsidRPr="008C1C8E" w:rsidRDefault="004E1C6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מתניתין דקתני צפור לבית לא - בצפור דרור עסקינן, שדרכה לדור בבית כבשדה, ונשמטת מזוית לזוית, </w:t>
      </w:r>
      <w:r w:rsidRPr="00D937AF">
        <w:rPr>
          <w:rFonts w:asciiTheme="minorBidi" w:hAnsiTheme="minorBidi"/>
          <w:b/>
          <w:bCs/>
          <w:rtl/>
        </w:rPr>
        <w:t>רש"י</w:t>
      </w:r>
      <w:r w:rsidRPr="008C1C8E">
        <w:rPr>
          <w:rFonts w:asciiTheme="minorBidi" w:hAnsiTheme="minorBidi"/>
          <w:rtl/>
        </w:rPr>
        <w:t>.</w:t>
      </w:r>
      <w:r w:rsidR="00D937AF">
        <w:rPr>
          <w:rFonts w:asciiTheme="minorBidi" w:hAnsiTheme="minorBidi" w:hint="cs"/>
          <w:rtl/>
        </w:rPr>
        <w:t xml:space="preserve">  </w:t>
      </w:r>
      <w:r w:rsidRPr="008C1C8E">
        <w:rPr>
          <w:rFonts w:asciiTheme="minorBidi" w:hAnsiTheme="minorBidi"/>
          <w:rtl/>
        </w:rPr>
        <w:t xml:space="preserve"> לכן אם צד עוף אחר לבית חייב, </w:t>
      </w:r>
      <w:r w:rsidRPr="00D937AF">
        <w:rPr>
          <w:rFonts w:asciiTheme="minorBidi" w:hAnsiTheme="minorBidi"/>
          <w:b/>
          <w:bCs/>
          <w:rtl/>
        </w:rPr>
        <w:t>ב"י</w:t>
      </w:r>
      <w:r w:rsidRPr="008C1C8E">
        <w:rPr>
          <w:rFonts w:asciiTheme="minorBidi" w:hAnsiTheme="minorBidi"/>
          <w:rtl/>
        </w:rPr>
        <w:t>.</w:t>
      </w:r>
    </w:p>
  </w:footnote>
  <w:footnote w:id="2422">
    <w:p w14:paraId="44D3B405" w14:textId="77777777" w:rsidR="007604C2" w:rsidRPr="008C1C8E" w:rsidRDefault="007604C2"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של דגים, הן בריכות של מים, שקורין ויביי"ר (בריכת דגים), ביברין של חיה קרפיפות מוקפין גדר סביב, וכונסין לתוכן חיות הבר, ויולדות ומגדלות שם, רש"י.</w:t>
      </w:r>
    </w:p>
  </w:footnote>
  <w:footnote w:id="2423">
    <w:p w14:paraId="08ADFC76" w14:textId="77777777" w:rsidR="007604C2" w:rsidRPr="008C1C8E" w:rsidRDefault="007604C2"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אע"ג דשחיטה ואפייה ובשול מאבות מלאכות הן, והותרו לצורך יו"ט טעמא משום דאי אפשר מערב יום טוב, דשחיטה חייש למכמר בשרא, פן יתחמם ויסריח, אבל צידה אפשר לצודו מבעוד יום, ויניחנו במצודתו במים ולא ימות ולמחר יטלהו, רש"י. </w:t>
      </w:r>
    </w:p>
  </w:footnote>
  <w:footnote w:id="2424">
    <w:p w14:paraId="15BAE9C6" w14:textId="77777777" w:rsidR="007604C2" w:rsidRPr="008C1C8E" w:rsidRDefault="007604C2"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המכונסים מאתמול, קס"ד השתא כיון דמוקפים גדר הוו להו כנצודין ועומדין, אבל דגים נשמטין לחורים ולסדקים, והויא צידה ביו"ט, רש"י.</w:t>
      </w:r>
    </w:p>
  </w:footnote>
  <w:footnote w:id="2425">
    <w:p w14:paraId="3EA71F88" w14:textId="77777777" w:rsidR="007604C2" w:rsidRPr="008C1C8E" w:rsidRDefault="007604C2"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שצריך לצודו, רש"י.</w:t>
      </w:r>
    </w:p>
  </w:footnote>
  <w:footnote w:id="2426">
    <w:p w14:paraId="6ABD6418" w14:textId="7D251518" w:rsidR="007604C2" w:rsidRPr="008C1C8E" w:rsidRDefault="007604C2" w:rsidP="00285819">
      <w:pPr>
        <w:pStyle w:val="a7"/>
        <w:rPr>
          <w:rFonts w:asciiTheme="minorBidi" w:hAnsiTheme="minorBidi"/>
          <w:rtl/>
        </w:rPr>
      </w:pPr>
      <w:r w:rsidRPr="00DC101A">
        <w:rPr>
          <w:rStyle w:val="a9"/>
          <w:rFonts w:asciiTheme="minorBidi" w:hAnsiTheme="minorBidi"/>
          <w:color w:val="000000" w:themeColor="text1"/>
        </w:rPr>
        <w:footnoteRef/>
      </w:r>
      <w:r w:rsidRPr="00DC101A">
        <w:rPr>
          <w:rFonts w:asciiTheme="minorBidi" w:hAnsiTheme="minorBidi"/>
          <w:color w:val="000000" w:themeColor="text1"/>
          <w:rtl/>
        </w:rPr>
        <w:t xml:space="preserve"> </w:t>
      </w:r>
      <w:r w:rsidRPr="007604C2">
        <w:rPr>
          <w:rFonts w:asciiTheme="minorBidi" w:hAnsiTheme="minorBidi" w:cs="Arial"/>
          <w:color w:val="000000" w:themeColor="text1"/>
          <w:rtl/>
        </w:rPr>
        <w:t>בפעם אחת שהוא שוחה עליו לתפשו, אין לו להשמט ממנו</w:t>
      </w:r>
      <w:r w:rsidRPr="007604C2">
        <w:rPr>
          <w:rFonts w:asciiTheme="minorBidi" w:hAnsiTheme="minorBidi"/>
          <w:color w:val="000000" w:themeColor="text1"/>
          <w:rtl/>
        </w:rPr>
        <w:t xml:space="preserve">, </w:t>
      </w:r>
      <w:r w:rsidRPr="0093143E">
        <w:rPr>
          <w:rFonts w:asciiTheme="minorBidi" w:hAnsiTheme="minorBidi"/>
          <w:b/>
          <w:bCs/>
          <w:color w:val="000000" w:themeColor="text1"/>
          <w:rtl/>
        </w:rPr>
        <w:t>רש"י</w:t>
      </w:r>
      <w:r w:rsidRPr="007604C2">
        <w:rPr>
          <w:rFonts w:asciiTheme="minorBidi" w:hAnsiTheme="minorBidi"/>
          <w:color w:val="000000" w:themeColor="text1"/>
          <w:rtl/>
        </w:rPr>
        <w:t>.</w:t>
      </w:r>
      <w:r w:rsidR="0093143E">
        <w:rPr>
          <w:rFonts w:asciiTheme="minorBidi" w:hAnsiTheme="minorBidi" w:hint="cs"/>
          <w:color w:val="000000" w:themeColor="text1"/>
          <w:rtl/>
        </w:rPr>
        <w:t xml:space="preserve">  </w:t>
      </w:r>
      <w:r w:rsidRPr="007604C2">
        <w:rPr>
          <w:rFonts w:asciiTheme="minorBidi" w:hAnsiTheme="minorBidi"/>
          <w:color w:val="000000" w:themeColor="text1"/>
          <w:rtl/>
        </w:rPr>
        <w:t xml:space="preserve"> </w:t>
      </w:r>
      <w:r w:rsidR="0093143E" w:rsidRPr="0093143E">
        <w:rPr>
          <w:rFonts w:asciiTheme="minorBidi" w:hAnsiTheme="minorBidi" w:cs="Arial"/>
          <w:color w:val="000000" w:themeColor="text1"/>
          <w:rtl/>
        </w:rPr>
        <w:t>ואינו מחוור</w:t>
      </w:r>
      <w:r w:rsidR="0093143E">
        <w:rPr>
          <w:rFonts w:asciiTheme="minorBidi" w:hAnsiTheme="minorBidi" w:cs="Arial" w:hint="cs"/>
          <w:color w:val="000000" w:themeColor="text1"/>
          <w:rtl/>
        </w:rPr>
        <w:t>,</w:t>
      </w:r>
      <w:r w:rsidR="0093143E" w:rsidRPr="0093143E">
        <w:rPr>
          <w:rFonts w:asciiTheme="minorBidi" w:hAnsiTheme="minorBidi" w:cs="Arial"/>
          <w:color w:val="000000" w:themeColor="text1"/>
          <w:rtl/>
        </w:rPr>
        <w:t xml:space="preserve"> דביבר כזה קטן מבית וזה פשיטא דצדין, וגרסת הספרים שלנו כל דרהיט ומטי ליה בחד שיהיא</w:t>
      </w:r>
      <w:r w:rsidR="0093143E">
        <w:rPr>
          <w:rFonts w:asciiTheme="minorBidi" w:hAnsiTheme="minorBidi" w:cs="Arial" w:hint="cs"/>
          <w:color w:val="000000" w:themeColor="text1"/>
          <w:rtl/>
        </w:rPr>
        <w:t>,</w:t>
      </w:r>
      <w:r w:rsidR="0093143E" w:rsidRPr="0093143E">
        <w:rPr>
          <w:rFonts w:asciiTheme="minorBidi" w:hAnsiTheme="minorBidi" w:cs="Arial"/>
          <w:color w:val="000000" w:themeColor="text1"/>
          <w:rtl/>
        </w:rPr>
        <w:t xml:space="preserve"> ופי' רבי' חננאל כל שמגיעו בריצה אחת ואינו צריך לפוש בנתים</w:t>
      </w:r>
      <w:r w:rsidR="0093143E">
        <w:rPr>
          <w:rFonts w:asciiTheme="minorBidi" w:hAnsiTheme="minorBidi" w:cs="Arial" w:hint="cs"/>
          <w:color w:val="000000" w:themeColor="text1"/>
          <w:rtl/>
        </w:rPr>
        <w:t xml:space="preserve">, </w:t>
      </w:r>
      <w:r w:rsidR="0093143E" w:rsidRPr="0093143E">
        <w:rPr>
          <w:rFonts w:asciiTheme="minorBidi" w:hAnsiTheme="minorBidi" w:cs="Arial" w:hint="cs"/>
          <w:b/>
          <w:bCs/>
          <w:color w:val="000000" w:themeColor="text1"/>
          <w:rtl/>
        </w:rPr>
        <w:t>רשב"א</w:t>
      </w:r>
      <w:r w:rsidR="0093143E">
        <w:rPr>
          <w:rFonts w:asciiTheme="minorBidi" w:hAnsiTheme="minorBidi" w:cs="Arial" w:hint="cs"/>
          <w:color w:val="000000" w:themeColor="text1"/>
          <w:rtl/>
        </w:rPr>
        <w:t xml:space="preserve"> (שם).</w:t>
      </w:r>
      <w:r w:rsidR="0093143E" w:rsidRPr="0093143E">
        <w:rPr>
          <w:rFonts w:asciiTheme="minorBidi" w:hAnsiTheme="minorBidi" w:cs="Arial"/>
          <w:color w:val="000000" w:themeColor="text1"/>
          <w:rtl/>
        </w:rPr>
        <w:t xml:space="preserve"> </w:t>
      </w:r>
      <w:r w:rsidR="0093143E">
        <w:rPr>
          <w:rFonts w:asciiTheme="minorBidi" w:hAnsiTheme="minorBidi" w:cs="Arial" w:hint="cs"/>
          <w:color w:val="000000" w:themeColor="text1"/>
          <w:rtl/>
        </w:rPr>
        <w:t>וכן</w:t>
      </w:r>
      <w:r w:rsidR="00D937AF">
        <w:rPr>
          <w:rFonts w:asciiTheme="minorBidi" w:hAnsiTheme="minorBidi" w:cs="Arial" w:hint="cs"/>
          <w:color w:val="000000" w:themeColor="text1"/>
          <w:rtl/>
        </w:rPr>
        <w:t xml:space="preserve"> היא</w:t>
      </w:r>
      <w:r w:rsidR="0093143E">
        <w:rPr>
          <w:rFonts w:asciiTheme="minorBidi" w:hAnsiTheme="minorBidi" w:cs="Arial" w:hint="cs"/>
          <w:color w:val="000000" w:themeColor="text1"/>
          <w:rtl/>
        </w:rPr>
        <w:t xml:space="preserve"> ג</w:t>
      </w:r>
      <w:r w:rsidR="00D937AF">
        <w:rPr>
          <w:rFonts w:asciiTheme="minorBidi" w:hAnsiTheme="minorBidi" w:cs="Arial" w:hint="cs"/>
          <w:color w:val="000000" w:themeColor="text1"/>
          <w:rtl/>
        </w:rPr>
        <w:t>י</w:t>
      </w:r>
      <w:r w:rsidR="0093143E">
        <w:rPr>
          <w:rFonts w:asciiTheme="minorBidi" w:hAnsiTheme="minorBidi" w:cs="Arial" w:hint="cs"/>
          <w:color w:val="000000" w:themeColor="text1"/>
          <w:rtl/>
        </w:rPr>
        <w:t>רס</w:t>
      </w:r>
      <w:r w:rsidR="00D937AF">
        <w:rPr>
          <w:rFonts w:asciiTheme="minorBidi" w:hAnsiTheme="minorBidi" w:cs="Arial" w:hint="cs"/>
          <w:color w:val="000000" w:themeColor="text1"/>
          <w:rtl/>
        </w:rPr>
        <w:t>ת</w:t>
      </w:r>
      <w:r w:rsidR="0093143E">
        <w:rPr>
          <w:rFonts w:asciiTheme="minorBidi" w:hAnsiTheme="minorBidi" w:cs="Arial" w:hint="cs"/>
          <w:color w:val="000000" w:themeColor="text1"/>
          <w:rtl/>
        </w:rPr>
        <w:t xml:space="preserve"> הערוך</w:t>
      </w:r>
      <w:r w:rsidR="0093143E">
        <w:rPr>
          <w:rFonts w:asciiTheme="minorBidi" w:hAnsiTheme="minorBidi" w:hint="cs"/>
          <w:color w:val="000000" w:themeColor="text1"/>
          <w:rtl/>
        </w:rPr>
        <w:t>.</w:t>
      </w:r>
      <w:r w:rsidRPr="008C1C8E">
        <w:rPr>
          <w:rFonts w:asciiTheme="minorBidi" w:hAnsiTheme="minorBidi"/>
          <w:rtl/>
        </w:rPr>
        <w:t xml:space="preserve"> </w:t>
      </w:r>
    </w:p>
  </w:footnote>
  <w:footnote w:id="2427">
    <w:p w14:paraId="273B41B3" w14:textId="64D7CCA9" w:rsidR="007604C2" w:rsidRDefault="007604C2" w:rsidP="00285819">
      <w:pPr>
        <w:pStyle w:val="a7"/>
        <w:rPr>
          <w:rtl/>
        </w:rPr>
      </w:pPr>
      <w:r>
        <w:rPr>
          <w:rStyle w:val="a9"/>
        </w:rPr>
        <w:footnoteRef/>
      </w:r>
      <w:r>
        <w:rPr>
          <w:rtl/>
        </w:rPr>
        <w:t xml:space="preserve"> </w:t>
      </w:r>
      <w:r w:rsidRPr="007604C2">
        <w:rPr>
          <w:rFonts w:cs="Arial"/>
          <w:rtl/>
        </w:rPr>
        <w:t>זויות</w:t>
      </w:r>
      <w:r>
        <w:rPr>
          <w:rFonts w:hint="cs"/>
          <w:rtl/>
        </w:rPr>
        <w:t>, רש"י.</w:t>
      </w:r>
    </w:p>
  </w:footnote>
  <w:footnote w:id="2428">
    <w:p w14:paraId="56E3C680" w14:textId="34D729A9" w:rsidR="007604C2" w:rsidRDefault="007604C2" w:rsidP="00285819">
      <w:pPr>
        <w:pStyle w:val="a7"/>
        <w:rPr>
          <w:rtl/>
        </w:rPr>
      </w:pPr>
      <w:r>
        <w:rPr>
          <w:rStyle w:val="a9"/>
        </w:rPr>
        <w:footnoteRef/>
      </w:r>
      <w:r>
        <w:rPr>
          <w:rtl/>
        </w:rPr>
        <w:t xml:space="preserve"> </w:t>
      </w:r>
      <w:r w:rsidRPr="007604C2">
        <w:rPr>
          <w:rFonts w:cs="Arial"/>
          <w:rtl/>
        </w:rPr>
        <w:t>מרוב קטנו וקצרו</w:t>
      </w:r>
      <w:r>
        <w:rPr>
          <w:rFonts w:hint="cs"/>
          <w:rtl/>
        </w:rPr>
        <w:t>, רש"י.</w:t>
      </w:r>
    </w:p>
  </w:footnote>
  <w:footnote w:id="2429">
    <w:p w14:paraId="2C716CA3" w14:textId="3E9E184B" w:rsidR="007604C2" w:rsidRPr="008C1C8E" w:rsidRDefault="007604C2"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w:t>
      </w:r>
      <w:r w:rsidR="00FB296D" w:rsidRPr="00FB296D">
        <w:rPr>
          <w:rFonts w:asciiTheme="minorBidi" w:hAnsiTheme="minorBidi" w:cs="Arial"/>
          <w:rtl/>
        </w:rPr>
        <w:t>כלומר: שצריך לבקש תחבולות לתפשו, והיינו שיעורא דביבר גדול דלעיל, ואידך ביבר קטן, ורב אשי שערינהו לעיל בחדא שיעורא, ורב יוסף בהאי שיעורא</w:t>
      </w:r>
      <w:r w:rsidRPr="008C1C8E">
        <w:rPr>
          <w:rFonts w:asciiTheme="minorBidi" w:hAnsiTheme="minorBidi"/>
          <w:rtl/>
        </w:rPr>
        <w:t xml:space="preserve">, </w:t>
      </w:r>
      <w:r w:rsidRPr="0093143E">
        <w:rPr>
          <w:rFonts w:asciiTheme="minorBidi" w:hAnsiTheme="minorBidi"/>
          <w:b/>
          <w:bCs/>
          <w:rtl/>
        </w:rPr>
        <w:t>רש"י</w:t>
      </w:r>
      <w:r w:rsidRPr="008C1C8E">
        <w:rPr>
          <w:rFonts w:asciiTheme="minorBidi" w:hAnsiTheme="minorBidi"/>
          <w:rtl/>
        </w:rPr>
        <w:t xml:space="preserve">. </w:t>
      </w:r>
      <w:r w:rsidR="0093143E">
        <w:rPr>
          <w:rFonts w:asciiTheme="minorBidi" w:hAnsiTheme="minorBidi" w:cs="Arial" w:hint="cs"/>
          <w:rtl/>
        </w:rPr>
        <w:t xml:space="preserve">  </w:t>
      </w:r>
      <w:r w:rsidR="0093143E" w:rsidRPr="0093143E">
        <w:rPr>
          <w:rFonts w:asciiTheme="minorBidi" w:hAnsiTheme="minorBidi" w:cs="Arial"/>
          <w:rtl/>
        </w:rPr>
        <w:t>וא"ת והרי אמרינן לעיל שיעור אחר ופ"ה דאידי ואידי חד שיעורא הוא</w:t>
      </w:r>
      <w:r w:rsidR="00C24399">
        <w:rPr>
          <w:rFonts w:asciiTheme="minorBidi" w:hAnsiTheme="minorBidi" w:cs="Arial" w:hint="cs"/>
          <w:rtl/>
        </w:rPr>
        <w:t>,</w:t>
      </w:r>
      <w:r w:rsidR="0093143E" w:rsidRPr="0093143E">
        <w:rPr>
          <w:rFonts w:asciiTheme="minorBidi" w:hAnsiTheme="minorBidi" w:cs="Arial"/>
          <w:rtl/>
        </w:rPr>
        <w:t xml:space="preserve"> ודוחק הוא דאם כן אמאי מפרש אותו פעם אחרת והלא פירש לעיל היכי דמי ביבר גדול וכו'</w:t>
      </w:r>
      <w:r w:rsidR="00C24399">
        <w:rPr>
          <w:rFonts w:asciiTheme="minorBidi" w:hAnsiTheme="minorBidi" w:cs="Arial" w:hint="cs"/>
          <w:rtl/>
        </w:rPr>
        <w:t>.</w:t>
      </w:r>
      <w:r w:rsidR="0093143E" w:rsidRPr="0093143E">
        <w:rPr>
          <w:rFonts w:asciiTheme="minorBidi" w:hAnsiTheme="minorBidi" w:cs="Arial"/>
          <w:rtl/>
        </w:rPr>
        <w:t xml:space="preserve"> לכך נ"ל דלעיל מיירי בבהמה וחיה והכא מיירי בעופות ואע</w:t>
      </w:r>
      <w:r w:rsidR="0093143E">
        <w:rPr>
          <w:rFonts w:asciiTheme="minorBidi" w:hAnsiTheme="minorBidi" w:cs="Arial" w:hint="cs"/>
          <w:rtl/>
        </w:rPr>
        <w:t>"</w:t>
      </w:r>
      <w:r w:rsidR="0093143E" w:rsidRPr="0093143E">
        <w:rPr>
          <w:rFonts w:asciiTheme="minorBidi" w:hAnsiTheme="minorBidi" w:cs="Arial"/>
          <w:rtl/>
        </w:rPr>
        <w:t>ג דלעיל קאמר הא בביבר מקורה</w:t>
      </w:r>
      <w:r w:rsidR="00C24399">
        <w:rPr>
          <w:rFonts w:asciiTheme="minorBidi" w:hAnsiTheme="minorBidi" w:cs="Arial" w:hint="cs"/>
          <w:rtl/>
        </w:rPr>
        <w:t>,</w:t>
      </w:r>
      <w:r w:rsidR="0093143E" w:rsidRPr="0093143E">
        <w:rPr>
          <w:rFonts w:asciiTheme="minorBidi" w:hAnsiTheme="minorBidi" w:cs="Arial"/>
          <w:rtl/>
        </w:rPr>
        <w:t xml:space="preserve"> מכל מקום לא פירש שיעור הביבר בכמה לא הוי מחוסר צידה</w:t>
      </w:r>
      <w:r w:rsidR="00C24399">
        <w:rPr>
          <w:rFonts w:asciiTheme="minorBidi" w:hAnsiTheme="minorBidi" w:cs="Arial" w:hint="cs"/>
          <w:rtl/>
        </w:rPr>
        <w:t>.</w:t>
      </w:r>
      <w:r w:rsidR="0093143E" w:rsidRPr="0093143E">
        <w:rPr>
          <w:rFonts w:asciiTheme="minorBidi" w:hAnsiTheme="minorBidi" w:cs="Arial"/>
          <w:rtl/>
        </w:rPr>
        <w:t xml:space="preserve"> והשתא ניחא דפריך עלה מאווזין ותרנגולין</w:t>
      </w:r>
      <w:r w:rsidR="0093143E">
        <w:rPr>
          <w:rFonts w:asciiTheme="minorBidi" w:hAnsiTheme="minorBidi" w:hint="cs"/>
          <w:rtl/>
        </w:rPr>
        <w:t xml:space="preserve">, </w:t>
      </w:r>
      <w:r w:rsidRPr="0093143E">
        <w:rPr>
          <w:rFonts w:asciiTheme="minorBidi" w:hAnsiTheme="minorBidi"/>
          <w:b/>
          <w:bCs/>
          <w:rtl/>
        </w:rPr>
        <w:t>תוס'</w:t>
      </w:r>
      <w:r w:rsidRPr="008C1C8E">
        <w:rPr>
          <w:rFonts w:asciiTheme="minorBidi" w:hAnsiTheme="minorBidi"/>
          <w:rtl/>
        </w:rPr>
        <w:t xml:space="preserve"> </w:t>
      </w:r>
      <w:r w:rsidRPr="0093143E">
        <w:rPr>
          <w:rFonts w:asciiTheme="minorBidi" w:hAnsiTheme="minorBidi"/>
          <w:rtl/>
        </w:rPr>
        <w:t>(</w:t>
      </w:r>
      <w:r w:rsidR="0093143E" w:rsidRPr="0093143E">
        <w:rPr>
          <w:rFonts w:asciiTheme="minorBidi" w:hAnsiTheme="minorBidi" w:hint="cs"/>
          <w:rtl/>
        </w:rPr>
        <w:t xml:space="preserve">כד. </w:t>
      </w:r>
      <w:r w:rsidRPr="0093143E">
        <w:rPr>
          <w:rFonts w:asciiTheme="minorBidi" w:hAnsiTheme="minorBidi"/>
          <w:rtl/>
        </w:rPr>
        <w:t>ד"ה כל)</w:t>
      </w:r>
      <w:r w:rsidR="0093143E">
        <w:rPr>
          <w:rFonts w:asciiTheme="minorBidi" w:hAnsiTheme="minorBidi" w:hint="cs"/>
          <w:rtl/>
        </w:rPr>
        <w:t>.</w:t>
      </w:r>
      <w:r w:rsidR="00D15E12">
        <w:rPr>
          <w:rFonts w:asciiTheme="minorBidi" w:hAnsiTheme="minorBidi" w:hint="cs"/>
          <w:rtl/>
        </w:rPr>
        <w:t xml:space="preserve">  </w:t>
      </w:r>
      <w:r w:rsidRPr="008C1C8E">
        <w:rPr>
          <w:rFonts w:asciiTheme="minorBidi" w:hAnsiTheme="minorBidi"/>
          <w:rtl/>
        </w:rPr>
        <w:t xml:space="preserve"> </w:t>
      </w:r>
      <w:r w:rsidR="00D15E12" w:rsidRPr="00D15E12">
        <w:rPr>
          <w:rFonts w:asciiTheme="minorBidi" w:hAnsiTheme="minorBidi" w:cs="Arial"/>
          <w:rtl/>
        </w:rPr>
        <w:t>ולפי דבריו ז"ל קי"ל בחיה כל שאינו מגיעו בריצה אחת אסור ואע</w:t>
      </w:r>
      <w:r w:rsidR="00D15E12">
        <w:rPr>
          <w:rFonts w:asciiTheme="minorBidi" w:hAnsiTheme="minorBidi" w:cs="Arial" w:hint="cs"/>
          <w:rtl/>
        </w:rPr>
        <w:t>"</w:t>
      </w:r>
      <w:r w:rsidR="00D15E12" w:rsidRPr="00D15E12">
        <w:rPr>
          <w:rFonts w:asciiTheme="minorBidi" w:hAnsiTheme="minorBidi" w:cs="Arial"/>
          <w:rtl/>
        </w:rPr>
        <w:t>פ שאינו צריך למצודה</w:t>
      </w:r>
      <w:r w:rsidR="00C24399">
        <w:rPr>
          <w:rFonts w:asciiTheme="minorBidi" w:hAnsiTheme="minorBidi" w:cs="Arial" w:hint="cs"/>
          <w:rtl/>
        </w:rPr>
        <w:t>,</w:t>
      </w:r>
      <w:r w:rsidR="00D15E12" w:rsidRPr="00D15E12">
        <w:rPr>
          <w:rFonts w:asciiTheme="minorBidi" w:hAnsiTheme="minorBidi" w:cs="Arial"/>
          <w:rtl/>
        </w:rPr>
        <w:t xml:space="preserve"> ובעופות כל שצריך למצודה</w:t>
      </w:r>
      <w:r w:rsidR="00C24399">
        <w:rPr>
          <w:rFonts w:asciiTheme="minorBidi" w:hAnsiTheme="minorBidi" w:cs="Arial" w:hint="cs"/>
          <w:rtl/>
        </w:rPr>
        <w:t>.</w:t>
      </w:r>
      <w:r w:rsidR="00D15E12" w:rsidRPr="00D15E12">
        <w:rPr>
          <w:rFonts w:asciiTheme="minorBidi" w:hAnsiTheme="minorBidi" w:cs="Arial"/>
          <w:rtl/>
        </w:rPr>
        <w:t xml:space="preserve"> אבל מדברי הרי"ף ז"ל יראה דהא דשמואל פליגא אדרב אשי</w:t>
      </w:r>
      <w:r w:rsidR="00C24399">
        <w:rPr>
          <w:rFonts w:asciiTheme="minorBidi" w:hAnsiTheme="minorBidi" w:cs="Arial" w:hint="cs"/>
          <w:rtl/>
        </w:rPr>
        <w:t>,</w:t>
      </w:r>
      <w:r w:rsidR="00D15E12" w:rsidRPr="00D15E12">
        <w:rPr>
          <w:rFonts w:asciiTheme="minorBidi" w:hAnsiTheme="minorBidi" w:cs="Arial"/>
          <w:rtl/>
        </w:rPr>
        <w:t xml:space="preserve"> ונקטי' בגמרא הא דשמואל</w:t>
      </w:r>
      <w:r w:rsidR="00C24399">
        <w:rPr>
          <w:rFonts w:asciiTheme="minorBidi" w:hAnsiTheme="minorBidi" w:cs="Arial" w:hint="cs"/>
          <w:rtl/>
        </w:rPr>
        <w:t>,</w:t>
      </w:r>
      <w:r w:rsidR="00D15E12" w:rsidRPr="00D15E12">
        <w:rPr>
          <w:rFonts w:asciiTheme="minorBidi" w:hAnsiTheme="minorBidi" w:cs="Arial"/>
          <w:rtl/>
        </w:rPr>
        <w:t xml:space="preserve"> שהוא ז"ל לא הזכיר בהלכות הא דרב אשי אלא הא דשמואל</w:t>
      </w:r>
      <w:r w:rsidR="00C24399">
        <w:rPr>
          <w:rFonts w:asciiTheme="minorBidi" w:hAnsiTheme="minorBidi" w:cs="Arial" w:hint="cs"/>
          <w:rtl/>
        </w:rPr>
        <w:t>,</w:t>
      </w:r>
      <w:r w:rsidR="00D15E12" w:rsidRPr="00D15E12">
        <w:rPr>
          <w:rFonts w:asciiTheme="minorBidi" w:hAnsiTheme="minorBidi" w:cs="Arial"/>
          <w:rtl/>
        </w:rPr>
        <w:t xml:space="preserve"> ולפי דבריו בין עוף בין חיה הכל תלוי בהבא מצודה</w:t>
      </w:r>
      <w:r w:rsidR="00D15E12">
        <w:rPr>
          <w:rFonts w:asciiTheme="minorBidi" w:hAnsiTheme="minorBidi" w:hint="cs"/>
          <w:rtl/>
        </w:rPr>
        <w:t xml:space="preserve">, </w:t>
      </w:r>
      <w:r w:rsidR="00D15E12" w:rsidRPr="00D15E12">
        <w:rPr>
          <w:rFonts w:asciiTheme="minorBidi" w:hAnsiTheme="minorBidi" w:hint="cs"/>
          <w:b/>
          <w:bCs/>
          <w:rtl/>
        </w:rPr>
        <w:t>רשב"א</w:t>
      </w:r>
      <w:r w:rsidR="00D15E12">
        <w:rPr>
          <w:rFonts w:asciiTheme="minorBidi" w:hAnsiTheme="minorBidi" w:hint="cs"/>
          <w:rtl/>
        </w:rPr>
        <w:t xml:space="preserve"> (שם).</w:t>
      </w:r>
    </w:p>
  </w:footnote>
  <w:footnote w:id="2430">
    <w:p w14:paraId="166186F4" w14:textId="77777777" w:rsidR="007604C2" w:rsidRPr="008C1C8E" w:rsidRDefault="007604C2"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סל שמקננין בו, כמו ככלוב מלא עוף (ירמיהו ה), אווזין ותרנגולין באין לערב לכלוב, ונוח לתפשן שם, הלכך הרי הן כנצודין ועומדים, ומותר לצודן אפילו חוץ לכלובן, רש"י.</w:t>
      </w:r>
    </w:p>
  </w:footnote>
  <w:footnote w:id="2431">
    <w:p w14:paraId="3682FB09" w14:textId="04C01634" w:rsidR="007604C2" w:rsidRPr="008C1C8E" w:rsidRDefault="007604C2"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יוני הבר הן, ושטין ואוכלין בחוץ, רש"י.</w:t>
      </w:r>
    </w:p>
  </w:footnote>
  <w:footnote w:id="2432">
    <w:p w14:paraId="59E54B2E" w14:textId="5B049298" w:rsidR="007604C2" w:rsidRPr="008C1C8E" w:rsidRDefault="007604C2"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כמין פכין נותנין בחומות הבירות והמגדלים, לקנן שם עופות הבר, רש"י.</w:t>
      </w:r>
    </w:p>
  </w:footnote>
  <w:footnote w:id="2433">
    <w:p w14:paraId="4C82056B" w14:textId="77777777" w:rsidR="007604C2" w:rsidRPr="008C1C8E" w:rsidRDefault="007604C2"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הלכך כבהמה הן, וחשיבי מזומן, רש"י.</w:t>
      </w:r>
    </w:p>
  </w:footnote>
  <w:footnote w:id="2434">
    <w:p w14:paraId="3316AE51" w14:textId="77777777" w:rsidR="007604C2" w:rsidRPr="008C1C8E" w:rsidRDefault="007604C2"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יוני שובך עשויין להשמט ולברוח מפני בני אדם, רש"י.</w:t>
      </w:r>
    </w:p>
  </w:footnote>
  <w:footnote w:id="2435">
    <w:p w14:paraId="082A281B" w14:textId="77777777" w:rsidR="007604C2" w:rsidRPr="008C1C8E" w:rsidRDefault="007604C2"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פורחין עד קינן, וצריך לעלות אחריהן, וגם שם נשמטין ממנו ויורדין, רש"י.</w:t>
      </w:r>
    </w:p>
  </w:footnote>
  <w:footnote w:id="2436">
    <w:p w14:paraId="0658D67E" w14:textId="1FACA80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לישמט, כשמרגישין יד אדם, רש"י. אך ר"ח פירש דרבויי הוא שהצייד אורב לחיה וכשמגיעה החיה למקום מסויים הוא עושה קולות וכו' ומבריחה לתוך המקום שבו רוצה לצודה</w:t>
      </w:r>
      <w:r w:rsidR="00947F45">
        <w:rPr>
          <w:rFonts w:asciiTheme="minorBidi" w:hAnsiTheme="minorBidi" w:hint="cs"/>
          <w:rtl/>
        </w:rPr>
        <w:t>.</w:t>
      </w:r>
      <w:r w:rsidRPr="008C1C8E">
        <w:rPr>
          <w:rFonts w:asciiTheme="minorBidi" w:hAnsiTheme="minorBidi"/>
          <w:rtl/>
        </w:rPr>
        <w:t xml:space="preserve"> וכ"נ מהרמב"ם (פ"י הכ"ב).</w:t>
      </w:r>
    </w:p>
  </w:footnote>
  <w:footnote w:id="2437">
    <w:p w14:paraId="19294803"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חמימות.</w:t>
      </w:r>
    </w:p>
  </w:footnote>
  <w:footnote w:id="2438">
    <w:p w14:paraId="5FBC6352" w14:textId="47395BB0"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עייפות, שאינו יכול לזוז ממקומו, נצוד ועומד הוא, </w:t>
      </w:r>
      <w:r w:rsidRPr="00183416">
        <w:rPr>
          <w:rFonts w:asciiTheme="minorBidi" w:hAnsiTheme="minorBidi"/>
          <w:b/>
          <w:bCs/>
          <w:rtl/>
        </w:rPr>
        <w:t>רש"י</w:t>
      </w:r>
      <w:r w:rsidRPr="008C1C8E">
        <w:rPr>
          <w:rFonts w:asciiTheme="minorBidi" w:hAnsiTheme="minorBidi"/>
          <w:rtl/>
        </w:rPr>
        <w:t>.</w:t>
      </w:r>
      <w:r w:rsidR="00183416">
        <w:rPr>
          <w:rFonts w:asciiTheme="minorBidi" w:hAnsiTheme="minorBidi" w:hint="cs"/>
          <w:rtl/>
        </w:rPr>
        <w:t xml:space="preserve">  </w:t>
      </w:r>
      <w:r w:rsidRPr="008C1C8E">
        <w:rPr>
          <w:rFonts w:asciiTheme="minorBidi" w:hAnsiTheme="minorBidi"/>
          <w:rtl/>
        </w:rPr>
        <w:t xml:space="preserve"> </w:t>
      </w:r>
      <w:r w:rsidR="00183416" w:rsidRPr="00F332E8">
        <w:rPr>
          <w:rFonts w:asciiTheme="minorBidi" w:hAnsiTheme="minorBidi" w:cs="Arial"/>
          <w:rtl/>
        </w:rPr>
        <w:t xml:space="preserve">אבל מדברי הרמב"ם </w:t>
      </w:r>
      <w:r w:rsidR="00183416">
        <w:rPr>
          <w:rFonts w:asciiTheme="minorBidi" w:hAnsiTheme="minorBidi" w:cs="Arial" w:hint="cs"/>
          <w:rtl/>
        </w:rPr>
        <w:t>(</w:t>
      </w:r>
      <w:r w:rsidR="00183416" w:rsidRPr="00F332E8">
        <w:rPr>
          <w:rFonts w:asciiTheme="minorBidi" w:hAnsiTheme="minorBidi" w:cs="Arial"/>
          <w:rtl/>
        </w:rPr>
        <w:t>פ</w:t>
      </w:r>
      <w:r w:rsidR="00183416">
        <w:rPr>
          <w:rFonts w:asciiTheme="minorBidi" w:hAnsiTheme="minorBidi" w:cs="Arial" w:hint="cs"/>
          <w:rtl/>
        </w:rPr>
        <w:t>"</w:t>
      </w:r>
      <w:r w:rsidR="00183416" w:rsidRPr="00F332E8">
        <w:rPr>
          <w:rFonts w:asciiTheme="minorBidi" w:hAnsiTheme="minorBidi" w:cs="Arial"/>
          <w:rtl/>
        </w:rPr>
        <w:t>י</w:t>
      </w:r>
      <w:r w:rsidR="00183416">
        <w:rPr>
          <w:rFonts w:asciiTheme="minorBidi" w:hAnsiTheme="minorBidi" w:cs="Arial" w:hint="cs"/>
          <w:rtl/>
        </w:rPr>
        <w:t xml:space="preserve"> </w:t>
      </w:r>
      <w:r w:rsidR="00183416" w:rsidRPr="00F332E8">
        <w:rPr>
          <w:rFonts w:asciiTheme="minorBidi" w:hAnsiTheme="minorBidi" w:cs="Arial"/>
          <w:rtl/>
        </w:rPr>
        <w:t>הכ"ב) נראה שמפרש שמחמת אובצנא חייב</w:t>
      </w:r>
      <w:r w:rsidR="00183416">
        <w:rPr>
          <w:rFonts w:asciiTheme="minorBidi" w:hAnsiTheme="minorBidi" w:cs="Arial" w:hint="cs"/>
          <w:rtl/>
        </w:rPr>
        <w:t xml:space="preserve">, </w:t>
      </w:r>
      <w:r w:rsidR="00183416" w:rsidRPr="00183416">
        <w:rPr>
          <w:rFonts w:asciiTheme="minorBidi" w:hAnsiTheme="minorBidi" w:cs="Arial" w:hint="cs"/>
          <w:b/>
          <w:bCs/>
          <w:rtl/>
        </w:rPr>
        <w:t>ב"י</w:t>
      </w:r>
      <w:r w:rsidR="00183416">
        <w:rPr>
          <w:rFonts w:asciiTheme="minorBidi" w:hAnsiTheme="minorBidi" w:cs="Arial" w:hint="cs"/>
          <w:rtl/>
        </w:rPr>
        <w:t>.</w:t>
      </w:r>
      <w:r w:rsidR="00183416" w:rsidRPr="008C1C8E">
        <w:rPr>
          <w:rFonts w:asciiTheme="minorBidi" w:hAnsiTheme="minorBidi"/>
          <w:rtl/>
        </w:rPr>
        <w:t xml:space="preserve"> </w:t>
      </w:r>
      <w:r w:rsidR="00183416">
        <w:rPr>
          <w:rFonts w:asciiTheme="minorBidi" w:hAnsiTheme="minorBidi" w:hint="cs"/>
          <w:rtl/>
        </w:rPr>
        <w:t>וכ"כ הה"מ</w:t>
      </w:r>
      <w:r w:rsidR="00A454EE">
        <w:rPr>
          <w:rFonts w:asciiTheme="minorBidi" w:hAnsiTheme="minorBidi" w:hint="cs"/>
          <w:rtl/>
        </w:rPr>
        <w:t xml:space="preserve"> בשם ר"ח והרמב"ם,</w:t>
      </w:r>
      <w:r w:rsidR="00183416">
        <w:rPr>
          <w:rFonts w:asciiTheme="minorBidi" w:hAnsiTheme="minorBidi" w:hint="cs"/>
          <w:rtl/>
        </w:rPr>
        <w:t xml:space="preserve"> </w:t>
      </w:r>
      <w:r w:rsidR="00A454EE">
        <w:rPr>
          <w:rFonts w:asciiTheme="minorBidi" w:hAnsiTheme="minorBidi" w:hint="cs"/>
          <w:rtl/>
        </w:rPr>
        <w:t xml:space="preserve">וז"ל- </w:t>
      </w:r>
      <w:r w:rsidR="00A454EE" w:rsidRPr="00A454EE">
        <w:rPr>
          <w:rFonts w:asciiTheme="minorBidi" w:hAnsiTheme="minorBidi" w:cs="Arial"/>
          <w:rtl/>
        </w:rPr>
        <w:t>ופירש ר"ח ז"ל אובצנא כגון שהיו עייפים מחמת כלב או מחמת דבר אחר הרי זה חייב. והן הן דברי רבינו במ"ש המשלח כלבים</w:t>
      </w:r>
      <w:r w:rsidR="00A454EE">
        <w:rPr>
          <w:rFonts w:asciiTheme="minorBidi" w:hAnsiTheme="minorBidi" w:cs="Arial" w:hint="cs"/>
          <w:rtl/>
        </w:rPr>
        <w:t xml:space="preserve"> וכו'</w:t>
      </w:r>
      <w:r w:rsidR="00A454EE">
        <w:rPr>
          <w:rFonts w:asciiTheme="minorBidi" w:hAnsiTheme="minorBidi" w:cs="Arial" w:hint="cs"/>
          <w:sz w:val="16"/>
          <w:szCs w:val="16"/>
          <w:rtl/>
        </w:rPr>
        <w:t xml:space="preserve"> {</w:t>
      </w:r>
      <w:r w:rsidR="00A454EE" w:rsidRPr="00A454EE">
        <w:rPr>
          <w:rFonts w:asciiTheme="minorBidi" w:hAnsiTheme="minorBidi" w:cs="Arial"/>
          <w:sz w:val="16"/>
          <w:szCs w:val="16"/>
          <w:rtl/>
        </w:rPr>
        <w:t>המשלח כלבים כדי שיצודו צבאים וארנבים וכיוצא בהן</w:t>
      </w:r>
      <w:r w:rsidR="00A454EE">
        <w:rPr>
          <w:rFonts w:asciiTheme="minorBidi" w:hAnsiTheme="minorBidi" w:cs="Arial" w:hint="cs"/>
          <w:sz w:val="16"/>
          <w:szCs w:val="16"/>
          <w:rtl/>
        </w:rPr>
        <w:t>,</w:t>
      </w:r>
      <w:r w:rsidR="00A454EE" w:rsidRPr="00A454EE">
        <w:rPr>
          <w:rFonts w:asciiTheme="minorBidi" w:hAnsiTheme="minorBidi" w:cs="Arial"/>
          <w:sz w:val="16"/>
          <w:szCs w:val="16"/>
          <w:rtl/>
        </w:rPr>
        <w:t xml:space="preserve"> וברח הצבי מפני הכלב</w:t>
      </w:r>
      <w:r w:rsidR="00A454EE">
        <w:rPr>
          <w:rFonts w:asciiTheme="minorBidi" w:hAnsiTheme="minorBidi" w:cs="Arial" w:hint="cs"/>
          <w:sz w:val="16"/>
          <w:szCs w:val="16"/>
          <w:rtl/>
        </w:rPr>
        <w:t>,</w:t>
      </w:r>
      <w:r w:rsidR="00A454EE" w:rsidRPr="00A454EE">
        <w:rPr>
          <w:rFonts w:asciiTheme="minorBidi" w:hAnsiTheme="minorBidi" w:cs="Arial"/>
          <w:sz w:val="16"/>
          <w:szCs w:val="16"/>
          <w:rtl/>
        </w:rPr>
        <w:t xml:space="preserve"> והיה הוא רודף אחר הצבי</w:t>
      </w:r>
      <w:r w:rsidR="00A454EE">
        <w:rPr>
          <w:rFonts w:asciiTheme="minorBidi" w:hAnsiTheme="minorBidi" w:cs="Arial" w:hint="cs"/>
          <w:sz w:val="16"/>
          <w:szCs w:val="16"/>
          <w:rtl/>
        </w:rPr>
        <w:t>,</w:t>
      </w:r>
      <w:r w:rsidR="00A454EE" w:rsidRPr="00A454EE">
        <w:rPr>
          <w:rFonts w:asciiTheme="minorBidi" w:hAnsiTheme="minorBidi" w:cs="Arial"/>
          <w:sz w:val="16"/>
          <w:szCs w:val="16"/>
          <w:rtl/>
        </w:rPr>
        <w:t xml:space="preserve"> או שעמד בפניו והבהילו עד שהגיע הכלב ותפשו </w:t>
      </w:r>
      <w:r w:rsidR="00A454EE">
        <w:rPr>
          <w:rFonts w:asciiTheme="minorBidi" w:hAnsiTheme="minorBidi" w:cs="Arial" w:hint="cs"/>
          <w:sz w:val="16"/>
          <w:szCs w:val="16"/>
          <w:rtl/>
        </w:rPr>
        <w:t xml:space="preserve">- </w:t>
      </w:r>
      <w:r w:rsidR="00A454EE" w:rsidRPr="00A454EE">
        <w:rPr>
          <w:rFonts w:asciiTheme="minorBidi" w:hAnsiTheme="minorBidi" w:cs="Arial"/>
          <w:sz w:val="16"/>
          <w:szCs w:val="16"/>
          <w:rtl/>
        </w:rPr>
        <w:t>הרי זה תולדת הצד וחייב</w:t>
      </w:r>
      <w:r w:rsidR="00A454EE">
        <w:rPr>
          <w:rFonts w:asciiTheme="minorBidi" w:hAnsiTheme="minorBidi" w:cs="Arial" w:hint="cs"/>
          <w:sz w:val="16"/>
          <w:szCs w:val="16"/>
          <w:rtl/>
        </w:rPr>
        <w:t>}</w:t>
      </w:r>
      <w:r w:rsidR="00A454EE" w:rsidRPr="00A454EE">
        <w:rPr>
          <w:rFonts w:asciiTheme="minorBidi" w:hAnsiTheme="minorBidi" w:cs="Arial"/>
          <w:rtl/>
        </w:rPr>
        <w:t xml:space="preserve">. </w:t>
      </w:r>
      <w:r w:rsidR="00A454EE">
        <w:rPr>
          <w:rFonts w:asciiTheme="minorBidi" w:hAnsiTheme="minorBidi" w:hint="cs"/>
          <w:rtl/>
        </w:rPr>
        <w:t>עכ"ל.</w:t>
      </w:r>
      <w:r w:rsidRPr="008C1C8E">
        <w:rPr>
          <w:rFonts w:asciiTheme="minorBidi" w:hAnsiTheme="minorBidi"/>
          <w:rtl/>
        </w:rPr>
        <w:t xml:space="preserve"> </w:t>
      </w:r>
      <w:r w:rsidR="00A454EE">
        <w:rPr>
          <w:rFonts w:asciiTheme="minorBidi" w:hAnsiTheme="minorBidi" w:hint="cs"/>
          <w:rtl/>
        </w:rPr>
        <w:t xml:space="preserve">ומה שכתב </w:t>
      </w:r>
      <w:r w:rsidRPr="008C1C8E">
        <w:rPr>
          <w:rFonts w:asciiTheme="minorBidi" w:hAnsiTheme="minorBidi"/>
          <w:rtl/>
        </w:rPr>
        <w:t>הה"מ שכן דעת ר"ח</w:t>
      </w:r>
      <w:r w:rsidR="00A454EE">
        <w:rPr>
          <w:rFonts w:asciiTheme="minorBidi" w:hAnsiTheme="minorBidi" w:hint="cs"/>
          <w:rtl/>
        </w:rPr>
        <w:t>,</w:t>
      </w:r>
      <w:r w:rsidRPr="008C1C8E">
        <w:rPr>
          <w:rFonts w:asciiTheme="minorBidi" w:hAnsiTheme="minorBidi"/>
          <w:rtl/>
        </w:rPr>
        <w:t xml:space="preserve"> </w:t>
      </w:r>
      <w:r w:rsidRPr="00A454EE">
        <w:rPr>
          <w:rFonts w:asciiTheme="minorBidi" w:hAnsiTheme="minorBidi"/>
          <w:rtl/>
        </w:rPr>
        <w:t>נראה שכך היה כתוב בגיר' שהייתה לו בר"ח</w:t>
      </w:r>
      <w:r w:rsidR="00183416">
        <w:rPr>
          <w:rFonts w:asciiTheme="minorBidi" w:hAnsiTheme="minorBidi" w:hint="cs"/>
          <w:sz w:val="16"/>
          <w:szCs w:val="16"/>
          <w:rtl/>
        </w:rPr>
        <w:t xml:space="preserve"> </w:t>
      </w:r>
      <w:r w:rsidR="00A454EE">
        <w:rPr>
          <w:rFonts w:asciiTheme="minorBidi" w:hAnsiTheme="minorBidi" w:hint="cs"/>
          <w:sz w:val="16"/>
          <w:szCs w:val="16"/>
          <w:rtl/>
        </w:rPr>
        <w:t>(</w:t>
      </w:r>
      <w:r w:rsidR="00183416">
        <w:rPr>
          <w:rFonts w:asciiTheme="minorBidi" w:hAnsiTheme="minorBidi" w:hint="cs"/>
          <w:sz w:val="16"/>
          <w:szCs w:val="16"/>
          <w:rtl/>
        </w:rPr>
        <w:t>וכתב הגר"א [סק"ד]</w:t>
      </w:r>
      <w:r w:rsidRPr="00183416">
        <w:rPr>
          <w:rFonts w:asciiTheme="minorBidi" w:hAnsiTheme="minorBidi"/>
          <w:sz w:val="16"/>
          <w:szCs w:val="16"/>
          <w:rtl/>
        </w:rPr>
        <w:t xml:space="preserve"> </w:t>
      </w:r>
      <w:r w:rsidR="00183416">
        <w:rPr>
          <w:rFonts w:asciiTheme="minorBidi" w:hAnsiTheme="minorBidi" w:hint="cs"/>
          <w:sz w:val="16"/>
          <w:szCs w:val="16"/>
          <w:rtl/>
        </w:rPr>
        <w:t>ש</w:t>
      </w:r>
      <w:r w:rsidRPr="00183416">
        <w:rPr>
          <w:rFonts w:asciiTheme="minorBidi" w:hAnsiTheme="minorBidi"/>
          <w:sz w:val="16"/>
          <w:szCs w:val="16"/>
          <w:rtl/>
        </w:rPr>
        <w:t>כן היה לפני הרא"ש הטור ושו"ע)</w:t>
      </w:r>
      <w:r w:rsidRPr="008C1C8E">
        <w:rPr>
          <w:rFonts w:asciiTheme="minorBidi" w:hAnsiTheme="minorBidi"/>
          <w:rtl/>
        </w:rPr>
        <w:t>, אך אצלנו הגיר' בר"ח היא ש</w:t>
      </w:r>
      <w:r w:rsidR="00183416">
        <w:rPr>
          <w:rFonts w:asciiTheme="minorBidi" w:hAnsiTheme="minorBidi" w:hint="cs"/>
          <w:rtl/>
        </w:rPr>
        <w:t xml:space="preserve">מחמת </w:t>
      </w:r>
      <w:r w:rsidRPr="008C1C8E">
        <w:rPr>
          <w:rFonts w:asciiTheme="minorBidi" w:hAnsiTheme="minorBidi"/>
          <w:rtl/>
        </w:rPr>
        <w:t>אובצנא פטור (בר"ח כ' "אוצנא")</w:t>
      </w:r>
      <w:r w:rsidR="00183416">
        <w:rPr>
          <w:rFonts w:asciiTheme="minorBidi" w:hAnsiTheme="minorBidi" w:hint="cs"/>
          <w:rtl/>
        </w:rPr>
        <w:t>.</w:t>
      </w:r>
      <w:r w:rsidRPr="008C1C8E">
        <w:rPr>
          <w:rFonts w:asciiTheme="minorBidi" w:hAnsiTheme="minorBidi"/>
          <w:rtl/>
        </w:rPr>
        <w:t xml:space="preserve"> וכן ראיתי שכ' הביאור הלכה (ד"ה או חולה) שפלא שלפנינו כ</w:t>
      </w:r>
      <w:r w:rsidR="00183416">
        <w:rPr>
          <w:rFonts w:asciiTheme="minorBidi" w:hAnsiTheme="minorBidi" w:hint="cs"/>
          <w:rtl/>
        </w:rPr>
        <w:t>תוב</w:t>
      </w:r>
      <w:r w:rsidRPr="008C1C8E">
        <w:rPr>
          <w:rFonts w:asciiTheme="minorBidi" w:hAnsiTheme="minorBidi"/>
          <w:rtl/>
        </w:rPr>
        <w:t xml:space="preserve"> להפך. </w:t>
      </w:r>
    </w:p>
  </w:footnote>
  <w:footnote w:id="2439">
    <w:p w14:paraId="4ACFA291" w14:textId="75A45AA6" w:rsidR="005811F4" w:rsidRDefault="005811F4" w:rsidP="00285819">
      <w:pPr>
        <w:pStyle w:val="a7"/>
        <w:rPr>
          <w:rtl/>
        </w:rPr>
      </w:pPr>
      <w:r>
        <w:rPr>
          <w:rStyle w:val="a9"/>
        </w:rPr>
        <w:footnoteRef/>
      </w:r>
      <w:r>
        <w:rPr>
          <w:rtl/>
        </w:rPr>
        <w:t xml:space="preserve"> </w:t>
      </w:r>
      <w:r>
        <w:rPr>
          <w:rFonts w:hint="cs"/>
          <w:rtl/>
        </w:rPr>
        <w:t>הדרכ"מ (סק"ב) כתב כך-</w:t>
      </w:r>
      <w:r w:rsidRPr="005811F4">
        <w:rPr>
          <w:rtl/>
        </w:rPr>
        <w:t xml:space="preserve"> </w:t>
      </w:r>
      <w:r w:rsidRPr="005811F4">
        <w:rPr>
          <w:rFonts w:cs="Arial"/>
          <w:rtl/>
        </w:rPr>
        <w:t>כתב הכל בו (סי' לא כז ב) המשסה כלב אחר הצבי בשבת הוה צידה.</w:t>
      </w:r>
      <w:r>
        <w:rPr>
          <w:rFonts w:cs="Arial" w:hint="cs"/>
          <w:rtl/>
        </w:rPr>
        <w:t xml:space="preserve"> עכ"ל הדרכ"מ. ומשמע שמי שלא עשה בעצמו כלום, אלא שילח את כלבו (כעין מחמר בבהמה ע"י קולו, עי' שו"ע סי' רסו ס"ב) הרי זה חייב משום צידה</w:t>
      </w:r>
      <w:r w:rsidR="004E5403">
        <w:rPr>
          <w:rFonts w:asciiTheme="minorBidi" w:hAnsiTheme="minorBidi" w:hint="cs"/>
          <w:rtl/>
        </w:rPr>
        <w:t xml:space="preserve"> </w:t>
      </w:r>
      <w:r w:rsidR="004E5403" w:rsidRPr="004E5403">
        <w:rPr>
          <w:rFonts w:asciiTheme="minorBidi" w:hAnsiTheme="minorBidi" w:hint="cs"/>
          <w:color w:val="00B0F0"/>
          <w:rtl/>
        </w:rPr>
        <w:t>(וכ"פ בהג"ה)</w:t>
      </w:r>
      <w:r w:rsidR="00196274">
        <w:rPr>
          <w:rFonts w:asciiTheme="minorBidi" w:hAnsiTheme="minorBidi" w:hint="cs"/>
          <w:rtl/>
        </w:rPr>
        <w:t>.</w:t>
      </w:r>
      <w:r w:rsidR="00196274" w:rsidRPr="008C1C8E">
        <w:rPr>
          <w:rFonts w:asciiTheme="minorBidi" w:hAnsiTheme="minorBidi"/>
          <w:rtl/>
        </w:rPr>
        <w:t xml:space="preserve"> </w:t>
      </w:r>
      <w:r>
        <w:rPr>
          <w:rFonts w:cs="Arial" w:hint="cs"/>
          <w:rtl/>
        </w:rPr>
        <w:t>ו</w:t>
      </w:r>
      <w:r w:rsidR="00513E83">
        <w:rPr>
          <w:rFonts w:cs="Arial" w:hint="cs"/>
          <w:rtl/>
        </w:rPr>
        <w:t>תימה לי שהוציא כן מדברי הכלבו</w:t>
      </w:r>
      <w:r>
        <w:rPr>
          <w:rFonts w:cs="Arial" w:hint="cs"/>
          <w:rtl/>
        </w:rPr>
        <w:t xml:space="preserve">, שהרי הכלבו כתב שהאדם </w:t>
      </w:r>
      <w:r w:rsidR="00196274">
        <w:rPr>
          <w:rFonts w:cs="Arial" w:hint="cs"/>
          <w:rtl/>
        </w:rPr>
        <w:t>רדף אחר הצידה כדי ל</w:t>
      </w:r>
      <w:r>
        <w:rPr>
          <w:rFonts w:cs="Arial" w:hint="cs"/>
          <w:rtl/>
        </w:rPr>
        <w:t>עז</w:t>
      </w:r>
      <w:r w:rsidR="00196274">
        <w:rPr>
          <w:rFonts w:cs="Arial" w:hint="cs"/>
          <w:rtl/>
        </w:rPr>
        <w:t>ו</w:t>
      </w:r>
      <w:r>
        <w:rPr>
          <w:rFonts w:cs="Arial" w:hint="cs"/>
          <w:rtl/>
        </w:rPr>
        <w:t xml:space="preserve">ר לכלב. ובעצם </w:t>
      </w:r>
      <w:r w:rsidR="00513E83">
        <w:rPr>
          <w:rFonts w:cs="Arial" w:hint="cs"/>
          <w:rtl/>
        </w:rPr>
        <w:t>אלו דברי</w:t>
      </w:r>
      <w:r>
        <w:rPr>
          <w:rFonts w:cs="Arial" w:hint="cs"/>
          <w:rtl/>
        </w:rPr>
        <w:t xml:space="preserve"> הרמב"ם </w:t>
      </w:r>
      <w:r w:rsidR="00513E83">
        <w:rPr>
          <w:rFonts w:cs="Arial" w:hint="cs"/>
          <w:rtl/>
        </w:rPr>
        <w:t>שכתב ב</w:t>
      </w:r>
      <w:r>
        <w:rPr>
          <w:rFonts w:cs="Arial" w:hint="cs"/>
          <w:rtl/>
        </w:rPr>
        <w:t xml:space="preserve">פ"י </w:t>
      </w:r>
      <w:r w:rsidR="00513E83">
        <w:rPr>
          <w:rFonts w:cs="Arial" w:hint="cs"/>
          <w:rtl/>
        </w:rPr>
        <w:t>(</w:t>
      </w:r>
      <w:r>
        <w:rPr>
          <w:rFonts w:cs="Arial" w:hint="cs"/>
          <w:rtl/>
        </w:rPr>
        <w:t xml:space="preserve">הכ"ב) </w:t>
      </w:r>
      <w:r>
        <w:rPr>
          <w:rFonts w:asciiTheme="minorBidi" w:hAnsiTheme="minorBidi" w:cs="Arial" w:hint="cs"/>
          <w:rtl/>
        </w:rPr>
        <w:t xml:space="preserve">וז"ל- </w:t>
      </w:r>
      <w:r w:rsidRPr="005811F4">
        <w:rPr>
          <w:rFonts w:asciiTheme="minorBidi" w:hAnsiTheme="minorBidi" w:cs="Arial"/>
          <w:rtl/>
        </w:rPr>
        <w:t>המשלח כלבים כדי שיצודו צבאים וארנבים וכיוצא בהן</w:t>
      </w:r>
      <w:r w:rsidRPr="005811F4">
        <w:rPr>
          <w:rFonts w:asciiTheme="minorBidi" w:hAnsiTheme="minorBidi" w:cs="Arial" w:hint="cs"/>
          <w:rtl/>
        </w:rPr>
        <w:t>,</w:t>
      </w:r>
      <w:r w:rsidRPr="005811F4">
        <w:rPr>
          <w:rFonts w:asciiTheme="minorBidi" w:hAnsiTheme="minorBidi" w:cs="Arial"/>
          <w:rtl/>
        </w:rPr>
        <w:t xml:space="preserve"> וברח הצבי מפני הכלב</w:t>
      </w:r>
      <w:r w:rsidRPr="005811F4">
        <w:rPr>
          <w:rFonts w:asciiTheme="minorBidi" w:hAnsiTheme="minorBidi" w:cs="Arial" w:hint="cs"/>
          <w:rtl/>
        </w:rPr>
        <w:t>,</w:t>
      </w:r>
      <w:r w:rsidRPr="005811F4">
        <w:rPr>
          <w:rFonts w:asciiTheme="minorBidi" w:hAnsiTheme="minorBidi" w:cs="Arial"/>
          <w:rtl/>
        </w:rPr>
        <w:t xml:space="preserve"> והיה הוא רודף אחר הצבי</w:t>
      </w:r>
      <w:r w:rsidRPr="005811F4">
        <w:rPr>
          <w:rFonts w:asciiTheme="minorBidi" w:hAnsiTheme="minorBidi" w:cs="Arial" w:hint="cs"/>
          <w:rtl/>
        </w:rPr>
        <w:t>,</w:t>
      </w:r>
      <w:r w:rsidRPr="005811F4">
        <w:rPr>
          <w:rFonts w:asciiTheme="minorBidi" w:hAnsiTheme="minorBidi" w:cs="Arial"/>
          <w:rtl/>
        </w:rPr>
        <w:t xml:space="preserve"> או שעמד בפניו והבהילו עד שהגיע הכלב ותפשו </w:t>
      </w:r>
      <w:r w:rsidRPr="005811F4">
        <w:rPr>
          <w:rFonts w:asciiTheme="minorBidi" w:hAnsiTheme="minorBidi" w:cs="Arial" w:hint="cs"/>
          <w:rtl/>
        </w:rPr>
        <w:t xml:space="preserve">- </w:t>
      </w:r>
      <w:r w:rsidRPr="005811F4">
        <w:rPr>
          <w:rFonts w:asciiTheme="minorBidi" w:hAnsiTheme="minorBidi" w:cs="Arial"/>
          <w:rtl/>
        </w:rPr>
        <w:t>הרי זה תולדת הצד וחייב</w:t>
      </w:r>
      <w:r>
        <w:rPr>
          <w:rFonts w:asciiTheme="minorBidi" w:hAnsiTheme="minorBidi" w:cs="Arial" w:hint="cs"/>
          <w:rtl/>
        </w:rPr>
        <w:t>.</w:t>
      </w:r>
      <w:r w:rsidR="00196274">
        <w:rPr>
          <w:rFonts w:hint="cs"/>
          <w:rtl/>
        </w:rPr>
        <w:t xml:space="preserve"> עכ"ל</w:t>
      </w:r>
      <w:r w:rsidR="00196274" w:rsidRPr="008C1C8E">
        <w:rPr>
          <w:rFonts w:asciiTheme="minorBidi" w:hAnsiTheme="minorBidi"/>
          <w:rtl/>
        </w:rPr>
        <w:t>.</w:t>
      </w:r>
      <w:r w:rsidR="00A95A2B">
        <w:rPr>
          <w:rFonts w:hint="cs"/>
          <w:rtl/>
        </w:rPr>
        <w:t xml:space="preserve"> וכן כתב המשנ"ב (סק"י, ובביאור הלכה ד"ה הוי צידה). </w:t>
      </w:r>
      <w:r w:rsidR="00A95A2B">
        <w:rPr>
          <w:rFonts w:cs="Arial" w:hint="cs"/>
          <w:rtl/>
        </w:rPr>
        <w:t>ועיין במג"א (סק"ד) שהבין ש</w:t>
      </w:r>
      <w:r w:rsidR="00A95A2B" w:rsidRPr="00A95A2B">
        <w:rPr>
          <w:rFonts w:cs="Arial"/>
          <w:rtl/>
        </w:rPr>
        <w:t xml:space="preserve">הכל בו </w:t>
      </w:r>
      <w:r w:rsidR="004E5403">
        <w:rPr>
          <w:rFonts w:cs="Arial" w:hint="cs"/>
          <w:rtl/>
        </w:rPr>
        <w:t xml:space="preserve">והרמ"א </w:t>
      </w:r>
      <w:r w:rsidR="00A95A2B" w:rsidRPr="00A95A2B">
        <w:rPr>
          <w:rFonts w:cs="Arial"/>
          <w:rtl/>
        </w:rPr>
        <w:t>לאיסורא בעלמא קאמר</w:t>
      </w:r>
      <w:r w:rsidR="00A95A2B">
        <w:rPr>
          <w:rFonts w:cs="Arial" w:hint="cs"/>
          <w:rtl/>
        </w:rPr>
        <w:t>. וכנראה לא ראה את הכל בו בפנים אלא מתוך הדרכ"מ. ועיין בביאור הלכה (ד"ה הוי צידה) שחלק על</w:t>
      </w:r>
      <w:r w:rsidR="004E5403">
        <w:rPr>
          <w:rFonts w:cs="Arial" w:hint="cs"/>
          <w:rtl/>
        </w:rPr>
        <w:t xml:space="preserve"> המג"א</w:t>
      </w:r>
      <w:r w:rsidR="00A95A2B">
        <w:rPr>
          <w:rFonts w:cs="Arial" w:hint="cs"/>
          <w:rtl/>
        </w:rPr>
        <w:t>.</w:t>
      </w:r>
    </w:p>
  </w:footnote>
  <w:footnote w:id="2440">
    <w:p w14:paraId="43F72AB4" w14:textId="2211DF52" w:rsidR="0037795A" w:rsidRDefault="0037795A" w:rsidP="00285819">
      <w:pPr>
        <w:pStyle w:val="a7"/>
        <w:rPr>
          <w:rtl/>
        </w:rPr>
      </w:pPr>
      <w:r>
        <w:rPr>
          <w:rStyle w:val="a9"/>
        </w:rPr>
        <w:footnoteRef/>
      </w:r>
      <w:r>
        <w:rPr>
          <w:rtl/>
        </w:rPr>
        <w:t xml:space="preserve"> </w:t>
      </w:r>
      <w:r w:rsidRPr="0037795A">
        <w:rPr>
          <w:rFonts w:cs="Arial"/>
          <w:rtl/>
        </w:rPr>
        <w:t>צידת חיה על ידי כלבים</w:t>
      </w:r>
      <w:r>
        <w:rPr>
          <w:rFonts w:cs="Arial" w:hint="cs"/>
          <w:rtl/>
        </w:rPr>
        <w:t>,</w:t>
      </w:r>
      <w:r w:rsidRPr="0037795A">
        <w:rPr>
          <w:rFonts w:cs="Arial"/>
          <w:rtl/>
        </w:rPr>
        <w:t xml:space="preserve"> וכל מעשיהם לשם שחוק ושמחה</w:t>
      </w:r>
      <w:r>
        <w:rPr>
          <w:rFonts w:cs="Arial" w:hint="cs"/>
          <w:rtl/>
        </w:rPr>
        <w:t>,</w:t>
      </w:r>
      <w:r w:rsidRPr="0037795A">
        <w:rPr>
          <w:rFonts w:cs="Arial"/>
          <w:rtl/>
        </w:rPr>
        <w:t xml:space="preserve"> דוגמתו בשחיטת חולין (ס:) וכי משה קניגי הוה</w:t>
      </w:r>
      <w:r>
        <w:rPr>
          <w:rFonts w:hint="cs"/>
          <w:rtl/>
        </w:rPr>
        <w:t>, רש"י (ע"ז יח: ד"ה קיניגון).</w:t>
      </w:r>
    </w:p>
  </w:footnote>
  <w:footnote w:id="2441">
    <w:p w14:paraId="593B1E86" w14:textId="3711BD80"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ובגמ' מחלקים בחולה אם מחמת עייפות שהוא יגע ואינו יכול לזוז ממקומו ניצוד ועומד הוא ופטור</w:t>
      </w:r>
      <w:r w:rsidR="00D73B3A">
        <w:rPr>
          <w:rFonts w:asciiTheme="minorBidi" w:hAnsiTheme="minorBidi" w:hint="cs"/>
          <w:rtl/>
        </w:rPr>
        <w:t>,</w:t>
      </w:r>
      <w:r w:rsidRPr="008C1C8E">
        <w:rPr>
          <w:rFonts w:asciiTheme="minorBidi" w:hAnsiTheme="minorBidi"/>
          <w:rtl/>
        </w:rPr>
        <w:t xml:space="preserve"> ואם מחמת חמימות הוא חולה לא הוה ניצוד וחייב </w:t>
      </w:r>
      <w:r w:rsidRPr="008C1C8E">
        <w:rPr>
          <w:rFonts w:asciiTheme="minorBidi" w:hAnsiTheme="minorBidi"/>
          <w:sz w:val="16"/>
          <w:szCs w:val="16"/>
          <w:rtl/>
        </w:rPr>
        <w:t>{לפרש"י שזכרנו לעיל}</w:t>
      </w:r>
      <w:r w:rsidR="00D73B3A">
        <w:rPr>
          <w:rFonts w:asciiTheme="minorBidi" w:hAnsiTheme="minorBidi" w:hint="cs"/>
          <w:rtl/>
        </w:rPr>
        <w:t xml:space="preserve">. </w:t>
      </w:r>
      <w:r w:rsidRPr="008C1C8E">
        <w:rPr>
          <w:rFonts w:asciiTheme="minorBidi" w:hAnsiTheme="minorBidi"/>
          <w:rtl/>
        </w:rPr>
        <w:t xml:space="preserve">והטור והשו"ע לא זכרו כיון שהשוהו לזקן משמע דגם החולה אינו יכול להשמט כמו הזקן והיינו מחמת יגיעתו. והרי"ף לא הבי' ברייתא זו דישן או סומא לפי שכבר יש כלל מסור לנו כל המחוסר צידה וכו' כנ"ל, </w:t>
      </w:r>
      <w:r w:rsidRPr="00D73B3A">
        <w:rPr>
          <w:rFonts w:asciiTheme="minorBidi" w:hAnsiTheme="minorBidi"/>
          <w:b/>
          <w:bCs/>
          <w:rtl/>
        </w:rPr>
        <w:t>ט"ז</w:t>
      </w:r>
      <w:r w:rsidRPr="008C1C8E">
        <w:rPr>
          <w:rFonts w:asciiTheme="minorBidi" w:hAnsiTheme="minorBidi"/>
          <w:sz w:val="16"/>
          <w:szCs w:val="16"/>
          <w:rtl/>
        </w:rPr>
        <w:t xml:space="preserve"> </w:t>
      </w:r>
      <w:r w:rsidRPr="00D73B3A">
        <w:rPr>
          <w:rFonts w:asciiTheme="minorBidi" w:hAnsiTheme="minorBidi"/>
          <w:rtl/>
        </w:rPr>
        <w:t>(סק"ב)</w:t>
      </w:r>
      <w:r w:rsidRPr="008C1C8E">
        <w:rPr>
          <w:rFonts w:asciiTheme="minorBidi" w:hAnsiTheme="minorBidi"/>
          <w:rtl/>
        </w:rPr>
        <w:t>.</w:t>
      </w:r>
      <w:r w:rsidR="00D73B3A">
        <w:rPr>
          <w:rFonts w:asciiTheme="minorBidi" w:hAnsiTheme="minorBidi" w:hint="cs"/>
          <w:rtl/>
        </w:rPr>
        <w:t xml:space="preserve">   </w:t>
      </w:r>
      <w:r w:rsidRPr="008C1C8E">
        <w:rPr>
          <w:rFonts w:asciiTheme="minorBidi" w:hAnsiTheme="minorBidi"/>
          <w:rtl/>
        </w:rPr>
        <w:t xml:space="preserve"> אך </w:t>
      </w:r>
      <w:r w:rsidRPr="00D73B3A">
        <w:rPr>
          <w:rFonts w:asciiTheme="minorBidi" w:hAnsiTheme="minorBidi"/>
          <w:b/>
          <w:bCs/>
          <w:rtl/>
        </w:rPr>
        <w:t>הגר"א</w:t>
      </w:r>
      <w:r w:rsidRPr="008C1C8E">
        <w:rPr>
          <w:rFonts w:asciiTheme="minorBidi" w:hAnsiTheme="minorBidi"/>
          <w:rtl/>
        </w:rPr>
        <w:t xml:space="preserve"> (סק"ד) כ' כ"כ דהרא"ש הטור והשו"ע ולא חילקו כמו שחילקו בגמ' משום שהם מפרשים כפי' ר"ח והרמב"ם דמחמת אובצנא חייב, וכמ"ש בהגה"ה והמשסה כו' </w:t>
      </w:r>
      <w:r w:rsidRPr="008C1C8E">
        <w:rPr>
          <w:rFonts w:asciiTheme="minorBidi" w:hAnsiTheme="minorBidi"/>
          <w:sz w:val="16"/>
          <w:szCs w:val="16"/>
          <w:rtl/>
        </w:rPr>
        <w:t>{שחייב משום שמעייף את הצבי, עי' מג"א סק"ד}</w:t>
      </w:r>
      <w:r w:rsidRPr="008C1C8E">
        <w:rPr>
          <w:rFonts w:asciiTheme="minorBidi" w:hAnsiTheme="minorBidi"/>
          <w:rtl/>
        </w:rPr>
        <w:t>, ולפיכך סתמו, דסתם חולה מחמת אישתא.</w:t>
      </w:r>
    </w:p>
  </w:footnote>
  <w:footnote w:id="2442">
    <w:p w14:paraId="059E9950" w14:textId="65A40501" w:rsidR="00A95A2B" w:rsidRDefault="00A95A2B" w:rsidP="00285819">
      <w:pPr>
        <w:pStyle w:val="a7"/>
        <w:rPr>
          <w:rtl/>
        </w:rPr>
      </w:pPr>
      <w:r>
        <w:rPr>
          <w:rStyle w:val="a9"/>
        </w:rPr>
        <w:footnoteRef/>
      </w:r>
      <w:r>
        <w:rPr>
          <w:rtl/>
        </w:rPr>
        <w:t xml:space="preserve"> </w:t>
      </w:r>
      <w:r w:rsidRPr="00A95A2B">
        <w:rPr>
          <w:rFonts w:cs="Arial"/>
          <w:rtl/>
        </w:rPr>
        <w:t>היינו אם לא עשה בעצמו מעשה כלל רק במה ששיסה את הכלב והכלב תפסו הוי רק צידה מדרבנן</w:t>
      </w:r>
      <w:r w:rsidR="006D4788">
        <w:rPr>
          <w:rFonts w:cs="Arial" w:hint="cs"/>
          <w:rtl/>
        </w:rPr>
        <w:t>.</w:t>
      </w:r>
      <w:r w:rsidRPr="00A95A2B">
        <w:rPr>
          <w:rFonts w:cs="Arial"/>
          <w:rtl/>
        </w:rPr>
        <w:t xml:space="preserve"> ואם עשה בעצמו ג"כ מעשה לזה כגון שברח הצבי מן הכלב והיה עיף ויגע והיה הוא רודף אחריו והשיגו הכלב עי"ז הוי צידה גמורה ואפילו אם רק עמד בפניו והבהילו עד שהגיע הכלב ותפסו הוי ג"כ תולדה דצידה ומיחייב שכן דרך הציידים</w:t>
      </w:r>
      <w:r>
        <w:rPr>
          <w:rFonts w:hint="cs"/>
          <w:rtl/>
        </w:rPr>
        <w:t>, משנ"ב (סק"י).</w:t>
      </w:r>
    </w:p>
  </w:footnote>
  <w:footnote w:id="2443">
    <w:p w14:paraId="339A2D86" w14:textId="146DB512" w:rsidR="00894408" w:rsidRDefault="00894408" w:rsidP="00285819">
      <w:pPr>
        <w:pStyle w:val="a7"/>
      </w:pPr>
      <w:r>
        <w:rPr>
          <w:rStyle w:val="a9"/>
        </w:rPr>
        <w:footnoteRef/>
      </w:r>
      <w:r>
        <w:rPr>
          <w:rtl/>
        </w:rPr>
        <w:t xml:space="preserve"> </w:t>
      </w:r>
      <w:r>
        <w:rPr>
          <w:rFonts w:hint="cs"/>
          <w:rtl/>
        </w:rPr>
        <w:t>וכן איתא ב</w:t>
      </w:r>
      <w:r>
        <w:rPr>
          <w:rFonts w:asciiTheme="minorBidi" w:hAnsiTheme="minorBidi" w:cs="Arial" w:hint="cs"/>
          <w:rtl/>
        </w:rPr>
        <w:t>מסכת שבת ב</w:t>
      </w:r>
      <w:r w:rsidRPr="00F332E8">
        <w:rPr>
          <w:rFonts w:asciiTheme="minorBidi" w:hAnsiTheme="minorBidi" w:cs="Arial"/>
          <w:rtl/>
        </w:rPr>
        <w:t>פרק כירה (מג.)</w:t>
      </w:r>
      <w:r>
        <w:rPr>
          <w:rFonts w:asciiTheme="minorBidi" w:hAnsiTheme="minorBidi" w:cs="Arial" w:hint="cs"/>
          <w:rtl/>
        </w:rPr>
        <w:t>.</w:t>
      </w:r>
    </w:p>
  </w:footnote>
  <w:footnote w:id="2444">
    <w:p w14:paraId="56979253"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ואע"פ שהוא צדן, רש"י.</w:t>
      </w:r>
    </w:p>
  </w:footnote>
  <w:footnote w:id="2445">
    <w:p w14:paraId="0FD56F45"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חלונות יש בדפנותיה, ואף על פי שמכסה את פיה - אינן נצודין אם לא יכסה גם את החלונות, ולא תימא ובלבד שלא יתכוין, אלא בלבד שלא יעשנה מצודה, שלא יסתום החלונות, רש"י. וכ"כ התוס' בשם הר"מ מאייבר"א וכ"כ הה"מ. </w:t>
      </w:r>
    </w:p>
  </w:footnote>
  <w:footnote w:id="2446">
    <w:p w14:paraId="0A1A59E0" w14:textId="77777777" w:rsidR="009A7623" w:rsidRPr="008C1C8E" w:rsidRDefault="009A7623" w:rsidP="00285819">
      <w:pPr>
        <w:spacing w:after="0" w:line="240" w:lineRule="auto"/>
        <w:rPr>
          <w:rFonts w:asciiTheme="minorBidi" w:hAnsiTheme="minorBidi"/>
          <w:sz w:val="20"/>
          <w:szCs w:val="20"/>
          <w:rtl/>
        </w:rPr>
      </w:pPr>
      <w:r w:rsidRPr="008C1C8E">
        <w:rPr>
          <w:rStyle w:val="a9"/>
          <w:rFonts w:asciiTheme="minorBidi" w:hAnsiTheme="minorBidi"/>
          <w:sz w:val="20"/>
          <w:szCs w:val="20"/>
        </w:rPr>
        <w:footnoteRef/>
      </w:r>
      <w:r w:rsidRPr="008C1C8E">
        <w:rPr>
          <w:rFonts w:asciiTheme="minorBidi" w:hAnsiTheme="minorBidi"/>
          <w:sz w:val="20"/>
          <w:szCs w:val="20"/>
          <w:rtl/>
        </w:rPr>
        <w:t xml:space="preserve"> כיון דאית ליה לרבי יהודה דבר שאין מתכוין אסור, ל"ל למיתני ובלבד שלא יעשה מצודה, דהא צידה אב מלאכה היא, רש"י.</w:t>
      </w:r>
    </w:p>
  </w:footnote>
  <w:footnote w:id="2447">
    <w:p w14:paraId="2FF69582"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שדרך לצוד את בני מינו, כגון חיה ועוף - אסור, אבל האי דאין במינו נצוד - שרי, קמשמע לן, רש"י.</w:t>
      </w:r>
    </w:p>
  </w:footnote>
  <w:footnote w:id="2448">
    <w:p w14:paraId="2EBF425A" w14:textId="0F19CFFA" w:rsidR="007D2C9A" w:rsidRDefault="007D2C9A" w:rsidP="00285819">
      <w:pPr>
        <w:pStyle w:val="a7"/>
      </w:pPr>
      <w:r>
        <w:rPr>
          <w:rStyle w:val="a9"/>
        </w:rPr>
        <w:footnoteRef/>
      </w:r>
      <w:r>
        <w:rPr>
          <w:rtl/>
        </w:rPr>
        <w:t xml:space="preserve"> </w:t>
      </w:r>
      <w:r>
        <w:rPr>
          <w:rFonts w:hint="cs"/>
          <w:rtl/>
        </w:rPr>
        <w:t xml:space="preserve">וז"ל התוס'- </w:t>
      </w:r>
      <w:r w:rsidRPr="00F332E8">
        <w:rPr>
          <w:rFonts w:asciiTheme="minorBidi" w:hAnsiTheme="minorBidi" w:cs="Arial"/>
          <w:rtl/>
        </w:rPr>
        <w:t>ופירש הר"מ מאייבר"א דלרבי שמעון נמי מיירי שיש חור קטן בכוורת אך אינו נראה וא"כ לא הוי פסיק רישיה ולרבי שמעון מותר</w:t>
      </w:r>
      <w:r>
        <w:rPr>
          <w:rFonts w:asciiTheme="minorBidi" w:hAnsiTheme="minorBidi" w:cs="Arial" w:hint="cs"/>
          <w:rtl/>
        </w:rPr>
        <w:t>.</w:t>
      </w:r>
      <w:r w:rsidRPr="007D2C9A">
        <w:rPr>
          <w:rFonts w:asciiTheme="minorBidi" w:hAnsiTheme="minorBidi" w:cs="Arial"/>
          <w:rtl/>
        </w:rPr>
        <w:t xml:space="preserve"> </w:t>
      </w:r>
      <w:r w:rsidRPr="00F332E8">
        <w:rPr>
          <w:rFonts w:asciiTheme="minorBidi" w:hAnsiTheme="minorBidi" w:cs="Arial"/>
          <w:rtl/>
        </w:rPr>
        <w:t>ורבי יהודה דאסר אפילו דבר שאין מתכוין בעי חור גדול שיהא נראה לדבורים לצאת מן הכוורת</w:t>
      </w:r>
      <w:r>
        <w:rPr>
          <w:rFonts w:hint="cs"/>
          <w:rtl/>
        </w:rPr>
        <w:t>.</w:t>
      </w:r>
    </w:p>
  </w:footnote>
  <w:footnote w:id="2449">
    <w:p w14:paraId="385C1A28" w14:textId="08DEDE93" w:rsidR="00894408" w:rsidRDefault="00894408" w:rsidP="00285819">
      <w:pPr>
        <w:pStyle w:val="a7"/>
      </w:pPr>
      <w:r>
        <w:rPr>
          <w:rStyle w:val="a9"/>
        </w:rPr>
        <w:footnoteRef/>
      </w:r>
      <w:r>
        <w:rPr>
          <w:rtl/>
        </w:rPr>
        <w:t xml:space="preserve"> </w:t>
      </w:r>
      <w:r>
        <w:rPr>
          <w:rFonts w:hint="cs"/>
          <w:rtl/>
        </w:rPr>
        <w:t xml:space="preserve">וז"ל- </w:t>
      </w:r>
      <w:r w:rsidRPr="00894408">
        <w:rPr>
          <w:rFonts w:cs="Arial"/>
          <w:rtl/>
        </w:rPr>
        <w:t>מכאן נראה בקיץ בעת שהזבובים מצויין אסור לסגור תיבתו בשבת אם לא יניח ריוח גדול שיוכלו לצאת דאי לאו הכי הם ניצודים ואפילו ר' שמעון מודה דאסור משום פסיק רישיה</w:t>
      </w:r>
      <w:r>
        <w:rPr>
          <w:rFonts w:cs="Arial" w:hint="cs"/>
          <w:rtl/>
        </w:rPr>
        <w:t>.</w:t>
      </w:r>
    </w:p>
  </w:footnote>
  <w:footnote w:id="2450">
    <w:p w14:paraId="6A5C3432" w14:textId="199681F0" w:rsidR="007806E5" w:rsidRDefault="007806E5" w:rsidP="00285819">
      <w:pPr>
        <w:pStyle w:val="a7"/>
        <w:rPr>
          <w:rtl/>
        </w:rPr>
      </w:pPr>
      <w:r>
        <w:rPr>
          <w:rStyle w:val="a9"/>
        </w:rPr>
        <w:footnoteRef/>
      </w:r>
      <w:r>
        <w:rPr>
          <w:rtl/>
        </w:rPr>
        <w:t xml:space="preserve"> </w:t>
      </w:r>
      <w:r w:rsidRPr="00F332E8">
        <w:rPr>
          <w:rFonts w:asciiTheme="minorBidi" w:hAnsiTheme="minorBidi" w:cs="Arial"/>
          <w:rtl/>
        </w:rPr>
        <w:t>אין בדיחוי זה ממש</w:t>
      </w:r>
      <w:r>
        <w:rPr>
          <w:rFonts w:asciiTheme="minorBidi" w:hAnsiTheme="minorBidi" w:cs="Arial" w:hint="cs"/>
          <w:rtl/>
        </w:rPr>
        <w:t>,</w:t>
      </w:r>
      <w:r w:rsidRPr="00F332E8">
        <w:rPr>
          <w:rFonts w:asciiTheme="minorBidi" w:hAnsiTheme="minorBidi" w:cs="Arial"/>
          <w:rtl/>
        </w:rPr>
        <w:t xml:space="preserve"> שכבר נתבאר דבעינן נמי שלא יהו ניצודין בהכרח כי היכי דלא ליהוי פסיק רישיה</w:t>
      </w:r>
      <w:r>
        <w:rPr>
          <w:rFonts w:asciiTheme="minorBidi" w:hAnsiTheme="minorBidi" w:cs="Arial" w:hint="cs"/>
          <w:rtl/>
        </w:rPr>
        <w:t>.</w:t>
      </w:r>
      <w:r w:rsidRPr="00F332E8">
        <w:rPr>
          <w:rFonts w:asciiTheme="minorBidi" w:hAnsiTheme="minorBidi" w:cs="Arial"/>
          <w:rtl/>
        </w:rPr>
        <w:t xml:space="preserve"> ומה שחילק בין כוורת לתיבה משום דכוורת קטנה היא</w:t>
      </w:r>
      <w:r>
        <w:rPr>
          <w:rFonts w:asciiTheme="minorBidi" w:hAnsiTheme="minorBidi" w:cs="Arial" w:hint="cs"/>
          <w:rtl/>
        </w:rPr>
        <w:t>,</w:t>
      </w:r>
      <w:r w:rsidRPr="00F332E8">
        <w:rPr>
          <w:rFonts w:asciiTheme="minorBidi" w:hAnsiTheme="minorBidi" w:cs="Arial"/>
          <w:rtl/>
        </w:rPr>
        <w:t xml:space="preserve"> א"כ אף אנו נחלק בין תיבה קטנה לגדולה</w:t>
      </w:r>
      <w:r>
        <w:rPr>
          <w:rFonts w:asciiTheme="minorBidi" w:hAnsiTheme="minorBidi" w:cs="Arial" w:hint="cs"/>
          <w:rtl/>
        </w:rPr>
        <w:t>,</w:t>
      </w:r>
      <w:r w:rsidRPr="00F332E8">
        <w:rPr>
          <w:rFonts w:asciiTheme="minorBidi" w:hAnsiTheme="minorBidi" w:cs="Arial"/>
          <w:rtl/>
        </w:rPr>
        <w:t xml:space="preserve"> וא"כ נתת דבריך לשיעורים (לה:) דבכוורת נמי איכא רברבי ואיכא זוטרי. אלא אי איכא למידחי דברי בעל התרומה הכי הוא דאיכא למידחינהו</w:t>
      </w:r>
      <w:r>
        <w:rPr>
          <w:rFonts w:asciiTheme="minorBidi" w:hAnsiTheme="minorBidi" w:cs="Arial" w:hint="cs"/>
          <w:rtl/>
        </w:rPr>
        <w:t xml:space="preserve"> -</w:t>
      </w:r>
      <w:r w:rsidRPr="00F332E8">
        <w:rPr>
          <w:rFonts w:asciiTheme="minorBidi" w:hAnsiTheme="minorBidi" w:cs="Arial"/>
          <w:rtl/>
        </w:rPr>
        <w:t xml:space="preserve"> שאני דבורים דכוורת היא מקום שהם ניצודין</w:t>
      </w:r>
      <w:r>
        <w:rPr>
          <w:rFonts w:asciiTheme="minorBidi" w:hAnsiTheme="minorBidi" w:cs="Arial" w:hint="cs"/>
          <w:rtl/>
        </w:rPr>
        <w:t>,</w:t>
      </w:r>
      <w:r w:rsidRPr="00F332E8">
        <w:rPr>
          <w:rFonts w:asciiTheme="minorBidi" w:hAnsiTheme="minorBidi" w:cs="Arial"/>
          <w:rtl/>
        </w:rPr>
        <w:t xml:space="preserve"> והוי כמכניס אריה לגרזקי שלו (קו:)</w:t>
      </w:r>
      <w:r>
        <w:rPr>
          <w:rFonts w:asciiTheme="minorBidi" w:hAnsiTheme="minorBidi" w:cs="Arial" w:hint="cs"/>
          <w:rtl/>
        </w:rPr>
        <w:t>.</w:t>
      </w:r>
      <w:r w:rsidRPr="00F332E8">
        <w:rPr>
          <w:rFonts w:asciiTheme="minorBidi" w:hAnsiTheme="minorBidi" w:cs="Arial"/>
          <w:rtl/>
        </w:rPr>
        <w:t xml:space="preserve"> אבל זבובים דתיבה וכוורת לא הוו מקום צידתם אפשר דלא חשיבי ניצודים עד שיתפסם בידו</w:t>
      </w:r>
      <w:r>
        <w:rPr>
          <w:rFonts w:asciiTheme="minorBidi" w:hAnsiTheme="minorBidi" w:cs="Arial" w:hint="cs"/>
          <w:rtl/>
        </w:rPr>
        <w:t>.</w:t>
      </w:r>
      <w:r w:rsidRPr="00F332E8">
        <w:rPr>
          <w:rFonts w:asciiTheme="minorBidi" w:hAnsiTheme="minorBidi" w:cs="Arial"/>
          <w:rtl/>
        </w:rPr>
        <w:t xml:space="preserve"> אי נמי דעד כאן לא אסר רבי שמעון לפרוס מחצלת על הכוורת בפסיק רישיה אלא בדבורים שבמינן ניצוד </w:t>
      </w:r>
      <w:r>
        <w:rPr>
          <w:rFonts w:asciiTheme="minorBidi" w:hAnsiTheme="minorBidi" w:cs="Arial" w:hint="cs"/>
          <w:sz w:val="16"/>
          <w:szCs w:val="16"/>
          <w:rtl/>
        </w:rPr>
        <w:t xml:space="preserve">{וקשה, דהרי הגמרא כאן אמרה לגבי דבורים שאין מינם ניצוד} </w:t>
      </w:r>
      <w:r w:rsidRPr="00F332E8">
        <w:rPr>
          <w:rFonts w:asciiTheme="minorBidi" w:hAnsiTheme="minorBidi" w:cs="Arial"/>
          <w:rtl/>
        </w:rPr>
        <w:t>אבל זבובים שאין במינן ניצוד כל שאינו מתכוין שרי ואע</w:t>
      </w:r>
      <w:r>
        <w:rPr>
          <w:rFonts w:asciiTheme="minorBidi" w:hAnsiTheme="minorBidi" w:cs="Arial" w:hint="cs"/>
          <w:rtl/>
        </w:rPr>
        <w:t>"</w:t>
      </w:r>
      <w:r w:rsidRPr="00F332E8">
        <w:rPr>
          <w:rFonts w:asciiTheme="minorBidi" w:hAnsiTheme="minorBidi" w:cs="Arial"/>
          <w:rtl/>
        </w:rPr>
        <w:t>ג דפסיק רישיה הוא. ומכל מקום כיון דנפק מפומיה דבעל התרומה וכתבו המרדכי ולא חזינן מאן דאיפליג עליה מי יקל ראשו שלא לחוש לדבריהם</w:t>
      </w:r>
      <w:r>
        <w:rPr>
          <w:rFonts w:hint="cs"/>
          <w:rtl/>
        </w:rPr>
        <w:t>, ב"י.</w:t>
      </w:r>
    </w:p>
  </w:footnote>
  <w:footnote w:id="2451">
    <w:p w14:paraId="62A55340"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אפילו צדן לצורך, תוס' (קז. ד"ה שלא) ור"ן (לח: ד"ה הצדן), מג"א (סק"ו).</w:t>
      </w:r>
    </w:p>
  </w:footnote>
  <w:footnote w:id="2452">
    <w:p w14:paraId="5BAE412F" w14:textId="40B3943E" w:rsidR="00714488" w:rsidRDefault="00714488" w:rsidP="00285819">
      <w:pPr>
        <w:pStyle w:val="a7"/>
        <w:rPr>
          <w:rtl/>
        </w:rPr>
      </w:pPr>
      <w:r>
        <w:rPr>
          <w:rStyle w:val="a9"/>
        </w:rPr>
        <w:footnoteRef/>
      </w:r>
      <w:r>
        <w:rPr>
          <w:rtl/>
        </w:rPr>
        <w:t xml:space="preserve"> </w:t>
      </w:r>
      <w:r w:rsidRPr="005275DF">
        <w:rPr>
          <w:rFonts w:asciiTheme="minorBidi" w:hAnsiTheme="minorBidi"/>
          <w:rtl/>
        </w:rPr>
        <w:t>כבר העליתי בס"ד דדוקא בספק אם יש שם זבובים א"צ לבדוק אחר זה אבל אם רואה בודאי שיש שם זבובים יפריח מה שנרא' בעיניו ואין חשש יותר כן ראוי לפסוק בפרט במידי דרבנן במין שאינו ניצוד דמה"ת אין חיוב בו כלל רק משום גזירה דרבנן משום מינו ניצוד</w:t>
      </w:r>
      <w:r>
        <w:rPr>
          <w:rFonts w:asciiTheme="minorBidi" w:hAnsiTheme="minorBidi" w:hint="cs"/>
          <w:rtl/>
        </w:rPr>
        <w:t>, ט"ז (סק"ד)</w:t>
      </w:r>
      <w:r w:rsidRPr="005275DF">
        <w:rPr>
          <w:rFonts w:asciiTheme="minorBidi" w:hAnsiTheme="minorBidi"/>
          <w:rtl/>
        </w:rPr>
        <w:t>.</w:t>
      </w:r>
    </w:p>
  </w:footnote>
  <w:footnote w:id="2453">
    <w:p w14:paraId="51F9B83B" w14:textId="741D927C" w:rsidR="00BF766D" w:rsidRDefault="00BF766D" w:rsidP="00285819">
      <w:pPr>
        <w:pStyle w:val="a7"/>
        <w:rPr>
          <w:rtl/>
        </w:rPr>
      </w:pPr>
      <w:r>
        <w:rPr>
          <w:rStyle w:val="a9"/>
        </w:rPr>
        <w:footnoteRef/>
      </w:r>
      <w:r>
        <w:rPr>
          <w:rtl/>
        </w:rPr>
        <w:t xml:space="preserve"> </w:t>
      </w:r>
      <w:r w:rsidRPr="00F332E8">
        <w:rPr>
          <w:rFonts w:asciiTheme="minorBidi" w:hAnsiTheme="minorBidi" w:cs="Arial"/>
          <w:rtl/>
        </w:rPr>
        <w:t>אין בדיחוי זה ממש</w:t>
      </w:r>
      <w:r>
        <w:rPr>
          <w:rFonts w:asciiTheme="minorBidi" w:hAnsiTheme="minorBidi" w:cs="Arial" w:hint="cs"/>
          <w:rtl/>
        </w:rPr>
        <w:t>,</w:t>
      </w:r>
      <w:r w:rsidRPr="00F332E8">
        <w:rPr>
          <w:rFonts w:asciiTheme="minorBidi" w:hAnsiTheme="minorBidi" w:cs="Arial"/>
          <w:rtl/>
        </w:rPr>
        <w:t xml:space="preserve"> שכבר נתבאר דבעינן נמי שלא יהו ניצודין בהכרח כי היכי דלא ליהוי פסיק רישיה</w:t>
      </w:r>
      <w:r>
        <w:rPr>
          <w:rFonts w:hint="cs"/>
          <w:rtl/>
        </w:rPr>
        <w:t>, ב"י.</w:t>
      </w:r>
    </w:p>
  </w:footnote>
  <w:footnote w:id="2454">
    <w:p w14:paraId="3817E4C0" w14:textId="6082DA31"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w:t>
      </w:r>
      <w:r w:rsidR="00854534" w:rsidRPr="005275DF">
        <w:rPr>
          <w:rFonts w:asciiTheme="minorBidi" w:hAnsiTheme="minorBidi"/>
          <w:rtl/>
        </w:rPr>
        <w:t>הפורש מצודה ובשעת פרישתו נכנס חיה לתוכה חייב</w:t>
      </w:r>
      <w:r w:rsidR="00854534">
        <w:rPr>
          <w:rFonts w:asciiTheme="minorBidi" w:hAnsiTheme="minorBidi" w:hint="cs"/>
          <w:rtl/>
        </w:rPr>
        <w:t>,</w:t>
      </w:r>
      <w:r w:rsidR="00854534" w:rsidRPr="005275DF">
        <w:rPr>
          <w:rFonts w:asciiTheme="minorBidi" w:hAnsiTheme="minorBidi"/>
          <w:rtl/>
        </w:rPr>
        <w:t xml:space="preserve"> אבל אם נכנס אח"כ לתוכה פטור אבל אסור</w:t>
      </w:r>
      <w:r w:rsidR="00854534">
        <w:rPr>
          <w:rFonts w:asciiTheme="minorBidi" w:hAnsiTheme="minorBidi" w:hint="cs"/>
          <w:rtl/>
        </w:rPr>
        <w:t>,</w:t>
      </w:r>
      <w:r w:rsidR="00854534" w:rsidRPr="005275DF">
        <w:rPr>
          <w:rFonts w:asciiTheme="minorBidi" w:hAnsiTheme="minorBidi"/>
          <w:rtl/>
        </w:rPr>
        <w:t xml:space="preserve"> שאינו יודע אם יצוד אם</w:t>
      </w:r>
      <w:r w:rsidR="00854534" w:rsidRPr="005275DF">
        <w:rPr>
          <w:rFonts w:asciiTheme="minorBidi" w:hAnsiTheme="minorBidi"/>
          <w:sz w:val="18"/>
          <w:szCs w:val="18"/>
          <w:rtl/>
        </w:rPr>
        <w:t xml:space="preserve"> </w:t>
      </w:r>
      <w:r w:rsidR="00854534" w:rsidRPr="005275DF">
        <w:rPr>
          <w:rFonts w:asciiTheme="minorBidi" w:hAnsiTheme="minorBidi"/>
          <w:rtl/>
        </w:rPr>
        <w:t>לאו</w:t>
      </w:r>
      <w:r w:rsidR="00854534" w:rsidRPr="005275DF">
        <w:rPr>
          <w:rFonts w:asciiTheme="minorBidi" w:hAnsiTheme="minorBidi"/>
          <w:sz w:val="16"/>
          <w:szCs w:val="16"/>
          <w:rtl/>
        </w:rPr>
        <w:t xml:space="preserve"> (תוס' יז: ד"ה אין פורסין)</w:t>
      </w:r>
      <w:r w:rsidR="00854534">
        <w:rPr>
          <w:rFonts w:asciiTheme="minorBidi" w:hAnsiTheme="minorBidi" w:hint="cs"/>
          <w:rtl/>
        </w:rPr>
        <w:t>.</w:t>
      </w:r>
      <w:r w:rsidR="00854534" w:rsidRPr="005275DF">
        <w:rPr>
          <w:rFonts w:asciiTheme="minorBidi" w:hAnsiTheme="minorBidi"/>
          <w:rtl/>
        </w:rPr>
        <w:t xml:space="preserve"> ונ"ל דמה"ט אסור להעמיד בשבת המצודה לצוד בו עכברים</w:t>
      </w:r>
      <w:r w:rsidRPr="008C1C8E">
        <w:rPr>
          <w:rFonts w:asciiTheme="minorBidi" w:hAnsiTheme="minorBidi"/>
          <w:rtl/>
        </w:rPr>
        <w:t>, מג"א (סק"ט).</w:t>
      </w:r>
    </w:p>
  </w:footnote>
  <w:footnote w:id="2455">
    <w:p w14:paraId="538F52B1" w14:textId="40EC9A56" w:rsidR="00D573CA" w:rsidRDefault="00D573CA" w:rsidP="00285819">
      <w:pPr>
        <w:pStyle w:val="a7"/>
        <w:rPr>
          <w:rtl/>
        </w:rPr>
      </w:pPr>
      <w:r>
        <w:rPr>
          <w:rStyle w:val="a9"/>
        </w:rPr>
        <w:footnoteRef/>
      </w:r>
      <w:r>
        <w:rPr>
          <w:rtl/>
        </w:rPr>
        <w:t xml:space="preserve"> </w:t>
      </w:r>
      <w:r w:rsidRPr="00D573CA">
        <w:rPr>
          <w:rFonts w:asciiTheme="minorBidi" w:hAnsiTheme="minorBidi" w:cs="Arial"/>
          <w:rtl/>
        </w:rPr>
        <w:t>מאליו</w:t>
      </w:r>
      <w:r>
        <w:rPr>
          <w:rFonts w:hint="cs"/>
          <w:rtl/>
        </w:rPr>
        <w:t>, רש"י.</w:t>
      </w:r>
    </w:p>
  </w:footnote>
  <w:footnote w:id="2456">
    <w:p w14:paraId="438D6649" w14:textId="1984416B" w:rsidR="00D573CA" w:rsidRDefault="00D573CA" w:rsidP="00285819">
      <w:pPr>
        <w:pStyle w:val="a7"/>
        <w:rPr>
          <w:rtl/>
        </w:rPr>
      </w:pPr>
      <w:r>
        <w:rPr>
          <w:rStyle w:val="a9"/>
        </w:rPr>
        <w:footnoteRef/>
      </w:r>
      <w:r>
        <w:rPr>
          <w:rtl/>
        </w:rPr>
        <w:t xml:space="preserve"> </w:t>
      </w:r>
      <w:r w:rsidRPr="00D573CA">
        <w:rPr>
          <w:rFonts w:asciiTheme="minorBidi" w:hAnsiTheme="minorBidi" w:cs="Arial"/>
          <w:rtl/>
        </w:rPr>
        <w:t>דהוי להו שנים שעשאוה</w:t>
      </w:r>
      <w:r>
        <w:rPr>
          <w:rFonts w:hint="cs"/>
          <w:rtl/>
        </w:rPr>
        <w:t>, רש"י.</w:t>
      </w:r>
    </w:p>
  </w:footnote>
  <w:footnote w:id="2457">
    <w:p w14:paraId="03503020" w14:textId="4218CC4F" w:rsidR="00D573CA" w:rsidRDefault="00D573CA" w:rsidP="00285819">
      <w:pPr>
        <w:pStyle w:val="a7"/>
        <w:rPr>
          <w:rtl/>
        </w:rPr>
      </w:pPr>
      <w:r>
        <w:rPr>
          <w:rStyle w:val="a9"/>
        </w:rPr>
        <w:footnoteRef/>
      </w:r>
      <w:r>
        <w:rPr>
          <w:rtl/>
        </w:rPr>
        <w:t xml:space="preserve"> </w:t>
      </w:r>
      <w:r w:rsidRPr="00D573CA">
        <w:rPr>
          <w:rFonts w:asciiTheme="minorBidi" w:hAnsiTheme="minorBidi" w:cs="Arial"/>
          <w:rtl/>
        </w:rPr>
        <w:t>לטעמיה דדריש קראי למיפטר זה אינו יכול וזה אינו יכול</w:t>
      </w:r>
      <w:r>
        <w:rPr>
          <w:rFonts w:asciiTheme="minorBidi" w:hAnsiTheme="minorBidi" w:cs="Arial" w:hint="cs"/>
          <w:rtl/>
        </w:rPr>
        <w:t>,</w:t>
      </w:r>
      <w:r w:rsidRPr="00D573CA">
        <w:rPr>
          <w:rFonts w:asciiTheme="minorBidi" w:hAnsiTheme="minorBidi" w:cs="Arial"/>
          <w:rtl/>
        </w:rPr>
        <w:t xml:space="preserve"> בפרק המצניע (שבת צב</w:t>
      </w:r>
      <w:r>
        <w:rPr>
          <w:rFonts w:asciiTheme="minorBidi" w:hAnsiTheme="minorBidi" w:cs="Arial" w:hint="cs"/>
          <w:rtl/>
        </w:rPr>
        <w:t>:</w:t>
      </w:r>
      <w:r w:rsidRPr="00D573CA">
        <w:rPr>
          <w:rFonts w:asciiTheme="minorBidi" w:hAnsiTheme="minorBidi" w:cs="Arial"/>
          <w:rtl/>
        </w:rPr>
        <w:t>)</w:t>
      </w:r>
      <w:r>
        <w:rPr>
          <w:rFonts w:hint="cs"/>
          <w:rtl/>
        </w:rPr>
        <w:t>, רש"י.</w:t>
      </w:r>
    </w:p>
  </w:footnote>
  <w:footnote w:id="2458">
    <w:p w14:paraId="7BED2C47" w14:textId="77777777" w:rsidR="00F45D40" w:rsidRDefault="00F45D40" w:rsidP="00285819">
      <w:pPr>
        <w:pStyle w:val="a7"/>
      </w:pPr>
      <w:r>
        <w:rPr>
          <w:rStyle w:val="a9"/>
        </w:rPr>
        <w:footnoteRef/>
      </w:r>
      <w:r>
        <w:rPr>
          <w:rtl/>
        </w:rPr>
        <w:t xml:space="preserve"> </w:t>
      </w:r>
      <w:r w:rsidRPr="00BA1132">
        <w:rPr>
          <w:rFonts w:cs="Arial"/>
          <w:rtl/>
        </w:rPr>
        <w:t>שני זה דומה מאחר שנצוד על ידי הראשון</w:t>
      </w:r>
      <w:r>
        <w:rPr>
          <w:rFonts w:cs="Arial" w:hint="cs"/>
          <w:rtl/>
        </w:rPr>
        <w:t>, רש"י.</w:t>
      </w:r>
    </w:p>
  </w:footnote>
  <w:footnote w:id="2459">
    <w:p w14:paraId="54C89BF3" w14:textId="77777777" w:rsidR="00F45D40" w:rsidRDefault="00F45D40" w:rsidP="00285819">
      <w:pPr>
        <w:pStyle w:val="a7"/>
      </w:pPr>
      <w:r>
        <w:rPr>
          <w:rStyle w:val="a9"/>
        </w:rPr>
        <w:footnoteRef/>
      </w:r>
      <w:r>
        <w:rPr>
          <w:rtl/>
        </w:rPr>
        <w:t xml:space="preserve"> </w:t>
      </w:r>
      <w:r w:rsidRPr="00BA1132">
        <w:rPr>
          <w:rFonts w:cs="Arial"/>
          <w:rtl/>
        </w:rPr>
        <w:t>ולא לצוד</w:t>
      </w:r>
      <w:r>
        <w:rPr>
          <w:rFonts w:cs="Arial" w:hint="cs"/>
          <w:rtl/>
        </w:rPr>
        <w:t>, רש"י.</w:t>
      </w:r>
    </w:p>
  </w:footnote>
  <w:footnote w:id="2460">
    <w:p w14:paraId="2F13925E" w14:textId="77777777" w:rsidR="00F45D40" w:rsidRDefault="00F45D40" w:rsidP="00285819">
      <w:pPr>
        <w:pStyle w:val="a7"/>
      </w:pPr>
      <w:r>
        <w:rPr>
          <w:rStyle w:val="a9"/>
        </w:rPr>
        <w:footnoteRef/>
      </w:r>
      <w:r>
        <w:rPr>
          <w:rtl/>
        </w:rPr>
        <w:t xml:space="preserve"> </w:t>
      </w:r>
      <w:r w:rsidRPr="00C4361C">
        <w:rPr>
          <w:rFonts w:cs="Arial"/>
          <w:rtl/>
        </w:rPr>
        <w:t>שהוא ניצוד כבר, שמור בתוכו, וכן אע</w:t>
      </w:r>
      <w:r>
        <w:rPr>
          <w:rFonts w:cs="Arial" w:hint="cs"/>
          <w:rtl/>
        </w:rPr>
        <w:t>"</w:t>
      </w:r>
      <w:r w:rsidRPr="00C4361C">
        <w:rPr>
          <w:rFonts w:cs="Arial"/>
          <w:rtl/>
        </w:rPr>
        <w:t>פ שעמד הראשון - אין זה אלא כשומרו לצבי שהיה לו מאתמול</w:t>
      </w:r>
      <w:r>
        <w:rPr>
          <w:rFonts w:cs="Arial" w:hint="cs"/>
          <w:rtl/>
        </w:rPr>
        <w:t>, רש"י.</w:t>
      </w:r>
    </w:p>
  </w:footnote>
  <w:footnote w:id="2461">
    <w:p w14:paraId="7CB14F0D" w14:textId="2A468E8A" w:rsidR="00BA1132" w:rsidRPr="00BA1132" w:rsidRDefault="00BA1132" w:rsidP="00285819">
      <w:pPr>
        <w:pStyle w:val="a7"/>
        <w:rPr>
          <w:rtl/>
        </w:rPr>
      </w:pPr>
      <w:r>
        <w:rPr>
          <w:rStyle w:val="a9"/>
        </w:rPr>
        <w:footnoteRef/>
      </w:r>
      <w:r>
        <w:rPr>
          <w:rtl/>
        </w:rPr>
        <w:t xml:space="preserve"> </w:t>
      </w:r>
      <w:r w:rsidRPr="00A626A4">
        <w:rPr>
          <w:rFonts w:cs="Arial"/>
          <w:rtl/>
        </w:rPr>
        <w:t>ודבריו תמוהים בעיני הרבה</w:t>
      </w:r>
      <w:r>
        <w:rPr>
          <w:rFonts w:cs="Arial" w:hint="cs"/>
          <w:rtl/>
        </w:rPr>
        <w:t>,</w:t>
      </w:r>
      <w:r w:rsidRPr="00A626A4">
        <w:rPr>
          <w:rFonts w:cs="Arial"/>
          <w:rtl/>
        </w:rPr>
        <w:t xml:space="preserve"> היאך אפשר שאפילו במתכוין לנעול בעדו ובעד הצבי יהא מותר</w:t>
      </w:r>
      <w:r>
        <w:rPr>
          <w:rFonts w:cs="Arial" w:hint="cs"/>
          <w:rtl/>
        </w:rPr>
        <w:t>,</w:t>
      </w:r>
      <w:r w:rsidRPr="00A626A4">
        <w:rPr>
          <w:rFonts w:cs="Arial"/>
          <w:rtl/>
        </w:rPr>
        <w:t xml:space="preserve"> וכי מפני שהוא צריך לנעול ביתו נתיר לו לעשות מלאכה בשבת</w:t>
      </w:r>
      <w:r>
        <w:rPr>
          <w:rFonts w:cs="Arial" w:hint="cs"/>
          <w:rtl/>
        </w:rPr>
        <w:t>?</w:t>
      </w:r>
      <w:r w:rsidRPr="00A626A4">
        <w:rPr>
          <w:rFonts w:cs="Arial"/>
          <w:rtl/>
        </w:rPr>
        <w:t xml:space="preserve"> ולא עוד אלא שאני אומר שאפי' שאינו מתכוין לנעול בעד הצבי כל שהוא ידוע שהצבי בתוכו ושאי אפשר לו שלא יהא הצבי ניצוד בתוכו</w:t>
      </w:r>
      <w:r w:rsidR="001650A2">
        <w:rPr>
          <w:rFonts w:cs="Arial" w:hint="cs"/>
          <w:rtl/>
        </w:rPr>
        <w:t xml:space="preserve"> -</w:t>
      </w:r>
      <w:r w:rsidRPr="00A626A4">
        <w:rPr>
          <w:rFonts w:cs="Arial"/>
          <w:rtl/>
        </w:rPr>
        <w:t xml:space="preserve"> אסור</w:t>
      </w:r>
      <w:r w:rsidR="001650A2">
        <w:rPr>
          <w:rFonts w:cs="Arial" w:hint="cs"/>
          <w:rtl/>
        </w:rPr>
        <w:t>.</w:t>
      </w:r>
      <w:r w:rsidRPr="00A626A4">
        <w:rPr>
          <w:rFonts w:cs="Arial"/>
          <w:rtl/>
        </w:rPr>
        <w:t xml:space="preserve"> והיינו דאמרינן בכולה מכלתין </w:t>
      </w:r>
      <w:r>
        <w:rPr>
          <w:rFonts w:cs="Arial" w:hint="cs"/>
          <w:rtl/>
        </w:rPr>
        <w:t>(</w:t>
      </w:r>
      <w:r w:rsidRPr="00A626A4">
        <w:rPr>
          <w:rFonts w:cs="Arial"/>
          <w:rtl/>
        </w:rPr>
        <w:t>עה.</w:t>
      </w:r>
      <w:r>
        <w:rPr>
          <w:rFonts w:cs="Arial" w:hint="cs"/>
          <w:rtl/>
        </w:rPr>
        <w:t>)</w:t>
      </w:r>
      <w:r w:rsidRPr="00A626A4">
        <w:rPr>
          <w:rFonts w:cs="Arial"/>
          <w:rtl/>
        </w:rPr>
        <w:t xml:space="preserve"> דמודה ר' שמעון בפסיק רישיה ולא ימות</w:t>
      </w:r>
      <w:r>
        <w:rPr>
          <w:rFonts w:cs="Arial" w:hint="cs"/>
          <w:rtl/>
        </w:rPr>
        <w:t>.</w:t>
      </w:r>
      <w:r w:rsidRPr="00A626A4">
        <w:rPr>
          <w:rFonts w:cs="Arial"/>
          <w:rtl/>
        </w:rPr>
        <w:t xml:space="preserve"> וזו שאמרו בירושלמי ענין אחר הוא</w:t>
      </w:r>
      <w:r>
        <w:rPr>
          <w:rFonts w:cs="Arial" w:hint="cs"/>
          <w:rtl/>
        </w:rPr>
        <w:t>,</w:t>
      </w:r>
      <w:r w:rsidRPr="00A626A4">
        <w:rPr>
          <w:rFonts w:cs="Arial"/>
          <w:rtl/>
        </w:rPr>
        <w:t xml:space="preserve"> לומר שאם נתכוין לנעול את ביתו ולא נתכוין לצבי כלל אע</w:t>
      </w:r>
      <w:r>
        <w:rPr>
          <w:rFonts w:cs="Arial" w:hint="cs"/>
          <w:rtl/>
        </w:rPr>
        <w:t>"</w:t>
      </w:r>
      <w:r w:rsidRPr="00A626A4">
        <w:rPr>
          <w:rFonts w:cs="Arial"/>
          <w:rtl/>
        </w:rPr>
        <w:t>פ שאח"כ מצא הצבי שמור בתוכו</w:t>
      </w:r>
      <w:r w:rsidR="001650A2">
        <w:rPr>
          <w:rFonts w:cs="Arial" w:hint="cs"/>
          <w:rtl/>
        </w:rPr>
        <w:t xml:space="preserve"> - </w:t>
      </w:r>
      <w:r w:rsidRPr="00A626A4">
        <w:rPr>
          <w:rFonts w:cs="Arial"/>
          <w:rtl/>
        </w:rPr>
        <w:t>מותר</w:t>
      </w:r>
      <w:r w:rsidR="001650A2">
        <w:rPr>
          <w:rFonts w:cs="Arial" w:hint="cs"/>
          <w:rtl/>
        </w:rPr>
        <w:t>,</w:t>
      </w:r>
      <w:r w:rsidRPr="00A626A4">
        <w:rPr>
          <w:rFonts w:cs="Arial"/>
          <w:rtl/>
        </w:rPr>
        <w:t xml:space="preserve"> כלומר שאינו מחויב שיפתח את ביתו</w:t>
      </w:r>
      <w:r>
        <w:rPr>
          <w:rFonts w:cs="Arial" w:hint="cs"/>
          <w:rtl/>
        </w:rPr>
        <w:t>.</w:t>
      </w:r>
      <w:r w:rsidRPr="00A626A4">
        <w:rPr>
          <w:rFonts w:cs="Arial"/>
          <w:rtl/>
        </w:rPr>
        <w:t xml:space="preserve"> וסמכו לזו תינוק מבעבע בנהר ומפקח בגל ולא שיהו דומות ממש בענינם</w:t>
      </w:r>
      <w:r>
        <w:rPr>
          <w:rFonts w:cs="Arial" w:hint="cs"/>
          <w:rtl/>
        </w:rPr>
        <w:t>,</w:t>
      </w:r>
      <w:r w:rsidRPr="00A626A4">
        <w:rPr>
          <w:rFonts w:cs="Arial"/>
          <w:rtl/>
        </w:rPr>
        <w:t xml:space="preserve"> לפי שבענין פקוח נפש אפילו מתכוין למלאכת הרשות עם אותה מלאכה של פקוח נפש מותר</w:t>
      </w:r>
      <w:r>
        <w:rPr>
          <w:rFonts w:cs="Arial" w:hint="cs"/>
          <w:rtl/>
        </w:rPr>
        <w:t>,</w:t>
      </w:r>
      <w:r w:rsidRPr="00A626A4">
        <w:rPr>
          <w:rFonts w:cs="Arial"/>
          <w:rtl/>
        </w:rPr>
        <w:t xml:space="preserve"> וכיוצא בזה אמרו בגמרא דילן במס' יומא (פד</w:t>
      </w:r>
      <w:r>
        <w:rPr>
          <w:rFonts w:cs="Arial" w:hint="cs"/>
          <w:rtl/>
        </w:rPr>
        <w:t>:</w:t>
      </w:r>
      <w:r w:rsidRPr="00A626A4">
        <w:rPr>
          <w:rFonts w:cs="Arial"/>
          <w:rtl/>
        </w:rPr>
        <w:t>)</w:t>
      </w:r>
      <w:r>
        <w:rPr>
          <w:rFonts w:cs="Arial" w:hint="cs"/>
          <w:rtl/>
        </w:rPr>
        <w:t>,</w:t>
      </w:r>
      <w:r w:rsidRPr="00A626A4">
        <w:rPr>
          <w:rFonts w:cs="Arial"/>
          <w:rtl/>
        </w:rPr>
        <w:t xml:space="preserve"> והטעם מפני שהוא מלאכת מצוה וחובה היא עליו</w:t>
      </w:r>
      <w:r>
        <w:rPr>
          <w:rFonts w:cs="Arial" w:hint="cs"/>
          <w:rtl/>
        </w:rPr>
        <w:t>,</w:t>
      </w:r>
      <w:r w:rsidRPr="00A626A4">
        <w:rPr>
          <w:rFonts w:cs="Arial"/>
          <w:rtl/>
        </w:rPr>
        <w:t xml:space="preserve"> לפיכך אע</w:t>
      </w:r>
      <w:r>
        <w:rPr>
          <w:rFonts w:cs="Arial" w:hint="cs"/>
          <w:rtl/>
        </w:rPr>
        <w:t>"</w:t>
      </w:r>
      <w:r w:rsidRPr="00A626A4">
        <w:rPr>
          <w:rFonts w:cs="Arial"/>
          <w:rtl/>
        </w:rPr>
        <w:t>פ שהוא מתכוין עם אותה מלאכה למלאכה אחרת שהיא אסורה בשבת התירו חכמים כדי שלא ימנע בשום ענין מפקוח נפש המוטלת חובה עליו</w:t>
      </w:r>
      <w:r w:rsidR="001650A2">
        <w:rPr>
          <w:rFonts w:cs="Arial" w:hint="cs"/>
          <w:rtl/>
        </w:rPr>
        <w:t>.</w:t>
      </w:r>
      <w:r w:rsidRPr="00A626A4">
        <w:rPr>
          <w:rFonts w:cs="Arial"/>
          <w:rtl/>
        </w:rPr>
        <w:t xml:space="preserve"> אבל במלאכת הרשות </w:t>
      </w:r>
      <w:r w:rsidR="00FE0C46">
        <w:rPr>
          <w:rFonts w:cs="Arial" w:hint="cs"/>
          <w:rtl/>
        </w:rPr>
        <w:t xml:space="preserve">- </w:t>
      </w:r>
      <w:r w:rsidRPr="00A626A4">
        <w:rPr>
          <w:rFonts w:cs="Arial"/>
          <w:rtl/>
        </w:rPr>
        <w:t>חס ושלום</w:t>
      </w:r>
      <w:r w:rsidR="00FE0C46">
        <w:rPr>
          <w:rFonts w:cs="Arial" w:hint="cs"/>
          <w:rtl/>
        </w:rPr>
        <w:t>.</w:t>
      </w:r>
      <w:r w:rsidRPr="00A626A4">
        <w:rPr>
          <w:rFonts w:cs="Arial"/>
          <w:rtl/>
        </w:rPr>
        <w:t xml:space="preserve"> וזהו ששינו את הלשון בירושלמי דגבי צבי</w:t>
      </w:r>
      <w:r w:rsidRPr="00BA1132">
        <w:rPr>
          <w:rtl/>
        </w:rPr>
        <w:t xml:space="preserve"> </w:t>
      </w:r>
      <w:r w:rsidRPr="00BA1132">
        <w:rPr>
          <w:rFonts w:cs="Arial"/>
          <w:rtl/>
        </w:rPr>
        <w:t xml:space="preserve">אמרו </w:t>
      </w:r>
      <w:r w:rsidR="00FE0C46">
        <w:rPr>
          <w:rFonts w:cs="Arial" w:hint="cs"/>
          <w:rtl/>
        </w:rPr>
        <w:t>"</w:t>
      </w:r>
      <w:r w:rsidRPr="00BA1132">
        <w:rPr>
          <w:rFonts w:cs="Arial"/>
          <w:rtl/>
        </w:rPr>
        <w:t xml:space="preserve">ונתכוין לנעול </w:t>
      </w:r>
      <w:r w:rsidRPr="00BA1132">
        <w:rPr>
          <w:rFonts w:cs="Arial"/>
          <w:b/>
          <w:bCs/>
          <w:rtl/>
        </w:rPr>
        <w:t>בעדו</w:t>
      </w:r>
      <w:r w:rsidRPr="00BA1132">
        <w:rPr>
          <w:rFonts w:cs="Arial"/>
          <w:rtl/>
        </w:rPr>
        <w:t xml:space="preserve"> ונעל בעדו ובעד הצבי</w:t>
      </w:r>
      <w:r w:rsidR="00FE0C46">
        <w:rPr>
          <w:rFonts w:cs="Arial" w:hint="cs"/>
          <w:rtl/>
        </w:rPr>
        <w:t>"</w:t>
      </w:r>
      <w:r w:rsidR="001650A2">
        <w:rPr>
          <w:rFonts w:cs="Arial" w:hint="cs"/>
          <w:rtl/>
        </w:rPr>
        <w:t>,</w:t>
      </w:r>
      <w:r w:rsidRPr="00BA1132">
        <w:rPr>
          <w:rFonts w:cs="Arial"/>
          <w:rtl/>
        </w:rPr>
        <w:t xml:space="preserve"> וגבי תינוק אמר </w:t>
      </w:r>
      <w:r w:rsidR="00FE0C46">
        <w:rPr>
          <w:rFonts w:cs="Arial" w:hint="cs"/>
          <w:rtl/>
        </w:rPr>
        <w:t>"</w:t>
      </w:r>
      <w:r w:rsidRPr="00BA1132">
        <w:rPr>
          <w:rFonts w:cs="Arial"/>
          <w:rtl/>
        </w:rPr>
        <w:t xml:space="preserve">ונתכוין </w:t>
      </w:r>
      <w:r w:rsidRPr="00BA1132">
        <w:rPr>
          <w:rFonts w:cs="Arial"/>
          <w:b/>
          <w:bCs/>
          <w:rtl/>
        </w:rPr>
        <w:t>להעלותו ולהעלות</w:t>
      </w:r>
      <w:r w:rsidRPr="00BA1132">
        <w:rPr>
          <w:rFonts w:cs="Arial"/>
          <w:rtl/>
        </w:rPr>
        <w:t xml:space="preserve"> וכו'</w:t>
      </w:r>
      <w:r w:rsidR="00FE0C46">
        <w:rPr>
          <w:rFonts w:cs="Arial" w:hint="cs"/>
          <w:rtl/>
        </w:rPr>
        <w:t xml:space="preserve"> "</w:t>
      </w:r>
      <w:r>
        <w:rPr>
          <w:rFonts w:hint="cs"/>
          <w:rtl/>
        </w:rPr>
        <w:t xml:space="preserve">, </w:t>
      </w:r>
      <w:r w:rsidRPr="00FC77C9">
        <w:rPr>
          <w:rFonts w:cs="Arial" w:hint="cs"/>
          <w:b/>
          <w:bCs/>
          <w:rtl/>
        </w:rPr>
        <w:t>ר"ן</w:t>
      </w:r>
      <w:r>
        <w:rPr>
          <w:rFonts w:cs="Arial" w:hint="cs"/>
          <w:rtl/>
        </w:rPr>
        <w:t xml:space="preserve"> </w:t>
      </w:r>
      <w:r w:rsidRPr="00BA1132">
        <w:rPr>
          <w:rFonts w:cs="Arial" w:hint="cs"/>
          <w:rtl/>
        </w:rPr>
        <w:t>(שבת לח.).</w:t>
      </w:r>
      <w:r w:rsidR="00FC77C9">
        <w:rPr>
          <w:rFonts w:asciiTheme="minorBidi" w:hAnsiTheme="minorBidi" w:cs="Arial" w:hint="cs"/>
          <w:rtl/>
        </w:rPr>
        <w:t xml:space="preserve">   </w:t>
      </w:r>
      <w:r w:rsidR="00FC77C9" w:rsidRPr="00FC77C9">
        <w:rPr>
          <w:rFonts w:asciiTheme="minorBidi" w:hAnsiTheme="minorBidi" w:cs="Arial"/>
          <w:rtl/>
        </w:rPr>
        <w:t xml:space="preserve"> </w:t>
      </w:r>
      <w:r w:rsidR="00FC77C9" w:rsidRPr="00351DFA">
        <w:rPr>
          <w:rFonts w:asciiTheme="minorBidi" w:hAnsiTheme="minorBidi" w:cs="Arial"/>
          <w:rtl/>
        </w:rPr>
        <w:t>וגם הה</w:t>
      </w:r>
      <w:r w:rsidR="00FC77C9">
        <w:rPr>
          <w:rFonts w:asciiTheme="minorBidi" w:hAnsiTheme="minorBidi" w:cs="Arial" w:hint="cs"/>
          <w:rtl/>
        </w:rPr>
        <w:t>"</w:t>
      </w:r>
      <w:r w:rsidR="00FC77C9" w:rsidRPr="00351DFA">
        <w:rPr>
          <w:rFonts w:asciiTheme="minorBidi" w:hAnsiTheme="minorBidi" w:cs="Arial"/>
          <w:rtl/>
        </w:rPr>
        <w:t>מ כתב בפ</w:t>
      </w:r>
      <w:r w:rsidR="00FC77C9">
        <w:rPr>
          <w:rFonts w:asciiTheme="minorBidi" w:hAnsiTheme="minorBidi" w:cs="Arial" w:hint="cs"/>
          <w:rtl/>
        </w:rPr>
        <w:t>"י</w:t>
      </w:r>
      <w:r w:rsidR="00FC77C9" w:rsidRPr="00351DFA">
        <w:rPr>
          <w:rFonts w:asciiTheme="minorBidi" w:hAnsiTheme="minorBidi" w:cs="Arial"/>
          <w:rtl/>
        </w:rPr>
        <w:t xml:space="preserve"> (הכ"ג) דברי הרשב"א וכתב שאין להקל כל כך</w:t>
      </w:r>
      <w:r w:rsidR="00FC77C9">
        <w:rPr>
          <w:rFonts w:hint="cs"/>
          <w:rtl/>
        </w:rPr>
        <w:t xml:space="preserve">, </w:t>
      </w:r>
      <w:r w:rsidR="00FC77C9" w:rsidRPr="00FC77C9">
        <w:rPr>
          <w:rFonts w:hint="cs"/>
          <w:b/>
          <w:bCs/>
          <w:rtl/>
        </w:rPr>
        <w:t>ב"י</w:t>
      </w:r>
      <w:r w:rsidR="00FC77C9">
        <w:rPr>
          <w:rFonts w:hint="cs"/>
          <w:rtl/>
        </w:rPr>
        <w:t>.</w:t>
      </w:r>
    </w:p>
  </w:footnote>
  <w:footnote w:id="2462">
    <w:p w14:paraId="07AF6668"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ואם נעלו שניים והאחד יכול לנעול לבד והשני אינו יכול, זה שיכול לבד חייב, וזה שאינו יכול פטור </w:t>
      </w:r>
      <w:r w:rsidRPr="008C1C8E">
        <w:rPr>
          <w:rFonts w:asciiTheme="minorBidi" w:hAnsiTheme="minorBidi"/>
          <w:sz w:val="16"/>
          <w:szCs w:val="16"/>
          <w:rtl/>
        </w:rPr>
        <w:t>(אבל אסור, א"א)</w:t>
      </w:r>
      <w:r w:rsidRPr="008C1C8E">
        <w:rPr>
          <w:rFonts w:asciiTheme="minorBidi" w:hAnsiTheme="minorBidi"/>
          <w:rtl/>
        </w:rPr>
        <w:t xml:space="preserve"> דהוא רק מסייע, ומסייע אין בו ממש, גמ' </w:t>
      </w:r>
      <w:r w:rsidRPr="008C1C8E">
        <w:rPr>
          <w:rFonts w:asciiTheme="minorBidi" w:hAnsiTheme="minorBidi"/>
          <w:sz w:val="16"/>
          <w:szCs w:val="16"/>
          <w:rtl/>
        </w:rPr>
        <w:t>(צג.)</w:t>
      </w:r>
      <w:r w:rsidRPr="008C1C8E">
        <w:rPr>
          <w:rFonts w:asciiTheme="minorBidi" w:hAnsiTheme="minorBidi"/>
          <w:rtl/>
        </w:rPr>
        <w:t xml:space="preserve"> וכ"פ הרמב"ם </w:t>
      </w:r>
      <w:r w:rsidRPr="008C1C8E">
        <w:rPr>
          <w:rFonts w:asciiTheme="minorBidi" w:hAnsiTheme="minorBidi"/>
          <w:sz w:val="16"/>
          <w:szCs w:val="16"/>
          <w:rtl/>
        </w:rPr>
        <w:t>(פ"א הט"ז)</w:t>
      </w:r>
      <w:r w:rsidRPr="008C1C8E">
        <w:rPr>
          <w:rFonts w:asciiTheme="minorBidi" w:hAnsiTheme="minorBidi"/>
          <w:rtl/>
        </w:rPr>
        <w:t>, מג"א (סק"י).</w:t>
      </w:r>
    </w:p>
  </w:footnote>
  <w:footnote w:id="2463">
    <w:p w14:paraId="63474627"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לכתחילה, ולא שיכבה את הנר, ואשמעינן דכלי ניטל להצלת דבר שאינו ניטל בשבת, רש"י.</w:t>
      </w:r>
    </w:p>
  </w:footnote>
  <w:footnote w:id="2464">
    <w:p w14:paraId="405B3703"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של חרס, רש"י.</w:t>
      </w:r>
    </w:p>
  </w:footnote>
  <w:footnote w:id="2465">
    <w:p w14:paraId="065A36B3"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ואע"ג דממילא מתציד, רש"י.</w:t>
      </w:r>
    </w:p>
  </w:footnote>
  <w:footnote w:id="2466">
    <w:p w14:paraId="4DF124E1"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בדפו"ר איתא "נחש", וממהדורת קראקא ש"ל נדפס "נחשים", וממהדורת דיהנפארט תנ"ב נוסף תיבת "ועקרבים", וכן הוא בב"י (עמ' שעח ד"ה הצד נחש) בשם הרמב"ם, הגוה"ע פריעדמאן. </w:t>
      </w:r>
    </w:p>
  </w:footnote>
  <w:footnote w:id="2467">
    <w:p w14:paraId="372099E4"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משום דהוי מלאכה שאצל"ג ובמקום הזיקא לא גזרו, ולהרמב"ם </w:t>
      </w:r>
      <w:r w:rsidRPr="008C1C8E">
        <w:rPr>
          <w:rFonts w:asciiTheme="minorBidi" w:hAnsiTheme="minorBidi"/>
          <w:sz w:val="16"/>
          <w:szCs w:val="16"/>
          <w:rtl/>
        </w:rPr>
        <w:t>(שפסק (פ"א ה"ז) כר' יהודה שמלאכה שאצל"ג חייב עליה)</w:t>
      </w:r>
      <w:r w:rsidRPr="008C1C8E">
        <w:rPr>
          <w:rFonts w:asciiTheme="minorBidi" w:hAnsiTheme="minorBidi"/>
          <w:rtl/>
        </w:rPr>
        <w:t xml:space="preserve"> הטעם משום דאינו צד כדרכו אלא מתעסק בו, א"נ משום דהוי סכנה לרבים, מ"מ. ואפי' אין ממיתין שרי דהא אין במינו ניצוד, מג"א (סקי"ב).</w:t>
      </w:r>
    </w:p>
  </w:footnote>
  <w:footnote w:id="2468">
    <w:p w14:paraId="78BC849C"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חולד עכבר צב אנקה כח לטאה חומט ותנשמת, ויקרא (יא, כט-ל).</w:t>
      </w:r>
    </w:p>
  </w:footnote>
  <w:footnote w:id="2469">
    <w:p w14:paraId="49532774" w14:textId="156F9949" w:rsidR="00815362" w:rsidRPr="008C1C8E" w:rsidRDefault="00815362"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w:t>
      </w:r>
      <w:r w:rsidRPr="00815362">
        <w:rPr>
          <w:rFonts w:asciiTheme="minorBidi" w:hAnsiTheme="minorBidi" w:cs="Arial"/>
          <w:rtl/>
        </w:rPr>
        <w:t>חייב שבמינו ניצוד</w:t>
      </w:r>
      <w:r>
        <w:rPr>
          <w:rFonts w:asciiTheme="minorBidi" w:hAnsiTheme="minorBidi" w:hint="cs"/>
          <w:rtl/>
        </w:rPr>
        <w:t>, רש"י</w:t>
      </w:r>
      <w:r w:rsidRPr="008C1C8E">
        <w:rPr>
          <w:rFonts w:asciiTheme="minorBidi" w:hAnsiTheme="minorBidi"/>
          <w:rtl/>
        </w:rPr>
        <w:t>.</w:t>
      </w:r>
    </w:p>
  </w:footnote>
  <w:footnote w:id="2470">
    <w:p w14:paraId="01FE919C" w14:textId="0B2974D1" w:rsidR="00815362" w:rsidRPr="008C1C8E" w:rsidRDefault="00815362"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w:t>
      </w:r>
      <w:r w:rsidR="00562BA2" w:rsidRPr="00F83DBF">
        <w:rPr>
          <w:rFonts w:cs="Arial"/>
          <w:rtl/>
        </w:rPr>
        <w:t>פי</w:t>
      </w:r>
      <w:r w:rsidR="00562BA2">
        <w:rPr>
          <w:rFonts w:cs="Arial" w:hint="cs"/>
          <w:rtl/>
        </w:rPr>
        <w:t>רוש</w:t>
      </w:r>
      <w:r w:rsidR="00562BA2" w:rsidRPr="00F83DBF">
        <w:rPr>
          <w:rFonts w:cs="Arial"/>
          <w:rtl/>
        </w:rPr>
        <w:t xml:space="preserve"> החובל בהן עד שנצרר הדם חייב</w:t>
      </w:r>
      <w:r w:rsidR="00562BA2">
        <w:rPr>
          <w:rFonts w:cs="Arial" w:hint="cs"/>
          <w:rtl/>
        </w:rPr>
        <w:t>,</w:t>
      </w:r>
      <w:r w:rsidR="00562BA2" w:rsidRPr="00F83DBF">
        <w:rPr>
          <w:rFonts w:cs="Arial"/>
          <w:rtl/>
        </w:rPr>
        <w:t xml:space="preserve"> דכיון שיש להן עור העור מעכב את הדם מלצאת</w:t>
      </w:r>
      <w:r w:rsidR="00562BA2">
        <w:rPr>
          <w:rFonts w:cs="Arial" w:hint="cs"/>
          <w:rtl/>
        </w:rPr>
        <w:t>,</w:t>
      </w:r>
      <w:r w:rsidR="00562BA2" w:rsidRPr="00F83DBF">
        <w:rPr>
          <w:rFonts w:cs="Arial"/>
          <w:rtl/>
        </w:rPr>
        <w:t xml:space="preserve"> ואלמלא העור מעכבו היה יוצא</w:t>
      </w:r>
      <w:r w:rsidR="00562BA2">
        <w:rPr>
          <w:rFonts w:cs="Arial" w:hint="cs"/>
          <w:rtl/>
        </w:rPr>
        <w:t>,</w:t>
      </w:r>
      <w:r w:rsidR="00562BA2" w:rsidRPr="00F83DBF">
        <w:rPr>
          <w:rFonts w:cs="Arial"/>
          <w:rtl/>
        </w:rPr>
        <w:t xml:space="preserve"> ולפיכך חייב משום נטילת נשמה שבאותו מקום כי הדם הוא הנפש</w:t>
      </w:r>
      <w:r w:rsidR="00562BA2">
        <w:rPr>
          <w:rFonts w:cs="Arial" w:hint="cs"/>
          <w:rtl/>
        </w:rPr>
        <w:t>.</w:t>
      </w:r>
      <w:r w:rsidR="00562BA2" w:rsidRPr="00F83DBF">
        <w:rPr>
          <w:rFonts w:cs="Arial"/>
          <w:rtl/>
        </w:rPr>
        <w:t xml:space="preserve"> אבל שאר שקצים ורמשים כיון שאין להם עור שיעכב את הדם</w:t>
      </w:r>
      <w:r w:rsidR="00562BA2">
        <w:rPr>
          <w:rFonts w:cs="Arial" w:hint="cs"/>
          <w:rtl/>
        </w:rPr>
        <w:t>,</w:t>
      </w:r>
      <w:r w:rsidR="00562BA2" w:rsidRPr="00F83DBF">
        <w:rPr>
          <w:rFonts w:cs="Arial"/>
          <w:rtl/>
        </w:rPr>
        <w:t xml:space="preserve"> אילו היה נעקר ממקומו היה יוצא לחוץ</w:t>
      </w:r>
      <w:r w:rsidR="00562BA2">
        <w:rPr>
          <w:rFonts w:cs="Arial" w:hint="cs"/>
          <w:rtl/>
        </w:rPr>
        <w:t>,</w:t>
      </w:r>
      <w:r w:rsidR="00562BA2" w:rsidRPr="00F83DBF">
        <w:rPr>
          <w:rFonts w:cs="Arial"/>
          <w:rtl/>
        </w:rPr>
        <w:t xml:space="preserve"> ומש"ה כל שלא יצא לחוץ פטור</w:t>
      </w:r>
      <w:r w:rsidR="00562BA2">
        <w:rPr>
          <w:rFonts w:cs="Arial" w:hint="cs"/>
          <w:rtl/>
        </w:rPr>
        <w:t>.</w:t>
      </w:r>
      <w:r w:rsidR="00562BA2" w:rsidRPr="00F83DBF">
        <w:rPr>
          <w:rFonts w:cs="Arial"/>
          <w:rtl/>
        </w:rPr>
        <w:t xml:space="preserve"> ובכה"ג הוא הא דתנן ושאר שקצים ורמשים החובל בהן פטור</w:t>
      </w:r>
      <w:r w:rsidR="00562BA2">
        <w:rPr>
          <w:rFonts w:cs="Arial" w:hint="cs"/>
          <w:rtl/>
        </w:rPr>
        <w:t>,</w:t>
      </w:r>
      <w:r w:rsidR="00562BA2" w:rsidRPr="00F83DBF">
        <w:rPr>
          <w:rFonts w:cs="Arial"/>
          <w:rtl/>
        </w:rPr>
        <w:t xml:space="preserve"> אבל כשיצא לחוץ </w:t>
      </w:r>
      <w:r w:rsidR="00562BA2">
        <w:rPr>
          <w:rFonts w:cs="Arial" w:hint="cs"/>
          <w:rtl/>
        </w:rPr>
        <w:t xml:space="preserve">- </w:t>
      </w:r>
      <w:r w:rsidR="00562BA2" w:rsidRPr="00F83DBF">
        <w:rPr>
          <w:rFonts w:cs="Arial"/>
          <w:rtl/>
        </w:rPr>
        <w:t>אף בשאר שקצים ורמשים חייב משום נטילת נשמה</w:t>
      </w:r>
      <w:r w:rsidR="00562BA2">
        <w:rPr>
          <w:rFonts w:cs="Arial" w:hint="cs"/>
          <w:rtl/>
        </w:rPr>
        <w:t>,</w:t>
      </w:r>
      <w:r w:rsidR="00562BA2" w:rsidRPr="00F83DBF">
        <w:rPr>
          <w:rFonts w:cs="Arial"/>
          <w:rtl/>
        </w:rPr>
        <w:t xml:space="preserve"> והכי איתא בהדיא בפ' אלו טרפות (מו</w:t>
      </w:r>
      <w:r w:rsidR="00562BA2">
        <w:rPr>
          <w:rFonts w:cs="Arial" w:hint="cs"/>
          <w:rtl/>
        </w:rPr>
        <w:t>:</w:t>
      </w:r>
      <w:r w:rsidR="00562BA2" w:rsidRPr="00F83DBF">
        <w:rPr>
          <w:rFonts w:cs="Arial"/>
          <w:rtl/>
        </w:rPr>
        <w:t>)</w:t>
      </w:r>
      <w:r w:rsidR="00562BA2">
        <w:rPr>
          <w:rFonts w:cs="Arial" w:hint="cs"/>
          <w:rtl/>
        </w:rPr>
        <w:t xml:space="preserve">, </w:t>
      </w:r>
      <w:r w:rsidR="00562BA2" w:rsidRPr="00562BA2">
        <w:rPr>
          <w:rFonts w:asciiTheme="minorBidi" w:hAnsiTheme="minorBidi" w:hint="cs"/>
          <w:b/>
          <w:bCs/>
          <w:rtl/>
        </w:rPr>
        <w:t>ר"ן</w:t>
      </w:r>
      <w:r w:rsidR="00562BA2">
        <w:rPr>
          <w:rFonts w:cs="Arial" w:hint="cs"/>
          <w:rtl/>
        </w:rPr>
        <w:t xml:space="preserve"> </w:t>
      </w:r>
      <w:r w:rsidR="00562BA2" w:rsidRPr="00F83DBF">
        <w:rPr>
          <w:rFonts w:cs="Arial" w:hint="cs"/>
          <w:rtl/>
        </w:rPr>
        <w:t>(שבת לח:)</w:t>
      </w:r>
      <w:r w:rsidR="00562BA2">
        <w:rPr>
          <w:rFonts w:cs="Arial" w:hint="cs"/>
          <w:rtl/>
        </w:rPr>
        <w:t xml:space="preserve">. </w:t>
      </w:r>
      <w:r w:rsidR="00562BA2">
        <w:rPr>
          <w:rFonts w:asciiTheme="minorBidi" w:hAnsiTheme="minorBidi" w:hint="cs"/>
          <w:rtl/>
        </w:rPr>
        <w:t xml:space="preserve">  </w:t>
      </w:r>
      <w:r w:rsidR="00562BA2" w:rsidRPr="008C1C8E">
        <w:rPr>
          <w:rFonts w:asciiTheme="minorBidi" w:hAnsiTheme="minorBidi"/>
          <w:rtl/>
        </w:rPr>
        <w:t xml:space="preserve">וכך הם דברי </w:t>
      </w:r>
      <w:r w:rsidR="00562BA2">
        <w:rPr>
          <w:rFonts w:asciiTheme="minorBidi" w:hAnsiTheme="minorBidi" w:hint="cs"/>
          <w:rtl/>
        </w:rPr>
        <w:t>רבינו</w:t>
      </w:r>
      <w:r w:rsidR="00562BA2" w:rsidRPr="008C1C8E">
        <w:rPr>
          <w:rFonts w:asciiTheme="minorBidi" w:hAnsiTheme="minorBidi"/>
          <w:rtl/>
        </w:rPr>
        <w:t>. אבל הרמב"ם (פ"ח ה"ט) כ</w:t>
      </w:r>
      <w:r w:rsidR="00562BA2">
        <w:rPr>
          <w:rFonts w:asciiTheme="minorBidi" w:hAnsiTheme="minorBidi" w:hint="cs"/>
          <w:rtl/>
        </w:rPr>
        <w:t>תב</w:t>
      </w:r>
      <w:r w:rsidR="00562BA2" w:rsidRPr="008C1C8E">
        <w:rPr>
          <w:rFonts w:asciiTheme="minorBidi" w:hAnsiTheme="minorBidi"/>
          <w:rtl/>
        </w:rPr>
        <w:t xml:space="preserve">- </w:t>
      </w:r>
      <w:r w:rsidR="00562BA2">
        <w:rPr>
          <w:rFonts w:asciiTheme="minorBidi" w:hAnsiTheme="minorBidi" w:hint="cs"/>
          <w:rtl/>
        </w:rPr>
        <w:t>"</w:t>
      </w:r>
      <w:r w:rsidR="00562BA2" w:rsidRPr="008C1C8E">
        <w:rPr>
          <w:rFonts w:asciiTheme="minorBidi" w:hAnsiTheme="minorBidi"/>
          <w:rtl/>
        </w:rPr>
        <w:t>אבל שאר שקצים ורמשים אין להם עור</w:t>
      </w:r>
      <w:r w:rsidR="00562BA2">
        <w:rPr>
          <w:rFonts w:asciiTheme="minorBidi" w:hAnsiTheme="minorBidi" w:hint="cs"/>
          <w:rtl/>
        </w:rPr>
        <w:t>,</w:t>
      </w:r>
      <w:r w:rsidR="00562BA2" w:rsidRPr="008C1C8E">
        <w:rPr>
          <w:rFonts w:asciiTheme="minorBidi" w:hAnsiTheme="minorBidi"/>
          <w:rtl/>
        </w:rPr>
        <w:t xml:space="preserve"> לפיכך החובל בהם פטור</w:t>
      </w:r>
      <w:r w:rsidR="00562BA2">
        <w:rPr>
          <w:rFonts w:asciiTheme="minorBidi" w:hAnsiTheme="minorBidi" w:hint="cs"/>
          <w:rtl/>
        </w:rPr>
        <w:t>".</w:t>
      </w:r>
      <w:r w:rsidR="00562BA2" w:rsidRPr="008C1C8E">
        <w:rPr>
          <w:rFonts w:asciiTheme="minorBidi" w:hAnsiTheme="minorBidi"/>
          <w:rtl/>
        </w:rPr>
        <w:t xml:space="preserve"> וכתב הה"מ שנראה מדבריו שאפילו הוציא מהם דם פטור</w:t>
      </w:r>
      <w:r w:rsidR="00562BA2">
        <w:rPr>
          <w:rFonts w:asciiTheme="minorBidi" w:hAnsiTheme="minorBidi" w:hint="cs"/>
          <w:rtl/>
        </w:rPr>
        <w:t>.</w:t>
      </w:r>
      <w:r w:rsidR="00562BA2" w:rsidRPr="008C1C8E">
        <w:rPr>
          <w:rFonts w:asciiTheme="minorBidi" w:hAnsiTheme="minorBidi"/>
          <w:rtl/>
        </w:rPr>
        <w:t xml:space="preserve"> </w:t>
      </w:r>
      <w:r w:rsidR="00562BA2" w:rsidRPr="00F332E8">
        <w:rPr>
          <w:rFonts w:asciiTheme="minorBidi" w:hAnsiTheme="minorBidi" w:cs="Arial"/>
          <w:rtl/>
        </w:rPr>
        <w:t>וכתב שהקשו עליו מדתניא בפרק אלו טרפות (שם) ושאר שקצים ורמשים עד שיצא מהם דם</w:t>
      </w:r>
      <w:r w:rsidR="00562BA2">
        <w:rPr>
          <w:rFonts w:asciiTheme="minorBidi" w:hAnsiTheme="minorBidi" w:cs="Arial" w:hint="cs"/>
          <w:rtl/>
        </w:rPr>
        <w:t>.</w:t>
      </w:r>
      <w:r w:rsidR="00562BA2" w:rsidRPr="00F332E8">
        <w:rPr>
          <w:rFonts w:asciiTheme="minorBidi" w:hAnsiTheme="minorBidi" w:cs="Arial"/>
          <w:rtl/>
        </w:rPr>
        <w:t xml:space="preserve"> והוא הפך בזכותו ובסוף הניח הדבר בצריך עיון</w:t>
      </w:r>
      <w:r w:rsidR="00562BA2">
        <w:rPr>
          <w:rFonts w:asciiTheme="minorBidi" w:hAnsiTheme="minorBidi" w:hint="cs"/>
          <w:rtl/>
        </w:rPr>
        <w:t xml:space="preserve">, </w:t>
      </w:r>
      <w:r w:rsidR="00562BA2" w:rsidRPr="00562BA2">
        <w:rPr>
          <w:rFonts w:asciiTheme="minorBidi" w:hAnsiTheme="minorBidi" w:hint="cs"/>
          <w:b/>
          <w:bCs/>
          <w:rtl/>
        </w:rPr>
        <w:t>ב"י</w:t>
      </w:r>
      <w:r w:rsidRPr="008C1C8E">
        <w:rPr>
          <w:rFonts w:asciiTheme="minorBidi" w:hAnsiTheme="minorBidi"/>
          <w:rtl/>
        </w:rPr>
        <w:t>.</w:t>
      </w:r>
    </w:p>
  </w:footnote>
  <w:footnote w:id="2471">
    <w:p w14:paraId="01049826" w14:textId="6494605E" w:rsidR="00815362" w:rsidRPr="008C1C8E" w:rsidRDefault="00815362"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w:t>
      </w:r>
      <w:r w:rsidRPr="00815362">
        <w:rPr>
          <w:rFonts w:asciiTheme="minorBidi" w:hAnsiTheme="minorBidi" w:cs="Arial"/>
          <w:rtl/>
        </w:rPr>
        <w:t>כגון תולעת ונחשים ועקרבים</w:t>
      </w:r>
      <w:r>
        <w:rPr>
          <w:rFonts w:asciiTheme="minorBidi" w:hAnsiTheme="minorBidi" w:hint="cs"/>
          <w:rtl/>
        </w:rPr>
        <w:t>, רש"י</w:t>
      </w:r>
      <w:r w:rsidRPr="008C1C8E">
        <w:rPr>
          <w:rFonts w:asciiTheme="minorBidi" w:hAnsiTheme="minorBidi"/>
          <w:rtl/>
        </w:rPr>
        <w:t>.</w:t>
      </w:r>
    </w:p>
  </w:footnote>
  <w:footnote w:id="2472">
    <w:p w14:paraId="73384B21" w14:textId="35EF77EA"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w:t>
      </w:r>
      <w:r w:rsidR="00815362" w:rsidRPr="00815362">
        <w:rPr>
          <w:rFonts w:asciiTheme="minorBidi" w:hAnsiTheme="minorBidi" w:cs="Arial"/>
          <w:rtl/>
        </w:rPr>
        <w:t>דאין להם עור</w:t>
      </w:r>
      <w:r w:rsidR="00815362">
        <w:rPr>
          <w:rFonts w:asciiTheme="minorBidi" w:hAnsiTheme="minorBidi" w:cs="Arial" w:hint="cs"/>
          <w:rtl/>
        </w:rPr>
        <w:t xml:space="preserve">, רש"י. </w:t>
      </w:r>
    </w:p>
  </w:footnote>
  <w:footnote w:id="2473">
    <w:p w14:paraId="51A737EF" w14:textId="43300864"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w:t>
      </w:r>
      <w:r w:rsidR="00AB2CFD" w:rsidRPr="00AB2CFD">
        <w:rPr>
          <w:rFonts w:asciiTheme="minorBidi" w:hAnsiTheme="minorBidi" w:cs="Arial"/>
          <w:rtl/>
        </w:rPr>
        <w:t xml:space="preserve">וא"ת מ"ש דאיצטריך הכא למיתני טפי </w:t>
      </w:r>
      <w:r w:rsidR="00AB2CFD">
        <w:rPr>
          <w:rFonts w:asciiTheme="minorBidi" w:hAnsiTheme="minorBidi" w:cs="Arial" w:hint="cs"/>
          <w:rtl/>
        </w:rPr>
        <w:t>"</w:t>
      </w:r>
      <w:r w:rsidR="00AB2CFD" w:rsidRPr="00AB2CFD">
        <w:rPr>
          <w:rFonts w:asciiTheme="minorBidi" w:hAnsiTheme="minorBidi" w:cs="Arial"/>
          <w:rtl/>
        </w:rPr>
        <w:t>הצדן לצורך חייב</w:t>
      </w:r>
      <w:r w:rsidR="00AB2CFD">
        <w:rPr>
          <w:rFonts w:asciiTheme="minorBidi" w:hAnsiTheme="minorBidi" w:cs="Arial" w:hint="cs"/>
          <w:rtl/>
        </w:rPr>
        <w:t>",</w:t>
      </w:r>
      <w:r w:rsidR="00AB2CFD" w:rsidRPr="00AB2CFD">
        <w:rPr>
          <w:rFonts w:asciiTheme="minorBidi" w:hAnsiTheme="minorBidi" w:cs="Arial"/>
          <w:rtl/>
        </w:rPr>
        <w:t xml:space="preserve"> בכל חיובי דשבת נמי לא מחייב ר"ש אלא לצורך</w:t>
      </w:r>
      <w:r w:rsidR="00AB2CFD">
        <w:rPr>
          <w:rFonts w:asciiTheme="minorBidi" w:hAnsiTheme="minorBidi" w:cs="Arial" w:hint="cs"/>
          <w:rtl/>
        </w:rPr>
        <w:t>!?</w:t>
      </w:r>
      <w:r w:rsidR="00AB2CFD" w:rsidRPr="00AB2CFD">
        <w:rPr>
          <w:rFonts w:asciiTheme="minorBidi" w:hAnsiTheme="minorBidi" w:cs="Arial"/>
          <w:rtl/>
        </w:rPr>
        <w:t xml:space="preserve"> ואומר ר"י דלהכי תנא ליה הכא</w:t>
      </w:r>
      <w:r w:rsidR="00AB2CFD">
        <w:rPr>
          <w:rFonts w:asciiTheme="minorBidi" w:hAnsiTheme="minorBidi" w:cs="Arial" w:hint="cs"/>
          <w:rtl/>
        </w:rPr>
        <w:t>,</w:t>
      </w:r>
      <w:r w:rsidR="00AB2CFD" w:rsidRPr="00AB2CFD">
        <w:rPr>
          <w:rFonts w:asciiTheme="minorBidi" w:hAnsiTheme="minorBidi" w:cs="Arial"/>
          <w:rtl/>
        </w:rPr>
        <w:t xml:space="preserve"> לאשמעינן דבשאר שקצים ורמשים שאין להן עור צריך שיתכוין לשום צורך</w:t>
      </w:r>
      <w:r w:rsidR="00AB2CFD">
        <w:rPr>
          <w:rFonts w:asciiTheme="minorBidi" w:hAnsiTheme="minorBidi" w:cs="Arial" w:hint="cs"/>
          <w:rtl/>
        </w:rPr>
        <w:t>,</w:t>
      </w:r>
      <w:r w:rsidR="00AB2CFD" w:rsidRPr="00AB2CFD">
        <w:rPr>
          <w:rFonts w:asciiTheme="minorBidi" w:hAnsiTheme="minorBidi" w:cs="Arial"/>
          <w:rtl/>
        </w:rPr>
        <w:t xml:space="preserve"> דסתמיה לאו לצורך קיימי</w:t>
      </w:r>
      <w:r w:rsidR="00AB2CFD">
        <w:rPr>
          <w:rFonts w:asciiTheme="minorBidi" w:hAnsiTheme="minorBidi" w:cs="Arial" w:hint="cs"/>
          <w:rtl/>
        </w:rPr>
        <w:t>.</w:t>
      </w:r>
      <w:r w:rsidR="00AB2CFD" w:rsidRPr="00AB2CFD">
        <w:rPr>
          <w:rFonts w:asciiTheme="minorBidi" w:hAnsiTheme="minorBidi" w:cs="Arial"/>
          <w:rtl/>
        </w:rPr>
        <w:t xml:space="preserve"> אבל </w:t>
      </w:r>
      <w:r w:rsidR="00AB2CFD" w:rsidRPr="00656EF8">
        <w:rPr>
          <w:rFonts w:asciiTheme="minorBidi" w:hAnsiTheme="minorBidi" w:cs="Arial"/>
          <w:rtl/>
        </w:rPr>
        <w:t>בשמונה שרצים דרישא דיש להם עור סתמייהו ניצודין לצורך עורן</w:t>
      </w:r>
      <w:r w:rsidR="00AB2CFD" w:rsidRPr="00656EF8">
        <w:rPr>
          <w:rFonts w:asciiTheme="minorBidi" w:hAnsiTheme="minorBidi" w:cs="Arial" w:hint="cs"/>
          <w:rtl/>
        </w:rPr>
        <w:t>,</w:t>
      </w:r>
      <w:r w:rsidR="00AB2CFD" w:rsidRPr="00656EF8">
        <w:rPr>
          <w:rFonts w:asciiTheme="minorBidi" w:hAnsiTheme="minorBidi" w:cs="Arial"/>
          <w:rtl/>
        </w:rPr>
        <w:t xml:space="preserve"> להכי תני צדן בהדי חובל דמחייב נמי משום עור</w:t>
      </w:r>
      <w:r w:rsidRPr="00656EF8">
        <w:rPr>
          <w:rFonts w:asciiTheme="minorBidi" w:hAnsiTheme="minorBidi"/>
          <w:rtl/>
        </w:rPr>
        <w:t>, תוס' (</w:t>
      </w:r>
      <w:r w:rsidR="00AB2CFD" w:rsidRPr="00656EF8">
        <w:rPr>
          <w:rFonts w:asciiTheme="minorBidi" w:hAnsiTheme="minorBidi" w:hint="cs"/>
          <w:rtl/>
        </w:rPr>
        <w:t xml:space="preserve">קז. </w:t>
      </w:r>
      <w:r w:rsidRPr="00656EF8">
        <w:rPr>
          <w:rFonts w:asciiTheme="minorBidi" w:hAnsiTheme="minorBidi"/>
          <w:rtl/>
        </w:rPr>
        <w:t xml:space="preserve">ד"ה הצדן לצורך). </w:t>
      </w:r>
      <w:r w:rsidR="00656EF8" w:rsidRPr="00F332E8">
        <w:rPr>
          <w:rFonts w:asciiTheme="minorBidi" w:hAnsiTheme="minorBidi" w:cs="Arial"/>
          <w:rtl/>
        </w:rPr>
        <w:t>והר"ן (לח: ד"ה הצדן) כתב דשמנה שרצים אין דרכן להזיק וכל צידתן לצורך היא</w:t>
      </w:r>
      <w:r w:rsidR="00656EF8">
        <w:rPr>
          <w:rFonts w:asciiTheme="minorBidi" w:hAnsiTheme="minorBidi" w:cs="Arial" w:hint="cs"/>
          <w:rtl/>
        </w:rPr>
        <w:t>,</w:t>
      </w:r>
      <w:r w:rsidR="00656EF8" w:rsidRPr="00F332E8">
        <w:rPr>
          <w:rFonts w:asciiTheme="minorBidi" w:hAnsiTheme="minorBidi" w:cs="Arial"/>
          <w:rtl/>
        </w:rPr>
        <w:t xml:space="preserve"> אבל שאר שקצים ורמשים שדרכן להזיק פעמים אדם צדן שלא לצורך והיינו כדי שלא יזיקו</w:t>
      </w:r>
      <w:r w:rsidR="00656EF8">
        <w:rPr>
          <w:rFonts w:asciiTheme="minorBidi" w:hAnsiTheme="minorBidi" w:hint="cs"/>
          <w:rtl/>
        </w:rPr>
        <w:t>.</w:t>
      </w:r>
      <w:r w:rsidRPr="008C1C8E">
        <w:rPr>
          <w:rFonts w:asciiTheme="minorBidi" w:hAnsiTheme="minorBidi"/>
          <w:rtl/>
        </w:rPr>
        <w:t xml:space="preserve"> </w:t>
      </w:r>
    </w:p>
  </w:footnote>
  <w:footnote w:id="2474">
    <w:p w14:paraId="4601D489" w14:textId="781374EB" w:rsidR="00815362" w:rsidRPr="008C1C8E" w:rsidRDefault="00815362"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w:t>
      </w:r>
      <w:r w:rsidRPr="00815362">
        <w:rPr>
          <w:rFonts w:asciiTheme="minorBidi" w:hAnsiTheme="minorBidi" w:cs="Arial"/>
          <w:rtl/>
        </w:rPr>
        <w:t>דאין במינו ניצוד והויא מלאכה שאינה צריכה לגופה ור' שמעון היא כדמוקי לה בגמרא</w:t>
      </w:r>
      <w:r>
        <w:rPr>
          <w:rFonts w:asciiTheme="minorBidi" w:hAnsiTheme="minorBidi" w:hint="cs"/>
          <w:rtl/>
        </w:rPr>
        <w:t>, רש"י</w:t>
      </w:r>
      <w:r w:rsidRPr="008C1C8E">
        <w:rPr>
          <w:rFonts w:asciiTheme="minorBidi" w:hAnsiTheme="minorBidi"/>
          <w:rtl/>
        </w:rPr>
        <w:t>.</w:t>
      </w:r>
    </w:p>
  </w:footnote>
  <w:footnote w:id="2475">
    <w:p w14:paraId="1719AAE9"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שרבנן סברי דמותר, כב"ה, ור' אליעזר אוסר מדאו', דשמותי הוא.</w:t>
      </w:r>
    </w:p>
  </w:footnote>
  <w:footnote w:id="2476">
    <w:p w14:paraId="4EBE7360"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כגון פרעוש.</w:t>
      </w:r>
    </w:p>
  </w:footnote>
  <w:footnote w:id="2477">
    <w:p w14:paraId="21EE6067" w14:textId="42ACFAE9" w:rsidR="006957B5" w:rsidRDefault="006957B5" w:rsidP="00285819">
      <w:pPr>
        <w:pStyle w:val="a7"/>
        <w:rPr>
          <w:rtl/>
        </w:rPr>
      </w:pPr>
      <w:r>
        <w:rPr>
          <w:rStyle w:val="a9"/>
        </w:rPr>
        <w:footnoteRef/>
      </w:r>
      <w:r>
        <w:rPr>
          <w:rtl/>
        </w:rPr>
        <w:t xml:space="preserve"> </w:t>
      </w:r>
      <w:r w:rsidRPr="006957B5">
        <w:rPr>
          <w:rFonts w:cs="Arial"/>
          <w:rtl/>
        </w:rPr>
        <w:t>שירוץ הטפויין וביצי כינים, מתניתא היא, ולא ידענא היכא תניא</w:t>
      </w:r>
      <w:r>
        <w:rPr>
          <w:rFonts w:hint="cs"/>
          <w:rtl/>
        </w:rPr>
        <w:t>, רש"י.</w:t>
      </w:r>
    </w:p>
  </w:footnote>
  <w:footnote w:id="2478">
    <w:p w14:paraId="776DB672" w14:textId="44969862" w:rsidR="00547582" w:rsidRDefault="00547582" w:rsidP="00285819">
      <w:pPr>
        <w:pStyle w:val="a7"/>
      </w:pPr>
      <w:r>
        <w:rPr>
          <w:rStyle w:val="a9"/>
        </w:rPr>
        <w:footnoteRef/>
      </w:r>
      <w:r>
        <w:rPr>
          <w:rtl/>
        </w:rPr>
        <w:t xml:space="preserve"> </w:t>
      </w:r>
      <w:r w:rsidR="003A10BF" w:rsidRPr="003A10BF">
        <w:rPr>
          <w:rFonts w:cs="Arial"/>
          <w:rtl/>
        </w:rPr>
        <w:t>ואף על גב דהלכה כרבי יהושע (נדה ז:) מכל מקום איסורא מיהא איכא דכל פטורי דשבת פטור אבל אסור בר מהנך תלת דאיתא בסוף פרק רבי אליעזר דאורג (קז.)</w:t>
      </w:r>
      <w:r w:rsidR="003A10BF">
        <w:rPr>
          <w:rFonts w:cs="Arial" w:hint="cs"/>
          <w:rtl/>
        </w:rPr>
        <w:t>, ב"י.</w:t>
      </w:r>
      <w:r w:rsidR="003A10BF" w:rsidRPr="003A10BF">
        <w:rPr>
          <w:rFonts w:cs="Arial"/>
          <w:rtl/>
        </w:rPr>
        <w:t xml:space="preserve"> </w:t>
      </w:r>
    </w:p>
  </w:footnote>
  <w:footnote w:id="2479">
    <w:p w14:paraId="4E40BAD2" w14:textId="77777777" w:rsidR="00ED31DB" w:rsidRDefault="00ED31DB" w:rsidP="00285819">
      <w:pPr>
        <w:pStyle w:val="a7"/>
      </w:pPr>
      <w:r>
        <w:rPr>
          <w:rStyle w:val="a9"/>
        </w:rPr>
        <w:footnoteRef/>
      </w:r>
      <w:r>
        <w:rPr>
          <w:rtl/>
        </w:rPr>
        <w:t xml:space="preserve"> </w:t>
      </w:r>
      <w:r w:rsidRPr="001327D3">
        <w:rPr>
          <w:rFonts w:asciiTheme="minorBidi" w:hAnsiTheme="minorBidi" w:cs="Arial"/>
          <w:rtl/>
        </w:rPr>
        <w:t>דאינו כמתכוין לצודו אלא כמתעסק שלא ישכנו ואין בו משום איסור טלטול מידי דהוה אקוץ בר"ה דשרינן בפרק כירה (מב</w:t>
      </w:r>
      <w:r>
        <w:rPr>
          <w:rFonts w:asciiTheme="minorBidi" w:hAnsiTheme="minorBidi" w:cs="Arial" w:hint="cs"/>
          <w:rtl/>
        </w:rPr>
        <w:t>.</w:t>
      </w:r>
      <w:r w:rsidRPr="001327D3">
        <w:rPr>
          <w:rFonts w:asciiTheme="minorBidi" w:hAnsiTheme="minorBidi" w:cs="Arial"/>
          <w:rtl/>
        </w:rPr>
        <w:t>) לטלטלו ולהוליכו פחות פחות מד' אמות</w:t>
      </w:r>
      <w:r>
        <w:rPr>
          <w:rFonts w:asciiTheme="minorBidi" w:hAnsiTheme="minorBidi" w:cs="Arial" w:hint="cs"/>
          <w:rtl/>
        </w:rPr>
        <w:t>,</w:t>
      </w:r>
      <w:r w:rsidRPr="00F332E8">
        <w:rPr>
          <w:rFonts w:asciiTheme="minorBidi" w:hAnsiTheme="minorBidi" w:cs="Arial"/>
          <w:rtl/>
        </w:rPr>
        <w:t xml:space="preserve"> רא"ש (</w:t>
      </w:r>
      <w:r>
        <w:rPr>
          <w:rFonts w:asciiTheme="minorBidi" w:hAnsiTheme="minorBidi" w:cs="Arial" w:hint="cs"/>
          <w:rtl/>
        </w:rPr>
        <w:t>שם</w:t>
      </w:r>
      <w:r w:rsidRPr="00F332E8">
        <w:rPr>
          <w:rFonts w:asciiTheme="minorBidi" w:hAnsiTheme="minorBidi" w:cs="Arial"/>
          <w:rtl/>
        </w:rPr>
        <w:t>)</w:t>
      </w:r>
      <w:r>
        <w:rPr>
          <w:rFonts w:asciiTheme="minorBidi" w:hAnsiTheme="minorBidi" w:cs="Arial" w:hint="cs"/>
          <w:rtl/>
        </w:rPr>
        <w:t>.</w:t>
      </w:r>
    </w:p>
  </w:footnote>
  <w:footnote w:id="2480">
    <w:p w14:paraId="7532828A" w14:textId="181E1E84" w:rsidR="00187B1F" w:rsidRDefault="00187B1F" w:rsidP="00285819">
      <w:pPr>
        <w:pStyle w:val="a7"/>
        <w:rPr>
          <w:rtl/>
        </w:rPr>
      </w:pPr>
      <w:r>
        <w:rPr>
          <w:rStyle w:val="a9"/>
        </w:rPr>
        <w:footnoteRef/>
      </w:r>
      <w:r>
        <w:rPr>
          <w:rtl/>
        </w:rPr>
        <w:t xml:space="preserve"> </w:t>
      </w:r>
      <w:r w:rsidRPr="003A10BF">
        <w:rPr>
          <w:rFonts w:asciiTheme="minorBidi" w:hAnsiTheme="minorBidi" w:cs="Arial"/>
          <w:rtl/>
        </w:rPr>
        <w:t>וזו מדת חסידות היתה דמדינא שרי כמו שנתבאר</w:t>
      </w:r>
      <w:r>
        <w:rPr>
          <w:rFonts w:hint="cs"/>
          <w:rtl/>
        </w:rPr>
        <w:t>, ב"י.</w:t>
      </w:r>
    </w:p>
  </w:footnote>
  <w:footnote w:id="2481">
    <w:p w14:paraId="52673FC5" w14:textId="2DF1A805" w:rsidR="00662389" w:rsidRDefault="00662389" w:rsidP="00285819">
      <w:pPr>
        <w:pStyle w:val="a7"/>
        <w:rPr>
          <w:rtl/>
        </w:rPr>
      </w:pPr>
      <w:r>
        <w:rPr>
          <w:rStyle w:val="a9"/>
        </w:rPr>
        <w:footnoteRef/>
      </w:r>
      <w:r>
        <w:rPr>
          <w:rtl/>
        </w:rPr>
        <w:t xml:space="preserve"> </w:t>
      </w:r>
      <w:r>
        <w:rPr>
          <w:rFonts w:asciiTheme="minorBidi" w:hAnsiTheme="minorBidi" w:cs="Arial" w:hint="cs"/>
          <w:rtl/>
        </w:rPr>
        <w:t xml:space="preserve">כתב הב"י, וז"ל- </w:t>
      </w:r>
      <w:r w:rsidRPr="003A10BF">
        <w:rPr>
          <w:rFonts w:asciiTheme="minorBidi" w:hAnsiTheme="minorBidi" w:cs="Arial"/>
          <w:rtl/>
        </w:rPr>
        <w:t>לשון התוספות שכתבתי צריך דקדוק</w:t>
      </w:r>
      <w:r>
        <w:rPr>
          <w:rFonts w:asciiTheme="minorBidi" w:hAnsiTheme="minorBidi" w:cs="Arial" w:hint="cs"/>
          <w:rtl/>
        </w:rPr>
        <w:t>,</w:t>
      </w:r>
      <w:r w:rsidRPr="003A10BF">
        <w:rPr>
          <w:rFonts w:asciiTheme="minorBidi" w:hAnsiTheme="minorBidi" w:cs="Arial"/>
          <w:rtl/>
        </w:rPr>
        <w:t xml:space="preserve"> דמרישא דלישנא משמע דלא שרי ליטלה אלא בשעה שנושכת דוקא</w:t>
      </w:r>
      <w:r>
        <w:rPr>
          <w:rFonts w:asciiTheme="minorBidi" w:hAnsiTheme="minorBidi" w:cs="Arial" w:hint="cs"/>
          <w:rtl/>
        </w:rPr>
        <w:t>,</w:t>
      </w:r>
      <w:r w:rsidRPr="003A10BF">
        <w:rPr>
          <w:rFonts w:asciiTheme="minorBidi" w:hAnsiTheme="minorBidi" w:cs="Arial"/>
          <w:rtl/>
        </w:rPr>
        <w:t xml:space="preserve"> משום דהוי כמתעסק שלא ישכנו הא אם אינה על הבשר אף על פי שהיא על בגדיו מבפנים אסור ליטלה</w:t>
      </w:r>
      <w:r w:rsidRPr="003A10BF">
        <w:rPr>
          <w:rFonts w:asciiTheme="minorBidi" w:hAnsiTheme="minorBidi" w:cs="Arial" w:hint="cs"/>
          <w:rtl/>
        </w:rPr>
        <w:t>.</w:t>
      </w:r>
      <w:r w:rsidRPr="003A10BF">
        <w:rPr>
          <w:rFonts w:asciiTheme="minorBidi" w:hAnsiTheme="minorBidi" w:cs="Arial"/>
          <w:rtl/>
        </w:rPr>
        <w:t xml:space="preserve"> וכן נראה מדברי סמ"ג וסמ"ק והגה</w:t>
      </w:r>
      <w:r w:rsidRPr="003A10BF">
        <w:rPr>
          <w:rFonts w:asciiTheme="minorBidi" w:hAnsiTheme="minorBidi" w:cs="Arial" w:hint="cs"/>
          <w:rtl/>
        </w:rPr>
        <w:t>"מ</w:t>
      </w:r>
      <w:r>
        <w:rPr>
          <w:rFonts w:asciiTheme="minorBidi" w:hAnsiTheme="minorBidi" w:cs="Arial" w:hint="cs"/>
          <w:rtl/>
        </w:rPr>
        <w:t>..</w:t>
      </w:r>
      <w:r w:rsidRPr="003A10BF">
        <w:rPr>
          <w:rFonts w:asciiTheme="minorBidi" w:hAnsiTheme="minorBidi" w:cs="Arial"/>
          <w:rtl/>
        </w:rPr>
        <w:t>. וכיוצא בזה כתב במרדכי שם. ומסיפא דלישנא משמע דדוקא כשהיא על סרבלו מבחוץ דליכא למיחש שמא ינשכנו הוא דאסור ליטלה אבל אם היא על בגדיו מבפנים כיון דאיכא למיחש שמא ינשכנו שרי ליטלה</w:t>
      </w:r>
      <w:r w:rsidRPr="003A10BF">
        <w:rPr>
          <w:rFonts w:asciiTheme="minorBidi" w:hAnsiTheme="minorBidi" w:cs="Arial" w:hint="cs"/>
          <w:rtl/>
        </w:rPr>
        <w:t>.</w:t>
      </w:r>
      <w:r w:rsidRPr="003A10BF">
        <w:rPr>
          <w:rFonts w:asciiTheme="minorBidi" w:hAnsiTheme="minorBidi" w:cs="Arial"/>
          <w:rtl/>
        </w:rPr>
        <w:t xml:space="preserve"> וכן כתב הר"ן בשם התוספות</w:t>
      </w:r>
      <w:r>
        <w:rPr>
          <w:rFonts w:asciiTheme="minorBidi" w:hAnsiTheme="minorBidi" w:cs="Arial" w:hint="cs"/>
          <w:rtl/>
        </w:rPr>
        <w:t>...</w:t>
      </w:r>
      <w:r w:rsidRPr="003A10BF">
        <w:rPr>
          <w:rFonts w:asciiTheme="minorBidi" w:hAnsiTheme="minorBidi" w:cs="Arial"/>
          <w:rtl/>
        </w:rPr>
        <w:t xml:space="preserve"> וכן כתב ה</w:t>
      </w:r>
      <w:r>
        <w:rPr>
          <w:rFonts w:asciiTheme="minorBidi" w:hAnsiTheme="minorBidi" w:cs="Arial" w:hint="cs"/>
          <w:rtl/>
        </w:rPr>
        <w:t>ה"מ</w:t>
      </w:r>
      <w:r w:rsidRPr="003A10BF">
        <w:rPr>
          <w:rFonts w:asciiTheme="minorBidi" w:hAnsiTheme="minorBidi" w:cs="Arial"/>
          <w:rtl/>
        </w:rPr>
        <w:t xml:space="preserve"> בשם התוספות ובשם הרשב"א</w:t>
      </w:r>
      <w:r>
        <w:rPr>
          <w:rFonts w:asciiTheme="minorBidi" w:hAnsiTheme="minorBidi" w:cs="Arial" w:hint="cs"/>
          <w:rtl/>
        </w:rPr>
        <w:t>,</w:t>
      </w:r>
      <w:r w:rsidRPr="003A10BF">
        <w:rPr>
          <w:rFonts w:asciiTheme="minorBidi" w:hAnsiTheme="minorBidi" w:cs="Arial"/>
          <w:rtl/>
        </w:rPr>
        <w:t xml:space="preserve"> וכן נראה מדברי רש"י</w:t>
      </w:r>
      <w:r>
        <w:rPr>
          <w:rFonts w:asciiTheme="minorBidi" w:hAnsiTheme="minorBidi" w:cs="Arial" w:hint="cs"/>
          <w:rtl/>
        </w:rPr>
        <w:t>..</w:t>
      </w:r>
      <w:r w:rsidRPr="003A10BF">
        <w:rPr>
          <w:rFonts w:asciiTheme="minorBidi" w:hAnsiTheme="minorBidi" w:cs="Arial"/>
          <w:rtl/>
        </w:rPr>
        <w:t>. ודברי רבינו נוטין כמאן דאסר ליטלה אלא אם כן היא עוקצת</w:t>
      </w:r>
      <w:r>
        <w:rPr>
          <w:rFonts w:hint="cs"/>
          <w:rtl/>
        </w:rPr>
        <w:t>.</w:t>
      </w:r>
    </w:p>
  </w:footnote>
  <w:footnote w:id="2482">
    <w:p w14:paraId="50D212CE" w14:textId="21685FA0" w:rsidR="00662389" w:rsidRDefault="00662389" w:rsidP="00285819">
      <w:pPr>
        <w:pStyle w:val="a7"/>
      </w:pPr>
      <w:r>
        <w:rPr>
          <w:rStyle w:val="a9"/>
        </w:rPr>
        <w:footnoteRef/>
      </w:r>
      <w:r>
        <w:rPr>
          <w:rtl/>
        </w:rPr>
        <w:t xml:space="preserve"> </w:t>
      </w:r>
      <w:r>
        <w:rPr>
          <w:rFonts w:hint="cs"/>
          <w:rtl/>
        </w:rPr>
        <w:t xml:space="preserve">וז"ל- </w:t>
      </w:r>
      <w:r>
        <w:rPr>
          <w:rFonts w:cs="Arial"/>
          <w:rtl/>
        </w:rPr>
        <w:t>אסור לצוד פרעוש</w:t>
      </w:r>
      <w:r w:rsidR="00027778">
        <w:rPr>
          <w:rFonts w:cs="Arial" w:hint="cs"/>
          <w:rtl/>
        </w:rPr>
        <w:t>,</w:t>
      </w:r>
      <w:r>
        <w:rPr>
          <w:rFonts w:cs="Arial"/>
          <w:rtl/>
        </w:rPr>
        <w:t xml:space="preserve"> ודוקא מעל הארץ או מעל בגדיו אבל אם הוא על בשרו ועוקצו מותר לצוד</w:t>
      </w:r>
      <w:r>
        <w:rPr>
          <w:rFonts w:cs="Arial" w:hint="cs"/>
          <w:rtl/>
        </w:rPr>
        <w:t>,</w:t>
      </w:r>
      <w:r>
        <w:rPr>
          <w:rFonts w:cs="Arial"/>
          <w:rtl/>
        </w:rPr>
        <w:t xml:space="preserve"> ואסור להורגו</w:t>
      </w:r>
      <w:r>
        <w:rPr>
          <w:rFonts w:cs="Arial" w:hint="cs"/>
          <w:rtl/>
        </w:rPr>
        <w:t>.</w:t>
      </w:r>
    </w:p>
  </w:footnote>
  <w:footnote w:id="2483">
    <w:p w14:paraId="368A1ACD" w14:textId="5EA1FD96" w:rsidR="00027778" w:rsidRDefault="00027778" w:rsidP="00285819">
      <w:pPr>
        <w:pStyle w:val="a7"/>
        <w:rPr>
          <w:rtl/>
        </w:rPr>
      </w:pPr>
      <w:r>
        <w:rPr>
          <w:rStyle w:val="a9"/>
        </w:rPr>
        <w:footnoteRef/>
      </w:r>
      <w:r>
        <w:rPr>
          <w:rtl/>
        </w:rPr>
        <w:t xml:space="preserve"> </w:t>
      </w:r>
      <w:r w:rsidRPr="00F332E8">
        <w:rPr>
          <w:rFonts w:asciiTheme="minorBidi" w:hAnsiTheme="minorBidi" w:cs="Arial"/>
          <w:rtl/>
        </w:rPr>
        <w:t>ומשמע לרבינו דאפילו אם הוא על בשרו נמי אסור. ואע</w:t>
      </w:r>
      <w:r>
        <w:rPr>
          <w:rFonts w:asciiTheme="minorBidi" w:hAnsiTheme="minorBidi" w:cs="Arial" w:hint="cs"/>
          <w:rtl/>
        </w:rPr>
        <w:t>"</w:t>
      </w:r>
      <w:r w:rsidRPr="00F332E8">
        <w:rPr>
          <w:rFonts w:asciiTheme="minorBidi" w:hAnsiTheme="minorBidi" w:cs="Arial"/>
          <w:rtl/>
        </w:rPr>
        <w:t>פ דבס</w:t>
      </w:r>
      <w:r>
        <w:rPr>
          <w:rFonts w:asciiTheme="minorBidi" w:hAnsiTheme="minorBidi" w:cs="Arial" w:hint="cs"/>
          <w:rtl/>
        </w:rPr>
        <w:t>"</w:t>
      </w:r>
      <w:r w:rsidRPr="00F332E8">
        <w:rPr>
          <w:rFonts w:asciiTheme="minorBidi" w:hAnsiTheme="minorBidi" w:cs="Arial"/>
          <w:rtl/>
        </w:rPr>
        <w:t>פ כל כתבי (קכא:) שרינן להרוג שאר כל המזיקין אם היו רצין אחריו וכמו שכתב רבינו בסמוך איכא למימר דהנך מזיקין דרכן לנשוך נשיכה עוקצת מה שאין כן בפרעושים</w:t>
      </w:r>
      <w:r>
        <w:rPr>
          <w:rFonts w:hint="cs"/>
          <w:rtl/>
        </w:rPr>
        <w:t xml:space="preserve">, ב"י. </w:t>
      </w:r>
    </w:p>
  </w:footnote>
  <w:footnote w:id="2484">
    <w:p w14:paraId="16A1DECC" w14:textId="558CA948" w:rsidR="0008106C" w:rsidRPr="008C1C8E" w:rsidRDefault="0008106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בשבת מולל, להתיש כחן שלא יחזרו אליו, ובלבד שלא ימלול בדוחק ויהרוג, דסבירא ליה הריגת כינה שבות</w:t>
      </w:r>
      <w:r w:rsidR="00BC34C5">
        <w:rPr>
          <w:rFonts w:asciiTheme="minorBidi" w:hAnsiTheme="minorBidi" w:hint="cs"/>
          <w:rtl/>
        </w:rPr>
        <w:t>.</w:t>
      </w:r>
      <w:r w:rsidRPr="008C1C8E">
        <w:rPr>
          <w:rFonts w:asciiTheme="minorBidi" w:hAnsiTheme="minorBidi"/>
          <w:rtl/>
        </w:rPr>
        <w:t xml:space="preserve"> ואבא שאול כר' אליעזר, ומחייב חטאת, הלכך גזרינן מלילה שלא יהרוג, רש"י.</w:t>
      </w:r>
    </w:p>
  </w:footnote>
  <w:footnote w:id="2485">
    <w:p w14:paraId="5AECF3C0" w14:textId="77777777" w:rsidR="0008106C" w:rsidRPr="008C1C8E" w:rsidRDefault="0008106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הורגן, ובשבת, רש"י.</w:t>
      </w:r>
    </w:p>
  </w:footnote>
  <w:footnote w:id="2486">
    <w:p w14:paraId="4F4FFD11" w14:textId="77777777" w:rsidR="0008106C" w:rsidRPr="008C1C8E" w:rsidRDefault="0008106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לספל.</w:t>
      </w:r>
    </w:p>
  </w:footnote>
  <w:footnote w:id="2487">
    <w:p w14:paraId="4AAC59BB" w14:textId="77777777" w:rsidR="0008106C" w:rsidRPr="008C1C8E" w:rsidRDefault="0008106C"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כדמפרש טעמא בפרק שמונה שרצים (שבת קז</w:t>
      </w:r>
      <w:r>
        <w:rPr>
          <w:rFonts w:asciiTheme="minorBidi" w:hAnsiTheme="minorBidi" w:hint="cs"/>
          <w:rtl/>
        </w:rPr>
        <w:t>:</w:t>
      </w:r>
      <w:r w:rsidRPr="008C1C8E">
        <w:rPr>
          <w:rFonts w:asciiTheme="minorBidi" w:hAnsiTheme="minorBidi"/>
          <w:rtl/>
        </w:rPr>
        <w:t>) מאילים מאדמים דמשכן, מה אילים פרים ורבים - אף כל שפרה ורבה; וכינה אינה פרה ורבה, אלא מבשר אדם היא שורצת, רש"י.</w:t>
      </w:r>
    </w:p>
  </w:footnote>
  <w:footnote w:id="2488">
    <w:p w14:paraId="5E3CE40E" w14:textId="77777777" w:rsidR="00BD3D7E" w:rsidRDefault="00BD3D7E" w:rsidP="00285819">
      <w:pPr>
        <w:pStyle w:val="a7"/>
      </w:pPr>
      <w:r>
        <w:rPr>
          <w:rStyle w:val="a9"/>
        </w:rPr>
        <w:footnoteRef/>
      </w:r>
      <w:r>
        <w:rPr>
          <w:rtl/>
        </w:rPr>
        <w:t xml:space="preserve"> </w:t>
      </w:r>
      <w:r w:rsidRPr="00663385">
        <w:rPr>
          <w:rFonts w:asciiTheme="minorBidi" w:hAnsiTheme="minorBidi" w:cs="Arial"/>
          <w:rtl/>
        </w:rPr>
        <w:t>ו</w:t>
      </w:r>
      <w:r>
        <w:rPr>
          <w:rFonts w:asciiTheme="minorBidi" w:hAnsiTheme="minorBidi" w:cs="Arial" w:hint="cs"/>
          <w:rtl/>
        </w:rPr>
        <w:t xml:space="preserve">הביא הה"מ (פי"א ה"ג) דבריהם וכתב שכן </w:t>
      </w:r>
      <w:r w:rsidRPr="00663385">
        <w:rPr>
          <w:rFonts w:asciiTheme="minorBidi" w:hAnsiTheme="minorBidi" w:cs="Arial"/>
          <w:rtl/>
        </w:rPr>
        <w:t>דעת הרמב"ם</w:t>
      </w:r>
      <w:r>
        <w:rPr>
          <w:rFonts w:asciiTheme="minorBidi" w:hAnsiTheme="minorBidi" w:cs="Arial" w:hint="cs"/>
          <w:rtl/>
        </w:rPr>
        <w:t>.</w:t>
      </w:r>
    </w:p>
  </w:footnote>
  <w:footnote w:id="2489">
    <w:p w14:paraId="59C04B34" w14:textId="2ADF1FBE" w:rsidR="00BD3D7E" w:rsidRDefault="00BD3D7E" w:rsidP="00285819">
      <w:pPr>
        <w:pStyle w:val="a7"/>
      </w:pPr>
      <w:r>
        <w:rPr>
          <w:rStyle w:val="a9"/>
        </w:rPr>
        <w:footnoteRef/>
      </w:r>
      <w:r>
        <w:rPr>
          <w:rtl/>
        </w:rPr>
        <w:t xml:space="preserve"> </w:t>
      </w:r>
      <w:r>
        <w:rPr>
          <w:rFonts w:asciiTheme="minorBidi" w:hAnsiTheme="minorBidi" w:cs="Arial" w:hint="cs"/>
          <w:rtl/>
        </w:rPr>
        <w:t xml:space="preserve">הה"מ (פי"א ה"ג) פירש את דברי הרמב"ם כדברי הרמב"ן והרשב"א. אך הרא"ש </w:t>
      </w:r>
      <w:r w:rsidR="003F1BDD">
        <w:rPr>
          <w:rFonts w:asciiTheme="minorBidi" w:hAnsiTheme="minorBidi" w:cs="Arial" w:hint="cs"/>
          <w:rtl/>
        </w:rPr>
        <w:t xml:space="preserve">(שם) </w:t>
      </w:r>
      <w:r>
        <w:rPr>
          <w:rFonts w:asciiTheme="minorBidi" w:hAnsiTheme="minorBidi" w:cs="Arial" w:hint="cs"/>
          <w:rtl/>
        </w:rPr>
        <w:t>פירש את דברי הרמב"ם כדברי עצמו</w:t>
      </w:r>
      <w:r w:rsidR="003F1BDD">
        <w:rPr>
          <w:rFonts w:asciiTheme="minorBidi" w:hAnsiTheme="minorBidi" w:cs="Arial" w:hint="cs"/>
          <w:sz w:val="16"/>
          <w:szCs w:val="16"/>
          <w:rtl/>
        </w:rPr>
        <w:t xml:space="preserve"> {היינו כדברי הרא"ש}</w:t>
      </w:r>
      <w:r>
        <w:rPr>
          <w:rFonts w:asciiTheme="minorBidi" w:hAnsiTheme="minorBidi" w:cs="Arial" w:hint="cs"/>
          <w:rtl/>
        </w:rPr>
        <w:t xml:space="preserve">, </w:t>
      </w:r>
      <w:r w:rsidR="003F1BDD">
        <w:rPr>
          <w:rFonts w:asciiTheme="minorBidi" w:hAnsiTheme="minorBidi" w:cs="Arial" w:hint="cs"/>
          <w:rtl/>
        </w:rPr>
        <w:t>והוא</w:t>
      </w:r>
      <w:r>
        <w:rPr>
          <w:rFonts w:asciiTheme="minorBidi" w:hAnsiTheme="minorBidi" w:cs="Arial" w:hint="cs"/>
          <w:rtl/>
        </w:rPr>
        <w:t xml:space="preserve"> ש</w:t>
      </w:r>
      <w:r w:rsidRPr="00663385">
        <w:rPr>
          <w:rFonts w:asciiTheme="minorBidi" w:hAnsiTheme="minorBidi" w:cs="Arial"/>
          <w:rtl/>
        </w:rPr>
        <w:t>הלוקח כינה מעל בשרו בשבת או מעל חלוקו</w:t>
      </w:r>
      <w:r w:rsidR="003F1BDD">
        <w:rPr>
          <w:rFonts w:asciiTheme="minorBidi" w:hAnsiTheme="minorBidi" w:cs="Arial" w:hint="cs"/>
          <w:rtl/>
        </w:rPr>
        <w:t xml:space="preserve"> -</w:t>
      </w:r>
      <w:r w:rsidRPr="00663385">
        <w:rPr>
          <w:rFonts w:asciiTheme="minorBidi" w:hAnsiTheme="minorBidi" w:cs="Arial"/>
          <w:rtl/>
        </w:rPr>
        <w:t xml:space="preserve"> מותר להרגה כבית הלל</w:t>
      </w:r>
      <w:r>
        <w:rPr>
          <w:rFonts w:asciiTheme="minorBidi" w:hAnsiTheme="minorBidi" w:cs="Arial" w:hint="cs"/>
          <w:rtl/>
        </w:rPr>
        <w:t>.</w:t>
      </w:r>
      <w:r w:rsidRPr="00663385">
        <w:rPr>
          <w:rFonts w:asciiTheme="minorBidi" w:hAnsiTheme="minorBidi" w:cs="Arial"/>
          <w:rtl/>
        </w:rPr>
        <w:t xml:space="preserve"> אבל במפלא את כליו להסיר מהם פרעושים וכינים</w:t>
      </w:r>
      <w:r w:rsidR="003F1BDD">
        <w:rPr>
          <w:rFonts w:asciiTheme="minorBidi" w:hAnsiTheme="minorBidi" w:cs="Arial" w:hint="cs"/>
          <w:rtl/>
        </w:rPr>
        <w:t xml:space="preserve"> </w:t>
      </w:r>
      <w:r w:rsidRPr="00663385">
        <w:rPr>
          <w:rFonts w:asciiTheme="minorBidi" w:hAnsiTheme="minorBidi" w:cs="Arial"/>
          <w:rtl/>
        </w:rPr>
        <w:t>תנא קמא גזר הריגה דכינים אטו הריגה דפרעושים</w:t>
      </w:r>
      <w:r>
        <w:rPr>
          <w:rFonts w:asciiTheme="minorBidi" w:hAnsiTheme="minorBidi" w:cs="Arial" w:hint="cs"/>
          <w:rtl/>
        </w:rPr>
        <w:t>.</w:t>
      </w:r>
    </w:p>
  </w:footnote>
  <w:footnote w:id="2490">
    <w:p w14:paraId="2DBA6396" w14:textId="26ECC21A" w:rsidR="00440576" w:rsidRDefault="00440576" w:rsidP="00285819">
      <w:pPr>
        <w:pStyle w:val="a7"/>
      </w:pPr>
      <w:r>
        <w:rPr>
          <w:rStyle w:val="a9"/>
        </w:rPr>
        <w:footnoteRef/>
      </w:r>
      <w:r>
        <w:rPr>
          <w:rtl/>
        </w:rPr>
        <w:t xml:space="preserve"> </w:t>
      </w:r>
      <w:r w:rsidRPr="002D74A5">
        <w:rPr>
          <w:rFonts w:cs="Arial"/>
          <w:rtl/>
        </w:rPr>
        <w:t>וכן עמא דבר כדברי ר"ת</w:t>
      </w:r>
      <w:r>
        <w:rPr>
          <w:rFonts w:cs="Arial" w:hint="cs"/>
          <w:rtl/>
        </w:rPr>
        <w:t xml:space="preserve">, רא"ש (שם). </w:t>
      </w:r>
      <w:r>
        <w:rPr>
          <w:rFonts w:hint="cs"/>
          <w:rtl/>
        </w:rPr>
        <w:t xml:space="preserve">וכ"כ הטור. וכתב הב"י </w:t>
      </w:r>
      <w:r>
        <w:rPr>
          <w:rFonts w:asciiTheme="minorBidi" w:hAnsiTheme="minorBidi" w:cs="Arial" w:hint="cs"/>
          <w:rtl/>
        </w:rPr>
        <w:t>ד</w:t>
      </w:r>
      <w:r w:rsidRPr="00F332E8">
        <w:rPr>
          <w:rFonts w:asciiTheme="minorBidi" w:hAnsiTheme="minorBidi" w:cs="Arial"/>
          <w:rtl/>
        </w:rPr>
        <w:t>כן דעת הרמב"ם שכתב בפרק י"א (ה"ב) רמשים שהם פרים ורבים מזכר ונקבה או נהוין מן העפר כמו הפרעושין ההורג אותן חייב כהורג בהמה וחיה ואחר כך (ה"ג) כתב ומותר להרוג את הכינים בשבת מפני שהן מן הזיעה עכ"ל ושחורה הקופצת הנקראת ברגו"ת בערבי הווה מן העפר</w:t>
      </w:r>
      <w:r>
        <w:rPr>
          <w:rFonts w:asciiTheme="minorBidi" w:hAnsiTheme="minorBidi" w:cs="Arial" w:hint="cs"/>
          <w:rtl/>
        </w:rPr>
        <w:t>,</w:t>
      </w:r>
      <w:r w:rsidRPr="00F332E8">
        <w:rPr>
          <w:rFonts w:asciiTheme="minorBidi" w:hAnsiTheme="minorBidi" w:cs="Arial"/>
          <w:rtl/>
        </w:rPr>
        <w:t xml:space="preserve"> וכינה ההווה מזיעה הוא הלבן</w:t>
      </w:r>
      <w:r>
        <w:rPr>
          <w:rFonts w:asciiTheme="minorBidi" w:hAnsiTheme="minorBidi" w:cs="Arial" w:hint="cs"/>
          <w:rtl/>
        </w:rPr>
        <w:t>,</w:t>
      </w:r>
      <w:r w:rsidRPr="00F332E8">
        <w:rPr>
          <w:rFonts w:asciiTheme="minorBidi" w:hAnsiTheme="minorBidi" w:cs="Arial"/>
          <w:rtl/>
        </w:rPr>
        <w:t xml:space="preserve"> וכדברי רבינו תם</w:t>
      </w:r>
      <w:r>
        <w:rPr>
          <w:rFonts w:asciiTheme="minorBidi" w:hAnsiTheme="minorBidi" w:cs="Arial" w:hint="cs"/>
          <w:rtl/>
        </w:rPr>
        <w:t>. עכ"ל הב"י.</w:t>
      </w:r>
    </w:p>
  </w:footnote>
  <w:footnote w:id="2491">
    <w:p w14:paraId="07968A5E" w14:textId="3567562B" w:rsidR="00097FCD" w:rsidRDefault="00097FCD" w:rsidP="00285819">
      <w:pPr>
        <w:pStyle w:val="a7"/>
      </w:pPr>
      <w:r>
        <w:rPr>
          <w:rStyle w:val="a9"/>
        </w:rPr>
        <w:footnoteRef/>
      </w:r>
      <w:r>
        <w:rPr>
          <w:rtl/>
        </w:rPr>
        <w:t xml:space="preserve"> </w:t>
      </w:r>
      <w:r w:rsidRPr="0056638F">
        <w:rPr>
          <w:rFonts w:cs="Arial"/>
          <w:rtl/>
        </w:rPr>
        <w:t>ומסתברא ודאי הכין</w:t>
      </w:r>
      <w:r>
        <w:rPr>
          <w:rFonts w:cs="Arial" w:hint="cs"/>
          <w:rtl/>
        </w:rPr>
        <w:t>,</w:t>
      </w:r>
      <w:r w:rsidRPr="0056638F">
        <w:rPr>
          <w:rFonts w:cs="Arial"/>
          <w:rtl/>
        </w:rPr>
        <w:t xml:space="preserve"> מדאיבעיא לן היכי קתני</w:t>
      </w:r>
      <w:r>
        <w:rPr>
          <w:rFonts w:cs="Arial" w:hint="cs"/>
          <w:rtl/>
        </w:rPr>
        <w:t>?</w:t>
      </w:r>
      <w:r w:rsidRPr="0056638F">
        <w:rPr>
          <w:rFonts w:cs="Arial"/>
          <w:rtl/>
        </w:rPr>
        <w:t xml:space="preserve"> אין פולין כדי שלא יהרוג ואין קורין לאור הנר</w:t>
      </w:r>
      <w:r>
        <w:rPr>
          <w:rFonts w:cs="Arial" w:hint="cs"/>
          <w:rtl/>
        </w:rPr>
        <w:t>,</w:t>
      </w:r>
      <w:r w:rsidRPr="0056638F">
        <w:rPr>
          <w:rFonts w:cs="Arial"/>
          <w:rtl/>
        </w:rPr>
        <w:t xml:space="preserve"> ורבי אליעזר היא דאמר ההורג כינה בשבת כהורג גמל</w:t>
      </w:r>
      <w:r>
        <w:rPr>
          <w:rFonts w:cs="Arial" w:hint="cs"/>
          <w:rtl/>
        </w:rPr>
        <w:t>,</w:t>
      </w:r>
      <w:r w:rsidRPr="0056638F">
        <w:rPr>
          <w:rFonts w:cs="Arial"/>
          <w:rtl/>
        </w:rPr>
        <w:t xml:space="preserve"> או דלמא אין פולין לאור הנר קאמר אבל כדי שלא יהרוג לא, כלומר דמותר להרוג ודלא כרבי אליעזר</w:t>
      </w:r>
      <w:r>
        <w:rPr>
          <w:rFonts w:cs="Arial" w:hint="cs"/>
          <w:rtl/>
        </w:rPr>
        <w:t>.</w:t>
      </w:r>
      <w:r w:rsidRPr="0056638F">
        <w:rPr>
          <w:rFonts w:cs="Arial"/>
          <w:rtl/>
        </w:rPr>
        <w:t xml:space="preserve"> ואסיקנא דאין פולין לאור הנר קאמר</w:t>
      </w:r>
      <w:r>
        <w:rPr>
          <w:rFonts w:cs="Arial" w:hint="cs"/>
          <w:rtl/>
        </w:rPr>
        <w:t>,</w:t>
      </w:r>
      <w:r w:rsidRPr="0056638F">
        <w:rPr>
          <w:rFonts w:cs="Arial"/>
          <w:rtl/>
        </w:rPr>
        <w:t xml:space="preserve"> הא ביום שרי</w:t>
      </w:r>
      <w:r>
        <w:rPr>
          <w:rFonts w:cs="Arial" w:hint="cs"/>
          <w:rtl/>
        </w:rPr>
        <w:t>,</w:t>
      </w:r>
      <w:r w:rsidRPr="0056638F">
        <w:rPr>
          <w:rFonts w:cs="Arial"/>
          <w:rtl/>
        </w:rPr>
        <w:t xml:space="preserve"> דאלמא משום שלא יהרוג לא</w:t>
      </w:r>
      <w:r>
        <w:rPr>
          <w:rFonts w:cs="Arial" w:hint="cs"/>
          <w:rtl/>
        </w:rPr>
        <w:t>,</w:t>
      </w:r>
      <w:r w:rsidRPr="0056638F">
        <w:rPr>
          <w:rFonts w:cs="Arial"/>
          <w:rtl/>
        </w:rPr>
        <w:t xml:space="preserve"> דמותר להרוג</w:t>
      </w:r>
      <w:r>
        <w:rPr>
          <w:rFonts w:cs="Arial" w:hint="cs"/>
          <w:rtl/>
        </w:rPr>
        <w:t>.</w:t>
      </w:r>
      <w:r w:rsidRPr="0056638F">
        <w:rPr>
          <w:rFonts w:cs="Arial"/>
          <w:rtl/>
        </w:rPr>
        <w:t xml:space="preserve"> ואם איתא דבורגות אסור להרוג הרי אותו המין מצוי בבני אדם ככינה</w:t>
      </w:r>
      <w:r>
        <w:rPr>
          <w:rFonts w:cs="Arial" w:hint="cs"/>
          <w:rtl/>
        </w:rPr>
        <w:t>,</w:t>
      </w:r>
      <w:r w:rsidRPr="0056638F">
        <w:rPr>
          <w:rFonts w:cs="Arial"/>
          <w:rtl/>
        </w:rPr>
        <w:t xml:space="preserve"> ואם כן יהא אסור לפלות כליו אפילו ביום כדי שלא יהרוג</w:t>
      </w:r>
      <w:r>
        <w:rPr>
          <w:rFonts w:cs="Arial" w:hint="cs"/>
          <w:rtl/>
        </w:rPr>
        <w:t>.</w:t>
      </w:r>
      <w:r w:rsidRPr="0056638F">
        <w:rPr>
          <w:rFonts w:cs="Arial"/>
          <w:rtl/>
        </w:rPr>
        <w:t xml:space="preserve"> אלא ודאי משמע מהכא דאותו המין מותר לצודו ולהרגו</w:t>
      </w:r>
      <w:r>
        <w:rPr>
          <w:rFonts w:cs="Arial" w:hint="cs"/>
          <w:rtl/>
        </w:rPr>
        <w:t>, רשב"א (שם).</w:t>
      </w:r>
    </w:p>
  </w:footnote>
  <w:footnote w:id="2492">
    <w:p w14:paraId="1576DE3F" w14:textId="050026E4" w:rsidR="00097FCD" w:rsidRDefault="00097FCD" w:rsidP="00285819">
      <w:pPr>
        <w:pStyle w:val="a7"/>
        <w:rPr>
          <w:rtl/>
        </w:rPr>
      </w:pPr>
      <w:r>
        <w:rPr>
          <w:rStyle w:val="a9"/>
        </w:rPr>
        <w:footnoteRef/>
      </w:r>
      <w:r>
        <w:rPr>
          <w:rtl/>
        </w:rPr>
        <w:t xml:space="preserve"> </w:t>
      </w:r>
      <w:r w:rsidRPr="009B71B4">
        <w:rPr>
          <w:rFonts w:cs="Arial"/>
          <w:rtl/>
        </w:rPr>
        <w:t>ולפי דעתי שזו קולא יתירה</w:t>
      </w:r>
      <w:r>
        <w:rPr>
          <w:rFonts w:cs="Arial" w:hint="cs"/>
          <w:rtl/>
        </w:rPr>
        <w:t xml:space="preserve">, ר"ן </w:t>
      </w:r>
      <w:r>
        <w:rPr>
          <w:rFonts w:cs="Arial" w:hint="cs"/>
          <w:sz w:val="16"/>
          <w:szCs w:val="16"/>
          <w:rtl/>
        </w:rPr>
        <w:t>(שבת ה: ד"ה אמר רב הונא)</w:t>
      </w:r>
      <w:r>
        <w:rPr>
          <w:rFonts w:hint="cs"/>
          <w:rtl/>
        </w:rPr>
        <w:t>.</w:t>
      </w:r>
    </w:p>
  </w:footnote>
  <w:footnote w:id="2493">
    <w:p w14:paraId="32C8AA6D" w14:textId="10CA401E" w:rsidR="00285A2F" w:rsidRDefault="00285A2F" w:rsidP="00285819">
      <w:pPr>
        <w:pStyle w:val="a7"/>
        <w:rPr>
          <w:rtl/>
        </w:rPr>
      </w:pPr>
      <w:r>
        <w:rPr>
          <w:rStyle w:val="a9"/>
        </w:rPr>
        <w:footnoteRef/>
      </w:r>
      <w:r>
        <w:rPr>
          <w:rtl/>
        </w:rPr>
        <w:t xml:space="preserve"> </w:t>
      </w:r>
      <w:r w:rsidRPr="00285A2F">
        <w:rPr>
          <w:rFonts w:cs="Arial"/>
          <w:rtl/>
        </w:rPr>
        <w:t>היינו דמשום צערא דעקיצה לא גזרו רבנן על איסור צידה ומותר לצודו ולהשליכו וזהו שכתב עוקצו [מ"א וכ"כ הגר"א דהאי עוקצו דוקא הוא] ויש מקילין גם כשהוא על חלוקו מבפנים ליטלו בידו ולהשליכו פן יבא לידי עקיצה ואם אפשר לו להפילו לארץ בלי נטילה ביד בודאי נכון להחמיר בזה</w:t>
      </w:r>
      <w:r>
        <w:rPr>
          <w:rFonts w:cs="Arial" w:hint="cs"/>
          <w:rtl/>
        </w:rPr>
        <w:t>, משנ"ב (סקל"ז).</w:t>
      </w:r>
    </w:p>
  </w:footnote>
  <w:footnote w:id="2494">
    <w:p w14:paraId="28A2AFF0" w14:textId="68DAA035"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וההורגה חייב, מג"א (סקי"ט).</w:t>
      </w:r>
      <w:r w:rsidR="00415F68" w:rsidRPr="00415F68">
        <w:rPr>
          <w:rtl/>
        </w:rPr>
        <w:t xml:space="preserve"> </w:t>
      </w:r>
      <w:r w:rsidR="00415F68" w:rsidRPr="00415F68">
        <w:rPr>
          <w:rFonts w:asciiTheme="minorBidi" w:hAnsiTheme="minorBidi" w:cs="Arial"/>
          <w:rtl/>
        </w:rPr>
        <w:t>עיין במ"ב דכתבנו דחייב ע"ז משום נטילת נשמה כ"כ המ"א וכן משמע בב"י דהוא ס"ל לדינא דשחורה הקופצת שלנו הוא הפרעוש האמור בגמרא דחייב עליה לד"ה וכן משמע מביאור הגר"א [ודלא כפמ"ג דרצה לומר דמחבר ספוקי מספקא ליה] ומה שכתב בלשון אסור ולא קאמר דההורגו חייב משום דכונת המחבר הוא דאפילו באופן דעוקצו ורוצה להרגו משום זה כדי שלא יעקצנו עוד אפ"ה אסור כמו שכתב בב"י בהדיא ובאופן זה בודאי אינו צריך לגופו של הפרעוש והו"ל מלאכה שאצ"ל ולרוב הפוסקים פטור מחטאת אבל מ"מ איסורא יש לכו"ע כ"ז משמע מביאור הגר"א והוא פשוט ומה שאמר בגמרא דפרעוש חייב עליה לד"ה היינו כשצריך להן לאיזה דבר דבזה אפילו ר' יהושע דפוטר בצידה מודה בהריגה דחייב אבל כשאינו צריך להן כלל תליא בפלוגתא דמשאצ"ל ובע"כ מוכרחין לומר כן דהרמב"ן כתב בהדיא דדעת הרי"ף כר"ש ומ"מ הביא הרי"ף דההורג פרעוש חייב. ומש"כ במ"ב דאפילו עוקצו אסור להרגו כ"כ הב"י ולא דמי לצידה דמקילינן בעוקצו היינו לפי שאין במינו ניצוד וליכא איסור דאורייתא כלל בזה משא"כ בהריגה דכשצריך לגופה חייב לכך לא מקילינן משום צערא בעלמא אפילו כשאינו צריך לה</w:t>
      </w:r>
      <w:r w:rsidR="00415F68">
        <w:rPr>
          <w:rFonts w:asciiTheme="minorBidi" w:hAnsiTheme="minorBidi" w:hint="cs"/>
          <w:rtl/>
        </w:rPr>
        <w:t>, ביאור הלכה (ד"ה ואסור להרגו).</w:t>
      </w:r>
    </w:p>
  </w:footnote>
  <w:footnote w:id="2495">
    <w:p w14:paraId="0444526C"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ומ"מ נ"ל דמותר לזרקן במים וכ"מ בגמ', מג"א (סקכ"א).</w:t>
      </w:r>
    </w:p>
  </w:footnote>
  <w:footnote w:id="2496">
    <w:p w14:paraId="4C1AB09B"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וכן המפלה גופו, ומתוך דלא שכיח שיפלה אדם בגופו לא גזרי, ט"ז (סק"ט).</w:t>
      </w:r>
    </w:p>
  </w:footnote>
  <w:footnote w:id="2497">
    <w:p w14:paraId="36F60D11"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ההורגין, רש"י.</w:t>
      </w:r>
    </w:p>
  </w:footnote>
  <w:footnote w:id="2498">
    <w:p w14:paraId="18600817"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וקא סלקא דעתך אפילו אין רצין אחריו, ומשום דסבירא ליה כר' שמעון דמלאכה שאינה צריכה לגופה מדרבנן היא דאסירא, והכא לא גזור, רש"י.</w:t>
      </w:r>
    </w:p>
  </w:footnote>
  <w:footnote w:id="2499">
    <w:p w14:paraId="372315B3"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אפילו אין רצין אחריו משום דסבירא ליה דסתמן הורגין הן, רש"י.</w:t>
      </w:r>
    </w:p>
  </w:footnote>
  <w:footnote w:id="2500">
    <w:p w14:paraId="58044878"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והיכי שרי במלאכה גמורה כשאין רצין אחריו, דליכא פקוח נפש?, רש"י.</w:t>
      </w:r>
    </w:p>
  </w:footnote>
  <w:footnote w:id="2501">
    <w:p w14:paraId="375D18A2"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דרב יוסף הוא מתני ליה כדלקמן, ולא בדבי ר' חייא ור' אושעיא מיתנייא, וכל מתניתא דלא מתנייא בתוספתא דר' חייא ור' אושעיא - איכא לספוקי במשבשתא, ולא מותבינן מינה, רש"י.</w:t>
      </w:r>
    </w:p>
  </w:footnote>
  <w:footnote w:id="2502">
    <w:p w14:paraId="0986CE0E"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במתניתא דידי, ואנא אותבינא בבי מדרשא אדר' יהושע בן לוי, רש"י.</w:t>
      </w:r>
    </w:p>
  </w:footnote>
  <w:footnote w:id="2503">
    <w:p w14:paraId="139BA257"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דלא תיקשי, כי אמר ר' יהושע בן לוי כל המזיקין נהרגין - ברצין אחריו קאמר, דפקוח נפש הוא, רש"י.</w:t>
      </w:r>
    </w:p>
  </w:footnote>
  <w:footnote w:id="2504">
    <w:p w14:paraId="5D4F93D1" w14:textId="42D05631" w:rsidR="00AB6686" w:rsidRDefault="00AB6686" w:rsidP="00285819">
      <w:pPr>
        <w:pStyle w:val="a7"/>
      </w:pPr>
      <w:r>
        <w:rPr>
          <w:rStyle w:val="a9"/>
        </w:rPr>
        <w:footnoteRef/>
      </w:r>
      <w:r>
        <w:rPr>
          <w:rtl/>
        </w:rPr>
        <w:t xml:space="preserve"> </w:t>
      </w:r>
      <w:r w:rsidRPr="00351DFA">
        <w:rPr>
          <w:rFonts w:asciiTheme="minorBidi" w:hAnsiTheme="minorBidi" w:cs="Arial"/>
          <w:rtl/>
        </w:rPr>
        <w:t>ודעת הרי"ף (מה:) והרא"ש (סי' יא) כפירוש רש"י</w:t>
      </w:r>
      <w:r>
        <w:rPr>
          <w:rFonts w:asciiTheme="minorBidi" w:hAnsiTheme="minorBidi" w:cs="Arial" w:hint="cs"/>
          <w:rtl/>
        </w:rPr>
        <w:t>,</w:t>
      </w:r>
      <w:r w:rsidRPr="00351DFA">
        <w:rPr>
          <w:rFonts w:asciiTheme="minorBidi" w:hAnsiTheme="minorBidi" w:cs="Arial"/>
          <w:rtl/>
        </w:rPr>
        <w:t xml:space="preserve"> שכתבו חמשה נהרגין בשבת ואלו הם זבוב שבמצרים וכו' ושאר כל המזיקין אם היו רצין אחריו מותר להורגן לדברי הכל</w:t>
      </w:r>
      <w:r>
        <w:rPr>
          <w:rFonts w:asciiTheme="minorBidi" w:hAnsiTheme="minorBidi" w:cs="Arial" w:hint="cs"/>
          <w:rtl/>
        </w:rPr>
        <w:t>.</w:t>
      </w:r>
      <w:r w:rsidRPr="00351DFA">
        <w:rPr>
          <w:rFonts w:asciiTheme="minorBidi" w:hAnsiTheme="minorBidi" w:cs="Arial"/>
          <w:rtl/>
        </w:rPr>
        <w:t xml:space="preserve"> וכך הם דברי רבינו שכתב חמשה נהרגין בכל ענין</w:t>
      </w:r>
      <w:r>
        <w:rPr>
          <w:rFonts w:asciiTheme="minorBidi" w:hAnsiTheme="minorBidi" w:cs="Arial" w:hint="cs"/>
          <w:rtl/>
        </w:rPr>
        <w:t>.</w:t>
      </w:r>
      <w:r w:rsidRPr="00351DFA">
        <w:rPr>
          <w:rFonts w:asciiTheme="minorBidi" w:hAnsiTheme="minorBidi" w:cs="Arial"/>
          <w:rtl/>
        </w:rPr>
        <w:t xml:space="preserve"> וכן פסק הרמב"ם בפרק י"א (ה"ד). וכתב הרב המגיד</w:t>
      </w:r>
      <w:r>
        <w:rPr>
          <w:rFonts w:asciiTheme="minorBidi" w:hAnsiTheme="minorBidi" w:cs="Arial" w:hint="cs"/>
          <w:rtl/>
        </w:rPr>
        <w:t>-</w:t>
      </w:r>
      <w:r w:rsidRPr="00351DFA">
        <w:rPr>
          <w:rFonts w:asciiTheme="minorBidi" w:hAnsiTheme="minorBidi" w:cs="Arial"/>
          <w:rtl/>
        </w:rPr>
        <w:t xml:space="preserve"> וזה דעת הרמב"ן (מלחמות מה: וחי' קכא: ד"ה ברצין) והרשב"א (חי' שם ד"ה ברצין) בעיקרי הדין</w:t>
      </w:r>
      <w:r>
        <w:rPr>
          <w:rFonts w:asciiTheme="minorBidi" w:hAnsiTheme="minorBidi" w:cs="Arial" w:hint="cs"/>
          <w:rtl/>
        </w:rPr>
        <w:t>,</w:t>
      </w:r>
      <w:r w:rsidRPr="00351DFA">
        <w:rPr>
          <w:rFonts w:asciiTheme="minorBidi" w:hAnsiTheme="minorBidi" w:cs="Arial"/>
          <w:rtl/>
        </w:rPr>
        <w:t xml:space="preserve"> אבל כתבו שהיתר אלו המנויין בשאין רצין דוקא הוא כרבי שמעון שפטר מלאכה שאינה צריכה לגופה</w:t>
      </w:r>
      <w:r>
        <w:rPr>
          <w:rFonts w:asciiTheme="minorBidi" w:hAnsiTheme="minorBidi" w:cs="Arial" w:hint="cs"/>
          <w:rtl/>
        </w:rPr>
        <w:t>,</w:t>
      </w:r>
      <w:r w:rsidRPr="00351DFA">
        <w:rPr>
          <w:rFonts w:asciiTheme="minorBidi" w:hAnsiTheme="minorBidi" w:cs="Arial"/>
          <w:rtl/>
        </w:rPr>
        <w:t xml:space="preserve"> אבל לרבי יהודה אסור הוא שאין זה פיקוח נפש גמור כיון שאין רצין אחריו</w:t>
      </w:r>
      <w:r>
        <w:rPr>
          <w:rFonts w:asciiTheme="minorBidi" w:hAnsiTheme="minorBidi" w:cs="Arial" w:hint="cs"/>
          <w:rtl/>
        </w:rPr>
        <w:t>.</w:t>
      </w:r>
      <w:r w:rsidRPr="00351DFA">
        <w:rPr>
          <w:rFonts w:asciiTheme="minorBidi" w:hAnsiTheme="minorBidi" w:cs="Arial"/>
          <w:rtl/>
        </w:rPr>
        <w:t xml:space="preserve"> וזה שלא כדברי רבינו שפסק כרבי יהודה (פרק א ה"ז) ופסק כאן כן</w:t>
      </w:r>
      <w:r>
        <w:rPr>
          <w:rFonts w:asciiTheme="minorBidi" w:hAnsiTheme="minorBidi" w:cs="Arial" w:hint="cs"/>
          <w:rtl/>
        </w:rPr>
        <w:t>,</w:t>
      </w:r>
      <w:r w:rsidRPr="00351DFA">
        <w:rPr>
          <w:rFonts w:asciiTheme="minorBidi" w:hAnsiTheme="minorBidi" w:cs="Arial"/>
          <w:rtl/>
        </w:rPr>
        <w:t xml:space="preserve"> ונראה שדעתו ז"ל שפיקוח נפש הוא בהראותן בלבד עכ"ל</w:t>
      </w:r>
      <w:r>
        <w:rPr>
          <w:rFonts w:asciiTheme="minorBidi" w:hAnsiTheme="minorBidi" w:cs="Arial" w:hint="cs"/>
          <w:rtl/>
        </w:rPr>
        <w:t>.</w:t>
      </w:r>
      <w:r w:rsidRPr="00351DFA">
        <w:rPr>
          <w:rFonts w:asciiTheme="minorBidi" w:hAnsiTheme="minorBidi" w:cs="Arial"/>
          <w:rtl/>
        </w:rPr>
        <w:t xml:space="preserve"> כלומר שהרמב"ם יפרש דכי אמרינן ברצו אחריו ודברי הכל היינו לומר דכי שרי רבי יהושע בן לוי שאר מזיקין ברצו אחריו ולדברי הכל שרי והא דתניא חמשה נהרגין אפילו בלא רצו אחריו היא ורבי יהודה נמי שרי בהו לפי שהיזקן מצוי הוי פיקוח נפש בהראותן בלבד וכו'</w:t>
      </w:r>
      <w:r>
        <w:rPr>
          <w:rFonts w:asciiTheme="minorBidi" w:hAnsiTheme="minorBidi" w:cs="Arial" w:hint="cs"/>
          <w:rtl/>
        </w:rPr>
        <w:t>, ב"י.</w:t>
      </w:r>
    </w:p>
  </w:footnote>
  <w:footnote w:id="2505">
    <w:p w14:paraId="52DF6BB0" w14:textId="45EF0064" w:rsidR="00497229" w:rsidRDefault="00497229" w:rsidP="00285819">
      <w:pPr>
        <w:pStyle w:val="a7"/>
        <w:rPr>
          <w:rtl/>
        </w:rPr>
      </w:pPr>
      <w:r>
        <w:rPr>
          <w:rStyle w:val="a9"/>
        </w:rPr>
        <w:footnoteRef/>
      </w:r>
      <w:r>
        <w:rPr>
          <w:rtl/>
        </w:rPr>
        <w:t xml:space="preserve"> </w:t>
      </w:r>
      <w:r w:rsidRPr="00351DFA">
        <w:rPr>
          <w:rFonts w:asciiTheme="minorBidi" w:hAnsiTheme="minorBidi" w:cs="Arial"/>
          <w:rtl/>
        </w:rPr>
        <w:t>פירוש אפילו רבי יהודה מודה דחמשה שרי להרוג ברצין אחריו אבל שאר אסור להרגן אפילו רצין אחריו לרבי יהודה</w:t>
      </w:r>
      <w:r>
        <w:rPr>
          <w:rFonts w:hint="cs"/>
          <w:rtl/>
        </w:rPr>
        <w:t>, תוס' (שם).</w:t>
      </w:r>
    </w:p>
  </w:footnote>
  <w:footnote w:id="2506">
    <w:p w14:paraId="79F591AE" w14:textId="05D6BAE7" w:rsidR="00497229" w:rsidRDefault="00497229" w:rsidP="00285819">
      <w:pPr>
        <w:pStyle w:val="a7"/>
      </w:pPr>
      <w:r>
        <w:rPr>
          <w:rStyle w:val="a9"/>
        </w:rPr>
        <w:footnoteRef/>
      </w:r>
      <w:r>
        <w:rPr>
          <w:rtl/>
        </w:rPr>
        <w:t xml:space="preserve"> </w:t>
      </w:r>
      <w:r w:rsidRPr="00351DFA">
        <w:rPr>
          <w:rFonts w:asciiTheme="minorBidi" w:hAnsiTheme="minorBidi" w:cs="Arial"/>
          <w:rtl/>
        </w:rPr>
        <w:t>ורב הונא דאסר בסמוך לא סבר כרבי יהושע בן לוי</w:t>
      </w:r>
      <w:r>
        <w:rPr>
          <w:rFonts w:asciiTheme="minorBidi" w:hAnsiTheme="minorBidi" w:cs="Arial" w:hint="cs"/>
          <w:rtl/>
        </w:rPr>
        <w:t>.</w:t>
      </w:r>
      <w:r w:rsidRPr="00351DFA">
        <w:rPr>
          <w:rFonts w:asciiTheme="minorBidi" w:hAnsiTheme="minorBidi" w:cs="Arial"/>
          <w:rtl/>
        </w:rPr>
        <w:t xml:space="preserve"> ונראה לר"י וכן פירש רבנו חננאל שאין להקל כרבי יהושע בן לוי אלא כהנהו אמוראי דלקמן דלא שרו אלא בדריסה לפי תומו</w:t>
      </w:r>
      <w:r>
        <w:rPr>
          <w:rFonts w:asciiTheme="minorBidi" w:hAnsiTheme="minorBidi" w:cs="Arial" w:hint="cs"/>
          <w:rtl/>
        </w:rPr>
        <w:t>, תוס' (שם).</w:t>
      </w:r>
    </w:p>
  </w:footnote>
  <w:footnote w:id="2507">
    <w:p w14:paraId="19F36DE5" w14:textId="3C5758A6" w:rsidR="00BF3D93" w:rsidRDefault="00BF3D93" w:rsidP="00285819">
      <w:pPr>
        <w:pStyle w:val="a7"/>
      </w:pPr>
      <w:r>
        <w:rPr>
          <w:rStyle w:val="a9"/>
        </w:rPr>
        <w:footnoteRef/>
      </w:r>
      <w:r>
        <w:rPr>
          <w:rtl/>
        </w:rPr>
        <w:t xml:space="preserve"> </w:t>
      </w:r>
      <w:r w:rsidRPr="007C5716">
        <w:rPr>
          <w:rFonts w:asciiTheme="minorBidi" w:hAnsiTheme="minorBidi" w:cs="Arial"/>
          <w:rtl/>
        </w:rPr>
        <w:t xml:space="preserve">נראה מדברי הרמב"ם </w:t>
      </w:r>
      <w:r w:rsidRPr="007C5716">
        <w:rPr>
          <w:rFonts w:asciiTheme="minorBidi" w:hAnsiTheme="minorBidi" w:cs="Arial" w:hint="cs"/>
          <w:rtl/>
        </w:rPr>
        <w:t>(שם)</w:t>
      </w:r>
      <w:r w:rsidRPr="007C5716">
        <w:rPr>
          <w:rFonts w:asciiTheme="minorBidi" w:hAnsiTheme="minorBidi" w:cs="Arial" w:hint="cs"/>
        </w:rPr>
        <w:t xml:space="preserve"> </w:t>
      </w:r>
      <w:r w:rsidRPr="007C5716">
        <w:rPr>
          <w:rFonts w:asciiTheme="minorBidi" w:hAnsiTheme="minorBidi" w:cs="Arial"/>
          <w:rtl/>
        </w:rPr>
        <w:t>דהני חמשה לאו דוקא</w:t>
      </w:r>
      <w:r w:rsidRPr="007C5716">
        <w:rPr>
          <w:rFonts w:asciiTheme="minorBidi" w:hAnsiTheme="minorBidi" w:cs="Arial" w:hint="cs"/>
          <w:rtl/>
        </w:rPr>
        <w:t>,</w:t>
      </w:r>
      <w:r w:rsidRPr="007C5716">
        <w:rPr>
          <w:rFonts w:asciiTheme="minorBidi" w:hAnsiTheme="minorBidi" w:cs="Arial"/>
          <w:rtl/>
        </w:rPr>
        <w:t xml:space="preserve"> דהוא הדין לכל חיה ורמש שהם נושכים וממיתים ודאי</w:t>
      </w:r>
      <w:r w:rsidR="00B3395A">
        <w:rPr>
          <w:rFonts w:asciiTheme="minorBidi" w:hAnsiTheme="minorBidi" w:cs="Arial" w:hint="cs"/>
          <w:rtl/>
        </w:rPr>
        <w:t xml:space="preserve"> </w:t>
      </w:r>
      <w:r w:rsidR="00B3395A" w:rsidRPr="0008106C">
        <w:rPr>
          <w:rFonts w:hint="cs"/>
          <w:color w:val="E36C0A" w:themeColor="accent6" w:themeShade="BF"/>
          <w:rtl/>
        </w:rPr>
        <w:t>(וכ"פ בשו"ע)</w:t>
      </w:r>
      <w:r w:rsidRPr="007C5716">
        <w:rPr>
          <w:rFonts w:asciiTheme="minorBidi" w:hAnsiTheme="minorBidi" w:cs="Arial"/>
          <w:rtl/>
        </w:rPr>
        <w:t>. ולפי זה כי אמרינן דשאר מזיקין אם רצין אחריו נהרגין</w:t>
      </w:r>
      <w:r w:rsidRPr="007C5716">
        <w:rPr>
          <w:rFonts w:asciiTheme="minorBidi" w:hAnsiTheme="minorBidi" w:cs="Arial" w:hint="cs"/>
          <w:rtl/>
        </w:rPr>
        <w:t>,</w:t>
      </w:r>
      <w:r w:rsidRPr="007C5716">
        <w:rPr>
          <w:rFonts w:asciiTheme="minorBidi" w:hAnsiTheme="minorBidi" w:cs="Arial"/>
          <w:rtl/>
        </w:rPr>
        <w:t xml:space="preserve"> בשאינם ממיתין בודאי אלא ספק ממיתין ספק אין ממיתין</w:t>
      </w:r>
      <w:r w:rsidRPr="007C5716">
        <w:rPr>
          <w:rFonts w:asciiTheme="minorBidi" w:hAnsiTheme="minorBidi" w:cs="Arial" w:hint="cs"/>
          <w:rtl/>
        </w:rPr>
        <w:t>.</w:t>
      </w:r>
      <w:r w:rsidRPr="007C5716">
        <w:rPr>
          <w:rFonts w:asciiTheme="minorBidi" w:hAnsiTheme="minorBidi" w:cs="Arial"/>
          <w:rtl/>
        </w:rPr>
        <w:t xml:space="preserve"> וכיון שהם ספק ממיתין ברצין אחריו </w:t>
      </w:r>
      <w:r>
        <w:rPr>
          <w:rFonts w:asciiTheme="minorBidi" w:hAnsiTheme="minorBidi" w:cs="Arial" w:hint="cs"/>
          <w:rtl/>
        </w:rPr>
        <w:t xml:space="preserve">- </w:t>
      </w:r>
      <w:r w:rsidRPr="007C5716">
        <w:rPr>
          <w:rFonts w:asciiTheme="minorBidi" w:hAnsiTheme="minorBidi" w:cs="Arial"/>
          <w:rtl/>
        </w:rPr>
        <w:t>הוי ספק פיקוח נפש</w:t>
      </w:r>
      <w:r w:rsidRPr="007C5716">
        <w:rPr>
          <w:rFonts w:asciiTheme="minorBidi" w:hAnsiTheme="minorBidi" w:cs="Arial" w:hint="cs"/>
          <w:rtl/>
        </w:rPr>
        <w:t>,</w:t>
      </w:r>
      <w:r w:rsidRPr="007C5716">
        <w:rPr>
          <w:rFonts w:asciiTheme="minorBidi" w:hAnsiTheme="minorBidi" w:cs="Arial"/>
          <w:rtl/>
        </w:rPr>
        <w:t xml:space="preserve"> דאל</w:t>
      </w:r>
      <w:r w:rsidRPr="007C5716">
        <w:rPr>
          <w:rFonts w:asciiTheme="minorBidi" w:hAnsiTheme="minorBidi" w:cs="Arial" w:hint="cs"/>
          <w:rtl/>
        </w:rPr>
        <w:t>"</w:t>
      </w:r>
      <w:r w:rsidRPr="007C5716">
        <w:rPr>
          <w:rFonts w:asciiTheme="minorBidi" w:hAnsiTheme="minorBidi" w:cs="Arial"/>
          <w:rtl/>
        </w:rPr>
        <w:t>כ לא הוה שרי לרבי יהודה דמחייב במלאכה שאינה צריכה לגופה. ומיהו למאן דסבירא ליה כרבי שמעון אפשר דאע</w:t>
      </w:r>
      <w:r w:rsidRPr="007C5716">
        <w:rPr>
          <w:rFonts w:asciiTheme="minorBidi" w:hAnsiTheme="minorBidi" w:cs="Arial" w:hint="cs"/>
          <w:rtl/>
        </w:rPr>
        <w:t>"</w:t>
      </w:r>
      <w:r w:rsidRPr="007C5716">
        <w:rPr>
          <w:rFonts w:asciiTheme="minorBidi" w:hAnsiTheme="minorBidi" w:cs="Arial"/>
          <w:rtl/>
        </w:rPr>
        <w:t>ג דלית בהו ספק פיקוח נפש שרי משום צערא</w:t>
      </w:r>
      <w:r>
        <w:rPr>
          <w:rFonts w:asciiTheme="minorBidi" w:hAnsiTheme="minorBidi" w:cs="Arial" w:hint="cs"/>
          <w:sz w:val="16"/>
          <w:szCs w:val="16"/>
          <w:rtl/>
        </w:rPr>
        <w:t xml:space="preserve"> {ופרעושים אינם בכלל זה, וכמש"כ הב"י לעיל</w:t>
      </w:r>
      <w:r w:rsidR="001F5D84">
        <w:rPr>
          <w:rFonts w:asciiTheme="minorBidi" w:hAnsiTheme="minorBidi" w:cs="Arial" w:hint="cs"/>
          <w:sz w:val="16"/>
          <w:szCs w:val="16"/>
          <w:rtl/>
        </w:rPr>
        <w:t>,</w:t>
      </w:r>
      <w:r>
        <w:rPr>
          <w:rFonts w:asciiTheme="minorBidi" w:hAnsiTheme="minorBidi" w:cs="Arial" w:hint="cs"/>
          <w:sz w:val="16"/>
          <w:szCs w:val="16"/>
          <w:rtl/>
        </w:rPr>
        <w:t xml:space="preserve"> וז</w:t>
      </w:r>
      <w:r w:rsidR="001F5D84">
        <w:rPr>
          <w:rFonts w:asciiTheme="minorBidi" w:hAnsiTheme="minorBidi" w:cs="Arial" w:hint="cs"/>
          <w:sz w:val="16"/>
          <w:szCs w:val="16"/>
          <w:rtl/>
        </w:rPr>
        <w:t>"</w:t>
      </w:r>
      <w:r>
        <w:rPr>
          <w:rFonts w:asciiTheme="minorBidi" w:hAnsiTheme="minorBidi" w:cs="Arial" w:hint="cs"/>
          <w:sz w:val="16"/>
          <w:szCs w:val="16"/>
          <w:rtl/>
        </w:rPr>
        <w:t xml:space="preserve">ל- </w:t>
      </w:r>
      <w:r w:rsidR="001F5D84" w:rsidRPr="001F5D84">
        <w:rPr>
          <w:rFonts w:asciiTheme="minorBidi" w:hAnsiTheme="minorBidi" w:cs="Arial"/>
          <w:sz w:val="16"/>
          <w:szCs w:val="16"/>
          <w:rtl/>
        </w:rPr>
        <w:t>הנך מזיקין דרכן לנשוך נשיכה עוקצת מה שאין כן בפרעושים</w:t>
      </w:r>
      <w:r>
        <w:rPr>
          <w:rFonts w:asciiTheme="minorBidi" w:hAnsiTheme="minorBidi" w:cs="Arial" w:hint="cs"/>
          <w:sz w:val="16"/>
          <w:szCs w:val="16"/>
          <w:rtl/>
        </w:rPr>
        <w:t>}</w:t>
      </w:r>
      <w:r w:rsidRPr="007C5716">
        <w:rPr>
          <w:rFonts w:asciiTheme="minorBidi" w:hAnsiTheme="minorBidi" w:cs="Arial" w:hint="cs"/>
          <w:rtl/>
        </w:rPr>
        <w:t>.</w:t>
      </w:r>
      <w:r w:rsidRPr="007C5716">
        <w:rPr>
          <w:rFonts w:asciiTheme="minorBidi" w:hAnsiTheme="minorBidi" w:cs="Arial"/>
          <w:rtl/>
        </w:rPr>
        <w:t xml:space="preserve"> וכן כתב המרדכי (סי' תב) ו</w:t>
      </w:r>
      <w:r>
        <w:rPr>
          <w:rFonts w:asciiTheme="minorBidi" w:hAnsiTheme="minorBidi" w:cs="Arial" w:hint="cs"/>
          <w:rtl/>
        </w:rPr>
        <w:t xml:space="preserve">ז"ל- </w:t>
      </w:r>
      <w:r w:rsidRPr="007C5716">
        <w:rPr>
          <w:rFonts w:asciiTheme="minorBidi" w:hAnsiTheme="minorBidi" w:cs="Arial"/>
          <w:rtl/>
        </w:rPr>
        <w:t>ושאר כל המזיקין</w:t>
      </w:r>
      <w:r>
        <w:rPr>
          <w:rFonts w:asciiTheme="minorBidi" w:hAnsiTheme="minorBidi" w:cs="Arial" w:hint="cs"/>
          <w:rtl/>
        </w:rPr>
        <w:t>,</w:t>
      </w:r>
      <w:r w:rsidRPr="007C5716">
        <w:rPr>
          <w:rFonts w:asciiTheme="minorBidi" w:hAnsiTheme="minorBidi" w:cs="Arial"/>
          <w:rtl/>
        </w:rPr>
        <w:t xml:space="preserve"> כלומר שאין בהם סכנה</w:t>
      </w:r>
      <w:r>
        <w:rPr>
          <w:rFonts w:asciiTheme="minorBidi" w:hAnsiTheme="minorBidi" w:cs="Arial" w:hint="cs"/>
          <w:rtl/>
        </w:rPr>
        <w:t>,</w:t>
      </w:r>
      <w:r w:rsidRPr="007C5716">
        <w:rPr>
          <w:rFonts w:asciiTheme="minorBidi" w:hAnsiTheme="minorBidi" w:cs="Arial"/>
          <w:rtl/>
        </w:rPr>
        <w:t xml:space="preserve"> אם היו רצין אחריו מותר להרגן</w:t>
      </w:r>
      <w:r w:rsidRPr="007C5716">
        <w:rPr>
          <w:rFonts w:asciiTheme="minorBidi" w:hAnsiTheme="minorBidi" w:cs="Arial" w:hint="cs"/>
          <w:rtl/>
        </w:rPr>
        <w:t>...</w:t>
      </w:r>
      <w:r w:rsidRPr="007C5716">
        <w:rPr>
          <w:rFonts w:asciiTheme="minorBidi" w:hAnsiTheme="minorBidi" w:cs="Arial"/>
          <w:rtl/>
        </w:rPr>
        <w:t xml:space="preserve"> וטעמא משום דסבר כרבי שמעון דאמר מלאכה שאינה צריכה לגופה פטור עליה ומשום צערא פטור עליה ושרי לכתחלה מידי דהוה אמפיס מורסא (קז.) וכיבוי גחלת שלא יזיקו (מב.)</w:t>
      </w:r>
      <w:r>
        <w:rPr>
          <w:rFonts w:asciiTheme="minorBidi" w:hAnsiTheme="minorBidi" w:cs="Arial" w:hint="cs"/>
          <w:sz w:val="16"/>
          <w:szCs w:val="16"/>
          <w:rtl/>
        </w:rPr>
        <w:t xml:space="preserve"> [עכ"ל המרדכי]</w:t>
      </w:r>
      <w:r>
        <w:rPr>
          <w:rFonts w:asciiTheme="minorBidi" w:hAnsiTheme="minorBidi" w:cs="Arial" w:hint="cs"/>
          <w:rtl/>
        </w:rPr>
        <w:t>, ב"י.</w:t>
      </w:r>
    </w:p>
  </w:footnote>
  <w:footnote w:id="2508">
    <w:p w14:paraId="441EC37C" w14:textId="77777777" w:rsidR="00497229" w:rsidRPr="008C1C8E" w:rsidRDefault="00497229"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שהם בכלל שאר מזיקין שאינם ממיתים.</w:t>
      </w:r>
    </w:p>
  </w:footnote>
  <w:footnote w:id="2509">
    <w:p w14:paraId="6B3E5312" w14:textId="77777777" w:rsidR="00497229" w:rsidRDefault="00497229" w:rsidP="00285819">
      <w:pPr>
        <w:pStyle w:val="a7"/>
      </w:pPr>
      <w:r>
        <w:rPr>
          <w:rStyle w:val="a9"/>
        </w:rPr>
        <w:footnoteRef/>
      </w:r>
      <w:r>
        <w:rPr>
          <w:rtl/>
        </w:rPr>
        <w:t xml:space="preserve"> </w:t>
      </w:r>
      <w:r w:rsidRPr="001B45BC">
        <w:rPr>
          <w:rFonts w:cs="Arial"/>
          <w:rtl/>
        </w:rPr>
        <w:t>בשבת, לכלות מזיקין, ואף על פי שאינה מועדת כאלו</w:t>
      </w:r>
      <w:r>
        <w:rPr>
          <w:rFonts w:cs="Arial" w:hint="cs"/>
          <w:rtl/>
        </w:rPr>
        <w:t>, רש"י.</w:t>
      </w:r>
    </w:p>
  </w:footnote>
  <w:footnote w:id="2510">
    <w:p w14:paraId="6CB437A7" w14:textId="331B11B2" w:rsidR="000F716D" w:rsidRDefault="000F716D" w:rsidP="00285819">
      <w:pPr>
        <w:pStyle w:val="a7"/>
        <w:rPr>
          <w:rtl/>
        </w:rPr>
      </w:pPr>
      <w:r>
        <w:rPr>
          <w:rStyle w:val="a9"/>
        </w:rPr>
        <w:footnoteRef/>
      </w:r>
      <w:r>
        <w:rPr>
          <w:rtl/>
        </w:rPr>
        <w:t xml:space="preserve"> </w:t>
      </w:r>
      <w:r w:rsidRPr="000F716D">
        <w:rPr>
          <w:rFonts w:asciiTheme="minorBidi" w:hAnsiTheme="minorBidi" w:cs="Arial"/>
          <w:rtl/>
        </w:rPr>
        <w:t>וכ</w:t>
      </w:r>
      <w:r w:rsidRPr="000F716D">
        <w:rPr>
          <w:rFonts w:asciiTheme="minorBidi" w:hAnsiTheme="minorBidi" w:cs="Arial" w:hint="cs"/>
          <w:rtl/>
        </w:rPr>
        <w:t>"כ</w:t>
      </w:r>
      <w:r w:rsidRPr="000F716D">
        <w:rPr>
          <w:rFonts w:asciiTheme="minorBidi" w:hAnsiTheme="minorBidi" w:cs="Arial"/>
          <w:rtl/>
        </w:rPr>
        <w:t xml:space="preserve"> הה</w:t>
      </w:r>
      <w:r w:rsidRPr="000F716D">
        <w:rPr>
          <w:rFonts w:asciiTheme="minorBidi" w:hAnsiTheme="minorBidi" w:cs="Arial" w:hint="cs"/>
          <w:rtl/>
        </w:rPr>
        <w:t>"מ</w:t>
      </w:r>
      <w:r w:rsidRPr="000F716D">
        <w:rPr>
          <w:rFonts w:asciiTheme="minorBidi" w:hAnsiTheme="minorBidi" w:cs="Arial"/>
          <w:rtl/>
        </w:rPr>
        <w:t xml:space="preserve"> בפי"א (שם) שכן נראה מדברי הרמב"ם</w:t>
      </w:r>
      <w:r>
        <w:rPr>
          <w:rFonts w:hint="cs"/>
          <w:rtl/>
        </w:rPr>
        <w:t>,</w:t>
      </w:r>
      <w:r w:rsidRPr="000F716D">
        <w:rPr>
          <w:rFonts w:hint="cs"/>
          <w:rtl/>
        </w:rPr>
        <w:t xml:space="preserve"> ב"י.</w:t>
      </w:r>
    </w:p>
  </w:footnote>
  <w:footnote w:id="2511">
    <w:p w14:paraId="10A4A352"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דיש פקוח נפש בהראותן בלבד ולפיכך שרי אפי' למ"ד מלאכה שאצל"ג חייב, מג"א (סקכ"ב).</w:t>
      </w:r>
    </w:p>
  </w:footnote>
  <w:footnote w:id="2512">
    <w:p w14:paraId="171A3791" w14:textId="57E248AE"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אפי' להרמב"ם שרי </w:t>
      </w:r>
      <w:r w:rsidR="00E62201">
        <w:rPr>
          <w:rFonts w:asciiTheme="minorBidi" w:hAnsiTheme="minorBidi" w:hint="cs"/>
          <w:rtl/>
        </w:rPr>
        <w:t>(הה"</w:t>
      </w:r>
      <w:r w:rsidRPr="008C1C8E">
        <w:rPr>
          <w:rFonts w:asciiTheme="minorBidi" w:hAnsiTheme="minorBidi"/>
          <w:rtl/>
        </w:rPr>
        <w:t>מ</w:t>
      </w:r>
      <w:r w:rsidR="00E62201">
        <w:rPr>
          <w:rFonts w:asciiTheme="minorBidi" w:hAnsiTheme="minorBidi" w:hint="cs"/>
          <w:rtl/>
        </w:rPr>
        <w:t>],</w:t>
      </w:r>
      <w:r w:rsidRPr="008C1C8E">
        <w:rPr>
          <w:rFonts w:asciiTheme="minorBidi" w:hAnsiTheme="minorBidi"/>
          <w:rtl/>
        </w:rPr>
        <w:t xml:space="preserve"> וצריך טעם לדבר, ונ"ל דוקא בנחש ועקרב שע"פ הרוב הם ממיתים ולכן אף במקום שאין ממיתין מותר לדרסן מפני חשש סכנת נפשות אבל דבר שאין ממית לעולם פשיטא דאסור לדרסו להרמב"ם, ואותן אנשים שהורגים השממית ,שקורין שפי"ן בלשון אשכנז, נ"ל דאיסור גמור הוא דהא אינה מזקת אף דיש לחוש שיפול לתוך המאכל מ"מ מלתא דלא שכיחא הוא ויכול לכסות המאכל וגם אחד מאלף שהיא מסוכנת במאכל לכן יש למחות בידם, מג"א (סקכ"ג).</w:t>
      </w:r>
    </w:p>
  </w:footnote>
  <w:footnote w:id="2513">
    <w:p w14:paraId="63D260AF"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שאין מתכוין למרח ולאשוויי גומות, דאף על גב דממילא ממרח הוא, כי לא מיכוין שרי משום מאיסותא, רש"י.</w:t>
      </w:r>
    </w:p>
  </w:footnote>
  <w:footnote w:id="2514">
    <w:p w14:paraId="6E37A029" w14:textId="1EF4EA1C" w:rsidR="00707402" w:rsidRDefault="00707402" w:rsidP="00285819">
      <w:pPr>
        <w:pStyle w:val="a7"/>
      </w:pPr>
      <w:r>
        <w:rPr>
          <w:rStyle w:val="a9"/>
        </w:rPr>
        <w:footnoteRef/>
      </w:r>
      <w:r>
        <w:rPr>
          <w:rtl/>
        </w:rPr>
        <w:t xml:space="preserve"> </w:t>
      </w:r>
      <w:r>
        <w:rPr>
          <w:rFonts w:hint="cs"/>
          <w:rtl/>
        </w:rPr>
        <w:t xml:space="preserve">וז"ל- </w:t>
      </w:r>
      <w:r w:rsidRPr="00707402">
        <w:rPr>
          <w:rFonts w:cs="Arial"/>
          <w:rtl/>
        </w:rPr>
        <w:t>לא ירוק בקרקע וישוף ברגלו שמא ישוה גומות, ומותר לדרוס הרוק שעל גבי קרקע והולך לפי תומו.</w:t>
      </w:r>
    </w:p>
  </w:footnote>
  <w:footnote w:id="2515">
    <w:p w14:paraId="3825C2C9" w14:textId="4FEA79BC" w:rsidR="0096456E" w:rsidRDefault="0096456E" w:rsidP="00285819">
      <w:pPr>
        <w:pStyle w:val="a7"/>
      </w:pPr>
      <w:r>
        <w:rPr>
          <w:rStyle w:val="a9"/>
        </w:rPr>
        <w:footnoteRef/>
      </w:r>
      <w:r>
        <w:rPr>
          <w:rtl/>
        </w:rPr>
        <w:t xml:space="preserve"> </w:t>
      </w:r>
      <w:r w:rsidRPr="0096456E">
        <w:rPr>
          <w:rFonts w:cs="Arial"/>
          <w:rtl/>
        </w:rPr>
        <w:t>וע"ג רצפה תליא בפלוגתא דסימן של"ז ס"ב גבי כבוד הבית במרוצף ע"ש ולהרמ"א דאוסר שם בכל גווני ה"ה הכא דאסור אף על גבי רצפה וע"ג ספסל לכו"ע שרי דלא שייך בזה אשוויי גומות ומשום מירוח גופא ליכא למיסר דלא שייך מירוח אלא כשממרח איזה דבר ע"ג חבירו וכונתו שיתמרח אבל כאן רוצה שיהיה נבלע</w:t>
      </w:r>
      <w:r>
        <w:rPr>
          <w:rFonts w:cs="Arial" w:hint="cs"/>
          <w:rtl/>
        </w:rPr>
        <w:t>, משנ"ב (סקמ"ט).</w:t>
      </w:r>
    </w:p>
  </w:footnote>
  <w:footnote w:id="2516">
    <w:p w14:paraId="18D3FD75"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מהמג"א (סקכ"ה) משמע דבדבר שיש מאיסותא </w:t>
      </w:r>
      <w:r w:rsidRPr="008C1C8E">
        <w:rPr>
          <w:rFonts w:asciiTheme="minorBidi" w:hAnsiTheme="minorBidi"/>
          <w:sz w:val="16"/>
          <w:szCs w:val="16"/>
          <w:rtl/>
        </w:rPr>
        <w:t>(כגון ליחה היוצאת מן הפה או מן החוטם)</w:t>
      </w:r>
      <w:r w:rsidRPr="008C1C8E">
        <w:rPr>
          <w:rFonts w:asciiTheme="minorBidi" w:hAnsiTheme="minorBidi"/>
          <w:rtl/>
        </w:rPr>
        <w:t xml:space="preserve"> שרי לשפשף מעט כשדורסו לפי תומו, ורק ברוק צריך ליזהר שלא ישפשף אלא רק ידרוס משום שהאידנא אין בזה מאיסותא, אבל בבית הכנסת איכא מאיסותא אף ברוק. </w:t>
      </w:r>
    </w:p>
  </w:footnote>
  <w:footnote w:id="2517">
    <w:p w14:paraId="17AF29DA" w14:textId="695B753B"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w:t>
      </w:r>
      <w:r w:rsidR="0096456E" w:rsidRPr="0096456E">
        <w:rPr>
          <w:rFonts w:asciiTheme="minorBidi" w:hAnsiTheme="minorBidi" w:cs="Arial"/>
          <w:rtl/>
        </w:rPr>
        <w:t>כלומר דלפעמים ממרח ואיכא למיחש שמא ישכח ויכוין וישוה גומות כמש"כ סימן ש"ב ס"ו מ"מ הכא שרי משום מאיסותא</w:t>
      </w:r>
      <w:r w:rsidR="0096456E">
        <w:rPr>
          <w:rFonts w:asciiTheme="minorBidi" w:hAnsiTheme="minorBidi" w:cs="Arial" w:hint="cs"/>
          <w:rtl/>
        </w:rPr>
        <w:t>, משנ"ב (סק"נ).</w:t>
      </w:r>
      <w:r w:rsidR="0096456E" w:rsidRPr="0096456E">
        <w:rPr>
          <w:rFonts w:asciiTheme="minorBidi" w:hAnsiTheme="minorBidi" w:cs="Arial"/>
          <w:rtl/>
        </w:rPr>
        <w:t xml:space="preserve"> </w:t>
      </w:r>
      <w:r w:rsidR="0096456E">
        <w:rPr>
          <w:rFonts w:asciiTheme="minorBidi" w:hAnsiTheme="minorBidi" w:cs="Arial" w:hint="cs"/>
          <w:rtl/>
        </w:rPr>
        <w:t xml:space="preserve">אך הט"ז (סק"י) כתב </w:t>
      </w:r>
      <w:r w:rsidR="0096456E">
        <w:rPr>
          <w:rFonts w:asciiTheme="minorBidi" w:hAnsiTheme="minorBidi" w:hint="cs"/>
          <w:rtl/>
        </w:rPr>
        <w:t>ד</w:t>
      </w:r>
      <w:r w:rsidRPr="008C1C8E">
        <w:rPr>
          <w:rFonts w:asciiTheme="minorBidi" w:hAnsiTheme="minorBidi"/>
          <w:rtl/>
        </w:rPr>
        <w:t>הוי פסיק רישא דמודה ר"ש דאסור בלא מתכוין, הכא מותר משום מאיסותא.</w:t>
      </w:r>
    </w:p>
  </w:footnote>
  <w:footnote w:id="2518">
    <w:p w14:paraId="5765919D" w14:textId="426F2B7D" w:rsidR="0096456E" w:rsidRDefault="0096456E" w:rsidP="00285819">
      <w:pPr>
        <w:pStyle w:val="a7"/>
        <w:rPr>
          <w:rtl/>
        </w:rPr>
      </w:pPr>
      <w:r>
        <w:rPr>
          <w:rStyle w:val="a9"/>
        </w:rPr>
        <w:footnoteRef/>
      </w:r>
      <w:r>
        <w:rPr>
          <w:rtl/>
        </w:rPr>
        <w:t xml:space="preserve"> </w:t>
      </w:r>
      <w:r w:rsidRPr="0096456E">
        <w:rPr>
          <w:rFonts w:cs="Arial"/>
          <w:rtl/>
        </w:rPr>
        <w:t>אע</w:t>
      </w:r>
      <w:r>
        <w:rPr>
          <w:rFonts w:cs="Arial" w:hint="cs"/>
          <w:rtl/>
        </w:rPr>
        <w:t>"</w:t>
      </w:r>
      <w:r w:rsidRPr="0096456E">
        <w:rPr>
          <w:rFonts w:cs="Arial"/>
          <w:rtl/>
        </w:rPr>
        <w:t>פ שבעת שדורס על הרוק מצוי שמשפשף ג"כ מעט</w:t>
      </w:r>
      <w:r>
        <w:rPr>
          <w:rFonts w:cs="Arial" w:hint="cs"/>
          <w:rtl/>
        </w:rPr>
        <w:t>,</w:t>
      </w:r>
      <w:r w:rsidRPr="0096456E">
        <w:rPr>
          <w:rFonts w:cs="Arial"/>
          <w:rtl/>
        </w:rPr>
        <w:t xml:space="preserve"> אעפ"כ התירו משום מאיסותא כיון דלא משפשף הנה והנה ולא הוי פסיק רישיה. ודוקא כשהוא בדרך הלוכו אף שהוא מתכוין לדרוס על הרוק אבל אינו מתכוין למרחו אבל אסור לילך למקום הרוק כדי לדרוס עליו דזה אינו נקרא לפי תומו אלא ילך ויציג רגלו על הרוק ויזהר שלא ישפשף כלל דזה מותר בכל גוונא. כתב המ"א האידנא דליכא דקפיד ברוק משום מאיסותא צריך ליזהר שלא יהיה שום שפשוף כשדורס עליו רק יציג רגלו על הרוק. ובליחה היוצאת מן הפה או מן החוטם ודאי איכא מאיסותא ושרי לדרסו לפי תומו ובבהכ"נ אפילו ברוק שרי לדרוס עליו לפי תומו דנוהגין בו כבוד וכדלעיל בסימן צ' סי"ג ונראה דאפילו בביתו כשהוא מרוצף אין להחמיר ברוק יותר מבליחה</w:t>
      </w:r>
      <w:r>
        <w:rPr>
          <w:rFonts w:hint="cs"/>
          <w:rtl/>
        </w:rPr>
        <w:t>, משנ"ב (סקנ"א).</w:t>
      </w:r>
    </w:p>
  </w:footnote>
  <w:footnote w:id="2519">
    <w:p w14:paraId="6DA9108D" w14:textId="509A29C3" w:rsidR="00811391" w:rsidRDefault="00811391" w:rsidP="00285819">
      <w:pPr>
        <w:pStyle w:val="a7"/>
      </w:pPr>
      <w:r>
        <w:rPr>
          <w:rStyle w:val="a9"/>
        </w:rPr>
        <w:footnoteRef/>
      </w:r>
      <w:r>
        <w:rPr>
          <w:rtl/>
        </w:rPr>
        <w:t xml:space="preserve"> </w:t>
      </w:r>
      <w:r w:rsidRPr="00811391">
        <w:rPr>
          <w:rFonts w:cs="Arial"/>
          <w:rtl/>
        </w:rPr>
        <w:t>אבל בברייתא איכא טובא פטור ומותר</w:t>
      </w:r>
      <w:r>
        <w:rPr>
          <w:rFonts w:cs="Arial" w:hint="cs"/>
          <w:rtl/>
        </w:rPr>
        <w:t xml:space="preserve">, </w:t>
      </w:r>
      <w:r w:rsidRPr="00811391">
        <w:rPr>
          <w:rFonts w:cs="Arial"/>
          <w:rtl/>
        </w:rPr>
        <w:t xml:space="preserve">קרבן נתנאל </w:t>
      </w:r>
      <w:r>
        <w:rPr>
          <w:rFonts w:cs="Arial" w:hint="cs"/>
          <w:rtl/>
        </w:rPr>
        <w:t>(</w:t>
      </w:r>
      <w:r w:rsidRPr="00811391">
        <w:rPr>
          <w:rFonts w:cs="Arial"/>
          <w:rtl/>
        </w:rPr>
        <w:t>ביצה פ</w:t>
      </w:r>
      <w:r>
        <w:rPr>
          <w:rFonts w:cs="Arial" w:hint="cs"/>
          <w:rtl/>
        </w:rPr>
        <w:t>"</w:t>
      </w:r>
      <w:r w:rsidRPr="00811391">
        <w:rPr>
          <w:rFonts w:cs="Arial"/>
          <w:rtl/>
        </w:rPr>
        <w:t>ג סי</w:t>
      </w:r>
      <w:r>
        <w:rPr>
          <w:rFonts w:cs="Arial" w:hint="cs"/>
          <w:rtl/>
        </w:rPr>
        <w:t>'</w:t>
      </w:r>
      <w:r w:rsidRPr="00811391">
        <w:rPr>
          <w:rFonts w:cs="Arial"/>
          <w:rtl/>
        </w:rPr>
        <w:t xml:space="preserve"> א </w:t>
      </w:r>
      <w:r>
        <w:rPr>
          <w:rFonts w:cs="Arial" w:hint="cs"/>
          <w:rtl/>
        </w:rPr>
        <w:t>אות</w:t>
      </w:r>
      <w:r w:rsidRPr="00811391">
        <w:rPr>
          <w:rFonts w:cs="Arial"/>
          <w:rtl/>
        </w:rPr>
        <w:t xml:space="preserve"> ז</w:t>
      </w:r>
      <w:r>
        <w:rPr>
          <w:rFonts w:cs="Arial" w:hint="cs"/>
          <w:rtl/>
        </w:rPr>
        <w:t>).</w:t>
      </w:r>
    </w:p>
  </w:footnote>
  <w:footnote w:id="2520">
    <w:p w14:paraId="7B3C82E5" w14:textId="77777777" w:rsidR="0064160A" w:rsidRPr="008C1C8E" w:rsidRDefault="0064160A"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של דגים, הן בריכות של מים, שקורין ויביי"ר (בריכת דגים), ביברין של חיה קרפיפות מוקפין גדר סביב, וכונסין לתוכן חיות הבר, ויולדות ומגדלות שם, רש"י.</w:t>
      </w:r>
    </w:p>
  </w:footnote>
  <w:footnote w:id="2521">
    <w:p w14:paraId="5B767584" w14:textId="77777777" w:rsidR="0064160A" w:rsidRPr="008C1C8E" w:rsidRDefault="0064160A"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אע"ג דשחיטה ואפייה ובשול מאבות מלאכות הן, והותרו לצורך יו"ט טעמא משום דאי אפשר מערב יום טוב, דשחיטה חייש למכמר בשרא, פן יתחמם ויסריח, אבל צידה אפשר לצודו מבעוד יום, ויניחנו במצודתו במים ולא ימות ולמחר יטלהו, רש"י. </w:t>
      </w:r>
    </w:p>
  </w:footnote>
  <w:footnote w:id="2522">
    <w:p w14:paraId="6A873021" w14:textId="77777777" w:rsidR="0064160A" w:rsidRPr="008C1C8E" w:rsidRDefault="0064160A"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המכונסים מאתמול, קס"ד השתא כיון דמוקפים גדר הוו להו כנצודין ועומדין, אבל דגים נשמטין לחורים ולסדקים, והויא צידה ביו"ט, רש"י.</w:t>
      </w:r>
    </w:p>
  </w:footnote>
  <w:footnote w:id="2523">
    <w:p w14:paraId="5F4E4065" w14:textId="77777777" w:rsidR="0064160A" w:rsidRPr="008C1C8E" w:rsidRDefault="0064160A"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שצריך לצודו, רש"י.</w:t>
      </w:r>
    </w:p>
  </w:footnote>
  <w:footnote w:id="2524">
    <w:p w14:paraId="58095DCC" w14:textId="77777777" w:rsidR="0064160A" w:rsidRPr="008C1C8E" w:rsidRDefault="0064160A" w:rsidP="00285819">
      <w:pPr>
        <w:pStyle w:val="a7"/>
        <w:rPr>
          <w:rFonts w:asciiTheme="minorBidi" w:hAnsiTheme="minorBidi"/>
          <w:rtl/>
        </w:rPr>
      </w:pPr>
      <w:r w:rsidRPr="00DC101A">
        <w:rPr>
          <w:rStyle w:val="a9"/>
          <w:rFonts w:asciiTheme="minorBidi" w:hAnsiTheme="minorBidi"/>
          <w:color w:val="000000" w:themeColor="text1"/>
        </w:rPr>
        <w:footnoteRef/>
      </w:r>
      <w:r w:rsidRPr="00DC101A">
        <w:rPr>
          <w:rFonts w:asciiTheme="minorBidi" w:hAnsiTheme="minorBidi"/>
          <w:color w:val="000000" w:themeColor="text1"/>
          <w:rtl/>
        </w:rPr>
        <w:t xml:space="preserve"> </w:t>
      </w:r>
      <w:r w:rsidRPr="007604C2">
        <w:rPr>
          <w:rFonts w:asciiTheme="minorBidi" w:hAnsiTheme="minorBidi" w:cs="Arial"/>
          <w:color w:val="000000" w:themeColor="text1"/>
          <w:rtl/>
        </w:rPr>
        <w:t>בפעם אחת שהוא שוחה עליו לתפשו, אין לו להשמט ממנו</w:t>
      </w:r>
      <w:r w:rsidRPr="007604C2">
        <w:rPr>
          <w:rFonts w:asciiTheme="minorBidi" w:hAnsiTheme="minorBidi"/>
          <w:color w:val="000000" w:themeColor="text1"/>
          <w:rtl/>
        </w:rPr>
        <w:t xml:space="preserve">, </w:t>
      </w:r>
      <w:r w:rsidRPr="0093143E">
        <w:rPr>
          <w:rFonts w:asciiTheme="minorBidi" w:hAnsiTheme="minorBidi"/>
          <w:b/>
          <w:bCs/>
          <w:color w:val="000000" w:themeColor="text1"/>
          <w:rtl/>
        </w:rPr>
        <w:t>רש"י</w:t>
      </w:r>
      <w:r w:rsidRPr="007604C2">
        <w:rPr>
          <w:rFonts w:asciiTheme="minorBidi" w:hAnsiTheme="minorBidi"/>
          <w:color w:val="000000" w:themeColor="text1"/>
          <w:rtl/>
        </w:rPr>
        <w:t>.</w:t>
      </w:r>
      <w:r>
        <w:rPr>
          <w:rFonts w:asciiTheme="minorBidi" w:hAnsiTheme="minorBidi" w:hint="cs"/>
          <w:color w:val="000000" w:themeColor="text1"/>
          <w:rtl/>
        </w:rPr>
        <w:t xml:space="preserve">  </w:t>
      </w:r>
      <w:r w:rsidRPr="007604C2">
        <w:rPr>
          <w:rFonts w:asciiTheme="minorBidi" w:hAnsiTheme="minorBidi"/>
          <w:color w:val="000000" w:themeColor="text1"/>
          <w:rtl/>
        </w:rPr>
        <w:t xml:space="preserve"> </w:t>
      </w:r>
      <w:r w:rsidRPr="0093143E">
        <w:rPr>
          <w:rFonts w:asciiTheme="minorBidi" w:hAnsiTheme="minorBidi" w:cs="Arial"/>
          <w:color w:val="000000" w:themeColor="text1"/>
          <w:rtl/>
        </w:rPr>
        <w:t>ואינו מחוור</w:t>
      </w:r>
      <w:r>
        <w:rPr>
          <w:rFonts w:asciiTheme="minorBidi" w:hAnsiTheme="minorBidi" w:cs="Arial" w:hint="cs"/>
          <w:color w:val="000000" w:themeColor="text1"/>
          <w:rtl/>
        </w:rPr>
        <w:t>,</w:t>
      </w:r>
      <w:r w:rsidRPr="0093143E">
        <w:rPr>
          <w:rFonts w:asciiTheme="minorBidi" w:hAnsiTheme="minorBidi" w:cs="Arial"/>
          <w:color w:val="000000" w:themeColor="text1"/>
          <w:rtl/>
        </w:rPr>
        <w:t xml:space="preserve"> דביבר כזה קטן מבית וזה פשיטא דצדין, וגרסת הספרים שלנו כל דרהיט ומטי ליה בחד שיהיא</w:t>
      </w:r>
      <w:r>
        <w:rPr>
          <w:rFonts w:asciiTheme="minorBidi" w:hAnsiTheme="minorBidi" w:cs="Arial" w:hint="cs"/>
          <w:color w:val="000000" w:themeColor="text1"/>
          <w:rtl/>
        </w:rPr>
        <w:t>,</w:t>
      </w:r>
      <w:r w:rsidRPr="0093143E">
        <w:rPr>
          <w:rFonts w:asciiTheme="minorBidi" w:hAnsiTheme="minorBidi" w:cs="Arial"/>
          <w:color w:val="000000" w:themeColor="text1"/>
          <w:rtl/>
        </w:rPr>
        <w:t xml:space="preserve"> ופי' רבי' חננאל כל שמגיעו בריצה אחת ואינו צריך לפוש בנתים</w:t>
      </w:r>
      <w:r>
        <w:rPr>
          <w:rFonts w:asciiTheme="minorBidi" w:hAnsiTheme="minorBidi" w:cs="Arial" w:hint="cs"/>
          <w:color w:val="000000" w:themeColor="text1"/>
          <w:rtl/>
        </w:rPr>
        <w:t xml:space="preserve">, </w:t>
      </w:r>
      <w:r w:rsidRPr="0093143E">
        <w:rPr>
          <w:rFonts w:asciiTheme="minorBidi" w:hAnsiTheme="minorBidi" w:cs="Arial" w:hint="cs"/>
          <w:b/>
          <w:bCs/>
          <w:color w:val="000000" w:themeColor="text1"/>
          <w:rtl/>
        </w:rPr>
        <w:t>רשב"א</w:t>
      </w:r>
      <w:r>
        <w:rPr>
          <w:rFonts w:asciiTheme="minorBidi" w:hAnsiTheme="minorBidi" w:cs="Arial" w:hint="cs"/>
          <w:color w:val="000000" w:themeColor="text1"/>
          <w:rtl/>
        </w:rPr>
        <w:t xml:space="preserve"> (שם).</w:t>
      </w:r>
      <w:r w:rsidRPr="0093143E">
        <w:rPr>
          <w:rFonts w:asciiTheme="minorBidi" w:hAnsiTheme="minorBidi" w:cs="Arial"/>
          <w:color w:val="000000" w:themeColor="text1"/>
          <w:rtl/>
        </w:rPr>
        <w:t xml:space="preserve"> </w:t>
      </w:r>
      <w:r>
        <w:rPr>
          <w:rFonts w:asciiTheme="minorBidi" w:hAnsiTheme="minorBidi" w:cs="Arial" w:hint="cs"/>
          <w:color w:val="000000" w:themeColor="text1"/>
          <w:rtl/>
        </w:rPr>
        <w:t>וכן גרס הערוך</w:t>
      </w:r>
      <w:r>
        <w:rPr>
          <w:rFonts w:asciiTheme="minorBidi" w:hAnsiTheme="minorBidi" w:hint="cs"/>
          <w:color w:val="000000" w:themeColor="text1"/>
          <w:rtl/>
        </w:rPr>
        <w:t>.</w:t>
      </w:r>
      <w:r w:rsidRPr="008C1C8E">
        <w:rPr>
          <w:rFonts w:asciiTheme="minorBidi" w:hAnsiTheme="minorBidi"/>
          <w:rtl/>
        </w:rPr>
        <w:t xml:space="preserve"> </w:t>
      </w:r>
    </w:p>
  </w:footnote>
  <w:footnote w:id="2525">
    <w:p w14:paraId="7A6045A7" w14:textId="77777777" w:rsidR="0064160A" w:rsidRDefault="0064160A" w:rsidP="00285819">
      <w:pPr>
        <w:pStyle w:val="a7"/>
        <w:rPr>
          <w:rtl/>
        </w:rPr>
      </w:pPr>
      <w:r>
        <w:rPr>
          <w:rStyle w:val="a9"/>
        </w:rPr>
        <w:footnoteRef/>
      </w:r>
      <w:r>
        <w:rPr>
          <w:rtl/>
        </w:rPr>
        <w:t xml:space="preserve"> </w:t>
      </w:r>
      <w:r w:rsidRPr="007604C2">
        <w:rPr>
          <w:rFonts w:cs="Arial"/>
          <w:rtl/>
        </w:rPr>
        <w:t>זויות</w:t>
      </w:r>
      <w:r>
        <w:rPr>
          <w:rFonts w:hint="cs"/>
          <w:rtl/>
        </w:rPr>
        <w:t>, רש"י.</w:t>
      </w:r>
    </w:p>
  </w:footnote>
  <w:footnote w:id="2526">
    <w:p w14:paraId="5A5D231C" w14:textId="77777777" w:rsidR="0064160A" w:rsidRDefault="0064160A" w:rsidP="00285819">
      <w:pPr>
        <w:pStyle w:val="a7"/>
        <w:rPr>
          <w:rtl/>
        </w:rPr>
      </w:pPr>
      <w:r>
        <w:rPr>
          <w:rStyle w:val="a9"/>
        </w:rPr>
        <w:footnoteRef/>
      </w:r>
      <w:r>
        <w:rPr>
          <w:rtl/>
        </w:rPr>
        <w:t xml:space="preserve"> </w:t>
      </w:r>
      <w:r w:rsidRPr="007604C2">
        <w:rPr>
          <w:rFonts w:cs="Arial"/>
          <w:rtl/>
        </w:rPr>
        <w:t>מרוב קטנו וקצרו</w:t>
      </w:r>
      <w:r>
        <w:rPr>
          <w:rFonts w:hint="cs"/>
          <w:rtl/>
        </w:rPr>
        <w:t>, רש"י.</w:t>
      </w:r>
    </w:p>
  </w:footnote>
  <w:footnote w:id="2527">
    <w:p w14:paraId="4218C45C" w14:textId="77777777" w:rsidR="0064160A" w:rsidRPr="008C1C8E" w:rsidRDefault="0064160A"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w:t>
      </w:r>
      <w:r w:rsidRPr="00FB296D">
        <w:rPr>
          <w:rFonts w:asciiTheme="minorBidi" w:hAnsiTheme="minorBidi" w:cs="Arial"/>
          <w:rtl/>
        </w:rPr>
        <w:t>כלומר: שצריך לבקש תחבולות לתפשו, והיינו שיעורא דביבר גדול דלעיל, ואידך ביבר קטן, ורב אשי שערינהו לעיל בחדא שיעורא, ורב יוסף בהאי שיעורא</w:t>
      </w:r>
      <w:r w:rsidRPr="008C1C8E">
        <w:rPr>
          <w:rFonts w:asciiTheme="minorBidi" w:hAnsiTheme="minorBidi"/>
          <w:rtl/>
        </w:rPr>
        <w:t xml:space="preserve">, </w:t>
      </w:r>
      <w:r w:rsidRPr="0093143E">
        <w:rPr>
          <w:rFonts w:asciiTheme="minorBidi" w:hAnsiTheme="minorBidi"/>
          <w:b/>
          <w:bCs/>
          <w:rtl/>
        </w:rPr>
        <w:t>רש"י</w:t>
      </w:r>
      <w:r w:rsidRPr="008C1C8E">
        <w:rPr>
          <w:rFonts w:asciiTheme="minorBidi" w:hAnsiTheme="minorBidi"/>
          <w:rtl/>
        </w:rPr>
        <w:t xml:space="preserve">. </w:t>
      </w:r>
      <w:r>
        <w:rPr>
          <w:rFonts w:asciiTheme="minorBidi" w:hAnsiTheme="minorBidi" w:cs="Arial" w:hint="cs"/>
          <w:rtl/>
        </w:rPr>
        <w:t xml:space="preserve">  </w:t>
      </w:r>
      <w:r w:rsidRPr="0093143E">
        <w:rPr>
          <w:rFonts w:asciiTheme="minorBidi" w:hAnsiTheme="minorBidi" w:cs="Arial"/>
          <w:rtl/>
        </w:rPr>
        <w:t>וא"ת והרי אמרינן לעיל שיעור אחר ופ"ה דאידי ואידי חד שיעורא הוא ודוחק הוא דאם כן אמאי מפרש אותו פעם אחרת והלא פירש לעיל היכי דמי ביבר גדול וכו' לכך נ"ל דלעיל מיירי בבהמה וחיה והכא מיירי בעופות ואע</w:t>
      </w:r>
      <w:r>
        <w:rPr>
          <w:rFonts w:asciiTheme="minorBidi" w:hAnsiTheme="minorBidi" w:cs="Arial" w:hint="cs"/>
          <w:rtl/>
        </w:rPr>
        <w:t>"</w:t>
      </w:r>
      <w:r w:rsidRPr="0093143E">
        <w:rPr>
          <w:rFonts w:asciiTheme="minorBidi" w:hAnsiTheme="minorBidi" w:cs="Arial"/>
          <w:rtl/>
        </w:rPr>
        <w:t>ג דלעיל קאמר הא בביבר מקורה מכל מקום לא פירש שיעור הביבר בכמה לא הוי מחוסר צידה והשתא ניחא דפריך עלה מאווזין ותרנגולין</w:t>
      </w:r>
      <w:r>
        <w:rPr>
          <w:rFonts w:asciiTheme="minorBidi" w:hAnsiTheme="minorBidi" w:hint="cs"/>
          <w:rtl/>
        </w:rPr>
        <w:t xml:space="preserve">, </w:t>
      </w:r>
      <w:r w:rsidRPr="0093143E">
        <w:rPr>
          <w:rFonts w:asciiTheme="minorBidi" w:hAnsiTheme="minorBidi"/>
          <w:b/>
          <w:bCs/>
          <w:rtl/>
        </w:rPr>
        <w:t>תוס'</w:t>
      </w:r>
      <w:r w:rsidRPr="008C1C8E">
        <w:rPr>
          <w:rFonts w:asciiTheme="minorBidi" w:hAnsiTheme="minorBidi"/>
          <w:rtl/>
        </w:rPr>
        <w:t xml:space="preserve"> </w:t>
      </w:r>
      <w:r w:rsidRPr="0093143E">
        <w:rPr>
          <w:rFonts w:asciiTheme="minorBidi" w:hAnsiTheme="minorBidi"/>
          <w:rtl/>
        </w:rPr>
        <w:t>(</w:t>
      </w:r>
      <w:r w:rsidRPr="0093143E">
        <w:rPr>
          <w:rFonts w:asciiTheme="minorBidi" w:hAnsiTheme="minorBidi" w:hint="cs"/>
          <w:rtl/>
        </w:rPr>
        <w:t xml:space="preserve">כד. </w:t>
      </w:r>
      <w:r w:rsidRPr="0093143E">
        <w:rPr>
          <w:rFonts w:asciiTheme="minorBidi" w:hAnsiTheme="minorBidi"/>
          <w:rtl/>
        </w:rPr>
        <w:t>ד"ה כל)</w:t>
      </w:r>
      <w:r>
        <w:rPr>
          <w:rFonts w:asciiTheme="minorBidi" w:hAnsiTheme="minorBidi" w:hint="cs"/>
          <w:rtl/>
        </w:rPr>
        <w:t xml:space="preserve">.  </w:t>
      </w:r>
      <w:r w:rsidRPr="008C1C8E">
        <w:rPr>
          <w:rFonts w:asciiTheme="minorBidi" w:hAnsiTheme="minorBidi"/>
          <w:rtl/>
        </w:rPr>
        <w:t xml:space="preserve"> </w:t>
      </w:r>
      <w:r w:rsidRPr="00D15E12">
        <w:rPr>
          <w:rFonts w:asciiTheme="minorBidi" w:hAnsiTheme="minorBidi" w:cs="Arial"/>
          <w:rtl/>
        </w:rPr>
        <w:t>ולפי דבריו ז"ל קי"ל בחיה כל שאינו מגיעו בריצה אחת אסור ואע</w:t>
      </w:r>
      <w:r>
        <w:rPr>
          <w:rFonts w:asciiTheme="minorBidi" w:hAnsiTheme="minorBidi" w:cs="Arial" w:hint="cs"/>
          <w:rtl/>
        </w:rPr>
        <w:t>"</w:t>
      </w:r>
      <w:r w:rsidRPr="00D15E12">
        <w:rPr>
          <w:rFonts w:asciiTheme="minorBidi" w:hAnsiTheme="minorBidi" w:cs="Arial"/>
          <w:rtl/>
        </w:rPr>
        <w:t>פ שאינו צריך למצודה ובעופות כל שצריך למצודה, אבל מדברי הרי"ף ז"ל יראה דהא דשמואל פליגא אדרב אשי ונקטי' בגמרא הא דשמואל שהוא ז"ל לא הזכיר בהלכות הא דרב אשי אלא הא דשמואל ולפי דבריו בין עוף בין חיה הכל תלוי בהבא מצודה</w:t>
      </w:r>
      <w:r>
        <w:rPr>
          <w:rFonts w:asciiTheme="minorBidi" w:hAnsiTheme="minorBidi" w:hint="cs"/>
          <w:rtl/>
        </w:rPr>
        <w:t xml:space="preserve">, </w:t>
      </w:r>
      <w:r w:rsidRPr="00D15E12">
        <w:rPr>
          <w:rFonts w:asciiTheme="minorBidi" w:hAnsiTheme="minorBidi" w:hint="cs"/>
          <w:b/>
          <w:bCs/>
          <w:rtl/>
        </w:rPr>
        <w:t>רשב"א</w:t>
      </w:r>
      <w:r>
        <w:rPr>
          <w:rFonts w:asciiTheme="minorBidi" w:hAnsiTheme="minorBidi" w:hint="cs"/>
          <w:rtl/>
        </w:rPr>
        <w:t xml:space="preserve"> (שם).</w:t>
      </w:r>
    </w:p>
  </w:footnote>
  <w:footnote w:id="2528">
    <w:p w14:paraId="4B31D96F" w14:textId="77777777" w:rsidR="0064160A" w:rsidRPr="008C1C8E" w:rsidRDefault="0064160A"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סל שמקננין בו, כמו ככלוב מלא עוף (ירמיהו ה), אווזין ותרנגולין באין לערב לכלוב, ונוח לתפשן שם, הלכך הרי הן כנצודין ועומדים, ומותר לצודן אפילו חוץ לכלובן, רש"י.</w:t>
      </w:r>
    </w:p>
  </w:footnote>
  <w:footnote w:id="2529">
    <w:p w14:paraId="526F5343" w14:textId="77777777" w:rsidR="0064160A" w:rsidRPr="008C1C8E" w:rsidRDefault="0064160A"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יוני הבר הן, ושטין ואוכלין בחוץ, רש"י.</w:t>
      </w:r>
    </w:p>
  </w:footnote>
  <w:footnote w:id="2530">
    <w:p w14:paraId="13DA0650" w14:textId="77777777" w:rsidR="0064160A" w:rsidRPr="008C1C8E" w:rsidRDefault="0064160A"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כמין פכין נותנין בחומות הבירות והמגדלים, לקנן שם עופות הבר, רש"י.</w:t>
      </w:r>
    </w:p>
  </w:footnote>
  <w:footnote w:id="2531">
    <w:p w14:paraId="2E30DDCA" w14:textId="77777777" w:rsidR="0064160A" w:rsidRPr="008C1C8E" w:rsidRDefault="0064160A"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הלכך כבהמה הן, וחשיבי מזומן, רש"י.</w:t>
      </w:r>
    </w:p>
  </w:footnote>
  <w:footnote w:id="2532">
    <w:p w14:paraId="23B9671A" w14:textId="77777777" w:rsidR="0064160A" w:rsidRPr="008C1C8E" w:rsidRDefault="0064160A"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יוני שובך עשויין להשמט ולברוח מפני בני אדם, רש"י.</w:t>
      </w:r>
    </w:p>
  </w:footnote>
  <w:footnote w:id="2533">
    <w:p w14:paraId="1AB50652" w14:textId="77777777" w:rsidR="0064160A" w:rsidRPr="008C1C8E" w:rsidRDefault="0064160A"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פורחין עד קינן, וצריך לעלות אחריהן, וגם שם נשמטין ממנו ויורדין, רש"י.</w:t>
      </w:r>
    </w:p>
  </w:footnote>
  <w:footnote w:id="2534">
    <w:p w14:paraId="7ACA95CE" w14:textId="77777777" w:rsidR="001860A1" w:rsidRDefault="001860A1" w:rsidP="00285819">
      <w:pPr>
        <w:pStyle w:val="a7"/>
      </w:pPr>
      <w:r>
        <w:rPr>
          <w:rStyle w:val="a9"/>
        </w:rPr>
        <w:footnoteRef/>
      </w:r>
      <w:r>
        <w:rPr>
          <w:rtl/>
        </w:rPr>
        <w:t xml:space="preserve"> </w:t>
      </w:r>
      <w:r>
        <w:rPr>
          <w:rFonts w:hint="cs"/>
          <w:rtl/>
        </w:rPr>
        <w:t>יוצא שאם הם לא עבידי לרבויי והם בבית לא גדול כל כך שאם לא היו גודלים בין בני אדם היו צריכי מצודה לתופסם - אז מותר גם בשבת.</w:t>
      </w:r>
    </w:p>
  </w:footnote>
  <w:footnote w:id="2535">
    <w:p w14:paraId="1463F504" w14:textId="28947638" w:rsidR="00B41A28" w:rsidRDefault="00B41A28" w:rsidP="00285819">
      <w:pPr>
        <w:pStyle w:val="a7"/>
      </w:pPr>
      <w:r>
        <w:rPr>
          <w:rStyle w:val="a9"/>
        </w:rPr>
        <w:footnoteRef/>
      </w:r>
      <w:r>
        <w:rPr>
          <w:rtl/>
        </w:rPr>
        <w:t xml:space="preserve"> </w:t>
      </w:r>
      <w:r w:rsidRPr="00FC4852">
        <w:rPr>
          <w:rFonts w:asciiTheme="minorBidi" w:hAnsiTheme="minorBidi" w:cs="Arial"/>
          <w:rtl/>
        </w:rPr>
        <w:t>וכתב רש"ל ז"ל בתשובה סימן י', אף שההגהות כתבו והמחמיר תבא עליו ברכה, לא איירי אלא בחצר גדול, אבל בבית או בבית החורף משמע דמותר לכתחלה. וכן כתב הרא"ש ז"ל בפרק אין צדין גבי יום טוב, והוא הדין שבת</w:t>
      </w:r>
      <w:r>
        <w:rPr>
          <w:rFonts w:asciiTheme="minorBidi" w:hAnsiTheme="minorBidi" w:cs="Arial" w:hint="cs"/>
          <w:rtl/>
        </w:rPr>
        <w:t xml:space="preserve">, כנה"ג </w:t>
      </w:r>
      <w:r w:rsidR="00CC2A8C">
        <w:rPr>
          <w:rFonts w:asciiTheme="minorBidi" w:hAnsiTheme="minorBidi" w:cs="Arial" w:hint="cs"/>
          <w:rtl/>
        </w:rPr>
        <w:t>(הגב"י אות ה).</w:t>
      </w:r>
    </w:p>
  </w:footnote>
  <w:footnote w:id="2536">
    <w:p w14:paraId="2E3D88D8" w14:textId="6A53CADD" w:rsidR="00E11C25" w:rsidRDefault="00E11C25" w:rsidP="00285819">
      <w:pPr>
        <w:pStyle w:val="a7"/>
      </w:pPr>
      <w:r>
        <w:rPr>
          <w:rStyle w:val="a9"/>
        </w:rPr>
        <w:footnoteRef/>
      </w:r>
      <w:r>
        <w:rPr>
          <w:rtl/>
        </w:rPr>
        <w:t xml:space="preserve"> </w:t>
      </w:r>
      <w:r w:rsidRPr="00E11C25">
        <w:rPr>
          <w:rFonts w:cs="Arial"/>
          <w:rtl/>
        </w:rPr>
        <w:t>כולל כל מיני בע"ח שהרגילן בבית ונעשו בני תרבות</w:t>
      </w:r>
      <w:r>
        <w:rPr>
          <w:rFonts w:cs="Arial" w:hint="cs"/>
          <w:rtl/>
        </w:rPr>
        <w:t>, משנ"ב (סקנ"ב).</w:t>
      </w:r>
    </w:p>
  </w:footnote>
  <w:footnote w:id="2537">
    <w:p w14:paraId="35EC7BAE" w14:textId="77777777" w:rsidR="00E11C25" w:rsidRPr="008C1C8E" w:rsidRDefault="00E11C25"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היינו אפילו בחוץ</w:t>
      </w:r>
      <w:r w:rsidRPr="008C1C8E">
        <w:rPr>
          <w:rFonts w:asciiTheme="minorBidi" w:hAnsiTheme="minorBidi"/>
          <w:sz w:val="16"/>
          <w:szCs w:val="16"/>
          <w:rtl/>
        </w:rPr>
        <w:t xml:space="preserve"> (ואע"פ שאינו יכול לתפסם בקלות, מנוח"א ח"ג פי"ז ס"ד)</w:t>
      </w:r>
      <w:r w:rsidRPr="008C1C8E">
        <w:rPr>
          <w:rFonts w:asciiTheme="minorBidi" w:hAnsiTheme="minorBidi"/>
          <w:rtl/>
        </w:rPr>
        <w:t xml:space="preserve">, והטעם כיון שהם בני תרבות והורגלו בבית וממילא יחזרו לביתם בערב ונוח לתפסן לכן אף כשיצאו מן הבית הרי הן כניצודין ועומדין ולא שייך בהם צידה, מ"ב (סקנ"ג). </w:t>
      </w:r>
    </w:p>
  </w:footnote>
  <w:footnote w:id="2538">
    <w:p w14:paraId="6EE9E261" w14:textId="32738B75" w:rsidR="00E11C25" w:rsidRDefault="00E11C25" w:rsidP="00285819">
      <w:pPr>
        <w:pStyle w:val="a7"/>
      </w:pPr>
      <w:r>
        <w:rPr>
          <w:rStyle w:val="a9"/>
        </w:rPr>
        <w:footnoteRef/>
      </w:r>
      <w:r>
        <w:rPr>
          <w:rtl/>
        </w:rPr>
        <w:t xml:space="preserve"> </w:t>
      </w:r>
      <w:r w:rsidRPr="00E11C25">
        <w:rPr>
          <w:rFonts w:cs="Arial"/>
          <w:rtl/>
        </w:rPr>
        <w:t>ובלבד שלא יטלם בידו שכל בע"ח הם מוקצים אלא רודף אותם עד שיכנסו למקום צר ונועל בפניהם</w:t>
      </w:r>
      <w:r>
        <w:rPr>
          <w:rFonts w:cs="Arial" w:hint="cs"/>
          <w:rtl/>
        </w:rPr>
        <w:t>, משנ"ב (סקנ"ד).</w:t>
      </w:r>
    </w:p>
  </w:footnote>
  <w:footnote w:id="2539">
    <w:p w14:paraId="1404614E" w14:textId="10CDB75E" w:rsidR="00E11C25" w:rsidRDefault="00E11C25" w:rsidP="00285819">
      <w:pPr>
        <w:pStyle w:val="a7"/>
      </w:pPr>
      <w:r>
        <w:rPr>
          <w:rStyle w:val="a9"/>
        </w:rPr>
        <w:footnoteRef/>
      </w:r>
      <w:r>
        <w:rPr>
          <w:rtl/>
        </w:rPr>
        <w:t xml:space="preserve"> </w:t>
      </w:r>
      <w:r w:rsidRPr="00E11C25">
        <w:rPr>
          <w:rFonts w:cs="Arial"/>
          <w:rtl/>
        </w:rPr>
        <w:t>אבל אם החצר קטן דבלא"ה אין צריכין להם מצודה אפילו איסור דרבנן ליכא</w:t>
      </w:r>
      <w:r>
        <w:rPr>
          <w:rFonts w:cs="Arial" w:hint="cs"/>
          <w:rtl/>
        </w:rPr>
        <w:t>, משנ"ב (סקנ"ה).</w:t>
      </w:r>
    </w:p>
  </w:footnote>
  <w:footnote w:id="2540">
    <w:p w14:paraId="089D5C91" w14:textId="0B637049" w:rsidR="00E11C25" w:rsidRDefault="00E11C25" w:rsidP="00285819">
      <w:pPr>
        <w:pStyle w:val="a7"/>
      </w:pPr>
      <w:r>
        <w:rPr>
          <w:rStyle w:val="a9"/>
        </w:rPr>
        <w:footnoteRef/>
      </w:r>
      <w:r>
        <w:rPr>
          <w:rtl/>
        </w:rPr>
        <w:t xml:space="preserve"> </w:t>
      </w:r>
      <w:r w:rsidRPr="00E11C25">
        <w:rPr>
          <w:rFonts w:cs="Arial"/>
          <w:rtl/>
        </w:rPr>
        <w:t>היינו שעכשיו שנתגדלו בין אנשים אין צריכין להם מצודה כי יבואו מעצמן לביתם לערב ומ"מ כיון שמרדו ואין נוח לתפסם והחצר גדול מחזי כעין צידה ואסור על כל פנים מדרבנן</w:t>
      </w:r>
      <w:r>
        <w:rPr>
          <w:rFonts w:cs="Arial" w:hint="cs"/>
          <w:rtl/>
        </w:rPr>
        <w:t>, משנ"ב (סקנ"ו).</w:t>
      </w:r>
    </w:p>
  </w:footnote>
  <w:footnote w:id="2541">
    <w:p w14:paraId="5F7EF227" w14:textId="0C988167" w:rsidR="00E11C25" w:rsidRDefault="00E11C25" w:rsidP="00285819">
      <w:pPr>
        <w:pStyle w:val="a7"/>
      </w:pPr>
      <w:r>
        <w:rPr>
          <w:rStyle w:val="a9"/>
        </w:rPr>
        <w:footnoteRef/>
      </w:r>
      <w:r>
        <w:rPr>
          <w:rtl/>
        </w:rPr>
        <w:t xml:space="preserve"> </w:t>
      </w:r>
      <w:r w:rsidRPr="00E11C25">
        <w:rPr>
          <w:rFonts w:cs="Arial"/>
          <w:rtl/>
        </w:rPr>
        <w:t>היינו כשהם בחוץ או בפנים בבית גדול שיש בו שיעור צידה דהיינו שלא יכול להשיג בשחיה אחת וכנ"ל בריש הסימן ופסקו האחרונים כהי"א הזה</w:t>
      </w:r>
      <w:r>
        <w:rPr>
          <w:rFonts w:cs="Arial" w:hint="cs"/>
          <w:rtl/>
        </w:rPr>
        <w:t>, משנ"ב (סקנ"ז).</w:t>
      </w:r>
    </w:p>
  </w:footnote>
  <w:footnote w:id="2542">
    <w:p w14:paraId="5A962F90" w14:textId="6FA8FC4A" w:rsidR="00E11C25" w:rsidRDefault="00E11C25" w:rsidP="00285819">
      <w:pPr>
        <w:pStyle w:val="a7"/>
      </w:pPr>
      <w:r>
        <w:rPr>
          <w:rStyle w:val="a9"/>
        </w:rPr>
        <w:footnoteRef/>
      </w:r>
      <w:r>
        <w:rPr>
          <w:rtl/>
        </w:rPr>
        <w:t xml:space="preserve"> </w:t>
      </w:r>
      <w:r w:rsidRPr="00E11C25">
        <w:rPr>
          <w:rFonts w:cs="Arial"/>
          <w:rtl/>
        </w:rPr>
        <w:t>פירוש דבפרה וסוס שהם מיני בהמות לא שייך צידה כלל אפילו מדרבנן אפילו קנה אותם מחדש ועדיין לא הורגלו לבוא לביתו כי אין עשויין להשמט מתחת ידי אדם ומותר לתפוס אותן ולסגור אותן במקום צר ובשאר חיה ועוף שברשותו שעשויין להשמט מידי אדם אף שאין צריכין מצודה לתפסן כי יבואו מעצמן לביתן לערב מ"מ יש בו איסור צידה דרבנן וכל זה בשלא מרדו אבל מרדו אפילו פרה וסוס חייב חטאת עבור צידתן אפילו נתגדלו מתחלה בביתו וזהו שכתב וכ"ש שאר חיה ועוף וכו' והוא שמרדו הפרה והסוס לגמרי וברחו מרשותו עד שצריך לבקש מצודה או איזה תחבולות לתפסו וגם אינן באים לערב לביתו</w:t>
      </w:r>
      <w:r>
        <w:rPr>
          <w:rFonts w:cs="Arial" w:hint="cs"/>
          <w:rtl/>
        </w:rPr>
        <w:t>, משנ"ב (סקנ"ט).</w:t>
      </w:r>
    </w:p>
  </w:footnote>
  <w:footnote w:id="2543">
    <w:p w14:paraId="4D7CB720" w14:textId="408CFEF7" w:rsidR="00333597" w:rsidRDefault="00333597" w:rsidP="00285819">
      <w:pPr>
        <w:pStyle w:val="a7"/>
      </w:pPr>
      <w:r>
        <w:rPr>
          <w:rStyle w:val="a9"/>
        </w:rPr>
        <w:footnoteRef/>
      </w:r>
      <w:r>
        <w:rPr>
          <w:rtl/>
        </w:rPr>
        <w:t xml:space="preserve"> </w:t>
      </w:r>
      <w:r w:rsidRPr="00333597">
        <w:rPr>
          <w:rFonts w:cs="Arial"/>
          <w:rtl/>
        </w:rPr>
        <w:t>ר"ל דאין דינה כבהמה אלא כחיה ועוף ויש בה כל פרטי דיני איסור צידה כמו בהם וכנ"ל</w:t>
      </w:r>
      <w:r>
        <w:rPr>
          <w:rFonts w:cs="Arial" w:hint="cs"/>
          <w:rtl/>
        </w:rPr>
        <w:t>, משנ"ב (סע' קטן סא).</w:t>
      </w:r>
    </w:p>
  </w:footnote>
  <w:footnote w:id="2544">
    <w:p w14:paraId="07DD039B" w14:textId="6E415199"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המנוין באבות מלאכות</w:t>
      </w:r>
      <w:r w:rsidR="00873957">
        <w:rPr>
          <w:rFonts w:asciiTheme="minorBidi" w:hAnsiTheme="minorBidi" w:hint="cs"/>
          <w:rtl/>
        </w:rPr>
        <w:t xml:space="preserve"> (עג.)</w:t>
      </w:r>
      <w:r w:rsidRPr="008C1C8E">
        <w:rPr>
          <w:rFonts w:asciiTheme="minorBidi" w:hAnsiTheme="minorBidi"/>
          <w:rtl/>
        </w:rPr>
        <w:t>, דקתני הקושר והמתיר קשר של קיימא שאינו מתירו לעולם, דומיא דקושרי חוטי יריעות הנפסקות</w:t>
      </w:r>
      <w:r w:rsidR="00873957">
        <w:rPr>
          <w:rFonts w:asciiTheme="minorBidi" w:hAnsiTheme="minorBidi" w:hint="cs"/>
          <w:rtl/>
        </w:rPr>
        <w:t xml:space="preserve"> (עד:)</w:t>
      </w:r>
      <w:r w:rsidRPr="008C1C8E">
        <w:rPr>
          <w:rFonts w:asciiTheme="minorBidi" w:hAnsiTheme="minorBidi"/>
          <w:rtl/>
        </w:rPr>
        <w:t>, רש"י.</w:t>
      </w:r>
    </w:p>
  </w:footnote>
  <w:footnote w:id="2545">
    <w:p w14:paraId="44E0078F"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כדילפינן בכלל גדול </w:t>
      </w:r>
      <w:r w:rsidRPr="008C1C8E">
        <w:rPr>
          <w:rFonts w:asciiTheme="minorBidi" w:hAnsiTheme="minorBidi"/>
          <w:sz w:val="16"/>
          <w:szCs w:val="16"/>
          <w:rtl/>
        </w:rPr>
        <w:t xml:space="preserve">(שבת עד:) </w:t>
      </w:r>
      <w:r w:rsidRPr="008C1C8E">
        <w:rPr>
          <w:rFonts w:asciiTheme="minorBidi" w:hAnsiTheme="minorBidi"/>
          <w:rtl/>
        </w:rPr>
        <w:t>מציידי החלזון, שנצרכין לפרקים להתיר קשרי רשתות הקיימות, כדי לקצרן או להרחיבן, רש"י.</w:t>
      </w:r>
    </w:p>
  </w:footnote>
  <w:footnote w:id="2546">
    <w:p w14:paraId="618EBFE8"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בקשר שהאושכף </w:t>
      </w:r>
      <w:r w:rsidRPr="008C1C8E">
        <w:rPr>
          <w:rFonts w:asciiTheme="minorBidi" w:hAnsiTheme="minorBidi"/>
          <w:sz w:val="16"/>
          <w:szCs w:val="16"/>
          <w:rtl/>
        </w:rPr>
        <w:t xml:space="preserve">{סנדלר} </w:t>
      </w:r>
      <w:r w:rsidRPr="008C1C8E">
        <w:rPr>
          <w:rFonts w:asciiTheme="minorBidi" w:hAnsiTheme="minorBidi"/>
          <w:rtl/>
        </w:rPr>
        <w:t>עושה, כשתוחב הרצועה במנעל קושר קשר מתוכו שלא תוכל לצאת, והוא קיים לעולם, רש"י.</w:t>
      </w:r>
    </w:p>
  </w:footnote>
  <w:footnote w:id="2547">
    <w:p w14:paraId="3C6501A5"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כשקושרים סביב רגלים אין קושרין בדוחק, שפעמים שחולצו כשהוא קשור ונועלו כשהוא קשור, ומיהו, קשר של קיימא לא הוי, שבשעת הטיט מתירין אותו וקושרין אותו בדוחק, שלא ידבק בטיט וישמט מרגליו, רש"י.</w:t>
      </w:r>
    </w:p>
  </w:footnote>
  <w:footnote w:id="2548">
    <w:p w14:paraId="09FCF308"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שהם רחבי לבב ומקפידים על לבושיהן ונעליהן להיות מכוונין, וקושרין אותו בדוחק, וצריך להתירו ערבית, רש"י.</w:t>
      </w:r>
    </w:p>
  </w:footnote>
  <w:footnote w:id="2549">
    <w:p w14:paraId="48043673"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בסנדלים של ישמעאלים סוחרים, שהאושכפים קושרים בהן הרצועות בקשר קבוע, רש"י.</w:t>
      </w:r>
    </w:p>
  </w:footnote>
  <w:footnote w:id="2550">
    <w:p w14:paraId="64A9AAA0"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אלו סנדלים של שאר אנשים, שאין רצועות קבועות בהן על ידי אומן, אלא הם עצמן קושרין אותם בחומרתא בעלמא, וקושרין ומתירין, ופעמים שמתקיים שבת או חדש, רש"י.</w:t>
      </w:r>
    </w:p>
  </w:footnote>
  <w:footnote w:id="2551">
    <w:p w14:paraId="5C039597"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וצריך כל אחד ואחד לקשור לפי רגלו, הלכך בכל יום קושרו ומתירו, רש"י.</w:t>
      </w:r>
    </w:p>
  </w:footnote>
  <w:footnote w:id="2552">
    <w:p w14:paraId="0A86D2B2" w14:textId="77777777" w:rsidR="00D11F73" w:rsidRDefault="00D11F73" w:rsidP="00285819">
      <w:pPr>
        <w:pStyle w:val="a7"/>
        <w:rPr>
          <w:rtl/>
        </w:rPr>
      </w:pPr>
      <w:r>
        <w:rPr>
          <w:rStyle w:val="a9"/>
        </w:rPr>
        <w:footnoteRef/>
      </w:r>
      <w:r>
        <w:rPr>
          <w:rtl/>
        </w:rPr>
        <w:t xml:space="preserve"> </w:t>
      </w:r>
      <w:r>
        <w:rPr>
          <w:rFonts w:asciiTheme="minorBidi" w:hAnsiTheme="minorBidi" w:cs="Arial" w:hint="cs"/>
          <w:rtl/>
        </w:rPr>
        <w:t xml:space="preserve">וז"ל- </w:t>
      </w:r>
      <w:r w:rsidRPr="00676296">
        <w:rPr>
          <w:rFonts w:asciiTheme="minorBidi" w:hAnsiTheme="minorBidi" w:cs="Arial"/>
          <w:rtl/>
        </w:rPr>
        <w:t>מנעל אמנעל לא קשיא הא דתני חייב במנעל דאושכפי דמעשה אומן הוא וקשר של קיימא הוא והא דתני פטור אבל אסור בדרבנן דמעשה הדיוט הוא אלא שהוא קשר של קיימא ולפיכך פטור אבל אסור והא דתני מותר לכתחלה בדבני מחוזא כגון רצועות שיוצאות מגופו של מנעל וקושרין אותו על הרגל ועל השוק אחר שנועלין את המנעל דלאו מעשה אומן ולא קשר של קיימא הוא.</w:t>
      </w:r>
    </w:p>
  </w:footnote>
  <w:footnote w:id="2553">
    <w:p w14:paraId="14963794" w14:textId="77777777" w:rsidR="006A0FD2" w:rsidRDefault="006A0FD2" w:rsidP="00285819">
      <w:pPr>
        <w:pStyle w:val="a7"/>
        <w:rPr>
          <w:rtl/>
        </w:rPr>
      </w:pPr>
      <w:r>
        <w:rPr>
          <w:rStyle w:val="a9"/>
        </w:rPr>
        <w:footnoteRef/>
      </w:r>
      <w:r>
        <w:rPr>
          <w:rtl/>
        </w:rPr>
        <w:t xml:space="preserve"> </w:t>
      </w:r>
      <w:r>
        <w:rPr>
          <w:rFonts w:asciiTheme="minorBidi" w:hAnsiTheme="minorBidi" w:cs="Arial" w:hint="cs"/>
          <w:rtl/>
        </w:rPr>
        <w:t>וה</w:t>
      </w:r>
      <w:r w:rsidRPr="00676296">
        <w:rPr>
          <w:rFonts w:asciiTheme="minorBidi" w:hAnsiTheme="minorBidi" w:cs="Arial"/>
          <w:rtl/>
        </w:rPr>
        <w:t xml:space="preserve">רא"ש </w:t>
      </w:r>
      <w:r w:rsidRPr="00676296">
        <w:rPr>
          <w:rFonts w:asciiTheme="minorBidi" w:hAnsiTheme="minorBidi" w:cs="Arial"/>
          <w:sz w:val="16"/>
          <w:szCs w:val="16"/>
          <w:rtl/>
        </w:rPr>
        <w:t>(סי' א)</w:t>
      </w:r>
      <w:r w:rsidRPr="00676296">
        <w:rPr>
          <w:rFonts w:asciiTheme="minorBidi" w:hAnsiTheme="minorBidi" w:cs="Arial"/>
          <w:rtl/>
        </w:rPr>
        <w:t xml:space="preserve"> כתב על דברי הרי"ף ולא נהירא</w:t>
      </w:r>
      <w:r w:rsidRPr="00676296">
        <w:rPr>
          <w:rFonts w:asciiTheme="minorBidi" w:hAnsiTheme="minorBidi" w:cs="Arial" w:hint="cs"/>
          <w:rtl/>
        </w:rPr>
        <w:t>,</w:t>
      </w:r>
      <w:r w:rsidRPr="00676296">
        <w:rPr>
          <w:rFonts w:asciiTheme="minorBidi" w:hAnsiTheme="minorBidi" w:cs="Arial"/>
          <w:rtl/>
        </w:rPr>
        <w:t xml:space="preserve"> דבקשר של קיימא אין חילוק בין מעשה אומן למעשה הדיוט</w:t>
      </w:r>
      <w:r w:rsidRPr="00676296">
        <w:rPr>
          <w:rFonts w:asciiTheme="minorBidi" w:hAnsiTheme="minorBidi" w:cs="Arial" w:hint="cs"/>
          <w:rtl/>
        </w:rPr>
        <w:t>,</w:t>
      </w:r>
      <w:r w:rsidRPr="00676296">
        <w:rPr>
          <w:rFonts w:asciiTheme="minorBidi" w:hAnsiTheme="minorBidi" w:cs="Arial"/>
          <w:rtl/>
        </w:rPr>
        <w:t xml:space="preserve"> והא דתני פטור אבל אסור בדרבנן פירש רש"י שאין מקפידין להדקן על שוקיהן ויכולין לחלצן ולנעלן בלא התרת הקשר ומכל מקום (הנך) קשר של קיימא לא הוי דבשעת הטיט צריכין להתירן ולהדקן על השוק שלא ישאר בטיט עכ"ל. </w:t>
      </w:r>
      <w:r w:rsidRPr="00AE6D9D">
        <w:rPr>
          <w:rFonts w:asciiTheme="minorBidi" w:hAnsiTheme="minorBidi" w:cs="Arial"/>
          <w:rtl/>
        </w:rPr>
        <w:t>נמצינו למדין דקשר של קיימא מיקרי קשר דבר שדרך לקושרו על דעת שיעמוד לעולם</w:t>
      </w:r>
      <w:r w:rsidRPr="00AE6D9D">
        <w:rPr>
          <w:rFonts w:asciiTheme="minorBidi" w:hAnsiTheme="minorBidi" w:cs="Arial" w:hint="cs"/>
          <w:rtl/>
        </w:rPr>
        <w:t>,</w:t>
      </w:r>
      <w:r w:rsidRPr="00AE6D9D">
        <w:rPr>
          <w:rFonts w:asciiTheme="minorBidi" w:hAnsiTheme="minorBidi" w:cs="Arial"/>
          <w:rtl/>
        </w:rPr>
        <w:t xml:space="preserve"> וקשר שאינו של קיימא דשרי הוא העשוי להתירו בכל יום</w:t>
      </w:r>
      <w:r w:rsidRPr="00AE6D9D">
        <w:rPr>
          <w:rFonts w:asciiTheme="minorBidi" w:hAnsiTheme="minorBidi" w:cs="Arial" w:hint="cs"/>
          <w:rtl/>
        </w:rPr>
        <w:t>.</w:t>
      </w:r>
      <w:r w:rsidRPr="00AE6D9D">
        <w:rPr>
          <w:rFonts w:asciiTheme="minorBidi" w:hAnsiTheme="minorBidi" w:cs="Arial"/>
          <w:rtl/>
        </w:rPr>
        <w:t xml:space="preserve"> ולדעת רש"י והרא"ש קשר העשוי להתקיים ימים רבים אף על פי שקשרו הדיוט חייב חטאת וקשר שאינו עשוי להתקיים ימים רבים אבל עשוי הוא להתקיים ימים מספר כגון סנדלא דרבנן אינו חייב חטאת אבל איסורא מיהא איכא. וכן כתב רבינו</w:t>
      </w:r>
      <w:r>
        <w:rPr>
          <w:rFonts w:asciiTheme="minorBidi" w:hAnsiTheme="minorBidi" w:cs="Arial" w:hint="cs"/>
          <w:rtl/>
        </w:rPr>
        <w:t>, ב"י</w:t>
      </w:r>
      <w:r w:rsidRPr="00AE6D9D">
        <w:rPr>
          <w:rFonts w:asciiTheme="minorBidi" w:hAnsiTheme="minorBidi" w:cs="Arial" w:hint="cs"/>
          <w:rtl/>
        </w:rPr>
        <w:t>.</w:t>
      </w:r>
    </w:p>
  </w:footnote>
  <w:footnote w:id="2554">
    <w:p w14:paraId="0B363E1B" w14:textId="56D7841F" w:rsidR="007214DD" w:rsidRDefault="007214DD" w:rsidP="00285819">
      <w:pPr>
        <w:pStyle w:val="a7"/>
        <w:rPr>
          <w:rtl/>
        </w:rPr>
      </w:pPr>
      <w:r>
        <w:rPr>
          <w:rStyle w:val="a9"/>
        </w:rPr>
        <w:footnoteRef/>
      </w:r>
      <w:r>
        <w:rPr>
          <w:rtl/>
        </w:rPr>
        <w:t xml:space="preserve"> </w:t>
      </w:r>
      <w:r w:rsidRPr="00075FB8">
        <w:rPr>
          <w:rFonts w:cs="Arial"/>
          <w:rtl/>
        </w:rPr>
        <w:t>מה שכתב בענין קשר העשוי להתיר באחת מידיו הוא דעת רבי מאיר בריש אלו קשרים ואינו הלכה</w:t>
      </w:r>
      <w:r w:rsidR="00DE524E">
        <w:rPr>
          <w:rFonts w:cs="Arial" w:hint="cs"/>
          <w:rtl/>
        </w:rPr>
        <w:t>,</w:t>
      </w:r>
      <w:r w:rsidRPr="00075FB8">
        <w:rPr>
          <w:rFonts w:cs="Arial"/>
          <w:rtl/>
        </w:rPr>
        <w:t xml:space="preserve"> ו</w:t>
      </w:r>
      <w:r>
        <w:rPr>
          <w:rFonts w:cs="Arial" w:hint="cs"/>
          <w:rtl/>
        </w:rPr>
        <w:t>צ"ע</w:t>
      </w:r>
      <w:r w:rsidRPr="00075FB8">
        <w:rPr>
          <w:rFonts w:cs="Arial"/>
          <w:rtl/>
        </w:rPr>
        <w:t xml:space="preserve"> למה הביאו ב</w:t>
      </w:r>
      <w:r>
        <w:rPr>
          <w:rFonts w:cs="Arial" w:hint="cs"/>
          <w:rtl/>
        </w:rPr>
        <w:t>"</w:t>
      </w:r>
      <w:r w:rsidRPr="00075FB8">
        <w:rPr>
          <w:rFonts w:cs="Arial"/>
          <w:rtl/>
        </w:rPr>
        <w:t>י</w:t>
      </w:r>
      <w:r>
        <w:rPr>
          <w:rFonts w:cs="Arial" w:hint="cs"/>
          <w:rtl/>
        </w:rPr>
        <w:t>, דרכ"מ (אות ב).</w:t>
      </w:r>
      <w:r w:rsidR="00A3483C">
        <w:rPr>
          <w:rFonts w:hint="cs"/>
          <w:rtl/>
        </w:rPr>
        <w:t xml:space="preserve"> ואולי הביאו משום דהכי תניא בתוספתא בסתם.</w:t>
      </w:r>
    </w:p>
  </w:footnote>
  <w:footnote w:id="2555">
    <w:p w14:paraId="55FBB00A" w14:textId="77777777" w:rsidR="007E2254" w:rsidRDefault="007E2254" w:rsidP="00285819">
      <w:pPr>
        <w:pStyle w:val="a7"/>
      </w:pPr>
      <w:r>
        <w:rPr>
          <w:rStyle w:val="a9"/>
        </w:rPr>
        <w:footnoteRef/>
      </w:r>
      <w:r>
        <w:rPr>
          <w:rtl/>
        </w:rPr>
        <w:t xml:space="preserve"> </w:t>
      </w:r>
      <w:r>
        <w:rPr>
          <w:rFonts w:hint="cs"/>
          <w:rtl/>
        </w:rPr>
        <w:t xml:space="preserve">וז"ל- </w:t>
      </w:r>
      <w:r w:rsidRPr="00873448">
        <w:rPr>
          <w:rFonts w:asciiTheme="minorBidi" w:hAnsiTheme="minorBidi" w:cs="Arial"/>
          <w:rtl/>
        </w:rPr>
        <w:t>ומורי רבינו</w:t>
      </w:r>
      <w:r>
        <w:rPr>
          <w:rFonts w:asciiTheme="minorBidi" w:hAnsiTheme="minorBidi" w:cs="Arial" w:hint="cs"/>
          <w:sz w:val="16"/>
          <w:szCs w:val="16"/>
          <w:rtl/>
        </w:rPr>
        <w:t xml:space="preserve"> {ר"י הזקן}</w:t>
      </w:r>
      <w:r w:rsidRPr="00873448">
        <w:rPr>
          <w:rFonts w:asciiTheme="minorBidi" w:hAnsiTheme="minorBidi" w:cs="Arial"/>
          <w:rtl/>
        </w:rPr>
        <w:t xml:space="preserve"> מפרש מנעל של רבנן כורכין אותו בחוזק וקושרין אלא אין חולצין מנעליהן מרגליהן עד ליל שבת לפי שלומדין בכל הלילות של ימות החול ושוכבין מעט בלבושיהן הילכך פטור אבל אסור. ואם כן אסור לקשור שני ראשים של אבנט ברצועה בתוך המכנסים בשבת כי אם בעניבה וטוב לעשות בראש האבנט כמו שעושין לחגורות כעין בוגל"ש בלעז של ברזל או של מתכת.</w:t>
      </w:r>
    </w:p>
  </w:footnote>
  <w:footnote w:id="2556">
    <w:p w14:paraId="402FE1F7" w14:textId="67A9F4E8" w:rsidR="00660F4B" w:rsidRDefault="005F5D99" w:rsidP="00285819">
      <w:pPr>
        <w:pStyle w:val="a7"/>
        <w:rPr>
          <w:rtl/>
        </w:rPr>
      </w:pPr>
      <w:r>
        <w:rPr>
          <w:rStyle w:val="a9"/>
        </w:rPr>
        <w:footnoteRef/>
      </w:r>
      <w:r>
        <w:rPr>
          <w:rtl/>
        </w:rPr>
        <w:t xml:space="preserve"> </w:t>
      </w:r>
      <w:r w:rsidR="00B05F55">
        <w:rPr>
          <w:rFonts w:hint="cs"/>
          <w:u w:val="single"/>
          <w:rtl/>
        </w:rPr>
        <w:t>ו</w:t>
      </w:r>
      <w:r w:rsidR="00660F4B" w:rsidRPr="00B05F55">
        <w:rPr>
          <w:rFonts w:hint="cs"/>
          <w:u w:val="single"/>
          <w:rtl/>
        </w:rPr>
        <w:t>נחלקו ה</w:t>
      </w:r>
      <w:r w:rsidR="00B05F55">
        <w:rPr>
          <w:rFonts w:hint="cs"/>
          <w:u w:val="single"/>
          <w:rtl/>
        </w:rPr>
        <w:t>פוסקים</w:t>
      </w:r>
      <w:r w:rsidR="00660F4B" w:rsidRPr="00B05F55">
        <w:rPr>
          <w:rFonts w:hint="cs"/>
          <w:u w:val="single"/>
          <w:rtl/>
        </w:rPr>
        <w:t xml:space="preserve"> מאיפה למד הטור מספר זה</w:t>
      </w:r>
      <w:r w:rsidR="00660F4B">
        <w:rPr>
          <w:rFonts w:hint="cs"/>
          <w:rtl/>
        </w:rPr>
        <w:t xml:space="preserve">: </w:t>
      </w:r>
    </w:p>
    <w:p w14:paraId="0B039AAD" w14:textId="065FB434" w:rsidR="005F5D99" w:rsidRDefault="00660F4B" w:rsidP="00285819">
      <w:pPr>
        <w:pStyle w:val="a7"/>
        <w:numPr>
          <w:ilvl w:val="0"/>
          <w:numId w:val="33"/>
        </w:numPr>
      </w:pPr>
      <w:r>
        <w:rPr>
          <w:rFonts w:asciiTheme="minorBidi" w:hAnsiTheme="minorBidi" w:cs="Arial" w:hint="cs"/>
          <w:rtl/>
        </w:rPr>
        <w:t xml:space="preserve">ב"י- </w:t>
      </w:r>
      <w:r w:rsidR="005F5D99" w:rsidRPr="00D9457B">
        <w:rPr>
          <w:rFonts w:asciiTheme="minorBidi" w:hAnsiTheme="minorBidi" w:cs="Arial"/>
          <w:rtl/>
        </w:rPr>
        <w:t xml:space="preserve">במספר הימים שצריך שיהא עשוי להתקיים לשיהיה אסור לקושרו </w:t>
      </w:r>
      <w:r w:rsidR="005F5D99" w:rsidRPr="00AE6D9D">
        <w:rPr>
          <w:rFonts w:asciiTheme="minorBidi" w:hAnsiTheme="minorBidi" w:cs="Arial" w:hint="cs"/>
          <w:sz w:val="16"/>
          <w:szCs w:val="16"/>
          <w:rtl/>
        </w:rPr>
        <w:t>(</w:t>
      </w:r>
      <w:r w:rsidR="005F5D99" w:rsidRPr="00AE6D9D">
        <w:rPr>
          <w:rFonts w:asciiTheme="minorBidi" w:hAnsiTheme="minorBidi" w:cs="Arial"/>
          <w:sz w:val="16"/>
          <w:szCs w:val="16"/>
          <w:rtl/>
        </w:rPr>
        <w:t>נראה מדברי רבינו דכל שהוא עשוי להתקיים יותר מיום אחד אסור</w:t>
      </w:r>
      <w:r w:rsidR="005F5D99" w:rsidRPr="00AE6D9D">
        <w:rPr>
          <w:rFonts w:asciiTheme="minorBidi" w:hAnsiTheme="minorBidi" w:cs="Arial" w:hint="cs"/>
          <w:sz w:val="16"/>
          <w:szCs w:val="16"/>
          <w:rtl/>
        </w:rPr>
        <w:t>,</w:t>
      </w:r>
      <w:r w:rsidR="005F5D99" w:rsidRPr="00AE6D9D">
        <w:rPr>
          <w:rFonts w:asciiTheme="minorBidi" w:hAnsiTheme="minorBidi" w:cs="Arial"/>
          <w:sz w:val="16"/>
          <w:szCs w:val="16"/>
          <w:rtl/>
        </w:rPr>
        <w:t xml:space="preserve"> דהא לא התיר אלא בשעומד להתיר בכל יום דוקא. אלא שאם כן יקשה מה שכתב </w:t>
      </w:r>
      <w:r w:rsidR="005F5D99" w:rsidRPr="00AE6D9D">
        <w:rPr>
          <w:rFonts w:asciiTheme="minorBidi" w:hAnsiTheme="minorBidi" w:cs="Arial" w:hint="cs"/>
          <w:sz w:val="16"/>
          <w:szCs w:val="16"/>
          <w:rtl/>
        </w:rPr>
        <w:t>'</w:t>
      </w:r>
      <w:r w:rsidR="005F5D99" w:rsidRPr="00AE6D9D">
        <w:rPr>
          <w:rFonts w:asciiTheme="minorBidi" w:hAnsiTheme="minorBidi" w:cs="Arial"/>
          <w:sz w:val="16"/>
          <w:szCs w:val="16"/>
          <w:rtl/>
        </w:rPr>
        <w:t>והעומד להתקיים שבעה ימים פטור אבל אסור</w:t>
      </w:r>
      <w:r w:rsidR="005F5D99" w:rsidRPr="00AE6D9D">
        <w:rPr>
          <w:rFonts w:asciiTheme="minorBidi" w:hAnsiTheme="minorBidi" w:cs="Arial" w:hint="cs"/>
          <w:sz w:val="16"/>
          <w:szCs w:val="16"/>
          <w:rtl/>
        </w:rPr>
        <w:t>',</w:t>
      </w:r>
      <w:r w:rsidR="005F5D99" w:rsidRPr="00AE6D9D">
        <w:rPr>
          <w:rFonts w:asciiTheme="minorBidi" w:hAnsiTheme="minorBidi" w:cs="Arial"/>
          <w:sz w:val="16"/>
          <w:szCs w:val="16"/>
          <w:rtl/>
        </w:rPr>
        <w:t xml:space="preserve"> דמשמע הא אם עומד להתקיים פחות משבעה ימים מותר. דאין לומר דנקט שבעה ימים לומר דכל שעשוי להתקיים יותר משבעת ימים חשוב עומד להתקיים לעולם וחייב חטאת</w:t>
      </w:r>
      <w:r w:rsidR="005F5D99" w:rsidRPr="00AE6D9D">
        <w:rPr>
          <w:rFonts w:asciiTheme="minorBidi" w:hAnsiTheme="minorBidi" w:cs="Arial" w:hint="cs"/>
          <w:sz w:val="16"/>
          <w:szCs w:val="16"/>
          <w:rtl/>
        </w:rPr>
        <w:t>,</w:t>
      </w:r>
      <w:r w:rsidR="005F5D99" w:rsidRPr="00AE6D9D">
        <w:rPr>
          <w:rFonts w:asciiTheme="minorBidi" w:hAnsiTheme="minorBidi" w:cs="Arial"/>
          <w:sz w:val="16"/>
          <w:szCs w:val="16"/>
          <w:rtl/>
        </w:rPr>
        <w:t xml:space="preserve"> דהא פירש רש"י בגמרא (שם) גבי יש קשרים שאין חייבין עליהם</w:t>
      </w:r>
      <w:r w:rsidR="005F5D99" w:rsidRPr="00AE6D9D">
        <w:rPr>
          <w:rFonts w:asciiTheme="minorBidi" w:hAnsiTheme="minorBidi" w:cs="Arial" w:hint="cs"/>
          <w:sz w:val="16"/>
          <w:szCs w:val="16"/>
          <w:rtl/>
        </w:rPr>
        <w:t>,</w:t>
      </w:r>
      <w:r w:rsidR="005F5D99" w:rsidRPr="00AE6D9D">
        <w:rPr>
          <w:rFonts w:asciiTheme="minorBidi" w:hAnsiTheme="minorBidi" w:cs="Arial"/>
          <w:sz w:val="16"/>
          <w:szCs w:val="16"/>
          <w:rtl/>
        </w:rPr>
        <w:t xml:space="preserve"> כלומר אבל איסורא איכא</w:t>
      </w:r>
      <w:r w:rsidR="005F5D99" w:rsidRPr="00AE6D9D">
        <w:rPr>
          <w:rFonts w:asciiTheme="minorBidi" w:hAnsiTheme="minorBidi" w:cs="Arial" w:hint="cs"/>
          <w:sz w:val="16"/>
          <w:szCs w:val="16"/>
          <w:rtl/>
        </w:rPr>
        <w:t>,</w:t>
      </w:r>
      <w:r w:rsidR="005F5D99" w:rsidRPr="00AE6D9D">
        <w:rPr>
          <w:rFonts w:asciiTheme="minorBidi" w:hAnsiTheme="minorBidi" w:cs="Arial"/>
          <w:sz w:val="16"/>
          <w:szCs w:val="16"/>
          <w:rtl/>
        </w:rPr>
        <w:t xml:space="preserve"> קיטרא דקטרי בזממא שאסור לכתחלה לקושרה שם מפני שפעמים שמניח שבוע או שבועיים. וגם כתב גבי בדחומרתא דקטרי אינהו ופעמים שמתקיים שבת או חודש. אלמא דאף על גב דעומד להתקיים שבועיים או חודש פטור. לכן</w:t>
      </w:r>
      <w:r w:rsidR="005F5D99">
        <w:rPr>
          <w:rFonts w:asciiTheme="minorBidi" w:hAnsiTheme="minorBidi" w:cs="Arial" w:hint="cs"/>
          <w:sz w:val="16"/>
          <w:szCs w:val="16"/>
          <w:rtl/>
        </w:rPr>
        <w:t>- )</w:t>
      </w:r>
      <w:r w:rsidR="005F5D99" w:rsidRPr="00AE6D9D">
        <w:rPr>
          <w:rFonts w:asciiTheme="minorBidi" w:hAnsiTheme="minorBidi" w:cs="Arial"/>
          <w:sz w:val="16"/>
          <w:szCs w:val="16"/>
          <w:rtl/>
        </w:rPr>
        <w:t xml:space="preserve"> </w:t>
      </w:r>
      <w:r w:rsidR="005F5D99" w:rsidRPr="00D9457B">
        <w:rPr>
          <w:rFonts w:asciiTheme="minorBidi" w:hAnsiTheme="minorBidi" w:cs="Arial"/>
          <w:rtl/>
        </w:rPr>
        <w:t>נראה לי כל שאינו עומד להתקיים שבעה ימים מיקרי עשוי להתירו בכל יום ושרי</w:t>
      </w:r>
      <w:r w:rsidR="005F5D99">
        <w:rPr>
          <w:rFonts w:asciiTheme="minorBidi" w:hAnsiTheme="minorBidi" w:cs="Arial" w:hint="cs"/>
          <w:rtl/>
        </w:rPr>
        <w:t>.</w:t>
      </w:r>
      <w:r w:rsidR="005F5D99" w:rsidRPr="00D9457B">
        <w:rPr>
          <w:rFonts w:asciiTheme="minorBidi" w:hAnsiTheme="minorBidi" w:cs="Arial"/>
          <w:rtl/>
        </w:rPr>
        <w:t xml:space="preserve"> ולמד כן רבינו מדפירש רש"י שאסור לכתחלה לקשרה שם מפני שפעמים שמניח שבוע וגם כתב ופעמים שמתקיים שבת</w:t>
      </w:r>
      <w:r w:rsidR="005F5D99">
        <w:rPr>
          <w:rFonts w:asciiTheme="minorBidi" w:hAnsiTheme="minorBidi" w:cs="Arial" w:hint="cs"/>
          <w:rtl/>
        </w:rPr>
        <w:t>,</w:t>
      </w:r>
      <w:r w:rsidR="005F5D99" w:rsidRPr="00D9457B">
        <w:rPr>
          <w:rFonts w:asciiTheme="minorBidi" w:hAnsiTheme="minorBidi" w:cs="Arial"/>
          <w:rtl/>
        </w:rPr>
        <w:t xml:space="preserve"> אלמא דעומד להתקיים שבת אחת פטור אבל אסור</w:t>
      </w:r>
      <w:r w:rsidR="005F5D99">
        <w:rPr>
          <w:rFonts w:asciiTheme="minorBidi" w:hAnsiTheme="minorBidi" w:cs="Arial" w:hint="cs"/>
          <w:rtl/>
        </w:rPr>
        <w:t>,</w:t>
      </w:r>
      <w:r w:rsidR="005F5D99" w:rsidRPr="00D9457B">
        <w:rPr>
          <w:rFonts w:asciiTheme="minorBidi" w:hAnsiTheme="minorBidi" w:cs="Arial"/>
          <w:rtl/>
        </w:rPr>
        <w:t xml:space="preserve"> ובבציר מהכי ליכא איסורא. וכן נראה מדברי המרדכי (סו"ס שפו) גבי אבנט שאם מתקיים הקשר שבוע אחד אסור </w:t>
      </w:r>
      <w:r w:rsidR="005F5D99" w:rsidRPr="005F5D99">
        <w:rPr>
          <w:rFonts w:asciiTheme="minorBidi" w:hAnsiTheme="minorBidi" w:cs="Arial" w:hint="cs"/>
          <w:sz w:val="16"/>
          <w:szCs w:val="16"/>
          <w:rtl/>
        </w:rPr>
        <w:t>(</w:t>
      </w:r>
      <w:r w:rsidR="005F5D99" w:rsidRPr="005F5D99">
        <w:rPr>
          <w:rFonts w:asciiTheme="minorBidi" w:hAnsiTheme="minorBidi" w:cs="Arial"/>
          <w:sz w:val="16"/>
          <w:szCs w:val="16"/>
          <w:rtl/>
        </w:rPr>
        <w:t>ולענין עד אימתי יהיה עומד להתקיים ולא יתחייב חטאת נראה מדברי רש"י שכתב ופעמים שמתקיים שבת או חודש דכל שאינו עומד להתקיים יותר מחודש פטור וכל שעומד להתקיים יותר מחודש חייב. ורבינו לא חשש להזכיר זה מאחר דאשמועינן דאפילו בעומד להתקיים שבעה ימים איכא איסורא דהוא ז"ל לא נחית לבאר בחיבור זה משפטי חייבי חטאת</w:t>
      </w:r>
      <w:r w:rsidR="005F5D99">
        <w:rPr>
          <w:rFonts w:asciiTheme="minorBidi" w:hAnsiTheme="minorBidi" w:cs="Arial" w:hint="cs"/>
          <w:sz w:val="16"/>
          <w:szCs w:val="16"/>
          <w:rtl/>
        </w:rPr>
        <w:t>)</w:t>
      </w:r>
      <w:r>
        <w:rPr>
          <w:rFonts w:asciiTheme="minorBidi" w:hAnsiTheme="minorBidi" w:cs="Arial" w:hint="cs"/>
          <w:rtl/>
        </w:rPr>
        <w:t>.</w:t>
      </w:r>
    </w:p>
    <w:p w14:paraId="2090E2D1" w14:textId="65EDC842" w:rsidR="00660F4B" w:rsidRDefault="00660F4B" w:rsidP="00285819">
      <w:pPr>
        <w:pStyle w:val="a7"/>
        <w:numPr>
          <w:ilvl w:val="0"/>
          <w:numId w:val="33"/>
        </w:numPr>
      </w:pPr>
      <w:r>
        <w:rPr>
          <w:rFonts w:asciiTheme="minorBidi" w:hAnsiTheme="minorBidi" w:cs="Arial" w:hint="cs"/>
          <w:rtl/>
        </w:rPr>
        <w:t xml:space="preserve">מהר"י אבוהב </w:t>
      </w:r>
      <w:r>
        <w:rPr>
          <w:rFonts w:asciiTheme="minorBidi" w:hAnsiTheme="minorBidi" w:cs="Arial" w:hint="cs"/>
          <w:sz w:val="16"/>
          <w:szCs w:val="16"/>
          <w:rtl/>
        </w:rPr>
        <w:t>(או"ח סי' שיז ד"ר)</w:t>
      </w:r>
      <w:r>
        <w:rPr>
          <w:rFonts w:asciiTheme="minorBidi" w:hAnsiTheme="minorBidi" w:cs="Arial" w:hint="cs"/>
          <w:rtl/>
        </w:rPr>
        <w:t xml:space="preserve">- </w:t>
      </w:r>
      <w:r w:rsidRPr="00CA0069">
        <w:rPr>
          <w:rFonts w:asciiTheme="minorBidi" w:hAnsiTheme="minorBidi" w:cs="Arial"/>
          <w:rtl/>
        </w:rPr>
        <w:t xml:space="preserve">מצאתי בא"ח בשם ה"ר פרץ שכל קשר שעומד </w:t>
      </w:r>
      <w:r w:rsidR="00DC306A">
        <w:rPr>
          <w:rFonts w:asciiTheme="minorBidi" w:hAnsiTheme="minorBidi" w:cs="Arial" w:hint="cs"/>
          <w:rtl/>
        </w:rPr>
        <w:t>[</w:t>
      </w:r>
      <w:r w:rsidRPr="00CA0069">
        <w:rPr>
          <w:rFonts w:asciiTheme="minorBidi" w:hAnsiTheme="minorBidi" w:cs="Arial"/>
          <w:rtl/>
        </w:rPr>
        <w:t>שמנה</w:t>
      </w:r>
      <w:r w:rsidR="00DC306A">
        <w:rPr>
          <w:rFonts w:asciiTheme="minorBidi" w:hAnsiTheme="minorBidi" w:cs="Arial" w:hint="cs"/>
          <w:rtl/>
        </w:rPr>
        <w:t>]</w:t>
      </w:r>
      <w:r w:rsidRPr="00CA0069">
        <w:rPr>
          <w:rFonts w:asciiTheme="minorBidi" w:hAnsiTheme="minorBidi" w:cs="Arial"/>
          <w:rtl/>
        </w:rPr>
        <w:t xml:space="preserve"> ימים בלא התרה נקרא קשר של קיימא</w:t>
      </w:r>
      <w:r w:rsidR="00DC306A">
        <w:rPr>
          <w:rFonts w:asciiTheme="minorBidi" w:hAnsiTheme="minorBidi" w:cs="Arial" w:hint="cs"/>
          <w:sz w:val="16"/>
          <w:szCs w:val="16"/>
          <w:rtl/>
        </w:rPr>
        <w:t xml:space="preserve"> {לפנינו ליתא התיבה 'שמנה'}</w:t>
      </w:r>
      <w:r w:rsidR="00DC306A">
        <w:rPr>
          <w:rFonts w:asciiTheme="minorBidi" w:hAnsiTheme="minorBidi" w:cs="Arial" w:hint="cs"/>
          <w:rtl/>
        </w:rPr>
        <w:t>.</w:t>
      </w:r>
      <w:r w:rsidRPr="00CA0069">
        <w:rPr>
          <w:rFonts w:asciiTheme="minorBidi" w:hAnsiTheme="minorBidi" w:cs="Arial"/>
          <w:rtl/>
        </w:rPr>
        <w:t xml:space="preserve"> ומזה נראה שכותב הרב: העומד להתקיים ז' ימים פטור אבל אסור, שנראה שקשר של קיימא הוא כשעומד ח' ימים, ומה שכתב: ושעומד להתיר בכל יום מותר לכתחלה, לאו דוקא בכל יום שהרי כתב שבז' ימים פטור אבל אסור. ונראה שבפחות מזה מותר לכתחלה. וא"כ מה שאמר בכל יום לאו דוקא בכל יום, ואולי סברתו היא כמו שאמרתי דבח' ימים הוי קשר של קיימא, ומאי דנקט ז' ימים הוא להודיענו שאינו קשר של קיימא, אבל מותר לכתחלה אינו אלא כשעשוי להתיר בכל יום</w:t>
      </w:r>
      <w:r>
        <w:rPr>
          <w:rFonts w:asciiTheme="minorBidi" w:hAnsiTheme="minorBidi" w:cs="Arial" w:hint="cs"/>
          <w:rtl/>
        </w:rPr>
        <w:t xml:space="preserve"> -</w:t>
      </w:r>
      <w:r w:rsidRPr="00CA0069">
        <w:rPr>
          <w:rFonts w:asciiTheme="minorBidi" w:hAnsiTheme="minorBidi" w:cs="Arial"/>
          <w:rtl/>
        </w:rPr>
        <w:t xml:space="preserve"> ודבריו סתומים.</w:t>
      </w:r>
      <w:r>
        <w:rPr>
          <w:rFonts w:asciiTheme="minorBidi" w:hAnsiTheme="minorBidi" w:cs="Arial" w:hint="cs"/>
          <w:rtl/>
        </w:rPr>
        <w:t>.</w:t>
      </w:r>
      <w:r w:rsidRPr="00CA0069">
        <w:rPr>
          <w:rFonts w:asciiTheme="minorBidi" w:hAnsiTheme="minorBidi" w:cs="Arial"/>
          <w:rtl/>
        </w:rPr>
        <w:t xml:space="preserve">. </w:t>
      </w:r>
      <w:r w:rsidRPr="00660F4B">
        <w:rPr>
          <w:rFonts w:asciiTheme="minorBidi" w:hAnsiTheme="minorBidi" w:cs="Arial"/>
          <w:rtl/>
        </w:rPr>
        <w:t>רצועה שקושרין כו'. מזה נראה שסברתו</w:t>
      </w:r>
      <w:r>
        <w:rPr>
          <w:rFonts w:asciiTheme="minorBidi" w:hAnsiTheme="minorBidi" w:cs="Arial" w:hint="cs"/>
          <w:sz w:val="16"/>
          <w:szCs w:val="16"/>
          <w:rtl/>
        </w:rPr>
        <w:t xml:space="preserve"> {של הטור}</w:t>
      </w:r>
      <w:r w:rsidRPr="00660F4B">
        <w:rPr>
          <w:rFonts w:asciiTheme="minorBidi" w:hAnsiTheme="minorBidi" w:cs="Arial"/>
          <w:rtl/>
        </w:rPr>
        <w:t xml:space="preserve"> היא שאין בכאן איסור אלא בקשר העומד להתקיים ז' ימים, אבל בפחות מזה מותר לכתחלה</w:t>
      </w:r>
      <w:r>
        <w:rPr>
          <w:rFonts w:asciiTheme="minorBidi" w:hAnsiTheme="minorBidi" w:cs="Arial" w:hint="cs"/>
          <w:rtl/>
        </w:rPr>
        <w:t>.</w:t>
      </w:r>
      <w:r w:rsidR="00B05F55">
        <w:rPr>
          <w:rFonts w:hint="cs"/>
          <w:sz w:val="16"/>
          <w:szCs w:val="16"/>
          <w:rtl/>
        </w:rPr>
        <w:t xml:space="preserve"> (וכתב הב"י על סוף דברי מהר"י- </w:t>
      </w:r>
      <w:r w:rsidR="00B05F55" w:rsidRPr="00B05F55">
        <w:rPr>
          <w:sz w:val="16"/>
          <w:szCs w:val="16"/>
          <w:rtl/>
        </w:rPr>
        <w:t>מיהו יש לדחות דקושטא דמילתא קאמר דאין מתירין אותם אלא כשמחליפין דהיינו לשבעת ימים אבל אין הכי נמי דבבציר מהכי כל שהוא עשוי להתקיים יותר מיום אחד אסור</w:t>
      </w:r>
      <w:r w:rsidR="00B05F55">
        <w:rPr>
          <w:rFonts w:hint="cs"/>
          <w:sz w:val="16"/>
          <w:szCs w:val="16"/>
          <w:rtl/>
        </w:rPr>
        <w:t>)</w:t>
      </w:r>
    </w:p>
  </w:footnote>
  <w:footnote w:id="2557">
    <w:p w14:paraId="1BAD7BD5" w14:textId="2D8D46B0" w:rsidR="000550F3" w:rsidRDefault="000550F3" w:rsidP="00285819">
      <w:pPr>
        <w:pStyle w:val="a7"/>
      </w:pPr>
      <w:r>
        <w:rPr>
          <w:rStyle w:val="a9"/>
        </w:rPr>
        <w:footnoteRef/>
      </w:r>
      <w:r>
        <w:rPr>
          <w:rtl/>
        </w:rPr>
        <w:t xml:space="preserve"> </w:t>
      </w:r>
      <w:r w:rsidRPr="005275DF">
        <w:rPr>
          <w:rFonts w:asciiTheme="minorBidi" w:hAnsiTheme="minorBidi"/>
          <w:rtl/>
        </w:rPr>
        <w:t>ובגלילותנו פשט המנהג לקשור שני קשרים בחגורתו אשר במתניו, שאינו של קיימא והוא של הדיוט, ולית דחש לה אלא מיעוטא דמיעוטא דבטילי במעוטייהו</w:t>
      </w:r>
      <w:r>
        <w:rPr>
          <w:rFonts w:asciiTheme="minorBidi" w:hAnsiTheme="minorBidi" w:hint="cs"/>
          <w:rtl/>
        </w:rPr>
        <w:t>,</w:t>
      </w:r>
      <w:r w:rsidRPr="00835471">
        <w:rPr>
          <w:rFonts w:asciiTheme="minorBidi" w:hAnsiTheme="minorBidi"/>
          <w:rtl/>
        </w:rPr>
        <w:t xml:space="preserve"> </w:t>
      </w:r>
      <w:r w:rsidRPr="005275DF">
        <w:rPr>
          <w:rFonts w:asciiTheme="minorBidi" w:hAnsiTheme="minorBidi"/>
          <w:rtl/>
        </w:rPr>
        <w:t>ברכ"י (סק"א).</w:t>
      </w:r>
    </w:p>
  </w:footnote>
  <w:footnote w:id="2558">
    <w:p w14:paraId="3DB881AB" w14:textId="77777777" w:rsidR="00765653" w:rsidRDefault="00765653" w:rsidP="00285819">
      <w:pPr>
        <w:pStyle w:val="a7"/>
        <w:rPr>
          <w:rtl/>
        </w:rPr>
      </w:pPr>
      <w:r>
        <w:rPr>
          <w:rStyle w:val="a9"/>
        </w:rPr>
        <w:footnoteRef/>
      </w:r>
      <w:r>
        <w:rPr>
          <w:rtl/>
        </w:rPr>
        <w:t xml:space="preserve"> </w:t>
      </w:r>
      <w:r w:rsidRPr="00AF57AA">
        <w:rPr>
          <w:rFonts w:asciiTheme="minorBidi" w:hAnsiTheme="minorBidi" w:cs="Arial"/>
          <w:rtl/>
        </w:rPr>
        <w:t>כדתנן יש לך קשרים שאין חייבים עליהם כקשר הגמלים והספנין ומפרש בגמרא חיובא ליכא איסורא איכא ומפרש בקטרא דקטרי בזממא וקיטרא דקטרי באיסתדרא פירוש רצועה קושר בטבעת הרצועה בחוטמו של גמל או בטבעת הספינה פעמים מתירין ופעמים נמלך עליהם ומניח שם לעולם ותניא [קיב</w:t>
      </w:r>
      <w:r>
        <w:rPr>
          <w:rFonts w:asciiTheme="minorBidi" w:hAnsiTheme="minorBidi" w:cs="Arial" w:hint="cs"/>
          <w:rtl/>
        </w:rPr>
        <w:t>.</w:t>
      </w:r>
      <w:r w:rsidRPr="00AF57AA">
        <w:rPr>
          <w:rFonts w:asciiTheme="minorBidi" w:hAnsiTheme="minorBidi" w:cs="Arial"/>
          <w:rtl/>
        </w:rPr>
        <w:t>] התיר רצועות מנעל וסנדל פטור אבל אסור ומוקמינן מנעל וסנדל דרבנן שמתוך שאינם גאים אינם מקפידים לעצמם קשר רצועותיהם אלא קושרין בריוח שיכולים להביאם בעודם קשורים ופעמים נמלכים ומניחים כך לעולם</w:t>
      </w:r>
      <w:r>
        <w:rPr>
          <w:rFonts w:hint="cs"/>
          <w:rtl/>
        </w:rPr>
        <w:t>, יראים (שם).</w:t>
      </w:r>
    </w:p>
  </w:footnote>
  <w:footnote w:id="2559">
    <w:p w14:paraId="0E71A8AC" w14:textId="5D39A820" w:rsidR="007D1368" w:rsidRDefault="007D1368" w:rsidP="00285819">
      <w:pPr>
        <w:pStyle w:val="a7"/>
      </w:pPr>
      <w:r>
        <w:rPr>
          <w:rStyle w:val="a9"/>
        </w:rPr>
        <w:footnoteRef/>
      </w:r>
      <w:r>
        <w:rPr>
          <w:rtl/>
        </w:rPr>
        <w:t xml:space="preserve"> </w:t>
      </w:r>
      <w:r w:rsidRPr="00936955">
        <w:rPr>
          <w:rFonts w:cs="Arial"/>
          <w:rtl/>
        </w:rPr>
        <w:t xml:space="preserve">הילכך הקשר שעושין בקורדליא"ש היכא דאינו יכול לפשוט את הבגד בלא היתר הקשר </w:t>
      </w:r>
      <w:r>
        <w:rPr>
          <w:rFonts w:cs="Arial" w:hint="cs"/>
          <w:rtl/>
        </w:rPr>
        <w:t xml:space="preserve">- </w:t>
      </w:r>
      <w:r w:rsidRPr="00936955">
        <w:rPr>
          <w:rFonts w:cs="Arial"/>
          <w:rtl/>
        </w:rPr>
        <w:t>מותר</w:t>
      </w:r>
      <w:r>
        <w:rPr>
          <w:rFonts w:cs="Arial" w:hint="cs"/>
          <w:rtl/>
        </w:rPr>
        <w:t>.</w:t>
      </w:r>
      <w:r w:rsidRPr="00936955">
        <w:rPr>
          <w:rFonts w:cs="Arial"/>
          <w:rtl/>
        </w:rPr>
        <w:t xml:space="preserve"> אבל אם יכול לפשוט הבגד בלא היתר הקשר </w:t>
      </w:r>
      <w:r>
        <w:rPr>
          <w:rFonts w:cs="Arial" w:hint="cs"/>
          <w:rtl/>
        </w:rPr>
        <w:t xml:space="preserve">- </w:t>
      </w:r>
      <w:r w:rsidRPr="00936955">
        <w:rPr>
          <w:rFonts w:cs="Arial"/>
          <w:rtl/>
        </w:rPr>
        <w:t>אסור לקשור כי קשר של קיימא הוא</w:t>
      </w:r>
      <w:r>
        <w:rPr>
          <w:rFonts w:cs="Arial" w:hint="cs"/>
          <w:rtl/>
        </w:rPr>
        <w:t>,</w:t>
      </w:r>
      <w:r w:rsidRPr="00936955">
        <w:rPr>
          <w:rFonts w:cs="Arial"/>
          <w:rtl/>
        </w:rPr>
        <w:t xml:space="preserve"> וכן נמי הדין בחבלי הדוקי צואר שקורין קורדו"ן. וקשר רצועות המכנסיים מותר לכתחלה</w:t>
      </w:r>
      <w:r>
        <w:rPr>
          <w:rFonts w:cs="Arial" w:hint="cs"/>
          <w:rtl/>
        </w:rPr>
        <w:t>,</w:t>
      </w:r>
      <w:r w:rsidRPr="00936955">
        <w:rPr>
          <w:rFonts w:cs="Arial"/>
          <w:rtl/>
        </w:rPr>
        <w:t xml:space="preserve"> לפי שסופו להתירו כשיכבסו המכנסיים</w:t>
      </w:r>
      <w:r>
        <w:rPr>
          <w:rFonts w:cs="Arial" w:hint="cs"/>
          <w:rtl/>
        </w:rPr>
        <w:t>.</w:t>
      </w:r>
      <w:r w:rsidRPr="00936955">
        <w:rPr>
          <w:rFonts w:cs="Arial"/>
          <w:rtl/>
        </w:rPr>
        <w:t xml:space="preserve"> אבל אם של פשתן המתכבס עם המכנסיים אסור</w:t>
      </w:r>
      <w:r>
        <w:rPr>
          <w:rFonts w:cs="Arial" w:hint="cs"/>
          <w:rtl/>
        </w:rPr>
        <w:t>,</w:t>
      </w:r>
      <w:r w:rsidRPr="00936955">
        <w:rPr>
          <w:rFonts w:cs="Arial"/>
          <w:rtl/>
        </w:rPr>
        <w:t xml:space="preserve"> שפעמים נמלך ומבטלו שם לעולם ולא יתירנו עד שיהיה בלוי</w:t>
      </w:r>
      <w:r>
        <w:rPr>
          <w:rFonts w:cs="Arial" w:hint="cs"/>
          <w:rtl/>
        </w:rPr>
        <w:t xml:space="preserve">, </w:t>
      </w:r>
      <w:r w:rsidRPr="007D1368">
        <w:rPr>
          <w:rFonts w:cs="Arial" w:hint="cs"/>
          <w:b/>
          <w:bCs/>
          <w:rtl/>
        </w:rPr>
        <w:t>כל בו</w:t>
      </w:r>
      <w:r>
        <w:rPr>
          <w:rFonts w:cs="Arial" w:hint="cs"/>
          <w:rtl/>
        </w:rPr>
        <w:t xml:space="preserve"> (סי' לא)</w:t>
      </w:r>
      <w:r w:rsidRPr="00936955">
        <w:rPr>
          <w:rFonts w:cs="Arial"/>
          <w:rtl/>
        </w:rPr>
        <w:t>.</w:t>
      </w:r>
      <w:r>
        <w:rPr>
          <w:rFonts w:cs="Arial" w:hint="cs"/>
          <w:rtl/>
        </w:rPr>
        <w:t xml:space="preserve">   </w:t>
      </w:r>
      <w:r w:rsidRPr="00936955">
        <w:rPr>
          <w:rFonts w:cs="Arial"/>
          <w:rtl/>
        </w:rPr>
        <w:t xml:space="preserve"> וכלל זה שלא כדברי בעל התרומה שכתב רבינו לאסור ברצועות של אבנט שאין מתירין אותם אלא בשעה שמחליפין המכנסיים</w:t>
      </w:r>
      <w:r>
        <w:rPr>
          <w:rFonts w:cs="Arial" w:hint="cs"/>
          <w:rtl/>
        </w:rPr>
        <w:t>,</w:t>
      </w:r>
      <w:r w:rsidRPr="00936955">
        <w:rPr>
          <w:rFonts w:cs="Arial"/>
          <w:rtl/>
        </w:rPr>
        <w:t xml:space="preserve"> וכן דעת כמה פוסקים כמו שכתבתי למעלה (פ. ד"ה וכתב)</w:t>
      </w:r>
      <w:r>
        <w:rPr>
          <w:rFonts w:cs="Arial" w:hint="cs"/>
          <w:rtl/>
        </w:rPr>
        <w:t xml:space="preserve">, </w:t>
      </w:r>
      <w:r w:rsidRPr="007D1368">
        <w:rPr>
          <w:rFonts w:cs="Arial" w:hint="cs"/>
          <w:b/>
          <w:bCs/>
          <w:rtl/>
        </w:rPr>
        <w:t>ב"י</w:t>
      </w:r>
      <w:r>
        <w:rPr>
          <w:rFonts w:cs="Arial" w:hint="cs"/>
          <w:rtl/>
        </w:rPr>
        <w:t>.</w:t>
      </w:r>
    </w:p>
  </w:footnote>
  <w:footnote w:id="2560">
    <w:p w14:paraId="5BF78BF2" w14:textId="0B5004F6" w:rsidR="008B052C" w:rsidRDefault="008B052C" w:rsidP="00285819">
      <w:pPr>
        <w:pStyle w:val="a7"/>
      </w:pPr>
      <w:r>
        <w:rPr>
          <w:rStyle w:val="a9"/>
        </w:rPr>
        <w:footnoteRef/>
      </w:r>
      <w:r>
        <w:rPr>
          <w:rtl/>
        </w:rPr>
        <w:t xml:space="preserve"> </w:t>
      </w:r>
      <w:r>
        <w:rPr>
          <w:rFonts w:asciiTheme="minorBidi" w:hAnsiTheme="minorBidi" w:cs="Arial" w:hint="cs"/>
          <w:rtl/>
        </w:rPr>
        <w:t xml:space="preserve">וז"ל- </w:t>
      </w:r>
      <w:r w:rsidRPr="00D9457B">
        <w:rPr>
          <w:rFonts w:asciiTheme="minorBidi" w:hAnsiTheme="minorBidi" w:cs="Arial"/>
          <w:rtl/>
        </w:rPr>
        <w:t>יש קשרים שעושים אותם לעמוד ימים חצי שנה או שנה וזהו קשר של קיימא שחייבין עליו חטאת כגון של בהמות שעושין להם באפסר בצוארם וקושרין שם טבעת והוא עשוי לעמוד שם ימים רבים ולפעמים אחר ימים רבים מתירו</w:t>
      </w:r>
      <w:r>
        <w:rPr>
          <w:rFonts w:asciiTheme="minorBidi" w:hAnsiTheme="minorBidi" w:cs="Arial" w:hint="cs"/>
          <w:rtl/>
        </w:rPr>
        <w:t>.</w:t>
      </w:r>
      <w:r w:rsidRPr="00D9457B">
        <w:rPr>
          <w:rFonts w:asciiTheme="minorBidi" w:hAnsiTheme="minorBidi" w:cs="Arial"/>
          <w:rtl/>
        </w:rPr>
        <w:t xml:space="preserve"> ויש אחר שאינו כל כך לעמוד ימים רבים אלא או שלשה ימים או שבוע או שבועיים והוא קשר אחר שעושין בזו הטבעת וכו' ועומד שם ימים מעטים ובעבור שמעמידו שם ימים מספר ולא כל כך כמו קשר שקושרין בו הטבעת פטור אבל אסור</w:t>
      </w:r>
      <w:r>
        <w:rPr>
          <w:rFonts w:asciiTheme="minorBidi" w:hAnsiTheme="minorBidi" w:cs="Arial" w:hint="cs"/>
          <w:rtl/>
        </w:rPr>
        <w:t>.</w:t>
      </w:r>
    </w:p>
  </w:footnote>
  <w:footnote w:id="2561">
    <w:p w14:paraId="6E5D99DB" w14:textId="5D333B90" w:rsidR="00CF3383" w:rsidRDefault="00CF3383" w:rsidP="00285819">
      <w:pPr>
        <w:pStyle w:val="a7"/>
        <w:rPr>
          <w:rtl/>
        </w:rPr>
      </w:pPr>
      <w:r>
        <w:rPr>
          <w:rStyle w:val="a9"/>
        </w:rPr>
        <w:footnoteRef/>
      </w:r>
      <w:r>
        <w:rPr>
          <w:rtl/>
        </w:rPr>
        <w:t xml:space="preserve"> </w:t>
      </w:r>
      <w:r>
        <w:rPr>
          <w:rFonts w:hint="cs"/>
          <w:rtl/>
        </w:rPr>
        <w:t xml:space="preserve">הב"י כתב לאחר שהביא את לשון רי"ו כך- </w:t>
      </w:r>
      <w:r w:rsidRPr="008B052C">
        <w:rPr>
          <w:rFonts w:asciiTheme="minorBidi" w:hAnsiTheme="minorBidi" w:cs="Arial"/>
          <w:rtl/>
        </w:rPr>
        <w:t>נראה מדבריו</w:t>
      </w:r>
      <w:r>
        <w:rPr>
          <w:rFonts w:asciiTheme="minorBidi" w:hAnsiTheme="minorBidi" w:cs="Arial" w:hint="cs"/>
          <w:sz w:val="14"/>
          <w:szCs w:val="14"/>
          <w:rtl/>
        </w:rPr>
        <w:t xml:space="preserve"> </w:t>
      </w:r>
      <w:r w:rsidRPr="00CF3383">
        <w:rPr>
          <w:rFonts w:asciiTheme="minorBidi" w:hAnsiTheme="minorBidi" w:cs="Arial" w:hint="cs"/>
          <w:sz w:val="16"/>
          <w:szCs w:val="16"/>
          <w:rtl/>
        </w:rPr>
        <w:t>{של רי"ו}</w:t>
      </w:r>
      <w:r w:rsidRPr="008B052C">
        <w:rPr>
          <w:rFonts w:asciiTheme="minorBidi" w:hAnsiTheme="minorBidi" w:cs="Arial"/>
          <w:rtl/>
        </w:rPr>
        <w:t xml:space="preserve"> דשבת דנקט רש"י לאו למימרא דבעומד להתקיים פחות מכן שרי אלא דאפילו עומד להתקיים שבת או חודש לא מיחייב חטאת ובבציר משבת נמי איסורא איכא. ומכל מקום משמע ליה ד</w:t>
      </w:r>
      <w:r>
        <w:rPr>
          <w:rFonts w:hint="cs"/>
          <w:rtl/>
        </w:rPr>
        <w:t xml:space="preserve">-... </w:t>
      </w:r>
    </w:p>
  </w:footnote>
  <w:footnote w:id="2562">
    <w:p w14:paraId="2D6AE64B" w14:textId="77777777" w:rsidR="00BF0D47" w:rsidRDefault="00BF0D47" w:rsidP="00BF0D47">
      <w:pPr>
        <w:pStyle w:val="a7"/>
        <w:rPr>
          <w:rtl/>
        </w:rPr>
      </w:pPr>
      <w:r>
        <w:rPr>
          <w:rStyle w:val="a9"/>
        </w:rPr>
        <w:footnoteRef/>
      </w:r>
      <w:r>
        <w:rPr>
          <w:rtl/>
        </w:rPr>
        <w:t xml:space="preserve"> </w:t>
      </w:r>
      <w:r w:rsidRPr="00AF57AA">
        <w:rPr>
          <w:rFonts w:asciiTheme="minorBidi" w:hAnsiTheme="minorBidi" w:cs="Arial"/>
          <w:rtl/>
        </w:rPr>
        <w:t>ואפי' קיים חדש אין בכך כלום</w:t>
      </w:r>
      <w:r>
        <w:rPr>
          <w:rFonts w:asciiTheme="minorBidi" w:hAnsiTheme="minorBidi" w:cs="Arial" w:hint="cs"/>
          <w:rtl/>
        </w:rPr>
        <w:t>,</w:t>
      </w:r>
      <w:r w:rsidRPr="00AF57AA">
        <w:rPr>
          <w:rFonts w:asciiTheme="minorBidi" w:hAnsiTheme="minorBidi" w:cs="Arial"/>
          <w:rtl/>
        </w:rPr>
        <w:t xml:space="preserve"> אבל אם הוא של פשתן שמתכבס עם המכנסיים אסור שפעמים נמלך ומבטל להיות קשור שם לעולם</w:t>
      </w:r>
      <w:r>
        <w:rPr>
          <w:rFonts w:hint="cs"/>
          <w:rtl/>
        </w:rPr>
        <w:t>, יראים (שם).</w:t>
      </w:r>
    </w:p>
  </w:footnote>
  <w:footnote w:id="2563">
    <w:p w14:paraId="23978983" w14:textId="46D603FF" w:rsidR="00A5011E" w:rsidRDefault="00A5011E" w:rsidP="00285819">
      <w:pPr>
        <w:pStyle w:val="a7"/>
      </w:pPr>
      <w:r>
        <w:rPr>
          <w:rStyle w:val="a9"/>
        </w:rPr>
        <w:footnoteRef/>
      </w:r>
      <w:r>
        <w:rPr>
          <w:rtl/>
        </w:rPr>
        <w:t xml:space="preserve"> </w:t>
      </w:r>
      <w:r>
        <w:rPr>
          <w:rFonts w:hint="cs"/>
          <w:rtl/>
        </w:rPr>
        <w:t xml:space="preserve">וכן פירש </w:t>
      </w:r>
      <w:r w:rsidRPr="00A5011E">
        <w:rPr>
          <w:rFonts w:cs="Arial"/>
          <w:rtl/>
        </w:rPr>
        <w:t>רבינו אלחנן</w:t>
      </w:r>
      <w:r>
        <w:rPr>
          <w:rFonts w:cs="Arial" w:hint="cs"/>
          <w:rtl/>
        </w:rPr>
        <w:t xml:space="preserve"> </w:t>
      </w:r>
      <w:r>
        <w:rPr>
          <w:rFonts w:cs="Arial" w:hint="cs"/>
          <w:sz w:val="16"/>
          <w:szCs w:val="16"/>
          <w:rtl/>
        </w:rPr>
        <w:t>(הביאו המרדכי מנחות סי' תתקמ)</w:t>
      </w:r>
      <w:r>
        <w:rPr>
          <w:rFonts w:cs="Arial" w:hint="cs"/>
          <w:rtl/>
        </w:rPr>
        <w:t xml:space="preserve"> וז"ל- </w:t>
      </w:r>
      <w:r w:rsidRPr="00A5011E">
        <w:rPr>
          <w:rFonts w:cs="Arial"/>
          <w:rtl/>
        </w:rPr>
        <w:t>לא מיקרי של קיימא אם לא כשמקשר ב' החוטים יחד בב' קשרים</w:t>
      </w:r>
      <w:r>
        <w:rPr>
          <w:rFonts w:cs="Arial" w:hint="cs"/>
          <w:rtl/>
        </w:rPr>
        <w:t>.</w:t>
      </w:r>
    </w:p>
  </w:footnote>
  <w:footnote w:id="2564">
    <w:p w14:paraId="173B3B4A" w14:textId="3FF0A062" w:rsidR="00D9457B" w:rsidRDefault="00D9457B" w:rsidP="00285819">
      <w:pPr>
        <w:pStyle w:val="a7"/>
        <w:rPr>
          <w:rtl/>
        </w:rPr>
      </w:pPr>
      <w:r>
        <w:rPr>
          <w:rStyle w:val="a9"/>
        </w:rPr>
        <w:footnoteRef/>
      </w:r>
      <w:r>
        <w:rPr>
          <w:rtl/>
        </w:rPr>
        <w:t xml:space="preserve"> </w:t>
      </w:r>
      <w:r w:rsidRPr="00D9457B">
        <w:rPr>
          <w:rFonts w:cs="Arial"/>
          <w:rtl/>
        </w:rPr>
        <w:t>ובגמרא מוכח פרק כלל גדול (עד</w:t>
      </w:r>
      <w:r w:rsidR="003D735D">
        <w:rPr>
          <w:rFonts w:cs="Arial" w:hint="cs"/>
          <w:rtl/>
        </w:rPr>
        <w:t>:</w:t>
      </w:r>
      <w:r w:rsidRPr="00D9457B">
        <w:rPr>
          <w:rFonts w:cs="Arial"/>
          <w:rtl/>
        </w:rPr>
        <w:t>) דאפילו בקשר אמיץ וחזק כל שקשרו על מנת להתירו אין חייבין עליו</w:t>
      </w:r>
      <w:r w:rsidR="00825135">
        <w:rPr>
          <w:rFonts w:cs="Arial" w:hint="cs"/>
          <w:rtl/>
        </w:rPr>
        <w:t>,</w:t>
      </w:r>
      <w:r w:rsidRPr="00D9457B">
        <w:rPr>
          <w:rFonts w:cs="Arial"/>
          <w:rtl/>
        </w:rPr>
        <w:t xml:space="preserve"> דפריך התם והא על מנת להתיר הוא וכו'</w:t>
      </w:r>
      <w:r w:rsidR="00825135">
        <w:rPr>
          <w:rFonts w:cs="Arial" w:hint="cs"/>
          <w:rtl/>
        </w:rPr>
        <w:t>,</w:t>
      </w:r>
      <w:r w:rsidRPr="00D9457B">
        <w:rPr>
          <w:rFonts w:cs="Arial"/>
          <w:rtl/>
        </w:rPr>
        <w:t xml:space="preserve"> ומכל מקום נראה דזהירין ביה משום דאע</w:t>
      </w:r>
      <w:r w:rsidR="00825135">
        <w:rPr>
          <w:rFonts w:cs="Arial" w:hint="cs"/>
          <w:rtl/>
        </w:rPr>
        <w:t>"</w:t>
      </w:r>
      <w:r w:rsidRPr="00D9457B">
        <w:rPr>
          <w:rFonts w:cs="Arial"/>
          <w:rtl/>
        </w:rPr>
        <w:t>ג דאין חייבין עליו מכל מקום אסור מדרבנן</w:t>
      </w:r>
      <w:r w:rsidR="00825135">
        <w:rPr>
          <w:rFonts w:cs="Arial" w:hint="cs"/>
          <w:rtl/>
        </w:rPr>
        <w:t>,</w:t>
      </w:r>
      <w:r w:rsidRPr="00D9457B">
        <w:rPr>
          <w:rFonts w:cs="Arial"/>
          <w:rtl/>
        </w:rPr>
        <w:t xml:space="preserve"> מידי דהוי כעקירה בלא הנחה דאיתא ברפ</w:t>
      </w:r>
      <w:r w:rsidR="00825135">
        <w:rPr>
          <w:rFonts w:cs="Arial" w:hint="cs"/>
          <w:rtl/>
        </w:rPr>
        <w:t>"</w:t>
      </w:r>
      <w:r w:rsidRPr="00D9457B">
        <w:rPr>
          <w:rFonts w:cs="Arial"/>
          <w:rtl/>
        </w:rPr>
        <w:t>ק דשבת (ג</w:t>
      </w:r>
      <w:r w:rsidR="003D735D">
        <w:rPr>
          <w:rFonts w:cs="Arial" w:hint="cs"/>
          <w:rtl/>
        </w:rPr>
        <w:t>.</w:t>
      </w:r>
      <w:r w:rsidRPr="00D9457B">
        <w:rPr>
          <w:rFonts w:cs="Arial"/>
          <w:rtl/>
        </w:rPr>
        <w:t>) דאסור מדרבנן</w:t>
      </w:r>
      <w:r w:rsidR="00825135">
        <w:rPr>
          <w:rFonts w:cs="Arial" w:hint="cs"/>
          <w:rtl/>
        </w:rPr>
        <w:t>,</w:t>
      </w:r>
      <w:r w:rsidRPr="00D9457B">
        <w:rPr>
          <w:rFonts w:cs="Arial"/>
          <w:rtl/>
        </w:rPr>
        <w:t xml:space="preserve"> וכן במוחק שלא על מנת לכתוב כמו שכתב המרדכי ס</w:t>
      </w:r>
      <w:r w:rsidR="00825135">
        <w:rPr>
          <w:rFonts w:cs="Arial" w:hint="cs"/>
          <w:rtl/>
        </w:rPr>
        <w:t>"</w:t>
      </w:r>
      <w:r w:rsidRPr="00D9457B">
        <w:rPr>
          <w:rFonts w:cs="Arial"/>
          <w:rtl/>
        </w:rPr>
        <w:t>פ כלל גדול (סי' שסט)</w:t>
      </w:r>
      <w:r w:rsidR="00825135">
        <w:rPr>
          <w:rFonts w:cs="Arial" w:hint="cs"/>
          <w:rtl/>
        </w:rPr>
        <w:t>,</w:t>
      </w:r>
      <w:r w:rsidRPr="00D9457B">
        <w:rPr>
          <w:rFonts w:cs="Arial"/>
          <w:rtl/>
        </w:rPr>
        <w:t xml:space="preserve"> והוא הדין בכל שאר מלאכות</w:t>
      </w:r>
      <w:r w:rsidR="00825135">
        <w:rPr>
          <w:rFonts w:cs="Arial" w:hint="cs"/>
          <w:rtl/>
        </w:rPr>
        <w:t>,</w:t>
      </w:r>
      <w:r w:rsidRPr="00D9457B">
        <w:rPr>
          <w:rFonts w:cs="Arial"/>
          <w:rtl/>
        </w:rPr>
        <w:t xml:space="preserve"> כן נ"ל</w:t>
      </w:r>
      <w:r w:rsidR="003D735D">
        <w:rPr>
          <w:rFonts w:cs="Arial" w:hint="cs"/>
          <w:rtl/>
        </w:rPr>
        <w:t>, דרכ"מ (אות א).</w:t>
      </w:r>
    </w:p>
  </w:footnote>
  <w:footnote w:id="2565">
    <w:p w14:paraId="749D2370" w14:textId="77777777" w:rsidR="00683108" w:rsidRDefault="00683108" w:rsidP="00285819">
      <w:pPr>
        <w:pStyle w:val="a7"/>
      </w:pPr>
      <w:r>
        <w:rPr>
          <w:rStyle w:val="a9"/>
        </w:rPr>
        <w:footnoteRef/>
      </w:r>
      <w:r>
        <w:rPr>
          <w:rtl/>
        </w:rPr>
        <w:t xml:space="preserve"> </w:t>
      </w:r>
      <w:r w:rsidRPr="00A8680E">
        <w:rPr>
          <w:rFonts w:cs="Arial"/>
          <w:rtl/>
        </w:rPr>
        <w:t>שקשר שני ראשי החוט</w:t>
      </w:r>
      <w:r>
        <w:rPr>
          <w:rFonts w:cs="Arial" w:hint="cs"/>
          <w:rtl/>
        </w:rPr>
        <w:t>, רש"י.</w:t>
      </w:r>
    </w:p>
  </w:footnote>
  <w:footnote w:id="2566">
    <w:p w14:paraId="4B65636B" w14:textId="77777777" w:rsidR="00683108" w:rsidRPr="008C1C8E" w:rsidRDefault="0068310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קשר שאינו של קיימא, אפילו לכתחילה, רש"י.</w:t>
      </w:r>
    </w:p>
  </w:footnote>
  <w:footnote w:id="2567">
    <w:p w14:paraId="5CA7E1E1"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אפילו מעשה אומן, דאל"כ אפילו בלא מצוה שרי, וצ"ע דלמה צריך לעשות מעשה אומן יעשה קשר שאינו מעשה אומן אעפ"כ יכול למדוד, וצ"ל דמיירי דא"א בעניין אחר, מג"א (סק"ג).</w:t>
      </w:r>
    </w:p>
  </w:footnote>
  <w:footnote w:id="2568">
    <w:p w14:paraId="2F91607D"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ומיהו נראה מל' הרי"ף שהוא קשר שקושרין אותו הדק היטב, שלט"ג</w:t>
      </w:r>
      <w:r w:rsidRPr="008C1C8E">
        <w:rPr>
          <w:rFonts w:asciiTheme="minorBidi" w:hAnsiTheme="minorBidi"/>
          <w:sz w:val="14"/>
          <w:szCs w:val="14"/>
          <w:rtl/>
        </w:rPr>
        <w:t xml:space="preserve"> </w:t>
      </w:r>
      <w:r w:rsidRPr="008C1C8E">
        <w:rPr>
          <w:rFonts w:asciiTheme="minorBidi" w:hAnsiTheme="minorBidi"/>
          <w:sz w:val="16"/>
          <w:szCs w:val="16"/>
          <w:rtl/>
        </w:rPr>
        <w:t>(מא ע"א אות ג)</w:t>
      </w:r>
      <w:r w:rsidRPr="008C1C8E">
        <w:rPr>
          <w:rFonts w:asciiTheme="minorBidi" w:hAnsiTheme="minorBidi"/>
          <w:rtl/>
        </w:rPr>
        <w:t>, מג"א (סק"ו).</w:t>
      </w:r>
    </w:p>
  </w:footnote>
  <w:footnote w:id="2569">
    <w:p w14:paraId="772F5687" w14:textId="1D46BBF3"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זה לדעת הרי"ף והרמב"ם דבקשר שהוא מעשה אומן ואינו לקיימא פטור אבל אסור </w:t>
      </w:r>
      <w:r w:rsidRPr="008C1C8E">
        <w:rPr>
          <w:rFonts w:asciiTheme="minorBidi" w:hAnsiTheme="minorBidi"/>
          <w:sz w:val="16"/>
          <w:szCs w:val="16"/>
          <w:rtl/>
        </w:rPr>
        <w:t xml:space="preserve">(וקשר ע"ג קשר הוי מעשה אומן לפי מש"כ השלט"ג </w:t>
      </w:r>
      <w:r w:rsidR="00404CB9">
        <w:rPr>
          <w:rFonts w:asciiTheme="minorBidi" w:hAnsiTheme="minorBidi" w:hint="cs"/>
          <w:sz w:val="14"/>
          <w:szCs w:val="14"/>
          <w:rtl/>
        </w:rPr>
        <w:t>[</w:t>
      </w:r>
      <w:r w:rsidRPr="008C1C8E">
        <w:rPr>
          <w:rFonts w:asciiTheme="minorBidi" w:hAnsiTheme="minorBidi"/>
          <w:sz w:val="14"/>
          <w:szCs w:val="14"/>
          <w:rtl/>
        </w:rPr>
        <w:t>מא ע"א אות ג</w:t>
      </w:r>
      <w:r w:rsidR="00404CB9">
        <w:rPr>
          <w:rFonts w:asciiTheme="minorBidi" w:hAnsiTheme="minorBidi" w:hint="cs"/>
          <w:sz w:val="14"/>
          <w:szCs w:val="14"/>
          <w:rtl/>
        </w:rPr>
        <w:t>]</w:t>
      </w:r>
      <w:r w:rsidRPr="008C1C8E">
        <w:rPr>
          <w:rFonts w:asciiTheme="minorBidi" w:hAnsiTheme="minorBidi"/>
          <w:sz w:val="16"/>
          <w:szCs w:val="16"/>
          <w:rtl/>
        </w:rPr>
        <w:t xml:space="preserve"> שהרי הוא קשר שקושרין אותו הדק היטב)</w:t>
      </w:r>
      <w:r w:rsidR="00404CB9">
        <w:rPr>
          <w:rFonts w:asciiTheme="minorBidi" w:hAnsiTheme="minorBidi" w:hint="cs"/>
          <w:rtl/>
        </w:rPr>
        <w:t>.</w:t>
      </w:r>
      <w:r w:rsidRPr="008C1C8E">
        <w:rPr>
          <w:rFonts w:asciiTheme="minorBidi" w:hAnsiTheme="minorBidi"/>
          <w:rtl/>
        </w:rPr>
        <w:t xml:space="preserve"> אך לדעת הרא"ש שכ' שבקשר של קיימא אין חילוק בין מעשה אומן למעשה הדיוט, דהיינו שחוזק הקשר לא מעלה ולא מוריד אלא כל שהוא אינו לקיימא</w:t>
      </w:r>
      <w:r w:rsidR="00404CB9">
        <w:rPr>
          <w:rFonts w:asciiTheme="minorBidi" w:hAnsiTheme="minorBidi" w:hint="cs"/>
          <w:rtl/>
        </w:rPr>
        <w:t xml:space="preserve"> </w:t>
      </w:r>
      <w:r w:rsidRPr="008C1C8E">
        <w:rPr>
          <w:rFonts w:asciiTheme="minorBidi" w:hAnsiTheme="minorBidi"/>
          <w:rtl/>
        </w:rPr>
        <w:t xml:space="preserve">שרי אפילו הוא מעשה אומן, </w:t>
      </w:r>
      <w:r w:rsidR="00404CB9">
        <w:rPr>
          <w:rFonts w:asciiTheme="minorBidi" w:hAnsiTheme="minorBidi" w:hint="cs"/>
          <w:rtl/>
        </w:rPr>
        <w:t xml:space="preserve">ע"פ </w:t>
      </w:r>
      <w:r w:rsidRPr="008C1C8E">
        <w:rPr>
          <w:rFonts w:asciiTheme="minorBidi" w:hAnsiTheme="minorBidi"/>
          <w:rtl/>
        </w:rPr>
        <w:t>מג"א (סק"ה, ע"פ המפרשים א"א ולבוש"ש).</w:t>
      </w:r>
    </w:p>
  </w:footnote>
  <w:footnote w:id="2570">
    <w:p w14:paraId="6E175EF1"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ובספר הזכרונות </w:t>
      </w:r>
      <w:r w:rsidRPr="008C1C8E">
        <w:rPr>
          <w:rFonts w:asciiTheme="minorBidi" w:hAnsiTheme="minorBidi"/>
          <w:sz w:val="16"/>
          <w:szCs w:val="16"/>
          <w:rtl/>
        </w:rPr>
        <w:t>(זכרון ט פ"א ד"ה הקושר)</w:t>
      </w:r>
      <w:r w:rsidRPr="008C1C8E">
        <w:rPr>
          <w:rFonts w:asciiTheme="minorBidi" w:hAnsiTheme="minorBidi"/>
          <w:rtl/>
        </w:rPr>
        <w:t xml:space="preserve"> אוסר, מג"א (סק"ו).</w:t>
      </w:r>
    </w:p>
  </w:footnote>
  <w:footnote w:id="2571">
    <w:p w14:paraId="11A244F5"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וכן נראה מלשון הב"י שכ' </w:t>
      </w:r>
      <w:r w:rsidRPr="008C1C8E">
        <w:rPr>
          <w:rFonts w:asciiTheme="minorBidi" w:hAnsiTheme="minorBidi"/>
          <w:sz w:val="16"/>
          <w:szCs w:val="16"/>
          <w:rtl/>
        </w:rPr>
        <w:t>(ד"ה נמצינו למדין)</w:t>
      </w:r>
      <w:r w:rsidRPr="008C1C8E">
        <w:rPr>
          <w:rFonts w:asciiTheme="minorBidi" w:hAnsiTheme="minorBidi"/>
          <w:rtl/>
        </w:rPr>
        <w:t>- "דקשר של קיימא מיקרי קשר דבר שדרך לקושרו על דעת שיעמוד לעולם".</w:t>
      </w:r>
    </w:p>
  </w:footnote>
  <w:footnote w:id="2572">
    <w:p w14:paraId="01119BDE" w14:textId="1464992F" w:rsidR="00446FDC" w:rsidRDefault="00446FDC" w:rsidP="00285819">
      <w:pPr>
        <w:pStyle w:val="a7"/>
        <w:rPr>
          <w:rtl/>
        </w:rPr>
      </w:pPr>
      <w:r>
        <w:rPr>
          <w:rStyle w:val="a9"/>
        </w:rPr>
        <w:footnoteRef/>
      </w:r>
      <w:r>
        <w:rPr>
          <w:rFonts w:cs="Arial"/>
        </w:rPr>
        <w:t xml:space="preserve"> </w:t>
      </w:r>
      <w:r>
        <w:rPr>
          <w:rFonts w:cs="Arial" w:hint="cs"/>
          <w:rtl/>
        </w:rPr>
        <w:t>סימן - מחזירים חוט.</w:t>
      </w:r>
    </w:p>
  </w:footnote>
  <w:footnote w:id="2573">
    <w:p w14:paraId="77F54C0E" w14:textId="621F400B" w:rsidR="003C225A" w:rsidRDefault="003C225A" w:rsidP="00285819">
      <w:pPr>
        <w:pStyle w:val="a7"/>
      </w:pPr>
      <w:r>
        <w:rPr>
          <w:rStyle w:val="a9"/>
        </w:rPr>
        <w:footnoteRef/>
      </w:r>
      <w:r>
        <w:rPr>
          <w:rtl/>
        </w:rPr>
        <w:t xml:space="preserve"> </w:t>
      </w:r>
      <w:r w:rsidRPr="003C225A">
        <w:rPr>
          <w:rFonts w:cs="Arial"/>
          <w:rtl/>
        </w:rPr>
        <w:t>להחזיר מוכין שנפלו מן הכר לתוכן</w:t>
      </w:r>
      <w:r>
        <w:rPr>
          <w:rFonts w:cs="Arial" w:hint="cs"/>
          <w:rtl/>
        </w:rPr>
        <w:t>, רש"י.</w:t>
      </w:r>
    </w:p>
  </w:footnote>
  <w:footnote w:id="2574">
    <w:p w14:paraId="24242A0A" w14:textId="1175976E" w:rsidR="003C225A" w:rsidRDefault="003C225A" w:rsidP="00285819">
      <w:pPr>
        <w:pStyle w:val="a7"/>
      </w:pPr>
      <w:r>
        <w:rPr>
          <w:rStyle w:val="a9"/>
        </w:rPr>
        <w:footnoteRef/>
      </w:r>
      <w:r>
        <w:rPr>
          <w:rtl/>
        </w:rPr>
        <w:t xml:space="preserve"> </w:t>
      </w:r>
      <w:r w:rsidRPr="003C225A">
        <w:rPr>
          <w:rFonts w:cs="Arial"/>
          <w:rtl/>
        </w:rPr>
        <w:t>שדרך הכובסים לקושרן</w:t>
      </w:r>
      <w:r>
        <w:rPr>
          <w:rFonts w:cs="Arial" w:hint="cs"/>
          <w:rtl/>
        </w:rPr>
        <w:t>, רש"י.</w:t>
      </w:r>
    </w:p>
  </w:footnote>
  <w:footnote w:id="2575">
    <w:p w14:paraId="28C83799" w14:textId="44A7AC90" w:rsidR="003C225A" w:rsidRDefault="003C225A" w:rsidP="00285819">
      <w:pPr>
        <w:pStyle w:val="a7"/>
      </w:pPr>
      <w:r>
        <w:rPr>
          <w:rStyle w:val="a9"/>
        </w:rPr>
        <w:footnoteRef/>
      </w:r>
      <w:r>
        <w:rPr>
          <w:rtl/>
        </w:rPr>
        <w:t xml:space="preserve"> </w:t>
      </w:r>
      <w:r w:rsidRPr="003C225A">
        <w:rPr>
          <w:rFonts w:cs="Arial"/>
          <w:rtl/>
        </w:rPr>
        <w:t>לכתחילה, דהשתא עביד ליה מנא</w:t>
      </w:r>
      <w:r>
        <w:rPr>
          <w:rFonts w:cs="Arial" w:hint="cs"/>
          <w:rtl/>
        </w:rPr>
        <w:t>, רש"י.</w:t>
      </w:r>
    </w:p>
  </w:footnote>
  <w:footnote w:id="2576">
    <w:p w14:paraId="0959114D" w14:textId="41A75C57" w:rsidR="003C225A" w:rsidRDefault="003C225A" w:rsidP="00285819">
      <w:pPr>
        <w:pStyle w:val="a7"/>
      </w:pPr>
      <w:r>
        <w:rPr>
          <w:rStyle w:val="a9"/>
        </w:rPr>
        <w:footnoteRef/>
      </w:r>
      <w:r>
        <w:rPr>
          <w:rtl/>
        </w:rPr>
        <w:t xml:space="preserve"> </w:t>
      </w:r>
      <w:r w:rsidRPr="003C225A">
        <w:rPr>
          <w:rFonts w:cs="Arial"/>
          <w:rtl/>
        </w:rPr>
        <w:t>שלא היו מעולם לתוכו - אסור, דהשתא עביד ליה מנא</w:t>
      </w:r>
      <w:r>
        <w:rPr>
          <w:rFonts w:cs="Arial" w:hint="cs"/>
          <w:rtl/>
        </w:rPr>
        <w:t>, רש"י.</w:t>
      </w:r>
    </w:p>
  </w:footnote>
  <w:footnote w:id="2577">
    <w:p w14:paraId="7765BFFC" w14:textId="6733069E" w:rsidR="003C225A" w:rsidRDefault="003C225A" w:rsidP="00285819">
      <w:pPr>
        <w:pStyle w:val="a7"/>
      </w:pPr>
      <w:r>
        <w:rPr>
          <w:rStyle w:val="a9"/>
        </w:rPr>
        <w:footnoteRef/>
      </w:r>
      <w:r>
        <w:rPr>
          <w:rtl/>
        </w:rPr>
        <w:t xml:space="preserve"> </w:t>
      </w:r>
      <w:r w:rsidRPr="003C225A">
        <w:rPr>
          <w:rFonts w:cs="Arial"/>
          <w:rtl/>
        </w:rPr>
        <w:t>להחזירו לכר זה שנפלו ממנו</w:t>
      </w:r>
      <w:r>
        <w:rPr>
          <w:rFonts w:cs="Arial" w:hint="cs"/>
          <w:rtl/>
        </w:rPr>
        <w:t>, רש"י.</w:t>
      </w:r>
    </w:p>
  </w:footnote>
  <w:footnote w:id="2578">
    <w:p w14:paraId="403EFD07" w14:textId="77777777" w:rsidR="00347BD3" w:rsidRDefault="00347BD3" w:rsidP="00285819">
      <w:pPr>
        <w:pStyle w:val="a7"/>
      </w:pPr>
      <w:r>
        <w:rPr>
          <w:rStyle w:val="a9"/>
        </w:rPr>
        <w:footnoteRef/>
      </w:r>
      <w:r>
        <w:rPr>
          <w:rtl/>
        </w:rPr>
        <w:t xml:space="preserve"> </w:t>
      </w:r>
      <w:r>
        <w:rPr>
          <w:rFonts w:cs="Arial" w:hint="cs"/>
          <w:rtl/>
        </w:rPr>
        <w:t xml:space="preserve">וז"ל- </w:t>
      </w:r>
      <w:r w:rsidRPr="00686F0C">
        <w:rPr>
          <w:rFonts w:cs="Arial"/>
          <w:rtl/>
        </w:rPr>
        <w:t>לולאות של מלבושין שעל הכתף אם יצאו יש מתירין להחזירן בשבת אם הנקב רחב ויכול להחזירן בקל כיון דנתקו</w:t>
      </w:r>
      <w:r>
        <w:rPr>
          <w:rFonts w:cs="Arial" w:hint="cs"/>
          <w:rtl/>
        </w:rPr>
        <w:t>.</w:t>
      </w:r>
      <w:r w:rsidRPr="00686F0C">
        <w:rPr>
          <w:rFonts w:cs="Arial"/>
          <w:rtl/>
        </w:rPr>
        <w:t xml:space="preserve"> ונראה דאסור להחזירן</w:t>
      </w:r>
      <w:r>
        <w:rPr>
          <w:rFonts w:cs="Arial" w:hint="cs"/>
          <w:rtl/>
        </w:rPr>
        <w:t>,</w:t>
      </w:r>
      <w:r w:rsidRPr="00686F0C">
        <w:rPr>
          <w:rFonts w:cs="Arial"/>
          <w:rtl/>
        </w:rPr>
        <w:t xml:space="preserve"> שרגילין לקשרן והוא קשר של קיימא</w:t>
      </w:r>
      <w:r>
        <w:rPr>
          <w:rFonts w:cs="Arial" w:hint="cs"/>
          <w:rtl/>
        </w:rPr>
        <w:t>,</w:t>
      </w:r>
      <w:r w:rsidRPr="00686F0C">
        <w:rPr>
          <w:rFonts w:cs="Arial"/>
          <w:rtl/>
        </w:rPr>
        <w:t xml:space="preserve"> כדאמרינן בריש פרק כל הכלים דאסור להחזיר פתח שידה תיבה ומגדל גזירה שמא יתקע.</w:t>
      </w:r>
      <w:r>
        <w:rPr>
          <w:rFonts w:cs="Arial" w:hint="cs"/>
          <w:rtl/>
        </w:rPr>
        <w:t xml:space="preserve"> עכ"ל. וכתב הב"י</w:t>
      </w:r>
      <w:r w:rsidRPr="00686F0C">
        <w:rPr>
          <w:rFonts w:cs="Arial"/>
          <w:rtl/>
        </w:rPr>
        <w:t xml:space="preserve"> </w:t>
      </w:r>
      <w:r>
        <w:rPr>
          <w:rFonts w:cs="Arial" w:hint="cs"/>
          <w:rtl/>
        </w:rPr>
        <w:t>ש</w:t>
      </w:r>
      <w:r w:rsidRPr="00686F0C">
        <w:rPr>
          <w:rFonts w:cs="Arial"/>
          <w:rtl/>
        </w:rPr>
        <w:t>דבריו כדברי התוספות.</w:t>
      </w:r>
    </w:p>
  </w:footnote>
  <w:footnote w:id="2579">
    <w:p w14:paraId="04E0B693" w14:textId="77777777" w:rsidR="00347BD3" w:rsidRDefault="00347BD3" w:rsidP="00285819">
      <w:pPr>
        <w:pStyle w:val="a7"/>
      </w:pPr>
      <w:r>
        <w:rPr>
          <w:rStyle w:val="a9"/>
        </w:rPr>
        <w:footnoteRef/>
      </w:r>
      <w:r>
        <w:rPr>
          <w:rtl/>
        </w:rPr>
        <w:t xml:space="preserve"> </w:t>
      </w:r>
      <w:r>
        <w:rPr>
          <w:rFonts w:hint="cs"/>
          <w:rtl/>
        </w:rPr>
        <w:t xml:space="preserve">וז"ל- </w:t>
      </w:r>
      <w:r w:rsidRPr="00D9457B">
        <w:rPr>
          <w:rFonts w:asciiTheme="minorBidi" w:hAnsiTheme="minorBidi" w:cs="Arial"/>
          <w:rtl/>
        </w:rPr>
        <w:t xml:space="preserve">רצועות שבבגד שעל הכתף שמהדקין בהן הבגד שיצאו </w:t>
      </w:r>
      <w:r>
        <w:rPr>
          <w:rFonts w:asciiTheme="minorBidi" w:hAnsiTheme="minorBidi" w:cs="Arial" w:hint="cs"/>
          <w:rtl/>
        </w:rPr>
        <w:t xml:space="preserve">- </w:t>
      </w:r>
      <w:r w:rsidRPr="00D9457B">
        <w:rPr>
          <w:rFonts w:asciiTheme="minorBidi" w:hAnsiTheme="minorBidi" w:cs="Arial"/>
          <w:rtl/>
        </w:rPr>
        <w:t>אסור להחזירם</w:t>
      </w:r>
      <w:r>
        <w:rPr>
          <w:rFonts w:asciiTheme="minorBidi" w:hAnsiTheme="minorBidi" w:cs="Arial" w:hint="cs"/>
          <w:rtl/>
        </w:rPr>
        <w:t>,</w:t>
      </w:r>
      <w:r w:rsidRPr="00D9457B">
        <w:rPr>
          <w:rFonts w:asciiTheme="minorBidi" w:hAnsiTheme="minorBidi" w:cs="Arial"/>
          <w:rtl/>
        </w:rPr>
        <w:t xml:space="preserve"> חיישינן שמא יקשור.</w:t>
      </w:r>
    </w:p>
  </w:footnote>
  <w:footnote w:id="2580">
    <w:p w14:paraId="2B5C7D46" w14:textId="5C285CC3" w:rsidR="00347BD3" w:rsidRDefault="00347BD3" w:rsidP="00285819">
      <w:pPr>
        <w:pStyle w:val="a7"/>
      </w:pPr>
      <w:r>
        <w:rPr>
          <w:rStyle w:val="a9"/>
        </w:rPr>
        <w:footnoteRef/>
      </w:r>
      <w:r>
        <w:rPr>
          <w:rtl/>
        </w:rPr>
        <w:t xml:space="preserve"> </w:t>
      </w:r>
      <w:r w:rsidRPr="00686F0C">
        <w:rPr>
          <w:rFonts w:cs="Arial"/>
          <w:rtl/>
        </w:rPr>
        <w:t>ולא תיקשי מהירושלמי שכתב נוטל ומחזיר ובלבד שלא יקשור דשאני התם שאינו קשר של קיימא ולא גזרינן אלא בעשוי לקשור קשר של קיימא</w:t>
      </w:r>
      <w:r>
        <w:rPr>
          <w:rFonts w:cs="Arial" w:hint="cs"/>
          <w:rtl/>
        </w:rPr>
        <w:t>, ב"י.</w:t>
      </w:r>
    </w:p>
  </w:footnote>
  <w:footnote w:id="2581">
    <w:p w14:paraId="7A65C380" w14:textId="73EA7964"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דוקא נשמטו</w:t>
      </w:r>
      <w:r w:rsidR="00267CD1">
        <w:rPr>
          <w:rFonts w:asciiTheme="minorBidi" w:hAnsiTheme="minorBidi" w:hint="cs"/>
          <w:rtl/>
        </w:rPr>
        <w:t>,</w:t>
      </w:r>
      <w:r w:rsidRPr="008C1C8E">
        <w:rPr>
          <w:rFonts w:asciiTheme="minorBidi" w:hAnsiTheme="minorBidi"/>
          <w:rtl/>
        </w:rPr>
        <w:t xml:space="preserve"> אבל לתת רצועות במנעל חדש אסור דמתקן מנא הוא, וה"ה בסרבל או במכנסיים </w:t>
      </w:r>
      <w:r w:rsidRPr="008C1C8E">
        <w:rPr>
          <w:rFonts w:asciiTheme="minorBidi" w:hAnsiTheme="minorBidi"/>
          <w:sz w:val="16"/>
          <w:szCs w:val="16"/>
          <w:rtl/>
        </w:rPr>
        <w:t>(כ"מ בתוס' ורא"ש והג"א והמרדכי)</w:t>
      </w:r>
      <w:r w:rsidR="00267CD1">
        <w:rPr>
          <w:rFonts w:asciiTheme="minorBidi" w:hAnsiTheme="minorBidi" w:hint="cs"/>
          <w:rtl/>
        </w:rPr>
        <w:t>.</w:t>
      </w:r>
      <w:r w:rsidRPr="008C1C8E">
        <w:rPr>
          <w:rFonts w:asciiTheme="minorBidi" w:hAnsiTheme="minorBidi"/>
          <w:rtl/>
        </w:rPr>
        <w:t xml:space="preserve"> אבל להכניס אבנט במכנסיים חדשות</w:t>
      </w:r>
      <w:r w:rsidR="00267CD1">
        <w:rPr>
          <w:rFonts w:asciiTheme="minorBidi" w:hAnsiTheme="minorBidi" w:hint="cs"/>
          <w:rtl/>
        </w:rPr>
        <w:t xml:space="preserve"> </w:t>
      </w:r>
      <w:r w:rsidRPr="008C1C8E">
        <w:rPr>
          <w:rFonts w:asciiTheme="minorBidi" w:hAnsiTheme="minorBidi"/>
          <w:rtl/>
        </w:rPr>
        <w:t xml:space="preserve">- שרי, דלא מבטיל ליה התם ועשוי להכניס ולהוציא תדיר לכן לא מקרי מתקן מנא </w:t>
      </w:r>
      <w:r w:rsidRPr="008C1C8E">
        <w:rPr>
          <w:rFonts w:asciiTheme="minorBidi" w:hAnsiTheme="minorBidi"/>
          <w:sz w:val="16"/>
          <w:szCs w:val="16"/>
          <w:rtl/>
        </w:rPr>
        <w:t>(ב"י ססי' זה)</w:t>
      </w:r>
      <w:r w:rsidR="00267CD1">
        <w:rPr>
          <w:rFonts w:asciiTheme="minorBidi" w:hAnsiTheme="minorBidi" w:hint="cs"/>
          <w:rtl/>
        </w:rPr>
        <w:t>.</w:t>
      </w:r>
      <w:r w:rsidRPr="008C1C8E">
        <w:rPr>
          <w:rFonts w:asciiTheme="minorBidi" w:hAnsiTheme="minorBidi"/>
          <w:rtl/>
        </w:rPr>
        <w:t xml:space="preserve"> וא"כ אסור להכניס משיחה לשם דמבטל ליה התם, מג"א (סק"ז).</w:t>
      </w:r>
    </w:p>
  </w:footnote>
  <w:footnote w:id="2582">
    <w:p w14:paraId="2D0A0C5F" w14:textId="6B00F0DC"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פי' שלא יעשה קשר בראשו שלא ישמט דהוי קשר של קיימא, כמ"ש סס"א, מג"א (סק"ח). ובדברים שיש רגילות לקשור קשר של קיימא לאחר ההכנסה אסור בכל מצב </w:t>
      </w:r>
      <w:r w:rsidR="00267CD1">
        <w:rPr>
          <w:rFonts w:asciiTheme="minorBidi" w:hAnsiTheme="minorBidi" w:hint="cs"/>
          <w:rtl/>
        </w:rPr>
        <w:t>(</w:t>
      </w:r>
      <w:r w:rsidRPr="008C1C8E">
        <w:rPr>
          <w:rFonts w:asciiTheme="minorBidi" w:hAnsiTheme="minorBidi"/>
          <w:rtl/>
        </w:rPr>
        <w:t>תוס' רא"ש ב"י ו</w:t>
      </w:r>
      <w:r w:rsidR="00267CD1">
        <w:rPr>
          <w:rFonts w:asciiTheme="minorBidi" w:hAnsiTheme="minorBidi" w:hint="cs"/>
          <w:rtl/>
        </w:rPr>
        <w:t>עוד)</w:t>
      </w:r>
      <w:r w:rsidRPr="008C1C8E">
        <w:rPr>
          <w:rFonts w:asciiTheme="minorBidi" w:hAnsiTheme="minorBidi"/>
          <w:rtl/>
        </w:rPr>
        <w:t>.</w:t>
      </w:r>
    </w:p>
  </w:footnote>
  <w:footnote w:id="2583">
    <w:p w14:paraId="7589708D" w14:textId="1B38B473"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לא הבנתי הג"ה זאת במה דתלה גזירת קשירה באם יש טורח, דגם מהתוס' וגם מהרא"ש משמע שאף כשאין טורח חיישינן שמא יקשור</w:t>
      </w:r>
      <w:r w:rsidRPr="008C1C8E">
        <w:rPr>
          <w:rFonts w:asciiTheme="minorBidi" w:hAnsiTheme="minorBidi"/>
          <w:sz w:val="16"/>
          <w:szCs w:val="16"/>
          <w:rtl/>
        </w:rPr>
        <w:t xml:space="preserve"> (בדבר שיש רגילות לקשור קשר של קיימא)</w:t>
      </w:r>
      <w:r w:rsidRPr="008C1C8E">
        <w:rPr>
          <w:rFonts w:asciiTheme="minorBidi" w:hAnsiTheme="minorBidi"/>
          <w:rtl/>
        </w:rPr>
        <w:t>, ולא אמרינן שצריך שיהיה בלא טורח אלא שלא יהיה כמתקן מנא וכמ"ש ב"י בשם מרדכי, וצ"ע, ט"ז</w:t>
      </w:r>
      <w:r w:rsidRPr="008C1C8E">
        <w:rPr>
          <w:rFonts w:asciiTheme="minorBidi" w:hAnsiTheme="minorBidi"/>
          <w:sz w:val="16"/>
          <w:szCs w:val="16"/>
          <w:rtl/>
        </w:rPr>
        <w:t xml:space="preserve"> (סק"ב)</w:t>
      </w:r>
      <w:r w:rsidR="00267CD1">
        <w:rPr>
          <w:rFonts w:asciiTheme="minorBidi" w:hAnsiTheme="minorBidi" w:hint="cs"/>
          <w:rtl/>
        </w:rPr>
        <w:t>.</w:t>
      </w:r>
      <w:r w:rsidRPr="008C1C8E">
        <w:rPr>
          <w:rFonts w:asciiTheme="minorBidi" w:hAnsiTheme="minorBidi"/>
          <w:rtl/>
        </w:rPr>
        <w:t xml:space="preserve"> ו</w:t>
      </w:r>
      <w:r w:rsidR="00267CD1">
        <w:rPr>
          <w:rFonts w:asciiTheme="minorBidi" w:hAnsiTheme="minorBidi" w:hint="cs"/>
          <w:rtl/>
        </w:rPr>
        <w:t>כן תמה ה</w:t>
      </w:r>
      <w:r w:rsidRPr="008C1C8E">
        <w:rPr>
          <w:rFonts w:asciiTheme="minorBidi" w:hAnsiTheme="minorBidi"/>
          <w:rtl/>
        </w:rPr>
        <w:t>מג"א</w:t>
      </w:r>
      <w:r w:rsidR="00267CD1">
        <w:rPr>
          <w:rFonts w:asciiTheme="minorBidi" w:hAnsiTheme="minorBidi" w:hint="cs"/>
          <w:rtl/>
        </w:rPr>
        <w:t xml:space="preserve"> (סק"ט) וכתב</w:t>
      </w:r>
      <w:r w:rsidRPr="008C1C8E">
        <w:rPr>
          <w:rFonts w:asciiTheme="minorBidi" w:hAnsiTheme="minorBidi"/>
          <w:rtl/>
        </w:rPr>
        <w:t xml:space="preserve"> </w:t>
      </w:r>
      <w:r w:rsidR="00267CD1">
        <w:rPr>
          <w:rFonts w:asciiTheme="minorBidi" w:hAnsiTheme="minorBidi" w:hint="cs"/>
          <w:rtl/>
        </w:rPr>
        <w:t>ד</w:t>
      </w:r>
      <w:r w:rsidRPr="008C1C8E">
        <w:rPr>
          <w:rFonts w:asciiTheme="minorBidi" w:hAnsiTheme="minorBidi"/>
          <w:rtl/>
        </w:rPr>
        <w:t>אפשר דט"ס היא</w:t>
      </w:r>
      <w:r w:rsidR="00267CD1">
        <w:rPr>
          <w:rFonts w:asciiTheme="minorBidi" w:hAnsiTheme="minorBidi" w:hint="cs"/>
          <w:rtl/>
        </w:rPr>
        <w:t>.</w:t>
      </w:r>
      <w:r w:rsidRPr="008C1C8E">
        <w:rPr>
          <w:rFonts w:asciiTheme="minorBidi" w:hAnsiTheme="minorBidi"/>
          <w:rtl/>
        </w:rPr>
        <w:t xml:space="preserve"> ואולי אפשר לתרץ שהרמ"א כ' דבר זה מעצמו, ולרבותא נקט, שגם אם יהיה מצב שלא חיישינן למתקן מנא במקום שיש טורח </w:t>
      </w:r>
      <w:r w:rsidRPr="008C1C8E">
        <w:rPr>
          <w:rFonts w:asciiTheme="minorBidi" w:hAnsiTheme="minorBidi"/>
          <w:sz w:val="16"/>
          <w:szCs w:val="16"/>
          <w:rtl/>
        </w:rPr>
        <w:t>(כגון במקום שיש טורח להכניס אבל מ"מ מוציאים ומכניסים הרצועות תדיר)</w:t>
      </w:r>
      <w:r w:rsidRPr="008C1C8E">
        <w:rPr>
          <w:rFonts w:asciiTheme="minorBidi" w:hAnsiTheme="minorBidi"/>
          <w:rtl/>
        </w:rPr>
        <w:t xml:space="preserve">, וגם יהיה זה בדבר שאין רגילות לקשור שם קשר של קיימא </w:t>
      </w:r>
      <w:r w:rsidRPr="008C1C8E">
        <w:rPr>
          <w:rFonts w:asciiTheme="minorBidi" w:hAnsiTheme="minorBidi"/>
          <w:sz w:val="16"/>
          <w:szCs w:val="16"/>
          <w:rtl/>
        </w:rPr>
        <w:t>(שלא כמו במנעלים שלהם שהיו עושן שם קשר של קיימא)</w:t>
      </w:r>
      <w:r w:rsidRPr="008C1C8E">
        <w:rPr>
          <w:rFonts w:asciiTheme="minorBidi" w:hAnsiTheme="minorBidi"/>
          <w:rtl/>
        </w:rPr>
        <w:t xml:space="preserve"> דאז היינו חושבים להתיר משום דלא הוי מתקן מנא וגם אין רגילות לקשור שם קשר של קיימא, אבל מחדש לנו הרמ"א דמ"מ אסור משום שיש חשש שבגלל שהוא טורח להכניס שם הרצועה יבוא לקשור קשר של קיימא. </w:t>
      </w:r>
    </w:p>
  </w:footnote>
  <w:footnote w:id="2584">
    <w:p w14:paraId="52A62987" w14:textId="42B284F5" w:rsidR="00446FDC" w:rsidRDefault="00446FDC" w:rsidP="00285819">
      <w:pPr>
        <w:pStyle w:val="a7"/>
        <w:rPr>
          <w:rtl/>
        </w:rPr>
      </w:pPr>
      <w:r>
        <w:rPr>
          <w:rStyle w:val="a9"/>
        </w:rPr>
        <w:footnoteRef/>
      </w:r>
      <w:r>
        <w:rPr>
          <w:rFonts w:cs="Arial"/>
        </w:rPr>
        <w:t xml:space="preserve"> </w:t>
      </w:r>
      <w:r>
        <w:rPr>
          <w:rFonts w:cs="Arial" w:hint="cs"/>
          <w:rtl/>
        </w:rPr>
        <w:t>סימן - מתירין חוט</w:t>
      </w:r>
      <w:r w:rsidR="00A94C22">
        <w:rPr>
          <w:rFonts w:cs="Arial" w:hint="cs"/>
          <w:rtl/>
        </w:rPr>
        <w:t>/חולצה</w:t>
      </w:r>
      <w:r>
        <w:rPr>
          <w:rFonts w:cs="Arial" w:hint="cs"/>
          <w:rtl/>
        </w:rPr>
        <w:t>.</w:t>
      </w:r>
    </w:p>
  </w:footnote>
  <w:footnote w:id="2585">
    <w:p w14:paraId="34AFBB79"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שדרך הכובסים לקושרן, רש"י.</w:t>
      </w:r>
    </w:p>
  </w:footnote>
  <w:footnote w:id="2586">
    <w:p w14:paraId="54B7DA50"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לכתחילה, דהשתא עביד ליה מנא, רש"י.</w:t>
      </w:r>
    </w:p>
  </w:footnote>
  <w:footnote w:id="2587">
    <w:p w14:paraId="2C3F023C"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של חלוק לכתחילה, רש"י.</w:t>
      </w:r>
    </w:p>
  </w:footnote>
  <w:footnote w:id="2588">
    <w:p w14:paraId="0845831B" w14:textId="7447DBD1" w:rsidR="009A7623" w:rsidRPr="008C1C8E" w:rsidRDefault="009A7623" w:rsidP="00285819">
      <w:pPr>
        <w:spacing w:after="0" w:line="240" w:lineRule="auto"/>
        <w:rPr>
          <w:rFonts w:asciiTheme="minorBidi" w:hAnsiTheme="minorBidi"/>
          <w:sz w:val="20"/>
          <w:szCs w:val="20"/>
          <w:rtl/>
        </w:rPr>
      </w:pPr>
      <w:r w:rsidRPr="008C1C8E">
        <w:rPr>
          <w:rStyle w:val="a9"/>
          <w:rFonts w:asciiTheme="minorBidi" w:hAnsiTheme="minorBidi"/>
          <w:sz w:val="20"/>
          <w:szCs w:val="20"/>
        </w:rPr>
        <w:footnoteRef/>
      </w:r>
      <w:r w:rsidRPr="008C1C8E">
        <w:rPr>
          <w:rFonts w:asciiTheme="minorBidi" w:hAnsiTheme="minorBidi"/>
          <w:sz w:val="20"/>
          <w:szCs w:val="20"/>
          <w:rtl/>
        </w:rPr>
        <w:t xml:space="preserve"> דהשתא קמשוי ליה מנא, וחייב משום מכה בפטיש, והיינו גמר מלאכה, </w:t>
      </w:r>
      <w:r w:rsidRPr="002C4DF0">
        <w:rPr>
          <w:rFonts w:asciiTheme="minorBidi" w:hAnsiTheme="minorBidi"/>
          <w:b/>
          <w:bCs/>
          <w:sz w:val="20"/>
          <w:szCs w:val="20"/>
          <w:rtl/>
        </w:rPr>
        <w:t>רש"י</w:t>
      </w:r>
      <w:r w:rsidRPr="008C1C8E">
        <w:rPr>
          <w:rFonts w:asciiTheme="minorBidi" w:hAnsiTheme="minorBidi"/>
          <w:sz w:val="20"/>
          <w:szCs w:val="20"/>
          <w:rtl/>
        </w:rPr>
        <w:t xml:space="preserve">. </w:t>
      </w:r>
      <w:r w:rsidR="002C4DF0">
        <w:rPr>
          <w:rFonts w:asciiTheme="minorBidi" w:hAnsiTheme="minorBidi" w:hint="cs"/>
          <w:sz w:val="20"/>
          <w:szCs w:val="20"/>
          <w:rtl/>
        </w:rPr>
        <w:t xml:space="preserve">  </w:t>
      </w:r>
      <w:r w:rsidR="002C4DF0" w:rsidRPr="002C4DF0">
        <w:rPr>
          <w:rFonts w:asciiTheme="minorBidi" w:hAnsiTheme="minorBidi"/>
          <w:sz w:val="20"/>
          <w:szCs w:val="20"/>
          <w:rtl/>
        </w:rPr>
        <w:t>ואם תאמר ותיפוק ליה דחייב משום קורע. ו</w:t>
      </w:r>
      <w:r w:rsidR="002C4DF0">
        <w:rPr>
          <w:rFonts w:asciiTheme="minorBidi" w:hAnsiTheme="minorBidi" w:hint="cs"/>
          <w:sz w:val="20"/>
          <w:szCs w:val="20"/>
          <w:rtl/>
        </w:rPr>
        <w:t>נ"</w:t>
      </w:r>
      <w:r w:rsidR="002C4DF0" w:rsidRPr="002C4DF0">
        <w:rPr>
          <w:rFonts w:asciiTheme="minorBidi" w:hAnsiTheme="minorBidi"/>
          <w:sz w:val="20"/>
          <w:szCs w:val="20"/>
          <w:rtl/>
        </w:rPr>
        <w:t>ל דלא מיחייב משום קורע אלא בקורע על מנת לתפור (מתני' עג.) והכא כיון שאינו על מנת לתפור ליכא לחיובי משום קורע</w:t>
      </w:r>
      <w:r w:rsidR="002C4DF0">
        <w:rPr>
          <w:rFonts w:asciiTheme="minorBidi" w:hAnsiTheme="minorBidi" w:hint="cs"/>
          <w:sz w:val="20"/>
          <w:szCs w:val="20"/>
          <w:rtl/>
        </w:rPr>
        <w:t xml:space="preserve">, </w:t>
      </w:r>
      <w:r w:rsidR="002C4DF0" w:rsidRPr="002C4DF0">
        <w:rPr>
          <w:rFonts w:asciiTheme="minorBidi" w:hAnsiTheme="minorBidi" w:hint="cs"/>
          <w:b/>
          <w:bCs/>
          <w:sz w:val="20"/>
          <w:szCs w:val="20"/>
          <w:rtl/>
        </w:rPr>
        <w:t>ב"י</w:t>
      </w:r>
      <w:r w:rsidRPr="008C1C8E">
        <w:rPr>
          <w:rFonts w:asciiTheme="minorBidi" w:hAnsiTheme="minorBidi"/>
          <w:sz w:val="20"/>
          <w:szCs w:val="20"/>
          <w:rtl/>
        </w:rPr>
        <w:t>.</w:t>
      </w:r>
      <w:r w:rsidR="00A94C22">
        <w:rPr>
          <w:rFonts w:asciiTheme="minorBidi" w:hAnsiTheme="minorBidi" w:hint="cs"/>
          <w:sz w:val="20"/>
          <w:szCs w:val="20"/>
          <w:rtl/>
        </w:rPr>
        <w:t xml:space="preserve"> ועיין לקמן בהערה שמובאת על סוף דברי הרמב"ם דס"ל דחייב משום קורע.</w:t>
      </w:r>
    </w:p>
  </w:footnote>
  <w:footnote w:id="2589">
    <w:p w14:paraId="6DC344F9" w14:textId="6021FB3D"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דתניא בפרק חבית שנשברה (שבת קמו</w:t>
      </w:r>
      <w:r w:rsidR="002C4DF0">
        <w:rPr>
          <w:rFonts w:asciiTheme="minorBidi" w:hAnsiTheme="minorBidi" w:hint="cs"/>
          <w:rtl/>
        </w:rPr>
        <w:t>.</w:t>
      </w:r>
      <w:r w:rsidRPr="008C1C8E">
        <w:rPr>
          <w:rFonts w:asciiTheme="minorBidi" w:hAnsiTheme="minorBidi"/>
          <w:rtl/>
        </w:rPr>
        <w:t>) מביא אדם חבית ומתיז את ראשה בסייף, ומניחה לפני האורחים, רש"י.</w:t>
      </w:r>
    </w:p>
  </w:footnote>
  <w:footnote w:id="2590">
    <w:p w14:paraId="7739FE10"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מגופה אינה מן החבית עצמו, ואע"פ שדבוקה בו- אינו חשוב חיבור, שהרי לינטל עומדת, אבל הבגד כשנארג - כולו חבור, רש"י.</w:t>
      </w:r>
    </w:p>
  </w:footnote>
  <w:footnote w:id="2591">
    <w:p w14:paraId="734D460C" w14:textId="2C687BE0" w:rsidR="00AF7856" w:rsidRDefault="00AF7856" w:rsidP="00285819">
      <w:pPr>
        <w:pStyle w:val="a7"/>
        <w:rPr>
          <w:rtl/>
        </w:rPr>
      </w:pPr>
      <w:r>
        <w:rPr>
          <w:rStyle w:val="a9"/>
        </w:rPr>
        <w:footnoteRef/>
      </w:r>
      <w:r>
        <w:rPr>
          <w:rtl/>
        </w:rPr>
        <w:t xml:space="preserve"> </w:t>
      </w:r>
      <w:r>
        <w:rPr>
          <w:rFonts w:hint="cs"/>
          <w:rtl/>
        </w:rPr>
        <w:t xml:space="preserve">מוכח מדברי הרמב"ם שהפותח בית צואר בשבת בתחילה חייב משום קורע </w:t>
      </w:r>
      <w:r w:rsidR="001362C4">
        <w:rPr>
          <w:rFonts w:hint="cs"/>
          <w:rtl/>
        </w:rPr>
        <w:t>(</w:t>
      </w:r>
      <w:r>
        <w:rPr>
          <w:rFonts w:hint="cs"/>
          <w:rtl/>
        </w:rPr>
        <w:t>ולא כמו שכתב הב"י שאין חיוב אלא בקורע על מנת לתפור</w:t>
      </w:r>
      <w:r w:rsidR="001362C4">
        <w:rPr>
          <w:rFonts w:hint="cs"/>
          <w:rtl/>
        </w:rPr>
        <w:t>)</w:t>
      </w:r>
      <w:r w:rsidR="0003716E">
        <w:rPr>
          <w:rFonts w:hint="cs"/>
          <w:rtl/>
        </w:rPr>
        <w:t>.</w:t>
      </w:r>
      <w:r>
        <w:rPr>
          <w:rFonts w:hint="cs"/>
          <w:rtl/>
        </w:rPr>
        <w:t xml:space="preserve"> </w:t>
      </w:r>
      <w:r w:rsidR="0003716E">
        <w:rPr>
          <w:rFonts w:hint="cs"/>
          <w:rtl/>
        </w:rPr>
        <w:t>ונתן הרמב"ם טעם לדבר, והוא שכשמקלקל בקריעתו הוי איסור, אבל אם בקריעתו עושה דבר של תיקון, כגון תיקון ליישוב דעתו בקורע מחמת כעסו, או שמתקן את החלוק בכך כדי שיוכל ללובשו - הרי זה חייב אע"פ שאינו על מנת לתפור. וצל"ע מדוע הב"י לא הביא את דברי הרמב"ם.</w:t>
      </w:r>
      <w:r w:rsidR="002B080B">
        <w:rPr>
          <w:rFonts w:hint="cs"/>
          <w:rtl/>
        </w:rPr>
        <w:t xml:space="preserve"> ואולי משום דהרמב"ם פסק כן משום דס"ל שמלאכה שאינה צריכה לגופה חייב עליה.</w:t>
      </w:r>
    </w:p>
  </w:footnote>
  <w:footnote w:id="2592">
    <w:p w14:paraId="296B8EA7" w14:textId="5369C0C9" w:rsidR="002D5451" w:rsidRDefault="002D5451" w:rsidP="00285819">
      <w:pPr>
        <w:pStyle w:val="a7"/>
      </w:pPr>
      <w:r>
        <w:rPr>
          <w:rStyle w:val="a9"/>
        </w:rPr>
        <w:footnoteRef/>
      </w:r>
      <w:r>
        <w:rPr>
          <w:rtl/>
        </w:rPr>
        <w:t xml:space="preserve"> </w:t>
      </w:r>
      <w:r w:rsidRPr="00802B95">
        <w:rPr>
          <w:rFonts w:asciiTheme="minorBidi" w:hAnsiTheme="minorBidi" w:cs="Arial"/>
          <w:rtl/>
        </w:rPr>
        <w:t>ואין להקל בפני עמי הארץ</w:t>
      </w:r>
      <w:r>
        <w:rPr>
          <w:rFonts w:asciiTheme="minorBidi" w:hAnsiTheme="minorBidi" w:cs="Arial" w:hint="cs"/>
          <w:rtl/>
        </w:rPr>
        <w:t>, ב"י.</w:t>
      </w:r>
    </w:p>
  </w:footnote>
  <w:footnote w:id="2593">
    <w:p w14:paraId="14228945"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נראה לי ע"פ הרש"ל דדוקא כשקושר האומן אסור לנתקן אבל שאר קשירות שרי, ומ"מ לא יעשה בפני ע"ה אלא בצנעה, ונ"ל דאם אינו רגיל להתיר הקשר של הכתונת אלא משבת לשבת אסור, מג"א (סקי"א).</w:t>
      </w:r>
    </w:p>
  </w:footnote>
  <w:footnote w:id="2594">
    <w:p w14:paraId="0BF8D970"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על פי הבור, דפסקיא לא מבטל ליה התם, רש"י.</w:t>
      </w:r>
    </w:p>
  </w:footnote>
  <w:footnote w:id="2595">
    <w:p w14:paraId="64BA4818"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דמבטל ליה התם, והוי קשר של קיימא שהרי קשור ותלוי שם תמיד, רש"י.</w:t>
      </w:r>
    </w:p>
  </w:footnote>
  <w:footnote w:id="2596">
    <w:p w14:paraId="596CB994" w14:textId="714CB762"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פליגי, דצריך לה ולא מבטל לה, </w:t>
      </w:r>
      <w:r w:rsidRPr="000D2625">
        <w:rPr>
          <w:rFonts w:asciiTheme="minorBidi" w:hAnsiTheme="minorBidi"/>
          <w:b/>
          <w:bCs/>
          <w:rtl/>
        </w:rPr>
        <w:t>רש"י</w:t>
      </w:r>
      <w:r w:rsidRPr="008C1C8E">
        <w:rPr>
          <w:rFonts w:asciiTheme="minorBidi" w:hAnsiTheme="minorBidi"/>
          <w:rtl/>
        </w:rPr>
        <w:t>.</w:t>
      </w:r>
      <w:r w:rsidR="000D2625" w:rsidRPr="000D2625">
        <w:rPr>
          <w:rFonts w:cs="Arial"/>
          <w:rtl/>
        </w:rPr>
        <w:t xml:space="preserve"> </w:t>
      </w:r>
      <w:r w:rsidR="000D2625">
        <w:rPr>
          <w:rFonts w:cs="Arial" w:hint="cs"/>
          <w:rtl/>
        </w:rPr>
        <w:t xml:space="preserve">  </w:t>
      </w:r>
      <w:r w:rsidR="000D2625" w:rsidRPr="00936955">
        <w:rPr>
          <w:rFonts w:cs="Arial"/>
          <w:rtl/>
        </w:rPr>
        <w:t xml:space="preserve">אבל מדברי הרמב"ם שכתב </w:t>
      </w:r>
      <w:r w:rsidR="000D2625">
        <w:rPr>
          <w:rFonts w:cs="Arial" w:hint="cs"/>
          <w:rtl/>
        </w:rPr>
        <w:t>(</w:t>
      </w:r>
      <w:r w:rsidR="000D2625" w:rsidRPr="00936955">
        <w:rPr>
          <w:rFonts w:cs="Arial"/>
          <w:rtl/>
        </w:rPr>
        <w:t>פ</w:t>
      </w:r>
      <w:r w:rsidR="000D2625">
        <w:rPr>
          <w:rFonts w:cs="Arial" w:hint="cs"/>
          <w:rtl/>
        </w:rPr>
        <w:t>"</w:t>
      </w:r>
      <w:r w:rsidR="000D2625" w:rsidRPr="00936955">
        <w:rPr>
          <w:rFonts w:cs="Arial"/>
          <w:rtl/>
        </w:rPr>
        <w:t xml:space="preserve">י ה"ג) </w:t>
      </w:r>
      <w:r w:rsidR="000D2625">
        <w:rPr>
          <w:rFonts w:cs="Arial" w:hint="cs"/>
          <w:rtl/>
        </w:rPr>
        <w:t>"</w:t>
      </w:r>
      <w:r w:rsidR="000D2625" w:rsidRPr="00936955">
        <w:rPr>
          <w:rFonts w:cs="Arial"/>
          <w:rtl/>
        </w:rPr>
        <w:t>ואם היה חבל גרדי שמותר לטלטלו הרי זה מביא וקושר בפרה ובאיבוס</w:t>
      </w:r>
      <w:r w:rsidR="000D2625">
        <w:rPr>
          <w:rFonts w:cs="Arial" w:hint="cs"/>
          <w:rtl/>
        </w:rPr>
        <w:t>"</w:t>
      </w:r>
      <w:r w:rsidR="000D2625" w:rsidRPr="00936955">
        <w:rPr>
          <w:rFonts w:cs="Arial"/>
          <w:rtl/>
        </w:rPr>
        <w:t xml:space="preserve"> נראה דטעמא דאסרינן בחבל דעלמא הוא מפני שאסור לטלטלו</w:t>
      </w:r>
      <w:r w:rsidR="000D2625">
        <w:rPr>
          <w:rFonts w:cs="Arial" w:hint="cs"/>
          <w:rtl/>
        </w:rPr>
        <w:t>.</w:t>
      </w:r>
      <w:r w:rsidR="000D2625" w:rsidRPr="00936955">
        <w:rPr>
          <w:rFonts w:cs="Arial"/>
          <w:rtl/>
        </w:rPr>
        <w:t xml:space="preserve"> ותמה עליו הרב המגיד משום דבגמרא גבי קשירת דלי נראה כדברי רש"י. ודברי רבינו נוטים לדברי הרמב"ם</w:t>
      </w:r>
      <w:r w:rsidR="000D2625">
        <w:rPr>
          <w:rFonts w:asciiTheme="minorBidi" w:hAnsiTheme="minorBidi" w:hint="cs"/>
          <w:rtl/>
        </w:rPr>
        <w:t xml:space="preserve">, </w:t>
      </w:r>
      <w:r w:rsidR="000D2625" w:rsidRPr="000D2625">
        <w:rPr>
          <w:rFonts w:asciiTheme="minorBidi" w:hAnsiTheme="minorBidi" w:hint="cs"/>
          <w:b/>
          <w:bCs/>
          <w:rtl/>
        </w:rPr>
        <w:t>ב"י</w:t>
      </w:r>
      <w:r w:rsidR="000D2625">
        <w:rPr>
          <w:rFonts w:asciiTheme="minorBidi" w:hAnsiTheme="minorBidi" w:hint="cs"/>
          <w:rtl/>
        </w:rPr>
        <w:t>.</w:t>
      </w:r>
    </w:p>
  </w:footnote>
  <w:footnote w:id="2597">
    <w:p w14:paraId="3B183C15"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באמצעיתו, רש"י.</w:t>
      </w:r>
    </w:p>
  </w:footnote>
  <w:footnote w:id="2598">
    <w:p w14:paraId="2BC5B8E3"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דקשר של קיימא הוא לעולם, רש"י.</w:t>
      </w:r>
    </w:p>
  </w:footnote>
  <w:footnote w:id="2599">
    <w:p w14:paraId="5B52AC56" w14:textId="693EEFBA"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מחבר שני ראשי הפיסוק זה על זה וכורך עליהם פונדא אזור חלול או פסיקיא (פיישול"א</w:t>
      </w:r>
      <w:r w:rsidR="00B62B68">
        <w:rPr>
          <w:rFonts w:asciiTheme="minorBidi" w:hAnsiTheme="minorBidi" w:hint="cs"/>
          <w:rtl/>
        </w:rPr>
        <w:t xml:space="preserve"> </w:t>
      </w:r>
      <w:r w:rsidRPr="008C1C8E">
        <w:rPr>
          <w:rFonts w:asciiTheme="minorBidi" w:hAnsiTheme="minorBidi"/>
          <w:rtl/>
        </w:rPr>
        <w:t>- חגור), רש"י.</w:t>
      </w:r>
    </w:p>
  </w:footnote>
  <w:footnote w:id="2600">
    <w:p w14:paraId="0DAA5136"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לחבל, דר' יהודה סבר: גזרינן עניבה אטו קשירה, ורבנן לא גזרו, רש"י.</w:t>
      </w:r>
    </w:p>
  </w:footnote>
  <w:footnote w:id="2601">
    <w:p w14:paraId="59FA42A8"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אינו ניכר בין זה לזה, ואי שרינן בדגרדי - אתי למישרי בדעלמא, רש"י.</w:t>
      </w:r>
    </w:p>
  </w:footnote>
  <w:footnote w:id="2602">
    <w:p w14:paraId="4564A24D" w14:textId="0F58D448"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זוהי גיר' הב"י, </w:t>
      </w:r>
      <w:r w:rsidR="00B62B68">
        <w:rPr>
          <w:rFonts w:asciiTheme="minorBidi" w:hAnsiTheme="minorBidi" w:hint="cs"/>
          <w:rtl/>
        </w:rPr>
        <w:t>אך ב</w:t>
      </w:r>
      <w:r w:rsidRPr="008C1C8E">
        <w:rPr>
          <w:rFonts w:asciiTheme="minorBidi" w:hAnsiTheme="minorBidi"/>
          <w:rtl/>
        </w:rPr>
        <w:t>גיר' שלפנינו</w:t>
      </w:r>
      <w:r w:rsidR="00B62B68">
        <w:rPr>
          <w:rFonts w:asciiTheme="minorBidi" w:hAnsiTheme="minorBidi" w:hint="cs"/>
          <w:rtl/>
        </w:rPr>
        <w:t xml:space="preserve"> איתא - "</w:t>
      </w:r>
      <w:r w:rsidR="00B62B68" w:rsidRPr="00B62B68">
        <w:rPr>
          <w:rFonts w:asciiTheme="minorBidi" w:hAnsiTheme="minorBidi"/>
          <w:rtl/>
        </w:rPr>
        <w:t>רב חייא בר אשי אמר רב</w:t>
      </w:r>
      <w:r w:rsidR="00B62B68">
        <w:rPr>
          <w:rFonts w:asciiTheme="minorBidi" w:hAnsiTheme="minorBidi" w:hint="cs"/>
          <w:rtl/>
        </w:rPr>
        <w:t>"</w:t>
      </w:r>
      <w:r w:rsidRPr="008C1C8E">
        <w:rPr>
          <w:rFonts w:asciiTheme="minorBidi" w:hAnsiTheme="minorBidi"/>
          <w:rtl/>
        </w:rPr>
        <w:t>.</w:t>
      </w:r>
    </w:p>
  </w:footnote>
  <w:footnote w:id="2603">
    <w:p w14:paraId="40B340CF"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ראשו אחד, והשני באבוס, ולא חיישינן שמא כשיתיר הפרה לא יתיר אלא הקשר שבראשה ויבטל החבל באבוס שיהא מוכן לכך, או יתיר שבאבוס ויבטל אותו שבפרה ונמצא האחד של קיימא, רש"י.</w:t>
      </w:r>
    </w:p>
  </w:footnote>
  <w:footnote w:id="2604">
    <w:p w14:paraId="482890C9" w14:textId="77777777" w:rsidR="00823D80" w:rsidRDefault="00823D80" w:rsidP="00285819">
      <w:pPr>
        <w:pStyle w:val="a7"/>
        <w:rPr>
          <w:rtl/>
        </w:rPr>
      </w:pPr>
      <w:r>
        <w:rPr>
          <w:rStyle w:val="a9"/>
        </w:rPr>
        <w:footnoteRef/>
      </w:r>
      <w:r>
        <w:rPr>
          <w:rtl/>
        </w:rPr>
        <w:t xml:space="preserve"> </w:t>
      </w:r>
      <w:r w:rsidRPr="009C6006">
        <w:rPr>
          <w:rFonts w:asciiTheme="minorBidi" w:hAnsiTheme="minorBidi" w:cs="Arial"/>
          <w:rtl/>
        </w:rPr>
        <w:t>נראה שתופס לישנא קמא דתוספות עיקר דרבי אבא אמר רבי יוחנן כרבי יהודה דלא גזר חבל דגרדי אטו חבל דעלמא וכיון דאמוראי סבירא להו כוותיה הכי נקיטינן</w:t>
      </w:r>
      <w:r>
        <w:rPr>
          <w:rFonts w:hint="cs"/>
          <w:rtl/>
        </w:rPr>
        <w:t>, ב"י.</w:t>
      </w:r>
    </w:p>
  </w:footnote>
  <w:footnote w:id="2605">
    <w:p w14:paraId="63D50692" w14:textId="103910CB" w:rsidR="00823D80" w:rsidRDefault="00823D80" w:rsidP="00285819">
      <w:pPr>
        <w:pStyle w:val="a7"/>
      </w:pPr>
      <w:r>
        <w:rPr>
          <w:rStyle w:val="a9"/>
        </w:rPr>
        <w:footnoteRef/>
      </w:r>
      <w:r>
        <w:rPr>
          <w:rtl/>
        </w:rPr>
        <w:t xml:space="preserve"> </w:t>
      </w:r>
      <w:r w:rsidRPr="009C6006">
        <w:rPr>
          <w:rFonts w:asciiTheme="minorBidi" w:hAnsiTheme="minorBidi" w:cs="Arial"/>
          <w:rtl/>
        </w:rPr>
        <w:t>ולא חילק בין של גרדי לחבל דעלמא. וכן כתב שם ה</w:t>
      </w:r>
      <w:r>
        <w:rPr>
          <w:rFonts w:asciiTheme="minorBidi" w:hAnsiTheme="minorBidi" w:cs="Arial" w:hint="cs"/>
          <w:rtl/>
        </w:rPr>
        <w:t xml:space="preserve">ה"מ </w:t>
      </w:r>
      <w:r w:rsidRPr="009C6006">
        <w:rPr>
          <w:rFonts w:asciiTheme="minorBidi" w:hAnsiTheme="minorBidi" w:cs="Arial"/>
          <w:rtl/>
        </w:rPr>
        <w:t>ונתבאר בגמרא שאפילו חבל דגרדי שאינו מבטלו אסור גזירה אטו חבל דעלמא ולזה סתם רבינו עכ"ל. ואע</w:t>
      </w:r>
      <w:r>
        <w:rPr>
          <w:rFonts w:asciiTheme="minorBidi" w:hAnsiTheme="minorBidi" w:cs="Arial" w:hint="cs"/>
          <w:rtl/>
        </w:rPr>
        <w:t>"</w:t>
      </w:r>
      <w:r w:rsidRPr="009C6006">
        <w:rPr>
          <w:rFonts w:asciiTheme="minorBidi" w:hAnsiTheme="minorBidi" w:cs="Arial"/>
          <w:rtl/>
        </w:rPr>
        <w:t>ג דרבי אבא אמר רבי יוחנן מחלק בין חבל דגרדי לחבל דעלמא ופסקה שם הרמב"ם</w:t>
      </w:r>
      <w:r w:rsidR="00002E51">
        <w:rPr>
          <w:rFonts w:asciiTheme="minorBidi" w:hAnsiTheme="minorBidi" w:cs="Arial" w:hint="cs"/>
          <w:rtl/>
        </w:rPr>
        <w:t xml:space="preserve"> (ומבואר כאן בסע' ז)</w:t>
      </w:r>
      <w:r>
        <w:rPr>
          <w:rFonts w:asciiTheme="minorBidi" w:hAnsiTheme="minorBidi" w:cs="Arial" w:hint="cs"/>
          <w:rtl/>
        </w:rPr>
        <w:t>,</w:t>
      </w:r>
      <w:r w:rsidRPr="009C6006">
        <w:rPr>
          <w:rFonts w:asciiTheme="minorBidi" w:hAnsiTheme="minorBidi" w:cs="Arial"/>
          <w:rtl/>
        </w:rPr>
        <w:t xml:space="preserve"> צריך לומר דסבירא ליה כלישנא בתרא דתוספות דמפליג בין קשירת דלי בבור לקשירת פרה ואיבוס</w:t>
      </w:r>
      <w:r>
        <w:rPr>
          <w:rFonts w:asciiTheme="minorBidi" w:hAnsiTheme="minorBidi" w:cs="Arial" w:hint="cs"/>
          <w:rtl/>
        </w:rPr>
        <w:t>,</w:t>
      </w:r>
      <w:r w:rsidRPr="009C6006">
        <w:rPr>
          <w:rFonts w:asciiTheme="minorBidi" w:hAnsiTheme="minorBidi" w:cs="Arial"/>
          <w:rtl/>
        </w:rPr>
        <w:t xml:space="preserve"> ולעולם כרבנן נקטינן</w:t>
      </w:r>
      <w:r>
        <w:rPr>
          <w:rFonts w:asciiTheme="minorBidi" w:hAnsiTheme="minorBidi" w:cs="Arial" w:hint="cs"/>
          <w:rtl/>
        </w:rPr>
        <w:t>, ב"י.</w:t>
      </w:r>
    </w:p>
  </w:footnote>
  <w:footnote w:id="2606">
    <w:p w14:paraId="606330D0"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ופשוט דמיירי שאינו מעשה אומן להרמב"ם, ואעפ"כ גזרינן דגרדי אטו דעלמא, מג"א (סקי"ב).</w:t>
      </w:r>
    </w:p>
  </w:footnote>
  <w:footnote w:id="2607">
    <w:p w14:paraId="080B62D4"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באמצעיתו, רש"י.</w:t>
      </w:r>
    </w:p>
  </w:footnote>
  <w:footnote w:id="2608">
    <w:p w14:paraId="37DB17BD" w14:textId="77777777"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דקשר של קיימא הוא לעולם, רש"י.</w:t>
      </w:r>
    </w:p>
  </w:footnote>
  <w:footnote w:id="2609">
    <w:p w14:paraId="6B2A7464" w14:textId="0C6F0123"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מחבר שני ראשי הפיסוק זה על זה וכורך עליהם פונדא אזור חלול או פסיקיא (פיישול"א</w:t>
      </w:r>
      <w:r w:rsidR="00E079D3">
        <w:rPr>
          <w:rFonts w:asciiTheme="minorBidi" w:hAnsiTheme="minorBidi" w:hint="cs"/>
          <w:rtl/>
        </w:rPr>
        <w:t xml:space="preserve"> </w:t>
      </w:r>
      <w:r w:rsidRPr="008C1C8E">
        <w:rPr>
          <w:rFonts w:asciiTheme="minorBidi" w:hAnsiTheme="minorBidi"/>
          <w:rtl/>
        </w:rPr>
        <w:t>- חגור), רש"י.</w:t>
      </w:r>
    </w:p>
  </w:footnote>
  <w:footnote w:id="2610">
    <w:p w14:paraId="56C00C26"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לחבל, דר' יהודה סבר: גזרינן עניבה אטו קשירה, ורבנן לא גזרו, רש"י.</w:t>
      </w:r>
    </w:p>
  </w:footnote>
  <w:footnote w:id="2611">
    <w:p w14:paraId="4713AF3A" w14:textId="77777777" w:rsidR="00E079D3" w:rsidRDefault="00E079D3" w:rsidP="00285819">
      <w:pPr>
        <w:pStyle w:val="a7"/>
      </w:pPr>
      <w:r>
        <w:rPr>
          <w:rStyle w:val="a9"/>
        </w:rPr>
        <w:footnoteRef/>
      </w:r>
      <w:r>
        <w:rPr>
          <w:rtl/>
        </w:rPr>
        <w:t xml:space="preserve"> </w:t>
      </w:r>
      <w:r w:rsidRPr="00C619B4">
        <w:rPr>
          <w:rFonts w:asciiTheme="minorBidi" w:hAnsiTheme="minorBidi" w:cs="Arial"/>
          <w:rtl/>
        </w:rPr>
        <w:t>בעניבה פסק רבינו כחכמים דשרו</w:t>
      </w:r>
      <w:r>
        <w:rPr>
          <w:rFonts w:asciiTheme="minorBidi" w:hAnsiTheme="minorBidi" w:cs="Arial" w:hint="cs"/>
          <w:rtl/>
        </w:rPr>
        <w:t>,</w:t>
      </w:r>
      <w:r w:rsidRPr="00C619B4">
        <w:rPr>
          <w:rFonts w:asciiTheme="minorBidi" w:hAnsiTheme="minorBidi" w:cs="Arial"/>
          <w:rtl/>
        </w:rPr>
        <w:t xml:space="preserve"> דבהא כיון דלא מסייעי ליה אמוראי הדרינן לכללין (עירובין מו.) דיחיד ורבים הלכה כרבים</w:t>
      </w:r>
      <w:r w:rsidRPr="00C619B4">
        <w:rPr>
          <w:rFonts w:asciiTheme="minorBidi" w:hAnsiTheme="minorBidi" w:cs="Arial" w:hint="cs"/>
          <w:rtl/>
        </w:rPr>
        <w:t>.</w:t>
      </w:r>
      <w:r w:rsidRPr="00C619B4">
        <w:rPr>
          <w:rFonts w:asciiTheme="minorBidi" w:hAnsiTheme="minorBidi" w:cs="Arial"/>
          <w:rtl/>
        </w:rPr>
        <w:t xml:space="preserve"> וכן פסק הרמב"ם בפ</w:t>
      </w:r>
      <w:r>
        <w:rPr>
          <w:rFonts w:asciiTheme="minorBidi" w:hAnsiTheme="minorBidi" w:cs="Arial" w:hint="cs"/>
          <w:rtl/>
        </w:rPr>
        <w:t>"</w:t>
      </w:r>
      <w:r w:rsidRPr="00C619B4">
        <w:rPr>
          <w:rFonts w:asciiTheme="minorBidi" w:hAnsiTheme="minorBidi" w:cs="Arial"/>
          <w:rtl/>
        </w:rPr>
        <w:t>י (ה"ה)</w:t>
      </w:r>
      <w:r w:rsidRPr="00C619B4">
        <w:rPr>
          <w:rFonts w:asciiTheme="minorBidi" w:hAnsiTheme="minorBidi" w:cs="Arial" w:hint="cs"/>
          <w:rtl/>
        </w:rPr>
        <w:t>.</w:t>
      </w:r>
      <w:r w:rsidRPr="00C619B4">
        <w:rPr>
          <w:rFonts w:asciiTheme="minorBidi" w:hAnsiTheme="minorBidi" w:cs="Arial"/>
          <w:rtl/>
        </w:rPr>
        <w:t xml:space="preserve"> וכן פסקו התוספות בר</w:t>
      </w:r>
      <w:r>
        <w:rPr>
          <w:rFonts w:asciiTheme="minorBidi" w:hAnsiTheme="minorBidi" w:cs="Arial" w:hint="cs"/>
          <w:rtl/>
        </w:rPr>
        <w:t>"</w:t>
      </w:r>
      <w:r w:rsidRPr="00C619B4">
        <w:rPr>
          <w:rFonts w:asciiTheme="minorBidi" w:hAnsiTheme="minorBidi" w:cs="Arial"/>
          <w:rtl/>
        </w:rPr>
        <w:t>פ המוצא תפילין (עירובין צז. ד"ה אביי) גבי תפילין שאינן מקושרות מדפריך סתמא דתלמודא וליענביה מיענב. וכן כתב סמ"ג (לאוין סה יד ע"ד) והתרומה (סי' רמג) וכן כתב המרדכי בפרק אלו קשרים (סי' שפו) דעניבה שריא</w:t>
      </w:r>
      <w:r>
        <w:rPr>
          <w:rFonts w:asciiTheme="minorBidi" w:hAnsiTheme="minorBidi" w:cs="Arial" w:hint="cs"/>
          <w:rtl/>
        </w:rPr>
        <w:t>, ב"י.</w:t>
      </w:r>
    </w:p>
  </w:footnote>
  <w:footnote w:id="2612">
    <w:p w14:paraId="5936196A" w14:textId="252DA59D" w:rsidR="00E079D3" w:rsidRDefault="00E079D3" w:rsidP="00285819">
      <w:pPr>
        <w:pStyle w:val="a7"/>
      </w:pPr>
      <w:r>
        <w:rPr>
          <w:rStyle w:val="a9"/>
        </w:rPr>
        <w:footnoteRef/>
      </w:r>
      <w:r>
        <w:rPr>
          <w:rtl/>
        </w:rPr>
        <w:t xml:space="preserve"> </w:t>
      </w:r>
      <w:r w:rsidRPr="00075FB8">
        <w:rPr>
          <w:rFonts w:cs="Arial"/>
          <w:rtl/>
        </w:rPr>
        <w:t>ו</w:t>
      </w:r>
      <w:r>
        <w:rPr>
          <w:rFonts w:cs="Arial" w:hint="cs"/>
          <w:rtl/>
        </w:rPr>
        <w:t xml:space="preserve">כתב הדרכ"מ (אות ג) בשם </w:t>
      </w:r>
      <w:r w:rsidRPr="00075FB8">
        <w:rPr>
          <w:rFonts w:cs="Arial"/>
          <w:rtl/>
        </w:rPr>
        <w:t>האגור (סי' תסה) ד</w:t>
      </w:r>
      <w:r>
        <w:rPr>
          <w:rFonts w:cs="Arial" w:hint="cs"/>
          <w:rtl/>
        </w:rPr>
        <w:t xml:space="preserve">כן </w:t>
      </w:r>
      <w:r w:rsidRPr="00075FB8">
        <w:rPr>
          <w:rFonts w:cs="Arial"/>
          <w:rtl/>
        </w:rPr>
        <w:t>העולם נהגו לעשות</w:t>
      </w:r>
      <w:r>
        <w:rPr>
          <w:rFonts w:cs="Arial" w:hint="cs"/>
          <w:rtl/>
        </w:rPr>
        <w:t xml:space="preserve">, היינו </w:t>
      </w:r>
      <w:r w:rsidRPr="00075FB8">
        <w:rPr>
          <w:rFonts w:cs="Arial"/>
          <w:rtl/>
        </w:rPr>
        <w:t>עניבה על גבי קשר</w:t>
      </w:r>
      <w:r>
        <w:rPr>
          <w:rFonts w:cs="Arial" w:hint="cs"/>
          <w:rtl/>
        </w:rPr>
        <w:t>.</w:t>
      </w:r>
      <w:r>
        <w:rPr>
          <w:rFonts w:hint="cs"/>
          <w:rtl/>
        </w:rPr>
        <w:t xml:space="preserve"> </w:t>
      </w:r>
      <w:r w:rsidRPr="00E079D3">
        <w:rPr>
          <w:rFonts w:hint="cs"/>
          <w:color w:val="00B0F0"/>
          <w:rtl/>
        </w:rPr>
        <w:t>(וכ"פ בהג"ה)</w:t>
      </w:r>
    </w:p>
  </w:footnote>
  <w:footnote w:id="2613">
    <w:p w14:paraId="3EA150FF" w14:textId="1808EF8E"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w:t>
      </w:r>
      <w:r w:rsidR="00E079D3" w:rsidRPr="00E079D3">
        <w:rPr>
          <w:rFonts w:asciiTheme="minorBidi" w:hAnsiTheme="minorBidi" w:cs="Arial"/>
          <w:rtl/>
        </w:rPr>
        <w:t>ובש</w:t>
      </w:r>
      <w:r w:rsidR="00E079D3">
        <w:rPr>
          <w:rFonts w:asciiTheme="minorBidi" w:hAnsiTheme="minorBidi" w:cs="Arial" w:hint="cs"/>
          <w:rtl/>
        </w:rPr>
        <w:t>לט</w:t>
      </w:r>
      <w:r w:rsidR="00E079D3" w:rsidRPr="00E079D3">
        <w:rPr>
          <w:rFonts w:asciiTheme="minorBidi" w:hAnsiTheme="minorBidi" w:cs="Arial"/>
          <w:rtl/>
        </w:rPr>
        <w:t xml:space="preserve">"ג כתב דדוקא כשעשוי להתיר בו ביום שרי לעשות קשר למטה דאינו מעשה אומן אבל אם הוא לקיימא אסור לעשות קשר למטה אלא עניבה ע"כ ועס"א וכן יש לנהוג ועיין בעירובין </w:t>
      </w:r>
      <w:r w:rsidR="00E079D3">
        <w:rPr>
          <w:rFonts w:asciiTheme="minorBidi" w:hAnsiTheme="minorBidi" w:cs="Arial" w:hint="cs"/>
          <w:rtl/>
        </w:rPr>
        <w:t>(</w:t>
      </w:r>
      <w:r w:rsidR="00E079D3" w:rsidRPr="00E079D3">
        <w:rPr>
          <w:rFonts w:asciiTheme="minorBidi" w:hAnsiTheme="minorBidi" w:cs="Arial"/>
          <w:rtl/>
        </w:rPr>
        <w:t>צז</w:t>
      </w:r>
      <w:r w:rsidR="00E079D3">
        <w:rPr>
          <w:rFonts w:asciiTheme="minorBidi" w:hAnsiTheme="minorBidi" w:cs="Arial" w:hint="cs"/>
          <w:rtl/>
        </w:rPr>
        <w:t>.),</w:t>
      </w:r>
      <w:r w:rsidR="00E079D3" w:rsidRPr="00E079D3">
        <w:rPr>
          <w:rFonts w:asciiTheme="minorBidi" w:hAnsiTheme="minorBidi" w:cs="Arial"/>
          <w:rtl/>
        </w:rPr>
        <w:t xml:space="preserve"> </w:t>
      </w:r>
      <w:r w:rsidRPr="008C1C8E">
        <w:rPr>
          <w:rFonts w:asciiTheme="minorBidi" w:hAnsiTheme="minorBidi"/>
          <w:rtl/>
        </w:rPr>
        <w:t>מג"א (סקט"ו).</w:t>
      </w:r>
      <w:r w:rsidR="00E079D3">
        <w:rPr>
          <w:rFonts w:asciiTheme="minorBidi" w:hAnsiTheme="minorBidi" w:hint="cs"/>
          <w:rtl/>
        </w:rPr>
        <w:t xml:space="preserve"> וכ"כ ה</w:t>
      </w:r>
      <w:r w:rsidR="00E079D3" w:rsidRPr="008C1C8E">
        <w:rPr>
          <w:rFonts w:asciiTheme="minorBidi" w:hAnsiTheme="minorBidi"/>
          <w:rtl/>
        </w:rPr>
        <w:t>ט"ז (סק"ז)</w:t>
      </w:r>
      <w:r w:rsidR="00E079D3">
        <w:rPr>
          <w:rFonts w:asciiTheme="minorBidi" w:hAnsiTheme="minorBidi" w:hint="cs"/>
          <w:rtl/>
        </w:rPr>
        <w:t>.</w:t>
      </w:r>
    </w:p>
  </w:footnote>
  <w:footnote w:id="2614">
    <w:p w14:paraId="4DAD1191" w14:textId="77777777" w:rsidR="009A7623" w:rsidRPr="008C1C8E" w:rsidRDefault="009A7623" w:rsidP="00285819">
      <w:pPr>
        <w:spacing w:after="0" w:line="240" w:lineRule="auto"/>
        <w:rPr>
          <w:rFonts w:asciiTheme="minorBidi" w:hAnsiTheme="minorBidi"/>
          <w:sz w:val="20"/>
          <w:szCs w:val="20"/>
          <w:rtl/>
        </w:rPr>
      </w:pPr>
      <w:r w:rsidRPr="008C1C8E">
        <w:rPr>
          <w:rStyle w:val="a9"/>
          <w:rFonts w:asciiTheme="minorBidi" w:hAnsiTheme="minorBidi"/>
          <w:sz w:val="20"/>
          <w:szCs w:val="20"/>
        </w:rPr>
        <w:footnoteRef/>
      </w:r>
      <w:r w:rsidRPr="008C1C8E">
        <w:rPr>
          <w:rFonts w:asciiTheme="minorBidi" w:hAnsiTheme="minorBidi"/>
          <w:sz w:val="20"/>
          <w:szCs w:val="20"/>
          <w:rtl/>
        </w:rPr>
        <w:t xml:space="preserve"> שני חבלים קושר ברחב הפתח, זה למעלה מזה, לישנא אחרינא: תרי איסורי שקושרין היום בשני צידי הפתח, ולא היתה תלויה בה מאתמול, רש"י.</w:t>
      </w:r>
    </w:p>
  </w:footnote>
  <w:footnote w:id="2615">
    <w:p w14:paraId="0387B3BB" w14:textId="77777777" w:rsidR="009A7623" w:rsidRPr="008C1C8E" w:rsidRDefault="009A7623"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אחד מן הראשים, וללשון אחר- חד מיניהו מבטל ליה, כשיוציא הבהמה לא יתיר אלא תחתון ויוציאנה בדוחק, רש"י.</w:t>
      </w:r>
    </w:p>
  </w:footnote>
  <w:footnote w:id="2616">
    <w:p w14:paraId="0806CE6D" w14:textId="46C6838E" w:rsidR="009A7623" w:rsidRPr="008C1C8E" w:rsidRDefault="009A7623"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זוהי לישנא אחרינא שהביא רש"י, ואותה כ' הטור, אבל ה</w:t>
      </w:r>
      <w:r w:rsidR="00C074EA">
        <w:rPr>
          <w:rFonts w:asciiTheme="minorBidi" w:hAnsiTheme="minorBidi" w:hint="cs"/>
          <w:rtl/>
        </w:rPr>
        <w:t>וא הדין</w:t>
      </w:r>
      <w:r w:rsidRPr="008C1C8E">
        <w:rPr>
          <w:rFonts w:asciiTheme="minorBidi" w:hAnsiTheme="minorBidi"/>
          <w:rtl/>
        </w:rPr>
        <w:t xml:space="preserve"> ל</w:t>
      </w:r>
      <w:r w:rsidR="00C074EA">
        <w:rPr>
          <w:rFonts w:asciiTheme="minorBidi" w:hAnsiTheme="minorBidi" w:hint="cs"/>
          <w:rtl/>
        </w:rPr>
        <w:t xml:space="preserve">לישנא </w:t>
      </w:r>
      <w:r w:rsidRPr="008C1C8E">
        <w:rPr>
          <w:rFonts w:asciiTheme="minorBidi" w:hAnsiTheme="minorBidi"/>
          <w:rtl/>
        </w:rPr>
        <w:t>ק</w:t>
      </w:r>
      <w:r w:rsidR="00C074EA">
        <w:rPr>
          <w:rFonts w:asciiTheme="minorBidi" w:hAnsiTheme="minorBidi" w:hint="cs"/>
          <w:rtl/>
        </w:rPr>
        <w:t>מא</w:t>
      </w:r>
      <w:r w:rsidRPr="008C1C8E">
        <w:rPr>
          <w:rFonts w:asciiTheme="minorBidi" w:hAnsiTheme="minorBidi"/>
          <w:rtl/>
        </w:rPr>
        <w:t xml:space="preserve"> ברש"י, שרי"ו ג"כ כ</w:t>
      </w:r>
      <w:r w:rsidR="00C074EA">
        <w:rPr>
          <w:rFonts w:asciiTheme="minorBidi" w:hAnsiTheme="minorBidi" w:hint="cs"/>
          <w:rtl/>
        </w:rPr>
        <w:t>תב</w:t>
      </w:r>
      <w:r w:rsidRPr="008C1C8E">
        <w:rPr>
          <w:rFonts w:asciiTheme="minorBidi" w:hAnsiTheme="minorBidi"/>
          <w:rtl/>
        </w:rPr>
        <w:t xml:space="preserve"> אותה, והיא שקשר ב' חבלים זו למעלה מזו ולא אמרינן דמבטל לאחד דפעמים מתיר זה ופעמים זה, אבל אם מבטל ראש אחד אפילו בחבל אחד אסור, מג"א (סקט"ז).</w:t>
      </w:r>
    </w:p>
  </w:footnote>
  <w:footnote w:id="2617">
    <w:p w14:paraId="7200E961" w14:textId="77777777" w:rsidR="00196688" w:rsidRPr="008C1C8E" w:rsidRDefault="0019668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זוהי גיר' הב"י, </w:t>
      </w:r>
      <w:r>
        <w:rPr>
          <w:rFonts w:asciiTheme="minorBidi" w:hAnsiTheme="minorBidi" w:hint="cs"/>
          <w:rtl/>
        </w:rPr>
        <w:t>אך ב</w:t>
      </w:r>
      <w:r w:rsidRPr="008C1C8E">
        <w:rPr>
          <w:rFonts w:asciiTheme="minorBidi" w:hAnsiTheme="minorBidi"/>
          <w:rtl/>
        </w:rPr>
        <w:t>גיר' שלפנינו</w:t>
      </w:r>
      <w:r>
        <w:rPr>
          <w:rFonts w:asciiTheme="minorBidi" w:hAnsiTheme="minorBidi" w:hint="cs"/>
          <w:rtl/>
        </w:rPr>
        <w:t xml:space="preserve"> איתא - "</w:t>
      </w:r>
      <w:r w:rsidRPr="00B62B68">
        <w:rPr>
          <w:rFonts w:asciiTheme="minorBidi" w:hAnsiTheme="minorBidi"/>
          <w:rtl/>
        </w:rPr>
        <w:t>רב חייא בר אשי אמר רב</w:t>
      </w:r>
      <w:r>
        <w:rPr>
          <w:rFonts w:asciiTheme="minorBidi" w:hAnsiTheme="minorBidi" w:hint="cs"/>
          <w:rtl/>
        </w:rPr>
        <w:t>"</w:t>
      </w:r>
      <w:r w:rsidRPr="008C1C8E">
        <w:rPr>
          <w:rFonts w:asciiTheme="minorBidi" w:hAnsiTheme="minorBidi"/>
          <w:rtl/>
        </w:rPr>
        <w:t>.</w:t>
      </w:r>
    </w:p>
  </w:footnote>
  <w:footnote w:id="2618">
    <w:p w14:paraId="2806223B" w14:textId="77777777" w:rsidR="00196688" w:rsidRPr="008C1C8E" w:rsidRDefault="0019668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ראשו אחד, והשני באבוס, ולא חיישינן שמא כשיתיר הפרה לא יתיר אלא הקשר שבראשה ויבטל החבל באבוס שיהא מוכן לכך, או יתיר שבאבוס ויבטל אותו שבפרה ונמצא האחד של קיימא, רש"י.</w:t>
      </w:r>
    </w:p>
  </w:footnote>
  <w:footnote w:id="2619">
    <w:p w14:paraId="4AF898AC" w14:textId="06DA0CC5" w:rsidR="00002E51" w:rsidRDefault="00002E51" w:rsidP="00285819">
      <w:pPr>
        <w:pStyle w:val="a7"/>
      </w:pPr>
      <w:r>
        <w:rPr>
          <w:rStyle w:val="a9"/>
        </w:rPr>
        <w:footnoteRef/>
      </w:r>
      <w:r>
        <w:rPr>
          <w:rtl/>
        </w:rPr>
        <w:t xml:space="preserve"> </w:t>
      </w:r>
      <w:r w:rsidRPr="00936955">
        <w:rPr>
          <w:rFonts w:cs="Arial"/>
          <w:rtl/>
        </w:rPr>
        <w:t>לכאורה נראה דלהרמב"ם דאסר בחבל דעלמא משום טלטול אתי שפיר</w:t>
      </w:r>
      <w:r>
        <w:rPr>
          <w:rFonts w:cs="Arial" w:hint="cs"/>
          <w:rtl/>
        </w:rPr>
        <w:t>,</w:t>
      </w:r>
      <w:r w:rsidRPr="00936955">
        <w:rPr>
          <w:rFonts w:cs="Arial"/>
          <w:rtl/>
        </w:rPr>
        <w:t xml:space="preserve"> שמאחר שראשו אחד קשור בפרה או באיבוס הרי הוא מיוחד לכך ומותר לטלטלו</w:t>
      </w:r>
      <w:r>
        <w:rPr>
          <w:rFonts w:cs="Arial" w:hint="cs"/>
          <w:rtl/>
        </w:rPr>
        <w:t>,</w:t>
      </w:r>
      <w:r w:rsidRPr="00936955">
        <w:rPr>
          <w:rFonts w:cs="Arial"/>
          <w:rtl/>
        </w:rPr>
        <w:t xml:space="preserve"> אבל לדברי רש"י דטעמא לאו משום איסור טלטול הוא אלא משום דילמא מבטל ליה התם אדרבה כשקשור כבר בפרה או באיבוס איכא למיחש טפי דילמא מבטל ליה התם. ונראה לי דכשקושרו בפרה ובאיבוס איכא למיחש שרוצה שתהיה הפרה לעולם קשורה באיבוס ולא תזוז משם והוי קשר של קיימא</w:t>
      </w:r>
      <w:r>
        <w:rPr>
          <w:rFonts w:cs="Arial" w:hint="cs"/>
          <w:rtl/>
        </w:rPr>
        <w:t>,</w:t>
      </w:r>
      <w:r w:rsidRPr="00936955">
        <w:rPr>
          <w:rFonts w:cs="Arial"/>
          <w:rtl/>
        </w:rPr>
        <w:t xml:space="preserve"> אבל כשהיה החבל קשור באחד מהן לבד גלי אדעתיה שאין רצונו שתהיה קשורה שם אלא לפי שעה ואח"כ יתירנה הילכך לא הוי קשר של קיימא</w:t>
      </w:r>
      <w:r w:rsidR="00953BB0">
        <w:rPr>
          <w:rFonts w:cs="Arial" w:hint="cs"/>
          <w:rtl/>
        </w:rPr>
        <w:t xml:space="preserve"> </w:t>
      </w:r>
      <w:r w:rsidR="00953BB0">
        <w:rPr>
          <w:rFonts w:hint="cs"/>
          <w:sz w:val="16"/>
          <w:szCs w:val="16"/>
          <w:rtl/>
        </w:rPr>
        <w:t>{</w:t>
      </w:r>
      <w:r w:rsidR="00953BB0" w:rsidRPr="00953BB0">
        <w:rPr>
          <w:rFonts w:hint="cs"/>
          <w:sz w:val="16"/>
          <w:szCs w:val="16"/>
          <w:rtl/>
        </w:rPr>
        <w:t xml:space="preserve">הב"ח </w:t>
      </w:r>
      <w:r w:rsidR="00953BB0">
        <w:rPr>
          <w:rFonts w:hint="cs"/>
          <w:sz w:val="16"/>
          <w:szCs w:val="16"/>
          <w:rtl/>
        </w:rPr>
        <w:t>חילק חילוק אחר והוא</w:t>
      </w:r>
      <w:r w:rsidR="00953BB0" w:rsidRPr="00953BB0">
        <w:rPr>
          <w:rFonts w:hint="cs"/>
          <w:sz w:val="16"/>
          <w:szCs w:val="16"/>
          <w:rtl/>
        </w:rPr>
        <w:t xml:space="preserve"> </w:t>
      </w:r>
      <w:r w:rsidR="00953BB0" w:rsidRPr="00953BB0">
        <w:rPr>
          <w:rFonts w:asciiTheme="minorBidi" w:hAnsiTheme="minorBidi"/>
          <w:sz w:val="16"/>
          <w:szCs w:val="16"/>
          <w:rtl/>
        </w:rPr>
        <w:t>דסתמא אותו הקשר שהיה כבר מניחו לעולם קשור</w:t>
      </w:r>
      <w:r w:rsidR="00953BB0">
        <w:rPr>
          <w:rFonts w:asciiTheme="minorBidi" w:hAnsiTheme="minorBidi" w:hint="cs"/>
          <w:sz w:val="16"/>
          <w:szCs w:val="16"/>
          <w:rtl/>
        </w:rPr>
        <w:t>}</w:t>
      </w:r>
      <w:r w:rsidRPr="00936955">
        <w:rPr>
          <w:rFonts w:cs="Arial"/>
          <w:rtl/>
        </w:rPr>
        <w:t>. ולא ידעתי למה השמיט רבינו הא דאם היה קשור בפרה קושרו באיבוס וכו'</w:t>
      </w:r>
      <w:r w:rsidRPr="00953BB0">
        <w:rPr>
          <w:rFonts w:cs="Arial" w:hint="cs"/>
          <w:rtl/>
        </w:rPr>
        <w:t>, ב"י</w:t>
      </w:r>
      <w:r>
        <w:rPr>
          <w:rFonts w:cs="Arial" w:hint="cs"/>
          <w:rtl/>
        </w:rPr>
        <w:t>.</w:t>
      </w:r>
      <w:r w:rsidR="00953BB0">
        <w:rPr>
          <w:rFonts w:hint="cs"/>
          <w:rtl/>
        </w:rPr>
        <w:t xml:space="preserve">  </w:t>
      </w:r>
    </w:p>
  </w:footnote>
  <w:footnote w:id="2620">
    <w:p w14:paraId="49574449" w14:textId="77777777" w:rsidR="00CE73F5" w:rsidRPr="008C1C8E" w:rsidRDefault="00CE73F5"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כמו שיש לגלחים כעין לשונות לכאן ולכאן, וקושרים של ימין בכתף שמאל, ושל שמאל בכתף ימין, דכיון דכל יומא שרו ליה - לא דמי מידי לקשר של קיימא, ומותר לכתחילה, רש"י.</w:t>
      </w:r>
    </w:p>
  </w:footnote>
  <w:footnote w:id="2621">
    <w:p w14:paraId="33E388D9" w14:textId="77777777" w:rsidR="00CE73F5" w:rsidRPr="008C1C8E" w:rsidRDefault="00CE73F5"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שבכה להחזקת השער, רש"י.</w:t>
      </w:r>
    </w:p>
  </w:footnote>
  <w:footnote w:id="2622">
    <w:p w14:paraId="3B05CEFD" w14:textId="77777777" w:rsidR="00CE73F5" w:rsidRPr="008C1C8E" w:rsidRDefault="00CE73F5"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אזור רחב וחוטין תלויין בראשו לקושרו בהן, רש"י. </w:t>
      </w:r>
    </w:p>
  </w:footnote>
  <w:footnote w:id="2623">
    <w:p w14:paraId="68E297CD" w14:textId="77777777" w:rsidR="00CE73F5" w:rsidRPr="008C1C8E" w:rsidRDefault="00CE73F5"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של עור, שכופפין פיהם וקושרין, רש"י.</w:t>
      </w:r>
    </w:p>
  </w:footnote>
  <w:footnote w:id="2624">
    <w:p w14:paraId="57E66FC8" w14:textId="77777777" w:rsidR="00CE73F5" w:rsidRPr="008C1C8E" w:rsidRDefault="00CE73F5"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פעמים שקושרין בגד לפיה, רש"י.</w:t>
      </w:r>
    </w:p>
  </w:footnote>
  <w:footnote w:id="2625">
    <w:p w14:paraId="3E5B4378" w14:textId="77777777" w:rsidR="00CE73F5" w:rsidRPr="008C1C8E" w:rsidRDefault="00CE73F5"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שתי פתחים, היינו אותן לשונות, והוויין זו למעלה וזו למטה זו לימין וזו לשמאל, ואם אינה מתרת אלא האחד, יכולה לפושטה וללובשה בדוחק, רש"י.</w:t>
      </w:r>
    </w:p>
  </w:footnote>
  <w:footnote w:id="2626">
    <w:p w14:paraId="4E381714" w14:textId="77777777" w:rsidR="00CE73F5" w:rsidRPr="008C1C8E" w:rsidRDefault="00CE73F5"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ותיהוי קשר של קיימא, וכיון דלא ידעי הי מינייהו - תרווייהו ליתסרו, קא משמע לן, רש"י.</w:t>
      </w:r>
    </w:p>
  </w:footnote>
  <w:footnote w:id="2627">
    <w:p w14:paraId="58DA34DA" w14:textId="77777777" w:rsidR="00CE73F5" w:rsidRPr="008C1C8E" w:rsidRDefault="00CE73F5"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דהא כל יומי שריא לה, רש"י.</w:t>
      </w:r>
    </w:p>
  </w:footnote>
  <w:footnote w:id="2628">
    <w:p w14:paraId="462A8030" w14:textId="77777777" w:rsidR="00CE73F5" w:rsidRPr="008C1C8E" w:rsidRDefault="00CE73F5"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לא דחקתו בראשה, אלא קושרתו בריוח, שיכולה לחולצה מראשה כשהיא קשורה, רש"י.</w:t>
      </w:r>
    </w:p>
  </w:footnote>
  <w:footnote w:id="2629">
    <w:p w14:paraId="678487FA" w14:textId="77777777" w:rsidR="00CE73F5" w:rsidRPr="008C1C8E" w:rsidRDefault="00CE73F5"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מראשה הכי, והוה לה קשר של קיימא, רש"י.</w:t>
      </w:r>
    </w:p>
  </w:footnote>
  <w:footnote w:id="2630">
    <w:p w14:paraId="62617A27" w14:textId="09AF30CC" w:rsidR="00CE73F5" w:rsidRPr="008C1C8E" w:rsidRDefault="00CE73F5"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שמא תוציא בדוחק ותינתק שערה </w:t>
      </w:r>
      <w:r w:rsidRPr="008C1C8E">
        <w:rPr>
          <w:rFonts w:asciiTheme="minorBidi" w:hAnsiTheme="minorBidi"/>
          <w:sz w:val="16"/>
          <w:szCs w:val="16"/>
          <w:rtl/>
        </w:rPr>
        <w:t>(וה"ה אפילו אי לא הוה חסה על שערה הוה שרי משום שהיא לא תעשה כך תמיד, אלא דעדיפא מינה קאמר דאפילו חדא זימנא לא עבדא הכי משום דחייסא על שערה</w:t>
      </w:r>
      <w:r>
        <w:rPr>
          <w:rFonts w:cs="Arial" w:hint="cs"/>
          <w:sz w:val="16"/>
          <w:szCs w:val="16"/>
          <w:rtl/>
        </w:rPr>
        <w:t>,</w:t>
      </w:r>
      <w:r w:rsidRPr="00CE73F5">
        <w:rPr>
          <w:rFonts w:cs="Arial"/>
          <w:sz w:val="16"/>
          <w:szCs w:val="16"/>
          <w:rtl/>
        </w:rPr>
        <w:t xml:space="preserve"> ועל דרך זו יש לפרש מה שכתב רש"י ודפסיקייא איכא לשנויי כי האי גוונא וכו'</w:t>
      </w:r>
      <w:r w:rsidRPr="008C1C8E">
        <w:rPr>
          <w:rFonts w:asciiTheme="minorBidi" w:hAnsiTheme="minorBidi"/>
          <w:sz w:val="16"/>
          <w:szCs w:val="16"/>
          <w:rtl/>
        </w:rPr>
        <w:t>, ב"י)</w:t>
      </w:r>
      <w:r>
        <w:rPr>
          <w:rFonts w:asciiTheme="minorBidi" w:hAnsiTheme="minorBidi" w:hint="cs"/>
          <w:rtl/>
        </w:rPr>
        <w:t xml:space="preserve">. </w:t>
      </w:r>
      <w:r w:rsidRPr="008C1C8E">
        <w:rPr>
          <w:rFonts w:asciiTheme="minorBidi" w:hAnsiTheme="minorBidi"/>
          <w:rtl/>
        </w:rPr>
        <w:t>ודפסקיא נמי איכא לשנויי כהאי גוונא; מהו דתימא מחתא ליה דרך רגלה ויוצאה, קא משמע לן דלא עבדה הכי משום צניעותא, רש"י.</w:t>
      </w:r>
    </w:p>
  </w:footnote>
  <w:footnote w:id="2631">
    <w:p w14:paraId="50981F6E" w14:textId="77777777" w:rsidR="00CE73F5" w:rsidRPr="008C1C8E" w:rsidRDefault="00CE73F5"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אזנים שכופלים לתוכו, ובאחת מהן יכול להוציא היין, רש"י.</w:t>
      </w:r>
    </w:p>
  </w:footnote>
  <w:footnote w:id="2632">
    <w:p w14:paraId="76FAA310" w14:textId="77777777" w:rsidR="00CE73F5" w:rsidRPr="008C1C8E" w:rsidRDefault="00CE73F5"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כגון דדי הכיור, ערוך. ורש"י פירש</w:t>
      </w:r>
      <w:r>
        <w:rPr>
          <w:rFonts w:asciiTheme="minorBidi" w:hAnsiTheme="minorBidi" w:hint="cs"/>
          <w:rtl/>
        </w:rPr>
        <w:t xml:space="preserve"> </w:t>
      </w:r>
      <w:r w:rsidRPr="008C1C8E">
        <w:rPr>
          <w:rFonts w:asciiTheme="minorBidi" w:hAnsiTheme="minorBidi"/>
          <w:rtl/>
        </w:rPr>
        <w:t>- שרוך. (בגיר' הערוך והב"י כ' "שלאבא", ובגיר' רש"י כ' "שלאכא" וכן הוא אצלנו).</w:t>
      </w:r>
    </w:p>
  </w:footnote>
  <w:footnote w:id="2633">
    <w:p w14:paraId="084E906E" w14:textId="77777777" w:rsidR="00CE73F5" w:rsidRPr="008C1C8E" w:rsidRDefault="00CE73F5"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לקשר שעל פיה, ומוציא מה שבתוכו דרך שלאכא, רש"י. </w:t>
      </w:r>
    </w:p>
  </w:footnote>
  <w:footnote w:id="2634">
    <w:p w14:paraId="755F66D6" w14:textId="58E4D78E" w:rsidR="00836697" w:rsidRDefault="00836697" w:rsidP="00285819">
      <w:pPr>
        <w:pStyle w:val="a7"/>
        <w:rPr>
          <w:rtl/>
        </w:rPr>
      </w:pPr>
      <w:r>
        <w:rPr>
          <w:rStyle w:val="a9"/>
        </w:rPr>
        <w:footnoteRef/>
      </w:r>
      <w:r>
        <w:rPr>
          <w:rtl/>
        </w:rPr>
        <w:t xml:space="preserve"> </w:t>
      </w:r>
      <w:r>
        <w:rPr>
          <w:rFonts w:cs="Arial" w:hint="cs"/>
          <w:rtl/>
        </w:rPr>
        <w:t xml:space="preserve">ורי"ו </w:t>
      </w:r>
      <w:r w:rsidRPr="00936955">
        <w:rPr>
          <w:rFonts w:cs="Arial" w:hint="cs"/>
          <w:sz w:val="16"/>
          <w:szCs w:val="16"/>
          <w:rtl/>
        </w:rPr>
        <w:t>(</w:t>
      </w:r>
      <w:r w:rsidRPr="00936955">
        <w:rPr>
          <w:rFonts w:cs="Arial"/>
          <w:sz w:val="16"/>
          <w:szCs w:val="16"/>
          <w:rtl/>
        </w:rPr>
        <w:t>חי"ד ני</w:t>
      </w:r>
      <w:r w:rsidRPr="00936955">
        <w:rPr>
          <w:rFonts w:cs="Arial" w:hint="cs"/>
          <w:sz w:val="16"/>
          <w:szCs w:val="16"/>
          <w:rtl/>
        </w:rPr>
        <w:t>"</w:t>
      </w:r>
      <w:r w:rsidRPr="00936955">
        <w:rPr>
          <w:rFonts w:cs="Arial"/>
          <w:sz w:val="16"/>
          <w:szCs w:val="16"/>
          <w:rtl/>
        </w:rPr>
        <w:t>ב פז:)</w:t>
      </w:r>
      <w:r>
        <w:rPr>
          <w:rFonts w:cs="Arial" w:hint="cs"/>
          <w:rtl/>
        </w:rPr>
        <w:t xml:space="preserve"> </w:t>
      </w:r>
      <w:r w:rsidRPr="00196688">
        <w:rPr>
          <w:rFonts w:cs="Arial"/>
          <w:rtl/>
        </w:rPr>
        <w:t>כתב דטעמא מפני שעשויים לקשור ולהתיר תמיד ומשום הכי אע</w:t>
      </w:r>
      <w:r>
        <w:rPr>
          <w:rFonts w:cs="Arial" w:hint="cs"/>
          <w:rtl/>
        </w:rPr>
        <w:t>"</w:t>
      </w:r>
      <w:r w:rsidRPr="00196688">
        <w:rPr>
          <w:rFonts w:cs="Arial"/>
          <w:rtl/>
        </w:rPr>
        <w:t xml:space="preserve">פ שיש בנוד פיות הרבה ולפעמים מניח הפה הגדול קשור ימים הרבה ומוציא ומכניס יין בפה קטן שלו מותר לכתחלה. ומהאי טעמא מותר לקשור לפני בהמה כדלעיל. </w:t>
      </w:r>
      <w:r w:rsidRPr="00836697">
        <w:rPr>
          <w:rFonts w:cs="Arial"/>
          <w:rtl/>
        </w:rPr>
        <w:t>ולפי דבריו הא דאמרינן בכל הני מהו דתימא חדא מינייהו בטולי מבטיל קמ"ל</w:t>
      </w:r>
      <w:r w:rsidRPr="00836697">
        <w:rPr>
          <w:rFonts w:cs="Arial" w:hint="cs"/>
          <w:rtl/>
        </w:rPr>
        <w:t>,</w:t>
      </w:r>
      <w:r w:rsidRPr="00836697">
        <w:rPr>
          <w:rFonts w:cs="Arial"/>
          <w:rtl/>
        </w:rPr>
        <w:t xml:space="preserve"> הכי קאמר מהו דתימא חדא מינייהו מבטיל לה לעולם</w:t>
      </w:r>
      <w:r w:rsidRPr="00836697">
        <w:rPr>
          <w:rFonts w:cs="Arial" w:hint="cs"/>
          <w:rtl/>
        </w:rPr>
        <w:t>,</w:t>
      </w:r>
      <w:r w:rsidRPr="00836697">
        <w:rPr>
          <w:rFonts w:cs="Arial"/>
          <w:rtl/>
        </w:rPr>
        <w:t xml:space="preserve"> קמ"ל דאע</w:t>
      </w:r>
      <w:r>
        <w:rPr>
          <w:rFonts w:cs="Arial" w:hint="cs"/>
          <w:rtl/>
        </w:rPr>
        <w:t>"</w:t>
      </w:r>
      <w:r w:rsidRPr="00836697">
        <w:rPr>
          <w:rFonts w:cs="Arial"/>
          <w:rtl/>
        </w:rPr>
        <w:t>ג דמבטיל לה לקצת ימים לא מבטיל לה לעולם</w:t>
      </w:r>
      <w:r w:rsidRPr="00836697">
        <w:rPr>
          <w:rFonts w:cs="Arial" w:hint="cs"/>
          <w:rtl/>
        </w:rPr>
        <w:t>,</w:t>
      </w:r>
      <w:r w:rsidRPr="00836697">
        <w:rPr>
          <w:rFonts w:cs="Arial"/>
          <w:rtl/>
        </w:rPr>
        <w:t xml:space="preserve"> וכמו שכתב הרמב"ם דאינה של קיימא אלא פעם קושר ופעם מתיר</w:t>
      </w:r>
      <w:r>
        <w:rPr>
          <w:rFonts w:cs="Arial" w:hint="cs"/>
          <w:rtl/>
        </w:rPr>
        <w:t>, ב"י</w:t>
      </w:r>
      <w:r w:rsidRPr="00836697">
        <w:rPr>
          <w:rFonts w:cs="Arial"/>
          <w:rtl/>
        </w:rPr>
        <w:t>.</w:t>
      </w:r>
    </w:p>
  </w:footnote>
  <w:footnote w:id="2635">
    <w:p w14:paraId="6832CC6C" w14:textId="1A693E73" w:rsidR="00D902D0" w:rsidRDefault="00D902D0" w:rsidP="00285819">
      <w:pPr>
        <w:pStyle w:val="a7"/>
        <w:rPr>
          <w:rtl/>
        </w:rPr>
      </w:pPr>
      <w:r>
        <w:rPr>
          <w:rStyle w:val="a9"/>
        </w:rPr>
        <w:footnoteRef/>
      </w:r>
      <w:r>
        <w:rPr>
          <w:rtl/>
        </w:rPr>
        <w:t xml:space="preserve"> </w:t>
      </w:r>
      <w:r w:rsidRPr="00D902D0">
        <w:rPr>
          <w:rFonts w:cs="Arial"/>
          <w:rtl/>
        </w:rPr>
        <w:t>דלא שייך במלאכת המשכן כלל</w:t>
      </w:r>
      <w:r>
        <w:rPr>
          <w:rFonts w:hint="cs"/>
          <w:rtl/>
        </w:rPr>
        <w:t>, רש"י.</w:t>
      </w:r>
    </w:p>
  </w:footnote>
  <w:footnote w:id="2636">
    <w:p w14:paraId="25D18A45" w14:textId="5CC50F74" w:rsidR="00285819" w:rsidRDefault="00285819" w:rsidP="00285819">
      <w:pPr>
        <w:pStyle w:val="a7"/>
        <w:rPr>
          <w:rtl/>
        </w:rPr>
      </w:pPr>
      <w:r>
        <w:rPr>
          <w:rStyle w:val="a9"/>
        </w:rPr>
        <w:footnoteRef/>
      </w:r>
      <w:r>
        <w:rPr>
          <w:rtl/>
        </w:rPr>
        <w:t xml:space="preserve"> </w:t>
      </w:r>
      <w:r w:rsidRPr="00285819">
        <w:rPr>
          <w:rFonts w:cs="Arial"/>
          <w:rtl/>
        </w:rPr>
        <w:t>שהתחיל בו נקט, ואופה במקום בשול דסממנין הוא, דהוא בישול דפת</w:t>
      </w:r>
      <w:r>
        <w:rPr>
          <w:rFonts w:hint="cs"/>
          <w:rtl/>
        </w:rPr>
        <w:t>, רש"י.</w:t>
      </w:r>
    </w:p>
  </w:footnote>
  <w:footnote w:id="2637">
    <w:p w14:paraId="777930CF" w14:textId="77536137" w:rsidR="00285819" w:rsidRDefault="00285819" w:rsidP="00285819">
      <w:pPr>
        <w:pStyle w:val="a7"/>
        <w:rPr>
          <w:rtl/>
        </w:rPr>
      </w:pPr>
      <w:r>
        <w:rPr>
          <w:rStyle w:val="a9"/>
        </w:rPr>
        <w:footnoteRef/>
      </w:r>
      <w:r>
        <w:rPr>
          <w:rtl/>
        </w:rPr>
        <w:t xml:space="preserve"> </w:t>
      </w:r>
      <w:r w:rsidRPr="00285819">
        <w:rPr>
          <w:rFonts w:cs="Arial"/>
          <w:rtl/>
        </w:rPr>
        <w:t>שהשליך יתד לח לתנור חם ליבשו, שיתקשה</w:t>
      </w:r>
      <w:r>
        <w:rPr>
          <w:rFonts w:hint="cs"/>
          <w:rtl/>
        </w:rPr>
        <w:t>, רש"י.</w:t>
      </w:r>
    </w:p>
  </w:footnote>
  <w:footnote w:id="2638">
    <w:p w14:paraId="38837B45" w14:textId="796BC025" w:rsidR="00285819" w:rsidRDefault="00285819" w:rsidP="00285819">
      <w:pPr>
        <w:pStyle w:val="a7"/>
        <w:rPr>
          <w:rtl/>
        </w:rPr>
      </w:pPr>
      <w:r>
        <w:rPr>
          <w:rStyle w:val="a9"/>
        </w:rPr>
        <w:footnoteRef/>
      </w:r>
      <w:r>
        <w:rPr>
          <w:rtl/>
        </w:rPr>
        <w:t xml:space="preserve"> </w:t>
      </w:r>
      <w:r w:rsidRPr="00285819">
        <w:rPr>
          <w:rFonts w:cs="Arial"/>
          <w:rtl/>
        </w:rPr>
        <w:t>לחזק, ואין כאן בישול</w:t>
      </w:r>
      <w:r>
        <w:rPr>
          <w:rFonts w:hint="cs"/>
          <w:rtl/>
        </w:rPr>
        <w:t>, רש"י.</w:t>
      </w:r>
    </w:p>
  </w:footnote>
  <w:footnote w:id="2639">
    <w:p w14:paraId="50FDEBCB" w14:textId="268112DB" w:rsidR="00285819" w:rsidRDefault="00285819" w:rsidP="00285819">
      <w:pPr>
        <w:pStyle w:val="a7"/>
        <w:rPr>
          <w:rtl/>
        </w:rPr>
      </w:pPr>
      <w:r>
        <w:rPr>
          <w:rStyle w:val="a9"/>
        </w:rPr>
        <w:footnoteRef/>
      </w:r>
      <w:r>
        <w:rPr>
          <w:rtl/>
        </w:rPr>
        <w:t xml:space="preserve"> </w:t>
      </w:r>
      <w:r w:rsidRPr="00285819">
        <w:rPr>
          <w:rFonts w:cs="Arial"/>
          <w:rtl/>
        </w:rPr>
        <w:t>על ידי חום האור והמים שבתוכו יוצאין, ולאחר שיצאו מימיו קמיט - מתקשה, וכי רפי ברישא הוי בישולו</w:t>
      </w:r>
      <w:r>
        <w:rPr>
          <w:rFonts w:hint="cs"/>
          <w:rtl/>
        </w:rPr>
        <w:t>, רש"י.</w:t>
      </w:r>
    </w:p>
  </w:footnote>
  <w:footnote w:id="2640">
    <w:p w14:paraId="3773960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וכן איתא בגיטין (נג:) בכתובות (לד.) ובב"ק (עא.).</w:t>
      </w:r>
    </w:p>
  </w:footnote>
  <w:footnote w:id="2641">
    <w:p w14:paraId="684ED2DE"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הוא עצמו ובו ביום, ואין צריך להמתין עד הערב בכדי שיעשו, דהא דאמרינן בעלמא לערב בכדי שיעשו - לית ליה לר"מ אלא היכא דעבד ישראל איסורא ובמזיד, דאיכא חיובא דלא נמטייה הנאה מאיסורא, אבל בשוגג לא, רש"י.</w:t>
      </w:r>
    </w:p>
  </w:footnote>
  <w:footnote w:id="2642">
    <w:p w14:paraId="32FC906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דאיכא איסורא, רש"י.</w:t>
      </w:r>
    </w:p>
  </w:footnote>
  <w:footnote w:id="2643">
    <w:p w14:paraId="1E3D7027"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בו ביום עד שתחשך ובכדי שיעשו, והוא הדין לאחרים נמי דאסור למיכליה בו ביום דטעמא משום דלא נמטייה הנאה מאיסורא הוא, וכי שהי לאורתא בכדי שיעשו לא מטי לו הנאה מיניה, ואיידי דתנא רישא בדידיה דאשמעינן רבותא להתירא תנא נמי סיפא בדידיה, רש"י.</w:t>
      </w:r>
    </w:p>
  </w:footnote>
  <w:footnote w:id="2644">
    <w:p w14:paraId="360457BE" w14:textId="5BF5907E"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ולא בשבת, וה"ה לאחריני, דאע"ג דבשוגג חיוב סקילה ליכא עבירה מיהא איכא, ובעינן בכדי שיעשו </w:t>
      </w:r>
      <w:r w:rsidR="00944384">
        <w:rPr>
          <w:rFonts w:asciiTheme="minorBidi" w:hAnsiTheme="minorBidi" w:hint="cs"/>
          <w:sz w:val="16"/>
          <w:szCs w:val="16"/>
          <w:rtl/>
        </w:rPr>
        <w:t>{</w:t>
      </w:r>
      <w:r w:rsidRPr="008C1C8E">
        <w:rPr>
          <w:rFonts w:asciiTheme="minorBidi" w:hAnsiTheme="minorBidi"/>
          <w:sz w:val="16"/>
          <w:szCs w:val="16"/>
          <w:rtl/>
        </w:rPr>
        <w:t xml:space="preserve">לו ולאחרים, ועי' לקמן </w:t>
      </w:r>
      <w:r w:rsidR="00E801BC">
        <w:rPr>
          <w:rFonts w:asciiTheme="minorBidi" w:hAnsiTheme="minorBidi" w:hint="cs"/>
          <w:sz w:val="16"/>
          <w:szCs w:val="16"/>
          <w:rtl/>
        </w:rPr>
        <w:t>שדעת הרמב"ם ה"ר יונה והטור אינה כן, שלדעתם אין צריך לחכות בכדי שיעשה</w:t>
      </w:r>
      <w:r w:rsidR="00944384">
        <w:rPr>
          <w:rFonts w:asciiTheme="minorBidi" w:hAnsiTheme="minorBidi" w:hint="cs"/>
          <w:sz w:val="16"/>
          <w:szCs w:val="16"/>
          <w:rtl/>
        </w:rPr>
        <w:t>}</w:t>
      </w:r>
      <w:r w:rsidRPr="008C1C8E">
        <w:rPr>
          <w:rFonts w:asciiTheme="minorBidi" w:hAnsiTheme="minorBidi"/>
          <w:sz w:val="16"/>
          <w:szCs w:val="16"/>
          <w:rtl/>
        </w:rPr>
        <w:t xml:space="preserve"> </w:t>
      </w:r>
      <w:r w:rsidRPr="008C1C8E">
        <w:rPr>
          <w:rFonts w:asciiTheme="minorBidi" w:hAnsiTheme="minorBidi"/>
          <w:rtl/>
        </w:rPr>
        <w:t xml:space="preserve">דלא נימטיה הנאה מעבירה, ואיידי דבעי למתני סיפא </w:t>
      </w:r>
      <w:r w:rsidR="00944384">
        <w:rPr>
          <w:rFonts w:asciiTheme="minorBidi" w:hAnsiTheme="minorBidi" w:hint="cs"/>
          <w:rtl/>
        </w:rPr>
        <w:t>"</w:t>
      </w:r>
      <w:r w:rsidRPr="008C1C8E">
        <w:rPr>
          <w:rFonts w:asciiTheme="minorBidi" w:hAnsiTheme="minorBidi"/>
          <w:rtl/>
        </w:rPr>
        <w:t>לא יאכל עולמית</w:t>
      </w:r>
      <w:r w:rsidR="00944384">
        <w:rPr>
          <w:rFonts w:asciiTheme="minorBidi" w:hAnsiTheme="minorBidi" w:hint="cs"/>
          <w:rtl/>
        </w:rPr>
        <w:t>"</w:t>
      </w:r>
      <w:r w:rsidRPr="008C1C8E">
        <w:rPr>
          <w:rFonts w:asciiTheme="minorBidi" w:hAnsiTheme="minorBidi"/>
          <w:rtl/>
        </w:rPr>
        <w:t xml:space="preserve"> בדידיה אבל לאחריני שרי</w:t>
      </w:r>
      <w:r w:rsidR="00944384">
        <w:rPr>
          <w:rFonts w:asciiTheme="minorBidi" w:hAnsiTheme="minorBidi" w:hint="cs"/>
          <w:rtl/>
        </w:rPr>
        <w:t>,</w:t>
      </w:r>
      <w:r w:rsidRPr="008C1C8E">
        <w:rPr>
          <w:rFonts w:asciiTheme="minorBidi" w:hAnsiTheme="minorBidi"/>
          <w:rtl/>
        </w:rPr>
        <w:t xml:space="preserve"> דאיהו דעבד איסורא קנסוהו רבנן אבל אחריני לא</w:t>
      </w:r>
      <w:r w:rsidR="00944384">
        <w:rPr>
          <w:rFonts w:asciiTheme="minorBidi" w:hAnsiTheme="minorBidi" w:hint="cs"/>
          <w:rtl/>
        </w:rPr>
        <w:t>,</w:t>
      </w:r>
      <w:r w:rsidRPr="008C1C8E">
        <w:rPr>
          <w:rFonts w:asciiTheme="minorBidi" w:hAnsiTheme="minorBidi"/>
          <w:rtl/>
        </w:rPr>
        <w:t xml:space="preserve"> תנא רישא נמי בדידיה, רש"י.</w:t>
      </w:r>
    </w:p>
  </w:footnote>
  <w:footnote w:id="2645">
    <w:p w14:paraId="5FA6EA1D"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בכדי שיעשו, כר' יהודה דמשוי ליה עבירה אף בשוגג, ועדיפא מדרבי יהודה דאילו רבי יהודה שרי ליה לאורתא אפי' לדידיה דלא קניס שוגג אטו מזיד, ורבי יוחנן קניס שוגג אטו מזיד הלכך איהו דעבד איסורא קנסו רבנן אחריני דלא עבדי איסורא לא קנסו, אלא בכדי שיעשו ימתינו דלא ניתהני מעבירה, רש"י.</w:t>
      </w:r>
    </w:p>
  </w:footnote>
  <w:footnote w:id="2646">
    <w:p w14:paraId="21704F6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לאו משום קנסא הוא, דהא אחריני לא עבוד איסורא, אלא מקראי יליף לה רבי יוחנן בכתובות </w:t>
      </w:r>
      <w:r w:rsidRPr="008C1C8E">
        <w:rPr>
          <w:rFonts w:asciiTheme="minorBidi" w:hAnsiTheme="minorBidi"/>
          <w:sz w:val="16"/>
          <w:szCs w:val="16"/>
          <w:rtl/>
        </w:rPr>
        <w:t>(לד:)</w:t>
      </w:r>
      <w:r w:rsidRPr="008C1C8E">
        <w:rPr>
          <w:rFonts w:asciiTheme="minorBidi" w:hAnsiTheme="minorBidi"/>
          <w:rtl/>
        </w:rPr>
        <w:t xml:space="preserve"> ובב"ק</w:t>
      </w:r>
      <w:r w:rsidRPr="008C1C8E">
        <w:rPr>
          <w:rFonts w:asciiTheme="minorBidi" w:hAnsiTheme="minorBidi"/>
          <w:sz w:val="16"/>
          <w:szCs w:val="16"/>
          <w:rtl/>
        </w:rPr>
        <w:t xml:space="preserve"> (עא:) </w:t>
      </w:r>
      <w:r w:rsidRPr="008C1C8E">
        <w:rPr>
          <w:rFonts w:asciiTheme="minorBidi" w:hAnsiTheme="minorBidi"/>
          <w:rtl/>
        </w:rPr>
        <w:t>ושמרתם את השבת כי קדש וגו' מה קדש אסור באכילה אף מעשה שבת אסורים באכילה, יכול אפילו בשוגג ת"ל מחלליה מות יומת במזיד אמרתי ולא בשוגג, רש"י.</w:t>
      </w:r>
    </w:p>
  </w:footnote>
  <w:footnote w:id="2647">
    <w:p w14:paraId="6CA3C9DC"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במבשל בשבת הוראה ביחיד מורי להו כרבי מאיר דמיקל, רש"י.</w:t>
      </w:r>
    </w:p>
  </w:footnote>
  <w:footnote w:id="2648">
    <w:p w14:paraId="6283DEC7"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ביום השבת ברבים, רש"י.</w:t>
      </w:r>
    </w:p>
  </w:footnote>
  <w:footnote w:id="2649">
    <w:p w14:paraId="64D67BB3" w14:textId="658163CD" w:rsidR="00A450CB" w:rsidRDefault="00A450CB">
      <w:pPr>
        <w:pStyle w:val="a7"/>
        <w:rPr>
          <w:rtl/>
        </w:rPr>
      </w:pPr>
      <w:r>
        <w:rPr>
          <w:rStyle w:val="a9"/>
        </w:rPr>
        <w:footnoteRef/>
      </w:r>
      <w:r>
        <w:rPr>
          <w:rtl/>
        </w:rPr>
        <w:t xml:space="preserve"> </w:t>
      </w:r>
      <w:r w:rsidRPr="00EE28FB">
        <w:rPr>
          <w:rFonts w:asciiTheme="minorBidi" w:hAnsiTheme="minorBidi" w:cs="Arial"/>
          <w:rtl/>
        </w:rPr>
        <w:t>ולזה נוטין דברי הרא"ש בפרק קמא דחולין (סי' יח)</w:t>
      </w:r>
      <w:r>
        <w:rPr>
          <w:rFonts w:hint="cs"/>
          <w:rtl/>
        </w:rPr>
        <w:t>, ב"י.</w:t>
      </w:r>
    </w:p>
  </w:footnote>
  <w:footnote w:id="2650">
    <w:p w14:paraId="7F1F0212" w14:textId="72515909" w:rsidR="00A450CB" w:rsidRDefault="00A450CB">
      <w:pPr>
        <w:pStyle w:val="a7"/>
        <w:rPr>
          <w:rtl/>
        </w:rPr>
      </w:pPr>
      <w:r>
        <w:rPr>
          <w:rStyle w:val="a9"/>
        </w:rPr>
        <w:footnoteRef/>
      </w:r>
      <w:r>
        <w:rPr>
          <w:rtl/>
        </w:rPr>
        <w:t xml:space="preserve"> </w:t>
      </w:r>
      <w:r w:rsidRPr="00EE28FB">
        <w:rPr>
          <w:rFonts w:asciiTheme="minorBidi" w:hAnsiTheme="minorBidi" w:cs="Arial"/>
          <w:rtl/>
        </w:rPr>
        <w:t>וכתב הר"ן (שם ד"ה גרסינן) דטעמא משום דעד כאן לא מורי להו רב לתלמידיו כרבי מאיר אלא משום דסבירא ליה (עירובין מז.) דלא איתמר בדרבי מאיר ורבי יהודה הלכה כרבי יהודה</w:t>
      </w:r>
      <w:r w:rsidRPr="00EE28FB">
        <w:rPr>
          <w:rFonts w:asciiTheme="minorBidi" w:hAnsiTheme="minorBidi" w:cs="Arial" w:hint="cs"/>
          <w:rtl/>
        </w:rPr>
        <w:t>,</w:t>
      </w:r>
      <w:r w:rsidRPr="00EE28FB">
        <w:rPr>
          <w:rFonts w:asciiTheme="minorBidi" w:hAnsiTheme="minorBidi" w:cs="Arial"/>
          <w:rtl/>
        </w:rPr>
        <w:t xml:space="preserve"> אלא מטין איתמר</w:t>
      </w:r>
      <w:r w:rsidRPr="00EE28FB">
        <w:rPr>
          <w:rFonts w:asciiTheme="minorBidi" w:hAnsiTheme="minorBidi" w:cs="Arial" w:hint="cs"/>
          <w:rtl/>
        </w:rPr>
        <w:t>,</w:t>
      </w:r>
      <w:r w:rsidRPr="00EE28FB">
        <w:rPr>
          <w:rFonts w:asciiTheme="minorBidi" w:hAnsiTheme="minorBidi" w:cs="Arial"/>
          <w:rtl/>
        </w:rPr>
        <w:t xml:space="preserve"> אבל אנן דקיימא לן דהלכה איתמר </w:t>
      </w:r>
      <w:r w:rsidRPr="00EE28FB">
        <w:rPr>
          <w:rFonts w:asciiTheme="minorBidi" w:hAnsiTheme="minorBidi" w:cs="Arial" w:hint="cs"/>
          <w:rtl/>
        </w:rPr>
        <w:t xml:space="preserve">- </w:t>
      </w:r>
      <w:r w:rsidRPr="00EE28FB">
        <w:rPr>
          <w:rFonts w:asciiTheme="minorBidi" w:hAnsiTheme="minorBidi" w:cs="Arial"/>
          <w:rtl/>
        </w:rPr>
        <w:t>נקטינן כרבי יהודה</w:t>
      </w:r>
      <w:r w:rsidRPr="00EE28FB">
        <w:rPr>
          <w:rFonts w:asciiTheme="minorBidi" w:hAnsiTheme="minorBidi" w:cs="Arial" w:hint="cs"/>
          <w:rtl/>
        </w:rPr>
        <w:t>.</w:t>
      </w:r>
      <w:r w:rsidRPr="00EE28FB">
        <w:rPr>
          <w:rFonts w:asciiTheme="minorBidi" w:hAnsiTheme="minorBidi" w:cs="Arial"/>
          <w:rtl/>
        </w:rPr>
        <w:t xml:space="preserve"> ועוד דרב גופיה כי דריש בפירקא דריש כרבי יהודה משום עמי הארץ</w:t>
      </w:r>
      <w:r w:rsidRPr="00EE28FB">
        <w:rPr>
          <w:rFonts w:asciiTheme="minorBidi" w:hAnsiTheme="minorBidi" w:cs="Arial" w:hint="cs"/>
          <w:rtl/>
        </w:rPr>
        <w:t>,</w:t>
      </w:r>
      <w:r w:rsidRPr="00EE28FB">
        <w:rPr>
          <w:rFonts w:asciiTheme="minorBidi" w:hAnsiTheme="minorBidi" w:cs="Arial"/>
          <w:rtl/>
        </w:rPr>
        <w:t xml:space="preserve"> ואנן הא שכיחי עמי הארץ גבן</w:t>
      </w:r>
      <w:r>
        <w:rPr>
          <w:rFonts w:hint="cs"/>
          <w:sz w:val="16"/>
          <w:szCs w:val="16"/>
          <w:rtl/>
        </w:rPr>
        <w:t xml:space="preserve"> [עכ"ל]</w:t>
      </w:r>
      <w:r>
        <w:rPr>
          <w:rFonts w:hint="cs"/>
          <w:rtl/>
        </w:rPr>
        <w:t>, ב"י.</w:t>
      </w:r>
    </w:p>
  </w:footnote>
  <w:footnote w:id="2651">
    <w:p w14:paraId="21ADBD30" w14:textId="1EC1684D" w:rsidR="004C60A5" w:rsidRDefault="004C60A5">
      <w:pPr>
        <w:pStyle w:val="a7"/>
        <w:rPr>
          <w:rtl/>
        </w:rPr>
      </w:pPr>
      <w:r>
        <w:rPr>
          <w:rStyle w:val="a9"/>
        </w:rPr>
        <w:footnoteRef/>
      </w:r>
      <w:r>
        <w:rPr>
          <w:rtl/>
        </w:rPr>
        <w:t xml:space="preserve"> </w:t>
      </w:r>
      <w:r>
        <w:rPr>
          <w:rFonts w:asciiTheme="minorBidi" w:hAnsiTheme="minorBidi" w:cs="Arial" w:hint="cs"/>
          <w:rtl/>
        </w:rPr>
        <w:t>וכן כתב ה</w:t>
      </w:r>
      <w:r w:rsidRPr="00EE28FB">
        <w:rPr>
          <w:rFonts w:asciiTheme="minorBidi" w:hAnsiTheme="minorBidi" w:cs="Arial"/>
          <w:rtl/>
        </w:rPr>
        <w:t xml:space="preserve">סמ"ג </w:t>
      </w:r>
      <w:r w:rsidRPr="004C60A5">
        <w:rPr>
          <w:rFonts w:asciiTheme="minorBidi" w:hAnsiTheme="minorBidi" w:cs="Arial"/>
          <w:sz w:val="16"/>
          <w:szCs w:val="16"/>
          <w:rtl/>
        </w:rPr>
        <w:t>(לאוין סה יד. יט ע"ד)</w:t>
      </w:r>
      <w:r>
        <w:rPr>
          <w:rFonts w:asciiTheme="minorBidi" w:hAnsiTheme="minorBidi" w:cs="Arial" w:hint="cs"/>
          <w:rtl/>
        </w:rPr>
        <w:t>,</w:t>
      </w:r>
      <w:r w:rsidRPr="00EE28FB">
        <w:rPr>
          <w:rFonts w:asciiTheme="minorBidi" w:hAnsiTheme="minorBidi" w:cs="Arial"/>
          <w:rtl/>
        </w:rPr>
        <w:t xml:space="preserve"> </w:t>
      </w:r>
      <w:r>
        <w:rPr>
          <w:rFonts w:asciiTheme="minorBidi" w:hAnsiTheme="minorBidi" w:cs="Arial" w:hint="cs"/>
          <w:rtl/>
        </w:rPr>
        <w:t>אלא</w:t>
      </w:r>
      <w:r w:rsidRPr="00EE28FB">
        <w:rPr>
          <w:rFonts w:asciiTheme="minorBidi" w:hAnsiTheme="minorBidi" w:cs="Arial"/>
          <w:rtl/>
        </w:rPr>
        <w:t xml:space="preserve"> כתב (שם יד.) דכיון דכי דריש בפירקיה דריש כרבי יהודה משום עמי הארץ הילכך כרבי יהודה נדרוש אנן</w:t>
      </w:r>
      <w:r>
        <w:rPr>
          <w:rFonts w:hint="cs"/>
          <w:rtl/>
        </w:rPr>
        <w:t>.</w:t>
      </w:r>
    </w:p>
  </w:footnote>
  <w:footnote w:id="2652">
    <w:p w14:paraId="76374DD9" w14:textId="42B4F743" w:rsidR="00E801BC" w:rsidRDefault="00E801BC">
      <w:pPr>
        <w:pStyle w:val="a7"/>
        <w:rPr>
          <w:rtl/>
        </w:rPr>
      </w:pPr>
      <w:r>
        <w:rPr>
          <w:rStyle w:val="a9"/>
        </w:rPr>
        <w:footnoteRef/>
      </w:r>
      <w:r>
        <w:rPr>
          <w:rtl/>
        </w:rPr>
        <w:t xml:space="preserve"> </w:t>
      </w:r>
      <w:r w:rsidRPr="001345CC">
        <w:rPr>
          <w:rFonts w:asciiTheme="minorBidi" w:hAnsiTheme="minorBidi" w:cs="Arial"/>
          <w:rtl/>
        </w:rPr>
        <w:t>וטעמא משום דלא מצרכינן בכדי שיעשו אלא בדבר שאינו נעשה על ידי ישראל</w:t>
      </w:r>
      <w:r>
        <w:rPr>
          <w:rFonts w:asciiTheme="minorBidi" w:hAnsiTheme="minorBidi" w:cs="Arial" w:hint="cs"/>
          <w:rtl/>
        </w:rPr>
        <w:t>,</w:t>
      </w:r>
      <w:r w:rsidRPr="001345CC">
        <w:rPr>
          <w:rFonts w:asciiTheme="minorBidi" w:hAnsiTheme="minorBidi" w:cs="Arial"/>
          <w:rtl/>
        </w:rPr>
        <w:t xml:space="preserve"> משום דמתוך שקל בעיניו יבוא לעשות כן פעם אחרת</w:t>
      </w:r>
      <w:r>
        <w:rPr>
          <w:rFonts w:asciiTheme="minorBidi" w:hAnsiTheme="minorBidi" w:cs="Arial" w:hint="cs"/>
          <w:rtl/>
        </w:rPr>
        <w:t>,</w:t>
      </w:r>
      <w:r w:rsidRPr="001345CC">
        <w:rPr>
          <w:rFonts w:asciiTheme="minorBidi" w:hAnsiTheme="minorBidi" w:cs="Arial"/>
          <w:rtl/>
        </w:rPr>
        <w:t xml:space="preserve"> אבל דבר שעושה ישראל בידים ודאי ליכא למיחש דאי שרית ליה מיד אתי לבשולי להדיא</w:t>
      </w:r>
      <w:r>
        <w:rPr>
          <w:rFonts w:asciiTheme="minorBidi" w:hAnsiTheme="minorBidi" w:cs="Arial" w:hint="cs"/>
          <w:rtl/>
        </w:rPr>
        <w:t>, הה"מ (שם).</w:t>
      </w:r>
    </w:p>
  </w:footnote>
  <w:footnote w:id="2653">
    <w:p w14:paraId="1279F6F3" w14:textId="47370E25" w:rsidR="0026511E" w:rsidRDefault="0026511E">
      <w:pPr>
        <w:pStyle w:val="a7"/>
      </w:pPr>
      <w:r>
        <w:rPr>
          <w:rStyle w:val="a9"/>
        </w:rPr>
        <w:footnoteRef/>
      </w:r>
      <w:r>
        <w:rPr>
          <w:rtl/>
        </w:rPr>
        <w:t xml:space="preserve"> </w:t>
      </w:r>
      <w:r w:rsidRPr="0026511E">
        <w:rPr>
          <w:rFonts w:cs="Arial"/>
          <w:rtl/>
        </w:rPr>
        <w:t>ובמקום הצורך יש לסמוך על זה בבשול בשוגג</w:t>
      </w:r>
      <w:r>
        <w:rPr>
          <w:rFonts w:cs="Arial" w:hint="cs"/>
          <w:rtl/>
        </w:rPr>
        <w:t>, משנ"ב (סק"ז).</w:t>
      </w:r>
    </w:p>
  </w:footnote>
  <w:footnote w:id="2654">
    <w:p w14:paraId="45E22947" w14:textId="5F88D717" w:rsidR="00FE17D7" w:rsidRDefault="00FE17D7">
      <w:pPr>
        <w:pStyle w:val="a7"/>
        <w:rPr>
          <w:rtl/>
        </w:rPr>
      </w:pPr>
      <w:r>
        <w:rPr>
          <w:rStyle w:val="a9"/>
        </w:rPr>
        <w:footnoteRef/>
      </w:r>
      <w:r>
        <w:rPr>
          <w:rtl/>
        </w:rPr>
        <w:t xml:space="preserve"> </w:t>
      </w:r>
      <w:r>
        <w:rPr>
          <w:rFonts w:hint="cs"/>
          <w:rtl/>
        </w:rPr>
        <w:t xml:space="preserve">וז"ל- </w:t>
      </w:r>
      <w:r w:rsidRPr="00FE17D7">
        <w:rPr>
          <w:rFonts w:cs="Arial"/>
          <w:rtl/>
        </w:rPr>
        <w:t xml:space="preserve">ישראל שעשה מלאכה בשבת אם עבר ועשה בזדון אסור לו ליהנות באותה מלאכה לעולם, ושאר ישראל מותר להם ליהנות בה למוצאי שבת מיד שנאמר </w:t>
      </w:r>
      <w:r>
        <w:rPr>
          <w:rFonts w:cs="Arial" w:hint="cs"/>
          <w:rtl/>
        </w:rPr>
        <w:t>(</w:t>
      </w:r>
      <w:r w:rsidRPr="00FE17D7">
        <w:rPr>
          <w:rFonts w:cs="Arial"/>
          <w:rtl/>
        </w:rPr>
        <w:t>שמות לא</w:t>
      </w:r>
      <w:r>
        <w:rPr>
          <w:rFonts w:cs="Arial" w:hint="cs"/>
          <w:rtl/>
        </w:rPr>
        <w:t>)</w:t>
      </w:r>
      <w:r w:rsidRPr="00FE17D7">
        <w:rPr>
          <w:rFonts w:cs="Arial"/>
          <w:rtl/>
        </w:rPr>
        <w:t xml:space="preserve"> ושמרתם את השבת כי קדש היא היא קדש ואין מעשיה קדש, כיצד ישראל שבשל בשבת במזיד, למוצאי שבת יאכל לאחרים אבל לו לא יאכל עולמית, ואם בשל בשגגה למוצאי שבת יאכל בין הוא בין אחרים מיד וכן כל כיוצא בזה.</w:t>
      </w:r>
    </w:p>
  </w:footnote>
  <w:footnote w:id="2655">
    <w:p w14:paraId="781C16D9" w14:textId="7A43B9FD" w:rsidR="000957E9" w:rsidRDefault="000957E9">
      <w:pPr>
        <w:pStyle w:val="a7"/>
      </w:pPr>
      <w:r>
        <w:rPr>
          <w:rStyle w:val="a9"/>
        </w:rPr>
        <w:footnoteRef/>
      </w:r>
      <w:r>
        <w:rPr>
          <w:rtl/>
        </w:rPr>
        <w:t xml:space="preserve"> </w:t>
      </w:r>
      <w:r w:rsidRPr="002065FF">
        <w:rPr>
          <w:rFonts w:asciiTheme="minorBidi" w:hAnsiTheme="minorBidi" w:cs="Arial"/>
          <w:rtl/>
        </w:rPr>
        <w:t>כלומר דלדברי ר"י שפסק כרבי מאיר דאמר בשוגג מותר בו ביום</w:t>
      </w:r>
      <w:r>
        <w:rPr>
          <w:rFonts w:asciiTheme="minorBidi" w:hAnsiTheme="minorBidi" w:cs="Arial" w:hint="cs"/>
          <w:rtl/>
        </w:rPr>
        <w:t>,</w:t>
      </w:r>
      <w:r w:rsidRPr="002065FF">
        <w:rPr>
          <w:rFonts w:asciiTheme="minorBidi" w:hAnsiTheme="minorBidi" w:cs="Arial"/>
          <w:rtl/>
        </w:rPr>
        <w:t xml:space="preserve"> לאו דוקא מבשל</w:t>
      </w:r>
      <w:r>
        <w:rPr>
          <w:rFonts w:asciiTheme="minorBidi" w:hAnsiTheme="minorBidi" w:cs="Arial" w:hint="cs"/>
          <w:rtl/>
        </w:rPr>
        <w:t>,</w:t>
      </w:r>
      <w:r w:rsidRPr="002065FF">
        <w:rPr>
          <w:rFonts w:asciiTheme="minorBidi" w:hAnsiTheme="minorBidi" w:cs="Arial"/>
          <w:rtl/>
        </w:rPr>
        <w:t xml:space="preserve"> דהוא הדין לשוחט או עושה שאר מלאכות בשוגג דמותר בו ביום</w:t>
      </w:r>
      <w:r>
        <w:rPr>
          <w:rFonts w:asciiTheme="minorBidi" w:hAnsiTheme="minorBidi" w:cs="Arial" w:hint="cs"/>
          <w:rtl/>
        </w:rPr>
        <w:t>, ב"י.</w:t>
      </w:r>
    </w:p>
  </w:footnote>
  <w:footnote w:id="2656">
    <w:p w14:paraId="77A50F13" w14:textId="63232829" w:rsidR="000957E9" w:rsidRDefault="000957E9">
      <w:pPr>
        <w:pStyle w:val="a7"/>
      </w:pPr>
      <w:r>
        <w:rPr>
          <w:rStyle w:val="a9"/>
        </w:rPr>
        <w:footnoteRef/>
      </w:r>
      <w:r>
        <w:rPr>
          <w:rtl/>
        </w:rPr>
        <w:t xml:space="preserve"> </w:t>
      </w:r>
      <w:r w:rsidRPr="002065FF">
        <w:rPr>
          <w:rFonts w:asciiTheme="minorBidi" w:hAnsiTheme="minorBidi" w:cs="Arial"/>
          <w:rtl/>
        </w:rPr>
        <w:t>בשוגג הוא דשרי רבי מאיר</w:t>
      </w:r>
      <w:r>
        <w:rPr>
          <w:rFonts w:asciiTheme="minorBidi" w:hAnsiTheme="minorBidi" w:cs="Arial" w:hint="cs"/>
          <w:rtl/>
        </w:rPr>
        <w:t>,</w:t>
      </w:r>
      <w:r w:rsidRPr="002065FF">
        <w:rPr>
          <w:rFonts w:asciiTheme="minorBidi" w:hAnsiTheme="minorBidi" w:cs="Arial"/>
          <w:rtl/>
        </w:rPr>
        <w:t xml:space="preserve"> משום דמעיקרא חזי לכוס</w:t>
      </w:r>
      <w:r>
        <w:rPr>
          <w:rFonts w:asciiTheme="minorBidi" w:hAnsiTheme="minorBidi" w:cs="Arial" w:hint="cs"/>
          <w:rtl/>
        </w:rPr>
        <w:t>,</w:t>
      </w:r>
      <w:r w:rsidRPr="002065FF">
        <w:rPr>
          <w:rFonts w:asciiTheme="minorBidi" w:hAnsiTheme="minorBidi" w:cs="Arial"/>
          <w:rtl/>
        </w:rPr>
        <w:t xml:space="preserve"> אבל השוחט או שאר מלאכות דמעיקרא לא חזי כלל אסור בו ביום לכל ישראל</w:t>
      </w:r>
      <w:r>
        <w:rPr>
          <w:rFonts w:asciiTheme="minorBidi" w:hAnsiTheme="minorBidi" w:cs="Arial" w:hint="cs"/>
          <w:rtl/>
        </w:rPr>
        <w:t>.</w:t>
      </w:r>
      <w:r w:rsidRPr="002065FF">
        <w:rPr>
          <w:rFonts w:asciiTheme="minorBidi" w:hAnsiTheme="minorBidi" w:cs="Arial"/>
          <w:rtl/>
        </w:rPr>
        <w:t xml:space="preserve"> וכן דעת סמ"ג (לאוין סה יט ע"ד) וסמ"ק (סי' רפב עמ' שב)</w:t>
      </w:r>
      <w:r>
        <w:rPr>
          <w:rFonts w:asciiTheme="minorBidi" w:hAnsiTheme="minorBidi" w:cs="Arial" w:hint="cs"/>
          <w:rtl/>
        </w:rPr>
        <w:t>, ב"י</w:t>
      </w:r>
      <w:r w:rsidRPr="002065FF">
        <w:rPr>
          <w:rFonts w:asciiTheme="minorBidi" w:hAnsiTheme="minorBidi" w:cs="Arial"/>
          <w:rtl/>
        </w:rPr>
        <w:t>.</w:t>
      </w:r>
    </w:p>
  </w:footnote>
  <w:footnote w:id="2657">
    <w:p w14:paraId="61EBE7F6" w14:textId="77777777" w:rsidR="00CB26AF" w:rsidRDefault="00CB26AF" w:rsidP="00CB26AF">
      <w:pPr>
        <w:pStyle w:val="a7"/>
      </w:pPr>
      <w:r>
        <w:rPr>
          <w:rStyle w:val="a9"/>
        </w:rPr>
        <w:footnoteRef/>
      </w:r>
      <w:r>
        <w:rPr>
          <w:rtl/>
        </w:rPr>
        <w:t xml:space="preserve"> </w:t>
      </w:r>
      <w:r w:rsidRPr="00127167">
        <w:rPr>
          <w:rFonts w:cs="Arial"/>
          <w:rtl/>
        </w:rPr>
        <w:t>ואם היא מלאכה דרבנן עיין בביאור הגר"א שהאריך להוכיח דלכו"ע אם עשה אותה בשוגג אין לאסור בדיעבד ליהנות ממנה ועיין בבה"ל</w:t>
      </w:r>
      <w:r>
        <w:rPr>
          <w:rFonts w:cs="Arial" w:hint="cs"/>
          <w:rtl/>
        </w:rPr>
        <w:t>, משנ"ב (סק"ג).</w:t>
      </w:r>
    </w:p>
  </w:footnote>
  <w:footnote w:id="2658">
    <w:p w14:paraId="5204ABB6" w14:textId="5974CA60" w:rsidR="00CB26AF" w:rsidRDefault="00CB26AF">
      <w:pPr>
        <w:pStyle w:val="a7"/>
      </w:pPr>
      <w:r>
        <w:rPr>
          <w:rStyle w:val="a9"/>
        </w:rPr>
        <w:footnoteRef/>
      </w:r>
      <w:r>
        <w:rPr>
          <w:rtl/>
        </w:rPr>
        <w:t xml:space="preserve"> </w:t>
      </w:r>
      <w:r>
        <w:rPr>
          <w:rFonts w:hint="cs"/>
          <w:rtl/>
        </w:rPr>
        <w:t>וכל זה לדעת התוס' (שהתיר בעשה מלאכה בשוגג להנות בו ביום, אפילו לזה שעשה את המלאכה), אבל לשאר הראשונים בכל מקרה אסור בו ביום גם בשוגג, וא"כ אין נפ"מ לדידן בדברי התרומה.</w:t>
      </w:r>
    </w:p>
  </w:footnote>
  <w:footnote w:id="2659">
    <w:p w14:paraId="3AE5F0C2" w14:textId="3B74B86A" w:rsidR="00127167" w:rsidRDefault="00127167">
      <w:pPr>
        <w:pStyle w:val="a7"/>
        <w:rPr>
          <w:rtl/>
        </w:rPr>
      </w:pPr>
      <w:r>
        <w:rPr>
          <w:rStyle w:val="a9"/>
        </w:rPr>
        <w:footnoteRef/>
      </w:r>
      <w:r>
        <w:rPr>
          <w:rtl/>
        </w:rPr>
        <w:t xml:space="preserve"> </w:t>
      </w:r>
      <w:r w:rsidRPr="00127167">
        <w:rPr>
          <w:rFonts w:cs="Arial"/>
          <w:rtl/>
        </w:rPr>
        <w:t>וכל שיש ספק פלוגתא בזה אי הוי בכלל בישול או לאו או בשאר מלאכות כה"ג אין לאסור בדיעבד דכל האיסור הזה הוא רק מדרבנן שקנסוהו וספיקא דרבנן לקולא [פמ"ג באות יו"ד וכעין זה כתב המג"א בסימן שכ"ג סקי"א ועיין בסקל"ב וצע"ק]</w:t>
      </w:r>
      <w:r>
        <w:rPr>
          <w:rFonts w:hint="cs"/>
          <w:rtl/>
        </w:rPr>
        <w:t>, משנ"ב (סק"ב).</w:t>
      </w:r>
    </w:p>
  </w:footnote>
  <w:footnote w:id="2660">
    <w:p w14:paraId="78065AD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וכן למי שבישל בשבילו (כמו בני ביתו וכדו'), אך מהב"י משמע דמותר לאלו שבישל בשבילם, דאין אדם חוטא ולא לו לכן לא קנסוהו, מג"א (סק"ב).</w:t>
      </w:r>
    </w:p>
  </w:footnote>
  <w:footnote w:id="2661">
    <w:p w14:paraId="26D72506" w14:textId="2AACD704"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w:t>
      </w:r>
      <w:r w:rsidR="00127167" w:rsidRPr="00127167">
        <w:rPr>
          <w:rFonts w:asciiTheme="minorBidi" w:hAnsiTheme="minorBidi" w:cs="Arial"/>
          <w:rtl/>
        </w:rPr>
        <w:t xml:space="preserve">ליהנות מאותה מלאכה דקנסוהו רבנן ומ"מ מותר לו ליהנות מדמיה של המלאכה. כתב המג"א בשם הרשב"א </w:t>
      </w:r>
      <w:r w:rsidR="00127167" w:rsidRPr="008C1C8E">
        <w:rPr>
          <w:rFonts w:asciiTheme="minorBidi" w:hAnsiTheme="minorBidi"/>
          <w:sz w:val="16"/>
          <w:szCs w:val="16"/>
          <w:rtl/>
        </w:rPr>
        <w:t>(סי' קעה)</w:t>
      </w:r>
      <w:r w:rsidR="00127167">
        <w:rPr>
          <w:rFonts w:asciiTheme="minorBidi" w:hAnsiTheme="minorBidi" w:cs="Arial" w:hint="cs"/>
          <w:rtl/>
        </w:rPr>
        <w:t xml:space="preserve"> </w:t>
      </w:r>
      <w:r w:rsidR="00127167" w:rsidRPr="00127167">
        <w:rPr>
          <w:rFonts w:asciiTheme="minorBidi" w:hAnsiTheme="minorBidi" w:cs="Arial"/>
          <w:rtl/>
        </w:rPr>
        <w:t>דגם הקדירה שבישל בה בשבת אסורה לו לבשל בה מפני שהיא בלועה מדבר האסור לו ודוקא המבשל לבריא אבל המבשל לחולה מותרת הקדרה</w:t>
      </w:r>
      <w:r w:rsidR="00127167">
        <w:rPr>
          <w:rFonts w:asciiTheme="minorBidi" w:hAnsiTheme="minorBidi" w:cs="Arial" w:hint="cs"/>
          <w:rtl/>
        </w:rPr>
        <w:t>, משנ"ב (סק"ד).</w:t>
      </w:r>
      <w:r w:rsidR="00127167" w:rsidRPr="00127167">
        <w:rPr>
          <w:rFonts w:asciiTheme="minorBidi" w:hAnsiTheme="minorBidi" w:cs="Arial"/>
          <w:rtl/>
        </w:rPr>
        <w:t xml:space="preserve"> </w:t>
      </w:r>
    </w:p>
  </w:footnote>
  <w:footnote w:id="2662">
    <w:p w14:paraId="26B41F0A" w14:textId="20CB81CE"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w:t>
      </w:r>
      <w:r w:rsidR="000838CD">
        <w:rPr>
          <w:rFonts w:asciiTheme="minorBidi" w:hAnsiTheme="minorBidi" w:cs="Arial" w:hint="cs"/>
          <w:rtl/>
        </w:rPr>
        <w:t>ו</w:t>
      </w:r>
      <w:r w:rsidR="000838CD" w:rsidRPr="000838CD">
        <w:rPr>
          <w:rFonts w:asciiTheme="minorBidi" w:hAnsiTheme="minorBidi" w:cs="Arial"/>
          <w:rtl/>
        </w:rPr>
        <w:t>אם היה במו"ש יום טוב אפילו בישל בהיתר כגון שבישל בשבת לחולה מ"מ אסור לבריא גם ביום טוב ראשון דאין שבת מכין ליו"ט. אם נתערב בשבת אותו דבר שנתבשל במזיד באחרים דעת המ"א דאינו מתבטל ואסור לו בשבת ליהנות מזה דכיון דלמו"ש יהיה מותר לאחרים מקרי דבר שיש לו מתירין דאינו בטל אפילו באלף ומה שכתב ביו"ד סוף סימן ק"ב היפוך זה נדחק המ"א לישבו ועיין בחות דעת שם שחולק עליו וכ"ז להמבשל בעצמו אבל לענין אחרים לכו"ע מקרי דבר שיש לו מתירין</w:t>
      </w:r>
      <w:r w:rsidR="000838CD">
        <w:rPr>
          <w:rFonts w:asciiTheme="minorBidi" w:hAnsiTheme="minorBidi" w:hint="cs"/>
          <w:rtl/>
        </w:rPr>
        <w:t>, משנ"ב (סק"ה).</w:t>
      </w:r>
    </w:p>
  </w:footnote>
  <w:footnote w:id="2663">
    <w:p w14:paraId="67177D8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עשה ע"פ הוראת חכם מקרי שוגג וה"ה בשוכח </w:t>
      </w:r>
      <w:r w:rsidRPr="008C1C8E">
        <w:rPr>
          <w:rFonts w:asciiTheme="minorBidi" w:hAnsiTheme="minorBidi"/>
          <w:sz w:val="16"/>
          <w:szCs w:val="16"/>
          <w:rtl/>
        </w:rPr>
        <w:t>[רד"ך בית כ"ו ח"ב, כנה"ג הגה"ט ריש הסימן]</w:t>
      </w:r>
      <w:r w:rsidRPr="008C1C8E">
        <w:rPr>
          <w:rFonts w:asciiTheme="minorBidi" w:hAnsiTheme="minorBidi"/>
          <w:rtl/>
        </w:rPr>
        <w:t>, (מג"א סק"ג)</w:t>
      </w:r>
    </w:p>
  </w:footnote>
  <w:footnote w:id="2664">
    <w:p w14:paraId="0B37750B"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שנחלה ביום השבת, רש"י.</w:t>
      </w:r>
    </w:p>
  </w:footnote>
  <w:footnote w:id="2665">
    <w:p w14:paraId="6991E808"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לאכול בריא מאותה בהמה בו ביום, דאע"ג דאיסור שבת ליכא, דפיקוח נפש דוחה את השבת, איסור מוקצה מיהא איכא, דבין השמשות מוקצה הואי ולא היתה ראויה לישחט בשבת דהא עדיין לא היה חולה, רש"י.</w:t>
      </w:r>
    </w:p>
  </w:footnote>
  <w:footnote w:id="2666">
    <w:p w14:paraId="1D7F6E39"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בשר שהיתה שחוטה מאתמול ובשלה היום לחולה שנחלה היום מותר לבריא, רש"י.</w:t>
      </w:r>
    </w:p>
  </w:footnote>
  <w:footnote w:id="2667">
    <w:p w14:paraId="3CB44917"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בשר הוה חזי להאי בריא בין השמשות לכוס חי הילכך אין כאן איסור מוקצה ואיסור שבת נמי אין כאן דהא לחולה בשלה, רש"י.</w:t>
      </w:r>
    </w:p>
  </w:footnote>
  <w:footnote w:id="2668">
    <w:p w14:paraId="6B64BCA9"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שוחט לא היה בין השמשות ראוי לכוס ואיכא איסור מוקצה אף על גב דאיסור שבת ליכא, רש"י.</w:t>
      </w:r>
    </w:p>
  </w:footnote>
  <w:footnote w:id="2669">
    <w:p w14:paraId="12A6A04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לחולה מותר לבריא לכוס, כגון שהיה לו חולה מבעוד יום דאין כאן לא איסור מוקצה ולא איסור שבת, רש"י.</w:t>
      </w:r>
    </w:p>
  </w:footnote>
  <w:footnote w:id="2670">
    <w:p w14:paraId="1D5F6118"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לחולה שנחלה היום אסור לבריא, רש"י.</w:t>
      </w:r>
    </w:p>
  </w:footnote>
  <w:footnote w:id="2671">
    <w:p w14:paraId="6F1C8A04"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מן המחובר ובשלה לו דיש כאן איסור מוקצה דמחוברת היתה בין השמשות, רש"י.</w:t>
      </w:r>
    </w:p>
  </w:footnote>
  <w:footnote w:id="2672">
    <w:p w14:paraId="34E7B36A"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יתבאל לקמן המח' האם מותר משום שהיה חולה מבעוד יום או שמותר משום שאין זה מוקצה אע"פ שחלה בשבת.</w:t>
      </w:r>
    </w:p>
  </w:footnote>
  <w:footnote w:id="2673">
    <w:p w14:paraId="37DABC0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לכוס, רש"י.</w:t>
      </w:r>
    </w:p>
  </w:footnote>
  <w:footnote w:id="2674">
    <w:p w14:paraId="5D6B4BAD"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וליכא למגזר שמא ירבה בשחיטה בשביל בריא דהא משום ההוא זית דחולה בעי למשחט כולה, רש"י.</w:t>
      </w:r>
    </w:p>
  </w:footnote>
  <w:footnote w:id="2675">
    <w:p w14:paraId="78431977" w14:textId="49FA74EC"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גזירה שמא אחר שיניח הקדרה על האש ירבה שם חתיכה בשבילו, ומשום הכי גזרינן שמא יעשה כך לפי שיבוא לידי איסור סקילה בכך, אבל אין לפרש שמא ירבה חתיכות בקדרה קודם שיתן אותה על האש דאפילו עביד הכי לית כאן איסורא דאורייתא אלא דרבנן בלבד, </w:t>
      </w:r>
      <w:r w:rsidRPr="001C2791">
        <w:rPr>
          <w:rFonts w:asciiTheme="minorBidi" w:hAnsiTheme="minorBidi"/>
          <w:b/>
          <w:bCs/>
          <w:rtl/>
        </w:rPr>
        <w:t>רשב"א בשם רבו</w:t>
      </w:r>
      <w:r w:rsidRPr="008C1C8E">
        <w:rPr>
          <w:rFonts w:asciiTheme="minorBidi" w:hAnsiTheme="minorBidi"/>
          <w:sz w:val="16"/>
          <w:szCs w:val="16"/>
          <w:rtl/>
        </w:rPr>
        <w:t xml:space="preserve"> </w:t>
      </w:r>
      <w:r w:rsidRPr="001C2791">
        <w:rPr>
          <w:rFonts w:asciiTheme="minorBidi" w:hAnsiTheme="minorBidi"/>
          <w:rtl/>
        </w:rPr>
        <w:t>(חולין טו: ד"ה המבשל)</w:t>
      </w:r>
      <w:r w:rsidRPr="008C1C8E">
        <w:rPr>
          <w:rFonts w:asciiTheme="minorBidi" w:hAnsiTheme="minorBidi"/>
          <w:rtl/>
        </w:rPr>
        <w:t xml:space="preserve">. </w:t>
      </w:r>
      <w:r w:rsidR="001C2791">
        <w:rPr>
          <w:rFonts w:asciiTheme="minorBidi" w:hAnsiTheme="minorBidi" w:hint="cs"/>
          <w:rtl/>
        </w:rPr>
        <w:t xml:space="preserve">  </w:t>
      </w:r>
      <w:r w:rsidRPr="008C1C8E">
        <w:rPr>
          <w:rFonts w:asciiTheme="minorBidi" w:hAnsiTheme="minorBidi"/>
          <w:rtl/>
        </w:rPr>
        <w:t>אך</w:t>
      </w:r>
      <w:r w:rsidR="00684507">
        <w:rPr>
          <w:rFonts w:asciiTheme="minorBidi" w:hAnsiTheme="minorBidi" w:hint="cs"/>
          <w:rtl/>
        </w:rPr>
        <w:t xml:space="preserve"> </w:t>
      </w:r>
      <w:r w:rsidR="00684507" w:rsidRPr="00684507">
        <w:rPr>
          <w:rFonts w:asciiTheme="minorBidi" w:hAnsiTheme="minorBidi" w:hint="cs"/>
          <w:b/>
          <w:bCs/>
          <w:rtl/>
        </w:rPr>
        <w:t>הר"ן</w:t>
      </w:r>
      <w:r w:rsidR="00684507">
        <w:rPr>
          <w:rFonts w:asciiTheme="minorBidi" w:hAnsiTheme="minorBidi" w:hint="cs"/>
          <w:rtl/>
        </w:rPr>
        <w:t xml:space="preserve"> (ביצה ט: ד"ה ומיהא) כתב דבכל גוונא איכא איסור דאורייתא בשבת </w:t>
      </w:r>
      <w:r w:rsidR="00684507" w:rsidRPr="00684507">
        <w:rPr>
          <w:rFonts w:asciiTheme="minorBidi" w:hAnsiTheme="minorBidi" w:hint="cs"/>
          <w:sz w:val="16"/>
          <w:szCs w:val="16"/>
          <w:rtl/>
        </w:rPr>
        <w:t>(מהא דכתב דאסור לתת גודל שלוש גרוגרות בעוקץ אחד משמע שגם קודם שיתן אותה על האש מיירי)</w:t>
      </w:r>
      <w:r w:rsidR="00684507">
        <w:rPr>
          <w:rFonts w:asciiTheme="minorBidi" w:hAnsiTheme="minorBidi" w:hint="cs"/>
          <w:rtl/>
        </w:rPr>
        <w:t xml:space="preserve">. והביא הב"י (בסי' שלא) חלק מדבריו. וכן נראה דעת </w:t>
      </w:r>
      <w:r w:rsidR="001C2791" w:rsidRPr="001C2791">
        <w:rPr>
          <w:rFonts w:asciiTheme="minorBidi" w:hAnsiTheme="minorBidi" w:hint="cs"/>
          <w:b/>
          <w:bCs/>
          <w:rtl/>
        </w:rPr>
        <w:t>המג"א</w:t>
      </w:r>
      <w:r w:rsidR="001C2791">
        <w:rPr>
          <w:rFonts w:asciiTheme="minorBidi" w:hAnsiTheme="minorBidi" w:hint="cs"/>
          <w:rtl/>
        </w:rPr>
        <w:t xml:space="preserve"> (סק"ו).</w:t>
      </w:r>
      <w:r w:rsidR="00396410">
        <w:rPr>
          <w:rFonts w:asciiTheme="minorBidi" w:hAnsiTheme="minorBidi" w:hint="cs"/>
          <w:rtl/>
        </w:rPr>
        <w:t xml:space="preserve"> </w:t>
      </w:r>
    </w:p>
  </w:footnote>
  <w:footnote w:id="2676">
    <w:p w14:paraId="1AA22C51" w14:textId="6EC1AB7A" w:rsidR="007B0A04" w:rsidRDefault="007B0A04">
      <w:pPr>
        <w:pStyle w:val="a7"/>
        <w:rPr>
          <w:rtl/>
        </w:rPr>
      </w:pPr>
      <w:r>
        <w:rPr>
          <w:rStyle w:val="a9"/>
        </w:rPr>
        <w:footnoteRef/>
      </w:r>
      <w:r>
        <w:rPr>
          <w:rtl/>
        </w:rPr>
        <w:t xml:space="preserve"> </w:t>
      </w:r>
      <w:r w:rsidRPr="002065FF">
        <w:rPr>
          <w:rFonts w:asciiTheme="minorBidi" w:hAnsiTheme="minorBidi" w:cs="Arial"/>
          <w:rtl/>
        </w:rPr>
        <w:t>ובלא מליחה</w:t>
      </w:r>
      <w:r>
        <w:rPr>
          <w:rFonts w:hint="cs"/>
          <w:rtl/>
        </w:rPr>
        <w:t xml:space="preserve">, </w:t>
      </w:r>
      <w:r w:rsidRPr="00F317FE">
        <w:rPr>
          <w:rFonts w:hint="cs"/>
          <w:b/>
          <w:bCs/>
          <w:rtl/>
        </w:rPr>
        <w:t>טור</w:t>
      </w:r>
      <w:r>
        <w:rPr>
          <w:rFonts w:hint="cs"/>
          <w:rtl/>
        </w:rPr>
        <w:t>.</w:t>
      </w:r>
      <w:r w:rsidR="00F317FE">
        <w:rPr>
          <w:rFonts w:hint="cs"/>
          <w:rtl/>
        </w:rPr>
        <w:t xml:space="preserve">   </w:t>
      </w:r>
      <w:r w:rsidR="00F317FE" w:rsidRPr="002065FF">
        <w:rPr>
          <w:rFonts w:asciiTheme="minorBidi" w:hAnsiTheme="minorBidi" w:cs="Arial"/>
          <w:rtl/>
        </w:rPr>
        <w:t>כן כתבו התוספות (ד"ה ונסבין) והרא"ש (סי' יט) בפ</w:t>
      </w:r>
      <w:r w:rsidR="00C77F0C">
        <w:rPr>
          <w:rFonts w:asciiTheme="minorBidi" w:hAnsiTheme="minorBidi" w:cs="Arial" w:hint="cs"/>
          <w:rtl/>
        </w:rPr>
        <w:t>"ק</w:t>
      </w:r>
      <w:r w:rsidR="00F317FE" w:rsidRPr="002065FF">
        <w:rPr>
          <w:rFonts w:asciiTheme="minorBidi" w:hAnsiTheme="minorBidi" w:cs="Arial"/>
          <w:rtl/>
        </w:rPr>
        <w:t xml:space="preserve"> דחולין (יד.) גבי ונסבין חבריא למימר רבי יהודה היא</w:t>
      </w:r>
      <w:r w:rsidR="00F317FE">
        <w:rPr>
          <w:rFonts w:asciiTheme="minorBidi" w:hAnsiTheme="minorBidi" w:cs="Arial" w:hint="cs"/>
          <w:rtl/>
        </w:rPr>
        <w:t>,</w:t>
      </w:r>
      <w:r w:rsidR="00F317FE" w:rsidRPr="002065FF">
        <w:rPr>
          <w:rFonts w:asciiTheme="minorBidi" w:hAnsiTheme="minorBidi" w:cs="Arial"/>
          <w:rtl/>
        </w:rPr>
        <w:t xml:space="preserve"> וכן כתב שם הר"ן (ד. ד"ה גמ') אהא דהשוחט לחולה בשבת</w:t>
      </w:r>
      <w:r w:rsidR="00F317FE">
        <w:rPr>
          <w:rFonts w:asciiTheme="minorBidi" w:hAnsiTheme="minorBidi" w:cs="Arial" w:hint="cs"/>
          <w:rtl/>
        </w:rPr>
        <w:t xml:space="preserve">, </w:t>
      </w:r>
      <w:r w:rsidR="00F317FE" w:rsidRPr="00F317FE">
        <w:rPr>
          <w:rFonts w:asciiTheme="minorBidi" w:hAnsiTheme="minorBidi" w:cs="Arial" w:hint="cs"/>
          <w:b/>
          <w:bCs/>
          <w:rtl/>
        </w:rPr>
        <w:t>ב"י</w:t>
      </w:r>
      <w:r w:rsidR="00F317FE">
        <w:rPr>
          <w:rFonts w:asciiTheme="minorBidi" w:hAnsiTheme="minorBidi" w:cs="Arial" w:hint="cs"/>
          <w:rtl/>
        </w:rPr>
        <w:t>.</w:t>
      </w:r>
    </w:p>
  </w:footnote>
  <w:footnote w:id="2677">
    <w:p w14:paraId="2AEF2109" w14:textId="110C6773" w:rsidR="00396410" w:rsidRDefault="00396410">
      <w:pPr>
        <w:pStyle w:val="a7"/>
        <w:rPr>
          <w:rtl/>
        </w:rPr>
      </w:pPr>
      <w:r>
        <w:rPr>
          <w:rStyle w:val="a9"/>
        </w:rPr>
        <w:footnoteRef/>
      </w:r>
      <w:r>
        <w:rPr>
          <w:rtl/>
        </w:rPr>
        <w:t xml:space="preserve"> </w:t>
      </w:r>
      <w:r w:rsidR="007326B3" w:rsidRPr="007326B3">
        <w:rPr>
          <w:rFonts w:asciiTheme="minorBidi" w:hAnsiTheme="minorBidi" w:cs="Arial"/>
          <w:rtl/>
        </w:rPr>
        <w:t xml:space="preserve">אבל ע"י עובד כוכבים ניחא דשרי להרבות ושמא דוקא לצורך המילה </w:t>
      </w:r>
      <w:r w:rsidR="007326B3" w:rsidRPr="002065FF">
        <w:rPr>
          <w:rFonts w:asciiTheme="minorBidi" w:hAnsiTheme="minorBidi" w:cs="Arial"/>
          <w:rtl/>
        </w:rPr>
        <w:t xml:space="preserve">(עירובין סח.) </w:t>
      </w:r>
      <w:r w:rsidR="007326B3" w:rsidRPr="007326B3">
        <w:rPr>
          <w:rFonts w:asciiTheme="minorBidi" w:hAnsiTheme="minorBidi" w:cs="Arial"/>
          <w:rtl/>
        </w:rPr>
        <w:t>הוא דשרי אבל לצורך דבר אחר אפילו ע"י עובד כוכבים אסור להרבות</w:t>
      </w:r>
      <w:r w:rsidR="007326B3">
        <w:rPr>
          <w:rFonts w:asciiTheme="minorBidi" w:hAnsiTheme="minorBidi" w:cs="Arial" w:hint="cs"/>
          <w:rtl/>
        </w:rPr>
        <w:t xml:space="preserve">, </w:t>
      </w:r>
      <w:r w:rsidR="00C66D1C" w:rsidRPr="007326B3">
        <w:rPr>
          <w:rFonts w:asciiTheme="minorBidi" w:hAnsiTheme="minorBidi" w:cs="Arial" w:hint="cs"/>
          <w:b/>
          <w:bCs/>
          <w:rtl/>
        </w:rPr>
        <w:t>תוס'</w:t>
      </w:r>
      <w:r w:rsidR="00C66D1C">
        <w:rPr>
          <w:rFonts w:asciiTheme="minorBidi" w:hAnsiTheme="minorBidi" w:cs="Arial" w:hint="cs"/>
          <w:rtl/>
        </w:rPr>
        <w:t xml:space="preserve"> (</w:t>
      </w:r>
      <w:r w:rsidR="00C66D1C" w:rsidRPr="002065FF">
        <w:rPr>
          <w:rFonts w:asciiTheme="minorBidi" w:hAnsiTheme="minorBidi" w:cs="Arial"/>
          <w:rtl/>
        </w:rPr>
        <w:t>גיטין ח: ד"ה אע</w:t>
      </w:r>
      <w:r w:rsidR="007326B3">
        <w:rPr>
          <w:rFonts w:asciiTheme="minorBidi" w:hAnsiTheme="minorBidi" w:cs="Arial" w:hint="cs"/>
          <w:rtl/>
        </w:rPr>
        <w:t>"</w:t>
      </w:r>
      <w:r w:rsidR="00C66D1C" w:rsidRPr="002065FF">
        <w:rPr>
          <w:rFonts w:asciiTheme="minorBidi" w:hAnsiTheme="minorBidi" w:cs="Arial"/>
          <w:rtl/>
        </w:rPr>
        <w:t>ג)</w:t>
      </w:r>
      <w:r>
        <w:rPr>
          <w:rFonts w:asciiTheme="minorBidi" w:hAnsiTheme="minorBidi" w:cs="Arial" w:hint="cs"/>
          <w:rtl/>
        </w:rPr>
        <w:t>.</w:t>
      </w:r>
      <w:r w:rsidR="007326B3">
        <w:rPr>
          <w:rFonts w:asciiTheme="minorBidi" w:hAnsiTheme="minorBidi" w:cs="Arial" w:hint="cs"/>
          <w:rtl/>
        </w:rPr>
        <w:t xml:space="preserve">  </w:t>
      </w:r>
      <w:r w:rsidRPr="002065FF">
        <w:rPr>
          <w:rFonts w:asciiTheme="minorBidi" w:hAnsiTheme="minorBidi" w:cs="Arial"/>
          <w:rtl/>
        </w:rPr>
        <w:t xml:space="preserve"> וכן נראה מדברי </w:t>
      </w:r>
      <w:r w:rsidRPr="007326B3">
        <w:rPr>
          <w:rFonts w:asciiTheme="minorBidi" w:hAnsiTheme="minorBidi" w:cs="Arial"/>
          <w:b/>
          <w:bCs/>
          <w:rtl/>
        </w:rPr>
        <w:t>הר"ן</w:t>
      </w:r>
      <w:r w:rsidR="00C66D1C">
        <w:rPr>
          <w:rFonts w:asciiTheme="minorBidi" w:hAnsiTheme="minorBidi" w:cs="Arial" w:hint="cs"/>
          <w:rtl/>
        </w:rPr>
        <w:t xml:space="preserve"> (ביצה ט: ד"ה ומיהא)</w:t>
      </w:r>
      <w:r w:rsidR="007326B3">
        <w:rPr>
          <w:rFonts w:asciiTheme="minorBidi" w:hAnsiTheme="minorBidi" w:cs="Arial" w:hint="cs"/>
          <w:rtl/>
        </w:rPr>
        <w:t xml:space="preserve"> דדוקא גבי מילה התירו</w:t>
      </w:r>
      <w:r>
        <w:rPr>
          <w:rFonts w:asciiTheme="minorBidi" w:hAnsiTheme="minorBidi" w:cs="Arial" w:hint="cs"/>
          <w:rtl/>
        </w:rPr>
        <w:t>.</w:t>
      </w:r>
      <w:r w:rsidR="002E5732">
        <w:rPr>
          <w:rFonts w:hint="cs"/>
          <w:rtl/>
        </w:rPr>
        <w:t xml:space="preserve"> </w:t>
      </w:r>
      <w:r w:rsidR="002E5732" w:rsidRPr="003C6BB8">
        <w:rPr>
          <w:rFonts w:asciiTheme="minorBidi" w:hAnsiTheme="minorBidi" w:cs="Arial" w:hint="cs"/>
          <w:color w:val="00B0F0"/>
          <w:rtl/>
        </w:rPr>
        <w:t>(וכ"פ הרמ"א)</w:t>
      </w:r>
    </w:p>
  </w:footnote>
  <w:footnote w:id="2678">
    <w:p w14:paraId="5F375DD4" w14:textId="1832633C" w:rsidR="0099465F" w:rsidRDefault="0099465F">
      <w:pPr>
        <w:pStyle w:val="a7"/>
        <w:rPr>
          <w:rtl/>
        </w:rPr>
      </w:pPr>
      <w:r>
        <w:rPr>
          <w:rStyle w:val="a9"/>
        </w:rPr>
        <w:footnoteRef/>
      </w:r>
      <w:r>
        <w:rPr>
          <w:rtl/>
        </w:rPr>
        <w:t xml:space="preserve"> </w:t>
      </w:r>
      <w:r w:rsidRPr="002065FF">
        <w:rPr>
          <w:rFonts w:asciiTheme="minorBidi" w:hAnsiTheme="minorBidi" w:cs="Arial"/>
          <w:rtl/>
        </w:rPr>
        <w:t>ויש לדקדק בדברי הר"ן היאך לא הרגיש במה שכתבו הרא"ש וה</w:t>
      </w:r>
      <w:r>
        <w:rPr>
          <w:rFonts w:asciiTheme="minorBidi" w:hAnsiTheme="minorBidi" w:cs="Arial" w:hint="cs"/>
          <w:rtl/>
        </w:rPr>
        <w:t xml:space="preserve">ה"מ </w:t>
      </w:r>
      <w:r w:rsidRPr="002065FF">
        <w:rPr>
          <w:rFonts w:asciiTheme="minorBidi" w:hAnsiTheme="minorBidi" w:cs="Arial"/>
          <w:rtl/>
        </w:rPr>
        <w:t>דכיון דקיי</w:t>
      </w:r>
      <w:r>
        <w:rPr>
          <w:rFonts w:asciiTheme="minorBidi" w:hAnsiTheme="minorBidi" w:cs="Arial" w:hint="cs"/>
          <w:rtl/>
        </w:rPr>
        <w:t>"</w:t>
      </w:r>
      <w:r w:rsidRPr="002065FF">
        <w:rPr>
          <w:rFonts w:asciiTheme="minorBidi" w:hAnsiTheme="minorBidi" w:cs="Arial"/>
          <w:rtl/>
        </w:rPr>
        <w:t>ל כרבי שמעון דלית ליה מוקצה אלא בנר שהדליקו בו באותו שבת אי נמי גרוגרות וצמוקים כדאמרינן בפרק כירה</w:t>
      </w:r>
      <w:r>
        <w:rPr>
          <w:rFonts w:asciiTheme="minorBidi" w:hAnsiTheme="minorBidi" w:cs="Arial" w:hint="cs"/>
          <w:rtl/>
        </w:rPr>
        <w:t>,</w:t>
      </w:r>
      <w:r w:rsidRPr="002065FF">
        <w:rPr>
          <w:rFonts w:asciiTheme="minorBidi" w:hAnsiTheme="minorBidi" w:cs="Arial"/>
          <w:rtl/>
        </w:rPr>
        <w:t xml:space="preserve"> ופירש רש"י (ריש מה:) גרוגרות וצמוקים דאיכא תרתי דחינהו בידים ולא חזו</w:t>
      </w:r>
      <w:r>
        <w:rPr>
          <w:rFonts w:asciiTheme="minorBidi" w:hAnsiTheme="minorBidi" w:cs="Arial" w:hint="cs"/>
          <w:rtl/>
        </w:rPr>
        <w:t>,</w:t>
      </w:r>
      <w:r w:rsidRPr="002065FF">
        <w:rPr>
          <w:rFonts w:asciiTheme="minorBidi" w:hAnsiTheme="minorBidi" w:cs="Arial"/>
          <w:rtl/>
        </w:rPr>
        <w:t xml:space="preserve"> וכיון דהאי בהמה לא דחאה הוא בידים היכי קאמר דאית בה משום מוקצה</w:t>
      </w:r>
      <w:r>
        <w:rPr>
          <w:rFonts w:asciiTheme="minorBidi" w:hAnsiTheme="minorBidi" w:cs="Arial" w:hint="cs"/>
          <w:rtl/>
        </w:rPr>
        <w:t>?</w:t>
      </w:r>
      <w:r w:rsidRPr="002065FF">
        <w:rPr>
          <w:rFonts w:asciiTheme="minorBidi" w:hAnsiTheme="minorBidi" w:cs="Arial"/>
          <w:rtl/>
        </w:rPr>
        <w:t xml:space="preserve"> ויש לומר דמדמי לה למחובר דאע</w:t>
      </w:r>
      <w:r>
        <w:rPr>
          <w:rFonts w:asciiTheme="minorBidi" w:hAnsiTheme="minorBidi" w:cs="Arial" w:hint="cs"/>
          <w:rtl/>
        </w:rPr>
        <w:t>"</w:t>
      </w:r>
      <w:r w:rsidRPr="002065FF">
        <w:rPr>
          <w:rFonts w:asciiTheme="minorBidi" w:hAnsiTheme="minorBidi" w:cs="Arial"/>
          <w:rtl/>
        </w:rPr>
        <w:t>ג דלא דחייה בידים אסור</w:t>
      </w:r>
      <w:r>
        <w:rPr>
          <w:rFonts w:asciiTheme="minorBidi" w:hAnsiTheme="minorBidi" w:cs="Arial" w:hint="cs"/>
          <w:rtl/>
        </w:rPr>
        <w:t>,</w:t>
      </w:r>
      <w:r w:rsidRPr="002065FF">
        <w:rPr>
          <w:rFonts w:asciiTheme="minorBidi" w:hAnsiTheme="minorBidi" w:cs="Arial"/>
          <w:rtl/>
        </w:rPr>
        <w:t xml:space="preserve"> כדאמרינן בפרק אין צדין (ביצה כד:) גוי שהביא דורון לישראל אם יש מאותו המין במחובר אסור</w:t>
      </w:r>
      <w:r>
        <w:rPr>
          <w:rFonts w:asciiTheme="minorBidi" w:hAnsiTheme="minorBidi" w:cs="Arial" w:hint="cs"/>
          <w:rtl/>
        </w:rPr>
        <w:t>,</w:t>
      </w:r>
      <w:r w:rsidRPr="002065FF">
        <w:rPr>
          <w:rFonts w:asciiTheme="minorBidi" w:hAnsiTheme="minorBidi" w:cs="Arial"/>
          <w:rtl/>
        </w:rPr>
        <w:t xml:space="preserve"> ופירש רש"י (ד"ה אם יש) דאסור משום מוקצה ואפילו לרבי שמעון משום דכל שלא לקטן מבערב אסח דעתיה מינייהו ודמו לגרוגרות וצמוקים</w:t>
      </w:r>
      <w:r>
        <w:rPr>
          <w:rFonts w:asciiTheme="minorBidi" w:hAnsiTheme="minorBidi" w:cs="Arial" w:hint="cs"/>
          <w:rtl/>
        </w:rPr>
        <w:t>.</w:t>
      </w:r>
      <w:r w:rsidRPr="002065FF">
        <w:rPr>
          <w:rFonts w:asciiTheme="minorBidi" w:hAnsiTheme="minorBidi" w:cs="Arial"/>
          <w:rtl/>
        </w:rPr>
        <w:t xml:space="preserve"> והכא נמי כיון דלא שחטה מבערב אסח דעתיה מינה. ולדעתו ז"ל שכתב שם (יג. ד"ה אמר רב פפא) על דברי רש"י וז</w:t>
      </w:r>
      <w:r>
        <w:rPr>
          <w:rFonts w:asciiTheme="minorBidi" w:hAnsiTheme="minorBidi" w:cs="Arial" w:hint="cs"/>
          <w:rtl/>
        </w:rPr>
        <w:t xml:space="preserve">"ל- </w:t>
      </w:r>
      <w:r w:rsidRPr="002065FF">
        <w:rPr>
          <w:rFonts w:asciiTheme="minorBidi" w:hAnsiTheme="minorBidi" w:cs="Arial"/>
          <w:rtl/>
        </w:rPr>
        <w:t>וכתב הרז"ה (המאור הקטן ד"ה והא) שלא היה צריך לכל זה כי ברור הוא דמודה רבי שמעון בכל מוקצה מחמת איסור שאין דעתו עליו כגון כוס וקערה ועששית (שבת מד.)</w:t>
      </w:r>
      <w:r>
        <w:rPr>
          <w:rFonts w:asciiTheme="minorBidi" w:hAnsiTheme="minorBidi" w:cs="Arial" w:hint="cs"/>
          <w:rtl/>
        </w:rPr>
        <w:t>,</w:t>
      </w:r>
      <w:r w:rsidRPr="002065FF">
        <w:rPr>
          <w:rFonts w:asciiTheme="minorBidi" w:hAnsiTheme="minorBidi" w:cs="Arial"/>
          <w:rtl/>
        </w:rPr>
        <w:t xml:space="preserve"> וזהו טעמו בבכור (ביצה כו:) שאם עבר וביקרו אינו מבוקר</w:t>
      </w:r>
      <w:r>
        <w:rPr>
          <w:rFonts w:asciiTheme="minorBidi" w:hAnsiTheme="minorBidi" w:cs="Arial" w:hint="cs"/>
          <w:rtl/>
        </w:rPr>
        <w:t>,</w:t>
      </w:r>
      <w:r w:rsidRPr="002065FF">
        <w:rPr>
          <w:rFonts w:asciiTheme="minorBidi" w:hAnsiTheme="minorBidi" w:cs="Arial"/>
          <w:rtl/>
        </w:rPr>
        <w:t xml:space="preserve"> דכיון דסבירא ליה אין רואין מומין ביום טוב מוקצה הוא מחמת קדושתו ואיסורו</w:t>
      </w:r>
      <w:r>
        <w:rPr>
          <w:rFonts w:asciiTheme="minorBidi" w:hAnsiTheme="minorBidi" w:cs="Arial" w:hint="cs"/>
          <w:rtl/>
        </w:rPr>
        <w:t>.</w:t>
      </w:r>
      <w:r w:rsidRPr="002065FF">
        <w:rPr>
          <w:rFonts w:asciiTheme="minorBidi" w:hAnsiTheme="minorBidi" w:cs="Arial"/>
          <w:rtl/>
        </w:rPr>
        <w:t xml:space="preserve"> ודבריו נראין לי עיקר אע</w:t>
      </w:r>
      <w:r>
        <w:rPr>
          <w:rFonts w:asciiTheme="minorBidi" w:hAnsiTheme="minorBidi" w:cs="Arial" w:hint="cs"/>
          <w:rtl/>
        </w:rPr>
        <w:t>"</w:t>
      </w:r>
      <w:r w:rsidRPr="002065FF">
        <w:rPr>
          <w:rFonts w:asciiTheme="minorBidi" w:hAnsiTheme="minorBidi" w:cs="Arial"/>
          <w:rtl/>
        </w:rPr>
        <w:t>פ שחלק הרמב"ן ז"ל (מלחמות שם יג. ד"ה ועוד) עליהם עכ"ל</w:t>
      </w:r>
      <w:r>
        <w:rPr>
          <w:rFonts w:asciiTheme="minorBidi" w:hAnsiTheme="minorBidi" w:cs="Arial" w:hint="cs"/>
          <w:rtl/>
        </w:rPr>
        <w:t>.</w:t>
      </w:r>
      <w:r w:rsidRPr="002065FF">
        <w:rPr>
          <w:rFonts w:asciiTheme="minorBidi" w:hAnsiTheme="minorBidi" w:cs="Arial"/>
          <w:rtl/>
        </w:rPr>
        <w:t xml:space="preserve"> הדבר ברור דבלא טעמא דרש"י שפיר קאמר דאיכא בבהמה שנשחטה לחולה שחלה היום משום מוקצה</w:t>
      </w:r>
      <w:r>
        <w:rPr>
          <w:rFonts w:hint="cs"/>
          <w:rtl/>
        </w:rPr>
        <w:t>, ב"י.</w:t>
      </w:r>
    </w:p>
  </w:footnote>
  <w:footnote w:id="2679">
    <w:p w14:paraId="2AD0AC4C" w14:textId="729C5905" w:rsidR="00424DD5" w:rsidRDefault="00424DD5">
      <w:pPr>
        <w:pStyle w:val="a7"/>
        <w:rPr>
          <w:rtl/>
        </w:rPr>
      </w:pPr>
      <w:r>
        <w:rPr>
          <w:rStyle w:val="a9"/>
        </w:rPr>
        <w:footnoteRef/>
      </w:r>
      <w:r>
        <w:rPr>
          <w:rtl/>
        </w:rPr>
        <w:t xml:space="preserve"> </w:t>
      </w:r>
      <w:r w:rsidRPr="002065FF">
        <w:rPr>
          <w:rFonts w:asciiTheme="minorBidi" w:hAnsiTheme="minorBidi" w:cs="Arial"/>
          <w:rtl/>
        </w:rPr>
        <w:t xml:space="preserve">ומשמע לי </w:t>
      </w:r>
      <w:r w:rsidRPr="00F317FE">
        <w:rPr>
          <w:rFonts w:asciiTheme="minorBidi" w:hAnsiTheme="minorBidi" w:cs="Arial"/>
          <w:b/>
          <w:bCs/>
          <w:rtl/>
        </w:rPr>
        <w:t>דהר"ן</w:t>
      </w:r>
      <w:r w:rsidRPr="002065FF">
        <w:rPr>
          <w:rFonts w:asciiTheme="minorBidi" w:hAnsiTheme="minorBidi" w:cs="Arial"/>
          <w:rtl/>
        </w:rPr>
        <w:t xml:space="preserve"> סבר דרב דימי לא פליג אדרבי יצחק בר אדא ואדרב פפא אלא במאי דשרו מבשל לחולה שנחלה היום בשר שהיתה שחוטה מאתמול</w:t>
      </w:r>
      <w:r>
        <w:rPr>
          <w:rFonts w:asciiTheme="minorBidi" w:hAnsiTheme="minorBidi" w:cs="Arial" w:hint="cs"/>
          <w:rtl/>
        </w:rPr>
        <w:t>,</w:t>
      </w:r>
      <w:r w:rsidRPr="002065FF">
        <w:rPr>
          <w:rFonts w:asciiTheme="minorBidi" w:hAnsiTheme="minorBidi" w:cs="Arial"/>
          <w:rtl/>
        </w:rPr>
        <w:t xml:space="preserve"> דלדידיה אפילו הכי אסור גזירה שמא ירבה בשבילו</w:t>
      </w:r>
      <w:r>
        <w:rPr>
          <w:rFonts w:asciiTheme="minorBidi" w:hAnsiTheme="minorBidi" w:cs="Arial" w:hint="cs"/>
          <w:rtl/>
        </w:rPr>
        <w:t>,</w:t>
      </w:r>
      <w:r w:rsidRPr="002065FF">
        <w:rPr>
          <w:rFonts w:asciiTheme="minorBidi" w:hAnsiTheme="minorBidi" w:cs="Arial"/>
          <w:rtl/>
        </w:rPr>
        <w:t xml:space="preserve"> אבל בשוחט לדברי הכל אי חלה מבעוד יום שרי</w:t>
      </w:r>
      <w:r>
        <w:rPr>
          <w:rFonts w:asciiTheme="minorBidi" w:hAnsiTheme="minorBidi" w:cs="Arial" w:hint="cs"/>
          <w:rtl/>
        </w:rPr>
        <w:t>,</w:t>
      </w:r>
      <w:r w:rsidRPr="002065FF">
        <w:rPr>
          <w:rFonts w:asciiTheme="minorBidi" w:hAnsiTheme="minorBidi" w:cs="Arial"/>
          <w:rtl/>
        </w:rPr>
        <w:t xml:space="preserve"> ואי חלה בו ביום אסור משום מוקצה</w:t>
      </w:r>
      <w:r>
        <w:rPr>
          <w:rFonts w:asciiTheme="minorBidi" w:hAnsiTheme="minorBidi" w:cs="Arial" w:hint="cs"/>
          <w:rtl/>
        </w:rPr>
        <w:t>,</w:t>
      </w:r>
      <w:r w:rsidRPr="002065FF">
        <w:rPr>
          <w:rFonts w:asciiTheme="minorBidi" w:hAnsiTheme="minorBidi" w:cs="Arial"/>
          <w:rtl/>
        </w:rPr>
        <w:t xml:space="preserve"> וכן פירש רש"י (שם ד"ה פעמים שהשוחט). ולדעת הרא"ש וה</w:t>
      </w:r>
      <w:r w:rsidR="00F317FE">
        <w:rPr>
          <w:rFonts w:asciiTheme="minorBidi" w:hAnsiTheme="minorBidi" w:cs="Arial" w:hint="cs"/>
          <w:rtl/>
        </w:rPr>
        <w:t>ה"מ</w:t>
      </w:r>
      <w:r w:rsidRPr="002065FF">
        <w:rPr>
          <w:rFonts w:asciiTheme="minorBidi" w:hAnsiTheme="minorBidi" w:cs="Arial"/>
          <w:rtl/>
        </w:rPr>
        <w:t xml:space="preserve"> נראה דגם אשוחט פליג רב דימי ואמר דבכל גוונא מותר ואפילו חלה היום. ואם נפשך לומר דגם לדידהו לא פליג רב דימי אלא במבשל אבל בשוחט גם לרב דימי לא שרי אלא בחלה מבעוד יום דוקא וכדברי רש"י</w:t>
      </w:r>
      <w:r w:rsidR="0099465F">
        <w:rPr>
          <w:rFonts w:asciiTheme="minorBidi" w:hAnsiTheme="minorBidi" w:cs="Arial" w:hint="cs"/>
          <w:rtl/>
        </w:rPr>
        <w:t xml:space="preserve"> -</w:t>
      </w:r>
      <w:r w:rsidRPr="002065FF">
        <w:rPr>
          <w:rFonts w:asciiTheme="minorBidi" w:hAnsiTheme="minorBidi" w:cs="Arial"/>
          <w:rtl/>
        </w:rPr>
        <w:t xml:space="preserve"> איכא למימר דסבירא להו דמשום דסתמא קאמר השוחט לחולה בשבת מותר לבריא נקטה הרי"ף למימריה כי היכי דלישתמע דאפילו בחלה היום שרי משום דקיימא לן כרבי שמעון דלית ליה מוקצה אלא בשדחאו בידים</w:t>
      </w:r>
      <w:r w:rsidR="00F317FE">
        <w:rPr>
          <w:rFonts w:asciiTheme="minorBidi" w:hAnsiTheme="minorBidi" w:cs="Arial" w:hint="cs"/>
          <w:rtl/>
        </w:rPr>
        <w:t xml:space="preserve">.    </w:t>
      </w:r>
      <w:r w:rsidR="00F317FE" w:rsidRPr="00F317FE">
        <w:rPr>
          <w:rFonts w:asciiTheme="minorBidi" w:hAnsiTheme="minorBidi" w:cs="Arial"/>
          <w:b/>
          <w:bCs/>
          <w:rtl/>
        </w:rPr>
        <w:t>והרשב"א</w:t>
      </w:r>
      <w:r w:rsidR="00F317FE" w:rsidRPr="002065FF">
        <w:rPr>
          <w:rFonts w:asciiTheme="minorBidi" w:hAnsiTheme="minorBidi" w:cs="Arial"/>
          <w:rtl/>
        </w:rPr>
        <w:t xml:space="preserve"> כתב בפ</w:t>
      </w:r>
      <w:r w:rsidR="00F317FE">
        <w:rPr>
          <w:rFonts w:asciiTheme="minorBidi" w:hAnsiTheme="minorBidi" w:cs="Arial" w:hint="cs"/>
          <w:rtl/>
        </w:rPr>
        <w:t>"ק</w:t>
      </w:r>
      <w:r w:rsidR="00F317FE" w:rsidRPr="002065FF">
        <w:rPr>
          <w:rFonts w:asciiTheme="minorBidi" w:hAnsiTheme="minorBidi" w:cs="Arial"/>
          <w:rtl/>
        </w:rPr>
        <w:t xml:space="preserve"> דחולין (טו. ד"ה עד כאן) ואיכא מאן דאמר דאפילו רבי שמעון דלית ליה מוקצה מחמת איסור מודה הוא בשוחט שאסור</w:t>
      </w:r>
      <w:r w:rsidR="00F317FE">
        <w:rPr>
          <w:rFonts w:asciiTheme="minorBidi" w:hAnsiTheme="minorBidi" w:cs="Arial" w:hint="cs"/>
          <w:rtl/>
        </w:rPr>
        <w:t>,</w:t>
      </w:r>
      <w:r w:rsidR="00F317FE" w:rsidRPr="002065FF">
        <w:rPr>
          <w:rFonts w:asciiTheme="minorBidi" w:hAnsiTheme="minorBidi" w:cs="Arial"/>
          <w:rtl/>
        </w:rPr>
        <w:t xml:space="preserve"> ואפילו מר בריה דרב יוסף דאית ליה (ביצה כז:) חלוק היה רבי שמעון בבעלי חיים שמתו הכא מודה דמודה בה רבי שמעון</w:t>
      </w:r>
      <w:r w:rsidR="00F317FE">
        <w:rPr>
          <w:rFonts w:asciiTheme="minorBidi" w:hAnsiTheme="minorBidi" w:cs="Arial" w:hint="cs"/>
          <w:rtl/>
        </w:rPr>
        <w:t>,</w:t>
      </w:r>
      <w:r w:rsidR="00F317FE" w:rsidRPr="002065FF">
        <w:rPr>
          <w:rFonts w:asciiTheme="minorBidi" w:hAnsiTheme="minorBidi" w:cs="Arial"/>
          <w:rtl/>
        </w:rPr>
        <w:t xml:space="preserve"> דשאני התם דאדם יושב ומצפה אימתי תמות בהמתו דמיתה שכיחא</w:t>
      </w:r>
      <w:r w:rsidR="00F317FE">
        <w:rPr>
          <w:rFonts w:asciiTheme="minorBidi" w:hAnsiTheme="minorBidi" w:cs="Arial" w:hint="cs"/>
          <w:rtl/>
        </w:rPr>
        <w:t>,</w:t>
      </w:r>
      <w:r w:rsidR="00F317FE" w:rsidRPr="002065FF">
        <w:rPr>
          <w:rFonts w:asciiTheme="minorBidi" w:hAnsiTheme="minorBidi" w:cs="Arial"/>
          <w:rtl/>
        </w:rPr>
        <w:t xml:space="preserve"> אבל שוחט דבר רחוק הוא שיהא יושב ומצפה אימתי תשחט בהמתו בשבת</w:t>
      </w:r>
      <w:r w:rsidR="00F317FE">
        <w:rPr>
          <w:rFonts w:asciiTheme="minorBidi" w:hAnsiTheme="minorBidi" w:cs="Arial" w:hint="cs"/>
          <w:rtl/>
        </w:rPr>
        <w:t>.</w:t>
      </w:r>
      <w:r w:rsidR="00F317FE" w:rsidRPr="002065FF">
        <w:rPr>
          <w:rFonts w:asciiTheme="minorBidi" w:hAnsiTheme="minorBidi" w:cs="Arial"/>
          <w:rtl/>
        </w:rPr>
        <w:t xml:space="preserve"> ורבינו נטריה רחמנא כתב דרבי שמעון ודאי כיון דלית ליה מוקצה מחמת איסור אלא בשדחאו בידים כגון כוס וקערה ועששית דאיכא תרתי לגריעותא</w:t>
      </w:r>
      <w:r w:rsidR="00F317FE">
        <w:rPr>
          <w:rFonts w:asciiTheme="minorBidi" w:hAnsiTheme="minorBidi" w:cs="Arial" w:hint="cs"/>
          <w:rtl/>
        </w:rPr>
        <w:t>,</w:t>
      </w:r>
      <w:r w:rsidR="00F317FE" w:rsidRPr="002065FF">
        <w:rPr>
          <w:rFonts w:asciiTheme="minorBidi" w:hAnsiTheme="minorBidi" w:cs="Arial"/>
          <w:rtl/>
        </w:rPr>
        <w:t xml:space="preserve"> חדא דדחאו בידים ואינו יושב ומצפה לכבייתן מחמת גדלן</w:t>
      </w:r>
      <w:r w:rsidR="00F317FE">
        <w:rPr>
          <w:rFonts w:asciiTheme="minorBidi" w:hAnsiTheme="minorBidi" w:cs="Arial" w:hint="cs"/>
          <w:rtl/>
        </w:rPr>
        <w:t>,</w:t>
      </w:r>
      <w:r w:rsidR="00F317FE" w:rsidRPr="002065FF">
        <w:rPr>
          <w:rFonts w:asciiTheme="minorBidi" w:hAnsiTheme="minorBidi" w:cs="Arial"/>
          <w:rtl/>
        </w:rPr>
        <w:t xml:space="preserve"> בשוחט בשבת ודאי שרי למיכל מיניה ביומיה. ע</w:t>
      </w:r>
      <w:r w:rsidR="00F317FE">
        <w:rPr>
          <w:rFonts w:asciiTheme="minorBidi" w:hAnsiTheme="minorBidi" w:cs="Arial" w:hint="cs"/>
          <w:rtl/>
        </w:rPr>
        <w:t xml:space="preserve">כ"ל.    </w:t>
      </w:r>
      <w:r w:rsidR="00F317FE" w:rsidRPr="00F317FE">
        <w:rPr>
          <w:rFonts w:asciiTheme="minorBidi" w:hAnsiTheme="minorBidi" w:cs="Arial"/>
          <w:b/>
          <w:bCs/>
          <w:rtl/>
        </w:rPr>
        <w:t>ואם תאמר</w:t>
      </w:r>
      <w:r w:rsidR="00F317FE" w:rsidRPr="002065FF">
        <w:rPr>
          <w:rFonts w:asciiTheme="minorBidi" w:hAnsiTheme="minorBidi" w:cs="Arial"/>
          <w:rtl/>
        </w:rPr>
        <w:t xml:space="preserve"> לדברי הרא"ש וה</w:t>
      </w:r>
      <w:r w:rsidR="00F317FE">
        <w:rPr>
          <w:rFonts w:asciiTheme="minorBidi" w:hAnsiTheme="minorBidi" w:cs="Arial" w:hint="cs"/>
          <w:rtl/>
        </w:rPr>
        <w:t>ה"מ</w:t>
      </w:r>
      <w:r w:rsidR="00F317FE" w:rsidRPr="002065FF">
        <w:rPr>
          <w:rFonts w:asciiTheme="minorBidi" w:hAnsiTheme="minorBidi" w:cs="Arial"/>
          <w:rtl/>
        </w:rPr>
        <w:t xml:space="preserve"> ורבו של הרשב"א מאי שנא בהמה ממחובר</w:t>
      </w:r>
      <w:r w:rsidR="00F317FE">
        <w:rPr>
          <w:rFonts w:asciiTheme="minorBidi" w:hAnsiTheme="minorBidi" w:cs="Arial" w:hint="cs"/>
          <w:rtl/>
        </w:rPr>
        <w:t>,</w:t>
      </w:r>
      <w:r w:rsidR="00F317FE" w:rsidRPr="002065FF">
        <w:rPr>
          <w:rFonts w:asciiTheme="minorBidi" w:hAnsiTheme="minorBidi" w:cs="Arial"/>
          <w:rtl/>
        </w:rPr>
        <w:t xml:space="preserve"> דכי היכי דבגוי שהביא דורון אמרינן דמדהוה ליה ללקטם מבעוד יום ולא לקטם אסח דעתיה מינייהו והוה ליה מוקצה</w:t>
      </w:r>
      <w:r w:rsidR="00F317FE">
        <w:rPr>
          <w:rFonts w:asciiTheme="minorBidi" w:hAnsiTheme="minorBidi" w:cs="Arial" w:hint="cs"/>
          <w:rtl/>
        </w:rPr>
        <w:t>,</w:t>
      </w:r>
      <w:r w:rsidR="00F317FE" w:rsidRPr="002065FF">
        <w:rPr>
          <w:rFonts w:asciiTheme="minorBidi" w:hAnsiTheme="minorBidi" w:cs="Arial"/>
          <w:rtl/>
        </w:rPr>
        <w:t xml:space="preserve"> הכי נמי הוה לן למימר בבהמה שנשחטה לצורך חולה שחלה היום דאסור לבריא משום מוקצה. והיה נ"ל דלדידהו לא הוי טעמא דגוי שהביא דורון משום מוקצה</w:t>
      </w:r>
      <w:r w:rsidR="00F317FE">
        <w:rPr>
          <w:rFonts w:asciiTheme="minorBidi" w:hAnsiTheme="minorBidi" w:cs="Arial" w:hint="cs"/>
          <w:rtl/>
        </w:rPr>
        <w:t>,</w:t>
      </w:r>
      <w:r w:rsidR="00F317FE" w:rsidRPr="002065FF">
        <w:rPr>
          <w:rFonts w:asciiTheme="minorBidi" w:hAnsiTheme="minorBidi" w:cs="Arial"/>
          <w:rtl/>
        </w:rPr>
        <w:t xml:space="preserve"> אלא משום גזירה שמא יעלה ויתלוש</w:t>
      </w:r>
      <w:r w:rsidR="00F317FE">
        <w:rPr>
          <w:rFonts w:asciiTheme="minorBidi" w:hAnsiTheme="minorBidi" w:cs="Arial" w:hint="cs"/>
          <w:rtl/>
        </w:rPr>
        <w:t>,</w:t>
      </w:r>
      <w:r w:rsidR="00F317FE" w:rsidRPr="002065FF">
        <w:rPr>
          <w:rFonts w:asciiTheme="minorBidi" w:hAnsiTheme="minorBidi" w:cs="Arial"/>
          <w:rtl/>
        </w:rPr>
        <w:t xml:space="preserve"> וכתירוצא קמא דתוספות דריש ביצה (ג. ד"ה גזירה)</w:t>
      </w:r>
      <w:r w:rsidR="00F317FE">
        <w:rPr>
          <w:rFonts w:asciiTheme="minorBidi" w:hAnsiTheme="minorBidi" w:cs="Arial" w:hint="cs"/>
          <w:rtl/>
        </w:rPr>
        <w:t>.</w:t>
      </w:r>
      <w:r w:rsidR="00F317FE" w:rsidRPr="002065FF">
        <w:rPr>
          <w:rFonts w:asciiTheme="minorBidi" w:hAnsiTheme="minorBidi" w:cs="Arial"/>
          <w:rtl/>
        </w:rPr>
        <w:t xml:space="preserve"> ואפילו אם תמצי לומר דמשום מוקצה מיתסר</w:t>
      </w:r>
      <w:r w:rsidR="00F317FE">
        <w:rPr>
          <w:rFonts w:asciiTheme="minorBidi" w:hAnsiTheme="minorBidi" w:cs="Arial" w:hint="cs"/>
          <w:rtl/>
        </w:rPr>
        <w:t>,</w:t>
      </w:r>
      <w:r w:rsidR="00F317FE" w:rsidRPr="002065FF">
        <w:rPr>
          <w:rFonts w:asciiTheme="minorBidi" w:hAnsiTheme="minorBidi" w:cs="Arial"/>
          <w:rtl/>
        </w:rPr>
        <w:t xml:space="preserve"> איכא למימר דההיא כרבי יהודה דאית ליה מוקצה וקי</w:t>
      </w:r>
      <w:r w:rsidR="00F317FE">
        <w:rPr>
          <w:rFonts w:asciiTheme="minorBidi" w:hAnsiTheme="minorBidi" w:cs="Arial" w:hint="cs"/>
          <w:rtl/>
        </w:rPr>
        <w:t>י"</w:t>
      </w:r>
      <w:r w:rsidR="00F317FE" w:rsidRPr="002065FF">
        <w:rPr>
          <w:rFonts w:asciiTheme="minorBidi" w:hAnsiTheme="minorBidi" w:cs="Arial"/>
          <w:rtl/>
        </w:rPr>
        <w:t>ל כוותיה לגבי יום טוב לדעת הרי"ף (ביצה כב.) והרמב"ם (יום טוב פ"א הי"ז)</w:t>
      </w:r>
      <w:r w:rsidR="00F317FE">
        <w:rPr>
          <w:rFonts w:asciiTheme="minorBidi" w:hAnsiTheme="minorBidi" w:cs="Arial" w:hint="cs"/>
          <w:rtl/>
        </w:rPr>
        <w:t>.</w:t>
      </w:r>
      <w:r w:rsidR="00F317FE" w:rsidRPr="002065FF">
        <w:rPr>
          <w:rFonts w:asciiTheme="minorBidi" w:hAnsiTheme="minorBidi" w:cs="Arial"/>
          <w:rtl/>
        </w:rPr>
        <w:t xml:space="preserve"> אבל בשבת דקיי</w:t>
      </w:r>
      <w:r w:rsidR="00F317FE">
        <w:rPr>
          <w:rFonts w:asciiTheme="minorBidi" w:hAnsiTheme="minorBidi" w:cs="Arial" w:hint="cs"/>
          <w:rtl/>
        </w:rPr>
        <w:t>"</w:t>
      </w:r>
      <w:r w:rsidR="00F317FE" w:rsidRPr="002065FF">
        <w:rPr>
          <w:rFonts w:asciiTheme="minorBidi" w:hAnsiTheme="minorBidi" w:cs="Arial"/>
          <w:rtl/>
        </w:rPr>
        <w:t xml:space="preserve">ל כרבי שמעון לא מיתסר משום מוקצה אלא משום שמא יעלה ויתלוש. </w:t>
      </w:r>
      <w:r w:rsidR="00F317FE">
        <w:rPr>
          <w:rFonts w:asciiTheme="minorBidi" w:hAnsiTheme="minorBidi" w:cs="Arial" w:hint="cs"/>
          <w:rtl/>
        </w:rPr>
        <w:t xml:space="preserve">     </w:t>
      </w:r>
      <w:r w:rsidR="00F317FE" w:rsidRPr="00F317FE">
        <w:rPr>
          <w:rFonts w:asciiTheme="minorBidi" w:hAnsiTheme="minorBidi" w:cs="Arial"/>
          <w:b/>
          <w:bCs/>
          <w:rtl/>
        </w:rPr>
        <w:t>אבל הרא"ש</w:t>
      </w:r>
      <w:r w:rsidR="00F317FE" w:rsidRPr="002065FF">
        <w:rPr>
          <w:rFonts w:asciiTheme="minorBidi" w:hAnsiTheme="minorBidi" w:cs="Arial"/>
          <w:rtl/>
        </w:rPr>
        <w:t xml:space="preserve"> כתב (פ"ג דביצה סי' ב) גבי גוי שהביא דורון דאפילו לרבי שמעון הוי מוקצה כיון דלא לקטינהו מאתמול. ואפשר לומר דהרא"ש סבירא ליה דבמחובר דוקא שייך לומר מדלא לקטינהו אקצינהו לפי שכל אדם יכול ללקוט בידיו מ</w:t>
      </w:r>
      <w:r w:rsidR="00F317FE">
        <w:rPr>
          <w:rFonts w:asciiTheme="minorBidi" w:hAnsiTheme="minorBidi" w:cs="Arial" w:hint="cs"/>
          <w:rtl/>
        </w:rPr>
        <w:t>ש</w:t>
      </w:r>
      <w:r w:rsidR="00F317FE" w:rsidRPr="002065FF">
        <w:rPr>
          <w:rFonts w:asciiTheme="minorBidi" w:hAnsiTheme="minorBidi" w:cs="Arial"/>
          <w:rtl/>
        </w:rPr>
        <w:t>א</w:t>
      </w:r>
      <w:r w:rsidR="00F317FE">
        <w:rPr>
          <w:rFonts w:asciiTheme="minorBidi" w:hAnsiTheme="minorBidi" w:cs="Arial" w:hint="cs"/>
          <w:rtl/>
        </w:rPr>
        <w:t>"</w:t>
      </w:r>
      <w:r w:rsidR="00F317FE" w:rsidRPr="002065FF">
        <w:rPr>
          <w:rFonts w:asciiTheme="minorBidi" w:hAnsiTheme="minorBidi" w:cs="Arial"/>
          <w:rtl/>
        </w:rPr>
        <w:t>כ בבהמה שצריכה לישחט ע</w:t>
      </w:r>
      <w:r w:rsidR="00F317FE">
        <w:rPr>
          <w:rFonts w:asciiTheme="minorBidi" w:hAnsiTheme="minorBidi" w:cs="Arial" w:hint="cs"/>
          <w:rtl/>
        </w:rPr>
        <w:t>"</w:t>
      </w:r>
      <w:r w:rsidR="00F317FE" w:rsidRPr="002065FF">
        <w:rPr>
          <w:rFonts w:asciiTheme="minorBidi" w:hAnsiTheme="minorBidi" w:cs="Arial"/>
          <w:rtl/>
        </w:rPr>
        <w:t>י מומחה ובסכין בדוק וגם יש טורח בשחיטתה ואפשר שהיה בדעתו לשחטה אלא שלא נזדמן לו מומחה או סכין בדוק או שלא יכול ליפנות מעסקיו כדי לשחטה</w:t>
      </w:r>
      <w:r w:rsidR="00F317FE">
        <w:rPr>
          <w:rFonts w:asciiTheme="minorBidi" w:hAnsiTheme="minorBidi" w:cs="Arial" w:hint="cs"/>
          <w:rtl/>
        </w:rPr>
        <w:t>,</w:t>
      </w:r>
      <w:r w:rsidR="00F317FE" w:rsidRPr="002065FF">
        <w:rPr>
          <w:rFonts w:asciiTheme="minorBidi" w:hAnsiTheme="minorBidi" w:cs="Arial"/>
          <w:rtl/>
        </w:rPr>
        <w:t xml:space="preserve"> וכיון שאין מניעתו מלשחוט מוכיח שהקצה אותה לא אמרינן בה מדלא שחטה אקצה. ועוד יש לומר דסבירא ליה דהלכה כמאן דאמר בפרק כירה (מה:) ובפרק אין צדין (כז:) חלוק היה רבי שמעון אף בבעלי חיים שמתו שמותר לטלטלם</w:t>
      </w:r>
      <w:r w:rsidR="00F317FE">
        <w:rPr>
          <w:rFonts w:asciiTheme="minorBidi" w:hAnsiTheme="minorBidi" w:cs="Arial" w:hint="cs"/>
          <w:rtl/>
        </w:rPr>
        <w:t>,</w:t>
      </w:r>
      <w:r w:rsidR="00F317FE" w:rsidRPr="002065FF">
        <w:rPr>
          <w:rFonts w:asciiTheme="minorBidi" w:hAnsiTheme="minorBidi" w:cs="Arial"/>
          <w:rtl/>
        </w:rPr>
        <w:t xml:space="preserve"> אלמא לאו מוקצה נינהו</w:t>
      </w:r>
      <w:r w:rsidR="00F317FE">
        <w:rPr>
          <w:rFonts w:asciiTheme="minorBidi" w:hAnsiTheme="minorBidi" w:cs="Arial" w:hint="cs"/>
          <w:rtl/>
        </w:rPr>
        <w:t>,</w:t>
      </w:r>
      <w:r w:rsidR="00F317FE" w:rsidRPr="002065FF">
        <w:rPr>
          <w:rFonts w:asciiTheme="minorBidi" w:hAnsiTheme="minorBidi" w:cs="Arial"/>
          <w:rtl/>
        </w:rPr>
        <w:t xml:space="preserve"> ואם כן כשנשחטו בשבת בהיתר לחולה אפילו שחלה היום שרו. וצריך לומר לפי זה דכל שאינו מוקצה לענין טלטול </w:t>
      </w:r>
      <w:r w:rsidR="00F317FE">
        <w:rPr>
          <w:rFonts w:asciiTheme="minorBidi" w:hAnsiTheme="minorBidi" w:cs="Arial" w:hint="cs"/>
          <w:rtl/>
        </w:rPr>
        <w:t xml:space="preserve">- </w:t>
      </w:r>
      <w:r w:rsidR="00F317FE" w:rsidRPr="002065FF">
        <w:rPr>
          <w:rFonts w:asciiTheme="minorBidi" w:hAnsiTheme="minorBidi" w:cs="Arial"/>
          <w:rtl/>
        </w:rPr>
        <w:t>אינו מוקצה לענין אכילה</w:t>
      </w:r>
      <w:r w:rsidR="00F317FE">
        <w:rPr>
          <w:rFonts w:asciiTheme="minorBidi" w:hAnsiTheme="minorBidi" w:cs="Arial" w:hint="cs"/>
          <w:rtl/>
        </w:rPr>
        <w:t>.</w:t>
      </w:r>
      <w:r w:rsidR="00F317FE" w:rsidRPr="002065FF">
        <w:rPr>
          <w:rFonts w:asciiTheme="minorBidi" w:hAnsiTheme="minorBidi" w:cs="Arial"/>
          <w:rtl/>
        </w:rPr>
        <w:t xml:space="preserve"> ומיהו לא משמע הכי ממה שכתב הרא"ש בפרק אין צדין (סי' ז) גבי אין מוקצה לחצי שבת</w:t>
      </w:r>
      <w:r>
        <w:rPr>
          <w:rFonts w:asciiTheme="minorBidi" w:hAnsiTheme="minorBidi" w:cs="Arial" w:hint="cs"/>
          <w:rtl/>
        </w:rPr>
        <w:t>, ב"י.</w:t>
      </w:r>
    </w:p>
  </w:footnote>
  <w:footnote w:id="2680">
    <w:p w14:paraId="59609895" w14:textId="77777777" w:rsidR="009A4D95" w:rsidRDefault="009A4D95" w:rsidP="009A4D95">
      <w:pPr>
        <w:pStyle w:val="a7"/>
        <w:rPr>
          <w:rtl/>
        </w:rPr>
      </w:pPr>
      <w:r>
        <w:rPr>
          <w:rStyle w:val="a9"/>
        </w:rPr>
        <w:footnoteRef/>
      </w:r>
      <w:r>
        <w:rPr>
          <w:rFonts w:asciiTheme="minorBidi" w:hAnsiTheme="minorBidi" w:cs="Arial" w:hint="cs"/>
          <w:rtl/>
        </w:rPr>
        <w:t xml:space="preserve"> </w:t>
      </w:r>
      <w:r w:rsidRPr="005F2717">
        <w:rPr>
          <w:rFonts w:asciiTheme="minorBidi" w:hAnsiTheme="minorBidi" w:cs="Arial"/>
          <w:rtl/>
        </w:rPr>
        <w:t>וכן כתב הר"ן (שם)</w:t>
      </w:r>
      <w:r>
        <w:rPr>
          <w:rFonts w:asciiTheme="minorBidi" w:hAnsiTheme="minorBidi" w:cs="Arial" w:hint="cs"/>
          <w:rtl/>
        </w:rPr>
        <w:t>,</w:t>
      </w:r>
      <w:r w:rsidRPr="005F2717">
        <w:rPr>
          <w:rFonts w:asciiTheme="minorBidi" w:hAnsiTheme="minorBidi" w:cs="Arial"/>
          <w:rtl/>
        </w:rPr>
        <w:t xml:space="preserve"> וגם ה</w:t>
      </w:r>
      <w:r>
        <w:rPr>
          <w:rFonts w:asciiTheme="minorBidi" w:hAnsiTheme="minorBidi" w:cs="Arial" w:hint="cs"/>
          <w:rtl/>
        </w:rPr>
        <w:t>ה"</w:t>
      </w:r>
      <w:r w:rsidRPr="005F2717">
        <w:rPr>
          <w:rFonts w:asciiTheme="minorBidi" w:hAnsiTheme="minorBidi" w:cs="Arial"/>
          <w:rtl/>
        </w:rPr>
        <w:t>מ כתב בפ</w:t>
      </w:r>
      <w:r>
        <w:rPr>
          <w:rFonts w:asciiTheme="minorBidi" w:hAnsiTheme="minorBidi" w:cs="Arial" w:hint="cs"/>
          <w:rtl/>
        </w:rPr>
        <w:t>"</w:t>
      </w:r>
      <w:r w:rsidRPr="005F2717">
        <w:rPr>
          <w:rFonts w:asciiTheme="minorBidi" w:hAnsiTheme="minorBidi" w:cs="Arial"/>
          <w:rtl/>
        </w:rPr>
        <w:t>ב (ה"ט) שכן הסכימו המפרשים</w:t>
      </w:r>
      <w:r>
        <w:rPr>
          <w:rFonts w:hint="cs"/>
          <w:rtl/>
        </w:rPr>
        <w:t xml:space="preserve">, </w:t>
      </w:r>
      <w:r w:rsidRPr="002F5172">
        <w:rPr>
          <w:rFonts w:hint="cs"/>
          <w:b/>
          <w:bCs/>
          <w:rtl/>
        </w:rPr>
        <w:t>ב"י</w:t>
      </w:r>
      <w:r>
        <w:rPr>
          <w:rFonts w:hint="cs"/>
          <w:rtl/>
        </w:rPr>
        <w:t>.</w:t>
      </w:r>
    </w:p>
  </w:footnote>
  <w:footnote w:id="2681">
    <w:p w14:paraId="4134E078"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בלא מליחה, אבל הדחה מיהא בעי, מג"א (סק"ה).</w:t>
      </w:r>
    </w:p>
  </w:footnote>
  <w:footnote w:id="2682">
    <w:p w14:paraId="24942759" w14:textId="6D87FC10"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w:t>
      </w:r>
      <w:r w:rsidR="00DA5B62" w:rsidRPr="00DA5B62">
        <w:rPr>
          <w:rFonts w:asciiTheme="minorBidi" w:hAnsiTheme="minorBidi" w:cs="Arial"/>
          <w:rtl/>
        </w:rPr>
        <w:t>לאפוקי במ</w:t>
      </w:r>
      <w:r w:rsidR="00DA5B62">
        <w:rPr>
          <w:rFonts w:asciiTheme="minorBidi" w:hAnsiTheme="minorBidi" w:cs="Arial" w:hint="cs"/>
          <w:rtl/>
        </w:rPr>
        <w:t>וצ</w:t>
      </w:r>
      <w:r w:rsidR="00DA5B62" w:rsidRPr="00DA5B62">
        <w:rPr>
          <w:rFonts w:asciiTheme="minorBidi" w:hAnsiTheme="minorBidi" w:cs="Arial"/>
          <w:rtl/>
        </w:rPr>
        <w:t>"ש</w:t>
      </w:r>
      <w:r w:rsidR="00DA5B62">
        <w:rPr>
          <w:rFonts w:asciiTheme="minorBidi" w:hAnsiTheme="minorBidi" w:cs="Arial" w:hint="cs"/>
          <w:rtl/>
        </w:rPr>
        <w:t>.</w:t>
      </w:r>
      <w:r w:rsidR="00DA5B62" w:rsidRPr="00DA5B62">
        <w:rPr>
          <w:rFonts w:asciiTheme="minorBidi" w:hAnsiTheme="minorBidi" w:cs="Arial"/>
          <w:rtl/>
        </w:rPr>
        <w:t xml:space="preserve"> ואין בו משום בישולי נכרים כיון דלא שכיחי אין בו משום חתנות</w:t>
      </w:r>
      <w:r w:rsidR="00DA5B62">
        <w:rPr>
          <w:rFonts w:asciiTheme="minorBidi" w:hAnsiTheme="minorBidi" w:cs="Arial" w:hint="cs"/>
          <w:rtl/>
        </w:rPr>
        <w:t>, גר"א (ד"ה בשבת). וכ"כ המשנ"ב (סקי"ד).</w:t>
      </w:r>
      <w:r w:rsidR="00DA5B62" w:rsidRPr="00DA5B62">
        <w:rPr>
          <w:rFonts w:asciiTheme="minorBidi" w:hAnsiTheme="minorBidi" w:cs="Arial"/>
          <w:rtl/>
        </w:rPr>
        <w:t xml:space="preserve"> </w:t>
      </w:r>
      <w:r w:rsidR="00DA5B62">
        <w:rPr>
          <w:rFonts w:asciiTheme="minorBidi" w:hAnsiTheme="minorBidi" w:hint="cs"/>
          <w:rtl/>
        </w:rPr>
        <w:t>וכ"כ ב</w:t>
      </w:r>
      <w:r w:rsidRPr="008C1C8E">
        <w:rPr>
          <w:rFonts w:asciiTheme="minorBidi" w:hAnsiTheme="minorBidi"/>
          <w:rtl/>
        </w:rPr>
        <w:t>גליון הש"ך על או"ח בכת"י (הובא במג"א סק"ז).</w:t>
      </w:r>
    </w:p>
  </w:footnote>
  <w:footnote w:id="2683">
    <w:p w14:paraId="62B64D4F"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שלא נגמר בישולן, אורחות חיים (סי' שמח, הבוא בב"י). וע' בהערה הבאה מאי נפ"מ.</w:t>
      </w:r>
    </w:p>
  </w:footnote>
  <w:footnote w:id="2684">
    <w:p w14:paraId="06C0B09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אבל אם נגמר בישולן של הפירות מהני הכנה דאז אינן גדלים והולכים, דהיינו אם היה חולה מבעו"י מותר לבריא לאכול ממה שקצץ הגוי בשבת, מג"א (סק"ח). ובבהמה לא חישיינן לגודל והולך, גר"א (סק"ט).</w:t>
      </w:r>
    </w:p>
  </w:footnote>
  <w:footnote w:id="2685">
    <w:p w14:paraId="0E156DF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קומקמוס של נחשת, רש"י.</w:t>
      </w:r>
    </w:p>
  </w:footnote>
  <w:footnote w:id="2686">
    <w:p w14:paraId="6727CE5A"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שתצלה קצת עד שתהא מגולגלת, רש"י.</w:t>
      </w:r>
    </w:p>
  </w:footnote>
  <w:footnote w:id="2687">
    <w:p w14:paraId="7D24530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לא ישברנה על סודר שהוחם בחמה כדי שתצלה מחומו של סודר, רש"י.</w:t>
      </w:r>
    </w:p>
  </w:footnote>
  <w:footnote w:id="2688">
    <w:p w14:paraId="7592D2F7"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שהוחמו מכח חמה, רש"י.</w:t>
      </w:r>
    </w:p>
  </w:footnote>
  <w:footnote w:id="2689">
    <w:p w14:paraId="1CB4453E"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דאין דרך בישולו בכך, וחמה באור לא מיחלפא דליגזר הא אטו הא, רש"י.</w:t>
      </w:r>
    </w:p>
  </w:footnote>
  <w:footnote w:id="2690">
    <w:p w14:paraId="4AD12A9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כגון אם הוחם הסודר הזה באור מתחילה, רש"י.</w:t>
      </w:r>
    </w:p>
  </w:footnote>
  <w:footnote w:id="2691">
    <w:p w14:paraId="555B1514"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שהוחם הסודר בחמה, רש"י.</w:t>
      </w:r>
    </w:p>
  </w:footnote>
  <w:footnote w:id="2692">
    <w:p w14:paraId="22448BA4"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דמאן דחזי סבר דתולדות האור נינהו, רש"י.</w:t>
      </w:r>
    </w:p>
  </w:footnote>
  <w:footnote w:id="2693">
    <w:p w14:paraId="1D3D4071" w14:textId="77777777" w:rsidR="00546756" w:rsidRDefault="00546756" w:rsidP="00546756">
      <w:pPr>
        <w:pStyle w:val="a7"/>
        <w:rPr>
          <w:rtl/>
        </w:rPr>
      </w:pPr>
      <w:r>
        <w:rPr>
          <w:rStyle w:val="a9"/>
        </w:rPr>
        <w:footnoteRef/>
      </w:r>
      <w:r>
        <w:rPr>
          <w:rtl/>
        </w:rPr>
        <w:t xml:space="preserve"> </w:t>
      </w:r>
      <w:r>
        <w:rPr>
          <w:rFonts w:asciiTheme="minorBidi" w:hAnsiTheme="minorBidi" w:cs="Arial" w:hint="cs"/>
          <w:rtl/>
        </w:rPr>
        <w:t xml:space="preserve">וז"ל- </w:t>
      </w:r>
      <w:r w:rsidRPr="00E91D7F">
        <w:rPr>
          <w:rFonts w:asciiTheme="minorBidi" w:hAnsiTheme="minorBidi" w:cs="Arial"/>
          <w:rtl/>
        </w:rPr>
        <w:t>הנותן ביצה בצד המיחם בשביל שתתגלגל ונתגלגלה</w:t>
      </w:r>
      <w:r>
        <w:rPr>
          <w:rFonts w:asciiTheme="minorBidi" w:hAnsiTheme="minorBidi" w:cs="Arial" w:hint="cs"/>
          <w:rtl/>
        </w:rPr>
        <w:t xml:space="preserve"> -</w:t>
      </w:r>
      <w:r w:rsidRPr="00E91D7F">
        <w:rPr>
          <w:rFonts w:asciiTheme="minorBidi" w:hAnsiTheme="minorBidi" w:cs="Arial"/>
          <w:rtl/>
        </w:rPr>
        <w:t xml:space="preserve"> חייב, שהמבשל בתולדת האור כמבשל באור עצמה</w:t>
      </w:r>
      <w:r>
        <w:rPr>
          <w:rFonts w:asciiTheme="minorBidi" w:hAnsiTheme="minorBidi" w:cs="Arial" w:hint="cs"/>
          <w:rtl/>
        </w:rPr>
        <w:t>..</w:t>
      </w:r>
      <w:r w:rsidRPr="00E91D7F">
        <w:rPr>
          <w:rFonts w:asciiTheme="minorBidi" w:hAnsiTheme="minorBidi" w:cs="Arial"/>
          <w:rtl/>
        </w:rPr>
        <w:t>.</w:t>
      </w:r>
      <w:r>
        <w:rPr>
          <w:rFonts w:asciiTheme="minorBidi" w:hAnsiTheme="minorBidi" w:cs="Arial" w:hint="cs"/>
          <w:sz w:val="14"/>
          <w:szCs w:val="14"/>
          <w:rtl/>
        </w:rPr>
        <w:t xml:space="preserve"> (ה"ג)</w:t>
      </w:r>
      <w:r w:rsidRPr="00E91D7F">
        <w:rPr>
          <w:rFonts w:asciiTheme="minorBidi" w:hAnsiTheme="minorBidi" w:cs="Arial"/>
          <w:rtl/>
        </w:rPr>
        <w:t xml:space="preserve"> המפקיע את הביצה בבגד חם או בחול ובאבק דרכים שהן חמים מפני השמש אף על פי שנצלית פטור, שתולדות חמה אינם כתולדות האש, אבל גזרו עליהן מפני תולדות האור</w:t>
      </w:r>
      <w:r>
        <w:rPr>
          <w:rFonts w:asciiTheme="minorBidi" w:hAnsiTheme="minorBidi" w:cs="Arial" w:hint="cs"/>
          <w:rtl/>
        </w:rPr>
        <w:t>.</w:t>
      </w:r>
    </w:p>
  </w:footnote>
  <w:footnote w:id="2694">
    <w:p w14:paraId="191D5072" w14:textId="32CB92D2" w:rsidR="008358C6" w:rsidRDefault="008358C6">
      <w:pPr>
        <w:pStyle w:val="a7"/>
        <w:rPr>
          <w:rtl/>
        </w:rPr>
      </w:pPr>
      <w:r>
        <w:rPr>
          <w:rStyle w:val="a9"/>
        </w:rPr>
        <w:footnoteRef/>
      </w:r>
      <w:r>
        <w:rPr>
          <w:rtl/>
        </w:rPr>
        <w:t xml:space="preserve"> </w:t>
      </w:r>
      <w:r w:rsidRPr="008358C6">
        <w:rPr>
          <w:rFonts w:cs="Arial"/>
          <w:rtl/>
        </w:rPr>
        <w:t>ובהדיא גרסינן בירושלמי מתניתין פליגא על רבנין דתמן דתני רבן שמעון בן גמליאל אומר מגלגלין ביצה על גבי גג רותח וכו', מה עבדין ליה רבנן דתמן פתרין לה חלוקין על רבן שמעון בן גמליאל</w:t>
      </w:r>
      <w:r>
        <w:rPr>
          <w:rFonts w:cs="Arial" w:hint="cs"/>
          <w:rtl/>
        </w:rPr>
        <w:t>, רשב"א (שם)</w:t>
      </w:r>
      <w:r w:rsidRPr="008358C6">
        <w:rPr>
          <w:rFonts w:cs="Arial"/>
          <w:rtl/>
        </w:rPr>
        <w:t>.</w:t>
      </w:r>
    </w:p>
  </w:footnote>
  <w:footnote w:id="2695">
    <w:p w14:paraId="17123FA8" w14:textId="5F189BD2" w:rsidR="004773A2" w:rsidRPr="004773A2" w:rsidRDefault="004773A2" w:rsidP="004773A2">
      <w:pPr>
        <w:pStyle w:val="a7"/>
        <w:rPr>
          <w:rFonts w:cs="Arial"/>
          <w:rtl/>
        </w:rPr>
      </w:pPr>
      <w:r>
        <w:rPr>
          <w:rStyle w:val="a9"/>
        </w:rPr>
        <w:footnoteRef/>
      </w:r>
      <w:r>
        <w:rPr>
          <w:rtl/>
        </w:rPr>
        <w:t xml:space="preserve"> </w:t>
      </w:r>
      <w:r w:rsidRPr="004773A2">
        <w:rPr>
          <w:rFonts w:cs="Arial"/>
          <w:rtl/>
        </w:rPr>
        <w:t>עיין בפמ"ג דאפילו אם הביצה צלויה כ"צ ג"כ אסור להטמינה דאיסור הטמנה הוא אפילו במבושל כל צרכה כמ"ש בסימן רנ"ז ס"ז</w:t>
      </w:r>
      <w:r>
        <w:rPr>
          <w:rFonts w:cs="Arial" w:hint="cs"/>
          <w:rtl/>
        </w:rPr>
        <w:t>, ביאו"ה (ד"ה להטמינה בחול).</w:t>
      </w:r>
    </w:p>
  </w:footnote>
  <w:footnote w:id="2696">
    <w:p w14:paraId="5FDA800B" w14:textId="24EFD642" w:rsidR="00C113E3" w:rsidRDefault="00C113E3">
      <w:pPr>
        <w:pStyle w:val="a7"/>
      </w:pPr>
      <w:r>
        <w:rPr>
          <w:rStyle w:val="a9"/>
        </w:rPr>
        <w:footnoteRef/>
      </w:r>
      <w:r>
        <w:rPr>
          <w:rtl/>
        </w:rPr>
        <w:t xml:space="preserve"> </w:t>
      </w:r>
      <w:r w:rsidRPr="00C113E3">
        <w:rPr>
          <w:rFonts w:cs="Arial"/>
          <w:rtl/>
        </w:rPr>
        <w:t>כלומר שנתבשל</w:t>
      </w:r>
      <w:r>
        <w:rPr>
          <w:rFonts w:cs="Arial" w:hint="cs"/>
          <w:rtl/>
        </w:rPr>
        <w:t xml:space="preserve">, </w:t>
      </w:r>
      <w:r w:rsidRPr="00D6454B">
        <w:rPr>
          <w:rFonts w:cs="Arial" w:hint="cs"/>
          <w:b/>
          <w:bCs/>
          <w:rtl/>
        </w:rPr>
        <w:t>רש"י</w:t>
      </w:r>
      <w:r>
        <w:rPr>
          <w:rFonts w:cs="Arial" w:hint="cs"/>
          <w:rtl/>
        </w:rPr>
        <w:t>.</w:t>
      </w:r>
    </w:p>
  </w:footnote>
  <w:footnote w:id="2697">
    <w:p w14:paraId="575BEE78" w14:textId="5078C2F9" w:rsidR="00C113E3" w:rsidRDefault="00C113E3">
      <w:pPr>
        <w:pStyle w:val="a7"/>
        <w:rPr>
          <w:rtl/>
        </w:rPr>
      </w:pPr>
      <w:r>
        <w:rPr>
          <w:rStyle w:val="a9"/>
        </w:rPr>
        <w:footnoteRef/>
      </w:r>
      <w:r>
        <w:rPr>
          <w:rtl/>
        </w:rPr>
        <w:t xml:space="preserve"> </w:t>
      </w:r>
      <w:r w:rsidRPr="00C113E3">
        <w:rPr>
          <w:rFonts w:cs="Arial"/>
          <w:rtl/>
        </w:rPr>
        <w:t>כדי שיהא נמוח</w:t>
      </w:r>
      <w:r>
        <w:rPr>
          <w:rFonts w:hint="cs"/>
          <w:rtl/>
        </w:rPr>
        <w:t>, רש"י.</w:t>
      </w:r>
    </w:p>
  </w:footnote>
  <w:footnote w:id="2698">
    <w:p w14:paraId="36570085"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מבשלה ושורה אותה ימים רבים בחמין למחות מאליה, ואוכלה לרפואה, רש"י.</w:t>
      </w:r>
    </w:p>
  </w:footnote>
  <w:footnote w:id="2699">
    <w:p w14:paraId="4EEFD33A" w14:textId="0699A7A8" w:rsidR="006216F4" w:rsidRDefault="006216F4">
      <w:pPr>
        <w:pStyle w:val="a7"/>
        <w:rPr>
          <w:rtl/>
        </w:rPr>
      </w:pPr>
      <w:r>
        <w:rPr>
          <w:rStyle w:val="a9"/>
        </w:rPr>
        <w:footnoteRef/>
      </w:r>
      <w:r>
        <w:rPr>
          <w:rtl/>
        </w:rPr>
        <w:t xml:space="preserve"> </w:t>
      </w:r>
      <w:r w:rsidRPr="006216F4">
        <w:rPr>
          <w:rFonts w:cs="Arial"/>
          <w:rtl/>
        </w:rPr>
        <w:t>כגון צמר ומוכין</w:t>
      </w:r>
      <w:r>
        <w:rPr>
          <w:rFonts w:hint="cs"/>
          <w:rtl/>
        </w:rPr>
        <w:t>, רש"י.</w:t>
      </w:r>
    </w:p>
  </w:footnote>
  <w:footnote w:id="2700">
    <w:p w14:paraId="5DF4FCDE" w14:textId="3D707807" w:rsidR="006216F4" w:rsidRDefault="006216F4">
      <w:pPr>
        <w:pStyle w:val="a7"/>
        <w:rPr>
          <w:rtl/>
        </w:rPr>
      </w:pPr>
      <w:r>
        <w:rPr>
          <w:rStyle w:val="a9"/>
        </w:rPr>
        <w:footnoteRef/>
      </w:r>
      <w:r>
        <w:rPr>
          <w:rtl/>
        </w:rPr>
        <w:t xml:space="preserve"> </w:t>
      </w:r>
      <w:r w:rsidRPr="006216F4">
        <w:rPr>
          <w:rFonts w:cs="Arial"/>
          <w:rtl/>
        </w:rPr>
        <w:t>כדתנן במתניתין: וטומנין את החמין, טעמא - דספק חשכה, הא ודאי חשכה - אין טומנין, וסתם הטמנה בדבר שאינו מוסיף הבל, דאילו בדבר המוסיף הבל - אפילו מבעוד יום אסור, כדתנן בפרק ד' (מז</w:t>
      </w:r>
      <w:r>
        <w:rPr>
          <w:rFonts w:cs="Arial" w:hint="cs"/>
          <w:rtl/>
        </w:rPr>
        <w:t>:</w:t>
      </w:r>
      <w:r w:rsidRPr="006216F4">
        <w:rPr>
          <w:rFonts w:cs="Arial"/>
          <w:rtl/>
        </w:rPr>
        <w:t>) אין טומנין לא בגפת כו' גזירה שמא ימצא קדרתו שנצטננה כשירצה להטמינה, וירתיחנה תחילה, ונמצא מבשל בשבת</w:t>
      </w:r>
      <w:r>
        <w:rPr>
          <w:rFonts w:cs="Arial" w:hint="cs"/>
          <w:rtl/>
        </w:rPr>
        <w:t>, רש"י.</w:t>
      </w:r>
    </w:p>
  </w:footnote>
  <w:footnote w:id="2701">
    <w:p w14:paraId="59C9086A" w14:textId="57D09FD3" w:rsidR="00E136AC" w:rsidRDefault="00E136AC">
      <w:pPr>
        <w:pStyle w:val="a7"/>
        <w:rPr>
          <w:rtl/>
        </w:rPr>
      </w:pPr>
      <w:r>
        <w:rPr>
          <w:rStyle w:val="a9"/>
        </w:rPr>
        <w:footnoteRef/>
      </w:r>
      <w:r>
        <w:rPr>
          <w:rtl/>
        </w:rPr>
        <w:t xml:space="preserve"> </w:t>
      </w:r>
      <w:r w:rsidRPr="00E136AC">
        <w:rPr>
          <w:rFonts w:cs="Arial"/>
          <w:rtl/>
        </w:rPr>
        <w:t>מיני קטניות, וצריכין בישול יותר</w:t>
      </w:r>
      <w:r>
        <w:rPr>
          <w:rFonts w:hint="cs"/>
          <w:rtl/>
        </w:rPr>
        <w:t>, רש"י.</w:t>
      </w:r>
    </w:p>
  </w:footnote>
  <w:footnote w:id="2702">
    <w:p w14:paraId="2D2783DF" w14:textId="39F13927" w:rsidR="00E136AC" w:rsidRDefault="00E136AC">
      <w:pPr>
        <w:pStyle w:val="a7"/>
        <w:rPr>
          <w:rtl/>
        </w:rPr>
      </w:pPr>
      <w:r>
        <w:rPr>
          <w:rStyle w:val="a9"/>
        </w:rPr>
        <w:footnoteRef/>
      </w:r>
      <w:r>
        <w:rPr>
          <w:rtl/>
        </w:rPr>
        <w:t xml:space="preserve"> </w:t>
      </w:r>
      <w:r w:rsidRPr="00E136AC">
        <w:rPr>
          <w:rFonts w:cs="Arial"/>
          <w:rtl/>
        </w:rPr>
        <w:t>למהר בישולן</w:t>
      </w:r>
      <w:r>
        <w:rPr>
          <w:rFonts w:hint="cs"/>
          <w:rtl/>
        </w:rPr>
        <w:t>, רש"י.</w:t>
      </w:r>
    </w:p>
  </w:footnote>
  <w:footnote w:id="2703">
    <w:p w14:paraId="0F1FBDF4" w14:textId="01F4F126" w:rsidR="00E136AC" w:rsidRDefault="00E136AC">
      <w:pPr>
        <w:pStyle w:val="a7"/>
        <w:rPr>
          <w:rtl/>
        </w:rPr>
      </w:pPr>
      <w:r>
        <w:rPr>
          <w:rStyle w:val="a9"/>
        </w:rPr>
        <w:footnoteRef/>
      </w:r>
      <w:r>
        <w:rPr>
          <w:rtl/>
        </w:rPr>
        <w:t xml:space="preserve"> </w:t>
      </w:r>
      <w:r w:rsidRPr="00E136AC">
        <w:rPr>
          <w:rFonts w:cs="Arial"/>
          <w:rtl/>
        </w:rPr>
        <w:t>שמא יחתה בגחלים</w:t>
      </w:r>
      <w:r>
        <w:rPr>
          <w:rFonts w:hint="cs"/>
          <w:rtl/>
        </w:rPr>
        <w:t>, רש"י.</w:t>
      </w:r>
    </w:p>
  </w:footnote>
  <w:footnote w:id="2704">
    <w:p w14:paraId="0445D222" w14:textId="77EDDB71" w:rsidR="00E136AC" w:rsidRDefault="00E136AC">
      <w:pPr>
        <w:pStyle w:val="a7"/>
        <w:rPr>
          <w:rtl/>
        </w:rPr>
      </w:pPr>
      <w:r>
        <w:rPr>
          <w:rStyle w:val="a9"/>
        </w:rPr>
        <w:footnoteRef/>
      </w:r>
      <w:r>
        <w:rPr>
          <w:rtl/>
        </w:rPr>
        <w:t xml:space="preserve"> </w:t>
      </w:r>
      <w:r w:rsidRPr="00E136AC">
        <w:rPr>
          <w:rFonts w:cs="Arial"/>
          <w:rtl/>
        </w:rPr>
        <w:t>מעל האור</w:t>
      </w:r>
      <w:r>
        <w:rPr>
          <w:rFonts w:hint="cs"/>
          <w:rtl/>
        </w:rPr>
        <w:t>, רש"י.</w:t>
      </w:r>
    </w:p>
  </w:footnote>
  <w:footnote w:id="2705">
    <w:p w14:paraId="46F37ED7" w14:textId="57C25527" w:rsidR="00E136AC" w:rsidRDefault="00E136AC">
      <w:pPr>
        <w:pStyle w:val="a7"/>
      </w:pPr>
      <w:r>
        <w:rPr>
          <w:rStyle w:val="a9"/>
        </w:rPr>
        <w:footnoteRef/>
      </w:r>
      <w:r>
        <w:rPr>
          <w:rtl/>
        </w:rPr>
        <w:t xml:space="preserve"> </w:t>
      </w:r>
      <w:r w:rsidRPr="00E136AC">
        <w:rPr>
          <w:rFonts w:cs="Arial"/>
          <w:rtl/>
        </w:rPr>
        <w:t>מהפך בה, ובמבושל הוי בישול</w:t>
      </w:r>
      <w:r>
        <w:rPr>
          <w:rFonts w:cs="Arial" w:hint="cs"/>
          <w:rtl/>
        </w:rPr>
        <w:t>, רש"י</w:t>
      </w:r>
      <w:r w:rsidRPr="00E136AC">
        <w:rPr>
          <w:rFonts w:cs="Arial"/>
          <w:rtl/>
        </w:rPr>
        <w:t>.</w:t>
      </w:r>
    </w:p>
  </w:footnote>
  <w:footnote w:id="2706">
    <w:p w14:paraId="54AD1EAA" w14:textId="2E49E3AB" w:rsidR="00E136AC" w:rsidRDefault="00E136AC">
      <w:pPr>
        <w:pStyle w:val="a7"/>
        <w:rPr>
          <w:rtl/>
        </w:rPr>
      </w:pPr>
      <w:r>
        <w:rPr>
          <w:rStyle w:val="a9"/>
        </w:rPr>
        <w:footnoteRef/>
      </w:r>
      <w:r>
        <w:rPr>
          <w:rtl/>
        </w:rPr>
        <w:t xml:space="preserve"> </w:t>
      </w:r>
      <w:r w:rsidRPr="00E136AC">
        <w:rPr>
          <w:rFonts w:cs="Arial"/>
          <w:rtl/>
        </w:rPr>
        <w:t>מכוסה בכיסוי שלה, וטוחה בטיט סביב, דכולי האי לא טרח, ומידכר</w:t>
      </w:r>
      <w:r>
        <w:rPr>
          <w:rFonts w:hint="cs"/>
          <w:rtl/>
        </w:rPr>
        <w:t>, רש"י.</w:t>
      </w:r>
    </w:p>
  </w:footnote>
  <w:footnote w:id="2707">
    <w:p w14:paraId="1744EB70" w14:textId="6C650CDB" w:rsidR="008F1E22" w:rsidRDefault="008F1E22">
      <w:pPr>
        <w:pStyle w:val="a7"/>
      </w:pPr>
      <w:r>
        <w:rPr>
          <w:rStyle w:val="a9"/>
        </w:rPr>
        <w:footnoteRef/>
      </w:r>
      <w:r>
        <w:rPr>
          <w:rtl/>
        </w:rPr>
        <w:t xml:space="preserve"> </w:t>
      </w:r>
      <w:r>
        <w:rPr>
          <w:rFonts w:hint="cs"/>
          <w:rtl/>
        </w:rPr>
        <w:t>כ"כ הריטב"א (לט. ד"ה כל שבא) בשמם. ולא מצאתי עדיין את מקור הדברים בתוס' (הריטב"א מביא הרבה פעמים דברים בשם התוס' ואינם נמצאים בתוס' שלפנינו).</w:t>
      </w:r>
    </w:p>
  </w:footnote>
  <w:footnote w:id="2708">
    <w:p w14:paraId="742939E8" w14:textId="68B0A0E9" w:rsidR="006A1D13" w:rsidRDefault="006A1D13">
      <w:pPr>
        <w:pStyle w:val="a7"/>
      </w:pPr>
      <w:r>
        <w:rPr>
          <w:rStyle w:val="a9"/>
        </w:rPr>
        <w:footnoteRef/>
      </w:r>
      <w:r>
        <w:rPr>
          <w:rtl/>
        </w:rPr>
        <w:t xml:space="preserve"> </w:t>
      </w:r>
      <w:r>
        <w:rPr>
          <w:rFonts w:asciiTheme="minorBidi" w:hAnsiTheme="minorBidi" w:cs="Arial" w:hint="cs"/>
          <w:rtl/>
        </w:rPr>
        <w:t xml:space="preserve">וז"ל- </w:t>
      </w:r>
      <w:r w:rsidRPr="00DD3262">
        <w:rPr>
          <w:rFonts w:asciiTheme="minorBidi" w:hAnsiTheme="minorBidi" w:cs="Arial"/>
          <w:rtl/>
        </w:rPr>
        <w:t>ומיהו בדבר לח וצלול לדברי הכל יש בישול אחר בישול לאחר שנצטנן אם חוזר ומרתיחו כדאמרינן בפרק במה מדליקין שמא ירתיח וכדפירש שם בקונדריס. ע</w:t>
      </w:r>
      <w:r>
        <w:rPr>
          <w:rFonts w:asciiTheme="minorBidi" w:hAnsiTheme="minorBidi" w:cs="Arial" w:hint="cs"/>
          <w:rtl/>
        </w:rPr>
        <w:t>כ"ל</w:t>
      </w:r>
      <w:r w:rsidRPr="00DD3262">
        <w:rPr>
          <w:rFonts w:asciiTheme="minorBidi" w:hAnsiTheme="minorBidi" w:cs="Arial"/>
          <w:rtl/>
        </w:rPr>
        <w:t>. ומשמע דאפילו בנתבשל כל צרכו אסר דסתם קדרות כשמטמינין אותם בדבר שאינו מוסיף הבל כבר נתבשלו כל צרכן</w:t>
      </w:r>
      <w:r>
        <w:rPr>
          <w:rFonts w:asciiTheme="minorBidi" w:hAnsiTheme="minorBidi" w:cs="Arial" w:hint="cs"/>
          <w:rtl/>
        </w:rPr>
        <w:t>, ב"י</w:t>
      </w:r>
      <w:r w:rsidRPr="00DD3262">
        <w:rPr>
          <w:rFonts w:asciiTheme="minorBidi" w:hAnsiTheme="minorBidi" w:cs="Arial"/>
          <w:rtl/>
        </w:rPr>
        <w:t>.</w:t>
      </w:r>
    </w:p>
  </w:footnote>
  <w:footnote w:id="2709">
    <w:p w14:paraId="3E5D5946" w14:textId="26210E9D" w:rsidR="00E93EAC" w:rsidRDefault="00E93EAC" w:rsidP="00E93EAC">
      <w:pPr>
        <w:pStyle w:val="a7"/>
      </w:pPr>
      <w:r>
        <w:rPr>
          <w:rStyle w:val="a9"/>
        </w:rPr>
        <w:footnoteRef/>
      </w:r>
      <w:r>
        <w:rPr>
          <w:rtl/>
        </w:rPr>
        <w:t xml:space="preserve"> </w:t>
      </w:r>
      <w:r>
        <w:rPr>
          <w:rFonts w:asciiTheme="minorBidi" w:hAnsiTheme="minorBidi" w:cs="Arial" w:hint="cs"/>
          <w:rtl/>
        </w:rPr>
        <w:t xml:space="preserve">וז"ל- </w:t>
      </w:r>
      <w:r w:rsidRPr="006E6F6C">
        <w:rPr>
          <w:rFonts w:asciiTheme="minorBidi" w:hAnsiTheme="minorBidi" w:cs="Arial"/>
          <w:rtl/>
        </w:rPr>
        <w:t>למאי דפרשינן דלא שייך בישול בתבשיל שנתבשל לא תקשה הא דאמרינן לעיל בבמה מדליקין (לד</w:t>
      </w:r>
      <w:r>
        <w:rPr>
          <w:rFonts w:asciiTheme="minorBidi" w:hAnsiTheme="minorBidi" w:cs="Arial" w:hint="cs"/>
          <w:rtl/>
        </w:rPr>
        <w:t>.</w:t>
      </w:r>
      <w:r w:rsidRPr="006E6F6C">
        <w:rPr>
          <w:rFonts w:asciiTheme="minorBidi" w:hAnsiTheme="minorBidi" w:cs="Arial"/>
          <w:rtl/>
        </w:rPr>
        <w:t>) דאין טומנין בדבר שאינו מוסיף הבל משחשיכה גזירה שמא ירתיח. התם לאו משום בישול אלא משום שמא יחתה והאי דנקט הרתחה דבר הצריך להטמנה נקט</w:t>
      </w:r>
      <w:r>
        <w:rPr>
          <w:rFonts w:asciiTheme="minorBidi" w:hAnsiTheme="minorBidi" w:cs="Arial" w:hint="cs"/>
          <w:rtl/>
        </w:rPr>
        <w:t xml:space="preserve">. </w:t>
      </w:r>
      <w:r w:rsidRPr="00203C12">
        <w:rPr>
          <w:rFonts w:asciiTheme="minorBidi" w:hAnsiTheme="minorBidi" w:cs="Arial"/>
          <w:rtl/>
        </w:rPr>
        <w:t>ורש"י פירש לעיל גזירה שמא ירתיח קדירה שנצטננה כשירצה להטמינה</w:t>
      </w:r>
      <w:r w:rsidRPr="00203C12">
        <w:rPr>
          <w:rFonts w:asciiTheme="minorBidi" w:hAnsiTheme="minorBidi" w:cs="Arial" w:hint="cs"/>
          <w:rtl/>
        </w:rPr>
        <w:t>,</w:t>
      </w:r>
      <w:r w:rsidRPr="00203C12">
        <w:rPr>
          <w:rFonts w:asciiTheme="minorBidi" w:hAnsiTheme="minorBidi" w:cs="Arial"/>
          <w:rtl/>
        </w:rPr>
        <w:t xml:space="preserve"> וירתיחנה בתחלה באור ונמצא מבשל בשבת</w:t>
      </w:r>
      <w:r w:rsidRPr="00203C12">
        <w:rPr>
          <w:rFonts w:asciiTheme="minorBidi" w:hAnsiTheme="minorBidi" w:cs="Arial" w:hint="cs"/>
          <w:rtl/>
        </w:rPr>
        <w:t>.</w:t>
      </w:r>
      <w:r w:rsidRPr="00203C12">
        <w:rPr>
          <w:rFonts w:asciiTheme="minorBidi" w:hAnsiTheme="minorBidi" w:cs="Arial"/>
          <w:rtl/>
        </w:rPr>
        <w:t xml:space="preserve"> ופריך אי הכי בין השמשות נמי נגזר דהא שבות מעליא הוי דהא איכא גזירת איסור דאורייתא</w:t>
      </w:r>
      <w:r w:rsidRPr="00203C12">
        <w:rPr>
          <w:rFonts w:asciiTheme="minorBidi" w:hAnsiTheme="minorBidi" w:cs="Arial" w:hint="cs"/>
          <w:rtl/>
        </w:rPr>
        <w:t>.</w:t>
      </w:r>
      <w:r w:rsidRPr="00203C12">
        <w:rPr>
          <w:rFonts w:asciiTheme="minorBidi" w:hAnsiTheme="minorBidi" w:cs="Arial"/>
          <w:rtl/>
        </w:rPr>
        <w:t xml:space="preserve"> וכן לעיל בפרק קמא (יח</w:t>
      </w:r>
      <w:r w:rsidRPr="00203C12">
        <w:rPr>
          <w:rFonts w:asciiTheme="minorBidi" w:hAnsiTheme="minorBidi" w:cs="Arial" w:hint="cs"/>
          <w:rtl/>
        </w:rPr>
        <w:t>:</w:t>
      </w:r>
      <w:r w:rsidRPr="00203C12">
        <w:rPr>
          <w:rFonts w:asciiTheme="minorBidi" w:hAnsiTheme="minorBidi" w:cs="Arial"/>
          <w:rtl/>
        </w:rPr>
        <w:t>) גבי יורה עקורה דפריך והלא מגיס</w:t>
      </w:r>
      <w:r w:rsidRPr="00203C12">
        <w:rPr>
          <w:rFonts w:asciiTheme="minorBidi" w:hAnsiTheme="minorBidi" w:cs="Arial" w:hint="cs"/>
          <w:rtl/>
        </w:rPr>
        <w:t>,</w:t>
      </w:r>
      <w:r w:rsidRPr="00203C12">
        <w:rPr>
          <w:rFonts w:asciiTheme="minorBidi" w:hAnsiTheme="minorBidi" w:cs="Arial"/>
          <w:rtl/>
        </w:rPr>
        <w:t xml:space="preserve"> ופירש רש"י ובמבושל הוי בשול</w:t>
      </w:r>
      <w:r w:rsidRPr="00203C12">
        <w:rPr>
          <w:rFonts w:asciiTheme="minorBidi" w:hAnsiTheme="minorBidi" w:cs="Arial" w:hint="cs"/>
          <w:rtl/>
        </w:rPr>
        <w:t xml:space="preserve">. </w:t>
      </w:r>
      <w:r w:rsidRPr="00203C12">
        <w:rPr>
          <w:rFonts w:asciiTheme="minorBidi" w:hAnsiTheme="minorBidi" w:cs="Arial"/>
          <w:rtl/>
        </w:rPr>
        <w:t>מדבריו למדנו שאף בתבשיל שנתבשל ונצטנן שייך ביה בישול כיון שיש בו משקה</w:t>
      </w:r>
      <w:r w:rsidRPr="00203C12">
        <w:rPr>
          <w:rFonts w:asciiTheme="minorBidi" w:hAnsiTheme="minorBidi" w:cs="Arial" w:hint="cs"/>
          <w:rtl/>
        </w:rPr>
        <w:t>,</w:t>
      </w:r>
      <w:r w:rsidRPr="00203C12">
        <w:rPr>
          <w:rFonts w:asciiTheme="minorBidi" w:hAnsiTheme="minorBidi" w:cs="Arial"/>
          <w:rtl/>
        </w:rPr>
        <w:t xml:space="preserve"> והא דאמרינן כל שבא בחמין לפני השבת שורין אותו בחמין בשבת היינו דבר יבש כגון תרנגולתא דרבי אבא לקמן בפרק חבית (קמה</w:t>
      </w:r>
      <w:r w:rsidRPr="00203C12">
        <w:rPr>
          <w:rFonts w:asciiTheme="minorBidi" w:hAnsiTheme="minorBidi" w:cs="Arial" w:hint="cs"/>
          <w:rtl/>
        </w:rPr>
        <w:t>:</w:t>
      </w:r>
      <w:r w:rsidRPr="00203C12">
        <w:rPr>
          <w:rFonts w:asciiTheme="minorBidi" w:hAnsiTheme="minorBidi" w:cs="Arial"/>
          <w:rtl/>
        </w:rPr>
        <w:t>)</w:t>
      </w:r>
      <w:r w:rsidRPr="00203C12">
        <w:rPr>
          <w:rFonts w:asciiTheme="minorBidi" w:hAnsiTheme="minorBidi" w:cs="Arial" w:hint="cs"/>
          <w:rtl/>
        </w:rPr>
        <w:t>.</w:t>
      </w:r>
      <w:r w:rsidRPr="00203C12">
        <w:rPr>
          <w:rFonts w:asciiTheme="minorBidi" w:hAnsiTheme="minorBidi" w:cs="Arial"/>
          <w:rtl/>
        </w:rPr>
        <w:t xml:space="preserve"> ונראה לי להביא ראיה לדבריו מהא דתניא במסכת יום טוב בפרק המביא יין ת"ר אחד מביא האור ואחד מביא העצים ואחד שופת את הקדירה ואחד נותן לתוכה מים ואחד נותן לתוכה תבלין אחד מגיס בה כולן חייבין אע</w:t>
      </w:r>
      <w:r>
        <w:rPr>
          <w:rFonts w:asciiTheme="minorBidi" w:hAnsiTheme="minorBidi" w:cs="Arial" w:hint="cs"/>
          <w:rtl/>
        </w:rPr>
        <w:t>"</w:t>
      </w:r>
      <w:r w:rsidRPr="00203C12">
        <w:rPr>
          <w:rFonts w:asciiTheme="minorBidi" w:hAnsiTheme="minorBidi" w:cs="Arial"/>
          <w:rtl/>
        </w:rPr>
        <w:t>פ שאותו שנתן לתוכה מים נתחייב משום מבשל המגיס בה נמי חייב משום מבשל אלמא יש בישול אחר בישול ואע</w:t>
      </w:r>
      <w:r>
        <w:rPr>
          <w:rFonts w:asciiTheme="minorBidi" w:hAnsiTheme="minorBidi" w:cs="Arial" w:hint="cs"/>
          <w:rtl/>
        </w:rPr>
        <w:t>"</w:t>
      </w:r>
      <w:r w:rsidRPr="00203C12">
        <w:rPr>
          <w:rFonts w:asciiTheme="minorBidi" w:hAnsiTheme="minorBidi" w:cs="Arial"/>
          <w:rtl/>
        </w:rPr>
        <w:t>פ שהרתיח</w:t>
      </w:r>
      <w:r w:rsidRPr="00203C12">
        <w:rPr>
          <w:rFonts w:asciiTheme="minorBidi" w:hAnsiTheme="minorBidi" w:cs="Arial" w:hint="cs"/>
          <w:rtl/>
        </w:rPr>
        <w:t>.</w:t>
      </w:r>
      <w:r w:rsidRPr="00203C12">
        <w:rPr>
          <w:rFonts w:asciiTheme="minorBidi" w:hAnsiTheme="minorBidi" w:cs="Arial"/>
          <w:rtl/>
        </w:rPr>
        <w:t xml:space="preserve"> ואיכא למידחי דעד שלא נתבשל כמאכל בן דרוסאי כל המקרב בישולו חייב</w:t>
      </w:r>
      <w:r w:rsidRPr="00203C12">
        <w:rPr>
          <w:rFonts w:asciiTheme="minorBidi" w:hAnsiTheme="minorBidi" w:cs="Arial" w:hint="cs"/>
          <w:rtl/>
        </w:rPr>
        <w:t>,</w:t>
      </w:r>
      <w:r w:rsidRPr="00203C12">
        <w:rPr>
          <w:rFonts w:asciiTheme="minorBidi" w:hAnsiTheme="minorBidi" w:cs="Arial"/>
          <w:rtl/>
        </w:rPr>
        <w:t xml:space="preserve"> ואחר שנתבשל כמאכל בן דרוסאי אפשר דאין בישול אחר בישול</w:t>
      </w:r>
      <w:r w:rsidRPr="00203C12">
        <w:rPr>
          <w:rFonts w:asciiTheme="minorBidi" w:hAnsiTheme="minorBidi" w:cs="Arial" w:hint="cs"/>
          <w:rtl/>
        </w:rPr>
        <w:t>.</w:t>
      </w:r>
      <w:r w:rsidRPr="00203C12">
        <w:rPr>
          <w:rFonts w:asciiTheme="minorBidi" w:hAnsiTheme="minorBidi" w:cs="Arial"/>
          <w:rtl/>
        </w:rPr>
        <w:t xml:space="preserve"> ומסתברא דעד שלא הגיע למאכל בן דרוסאי כל המקרב בישולו</w:t>
      </w:r>
      <w:r w:rsidRPr="00203C12">
        <w:rPr>
          <w:rFonts w:asciiTheme="minorBidi" w:hAnsiTheme="minorBidi" w:cs="Arial" w:hint="cs"/>
          <w:rtl/>
        </w:rPr>
        <w:t xml:space="preserve"> -</w:t>
      </w:r>
      <w:r w:rsidRPr="00203C12">
        <w:rPr>
          <w:rFonts w:asciiTheme="minorBidi" w:hAnsiTheme="minorBidi" w:cs="Arial"/>
          <w:rtl/>
        </w:rPr>
        <w:t xml:space="preserve"> חייב</w:t>
      </w:r>
      <w:r w:rsidRPr="00203C12">
        <w:rPr>
          <w:rFonts w:asciiTheme="minorBidi" w:hAnsiTheme="minorBidi" w:cs="Arial" w:hint="cs"/>
          <w:rtl/>
        </w:rPr>
        <w:t>.</w:t>
      </w:r>
      <w:r w:rsidRPr="00203C12">
        <w:rPr>
          <w:rFonts w:asciiTheme="minorBidi" w:hAnsiTheme="minorBidi" w:cs="Arial"/>
          <w:rtl/>
        </w:rPr>
        <w:t xml:space="preserve"> ואחר שהגיע למאכל בן דרוסאי אם נצטנן והרתיחו </w:t>
      </w:r>
      <w:r w:rsidRPr="00203C12">
        <w:rPr>
          <w:rFonts w:asciiTheme="minorBidi" w:hAnsiTheme="minorBidi" w:cs="Arial" w:hint="cs"/>
          <w:rtl/>
        </w:rPr>
        <w:t xml:space="preserve">- </w:t>
      </w:r>
      <w:r w:rsidRPr="00203C12">
        <w:rPr>
          <w:rFonts w:asciiTheme="minorBidi" w:hAnsiTheme="minorBidi" w:cs="Arial"/>
          <w:rtl/>
        </w:rPr>
        <w:t>חייב</w:t>
      </w:r>
      <w:r w:rsidR="00890261">
        <w:rPr>
          <w:rFonts w:asciiTheme="minorBidi" w:hAnsiTheme="minorBidi" w:cs="Arial" w:hint="cs"/>
          <w:rtl/>
        </w:rPr>
        <w:t>,</w:t>
      </w:r>
      <w:r w:rsidR="00890261" w:rsidRPr="00890261">
        <w:rPr>
          <w:rFonts w:asciiTheme="minorBidi" w:hAnsiTheme="minorBidi" w:cs="Arial"/>
          <w:rtl/>
        </w:rPr>
        <w:t xml:space="preserve"> </w:t>
      </w:r>
      <w:r w:rsidR="00890261" w:rsidRPr="00203C12">
        <w:rPr>
          <w:rFonts w:asciiTheme="minorBidi" w:hAnsiTheme="minorBidi" w:cs="Arial"/>
          <w:rtl/>
        </w:rPr>
        <w:t>כדפי' רש"י לעיל גבי שמא ירתיח</w:t>
      </w:r>
      <w:r w:rsidR="00890261" w:rsidRPr="00203C12">
        <w:rPr>
          <w:rFonts w:asciiTheme="minorBidi" w:hAnsiTheme="minorBidi" w:cs="Arial" w:hint="cs"/>
          <w:rtl/>
        </w:rPr>
        <w:t>.</w:t>
      </w:r>
      <w:r w:rsidR="00890261" w:rsidRPr="00203C12">
        <w:rPr>
          <w:rFonts w:asciiTheme="minorBidi" w:hAnsiTheme="minorBidi" w:cs="Arial"/>
          <w:rtl/>
        </w:rPr>
        <w:t xml:space="preserve"> והא דפריך בפרק קמא והלא מגיס אפילו ביורה רותחת</w:t>
      </w:r>
      <w:r w:rsidR="00890261" w:rsidRPr="00203C12">
        <w:rPr>
          <w:rFonts w:asciiTheme="minorBidi" w:hAnsiTheme="minorBidi" w:cs="Arial" w:hint="cs"/>
          <w:rtl/>
        </w:rPr>
        <w:t>,</w:t>
      </w:r>
      <w:r w:rsidR="00890261" w:rsidRPr="00203C12">
        <w:rPr>
          <w:rFonts w:asciiTheme="minorBidi" w:hAnsiTheme="minorBidi" w:cs="Arial"/>
          <w:rtl/>
        </w:rPr>
        <w:t xml:space="preserve"> איכא למימר סמנין לצבוע בהן צריך בישול לעולם</w:t>
      </w:r>
      <w:r w:rsidR="00890261" w:rsidRPr="00203C12">
        <w:rPr>
          <w:rFonts w:asciiTheme="minorBidi" w:hAnsiTheme="minorBidi" w:cs="Arial" w:hint="cs"/>
          <w:rtl/>
        </w:rPr>
        <w:t>,</w:t>
      </w:r>
      <w:r w:rsidR="00890261" w:rsidRPr="00203C12">
        <w:rPr>
          <w:rFonts w:asciiTheme="minorBidi" w:hAnsiTheme="minorBidi" w:cs="Arial"/>
          <w:rtl/>
        </w:rPr>
        <w:t xml:space="preserve"> אי נמי לאו משום בישול פריך אלא משום צובע כשהוא מגיס מכניס הסממנין בצמר</w:t>
      </w:r>
      <w:r w:rsidR="00890261">
        <w:rPr>
          <w:rFonts w:hint="cs"/>
          <w:rtl/>
        </w:rPr>
        <w:t>.</w:t>
      </w:r>
    </w:p>
  </w:footnote>
  <w:footnote w:id="2710">
    <w:p w14:paraId="1E36A647" w14:textId="77777777" w:rsidR="00E93EAC" w:rsidRDefault="00E93EAC" w:rsidP="00E93EAC">
      <w:pPr>
        <w:pStyle w:val="a7"/>
      </w:pPr>
      <w:r>
        <w:rPr>
          <w:rStyle w:val="a9"/>
        </w:rPr>
        <w:footnoteRef/>
      </w:r>
      <w:r>
        <w:rPr>
          <w:rtl/>
        </w:rPr>
        <w:t xml:space="preserve"> </w:t>
      </w:r>
      <w:r>
        <w:rPr>
          <w:rFonts w:asciiTheme="minorBidi" w:hAnsiTheme="minorBidi" w:cs="Arial" w:hint="cs"/>
          <w:rtl/>
        </w:rPr>
        <w:t xml:space="preserve">וז"ל- </w:t>
      </w:r>
      <w:r w:rsidRPr="002065FF">
        <w:rPr>
          <w:rFonts w:asciiTheme="minorBidi" w:hAnsiTheme="minorBidi" w:cs="Arial"/>
          <w:rtl/>
        </w:rPr>
        <w:t>ה</w:t>
      </w:r>
      <w:r>
        <w:rPr>
          <w:rFonts w:asciiTheme="minorBidi" w:hAnsiTheme="minorBidi" w:cs="Arial" w:hint="cs"/>
          <w:rtl/>
        </w:rPr>
        <w:t>ני מילי</w:t>
      </w:r>
      <w:r w:rsidRPr="002065FF">
        <w:rPr>
          <w:rFonts w:asciiTheme="minorBidi" w:hAnsiTheme="minorBidi" w:cs="Arial"/>
          <w:rtl/>
        </w:rPr>
        <w:t xml:space="preserve"> שיש בישול אחר בישול</w:t>
      </w:r>
      <w:r>
        <w:rPr>
          <w:rFonts w:asciiTheme="minorBidi" w:hAnsiTheme="minorBidi" w:cs="Arial" w:hint="cs"/>
          <w:rtl/>
        </w:rPr>
        <w:t xml:space="preserve"> -</w:t>
      </w:r>
      <w:r w:rsidRPr="002065FF">
        <w:rPr>
          <w:rFonts w:asciiTheme="minorBidi" w:hAnsiTheme="minorBidi" w:cs="Arial"/>
          <w:rtl/>
        </w:rPr>
        <w:t xml:space="preserve"> בתבשיל שיש בו מרק</w:t>
      </w:r>
      <w:r>
        <w:rPr>
          <w:rFonts w:asciiTheme="minorBidi" w:hAnsiTheme="minorBidi" w:cs="Arial" w:hint="cs"/>
          <w:rtl/>
        </w:rPr>
        <w:t>.</w:t>
      </w:r>
      <w:r w:rsidRPr="002065FF">
        <w:rPr>
          <w:rFonts w:asciiTheme="minorBidi" w:hAnsiTheme="minorBidi" w:cs="Arial"/>
          <w:rtl/>
        </w:rPr>
        <w:t xml:space="preserve"> אבל דבר יבש שנתבשל כבר </w:t>
      </w:r>
      <w:r>
        <w:rPr>
          <w:rFonts w:asciiTheme="minorBidi" w:hAnsiTheme="minorBidi" w:cs="Arial" w:hint="cs"/>
          <w:rtl/>
        </w:rPr>
        <w:t xml:space="preserve">- </w:t>
      </w:r>
      <w:r w:rsidRPr="002065FF">
        <w:rPr>
          <w:rFonts w:asciiTheme="minorBidi" w:hAnsiTheme="minorBidi" w:cs="Arial"/>
          <w:rtl/>
        </w:rPr>
        <w:t>מותר לשרותו בחמין בשבת</w:t>
      </w:r>
      <w:r>
        <w:rPr>
          <w:rFonts w:asciiTheme="minorBidi" w:hAnsiTheme="minorBidi" w:cs="Arial" w:hint="cs"/>
          <w:rtl/>
        </w:rPr>
        <w:t>,</w:t>
      </w:r>
      <w:r w:rsidRPr="002065FF">
        <w:rPr>
          <w:rFonts w:asciiTheme="minorBidi" w:hAnsiTheme="minorBidi" w:cs="Arial"/>
          <w:rtl/>
        </w:rPr>
        <w:t xml:space="preserve"> דתנן כל שבא בחמין מלפני השבת</w:t>
      </w:r>
      <w:r>
        <w:rPr>
          <w:rFonts w:asciiTheme="minorBidi" w:hAnsiTheme="minorBidi" w:cs="Arial" w:hint="cs"/>
          <w:rtl/>
        </w:rPr>
        <w:t>,</w:t>
      </w:r>
      <w:r w:rsidRPr="002065FF">
        <w:rPr>
          <w:rFonts w:asciiTheme="minorBidi" w:hAnsiTheme="minorBidi" w:cs="Arial"/>
          <w:rtl/>
        </w:rPr>
        <w:t xml:space="preserve"> פי' שנתבשל כבר</w:t>
      </w:r>
      <w:r>
        <w:rPr>
          <w:rFonts w:asciiTheme="minorBidi" w:hAnsiTheme="minorBidi" w:cs="Arial" w:hint="cs"/>
          <w:rtl/>
        </w:rPr>
        <w:t>,</w:t>
      </w:r>
      <w:r w:rsidRPr="002065FF">
        <w:rPr>
          <w:rFonts w:asciiTheme="minorBidi" w:hAnsiTheme="minorBidi" w:cs="Arial"/>
          <w:rtl/>
        </w:rPr>
        <w:t xml:space="preserve"> שורין אותו בחמין</w:t>
      </w:r>
      <w:r>
        <w:rPr>
          <w:rFonts w:asciiTheme="minorBidi" w:hAnsiTheme="minorBidi" w:cs="Arial" w:hint="cs"/>
          <w:rtl/>
        </w:rPr>
        <w:t>,</w:t>
      </w:r>
      <w:r w:rsidRPr="002065FF">
        <w:rPr>
          <w:rFonts w:asciiTheme="minorBidi" w:hAnsiTheme="minorBidi" w:cs="Arial"/>
          <w:rtl/>
        </w:rPr>
        <w:t xml:space="preserve"> ומוקי לה בתרנגולת דר' אבא שנתבשלה כל צורכה והיתה יבשה</w:t>
      </w:r>
      <w:r>
        <w:rPr>
          <w:rFonts w:asciiTheme="minorBidi" w:hAnsiTheme="minorBidi" w:cs="Arial" w:hint="cs"/>
          <w:rtl/>
        </w:rPr>
        <w:t>.</w:t>
      </w:r>
    </w:p>
  </w:footnote>
  <w:footnote w:id="2711">
    <w:p w14:paraId="70790A84" w14:textId="5843F86C" w:rsidR="006A1D13" w:rsidRDefault="006A1D13">
      <w:pPr>
        <w:pStyle w:val="a7"/>
      </w:pPr>
      <w:r>
        <w:rPr>
          <w:rStyle w:val="a9"/>
        </w:rPr>
        <w:footnoteRef/>
      </w:r>
      <w:r>
        <w:rPr>
          <w:rtl/>
        </w:rPr>
        <w:t xml:space="preserve"> </w:t>
      </w:r>
      <w:r w:rsidRPr="00DD3262">
        <w:rPr>
          <w:rFonts w:asciiTheme="minorBidi" w:hAnsiTheme="minorBidi" w:cs="Arial"/>
          <w:rtl/>
        </w:rPr>
        <w:t>ומשמע דאפילו בנתבשל כל צרכו אסר</w:t>
      </w:r>
      <w:r>
        <w:rPr>
          <w:rFonts w:asciiTheme="minorBidi" w:hAnsiTheme="minorBidi" w:cs="Arial" w:hint="cs"/>
          <w:sz w:val="16"/>
          <w:szCs w:val="16"/>
          <w:rtl/>
        </w:rPr>
        <w:t xml:space="preserve"> {הסמ"ק} </w:t>
      </w:r>
      <w:r w:rsidRPr="00DD3262">
        <w:rPr>
          <w:rFonts w:asciiTheme="minorBidi" w:hAnsiTheme="minorBidi" w:cs="Arial"/>
          <w:rtl/>
        </w:rPr>
        <w:t>דסתם קדרות כשמטמינין אותם בדבר שאינו מוסיף הבל כבר נתבשלו כל צרכן</w:t>
      </w:r>
      <w:r>
        <w:rPr>
          <w:rFonts w:asciiTheme="minorBidi" w:hAnsiTheme="minorBidi" w:cs="Arial" w:hint="cs"/>
          <w:rtl/>
        </w:rPr>
        <w:t>,</w:t>
      </w:r>
      <w:r w:rsidRPr="00DD3262">
        <w:rPr>
          <w:rFonts w:asciiTheme="minorBidi" w:hAnsiTheme="minorBidi" w:cs="Arial"/>
          <w:rtl/>
        </w:rPr>
        <w:t xml:space="preserve"> וכ</w:t>
      </w:r>
      <w:r>
        <w:rPr>
          <w:rFonts w:asciiTheme="minorBidi" w:hAnsiTheme="minorBidi" w:cs="Arial" w:hint="cs"/>
          <w:rtl/>
        </w:rPr>
        <w:t>"</w:t>
      </w:r>
      <w:r w:rsidRPr="00DD3262">
        <w:rPr>
          <w:rFonts w:asciiTheme="minorBidi" w:hAnsiTheme="minorBidi" w:cs="Arial"/>
          <w:rtl/>
        </w:rPr>
        <w:t>כ</w:t>
      </w:r>
      <w:r>
        <w:rPr>
          <w:rFonts w:asciiTheme="minorBidi" w:hAnsiTheme="minorBidi" w:cs="Arial" w:hint="cs"/>
          <w:rtl/>
        </w:rPr>
        <w:t xml:space="preserve"> </w:t>
      </w:r>
      <w:r w:rsidRPr="00DD3262">
        <w:rPr>
          <w:rFonts w:asciiTheme="minorBidi" w:hAnsiTheme="minorBidi" w:cs="Arial"/>
          <w:rtl/>
        </w:rPr>
        <w:t xml:space="preserve">רבינו ירוחם </w:t>
      </w:r>
      <w:r>
        <w:rPr>
          <w:rFonts w:asciiTheme="minorBidi" w:hAnsiTheme="minorBidi" w:cs="Arial" w:hint="cs"/>
          <w:rtl/>
        </w:rPr>
        <w:t>(</w:t>
      </w:r>
      <w:r w:rsidRPr="00DD3262">
        <w:rPr>
          <w:rFonts w:asciiTheme="minorBidi" w:hAnsiTheme="minorBidi" w:cs="Arial"/>
          <w:rtl/>
        </w:rPr>
        <w:t>ח</w:t>
      </w:r>
      <w:r>
        <w:rPr>
          <w:rFonts w:asciiTheme="minorBidi" w:hAnsiTheme="minorBidi" w:cs="Arial" w:hint="cs"/>
          <w:rtl/>
        </w:rPr>
        <w:t>"</w:t>
      </w:r>
      <w:r w:rsidRPr="00DD3262">
        <w:rPr>
          <w:rFonts w:asciiTheme="minorBidi" w:hAnsiTheme="minorBidi" w:cs="Arial"/>
          <w:rtl/>
        </w:rPr>
        <w:t>ג ני</w:t>
      </w:r>
      <w:r>
        <w:rPr>
          <w:rFonts w:asciiTheme="minorBidi" w:hAnsiTheme="minorBidi" w:cs="Arial" w:hint="cs"/>
          <w:rtl/>
        </w:rPr>
        <w:t>"</w:t>
      </w:r>
      <w:r w:rsidRPr="00DD3262">
        <w:rPr>
          <w:rFonts w:asciiTheme="minorBidi" w:hAnsiTheme="minorBidi" w:cs="Arial"/>
          <w:rtl/>
        </w:rPr>
        <w:t>ב סט ע"ג)</w:t>
      </w:r>
      <w:r>
        <w:rPr>
          <w:rFonts w:asciiTheme="minorBidi" w:hAnsiTheme="minorBidi" w:cs="Arial" w:hint="cs"/>
          <w:rtl/>
        </w:rPr>
        <w:t>, ב"י.</w:t>
      </w:r>
    </w:p>
  </w:footnote>
  <w:footnote w:id="2712">
    <w:p w14:paraId="3B04F616" w14:textId="77777777" w:rsidR="00925DB8" w:rsidRDefault="00925DB8" w:rsidP="00925DB8">
      <w:pPr>
        <w:pStyle w:val="a7"/>
      </w:pPr>
      <w:r>
        <w:rPr>
          <w:rStyle w:val="a9"/>
        </w:rPr>
        <w:footnoteRef/>
      </w:r>
      <w:r>
        <w:rPr>
          <w:rtl/>
        </w:rPr>
        <w:t xml:space="preserve"> </w:t>
      </w:r>
      <w:r w:rsidRPr="00DD3262">
        <w:rPr>
          <w:rFonts w:asciiTheme="minorBidi" w:hAnsiTheme="minorBidi" w:cs="Arial"/>
          <w:rtl/>
        </w:rPr>
        <w:t>ו</w:t>
      </w:r>
      <w:r>
        <w:rPr>
          <w:rFonts w:asciiTheme="minorBidi" w:hAnsiTheme="minorBidi" w:cs="Arial" w:hint="cs"/>
          <w:rtl/>
        </w:rPr>
        <w:t>ז"ל-</w:t>
      </w:r>
      <w:r w:rsidRPr="00DD3262">
        <w:rPr>
          <w:rFonts w:asciiTheme="minorBidi" w:hAnsiTheme="minorBidi" w:cs="Arial"/>
          <w:rtl/>
        </w:rPr>
        <w:t xml:space="preserve"> וכל זה שאמרנו שמחזירין דוקא שהגיע למאכל בן דרוסאי ואפילו הגיע אם שהה בעודה בידו עד שנצטנן התבשיל אסור להחזירה אם יש בה רוטב דכל דבר שיש בו רוטב ומצטמק ויפה לו והוא צונן כשהחזירו על גבי כירה ומצטמק הוי מבשל גמור.</w:t>
      </w:r>
    </w:p>
  </w:footnote>
  <w:footnote w:id="2713">
    <w:p w14:paraId="2F514EAF" w14:textId="1D298FBF" w:rsidR="00925DB8" w:rsidRDefault="00925DB8">
      <w:pPr>
        <w:pStyle w:val="a7"/>
      </w:pPr>
      <w:r>
        <w:rPr>
          <w:rStyle w:val="a9"/>
        </w:rPr>
        <w:footnoteRef/>
      </w:r>
      <w:r>
        <w:rPr>
          <w:rtl/>
        </w:rPr>
        <w:t xml:space="preserve"> </w:t>
      </w:r>
      <w:r>
        <w:rPr>
          <w:rFonts w:cs="Arial" w:hint="cs"/>
          <w:rtl/>
        </w:rPr>
        <w:t xml:space="preserve">וז"ל- </w:t>
      </w:r>
      <w:r w:rsidRPr="00925DB8">
        <w:rPr>
          <w:rFonts w:cs="Arial"/>
          <w:rtl/>
        </w:rPr>
        <w:t>ומכשלה גדולה תחת יד קצת העם שטומנין קומקום של מים חמין ליתן לתוך הקדרה בשבת כשהתבשיל מצטמק ופעמים שהאחד אין יד סולדת בו והאחר יד סולדת בו ומתבשל זה בזה ונמצאו מבשלין בשבת ואפילו אם שניהם יד סולדת בהם איכא מאן דאמר בירושלמי עירוי אינה ככלי ראשון וכשמערין המים לאלתר שיצאו מן הכלי אף על פי שהן רותחין פסק כח רתיחתן מלבשל כדין כלי שני שאינו מבשל ומתבשלין בתוך כלי ראשון ומים מבושלין אם פסקה רתיחתן יש בהן משום בישול אלו דבריו</w:t>
      </w:r>
      <w:r>
        <w:rPr>
          <w:rFonts w:cs="Arial" w:hint="cs"/>
          <w:rtl/>
        </w:rPr>
        <w:t>.</w:t>
      </w:r>
    </w:p>
  </w:footnote>
  <w:footnote w:id="2714">
    <w:p w14:paraId="101D25EF" w14:textId="18F4BA3F" w:rsidR="00050440" w:rsidRDefault="00050440">
      <w:pPr>
        <w:pStyle w:val="a7"/>
      </w:pPr>
      <w:r>
        <w:rPr>
          <w:rStyle w:val="a9"/>
        </w:rPr>
        <w:footnoteRef/>
      </w:r>
      <w:r>
        <w:rPr>
          <w:rtl/>
        </w:rPr>
        <w:t xml:space="preserve"> </w:t>
      </w:r>
      <w:r w:rsidRPr="00DD3262">
        <w:rPr>
          <w:rFonts w:asciiTheme="minorBidi" w:hAnsiTheme="minorBidi" w:cs="Arial"/>
          <w:rtl/>
        </w:rPr>
        <w:t>ולמדנו מדבריו דאם מצטמק ורע לו אע</w:t>
      </w:r>
      <w:r>
        <w:rPr>
          <w:rFonts w:asciiTheme="minorBidi" w:hAnsiTheme="minorBidi" w:cs="Arial" w:hint="cs"/>
          <w:rtl/>
        </w:rPr>
        <w:t>"</w:t>
      </w:r>
      <w:r w:rsidRPr="00DD3262">
        <w:rPr>
          <w:rFonts w:asciiTheme="minorBidi" w:hAnsiTheme="minorBidi" w:cs="Arial"/>
          <w:rtl/>
        </w:rPr>
        <w:t xml:space="preserve">פ שיש בו מרק </w:t>
      </w:r>
      <w:r>
        <w:rPr>
          <w:rFonts w:asciiTheme="minorBidi" w:hAnsiTheme="minorBidi" w:cs="Arial" w:hint="cs"/>
          <w:rtl/>
        </w:rPr>
        <w:t xml:space="preserve">- </w:t>
      </w:r>
      <w:r w:rsidRPr="00DD3262">
        <w:rPr>
          <w:rFonts w:asciiTheme="minorBidi" w:hAnsiTheme="minorBidi" w:cs="Arial"/>
          <w:rtl/>
        </w:rPr>
        <w:t>אין בו משום בישול ושרי ליתנו אצל המדורה אפילו במקום שהיד סולדת בו</w:t>
      </w:r>
      <w:r>
        <w:rPr>
          <w:rFonts w:asciiTheme="minorBidi" w:hAnsiTheme="minorBidi" w:cs="Arial" w:hint="cs"/>
          <w:rtl/>
        </w:rPr>
        <w:t>, ב"י</w:t>
      </w:r>
      <w:r w:rsidRPr="00DD3262">
        <w:rPr>
          <w:rFonts w:asciiTheme="minorBidi" w:hAnsiTheme="minorBidi" w:cs="Arial"/>
          <w:rtl/>
        </w:rPr>
        <w:t>.</w:t>
      </w:r>
    </w:p>
  </w:footnote>
  <w:footnote w:id="2715">
    <w:p w14:paraId="68414C59" w14:textId="18CEE1AC" w:rsidR="00CA64CE" w:rsidRDefault="00CA64CE" w:rsidP="00CA64CE">
      <w:pPr>
        <w:pStyle w:val="a7"/>
        <w:rPr>
          <w:rtl/>
        </w:rPr>
      </w:pPr>
      <w:r>
        <w:rPr>
          <w:rStyle w:val="a9"/>
        </w:rPr>
        <w:footnoteRef/>
      </w:r>
      <w:r>
        <w:rPr>
          <w:rtl/>
        </w:rPr>
        <w:t xml:space="preserve"> </w:t>
      </w:r>
      <w:r>
        <w:rPr>
          <w:rFonts w:cs="Arial" w:hint="cs"/>
          <w:rtl/>
        </w:rPr>
        <w:t xml:space="preserve">וז"ל- </w:t>
      </w:r>
      <w:r w:rsidRPr="002E27EA">
        <w:rPr>
          <w:rFonts w:asciiTheme="minorBidi" w:hAnsiTheme="minorBidi" w:cs="Arial"/>
          <w:rtl/>
        </w:rPr>
        <w:t>המבשל על האור דבר שהיה מבושל כל צרכו</w:t>
      </w:r>
      <w:r>
        <w:rPr>
          <w:rFonts w:asciiTheme="minorBidi" w:hAnsiTheme="minorBidi" w:cs="Arial" w:hint="cs"/>
          <w:rtl/>
        </w:rPr>
        <w:t>,</w:t>
      </w:r>
      <w:r w:rsidRPr="002E27EA">
        <w:rPr>
          <w:rFonts w:asciiTheme="minorBidi" w:hAnsiTheme="minorBidi" w:cs="Arial"/>
          <w:rtl/>
        </w:rPr>
        <w:t xml:space="preserve"> או דבר שאינו צריך בישול כלל </w:t>
      </w:r>
      <w:r>
        <w:rPr>
          <w:rFonts w:asciiTheme="minorBidi" w:hAnsiTheme="minorBidi" w:cs="Arial" w:hint="cs"/>
          <w:rtl/>
        </w:rPr>
        <w:t xml:space="preserve">- </w:t>
      </w:r>
      <w:r w:rsidRPr="002E27EA">
        <w:rPr>
          <w:rFonts w:asciiTheme="minorBidi" w:hAnsiTheme="minorBidi" w:cs="Arial"/>
          <w:rtl/>
        </w:rPr>
        <w:t>פטור</w:t>
      </w:r>
      <w:r>
        <w:rPr>
          <w:rFonts w:cs="Arial" w:hint="cs"/>
          <w:rtl/>
        </w:rPr>
        <w:t xml:space="preserve">. עכ"ל. </w:t>
      </w:r>
      <w:r w:rsidR="00E86453">
        <w:rPr>
          <w:rFonts w:cs="Arial" w:hint="cs"/>
          <w:rtl/>
        </w:rPr>
        <w:t xml:space="preserve">    </w:t>
      </w:r>
      <w:r>
        <w:rPr>
          <w:rFonts w:cs="Arial" w:hint="cs"/>
          <w:rtl/>
        </w:rPr>
        <w:t>וכתב הה"מ-</w:t>
      </w:r>
      <w:r w:rsidRPr="007B5DAF">
        <w:rPr>
          <w:rFonts w:cs="Arial"/>
          <w:rtl/>
        </w:rPr>
        <w:t xml:space="preserve"> פרק חבית (קמה:) במשנה כל שבא בחמין מלפני השבת שורין אותו בחמין בשבת</w:t>
      </w:r>
      <w:r>
        <w:rPr>
          <w:rFonts w:cs="Arial" w:hint="cs"/>
          <w:rtl/>
        </w:rPr>
        <w:t>.</w:t>
      </w:r>
      <w:r w:rsidRPr="007B5DAF">
        <w:rPr>
          <w:rFonts w:cs="Arial"/>
          <w:rtl/>
        </w:rPr>
        <w:t xml:space="preserve"> ואמרו בגמ' כגון מאי אמר רב ספרא כגון תרנגולתיה דר' אבא. ופי' כגון מאי הוא מבושל כל צרכו בביאה בחמין מלפני השבת כדי שיהא מותר לשהותו בחמין בשבת</w:t>
      </w:r>
      <w:r>
        <w:rPr>
          <w:rFonts w:cs="Arial" w:hint="cs"/>
          <w:rtl/>
        </w:rPr>
        <w:t>,</w:t>
      </w:r>
      <w:r w:rsidRPr="007B5DAF">
        <w:rPr>
          <w:rFonts w:cs="Arial"/>
          <w:rtl/>
        </w:rPr>
        <w:t xml:space="preserve"> כגון תרנגולתיה דר' אבא שהיתה מלוחה ביותר והיה די לה בביאה בחמין</w:t>
      </w:r>
      <w:r>
        <w:rPr>
          <w:rFonts w:cs="Arial" w:hint="cs"/>
          <w:rtl/>
        </w:rPr>
        <w:t>.</w:t>
      </w:r>
      <w:r w:rsidRPr="007B5DAF">
        <w:rPr>
          <w:rFonts w:cs="Arial"/>
          <w:rtl/>
        </w:rPr>
        <w:t xml:space="preserve"> ומכאן שהמבשל דבר המבושל אפילו באור ממש פטור</w:t>
      </w:r>
      <w:r>
        <w:rPr>
          <w:rFonts w:cs="Arial" w:hint="cs"/>
          <w:rtl/>
        </w:rPr>
        <w:t>,</w:t>
      </w:r>
      <w:r w:rsidRPr="007B5DAF">
        <w:rPr>
          <w:rFonts w:cs="Arial"/>
          <w:rtl/>
        </w:rPr>
        <w:t xml:space="preserve"> שאם היה בו משום בשול אפילו בחמי האור</w:t>
      </w:r>
      <w:r>
        <w:rPr>
          <w:rFonts w:cs="Arial" w:hint="cs"/>
          <w:sz w:val="16"/>
          <w:szCs w:val="16"/>
          <w:rtl/>
        </w:rPr>
        <w:t xml:space="preserve"> {היינו תולדות האור}</w:t>
      </w:r>
      <w:r w:rsidRPr="007B5DAF">
        <w:rPr>
          <w:rFonts w:cs="Arial"/>
          <w:rtl/>
        </w:rPr>
        <w:t xml:space="preserve"> היה חייב.</w:t>
      </w:r>
      <w:r>
        <w:rPr>
          <w:rFonts w:cs="Arial" w:hint="cs"/>
          <w:rtl/>
        </w:rPr>
        <w:t>..</w:t>
      </w:r>
      <w:r w:rsidRPr="007B5DAF">
        <w:rPr>
          <w:rFonts w:cs="Arial"/>
          <w:rtl/>
        </w:rPr>
        <w:t xml:space="preserve"> ומ"מ באור ממש אסור וזה נלמד מדין חזרת מצטמק ורע לו כנזכר פ"ג ופשוט הוא. ומה שכתב </w:t>
      </w:r>
      <w:r>
        <w:rPr>
          <w:rFonts w:cs="Arial" w:hint="cs"/>
          <w:rtl/>
        </w:rPr>
        <w:t>"</w:t>
      </w:r>
      <w:r w:rsidRPr="007B5DAF">
        <w:rPr>
          <w:rFonts w:cs="Arial"/>
          <w:rtl/>
        </w:rPr>
        <w:t>וכן דבר שאינו צריך בישול</w:t>
      </w:r>
      <w:r>
        <w:rPr>
          <w:rFonts w:cs="Arial" w:hint="cs"/>
          <w:rtl/>
        </w:rPr>
        <w:t>"</w:t>
      </w:r>
      <w:r w:rsidRPr="007B5DAF">
        <w:rPr>
          <w:rFonts w:cs="Arial"/>
          <w:rtl/>
        </w:rPr>
        <w:t xml:space="preserve"> פשוט הוא ונלמד ממה שנחלקו פרק כירה (מב</w:t>
      </w:r>
      <w:r>
        <w:rPr>
          <w:rFonts w:cs="Arial" w:hint="cs"/>
          <w:rtl/>
        </w:rPr>
        <w:t>.</w:t>
      </w:r>
      <w:r w:rsidRPr="007B5DAF">
        <w:rPr>
          <w:rFonts w:cs="Arial"/>
          <w:rtl/>
        </w:rPr>
        <w:t>) שמן אם יש בו משום בשול אם לאו</w:t>
      </w:r>
      <w:r>
        <w:rPr>
          <w:rFonts w:cs="Arial" w:hint="cs"/>
          <w:rtl/>
        </w:rPr>
        <w:t>,</w:t>
      </w:r>
      <w:r w:rsidRPr="007B5DAF">
        <w:rPr>
          <w:rFonts w:cs="Arial"/>
          <w:rtl/>
        </w:rPr>
        <w:t xml:space="preserve"> מכאן שדבר שאינו צריך בשול אין בו בשול לדברי הכל</w:t>
      </w:r>
      <w:r>
        <w:rPr>
          <w:rFonts w:hint="cs"/>
          <w:rtl/>
        </w:rPr>
        <w:t>, הה"מ (שם).</w:t>
      </w:r>
    </w:p>
  </w:footnote>
  <w:footnote w:id="2716">
    <w:p w14:paraId="31EDB052" w14:textId="7BA2BE57" w:rsidR="00E86453" w:rsidRDefault="00E86453" w:rsidP="00E86453">
      <w:pPr>
        <w:pStyle w:val="a7"/>
      </w:pPr>
      <w:r>
        <w:rPr>
          <w:rStyle w:val="a9"/>
        </w:rPr>
        <w:footnoteRef/>
      </w:r>
      <w:r>
        <w:rPr>
          <w:rtl/>
        </w:rPr>
        <w:t xml:space="preserve"> </w:t>
      </w:r>
      <w:r>
        <w:rPr>
          <w:rFonts w:asciiTheme="minorBidi" w:hAnsiTheme="minorBidi" w:cs="Arial" w:hint="cs"/>
          <w:rtl/>
        </w:rPr>
        <w:t xml:space="preserve">וז"ל- </w:t>
      </w:r>
      <w:r w:rsidRPr="006C7C72">
        <w:rPr>
          <w:rFonts w:asciiTheme="minorBidi" w:hAnsiTheme="minorBidi" w:cs="Arial"/>
          <w:rtl/>
        </w:rPr>
        <w:t>כיון שהגיע למאכל בן דרוסאי תו ליכא משום מבשל</w:t>
      </w:r>
      <w:r>
        <w:rPr>
          <w:rFonts w:asciiTheme="minorBidi" w:hAnsiTheme="minorBidi" w:cs="Arial" w:hint="cs"/>
          <w:rtl/>
        </w:rPr>
        <w:t>.</w:t>
      </w:r>
      <w:r w:rsidRPr="006C7C72">
        <w:rPr>
          <w:rFonts w:asciiTheme="minorBidi" w:hAnsiTheme="minorBidi" w:cs="Arial"/>
          <w:rtl/>
        </w:rPr>
        <w:t xml:space="preserve"> וכענין שאמרו בפרק כירה (מ</w:t>
      </w:r>
      <w:r>
        <w:rPr>
          <w:rFonts w:asciiTheme="minorBidi" w:hAnsiTheme="minorBidi" w:cs="Arial" w:hint="cs"/>
          <w:rtl/>
        </w:rPr>
        <w:t>:</w:t>
      </w:r>
      <w:r w:rsidRPr="006C7C72">
        <w:rPr>
          <w:rFonts w:asciiTheme="minorBidi" w:hAnsiTheme="minorBidi" w:cs="Arial"/>
          <w:rtl/>
        </w:rPr>
        <w:t>) בשמן למאן דאמר שמן אין בו משום בישול שמותר לתת אותו אפילו במקום שהיד סולדת בו</w:t>
      </w:r>
      <w:r>
        <w:rPr>
          <w:rFonts w:asciiTheme="minorBidi" w:hAnsiTheme="minorBidi" w:cs="Arial" w:hint="cs"/>
          <w:rtl/>
        </w:rPr>
        <w:t xml:space="preserve">. עכ"ל.   </w:t>
      </w:r>
      <w:r w:rsidRPr="00DD3262">
        <w:rPr>
          <w:rFonts w:asciiTheme="minorBidi" w:hAnsiTheme="minorBidi" w:cs="Arial"/>
          <w:rtl/>
        </w:rPr>
        <w:t xml:space="preserve"> ונראה דלפי דבריהם</w:t>
      </w:r>
      <w:r>
        <w:rPr>
          <w:rFonts w:asciiTheme="minorBidi" w:hAnsiTheme="minorBidi" w:cs="Arial" w:hint="cs"/>
          <w:sz w:val="16"/>
          <w:szCs w:val="16"/>
          <w:rtl/>
        </w:rPr>
        <w:t xml:space="preserve"> {של הרשב"א</w:t>
      </w:r>
      <w:r w:rsidR="000D6C18">
        <w:rPr>
          <w:rFonts w:asciiTheme="minorBidi" w:hAnsiTheme="minorBidi" w:cs="Arial" w:hint="cs"/>
          <w:sz w:val="16"/>
          <w:szCs w:val="16"/>
          <w:rtl/>
        </w:rPr>
        <w:t>, וכתב הה"מ [שם] שכן דעת</w:t>
      </w:r>
      <w:r>
        <w:rPr>
          <w:rFonts w:asciiTheme="minorBidi" w:hAnsiTheme="minorBidi" w:cs="Arial" w:hint="cs"/>
          <w:sz w:val="16"/>
          <w:szCs w:val="16"/>
          <w:rtl/>
        </w:rPr>
        <w:t xml:space="preserve"> קצת מן המפרשים}</w:t>
      </w:r>
      <w:r w:rsidRPr="00DD3262">
        <w:rPr>
          <w:rFonts w:asciiTheme="minorBidi" w:hAnsiTheme="minorBidi" w:cs="Arial"/>
          <w:rtl/>
        </w:rPr>
        <w:t xml:space="preserve"> כל שנתבשל כמאכל בן דרוסאי</w:t>
      </w:r>
      <w:r>
        <w:rPr>
          <w:rFonts w:asciiTheme="minorBidi" w:hAnsiTheme="minorBidi" w:cs="Arial" w:hint="cs"/>
          <w:rtl/>
        </w:rPr>
        <w:t xml:space="preserve"> -</w:t>
      </w:r>
      <w:r w:rsidRPr="00DD3262">
        <w:rPr>
          <w:rFonts w:asciiTheme="minorBidi" w:hAnsiTheme="minorBidi" w:cs="Arial"/>
          <w:rtl/>
        </w:rPr>
        <w:t xml:space="preserve"> מותר לשרותו בחמין בשבת</w:t>
      </w:r>
      <w:r>
        <w:rPr>
          <w:rFonts w:asciiTheme="minorBidi" w:hAnsiTheme="minorBidi" w:cs="Arial" w:hint="cs"/>
          <w:rtl/>
        </w:rPr>
        <w:t>,</w:t>
      </w:r>
      <w:r w:rsidRPr="00DD3262">
        <w:rPr>
          <w:rFonts w:asciiTheme="minorBidi" w:hAnsiTheme="minorBidi" w:cs="Arial"/>
          <w:rtl/>
        </w:rPr>
        <w:t xml:space="preserve"> כיון שכשמבשלו על האור ליכא חיובא</w:t>
      </w:r>
      <w:r>
        <w:rPr>
          <w:rFonts w:asciiTheme="minorBidi" w:hAnsiTheme="minorBidi" w:cs="Arial" w:hint="cs"/>
          <w:rtl/>
        </w:rPr>
        <w:t>.</w:t>
      </w:r>
      <w:r w:rsidRPr="00DD3262">
        <w:rPr>
          <w:rFonts w:asciiTheme="minorBidi" w:hAnsiTheme="minorBidi" w:cs="Arial"/>
          <w:rtl/>
        </w:rPr>
        <w:t xml:space="preserve"> אבל לדעת הרמב"ם כל שלא נתבשל כל צרכו אם שורה אותו בחמין בשבת חייב חטאת כמבשל באור עצמה</w:t>
      </w:r>
      <w:r>
        <w:rPr>
          <w:rFonts w:asciiTheme="minorBidi" w:hAnsiTheme="minorBidi" w:cs="Arial" w:hint="cs"/>
          <w:rtl/>
        </w:rPr>
        <w:t>.</w:t>
      </w:r>
      <w:r w:rsidRPr="0080099F">
        <w:rPr>
          <w:rFonts w:asciiTheme="minorBidi" w:hAnsiTheme="minorBidi" w:cs="Arial"/>
          <w:rtl/>
        </w:rPr>
        <w:t xml:space="preserve"> </w:t>
      </w:r>
      <w:r w:rsidRPr="00DD3262">
        <w:rPr>
          <w:rFonts w:asciiTheme="minorBidi" w:hAnsiTheme="minorBidi" w:cs="Arial"/>
          <w:rtl/>
        </w:rPr>
        <w:t xml:space="preserve">ומכל מקום לא חילקו </w:t>
      </w:r>
      <w:r>
        <w:rPr>
          <w:rFonts w:asciiTheme="minorBidi" w:hAnsiTheme="minorBidi" w:cs="Arial" w:hint="cs"/>
          <w:sz w:val="16"/>
          <w:szCs w:val="16"/>
          <w:rtl/>
        </w:rPr>
        <w:t xml:space="preserve">{הרשב"א והרמב"ם} </w:t>
      </w:r>
      <w:r w:rsidRPr="00DD3262">
        <w:rPr>
          <w:rFonts w:asciiTheme="minorBidi" w:hAnsiTheme="minorBidi" w:cs="Arial"/>
          <w:rtl/>
        </w:rPr>
        <w:t>בין תבשיל שיש בו מרק ליבש. וגם בפכ"ב (ה"ד) כתב הרב המגיד בשם הרשב"א (מ: ד"ה מביא) דלדברי הכל תבשיל שנתבשל מערב שבת ונצטנן מותר לחממו כנגד המדורה אפילו במקום שהיד סולדת בו</w:t>
      </w:r>
      <w:r>
        <w:rPr>
          <w:rFonts w:asciiTheme="minorBidi" w:hAnsiTheme="minorBidi" w:cs="Arial" w:hint="cs"/>
          <w:rtl/>
        </w:rPr>
        <w:t>,</w:t>
      </w:r>
      <w:r w:rsidRPr="00DD3262">
        <w:rPr>
          <w:rFonts w:asciiTheme="minorBidi" w:hAnsiTheme="minorBidi" w:cs="Arial"/>
          <w:rtl/>
        </w:rPr>
        <w:t xml:space="preserve"> והוא שלא יתן על גבי המדורה או על גבי כירה. ע</w:t>
      </w:r>
      <w:r>
        <w:rPr>
          <w:rFonts w:asciiTheme="minorBidi" w:hAnsiTheme="minorBidi" w:cs="Arial" w:hint="cs"/>
          <w:rtl/>
        </w:rPr>
        <w:t>כ"ל</w:t>
      </w:r>
      <w:r w:rsidRPr="00DD3262">
        <w:rPr>
          <w:rFonts w:asciiTheme="minorBidi" w:hAnsiTheme="minorBidi" w:cs="Arial"/>
          <w:rtl/>
        </w:rPr>
        <w:t>. ולא חילק בין יש בו מרק לאין בו אלמא בכל גוונא שרי לתתו כנגד המדורה במקום שהיד סולדת</w:t>
      </w:r>
      <w:r>
        <w:rPr>
          <w:rFonts w:asciiTheme="minorBidi" w:hAnsiTheme="minorBidi" w:cs="Arial" w:hint="cs"/>
          <w:rtl/>
        </w:rPr>
        <w:t>.</w:t>
      </w:r>
      <w:r w:rsidRPr="00DD3262">
        <w:rPr>
          <w:rFonts w:asciiTheme="minorBidi" w:hAnsiTheme="minorBidi" w:cs="Arial"/>
          <w:rtl/>
        </w:rPr>
        <w:t xml:space="preserve"> ואם כן מתניתין דכל שבא בחמין מלפני השבת אפילו ביש בה מרק נמי היא</w:t>
      </w:r>
      <w:r>
        <w:rPr>
          <w:rFonts w:asciiTheme="minorBidi" w:hAnsiTheme="minorBidi" w:cs="Arial" w:hint="cs"/>
          <w:rtl/>
        </w:rPr>
        <w:t>,</w:t>
      </w:r>
      <w:r w:rsidRPr="00A24C36">
        <w:rPr>
          <w:rFonts w:asciiTheme="minorBidi" w:hAnsiTheme="minorBidi" w:cs="Arial" w:hint="cs"/>
          <w:rtl/>
        </w:rPr>
        <w:t xml:space="preserve"> ב"י</w:t>
      </w:r>
      <w:r w:rsidRPr="00A24C36">
        <w:rPr>
          <w:rFonts w:asciiTheme="minorBidi" w:hAnsiTheme="minorBidi" w:cs="Arial"/>
          <w:rtl/>
        </w:rPr>
        <w:t>.</w:t>
      </w:r>
    </w:p>
  </w:footnote>
  <w:footnote w:id="2717">
    <w:p w14:paraId="546BB740" w14:textId="77777777" w:rsidR="00CA64CE" w:rsidRDefault="00CA64CE" w:rsidP="00CA64CE">
      <w:pPr>
        <w:pStyle w:val="a7"/>
        <w:rPr>
          <w:rtl/>
        </w:rPr>
      </w:pPr>
      <w:r>
        <w:rPr>
          <w:rStyle w:val="a9"/>
        </w:rPr>
        <w:footnoteRef/>
      </w:r>
      <w:r>
        <w:rPr>
          <w:rtl/>
        </w:rPr>
        <w:t xml:space="preserve"> </w:t>
      </w:r>
      <w:r>
        <w:rPr>
          <w:rFonts w:hint="cs"/>
          <w:rtl/>
        </w:rPr>
        <w:t xml:space="preserve">וז"ל- </w:t>
      </w:r>
      <w:r w:rsidRPr="00940A3F">
        <w:rPr>
          <w:rFonts w:cs="Arial"/>
          <w:rtl/>
        </w:rPr>
        <w:t>כל שבא בחמין מלפני השבת. פירוש כל מליח שבא בחמין מלפני השבת הרי הוא כמבושל ולפיכך שורין אותו בחמין בשבת. פירוש לפי שאין בישול אחר בישול, והקשו התוספות דהא אמרינן בפרק במה מדליקין (לד</w:t>
      </w:r>
      <w:r>
        <w:rPr>
          <w:rFonts w:cs="Arial" w:hint="cs"/>
          <w:rtl/>
        </w:rPr>
        <w:t>.</w:t>
      </w:r>
      <w:r w:rsidRPr="00940A3F">
        <w:rPr>
          <w:rFonts w:cs="Arial"/>
          <w:rtl/>
        </w:rPr>
        <w:t>) מפני מה אין טומנים משחשיכה בדבר שאינו מוסיף הבל גזרה שמא ירתיח כלומר שיתן אותה על גבי האש כדי להרתיח אם ימצאנה צוננת, אלמא יש בישול אחר בישול דהא התם בקדרה מבושלת איירי, ותירצו דהתם הוא בדבר לח דשייך בישול אחר בישול, אבל בדברים יבשים כגון בשר ודגים לא שייך בישול אחר בישול, ולא נהירא, והנכון בעיני דהתם הוא על ידי האור ממש דמחזי כמבשל אבל הכא שרינן בתולדות האור שאין דרך בישול בכך, והיינו נמי דשרינן חזרה בתבשיל שהגיע למאכל בן דרוסאי על גבי כירה גרופה וקטומה דבהאי לא מיחזי כמבשל, וכן מותר להחם כנגד המדורה מהאי טעמא.</w:t>
      </w:r>
    </w:p>
  </w:footnote>
  <w:footnote w:id="2718">
    <w:p w14:paraId="009BA9B8" w14:textId="021E4D65" w:rsidR="00E86453" w:rsidRDefault="00E86453" w:rsidP="00E86453">
      <w:pPr>
        <w:pStyle w:val="a7"/>
        <w:rPr>
          <w:rtl/>
        </w:rPr>
      </w:pPr>
      <w:r>
        <w:rPr>
          <w:rStyle w:val="a9"/>
        </w:rPr>
        <w:footnoteRef/>
      </w:r>
      <w:r>
        <w:rPr>
          <w:rtl/>
        </w:rPr>
        <w:t xml:space="preserve"> </w:t>
      </w:r>
      <w:r>
        <w:rPr>
          <w:rFonts w:asciiTheme="minorBidi" w:hAnsiTheme="minorBidi" w:cs="Arial" w:hint="cs"/>
          <w:rtl/>
        </w:rPr>
        <w:t xml:space="preserve">וז"ל- </w:t>
      </w:r>
      <w:r w:rsidRPr="0080099F">
        <w:rPr>
          <w:rFonts w:asciiTheme="minorBidi" w:hAnsiTheme="minorBidi" w:cs="Arial"/>
          <w:rtl/>
        </w:rPr>
        <w:t>צונן שנתבשל מותר להניחו אפילו בכלי ראשון או כנגד המדורה ואפילו במקום שהיד סולדת בו שאין דרך בשול בכך</w:t>
      </w:r>
      <w:r>
        <w:rPr>
          <w:rFonts w:asciiTheme="minorBidi" w:hAnsiTheme="minorBidi" w:cs="Arial" w:hint="cs"/>
          <w:rtl/>
        </w:rPr>
        <w:t>.</w:t>
      </w:r>
      <w:r w:rsidRPr="0080099F">
        <w:rPr>
          <w:rFonts w:asciiTheme="minorBidi" w:hAnsiTheme="minorBidi" w:cs="Arial"/>
          <w:rtl/>
        </w:rPr>
        <w:t xml:space="preserve"> וראיה לדבר מדתנן </w:t>
      </w:r>
      <w:r>
        <w:rPr>
          <w:rFonts w:asciiTheme="minorBidi" w:hAnsiTheme="minorBidi" w:cs="Arial" w:hint="cs"/>
          <w:rtl/>
        </w:rPr>
        <w:t>(</w:t>
      </w:r>
      <w:r w:rsidRPr="0080099F">
        <w:rPr>
          <w:rFonts w:asciiTheme="minorBidi" w:hAnsiTheme="minorBidi" w:cs="Arial"/>
          <w:rtl/>
        </w:rPr>
        <w:t>קמה</w:t>
      </w:r>
      <w:r>
        <w:rPr>
          <w:rFonts w:asciiTheme="minorBidi" w:hAnsiTheme="minorBidi" w:cs="Arial" w:hint="cs"/>
          <w:rtl/>
        </w:rPr>
        <w:t>:)</w:t>
      </w:r>
      <w:r w:rsidRPr="0080099F">
        <w:rPr>
          <w:rFonts w:asciiTheme="minorBidi" w:hAnsiTheme="minorBidi" w:cs="Arial"/>
          <w:rtl/>
        </w:rPr>
        <w:t xml:space="preserve"> כל שבא בחמין לפני השבת שורין אותו בחמין בשבת</w:t>
      </w:r>
      <w:r>
        <w:rPr>
          <w:rFonts w:asciiTheme="minorBidi" w:hAnsiTheme="minorBidi" w:cs="Arial" w:hint="cs"/>
          <w:rtl/>
        </w:rPr>
        <w:t>.</w:t>
      </w:r>
      <w:r w:rsidRPr="0080099F">
        <w:rPr>
          <w:rFonts w:asciiTheme="minorBidi" w:hAnsiTheme="minorBidi" w:cs="Arial"/>
          <w:rtl/>
        </w:rPr>
        <w:t xml:space="preserve"> כלומר אפילו בכלי ראשון</w:t>
      </w:r>
      <w:r>
        <w:rPr>
          <w:rFonts w:asciiTheme="minorBidi" w:hAnsiTheme="minorBidi" w:cs="Arial" w:hint="cs"/>
          <w:rtl/>
        </w:rPr>
        <w:t>,</w:t>
      </w:r>
      <w:r w:rsidRPr="0080099F">
        <w:rPr>
          <w:rFonts w:asciiTheme="minorBidi" w:hAnsiTheme="minorBidi" w:cs="Arial"/>
          <w:rtl/>
        </w:rPr>
        <w:t xml:space="preserve"> אע</w:t>
      </w:r>
      <w:r>
        <w:rPr>
          <w:rFonts w:asciiTheme="minorBidi" w:hAnsiTheme="minorBidi" w:cs="Arial" w:hint="cs"/>
          <w:rtl/>
        </w:rPr>
        <w:t>"</w:t>
      </w:r>
      <w:r w:rsidRPr="0080099F">
        <w:rPr>
          <w:rFonts w:asciiTheme="minorBidi" w:hAnsiTheme="minorBidi" w:cs="Arial"/>
          <w:rtl/>
        </w:rPr>
        <w:t>פ שתולדות האור כאור והמבשל בה חייב חטאת כמבשל על גבי האש ממ</w:t>
      </w:r>
      <w:r>
        <w:rPr>
          <w:rFonts w:asciiTheme="minorBidi" w:hAnsiTheme="minorBidi" w:cs="Arial" w:hint="cs"/>
          <w:rtl/>
        </w:rPr>
        <w:t>ש.</w:t>
      </w:r>
      <w:r w:rsidRPr="00E86453">
        <w:rPr>
          <w:rFonts w:asciiTheme="minorBidi" w:hAnsiTheme="minorBidi" w:cs="Arial"/>
          <w:rtl/>
        </w:rPr>
        <w:t xml:space="preserve"> </w:t>
      </w:r>
      <w:r w:rsidRPr="0080099F">
        <w:rPr>
          <w:rFonts w:asciiTheme="minorBidi" w:hAnsiTheme="minorBidi" w:cs="Arial"/>
          <w:rtl/>
        </w:rPr>
        <w:t>ומיהו דוקא בכלי ראשון או כנגד המדורה אבל על גבי האש ממש אסור אא</w:t>
      </w:r>
      <w:r>
        <w:rPr>
          <w:rFonts w:asciiTheme="minorBidi" w:hAnsiTheme="minorBidi" w:cs="Arial" w:hint="cs"/>
          <w:rtl/>
        </w:rPr>
        <w:t>"</w:t>
      </w:r>
      <w:r w:rsidRPr="0080099F">
        <w:rPr>
          <w:rFonts w:asciiTheme="minorBidi" w:hAnsiTheme="minorBidi" w:cs="Arial"/>
          <w:rtl/>
        </w:rPr>
        <w:t>כ גרוף או קטום</w:t>
      </w:r>
      <w:r>
        <w:rPr>
          <w:rFonts w:asciiTheme="minorBidi" w:hAnsiTheme="minorBidi" w:cs="Arial" w:hint="cs"/>
          <w:rtl/>
        </w:rPr>
        <w:t>,</w:t>
      </w:r>
      <w:r w:rsidRPr="0080099F">
        <w:rPr>
          <w:rFonts w:asciiTheme="minorBidi" w:hAnsiTheme="minorBidi" w:cs="Arial"/>
          <w:rtl/>
        </w:rPr>
        <w:t xml:space="preserve"> דהא אסקינן לעיל </w:t>
      </w:r>
      <w:r w:rsidRPr="0080099F">
        <w:rPr>
          <w:rFonts w:asciiTheme="minorBidi" w:hAnsiTheme="minorBidi" w:cs="Arial"/>
          <w:sz w:val="16"/>
          <w:szCs w:val="16"/>
          <w:rtl/>
        </w:rPr>
        <w:t>(ר"ן טז: ד"ה ותו)</w:t>
      </w:r>
      <w:r>
        <w:rPr>
          <w:rFonts w:asciiTheme="minorBidi" w:hAnsiTheme="minorBidi" w:cs="Arial" w:hint="cs"/>
          <w:rtl/>
        </w:rPr>
        <w:t xml:space="preserve"> </w:t>
      </w:r>
      <w:r w:rsidRPr="0080099F">
        <w:rPr>
          <w:rFonts w:asciiTheme="minorBidi" w:hAnsiTheme="minorBidi" w:cs="Arial"/>
          <w:rtl/>
        </w:rPr>
        <w:t>דאפילו תבשיל המצטמק ורע לו אסור להחזירו על גבי כירה שאינה גרופה ואינה קטומה</w:t>
      </w:r>
      <w:r>
        <w:rPr>
          <w:rFonts w:asciiTheme="minorBidi" w:hAnsiTheme="minorBidi" w:cs="Arial" w:hint="cs"/>
          <w:rtl/>
        </w:rPr>
        <w:t xml:space="preserve">. עכ"ל.    </w:t>
      </w:r>
      <w:r w:rsidRPr="00DD3262">
        <w:rPr>
          <w:rFonts w:asciiTheme="minorBidi" w:hAnsiTheme="minorBidi" w:cs="Arial"/>
          <w:rtl/>
        </w:rPr>
        <w:t>הרי שסתם דבריו להתיר לתת כנגד המדורה במקום שהיד סולדת צונן שנתבשל ולא חילק בין יש בו מרק ליבש אלמא דבכל גוונא סבירא ליה דשרי</w:t>
      </w:r>
      <w:r>
        <w:rPr>
          <w:rFonts w:asciiTheme="minorBidi" w:hAnsiTheme="minorBidi" w:cs="Arial" w:hint="cs"/>
          <w:rtl/>
        </w:rPr>
        <w:t>, ב"י</w:t>
      </w:r>
      <w:r w:rsidRPr="00DD3262">
        <w:rPr>
          <w:rFonts w:asciiTheme="minorBidi" w:hAnsiTheme="minorBidi" w:cs="Arial"/>
          <w:rtl/>
        </w:rPr>
        <w:t>.</w:t>
      </w:r>
    </w:p>
  </w:footnote>
  <w:footnote w:id="2719">
    <w:p w14:paraId="32FA0C34" w14:textId="77777777" w:rsidR="00085BCA" w:rsidRDefault="00085BCA" w:rsidP="00085BCA">
      <w:pPr>
        <w:pStyle w:val="a7"/>
      </w:pPr>
      <w:r>
        <w:rPr>
          <w:rStyle w:val="a9"/>
        </w:rPr>
        <w:footnoteRef/>
      </w:r>
      <w:r>
        <w:rPr>
          <w:rtl/>
        </w:rPr>
        <w:t xml:space="preserve"> </w:t>
      </w:r>
      <w:r w:rsidRPr="00C113E3">
        <w:rPr>
          <w:rFonts w:cs="Arial"/>
          <w:rtl/>
        </w:rPr>
        <w:t>כלומר שנתבשל</w:t>
      </w:r>
      <w:r>
        <w:rPr>
          <w:rFonts w:cs="Arial" w:hint="cs"/>
          <w:rtl/>
        </w:rPr>
        <w:t xml:space="preserve">, </w:t>
      </w:r>
      <w:r w:rsidRPr="00D6454B">
        <w:rPr>
          <w:rFonts w:cs="Arial" w:hint="cs"/>
          <w:b/>
          <w:bCs/>
          <w:rtl/>
        </w:rPr>
        <w:t>רש"י</w:t>
      </w:r>
      <w:r>
        <w:rPr>
          <w:rFonts w:cs="Arial" w:hint="cs"/>
          <w:rtl/>
        </w:rPr>
        <w:t xml:space="preserve">.    </w:t>
      </w:r>
      <w:r w:rsidRPr="00DD3262">
        <w:rPr>
          <w:rFonts w:asciiTheme="minorBidi" w:hAnsiTheme="minorBidi" w:cs="Arial"/>
          <w:rtl/>
        </w:rPr>
        <w:t>ולא נתבאר בדבריו אי בעינן שיהיה מבושל כל צרכו או במבושל כמאכל בן דרוסאי סגי</w:t>
      </w:r>
      <w:r>
        <w:rPr>
          <w:rFonts w:asciiTheme="minorBidi" w:hAnsiTheme="minorBidi" w:cs="Arial" w:hint="cs"/>
          <w:rtl/>
        </w:rPr>
        <w:t xml:space="preserve">, </w:t>
      </w:r>
      <w:r w:rsidRPr="00D6454B">
        <w:rPr>
          <w:rFonts w:asciiTheme="minorBidi" w:hAnsiTheme="minorBidi" w:cs="Arial" w:hint="cs"/>
          <w:b/>
          <w:bCs/>
          <w:rtl/>
        </w:rPr>
        <w:t>ב"י</w:t>
      </w:r>
      <w:r w:rsidRPr="00DD3262">
        <w:rPr>
          <w:rFonts w:asciiTheme="minorBidi" w:hAnsiTheme="minorBidi" w:cs="Arial"/>
          <w:rtl/>
        </w:rPr>
        <w:t>.</w:t>
      </w:r>
      <w:r>
        <w:rPr>
          <w:rFonts w:asciiTheme="minorBidi" w:hAnsiTheme="minorBidi" w:cs="Arial" w:hint="cs"/>
          <w:rtl/>
        </w:rPr>
        <w:t xml:space="preserve"> ויתבאר לקמן.</w:t>
      </w:r>
    </w:p>
  </w:footnote>
  <w:footnote w:id="2720">
    <w:p w14:paraId="3DB2EADA" w14:textId="77777777" w:rsidR="00085BCA" w:rsidRDefault="00085BCA" w:rsidP="00085BCA">
      <w:pPr>
        <w:pStyle w:val="a7"/>
        <w:rPr>
          <w:rtl/>
        </w:rPr>
      </w:pPr>
      <w:r>
        <w:rPr>
          <w:rStyle w:val="a9"/>
        </w:rPr>
        <w:footnoteRef/>
      </w:r>
      <w:r>
        <w:rPr>
          <w:rtl/>
        </w:rPr>
        <w:t xml:space="preserve"> </w:t>
      </w:r>
      <w:r w:rsidRPr="00C113E3">
        <w:rPr>
          <w:rFonts w:cs="Arial"/>
          <w:rtl/>
        </w:rPr>
        <w:t>כדי שיהא נמוח</w:t>
      </w:r>
      <w:r>
        <w:rPr>
          <w:rFonts w:hint="cs"/>
          <w:rtl/>
        </w:rPr>
        <w:t>, רש"י.</w:t>
      </w:r>
    </w:p>
  </w:footnote>
  <w:footnote w:id="2721">
    <w:p w14:paraId="13E87D5F" w14:textId="77777777" w:rsidR="00085BCA" w:rsidRDefault="00085BCA" w:rsidP="00085BCA">
      <w:pPr>
        <w:pStyle w:val="a7"/>
      </w:pPr>
      <w:r>
        <w:rPr>
          <w:rStyle w:val="a9"/>
        </w:rPr>
        <w:footnoteRef/>
      </w:r>
      <w:r>
        <w:rPr>
          <w:rtl/>
        </w:rPr>
        <w:t xml:space="preserve"> </w:t>
      </w:r>
      <w:r w:rsidRPr="00C113E3">
        <w:rPr>
          <w:rFonts w:cs="Arial"/>
          <w:rtl/>
        </w:rPr>
        <w:t>כגון בשר יבש, שאוכלין אותו חי על ידי הדחק</w:t>
      </w:r>
      <w:r>
        <w:rPr>
          <w:rFonts w:cs="Arial" w:hint="cs"/>
          <w:rtl/>
        </w:rPr>
        <w:t>, רש"י.</w:t>
      </w:r>
    </w:p>
  </w:footnote>
  <w:footnote w:id="2722">
    <w:p w14:paraId="591E66A0" w14:textId="77777777" w:rsidR="00085BCA" w:rsidRDefault="00085BCA" w:rsidP="00085BCA">
      <w:pPr>
        <w:pStyle w:val="a7"/>
      </w:pPr>
      <w:r>
        <w:rPr>
          <w:rStyle w:val="a9"/>
        </w:rPr>
        <w:footnoteRef/>
      </w:r>
      <w:r>
        <w:rPr>
          <w:rtl/>
        </w:rPr>
        <w:t xml:space="preserve"> </w:t>
      </w:r>
      <w:r w:rsidRPr="00C113E3">
        <w:rPr>
          <w:rFonts w:cs="Arial"/>
          <w:rtl/>
        </w:rPr>
        <w:t>ולא אמרינן זהו בישוליה, אבל לא שורין</w:t>
      </w:r>
      <w:r>
        <w:rPr>
          <w:rFonts w:cs="Arial" w:hint="cs"/>
          <w:rtl/>
        </w:rPr>
        <w:t>, רש"י.</w:t>
      </w:r>
    </w:p>
  </w:footnote>
  <w:footnote w:id="2723">
    <w:p w14:paraId="7E53DC0B" w14:textId="77777777" w:rsidR="00085BCA" w:rsidRPr="008C1C8E" w:rsidRDefault="00085BCA" w:rsidP="00085BCA">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w:t>
      </w:r>
      <w:r w:rsidRPr="00C113E3">
        <w:rPr>
          <w:rFonts w:asciiTheme="minorBidi" w:hAnsiTheme="minorBidi" w:cs="Arial"/>
          <w:rtl/>
        </w:rPr>
        <w:t>דג מליח של שנה שעברה</w:t>
      </w:r>
      <w:r>
        <w:rPr>
          <w:rFonts w:asciiTheme="minorBidi" w:hAnsiTheme="minorBidi" w:cs="Arial" w:hint="cs"/>
          <w:rtl/>
        </w:rPr>
        <w:t>, רש"י.  ובספר הפרדס כתב שהוא</w:t>
      </w:r>
      <w:r w:rsidRPr="00C113E3">
        <w:rPr>
          <w:rFonts w:asciiTheme="minorBidi" w:hAnsiTheme="minorBidi" w:cs="Arial"/>
          <w:rtl/>
        </w:rPr>
        <w:t xml:space="preserve"> </w:t>
      </w:r>
      <w:r w:rsidRPr="008C1C8E">
        <w:rPr>
          <w:rFonts w:asciiTheme="minorBidi" w:hAnsiTheme="minorBidi"/>
          <w:rtl/>
        </w:rPr>
        <w:t>בשר ישן שמלוח הרבה ואינו נאכל מחמת מלחו אא"כ ידיחנו בחמין.</w:t>
      </w:r>
    </w:p>
  </w:footnote>
  <w:footnote w:id="2724">
    <w:p w14:paraId="722D7C9E" w14:textId="77777777" w:rsidR="00085BCA" w:rsidRPr="008C1C8E" w:rsidRDefault="00085BCA" w:rsidP="00085BCA">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w:t>
      </w:r>
      <w:r w:rsidRPr="00C113E3">
        <w:rPr>
          <w:rFonts w:asciiTheme="minorBidi" w:hAnsiTheme="minorBidi" w:cs="Arial"/>
          <w:rtl/>
        </w:rPr>
        <w:t>שם דג שאוכלין אותו מחמת מלחו על ידי הדחה בחמין, והנך אפילו הדחה נמי לא, שזהו גמר מלאכתן והוי בשול</w:t>
      </w:r>
      <w:r>
        <w:rPr>
          <w:rFonts w:asciiTheme="minorBidi" w:hAnsiTheme="minorBidi" w:cs="Arial" w:hint="cs"/>
          <w:rtl/>
        </w:rPr>
        <w:t>, רש"י.</w:t>
      </w:r>
    </w:p>
  </w:footnote>
  <w:footnote w:id="2725">
    <w:p w14:paraId="5612A585" w14:textId="77777777" w:rsidR="00085BCA" w:rsidRPr="008C1C8E" w:rsidRDefault="00085BCA" w:rsidP="00085BCA">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מבשלה ושורה אותה ימים רבים בחמין למחות מאליה, ואוכלה לרפואה, רש"י.</w:t>
      </w:r>
    </w:p>
  </w:footnote>
  <w:footnote w:id="2726">
    <w:p w14:paraId="7D90E75C" w14:textId="4377CD55" w:rsidR="00E56FCE" w:rsidRDefault="00E56FCE">
      <w:pPr>
        <w:pStyle w:val="a7"/>
      </w:pPr>
      <w:r>
        <w:rPr>
          <w:rStyle w:val="a9"/>
        </w:rPr>
        <w:footnoteRef/>
      </w:r>
      <w:r>
        <w:rPr>
          <w:rtl/>
        </w:rPr>
        <w:t xml:space="preserve"> </w:t>
      </w:r>
      <w:r>
        <w:rPr>
          <w:rFonts w:hint="cs"/>
          <w:rtl/>
        </w:rPr>
        <w:t xml:space="preserve">וז"ל- </w:t>
      </w:r>
      <w:r w:rsidRPr="00203C12">
        <w:rPr>
          <w:rFonts w:asciiTheme="minorBidi" w:hAnsiTheme="minorBidi" w:cs="Arial"/>
          <w:rtl/>
        </w:rPr>
        <w:t>עד שלא הגיע למאכל בן דרוסאי כל המקרב בישולו</w:t>
      </w:r>
      <w:r w:rsidRPr="00203C12">
        <w:rPr>
          <w:rFonts w:asciiTheme="minorBidi" w:hAnsiTheme="minorBidi" w:cs="Arial" w:hint="cs"/>
          <w:rtl/>
        </w:rPr>
        <w:t xml:space="preserve"> -</w:t>
      </w:r>
      <w:r w:rsidRPr="00203C12">
        <w:rPr>
          <w:rFonts w:asciiTheme="minorBidi" w:hAnsiTheme="minorBidi" w:cs="Arial"/>
          <w:rtl/>
        </w:rPr>
        <w:t xml:space="preserve"> חייב</w:t>
      </w:r>
      <w:r w:rsidRPr="00203C12">
        <w:rPr>
          <w:rFonts w:asciiTheme="minorBidi" w:hAnsiTheme="minorBidi" w:cs="Arial" w:hint="cs"/>
          <w:rtl/>
        </w:rPr>
        <w:t>.</w:t>
      </w:r>
      <w:r w:rsidRPr="00203C12">
        <w:rPr>
          <w:rFonts w:asciiTheme="minorBidi" w:hAnsiTheme="minorBidi" w:cs="Arial"/>
          <w:rtl/>
        </w:rPr>
        <w:t xml:space="preserve"> ואחר שהגיע למאכל בן דרוסאי אם נצטנן והרתיחו </w:t>
      </w:r>
      <w:r w:rsidRPr="00203C12">
        <w:rPr>
          <w:rFonts w:asciiTheme="minorBidi" w:hAnsiTheme="minorBidi" w:cs="Arial" w:hint="cs"/>
          <w:rtl/>
        </w:rPr>
        <w:t xml:space="preserve">- </w:t>
      </w:r>
      <w:r w:rsidRPr="00203C12">
        <w:rPr>
          <w:rFonts w:asciiTheme="minorBidi" w:hAnsiTheme="minorBidi" w:cs="Arial"/>
          <w:rtl/>
        </w:rPr>
        <w:t>חייב</w:t>
      </w:r>
      <w:r>
        <w:rPr>
          <w:rFonts w:asciiTheme="minorBidi" w:hAnsiTheme="minorBidi" w:cs="Arial" w:hint="cs"/>
          <w:rtl/>
        </w:rPr>
        <w:t>.</w:t>
      </w:r>
    </w:p>
  </w:footnote>
  <w:footnote w:id="2727">
    <w:p w14:paraId="23912D5B" w14:textId="77777777" w:rsidR="00CA64CE" w:rsidRDefault="00CA64CE" w:rsidP="00CA64CE">
      <w:pPr>
        <w:pStyle w:val="a7"/>
        <w:rPr>
          <w:rtl/>
        </w:rPr>
      </w:pPr>
      <w:r>
        <w:rPr>
          <w:rStyle w:val="a9"/>
        </w:rPr>
        <w:footnoteRef/>
      </w:r>
      <w:r>
        <w:rPr>
          <w:rtl/>
        </w:rPr>
        <w:t xml:space="preserve"> </w:t>
      </w:r>
      <w:r>
        <w:rPr>
          <w:rFonts w:hint="cs"/>
          <w:rtl/>
        </w:rPr>
        <w:t xml:space="preserve">וז"ל- </w:t>
      </w:r>
      <w:r w:rsidRPr="00940A3F">
        <w:rPr>
          <w:rFonts w:cs="Arial"/>
          <w:rtl/>
        </w:rPr>
        <w:t>כל שבא בחמין מלפני השבת. פירוש כל מליח שבא בחמין מלפני השבת הרי הוא כמבושל ולפיכך שורין אותו בחמין בשבת. פירוש לפי שאין בישול אחר בישול, והקשו התוספות דהא אמרינן בפרק במה מדליקין (לד</w:t>
      </w:r>
      <w:r>
        <w:rPr>
          <w:rFonts w:cs="Arial" w:hint="cs"/>
          <w:rtl/>
        </w:rPr>
        <w:t>.</w:t>
      </w:r>
      <w:r w:rsidRPr="00940A3F">
        <w:rPr>
          <w:rFonts w:cs="Arial"/>
          <w:rtl/>
        </w:rPr>
        <w:t>) מפני מה אין טומנים משחשיכה בדבר שאינו מוסיף הבל גזרה שמא ירתיח כלומר שיתן אותה על גבי האש כדי להרתיח אם ימצאנה צוננת, אלמא יש בישול אחר בישול דהא התם בקדרה מבושלת איירי, ותירצו דהתם הוא בדבר לח דשייך בישול אחר בישול, אבל בדברים יבשים כגון בשר ודגים לא שייך בישול אחר בישול, ולא נהירא, והנכון בעיני דהתם הוא על ידי האור ממש דמחזי כמבשל אבל הכא שרינן בתולדות האור שאין דרך בישול בכך, והיינו נמי דשרינן חזרה בתבשיל שהגיע למאכל בן דרוסאי על גבי כירה גרופה וקטומה דבהאי לא מיחזי כמבשל, וכן מותר להחם כנגד המדורה מהאי טעמא.</w:t>
      </w:r>
    </w:p>
  </w:footnote>
  <w:footnote w:id="2728">
    <w:p w14:paraId="1385B3A9" w14:textId="2F83F04E" w:rsidR="00CA64CE" w:rsidRDefault="00CA64CE" w:rsidP="00CA64CE">
      <w:pPr>
        <w:pStyle w:val="a7"/>
      </w:pPr>
      <w:r>
        <w:rPr>
          <w:rStyle w:val="a9"/>
        </w:rPr>
        <w:footnoteRef/>
      </w:r>
      <w:r>
        <w:rPr>
          <w:rtl/>
        </w:rPr>
        <w:t xml:space="preserve"> </w:t>
      </w:r>
      <w:r w:rsidRPr="00DD3262">
        <w:rPr>
          <w:rFonts w:asciiTheme="minorBidi" w:hAnsiTheme="minorBidi" w:cs="Arial"/>
          <w:rtl/>
        </w:rPr>
        <w:t>ונראה דלפי דבריהם</w:t>
      </w:r>
      <w:r>
        <w:rPr>
          <w:rFonts w:asciiTheme="minorBidi" w:hAnsiTheme="minorBidi" w:cs="Arial" w:hint="cs"/>
          <w:sz w:val="16"/>
          <w:szCs w:val="16"/>
          <w:rtl/>
        </w:rPr>
        <w:t xml:space="preserve"> {של הרשב"א וקצת מן המפרשים}</w:t>
      </w:r>
      <w:r w:rsidRPr="00DD3262">
        <w:rPr>
          <w:rFonts w:asciiTheme="minorBidi" w:hAnsiTheme="minorBidi" w:cs="Arial"/>
          <w:rtl/>
        </w:rPr>
        <w:t xml:space="preserve"> כל שנתבשל כמאכל בן דרוסאי</w:t>
      </w:r>
      <w:r>
        <w:rPr>
          <w:rFonts w:asciiTheme="minorBidi" w:hAnsiTheme="minorBidi" w:cs="Arial" w:hint="cs"/>
          <w:rtl/>
        </w:rPr>
        <w:t xml:space="preserve"> -</w:t>
      </w:r>
      <w:r w:rsidRPr="00DD3262">
        <w:rPr>
          <w:rFonts w:asciiTheme="minorBidi" w:hAnsiTheme="minorBidi" w:cs="Arial"/>
          <w:rtl/>
        </w:rPr>
        <w:t xml:space="preserve"> מותר לשרותו בחמין בשבת</w:t>
      </w:r>
      <w:r>
        <w:rPr>
          <w:rFonts w:asciiTheme="minorBidi" w:hAnsiTheme="minorBidi" w:cs="Arial" w:hint="cs"/>
          <w:rtl/>
        </w:rPr>
        <w:t>,</w:t>
      </w:r>
      <w:r w:rsidRPr="00DD3262">
        <w:rPr>
          <w:rFonts w:asciiTheme="minorBidi" w:hAnsiTheme="minorBidi" w:cs="Arial"/>
          <w:rtl/>
        </w:rPr>
        <w:t xml:space="preserve"> כיון שכשמבשלו על האור ליכא חיובא</w:t>
      </w:r>
      <w:r w:rsidR="00890261">
        <w:rPr>
          <w:rFonts w:asciiTheme="minorBidi" w:hAnsiTheme="minorBidi" w:cs="Arial" w:hint="cs"/>
          <w:sz w:val="16"/>
          <w:szCs w:val="16"/>
          <w:rtl/>
        </w:rPr>
        <w:t xml:space="preserve"> {אלא איסור דרבנן}</w:t>
      </w:r>
      <w:r>
        <w:rPr>
          <w:rFonts w:asciiTheme="minorBidi" w:hAnsiTheme="minorBidi" w:cs="Arial" w:hint="cs"/>
          <w:rtl/>
        </w:rPr>
        <w:t>.</w:t>
      </w:r>
      <w:r w:rsidRPr="00DD3262">
        <w:rPr>
          <w:rFonts w:asciiTheme="minorBidi" w:hAnsiTheme="minorBidi" w:cs="Arial"/>
          <w:rtl/>
        </w:rPr>
        <w:t xml:space="preserve"> אבל לדעת הרמב"ם כל שלא נתבשל כל צרכו אם שורה אותו בחמין בשבת חייב חטאת כמבשל באור עצמה</w:t>
      </w:r>
      <w:r>
        <w:rPr>
          <w:rFonts w:asciiTheme="minorBidi" w:hAnsiTheme="minorBidi" w:cs="Arial" w:hint="cs"/>
          <w:rtl/>
        </w:rPr>
        <w:t>,</w:t>
      </w:r>
      <w:r w:rsidRPr="00A24C36">
        <w:rPr>
          <w:rFonts w:asciiTheme="minorBidi" w:hAnsiTheme="minorBidi" w:cs="Arial" w:hint="cs"/>
          <w:rtl/>
        </w:rPr>
        <w:t xml:space="preserve"> ב"י</w:t>
      </w:r>
      <w:r w:rsidRPr="00A24C36">
        <w:rPr>
          <w:rFonts w:asciiTheme="minorBidi" w:hAnsiTheme="minorBidi" w:cs="Arial"/>
          <w:rtl/>
        </w:rPr>
        <w:t>.</w:t>
      </w:r>
    </w:p>
  </w:footnote>
  <w:footnote w:id="2729">
    <w:p w14:paraId="156AF864" w14:textId="77777777" w:rsidR="005E7C7C" w:rsidRDefault="005E7C7C" w:rsidP="005E7C7C">
      <w:pPr>
        <w:pStyle w:val="a7"/>
      </w:pPr>
      <w:r>
        <w:rPr>
          <w:rStyle w:val="a9"/>
        </w:rPr>
        <w:footnoteRef/>
      </w:r>
      <w:r>
        <w:rPr>
          <w:rtl/>
        </w:rPr>
        <w:t xml:space="preserve"> </w:t>
      </w:r>
      <w:r>
        <w:rPr>
          <w:rFonts w:asciiTheme="minorBidi" w:hAnsiTheme="minorBidi" w:cs="Arial" w:hint="cs"/>
          <w:rtl/>
        </w:rPr>
        <w:t xml:space="preserve">וז"ל- </w:t>
      </w:r>
      <w:r w:rsidRPr="002065FF">
        <w:rPr>
          <w:rFonts w:asciiTheme="minorBidi" w:hAnsiTheme="minorBidi" w:cs="Arial"/>
          <w:rtl/>
        </w:rPr>
        <w:t>אפילו תבשיל שנתבשל כבר יש בו משום בישול אם נצטנן כבר</w:t>
      </w:r>
      <w:r>
        <w:rPr>
          <w:rFonts w:asciiTheme="minorBidi" w:hAnsiTheme="minorBidi" w:cs="Arial" w:hint="cs"/>
          <w:rtl/>
        </w:rPr>
        <w:t>,</w:t>
      </w:r>
      <w:r w:rsidRPr="002065FF">
        <w:rPr>
          <w:rFonts w:asciiTheme="minorBidi" w:hAnsiTheme="minorBidi" w:cs="Arial"/>
          <w:rtl/>
        </w:rPr>
        <w:t xml:space="preserve"> אבל בעודו רותח לא</w:t>
      </w:r>
      <w:r>
        <w:rPr>
          <w:rFonts w:asciiTheme="minorBidi" w:hAnsiTheme="minorBidi" w:cs="Arial" w:hint="cs"/>
          <w:rtl/>
        </w:rPr>
        <w:t>.</w:t>
      </w:r>
      <w:r w:rsidRPr="002065FF">
        <w:rPr>
          <w:rFonts w:asciiTheme="minorBidi" w:hAnsiTheme="minorBidi" w:cs="Arial"/>
          <w:rtl/>
        </w:rPr>
        <w:t xml:space="preserve"> ואם לא נתבשל כל צרכו</w:t>
      </w:r>
      <w:r>
        <w:rPr>
          <w:rFonts w:asciiTheme="minorBidi" w:hAnsiTheme="minorBidi" w:cs="Arial" w:hint="cs"/>
          <w:rtl/>
        </w:rPr>
        <w:t>,</w:t>
      </w:r>
      <w:r w:rsidRPr="002065FF">
        <w:rPr>
          <w:rFonts w:asciiTheme="minorBidi" w:hAnsiTheme="minorBidi" w:cs="Arial"/>
          <w:rtl/>
        </w:rPr>
        <w:t xml:space="preserve"> ואפילו נתבשל כמאכל בן דרוסאי </w:t>
      </w:r>
      <w:r>
        <w:rPr>
          <w:rFonts w:asciiTheme="minorBidi" w:hAnsiTheme="minorBidi" w:cs="Arial" w:hint="cs"/>
          <w:rtl/>
        </w:rPr>
        <w:t xml:space="preserve">- </w:t>
      </w:r>
      <w:r w:rsidRPr="002065FF">
        <w:rPr>
          <w:rFonts w:asciiTheme="minorBidi" w:hAnsiTheme="minorBidi" w:cs="Arial"/>
          <w:rtl/>
        </w:rPr>
        <w:t>שייך בו בישול אפי' בעודו רותח</w:t>
      </w:r>
      <w:r>
        <w:rPr>
          <w:rFonts w:asciiTheme="minorBidi" w:hAnsiTheme="minorBidi" w:cs="Arial" w:hint="cs"/>
          <w:rtl/>
        </w:rPr>
        <w:t xml:space="preserve">. עכ"ל.   </w:t>
      </w:r>
      <w:r w:rsidRPr="00DD3262">
        <w:rPr>
          <w:rFonts w:asciiTheme="minorBidi" w:hAnsiTheme="minorBidi" w:cs="Arial"/>
          <w:rtl/>
        </w:rPr>
        <w:t xml:space="preserve"> ונראה דלמאי דמסיק </w:t>
      </w:r>
      <w:r>
        <w:rPr>
          <w:rFonts w:asciiTheme="minorBidi" w:hAnsiTheme="minorBidi" w:cs="Arial" w:hint="cs"/>
          <w:sz w:val="16"/>
          <w:szCs w:val="16"/>
          <w:rtl/>
        </w:rPr>
        <w:t xml:space="preserve">{הרא"ש} </w:t>
      </w:r>
      <w:r w:rsidRPr="00DD3262">
        <w:rPr>
          <w:rFonts w:asciiTheme="minorBidi" w:hAnsiTheme="minorBidi" w:cs="Arial"/>
          <w:rtl/>
        </w:rPr>
        <w:t>דוקא בנצטנן והרתיחו חייב</w:t>
      </w:r>
      <w:r>
        <w:rPr>
          <w:rFonts w:asciiTheme="minorBidi" w:hAnsiTheme="minorBidi" w:cs="Arial" w:hint="cs"/>
          <w:rtl/>
        </w:rPr>
        <w:t>,</w:t>
      </w:r>
      <w:r w:rsidRPr="00DD3262">
        <w:rPr>
          <w:rFonts w:asciiTheme="minorBidi" w:hAnsiTheme="minorBidi" w:cs="Arial"/>
          <w:rtl/>
        </w:rPr>
        <w:t xml:space="preserve"> הא אם היה רותח לא</w:t>
      </w:r>
      <w:r>
        <w:rPr>
          <w:rFonts w:asciiTheme="minorBidi" w:hAnsiTheme="minorBidi" w:cs="Arial" w:hint="cs"/>
          <w:rtl/>
        </w:rPr>
        <w:t>,</w:t>
      </w:r>
      <w:r w:rsidRPr="00DD3262">
        <w:rPr>
          <w:rFonts w:asciiTheme="minorBidi" w:hAnsiTheme="minorBidi" w:cs="Arial"/>
          <w:rtl/>
        </w:rPr>
        <w:t xml:space="preserve"> כיון שכבר הגיע למאכל בן דרוסאי. ולפי זה הוה ליה לרבינו לפסוק כדמסיק הרא"ש דמשהגיע למאכל בן דרוסאי אם נצטנן והרתיחו חייב</w:t>
      </w:r>
      <w:r>
        <w:rPr>
          <w:rFonts w:asciiTheme="minorBidi" w:hAnsiTheme="minorBidi" w:cs="Arial" w:hint="cs"/>
          <w:rtl/>
        </w:rPr>
        <w:t>,</w:t>
      </w:r>
      <w:r w:rsidRPr="00DD3262">
        <w:rPr>
          <w:rFonts w:asciiTheme="minorBidi" w:hAnsiTheme="minorBidi" w:cs="Arial"/>
          <w:rtl/>
        </w:rPr>
        <w:t xml:space="preserve"> וכמו שכתב ברמזים (קיצור פסקי הרא"ש שם סי' יא) והוא כתב כאן דאפילו בעודו רותח שייך בו בישול. ואפשר שאע</w:t>
      </w:r>
      <w:r>
        <w:rPr>
          <w:rFonts w:asciiTheme="minorBidi" w:hAnsiTheme="minorBidi" w:cs="Arial" w:hint="cs"/>
          <w:rtl/>
        </w:rPr>
        <w:t>"</w:t>
      </w:r>
      <w:r w:rsidRPr="00DD3262">
        <w:rPr>
          <w:rFonts w:asciiTheme="minorBidi" w:hAnsiTheme="minorBidi" w:cs="Arial"/>
          <w:rtl/>
        </w:rPr>
        <w:t>פ שברמזים כתב מסקנת הרא"ש</w:t>
      </w:r>
      <w:r>
        <w:rPr>
          <w:rFonts w:asciiTheme="minorBidi" w:hAnsiTheme="minorBidi" w:cs="Arial" w:hint="cs"/>
          <w:rtl/>
        </w:rPr>
        <w:t>,</w:t>
      </w:r>
      <w:r w:rsidRPr="00DD3262">
        <w:rPr>
          <w:rFonts w:asciiTheme="minorBidi" w:hAnsiTheme="minorBidi" w:cs="Arial"/>
          <w:rtl/>
        </w:rPr>
        <w:t xml:space="preserve"> היינו לפי שבאותו הספר לא בא לכתוב סברת עצמו אלא לסדר דברי הרא"ש בקצרה</w:t>
      </w:r>
      <w:r>
        <w:rPr>
          <w:rFonts w:asciiTheme="minorBidi" w:hAnsiTheme="minorBidi" w:cs="Arial" w:hint="cs"/>
          <w:rtl/>
        </w:rPr>
        <w:t>,</w:t>
      </w:r>
      <w:r w:rsidRPr="00DD3262">
        <w:rPr>
          <w:rFonts w:asciiTheme="minorBidi" w:hAnsiTheme="minorBidi" w:cs="Arial"/>
          <w:rtl/>
        </w:rPr>
        <w:t xml:space="preserve"> אבל בספר זה שבא לפסוק הלכה למעשה לא רצה לסמוך על סברת הרא"ש שאין לה ראיה</w:t>
      </w:r>
      <w:r>
        <w:rPr>
          <w:rFonts w:asciiTheme="minorBidi" w:hAnsiTheme="minorBidi" w:cs="Arial" w:hint="cs"/>
          <w:rtl/>
        </w:rPr>
        <w:t>,</w:t>
      </w:r>
      <w:r w:rsidRPr="00DD3262">
        <w:rPr>
          <w:rFonts w:asciiTheme="minorBidi" w:hAnsiTheme="minorBidi" w:cs="Arial"/>
          <w:rtl/>
        </w:rPr>
        <w:t xml:space="preserve"> דברייתא דפרק המביא כדי יין </w:t>
      </w:r>
      <w:r>
        <w:rPr>
          <w:rFonts w:asciiTheme="minorBidi" w:hAnsiTheme="minorBidi" w:cs="Arial" w:hint="cs"/>
          <w:rtl/>
        </w:rPr>
        <w:t xml:space="preserve">(ביצה לד.) </w:t>
      </w:r>
      <w:r w:rsidRPr="00DD3262">
        <w:rPr>
          <w:rFonts w:asciiTheme="minorBidi" w:hAnsiTheme="minorBidi" w:cs="Arial"/>
          <w:rtl/>
        </w:rPr>
        <w:t>סתמא קתני כולם חייבים</w:t>
      </w:r>
      <w:r>
        <w:rPr>
          <w:rFonts w:asciiTheme="minorBidi" w:hAnsiTheme="minorBidi" w:cs="Arial" w:hint="cs"/>
          <w:rtl/>
        </w:rPr>
        <w:t>,</w:t>
      </w:r>
      <w:r w:rsidRPr="00DD3262">
        <w:rPr>
          <w:rFonts w:asciiTheme="minorBidi" w:hAnsiTheme="minorBidi" w:cs="Arial"/>
          <w:rtl/>
        </w:rPr>
        <w:t xml:space="preserve"> ולא חילקה בין הגיע למאכל בן דרוסאי ללא הגיע</w:t>
      </w:r>
      <w:r>
        <w:rPr>
          <w:rFonts w:asciiTheme="minorBidi" w:hAnsiTheme="minorBidi" w:cs="Arial" w:hint="cs"/>
          <w:rtl/>
        </w:rPr>
        <w:t>.</w:t>
      </w:r>
      <w:r w:rsidRPr="00DD3262">
        <w:rPr>
          <w:rFonts w:asciiTheme="minorBidi" w:hAnsiTheme="minorBidi" w:cs="Arial"/>
          <w:rtl/>
        </w:rPr>
        <w:t xml:space="preserve"> וגם מאי דשני אמאי דפריך בפרק קמא דשבת </w:t>
      </w:r>
      <w:r>
        <w:rPr>
          <w:rFonts w:asciiTheme="minorBidi" w:hAnsiTheme="minorBidi" w:cs="Arial" w:hint="cs"/>
          <w:rtl/>
        </w:rPr>
        <w:t xml:space="preserve">(יח:) </w:t>
      </w:r>
      <w:r w:rsidRPr="00DD3262">
        <w:rPr>
          <w:rFonts w:asciiTheme="minorBidi" w:hAnsiTheme="minorBidi" w:cs="Arial"/>
          <w:rtl/>
        </w:rPr>
        <w:t>והלא מגיס</w:t>
      </w:r>
      <w:r>
        <w:rPr>
          <w:rFonts w:asciiTheme="minorBidi" w:hAnsiTheme="minorBidi" w:cs="Arial" w:hint="cs"/>
          <w:rtl/>
        </w:rPr>
        <w:t xml:space="preserve">, </w:t>
      </w:r>
      <w:r w:rsidRPr="00DD3262">
        <w:rPr>
          <w:rFonts w:asciiTheme="minorBidi" w:hAnsiTheme="minorBidi" w:cs="Arial"/>
          <w:rtl/>
        </w:rPr>
        <w:t>שינויי דחיקי נינהו</w:t>
      </w:r>
      <w:r>
        <w:rPr>
          <w:rFonts w:asciiTheme="minorBidi" w:hAnsiTheme="minorBidi" w:cs="Arial" w:hint="cs"/>
          <w:rtl/>
        </w:rPr>
        <w:t>,</w:t>
      </w:r>
      <w:r w:rsidRPr="00DD3262">
        <w:rPr>
          <w:rFonts w:asciiTheme="minorBidi" w:hAnsiTheme="minorBidi" w:cs="Arial"/>
          <w:rtl/>
        </w:rPr>
        <w:t xml:space="preserve"> ולכן לא סמך עליהם</w:t>
      </w:r>
      <w:r>
        <w:rPr>
          <w:rFonts w:asciiTheme="minorBidi" w:hAnsiTheme="minorBidi" w:cs="Arial" w:hint="cs"/>
          <w:rtl/>
        </w:rPr>
        <w:t>,</w:t>
      </w:r>
      <w:r w:rsidRPr="00DD3262">
        <w:rPr>
          <w:rFonts w:asciiTheme="minorBidi" w:hAnsiTheme="minorBidi" w:cs="Arial"/>
          <w:rtl/>
        </w:rPr>
        <w:t xml:space="preserve"> אלא דאפילו בהגיע למאכל בן דרוסאי שייך ביה בישול אפילו רותח כפשטא דברייתא דהמביא כדי יין ופירכא דהלא מגיס. וכיון דאפילו בהגיע למאכל בן דרוסאי שייך ביה בישול אפילו בעודו רותח</w:t>
      </w:r>
      <w:r>
        <w:rPr>
          <w:rFonts w:asciiTheme="minorBidi" w:hAnsiTheme="minorBidi" w:cs="Arial" w:hint="cs"/>
          <w:rtl/>
        </w:rPr>
        <w:t>,</w:t>
      </w:r>
      <w:r w:rsidRPr="00DD3262">
        <w:rPr>
          <w:rFonts w:asciiTheme="minorBidi" w:hAnsiTheme="minorBidi" w:cs="Arial"/>
          <w:rtl/>
        </w:rPr>
        <w:t xml:space="preserve"> אם כן כשכתב רש"י גזירה שמא ירתיח קדרה שנצטננה ונמצא מבשל בשבת</w:t>
      </w:r>
      <w:r>
        <w:rPr>
          <w:rFonts w:asciiTheme="minorBidi" w:hAnsiTheme="minorBidi" w:cs="Arial" w:hint="cs"/>
          <w:rtl/>
        </w:rPr>
        <w:t>,</w:t>
      </w:r>
      <w:r w:rsidRPr="00DD3262">
        <w:rPr>
          <w:rFonts w:asciiTheme="minorBidi" w:hAnsiTheme="minorBidi" w:cs="Arial"/>
          <w:rtl/>
        </w:rPr>
        <w:t xml:space="preserve"> צריך לומר דבנתבשלה כל צרכה לגמרי היא</w:t>
      </w:r>
      <w:r>
        <w:rPr>
          <w:rFonts w:asciiTheme="minorBidi" w:hAnsiTheme="minorBidi" w:cs="Arial" w:hint="cs"/>
          <w:rtl/>
        </w:rPr>
        <w:t>,</w:t>
      </w:r>
      <w:r w:rsidRPr="00DD3262">
        <w:rPr>
          <w:rFonts w:asciiTheme="minorBidi" w:hAnsiTheme="minorBidi" w:cs="Arial"/>
          <w:rtl/>
        </w:rPr>
        <w:t xml:space="preserve"> ומשום הכי לא הוה מיחייב משום מבשל אא</w:t>
      </w:r>
      <w:r>
        <w:rPr>
          <w:rFonts w:asciiTheme="minorBidi" w:hAnsiTheme="minorBidi" w:cs="Arial" w:hint="cs"/>
          <w:rtl/>
        </w:rPr>
        <w:t>"</w:t>
      </w:r>
      <w:r w:rsidRPr="00DD3262">
        <w:rPr>
          <w:rFonts w:asciiTheme="minorBidi" w:hAnsiTheme="minorBidi" w:cs="Arial"/>
          <w:rtl/>
        </w:rPr>
        <w:t>כ נצטננה</w:t>
      </w:r>
      <w:r>
        <w:rPr>
          <w:rFonts w:asciiTheme="minorBidi" w:hAnsiTheme="minorBidi" w:cs="Arial" w:hint="cs"/>
          <w:rtl/>
        </w:rPr>
        <w:t>,</w:t>
      </w:r>
      <w:r w:rsidRPr="00DD3262">
        <w:rPr>
          <w:rFonts w:asciiTheme="minorBidi" w:hAnsiTheme="minorBidi" w:cs="Arial"/>
          <w:rtl/>
        </w:rPr>
        <w:t xml:space="preserve"> דאם לא נתבשלה כל צרכה לגמרי מאי איריא נצטננה</w:t>
      </w:r>
      <w:r>
        <w:rPr>
          <w:rFonts w:asciiTheme="minorBidi" w:hAnsiTheme="minorBidi" w:cs="Arial" w:hint="cs"/>
          <w:rtl/>
        </w:rPr>
        <w:t>,</w:t>
      </w:r>
      <w:r w:rsidRPr="00DD3262">
        <w:rPr>
          <w:rFonts w:asciiTheme="minorBidi" w:hAnsiTheme="minorBidi" w:cs="Arial"/>
          <w:rtl/>
        </w:rPr>
        <w:t xml:space="preserve"> אפילו עודה רותחת נמי חייב משום מבשל. ובלאו הכי נמי משמע דבקדרה שנתבשלה כל צרכה לגמרי היא</w:t>
      </w:r>
      <w:r>
        <w:rPr>
          <w:rFonts w:asciiTheme="minorBidi" w:hAnsiTheme="minorBidi" w:cs="Arial" w:hint="cs"/>
          <w:rtl/>
        </w:rPr>
        <w:t>,</w:t>
      </w:r>
      <w:r w:rsidRPr="00DD3262">
        <w:rPr>
          <w:rFonts w:asciiTheme="minorBidi" w:hAnsiTheme="minorBidi" w:cs="Arial"/>
          <w:rtl/>
        </w:rPr>
        <w:t xml:space="preserve"> דסתם קדרה כשמטמינים אותה בדבר שאינו מוסיף הבל כבר נתבשלה כל צרכה ואפילו הכי מחייב רש"י אם נצטננה והרתיחה </w:t>
      </w:r>
      <w:r>
        <w:rPr>
          <w:rFonts w:asciiTheme="minorBidi" w:hAnsiTheme="minorBidi" w:cs="Arial" w:hint="cs"/>
          <w:sz w:val="16"/>
          <w:szCs w:val="16"/>
          <w:rtl/>
        </w:rPr>
        <w:t>(</w:t>
      </w:r>
      <w:r w:rsidRPr="000D2267">
        <w:rPr>
          <w:rFonts w:asciiTheme="minorBidi" w:hAnsiTheme="minorBidi" w:cs="Arial"/>
          <w:sz w:val="16"/>
          <w:szCs w:val="16"/>
          <w:rtl/>
        </w:rPr>
        <w:t>ואין לומר דרבינו פסק כסברת הרא"ש דעד כאן לא קאמר הרא"ש שיש חילוק בין הגיע למאכל בן דרוסאי ללא הגיע אלא לענין חיוב חטאת אבל איסורא מיהא איכא אע</w:t>
      </w:r>
      <w:r w:rsidRPr="000D2267">
        <w:rPr>
          <w:rFonts w:asciiTheme="minorBidi" w:hAnsiTheme="minorBidi" w:cs="Arial" w:hint="cs"/>
          <w:sz w:val="16"/>
          <w:szCs w:val="16"/>
          <w:rtl/>
        </w:rPr>
        <w:t>"</w:t>
      </w:r>
      <w:r w:rsidRPr="000D2267">
        <w:rPr>
          <w:rFonts w:asciiTheme="minorBidi" w:hAnsiTheme="minorBidi" w:cs="Arial"/>
          <w:sz w:val="16"/>
          <w:szCs w:val="16"/>
          <w:rtl/>
        </w:rPr>
        <w:t>פ שהגיע למאכל בן דרוסאי</w:t>
      </w:r>
      <w:r>
        <w:rPr>
          <w:rFonts w:asciiTheme="minorBidi" w:hAnsiTheme="minorBidi" w:cs="Arial" w:hint="cs"/>
          <w:sz w:val="16"/>
          <w:szCs w:val="16"/>
          <w:rtl/>
        </w:rPr>
        <w:t>.</w:t>
      </w:r>
      <w:r w:rsidRPr="000D2267">
        <w:rPr>
          <w:rFonts w:asciiTheme="minorBidi" w:hAnsiTheme="minorBidi" w:cs="Arial"/>
          <w:sz w:val="16"/>
          <w:szCs w:val="16"/>
          <w:rtl/>
        </w:rPr>
        <w:t xml:space="preserve"> דאי אית ביה משום בישול</w:t>
      </w:r>
      <w:r>
        <w:rPr>
          <w:rFonts w:asciiTheme="minorBidi" w:hAnsiTheme="minorBidi" w:cs="Arial" w:hint="cs"/>
          <w:sz w:val="16"/>
          <w:szCs w:val="16"/>
          <w:rtl/>
        </w:rPr>
        <w:t xml:space="preserve"> -</w:t>
      </w:r>
      <w:r w:rsidRPr="000D2267">
        <w:rPr>
          <w:rFonts w:asciiTheme="minorBidi" w:hAnsiTheme="minorBidi" w:cs="Arial"/>
          <w:sz w:val="16"/>
          <w:szCs w:val="16"/>
          <w:rtl/>
        </w:rPr>
        <w:t xml:space="preserve"> חיובא נמי איכא</w:t>
      </w:r>
      <w:r>
        <w:rPr>
          <w:rFonts w:asciiTheme="minorBidi" w:hAnsiTheme="minorBidi" w:cs="Arial" w:hint="cs"/>
          <w:sz w:val="16"/>
          <w:szCs w:val="16"/>
          <w:rtl/>
        </w:rPr>
        <w:t>.</w:t>
      </w:r>
      <w:r w:rsidRPr="000D2267">
        <w:rPr>
          <w:rFonts w:asciiTheme="minorBidi" w:hAnsiTheme="minorBidi" w:cs="Arial"/>
          <w:sz w:val="16"/>
          <w:szCs w:val="16"/>
          <w:rtl/>
        </w:rPr>
        <w:t xml:space="preserve"> ואי לית ביה משום בישול </w:t>
      </w:r>
      <w:r>
        <w:rPr>
          <w:rFonts w:asciiTheme="minorBidi" w:hAnsiTheme="minorBidi" w:cs="Arial" w:hint="cs"/>
          <w:sz w:val="16"/>
          <w:szCs w:val="16"/>
          <w:rtl/>
        </w:rPr>
        <w:t xml:space="preserve">- </w:t>
      </w:r>
      <w:r w:rsidRPr="000D2267">
        <w:rPr>
          <w:rFonts w:asciiTheme="minorBidi" w:hAnsiTheme="minorBidi" w:cs="Arial"/>
          <w:sz w:val="16"/>
          <w:szCs w:val="16"/>
          <w:rtl/>
        </w:rPr>
        <w:t>אמאי מיתסר</w:t>
      </w:r>
      <w:r>
        <w:rPr>
          <w:rFonts w:asciiTheme="minorBidi" w:hAnsiTheme="minorBidi" w:cs="Arial" w:hint="cs"/>
          <w:sz w:val="16"/>
          <w:szCs w:val="16"/>
          <w:rtl/>
        </w:rPr>
        <w:t>?</w:t>
      </w:r>
      <w:r w:rsidRPr="000D2267">
        <w:rPr>
          <w:rFonts w:asciiTheme="minorBidi" w:hAnsiTheme="minorBidi" w:cs="Arial" w:hint="cs"/>
          <w:sz w:val="16"/>
          <w:szCs w:val="16"/>
          <w:rtl/>
        </w:rPr>
        <w:t>.</w:t>
      </w:r>
      <w:r w:rsidRPr="000D2267">
        <w:rPr>
          <w:rFonts w:asciiTheme="minorBidi" w:hAnsiTheme="minorBidi" w:cs="Arial"/>
          <w:sz w:val="16"/>
          <w:szCs w:val="16"/>
          <w:rtl/>
        </w:rPr>
        <w:t xml:space="preserve"> ועוד שהרא"ש כתב בסברתו </w:t>
      </w:r>
      <w:r w:rsidRPr="000D2267">
        <w:rPr>
          <w:rFonts w:asciiTheme="minorBidi" w:hAnsiTheme="minorBidi" w:cs="Arial" w:hint="cs"/>
          <w:sz w:val="16"/>
          <w:szCs w:val="16"/>
          <w:rtl/>
        </w:rPr>
        <w:t>"</w:t>
      </w:r>
      <w:r w:rsidRPr="000D2267">
        <w:rPr>
          <w:rFonts w:asciiTheme="minorBidi" w:hAnsiTheme="minorBidi" w:cs="Arial"/>
          <w:sz w:val="16"/>
          <w:szCs w:val="16"/>
          <w:rtl/>
        </w:rPr>
        <w:t>ואחר שהגיע למאכל בן דרוסאי אם נצטנן והרתיחו חייב כדפירש רש"י גבי שמא ירתיח</w:t>
      </w:r>
      <w:r w:rsidRPr="000D2267">
        <w:rPr>
          <w:rFonts w:asciiTheme="minorBidi" w:hAnsiTheme="minorBidi" w:cs="Arial" w:hint="cs"/>
          <w:sz w:val="16"/>
          <w:szCs w:val="16"/>
          <w:rtl/>
        </w:rPr>
        <w:t>",</w:t>
      </w:r>
      <w:r w:rsidRPr="000D2267">
        <w:rPr>
          <w:rFonts w:asciiTheme="minorBidi" w:hAnsiTheme="minorBidi" w:cs="Arial"/>
          <w:sz w:val="16"/>
          <w:szCs w:val="16"/>
          <w:rtl/>
        </w:rPr>
        <w:t xml:space="preserve"> הרי שלא חילק בין נתבשל כל צרכו ללא נתבשל כל שהגיע למאכל בן דרוסאי</w:t>
      </w:r>
      <w:r w:rsidRPr="000D2267">
        <w:rPr>
          <w:rFonts w:asciiTheme="minorBidi" w:hAnsiTheme="minorBidi" w:cs="Arial" w:hint="cs"/>
          <w:sz w:val="16"/>
          <w:szCs w:val="16"/>
          <w:rtl/>
        </w:rPr>
        <w:t>,</w:t>
      </w:r>
      <w:r w:rsidRPr="000D2267">
        <w:rPr>
          <w:rFonts w:asciiTheme="minorBidi" w:hAnsiTheme="minorBidi" w:cs="Arial"/>
          <w:sz w:val="16"/>
          <w:szCs w:val="16"/>
          <w:rtl/>
        </w:rPr>
        <w:t xml:space="preserve"> ומנא ליה לרבינו לחלק ביניהם</w:t>
      </w:r>
      <w:r w:rsidRPr="000D2267">
        <w:rPr>
          <w:rFonts w:asciiTheme="minorBidi" w:hAnsiTheme="minorBidi" w:cs="Arial" w:hint="cs"/>
          <w:sz w:val="16"/>
          <w:szCs w:val="16"/>
          <w:rtl/>
        </w:rPr>
        <w:t>.</w:t>
      </w:r>
      <w:r w:rsidRPr="000D2267">
        <w:rPr>
          <w:rFonts w:asciiTheme="minorBidi" w:hAnsiTheme="minorBidi" w:cs="Arial"/>
          <w:sz w:val="16"/>
          <w:szCs w:val="16"/>
          <w:rtl/>
        </w:rPr>
        <w:t xml:space="preserve"> הילכך כמו שכתבתי בתחלה עיקר</w:t>
      </w:r>
      <w:r w:rsidRPr="000D2267">
        <w:rPr>
          <w:rFonts w:asciiTheme="minorBidi" w:hAnsiTheme="minorBidi" w:cs="Arial" w:hint="cs"/>
          <w:sz w:val="16"/>
          <w:szCs w:val="16"/>
          <w:rtl/>
        </w:rPr>
        <w:t>)</w:t>
      </w:r>
      <w:r w:rsidRPr="0073795A">
        <w:rPr>
          <w:rFonts w:asciiTheme="minorBidi" w:hAnsiTheme="minorBidi" w:cs="Arial" w:hint="cs"/>
          <w:rtl/>
        </w:rPr>
        <w:t>, ב"י</w:t>
      </w:r>
      <w:r w:rsidRPr="0073795A">
        <w:rPr>
          <w:rFonts w:asciiTheme="minorBidi" w:hAnsiTheme="minorBidi" w:cs="Arial"/>
          <w:rtl/>
        </w:rPr>
        <w:t>.</w:t>
      </w:r>
    </w:p>
  </w:footnote>
  <w:footnote w:id="2730">
    <w:p w14:paraId="300F1723" w14:textId="77777777" w:rsidR="005E7C7C" w:rsidRDefault="005E7C7C" w:rsidP="005E7C7C">
      <w:pPr>
        <w:pStyle w:val="a7"/>
        <w:rPr>
          <w:rtl/>
        </w:rPr>
      </w:pPr>
      <w:r>
        <w:rPr>
          <w:rStyle w:val="a9"/>
        </w:rPr>
        <w:footnoteRef/>
      </w:r>
      <w:r>
        <w:rPr>
          <w:rtl/>
        </w:rPr>
        <w:t xml:space="preserve"> </w:t>
      </w:r>
      <w:r w:rsidRPr="007B5DAF">
        <w:rPr>
          <w:rFonts w:cs="Arial"/>
          <w:rtl/>
        </w:rPr>
        <w:t>פרק חבית (קמה:) במשנה כל שבא בחמין מלפני השבת שורין אותו בחמין בשבת</w:t>
      </w:r>
      <w:r>
        <w:rPr>
          <w:rFonts w:cs="Arial" w:hint="cs"/>
          <w:rtl/>
        </w:rPr>
        <w:t>.</w:t>
      </w:r>
      <w:r w:rsidRPr="007B5DAF">
        <w:rPr>
          <w:rFonts w:cs="Arial"/>
          <w:rtl/>
        </w:rPr>
        <w:t xml:space="preserve"> ואמרו בגמ' כגון מאי אמר רב ספרא כגון תרנגולתיה דר' אבא. ופי' כגון מאי הוא מבושל כל צרכו בביאה בחמין מלפני השבת כדי שיהא מותר לשהותו בחמין בשבת</w:t>
      </w:r>
      <w:r>
        <w:rPr>
          <w:rFonts w:cs="Arial" w:hint="cs"/>
          <w:rtl/>
        </w:rPr>
        <w:t>,</w:t>
      </w:r>
      <w:r w:rsidRPr="007B5DAF">
        <w:rPr>
          <w:rFonts w:cs="Arial"/>
          <w:rtl/>
        </w:rPr>
        <w:t xml:space="preserve"> כגון תרנגולתיה דר' אבא שהיתה מלוחה ביותר והיה די לה בביאה בחמין</w:t>
      </w:r>
      <w:r>
        <w:rPr>
          <w:rFonts w:cs="Arial" w:hint="cs"/>
          <w:rtl/>
        </w:rPr>
        <w:t>.</w:t>
      </w:r>
      <w:r w:rsidRPr="007B5DAF">
        <w:rPr>
          <w:rFonts w:cs="Arial"/>
          <w:rtl/>
        </w:rPr>
        <w:t xml:space="preserve"> ומכאן שהמבשל דבר המבושל אפילו באור ממש פטור</w:t>
      </w:r>
      <w:r>
        <w:rPr>
          <w:rFonts w:cs="Arial" w:hint="cs"/>
          <w:rtl/>
        </w:rPr>
        <w:t>,</w:t>
      </w:r>
      <w:r w:rsidRPr="007B5DAF">
        <w:rPr>
          <w:rFonts w:cs="Arial"/>
          <w:rtl/>
        </w:rPr>
        <w:t xml:space="preserve"> שאם היה בו משום בשול אפילו בחמי האור</w:t>
      </w:r>
      <w:r>
        <w:rPr>
          <w:rFonts w:cs="Arial" w:hint="cs"/>
          <w:sz w:val="16"/>
          <w:szCs w:val="16"/>
          <w:rtl/>
        </w:rPr>
        <w:t xml:space="preserve"> {היינו תולדות האור}</w:t>
      </w:r>
      <w:r w:rsidRPr="007B5DAF">
        <w:rPr>
          <w:rFonts w:cs="Arial"/>
          <w:rtl/>
        </w:rPr>
        <w:t xml:space="preserve"> היה חייב.</w:t>
      </w:r>
      <w:r>
        <w:rPr>
          <w:rFonts w:cs="Arial" w:hint="cs"/>
          <w:rtl/>
        </w:rPr>
        <w:t>..</w:t>
      </w:r>
      <w:r w:rsidRPr="007B5DAF">
        <w:rPr>
          <w:rFonts w:cs="Arial"/>
          <w:rtl/>
        </w:rPr>
        <w:t xml:space="preserve"> ומ"מ באור ממש אסור וזה נלמד מדין חזרת מצטמק ורע לו כנזכר פ"ג ופשוט הוא. ומה שכתב </w:t>
      </w:r>
      <w:r>
        <w:rPr>
          <w:rFonts w:cs="Arial" w:hint="cs"/>
          <w:rtl/>
        </w:rPr>
        <w:t>"</w:t>
      </w:r>
      <w:r w:rsidRPr="007B5DAF">
        <w:rPr>
          <w:rFonts w:cs="Arial"/>
          <w:rtl/>
        </w:rPr>
        <w:t>וכן דבר שאינו צריך בישול</w:t>
      </w:r>
      <w:r>
        <w:rPr>
          <w:rFonts w:cs="Arial" w:hint="cs"/>
          <w:rtl/>
        </w:rPr>
        <w:t>"</w:t>
      </w:r>
      <w:r w:rsidRPr="007B5DAF">
        <w:rPr>
          <w:rFonts w:cs="Arial"/>
          <w:rtl/>
        </w:rPr>
        <w:t xml:space="preserve"> פשוט הוא ונלמד ממה שנחלקו פרק כירה (מב</w:t>
      </w:r>
      <w:r>
        <w:rPr>
          <w:rFonts w:cs="Arial" w:hint="cs"/>
          <w:rtl/>
        </w:rPr>
        <w:t>.</w:t>
      </w:r>
      <w:r w:rsidRPr="007B5DAF">
        <w:rPr>
          <w:rFonts w:cs="Arial"/>
          <w:rtl/>
        </w:rPr>
        <w:t>) שמן אם יש בו משום בשול אם לאו</w:t>
      </w:r>
      <w:r>
        <w:rPr>
          <w:rFonts w:cs="Arial" w:hint="cs"/>
          <w:rtl/>
        </w:rPr>
        <w:t>,</w:t>
      </w:r>
      <w:r w:rsidRPr="007B5DAF">
        <w:rPr>
          <w:rFonts w:cs="Arial"/>
          <w:rtl/>
        </w:rPr>
        <w:t xml:space="preserve"> מכאן שדבר שאינו צריך בשול אין בו בשול לדברי הכל</w:t>
      </w:r>
      <w:r>
        <w:rPr>
          <w:rFonts w:hint="cs"/>
          <w:rtl/>
        </w:rPr>
        <w:t>, הה"מ (שם).</w:t>
      </w:r>
    </w:p>
  </w:footnote>
  <w:footnote w:id="2731">
    <w:p w14:paraId="6EC0C2B3" w14:textId="49474477" w:rsidR="005E7C7C" w:rsidRDefault="005E7C7C" w:rsidP="005E7C7C">
      <w:pPr>
        <w:pStyle w:val="a7"/>
        <w:rPr>
          <w:rtl/>
        </w:rPr>
      </w:pPr>
      <w:r>
        <w:rPr>
          <w:rStyle w:val="a9"/>
        </w:rPr>
        <w:footnoteRef/>
      </w:r>
      <w:r>
        <w:rPr>
          <w:rtl/>
        </w:rPr>
        <w:t xml:space="preserve"> </w:t>
      </w:r>
      <w:r w:rsidR="002151A6" w:rsidRPr="00D6454B">
        <w:rPr>
          <w:rFonts w:asciiTheme="minorBidi" w:hAnsiTheme="minorBidi" w:cs="Arial"/>
          <w:rtl/>
        </w:rPr>
        <w:t>ונראה מדבריו דאפילו לא נתבשל כמאכל בן דרוסאי נמי</w:t>
      </w:r>
      <w:r w:rsidR="002151A6">
        <w:rPr>
          <w:rFonts w:asciiTheme="minorBidi" w:hAnsiTheme="minorBidi" w:cs="Arial" w:hint="cs"/>
          <w:rtl/>
        </w:rPr>
        <w:t>,</w:t>
      </w:r>
      <w:r w:rsidR="002151A6" w:rsidRPr="00D6454B">
        <w:rPr>
          <w:rFonts w:asciiTheme="minorBidi" w:hAnsiTheme="minorBidi" w:cs="Arial"/>
          <w:rtl/>
        </w:rPr>
        <w:t xml:space="preserve"> כיון שנשרה במים רותחים </w:t>
      </w:r>
      <w:r w:rsidR="002151A6">
        <w:rPr>
          <w:rFonts w:asciiTheme="minorBidi" w:hAnsiTheme="minorBidi" w:cs="Arial" w:hint="cs"/>
          <w:rtl/>
        </w:rPr>
        <w:t xml:space="preserve">- </w:t>
      </w:r>
      <w:r w:rsidR="002151A6" w:rsidRPr="00D6454B">
        <w:rPr>
          <w:rFonts w:asciiTheme="minorBidi" w:hAnsiTheme="minorBidi" w:cs="Arial"/>
          <w:rtl/>
        </w:rPr>
        <w:t xml:space="preserve">חשיב מבושל לענין שלא יחשב כמבשל בשבת כששורה אותו בשבת בחמין </w:t>
      </w:r>
      <w:r w:rsidR="002151A6" w:rsidRPr="002151A6">
        <w:rPr>
          <w:rFonts w:asciiTheme="minorBidi" w:hAnsiTheme="minorBidi" w:cs="Arial" w:hint="cs"/>
          <w:sz w:val="16"/>
          <w:szCs w:val="16"/>
          <w:rtl/>
        </w:rPr>
        <w:t>(</w:t>
      </w:r>
      <w:r w:rsidR="002151A6" w:rsidRPr="002151A6">
        <w:rPr>
          <w:rFonts w:asciiTheme="minorBidi" w:hAnsiTheme="minorBidi" w:cs="Arial"/>
          <w:sz w:val="16"/>
          <w:szCs w:val="16"/>
          <w:rtl/>
        </w:rPr>
        <w:t xml:space="preserve">ונראה לי דלישנא דמתניתין קשיתיה דקתני </w:t>
      </w:r>
      <w:r w:rsidR="002151A6" w:rsidRPr="002151A6">
        <w:rPr>
          <w:rFonts w:asciiTheme="minorBidi" w:hAnsiTheme="minorBidi" w:cs="Arial" w:hint="cs"/>
          <w:sz w:val="16"/>
          <w:szCs w:val="16"/>
          <w:rtl/>
        </w:rPr>
        <w:t>"</w:t>
      </w:r>
      <w:r w:rsidR="002151A6" w:rsidRPr="002151A6">
        <w:rPr>
          <w:rFonts w:asciiTheme="minorBidi" w:hAnsiTheme="minorBidi" w:cs="Arial"/>
          <w:sz w:val="16"/>
          <w:szCs w:val="16"/>
          <w:rtl/>
        </w:rPr>
        <w:t>שבא בחמין</w:t>
      </w:r>
      <w:r w:rsidR="002151A6" w:rsidRPr="002151A6">
        <w:rPr>
          <w:rFonts w:asciiTheme="minorBidi" w:hAnsiTheme="minorBidi" w:cs="Arial" w:hint="cs"/>
          <w:sz w:val="16"/>
          <w:szCs w:val="16"/>
          <w:rtl/>
        </w:rPr>
        <w:t>",</w:t>
      </w:r>
      <w:r w:rsidR="002151A6" w:rsidRPr="002151A6">
        <w:rPr>
          <w:rFonts w:asciiTheme="minorBidi" w:hAnsiTheme="minorBidi" w:cs="Arial"/>
          <w:sz w:val="16"/>
          <w:szCs w:val="16"/>
          <w:rtl/>
        </w:rPr>
        <w:t xml:space="preserve"> ולא קתני </w:t>
      </w:r>
      <w:r w:rsidR="002151A6" w:rsidRPr="002151A6">
        <w:rPr>
          <w:rFonts w:asciiTheme="minorBidi" w:hAnsiTheme="minorBidi" w:cs="Arial" w:hint="cs"/>
          <w:sz w:val="16"/>
          <w:szCs w:val="16"/>
          <w:rtl/>
        </w:rPr>
        <w:t>"</w:t>
      </w:r>
      <w:r w:rsidR="002151A6" w:rsidRPr="002151A6">
        <w:rPr>
          <w:rFonts w:asciiTheme="minorBidi" w:hAnsiTheme="minorBidi" w:cs="Arial"/>
          <w:sz w:val="16"/>
          <w:szCs w:val="16"/>
          <w:rtl/>
        </w:rPr>
        <w:t>שנתבשל</w:t>
      </w:r>
      <w:r w:rsidR="002151A6" w:rsidRPr="002151A6">
        <w:rPr>
          <w:rFonts w:asciiTheme="minorBidi" w:hAnsiTheme="minorBidi" w:cs="Arial" w:hint="cs"/>
          <w:sz w:val="16"/>
          <w:szCs w:val="16"/>
          <w:rtl/>
        </w:rPr>
        <w:t>".</w:t>
      </w:r>
      <w:r w:rsidR="002151A6" w:rsidRPr="002151A6">
        <w:rPr>
          <w:rFonts w:asciiTheme="minorBidi" w:hAnsiTheme="minorBidi" w:cs="Arial"/>
          <w:sz w:val="16"/>
          <w:szCs w:val="16"/>
          <w:rtl/>
        </w:rPr>
        <w:t xml:space="preserve"> ומפני כך פירש רש"י בפרק כירה (לט.) כל שבא בחמין </w:t>
      </w:r>
      <w:r w:rsidR="002151A6" w:rsidRPr="002151A6">
        <w:rPr>
          <w:rFonts w:asciiTheme="minorBidi" w:hAnsiTheme="minorBidi" w:cs="Arial" w:hint="cs"/>
          <w:sz w:val="16"/>
          <w:szCs w:val="16"/>
          <w:rtl/>
        </w:rPr>
        <w:t>"</w:t>
      </w:r>
      <w:r w:rsidR="002151A6" w:rsidRPr="002151A6">
        <w:rPr>
          <w:rFonts w:asciiTheme="minorBidi" w:hAnsiTheme="minorBidi" w:cs="Arial"/>
          <w:sz w:val="16"/>
          <w:szCs w:val="16"/>
          <w:rtl/>
        </w:rPr>
        <w:t>כל מלוח שבא בחמין מערב שבת חוזרין ושורין אותו בחמין בשבת ואין בו משום תיקון שהרי נתקן כבר קצת</w:t>
      </w:r>
      <w:r w:rsidR="002151A6" w:rsidRPr="002151A6">
        <w:rPr>
          <w:rFonts w:asciiTheme="minorBidi" w:hAnsiTheme="minorBidi" w:cs="Arial" w:hint="cs"/>
          <w:sz w:val="16"/>
          <w:szCs w:val="16"/>
          <w:rtl/>
        </w:rPr>
        <w:t>" עכ"ל,</w:t>
      </w:r>
      <w:r w:rsidR="002151A6" w:rsidRPr="002151A6">
        <w:rPr>
          <w:rFonts w:asciiTheme="minorBidi" w:hAnsiTheme="minorBidi" w:cs="Arial"/>
          <w:sz w:val="16"/>
          <w:szCs w:val="16"/>
          <w:rtl/>
        </w:rPr>
        <w:t xml:space="preserve"> כלומר דבא בחמין דקתני קאי בין לדבר מליח בין לשאינו מליח</w:t>
      </w:r>
      <w:r w:rsidR="002151A6" w:rsidRPr="002151A6">
        <w:rPr>
          <w:rFonts w:asciiTheme="minorBidi" w:hAnsiTheme="minorBidi" w:cs="Arial" w:hint="cs"/>
          <w:sz w:val="16"/>
          <w:szCs w:val="16"/>
          <w:rtl/>
        </w:rPr>
        <w:t>,</w:t>
      </w:r>
      <w:r w:rsidR="002151A6" w:rsidRPr="002151A6">
        <w:rPr>
          <w:rFonts w:asciiTheme="minorBidi" w:hAnsiTheme="minorBidi" w:cs="Arial"/>
          <w:sz w:val="16"/>
          <w:szCs w:val="16"/>
          <w:rtl/>
        </w:rPr>
        <w:t xml:space="preserve"> בדבר מליח הוא ביאה לבד</w:t>
      </w:r>
      <w:r w:rsidR="002151A6" w:rsidRPr="002151A6">
        <w:rPr>
          <w:rFonts w:asciiTheme="minorBidi" w:hAnsiTheme="minorBidi" w:cs="Arial" w:hint="cs"/>
          <w:sz w:val="16"/>
          <w:szCs w:val="16"/>
          <w:rtl/>
        </w:rPr>
        <w:t>,</w:t>
      </w:r>
      <w:r w:rsidR="002151A6" w:rsidRPr="002151A6">
        <w:rPr>
          <w:rFonts w:asciiTheme="minorBidi" w:hAnsiTheme="minorBidi" w:cs="Arial"/>
          <w:sz w:val="16"/>
          <w:szCs w:val="16"/>
          <w:rtl/>
        </w:rPr>
        <w:t xml:space="preserve"> ובדבר שאינו מליח הוא בישול</w:t>
      </w:r>
      <w:r w:rsidR="002151A6" w:rsidRPr="002151A6">
        <w:rPr>
          <w:rFonts w:asciiTheme="minorBidi" w:hAnsiTheme="minorBidi" w:cs="Arial" w:hint="cs"/>
          <w:sz w:val="16"/>
          <w:szCs w:val="16"/>
          <w:rtl/>
        </w:rPr>
        <w:t>,</w:t>
      </w:r>
      <w:r w:rsidR="002151A6" w:rsidRPr="002151A6">
        <w:rPr>
          <w:rFonts w:asciiTheme="minorBidi" w:hAnsiTheme="minorBidi" w:cs="Arial"/>
          <w:sz w:val="16"/>
          <w:szCs w:val="16"/>
          <w:rtl/>
        </w:rPr>
        <w:t xml:space="preserve"> ואטו דבר מליח נקט שבא ולא נקט שנתבשל</w:t>
      </w:r>
      <w:r w:rsidR="002151A6" w:rsidRPr="002151A6">
        <w:rPr>
          <w:rFonts w:asciiTheme="minorBidi" w:hAnsiTheme="minorBidi" w:cs="Arial" w:hint="cs"/>
          <w:sz w:val="16"/>
          <w:szCs w:val="16"/>
          <w:rtl/>
        </w:rPr>
        <w:t>.</w:t>
      </w:r>
      <w:r w:rsidR="002151A6" w:rsidRPr="002151A6">
        <w:rPr>
          <w:rFonts w:asciiTheme="minorBidi" w:hAnsiTheme="minorBidi" w:cs="Arial"/>
          <w:sz w:val="16"/>
          <w:szCs w:val="16"/>
          <w:rtl/>
        </w:rPr>
        <w:t xml:space="preserve"> והרמב"ם לא נראה לו לידחק בכך ומשום הכי סתם וכתב דבר שנתבשל או נשרה ולא חילק בין מליח לשאינו מליח</w:t>
      </w:r>
      <w:r w:rsidR="002151A6" w:rsidRPr="002151A6">
        <w:rPr>
          <w:rFonts w:asciiTheme="minorBidi" w:hAnsiTheme="minorBidi" w:cs="Arial" w:hint="cs"/>
          <w:sz w:val="16"/>
          <w:szCs w:val="16"/>
          <w:rtl/>
        </w:rPr>
        <w:t>)</w:t>
      </w:r>
      <w:r w:rsidR="002151A6">
        <w:rPr>
          <w:rFonts w:asciiTheme="minorBidi" w:hAnsiTheme="minorBidi" w:cs="Arial" w:hint="cs"/>
          <w:rtl/>
        </w:rPr>
        <w:t xml:space="preserve">, </w:t>
      </w:r>
      <w:r w:rsidR="002151A6" w:rsidRPr="002151A6">
        <w:rPr>
          <w:rFonts w:asciiTheme="minorBidi" w:hAnsiTheme="minorBidi" w:cs="Arial" w:hint="cs"/>
          <w:b/>
          <w:bCs/>
          <w:rtl/>
        </w:rPr>
        <w:t>ב"י</w:t>
      </w:r>
      <w:r w:rsidR="002151A6">
        <w:rPr>
          <w:rFonts w:cs="Arial" w:hint="cs"/>
          <w:rtl/>
        </w:rPr>
        <w:t>.</w:t>
      </w:r>
      <w:r w:rsidR="002151A6" w:rsidRPr="00DD3262">
        <w:rPr>
          <w:rFonts w:cs="Arial"/>
          <w:rtl/>
        </w:rPr>
        <w:t xml:space="preserve"> </w:t>
      </w:r>
      <w:r w:rsidR="002151A6">
        <w:rPr>
          <w:rFonts w:cs="Arial" w:hint="cs"/>
          <w:rtl/>
        </w:rPr>
        <w:t xml:space="preserve">   </w:t>
      </w:r>
      <w:r w:rsidRPr="00DD3262">
        <w:rPr>
          <w:rFonts w:cs="Arial"/>
          <w:rtl/>
        </w:rPr>
        <w:t xml:space="preserve">וצריך עיון דהא לעיל (עמ' רלט ד"ה אבל) כתב </w:t>
      </w:r>
      <w:r w:rsidR="002151A6">
        <w:rPr>
          <w:rFonts w:cs="Arial" w:hint="cs"/>
          <w:sz w:val="16"/>
          <w:szCs w:val="16"/>
          <w:rtl/>
        </w:rPr>
        <w:t xml:space="preserve">{הב"י שהה"מ כתב} </w:t>
      </w:r>
      <w:r w:rsidRPr="00DD3262">
        <w:rPr>
          <w:rFonts w:cs="Arial"/>
          <w:rtl/>
        </w:rPr>
        <w:t xml:space="preserve">בשם הרמב"ם </w:t>
      </w:r>
      <w:r w:rsidR="002151A6">
        <w:rPr>
          <w:rFonts w:cs="Arial" w:hint="cs"/>
          <w:rtl/>
        </w:rPr>
        <w:t xml:space="preserve">(פ"ט ה"ג) </w:t>
      </w:r>
      <w:r w:rsidRPr="00DD3262">
        <w:rPr>
          <w:rFonts w:cs="Arial"/>
          <w:rtl/>
        </w:rPr>
        <w:t>דאפילו לשרות אסור אלא בנתבשל כל צרכו</w:t>
      </w:r>
      <w:r w:rsidR="002151A6">
        <w:rPr>
          <w:rFonts w:cs="Arial" w:hint="cs"/>
          <w:rtl/>
        </w:rPr>
        <w:t>.</w:t>
      </w:r>
      <w:r w:rsidRPr="00DD3262">
        <w:rPr>
          <w:rFonts w:cs="Arial"/>
          <w:rtl/>
        </w:rPr>
        <w:t xml:space="preserve"> ואין לחלק לדעת הרמב"ם בין דבר לח לדבר יבש כמו שכתבתי לעיל. וצריך עיון</w:t>
      </w:r>
      <w:r w:rsidR="002151A6">
        <w:rPr>
          <w:rFonts w:cs="Arial" w:hint="cs"/>
          <w:rtl/>
        </w:rPr>
        <w:t>,</w:t>
      </w:r>
      <w:r w:rsidR="002151A6" w:rsidRPr="002151A6">
        <w:rPr>
          <w:rFonts w:cs="Arial" w:hint="cs"/>
          <w:b/>
          <w:bCs/>
          <w:rtl/>
        </w:rPr>
        <w:t xml:space="preserve"> דרכ"מ</w:t>
      </w:r>
      <w:r w:rsidR="002151A6">
        <w:rPr>
          <w:rFonts w:cs="Arial" w:hint="cs"/>
          <w:rtl/>
        </w:rPr>
        <w:t xml:space="preserve"> (אות ג). </w:t>
      </w:r>
      <w:r w:rsidR="00080CFC">
        <w:rPr>
          <w:rFonts w:cs="Arial" w:hint="cs"/>
          <w:rtl/>
        </w:rPr>
        <w:t xml:space="preserve">   </w:t>
      </w:r>
      <w:r w:rsidR="002151A6">
        <w:rPr>
          <w:rFonts w:cs="Arial" w:hint="cs"/>
          <w:rtl/>
        </w:rPr>
        <w:t>ונראה דיש לחלק בין מה שכתב בפ</w:t>
      </w:r>
      <w:r w:rsidR="00080CFC">
        <w:rPr>
          <w:rFonts w:cs="Arial" w:hint="cs"/>
          <w:rtl/>
        </w:rPr>
        <w:t xml:space="preserve">רק </w:t>
      </w:r>
      <w:r w:rsidR="002151A6">
        <w:rPr>
          <w:rFonts w:cs="Arial" w:hint="cs"/>
          <w:rtl/>
        </w:rPr>
        <w:t>ט</w:t>
      </w:r>
      <w:r w:rsidR="00080CFC">
        <w:rPr>
          <w:rFonts w:cs="Arial" w:hint="cs"/>
          <w:rtl/>
        </w:rPr>
        <w:t>, למה שכתב כאן בפרק כ"ב.</w:t>
      </w:r>
      <w:r w:rsidR="002151A6">
        <w:rPr>
          <w:rFonts w:cs="Arial" w:hint="cs"/>
          <w:rtl/>
        </w:rPr>
        <w:t xml:space="preserve"> דשם </w:t>
      </w:r>
      <w:r w:rsidR="00080CFC">
        <w:rPr>
          <w:rFonts w:cs="Arial" w:hint="cs"/>
          <w:rtl/>
        </w:rPr>
        <w:t xml:space="preserve">(פ"ט) </w:t>
      </w:r>
      <w:r w:rsidR="002151A6">
        <w:rPr>
          <w:rFonts w:cs="Arial" w:hint="cs"/>
          <w:rtl/>
        </w:rPr>
        <w:t>מיירי לעניין בישול על האור</w:t>
      </w:r>
      <w:r w:rsidR="00080CFC">
        <w:rPr>
          <w:rFonts w:cs="Arial" w:hint="cs"/>
          <w:rtl/>
        </w:rPr>
        <w:t xml:space="preserve"> בשבת</w:t>
      </w:r>
      <w:r w:rsidR="002151A6">
        <w:rPr>
          <w:rFonts w:cs="Arial" w:hint="cs"/>
          <w:rtl/>
        </w:rPr>
        <w:t>, שבזה פטור אבל אסור רק אם נתבשל כל צורכו</w:t>
      </w:r>
      <w:r w:rsidR="00080CFC">
        <w:rPr>
          <w:rFonts w:cs="Arial" w:hint="cs"/>
          <w:rtl/>
        </w:rPr>
        <w:t>. וכאן (</w:t>
      </w:r>
      <w:r w:rsidR="002151A6">
        <w:rPr>
          <w:rFonts w:cs="Arial" w:hint="cs"/>
          <w:rtl/>
        </w:rPr>
        <w:t>פכ"ב</w:t>
      </w:r>
      <w:r w:rsidR="00080CFC">
        <w:rPr>
          <w:rFonts w:cs="Arial" w:hint="cs"/>
          <w:rtl/>
        </w:rPr>
        <w:t xml:space="preserve">) </w:t>
      </w:r>
      <w:r w:rsidR="002151A6">
        <w:rPr>
          <w:rFonts w:cs="Arial" w:hint="cs"/>
          <w:rtl/>
        </w:rPr>
        <w:t>מיירי לעניין לשרותו</w:t>
      </w:r>
      <w:r w:rsidR="00080CFC">
        <w:rPr>
          <w:rFonts w:cs="Arial" w:hint="cs"/>
          <w:rtl/>
        </w:rPr>
        <w:t xml:space="preserve"> בשבת</w:t>
      </w:r>
      <w:r w:rsidR="002151A6">
        <w:rPr>
          <w:rFonts w:cs="Arial" w:hint="cs"/>
          <w:rtl/>
        </w:rPr>
        <w:t xml:space="preserve">, ובזה מותר גם אם </w:t>
      </w:r>
      <w:r w:rsidR="00080CFC">
        <w:rPr>
          <w:rFonts w:cs="Arial" w:hint="cs"/>
          <w:rtl/>
        </w:rPr>
        <w:t>שראו רק עד שהגיע למאב"ד.</w:t>
      </w:r>
    </w:p>
  </w:footnote>
  <w:footnote w:id="2732">
    <w:p w14:paraId="1DF54370" w14:textId="6156EA54" w:rsidR="00890261" w:rsidRDefault="00890261" w:rsidP="00890261">
      <w:pPr>
        <w:pStyle w:val="a7"/>
      </w:pPr>
      <w:r>
        <w:rPr>
          <w:rStyle w:val="a9"/>
        </w:rPr>
        <w:footnoteRef/>
      </w:r>
      <w:r>
        <w:rPr>
          <w:rtl/>
        </w:rPr>
        <w:t xml:space="preserve"> </w:t>
      </w:r>
      <w:r w:rsidR="00E60FBB" w:rsidRPr="0080099F">
        <w:rPr>
          <w:rFonts w:asciiTheme="minorBidi" w:hAnsiTheme="minorBidi" w:cs="Arial"/>
          <w:rtl/>
        </w:rPr>
        <w:t>או כנגד המדורה ואפילו במקום שהיד סולדת בו שאין דרך בשול בכך</w:t>
      </w:r>
      <w:r w:rsidR="00E60FBB">
        <w:rPr>
          <w:rFonts w:asciiTheme="minorBidi" w:hAnsiTheme="minorBidi" w:cs="Arial" w:hint="cs"/>
          <w:rtl/>
        </w:rPr>
        <w:t>.</w:t>
      </w:r>
      <w:r w:rsidR="00E60FBB" w:rsidRPr="0080099F">
        <w:rPr>
          <w:rFonts w:asciiTheme="minorBidi" w:hAnsiTheme="minorBidi" w:cs="Arial"/>
          <w:rtl/>
        </w:rPr>
        <w:t xml:space="preserve"> וראיה לדבר מדתנן </w:t>
      </w:r>
      <w:r w:rsidR="00E60FBB">
        <w:rPr>
          <w:rFonts w:asciiTheme="minorBidi" w:hAnsiTheme="minorBidi" w:cs="Arial" w:hint="cs"/>
          <w:rtl/>
        </w:rPr>
        <w:t>(</w:t>
      </w:r>
      <w:r w:rsidR="00E60FBB" w:rsidRPr="0080099F">
        <w:rPr>
          <w:rFonts w:asciiTheme="minorBidi" w:hAnsiTheme="minorBidi" w:cs="Arial"/>
          <w:rtl/>
        </w:rPr>
        <w:t>קמה</w:t>
      </w:r>
      <w:r w:rsidR="00E60FBB">
        <w:rPr>
          <w:rFonts w:asciiTheme="minorBidi" w:hAnsiTheme="minorBidi" w:cs="Arial" w:hint="cs"/>
          <w:rtl/>
        </w:rPr>
        <w:t>:)</w:t>
      </w:r>
      <w:r w:rsidR="00E60FBB" w:rsidRPr="0080099F">
        <w:rPr>
          <w:rFonts w:asciiTheme="minorBidi" w:hAnsiTheme="minorBidi" w:cs="Arial"/>
          <w:rtl/>
        </w:rPr>
        <w:t xml:space="preserve"> כל שבא בחמין לפני השבת שורין אותו בחמין בשבת</w:t>
      </w:r>
      <w:r w:rsidR="00E60FBB">
        <w:rPr>
          <w:rFonts w:asciiTheme="minorBidi" w:hAnsiTheme="minorBidi" w:cs="Arial" w:hint="cs"/>
          <w:rtl/>
        </w:rPr>
        <w:t>.</w:t>
      </w:r>
      <w:r w:rsidR="00E60FBB" w:rsidRPr="0080099F">
        <w:rPr>
          <w:rFonts w:asciiTheme="minorBidi" w:hAnsiTheme="minorBidi" w:cs="Arial"/>
          <w:rtl/>
        </w:rPr>
        <w:t xml:space="preserve"> כלומר אפילו בכלי ראשון</w:t>
      </w:r>
      <w:r w:rsidR="00E60FBB">
        <w:rPr>
          <w:rFonts w:asciiTheme="minorBidi" w:hAnsiTheme="minorBidi" w:cs="Arial" w:hint="cs"/>
          <w:rtl/>
        </w:rPr>
        <w:t>,</w:t>
      </w:r>
      <w:r w:rsidR="00E60FBB" w:rsidRPr="0080099F">
        <w:rPr>
          <w:rFonts w:asciiTheme="minorBidi" w:hAnsiTheme="minorBidi" w:cs="Arial"/>
          <w:rtl/>
        </w:rPr>
        <w:t xml:space="preserve"> אע</w:t>
      </w:r>
      <w:r w:rsidR="00E60FBB">
        <w:rPr>
          <w:rFonts w:asciiTheme="minorBidi" w:hAnsiTheme="minorBidi" w:cs="Arial" w:hint="cs"/>
          <w:rtl/>
        </w:rPr>
        <w:t>"</w:t>
      </w:r>
      <w:r w:rsidR="00E60FBB" w:rsidRPr="0080099F">
        <w:rPr>
          <w:rFonts w:asciiTheme="minorBidi" w:hAnsiTheme="minorBidi" w:cs="Arial"/>
          <w:rtl/>
        </w:rPr>
        <w:t>פ שתולדות האור כאור והמבשל בה חייב חטאת כמבשל על גבי האש ממ</w:t>
      </w:r>
      <w:r w:rsidR="00E60FBB">
        <w:rPr>
          <w:rFonts w:asciiTheme="minorBidi" w:hAnsiTheme="minorBidi" w:cs="Arial" w:hint="cs"/>
          <w:rtl/>
        </w:rPr>
        <w:t xml:space="preserve">ש. </w:t>
      </w:r>
      <w:r w:rsidRPr="0080099F">
        <w:rPr>
          <w:rFonts w:asciiTheme="minorBidi" w:hAnsiTheme="minorBidi" w:cs="Arial"/>
          <w:rtl/>
        </w:rPr>
        <w:t>ומיהו דוקא בכלי ראשון או כנגד המדורה אבל על גבי האש ממש אסור אא</w:t>
      </w:r>
      <w:r>
        <w:rPr>
          <w:rFonts w:asciiTheme="minorBidi" w:hAnsiTheme="minorBidi" w:cs="Arial" w:hint="cs"/>
          <w:rtl/>
        </w:rPr>
        <w:t>"</w:t>
      </w:r>
      <w:r w:rsidRPr="0080099F">
        <w:rPr>
          <w:rFonts w:asciiTheme="minorBidi" w:hAnsiTheme="minorBidi" w:cs="Arial"/>
          <w:rtl/>
        </w:rPr>
        <w:t>כ גרוף או קטום</w:t>
      </w:r>
      <w:r>
        <w:rPr>
          <w:rFonts w:asciiTheme="minorBidi" w:hAnsiTheme="minorBidi" w:cs="Arial" w:hint="cs"/>
          <w:rtl/>
        </w:rPr>
        <w:t>,</w:t>
      </w:r>
      <w:r w:rsidRPr="0080099F">
        <w:rPr>
          <w:rFonts w:asciiTheme="minorBidi" w:hAnsiTheme="minorBidi" w:cs="Arial"/>
          <w:rtl/>
        </w:rPr>
        <w:t xml:space="preserve"> דהא אסקינן לעיל </w:t>
      </w:r>
      <w:r w:rsidRPr="0080099F">
        <w:rPr>
          <w:rFonts w:asciiTheme="minorBidi" w:hAnsiTheme="minorBidi" w:cs="Arial"/>
          <w:sz w:val="16"/>
          <w:szCs w:val="16"/>
          <w:rtl/>
        </w:rPr>
        <w:t>(ר"ן טז: ד"ה ותו)</w:t>
      </w:r>
      <w:r>
        <w:rPr>
          <w:rFonts w:asciiTheme="minorBidi" w:hAnsiTheme="minorBidi" w:cs="Arial" w:hint="cs"/>
          <w:rtl/>
        </w:rPr>
        <w:t xml:space="preserve"> </w:t>
      </w:r>
      <w:r w:rsidRPr="0080099F">
        <w:rPr>
          <w:rFonts w:asciiTheme="minorBidi" w:hAnsiTheme="minorBidi" w:cs="Arial"/>
          <w:rtl/>
        </w:rPr>
        <w:t>דאפילו תבשיל המצטמק ורע לו אסור להחזירו על גבי כירה שאינה גרופה ואינה קטומה</w:t>
      </w:r>
      <w:r>
        <w:rPr>
          <w:rFonts w:asciiTheme="minorBidi" w:hAnsiTheme="minorBidi" w:cs="Arial" w:hint="cs"/>
          <w:rtl/>
        </w:rPr>
        <w:t>, ר"ן (שם).</w:t>
      </w:r>
    </w:p>
  </w:footnote>
  <w:footnote w:id="2733">
    <w:p w14:paraId="562A3B63" w14:textId="25D166D5" w:rsidR="00FE47AA" w:rsidRDefault="00FE47AA">
      <w:pPr>
        <w:pStyle w:val="a7"/>
        <w:rPr>
          <w:rtl/>
        </w:rPr>
      </w:pPr>
      <w:r>
        <w:rPr>
          <w:rStyle w:val="a9"/>
        </w:rPr>
        <w:footnoteRef/>
      </w:r>
      <w:r>
        <w:rPr>
          <w:rtl/>
        </w:rPr>
        <w:t xml:space="preserve"> </w:t>
      </w:r>
      <w:r>
        <w:rPr>
          <w:rFonts w:hint="cs"/>
          <w:rtl/>
        </w:rPr>
        <w:t xml:space="preserve">יוצא מדברי הב"י שאם הוא נאכל מחמת מלחו - מותר להדיחו גם במים חמים. ואם לא נאכל מחמת מלחו - יהיה אסור </w:t>
      </w:r>
      <w:r w:rsidR="00CA5E21">
        <w:rPr>
          <w:rFonts w:hint="cs"/>
          <w:rtl/>
        </w:rPr>
        <w:t xml:space="preserve">להדיחו </w:t>
      </w:r>
      <w:r>
        <w:rPr>
          <w:rFonts w:hint="cs"/>
          <w:rtl/>
        </w:rPr>
        <w:t>גם במים קרים. ו</w:t>
      </w:r>
      <w:r w:rsidR="00D44C17">
        <w:rPr>
          <w:rFonts w:hint="cs"/>
          <w:rtl/>
        </w:rPr>
        <w:t>הבי</w:t>
      </w:r>
      <w:r w:rsidR="00E67088">
        <w:rPr>
          <w:rFonts w:hint="cs"/>
          <w:rtl/>
        </w:rPr>
        <w:t>א</w:t>
      </w:r>
      <w:r w:rsidR="00D44C17">
        <w:rPr>
          <w:rFonts w:hint="cs"/>
          <w:rtl/>
        </w:rPr>
        <w:t xml:space="preserve"> המג"א (סקט"ז)</w:t>
      </w:r>
      <w:r w:rsidR="00CA5E21">
        <w:rPr>
          <w:rFonts w:hint="cs"/>
          <w:rtl/>
        </w:rPr>
        <w:t xml:space="preserve"> את דברי הב"י</w:t>
      </w:r>
      <w:r w:rsidR="00D44C17">
        <w:rPr>
          <w:rFonts w:hint="cs"/>
          <w:rtl/>
        </w:rPr>
        <w:t>.</w:t>
      </w:r>
    </w:p>
  </w:footnote>
  <w:footnote w:id="2734">
    <w:p w14:paraId="6DCFCFF3" w14:textId="5B7AD53A" w:rsidR="00410921" w:rsidRDefault="00410921">
      <w:pPr>
        <w:pStyle w:val="a7"/>
      </w:pPr>
      <w:r>
        <w:rPr>
          <w:rStyle w:val="a9"/>
        </w:rPr>
        <w:footnoteRef/>
      </w:r>
      <w:r>
        <w:rPr>
          <w:rtl/>
        </w:rPr>
        <w:t xml:space="preserve"> </w:t>
      </w:r>
      <w:r w:rsidRPr="00410921">
        <w:rPr>
          <w:rFonts w:cs="Arial"/>
          <w:rtl/>
        </w:rPr>
        <w:t>אבל אם מצטמק ורע לו מותר להניח סמוך למדורה אפילו במקום שהיס"ב ועיין בב"ח שפסק כסברא הראשונה דאין חילוק בזה וכן משמע בביאור הגר"א</w:t>
      </w:r>
      <w:r>
        <w:rPr>
          <w:rFonts w:cs="Arial" w:hint="cs"/>
          <w:rtl/>
        </w:rPr>
        <w:t xml:space="preserve"> </w:t>
      </w:r>
      <w:r w:rsidRPr="00410921">
        <w:rPr>
          <w:rFonts w:cs="Arial" w:hint="cs"/>
          <w:sz w:val="16"/>
          <w:szCs w:val="16"/>
          <w:rtl/>
        </w:rPr>
        <w:t>{</w:t>
      </w:r>
      <w:r w:rsidRPr="00410921">
        <w:rPr>
          <w:rFonts w:cs="Arial"/>
          <w:sz w:val="16"/>
          <w:szCs w:val="16"/>
          <w:rtl/>
        </w:rPr>
        <w:t>שהוכיח מגמרא דאין חילוק, ודלא כט"ז שמצדד להורות כהיש אומרים</w:t>
      </w:r>
      <w:r>
        <w:rPr>
          <w:rFonts w:cs="Arial" w:hint="cs"/>
          <w:sz w:val="16"/>
          <w:szCs w:val="16"/>
          <w:rtl/>
        </w:rPr>
        <w:t>, שעה"צ [סקל"ו]</w:t>
      </w:r>
      <w:r w:rsidRPr="00410921">
        <w:rPr>
          <w:rFonts w:cs="Arial" w:hint="cs"/>
          <w:sz w:val="16"/>
          <w:szCs w:val="16"/>
          <w:rtl/>
        </w:rPr>
        <w:t>}</w:t>
      </w:r>
      <w:r>
        <w:rPr>
          <w:rFonts w:cs="Arial" w:hint="cs"/>
          <w:rtl/>
        </w:rPr>
        <w:t>, משנ"ב (סקכ"ה).</w:t>
      </w:r>
    </w:p>
  </w:footnote>
  <w:footnote w:id="2735">
    <w:p w14:paraId="54FE9F41" w14:textId="36774121"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אפילו בכ"ר </w:t>
      </w:r>
      <w:r w:rsidRPr="008C1C8E">
        <w:rPr>
          <w:rFonts w:asciiTheme="minorBidi" w:hAnsiTheme="minorBidi"/>
          <w:sz w:val="16"/>
          <w:szCs w:val="16"/>
          <w:rtl/>
        </w:rPr>
        <w:t>(וכמו שכתוב סט"ו דאין בישול אחר בישול וכ"כ התוספות והמרדכי ור"ן, דלא כב"ח דמחמיר בכ"ר)</w:t>
      </w:r>
      <w:r w:rsidRPr="008C1C8E">
        <w:rPr>
          <w:rFonts w:asciiTheme="minorBidi" w:hAnsiTheme="minorBidi"/>
          <w:rtl/>
        </w:rPr>
        <w:t>, ומשמע מל' השו"ע דאם לא נתבשל מער"ש אלא רק נשרה בחמין אסור לשרותו בחמין בשבת</w:t>
      </w:r>
      <w:r w:rsidRPr="008C1C8E">
        <w:rPr>
          <w:rFonts w:asciiTheme="minorBidi" w:hAnsiTheme="minorBidi"/>
          <w:sz w:val="16"/>
          <w:szCs w:val="16"/>
          <w:rtl/>
        </w:rPr>
        <w:t xml:space="preserve"> (מזה ששינה השו"ע מל' הגמ'</w:t>
      </w:r>
      <w:r w:rsidR="005E5C7D">
        <w:rPr>
          <w:rFonts w:asciiTheme="minorBidi" w:hAnsiTheme="minorBidi" w:hint="cs"/>
          <w:sz w:val="16"/>
          <w:szCs w:val="16"/>
          <w:rtl/>
        </w:rPr>
        <w:t>,</w:t>
      </w:r>
      <w:r w:rsidRPr="008C1C8E">
        <w:rPr>
          <w:rFonts w:asciiTheme="minorBidi" w:hAnsiTheme="minorBidi"/>
          <w:sz w:val="16"/>
          <w:szCs w:val="16"/>
          <w:rtl/>
        </w:rPr>
        <w:t xml:space="preserve"> שכ' "נתבשל" במקום "בא בחמין")</w:t>
      </w:r>
      <w:r w:rsidRPr="008C1C8E">
        <w:rPr>
          <w:rFonts w:asciiTheme="minorBidi" w:hAnsiTheme="minorBidi"/>
          <w:rtl/>
        </w:rPr>
        <w:t xml:space="preserve">, וטוב להחמיר אם היד סולדת בחמין, מג"א (סקי"ד). </w:t>
      </w:r>
    </w:p>
  </w:footnote>
  <w:footnote w:id="2736">
    <w:p w14:paraId="47305EA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היינו שמערין עליו מכלי שני (ועסי"א דאפי' בדבר לח שרי) אבל אסור לשרותו אפי' בכלי שני דמחזי כמבשל, ר"י, מג"א (סקט"ו).</w:t>
      </w:r>
    </w:p>
  </w:footnote>
  <w:footnote w:id="2737">
    <w:p w14:paraId="25ABDE92" w14:textId="3843F21B"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משמע דבמים צוננים מותר, ולכן מותר לרחוץ הערינ"ג בשבת בצוננים אפי' הוא מלוח הרבה, וכ"כ ב"י </w:t>
      </w:r>
      <w:r w:rsidRPr="008C1C8E">
        <w:rPr>
          <w:rFonts w:asciiTheme="minorBidi" w:hAnsiTheme="minorBidi"/>
          <w:sz w:val="16"/>
          <w:szCs w:val="16"/>
          <w:rtl/>
        </w:rPr>
        <w:t>(עמ' תז)</w:t>
      </w:r>
      <w:r w:rsidRPr="008C1C8E">
        <w:rPr>
          <w:rFonts w:asciiTheme="minorBidi" w:hAnsiTheme="minorBidi"/>
          <w:rtl/>
        </w:rPr>
        <w:t xml:space="preserve"> בשם הפרדס בדג שקורין טונינא, ט"ז (סק"ה).</w:t>
      </w:r>
    </w:p>
  </w:footnote>
  <w:footnote w:id="2738">
    <w:p w14:paraId="4D865FD4"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וה"ה דבר מלוח שאין יכולין לאוכלו כלל בלא הדחה (ב"י</w:t>
      </w:r>
      <w:r w:rsidRPr="008C1C8E">
        <w:rPr>
          <w:rFonts w:asciiTheme="minorBidi" w:hAnsiTheme="minorBidi"/>
          <w:sz w:val="16"/>
          <w:szCs w:val="16"/>
          <w:rtl/>
        </w:rPr>
        <w:t xml:space="preserve"> עמ' תז ד"ה קולייס</w:t>
      </w:r>
      <w:r w:rsidRPr="008C1C8E">
        <w:rPr>
          <w:rFonts w:asciiTheme="minorBidi" w:hAnsiTheme="minorBidi"/>
          <w:rtl/>
        </w:rPr>
        <w:t xml:space="preserve"> וליקוטי פרדס </w:t>
      </w:r>
      <w:r w:rsidRPr="008C1C8E">
        <w:rPr>
          <w:rFonts w:asciiTheme="minorBidi" w:hAnsiTheme="minorBidi"/>
          <w:sz w:val="16"/>
          <w:szCs w:val="16"/>
          <w:rtl/>
        </w:rPr>
        <w:t>לח:</w:t>
      </w:r>
      <w:r w:rsidRPr="008C1C8E">
        <w:rPr>
          <w:rFonts w:asciiTheme="minorBidi" w:hAnsiTheme="minorBidi"/>
          <w:rtl/>
        </w:rPr>
        <w:t>) ואיתא בגמ' דאם הדיח חייב, מג"א (סקט"ז).</w:t>
      </w:r>
    </w:p>
  </w:footnote>
  <w:footnote w:id="2739">
    <w:p w14:paraId="7DF58ABC" w14:textId="3AEB56B4" w:rsidR="00E70CF5" w:rsidRDefault="00E70CF5">
      <w:pPr>
        <w:pStyle w:val="a7"/>
        <w:rPr>
          <w:rtl/>
        </w:rPr>
      </w:pPr>
      <w:r>
        <w:rPr>
          <w:rStyle w:val="a9"/>
        </w:rPr>
        <w:footnoteRef/>
      </w:r>
      <w:r>
        <w:rPr>
          <w:rtl/>
        </w:rPr>
        <w:t xml:space="preserve"> </w:t>
      </w:r>
      <w:r w:rsidRPr="00E70CF5">
        <w:rPr>
          <w:rFonts w:cs="Arial"/>
          <w:rtl/>
        </w:rPr>
        <w:t>רבויא הוא, דהוה ליה למיכתב נא ומבושל</w:t>
      </w:r>
      <w:r>
        <w:rPr>
          <w:rFonts w:cs="Arial" w:hint="cs"/>
          <w:rtl/>
        </w:rPr>
        <w:t>, רש"י.</w:t>
      </w:r>
    </w:p>
  </w:footnote>
  <w:footnote w:id="2740">
    <w:p w14:paraId="0D5CF783" w14:textId="1976E1EA" w:rsidR="00E70CF5" w:rsidRDefault="00E70CF5">
      <w:pPr>
        <w:pStyle w:val="a7"/>
        <w:rPr>
          <w:rtl/>
        </w:rPr>
      </w:pPr>
      <w:r>
        <w:rPr>
          <w:rStyle w:val="a9"/>
        </w:rPr>
        <w:footnoteRef/>
      </w:r>
      <w:r>
        <w:rPr>
          <w:rtl/>
        </w:rPr>
        <w:t xml:space="preserve"> </w:t>
      </w:r>
      <w:r w:rsidRPr="00E70CF5">
        <w:rPr>
          <w:rFonts w:cs="Arial"/>
          <w:rtl/>
        </w:rPr>
        <w:t>שמבשלין אותו בקדירה בלא מים ובלא שום משקה, אלא מים הנפלטין משמנו, למאן דיליף לה מקל וחומר - הכא שרי, לרבי דיליף מרבויא - האי נמי בשל מבושל הוא</w:t>
      </w:r>
      <w:r>
        <w:rPr>
          <w:rFonts w:hint="cs"/>
          <w:rtl/>
        </w:rPr>
        <w:t>, רש"י.</w:t>
      </w:r>
    </w:p>
  </w:footnote>
  <w:footnote w:id="2741">
    <w:p w14:paraId="36528935" w14:textId="13BF1A65" w:rsidR="00E70CF5" w:rsidRDefault="00E70CF5">
      <w:pPr>
        <w:pStyle w:val="a7"/>
        <w:rPr>
          <w:rtl/>
        </w:rPr>
      </w:pPr>
      <w:r>
        <w:rPr>
          <w:rStyle w:val="a9"/>
        </w:rPr>
        <w:footnoteRef/>
      </w:r>
      <w:r>
        <w:rPr>
          <w:rtl/>
        </w:rPr>
        <w:t xml:space="preserve"> </w:t>
      </w:r>
      <w:r w:rsidRPr="00E70CF5">
        <w:rPr>
          <w:rFonts w:cs="Arial"/>
          <w:rtl/>
        </w:rPr>
        <w:t>מלקות על אכילתו</w:t>
      </w:r>
      <w:r>
        <w:rPr>
          <w:rFonts w:hint="cs"/>
          <w:rtl/>
        </w:rPr>
        <w:t>, רש"י.</w:t>
      </w:r>
    </w:p>
  </w:footnote>
  <w:footnote w:id="2742">
    <w:p w14:paraId="1342AA85" w14:textId="2DF3577C" w:rsidR="00E70CF5" w:rsidRDefault="00E70CF5">
      <w:pPr>
        <w:pStyle w:val="a7"/>
        <w:rPr>
          <w:rtl/>
        </w:rPr>
      </w:pPr>
      <w:r>
        <w:rPr>
          <w:rStyle w:val="a9"/>
        </w:rPr>
        <w:footnoteRef/>
      </w:r>
      <w:r>
        <w:rPr>
          <w:rtl/>
        </w:rPr>
        <w:t xml:space="preserve"> </w:t>
      </w:r>
      <w:r w:rsidRPr="00E70CF5">
        <w:rPr>
          <w:rFonts w:cs="Arial"/>
          <w:rtl/>
        </w:rPr>
        <w:t>דאמר בישול לאחר אפיה - בישול הוא</w:t>
      </w:r>
      <w:r>
        <w:rPr>
          <w:rFonts w:hint="cs"/>
          <w:rtl/>
        </w:rPr>
        <w:t>, רש"י.</w:t>
      </w:r>
    </w:p>
  </w:footnote>
  <w:footnote w:id="2743">
    <w:p w14:paraId="3F80D174" w14:textId="6DD4FDAC" w:rsidR="00E70CF5" w:rsidRDefault="00E70CF5">
      <w:pPr>
        <w:pStyle w:val="a7"/>
        <w:rPr>
          <w:rtl/>
        </w:rPr>
      </w:pPr>
      <w:r>
        <w:rPr>
          <w:rStyle w:val="a9"/>
        </w:rPr>
        <w:footnoteRef/>
      </w:r>
      <w:r>
        <w:rPr>
          <w:rtl/>
        </w:rPr>
        <w:t xml:space="preserve"> </w:t>
      </w:r>
      <w:r w:rsidRPr="00E70CF5">
        <w:rPr>
          <w:rFonts w:cs="Arial"/>
          <w:rtl/>
        </w:rPr>
        <w:t>ידי חובת מצה ברקיק השרוי בתבשיל לאחר אפייתו, ואע</w:t>
      </w:r>
      <w:r>
        <w:rPr>
          <w:rFonts w:cs="Arial" w:hint="cs"/>
          <w:rtl/>
        </w:rPr>
        <w:t>"</w:t>
      </w:r>
      <w:r w:rsidRPr="00E70CF5">
        <w:rPr>
          <w:rFonts w:cs="Arial"/>
          <w:rtl/>
        </w:rPr>
        <w:t>פ שמתמסמס - לחם הוא, כל זמן שהוא קיים, שלא נימוח לגמרי, וכן במבושל</w:t>
      </w:r>
      <w:r>
        <w:rPr>
          <w:rFonts w:hint="cs"/>
          <w:rtl/>
        </w:rPr>
        <w:t>, רש"י.</w:t>
      </w:r>
    </w:p>
  </w:footnote>
  <w:footnote w:id="2744">
    <w:p w14:paraId="74ADE6D3" w14:textId="6C35C744" w:rsidR="00E70CF5" w:rsidRDefault="00E70CF5">
      <w:pPr>
        <w:pStyle w:val="a7"/>
        <w:rPr>
          <w:rtl/>
        </w:rPr>
      </w:pPr>
      <w:r>
        <w:rPr>
          <w:rStyle w:val="a9"/>
        </w:rPr>
        <w:footnoteRef/>
      </w:r>
      <w:r>
        <w:rPr>
          <w:rtl/>
        </w:rPr>
        <w:t xml:space="preserve"> </w:t>
      </w:r>
      <w:r w:rsidRPr="00E70CF5">
        <w:rPr>
          <w:rFonts w:cs="Arial"/>
          <w:rtl/>
        </w:rPr>
        <w:t>דלאו לחם קרינא ביה, ואף על פי שכבר נאפה בתנור - הואיל וחזר ובישלו - ביטלו מתורת לחם</w:t>
      </w:r>
      <w:r>
        <w:rPr>
          <w:rFonts w:hint="cs"/>
          <w:rtl/>
        </w:rPr>
        <w:t>, רש"י.</w:t>
      </w:r>
    </w:p>
  </w:footnote>
  <w:footnote w:id="2745">
    <w:p w14:paraId="3D70C0AB" w14:textId="2E76779D" w:rsidR="00231B06" w:rsidRDefault="00231B06">
      <w:pPr>
        <w:pStyle w:val="a7"/>
        <w:rPr>
          <w:rtl/>
        </w:rPr>
      </w:pPr>
      <w:r>
        <w:rPr>
          <w:rStyle w:val="a9"/>
        </w:rPr>
        <w:footnoteRef/>
      </w:r>
      <w:r>
        <w:rPr>
          <w:rtl/>
        </w:rPr>
        <w:t xml:space="preserve"> </w:t>
      </w:r>
      <w:r w:rsidRPr="00231B06">
        <w:rPr>
          <w:rFonts w:cs="Arial"/>
          <w:rtl/>
        </w:rPr>
        <w:t>שאני הכא דרבייה קרא - ובשל מבושל, דהוי ליה למכתב ומבושל, וגזירת הכתוב הוא בפסח</w:t>
      </w:r>
      <w:r>
        <w:rPr>
          <w:rFonts w:hint="cs"/>
          <w:rtl/>
        </w:rPr>
        <w:t>, רש"י.</w:t>
      </w:r>
    </w:p>
  </w:footnote>
  <w:footnote w:id="2746">
    <w:p w14:paraId="1B2EC70A" w14:textId="2EA0AC68" w:rsidR="0065569D" w:rsidRDefault="0065569D">
      <w:pPr>
        <w:pStyle w:val="a7"/>
        <w:rPr>
          <w:rtl/>
        </w:rPr>
      </w:pPr>
      <w:r>
        <w:rPr>
          <w:rStyle w:val="a9"/>
        </w:rPr>
        <w:footnoteRef/>
      </w:r>
      <w:r>
        <w:rPr>
          <w:rtl/>
        </w:rPr>
        <w:t xml:space="preserve"> </w:t>
      </w:r>
      <w:r>
        <w:rPr>
          <w:rFonts w:hint="cs"/>
          <w:rtl/>
        </w:rPr>
        <w:t>כן הגירסא לפני.</w:t>
      </w:r>
      <w:r w:rsidR="00794066">
        <w:rPr>
          <w:rFonts w:hint="cs"/>
          <w:rtl/>
        </w:rPr>
        <w:t xml:space="preserve"> וכן נראה שהייתה הגיר' לפני הסמ"ק (סי' רפב) שכתב בשם הרא"ם "</w:t>
      </w:r>
      <w:r w:rsidR="00794066" w:rsidRPr="00794066">
        <w:rPr>
          <w:rFonts w:cs="Arial"/>
          <w:rtl/>
        </w:rPr>
        <w:t xml:space="preserve">ומתוך כך יש לאסור לתת פת בתוך </w:t>
      </w:r>
      <w:r w:rsidR="00794066" w:rsidRPr="00794066">
        <w:rPr>
          <w:rFonts w:cs="Arial"/>
          <w:b/>
          <w:bCs/>
          <w:rtl/>
        </w:rPr>
        <w:t>כלי ראשון</w:t>
      </w:r>
      <w:r w:rsidR="00794066" w:rsidRPr="00794066">
        <w:rPr>
          <w:rFonts w:cs="Arial"/>
          <w:rtl/>
        </w:rPr>
        <w:t xml:space="preserve"> בעודו רותח</w:t>
      </w:r>
      <w:r w:rsidR="00794066">
        <w:rPr>
          <w:rFonts w:cs="Arial" w:hint="cs"/>
          <w:rtl/>
        </w:rPr>
        <w:t>"</w:t>
      </w:r>
      <w:r w:rsidR="00794066">
        <w:rPr>
          <w:rFonts w:hint="cs"/>
          <w:rtl/>
        </w:rPr>
        <w:t>.</w:t>
      </w:r>
      <w:r>
        <w:rPr>
          <w:rFonts w:hint="cs"/>
          <w:rtl/>
        </w:rPr>
        <w:t xml:space="preserve"> אך הסמ"ג (לאוין סה) </w:t>
      </w:r>
      <w:r w:rsidR="00794066">
        <w:rPr>
          <w:rFonts w:hint="cs"/>
          <w:rtl/>
        </w:rPr>
        <w:t>ה</w:t>
      </w:r>
      <w:r>
        <w:rPr>
          <w:rFonts w:hint="cs"/>
          <w:rtl/>
        </w:rPr>
        <w:t xml:space="preserve">ריקאנטי (סי' קטז) </w:t>
      </w:r>
      <w:r w:rsidR="00794066">
        <w:rPr>
          <w:rFonts w:hint="cs"/>
          <w:rtl/>
        </w:rPr>
        <w:t xml:space="preserve">המרדכי (סי' שב) </w:t>
      </w:r>
      <w:r w:rsidR="00D04D9E">
        <w:rPr>
          <w:rFonts w:hint="cs"/>
          <w:rtl/>
        </w:rPr>
        <w:t>ו</w:t>
      </w:r>
      <w:r>
        <w:rPr>
          <w:rFonts w:hint="cs"/>
          <w:rtl/>
        </w:rPr>
        <w:t>הטור גרסו "אף".</w:t>
      </w:r>
      <w:r w:rsidR="00D04D9E">
        <w:rPr>
          <w:rFonts w:hint="cs"/>
          <w:rtl/>
        </w:rPr>
        <w:t xml:space="preserve"> וכן גרס הב"י שראה את דברי היראים מתוך הסמ"ג.</w:t>
      </w:r>
    </w:p>
  </w:footnote>
  <w:footnote w:id="2747">
    <w:p w14:paraId="2EF9BC1D" w14:textId="763F6A63" w:rsidR="007E6454" w:rsidRDefault="007E6454">
      <w:pPr>
        <w:pStyle w:val="a7"/>
      </w:pPr>
      <w:r>
        <w:rPr>
          <w:rStyle w:val="a9"/>
        </w:rPr>
        <w:footnoteRef/>
      </w:r>
      <w:r>
        <w:rPr>
          <w:rtl/>
        </w:rPr>
        <w:t xml:space="preserve"> </w:t>
      </w:r>
      <w:r w:rsidRPr="002065FF">
        <w:rPr>
          <w:rFonts w:asciiTheme="minorBidi" w:hAnsiTheme="minorBidi" w:cs="Arial"/>
          <w:rtl/>
        </w:rPr>
        <w:t>ותימה למה אסרו בכלי שני</w:t>
      </w:r>
      <w:r>
        <w:rPr>
          <w:rFonts w:asciiTheme="minorBidi" w:hAnsiTheme="minorBidi" w:cs="Arial" w:hint="cs"/>
          <w:rtl/>
        </w:rPr>
        <w:t>,</w:t>
      </w:r>
      <w:r w:rsidRPr="002065FF">
        <w:rPr>
          <w:rFonts w:asciiTheme="minorBidi" w:hAnsiTheme="minorBidi" w:cs="Arial"/>
          <w:rtl/>
        </w:rPr>
        <w:t xml:space="preserve"> ואפשר דמדמי ליה למלח דקאמר בגמרא לחד לישנא שמבשל אפילו בכלי שני</w:t>
      </w:r>
      <w:r>
        <w:rPr>
          <w:rFonts w:asciiTheme="minorBidi" w:hAnsiTheme="minorBidi" w:cs="Arial" w:hint="cs"/>
          <w:rtl/>
        </w:rPr>
        <w:t>.</w:t>
      </w:r>
      <w:r w:rsidRPr="002065FF">
        <w:rPr>
          <w:rFonts w:asciiTheme="minorBidi" w:hAnsiTheme="minorBidi" w:cs="Arial"/>
          <w:rtl/>
        </w:rPr>
        <w:t xml:space="preserve"> ואינו נראה לאוסרו בכלי שני</w:t>
      </w:r>
      <w:r>
        <w:rPr>
          <w:rFonts w:asciiTheme="minorBidi" w:hAnsiTheme="minorBidi" w:cs="Arial" w:hint="cs"/>
          <w:rtl/>
        </w:rPr>
        <w:t xml:space="preserve">, </w:t>
      </w:r>
      <w:r w:rsidRPr="00794066">
        <w:rPr>
          <w:rFonts w:asciiTheme="minorBidi" w:hAnsiTheme="minorBidi" w:cs="Arial" w:hint="cs"/>
          <w:b/>
          <w:bCs/>
          <w:rtl/>
        </w:rPr>
        <w:t>טור</w:t>
      </w:r>
      <w:r>
        <w:rPr>
          <w:rFonts w:asciiTheme="minorBidi" w:hAnsiTheme="minorBidi" w:cs="Arial" w:hint="cs"/>
          <w:rtl/>
        </w:rPr>
        <w:t>.</w:t>
      </w:r>
      <w:r w:rsidR="0065569D">
        <w:rPr>
          <w:rFonts w:asciiTheme="minorBidi" w:hAnsiTheme="minorBidi" w:cs="Arial" w:hint="cs"/>
          <w:rtl/>
        </w:rPr>
        <w:t xml:space="preserve"> </w:t>
      </w:r>
      <w:r w:rsidR="00794066">
        <w:rPr>
          <w:rFonts w:asciiTheme="minorBidi" w:hAnsiTheme="minorBidi" w:cs="Arial" w:hint="cs"/>
          <w:rtl/>
        </w:rPr>
        <w:t xml:space="preserve">   </w:t>
      </w:r>
      <w:r w:rsidR="0065569D">
        <w:rPr>
          <w:rFonts w:asciiTheme="minorBidi" w:hAnsiTheme="minorBidi" w:cs="Arial" w:hint="cs"/>
          <w:rtl/>
        </w:rPr>
        <w:t xml:space="preserve">וכן נראה דעת </w:t>
      </w:r>
      <w:r w:rsidR="0065569D" w:rsidRPr="00794066">
        <w:rPr>
          <w:rFonts w:asciiTheme="minorBidi" w:hAnsiTheme="minorBidi" w:cs="Arial" w:hint="cs"/>
          <w:b/>
          <w:bCs/>
          <w:rtl/>
        </w:rPr>
        <w:t>הסמ"ג</w:t>
      </w:r>
      <w:r w:rsidR="0065569D">
        <w:rPr>
          <w:rFonts w:asciiTheme="minorBidi" w:hAnsiTheme="minorBidi" w:cs="Arial" w:hint="cs"/>
          <w:rtl/>
        </w:rPr>
        <w:t xml:space="preserve"> (שם) שהביא את הירושלמי </w:t>
      </w:r>
      <w:r w:rsidR="00586567">
        <w:rPr>
          <w:rFonts w:asciiTheme="minorBidi" w:hAnsiTheme="minorBidi" w:cs="Arial" w:hint="cs"/>
          <w:rtl/>
        </w:rPr>
        <w:t xml:space="preserve">(מעשרות פ"א ה"ד) </w:t>
      </w:r>
      <w:r w:rsidR="0065569D">
        <w:rPr>
          <w:rFonts w:asciiTheme="minorBidi" w:hAnsiTheme="minorBidi" w:cs="Arial" w:hint="cs"/>
          <w:rtl/>
        </w:rPr>
        <w:t>שמתיר בכלי שני.</w:t>
      </w:r>
      <w:r w:rsidR="00586567">
        <w:rPr>
          <w:rFonts w:asciiTheme="minorBidi" w:hAnsiTheme="minorBidi" w:cs="Arial" w:hint="cs"/>
          <w:rtl/>
        </w:rPr>
        <w:t xml:space="preserve">   אך </w:t>
      </w:r>
      <w:r w:rsidR="00586567" w:rsidRPr="00586567">
        <w:rPr>
          <w:rFonts w:asciiTheme="minorBidi" w:hAnsiTheme="minorBidi" w:cs="Arial" w:hint="cs"/>
          <w:b/>
          <w:bCs/>
          <w:rtl/>
        </w:rPr>
        <w:t>הב"י</w:t>
      </w:r>
      <w:r w:rsidR="00586567">
        <w:rPr>
          <w:rFonts w:asciiTheme="minorBidi" w:hAnsiTheme="minorBidi" w:cs="Arial" w:hint="cs"/>
          <w:rtl/>
        </w:rPr>
        <w:t xml:space="preserve"> כתב ש</w:t>
      </w:r>
      <w:r w:rsidR="00586567" w:rsidRPr="00DD3262">
        <w:rPr>
          <w:rFonts w:asciiTheme="minorBidi" w:hAnsiTheme="minorBidi" w:cs="Arial"/>
          <w:rtl/>
        </w:rPr>
        <w:t>דברי רא"ם כתובים גם כן בהגה</w:t>
      </w:r>
      <w:r w:rsidR="00586567">
        <w:rPr>
          <w:rFonts w:asciiTheme="minorBidi" w:hAnsiTheme="minorBidi" w:cs="Arial" w:hint="cs"/>
          <w:rtl/>
        </w:rPr>
        <w:t>"מ (</w:t>
      </w:r>
      <w:r w:rsidR="00586567" w:rsidRPr="00DD3262">
        <w:rPr>
          <w:rFonts w:asciiTheme="minorBidi" w:hAnsiTheme="minorBidi" w:cs="Arial"/>
          <w:rtl/>
        </w:rPr>
        <w:t>ד</w:t>
      </w:r>
      <w:r w:rsidR="00586567">
        <w:rPr>
          <w:rFonts w:asciiTheme="minorBidi" w:hAnsiTheme="minorBidi" w:cs="Arial" w:hint="cs"/>
          <w:rtl/>
        </w:rPr>
        <w:t>"</w:t>
      </w:r>
      <w:r w:rsidR="00586567" w:rsidRPr="00DD3262">
        <w:rPr>
          <w:rFonts w:asciiTheme="minorBidi" w:hAnsiTheme="minorBidi" w:cs="Arial"/>
          <w:rtl/>
        </w:rPr>
        <w:t>ק רפ</w:t>
      </w:r>
      <w:r w:rsidR="00586567">
        <w:rPr>
          <w:rFonts w:asciiTheme="minorBidi" w:hAnsiTheme="minorBidi" w:cs="Arial" w:hint="cs"/>
          <w:rtl/>
        </w:rPr>
        <w:t>"</w:t>
      </w:r>
      <w:r w:rsidR="00586567" w:rsidRPr="00DD3262">
        <w:rPr>
          <w:rFonts w:asciiTheme="minorBidi" w:hAnsiTheme="minorBidi" w:cs="Arial"/>
          <w:rtl/>
        </w:rPr>
        <w:t>ט</w:t>
      </w:r>
      <w:r w:rsidR="00586567">
        <w:rPr>
          <w:rFonts w:asciiTheme="minorBidi" w:hAnsiTheme="minorBidi" w:cs="Arial" w:hint="cs"/>
          <w:rtl/>
        </w:rPr>
        <w:t>)</w:t>
      </w:r>
      <w:r w:rsidR="00586567" w:rsidRPr="00DD3262">
        <w:rPr>
          <w:rFonts w:asciiTheme="minorBidi" w:hAnsiTheme="minorBidi" w:cs="Arial"/>
          <w:rtl/>
        </w:rPr>
        <w:t xml:space="preserve"> ושם מבואר שלא אסר רא"ם ליתן פת לתוך כלי שני מן הדין. שכתבו דאיכא תרי לישני במלח</w:t>
      </w:r>
      <w:r w:rsidR="00586567">
        <w:rPr>
          <w:rFonts w:asciiTheme="minorBidi" w:hAnsiTheme="minorBidi" w:cs="Arial" w:hint="cs"/>
          <w:rtl/>
        </w:rPr>
        <w:t>,</w:t>
      </w:r>
      <w:r w:rsidR="00586567" w:rsidRPr="00DD3262">
        <w:rPr>
          <w:rFonts w:asciiTheme="minorBidi" w:hAnsiTheme="minorBidi" w:cs="Arial"/>
          <w:rtl/>
        </w:rPr>
        <w:t xml:space="preserve"> לחד לישנא אפילו בכלי ראשון לא בשלה</w:t>
      </w:r>
      <w:r w:rsidR="00586567">
        <w:rPr>
          <w:rFonts w:asciiTheme="minorBidi" w:hAnsiTheme="minorBidi" w:cs="Arial" w:hint="cs"/>
          <w:rtl/>
        </w:rPr>
        <w:t>,</w:t>
      </w:r>
      <w:r w:rsidR="00586567" w:rsidRPr="00DD3262">
        <w:rPr>
          <w:rFonts w:asciiTheme="minorBidi" w:hAnsiTheme="minorBidi" w:cs="Arial"/>
          <w:rtl/>
        </w:rPr>
        <w:t xml:space="preserve"> ולאידך לישנא אפילו בכלי שני בשלה</w:t>
      </w:r>
      <w:r w:rsidR="00586567">
        <w:rPr>
          <w:rFonts w:asciiTheme="minorBidi" w:hAnsiTheme="minorBidi" w:cs="Arial" w:hint="cs"/>
          <w:rtl/>
        </w:rPr>
        <w:t>,</w:t>
      </w:r>
      <w:r w:rsidR="00586567" w:rsidRPr="00DD3262">
        <w:rPr>
          <w:rFonts w:asciiTheme="minorBidi" w:hAnsiTheme="minorBidi" w:cs="Arial"/>
          <w:rtl/>
        </w:rPr>
        <w:t xml:space="preserve"> וראשון עיקר</w:t>
      </w:r>
      <w:r w:rsidR="00586567">
        <w:rPr>
          <w:rFonts w:asciiTheme="minorBidi" w:hAnsiTheme="minorBidi" w:cs="Arial" w:hint="cs"/>
          <w:rtl/>
        </w:rPr>
        <w:t>,</w:t>
      </w:r>
      <w:r w:rsidR="00586567" w:rsidRPr="00DD3262">
        <w:rPr>
          <w:rFonts w:asciiTheme="minorBidi" w:hAnsiTheme="minorBidi" w:cs="Arial"/>
          <w:rtl/>
        </w:rPr>
        <w:t xml:space="preserve"> והמחמיר שלא לתת בכלי שני כל זמן שהיד סולדת בו תבא עליו ברכה</w:t>
      </w:r>
      <w:r w:rsidR="00586567">
        <w:rPr>
          <w:rFonts w:asciiTheme="minorBidi" w:hAnsiTheme="minorBidi" w:cs="Arial" w:hint="cs"/>
          <w:rtl/>
        </w:rPr>
        <w:t>.</w:t>
      </w:r>
      <w:r w:rsidR="00586567" w:rsidRPr="00DD3262">
        <w:rPr>
          <w:rFonts w:asciiTheme="minorBidi" w:hAnsiTheme="minorBidi" w:cs="Arial"/>
          <w:rtl/>
        </w:rPr>
        <w:t xml:space="preserve"> מכל מקום חזינן דיש דברים המתבשלים בכלי שני</w:t>
      </w:r>
      <w:r w:rsidR="00586567">
        <w:rPr>
          <w:rFonts w:asciiTheme="minorBidi" w:hAnsiTheme="minorBidi" w:cs="Arial" w:hint="cs"/>
          <w:rtl/>
        </w:rPr>
        <w:t>,</w:t>
      </w:r>
      <w:r w:rsidR="00586567" w:rsidRPr="00DD3262">
        <w:rPr>
          <w:rFonts w:asciiTheme="minorBidi" w:hAnsiTheme="minorBidi" w:cs="Arial"/>
          <w:rtl/>
        </w:rPr>
        <w:t xml:space="preserve"> ואין אנו בקיאין ברכין וקשין</w:t>
      </w:r>
      <w:r w:rsidR="00586567">
        <w:rPr>
          <w:rFonts w:asciiTheme="minorBidi" w:hAnsiTheme="minorBidi" w:cs="Arial" w:hint="cs"/>
          <w:rtl/>
        </w:rPr>
        <w:t>,</w:t>
      </w:r>
      <w:r w:rsidR="00586567" w:rsidRPr="00DD3262">
        <w:rPr>
          <w:rFonts w:asciiTheme="minorBidi" w:hAnsiTheme="minorBidi" w:cs="Arial"/>
          <w:rtl/>
        </w:rPr>
        <w:t xml:space="preserve"> לכך צריך ליזהר בפת. ע</w:t>
      </w:r>
      <w:r w:rsidR="00586567">
        <w:rPr>
          <w:rFonts w:asciiTheme="minorBidi" w:hAnsiTheme="minorBidi" w:cs="Arial" w:hint="cs"/>
          <w:rtl/>
        </w:rPr>
        <w:t>כ"ל</w:t>
      </w:r>
      <w:r w:rsidR="00586567">
        <w:rPr>
          <w:rFonts w:asciiTheme="minorBidi" w:hAnsiTheme="minorBidi" w:cs="Arial" w:hint="cs"/>
          <w:sz w:val="16"/>
          <w:szCs w:val="16"/>
          <w:rtl/>
        </w:rPr>
        <w:t xml:space="preserve"> [ההגה"מ]</w:t>
      </w:r>
      <w:r w:rsidR="00586567" w:rsidRPr="00DD3262">
        <w:rPr>
          <w:rFonts w:asciiTheme="minorBidi" w:hAnsiTheme="minorBidi" w:cs="Arial"/>
          <w:rtl/>
        </w:rPr>
        <w:t>. ובזה נתבטל מה שתמה רבינו למה אסרו בכלי שני</w:t>
      </w:r>
      <w:r w:rsidR="00586567">
        <w:rPr>
          <w:rFonts w:asciiTheme="minorBidi" w:hAnsiTheme="minorBidi" w:cs="Arial" w:hint="cs"/>
          <w:rtl/>
        </w:rPr>
        <w:t>,</w:t>
      </w:r>
      <w:r w:rsidR="00586567" w:rsidRPr="00DD3262">
        <w:rPr>
          <w:rFonts w:asciiTheme="minorBidi" w:hAnsiTheme="minorBidi" w:cs="Arial"/>
          <w:rtl/>
        </w:rPr>
        <w:t xml:space="preserve"> וגם מה שכתב ואינו נראה לאסרו בכלי שני. שטעמו הוא משום דבמלח קיי</w:t>
      </w:r>
      <w:r w:rsidR="00586567">
        <w:rPr>
          <w:rFonts w:asciiTheme="minorBidi" w:hAnsiTheme="minorBidi" w:cs="Arial" w:hint="cs"/>
          <w:rtl/>
        </w:rPr>
        <w:t>"</w:t>
      </w:r>
      <w:r w:rsidR="00586567" w:rsidRPr="00DD3262">
        <w:rPr>
          <w:rFonts w:asciiTheme="minorBidi" w:hAnsiTheme="minorBidi" w:cs="Arial"/>
          <w:rtl/>
        </w:rPr>
        <w:t>ל כלישנא דשרי. ומתוך דברי ההגהות נלמוד דגם רא"ם מודה בכך ואפילו הכי יליף מינה שפיר דיש דברים רכים שמתבשלים אף בכלי שני וכיון שאין אנו בקיאין בהם צריך ליזהר</w:t>
      </w:r>
      <w:r w:rsidR="00586567">
        <w:rPr>
          <w:rFonts w:asciiTheme="minorBidi" w:hAnsiTheme="minorBidi" w:cs="Arial" w:hint="cs"/>
          <w:rtl/>
        </w:rPr>
        <w:t>.</w:t>
      </w:r>
    </w:p>
  </w:footnote>
  <w:footnote w:id="2748">
    <w:p w14:paraId="2FA069FA" w14:textId="5645F429" w:rsidR="000B53EB" w:rsidRDefault="000B53EB" w:rsidP="000D6321">
      <w:pPr>
        <w:pStyle w:val="a7"/>
      </w:pPr>
      <w:r>
        <w:rPr>
          <w:rStyle w:val="a9"/>
        </w:rPr>
        <w:footnoteRef/>
      </w:r>
      <w:r>
        <w:rPr>
          <w:rtl/>
        </w:rPr>
        <w:t xml:space="preserve"> </w:t>
      </w:r>
      <w:r w:rsidRPr="000B53EB">
        <w:rPr>
          <w:rFonts w:asciiTheme="minorBidi" w:hAnsiTheme="minorBidi" w:cs="Arial"/>
          <w:rtl/>
        </w:rPr>
        <w:t>וההיא דאותביה ראבי"ה ממסקנא דפרק כיצד מברכין היא קושיא חזקה</w:t>
      </w:r>
      <w:r w:rsidRPr="000B53EB">
        <w:rPr>
          <w:rFonts w:asciiTheme="minorBidi" w:hAnsiTheme="minorBidi" w:cs="Arial" w:hint="cs"/>
          <w:rtl/>
        </w:rPr>
        <w:t>,</w:t>
      </w:r>
      <w:r w:rsidRPr="000B53EB">
        <w:rPr>
          <w:rFonts w:asciiTheme="minorBidi" w:hAnsiTheme="minorBidi" w:cs="Arial"/>
          <w:rtl/>
        </w:rPr>
        <w:t xml:space="preserve"> שהרי היא ממאי דאמרינן גבי שלקות</w:t>
      </w:r>
      <w:r w:rsidRPr="000B53EB">
        <w:rPr>
          <w:rFonts w:asciiTheme="minorBidi" w:hAnsiTheme="minorBidi" w:cs="Arial" w:hint="cs"/>
          <w:rtl/>
        </w:rPr>
        <w:t>...</w:t>
      </w:r>
      <w:r w:rsidRPr="000B53EB">
        <w:rPr>
          <w:rFonts w:asciiTheme="minorBidi" w:hAnsiTheme="minorBidi" w:cs="Arial"/>
          <w:rtl/>
        </w:rPr>
        <w:t xml:space="preserve"> ואסיקנא ולא היא דכולי עלמא שלקות מברכין עליהן בורא פרי האדמה ועד כאן לא קאמר רבי יוסי התם אלא משום דבעינן טעם מצה וליכא אבל הכא אפילו רבי יוסי מודה</w:t>
      </w:r>
      <w:r w:rsidRPr="000B53EB">
        <w:rPr>
          <w:rFonts w:asciiTheme="minorBidi" w:hAnsiTheme="minorBidi" w:cs="Arial" w:hint="cs"/>
          <w:rtl/>
        </w:rPr>
        <w:t>.</w:t>
      </w:r>
      <w:r w:rsidRPr="000B53EB">
        <w:rPr>
          <w:rFonts w:asciiTheme="minorBidi" w:hAnsiTheme="minorBidi" w:cs="Arial"/>
          <w:rtl/>
        </w:rPr>
        <w:t xml:space="preserve"> וכן פסקו כל הפוסקים דמברכין עליהם בורא פרי האדמה</w:t>
      </w:r>
      <w:r w:rsidRPr="000B53EB">
        <w:rPr>
          <w:rFonts w:asciiTheme="minorBidi" w:hAnsiTheme="minorBidi" w:cs="Arial" w:hint="cs"/>
          <w:rtl/>
        </w:rPr>
        <w:t>.</w:t>
      </w:r>
      <w:r w:rsidRPr="000B53EB">
        <w:rPr>
          <w:rFonts w:asciiTheme="minorBidi" w:hAnsiTheme="minorBidi" w:cs="Arial"/>
          <w:rtl/>
        </w:rPr>
        <w:t xml:space="preserve"> וגבי רקיק מבושל קיימא לן (לקמן סי' תסא) כרבי יוסי</w:t>
      </w:r>
      <w:r w:rsidRPr="000B53EB">
        <w:rPr>
          <w:rFonts w:asciiTheme="minorBidi" w:hAnsiTheme="minorBidi" w:cs="Arial" w:hint="cs"/>
          <w:rtl/>
        </w:rPr>
        <w:t>.</w:t>
      </w:r>
      <w:r w:rsidRPr="000B53EB">
        <w:rPr>
          <w:rFonts w:asciiTheme="minorBidi" w:hAnsiTheme="minorBidi" w:cs="Arial"/>
          <w:rtl/>
        </w:rPr>
        <w:t xml:space="preserve"> ואם כן על כרחך לומר דסברי דלא דמו לרקיק המבושל</w:t>
      </w:r>
      <w:r w:rsidRPr="000B53EB">
        <w:rPr>
          <w:rFonts w:asciiTheme="minorBidi" w:hAnsiTheme="minorBidi" w:cs="Arial" w:hint="cs"/>
          <w:rtl/>
        </w:rPr>
        <w:t>,</w:t>
      </w:r>
      <w:r w:rsidRPr="000B53EB">
        <w:rPr>
          <w:rFonts w:asciiTheme="minorBidi" w:hAnsiTheme="minorBidi" w:cs="Arial"/>
          <w:rtl/>
        </w:rPr>
        <w:t xml:space="preserve"> דשאני התם דבעינן טעם מצה וליכא</w:t>
      </w:r>
      <w:r w:rsidR="000D6321">
        <w:rPr>
          <w:rFonts w:asciiTheme="minorBidi" w:hAnsiTheme="minorBidi" w:cs="Arial" w:hint="cs"/>
          <w:rtl/>
        </w:rPr>
        <w:t>...</w:t>
      </w:r>
      <w:r w:rsidR="000D6321" w:rsidRPr="000D6321">
        <w:rPr>
          <w:rFonts w:asciiTheme="minorBidi" w:hAnsiTheme="minorBidi" w:cs="Arial"/>
          <w:sz w:val="16"/>
          <w:szCs w:val="16"/>
          <w:rtl/>
        </w:rPr>
        <w:t xml:space="preserve"> </w:t>
      </w:r>
      <w:r w:rsidR="000D6321" w:rsidRPr="000D6321">
        <w:rPr>
          <w:rFonts w:asciiTheme="minorBidi" w:hAnsiTheme="minorBidi" w:cs="Arial"/>
          <w:rtl/>
        </w:rPr>
        <w:t>ודע דכי היכי דאותביה ראבי"ה ממסקנא דפרק כיצד מברכין לדחויי דאין בישול מבטל האפייה ושאני התם דבעינן טעם מצה וליכא</w:t>
      </w:r>
      <w:r w:rsidR="000D6321" w:rsidRPr="000D6321">
        <w:rPr>
          <w:rFonts w:asciiTheme="minorBidi" w:hAnsiTheme="minorBidi" w:cs="Arial" w:hint="cs"/>
          <w:rtl/>
        </w:rPr>
        <w:t>,</w:t>
      </w:r>
      <w:r w:rsidR="000D6321" w:rsidRPr="000D6321">
        <w:rPr>
          <w:rFonts w:asciiTheme="minorBidi" w:hAnsiTheme="minorBidi" w:cs="Arial"/>
          <w:rtl/>
        </w:rPr>
        <w:t xml:space="preserve"> איכא לדחויי נמי דטעמא דצלאו ואח"כ בישלו חייב לאו משום דבישול מבטל את הצלייה אלא משום דאמר קרא (שמות יב ט) ובשל מבושל מכל מקום וכדאמר התם (פסחים מא.) עולא</w:t>
      </w:r>
      <w:r w:rsidR="000D6321">
        <w:rPr>
          <w:rFonts w:asciiTheme="minorBidi" w:hAnsiTheme="minorBidi" w:cs="Arial" w:hint="cs"/>
          <w:rtl/>
        </w:rPr>
        <w:t>,</w:t>
      </w:r>
      <w:r>
        <w:rPr>
          <w:rFonts w:asciiTheme="minorBidi" w:hAnsiTheme="minorBidi" w:cs="Arial" w:hint="cs"/>
          <w:rtl/>
        </w:rPr>
        <w:t xml:space="preserve"> ב"י.</w:t>
      </w:r>
    </w:p>
  </w:footnote>
  <w:footnote w:id="2749">
    <w:p w14:paraId="066C1D9E" w14:textId="45F02227" w:rsidR="00921789" w:rsidRDefault="00921789">
      <w:pPr>
        <w:pStyle w:val="a7"/>
        <w:rPr>
          <w:rtl/>
        </w:rPr>
      </w:pPr>
      <w:r>
        <w:rPr>
          <w:rStyle w:val="a9"/>
        </w:rPr>
        <w:footnoteRef/>
      </w:r>
      <w:r>
        <w:rPr>
          <w:rtl/>
        </w:rPr>
        <w:t xml:space="preserve"> </w:t>
      </w:r>
      <w:r>
        <w:rPr>
          <w:rFonts w:hint="cs"/>
          <w:rtl/>
        </w:rPr>
        <w:t>כן הבין באה"ג (אות כ). לאפוקי שאר אחרונים.</w:t>
      </w:r>
    </w:p>
  </w:footnote>
  <w:footnote w:id="2750">
    <w:p w14:paraId="1CAE6610" w14:textId="77777777" w:rsidR="009C23C3" w:rsidRDefault="009C23C3" w:rsidP="009C23C3">
      <w:pPr>
        <w:pStyle w:val="a7"/>
        <w:rPr>
          <w:rtl/>
        </w:rPr>
      </w:pPr>
      <w:r>
        <w:rPr>
          <w:rStyle w:val="a9"/>
        </w:rPr>
        <w:footnoteRef/>
      </w:r>
      <w:r>
        <w:rPr>
          <w:rtl/>
        </w:rPr>
        <w:t xml:space="preserve"> </w:t>
      </w:r>
      <w:r w:rsidRPr="00072219">
        <w:rPr>
          <w:rFonts w:cs="Arial"/>
          <w:rtl/>
        </w:rPr>
        <w:t>של נחשת</w:t>
      </w:r>
      <w:r>
        <w:rPr>
          <w:rFonts w:hint="cs"/>
          <w:rtl/>
        </w:rPr>
        <w:t>, רש"י.</w:t>
      </w:r>
    </w:p>
  </w:footnote>
  <w:footnote w:id="2751">
    <w:p w14:paraId="698E287C" w14:textId="77777777" w:rsidR="009C23C3" w:rsidRDefault="009C23C3" w:rsidP="009C23C3">
      <w:pPr>
        <w:pStyle w:val="a7"/>
      </w:pPr>
      <w:r>
        <w:rPr>
          <w:rStyle w:val="a9"/>
        </w:rPr>
        <w:footnoteRef/>
      </w:r>
      <w:r>
        <w:rPr>
          <w:rtl/>
        </w:rPr>
        <w:t xml:space="preserve"> </w:t>
      </w:r>
      <w:r>
        <w:rPr>
          <w:rFonts w:hint="cs"/>
          <w:rtl/>
        </w:rPr>
        <w:t xml:space="preserve">משל חרס..., רש"י. </w:t>
      </w:r>
    </w:p>
  </w:footnote>
  <w:footnote w:id="2752">
    <w:p w14:paraId="0DB4117D" w14:textId="77777777" w:rsidR="009C23C3" w:rsidRPr="008C1C8E" w:rsidRDefault="009C23C3" w:rsidP="009C23C3">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יש ספרים שכתוב בהן </w:t>
      </w:r>
      <w:r>
        <w:rPr>
          <w:rFonts w:asciiTheme="minorBidi" w:hAnsiTheme="minorBidi" w:hint="cs"/>
          <w:rtl/>
        </w:rPr>
        <w:t>"</w:t>
      </w:r>
      <w:r w:rsidRPr="008C1C8E">
        <w:rPr>
          <w:rFonts w:asciiTheme="minorBidi" w:hAnsiTheme="minorBidi"/>
          <w:rtl/>
        </w:rPr>
        <w:t>אבל לא מיחם על גבי קדירה</w:t>
      </w:r>
      <w:r>
        <w:rPr>
          <w:rFonts w:asciiTheme="minorBidi" w:hAnsiTheme="minorBidi" w:hint="cs"/>
          <w:rtl/>
        </w:rPr>
        <w:t>"</w:t>
      </w:r>
      <w:r w:rsidRPr="008C1C8E">
        <w:rPr>
          <w:rFonts w:asciiTheme="minorBidi" w:hAnsiTheme="minorBidi"/>
          <w:rtl/>
        </w:rPr>
        <w:t xml:space="preserve">, ומפרשים טעמא מפני שהקדירה מרבה חמימות ומוספת הבלא למיחם, אבל בתוספתא </w:t>
      </w:r>
      <w:r w:rsidRPr="00921789">
        <w:rPr>
          <w:rFonts w:asciiTheme="minorBidi" w:hAnsiTheme="minorBidi" w:cs="Arial"/>
          <w:rtl/>
        </w:rPr>
        <w:t>(פ"ד הי"ד)</w:t>
      </w:r>
      <w:r>
        <w:rPr>
          <w:rFonts w:asciiTheme="minorBidi" w:hAnsiTheme="minorBidi" w:hint="cs"/>
          <w:rtl/>
        </w:rPr>
        <w:t xml:space="preserve"> </w:t>
      </w:r>
      <w:r w:rsidRPr="008C1C8E">
        <w:rPr>
          <w:rFonts w:asciiTheme="minorBidi" w:hAnsiTheme="minorBidi"/>
          <w:rtl/>
        </w:rPr>
        <w:t xml:space="preserve">גרסינן: </w:t>
      </w:r>
      <w:r>
        <w:rPr>
          <w:rFonts w:asciiTheme="minorBidi" w:hAnsiTheme="minorBidi" w:hint="cs"/>
          <w:rtl/>
        </w:rPr>
        <w:t>"</w:t>
      </w:r>
      <w:r w:rsidRPr="008C1C8E">
        <w:rPr>
          <w:rFonts w:asciiTheme="minorBidi" w:hAnsiTheme="minorBidi"/>
          <w:rtl/>
        </w:rPr>
        <w:t>ומיחם על גבי קדירה</w:t>
      </w:r>
      <w:r>
        <w:rPr>
          <w:rFonts w:asciiTheme="minorBidi" w:hAnsiTheme="minorBidi" w:hint="cs"/>
          <w:rtl/>
        </w:rPr>
        <w:t>"</w:t>
      </w:r>
      <w:r w:rsidRPr="008C1C8E">
        <w:rPr>
          <w:rFonts w:asciiTheme="minorBidi" w:hAnsiTheme="minorBidi"/>
          <w:rtl/>
        </w:rPr>
        <w:t>, רש"י</w:t>
      </w:r>
      <w:r>
        <w:rPr>
          <w:rFonts w:asciiTheme="minorBidi" w:hAnsiTheme="minorBidi" w:hint="cs"/>
          <w:rtl/>
        </w:rPr>
        <w:t xml:space="preserve">. </w:t>
      </w:r>
      <w:r w:rsidRPr="002E4721">
        <w:rPr>
          <w:rFonts w:asciiTheme="minorBidi" w:hAnsiTheme="minorBidi" w:cs="Arial"/>
          <w:rtl/>
        </w:rPr>
        <w:t>וכתב במסורת הש"ס דטעות הוא. ולית מאן דפליג בהכי</w:t>
      </w:r>
      <w:r>
        <w:rPr>
          <w:rFonts w:asciiTheme="minorBidi" w:hAnsiTheme="minorBidi" w:cs="Arial" w:hint="cs"/>
          <w:rtl/>
        </w:rPr>
        <w:t>.</w:t>
      </w:r>
      <w:r w:rsidRPr="008C1C8E">
        <w:rPr>
          <w:rFonts w:asciiTheme="minorBidi" w:hAnsiTheme="minorBidi"/>
          <w:rtl/>
        </w:rPr>
        <w:t xml:space="preserve"> </w:t>
      </w:r>
    </w:p>
  </w:footnote>
  <w:footnote w:id="2753">
    <w:p w14:paraId="500FA63A" w14:textId="77777777" w:rsidR="009C23C3" w:rsidRDefault="009C23C3" w:rsidP="009C23C3">
      <w:pPr>
        <w:pStyle w:val="a7"/>
      </w:pPr>
      <w:r>
        <w:rPr>
          <w:rStyle w:val="a9"/>
        </w:rPr>
        <w:footnoteRef/>
      </w:r>
      <w:r>
        <w:rPr>
          <w:rtl/>
        </w:rPr>
        <w:t xml:space="preserve"> </w:t>
      </w:r>
      <w:r w:rsidRPr="00072219">
        <w:rPr>
          <w:rFonts w:cs="Arial"/>
          <w:rtl/>
        </w:rPr>
        <w:t>הנילוש מבעוד יום</w:t>
      </w:r>
      <w:r>
        <w:rPr>
          <w:rFonts w:cs="Arial" w:hint="cs"/>
          <w:rtl/>
        </w:rPr>
        <w:t>.</w:t>
      </w:r>
      <w:r w:rsidRPr="00072219">
        <w:rPr>
          <w:rFonts w:cs="Arial"/>
          <w:rtl/>
        </w:rPr>
        <w:t xml:space="preserve"> כל הנך מניחין נמי בשבת</w:t>
      </w:r>
      <w:r>
        <w:rPr>
          <w:rFonts w:cs="Arial" w:hint="cs"/>
          <w:rtl/>
        </w:rPr>
        <w:t>, רש"י.</w:t>
      </w:r>
    </w:p>
  </w:footnote>
  <w:footnote w:id="2754">
    <w:p w14:paraId="0368D34B" w14:textId="77777777" w:rsidR="009C23C3" w:rsidRPr="008C1C8E" w:rsidRDefault="009C23C3" w:rsidP="009C23C3">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שיהא העליון צונן ונתנו כדי שיחום מחומו של תחתון, רש"י.</w:t>
      </w:r>
    </w:p>
  </w:footnote>
  <w:footnote w:id="2755">
    <w:p w14:paraId="677E9E04" w14:textId="77777777" w:rsidR="009C23C3" w:rsidRPr="008C1C8E" w:rsidRDefault="009C23C3" w:rsidP="009C23C3">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שהיו שניהן חמין, ונתנו על גביו של זה כדי שיהא חומו משתמר בהן, רש"י.</w:t>
      </w:r>
    </w:p>
  </w:footnote>
  <w:footnote w:id="2756">
    <w:p w14:paraId="7F80DB03" w14:textId="77777777" w:rsidR="009C23C3" w:rsidRDefault="009C23C3" w:rsidP="009C23C3">
      <w:pPr>
        <w:pStyle w:val="a7"/>
      </w:pPr>
      <w:r>
        <w:rPr>
          <w:rStyle w:val="a9"/>
        </w:rPr>
        <w:footnoteRef/>
      </w:r>
      <w:r>
        <w:rPr>
          <w:rtl/>
        </w:rPr>
        <w:t xml:space="preserve"> </w:t>
      </w:r>
      <w:r w:rsidRPr="00427E09">
        <w:rPr>
          <w:rFonts w:cs="Arial"/>
          <w:rtl/>
        </w:rPr>
        <w:t>מיחם של חמין, והכוזא היתה מלאה צונן</w:t>
      </w:r>
      <w:r>
        <w:rPr>
          <w:rFonts w:cs="Arial" w:hint="cs"/>
          <w:rtl/>
        </w:rPr>
        <w:t>, רש"י.</w:t>
      </w:r>
    </w:p>
  </w:footnote>
  <w:footnote w:id="2757">
    <w:p w14:paraId="0D5F00F2" w14:textId="77777777" w:rsidR="009C23C3" w:rsidRDefault="009C23C3" w:rsidP="009C23C3">
      <w:pPr>
        <w:pStyle w:val="a7"/>
        <w:rPr>
          <w:rtl/>
        </w:rPr>
      </w:pPr>
      <w:r>
        <w:rPr>
          <w:rStyle w:val="a9"/>
        </w:rPr>
        <w:footnoteRef/>
      </w:r>
      <w:r>
        <w:rPr>
          <w:rtl/>
        </w:rPr>
        <w:t xml:space="preserve"> </w:t>
      </w:r>
      <w:r w:rsidRPr="00427E09">
        <w:rPr>
          <w:rFonts w:cs="Arial"/>
          <w:rtl/>
        </w:rPr>
        <w:t>גער בו</w:t>
      </w:r>
      <w:r>
        <w:rPr>
          <w:rFonts w:hint="cs"/>
          <w:rtl/>
        </w:rPr>
        <w:t>, רש"י.</w:t>
      </w:r>
    </w:p>
  </w:footnote>
  <w:footnote w:id="2758">
    <w:p w14:paraId="10B40B53" w14:textId="77777777" w:rsidR="009C23C3" w:rsidRDefault="009C23C3" w:rsidP="009C23C3">
      <w:pPr>
        <w:pStyle w:val="a7"/>
      </w:pPr>
      <w:r>
        <w:rPr>
          <w:rStyle w:val="a9"/>
        </w:rPr>
        <w:footnoteRef/>
      </w:r>
      <w:r>
        <w:rPr>
          <w:rtl/>
        </w:rPr>
        <w:t xml:space="preserve"> </w:t>
      </w:r>
      <w:r w:rsidRPr="00427E09">
        <w:rPr>
          <w:rFonts w:cs="Arial"/>
          <w:rtl/>
        </w:rPr>
        <w:t>שהמיחם העליון גם בו יש מים חמין, והתחתון אינו אלא מעמיד חומו שלא יפיג</w:t>
      </w:r>
      <w:r>
        <w:rPr>
          <w:rFonts w:cs="Arial" w:hint="cs"/>
          <w:rtl/>
        </w:rPr>
        <w:t>, רש"י.</w:t>
      </w:r>
    </w:p>
  </w:footnote>
  <w:footnote w:id="2759">
    <w:p w14:paraId="66232699" w14:textId="78A85868" w:rsidR="009C23C3" w:rsidRDefault="009C23C3" w:rsidP="009C23C3">
      <w:pPr>
        <w:pStyle w:val="a7"/>
      </w:pPr>
      <w:r>
        <w:rPr>
          <w:rStyle w:val="a9"/>
        </w:rPr>
        <w:footnoteRef/>
      </w:r>
      <w:r>
        <w:rPr>
          <w:rtl/>
        </w:rPr>
        <w:t xml:space="preserve"> </w:t>
      </w:r>
      <w:r>
        <w:rPr>
          <w:rFonts w:asciiTheme="minorBidi" w:hAnsiTheme="minorBidi" w:cs="Arial" w:hint="cs"/>
          <w:rtl/>
        </w:rPr>
        <w:t xml:space="preserve">לכאורה היה אפשר להבין מדברי הטור, שכתב "דבר חם", ולא חילק בין מבושל כל צורכו למאב"ד, שאין חילוק בהנחה ע"ג קדירה בין דבר חם שמבושל כל צורכו לבין דבר חם שמבושל כמאב"ד. אבל אינו כן, שלא כתב כך כאן אלא לאפוקי דבר קר, שבדבר קר אסור אפילו כוונתו רק להפשיר ולא לבשל. ובסי' שיח ביאר דעתו ששייך בישול בתבשיל שמבושל כמאב"ד אפילו הוא רותח. כן הביא הב"י </w:t>
      </w:r>
      <w:r w:rsidR="00BD1E5D">
        <w:rPr>
          <w:rFonts w:asciiTheme="minorBidi" w:hAnsiTheme="minorBidi" w:cs="Arial" w:hint="cs"/>
          <w:sz w:val="16"/>
          <w:szCs w:val="16"/>
          <w:rtl/>
        </w:rPr>
        <w:t xml:space="preserve">(סי' רנח) </w:t>
      </w:r>
      <w:r>
        <w:rPr>
          <w:rFonts w:asciiTheme="minorBidi" w:hAnsiTheme="minorBidi" w:cs="Arial" w:hint="cs"/>
          <w:rtl/>
        </w:rPr>
        <w:t xml:space="preserve">בשם מהר"י בן חביב. </w:t>
      </w:r>
      <w:r w:rsidRPr="00C245AA">
        <w:rPr>
          <w:rFonts w:asciiTheme="minorBidi" w:hAnsiTheme="minorBidi" w:cs="Arial" w:hint="cs"/>
          <w:sz w:val="16"/>
          <w:szCs w:val="16"/>
          <w:rtl/>
        </w:rPr>
        <w:t xml:space="preserve">(וז"ל הב"י- </w:t>
      </w:r>
      <w:r w:rsidRPr="00C245AA">
        <w:rPr>
          <w:rFonts w:asciiTheme="minorBidi" w:hAnsiTheme="minorBidi" w:cs="Arial"/>
          <w:sz w:val="16"/>
          <w:szCs w:val="16"/>
          <w:rtl/>
        </w:rPr>
        <w:t xml:space="preserve">מצאתי כתוב וכמדומה לי שהוא לשון מהר"י ן' חביב ז"ל כלי שיש בו דבר חם יכול להניחו וכו' אבל אין מניחין כלי שיש בו דבר קר וכו' ודוקא שהוא בענין שיכול להתבשל וכו' </w:t>
      </w:r>
      <w:r w:rsidRPr="00C245AA">
        <w:rPr>
          <w:rFonts w:asciiTheme="minorBidi" w:hAnsiTheme="minorBidi" w:cs="Arial" w:hint="cs"/>
          <w:sz w:val="16"/>
          <w:szCs w:val="16"/>
          <w:rtl/>
        </w:rPr>
        <w:t xml:space="preserve">- </w:t>
      </w:r>
      <w:r w:rsidRPr="00C245AA">
        <w:rPr>
          <w:rFonts w:asciiTheme="minorBidi" w:hAnsiTheme="minorBidi" w:cs="Arial"/>
          <w:sz w:val="16"/>
          <w:szCs w:val="16"/>
          <w:rtl/>
        </w:rPr>
        <w:t>יראה לכאורה כלל כוונתו בזה שבכל דבר חם אין ראוי לחוש לבישול אע</w:t>
      </w:r>
      <w:r w:rsidRPr="00C245AA">
        <w:rPr>
          <w:rFonts w:asciiTheme="minorBidi" w:hAnsiTheme="minorBidi" w:cs="Arial" w:hint="cs"/>
          <w:sz w:val="16"/>
          <w:szCs w:val="16"/>
          <w:rtl/>
        </w:rPr>
        <w:t>"</w:t>
      </w:r>
      <w:r w:rsidRPr="00C245AA">
        <w:rPr>
          <w:rFonts w:asciiTheme="minorBidi" w:hAnsiTheme="minorBidi" w:cs="Arial"/>
          <w:sz w:val="16"/>
          <w:szCs w:val="16"/>
          <w:rtl/>
        </w:rPr>
        <w:t>פ שהוא בענין שיכול להתבשל מחום התחתון</w:t>
      </w:r>
      <w:r w:rsidRPr="00C245AA">
        <w:rPr>
          <w:rFonts w:asciiTheme="minorBidi" w:hAnsiTheme="minorBidi" w:cs="Arial" w:hint="cs"/>
          <w:sz w:val="16"/>
          <w:szCs w:val="16"/>
          <w:rtl/>
        </w:rPr>
        <w:t>,</w:t>
      </w:r>
      <w:r w:rsidRPr="00C245AA">
        <w:rPr>
          <w:rFonts w:asciiTheme="minorBidi" w:hAnsiTheme="minorBidi" w:cs="Arial"/>
          <w:sz w:val="16"/>
          <w:szCs w:val="16"/>
          <w:rtl/>
        </w:rPr>
        <w:t xml:space="preserve"> ולא חילק כלל בדבר חם בין תבשיל שנתבשל כבר כל צרכו לתבשיל שלא נתבשל כל צרכו</w:t>
      </w:r>
      <w:r w:rsidRPr="00C245AA">
        <w:rPr>
          <w:rFonts w:asciiTheme="minorBidi" w:hAnsiTheme="minorBidi" w:cs="Arial" w:hint="cs"/>
          <w:sz w:val="16"/>
          <w:szCs w:val="16"/>
          <w:rtl/>
        </w:rPr>
        <w:t>,</w:t>
      </w:r>
      <w:r w:rsidRPr="00C245AA">
        <w:rPr>
          <w:rFonts w:asciiTheme="minorBidi" w:hAnsiTheme="minorBidi" w:cs="Arial"/>
          <w:sz w:val="16"/>
          <w:szCs w:val="16"/>
          <w:rtl/>
        </w:rPr>
        <w:t xml:space="preserve"> אפילו נתבשל כמאכל בן דרוסאי</w:t>
      </w:r>
      <w:r w:rsidRPr="00C245AA">
        <w:rPr>
          <w:rFonts w:asciiTheme="minorBidi" w:hAnsiTheme="minorBidi" w:cs="Arial" w:hint="cs"/>
          <w:sz w:val="16"/>
          <w:szCs w:val="16"/>
          <w:rtl/>
        </w:rPr>
        <w:t>,</w:t>
      </w:r>
      <w:r w:rsidRPr="00C245AA">
        <w:rPr>
          <w:rFonts w:asciiTheme="minorBidi" w:hAnsiTheme="minorBidi" w:cs="Arial"/>
          <w:sz w:val="16"/>
          <w:szCs w:val="16"/>
          <w:rtl/>
        </w:rPr>
        <w:t xml:space="preserve"> ובשניהם התיר להניחם דבר חם על הקדרה וכו'</w:t>
      </w:r>
      <w:r w:rsidRPr="00C245AA">
        <w:rPr>
          <w:rFonts w:asciiTheme="minorBidi" w:hAnsiTheme="minorBidi" w:cs="Arial" w:hint="cs"/>
          <w:sz w:val="16"/>
          <w:szCs w:val="16"/>
          <w:rtl/>
        </w:rPr>
        <w:t>.</w:t>
      </w:r>
      <w:r w:rsidRPr="00C245AA">
        <w:rPr>
          <w:rFonts w:asciiTheme="minorBidi" w:hAnsiTheme="minorBidi" w:cs="Arial"/>
          <w:sz w:val="16"/>
          <w:szCs w:val="16"/>
          <w:rtl/>
        </w:rPr>
        <w:t xml:space="preserve"> וכפי העיון הראשון יש סתירה למה שכתב בסימן שי"ח (פא:) וז"ל </w:t>
      </w:r>
      <w:r w:rsidRPr="00C245AA">
        <w:rPr>
          <w:rFonts w:asciiTheme="minorBidi" w:hAnsiTheme="minorBidi" w:cs="Arial" w:hint="cs"/>
          <w:sz w:val="16"/>
          <w:szCs w:val="16"/>
          <w:rtl/>
        </w:rPr>
        <w:t>"</w:t>
      </w:r>
      <w:r w:rsidRPr="00C245AA">
        <w:rPr>
          <w:rFonts w:asciiTheme="minorBidi" w:hAnsiTheme="minorBidi" w:cs="Arial"/>
          <w:sz w:val="16"/>
          <w:szCs w:val="16"/>
          <w:rtl/>
        </w:rPr>
        <w:t>תבשיל שנתבשל כבר יש בו משום בישול אם נצטנן כבר</w:t>
      </w:r>
      <w:r w:rsidRPr="00C245AA">
        <w:rPr>
          <w:rFonts w:asciiTheme="minorBidi" w:hAnsiTheme="minorBidi" w:cs="Arial" w:hint="cs"/>
          <w:sz w:val="16"/>
          <w:szCs w:val="16"/>
          <w:rtl/>
        </w:rPr>
        <w:t>,</w:t>
      </w:r>
      <w:r w:rsidRPr="00C245AA">
        <w:rPr>
          <w:rFonts w:asciiTheme="minorBidi" w:hAnsiTheme="minorBidi" w:cs="Arial"/>
          <w:sz w:val="16"/>
          <w:szCs w:val="16"/>
          <w:rtl/>
        </w:rPr>
        <w:t xml:space="preserve"> אבל בעודו רותח לא</w:t>
      </w:r>
      <w:r w:rsidRPr="00C245AA">
        <w:rPr>
          <w:rFonts w:asciiTheme="minorBidi" w:hAnsiTheme="minorBidi" w:cs="Arial" w:hint="cs"/>
          <w:sz w:val="16"/>
          <w:szCs w:val="16"/>
          <w:rtl/>
        </w:rPr>
        <w:t>,</w:t>
      </w:r>
      <w:r w:rsidRPr="00C245AA">
        <w:rPr>
          <w:rFonts w:asciiTheme="minorBidi" w:hAnsiTheme="minorBidi" w:cs="Arial"/>
          <w:sz w:val="16"/>
          <w:szCs w:val="16"/>
          <w:rtl/>
        </w:rPr>
        <w:t xml:space="preserve"> ואם לא נתבשל כל צרכו אפילו נתבשל כמאכל בן דרוסאי שייך ביה בישול אפילו בעודו רותח</w:t>
      </w:r>
      <w:r w:rsidRPr="00C245AA">
        <w:rPr>
          <w:rFonts w:asciiTheme="minorBidi" w:hAnsiTheme="minorBidi" w:cs="Arial" w:hint="cs"/>
          <w:sz w:val="16"/>
          <w:szCs w:val="16"/>
          <w:rtl/>
        </w:rPr>
        <w:t>".</w:t>
      </w:r>
      <w:r w:rsidRPr="00C245AA">
        <w:rPr>
          <w:rFonts w:asciiTheme="minorBidi" w:hAnsiTheme="minorBidi" w:cs="Arial"/>
          <w:sz w:val="16"/>
          <w:szCs w:val="16"/>
          <w:rtl/>
        </w:rPr>
        <w:t xml:space="preserve"> והתשובה בזה גלויה למי שעמד על שורש זה הדין בפרק במה טומנין בההוא עובדא דרבה ורבי זירא איקלעו לבי ריש גלותא חזו לההוא עבדא דאנח כוזא דמיא אפומא דקומקומא וכו'</w:t>
      </w:r>
      <w:r w:rsidRPr="00C245AA">
        <w:rPr>
          <w:rFonts w:asciiTheme="minorBidi" w:hAnsiTheme="minorBidi" w:cs="Arial" w:hint="cs"/>
          <w:sz w:val="16"/>
          <w:szCs w:val="16"/>
          <w:rtl/>
        </w:rPr>
        <w:t>,</w:t>
      </w:r>
      <w:r w:rsidRPr="00C245AA">
        <w:rPr>
          <w:rFonts w:asciiTheme="minorBidi" w:hAnsiTheme="minorBidi" w:cs="Arial"/>
          <w:sz w:val="16"/>
          <w:szCs w:val="16"/>
          <w:rtl/>
        </w:rPr>
        <w:t xml:space="preserve"> והקשו שם בתוספות (ד"ה מאי שנא ממיחם) האי עובדא היכי הוה</w:t>
      </w:r>
      <w:r w:rsidRPr="00C245AA">
        <w:rPr>
          <w:rFonts w:asciiTheme="minorBidi" w:hAnsiTheme="minorBidi" w:cs="Arial" w:hint="cs"/>
          <w:sz w:val="16"/>
          <w:szCs w:val="16"/>
          <w:rtl/>
        </w:rPr>
        <w:t>,</w:t>
      </w:r>
      <w:r w:rsidRPr="00C245AA">
        <w:rPr>
          <w:rFonts w:asciiTheme="minorBidi" w:hAnsiTheme="minorBidi" w:cs="Arial"/>
          <w:sz w:val="16"/>
          <w:szCs w:val="16"/>
          <w:rtl/>
        </w:rPr>
        <w:t xml:space="preserve"> אי להפשיר בלחוד מאי טעמא דרבה דנזף ביה וכו'</w:t>
      </w:r>
      <w:r w:rsidRPr="00C245AA">
        <w:rPr>
          <w:rFonts w:asciiTheme="minorBidi" w:hAnsiTheme="minorBidi" w:cs="Arial" w:hint="cs"/>
          <w:sz w:val="16"/>
          <w:szCs w:val="16"/>
          <w:rtl/>
        </w:rPr>
        <w:t>.</w:t>
      </w:r>
      <w:r w:rsidRPr="00C245AA">
        <w:rPr>
          <w:rFonts w:asciiTheme="minorBidi" w:hAnsiTheme="minorBidi" w:cs="Arial"/>
          <w:sz w:val="16"/>
          <w:szCs w:val="16"/>
          <w:rtl/>
        </w:rPr>
        <w:t xml:space="preserve"> ותירץ ר"י דלעולם בשהניחו לפשר בלבד אלא שהיה הקומקום חם כל כך שאם היה מניחם שם הרבה היה בא לידי חימום</w:t>
      </w:r>
      <w:r w:rsidRPr="00C245AA">
        <w:rPr>
          <w:rFonts w:asciiTheme="minorBidi" w:hAnsiTheme="minorBidi" w:cs="Arial" w:hint="cs"/>
          <w:sz w:val="16"/>
          <w:szCs w:val="16"/>
          <w:rtl/>
        </w:rPr>
        <w:t>,</w:t>
      </w:r>
      <w:r w:rsidRPr="00C245AA">
        <w:rPr>
          <w:rFonts w:asciiTheme="minorBidi" w:hAnsiTheme="minorBidi" w:cs="Arial"/>
          <w:sz w:val="16"/>
          <w:szCs w:val="16"/>
          <w:rtl/>
        </w:rPr>
        <w:t xml:space="preserve"> ומשום הכי נזף ביה רבה לומר שלא התירו כנגד המדורה אלא במקום שאינו יכול לבוא לידי בישול</w:t>
      </w:r>
      <w:r w:rsidRPr="00C245AA">
        <w:rPr>
          <w:rFonts w:asciiTheme="minorBidi" w:hAnsiTheme="minorBidi" w:cs="Arial" w:hint="cs"/>
          <w:sz w:val="16"/>
          <w:szCs w:val="16"/>
          <w:rtl/>
        </w:rPr>
        <w:t>,</w:t>
      </w:r>
      <w:r w:rsidRPr="00C245AA">
        <w:rPr>
          <w:rFonts w:asciiTheme="minorBidi" w:hAnsiTheme="minorBidi" w:cs="Arial"/>
          <w:sz w:val="16"/>
          <w:szCs w:val="16"/>
          <w:rtl/>
        </w:rPr>
        <w:t xml:space="preserve"> אבל במקום שיכול לבוא לידי בישול</w:t>
      </w:r>
      <w:r w:rsidRPr="00C245AA">
        <w:rPr>
          <w:rFonts w:asciiTheme="minorBidi" w:hAnsiTheme="minorBidi" w:cs="Arial" w:hint="cs"/>
          <w:sz w:val="16"/>
          <w:szCs w:val="16"/>
          <w:rtl/>
        </w:rPr>
        <w:t xml:space="preserve"> -</w:t>
      </w:r>
      <w:r w:rsidRPr="00C245AA">
        <w:rPr>
          <w:rFonts w:asciiTheme="minorBidi" w:hAnsiTheme="minorBidi" w:cs="Arial"/>
          <w:sz w:val="16"/>
          <w:szCs w:val="16"/>
          <w:rtl/>
        </w:rPr>
        <w:t xml:space="preserve"> אפילו שיעור הפשר בלבד אסור</w:t>
      </w:r>
      <w:r w:rsidRPr="00C245AA">
        <w:rPr>
          <w:rFonts w:asciiTheme="minorBidi" w:hAnsiTheme="minorBidi" w:cs="Arial" w:hint="cs"/>
          <w:sz w:val="16"/>
          <w:szCs w:val="16"/>
          <w:rtl/>
        </w:rPr>
        <w:t>.</w:t>
      </w:r>
      <w:r w:rsidRPr="00C245AA">
        <w:rPr>
          <w:rFonts w:asciiTheme="minorBidi" w:hAnsiTheme="minorBidi" w:cs="Arial"/>
          <w:sz w:val="16"/>
          <w:szCs w:val="16"/>
          <w:rtl/>
        </w:rPr>
        <w:t xml:space="preserve"> ואל זה כיון רבינו יעקב באמרו </w:t>
      </w:r>
      <w:r w:rsidRPr="00C245AA">
        <w:rPr>
          <w:rFonts w:asciiTheme="minorBidi" w:hAnsiTheme="minorBidi" w:cs="Arial" w:hint="cs"/>
          <w:sz w:val="16"/>
          <w:szCs w:val="16"/>
          <w:rtl/>
        </w:rPr>
        <w:t>(בסי' שיח) "</w:t>
      </w:r>
      <w:r w:rsidRPr="00C245AA">
        <w:rPr>
          <w:rFonts w:asciiTheme="minorBidi" w:hAnsiTheme="minorBidi" w:cs="Arial"/>
          <w:sz w:val="16"/>
          <w:szCs w:val="16"/>
          <w:rtl/>
        </w:rPr>
        <w:t>ודוקא שהוא בענין שיכול להתבשל</w:t>
      </w:r>
      <w:r w:rsidRPr="00C245AA">
        <w:rPr>
          <w:rFonts w:asciiTheme="minorBidi" w:hAnsiTheme="minorBidi" w:cs="Arial" w:hint="cs"/>
          <w:sz w:val="16"/>
          <w:szCs w:val="16"/>
          <w:rtl/>
        </w:rPr>
        <w:t>",</w:t>
      </w:r>
      <w:r w:rsidRPr="00C245AA">
        <w:rPr>
          <w:rFonts w:asciiTheme="minorBidi" w:hAnsiTheme="minorBidi" w:cs="Arial"/>
          <w:sz w:val="16"/>
          <w:szCs w:val="16"/>
          <w:rtl/>
        </w:rPr>
        <w:t xml:space="preserve"> ר"ל שאע</w:t>
      </w:r>
      <w:r w:rsidRPr="00C245AA">
        <w:rPr>
          <w:rFonts w:asciiTheme="minorBidi" w:hAnsiTheme="minorBidi" w:cs="Arial" w:hint="cs"/>
          <w:sz w:val="16"/>
          <w:szCs w:val="16"/>
          <w:rtl/>
        </w:rPr>
        <w:t>"</w:t>
      </w:r>
      <w:r w:rsidRPr="00C245AA">
        <w:rPr>
          <w:rFonts w:asciiTheme="minorBidi" w:hAnsiTheme="minorBidi" w:cs="Arial"/>
          <w:sz w:val="16"/>
          <w:szCs w:val="16"/>
          <w:rtl/>
        </w:rPr>
        <w:t>פ שאין כוונתו אלא לפשר בלבד</w:t>
      </w:r>
      <w:r w:rsidRPr="00C245AA">
        <w:rPr>
          <w:rFonts w:asciiTheme="minorBidi" w:hAnsiTheme="minorBidi" w:cs="Arial" w:hint="cs"/>
          <w:sz w:val="16"/>
          <w:szCs w:val="16"/>
          <w:rtl/>
        </w:rPr>
        <w:t>,</w:t>
      </w:r>
      <w:r w:rsidRPr="00C245AA">
        <w:rPr>
          <w:rFonts w:asciiTheme="minorBidi" w:hAnsiTheme="minorBidi" w:cs="Arial"/>
          <w:sz w:val="16"/>
          <w:szCs w:val="16"/>
          <w:rtl/>
        </w:rPr>
        <w:t xml:space="preserve"> כיון שהוא בענין שיכול להתבשל </w:t>
      </w:r>
      <w:r w:rsidRPr="00C245AA">
        <w:rPr>
          <w:rFonts w:asciiTheme="minorBidi" w:hAnsiTheme="minorBidi" w:cs="Arial" w:hint="cs"/>
          <w:sz w:val="16"/>
          <w:szCs w:val="16"/>
          <w:rtl/>
        </w:rPr>
        <w:t xml:space="preserve">- </w:t>
      </w:r>
      <w:r w:rsidRPr="00C245AA">
        <w:rPr>
          <w:rFonts w:asciiTheme="minorBidi" w:hAnsiTheme="minorBidi" w:cs="Arial"/>
          <w:sz w:val="16"/>
          <w:szCs w:val="16"/>
          <w:rtl/>
        </w:rPr>
        <w:t>אסור אפילו להניחו שם</w:t>
      </w:r>
      <w:r w:rsidRPr="00C245AA">
        <w:rPr>
          <w:rFonts w:asciiTheme="minorBidi" w:hAnsiTheme="minorBidi" w:cs="Arial" w:hint="cs"/>
          <w:sz w:val="16"/>
          <w:szCs w:val="16"/>
          <w:rtl/>
        </w:rPr>
        <w:t>,</w:t>
      </w:r>
      <w:r w:rsidRPr="00C245AA">
        <w:rPr>
          <w:rFonts w:asciiTheme="minorBidi" w:hAnsiTheme="minorBidi" w:cs="Arial"/>
          <w:sz w:val="16"/>
          <w:szCs w:val="16"/>
          <w:rtl/>
        </w:rPr>
        <w:t xml:space="preserve"> ולא דיבר כאן כלל לענין מבשל</w:t>
      </w:r>
      <w:r w:rsidRPr="00C245AA">
        <w:rPr>
          <w:rFonts w:asciiTheme="minorBidi" w:hAnsiTheme="minorBidi" w:cs="Arial" w:hint="cs"/>
          <w:sz w:val="16"/>
          <w:szCs w:val="16"/>
          <w:rtl/>
        </w:rPr>
        <w:t>,</w:t>
      </w:r>
      <w:r w:rsidRPr="00C245AA">
        <w:rPr>
          <w:rFonts w:asciiTheme="minorBidi" w:hAnsiTheme="minorBidi" w:cs="Arial"/>
          <w:sz w:val="16"/>
          <w:szCs w:val="16"/>
          <w:rtl/>
        </w:rPr>
        <w:t xml:space="preserve"> ולכן אין ראוי לחלק בין תבשיל שנתבשל כל צרכו לשלא נתבשל אלא כמאכל בן דרוסאי</w:t>
      </w:r>
      <w:r w:rsidRPr="00C245AA">
        <w:rPr>
          <w:rFonts w:asciiTheme="minorBidi" w:hAnsiTheme="minorBidi" w:cs="Arial" w:hint="cs"/>
          <w:sz w:val="16"/>
          <w:szCs w:val="16"/>
          <w:rtl/>
        </w:rPr>
        <w:t>.</w:t>
      </w:r>
      <w:r w:rsidRPr="00C245AA">
        <w:rPr>
          <w:rFonts w:asciiTheme="minorBidi" w:hAnsiTheme="minorBidi" w:cs="Arial"/>
          <w:sz w:val="16"/>
          <w:szCs w:val="16"/>
          <w:rtl/>
        </w:rPr>
        <w:t xml:space="preserve"> אבל בסימן שי"ח כוונתו להביא דיני בישול ממש שכוונת העושה לבשל ממש</w:t>
      </w:r>
      <w:r w:rsidRPr="00C245AA">
        <w:rPr>
          <w:rFonts w:asciiTheme="minorBidi" w:hAnsiTheme="minorBidi" w:cs="Arial" w:hint="cs"/>
          <w:sz w:val="16"/>
          <w:szCs w:val="16"/>
          <w:rtl/>
        </w:rPr>
        <w:t>,</w:t>
      </w:r>
      <w:r w:rsidRPr="00C245AA">
        <w:rPr>
          <w:rFonts w:asciiTheme="minorBidi" w:hAnsiTheme="minorBidi" w:cs="Arial"/>
          <w:sz w:val="16"/>
          <w:szCs w:val="16"/>
          <w:rtl/>
        </w:rPr>
        <w:t xml:space="preserve"> לכן אמר ואע</w:t>
      </w:r>
      <w:r w:rsidRPr="00C245AA">
        <w:rPr>
          <w:rFonts w:asciiTheme="minorBidi" w:hAnsiTheme="minorBidi" w:cs="Arial" w:hint="cs"/>
          <w:sz w:val="16"/>
          <w:szCs w:val="16"/>
          <w:rtl/>
        </w:rPr>
        <w:t>"</w:t>
      </w:r>
      <w:r w:rsidRPr="00C245AA">
        <w:rPr>
          <w:rFonts w:asciiTheme="minorBidi" w:hAnsiTheme="minorBidi" w:cs="Arial"/>
          <w:sz w:val="16"/>
          <w:szCs w:val="16"/>
          <w:rtl/>
        </w:rPr>
        <w:t>ג דלא שייך בישול אחר בישול בדבר רותח אפילו הכי בתבשיל שלא נתבשל כל צרכו יש בו בישול אפילו בדבר רותח עכ"ל</w:t>
      </w:r>
      <w:r>
        <w:rPr>
          <w:rFonts w:asciiTheme="minorBidi" w:hAnsiTheme="minorBidi" w:cs="Arial" w:hint="cs"/>
          <w:sz w:val="16"/>
          <w:szCs w:val="16"/>
          <w:rtl/>
        </w:rPr>
        <w:t>)</w:t>
      </w:r>
      <w:r>
        <w:rPr>
          <w:rFonts w:cs="Arial" w:hint="cs"/>
          <w:rtl/>
        </w:rPr>
        <w:t>. וכתב הדרכ"מ (</w:t>
      </w:r>
      <w:r w:rsidR="00BD1E5D">
        <w:rPr>
          <w:rFonts w:cs="Arial" w:hint="cs"/>
          <w:rtl/>
        </w:rPr>
        <w:t xml:space="preserve">סי' רנח </w:t>
      </w:r>
      <w:r>
        <w:rPr>
          <w:rFonts w:cs="Arial" w:hint="cs"/>
          <w:rtl/>
        </w:rPr>
        <w:t>אות א) ש</w:t>
      </w:r>
      <w:r w:rsidRPr="00921789">
        <w:rPr>
          <w:rFonts w:cs="Arial"/>
          <w:rtl/>
        </w:rPr>
        <w:t>כדברי מהר"י בן חביב משמע לקמן בסימן שי"ח מדברי רבינו בעל הטור</w:t>
      </w:r>
      <w:r>
        <w:rPr>
          <w:rFonts w:cs="Arial" w:hint="cs"/>
          <w:rtl/>
        </w:rPr>
        <w:t>.</w:t>
      </w:r>
      <w:r w:rsidR="00EE53B6">
        <w:rPr>
          <w:rFonts w:hint="cs"/>
          <w:rtl/>
        </w:rPr>
        <w:t xml:space="preserve"> עכ"ל. ועיין בדברי הר"ן (שבת יט. ד"ה ת"ר) לקמן דמוכח מיניה דשרי להניח גם מאכל שהוא כמאב"ד. וכן הבין ממנו הב"י. </w:t>
      </w:r>
    </w:p>
  </w:footnote>
  <w:footnote w:id="2760">
    <w:p w14:paraId="6D8CA54E" w14:textId="77777777" w:rsidR="009C23C3" w:rsidRDefault="009C23C3" w:rsidP="009C23C3">
      <w:pPr>
        <w:pStyle w:val="a7"/>
      </w:pPr>
      <w:r>
        <w:rPr>
          <w:rStyle w:val="a9"/>
        </w:rPr>
        <w:footnoteRef/>
      </w:r>
      <w:r>
        <w:rPr>
          <w:rtl/>
        </w:rPr>
        <w:t xml:space="preserve"> </w:t>
      </w:r>
      <w:r w:rsidRPr="0051273C">
        <w:rPr>
          <w:rFonts w:asciiTheme="minorBidi" w:hAnsiTheme="minorBidi" w:cs="Arial"/>
          <w:rtl/>
        </w:rPr>
        <w:t>היינו דוקא כשהיד סולדת בו</w:t>
      </w:r>
      <w:r>
        <w:rPr>
          <w:rFonts w:asciiTheme="minorBidi" w:hAnsiTheme="minorBidi" w:cs="Arial" w:hint="cs"/>
          <w:rtl/>
        </w:rPr>
        <w:t>, ב"י.</w:t>
      </w:r>
    </w:p>
  </w:footnote>
  <w:footnote w:id="2761">
    <w:p w14:paraId="47AE867D" w14:textId="176AA02F" w:rsidR="009C23C3" w:rsidRDefault="009C23C3" w:rsidP="009C23C3">
      <w:pPr>
        <w:pStyle w:val="a7"/>
        <w:rPr>
          <w:rtl/>
        </w:rPr>
      </w:pPr>
      <w:r>
        <w:rPr>
          <w:rStyle w:val="a9"/>
        </w:rPr>
        <w:footnoteRef/>
      </w:r>
      <w:r>
        <w:rPr>
          <w:rtl/>
        </w:rPr>
        <w:t xml:space="preserve"> </w:t>
      </w:r>
      <w:r w:rsidRPr="00921789">
        <w:rPr>
          <w:rFonts w:asciiTheme="minorBidi" w:hAnsiTheme="minorBidi" w:cs="Arial"/>
          <w:rtl/>
        </w:rPr>
        <w:t>פשוט הוא שהרי אין הקדרה חמה מוספת הבל אדרבא חומה מתמעט והולך</w:t>
      </w:r>
      <w:r>
        <w:rPr>
          <w:rFonts w:asciiTheme="minorBidi" w:hAnsiTheme="minorBidi" w:cs="Arial" w:hint="cs"/>
          <w:rtl/>
        </w:rPr>
        <w:t>, ב"י</w:t>
      </w:r>
      <w:r w:rsidR="00BD1E5D">
        <w:rPr>
          <w:rFonts w:asciiTheme="minorBidi" w:hAnsiTheme="minorBidi" w:cs="Arial" w:hint="cs"/>
          <w:rtl/>
        </w:rPr>
        <w:t xml:space="preserve"> </w:t>
      </w:r>
      <w:r w:rsidR="00BD1E5D">
        <w:rPr>
          <w:rFonts w:asciiTheme="minorBidi" w:hAnsiTheme="minorBidi" w:cs="Arial" w:hint="cs"/>
          <w:sz w:val="16"/>
          <w:szCs w:val="16"/>
          <w:rtl/>
        </w:rPr>
        <w:t>(סי' רנח)</w:t>
      </w:r>
      <w:r>
        <w:rPr>
          <w:rFonts w:asciiTheme="minorBidi" w:hAnsiTheme="minorBidi" w:cs="Arial" w:hint="cs"/>
          <w:rtl/>
        </w:rPr>
        <w:t>.</w:t>
      </w:r>
    </w:p>
  </w:footnote>
  <w:footnote w:id="2762">
    <w:p w14:paraId="0D6A4BA5" w14:textId="3BED136B" w:rsidR="009C23C3" w:rsidRDefault="009C23C3" w:rsidP="009C23C3">
      <w:pPr>
        <w:pStyle w:val="a7"/>
        <w:rPr>
          <w:rtl/>
        </w:rPr>
      </w:pPr>
      <w:r>
        <w:rPr>
          <w:rStyle w:val="a9"/>
        </w:rPr>
        <w:footnoteRef/>
      </w:r>
      <w:r>
        <w:rPr>
          <w:rtl/>
        </w:rPr>
        <w:t xml:space="preserve"> </w:t>
      </w:r>
      <w:r w:rsidRPr="0051273C">
        <w:rPr>
          <w:rFonts w:asciiTheme="minorBidi" w:hAnsiTheme="minorBidi" w:cs="Arial"/>
          <w:rtl/>
        </w:rPr>
        <w:t>ונראה שטעמו משום דמשמע ליה דלא מיקרי אולודי מוליד אא"כ מרתיח</w:t>
      </w:r>
      <w:r w:rsidRPr="0051273C">
        <w:rPr>
          <w:rFonts w:asciiTheme="minorBidi" w:hAnsiTheme="minorBidi" w:cs="Arial" w:hint="cs"/>
          <w:rtl/>
        </w:rPr>
        <w:t>.</w:t>
      </w:r>
      <w:r w:rsidRPr="0051273C">
        <w:rPr>
          <w:rFonts w:asciiTheme="minorBidi" w:hAnsiTheme="minorBidi" w:cs="Arial"/>
          <w:rtl/>
        </w:rPr>
        <w:t xml:space="preserve"> ועוד דאם אין העליון יכול להתבשל</w:t>
      </w:r>
      <w:r>
        <w:rPr>
          <w:rFonts w:asciiTheme="minorBidi" w:hAnsiTheme="minorBidi" w:cs="Arial" w:hint="cs"/>
          <w:rtl/>
        </w:rPr>
        <w:t>,</w:t>
      </w:r>
      <w:r w:rsidRPr="0051273C">
        <w:rPr>
          <w:rFonts w:asciiTheme="minorBidi" w:hAnsiTheme="minorBidi" w:cs="Arial"/>
          <w:rtl/>
        </w:rPr>
        <w:t xml:space="preserve"> כלומר להתחמם עד שתהא יד סולדת בו</w:t>
      </w:r>
      <w:r>
        <w:rPr>
          <w:rFonts w:asciiTheme="minorBidi" w:hAnsiTheme="minorBidi" w:cs="Arial" w:hint="cs"/>
          <w:rtl/>
        </w:rPr>
        <w:t xml:space="preserve"> -</w:t>
      </w:r>
      <w:r w:rsidRPr="0051273C">
        <w:rPr>
          <w:rFonts w:asciiTheme="minorBidi" w:hAnsiTheme="minorBidi" w:cs="Arial"/>
          <w:rtl/>
        </w:rPr>
        <w:t xml:space="preserve"> ודאי שרי</w:t>
      </w:r>
      <w:r>
        <w:rPr>
          <w:rFonts w:asciiTheme="minorBidi" w:hAnsiTheme="minorBidi" w:cs="Arial" w:hint="cs"/>
          <w:rtl/>
        </w:rPr>
        <w:t>,</w:t>
      </w:r>
      <w:r w:rsidRPr="0051273C">
        <w:rPr>
          <w:rFonts w:asciiTheme="minorBidi" w:hAnsiTheme="minorBidi" w:cs="Arial"/>
          <w:rtl/>
        </w:rPr>
        <w:t xml:space="preserve"> כדשרי להניח כנגד המדורה קיתון של צונן במקום שאין יד סולדת בו כמו שיבא בסימן שי"ח (פה.)</w:t>
      </w:r>
      <w:r w:rsidRPr="0051273C">
        <w:rPr>
          <w:rFonts w:asciiTheme="minorBidi" w:hAnsiTheme="minorBidi" w:cs="Arial" w:hint="cs"/>
          <w:rtl/>
        </w:rPr>
        <w:t>.</w:t>
      </w:r>
      <w:r w:rsidRPr="0051273C">
        <w:rPr>
          <w:rFonts w:asciiTheme="minorBidi" w:hAnsiTheme="minorBidi" w:cs="Arial"/>
          <w:rtl/>
        </w:rPr>
        <w:t xml:space="preserve"> וכן כתבו התוספות (ד"ה מאי שנא ממיחם) והר"ן (כב. ד"ה ומקשו) שם אעובדא דרבה ורבי זירא שדין הנחה ע"ג מיחם שוה לדין הנחה כנגד המדורה</w:t>
      </w:r>
      <w:r w:rsidRPr="0051273C">
        <w:rPr>
          <w:rFonts w:asciiTheme="minorBidi" w:hAnsiTheme="minorBidi" w:cs="Arial" w:hint="cs"/>
          <w:rtl/>
        </w:rPr>
        <w:t>.</w:t>
      </w:r>
      <w:r w:rsidRPr="0051273C">
        <w:rPr>
          <w:rFonts w:asciiTheme="minorBidi" w:hAnsiTheme="minorBidi" w:cs="Arial"/>
          <w:rtl/>
        </w:rPr>
        <w:t xml:space="preserve"> וכן כתב הרב המגיד בסוף פ"ד (ה"ו) וז"ל</w:t>
      </w:r>
      <w:r w:rsidRPr="0051273C">
        <w:rPr>
          <w:rFonts w:asciiTheme="minorBidi" w:hAnsiTheme="minorBidi" w:cs="Arial" w:hint="cs"/>
          <w:rtl/>
        </w:rPr>
        <w:t>-</w:t>
      </w:r>
      <w:r w:rsidRPr="0051273C">
        <w:rPr>
          <w:rFonts w:asciiTheme="minorBidi" w:hAnsiTheme="minorBidi" w:cs="Arial"/>
          <w:rtl/>
        </w:rPr>
        <w:t xml:space="preserve"> ופירשו ז"ל שהקומקום היה חם כל כך שהיה בו כדי לחמם הכוזא שהיה בו צונן ולא שיעור להפשיר בלבד שאל"כ מותר היה אפילו נגד המדורה וכן מורה לשון רבינו עכ"ל</w:t>
      </w:r>
      <w:r w:rsidRPr="0051273C">
        <w:rPr>
          <w:rFonts w:asciiTheme="minorBidi" w:hAnsiTheme="minorBidi" w:cs="Arial" w:hint="cs"/>
          <w:rtl/>
        </w:rPr>
        <w:t>.</w:t>
      </w:r>
      <w:r w:rsidRPr="0051273C">
        <w:rPr>
          <w:rFonts w:asciiTheme="minorBidi" w:hAnsiTheme="minorBidi" w:cs="Arial"/>
          <w:rtl/>
        </w:rPr>
        <w:t xml:space="preserve"> ולפי זה כלי שיש בו דבר חם שיכול להניחו על הקדרה</w:t>
      </w:r>
      <w:r>
        <w:rPr>
          <w:rFonts w:asciiTheme="minorBidi" w:hAnsiTheme="minorBidi" w:cs="Arial" w:hint="cs"/>
          <w:rtl/>
        </w:rPr>
        <w:t xml:space="preserve"> -</w:t>
      </w:r>
      <w:r w:rsidRPr="0051273C">
        <w:rPr>
          <w:rFonts w:asciiTheme="minorBidi" w:hAnsiTheme="minorBidi" w:cs="Arial"/>
          <w:rtl/>
        </w:rPr>
        <w:t xml:space="preserve"> היינו דוקא כשהיד סולדת בו</w:t>
      </w:r>
      <w:r w:rsidRPr="0051273C">
        <w:rPr>
          <w:rFonts w:asciiTheme="minorBidi" w:hAnsiTheme="minorBidi" w:cs="Arial" w:hint="cs"/>
          <w:rtl/>
        </w:rPr>
        <w:t>,</w:t>
      </w:r>
      <w:r w:rsidRPr="0051273C">
        <w:rPr>
          <w:rFonts w:asciiTheme="minorBidi" w:hAnsiTheme="minorBidi" w:cs="Arial"/>
          <w:rtl/>
        </w:rPr>
        <w:t xml:space="preserve"> דאז אפילו ירתיח מחמת חום התחתון אוקומי מוקים הוי</w:t>
      </w:r>
      <w:r w:rsidRPr="0051273C">
        <w:rPr>
          <w:rFonts w:asciiTheme="minorBidi" w:hAnsiTheme="minorBidi" w:cs="Arial" w:hint="cs"/>
          <w:rtl/>
        </w:rPr>
        <w:t>.</w:t>
      </w:r>
      <w:r w:rsidRPr="0051273C">
        <w:rPr>
          <w:rFonts w:asciiTheme="minorBidi" w:hAnsiTheme="minorBidi" w:cs="Arial"/>
          <w:rtl/>
        </w:rPr>
        <w:t xml:space="preserve"> ובלאו הכי צ"ל כן לפי מה שכתב רבינו בסימן הנזכר (פב.) דיש בישול אחר בישול בתבשיל שיש בו מרק אפילו נתבשל כל צרכו אם אינו רותח</w:t>
      </w:r>
      <w:r w:rsidRPr="0051273C">
        <w:rPr>
          <w:rFonts w:asciiTheme="minorBidi" w:hAnsiTheme="minorBidi" w:cs="Arial" w:hint="cs"/>
          <w:rtl/>
        </w:rPr>
        <w:t>.</w:t>
      </w:r>
      <w:r w:rsidRPr="0051273C">
        <w:rPr>
          <w:rFonts w:asciiTheme="minorBidi" w:hAnsiTheme="minorBidi" w:cs="Arial"/>
          <w:rtl/>
        </w:rPr>
        <w:t xml:space="preserve"> ואין לומר דשאני הכא שאינו באור עצמו</w:t>
      </w:r>
      <w:r w:rsidRPr="0051273C">
        <w:rPr>
          <w:rFonts w:asciiTheme="minorBidi" w:hAnsiTheme="minorBidi" w:cs="Arial" w:hint="cs"/>
          <w:rtl/>
        </w:rPr>
        <w:t>,</w:t>
      </w:r>
      <w:r w:rsidRPr="0051273C">
        <w:rPr>
          <w:rFonts w:asciiTheme="minorBidi" w:hAnsiTheme="minorBidi" w:cs="Arial"/>
          <w:rtl/>
        </w:rPr>
        <w:t xml:space="preserve"> דהא מבשל בתולדת האור חייב כמבשל באור עצמה כדאיתא בפרק כירה (לט.)</w:t>
      </w:r>
      <w:r>
        <w:rPr>
          <w:rFonts w:asciiTheme="minorBidi" w:hAnsiTheme="minorBidi" w:cs="Arial" w:hint="cs"/>
          <w:rtl/>
        </w:rPr>
        <w:t>, ב"י</w:t>
      </w:r>
      <w:r w:rsidR="00BC0E84">
        <w:rPr>
          <w:rFonts w:asciiTheme="minorBidi" w:hAnsiTheme="minorBidi" w:cs="Arial" w:hint="cs"/>
          <w:rtl/>
        </w:rPr>
        <w:t xml:space="preserve"> </w:t>
      </w:r>
      <w:r w:rsidR="00BC0E84">
        <w:rPr>
          <w:rFonts w:asciiTheme="minorBidi" w:hAnsiTheme="minorBidi" w:cs="Arial" w:hint="cs"/>
          <w:sz w:val="16"/>
          <w:szCs w:val="16"/>
          <w:rtl/>
        </w:rPr>
        <w:t>(סי' רנח)</w:t>
      </w:r>
      <w:r w:rsidRPr="0051273C">
        <w:rPr>
          <w:rFonts w:asciiTheme="minorBidi" w:hAnsiTheme="minorBidi" w:cs="Arial" w:hint="cs"/>
          <w:rtl/>
        </w:rPr>
        <w:t>.</w:t>
      </w:r>
    </w:p>
  </w:footnote>
  <w:footnote w:id="2763">
    <w:p w14:paraId="0913BE37" w14:textId="19B701B4" w:rsidR="009E3013" w:rsidRDefault="009E3013">
      <w:pPr>
        <w:pStyle w:val="a7"/>
      </w:pPr>
      <w:r>
        <w:rPr>
          <w:rStyle w:val="a9"/>
        </w:rPr>
        <w:footnoteRef/>
      </w:r>
      <w:r>
        <w:rPr>
          <w:rtl/>
        </w:rPr>
        <w:t xml:space="preserve"> </w:t>
      </w:r>
      <w:r>
        <w:rPr>
          <w:rFonts w:hint="cs"/>
          <w:rtl/>
        </w:rPr>
        <w:t>עיין לקמן בסע' טז דהתרומה הרא"ש והטור אוסרים ליתן דבר קרוש במקום שיכול להפשיר משום דהוי נולד, ולמדו כן מהאיסור לרסק שלג, דס"ל שאסור לרסק שלג משום נולד. אך רש"י רמב"ם רמב"ן סמ"ג סמ"ק רשב"א הה"מ רי"ו ור"ן חולקים עליהם ואמרו דלא אסרו בשלג משום נולד, וממילא גם בהפשרת דבר קרוש אין נולד ושרי.</w:t>
      </w:r>
    </w:p>
  </w:footnote>
  <w:footnote w:id="2764">
    <w:p w14:paraId="41E4B170" w14:textId="77777777" w:rsidR="009C23C3" w:rsidRDefault="009C23C3" w:rsidP="009C23C3">
      <w:pPr>
        <w:pStyle w:val="a7"/>
      </w:pPr>
      <w:r>
        <w:rPr>
          <w:rStyle w:val="a9"/>
        </w:rPr>
        <w:footnoteRef/>
      </w:r>
      <w:r>
        <w:rPr>
          <w:rtl/>
        </w:rPr>
        <w:t xml:space="preserve"> </w:t>
      </w:r>
      <w:r>
        <w:rPr>
          <w:rFonts w:asciiTheme="minorBidi" w:hAnsiTheme="minorBidi" w:cs="Arial" w:hint="cs"/>
          <w:rtl/>
        </w:rPr>
        <w:t xml:space="preserve">וז"ל- </w:t>
      </w:r>
      <w:r w:rsidRPr="00540CB9">
        <w:rPr>
          <w:rFonts w:asciiTheme="minorBidi" w:hAnsiTheme="minorBidi" w:cs="Arial"/>
          <w:rtl/>
        </w:rPr>
        <w:t>מותר ליתן על פי קדרת חמין בשבת תבשיל שנתבשל כל צרכו כגון פנאדיש וכיוצא בהם לחממן ואע</w:t>
      </w:r>
      <w:r>
        <w:rPr>
          <w:rFonts w:asciiTheme="minorBidi" w:hAnsiTheme="minorBidi" w:cs="Arial" w:hint="cs"/>
          <w:rtl/>
        </w:rPr>
        <w:t>"</w:t>
      </w:r>
      <w:r w:rsidRPr="00540CB9">
        <w:rPr>
          <w:rFonts w:asciiTheme="minorBidi" w:hAnsiTheme="minorBidi" w:cs="Arial"/>
          <w:rtl/>
        </w:rPr>
        <w:t>פ שהיד סולדת בו לפי שאין דרך בישול בכך ואע</w:t>
      </w:r>
      <w:r>
        <w:rPr>
          <w:rFonts w:asciiTheme="minorBidi" w:hAnsiTheme="minorBidi" w:cs="Arial" w:hint="cs"/>
          <w:rtl/>
        </w:rPr>
        <w:t>"</w:t>
      </w:r>
      <w:r w:rsidRPr="00540CB9">
        <w:rPr>
          <w:rFonts w:asciiTheme="minorBidi" w:hAnsiTheme="minorBidi" w:cs="Arial"/>
          <w:rtl/>
        </w:rPr>
        <w:t>פ שהקדרה נתונה על האש</w:t>
      </w:r>
      <w:r>
        <w:rPr>
          <w:rFonts w:asciiTheme="minorBidi" w:hAnsiTheme="minorBidi" w:cs="Arial" w:hint="cs"/>
          <w:rtl/>
        </w:rPr>
        <w:t>.</w:t>
      </w:r>
      <w:r w:rsidRPr="00540CB9">
        <w:rPr>
          <w:rFonts w:asciiTheme="minorBidi" w:hAnsiTheme="minorBidi" w:cs="Arial"/>
          <w:rtl/>
        </w:rPr>
        <w:t xml:space="preserve"> אבל להטמין תחת הבגדים הנתונים על גבי מיחם ודאי אסור</w:t>
      </w:r>
      <w:r>
        <w:rPr>
          <w:rFonts w:asciiTheme="minorBidi" w:hAnsiTheme="minorBidi" w:cs="Arial" w:hint="cs"/>
          <w:rtl/>
        </w:rPr>
        <w:t>,</w:t>
      </w:r>
      <w:r w:rsidRPr="00540CB9">
        <w:rPr>
          <w:rFonts w:asciiTheme="minorBidi" w:hAnsiTheme="minorBidi" w:cs="Arial"/>
          <w:rtl/>
        </w:rPr>
        <w:t xml:space="preserve"> שהרי אסור להטמין משחשיכה אפילו תבשיל שנתבשל כל צרכו אפילו בדבר שאינו מוסיף הבל</w:t>
      </w:r>
      <w:r>
        <w:rPr>
          <w:rFonts w:asciiTheme="minorBidi" w:hAnsiTheme="minorBidi" w:cs="Arial" w:hint="cs"/>
          <w:rtl/>
        </w:rPr>
        <w:t>.</w:t>
      </w:r>
    </w:p>
  </w:footnote>
  <w:footnote w:id="2765">
    <w:p w14:paraId="7D77EDE0" w14:textId="77777777" w:rsidR="009C23C3" w:rsidRDefault="009C23C3" w:rsidP="009C23C3">
      <w:pPr>
        <w:pStyle w:val="a7"/>
        <w:rPr>
          <w:rtl/>
        </w:rPr>
      </w:pPr>
      <w:r>
        <w:rPr>
          <w:rStyle w:val="a9"/>
        </w:rPr>
        <w:footnoteRef/>
      </w:r>
      <w:r w:rsidRPr="00540CB9">
        <w:rPr>
          <w:rFonts w:asciiTheme="minorBidi" w:hAnsiTheme="minorBidi" w:cs="Arial"/>
          <w:rtl/>
        </w:rPr>
        <w:t xml:space="preserve"> ומכל מקום אם הוא תבשיל שיש בו רוטב ומצטמק ויפה לו אסור לדברי הכל</w:t>
      </w:r>
      <w:r>
        <w:rPr>
          <w:rFonts w:hint="cs"/>
          <w:rtl/>
        </w:rPr>
        <w:t>, רי"ו (שם).</w:t>
      </w:r>
    </w:p>
  </w:footnote>
  <w:footnote w:id="2766">
    <w:p w14:paraId="7CEDA28E" w14:textId="7D7192E6" w:rsidR="009C23C3" w:rsidRDefault="009C23C3" w:rsidP="009C23C3">
      <w:pPr>
        <w:pStyle w:val="a7"/>
      </w:pPr>
      <w:r>
        <w:rPr>
          <w:rStyle w:val="a9"/>
        </w:rPr>
        <w:footnoteRef/>
      </w:r>
      <w:r>
        <w:rPr>
          <w:rtl/>
        </w:rPr>
        <w:t xml:space="preserve"> </w:t>
      </w:r>
      <w:r w:rsidRPr="00540CB9">
        <w:rPr>
          <w:rFonts w:asciiTheme="minorBidi" w:hAnsiTheme="minorBidi" w:cs="Arial"/>
          <w:rtl/>
        </w:rPr>
        <w:t>מה שכתב שהרא"ש סובר כסברא ראשונה</w:t>
      </w:r>
      <w:r>
        <w:rPr>
          <w:rFonts w:asciiTheme="minorBidi" w:hAnsiTheme="minorBidi" w:cs="Arial" w:hint="cs"/>
          <w:rtl/>
        </w:rPr>
        <w:t xml:space="preserve"> -</w:t>
      </w:r>
      <w:r w:rsidRPr="00540CB9">
        <w:rPr>
          <w:rFonts w:asciiTheme="minorBidi" w:hAnsiTheme="minorBidi" w:cs="Arial"/>
          <w:rtl/>
        </w:rPr>
        <w:t xml:space="preserve"> לא ידעתי היכן כתב כן</w:t>
      </w:r>
      <w:r>
        <w:rPr>
          <w:rFonts w:asciiTheme="minorBidi" w:hAnsiTheme="minorBidi" w:cs="Arial" w:hint="cs"/>
          <w:rtl/>
        </w:rPr>
        <w:t>, ב"י</w:t>
      </w:r>
      <w:r w:rsidR="00BC0E84">
        <w:rPr>
          <w:rFonts w:asciiTheme="minorBidi" w:hAnsiTheme="minorBidi" w:cs="Arial" w:hint="cs"/>
          <w:rtl/>
        </w:rPr>
        <w:t xml:space="preserve"> </w:t>
      </w:r>
      <w:r w:rsidR="00BC0E84">
        <w:rPr>
          <w:rFonts w:asciiTheme="minorBidi" w:hAnsiTheme="minorBidi" w:cs="Arial" w:hint="cs"/>
          <w:sz w:val="16"/>
          <w:szCs w:val="16"/>
          <w:rtl/>
        </w:rPr>
        <w:t>(סי' רנח)</w:t>
      </w:r>
      <w:r w:rsidRPr="00540CB9">
        <w:rPr>
          <w:rFonts w:asciiTheme="minorBidi" w:hAnsiTheme="minorBidi" w:cs="Arial"/>
          <w:rtl/>
        </w:rPr>
        <w:t>.</w:t>
      </w:r>
    </w:p>
  </w:footnote>
  <w:footnote w:id="2767">
    <w:p w14:paraId="43822F47" w14:textId="6A15ED9F" w:rsidR="009C23C3" w:rsidRDefault="009C23C3" w:rsidP="009C23C3">
      <w:pPr>
        <w:pStyle w:val="a7"/>
      </w:pPr>
      <w:r>
        <w:rPr>
          <w:rStyle w:val="a9"/>
        </w:rPr>
        <w:footnoteRef/>
      </w:r>
      <w:r>
        <w:rPr>
          <w:rtl/>
        </w:rPr>
        <w:t xml:space="preserve"> </w:t>
      </w:r>
      <w:r>
        <w:rPr>
          <w:rFonts w:asciiTheme="minorBidi" w:hAnsiTheme="minorBidi" w:cs="Arial" w:hint="cs"/>
          <w:rtl/>
        </w:rPr>
        <w:t>ו</w:t>
      </w:r>
      <w:r w:rsidRPr="00540CB9">
        <w:rPr>
          <w:rFonts w:asciiTheme="minorBidi" w:hAnsiTheme="minorBidi" w:cs="Arial"/>
          <w:rtl/>
        </w:rPr>
        <w:t xml:space="preserve">לפי דבריו </w:t>
      </w:r>
      <w:r>
        <w:rPr>
          <w:rFonts w:asciiTheme="minorBidi" w:hAnsiTheme="minorBidi" w:cs="Arial" w:hint="cs"/>
          <w:sz w:val="16"/>
          <w:szCs w:val="16"/>
          <w:rtl/>
        </w:rPr>
        <w:t xml:space="preserve">{של הר"ן} </w:t>
      </w:r>
      <w:r w:rsidRPr="00540CB9">
        <w:rPr>
          <w:rFonts w:asciiTheme="minorBidi" w:hAnsiTheme="minorBidi" w:cs="Arial"/>
          <w:rtl/>
        </w:rPr>
        <w:t xml:space="preserve">כי תניא ולא בשביל שיחמו וכו' </w:t>
      </w:r>
      <w:r>
        <w:rPr>
          <w:rFonts w:asciiTheme="minorBidi" w:hAnsiTheme="minorBidi" w:cs="Arial" w:hint="cs"/>
          <w:rtl/>
        </w:rPr>
        <w:t xml:space="preserve">- </w:t>
      </w:r>
      <w:r w:rsidRPr="00540CB9">
        <w:rPr>
          <w:rFonts w:asciiTheme="minorBidi" w:hAnsiTheme="minorBidi" w:cs="Arial"/>
          <w:rtl/>
        </w:rPr>
        <w:t>כשלא נתבשלה כל צרכה הוא בדוקא</w:t>
      </w:r>
      <w:r>
        <w:rPr>
          <w:rFonts w:asciiTheme="minorBidi" w:hAnsiTheme="minorBidi" w:cs="Arial" w:hint="cs"/>
          <w:rtl/>
        </w:rPr>
        <w:t xml:space="preserve">, </w:t>
      </w:r>
      <w:r w:rsidRPr="00FA4C27">
        <w:rPr>
          <w:rFonts w:asciiTheme="minorBidi" w:hAnsiTheme="minorBidi" w:cs="Arial" w:hint="cs"/>
          <w:b/>
          <w:bCs/>
          <w:rtl/>
        </w:rPr>
        <w:t>ב"י</w:t>
      </w:r>
      <w:r w:rsidR="00BC0E84">
        <w:rPr>
          <w:rFonts w:asciiTheme="minorBidi" w:hAnsiTheme="minorBidi" w:cs="Arial" w:hint="cs"/>
          <w:sz w:val="16"/>
          <w:szCs w:val="16"/>
          <w:rtl/>
        </w:rPr>
        <w:t xml:space="preserve"> (סי' רנח)</w:t>
      </w:r>
      <w:r>
        <w:rPr>
          <w:rFonts w:asciiTheme="minorBidi" w:hAnsiTheme="minorBidi" w:cs="Arial" w:hint="cs"/>
          <w:rtl/>
        </w:rPr>
        <w:t xml:space="preserve">. </w:t>
      </w:r>
      <w:r>
        <w:rPr>
          <w:rFonts w:cs="Arial" w:hint="cs"/>
          <w:rtl/>
        </w:rPr>
        <w:t xml:space="preserve">  </w:t>
      </w:r>
      <w:r w:rsidRPr="00921789">
        <w:rPr>
          <w:rFonts w:cs="Arial"/>
          <w:rtl/>
        </w:rPr>
        <w:t>ולפי דברי הטור דתלי טעמא משום שמוליד חום בכל ענין אסור. ועיין לקמן סימן שי"ח עיקר דינים אלו</w:t>
      </w:r>
      <w:r>
        <w:rPr>
          <w:rFonts w:cs="Arial" w:hint="cs"/>
          <w:rtl/>
        </w:rPr>
        <w:t xml:space="preserve">, </w:t>
      </w:r>
      <w:r w:rsidRPr="00FA4C27">
        <w:rPr>
          <w:rFonts w:cs="Arial" w:hint="cs"/>
          <w:b/>
          <w:bCs/>
          <w:rtl/>
        </w:rPr>
        <w:t>דרכ"מ</w:t>
      </w:r>
      <w:r>
        <w:rPr>
          <w:rFonts w:cs="Arial" w:hint="cs"/>
          <w:rtl/>
        </w:rPr>
        <w:t xml:space="preserve"> (</w:t>
      </w:r>
      <w:r w:rsidR="00BC0E84">
        <w:rPr>
          <w:rFonts w:cs="Arial" w:hint="cs"/>
          <w:rtl/>
        </w:rPr>
        <w:t xml:space="preserve">סי' רנח </w:t>
      </w:r>
      <w:r>
        <w:rPr>
          <w:rFonts w:cs="Arial" w:hint="cs"/>
          <w:rtl/>
        </w:rPr>
        <w:t>אות ב)</w:t>
      </w:r>
      <w:r>
        <w:rPr>
          <w:rFonts w:asciiTheme="minorBidi" w:hAnsiTheme="minorBidi" w:cs="Arial" w:hint="cs"/>
          <w:rtl/>
        </w:rPr>
        <w:t>.</w:t>
      </w:r>
    </w:p>
  </w:footnote>
  <w:footnote w:id="2768">
    <w:p w14:paraId="745C7CD9" w14:textId="77777777" w:rsidR="009C23C3" w:rsidRDefault="009C23C3" w:rsidP="009C23C3">
      <w:pPr>
        <w:pStyle w:val="a7"/>
        <w:rPr>
          <w:rtl/>
        </w:rPr>
      </w:pPr>
      <w:r>
        <w:rPr>
          <w:rStyle w:val="a9"/>
        </w:rPr>
        <w:footnoteRef/>
      </w:r>
      <w:r>
        <w:rPr>
          <w:rtl/>
        </w:rPr>
        <w:t xml:space="preserve"> </w:t>
      </w:r>
      <w:r w:rsidRPr="00166C47">
        <w:rPr>
          <w:rFonts w:asciiTheme="minorBidi" w:hAnsiTheme="minorBidi" w:cs="Arial"/>
          <w:rtl/>
        </w:rPr>
        <w:t>פירוש ואף על פי שאמרנו למעלה שמותר להפשיר כנגד המדורה דוקא ברחוק אבל בקרוב שהיה שם יכול להתבשל אסור כמו שכתבתי למעלה שמא יפשע ולא יסלקנו אחר שיפשיר. כך פשוט ומוכח בשבת</w:t>
      </w:r>
      <w:r>
        <w:rPr>
          <w:rFonts w:hint="cs"/>
          <w:rtl/>
        </w:rPr>
        <w:t>, רי"ו (שם).</w:t>
      </w:r>
    </w:p>
  </w:footnote>
  <w:footnote w:id="2769">
    <w:p w14:paraId="5B838307" w14:textId="5085275C" w:rsidR="0052632B" w:rsidRDefault="0052632B">
      <w:pPr>
        <w:pStyle w:val="a7"/>
      </w:pPr>
      <w:r>
        <w:rPr>
          <w:rStyle w:val="a9"/>
        </w:rPr>
        <w:footnoteRef/>
      </w:r>
      <w:r>
        <w:rPr>
          <w:rtl/>
        </w:rPr>
        <w:t xml:space="preserve"> </w:t>
      </w:r>
      <w:r>
        <w:rPr>
          <w:rFonts w:asciiTheme="minorBidi" w:hAnsiTheme="minorBidi" w:hint="cs"/>
          <w:rtl/>
        </w:rPr>
        <w:t>כ"כ ה</w:t>
      </w:r>
      <w:r w:rsidRPr="005275DF">
        <w:rPr>
          <w:rFonts w:asciiTheme="minorBidi" w:hAnsiTheme="minorBidi"/>
          <w:rtl/>
        </w:rPr>
        <w:t xml:space="preserve">גר"א </w:t>
      </w:r>
      <w:r w:rsidRPr="005275DF">
        <w:rPr>
          <w:rFonts w:asciiTheme="minorBidi" w:hAnsiTheme="minorBidi"/>
          <w:sz w:val="16"/>
          <w:szCs w:val="16"/>
          <w:rtl/>
        </w:rPr>
        <w:t>(סקכ"א)</w:t>
      </w:r>
      <w:r>
        <w:rPr>
          <w:rFonts w:asciiTheme="minorBidi" w:hAnsiTheme="minorBidi" w:hint="cs"/>
          <w:rtl/>
        </w:rPr>
        <w:t xml:space="preserve"> ע"פ מה שפסק</w:t>
      </w:r>
      <w:r w:rsidRPr="005275DF">
        <w:rPr>
          <w:rFonts w:asciiTheme="minorBidi" w:hAnsiTheme="minorBidi"/>
          <w:rtl/>
        </w:rPr>
        <w:t xml:space="preserve"> השו"ע</w:t>
      </w:r>
      <w:r>
        <w:rPr>
          <w:rFonts w:asciiTheme="minorBidi" w:hAnsiTheme="minorBidi" w:hint="cs"/>
          <w:rtl/>
        </w:rPr>
        <w:t xml:space="preserve"> בסע' ח, ש</w:t>
      </w:r>
      <w:r w:rsidRPr="005275DF">
        <w:rPr>
          <w:rFonts w:asciiTheme="minorBidi" w:hAnsiTheme="minorBidi"/>
          <w:rtl/>
        </w:rPr>
        <w:t>הרי אין הבדל בין דבר יבש וקר שנתבשל כ"צ</w:t>
      </w:r>
      <w:r w:rsidRPr="005275DF">
        <w:rPr>
          <w:rFonts w:asciiTheme="minorBidi" w:hAnsiTheme="minorBidi"/>
          <w:sz w:val="16"/>
          <w:szCs w:val="16"/>
          <w:rtl/>
        </w:rPr>
        <w:t xml:space="preserve"> (שמוזכר </w:t>
      </w:r>
      <w:r>
        <w:rPr>
          <w:rFonts w:asciiTheme="minorBidi" w:hAnsiTheme="minorBidi" w:hint="cs"/>
          <w:sz w:val="16"/>
          <w:szCs w:val="16"/>
          <w:rtl/>
        </w:rPr>
        <w:t>בסע' ח</w:t>
      </w:r>
      <w:r w:rsidRPr="005275DF">
        <w:rPr>
          <w:rFonts w:asciiTheme="minorBidi" w:hAnsiTheme="minorBidi"/>
          <w:sz w:val="16"/>
          <w:szCs w:val="16"/>
          <w:rtl/>
        </w:rPr>
        <w:t>)</w:t>
      </w:r>
      <w:r w:rsidRPr="005275DF">
        <w:rPr>
          <w:rFonts w:asciiTheme="minorBidi" w:hAnsiTheme="minorBidi"/>
          <w:rtl/>
        </w:rPr>
        <w:t xml:space="preserve"> לבין דבר עם רוטב והוא רותח ונתבשל כ"צ </w:t>
      </w:r>
      <w:r w:rsidRPr="005275DF">
        <w:rPr>
          <w:rFonts w:asciiTheme="minorBidi" w:hAnsiTheme="minorBidi"/>
          <w:sz w:val="16"/>
          <w:szCs w:val="16"/>
          <w:rtl/>
        </w:rPr>
        <w:t xml:space="preserve">(שמוזכר </w:t>
      </w:r>
      <w:r>
        <w:rPr>
          <w:rFonts w:asciiTheme="minorBidi" w:hAnsiTheme="minorBidi" w:hint="cs"/>
          <w:sz w:val="16"/>
          <w:szCs w:val="16"/>
          <w:rtl/>
        </w:rPr>
        <w:t>בסע' ז</w:t>
      </w:r>
      <w:r w:rsidRPr="005275DF">
        <w:rPr>
          <w:rFonts w:asciiTheme="minorBidi" w:hAnsiTheme="minorBidi"/>
          <w:sz w:val="16"/>
          <w:szCs w:val="16"/>
          <w:rtl/>
        </w:rPr>
        <w:t>)</w:t>
      </w:r>
      <w:r w:rsidR="00BD1E5D">
        <w:rPr>
          <w:rFonts w:asciiTheme="minorBidi" w:hAnsiTheme="minorBidi" w:hint="cs"/>
          <w:rtl/>
        </w:rPr>
        <w:t>, וכמו שנתבאר בסע' ד</w:t>
      </w:r>
      <w:r w:rsidRPr="005275DF">
        <w:rPr>
          <w:rFonts w:asciiTheme="minorBidi" w:hAnsiTheme="minorBidi"/>
          <w:rtl/>
        </w:rPr>
        <w:t>.</w:t>
      </w:r>
      <w:r w:rsidR="00BD1E5D">
        <w:rPr>
          <w:rFonts w:asciiTheme="minorBidi" w:hAnsiTheme="minorBidi" w:hint="cs"/>
          <w:rtl/>
        </w:rPr>
        <w:t xml:space="preserve"> וכתב עוד הגר"א </w:t>
      </w:r>
      <w:r w:rsidR="00BD1E5D">
        <w:rPr>
          <w:rFonts w:asciiTheme="minorBidi" w:hAnsiTheme="minorBidi" w:cs="Arial" w:hint="cs"/>
          <w:rtl/>
        </w:rPr>
        <w:t>ש</w:t>
      </w:r>
      <w:r w:rsidR="00BD1E5D" w:rsidRPr="00BD1E5D">
        <w:rPr>
          <w:rFonts w:asciiTheme="minorBidi" w:hAnsiTheme="minorBidi" w:cs="Arial"/>
          <w:rtl/>
        </w:rPr>
        <w:t>המ"מ והר"ן פ</w:t>
      </w:r>
      <w:r w:rsidR="00BD1E5D">
        <w:rPr>
          <w:rFonts w:asciiTheme="minorBidi" w:hAnsiTheme="minorBidi" w:cs="Arial" w:hint="cs"/>
          <w:rtl/>
        </w:rPr>
        <w:t>וסקים</w:t>
      </w:r>
      <w:r w:rsidR="00BD1E5D" w:rsidRPr="00BD1E5D">
        <w:rPr>
          <w:rFonts w:asciiTheme="minorBidi" w:hAnsiTheme="minorBidi" w:cs="Arial"/>
          <w:rtl/>
        </w:rPr>
        <w:t xml:space="preserve"> </w:t>
      </w:r>
      <w:r w:rsidR="00BD1E5D">
        <w:rPr>
          <w:rFonts w:asciiTheme="minorBidi" w:hAnsiTheme="minorBidi" w:cs="Arial" w:hint="cs"/>
          <w:rtl/>
        </w:rPr>
        <w:t xml:space="preserve">כסברא ראשונה </w:t>
      </w:r>
      <w:r w:rsidR="00BD1E5D">
        <w:rPr>
          <w:rFonts w:asciiTheme="minorBidi" w:hAnsiTheme="minorBidi" w:cs="Arial" w:hint="cs"/>
          <w:sz w:val="16"/>
          <w:szCs w:val="16"/>
          <w:rtl/>
        </w:rPr>
        <w:t>{</w:t>
      </w:r>
      <w:r w:rsidR="00BD1E5D" w:rsidRPr="00BD1E5D">
        <w:rPr>
          <w:rFonts w:asciiTheme="minorBidi" w:hAnsiTheme="minorBidi" w:cs="Arial" w:hint="cs"/>
          <w:sz w:val="16"/>
          <w:szCs w:val="16"/>
          <w:rtl/>
        </w:rPr>
        <w:t>בשו"ע בסע' ז, והיא סברת רי"ו כאן</w:t>
      </w:r>
      <w:r w:rsidR="00BD1E5D">
        <w:rPr>
          <w:rFonts w:asciiTheme="minorBidi" w:hAnsiTheme="minorBidi" w:cs="Arial" w:hint="cs"/>
          <w:sz w:val="16"/>
          <w:szCs w:val="16"/>
          <w:rtl/>
        </w:rPr>
        <w:t>}</w:t>
      </w:r>
      <w:r w:rsidR="00BD1E5D" w:rsidRPr="00BD1E5D">
        <w:rPr>
          <w:rFonts w:asciiTheme="minorBidi" w:hAnsiTheme="minorBidi" w:cs="Arial"/>
          <w:rtl/>
        </w:rPr>
        <w:t xml:space="preserve"> בפשיטות</w:t>
      </w:r>
      <w:r w:rsidR="00BD1E5D">
        <w:rPr>
          <w:rFonts w:asciiTheme="minorBidi" w:hAnsiTheme="minorBidi" w:cs="Arial" w:hint="cs"/>
          <w:rtl/>
        </w:rPr>
        <w:t>.</w:t>
      </w:r>
      <w:r w:rsidR="00BD1E5D" w:rsidRPr="00BD1E5D">
        <w:rPr>
          <w:rFonts w:asciiTheme="minorBidi" w:hAnsiTheme="minorBidi" w:cs="Arial"/>
          <w:rtl/>
        </w:rPr>
        <w:t xml:space="preserve"> וכ"פ בש</w:t>
      </w:r>
      <w:r w:rsidR="00BD1E5D">
        <w:rPr>
          <w:rFonts w:asciiTheme="minorBidi" w:hAnsiTheme="minorBidi" w:cs="Arial" w:hint="cs"/>
          <w:rtl/>
        </w:rPr>
        <w:t>ו</w:t>
      </w:r>
      <w:r w:rsidR="00BD1E5D" w:rsidRPr="00BD1E5D">
        <w:rPr>
          <w:rFonts w:asciiTheme="minorBidi" w:hAnsiTheme="minorBidi" w:cs="Arial"/>
          <w:rtl/>
        </w:rPr>
        <w:t>"ע סי' רנג ס"</w:t>
      </w:r>
      <w:r w:rsidR="00EB0C7F">
        <w:rPr>
          <w:rFonts w:asciiTheme="minorBidi" w:hAnsiTheme="minorBidi" w:cs="Arial" w:hint="cs"/>
          <w:rtl/>
        </w:rPr>
        <w:t>ה</w:t>
      </w:r>
      <w:r w:rsidR="00BD1E5D">
        <w:rPr>
          <w:rFonts w:asciiTheme="minorBidi" w:hAnsiTheme="minorBidi" w:cs="Arial" w:hint="cs"/>
          <w:rtl/>
        </w:rPr>
        <w:t>.</w:t>
      </w:r>
      <w:r w:rsidR="00BD1E5D" w:rsidRPr="00BD1E5D">
        <w:rPr>
          <w:rFonts w:asciiTheme="minorBidi" w:hAnsiTheme="minorBidi" w:cs="Arial"/>
          <w:rtl/>
        </w:rPr>
        <w:t xml:space="preserve"> דלא כמ</w:t>
      </w:r>
      <w:r w:rsidR="00BD1E5D">
        <w:rPr>
          <w:rFonts w:asciiTheme="minorBidi" w:hAnsiTheme="minorBidi" w:cs="Arial" w:hint="cs"/>
          <w:rtl/>
        </w:rPr>
        <w:t>ג</w:t>
      </w:r>
      <w:r w:rsidR="00BD1E5D" w:rsidRPr="00BD1E5D">
        <w:rPr>
          <w:rFonts w:asciiTheme="minorBidi" w:hAnsiTheme="minorBidi" w:cs="Arial"/>
          <w:rtl/>
        </w:rPr>
        <w:t xml:space="preserve">"א </w:t>
      </w:r>
      <w:r w:rsidR="00BD1E5D">
        <w:rPr>
          <w:rFonts w:asciiTheme="minorBidi" w:hAnsiTheme="minorBidi" w:cs="Arial" w:hint="cs"/>
          <w:rtl/>
        </w:rPr>
        <w:t>(</w:t>
      </w:r>
      <w:r w:rsidR="00BD1E5D" w:rsidRPr="00BD1E5D">
        <w:rPr>
          <w:rFonts w:asciiTheme="minorBidi" w:hAnsiTheme="minorBidi" w:cs="Arial"/>
          <w:rtl/>
        </w:rPr>
        <w:t>סקכ</w:t>
      </w:r>
      <w:r w:rsidR="00BD1E5D">
        <w:rPr>
          <w:rFonts w:asciiTheme="minorBidi" w:hAnsiTheme="minorBidi" w:cs="Arial" w:hint="cs"/>
          <w:rtl/>
        </w:rPr>
        <w:t>"</w:t>
      </w:r>
      <w:r w:rsidR="00BD1E5D" w:rsidRPr="00BD1E5D">
        <w:rPr>
          <w:rFonts w:asciiTheme="minorBidi" w:hAnsiTheme="minorBidi" w:cs="Arial"/>
          <w:rtl/>
        </w:rPr>
        <w:t>ו</w:t>
      </w:r>
      <w:r w:rsidR="00BD1E5D">
        <w:rPr>
          <w:rFonts w:asciiTheme="minorBidi" w:hAnsiTheme="minorBidi" w:cs="Arial" w:hint="cs"/>
          <w:rtl/>
        </w:rPr>
        <w:t>)</w:t>
      </w:r>
      <w:r w:rsidR="00BD1E5D" w:rsidRPr="00BD1E5D">
        <w:rPr>
          <w:rFonts w:asciiTheme="minorBidi" w:hAnsiTheme="minorBidi" w:cs="Arial"/>
          <w:rtl/>
        </w:rPr>
        <w:t xml:space="preserve"> שרוצה לחלק</w:t>
      </w:r>
      <w:r w:rsidR="00BD1E5D">
        <w:rPr>
          <w:rFonts w:asciiTheme="minorBidi" w:hAnsiTheme="minorBidi" w:cs="Arial" w:hint="cs"/>
          <w:rtl/>
        </w:rPr>
        <w:t>.</w:t>
      </w:r>
      <w:r w:rsidR="00BD1E5D" w:rsidRPr="00BD1E5D">
        <w:rPr>
          <w:rFonts w:asciiTheme="minorBidi" w:hAnsiTheme="minorBidi" w:cs="Arial"/>
          <w:rtl/>
        </w:rPr>
        <w:t xml:space="preserve"> שלא מ</w:t>
      </w:r>
      <w:r w:rsidR="00BD1E5D">
        <w:rPr>
          <w:rFonts w:asciiTheme="minorBidi" w:hAnsiTheme="minorBidi" w:cs="Arial" w:hint="cs"/>
          <w:rtl/>
        </w:rPr>
        <w:t>שמע</w:t>
      </w:r>
      <w:r w:rsidR="00BD1E5D" w:rsidRPr="00BD1E5D">
        <w:rPr>
          <w:rFonts w:asciiTheme="minorBidi" w:hAnsiTheme="minorBidi" w:cs="Arial"/>
          <w:rtl/>
        </w:rPr>
        <w:t xml:space="preserve"> כן בהר"ן ומ"מ</w:t>
      </w:r>
      <w:r w:rsidR="00BD1E5D">
        <w:rPr>
          <w:rFonts w:asciiTheme="minorBidi" w:hAnsiTheme="minorBidi" w:cs="Arial" w:hint="cs"/>
          <w:rtl/>
        </w:rPr>
        <w:t>. עכ"ל הגר"א.</w:t>
      </w:r>
    </w:p>
  </w:footnote>
  <w:footnote w:id="2770">
    <w:p w14:paraId="0EE1F011" w14:textId="046A1256"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ואפי' לא נתבשל כ"צ דאמרינן לעיל</w:t>
      </w:r>
      <w:r w:rsidRPr="008C1C8E">
        <w:rPr>
          <w:rFonts w:asciiTheme="minorBidi" w:hAnsiTheme="minorBidi"/>
          <w:sz w:val="16"/>
          <w:szCs w:val="16"/>
          <w:rtl/>
        </w:rPr>
        <w:t xml:space="preserve"> (ס"ד)</w:t>
      </w:r>
      <w:r w:rsidRPr="008C1C8E">
        <w:rPr>
          <w:rFonts w:asciiTheme="minorBidi" w:hAnsiTheme="minorBidi"/>
          <w:rtl/>
        </w:rPr>
        <w:t xml:space="preserve"> דיש בו משום בישול אפי' ברותח, שאני הכא שא"א לבוא לידי בישול גמור, ט"ז (סק"ט).</w:t>
      </w:r>
      <w:r w:rsidR="00DE434E">
        <w:rPr>
          <w:rFonts w:asciiTheme="minorBidi" w:hAnsiTheme="minorBidi" w:hint="cs"/>
          <w:rtl/>
        </w:rPr>
        <w:t xml:space="preserve"> צל"ע </w:t>
      </w:r>
      <w:r w:rsidR="00BC0E84">
        <w:rPr>
          <w:rFonts w:asciiTheme="minorBidi" w:hAnsiTheme="minorBidi" w:hint="cs"/>
          <w:rtl/>
        </w:rPr>
        <w:t>מה דעת השו"ע, שהרי הב"י כתב (בסי' רנח) שכן יוצא מדברי הר"ן</w:t>
      </w:r>
      <w:r w:rsidR="00EB0C7F">
        <w:rPr>
          <w:rFonts w:asciiTheme="minorBidi" w:hAnsiTheme="minorBidi" w:hint="cs"/>
          <w:rtl/>
        </w:rPr>
        <w:t xml:space="preserve"> (שכשהקדירה אינה ע"ג האש אפשר להניח עליה אפילו דבר שמבושל כמאב"ד, וכשהיא על האש אפשר רק דבר שמבושל כ"צ)</w:t>
      </w:r>
      <w:r w:rsidR="00BC0E84">
        <w:rPr>
          <w:rFonts w:asciiTheme="minorBidi" w:hAnsiTheme="minorBidi" w:hint="cs"/>
          <w:rtl/>
        </w:rPr>
        <w:t xml:space="preserve">. אך </w:t>
      </w:r>
      <w:r w:rsidR="00EB0C7F">
        <w:rPr>
          <w:rFonts w:asciiTheme="minorBidi" w:hAnsiTheme="minorBidi" w:hint="cs"/>
          <w:rtl/>
        </w:rPr>
        <w:t>אח"כ כתב הב"י</w:t>
      </w:r>
      <w:r w:rsidR="00DE434E">
        <w:rPr>
          <w:rFonts w:asciiTheme="minorBidi" w:hAnsiTheme="minorBidi" w:hint="cs"/>
          <w:rtl/>
        </w:rPr>
        <w:t xml:space="preserve"> </w:t>
      </w:r>
      <w:r w:rsidR="00EB0C7F">
        <w:rPr>
          <w:rFonts w:asciiTheme="minorBidi" w:hAnsiTheme="minorBidi" w:hint="cs"/>
          <w:rtl/>
        </w:rPr>
        <w:t>ש</w:t>
      </w:r>
      <w:r w:rsidR="00DE434E">
        <w:rPr>
          <w:rFonts w:asciiTheme="minorBidi" w:hAnsiTheme="minorBidi" w:hint="cs"/>
          <w:rtl/>
        </w:rPr>
        <w:t xml:space="preserve">מהר"י בן חביב </w:t>
      </w:r>
      <w:r w:rsidR="00EB0C7F">
        <w:rPr>
          <w:rFonts w:asciiTheme="minorBidi" w:hAnsiTheme="minorBidi" w:hint="cs"/>
          <w:rtl/>
        </w:rPr>
        <w:t>פירש את דברי הטור</w:t>
      </w:r>
      <w:r w:rsidR="00BC0E84">
        <w:rPr>
          <w:rFonts w:asciiTheme="minorBidi" w:hAnsiTheme="minorBidi" w:hint="cs"/>
          <w:rtl/>
        </w:rPr>
        <w:t xml:space="preserve"> </w:t>
      </w:r>
      <w:r w:rsidR="00EB0C7F">
        <w:rPr>
          <w:rFonts w:asciiTheme="minorBidi" w:hAnsiTheme="minorBidi" w:hint="cs"/>
          <w:rtl/>
        </w:rPr>
        <w:t>שאי אפשר להניח דבר שמבושל כמאב"ד ע"ג קדירה. והיינו אע"פ שאינה ע"ג האש (כן משמע מהטור)</w:t>
      </w:r>
      <w:r w:rsidR="00DE434E">
        <w:rPr>
          <w:rFonts w:asciiTheme="minorBidi" w:hAnsiTheme="minorBidi" w:hint="cs"/>
          <w:rtl/>
        </w:rPr>
        <w:t>.</w:t>
      </w:r>
      <w:r w:rsidR="002D33CC">
        <w:rPr>
          <w:rFonts w:asciiTheme="minorBidi" w:hAnsiTheme="minorBidi" w:hint="cs"/>
          <w:rtl/>
        </w:rPr>
        <w:t xml:space="preserve"> ואכן כתב המשנ"ב </w:t>
      </w:r>
      <w:r w:rsidR="002D33CC">
        <w:rPr>
          <w:rFonts w:asciiTheme="minorBidi" w:hAnsiTheme="minorBidi" w:cs="Arial" w:hint="cs"/>
          <w:rtl/>
        </w:rPr>
        <w:t>(סק"נ) ש</w:t>
      </w:r>
      <w:r w:rsidR="002D33CC" w:rsidRPr="002D33CC">
        <w:rPr>
          <w:rFonts w:asciiTheme="minorBidi" w:hAnsiTheme="minorBidi" w:cs="Arial"/>
          <w:rtl/>
        </w:rPr>
        <w:t>הרבה אחרונים</w:t>
      </w:r>
      <w:r w:rsidR="002D33CC">
        <w:rPr>
          <w:rFonts w:asciiTheme="minorBidi" w:hAnsiTheme="minorBidi" w:cs="Arial" w:hint="cs"/>
          <w:rtl/>
        </w:rPr>
        <w:t xml:space="preserve"> </w:t>
      </w:r>
      <w:r w:rsidR="002D33CC">
        <w:rPr>
          <w:rFonts w:asciiTheme="minorBidi" w:hAnsiTheme="minorBidi" w:cs="Arial" w:hint="cs"/>
          <w:sz w:val="16"/>
          <w:szCs w:val="16"/>
          <w:rtl/>
        </w:rPr>
        <w:t>(</w:t>
      </w:r>
      <w:r w:rsidR="002D33CC" w:rsidRPr="002D33CC">
        <w:rPr>
          <w:rFonts w:asciiTheme="minorBidi" w:hAnsiTheme="minorBidi" w:cs="Arial"/>
          <w:sz w:val="16"/>
          <w:szCs w:val="16"/>
          <w:rtl/>
        </w:rPr>
        <w:t>מהר"י בן חביב וב"ח בסי</w:t>
      </w:r>
      <w:r w:rsidR="002D33CC">
        <w:rPr>
          <w:rFonts w:asciiTheme="minorBidi" w:hAnsiTheme="minorBidi" w:cs="Arial" w:hint="cs"/>
          <w:sz w:val="16"/>
          <w:szCs w:val="16"/>
          <w:rtl/>
        </w:rPr>
        <w:t>'</w:t>
      </w:r>
      <w:r w:rsidR="002D33CC" w:rsidRPr="002D33CC">
        <w:rPr>
          <w:rFonts w:asciiTheme="minorBidi" w:hAnsiTheme="minorBidi" w:cs="Arial"/>
          <w:sz w:val="16"/>
          <w:szCs w:val="16"/>
          <w:rtl/>
        </w:rPr>
        <w:t xml:space="preserve"> רנח</w:t>
      </w:r>
      <w:r w:rsidR="002D33CC">
        <w:rPr>
          <w:rFonts w:asciiTheme="minorBidi" w:hAnsiTheme="minorBidi" w:cs="Arial" w:hint="cs"/>
          <w:sz w:val="16"/>
          <w:szCs w:val="16"/>
          <w:rtl/>
        </w:rPr>
        <w:t>,</w:t>
      </w:r>
      <w:r w:rsidR="002D33CC" w:rsidRPr="002D33CC">
        <w:rPr>
          <w:rFonts w:asciiTheme="minorBidi" w:hAnsiTheme="minorBidi" w:cs="Arial"/>
          <w:sz w:val="16"/>
          <w:szCs w:val="16"/>
          <w:rtl/>
        </w:rPr>
        <w:t xml:space="preserve"> העולת שבת והתוספות שבת בסימן זה, וכ</w:t>
      </w:r>
      <w:r w:rsidR="002D33CC">
        <w:rPr>
          <w:rFonts w:asciiTheme="minorBidi" w:hAnsiTheme="minorBidi" w:cs="Arial" w:hint="cs"/>
          <w:sz w:val="16"/>
          <w:szCs w:val="16"/>
          <w:rtl/>
        </w:rPr>
        <w:t>"כ</w:t>
      </w:r>
      <w:r w:rsidR="002D33CC" w:rsidRPr="002D33CC">
        <w:rPr>
          <w:rFonts w:asciiTheme="minorBidi" w:hAnsiTheme="minorBidi" w:cs="Arial"/>
          <w:sz w:val="16"/>
          <w:szCs w:val="16"/>
          <w:rtl/>
        </w:rPr>
        <w:t xml:space="preserve"> </w:t>
      </w:r>
      <w:r w:rsidR="002D33CC">
        <w:rPr>
          <w:rFonts w:asciiTheme="minorBidi" w:hAnsiTheme="minorBidi" w:cs="Arial" w:hint="cs"/>
          <w:sz w:val="16"/>
          <w:szCs w:val="16"/>
          <w:rtl/>
        </w:rPr>
        <w:t>ה</w:t>
      </w:r>
      <w:r w:rsidR="002D33CC" w:rsidRPr="002D33CC">
        <w:rPr>
          <w:rFonts w:asciiTheme="minorBidi" w:hAnsiTheme="minorBidi" w:cs="Arial"/>
          <w:sz w:val="16"/>
          <w:szCs w:val="16"/>
          <w:rtl/>
        </w:rPr>
        <w:t>מאמר מרדכי והגר"א בסעיף ז, וכן בפרי מגדים מפקפק דאין שום ראיה לדברי הט"ז מברייתא לפי מה שפסק המחבר בסעיף ד</w:t>
      </w:r>
      <w:r w:rsidR="002D33CC">
        <w:rPr>
          <w:rFonts w:asciiTheme="minorBidi" w:hAnsiTheme="minorBidi" w:cs="Arial" w:hint="cs"/>
          <w:sz w:val="16"/>
          <w:szCs w:val="16"/>
          <w:rtl/>
        </w:rPr>
        <w:t>, ע"פ שעה"צ [אות עג])</w:t>
      </w:r>
      <w:r w:rsidR="002D33CC" w:rsidRPr="002D33CC">
        <w:rPr>
          <w:rFonts w:asciiTheme="minorBidi" w:hAnsiTheme="minorBidi" w:cs="Arial"/>
          <w:rtl/>
        </w:rPr>
        <w:t xml:space="preserve"> חולקין על</w:t>
      </w:r>
      <w:r w:rsidR="002D33CC">
        <w:rPr>
          <w:rFonts w:asciiTheme="minorBidi" w:hAnsiTheme="minorBidi" w:cs="Arial" w:hint="cs"/>
          <w:rtl/>
        </w:rPr>
        <w:t xml:space="preserve"> הט"ז</w:t>
      </w:r>
      <w:r w:rsidR="002D33CC" w:rsidRPr="002D33CC">
        <w:rPr>
          <w:rFonts w:asciiTheme="minorBidi" w:hAnsiTheme="minorBidi" w:cs="Arial"/>
          <w:rtl/>
        </w:rPr>
        <w:t xml:space="preserve"> וס"ל דאינו מותר רק בנתבשל כל צרכו</w:t>
      </w:r>
      <w:r w:rsidR="002D33CC">
        <w:rPr>
          <w:rFonts w:asciiTheme="minorBidi" w:hAnsiTheme="minorBidi" w:cs="Arial" w:hint="cs"/>
          <w:rtl/>
        </w:rPr>
        <w:t>,</w:t>
      </w:r>
      <w:r w:rsidR="002D33CC" w:rsidRPr="002D33CC">
        <w:rPr>
          <w:rFonts w:asciiTheme="minorBidi" w:hAnsiTheme="minorBidi" w:cs="Arial"/>
          <w:rtl/>
        </w:rPr>
        <w:t xml:space="preserve"> דיש לחוש שמא יתוסף מעט בישול ע"י החום</w:t>
      </w:r>
      <w:r w:rsidR="002D33CC">
        <w:rPr>
          <w:rFonts w:asciiTheme="minorBidi" w:hAnsiTheme="minorBidi" w:cs="Arial" w:hint="cs"/>
          <w:rtl/>
        </w:rPr>
        <w:t>.</w:t>
      </w:r>
      <w:r w:rsidR="002D33CC" w:rsidRPr="002D33CC">
        <w:rPr>
          <w:rFonts w:asciiTheme="minorBidi" w:hAnsiTheme="minorBidi" w:cs="Arial"/>
          <w:rtl/>
        </w:rPr>
        <w:t xml:space="preserve"> וכתב בספר מאמר מרדכי דבכל צרכו אפי' יהיה מצטמק ויפה לו ע"י העמדה זו ג"כ שרי</w:t>
      </w:r>
      <w:r w:rsidR="002D33CC">
        <w:rPr>
          <w:rFonts w:asciiTheme="minorBidi" w:hAnsiTheme="minorBidi" w:hint="cs"/>
          <w:rtl/>
        </w:rPr>
        <w:t>.</w:t>
      </w:r>
      <w:r w:rsidR="00EC7E45">
        <w:rPr>
          <w:rFonts w:asciiTheme="minorBidi" w:hAnsiTheme="minorBidi" w:hint="cs"/>
          <w:rtl/>
        </w:rPr>
        <w:t xml:space="preserve"> עכ"ל המשנ"ב. </w:t>
      </w:r>
    </w:p>
  </w:footnote>
  <w:footnote w:id="2771">
    <w:p w14:paraId="4C4260C7" w14:textId="6AD3CE05" w:rsidR="00820129" w:rsidRDefault="00820129">
      <w:pPr>
        <w:pStyle w:val="a7"/>
      </w:pPr>
      <w:r>
        <w:rPr>
          <w:rStyle w:val="a9"/>
        </w:rPr>
        <w:footnoteRef/>
      </w:r>
      <w:r>
        <w:rPr>
          <w:rtl/>
        </w:rPr>
        <w:t xml:space="preserve"> </w:t>
      </w:r>
      <w:r w:rsidRPr="00820129">
        <w:rPr>
          <w:rFonts w:cs="Arial"/>
          <w:rtl/>
        </w:rPr>
        <w:t>כדי שלא יצא חומו</w:t>
      </w:r>
      <w:r>
        <w:rPr>
          <w:rFonts w:cs="Arial" w:hint="cs"/>
          <w:rtl/>
        </w:rPr>
        <w:t>.</w:t>
      </w:r>
      <w:r w:rsidRPr="00820129">
        <w:rPr>
          <w:rFonts w:cs="Arial"/>
          <w:rtl/>
        </w:rPr>
        <w:t xml:space="preserve"> ומיירי בשאינו מוקצה</w:t>
      </w:r>
      <w:r>
        <w:rPr>
          <w:rFonts w:cs="Arial" w:hint="cs"/>
          <w:rtl/>
        </w:rPr>
        <w:t>,</w:t>
      </w:r>
      <w:r w:rsidRPr="00820129">
        <w:rPr>
          <w:rFonts w:cs="Arial"/>
          <w:rtl/>
        </w:rPr>
        <w:t xml:space="preserve"> כגון דצריך הבצק לתרנגולין שבביתו. ועיין במ"א </w:t>
      </w:r>
      <w:r>
        <w:rPr>
          <w:rFonts w:cs="Arial" w:hint="cs"/>
          <w:rtl/>
        </w:rPr>
        <w:t>(סקכ"ב)</w:t>
      </w:r>
      <w:r>
        <w:rPr>
          <w:rFonts w:cs="Arial" w:hint="cs"/>
        </w:rPr>
        <w:t xml:space="preserve"> </w:t>
      </w:r>
      <w:r w:rsidRPr="00820129">
        <w:rPr>
          <w:rFonts w:cs="Arial"/>
          <w:rtl/>
        </w:rPr>
        <w:t>דדוקא בבצק</w:t>
      </w:r>
      <w:r>
        <w:rPr>
          <w:rFonts w:cs="Arial" w:hint="cs"/>
          <w:rtl/>
        </w:rPr>
        <w:t>,</w:t>
      </w:r>
      <w:r w:rsidRPr="00820129">
        <w:rPr>
          <w:rFonts w:cs="Arial"/>
          <w:rtl/>
        </w:rPr>
        <w:t xml:space="preserve"> שהוא אינו בר מירוח</w:t>
      </w:r>
      <w:r>
        <w:rPr>
          <w:rFonts w:cs="Arial" w:hint="cs"/>
          <w:rtl/>
        </w:rPr>
        <w:t>.</w:t>
      </w:r>
      <w:r w:rsidRPr="00820129">
        <w:rPr>
          <w:rFonts w:cs="Arial"/>
          <w:rtl/>
        </w:rPr>
        <w:t xml:space="preserve"> אבל בשעוה וזפת או טיט שהוא דבר המתמרח אסור משום ממרח</w:t>
      </w:r>
      <w:r>
        <w:rPr>
          <w:rFonts w:cs="Arial" w:hint="cs"/>
          <w:rtl/>
        </w:rPr>
        <w:t>,</w:t>
      </w:r>
      <w:r w:rsidRPr="00820129">
        <w:rPr>
          <w:rFonts w:cs="Arial"/>
          <w:rtl/>
        </w:rPr>
        <w:t xml:space="preserve"> וכענין דאיתא לעיל בסימן שי"ד סי"א דאסור ליתן שעוה בנקב החבית לסתמו מפני שהוא ממרח</w:t>
      </w:r>
      <w:r>
        <w:rPr>
          <w:rFonts w:cs="Arial" w:hint="cs"/>
          <w:rtl/>
        </w:rPr>
        <w:t>.</w:t>
      </w:r>
      <w:r w:rsidRPr="00820129">
        <w:rPr>
          <w:rFonts w:cs="Arial"/>
          <w:rtl/>
        </w:rPr>
        <w:t xml:space="preserve"> והט"ז </w:t>
      </w:r>
      <w:r>
        <w:rPr>
          <w:rFonts w:cs="Arial" w:hint="cs"/>
          <w:rtl/>
        </w:rPr>
        <w:t xml:space="preserve">(סק"י) </w:t>
      </w:r>
      <w:r w:rsidRPr="00820129">
        <w:rPr>
          <w:rFonts w:cs="Arial"/>
          <w:rtl/>
        </w:rPr>
        <w:t>כתב דבצק נמי בר מירוח הוא</w:t>
      </w:r>
      <w:r>
        <w:rPr>
          <w:rFonts w:cs="Arial" w:hint="cs"/>
          <w:rtl/>
        </w:rPr>
        <w:t>,</w:t>
      </w:r>
      <w:r w:rsidRPr="00820129">
        <w:rPr>
          <w:rFonts w:cs="Arial"/>
          <w:rtl/>
        </w:rPr>
        <w:t xml:space="preserve"> אלא הטעם דאין בזה משום מירוח לפי שאין מקפיד עליו לדבק אותו בטוב</w:t>
      </w:r>
      <w:r>
        <w:rPr>
          <w:rFonts w:cs="Arial" w:hint="cs"/>
          <w:rtl/>
        </w:rPr>
        <w:t>,</w:t>
      </w:r>
      <w:r w:rsidRPr="00820129">
        <w:rPr>
          <w:rFonts w:cs="Arial"/>
          <w:rtl/>
        </w:rPr>
        <w:t xml:space="preserve"> רק שלא יהיה מגולה לגמרי שלא יתקרר</w:t>
      </w:r>
      <w:r>
        <w:rPr>
          <w:rFonts w:cs="Arial" w:hint="cs"/>
          <w:sz w:val="16"/>
          <w:szCs w:val="16"/>
          <w:rtl/>
        </w:rPr>
        <w:t xml:space="preserve"> {ולכן כתוב 'לטוח' ולא 'למרח'}</w:t>
      </w:r>
      <w:r>
        <w:rPr>
          <w:rFonts w:cs="Arial" w:hint="cs"/>
          <w:rtl/>
        </w:rPr>
        <w:t>.</w:t>
      </w:r>
      <w:r w:rsidRPr="00820129">
        <w:rPr>
          <w:rFonts w:cs="Arial"/>
          <w:rtl/>
        </w:rPr>
        <w:t xml:space="preserve"> אבל שם גבי נקב החבית קפיד עליה לדבק היטב ולהחליקו סביב הנקב שלא יזוב היין החוצה</w:t>
      </w:r>
      <w:r>
        <w:rPr>
          <w:rFonts w:cs="Arial" w:hint="cs"/>
          <w:rtl/>
        </w:rPr>
        <w:t>.</w:t>
      </w:r>
      <w:r w:rsidRPr="00820129">
        <w:rPr>
          <w:rFonts w:cs="Arial"/>
          <w:rtl/>
        </w:rPr>
        <w:t xml:space="preserve"> עכ"ד</w:t>
      </w:r>
      <w:r>
        <w:rPr>
          <w:rFonts w:cs="Arial" w:hint="cs"/>
          <w:rtl/>
        </w:rPr>
        <w:t>.</w:t>
      </w:r>
      <w:r w:rsidRPr="00820129">
        <w:rPr>
          <w:rFonts w:cs="Arial"/>
          <w:rtl/>
        </w:rPr>
        <w:t xml:space="preserve"> ולפי זה אף בטיט ושעוה מותר בעניננו</w:t>
      </w:r>
      <w:r>
        <w:rPr>
          <w:rFonts w:cs="Arial" w:hint="cs"/>
          <w:rtl/>
        </w:rPr>
        <w:t>.</w:t>
      </w:r>
      <w:r w:rsidRPr="00820129">
        <w:rPr>
          <w:rFonts w:cs="Arial"/>
          <w:rtl/>
        </w:rPr>
        <w:t xml:space="preserve"> אבל להמ"א הנ"ל אסור</w:t>
      </w:r>
      <w:r>
        <w:rPr>
          <w:rFonts w:cs="Arial" w:hint="cs"/>
          <w:rtl/>
        </w:rPr>
        <w:t xml:space="preserve">, </w:t>
      </w:r>
      <w:r w:rsidRPr="00891783">
        <w:rPr>
          <w:rFonts w:cs="Arial" w:hint="cs"/>
          <w:b/>
          <w:bCs/>
          <w:rtl/>
        </w:rPr>
        <w:t>משנ"ב</w:t>
      </w:r>
      <w:r>
        <w:rPr>
          <w:rFonts w:cs="Arial" w:hint="cs"/>
          <w:rtl/>
        </w:rPr>
        <w:t xml:space="preserve"> (סקנ"ב).</w:t>
      </w:r>
      <w:r w:rsidR="00891783">
        <w:rPr>
          <w:rFonts w:cs="Arial" w:hint="cs"/>
          <w:rtl/>
        </w:rPr>
        <w:t xml:space="preserve">  </w:t>
      </w:r>
      <w:r w:rsidR="00891783">
        <w:rPr>
          <w:rFonts w:hint="cs"/>
          <w:rtl/>
        </w:rPr>
        <w:t xml:space="preserve"> </w:t>
      </w:r>
      <w:r w:rsidR="00891783">
        <w:rPr>
          <w:rFonts w:cs="Arial" w:hint="cs"/>
          <w:rtl/>
        </w:rPr>
        <w:t xml:space="preserve">ועוד </w:t>
      </w:r>
      <w:r w:rsidR="00891783" w:rsidRPr="00891783">
        <w:rPr>
          <w:rFonts w:cs="Arial"/>
          <w:rtl/>
        </w:rPr>
        <w:t>משמע מזה דבצק מותר להניח ע"ג כלי חם שהיד סולדת בו ולא חיישינן שיבוא לקצת אפיה כדי קרימת פנים [עיין לעיל ברנ"ד ס"ה דזהו השיעור לגבי הפת]</w:t>
      </w:r>
      <w:r w:rsidR="00891783">
        <w:rPr>
          <w:rFonts w:cs="Arial" w:hint="cs"/>
          <w:rtl/>
        </w:rPr>
        <w:t xml:space="preserve">, </w:t>
      </w:r>
      <w:r w:rsidR="00891783" w:rsidRPr="00891783">
        <w:rPr>
          <w:rFonts w:cs="Arial" w:hint="cs"/>
          <w:b/>
          <w:bCs/>
          <w:rtl/>
        </w:rPr>
        <w:t>ביאו"ה</w:t>
      </w:r>
      <w:r w:rsidR="00891783">
        <w:rPr>
          <w:rFonts w:cs="Arial" w:hint="cs"/>
          <w:rtl/>
        </w:rPr>
        <w:t xml:space="preserve"> (ד"ה ויכול).</w:t>
      </w:r>
    </w:p>
  </w:footnote>
  <w:footnote w:id="2772">
    <w:p w14:paraId="43D82639"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לח, אבל יבש שרי, מג"א (סקכ"ג).</w:t>
      </w:r>
    </w:p>
  </w:footnote>
  <w:footnote w:id="2773">
    <w:p w14:paraId="563F389D"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כיון שהקדירה מפסקת ה"ז כמחמם נגד המדורה ומותר, הה"מ (פכ"ב ה"ד).</w:t>
      </w:r>
    </w:p>
  </w:footnote>
  <w:footnote w:id="2774">
    <w:p w14:paraId="526BCC0E"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דהוי כמניח ע"ג כירה לכתחלה בשבת </w:t>
      </w:r>
      <w:r w:rsidRPr="008C1C8E">
        <w:rPr>
          <w:rFonts w:asciiTheme="minorBidi" w:hAnsiTheme="minorBidi"/>
          <w:sz w:val="16"/>
          <w:szCs w:val="16"/>
          <w:rtl/>
        </w:rPr>
        <w:t>(רי"ו)</w:t>
      </w:r>
      <w:r w:rsidRPr="008C1C8E">
        <w:rPr>
          <w:rFonts w:asciiTheme="minorBidi" w:hAnsiTheme="minorBidi"/>
          <w:rtl/>
        </w:rPr>
        <w:t>,</w:t>
      </w:r>
      <w:r w:rsidRPr="008C1C8E">
        <w:rPr>
          <w:rFonts w:asciiTheme="minorBidi" w:hAnsiTheme="minorBidi"/>
          <w:sz w:val="16"/>
          <w:szCs w:val="16"/>
          <w:rtl/>
        </w:rPr>
        <w:t xml:space="preserve"> </w:t>
      </w:r>
      <w:r w:rsidRPr="008C1C8E">
        <w:rPr>
          <w:rFonts w:asciiTheme="minorBidi" w:hAnsiTheme="minorBidi"/>
          <w:rtl/>
        </w:rPr>
        <w:t>וא"כ לפמש"כ סי' רנ"ג ס"ב- אם נטלו מע"ג כירה משחשיכה שרי ליתנו ע"ג קדירה, מג"א (סקכ"ד).</w:t>
      </w:r>
    </w:p>
  </w:footnote>
  <w:footnote w:id="2775">
    <w:p w14:paraId="296FF8C3" w14:textId="655BB8C9"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כיון שהקדירה מפסקת ל</w:t>
      </w:r>
      <w:r w:rsidR="00DE434E">
        <w:rPr>
          <w:rFonts w:asciiTheme="minorBidi" w:hAnsiTheme="minorBidi" w:hint="cs"/>
          <w:rtl/>
        </w:rPr>
        <w:t xml:space="preserve">א </w:t>
      </w:r>
      <w:r w:rsidRPr="008C1C8E">
        <w:rPr>
          <w:rFonts w:asciiTheme="minorBidi" w:hAnsiTheme="minorBidi"/>
          <w:rtl/>
        </w:rPr>
        <w:t>ד</w:t>
      </w:r>
      <w:r w:rsidR="00DE434E">
        <w:rPr>
          <w:rFonts w:asciiTheme="minorBidi" w:hAnsiTheme="minorBidi" w:hint="cs"/>
          <w:rtl/>
        </w:rPr>
        <w:t>מי</w:t>
      </w:r>
      <w:r w:rsidRPr="008C1C8E">
        <w:rPr>
          <w:rFonts w:asciiTheme="minorBidi" w:hAnsiTheme="minorBidi"/>
          <w:rtl/>
        </w:rPr>
        <w:t xml:space="preserve"> לכירה</w:t>
      </w:r>
      <w:r w:rsidR="00DE434E">
        <w:rPr>
          <w:rFonts w:asciiTheme="minorBidi" w:hAnsiTheme="minorBidi" w:hint="cs"/>
          <w:rtl/>
        </w:rPr>
        <w:t>,</w:t>
      </w:r>
      <w:r w:rsidRPr="008C1C8E">
        <w:rPr>
          <w:rFonts w:asciiTheme="minorBidi" w:hAnsiTheme="minorBidi"/>
          <w:rtl/>
        </w:rPr>
        <w:t xml:space="preserve"> דהתם הקדירה עומדת ע"ג האש ממש, הה"מ (פכ"ב ה"ד) בשם הרשב"א.</w:t>
      </w:r>
    </w:p>
  </w:footnote>
  <w:footnote w:id="2776">
    <w:p w14:paraId="47A70BE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דאפי' בדבר שאין בו משום בישול אסור להניחו ע"ג כירה דגזרינן שמא יחתה, מג"א (סקכ"ה).</w:t>
      </w:r>
    </w:p>
  </w:footnote>
  <w:footnote w:id="2777">
    <w:p w14:paraId="2455F466" w14:textId="022A7F90" w:rsidR="005C30CA" w:rsidRDefault="005C30CA">
      <w:pPr>
        <w:pStyle w:val="a7"/>
      </w:pPr>
      <w:r>
        <w:rPr>
          <w:rStyle w:val="a9"/>
        </w:rPr>
        <w:footnoteRef/>
      </w:r>
      <w:r>
        <w:rPr>
          <w:rtl/>
        </w:rPr>
        <w:t xml:space="preserve"> </w:t>
      </w:r>
      <w:r>
        <w:rPr>
          <w:rFonts w:hint="cs"/>
          <w:rtl/>
        </w:rPr>
        <w:t>כשהתבשיל קר.</w:t>
      </w:r>
    </w:p>
  </w:footnote>
  <w:footnote w:id="2778">
    <w:p w14:paraId="6E7FBC0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מן האור, רש"י.</w:t>
      </w:r>
    </w:p>
  </w:footnote>
  <w:footnote w:id="2779">
    <w:p w14:paraId="355D846E"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בין השמשות, רש"י.</w:t>
      </w:r>
    </w:p>
  </w:footnote>
  <w:footnote w:id="2780">
    <w:p w14:paraId="5FAE3DCF" w14:textId="77777777" w:rsidR="006A4BF8" w:rsidRPr="008C1C8E" w:rsidRDefault="006A4BF8" w:rsidP="00285819">
      <w:pPr>
        <w:spacing w:after="0" w:line="240" w:lineRule="auto"/>
        <w:rPr>
          <w:rFonts w:asciiTheme="minorBidi" w:hAnsiTheme="minorBidi"/>
          <w:sz w:val="20"/>
          <w:szCs w:val="20"/>
        </w:rPr>
      </w:pPr>
      <w:r w:rsidRPr="008C1C8E">
        <w:rPr>
          <w:rStyle w:val="a9"/>
          <w:rFonts w:asciiTheme="minorBidi" w:hAnsiTheme="minorBidi"/>
          <w:sz w:val="20"/>
          <w:szCs w:val="20"/>
        </w:rPr>
        <w:footnoteRef/>
      </w:r>
      <w:r w:rsidRPr="008C1C8E">
        <w:rPr>
          <w:rFonts w:asciiTheme="minorBidi" w:hAnsiTheme="minorBidi"/>
          <w:sz w:val="20"/>
          <w:szCs w:val="20"/>
          <w:rtl/>
        </w:rPr>
        <w:t xml:space="preserve"> משתחשך, דכלי ראשון כל זמן שרותח מבשל</w:t>
      </w:r>
      <w:r w:rsidRPr="008C1C8E">
        <w:rPr>
          <w:rFonts w:asciiTheme="minorBidi" w:hAnsiTheme="minorBidi"/>
          <w:rtl/>
        </w:rPr>
        <w:t>, רש"י</w:t>
      </w:r>
      <w:r w:rsidRPr="008C1C8E">
        <w:rPr>
          <w:rFonts w:asciiTheme="minorBidi" w:hAnsiTheme="minorBidi"/>
          <w:sz w:val="20"/>
          <w:szCs w:val="20"/>
          <w:rtl/>
        </w:rPr>
        <w:t>.</w:t>
      </w:r>
    </w:p>
  </w:footnote>
  <w:footnote w:id="2781">
    <w:p w14:paraId="3A8623D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דכלי שני אינו מבשל, רש"י. </w:t>
      </w:r>
    </w:p>
  </w:footnote>
  <w:footnote w:id="2782">
    <w:p w14:paraId="366C486C" w14:textId="556A63F2" w:rsidR="00564922" w:rsidRDefault="00564922">
      <w:pPr>
        <w:pStyle w:val="a7"/>
      </w:pPr>
      <w:r>
        <w:rPr>
          <w:rStyle w:val="a9"/>
        </w:rPr>
        <w:footnoteRef/>
      </w:r>
      <w:r>
        <w:rPr>
          <w:rtl/>
        </w:rPr>
        <w:t xml:space="preserve"> </w:t>
      </w:r>
      <w:r w:rsidRPr="00DD3262">
        <w:rPr>
          <w:rFonts w:cs="Arial"/>
          <w:rtl/>
        </w:rPr>
        <w:t>וכתב הר"ן (כ. ד"ה גמ' מלח) דהא דמלח אפילו בכלי ראשון לא בשלה היינו לאחר שהעבירוהו מהאור דאי על גבי האור אפילו בישרא דתורא בשלה ביה. ופשוט הוא</w:t>
      </w:r>
      <w:r>
        <w:rPr>
          <w:rFonts w:cs="Arial" w:hint="cs"/>
          <w:rtl/>
        </w:rPr>
        <w:t>, ב"י.</w:t>
      </w:r>
    </w:p>
  </w:footnote>
  <w:footnote w:id="2783">
    <w:p w14:paraId="310AC031" w14:textId="33B8DE99" w:rsidR="00C60282" w:rsidRPr="008C1C8E" w:rsidRDefault="00C60282" w:rsidP="00C60282">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ומש"כ הראבי"ה</w:t>
      </w:r>
      <w:r w:rsidRPr="008C1C8E">
        <w:rPr>
          <w:rFonts w:asciiTheme="minorBidi" w:hAnsiTheme="minorBidi"/>
          <w:sz w:val="16"/>
          <w:szCs w:val="16"/>
          <w:rtl/>
        </w:rPr>
        <w:t xml:space="preserve"> (ח"א סי' רג)</w:t>
      </w:r>
      <w:r w:rsidRPr="008C1C8E">
        <w:rPr>
          <w:rFonts w:asciiTheme="minorBidi" w:hAnsiTheme="minorBidi"/>
          <w:rtl/>
        </w:rPr>
        <w:t xml:space="preserve"> שהרי"ף פסק כלישנא קמא</w:t>
      </w:r>
      <w:r w:rsidR="00DA4EC4">
        <w:rPr>
          <w:rFonts w:asciiTheme="minorBidi" w:hAnsiTheme="minorBidi" w:hint="cs"/>
          <w:rtl/>
        </w:rPr>
        <w:t>,</w:t>
      </w:r>
      <w:r w:rsidRPr="008C1C8E">
        <w:rPr>
          <w:rFonts w:asciiTheme="minorBidi" w:hAnsiTheme="minorBidi"/>
          <w:rtl/>
        </w:rPr>
        <w:t xml:space="preserve"> דמלח גם בכלי שני בשלה</w:t>
      </w:r>
      <w:r w:rsidR="00DA4EC4">
        <w:rPr>
          <w:rFonts w:asciiTheme="minorBidi" w:hAnsiTheme="minorBidi" w:hint="cs"/>
          <w:rtl/>
        </w:rPr>
        <w:t>,</w:t>
      </w:r>
      <w:r w:rsidRPr="008C1C8E">
        <w:rPr>
          <w:rFonts w:asciiTheme="minorBidi" w:hAnsiTheme="minorBidi"/>
          <w:rtl/>
        </w:rPr>
        <w:t xml:space="preserve"> הוא משום שבגירסת הראבי"ה בדברי הרי"ף היו הלשונות מה</w:t>
      </w:r>
      <w:r w:rsidR="00DA4EC4">
        <w:rPr>
          <w:rFonts w:asciiTheme="minorBidi" w:hAnsiTheme="minorBidi" w:hint="cs"/>
          <w:rtl/>
        </w:rPr>
        <w:t>ו</w:t>
      </w:r>
      <w:r w:rsidRPr="008C1C8E">
        <w:rPr>
          <w:rFonts w:asciiTheme="minorBidi" w:hAnsiTheme="minorBidi"/>
          <w:rtl/>
        </w:rPr>
        <w:t xml:space="preserve">פכים </w:t>
      </w:r>
      <w:r w:rsidRPr="008C1C8E">
        <w:rPr>
          <w:rFonts w:asciiTheme="minorBidi" w:hAnsiTheme="minorBidi"/>
          <w:sz w:val="16"/>
          <w:szCs w:val="16"/>
          <w:rtl/>
        </w:rPr>
        <w:t>(וכ"כ הראבי"ה עצמו שם)</w:t>
      </w:r>
      <w:r w:rsidR="00DA4EC4">
        <w:rPr>
          <w:rFonts w:asciiTheme="minorBidi" w:hAnsiTheme="minorBidi" w:hint="cs"/>
          <w:rtl/>
        </w:rPr>
        <w:t>.</w:t>
      </w:r>
      <w:r w:rsidRPr="008C1C8E">
        <w:rPr>
          <w:rFonts w:asciiTheme="minorBidi" w:hAnsiTheme="minorBidi"/>
          <w:rtl/>
        </w:rPr>
        <w:t xml:space="preserve"> </w:t>
      </w:r>
      <w:r w:rsidR="00DA4EC4">
        <w:rPr>
          <w:rFonts w:asciiTheme="minorBidi" w:hAnsiTheme="minorBidi" w:hint="cs"/>
          <w:rtl/>
        </w:rPr>
        <w:t>אלא</w:t>
      </w:r>
      <w:r w:rsidRPr="008C1C8E">
        <w:rPr>
          <w:rFonts w:asciiTheme="minorBidi" w:hAnsiTheme="minorBidi"/>
          <w:rtl/>
        </w:rPr>
        <w:t xml:space="preserve"> ודאי שהרי"ף פסק כלישנא בתרא בגירסתנו - דמלח בכ"ר נמי לא בשלה.</w:t>
      </w:r>
    </w:p>
  </w:footnote>
  <w:footnote w:id="2784">
    <w:p w14:paraId="3D85BBF3" w14:textId="0D086815" w:rsidR="00564922" w:rsidRDefault="00564922">
      <w:pPr>
        <w:pStyle w:val="a7"/>
      </w:pPr>
      <w:r>
        <w:rPr>
          <w:rStyle w:val="a9"/>
        </w:rPr>
        <w:footnoteRef/>
      </w:r>
      <w:r>
        <w:rPr>
          <w:rtl/>
        </w:rPr>
        <w:t xml:space="preserve"> </w:t>
      </w:r>
      <w:r>
        <w:rPr>
          <w:rFonts w:cs="Arial" w:hint="cs"/>
          <w:rtl/>
        </w:rPr>
        <w:t xml:space="preserve">וז"ל- </w:t>
      </w:r>
      <w:r w:rsidRPr="00564922">
        <w:rPr>
          <w:rFonts w:cs="Arial"/>
          <w:rtl/>
        </w:rPr>
        <w:t>הלכה כלישנא בתראה דמסייע לי' לרב נחמן</w:t>
      </w:r>
      <w:r>
        <w:rPr>
          <w:rFonts w:cs="Arial" w:hint="cs"/>
          <w:rtl/>
        </w:rPr>
        <w:t>.</w:t>
      </w:r>
      <w:r w:rsidRPr="00564922">
        <w:rPr>
          <w:rFonts w:cs="Arial"/>
          <w:rtl/>
        </w:rPr>
        <w:t xml:space="preserve"> </w:t>
      </w:r>
      <w:r>
        <w:rPr>
          <w:rFonts w:cs="Arial" w:hint="cs"/>
          <w:rtl/>
        </w:rPr>
        <w:t>ו</w:t>
      </w:r>
      <w:r w:rsidRPr="00DD3262">
        <w:rPr>
          <w:rFonts w:cs="Arial"/>
          <w:rtl/>
        </w:rPr>
        <w:t>משמע מהכא דבישרא דתורא לא בשלה בכלי ראשון ומותר לתת בשר חי לתוך כלי ראשון שהעבירוהו מעל האור</w:t>
      </w:r>
      <w:r>
        <w:rPr>
          <w:rFonts w:cs="Arial" w:hint="cs"/>
          <w:rtl/>
        </w:rPr>
        <w:t>.</w:t>
      </w:r>
      <w:r w:rsidRPr="00DD3262">
        <w:rPr>
          <w:rFonts w:cs="Arial"/>
          <w:rtl/>
        </w:rPr>
        <w:t xml:space="preserve"> ומיהו אי מליח ישן הוא</w:t>
      </w:r>
      <w:r>
        <w:rPr>
          <w:rFonts w:cs="Arial" w:hint="cs"/>
          <w:rtl/>
        </w:rPr>
        <w:t>,</w:t>
      </w:r>
      <w:r w:rsidRPr="00DD3262">
        <w:rPr>
          <w:rFonts w:cs="Arial"/>
          <w:rtl/>
        </w:rPr>
        <w:t xml:space="preserve"> אפשר דאסור</w:t>
      </w:r>
      <w:r>
        <w:rPr>
          <w:rFonts w:cs="Arial" w:hint="cs"/>
          <w:rtl/>
        </w:rPr>
        <w:t>,</w:t>
      </w:r>
      <w:r w:rsidRPr="00DD3262">
        <w:rPr>
          <w:rFonts w:cs="Arial"/>
          <w:rtl/>
        </w:rPr>
        <w:t xml:space="preserve"> דממהר להתבשל כדאמרינן לעיל (לט.)</w:t>
      </w:r>
      <w:r>
        <w:rPr>
          <w:rFonts w:cs="Arial" w:hint="cs"/>
          <w:rtl/>
        </w:rPr>
        <w:t>.</w:t>
      </w:r>
      <w:r w:rsidRPr="00DD3262">
        <w:rPr>
          <w:rFonts w:cs="Arial"/>
          <w:rtl/>
        </w:rPr>
        <w:t xml:space="preserve"> ואפילו נמלח מחדש נהי דבשר אינו מתבשל</w:t>
      </w:r>
      <w:r>
        <w:rPr>
          <w:rFonts w:cs="Arial" w:hint="cs"/>
          <w:rtl/>
        </w:rPr>
        <w:t>,</w:t>
      </w:r>
      <w:r w:rsidRPr="00DD3262">
        <w:rPr>
          <w:rFonts w:cs="Arial"/>
          <w:rtl/>
        </w:rPr>
        <w:t xml:space="preserve"> הלחלוחית והדם והמלח שבתוכו מתבשל ונבלע בבשר ואסור</w:t>
      </w:r>
      <w:r>
        <w:rPr>
          <w:rFonts w:cs="Arial" w:hint="cs"/>
          <w:rtl/>
        </w:rPr>
        <w:t>.</w:t>
      </w:r>
    </w:p>
  </w:footnote>
  <w:footnote w:id="2785">
    <w:p w14:paraId="20B46C39" w14:textId="4BB2FEAF" w:rsidR="00DA395C" w:rsidRDefault="00DA395C">
      <w:pPr>
        <w:pStyle w:val="a7"/>
      </w:pPr>
      <w:r>
        <w:rPr>
          <w:rStyle w:val="a9"/>
        </w:rPr>
        <w:footnoteRef/>
      </w:r>
      <w:r>
        <w:rPr>
          <w:rtl/>
        </w:rPr>
        <w:t xml:space="preserve"> </w:t>
      </w:r>
      <w:r>
        <w:rPr>
          <w:rFonts w:hint="cs"/>
          <w:rtl/>
        </w:rPr>
        <w:t>לכאורה מיירי שהסיר</w:t>
      </w:r>
      <w:r w:rsidR="00ED6E2C">
        <w:rPr>
          <w:rFonts w:hint="cs"/>
          <w:rtl/>
        </w:rPr>
        <w:t xml:space="preserve"> עדיין</w:t>
      </w:r>
      <w:r>
        <w:rPr>
          <w:rFonts w:hint="cs"/>
          <w:rtl/>
        </w:rPr>
        <w:t xml:space="preserve"> ע"ג האש, וכן כתב הרמ"א בשמו. אך אינו מובן אם כן הלשון בפתיחת דבריו "ואם ראוי ליתן... בין בכלי ראשון בין בכלי שני". ועוד למה לא כתב שהוא ע"ג האש, דהרי ההבדל גדול. אבל נראה שמכיון דכו"ע פסקו כלישנא בתרא, אם כן היה הדבר ברור לכותב (שבה"ל או רבינו שמחה) שכולם מבינים שמדובר שהסיר ע"ג האש. </w:t>
      </w:r>
    </w:p>
  </w:footnote>
  <w:footnote w:id="2786">
    <w:p w14:paraId="7B494C6C" w14:textId="2B27CEEE" w:rsidR="00FC574E" w:rsidRDefault="00FC574E">
      <w:pPr>
        <w:pStyle w:val="a7"/>
        <w:rPr>
          <w:rtl/>
        </w:rPr>
      </w:pPr>
      <w:r>
        <w:rPr>
          <w:rStyle w:val="a9"/>
        </w:rPr>
        <w:footnoteRef/>
      </w:r>
      <w:r>
        <w:rPr>
          <w:rtl/>
        </w:rPr>
        <w:t xml:space="preserve"> </w:t>
      </w:r>
      <w:r w:rsidRPr="00564922">
        <w:rPr>
          <w:rFonts w:cs="Arial"/>
          <w:rtl/>
        </w:rPr>
        <w:t>ולי משמע ממה שאמר בפרק כירה (מ:) גבי נתינת קיתון של מים כנגד המדורה שכל זמן שהיד סולדת בו חשוב כלי ראשון. ואף על פי שגם בכלי שני היד סולדת אין לו דין כלי ראשון משום דשאני כלי ראשון שנתחמם באור עצמו וכמו שכתבו התוספות בפרק כירה (שם ד"ה ושמע מינה) גבי הא דאמרינן ושמע מינה דכלי שני אינו מבשל דאפילו אם יד סולדת בו אינו מבשל מפני שאין דפנותיו חמין והולך ומתקרר</w:t>
      </w:r>
      <w:r>
        <w:rPr>
          <w:rFonts w:hint="cs"/>
          <w:rtl/>
        </w:rPr>
        <w:t>, ב"י.</w:t>
      </w:r>
    </w:p>
  </w:footnote>
  <w:footnote w:id="2787">
    <w:p w14:paraId="390083AB" w14:textId="2B28B75A" w:rsidR="00DA395C" w:rsidRDefault="00DA395C">
      <w:pPr>
        <w:pStyle w:val="a7"/>
        <w:rPr>
          <w:rtl/>
        </w:rPr>
      </w:pPr>
      <w:r>
        <w:rPr>
          <w:rStyle w:val="a9"/>
        </w:rPr>
        <w:footnoteRef/>
      </w:r>
      <w:r>
        <w:rPr>
          <w:rtl/>
        </w:rPr>
        <w:t xml:space="preserve"> </w:t>
      </w:r>
      <w:r>
        <w:rPr>
          <w:rFonts w:hint="cs"/>
          <w:rtl/>
        </w:rPr>
        <w:t xml:space="preserve">וכ"פ </w:t>
      </w:r>
      <w:r>
        <w:rPr>
          <w:rFonts w:asciiTheme="minorBidi" w:hAnsiTheme="minorBidi" w:hint="cs"/>
          <w:rtl/>
        </w:rPr>
        <w:t>ה</w:t>
      </w:r>
      <w:r w:rsidRPr="008C1C8E">
        <w:rPr>
          <w:rFonts w:asciiTheme="minorBidi" w:hAnsiTheme="minorBidi"/>
          <w:rtl/>
        </w:rPr>
        <w:t>מג"א (סקל"א)</w:t>
      </w:r>
      <w:r>
        <w:rPr>
          <w:rFonts w:asciiTheme="minorBidi" w:hAnsiTheme="minorBidi" w:hint="cs"/>
          <w:rtl/>
        </w:rPr>
        <w:t>.</w:t>
      </w:r>
    </w:p>
  </w:footnote>
  <w:footnote w:id="2788">
    <w:p w14:paraId="7A90F9E3" w14:textId="18FE40A8" w:rsidR="008F4442" w:rsidRDefault="008F4442">
      <w:pPr>
        <w:pStyle w:val="a7"/>
        <w:rPr>
          <w:rtl/>
        </w:rPr>
      </w:pPr>
      <w:r>
        <w:rPr>
          <w:rStyle w:val="a9"/>
        </w:rPr>
        <w:footnoteRef/>
      </w:r>
      <w:r>
        <w:rPr>
          <w:rtl/>
        </w:rPr>
        <w:t xml:space="preserve"> </w:t>
      </w:r>
      <w:r w:rsidRPr="008F4442">
        <w:rPr>
          <w:rFonts w:cs="Arial"/>
          <w:rtl/>
        </w:rPr>
        <w:t xml:space="preserve">שנינו במסכת חלה </w:t>
      </w:r>
      <w:r>
        <w:rPr>
          <w:rFonts w:cs="Arial" w:hint="cs"/>
          <w:rtl/>
        </w:rPr>
        <w:t>(</w:t>
      </w:r>
      <w:r w:rsidRPr="008F4442">
        <w:rPr>
          <w:rFonts w:cs="Arial"/>
          <w:rtl/>
        </w:rPr>
        <w:t>פרק א משנה ו</w:t>
      </w:r>
      <w:r>
        <w:rPr>
          <w:rFonts w:cs="Arial" w:hint="cs"/>
          <w:rtl/>
        </w:rPr>
        <w:t>)</w:t>
      </w:r>
      <w:r w:rsidRPr="008F4442">
        <w:rPr>
          <w:rFonts w:cs="Arial"/>
          <w:rtl/>
        </w:rPr>
        <w:t xml:space="preserve"> החליטה ב"ה פוטרים מחלה</w:t>
      </w:r>
      <w:r>
        <w:rPr>
          <w:rFonts w:cs="Arial" w:hint="cs"/>
          <w:rtl/>
        </w:rPr>
        <w:t>.</w:t>
      </w:r>
      <w:r w:rsidRPr="008F4442">
        <w:rPr>
          <w:rFonts w:cs="Arial"/>
          <w:rtl/>
        </w:rPr>
        <w:t xml:space="preserve"> וחליטה הוא נתינת מים רותחים לתוך הקמח ואמר ר</w:t>
      </w:r>
      <w:r>
        <w:rPr>
          <w:rFonts w:cs="Arial" w:hint="cs"/>
          <w:rtl/>
        </w:rPr>
        <w:t>' זעירא</w:t>
      </w:r>
      <w:r w:rsidRPr="008F4442">
        <w:rPr>
          <w:rFonts w:cs="Arial"/>
          <w:rtl/>
        </w:rPr>
        <w:t xml:space="preserve"> </w:t>
      </w:r>
      <w:r>
        <w:rPr>
          <w:rFonts w:cs="Arial" w:hint="cs"/>
          <w:rtl/>
        </w:rPr>
        <w:t>דחלוט ברור הוא שהאור מהלך תחת הסיר. וכן לגבי בישול.</w:t>
      </w:r>
    </w:p>
  </w:footnote>
  <w:footnote w:id="2789">
    <w:p w14:paraId="403E1174" w14:textId="5D0779F1" w:rsidR="00F343E6" w:rsidRDefault="00F343E6">
      <w:pPr>
        <w:pStyle w:val="a7"/>
        <w:rPr>
          <w:rtl/>
        </w:rPr>
      </w:pPr>
      <w:r>
        <w:rPr>
          <w:rStyle w:val="a9"/>
        </w:rPr>
        <w:footnoteRef/>
      </w:r>
      <w:r>
        <w:rPr>
          <w:rtl/>
        </w:rPr>
        <w:t xml:space="preserve"> </w:t>
      </w:r>
      <w:r w:rsidRPr="00F343E6">
        <w:rPr>
          <w:rFonts w:cs="Arial"/>
          <w:rtl/>
        </w:rPr>
        <w:t>כלומר היכא דרותח באור</w:t>
      </w:r>
      <w:r>
        <w:rPr>
          <w:rFonts w:cs="Arial" w:hint="cs"/>
          <w:rtl/>
        </w:rPr>
        <w:t xml:space="preserve">, </w:t>
      </w:r>
      <w:r w:rsidRPr="00F343E6">
        <w:rPr>
          <w:rFonts w:cs="Arial" w:hint="cs"/>
          <w:b/>
          <w:bCs/>
          <w:rtl/>
        </w:rPr>
        <w:t>רבינו גרשום</w:t>
      </w:r>
      <w:r>
        <w:rPr>
          <w:rFonts w:cs="Arial" w:hint="cs"/>
          <w:rtl/>
        </w:rPr>
        <w:t xml:space="preserve">.   אך </w:t>
      </w:r>
      <w:r w:rsidRPr="00F343E6">
        <w:rPr>
          <w:rFonts w:cs="Arial" w:hint="cs"/>
          <w:b/>
          <w:bCs/>
          <w:rtl/>
        </w:rPr>
        <w:t>הריטב"א</w:t>
      </w:r>
      <w:r>
        <w:rPr>
          <w:rFonts w:cs="Arial" w:hint="cs"/>
          <w:rtl/>
        </w:rPr>
        <w:t xml:space="preserve"> (שם) כתב- </w:t>
      </w:r>
      <w:r w:rsidRPr="00F343E6">
        <w:rPr>
          <w:rFonts w:cs="Arial"/>
          <w:rtl/>
        </w:rPr>
        <w:t>פי</w:t>
      </w:r>
      <w:r>
        <w:rPr>
          <w:rFonts w:cs="Arial" w:hint="cs"/>
          <w:rtl/>
        </w:rPr>
        <w:t>רוש</w:t>
      </w:r>
      <w:r w:rsidRPr="00F343E6">
        <w:rPr>
          <w:rFonts w:cs="Arial"/>
          <w:rtl/>
        </w:rPr>
        <w:t xml:space="preserve"> שזה יעלה אילפס של בשר כמו שהעבירו מעל האש והלה אילפס של גבינה דהוה ליה כלי ראשון ויטביל זה בזה דאיכא איסורא מדאורייתא.</w:t>
      </w:r>
      <w:r w:rsidR="00092C7A">
        <w:rPr>
          <w:rFonts w:hint="cs"/>
          <w:rtl/>
        </w:rPr>
        <w:t xml:space="preserve"> עכ"ל. וכן דקדקו הגר"א (יו"ד סי קה סקי"ג) ועוד הרבה ראשונים ואחרונים.</w:t>
      </w:r>
    </w:p>
  </w:footnote>
  <w:footnote w:id="2790">
    <w:p w14:paraId="58ADA487" w14:textId="61B0C6E6" w:rsidR="007F284E" w:rsidRDefault="007F284E">
      <w:pPr>
        <w:pStyle w:val="a7"/>
        <w:rPr>
          <w:rtl/>
        </w:rPr>
      </w:pPr>
      <w:r>
        <w:rPr>
          <w:rStyle w:val="a9"/>
        </w:rPr>
        <w:footnoteRef/>
      </w:r>
      <w:r>
        <w:rPr>
          <w:rtl/>
        </w:rPr>
        <w:t xml:space="preserve"> </w:t>
      </w:r>
      <w:r>
        <w:rPr>
          <w:rFonts w:hint="cs"/>
          <w:rtl/>
        </w:rPr>
        <w:t xml:space="preserve">וכן נראה לי דעת הרמב"ם </w:t>
      </w:r>
      <w:r>
        <w:rPr>
          <w:rFonts w:hint="cs"/>
          <w:sz w:val="16"/>
          <w:szCs w:val="16"/>
          <w:rtl/>
        </w:rPr>
        <w:t>(פכ"ב ה"ו)</w:t>
      </w:r>
      <w:r>
        <w:rPr>
          <w:rFonts w:hint="cs"/>
          <w:rtl/>
        </w:rPr>
        <w:t>,</w:t>
      </w:r>
      <w:r w:rsidRPr="007F284E">
        <w:rPr>
          <w:rFonts w:hint="cs"/>
          <w:rtl/>
        </w:rPr>
        <w:t xml:space="preserve"> </w:t>
      </w:r>
      <w:r>
        <w:rPr>
          <w:rFonts w:hint="cs"/>
          <w:rtl/>
        </w:rPr>
        <w:t xml:space="preserve">שהרי </w:t>
      </w:r>
      <w:r w:rsidRPr="00F56131">
        <w:rPr>
          <w:rFonts w:cs="Arial"/>
          <w:rtl/>
        </w:rPr>
        <w:t xml:space="preserve">כתב </w:t>
      </w:r>
      <w:r>
        <w:rPr>
          <w:rFonts w:cs="Arial" w:hint="cs"/>
          <w:rtl/>
        </w:rPr>
        <w:t>"</w:t>
      </w:r>
      <w:r w:rsidRPr="00F56131">
        <w:rPr>
          <w:rFonts w:cs="Arial"/>
          <w:rtl/>
        </w:rPr>
        <w:t xml:space="preserve">קדרה רותחת אף על פי שהורידה מעל האש </w:t>
      </w:r>
      <w:r w:rsidRPr="00F56131">
        <w:rPr>
          <w:rFonts w:cs="Arial"/>
          <w:b/>
          <w:bCs/>
          <w:rtl/>
        </w:rPr>
        <w:t>לא יתן</w:t>
      </w:r>
      <w:r w:rsidRPr="00F56131">
        <w:rPr>
          <w:rFonts w:cs="Arial"/>
          <w:rtl/>
        </w:rPr>
        <w:t xml:space="preserve"> לתוכה תבלין</w:t>
      </w:r>
      <w:r>
        <w:rPr>
          <w:rFonts w:cs="Arial" w:hint="cs"/>
          <w:rtl/>
        </w:rPr>
        <w:t>", ו</w:t>
      </w:r>
      <w:r w:rsidRPr="00F56131">
        <w:rPr>
          <w:rFonts w:cs="Arial"/>
          <w:rtl/>
        </w:rPr>
        <w:t>לשון לא יתן</w:t>
      </w:r>
      <w:r>
        <w:rPr>
          <w:rFonts w:cs="Arial" w:hint="cs"/>
          <w:rtl/>
        </w:rPr>
        <w:t xml:space="preserve"> משמע דאיסור הוא אבל אינו חייב</w:t>
      </w:r>
      <w:r w:rsidRPr="00F56131">
        <w:rPr>
          <w:rFonts w:cs="Arial"/>
          <w:rtl/>
        </w:rPr>
        <w:t xml:space="preserve">. </w:t>
      </w:r>
      <w:r w:rsidR="00103243">
        <w:rPr>
          <w:rFonts w:asciiTheme="minorBidi" w:hAnsiTheme="minorBidi" w:cs="Arial" w:hint="cs"/>
          <w:rtl/>
        </w:rPr>
        <w:t>וכן מוכח ממה שכתב בהלכה ה'- "</w:t>
      </w:r>
      <w:r w:rsidR="00103243" w:rsidRPr="00B434CB">
        <w:rPr>
          <w:rFonts w:asciiTheme="minorBidi" w:hAnsiTheme="minorBidi" w:cs="Arial"/>
          <w:rtl/>
        </w:rPr>
        <w:t>וכן לא יתן לתוכה</w:t>
      </w:r>
      <w:r w:rsidR="00103243">
        <w:rPr>
          <w:rFonts w:asciiTheme="minorBidi" w:hAnsiTheme="minorBidi" w:cs="Arial" w:hint="cs"/>
          <w:sz w:val="16"/>
          <w:szCs w:val="16"/>
          <w:rtl/>
        </w:rPr>
        <w:t xml:space="preserve"> {לתוך אמבטי מלאה מים חמים, והיא כלי ראשון}</w:t>
      </w:r>
      <w:r w:rsidR="00103243" w:rsidRPr="00B434CB">
        <w:rPr>
          <w:rFonts w:asciiTheme="minorBidi" w:hAnsiTheme="minorBidi" w:cs="Arial"/>
          <w:rtl/>
        </w:rPr>
        <w:t xml:space="preserve"> פך של שמן מפני שהוא </w:t>
      </w:r>
      <w:r w:rsidR="00103243" w:rsidRPr="00103243">
        <w:rPr>
          <w:rFonts w:asciiTheme="minorBidi" w:hAnsiTheme="minorBidi" w:cs="Arial"/>
          <w:b/>
          <w:bCs/>
          <w:rtl/>
        </w:rPr>
        <w:t>כמבשלו</w:t>
      </w:r>
      <w:r w:rsidR="00103243">
        <w:rPr>
          <w:rFonts w:asciiTheme="minorBidi" w:hAnsiTheme="minorBidi" w:cs="Arial" w:hint="cs"/>
          <w:rtl/>
        </w:rPr>
        <w:t xml:space="preserve">" ולא מבשלו ממש. </w:t>
      </w:r>
      <w:r w:rsidR="00F73501">
        <w:rPr>
          <w:rFonts w:asciiTheme="minorBidi" w:hAnsiTheme="minorBidi" w:cs="Arial" w:hint="cs"/>
          <w:rtl/>
        </w:rPr>
        <w:t xml:space="preserve">    וכן הבין ה</w:t>
      </w:r>
      <w:r w:rsidR="00F73501" w:rsidRPr="00F73501">
        <w:rPr>
          <w:rFonts w:asciiTheme="minorBidi" w:hAnsiTheme="minorBidi" w:cs="Arial"/>
          <w:rtl/>
        </w:rPr>
        <w:t xml:space="preserve">אגלי טל </w:t>
      </w:r>
      <w:r w:rsidR="00F73501" w:rsidRPr="00F73501">
        <w:rPr>
          <w:rFonts w:asciiTheme="minorBidi" w:hAnsiTheme="minorBidi" w:cs="Arial" w:hint="cs"/>
          <w:sz w:val="16"/>
          <w:szCs w:val="16"/>
          <w:rtl/>
        </w:rPr>
        <w:t>(</w:t>
      </w:r>
      <w:r w:rsidR="00F73501" w:rsidRPr="00F73501">
        <w:rPr>
          <w:rFonts w:asciiTheme="minorBidi" w:hAnsiTheme="minorBidi" w:cs="Arial"/>
          <w:sz w:val="16"/>
          <w:szCs w:val="16"/>
          <w:rtl/>
        </w:rPr>
        <w:t>ביאורים מלאכת האופה</w:t>
      </w:r>
      <w:r w:rsidR="00F73501" w:rsidRPr="00F73501">
        <w:rPr>
          <w:rFonts w:asciiTheme="minorBidi" w:hAnsiTheme="minorBidi" w:cs="Arial" w:hint="cs"/>
          <w:sz w:val="16"/>
          <w:szCs w:val="16"/>
          <w:rtl/>
        </w:rPr>
        <w:t xml:space="preserve"> אות ב)</w:t>
      </w:r>
      <w:r w:rsidR="00F73501" w:rsidRPr="00F73501">
        <w:rPr>
          <w:rFonts w:asciiTheme="minorBidi" w:hAnsiTheme="minorBidi" w:cs="Arial"/>
          <w:sz w:val="16"/>
          <w:szCs w:val="16"/>
          <w:rtl/>
        </w:rPr>
        <w:t xml:space="preserve"> </w:t>
      </w:r>
      <w:r w:rsidR="00F73501">
        <w:rPr>
          <w:rFonts w:asciiTheme="minorBidi" w:hAnsiTheme="minorBidi" w:cs="Arial" w:hint="cs"/>
          <w:rtl/>
        </w:rPr>
        <w:t>מדברי הרמב"ם</w:t>
      </w:r>
      <w:r w:rsidR="00F73501">
        <w:rPr>
          <w:rFonts w:cs="Arial" w:hint="cs"/>
          <w:rtl/>
        </w:rPr>
        <w:t>, וז"ל-</w:t>
      </w:r>
      <w:r w:rsidRPr="00F56131">
        <w:rPr>
          <w:rFonts w:cs="Arial"/>
          <w:rtl/>
        </w:rPr>
        <w:t xml:space="preserve"> איסור נתינת מים כנגד המדורה כתבו בלשון אסור</w:t>
      </w:r>
      <w:r>
        <w:rPr>
          <w:rFonts w:cs="Arial" w:hint="cs"/>
          <w:rtl/>
        </w:rPr>
        <w:t>,</w:t>
      </w:r>
      <w:r w:rsidRPr="00F56131">
        <w:rPr>
          <w:rFonts w:cs="Arial"/>
          <w:rtl/>
        </w:rPr>
        <w:t xml:space="preserve"> וכללא כייל הרמב"ם </w:t>
      </w:r>
      <w:r>
        <w:rPr>
          <w:rFonts w:cs="Arial" w:hint="cs"/>
          <w:rtl/>
        </w:rPr>
        <w:t>(</w:t>
      </w:r>
      <w:r w:rsidRPr="00F56131">
        <w:rPr>
          <w:rFonts w:cs="Arial"/>
          <w:rtl/>
        </w:rPr>
        <w:t>פ"א מ</w:t>
      </w:r>
      <w:r>
        <w:rPr>
          <w:rFonts w:cs="Arial" w:hint="cs"/>
          <w:rtl/>
        </w:rPr>
        <w:t xml:space="preserve">ה' </w:t>
      </w:r>
      <w:r w:rsidRPr="00F56131">
        <w:rPr>
          <w:rFonts w:cs="Arial"/>
          <w:rtl/>
        </w:rPr>
        <w:t>ש</w:t>
      </w:r>
      <w:r>
        <w:rPr>
          <w:rFonts w:cs="Arial" w:hint="cs"/>
          <w:rtl/>
        </w:rPr>
        <w:t>בת</w:t>
      </w:r>
      <w:r w:rsidRPr="00F56131">
        <w:rPr>
          <w:rFonts w:cs="Arial"/>
          <w:rtl/>
        </w:rPr>
        <w:t xml:space="preserve"> ה"ג</w:t>
      </w:r>
      <w:r>
        <w:rPr>
          <w:rFonts w:cs="Arial" w:hint="cs"/>
          <w:rtl/>
        </w:rPr>
        <w:t>)</w:t>
      </w:r>
      <w:r w:rsidRPr="00F56131">
        <w:rPr>
          <w:rFonts w:cs="Arial"/>
          <w:rtl/>
        </w:rPr>
        <w:t xml:space="preserve"> שבמקום שאמר אסור לעשות כך או אין עושין כך מכין אותו מכות מרדות ואינו אלא מדרבנן. הרי דס"ל דבישול דכלי ראשון הוא רק מדרבנן. והיינו משום דס"ל כהירושלמי </w:t>
      </w:r>
      <w:r>
        <w:rPr>
          <w:rFonts w:cs="Arial" w:hint="cs"/>
          <w:rtl/>
        </w:rPr>
        <w:t>(שם)</w:t>
      </w:r>
      <w:r w:rsidRPr="00F56131">
        <w:rPr>
          <w:rFonts w:cs="Arial"/>
          <w:rtl/>
        </w:rPr>
        <w:t xml:space="preserve"> דאין בישול ברור אלא אם האור מהלך תחתיו. וע"כ בכלי ראשון פטור. וכן כנגד המדורה דאינו תחתיו</w:t>
      </w:r>
      <w:r>
        <w:rPr>
          <w:rFonts w:hint="cs"/>
          <w:rtl/>
        </w:rPr>
        <w:t>.</w:t>
      </w:r>
      <w:r w:rsidR="00F73501">
        <w:rPr>
          <w:rFonts w:cs="Arial" w:hint="cs"/>
          <w:rtl/>
        </w:rPr>
        <w:t xml:space="preserve"> עכ"ל.</w:t>
      </w:r>
      <w:r>
        <w:rPr>
          <w:rFonts w:cs="Arial" w:hint="cs"/>
          <w:rtl/>
        </w:rPr>
        <w:t xml:space="preserve">    וכ"כ</w:t>
      </w:r>
      <w:r w:rsidRPr="007F284E">
        <w:rPr>
          <w:rFonts w:cs="Arial" w:hint="cs"/>
          <w:rtl/>
        </w:rPr>
        <w:t xml:space="preserve"> </w:t>
      </w:r>
      <w:r>
        <w:rPr>
          <w:rFonts w:cs="Arial" w:hint="cs"/>
          <w:rtl/>
        </w:rPr>
        <w:t xml:space="preserve">ערוה"ש </w:t>
      </w:r>
      <w:r>
        <w:rPr>
          <w:rFonts w:cs="Arial" w:hint="cs"/>
          <w:sz w:val="16"/>
          <w:szCs w:val="16"/>
          <w:rtl/>
        </w:rPr>
        <w:t>(סי' שיח ס"כ-כא)</w:t>
      </w:r>
      <w:r>
        <w:rPr>
          <w:rFonts w:cs="Arial" w:hint="cs"/>
          <w:rtl/>
        </w:rPr>
        <w:t xml:space="preserve"> בשם הרמב"ם וז"ל- </w:t>
      </w:r>
      <w:r>
        <w:rPr>
          <w:rFonts w:cs="Arial"/>
          <w:rtl/>
        </w:rPr>
        <w:t>קיי"ל דכלי ראשון מבשל</w:t>
      </w:r>
      <w:r>
        <w:rPr>
          <w:rFonts w:cs="Arial" w:hint="cs"/>
          <w:rtl/>
        </w:rPr>
        <w:t>,</w:t>
      </w:r>
      <w:r>
        <w:rPr>
          <w:rFonts w:cs="Arial"/>
          <w:rtl/>
        </w:rPr>
        <w:t xml:space="preserve"> אך באמת המדקדק בדבריו </w:t>
      </w:r>
      <w:r>
        <w:rPr>
          <w:rFonts w:cs="Arial" w:hint="cs"/>
          <w:sz w:val="16"/>
          <w:szCs w:val="16"/>
          <w:rtl/>
        </w:rPr>
        <w:t xml:space="preserve">{של הרמב"ם} </w:t>
      </w:r>
      <w:r>
        <w:rPr>
          <w:rFonts w:cs="Arial"/>
          <w:rtl/>
        </w:rPr>
        <w:t>שם ימצא דגם כלי ראשון אינו מבשל מן התורה</w:t>
      </w:r>
      <w:r>
        <w:rPr>
          <w:rFonts w:cs="Arial" w:hint="cs"/>
          <w:rtl/>
        </w:rPr>
        <w:t>.</w:t>
      </w:r>
      <w:r>
        <w:rPr>
          <w:rFonts w:cs="Arial"/>
          <w:rtl/>
        </w:rPr>
        <w:t xml:space="preserve"> ומן התורה אין בישול רק כשהקדירה עומדת על האש</w:t>
      </w:r>
      <w:r>
        <w:rPr>
          <w:rFonts w:cs="Arial" w:hint="cs"/>
          <w:rtl/>
        </w:rPr>
        <w:t xml:space="preserve">. </w:t>
      </w:r>
      <w:r w:rsidRPr="00595449">
        <w:rPr>
          <w:rFonts w:cs="Arial"/>
          <w:rtl/>
        </w:rPr>
        <w:t xml:space="preserve">ודבר זה מבואר בירושלמי כירה </w:t>
      </w:r>
      <w:r>
        <w:rPr>
          <w:rFonts w:cs="Arial" w:hint="cs"/>
          <w:rtl/>
        </w:rPr>
        <w:t>(</w:t>
      </w:r>
      <w:r w:rsidRPr="00595449">
        <w:rPr>
          <w:rFonts w:cs="Arial"/>
          <w:rtl/>
        </w:rPr>
        <w:t>פ"ג ה</w:t>
      </w:r>
      <w:r>
        <w:rPr>
          <w:rFonts w:cs="Arial" w:hint="cs"/>
          <w:rtl/>
        </w:rPr>
        <w:t>"</w:t>
      </w:r>
      <w:r w:rsidRPr="00595449">
        <w:rPr>
          <w:rFonts w:cs="Arial"/>
          <w:rtl/>
        </w:rPr>
        <w:t>ה</w:t>
      </w:r>
      <w:r>
        <w:rPr>
          <w:rFonts w:cs="Arial" w:hint="cs"/>
          <w:rtl/>
        </w:rPr>
        <w:t>)</w:t>
      </w:r>
      <w:r w:rsidRPr="00595449">
        <w:rPr>
          <w:rFonts w:cs="Arial"/>
          <w:rtl/>
        </w:rPr>
        <w:t xml:space="preserve"> שאומר שם אין לך חלוט ברור אין לך תבשיל ברור אלא כל שהאור מהלך תחתיו</w:t>
      </w:r>
      <w:r>
        <w:rPr>
          <w:rFonts w:cs="Arial" w:hint="cs"/>
          <w:rtl/>
        </w:rPr>
        <w:t>,</w:t>
      </w:r>
      <w:r w:rsidRPr="00595449">
        <w:rPr>
          <w:rFonts w:cs="Arial"/>
          <w:rtl/>
        </w:rPr>
        <w:t xml:space="preserve"> ע"ש</w:t>
      </w:r>
      <w:r>
        <w:rPr>
          <w:rFonts w:cs="Arial" w:hint="cs"/>
          <w:rtl/>
        </w:rPr>
        <w:t>.</w:t>
      </w:r>
      <w:r w:rsidRPr="00595449">
        <w:rPr>
          <w:rFonts w:cs="Arial"/>
          <w:rtl/>
        </w:rPr>
        <w:t xml:space="preserve"> ומקודם זה </w:t>
      </w:r>
      <w:r>
        <w:rPr>
          <w:rFonts w:cs="Arial" w:hint="cs"/>
          <w:rtl/>
        </w:rPr>
        <w:t>(</w:t>
      </w:r>
      <w:r w:rsidRPr="00595449">
        <w:rPr>
          <w:rFonts w:cs="Arial"/>
          <w:rtl/>
        </w:rPr>
        <w:t>ה</w:t>
      </w:r>
      <w:r>
        <w:rPr>
          <w:rFonts w:cs="Arial" w:hint="cs"/>
          <w:rtl/>
        </w:rPr>
        <w:t>"</w:t>
      </w:r>
      <w:r w:rsidRPr="00595449">
        <w:rPr>
          <w:rFonts w:cs="Arial"/>
          <w:rtl/>
        </w:rPr>
        <w:t>ד</w:t>
      </w:r>
      <w:r>
        <w:rPr>
          <w:rFonts w:cs="Arial" w:hint="cs"/>
          <w:rtl/>
        </w:rPr>
        <w:t>)</w:t>
      </w:r>
      <w:r w:rsidRPr="00595449">
        <w:rPr>
          <w:rFonts w:cs="Arial"/>
          <w:rtl/>
        </w:rPr>
        <w:t xml:space="preserve"> אומר עשו הרחקה לכלי ראשון ולא עשו הרחקה לכלי שני</w:t>
      </w:r>
      <w:r>
        <w:rPr>
          <w:rFonts w:cs="Arial" w:hint="cs"/>
          <w:rtl/>
        </w:rPr>
        <w:t>,</w:t>
      </w:r>
      <w:r w:rsidRPr="00595449">
        <w:rPr>
          <w:rFonts w:cs="Arial"/>
          <w:rtl/>
        </w:rPr>
        <w:t xml:space="preserve"> ע"ש</w:t>
      </w:r>
      <w:r>
        <w:rPr>
          <w:rFonts w:cs="Arial" w:hint="cs"/>
          <w:rtl/>
        </w:rPr>
        <w:t>.</w:t>
      </w:r>
      <w:r w:rsidRPr="00595449">
        <w:rPr>
          <w:rFonts w:cs="Arial"/>
          <w:rtl/>
        </w:rPr>
        <w:t xml:space="preserve"> כלומר דחכמים אסרו כלי ראשון משום הרחקה</w:t>
      </w:r>
      <w:r>
        <w:rPr>
          <w:rFonts w:cs="Arial" w:hint="cs"/>
          <w:rtl/>
        </w:rPr>
        <w:t>.</w:t>
      </w:r>
      <w:r w:rsidRPr="00595449">
        <w:rPr>
          <w:rFonts w:cs="Arial"/>
          <w:rtl/>
        </w:rPr>
        <w:t xml:space="preserve"> ומש"ס שלנו מבואר ג"כ כן</w:t>
      </w:r>
      <w:r>
        <w:rPr>
          <w:rFonts w:cs="Arial" w:hint="cs"/>
          <w:rtl/>
        </w:rPr>
        <w:t>,</w:t>
      </w:r>
      <w:r w:rsidRPr="00595449">
        <w:rPr>
          <w:rFonts w:cs="Arial"/>
          <w:rtl/>
        </w:rPr>
        <w:t xml:space="preserve"> דעל משנה דהאילפס והקדירה </w:t>
      </w:r>
      <w:r>
        <w:rPr>
          <w:rFonts w:cs="Arial" w:hint="cs"/>
          <w:rtl/>
        </w:rPr>
        <w:t>(</w:t>
      </w:r>
      <w:r w:rsidRPr="00595449">
        <w:rPr>
          <w:rFonts w:cs="Arial"/>
          <w:rtl/>
        </w:rPr>
        <w:t>מב:</w:t>
      </w:r>
      <w:r>
        <w:rPr>
          <w:rFonts w:cs="Arial" w:hint="cs"/>
          <w:rtl/>
        </w:rPr>
        <w:t>)</w:t>
      </w:r>
      <w:r w:rsidRPr="00595449">
        <w:rPr>
          <w:rFonts w:cs="Arial"/>
          <w:rtl/>
        </w:rPr>
        <w:t xml:space="preserve"> אומר הש"ס לחד לישנא תני ר' חייא מלח אינו כתבלין דאפילו בכלי ראשון נמי לא בשלה והיינו דאמר ר"נ צריכא מילחא בישולא כבישרא דתורא ע"ש</w:t>
      </w:r>
      <w:r>
        <w:rPr>
          <w:rFonts w:cs="Arial" w:hint="cs"/>
          <w:rtl/>
        </w:rPr>
        <w:t>.</w:t>
      </w:r>
      <w:r w:rsidRPr="00595449">
        <w:rPr>
          <w:rFonts w:cs="Arial"/>
          <w:rtl/>
        </w:rPr>
        <w:t xml:space="preserve"> והרבה תימה</w:t>
      </w:r>
      <w:r>
        <w:rPr>
          <w:rFonts w:cs="Arial" w:hint="cs"/>
          <w:rtl/>
        </w:rPr>
        <w:t>,</w:t>
      </w:r>
      <w:r w:rsidRPr="00595449">
        <w:rPr>
          <w:rFonts w:cs="Arial"/>
          <w:rtl/>
        </w:rPr>
        <w:t xml:space="preserve"> דא"כ מותר מן התורה לבשל בישרא דתורא ומלח בתמיה</w:t>
      </w:r>
      <w:r>
        <w:rPr>
          <w:rFonts w:cs="Arial" w:hint="cs"/>
          <w:rtl/>
        </w:rPr>
        <w:t>,</w:t>
      </w:r>
      <w:r w:rsidRPr="00595449">
        <w:rPr>
          <w:rFonts w:cs="Arial"/>
          <w:rtl/>
        </w:rPr>
        <w:t xml:space="preserve"> אלא ודאי דבכלי ראשון לא בשלה</w:t>
      </w:r>
      <w:r>
        <w:rPr>
          <w:rFonts w:cs="Arial" w:hint="cs"/>
          <w:rtl/>
        </w:rPr>
        <w:t>,</w:t>
      </w:r>
      <w:r w:rsidRPr="00595449">
        <w:rPr>
          <w:rFonts w:cs="Arial"/>
          <w:rtl/>
        </w:rPr>
        <w:t xml:space="preserve"> אבל כשעומדת על האור בשלה</w:t>
      </w:r>
      <w:r>
        <w:rPr>
          <w:rFonts w:cs="Arial" w:hint="cs"/>
          <w:rtl/>
        </w:rPr>
        <w:t>.</w:t>
      </w:r>
      <w:r w:rsidRPr="00595449">
        <w:rPr>
          <w:rFonts w:cs="Arial"/>
          <w:rtl/>
        </w:rPr>
        <w:t xml:space="preserve"> והרמב"ם ביאר זה שם בדין ו' במלות קצרות וז"ל</w:t>
      </w:r>
      <w:r>
        <w:rPr>
          <w:rFonts w:cs="Arial" w:hint="cs"/>
          <w:rtl/>
        </w:rPr>
        <w:t>-</w:t>
      </w:r>
      <w:r w:rsidRPr="00595449">
        <w:rPr>
          <w:rFonts w:cs="Arial"/>
          <w:rtl/>
        </w:rPr>
        <w:t xml:space="preserve"> וכן קדירה רותחת אף על פי שהורידה מעל האש לא יתן לתוכה תבלין אבל נותן לתוכה מלח שהמלח אינו מתבשל אלא על גבי אש גדולה עכ"ל</w:t>
      </w:r>
      <w:r>
        <w:rPr>
          <w:rFonts w:cs="Arial" w:hint="cs"/>
          <w:rtl/>
        </w:rPr>
        <w:t>.</w:t>
      </w:r>
      <w:r w:rsidRPr="00595449">
        <w:rPr>
          <w:rFonts w:cs="Arial"/>
          <w:rtl/>
        </w:rPr>
        <w:t xml:space="preserve"> הרי להדיא כדברינו</w:t>
      </w:r>
      <w:r>
        <w:rPr>
          <w:rFonts w:cs="Arial" w:hint="cs"/>
          <w:rtl/>
        </w:rPr>
        <w:t>.</w:t>
      </w:r>
      <w:r w:rsidRPr="00595449">
        <w:rPr>
          <w:rFonts w:cs="Arial"/>
          <w:rtl/>
        </w:rPr>
        <w:t xml:space="preserve"> גם ביו"ד סי' ס"ח בארנו זה ע"ש וקצת מזה העיר שם הפר"ח ע"ש</w:t>
      </w:r>
      <w:r>
        <w:rPr>
          <w:rFonts w:cs="Arial" w:hint="cs"/>
          <w:rtl/>
        </w:rPr>
        <w:t>,</w:t>
      </w:r>
      <w:r w:rsidRPr="00595449">
        <w:rPr>
          <w:rFonts w:cs="Arial"/>
          <w:rtl/>
        </w:rPr>
        <w:t xml:space="preserve"> ודבר חדש הוא</w:t>
      </w:r>
      <w:r>
        <w:rPr>
          <w:rFonts w:cs="Arial" w:hint="cs"/>
          <w:rtl/>
        </w:rPr>
        <w:t>,</w:t>
      </w:r>
      <w:r w:rsidRPr="00595449">
        <w:rPr>
          <w:rFonts w:cs="Arial"/>
          <w:rtl/>
        </w:rPr>
        <w:t xml:space="preserve"> אך האמת כן הוא</w:t>
      </w:r>
      <w:r>
        <w:rPr>
          <w:rFonts w:cs="Arial" w:hint="cs"/>
          <w:rtl/>
        </w:rPr>
        <w:t>.</w:t>
      </w:r>
      <w:r w:rsidRPr="00595449">
        <w:rPr>
          <w:rFonts w:cs="Arial"/>
          <w:rtl/>
        </w:rPr>
        <w:t xml:space="preserve"> ובזה תבין מה שהרמב"ם כתב הרבה דיני בישול בפכ"ב ולא בפ"ט ודו"ק</w:t>
      </w:r>
      <w:r>
        <w:rPr>
          <w:rFonts w:cs="Arial" w:hint="cs"/>
          <w:rtl/>
        </w:rPr>
        <w:t>. עכ"ל ערוה"ש.</w:t>
      </w:r>
      <w:r w:rsidR="000B535E">
        <w:rPr>
          <w:rFonts w:hint="cs"/>
          <w:rtl/>
        </w:rPr>
        <w:t xml:space="preserve">   אך הב"י (בסע' יח) כתב </w:t>
      </w:r>
      <w:r w:rsidR="000B535E">
        <w:rPr>
          <w:rFonts w:cs="Arial" w:hint="cs"/>
          <w:rtl/>
        </w:rPr>
        <w:t>בשם ה</w:t>
      </w:r>
      <w:r w:rsidR="000B535E" w:rsidRPr="00E61E7E">
        <w:rPr>
          <w:rFonts w:cs="Arial"/>
          <w:rtl/>
        </w:rPr>
        <w:t xml:space="preserve">רמב"ם </w:t>
      </w:r>
      <w:r w:rsidR="000B535E">
        <w:rPr>
          <w:rFonts w:cs="Arial" w:hint="cs"/>
          <w:rtl/>
        </w:rPr>
        <w:t xml:space="preserve">(פ"ג הי"א) </w:t>
      </w:r>
      <w:r w:rsidR="000B535E" w:rsidRPr="00E61E7E">
        <w:rPr>
          <w:rFonts w:cs="Arial"/>
          <w:rtl/>
        </w:rPr>
        <w:t>דלאו דוקא</w:t>
      </w:r>
      <w:r w:rsidR="00503C61">
        <w:rPr>
          <w:rFonts w:cs="Arial" w:hint="cs"/>
          <w:rtl/>
        </w:rPr>
        <w:t xml:space="preserve"> ע"ג האש</w:t>
      </w:r>
      <w:r w:rsidR="000B535E" w:rsidRPr="00E61E7E">
        <w:rPr>
          <w:rFonts w:cs="Arial"/>
          <w:rtl/>
        </w:rPr>
        <w:t xml:space="preserve"> אלא כל שהעבירה מרותחת מעל גבי האור </w:t>
      </w:r>
      <w:r w:rsidR="00503C61">
        <w:rPr>
          <w:rFonts w:cs="Arial" w:hint="cs"/>
          <w:rtl/>
        </w:rPr>
        <w:t xml:space="preserve">- </w:t>
      </w:r>
      <w:r w:rsidR="000B535E" w:rsidRPr="00E61E7E">
        <w:rPr>
          <w:rFonts w:cs="Arial"/>
          <w:rtl/>
        </w:rPr>
        <w:t>היא על האש קרי לה</w:t>
      </w:r>
      <w:r w:rsidR="00503C61">
        <w:rPr>
          <w:rFonts w:cs="Arial" w:hint="cs"/>
          <w:rtl/>
        </w:rPr>
        <w:t xml:space="preserve">. עכ"ל. וצל"ע, דלא משמע לי כהבנתו. </w:t>
      </w:r>
    </w:p>
  </w:footnote>
  <w:footnote w:id="2791">
    <w:p w14:paraId="48B85894" w14:textId="261090FD" w:rsidR="00BA1075" w:rsidRDefault="00BA1075">
      <w:pPr>
        <w:pStyle w:val="a7"/>
      </w:pPr>
      <w:r>
        <w:rPr>
          <w:rStyle w:val="a9"/>
        </w:rPr>
        <w:footnoteRef/>
      </w:r>
      <w:r>
        <w:rPr>
          <w:rtl/>
        </w:rPr>
        <w:t xml:space="preserve"> </w:t>
      </w:r>
      <w:r w:rsidRPr="00BA1075">
        <w:rPr>
          <w:rFonts w:cs="Arial"/>
          <w:rtl/>
        </w:rPr>
        <w:t>והוי זהיר בדבריך שכל כלי ראשון האמור בשבת הוא שהעבירו אותו מרותח מע"ג האור ונקרא כלי ראשון על שם תחילתו, וכל כלי ראשון שהזכירו בגמרא בהגעלה הוא ראשון ממש שהאור מהלך תחתיו, שאלו יורה שהעבירה מרותחת ונתן לתוכה יורה קטנה אסורה היא, ואין צריך לומר עירוי, והיינו דקאמרינן (פסחים ל</w:t>
      </w:r>
      <w:r>
        <w:rPr>
          <w:rFonts w:cs="Arial" w:hint="cs"/>
          <w:rtl/>
        </w:rPr>
        <w:t>:</w:t>
      </w:r>
      <w:r w:rsidRPr="00BA1075">
        <w:rPr>
          <w:rFonts w:cs="Arial"/>
          <w:rtl/>
        </w:rPr>
        <w:t>) ברותחין ובכלי ראשון ולא קאמרינן בכלי ראשון סתם</w:t>
      </w:r>
      <w:r>
        <w:rPr>
          <w:rFonts w:cs="Arial" w:hint="cs"/>
          <w:rtl/>
        </w:rPr>
        <w:t xml:space="preserve">, רמב"ן (שם). </w:t>
      </w:r>
    </w:p>
  </w:footnote>
  <w:footnote w:id="2792">
    <w:p w14:paraId="2620AEB0" w14:textId="77777777" w:rsidR="00221632" w:rsidRDefault="00221632" w:rsidP="00221632">
      <w:pPr>
        <w:pStyle w:val="a7"/>
      </w:pPr>
      <w:r>
        <w:rPr>
          <w:rStyle w:val="a9"/>
        </w:rPr>
        <w:footnoteRef/>
      </w:r>
      <w:r>
        <w:rPr>
          <w:rtl/>
        </w:rPr>
        <w:t xml:space="preserve"> </w:t>
      </w:r>
      <w:r>
        <w:rPr>
          <w:rFonts w:hint="cs"/>
          <w:rtl/>
        </w:rPr>
        <w:t xml:space="preserve">וז"ל- </w:t>
      </w:r>
      <w:r>
        <w:rPr>
          <w:rFonts w:cs="Arial"/>
          <w:rtl/>
        </w:rPr>
        <w:t>אין לוקין על בשול של בשר בחלב עד שיתבשל בשול הראוי ר"ל שהגוי המכוין לאכול תבשיל מבשר בחלב יהא מחזיקו כמבושל ויאכלנו בחזקת מבושל כל צרכו ומ"מ לענין אכילה כל שנפל חם לתוך חם או צונן לתוך חם אסור</w:t>
      </w:r>
      <w:r>
        <w:rPr>
          <w:rFonts w:cs="Arial" w:hint="cs"/>
          <w:rtl/>
        </w:rPr>
        <w:t>...</w:t>
      </w:r>
      <w:r>
        <w:rPr>
          <w:rFonts w:cs="Arial"/>
          <w:rtl/>
        </w:rPr>
        <w:t xml:space="preserve"> </w:t>
      </w:r>
      <w:r w:rsidRPr="00ED217D">
        <w:rPr>
          <w:rFonts w:cs="Arial"/>
          <w:rtl/>
        </w:rPr>
        <w:t>אין לוקין בבשול בשר בחלב אלא בבשול של כלי ראשון כמו שביארנו אבל כלי שני אינו מבשל</w:t>
      </w:r>
      <w:r>
        <w:rPr>
          <w:rFonts w:cs="Arial" w:hint="cs"/>
          <w:rtl/>
        </w:rPr>
        <w:t>.</w:t>
      </w:r>
    </w:p>
  </w:footnote>
  <w:footnote w:id="2793">
    <w:p w14:paraId="507351B3" w14:textId="364EBE53" w:rsidR="000B535E" w:rsidRDefault="000B535E" w:rsidP="000B535E">
      <w:pPr>
        <w:pStyle w:val="a7"/>
      </w:pPr>
      <w:r>
        <w:rPr>
          <w:rStyle w:val="a9"/>
        </w:rPr>
        <w:footnoteRef/>
      </w:r>
      <w:r>
        <w:rPr>
          <w:rtl/>
        </w:rPr>
        <w:t xml:space="preserve"> </w:t>
      </w:r>
      <w:r>
        <w:rPr>
          <w:rFonts w:cs="Arial" w:hint="cs"/>
          <w:rtl/>
        </w:rPr>
        <w:t xml:space="preserve">וז"ל- </w:t>
      </w:r>
      <w:r w:rsidRPr="00F45367">
        <w:rPr>
          <w:rFonts w:cs="Arial"/>
          <w:rtl/>
        </w:rPr>
        <w:t>המגיס בקדרה אפי' אינה על האש חייב משום מבשל</w:t>
      </w:r>
      <w:r>
        <w:rPr>
          <w:rFonts w:cs="Arial" w:hint="cs"/>
          <w:rtl/>
        </w:rPr>
        <w:t xml:space="preserve">. </w:t>
      </w:r>
    </w:p>
  </w:footnote>
  <w:footnote w:id="2794">
    <w:p w14:paraId="742557D5" w14:textId="2C05C48B" w:rsidR="0074519C" w:rsidRDefault="0074519C">
      <w:pPr>
        <w:pStyle w:val="a7"/>
      </w:pPr>
      <w:r>
        <w:rPr>
          <w:rStyle w:val="a9"/>
        </w:rPr>
        <w:footnoteRef/>
      </w:r>
      <w:r>
        <w:rPr>
          <w:rtl/>
        </w:rPr>
        <w:t xml:space="preserve"> </w:t>
      </w:r>
      <w:r w:rsidR="00D82290">
        <w:rPr>
          <w:rFonts w:hint="cs"/>
          <w:rtl/>
        </w:rPr>
        <w:t xml:space="preserve">היינו לישנא קמא בגמרא. אבל </w:t>
      </w:r>
      <w:r>
        <w:rPr>
          <w:rFonts w:hint="cs"/>
          <w:rtl/>
        </w:rPr>
        <w:t>לא מצאתי מי ה</w:t>
      </w:r>
      <w:r w:rsidR="00D82290">
        <w:rPr>
          <w:rFonts w:hint="cs"/>
          <w:rtl/>
        </w:rPr>
        <w:t>ראשונים</w:t>
      </w:r>
      <w:r>
        <w:rPr>
          <w:rFonts w:hint="cs"/>
          <w:rtl/>
        </w:rPr>
        <w:t xml:space="preserve"> </w:t>
      </w:r>
      <w:r w:rsidR="00D82290">
        <w:rPr>
          <w:rFonts w:hint="cs"/>
          <w:rtl/>
        </w:rPr>
        <w:t>שפסקו כך לאסור</w:t>
      </w:r>
      <w:r>
        <w:rPr>
          <w:rFonts w:hint="cs"/>
          <w:rtl/>
        </w:rPr>
        <w:t>. דהרי ה</w:t>
      </w:r>
      <w:r w:rsidR="00D82290">
        <w:rPr>
          <w:rFonts w:hint="cs"/>
          <w:rtl/>
        </w:rPr>
        <w:t>תוס' וה</w:t>
      </w:r>
      <w:r>
        <w:rPr>
          <w:rFonts w:hint="cs"/>
          <w:rtl/>
        </w:rPr>
        <w:t>הגמ"ר לא כתב שיש אוסרים, אלא כתב דהמחמיר תע"ב.</w:t>
      </w:r>
    </w:p>
  </w:footnote>
  <w:footnote w:id="2795">
    <w:p w14:paraId="3945D664" w14:textId="31B356D6" w:rsidR="00570C32" w:rsidRDefault="00570C32">
      <w:pPr>
        <w:pStyle w:val="a7"/>
        <w:rPr>
          <w:rtl/>
        </w:rPr>
      </w:pPr>
      <w:r>
        <w:rPr>
          <w:rStyle w:val="a9"/>
        </w:rPr>
        <w:footnoteRef/>
      </w:r>
      <w:r>
        <w:rPr>
          <w:rtl/>
        </w:rPr>
        <w:t xml:space="preserve"> </w:t>
      </w:r>
      <w:r w:rsidRPr="00570C32">
        <w:rPr>
          <w:rFonts w:cs="Arial"/>
          <w:rtl/>
        </w:rPr>
        <w:t>ומ"מ בכלי שלישי מקלינן בהא אפי' אם היד סולדת בו, [ול"ש דין קלי הבישול לכאן]</w:t>
      </w:r>
      <w:r>
        <w:rPr>
          <w:rFonts w:hint="cs"/>
          <w:rtl/>
        </w:rPr>
        <w:t>, הערות הגריש"א (שבת מב:).</w:t>
      </w:r>
    </w:p>
  </w:footnote>
  <w:footnote w:id="2796">
    <w:p w14:paraId="10E96F06" w14:textId="36CE0D1F"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בשישים. ואע"ג דמידי דעביד לטעמא לא בטיל שאני הכא דהוי זה וזה גורם דמסתמא נמלח גם בער"ש, ואע"ג דדבר שיש לו מתירין לא בטיל, כיון שנתבטל מקודם שנאסר- בטל, דנימוח מיד ואין נתבשל מיד, דבעי בישולא כבשרא דתורא (שם), וצ"ל דהמלח שנתן עכשיו לא היה בו כדי ליתן טעם בקדירה זולת המלח של אתמול שאם היה בו כדי ליתן טעם אסור</w:t>
      </w:r>
      <w:r w:rsidRPr="008C1C8E">
        <w:rPr>
          <w:rFonts w:asciiTheme="minorBidi" w:hAnsiTheme="minorBidi"/>
          <w:sz w:val="16"/>
          <w:szCs w:val="16"/>
          <w:rtl/>
        </w:rPr>
        <w:t xml:space="preserve"> (כמ"ש בי"ד ססי' פ"ז וכן הובא במשנה פרק ב' דערלה ובע"א פ"ה)</w:t>
      </w:r>
      <w:r w:rsidRPr="008C1C8E">
        <w:rPr>
          <w:rFonts w:asciiTheme="minorBidi" w:hAnsiTheme="minorBidi"/>
          <w:rtl/>
        </w:rPr>
        <w:t>, מג"א (סקל"א).</w:t>
      </w:r>
    </w:p>
  </w:footnote>
  <w:footnote w:id="2797">
    <w:p w14:paraId="665502C2" w14:textId="3F125DEF"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והט"ז (סקט"ו) הקשה על דין זה וחלק עלי</w:t>
      </w:r>
      <w:r w:rsidR="00D82290">
        <w:rPr>
          <w:rFonts w:asciiTheme="minorBidi" w:hAnsiTheme="minorBidi" w:hint="cs"/>
          <w:rtl/>
        </w:rPr>
        <w:t>ו</w:t>
      </w:r>
      <w:r w:rsidRPr="008C1C8E">
        <w:rPr>
          <w:rFonts w:asciiTheme="minorBidi" w:hAnsiTheme="minorBidi"/>
          <w:rtl/>
        </w:rPr>
        <w:t xml:space="preserve"> למסקנא</w:t>
      </w:r>
      <w:r w:rsidR="00D82290">
        <w:rPr>
          <w:rFonts w:asciiTheme="minorBidi" w:hAnsiTheme="minorBidi" w:hint="cs"/>
          <w:rtl/>
        </w:rPr>
        <w:t>,</w:t>
      </w:r>
      <w:r w:rsidRPr="008C1C8E">
        <w:rPr>
          <w:rFonts w:asciiTheme="minorBidi" w:hAnsiTheme="minorBidi"/>
          <w:rtl/>
        </w:rPr>
        <w:t xml:space="preserve"> וכ' שאין להתיר אכילה זו בשבת אלא ימתין עד אחר השבת.</w:t>
      </w:r>
    </w:p>
  </w:footnote>
  <w:footnote w:id="2798">
    <w:p w14:paraId="4226CB55" w14:textId="6FDAA4F5" w:rsidR="002013CC" w:rsidRDefault="002013CC">
      <w:pPr>
        <w:pStyle w:val="a7"/>
        <w:rPr>
          <w:rtl/>
        </w:rPr>
      </w:pPr>
      <w:r>
        <w:rPr>
          <w:rStyle w:val="a9"/>
        </w:rPr>
        <w:footnoteRef/>
      </w:r>
      <w:r>
        <w:rPr>
          <w:rtl/>
        </w:rPr>
        <w:t xml:space="preserve"> </w:t>
      </w:r>
      <w:r w:rsidR="005D1FBF" w:rsidRPr="005D1FBF">
        <w:rPr>
          <w:rFonts w:asciiTheme="minorBidi" w:hAnsiTheme="minorBidi" w:cs="Arial"/>
          <w:rtl/>
        </w:rPr>
        <w:t>מדלא אשכח איסורא אלא בנותן לתוך הקדירה ובתוך האלפס דמשמע לתוך הקערה לעולם מותר, אלא דרישא דוקא וסיפא בין בנותן תבלין לתוכו ומערה עליהן בין במערה לתוך הקערה ואחר כך נותן את התבלין, ועוד מביא ראיה מדקיימא לן (פסחים ע"ו א') תתאה גבר, ואי אמרת עירוי מבשל אם כן עילאה גבר</w:t>
      </w:r>
      <w:r w:rsidR="005D1FBF">
        <w:rPr>
          <w:rFonts w:asciiTheme="minorBidi" w:hAnsiTheme="minorBidi" w:cs="Arial" w:hint="cs"/>
          <w:rtl/>
        </w:rPr>
        <w:t>, רשב"א (שבת מב.) בשם רשב"ם.</w:t>
      </w:r>
    </w:p>
  </w:footnote>
  <w:footnote w:id="2799">
    <w:p w14:paraId="0EDD124B" w14:textId="14663C3C" w:rsidR="00A67E4F" w:rsidRDefault="00A67E4F">
      <w:pPr>
        <w:pStyle w:val="a7"/>
      </w:pPr>
      <w:r>
        <w:rPr>
          <w:rStyle w:val="a9"/>
        </w:rPr>
        <w:footnoteRef/>
      </w:r>
      <w:r>
        <w:rPr>
          <w:rtl/>
        </w:rPr>
        <w:t xml:space="preserve"> </w:t>
      </w:r>
      <w:r w:rsidRPr="00DD3262">
        <w:rPr>
          <w:rFonts w:cs="Arial"/>
          <w:rtl/>
        </w:rPr>
        <w:t>וזה נראה דעת הרמב"ן (חי' סוף ע"ז) והרשב"א (שם עד: ד"ה דרש רבא, שבת מב. ד"ה מתני') להלכה</w:t>
      </w:r>
      <w:r>
        <w:rPr>
          <w:rFonts w:cs="Arial" w:hint="cs"/>
          <w:rtl/>
        </w:rPr>
        <w:t>, הה"מ (שם).</w:t>
      </w:r>
    </w:p>
  </w:footnote>
  <w:footnote w:id="2800">
    <w:p w14:paraId="595BBA7F" w14:textId="6FEBEBDA" w:rsidR="00004068" w:rsidRDefault="00004068">
      <w:pPr>
        <w:pStyle w:val="a7"/>
        <w:rPr>
          <w:rtl/>
        </w:rPr>
      </w:pPr>
      <w:r>
        <w:rPr>
          <w:rStyle w:val="a9"/>
        </w:rPr>
        <w:footnoteRef/>
      </w:r>
      <w:r>
        <w:rPr>
          <w:rtl/>
        </w:rPr>
        <w:t xml:space="preserve"> </w:t>
      </w:r>
      <w:r w:rsidR="006B766D">
        <w:rPr>
          <w:rFonts w:asciiTheme="minorBidi" w:hAnsiTheme="minorBidi" w:cs="Arial" w:hint="cs"/>
          <w:rtl/>
        </w:rPr>
        <w:t xml:space="preserve">אמנם בתוס' לפנינו כתוב כן בשם ר"י, ולא מוזכר ר"ת, אך הרמב"ן (ע"ז עד:) כתב שלפניו בתוס' כתוב ר"ת. וכן היא גיר' </w:t>
      </w:r>
      <w:r w:rsidRPr="00004068">
        <w:rPr>
          <w:rFonts w:asciiTheme="minorBidi" w:hAnsiTheme="minorBidi" w:cs="Arial" w:hint="cs"/>
          <w:rtl/>
        </w:rPr>
        <w:t>ה</w:t>
      </w:r>
      <w:r>
        <w:rPr>
          <w:rFonts w:asciiTheme="minorBidi" w:hAnsiTheme="minorBidi" w:cs="Arial" w:hint="cs"/>
          <w:rtl/>
        </w:rPr>
        <w:t>רא</w:t>
      </w:r>
      <w:r w:rsidRPr="00004068">
        <w:rPr>
          <w:rFonts w:asciiTheme="minorBidi" w:hAnsiTheme="minorBidi" w:cs="Arial" w:hint="cs"/>
          <w:rtl/>
        </w:rPr>
        <w:t xml:space="preserve">"ש </w:t>
      </w:r>
      <w:r>
        <w:rPr>
          <w:rFonts w:asciiTheme="minorBidi" w:hAnsiTheme="minorBidi" w:cs="Arial" w:hint="cs"/>
          <w:rtl/>
        </w:rPr>
        <w:t>(</w:t>
      </w:r>
      <w:r w:rsidRPr="00004068">
        <w:rPr>
          <w:rFonts w:asciiTheme="minorBidi" w:hAnsiTheme="minorBidi" w:cs="Arial" w:hint="cs"/>
          <w:rtl/>
        </w:rPr>
        <w:t>פ"ג סי' טז</w:t>
      </w:r>
      <w:r>
        <w:rPr>
          <w:rFonts w:asciiTheme="minorBidi" w:hAnsiTheme="minorBidi" w:cs="Arial" w:hint="cs"/>
          <w:rtl/>
        </w:rPr>
        <w:t>)</w:t>
      </w:r>
      <w:r w:rsidRPr="00004068">
        <w:rPr>
          <w:rFonts w:asciiTheme="minorBidi" w:hAnsiTheme="minorBidi" w:cs="Arial" w:hint="cs"/>
          <w:rtl/>
        </w:rPr>
        <w:t xml:space="preserve"> </w:t>
      </w:r>
      <w:r w:rsidRPr="00DD3262">
        <w:rPr>
          <w:rFonts w:cs="Arial"/>
          <w:rtl/>
        </w:rPr>
        <w:t>הר"ן (כ. ד"ה ודאמרי')</w:t>
      </w:r>
      <w:r>
        <w:rPr>
          <w:rFonts w:asciiTheme="minorBidi" w:hAnsiTheme="minorBidi" w:cs="Arial" w:hint="cs"/>
          <w:rtl/>
        </w:rPr>
        <w:t xml:space="preserve">. </w:t>
      </w:r>
    </w:p>
  </w:footnote>
  <w:footnote w:id="2801">
    <w:p w14:paraId="6151E20F" w14:textId="623582AA" w:rsidR="00F208F2" w:rsidRDefault="00F208F2">
      <w:pPr>
        <w:pStyle w:val="a7"/>
      </w:pPr>
      <w:r>
        <w:rPr>
          <w:rStyle w:val="a9"/>
        </w:rPr>
        <w:footnoteRef/>
      </w:r>
      <w:r>
        <w:rPr>
          <w:rtl/>
        </w:rPr>
        <w:t xml:space="preserve"> </w:t>
      </w:r>
      <w:r>
        <w:rPr>
          <w:rFonts w:asciiTheme="minorBidi" w:hAnsiTheme="minorBidi" w:cs="Arial" w:hint="cs"/>
          <w:rtl/>
        </w:rPr>
        <w:t xml:space="preserve">וז"ל- </w:t>
      </w:r>
      <w:r w:rsidRPr="00F208F2">
        <w:rPr>
          <w:rFonts w:asciiTheme="minorBidi" w:hAnsiTheme="minorBidi" w:cs="Arial"/>
          <w:rtl/>
        </w:rPr>
        <w:t xml:space="preserve">ופירש"י ז"ל </w:t>
      </w:r>
      <w:r>
        <w:rPr>
          <w:rFonts w:asciiTheme="minorBidi" w:hAnsiTheme="minorBidi" w:cs="Arial" w:hint="cs"/>
          <w:sz w:val="16"/>
          <w:szCs w:val="16"/>
          <w:rtl/>
        </w:rPr>
        <w:t>(לא מצאתי איפה</w:t>
      </w:r>
      <w:r w:rsidR="005D1FBF">
        <w:rPr>
          <w:rFonts w:asciiTheme="minorBidi" w:hAnsiTheme="minorBidi" w:cs="Arial" w:hint="cs"/>
          <w:sz w:val="16"/>
          <w:szCs w:val="16"/>
          <w:rtl/>
        </w:rPr>
        <w:t>, ומ"מ כן כתב הרשב"א [מב.] בשם רש"י</w:t>
      </w:r>
      <w:r>
        <w:rPr>
          <w:rFonts w:asciiTheme="minorBidi" w:hAnsiTheme="minorBidi" w:cs="Arial" w:hint="cs"/>
          <w:sz w:val="16"/>
          <w:szCs w:val="16"/>
          <w:rtl/>
        </w:rPr>
        <w:t xml:space="preserve">) </w:t>
      </w:r>
      <w:r w:rsidRPr="00F208F2">
        <w:rPr>
          <w:rFonts w:asciiTheme="minorBidi" w:hAnsiTheme="minorBidi" w:cs="Arial"/>
          <w:rtl/>
        </w:rPr>
        <w:t>שכשהוא נותן תבלין לתוך הקערה דוקא אחר שהרותחין בתוכה אבל לתת לתוך הקערה תבלין תחלה ולערות עליהן רותחין אסור מפני שעירוי כלי ראשון מבשל והרי הוא לענין זה ככלי ראשון וכן יראה מלשון רבינו. אבל קצת מפרשים התירו אפי' עירוי כלי ראשון לפי שאינו מבשל. וזה נראה דעת הרמב"ן ז"ל והרשב"א ז"ל להלכה</w:t>
      </w:r>
      <w:r>
        <w:rPr>
          <w:rFonts w:asciiTheme="minorBidi" w:hAnsiTheme="minorBidi" w:cs="Arial" w:hint="cs"/>
          <w:rtl/>
        </w:rPr>
        <w:t>.</w:t>
      </w:r>
      <w:r w:rsidRPr="00F208F2">
        <w:rPr>
          <w:rFonts w:asciiTheme="minorBidi" w:hAnsiTheme="minorBidi" w:cs="Arial"/>
          <w:rtl/>
        </w:rPr>
        <w:t xml:space="preserve"> אבל למעשה ראוי להחמיר כדברי רש"י ז"ל</w:t>
      </w:r>
      <w:r>
        <w:rPr>
          <w:rFonts w:asciiTheme="minorBidi" w:hAnsiTheme="minorBidi" w:cs="Arial" w:hint="cs"/>
          <w:rtl/>
        </w:rPr>
        <w:t>.</w:t>
      </w:r>
    </w:p>
  </w:footnote>
  <w:footnote w:id="2802">
    <w:p w14:paraId="173C29D6" w14:textId="2B5C9E87" w:rsidR="002013CC" w:rsidRDefault="002013CC">
      <w:pPr>
        <w:pStyle w:val="a7"/>
        <w:rPr>
          <w:rtl/>
        </w:rPr>
      </w:pPr>
      <w:r>
        <w:rPr>
          <w:rStyle w:val="a9"/>
        </w:rPr>
        <w:footnoteRef/>
      </w:r>
      <w:r>
        <w:rPr>
          <w:rtl/>
        </w:rPr>
        <w:t xml:space="preserve"> </w:t>
      </w:r>
      <w:r w:rsidRPr="00CC69D4">
        <w:rPr>
          <w:rFonts w:asciiTheme="minorBidi" w:hAnsiTheme="minorBidi" w:cs="Arial"/>
          <w:rtl/>
        </w:rPr>
        <w:t>ומביא ראיה דבזבחים בפרק דם חטאת (דף צה: ושם) ת"ר אשר תבושל בו אין לי אלא שבישל בו עירה לתוכו רותח מניין תלמוד לומר אשר תבושל בו ישבר אלמא דעירוי חשיב מבשל</w:t>
      </w:r>
      <w:r>
        <w:rPr>
          <w:rFonts w:asciiTheme="minorBidi" w:hAnsiTheme="minorBidi" w:cs="Arial" w:hint="cs"/>
          <w:rtl/>
        </w:rPr>
        <w:t>.</w:t>
      </w:r>
      <w:r w:rsidRPr="00CC69D4">
        <w:rPr>
          <w:rFonts w:asciiTheme="minorBidi" w:hAnsiTheme="minorBidi" w:cs="Arial"/>
          <w:rtl/>
        </w:rPr>
        <w:t xml:space="preserve"> ובירושלמי בפרק כירה בעי מהו ליתן תבלין מלמטה ולערות עליהן מלמעלה ר' יונה אמר אסור דעירוי ככלי ראשון חיליה דר' יונה מן הדא אחד שבישל בו ואחד שעירה לתוכו רותח ודחי ר' יוסי תמן כלי חרס בולע תבלין אינו מתבשל השיב רבי יוסי בר בון והתניא מניין שבכלי נחשת כן תלמוד לומר ואם בכלי נחשת בשלה אית לן למימר כלי נחשת בלע בתמיה פי' ע"י עירוי אם אינו מבשל לא בלע אלמא דמסיק דעירוי ככלי ראשון</w:t>
      </w:r>
      <w:r>
        <w:rPr>
          <w:rFonts w:asciiTheme="minorBidi" w:hAnsiTheme="minorBidi" w:cs="Arial" w:hint="cs"/>
          <w:rtl/>
        </w:rPr>
        <w:t>, תוס' (שם) בשם ר"י.</w:t>
      </w:r>
    </w:p>
  </w:footnote>
  <w:footnote w:id="2803">
    <w:p w14:paraId="17A87257" w14:textId="4DCB0B7C" w:rsidR="002013CC" w:rsidRDefault="002013CC">
      <w:pPr>
        <w:pStyle w:val="a7"/>
        <w:rPr>
          <w:rtl/>
        </w:rPr>
      </w:pPr>
      <w:r>
        <w:rPr>
          <w:rStyle w:val="a9"/>
        </w:rPr>
        <w:footnoteRef/>
      </w:r>
      <w:r>
        <w:rPr>
          <w:rtl/>
        </w:rPr>
        <w:t xml:space="preserve"> </w:t>
      </w:r>
      <w:r w:rsidRPr="00CC69D4">
        <w:rPr>
          <w:rFonts w:asciiTheme="minorBidi" w:hAnsiTheme="minorBidi" w:cs="Arial"/>
          <w:rtl/>
        </w:rPr>
        <w:t>דהא קי"ל כשמואל דאמר תתאה גבר</w:t>
      </w:r>
      <w:r w:rsidR="00C162A1">
        <w:rPr>
          <w:rFonts w:asciiTheme="minorBidi" w:hAnsiTheme="minorBidi" w:cs="Arial" w:hint="cs"/>
          <w:rtl/>
        </w:rPr>
        <w:t>,</w:t>
      </w:r>
      <w:r w:rsidRPr="00CC69D4">
        <w:rPr>
          <w:rFonts w:asciiTheme="minorBidi" w:hAnsiTheme="minorBidi" w:cs="Arial"/>
          <w:rtl/>
        </w:rPr>
        <w:t xml:space="preserve"> דתניא כוותיה בכיצד צולין (פסחים עו.)</w:t>
      </w:r>
      <w:r w:rsidR="00C162A1">
        <w:rPr>
          <w:rFonts w:asciiTheme="minorBidi" w:hAnsiTheme="minorBidi" w:cs="Arial" w:hint="cs"/>
          <w:rtl/>
        </w:rPr>
        <w:t>,</w:t>
      </w:r>
      <w:r w:rsidRPr="00CC69D4">
        <w:rPr>
          <w:rFonts w:asciiTheme="minorBidi" w:hAnsiTheme="minorBidi" w:cs="Arial"/>
          <w:rtl/>
        </w:rPr>
        <w:t xml:space="preserve"> ומ"מ מבשל כדי קליפה דאמר התם תניא כוותיה דשמואל חם לתוך צונן או צונן לתוך צונן מדיח</w:t>
      </w:r>
      <w:r>
        <w:rPr>
          <w:rFonts w:asciiTheme="minorBidi" w:hAnsiTheme="minorBidi" w:cs="Arial" w:hint="cs"/>
          <w:rtl/>
        </w:rPr>
        <w:t>.</w:t>
      </w:r>
      <w:r w:rsidRPr="00CC69D4">
        <w:rPr>
          <w:rFonts w:asciiTheme="minorBidi" w:hAnsiTheme="minorBidi" w:cs="Arial"/>
          <w:rtl/>
        </w:rPr>
        <w:t xml:space="preserve"> ופריך חם לתוך צונן אדמיקר ליה בלע</w:t>
      </w:r>
      <w:r>
        <w:rPr>
          <w:rFonts w:asciiTheme="minorBidi" w:hAnsiTheme="minorBidi" w:cs="Arial" w:hint="cs"/>
          <w:rtl/>
        </w:rPr>
        <w:t>.</w:t>
      </w:r>
      <w:r w:rsidRPr="00CC69D4">
        <w:rPr>
          <w:rFonts w:asciiTheme="minorBidi" w:hAnsiTheme="minorBidi" w:cs="Arial"/>
          <w:rtl/>
        </w:rPr>
        <w:t xml:space="preserve"> אלא אימא חם לתוך צונן קולף צונן לתוך צונן מדיח</w:t>
      </w:r>
      <w:r>
        <w:rPr>
          <w:rFonts w:asciiTheme="minorBidi" w:hAnsiTheme="minorBidi" w:cs="Arial" w:hint="cs"/>
          <w:rtl/>
        </w:rPr>
        <w:t>.</w:t>
      </w:r>
      <w:r w:rsidRPr="00CC69D4">
        <w:rPr>
          <w:rFonts w:asciiTheme="minorBidi" w:hAnsiTheme="minorBidi" w:cs="Arial"/>
          <w:rtl/>
        </w:rPr>
        <w:t xml:space="preserve"> וכן משמע בשילהי מסכת ע"ז (דף עו.) דאמר מר עוקבא זבן יורה מעכו"ם אהדר ליה גדנפא ומסיק כבולעו כך פולטו מה בולעו בניצוצות אף פולטו בניצוצות</w:t>
      </w:r>
      <w:r>
        <w:rPr>
          <w:rFonts w:asciiTheme="minorBidi" w:hAnsiTheme="minorBidi" w:cs="Arial" w:hint="cs"/>
          <w:rtl/>
        </w:rPr>
        <w:t>,</w:t>
      </w:r>
      <w:r w:rsidR="00C162A1">
        <w:rPr>
          <w:rFonts w:asciiTheme="minorBidi" w:hAnsiTheme="minorBidi" w:cs="Arial" w:hint="cs"/>
          <w:rtl/>
        </w:rPr>
        <w:t xml:space="preserve"> </w:t>
      </w:r>
      <w:r w:rsidRPr="00CC69D4">
        <w:rPr>
          <w:rFonts w:asciiTheme="minorBidi" w:hAnsiTheme="minorBidi" w:cs="Arial"/>
          <w:rtl/>
        </w:rPr>
        <w:t>ואי עירוי ככלי ראשון מאי איריא משום דבלע בניצוצות אפילו בלע בליעה גמורה פלט בניצוצות שהוא עירוי</w:t>
      </w:r>
      <w:r>
        <w:rPr>
          <w:rFonts w:asciiTheme="minorBidi" w:hAnsiTheme="minorBidi" w:cs="Arial" w:hint="cs"/>
          <w:rtl/>
        </w:rPr>
        <w:t>,</w:t>
      </w:r>
      <w:r w:rsidRPr="00CC69D4">
        <w:rPr>
          <w:rFonts w:asciiTheme="minorBidi" w:hAnsiTheme="minorBidi" w:cs="Arial"/>
          <w:rtl/>
        </w:rPr>
        <w:t xml:space="preserve"> אלא ודאי לא מבשל אלא כדי קליפה</w:t>
      </w:r>
      <w:r>
        <w:rPr>
          <w:rFonts w:asciiTheme="minorBidi" w:hAnsiTheme="minorBidi" w:cs="Arial" w:hint="cs"/>
          <w:rtl/>
        </w:rPr>
        <w:t>.</w:t>
      </w:r>
      <w:r w:rsidRPr="00CC69D4">
        <w:rPr>
          <w:rFonts w:asciiTheme="minorBidi" w:hAnsiTheme="minorBidi" w:cs="Arial"/>
          <w:rtl/>
        </w:rPr>
        <w:t xml:space="preserve"> ואם עירו רותחים על התרנגולת צריכה קליפה</w:t>
      </w:r>
      <w:r>
        <w:rPr>
          <w:rFonts w:asciiTheme="minorBidi" w:hAnsiTheme="minorBidi" w:cs="Arial" w:hint="cs"/>
          <w:rtl/>
        </w:rPr>
        <w:t>.</w:t>
      </w:r>
      <w:r w:rsidRPr="00CC69D4">
        <w:rPr>
          <w:rFonts w:asciiTheme="minorBidi" w:hAnsiTheme="minorBidi" w:cs="Arial"/>
          <w:rtl/>
        </w:rPr>
        <w:t xml:space="preserve"> וכלי שתשמישו ע"י עירוי</w:t>
      </w:r>
      <w:r>
        <w:rPr>
          <w:rFonts w:asciiTheme="minorBidi" w:hAnsiTheme="minorBidi" w:cs="Arial" w:hint="cs"/>
          <w:rtl/>
        </w:rPr>
        <w:t>,</w:t>
      </w:r>
      <w:r w:rsidRPr="00CC69D4">
        <w:rPr>
          <w:rFonts w:asciiTheme="minorBidi" w:hAnsiTheme="minorBidi" w:cs="Arial"/>
          <w:rtl/>
        </w:rPr>
        <w:t xml:space="preserve"> כגון קערות</w:t>
      </w:r>
      <w:r>
        <w:rPr>
          <w:rFonts w:asciiTheme="minorBidi" w:hAnsiTheme="minorBidi" w:cs="Arial" w:hint="cs"/>
          <w:rtl/>
        </w:rPr>
        <w:t>,</w:t>
      </w:r>
      <w:r w:rsidRPr="00CC69D4">
        <w:rPr>
          <w:rFonts w:asciiTheme="minorBidi" w:hAnsiTheme="minorBidi" w:cs="Arial"/>
          <w:rtl/>
        </w:rPr>
        <w:t xml:space="preserve"> יכול להגעילן ע"י עירוי</w:t>
      </w:r>
      <w:r>
        <w:rPr>
          <w:rFonts w:asciiTheme="minorBidi" w:hAnsiTheme="minorBidi" w:cs="Arial" w:hint="cs"/>
          <w:rtl/>
        </w:rPr>
        <w:t>,</w:t>
      </w:r>
      <w:r w:rsidRPr="00CC69D4">
        <w:rPr>
          <w:rFonts w:asciiTheme="minorBidi" w:hAnsiTheme="minorBidi" w:cs="Arial"/>
          <w:rtl/>
        </w:rPr>
        <w:t xml:space="preserve"> דכבולעו כך פולטו</w:t>
      </w:r>
      <w:r>
        <w:rPr>
          <w:rFonts w:asciiTheme="minorBidi" w:hAnsiTheme="minorBidi" w:cs="Arial" w:hint="cs"/>
          <w:rtl/>
        </w:rPr>
        <w:t>.</w:t>
      </w:r>
      <w:r w:rsidRPr="00CC69D4">
        <w:rPr>
          <w:rFonts w:asciiTheme="minorBidi" w:hAnsiTheme="minorBidi" w:cs="Arial"/>
          <w:rtl/>
        </w:rPr>
        <w:t xml:space="preserve"> אבל כלי שנתבשל בו איסור לא סגי להגעילו על ידי עירוי</w:t>
      </w:r>
      <w:r>
        <w:rPr>
          <w:rFonts w:hint="cs"/>
          <w:rtl/>
        </w:rPr>
        <w:t>, תוס' (שם).</w:t>
      </w:r>
    </w:p>
  </w:footnote>
  <w:footnote w:id="2804">
    <w:p w14:paraId="67CD85EF" w14:textId="4D43AFA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w:t>
      </w:r>
      <w:r w:rsidR="00C162A1" w:rsidRPr="00C162A1">
        <w:rPr>
          <w:rFonts w:asciiTheme="minorBidi" w:hAnsiTheme="minorBidi" w:cs="Arial"/>
          <w:rtl/>
        </w:rPr>
        <w:t>ואם עירה אזי הקליפה אסורה דנתבשלה בשבת</w:t>
      </w:r>
      <w:r w:rsidRPr="008C1C8E">
        <w:rPr>
          <w:rFonts w:asciiTheme="minorBidi" w:hAnsiTheme="minorBidi"/>
          <w:rtl/>
        </w:rPr>
        <w:t>, מג"א (סקל"ב).</w:t>
      </w:r>
    </w:p>
  </w:footnote>
  <w:footnote w:id="2805">
    <w:p w14:paraId="563C1518" w14:textId="77777777" w:rsidR="001647E6" w:rsidRPr="008C1C8E" w:rsidRDefault="001647E6" w:rsidP="001647E6">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w:t>
      </w:r>
      <w:r w:rsidRPr="00D101E0">
        <w:rPr>
          <w:rFonts w:asciiTheme="minorBidi" w:hAnsiTheme="minorBidi" w:cs="Arial"/>
          <w:rtl/>
        </w:rPr>
        <w:t xml:space="preserve">אפי' </w:t>
      </w:r>
      <w:r>
        <w:rPr>
          <w:rFonts w:asciiTheme="minorBidi" w:hAnsiTheme="minorBidi" w:cs="Arial" w:hint="cs"/>
          <w:sz w:val="16"/>
          <w:szCs w:val="16"/>
          <w:rtl/>
        </w:rPr>
        <w:t xml:space="preserve">{המים החמים נמצאים} </w:t>
      </w:r>
      <w:r w:rsidRPr="00D101E0">
        <w:rPr>
          <w:rFonts w:asciiTheme="minorBidi" w:hAnsiTheme="minorBidi" w:cs="Arial"/>
          <w:rtl/>
        </w:rPr>
        <w:t>בכלי ראשון</w:t>
      </w:r>
      <w:r>
        <w:rPr>
          <w:rFonts w:asciiTheme="minorBidi" w:hAnsiTheme="minorBidi" w:cs="Arial" w:hint="cs"/>
          <w:rtl/>
        </w:rPr>
        <w:t>,</w:t>
      </w:r>
      <w:r w:rsidRPr="00D101E0">
        <w:rPr>
          <w:rFonts w:asciiTheme="minorBidi" w:hAnsiTheme="minorBidi" w:cs="Arial"/>
          <w:rtl/>
        </w:rPr>
        <w:t xml:space="preserve"> דחמין לתוך צונן אינו מבשל כמו שאפרש</w:t>
      </w:r>
      <w:r>
        <w:rPr>
          <w:rFonts w:asciiTheme="minorBidi" w:hAnsiTheme="minorBidi" w:cs="Arial" w:hint="cs"/>
          <w:rtl/>
        </w:rPr>
        <w:t>.</w:t>
      </w:r>
      <w:r w:rsidRPr="00D101E0">
        <w:rPr>
          <w:rFonts w:asciiTheme="minorBidi" w:hAnsiTheme="minorBidi" w:cs="Arial"/>
          <w:rtl/>
        </w:rPr>
        <w:t xml:space="preserve"> ולא צונן לתוך חמין </w:t>
      </w:r>
      <w:r>
        <w:rPr>
          <w:rFonts w:asciiTheme="minorBidi" w:hAnsiTheme="minorBidi" w:cs="Arial" w:hint="cs"/>
          <w:rtl/>
        </w:rPr>
        <w:t xml:space="preserve">- </w:t>
      </w:r>
      <w:r w:rsidRPr="00D101E0">
        <w:rPr>
          <w:rFonts w:asciiTheme="minorBidi" w:hAnsiTheme="minorBidi" w:cs="Arial"/>
          <w:rtl/>
        </w:rPr>
        <w:t>אפילו בכלי שני</w:t>
      </w:r>
      <w:r>
        <w:rPr>
          <w:rFonts w:asciiTheme="minorBidi" w:hAnsiTheme="minorBidi" w:cs="Arial" w:hint="cs"/>
          <w:rtl/>
        </w:rPr>
        <w:t>,</w:t>
      </w:r>
      <w:r w:rsidRPr="00D101E0">
        <w:rPr>
          <w:rFonts w:asciiTheme="minorBidi" w:hAnsiTheme="minorBidi" w:cs="Arial"/>
          <w:rtl/>
        </w:rPr>
        <w:t xml:space="preserve"> דגזרי ב"ש כלי שני אטו כלי ראשון</w:t>
      </w:r>
      <w:r>
        <w:rPr>
          <w:rFonts w:asciiTheme="minorBidi" w:hAnsiTheme="minorBidi" w:cs="Arial" w:hint="cs"/>
          <w:rtl/>
        </w:rPr>
        <w:t>,</w:t>
      </w:r>
      <w:r w:rsidRPr="00D101E0">
        <w:rPr>
          <w:rFonts w:asciiTheme="minorBidi" w:hAnsiTheme="minorBidi" w:cs="Arial"/>
          <w:rtl/>
        </w:rPr>
        <w:t xml:space="preserve"> וב"ה דפליגי ושרו צונן לתוך חמין היינו דוקא בכלי שני</w:t>
      </w:r>
      <w:r>
        <w:rPr>
          <w:rFonts w:asciiTheme="minorBidi" w:hAnsiTheme="minorBidi" w:cs="Arial" w:hint="cs"/>
          <w:rtl/>
        </w:rPr>
        <w:t>,</w:t>
      </w:r>
      <w:r w:rsidRPr="00D101E0">
        <w:rPr>
          <w:rFonts w:asciiTheme="minorBidi" w:hAnsiTheme="minorBidi" w:cs="Arial"/>
          <w:rtl/>
        </w:rPr>
        <w:t xml:space="preserve"> כדקתני בד"א בכוס</w:t>
      </w:r>
      <w:r>
        <w:rPr>
          <w:rFonts w:asciiTheme="minorBidi" w:hAnsiTheme="minorBidi" w:cs="Arial" w:hint="cs"/>
          <w:rtl/>
        </w:rPr>
        <w:t>,</w:t>
      </w:r>
      <w:r w:rsidRPr="00D101E0">
        <w:rPr>
          <w:rFonts w:asciiTheme="minorBidi" w:hAnsiTheme="minorBidi" w:cs="Arial"/>
          <w:rtl/>
        </w:rPr>
        <w:t xml:space="preserve"> משמע דבכלי ראשון מודו ב"ה</w:t>
      </w:r>
      <w:r>
        <w:rPr>
          <w:rFonts w:asciiTheme="minorBidi" w:hAnsiTheme="minorBidi" w:cs="Arial" w:hint="cs"/>
          <w:rtl/>
        </w:rPr>
        <w:t>,</w:t>
      </w:r>
      <w:r w:rsidRPr="00D101E0">
        <w:rPr>
          <w:rFonts w:asciiTheme="minorBidi" w:hAnsiTheme="minorBidi" w:cs="Arial"/>
          <w:rtl/>
        </w:rPr>
        <w:t xml:space="preserve"> </w:t>
      </w:r>
      <w:r w:rsidRPr="00D101E0">
        <w:rPr>
          <w:rFonts w:asciiTheme="minorBidi" w:hAnsiTheme="minorBidi" w:cs="Arial" w:hint="cs"/>
          <w:sz w:val="16"/>
          <w:szCs w:val="16"/>
          <w:rtl/>
        </w:rPr>
        <w:t>(</w:t>
      </w:r>
      <w:r w:rsidRPr="00D101E0">
        <w:rPr>
          <w:rFonts w:asciiTheme="minorBidi" w:hAnsiTheme="minorBidi" w:cs="Arial"/>
          <w:sz w:val="16"/>
          <w:szCs w:val="16"/>
          <w:rtl/>
        </w:rPr>
        <w:t>ולא משום דסברה הך ברייתא דתתאה גבר כדפירש בקונטרס</w:t>
      </w:r>
      <w:r>
        <w:rPr>
          <w:rFonts w:asciiTheme="minorBidi" w:hAnsiTheme="minorBidi" w:cs="Arial" w:hint="cs"/>
          <w:sz w:val="16"/>
          <w:szCs w:val="16"/>
          <w:rtl/>
        </w:rPr>
        <w:t>,</w:t>
      </w:r>
      <w:r w:rsidRPr="00D101E0">
        <w:rPr>
          <w:rFonts w:asciiTheme="minorBidi" w:hAnsiTheme="minorBidi" w:cs="Arial"/>
          <w:sz w:val="16"/>
          <w:szCs w:val="16"/>
          <w:rtl/>
        </w:rPr>
        <w:t xml:space="preserve"> דאם כן יקשה מהכא למ"ד עילאה גבר</w:t>
      </w:r>
      <w:r>
        <w:rPr>
          <w:rFonts w:asciiTheme="minorBidi" w:hAnsiTheme="minorBidi" w:cs="Arial" w:hint="cs"/>
          <w:sz w:val="16"/>
          <w:szCs w:val="16"/>
          <w:rtl/>
        </w:rPr>
        <w:t>,</w:t>
      </w:r>
      <w:r w:rsidRPr="00D101E0">
        <w:rPr>
          <w:rFonts w:asciiTheme="minorBidi" w:hAnsiTheme="minorBidi" w:cs="Arial"/>
          <w:sz w:val="16"/>
          <w:szCs w:val="16"/>
          <w:rtl/>
        </w:rPr>
        <w:t xml:space="preserve"> ולמאן דאמר תתאה גבר נמי הא מבשל כדי קליפה כמו שאפרש לקמן בע"ה</w:t>
      </w:r>
      <w:r>
        <w:rPr>
          <w:rFonts w:asciiTheme="minorBidi" w:hAnsiTheme="minorBidi" w:cs="Arial" w:hint="cs"/>
          <w:sz w:val="16"/>
          <w:szCs w:val="16"/>
          <w:rtl/>
        </w:rPr>
        <w:t>.</w:t>
      </w:r>
      <w:r w:rsidRPr="00D101E0">
        <w:rPr>
          <w:rFonts w:asciiTheme="minorBidi" w:hAnsiTheme="minorBidi" w:cs="Arial"/>
          <w:sz w:val="16"/>
          <w:szCs w:val="16"/>
          <w:rtl/>
        </w:rPr>
        <w:t xml:space="preserve"> אלא נראה כמו שאומר ר"ת</w:t>
      </w:r>
      <w:r>
        <w:rPr>
          <w:rFonts w:asciiTheme="minorBidi" w:hAnsiTheme="minorBidi" w:cs="Arial" w:hint="cs"/>
          <w:sz w:val="16"/>
          <w:szCs w:val="16"/>
          <w:rtl/>
        </w:rPr>
        <w:t>-)</w:t>
      </w:r>
      <w:r w:rsidRPr="00D101E0">
        <w:rPr>
          <w:rFonts w:asciiTheme="minorBidi" w:hAnsiTheme="minorBidi" w:cs="Arial"/>
          <w:rtl/>
        </w:rPr>
        <w:t xml:space="preserve"> דחמין לתוך צונן משמע שהצוננין של מטה מרובים</w:t>
      </w:r>
      <w:r>
        <w:rPr>
          <w:rFonts w:asciiTheme="minorBidi" w:hAnsiTheme="minorBidi" w:cs="Arial" w:hint="cs"/>
          <w:rtl/>
        </w:rPr>
        <w:t>,</w:t>
      </w:r>
      <w:r w:rsidRPr="00D101E0">
        <w:rPr>
          <w:rFonts w:asciiTheme="minorBidi" w:hAnsiTheme="minorBidi" w:cs="Arial"/>
          <w:rtl/>
        </w:rPr>
        <w:t xml:space="preserve"> שדרך ליתן המועט במרובה</w:t>
      </w:r>
      <w:r>
        <w:rPr>
          <w:rFonts w:asciiTheme="minorBidi" w:hAnsiTheme="minorBidi" w:cs="Arial" w:hint="cs"/>
          <w:rtl/>
        </w:rPr>
        <w:t>,</w:t>
      </w:r>
      <w:r w:rsidRPr="00D101E0">
        <w:rPr>
          <w:rFonts w:asciiTheme="minorBidi" w:hAnsiTheme="minorBidi" w:cs="Arial"/>
          <w:rtl/>
        </w:rPr>
        <w:t xml:space="preserve"> ולכך אין מבשלים החמין המועטים כלל</w:t>
      </w:r>
      <w:r>
        <w:rPr>
          <w:rFonts w:asciiTheme="minorBidi" w:hAnsiTheme="minorBidi" w:cs="Arial" w:hint="cs"/>
          <w:rtl/>
        </w:rPr>
        <w:t>,</w:t>
      </w:r>
      <w:r w:rsidRPr="00D101E0">
        <w:rPr>
          <w:rFonts w:asciiTheme="minorBidi" w:hAnsiTheme="minorBidi" w:cs="Arial"/>
          <w:rtl/>
        </w:rPr>
        <w:t xml:space="preserve"> לפי שמתערבין בצוננין המרובין ומתבטל חמימותן</w:t>
      </w:r>
      <w:r>
        <w:rPr>
          <w:rFonts w:asciiTheme="minorBidi" w:hAnsiTheme="minorBidi" w:cs="Arial" w:hint="cs"/>
          <w:rtl/>
        </w:rPr>
        <w:t>.</w:t>
      </w:r>
      <w:r w:rsidRPr="00D101E0">
        <w:rPr>
          <w:rFonts w:asciiTheme="minorBidi" w:hAnsiTheme="minorBidi" w:cs="Arial"/>
          <w:rtl/>
        </w:rPr>
        <w:t xml:space="preserve"> ולא צונן לתוך חמין</w:t>
      </w:r>
      <w:r>
        <w:rPr>
          <w:rFonts w:asciiTheme="minorBidi" w:hAnsiTheme="minorBidi" w:cs="Arial" w:hint="cs"/>
          <w:rtl/>
        </w:rPr>
        <w:t>,</w:t>
      </w:r>
      <w:r w:rsidRPr="00D101E0">
        <w:rPr>
          <w:rFonts w:asciiTheme="minorBidi" w:hAnsiTheme="minorBidi" w:cs="Arial"/>
          <w:rtl/>
        </w:rPr>
        <w:t xml:space="preserve"> שהחמין של מטה מרובין</w:t>
      </w:r>
      <w:r>
        <w:rPr>
          <w:rFonts w:asciiTheme="minorBidi" w:hAnsiTheme="minorBidi" w:cs="Arial" w:hint="cs"/>
          <w:rtl/>
        </w:rPr>
        <w:t>,</w:t>
      </w:r>
      <w:r w:rsidRPr="00D101E0">
        <w:rPr>
          <w:rFonts w:asciiTheme="minorBidi" w:hAnsiTheme="minorBidi" w:cs="Arial"/>
          <w:rtl/>
        </w:rPr>
        <w:t xml:space="preserve"> ומתערבין בהן הצוננין המועטין ומתבשלין</w:t>
      </w:r>
      <w:r>
        <w:rPr>
          <w:rFonts w:asciiTheme="minorBidi" w:hAnsiTheme="minorBidi" w:cs="Arial" w:hint="cs"/>
          <w:rtl/>
        </w:rPr>
        <w:t>, תוס' (ד"ה נותן אדם).</w:t>
      </w:r>
    </w:p>
  </w:footnote>
  <w:footnote w:id="2806">
    <w:p w14:paraId="2EFFB381" w14:textId="300E3D88"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שהתחתונים מרתיחים את העליונים, דתתאה גבר, רש"י.</w:t>
      </w:r>
      <w:r w:rsidR="001647E6">
        <w:rPr>
          <w:rFonts w:asciiTheme="minorBidi" w:hAnsiTheme="minorBidi" w:hint="cs"/>
          <w:rtl/>
        </w:rPr>
        <w:t xml:space="preserve"> וכ"כ </w:t>
      </w:r>
      <w:r w:rsidR="0017144E">
        <w:rPr>
          <w:rFonts w:asciiTheme="minorBidi" w:hAnsiTheme="minorBidi" w:hint="cs"/>
          <w:rtl/>
        </w:rPr>
        <w:t>ה</w:t>
      </w:r>
      <w:r w:rsidR="0017144E">
        <w:rPr>
          <w:rFonts w:asciiTheme="minorBidi" w:hAnsiTheme="minorBidi" w:cs="Arial" w:hint="cs"/>
          <w:rtl/>
        </w:rPr>
        <w:t xml:space="preserve">רא"ש </w:t>
      </w:r>
      <w:r w:rsidR="0017144E">
        <w:rPr>
          <w:rFonts w:asciiTheme="minorBidi" w:hAnsiTheme="minorBidi" w:cs="Arial" w:hint="cs"/>
          <w:sz w:val="16"/>
          <w:szCs w:val="16"/>
          <w:rtl/>
        </w:rPr>
        <w:t>(פ"ג סי' טו, עי' קו"נ אות צ)</w:t>
      </w:r>
      <w:r w:rsidR="0017144E">
        <w:rPr>
          <w:rFonts w:asciiTheme="minorBidi" w:hAnsiTheme="minorBidi" w:hint="cs"/>
          <w:rtl/>
        </w:rPr>
        <w:t xml:space="preserve"> ו</w:t>
      </w:r>
      <w:r w:rsidR="001647E6">
        <w:rPr>
          <w:rFonts w:asciiTheme="minorBidi" w:hAnsiTheme="minorBidi" w:hint="cs"/>
          <w:rtl/>
        </w:rPr>
        <w:t>הטור.</w:t>
      </w:r>
      <w:r w:rsidRPr="008C1C8E">
        <w:rPr>
          <w:rFonts w:asciiTheme="minorBidi" w:hAnsiTheme="minorBidi"/>
          <w:rtl/>
        </w:rPr>
        <w:t xml:space="preserve"> אך </w:t>
      </w:r>
      <w:r w:rsidR="0017144E">
        <w:rPr>
          <w:rFonts w:asciiTheme="minorBidi" w:hAnsiTheme="minorBidi" w:hint="cs"/>
          <w:rtl/>
        </w:rPr>
        <w:t>התוס'</w:t>
      </w:r>
      <w:r w:rsidR="008641EF">
        <w:rPr>
          <w:rFonts w:asciiTheme="minorBidi" w:hAnsiTheme="minorBidi" w:hint="cs"/>
          <w:rtl/>
        </w:rPr>
        <w:t xml:space="preserve"> (ד"ה נותן)</w:t>
      </w:r>
      <w:r w:rsidR="0017144E">
        <w:rPr>
          <w:rFonts w:asciiTheme="minorBidi" w:hAnsiTheme="minorBidi" w:hint="cs"/>
          <w:rtl/>
        </w:rPr>
        <w:t xml:space="preserve"> </w:t>
      </w:r>
      <w:r w:rsidR="008641EF">
        <w:rPr>
          <w:rFonts w:asciiTheme="minorBidi" w:hAnsiTheme="minorBidi" w:hint="cs"/>
          <w:rtl/>
        </w:rPr>
        <w:t>ו</w:t>
      </w:r>
      <w:r w:rsidRPr="008C1C8E">
        <w:rPr>
          <w:rFonts w:asciiTheme="minorBidi" w:hAnsiTheme="minorBidi"/>
          <w:rtl/>
        </w:rPr>
        <w:t xml:space="preserve">ר"ת </w:t>
      </w:r>
      <w:r w:rsidR="001647E6">
        <w:rPr>
          <w:rFonts w:asciiTheme="minorBidi" w:hAnsiTheme="minorBidi" w:hint="cs"/>
          <w:rtl/>
        </w:rPr>
        <w:t xml:space="preserve">(בתוס' שם) </w:t>
      </w:r>
      <w:r w:rsidR="008641EF">
        <w:rPr>
          <w:rFonts w:asciiTheme="minorBidi" w:hAnsiTheme="minorBidi" w:hint="cs"/>
          <w:rtl/>
        </w:rPr>
        <w:t>ס"ל ד</w:t>
      </w:r>
      <w:r w:rsidRPr="008C1C8E">
        <w:rPr>
          <w:rFonts w:asciiTheme="minorBidi" w:hAnsiTheme="minorBidi"/>
          <w:rtl/>
        </w:rPr>
        <w:t>הוא משום שהחמין של מטה מרובין ומתערבין בהן הצוננין המועטין ומתבשלין.</w:t>
      </w:r>
    </w:p>
  </w:footnote>
  <w:footnote w:id="2807">
    <w:p w14:paraId="22962871" w14:textId="0EEA0B96"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דלשתיה קבעי להו, ולא ניחא ליה שיחומו הרבה, ועוד דכלי שני הוא, רש"י.</w:t>
      </w:r>
    </w:p>
  </w:footnote>
  <w:footnote w:id="2808">
    <w:p w14:paraId="3A07648E"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אפילו חמין לתוך צונן, רש"י.</w:t>
      </w:r>
    </w:p>
  </w:footnote>
  <w:footnote w:id="2809">
    <w:p w14:paraId="305A42D5" w14:textId="06F7FA07" w:rsidR="001647E6" w:rsidRPr="008C1C8E" w:rsidRDefault="001647E6" w:rsidP="001647E6">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ואע</w:t>
      </w:r>
      <w:r>
        <w:rPr>
          <w:rFonts w:asciiTheme="minorBidi" w:hAnsiTheme="minorBidi" w:hint="cs"/>
          <w:rtl/>
        </w:rPr>
        <w:t>"</w:t>
      </w:r>
      <w:r w:rsidRPr="008C1C8E">
        <w:rPr>
          <w:rFonts w:asciiTheme="minorBidi" w:hAnsiTheme="minorBidi"/>
          <w:rtl/>
        </w:rPr>
        <w:t>ג דכלי שני הוא, הואיל ולאו לשתיה אלא לרחיצה - אסירי, דניחא ליה שיחמו הרבה, וגזרינן, רש"י.</w:t>
      </w:r>
      <w:r>
        <w:rPr>
          <w:rFonts w:asciiTheme="minorBidi" w:hAnsiTheme="minorBidi" w:hint="cs"/>
          <w:rtl/>
        </w:rPr>
        <w:t xml:space="preserve"> </w:t>
      </w:r>
    </w:p>
  </w:footnote>
  <w:footnote w:id="2810">
    <w:p w14:paraId="27DCAA57"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בתמיה, דהא לר' שמעון אפילו חמין לתוך צונן אסור, לא משכחת חמין שהוחמו ואפילו מערב שבת שלא יהיו צריכין להפיג רתיחתן, ואם כן לא ירחוץ אפילו פניו ידיו ורגליו בחמין, רש"י.</w:t>
      </w:r>
    </w:p>
  </w:footnote>
  <w:footnote w:id="2811">
    <w:p w14:paraId="577F9A34"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דלא שרי תנא קמא אלא חמין לתוך צונן, ואתא איהו ואסר אף חמין לתוך צונן, רש"י.</w:t>
      </w:r>
    </w:p>
  </w:footnote>
  <w:footnote w:id="2812">
    <w:p w14:paraId="554BAB7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לשתיה, וצונן לתוך חמין דקשרו בית הלל קאסר, רש"י.</w:t>
      </w:r>
    </w:p>
  </w:footnote>
  <w:footnote w:id="2813">
    <w:p w14:paraId="65D16DBB" w14:textId="149472F8" w:rsidR="00360E61" w:rsidRDefault="00360E61">
      <w:pPr>
        <w:pStyle w:val="a7"/>
      </w:pPr>
      <w:r>
        <w:rPr>
          <w:rStyle w:val="a9"/>
        </w:rPr>
        <w:footnoteRef/>
      </w:r>
      <w:r>
        <w:rPr>
          <w:rtl/>
        </w:rPr>
        <w:t xml:space="preserve"> </w:t>
      </w:r>
      <w:r w:rsidRPr="00360E61">
        <w:rPr>
          <w:rFonts w:asciiTheme="minorBidi" w:hAnsiTheme="minorBidi" w:cs="Arial"/>
          <w:rtl/>
        </w:rPr>
        <w:t>דפסק רב נחמן כוותיה וסוברים דלא אמרינן דרבי שמעון בן מנסיא ארישא קאי אלא למאי דס"ד</w:t>
      </w:r>
      <w:r w:rsidRPr="00360E61">
        <w:rPr>
          <w:rFonts w:asciiTheme="minorBidi" w:hAnsiTheme="minorBidi" w:cs="Arial" w:hint="cs"/>
          <w:rtl/>
        </w:rPr>
        <w:t>,</w:t>
      </w:r>
      <w:r w:rsidRPr="00360E61">
        <w:rPr>
          <w:rFonts w:asciiTheme="minorBidi" w:hAnsiTheme="minorBidi" w:cs="Arial"/>
          <w:rtl/>
        </w:rPr>
        <w:t xml:space="preserve"> אבל השתא אסיפא קאי דבאמבטי אפילו חמין לתוך צונן אסור</w:t>
      </w:r>
      <w:r>
        <w:rPr>
          <w:rFonts w:asciiTheme="minorBidi" w:hAnsiTheme="minorBidi" w:cs="Arial" w:hint="cs"/>
          <w:rtl/>
        </w:rPr>
        <w:t>, ב"י בשם י"א.</w:t>
      </w:r>
    </w:p>
  </w:footnote>
  <w:footnote w:id="2814">
    <w:p w14:paraId="7F916DCE" w14:textId="3AEBFE68" w:rsidR="00A105F5" w:rsidRDefault="00A105F5">
      <w:pPr>
        <w:pStyle w:val="a7"/>
      </w:pPr>
      <w:r>
        <w:rPr>
          <w:rStyle w:val="a9"/>
        </w:rPr>
        <w:footnoteRef/>
      </w:r>
      <w:r>
        <w:rPr>
          <w:rtl/>
        </w:rPr>
        <w:t xml:space="preserve"> </w:t>
      </w:r>
      <w:r>
        <w:rPr>
          <w:rFonts w:hint="cs"/>
          <w:rtl/>
        </w:rPr>
        <w:t>ועכשיו הכוס המלאה נקראת כלי שני.</w:t>
      </w:r>
    </w:p>
  </w:footnote>
  <w:footnote w:id="2815">
    <w:p w14:paraId="5DA9D676" w14:textId="4EAA471C" w:rsidR="003F31D0" w:rsidRDefault="003F31D0">
      <w:pPr>
        <w:pStyle w:val="a7"/>
        <w:rPr>
          <w:rtl/>
        </w:rPr>
      </w:pPr>
      <w:r>
        <w:rPr>
          <w:rStyle w:val="a9"/>
        </w:rPr>
        <w:footnoteRef/>
      </w:r>
      <w:r>
        <w:rPr>
          <w:rtl/>
        </w:rPr>
        <w:t xml:space="preserve"> </w:t>
      </w:r>
      <w:r>
        <w:rPr>
          <w:rFonts w:hint="cs"/>
          <w:rtl/>
        </w:rPr>
        <w:t>ועיין בסעיף</w:t>
      </w:r>
      <w:r w:rsidR="003119CF">
        <w:rPr>
          <w:rFonts w:hint="cs"/>
          <w:rtl/>
        </w:rPr>
        <w:t xml:space="preserve"> הבא</w:t>
      </w:r>
      <w:r>
        <w:rPr>
          <w:rFonts w:hint="cs"/>
          <w:rtl/>
        </w:rPr>
        <w:t xml:space="preserve"> כיצד הב"י מפרש את דברי הרמב"ם. הנחתי את פירוש הב"י לרמב"ם בס</w:t>
      </w:r>
      <w:r w:rsidR="003119CF">
        <w:rPr>
          <w:rFonts w:hint="cs"/>
          <w:rtl/>
        </w:rPr>
        <w:t>עיף הבא</w:t>
      </w:r>
      <w:r>
        <w:rPr>
          <w:rFonts w:hint="cs"/>
          <w:rtl/>
        </w:rPr>
        <w:t xml:space="preserve">, משום שכדי להבין אותו לאשורו צריך ללמוד את כל </w:t>
      </w:r>
      <w:r w:rsidR="003119CF">
        <w:rPr>
          <w:rFonts w:hint="cs"/>
          <w:rtl/>
        </w:rPr>
        <w:t>המקורות בסעיף הזה ובסעיף הבא.</w:t>
      </w:r>
    </w:p>
  </w:footnote>
  <w:footnote w:id="2816">
    <w:p w14:paraId="0D2E30A5" w14:textId="77777777" w:rsidR="00B66EFB" w:rsidRDefault="00B66EFB" w:rsidP="00B66EFB">
      <w:pPr>
        <w:pStyle w:val="a7"/>
      </w:pPr>
      <w:r>
        <w:rPr>
          <w:rStyle w:val="a9"/>
        </w:rPr>
        <w:footnoteRef/>
      </w:r>
      <w:r>
        <w:rPr>
          <w:rtl/>
        </w:rPr>
        <w:t xml:space="preserve"> </w:t>
      </w:r>
      <w:r>
        <w:rPr>
          <w:rFonts w:asciiTheme="minorBidi" w:hAnsiTheme="minorBidi" w:cs="Arial" w:hint="cs"/>
          <w:rtl/>
        </w:rPr>
        <w:t>וכתב הב"י ד</w:t>
      </w:r>
      <w:r w:rsidRPr="00FD2D11">
        <w:rPr>
          <w:rFonts w:asciiTheme="minorBidi" w:hAnsiTheme="minorBidi" w:cs="Arial"/>
          <w:rtl/>
        </w:rPr>
        <w:t xml:space="preserve">משמע ודאי דאפילו בכלי ראשון דרחיצה נמי שרי ליתן חמין לתוך צונן. ומה שכתב </w:t>
      </w:r>
      <w:r>
        <w:rPr>
          <w:rFonts w:asciiTheme="minorBidi" w:hAnsiTheme="minorBidi" w:cs="Arial" w:hint="cs"/>
          <w:rtl/>
        </w:rPr>
        <w:t>"</w:t>
      </w:r>
      <w:r w:rsidRPr="00FD2D11">
        <w:rPr>
          <w:rFonts w:asciiTheme="minorBidi" w:hAnsiTheme="minorBidi" w:cs="Arial"/>
          <w:rtl/>
        </w:rPr>
        <w:t xml:space="preserve">וכן הדין בכלי ראשון </w:t>
      </w:r>
      <w:r w:rsidRPr="00C81C2F">
        <w:rPr>
          <w:rFonts w:asciiTheme="minorBidi" w:hAnsiTheme="minorBidi" w:cs="Arial"/>
          <w:b/>
          <w:bCs/>
          <w:rtl/>
        </w:rPr>
        <w:t>והוא לשתייה</w:t>
      </w:r>
      <w:r>
        <w:rPr>
          <w:rFonts w:asciiTheme="minorBidi" w:hAnsiTheme="minorBidi" w:cs="Arial" w:hint="cs"/>
          <w:rtl/>
        </w:rPr>
        <w:t>",</w:t>
      </w:r>
      <w:r w:rsidRPr="00FD2D11">
        <w:rPr>
          <w:rFonts w:asciiTheme="minorBidi" w:hAnsiTheme="minorBidi" w:cs="Arial"/>
          <w:rtl/>
        </w:rPr>
        <w:t xml:space="preserve"> לאו למימרא דדוקא בכלי ראשון דשתייה מותר לערות ממנו לתוך צוננין אבל בכלי ראשון דרחיצה לא</w:t>
      </w:r>
      <w:r>
        <w:rPr>
          <w:rFonts w:asciiTheme="minorBidi" w:hAnsiTheme="minorBidi" w:cs="Arial" w:hint="cs"/>
          <w:rtl/>
        </w:rPr>
        <w:t>,</w:t>
      </w:r>
      <w:r w:rsidRPr="00FD2D11">
        <w:rPr>
          <w:rFonts w:asciiTheme="minorBidi" w:hAnsiTheme="minorBidi" w:cs="Arial"/>
          <w:rtl/>
        </w:rPr>
        <w:t xml:space="preserve"> דהא טעמא דמשום דתתאה גבר</w:t>
      </w:r>
      <w:r>
        <w:rPr>
          <w:rFonts w:asciiTheme="minorBidi" w:hAnsiTheme="minorBidi" w:cs="Arial" w:hint="cs"/>
          <w:sz w:val="18"/>
          <w:szCs w:val="18"/>
          <w:rtl/>
        </w:rPr>
        <w:t xml:space="preserve"> </w:t>
      </w:r>
      <w:r>
        <w:rPr>
          <w:rFonts w:asciiTheme="minorBidi" w:hAnsiTheme="minorBidi" w:cs="Arial" w:hint="cs"/>
          <w:sz w:val="16"/>
          <w:szCs w:val="16"/>
          <w:rtl/>
        </w:rPr>
        <w:t>{כמ"ש הטור}</w:t>
      </w:r>
      <w:r w:rsidRPr="00FD2D11">
        <w:rPr>
          <w:rFonts w:asciiTheme="minorBidi" w:hAnsiTheme="minorBidi" w:cs="Arial"/>
          <w:rtl/>
        </w:rPr>
        <w:t xml:space="preserve"> אפילו בכלי ראשון דרחיצה נמי שרי</w:t>
      </w:r>
      <w:r>
        <w:rPr>
          <w:rFonts w:asciiTheme="minorBidi" w:hAnsiTheme="minorBidi" w:cs="Arial" w:hint="cs"/>
          <w:rtl/>
        </w:rPr>
        <w:t>.</w:t>
      </w:r>
      <w:r w:rsidRPr="00FD2D11">
        <w:rPr>
          <w:rFonts w:asciiTheme="minorBidi" w:hAnsiTheme="minorBidi" w:cs="Arial"/>
          <w:rtl/>
        </w:rPr>
        <w:t xml:space="preserve"> אלא לומר דאע"ג דלשתייה הן</w:t>
      </w:r>
      <w:r>
        <w:rPr>
          <w:rFonts w:asciiTheme="minorBidi" w:hAnsiTheme="minorBidi" w:cs="Arial" w:hint="cs"/>
          <w:rtl/>
        </w:rPr>
        <w:t>,</w:t>
      </w:r>
      <w:r w:rsidRPr="00FD2D11">
        <w:rPr>
          <w:rFonts w:asciiTheme="minorBidi" w:hAnsiTheme="minorBidi" w:cs="Arial"/>
          <w:rtl/>
        </w:rPr>
        <w:t xml:space="preserve"> שאין דרך לחממן כל כך</w:t>
      </w:r>
      <w:r>
        <w:rPr>
          <w:rFonts w:asciiTheme="minorBidi" w:hAnsiTheme="minorBidi" w:cs="Arial" w:hint="cs"/>
          <w:rtl/>
        </w:rPr>
        <w:t>,</w:t>
      </w:r>
      <w:r w:rsidRPr="00FD2D11">
        <w:rPr>
          <w:rFonts w:asciiTheme="minorBidi" w:hAnsiTheme="minorBidi" w:cs="Arial"/>
          <w:rtl/>
        </w:rPr>
        <w:t xml:space="preserve"> אפילו הכי אסור לערות צוננין לתוכו כיון דכלי ראשון הוא </w:t>
      </w:r>
      <w:r w:rsidRPr="00CA4F0E">
        <w:rPr>
          <w:rFonts w:asciiTheme="minorBidi" w:hAnsiTheme="minorBidi" w:cs="Arial" w:hint="cs"/>
          <w:sz w:val="16"/>
          <w:szCs w:val="16"/>
          <w:rtl/>
        </w:rPr>
        <w:t>(</w:t>
      </w:r>
      <w:r w:rsidRPr="00CA4F0E">
        <w:rPr>
          <w:rFonts w:asciiTheme="minorBidi" w:hAnsiTheme="minorBidi" w:cs="Arial"/>
          <w:sz w:val="16"/>
          <w:szCs w:val="16"/>
          <w:rtl/>
        </w:rPr>
        <w:t>ואיני מפרש שדעת רבינו דלא שרינן חמין לתוך צונן אלא בכלי ראשון דשתייה שאינם חמין כל כך</w:t>
      </w:r>
      <w:r w:rsidRPr="00CA4F0E">
        <w:rPr>
          <w:rFonts w:asciiTheme="minorBidi" w:hAnsiTheme="minorBidi" w:cs="Arial" w:hint="cs"/>
          <w:sz w:val="16"/>
          <w:szCs w:val="16"/>
          <w:rtl/>
        </w:rPr>
        <w:t>,</w:t>
      </w:r>
      <w:r w:rsidRPr="00CA4F0E">
        <w:rPr>
          <w:rFonts w:asciiTheme="minorBidi" w:hAnsiTheme="minorBidi" w:cs="Arial"/>
          <w:sz w:val="16"/>
          <w:szCs w:val="16"/>
          <w:rtl/>
        </w:rPr>
        <w:t xml:space="preserve"> ובהו אמרינן תתאה גבר</w:t>
      </w:r>
      <w:r w:rsidRPr="00CA4F0E">
        <w:rPr>
          <w:rFonts w:asciiTheme="minorBidi" w:hAnsiTheme="minorBidi" w:cs="Arial" w:hint="cs"/>
          <w:sz w:val="16"/>
          <w:szCs w:val="16"/>
          <w:rtl/>
        </w:rPr>
        <w:t>,</w:t>
      </w:r>
      <w:r w:rsidRPr="00CA4F0E">
        <w:rPr>
          <w:rFonts w:asciiTheme="minorBidi" w:hAnsiTheme="minorBidi" w:cs="Arial"/>
          <w:sz w:val="16"/>
          <w:szCs w:val="16"/>
          <w:rtl/>
        </w:rPr>
        <w:t xml:space="preserve"> אבל בכלי ראשון דרחיצה שהם חמין ביותר אפילו לתוך צונן אסור מפני שמרוב חומם הם מרתיחין את הצוננין אף על גב דתתאי נינהו</w:t>
      </w:r>
      <w:r w:rsidRPr="00CA4F0E">
        <w:rPr>
          <w:rFonts w:asciiTheme="minorBidi" w:hAnsiTheme="minorBidi" w:cs="Arial" w:hint="cs"/>
          <w:sz w:val="16"/>
          <w:szCs w:val="16"/>
          <w:rtl/>
        </w:rPr>
        <w:t>,</w:t>
      </w:r>
      <w:r w:rsidRPr="00CA4F0E">
        <w:rPr>
          <w:rFonts w:asciiTheme="minorBidi" w:hAnsiTheme="minorBidi" w:cs="Arial"/>
          <w:sz w:val="16"/>
          <w:szCs w:val="16"/>
          <w:rtl/>
        </w:rPr>
        <w:t xml:space="preserve"> לפי שלא מצאתי מי שכתב כן</w:t>
      </w:r>
      <w:r>
        <w:rPr>
          <w:rFonts w:asciiTheme="minorBidi" w:hAnsiTheme="minorBidi" w:cs="Arial" w:hint="cs"/>
          <w:sz w:val="16"/>
          <w:szCs w:val="16"/>
          <w:rtl/>
        </w:rPr>
        <w:t>)</w:t>
      </w:r>
      <w:r>
        <w:rPr>
          <w:rFonts w:asciiTheme="minorBidi" w:hAnsiTheme="minorBidi" w:cs="Arial" w:hint="cs"/>
          <w:rtl/>
        </w:rPr>
        <w:t xml:space="preserve">. עכ"ל </w:t>
      </w:r>
      <w:r w:rsidRPr="00CA4F0E">
        <w:rPr>
          <w:rFonts w:asciiTheme="minorBidi" w:hAnsiTheme="minorBidi" w:cs="Arial" w:hint="cs"/>
          <w:b/>
          <w:bCs/>
          <w:rtl/>
        </w:rPr>
        <w:t>הב"י</w:t>
      </w:r>
      <w:r>
        <w:rPr>
          <w:rFonts w:asciiTheme="minorBidi" w:hAnsiTheme="minorBidi" w:cs="Arial" w:hint="cs"/>
          <w:rtl/>
        </w:rPr>
        <w:t>.</w:t>
      </w:r>
      <w:r w:rsidRPr="00E61E7E">
        <w:rPr>
          <w:rFonts w:cs="Arial"/>
          <w:rtl/>
        </w:rPr>
        <w:t xml:space="preserve"> </w:t>
      </w:r>
      <w:r>
        <w:rPr>
          <w:rFonts w:cs="Arial" w:hint="cs"/>
          <w:rtl/>
        </w:rPr>
        <w:t xml:space="preserve">   אך </w:t>
      </w:r>
      <w:r w:rsidRPr="00CA4F0E">
        <w:rPr>
          <w:rFonts w:cs="Arial" w:hint="cs"/>
          <w:b/>
          <w:bCs/>
          <w:rtl/>
        </w:rPr>
        <w:t>הדרכ"מ</w:t>
      </w:r>
      <w:r>
        <w:rPr>
          <w:rFonts w:cs="Arial" w:hint="cs"/>
          <w:rtl/>
        </w:rPr>
        <w:t xml:space="preserve"> (אות </w:t>
      </w:r>
      <w:r w:rsidRPr="00E61E7E">
        <w:rPr>
          <w:rFonts w:cs="Arial"/>
          <w:rtl/>
        </w:rPr>
        <w:t>ו)</w:t>
      </w:r>
      <w:r>
        <w:rPr>
          <w:rFonts w:cs="Arial" w:hint="cs"/>
          <w:rtl/>
        </w:rPr>
        <w:t xml:space="preserve"> כתב</w:t>
      </w:r>
      <w:r w:rsidRPr="00E61E7E">
        <w:rPr>
          <w:rFonts w:cs="Arial"/>
          <w:rtl/>
        </w:rPr>
        <w:t xml:space="preserve"> </w:t>
      </w:r>
      <w:r>
        <w:rPr>
          <w:rFonts w:cs="Arial" w:hint="cs"/>
          <w:rtl/>
        </w:rPr>
        <w:t>ד</w:t>
      </w:r>
      <w:r w:rsidRPr="00E61E7E">
        <w:rPr>
          <w:rFonts w:cs="Arial"/>
          <w:rtl/>
        </w:rPr>
        <w:t xml:space="preserve">לא משמע כדבריו בגמרא ובתוספות </w:t>
      </w:r>
      <w:r>
        <w:rPr>
          <w:rFonts w:cs="Arial" w:hint="cs"/>
          <w:rtl/>
        </w:rPr>
        <w:t>(</w:t>
      </w:r>
      <w:r w:rsidRPr="00E61E7E">
        <w:rPr>
          <w:rFonts w:cs="Arial"/>
          <w:rtl/>
        </w:rPr>
        <w:t>מב</w:t>
      </w:r>
      <w:r>
        <w:rPr>
          <w:rFonts w:cs="Arial" w:hint="cs"/>
          <w:rtl/>
        </w:rPr>
        <w:t>.</w:t>
      </w:r>
      <w:r w:rsidRPr="00E61E7E">
        <w:rPr>
          <w:rFonts w:cs="Arial"/>
          <w:rtl/>
        </w:rPr>
        <w:t xml:space="preserve"> ד"ה מי סברת וד"ה נותן אדם קיתון)</w:t>
      </w:r>
      <w:r>
        <w:rPr>
          <w:rFonts w:cs="Arial" w:hint="cs"/>
          <w:rtl/>
        </w:rPr>
        <w:t>,</w:t>
      </w:r>
      <w:r w:rsidRPr="00E61E7E">
        <w:rPr>
          <w:rFonts w:cs="Arial"/>
          <w:rtl/>
        </w:rPr>
        <w:t xml:space="preserve"> דמשמע שם דבכלי ראשון לרחיצה בכל ענין אסור כרבי שמעון בן מנסיא דסבירא ליה הכי אליבא דמסקנא דשמעתין לפי פירוש התוספות שם</w:t>
      </w:r>
      <w:r>
        <w:rPr>
          <w:rFonts w:cs="Arial" w:hint="cs"/>
          <w:rtl/>
        </w:rPr>
        <w:t>.</w:t>
      </w:r>
      <w:r w:rsidRPr="00E61E7E">
        <w:rPr>
          <w:rFonts w:cs="Arial"/>
          <w:rtl/>
        </w:rPr>
        <w:t xml:space="preserve"> ואע</w:t>
      </w:r>
      <w:r>
        <w:rPr>
          <w:rFonts w:cs="Arial" w:hint="cs"/>
          <w:rtl/>
        </w:rPr>
        <w:t>"</w:t>
      </w:r>
      <w:r w:rsidRPr="00E61E7E">
        <w:rPr>
          <w:rFonts w:cs="Arial"/>
          <w:rtl/>
        </w:rPr>
        <w:t>ג דלדעת הרי"ף והרא"ש דפסקו דלא כרבי שמעון שרי</w:t>
      </w:r>
      <w:r>
        <w:rPr>
          <w:rFonts w:cs="Arial" w:hint="cs"/>
          <w:rtl/>
        </w:rPr>
        <w:t>,</w:t>
      </w:r>
      <w:r w:rsidRPr="00E61E7E">
        <w:rPr>
          <w:rFonts w:cs="Arial"/>
          <w:rtl/>
        </w:rPr>
        <w:t xml:space="preserve"> דעת הטור כדעת התוספות כרבי שמעון</w:t>
      </w:r>
      <w:r>
        <w:rPr>
          <w:rFonts w:cs="Arial" w:hint="cs"/>
          <w:rtl/>
        </w:rPr>
        <w:t>.</w:t>
      </w:r>
      <w:r w:rsidRPr="00E61E7E">
        <w:rPr>
          <w:rFonts w:cs="Arial"/>
          <w:rtl/>
        </w:rPr>
        <w:t xml:space="preserve"> ואז דברי הטור מבוארים כדמוכח התם מדברי התוספות</w:t>
      </w:r>
      <w:r>
        <w:rPr>
          <w:rFonts w:cs="Arial" w:hint="cs"/>
          <w:rtl/>
        </w:rPr>
        <w:t>.</w:t>
      </w:r>
      <w:r w:rsidRPr="00E61E7E">
        <w:rPr>
          <w:rFonts w:cs="Arial"/>
          <w:rtl/>
        </w:rPr>
        <w:t xml:space="preserve"> והאריך הר"ן (כ. ד"ה והוי יודע) בדבריהם. עיין שם</w:t>
      </w:r>
      <w:r>
        <w:rPr>
          <w:rFonts w:cs="Arial" w:hint="cs"/>
          <w:rtl/>
        </w:rPr>
        <w:t>.</w:t>
      </w:r>
    </w:p>
  </w:footnote>
  <w:footnote w:id="2817">
    <w:p w14:paraId="5F57FAFD" w14:textId="3AB3F07E" w:rsidR="00977B16" w:rsidRDefault="00977B16">
      <w:pPr>
        <w:pStyle w:val="a7"/>
      </w:pPr>
      <w:r>
        <w:rPr>
          <w:rStyle w:val="a9"/>
        </w:rPr>
        <w:footnoteRef/>
      </w:r>
      <w:r>
        <w:rPr>
          <w:rtl/>
        </w:rPr>
        <w:t xml:space="preserve"> </w:t>
      </w:r>
      <w:r>
        <w:rPr>
          <w:rFonts w:asciiTheme="minorBidi" w:hAnsiTheme="minorBidi" w:cs="Arial" w:hint="cs"/>
          <w:rtl/>
        </w:rPr>
        <w:t xml:space="preserve">כן </w:t>
      </w:r>
      <w:r w:rsidRPr="00DD3262">
        <w:rPr>
          <w:rFonts w:asciiTheme="minorBidi" w:hAnsiTheme="minorBidi" w:cs="Arial"/>
          <w:rtl/>
        </w:rPr>
        <w:t>כתבו התוספות (ד"ה נותן אדם חמין)</w:t>
      </w:r>
      <w:r>
        <w:rPr>
          <w:rFonts w:asciiTheme="minorBidi" w:hAnsiTheme="minorBidi" w:cs="Arial" w:hint="cs"/>
          <w:rtl/>
        </w:rPr>
        <w:t>...</w:t>
      </w:r>
      <w:r w:rsidRPr="00DD3262">
        <w:rPr>
          <w:rFonts w:asciiTheme="minorBidi" w:hAnsiTheme="minorBidi" w:cs="Arial"/>
          <w:rtl/>
        </w:rPr>
        <w:t xml:space="preserve"> וכן נראה מדברי רש"י דחמין לתוך צונן אפילו בכלי ראשון שרי</w:t>
      </w:r>
      <w:r>
        <w:rPr>
          <w:rFonts w:asciiTheme="minorBidi" w:hAnsiTheme="minorBidi" w:cs="Arial" w:hint="cs"/>
          <w:rtl/>
        </w:rPr>
        <w:t>, ב"י.</w:t>
      </w:r>
    </w:p>
  </w:footnote>
  <w:footnote w:id="2818">
    <w:p w14:paraId="44F5355E" w14:textId="0CB2F7FD" w:rsidR="006E6827" w:rsidRDefault="006E6827">
      <w:pPr>
        <w:pStyle w:val="a7"/>
      </w:pPr>
      <w:r>
        <w:rPr>
          <w:rStyle w:val="a9"/>
        </w:rPr>
        <w:footnoteRef/>
      </w:r>
      <w:r>
        <w:rPr>
          <w:rtl/>
        </w:rPr>
        <w:t xml:space="preserve"> </w:t>
      </w:r>
      <w:r>
        <w:rPr>
          <w:rFonts w:hint="cs"/>
          <w:rtl/>
        </w:rPr>
        <w:t>לערות מים צוננים לתוך כוס של שתיה אפילו היא כלי ראשון</w:t>
      </w:r>
      <w:r w:rsidR="00A60953">
        <w:rPr>
          <w:rFonts w:hint="cs"/>
          <w:sz w:val="16"/>
          <w:szCs w:val="16"/>
          <w:rtl/>
        </w:rPr>
        <w:t xml:space="preserve"> (אבל לא לתוך ספל או אמבטי כשהם כלי ראשון</w:t>
      </w:r>
      <w:r w:rsidR="00520C1F">
        <w:rPr>
          <w:rFonts w:hint="cs"/>
          <w:sz w:val="16"/>
          <w:szCs w:val="16"/>
          <w:rtl/>
        </w:rPr>
        <w:t>, כדלקמן</w:t>
      </w:r>
      <w:r w:rsidR="00A60953">
        <w:rPr>
          <w:rFonts w:hint="cs"/>
          <w:sz w:val="16"/>
          <w:szCs w:val="16"/>
          <w:rtl/>
        </w:rPr>
        <w:t>)</w:t>
      </w:r>
      <w:r w:rsidR="00977B16">
        <w:rPr>
          <w:rFonts w:hint="cs"/>
          <w:rtl/>
        </w:rPr>
        <w:t xml:space="preserve">. </w:t>
      </w:r>
      <w:r w:rsidR="00B4428E">
        <w:rPr>
          <w:rFonts w:hint="cs"/>
          <w:rtl/>
        </w:rPr>
        <w:t xml:space="preserve">והוא נלמד </w:t>
      </w:r>
      <w:r w:rsidR="00977B16" w:rsidRPr="00DD3262">
        <w:rPr>
          <w:rFonts w:asciiTheme="minorBidi" w:hAnsiTheme="minorBidi" w:cs="Arial"/>
          <w:rtl/>
        </w:rPr>
        <w:t xml:space="preserve">ממה שנתבאר בסמוך </w:t>
      </w:r>
      <w:r w:rsidR="00B4428E">
        <w:rPr>
          <w:rFonts w:asciiTheme="minorBidi" w:hAnsiTheme="minorBidi" w:cs="Arial" w:hint="cs"/>
          <w:rtl/>
        </w:rPr>
        <w:t xml:space="preserve">לגבי </w:t>
      </w:r>
      <w:r w:rsidR="00977B16" w:rsidRPr="00DD3262">
        <w:rPr>
          <w:rFonts w:asciiTheme="minorBidi" w:hAnsiTheme="minorBidi" w:cs="Arial"/>
          <w:rtl/>
        </w:rPr>
        <w:t>מיחם שפינהו ויש בו מים חמין לא יתן לתוכו מים מועטין בשביל שיחמו אבל נותן לתוכו מים מרובין כדי להפשירן</w:t>
      </w:r>
      <w:r w:rsidR="00B4428E">
        <w:rPr>
          <w:rFonts w:hint="cs"/>
          <w:rtl/>
        </w:rPr>
        <w:t xml:space="preserve">. </w:t>
      </w:r>
      <w:r w:rsidR="00A60953">
        <w:rPr>
          <w:rFonts w:hint="cs"/>
          <w:rtl/>
        </w:rPr>
        <w:t xml:space="preserve"> </w:t>
      </w:r>
    </w:p>
  </w:footnote>
  <w:footnote w:id="2819">
    <w:p w14:paraId="766E30EC" w14:textId="11F2CB8D" w:rsidR="00AC62EE" w:rsidRDefault="00AC62EE">
      <w:pPr>
        <w:pStyle w:val="a7"/>
      </w:pPr>
      <w:r>
        <w:rPr>
          <w:rStyle w:val="a9"/>
        </w:rPr>
        <w:footnoteRef/>
      </w:r>
      <w:r>
        <w:rPr>
          <w:rtl/>
        </w:rPr>
        <w:t xml:space="preserve"> </w:t>
      </w:r>
      <w:r w:rsidRPr="00DD3262">
        <w:rPr>
          <w:rFonts w:asciiTheme="minorBidi" w:hAnsiTheme="minorBidi" w:cs="Arial"/>
          <w:rtl/>
        </w:rPr>
        <w:t xml:space="preserve">מה שכתב רבינו אבל ספל שיש בו מים חמין לרחיצה אסור ליתן בהם צוננים וכו' </w:t>
      </w:r>
      <w:r w:rsidR="00577816">
        <w:rPr>
          <w:rFonts w:asciiTheme="minorBidi" w:hAnsiTheme="minorBidi" w:cs="Arial" w:hint="cs"/>
          <w:rtl/>
        </w:rPr>
        <w:t xml:space="preserve">- </w:t>
      </w:r>
      <w:r w:rsidRPr="00DD3262">
        <w:rPr>
          <w:rFonts w:asciiTheme="minorBidi" w:hAnsiTheme="minorBidi" w:cs="Arial"/>
          <w:rtl/>
        </w:rPr>
        <w:t>קשה בעיני</w:t>
      </w:r>
      <w:r w:rsidR="00577816">
        <w:rPr>
          <w:rFonts w:asciiTheme="minorBidi" w:hAnsiTheme="minorBidi" w:cs="Arial" w:hint="cs"/>
          <w:rtl/>
        </w:rPr>
        <w:t>,</w:t>
      </w:r>
      <w:r w:rsidRPr="00DD3262">
        <w:rPr>
          <w:rFonts w:asciiTheme="minorBidi" w:hAnsiTheme="minorBidi" w:cs="Arial"/>
          <w:rtl/>
        </w:rPr>
        <w:t xml:space="preserve"> דהא רב יוסף הוא דהוה סבר למימר הכי עד דאמר ליה אביי תני רבי חייא ספל אינו כאמבטי</w:t>
      </w:r>
      <w:r w:rsidR="00577816">
        <w:rPr>
          <w:rFonts w:asciiTheme="minorBidi" w:hAnsiTheme="minorBidi" w:cs="Arial" w:hint="cs"/>
          <w:rtl/>
        </w:rPr>
        <w:t>,</w:t>
      </w:r>
      <w:r w:rsidRPr="00DD3262">
        <w:rPr>
          <w:rFonts w:asciiTheme="minorBidi" w:hAnsiTheme="minorBidi" w:cs="Arial"/>
          <w:rtl/>
        </w:rPr>
        <w:t xml:space="preserve"> ומשמע דאז הדר רב יוסף מסברתו</w:t>
      </w:r>
      <w:r w:rsidR="00577816">
        <w:rPr>
          <w:rFonts w:asciiTheme="minorBidi" w:hAnsiTheme="minorBidi" w:cs="Arial" w:hint="cs"/>
          <w:rtl/>
        </w:rPr>
        <w:t>,</w:t>
      </w:r>
      <w:r w:rsidRPr="00DD3262">
        <w:rPr>
          <w:rFonts w:asciiTheme="minorBidi" w:hAnsiTheme="minorBidi" w:cs="Arial"/>
          <w:rtl/>
        </w:rPr>
        <w:t xml:space="preserve"> וכן כתב הרא"ש (שם)</w:t>
      </w:r>
      <w:r w:rsidR="00577816">
        <w:rPr>
          <w:rFonts w:asciiTheme="minorBidi" w:hAnsiTheme="minorBidi" w:cs="Arial" w:hint="cs"/>
          <w:rtl/>
        </w:rPr>
        <w:t>.</w:t>
      </w:r>
      <w:r w:rsidRPr="00DD3262">
        <w:rPr>
          <w:rFonts w:asciiTheme="minorBidi" w:hAnsiTheme="minorBidi" w:cs="Arial"/>
          <w:rtl/>
        </w:rPr>
        <w:t xml:space="preserve"> וא"כ היאך פסק רבינו כמאי דהוה סלקא דעתיה מעיקרא</w:t>
      </w:r>
      <w:r w:rsidR="00577816">
        <w:rPr>
          <w:rFonts w:asciiTheme="minorBidi" w:hAnsiTheme="minorBidi" w:cs="Arial" w:hint="cs"/>
          <w:rtl/>
        </w:rPr>
        <w:t>,</w:t>
      </w:r>
      <w:r w:rsidRPr="00DD3262">
        <w:rPr>
          <w:rFonts w:asciiTheme="minorBidi" w:hAnsiTheme="minorBidi" w:cs="Arial"/>
          <w:rtl/>
        </w:rPr>
        <w:t xml:space="preserve"> ושבק מאי דסבירא ליה לפום קושטא. ומצאתי שכתבו התוספות (ד"ה אבל) דהאי אמבטי איירי כגון שהוא כלי שני</w:t>
      </w:r>
      <w:r w:rsidR="00577816">
        <w:rPr>
          <w:rFonts w:asciiTheme="minorBidi" w:hAnsiTheme="minorBidi" w:cs="Arial" w:hint="cs"/>
          <w:rtl/>
        </w:rPr>
        <w:t>,</w:t>
      </w:r>
      <w:r w:rsidRPr="00DD3262">
        <w:rPr>
          <w:rFonts w:asciiTheme="minorBidi" w:hAnsiTheme="minorBidi" w:cs="Arial"/>
          <w:rtl/>
        </w:rPr>
        <w:t xml:space="preserve"> ואתא לאפלוגי בכלי שני בין כוס שהוא לשתייה לאמבטי לפי שחמין הרבה ואיכא למיגזר דהרואה אותן חמין כל כך סבור דכלי ראשון הוא</w:t>
      </w:r>
      <w:r w:rsidR="00577816">
        <w:rPr>
          <w:rFonts w:asciiTheme="minorBidi" w:hAnsiTheme="minorBidi" w:cs="Arial" w:hint="cs"/>
          <w:rtl/>
        </w:rPr>
        <w:t>,</w:t>
      </w:r>
      <w:r w:rsidRPr="00DD3262">
        <w:rPr>
          <w:rFonts w:asciiTheme="minorBidi" w:hAnsiTheme="minorBidi" w:cs="Arial"/>
          <w:rtl/>
        </w:rPr>
        <w:t xml:space="preserve"> וכתבו דספל ג"כ הוא כלי שני. ולפי דבריהם צריך לומר שאע</w:t>
      </w:r>
      <w:r w:rsidR="00577816">
        <w:rPr>
          <w:rFonts w:asciiTheme="minorBidi" w:hAnsiTheme="minorBidi" w:cs="Arial" w:hint="cs"/>
          <w:rtl/>
        </w:rPr>
        <w:t>"</w:t>
      </w:r>
      <w:r w:rsidRPr="00DD3262">
        <w:rPr>
          <w:rFonts w:asciiTheme="minorBidi" w:hAnsiTheme="minorBidi" w:cs="Arial"/>
          <w:rtl/>
        </w:rPr>
        <w:t>פ שאמבטי וספל שניהם כלי שני הם</w:t>
      </w:r>
      <w:r w:rsidR="00577816">
        <w:rPr>
          <w:rFonts w:asciiTheme="minorBidi" w:hAnsiTheme="minorBidi" w:cs="Arial" w:hint="cs"/>
          <w:rtl/>
        </w:rPr>
        <w:t>,</w:t>
      </w:r>
      <w:r w:rsidRPr="00DD3262">
        <w:rPr>
          <w:rFonts w:asciiTheme="minorBidi" w:hAnsiTheme="minorBidi" w:cs="Arial"/>
          <w:rtl/>
        </w:rPr>
        <w:t xml:space="preserve"> האמבטי משמר חומו יותר מספל</w:t>
      </w:r>
      <w:r w:rsidR="00577816">
        <w:rPr>
          <w:rFonts w:asciiTheme="minorBidi" w:hAnsiTheme="minorBidi" w:cs="Arial" w:hint="cs"/>
          <w:rtl/>
        </w:rPr>
        <w:t>,</w:t>
      </w:r>
      <w:r w:rsidRPr="00DD3262">
        <w:rPr>
          <w:rFonts w:asciiTheme="minorBidi" w:hAnsiTheme="minorBidi" w:cs="Arial"/>
          <w:rtl/>
        </w:rPr>
        <w:t xml:space="preserve"> ומשום הכי אמרו ספל אינו כאמבטי. ועל פי פירוש זה יש ליישב דברי רבינו דאפשר שהוא מפרש דאמבטי הוא עשוי לרחיצה ומפרש שהוא כלי שני כדברי התוספות ואפילו הכי אסור</w:t>
      </w:r>
      <w:r>
        <w:rPr>
          <w:rFonts w:asciiTheme="minorBidi" w:hAnsiTheme="minorBidi" w:cs="Arial" w:hint="cs"/>
          <w:rtl/>
        </w:rPr>
        <w:t>,</w:t>
      </w:r>
      <w:r w:rsidRPr="00DD3262">
        <w:rPr>
          <w:rFonts w:asciiTheme="minorBidi" w:hAnsiTheme="minorBidi" w:cs="Arial"/>
          <w:rtl/>
        </w:rPr>
        <w:t xml:space="preserve"> ולא מפני שהרואה אותם חמין כל כך יסבור שהוא כלי ראשון כדבריהם אלא מפני שכיון שהם לרחיצה סתמן חמין הרבה ומתבשלין הצוננין שמתערבין עמהם</w:t>
      </w:r>
      <w:r>
        <w:rPr>
          <w:rFonts w:asciiTheme="minorBidi" w:hAnsiTheme="minorBidi" w:cs="Arial" w:hint="cs"/>
          <w:rtl/>
        </w:rPr>
        <w:t>.</w:t>
      </w:r>
      <w:r w:rsidRPr="00DD3262">
        <w:rPr>
          <w:rFonts w:asciiTheme="minorBidi" w:hAnsiTheme="minorBidi" w:cs="Arial"/>
          <w:rtl/>
        </w:rPr>
        <w:t xml:space="preserve"> וספל הוא ג"כ כלי שני העשוי לרחיצה אלא שאינו משמר חומו כל כך כמו אמבטי</w:t>
      </w:r>
      <w:r>
        <w:rPr>
          <w:rFonts w:asciiTheme="minorBidi" w:hAnsiTheme="minorBidi" w:cs="Arial" w:hint="cs"/>
          <w:rtl/>
        </w:rPr>
        <w:t>,</w:t>
      </w:r>
      <w:r w:rsidRPr="00DD3262">
        <w:rPr>
          <w:rFonts w:asciiTheme="minorBidi" w:hAnsiTheme="minorBidi" w:cs="Arial"/>
          <w:rtl/>
        </w:rPr>
        <w:t xml:space="preserve"> ומשום הכי אמרו שאין דינו כאמבטי</w:t>
      </w:r>
      <w:r>
        <w:rPr>
          <w:rFonts w:asciiTheme="minorBidi" w:hAnsiTheme="minorBidi" w:cs="Arial" w:hint="cs"/>
          <w:rtl/>
        </w:rPr>
        <w:t>.</w:t>
      </w:r>
      <w:r w:rsidRPr="00DD3262">
        <w:rPr>
          <w:rFonts w:asciiTheme="minorBidi" w:hAnsiTheme="minorBidi" w:cs="Arial"/>
          <w:rtl/>
        </w:rPr>
        <w:t xml:space="preserve"> ומפני שאין ידוע לנו תמונת כלים אלו יש לנו לאסור בכל כלי שני העשוי לרחיצה</w:t>
      </w:r>
      <w:r>
        <w:rPr>
          <w:rFonts w:asciiTheme="minorBidi" w:hAnsiTheme="minorBidi" w:cs="Arial" w:hint="cs"/>
          <w:rtl/>
        </w:rPr>
        <w:t>,</w:t>
      </w:r>
      <w:r w:rsidRPr="00DD3262">
        <w:rPr>
          <w:rFonts w:asciiTheme="minorBidi" w:hAnsiTheme="minorBidi" w:cs="Arial"/>
          <w:rtl/>
        </w:rPr>
        <w:t xml:space="preserve"> ולכן כתב רבינו לאסור אפילו בספל</w:t>
      </w:r>
      <w:r>
        <w:rPr>
          <w:rFonts w:asciiTheme="minorBidi" w:hAnsiTheme="minorBidi" w:cs="Arial" w:hint="cs"/>
          <w:rtl/>
        </w:rPr>
        <w:t>,</w:t>
      </w:r>
      <w:r w:rsidRPr="00DD3262">
        <w:rPr>
          <w:rFonts w:asciiTheme="minorBidi" w:hAnsiTheme="minorBidi" w:cs="Arial"/>
          <w:rtl/>
        </w:rPr>
        <w:t xml:space="preserve"> דאנן לא מפלגינן בין אמבטי לספל דבתרווייהו אסרינן.</w:t>
      </w:r>
      <w:r>
        <w:rPr>
          <w:rFonts w:asciiTheme="minorBidi" w:hAnsiTheme="minorBidi" w:cs="Arial" w:hint="cs"/>
          <w:rtl/>
        </w:rPr>
        <w:t xml:space="preserve"> </w:t>
      </w:r>
      <w:r w:rsidR="00AA3408" w:rsidRPr="00AA3408">
        <w:rPr>
          <w:rFonts w:asciiTheme="minorBidi" w:hAnsiTheme="minorBidi" w:cs="Arial" w:hint="cs"/>
          <w:sz w:val="16"/>
          <w:szCs w:val="16"/>
          <w:rtl/>
        </w:rPr>
        <w:t>(</w:t>
      </w:r>
      <w:r w:rsidRPr="00AA3408">
        <w:rPr>
          <w:rFonts w:asciiTheme="minorBidi" w:hAnsiTheme="minorBidi" w:cs="Arial"/>
          <w:sz w:val="16"/>
          <w:szCs w:val="16"/>
          <w:rtl/>
        </w:rPr>
        <w:t>ועוד יש לומר דסבירא ליה לרבינו דכיון דאמבטי דברייתא הוי כלי שני</w:t>
      </w:r>
      <w:r w:rsidRPr="00AA3408">
        <w:rPr>
          <w:rFonts w:asciiTheme="minorBidi" w:hAnsiTheme="minorBidi" w:cs="Arial" w:hint="cs"/>
          <w:sz w:val="16"/>
          <w:szCs w:val="16"/>
          <w:rtl/>
        </w:rPr>
        <w:t>,</w:t>
      </w:r>
      <w:r w:rsidRPr="00AA3408">
        <w:rPr>
          <w:rFonts w:asciiTheme="minorBidi" w:hAnsiTheme="minorBidi" w:cs="Arial"/>
          <w:sz w:val="16"/>
          <w:szCs w:val="16"/>
          <w:rtl/>
        </w:rPr>
        <w:t xml:space="preserve"> א"כ ספל דשרי בגמרא הוי כלי שלישי</w:t>
      </w:r>
      <w:r w:rsidRPr="00AA3408">
        <w:rPr>
          <w:rFonts w:asciiTheme="minorBidi" w:hAnsiTheme="minorBidi" w:cs="Arial" w:hint="cs"/>
          <w:sz w:val="16"/>
          <w:szCs w:val="16"/>
          <w:rtl/>
        </w:rPr>
        <w:t>,</w:t>
      </w:r>
      <w:r w:rsidRPr="00AA3408">
        <w:rPr>
          <w:rFonts w:asciiTheme="minorBidi" w:hAnsiTheme="minorBidi" w:cs="Arial"/>
          <w:sz w:val="16"/>
          <w:szCs w:val="16"/>
          <w:rtl/>
        </w:rPr>
        <w:t xml:space="preserve"> ורב יוסף הוה סבר למיגזר כלי שלישי אטו כלי שני</w:t>
      </w:r>
      <w:r w:rsidRPr="00AA3408">
        <w:rPr>
          <w:rFonts w:asciiTheme="minorBidi" w:hAnsiTheme="minorBidi" w:cs="Arial" w:hint="cs"/>
          <w:sz w:val="16"/>
          <w:szCs w:val="16"/>
          <w:rtl/>
        </w:rPr>
        <w:t>,</w:t>
      </w:r>
      <w:r w:rsidRPr="00AA3408">
        <w:rPr>
          <w:rFonts w:asciiTheme="minorBidi" w:hAnsiTheme="minorBidi" w:cs="Arial"/>
          <w:sz w:val="16"/>
          <w:szCs w:val="16"/>
          <w:rtl/>
        </w:rPr>
        <w:t xml:space="preserve"> ואהדריה אביי מדתני רבי חייא</w:t>
      </w:r>
      <w:r w:rsidRPr="00AA3408">
        <w:rPr>
          <w:rFonts w:asciiTheme="minorBidi" w:hAnsiTheme="minorBidi" w:cs="Arial" w:hint="cs"/>
          <w:sz w:val="16"/>
          <w:szCs w:val="16"/>
          <w:rtl/>
        </w:rPr>
        <w:t>,</w:t>
      </w:r>
      <w:r w:rsidRPr="00AA3408">
        <w:rPr>
          <w:rFonts w:asciiTheme="minorBidi" w:hAnsiTheme="minorBidi" w:cs="Arial"/>
          <w:sz w:val="16"/>
          <w:szCs w:val="16"/>
          <w:rtl/>
        </w:rPr>
        <w:t xml:space="preserve"> וכיון שביאר רבינו וכתב אפילו הוא כלי שני תו ליכא למיטעי בספל דנקט דהא פשיטא דלא אסר אלא בכלי שני ולא בשלישי ומשום הכי לא דק ותני ספל במקום אמבטי.</w:t>
      </w:r>
      <w:r w:rsidR="00AA3408">
        <w:rPr>
          <w:rFonts w:asciiTheme="minorBidi" w:hAnsiTheme="minorBidi" w:cs="Arial" w:hint="cs"/>
          <w:sz w:val="16"/>
          <w:szCs w:val="16"/>
          <w:rtl/>
        </w:rPr>
        <w:t xml:space="preserve">   </w:t>
      </w:r>
      <w:r w:rsidRPr="00AA3408">
        <w:rPr>
          <w:rFonts w:asciiTheme="minorBidi" w:hAnsiTheme="minorBidi" w:cs="Arial"/>
          <w:sz w:val="16"/>
          <w:szCs w:val="16"/>
          <w:rtl/>
        </w:rPr>
        <w:t xml:space="preserve"> אבל ברמזים (קיצור פסקי הרא"ש שם) כתב וז</w:t>
      </w:r>
      <w:r w:rsidRPr="00AA3408">
        <w:rPr>
          <w:rFonts w:asciiTheme="minorBidi" w:hAnsiTheme="minorBidi" w:cs="Arial" w:hint="cs"/>
          <w:sz w:val="16"/>
          <w:szCs w:val="16"/>
          <w:rtl/>
        </w:rPr>
        <w:t xml:space="preserve">"ל- </w:t>
      </w:r>
      <w:r w:rsidRPr="00AA3408">
        <w:rPr>
          <w:rFonts w:asciiTheme="minorBidi" w:hAnsiTheme="minorBidi" w:cs="Arial"/>
          <w:sz w:val="16"/>
          <w:szCs w:val="16"/>
          <w:rtl/>
        </w:rPr>
        <w:t>נותן אדם בכוס בין מים חמין לתוך צונן בין צונן לתוך חמין</w:t>
      </w:r>
      <w:r w:rsidRPr="00AA3408">
        <w:rPr>
          <w:rFonts w:asciiTheme="minorBidi" w:hAnsiTheme="minorBidi" w:cs="Arial" w:hint="cs"/>
          <w:sz w:val="16"/>
          <w:szCs w:val="16"/>
          <w:rtl/>
        </w:rPr>
        <w:t>,</w:t>
      </w:r>
      <w:r w:rsidRPr="00AA3408">
        <w:rPr>
          <w:rFonts w:asciiTheme="minorBidi" w:hAnsiTheme="minorBidi" w:cs="Arial"/>
          <w:sz w:val="16"/>
          <w:szCs w:val="16"/>
          <w:rtl/>
        </w:rPr>
        <w:t xml:space="preserve"> ובאמבטי חמין לתוך צונן ולא צונן לתוך חמין</w:t>
      </w:r>
      <w:r w:rsidRPr="00AA3408">
        <w:rPr>
          <w:rFonts w:asciiTheme="minorBidi" w:hAnsiTheme="minorBidi" w:cs="Arial" w:hint="cs"/>
          <w:sz w:val="16"/>
          <w:szCs w:val="16"/>
          <w:rtl/>
        </w:rPr>
        <w:t>,</w:t>
      </w:r>
      <w:r w:rsidRPr="00AA3408">
        <w:rPr>
          <w:rFonts w:asciiTheme="minorBidi" w:hAnsiTheme="minorBidi" w:cs="Arial"/>
          <w:sz w:val="16"/>
          <w:szCs w:val="16"/>
          <w:rtl/>
        </w:rPr>
        <w:t xml:space="preserve"> וספל דינו כאמבטי עכ"ל</w:t>
      </w:r>
      <w:r w:rsidRPr="00AA3408">
        <w:rPr>
          <w:rFonts w:asciiTheme="minorBidi" w:hAnsiTheme="minorBidi" w:cs="Arial" w:hint="cs"/>
          <w:sz w:val="16"/>
          <w:szCs w:val="16"/>
          <w:rtl/>
        </w:rPr>
        <w:t>.</w:t>
      </w:r>
      <w:r w:rsidRPr="00AA3408">
        <w:rPr>
          <w:rFonts w:asciiTheme="minorBidi" w:hAnsiTheme="minorBidi" w:cs="Arial"/>
          <w:sz w:val="16"/>
          <w:szCs w:val="16"/>
          <w:rtl/>
        </w:rPr>
        <w:t xml:space="preserve"> </w:t>
      </w:r>
      <w:bookmarkStart w:id="15" w:name="_Hlk109810815"/>
      <w:r w:rsidRPr="00AA3408">
        <w:rPr>
          <w:rFonts w:asciiTheme="minorBidi" w:hAnsiTheme="minorBidi" w:cs="Arial"/>
          <w:sz w:val="16"/>
          <w:szCs w:val="16"/>
          <w:rtl/>
        </w:rPr>
        <w:t>ושם אי אפשר לפרש כמו שפירשתי כאן</w:t>
      </w:r>
      <w:r w:rsidRPr="00AA3408">
        <w:rPr>
          <w:rFonts w:asciiTheme="minorBidi" w:hAnsiTheme="minorBidi" w:cs="Arial" w:hint="cs"/>
          <w:sz w:val="16"/>
          <w:szCs w:val="16"/>
          <w:rtl/>
        </w:rPr>
        <w:t>,</w:t>
      </w:r>
      <w:r w:rsidRPr="00AA3408">
        <w:rPr>
          <w:rFonts w:asciiTheme="minorBidi" w:hAnsiTheme="minorBidi" w:cs="Arial"/>
          <w:sz w:val="16"/>
          <w:szCs w:val="16"/>
          <w:rtl/>
        </w:rPr>
        <w:t xml:space="preserve"> דברמזים אינו מסדר לשון מעצמו אלא דברי הרא"ש מקצר והולך</w:t>
      </w:r>
      <w:r w:rsidRPr="00AA3408">
        <w:rPr>
          <w:rFonts w:asciiTheme="minorBidi" w:hAnsiTheme="minorBidi" w:cs="Arial" w:hint="cs"/>
          <w:sz w:val="16"/>
          <w:szCs w:val="16"/>
          <w:rtl/>
        </w:rPr>
        <w:t>,</w:t>
      </w:r>
      <w:r w:rsidRPr="00AA3408">
        <w:rPr>
          <w:rFonts w:asciiTheme="minorBidi" w:hAnsiTheme="minorBidi" w:cs="Arial"/>
          <w:sz w:val="16"/>
          <w:szCs w:val="16"/>
          <w:rtl/>
        </w:rPr>
        <w:t xml:space="preserve"> וספל הנזכר בדברי הרא"ש קאמר דדינו כאמבטי</w:t>
      </w:r>
      <w:r w:rsidRPr="00AA3408">
        <w:rPr>
          <w:rFonts w:asciiTheme="minorBidi" w:hAnsiTheme="minorBidi" w:cs="Arial" w:hint="cs"/>
          <w:sz w:val="16"/>
          <w:szCs w:val="16"/>
          <w:rtl/>
        </w:rPr>
        <w:t>,</w:t>
      </w:r>
      <w:r w:rsidRPr="00AA3408">
        <w:rPr>
          <w:rFonts w:asciiTheme="minorBidi" w:hAnsiTheme="minorBidi" w:cs="Arial"/>
          <w:sz w:val="16"/>
          <w:szCs w:val="16"/>
          <w:rtl/>
        </w:rPr>
        <w:t xml:space="preserve"> והוא היפך ממה שאמרו בגמרא וממה שכתב הרא"ש</w:t>
      </w:r>
      <w:bookmarkEnd w:id="15"/>
      <w:r w:rsidRPr="00AA3408">
        <w:rPr>
          <w:rFonts w:asciiTheme="minorBidi" w:hAnsiTheme="minorBidi" w:cs="Arial"/>
          <w:sz w:val="16"/>
          <w:szCs w:val="16"/>
          <w:rtl/>
        </w:rPr>
        <w:t xml:space="preserve">. ואפשר שצריך להגיה שם </w:t>
      </w:r>
      <w:r w:rsidRPr="00AA3408">
        <w:rPr>
          <w:rFonts w:asciiTheme="minorBidi" w:hAnsiTheme="minorBidi" w:cs="Arial" w:hint="cs"/>
          <w:sz w:val="16"/>
          <w:szCs w:val="16"/>
          <w:rtl/>
        </w:rPr>
        <w:t>"</w:t>
      </w:r>
      <w:r w:rsidRPr="00AA3408">
        <w:rPr>
          <w:rFonts w:asciiTheme="minorBidi" w:hAnsiTheme="minorBidi" w:cs="Arial"/>
          <w:sz w:val="16"/>
          <w:szCs w:val="16"/>
          <w:rtl/>
        </w:rPr>
        <w:t>אינו כאמבטי</w:t>
      </w:r>
      <w:r w:rsidRPr="00AA3408">
        <w:rPr>
          <w:rFonts w:asciiTheme="minorBidi" w:hAnsiTheme="minorBidi" w:cs="Arial" w:hint="cs"/>
          <w:sz w:val="16"/>
          <w:szCs w:val="16"/>
          <w:rtl/>
        </w:rPr>
        <w:t>"</w:t>
      </w:r>
      <w:r w:rsidRPr="00AA3408">
        <w:rPr>
          <w:rFonts w:asciiTheme="minorBidi" w:hAnsiTheme="minorBidi" w:cs="Arial"/>
          <w:sz w:val="16"/>
          <w:szCs w:val="16"/>
          <w:rtl/>
        </w:rPr>
        <w:t xml:space="preserve"> כי הסופר טעה בין אינו לדינו</w:t>
      </w:r>
      <w:r w:rsidR="00AA3408">
        <w:rPr>
          <w:rFonts w:asciiTheme="minorBidi" w:hAnsiTheme="minorBidi" w:cs="Arial" w:hint="cs"/>
          <w:sz w:val="16"/>
          <w:szCs w:val="16"/>
          <w:rtl/>
        </w:rPr>
        <w:t>)</w:t>
      </w:r>
      <w:r>
        <w:rPr>
          <w:rFonts w:asciiTheme="minorBidi" w:hAnsiTheme="minorBidi" w:cs="Arial" w:hint="cs"/>
          <w:rtl/>
        </w:rPr>
        <w:t>, ב"י.</w:t>
      </w:r>
    </w:p>
  </w:footnote>
  <w:footnote w:id="2820">
    <w:p w14:paraId="3150F6D3" w14:textId="647F9893" w:rsidR="007B7CF5" w:rsidRPr="007B7CF5" w:rsidRDefault="007B7CF5" w:rsidP="007B7CF5">
      <w:pPr>
        <w:pStyle w:val="a7"/>
        <w:rPr>
          <w:rFonts w:cs="Arial"/>
        </w:rPr>
      </w:pPr>
      <w:r>
        <w:rPr>
          <w:rStyle w:val="a9"/>
        </w:rPr>
        <w:footnoteRef/>
      </w:r>
      <w:r>
        <w:rPr>
          <w:rtl/>
        </w:rPr>
        <w:t xml:space="preserve"> </w:t>
      </w:r>
      <w:r w:rsidRPr="007B7CF5">
        <w:rPr>
          <w:rFonts w:cs="Arial"/>
          <w:rtl/>
        </w:rPr>
        <w:t>ולפי דבריהם צריך לומר שאע</w:t>
      </w:r>
      <w:r>
        <w:rPr>
          <w:rFonts w:cs="Arial" w:hint="cs"/>
          <w:rtl/>
        </w:rPr>
        <w:t>"</w:t>
      </w:r>
      <w:r w:rsidRPr="007B7CF5">
        <w:rPr>
          <w:rFonts w:cs="Arial"/>
          <w:rtl/>
        </w:rPr>
        <w:t>פ שאמבטי וספל שניהם כלי שני הם האמבטי משמר חומו יותר מספל ומשום הכי אמרו ספל אינו כאמבטי</w:t>
      </w:r>
      <w:r>
        <w:rPr>
          <w:rFonts w:cs="Arial" w:hint="cs"/>
          <w:rtl/>
        </w:rPr>
        <w:t>, ב"י</w:t>
      </w:r>
      <w:r w:rsidRPr="007B7CF5">
        <w:rPr>
          <w:rFonts w:cs="Arial"/>
          <w:rtl/>
        </w:rPr>
        <w:t>.</w:t>
      </w:r>
    </w:p>
  </w:footnote>
  <w:footnote w:id="2821">
    <w:p w14:paraId="38BB8051" w14:textId="56F03C20" w:rsidR="003119CF" w:rsidRDefault="003119CF">
      <w:pPr>
        <w:pStyle w:val="a7"/>
      </w:pPr>
      <w:r>
        <w:rPr>
          <w:rStyle w:val="a9"/>
        </w:rPr>
        <w:footnoteRef/>
      </w:r>
      <w:r>
        <w:rPr>
          <w:rtl/>
        </w:rPr>
        <w:t xml:space="preserve"> </w:t>
      </w:r>
      <w:r>
        <w:rPr>
          <w:rFonts w:hint="cs"/>
          <w:rtl/>
        </w:rPr>
        <w:t xml:space="preserve">וז"ל- </w:t>
      </w:r>
      <w:r w:rsidRPr="0093742B">
        <w:rPr>
          <w:rFonts w:asciiTheme="minorBidi" w:hAnsiTheme="minorBidi" w:cs="Arial"/>
          <w:rtl/>
        </w:rPr>
        <w:t>אמבטי של מרחץ שהיא מלאה</w:t>
      </w:r>
      <w:r>
        <w:rPr>
          <w:rStyle w:val="a9"/>
          <w:rFonts w:asciiTheme="minorBidi" w:hAnsiTheme="minorBidi" w:cs="Arial"/>
          <w:rtl/>
        </w:rPr>
        <w:footnoteRef/>
      </w:r>
      <w:r w:rsidRPr="0093742B">
        <w:rPr>
          <w:rFonts w:asciiTheme="minorBidi" w:hAnsiTheme="minorBidi" w:cs="Arial"/>
          <w:rtl/>
        </w:rPr>
        <w:t xml:space="preserve"> מים חמים </w:t>
      </w:r>
      <w:r w:rsidRPr="0093742B">
        <w:rPr>
          <w:rFonts w:asciiTheme="minorBidi" w:hAnsiTheme="minorBidi" w:cs="Arial" w:hint="cs"/>
          <w:rtl/>
        </w:rPr>
        <w:t xml:space="preserve">- </w:t>
      </w:r>
      <w:r w:rsidRPr="0093742B">
        <w:rPr>
          <w:rFonts w:asciiTheme="minorBidi" w:hAnsiTheme="minorBidi" w:cs="Arial"/>
          <w:rtl/>
        </w:rPr>
        <w:t>אין נותנין לה מים צונן</w:t>
      </w:r>
      <w:r w:rsidRPr="0093742B">
        <w:rPr>
          <w:rFonts w:asciiTheme="minorBidi" w:hAnsiTheme="minorBidi" w:cs="Arial" w:hint="cs"/>
          <w:rtl/>
        </w:rPr>
        <w:t>,</w:t>
      </w:r>
      <w:r w:rsidRPr="0093742B">
        <w:rPr>
          <w:rFonts w:asciiTheme="minorBidi" w:hAnsiTheme="minorBidi" w:cs="Arial"/>
          <w:rtl/>
        </w:rPr>
        <w:t xml:space="preserve"> שהרי מחממן הרבה</w:t>
      </w:r>
      <w:r w:rsidRPr="0093742B">
        <w:rPr>
          <w:rFonts w:asciiTheme="minorBidi" w:hAnsiTheme="minorBidi" w:cs="Arial" w:hint="cs"/>
          <w:rtl/>
        </w:rPr>
        <w:t>...</w:t>
      </w:r>
      <w:r w:rsidRPr="0093742B">
        <w:rPr>
          <w:rFonts w:asciiTheme="minorBidi" w:hAnsiTheme="minorBidi" w:cs="Arial"/>
          <w:rtl/>
        </w:rPr>
        <w:t xml:space="preserve"> אבל נותן הוא מים חמין לתוך אמבטי של צונן</w:t>
      </w:r>
      <w:r>
        <w:rPr>
          <w:rFonts w:asciiTheme="minorBidi" w:hAnsiTheme="minorBidi" w:cs="Arial" w:hint="cs"/>
          <w:rtl/>
        </w:rPr>
        <w:t>.</w:t>
      </w:r>
    </w:p>
  </w:footnote>
  <w:footnote w:id="2822">
    <w:p w14:paraId="72A8E6EC" w14:textId="3FCF0E0F" w:rsidR="00B46257" w:rsidRDefault="00B46257" w:rsidP="00B46257">
      <w:pPr>
        <w:pStyle w:val="a7"/>
        <w:rPr>
          <w:rtl/>
        </w:rPr>
      </w:pPr>
      <w:r>
        <w:rPr>
          <w:rStyle w:val="a9"/>
        </w:rPr>
        <w:footnoteRef/>
      </w:r>
      <w:r>
        <w:rPr>
          <w:rtl/>
        </w:rPr>
        <w:t xml:space="preserve"> </w:t>
      </w:r>
      <w:r w:rsidR="003F31D0" w:rsidRPr="00B4428E">
        <w:rPr>
          <w:rFonts w:asciiTheme="minorBidi" w:hAnsiTheme="minorBidi" w:cs="Arial"/>
          <w:rtl/>
        </w:rPr>
        <w:t>ואפילו להפשיר</w:t>
      </w:r>
      <w:r w:rsidR="003F31D0">
        <w:rPr>
          <w:rFonts w:asciiTheme="minorBidi" w:hAnsiTheme="minorBidi" w:cs="Arial" w:hint="cs"/>
          <w:rtl/>
        </w:rPr>
        <w:t>,</w:t>
      </w:r>
      <w:r w:rsidR="003F31D0" w:rsidRPr="00B46257">
        <w:rPr>
          <w:rFonts w:asciiTheme="minorBidi" w:hAnsiTheme="minorBidi" w:cs="Arial"/>
          <w:rtl/>
        </w:rPr>
        <w:t xml:space="preserve"> </w:t>
      </w:r>
      <w:r w:rsidRPr="00B46257">
        <w:rPr>
          <w:rFonts w:asciiTheme="minorBidi" w:hAnsiTheme="minorBidi" w:cs="Arial"/>
          <w:rtl/>
        </w:rPr>
        <w:t xml:space="preserve">דאע"ג דבמיחם תנן במתני' </w:t>
      </w:r>
      <w:r>
        <w:rPr>
          <w:rFonts w:asciiTheme="minorBidi" w:hAnsiTheme="minorBidi" w:cs="Arial" w:hint="cs"/>
          <w:rtl/>
        </w:rPr>
        <w:t>(</w:t>
      </w:r>
      <w:r w:rsidRPr="00B46257">
        <w:rPr>
          <w:rFonts w:asciiTheme="minorBidi" w:hAnsiTheme="minorBidi" w:cs="Arial"/>
          <w:rtl/>
        </w:rPr>
        <w:t>מא</w:t>
      </w:r>
      <w:r>
        <w:rPr>
          <w:rFonts w:asciiTheme="minorBidi" w:hAnsiTheme="minorBidi" w:cs="Arial" w:hint="cs"/>
          <w:rtl/>
        </w:rPr>
        <w:t>.)</w:t>
      </w:r>
      <w:r w:rsidRPr="00B46257">
        <w:rPr>
          <w:rFonts w:asciiTheme="minorBidi" w:hAnsiTheme="minorBidi" w:cs="Arial"/>
          <w:rtl/>
        </w:rPr>
        <w:t xml:space="preserve"> שנותן לתוכו כדי להפשירן</w:t>
      </w:r>
      <w:r>
        <w:rPr>
          <w:rFonts w:asciiTheme="minorBidi" w:hAnsiTheme="minorBidi" w:cs="Arial" w:hint="cs"/>
          <w:rtl/>
        </w:rPr>
        <w:t xml:space="preserve"> -</w:t>
      </w:r>
      <w:r w:rsidRPr="00B46257">
        <w:rPr>
          <w:rFonts w:asciiTheme="minorBidi" w:hAnsiTheme="minorBidi" w:cs="Arial"/>
          <w:rtl/>
        </w:rPr>
        <w:t xml:space="preserve"> ה"מ מיחם שאינו חם ביותר</w:t>
      </w:r>
      <w:r>
        <w:rPr>
          <w:rFonts w:asciiTheme="minorBidi" w:hAnsiTheme="minorBidi" w:cs="Arial" w:hint="cs"/>
          <w:rtl/>
        </w:rPr>
        <w:t>,</w:t>
      </w:r>
      <w:r w:rsidRPr="00B46257">
        <w:rPr>
          <w:rFonts w:asciiTheme="minorBidi" w:hAnsiTheme="minorBidi" w:cs="Arial"/>
          <w:rtl/>
        </w:rPr>
        <w:t xml:space="preserve"> אבל באמבטי מתוך שמקפידין הרבה על חומו אסרו בו אפי' הפשר</w:t>
      </w:r>
      <w:r>
        <w:rPr>
          <w:rFonts w:asciiTheme="minorBidi" w:hAnsiTheme="minorBidi" w:cs="Arial" w:hint="cs"/>
          <w:rtl/>
        </w:rPr>
        <w:t xml:space="preserve">, </w:t>
      </w:r>
      <w:r w:rsidRPr="003F31D0">
        <w:rPr>
          <w:rFonts w:asciiTheme="minorBidi" w:hAnsiTheme="minorBidi" w:cs="Arial" w:hint="cs"/>
          <w:b/>
          <w:bCs/>
          <w:rtl/>
        </w:rPr>
        <w:t>ר"ן</w:t>
      </w:r>
      <w:r>
        <w:rPr>
          <w:rFonts w:asciiTheme="minorBidi" w:hAnsiTheme="minorBidi" w:cs="Arial" w:hint="cs"/>
          <w:rtl/>
        </w:rPr>
        <w:t xml:space="preserve"> (שם).</w:t>
      </w:r>
      <w:r w:rsidR="003F31D0">
        <w:rPr>
          <w:rFonts w:asciiTheme="minorBidi" w:hAnsiTheme="minorBidi" w:cs="Arial" w:hint="cs"/>
          <w:rtl/>
        </w:rPr>
        <w:t xml:space="preserve">    אך </w:t>
      </w:r>
      <w:r w:rsidR="003F31D0" w:rsidRPr="003F31D0">
        <w:rPr>
          <w:rFonts w:asciiTheme="minorBidi" w:hAnsiTheme="minorBidi" w:cs="Arial" w:hint="cs"/>
          <w:b/>
          <w:bCs/>
          <w:rtl/>
        </w:rPr>
        <w:t>הב"י כתב בשם הרמב"ם</w:t>
      </w:r>
      <w:r w:rsidR="003F31D0">
        <w:rPr>
          <w:rFonts w:asciiTheme="minorBidi" w:hAnsiTheme="minorBidi" w:cs="Arial" w:hint="cs"/>
          <w:rtl/>
        </w:rPr>
        <w:t xml:space="preserve"> (שם) ד</w:t>
      </w:r>
      <w:r w:rsidR="003F31D0" w:rsidRPr="00DD3262">
        <w:rPr>
          <w:rFonts w:asciiTheme="minorBidi" w:hAnsiTheme="minorBidi" w:cs="Arial"/>
          <w:rtl/>
        </w:rPr>
        <w:t>אפשר דבצונן מועטים מיירי שהן מתחממין הרבה</w:t>
      </w:r>
      <w:r w:rsidR="003F31D0">
        <w:rPr>
          <w:rFonts w:asciiTheme="minorBidi" w:hAnsiTheme="minorBidi" w:cs="Arial" w:hint="cs"/>
          <w:rtl/>
        </w:rPr>
        <w:t>,</w:t>
      </w:r>
      <w:r w:rsidR="003F31D0" w:rsidRPr="00DD3262">
        <w:rPr>
          <w:rFonts w:asciiTheme="minorBidi" w:hAnsiTheme="minorBidi" w:cs="Arial"/>
          <w:rtl/>
        </w:rPr>
        <w:t xml:space="preserve"> אבל בצונן מרובים שרי</w:t>
      </w:r>
      <w:r w:rsidR="003F31D0">
        <w:rPr>
          <w:rFonts w:hint="cs"/>
          <w:rtl/>
        </w:rPr>
        <w:t>.</w:t>
      </w:r>
    </w:p>
  </w:footnote>
  <w:footnote w:id="2823">
    <w:p w14:paraId="39C7A1A5" w14:textId="4C04DFA6" w:rsidR="00FD2D11" w:rsidRDefault="00FD2D11" w:rsidP="00FD2D11">
      <w:pPr>
        <w:pStyle w:val="a7"/>
        <w:rPr>
          <w:rtl/>
        </w:rPr>
      </w:pPr>
      <w:r>
        <w:rPr>
          <w:rStyle w:val="a9"/>
        </w:rPr>
        <w:footnoteRef/>
      </w:r>
      <w:r>
        <w:rPr>
          <w:rtl/>
        </w:rPr>
        <w:t xml:space="preserve"> </w:t>
      </w:r>
      <w:r w:rsidRPr="00DD3262">
        <w:rPr>
          <w:rFonts w:cs="Arial"/>
          <w:rtl/>
        </w:rPr>
        <w:t>וכן נראה דעת המגיד משנה</w:t>
      </w:r>
      <w:r>
        <w:rPr>
          <w:rFonts w:cs="Arial" w:hint="cs"/>
          <w:rtl/>
        </w:rPr>
        <w:t>, דרכ"מ (אות ה).</w:t>
      </w:r>
    </w:p>
  </w:footnote>
  <w:footnote w:id="2824">
    <w:p w14:paraId="3D248F7E" w14:textId="586F0F0F" w:rsidR="00F90FDC" w:rsidRDefault="00F90FDC">
      <w:pPr>
        <w:pStyle w:val="a7"/>
        <w:rPr>
          <w:rtl/>
        </w:rPr>
      </w:pPr>
      <w:r>
        <w:rPr>
          <w:rStyle w:val="a9"/>
        </w:rPr>
        <w:footnoteRef/>
      </w:r>
      <w:r>
        <w:rPr>
          <w:rtl/>
        </w:rPr>
        <w:t xml:space="preserve"> </w:t>
      </w:r>
      <w:r>
        <w:rPr>
          <w:rFonts w:hint="cs"/>
          <w:rtl/>
        </w:rPr>
        <w:t>וכן כתבו ה</w:t>
      </w:r>
      <w:r>
        <w:rPr>
          <w:rFonts w:asciiTheme="minorBidi" w:hAnsiTheme="minorBidi" w:cs="Arial" w:hint="cs"/>
          <w:rtl/>
        </w:rPr>
        <w:t xml:space="preserve">תוס' </w:t>
      </w:r>
      <w:r w:rsidRPr="008E4D1F">
        <w:rPr>
          <w:rFonts w:asciiTheme="minorBidi" w:hAnsiTheme="minorBidi" w:cs="Arial" w:hint="cs"/>
          <w:sz w:val="16"/>
          <w:szCs w:val="16"/>
          <w:rtl/>
        </w:rPr>
        <w:t>(ד"ה נותן)</w:t>
      </w:r>
      <w:r>
        <w:rPr>
          <w:rFonts w:hint="cs"/>
          <w:rtl/>
        </w:rPr>
        <w:t xml:space="preserve"> בדעת בית הלל. אך הם </w:t>
      </w:r>
      <w:r w:rsidR="008729C3">
        <w:rPr>
          <w:rFonts w:hint="cs"/>
          <w:rtl/>
        </w:rPr>
        <w:t>ס"ל כר"ש בן מנסיא דאוסר באמבטי גם חמין לתוך צונן.</w:t>
      </w:r>
    </w:p>
  </w:footnote>
  <w:footnote w:id="2825">
    <w:p w14:paraId="63620FAF" w14:textId="77777777" w:rsidR="00FD2D11" w:rsidRDefault="00FD2D11" w:rsidP="00FD2D11">
      <w:pPr>
        <w:pStyle w:val="a7"/>
      </w:pPr>
      <w:r>
        <w:rPr>
          <w:rStyle w:val="a9"/>
        </w:rPr>
        <w:footnoteRef/>
      </w:r>
      <w:r>
        <w:rPr>
          <w:rtl/>
        </w:rPr>
        <w:t xml:space="preserve"> </w:t>
      </w:r>
      <w:r w:rsidRPr="00B46257">
        <w:rPr>
          <w:rFonts w:asciiTheme="minorBidi" w:hAnsiTheme="minorBidi" w:cs="Arial"/>
          <w:rtl/>
        </w:rPr>
        <w:t>דאע"ג דתנן אבל נותן לתוכו או לתוך הכוס כדי להפשירן לא תידוק מינה דטפי מהפשר אפילו בכלי שני אסור דליתא אלא משום דכלי שני אינו מבשל חמין שלו הפשר קרי ליה א"נ משום מיחם נקט הכי אבל בכלי שני בכל ענין שרי</w:t>
      </w:r>
      <w:r>
        <w:rPr>
          <w:rFonts w:asciiTheme="minorBidi" w:hAnsiTheme="minorBidi" w:cs="Arial" w:hint="cs"/>
          <w:rtl/>
        </w:rPr>
        <w:t>, ר"ן (שם).</w:t>
      </w:r>
    </w:p>
  </w:footnote>
  <w:footnote w:id="2826">
    <w:p w14:paraId="201D0D6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היינו דמותר לערות אפי' מכ"ר לתוך מים צוננים, ואע"ג דאסור לערות על תבלין (כמש"כ בסע' י) דהוי ככ"ר, הכא שאני שמתערבין החמין עם הצוננים ומתבטל חמימותן כיון שהצוננין מרובין, ונ"ל דאסור ליתן חתיכת בשר רותח לתוך רוטב צונן דכיון שאינו מתערב מבשל כדי קליפה, מג"א (סקל"ה).</w:t>
      </w:r>
    </w:p>
  </w:footnote>
  <w:footnote w:id="2827">
    <w:p w14:paraId="052DEE88" w14:textId="5C07F30D" w:rsidR="0015476E" w:rsidRDefault="0015476E">
      <w:pPr>
        <w:pStyle w:val="a7"/>
        <w:rPr>
          <w:rFonts w:hint="cs"/>
        </w:rPr>
      </w:pPr>
      <w:r>
        <w:rPr>
          <w:rStyle w:val="a9"/>
        </w:rPr>
        <w:footnoteRef/>
      </w:r>
      <w:r>
        <w:rPr>
          <w:rtl/>
        </w:rPr>
        <w:t xml:space="preserve"> </w:t>
      </w:r>
      <w:r>
        <w:rPr>
          <w:rFonts w:hint="cs"/>
          <w:rtl/>
        </w:rPr>
        <w:t>סימן - מיחם איננו.</w:t>
      </w:r>
    </w:p>
  </w:footnote>
  <w:footnote w:id="2828">
    <w:p w14:paraId="6495B357" w14:textId="16C611B7" w:rsidR="003102F9" w:rsidRDefault="003102F9">
      <w:pPr>
        <w:pStyle w:val="a7"/>
      </w:pPr>
      <w:r>
        <w:rPr>
          <w:rStyle w:val="a9"/>
        </w:rPr>
        <w:footnoteRef/>
      </w:r>
      <w:r>
        <w:rPr>
          <w:rtl/>
        </w:rPr>
        <w:t xml:space="preserve"> </w:t>
      </w:r>
      <w:r w:rsidRPr="003102F9">
        <w:rPr>
          <w:rFonts w:cs="Arial"/>
          <w:rtl/>
        </w:rPr>
        <w:t>קומקמוס של חמין</w:t>
      </w:r>
      <w:r>
        <w:rPr>
          <w:rFonts w:cs="Arial" w:hint="cs"/>
          <w:rtl/>
        </w:rPr>
        <w:t>, רש"י.</w:t>
      </w:r>
    </w:p>
  </w:footnote>
  <w:footnote w:id="2829">
    <w:p w14:paraId="71F36EC3" w14:textId="77777777" w:rsidR="003102F9" w:rsidRPr="008C1C8E" w:rsidRDefault="003102F9" w:rsidP="003102F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כשכלי מתכות חם ונותן לתוכו צונן - מחזקים את הכלי, וזו היא גמר מלאכת הצורפין, שרתיחת האור מפעפעתו וקרוב להשבר, והמים מצרפין פעפועיו, שולדי"ר בלע"ז (להלחים, לחסם מתכת), רש"י.</w:t>
      </w:r>
    </w:p>
  </w:footnote>
  <w:footnote w:id="2830">
    <w:p w14:paraId="7AEBB6ED" w14:textId="4B1082BF" w:rsidR="00567CE3" w:rsidRDefault="00567CE3">
      <w:pPr>
        <w:pStyle w:val="a7"/>
        <w:rPr>
          <w:rtl/>
        </w:rPr>
      </w:pPr>
      <w:r>
        <w:rPr>
          <w:rStyle w:val="a9"/>
        </w:rPr>
        <w:footnoteRef/>
      </w:r>
      <w:r>
        <w:rPr>
          <w:rtl/>
        </w:rPr>
        <w:t xml:space="preserve"> </w:t>
      </w:r>
      <w:r w:rsidRPr="00B22346">
        <w:rPr>
          <w:rFonts w:asciiTheme="minorBidi" w:hAnsiTheme="minorBidi" w:cs="Arial"/>
          <w:rtl/>
        </w:rPr>
        <w:t>ואע</w:t>
      </w:r>
      <w:r w:rsidRPr="00B22346">
        <w:rPr>
          <w:rFonts w:asciiTheme="minorBidi" w:hAnsiTheme="minorBidi" w:cs="Arial" w:hint="cs"/>
          <w:rtl/>
        </w:rPr>
        <w:t>"</w:t>
      </w:r>
      <w:r w:rsidRPr="00B22346">
        <w:rPr>
          <w:rFonts w:asciiTheme="minorBidi" w:hAnsiTheme="minorBidi" w:cs="Arial"/>
          <w:rtl/>
        </w:rPr>
        <w:t>ג דמודה רבי שמעון (עה. ושם נסמן) בפסיק רישיה</w:t>
      </w:r>
      <w:r w:rsidRPr="00B22346">
        <w:rPr>
          <w:rFonts w:asciiTheme="minorBidi" w:hAnsiTheme="minorBidi" w:cs="Arial" w:hint="cs"/>
          <w:rtl/>
        </w:rPr>
        <w:t>,</w:t>
      </w:r>
      <w:r w:rsidRPr="00B22346">
        <w:rPr>
          <w:rFonts w:asciiTheme="minorBidi" w:hAnsiTheme="minorBidi" w:cs="Arial"/>
          <w:rtl/>
        </w:rPr>
        <w:t xml:space="preserve"> הכא לאו פסיק רישיה הוא</w:t>
      </w:r>
      <w:r w:rsidRPr="00B22346">
        <w:rPr>
          <w:rFonts w:asciiTheme="minorBidi" w:hAnsiTheme="minorBidi" w:cs="Arial" w:hint="cs"/>
          <w:rtl/>
        </w:rPr>
        <w:t>,</w:t>
      </w:r>
      <w:r w:rsidRPr="00B22346">
        <w:rPr>
          <w:rFonts w:asciiTheme="minorBidi" w:hAnsiTheme="minorBidi" w:cs="Arial"/>
          <w:rtl/>
        </w:rPr>
        <w:t xml:space="preserve"> לפי שכשמצרפין הכלי מחממין אותו תחלה ביותר</w:t>
      </w:r>
      <w:r w:rsidRPr="00B22346">
        <w:rPr>
          <w:rFonts w:asciiTheme="minorBidi" w:hAnsiTheme="minorBidi" w:cs="Arial" w:hint="cs"/>
          <w:rtl/>
        </w:rPr>
        <w:t>,</w:t>
      </w:r>
      <w:r w:rsidRPr="00B22346">
        <w:rPr>
          <w:rFonts w:asciiTheme="minorBidi" w:hAnsiTheme="minorBidi" w:cs="Arial"/>
          <w:rtl/>
        </w:rPr>
        <w:t xml:space="preserve"> והכא אפשר שלא יגיע לצירוף מפני שהמים שבתוכו מונעין אותו מלהתחמם כל כך</w:t>
      </w:r>
      <w:r w:rsidR="00A802A7">
        <w:rPr>
          <w:rFonts w:asciiTheme="minorBidi" w:hAnsiTheme="minorBidi" w:cs="Arial" w:hint="cs"/>
          <w:rtl/>
        </w:rPr>
        <w:t xml:space="preserve">, </w:t>
      </w:r>
      <w:r w:rsidR="00A802A7" w:rsidRPr="00A802A7">
        <w:rPr>
          <w:rFonts w:asciiTheme="minorBidi" w:hAnsiTheme="minorBidi" w:cs="Arial"/>
          <w:b/>
          <w:bCs/>
          <w:rtl/>
        </w:rPr>
        <w:t>ר"ן</w:t>
      </w:r>
      <w:r w:rsidR="00A802A7" w:rsidRPr="00B22346">
        <w:rPr>
          <w:rFonts w:asciiTheme="minorBidi" w:hAnsiTheme="minorBidi" w:cs="Arial"/>
          <w:rtl/>
        </w:rPr>
        <w:t xml:space="preserve"> (יט: ד"ה גמ' מאי קאמר)</w:t>
      </w:r>
      <w:r w:rsidRPr="00B22346">
        <w:rPr>
          <w:rFonts w:asciiTheme="minorBidi" w:hAnsiTheme="minorBidi" w:cs="Arial"/>
          <w:rtl/>
        </w:rPr>
        <w:t>.</w:t>
      </w:r>
      <w:r w:rsidR="00A802A7">
        <w:rPr>
          <w:rFonts w:asciiTheme="minorBidi" w:hAnsiTheme="minorBidi" w:cs="Arial" w:hint="cs"/>
          <w:rtl/>
        </w:rPr>
        <w:t xml:space="preserve">    </w:t>
      </w:r>
      <w:r w:rsidRPr="00B22346">
        <w:rPr>
          <w:rFonts w:asciiTheme="minorBidi" w:hAnsiTheme="minorBidi" w:cs="Arial"/>
          <w:rtl/>
        </w:rPr>
        <w:t xml:space="preserve"> </w:t>
      </w:r>
      <w:r w:rsidR="00A802A7">
        <w:rPr>
          <w:rFonts w:asciiTheme="minorBidi" w:hAnsiTheme="minorBidi" w:cs="Arial" w:hint="cs"/>
          <w:rtl/>
        </w:rPr>
        <w:t xml:space="preserve">אך </w:t>
      </w:r>
      <w:r w:rsidRPr="00A802A7">
        <w:rPr>
          <w:rFonts w:asciiTheme="minorBidi" w:hAnsiTheme="minorBidi" w:cs="Arial"/>
          <w:b/>
          <w:bCs/>
          <w:rtl/>
        </w:rPr>
        <w:t>הה</w:t>
      </w:r>
      <w:r w:rsidRPr="00A802A7">
        <w:rPr>
          <w:rFonts w:asciiTheme="minorBidi" w:hAnsiTheme="minorBidi" w:cs="Arial" w:hint="cs"/>
          <w:b/>
          <w:bCs/>
          <w:rtl/>
        </w:rPr>
        <w:t>"</w:t>
      </w:r>
      <w:r w:rsidRPr="00A802A7">
        <w:rPr>
          <w:rFonts w:asciiTheme="minorBidi" w:hAnsiTheme="minorBidi" w:cs="Arial"/>
          <w:b/>
          <w:bCs/>
          <w:rtl/>
        </w:rPr>
        <w:t>מ</w:t>
      </w:r>
      <w:r w:rsidRPr="00567CE3">
        <w:rPr>
          <w:rFonts w:asciiTheme="minorBidi" w:hAnsiTheme="minorBidi" w:cs="Arial"/>
          <w:rtl/>
        </w:rPr>
        <w:t xml:space="preserve"> כתב </w:t>
      </w:r>
      <w:r w:rsidR="00A802A7" w:rsidRPr="00A802A7">
        <w:rPr>
          <w:rFonts w:asciiTheme="minorBidi" w:hAnsiTheme="minorBidi" w:cs="Arial" w:hint="cs"/>
          <w:sz w:val="16"/>
          <w:szCs w:val="16"/>
          <w:rtl/>
        </w:rPr>
        <w:t>(</w:t>
      </w:r>
      <w:r w:rsidRPr="00A802A7">
        <w:rPr>
          <w:rFonts w:asciiTheme="minorBidi" w:hAnsiTheme="minorBidi" w:cs="Arial"/>
          <w:sz w:val="16"/>
          <w:szCs w:val="16"/>
          <w:rtl/>
        </w:rPr>
        <w:t>פי"ב ה"ב</w:t>
      </w:r>
      <w:r w:rsidR="00A802A7">
        <w:rPr>
          <w:rFonts w:asciiTheme="minorBidi" w:hAnsiTheme="minorBidi" w:cs="Arial" w:hint="cs"/>
          <w:sz w:val="16"/>
          <w:szCs w:val="16"/>
          <w:rtl/>
        </w:rPr>
        <w:t>, גבי כיבוי גחלת עץ</w:t>
      </w:r>
      <w:r w:rsidRPr="00A802A7">
        <w:rPr>
          <w:rFonts w:asciiTheme="minorBidi" w:hAnsiTheme="minorBidi" w:cs="Arial"/>
          <w:sz w:val="16"/>
          <w:szCs w:val="16"/>
          <w:rtl/>
        </w:rPr>
        <w:t>)</w:t>
      </w:r>
      <w:r w:rsidR="00A802A7">
        <w:rPr>
          <w:rFonts w:asciiTheme="minorBidi" w:hAnsiTheme="minorBidi" w:cs="Arial" w:hint="cs"/>
          <w:rtl/>
        </w:rPr>
        <w:t xml:space="preserve"> וז"ל-</w:t>
      </w:r>
      <w:r w:rsidRPr="00567CE3">
        <w:rPr>
          <w:rFonts w:asciiTheme="minorBidi" w:hAnsiTheme="minorBidi" w:cs="Arial"/>
          <w:rtl/>
        </w:rPr>
        <w:t xml:space="preserve"> </w:t>
      </w:r>
      <w:r w:rsidR="00A802A7" w:rsidRPr="00A802A7">
        <w:rPr>
          <w:rFonts w:asciiTheme="minorBidi" w:hAnsiTheme="minorBidi" w:cs="Arial"/>
          <w:rtl/>
        </w:rPr>
        <w:t>ומדברי רבינו שכתב שהכל תלוי בכונתו נראה שכל שאינו מתכוין אין ראוי לומר בו פסיק רישיה ולא ימות הוא וליחייב מפני שכשהוא מתכוין הוא עושה מלאכה וכשאינו מתכוין אין בו מלאכה כלל שהרי אינו רוצה לעשות ממנו כלי דומה לקטימת קיסם שהזכרנו פי"א שכל שאינו קוטמו לחצוץ בו שניו אף על פי שראוי לכך בקטימתו פטור שכל שהוא מפני תקון כלי מי שאינו מתקנו פטור ואפי' לר"י המחייב בדבר שאין מתכוין. וקרובים לזה דברי הרמב"ן ז"ל והדבר מוכרח לומר כן לפי שטת רבינו</w:t>
      </w:r>
      <w:r w:rsidR="00A802A7">
        <w:rPr>
          <w:rFonts w:asciiTheme="minorBidi" w:hAnsiTheme="minorBidi" w:cs="Arial" w:hint="cs"/>
          <w:rtl/>
        </w:rPr>
        <w:t>. עכ"ל הה"מ</w:t>
      </w:r>
      <w:r>
        <w:rPr>
          <w:rFonts w:asciiTheme="minorBidi" w:hAnsiTheme="minorBidi" w:cs="Arial" w:hint="cs"/>
          <w:rtl/>
        </w:rPr>
        <w:t>.</w:t>
      </w:r>
      <w:r w:rsidR="00A802A7">
        <w:rPr>
          <w:rFonts w:asciiTheme="minorBidi" w:hAnsiTheme="minorBidi" w:cs="Arial" w:hint="cs"/>
          <w:rtl/>
        </w:rPr>
        <w:t xml:space="preserve"> והביאם הב"י.</w:t>
      </w:r>
    </w:p>
  </w:footnote>
  <w:footnote w:id="2831">
    <w:p w14:paraId="1BC8393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משמע שפינהו לעצמו מעל האור, רש"י.</w:t>
      </w:r>
    </w:p>
  </w:footnote>
  <w:footnote w:id="2832">
    <w:p w14:paraId="7D5A4FF3" w14:textId="584D3504" w:rsidR="003102F9" w:rsidRDefault="003102F9">
      <w:pPr>
        <w:pStyle w:val="a7"/>
        <w:rPr>
          <w:rtl/>
        </w:rPr>
      </w:pPr>
      <w:r>
        <w:rPr>
          <w:rStyle w:val="a9"/>
        </w:rPr>
        <w:footnoteRef/>
      </w:r>
      <w:r>
        <w:rPr>
          <w:rtl/>
        </w:rPr>
        <w:t xml:space="preserve"> </w:t>
      </w:r>
      <w:r w:rsidRPr="003102F9">
        <w:rPr>
          <w:rFonts w:cs="Arial"/>
          <w:rtl/>
        </w:rPr>
        <w:t>שפינהו ממנו החמין</w:t>
      </w:r>
      <w:r>
        <w:rPr>
          <w:rFonts w:hint="cs"/>
          <w:rtl/>
        </w:rPr>
        <w:t>, רש"י.</w:t>
      </w:r>
    </w:p>
  </w:footnote>
  <w:footnote w:id="2833">
    <w:p w14:paraId="516A0946" w14:textId="6642755D" w:rsidR="003102F9" w:rsidRDefault="003102F9">
      <w:pPr>
        <w:pStyle w:val="a7"/>
      </w:pPr>
      <w:r>
        <w:rPr>
          <w:rStyle w:val="a9"/>
        </w:rPr>
        <w:footnoteRef/>
      </w:r>
      <w:r>
        <w:rPr>
          <w:rtl/>
        </w:rPr>
        <w:t xml:space="preserve"> </w:t>
      </w:r>
      <w:r w:rsidRPr="003102F9">
        <w:rPr>
          <w:rFonts w:cs="Arial"/>
          <w:rtl/>
        </w:rPr>
        <w:t>דפינהו שרי לתת לתוכו צונן</w:t>
      </w:r>
      <w:r>
        <w:rPr>
          <w:rFonts w:cs="Arial" w:hint="cs"/>
          <w:rtl/>
        </w:rPr>
        <w:t>, רש"י.</w:t>
      </w:r>
    </w:p>
  </w:footnote>
  <w:footnote w:id="2834">
    <w:p w14:paraId="351D5B7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ולא לצרף, כגון שלא מלאהו כולו, ורב משמע ליה פינהו - כרב אדא, שפינה ממנו חמין, רש"י.</w:t>
      </w:r>
    </w:p>
  </w:footnote>
  <w:footnote w:id="2835">
    <w:p w14:paraId="4249FE1A" w14:textId="77777777" w:rsidR="006A4BF8" w:rsidRPr="008C1C8E" w:rsidRDefault="006A4BF8" w:rsidP="00285819">
      <w:pPr>
        <w:spacing w:after="0" w:line="240" w:lineRule="auto"/>
        <w:rPr>
          <w:rFonts w:asciiTheme="minorBidi" w:hAnsiTheme="minorBidi"/>
          <w:sz w:val="20"/>
          <w:szCs w:val="20"/>
        </w:rPr>
      </w:pPr>
      <w:r w:rsidRPr="008C1C8E">
        <w:rPr>
          <w:rStyle w:val="a9"/>
          <w:rFonts w:asciiTheme="minorBidi" w:hAnsiTheme="minorBidi"/>
          <w:sz w:val="20"/>
          <w:szCs w:val="20"/>
        </w:rPr>
        <w:footnoteRef/>
      </w:r>
      <w:r w:rsidRPr="008C1C8E">
        <w:rPr>
          <w:rFonts w:asciiTheme="minorBidi" w:hAnsiTheme="minorBidi"/>
          <w:sz w:val="20"/>
          <w:szCs w:val="20"/>
          <w:rtl/>
        </w:rPr>
        <w:t xml:space="preserve"> שמלאהו כולו, רש"י.</w:t>
      </w:r>
    </w:p>
  </w:footnote>
  <w:footnote w:id="2836">
    <w:p w14:paraId="70CB9C21" w14:textId="77777777" w:rsidR="003119CF" w:rsidRDefault="003119CF" w:rsidP="003119CF">
      <w:pPr>
        <w:pStyle w:val="a7"/>
      </w:pPr>
      <w:r>
        <w:rPr>
          <w:rStyle w:val="a9"/>
        </w:rPr>
        <w:footnoteRef/>
      </w:r>
      <w:r>
        <w:rPr>
          <w:rtl/>
        </w:rPr>
        <w:t xml:space="preserve"> </w:t>
      </w:r>
      <w:r w:rsidRPr="00DD3262">
        <w:rPr>
          <w:rFonts w:asciiTheme="minorBidi" w:hAnsiTheme="minorBidi" w:cs="Arial"/>
          <w:rtl/>
        </w:rPr>
        <w:t>נראה דמלאה דקאמר לאורחא דמילתא קאמר ולאו דוקא דכיון דטעמא מפני שהוא כלי ראשון אפילו אינה מלאה נמי</w:t>
      </w:r>
      <w:r>
        <w:rPr>
          <w:rFonts w:asciiTheme="minorBidi" w:hAnsiTheme="minorBidi" w:cs="Arial" w:hint="cs"/>
          <w:rtl/>
        </w:rPr>
        <w:t>, ב"י.</w:t>
      </w:r>
    </w:p>
  </w:footnote>
  <w:footnote w:id="2837">
    <w:p w14:paraId="4E319187" w14:textId="77777777" w:rsidR="003119CF" w:rsidRDefault="003119CF" w:rsidP="003119CF">
      <w:pPr>
        <w:pStyle w:val="a7"/>
        <w:rPr>
          <w:rtl/>
        </w:rPr>
      </w:pPr>
      <w:r>
        <w:rPr>
          <w:rStyle w:val="a9"/>
        </w:rPr>
        <w:footnoteRef/>
      </w:r>
      <w:r>
        <w:rPr>
          <w:rtl/>
        </w:rPr>
        <w:t xml:space="preserve"> </w:t>
      </w:r>
      <w:r w:rsidRPr="00DD3262">
        <w:rPr>
          <w:rFonts w:asciiTheme="minorBidi" w:hAnsiTheme="minorBidi" w:cs="Arial"/>
          <w:rtl/>
        </w:rPr>
        <w:t>כלומר אבל נותן ממים חמין שבזה האמבטי לתוך אמבטי אחר של צונן כדברי בית הלל</w:t>
      </w:r>
      <w:r>
        <w:rPr>
          <w:rFonts w:hint="cs"/>
          <w:rtl/>
        </w:rPr>
        <w:t>, ב"י.</w:t>
      </w:r>
    </w:p>
  </w:footnote>
  <w:footnote w:id="2838">
    <w:p w14:paraId="0BACC692" w14:textId="77777777" w:rsidR="003119CF" w:rsidRDefault="003119CF" w:rsidP="003119CF">
      <w:pPr>
        <w:pStyle w:val="a7"/>
        <w:rPr>
          <w:rtl/>
        </w:rPr>
      </w:pPr>
      <w:r>
        <w:rPr>
          <w:rStyle w:val="a9"/>
        </w:rPr>
        <w:footnoteRef/>
      </w:r>
      <w:r>
        <w:rPr>
          <w:rtl/>
        </w:rPr>
        <w:t xml:space="preserve"> </w:t>
      </w:r>
      <w:r w:rsidRPr="00DD3262">
        <w:rPr>
          <w:rFonts w:asciiTheme="minorBidi" w:hAnsiTheme="minorBidi" w:cs="Arial"/>
          <w:rtl/>
        </w:rPr>
        <w:t>ויש לתמוה היאך סתם וכתב והוא שלא יהיו בכלי ראשון דהא במיחם שרי אפילו צונן לתוך חמין</w:t>
      </w:r>
      <w:r>
        <w:rPr>
          <w:rFonts w:asciiTheme="minorBidi" w:hAnsiTheme="minorBidi" w:cs="Arial" w:hint="cs"/>
          <w:rtl/>
        </w:rPr>
        <w:t>,</w:t>
      </w:r>
      <w:r w:rsidRPr="00DD3262">
        <w:rPr>
          <w:rFonts w:asciiTheme="minorBidi" w:hAnsiTheme="minorBidi" w:cs="Arial"/>
          <w:rtl/>
        </w:rPr>
        <w:t xml:space="preserve"> והוא שיהו הצונן מרובין כדאוקי אביי מתניתין דהכי קאמר מיחם שפינהו ויש בו מים חמין לא יתן לתוכו מים מועטין בשביל שיחמו אבל נותן לתוכו מים מרובין כדי להפשירן. </w:t>
      </w:r>
      <w:r>
        <w:rPr>
          <w:rFonts w:asciiTheme="minorBidi" w:hAnsiTheme="minorBidi" w:cs="Arial" w:hint="cs"/>
          <w:rtl/>
        </w:rPr>
        <w:t xml:space="preserve">    </w:t>
      </w:r>
      <w:r w:rsidRPr="00DD3262">
        <w:rPr>
          <w:rFonts w:asciiTheme="minorBidi" w:hAnsiTheme="minorBidi" w:cs="Arial"/>
          <w:rtl/>
        </w:rPr>
        <w:t>ולפיכך נ"ל דהרמב"ם סבר דלא נקטינן כאביי אלא כאוקימתא קמייתא דרב אדא דאוקי מתניתין דהכי קאמר מיחם שפינה ממנו מים חמין לא יתן לתוכו מים מועטין כדי שיחמו אבל נותן לתוכו מים מרובין כדי להפשירן ואף על גב דמצרף לית לן בה</w:t>
      </w:r>
      <w:r>
        <w:rPr>
          <w:rFonts w:asciiTheme="minorBidi" w:hAnsiTheme="minorBidi" w:cs="Arial" w:hint="cs"/>
          <w:rtl/>
        </w:rPr>
        <w:t>,</w:t>
      </w:r>
      <w:r w:rsidRPr="00DD3262">
        <w:rPr>
          <w:rFonts w:asciiTheme="minorBidi" w:hAnsiTheme="minorBidi" w:cs="Arial"/>
          <w:rtl/>
        </w:rPr>
        <w:t xml:space="preserve"> דמתניתין מני רבי שמעון היא דאמר דבר שאין מתכוין מותר</w:t>
      </w:r>
      <w:r>
        <w:rPr>
          <w:rFonts w:asciiTheme="minorBidi" w:hAnsiTheme="minorBidi" w:cs="Arial" w:hint="cs"/>
          <w:rtl/>
        </w:rPr>
        <w:t>,</w:t>
      </w:r>
      <w:r w:rsidRPr="00DD3262">
        <w:rPr>
          <w:rFonts w:asciiTheme="minorBidi" w:hAnsiTheme="minorBidi" w:cs="Arial"/>
          <w:rtl/>
        </w:rPr>
        <w:t xml:space="preserve"> דכיון דמוקי מתניתין אליבא דהלכתא עדיף טפי מאוקימתא דאביי דאוקמה כרבי יהודה דלא קיימא לן כוותיה</w:t>
      </w:r>
      <w:r>
        <w:rPr>
          <w:rFonts w:asciiTheme="minorBidi" w:hAnsiTheme="minorBidi" w:cs="Arial" w:hint="cs"/>
          <w:rtl/>
        </w:rPr>
        <w:t>.</w:t>
      </w:r>
      <w:r w:rsidRPr="00DD3262">
        <w:rPr>
          <w:rFonts w:asciiTheme="minorBidi" w:hAnsiTheme="minorBidi" w:cs="Arial"/>
          <w:rtl/>
        </w:rPr>
        <w:t xml:space="preserve"> ומאי דאתקיף אביי לרב אדא מידי מיחם שפינה ממנו מים קתני מיחם שפינהו קתני אינו כדאי לדחות אוקימתיה</w:t>
      </w:r>
      <w:r>
        <w:rPr>
          <w:rFonts w:asciiTheme="minorBidi" w:hAnsiTheme="minorBidi" w:cs="Arial" w:hint="cs"/>
          <w:rtl/>
        </w:rPr>
        <w:t>,</w:t>
      </w:r>
      <w:r w:rsidRPr="00DD3262">
        <w:rPr>
          <w:rFonts w:asciiTheme="minorBidi" w:hAnsiTheme="minorBidi" w:cs="Arial"/>
          <w:rtl/>
        </w:rPr>
        <w:t xml:space="preserve"> דכמה משניות מיתרצות בענין יותר דחוק מזה</w:t>
      </w:r>
      <w:r>
        <w:rPr>
          <w:rFonts w:asciiTheme="minorBidi" w:hAnsiTheme="minorBidi" w:cs="Arial" w:hint="cs"/>
          <w:rtl/>
        </w:rPr>
        <w:t>.</w:t>
      </w:r>
      <w:r w:rsidRPr="00DD3262">
        <w:rPr>
          <w:rFonts w:asciiTheme="minorBidi" w:hAnsiTheme="minorBidi" w:cs="Arial"/>
          <w:rtl/>
        </w:rPr>
        <w:t xml:space="preserve"> ואביי נמי לאו למידחייה אתא אלא לתרוצי שפיר טפי לישנא דמתניתין דבדוקא קתני שפינהו דהיינו שפינהו למיחם עצמו ומדקתני מיחם שפינהו ולא קתני מיחם שפינה ממנו מים אלמא כשפינה ממנו מים לעולם אסור ומשום הכי איצטריך לאוקומי מתניתין כרבי יהודה אע</w:t>
      </w:r>
      <w:r>
        <w:rPr>
          <w:rFonts w:asciiTheme="minorBidi" w:hAnsiTheme="minorBidi" w:cs="Arial" w:hint="cs"/>
          <w:rtl/>
        </w:rPr>
        <w:t>"</w:t>
      </w:r>
      <w:r w:rsidRPr="00DD3262">
        <w:rPr>
          <w:rFonts w:asciiTheme="minorBidi" w:hAnsiTheme="minorBidi" w:cs="Arial"/>
          <w:rtl/>
        </w:rPr>
        <w:t>ג דלא קיי</w:t>
      </w:r>
      <w:r>
        <w:rPr>
          <w:rFonts w:asciiTheme="minorBidi" w:hAnsiTheme="minorBidi" w:cs="Arial" w:hint="cs"/>
          <w:rtl/>
        </w:rPr>
        <w:t>"</w:t>
      </w:r>
      <w:r w:rsidRPr="00DD3262">
        <w:rPr>
          <w:rFonts w:asciiTheme="minorBidi" w:hAnsiTheme="minorBidi" w:cs="Arial"/>
          <w:rtl/>
        </w:rPr>
        <w:t xml:space="preserve">ל כוותיה הילכך לאוקומי מתניתין דמאי פינהו שפינה ממנו כדאוקי רב אדא דהוי אליבא דהלכתא עדיף טפי. ועוד דהא רב דאמר לא שנו אלא שיעור להפשיר אבל שיעור לצרף אסור על כרחך כרב אדא משמע ליה וכדפירש רש"י ושמואל דאמר אפילו שיעור לצרף מסתמא לא פליג ארב באוקימתא דמתניתין. ואף על פי שבפירוש המשנה כתב הרמב"ם כאוקימתא דאביי כבר מצינו בהרבה מקומות בחיבור שחזר בו ממה שכתב בפירוש המשנה. </w:t>
      </w:r>
      <w:r>
        <w:rPr>
          <w:rFonts w:asciiTheme="minorBidi" w:hAnsiTheme="minorBidi" w:cs="Arial" w:hint="cs"/>
          <w:rtl/>
        </w:rPr>
        <w:t xml:space="preserve">    </w:t>
      </w:r>
      <w:r w:rsidRPr="00DD3262">
        <w:rPr>
          <w:rFonts w:asciiTheme="minorBidi" w:hAnsiTheme="minorBidi" w:cs="Arial"/>
          <w:rtl/>
        </w:rPr>
        <w:t>והשתא לפי דבריו בחיבור לא נצטרך לומר דהאי אמבטי הוי כלי שני</w:t>
      </w:r>
      <w:r>
        <w:rPr>
          <w:rFonts w:asciiTheme="minorBidi" w:hAnsiTheme="minorBidi" w:cs="Arial" w:hint="cs"/>
          <w:rtl/>
        </w:rPr>
        <w:t>,</w:t>
      </w:r>
      <w:r w:rsidRPr="00DD3262">
        <w:rPr>
          <w:rFonts w:asciiTheme="minorBidi" w:hAnsiTheme="minorBidi" w:cs="Arial"/>
          <w:rtl/>
        </w:rPr>
        <w:t xml:space="preserve"> ולא הוי כאידך אמבטי דאיתא בההוא פירקא (מ:) דקאמר ביקשתי להניח פך באמבטי כדברי התוספות (מב. ד"ה אבל)</w:t>
      </w:r>
      <w:r>
        <w:rPr>
          <w:rFonts w:asciiTheme="minorBidi" w:hAnsiTheme="minorBidi" w:cs="Arial" w:hint="cs"/>
          <w:rtl/>
        </w:rPr>
        <w:t>.</w:t>
      </w:r>
      <w:r w:rsidRPr="00DD3262">
        <w:rPr>
          <w:rFonts w:asciiTheme="minorBidi" w:hAnsiTheme="minorBidi" w:cs="Arial"/>
          <w:rtl/>
        </w:rPr>
        <w:t xml:space="preserve"> </w:t>
      </w:r>
      <w:r>
        <w:rPr>
          <w:rFonts w:asciiTheme="minorBidi" w:hAnsiTheme="minorBidi" w:cs="Arial" w:hint="cs"/>
          <w:rtl/>
        </w:rPr>
        <w:t xml:space="preserve">     </w:t>
      </w:r>
      <w:r w:rsidRPr="00DD3262">
        <w:rPr>
          <w:rFonts w:asciiTheme="minorBidi" w:hAnsiTheme="minorBidi" w:cs="Arial"/>
          <w:rtl/>
        </w:rPr>
        <w:t>וגם לא נצטרך לחלק בין אמבטי שהוא כלי ראשון לשאר כלי ראשון כדברי הר"ן</w:t>
      </w:r>
      <w:r>
        <w:rPr>
          <w:rFonts w:asciiTheme="minorBidi" w:hAnsiTheme="minorBidi" w:cs="Arial" w:hint="cs"/>
          <w:rtl/>
        </w:rPr>
        <w:t>,</w:t>
      </w:r>
      <w:r w:rsidRPr="00DD3262">
        <w:rPr>
          <w:rFonts w:asciiTheme="minorBidi" w:hAnsiTheme="minorBidi" w:cs="Arial"/>
          <w:rtl/>
        </w:rPr>
        <w:t xml:space="preserve"> דאמבטי ודאי כלי ראשון</w:t>
      </w:r>
      <w:r>
        <w:rPr>
          <w:rFonts w:asciiTheme="minorBidi" w:hAnsiTheme="minorBidi" w:cs="Arial" w:hint="cs"/>
          <w:rtl/>
        </w:rPr>
        <w:t>,</w:t>
      </w:r>
      <w:r w:rsidRPr="00DD3262">
        <w:rPr>
          <w:rFonts w:asciiTheme="minorBidi" w:hAnsiTheme="minorBidi" w:cs="Arial"/>
          <w:rtl/>
        </w:rPr>
        <w:t xml:space="preserve"> ודין כל כלי ראשון שוה לו דלא שרי אלא חמין לתוך צונן ולא צונן לתוך חמין</w:t>
      </w:r>
      <w:r>
        <w:rPr>
          <w:rFonts w:asciiTheme="minorBidi" w:hAnsiTheme="minorBidi" w:cs="Arial" w:hint="cs"/>
          <w:rtl/>
        </w:rPr>
        <w:t>.</w:t>
      </w:r>
      <w:r w:rsidRPr="00DD3262">
        <w:rPr>
          <w:rFonts w:asciiTheme="minorBidi" w:hAnsiTheme="minorBidi" w:cs="Arial"/>
          <w:rtl/>
        </w:rPr>
        <w:t xml:space="preserve"> דמתניתין דמיחם שפינהו</w:t>
      </w:r>
      <w:r>
        <w:rPr>
          <w:rFonts w:asciiTheme="minorBidi" w:hAnsiTheme="minorBidi" w:cs="Arial" w:hint="cs"/>
          <w:rtl/>
        </w:rPr>
        <w:t>,</w:t>
      </w:r>
      <w:r w:rsidRPr="00DD3262">
        <w:rPr>
          <w:rFonts w:asciiTheme="minorBidi" w:hAnsiTheme="minorBidi" w:cs="Arial"/>
          <w:rtl/>
        </w:rPr>
        <w:t xml:space="preserve"> לא בפינהו מיירי כלומר ועדיין יש בו מים חמין</w:t>
      </w:r>
      <w:r>
        <w:rPr>
          <w:rFonts w:asciiTheme="minorBidi" w:hAnsiTheme="minorBidi" w:cs="Arial" w:hint="cs"/>
          <w:rtl/>
        </w:rPr>
        <w:t>,</w:t>
      </w:r>
      <w:r w:rsidRPr="00DD3262">
        <w:rPr>
          <w:rFonts w:asciiTheme="minorBidi" w:hAnsiTheme="minorBidi" w:cs="Arial"/>
          <w:rtl/>
        </w:rPr>
        <w:t xml:space="preserve"> דכל כה</w:t>
      </w:r>
      <w:r>
        <w:rPr>
          <w:rFonts w:asciiTheme="minorBidi" w:hAnsiTheme="minorBidi" w:cs="Arial" w:hint="cs"/>
          <w:rtl/>
        </w:rPr>
        <w:t>"</w:t>
      </w:r>
      <w:r w:rsidRPr="00DD3262">
        <w:rPr>
          <w:rFonts w:asciiTheme="minorBidi" w:hAnsiTheme="minorBidi" w:cs="Arial"/>
          <w:rtl/>
        </w:rPr>
        <w:t>ג אסור לתת לתוכו צונן כלל דהיינו אמבטי</w:t>
      </w:r>
      <w:r>
        <w:rPr>
          <w:rFonts w:asciiTheme="minorBidi" w:hAnsiTheme="minorBidi" w:cs="Arial" w:hint="cs"/>
          <w:rtl/>
        </w:rPr>
        <w:t>,</w:t>
      </w:r>
      <w:r w:rsidRPr="00DD3262">
        <w:rPr>
          <w:rFonts w:asciiTheme="minorBidi" w:hAnsiTheme="minorBidi" w:cs="Arial"/>
          <w:rtl/>
        </w:rPr>
        <w:t xml:space="preserve"> אלא כשפינה ממנו מים מיירי</w:t>
      </w:r>
      <w:r>
        <w:rPr>
          <w:rFonts w:asciiTheme="minorBidi" w:hAnsiTheme="minorBidi" w:cs="Arial" w:hint="cs"/>
          <w:rtl/>
        </w:rPr>
        <w:t>,</w:t>
      </w:r>
      <w:r w:rsidRPr="00DD3262">
        <w:rPr>
          <w:rFonts w:asciiTheme="minorBidi" w:hAnsiTheme="minorBidi" w:cs="Arial"/>
          <w:rtl/>
        </w:rPr>
        <w:t xml:space="preserve"> ולאשמועינן דאע</w:t>
      </w:r>
      <w:r>
        <w:rPr>
          <w:rFonts w:asciiTheme="minorBidi" w:hAnsiTheme="minorBidi" w:cs="Arial" w:hint="cs"/>
          <w:rtl/>
        </w:rPr>
        <w:t>"</w:t>
      </w:r>
      <w:r w:rsidRPr="00DD3262">
        <w:rPr>
          <w:rFonts w:asciiTheme="minorBidi" w:hAnsiTheme="minorBidi" w:cs="Arial"/>
          <w:rtl/>
        </w:rPr>
        <w:t xml:space="preserve">ג דמצרף לית לן בה. </w:t>
      </w:r>
      <w:r>
        <w:rPr>
          <w:rFonts w:asciiTheme="minorBidi" w:hAnsiTheme="minorBidi" w:cs="Arial" w:hint="cs"/>
          <w:rtl/>
        </w:rPr>
        <w:t xml:space="preserve">    </w:t>
      </w:r>
      <w:r w:rsidRPr="00DD3262">
        <w:rPr>
          <w:rFonts w:asciiTheme="minorBidi" w:hAnsiTheme="minorBidi" w:cs="Arial"/>
          <w:rtl/>
        </w:rPr>
        <w:t>ומה שכתב הרמב"ם אמבטי של מרחץ</w:t>
      </w:r>
      <w:r>
        <w:rPr>
          <w:rFonts w:asciiTheme="minorBidi" w:hAnsiTheme="minorBidi" w:cs="Arial" w:hint="cs"/>
          <w:rtl/>
        </w:rPr>
        <w:t>,</w:t>
      </w:r>
      <w:r w:rsidRPr="00DD3262">
        <w:rPr>
          <w:rFonts w:asciiTheme="minorBidi" w:hAnsiTheme="minorBidi" w:cs="Arial"/>
          <w:rtl/>
        </w:rPr>
        <w:t xml:space="preserve"> צריך לומר לפי זה דלאו דוקא של מרחץ</w:t>
      </w:r>
      <w:r>
        <w:rPr>
          <w:rFonts w:asciiTheme="minorBidi" w:hAnsiTheme="minorBidi" w:cs="Arial" w:hint="cs"/>
          <w:rtl/>
        </w:rPr>
        <w:t>,</w:t>
      </w:r>
      <w:r w:rsidRPr="00DD3262">
        <w:rPr>
          <w:rFonts w:asciiTheme="minorBidi" w:hAnsiTheme="minorBidi" w:cs="Arial"/>
          <w:rtl/>
        </w:rPr>
        <w:t xml:space="preserve"> אלא משום דברייתא תני אמבטי נקט אמבטי</w:t>
      </w:r>
      <w:r>
        <w:rPr>
          <w:rFonts w:asciiTheme="minorBidi" w:hAnsiTheme="minorBidi" w:cs="Arial" w:hint="cs"/>
          <w:rtl/>
        </w:rPr>
        <w:t>,</w:t>
      </w:r>
      <w:r w:rsidRPr="00DD3262">
        <w:rPr>
          <w:rFonts w:asciiTheme="minorBidi" w:hAnsiTheme="minorBidi" w:cs="Arial"/>
          <w:rtl/>
        </w:rPr>
        <w:t xml:space="preserve"> אבל הוא הדין לכל כלי ראשון</w:t>
      </w:r>
      <w:r>
        <w:rPr>
          <w:rFonts w:asciiTheme="minorBidi" w:hAnsiTheme="minorBidi" w:cs="Arial" w:hint="cs"/>
          <w:rtl/>
        </w:rPr>
        <w:t>.</w:t>
      </w:r>
      <w:r w:rsidRPr="00DD3262">
        <w:rPr>
          <w:rFonts w:asciiTheme="minorBidi" w:hAnsiTheme="minorBidi" w:cs="Arial"/>
          <w:rtl/>
        </w:rPr>
        <w:t xml:space="preserve"> וזהו שכתב אח"כ </w:t>
      </w:r>
      <w:r>
        <w:rPr>
          <w:rFonts w:asciiTheme="minorBidi" w:hAnsiTheme="minorBidi" w:cs="Arial" w:hint="cs"/>
          <w:rtl/>
        </w:rPr>
        <w:t>"</w:t>
      </w:r>
      <w:r w:rsidRPr="00DD3262">
        <w:rPr>
          <w:rFonts w:asciiTheme="minorBidi" w:hAnsiTheme="minorBidi" w:cs="Arial"/>
          <w:rtl/>
        </w:rPr>
        <w:t>ומותר ליצוק מים חמין לתוך מים צונן או צונן לתוך החמין והוא שלא יהיו בכלי ראשון מפני שהוא מחממן הרבה</w:t>
      </w:r>
      <w:r>
        <w:rPr>
          <w:rFonts w:asciiTheme="minorBidi" w:hAnsiTheme="minorBidi" w:cs="Arial" w:hint="cs"/>
          <w:rtl/>
        </w:rPr>
        <w:t>",</w:t>
      </w:r>
      <w:r w:rsidRPr="00DD3262">
        <w:rPr>
          <w:rFonts w:asciiTheme="minorBidi" w:hAnsiTheme="minorBidi" w:cs="Arial"/>
          <w:rtl/>
        </w:rPr>
        <w:t xml:space="preserve"> הרי דבכל כלי ראשון אסר ואפילו אינו עשוי לרחיצה כאמבטי</w:t>
      </w:r>
      <w:r>
        <w:rPr>
          <w:rFonts w:asciiTheme="minorBidi" w:hAnsiTheme="minorBidi" w:cs="Arial" w:hint="cs"/>
          <w:rtl/>
        </w:rPr>
        <w:t>,</w:t>
      </w:r>
      <w:r w:rsidRPr="00DD3262">
        <w:rPr>
          <w:rFonts w:asciiTheme="minorBidi" w:hAnsiTheme="minorBidi" w:cs="Arial"/>
          <w:rtl/>
        </w:rPr>
        <w:t xml:space="preserve"> שהרי הפסיק בין דין דאמבטי לדין זה במיחם שפינה ממנו מים חמין. ואין לומר שמה שכתב </w:t>
      </w:r>
      <w:r>
        <w:rPr>
          <w:rFonts w:asciiTheme="minorBidi" w:hAnsiTheme="minorBidi" w:cs="Arial" w:hint="cs"/>
          <w:rtl/>
        </w:rPr>
        <w:t>"</w:t>
      </w:r>
      <w:r w:rsidRPr="00DD3262">
        <w:rPr>
          <w:rFonts w:asciiTheme="minorBidi" w:hAnsiTheme="minorBidi" w:cs="Arial"/>
          <w:rtl/>
        </w:rPr>
        <w:t>והוא שלא יהיו בכלי ראשון</w:t>
      </w:r>
      <w:r>
        <w:rPr>
          <w:rFonts w:asciiTheme="minorBidi" w:hAnsiTheme="minorBidi" w:cs="Arial" w:hint="cs"/>
          <w:rtl/>
        </w:rPr>
        <w:t>"</w:t>
      </w:r>
      <w:r w:rsidRPr="00DD3262">
        <w:rPr>
          <w:rFonts w:asciiTheme="minorBidi" w:hAnsiTheme="minorBidi" w:cs="Arial"/>
          <w:rtl/>
        </w:rPr>
        <w:t xml:space="preserve"> בנותן צונן מועטין לתוך חמין מרובין דוקא אבל צונן מרובין אין הכי נמי דשרי אפילו בכלי ראשון ולא הוצרך הרמב"ם לכתבו משום דדבר פשוט הוא</w:t>
      </w:r>
      <w:r>
        <w:rPr>
          <w:rFonts w:asciiTheme="minorBidi" w:hAnsiTheme="minorBidi" w:cs="Arial" w:hint="cs"/>
          <w:rtl/>
        </w:rPr>
        <w:t xml:space="preserve"> -</w:t>
      </w:r>
      <w:r>
        <w:rPr>
          <w:rFonts w:asciiTheme="minorBidi" w:hAnsiTheme="minorBidi" w:cs="Arial" w:hint="cs"/>
          <w:sz w:val="16"/>
          <w:szCs w:val="16"/>
          <w:rtl/>
        </w:rPr>
        <w:t xml:space="preserve"> {אין לומר כן}</w:t>
      </w:r>
      <w:r w:rsidRPr="00DD3262">
        <w:rPr>
          <w:rFonts w:asciiTheme="minorBidi" w:hAnsiTheme="minorBidi" w:cs="Arial"/>
          <w:rtl/>
        </w:rPr>
        <w:t xml:space="preserve"> דמכל מקום הוה ליה לכתבו כדי לאשמועינן דלא גזרינן ביה</w:t>
      </w:r>
      <w:r>
        <w:rPr>
          <w:rFonts w:asciiTheme="minorBidi" w:hAnsiTheme="minorBidi" w:cs="Arial" w:hint="cs"/>
          <w:rtl/>
        </w:rPr>
        <w:t>.</w:t>
      </w:r>
      <w:r w:rsidRPr="00DD3262">
        <w:rPr>
          <w:rFonts w:asciiTheme="minorBidi" w:hAnsiTheme="minorBidi" w:cs="Arial"/>
          <w:rtl/>
        </w:rPr>
        <w:t xml:space="preserve"> ועוד כיון דמתניתין אתיא לאשמועינן הא מילתא אליבא דאביי לא הוה ליה להשמיטו.</w:t>
      </w:r>
      <w:r>
        <w:rPr>
          <w:rFonts w:asciiTheme="minorBidi" w:hAnsiTheme="minorBidi" w:cs="Arial" w:hint="cs"/>
          <w:rtl/>
        </w:rPr>
        <w:t xml:space="preserve">    </w:t>
      </w:r>
      <w:r w:rsidRPr="00DD3262">
        <w:rPr>
          <w:rFonts w:asciiTheme="minorBidi" w:hAnsiTheme="minorBidi" w:cs="Arial"/>
          <w:rtl/>
        </w:rPr>
        <w:t xml:space="preserve"> ומיהו אפשר שסמך על מה שכתב </w:t>
      </w:r>
      <w:r>
        <w:rPr>
          <w:rFonts w:asciiTheme="minorBidi" w:hAnsiTheme="minorBidi" w:cs="Arial" w:hint="cs"/>
          <w:rtl/>
        </w:rPr>
        <w:t>"</w:t>
      </w:r>
      <w:r w:rsidRPr="00DD3262">
        <w:rPr>
          <w:rFonts w:asciiTheme="minorBidi" w:hAnsiTheme="minorBidi" w:cs="Arial"/>
          <w:rtl/>
        </w:rPr>
        <w:t>והוא שלא יהיו בכלי ראשון מפני שהוא מחממן הרבה</w:t>
      </w:r>
      <w:r>
        <w:rPr>
          <w:rFonts w:asciiTheme="minorBidi" w:hAnsiTheme="minorBidi" w:cs="Arial" w:hint="cs"/>
          <w:rtl/>
        </w:rPr>
        <w:t>"</w:t>
      </w:r>
      <w:r w:rsidRPr="00DD3262">
        <w:rPr>
          <w:rFonts w:asciiTheme="minorBidi" w:hAnsiTheme="minorBidi" w:cs="Arial"/>
          <w:rtl/>
        </w:rPr>
        <w:t xml:space="preserve"> דמשמע דבצונן מועטים מיירי שהן מתחממין הרבה אבל בצונן מרובים שרי. </w:t>
      </w:r>
      <w:r>
        <w:rPr>
          <w:rFonts w:asciiTheme="minorBidi" w:hAnsiTheme="minorBidi" w:cs="Arial" w:hint="cs"/>
          <w:rtl/>
        </w:rPr>
        <w:t xml:space="preserve">     </w:t>
      </w:r>
      <w:r w:rsidRPr="00DD3262">
        <w:rPr>
          <w:rFonts w:asciiTheme="minorBidi" w:hAnsiTheme="minorBidi" w:cs="Arial"/>
          <w:rtl/>
        </w:rPr>
        <w:t xml:space="preserve">ודבר ברור הוא שמה שכתב </w:t>
      </w:r>
      <w:r>
        <w:rPr>
          <w:rFonts w:asciiTheme="minorBidi" w:hAnsiTheme="minorBidi" w:cs="Arial" w:hint="cs"/>
          <w:rtl/>
        </w:rPr>
        <w:t>"</w:t>
      </w:r>
      <w:r w:rsidRPr="00DD3262">
        <w:rPr>
          <w:rFonts w:asciiTheme="minorBidi" w:hAnsiTheme="minorBidi" w:cs="Arial"/>
          <w:rtl/>
        </w:rPr>
        <w:t>והוא שלא יהיו בכלי ראשון</w:t>
      </w:r>
      <w:r>
        <w:rPr>
          <w:rFonts w:asciiTheme="minorBidi" w:hAnsiTheme="minorBidi" w:cs="Arial" w:hint="cs"/>
          <w:rtl/>
        </w:rPr>
        <w:t>"</w:t>
      </w:r>
      <w:r w:rsidRPr="00DD3262">
        <w:rPr>
          <w:rFonts w:asciiTheme="minorBidi" w:hAnsiTheme="minorBidi" w:cs="Arial"/>
          <w:rtl/>
        </w:rPr>
        <w:t xml:space="preserve"> לא קאי אלא אצונן לתוך חמין אבל חמין לתוך צונן בכלי ראשון נמי שרי</w:t>
      </w:r>
      <w:r>
        <w:rPr>
          <w:rFonts w:asciiTheme="minorBidi" w:hAnsiTheme="minorBidi" w:cs="Arial" w:hint="cs"/>
          <w:rtl/>
        </w:rPr>
        <w:t xml:space="preserve">, </w:t>
      </w:r>
      <w:r w:rsidRPr="0093742B">
        <w:rPr>
          <w:rFonts w:asciiTheme="minorBidi" w:hAnsiTheme="minorBidi" w:cs="Arial" w:hint="cs"/>
          <w:b/>
          <w:bCs/>
          <w:rtl/>
        </w:rPr>
        <w:t>ב"י</w:t>
      </w:r>
      <w:r>
        <w:rPr>
          <w:rFonts w:asciiTheme="minorBidi" w:hAnsiTheme="minorBidi" w:cs="Arial" w:hint="cs"/>
          <w:rtl/>
        </w:rPr>
        <w:t>.</w:t>
      </w:r>
    </w:p>
  </w:footnote>
  <w:footnote w:id="2839">
    <w:p w14:paraId="2BA6158C"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ולא אמרינן דמצרף הכלי, דדבר שאין מתכוין הוא ולאו פסיק רישיה הוא, מג"א (סקל"ו).</w:t>
      </w:r>
    </w:p>
  </w:footnote>
  <w:footnote w:id="2840">
    <w:p w14:paraId="1D955721" w14:textId="006760C2"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המים החמים שיוצק צונן אליהם</w:t>
      </w:r>
      <w:r w:rsidR="008C37A2">
        <w:rPr>
          <w:rFonts w:asciiTheme="minorBidi" w:hAnsiTheme="minorBidi" w:hint="cs"/>
          <w:rtl/>
        </w:rPr>
        <w:t xml:space="preserve"> בכלי ראשון.</w:t>
      </w:r>
      <w:r w:rsidRPr="008C1C8E">
        <w:rPr>
          <w:rFonts w:asciiTheme="minorBidi" w:hAnsiTheme="minorBidi"/>
          <w:rtl/>
        </w:rPr>
        <w:t xml:space="preserve"> אבל כשיוצק מים חמים לתוך צונן שרי ליצוק אפי' מכלי ראשון של מים חמים לתוך הצונן, </w:t>
      </w:r>
      <w:r w:rsidR="008C37A2">
        <w:rPr>
          <w:rFonts w:asciiTheme="minorBidi" w:hAnsiTheme="minorBidi" w:hint="cs"/>
          <w:rtl/>
        </w:rPr>
        <w:t xml:space="preserve">ע"פ </w:t>
      </w:r>
      <w:r w:rsidRPr="008C1C8E">
        <w:rPr>
          <w:rFonts w:asciiTheme="minorBidi" w:hAnsiTheme="minorBidi"/>
          <w:rtl/>
        </w:rPr>
        <w:t>ב"י.</w:t>
      </w:r>
    </w:p>
  </w:footnote>
  <w:footnote w:id="2841">
    <w:p w14:paraId="1B50C68D" w14:textId="0790E7B6" w:rsidR="007064B5" w:rsidRDefault="007064B5">
      <w:pPr>
        <w:pStyle w:val="a7"/>
        <w:rPr>
          <w:rtl/>
        </w:rPr>
      </w:pPr>
      <w:r>
        <w:rPr>
          <w:rStyle w:val="a9"/>
        </w:rPr>
        <w:footnoteRef/>
      </w:r>
      <w:r>
        <w:rPr>
          <w:rtl/>
        </w:rPr>
        <w:t xml:space="preserve"> </w:t>
      </w:r>
      <w:r w:rsidRPr="007064B5">
        <w:rPr>
          <w:rFonts w:cs="Arial"/>
          <w:rtl/>
        </w:rPr>
        <w:t>בשבת, ובחמי טבריא הוה שלא נאסרו, כדאמר לעיל התירו להם חמי טבריא</w:t>
      </w:r>
      <w:r>
        <w:rPr>
          <w:rFonts w:hint="cs"/>
          <w:rtl/>
        </w:rPr>
        <w:t>, רש"י.</w:t>
      </w:r>
    </w:p>
  </w:footnote>
  <w:footnote w:id="2842">
    <w:p w14:paraId="11B4771B" w14:textId="7AA8CDFE" w:rsidR="007064B5" w:rsidRDefault="007064B5">
      <w:pPr>
        <w:pStyle w:val="a7"/>
      </w:pPr>
      <w:r>
        <w:rPr>
          <w:rStyle w:val="a9"/>
        </w:rPr>
        <w:footnoteRef/>
      </w:r>
      <w:r>
        <w:rPr>
          <w:rtl/>
        </w:rPr>
        <w:t xml:space="preserve"> </w:t>
      </w:r>
      <w:r w:rsidRPr="008C1C8E">
        <w:rPr>
          <w:rFonts w:asciiTheme="minorBidi" w:hAnsiTheme="minorBidi"/>
          <w:rtl/>
        </w:rPr>
        <w:t>להפשיר, לסוך הימנו קודם הרחיצה, רש"י</w:t>
      </w:r>
      <w:r>
        <w:rPr>
          <w:rFonts w:asciiTheme="minorBidi" w:hAnsiTheme="minorBidi" w:hint="cs"/>
          <w:rtl/>
        </w:rPr>
        <w:t>.</w:t>
      </w:r>
    </w:p>
  </w:footnote>
  <w:footnote w:id="2843">
    <w:p w14:paraId="053C5A78" w14:textId="35093BA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w:t>
      </w:r>
      <w:r w:rsidR="007064B5" w:rsidRPr="007064B5">
        <w:rPr>
          <w:rFonts w:asciiTheme="minorBidi" w:hAnsiTheme="minorBidi" w:cs="Arial"/>
          <w:rtl/>
        </w:rPr>
        <w:t>כגון בריכה עשויה בקרקע, שהמים נכנסים שם ונאספין</w:t>
      </w:r>
      <w:r w:rsidRPr="008C1C8E">
        <w:rPr>
          <w:rFonts w:asciiTheme="minorBidi" w:hAnsiTheme="minorBidi"/>
          <w:rtl/>
        </w:rPr>
        <w:t>, רש"י.</w:t>
      </w:r>
    </w:p>
  </w:footnote>
  <w:footnote w:id="2844">
    <w:p w14:paraId="77675A0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מן המים, רש"י.</w:t>
      </w:r>
    </w:p>
  </w:footnote>
  <w:footnote w:id="2845">
    <w:p w14:paraId="52F58D5E" w14:textId="39B16691"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שיצטננו מעט, דכלי שני אינו מבשל, ואח</w:t>
      </w:r>
      <w:r w:rsidR="00A802A7">
        <w:rPr>
          <w:rFonts w:asciiTheme="minorBidi" w:hAnsiTheme="minorBidi" w:hint="cs"/>
          <w:rtl/>
        </w:rPr>
        <w:t>"</w:t>
      </w:r>
      <w:r w:rsidRPr="008C1C8E">
        <w:rPr>
          <w:rFonts w:asciiTheme="minorBidi" w:hAnsiTheme="minorBidi"/>
          <w:rtl/>
        </w:rPr>
        <w:t>כ תן הפך לתוך אותו כלי שני, דהך אמבטי שהחמין נמשכין לה מן המעיין חשיב לה ככלי ראשון שנרתחו בו, שאע</w:t>
      </w:r>
      <w:r w:rsidR="00A802A7">
        <w:rPr>
          <w:rFonts w:asciiTheme="minorBidi" w:hAnsiTheme="minorBidi" w:hint="cs"/>
          <w:rtl/>
        </w:rPr>
        <w:t>"</w:t>
      </w:r>
      <w:r w:rsidRPr="008C1C8E">
        <w:rPr>
          <w:rFonts w:asciiTheme="minorBidi" w:hAnsiTheme="minorBidi"/>
          <w:rtl/>
        </w:rPr>
        <w:t xml:space="preserve">פ שהעבירו מעל האור - מבשל, כדתנן לקמן </w:t>
      </w:r>
      <w:r w:rsidRPr="008C1C8E">
        <w:rPr>
          <w:rFonts w:asciiTheme="minorBidi" w:hAnsiTheme="minorBidi"/>
          <w:sz w:val="16"/>
          <w:szCs w:val="16"/>
          <w:rtl/>
        </w:rPr>
        <w:t>(מב</w:t>
      </w:r>
      <w:r w:rsidR="00A802A7">
        <w:rPr>
          <w:rFonts w:asciiTheme="minorBidi" w:hAnsiTheme="minorBidi" w:hint="cs"/>
          <w:sz w:val="16"/>
          <w:szCs w:val="16"/>
          <w:rtl/>
        </w:rPr>
        <w:t>.</w:t>
      </w:r>
      <w:r w:rsidRPr="008C1C8E">
        <w:rPr>
          <w:rFonts w:asciiTheme="minorBidi" w:hAnsiTheme="minorBidi"/>
          <w:sz w:val="16"/>
          <w:szCs w:val="16"/>
          <w:rtl/>
        </w:rPr>
        <w:t>)</w:t>
      </w:r>
      <w:r w:rsidRPr="008C1C8E">
        <w:rPr>
          <w:rFonts w:asciiTheme="minorBidi" w:hAnsiTheme="minorBidi"/>
          <w:rtl/>
        </w:rPr>
        <w:t xml:space="preserve"> האילפס והקדירה שהעבירן מרותחין - לא יתן לתוכן תבלין, רש"י. </w:t>
      </w:r>
    </w:p>
  </w:footnote>
  <w:footnote w:id="2846">
    <w:p w14:paraId="313D2C49" w14:textId="7583CFEE"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הט"ז </w:t>
      </w:r>
      <w:r w:rsidRPr="008C1C8E">
        <w:rPr>
          <w:rFonts w:asciiTheme="minorBidi" w:hAnsiTheme="minorBidi"/>
          <w:sz w:val="16"/>
          <w:szCs w:val="16"/>
          <w:rtl/>
        </w:rPr>
        <w:t xml:space="preserve">(יו"ד סי' צב סק"ל, וגם כאן) </w:t>
      </w:r>
      <w:r w:rsidRPr="008C1C8E">
        <w:rPr>
          <w:rFonts w:asciiTheme="minorBidi" w:hAnsiTheme="minorBidi"/>
          <w:rtl/>
        </w:rPr>
        <w:t xml:space="preserve">העיר שהכלי שדולה ממנו מים מהאמבטי חשיב כ"ר </w:t>
      </w:r>
      <w:r w:rsidRPr="008C1C8E">
        <w:rPr>
          <w:rFonts w:asciiTheme="minorBidi" w:hAnsiTheme="minorBidi"/>
          <w:sz w:val="16"/>
          <w:szCs w:val="16"/>
          <w:rtl/>
        </w:rPr>
        <w:t xml:space="preserve">(לחומרא- לעניין שבת, ולא לקולא- לעניין או"ה) </w:t>
      </w:r>
      <w:r w:rsidRPr="008C1C8E">
        <w:rPr>
          <w:rFonts w:asciiTheme="minorBidi" w:hAnsiTheme="minorBidi"/>
          <w:rtl/>
        </w:rPr>
        <w:t>משום שדפנותיו מתחממות שם, ולכן צריך לערות מאותו כלי שדולה ממנו מים לכלי אחר והוא יקרא כ"ש, וכ"כ באו"ה</w:t>
      </w:r>
      <w:r w:rsidRPr="008C1C8E">
        <w:rPr>
          <w:rFonts w:asciiTheme="minorBidi" w:hAnsiTheme="minorBidi"/>
          <w:sz w:val="16"/>
          <w:szCs w:val="16"/>
          <w:rtl/>
        </w:rPr>
        <w:t xml:space="preserve"> (כלל כז אות ב)</w:t>
      </w:r>
      <w:r w:rsidRPr="008C1C8E">
        <w:rPr>
          <w:rFonts w:asciiTheme="minorBidi" w:hAnsiTheme="minorBidi"/>
          <w:rtl/>
        </w:rPr>
        <w:t xml:space="preserve">. וכ' תרוה"ד </w:t>
      </w:r>
      <w:r w:rsidRPr="008C1C8E">
        <w:rPr>
          <w:rFonts w:asciiTheme="minorBidi" w:hAnsiTheme="minorBidi"/>
          <w:sz w:val="16"/>
          <w:szCs w:val="16"/>
          <w:rtl/>
        </w:rPr>
        <w:t>(הל' הגעלת כלים אות ז)</w:t>
      </w:r>
      <w:r w:rsidRPr="008C1C8E">
        <w:rPr>
          <w:rFonts w:asciiTheme="minorBidi" w:hAnsiTheme="minorBidi"/>
          <w:rtl/>
        </w:rPr>
        <w:t xml:space="preserve"> שכלי שדולים איתו מים מתוך הכ"ר דינו כ"ש רק אם משאירו שם עד שיעלה רתיחות בתוכו, דרק אז שפיר מתקרי כ"ר.  </w:t>
      </w:r>
    </w:p>
  </w:footnote>
  <w:footnote w:id="2847">
    <w:p w14:paraId="12D8BDE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ואין לטמון כל הכלי בתוך הכלי שני דא"כ ה"ל הטמנה, אלא צריך להיות מגולה למעלה, ט"ז (סקי"ט). </w:t>
      </w:r>
    </w:p>
  </w:footnote>
  <w:footnote w:id="2848">
    <w:p w14:paraId="0786AB10" w14:textId="48CF1BC3" w:rsidR="004D6A0F" w:rsidRDefault="004D6A0F">
      <w:pPr>
        <w:pStyle w:val="a7"/>
      </w:pPr>
      <w:r>
        <w:rPr>
          <w:rStyle w:val="a9"/>
        </w:rPr>
        <w:footnoteRef/>
      </w:r>
      <w:r>
        <w:rPr>
          <w:rtl/>
        </w:rPr>
        <w:t xml:space="preserve"> </w:t>
      </w:r>
      <w:r w:rsidRPr="004D6A0F">
        <w:rPr>
          <w:rFonts w:cs="Arial"/>
          <w:rtl/>
        </w:rPr>
        <w:t>לא שיניחם שם עד שיחמו</w:t>
      </w:r>
      <w:r>
        <w:rPr>
          <w:rFonts w:cs="Arial" w:hint="cs"/>
          <w:rtl/>
        </w:rPr>
        <w:t>, רש"י.</w:t>
      </w:r>
    </w:p>
  </w:footnote>
  <w:footnote w:id="2849">
    <w:p w14:paraId="705B8E39" w14:textId="743F3CFD" w:rsidR="004D6A0F" w:rsidRDefault="004D6A0F">
      <w:pPr>
        <w:pStyle w:val="a7"/>
        <w:rPr>
          <w:rtl/>
        </w:rPr>
      </w:pPr>
      <w:r>
        <w:rPr>
          <w:rStyle w:val="a9"/>
        </w:rPr>
        <w:footnoteRef/>
      </w:r>
      <w:r>
        <w:rPr>
          <w:rtl/>
        </w:rPr>
        <w:t xml:space="preserve"> </w:t>
      </w:r>
      <w:r w:rsidRPr="004D6A0F">
        <w:rPr>
          <w:rFonts w:cs="Arial"/>
          <w:rtl/>
        </w:rPr>
        <w:t>במקצתן, שתפיג - שתתחלף, כמו וריחו לא נמר (ירמיה מח) מתרגמין: וריחיה לא פג</w:t>
      </w:r>
      <w:r>
        <w:rPr>
          <w:rFonts w:hint="cs"/>
          <w:rtl/>
        </w:rPr>
        <w:t>, רש"י.</w:t>
      </w:r>
    </w:p>
  </w:footnote>
  <w:footnote w:id="2850">
    <w:p w14:paraId="4175685B" w14:textId="77F33BE9" w:rsidR="004D6A0F" w:rsidRDefault="004D6A0F">
      <w:pPr>
        <w:pStyle w:val="a7"/>
      </w:pPr>
      <w:r>
        <w:rPr>
          <w:rStyle w:val="a9"/>
        </w:rPr>
        <w:footnoteRef/>
      </w:r>
      <w:r>
        <w:rPr>
          <w:rtl/>
        </w:rPr>
        <w:t xml:space="preserve"> </w:t>
      </w:r>
      <w:r w:rsidRPr="004D6A0F">
        <w:rPr>
          <w:rFonts w:cs="Arial"/>
          <w:rtl/>
        </w:rPr>
        <w:t>שלא תניחנו שם כדי בישול, שתהא היד סולדת בו</w:t>
      </w:r>
      <w:r>
        <w:rPr>
          <w:rFonts w:cs="Arial" w:hint="cs"/>
          <w:rtl/>
        </w:rPr>
        <w:t>, רש"י.</w:t>
      </w:r>
    </w:p>
  </w:footnote>
  <w:footnote w:id="2851">
    <w:p w14:paraId="5E1EA879" w14:textId="4C75B491" w:rsidR="004D6A0F" w:rsidRDefault="004D6A0F">
      <w:pPr>
        <w:pStyle w:val="a7"/>
        <w:rPr>
          <w:rtl/>
        </w:rPr>
      </w:pPr>
      <w:r>
        <w:rPr>
          <w:rStyle w:val="a9"/>
        </w:rPr>
        <w:footnoteRef/>
      </w:r>
      <w:r>
        <w:rPr>
          <w:rtl/>
        </w:rPr>
        <w:t xml:space="preserve"> </w:t>
      </w:r>
      <w:r w:rsidRPr="004D6A0F">
        <w:rPr>
          <w:rFonts w:cs="Arial"/>
          <w:rtl/>
        </w:rPr>
        <w:t>אבל להפשירו בפך כדרך שעושה בחול - לא, ופליג אדר' יהודה</w:t>
      </w:r>
      <w:r>
        <w:rPr>
          <w:rFonts w:hint="cs"/>
          <w:rtl/>
        </w:rPr>
        <w:t>, רש"י.</w:t>
      </w:r>
    </w:p>
  </w:footnote>
  <w:footnote w:id="2852">
    <w:p w14:paraId="5463C133" w14:textId="780A1DFF" w:rsidR="004D6A0F" w:rsidRDefault="004D6A0F">
      <w:pPr>
        <w:pStyle w:val="a7"/>
      </w:pPr>
      <w:r>
        <w:rPr>
          <w:rStyle w:val="a9"/>
        </w:rPr>
        <w:footnoteRef/>
      </w:r>
      <w:r>
        <w:rPr>
          <w:rtl/>
        </w:rPr>
        <w:t xml:space="preserve"> </w:t>
      </w:r>
      <w:r w:rsidRPr="004D6A0F">
        <w:rPr>
          <w:rFonts w:cs="Arial"/>
          <w:rtl/>
        </w:rPr>
        <w:t>נמשכת לאחוריה מדאגה שלא תכוה, וזהו לשון ואסלדה בחילה (איוב ו) - ואדאג ברעדה, ואמשך מתלונתי מדאגת יום הדין, אם הייתי יודע שמיתתי קרובה ולא יחמול</w:t>
      </w:r>
      <w:r>
        <w:rPr>
          <w:rFonts w:cs="Arial" w:hint="cs"/>
          <w:rtl/>
        </w:rPr>
        <w:t>, רש"י.</w:t>
      </w:r>
    </w:p>
  </w:footnote>
  <w:footnote w:id="2853">
    <w:p w14:paraId="2A8AE15A" w14:textId="46ECF786" w:rsidR="00D201E6" w:rsidRDefault="00D201E6">
      <w:pPr>
        <w:pStyle w:val="a7"/>
      </w:pPr>
      <w:r>
        <w:rPr>
          <w:rStyle w:val="a9"/>
        </w:rPr>
        <w:footnoteRef/>
      </w:r>
      <w:r>
        <w:rPr>
          <w:rtl/>
        </w:rPr>
        <w:t xml:space="preserve"> </w:t>
      </w:r>
      <w:r>
        <w:rPr>
          <w:rFonts w:hint="cs"/>
          <w:rtl/>
        </w:rPr>
        <w:t>וכן בהלכה ד'.</w:t>
      </w:r>
    </w:p>
  </w:footnote>
  <w:footnote w:id="2854">
    <w:p w14:paraId="644663C6" w14:textId="52D2DEB2" w:rsidR="003D6876" w:rsidRDefault="003D6876">
      <w:pPr>
        <w:pStyle w:val="a7"/>
      </w:pPr>
      <w:r>
        <w:rPr>
          <w:rStyle w:val="a9"/>
        </w:rPr>
        <w:footnoteRef/>
      </w:r>
      <w:r>
        <w:rPr>
          <w:rtl/>
        </w:rPr>
        <w:t xml:space="preserve"> </w:t>
      </w:r>
      <w:r>
        <w:rPr>
          <w:rFonts w:cs="Arial" w:hint="cs"/>
          <w:rtl/>
        </w:rPr>
        <w:t xml:space="preserve">וז"ל התוס'- </w:t>
      </w:r>
      <w:r w:rsidRPr="003D6876">
        <w:rPr>
          <w:rFonts w:cs="Arial"/>
          <w:rtl/>
        </w:rPr>
        <w:t>ונראה לרשב"א</w:t>
      </w:r>
      <w:r>
        <w:rPr>
          <w:rFonts w:cs="Arial" w:hint="cs"/>
          <w:sz w:val="16"/>
          <w:szCs w:val="16"/>
          <w:rtl/>
        </w:rPr>
        <w:t xml:space="preserve"> {רבנו שמשון בר אברהם}</w:t>
      </w:r>
      <w:r w:rsidRPr="003D6876">
        <w:rPr>
          <w:rFonts w:cs="Arial"/>
          <w:rtl/>
        </w:rPr>
        <w:t xml:space="preserve"> דהא דשרינן לתת קיתון של מים כנגד המדורה היינו ברחוק מן המדורה שלעולם לא יוכל לבא לידי בשול אבל בקרוב אסור אפי' להפשיר דילמא משתלי ואתי להניחן שם עד שיתבשל ולהכי מסיק הכא דאסור ולא בשביל שיחמו דקתני התם היינו כלומר במקום שיכול לבא לידי שיחמו והלשון דחוק קצת</w:t>
      </w:r>
      <w:r>
        <w:rPr>
          <w:rFonts w:cs="Arial" w:hint="cs"/>
          <w:rtl/>
        </w:rPr>
        <w:t>.</w:t>
      </w:r>
    </w:p>
  </w:footnote>
  <w:footnote w:id="2855">
    <w:p w14:paraId="5316E450" w14:textId="56B9B4B8" w:rsidR="0098697E" w:rsidRDefault="0098697E">
      <w:pPr>
        <w:pStyle w:val="a7"/>
        <w:rPr>
          <w:rtl/>
        </w:rPr>
      </w:pPr>
      <w:r>
        <w:rPr>
          <w:rStyle w:val="a9"/>
        </w:rPr>
        <w:footnoteRef/>
      </w:r>
      <w:r>
        <w:rPr>
          <w:rtl/>
        </w:rPr>
        <w:t xml:space="preserve"> </w:t>
      </w:r>
      <w:r w:rsidRPr="00006456">
        <w:rPr>
          <w:rFonts w:asciiTheme="minorBidi" w:hAnsiTheme="minorBidi" w:cs="Arial"/>
          <w:rtl/>
        </w:rPr>
        <w:t xml:space="preserve">ולדבריו </w:t>
      </w:r>
      <w:r>
        <w:rPr>
          <w:rFonts w:asciiTheme="minorBidi" w:hAnsiTheme="minorBidi" w:cs="Arial" w:hint="cs"/>
          <w:sz w:val="16"/>
          <w:szCs w:val="16"/>
          <w:rtl/>
        </w:rPr>
        <w:t xml:space="preserve">{של רש"י, וממילא גם לרמב"ם} </w:t>
      </w:r>
      <w:r w:rsidRPr="00006456">
        <w:rPr>
          <w:rFonts w:asciiTheme="minorBidi" w:hAnsiTheme="minorBidi" w:cs="Arial"/>
          <w:rtl/>
        </w:rPr>
        <w:t>הא דאמר רב יהודה אמר שמואל יד סולדת בו אסור אין יד סולדת בו מותר</w:t>
      </w:r>
      <w:r w:rsidRPr="00006456">
        <w:rPr>
          <w:rFonts w:asciiTheme="minorBidi" w:hAnsiTheme="minorBidi" w:cs="Arial" w:hint="cs"/>
          <w:rtl/>
        </w:rPr>
        <w:t>,</w:t>
      </w:r>
      <w:r w:rsidRPr="00006456">
        <w:rPr>
          <w:rFonts w:asciiTheme="minorBidi" w:hAnsiTheme="minorBidi" w:cs="Arial"/>
          <w:rtl/>
        </w:rPr>
        <w:t xml:space="preserve"> לא במקום שיד סולדת ומקום שאין יד סולדת קאמר</w:t>
      </w:r>
      <w:r w:rsidRPr="00006456">
        <w:rPr>
          <w:rFonts w:asciiTheme="minorBidi" w:hAnsiTheme="minorBidi" w:cs="Arial" w:hint="cs"/>
          <w:rtl/>
        </w:rPr>
        <w:t>,</w:t>
      </w:r>
      <w:r w:rsidRPr="00006456">
        <w:rPr>
          <w:rFonts w:asciiTheme="minorBidi" w:hAnsiTheme="minorBidi" w:cs="Arial"/>
          <w:rtl/>
        </w:rPr>
        <w:t xml:space="preserve"> אלא כל שהניחן עד שתהא יד סולדת קאמר</w:t>
      </w:r>
      <w:r>
        <w:rPr>
          <w:rFonts w:asciiTheme="minorBidi" w:hAnsiTheme="minorBidi" w:cs="Arial" w:hint="cs"/>
          <w:rtl/>
        </w:rPr>
        <w:t>.</w:t>
      </w:r>
      <w:r w:rsidR="002659CF">
        <w:rPr>
          <w:rFonts w:asciiTheme="minorBidi" w:hAnsiTheme="minorBidi" w:cs="Arial" w:hint="cs"/>
          <w:rtl/>
        </w:rPr>
        <w:t>..</w:t>
      </w:r>
      <w:r>
        <w:rPr>
          <w:rFonts w:asciiTheme="minorBidi" w:hAnsiTheme="minorBidi" w:cs="Arial" w:hint="cs"/>
          <w:rtl/>
        </w:rPr>
        <w:t xml:space="preserve"> </w:t>
      </w:r>
      <w:r w:rsidR="00AE6F8B" w:rsidRPr="00AE6F8B">
        <w:rPr>
          <w:rFonts w:asciiTheme="minorBidi" w:hAnsiTheme="minorBidi" w:cs="Arial"/>
          <w:rtl/>
        </w:rPr>
        <w:t>והקשו על דברי רש"י ז"ל מדאמרי' בסמוך גבי עובדא דרבי ש"מ תלת וכו' ש"מ הפשירו לא זהו בשולו ואפילו הכי אסור עליו מלהניחו באמבטי ואע</w:t>
      </w:r>
      <w:r w:rsidR="00AE6F8B">
        <w:rPr>
          <w:rFonts w:asciiTheme="minorBidi" w:hAnsiTheme="minorBidi" w:cs="Arial" w:hint="cs"/>
          <w:rtl/>
        </w:rPr>
        <w:t>"</w:t>
      </w:r>
      <w:r w:rsidR="00AE6F8B" w:rsidRPr="00AE6F8B">
        <w:rPr>
          <w:rFonts w:asciiTheme="minorBidi" w:hAnsiTheme="minorBidi" w:cs="Arial"/>
          <w:rtl/>
        </w:rPr>
        <w:t>פ שרש"י ז"ל אינו גורס כך זו היא הגירסא הנכונה והיא גירסתן של גאונים ז"ל אלא ודאי משמע שלא התירו להפשיר אלא במקום שאינו ראוי לבשל והיינו נמי הך דיד סולדת בו דאמרינן בסמוך לומר דכל שהוא קרוב מן המדורה כ"כ בכדי שתהא יד סולדת שם מחמת חום האש אסור והכי אמרינן בירושלמי בפרקין [הלכה ד]</w:t>
      </w:r>
      <w:r>
        <w:rPr>
          <w:rFonts w:asciiTheme="minorBidi" w:hAnsiTheme="minorBidi" w:cs="Arial" w:hint="cs"/>
          <w:rtl/>
        </w:rPr>
        <w:t>, ר"ן (שם)</w:t>
      </w:r>
      <w:r w:rsidRPr="00006456">
        <w:rPr>
          <w:rFonts w:asciiTheme="minorBidi" w:hAnsiTheme="minorBidi" w:cs="Arial"/>
          <w:rtl/>
        </w:rPr>
        <w:t>.</w:t>
      </w:r>
    </w:p>
  </w:footnote>
  <w:footnote w:id="2856">
    <w:p w14:paraId="1244EAB6" w14:textId="62C4CEE6" w:rsidR="00A637CC" w:rsidRDefault="00A637CC">
      <w:pPr>
        <w:pStyle w:val="a7"/>
        <w:rPr>
          <w:rtl/>
        </w:rPr>
      </w:pPr>
      <w:r>
        <w:rPr>
          <w:rStyle w:val="a9"/>
        </w:rPr>
        <w:footnoteRef/>
      </w:r>
      <w:r>
        <w:rPr>
          <w:rtl/>
        </w:rPr>
        <w:t xml:space="preserve"> </w:t>
      </w:r>
      <w:r w:rsidRPr="00A637CC">
        <w:rPr>
          <w:rFonts w:cs="Arial"/>
          <w:rtl/>
        </w:rPr>
        <w:t>פירוש אף על פי כן אסור ליתנן סמוך לאש אבל רחוק מהאש אפילו דבר שאין נאכל כמות שהוא חי שרי ולפי זה אסור ליתן אלונטית או כלי עופרת סמוך לאש לחממו אם הוא קרוב כל כך שיכול להתיך שם או לשרוף עיין מה שכתוב סס"ג ויש לדחות דהתם לא ניחא ליה שישרוף או שיתיך והוי דבר שאין מתכוין</w:t>
      </w:r>
      <w:r>
        <w:rPr>
          <w:rFonts w:hint="cs"/>
          <w:rtl/>
        </w:rPr>
        <w:t>, מג"א (סקל"ז).</w:t>
      </w:r>
    </w:p>
  </w:footnote>
  <w:footnote w:id="2857">
    <w:p w14:paraId="04578E50" w14:textId="77777777" w:rsidR="00B905A4" w:rsidRDefault="00B905A4" w:rsidP="00B905A4">
      <w:pPr>
        <w:pStyle w:val="a7"/>
      </w:pPr>
      <w:r>
        <w:rPr>
          <w:rStyle w:val="a9"/>
        </w:rPr>
        <w:footnoteRef/>
      </w:r>
      <w:r>
        <w:rPr>
          <w:rtl/>
        </w:rPr>
        <w:t xml:space="preserve"> </w:t>
      </w:r>
      <w:r w:rsidRPr="004D6A0F">
        <w:rPr>
          <w:rFonts w:cs="Arial"/>
          <w:rtl/>
        </w:rPr>
        <w:t>לא שיניחם שם עד שיחמו</w:t>
      </w:r>
      <w:r>
        <w:rPr>
          <w:rFonts w:cs="Arial" w:hint="cs"/>
          <w:rtl/>
        </w:rPr>
        <w:t>, רש"י.</w:t>
      </w:r>
    </w:p>
  </w:footnote>
  <w:footnote w:id="2858">
    <w:p w14:paraId="2DFB572C" w14:textId="77777777" w:rsidR="00B905A4" w:rsidRDefault="00B905A4" w:rsidP="00B905A4">
      <w:pPr>
        <w:pStyle w:val="a7"/>
        <w:rPr>
          <w:rtl/>
        </w:rPr>
      </w:pPr>
      <w:r>
        <w:rPr>
          <w:rStyle w:val="a9"/>
        </w:rPr>
        <w:footnoteRef/>
      </w:r>
      <w:r>
        <w:rPr>
          <w:rtl/>
        </w:rPr>
        <w:t xml:space="preserve"> </w:t>
      </w:r>
      <w:r w:rsidRPr="004D6A0F">
        <w:rPr>
          <w:rFonts w:cs="Arial"/>
          <w:rtl/>
        </w:rPr>
        <w:t>במקצתן, שתפיג - שתתחלף, כמו וריחו לא נמר (ירמיה מח) מתרגמין: וריחיה לא פג</w:t>
      </w:r>
      <w:r>
        <w:rPr>
          <w:rFonts w:hint="cs"/>
          <w:rtl/>
        </w:rPr>
        <w:t>, רש"י.</w:t>
      </w:r>
    </w:p>
  </w:footnote>
  <w:footnote w:id="2859">
    <w:p w14:paraId="031CF950" w14:textId="77777777" w:rsidR="00B905A4" w:rsidRDefault="00B905A4" w:rsidP="00B905A4">
      <w:pPr>
        <w:pStyle w:val="a7"/>
      </w:pPr>
      <w:r>
        <w:rPr>
          <w:rStyle w:val="a9"/>
        </w:rPr>
        <w:footnoteRef/>
      </w:r>
      <w:r>
        <w:rPr>
          <w:rtl/>
        </w:rPr>
        <w:t xml:space="preserve"> </w:t>
      </w:r>
      <w:r w:rsidRPr="004D6A0F">
        <w:rPr>
          <w:rFonts w:cs="Arial"/>
          <w:rtl/>
        </w:rPr>
        <w:t>נמשכת לאחוריה מדאגה שלא תכוה, וזהו לשון ואסלדה בחילה (איוב ו) - ואדאג ברעדה, ואמשך מתלונתי מדאגת יום הדין, אם הייתי יודע שמיתתי קרובה ולא יחמול</w:t>
      </w:r>
      <w:r>
        <w:rPr>
          <w:rFonts w:cs="Arial" w:hint="cs"/>
          <w:rtl/>
        </w:rPr>
        <w:t>, רש"י.</w:t>
      </w:r>
    </w:p>
  </w:footnote>
  <w:footnote w:id="2860">
    <w:p w14:paraId="44CD8CB0" w14:textId="1CA12BF8" w:rsidR="00D04631" w:rsidRDefault="00D04631">
      <w:pPr>
        <w:pStyle w:val="a7"/>
      </w:pPr>
      <w:r>
        <w:rPr>
          <w:rStyle w:val="a9"/>
        </w:rPr>
        <w:footnoteRef/>
      </w:r>
      <w:r>
        <w:rPr>
          <w:rtl/>
        </w:rPr>
        <w:t xml:space="preserve"> </w:t>
      </w:r>
      <w:r>
        <w:rPr>
          <w:rFonts w:hint="cs"/>
          <w:rtl/>
        </w:rPr>
        <w:t xml:space="preserve">וז"ל- </w:t>
      </w:r>
      <w:r w:rsidRPr="00D04631">
        <w:rPr>
          <w:rFonts w:cs="Arial"/>
          <w:rtl/>
        </w:rPr>
        <w:t>ומכל מקום מסתברא דאינו אסור כנגד המדורה ולא בכלי ראשון אלא צונן שלא נתבשל</w:t>
      </w:r>
      <w:r w:rsidR="006C764B">
        <w:rPr>
          <w:rFonts w:cs="Arial" w:hint="cs"/>
          <w:rtl/>
        </w:rPr>
        <w:t>,</w:t>
      </w:r>
      <w:r w:rsidRPr="00D04631">
        <w:rPr>
          <w:rFonts w:cs="Arial"/>
          <w:rtl/>
        </w:rPr>
        <w:t xml:space="preserve"> וגזירה הפשר אטו בישול</w:t>
      </w:r>
      <w:r w:rsidR="006C764B">
        <w:rPr>
          <w:rFonts w:cs="Arial" w:hint="cs"/>
          <w:rtl/>
        </w:rPr>
        <w:t>.</w:t>
      </w:r>
      <w:r w:rsidRPr="00D04631">
        <w:rPr>
          <w:rFonts w:cs="Arial"/>
          <w:rtl/>
        </w:rPr>
        <w:t xml:space="preserve"> אבל צונן שנתבשל </w:t>
      </w:r>
      <w:r w:rsidR="006C764B">
        <w:rPr>
          <w:rFonts w:cs="Arial" w:hint="cs"/>
          <w:rtl/>
        </w:rPr>
        <w:t xml:space="preserve">- </w:t>
      </w:r>
      <w:r w:rsidRPr="00D04631">
        <w:rPr>
          <w:rFonts w:cs="Arial"/>
          <w:rtl/>
        </w:rPr>
        <w:t>אפילו בכלי ראשון או כנגד המדורה ואפילו במקום שהיד סולדת בו מותר, והוא שלא יתן על גבי האש או על גבי כירה ממש</w:t>
      </w:r>
      <w:r w:rsidR="006C764B">
        <w:rPr>
          <w:rFonts w:cs="Arial" w:hint="cs"/>
          <w:rtl/>
        </w:rPr>
        <w:t>.</w:t>
      </w:r>
      <w:r w:rsidRPr="00D04631">
        <w:rPr>
          <w:rFonts w:cs="Arial"/>
          <w:rtl/>
        </w:rPr>
        <w:t xml:space="preserve"> ותדע לך דהא תנינן כל שבא בחמין מלפני השבת שורין אותו בחמין בשבת, כלומר אפילו בכלי ראשון ואע</w:t>
      </w:r>
      <w:r w:rsidR="006C764B">
        <w:rPr>
          <w:rFonts w:cs="Arial" w:hint="cs"/>
          <w:rtl/>
        </w:rPr>
        <w:t>"</w:t>
      </w:r>
      <w:r w:rsidRPr="00D04631">
        <w:rPr>
          <w:rFonts w:cs="Arial"/>
          <w:rtl/>
        </w:rPr>
        <w:t>ג דתולדת האור כאור והמבשל בה חייב חטאת כמבשל על האש ממש, וא</w:t>
      </w:r>
      <w:r w:rsidR="006C764B">
        <w:rPr>
          <w:rFonts w:cs="Arial" w:hint="cs"/>
          <w:rtl/>
        </w:rPr>
        <w:t>ע"פ</w:t>
      </w:r>
      <w:r w:rsidRPr="00D04631">
        <w:rPr>
          <w:rFonts w:cs="Arial"/>
          <w:rtl/>
        </w:rPr>
        <w:t xml:space="preserve"> שאסרו להחזיר על גבי כירה שאינה גרופה וליתן לכתחלה אפילו בגרופה וקטומה ואפילו דבר חם ומבושל לגמרי, התם היינו טעמא משום דמיחזי כמבשל לפי שדרך בישול בכך</w:t>
      </w:r>
      <w:r w:rsidR="006C764B">
        <w:rPr>
          <w:rFonts w:cs="Arial" w:hint="cs"/>
          <w:rtl/>
        </w:rPr>
        <w:t>,</w:t>
      </w:r>
      <w:r w:rsidRPr="00D04631">
        <w:rPr>
          <w:rFonts w:cs="Arial"/>
          <w:rtl/>
        </w:rPr>
        <w:t xml:space="preserve"> אבל כנגד המדורה או בכלי ראשון שאין דרכם של בני אדם לבשל כן רוב הפעמים אינו נראה כמבשל אלא כמפיג צנה, והלכך כל היכא דאיכא למגזר באותו דבר ממש משום בישול כמים או שמן שלא נתבשלו וכיוצא בהן </w:t>
      </w:r>
      <w:r w:rsidR="006C764B">
        <w:rPr>
          <w:rFonts w:cs="Arial" w:hint="cs"/>
          <w:rtl/>
        </w:rPr>
        <w:t xml:space="preserve">- </w:t>
      </w:r>
      <w:r w:rsidRPr="00D04631">
        <w:rPr>
          <w:rFonts w:cs="Arial"/>
          <w:rtl/>
        </w:rPr>
        <w:t xml:space="preserve">אסור גזירה שמא ישהה ויבא לידי בישול, אבל מה שנתבשל </w:t>
      </w:r>
      <w:r w:rsidR="006C764B">
        <w:rPr>
          <w:rFonts w:cs="Arial" w:hint="cs"/>
          <w:rtl/>
        </w:rPr>
        <w:t xml:space="preserve">- </w:t>
      </w:r>
      <w:r w:rsidRPr="00D04631">
        <w:rPr>
          <w:rFonts w:cs="Arial"/>
          <w:rtl/>
        </w:rPr>
        <w:t>לא גזרינן שמא יבא לבשל בעלמא</w:t>
      </w:r>
      <w:r>
        <w:rPr>
          <w:rFonts w:cs="Arial" w:hint="cs"/>
          <w:rtl/>
        </w:rPr>
        <w:t>.</w:t>
      </w:r>
    </w:p>
  </w:footnote>
  <w:footnote w:id="2861">
    <w:p w14:paraId="2256A798" w14:textId="464696DE" w:rsidR="000A3350" w:rsidRDefault="000A3350">
      <w:pPr>
        <w:pStyle w:val="a7"/>
      </w:pPr>
      <w:r>
        <w:rPr>
          <w:rStyle w:val="a9"/>
        </w:rPr>
        <w:footnoteRef/>
      </w:r>
      <w:r>
        <w:rPr>
          <w:rtl/>
        </w:rPr>
        <w:t xml:space="preserve"> </w:t>
      </w:r>
      <w:r w:rsidR="00576548" w:rsidRPr="00576548">
        <w:rPr>
          <w:rFonts w:cs="Arial"/>
          <w:rtl/>
        </w:rPr>
        <w:t>מפני שנראה כמבשל, דהא אפילו תבשיל שנתבשל כל צרכו אסור להחזיר בכירה שאינה גרופה וקטומה וכל שכן לתת לכתחילה ואפילו להפשיר ולא התירו כאן אלא כנגד המדורה בלבד</w:t>
      </w:r>
      <w:r w:rsidR="00576548">
        <w:rPr>
          <w:rFonts w:cs="Arial" w:hint="cs"/>
          <w:rtl/>
        </w:rPr>
        <w:t xml:space="preserve">, רשב"א </w:t>
      </w:r>
      <w:r w:rsidR="000461A0">
        <w:rPr>
          <w:rFonts w:cs="Arial" w:hint="cs"/>
          <w:rtl/>
        </w:rPr>
        <w:t>(מ: ד"ה מביא).</w:t>
      </w:r>
    </w:p>
  </w:footnote>
  <w:footnote w:id="2862">
    <w:p w14:paraId="2E8E62B2" w14:textId="69859200" w:rsidR="000461A0" w:rsidRDefault="000461A0">
      <w:pPr>
        <w:pStyle w:val="a7"/>
      </w:pPr>
      <w:r>
        <w:rPr>
          <w:rStyle w:val="a9"/>
        </w:rPr>
        <w:footnoteRef/>
      </w:r>
      <w:r>
        <w:rPr>
          <w:rtl/>
        </w:rPr>
        <w:t xml:space="preserve"> </w:t>
      </w:r>
      <w:r>
        <w:rPr>
          <w:rFonts w:hint="cs"/>
          <w:rtl/>
        </w:rPr>
        <w:t>ועיין בסעיף הבא ש</w:t>
      </w:r>
      <w:r w:rsidR="00F3761B">
        <w:rPr>
          <w:rFonts w:hint="cs"/>
          <w:rtl/>
        </w:rPr>
        <w:t xml:space="preserve">השו"ע </w:t>
      </w:r>
      <w:r>
        <w:rPr>
          <w:rFonts w:hint="cs"/>
          <w:rtl/>
        </w:rPr>
        <w:t xml:space="preserve">פסק </w:t>
      </w:r>
      <w:r w:rsidR="00F3761B">
        <w:rPr>
          <w:rFonts w:hint="cs"/>
          <w:rtl/>
        </w:rPr>
        <w:t xml:space="preserve">לכאורה </w:t>
      </w:r>
      <w:r>
        <w:rPr>
          <w:rFonts w:hint="cs"/>
          <w:rtl/>
        </w:rPr>
        <w:t xml:space="preserve">להיפך, </w:t>
      </w:r>
      <w:r w:rsidR="00F3761B">
        <w:rPr>
          <w:rFonts w:hint="cs"/>
          <w:rtl/>
        </w:rPr>
        <w:t>ועיין שם בהערה מדוע יש הבדל בין שומן קרוש לגבי שאר דבר לח.</w:t>
      </w:r>
    </w:p>
  </w:footnote>
  <w:footnote w:id="2863">
    <w:p w14:paraId="4A097977"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דדמי לסמיכה בכירה דשרי, ואע"ג שאין דבר מפסיק בינו לבין האש כיון שהצריכו החכמים להרחיק קצת מן המדורה אית ליה היכרא ולא אתו לאחתויי, הרא"ש </w:t>
      </w:r>
      <w:r w:rsidRPr="008C1C8E">
        <w:rPr>
          <w:rFonts w:asciiTheme="minorBidi" w:hAnsiTheme="minorBidi"/>
          <w:sz w:val="16"/>
          <w:szCs w:val="16"/>
          <w:rtl/>
        </w:rPr>
        <w:t>(שבת פ"ג סי' י, הובא במג"א סקל"ח)</w:t>
      </w:r>
      <w:r w:rsidRPr="008C1C8E">
        <w:rPr>
          <w:rFonts w:asciiTheme="minorBidi" w:hAnsiTheme="minorBidi"/>
          <w:rtl/>
        </w:rPr>
        <w:t>.</w:t>
      </w:r>
    </w:p>
  </w:footnote>
  <w:footnote w:id="2864">
    <w:p w14:paraId="5C1EF813" w14:textId="2A251BF8" w:rsidR="00CA0CAC" w:rsidRDefault="00CA0CAC">
      <w:pPr>
        <w:pStyle w:val="a7"/>
        <w:rPr>
          <w:rtl/>
        </w:rPr>
      </w:pPr>
      <w:r>
        <w:rPr>
          <w:rStyle w:val="a9"/>
        </w:rPr>
        <w:footnoteRef/>
      </w:r>
      <w:r>
        <w:rPr>
          <w:rtl/>
        </w:rPr>
        <w:t xml:space="preserve"> </w:t>
      </w:r>
      <w:r w:rsidRPr="00CA0CAC">
        <w:rPr>
          <w:rFonts w:cs="Arial"/>
          <w:rtl/>
        </w:rPr>
        <w:t>אף דלדעת המחבר כיון שנצטנן מעט מחמימותו ואין היס"ב שוב יש בו משום בישול וכמו שכתבנו לעיל בס"ד המנהג להקל בזה דסומכין בזה איש מקילין כ"ז שלא נצטנן לגמרי</w:t>
      </w:r>
      <w:r>
        <w:rPr>
          <w:rFonts w:hint="cs"/>
          <w:rtl/>
        </w:rPr>
        <w:t>, משנ"ב (סקצ"ט).</w:t>
      </w:r>
    </w:p>
  </w:footnote>
  <w:footnote w:id="2865">
    <w:p w14:paraId="679E331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כמו מרסקין - משברין לחתיכות דקות, רש"י.</w:t>
      </w:r>
    </w:p>
  </w:footnote>
  <w:footnote w:id="2866">
    <w:p w14:paraId="130382A5" w14:textId="423D555D"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של יין בימות החמה כדי לצנן, ואע</w:t>
      </w:r>
      <w:r w:rsidR="00C604BC">
        <w:rPr>
          <w:rFonts w:asciiTheme="minorBidi" w:hAnsiTheme="minorBidi" w:hint="cs"/>
          <w:rtl/>
        </w:rPr>
        <w:t>"</w:t>
      </w:r>
      <w:r w:rsidRPr="008C1C8E">
        <w:rPr>
          <w:rFonts w:asciiTheme="minorBidi" w:hAnsiTheme="minorBidi"/>
          <w:rtl/>
        </w:rPr>
        <w:t>פ שנימוח מאליו, ואינו חושש, רש"י.</w:t>
      </w:r>
      <w:r w:rsidR="00C604BC">
        <w:rPr>
          <w:rFonts w:asciiTheme="minorBidi" w:hAnsiTheme="minorBidi" w:hint="cs"/>
          <w:rtl/>
        </w:rPr>
        <w:t xml:space="preserve"> </w:t>
      </w:r>
    </w:p>
  </w:footnote>
  <w:footnote w:id="2867">
    <w:p w14:paraId="785FE109" w14:textId="77777777" w:rsidR="005841FA" w:rsidRPr="008C1C8E" w:rsidRDefault="005841FA" w:rsidP="005841FA">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w:t>
      </w:r>
      <w:r w:rsidRPr="00B60499">
        <w:rPr>
          <w:rFonts w:cs="Arial"/>
          <w:rtl/>
        </w:rPr>
        <w:t>ומה שכתב הרב ז"ל משום דקא מוליד לאו למיסר משום נולד קאמר אלא שהאיסור הוא משום סרך מלאכה לפי שהוא כבורא ומוליד המים הללו</w:t>
      </w:r>
      <w:r>
        <w:rPr>
          <w:rFonts w:cs="Arial" w:hint="cs"/>
          <w:rtl/>
        </w:rPr>
        <w:t>, רשב"א (שבת נא:). וכן</w:t>
      </w:r>
      <w:r w:rsidRPr="00B60499">
        <w:rPr>
          <w:rFonts w:cs="Arial"/>
          <w:rtl/>
        </w:rPr>
        <w:t xml:space="preserve"> </w:t>
      </w:r>
      <w:r>
        <w:rPr>
          <w:rFonts w:hint="cs"/>
          <w:rtl/>
        </w:rPr>
        <w:t xml:space="preserve">פירשו הרמב"ן (שבת נא:) והר"ן את דברי </w:t>
      </w:r>
      <w:r w:rsidRPr="00050F9B">
        <w:rPr>
          <w:rFonts w:cs="Arial"/>
          <w:rtl/>
        </w:rPr>
        <w:t>רש"י</w:t>
      </w:r>
      <w:r>
        <w:rPr>
          <w:rFonts w:cs="Arial" w:hint="cs"/>
          <w:rtl/>
        </w:rPr>
        <w:t>.</w:t>
      </w:r>
    </w:p>
  </w:footnote>
  <w:footnote w:id="2868">
    <w:p w14:paraId="0D3E3C71" w14:textId="4635C05C" w:rsidR="00826B4E" w:rsidRDefault="00826B4E">
      <w:pPr>
        <w:pStyle w:val="a7"/>
      </w:pPr>
      <w:r>
        <w:rPr>
          <w:rStyle w:val="a9"/>
        </w:rPr>
        <w:footnoteRef/>
      </w:r>
      <w:r>
        <w:rPr>
          <w:rtl/>
        </w:rPr>
        <w:t xml:space="preserve"> </w:t>
      </w:r>
      <w:r w:rsidR="004F2FBF" w:rsidRPr="004F2FBF">
        <w:rPr>
          <w:rFonts w:cs="Arial"/>
          <w:rtl/>
        </w:rPr>
        <w:t>ולדבריו אפילו בחמה אסור דהוה ליה נולד</w:t>
      </w:r>
      <w:r w:rsidR="004F2FBF">
        <w:rPr>
          <w:rFonts w:cs="Arial" w:hint="cs"/>
          <w:rtl/>
        </w:rPr>
        <w:t xml:space="preserve"> -</w:t>
      </w:r>
      <w:r w:rsidR="004F2FBF" w:rsidRPr="004F2FBF">
        <w:rPr>
          <w:rFonts w:cs="Arial"/>
          <w:rtl/>
        </w:rPr>
        <w:t xml:space="preserve"> </w:t>
      </w:r>
      <w:r w:rsidRPr="00826B4E">
        <w:rPr>
          <w:rFonts w:cs="Arial"/>
          <w:rtl/>
        </w:rPr>
        <w:t>ואינו מחוור</w:t>
      </w:r>
      <w:r>
        <w:rPr>
          <w:rFonts w:cs="Arial" w:hint="cs"/>
          <w:rtl/>
        </w:rPr>
        <w:t>,</w:t>
      </w:r>
      <w:r w:rsidRPr="00826B4E">
        <w:rPr>
          <w:rFonts w:cs="Arial"/>
          <w:rtl/>
        </w:rPr>
        <w:t xml:space="preserve"> דאם כן למה התירו לתת לתוך הכוס</w:t>
      </w:r>
      <w:r>
        <w:rPr>
          <w:rFonts w:cs="Arial" w:hint="cs"/>
          <w:rtl/>
        </w:rPr>
        <w:t>,</w:t>
      </w:r>
      <w:r w:rsidRPr="00826B4E">
        <w:rPr>
          <w:rFonts w:cs="Arial"/>
          <w:rtl/>
        </w:rPr>
        <w:t xml:space="preserve"> דמכל מקום הרי הוא נפשר בתוך הכוס והרי הוא נולד בשבת ואסור</w:t>
      </w:r>
      <w:r>
        <w:rPr>
          <w:rFonts w:cs="Arial" w:hint="cs"/>
          <w:rtl/>
        </w:rPr>
        <w:t>.</w:t>
      </w:r>
      <w:r w:rsidRPr="00826B4E">
        <w:rPr>
          <w:rFonts w:cs="Arial"/>
          <w:rtl/>
        </w:rPr>
        <w:t xml:space="preserve"> ועוד דהא פירות דלאו בני סחיטה נינהו סוחטין לכתחלה</w:t>
      </w:r>
      <w:r>
        <w:rPr>
          <w:rFonts w:cs="Arial" w:hint="cs"/>
          <w:rtl/>
        </w:rPr>
        <w:t>,</w:t>
      </w:r>
      <w:r w:rsidRPr="00826B4E">
        <w:rPr>
          <w:rFonts w:cs="Arial"/>
          <w:rtl/>
        </w:rPr>
        <w:t xml:space="preserve"> ואפילו תותים ורימונים היוצא מעצמן אם לאוכלין מותר (קמג</w:t>
      </w:r>
      <w:r>
        <w:rPr>
          <w:rFonts w:cs="Arial" w:hint="cs"/>
          <w:rtl/>
        </w:rPr>
        <w:t>:</w:t>
      </w:r>
      <w:r w:rsidRPr="00826B4E">
        <w:rPr>
          <w:rFonts w:cs="Arial"/>
          <w:rtl/>
        </w:rPr>
        <w:t>)</w:t>
      </w:r>
      <w:r>
        <w:rPr>
          <w:rFonts w:cs="Arial" w:hint="cs"/>
          <w:rtl/>
        </w:rPr>
        <w:t>, רשב"א (נא:).</w:t>
      </w:r>
      <w:r w:rsidR="005841FA">
        <w:rPr>
          <w:rFonts w:cs="Arial" w:hint="cs"/>
          <w:rtl/>
        </w:rPr>
        <w:t xml:space="preserve"> </w:t>
      </w:r>
      <w:r w:rsidR="00FD4CB5">
        <w:rPr>
          <w:rFonts w:cs="Arial" w:hint="cs"/>
          <w:rtl/>
        </w:rPr>
        <w:t xml:space="preserve">והרמב"ן (שם) הקשה רק את קושייתו האחרונה של הרשב"א, וכתב הר"ן על קושיא זו, וז"ל- </w:t>
      </w:r>
      <w:r w:rsidR="00FD4CB5" w:rsidRPr="00FD4CB5">
        <w:rPr>
          <w:rFonts w:cs="Arial"/>
          <w:rtl/>
        </w:rPr>
        <w:t>ואין זו קושיא אצלי דשומן זה כל זמן שלא קרש זך וצלול הוא דדרכו בכך אף בשקרש כפירות העומדין למשקה דמי</w:t>
      </w:r>
      <w:r w:rsidR="00FD4CB5">
        <w:rPr>
          <w:rFonts w:cs="Arial" w:hint="cs"/>
          <w:rtl/>
        </w:rPr>
        <w:t>.</w:t>
      </w:r>
    </w:p>
  </w:footnote>
  <w:footnote w:id="2869">
    <w:p w14:paraId="675BE57D" w14:textId="27D45A97" w:rsidR="005841FA" w:rsidRDefault="005841FA">
      <w:pPr>
        <w:pStyle w:val="a7"/>
      </w:pPr>
      <w:r>
        <w:rPr>
          <w:rStyle w:val="a9"/>
        </w:rPr>
        <w:footnoteRef/>
      </w:r>
      <w:r>
        <w:rPr>
          <w:rtl/>
        </w:rPr>
        <w:t xml:space="preserve"> </w:t>
      </w:r>
      <w:r>
        <w:rPr>
          <w:rFonts w:cs="Arial" w:hint="cs"/>
          <w:rtl/>
        </w:rPr>
        <w:t xml:space="preserve">וז"ל- </w:t>
      </w:r>
      <w:r w:rsidRPr="005841FA">
        <w:rPr>
          <w:rFonts w:cs="Arial"/>
          <w:rtl/>
        </w:rPr>
        <w:t>כבשין ושלקות שסחטן, אם לרכך גופן מותר ואם להוציא מימיהן אסור, ואין מרסקין את השלג שיזובו מימיו, אבל מרסק הוא לתוך הקערה או לתוך הכוס</w:t>
      </w:r>
      <w:r>
        <w:rPr>
          <w:rFonts w:cs="Arial" w:hint="cs"/>
          <w:rtl/>
        </w:rPr>
        <w:t>.</w:t>
      </w:r>
    </w:p>
  </w:footnote>
  <w:footnote w:id="2870">
    <w:p w14:paraId="15C14384" w14:textId="3B262943" w:rsidR="004F2FBF" w:rsidRDefault="004F2FBF" w:rsidP="004F2FBF">
      <w:pPr>
        <w:pStyle w:val="a7"/>
      </w:pPr>
      <w:r>
        <w:rPr>
          <w:rStyle w:val="a9"/>
        </w:rPr>
        <w:footnoteRef/>
      </w:r>
      <w:r>
        <w:rPr>
          <w:rtl/>
        </w:rPr>
        <w:t xml:space="preserve"> </w:t>
      </w:r>
      <w:r w:rsidRPr="00B60499">
        <w:rPr>
          <w:rFonts w:cs="Arial"/>
          <w:rtl/>
        </w:rPr>
        <w:t>ולפיכך לתת לתוך הכוס מותר שאינו נראה כסוחט, ועוד הקילו בו לרסק בתוך הכוס כפירות דלאו בני סחיטה נינהו, והתירו לרסק אפילו ביד לתוך הכוס וכדתני בתוספתא (פ"ד הט"ו) אבל מרסק הוא לתוך הקערה, וטעמא דמילתא לפי שאע"פ שנקרש ונעשה עב הכל יודעין שאין בו אוכל ושמימיו נסחטין מתוכו, אבל מים הם מתחלתן ועד סופן אלא שנקרשו לפי שעה, ולפיכך הקילו בהן לסוחטן לתוך הקערה או לתוך הכוס אלא שהחמירו בהן לסחטן ולרסקן בפני עצמן, כך נראה לי</w:t>
      </w:r>
      <w:r>
        <w:rPr>
          <w:rFonts w:cs="Arial" w:hint="cs"/>
          <w:rtl/>
        </w:rPr>
        <w:t>, רשב"א (שם)</w:t>
      </w:r>
      <w:r w:rsidRPr="00B60499">
        <w:rPr>
          <w:rFonts w:cs="Arial"/>
          <w:rtl/>
        </w:rPr>
        <w:t>.</w:t>
      </w:r>
    </w:p>
  </w:footnote>
  <w:footnote w:id="2871">
    <w:p w14:paraId="3565E1A8" w14:textId="426AEAF1" w:rsidR="0006131F" w:rsidRDefault="0006131F" w:rsidP="0006131F">
      <w:pPr>
        <w:pStyle w:val="a7"/>
      </w:pPr>
      <w:r>
        <w:rPr>
          <w:rStyle w:val="a9"/>
        </w:rPr>
        <w:footnoteRef/>
      </w:r>
      <w:r>
        <w:rPr>
          <w:rtl/>
        </w:rPr>
        <w:t xml:space="preserve"> </w:t>
      </w:r>
      <w:r>
        <w:rPr>
          <w:rFonts w:hint="cs"/>
          <w:rtl/>
        </w:rPr>
        <w:t xml:space="preserve">וז"ל- </w:t>
      </w:r>
      <w:r w:rsidRPr="0006131F">
        <w:rPr>
          <w:rFonts w:cs="Arial"/>
          <w:rtl/>
        </w:rPr>
        <w:t>וכן נראה שאסור לתת פשטיידא בימי החורף בצד האש לחממ' ביום השבת לפי שהשמנוני' שיש בה נקרש ונעשה עב וקפוי ועתה נמחה ונעשה צלול והוי נולד ולא תימא דווקא שלג שמתחלה היה יבש ועב הוי נולד בשנמחה ונעשה צלול על ידו אבל שמנונית שנקרש הלא תחלה היה צלול ולא הוי נולד אז כשיחזור ויעשנו צלול לא היא שהרי ברד פרש"י גלצא והיה תחלה צלול ואחרי כן נקרש ואפ"ה תניא שלהי במה טומני' אין מרזקי' בברד</w:t>
      </w:r>
      <w:r>
        <w:rPr>
          <w:rFonts w:cs="Arial" w:hint="cs"/>
          <w:rtl/>
        </w:rPr>
        <w:t>.</w:t>
      </w:r>
    </w:p>
  </w:footnote>
  <w:footnote w:id="2872">
    <w:p w14:paraId="02516606" w14:textId="77777777" w:rsidR="004F2FBF" w:rsidRDefault="004F2FBF" w:rsidP="004F2FBF">
      <w:pPr>
        <w:pStyle w:val="a7"/>
      </w:pPr>
      <w:r>
        <w:rPr>
          <w:rStyle w:val="a9"/>
        </w:rPr>
        <w:footnoteRef/>
      </w:r>
      <w:r>
        <w:rPr>
          <w:rtl/>
        </w:rPr>
        <w:t xml:space="preserve"> </w:t>
      </w:r>
      <w:r w:rsidRPr="00826B4E">
        <w:rPr>
          <w:rFonts w:cs="Arial"/>
          <w:rtl/>
        </w:rPr>
        <w:t xml:space="preserve">ולפי טעמו </w:t>
      </w:r>
      <w:r>
        <w:rPr>
          <w:rFonts w:cs="Arial" w:hint="cs"/>
          <w:rtl/>
        </w:rPr>
        <w:t xml:space="preserve">- </w:t>
      </w:r>
      <w:r w:rsidRPr="00826B4E">
        <w:rPr>
          <w:rFonts w:cs="Arial"/>
          <w:rtl/>
        </w:rPr>
        <w:t>אף בחמה אסור השומן</w:t>
      </w:r>
      <w:r>
        <w:rPr>
          <w:rFonts w:cs="Arial" w:hint="cs"/>
          <w:rtl/>
        </w:rPr>
        <w:t>,</w:t>
      </w:r>
      <w:r w:rsidRPr="00826B4E">
        <w:rPr>
          <w:rFonts w:cs="Arial"/>
          <w:rtl/>
        </w:rPr>
        <w:t xml:space="preserve"> דנולד הוא,</w:t>
      </w:r>
      <w:r>
        <w:rPr>
          <w:rFonts w:cs="Arial" w:hint="cs"/>
          <w:rtl/>
        </w:rPr>
        <w:t xml:space="preserve"> רמב"ן (שם) בדעת התרומה.</w:t>
      </w:r>
    </w:p>
  </w:footnote>
  <w:footnote w:id="2873">
    <w:p w14:paraId="4B6723C2" w14:textId="6C7F0C1C" w:rsidR="00BC4B7C" w:rsidRDefault="00BC4B7C">
      <w:pPr>
        <w:pStyle w:val="a7"/>
      </w:pPr>
      <w:r>
        <w:rPr>
          <w:rStyle w:val="a9"/>
        </w:rPr>
        <w:footnoteRef/>
      </w:r>
      <w:r>
        <w:rPr>
          <w:rtl/>
        </w:rPr>
        <w:t xml:space="preserve"> </w:t>
      </w:r>
      <w:r w:rsidR="00A76495" w:rsidRPr="00A76495">
        <w:rPr>
          <w:rFonts w:asciiTheme="minorBidi" w:hAnsiTheme="minorBidi" w:cs="Arial"/>
          <w:rtl/>
        </w:rPr>
        <w:t>כדתניא שלהי במה טומנין אין מרזקין את השלג והברד</w:t>
      </w:r>
      <w:r w:rsidR="00A76495">
        <w:rPr>
          <w:rFonts w:asciiTheme="minorBidi" w:hAnsiTheme="minorBidi" w:cs="Arial" w:hint="cs"/>
          <w:rtl/>
        </w:rPr>
        <w:t xml:space="preserve">, </w:t>
      </w:r>
      <w:r w:rsidR="00A76495" w:rsidRPr="00A76495">
        <w:rPr>
          <w:rFonts w:asciiTheme="minorBidi" w:hAnsiTheme="minorBidi" w:cs="Arial" w:hint="cs"/>
          <w:b/>
          <w:bCs/>
          <w:rtl/>
        </w:rPr>
        <w:t>התרומה</w:t>
      </w:r>
      <w:r w:rsidR="00A76495">
        <w:rPr>
          <w:rFonts w:asciiTheme="minorBidi" w:hAnsiTheme="minorBidi" w:cs="Arial" w:hint="cs"/>
          <w:rtl/>
        </w:rPr>
        <w:t xml:space="preserve"> (סימנים הלי' שבת סי' רלה).</w:t>
      </w:r>
      <w:r>
        <w:rPr>
          <w:rFonts w:asciiTheme="minorBidi" w:hAnsiTheme="minorBidi" w:cs="Arial" w:hint="cs"/>
          <w:rtl/>
        </w:rPr>
        <w:t xml:space="preserve"> ו</w:t>
      </w:r>
      <w:r w:rsidRPr="009D7B2C">
        <w:rPr>
          <w:rFonts w:asciiTheme="minorBidi" w:hAnsiTheme="minorBidi" w:cs="Arial"/>
          <w:rtl/>
        </w:rPr>
        <w:t>יותר יש מכאן ראייה להיתר מלאיסור</w:t>
      </w:r>
      <w:r w:rsidR="00A76495">
        <w:rPr>
          <w:rFonts w:asciiTheme="minorBidi" w:hAnsiTheme="minorBidi" w:cs="Arial" w:hint="cs"/>
          <w:rtl/>
        </w:rPr>
        <w:t xml:space="preserve">, </w:t>
      </w:r>
      <w:r w:rsidR="00A76495" w:rsidRPr="00A76495">
        <w:rPr>
          <w:rFonts w:asciiTheme="minorBidi" w:hAnsiTheme="minorBidi" w:cs="Arial" w:hint="cs"/>
          <w:b/>
          <w:bCs/>
          <w:rtl/>
        </w:rPr>
        <w:t>סמ"ג</w:t>
      </w:r>
      <w:r w:rsidR="00A76495">
        <w:rPr>
          <w:rFonts w:asciiTheme="minorBidi" w:hAnsiTheme="minorBidi" w:cs="Arial" w:hint="cs"/>
          <w:rtl/>
        </w:rPr>
        <w:t xml:space="preserve"> (לאוין סה)</w:t>
      </w:r>
      <w:r>
        <w:rPr>
          <w:rFonts w:asciiTheme="minorBidi" w:hAnsiTheme="minorBidi" w:cs="Arial" w:hint="cs"/>
          <w:rtl/>
        </w:rPr>
        <w:t>.</w:t>
      </w:r>
      <w:r w:rsidRPr="00BC4B7C">
        <w:rPr>
          <w:rFonts w:asciiTheme="minorBidi" w:hAnsiTheme="minorBidi" w:cs="Arial"/>
          <w:rtl/>
        </w:rPr>
        <w:t xml:space="preserve"> </w:t>
      </w:r>
      <w:r w:rsidRPr="00E61E7E">
        <w:rPr>
          <w:rFonts w:asciiTheme="minorBidi" w:hAnsiTheme="minorBidi" w:cs="Arial"/>
          <w:rtl/>
        </w:rPr>
        <w:t>כלומר דלא אסר אלא לרסק בידים אבל היכא שנמחה ממילא שרי. וכן כתוב בסמ"ק (סי' רפב עמ' רצח ובהגהות הר"פ אות יג)</w:t>
      </w:r>
      <w:r>
        <w:rPr>
          <w:rFonts w:asciiTheme="minorBidi" w:hAnsiTheme="minorBidi" w:cs="Arial" w:hint="cs"/>
          <w:rtl/>
        </w:rPr>
        <w:t xml:space="preserve">, </w:t>
      </w:r>
      <w:r w:rsidRPr="00A76495">
        <w:rPr>
          <w:rFonts w:asciiTheme="minorBidi" w:hAnsiTheme="minorBidi" w:cs="Arial" w:hint="cs"/>
          <w:b/>
          <w:bCs/>
          <w:rtl/>
        </w:rPr>
        <w:t>ב"י</w:t>
      </w:r>
      <w:r>
        <w:rPr>
          <w:rFonts w:asciiTheme="minorBidi" w:hAnsiTheme="minorBidi" w:cs="Arial" w:hint="cs"/>
          <w:rtl/>
        </w:rPr>
        <w:t>.</w:t>
      </w:r>
    </w:p>
  </w:footnote>
  <w:footnote w:id="2874">
    <w:p w14:paraId="722D1E85" w14:textId="09613FB3" w:rsidR="00EA3BFF" w:rsidRDefault="00EA3BFF">
      <w:pPr>
        <w:pStyle w:val="a7"/>
      </w:pPr>
      <w:r>
        <w:rPr>
          <w:rStyle w:val="a9"/>
        </w:rPr>
        <w:footnoteRef/>
      </w:r>
      <w:r>
        <w:rPr>
          <w:rtl/>
        </w:rPr>
        <w:t xml:space="preserve"> </w:t>
      </w:r>
      <w:r w:rsidRPr="00EA3BFF">
        <w:rPr>
          <w:rFonts w:cs="Arial"/>
          <w:rtl/>
        </w:rPr>
        <w:t>נראה מדבריו דלבעל התרומה לא אסיר אלא במקום שהיד סולדת. וליתא</w:t>
      </w:r>
      <w:r>
        <w:rPr>
          <w:rFonts w:cs="Arial" w:hint="cs"/>
          <w:rtl/>
        </w:rPr>
        <w:t>,</w:t>
      </w:r>
      <w:r w:rsidRPr="00EA3BFF">
        <w:rPr>
          <w:rFonts w:cs="Arial"/>
          <w:rtl/>
        </w:rPr>
        <w:t xml:space="preserve"> דהא טעמא לאו משום בישול הוא אלא משום נולד</w:t>
      </w:r>
      <w:r>
        <w:rPr>
          <w:rFonts w:cs="Arial" w:hint="cs"/>
          <w:rtl/>
        </w:rPr>
        <w:t>,</w:t>
      </w:r>
      <w:r w:rsidRPr="00EA3BFF">
        <w:rPr>
          <w:rFonts w:cs="Arial"/>
          <w:rtl/>
        </w:rPr>
        <w:t xml:space="preserve"> וא"כ אפילו אין יד סולדת נמי</w:t>
      </w:r>
      <w:r>
        <w:rPr>
          <w:rFonts w:cs="Arial" w:hint="cs"/>
          <w:rtl/>
        </w:rPr>
        <w:t>.</w:t>
      </w:r>
      <w:r w:rsidRPr="00EA3BFF">
        <w:rPr>
          <w:rFonts w:cs="Arial"/>
          <w:rtl/>
        </w:rPr>
        <w:t xml:space="preserve"> ועוד דמשמע דלרבינו יחיאל שרי לחמם שמן זית אפילו במקום שהיד סולדת</w:t>
      </w:r>
      <w:r>
        <w:rPr>
          <w:rFonts w:cs="Arial" w:hint="cs"/>
          <w:rtl/>
        </w:rPr>
        <w:t>,</w:t>
      </w:r>
      <w:r w:rsidRPr="00EA3BFF">
        <w:rPr>
          <w:rFonts w:cs="Arial"/>
          <w:rtl/>
        </w:rPr>
        <w:t xml:space="preserve"> ובהדיא אסיקנא בפרק כירה דשמן יש בו משום בישול והפשרו זהו בישולו</w:t>
      </w:r>
      <w:r>
        <w:rPr>
          <w:rFonts w:cs="Arial" w:hint="cs"/>
          <w:rtl/>
        </w:rPr>
        <w:t>, ב"י.</w:t>
      </w:r>
    </w:p>
  </w:footnote>
  <w:footnote w:id="2875">
    <w:p w14:paraId="7873D500" w14:textId="4DA2C424" w:rsidR="00576548" w:rsidRDefault="00576548">
      <w:pPr>
        <w:pStyle w:val="a7"/>
        <w:rPr>
          <w:rtl/>
        </w:rPr>
      </w:pPr>
      <w:r>
        <w:rPr>
          <w:rStyle w:val="a9"/>
        </w:rPr>
        <w:footnoteRef/>
      </w:r>
      <w:r>
        <w:rPr>
          <w:rtl/>
        </w:rPr>
        <w:t xml:space="preserve"> </w:t>
      </w:r>
      <w:r>
        <w:rPr>
          <w:rFonts w:asciiTheme="minorBidi" w:hAnsiTheme="minorBidi" w:cs="Arial" w:hint="cs"/>
          <w:rtl/>
        </w:rPr>
        <w:t xml:space="preserve">ונראה שכן הוא לדעת הרמב"ם </w:t>
      </w:r>
      <w:r>
        <w:rPr>
          <w:rFonts w:asciiTheme="minorBidi" w:hAnsiTheme="minorBidi" w:cs="Arial" w:hint="cs"/>
          <w:sz w:val="16"/>
          <w:szCs w:val="16"/>
          <w:rtl/>
        </w:rPr>
        <w:t>(פ"ט ה"ג)</w:t>
      </w:r>
      <w:r>
        <w:rPr>
          <w:rFonts w:asciiTheme="minorBidi" w:hAnsiTheme="minorBidi" w:cs="Arial" w:hint="cs"/>
          <w:rtl/>
        </w:rPr>
        <w:t xml:space="preserve"> והריטב"א </w:t>
      </w:r>
      <w:r>
        <w:rPr>
          <w:rFonts w:asciiTheme="minorBidi" w:hAnsiTheme="minorBidi" w:cs="Arial" w:hint="cs"/>
          <w:sz w:val="16"/>
          <w:szCs w:val="16"/>
          <w:rtl/>
        </w:rPr>
        <w:t>(לט. ד"ה כל שבא)</w:t>
      </w:r>
      <w:r w:rsidRPr="00CA64CE">
        <w:rPr>
          <w:rFonts w:asciiTheme="minorBidi" w:hAnsiTheme="minorBidi" w:cs="Arial"/>
          <w:rtl/>
        </w:rPr>
        <w:t xml:space="preserve"> </w:t>
      </w:r>
      <w:r>
        <w:rPr>
          <w:rFonts w:asciiTheme="minorBidi" w:hAnsiTheme="minorBidi" w:cs="Arial" w:hint="cs"/>
          <w:rtl/>
        </w:rPr>
        <w:t xml:space="preserve">דהסכימו </w:t>
      </w:r>
      <w:r w:rsidR="00C60C34">
        <w:rPr>
          <w:rFonts w:asciiTheme="minorBidi" w:hAnsiTheme="minorBidi" w:cs="Arial" w:hint="cs"/>
          <w:rtl/>
        </w:rPr>
        <w:t xml:space="preserve">(עי' סע' ד) </w:t>
      </w:r>
      <w:r>
        <w:rPr>
          <w:rFonts w:asciiTheme="minorBidi" w:hAnsiTheme="minorBidi" w:cs="Arial" w:hint="cs"/>
          <w:rtl/>
        </w:rPr>
        <w:t>שאין בישול אחר בישול גם בדבר לח</w:t>
      </w:r>
      <w:r w:rsidRPr="002E27EA">
        <w:rPr>
          <w:rFonts w:asciiTheme="minorBidi" w:hAnsiTheme="minorBidi" w:cs="Arial"/>
          <w:rtl/>
        </w:rPr>
        <w:t>.</w:t>
      </w:r>
      <w:r w:rsidR="00C60C34">
        <w:rPr>
          <w:rFonts w:asciiTheme="minorBidi" w:hAnsiTheme="minorBidi" w:cs="Arial" w:hint="cs"/>
          <w:rtl/>
        </w:rPr>
        <w:t xml:space="preserve"> </w:t>
      </w:r>
    </w:p>
  </w:footnote>
  <w:footnote w:id="2876">
    <w:p w14:paraId="781F1E60" w14:textId="38EB8DC6" w:rsidR="00BD71B6" w:rsidRDefault="00BD71B6" w:rsidP="00BD71B6">
      <w:pPr>
        <w:pStyle w:val="a7"/>
      </w:pPr>
      <w:r>
        <w:rPr>
          <w:rStyle w:val="a9"/>
        </w:rPr>
        <w:footnoteRef/>
      </w:r>
      <w:r>
        <w:rPr>
          <w:rtl/>
        </w:rPr>
        <w:t xml:space="preserve"> </w:t>
      </w:r>
      <w:r>
        <w:rPr>
          <w:rFonts w:hint="cs"/>
          <w:rtl/>
        </w:rPr>
        <w:t xml:space="preserve">ואע"ג שבסעיף הקודם </w:t>
      </w:r>
      <w:r w:rsidR="005112F5">
        <w:rPr>
          <w:rFonts w:hint="cs"/>
          <w:rtl/>
        </w:rPr>
        <w:t>פ</w:t>
      </w:r>
      <w:r>
        <w:rPr>
          <w:rFonts w:hint="cs"/>
          <w:rtl/>
        </w:rPr>
        <w:t xml:space="preserve">סק שלא כמותם (שהתיר להניח ליד המדורה במקום שהיס"ב </w:t>
      </w:r>
      <w:r w:rsidR="005112F5">
        <w:rPr>
          <w:rFonts w:hint="cs"/>
          <w:rtl/>
        </w:rPr>
        <w:t xml:space="preserve">רק </w:t>
      </w:r>
      <w:r>
        <w:rPr>
          <w:rFonts w:hint="cs"/>
          <w:rtl/>
        </w:rPr>
        <w:t xml:space="preserve">דבר יבש), לא קשיא, דכאן סמך על דברי הרשב"א וסיעתו (שאין בישול אחר בישול בלח) כיון </w:t>
      </w:r>
      <w:r w:rsidR="00954814">
        <w:rPr>
          <w:rFonts w:hint="cs"/>
          <w:rtl/>
        </w:rPr>
        <w:t>דהוי גר</w:t>
      </w:r>
      <w:r w:rsidR="00400A00">
        <w:rPr>
          <w:rFonts w:hint="cs"/>
          <w:rtl/>
        </w:rPr>
        <w:t>ם בישול (דשומן קרוש הוא כדבר יבש, ורק אח"כ הופך לנוזל), וגרמא אינו אסור אלא מדרבנן (שבת קכ:</w:t>
      </w:r>
      <w:r w:rsidR="005112F5">
        <w:rPr>
          <w:rFonts w:hint="cs"/>
          <w:rtl/>
        </w:rPr>
        <w:t xml:space="preserve"> "</w:t>
      </w:r>
      <w:r w:rsidR="00400A00" w:rsidRPr="00400A00">
        <w:rPr>
          <w:rFonts w:cs="Arial"/>
          <w:rtl/>
        </w:rPr>
        <w:t>עשייה הוא דאסור, גרמא שרי</w:t>
      </w:r>
      <w:r w:rsidR="005112F5">
        <w:rPr>
          <w:rFonts w:cs="Arial" w:hint="cs"/>
          <w:rtl/>
        </w:rPr>
        <w:t>"</w:t>
      </w:r>
      <w:r w:rsidR="00400A00">
        <w:rPr>
          <w:rFonts w:hint="cs"/>
          <w:rtl/>
        </w:rPr>
        <w:t>), ובדרבנן יש לסמוך על הסוברים שאין בישול אחר בישול בלח</w:t>
      </w:r>
      <w:r>
        <w:rPr>
          <w:rFonts w:hint="cs"/>
          <w:rtl/>
        </w:rPr>
        <w:t xml:space="preserve"> (ובמי</w:t>
      </w:r>
      <w:r w:rsidR="00954814">
        <w:rPr>
          <w:rFonts w:hint="cs"/>
          <w:rtl/>
        </w:rPr>
        <w:t>ו</w:t>
      </w:r>
      <w:r>
        <w:rPr>
          <w:rFonts w:hint="cs"/>
          <w:rtl/>
        </w:rPr>
        <w:t>חד שהרמב"ם הרשב"א הריטב"א והר"ן ס"ל הכי)</w:t>
      </w:r>
      <w:r w:rsidR="005112F5">
        <w:rPr>
          <w:rFonts w:hint="cs"/>
          <w:rtl/>
        </w:rPr>
        <w:t>.</w:t>
      </w:r>
      <w:r w:rsidR="00400A00">
        <w:rPr>
          <w:rFonts w:hint="cs"/>
          <w:rtl/>
        </w:rPr>
        <w:t xml:space="preserve"> משא"כ בדאורייתא שהחמיר השו"ע שיש בישול אחר בישול בלח (סע' ד, וסע' טו)</w:t>
      </w:r>
      <w:r>
        <w:rPr>
          <w:rFonts w:hint="cs"/>
          <w:rtl/>
        </w:rPr>
        <w:t>. ועיין באול"צ (ח"ב סי' ל אות יד) דכתב הכי.</w:t>
      </w:r>
      <w:r w:rsidR="00400A00">
        <w:rPr>
          <w:rFonts w:hint="cs"/>
          <w:rtl/>
        </w:rPr>
        <w:t xml:space="preserve"> </w:t>
      </w:r>
      <w:r w:rsidR="00400A00">
        <w:rPr>
          <w:rFonts w:asciiTheme="minorBidi" w:hAnsiTheme="minorBidi" w:cs="Arial" w:hint="cs"/>
          <w:rtl/>
        </w:rPr>
        <w:t>ועוד שכל המחמירים שיש בישול אחר בישול בלח שדיברו לגבי הפשרת שומן האינפנדה (והם התרומה סמ"ג רא"ש ועוד) לא ד</w:t>
      </w:r>
      <w:r w:rsidR="00F3761B">
        <w:rPr>
          <w:rFonts w:asciiTheme="minorBidi" w:hAnsiTheme="minorBidi" w:cs="Arial" w:hint="cs"/>
          <w:rtl/>
        </w:rPr>
        <w:t xml:space="preserve">נו בזה משום איסור בישול, אלא רק משום נולד. ואם היה בזה בישול היה להם לאסור משום בישול שהוא דאו' ולא משום נולד שהוא דרבנן (שהרי קים ליה בדרבה מינה). ואין לומר שהם סברו שמניח את האינפנדה במקום שאין היס"ב, שהרי </w:t>
      </w:r>
      <w:r w:rsidR="00400A00">
        <w:rPr>
          <w:rFonts w:asciiTheme="minorBidi" w:hAnsiTheme="minorBidi" w:cs="Arial" w:hint="cs"/>
          <w:rtl/>
        </w:rPr>
        <w:t>כתב</w:t>
      </w:r>
      <w:r w:rsidR="00F3761B">
        <w:rPr>
          <w:rFonts w:asciiTheme="minorBidi" w:hAnsiTheme="minorBidi" w:cs="Arial" w:hint="cs"/>
          <w:rtl/>
        </w:rPr>
        <w:t>ו</w:t>
      </w:r>
      <w:r w:rsidR="00400A00">
        <w:rPr>
          <w:rFonts w:asciiTheme="minorBidi" w:hAnsiTheme="minorBidi" w:cs="Arial" w:hint="cs"/>
          <w:rtl/>
        </w:rPr>
        <w:t xml:space="preserve"> "</w:t>
      </w:r>
      <w:r w:rsidR="00400A00" w:rsidRPr="00C60C34">
        <w:rPr>
          <w:rFonts w:asciiTheme="minorBidi" w:hAnsiTheme="minorBidi" w:cs="Arial"/>
          <w:rtl/>
        </w:rPr>
        <w:t xml:space="preserve">שלא יתננה סמוך לאש </w:t>
      </w:r>
      <w:r w:rsidR="00400A00" w:rsidRPr="00C60C34">
        <w:rPr>
          <w:rFonts w:asciiTheme="minorBidi" w:hAnsiTheme="minorBidi" w:cs="Arial"/>
          <w:b/>
          <w:bCs/>
          <w:rtl/>
        </w:rPr>
        <w:t>לחמם</w:t>
      </w:r>
      <w:r w:rsidR="00400A00">
        <w:rPr>
          <w:rFonts w:asciiTheme="minorBidi" w:hAnsiTheme="minorBidi" w:cs="Arial" w:hint="cs"/>
          <w:rtl/>
        </w:rPr>
        <w:t>"</w:t>
      </w:r>
      <w:r w:rsidR="00F3761B">
        <w:rPr>
          <w:rFonts w:asciiTheme="minorBidi" w:hAnsiTheme="minorBidi" w:cs="Arial" w:hint="cs"/>
          <w:rtl/>
        </w:rPr>
        <w:t>, ולא כתבו להפשיר,</w:t>
      </w:r>
      <w:r w:rsidR="00400A00">
        <w:rPr>
          <w:rFonts w:asciiTheme="minorBidi" w:hAnsiTheme="minorBidi" w:cs="Arial" w:hint="cs"/>
          <w:rtl/>
        </w:rPr>
        <w:t xml:space="preserve"> משמע שגם הם דיברו במציאות שיגיע ליס"ב.</w:t>
      </w:r>
      <w:r w:rsidR="00EA3BFF">
        <w:rPr>
          <w:rFonts w:asciiTheme="minorBidi" w:hAnsiTheme="minorBidi" w:cs="Arial" w:hint="cs"/>
          <w:rtl/>
        </w:rPr>
        <w:t xml:space="preserve"> וכן הבין ר' יחיאל מפרי"ש (</w:t>
      </w:r>
      <w:r w:rsidR="008A08DC">
        <w:rPr>
          <w:rFonts w:asciiTheme="minorBidi" w:hAnsiTheme="minorBidi" w:cs="Arial" w:hint="cs"/>
          <w:rtl/>
        </w:rPr>
        <w:t xml:space="preserve">מרדכי סי' של) </w:t>
      </w:r>
      <w:r w:rsidR="00EA3BFF">
        <w:rPr>
          <w:rFonts w:asciiTheme="minorBidi" w:hAnsiTheme="minorBidi" w:cs="Arial" w:hint="cs"/>
          <w:rtl/>
        </w:rPr>
        <w:t>בדברי התרומה</w:t>
      </w:r>
      <w:r w:rsidR="005112F5">
        <w:rPr>
          <w:rFonts w:asciiTheme="minorBidi" w:hAnsiTheme="minorBidi" w:cs="Arial" w:hint="cs"/>
          <w:rtl/>
        </w:rPr>
        <w:t xml:space="preserve"> (וכמו שהבין הב"י מדבריו)</w:t>
      </w:r>
      <w:r w:rsidR="00EA3BFF">
        <w:rPr>
          <w:rFonts w:asciiTheme="minorBidi" w:hAnsiTheme="minorBidi" w:cs="Arial" w:hint="cs"/>
          <w:rtl/>
        </w:rPr>
        <w:t>.</w:t>
      </w:r>
    </w:p>
  </w:footnote>
  <w:footnote w:id="2877">
    <w:p w14:paraId="7CC1AA1F" w14:textId="30EEEB80" w:rsidR="00FA6F83" w:rsidRDefault="00FA6F83">
      <w:pPr>
        <w:pStyle w:val="a7"/>
        <w:rPr>
          <w:rtl/>
        </w:rPr>
      </w:pPr>
      <w:r>
        <w:rPr>
          <w:rStyle w:val="a9"/>
        </w:rPr>
        <w:footnoteRef/>
      </w:r>
      <w:r>
        <w:rPr>
          <w:rtl/>
        </w:rPr>
        <w:t xml:space="preserve"> </w:t>
      </w:r>
      <w:r>
        <w:rPr>
          <w:rFonts w:asciiTheme="minorBidi" w:hAnsiTheme="minorBidi" w:cs="Arial" w:hint="cs"/>
          <w:rtl/>
        </w:rPr>
        <w:t xml:space="preserve">וכן נראה דעת הטור, שכתב (בסי' זה בסע' ) וז"ל- </w:t>
      </w:r>
      <w:r w:rsidRPr="002065FF">
        <w:rPr>
          <w:rFonts w:asciiTheme="minorBidi" w:hAnsiTheme="minorBidi" w:cs="Arial"/>
          <w:rtl/>
        </w:rPr>
        <w:t>כלי שיש בו תבשיל קר אסור ליתנו ע"ג קדרה הטמונה כדי להתחמם אם הקדרה חמה בענין שהעליון יכול להתבשל</w:t>
      </w:r>
      <w:r>
        <w:rPr>
          <w:rFonts w:asciiTheme="minorBidi" w:hAnsiTheme="minorBidi" w:cs="Arial" w:hint="cs"/>
          <w:rtl/>
        </w:rPr>
        <w:t>,</w:t>
      </w:r>
      <w:r w:rsidRPr="002065FF">
        <w:rPr>
          <w:rFonts w:asciiTheme="minorBidi" w:hAnsiTheme="minorBidi" w:cs="Arial"/>
          <w:rtl/>
        </w:rPr>
        <w:t xml:space="preserve"> ואם אינו יכול להתבשל </w:t>
      </w:r>
      <w:r>
        <w:rPr>
          <w:rFonts w:asciiTheme="minorBidi" w:hAnsiTheme="minorBidi" w:cs="Arial" w:hint="cs"/>
          <w:rtl/>
        </w:rPr>
        <w:t xml:space="preserve">- </w:t>
      </w:r>
      <w:r w:rsidRPr="002065FF">
        <w:rPr>
          <w:rFonts w:asciiTheme="minorBidi" w:hAnsiTheme="minorBidi" w:cs="Arial"/>
          <w:rtl/>
        </w:rPr>
        <w:t>מותר</w:t>
      </w:r>
      <w:r>
        <w:rPr>
          <w:rFonts w:asciiTheme="minorBidi" w:hAnsiTheme="minorBidi" w:cs="Arial" w:hint="cs"/>
          <w:rtl/>
        </w:rPr>
        <w:t>,</w:t>
      </w:r>
      <w:r w:rsidRPr="002065FF">
        <w:rPr>
          <w:rFonts w:asciiTheme="minorBidi" w:hAnsiTheme="minorBidi" w:cs="Arial"/>
          <w:rtl/>
        </w:rPr>
        <w:t xml:space="preserve"> אם אין בו דבר קרוש</w:t>
      </w:r>
      <w:r>
        <w:rPr>
          <w:rFonts w:asciiTheme="minorBidi" w:hAnsiTheme="minorBidi" w:cs="Arial" w:hint="cs"/>
          <w:rtl/>
        </w:rPr>
        <w:t>.</w:t>
      </w:r>
      <w:r>
        <w:rPr>
          <w:rFonts w:hint="cs"/>
          <w:rtl/>
        </w:rPr>
        <w:t xml:space="preserve"> עכ"ל. </w:t>
      </w:r>
    </w:p>
  </w:footnote>
  <w:footnote w:id="2878">
    <w:p w14:paraId="7B5128EA" w14:textId="57E8EF6C" w:rsidR="00A76495" w:rsidRDefault="00A76495">
      <w:pPr>
        <w:pStyle w:val="a7"/>
        <w:rPr>
          <w:rtl/>
        </w:rPr>
      </w:pPr>
      <w:r>
        <w:rPr>
          <w:rStyle w:val="a9"/>
        </w:rPr>
        <w:footnoteRef/>
      </w:r>
      <w:r>
        <w:rPr>
          <w:rtl/>
        </w:rPr>
        <w:t xml:space="preserve"> </w:t>
      </w:r>
      <w:r w:rsidRPr="00A76495">
        <w:rPr>
          <w:rFonts w:asciiTheme="minorBidi" w:hAnsiTheme="minorBidi" w:cs="Arial"/>
          <w:rtl/>
        </w:rPr>
        <w:t>ונראה מכאן שאפילו לדעתו מותר להחם בשבת חתיכת בשר שמן ואע</w:t>
      </w:r>
      <w:r w:rsidRPr="00A76495">
        <w:rPr>
          <w:rFonts w:asciiTheme="minorBidi" w:hAnsiTheme="minorBidi" w:cs="Arial" w:hint="cs"/>
          <w:rtl/>
        </w:rPr>
        <w:t>"</w:t>
      </w:r>
      <w:r w:rsidRPr="00A76495">
        <w:rPr>
          <w:rFonts w:asciiTheme="minorBidi" w:hAnsiTheme="minorBidi" w:cs="Arial"/>
          <w:rtl/>
        </w:rPr>
        <w:t>פ שמקצתו זב</w:t>
      </w:r>
      <w:r w:rsidRPr="00A76495">
        <w:rPr>
          <w:rFonts w:asciiTheme="minorBidi" w:hAnsiTheme="minorBidi" w:cs="Arial" w:hint="cs"/>
          <w:rtl/>
        </w:rPr>
        <w:t>,</w:t>
      </w:r>
      <w:r w:rsidRPr="00A76495">
        <w:rPr>
          <w:rFonts w:asciiTheme="minorBidi" w:hAnsiTheme="minorBidi" w:cs="Arial"/>
          <w:rtl/>
        </w:rPr>
        <w:t xml:space="preserve"> שאל</w:t>
      </w:r>
      <w:r w:rsidRPr="00A76495">
        <w:rPr>
          <w:rFonts w:asciiTheme="minorBidi" w:hAnsiTheme="minorBidi" w:cs="Arial" w:hint="cs"/>
          <w:rtl/>
        </w:rPr>
        <w:t>"</w:t>
      </w:r>
      <w:r w:rsidRPr="00A76495">
        <w:rPr>
          <w:rFonts w:asciiTheme="minorBidi" w:hAnsiTheme="minorBidi" w:cs="Arial"/>
          <w:rtl/>
        </w:rPr>
        <w:t>כ אע</w:t>
      </w:r>
      <w:r w:rsidRPr="00A76495">
        <w:rPr>
          <w:rFonts w:asciiTheme="minorBidi" w:hAnsiTheme="minorBidi" w:cs="Arial" w:hint="cs"/>
          <w:rtl/>
        </w:rPr>
        <w:t>"</w:t>
      </w:r>
      <w:r w:rsidRPr="00A76495">
        <w:rPr>
          <w:rFonts w:asciiTheme="minorBidi" w:hAnsiTheme="minorBidi" w:cs="Arial"/>
          <w:rtl/>
        </w:rPr>
        <w:t>פ ששפך המים והשומן הוה ליה לאסור מפני חתיכות בשר שמן שבתוך האינפנאד"ה שהם נפשרים וזבים</w:t>
      </w:r>
      <w:r w:rsidRPr="00A76495">
        <w:rPr>
          <w:rFonts w:asciiTheme="minorBidi" w:hAnsiTheme="minorBidi" w:cs="Arial" w:hint="cs"/>
          <w:rtl/>
        </w:rPr>
        <w:t>.</w:t>
      </w:r>
      <w:r w:rsidRPr="00A76495">
        <w:rPr>
          <w:rFonts w:asciiTheme="minorBidi" w:hAnsiTheme="minorBidi" w:cs="Arial"/>
          <w:rtl/>
        </w:rPr>
        <w:t xml:space="preserve"> והטעם משום דכיון דדבר מועט הוא הדבר הנפשר</w:t>
      </w:r>
      <w:r w:rsidRPr="00A76495">
        <w:rPr>
          <w:rFonts w:asciiTheme="minorBidi" w:hAnsiTheme="minorBidi" w:cs="Arial" w:hint="cs"/>
          <w:rtl/>
        </w:rPr>
        <w:t>,</w:t>
      </w:r>
      <w:r w:rsidRPr="00A76495">
        <w:rPr>
          <w:rFonts w:asciiTheme="minorBidi" w:hAnsiTheme="minorBidi" w:cs="Arial"/>
          <w:rtl/>
        </w:rPr>
        <w:t xml:space="preserve"> לא חשיב ושרי</w:t>
      </w:r>
      <w:r>
        <w:rPr>
          <w:rFonts w:asciiTheme="minorBidi" w:hAnsiTheme="minorBidi" w:cs="Arial" w:hint="cs"/>
          <w:rtl/>
        </w:rPr>
        <w:t>, ב"י.</w:t>
      </w:r>
    </w:p>
  </w:footnote>
  <w:footnote w:id="2879">
    <w:p w14:paraId="0AAC8DE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וכ"פ המג"א (סקמ"ב), והוסיף דמותר ליתן הפשטיד"א קודם שהוסק התנור (כמ"ש ססי' רנ"ג) דאפי' בנותן קדירה קודם שהוסק פטור אבל אסור, וכ"ש הכא דיש מתירין ליתן אפילו אחר שהוסק, לכל הפחות יש להתיר קודם שהוסק, ומ"מ אין להקל בפני עם הארץ, ויש לעשות ע"י </w:t>
      </w:r>
      <w:r>
        <w:rPr>
          <w:rFonts w:asciiTheme="minorBidi" w:hAnsiTheme="minorBidi"/>
          <w:rtl/>
        </w:rPr>
        <w:t>גוי</w:t>
      </w:r>
      <w:r w:rsidRPr="008C1C8E">
        <w:rPr>
          <w:rFonts w:asciiTheme="minorBidi" w:hAnsiTheme="minorBidi"/>
          <w:rtl/>
        </w:rPr>
        <w:t>.</w:t>
      </w:r>
    </w:p>
  </w:footnote>
  <w:footnote w:id="2880">
    <w:p w14:paraId="3C4CFC4A" w14:textId="77777777" w:rsidR="00D30E2F" w:rsidRDefault="00D30E2F" w:rsidP="00D30E2F">
      <w:pPr>
        <w:pStyle w:val="a7"/>
      </w:pPr>
      <w:r>
        <w:rPr>
          <w:rStyle w:val="a9"/>
        </w:rPr>
        <w:footnoteRef/>
      </w:r>
      <w:r>
        <w:rPr>
          <w:rtl/>
        </w:rPr>
        <w:t xml:space="preserve"> </w:t>
      </w:r>
      <w:r w:rsidRPr="00427E09">
        <w:rPr>
          <w:rFonts w:cs="Arial"/>
          <w:rtl/>
        </w:rPr>
        <w:t>מיחם של חמין, והכוזא היתה מלאה צונן</w:t>
      </w:r>
      <w:r>
        <w:rPr>
          <w:rFonts w:cs="Arial" w:hint="cs"/>
          <w:rtl/>
        </w:rPr>
        <w:t>, רש"י.</w:t>
      </w:r>
    </w:p>
  </w:footnote>
  <w:footnote w:id="2881">
    <w:p w14:paraId="70776BC9" w14:textId="77777777" w:rsidR="00D30E2F" w:rsidRDefault="00D30E2F" w:rsidP="00D30E2F">
      <w:pPr>
        <w:pStyle w:val="a7"/>
        <w:rPr>
          <w:rtl/>
        </w:rPr>
      </w:pPr>
      <w:r>
        <w:rPr>
          <w:rStyle w:val="a9"/>
        </w:rPr>
        <w:footnoteRef/>
      </w:r>
      <w:r>
        <w:rPr>
          <w:rtl/>
        </w:rPr>
        <w:t xml:space="preserve"> </w:t>
      </w:r>
      <w:r w:rsidRPr="00427E09">
        <w:rPr>
          <w:rFonts w:cs="Arial"/>
          <w:rtl/>
        </w:rPr>
        <w:t>גער בו</w:t>
      </w:r>
      <w:r>
        <w:rPr>
          <w:rFonts w:hint="cs"/>
          <w:rtl/>
        </w:rPr>
        <w:t>, רש"י.</w:t>
      </w:r>
    </w:p>
  </w:footnote>
  <w:footnote w:id="2882">
    <w:p w14:paraId="306EF41C" w14:textId="77777777" w:rsidR="00D30E2F" w:rsidRDefault="00D30E2F" w:rsidP="00D30E2F">
      <w:pPr>
        <w:pStyle w:val="a7"/>
      </w:pPr>
      <w:r>
        <w:rPr>
          <w:rStyle w:val="a9"/>
        </w:rPr>
        <w:footnoteRef/>
      </w:r>
      <w:r>
        <w:rPr>
          <w:rtl/>
        </w:rPr>
        <w:t xml:space="preserve"> </w:t>
      </w:r>
      <w:r w:rsidRPr="00427E09">
        <w:rPr>
          <w:rFonts w:cs="Arial"/>
          <w:rtl/>
        </w:rPr>
        <w:t>שהמיחם העליון גם בו יש מים חמין, והתחתון אינו אלא מעמיד חומו שלא יפיג</w:t>
      </w:r>
      <w:r>
        <w:rPr>
          <w:rFonts w:cs="Arial" w:hint="cs"/>
          <w:rtl/>
        </w:rPr>
        <w:t>, רש"י.</w:t>
      </w:r>
    </w:p>
  </w:footnote>
  <w:footnote w:id="2883">
    <w:p w14:paraId="369B57D7" w14:textId="77777777" w:rsidR="000C654C" w:rsidRDefault="000C654C" w:rsidP="000C654C">
      <w:pPr>
        <w:pStyle w:val="a7"/>
        <w:rPr>
          <w:rtl/>
        </w:rPr>
      </w:pPr>
      <w:r>
        <w:rPr>
          <w:rStyle w:val="a9"/>
        </w:rPr>
        <w:footnoteRef/>
      </w:r>
      <w:r>
        <w:rPr>
          <w:rtl/>
        </w:rPr>
        <w:t xml:space="preserve"> </w:t>
      </w:r>
      <w:r w:rsidRPr="00E136AC">
        <w:rPr>
          <w:rFonts w:cs="Arial"/>
          <w:rtl/>
        </w:rPr>
        <w:t>מיני קטניות, וצריכין בישול יותר</w:t>
      </w:r>
      <w:r>
        <w:rPr>
          <w:rFonts w:hint="cs"/>
          <w:rtl/>
        </w:rPr>
        <w:t>, רש"י.</w:t>
      </w:r>
    </w:p>
  </w:footnote>
  <w:footnote w:id="2884">
    <w:p w14:paraId="008595DF" w14:textId="77777777" w:rsidR="000C654C" w:rsidRDefault="000C654C" w:rsidP="000C654C">
      <w:pPr>
        <w:pStyle w:val="a7"/>
        <w:rPr>
          <w:rtl/>
        </w:rPr>
      </w:pPr>
      <w:r>
        <w:rPr>
          <w:rStyle w:val="a9"/>
        </w:rPr>
        <w:footnoteRef/>
      </w:r>
      <w:r>
        <w:rPr>
          <w:rtl/>
        </w:rPr>
        <w:t xml:space="preserve"> </w:t>
      </w:r>
      <w:r w:rsidRPr="00E136AC">
        <w:rPr>
          <w:rFonts w:cs="Arial"/>
          <w:rtl/>
        </w:rPr>
        <w:t>למהר בישולן</w:t>
      </w:r>
      <w:r>
        <w:rPr>
          <w:rFonts w:hint="cs"/>
          <w:rtl/>
        </w:rPr>
        <w:t>, רש"י.</w:t>
      </w:r>
    </w:p>
  </w:footnote>
  <w:footnote w:id="2885">
    <w:p w14:paraId="1FD3396C" w14:textId="77777777" w:rsidR="000C654C" w:rsidRDefault="000C654C" w:rsidP="000C654C">
      <w:pPr>
        <w:pStyle w:val="a7"/>
        <w:rPr>
          <w:rtl/>
        </w:rPr>
      </w:pPr>
      <w:r>
        <w:rPr>
          <w:rStyle w:val="a9"/>
        </w:rPr>
        <w:footnoteRef/>
      </w:r>
      <w:r>
        <w:rPr>
          <w:rtl/>
        </w:rPr>
        <w:t xml:space="preserve"> </w:t>
      </w:r>
      <w:r w:rsidRPr="00E136AC">
        <w:rPr>
          <w:rFonts w:cs="Arial"/>
          <w:rtl/>
        </w:rPr>
        <w:t>שמא יחתה בגחלים</w:t>
      </w:r>
      <w:r>
        <w:rPr>
          <w:rFonts w:hint="cs"/>
          <w:rtl/>
        </w:rPr>
        <w:t>, רש"י.</w:t>
      </w:r>
    </w:p>
  </w:footnote>
  <w:footnote w:id="2886">
    <w:p w14:paraId="054E9A90" w14:textId="77777777" w:rsidR="000C654C" w:rsidRDefault="000C654C" w:rsidP="000C654C">
      <w:pPr>
        <w:pStyle w:val="a7"/>
        <w:rPr>
          <w:rtl/>
        </w:rPr>
      </w:pPr>
      <w:r>
        <w:rPr>
          <w:rStyle w:val="a9"/>
        </w:rPr>
        <w:footnoteRef/>
      </w:r>
      <w:r>
        <w:rPr>
          <w:rtl/>
        </w:rPr>
        <w:t xml:space="preserve"> </w:t>
      </w:r>
      <w:r w:rsidRPr="00E136AC">
        <w:rPr>
          <w:rFonts w:cs="Arial"/>
          <w:rtl/>
        </w:rPr>
        <w:t>מעל האור</w:t>
      </w:r>
      <w:r>
        <w:rPr>
          <w:rFonts w:hint="cs"/>
          <w:rtl/>
        </w:rPr>
        <w:t>, רש"י.</w:t>
      </w:r>
    </w:p>
  </w:footnote>
  <w:footnote w:id="2887">
    <w:p w14:paraId="338C3961" w14:textId="77777777" w:rsidR="000C654C" w:rsidRDefault="000C654C" w:rsidP="000C654C">
      <w:pPr>
        <w:pStyle w:val="a7"/>
      </w:pPr>
      <w:r>
        <w:rPr>
          <w:rStyle w:val="a9"/>
        </w:rPr>
        <w:footnoteRef/>
      </w:r>
      <w:r>
        <w:rPr>
          <w:rtl/>
        </w:rPr>
        <w:t xml:space="preserve"> </w:t>
      </w:r>
      <w:r w:rsidRPr="00E136AC">
        <w:rPr>
          <w:rFonts w:cs="Arial"/>
          <w:rtl/>
        </w:rPr>
        <w:t>מהפך בה, ובמבושל הוי בישול</w:t>
      </w:r>
      <w:r>
        <w:rPr>
          <w:rFonts w:cs="Arial" w:hint="cs"/>
          <w:rtl/>
        </w:rPr>
        <w:t>, רש"י</w:t>
      </w:r>
      <w:r w:rsidRPr="00E136AC">
        <w:rPr>
          <w:rFonts w:cs="Arial"/>
          <w:rtl/>
        </w:rPr>
        <w:t>.</w:t>
      </w:r>
    </w:p>
  </w:footnote>
  <w:footnote w:id="2888">
    <w:p w14:paraId="2581FCC5" w14:textId="77777777" w:rsidR="000C654C" w:rsidRDefault="000C654C" w:rsidP="000C654C">
      <w:pPr>
        <w:pStyle w:val="a7"/>
        <w:rPr>
          <w:rtl/>
        </w:rPr>
      </w:pPr>
      <w:r>
        <w:rPr>
          <w:rStyle w:val="a9"/>
        </w:rPr>
        <w:footnoteRef/>
      </w:r>
      <w:r>
        <w:rPr>
          <w:rtl/>
        </w:rPr>
        <w:t xml:space="preserve"> </w:t>
      </w:r>
      <w:r w:rsidRPr="00E136AC">
        <w:rPr>
          <w:rFonts w:cs="Arial"/>
          <w:rtl/>
        </w:rPr>
        <w:t>מכוסה בכיסוי שלה, וטוחה בטיט סביב, דכולי האי לא טרח, ומידכר</w:t>
      </w:r>
      <w:r>
        <w:rPr>
          <w:rFonts w:hint="cs"/>
          <w:rtl/>
        </w:rPr>
        <w:t>, רש"י.</w:t>
      </w:r>
    </w:p>
  </w:footnote>
  <w:footnote w:id="2889">
    <w:p w14:paraId="6BE43745" w14:textId="3247CCDC" w:rsidR="004068AD" w:rsidRDefault="004068AD">
      <w:pPr>
        <w:pStyle w:val="a7"/>
      </w:pPr>
      <w:r>
        <w:rPr>
          <w:rStyle w:val="a9"/>
        </w:rPr>
        <w:footnoteRef/>
      </w:r>
      <w:r>
        <w:rPr>
          <w:rtl/>
        </w:rPr>
        <w:t xml:space="preserve"> </w:t>
      </w:r>
      <w:r>
        <w:rPr>
          <w:rFonts w:asciiTheme="minorBidi" w:hAnsiTheme="minorBidi" w:cs="Arial" w:hint="cs"/>
          <w:rtl/>
        </w:rPr>
        <w:t xml:space="preserve">וז"ל- </w:t>
      </w:r>
      <w:r w:rsidRPr="00696C30">
        <w:rPr>
          <w:rFonts w:asciiTheme="minorBidi" w:hAnsiTheme="minorBidi" w:cs="Arial"/>
          <w:rtl/>
        </w:rPr>
        <w:t>הא דאמרינן והלא מגיס. [פרש"י ז"ל] והוי מבשל, ואינו מחוור שא"כ בקדירה נמי הוה להו למיסר מגיס טפי ממחתה בגחלים</w:t>
      </w:r>
      <w:r w:rsidR="00747678">
        <w:rPr>
          <w:rFonts w:asciiTheme="minorBidi" w:hAnsiTheme="minorBidi" w:cs="Arial" w:hint="cs"/>
          <w:rtl/>
        </w:rPr>
        <w:t>,</w:t>
      </w:r>
      <w:r w:rsidRPr="00696C30">
        <w:rPr>
          <w:rFonts w:asciiTheme="minorBidi" w:hAnsiTheme="minorBidi" w:cs="Arial"/>
          <w:rtl/>
        </w:rPr>
        <w:t xml:space="preserve"> שיותר קרוב לבא לידי הגסה מחיתוי גחלים</w:t>
      </w:r>
      <w:r w:rsidR="00747678">
        <w:rPr>
          <w:rFonts w:asciiTheme="minorBidi" w:hAnsiTheme="minorBidi" w:cs="Arial" w:hint="cs"/>
          <w:rtl/>
        </w:rPr>
        <w:t>.</w:t>
      </w:r>
      <w:r w:rsidRPr="00696C30">
        <w:rPr>
          <w:rFonts w:asciiTheme="minorBidi" w:hAnsiTheme="minorBidi" w:cs="Arial"/>
          <w:rtl/>
        </w:rPr>
        <w:t xml:space="preserve"> ויש מפרשים והלא מגיס והוא צובע שכן דרך הצובעין להגיס בבגדים, ומיהו גבי בישול נמי המגיס חייב משום מבשל כדתניא בתוספתא ומייתי לה בגמ' בפ' המביא כדי יין (ביצה לד</w:t>
      </w:r>
      <w:r w:rsidR="00747678">
        <w:rPr>
          <w:rFonts w:asciiTheme="minorBidi" w:hAnsiTheme="minorBidi" w:cs="Arial" w:hint="cs"/>
          <w:rtl/>
        </w:rPr>
        <w:t>.</w:t>
      </w:r>
      <w:r w:rsidRPr="00696C30">
        <w:rPr>
          <w:rFonts w:asciiTheme="minorBidi" w:hAnsiTheme="minorBidi" w:cs="Arial"/>
          <w:rtl/>
        </w:rPr>
        <w:t>) אחד נותן את האור ואחד נותן את העצים ואחד נותן את הקדירה ואחד מגיס כולן חייבין, ומיהו לא חיישינן דילמא מגיס כדחיישינן בצובע שאין דרך כל כך להגיס בה אלא משעה ראשונה כדי שיתערב הכל ויתבשל, ונראה דלא מיחייב אלא בהגסה ראשונה שאינו מתבשל מהרה אלא בהגסה זו שנמצא אף הוא מבשל</w:t>
      </w:r>
      <w:r w:rsidR="00747678">
        <w:rPr>
          <w:rFonts w:asciiTheme="minorBidi" w:hAnsiTheme="minorBidi" w:cs="Arial" w:hint="cs"/>
          <w:rtl/>
        </w:rPr>
        <w:t>.</w:t>
      </w:r>
      <w:r w:rsidRPr="00696C30">
        <w:rPr>
          <w:rFonts w:asciiTheme="minorBidi" w:hAnsiTheme="minorBidi" w:cs="Arial"/>
          <w:rtl/>
        </w:rPr>
        <w:t xml:space="preserve"> ובההוא ליכא למיחש</w:t>
      </w:r>
      <w:r w:rsidR="00BE24B0">
        <w:rPr>
          <w:rFonts w:asciiTheme="minorBidi" w:hAnsiTheme="minorBidi" w:cs="Arial" w:hint="cs"/>
          <w:rtl/>
        </w:rPr>
        <w:t>,</w:t>
      </w:r>
      <w:r w:rsidRPr="00696C30">
        <w:rPr>
          <w:rFonts w:asciiTheme="minorBidi" w:hAnsiTheme="minorBidi" w:cs="Arial"/>
          <w:rtl/>
        </w:rPr>
        <w:t xml:space="preserve"> כדאמרינן קדרה חיתא שרי</w:t>
      </w:r>
      <w:r w:rsidR="00BE24B0">
        <w:rPr>
          <w:rFonts w:asciiTheme="minorBidi" w:hAnsiTheme="minorBidi" w:cs="Arial" w:hint="cs"/>
          <w:rtl/>
        </w:rPr>
        <w:t>.</w:t>
      </w:r>
      <w:r w:rsidRPr="00696C30">
        <w:rPr>
          <w:rFonts w:asciiTheme="minorBidi" w:hAnsiTheme="minorBidi" w:cs="Arial"/>
          <w:rtl/>
        </w:rPr>
        <w:t xml:space="preserve"> אבל משהגיס</w:t>
      </w:r>
      <w:r w:rsidR="00BE24B0">
        <w:rPr>
          <w:rFonts w:asciiTheme="minorBidi" w:hAnsiTheme="minorBidi" w:cs="Arial" w:hint="cs"/>
          <w:rtl/>
        </w:rPr>
        <w:t>,</w:t>
      </w:r>
      <w:r w:rsidRPr="00696C30">
        <w:rPr>
          <w:rFonts w:asciiTheme="minorBidi" w:hAnsiTheme="minorBidi" w:cs="Arial"/>
          <w:rtl/>
        </w:rPr>
        <w:t xml:space="preserve"> דבלאו הכי מתבשל </w:t>
      </w:r>
      <w:r w:rsidR="00BE24B0">
        <w:rPr>
          <w:rFonts w:asciiTheme="minorBidi" w:hAnsiTheme="minorBidi" w:cs="Arial" w:hint="cs"/>
          <w:rtl/>
        </w:rPr>
        <w:t xml:space="preserve">- </w:t>
      </w:r>
      <w:r w:rsidRPr="00696C30">
        <w:rPr>
          <w:rFonts w:asciiTheme="minorBidi" w:hAnsiTheme="minorBidi" w:cs="Arial"/>
          <w:rtl/>
        </w:rPr>
        <w:t>אף המגיס פטור</w:t>
      </w:r>
      <w:r w:rsidR="00BE24B0">
        <w:rPr>
          <w:rFonts w:asciiTheme="minorBidi" w:hAnsiTheme="minorBidi" w:cs="Arial" w:hint="cs"/>
          <w:rtl/>
        </w:rPr>
        <w:t>,</w:t>
      </w:r>
      <w:r w:rsidRPr="00696C30">
        <w:rPr>
          <w:rFonts w:asciiTheme="minorBidi" w:hAnsiTheme="minorBidi" w:cs="Arial"/>
          <w:rtl/>
        </w:rPr>
        <w:t xml:space="preserve"> דמאי עביד</w:t>
      </w:r>
      <w:r w:rsidR="00BE24B0">
        <w:rPr>
          <w:rFonts w:asciiTheme="minorBidi" w:hAnsiTheme="minorBidi" w:cs="Arial" w:hint="cs"/>
          <w:rtl/>
        </w:rPr>
        <w:t>.</w:t>
      </w:r>
      <w:r w:rsidRPr="00696C30">
        <w:rPr>
          <w:rFonts w:asciiTheme="minorBidi" w:hAnsiTheme="minorBidi" w:cs="Arial"/>
          <w:rtl/>
        </w:rPr>
        <w:t xml:space="preserve"> הלכך ליכא למיגזר בשבת משום מגיס</w:t>
      </w:r>
      <w:r w:rsidR="00BE24B0">
        <w:rPr>
          <w:rFonts w:asciiTheme="minorBidi" w:hAnsiTheme="minorBidi" w:cs="Arial" w:hint="cs"/>
          <w:rtl/>
        </w:rPr>
        <w:t>,</w:t>
      </w:r>
      <w:r w:rsidRPr="00696C30">
        <w:rPr>
          <w:rFonts w:asciiTheme="minorBidi" w:hAnsiTheme="minorBidi" w:cs="Arial"/>
          <w:rtl/>
        </w:rPr>
        <w:t xml:space="preserve"> דלאו קרובי בישולא איכא דבלא"ה מתבשל</w:t>
      </w:r>
      <w:r w:rsidR="00BE24B0">
        <w:rPr>
          <w:rFonts w:asciiTheme="minorBidi" w:hAnsiTheme="minorBidi" w:cs="Arial" w:hint="cs"/>
          <w:rtl/>
        </w:rPr>
        <w:t>.</w:t>
      </w:r>
      <w:r w:rsidRPr="00696C30">
        <w:rPr>
          <w:rFonts w:asciiTheme="minorBidi" w:hAnsiTheme="minorBidi" w:cs="Arial"/>
          <w:rtl/>
        </w:rPr>
        <w:t xml:space="preserve"> א"נ איכא למימר דמשום הכי לא אדכרו מגיס</w:t>
      </w:r>
      <w:r w:rsidR="00BE24B0">
        <w:rPr>
          <w:rFonts w:asciiTheme="minorBidi" w:hAnsiTheme="minorBidi" w:cs="Arial" w:hint="cs"/>
          <w:rtl/>
        </w:rPr>
        <w:t>,</w:t>
      </w:r>
      <w:r w:rsidRPr="00696C30">
        <w:rPr>
          <w:rFonts w:asciiTheme="minorBidi" w:hAnsiTheme="minorBidi" w:cs="Arial"/>
          <w:rtl/>
        </w:rPr>
        <w:t xml:space="preserve"> משום שחתוי הגחלים כוללת יותר</w:t>
      </w:r>
      <w:r w:rsidR="00BE24B0">
        <w:rPr>
          <w:rFonts w:asciiTheme="minorBidi" w:hAnsiTheme="minorBidi" w:cs="Arial" w:hint="cs"/>
          <w:rtl/>
        </w:rPr>
        <w:t>,</w:t>
      </w:r>
      <w:r w:rsidRPr="00696C30">
        <w:rPr>
          <w:rFonts w:asciiTheme="minorBidi" w:hAnsiTheme="minorBidi" w:cs="Arial"/>
          <w:rtl/>
        </w:rPr>
        <w:t xml:space="preserve"> שיש לחוש אפי' במבושל כמאכל בן דרוסאי ובצלי ופת</w:t>
      </w:r>
      <w:r w:rsidR="00BE24B0">
        <w:rPr>
          <w:rFonts w:asciiTheme="minorBidi" w:hAnsiTheme="minorBidi" w:cs="Arial" w:hint="cs"/>
          <w:rtl/>
        </w:rPr>
        <w:t>,</w:t>
      </w:r>
      <w:r w:rsidRPr="00696C30">
        <w:rPr>
          <w:rFonts w:asciiTheme="minorBidi" w:hAnsiTheme="minorBidi" w:cs="Arial"/>
          <w:rtl/>
        </w:rPr>
        <w:t xml:space="preserve"> ואלו משום מגיס ליכא</w:t>
      </w:r>
      <w:r w:rsidR="00BE24B0">
        <w:rPr>
          <w:rFonts w:asciiTheme="minorBidi" w:hAnsiTheme="minorBidi" w:cs="Arial" w:hint="cs"/>
          <w:rtl/>
        </w:rPr>
        <w:t>,</w:t>
      </w:r>
      <w:r w:rsidRPr="00696C30">
        <w:rPr>
          <w:rFonts w:asciiTheme="minorBidi" w:hAnsiTheme="minorBidi" w:cs="Arial"/>
          <w:rtl/>
        </w:rPr>
        <w:t xml:space="preserve"> לפיכך הזכירו חיתוי גחלים בכל מקום</w:t>
      </w:r>
      <w:r w:rsidR="00BE24B0">
        <w:rPr>
          <w:rFonts w:asciiTheme="minorBidi" w:hAnsiTheme="minorBidi" w:cs="Arial" w:hint="cs"/>
          <w:rtl/>
        </w:rPr>
        <w:t>.</w:t>
      </w:r>
      <w:r w:rsidRPr="00696C30">
        <w:rPr>
          <w:rFonts w:asciiTheme="minorBidi" w:hAnsiTheme="minorBidi" w:cs="Arial"/>
          <w:rtl/>
        </w:rPr>
        <w:t xml:space="preserve"> ובקדרה חיתא ליכא משום מגיס כי היכי דלית בה משום חיתוי גחלים</w:t>
      </w:r>
      <w:r w:rsidR="00BE24B0">
        <w:rPr>
          <w:rFonts w:asciiTheme="minorBidi" w:hAnsiTheme="minorBidi" w:cs="Arial" w:hint="cs"/>
          <w:rtl/>
        </w:rPr>
        <w:t>,</w:t>
      </w:r>
      <w:r w:rsidRPr="00696C30">
        <w:rPr>
          <w:rFonts w:asciiTheme="minorBidi" w:hAnsiTheme="minorBidi" w:cs="Arial"/>
          <w:rtl/>
        </w:rPr>
        <w:t xml:space="preserve"> דהא מסח ליה לדעתיה מינה ולא נגע בה כלל</w:t>
      </w:r>
      <w:r w:rsidR="00BE24B0">
        <w:rPr>
          <w:rFonts w:asciiTheme="minorBidi" w:hAnsiTheme="minorBidi" w:cs="Arial" w:hint="cs"/>
          <w:rtl/>
        </w:rPr>
        <w:t>.</w:t>
      </w:r>
      <w:r w:rsidRPr="00696C30">
        <w:rPr>
          <w:rFonts w:asciiTheme="minorBidi" w:hAnsiTheme="minorBidi" w:cs="Arial"/>
          <w:rtl/>
        </w:rPr>
        <w:t xml:space="preserve"> ויש לומר עוד דגבי צבע יש לחוש</w:t>
      </w:r>
      <w:r w:rsidR="00BE24B0">
        <w:rPr>
          <w:rFonts w:asciiTheme="minorBidi" w:hAnsiTheme="minorBidi" w:cs="Arial" w:hint="cs"/>
          <w:rtl/>
        </w:rPr>
        <w:t>,</w:t>
      </w:r>
      <w:r w:rsidRPr="00696C30">
        <w:rPr>
          <w:rFonts w:asciiTheme="minorBidi" w:hAnsiTheme="minorBidi" w:cs="Arial"/>
          <w:rtl/>
        </w:rPr>
        <w:t xml:space="preserve"> לפי שתקדיחנו היורה והוא מפסיד הרבה</w:t>
      </w:r>
      <w:r w:rsidR="00BE24B0">
        <w:rPr>
          <w:rFonts w:asciiTheme="minorBidi" w:hAnsiTheme="minorBidi" w:cs="Arial" w:hint="cs"/>
          <w:rtl/>
        </w:rPr>
        <w:t>,</w:t>
      </w:r>
      <w:r w:rsidRPr="00696C30">
        <w:rPr>
          <w:rFonts w:asciiTheme="minorBidi" w:hAnsiTheme="minorBidi" w:cs="Arial"/>
          <w:rtl/>
        </w:rPr>
        <w:t xml:space="preserve"> וכן נראה בירושלמי.</w:t>
      </w:r>
    </w:p>
  </w:footnote>
  <w:footnote w:id="2890">
    <w:p w14:paraId="29E633CA" w14:textId="6839CE58" w:rsidR="004068AD" w:rsidRDefault="004068AD">
      <w:pPr>
        <w:pStyle w:val="a7"/>
      </w:pPr>
      <w:r>
        <w:rPr>
          <w:rStyle w:val="a9"/>
        </w:rPr>
        <w:footnoteRef/>
      </w:r>
      <w:r>
        <w:rPr>
          <w:rtl/>
        </w:rPr>
        <w:t xml:space="preserve"> </w:t>
      </w:r>
      <w:r>
        <w:rPr>
          <w:rFonts w:hint="cs"/>
          <w:rtl/>
        </w:rPr>
        <w:t xml:space="preserve">וז"ל- </w:t>
      </w:r>
      <w:r w:rsidRPr="004068AD">
        <w:rPr>
          <w:rFonts w:cs="Arial"/>
          <w:rtl/>
        </w:rPr>
        <w:t>ומהא דקאמרינן ביורה עקורה וטוחה משמע דאפילו בעקורה איכא משום מגיס</w:t>
      </w:r>
      <w:r w:rsidR="00BE24B0">
        <w:rPr>
          <w:rFonts w:cs="Arial" w:hint="cs"/>
          <w:rtl/>
        </w:rPr>
        <w:t>,</w:t>
      </w:r>
      <w:r w:rsidRPr="004068AD">
        <w:rPr>
          <w:rFonts w:cs="Arial"/>
          <w:rtl/>
        </w:rPr>
        <w:t xml:space="preserve"> דהגסה בכלי ראשון כבישול</w:t>
      </w:r>
      <w:r w:rsidR="00BE24B0">
        <w:rPr>
          <w:rFonts w:cs="Arial" w:hint="cs"/>
          <w:rtl/>
        </w:rPr>
        <w:t>.</w:t>
      </w:r>
      <w:r w:rsidRPr="004068AD">
        <w:rPr>
          <w:rFonts w:cs="Arial"/>
          <w:rtl/>
        </w:rPr>
        <w:t xml:space="preserve"> וקשיא לי אם כן האלפס והקדירה שהעבירן מרותחין היאך מוציאין מהן בכף והלא מגיס, וי"ל דבהגסה ראשונה הוא דאיכא משום מבשל לגבי קדירה מפני שמערב את הכל ואיכא משום קרובי בישולא</w:t>
      </w:r>
      <w:r w:rsidR="00BE24B0">
        <w:rPr>
          <w:rFonts w:cs="Arial" w:hint="cs"/>
          <w:rtl/>
        </w:rPr>
        <w:t>,</w:t>
      </w:r>
      <w:r w:rsidRPr="004068AD">
        <w:rPr>
          <w:rFonts w:cs="Arial"/>
          <w:rtl/>
        </w:rPr>
        <w:t xml:space="preserve"> אבל בשאר הגסות לא</w:t>
      </w:r>
      <w:r w:rsidR="00BE24B0">
        <w:rPr>
          <w:rFonts w:cs="Arial" w:hint="cs"/>
          <w:rtl/>
        </w:rPr>
        <w:t>,</w:t>
      </w:r>
      <w:r w:rsidRPr="004068AD">
        <w:rPr>
          <w:rFonts w:cs="Arial"/>
          <w:rtl/>
        </w:rPr>
        <w:t xml:space="preserve"> דמראשונה ואילך ליכא בקדירה משום מבשל</w:t>
      </w:r>
      <w:r w:rsidR="00BE24B0">
        <w:rPr>
          <w:rFonts w:cs="Arial" w:hint="cs"/>
          <w:rtl/>
        </w:rPr>
        <w:t>.</w:t>
      </w:r>
      <w:r w:rsidRPr="004068AD">
        <w:rPr>
          <w:rFonts w:cs="Arial"/>
          <w:rtl/>
        </w:rPr>
        <w:t xml:space="preserve"> והיינו דמפרשינן טעמא דעססיות ותורמוסין משום מחתה בגחלים ולא אמרינן משום מגיס, והיינו נמי דמשהין על גבי כירה קטומה ולא חיישינן דלמא מגיס</w:t>
      </w:r>
      <w:r w:rsidR="00BE24B0">
        <w:rPr>
          <w:rFonts w:cs="Arial" w:hint="cs"/>
          <w:rtl/>
        </w:rPr>
        <w:t>.</w:t>
      </w:r>
      <w:r w:rsidRPr="004068AD">
        <w:rPr>
          <w:rFonts w:cs="Arial"/>
          <w:rtl/>
        </w:rPr>
        <w:t xml:space="preserve"> אבל ביורה של סמנין הוא דאיכא משום מגיס</w:t>
      </w:r>
      <w:r w:rsidR="00BE24B0">
        <w:rPr>
          <w:rFonts w:cs="Arial" w:hint="cs"/>
          <w:rtl/>
        </w:rPr>
        <w:t>,</w:t>
      </w:r>
      <w:r w:rsidRPr="004068AD">
        <w:rPr>
          <w:rFonts w:cs="Arial"/>
          <w:rtl/>
        </w:rPr>
        <w:t xml:space="preserve"> דדרכן בכך להגיס תדיר כדי שלא יחרכו כדכתיבנא</w:t>
      </w:r>
      <w:r w:rsidR="00BE24B0">
        <w:rPr>
          <w:rFonts w:cs="Arial" w:hint="cs"/>
          <w:rtl/>
        </w:rPr>
        <w:t>.</w:t>
      </w:r>
      <w:r w:rsidRPr="004068AD">
        <w:rPr>
          <w:rFonts w:cs="Arial"/>
          <w:rtl/>
        </w:rPr>
        <w:t xml:space="preserve"> וכן ראיתי להרמב"ן ז"ל שכתב דמסתבר ליה דליכא משום מבשל מהגסה ראשונה ואילך</w:t>
      </w:r>
      <w:r w:rsidR="00BE24B0">
        <w:rPr>
          <w:rFonts w:cs="Arial" w:hint="cs"/>
          <w:rtl/>
        </w:rPr>
        <w:t>.</w:t>
      </w:r>
      <w:r w:rsidRPr="004068AD">
        <w:rPr>
          <w:rFonts w:cs="Arial"/>
          <w:rtl/>
        </w:rPr>
        <w:t xml:space="preserve"> ועוד יש לי לומר דכל דבשיל כמאכל בן דרוסאי ליכא משום מגיס, דהא מגיס משום מבשל הוא דמחייב</w:t>
      </w:r>
      <w:r w:rsidR="00BE24B0">
        <w:rPr>
          <w:rFonts w:cs="Arial" w:hint="cs"/>
          <w:rtl/>
        </w:rPr>
        <w:t>,</w:t>
      </w:r>
      <w:r w:rsidRPr="004068AD">
        <w:rPr>
          <w:rFonts w:cs="Arial"/>
          <w:rtl/>
        </w:rPr>
        <w:t xml:space="preserve"> וכיון שהגיע למאכל בן דרוסאי תו ליכא משום מבשל</w:t>
      </w:r>
      <w:r w:rsidR="00BE24B0">
        <w:rPr>
          <w:rFonts w:cs="Arial" w:hint="cs"/>
          <w:rtl/>
        </w:rPr>
        <w:t>,</w:t>
      </w:r>
      <w:r w:rsidRPr="004068AD">
        <w:rPr>
          <w:rFonts w:cs="Arial"/>
          <w:rtl/>
        </w:rPr>
        <w:t xml:space="preserve"> וכענין שאמרו בפרק כירה (מ</w:t>
      </w:r>
      <w:r w:rsidR="00BE24B0">
        <w:rPr>
          <w:rFonts w:cs="Arial" w:hint="cs"/>
          <w:rtl/>
        </w:rPr>
        <w:t>:</w:t>
      </w:r>
      <w:r w:rsidRPr="004068AD">
        <w:rPr>
          <w:rFonts w:cs="Arial"/>
          <w:rtl/>
        </w:rPr>
        <w:t>) בשמן למאן דאמר שמן אין בו משום בישול שמותר לתת אותו אפילו במקום שהיד סולדת בו.</w:t>
      </w:r>
    </w:p>
  </w:footnote>
  <w:footnote w:id="2891">
    <w:p w14:paraId="640C4285" w14:textId="77777777" w:rsidR="00EB13E7" w:rsidRDefault="00EB13E7" w:rsidP="00EB13E7">
      <w:pPr>
        <w:pStyle w:val="a7"/>
      </w:pPr>
      <w:r>
        <w:rPr>
          <w:rStyle w:val="a9"/>
        </w:rPr>
        <w:footnoteRef/>
      </w:r>
      <w:r>
        <w:rPr>
          <w:rtl/>
        </w:rPr>
        <w:t xml:space="preserve"> </w:t>
      </w:r>
      <w:r w:rsidRPr="004068AD">
        <w:rPr>
          <w:rFonts w:cs="Arial"/>
          <w:rtl/>
        </w:rPr>
        <w:t>א"א הפריז על מדותיו שאסר אפי' להוציא מן הקדירה במגריפה</w:t>
      </w:r>
      <w:r>
        <w:rPr>
          <w:rFonts w:cs="Arial" w:hint="cs"/>
          <w:rtl/>
        </w:rPr>
        <w:t>, ראב"ד (בהשגות שם).</w:t>
      </w:r>
    </w:p>
  </w:footnote>
  <w:footnote w:id="2892">
    <w:p w14:paraId="76BD80A1" w14:textId="594042EB" w:rsidR="003B0265" w:rsidRDefault="003B0265" w:rsidP="003B0265">
      <w:pPr>
        <w:pStyle w:val="a7"/>
      </w:pPr>
      <w:r>
        <w:rPr>
          <w:rStyle w:val="a9"/>
        </w:rPr>
        <w:footnoteRef/>
      </w:r>
      <w:r>
        <w:rPr>
          <w:rtl/>
        </w:rPr>
        <w:t xml:space="preserve"> </w:t>
      </w:r>
      <w:r w:rsidRPr="003B0265">
        <w:rPr>
          <w:rFonts w:cs="Arial"/>
          <w:rtl/>
        </w:rPr>
        <w:t>ונראה לי שאין דברי רבינו אמורים במבושל כל צרכו</w:t>
      </w:r>
      <w:r w:rsidRPr="003B0265">
        <w:rPr>
          <w:rFonts w:cs="Arial" w:hint="cs"/>
          <w:rtl/>
        </w:rPr>
        <w:t>,</w:t>
      </w:r>
      <w:r w:rsidRPr="003B0265">
        <w:rPr>
          <w:rFonts w:cs="Arial"/>
          <w:rtl/>
        </w:rPr>
        <w:t xml:space="preserve"> דהתם ודאי אפילו מחזירן על האש ומבשלן פטור</w:t>
      </w:r>
      <w:r w:rsidRPr="003B0265">
        <w:rPr>
          <w:rFonts w:cs="Arial" w:hint="cs"/>
          <w:rtl/>
        </w:rPr>
        <w:t>,</w:t>
      </w:r>
      <w:r w:rsidRPr="003B0265">
        <w:rPr>
          <w:rFonts w:cs="Arial"/>
          <w:rtl/>
        </w:rPr>
        <w:t xml:space="preserve"> כמו שיתבאר בפרק ט'</w:t>
      </w:r>
      <w:r w:rsidRPr="003B0265">
        <w:rPr>
          <w:rFonts w:cs="Arial" w:hint="cs"/>
          <w:rtl/>
        </w:rPr>
        <w:t>,</w:t>
      </w:r>
      <w:r w:rsidRPr="003B0265">
        <w:rPr>
          <w:rFonts w:cs="Arial"/>
          <w:rtl/>
        </w:rPr>
        <w:t xml:space="preserve"> וכיון שכן אין לגזור בהכנסת מגריפה</w:t>
      </w:r>
      <w:r w:rsidRPr="003B0265">
        <w:rPr>
          <w:rFonts w:cs="Arial" w:hint="cs"/>
          <w:rtl/>
        </w:rPr>
        <w:t>.</w:t>
      </w:r>
      <w:r w:rsidRPr="003B0265">
        <w:rPr>
          <w:rFonts w:cs="Arial"/>
          <w:rtl/>
        </w:rPr>
        <w:t xml:space="preserve"> אבל באינו מבושל ודאי יש לחוש לדעתו שכתב בפ</w:t>
      </w:r>
      <w:r w:rsidRPr="003B0265">
        <w:rPr>
          <w:rFonts w:cs="Arial" w:hint="cs"/>
          <w:rtl/>
        </w:rPr>
        <w:t>"</w:t>
      </w:r>
      <w:r w:rsidRPr="003B0265">
        <w:rPr>
          <w:rFonts w:cs="Arial"/>
          <w:rtl/>
        </w:rPr>
        <w:t>ט</w:t>
      </w:r>
      <w:r w:rsidRPr="003B0265">
        <w:rPr>
          <w:rFonts w:cs="Arial" w:hint="cs"/>
          <w:rtl/>
        </w:rPr>
        <w:t>,</w:t>
      </w:r>
      <w:r w:rsidRPr="003B0265">
        <w:rPr>
          <w:rFonts w:cs="Arial"/>
          <w:rtl/>
        </w:rPr>
        <w:t xml:space="preserve"> </w:t>
      </w:r>
      <w:r w:rsidRPr="00F45367">
        <w:rPr>
          <w:rFonts w:cs="Arial" w:hint="cs"/>
          <w:b/>
          <w:bCs/>
          <w:rtl/>
        </w:rPr>
        <w:t>הה"מ</w:t>
      </w:r>
      <w:r w:rsidRPr="003B0265">
        <w:rPr>
          <w:rFonts w:cs="Arial" w:hint="cs"/>
          <w:rtl/>
        </w:rPr>
        <w:t xml:space="preserve"> (שם).</w:t>
      </w:r>
      <w:r w:rsidR="00F45367">
        <w:rPr>
          <w:rFonts w:hint="cs"/>
          <w:rtl/>
        </w:rPr>
        <w:t xml:space="preserve">    </w:t>
      </w:r>
      <w:r w:rsidR="00F45367">
        <w:rPr>
          <w:rFonts w:cs="Arial" w:hint="cs"/>
          <w:rtl/>
        </w:rPr>
        <w:t>ו</w:t>
      </w:r>
      <w:r w:rsidR="00F45367" w:rsidRPr="003B0265">
        <w:rPr>
          <w:rFonts w:cs="Arial"/>
          <w:rtl/>
        </w:rPr>
        <w:t>לפי דברי ה</w:t>
      </w:r>
      <w:r w:rsidR="00F45367" w:rsidRPr="003B0265">
        <w:rPr>
          <w:rFonts w:cs="Arial" w:hint="cs"/>
          <w:rtl/>
        </w:rPr>
        <w:t xml:space="preserve">ה"מ, </w:t>
      </w:r>
      <w:r w:rsidR="00F45367" w:rsidRPr="003B0265">
        <w:rPr>
          <w:rFonts w:cs="Arial"/>
          <w:rtl/>
        </w:rPr>
        <w:t>לדעת הסוברים שכל שנתבשל כמאכל בן דרוסאי שוב אינו חייב משום מבשל כמו שכתבתי לעיל (פב: דיבור ראשון)</w:t>
      </w:r>
      <w:r w:rsidR="00F45367" w:rsidRPr="003B0265">
        <w:rPr>
          <w:rFonts w:cs="Arial" w:hint="cs"/>
          <w:rtl/>
        </w:rPr>
        <w:t>,</w:t>
      </w:r>
      <w:r w:rsidR="00F45367" w:rsidRPr="003B0265">
        <w:rPr>
          <w:rFonts w:cs="Arial"/>
          <w:rtl/>
        </w:rPr>
        <w:t xml:space="preserve"> כיון שהגיע למאכל בן דרוסאי </w:t>
      </w:r>
      <w:r w:rsidR="00F45367" w:rsidRPr="003B0265">
        <w:rPr>
          <w:rFonts w:cs="Arial" w:hint="cs"/>
          <w:rtl/>
        </w:rPr>
        <w:t xml:space="preserve">- </w:t>
      </w:r>
      <w:r w:rsidR="00F45367" w:rsidRPr="003B0265">
        <w:rPr>
          <w:rFonts w:cs="Arial"/>
          <w:rtl/>
        </w:rPr>
        <w:t>שוב אין לגזור בהכנסת המגריפה</w:t>
      </w:r>
      <w:r w:rsidR="00F45367">
        <w:rPr>
          <w:rFonts w:hint="cs"/>
          <w:rtl/>
        </w:rPr>
        <w:t xml:space="preserve">, </w:t>
      </w:r>
      <w:r w:rsidR="00F45367" w:rsidRPr="00F45367">
        <w:rPr>
          <w:rFonts w:hint="cs"/>
          <w:b/>
          <w:bCs/>
          <w:rtl/>
        </w:rPr>
        <w:t>ב"י</w:t>
      </w:r>
      <w:r w:rsidR="00F45367">
        <w:rPr>
          <w:rFonts w:hint="cs"/>
          <w:rtl/>
        </w:rPr>
        <w:t>.</w:t>
      </w:r>
    </w:p>
  </w:footnote>
  <w:footnote w:id="2893">
    <w:p w14:paraId="3D5284D5" w14:textId="243A77E6" w:rsidR="00E46855" w:rsidRDefault="00E46855" w:rsidP="00E46855">
      <w:pPr>
        <w:pStyle w:val="a7"/>
        <w:rPr>
          <w:rtl/>
        </w:rPr>
      </w:pPr>
      <w:r>
        <w:rPr>
          <w:rStyle w:val="a9"/>
        </w:rPr>
        <w:footnoteRef/>
      </w:r>
      <w:r>
        <w:rPr>
          <w:rtl/>
        </w:rPr>
        <w:t xml:space="preserve"> </w:t>
      </w:r>
      <w:r>
        <w:rPr>
          <w:rFonts w:cs="Arial" w:hint="cs"/>
          <w:rtl/>
        </w:rPr>
        <w:t>וכ"פ הטור</w:t>
      </w:r>
      <w:r>
        <w:rPr>
          <w:rFonts w:cs="Arial" w:hint="cs"/>
          <w:sz w:val="16"/>
          <w:szCs w:val="16"/>
          <w:rtl/>
        </w:rPr>
        <w:t xml:space="preserve"> (סי' רנב)</w:t>
      </w:r>
      <w:r>
        <w:rPr>
          <w:rFonts w:cs="Arial" w:hint="cs"/>
          <w:rtl/>
        </w:rPr>
        <w:t xml:space="preserve"> ו</w:t>
      </w:r>
      <w:r w:rsidRPr="00E61E7E">
        <w:rPr>
          <w:rFonts w:cs="Arial"/>
          <w:rtl/>
        </w:rPr>
        <w:t>ר</w:t>
      </w:r>
      <w:r>
        <w:rPr>
          <w:rFonts w:cs="Arial" w:hint="cs"/>
          <w:rtl/>
        </w:rPr>
        <w:t>י"ו</w:t>
      </w:r>
      <w:r w:rsidRPr="00E61E7E">
        <w:rPr>
          <w:rFonts w:cs="Arial"/>
          <w:rtl/>
        </w:rPr>
        <w:t xml:space="preserve"> </w:t>
      </w:r>
      <w:r w:rsidRPr="00E6685B">
        <w:rPr>
          <w:rFonts w:cs="Arial" w:hint="cs"/>
          <w:sz w:val="16"/>
          <w:szCs w:val="16"/>
          <w:rtl/>
        </w:rPr>
        <w:t>(</w:t>
      </w:r>
      <w:r w:rsidRPr="00E6685B">
        <w:rPr>
          <w:rFonts w:cs="Arial"/>
          <w:sz w:val="16"/>
          <w:szCs w:val="16"/>
          <w:rtl/>
        </w:rPr>
        <w:t>ח</w:t>
      </w:r>
      <w:r w:rsidRPr="00E6685B">
        <w:rPr>
          <w:rFonts w:cs="Arial" w:hint="cs"/>
          <w:sz w:val="16"/>
          <w:szCs w:val="16"/>
          <w:rtl/>
        </w:rPr>
        <w:t>"</w:t>
      </w:r>
      <w:r w:rsidRPr="00E6685B">
        <w:rPr>
          <w:rFonts w:cs="Arial"/>
          <w:sz w:val="16"/>
          <w:szCs w:val="16"/>
          <w:rtl/>
        </w:rPr>
        <w:t>ג נ</w:t>
      </w:r>
      <w:r w:rsidRPr="00E6685B">
        <w:rPr>
          <w:rFonts w:cs="Arial" w:hint="cs"/>
          <w:sz w:val="16"/>
          <w:szCs w:val="16"/>
          <w:rtl/>
        </w:rPr>
        <w:t>י"ב</w:t>
      </w:r>
      <w:r w:rsidRPr="00E6685B">
        <w:rPr>
          <w:rFonts w:cs="Arial"/>
          <w:sz w:val="16"/>
          <w:szCs w:val="16"/>
          <w:rtl/>
        </w:rPr>
        <w:t xml:space="preserve"> סח.)</w:t>
      </w:r>
      <w:r>
        <w:rPr>
          <w:rFonts w:cs="Arial" w:hint="cs"/>
          <w:rtl/>
        </w:rPr>
        <w:t xml:space="preserve">, וז"ל הטור- </w:t>
      </w:r>
      <w:r w:rsidRPr="00F45367">
        <w:rPr>
          <w:rFonts w:cs="Arial"/>
          <w:rtl/>
        </w:rPr>
        <w:t xml:space="preserve">המגיס בקדרה אפי' אינה על האש </w:t>
      </w:r>
      <w:r>
        <w:rPr>
          <w:rFonts w:cs="Arial" w:hint="cs"/>
          <w:rtl/>
        </w:rPr>
        <w:t xml:space="preserve">- </w:t>
      </w:r>
      <w:r w:rsidRPr="00F45367">
        <w:rPr>
          <w:rFonts w:cs="Arial"/>
          <w:rtl/>
        </w:rPr>
        <w:t>חייב משום מבשל</w:t>
      </w:r>
      <w:r>
        <w:rPr>
          <w:rFonts w:cs="Arial" w:hint="cs"/>
          <w:rtl/>
        </w:rPr>
        <w:t xml:space="preserve">. עכ"ל הטור.    וכתב הב"י </w:t>
      </w:r>
      <w:r w:rsidR="00DA50F3">
        <w:rPr>
          <w:rFonts w:cs="Arial" w:hint="cs"/>
          <w:rtl/>
        </w:rPr>
        <w:t>שכן דעת הרמב"ם (פ"ג הי"א). ו</w:t>
      </w:r>
      <w:r w:rsidRPr="00E61E7E">
        <w:rPr>
          <w:rFonts w:cs="Arial"/>
          <w:rtl/>
        </w:rPr>
        <w:t xml:space="preserve">מה שכתב הרמב"ם </w:t>
      </w:r>
      <w:r>
        <w:rPr>
          <w:rFonts w:cs="Arial" w:hint="cs"/>
          <w:rtl/>
        </w:rPr>
        <w:t>"</w:t>
      </w:r>
      <w:r w:rsidRPr="00E61E7E">
        <w:rPr>
          <w:rFonts w:cs="Arial"/>
          <w:rtl/>
        </w:rPr>
        <w:t>והיא על האש</w:t>
      </w:r>
      <w:r>
        <w:rPr>
          <w:rFonts w:cs="Arial" w:hint="cs"/>
          <w:rtl/>
        </w:rPr>
        <w:t>",</w:t>
      </w:r>
      <w:r w:rsidRPr="00E61E7E">
        <w:rPr>
          <w:rFonts w:cs="Arial"/>
          <w:rtl/>
        </w:rPr>
        <w:t xml:space="preserve"> נראה לי דלאו דוקא</w:t>
      </w:r>
      <w:r>
        <w:rPr>
          <w:rFonts w:cs="Arial" w:hint="cs"/>
          <w:rtl/>
        </w:rPr>
        <w:t>,</w:t>
      </w:r>
      <w:r w:rsidRPr="00E61E7E">
        <w:rPr>
          <w:rFonts w:cs="Arial"/>
          <w:rtl/>
        </w:rPr>
        <w:t xml:space="preserve"> אלא כל שהעבירה מרותחת מעל גבי האור </w:t>
      </w:r>
      <w:r>
        <w:rPr>
          <w:rFonts w:cs="Arial" w:hint="cs"/>
          <w:rtl/>
        </w:rPr>
        <w:t xml:space="preserve">- </w:t>
      </w:r>
      <w:r w:rsidRPr="00E61E7E">
        <w:rPr>
          <w:rFonts w:cs="Arial"/>
          <w:rtl/>
        </w:rPr>
        <w:t>היא על האש קרי לה</w:t>
      </w:r>
      <w:r>
        <w:rPr>
          <w:rFonts w:hint="cs"/>
          <w:rtl/>
        </w:rPr>
        <w:t xml:space="preserve">. עכ"ל הב"י.    ועיין לעיל בסוף סע' ט שהבאתי כמה אחרונים (ערוה"ש ואגלי טל) שדקדקו מלשון הרמב"ם שאין חייב משום מבשל אלא כשהקדירה ע"ג האש ממש וכן נראה לי דעת הרמב"ם </w:t>
      </w:r>
      <w:r>
        <w:rPr>
          <w:rFonts w:hint="cs"/>
          <w:sz w:val="16"/>
          <w:szCs w:val="16"/>
          <w:rtl/>
        </w:rPr>
        <w:t>(פכ"ב ה"ו)</w:t>
      </w:r>
      <w:r>
        <w:rPr>
          <w:rFonts w:hint="cs"/>
          <w:rtl/>
        </w:rPr>
        <w:t>.</w:t>
      </w:r>
      <w:r w:rsidRPr="007F284E">
        <w:rPr>
          <w:rFonts w:hint="cs"/>
          <w:rtl/>
        </w:rPr>
        <w:t xml:space="preserve"> </w:t>
      </w:r>
      <w:r>
        <w:rPr>
          <w:rFonts w:cs="Arial" w:hint="cs"/>
          <w:rtl/>
        </w:rPr>
        <w:t xml:space="preserve">וצל"ע על הבנת הב"י ברמב"ם, דלא משמע לי כהבנתו. </w:t>
      </w:r>
    </w:p>
  </w:footnote>
  <w:footnote w:id="2894">
    <w:p w14:paraId="025589A7" w14:textId="79012F04" w:rsidR="001A2DB0" w:rsidRDefault="001A2DB0">
      <w:pPr>
        <w:pStyle w:val="a7"/>
        <w:rPr>
          <w:rtl/>
        </w:rPr>
      </w:pPr>
      <w:r>
        <w:rPr>
          <w:rStyle w:val="a9"/>
        </w:rPr>
        <w:footnoteRef/>
      </w:r>
      <w:r>
        <w:rPr>
          <w:rtl/>
        </w:rPr>
        <w:t xml:space="preserve"> </w:t>
      </w:r>
      <w:r>
        <w:rPr>
          <w:rFonts w:hint="cs"/>
          <w:rtl/>
        </w:rPr>
        <w:t xml:space="preserve">ופסק השו"ע כדבריהם לעניין שיש מגיס אף ביורה עקורה ולעניין </w:t>
      </w:r>
      <w:r w:rsidR="00A630D9">
        <w:rPr>
          <w:rFonts w:hint="cs"/>
          <w:rtl/>
        </w:rPr>
        <w:t xml:space="preserve">שיש </w:t>
      </w:r>
      <w:r>
        <w:rPr>
          <w:rFonts w:hint="cs"/>
          <w:rtl/>
        </w:rPr>
        <w:t xml:space="preserve">מגיס </w:t>
      </w:r>
      <w:r w:rsidR="00A630D9">
        <w:rPr>
          <w:rFonts w:hint="cs"/>
          <w:rtl/>
        </w:rPr>
        <w:t xml:space="preserve">תמיד </w:t>
      </w:r>
      <w:r>
        <w:rPr>
          <w:rFonts w:hint="cs"/>
          <w:rtl/>
        </w:rPr>
        <w:t xml:space="preserve">ביורה שיש בה צמר, אך לא לעניין שמותר </w:t>
      </w:r>
      <w:r w:rsidR="00A630D9">
        <w:rPr>
          <w:rFonts w:hint="cs"/>
          <w:rtl/>
        </w:rPr>
        <w:t>כשהמאכל מבושל כ</w:t>
      </w:r>
      <w:r>
        <w:rPr>
          <w:rFonts w:hint="cs"/>
          <w:rtl/>
        </w:rPr>
        <w:t xml:space="preserve">מאב"ד, אלא הצריך השו"ע שיהיה מבושל כ"צ, וכמו שפסק בסע' ד </w:t>
      </w:r>
      <w:r w:rsidR="00A630D9">
        <w:rPr>
          <w:rFonts w:asciiTheme="minorBidi" w:hAnsiTheme="minorBidi" w:cs="Arial" w:hint="cs"/>
          <w:rtl/>
        </w:rPr>
        <w:t>כדברי ה</w:t>
      </w:r>
      <w:r w:rsidR="00A630D9" w:rsidRPr="00D6454B">
        <w:rPr>
          <w:rFonts w:asciiTheme="minorBidi" w:hAnsiTheme="minorBidi" w:cs="Arial"/>
          <w:rtl/>
        </w:rPr>
        <w:t>תוס</w:t>
      </w:r>
      <w:r w:rsidR="00A630D9">
        <w:rPr>
          <w:rFonts w:asciiTheme="minorBidi" w:hAnsiTheme="minorBidi" w:cs="Arial" w:hint="cs"/>
          <w:rtl/>
        </w:rPr>
        <w:t xml:space="preserve">' </w:t>
      </w:r>
      <w:r w:rsidR="00A630D9" w:rsidRPr="001E3474">
        <w:rPr>
          <w:rFonts w:asciiTheme="minorBidi" w:hAnsiTheme="minorBidi" w:cs="Arial"/>
          <w:sz w:val="16"/>
          <w:szCs w:val="16"/>
          <w:rtl/>
        </w:rPr>
        <w:t>(לט. ד"ה כל)</w:t>
      </w:r>
      <w:r w:rsidR="00A630D9">
        <w:rPr>
          <w:rFonts w:asciiTheme="minorBidi" w:hAnsiTheme="minorBidi" w:cs="Arial" w:hint="cs"/>
          <w:rtl/>
        </w:rPr>
        <w:t xml:space="preserve"> </w:t>
      </w:r>
      <w:r w:rsidR="00A630D9" w:rsidRPr="00D6454B">
        <w:rPr>
          <w:rFonts w:asciiTheme="minorBidi" w:hAnsiTheme="minorBidi" w:cs="Arial"/>
          <w:rtl/>
        </w:rPr>
        <w:t>הגה</w:t>
      </w:r>
      <w:r w:rsidR="00A630D9">
        <w:rPr>
          <w:rFonts w:asciiTheme="minorBidi" w:hAnsiTheme="minorBidi" w:cs="Arial" w:hint="cs"/>
          <w:rtl/>
        </w:rPr>
        <w:t xml:space="preserve">"מ </w:t>
      </w:r>
      <w:r w:rsidR="00A630D9" w:rsidRPr="001E3474">
        <w:rPr>
          <w:rFonts w:asciiTheme="minorBidi" w:hAnsiTheme="minorBidi" w:cs="Arial" w:hint="cs"/>
          <w:sz w:val="16"/>
          <w:szCs w:val="16"/>
          <w:rtl/>
        </w:rPr>
        <w:t>(</w:t>
      </w:r>
      <w:r w:rsidR="00A630D9" w:rsidRPr="001E3474">
        <w:rPr>
          <w:rFonts w:asciiTheme="minorBidi" w:hAnsiTheme="minorBidi" w:cs="Arial"/>
          <w:sz w:val="16"/>
          <w:szCs w:val="16"/>
          <w:rtl/>
        </w:rPr>
        <w:t>פ</w:t>
      </w:r>
      <w:r w:rsidR="00A630D9" w:rsidRPr="001E3474">
        <w:rPr>
          <w:rFonts w:asciiTheme="minorBidi" w:hAnsiTheme="minorBidi" w:cs="Arial" w:hint="cs"/>
          <w:sz w:val="16"/>
          <w:szCs w:val="16"/>
          <w:rtl/>
        </w:rPr>
        <w:t>"</w:t>
      </w:r>
      <w:r w:rsidR="00A630D9" w:rsidRPr="001E3474">
        <w:rPr>
          <w:rFonts w:asciiTheme="minorBidi" w:hAnsiTheme="minorBidi" w:cs="Arial"/>
          <w:sz w:val="16"/>
          <w:szCs w:val="16"/>
          <w:rtl/>
        </w:rPr>
        <w:t xml:space="preserve">ט </w:t>
      </w:r>
      <w:r w:rsidR="00A630D9" w:rsidRPr="001E3474">
        <w:rPr>
          <w:rFonts w:asciiTheme="minorBidi" w:hAnsiTheme="minorBidi" w:cs="Arial" w:hint="cs"/>
          <w:sz w:val="16"/>
          <w:szCs w:val="16"/>
          <w:rtl/>
        </w:rPr>
        <w:t xml:space="preserve">ה"ג </w:t>
      </w:r>
      <w:r w:rsidR="00A630D9" w:rsidRPr="001E3474">
        <w:rPr>
          <w:rFonts w:asciiTheme="minorBidi" w:hAnsiTheme="minorBidi" w:cs="Arial"/>
          <w:sz w:val="16"/>
          <w:szCs w:val="16"/>
          <w:rtl/>
        </w:rPr>
        <w:t>אות א)</w:t>
      </w:r>
      <w:r w:rsidR="00A630D9" w:rsidRPr="00D6454B">
        <w:rPr>
          <w:rFonts w:asciiTheme="minorBidi" w:hAnsiTheme="minorBidi" w:cs="Arial"/>
          <w:rtl/>
        </w:rPr>
        <w:t xml:space="preserve"> </w:t>
      </w:r>
      <w:r w:rsidR="00A630D9">
        <w:rPr>
          <w:rFonts w:asciiTheme="minorBidi" w:hAnsiTheme="minorBidi" w:cs="Arial" w:hint="cs"/>
          <w:rtl/>
        </w:rPr>
        <w:t>טור ורי"ו</w:t>
      </w:r>
      <w:r w:rsidR="00A630D9" w:rsidRPr="00D6454B">
        <w:rPr>
          <w:rFonts w:asciiTheme="minorBidi" w:hAnsiTheme="minorBidi" w:cs="Arial"/>
          <w:rtl/>
        </w:rPr>
        <w:t xml:space="preserve"> </w:t>
      </w:r>
      <w:r w:rsidR="00A630D9" w:rsidRPr="001E3474">
        <w:rPr>
          <w:rFonts w:asciiTheme="minorBidi" w:hAnsiTheme="minorBidi" w:cs="Arial" w:hint="cs"/>
          <w:sz w:val="16"/>
          <w:szCs w:val="16"/>
          <w:rtl/>
        </w:rPr>
        <w:t>(</w:t>
      </w:r>
      <w:r w:rsidR="00A630D9" w:rsidRPr="001E3474">
        <w:rPr>
          <w:rFonts w:asciiTheme="minorBidi" w:hAnsiTheme="minorBidi" w:cs="Arial"/>
          <w:sz w:val="16"/>
          <w:szCs w:val="16"/>
          <w:rtl/>
        </w:rPr>
        <w:t>ח</w:t>
      </w:r>
      <w:r w:rsidR="00A630D9" w:rsidRPr="001E3474">
        <w:rPr>
          <w:rFonts w:asciiTheme="minorBidi" w:hAnsiTheme="minorBidi" w:cs="Arial" w:hint="cs"/>
          <w:sz w:val="16"/>
          <w:szCs w:val="16"/>
          <w:rtl/>
        </w:rPr>
        <w:t>"</w:t>
      </w:r>
      <w:r w:rsidR="00A630D9" w:rsidRPr="001E3474">
        <w:rPr>
          <w:rFonts w:asciiTheme="minorBidi" w:hAnsiTheme="minorBidi" w:cs="Arial"/>
          <w:sz w:val="16"/>
          <w:szCs w:val="16"/>
          <w:rtl/>
        </w:rPr>
        <w:t>ג ני</w:t>
      </w:r>
      <w:r w:rsidR="00A630D9" w:rsidRPr="001E3474">
        <w:rPr>
          <w:rFonts w:asciiTheme="minorBidi" w:hAnsiTheme="minorBidi" w:cs="Arial" w:hint="cs"/>
          <w:sz w:val="16"/>
          <w:szCs w:val="16"/>
          <w:rtl/>
        </w:rPr>
        <w:t>"</w:t>
      </w:r>
      <w:r w:rsidR="00A630D9" w:rsidRPr="001E3474">
        <w:rPr>
          <w:rFonts w:asciiTheme="minorBidi" w:hAnsiTheme="minorBidi" w:cs="Arial"/>
          <w:sz w:val="16"/>
          <w:szCs w:val="16"/>
          <w:rtl/>
        </w:rPr>
        <w:t>ב סוף סט:)</w:t>
      </w:r>
      <w:r w:rsidR="00A630D9">
        <w:rPr>
          <w:rFonts w:hint="cs"/>
          <w:rtl/>
        </w:rPr>
        <w:t>. וכמו שהבין הה"מ מדברי הרמב"ם (פ"ג הי"א) כאן.</w:t>
      </w:r>
    </w:p>
  </w:footnote>
  <w:footnote w:id="2895">
    <w:p w14:paraId="4D9C1161" w14:textId="618FC50A" w:rsidR="00E46855" w:rsidRDefault="00E46855" w:rsidP="00E46855">
      <w:pPr>
        <w:pStyle w:val="a7"/>
        <w:rPr>
          <w:rtl/>
        </w:rPr>
      </w:pPr>
      <w:r>
        <w:rPr>
          <w:rStyle w:val="a9"/>
        </w:rPr>
        <w:footnoteRef/>
      </w:r>
      <w:r>
        <w:rPr>
          <w:rtl/>
        </w:rPr>
        <w:t xml:space="preserve"> </w:t>
      </w:r>
      <w:r>
        <w:rPr>
          <w:rFonts w:cs="Arial" w:hint="cs"/>
          <w:rtl/>
        </w:rPr>
        <w:t xml:space="preserve">משמע דאפילו נתבשל המאכל כבר כל צרכו או לפחות כמאב"ד. </w:t>
      </w:r>
    </w:p>
  </w:footnote>
  <w:footnote w:id="2896">
    <w:p w14:paraId="3E5F8B1D"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והעולם נהגו היתר במיני קטניות שמוציאין אותן בכף כיון דא"א בעניין אחר, ויש להם על מי שיסמכו, מג"א </w:t>
      </w:r>
      <w:r w:rsidRPr="008C1C8E">
        <w:rPr>
          <w:rFonts w:asciiTheme="minorBidi" w:hAnsiTheme="minorBidi"/>
          <w:sz w:val="16"/>
          <w:szCs w:val="16"/>
          <w:rtl/>
        </w:rPr>
        <w:t>(סקמ"ד)</w:t>
      </w:r>
      <w:r w:rsidRPr="008C1C8E">
        <w:rPr>
          <w:rFonts w:asciiTheme="minorBidi" w:hAnsiTheme="minorBidi"/>
          <w:rtl/>
        </w:rPr>
        <w:t xml:space="preserve">. אך הט"ז כ' </w:t>
      </w:r>
      <w:r w:rsidRPr="008C1C8E">
        <w:rPr>
          <w:rFonts w:asciiTheme="minorBidi" w:hAnsiTheme="minorBidi"/>
          <w:sz w:val="16"/>
          <w:szCs w:val="16"/>
          <w:rtl/>
        </w:rPr>
        <w:t xml:space="preserve">(סקכ"ג) </w:t>
      </w:r>
      <w:r w:rsidRPr="008C1C8E">
        <w:rPr>
          <w:rFonts w:asciiTheme="minorBidi" w:hAnsiTheme="minorBidi"/>
          <w:rtl/>
        </w:rPr>
        <w:t>דבנתבשל כ"צ אין להחמיר בהוצאה, רק שיחמיר להפוך בקדירה הרוצה להחמיר, דהא בס"ס שכ"א מתיר אפילו לכתחלה.</w:t>
      </w:r>
    </w:p>
  </w:footnote>
  <w:footnote w:id="2897">
    <w:p w14:paraId="3759ACCD" w14:textId="77777777" w:rsidR="005C67C9" w:rsidRDefault="005C67C9" w:rsidP="005C67C9">
      <w:pPr>
        <w:pStyle w:val="a7"/>
        <w:rPr>
          <w:rFonts w:asciiTheme="minorBidi" w:hAnsiTheme="minorBidi"/>
          <w:rtl/>
        </w:rPr>
      </w:pPr>
      <w:r>
        <w:rPr>
          <w:rStyle w:val="a9"/>
          <w:rFonts w:asciiTheme="minorBidi" w:hAnsiTheme="minorBidi"/>
        </w:rPr>
        <w:footnoteRef/>
      </w:r>
      <w:r>
        <w:rPr>
          <w:rFonts w:asciiTheme="minorBidi" w:hAnsiTheme="minorBidi"/>
          <w:rtl/>
        </w:rPr>
        <w:t xml:space="preserve"> לשרוק ולטוח שמן וביצים מגולגלין על הצלי כשהוא חם משחשכה - שרי, ובלבד שלא יהא רותח כדי לבשל, ולא אמרינן דמי למתקן, רש"י. </w:t>
      </w:r>
    </w:p>
  </w:footnote>
  <w:footnote w:id="2898">
    <w:p w14:paraId="064713DC" w14:textId="77777777" w:rsidR="005C67C9" w:rsidRDefault="005C67C9" w:rsidP="005C67C9">
      <w:pPr>
        <w:pStyle w:val="a7"/>
        <w:rPr>
          <w:rFonts w:asciiTheme="minorBidi" w:hAnsiTheme="minorBidi"/>
        </w:rPr>
      </w:pPr>
      <w:r>
        <w:rPr>
          <w:rStyle w:val="a9"/>
          <w:rFonts w:asciiTheme="minorBidi" w:hAnsiTheme="minorBidi"/>
        </w:rPr>
        <w:footnoteRef/>
      </w:r>
      <w:r>
        <w:rPr>
          <w:rFonts w:asciiTheme="minorBidi" w:hAnsiTheme="minorBidi"/>
          <w:rtl/>
        </w:rPr>
        <w:t xml:space="preserve"> לטרוף ביצים מגולגלין בקערה, רש"י.</w:t>
      </w:r>
    </w:p>
  </w:footnote>
  <w:footnote w:id="2899">
    <w:p w14:paraId="6FD19B29" w14:textId="77777777" w:rsidR="005C67C9" w:rsidRDefault="005C67C9" w:rsidP="005C67C9">
      <w:pPr>
        <w:pStyle w:val="a7"/>
        <w:rPr>
          <w:rFonts w:asciiTheme="minorBidi" w:hAnsiTheme="minorBidi"/>
          <w:rtl/>
        </w:rPr>
      </w:pPr>
      <w:r>
        <w:rPr>
          <w:rStyle w:val="a9"/>
          <w:rFonts w:asciiTheme="minorBidi" w:hAnsiTheme="minorBidi"/>
        </w:rPr>
        <w:footnoteRef/>
      </w:r>
      <w:r>
        <w:rPr>
          <w:rFonts w:asciiTheme="minorBidi" w:hAnsiTheme="minorBidi"/>
          <w:rtl/>
        </w:rPr>
        <w:t xml:space="preserve"> דמתחזי כמאן דבעי למשדינהו בקדרה, רש"י.</w:t>
      </w:r>
    </w:p>
  </w:footnote>
  <w:footnote w:id="2900">
    <w:p w14:paraId="591737D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וה"ה במעבירו מהאש כ"ז שהוא רותח שהיס"ב אסור לטוח עליו שום דהא עדיין כ"ר הוא, והרבה אין יודעים להזהר כשצולין אווזא וכשמוציאין אותה בעודה רותחת מושחין עליה שום וזה אסור כ"ז שהיס"ב, ט"ז (סקכ"ד) ומג"א (סקמ"ה). ונ"ל דבשומן מותר לטוחו דאין בו משום בישול כמ"ש סי"ו </w:t>
      </w:r>
      <w:r w:rsidRPr="008C1C8E">
        <w:rPr>
          <w:rFonts w:asciiTheme="minorBidi" w:hAnsiTheme="minorBidi"/>
          <w:sz w:val="16"/>
          <w:szCs w:val="16"/>
          <w:rtl/>
        </w:rPr>
        <w:t>(סק"מ)</w:t>
      </w:r>
      <w:r w:rsidRPr="008C1C8E">
        <w:rPr>
          <w:rFonts w:asciiTheme="minorBidi" w:hAnsiTheme="minorBidi"/>
          <w:rtl/>
        </w:rPr>
        <w:t xml:space="preserve"> ומשום נולד ליכא כיון דאינו בעין ובלבד שלא ירסקו בידים רק יניחנו עליו מעט מעט והוא נימוח מאיליו, ואפשר דזהו מקרי בעין מידי דהוי אקדירה שיש בה רוטב, וצ"ע, מג"א (סקמ"ה).</w:t>
      </w:r>
    </w:p>
  </w:footnote>
  <w:footnote w:id="2901">
    <w:p w14:paraId="77585CD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בגירסת ר"ח התוס' והרא"ש נוספה כאן תיבת "שני", וכן העתיק בב"י, והגירסא שכאן היא גריסת רש"י והר"ן, הגהוה"ע (אות א).</w:t>
      </w:r>
    </w:p>
  </w:footnote>
  <w:footnote w:id="2902">
    <w:p w14:paraId="13EF3F44"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לאכול לאלתר, שאין זה דרך בוררין, רש"י. אך התוס' פירשו- בורר ומניח לצורך אחרים.</w:t>
      </w:r>
    </w:p>
  </w:footnote>
  <w:footnote w:id="2903">
    <w:p w14:paraId="5C5AC7ED"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לעיל חייב, ואי בבורר ומניח לאלתר - מותר לכתחלה הויא, ופטור אבל אסור ליכא </w:t>
      </w:r>
      <w:r w:rsidRPr="008C1C8E">
        <w:rPr>
          <w:rFonts w:asciiTheme="minorBidi" w:hAnsiTheme="minorBidi"/>
          <w:sz w:val="16"/>
          <w:szCs w:val="16"/>
          <w:rtl/>
        </w:rPr>
        <w:t>(דהיינו, לא הובא לעיל מקרה שפטור אבל אסור)</w:t>
      </w:r>
      <w:r w:rsidRPr="008C1C8E">
        <w:rPr>
          <w:rFonts w:asciiTheme="minorBidi" w:hAnsiTheme="minorBidi"/>
          <w:rtl/>
        </w:rPr>
        <w:t xml:space="preserve">, רש"י. אך ר"י פירש </w:t>
      </w:r>
      <w:r w:rsidRPr="008C1C8E">
        <w:rPr>
          <w:rFonts w:asciiTheme="minorBidi" w:hAnsiTheme="minorBidi"/>
          <w:sz w:val="16"/>
          <w:szCs w:val="16"/>
          <w:rtl/>
        </w:rPr>
        <w:t>(הובא בתוס' ד"ה והתניא)</w:t>
      </w:r>
      <w:r w:rsidRPr="008C1C8E">
        <w:rPr>
          <w:rFonts w:asciiTheme="minorBidi" w:hAnsiTheme="minorBidi"/>
          <w:rtl/>
        </w:rPr>
        <w:t xml:space="preserve"> שזו ברייתא אחרת, דאם נאמר כפרש"י </w:t>
      </w:r>
      <w:r w:rsidRPr="008C1C8E">
        <w:rPr>
          <w:rFonts w:asciiTheme="minorBidi" w:hAnsiTheme="minorBidi"/>
          <w:sz w:val="16"/>
          <w:szCs w:val="16"/>
          <w:rtl/>
        </w:rPr>
        <w:t xml:space="preserve">(שתני "חייב" מופנה על הברייתא דלעיל, ויוצא שברייתא זו מדברת שברר בנפה וכברה) </w:t>
      </w:r>
      <w:r w:rsidRPr="008C1C8E">
        <w:rPr>
          <w:rFonts w:asciiTheme="minorBidi" w:hAnsiTheme="minorBidi"/>
          <w:rtl/>
        </w:rPr>
        <w:t xml:space="preserve">יוצא שאם בירר בנפה וכברה לאלתר מותר, ואי אפשר לאמר כן דהרי תנן </w:t>
      </w:r>
      <w:r w:rsidRPr="008C1C8E">
        <w:rPr>
          <w:rFonts w:asciiTheme="minorBidi" w:hAnsiTheme="minorBidi"/>
          <w:sz w:val="16"/>
          <w:szCs w:val="16"/>
          <w:rtl/>
        </w:rPr>
        <w:t>(ביצה יד:)</w:t>
      </w:r>
      <w:r w:rsidRPr="008C1C8E">
        <w:rPr>
          <w:rFonts w:asciiTheme="minorBidi" w:hAnsiTheme="minorBidi"/>
          <w:rtl/>
        </w:rPr>
        <w:t xml:space="preserve">- "ב"ה אומרים בורר כדרכו בקנון ובתמחוי אבל לא בנפה וכברה" ולא מפליג בין לאלתר לבו ביום, לכן נראה לר"י דברייתא דלעיל איירי בבורר ביד והכא דמוקמי לה בנפה וכברה ברייתא אחריתי היא ואפי' לאלתר חייב חטאת, וכן משמע מתוך פירוש ר"ח דפירש שיש ג' דינין בבורר </w:t>
      </w:r>
      <w:r w:rsidRPr="008C1C8E">
        <w:rPr>
          <w:rFonts w:asciiTheme="minorBidi" w:hAnsiTheme="minorBidi"/>
          <w:u w:val="single"/>
          <w:rtl/>
        </w:rPr>
        <w:t>לאלתר</w:t>
      </w:r>
      <w:r w:rsidRPr="008C1C8E">
        <w:rPr>
          <w:rFonts w:asciiTheme="minorBidi" w:hAnsiTheme="minorBidi"/>
          <w:rtl/>
        </w:rPr>
        <w:t xml:space="preserve"> דביד מותר לכתחלה בקנון ובתמחוי פטור אבל אסור בנפה וכברה חייב חטאת.</w:t>
      </w:r>
    </w:p>
  </w:footnote>
  <w:footnote w:id="2904">
    <w:p w14:paraId="21B4C017"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כלי עץ שעושין כעין צינור רחב מלאחריו וקצר מלפניו, ובעלי מטבע עושים אותו, והבורר בו קטנית נותן קטנית במקום הרחב ומנענעו, והקטנית מפני שהוא סגלגל מתגלגל ויורד דרך פיו הקצר, והפסולת נשאר בכלי, רש"י.</w:t>
      </w:r>
    </w:p>
  </w:footnote>
  <w:footnote w:id="2905">
    <w:p w14:paraId="2E3A08E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קערה גדולה, רש"י (ביצה יד:).</w:t>
      </w:r>
    </w:p>
  </w:footnote>
  <w:footnote w:id="2906">
    <w:p w14:paraId="310B4CC8" w14:textId="77777777" w:rsidR="006A4BF8" w:rsidRPr="008C1C8E" w:rsidRDefault="006A4BF8" w:rsidP="00285819">
      <w:pPr>
        <w:pStyle w:val="a7"/>
        <w:rPr>
          <w:rFonts w:asciiTheme="minorBidi" w:hAnsiTheme="minorBidi"/>
          <w:color w:val="FF0000"/>
          <w:rtl/>
        </w:rPr>
      </w:pPr>
      <w:r w:rsidRPr="008C1C8E">
        <w:rPr>
          <w:rStyle w:val="a9"/>
          <w:rFonts w:asciiTheme="minorBidi" w:hAnsiTheme="minorBidi"/>
          <w:color w:val="FF0000"/>
        </w:rPr>
        <w:footnoteRef/>
      </w:r>
      <w:r w:rsidRPr="008C1C8E">
        <w:rPr>
          <w:rFonts w:asciiTheme="minorBidi" w:hAnsiTheme="minorBidi"/>
          <w:color w:val="FF0000"/>
          <w:rtl/>
        </w:rPr>
        <w:t xml:space="preserve"> ודוקא אוכל מתוך הפסולת (הה"מ), מג"א (סק"ב).</w:t>
      </w:r>
    </w:p>
  </w:footnote>
  <w:footnote w:id="2907">
    <w:p w14:paraId="198D70F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דוקא אוכל מתוך הפסולת, דאפילו אין העלין הללו פסולת גמור, שראוי לאכילה על ידי הדחק אסור לברור הפסולת, מג"א</w:t>
      </w:r>
      <w:r w:rsidRPr="008C1C8E">
        <w:rPr>
          <w:rFonts w:asciiTheme="minorBidi" w:hAnsiTheme="minorBidi"/>
          <w:sz w:val="16"/>
          <w:szCs w:val="16"/>
          <w:rtl/>
        </w:rPr>
        <w:t xml:space="preserve"> (סק"ג)</w:t>
      </w:r>
      <w:r w:rsidRPr="008C1C8E">
        <w:rPr>
          <w:rFonts w:asciiTheme="minorBidi" w:hAnsiTheme="minorBidi"/>
          <w:rtl/>
        </w:rPr>
        <w:t>.</w:t>
      </w:r>
    </w:p>
  </w:footnote>
  <w:footnote w:id="2908">
    <w:p w14:paraId="6233AB8A"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היינו כל שאינו סמוך לסעודה ממש, לבוש"ש. ובאותה סעודה נראה לי אפילו נמשכת הסעודה מותר, באה"ט.</w:t>
      </w:r>
    </w:p>
  </w:footnote>
  <w:footnote w:id="2909">
    <w:p w14:paraId="365C60A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איזו חתיכה שירצה, דהיינו אפילו יקח את החתיכה שאינו רוצה ויניחה בצד ויאכל את זו שלפניו </w:t>
      </w:r>
      <w:r w:rsidRPr="008C1C8E">
        <w:rPr>
          <w:rFonts w:asciiTheme="minorBidi" w:hAnsiTheme="minorBidi"/>
          <w:sz w:val="16"/>
          <w:szCs w:val="16"/>
          <w:rtl/>
        </w:rPr>
        <w:t>(כמו שביאר הב"י את דברי הרמב"ם, ומה שהוסיף הרמ"א בדברי השו"ע זו דעת התוס' והרא"ש, שכל ברירה היא כברירת אוכל מתוך פסולת, ובהוספה זו חלק על מה שרצה השו"ע להורות)</w:t>
      </w:r>
      <w:r w:rsidRPr="008C1C8E">
        <w:rPr>
          <w:rFonts w:asciiTheme="minorBidi" w:hAnsiTheme="minorBidi"/>
          <w:rtl/>
        </w:rPr>
        <w:t>.</w:t>
      </w:r>
    </w:p>
  </w:footnote>
  <w:footnote w:id="2910">
    <w:p w14:paraId="10F4045E"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אא"כ קצת אין ראוי לאכול אלא ע"י הדחק – דאז פטור אבל אסור, מג"א (סק"ה).</w:t>
      </w:r>
    </w:p>
  </w:footnote>
  <w:footnote w:id="2911">
    <w:p w14:paraId="7C5831A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היינו מסעודה לסעודה, מג"א (סק"ו).</w:t>
      </w:r>
    </w:p>
  </w:footnote>
  <w:footnote w:id="2912">
    <w:p w14:paraId="5E75097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דשרו בית הלל ליטול פסולת ממש ולהשליך, רש"י. </w:t>
      </w:r>
    </w:p>
  </w:footnote>
  <w:footnote w:id="2913">
    <w:p w14:paraId="4AF9E124"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לברור פסולת מתוך אוכל כשהפסולת מרובה, רמב"ם. ולרש"י תוס' ורא"ש תמיהת הגמ' היא- האם יש מי שמתיר לטלטל ממה שלפניו, והרי מכיון שהרוב פסולת הכל בטל לגבי הפסולת ולא חזי לטלטול. (ועיין בסוף ההערה הבאה)  </w:t>
      </w:r>
    </w:p>
  </w:footnote>
  <w:footnote w:id="2914">
    <w:p w14:paraId="4D78778A"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עי' סימן תקי סע' ב דביו"ט מקלינן, וכ"כ ב"י, והעולת שבת עשה עצמו כאלו לא ידע את יוס"ף, מג"א (סק"ז).</w:t>
      </w:r>
    </w:p>
  </w:footnote>
  <w:footnote w:id="2915">
    <w:p w14:paraId="218EB6E9"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של חטין </w:t>
      </w:r>
      <w:r w:rsidRPr="008C1C8E">
        <w:rPr>
          <w:rFonts w:asciiTheme="minorBidi" w:hAnsiTheme="minorBidi"/>
          <w:sz w:val="16"/>
          <w:szCs w:val="16"/>
          <w:rtl/>
        </w:rPr>
        <w:t>(או סתם זרעים אחרים שנמצא בתוך שרביטין שלהם)</w:t>
      </w:r>
      <w:r w:rsidRPr="008C1C8E">
        <w:rPr>
          <w:rFonts w:asciiTheme="minorBidi" w:hAnsiTheme="minorBidi"/>
          <w:rtl/>
        </w:rPr>
        <w:t xml:space="preserve">, שמולל בידיו כשהן רכים, רש"י. וכ' התוס' </w:t>
      </w:r>
      <w:r w:rsidRPr="008C1C8E">
        <w:rPr>
          <w:rFonts w:asciiTheme="minorBidi" w:hAnsiTheme="minorBidi"/>
          <w:sz w:val="16"/>
          <w:szCs w:val="16"/>
          <w:rtl/>
        </w:rPr>
        <w:t>(יג: ד"ה ואם קלף)</w:t>
      </w:r>
      <w:r w:rsidRPr="008C1C8E">
        <w:rPr>
          <w:rFonts w:asciiTheme="minorBidi" w:hAnsiTheme="minorBidi"/>
          <w:rtl/>
        </w:rPr>
        <w:t xml:space="preserve"> שמולל זרעים מתוך השרביטין שלהם קוודקא, ולא מקליפתן החיצונה, דמקליפתן החיצונה מותר אף בשבת כמו שיתבאר לקמן.</w:t>
      </w:r>
    </w:p>
  </w:footnote>
  <w:footnote w:id="2916">
    <w:p w14:paraId="7B0BD0F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שלא כדרך חול, רש"י. </w:t>
      </w:r>
    </w:p>
  </w:footnote>
  <w:footnote w:id="2917">
    <w:p w14:paraId="0F5BDEF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ומפרש בגמרא דדוקא מערב שבת אבל בשבת אין מוללין מלילות, ב"י.</w:t>
      </w:r>
    </w:p>
  </w:footnote>
  <w:footnote w:id="2918">
    <w:p w14:paraId="528621D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בין גודל לאצבע, רש"י.</w:t>
      </w:r>
    </w:p>
  </w:footnote>
  <w:footnote w:id="2919">
    <w:p w14:paraId="7ECC389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בין גודל לשתי אצבעותיו, רש"י.</w:t>
      </w:r>
    </w:p>
  </w:footnote>
  <w:footnote w:id="2920">
    <w:p w14:paraId="7BA33D9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מיני עשבים.</w:t>
      </w:r>
    </w:p>
  </w:footnote>
  <w:footnote w:id="2921">
    <w:p w14:paraId="407E89C5"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לייבשן, רש"י.</w:t>
      </w:r>
    </w:p>
  </w:footnote>
  <w:footnote w:id="2922">
    <w:p w14:paraId="5178222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כדרך חול, כדאמרן (שבת עד:) האי מאן דפרים סילקא - דמי לטוחן, רש"י.</w:t>
      </w:r>
    </w:p>
  </w:footnote>
  <w:footnote w:id="2923">
    <w:p w14:paraId="08C33F5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רבנן מחמירי דבכולי ידיה אסור אלא בראשי אצבעותיו, רש"י.</w:t>
      </w:r>
    </w:p>
  </w:footnote>
  <w:footnote w:id="2924">
    <w:p w14:paraId="1BBC91C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וליש מחמירין גם שרביטין של קטניות משמע דאסור לפרכן ולהוציא הקטניות </w:t>
      </w:r>
      <w:r w:rsidRPr="008C1C8E">
        <w:rPr>
          <w:rFonts w:asciiTheme="minorBidi" w:hAnsiTheme="minorBidi"/>
          <w:sz w:val="16"/>
          <w:szCs w:val="16"/>
          <w:rtl/>
        </w:rPr>
        <w:t>(ואפי' אם כבר נתקו מער"ש אין ליקח הקטניות מן הקליפות, ט"ז)</w:t>
      </w:r>
      <w:r w:rsidRPr="008C1C8E">
        <w:rPr>
          <w:rFonts w:asciiTheme="minorBidi" w:hAnsiTheme="minorBidi"/>
          <w:rtl/>
        </w:rPr>
        <w:t xml:space="preserve">, וצ"ע דכל העולם נוהגין היתר, וצ"ל כיון שעודן לחין ואף השרביט אוכלין אותו לא הוי מפרק רק כמפריד אוכל מאוכל, ובמהרי"ל תמה איך רשאין לאכול קטניות מתוך שרביטין שלהם שקורי"ן שוטי"ן </w:t>
      </w:r>
      <w:r w:rsidRPr="008C1C8E">
        <w:rPr>
          <w:rFonts w:asciiTheme="minorBidi" w:hAnsiTheme="minorBidi"/>
          <w:sz w:val="16"/>
          <w:szCs w:val="16"/>
          <w:rtl/>
        </w:rPr>
        <w:t xml:space="preserve">(וכ' שם דשמא האי הותרה הואיל וכל אחת דבוקה אל השרביט), </w:t>
      </w:r>
      <w:r w:rsidRPr="008C1C8E">
        <w:rPr>
          <w:rFonts w:asciiTheme="minorBidi" w:hAnsiTheme="minorBidi"/>
          <w:rtl/>
        </w:rPr>
        <w:t>מג"א (סק"ח). והט"ז (סק"ד) כ' דאין ליקח הקטניות מן הקליפות אלא מה שרוצה לאכול מיד</w:t>
      </w:r>
      <w:r w:rsidRPr="008C1C8E">
        <w:rPr>
          <w:rFonts w:asciiTheme="minorBidi" w:hAnsiTheme="minorBidi"/>
          <w:sz w:val="16"/>
          <w:szCs w:val="16"/>
          <w:rtl/>
        </w:rPr>
        <w:t xml:space="preserve"> </w:t>
      </w:r>
      <w:r w:rsidRPr="008C1C8E">
        <w:rPr>
          <w:rFonts w:asciiTheme="minorBidi" w:hAnsiTheme="minorBidi"/>
          <w:color w:val="FF0000"/>
          <w:sz w:val="16"/>
          <w:szCs w:val="16"/>
          <w:rtl/>
        </w:rPr>
        <w:t>(ולא הבנתי דבריו, דהרי גם למקילים מותר למלול רק מה שרוצה לאכול מיד, ואין נראה לומר שפסק כך לדברי המחמירים שהרי זו היפך סברתם ולמה נקל במה שרוצה לאכול מיד, ואולי כ' כן רק להזכיר שאף למקילים אין מותר אלא מה שרוצה לאכול מיד)</w:t>
      </w:r>
      <w:r w:rsidRPr="008C1C8E">
        <w:rPr>
          <w:rFonts w:asciiTheme="minorBidi" w:hAnsiTheme="minorBidi"/>
          <w:rtl/>
        </w:rPr>
        <w:t>.</w:t>
      </w:r>
    </w:p>
  </w:footnote>
  <w:footnote w:id="2925">
    <w:p w14:paraId="2C30FE3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של חטין, שמולל בידיו כשהן רכים, רש"י. (או סתם זרעים אחרים שנמצא בתוך שרביטין שלהם)</w:t>
      </w:r>
    </w:p>
  </w:footnote>
  <w:footnote w:id="2926">
    <w:p w14:paraId="6E967BE5"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שלא כדרך חול, רש"י. וכ' הב"י דכוונת הגמ' היא שינפח "מיד לאותו יד עצמו" </w:t>
      </w:r>
      <w:r w:rsidRPr="008C1C8E">
        <w:rPr>
          <w:rFonts w:asciiTheme="minorBidi" w:hAnsiTheme="minorBidi"/>
          <w:sz w:val="16"/>
          <w:szCs w:val="16"/>
          <w:rtl/>
        </w:rPr>
        <w:t>(דהיינו שמותר לנפח רק ביד אחת ומה שכ' בגמ' "מיד ליד" הכוונה שכך היא דרך הניפוח ביד אחת- שמקפיץ את מה שבידו)</w:t>
      </w:r>
      <w:r w:rsidRPr="008C1C8E">
        <w:rPr>
          <w:rFonts w:asciiTheme="minorBidi" w:hAnsiTheme="minorBidi"/>
          <w:rtl/>
        </w:rPr>
        <w:t>. והטור שכתב מנפח מיד ליד ולא פירש יותר אפשר דסבירא ליה דמיד ליד היינו מיד לחבירתה והא דאמר רבי אלעזר מנפח בידו אחת איידי דאמר רב אדא קשרי אצבעותיו אמר איהו בידו אחת כלומר בכל ידו אבל אין הכי נמי דמיד לחבירתה נמי שרי כלישנא דברייתא.</w:t>
      </w:r>
    </w:p>
  </w:footnote>
  <w:footnote w:id="2927">
    <w:p w14:paraId="1E1BE53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ומפרש בגמרא דדוקא מערב שבת אבל בשבת אין מוללין מלילות, ב"י.</w:t>
      </w:r>
    </w:p>
  </w:footnote>
  <w:footnote w:id="2928">
    <w:p w14:paraId="2F34834F" w14:textId="77777777" w:rsidR="006A4BF8" w:rsidRPr="008C1C8E" w:rsidRDefault="006A4BF8" w:rsidP="00285819">
      <w:pPr>
        <w:spacing w:after="0" w:line="240" w:lineRule="auto"/>
        <w:rPr>
          <w:rFonts w:asciiTheme="minorBidi" w:hAnsiTheme="minorBidi"/>
          <w:sz w:val="20"/>
          <w:szCs w:val="20"/>
        </w:rPr>
      </w:pPr>
      <w:r w:rsidRPr="008C1C8E">
        <w:rPr>
          <w:rStyle w:val="a9"/>
          <w:rFonts w:asciiTheme="minorBidi" w:hAnsiTheme="minorBidi"/>
          <w:sz w:val="20"/>
          <w:szCs w:val="20"/>
        </w:rPr>
        <w:footnoteRef/>
      </w:r>
      <w:r w:rsidRPr="008C1C8E">
        <w:rPr>
          <w:rFonts w:asciiTheme="minorBidi" w:hAnsiTheme="minorBidi"/>
          <w:sz w:val="20"/>
          <w:szCs w:val="20"/>
          <w:rtl/>
        </w:rPr>
        <w:t xml:space="preserve"> דאמרינן לעיל למחר מנפח מיד ליד בשבת, רש"י.</w:t>
      </w:r>
    </w:p>
  </w:footnote>
  <w:footnote w:id="2929">
    <w:p w14:paraId="0C9E46DE"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ולא בכפו, רש"י.</w:t>
      </w:r>
    </w:p>
  </w:footnote>
  <w:footnote w:id="2930">
    <w:p w14:paraId="2F116BF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לאוכלן קלופים חיים, רש"י.</w:t>
      </w:r>
    </w:p>
  </w:footnote>
  <w:footnote w:id="2931">
    <w:p w14:paraId="4A67E13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ופטור מן המעשר, דכי האי גוונא אכילת עראי היא, ובשלא נתמרחו קאי, שמקלפן מתוך שבולת שלהן, רש"י.</w:t>
      </w:r>
    </w:p>
  </w:footnote>
  <w:footnote w:id="2932">
    <w:p w14:paraId="0E379F79"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במעשר, דהוה ליה קבע, רש"י.</w:t>
      </w:r>
    </w:p>
  </w:footnote>
  <w:footnote w:id="2933">
    <w:p w14:paraId="06EDAA0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אחת אחת לא הוי מפרק תולדה דדש, דכלאחר יד הוא, אבל משקבצן בידו - הויא תולדת דישה, וחייב, רש"י.</w:t>
      </w:r>
    </w:p>
  </w:footnote>
  <w:footnote w:id="2934">
    <w:p w14:paraId="66A12D9A"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מלא כוסות, רש"י.</w:t>
      </w:r>
    </w:p>
  </w:footnote>
  <w:footnote w:id="2935">
    <w:p w14:paraId="505F6355"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בלא מעשר, רש"י.</w:t>
      </w:r>
    </w:p>
  </w:footnote>
  <w:footnote w:id="2936">
    <w:p w14:paraId="76728D6A"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בשולי בגדיו שקורין פאנ"ץ (דבנ"ט, תיק), רש"י.</w:t>
      </w:r>
    </w:p>
  </w:footnote>
  <w:footnote w:id="2937">
    <w:p w14:paraId="23A81E09"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במשנה (שבת פ"כ מ"ג) כ'- "שורין", וכן בירושלמי (פ"כ ה"ג), וכ"ה ברי"ף ברא"ש ובר"ן, ולדרישה ב"ח וט"ז נראה דצריך לגרוס "שולין" כמו מדיח ושולה בביצה (יד:) דקאי אברירת קטניות ומפרש שם בגמרא שמדיח במים ושולה הפסולת הצף למעלה.</w:t>
      </w:r>
    </w:p>
  </w:footnote>
  <w:footnote w:id="2938">
    <w:p w14:paraId="039502EF"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ה"ה אם יש פסולת ואוכל מעורבין אסור ליתנם במים כדי שיפול הפסולת למטה כגון עפר או שיציף למעלה כגון תבן, ועסי' תק"י, וכ"מ מל' רש"י </w:t>
      </w:r>
      <w:r w:rsidRPr="008C1C8E">
        <w:rPr>
          <w:rFonts w:asciiTheme="minorBidi" w:hAnsiTheme="minorBidi"/>
          <w:sz w:val="16"/>
          <w:szCs w:val="16"/>
          <w:rtl/>
        </w:rPr>
        <w:t>(ד"ה ואין שולין)</w:t>
      </w:r>
      <w:r w:rsidRPr="008C1C8E">
        <w:rPr>
          <w:rFonts w:asciiTheme="minorBidi" w:hAnsiTheme="minorBidi"/>
          <w:rtl/>
        </w:rPr>
        <w:t>, מג"א (סק"ט).</w:t>
      </w:r>
    </w:p>
  </w:footnote>
  <w:footnote w:id="2939">
    <w:p w14:paraId="069E3F2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כיון דממילא נתברר ואיהו לאו מידי עביד, לבוש"ש (סקי"ט).</w:t>
      </w:r>
    </w:p>
  </w:footnote>
  <w:footnote w:id="2940">
    <w:p w14:paraId="7FE8803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שמסננין בה שמרי יין, ומותח פיה לכל צד בעגול ונעשה כאהל על חלל הכלי שקורין אשטנד"א, ואע"ג דעביד אהל שרי ביום טוב כדמפרש בגמרא אבל בשבת מיתלא לכתחילה לא אבל אם תלויה היא נותנין לתוכה שמרים ומסנן דאין דרך בורר בכך, רש"י.</w:t>
      </w:r>
    </w:p>
  </w:footnote>
  <w:footnote w:id="2941">
    <w:p w14:paraId="158BDD2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וידוע (שב"ת קל:) דהלכה כחכמים.</w:t>
      </w:r>
    </w:p>
  </w:footnote>
  <w:footnote w:id="2942">
    <w:p w14:paraId="31AF0D5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תלה כלי קטן במגוד, רש"י.</w:t>
      </w:r>
    </w:p>
  </w:footnote>
  <w:footnote w:id="2943">
    <w:p w14:paraId="239F679F" w14:textId="77777777" w:rsidR="006A4BF8" w:rsidRPr="008C1C8E" w:rsidRDefault="006A4BF8" w:rsidP="00285819">
      <w:pPr>
        <w:spacing w:after="0" w:line="240" w:lineRule="auto"/>
        <w:rPr>
          <w:rFonts w:asciiTheme="minorBidi" w:hAnsiTheme="minorBidi"/>
          <w:sz w:val="20"/>
          <w:szCs w:val="20"/>
        </w:rPr>
      </w:pPr>
      <w:r w:rsidRPr="008C1C8E">
        <w:rPr>
          <w:rStyle w:val="a9"/>
          <w:rFonts w:asciiTheme="minorBidi" w:hAnsiTheme="minorBidi"/>
          <w:sz w:val="20"/>
          <w:szCs w:val="20"/>
        </w:rPr>
        <w:footnoteRef/>
      </w:r>
      <w:r w:rsidRPr="008C1C8E">
        <w:rPr>
          <w:rFonts w:asciiTheme="minorBidi" w:hAnsiTheme="minorBidi"/>
          <w:sz w:val="20"/>
          <w:szCs w:val="20"/>
          <w:rtl/>
        </w:rPr>
        <w:t xml:space="preserve"> והכא מאי חיובא איכא באהל עראי, בנין גמור לא הוי ומדרבנן הוא דמיתסר, רש"י.</w:t>
      </w:r>
    </w:p>
  </w:footnote>
  <w:footnote w:id="2944">
    <w:p w14:paraId="35570E4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קאסרי לה חכמים דמתניתין, דלא שבקינן ליה למיתליה, למיעבד עובדא דחול, רש"י.</w:t>
      </w:r>
    </w:p>
  </w:footnote>
  <w:footnote w:id="2945">
    <w:p w14:paraId="67CAEF7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נתן שמרים לתלויה, וסינן, רש"י.</w:t>
      </w:r>
    </w:p>
  </w:footnote>
  <w:footnote w:id="2946">
    <w:p w14:paraId="6F517AE0"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למשמר, רש"י.</w:t>
      </w:r>
    </w:p>
  </w:footnote>
  <w:footnote w:id="2947">
    <w:p w14:paraId="23E3CAA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דהאי נמי בורר הוא, רש"י.</w:t>
      </w:r>
    </w:p>
  </w:footnote>
  <w:footnote w:id="2948">
    <w:p w14:paraId="74E141A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דאי אתרו ביה משום בורר, התראה היא, רש"י.</w:t>
      </w:r>
    </w:p>
  </w:footnote>
  <w:footnote w:id="2949">
    <w:p w14:paraId="00A0823B"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ולרבא ה"ה נמי דאי אתרו ביה משום מרקד הויא התראה </w:t>
      </w:r>
      <w:r w:rsidRPr="008C1C8E">
        <w:rPr>
          <w:rFonts w:asciiTheme="minorBidi" w:hAnsiTheme="minorBidi"/>
          <w:sz w:val="16"/>
          <w:szCs w:val="16"/>
          <w:rtl/>
        </w:rPr>
        <w:t>(שהרי גם מרקד נוטל את האוכל ומניח את הפסולת)</w:t>
      </w:r>
      <w:r w:rsidRPr="008C1C8E">
        <w:rPr>
          <w:rFonts w:asciiTheme="minorBidi" w:hAnsiTheme="minorBidi"/>
          <w:rtl/>
        </w:rPr>
        <w:t>, אבל לר' זירא אי אתרו ביה משום בורר לאו התראה היא דלא דמי לבורר שהאוכל למטה ופסולת למעלה משא"כ בבורר קטנית שהפסולת למטה, רש"י.</w:t>
      </w:r>
    </w:p>
  </w:footnote>
  <w:footnote w:id="2950">
    <w:p w14:paraId="28B0CDE7"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שיהו צלולין לזוב, רש"י. דהיינו שיהיו השמרים צלולים ויזוב כל יינם, רע"ב.</w:t>
      </w:r>
    </w:p>
  </w:footnote>
  <w:footnote w:id="2951">
    <w:p w14:paraId="21D7E0C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מערבב, רש"י.</w:t>
      </w:r>
    </w:p>
  </w:footnote>
  <w:footnote w:id="2952">
    <w:p w14:paraId="71D7DB3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שכל היינות עכורין ושותין אותן בשמריהם הלכך אין כאן תיקון דבלאו הכי משתתי, רש"י. והרמב"ם </w:t>
      </w:r>
      <w:r w:rsidRPr="008C1C8E">
        <w:rPr>
          <w:rFonts w:asciiTheme="minorBidi" w:hAnsiTheme="minorBidi"/>
          <w:sz w:val="16"/>
          <w:szCs w:val="16"/>
          <w:rtl/>
        </w:rPr>
        <w:t>(פ"ח הי"ד)</w:t>
      </w:r>
      <w:r w:rsidRPr="008C1C8E">
        <w:rPr>
          <w:rFonts w:asciiTheme="minorBidi" w:hAnsiTheme="minorBidi"/>
          <w:rtl/>
        </w:rPr>
        <w:t xml:space="preserve"> כ' שהטעם מפני שכל זמן שהוא תוסס עדיין לא נפרשו השמרים מן היין יפה יפה וכל היין כגוף א' הוא, וכ' הר"ן </w:t>
      </w:r>
      <w:r w:rsidRPr="008C1C8E">
        <w:rPr>
          <w:rFonts w:asciiTheme="minorBidi" w:hAnsiTheme="minorBidi"/>
          <w:sz w:val="16"/>
          <w:szCs w:val="16"/>
          <w:rtl/>
        </w:rPr>
        <w:t xml:space="preserve">(נז: ד"ה גמ') </w:t>
      </w:r>
      <w:r w:rsidRPr="008C1C8E">
        <w:rPr>
          <w:rFonts w:asciiTheme="minorBidi" w:hAnsiTheme="minorBidi"/>
          <w:rtl/>
        </w:rPr>
        <w:t>שכך מטין דברי הרי"ף.</w:t>
      </w:r>
    </w:p>
  </w:footnote>
  <w:footnote w:id="2953">
    <w:p w14:paraId="65B583E9"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דהיינו דרוב אינשי לא קפדי בהכי, ר"ן (הביאוהו הב"י והט"ז סק"ו).</w:t>
      </w:r>
    </w:p>
  </w:footnote>
  <w:footnote w:id="2954">
    <w:p w14:paraId="7F927AF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וכן משקה שקדים כתושים מע"ש מותר לסננן כיון שיכולין לשתות בלא סינון (הגה"מ בשם סמ"ק), מג"א (סקי"ב).</w:t>
      </w:r>
    </w:p>
  </w:footnote>
  <w:footnote w:id="2955">
    <w:p w14:paraId="3183BF67"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פי' עכורין לגמרי דלא משתתי הכי כלל אסור אפי' בסודר, ואין היתר בסודר רק עכור קצת ואפשר דמשתתי הכי רק דרוב אינשי לא שתי ליה הכי, ר"ן (הביאוהו הב"י והט"ז סק"ח).</w:t>
      </w:r>
    </w:p>
  </w:footnote>
  <w:footnote w:id="2956">
    <w:p w14:paraId="2652A777"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עכורים קצת, דעכורים לגמרי גם רש"י וסיעתו אוסרים, מג"א (סקי"ב).</w:t>
      </w:r>
    </w:p>
  </w:footnote>
  <w:footnote w:id="2957">
    <w:p w14:paraId="4BEF39E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מפני הקמחים שקורים יינ"ש </w:t>
      </w:r>
      <w:r w:rsidRPr="008C1C8E">
        <w:rPr>
          <w:rFonts w:asciiTheme="minorBidi" w:hAnsiTheme="minorBidi"/>
          <w:sz w:val="16"/>
          <w:szCs w:val="16"/>
          <w:rtl/>
        </w:rPr>
        <w:t>(מיני פטריות המופיעות ביין)</w:t>
      </w:r>
      <w:r w:rsidRPr="008C1C8E">
        <w:rPr>
          <w:rFonts w:asciiTheme="minorBidi" w:hAnsiTheme="minorBidi"/>
          <w:rtl/>
        </w:rPr>
        <w:t>, רש"י (בפירוש על המשנה לעיל).</w:t>
      </w:r>
    </w:p>
  </w:footnote>
  <w:footnote w:id="2958">
    <w:p w14:paraId="338E0DB1"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מן הסודר בפי הכלי כי עובדא דחול אי נמי אתי לידי סחיטה, רש"י. </w:t>
      </w:r>
    </w:p>
  </w:footnote>
  <w:footnote w:id="2959">
    <w:p w14:paraId="6BB01BE9"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w:t>
      </w:r>
      <w:r w:rsidRPr="008C1C8E">
        <w:rPr>
          <w:rFonts w:asciiTheme="minorBidi" w:hAnsiTheme="minorBidi"/>
          <w:color w:val="FF0000"/>
          <w:rtl/>
        </w:rPr>
        <w:t>וצ"ע שבהגה"מ (פ"ח הי"ד אות י) כ'- "וטוב ליזהר כשמסננין יין בסודר שלא יעשהו כגומא לקבל היין" דמשמע מינה דאינו חובה.</w:t>
      </w:r>
    </w:p>
  </w:footnote>
  <w:footnote w:id="2960">
    <w:p w14:paraId="5E2BA6F7"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נוסף ממהדורת אמ"ד תכ"א.</w:t>
      </w:r>
    </w:p>
  </w:footnote>
  <w:footnote w:id="2961">
    <w:p w14:paraId="4BB12C2B"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אבל משום אהל ליכא כיון שאינו רחב כמ"ש ססי' שט"ו, מג"א (סקי"ג).</w:t>
      </w:r>
    </w:p>
  </w:footnote>
  <w:footnote w:id="2962">
    <w:p w14:paraId="66F850A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סל שעשוי מצורי הדקל.</w:t>
      </w:r>
    </w:p>
  </w:footnote>
  <w:footnote w:id="2963">
    <w:p w14:paraId="5706EAB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כלי חרס קטן שמערין בו יין מחבית לא יתן בפיו קשין וקסמים בחזקה לפי שאין לך מסננת גדולה מזו, רש"י.</w:t>
      </w:r>
    </w:p>
  </w:footnote>
  <w:footnote w:id="2964">
    <w:p w14:paraId="3F6835D8"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וכתב הר"ן (נז: ד"ה לא) דאע"ג דלאו משמרת ממש היא שהרי עוברים בה שמרים כיון דאיכא קסמין וטינופת דמעכב בהו ולא עברי דמי למשמרת, ב"י.</w:t>
      </w:r>
    </w:p>
  </w:footnote>
  <w:footnote w:id="2965">
    <w:p w14:paraId="1BE66980"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מדברי הראב"ד המובא בר"ן משמע דאם אינו מהדק בחוזק ויוכלו קצת קסמין וקשין לעבור דרך שם לא אסרו בזה דלא מיחזי כמשמרת ולכן קאמר הגמרא לא נהדק איניש וכו' ובטור סתם הדברים ולא הזכיר דדוקא בחוזק, באו"ה.</w:t>
      </w:r>
    </w:p>
  </w:footnote>
  <w:footnote w:id="2966">
    <w:p w14:paraId="716A18A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ובצלול שרי</w:t>
      </w:r>
      <w:r w:rsidRPr="008C1C8E">
        <w:rPr>
          <w:rFonts w:asciiTheme="minorBidi" w:hAnsiTheme="minorBidi"/>
          <w:sz w:val="16"/>
          <w:szCs w:val="16"/>
          <w:rtl/>
        </w:rPr>
        <w:t xml:space="preserve"> (שלט"ג)</w:t>
      </w:r>
      <w:r w:rsidRPr="008C1C8E">
        <w:rPr>
          <w:rFonts w:asciiTheme="minorBidi" w:hAnsiTheme="minorBidi"/>
          <w:rtl/>
        </w:rPr>
        <w:t>, מג"א</w:t>
      </w:r>
      <w:r w:rsidRPr="008C1C8E">
        <w:rPr>
          <w:rFonts w:asciiTheme="minorBidi" w:hAnsiTheme="minorBidi"/>
          <w:sz w:val="16"/>
          <w:szCs w:val="16"/>
          <w:rtl/>
        </w:rPr>
        <w:t xml:space="preserve"> (סקי"ד)</w:t>
      </w:r>
      <w:r w:rsidRPr="008C1C8E">
        <w:rPr>
          <w:rFonts w:asciiTheme="minorBidi" w:hAnsiTheme="minorBidi"/>
          <w:rtl/>
        </w:rPr>
        <w:t xml:space="preserve">. ועיי"ש שכ' שדברי הב"י צריכים עיון, משום שבגמ' אמרינן דרק דמי למשמרת. ונ"ל דכוונת רש"י </w:t>
      </w:r>
      <w:r w:rsidRPr="008C1C8E">
        <w:rPr>
          <w:rFonts w:asciiTheme="minorBidi" w:hAnsiTheme="minorBidi"/>
          <w:sz w:val="16"/>
          <w:szCs w:val="16"/>
          <w:rtl/>
        </w:rPr>
        <w:t xml:space="preserve">(שהוא מקור לשון השו"ע) </w:t>
      </w:r>
      <w:r w:rsidRPr="008C1C8E">
        <w:rPr>
          <w:rFonts w:asciiTheme="minorBidi" w:hAnsiTheme="minorBidi"/>
          <w:rtl/>
        </w:rPr>
        <w:t xml:space="preserve">היא שלכוונת נותן הקסמים אין לך משמרת גדולה מזו אבל ודאי שלא התכוון רש"י לחלוק על הגמ' דאמרה דרק חזי כמשמרת, מחצה"ש. וחיוב חטאת ליכא, ואף אם לא היה עובר כלל שמרים משום דשינוי הוא, א"א. </w:t>
      </w:r>
    </w:p>
  </w:footnote>
  <w:footnote w:id="2967">
    <w:p w14:paraId="0E40D7FA"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כל היכא דתני לשון שפוי - בנחת הוא, והפסולת נשאר בשולי הכלי, רש"י.</w:t>
      </w:r>
    </w:p>
  </w:footnote>
  <w:footnote w:id="2968">
    <w:p w14:paraId="68AA378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קטנות הנישופות באחרונה מתוך הפסולת, והנהו מוכחן דבורר הוא, רש"י.</w:t>
      </w:r>
    </w:p>
  </w:footnote>
  <w:footnote w:id="2969">
    <w:p w14:paraId="65205E1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שחנוני מטיל שכר היה, כדאמרינן בב"מ (סה:) ובפסחים (קיג.), הלכך אינו מקפיד לניצוצות כל כך, וכשמגיע לניצוצות משליך הן ופסולתן לחוץ, ותחילת שפייתן מן הפסולת ניכר דלאו בורר הוא, רש"י.</w:t>
      </w:r>
    </w:p>
  </w:footnote>
  <w:footnote w:id="2970">
    <w:p w14:paraId="25C5F5AA"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אף להניח לאחר זמן, מג"א (סקט"ו).</w:t>
      </w:r>
    </w:p>
  </w:footnote>
  <w:footnote w:id="2971">
    <w:p w14:paraId="366E50C7"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שהחרדל נתון בה להסתנן, וקולטת את הפסולת, ואף הביצה החלמון שלה נוטף ומסתנן עמו, והוה ליה לחרדל למראה והחלבון שהוא קשור נשאר למעלה, ורבינו הלוי פירש: סינונה של ביצה לתוך תבשיל היא, ולא לתוך חרדל, ובמסננת של חרדל הוא דשרי משום שינוי, ויורד לתוך הקערה שהוא כלי שני, ומתלבן התבשיל, רש"י.</w:t>
      </w:r>
    </w:p>
  </w:footnote>
  <w:footnote w:id="2972">
    <w:p w14:paraId="411DA9DA"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למראה, שהחלמון יפה לגוון ולא החלבון, הלכך אידי ואידי אוכל הוא, ואין כאן ברירת פסולת מאוכל, רש"י.</w:t>
      </w:r>
    </w:p>
  </w:footnote>
  <w:footnote w:id="2973">
    <w:p w14:paraId="343F4E6C"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מערב שבת, דבשבת אסור, לבוש"ש (אות לח).</w:t>
      </w:r>
    </w:p>
  </w:footnote>
  <w:footnote w:id="2974">
    <w:p w14:paraId="7BB0534E"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וכיון דלא אמרינן בגד שרייתו זהו כיבוסו אלא דוקא בשיש בו טינוף הרי שגם משום מלבן אין בו </w:t>
      </w:r>
      <w:r w:rsidRPr="008C1C8E">
        <w:rPr>
          <w:rFonts w:asciiTheme="minorBidi" w:hAnsiTheme="minorBidi"/>
          <w:sz w:val="16"/>
          <w:szCs w:val="16"/>
          <w:rtl/>
        </w:rPr>
        <w:t>(ולבה"ג רשב"ם רא"ם וטור שאוסרים גם בבגד שאין בו טינוף אסור גם כאן, מג"א)</w:t>
      </w:r>
      <w:r w:rsidRPr="008C1C8E">
        <w:rPr>
          <w:rFonts w:asciiTheme="minorBidi" w:hAnsiTheme="minorBidi"/>
          <w:rtl/>
        </w:rPr>
        <w:t>, וגם משום סוחט לא גזרינן כיון שאינו נשרה במים אלא דבר מועט מהבגד כדי הנחת פיו לא אתי לידי סחיטה וגם כי אין זו שרייה הצריכה סחיטה שבהגעת המים בבגד כסחוט ועומד הוא, ע"פ ב"י.</w:t>
      </w:r>
    </w:p>
  </w:footnote>
  <w:footnote w:id="2975">
    <w:p w14:paraId="3678E1E1"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ובגיר' המג"א איתא- "ובלבד שלא יגבל" ולכן הקשה על הרמב"ם והה"מ מדוע כ' שזה אסור משום חיבוץ היינו תולדת בורר.</w:t>
      </w:r>
    </w:p>
  </w:footnote>
  <w:footnote w:id="2976">
    <w:p w14:paraId="567E4908"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היינו שלא ילחץ בידו על העיסה של השושומין אגוזים ודבש כדי להוציא את הדבש הבלוע בפנים. ויש מפרשים שעצם העירוב של הדבש עם השושומין והאגוזים היא פעולת החיבוץ.</w:t>
      </w:r>
    </w:p>
  </w:footnote>
  <w:footnote w:id="2977">
    <w:p w14:paraId="45C49F0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ולא ראינו מי שחשש בזה כיון שאינו מתכוין לכך כ"ש שאין דרך זורה בכך, מהריק"ש (הביאו רעק"א אות ט).</w:t>
      </w:r>
    </w:p>
  </w:footnote>
  <w:footnote w:id="2978">
    <w:p w14:paraId="2314E72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דהוה ליה מפרק, תולדה דדישה, רש"י.</w:t>
      </w:r>
    </w:p>
  </w:footnote>
  <w:footnote w:id="2979">
    <w:p w14:paraId="73F5357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גזירה שמא יסחוט לכתחילה, רש"י.</w:t>
      </w:r>
    </w:p>
  </w:footnote>
  <w:footnote w:id="2980">
    <w:p w14:paraId="2111C039"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הם מכונסין אותם פירות - היוצא מהן מותר, דלא ניחא ליה במה שזבו וליכא למגזר בהן שמא יסחוט, רש"י.</w:t>
      </w:r>
    </w:p>
  </w:footnote>
  <w:footnote w:id="2981">
    <w:p w14:paraId="41080D0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מכונסין - אסורין, דניחא ליה במאי דנפקא מינייהו ונתקיימה מחשבתו ואיכא למיגזר שמא יסחוט, והכי אמרינן בביצה דטעמא דמשקין שזבו משום שמא יסחוט הוא, רש"י. </w:t>
      </w:r>
    </w:p>
  </w:footnote>
  <w:footnote w:id="2982">
    <w:p w14:paraId="6CE8492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דאע"ג דהכניסן לאוכלין היוצא מהן אסור דכיון דרובן לסחיט' קיימי כי אתו לידי משקה יהיב דעתיה למיהוי ניחא ליה בהכי, רש"י.</w:t>
      </w:r>
    </w:p>
  </w:footnote>
  <w:footnote w:id="2983">
    <w:p w14:paraId="264AB92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הואיל והני לאוכלין נכנסו, רש"י.</w:t>
      </w:r>
    </w:p>
  </w:footnote>
  <w:footnote w:id="2984">
    <w:p w14:paraId="1BACF2BE"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דאיכא דבעו להו למשקין, הלכך משוו להו רבנן כזיתים וענבים, ור' יהודה פליג עלייהו, אבל שאר פירות - ליכא דבעי להו למשקין, הלכך מודו רבנן בהם, רש"י.</w:t>
      </w:r>
    </w:p>
  </w:footnote>
  <w:footnote w:id="2985">
    <w:p w14:paraId="54E92F00"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זב מאליהן, כמו נהרות המושכין (קכא.) , רש"י.</w:t>
      </w:r>
    </w:p>
  </w:footnote>
  <w:footnote w:id="2986">
    <w:p w14:paraId="10BCF3E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מתחילתן, בין לאוכלין בין למשקין כו', דרמונים קרי יין משום דאית להו קיוהא, רש"י.</w:t>
      </w:r>
    </w:p>
  </w:footnote>
  <w:footnote w:id="2987">
    <w:p w14:paraId="3BE4F99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והא דנקט רב נחמן לישנא דמסתברא ולא אמר בהדיא דבתותים ורמונים פליגי- משום דאיכא למימר פליגי בתותים ורמונים והוא הדין לשאר פירות ולהודיעך כחו דר' יהודה נקט להו, ואי משום ברייתא דלקמן דשמעינן מינה דמודים חכמים לר' יהודה בשאר פירות - לאו בהדיא שמעינן לה, דאיכא למימר ר' יהודה היא כדפרכינן עלה, רש"י.</w:t>
      </w:r>
    </w:p>
  </w:footnote>
  <w:footnote w:id="2988">
    <w:p w14:paraId="5A491E67"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פרונ"ש (שזיפים) בלעז, ולהוציא מימיהן לשתות, רש"י.</w:t>
      </w:r>
    </w:p>
  </w:footnote>
  <w:footnote w:id="2989">
    <w:p w14:paraId="422046D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קויידונ"ץ (חבושים) , רש"י.</w:t>
      </w:r>
    </w:p>
  </w:footnote>
  <w:footnote w:id="2990">
    <w:p w14:paraId="6B4B3FE9"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קורמ"ש (מין תפוחי בר), דלאו אורחייהו בהכי, ואין כאן משום דש, רש"י.</w:t>
      </w:r>
    </w:p>
  </w:footnote>
  <w:footnote w:id="2991">
    <w:p w14:paraId="40DFAD4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דאורחייהו בהכי, רש"י.</w:t>
      </w:r>
    </w:p>
  </w:footnote>
  <w:footnote w:id="2992">
    <w:p w14:paraId="600667C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היו רגילין לסחוט רמונים בחול, אלמא איכא דסחיט להו, הלכך בשבת אסור, רש"י.</w:t>
      </w:r>
    </w:p>
  </w:footnote>
  <w:footnote w:id="2993">
    <w:p w14:paraId="70C772D0"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בתמיה, וכי איהו פליג למימר דבשבת אסור, דתימא הלכתא כוותיה, והא לא הוזכר אלא לדברי התנא לראיה דהאי תנא הוא סבר כוותיה, רש"י.</w:t>
      </w:r>
    </w:p>
  </w:footnote>
  <w:footnote w:id="2994">
    <w:p w14:paraId="2E8C80A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דרב נחמן, דאמר הלכה: אין סוחטין, רש"י.</w:t>
      </w:r>
    </w:p>
  </w:footnote>
  <w:footnote w:id="2995">
    <w:p w14:paraId="5F2FB66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אע"ג דלעלמא לא חשיב, כיון דאחשיב איהו- הוי לדידיה משקה, והכי מפרש רב נחמן לברייתא דלעיל: סוחטין בפגעין ובפרישין למתק הפרי, ולא לצורך המשקה, אבל לא ברימונים ואפילו למתקן, דשל בית מנשיא היו סוחטין בחול לצורך משקה, הלכך בשבת אסור אפילו למתק הואיל ואיכא חד דעביד לשם משקה, ולא משום דמנשיא רובא דעלמא, אלא חיישינן, אי שרית ליה למתק - אתי למעבד לשום משקה, וכיון דאיהו מחשב ליה הוי משקה ומיחייב, אבל בפגעין ליכא למיחש, דאין אדם עושה אותו למשקה, רש"י.</w:t>
      </w:r>
    </w:p>
  </w:footnote>
  <w:footnote w:id="2996">
    <w:p w14:paraId="4476127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לא ב-ג' לוגין דלא הוזכרו ג' לוגין אלא במים שאובין אבל שאר משקין לא פסלי אלא א"כ נשתנה מראה המקוה על ידיהן, רש"י.</w:t>
      </w:r>
    </w:p>
  </w:footnote>
  <w:footnote w:id="2997">
    <w:p w14:paraId="00AF592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היינו אין דרך לסחוט סלק למימיו, ולמרות זאת הם נחשבים "משקה" לעניין פסילת המקוה.</w:t>
      </w:r>
    </w:p>
  </w:footnote>
  <w:footnote w:id="2998">
    <w:p w14:paraId="61FB81D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טעמא דתרדין לאו משום חשיבותא דאחשבינהו הוא, ולעולם לאו משקה נינהו, והא דמפסיל - משום דכל דבר שאין עושין ממנו מקוה שאינו מים או שלג או ברד - פוסל את המקוה בשינוי מראה, רש"י.</w:t>
      </w:r>
    </w:p>
  </w:footnote>
  <w:footnote w:id="2999">
    <w:p w14:paraId="5A423C9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מקום דוקא, דאילו אדם אחד בטלה דעתו אע"פ שסוחט לתענוג או לצמא, ב"י. ועי' במג"א (סק"א) שתמה על הב"י והרמ"א, על הרמ"א בגלל שכ'- "ובמקום שנהגו וכו" משמע דרק באותו מקום אסור, ועל הב"י בגלל שכ' שבגלל שבית מנשיא סוחטין </w:t>
      </w:r>
      <w:r w:rsidRPr="008C1C8E">
        <w:rPr>
          <w:rFonts w:asciiTheme="minorBidi" w:hAnsiTheme="minorBidi"/>
          <w:sz w:val="16"/>
          <w:szCs w:val="16"/>
          <w:rtl/>
        </w:rPr>
        <w:t>(ולשיטת המג"א בית מנשיא הוא אדם אחד, ועי' א"א שמקשה על המג"א)</w:t>
      </w:r>
      <w:r w:rsidRPr="008C1C8E">
        <w:rPr>
          <w:rFonts w:asciiTheme="minorBidi" w:hAnsiTheme="minorBidi"/>
          <w:rtl/>
        </w:rPr>
        <w:t xml:space="preserve"> אסור לכל העולם, וכ' למסקנה שמשה אמת ותורתו אמת ומקום שרגילים לסחוט שם שום פרי אז אסור רק לאותו מקום, וכדי לאסור לכל העולם צריך שזה יהיה פרי שאם היה אותו לכל העולם בשפע כמו שיש לאותו מקום אז היו סוחטים אותו גם, ושהאדם </w:t>
      </w:r>
      <w:r w:rsidRPr="008C1C8E">
        <w:rPr>
          <w:rFonts w:asciiTheme="minorBidi" w:hAnsiTheme="minorBidi"/>
          <w:sz w:val="16"/>
          <w:szCs w:val="16"/>
          <w:rtl/>
        </w:rPr>
        <w:t xml:space="preserve">(שנמצא במקום אחר בעולם) </w:t>
      </w:r>
      <w:r w:rsidRPr="008C1C8E">
        <w:rPr>
          <w:rFonts w:asciiTheme="minorBidi" w:hAnsiTheme="minorBidi"/>
          <w:rtl/>
        </w:rPr>
        <w:t xml:space="preserve">מחשיב את הפרי </w:t>
      </w:r>
      <w:r w:rsidRPr="008C1C8E">
        <w:rPr>
          <w:rFonts w:asciiTheme="minorBidi" w:hAnsiTheme="minorBidi"/>
          <w:sz w:val="16"/>
          <w:szCs w:val="16"/>
          <w:rtl/>
        </w:rPr>
        <w:t>(היינו ג' תנאים כדי לאסור לכל העולם)</w:t>
      </w:r>
      <w:r w:rsidRPr="008C1C8E">
        <w:rPr>
          <w:rFonts w:asciiTheme="minorBidi" w:hAnsiTheme="minorBidi"/>
          <w:rtl/>
        </w:rPr>
        <w:t>. אך מהט"ז (סק"ה) נראה דבמקום שרגילים אסור ובמקום שלא רגילים מותר ואע"פ שבשני המקומות מצוי הפרי.</w:t>
      </w:r>
    </w:p>
  </w:footnote>
  <w:footnote w:id="3000">
    <w:p w14:paraId="3A1AC6A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ואע"ג דאסור לינק מהבהמה, כמ"ש סי' שכ"ח סל"ג, היינו משום דדרכו בכך אבל הכא שאין דרכו בכך לא גזרו, מג"א (סק"ב).</w:t>
      </w:r>
    </w:p>
  </w:footnote>
  <w:footnote w:id="3001">
    <w:p w14:paraId="3043695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כגון הנותן בשר במרק או פת ביין ומוצץ אותו, מג"א (סק"ג).</w:t>
      </w:r>
    </w:p>
  </w:footnote>
  <w:footnote w:id="3002">
    <w:p w14:paraId="252D917E"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ולדעה זו יהיה אסור למצוץ בפה בשבת קני סוכר, ב"י.</w:t>
      </w:r>
    </w:p>
  </w:footnote>
  <w:footnote w:id="3003">
    <w:p w14:paraId="6033428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וכן חלת דבש, רמב"ם (פכ"א הט"ז), וכן נראה דעת הרי"ף והרא"ש שפסקו כר' אליעזר ור' שמעון (קמו:), ב"י (ססע' יח). </w:t>
      </w:r>
    </w:p>
  </w:footnote>
  <w:footnote w:id="3004">
    <w:p w14:paraId="298CE26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ולא דמי לדבר שיש לו מתירין שיכול להמתין עד לאחר השבת ואפילו באלף לא בטיל (ביצה ג:) דהני מילי כשהאיסור בעין מתחלה ואחר כך נתערב בהיתר אבל הני לא ניכר מעולם אלא מעט מעט שיוצא מתערב עם המשקין שיצאו מאתמול, ב"י.</w:t>
      </w:r>
    </w:p>
  </w:footnote>
  <w:footnote w:id="3005">
    <w:p w14:paraId="4C58826C"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כיון דריסקן מבעו"י, מרדכי (הביאו הב"י).</w:t>
      </w:r>
    </w:p>
  </w:footnote>
  <w:footnote w:id="3006">
    <w:p w14:paraId="7A9055F4"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של תבשיל לתקנו, דמוכחא מילתא דלאו למשקה בעי ליה אלא לאוכל ואין זה דרך פריקתו, והוי כמפריד אוכל מאוכל, רש"י.</w:t>
      </w:r>
    </w:p>
  </w:footnote>
  <w:footnote w:id="3007">
    <w:p w14:paraId="0E3E60F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דזמנין דלמשקה קאי, ואף על גב דבקערה לא שתי איניש - לא מוכחא מילתא ואיכא איסור, רש"י.</w:t>
      </w:r>
    </w:p>
  </w:footnote>
  <w:footnote w:id="3008">
    <w:p w14:paraId="0A1B7A64"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ירק חי כבוש ביין וחומץ, רש"י.</w:t>
      </w:r>
    </w:p>
  </w:footnote>
  <w:footnote w:id="3009">
    <w:p w14:paraId="5B3315C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אם לאכול הכבשים סוחטן ממשקה הצף עליהן והנבלע בהן מותר לכתחי' דלא מפרק הוא הואיל ולאו למשקה הוא צריך, רש"י.</w:t>
      </w:r>
    </w:p>
  </w:footnote>
  <w:footnote w:id="3010">
    <w:p w14:paraId="51D88AFA"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שאין זה מפרק, שאין המשקה הזה יוצא מן הכבשים שלא גדל בתוכן, אבל אסור, אטו זיתים וענבים, רש"י.</w:t>
      </w:r>
    </w:p>
  </w:footnote>
  <w:footnote w:id="3011">
    <w:p w14:paraId="7B587E6B"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אפילו למימיהן, לאו משקה נינהו אלא אוכל, רש"י.</w:t>
      </w:r>
    </w:p>
  </w:footnote>
  <w:footnote w:id="3012">
    <w:p w14:paraId="0CF6DAC4"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והא שלקות דומיא דדג לצירן הוא, ולא שרי ליה שמואל לכתחילה, רש"י.</w:t>
      </w:r>
    </w:p>
  </w:footnote>
  <w:footnote w:id="3013">
    <w:p w14:paraId="530E429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ולפמש"פ השו"ע (בסי' ר"ב וביו"ד סי' מ"ד) דאין אנו בקיאין איזה מקרי בוסר - כל זמן שאינו ראוי לאכילה אסור, וכמש"כ הרמ"א, וה"ה בשאר פירות שאינן ראוים לאכילה אסור לסחטן למימיהן, ע"פ המג"א (סק"ז).</w:t>
      </w:r>
    </w:p>
  </w:footnote>
  <w:footnote w:id="3014">
    <w:p w14:paraId="5B5CDB9D"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ואם סוחט לתוך מים אז מותר אפי' ע"מ לשתות לתענוג, כיון שאין דרך לשתותן לבדו, מג"א </w:t>
      </w:r>
      <w:r w:rsidRPr="008C1C8E">
        <w:rPr>
          <w:rFonts w:asciiTheme="minorBidi" w:hAnsiTheme="minorBidi"/>
          <w:sz w:val="16"/>
          <w:szCs w:val="16"/>
          <w:rtl/>
        </w:rPr>
        <w:t>(סק"ח)</w:t>
      </w:r>
      <w:r w:rsidRPr="008C1C8E">
        <w:rPr>
          <w:rFonts w:asciiTheme="minorBidi" w:hAnsiTheme="minorBidi"/>
          <w:rtl/>
        </w:rPr>
        <w:t xml:space="preserve">. והט"ז כ' </w:t>
      </w:r>
      <w:r w:rsidRPr="008C1C8E">
        <w:rPr>
          <w:rFonts w:asciiTheme="minorBidi" w:hAnsiTheme="minorBidi"/>
          <w:sz w:val="16"/>
          <w:szCs w:val="16"/>
          <w:rtl/>
        </w:rPr>
        <w:t>(סק"ה, ע"פ פירושו לדעה האחרונה בשבה"ל)</w:t>
      </w:r>
      <w:r w:rsidRPr="008C1C8E">
        <w:rPr>
          <w:rFonts w:asciiTheme="minorBidi" w:hAnsiTheme="minorBidi"/>
          <w:rtl/>
        </w:rPr>
        <w:t xml:space="preserve"> דמותר משום שאינו מכוין אלא רק לתת טעם במים, ומה לי סחיטה לאוכל ומה לי סחיטה לתוך משקה.</w:t>
      </w:r>
    </w:p>
  </w:footnote>
  <w:footnote w:id="3015">
    <w:p w14:paraId="14620D79"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ירק חי כבוש ביין וחומץ, רש"י.</w:t>
      </w:r>
    </w:p>
  </w:footnote>
  <w:footnote w:id="3016">
    <w:p w14:paraId="10ABA2F7"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אם לאכול הכבשים סוחטן ממשקה הצף עליהן והנבלע בהן מותר לכתחי' דלא מפרק הוא הואיל ולאו למשקה הוא צריך, רש"י.</w:t>
      </w:r>
    </w:p>
  </w:footnote>
  <w:footnote w:id="3017">
    <w:p w14:paraId="2397A690"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שאין זה מפרק, שאין המשקה הזה יוצא מן הכבשים שלא גדל בתוכן, אבל אסור, אטו זיתים וענבים, רש"י.</w:t>
      </w:r>
    </w:p>
  </w:footnote>
  <w:footnote w:id="3018">
    <w:p w14:paraId="0BDDAB1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אפילו למימיהן, לאו משקה נינהו אלא אוכל, רש"י.</w:t>
      </w:r>
    </w:p>
  </w:footnote>
  <w:footnote w:id="3019">
    <w:p w14:paraId="4838C36C"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דכיון דא"צ למימיהן לא הו"ל מפרק כלל ול"ד לזתים וענבים דרוב העולם סוחטין אותן למימיהן, מג"א (סק"ט).</w:t>
      </w:r>
    </w:p>
  </w:footnote>
  <w:footnote w:id="3020">
    <w:p w14:paraId="44ADF22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דמשקה הבא לאוכל הוי כמפריד אוכל מאוכל, וה"ה לתוך המורייס דהוי מאכל (סמ"ק) אבל לתוך משקין אסור (ובזה גרע מלימוניש, והוא משום דהיה שם משקה עליו מקודם), מג"א (סק"י).</w:t>
      </w:r>
    </w:p>
  </w:footnote>
  <w:footnote w:id="3021">
    <w:p w14:paraId="602ECB6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ואע"פ דשאר פירות מותר לסחוט אפי' למימיהן הוא משום דאין שם משקה עליו משא"כ הכא דהיה שם משקה עליו מקודם, מג"א (סק"ט).</w:t>
      </w:r>
    </w:p>
  </w:footnote>
  <w:footnote w:id="3022">
    <w:p w14:paraId="7E3E3270"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והא שלקות דומיא דדג לצירן הוא, ולא שרי ליה שמואל לכתחילה, רש"י.</w:t>
      </w:r>
    </w:p>
  </w:footnote>
  <w:footnote w:id="3023">
    <w:p w14:paraId="3321F4D7"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לאו משקה הוא אלא אוכל וכן שלקות (רש"י) ואפ"ה אסור והיינו כיון שהיה שם משקה עליו מקודם משא"כ בשאר פירות, ורי"ו כתב דדג לצירו מותר לסחטו וצ"ע ליישב דבריו, מג"א (סקי"ב).</w:t>
      </w:r>
    </w:p>
  </w:footnote>
  <w:footnote w:id="3024">
    <w:p w14:paraId="2FF382A6" w14:textId="77777777" w:rsidR="00B97A52" w:rsidRPr="008C1C8E" w:rsidRDefault="00B97A52" w:rsidP="00B97A52">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כמו מרסקין - משברין לחתיכות דקות, רש"י.</w:t>
      </w:r>
    </w:p>
  </w:footnote>
  <w:footnote w:id="3025">
    <w:p w14:paraId="2BE7E5FC" w14:textId="77777777" w:rsidR="00B97A52" w:rsidRPr="008C1C8E" w:rsidRDefault="00B97A52" w:rsidP="00B97A52">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של יין בימות החמה כדי לצנן, ואע</w:t>
      </w:r>
      <w:r>
        <w:rPr>
          <w:rFonts w:asciiTheme="minorBidi" w:hAnsiTheme="minorBidi" w:hint="cs"/>
          <w:rtl/>
        </w:rPr>
        <w:t>"</w:t>
      </w:r>
      <w:r w:rsidRPr="008C1C8E">
        <w:rPr>
          <w:rFonts w:asciiTheme="minorBidi" w:hAnsiTheme="minorBidi"/>
          <w:rtl/>
        </w:rPr>
        <w:t>פ שנימוח מאליו, ואינו חושש, רש"י.</w:t>
      </w:r>
      <w:r>
        <w:rPr>
          <w:rFonts w:asciiTheme="minorBidi" w:hAnsiTheme="minorBidi" w:hint="cs"/>
          <w:rtl/>
        </w:rPr>
        <w:t xml:space="preserve"> </w:t>
      </w:r>
    </w:p>
  </w:footnote>
  <w:footnote w:id="3026">
    <w:p w14:paraId="7A6EB98D" w14:textId="77777777" w:rsidR="00B97A52" w:rsidRPr="008C1C8E" w:rsidRDefault="00B97A52" w:rsidP="00B97A52">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w:t>
      </w:r>
      <w:r w:rsidRPr="00B60499">
        <w:rPr>
          <w:rFonts w:cs="Arial"/>
          <w:rtl/>
        </w:rPr>
        <w:t>ומה שכתב הרב ז"ל משום דקא מוליד לאו למיסר משום נולד קאמר אלא שהאיסור הוא משום סרך מלאכה לפי שהוא כבורא ומוליד המים הללו</w:t>
      </w:r>
      <w:r>
        <w:rPr>
          <w:rFonts w:cs="Arial" w:hint="cs"/>
          <w:rtl/>
        </w:rPr>
        <w:t>, רשב"א (שבת נא:). וכן</w:t>
      </w:r>
      <w:r w:rsidRPr="00B60499">
        <w:rPr>
          <w:rFonts w:cs="Arial"/>
          <w:rtl/>
        </w:rPr>
        <w:t xml:space="preserve"> </w:t>
      </w:r>
      <w:r>
        <w:rPr>
          <w:rFonts w:hint="cs"/>
          <w:rtl/>
        </w:rPr>
        <w:t xml:space="preserve">פירשו הרמב"ן (שבת נא:) והר"ן את דברי </w:t>
      </w:r>
      <w:r w:rsidRPr="00050F9B">
        <w:rPr>
          <w:rFonts w:cs="Arial"/>
          <w:rtl/>
        </w:rPr>
        <w:t>רש"י</w:t>
      </w:r>
      <w:r>
        <w:rPr>
          <w:rFonts w:cs="Arial" w:hint="cs"/>
          <w:rtl/>
        </w:rPr>
        <w:t>.</w:t>
      </w:r>
    </w:p>
  </w:footnote>
  <w:footnote w:id="3027">
    <w:p w14:paraId="04D16198" w14:textId="77777777" w:rsidR="00B97A52" w:rsidRDefault="00B97A52" w:rsidP="00B97A52">
      <w:pPr>
        <w:pStyle w:val="a7"/>
      </w:pPr>
      <w:r>
        <w:rPr>
          <w:rStyle w:val="a9"/>
        </w:rPr>
        <w:footnoteRef/>
      </w:r>
      <w:r>
        <w:rPr>
          <w:rtl/>
        </w:rPr>
        <w:t xml:space="preserve"> </w:t>
      </w:r>
      <w:r w:rsidRPr="004F2FBF">
        <w:rPr>
          <w:rFonts w:cs="Arial"/>
          <w:rtl/>
        </w:rPr>
        <w:t>ולדבריו אפילו בחמה אסור דהוה ליה נולד</w:t>
      </w:r>
      <w:r>
        <w:rPr>
          <w:rFonts w:cs="Arial" w:hint="cs"/>
          <w:rtl/>
        </w:rPr>
        <w:t xml:space="preserve"> -</w:t>
      </w:r>
      <w:r w:rsidRPr="004F2FBF">
        <w:rPr>
          <w:rFonts w:cs="Arial"/>
          <w:rtl/>
        </w:rPr>
        <w:t xml:space="preserve"> </w:t>
      </w:r>
      <w:r w:rsidRPr="00826B4E">
        <w:rPr>
          <w:rFonts w:cs="Arial"/>
          <w:rtl/>
        </w:rPr>
        <w:t>ואינו מחוור</w:t>
      </w:r>
      <w:r>
        <w:rPr>
          <w:rFonts w:cs="Arial" w:hint="cs"/>
          <w:rtl/>
        </w:rPr>
        <w:t>,</w:t>
      </w:r>
      <w:r w:rsidRPr="00826B4E">
        <w:rPr>
          <w:rFonts w:cs="Arial"/>
          <w:rtl/>
        </w:rPr>
        <w:t xml:space="preserve"> דאם כן למה התירו לתת לתוך הכוס</w:t>
      </w:r>
      <w:r>
        <w:rPr>
          <w:rFonts w:cs="Arial" w:hint="cs"/>
          <w:rtl/>
        </w:rPr>
        <w:t>,</w:t>
      </w:r>
      <w:r w:rsidRPr="00826B4E">
        <w:rPr>
          <w:rFonts w:cs="Arial"/>
          <w:rtl/>
        </w:rPr>
        <w:t xml:space="preserve"> דמכל מקום הרי הוא נפשר בתוך הכוס והרי הוא נולד בשבת ואסור</w:t>
      </w:r>
      <w:r>
        <w:rPr>
          <w:rFonts w:cs="Arial" w:hint="cs"/>
          <w:rtl/>
        </w:rPr>
        <w:t>.</w:t>
      </w:r>
      <w:r w:rsidRPr="00826B4E">
        <w:rPr>
          <w:rFonts w:cs="Arial"/>
          <w:rtl/>
        </w:rPr>
        <w:t xml:space="preserve"> ועוד דהא פירות דלאו בני סחיטה נינהו סוחטין לכתחלה</w:t>
      </w:r>
      <w:r>
        <w:rPr>
          <w:rFonts w:cs="Arial" w:hint="cs"/>
          <w:rtl/>
        </w:rPr>
        <w:t>,</w:t>
      </w:r>
      <w:r w:rsidRPr="00826B4E">
        <w:rPr>
          <w:rFonts w:cs="Arial"/>
          <w:rtl/>
        </w:rPr>
        <w:t xml:space="preserve"> ואפילו תותים ורימונים היוצא מעצמן אם לאוכלין מותר (קמג</w:t>
      </w:r>
      <w:r>
        <w:rPr>
          <w:rFonts w:cs="Arial" w:hint="cs"/>
          <w:rtl/>
        </w:rPr>
        <w:t>:</w:t>
      </w:r>
      <w:r w:rsidRPr="00826B4E">
        <w:rPr>
          <w:rFonts w:cs="Arial"/>
          <w:rtl/>
        </w:rPr>
        <w:t>)</w:t>
      </w:r>
      <w:r>
        <w:rPr>
          <w:rFonts w:cs="Arial" w:hint="cs"/>
          <w:rtl/>
        </w:rPr>
        <w:t xml:space="preserve">, רשב"א (נא:). והרמב"ן (שם) הקשה רק את קושייתו האחרונה של הרשב"א, וכתב הר"ן על קושיא זו, וז"ל- </w:t>
      </w:r>
      <w:r w:rsidRPr="00FD4CB5">
        <w:rPr>
          <w:rFonts w:cs="Arial"/>
          <w:rtl/>
        </w:rPr>
        <w:t>ואין זו קושיא אצלי דשומן זה כל זמן שלא קרש זך וצלול הוא דדרכו בכך אף בשקרש כפירות העומדין למשקה דמי</w:t>
      </w:r>
      <w:r>
        <w:rPr>
          <w:rFonts w:cs="Arial" w:hint="cs"/>
          <w:rtl/>
        </w:rPr>
        <w:t>.</w:t>
      </w:r>
    </w:p>
  </w:footnote>
  <w:footnote w:id="3028">
    <w:p w14:paraId="6F99B1FF" w14:textId="77777777" w:rsidR="00B97A52" w:rsidRDefault="00B97A52" w:rsidP="00B97A52">
      <w:pPr>
        <w:pStyle w:val="a7"/>
      </w:pPr>
      <w:r>
        <w:rPr>
          <w:rStyle w:val="a9"/>
        </w:rPr>
        <w:footnoteRef/>
      </w:r>
      <w:r>
        <w:rPr>
          <w:rtl/>
        </w:rPr>
        <w:t xml:space="preserve"> </w:t>
      </w:r>
      <w:r>
        <w:rPr>
          <w:rFonts w:cs="Arial" w:hint="cs"/>
          <w:rtl/>
        </w:rPr>
        <w:t xml:space="preserve">וז"ל- </w:t>
      </w:r>
      <w:r w:rsidRPr="005841FA">
        <w:rPr>
          <w:rFonts w:cs="Arial"/>
          <w:rtl/>
        </w:rPr>
        <w:t>כבשין ושלקות שסחטן, אם לרכך גופן מותר ואם להוציא מימיהן אסור, ואין מרסקין את השלג שיזובו מימיו, אבל מרסק הוא לתוך הקערה או לתוך הכוס</w:t>
      </w:r>
      <w:r>
        <w:rPr>
          <w:rFonts w:cs="Arial" w:hint="cs"/>
          <w:rtl/>
        </w:rPr>
        <w:t>.</w:t>
      </w:r>
    </w:p>
  </w:footnote>
  <w:footnote w:id="3029">
    <w:p w14:paraId="764E8329" w14:textId="77777777" w:rsidR="00B97A52" w:rsidRDefault="00B97A52" w:rsidP="00B97A52">
      <w:pPr>
        <w:pStyle w:val="a7"/>
      </w:pPr>
      <w:r>
        <w:rPr>
          <w:rStyle w:val="a9"/>
        </w:rPr>
        <w:footnoteRef/>
      </w:r>
      <w:r>
        <w:rPr>
          <w:rtl/>
        </w:rPr>
        <w:t xml:space="preserve"> </w:t>
      </w:r>
      <w:r w:rsidRPr="00B60499">
        <w:rPr>
          <w:rFonts w:cs="Arial"/>
          <w:rtl/>
        </w:rPr>
        <w:t>ולפיכך לתת לתוך הכוס מותר שאינו נראה כסוחט, ועוד הקילו בו לרסק בתוך הכוס כפירות דלאו בני סחיטה נינהו, והתירו לרסק אפילו ביד לתוך הכוס וכדתני בתוספתא (פ"ד הט"ו) אבל מרסק הוא לתוך הקערה, וטעמא דמילתא לפי שאע"פ שנקרש ונעשה עב הכל יודעין שאין בו אוכל ושמימיו נסחטין מתוכו, אבל מים הם מתחלתן ועד סופן אלא שנקרשו לפי שעה, ולפיכך הקילו בהן לסוחטן לתוך הקערה או לתוך הכוס אלא שהחמירו בהן לסחטן ולרסקן בפני עצמן, כך נראה לי</w:t>
      </w:r>
      <w:r>
        <w:rPr>
          <w:rFonts w:cs="Arial" w:hint="cs"/>
          <w:rtl/>
        </w:rPr>
        <w:t>, רשב"א (שם)</w:t>
      </w:r>
      <w:r w:rsidRPr="00B60499">
        <w:rPr>
          <w:rFonts w:cs="Arial"/>
          <w:rtl/>
        </w:rPr>
        <w:t>.</w:t>
      </w:r>
    </w:p>
  </w:footnote>
  <w:footnote w:id="3030">
    <w:p w14:paraId="06F3FDE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משמע דלרסק בידים אסור, אבל הרמב"ן והר"ן והרמב"ם והמ"מ כתבו בשם התוספתא דאפי' לרסק בידים לתוך הכוס שרי דטעם האיסור שמא יסחוט פירות העומדין למשקין וכיון שנתערב במים לא גזרו, מג"א (סקי"ג).</w:t>
      </w:r>
    </w:p>
  </w:footnote>
  <w:footnote w:id="3031">
    <w:p w14:paraId="36E9EDC7"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שהרי אינו בורא מים בזה ואי משום שבירת הקרח הא גדולה מזה מצאנו שובר אדם את החבית בשביל גרוגרות (מרדכי), ט"ז (סק"ח) ומג"א (סקט"ו). אך המג"א סיים- "ונראה לי דבנהר או באר אסור". </w:t>
      </w:r>
    </w:p>
  </w:footnote>
  <w:footnote w:id="3032">
    <w:p w14:paraId="4753B925"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ולפי מש"כ בסע' ט </w:t>
      </w:r>
      <w:r w:rsidRPr="008C1C8E">
        <w:rPr>
          <w:rFonts w:asciiTheme="minorBidi" w:hAnsiTheme="minorBidi"/>
          <w:sz w:val="16"/>
          <w:szCs w:val="16"/>
          <w:rtl/>
        </w:rPr>
        <w:t xml:space="preserve">(שהרמב"ן והר"ן והרמב"ם והמ"מ כתבו בשם התוספתא דאפי' לרסק בידים לתוך הכוס שרי דטעם האיסור שמא יסחוט פירות העומדין למשקין וכיון שנתערב במים לא גזרו) </w:t>
      </w:r>
      <w:r w:rsidRPr="008C1C8E">
        <w:rPr>
          <w:rFonts w:asciiTheme="minorBidi" w:hAnsiTheme="minorBidi"/>
          <w:rtl/>
        </w:rPr>
        <w:t>שרי גם כאן, ע"פ המג"א (סקט"ז).</w:t>
      </w:r>
    </w:p>
  </w:footnote>
  <w:footnote w:id="3033">
    <w:p w14:paraId="71F28FB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שלא יהא מרסק, גר"א </w:t>
      </w:r>
      <w:r w:rsidRPr="008C1C8E">
        <w:rPr>
          <w:rFonts w:asciiTheme="minorBidi" w:hAnsiTheme="minorBidi"/>
          <w:sz w:val="16"/>
          <w:szCs w:val="16"/>
          <w:rtl/>
        </w:rPr>
        <w:t>(סקכ"ב)</w:t>
      </w:r>
      <w:r w:rsidRPr="008C1C8E">
        <w:rPr>
          <w:rFonts w:asciiTheme="minorBidi" w:hAnsiTheme="minorBidi"/>
          <w:rtl/>
        </w:rPr>
        <w:t xml:space="preserve">. אך הט"ז </w:t>
      </w:r>
      <w:r w:rsidRPr="008C1C8E">
        <w:rPr>
          <w:rFonts w:asciiTheme="minorBidi" w:hAnsiTheme="minorBidi"/>
          <w:sz w:val="16"/>
          <w:szCs w:val="16"/>
          <w:rtl/>
        </w:rPr>
        <w:t xml:space="preserve">(סק"ט) </w:t>
      </w:r>
      <w:r w:rsidRPr="008C1C8E">
        <w:rPr>
          <w:rFonts w:asciiTheme="minorBidi" w:hAnsiTheme="minorBidi"/>
          <w:rtl/>
        </w:rPr>
        <w:t xml:space="preserve">כ' שאסור לפי שנימוח והוה נולד </w:t>
      </w:r>
      <w:r w:rsidRPr="008C1C8E">
        <w:rPr>
          <w:rFonts w:asciiTheme="minorBidi" w:hAnsiTheme="minorBidi"/>
          <w:sz w:val="16"/>
          <w:szCs w:val="16"/>
          <w:rtl/>
        </w:rPr>
        <w:t>(וסברא זו הובאה בטור בשם סה"ת)</w:t>
      </w:r>
      <w:r w:rsidRPr="008C1C8E">
        <w:rPr>
          <w:rFonts w:asciiTheme="minorBidi" w:hAnsiTheme="minorBidi"/>
          <w:rtl/>
        </w:rPr>
        <w:t xml:space="preserve">, ולכן משמע לט"ז דמותר להשליך מים במלח ואח"כ נוטל ידיו מהם כמ"ש גבי שלג וברד </w:t>
      </w:r>
      <w:r w:rsidRPr="008C1C8E">
        <w:rPr>
          <w:rFonts w:asciiTheme="minorBidi" w:hAnsiTheme="minorBidi"/>
          <w:sz w:val="16"/>
          <w:szCs w:val="16"/>
          <w:rtl/>
        </w:rPr>
        <w:t>(רק שיזהר שלא יהיה אסור מחמת מי מלח עזים הנזכר בסימן שכ"א)</w:t>
      </w:r>
      <w:r w:rsidRPr="008C1C8E">
        <w:rPr>
          <w:rFonts w:asciiTheme="minorBidi" w:hAnsiTheme="minorBidi"/>
          <w:rtl/>
        </w:rPr>
        <w:t>.</w:t>
      </w:r>
    </w:p>
  </w:footnote>
  <w:footnote w:id="3034">
    <w:p w14:paraId="01804011"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נראה דאע"ג דא"א שלא יהיה נימוח והוי פסיק רישיה מ"מ לא גזרו בזה כיון דא"א להזהר מזה בימות החורף דכל הארץ היא כך מלאה כפור וגליד והמנעלים הם לחים ונימס השלג שם, ט"ז (סק"י).</w:t>
      </w:r>
    </w:p>
  </w:footnote>
  <w:footnote w:id="3035">
    <w:p w14:paraId="302684E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וכמו שבדריסה הוי פסיק רישיה ולא גזרו - הכי נמי בזה שא"א ליזהר כי כל הארץ מלאה שלג, ומש"כ רש"ל לאסור והביא ראיה מסי' שכ"ו דאסרינן לחמם ידים אחר נטילה אע"פ דלא נתכוין כלל לחמם המים חשיב ליה פסיק רישיה וה"נ כאן, נראה דאינו דומה דהתם יכול ליזהר והכא לא, ט"ז (סקי"א).</w:t>
      </w:r>
    </w:p>
  </w:footnote>
  <w:footnote w:id="3036">
    <w:p w14:paraId="50C5324A"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כי ע"י השתן ודאי נימוח (טור), ולא דמי לסע' ט דשרי ליתן לתוך המים דהכא איהו קעביד מעשה, מג"א.</w:t>
      </w:r>
    </w:p>
  </w:footnote>
  <w:footnote w:id="3037">
    <w:p w14:paraId="382711D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סודר של ראש, רש"י.</w:t>
      </w:r>
    </w:p>
  </w:footnote>
  <w:footnote w:id="3038">
    <w:p w14:paraId="4DE45C3E"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קנקן, רש"י. ויש מפרשים חבית.</w:t>
      </w:r>
    </w:p>
  </w:footnote>
  <w:footnote w:id="3039">
    <w:p w14:paraId="4CB38905"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כלי ששואבין יין מן הכובא, רש"י. </w:t>
      </w:r>
    </w:p>
  </w:footnote>
  <w:footnote w:id="3040">
    <w:p w14:paraId="1E9C5E2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שהיה סוחטו מן המים שנבלעו בו, רש"י.</w:t>
      </w:r>
    </w:p>
  </w:footnote>
  <w:footnote w:id="3041">
    <w:p w14:paraId="6FD4059B"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בגד העשוי לפרוס על הגיגית שפורסין אותו בשבת, רש"י.</w:t>
      </w:r>
    </w:p>
  </w:footnote>
  <w:footnote w:id="3042">
    <w:p w14:paraId="33E8018C"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אם שרוי במים, שהרי לכך עשוי ולא אתי לידי סחיטה, רש"י ורמב"ם. אך רי"ו פירש דלא רק בגד העשוי לכך שרי אלא כל בגד שאין לובשים אותו שרי, וכ' עליו הב"י שאין דבריו בדקדוק, אלא כדברי רש"י והרמב"ם עיקר.</w:t>
      </w:r>
    </w:p>
  </w:footnote>
  <w:footnote w:id="3043">
    <w:p w14:paraId="6690239C"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ירטב ו...</w:t>
      </w:r>
    </w:p>
  </w:footnote>
  <w:footnote w:id="3044">
    <w:p w14:paraId="42B30A0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מוכין שסותמין בהן פי הפך, רש"י.</w:t>
      </w:r>
    </w:p>
  </w:footnote>
  <w:footnote w:id="3045">
    <w:p w14:paraId="6993F5F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פך, רש"י.</w:t>
      </w:r>
    </w:p>
  </w:footnote>
  <w:footnote w:id="3046">
    <w:p w14:paraId="6C5025F9"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פירוש דכשמהדק והוא לח הוא נסחט (ר"ן תוס'), מג"א (סקי"ח).</w:t>
      </w:r>
    </w:p>
  </w:footnote>
  <w:footnote w:id="3047">
    <w:p w14:paraId="59CDBD7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טבלא, רש"י.</w:t>
      </w:r>
    </w:p>
  </w:footnote>
  <w:footnote w:id="3048">
    <w:p w14:paraId="44EA496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שכשאוחזו נסחט בין אצבעותיו, רש"י.</w:t>
      </w:r>
    </w:p>
  </w:footnote>
  <w:footnote w:id="3049">
    <w:p w14:paraId="2BF79C49"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צ"ע כיון דספוג עשוי לכך לית לן למגזר שמא יסחוט (כמ"ש סט"ו שלא גוזרים שמא יסחוט בבגד המיוחד לכך, וכן בסי' ש"א סמ"א) ועוד תימא דבגמ' פריך אספוג והא קי"ל כר"ש דבר שאין מתכוין מותר ומשני פסיק רישיה הוא א"כ אין הטעם משום גזירה וצ"ע, מג"א (סקי"ט). ולכן הגר"א (סקכ"ה) כ' דהוא טעות סופר, וצ"ל- "משום סחיטה". </w:t>
      </w:r>
    </w:p>
  </w:footnote>
  <w:footnote w:id="3050">
    <w:p w14:paraId="55336EF1" w14:textId="77777777" w:rsidR="006A4BF8" w:rsidRPr="008C1C8E" w:rsidRDefault="006A4BF8" w:rsidP="00285819">
      <w:pPr>
        <w:spacing w:after="0" w:line="240" w:lineRule="auto"/>
        <w:rPr>
          <w:rFonts w:asciiTheme="minorBidi" w:hAnsiTheme="minorBidi"/>
          <w:sz w:val="20"/>
          <w:szCs w:val="20"/>
        </w:rPr>
      </w:pPr>
      <w:r w:rsidRPr="008C1C8E">
        <w:rPr>
          <w:rStyle w:val="a9"/>
          <w:rFonts w:asciiTheme="minorBidi" w:hAnsiTheme="minorBidi"/>
          <w:sz w:val="20"/>
          <w:szCs w:val="20"/>
        </w:rPr>
        <w:footnoteRef/>
      </w:r>
      <w:r w:rsidRPr="008C1C8E">
        <w:rPr>
          <w:rFonts w:asciiTheme="minorBidi" w:hAnsiTheme="minorBidi"/>
          <w:sz w:val="20"/>
          <w:szCs w:val="20"/>
          <w:rtl/>
        </w:rPr>
        <w:t xml:space="preserve"> בגד כורכין בברזא, חבית של חרס, מפני שאין הנקב שוה, רש"י.</w:t>
      </w:r>
    </w:p>
  </w:footnote>
  <w:footnote w:id="3051">
    <w:p w14:paraId="3133E5E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בנקב, משום סחיטה, ואע"ג דלא קא מכוין לסחוט, אלמא לא סבירא ליה כר' שמעון בדבר שאין מתכוין, רש"י.</w:t>
      </w:r>
    </w:p>
  </w:footnote>
  <w:footnote w:id="3052">
    <w:p w14:paraId="52C613BD"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נוסף ממהדורת פראג תקמה, ע"פ הנוסח בטור (עמ' תלח), הגוה"ע פריעדמאן. </w:t>
      </w:r>
    </w:p>
  </w:footnote>
  <w:footnote w:id="3053">
    <w:p w14:paraId="13F00EA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המג"א</w:t>
      </w:r>
      <w:r w:rsidRPr="008C1C8E">
        <w:rPr>
          <w:rFonts w:asciiTheme="minorBidi" w:hAnsiTheme="minorBidi"/>
          <w:sz w:val="16"/>
          <w:szCs w:val="16"/>
          <w:rtl/>
        </w:rPr>
        <w:t xml:space="preserve"> (סק"כ) </w:t>
      </w:r>
      <w:r w:rsidRPr="008C1C8E">
        <w:rPr>
          <w:rFonts w:asciiTheme="minorBidi" w:hAnsiTheme="minorBidi"/>
          <w:rtl/>
        </w:rPr>
        <w:t>כ' שרק לגבי שבת סובר הערוך דפ"ר דלא ניחא ליה שרי אבל לא בשאר איסורי, וכ' שכן הרא"ש הבין בדע' הערוך.</w:t>
      </w:r>
    </w:p>
  </w:footnote>
  <w:footnote w:id="3054">
    <w:p w14:paraId="7B6E0F9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ומ"מ כולי עלמא מודי דחיוב ליכא.</w:t>
      </w:r>
    </w:p>
  </w:footnote>
  <w:footnote w:id="3055">
    <w:p w14:paraId="4858797B"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דאז אפי' למ"ד פ"ר דלא ניחא ליה אסור - מ"מ הכא שרי, משום דסוחט משקין תולדה דדש היא ואינו אסור אלא כשהמשקין היוצאין אינן הולכים לאיבוד (מ"מ רשב"א וריב"ש), והר"ן כ' דמ"מ אסור מדרבנן </w:t>
      </w:r>
      <w:r w:rsidRPr="008C1C8E">
        <w:rPr>
          <w:rFonts w:asciiTheme="minorBidi" w:hAnsiTheme="minorBidi"/>
          <w:sz w:val="16"/>
          <w:szCs w:val="16"/>
          <w:rtl/>
        </w:rPr>
        <w:t>(כיון דסחיט משקין שדרך לסוחטן)</w:t>
      </w:r>
      <w:r w:rsidRPr="008C1C8E">
        <w:rPr>
          <w:rFonts w:asciiTheme="minorBidi" w:hAnsiTheme="minorBidi"/>
          <w:rtl/>
        </w:rPr>
        <w:t>, ע"פ מג"א (סקכ"ג).</w:t>
      </w:r>
    </w:p>
  </w:footnote>
  <w:footnote w:id="3056">
    <w:p w14:paraId="05393FE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שהחרדל נתון בה להסתנן, וקולטת את הפסולת, ואף הביצה החלמון שלה נוטף ומסתנן עמו, והוה ליה לחרדל למראה והחלבון שהוא קשור נשאר למעלה, ורבינו הלוי פירש: סינונה של ביצה לתוך תבשיל היא, ולא לתוך חרדל, ובמסננת של חרדל הוא דשרי משום שינוי, ויורד לתוך הקערה שהוא כלי שני, ומתלבן התבשיל, רש"י.</w:t>
      </w:r>
    </w:p>
  </w:footnote>
  <w:footnote w:id="3057">
    <w:p w14:paraId="00560B38"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למראה, שהחלמון יפה לגוון ולא החלבון, הלכך אידי ואידי אוכל הוא, ואין כאן ברירת פסולת מאוכל, רש"י.</w:t>
      </w:r>
    </w:p>
  </w:footnote>
  <w:footnote w:id="3058">
    <w:p w14:paraId="0F5825B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כהחולקים בסע' יח </w:t>
      </w:r>
      <w:r w:rsidRPr="008C1C8E">
        <w:rPr>
          <w:rFonts w:asciiTheme="minorBidi" w:hAnsiTheme="minorBidi"/>
          <w:sz w:val="16"/>
          <w:szCs w:val="16"/>
          <w:rtl/>
        </w:rPr>
        <w:t>(שסוברים דפ"ר דלנ"ל אסור)</w:t>
      </w:r>
      <w:r w:rsidRPr="008C1C8E">
        <w:rPr>
          <w:rFonts w:asciiTheme="minorBidi" w:hAnsiTheme="minorBidi"/>
          <w:rtl/>
        </w:rPr>
        <w:t xml:space="preserve">, גר"א (סקל"א). </w:t>
      </w:r>
    </w:p>
  </w:footnote>
  <w:footnote w:id="3059">
    <w:p w14:paraId="43AB6D4A"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ואע"ג דצובע פניו וידיו- ליכא למיחש דאין צביעה אלא בדבר שדרכו לצבוע, (ש"א בשם רא"ם), ונ"ל דבבגד אדום כ"ש דאסור לקנחו דמתקן הוא, מג"א (סקכ"ה). </w:t>
      </w:r>
      <w:r w:rsidRPr="008C1C8E">
        <w:rPr>
          <w:rFonts w:asciiTheme="minorBidi" w:hAnsiTheme="minorBidi"/>
          <w:sz w:val="16"/>
          <w:szCs w:val="16"/>
          <w:rtl/>
        </w:rPr>
        <w:t xml:space="preserve"> </w:t>
      </w:r>
    </w:p>
  </w:footnote>
  <w:footnote w:id="3060">
    <w:p w14:paraId="228C963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ונראה דאף לדעת המחמירים אין להחמיר במפיות נייר חד"פ וכדו' משום דליכא למיחש אלא בדבר שדרכו לצבוע </w:t>
      </w:r>
      <w:r w:rsidRPr="008C1C8E">
        <w:rPr>
          <w:rFonts w:asciiTheme="minorBidi" w:hAnsiTheme="minorBidi"/>
          <w:sz w:val="16"/>
          <w:szCs w:val="16"/>
          <w:rtl/>
        </w:rPr>
        <w:t>(ש"א בשם רא"ם הובא במג"א)</w:t>
      </w:r>
      <w:r w:rsidRPr="008C1C8E">
        <w:rPr>
          <w:rFonts w:asciiTheme="minorBidi" w:hAnsiTheme="minorBidi"/>
          <w:rtl/>
        </w:rPr>
        <w:t>, ומפיות אילו אין דרך שום אדם (פרטי) לצובען.</w:t>
      </w:r>
    </w:p>
  </w:footnote>
  <w:footnote w:id="3061">
    <w:p w14:paraId="066C5A49"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מיני עשבים.</w:t>
      </w:r>
    </w:p>
  </w:footnote>
  <w:footnote w:id="3062">
    <w:p w14:paraId="05D057D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לייבשן, רש"י.</w:t>
      </w:r>
    </w:p>
  </w:footnote>
  <w:footnote w:id="3063">
    <w:p w14:paraId="24C7C614"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כדרך חול, כדאמרן (שבת עד:) האי מאן דפרים סילקא - דמי לטוחן, רש"י.</w:t>
      </w:r>
    </w:p>
  </w:footnote>
  <w:footnote w:id="3064">
    <w:p w14:paraId="1F06AC5C"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כגון אם בא לאכול הזרע, מולל השרביטין שהזרע בתוכם, רש"י (סוף ד"ה שלא יקטום).</w:t>
      </w:r>
    </w:p>
  </w:footnote>
  <w:footnote w:id="3065">
    <w:p w14:paraId="5E0EF6A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רבנן מחמירי דבכולי ידיה אסור אלא בראשי אצבעותיו, רש"י.</w:t>
      </w:r>
    </w:p>
  </w:footnote>
  <w:footnote w:id="3066">
    <w:p w14:paraId="7F19251A"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וסתמא הוי כהכניסן למאכל בהמה (תוס'), מג"א (סק"א). והפרישה (אות א) כ'- "וממילא בסתם לפי הנוהג וההוה אם הוא לבהמה מותר וכן להיפך".</w:t>
      </w:r>
    </w:p>
  </w:footnote>
  <w:footnote w:id="3067">
    <w:p w14:paraId="02B15EBE"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ואם המרובים אסורים אף המועטים אסורים, ואם אלו מותרים אף אלו מותרין, ובגמרא מפרש דלחומרא אמר ר' יוסי דכולן לאיסור, מפני שהוא כמעבד מתקן את האוכל הנתון לתוכו כדי שיתקיים, רש"י. </w:t>
      </w:r>
    </w:p>
  </w:footnote>
  <w:footnote w:id="3068">
    <w:p w14:paraId="698C621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קודם שיתן המלח נותן שמן לתוך המלח בתחלה קודם שיתן המים, דהשמן מעכב שאין המלח מתערב יפה עם המים ומתיש את כחו מהיות מי מלח עזין, אבל לא יתן מים ומלח תחילה אפילו נותן שמן לבסוף דבשעה שנותן מים ומלח יחד הוא נראה כמעבד, רש"י.</w:t>
      </w:r>
    </w:p>
  </w:footnote>
  <w:footnote w:id="3069">
    <w:p w14:paraId="499BAF4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היינו מאי הילמי שאסור ומאי מי מלח שמותר.</w:t>
      </w:r>
    </w:p>
  </w:footnote>
  <w:footnote w:id="3070">
    <w:p w14:paraId="749FF3A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של דגים, רש"י. היינו, אסור מפני שנראה כעושה מורייס, רמב"ם</w:t>
      </w:r>
      <w:r w:rsidRPr="008C1C8E">
        <w:rPr>
          <w:rFonts w:asciiTheme="minorBidi" w:hAnsiTheme="minorBidi"/>
          <w:sz w:val="16"/>
          <w:szCs w:val="16"/>
          <w:rtl/>
        </w:rPr>
        <w:t xml:space="preserve"> (פכ"ב ה"י)</w:t>
      </w:r>
      <w:r w:rsidRPr="008C1C8E">
        <w:rPr>
          <w:rFonts w:asciiTheme="minorBidi" w:hAnsiTheme="minorBidi"/>
          <w:rtl/>
        </w:rPr>
        <w:t>.</w:t>
      </w:r>
      <w:r w:rsidRPr="008C1C8E">
        <w:rPr>
          <w:rFonts w:asciiTheme="minorBidi" w:hAnsiTheme="minorBidi"/>
          <w:sz w:val="16"/>
          <w:szCs w:val="16"/>
          <w:rtl/>
        </w:rPr>
        <w:t xml:space="preserve"> (עשיית המורייס היא נתנית קרבי דגים ששומנם רב, במים ומלח עד שקולטים את שומנם, ומטבל בזה פתו)</w:t>
      </w:r>
      <w:r w:rsidRPr="008C1C8E">
        <w:rPr>
          <w:rFonts w:asciiTheme="minorBidi" w:hAnsiTheme="minorBidi"/>
          <w:rtl/>
        </w:rPr>
        <w:t xml:space="preserve"> ונראה דסתם מורייס עבדי ליה לזמן מרובה לכבוש בו דגים ומשום דמיחזי ככובש כבשין אסור, והא פשיטא דמי מלח עזין דאסרינן אפילו במועטין אסור דאי דוקא במרובין מאי איריא עזין אפילו אינן עזין נמי וכ"כ הר"ן (לט. ד"ה הלכך), ב"י.</w:t>
      </w:r>
    </w:p>
  </w:footnote>
  <w:footnote w:id="3071">
    <w:p w14:paraId="37527A9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וה"ה בכל המשקין (הגהות סמ"ק), מג"א (סק"ג).</w:t>
      </w:r>
    </w:p>
  </w:footnote>
  <w:footnote w:id="3072">
    <w:p w14:paraId="72352274"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לצורך טיבול אותו סעודה (ר"ן), משמע דלצורך סעודה אחרת אפילו מעט אסור אפי' נותן שמן אסור, וכ"מ ס"ה, מג"א (סק"ד).</w:t>
      </w:r>
    </w:p>
  </w:footnote>
  <w:footnote w:id="3073">
    <w:p w14:paraId="7B77C029"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שלש וארבע חתיכות יחד שהמלח מעבדן ונעשין קשין והוי תיקון, רש"י. אך הרמב"ם (פכ"ב ה"י) כ' דאסור מפני שנראה ככובש כבשים בשבת והכובש אסור מפני שהוא כמבשל, וכ"כ בשו"ע.</w:t>
      </w:r>
    </w:p>
  </w:footnote>
  <w:footnote w:id="3074">
    <w:p w14:paraId="3C13E73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וכ"פ הרי"ף הרמב"ם והרא"ש, דשרי למלוח ביצה.</w:t>
      </w:r>
    </w:p>
  </w:footnote>
  <w:footnote w:id="3075">
    <w:p w14:paraId="62993E35"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צנון, בשבתא, ע"פ רש"י.</w:t>
      </w:r>
    </w:p>
  </w:footnote>
  <w:footnote w:id="3076">
    <w:p w14:paraId="2BF45750"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תילין גבוהים עיגול על עיגול, רש"י.</w:t>
      </w:r>
    </w:p>
  </w:footnote>
  <w:footnote w:id="3077">
    <w:p w14:paraId="57C66CA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שתים יחד, רש"י.</w:t>
      </w:r>
    </w:p>
  </w:footnote>
  <w:footnote w:id="3078">
    <w:p w14:paraId="724345A4"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בשעת אכילה מטבילנא ואכילנא, רש"י.</w:t>
      </w:r>
    </w:p>
  </w:footnote>
  <w:footnote w:id="3079">
    <w:p w14:paraId="19D391E7"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כשרוצה לקחת את הבשר עימו לדרך דאז מולחו הרבה אבל כשאוכלו בביתו מולחו מעט ואין זה דומה למליחת עור ע"מ לעבדו.</w:t>
      </w:r>
    </w:p>
  </w:footnote>
  <w:footnote w:id="3080">
    <w:p w14:paraId="29933955"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לאו דוקא צנון דה"ה כל דבר שצריך מליחה כגון בצלים ושומים ובהדיא כתב הרמב"ם צנון וכיוצא בו, ט"ז (סק"ב).</w:t>
      </w:r>
    </w:p>
  </w:footnote>
  <w:footnote w:id="3081">
    <w:p w14:paraId="100B2A4E"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היינו צריך שני תנאים כדי להתיר, האחד- שיטבל כל אחד בפנ"ע, והשני- שיאכל אותה תכף, ולא דוקא תכף אלא שעה מועטת שיזיע מעט. ולאו דוקא לטבל אלא מדינא היה אפשר להתיר אף למלוח חתיכה א' ולאוכלה מיד, אבל א"א למלוח חתיכה א' בלי שגם החתיכות שלידה יתמלחו, ט"ז </w:t>
      </w:r>
      <w:r w:rsidRPr="008C1C8E">
        <w:rPr>
          <w:rFonts w:asciiTheme="minorBidi" w:hAnsiTheme="minorBidi"/>
          <w:sz w:val="16"/>
          <w:szCs w:val="16"/>
          <w:rtl/>
        </w:rPr>
        <w:t>(סק"א)</w:t>
      </w:r>
      <w:r w:rsidRPr="008C1C8E">
        <w:rPr>
          <w:rFonts w:asciiTheme="minorBidi" w:hAnsiTheme="minorBidi"/>
          <w:rtl/>
        </w:rPr>
        <w:t xml:space="preserve">. וכן לפי טעמו של הרמב"ם שנראה ככובש כבשים אז בשכל חתיכה מונחת לבדה אין בזה משום כובש כבשים, אבל כל הפוסקים סוברין כרש"י דהטעם משום שהמלח מעבדן והוי תיקון א"כ אסור למלוח יותר מב' ואף בב' יש להחמיר והכי נהוג עלמא שלא למלחן כלל אלא מטביל כל א' במלח ואוכל, ב"ח (הובא במג"א סק"ו).  </w:t>
      </w:r>
    </w:p>
  </w:footnote>
  <w:footnote w:id="3082">
    <w:p w14:paraId="17629D3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מפני שאין דרך לעשות מהם כבשים (לבוש), ול"נ הטעם שאין המלח מועיל להם כ"כ, וכ"כ בתרוה"ד (סי' פ') על דגים ביו"ט, וכ"מ בגמרא (קח:) גבי צנון דהיכא דהמלח אין מועיל לו שרי, מג"א (סק"ה).</w:t>
      </w:r>
    </w:p>
  </w:footnote>
  <w:footnote w:id="3083">
    <w:p w14:paraId="4341BBC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כך משמע לו מל' רש"י סה"ת ומהאו"ז, וכ"כ ההגה"מ בשם האו"ז.</w:t>
      </w:r>
    </w:p>
  </w:footnote>
  <w:footnote w:id="3084">
    <w:p w14:paraId="4BCCF15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כשרוצה לקחת את הבשר עימו לדרך דאז מולחו הרבה אבל כשאוכלו בביתו מולחו מעט ואין זה דומה למליחת עור ע"מ לעבדו.</w:t>
      </w:r>
    </w:p>
  </w:footnote>
  <w:footnote w:id="3085">
    <w:p w14:paraId="72E4285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כיון דהמליחה מועלת הוי כצנון דנראה ככובש כבשים, מג"א (סק"ח). ומשמע אפילו כדי לאכלם לאלתר אסור, ט"ז (סק"ו).</w:t>
      </w:r>
    </w:p>
  </w:footnote>
  <w:footnote w:id="3086">
    <w:p w14:paraId="35EBE7CC"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לאו טוחן הוא אלא כלאחר יד, רש"י.</w:t>
      </w:r>
    </w:p>
  </w:footnote>
  <w:footnote w:id="3087">
    <w:p w14:paraId="3628497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שלא ברחים ושלא במדוכה, רש"י.</w:t>
      </w:r>
    </w:p>
  </w:footnote>
  <w:footnote w:id="3088">
    <w:p w14:paraId="0907A1A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אבל אסור לחתוך בסכין את הפלפלין, וה"ה לכל תבלין, מג"א </w:t>
      </w:r>
      <w:r w:rsidRPr="008C1C8E">
        <w:rPr>
          <w:rFonts w:asciiTheme="minorBidi" w:hAnsiTheme="minorBidi"/>
          <w:sz w:val="16"/>
          <w:szCs w:val="16"/>
          <w:rtl/>
        </w:rPr>
        <w:t>(סק"ט)</w:t>
      </w:r>
      <w:r w:rsidRPr="008C1C8E">
        <w:rPr>
          <w:rFonts w:asciiTheme="minorBidi" w:hAnsiTheme="minorBidi"/>
          <w:rtl/>
        </w:rPr>
        <w:t>.</w:t>
      </w:r>
    </w:p>
  </w:footnote>
  <w:footnote w:id="3089">
    <w:p w14:paraId="04D1DCD0"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של ים, היינו שנוצר כך בים (ע"י שכבה ועוד שכבה במשך השנים).</w:t>
      </w:r>
    </w:p>
  </w:footnote>
  <w:footnote w:id="3090">
    <w:p w14:paraId="0210DA2E"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ואף הסוברים דאין טחינה אחר טחינה</w:t>
      </w:r>
      <w:r w:rsidRPr="008C1C8E">
        <w:rPr>
          <w:rFonts w:asciiTheme="minorBidi" w:hAnsiTheme="minorBidi"/>
          <w:sz w:val="16"/>
          <w:szCs w:val="16"/>
          <w:rtl/>
        </w:rPr>
        <w:t xml:space="preserve"> (הר"ן) </w:t>
      </w:r>
      <w:r w:rsidRPr="008C1C8E">
        <w:rPr>
          <w:rFonts w:asciiTheme="minorBidi" w:hAnsiTheme="minorBidi"/>
          <w:rtl/>
        </w:rPr>
        <w:t xml:space="preserve">מודי דאם טחן דק דק עד אשר דק כדי לזרותו לרוח הוי תולדה דטוחן וחייב חטאת </w:t>
      </w:r>
      <w:r w:rsidRPr="008C1C8E">
        <w:rPr>
          <w:rFonts w:asciiTheme="minorBidi" w:hAnsiTheme="minorBidi"/>
          <w:sz w:val="16"/>
          <w:szCs w:val="16"/>
          <w:rtl/>
        </w:rPr>
        <w:t>(מדבר שם לעניין מי שמצא חמץ שצריך לבערו שאסור לו לטוחנו דק דק)</w:t>
      </w:r>
      <w:r w:rsidRPr="008C1C8E">
        <w:rPr>
          <w:rFonts w:asciiTheme="minorBidi" w:hAnsiTheme="minorBidi"/>
          <w:rtl/>
        </w:rPr>
        <w:t xml:space="preserve">, וכדמוכח מדברי התוס' שבת </w:t>
      </w:r>
      <w:r w:rsidRPr="008C1C8E">
        <w:rPr>
          <w:rFonts w:asciiTheme="minorBidi" w:hAnsiTheme="minorBidi"/>
          <w:sz w:val="16"/>
          <w:szCs w:val="16"/>
          <w:rtl/>
        </w:rPr>
        <w:t>(קיד:)</w:t>
      </w:r>
      <w:r w:rsidRPr="008C1C8E">
        <w:rPr>
          <w:rFonts w:asciiTheme="minorBidi" w:hAnsiTheme="minorBidi"/>
          <w:rtl/>
        </w:rPr>
        <w:t xml:space="preserve">, משל"מ </w:t>
      </w:r>
      <w:r w:rsidRPr="008C1C8E">
        <w:rPr>
          <w:rFonts w:asciiTheme="minorBidi" w:hAnsiTheme="minorBidi"/>
          <w:sz w:val="16"/>
          <w:szCs w:val="16"/>
          <w:rtl/>
        </w:rPr>
        <w:t>(הל' חמץ ומצה פ"א ה"ג, הובא בגליון מהרש"א סק"ג)</w:t>
      </w:r>
      <w:r w:rsidRPr="008C1C8E">
        <w:rPr>
          <w:rFonts w:asciiTheme="minorBidi" w:hAnsiTheme="minorBidi"/>
          <w:rtl/>
        </w:rPr>
        <w:t xml:space="preserve">. </w:t>
      </w:r>
    </w:p>
  </w:footnote>
  <w:footnote w:id="3091">
    <w:p w14:paraId="6A9662C1"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דמוכח שם דכל שהוא קשה ביותר מותר לחתכו, וכן משמע בגמ'</w:t>
      </w:r>
      <w:r w:rsidRPr="008C1C8E">
        <w:rPr>
          <w:rFonts w:asciiTheme="minorBidi" w:hAnsiTheme="minorBidi"/>
          <w:sz w:val="16"/>
          <w:szCs w:val="16"/>
          <w:rtl/>
        </w:rPr>
        <w:t xml:space="preserve"> (קנה.)</w:t>
      </w:r>
      <w:r w:rsidRPr="008C1C8E">
        <w:rPr>
          <w:rFonts w:asciiTheme="minorBidi" w:hAnsiTheme="minorBidi"/>
          <w:rtl/>
        </w:rPr>
        <w:t xml:space="preserve">, דלא כעולת שבת </w:t>
      </w:r>
      <w:r w:rsidRPr="008C1C8E">
        <w:rPr>
          <w:rFonts w:asciiTheme="minorBidi" w:hAnsiTheme="minorBidi"/>
          <w:sz w:val="16"/>
          <w:szCs w:val="16"/>
          <w:rtl/>
        </w:rPr>
        <w:t>(סקי"ג)</w:t>
      </w:r>
      <w:r w:rsidRPr="008C1C8E">
        <w:rPr>
          <w:rFonts w:asciiTheme="minorBidi" w:hAnsiTheme="minorBidi"/>
          <w:rtl/>
        </w:rPr>
        <w:t>, מג"א (סקי"א).</w:t>
      </w:r>
    </w:p>
  </w:footnote>
  <w:footnote w:id="3092">
    <w:p w14:paraId="265780B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בריב"ש הלשון הוא לגרוד, הגוה"ע.</w:t>
      </w:r>
    </w:p>
  </w:footnote>
  <w:footnote w:id="3093">
    <w:p w14:paraId="05F10CCD"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ואף ביו"ט אסור אם לא על ידי שינוי, דרכ"מ (אות ב*).</w:t>
      </w:r>
    </w:p>
  </w:footnote>
  <w:footnote w:id="3094">
    <w:p w14:paraId="0B84C9AD"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דכיון שהכלי מיוחד לכך הוי כשחיקת תבלין במכתשת דאסור (ריב"ש), וא"כ אפי' לאכול מיד אסור </w:t>
      </w:r>
      <w:r w:rsidRPr="008C1C8E">
        <w:rPr>
          <w:rFonts w:asciiTheme="minorBidi" w:hAnsiTheme="minorBidi"/>
          <w:sz w:val="16"/>
          <w:szCs w:val="16"/>
          <w:rtl/>
        </w:rPr>
        <w:t xml:space="preserve">(ואף להרשב"א שכ' דלאלתר מותר כמו בורר לאלתר היינו דוקא ביד כמו בורר או כלי שאינו מיוחד לכך אבל מורג חרוץ שמיוחד לכך הוי כמו נפה וכברה דאסור אפי' לאלתר, וכמ"ש בפלפלין (קמא.) דוקא בקתא דסכינא מותר בשבת, גר"א [סקי"ג]) </w:t>
      </w:r>
      <w:r w:rsidRPr="008C1C8E">
        <w:rPr>
          <w:rFonts w:asciiTheme="minorBidi" w:hAnsiTheme="minorBidi"/>
          <w:rtl/>
        </w:rPr>
        <w:t>ונ"ל דה"ה בכלי קטן מאד העשוי כזה אסור דעכ"פ כלי הוא אבל מותר לחתכו בסכין דק דק כמ"ש ס"ט, נ"ל דאפי' הוא קשה מאד שרי כיון דאי בעי לועסו בקושי, וה"ה דמותר לחתכו בקורדם או במגירה אע"פ שקשה קצת, דבר שאינו חפץ לאוכלו אסור ללועסו בשיניו משום טחינה, מג"א (סקי"ב).</w:t>
      </w:r>
    </w:p>
  </w:footnote>
  <w:footnote w:id="3095">
    <w:p w14:paraId="0039A3FB"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כיון דירקות הללו ראויות לאכילה ביומן מותר להשקותן כדרך שמותר לטלטלן, רשב"א (בתשו' סי' עג, הובא בב"י). וגם דבר שאסור לטלטלו מותר להשקותו רק שצריך שיהיה בו צורך היום כגון מת וחתיכה קטנה מקרקע מרוצפת, ע"פ מג"א (סקי"ג).</w:t>
      </w:r>
    </w:p>
  </w:footnote>
  <w:footnote w:id="3096">
    <w:p w14:paraId="3E547527"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w:t>
      </w:r>
      <w:r w:rsidRPr="008C1C8E">
        <w:rPr>
          <w:rFonts w:asciiTheme="minorBidi" w:hAnsiTheme="minorBidi"/>
          <w:u w:val="single"/>
          <w:rtl/>
        </w:rPr>
        <w:t>ובפירוש התיבה "פרים" נחלקו הפוסקים:</w:t>
      </w:r>
    </w:p>
    <w:p w14:paraId="491F3003" w14:textId="77777777" w:rsidR="006A4BF8" w:rsidRPr="008C1C8E" w:rsidRDefault="006A4BF8" w:rsidP="00FF2D21">
      <w:pPr>
        <w:pStyle w:val="a7"/>
        <w:numPr>
          <w:ilvl w:val="0"/>
          <w:numId w:val="37"/>
        </w:numPr>
        <w:rPr>
          <w:rFonts w:asciiTheme="minorBidi" w:hAnsiTheme="minorBidi"/>
        </w:rPr>
      </w:pPr>
      <w:r w:rsidRPr="008C1C8E">
        <w:rPr>
          <w:rFonts w:asciiTheme="minorBidi" w:hAnsiTheme="minorBidi"/>
          <w:rtl/>
        </w:rPr>
        <w:t>רש"י תוס' רמב"ם סמ"ג</w:t>
      </w:r>
      <w:r w:rsidRPr="008C1C8E">
        <w:rPr>
          <w:rFonts w:asciiTheme="minorBidi" w:hAnsiTheme="minorBidi"/>
          <w:sz w:val="14"/>
          <w:szCs w:val="14"/>
          <w:rtl/>
        </w:rPr>
        <w:t xml:space="preserve"> (סי' סה)</w:t>
      </w:r>
      <w:r w:rsidRPr="008C1C8E">
        <w:rPr>
          <w:rFonts w:asciiTheme="minorBidi" w:hAnsiTheme="minorBidi"/>
          <w:rtl/>
        </w:rPr>
        <w:t xml:space="preserve"> רשב"א ר"ן וטור- חיתוך לחתיכות קטנות. (והרמב"ם הכניס תחת גדר זה גם ריסוק, וכ"כ רש"י בדף קנה ע"א ד"ה אין מרסקין- אין מחתכין)</w:t>
      </w:r>
    </w:p>
    <w:p w14:paraId="4C81B8F5" w14:textId="77777777" w:rsidR="006A4BF8" w:rsidRPr="008C1C8E" w:rsidRDefault="006A4BF8" w:rsidP="00FF2D21">
      <w:pPr>
        <w:pStyle w:val="a7"/>
        <w:numPr>
          <w:ilvl w:val="0"/>
          <w:numId w:val="37"/>
        </w:numPr>
        <w:rPr>
          <w:rFonts w:asciiTheme="minorBidi" w:hAnsiTheme="minorBidi"/>
        </w:rPr>
      </w:pPr>
      <w:r w:rsidRPr="008C1C8E">
        <w:rPr>
          <w:rFonts w:asciiTheme="minorBidi" w:hAnsiTheme="minorBidi"/>
          <w:rtl/>
        </w:rPr>
        <w:t xml:space="preserve">ערוך ור"ח- כתישה. (רק שהערוך הביא "יש מי שאומר" שגורסים "פריס" מלשון פרוסה) </w:t>
      </w:r>
    </w:p>
    <w:p w14:paraId="27A16EFD" w14:textId="77777777" w:rsidR="006A4BF8" w:rsidRPr="008C1C8E" w:rsidRDefault="006A4BF8" w:rsidP="00FF2D21">
      <w:pPr>
        <w:pStyle w:val="a7"/>
        <w:numPr>
          <w:ilvl w:val="0"/>
          <w:numId w:val="37"/>
        </w:numPr>
        <w:rPr>
          <w:rFonts w:asciiTheme="minorBidi" w:hAnsiTheme="minorBidi"/>
        </w:rPr>
      </w:pPr>
      <w:r w:rsidRPr="008C1C8E">
        <w:rPr>
          <w:rFonts w:asciiTheme="minorBidi" w:hAnsiTheme="minorBidi"/>
          <w:rtl/>
        </w:rPr>
        <w:t>רא"ש</w:t>
      </w:r>
      <w:r w:rsidRPr="008C1C8E">
        <w:rPr>
          <w:rFonts w:asciiTheme="minorBidi" w:hAnsiTheme="minorBidi"/>
          <w:sz w:val="16"/>
          <w:szCs w:val="16"/>
          <w:rtl/>
        </w:rPr>
        <w:t xml:space="preserve"> (סי' ה)</w:t>
      </w:r>
      <w:r w:rsidRPr="008C1C8E">
        <w:rPr>
          <w:rFonts w:asciiTheme="minorBidi" w:hAnsiTheme="minorBidi"/>
          <w:rtl/>
        </w:rPr>
        <w:t>- כשמפרק את נימי הדקל יוצא מביניהם כמו קמח דק לפיכך המנפצו חייב משום טוחן. (והרא"ש כ' שכן פירש ר"ח, אך לפנינו נמצא פירוש זה בר"ח גבי סלית סילתי, ועי' קרבן נתנאל אות ח)</w:t>
      </w:r>
    </w:p>
  </w:footnote>
  <w:footnote w:id="3097">
    <w:p w14:paraId="772BAD8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רש"י פירש (דמחתך,</w:t>
      </w:r>
      <w:r w:rsidRPr="008C1C8E">
        <w:rPr>
          <w:rFonts w:asciiTheme="minorBidi" w:hAnsiTheme="minorBidi"/>
          <w:sz w:val="16"/>
          <w:szCs w:val="16"/>
          <w:rtl/>
        </w:rPr>
        <w:t xml:space="preserve"> הוספה של השלט"ג</w:t>
      </w:r>
      <w:r w:rsidRPr="008C1C8E">
        <w:rPr>
          <w:rFonts w:asciiTheme="minorBidi" w:hAnsiTheme="minorBidi"/>
          <w:rtl/>
        </w:rPr>
        <w:t xml:space="preserve">) עצים דקים להבעיר אש. ר"ח ורי"ף פירשו שאלו עצי דקלים שעומדין שיבי שיבי </w:t>
      </w:r>
      <w:r w:rsidRPr="008C1C8E">
        <w:rPr>
          <w:rFonts w:asciiTheme="minorBidi" w:hAnsiTheme="minorBidi"/>
          <w:sz w:val="16"/>
          <w:szCs w:val="16"/>
          <w:rtl/>
        </w:rPr>
        <w:t xml:space="preserve">(פירוש נימין נימין) </w:t>
      </w:r>
      <w:r w:rsidRPr="008C1C8E">
        <w:rPr>
          <w:rFonts w:asciiTheme="minorBidi" w:hAnsiTheme="minorBidi"/>
          <w:rtl/>
        </w:rPr>
        <w:t>וכשמפרק אותן הנימין יוצא מביניהן כמין קמח דק ומתוך כך נחשב כטוחן. וסמ"ג פירש שמנסר עצים להנות מהנסורת.</w:t>
      </w:r>
    </w:p>
  </w:footnote>
  <w:footnote w:id="3098">
    <w:p w14:paraId="7F2EAA2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ובמנחת בכורים שם- אם כבר נמלל ונאפה ונעשה חתיכה אחת מותר לחזור ולמלול בשבת, דאין טוחן אחר טוחן.</w:t>
      </w:r>
    </w:p>
  </w:footnote>
  <w:footnote w:id="3099">
    <w:p w14:paraId="3C43D299"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ודוקא שמחתכו לחתיכות דקות ביותר, אבל סתם חתיכות דקות שרי, ב"י.</w:t>
      </w:r>
    </w:p>
  </w:footnote>
  <w:footnote w:id="3100">
    <w:p w14:paraId="10F30570"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מה שכ' כאן "לחתוך" אינו מדוקדק, דהא קתני בתוספתא אין מרסקים גרוגרות וכו' אבל מרסק הוא ביד של סכין. ואי אמרינן דמרסק היינו חותך קשה היאך אפשר לחתוך ביד של סכין, לכן נ"ל דמרסק היינו כותש בקורה </w:t>
      </w:r>
      <w:r w:rsidRPr="008C1C8E">
        <w:rPr>
          <w:rFonts w:asciiTheme="minorBidi" w:hAnsiTheme="minorBidi"/>
          <w:sz w:val="16"/>
          <w:szCs w:val="16"/>
          <w:rtl/>
        </w:rPr>
        <w:t>(כמש"כ סי' שכ ס"ב)</w:t>
      </w:r>
      <w:r w:rsidRPr="008C1C8E">
        <w:rPr>
          <w:rFonts w:asciiTheme="minorBidi" w:hAnsiTheme="minorBidi"/>
          <w:rtl/>
        </w:rPr>
        <w:t xml:space="preserve"> דאסור אלא מרסקו ביד של סכין, וכן קתני בתוספתא ברישא גבי מלח ע"ש</w:t>
      </w:r>
      <w:r w:rsidRPr="008C1C8E">
        <w:rPr>
          <w:rFonts w:asciiTheme="minorBidi" w:hAnsiTheme="minorBidi"/>
          <w:sz w:val="16"/>
          <w:szCs w:val="16"/>
          <w:rtl/>
        </w:rPr>
        <w:t xml:space="preserve"> (וכמו שכתוב ס"ח)</w:t>
      </w:r>
      <w:r w:rsidRPr="008C1C8E">
        <w:rPr>
          <w:rFonts w:asciiTheme="minorBidi" w:hAnsiTheme="minorBidi"/>
          <w:rtl/>
        </w:rPr>
        <w:t>, ומ"מ נ"ל שהדין אמת דאסור לחתוך גרוגרת כיון שהוא גידולי קרקע</w:t>
      </w:r>
      <w:r w:rsidRPr="008C1C8E">
        <w:rPr>
          <w:rFonts w:asciiTheme="minorBidi" w:hAnsiTheme="minorBidi"/>
          <w:sz w:val="16"/>
          <w:szCs w:val="16"/>
          <w:rtl/>
        </w:rPr>
        <w:t xml:space="preserve"> (וכמו שכתבתי סק"י)</w:t>
      </w:r>
      <w:r w:rsidRPr="008C1C8E">
        <w:rPr>
          <w:rFonts w:asciiTheme="minorBidi" w:hAnsiTheme="minorBidi"/>
          <w:rtl/>
        </w:rPr>
        <w:t xml:space="preserve"> ומשמע דלפני מי שיכול ללועסו כך שרי, ע"פ מג"א (סקי"ד). (אך הגר"א </w:t>
      </w:r>
      <w:r w:rsidRPr="008C1C8E">
        <w:rPr>
          <w:rFonts w:asciiTheme="minorBidi" w:hAnsiTheme="minorBidi"/>
          <w:sz w:val="16"/>
          <w:szCs w:val="16"/>
          <w:rtl/>
        </w:rPr>
        <w:t xml:space="preserve">[סקט"ו] </w:t>
      </w:r>
      <w:r w:rsidRPr="008C1C8E">
        <w:rPr>
          <w:rFonts w:asciiTheme="minorBidi" w:hAnsiTheme="minorBidi"/>
          <w:rtl/>
        </w:rPr>
        <w:t>כ' שבחינם נדחק המג"א לפרש כך, אלא פירוש מרסקין הוא מחתכין, וכדפירש הרמב"ם</w:t>
      </w:r>
      <w:r w:rsidRPr="008C1C8E">
        <w:rPr>
          <w:rFonts w:asciiTheme="minorBidi" w:hAnsiTheme="minorBidi"/>
          <w:sz w:val="16"/>
          <w:szCs w:val="16"/>
          <w:rtl/>
        </w:rPr>
        <w:t xml:space="preserve"> [פכ"א הי"ח]</w:t>
      </w:r>
      <w:r w:rsidRPr="008C1C8E">
        <w:rPr>
          <w:rFonts w:asciiTheme="minorBidi" w:hAnsiTheme="minorBidi"/>
          <w:rtl/>
        </w:rPr>
        <w:t xml:space="preserve"> ורש"י </w:t>
      </w:r>
      <w:r w:rsidRPr="008C1C8E">
        <w:rPr>
          <w:rFonts w:asciiTheme="minorBidi" w:hAnsiTheme="minorBidi"/>
          <w:sz w:val="16"/>
          <w:szCs w:val="16"/>
          <w:rtl/>
        </w:rPr>
        <w:t>[קנה ע"א ד"ה אין מרסקין]</w:t>
      </w:r>
      <w:r w:rsidRPr="008C1C8E">
        <w:rPr>
          <w:rFonts w:asciiTheme="minorBidi" w:hAnsiTheme="minorBidi"/>
          <w:rtl/>
        </w:rPr>
        <w:t>)</w:t>
      </w:r>
    </w:p>
  </w:footnote>
  <w:footnote w:id="3101">
    <w:p w14:paraId="56244299"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תוספתא, וכ"כ רבנו יוסף בשם רשב"ם רא"ם סמ"ג או"ז רשב"א ר"ן ועוד.</w:t>
      </w:r>
    </w:p>
  </w:footnote>
  <w:footnote w:id="3102">
    <w:p w14:paraId="481BC82A"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או שהתרנגולים יאכלו מיד שרי לחתוך (ר"ן) שלא אסרו על האדם לאכול מאכלו בחתיכות גדולות או קטנות א"כ הוי דרך אכילתו בכך (ב"י) ובשלט"ג מפקפק על היתר זה, וגם הרב"י כ' ליזהר לחתוך לחתיכות גדולות קצת, אבל במדינתנו נהגו לחתוך הצנון דק דק מאד ויש להם על מי שיסמוכו, ועכ"פ אסור לעשות עד יציאת ביה"כ דבעינן סמוך לסעודה ממש, מג"א (סקט"ו).</w:t>
      </w:r>
    </w:p>
  </w:footnote>
  <w:footnote w:id="3103">
    <w:p w14:paraId="6CDAD244"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בשם הרשב"א ותוס', וכן מורה לשון הרמב"ם.</w:t>
      </w:r>
    </w:p>
  </w:footnote>
  <w:footnote w:id="3104">
    <w:p w14:paraId="21C160D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יכול לרדות החלות מהכורת כדי לאכול הדבש הדבוק על גביהם מסביב או לסחטו לתוך האוכל אבל הדבש היוצא מעצמו אסור כיון שלא נתרסקו מבעו"י אלא רק נתלשו </w:t>
      </w:r>
      <w:r w:rsidRPr="008C1C8E">
        <w:rPr>
          <w:rFonts w:asciiTheme="minorBidi" w:hAnsiTheme="minorBidi"/>
          <w:sz w:val="16"/>
          <w:szCs w:val="16"/>
          <w:rtl/>
        </w:rPr>
        <w:t>(דאז אין ודאות שיהיה דבש שיצוף במהלך השבת ולכן אין זה כנהרות המושכין ואסור, והא דצריך לרסקם כדי שיצוף הדבש – כן משמע בגמ' קמג ע"ב דבעי ריסוק, וכמש"כ סי' ש"כ ס"ב בזיתים וענבים, וכ"כ הרמב"ם פכ"א הט"ז)</w:t>
      </w:r>
      <w:r w:rsidRPr="008C1C8E">
        <w:rPr>
          <w:rFonts w:asciiTheme="minorBidi" w:hAnsiTheme="minorBidi"/>
          <w:rtl/>
        </w:rPr>
        <w:t xml:space="preserve"> אבל אם התרסקו מבעו"י מותר רק הדבש שיצא מעצמו</w:t>
      </w:r>
      <w:r w:rsidRPr="008C1C8E">
        <w:rPr>
          <w:rFonts w:asciiTheme="minorBidi" w:hAnsiTheme="minorBidi"/>
          <w:sz w:val="16"/>
          <w:szCs w:val="16"/>
          <w:rtl/>
        </w:rPr>
        <w:t xml:space="preserve"> (ולכאורה היה גם מותר לסחוט הדבש מהחלות לתוך אוכל אבל במציאות זה לא אפשרי מכיון שלא נתלשו מבעו"י אז אסור להוציא את החלות מהכורת בשבת ואיך יסחטן לתוך האוכל?)</w:t>
      </w:r>
      <w:r w:rsidRPr="008C1C8E">
        <w:rPr>
          <w:rFonts w:asciiTheme="minorBidi" w:hAnsiTheme="minorBidi"/>
          <w:rtl/>
        </w:rPr>
        <w:t>, מג"א (סקט"ז, על פי מחצה"ש).</w:t>
      </w:r>
    </w:p>
  </w:footnote>
  <w:footnote w:id="3105">
    <w:p w14:paraId="12AC9509" w14:textId="77777777" w:rsidR="006A4BF8" w:rsidRPr="008C1C8E" w:rsidRDefault="006A4BF8" w:rsidP="00285819">
      <w:pPr>
        <w:spacing w:after="0" w:line="240" w:lineRule="auto"/>
        <w:rPr>
          <w:rFonts w:asciiTheme="minorBidi" w:hAnsiTheme="minorBidi"/>
          <w:sz w:val="20"/>
          <w:szCs w:val="20"/>
        </w:rPr>
      </w:pPr>
      <w:r w:rsidRPr="008C1C8E">
        <w:rPr>
          <w:rStyle w:val="a9"/>
          <w:rFonts w:asciiTheme="minorBidi" w:hAnsiTheme="minorBidi"/>
          <w:sz w:val="20"/>
          <w:szCs w:val="20"/>
        </w:rPr>
        <w:footnoteRef/>
      </w:r>
      <w:r w:rsidRPr="008C1C8E">
        <w:rPr>
          <w:rFonts w:asciiTheme="minorBidi" w:hAnsiTheme="minorBidi"/>
          <w:sz w:val="20"/>
          <w:szCs w:val="20"/>
          <w:rtl/>
        </w:rPr>
        <w:t xml:space="preserve"> קמח של תבואה שנתייבשה כשהן קליות בתנור, ואותו קמח לעולם מתוק, והוא קמחא דאבשונא, ועושין ממנו שתיתא משמן ומים ומלח שמערבין בו, רש"י.</w:t>
      </w:r>
    </w:p>
  </w:footnote>
  <w:footnote w:id="3106">
    <w:p w14:paraId="01DE42F4"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דאי רבי, לא מהני ליה שינוי, דמנתינת מים מיחייב אפילו במידי דלאו בר גיבול כדאמרינן גבי מורסן, אבל לר' יוסי בר יהודה דאמר עד שיגבל- הכא גובלין כלאחר יד</w:t>
      </w:r>
      <w:r w:rsidRPr="008C1C8E">
        <w:rPr>
          <w:rFonts w:asciiTheme="minorBidi" w:hAnsiTheme="minorBidi"/>
          <w:sz w:val="16"/>
          <w:szCs w:val="16"/>
          <w:rtl/>
        </w:rPr>
        <w:t xml:space="preserve"> (היינו מעט מעט, ערוך ר"ח רי"ף רמב"ן וכן מפרשים את כוונת רש"י)</w:t>
      </w:r>
      <w:r w:rsidRPr="008C1C8E">
        <w:rPr>
          <w:rFonts w:asciiTheme="minorBidi" w:hAnsiTheme="minorBidi"/>
          <w:rtl/>
        </w:rPr>
        <w:t xml:space="preserve"> כדמפרש ואזיל, והני מילי הוא דקא משני, רש"י.</w:t>
      </w:r>
    </w:p>
  </w:footnote>
  <w:footnote w:id="3107">
    <w:p w14:paraId="46BB457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בתרווד, דהיינו גובלין, רש"י.</w:t>
      </w:r>
    </w:p>
  </w:footnote>
  <w:footnote w:id="3108">
    <w:p w14:paraId="196489E7"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אין גובלין, ברכה בוחשין שאין זו לישה, רש"י.</w:t>
      </w:r>
    </w:p>
  </w:footnote>
  <w:footnote w:id="3109">
    <w:p w14:paraId="410B18B7"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שהלכה כמותו, דאילו לרבי </w:t>
      </w:r>
      <w:r w:rsidRPr="008C1C8E">
        <w:rPr>
          <w:rFonts w:asciiTheme="minorBidi" w:hAnsiTheme="minorBidi"/>
          <w:sz w:val="16"/>
          <w:szCs w:val="16"/>
          <w:rtl/>
        </w:rPr>
        <w:t xml:space="preserve">(בר פלוגתיה של ר' יוסי בר יהודה) </w:t>
      </w:r>
      <w:r w:rsidRPr="008C1C8E">
        <w:rPr>
          <w:rFonts w:asciiTheme="minorBidi" w:hAnsiTheme="minorBidi"/>
          <w:rtl/>
        </w:rPr>
        <w:t>אסור לגבל גם קלי ואפי' מעט מעט, דסבר שכל דבר שהוא בר גיבול אז אפי' נתנית מים הוי גיבול, ור' יוסי בר יהודה סובר שאין נתנית מים חשיב גיבול ואינו אסור עד שיגבל את הבצק ממש.</w:t>
      </w:r>
    </w:p>
  </w:footnote>
  <w:footnote w:id="3110">
    <w:p w14:paraId="61C00E5A"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לד' רש"י רמב"ן רשב"א ור"ן היינו קלי היינו שתית, לכן דין גיבול בלילה עבה של שתית כדין גיבול קלי, אך לד' הרמב"ם שתית היא תבואה שלא הביאה שליש שקלו אותה ואח"כ טחנו אותה טחינה גסה שהרי היא כחול, ומה שהתירו בגמ' קמח קלי לאו היינו בלילה עבה של שתית, אלא בלילה עבה של שתית אסור לגבל אפי' מעט מעט, </w:t>
      </w:r>
      <w:r w:rsidRPr="008C1C8E">
        <w:rPr>
          <w:rFonts w:asciiTheme="minorBidi" w:hAnsiTheme="minorBidi"/>
          <w:color w:val="E36C0A" w:themeColor="accent6" w:themeShade="BF"/>
          <w:rtl/>
        </w:rPr>
        <w:t>וכ"פ השו"ע.</w:t>
      </w:r>
      <w:r w:rsidRPr="008C1C8E">
        <w:rPr>
          <w:rFonts w:asciiTheme="minorBidi" w:hAnsiTheme="minorBidi"/>
          <w:rtl/>
        </w:rPr>
        <w:t xml:space="preserve"> ונראה שהרמב"ם אינו גורס "והא אמרת אין גובלין" אלא- "והא תניא אין גובלין", הה"מ.</w:t>
      </w:r>
    </w:p>
  </w:footnote>
  <w:footnote w:id="3111">
    <w:p w14:paraId="1FF385CA"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שבזה אפילו מעט מעט אסור, ע"פ מג"א (סקי"ז).</w:t>
      </w:r>
    </w:p>
  </w:footnote>
  <w:footnote w:id="3112">
    <w:p w14:paraId="5C6049D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דס"ל דנותן מים לקמח אינו חייב עד שיגבל, ולפיכך הכא כי משני בגיבול שרי כיון דלאו בר גיבול הוא, מג"א (סקי"ח).</w:t>
      </w:r>
    </w:p>
  </w:footnote>
  <w:footnote w:id="3113">
    <w:p w14:paraId="74FE4E97"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הרמב"ם לשיטתיה אזיל שאין גיבול באפר ולא בחול הגס ולא במורסן ולא בכיוצא בהן. נ"ל דאסור להשתין על טיט משום גיבול, מג"א (סקי"ט).</w:t>
      </w:r>
      <w:r w:rsidRPr="008C1C8E">
        <w:rPr>
          <w:rFonts w:asciiTheme="minorBidi" w:hAnsiTheme="minorBidi"/>
          <w:sz w:val="16"/>
          <w:szCs w:val="16"/>
          <w:rtl/>
        </w:rPr>
        <w:t xml:space="preserve"> (במחצה"ש כ' שהמג"א פסק כך משום שחשש לפוסקים כרבי, והא"א נתן טעם להחמרתו שהוא משום שיכול להגיע לאיסור גיבול מדאו')</w:t>
      </w:r>
    </w:p>
  </w:footnote>
  <w:footnote w:id="3114">
    <w:p w14:paraId="5B19F69B" w14:textId="77777777" w:rsidR="006A4BF8" w:rsidRPr="008C1C8E" w:rsidRDefault="006A4BF8" w:rsidP="00285819">
      <w:pPr>
        <w:pStyle w:val="a7"/>
        <w:rPr>
          <w:rFonts w:asciiTheme="minorBidi" w:hAnsiTheme="minorBidi"/>
          <w:color w:val="FF0000"/>
          <w:rtl/>
        </w:rPr>
      </w:pPr>
      <w:r w:rsidRPr="008C1C8E">
        <w:rPr>
          <w:rStyle w:val="a9"/>
          <w:rFonts w:asciiTheme="minorBidi" w:hAnsiTheme="minorBidi"/>
        </w:rPr>
        <w:footnoteRef/>
      </w:r>
      <w:r w:rsidRPr="008C1C8E">
        <w:rPr>
          <w:rFonts w:asciiTheme="minorBidi" w:hAnsiTheme="minorBidi"/>
          <w:rtl/>
        </w:rPr>
        <w:t xml:space="preserve"> כ' רבי יאשיה דוקא שום ושחליים התרנו בריסוק ושחיקה מער"ש ליתן לתוכו יין או חומץ וגריסין אבל בחרדל לא סגי ליה ריסוק לחוד אלא בעינן שילושהו מבערב שלישתו היא חשובה, שבה"ל</w:t>
      </w:r>
      <w:r w:rsidRPr="008C1C8E">
        <w:rPr>
          <w:rFonts w:asciiTheme="minorBidi" w:hAnsiTheme="minorBidi"/>
          <w:sz w:val="16"/>
          <w:szCs w:val="16"/>
          <w:rtl/>
        </w:rPr>
        <w:t xml:space="preserve"> (סי' פט, הביאו הב"י)</w:t>
      </w:r>
      <w:r w:rsidRPr="008C1C8E">
        <w:rPr>
          <w:rFonts w:asciiTheme="minorBidi" w:hAnsiTheme="minorBidi"/>
          <w:rtl/>
        </w:rPr>
        <w:t xml:space="preserve">. </w:t>
      </w:r>
      <w:r w:rsidRPr="008C1C8E">
        <w:rPr>
          <w:rFonts w:asciiTheme="minorBidi" w:hAnsiTheme="minorBidi"/>
          <w:color w:val="FF0000"/>
          <w:rtl/>
        </w:rPr>
        <w:t>צ"ע אם כולם מסכימים לזה.</w:t>
      </w:r>
    </w:p>
  </w:footnote>
  <w:footnote w:id="3115">
    <w:p w14:paraId="122AFF2E"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עבדי אדוני טחין סביבות כסוי פי התנור בטיט, שלא יצא חומו כשהצלי בתוכו, שהרוח קשה לצלי, ותימה לן מלתא, משום דגבול טיט תולדה דלישה הוא, רש"י.</w:t>
      </w:r>
    </w:p>
  </w:footnote>
  <w:footnote w:id="3116">
    <w:p w14:paraId="168C4F9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על שפתו של פרת אנו נסמכים בדבר, שאין אנו צריכים לגבל טיט, ששפת פרת טיט מגובל הוא, רש"י.</w:t>
      </w:r>
    </w:p>
  </w:footnote>
  <w:footnote w:id="3117">
    <w:p w14:paraId="1FD54EE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עשה בו סימן, ונתקו לצד אחר, רש"י.</w:t>
      </w:r>
    </w:p>
  </w:footnote>
  <w:footnote w:id="3118">
    <w:p w14:paraId="5541F7D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לגבלו ולטוח בו, דלאו בר גבול הוא, רש"י. אך התוס' (שם ד"ה אבל) פירשו ששורק פי התנור באפר לבד בלי מים.</w:t>
      </w:r>
    </w:p>
  </w:footnote>
  <w:footnote w:id="3119">
    <w:p w14:paraId="5ECD1AB0"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לרש"י לתו"ס ולרי"ד יש פירושים שונים על קטע זה בגמרא, ומ"מ המסקנה שלהם רשומה לקמן. </w:t>
      </w:r>
    </w:p>
  </w:footnote>
  <w:footnote w:id="3120">
    <w:p w14:paraId="0FED16FF"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דישטיפדי"ר (להמס) בלעז במים או ביין, רש"י.</w:t>
      </w:r>
    </w:p>
  </w:footnote>
  <w:footnote w:id="3121">
    <w:p w14:paraId="1597FA19"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שזהו כדרכו.</w:t>
      </w:r>
    </w:p>
  </w:footnote>
  <w:footnote w:id="3122">
    <w:p w14:paraId="0262532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שזהו שינוי, שביד נמחה יותר טוב מבכלי.</w:t>
      </w:r>
    </w:p>
  </w:footnote>
  <w:footnote w:id="3123">
    <w:p w14:paraId="111D7A6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כדרך שטורפין ביצים בקערה בכף, דרך טריפה שמכה בכח, רש"י.</w:t>
      </w:r>
    </w:p>
  </w:footnote>
  <w:footnote w:id="3124">
    <w:p w14:paraId="32ED9CD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נותן, רש"י.</w:t>
      </w:r>
    </w:p>
  </w:footnote>
  <w:footnote w:id="3125">
    <w:p w14:paraId="60A678EF"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מינט"א (צמח המנתה נענע) בלעז, רש"י.</w:t>
      </w:r>
    </w:p>
  </w:footnote>
  <w:footnote w:id="3126">
    <w:p w14:paraId="06BD7695"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אבל אם נתן המשקה מער"ש מערבו בכף לדעת הי"א (מרדכי או"ז ואפשר שגם תרוה"ד), מג"א (סקכ"א).</w:t>
      </w:r>
    </w:p>
  </w:footnote>
  <w:footnote w:id="3127">
    <w:p w14:paraId="2D7AEC6D"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וה"ה בקמח קלי (היינו סה"ת, שפסק כרבי, חולק גם לגבי קמח קלי), מג"א (סקכ"ב).</w:t>
      </w:r>
    </w:p>
  </w:footnote>
  <w:footnote w:id="3128">
    <w:p w14:paraId="5FCCD13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וכן אם נתנו קצת המשקה לתוכו בער"ש שנראה בו קצת גיבול מותר להוסיף עליו בשבת כפי שירצה, ורק במעט טיפין אסר בתרוה"ד דלא חשיב גיבול כלל, ט"ז (סקי"ג).</w:t>
      </w:r>
    </w:p>
  </w:footnote>
  <w:footnote w:id="3129">
    <w:p w14:paraId="4F82E69F"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ודוקא ברכה אבל בעבה לא מהני שינוי (תרוה"ד וב"ח), ולכן כ' רמ"א כמו בשתית וגם כ' באצבעו כלומר ולא בכף, וכל זה אפי' לצורך אותה סעודה אסור, מג"א (סקכ"ג).</w:t>
      </w:r>
    </w:p>
  </w:footnote>
  <w:footnote w:id="3130">
    <w:p w14:paraId="6BD65214"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גדול מכוס וקטן מחבית, רש"י.</w:t>
      </w:r>
    </w:p>
  </w:footnote>
  <w:footnote w:id="3131">
    <w:p w14:paraId="5F74222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שורין אותו בפושרין, ושותין אותן המים לרפואה.</w:t>
      </w:r>
    </w:p>
  </w:footnote>
  <w:footnote w:id="3132">
    <w:p w14:paraId="054E722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החלתית.</w:t>
      </w:r>
    </w:p>
  </w:footnote>
  <w:footnote w:id="3133">
    <w:p w14:paraId="2D7F23E8"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ומטבל בו מאכלו, ולקמיה מפרש אמאי אין שורין.</w:t>
      </w:r>
    </w:p>
  </w:footnote>
  <w:footnote w:id="3134">
    <w:p w14:paraId="019142EB"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דלא ידענא לפרושי מתניתין טפי מינך, מה בין לי ולך?, רש"י.</w:t>
      </w:r>
    </w:p>
  </w:footnote>
  <w:footnote w:id="3135">
    <w:p w14:paraId="3CC0D75C"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ור' יוסי אמרה, אבל לרבנן - אף בצונן אסור.</w:t>
      </w:r>
    </w:p>
  </w:footnote>
  <w:footnote w:id="3136">
    <w:p w14:paraId="4D12C1C9"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בעיא הוא, הך דרב לימא כר' יוסי דשרי בצונן, אבל לרבנן - אסור.</w:t>
      </w:r>
    </w:p>
  </w:footnote>
  <w:footnote w:id="3137">
    <w:p w14:paraId="63A10765"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דבלאו רפואה נמי משקה היא (ר"ן), מג"א (סקכ"ו).</w:t>
      </w:r>
    </w:p>
  </w:footnote>
  <w:footnote w:id="3138">
    <w:p w14:paraId="33A5A38E"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ואי ליכא חמה אפי' באור שרי מפני הסכנה </w:t>
      </w:r>
      <w:r w:rsidRPr="008C1C8E">
        <w:rPr>
          <w:rFonts w:asciiTheme="minorBidi" w:hAnsiTheme="minorBidi"/>
          <w:sz w:val="16"/>
          <w:szCs w:val="16"/>
          <w:rtl/>
        </w:rPr>
        <w:t>(אלא כל היכא שיכול לעשות בחמה כמו באור ודאי עדיף, א"א)</w:t>
      </w:r>
      <w:r w:rsidRPr="008C1C8E">
        <w:rPr>
          <w:rFonts w:asciiTheme="minorBidi" w:hAnsiTheme="minorBidi"/>
          <w:rtl/>
        </w:rPr>
        <w:t>, מג"א (סקכ"ז).</w:t>
      </w:r>
    </w:p>
  </w:footnote>
  <w:footnote w:id="3139">
    <w:p w14:paraId="74804DB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כגון משקין הללו שנסחטים מאליהם, ובלבד שיתחיל מבעוד יום, רש"י.</w:t>
      </w:r>
    </w:p>
  </w:footnote>
  <w:footnote w:id="3140">
    <w:p w14:paraId="793211C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ענבים בתחילתן כשהן דקים, מוציא מהן משקין לטבל בו בשר, לפי שהוא חזק וקרוב להחמיץ, רש"י.</w:t>
      </w:r>
    </w:p>
  </w:footnote>
  <w:footnote w:id="3141">
    <w:p w14:paraId="10E04D2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שבולין שלא בשלו כל צרכן, מרסקן וטוענן באבנים, ומשקה זב מהן ומטבל בו, רש"י.</w:t>
      </w:r>
    </w:p>
  </w:footnote>
  <w:footnote w:id="3142">
    <w:p w14:paraId="07FD30A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הוא ר' אלעזר בן פדת, דהוא אמורא, רש"י.</w:t>
      </w:r>
    </w:p>
  </w:footnote>
  <w:footnote w:id="3143">
    <w:p w14:paraId="174156A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הוא ר' אלעזר בן שמוע, סתם ר' אלעזר של משנה וברייתא, רש"י.</w:t>
      </w:r>
    </w:p>
  </w:footnote>
  <w:footnote w:id="3144">
    <w:p w14:paraId="40A7386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שהכוורת רודה, ועשויין כמין חלות של שעוה והדבש בתוכן, רש"י.</w:t>
      </w:r>
    </w:p>
  </w:footnote>
  <w:footnote w:id="3145">
    <w:p w14:paraId="6A2B0C5F"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כותתן, רש"י.</w:t>
      </w:r>
    </w:p>
  </w:footnote>
  <w:footnote w:id="3146">
    <w:p w14:paraId="1086939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לאותו שבת באכילה, דבש לאחר שזב מן החלות נמי אוכלא הוא, הלכך ליכא למיגזר ביה שמא יסחוט משתחשך, דלא שייכא ביה סחיטה, רש"י.</w:t>
      </w:r>
    </w:p>
  </w:footnote>
  <w:footnote w:id="3147">
    <w:p w14:paraId="15D9FEF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זיתים וענבים דמתניתין דמעיקרא אוכלא והשתא משקה - איכא למיגזר שמא יסחוט משתחשך, דהא ודאי סחיטה היא, רש"י.</w:t>
      </w:r>
    </w:p>
  </w:footnote>
  <w:footnote w:id="3148">
    <w:p w14:paraId="67166EFE"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ויש גרסאות שבמקום רבב"ח כתוב- רבא בר חנינא.</w:t>
      </w:r>
    </w:p>
  </w:footnote>
  <w:footnote w:id="3149">
    <w:p w14:paraId="62ACE16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דאסירי, דטעינתן היא גומרת, ונמצא הכל עשוי בשבת, רש"י.</w:t>
      </w:r>
    </w:p>
  </w:footnote>
  <w:footnote w:id="3150">
    <w:p w14:paraId="1D4F680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יותר מדיכה, </w:t>
      </w:r>
      <w:r w:rsidRPr="008C1C8E">
        <w:rPr>
          <w:rFonts w:asciiTheme="minorBidi" w:hAnsiTheme="minorBidi"/>
          <w:sz w:val="16"/>
          <w:szCs w:val="16"/>
          <w:rtl/>
        </w:rPr>
        <w:t xml:space="preserve">(ורבותי גורסין: כי פליגי - במחוסרין סחיטה שנידוכו יפה, ואין טעינתן גומרת אלא סחיטה) </w:t>
      </w:r>
      <w:r w:rsidRPr="008C1C8E">
        <w:rPr>
          <w:rFonts w:asciiTheme="minorBidi" w:hAnsiTheme="minorBidi"/>
          <w:rtl/>
        </w:rPr>
        <w:t>וטעינתן שוחקתן, והני דמתניתין - מחוסרין דיכה הן, וטעינתן היא דיכתן, היא שוחקתן, היא סוחטתן, ובהא ר' ישמעאל מודה דאסור, ע"פ רש"י.</w:t>
      </w:r>
    </w:p>
  </w:footnote>
  <w:footnote w:id="3151">
    <w:p w14:paraId="78713EA5"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שמפרר ראשי השומין.</w:t>
      </w:r>
    </w:p>
  </w:footnote>
  <w:footnote w:id="3152">
    <w:p w14:paraId="2B7D2D4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שנוטל אותם מן הקליפות. </w:t>
      </w:r>
    </w:p>
  </w:footnote>
  <w:footnote w:id="3153">
    <w:p w14:paraId="7C3E3DC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קדרה של דייסא שמשהין אותה על גבי כירה בשבת למחר כשמורידין אותה מעל הכירה מכניסין בה עץ הפרור ומגיסין בה הרבה ומערבין אותה ומכין אותה בעץ הפרור עם צדדי הקדרה או בתוך הקערה עד שמתערב הבשר והריפות והמים ותסמך ותעשה כולה גוף א' ופעמים מסירין המים מעל פניה ואח"כ מערבין אותה ופעמים מוסיפין לה מים חמין לפי מה שהיא צריכה, תשו' הרמב"ם (סי' שה, מהד' בלאו).</w:t>
      </w:r>
    </w:p>
  </w:footnote>
  <w:footnote w:id="3154">
    <w:p w14:paraId="7AD4DE58"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שהרי אינם מחוסרין שחיקה אלא מעט, רמב"ם</w:t>
      </w:r>
      <w:r w:rsidRPr="008C1C8E">
        <w:rPr>
          <w:rFonts w:asciiTheme="minorBidi" w:hAnsiTheme="minorBidi"/>
          <w:sz w:val="16"/>
          <w:szCs w:val="16"/>
          <w:rtl/>
        </w:rPr>
        <w:t xml:space="preserve"> (בתשו', הביאו הגר"א)</w:t>
      </w:r>
      <w:r w:rsidRPr="008C1C8E">
        <w:rPr>
          <w:rFonts w:asciiTheme="minorBidi" w:hAnsiTheme="minorBidi"/>
          <w:rtl/>
        </w:rPr>
        <w:t xml:space="preserve">. ואפילו לפי מה שכתבתי </w:t>
      </w:r>
      <w:r w:rsidRPr="008C1C8E">
        <w:rPr>
          <w:rFonts w:asciiTheme="minorBidi" w:hAnsiTheme="minorBidi"/>
          <w:sz w:val="16"/>
          <w:szCs w:val="16"/>
          <w:rtl/>
        </w:rPr>
        <w:t xml:space="preserve">(סי' שיח) </w:t>
      </w:r>
      <w:r w:rsidRPr="008C1C8E">
        <w:rPr>
          <w:rFonts w:asciiTheme="minorBidi" w:hAnsiTheme="minorBidi"/>
          <w:rtl/>
        </w:rPr>
        <w:t xml:space="preserve">שכל שהקדרה היא רותחת אסור משום דמגיס הוי כמבשל הכא מיד אחר שמורידין אותה מעל האש מותר להגיס בה כיון שכבר נתבשלה כל צרכה, ב"י. </w:t>
      </w:r>
    </w:p>
  </w:footnote>
  <w:footnote w:id="3155">
    <w:p w14:paraId="5362DB44"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הא אם א"א לאכול בלא זה אסור דיש עיבוד באוכלין מדרבנן כמש"כ ס"ה והמחליק הוי כממחק, ומותר למרח התפוחים שישובו גם למקום הריקן</w:t>
      </w:r>
      <w:r w:rsidRPr="008C1C8E">
        <w:rPr>
          <w:rFonts w:asciiTheme="minorBidi" w:hAnsiTheme="minorBidi"/>
          <w:sz w:val="16"/>
          <w:szCs w:val="16"/>
          <w:rtl/>
        </w:rPr>
        <w:t xml:space="preserve"> (הגה' סמ"ק)</w:t>
      </w:r>
      <w:r w:rsidRPr="008C1C8E">
        <w:rPr>
          <w:rFonts w:asciiTheme="minorBidi" w:hAnsiTheme="minorBidi"/>
          <w:rtl/>
        </w:rPr>
        <w:t>, וה"ה על הלחם, מג"א (סק"ט).</w:t>
      </w:r>
    </w:p>
  </w:footnote>
  <w:footnote w:id="3156">
    <w:p w14:paraId="12829EF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וכן תפוחים כמש"כ בסי' שיט סע' ג, מג"א (סק"ל).</w:t>
      </w:r>
    </w:p>
  </w:footnote>
  <w:footnote w:id="3157">
    <w:p w14:paraId="133D8224"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כל רפואה שניכר שעושה אותה לשם רפואה אסרו חכמים לעשותה משום שחיקת סממנים</w:t>
      </w:r>
      <w:r w:rsidRPr="008C1C8E">
        <w:rPr>
          <w:rFonts w:asciiTheme="minorBidi" w:hAnsiTheme="minorBidi"/>
          <w:sz w:val="16"/>
          <w:szCs w:val="16"/>
          <w:rtl/>
        </w:rPr>
        <w:t xml:space="preserve"> (ושחיקת סממנים עצמה מלאכה היא)</w:t>
      </w:r>
      <w:r w:rsidRPr="008C1C8E">
        <w:rPr>
          <w:rFonts w:asciiTheme="minorBidi" w:hAnsiTheme="minorBidi"/>
          <w:rtl/>
        </w:rPr>
        <w:t xml:space="preserve">.  </w:t>
      </w:r>
    </w:p>
  </w:footnote>
  <w:footnote w:id="3158">
    <w:p w14:paraId="39B661EA"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שהיה לו להודיע דבר זה (שאין לשאול בפיקוח נפש) בעירו קודם שיצטרכו לו, תרוה"ד. </w:t>
      </w:r>
    </w:p>
  </w:footnote>
  <w:footnote w:id="3159">
    <w:p w14:paraId="24D728B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ועי' ביו"ד ססי' קנ"ה דבעינן שתהא הרפואה ידועה או ע"פ מומחה, מג"א (סק"א).</w:t>
      </w:r>
    </w:p>
  </w:footnote>
  <w:footnote w:id="3160">
    <w:p w14:paraId="6D42FFF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בחלל גופו, רש"י.</w:t>
      </w:r>
    </w:p>
  </w:footnote>
  <w:footnote w:id="3161">
    <w:p w14:paraId="3E6201F1"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חולי חמה בלע"ז מלווי"ד צמירתא לשון שריפה וחמימות ודוגמתו בהכונס צאן לדיר (ב"ק דף ס) דצמרא צמורי, רש"י.</w:t>
      </w:r>
    </w:p>
  </w:footnote>
  <w:footnote w:id="3162">
    <w:p w14:paraId="50F14D59"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שפתיים, רש"י.</w:t>
      </w:r>
    </w:p>
  </w:footnote>
  <w:footnote w:id="3163">
    <w:p w14:paraId="54311E28"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חניכיים.</w:t>
      </w:r>
    </w:p>
  </w:footnote>
  <w:footnote w:id="3164">
    <w:p w14:paraId="7B5EC1AA"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קשין הן, רש"י.</w:t>
      </w:r>
    </w:p>
  </w:footnote>
  <w:footnote w:id="3165">
    <w:p w14:paraId="7D388E7D"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הב"י הסתפק בדעת הר"ן וכ' שאפשר לפרש כך ואפשר כך, אך המג"א (סק"ב) העתיק את דברי הר"ן בשבת (מ. ד"ה מכה) שכ' דככי ושיני אבעיא ולא איפשטה ונקטינן לקולא, ומ"ש גבי עין שמרדה דהיכא דכאיב טובא חושש קרי ליה </w:t>
      </w:r>
      <w:r w:rsidRPr="008C1C8E">
        <w:rPr>
          <w:rFonts w:asciiTheme="minorBidi" w:hAnsiTheme="minorBidi"/>
          <w:sz w:val="16"/>
          <w:szCs w:val="16"/>
          <w:rtl/>
        </w:rPr>
        <w:t>(שמדברי הר"ן אלו הסתפק הב"י בד' הר"ן)</w:t>
      </w:r>
      <w:r w:rsidRPr="008C1C8E">
        <w:rPr>
          <w:rFonts w:asciiTheme="minorBidi" w:hAnsiTheme="minorBidi"/>
          <w:rtl/>
        </w:rPr>
        <w:t xml:space="preserve"> ללמד ממנו דבמיחוש בעלמא אסור אמירה ל</w:t>
      </w:r>
      <w:r>
        <w:rPr>
          <w:rFonts w:asciiTheme="minorBidi" w:hAnsiTheme="minorBidi"/>
          <w:rtl/>
        </w:rPr>
        <w:t>גוי</w:t>
      </w:r>
      <w:r w:rsidRPr="008C1C8E">
        <w:rPr>
          <w:rFonts w:asciiTheme="minorBidi" w:hAnsiTheme="minorBidi"/>
          <w:rtl/>
        </w:rPr>
        <w:t xml:space="preserve">, וכ"כ הב"ח. </w:t>
      </w:r>
    </w:p>
  </w:footnote>
  <w:footnote w:id="3166">
    <w:p w14:paraId="7DBF5BCD" w14:textId="77777777" w:rsidR="006A4BF8" w:rsidRPr="008C1C8E" w:rsidRDefault="006A4BF8" w:rsidP="00285819">
      <w:pPr>
        <w:pStyle w:val="a7"/>
        <w:rPr>
          <w:rFonts w:asciiTheme="minorBidi" w:hAnsiTheme="minorBidi"/>
          <w:color w:val="FF0000"/>
          <w:rtl/>
        </w:rPr>
      </w:pPr>
      <w:r w:rsidRPr="008C1C8E">
        <w:rPr>
          <w:rStyle w:val="a9"/>
          <w:rFonts w:asciiTheme="minorBidi" w:hAnsiTheme="minorBidi"/>
        </w:rPr>
        <w:footnoteRef/>
      </w:r>
      <w:r w:rsidRPr="008C1C8E">
        <w:rPr>
          <w:rFonts w:asciiTheme="minorBidi" w:hAnsiTheme="minorBidi"/>
          <w:rtl/>
        </w:rPr>
        <w:t xml:space="preserve"> הט"ז </w:t>
      </w:r>
      <w:r w:rsidRPr="008C1C8E">
        <w:rPr>
          <w:rFonts w:asciiTheme="minorBidi" w:hAnsiTheme="minorBidi"/>
          <w:sz w:val="16"/>
          <w:szCs w:val="16"/>
          <w:rtl/>
        </w:rPr>
        <w:t xml:space="preserve">(סק"א) </w:t>
      </w:r>
      <w:r w:rsidRPr="008C1C8E">
        <w:rPr>
          <w:rFonts w:asciiTheme="minorBidi" w:hAnsiTheme="minorBidi"/>
          <w:rtl/>
        </w:rPr>
        <w:t xml:space="preserve">כ' דיש מסייע ויש בו ממש דחייב כגון בגמ' במכות </w:t>
      </w:r>
      <w:r w:rsidRPr="008C1C8E">
        <w:rPr>
          <w:rFonts w:asciiTheme="minorBidi" w:hAnsiTheme="minorBidi"/>
          <w:sz w:val="16"/>
          <w:szCs w:val="16"/>
          <w:rtl/>
        </w:rPr>
        <w:t xml:space="preserve">(כ:) </w:t>
      </w:r>
      <w:r w:rsidRPr="008C1C8E">
        <w:rPr>
          <w:rFonts w:asciiTheme="minorBidi" w:hAnsiTheme="minorBidi"/>
          <w:rtl/>
        </w:rPr>
        <w:t>דניקף חייב, משום שמקדים פעולה לגוי היינו שמזמין לו את השערות ואילולי עזרתו לא יוכל להקיף לו. ויש מסייע ואין בו ממש כגון בביצה</w:t>
      </w:r>
      <w:r w:rsidRPr="008C1C8E">
        <w:rPr>
          <w:rFonts w:asciiTheme="minorBidi" w:hAnsiTheme="minorBidi"/>
          <w:sz w:val="16"/>
          <w:szCs w:val="16"/>
          <w:rtl/>
        </w:rPr>
        <w:t xml:space="preserve"> (כב.) </w:t>
      </w:r>
      <w:r w:rsidRPr="008C1C8E">
        <w:rPr>
          <w:rFonts w:asciiTheme="minorBidi" w:hAnsiTheme="minorBidi"/>
          <w:rtl/>
        </w:rPr>
        <w:t xml:space="preserve">דאמימר שרי למכחל עינא מגוי בשבת, והוא מותר משום שהגוי הקדים לישראל בעשיית הפעולה ורק אח"כ הוא מסייעו מעט </w:t>
      </w:r>
      <w:r w:rsidRPr="008C1C8E">
        <w:rPr>
          <w:rFonts w:asciiTheme="minorBidi" w:hAnsiTheme="minorBidi"/>
          <w:sz w:val="16"/>
          <w:szCs w:val="16"/>
          <w:rtl/>
        </w:rPr>
        <w:t xml:space="preserve">(ופרש"י שם שמי שאינו עושה מלאכה ממש אלא מסייע מעט כי האי ובלאו הוא מתעבדא – אין בו ממש, ע"כ. ודין זה נתבאר בשבת (צג.) מלאכה שעשואה שניים זה יכול לבד וזה אינו יכול לבד- </w:t>
      </w:r>
      <w:r w:rsidRPr="008C1C8E">
        <w:rPr>
          <w:rFonts w:asciiTheme="minorBidi" w:hAnsiTheme="minorBidi"/>
          <w:color w:val="FF0000"/>
          <w:sz w:val="16"/>
          <w:szCs w:val="16"/>
          <w:rtl/>
        </w:rPr>
        <w:t xml:space="preserve">פטור </w:t>
      </w:r>
      <w:r w:rsidRPr="008C1C8E">
        <w:rPr>
          <w:rFonts w:asciiTheme="minorBidi" w:hAnsiTheme="minorBidi"/>
          <w:sz w:val="16"/>
          <w:szCs w:val="16"/>
          <w:rtl/>
        </w:rPr>
        <w:t>ואע"ג דמסייע הוא מ"מ אין בו ממש, דהרי היה יכול לעשות את המלאכה בלי עזרת השני.)</w:t>
      </w:r>
      <w:r w:rsidRPr="008C1C8E">
        <w:rPr>
          <w:rFonts w:asciiTheme="minorBidi" w:hAnsiTheme="minorBidi"/>
          <w:rtl/>
        </w:rPr>
        <w:t xml:space="preserve"> וא"כ כאן שלא היה יכול להוציא את שינו לבד אלא חייב את עזרת השני, אם עזר לגוי עי"ז שפתח את פיו- חייב. </w:t>
      </w:r>
      <w:r w:rsidRPr="008C1C8E">
        <w:rPr>
          <w:rFonts w:asciiTheme="minorBidi" w:hAnsiTheme="minorBidi"/>
          <w:color w:val="FF0000"/>
          <w:rtl/>
        </w:rPr>
        <w:t>וצל"ע דמה מסייע ניקף יותר מההוא דכחליה ליה עינא דהרי גם כדי לכחול את העין א"א אילולי יתן לו הישראל ואם זו אינה פעולה שמחייבת אז גם הזמנת השערות לגוי אינה פעולה, וחשבתי לחלק בין כוחלא דעצם המעשה אסור אבל מי שעושים לו אנו עובר עברה, משא"כ בהקפה שיש איסור גם על המקיף וגם על הניקף הילכך כי לא משטמת מינה נמי חייב אע"ג דלא מסייע כ"כ, וצ"ע. והבאה"ט הבין בד' הט"ז שכשהגוי מתחיל במלאכה ואח"כ מסייעו ישראל, כמו במכחל עינא, הוי מסייע ואין בו ממש, אבל כשהיהודי מתחיל, כמו בפתיחת הפה ע"מ להוציא את השן, הוי מסייע ויש בו ממש. אבל עדיין לא הבנתי מדוע בניקף חייב לפי תירוץ זה.</w:t>
      </w:r>
    </w:p>
  </w:footnote>
  <w:footnote w:id="3167">
    <w:p w14:paraId="3131B432" w14:textId="77777777" w:rsidR="006A4BF8" w:rsidRPr="008C1C8E" w:rsidRDefault="006A4BF8" w:rsidP="00285819">
      <w:pPr>
        <w:pStyle w:val="a7"/>
        <w:rPr>
          <w:rFonts w:asciiTheme="minorBidi" w:hAnsiTheme="minorBidi"/>
          <w:color w:val="FF0000"/>
          <w:rtl/>
        </w:rPr>
      </w:pPr>
      <w:r w:rsidRPr="008C1C8E">
        <w:rPr>
          <w:rStyle w:val="a9"/>
          <w:rFonts w:asciiTheme="minorBidi" w:hAnsiTheme="minorBidi"/>
          <w:color w:val="FF0000"/>
        </w:rPr>
        <w:footnoteRef/>
      </w:r>
      <w:r w:rsidRPr="008C1C8E">
        <w:rPr>
          <w:rFonts w:asciiTheme="minorBidi" w:hAnsiTheme="minorBidi"/>
          <w:color w:val="FF0000"/>
          <w:rtl/>
        </w:rPr>
        <w:t xml:space="preserve"> וכן חניכיים, ואע"ג דבגמ' לא איפשטה גבי שיניים וחניכיים- ספק נפשות לקולא, רא"ש. צ"ע למה לא הזכיר השו"ע חניכיים</w:t>
      </w:r>
    </w:p>
  </w:footnote>
  <w:footnote w:id="3168">
    <w:p w14:paraId="5ADAAB38"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מכאן אלו דברי הר"ן בשם רבנו יונה והרשב"א, והביאו הה"מ.</w:t>
      </w:r>
    </w:p>
  </w:footnote>
  <w:footnote w:id="3169">
    <w:p w14:paraId="11E76102" w14:textId="77777777" w:rsidR="006A4BF8" w:rsidRPr="008C1C8E" w:rsidRDefault="006A4BF8" w:rsidP="00285819">
      <w:pPr>
        <w:pStyle w:val="a7"/>
        <w:rPr>
          <w:rFonts w:asciiTheme="minorBidi" w:hAnsiTheme="minorBidi"/>
          <w:color w:val="FF0000"/>
          <w:rtl/>
        </w:rPr>
      </w:pPr>
      <w:r w:rsidRPr="008C1C8E">
        <w:rPr>
          <w:rStyle w:val="a9"/>
          <w:rFonts w:asciiTheme="minorBidi" w:hAnsiTheme="minorBidi"/>
        </w:rPr>
        <w:footnoteRef/>
      </w:r>
      <w:r w:rsidRPr="008C1C8E">
        <w:rPr>
          <w:rFonts w:asciiTheme="minorBidi" w:hAnsiTheme="minorBidi"/>
          <w:rtl/>
        </w:rPr>
        <w:t xml:space="preserve"> היינו דכאיב ליה טובה, גר"א (סק"ו). והמג"א (סק"ג) כ' שחלה ממנו כל גופו. ונראה שטעמם אחד, היינו דאם יש לו צער גדול מחמת הכאב שממנו נחלש כל גופו- מותר וכו', וכ"מ בסע' יז בהג"ה, וכ"כ הט"ז (סקכ"ד) והמ"ב (סק"ק). והוצאת שן מלאכה דאו' דהא חובל לרפואה, מג"א (סק"ג). </w:t>
      </w:r>
      <w:r w:rsidRPr="008C1C8E">
        <w:rPr>
          <w:rFonts w:asciiTheme="minorBidi" w:hAnsiTheme="minorBidi"/>
          <w:color w:val="FF0000"/>
          <w:rtl/>
        </w:rPr>
        <w:t xml:space="preserve"> </w:t>
      </w:r>
    </w:p>
  </w:footnote>
  <w:footnote w:id="3170">
    <w:p w14:paraId="74813F2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משום שכל דבר שאין בו סכנה אומר לגוי ועושהו, ב"י בשם א"ח.</w:t>
      </w:r>
    </w:p>
  </w:footnote>
  <w:footnote w:id="3171">
    <w:p w14:paraId="1D608234"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רש"י אינו גורס את זה אבל הרי"ף כן גורס את זה.</w:t>
      </w:r>
    </w:p>
  </w:footnote>
  <w:footnote w:id="3172">
    <w:p w14:paraId="1A6FBFD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חולה שאם לא יעשו לו רפואה זו אין מסוכן למות, ומכל מקום צריך הוא לה, רש"י.</w:t>
      </w:r>
    </w:p>
  </w:footnote>
  <w:footnote w:id="3173">
    <w:p w14:paraId="4C2032E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אבל דבר שיש בו סכנה - ישראל עצמו עושה לו, רש"י.</w:t>
      </w:r>
    </w:p>
  </w:footnote>
  <w:footnote w:id="3174">
    <w:p w14:paraId="0A4D11C0"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כן הבין המג"א (סק"ד) בדברי השו"ע שכ'- "עושים לו כל שרגילים לעשות לו בחול". וכ"כ בערך לחם למהריק"ש.</w:t>
      </w:r>
    </w:p>
  </w:footnote>
  <w:footnote w:id="3175">
    <w:p w14:paraId="49AE99B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 הב"י </w:t>
      </w:r>
      <w:r w:rsidRPr="008C1C8E">
        <w:rPr>
          <w:rFonts w:asciiTheme="minorBidi" w:hAnsiTheme="minorBidi"/>
          <w:sz w:val="16"/>
          <w:szCs w:val="16"/>
          <w:rtl/>
        </w:rPr>
        <w:t xml:space="preserve">(סי' של סע' ו) </w:t>
      </w:r>
      <w:r w:rsidRPr="008C1C8E">
        <w:rPr>
          <w:rFonts w:asciiTheme="minorBidi" w:hAnsiTheme="minorBidi"/>
          <w:rtl/>
        </w:rPr>
        <w:t xml:space="preserve">דאפשר שהרמב"ם ג"כ סובר כך </w:t>
      </w:r>
      <w:r w:rsidRPr="008C1C8E">
        <w:rPr>
          <w:rFonts w:asciiTheme="minorBidi" w:hAnsiTheme="minorBidi"/>
          <w:sz w:val="16"/>
          <w:szCs w:val="16"/>
          <w:rtl/>
        </w:rPr>
        <w:t>(והביא שם הב"י את דברי הה"מ שגם חשב לומר כך אך ביטל דעתו מפני דעת הראב"ד)</w:t>
      </w:r>
      <w:r w:rsidRPr="008C1C8E">
        <w:rPr>
          <w:rFonts w:asciiTheme="minorBidi" w:hAnsiTheme="minorBidi"/>
          <w:rtl/>
        </w:rPr>
        <w:t>.</w:t>
      </w:r>
    </w:p>
  </w:footnote>
  <w:footnote w:id="3176">
    <w:p w14:paraId="4A4BC657"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וכ"ש כשהחולה או רופא אומר שאין צריך דאין מחללין אע"פ שהיא מכה של חלל, רמב"ן </w:t>
      </w:r>
      <w:r w:rsidRPr="008C1C8E">
        <w:rPr>
          <w:rFonts w:asciiTheme="minorBidi" w:hAnsiTheme="minorBidi"/>
          <w:sz w:val="16"/>
          <w:szCs w:val="16"/>
          <w:rtl/>
        </w:rPr>
        <w:t>(בספר תורת האדם, הובא בב"י וברעק"א סק"ג)</w:t>
      </w:r>
      <w:r w:rsidRPr="008C1C8E">
        <w:rPr>
          <w:rFonts w:asciiTheme="minorBidi" w:hAnsiTheme="minorBidi"/>
          <w:rtl/>
        </w:rPr>
        <w:t>.</w:t>
      </w:r>
    </w:p>
  </w:footnote>
  <w:footnote w:id="3177">
    <w:p w14:paraId="5804CEA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רצונו לומר- ע"י אומד, דבזה היא חלוקה ממכה של חלל, גר"א (סק"ט).</w:t>
      </w:r>
    </w:p>
  </w:footnote>
  <w:footnote w:id="3178">
    <w:p w14:paraId="4B7978D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טשטוש הדעת מחמת חוליו, ע"פ רש"י.</w:t>
      </w:r>
    </w:p>
  </w:footnote>
  <w:footnote w:id="3179">
    <w:p w14:paraId="0E1EDB6E"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פרק מפנין (קפ ע"ב סי' תסג ותסד) הובא בדרכ"מ הארוך אות ה.</w:t>
      </w:r>
    </w:p>
  </w:footnote>
  <w:footnote w:id="3180">
    <w:p w14:paraId="50D4CB5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ספק סכנת נפשות- כצ"ל, רעק"א (סק"ד).</w:t>
      </w:r>
    </w:p>
  </w:footnote>
  <w:footnote w:id="3181">
    <w:p w14:paraId="0E890A1E"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רמב"ן </w:t>
      </w:r>
      <w:r w:rsidRPr="008C1C8E">
        <w:rPr>
          <w:rFonts w:asciiTheme="minorBidi" w:hAnsiTheme="minorBidi"/>
          <w:sz w:val="16"/>
          <w:szCs w:val="16"/>
          <w:rtl/>
        </w:rPr>
        <w:t>(בספר תורת האדם, הובא בב"י)</w:t>
      </w:r>
      <w:r w:rsidRPr="008C1C8E">
        <w:rPr>
          <w:rFonts w:asciiTheme="minorBidi" w:hAnsiTheme="minorBidi"/>
          <w:rtl/>
        </w:rPr>
        <w:t>.</w:t>
      </w:r>
    </w:p>
  </w:footnote>
  <w:footnote w:id="3182">
    <w:p w14:paraId="3A55E80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וכן בעבודה זרה כח ע"א.</w:t>
      </w:r>
    </w:p>
  </w:footnote>
  <w:footnote w:id="3183">
    <w:p w14:paraId="0CB256A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היא עלוקה, רש"י.</w:t>
      </w:r>
    </w:p>
  </w:footnote>
  <w:footnote w:id="3184">
    <w:p w14:paraId="30B38B9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בשבת, רש"י.</w:t>
      </w:r>
    </w:p>
  </w:footnote>
  <w:footnote w:id="3185">
    <w:p w14:paraId="72FF7699"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שנשכו.</w:t>
      </w:r>
    </w:p>
  </w:footnote>
  <w:footnote w:id="3186">
    <w:p w14:paraId="4D75BBC0"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פצע מכת חרב, רש"י. ומהגה"מ</w:t>
      </w:r>
      <w:r w:rsidRPr="008C1C8E">
        <w:rPr>
          <w:rFonts w:asciiTheme="minorBidi" w:hAnsiTheme="minorBidi"/>
          <w:sz w:val="16"/>
          <w:szCs w:val="16"/>
          <w:rtl/>
        </w:rPr>
        <w:t xml:space="preserve"> (פ"ב אות ד)</w:t>
      </w:r>
      <w:r w:rsidRPr="008C1C8E">
        <w:rPr>
          <w:rFonts w:asciiTheme="minorBidi" w:hAnsiTheme="minorBidi"/>
          <w:rtl/>
        </w:rPr>
        <w:t xml:space="preserve"> משמע דה"ה לכל מכה מחמת ברזל וכן משמע במרדכי </w:t>
      </w:r>
      <w:r w:rsidRPr="008C1C8E">
        <w:rPr>
          <w:rFonts w:asciiTheme="minorBidi" w:hAnsiTheme="minorBidi"/>
          <w:sz w:val="16"/>
          <w:szCs w:val="16"/>
          <w:rtl/>
        </w:rPr>
        <w:t>(פרק אין מעמידין, סי' תתטו)</w:t>
      </w:r>
      <w:r w:rsidRPr="008C1C8E">
        <w:rPr>
          <w:rFonts w:asciiTheme="minorBidi" w:hAnsiTheme="minorBidi"/>
          <w:rtl/>
        </w:rPr>
        <w:t>.</w:t>
      </w:r>
    </w:p>
  </w:footnote>
  <w:footnote w:id="3187">
    <w:p w14:paraId="38B08B7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שחין הבא בפי הטבעת, ר"ן.</w:t>
      </w:r>
    </w:p>
  </w:footnote>
  <w:footnote w:id="3188">
    <w:p w14:paraId="67E24DF5"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נפח העומד באדם, רש"י.</w:t>
      </w:r>
    </w:p>
  </w:footnote>
  <w:footnote w:id="3189">
    <w:p w14:paraId="6FD59D0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ע"י חולי ששמו חמה הוא בא וסימן הוא לה, רש"י.</w:t>
      </w:r>
    </w:p>
  </w:footnote>
  <w:footnote w:id="3190">
    <w:p w14:paraId="70F5D40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ופרש"י צמירתא- חם, וא"כ יהיה פירוש אישתא צמירתא- קדחת חם ביותר, ב"י. והרמב"ם כ' </w:t>
      </w:r>
      <w:r w:rsidRPr="008C1C8E">
        <w:rPr>
          <w:rFonts w:asciiTheme="minorBidi" w:hAnsiTheme="minorBidi"/>
          <w:sz w:val="16"/>
          <w:szCs w:val="16"/>
          <w:rtl/>
        </w:rPr>
        <w:t xml:space="preserve">(פ"ב ה"ה) </w:t>
      </w:r>
      <w:r w:rsidRPr="008C1C8E">
        <w:rPr>
          <w:rFonts w:asciiTheme="minorBidi" w:hAnsiTheme="minorBidi"/>
          <w:rtl/>
        </w:rPr>
        <w:t xml:space="preserve">החום שמסמר הבשר </w:t>
      </w:r>
      <w:r w:rsidRPr="008C1C8E">
        <w:rPr>
          <w:rFonts w:asciiTheme="minorBidi" w:hAnsiTheme="minorBidi"/>
          <w:sz w:val="16"/>
          <w:szCs w:val="16"/>
          <w:rtl/>
        </w:rPr>
        <w:t>(כמו- "תסמר שערת בשרי", איוב ד טו)</w:t>
      </w:r>
      <w:r w:rsidRPr="008C1C8E">
        <w:rPr>
          <w:rFonts w:asciiTheme="minorBidi" w:hAnsiTheme="minorBidi"/>
          <w:rtl/>
        </w:rPr>
        <w:t xml:space="preserve"> וכ"כ רי"ו</w:t>
      </w:r>
      <w:r w:rsidRPr="008C1C8E">
        <w:rPr>
          <w:rFonts w:asciiTheme="minorBidi" w:hAnsiTheme="minorBidi"/>
          <w:sz w:val="16"/>
          <w:szCs w:val="16"/>
          <w:rtl/>
        </w:rPr>
        <w:t xml:space="preserve"> (ני"ב ח"ט עח ע"ב) </w:t>
      </w:r>
      <w:r w:rsidRPr="008C1C8E">
        <w:rPr>
          <w:rFonts w:asciiTheme="minorBidi" w:hAnsiTheme="minorBidi"/>
          <w:rtl/>
        </w:rPr>
        <w:t>אישתא צמירתא פירוש קדחת עם קרירות מלשון תסמר שערת בשרי.</w:t>
      </w:r>
    </w:p>
  </w:footnote>
  <w:footnote w:id="3191">
    <w:p w14:paraId="21D423A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כפירוש רש"י, גר"א (סק"כ).</w:t>
      </w:r>
    </w:p>
  </w:footnote>
  <w:footnote w:id="3192">
    <w:p w14:paraId="6267A08B"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כפירוש הרמב"ם ורי"ו, גר"א (סקכ"א). וכ' הט"ז (סק"ב) דנראה לו שאין זו הקדחת המצוי ל"ע שתחלתו קר וסופו חם שידוע שאין זה סכנת נפשות אלא זה מיירי שבשעה אחת בא עליו החמימות והקרירות.</w:t>
      </w:r>
    </w:p>
  </w:footnote>
  <w:footnote w:id="3193">
    <w:p w14:paraId="3C86D22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על איזה חולי העין מחללין שבת, רש"י.</w:t>
      </w:r>
    </w:p>
  </w:footnote>
  <w:footnote w:id="3194">
    <w:p w14:paraId="1B39245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לשון נעיצה ותחיבה, רש"י.</w:t>
      </w:r>
    </w:p>
  </w:footnote>
  <w:footnote w:id="3195">
    <w:p w14:paraId="7A3324D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שכבר נתרפא ועדיין קודחת מעט, רש"י.</w:t>
      </w:r>
    </w:p>
  </w:footnote>
  <w:footnote w:id="3196">
    <w:p w14:paraId="17186DA0"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שבא לכוחלה כדי להאיר מראית עינו, רש"י.</w:t>
      </w:r>
    </w:p>
  </w:footnote>
  <w:footnote w:id="3197">
    <w:p w14:paraId="1F3244CE"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טשטוש הדעת מחמת חוליו, ע"פ רש"י.</w:t>
      </w:r>
    </w:p>
  </w:footnote>
  <w:footnote w:id="3198">
    <w:p w14:paraId="668656B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אם נשים או כותים אומרים צריך - אין מחללין על פיהן, רש"י.</w:t>
      </w:r>
    </w:p>
  </w:footnote>
  <w:footnote w:id="3199">
    <w:p w14:paraId="4AB9C069"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כגון: שנים אומרים צריך, ושלשה אומרים אין צריך, ואשה או כותי אומרים צריך - מצטרפין למהוי פלגא ופלגא וספק נפשות להקל, רש"י. והקשו הרא"ש והר"ן אמאי ע"פ נשים לא? דהא גבי יולדת שרי בגמרא לחלל על פי נשים, וכ' הר"ן דאין זו קושיא דשאני פיקוח נפש דחיה שהוא אומנות המסורה לנשים והן בקיאות יותר מהאנשים, אלא מיהו הדבר מוכרע שאם אמרה אשה צריך וכל האחרים אומרים אין אנו יודעין שאף זה בכלל ספק נפשות להקל הוא. כל זה הוא לפרש"י שמפרש "אין אומרים" היינו שאין הולכים אחר האומדן שלהם ברמת הסכנה שעי"ז קובעים האם צריך לחלל או לא, אך הר"ן עצמו (וכן רוב הראשונים, רי"ף רמב"ם רא"ש וכו', עי' סע' יב) פירש שאין אומרים להם לעשות את המלאכות האסורות, ולפי זה כך הוא פירוש הגמ' לד' הר"ן- אין מוסרין לנשים ולכותיים לבדם העסק והפיקוח הזה שיעשה על ידם שמא יתעצלו או יפשעו בו אבל מצטרפין עם ישראל ומוסרין הדבר לישראל והאשה או הכותי מתעסקין על ידי ישראל דכיון דישראל עוסק בו אף הם מזדרזין בו.</w:t>
      </w:r>
    </w:p>
  </w:footnote>
  <w:footnote w:id="3200">
    <w:p w14:paraId="531767BE"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הר"ן כ' שהרמב"ם סובר דבאומדנא דספק נפשות אין הולכין אחר רוב דעות אלא ספק נפשות להקל, והב"י תמה עליו היאך כתב כן בשם הרמב"ם שהרי דברי הרמב"ם מבוארים (הל' שביתת עשור פ"ב ה"ח) דאזלינן בתר רוב דעות וכן כתב רבינו בסמוך שדעת הרמב"ם דאזלינן בתר רוב דעות וכך פירש הרב המגיד. ועי' בגר"א על סע' ד.</w:t>
      </w:r>
    </w:p>
  </w:footnote>
  <w:footnote w:id="3201">
    <w:p w14:paraId="43F3B79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ועכ"פ צריך שיאמר שמכיר באותו חולי (כמ"ש סי' תרי"ח ס"ו) ועכ"פ אינו נאמן להכחיש המומחה אפילו להקל, עסי' תרי"ח ובטור וסי' ש"ל דאפילו גבי רופאים י"א דהולכים אחר הבקיאות ע"ש, דלא כע"ש, מג"א (סק"ז).</w:t>
      </w:r>
    </w:p>
  </w:footnote>
  <w:footnote w:id="3202">
    <w:p w14:paraId="77D623D1"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דשם פסק השו"ע- "מי ששלחו לו שהוציאו בתו מביתו בשבת להוציאה מכלל ישראל מצוה לשום לדרך פעמיו להשתדל בהצלתה ויוצא אפילו חוץ לשלש פרסאות ואי לא בעי כייפינן ליה" והרמ"א כ' שם- "וע"ל סי' שכח סע' י". ולכאורה סותרים דברי הרמ"א אהדדי, דכאן אין מחללים והתם מחללים, ופלוגתא הוא בב"י בין הרשב"א להתוס', וצ"ל דשאני הכא שרוצים להמירה ותשאר מומרת לעולם אח"כ בזה הכריע כהתוס' דיש להצילה בחילול שבת דזה עדיף מפיקוח נפש, משא"כ הכא שיעשה פעם אחת באונס, כיון דאונס רחמנא פטריה ואח"כ אין חשש לא יחלל שבת בשביל הצלה זו, כנ"ל נכון, ע"פ ט"ז </w:t>
      </w:r>
      <w:r w:rsidRPr="008C1C8E">
        <w:rPr>
          <w:rFonts w:asciiTheme="minorBidi" w:hAnsiTheme="minorBidi"/>
          <w:sz w:val="16"/>
          <w:szCs w:val="16"/>
          <w:rtl/>
        </w:rPr>
        <w:t>(סי' שו סק"ה)</w:t>
      </w:r>
      <w:r w:rsidRPr="008C1C8E">
        <w:rPr>
          <w:rFonts w:asciiTheme="minorBidi" w:hAnsiTheme="minorBidi"/>
          <w:rtl/>
        </w:rPr>
        <w:t>. אך המלבושי יו"ט (על הלבוש סע' יג) הגיה "אם מחללין", דלא כהלבוש והט"ז, וכ"ה ברמ"א סס"י שכט, וכך אין קושי בדברי הרמ"א.</w:t>
      </w:r>
    </w:p>
  </w:footnote>
  <w:footnote w:id="3203">
    <w:p w14:paraId="6D29099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לא שיהא ספק הנפשות לשבת זו, אלא אפילו אין הספק לשבת זו, דפשיטא לן דהיום לא ימות, אלא ספק שאם לא יעשו לו היום - שמא ימות לשבת הבאה, רש"י.</w:t>
      </w:r>
    </w:p>
  </w:footnote>
  <w:footnote w:id="3204">
    <w:p w14:paraId="5A6147F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רופאים לעשות לו הרפואה שמנה ימים, רש"י.</w:t>
      </w:r>
    </w:p>
  </w:footnote>
  <w:footnote w:id="3205">
    <w:p w14:paraId="6112701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טשטוש הדעת מחמת חוליו, ע"פ רש"י.</w:t>
      </w:r>
    </w:p>
  </w:footnote>
  <w:footnote w:id="3206">
    <w:p w14:paraId="1B625C3A"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כאן מועתקת גירת הרי"ף הרמב"ם הרא"ש הר"ן והב"י, ועיין בסע' י' דשם מובאת גירסה אחרת.</w:t>
      </w:r>
    </w:p>
  </w:footnote>
  <w:footnote w:id="3207">
    <w:p w14:paraId="2778CFF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w:t>
      </w:r>
      <w:r w:rsidRPr="008C1C8E">
        <w:rPr>
          <w:rFonts w:asciiTheme="minorBidi" w:hAnsiTheme="minorBidi"/>
          <w:u w:val="single"/>
          <w:rtl/>
        </w:rPr>
        <w:t>כמה פירושים בזה:</w:t>
      </w:r>
    </w:p>
    <w:p w14:paraId="60CE5D90" w14:textId="77777777" w:rsidR="006A4BF8" w:rsidRPr="008C1C8E" w:rsidRDefault="006A4BF8" w:rsidP="00FF2D21">
      <w:pPr>
        <w:pStyle w:val="a7"/>
        <w:numPr>
          <w:ilvl w:val="0"/>
          <w:numId w:val="51"/>
        </w:numPr>
        <w:rPr>
          <w:rFonts w:asciiTheme="minorBidi" w:hAnsiTheme="minorBidi"/>
        </w:rPr>
      </w:pPr>
      <w:r w:rsidRPr="008C1C8E">
        <w:rPr>
          <w:rFonts w:asciiTheme="minorBidi" w:hAnsiTheme="minorBidi"/>
          <w:rtl/>
        </w:rPr>
        <w:t xml:space="preserve">רא"ש- אין עושין ע"י </w:t>
      </w:r>
      <w:r w:rsidRPr="008C1C8E">
        <w:rPr>
          <w:rFonts w:asciiTheme="minorBidi" w:hAnsiTheme="minorBidi"/>
          <w:b/>
          <w:bCs/>
          <w:rtl/>
        </w:rPr>
        <w:t xml:space="preserve">גויים וקטנים </w:t>
      </w:r>
      <w:r w:rsidRPr="008C1C8E">
        <w:rPr>
          <w:rFonts w:asciiTheme="minorBidi" w:hAnsiTheme="minorBidi"/>
          <w:rtl/>
        </w:rPr>
        <w:t>דחיישינן זימנין דליתנהו ואתי לאהדורי בתרייהו. ואין אומרין</w:t>
      </w:r>
      <w:r w:rsidRPr="008C1C8E">
        <w:rPr>
          <w:rFonts w:asciiTheme="minorBidi" w:hAnsiTheme="minorBidi"/>
          <w:b/>
          <w:bCs/>
          <w:rtl/>
        </w:rPr>
        <w:t xml:space="preserve"> לנשים וכותיים</w:t>
      </w:r>
      <w:r w:rsidRPr="008C1C8E">
        <w:rPr>
          <w:rFonts w:asciiTheme="minorBidi" w:hAnsiTheme="minorBidi"/>
          <w:rtl/>
        </w:rPr>
        <w:t xml:space="preserve"> לעשות שמא יעלה בדעתם שלא ניתן שבת לידחות אפילו מפני פיקוח נפש ומפני כך נמנעים מלעשות מלאכה זו ומוסרין אותה לכותי או לאשה לעשותה ומתוך כך יבואו להתעצל במלאכה ואתי לידי סכנה </w:t>
      </w:r>
      <w:r w:rsidRPr="008C1C8E">
        <w:rPr>
          <w:rFonts w:asciiTheme="minorBidi" w:hAnsiTheme="minorBidi"/>
          <w:sz w:val="16"/>
          <w:szCs w:val="16"/>
          <w:rtl/>
        </w:rPr>
        <w:t>(כך הבין הב"י בד' הרא"ש סוס"י יד)</w:t>
      </w:r>
      <w:r w:rsidRPr="008C1C8E">
        <w:rPr>
          <w:rFonts w:asciiTheme="minorBidi" w:hAnsiTheme="minorBidi"/>
          <w:rtl/>
        </w:rPr>
        <w:t>.</w:t>
      </w:r>
    </w:p>
    <w:p w14:paraId="67E857AB" w14:textId="77777777" w:rsidR="006A4BF8" w:rsidRPr="008C1C8E" w:rsidRDefault="006A4BF8" w:rsidP="00FF2D21">
      <w:pPr>
        <w:pStyle w:val="a7"/>
        <w:numPr>
          <w:ilvl w:val="0"/>
          <w:numId w:val="51"/>
        </w:numPr>
        <w:rPr>
          <w:rFonts w:asciiTheme="minorBidi" w:hAnsiTheme="minorBidi"/>
        </w:rPr>
      </w:pPr>
      <w:r w:rsidRPr="008C1C8E">
        <w:rPr>
          <w:rFonts w:asciiTheme="minorBidi" w:hAnsiTheme="minorBidi"/>
          <w:rtl/>
        </w:rPr>
        <w:t xml:space="preserve">ר"ן- אין עושין ע"י </w:t>
      </w:r>
      <w:r w:rsidRPr="008C1C8E">
        <w:rPr>
          <w:rFonts w:asciiTheme="minorBidi" w:hAnsiTheme="minorBidi"/>
          <w:b/>
          <w:bCs/>
          <w:rtl/>
        </w:rPr>
        <w:t>גויים וקטנים</w:t>
      </w:r>
      <w:r w:rsidRPr="008C1C8E">
        <w:rPr>
          <w:rFonts w:asciiTheme="minorBidi" w:hAnsiTheme="minorBidi"/>
          <w:rtl/>
        </w:rPr>
        <w:t xml:space="preserve"> שמא יאמרו הרואים בקושי התירו פיקוח נפש ואין מתירין אותו לכתחלה ע"י המחוייבים במצות ואז יבוא הדבר לידי איחור שכשלא ימצאו גוים או קטנים לא ירצו לחלל שבת על ידי גדולי ישראל, ואין אומרין</w:t>
      </w:r>
      <w:r w:rsidRPr="008C1C8E">
        <w:rPr>
          <w:rFonts w:asciiTheme="minorBidi" w:hAnsiTheme="minorBidi"/>
          <w:b/>
          <w:bCs/>
          <w:rtl/>
        </w:rPr>
        <w:t xml:space="preserve"> לנשים וכותיים</w:t>
      </w:r>
      <w:r w:rsidRPr="008C1C8E">
        <w:rPr>
          <w:rFonts w:asciiTheme="minorBidi" w:hAnsiTheme="minorBidi"/>
          <w:rtl/>
        </w:rPr>
        <w:t xml:space="preserve"> לעשות, היינו שאין אנו מייחדים להם מלאכה לאמר תתעסק פלונית או פלוני כותי בפיקוח זה שמא יבואו להרהר ולומר- "הם אינם רוצים לחלל את השבת ומכשילין אותנו", אבל אם נזדמן הדבר לעשות על ידיהם עושין שהרי הן מחוייבים בשבת והוחזקו בה ואין לחשוש כבגויים וקטנים. </w:t>
      </w:r>
    </w:p>
    <w:p w14:paraId="57782CB6" w14:textId="77777777" w:rsidR="006A4BF8" w:rsidRPr="008C1C8E" w:rsidRDefault="006A4BF8" w:rsidP="00FF2D21">
      <w:pPr>
        <w:pStyle w:val="a7"/>
        <w:numPr>
          <w:ilvl w:val="0"/>
          <w:numId w:val="51"/>
        </w:numPr>
        <w:rPr>
          <w:rFonts w:asciiTheme="minorBidi" w:hAnsiTheme="minorBidi"/>
        </w:rPr>
      </w:pPr>
      <w:r w:rsidRPr="008C1C8E">
        <w:rPr>
          <w:rFonts w:asciiTheme="minorBidi" w:hAnsiTheme="minorBidi"/>
          <w:rtl/>
        </w:rPr>
        <w:t>רמב"ם</w:t>
      </w:r>
      <w:r w:rsidRPr="008C1C8E">
        <w:rPr>
          <w:rFonts w:asciiTheme="minorBidi" w:hAnsiTheme="minorBidi"/>
          <w:sz w:val="16"/>
          <w:szCs w:val="16"/>
          <w:rtl/>
        </w:rPr>
        <w:t xml:space="preserve"> (פ"ב ה"ג)</w:t>
      </w:r>
      <w:r w:rsidRPr="008C1C8E">
        <w:rPr>
          <w:rFonts w:asciiTheme="minorBidi" w:hAnsiTheme="minorBidi"/>
          <w:rtl/>
        </w:rPr>
        <w:t xml:space="preserve">- הטעם </w:t>
      </w:r>
      <w:r w:rsidRPr="008C1C8E">
        <w:rPr>
          <w:rFonts w:asciiTheme="minorBidi" w:hAnsiTheme="minorBidi"/>
          <w:b/>
          <w:bCs/>
          <w:rtl/>
        </w:rPr>
        <w:t>בנשים ועבדים</w:t>
      </w:r>
      <w:r w:rsidRPr="008C1C8E">
        <w:rPr>
          <w:rFonts w:asciiTheme="minorBidi" w:hAnsiTheme="minorBidi"/>
          <w:rtl/>
        </w:rPr>
        <w:t xml:space="preserve"> </w:t>
      </w:r>
      <w:r w:rsidRPr="008C1C8E">
        <w:rPr>
          <w:rFonts w:asciiTheme="minorBidi" w:hAnsiTheme="minorBidi"/>
          <w:sz w:val="16"/>
          <w:szCs w:val="16"/>
          <w:rtl/>
        </w:rPr>
        <w:t>(הרמב"ם גרס עבדים במקום כותיים)</w:t>
      </w:r>
      <w:r w:rsidRPr="008C1C8E">
        <w:rPr>
          <w:rFonts w:asciiTheme="minorBidi" w:hAnsiTheme="minorBidi"/>
          <w:rtl/>
        </w:rPr>
        <w:t xml:space="preserve"> הוא כדי שלא תהא שבת קלה בעיניהם.</w:t>
      </w:r>
    </w:p>
  </w:footnote>
  <w:footnote w:id="3208">
    <w:p w14:paraId="38582A0B"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לאו גדולים בחכמה קאמר כדמשמע לכאורה ממש"כ הרמב"ם- "אלא על ידי גדולי ישראל וחכמיהם", דא"כ מאי איריא נשים וכותיים אפילו שאר אינשי נמי, אלא ודאי גדולים לאפוקי קטנים, ישראל לאפוקי גוים, והוסיף הרמב"ם וחכמיהם כלומר שהם בני דעת לאפוקי נשים ועבדים שדעתן קלה, ב"י. אך הט"ז</w:t>
      </w:r>
      <w:r w:rsidRPr="008C1C8E">
        <w:rPr>
          <w:rFonts w:asciiTheme="minorBidi" w:hAnsiTheme="minorBidi"/>
          <w:sz w:val="16"/>
          <w:szCs w:val="16"/>
          <w:rtl/>
        </w:rPr>
        <w:t xml:space="preserve"> (סק"ה)</w:t>
      </w:r>
      <w:r w:rsidRPr="008C1C8E">
        <w:rPr>
          <w:rFonts w:asciiTheme="minorBidi" w:hAnsiTheme="minorBidi"/>
          <w:rtl/>
        </w:rPr>
        <w:t xml:space="preserve"> חלק על הב"י וכ' דגדולי ישראל היינו חכמי ישראל ממש.</w:t>
      </w:r>
    </w:p>
  </w:footnote>
  <w:footnote w:id="3209">
    <w:p w14:paraId="2951BF5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כן נראה שהבין הרמ"א מדברי השו"ע שהרי כ'- וי"א וכו'.. וכן הבין החכמת שלמה.</w:t>
      </w:r>
    </w:p>
  </w:footnote>
  <w:footnote w:id="3210">
    <w:p w14:paraId="402724A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הא דאיכא בזה מצווה הוא מדברי התוס' (ד"ה אלא).</w:t>
      </w:r>
    </w:p>
  </w:footnote>
  <w:footnote w:id="3211">
    <w:p w14:paraId="38B7158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כמדומה לי שנוהגין כדברי ראבי"ה, דרכ"מ (אות טו).</w:t>
      </w:r>
    </w:p>
  </w:footnote>
  <w:footnote w:id="3212">
    <w:p w14:paraId="62C0DE1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בשו"ע שלפנינו ובדפו"ר איתא "גוים וכותים", אמנם במהדורות מאוחרות (וכן במהדורה שהייתה לפני הגר"א) כ' "</w:t>
      </w:r>
      <w:r>
        <w:rPr>
          <w:rFonts w:asciiTheme="minorBidi" w:hAnsiTheme="minorBidi"/>
          <w:rtl/>
        </w:rPr>
        <w:t>גוי</w:t>
      </w:r>
      <w:r w:rsidRPr="008C1C8E">
        <w:rPr>
          <w:rFonts w:asciiTheme="minorBidi" w:hAnsiTheme="minorBidi"/>
          <w:rtl/>
        </w:rPr>
        <w:t xml:space="preserve">" והשמיטו "כותים", הגוה"ע פריעדמאן (אות כז).  </w:t>
      </w:r>
    </w:p>
  </w:footnote>
  <w:footnote w:id="3213">
    <w:p w14:paraId="1C14E53C"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ועיין בט"ז (ססק"ה) דכ' דמה שנרשם כאן במראה מקום- "תוס' והר"ן" הוא טעות המעתיק, משום שתוס' והר"ן סוברים שאין לעשות ע"י גוי אף כשאין חשש שמא הגוי יתעצל וכדו'.</w:t>
      </w:r>
    </w:p>
  </w:footnote>
  <w:footnote w:id="3214">
    <w:p w14:paraId="68AAF03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דשקומברנ"ש (פינוי) בלעז, בכל דבר שצריך לו לנפש להעביר סכנת מות, רש"י.</w:t>
      </w:r>
    </w:p>
  </w:footnote>
  <w:footnote w:id="3215">
    <w:p w14:paraId="00CE110D"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עמו, כל הני אע"ג דקאמר הכא משנה יתירה דייק, דקתני: ואינו צריך ליטול רשות, למה ליה דתני הכא, הא תני ליה והזריז הרי זה משובח, אלא הא אתא לאשמועינן, שאפילו הוא צריך לדבר, רש"י.</w:t>
      </w:r>
    </w:p>
  </w:footnote>
  <w:footnote w:id="3216">
    <w:p w14:paraId="7C70D37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כדי להשפיל שפת הבור, ויהא נוח ליכנס, רש"י.</w:t>
      </w:r>
    </w:p>
  </w:footnote>
  <w:footnote w:id="3217">
    <w:p w14:paraId="0F6E9CB0"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והתינוק נבעת, רש"י.</w:t>
      </w:r>
    </w:p>
  </w:footnote>
  <w:footnote w:id="3218">
    <w:p w14:paraId="217DBA0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נסרים שצריך להם, לישנא אחרינא: בשיפי - קיסמין להדלקה, רש"י.</w:t>
      </w:r>
    </w:p>
  </w:footnote>
  <w:footnote w:id="3219">
    <w:p w14:paraId="6F56207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אם ילך לבית דין לישאל - אזיל ליה לאיבוד, רש"י.</w:t>
      </w:r>
    </w:p>
  </w:footnote>
  <w:footnote w:id="3220">
    <w:p w14:paraId="562950F9"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מפתהו, ומקרקש לו אגוזים, רש"י.</w:t>
      </w:r>
    </w:p>
  </w:footnote>
  <w:footnote w:id="3221">
    <w:p w14:paraId="0A143A2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 מחצה"ש שכך הדין רק כשאין לו דרך אחרת אבל אם יש לו דרך אחרת ועושה כך דוקא כדי להרוויח את מה שרוצה בו אסור. </w:t>
      </w:r>
    </w:p>
  </w:footnote>
  <w:footnote w:id="3222">
    <w:p w14:paraId="4507878A"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המטה יהודה </w:t>
      </w:r>
      <w:r w:rsidRPr="008C1C8E">
        <w:rPr>
          <w:rFonts w:asciiTheme="minorBidi" w:hAnsiTheme="minorBidi"/>
          <w:sz w:val="16"/>
          <w:szCs w:val="16"/>
          <w:rtl/>
        </w:rPr>
        <w:t xml:space="preserve">(סי' שכח) </w:t>
      </w:r>
      <w:r w:rsidRPr="008C1C8E">
        <w:rPr>
          <w:rFonts w:asciiTheme="minorBidi" w:hAnsiTheme="minorBidi"/>
          <w:rtl/>
        </w:rPr>
        <w:t xml:space="preserve">הבין בדעת השו"ע </w:t>
      </w:r>
      <w:r w:rsidRPr="008C1C8E">
        <w:rPr>
          <w:rFonts w:asciiTheme="minorBidi" w:hAnsiTheme="minorBidi"/>
          <w:sz w:val="16"/>
          <w:szCs w:val="16"/>
          <w:rtl/>
        </w:rPr>
        <w:t xml:space="preserve">(שכ' דכשצריך החולה בשר שוחטים לו ואין מאכילים אותו נבילה) </w:t>
      </w:r>
      <w:r w:rsidRPr="008C1C8E">
        <w:rPr>
          <w:rFonts w:asciiTheme="minorBidi" w:hAnsiTheme="minorBidi"/>
          <w:rtl/>
        </w:rPr>
        <w:t xml:space="preserve">דס"ל למרן כמ"ד הותרה וכן הבין בשו"ת שמש צדקה </w:t>
      </w:r>
      <w:r w:rsidRPr="008C1C8E">
        <w:rPr>
          <w:rFonts w:asciiTheme="minorBidi" w:hAnsiTheme="minorBidi"/>
          <w:sz w:val="16"/>
          <w:szCs w:val="16"/>
          <w:rtl/>
        </w:rPr>
        <w:t xml:space="preserve">(סי' כט) </w:t>
      </w:r>
      <w:r w:rsidRPr="008C1C8E">
        <w:rPr>
          <w:rFonts w:asciiTheme="minorBidi" w:hAnsiTheme="minorBidi"/>
          <w:rtl/>
        </w:rPr>
        <w:t xml:space="preserve">ובשו"ת משכן בצלאל </w:t>
      </w:r>
      <w:r w:rsidRPr="008C1C8E">
        <w:rPr>
          <w:rFonts w:asciiTheme="minorBidi" w:hAnsiTheme="minorBidi"/>
          <w:sz w:val="16"/>
          <w:szCs w:val="16"/>
          <w:rtl/>
        </w:rPr>
        <w:t>(סי' רלב דע"ט ד"ה וא"ת)</w:t>
      </w:r>
      <w:r w:rsidRPr="008C1C8E">
        <w:rPr>
          <w:rFonts w:asciiTheme="minorBidi" w:hAnsiTheme="minorBidi"/>
          <w:rtl/>
        </w:rPr>
        <w:t>, אמנם אפ"ל דאין מזה הכרח לומר כן בדע' מרן דהא הר"ן הוא מהסוברים שהיא דחויה ואפי"ה ס"ל דשוחטין מטעם דבנבלה יעבור על כל כזית וכזית, הערות על הרשב"א (ח"ז שמג).</w:t>
      </w:r>
    </w:p>
  </w:footnote>
  <w:footnote w:id="3223">
    <w:p w14:paraId="4CE79AC4"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היינו האם עוברים על איסור שחיטה בשבת שחיובו סקילה או שמאכילים אותו נבילה והוא עובר על לאו.</w:t>
      </w:r>
    </w:p>
  </w:footnote>
  <w:footnote w:id="3224">
    <w:p w14:paraId="6C291EAD"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והר"ן </w:t>
      </w:r>
      <w:r w:rsidRPr="008C1C8E">
        <w:rPr>
          <w:rFonts w:asciiTheme="minorBidi" w:hAnsiTheme="minorBidi"/>
          <w:sz w:val="16"/>
          <w:szCs w:val="16"/>
          <w:rtl/>
        </w:rPr>
        <w:t xml:space="preserve">(ד: ד"ה וגרסי') </w:t>
      </w:r>
      <w:r w:rsidRPr="008C1C8E">
        <w:rPr>
          <w:rFonts w:asciiTheme="minorBidi" w:hAnsiTheme="minorBidi"/>
          <w:rtl/>
        </w:rPr>
        <w:t xml:space="preserve">תמה על טעם זה, שהרי כשם שאתה אומר שאיסור שבת מעכבו מלשחוט כך איסור נבילה מעכבו מלאכול, שאם לא היה איסור נבילה מעכבו היה אוכל אותה, ולמה עומד לפניו איסור שבת יותר מאיסור נבילה? ועי' לעיל בטעמו להתיר. </w:t>
      </w:r>
    </w:p>
  </w:footnote>
  <w:footnote w:id="3225">
    <w:p w14:paraId="008ACC0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טעם זה כ' הרא"ש לאחר שהביא את דברי דברי מהר"ם, וכ'- "ואני שמעתי...." </w:t>
      </w:r>
      <w:r w:rsidRPr="008C1C8E">
        <w:rPr>
          <w:rFonts w:asciiTheme="minorBidi" w:hAnsiTheme="minorBidi"/>
          <w:sz w:val="16"/>
          <w:szCs w:val="16"/>
          <w:rtl/>
        </w:rPr>
        <w:t>(יומא סי' יד)</w:t>
      </w:r>
      <w:r w:rsidRPr="008C1C8E">
        <w:rPr>
          <w:rFonts w:asciiTheme="minorBidi" w:hAnsiTheme="minorBidi"/>
          <w:rtl/>
        </w:rPr>
        <w:t xml:space="preserve"> וכן- "ועוד שמעתי טעם אחר..." </w:t>
      </w:r>
      <w:r w:rsidRPr="008C1C8E">
        <w:rPr>
          <w:rFonts w:asciiTheme="minorBidi" w:hAnsiTheme="minorBidi"/>
          <w:sz w:val="16"/>
          <w:szCs w:val="16"/>
          <w:rtl/>
        </w:rPr>
        <w:t>(בתשו' כלל כו סי' ה)</w:t>
      </w:r>
      <w:r w:rsidRPr="008C1C8E">
        <w:rPr>
          <w:rFonts w:asciiTheme="minorBidi" w:hAnsiTheme="minorBidi"/>
          <w:rtl/>
        </w:rPr>
        <w:t xml:space="preserve">. וכ"כ הגה' מרדכי </w:t>
      </w:r>
      <w:r w:rsidRPr="008C1C8E">
        <w:rPr>
          <w:rFonts w:asciiTheme="minorBidi" w:hAnsiTheme="minorBidi"/>
          <w:sz w:val="16"/>
          <w:szCs w:val="16"/>
          <w:rtl/>
        </w:rPr>
        <w:t>(פרק מפנין קפ ע"ג סי' תסג)</w:t>
      </w:r>
      <w:r w:rsidRPr="008C1C8E">
        <w:rPr>
          <w:rFonts w:asciiTheme="minorBidi" w:hAnsiTheme="minorBidi"/>
          <w:rtl/>
        </w:rPr>
        <w:t xml:space="preserve"> והרדב"ז </w:t>
      </w:r>
      <w:r w:rsidRPr="008C1C8E">
        <w:rPr>
          <w:rFonts w:asciiTheme="minorBidi" w:hAnsiTheme="minorBidi"/>
          <w:sz w:val="14"/>
          <w:szCs w:val="14"/>
          <w:rtl/>
        </w:rPr>
        <w:t>(ח"ד סי' קל)</w:t>
      </w:r>
      <w:r w:rsidRPr="008C1C8E">
        <w:rPr>
          <w:rFonts w:asciiTheme="minorBidi" w:hAnsiTheme="minorBidi"/>
          <w:rtl/>
        </w:rPr>
        <w:t xml:space="preserve"> אך הרשב"א כ' </w:t>
      </w:r>
      <w:r w:rsidRPr="008C1C8E">
        <w:rPr>
          <w:rFonts w:asciiTheme="minorBidi" w:hAnsiTheme="minorBidi"/>
          <w:sz w:val="16"/>
          <w:szCs w:val="16"/>
          <w:rtl/>
        </w:rPr>
        <w:t xml:space="preserve">(סי' תרפט) </w:t>
      </w:r>
      <w:r w:rsidRPr="008C1C8E">
        <w:rPr>
          <w:rFonts w:asciiTheme="minorBidi" w:hAnsiTheme="minorBidi"/>
          <w:rtl/>
        </w:rPr>
        <w:t xml:space="preserve">דהוא טעם חלוש מאוד. </w:t>
      </w:r>
    </w:p>
  </w:footnote>
  <w:footnote w:id="3226">
    <w:p w14:paraId="67C137A0"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ונראה נפ"מ מדבריו שאם החולה אינו צריך אלא לכזית אז עדיף להאכילו נבלה מלשחוט לו ולעבור על איסור סקילה.</w:t>
      </w:r>
    </w:p>
  </w:footnote>
  <w:footnote w:id="3227">
    <w:p w14:paraId="7A7FD93A"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ויצא לנו משני הטעמים שאם החולה בעצמו בא לפקח על עצמו כגון שאין שם אחרים ויודע בעצמו שלא יקוץ בנבלה מוטב שיאכל נבלה או יאמר ל</w:t>
      </w:r>
      <w:r>
        <w:rPr>
          <w:rFonts w:asciiTheme="minorBidi" w:hAnsiTheme="minorBidi"/>
          <w:rtl/>
        </w:rPr>
        <w:t>גוי</w:t>
      </w:r>
      <w:r w:rsidRPr="008C1C8E">
        <w:rPr>
          <w:rFonts w:asciiTheme="minorBidi" w:hAnsiTheme="minorBidi"/>
          <w:rtl/>
        </w:rPr>
        <w:t xml:space="preserve"> לנבל ולא ישחוט הוא בידו דהכא איסור לאו והכא איסור סקילה, רדב"ז.</w:t>
      </w:r>
    </w:p>
  </w:footnote>
  <w:footnote w:id="3228">
    <w:p w14:paraId="15BD8527"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 הט"ז </w:t>
      </w:r>
      <w:r w:rsidRPr="008C1C8E">
        <w:rPr>
          <w:rFonts w:asciiTheme="minorBidi" w:hAnsiTheme="minorBidi"/>
          <w:sz w:val="16"/>
          <w:szCs w:val="16"/>
          <w:rtl/>
        </w:rPr>
        <w:t xml:space="preserve">(סק"ו) </w:t>
      </w:r>
      <w:r w:rsidRPr="008C1C8E">
        <w:rPr>
          <w:rFonts w:asciiTheme="minorBidi" w:hAnsiTheme="minorBidi"/>
          <w:rtl/>
        </w:rPr>
        <w:t>שלדעת מהר"ם ורא"ש וסיעתם ה"ה כשחולה צריך שיחממו לו יין, שעדיף שיחמם ישראל את היין מאשר שגוי יחמם והיין יתנסך, וכ"פ הב"ח, ומש"כ הראבי"ה</w:t>
      </w:r>
      <w:r w:rsidRPr="008C1C8E">
        <w:rPr>
          <w:rFonts w:asciiTheme="minorBidi" w:hAnsiTheme="minorBidi"/>
          <w:sz w:val="16"/>
          <w:szCs w:val="16"/>
          <w:rtl/>
        </w:rPr>
        <w:t xml:space="preserve"> (הובא במרדכי סי' תסז) </w:t>
      </w:r>
      <w:r w:rsidRPr="008C1C8E">
        <w:rPr>
          <w:rFonts w:asciiTheme="minorBidi" w:hAnsiTheme="minorBidi"/>
          <w:rtl/>
        </w:rPr>
        <w:t xml:space="preserve">שעדיף שהיין יתנסך ושהחולה ישתה יין נסך מאשר שישראל יחלל את השבת- הוא משום דסבירא ליה כהיש אומרים שהביא הראב"ד </w:t>
      </w:r>
      <w:r w:rsidRPr="008C1C8E">
        <w:rPr>
          <w:rFonts w:asciiTheme="minorBidi" w:hAnsiTheme="minorBidi"/>
          <w:sz w:val="16"/>
          <w:szCs w:val="16"/>
          <w:rtl/>
        </w:rPr>
        <w:t>(היינו כדעת הרשב"א)</w:t>
      </w:r>
      <w:r w:rsidRPr="008C1C8E">
        <w:rPr>
          <w:rFonts w:asciiTheme="minorBidi" w:hAnsiTheme="minorBidi"/>
          <w:rtl/>
        </w:rPr>
        <w:t xml:space="preserve">. וכ' הדרכ"מ </w:t>
      </w:r>
      <w:r w:rsidRPr="008C1C8E">
        <w:rPr>
          <w:rFonts w:asciiTheme="minorBidi" w:hAnsiTheme="minorBidi"/>
          <w:sz w:val="16"/>
          <w:szCs w:val="16"/>
          <w:rtl/>
        </w:rPr>
        <w:t xml:space="preserve">(הארוך אות ג) </w:t>
      </w:r>
      <w:r w:rsidRPr="008C1C8E">
        <w:rPr>
          <w:rFonts w:asciiTheme="minorBidi" w:hAnsiTheme="minorBidi"/>
          <w:rtl/>
        </w:rPr>
        <w:t xml:space="preserve">על דברי הראבי"ה שבאמת שאני יין נסך שאינו איסור דאו' כנבילה ועוד שנפשו של אדם לא קצה בו כבנבילה אבל מ"מ הרי כ' התוס' והר"ן דאסור לעשות דברים אלו ע"י גוי, והשאירו בצ"ע, וכ' עוד שכמדומה לו שכן נוהגים </w:t>
      </w:r>
      <w:r w:rsidRPr="008C1C8E">
        <w:rPr>
          <w:rFonts w:asciiTheme="minorBidi" w:hAnsiTheme="minorBidi"/>
          <w:sz w:val="16"/>
          <w:szCs w:val="16"/>
          <w:rtl/>
        </w:rPr>
        <w:t xml:space="preserve">(כדברי הראבי"ה- לעשות </w:t>
      </w:r>
      <w:r w:rsidRPr="008C1C8E">
        <w:rPr>
          <w:rFonts w:asciiTheme="minorBidi" w:hAnsiTheme="minorBidi"/>
          <w:sz w:val="16"/>
          <w:szCs w:val="16"/>
          <w:u w:val="single"/>
          <w:rtl/>
        </w:rPr>
        <w:t>הכל</w:t>
      </w:r>
      <w:r w:rsidRPr="008C1C8E">
        <w:rPr>
          <w:rFonts w:asciiTheme="minorBidi" w:hAnsiTheme="minorBidi"/>
          <w:sz w:val="16"/>
          <w:szCs w:val="16"/>
          <w:rtl/>
        </w:rPr>
        <w:t xml:space="preserve"> ע"י גוי היכא דאין שיהוי כלל)</w:t>
      </w:r>
      <w:r w:rsidRPr="008C1C8E">
        <w:rPr>
          <w:rFonts w:asciiTheme="minorBidi" w:hAnsiTheme="minorBidi"/>
          <w:rtl/>
        </w:rPr>
        <w:t xml:space="preserve">. אמנם בתשו' </w:t>
      </w:r>
      <w:r w:rsidRPr="008C1C8E">
        <w:rPr>
          <w:rFonts w:asciiTheme="minorBidi" w:hAnsiTheme="minorBidi"/>
          <w:sz w:val="16"/>
          <w:szCs w:val="16"/>
          <w:rtl/>
        </w:rPr>
        <w:t xml:space="preserve">(סי' קכד) </w:t>
      </w:r>
      <w:r w:rsidRPr="008C1C8E">
        <w:rPr>
          <w:rFonts w:asciiTheme="minorBidi" w:hAnsiTheme="minorBidi"/>
          <w:rtl/>
        </w:rPr>
        <w:t xml:space="preserve">מתיר רמ"א אפי' לחולה שאין בו סכנה לשתות סתם יינם. אך הב"י </w:t>
      </w:r>
      <w:r w:rsidRPr="008C1C8E">
        <w:rPr>
          <w:rFonts w:asciiTheme="minorBidi" w:hAnsiTheme="minorBidi"/>
          <w:sz w:val="16"/>
          <w:szCs w:val="16"/>
          <w:rtl/>
        </w:rPr>
        <w:t>(סע' יב [ג], עמ' תקו)</w:t>
      </w:r>
      <w:r w:rsidRPr="008C1C8E">
        <w:rPr>
          <w:rFonts w:asciiTheme="minorBidi" w:hAnsiTheme="minorBidi"/>
          <w:rtl/>
        </w:rPr>
        <w:t xml:space="preserve"> פירש את דברי הראבי"ה בעניין אחר, דבחולה שאין בו סכנה הוא, ו-"מוטב שיתנסך היין" דקאמר היינו שהוא קרוב להתנסך, עיי"ש.</w:t>
      </w:r>
    </w:p>
  </w:footnote>
  <w:footnote w:id="3229">
    <w:p w14:paraId="22A9DF0B"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ואם יאכל אחת ירפא, רש"י.</w:t>
      </w:r>
    </w:p>
  </w:footnote>
  <w:footnote w:id="3230">
    <w:p w14:paraId="69DE7379"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חולה שאם לא יעשו לו רפואה זו אין מסוכן למות, ומכל מקום צריך הוא לה, רש"י.</w:t>
      </w:r>
    </w:p>
  </w:footnote>
  <w:footnote w:id="3231">
    <w:p w14:paraId="1600D7EE"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אבל דבר שיש בו סכנה - ישראל עצמו עושה לו, רש"י.</w:t>
      </w:r>
    </w:p>
  </w:footnote>
  <w:footnote w:id="3232">
    <w:p w14:paraId="39687950"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שרוצה לצאת כאדם המורד ויוצא, רש"י. </w:t>
      </w:r>
    </w:p>
  </w:footnote>
  <w:footnote w:id="3233">
    <w:p w14:paraId="7802C03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דלאו סכנת נפשות אלא סכנת עוורון, רש"י.</w:t>
      </w:r>
    </w:p>
  </w:footnote>
  <w:footnote w:id="3234">
    <w:p w14:paraId="1C94C2C4"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שרוצה לצאת כאדם המורד ויוצא, רש"י.</w:t>
      </w:r>
    </w:p>
  </w:footnote>
  <w:footnote w:id="3235">
    <w:p w14:paraId="1200A974"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שהרי מלאכה דאו' ע"י ישראל אסורה בחולה שאיב"ס, ונסתפקו לגבי שבות דאית ביה מעשה ע"י ישראל, דהרי יותר חמור שבות שישראל עושה בקום ועשה מאשר אמירה לגוי שהוא שבות דאין בו מעשה.</w:t>
      </w:r>
    </w:p>
  </w:footnote>
  <w:footnote w:id="3236">
    <w:p w14:paraId="3E718F39"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כדאמרינן בכתובות (ס.) "תניא רבי מרינוס אומר: גונח יונק חלב בשבת. מאי טעמא? יונק מפרק כלאחר יד ובמקום צערא לא גזרו רבנן. אמר רב יוסף: הלכה כרבי מרינוס". וכ"פ השו"ע בסע' לג.</w:t>
      </w:r>
    </w:p>
  </w:footnote>
  <w:footnote w:id="3237">
    <w:p w14:paraId="25904D82" w14:textId="77777777" w:rsidR="006A4BF8" w:rsidRPr="008C1C8E" w:rsidRDefault="006A4BF8" w:rsidP="00285819">
      <w:pPr>
        <w:pStyle w:val="a7"/>
        <w:rPr>
          <w:rFonts w:asciiTheme="minorBidi" w:hAnsiTheme="minorBidi"/>
          <w:color w:val="FF0000"/>
        </w:rPr>
      </w:pPr>
      <w:r w:rsidRPr="008C1C8E">
        <w:rPr>
          <w:rStyle w:val="a9"/>
          <w:rFonts w:asciiTheme="minorBidi" w:hAnsiTheme="minorBidi"/>
        </w:rPr>
        <w:footnoteRef/>
      </w:r>
      <w:r w:rsidRPr="008C1C8E">
        <w:rPr>
          <w:rFonts w:asciiTheme="minorBidi" w:hAnsiTheme="minorBidi"/>
          <w:rtl/>
        </w:rPr>
        <w:t xml:space="preserve"> ט"ז (סקי"ב) מג"א (סקי"ד) גר"א (סקמ"א) ובאה"ט (סק"ט), אמנם הב"ח והלבוש (סי"ז) הבינו דעל הרמב"ם קאי שהיא סברת י"א השלישי ולא חשיב דיעה ראשונה דהיינו יש מתירין כו' אלא על ג' י"א קאי. וכ' הט"ז- "ולא ידענא למה פי' כך ולא נפרש עם דיעה קמייתא ותו דא"כ היה לו לומר ודברי סברא זאת נראין כיון דעלה קאי".</w:t>
      </w:r>
    </w:p>
  </w:footnote>
  <w:footnote w:id="3238">
    <w:p w14:paraId="2BFA38D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הט"ז כ' (סק"י) דנ"ל דתשובה זו לאו דסמכא היא או שיש בה איזה ט"ס כי על התשובה לאו מר בר רב אשי חתים עליה וכאן </w:t>
      </w:r>
      <w:r w:rsidRPr="008C1C8E">
        <w:rPr>
          <w:rFonts w:asciiTheme="minorBidi" w:hAnsiTheme="minorBidi"/>
          <w:sz w:val="16"/>
          <w:szCs w:val="16"/>
          <w:rtl/>
        </w:rPr>
        <w:t xml:space="preserve">(היינו דברי הרשב"א בחידושים) </w:t>
      </w:r>
      <w:r w:rsidRPr="008C1C8E">
        <w:rPr>
          <w:rFonts w:asciiTheme="minorBidi" w:hAnsiTheme="minorBidi"/>
          <w:rtl/>
        </w:rPr>
        <w:t>הה"מ העיד על הרשב"א שכ"כ, וא"כ אין שום מקור ליש מתירין הראשון דעל הטור קמרמז דיליף כן מדברי רמב"ם לקולא דכבר דחאו ב"י, וכ"ש לפי מה שהקשינו מן הגמ' דאמימר.</w:t>
      </w:r>
    </w:p>
  </w:footnote>
  <w:footnote w:id="3239">
    <w:p w14:paraId="3964387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 הב"י דקשה על הבנת הטור ברמב"ם, דאם כסברתו היאך כ' הרמב"ם שכוחל עיניו מן הגוי בשבת ומאי איריא מן הגוי אפילו מישראל נמי הוה ליה למישרי כיון דכוחל לא מיתסר אלא מדרבנן כדאיתא בסוף פרק המצניע (צד:).</w:t>
      </w:r>
    </w:p>
  </w:footnote>
  <w:footnote w:id="3240">
    <w:p w14:paraId="54D6562A"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כמו שהבין הב"י בהסברו של הה"מ בדברי הרמב"ם, אך המג"א </w:t>
      </w:r>
      <w:r w:rsidRPr="008C1C8E">
        <w:rPr>
          <w:rFonts w:asciiTheme="minorBidi" w:hAnsiTheme="minorBidi"/>
          <w:sz w:val="16"/>
          <w:szCs w:val="16"/>
          <w:rtl/>
        </w:rPr>
        <w:t xml:space="preserve">(סקי"ב) </w:t>
      </w:r>
      <w:r w:rsidRPr="008C1C8E">
        <w:rPr>
          <w:rFonts w:asciiTheme="minorBidi" w:hAnsiTheme="minorBidi"/>
          <w:rtl/>
        </w:rPr>
        <w:t xml:space="preserve">פירש אחרת את דברי הה"מ וכ' שיש ג' דרגות: א) סכנת איבר אע"פ שאינו חולי בכל הגוף- כל שבות מותר. ב) חולי בכל הגוף אע"פ שאין סכנת איבר- כל שבות מותר </w:t>
      </w:r>
      <w:r w:rsidRPr="008C1C8E">
        <w:rPr>
          <w:rFonts w:asciiTheme="minorBidi" w:hAnsiTheme="minorBidi"/>
          <w:sz w:val="16"/>
          <w:szCs w:val="16"/>
          <w:rtl/>
        </w:rPr>
        <w:t>(אבל מ"מ הסיבה הראשונה עדיפה)</w:t>
      </w:r>
      <w:r w:rsidRPr="008C1C8E">
        <w:rPr>
          <w:rFonts w:asciiTheme="minorBidi" w:hAnsiTheme="minorBidi"/>
          <w:rtl/>
        </w:rPr>
        <w:t>. ג) חולי באבר אחד- רק אמירה לגוי מותרת, משום שאין סכנת איבר.</w:t>
      </w:r>
    </w:p>
  </w:footnote>
  <w:footnote w:id="3241">
    <w:p w14:paraId="3DB4608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צ"ל דלדעתו העלאת אזנים ואונקלי והחזרת שבר הם חלאים כוללים כל הגוף שאל"כ לא היו מתירים לעשותם ע"י ישראל, ב"י.</w:t>
      </w:r>
    </w:p>
  </w:footnote>
  <w:footnote w:id="3242">
    <w:p w14:paraId="4BE8CC27"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כגון למכחל עינא, ב"י.</w:t>
      </w:r>
    </w:p>
  </w:footnote>
  <w:footnote w:id="3243">
    <w:p w14:paraId="3CECC038"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ואין דבריו ברורים אצלי שהרי מה שכתב הרמב"ם שכוחל עיניו מן הגוי דמשמע אבל לא מישראל וגם מה שכתב ואם היו צרכים שאין בהם מלאכה עושין אותם אפילו על ידי ישראל אחולה שאין בו סכנה דקתני ברישא קאי ולא נרמז בלשונו חילוק בין סכנת אבר לחולי הכולל כל הגוף, ב"י.</w:t>
      </w:r>
    </w:p>
  </w:footnote>
  <w:footnote w:id="3244">
    <w:p w14:paraId="61970C31"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בסקי"א, וחזר בו (הט"ז) ממה שהשיג בסק"ז על הבנת הב"י ברמב"ם.</w:t>
      </w:r>
    </w:p>
  </w:footnote>
  <w:footnote w:id="3245">
    <w:p w14:paraId="7ABBAA8F"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שדברים אלו לא נאסרו מפני שהם דומים למלאכה וגם ליכא למיגזר בהו משום שחיקת סממנין שאין דברים הללו נעשים בסממנין, וזהו שכתב כאן הרמב"ם- "ואם היו צרכים שאין בהם מלאכה עושין אותם על ידי ישראל". ובפרק כ"א (הל"א) כ'- "ומותר לכפות כוס על הטבור בשבת ולהעלות אזנים בין ביד בין בכלי ולהעלות אונקלי שכל אלו וכיוצא בהם אין עושין אותם בסממנין כדי לחוש לשחיקה ויש לו צער מהן", ב"י.</w:t>
      </w:r>
    </w:p>
  </w:footnote>
  <w:footnote w:id="3246">
    <w:p w14:paraId="0C8B2C5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דוקא שצריך לה בשבת עצמו (רד"ך, בית כ"ב חדר ו), מג"א (סקי"א).</w:t>
      </w:r>
    </w:p>
  </w:footnote>
  <w:footnote w:id="3247">
    <w:p w14:paraId="5230806F"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רמב"ם </w:t>
      </w:r>
      <w:r w:rsidRPr="008C1C8E">
        <w:rPr>
          <w:rFonts w:asciiTheme="minorBidi" w:hAnsiTheme="minorBidi"/>
          <w:sz w:val="16"/>
          <w:szCs w:val="16"/>
          <w:rtl/>
        </w:rPr>
        <w:t>(פ"ב ה"י)</w:t>
      </w:r>
      <w:r w:rsidRPr="008C1C8E">
        <w:rPr>
          <w:rFonts w:asciiTheme="minorBidi" w:hAnsiTheme="minorBidi"/>
          <w:rtl/>
        </w:rPr>
        <w:t xml:space="preserve"> רשב"א </w:t>
      </w:r>
      <w:r w:rsidRPr="008C1C8E">
        <w:rPr>
          <w:rFonts w:asciiTheme="minorBidi" w:hAnsiTheme="minorBidi"/>
          <w:sz w:val="16"/>
          <w:szCs w:val="16"/>
          <w:rtl/>
        </w:rPr>
        <w:t>(תוה"ב ב"ג ש"ג צג:)</w:t>
      </w:r>
      <w:r w:rsidRPr="008C1C8E">
        <w:rPr>
          <w:rFonts w:asciiTheme="minorBidi" w:hAnsiTheme="minorBidi"/>
          <w:rtl/>
        </w:rPr>
        <w:t xml:space="preserve"> ורי"ו </w:t>
      </w:r>
      <w:r w:rsidRPr="008C1C8E">
        <w:rPr>
          <w:rFonts w:asciiTheme="minorBidi" w:hAnsiTheme="minorBidi"/>
          <w:sz w:val="16"/>
          <w:szCs w:val="16"/>
          <w:rtl/>
        </w:rPr>
        <w:t>(תוא"ו ני"ב ח"ט עט ב)</w:t>
      </w:r>
      <w:r w:rsidRPr="008C1C8E">
        <w:rPr>
          <w:rFonts w:asciiTheme="minorBidi" w:hAnsiTheme="minorBidi"/>
          <w:rtl/>
        </w:rPr>
        <w:t xml:space="preserve">, ולית בה משום בישולי גוים, וכ"כ הר"ן </w:t>
      </w:r>
      <w:r w:rsidRPr="008C1C8E">
        <w:rPr>
          <w:rFonts w:asciiTheme="minorBidi" w:hAnsiTheme="minorBidi"/>
          <w:sz w:val="16"/>
          <w:szCs w:val="16"/>
          <w:rtl/>
        </w:rPr>
        <w:t>(ע"ז ט. ד"ה כי)</w:t>
      </w:r>
      <w:r w:rsidRPr="008C1C8E">
        <w:rPr>
          <w:rFonts w:asciiTheme="minorBidi" w:hAnsiTheme="minorBidi"/>
          <w:rtl/>
        </w:rPr>
        <w:t xml:space="preserve"> דנוהגין כן, אמנם בכל המקומות הללו לא נזכר דין קטן אלא רק לגבי חולה שאיב"ס אבל סמך הרמ"א על מש"כ בסי' רעו ס"א</w:t>
      </w:r>
      <w:r w:rsidRPr="008C1C8E">
        <w:rPr>
          <w:rFonts w:asciiTheme="minorBidi" w:hAnsiTheme="minorBidi"/>
          <w:sz w:val="16"/>
          <w:szCs w:val="16"/>
          <w:rtl/>
        </w:rPr>
        <w:t xml:space="preserve"> (ובדרכ"מ שם סוף אות א בשם המרדכי) </w:t>
      </w:r>
      <w:r w:rsidRPr="008C1C8E">
        <w:rPr>
          <w:rFonts w:asciiTheme="minorBidi" w:hAnsiTheme="minorBidi"/>
          <w:rtl/>
        </w:rPr>
        <w:t>דתינוק דינו כחולה שאיב"ס, ומ"מ אסור לבריא במוצ"ש משום בישולי גוים, והרא"ה</w:t>
      </w:r>
      <w:r w:rsidRPr="008C1C8E">
        <w:rPr>
          <w:rFonts w:asciiTheme="minorBidi" w:hAnsiTheme="minorBidi"/>
          <w:sz w:val="16"/>
          <w:szCs w:val="16"/>
          <w:rtl/>
        </w:rPr>
        <w:t xml:space="preserve"> (בדק הבית שם)</w:t>
      </w:r>
      <w:r w:rsidRPr="008C1C8E">
        <w:rPr>
          <w:rFonts w:asciiTheme="minorBidi" w:hAnsiTheme="minorBidi"/>
          <w:rtl/>
        </w:rPr>
        <w:t xml:space="preserve"> מתיר.</w:t>
      </w:r>
    </w:p>
  </w:footnote>
  <w:footnote w:id="3248">
    <w:p w14:paraId="29BC0E1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לאו דוקא לחולה אלא ה"ה לאחר, והיינו דהסיוע תהיה דוקא בשעה שה</w:t>
      </w:r>
      <w:r>
        <w:rPr>
          <w:rFonts w:asciiTheme="minorBidi" w:hAnsiTheme="minorBidi"/>
          <w:rtl/>
        </w:rPr>
        <w:t>גוי</w:t>
      </w:r>
      <w:r w:rsidRPr="008C1C8E">
        <w:rPr>
          <w:rFonts w:asciiTheme="minorBidi" w:hAnsiTheme="minorBidi"/>
          <w:rtl/>
        </w:rPr>
        <w:t xml:space="preserve"> עוסק בה בלא שיקדים לפניו כלל, ע"פ ט"ז</w:t>
      </w:r>
      <w:r w:rsidRPr="008C1C8E">
        <w:rPr>
          <w:rFonts w:asciiTheme="minorBidi" w:hAnsiTheme="minorBidi"/>
          <w:sz w:val="16"/>
          <w:szCs w:val="16"/>
          <w:rtl/>
        </w:rPr>
        <w:t xml:space="preserve"> (סקי"ג)</w:t>
      </w:r>
      <w:r w:rsidRPr="008C1C8E">
        <w:rPr>
          <w:rFonts w:asciiTheme="minorBidi" w:hAnsiTheme="minorBidi"/>
          <w:rtl/>
        </w:rPr>
        <w:t xml:space="preserve">. </w:t>
      </w:r>
    </w:p>
  </w:footnote>
  <w:footnote w:id="3249">
    <w:p w14:paraId="2E74AA0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לא מצאו עצים מוכנים להיסק ביום הקזה, וצוה ובקעו כסא של תדהר, שהוא מעולה בדמים, רש"י.</w:t>
      </w:r>
    </w:p>
  </w:footnote>
  <w:footnote w:id="3250">
    <w:p w14:paraId="4CAB67B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מין ארז הוא, ורבינו הלוי אמר: בוי"ש (עץ הבוק), רש"י.</w:t>
      </w:r>
    </w:p>
  </w:footnote>
  <w:footnote w:id="3251">
    <w:p w14:paraId="66B6D8E1"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ספסל, רש"י.</w:t>
      </w:r>
    </w:p>
  </w:footnote>
  <w:footnote w:id="3252">
    <w:p w14:paraId="0FAB242E"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חולה שאם לא יעשו לו רפואה זו אין מסוכן למות, ומכל מקום צריך הוא לה, רש"י.</w:t>
      </w:r>
    </w:p>
  </w:footnote>
  <w:footnote w:id="3253">
    <w:p w14:paraId="3397B687"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אבל דבר שיש בו סכנה - ישראל עצמו עושה לו, רש"י.</w:t>
      </w:r>
    </w:p>
  </w:footnote>
  <w:footnote w:id="3254">
    <w:p w14:paraId="5E422D4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רי"ו</w:t>
      </w:r>
      <w:r w:rsidRPr="008C1C8E">
        <w:rPr>
          <w:rFonts w:asciiTheme="minorBidi" w:hAnsiTheme="minorBidi"/>
          <w:sz w:val="16"/>
          <w:szCs w:val="16"/>
          <w:rtl/>
        </w:rPr>
        <w:t xml:space="preserve"> (ני"ב ח"ט עב, ב) </w:t>
      </w:r>
      <w:r w:rsidRPr="008C1C8E">
        <w:rPr>
          <w:rFonts w:asciiTheme="minorBidi" w:hAnsiTheme="minorBidi"/>
          <w:rtl/>
        </w:rPr>
        <w:t>בשם הרמב"ם</w:t>
      </w:r>
      <w:r w:rsidRPr="008C1C8E">
        <w:rPr>
          <w:rFonts w:asciiTheme="minorBidi" w:hAnsiTheme="minorBidi"/>
          <w:sz w:val="16"/>
          <w:szCs w:val="16"/>
          <w:rtl/>
        </w:rPr>
        <w:t xml:space="preserve"> (פ"ב ה"י)</w:t>
      </w:r>
      <w:r w:rsidRPr="008C1C8E">
        <w:rPr>
          <w:rFonts w:asciiTheme="minorBidi" w:hAnsiTheme="minorBidi"/>
          <w:rtl/>
        </w:rPr>
        <w:t>, וכ"כ הר"ן</w:t>
      </w:r>
      <w:r w:rsidRPr="008C1C8E">
        <w:rPr>
          <w:rFonts w:asciiTheme="minorBidi" w:hAnsiTheme="minorBidi"/>
          <w:sz w:val="16"/>
          <w:szCs w:val="16"/>
          <w:rtl/>
        </w:rPr>
        <w:t xml:space="preserve"> (ע"ז ט.)</w:t>
      </w:r>
      <w:r w:rsidRPr="008C1C8E">
        <w:rPr>
          <w:rFonts w:asciiTheme="minorBidi" w:hAnsiTheme="minorBidi"/>
          <w:rtl/>
        </w:rPr>
        <w:t xml:space="preserve">. </w:t>
      </w:r>
    </w:p>
  </w:footnote>
  <w:footnote w:id="3255">
    <w:p w14:paraId="2BCF4379"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"שהנכרי שבא לבשל לחולה והוא בשבת בזמן האסור לנו לבשל שלא אסרו משום בשולי נכרים כלל דלא שייך הכא משום חתנות ולא עוד אלא שמותר לבריא במוצאי שבת", רא"ה (בדה"ב על תוה"ב בית ג שער ז).</w:t>
      </w:r>
    </w:p>
  </w:footnote>
  <w:footnote w:id="3256">
    <w:p w14:paraId="495C5485"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בסי' שיח סע' ב, וכן ביו"ד סי' קיג סט"ז.</w:t>
      </w:r>
    </w:p>
  </w:footnote>
  <w:footnote w:id="3257">
    <w:p w14:paraId="76234ACE"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בנה"כ סי' קיג אות ב.</w:t>
      </w:r>
    </w:p>
  </w:footnote>
  <w:footnote w:id="3258">
    <w:p w14:paraId="42F9AE8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סי' שיח סע' ב סק"ז.</w:t>
      </w:r>
    </w:p>
  </w:footnote>
  <w:footnote w:id="3259">
    <w:p w14:paraId="7FA96E3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משמרת הבית </w:t>
      </w:r>
      <w:r w:rsidRPr="008C1C8E">
        <w:rPr>
          <w:rFonts w:asciiTheme="minorBidi" w:hAnsiTheme="minorBidi"/>
          <w:sz w:val="16"/>
          <w:szCs w:val="16"/>
          <w:rtl/>
        </w:rPr>
        <w:t>(בית ג שער ז, את משמרת הבית כ' הרשב"א [בעילום שם] כהגנה על ספרו תוה"ב מההשגות של בדק הבית שהוא חברו הרא"ה)</w:t>
      </w:r>
      <w:r w:rsidRPr="008C1C8E">
        <w:rPr>
          <w:rFonts w:asciiTheme="minorBidi" w:hAnsiTheme="minorBidi"/>
          <w:rtl/>
        </w:rPr>
        <w:t xml:space="preserve">. </w:t>
      </w:r>
    </w:p>
  </w:footnote>
  <w:footnote w:id="3260">
    <w:p w14:paraId="21F754B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ע"ז (ט. ד"ה כי). ומסתימת הב"י </w:t>
      </w:r>
      <w:r w:rsidRPr="008C1C8E">
        <w:rPr>
          <w:rFonts w:asciiTheme="minorBidi" w:hAnsiTheme="minorBidi"/>
          <w:sz w:val="16"/>
          <w:szCs w:val="16"/>
          <w:rtl/>
        </w:rPr>
        <w:t xml:space="preserve">(בסי' שכח) </w:t>
      </w:r>
      <w:r w:rsidRPr="008C1C8E">
        <w:rPr>
          <w:rFonts w:asciiTheme="minorBidi" w:hAnsiTheme="minorBidi"/>
          <w:rtl/>
        </w:rPr>
        <w:t>נראה שסובר כהר"ן. אמנם הט"ז</w:t>
      </w:r>
      <w:r w:rsidRPr="008C1C8E">
        <w:rPr>
          <w:rFonts w:asciiTheme="minorBidi" w:hAnsiTheme="minorBidi"/>
          <w:sz w:val="16"/>
          <w:szCs w:val="16"/>
          <w:rtl/>
        </w:rPr>
        <w:t xml:space="preserve"> (בסי' קיג סקט"ו)</w:t>
      </w:r>
      <w:r w:rsidRPr="008C1C8E">
        <w:rPr>
          <w:rFonts w:asciiTheme="minorBidi" w:hAnsiTheme="minorBidi"/>
          <w:rtl/>
        </w:rPr>
        <w:t xml:space="preserve"> הבין שהב"י התיר כהרא"ה, וצל"ע מהיכן הבין כך.</w:t>
      </w:r>
    </w:p>
  </w:footnote>
  <w:footnote w:id="3261">
    <w:p w14:paraId="287A6EDD"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דעמיץ ופתח אסור דמוכחא מילתא, רש"י. וכ' הב"י- אלמא דכל היכא דעמיץ ופתח תוך העין מיקרי, וכ"כ הטור, וכ"מ בגמרא גבי קילורין דבסמוך.</w:t>
      </w:r>
    </w:p>
  </w:footnote>
  <w:footnote w:id="3262">
    <w:p w14:paraId="7BFBE17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דאמרי לרחיצה בעלמא עבדי, רש"י.</w:t>
      </w:r>
    </w:p>
  </w:footnote>
  <w:footnote w:id="3263">
    <w:p w14:paraId="0905492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שלא טעם כלום משניעור משנתו, רש"י.</w:t>
      </w:r>
    </w:p>
  </w:footnote>
  <w:footnote w:id="3264">
    <w:p w14:paraId="2AD43C8E"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דמוכחא מילתא דלרפואה, דאילו לרחיצה - מאיס, להכי נקט רוק תפל, לפי שהוא חזק ומרפא, רש"י.</w:t>
      </w:r>
    </w:p>
  </w:footnote>
  <w:footnote w:id="3265">
    <w:p w14:paraId="2B23CFD4"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והאידנא שאין דרך לרחוץ ביין אסור, וכמ"ש רסי' שכ"ז, מג"א (סקי"ט).</w:t>
      </w:r>
    </w:p>
  </w:footnote>
  <w:footnote w:id="3266">
    <w:p w14:paraId="17E8D35B"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ואם רוחץ פיו במים ואח"כ מעבירו על עיניו שרי דאמרינן לרחיצה עביד, מג"א (סק"כ).</w:t>
      </w:r>
    </w:p>
  </w:footnote>
  <w:footnote w:id="3267">
    <w:p w14:paraId="5A010DA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תחבושת שקורין לוז"א (משחה לעינים), רש"י.</w:t>
      </w:r>
    </w:p>
  </w:footnote>
  <w:footnote w:id="3268">
    <w:p w14:paraId="757546A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כו הוא בגמ' שלפנינו, אבל מ"מ אע"ג דיש סוגריים מיירי בערב שבת.</w:t>
      </w:r>
    </w:p>
  </w:footnote>
  <w:footnote w:id="3269">
    <w:p w14:paraId="2F23B0EF"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רטייה, רש"י.</w:t>
      </w:r>
    </w:p>
  </w:footnote>
  <w:footnote w:id="3270">
    <w:p w14:paraId="074792E0"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במים, רש"י.</w:t>
      </w:r>
    </w:p>
  </w:footnote>
  <w:footnote w:id="3271">
    <w:p w14:paraId="5FDA4AE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לוזי"א (תחבושת לעינים) בלעז, רש"י.</w:t>
      </w:r>
    </w:p>
  </w:footnote>
  <w:footnote w:id="3272">
    <w:p w14:paraId="547779B8"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דלדידיה, כיון דאצרכוה לשרותה מערב שבת - איכא היכרא, וליכא למיגזר, ומאן דחזינהו סבר דרחיצה בעלמא היא, דכסבר שהוא יין, רש"י.</w:t>
      </w:r>
    </w:p>
  </w:footnote>
  <w:footnote w:id="3273">
    <w:p w14:paraId="06857BD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דמוכחא מילתא, רש"י.</w:t>
      </w:r>
    </w:p>
  </w:footnote>
  <w:footnote w:id="3274">
    <w:p w14:paraId="49EC7B1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בשבת. ודוקא ברכה אבל בעבה אסור, וכמש"כ סי' רנב ס"ה, מג"א (סקכ"א). אבל מער"ש מותר ליתן עבה כמש"כ בסי' רנב.</w:t>
      </w:r>
    </w:p>
  </w:footnote>
  <w:footnote w:id="3275">
    <w:p w14:paraId="103BCE1F"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שמן, רש"י.</w:t>
      </w:r>
    </w:p>
  </w:footnote>
  <w:footnote w:id="3276">
    <w:p w14:paraId="615F32C8"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גלדי מכה, רש"י.</w:t>
      </w:r>
    </w:p>
  </w:footnote>
  <w:footnote w:id="3277">
    <w:p w14:paraId="1C2C135A"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שנתרפאה המכה, וסיכה ופירכוס משום תענוג, רש"י.</w:t>
      </w:r>
    </w:p>
  </w:footnote>
  <w:footnote w:id="3278">
    <w:p w14:paraId="61EF1E5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פלוגתא דרב ושמואל הוא במעורבין יחד, אבל אם כל אחד באפי נפשיה ודאי מותר כדאיתא בשבת (קיא.) "אבל סך הוא את השמן", תוס' </w:t>
      </w:r>
      <w:r w:rsidRPr="008C1C8E">
        <w:rPr>
          <w:rFonts w:asciiTheme="minorBidi" w:hAnsiTheme="minorBidi"/>
          <w:sz w:val="16"/>
          <w:szCs w:val="16"/>
          <w:rtl/>
        </w:rPr>
        <w:t>(ד"ה ואין מונעין)</w:t>
      </w:r>
      <w:r w:rsidRPr="008C1C8E">
        <w:rPr>
          <w:rFonts w:asciiTheme="minorBidi" w:hAnsiTheme="minorBidi"/>
          <w:rtl/>
        </w:rPr>
        <w:t xml:space="preserve">. (וכל זה הוא בלא מוך, דבמוך חיישינן שמא יסחוט, ועי' בהערה לקמן על דברי השו"ע "ליתנו עליה"). </w:t>
      </w:r>
    </w:p>
  </w:footnote>
  <w:footnote w:id="3279">
    <w:p w14:paraId="2D6CB83E"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גזרה משום שחיקת סמנין, אבל כשנותן חוץ למכה לא מוכחא מילתא דלרפואה עביד.</w:t>
      </w:r>
    </w:p>
  </w:footnote>
  <w:footnote w:id="3280">
    <w:p w14:paraId="3EE4EFED"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"דליכא צערא"- כצ"ל, פירוש, אלא לתענוג, כן הגיה הב"ח, ט"ז (סקט"ז) מג"א (סקכ"ג) ובאה"ט (סקט"ו).</w:t>
      </w:r>
    </w:p>
  </w:footnote>
  <w:footnote w:id="3281">
    <w:p w14:paraId="6FD522E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ואפי' חמין לחוד אסור ע"ג המוך משום סחיטה </w:t>
      </w:r>
      <w:r w:rsidRPr="008C1C8E">
        <w:rPr>
          <w:rFonts w:asciiTheme="minorBidi" w:hAnsiTheme="minorBidi"/>
          <w:sz w:val="16"/>
          <w:szCs w:val="16"/>
          <w:rtl/>
        </w:rPr>
        <w:t>(גמ')</w:t>
      </w:r>
      <w:r w:rsidRPr="008C1C8E">
        <w:rPr>
          <w:rFonts w:asciiTheme="minorBidi" w:hAnsiTheme="minorBidi"/>
          <w:rtl/>
        </w:rPr>
        <w:t xml:space="preserve">, אבל שמן לחוד </w:t>
      </w:r>
      <w:r w:rsidRPr="008C1C8E">
        <w:rPr>
          <w:rFonts w:asciiTheme="minorBidi" w:hAnsiTheme="minorBidi"/>
          <w:sz w:val="16"/>
          <w:szCs w:val="16"/>
          <w:rtl/>
        </w:rPr>
        <w:t>(וכן שאר משקין חוץ ממים)</w:t>
      </w:r>
      <w:r w:rsidRPr="008C1C8E">
        <w:rPr>
          <w:rFonts w:asciiTheme="minorBidi" w:hAnsiTheme="minorBidi"/>
          <w:rtl/>
        </w:rPr>
        <w:t xml:space="preserve"> לא גזרינן, כמש"כ סי' שיט</w:t>
      </w:r>
      <w:r w:rsidRPr="008C1C8E">
        <w:rPr>
          <w:rFonts w:asciiTheme="minorBidi" w:hAnsiTheme="minorBidi"/>
          <w:sz w:val="16"/>
          <w:szCs w:val="16"/>
          <w:rtl/>
        </w:rPr>
        <w:t xml:space="preserve"> (סקי"א)</w:t>
      </w:r>
      <w:r w:rsidRPr="008C1C8E">
        <w:rPr>
          <w:rFonts w:asciiTheme="minorBidi" w:hAnsiTheme="minorBidi"/>
          <w:rtl/>
        </w:rPr>
        <w:t>, ע"פ מג"א (סקכ"ד).</w:t>
      </w:r>
    </w:p>
  </w:footnote>
  <w:footnote w:id="3282">
    <w:p w14:paraId="5EA9B10B"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דלאו לרפואה היא, אלא שלא ישרטו בגדיו הקשים מכתו, רש"י.</w:t>
      </w:r>
    </w:p>
  </w:footnote>
  <w:footnote w:id="3283">
    <w:p w14:paraId="2EF9CFD5"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חתיכות בגדים דקות, משום דמסו, וגזרו משום שחיקת סמנין.</w:t>
      </w:r>
    </w:p>
  </w:footnote>
  <w:footnote w:id="3284">
    <w:p w14:paraId="40A6FA3E"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רישא שרי מוך יבש, דהיינו כתיתין, וסיפא אסר כתיתין, רש"י.</w:t>
      </w:r>
    </w:p>
  </w:footnote>
  <w:footnote w:id="3285">
    <w:p w14:paraId="60DAEA8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וכ' הרא"ש דאפשר שגם רש"י מודה דעתיקי מעלי לרפואה טפי, והא דאמר דעתיקי לא מסו הוא בעתיקי שניתנו ע"ג המכה בעבר אבל אם לא ניתנו ע"ג המכה בעבר מודה דמעלי טפי מחדתי.</w:t>
      </w:r>
    </w:p>
  </w:footnote>
  <w:footnote w:id="3286">
    <w:p w14:paraId="4963F3E4"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חילוק זה איתא בגמ' גבי חתיכות בגדים לתרץ הקושיא דכתיתין, ובטור משמע דקאי גם אספוג דנקט- "חתיכות של בגדים וספוג יבשים וחדשים", ובשו"ע הפך בחזרה, היינו שבספוג מותר אף בישנים, כמו שחלוקים בגמ' לתרי בבי מוך יבש וספוג יבש, ב"ח (עמ' תק ד"ה אכן) וט"ז (סקי"ז) ע"פ משב"ז.</w:t>
      </w:r>
    </w:p>
  </w:footnote>
  <w:footnote w:id="3287">
    <w:p w14:paraId="1A904A2C"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שמרפא בשבת, ורפואה בשבת שבות היא, ואסור, רש"י.</w:t>
      </w:r>
    </w:p>
  </w:footnote>
  <w:footnote w:id="3288">
    <w:p w14:paraId="2C7A336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וה"ה כל עלים שהם מרפאים, מג"א (סקכ"ה).</w:t>
      </w:r>
    </w:p>
  </w:footnote>
  <w:footnote w:id="3289">
    <w:p w14:paraId="6711EF5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כהן שלקה בידו ונתן עליה רטיה מבעו"י והוצרך לעבוד עבודה בשבת או ביום טוב ונטל רטיה מעל ידו שלא תהא חוצצת בינו ובין ידו לעבודה דחציצה פוסלת בה דבעינן ולקח הכהן וכיון דחייץ לא הוי לקיחה בכהן מחזירה במקדש דאי לא שרית ליה להחזירה לא שקיל ליה מידיה וממנע ולא עביד עבודה וזה אחד משלשה דברים האמורים במסכת ביצה שהותרו סופן משום תחילתן, רש"י.</w:t>
      </w:r>
    </w:p>
  </w:footnote>
  <w:footnote w:id="3290">
    <w:p w14:paraId="361709E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גזירה שמא ימרח הרטיה, ומירוח היינו מוחק האמור באבות מלאכות של שבת, רש"י. וכ' התוס' (ד"ה מחזירין)- אבל לשחיקת סממנין ליכא למיחש כיון דמאתמול הוה עילויה.</w:t>
      </w:r>
    </w:p>
  </w:footnote>
  <w:footnote w:id="3291">
    <w:p w14:paraId="2CE30EE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שלא היתה קשורה מבעוד יום, וכהן זה לא סלקה לצורך עבודה, רש"י.</w:t>
      </w:r>
    </w:p>
  </w:footnote>
  <w:footnote w:id="3292">
    <w:p w14:paraId="1DC05C30"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והכא ליכא למימר אין שבות במקדש, דהא ודאי האי שבות לאו צורך גבוה הוא, אלא לצורך עצמו, רש"י.</w:t>
      </w:r>
    </w:p>
  </w:footnote>
  <w:footnote w:id="3293">
    <w:p w14:paraId="779D58DA"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שנפלה, ובמדינה קא מיירי, ולהכי נקט פרשה, שהרי לא נטלה מדעת, רש"י.</w:t>
      </w:r>
    </w:p>
  </w:footnote>
  <w:footnote w:id="3294">
    <w:p w14:paraId="6A66A4F8"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דמילתא דלא שכיחא הוא, ולא גזור בה רבנן, רש"י.</w:t>
      </w:r>
    </w:p>
  </w:footnote>
  <w:footnote w:id="3295">
    <w:p w14:paraId="7ED3AF0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אם נפלה - אין מחזירין, אבל אם הוחלקה - דוחקה ומחליקה למכה, רש"י.</w:t>
      </w:r>
    </w:p>
  </w:footnote>
  <w:footnote w:id="3296">
    <w:p w14:paraId="19EDD5A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מחליק גומות שברטיה, מירוח חייב משום ממחק, רש"י.</w:t>
      </w:r>
    </w:p>
  </w:footnote>
  <w:footnote w:id="3297">
    <w:p w14:paraId="542AB100"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על הכר או על הכסת ,רש"י.</w:t>
      </w:r>
    </w:p>
  </w:footnote>
  <w:footnote w:id="3298">
    <w:p w14:paraId="04D52977"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כלכתחלה דמי, רש"י.</w:t>
      </w:r>
    </w:p>
  </w:footnote>
  <w:footnote w:id="3299">
    <w:p w14:paraId="00A4734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נפלה לו על הכר שבמראשותיו, כמו שמתרגם מראשותיו – איסדוהי, רש"י.</w:t>
      </w:r>
    </w:p>
  </w:footnote>
  <w:footnote w:id="3300">
    <w:p w14:paraId="3FE640DB"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דמוקי לפלוגתייהו בשנפלה על הכלי, ואפילו הכי אסר ר' יהודה ואמר שמואל: הלכה כר' יהודה, רש"י.</w:t>
      </w:r>
    </w:p>
  </w:footnote>
  <w:footnote w:id="3301">
    <w:p w14:paraId="7F52ECE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הא דרב חסדא, דאנא ס"ל דכי פליג ר' יהודה בנפילה ע"ג קרקע אבל בנפילה ע"ג כלי מודה דהוה כהוחלקה בעלמא, רש"י.</w:t>
      </w:r>
    </w:p>
  </w:footnote>
  <w:footnote w:id="3302">
    <w:p w14:paraId="2B57029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וכן הבין הרא"ש בדברי הרי"ף. אבל הב"י כ' שהייתה לרא"ש גיר' משובשת בדברי הרי"ף שהיה כתוב בה בסוף דברי הרי"ף שגם בשפירשה ע"ג קרקע מחלוקת, </w:t>
      </w:r>
      <w:r w:rsidRPr="008C1C8E">
        <w:rPr>
          <w:rFonts w:asciiTheme="minorBidi" w:hAnsiTheme="minorBidi"/>
          <w:sz w:val="16"/>
          <w:szCs w:val="16"/>
          <w:rtl/>
        </w:rPr>
        <w:t>(ואז יוצא שלא שמיע לי הוא על שני המחלוקות ומכיון דפסק הרי"ף הלכה כת"ק אז לכאורה גם ע"ג קרקע מחזיר, ובאמת תמה הרא"ש על דברי הרי"ף)</w:t>
      </w:r>
      <w:r w:rsidRPr="008C1C8E">
        <w:rPr>
          <w:rFonts w:asciiTheme="minorBidi" w:hAnsiTheme="minorBidi"/>
          <w:rtl/>
        </w:rPr>
        <w:t xml:space="preserve">, אבל בנוסחי הרי"ף דידן </w:t>
      </w:r>
      <w:r w:rsidRPr="008C1C8E">
        <w:rPr>
          <w:rFonts w:asciiTheme="minorBidi" w:hAnsiTheme="minorBidi"/>
          <w:sz w:val="16"/>
          <w:szCs w:val="16"/>
          <w:rtl/>
        </w:rPr>
        <w:t>(לה.)</w:t>
      </w:r>
      <w:r w:rsidRPr="008C1C8E">
        <w:rPr>
          <w:rFonts w:asciiTheme="minorBidi" w:hAnsiTheme="minorBidi"/>
          <w:rtl/>
        </w:rPr>
        <w:t xml:space="preserve"> אין כתוב כן אלא בהדיא מוכח דהרי"ף סבר דמאי דאמר ר' אבא לא סבירא לי לא קאי אלא אמאי דפסק רב יהודה הלכה כרבי יהודה, אבל הא דהלכה כרב חסדא </w:t>
      </w:r>
      <w:r w:rsidRPr="008C1C8E">
        <w:rPr>
          <w:rFonts w:asciiTheme="minorBidi" w:hAnsiTheme="minorBidi"/>
          <w:sz w:val="16"/>
          <w:szCs w:val="16"/>
          <w:rtl/>
        </w:rPr>
        <w:t>(דעד כאן לא שרי תנא קמא אלא בפירשה ע"ג כלי אבל פירשה ע"ג קרקע מודה דאסור להחזירה)</w:t>
      </w:r>
      <w:r w:rsidRPr="008C1C8E">
        <w:rPr>
          <w:rFonts w:asciiTheme="minorBidi" w:hAnsiTheme="minorBidi"/>
          <w:rtl/>
        </w:rPr>
        <w:t xml:space="preserve"> סבירא ליה, וכ"כ הרי"ף עצמו בהדיא בפ' רבי אליעזר דמילה </w:t>
      </w:r>
      <w:r w:rsidRPr="008C1C8E">
        <w:rPr>
          <w:rFonts w:asciiTheme="minorBidi" w:hAnsiTheme="minorBidi"/>
          <w:sz w:val="16"/>
          <w:szCs w:val="16"/>
          <w:rtl/>
        </w:rPr>
        <w:t>(נג:, "גרסינן בסוף עירובין")</w:t>
      </w:r>
      <w:r w:rsidRPr="008C1C8E">
        <w:rPr>
          <w:rFonts w:asciiTheme="minorBidi" w:hAnsiTheme="minorBidi"/>
          <w:rtl/>
        </w:rPr>
        <w:t xml:space="preserve">. </w:t>
      </w:r>
    </w:p>
  </w:footnote>
  <w:footnote w:id="3303">
    <w:p w14:paraId="440BC010"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כך הסבירו הר"ן והמגדל עוז את דעת הראב"ד.</w:t>
      </w:r>
    </w:p>
  </w:footnote>
  <w:footnote w:id="3304">
    <w:p w14:paraId="11D3F1C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ד"ה רטיה שפרשה, וכך הבינו גם בעל המאור והגר"א (סקנ"א) בד' רש"י.</w:t>
      </w:r>
    </w:p>
  </w:footnote>
  <w:footnote w:id="3305">
    <w:p w14:paraId="0AEFB345"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ספר העיטור - עשרת הדיברות הל' יו"ט דף קמה טור ב, הביאו בשבה"ל.</w:t>
      </w:r>
    </w:p>
  </w:footnote>
  <w:footnote w:id="3306">
    <w:p w14:paraId="28BD0C39"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w:t>
      </w:r>
      <w:r w:rsidRPr="008C1C8E">
        <w:rPr>
          <w:rFonts w:asciiTheme="minorBidi" w:hAnsiTheme="minorBidi"/>
          <w:color w:val="FF0000"/>
          <w:rtl/>
        </w:rPr>
        <w:t>ומשמע בשבה"ל שם דאם יש צערא יתרתא מהמכה מותר להחזיר אפי' נפלה על הקרקע אע"פ שהיא מכה שאיב"ס. וצל"ע.</w:t>
      </w:r>
    </w:p>
  </w:footnote>
  <w:footnote w:id="3307">
    <w:p w14:paraId="778ABC59"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אך הב"י כ' עליו- "ואיני יודע מנין לו לחלק בין הזיד ללא הזיד". אך הגר"א תמה על הב"י שהרי משנה ערוכה היא- מחזירין רטיה במקדש אבל לא במדינה, ולא חילקו בין קרקע לכלי, ולא פליגי ר' יהודה ות"ק בזה- משום דנטלה בידים, וכ"מ מרש"י (ד"ה רטיה שפרשה) וכ"כ רבנו יהונתן בהדיא שם, ודלא כפי' הרז"ה והרע"ב.</w:t>
      </w:r>
    </w:p>
  </w:footnote>
  <w:footnote w:id="3308">
    <w:p w14:paraId="206893C7"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בטור הביא אספלנית שפירשה מהאגד מחזירין אותה תחת האגד ע"פ המכה והיא תוספת' והקשה ב"י דהא כבר פסק ברטיה אפילו פירש ע"ג כלי מותר להחזירה כ"ש בהוחלקה ואם כן למה הוצרכו הפוסקים לכתוב זה וע"כ השמיט' כאן ונ"ל דקמ"ל דל"ת דאסור להחזירה תחת האגד דשמא יבא לאגדה אם יתקלקל האגד והוא אסור מדין קשר בשבת כי היכי דגזרי' משום שמא ימרח בנפלה על גבי קרקע וזה מבואר במ"ש מחזירין אותה תחת האגד שהך תחת האגד הוא יתור אלא כדפרישית, ט"ז (סקי"ט).</w:t>
      </w:r>
    </w:p>
  </w:footnote>
  <w:footnote w:id="3309">
    <w:p w14:paraId="66F9ED11"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w:t>
      </w:r>
      <w:r w:rsidRPr="008C1C8E">
        <w:rPr>
          <w:rFonts w:asciiTheme="minorBidi" w:hAnsiTheme="minorBidi"/>
          <w:color w:val="FF0000"/>
          <w:rtl/>
        </w:rPr>
        <w:t>דוקא במקצת חולי כמ"ש סע' יז וסע' א, מג"א (וזה דוקא לשיטתו שם סק"ב ו-י"ב). והט"ז (סק"כ) כ' דצריך לומר שמצטער הרבה,</w:t>
      </w:r>
      <w:r w:rsidRPr="008C1C8E">
        <w:rPr>
          <w:rFonts w:asciiTheme="minorBidi" w:hAnsiTheme="minorBidi"/>
          <w:rtl/>
        </w:rPr>
        <w:t xml:space="preserve"> </w:t>
      </w:r>
      <w:r w:rsidRPr="008C1C8E">
        <w:rPr>
          <w:rFonts w:asciiTheme="minorBidi" w:hAnsiTheme="minorBidi"/>
          <w:color w:val="FF0000"/>
          <w:rtl/>
        </w:rPr>
        <w:t xml:space="preserve">דאם לא היה אלא מיחוש הא כתב ב"י [עמ' תצח ד"ה ומהא] בשם הר"ן דאסור אפי' ע"י </w:t>
      </w:r>
      <w:r>
        <w:rPr>
          <w:rFonts w:asciiTheme="minorBidi" w:hAnsiTheme="minorBidi"/>
          <w:color w:val="FF0000"/>
          <w:rtl/>
        </w:rPr>
        <w:t>גוי</w:t>
      </w:r>
      <w:r w:rsidRPr="008C1C8E">
        <w:rPr>
          <w:rFonts w:asciiTheme="minorBidi" w:hAnsiTheme="minorBidi"/>
          <w:color w:val="FF0000"/>
          <w:rtl/>
        </w:rPr>
        <w:t xml:space="preserve"> לעיל בסי' זה. וצל"ע אם יש חילוק בין הט"ז למג"א</w:t>
      </w:r>
      <w:r w:rsidRPr="008C1C8E">
        <w:rPr>
          <w:rFonts w:asciiTheme="minorBidi" w:hAnsiTheme="minorBidi"/>
          <w:rtl/>
        </w:rPr>
        <w:t>.</w:t>
      </w:r>
    </w:p>
  </w:footnote>
  <w:footnote w:id="3310">
    <w:p w14:paraId="1D0892B9"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דוקא כשחלה כל גופו או שיש סכנת אבר דהא מירוח רטיה מלאכ' דאו' היא דחייב משום ממחק ואסור</w:t>
      </w:r>
      <w:r w:rsidRPr="008C1C8E">
        <w:rPr>
          <w:rFonts w:asciiTheme="minorBidi" w:hAnsiTheme="minorBidi"/>
          <w:sz w:val="16"/>
          <w:szCs w:val="16"/>
          <w:rtl/>
        </w:rPr>
        <w:t xml:space="preserve"> (סי' שז ס"ה)</w:t>
      </w:r>
      <w:r w:rsidRPr="008C1C8E">
        <w:rPr>
          <w:rFonts w:asciiTheme="minorBidi" w:hAnsiTheme="minorBidi"/>
          <w:rtl/>
        </w:rPr>
        <w:t xml:space="preserve">, מג"א </w:t>
      </w:r>
      <w:r w:rsidRPr="008C1C8E">
        <w:rPr>
          <w:rFonts w:asciiTheme="minorBidi" w:hAnsiTheme="minorBidi"/>
          <w:sz w:val="16"/>
          <w:szCs w:val="16"/>
          <w:rtl/>
        </w:rPr>
        <w:t>(סקכ"ט)</w:t>
      </w:r>
      <w:r w:rsidRPr="008C1C8E">
        <w:rPr>
          <w:rFonts w:asciiTheme="minorBidi" w:hAnsiTheme="minorBidi"/>
          <w:rtl/>
        </w:rPr>
        <w:t>.</w:t>
      </w:r>
    </w:p>
  </w:footnote>
  <w:footnote w:id="3311">
    <w:p w14:paraId="6CF18C1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וצ"ע דלפי מה שכתוב בסע' יז מותר, דשבות הוא, וצ"ל דמיירי דכשלא חלה כל גופו, מג"א (סק"ל). והגר"א השאיר זה בצ"ע.</w:t>
      </w:r>
    </w:p>
  </w:footnote>
  <w:footnote w:id="3312">
    <w:p w14:paraId="0999044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מחליק גומות שברטיה, מירוח חייב משום ממחק, רש"י.</w:t>
      </w:r>
    </w:p>
  </w:footnote>
  <w:footnote w:id="3313">
    <w:p w14:paraId="4E453C01" w14:textId="77777777" w:rsidR="006A4BF8" w:rsidRPr="008C1C8E" w:rsidRDefault="006A4BF8" w:rsidP="00285819">
      <w:pPr>
        <w:spacing w:after="0" w:line="240" w:lineRule="auto"/>
        <w:rPr>
          <w:rFonts w:asciiTheme="minorBidi" w:hAnsiTheme="minorBidi"/>
          <w:sz w:val="20"/>
          <w:szCs w:val="20"/>
          <w:rtl/>
        </w:rPr>
      </w:pPr>
      <w:r w:rsidRPr="008C1C8E">
        <w:rPr>
          <w:rStyle w:val="a9"/>
          <w:rFonts w:asciiTheme="minorBidi" w:hAnsiTheme="minorBidi"/>
          <w:sz w:val="20"/>
          <w:szCs w:val="20"/>
        </w:rPr>
        <w:footnoteRef/>
      </w:r>
      <w:r w:rsidRPr="008C1C8E">
        <w:rPr>
          <w:rFonts w:asciiTheme="minorBidi" w:hAnsiTheme="minorBidi"/>
          <w:sz w:val="20"/>
          <w:szCs w:val="20"/>
          <w:rtl/>
        </w:rPr>
        <w:t xml:space="preserve"> מטלית של בגד שמושחין אותו במשיחה </w:t>
      </w:r>
      <w:r w:rsidRPr="008C1C8E">
        <w:rPr>
          <w:rFonts w:asciiTheme="minorBidi" w:hAnsiTheme="minorBidi"/>
          <w:sz w:val="16"/>
          <w:szCs w:val="16"/>
          <w:rtl/>
        </w:rPr>
        <w:t xml:space="preserve">(עבה, פרישה וכ"נ למסקת הב"י) </w:t>
      </w:r>
      <w:r w:rsidRPr="008C1C8E">
        <w:rPr>
          <w:rFonts w:asciiTheme="minorBidi" w:hAnsiTheme="minorBidi"/>
          <w:sz w:val="20"/>
          <w:szCs w:val="20"/>
          <w:rtl/>
        </w:rPr>
        <w:t>ומשימין אותו ע"ג המכה, ר"ן</w:t>
      </w:r>
      <w:r w:rsidRPr="008C1C8E">
        <w:rPr>
          <w:rFonts w:asciiTheme="minorBidi" w:hAnsiTheme="minorBidi"/>
          <w:sz w:val="16"/>
          <w:szCs w:val="16"/>
          <w:rtl/>
        </w:rPr>
        <w:t xml:space="preserve"> (ל:  בדפי הרי"ף ד"ה איספלנית)</w:t>
      </w:r>
      <w:r w:rsidRPr="008C1C8E">
        <w:rPr>
          <w:rFonts w:asciiTheme="minorBidi" w:hAnsiTheme="minorBidi"/>
          <w:sz w:val="20"/>
          <w:szCs w:val="20"/>
          <w:rtl/>
        </w:rPr>
        <w:t>.</w:t>
      </w:r>
    </w:p>
  </w:footnote>
  <w:footnote w:id="3314">
    <w:p w14:paraId="511BDF0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וביאר המעשה רוקח שאין כוונת הדרכ"מ שאסור משום קושר ומתיר אלא משום דכיון שצריך להתיר האגודה כשמחזירה אם פירש לגמרי מחזי כאילו נתנה בתחילה ולא גרע מנפלה ע"ג קרקע.</w:t>
      </w:r>
    </w:p>
  </w:footnote>
  <w:footnote w:id="3315">
    <w:p w14:paraId="3547381A"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אך צל"ע על דברי הט"ז שהרי כ' בהדיא בתוספתא- "יוצאין באיגד שעל גבי מכה וקושרו ומתירו בשבת", משמע דשרי לקשור ולהתיר האגד שהאיספלנית בתוכו. וכן משמע שלשון הרי"ף שכ'- "יוצאין באגד שע"ג המכה וקושרו ומתירו בשבת אספלנית שפירשה מן האגד מחזירה </w:t>
      </w:r>
      <w:r w:rsidRPr="008C1C8E">
        <w:rPr>
          <w:rFonts w:asciiTheme="minorBidi" w:hAnsiTheme="minorBidi"/>
          <w:u w:val="single"/>
          <w:rtl/>
        </w:rPr>
        <w:t>עם</w:t>
      </w:r>
      <w:r w:rsidRPr="008C1C8E">
        <w:rPr>
          <w:rFonts w:asciiTheme="minorBidi" w:hAnsiTheme="minorBidi"/>
          <w:rtl/>
        </w:rPr>
        <w:t xml:space="preserve"> האגד", ואחרי כותבי ראיתי שכן הקשה המעשה רוקח בשם רבו (העטרת פז) על דברי הט"ז.</w:t>
      </w:r>
    </w:p>
  </w:footnote>
  <w:footnote w:id="3316">
    <w:p w14:paraId="0840184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וליכא למיגזר משום שחיקת סממנין כיון שכבר נתרפאה, וגם משום שמא ימרח ליכא למגזר משום שאין דרך למרח אלא כדי שתתפשט הרפואה בכל המכה וכשנתרפאה תו ליכא למיחש שימרח כיון דאין לו צורך בכך שאינו אלא כמשמרה שלא יסרטו בגדיו את המכה, ב"י. אך המג"א (סקל"א) כ' דמותר משום דאינו בהול כ"כ שיבא לידי שחיקת סממנים ולמירוח.</w:t>
      </w:r>
    </w:p>
  </w:footnote>
  <w:footnote w:id="3317">
    <w:p w14:paraId="1DEF7B8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בתוספתא עדויות (צוקרמאנדל) פ"א ה"ח כתוב כלשון המשנה רק שנוסף כאן- "כדרך שהרופאים עושין".</w:t>
      </w:r>
    </w:p>
  </w:footnote>
  <w:footnote w:id="3318">
    <w:p w14:paraId="07621AC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מבקע מורסא, קויטור"א (מוגלה, פצע מלא מוגלה), רש"י.</w:t>
      </w:r>
    </w:p>
  </w:footnote>
  <w:footnote w:id="3319">
    <w:p w14:paraId="59A9CAA9"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בתוספתא תני הכי: אם לקולפה ולעשות לה פה, כדרך שרופאים של עכשיו עושין, דמתקן לה פתח, רש"י.</w:t>
      </w:r>
    </w:p>
  </w:footnote>
  <w:footnote w:id="3320">
    <w:p w14:paraId="61D0A017"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משום בונה פתח, או משום מתקן כלי, מה לי לתקן מכה, מה לי לתקן כלי, רש"י.</w:t>
      </w:r>
    </w:p>
  </w:footnote>
  <w:footnote w:id="3321">
    <w:p w14:paraId="1B9A855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של עכשיו, ואינו חושש אם תחזור ותסתום מיד, רש"י.</w:t>
      </w:r>
    </w:p>
  </w:footnote>
  <w:footnote w:id="3322">
    <w:p w14:paraId="11FB606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ומותר, דאין כאן תיקון, ורבנן נמי לא גזור בה שבות, משום צערא, רש"י.</w:t>
      </w:r>
    </w:p>
  </w:footnote>
  <w:footnote w:id="3323">
    <w:p w14:paraId="73AD6564"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לשון הרמב"ם (הל' שבת פ"י הי"ז).</w:t>
      </w:r>
    </w:p>
  </w:footnote>
  <w:footnote w:id="3324">
    <w:p w14:paraId="5E17ACB4"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ואינו חושש אם תחזור ותסתם מיד (רש"י), ולכן טוב לעשות ע"י </w:t>
      </w:r>
      <w:r>
        <w:rPr>
          <w:rFonts w:asciiTheme="minorBidi" w:hAnsiTheme="minorBidi"/>
          <w:rtl/>
        </w:rPr>
        <w:t>גוי</w:t>
      </w:r>
      <w:r w:rsidRPr="008C1C8E">
        <w:rPr>
          <w:rFonts w:asciiTheme="minorBidi" w:hAnsiTheme="minorBidi"/>
          <w:rtl/>
        </w:rPr>
        <w:t xml:space="preserve"> (אגודה סי' קכ"א), מג"א (סקל"ב).</w:t>
      </w:r>
    </w:p>
  </w:footnote>
  <w:footnote w:id="3325">
    <w:p w14:paraId="4D496D80"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דמלאכה שאצל"ג הוי דרבנן ובמקום צער לא גזרו. ולמ"ד דחייב </w:t>
      </w:r>
      <w:r w:rsidRPr="008C1C8E">
        <w:rPr>
          <w:rFonts w:asciiTheme="minorBidi" w:hAnsiTheme="minorBidi"/>
          <w:sz w:val="16"/>
          <w:szCs w:val="16"/>
          <w:rtl/>
        </w:rPr>
        <w:t>(היינו שמאלכה שאצל"ג הוי דאו')</w:t>
      </w:r>
      <w:r w:rsidRPr="008C1C8E">
        <w:rPr>
          <w:rFonts w:asciiTheme="minorBidi" w:hAnsiTheme="minorBidi"/>
          <w:rtl/>
        </w:rPr>
        <w:t xml:space="preserve"> צ"ל דכשעושה להוציא הליחה אינה גמר מלאכה וא"א לבוא לידי חיוב מכה בפטיש בשום פנים. א"נ הוי דבר שאינו מתכוין (מ"מ), מג"א (סקל"ג).</w:t>
      </w:r>
    </w:p>
  </w:footnote>
  <w:footnote w:id="3326">
    <w:p w14:paraId="14FAA7DC"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שנכשלה ולקתה, רש"י.</w:t>
      </w:r>
    </w:p>
  </w:footnote>
  <w:footnote w:id="3327">
    <w:p w14:paraId="6F066D0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לשכך הדם, רש"י.</w:t>
      </w:r>
    </w:p>
  </w:footnote>
  <w:footnote w:id="3328">
    <w:p w14:paraId="649171A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מעונגין הן וכל דבר שהוא חזק קצת קשה לבשרן וצומתה, רש"י.</w:t>
      </w:r>
    </w:p>
  </w:footnote>
  <w:footnote w:id="3329">
    <w:p w14:paraId="3AC29BF1"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לשון הטור.</w:t>
      </w:r>
    </w:p>
  </w:footnote>
  <w:footnote w:id="3330">
    <w:p w14:paraId="56E538D4"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אבל אם המכה נעשתה מברזל מותר בכל מצב (סע' ז), וכן אם המכה בגב היד או בגב הרגל שהרי היא כמכה של חלל (סע' ו).</w:t>
      </w:r>
    </w:p>
  </w:footnote>
  <w:footnote w:id="3331">
    <w:p w14:paraId="32C1F369"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אלויישי"ר (נקע) בלעז, שיצא העצם מפרק שלו, רש"י.</w:t>
      </w:r>
    </w:p>
  </w:footnote>
  <w:footnote w:id="3332">
    <w:p w14:paraId="55A3C72E"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כמין רצועות דקות הפורשות מעור האצבע סביב הצפורן, רש"י.</w:t>
      </w:r>
    </w:p>
  </w:footnote>
  <w:footnote w:id="3333">
    <w:p w14:paraId="071D06D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קרובין לינתק, רש"י.</w:t>
      </w:r>
    </w:p>
  </w:footnote>
  <w:footnote w:id="3334">
    <w:p w14:paraId="2DB04C2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דכיון שפירשו רובן קרובין לינתק וכתלושין דמיא הלכך במקום צערא לא גזרו רבנן כשהוא מסירו ע"י שינוי דהיינו בידו וצריך ליזהר שלא יוציא דם, פמ"ג (הביאו המ"ב סקצ"ו).</w:t>
      </w:r>
    </w:p>
  </w:footnote>
  <w:footnote w:id="3335">
    <w:p w14:paraId="5F656C6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משום גוזז עמ"ש ססי' ש"ג </w:t>
      </w:r>
      <w:r w:rsidRPr="008C1C8E">
        <w:rPr>
          <w:rFonts w:asciiTheme="minorBidi" w:hAnsiTheme="minorBidi"/>
          <w:sz w:val="16"/>
          <w:szCs w:val="16"/>
          <w:rtl/>
        </w:rPr>
        <w:t>(ר"ל בשם הריב"ש [סי' שצד] דבגוזז אפילו א"צ לצמר וכן בנטילת צפרנים אע"ג דא"צ לצפרנים חייב, דהא מלאכת שבת ממשכן גמרינן, ובמשכן היו גוזזים עורות תחשים משום העורות ולא היו צריכים לצמר, מחצה"ש)</w:t>
      </w:r>
      <w:r w:rsidRPr="008C1C8E">
        <w:rPr>
          <w:rFonts w:asciiTheme="minorBidi" w:hAnsiTheme="minorBidi"/>
          <w:rtl/>
        </w:rPr>
        <w:t xml:space="preserve"> וסי' ש"מ </w:t>
      </w:r>
      <w:r w:rsidRPr="008C1C8E">
        <w:rPr>
          <w:rFonts w:asciiTheme="minorBidi" w:hAnsiTheme="minorBidi"/>
          <w:sz w:val="16"/>
          <w:szCs w:val="16"/>
          <w:rtl/>
        </w:rPr>
        <w:t>(סק"ג)</w:t>
      </w:r>
      <w:r w:rsidRPr="008C1C8E">
        <w:rPr>
          <w:rFonts w:asciiTheme="minorBidi" w:hAnsiTheme="minorBidi"/>
          <w:rtl/>
        </w:rPr>
        <w:t>, מג"א (סקל"ה)</w:t>
      </w:r>
    </w:p>
  </w:footnote>
  <w:footnote w:id="3336">
    <w:p w14:paraId="50FC59CC"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ולכן אפילו פירשו רובן </w:t>
      </w:r>
      <w:r w:rsidRPr="008C1C8E">
        <w:rPr>
          <w:rFonts w:asciiTheme="minorBidi" w:hAnsiTheme="minorBidi"/>
          <w:sz w:val="16"/>
          <w:szCs w:val="16"/>
          <w:rtl/>
        </w:rPr>
        <w:t xml:space="preserve">(ומצערות אותו) </w:t>
      </w:r>
      <w:r w:rsidRPr="008C1C8E">
        <w:rPr>
          <w:rFonts w:asciiTheme="minorBidi" w:hAnsiTheme="minorBidi"/>
          <w:rtl/>
        </w:rPr>
        <w:t>אסור ליטלן אפילו ביד, מ"ב (סקצ"ט)</w:t>
      </w:r>
    </w:p>
  </w:footnote>
  <w:footnote w:id="3337">
    <w:p w14:paraId="7C0DD1A7"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בשבת, דמשהי ליה בתוך גרונו ואינו בולעו וכיון דלא בלע ליה מוכחא מילתא דלרפואה הוא, וחכמים גזרו על כל רפואות הנכרות משום שחיקת סמנים שהיא מלאכה, רש"י.</w:t>
      </w:r>
    </w:p>
  </w:footnote>
  <w:footnote w:id="3338">
    <w:p w14:paraId="3930FF1C" w14:textId="77777777" w:rsidR="006A4BF8" w:rsidRPr="008C1C8E" w:rsidRDefault="006A4BF8" w:rsidP="00285819">
      <w:pPr>
        <w:pStyle w:val="a7"/>
        <w:rPr>
          <w:rFonts w:asciiTheme="minorBidi" w:hAnsiTheme="minorBidi"/>
          <w:color w:val="FF0000"/>
        </w:rPr>
      </w:pPr>
      <w:r w:rsidRPr="008C1C8E">
        <w:rPr>
          <w:rStyle w:val="a9"/>
          <w:rFonts w:asciiTheme="minorBidi" w:hAnsiTheme="minorBidi"/>
          <w:color w:val="FF0000"/>
        </w:rPr>
        <w:footnoteRef/>
      </w:r>
      <w:r w:rsidRPr="008C1C8E">
        <w:rPr>
          <w:rFonts w:asciiTheme="minorBidi" w:hAnsiTheme="minorBidi"/>
          <w:color w:val="FF0000"/>
          <w:rtl/>
        </w:rPr>
        <w:t xml:space="preserve"> כלומר לכתחלה לא יתן השמן בפיו לשם ערעור כי אם לשם בליעה, ואם בא להשהותו ישהנו, רש"י.</w:t>
      </w:r>
    </w:p>
  </w:footnote>
  <w:footnote w:id="3339">
    <w:p w14:paraId="27B7B05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מיא דסלקא, גמ' עמוד הקודם (לה:).</w:t>
      </w:r>
    </w:p>
  </w:footnote>
  <w:footnote w:id="3340">
    <w:p w14:paraId="4CF5956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הב"י השמיט תיבת "הרבה", שהרי ברמב"ם כ'- "שמן הרבה", ועי' בב"ח שכ'- "אולי טעות סופר הוא". </w:t>
      </w:r>
    </w:p>
  </w:footnote>
  <w:footnote w:id="3341">
    <w:p w14:paraId="04729F44"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 הב"י דנראה מדבריו שהוא מפרש דכי קתני אבל נותן שמן הרבה לתוך אניגרון ובולע, לתוך אניגרון לאו דוקא, אלא אורחא דמילתא נקט ועיקרא דמילתא הוא לומר שיבלע שמן הרבה ולא יפלטנו ולא ישהנו בגרונו דתו ליכא הוכחה דלרפואה קא מכוין (לכן גם אם נתן לתוך אניגרון אסור לבלוע ולפלוט או לבלוע ולהשהות, מג"א [סקל"ז]).</w:t>
      </w:r>
    </w:p>
  </w:footnote>
  <w:footnote w:id="3342">
    <w:p w14:paraId="3C54A24F"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 התוס' דא"כ ליפלוג וליתני בדידה מאי איריא ע"י אניגרון אפי' בעיניה שרי לבלעו לאלתר דהא אינו אסור אלא לערער דהיינו להשהותו. ונראה ליישב דלא יערענו בשמן- להשהותו אבל נותן הוא לתוך אניגרון ואפי' להשהותו או בולעו בעיניה בלא שיהוי.</w:t>
      </w:r>
    </w:p>
  </w:footnote>
  <w:footnote w:id="3343">
    <w:p w14:paraId="15E389C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וכ"ש שאסור לומר ל</w:t>
      </w:r>
      <w:r>
        <w:rPr>
          <w:rFonts w:asciiTheme="minorBidi" w:hAnsiTheme="minorBidi"/>
          <w:rtl/>
        </w:rPr>
        <w:t>גוי</w:t>
      </w:r>
      <w:r w:rsidRPr="008C1C8E">
        <w:rPr>
          <w:rFonts w:asciiTheme="minorBidi" w:hAnsiTheme="minorBidi"/>
          <w:rtl/>
        </w:rPr>
        <w:t xml:space="preserve"> לעשות לו דבר (ר"ן), ועמ"ש ס"ג, מג"א (סקל"ו).</w:t>
      </w:r>
    </w:p>
  </w:footnote>
  <w:footnote w:id="3344">
    <w:p w14:paraId="5529E319"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והב"ח אוסר בזה, ונ"ל דהכל לפי המקום והזמן דאם אין דרך בריאים לבלוע אסור כמ"ש סל"ז, מג"א (סקל"ח).</w:t>
      </w:r>
    </w:p>
  </w:footnote>
  <w:footnote w:id="3345">
    <w:p w14:paraId="42FA125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הנותק דבר ממקום שגדל בו ולא מן המחובר אלא מן התלוש, ותולדה דדש הוא, שמפרק תבואה מקשיה (שבת עג:), רש"י.</w:t>
      </w:r>
    </w:p>
  </w:footnote>
  <w:footnote w:id="3346">
    <w:p w14:paraId="0E9D9E45"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הב"י כ' שהרא"ש בתשו' הסכים לדברי הרי"ף, אך המאמ"ר (סקי"ח) כ' שלא מצא כן בתשובות הרא"ש שבידו, ואכן כ' כנה"ג שדברים אלו נמצאו בשו"ת הרשב"א המיוחסות לרמב"ן סי' רו.</w:t>
      </w:r>
    </w:p>
  </w:footnote>
  <w:footnote w:id="3347">
    <w:p w14:paraId="4FCD85AC"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הביאם הרא"ש (סי' ד) אחרי שכ' דברי הרי"ף.</w:t>
      </w:r>
    </w:p>
  </w:footnote>
  <w:footnote w:id="3348">
    <w:p w14:paraId="1A8DF1B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אבל ביו"ט מותר, מיהו אם יש לו מאכל לחלוב בו אסור לינק בפיו ביו"ט אלא יחלוב לתוך המאכל כמ"ש סי' תק"ה (תוס' יבמות קיד. ד"ה קסבר), וצ"ל דג"כ ליכא </w:t>
      </w:r>
      <w:r>
        <w:rPr>
          <w:rFonts w:asciiTheme="minorBidi" w:hAnsiTheme="minorBidi"/>
          <w:rtl/>
        </w:rPr>
        <w:t>גוי</w:t>
      </w:r>
      <w:r w:rsidRPr="008C1C8E">
        <w:rPr>
          <w:rFonts w:asciiTheme="minorBidi" w:hAnsiTheme="minorBidi"/>
          <w:rtl/>
        </w:rPr>
        <w:t>, ובגונח רפואתו דוקא לינק בעצמו (ר"ן), מג"א (סק"מ).</w:t>
      </w:r>
    </w:p>
  </w:footnote>
  <w:footnote w:id="3349">
    <w:p w14:paraId="527E2E2D"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הרוקח העתיק- "תקל", וכן העתיקו האו"ז והמרדכי, ובתוספתא שהעתיק שבה"ל בסי' קכג איתא- "לא תקלח</w:t>
      </w:r>
      <w:r w:rsidRPr="008C1C8E">
        <w:rPr>
          <w:rFonts w:asciiTheme="minorBidi" w:hAnsiTheme="minorBidi"/>
        </w:rPr>
        <w:t>"</w:t>
      </w:r>
      <w:r w:rsidRPr="008C1C8E">
        <w:rPr>
          <w:rFonts w:asciiTheme="minorBidi" w:hAnsiTheme="minorBidi"/>
          <w:rtl/>
        </w:rPr>
        <w:t>.</w:t>
      </w:r>
    </w:p>
  </w:footnote>
  <w:footnote w:id="3350">
    <w:p w14:paraId="4DBE5F7F"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כתבה רב ניסים גאון רוקח (סי' סא) או"ז (סי' נח) שבה"ל (סי' קכג) ומרדכי (רמז שעא). </w:t>
      </w:r>
    </w:p>
  </w:footnote>
  <w:footnote w:id="3351">
    <w:p w14:paraId="1B625B3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הביאו המרדכי (רמז שעא) אחרי דברי רב ניסים גאון, וכ'- "מיהו יש מפרשים דדוקא...".</w:t>
      </w:r>
    </w:p>
  </w:footnote>
  <w:footnote w:id="3352">
    <w:p w14:paraId="2752ED4E"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האו"ז הסתפק איך להסביר את דברי רב ניסים גאון – להיתר או לאיסור, אך מ"מ הוא עצמו פסק להקל. </w:t>
      </w:r>
    </w:p>
  </w:footnote>
  <w:footnote w:id="3353">
    <w:p w14:paraId="3366A16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וצערא יתירא נמי ליכא שם, הא לאו הכי שרי דמלאכה שאצל"ג הוא, עי' סע' יז וסי' רע"ח, מג"א (סקמ"א).</w:t>
      </w:r>
    </w:p>
  </w:footnote>
  <w:footnote w:id="3354">
    <w:p w14:paraId="0349CA21"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שרף שעושין ממנו זפת, רש"י וב"ח. והוא נותן ריח טוב, מ"ב (סי' רטז סקכ"א)</w:t>
      </w:r>
    </w:p>
  </w:footnote>
  <w:footnote w:id="3355">
    <w:p w14:paraId="40DBF6D5"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בתוספתא איתא זה לגבי הסם ולא לגבי המצטיכי, וצ"ע למה שינו הטור והשו"ע, ע"פ ב"ח גר"א (סקנ"ח) ומ"ב (סקקט"ו).</w:t>
      </w:r>
    </w:p>
  </w:footnote>
  <w:footnote w:id="3356">
    <w:p w14:paraId="51990E9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שהרבה אוכלין אותו כשהן בריאין, רש"י. </w:t>
      </w:r>
    </w:p>
  </w:footnote>
  <w:footnote w:id="3357">
    <w:p w14:paraId="77D2879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לחולי של ירקון, ואינו מאכל בריאים, רש"י.</w:t>
      </w:r>
    </w:p>
  </w:footnote>
  <w:footnote w:id="3358">
    <w:p w14:paraId="62A84435"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אם אינו חולה, רש"י.</w:t>
      </w:r>
    </w:p>
  </w:footnote>
  <w:footnote w:id="3359">
    <w:p w14:paraId="6C4D8070"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 המג"א</w:t>
      </w:r>
      <w:r w:rsidRPr="008C1C8E">
        <w:rPr>
          <w:rFonts w:asciiTheme="minorBidi" w:hAnsiTheme="minorBidi"/>
          <w:sz w:val="16"/>
          <w:szCs w:val="16"/>
          <w:rtl/>
        </w:rPr>
        <w:t xml:space="preserve"> (סקמ"ב)</w:t>
      </w:r>
      <w:r w:rsidRPr="008C1C8E">
        <w:rPr>
          <w:rFonts w:asciiTheme="minorBidi" w:hAnsiTheme="minorBidi"/>
          <w:rtl/>
        </w:rPr>
        <w:t xml:space="preserve"> שצ"ל- "לקצת דברים"</w:t>
      </w:r>
      <w:r w:rsidRPr="008C1C8E">
        <w:rPr>
          <w:rFonts w:asciiTheme="minorBidi" w:hAnsiTheme="minorBidi"/>
          <w:sz w:val="16"/>
          <w:szCs w:val="16"/>
          <w:rtl/>
        </w:rPr>
        <w:t xml:space="preserve"> (ולא "לקצת בריאים")</w:t>
      </w:r>
      <w:r w:rsidRPr="008C1C8E">
        <w:rPr>
          <w:rFonts w:asciiTheme="minorBidi" w:hAnsiTheme="minorBidi"/>
          <w:rtl/>
        </w:rPr>
        <w:t xml:space="preserve"> דהיינו דאע"פ שקשה לשינים ומוכחא מלתא שעושה לרפואה לבני מעים שרי. וכדאיתא בגמ' (קי.) "כל האוכלין לאיתויי מאי...", וכ"כ הגר"א. וכ"ה בדפו"ר, וממהדורת קרקא ש"מ ואילך הנוסח הוא- "לקצת בריאים" (הגוה"ע פריעדמאן).</w:t>
      </w:r>
    </w:p>
  </w:footnote>
  <w:footnote w:id="3360">
    <w:p w14:paraId="74454B0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כשאינו עושה כן לרפואה, מג"א (סקמ"ג, ועיי"ש בכל ההוכחות שהביא לדבר זה) ובאה"ט (סוף סקל"א).</w:t>
      </w:r>
    </w:p>
  </w:footnote>
  <w:footnote w:id="3361">
    <w:p w14:paraId="215D80C0"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היינו חולה שאין בו סכנה, דהרי אמרו שצרכיו של חולה שאיב"ס נעשים ע"י גוי, ומשמע דאוכל הוא אוכלין המרפאים אותו ולא חיישינן שמא ישחוק סממנין כיון שלא התירו לעשות מעשה הרפואה ע"י ישראל ואפילו ע"י החולה עצמו, ב"י.</w:t>
      </w:r>
    </w:p>
  </w:footnote>
  <w:footnote w:id="3362">
    <w:p w14:paraId="1B211AC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לאכול ולשתות, ואפי' ישראל אחר מותר לעשות לו דבר שהוא משום שבות כמו שכתוב סע' יז, ועובדא דאמימר הוי חולי קצת ולא נפל למשכב, כמו שכתבתי לעיל </w:t>
      </w:r>
      <w:r w:rsidRPr="008C1C8E">
        <w:rPr>
          <w:rFonts w:asciiTheme="minorBidi" w:hAnsiTheme="minorBidi"/>
          <w:sz w:val="16"/>
          <w:szCs w:val="16"/>
          <w:rtl/>
        </w:rPr>
        <w:t>(סקי"ב)</w:t>
      </w:r>
      <w:r w:rsidRPr="008C1C8E">
        <w:rPr>
          <w:rFonts w:asciiTheme="minorBidi" w:hAnsiTheme="minorBidi"/>
          <w:rtl/>
        </w:rPr>
        <w:t xml:space="preserve">, דלא כב"ח </w:t>
      </w:r>
      <w:r w:rsidRPr="008C1C8E">
        <w:rPr>
          <w:rFonts w:asciiTheme="minorBidi" w:hAnsiTheme="minorBidi"/>
          <w:sz w:val="16"/>
          <w:szCs w:val="16"/>
          <w:rtl/>
        </w:rPr>
        <w:t>(עמ' תקג ד"ה כל)</w:t>
      </w:r>
      <w:r w:rsidRPr="008C1C8E">
        <w:rPr>
          <w:rFonts w:asciiTheme="minorBidi" w:hAnsiTheme="minorBidi"/>
          <w:rtl/>
        </w:rPr>
        <w:t xml:space="preserve">, מג"א (סקמ"ד). </w:t>
      </w:r>
    </w:p>
  </w:footnote>
  <w:footnote w:id="3363">
    <w:p w14:paraId="600DBDCD" w14:textId="77777777" w:rsidR="006A4BF8" w:rsidRPr="008C1C8E" w:rsidRDefault="006A4BF8" w:rsidP="00285819">
      <w:pPr>
        <w:spacing w:after="0" w:line="240" w:lineRule="auto"/>
        <w:rPr>
          <w:rFonts w:asciiTheme="minorBidi" w:hAnsiTheme="minorBidi"/>
          <w:sz w:val="20"/>
          <w:szCs w:val="20"/>
        </w:rPr>
      </w:pPr>
      <w:r w:rsidRPr="008C1C8E">
        <w:rPr>
          <w:rStyle w:val="a9"/>
          <w:rFonts w:asciiTheme="minorBidi" w:hAnsiTheme="minorBidi"/>
          <w:sz w:val="20"/>
          <w:szCs w:val="20"/>
        </w:rPr>
        <w:footnoteRef/>
      </w:r>
      <w:r w:rsidRPr="008C1C8E">
        <w:rPr>
          <w:rFonts w:asciiTheme="minorBidi" w:hAnsiTheme="minorBidi"/>
          <w:sz w:val="20"/>
          <w:szCs w:val="20"/>
          <w:rtl/>
        </w:rPr>
        <w:t xml:space="preserve"> להקיא... ולא לרפואה אלא להריק את מעיו שיוכל לאכול ולשתות היום הרבה, רש"י (ב- קכג:).</w:t>
      </w:r>
    </w:p>
  </w:footnote>
  <w:footnote w:id="3364">
    <w:p w14:paraId="0A375C6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דדמי לרפואה, וגזירה משום שחיקת סמנין, רש"י.</w:t>
      </w:r>
    </w:p>
  </w:footnote>
  <w:footnote w:id="3365">
    <w:p w14:paraId="08E1C49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להכניס יד לתוך גרונו עד שיקיא - מותר, רש"י.</w:t>
      </w:r>
    </w:p>
  </w:footnote>
  <w:footnote w:id="3366">
    <w:p w14:paraId="583F025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שבמעיו, ומתוך כך הוא רעב וחוזר ואוכל, רש"י.</w:t>
      </w:r>
    </w:p>
  </w:footnote>
  <w:footnote w:id="3367">
    <w:p w14:paraId="044A5DCA"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כוס שיש בו הבל, כגון שעירו ממנו מים חמין, וכופהו על הטיבור למי שחש במעיו, ואוחז הכוס את הבשר ומושך אליו את המעיים ומושיבן במקומן, רש"י.</w:t>
      </w:r>
    </w:p>
  </w:footnote>
  <w:footnote w:id="3368">
    <w:p w14:paraId="33FCC41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דאל"כ אפילו בחול אסור, כמ"ש סי' שכ"ו ס"ו, ט"ז (סקכ"ו).</w:t>
      </w:r>
    </w:p>
  </w:footnote>
  <w:footnote w:id="3369">
    <w:p w14:paraId="02FC22B8"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בכפות ידיו ורגליו, רש"י.</w:t>
      </w:r>
    </w:p>
  </w:footnote>
  <w:footnote w:id="3370">
    <w:p w14:paraId="1DCC975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שהיה בא מבי רב שהוא רבו וכן רב מבי ר' חייא ור' חייא מבי רבי, רש"י.</w:t>
      </w:r>
    </w:p>
  </w:footnote>
  <w:footnote w:id="3371">
    <w:p w14:paraId="4CD64AFB"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שכורין, שהיו משקין את התלמידים, ואלו מפני שחשובין הן היו עושין להן דבר להפג את יינן, רש"י.</w:t>
      </w:r>
    </w:p>
  </w:footnote>
  <w:footnote w:id="3372">
    <w:p w14:paraId="54076B6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תוכי ידיהם, דהיינו כף, רש"י.</w:t>
      </w:r>
    </w:p>
  </w:footnote>
  <w:footnote w:id="3373">
    <w:p w14:paraId="3BAF4D2B"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שהולך ונעשה צלול כל שעה מחום הבשר, רש"י .</w:t>
      </w:r>
    </w:p>
  </w:footnote>
  <w:footnote w:id="3374">
    <w:p w14:paraId="4F3037C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המג"א (סקמ"ה) כ' שמותר משום שעושין דבר זה בלי סממנים, כמו בסע' מג. אך הט"ז (סקכ"ז) א"ר (סקמ"ז) ובאה"ט (סקל"ב) כ' שמותר משום דמה שמפקח שכרותו ממנו אין זה רפואה. והוסיף הט"ז דאין ללמוד מזה היתר לאותם שנוהגים בקצת מדינות להשים תוך החוטם אפר מעשב כתוש להפיק השכרות כי אותו אפר פעולתו ברפואה לשאר דברים גם כן אעפ"י שאינו שכור ושייך בו גזירת שחיקת סמנים, וכ"כ הבאה"ט (סקל"ב). </w:t>
      </w:r>
    </w:p>
  </w:footnote>
  <w:footnote w:id="3375">
    <w:p w14:paraId="07D96A6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היינו שדורס על הגוף בכח כדי שייגע ויזיע, רמב"ם. אך רש"י פירש דאסכין וממשמשין דקתני רישא קאי, וכך פירושו- סכין (שמן בשבת) וממשמשין (ביד על כל הגוף להנאה) אבל לא מתעמלין (לשפשף בכח).</w:t>
      </w:r>
      <w:r w:rsidRPr="008C1C8E">
        <w:rPr>
          <w:rFonts w:asciiTheme="minorBidi" w:hAnsiTheme="minorBidi"/>
          <w:color w:val="E36C0A" w:themeColor="accent6" w:themeShade="BF"/>
          <w:rtl/>
        </w:rPr>
        <w:t xml:space="preserve"> והשו"ע פסק </w:t>
      </w:r>
      <w:r w:rsidRPr="008C1C8E">
        <w:rPr>
          <w:rFonts w:asciiTheme="minorBidi" w:hAnsiTheme="minorBidi"/>
          <w:rtl/>
        </w:rPr>
        <w:t>את שניהם, כאן ובסי' שכז ס"ב.</w:t>
      </w:r>
    </w:p>
  </w:footnote>
  <w:footnote w:id="3376">
    <w:p w14:paraId="3AD38400"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שמא יבא להשקותו סמנין המשלשלין, רמב"ם (פכ"א הל"א), וכתב הה"מ שאפשר שזהו פירוש לאסובי ינוקא שנחלקו בו רב נחמן ורב ששת (קכג.), ותמה עליו דהוה ליה למיפסק כרב ששת דשרי.</w:t>
      </w:r>
    </w:p>
  </w:footnote>
  <w:footnote w:id="3377">
    <w:p w14:paraId="5F7BCFA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גידי אזנים פעמים שיורדין למטה ומתפרקין הלחיים וצריך להעלותן ויש סכנה בדבר, רש"י. אך הרמב"ם</w:t>
      </w:r>
      <w:r w:rsidRPr="008C1C8E">
        <w:rPr>
          <w:rFonts w:asciiTheme="minorBidi" w:hAnsiTheme="minorBidi"/>
          <w:sz w:val="16"/>
          <w:szCs w:val="16"/>
          <w:rtl/>
        </w:rPr>
        <w:t xml:space="preserve"> (פ"ב ה"י)</w:t>
      </w:r>
      <w:r w:rsidRPr="008C1C8E">
        <w:rPr>
          <w:rFonts w:asciiTheme="minorBidi" w:hAnsiTheme="minorBidi"/>
          <w:rtl/>
        </w:rPr>
        <w:t xml:space="preserve"> כ' שאין סכנה בדבר.</w:t>
      </w:r>
    </w:p>
  </w:footnote>
  <w:footnote w:id="3378">
    <w:p w14:paraId="2BD97FA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הואיל ואפשר ביד, רש"י.</w:t>
      </w:r>
    </w:p>
  </w:footnote>
  <w:footnote w:id="3379">
    <w:p w14:paraId="5203D30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עושה חבורה ויש חילול שבת יותר אבל קשירת סם אין שם חילול דאורייתא, רש"י.</w:t>
      </w:r>
    </w:p>
  </w:footnote>
  <w:footnote w:id="3380">
    <w:p w14:paraId="77C4BDAA"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 הב"י- דהרמב"ם גורס בכלי במקום בסם והכי גרסינן- "תני רב שמואל בר יהודה בין ביד בין בכלי איכא דאמרי ביד אבל לא בכלי מאי טעמא מיזרף זריף", ופסק כל"ק וסובר שאין דרך להעלותם בסם ומשום הכי ליכא למיגזר ביה משום שחיקת סממנין.</w:t>
      </w:r>
    </w:p>
  </w:footnote>
  <w:footnote w:id="3381">
    <w:p w14:paraId="51AD0D1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כאיכא דאמרי שם, שידוע דפוסק בכ"מ כאיכא דאמרי, ומפרש מה שכתוב "אבל לא ביד" לאו משום איסורא אלא כמש"כ שם "משום דמזרף זריף" ור"ל משום סכנה ואין ענין לשבת, וגריס בכלי במקום בסם, גר"א (ס"ק סח).</w:t>
      </w:r>
    </w:p>
  </w:footnote>
  <w:footnote w:id="3382">
    <w:p w14:paraId="76DBAEE0"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דופני בשר שתחת הלב והוא טרפשא, ל"א תנוך שכנגד הלב שקורין ניבלא ופעמים שנכפף לצד פנים ומעכב את הנשימה וזהו עיקר, רש"י.</w:t>
      </w:r>
    </w:p>
  </w:footnote>
  <w:footnote w:id="3383">
    <w:p w14:paraId="64D0B5D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ואם תאמר דאיכא בזה טירחא יתרה והוי כעובדין דחול, לכך כ'- "ויש לו צער מהם" (רמב"ם במקור, וכ"כ כאן השו"ע), ובמקום צערא לא גזור רבנן כיון דליכא למיחש לשחיקת סממנין, ב"י. לכן אם אין צער- אסור, משום עובדא דחול, מג"א (סקמ"ח).</w:t>
      </w:r>
    </w:p>
  </w:footnote>
  <w:footnote w:id="3384">
    <w:p w14:paraId="35DC093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ואע"פ דלית ביה סכנה שרי משום דאין בהעלאה זו מלאכה, ב"י (מג</w:t>
      </w:r>
      <w:r w:rsidRPr="008C1C8E">
        <w:rPr>
          <w:rFonts w:asciiTheme="minorBidi" w:hAnsiTheme="minorBidi"/>
          <w:sz w:val="14"/>
          <w:szCs w:val="14"/>
          <w:rtl/>
        </w:rPr>
        <w:t xml:space="preserve"> [א]</w:t>
      </w:r>
      <w:r w:rsidRPr="008C1C8E">
        <w:rPr>
          <w:rFonts w:asciiTheme="minorBidi" w:hAnsiTheme="minorBidi"/>
          <w:rtl/>
        </w:rPr>
        <w:t>, עמ' תצד, ומדובר שם לגבי אונקלי).</w:t>
      </w:r>
    </w:p>
  </w:footnote>
  <w:footnote w:id="3385">
    <w:p w14:paraId="555B3BBB"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ואף על פי שהן מלוחין קצת דרך לרחוץ בהן בחול, ולא מוכחא מילתא דלרפואה היא, רש"י.</w:t>
      </w:r>
    </w:p>
  </w:footnote>
  <w:footnote w:id="3386">
    <w:p w14:paraId="280F5538"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ששורין בו פשתן, ואין דרך רחיצה בהן, אלא לרפואה, דמסו, וכן בימה של סדום דמליח טובא ואין רוחצין בה אלא לרפואה, ומוכחא מילתא, רש"י.</w:t>
      </w:r>
    </w:p>
  </w:footnote>
  <w:footnote w:id="3387">
    <w:p w14:paraId="6F45087A"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בגוייהו - אסור, דמוכחא מלתא דלרפואה קא מכוין, רש"י.</w:t>
      </w:r>
    </w:p>
  </w:footnote>
  <w:footnote w:id="3388">
    <w:p w14:paraId="466326E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אלא רחץ ויצא מותר, רש"י.</w:t>
      </w:r>
    </w:p>
  </w:footnote>
  <w:footnote w:id="3389">
    <w:p w14:paraId="64D966FA"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במה דברים אמורים - שלא נשתהא, אבל נשתהא אסור, רש"י.</w:t>
      </w:r>
    </w:p>
  </w:footnote>
  <w:footnote w:id="3390">
    <w:p w14:paraId="035081F4"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שכן רוחצין בהן בחול לרחיצה שאינה לרפואה, רש"י. לכן אפילו לשהות מותר, ב"י. </w:t>
      </w:r>
    </w:p>
  </w:footnote>
  <w:footnote w:id="3391">
    <w:p w14:paraId="42962E27"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אין רוחצין דמוכחא מלתא דלרפואה, ותרוייהו בדאישתהי, רש"י. לכן אם לא משתהא מותר אפילו אם יש לו חטטים בראשו, ב"י.</w:t>
      </w:r>
    </w:p>
  </w:footnote>
  <w:footnote w:id="3392">
    <w:p w14:paraId="1675771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בשביל שלא יזיקו, ואין בכך משום צידה, רש"י.</w:t>
      </w:r>
    </w:p>
  </w:footnote>
  <w:footnote w:id="3393">
    <w:p w14:paraId="3365C36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שכן דרך ליתן כלי מתכות על העין כדי לקרר העין, אי נמי: כגון שעושין לאדם שחש בעינו מקיפים עינו בטבעת, רש"י.</w:t>
      </w:r>
    </w:p>
  </w:footnote>
  <w:footnote w:id="3394">
    <w:p w14:paraId="62064CC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כגון מפתח סכין וטבעת, רש"י.</w:t>
      </w:r>
    </w:p>
  </w:footnote>
  <w:footnote w:id="3395">
    <w:p w14:paraId="26BBC8D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וה"ה מה שעושין לאדם שחש בעיניו שמקיפין אותו בטבעת כדי שלא יתפשט הנפח (רש"י ומרדכי), מג"א (סק"נ).</w:t>
      </w:r>
    </w:p>
  </w:footnote>
  <w:footnote w:id="3396">
    <w:p w14:paraId="0D144DC0"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עצם שנשבר, כל רפואה אסורה משום שחיקת סמנין, רש"י. הב"י לא העתיק רש"י זה, ואפ"ל דבכוונה תחילה עשה כן ועי' לקמן.</w:t>
      </w:r>
    </w:p>
  </w:footnote>
  <w:footnote w:id="3397">
    <w:p w14:paraId="5EF78555"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סבירא ליה לשמואל מחזירין תנן, רש"י. </w:t>
      </w:r>
    </w:p>
  </w:footnote>
  <w:footnote w:id="3398">
    <w:p w14:paraId="58C2EBC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w:t>
      </w:r>
      <w:r w:rsidRPr="008C1C8E">
        <w:rPr>
          <w:rFonts w:asciiTheme="minorBidi" w:hAnsiTheme="minorBidi"/>
          <w:u w:val="single"/>
          <w:rtl/>
        </w:rPr>
        <w:t>המג"א</w:t>
      </w:r>
      <w:r w:rsidRPr="008C1C8E">
        <w:rPr>
          <w:rFonts w:asciiTheme="minorBidi" w:hAnsiTheme="minorBidi"/>
          <w:rtl/>
        </w:rPr>
        <w:t xml:space="preserve"> </w:t>
      </w:r>
      <w:r w:rsidRPr="008C1C8E">
        <w:rPr>
          <w:rFonts w:asciiTheme="minorBidi" w:hAnsiTheme="minorBidi"/>
          <w:sz w:val="16"/>
          <w:szCs w:val="16"/>
          <w:rtl/>
        </w:rPr>
        <w:t>(סקנ"א)</w:t>
      </w:r>
      <w:r w:rsidRPr="008C1C8E">
        <w:rPr>
          <w:rFonts w:asciiTheme="minorBidi" w:hAnsiTheme="minorBidi"/>
          <w:rtl/>
        </w:rPr>
        <w:t xml:space="preserve"> כ' דבגמרא לא התירו אלא להחזיר השבר דהיינו עצם הנשבר, וכמש"כ הרי"ף והרא"ש ורי"ו וברמזים, אבל עצם שיצא ממקומו אסור דהא אפי' לשפשפו אסור וכמש"כ ס"ל, וכ"מ בגמרא בעובדא דרב אויא ע"ש, וכ"מ מסי' של ס"ט דאסור ליישר איברי הולד דהוי כבונה, וצ"ע, וכ"כ כנה"ג בשם ר"ש הלוי שהקשה זה, וגם הרמב"ם לא הביא דין זה לכן אין להקל, </w:t>
      </w:r>
      <w:r w:rsidRPr="008C1C8E">
        <w:rPr>
          <w:rFonts w:asciiTheme="minorBidi" w:hAnsiTheme="minorBidi"/>
          <w:u w:val="single"/>
          <w:rtl/>
        </w:rPr>
        <w:t>והגר"א</w:t>
      </w:r>
      <w:r w:rsidRPr="008C1C8E">
        <w:rPr>
          <w:rFonts w:asciiTheme="minorBidi" w:hAnsiTheme="minorBidi"/>
          <w:rtl/>
        </w:rPr>
        <w:t xml:space="preserve"> </w:t>
      </w:r>
      <w:r w:rsidRPr="008C1C8E">
        <w:rPr>
          <w:rFonts w:asciiTheme="minorBidi" w:hAnsiTheme="minorBidi"/>
          <w:sz w:val="16"/>
          <w:szCs w:val="16"/>
          <w:rtl/>
        </w:rPr>
        <w:t xml:space="preserve">(סקע"ג) </w:t>
      </w:r>
      <w:r w:rsidRPr="008C1C8E">
        <w:rPr>
          <w:rFonts w:asciiTheme="minorBidi" w:hAnsiTheme="minorBidi"/>
          <w:rtl/>
        </w:rPr>
        <w:t xml:space="preserve">השאיר את דברי השו"ע  בצ"ע, ובאמת בשוע"ה (סע' נב) פסק כלשון הגמ', שמותר להחזיר שבר אבל עצם שיצא אסור. </w:t>
      </w:r>
      <w:r w:rsidRPr="008C1C8E">
        <w:rPr>
          <w:rFonts w:asciiTheme="minorBidi" w:hAnsiTheme="minorBidi"/>
          <w:u w:val="single"/>
          <w:rtl/>
        </w:rPr>
        <w:t>אך האחרונים נתנו כמה תירוצים בדבר זה</w:t>
      </w:r>
      <w:r w:rsidRPr="008C1C8E">
        <w:rPr>
          <w:rFonts w:asciiTheme="minorBidi" w:hAnsiTheme="minorBidi"/>
          <w:rtl/>
        </w:rPr>
        <w:t>:</w:t>
      </w:r>
    </w:p>
    <w:p w14:paraId="48DB8888" w14:textId="77777777" w:rsidR="006A4BF8" w:rsidRPr="008C1C8E" w:rsidRDefault="006A4BF8" w:rsidP="00FF2D21">
      <w:pPr>
        <w:pStyle w:val="a7"/>
        <w:numPr>
          <w:ilvl w:val="0"/>
          <w:numId w:val="69"/>
        </w:numPr>
        <w:rPr>
          <w:rFonts w:asciiTheme="minorBidi" w:hAnsiTheme="minorBidi"/>
        </w:rPr>
      </w:pPr>
      <w:r w:rsidRPr="008C1C8E">
        <w:rPr>
          <w:rFonts w:asciiTheme="minorBidi" w:hAnsiTheme="minorBidi"/>
          <w:u w:val="single"/>
          <w:rtl/>
        </w:rPr>
        <w:t>פרי חדש</w:t>
      </w:r>
      <w:r w:rsidRPr="008C1C8E">
        <w:rPr>
          <w:rFonts w:asciiTheme="minorBidi" w:hAnsiTheme="minorBidi"/>
          <w:rtl/>
        </w:rPr>
        <w:t xml:space="preserve">- מדובר כאן בעצם שיצאה ע"י שבר, דהרי לגבי עצם שנפרקה כבר דיבר בסע' ל. </w:t>
      </w:r>
    </w:p>
    <w:p w14:paraId="2911AA71" w14:textId="77777777" w:rsidR="006A4BF8" w:rsidRPr="008C1C8E" w:rsidRDefault="006A4BF8" w:rsidP="00FF2D21">
      <w:pPr>
        <w:pStyle w:val="a7"/>
        <w:numPr>
          <w:ilvl w:val="0"/>
          <w:numId w:val="69"/>
        </w:numPr>
        <w:rPr>
          <w:rFonts w:asciiTheme="minorBidi" w:hAnsiTheme="minorBidi"/>
        </w:rPr>
      </w:pPr>
      <w:r w:rsidRPr="008C1C8E">
        <w:rPr>
          <w:rFonts w:asciiTheme="minorBidi" w:hAnsiTheme="minorBidi"/>
          <w:u w:val="single"/>
          <w:rtl/>
        </w:rPr>
        <w:t>א"ר</w:t>
      </w:r>
      <w:r w:rsidRPr="008C1C8E">
        <w:rPr>
          <w:rFonts w:asciiTheme="minorBidi" w:hAnsiTheme="minorBidi"/>
          <w:rtl/>
        </w:rPr>
        <w:t>- הרוקח כ' (סי' קו) "למשוך ידו או רגלו לפרקים מותר אבל נפרקה לא יטרפם וכו", דמשמע דיש חילוק בין יצא מעט לנפרק לגמרי, והכא יצא מעט ובסע' ל נפרק לגמרי.</w:t>
      </w:r>
    </w:p>
    <w:p w14:paraId="25C46D25" w14:textId="77777777" w:rsidR="006A4BF8" w:rsidRPr="008C1C8E" w:rsidRDefault="006A4BF8" w:rsidP="00FF2D21">
      <w:pPr>
        <w:pStyle w:val="a7"/>
        <w:numPr>
          <w:ilvl w:val="0"/>
          <w:numId w:val="69"/>
        </w:numPr>
        <w:rPr>
          <w:rFonts w:asciiTheme="minorBidi" w:hAnsiTheme="minorBidi"/>
        </w:rPr>
      </w:pPr>
      <w:r w:rsidRPr="008C1C8E">
        <w:rPr>
          <w:rFonts w:asciiTheme="minorBidi" w:hAnsiTheme="minorBidi"/>
          <w:u w:val="single"/>
          <w:rtl/>
        </w:rPr>
        <w:t>דעת תורה</w:t>
      </w:r>
      <w:r w:rsidRPr="008C1C8E">
        <w:rPr>
          <w:rFonts w:asciiTheme="minorBidi" w:hAnsiTheme="minorBidi"/>
          <w:rtl/>
        </w:rPr>
        <w:t>- מותר ע"פ הלבוש"ר (בפתיחה לטריפות העצמות) דיצא לגמרי הוא בגדר נשבר.</w:t>
      </w:r>
    </w:p>
    <w:p w14:paraId="7B9BF1D7" w14:textId="77777777" w:rsidR="006A4BF8" w:rsidRPr="008C1C8E" w:rsidRDefault="006A4BF8" w:rsidP="00FF2D21">
      <w:pPr>
        <w:pStyle w:val="a7"/>
        <w:numPr>
          <w:ilvl w:val="0"/>
          <w:numId w:val="69"/>
        </w:numPr>
        <w:rPr>
          <w:rFonts w:asciiTheme="minorBidi" w:hAnsiTheme="minorBidi"/>
        </w:rPr>
      </w:pPr>
      <w:r w:rsidRPr="008C1C8E">
        <w:rPr>
          <w:rFonts w:asciiTheme="minorBidi" w:hAnsiTheme="minorBidi"/>
          <w:u w:val="single"/>
          <w:rtl/>
        </w:rPr>
        <w:t>שולחן עצי שיטים ח"א ומ"ב</w:t>
      </w:r>
      <w:r w:rsidRPr="008C1C8E">
        <w:rPr>
          <w:rFonts w:asciiTheme="minorBidi" w:hAnsiTheme="minorBidi"/>
          <w:rtl/>
        </w:rPr>
        <w:t>- אם יצא ממקומו לגמרי חשיב סכנת אבר כמו נשבר אם לא יחזירנו מיד לכן שרי להחזיר, והאי דלעיל סעי' ל' איירי לדעתו בשלא נשמט לגמרי ממקומו יצא ממקומו לגמרי שקורין אוי"ש גילענקט (נקע) חשיב סכנת אבר כמו נשבר אם לא יחזירנו מיד ושרי להחזיר ע"י ישראל, והאי דלעיל סעי' ל' איירי לדעתו בשלא נשמט לגמרי ממקומו. (וכ"פ בשו"ת צי"א ח"ח סי' טו, קונטרס משיבת נפש פרק י)</w:t>
      </w:r>
    </w:p>
    <w:p w14:paraId="2899B74C" w14:textId="77777777" w:rsidR="006A4BF8" w:rsidRPr="008C1C8E" w:rsidRDefault="006A4BF8" w:rsidP="00FF2D21">
      <w:pPr>
        <w:pStyle w:val="a7"/>
        <w:numPr>
          <w:ilvl w:val="0"/>
          <w:numId w:val="69"/>
        </w:numPr>
        <w:rPr>
          <w:rFonts w:asciiTheme="minorBidi" w:hAnsiTheme="minorBidi"/>
          <w:rtl/>
        </w:rPr>
      </w:pPr>
      <w:r w:rsidRPr="008C1C8E">
        <w:rPr>
          <w:rFonts w:asciiTheme="minorBidi" w:hAnsiTheme="minorBidi"/>
          <w:u w:val="single"/>
          <w:rtl/>
        </w:rPr>
        <w:t>ערוה"ש</w:t>
      </w:r>
      <w:r w:rsidRPr="008C1C8E">
        <w:rPr>
          <w:rFonts w:asciiTheme="minorBidi" w:hAnsiTheme="minorBidi"/>
          <w:rtl/>
        </w:rPr>
        <w:t xml:space="preserve">- מותר להחזיר עצם שיצאה משום שלשון הגמרא אינו מדוקדק, משום דעל שבר ממש לא שייך לשון חזרה אלא דיבוק </w:t>
      </w:r>
      <w:r w:rsidRPr="008C1C8E">
        <w:rPr>
          <w:rFonts w:asciiTheme="minorBidi" w:hAnsiTheme="minorBidi"/>
          <w:sz w:val="16"/>
          <w:szCs w:val="16"/>
          <w:rtl/>
        </w:rPr>
        <w:t>(כמורגל בלשון הפוסקים שבר אל שבר יחדיו ידובקו)</w:t>
      </w:r>
      <w:r w:rsidRPr="008C1C8E">
        <w:rPr>
          <w:rFonts w:asciiTheme="minorBidi" w:hAnsiTheme="minorBidi"/>
          <w:rtl/>
        </w:rPr>
        <w:t>, ולשון חזרה אינו אלא בעצם שיצא ממקומו, ולכן שינו הטור והשו"ע מלשון הגמ'. ושני דינים נפרדים הם דלהחזירו למקומו מותר, דאיך אפשר להניחו חוץ למקומו, ובסע' ל' הוא ענין אחר שלא ישפשף המקום במים אחרי שהחזירוהו למקומו.</w:t>
      </w:r>
    </w:p>
  </w:footnote>
  <w:footnote w:id="3399">
    <w:p w14:paraId="2C19B18E"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וכ' עוד </w:t>
      </w:r>
      <w:r w:rsidRPr="008C1C8E">
        <w:rPr>
          <w:rFonts w:asciiTheme="minorBidi" w:hAnsiTheme="minorBidi"/>
          <w:sz w:val="16"/>
          <w:szCs w:val="16"/>
          <w:rtl/>
        </w:rPr>
        <w:t>(סי' שכח סקנ"ב)</w:t>
      </w:r>
      <w:r w:rsidRPr="008C1C8E">
        <w:rPr>
          <w:rFonts w:asciiTheme="minorBidi" w:hAnsiTheme="minorBidi"/>
          <w:rtl/>
        </w:rPr>
        <w:t xml:space="preserve"> דנראה פשוט דאסור לקנח גם בבגד אדום.</w:t>
      </w:r>
    </w:p>
  </w:footnote>
  <w:footnote w:id="3400">
    <w:p w14:paraId="70BD715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ואף על גב דמקלקל פטור מכל מקום אסור (רקנ"ט סי' קכ"ג), מג"א (סקנ"ב). אבל על ידי גוי מותר לעשות לו רטיה על החתך או על שאר חבורה </w:t>
      </w:r>
      <w:r w:rsidRPr="008C1C8E">
        <w:rPr>
          <w:rFonts w:asciiTheme="minorBidi" w:hAnsiTheme="minorBidi"/>
          <w:sz w:val="16"/>
          <w:szCs w:val="16"/>
          <w:rtl/>
        </w:rPr>
        <w:t>(אוה"ת הארוך סי' נט דין כב)</w:t>
      </w:r>
      <w:r w:rsidRPr="008C1C8E">
        <w:rPr>
          <w:rFonts w:asciiTheme="minorBidi" w:hAnsiTheme="minorBidi"/>
          <w:rtl/>
        </w:rPr>
        <w:t>, דרכ"מ (אות טז).</w:t>
      </w:r>
    </w:p>
  </w:footnote>
  <w:footnote w:id="3401">
    <w:p w14:paraId="2EB2383A"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ולרש"י </w:t>
      </w:r>
      <w:r w:rsidRPr="008C1C8E">
        <w:rPr>
          <w:rFonts w:asciiTheme="minorBidi" w:hAnsiTheme="minorBidi"/>
          <w:sz w:val="16"/>
          <w:szCs w:val="16"/>
          <w:rtl/>
        </w:rPr>
        <w:t xml:space="preserve">(עירובין קג: ד"ה כאן) </w:t>
      </w:r>
      <w:r w:rsidRPr="008C1C8E">
        <w:rPr>
          <w:rFonts w:asciiTheme="minorBidi" w:hAnsiTheme="minorBidi"/>
          <w:rtl/>
        </w:rPr>
        <w:t>דהוי ליה חובל - הוי אב מלאכה, מג"א (סקנ"ג).</w:t>
      </w:r>
    </w:p>
  </w:footnote>
  <w:footnote w:id="3402">
    <w:p w14:paraId="0623DB45"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שבלי הלקט (סי' קיז) בשם ספר יראים (סי' רעד קלח:)</w:t>
      </w:r>
    </w:p>
  </w:footnote>
  <w:footnote w:id="3403">
    <w:p w14:paraId="289FA38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כל בו </w:t>
      </w:r>
      <w:r w:rsidRPr="008C1C8E">
        <w:rPr>
          <w:rFonts w:asciiTheme="minorBidi" w:hAnsiTheme="minorBidi"/>
          <w:sz w:val="16"/>
          <w:szCs w:val="16"/>
          <w:rtl/>
        </w:rPr>
        <w:t xml:space="preserve">(סי' לא כט ע"ג) </w:t>
      </w:r>
      <w:r w:rsidRPr="008C1C8E">
        <w:rPr>
          <w:rFonts w:asciiTheme="minorBidi" w:hAnsiTheme="minorBidi"/>
          <w:rtl/>
        </w:rPr>
        <w:t xml:space="preserve">והרוקח </w:t>
      </w:r>
      <w:r w:rsidRPr="008C1C8E">
        <w:rPr>
          <w:rFonts w:asciiTheme="minorBidi" w:hAnsiTheme="minorBidi"/>
          <w:sz w:val="16"/>
          <w:szCs w:val="16"/>
          <w:rtl/>
        </w:rPr>
        <w:t>(סי' ע)</w:t>
      </w:r>
      <w:r w:rsidRPr="008C1C8E">
        <w:rPr>
          <w:rFonts w:asciiTheme="minorBidi" w:hAnsiTheme="minorBidi"/>
          <w:rtl/>
        </w:rPr>
        <w:t xml:space="preserve">, וכ' מרן דעתם כיש אומרים משום שכ' בב"י- "ואני חוכך בהנחת קורי עכביש משום דמסי". וכ' הדרכ"מ (אות טז) בשם המרדכי (סי' שפב) דאסור ליתן אפר מקלה על גבי המכה בשבת </w:t>
      </w:r>
      <w:r w:rsidRPr="008C1C8E">
        <w:rPr>
          <w:rFonts w:asciiTheme="minorBidi" w:hAnsiTheme="minorBidi"/>
          <w:color w:val="FF0000"/>
          <w:rtl/>
        </w:rPr>
        <w:t>(משום דמסי)</w:t>
      </w:r>
      <w:r w:rsidRPr="008C1C8E">
        <w:rPr>
          <w:rFonts w:asciiTheme="minorBidi" w:hAnsiTheme="minorBidi"/>
          <w:rtl/>
        </w:rPr>
        <w:t>.</w:t>
      </w:r>
    </w:p>
  </w:footnote>
  <w:footnote w:id="3404">
    <w:p w14:paraId="0F5089F9"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במקום לשטף את החבורה במים.</w:t>
      </w:r>
    </w:p>
  </w:footnote>
  <w:footnote w:id="3405">
    <w:p w14:paraId="1FC9BD79"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הנצרך ליפנות ואינו יכול ליפנות, אמרינן לקמן בפירקין דממשמש בצרור בנקב והוא נפתח, וקא סלקא דעתך דקאמר: ובשבת אסור למשמש כלל כדרך שממשמשים בחול, רש"י.</w:t>
      </w:r>
    </w:p>
  </w:footnote>
  <w:footnote w:id="3406">
    <w:p w14:paraId="19767E49"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דאמר מר (תמיד כז:): עמוד החוזר מביא אדם לידי הדרוקן, ומשני: כלאחר יד - האי כדרך דקאמר רבא - כדרך הממשמש בחול בלא שינוי משום השרת נימין, אבל כלאחר יד: כגון אוחז צרור בשתי אצבעותיו - שפיר דמי, רש"י.</w:t>
      </w:r>
    </w:p>
  </w:footnote>
  <w:footnote w:id="3407">
    <w:p w14:paraId="71D77A4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בכלים של מתכת או של חרס מלאים מים, ובדליקה שיש בה סכנת נפשות קאמר, רש"י.</w:t>
      </w:r>
    </w:p>
  </w:footnote>
  <w:footnote w:id="3408">
    <w:p w14:paraId="7279F13E"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דליקה בחצר זו, ונפשות בחצר אחרת, והם חולים או קטנים </w:t>
      </w:r>
      <w:r w:rsidRPr="008C1C8E">
        <w:rPr>
          <w:rFonts w:asciiTheme="minorBidi" w:hAnsiTheme="minorBidi"/>
          <w:sz w:val="16"/>
          <w:szCs w:val="16"/>
          <w:rtl/>
        </w:rPr>
        <w:t>(כלומר ואין שהות להבריחם קודם שיגיע להם האש, ב"י)</w:t>
      </w:r>
      <w:r w:rsidRPr="008C1C8E">
        <w:rPr>
          <w:rFonts w:asciiTheme="minorBidi" w:hAnsiTheme="minorBidi"/>
          <w:rtl/>
        </w:rPr>
        <w:t>, רש"י.</w:t>
      </w:r>
    </w:p>
  </w:footnote>
  <w:footnote w:id="3409">
    <w:p w14:paraId="4B28CB70"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כגון שיש שם חולי או קטנים שאי אפשר להבריחם, ונ"ל דאפי' אפשר להצילם דרך ר"ה מוטב לכבות דהוי מלאכה שאין צריך לגופה </w:t>
      </w:r>
      <w:r w:rsidRPr="008C1C8E">
        <w:rPr>
          <w:rFonts w:asciiTheme="minorBidi" w:hAnsiTheme="minorBidi"/>
          <w:color w:val="FF0000"/>
          <w:rtl/>
        </w:rPr>
        <w:t>אבל זה הוי דאורייתא</w:t>
      </w:r>
      <w:r w:rsidRPr="008C1C8E">
        <w:rPr>
          <w:rFonts w:asciiTheme="minorBidi" w:hAnsiTheme="minorBidi"/>
          <w:rtl/>
        </w:rPr>
        <w:t xml:space="preserve">, מג"א (סק"א). </w:t>
      </w:r>
      <w:r w:rsidRPr="008C1C8E">
        <w:rPr>
          <w:rFonts w:asciiTheme="minorBidi" w:hAnsiTheme="minorBidi"/>
          <w:color w:val="FF0000"/>
          <w:rtl/>
        </w:rPr>
        <w:t>(צל"ע יד אהרן ועוד שחולקים)</w:t>
      </w:r>
    </w:p>
  </w:footnote>
  <w:footnote w:id="3410">
    <w:p w14:paraId="7711618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 הרא"ש </w:t>
      </w:r>
      <w:r w:rsidRPr="008C1C8E">
        <w:rPr>
          <w:rFonts w:asciiTheme="minorBidi" w:hAnsiTheme="minorBidi"/>
          <w:sz w:val="16"/>
          <w:szCs w:val="16"/>
          <w:rtl/>
        </w:rPr>
        <w:t xml:space="preserve">(סי' טו) </w:t>
      </w:r>
      <w:r w:rsidRPr="008C1C8E">
        <w:rPr>
          <w:rFonts w:asciiTheme="minorBidi" w:hAnsiTheme="minorBidi"/>
          <w:rtl/>
        </w:rPr>
        <w:t xml:space="preserve">פירוש הא דפריש כולהו מאותה חצר שהיו שם בשעת עקירתן נכנס אחד מהם לחצר אחרת ונפלה עליו מפולת אין מפקחין עליו דכיון שעקרו כולם אין כאן ישראל קבוע וכל דפריש מרובא פריש, והא דפריש מקצתייהו שפירש אחד מהם לחצר אחרת ונפלה עליו מפולת מפקחין דכיון דנשארו האחרים קבועים במקומם כמחצה על מחצה דמי וספק נפשות להקל. וכן פירש הר"ן </w:t>
      </w:r>
      <w:r w:rsidRPr="008C1C8E">
        <w:rPr>
          <w:rFonts w:asciiTheme="minorBidi" w:hAnsiTheme="minorBidi"/>
          <w:sz w:val="16"/>
          <w:szCs w:val="16"/>
          <w:rtl/>
        </w:rPr>
        <w:t xml:space="preserve">(ה. ד"ה לא הלכו) </w:t>
      </w:r>
      <w:r w:rsidRPr="008C1C8E">
        <w:rPr>
          <w:rFonts w:asciiTheme="minorBidi" w:hAnsiTheme="minorBidi"/>
          <w:rtl/>
        </w:rPr>
        <w:t xml:space="preserve">דברי הרי"ף וכן פירש הה"מ דברי הרמב"ם </w:t>
      </w:r>
      <w:r w:rsidRPr="008C1C8E">
        <w:rPr>
          <w:rFonts w:asciiTheme="minorBidi" w:hAnsiTheme="minorBidi"/>
          <w:sz w:val="16"/>
          <w:szCs w:val="16"/>
          <w:rtl/>
        </w:rPr>
        <w:t>(שבת פ"ב ה"כ-כא)</w:t>
      </w:r>
      <w:r w:rsidRPr="008C1C8E">
        <w:rPr>
          <w:rFonts w:asciiTheme="minorBidi" w:hAnsiTheme="minorBidi"/>
          <w:rtl/>
        </w:rPr>
        <w:t>. ויש לרש"י ז"ל גירסא אחרת ופירוש אחר בשמועה זו וגם הה"מ כ' שיש מפרשים שגורסים כן, ולא ראיתי להאריך בזה מאחר שהרי"ף והרא"ש והרמב"ם קיימי בחד שיטה הא ודאי כוותייהו נקטינן, ע"פ ב"י.</w:t>
      </w:r>
    </w:p>
  </w:footnote>
  <w:footnote w:id="3411">
    <w:p w14:paraId="70D749B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אבל בשאר איסורים אמרינן כל דפריש מרובה קפריש</w:t>
      </w:r>
      <w:r w:rsidRPr="008C1C8E">
        <w:rPr>
          <w:rFonts w:asciiTheme="minorBidi" w:hAnsiTheme="minorBidi"/>
          <w:sz w:val="16"/>
          <w:szCs w:val="16"/>
          <w:rtl/>
        </w:rPr>
        <w:t xml:space="preserve"> (כמ"ש סי' תלט)</w:t>
      </w:r>
      <w:r w:rsidRPr="008C1C8E">
        <w:rPr>
          <w:rFonts w:asciiTheme="minorBidi" w:hAnsiTheme="minorBidi"/>
          <w:rtl/>
        </w:rPr>
        <w:t xml:space="preserve"> בפיקוח נפש הקילו </w:t>
      </w:r>
      <w:r w:rsidRPr="008C1C8E">
        <w:rPr>
          <w:rFonts w:asciiTheme="minorBidi" w:hAnsiTheme="minorBidi"/>
          <w:sz w:val="16"/>
          <w:szCs w:val="16"/>
          <w:rtl/>
        </w:rPr>
        <w:t xml:space="preserve">(מ"מ פ"ב) </w:t>
      </w:r>
      <w:r w:rsidRPr="008C1C8E">
        <w:rPr>
          <w:rFonts w:asciiTheme="minorBidi" w:hAnsiTheme="minorBidi"/>
          <w:rtl/>
        </w:rPr>
        <w:t xml:space="preserve">וכ"ה בגמ', והע"ש לא דק, וע' בא"ע סי' ד' סל"ד דתינוק שנמצא בעיר שרובה </w:t>
      </w:r>
      <w:r>
        <w:rPr>
          <w:rFonts w:asciiTheme="minorBidi" w:hAnsiTheme="minorBidi"/>
          <w:rtl/>
        </w:rPr>
        <w:t>גוי</w:t>
      </w:r>
      <w:r w:rsidRPr="008C1C8E">
        <w:rPr>
          <w:rFonts w:asciiTheme="minorBidi" w:hAnsiTheme="minorBidi"/>
          <w:rtl/>
        </w:rPr>
        <w:t xml:space="preserve"> אין מחללין עליו את השבת כיון דבכל יום ויום פורשים כלם ממקום קביעותם אזלינן אחר הרוב</w:t>
      </w:r>
      <w:r w:rsidRPr="008C1C8E">
        <w:rPr>
          <w:rFonts w:asciiTheme="minorBidi" w:hAnsiTheme="minorBidi"/>
          <w:sz w:val="16"/>
          <w:szCs w:val="16"/>
          <w:rtl/>
        </w:rPr>
        <w:t xml:space="preserve"> (מ"מ פט"ו מהא"ב וב"י שם)</w:t>
      </w:r>
      <w:r w:rsidRPr="008C1C8E">
        <w:rPr>
          <w:rFonts w:asciiTheme="minorBidi" w:hAnsiTheme="minorBidi"/>
          <w:rtl/>
        </w:rPr>
        <w:t>, מג"א (סק"ב).</w:t>
      </w:r>
    </w:p>
  </w:footnote>
  <w:footnote w:id="3412">
    <w:p w14:paraId="0E33CB0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בזה אחר זה דאי בבת אחת הא נמי קביעי</w:t>
      </w:r>
      <w:r w:rsidRPr="008C1C8E">
        <w:rPr>
          <w:rFonts w:asciiTheme="minorBidi" w:hAnsiTheme="minorBidi"/>
          <w:sz w:val="16"/>
          <w:szCs w:val="16"/>
          <w:rtl/>
        </w:rPr>
        <w:t xml:space="preserve"> (או"ה)</w:t>
      </w:r>
      <w:r w:rsidRPr="008C1C8E">
        <w:rPr>
          <w:rFonts w:asciiTheme="minorBidi" w:hAnsiTheme="minorBidi"/>
          <w:rtl/>
        </w:rPr>
        <w:t>, מג"א (סק"ג).</w:t>
      </w:r>
    </w:p>
  </w:footnote>
  <w:footnote w:id="3413">
    <w:p w14:paraId="74005B0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וכן כשיש סם או פרי </w:t>
      </w:r>
      <w:r w:rsidRPr="008C1C8E">
        <w:rPr>
          <w:rFonts w:asciiTheme="minorBidi" w:hAnsiTheme="minorBidi"/>
          <w:u w:val="single"/>
          <w:rtl/>
        </w:rPr>
        <w:t>שידוע</w:t>
      </w:r>
      <w:r w:rsidRPr="008C1C8E">
        <w:rPr>
          <w:rFonts w:asciiTheme="minorBidi" w:hAnsiTheme="minorBidi"/>
          <w:rtl/>
        </w:rPr>
        <w:t xml:space="preserve"> שהוא מרפא אלא שיש ספק אם זה הוא או אחר ג"כ מחללין, קול בן לוי</w:t>
      </w:r>
      <w:r w:rsidRPr="008C1C8E">
        <w:rPr>
          <w:rFonts w:asciiTheme="minorBidi" w:hAnsiTheme="minorBidi"/>
          <w:sz w:val="16"/>
          <w:szCs w:val="16"/>
          <w:rtl/>
        </w:rPr>
        <w:t xml:space="preserve"> (סי' ב, הובא בשע"ת ובא"א)</w:t>
      </w:r>
      <w:r w:rsidRPr="008C1C8E">
        <w:rPr>
          <w:rFonts w:asciiTheme="minorBidi" w:hAnsiTheme="minorBidi"/>
          <w:rtl/>
        </w:rPr>
        <w:t>.</w:t>
      </w:r>
    </w:p>
  </w:footnote>
  <w:footnote w:id="3414">
    <w:p w14:paraId="4CB1F290"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דהא מועיל שימות מהר, שהרי מותר למנוע מן הגוסס דבר המעכב יציאת הנפש, שהרי אסור לעכב יציאת הנפש, בית יעקב</w:t>
      </w:r>
      <w:r w:rsidRPr="008C1C8E">
        <w:rPr>
          <w:rFonts w:asciiTheme="minorBidi" w:hAnsiTheme="minorBidi"/>
          <w:sz w:val="14"/>
          <w:szCs w:val="14"/>
          <w:rtl/>
        </w:rPr>
        <w:t xml:space="preserve"> (שם).</w:t>
      </w:r>
    </w:p>
  </w:footnote>
  <w:footnote w:id="3415">
    <w:p w14:paraId="61B36D6E"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אם דומה למת שאינו מזיז איבריו, עד היכן הוא מפקח לדעת האמת?, רש"י.</w:t>
      </w:r>
    </w:p>
  </w:footnote>
  <w:footnote w:id="3416">
    <w:p w14:paraId="3B79FD1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ואם אין חיות בחוטמו, שאינו מוציא רוח - ודאי מת, ויניחוהו, רש"י.</w:t>
      </w:r>
    </w:p>
  </w:footnote>
  <w:footnote w:id="3417">
    <w:p w14:paraId="51F0077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מחלוקת דהנך תנאי דמר אמר עד לבו, ומר אמר עד חוטמו, מלמטה למעלה שמוצאו דרך מרגלותיו תחלה ובודק והולך כלפי ראשו, דמר אמר בלבו יש להבחין אם יש בו חיות שנשמתו דופקת שם, ומר אמר עד חוטמו דזימנין דאין חיות ניכר בלבו וניכר בחוטמו, רש"י.</w:t>
      </w:r>
    </w:p>
  </w:footnote>
  <w:footnote w:id="3418">
    <w:p w14:paraId="005A65F4"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לשון הב"י שהביא טעם לפסיקתו של הרמב"ם. </w:t>
      </w:r>
      <w:r w:rsidRPr="008C1C8E">
        <w:rPr>
          <w:rFonts w:asciiTheme="minorBidi" w:hAnsiTheme="minorBidi"/>
          <w:color w:val="FF0000"/>
          <w:rtl/>
        </w:rPr>
        <w:t>אך צל"ע שהרי לפי טעם זה יוצא שאם פגע בראשו תחילה עוצר שם ולא אומר "בא נקל באיסור שבת ונבדוק עד הלב", ולכאורה הוא גם היפך מש"כ מרן בשו"ע- "לא שנא פגעו בראשו תחלה לא שנא פגעו ברגליו תחלה", וצל"ע.</w:t>
      </w:r>
    </w:p>
  </w:footnote>
  <w:footnote w:id="3419">
    <w:p w14:paraId="2705E45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ואע"פ שלא נזכר בגמ' דין "באו סתם" כתבו הרמב"ם (פ"ב הכ"ג) וטעמא משום דספק נפשות להקל, ב"י.</w:t>
      </w:r>
    </w:p>
  </w:footnote>
  <w:footnote w:id="3420">
    <w:p w14:paraId="28156E8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תרוה"ד סי' קנו.</w:t>
      </w:r>
    </w:p>
  </w:footnote>
  <w:footnote w:id="3421">
    <w:p w14:paraId="593E8E4E"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כמו עיר הסמוכה לספר בסע' ו, גר"א (סק"ב).</w:t>
      </w:r>
    </w:p>
  </w:footnote>
  <w:footnote w:id="3422">
    <w:p w14:paraId="4FE62EEF"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וצ"ע דיניחנו ליקח הממון ולא יחלל שבת, ואפשר כיון דאין אדם מעמיד עצמו על ממונו חיישינן שמא יעמוד אחד נגדם ויהרג ולכן מחללין, אבל באדם יחיד יניח ליקח ממונו ולא יחלל שבת, עיין מש"כ ססי' רמ"ח, מג"א (סק"ה).</w:t>
      </w:r>
    </w:p>
  </w:footnote>
  <w:footnote w:id="3423">
    <w:p w14:paraId="4CA3768B"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כלומר דת"ק סבר מתריעין כדי שישמעו הסביבות ויתקבצו לעזור להם ולהצילם וגם מתריעין לזעוק ולהתחנן לפני השם יתברך שירחם עליהם ויצילם, ורבי יוסי אומר אין מתריעין לזעקה, ומכל מקום לדברי הכל מתריעין לעזרה, ב"י.</w:t>
      </w:r>
    </w:p>
  </w:footnote>
  <w:footnote w:id="3424">
    <w:p w14:paraId="360785A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כן כתב הרמב"ם (פ"ב הכ"ד) ואע"פ שלא נזכר במשנה- כיון דפיקוח נפש הוא פשיטא דמחללין עליו את השבת, ב"י. </w:t>
      </w:r>
      <w:r w:rsidRPr="008C1C8E">
        <w:rPr>
          <w:rFonts w:asciiTheme="minorBidi" w:hAnsiTheme="minorBidi"/>
          <w:color w:val="FF0000"/>
          <w:rtl/>
        </w:rPr>
        <w:t>וצל"ע שהרי בכס"מ שם הביא את התוספתא שמוזכר בה בהדיא להציל גם יחיד שנרדף.</w:t>
      </w:r>
    </w:p>
  </w:footnote>
  <w:footnote w:id="3425">
    <w:p w14:paraId="599FBC6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לאו דוקא גוים אלא ה"ה מפני ישראל, יד אליהו</w:t>
      </w:r>
      <w:r w:rsidRPr="008C1C8E">
        <w:rPr>
          <w:rFonts w:asciiTheme="minorBidi" w:hAnsiTheme="minorBidi"/>
          <w:sz w:val="16"/>
          <w:szCs w:val="16"/>
          <w:rtl/>
        </w:rPr>
        <w:t xml:space="preserve"> (סי' יא, הובא בבאה"ט סק"ה)</w:t>
      </w:r>
      <w:r w:rsidRPr="008C1C8E">
        <w:rPr>
          <w:rFonts w:asciiTheme="minorBidi" w:hAnsiTheme="minorBidi"/>
          <w:rtl/>
        </w:rPr>
        <w:t>.</w:t>
      </w:r>
    </w:p>
  </w:footnote>
  <w:footnote w:id="3426">
    <w:p w14:paraId="600C6A20"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ומ"מ אם יש לו סכנה אין לו לסכן גופו מאחר שהוא חוץ לסכנה, אף שראה במיתת חברו, או"ה</w:t>
      </w:r>
      <w:r w:rsidRPr="008C1C8E">
        <w:rPr>
          <w:rFonts w:asciiTheme="minorBidi" w:hAnsiTheme="minorBidi"/>
          <w:sz w:val="16"/>
          <w:szCs w:val="16"/>
          <w:rtl/>
        </w:rPr>
        <w:t xml:space="preserve"> (כלל נט דין לח, הובא בבאה"ט סק"ו)</w:t>
      </w:r>
      <w:r w:rsidRPr="008C1C8E">
        <w:rPr>
          <w:rFonts w:asciiTheme="minorBidi" w:hAnsiTheme="minorBidi"/>
          <w:rtl/>
        </w:rPr>
        <w:t>.</w:t>
      </w:r>
    </w:p>
  </w:footnote>
  <w:footnote w:id="3427">
    <w:p w14:paraId="5750473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דשם פסק השו"ע- "מי ששלחו לו שהוציאו בתו מביתו בשבת להוציאה מכלל ישראל מצוה לשום לדרך פעמיו להשתדל בהצלתה ויוצא אפילו חוץ לשלש פרסאות ואי לא בעי כייפינן ליה".</w:t>
      </w:r>
    </w:p>
  </w:footnote>
  <w:footnote w:id="3428">
    <w:p w14:paraId="3DC99B1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בחזירתן, בבית החיצון שמוצאין חוץ לחומה, רש"י.</w:t>
      </w:r>
    </w:p>
  </w:footnote>
  <w:footnote w:id="3429">
    <w:p w14:paraId="7A4EC5F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שיצאו חוץ לעיר, ורדפו אחריהן, רש"י.</w:t>
      </w:r>
    </w:p>
  </w:footnote>
  <w:footnote w:id="3430">
    <w:p w14:paraId="3B0CCEE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היוצאין ליטול כלי זיינן והבית צר, ודחקו זה את זה, רש"י.</w:t>
      </w:r>
    </w:p>
  </w:footnote>
  <w:footnote w:id="3431">
    <w:p w14:paraId="756A1C4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דרך רשות הרבים, רש"י.</w:t>
      </w:r>
    </w:p>
  </w:footnote>
  <w:footnote w:id="3432">
    <w:p w14:paraId="02CCB28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בכפה ולא בכלי, דכמה דאפשר משנינן, רש"י.</w:t>
      </w:r>
    </w:p>
  </w:footnote>
  <w:footnote w:id="3433">
    <w:p w14:paraId="01E8D48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סכה שערה שמן, וכשבאה אצלה מקנחתו, ואין כאן חילול שבת, כיון שאין דרך הוצאה בכך, רש"י.</w:t>
      </w:r>
    </w:p>
  </w:footnote>
  <w:footnote w:id="3434">
    <w:p w14:paraId="5C2D4A4E"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דהא פקוח נפש דוחה שבת, רש"י.</w:t>
      </w:r>
    </w:p>
  </w:footnote>
  <w:footnote w:id="3435">
    <w:p w14:paraId="5088835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למה לא הביאה לה בכלי - שלא תחלל שבת בהוצאה, הכא נמי הא קמחללה בסחיטה!, רש"י</w:t>
      </w:r>
    </w:p>
  </w:footnote>
  <w:footnote w:id="3436">
    <w:p w14:paraId="2022D60E"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שהוא קשה, ואין בולע, רש"י.</w:t>
      </w:r>
    </w:p>
  </w:footnote>
  <w:footnote w:id="3437">
    <w:p w14:paraId="737A94D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כורכת הכלי בראשה בשערה, רש"י.</w:t>
      </w:r>
    </w:p>
  </w:footnote>
  <w:footnote w:id="3438">
    <w:p w14:paraId="40AC5644"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וכ' התוס' דהכא א"צ מומחה כמו שצריך בחולה ביוה"כ דיותר יכולה היולדת להסתכן ע"י פחד שתתפחד שמא אין עושין יפה מה שהיא צריכה ממה שנסתכן החולה ברעב, ט"ז (סק"א).</w:t>
      </w:r>
    </w:p>
  </w:footnote>
  <w:footnote w:id="3439">
    <w:p w14:paraId="2E765309"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ולכן כשתגיע לחדש תשיעי יזמין הכל מערב שבת שלא יחללו שבת </w:t>
      </w:r>
      <w:r w:rsidRPr="008C1C8E">
        <w:rPr>
          <w:rFonts w:asciiTheme="minorBidi" w:hAnsiTheme="minorBidi"/>
          <w:sz w:val="16"/>
          <w:szCs w:val="16"/>
          <w:rtl/>
        </w:rPr>
        <w:t>(ספר חסידים סי' תתנה)</w:t>
      </w:r>
      <w:r w:rsidRPr="008C1C8E">
        <w:rPr>
          <w:rFonts w:asciiTheme="minorBidi" w:hAnsiTheme="minorBidi"/>
          <w:rtl/>
        </w:rPr>
        <w:t>, מג"א (סק"א).</w:t>
      </w:r>
    </w:p>
  </w:footnote>
  <w:footnote w:id="3440">
    <w:p w14:paraId="0C5C3C1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וכ' המג"א (סק"ב) דקשה, שהרי אפשר שיאמרו בפניה שהדליקו הנר ותתישב דעתה, ואפשר דמ"מ היא רואה מראה נר, א"נ תוכל לנסות להראות להם אצבע או ב' אם ידעו, ומ"מ צ"ע ל"ל טעמא דמיתבה דעתא הלא צריכים להדלקת הנר לראות מה שצריכה. ומתוך דברי הלבוש (סע' א) תורץ קושי זה, שכ' שאפילו יכולין לעשות צרכיה בלא נר מ"מ מיתבא דעתה.</w:t>
      </w:r>
    </w:p>
  </w:footnote>
  <w:footnote w:id="3441">
    <w:p w14:paraId="497909B4"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ואפי' למ"ד בסי' שכח סי"ב דלא בעינן שינוי הכא שאני מפני שכאב היולדת דברי טבעי הם ואין אחת מאלף מתה מחמת לידה לפיכך החמירו לשנות </w:t>
      </w:r>
      <w:r w:rsidRPr="008C1C8E">
        <w:rPr>
          <w:rFonts w:asciiTheme="minorBidi" w:hAnsiTheme="minorBidi"/>
          <w:sz w:val="16"/>
          <w:szCs w:val="16"/>
          <w:rtl/>
        </w:rPr>
        <w:t>(הה"מ)</w:t>
      </w:r>
      <w:r w:rsidRPr="008C1C8E">
        <w:rPr>
          <w:rFonts w:asciiTheme="minorBidi" w:hAnsiTheme="minorBidi"/>
          <w:rtl/>
        </w:rPr>
        <w:t xml:space="preserve">, ואם צריכה לשמן לא תשים שמן בשערה ותבא אצלה ותסחט אותה אלא תביא בכלי תלוי בשערה דמוטב לעשות הוצאה ע"י שינוי מבלי איסור אחר מלהוסיף איסור סחיטה </w:t>
      </w:r>
      <w:r w:rsidRPr="008C1C8E">
        <w:rPr>
          <w:rFonts w:asciiTheme="minorBidi" w:hAnsiTheme="minorBidi"/>
          <w:sz w:val="16"/>
          <w:szCs w:val="16"/>
          <w:rtl/>
        </w:rPr>
        <w:t>(ב"י)</w:t>
      </w:r>
      <w:r w:rsidRPr="008C1C8E">
        <w:rPr>
          <w:rFonts w:asciiTheme="minorBidi" w:hAnsiTheme="minorBidi"/>
          <w:rtl/>
        </w:rPr>
        <w:t>, מג"א (סק"ג).</w:t>
      </w:r>
    </w:p>
  </w:footnote>
  <w:footnote w:id="3442">
    <w:p w14:paraId="43761AB4"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כשעושה כן בחינם, אבל בשכר שרי, גמ'.</w:t>
      </w:r>
    </w:p>
  </w:footnote>
  <w:footnote w:id="3443">
    <w:p w14:paraId="24EB3CD7"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בשכר כבחול משום איבה דהא אינהו חזו דמיילדין לנשי דידן בשבת כבחול, רש"י.</w:t>
      </w:r>
    </w:p>
  </w:footnote>
  <w:footnote w:id="3444">
    <w:p w14:paraId="6F89C89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 התוס' </w:t>
      </w:r>
      <w:r w:rsidRPr="008C1C8E">
        <w:rPr>
          <w:rFonts w:asciiTheme="minorBidi" w:hAnsiTheme="minorBidi"/>
          <w:sz w:val="16"/>
          <w:szCs w:val="16"/>
          <w:rtl/>
        </w:rPr>
        <w:t xml:space="preserve">(ד"ה סבר) </w:t>
      </w:r>
      <w:r w:rsidRPr="008C1C8E">
        <w:rPr>
          <w:rFonts w:asciiTheme="minorBidi" w:hAnsiTheme="minorBidi"/>
          <w:rtl/>
        </w:rPr>
        <w:t>תימה לרב יוסף דסלקא דעתיה דשרי ולאביי דמשני דליכא איבה משמע הא איכא איבה שרי, היכי שרינן משום איבה מילתא דאית ביה איסורא דאורייתא, דאמרינן בפרק שמנה שרצים (קז:) הושיט ידו למעי בהמה ודלדל עובר שבמעיה חייב משום עוקר דבר מגידולו דהוא תולדת גוזז, י"ל דהכא ביושבת על המשבר שכבר נעקר לצאת, א"נ כיון דכלו לו חדשיו פסקו גידוליו עכ"ל וזהו שכתב הטור "אפילו בדבר שאין בו חילול שבת", ב"י.</w:t>
      </w:r>
      <w:r w:rsidRPr="008C1C8E">
        <w:rPr>
          <w:rFonts w:asciiTheme="minorBidi" w:hAnsiTheme="minorBidi"/>
          <w:sz w:val="16"/>
          <w:szCs w:val="16"/>
          <w:rtl/>
        </w:rPr>
        <w:t xml:space="preserve"> </w:t>
      </w:r>
    </w:p>
  </w:footnote>
  <w:footnote w:id="3445">
    <w:p w14:paraId="13E1237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אפילו ישמעאלים שאין עובדים עבודת אלילים </w:t>
      </w:r>
      <w:r w:rsidRPr="008C1C8E">
        <w:rPr>
          <w:rFonts w:asciiTheme="minorBidi" w:hAnsiTheme="minorBidi"/>
          <w:sz w:val="16"/>
          <w:szCs w:val="16"/>
          <w:rtl/>
        </w:rPr>
        <w:t xml:space="preserve">(וכ"מ ברמב"ם פ"ב הי"ב) </w:t>
      </w:r>
      <w:r w:rsidRPr="008C1C8E">
        <w:rPr>
          <w:rFonts w:asciiTheme="minorBidi" w:hAnsiTheme="minorBidi"/>
          <w:rtl/>
        </w:rPr>
        <w:t>ומיהו לקראים מותר כיון דמנטרי שבתא</w:t>
      </w:r>
      <w:r w:rsidRPr="008C1C8E">
        <w:rPr>
          <w:rFonts w:asciiTheme="minorBidi" w:hAnsiTheme="minorBidi"/>
          <w:sz w:val="16"/>
          <w:szCs w:val="16"/>
          <w:rtl/>
        </w:rPr>
        <w:t xml:space="preserve"> (כנה"ג)</w:t>
      </w:r>
      <w:r w:rsidRPr="008C1C8E">
        <w:rPr>
          <w:rFonts w:asciiTheme="minorBidi" w:hAnsiTheme="minorBidi"/>
          <w:rtl/>
        </w:rPr>
        <w:t xml:space="preserve">, מג"א </w:t>
      </w:r>
      <w:r w:rsidRPr="008C1C8E">
        <w:rPr>
          <w:rFonts w:asciiTheme="minorBidi" w:hAnsiTheme="minorBidi"/>
          <w:sz w:val="16"/>
          <w:szCs w:val="16"/>
          <w:rtl/>
        </w:rPr>
        <w:t>(סק"ד)</w:t>
      </w:r>
      <w:r w:rsidRPr="008C1C8E">
        <w:rPr>
          <w:rFonts w:asciiTheme="minorBidi" w:hAnsiTheme="minorBidi"/>
          <w:rtl/>
        </w:rPr>
        <w:t>.</w:t>
      </w:r>
    </w:p>
  </w:footnote>
  <w:footnote w:id="3446">
    <w:p w14:paraId="3F19971E"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דליכא איבה דיכלו לומר דמי שאינו משמר שבת אין מחללין עליו, משמע דאי איכא למיחש לאיבה שרי אם אין חילול שבת, מג"א (סק"ה).</w:t>
      </w:r>
    </w:p>
  </w:footnote>
  <w:footnote w:id="3447">
    <w:p w14:paraId="53C7376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כגון שיושבת על המשבר דכבר נעקר הולד לצאת, דהא דאמרינן דחייב משום עוקר דבר מגידולו הוא כשהושיט ידו למעי אשה ודלדל עובר שבמעיה, אבל משנעקר לצאת אינו חייב, א"נ כשעדיין לא נעקר אבל כלו לו חדשיו, גם לא חייב דכבר נפסקו גדוליו (תוס'), ואנן לא בקיאין בכלו חדשיו כמש"כ באה"ע (ועיו"ד ססי' טו), ע"פ מג"א (סק"ו).</w:t>
      </w:r>
    </w:p>
  </w:footnote>
  <w:footnote w:id="3448">
    <w:p w14:paraId="1CA584FF" w14:textId="77777777" w:rsidR="006A4BF8" w:rsidRPr="008C1C8E" w:rsidRDefault="006A4BF8" w:rsidP="00285819">
      <w:pPr>
        <w:spacing w:after="0" w:line="240" w:lineRule="auto"/>
        <w:rPr>
          <w:rFonts w:asciiTheme="minorBidi" w:hAnsiTheme="minorBidi"/>
          <w:sz w:val="20"/>
          <w:szCs w:val="20"/>
        </w:rPr>
      </w:pPr>
      <w:r w:rsidRPr="008C1C8E">
        <w:rPr>
          <w:rStyle w:val="a9"/>
          <w:rFonts w:asciiTheme="minorBidi" w:hAnsiTheme="minorBidi"/>
          <w:sz w:val="20"/>
          <w:szCs w:val="20"/>
        </w:rPr>
        <w:footnoteRef/>
      </w:r>
      <w:r w:rsidRPr="008C1C8E">
        <w:rPr>
          <w:rFonts w:asciiTheme="minorBidi" w:hAnsiTheme="minorBidi"/>
          <w:sz w:val="20"/>
          <w:szCs w:val="20"/>
          <w:rtl/>
        </w:rPr>
        <w:t xml:space="preserve"> בית הרחם, רש"י.</w:t>
      </w:r>
    </w:p>
  </w:footnote>
  <w:footnote w:id="3449">
    <w:p w14:paraId="14EBF9EA"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בזרועותיה, שאינה יכולה להלך, רש"י.</w:t>
      </w:r>
    </w:p>
  </w:footnote>
  <w:footnote w:id="3450">
    <w:p w14:paraId="3BDF403A"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ותמהו עליו הרמב"ן הרא"ש והר"ן היאך פסק בספק נפשות להחמיר.</w:t>
      </w:r>
    </w:p>
  </w:footnote>
  <w:footnote w:id="3451">
    <w:p w14:paraId="7EAFD01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 הט"ז (סק"ג) דלכאורה קשה על הרי"ף, שהרי אביי לא הזכיר אלא משעה שתשב על המשבר, לכן כ' דנראה דהרי"ף ס"ל דתרי סימני- משבר וחברותיה נושאות אותה, אינו שיעור מבורר לסמוך עלייהו כי הרבה פעמים שהאשה טועה ויושבת על המשבר ועדיין לא הגיעה העת ללדת, וכן בחברותיה נושאות אותה לפעמים יש לה חולשה ואף שלא הגיעה זמן לידה עדיין, לכן הנהו סימנים מועילים אחר ירידת הדם דאז הם סימן טוב להלידה, ואביי סבירא ליה דתרתי בעינן דם ומשבר, וס"ל להרי"ף כאביי. </w:t>
      </w:r>
      <w:r w:rsidRPr="008C1C8E">
        <w:rPr>
          <w:rFonts w:asciiTheme="minorBidi" w:hAnsiTheme="minorBidi"/>
          <w:sz w:val="16"/>
          <w:szCs w:val="16"/>
          <w:rtl/>
        </w:rPr>
        <w:t>(ונ"ל דהרי"ף כבר הציל עצמו מקושי זה ע"י שכ' שדברי רב הונא קודמים בסדר ההגעה לדברי אביי אז מסתמא אם פסק כאביי נכללים בפנים גם דברי רב הונא, ורק כדי להציל מהמחשבה שיאפשר לחלל גם על מי שתשב על המשבר לפני זמנה לכן פירט וכ' שצריך גם דם שותת וגם ישיבה על המשבר)</w:t>
      </w:r>
    </w:p>
  </w:footnote>
  <w:footnote w:id="3452">
    <w:p w14:paraId="39CE756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נ"ל שזהו רק לענין הדברים אשר יהיה אפשר לעשותן לכשתתחיל ללדת בלי עיכוב, ע"כ אין מחללין שבת בזה כ"א אחר שיהיה א' מאלו, אבל לענין קריאת חכמה לא שייכי שיעורים הללו דהם קרובים ללידה יותר משיעור ביאת החכמה אלא משעה שמרגשת קצת אפילו בספק מותר בקריאתה כנ"ל מצד הסברא וא"צ לראייה בזה, ט"ז (סק"ב, הביאוהו הבאה"ט ומחצה"ש).</w:t>
      </w:r>
    </w:p>
  </w:footnote>
  <w:footnote w:id="3453">
    <w:p w14:paraId="407A6D59" w14:textId="77777777" w:rsidR="006A4BF8" w:rsidRPr="008C1C8E" w:rsidRDefault="006A4BF8" w:rsidP="00285819">
      <w:pPr>
        <w:spacing w:after="0" w:line="240" w:lineRule="auto"/>
        <w:rPr>
          <w:rFonts w:asciiTheme="minorBidi" w:hAnsiTheme="minorBidi"/>
          <w:sz w:val="20"/>
          <w:szCs w:val="20"/>
        </w:rPr>
      </w:pPr>
      <w:r w:rsidRPr="008C1C8E">
        <w:rPr>
          <w:rStyle w:val="a9"/>
          <w:rFonts w:asciiTheme="minorBidi" w:hAnsiTheme="minorBidi"/>
          <w:sz w:val="20"/>
          <w:szCs w:val="20"/>
        </w:rPr>
        <w:footnoteRef/>
      </w:r>
      <w:r w:rsidRPr="008C1C8E">
        <w:rPr>
          <w:rFonts w:asciiTheme="minorBidi" w:hAnsiTheme="minorBidi"/>
          <w:sz w:val="20"/>
          <w:szCs w:val="20"/>
          <w:rtl/>
        </w:rPr>
        <w:t xml:space="preserve"> בית הרחם, רש"י.</w:t>
      </w:r>
    </w:p>
  </w:footnote>
  <w:footnote w:id="3454">
    <w:p w14:paraId="33C1B80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וסתמא נמי כמי שאמרה צריכה אני ומחללין, רמב"ן ור"ן.</w:t>
      </w:r>
    </w:p>
  </w:footnote>
  <w:footnote w:id="3455">
    <w:p w14:paraId="29BD2C4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כיון שאנו יודעים שאין לה חולי אחר ואף היא אינה אומרת כן, הכל בקיאין דמשום לידה אין לה סכנה לחמין ולשאר צרכי היולדת עד הערב שיעשו לה בחול לכן אין מחללין, רמב"ן (תוה"א, שער הסכנה).</w:t>
      </w:r>
    </w:p>
  </w:footnote>
  <w:footnote w:id="3456">
    <w:p w14:paraId="59584375" w14:textId="77777777" w:rsidR="006A4BF8" w:rsidRPr="008C1C8E" w:rsidRDefault="006A4BF8" w:rsidP="00285819">
      <w:pPr>
        <w:spacing w:after="0" w:line="240" w:lineRule="auto"/>
        <w:rPr>
          <w:rFonts w:asciiTheme="minorBidi" w:hAnsiTheme="minorBidi"/>
          <w:sz w:val="20"/>
          <w:szCs w:val="20"/>
        </w:rPr>
      </w:pPr>
      <w:r w:rsidRPr="008C1C8E">
        <w:rPr>
          <w:rStyle w:val="a9"/>
          <w:rFonts w:asciiTheme="minorBidi" w:hAnsiTheme="minorBidi"/>
          <w:sz w:val="20"/>
          <w:szCs w:val="20"/>
        </w:rPr>
        <w:footnoteRef/>
      </w:r>
      <w:r w:rsidRPr="008C1C8E">
        <w:rPr>
          <w:rFonts w:asciiTheme="minorBidi" w:hAnsiTheme="minorBidi"/>
          <w:sz w:val="20"/>
          <w:szCs w:val="20"/>
          <w:rtl/>
        </w:rPr>
        <w:t xml:space="preserve"> כ' הרמב"ן </w:t>
      </w:r>
      <w:r w:rsidRPr="008C1C8E">
        <w:rPr>
          <w:rFonts w:asciiTheme="minorBidi" w:hAnsiTheme="minorBidi"/>
          <w:sz w:val="16"/>
          <w:szCs w:val="16"/>
          <w:rtl/>
        </w:rPr>
        <w:t>(בחידו')</w:t>
      </w:r>
      <w:r w:rsidRPr="008C1C8E">
        <w:rPr>
          <w:rFonts w:asciiTheme="minorBidi" w:hAnsiTheme="minorBidi"/>
          <w:sz w:val="20"/>
          <w:szCs w:val="20"/>
          <w:rtl/>
        </w:rPr>
        <w:t>- "אי לאו דמסתפינא מרבוותא הייתי מפרש צריכה אני לרחוץ אבל אמרה לחלל עלי אפי' שלשים נמי מחללין".</w:t>
      </w:r>
    </w:p>
  </w:footnote>
  <w:footnote w:id="3457">
    <w:p w14:paraId="2A20CB07"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כמו סתם חולה שאין בו סכנה.</w:t>
      </w:r>
    </w:p>
  </w:footnote>
  <w:footnote w:id="3458">
    <w:p w14:paraId="4719981F"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משמע שאם לא כל חיה צריכה לכך וגם היא אומרת שאינה צריכה בכך- אין עושין לה, אע"פ שאין שם חכמה או רופא. </w:t>
      </w:r>
    </w:p>
  </w:footnote>
  <w:footnote w:id="3459">
    <w:p w14:paraId="3BEDA92A"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קהות ההרגשה, שיתוק.</w:t>
      </w:r>
    </w:p>
  </w:footnote>
  <w:footnote w:id="3460">
    <w:p w14:paraId="277F8A2C"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ומדברי הרמב"ן בתוה"א שהובאו לעיל הוצאתי שגם אם אין שם חכמה או רוםא שיחוו דעתם ג"כ אין מחללין משום שלא עושין כן לכל החיות ולא כולן צירכות בזה.</w:t>
      </w:r>
    </w:p>
  </w:footnote>
  <w:footnote w:id="3461">
    <w:p w14:paraId="62E4929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ולא חשבינן מעת לעת, כמש"כ סי' תרי"ז (תרוה"ד סי' קמח), מג"א (סק"ז).</w:t>
      </w:r>
    </w:p>
  </w:footnote>
  <w:footnote w:id="3462">
    <w:p w14:paraId="75D9D964"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וחברותיה אומרות שצריכה, אפי' ליכא חכמה ורופא- עושין לה את הדברים שידוע שעושין לחיה בחול (רמב"ן), ואפי' אומרת שא"צ לאכול מאכל חולים אמרינן שאינה מרגשת לשעתה ואם תאכל צונן תסתכן (רשב"א), אבל אם חכמה ורופא אומרים שא"צ שומעין להם שהרבה יולדות אין עושין להם חמין בכל יום (ב"י מ"מ), וכן נוהגין עכשיו שאוכלין חמין של אתמול, ע"פ מג"א (סק"ח).</w:t>
      </w:r>
    </w:p>
  </w:footnote>
  <w:footnote w:id="3463">
    <w:p w14:paraId="4175C64B"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פירוש, ואע"פ שחברותיה אומרים שצריכה. אבל כשרופא אומר צריכה פשיטא דמחללין, כמש"כ סי' תריח, מג"א (סק"ט) ע"פ גירסת נזירות שמשון, תוספת שבת, מקו"ח, כרם שלמה, פמ"ג ומחצה"ש, וכן הוא במהדורת פראג תקמ"ה. אך הנתיב חיים והבאה"ט גרסו בדברי המג"א כך- "אבל על פי חברותיה שאומרים צריכה פשיטא דמחללין" (מתוך הגהו"ע פריעדמאן).</w:t>
      </w:r>
    </w:p>
  </w:footnote>
  <w:footnote w:id="3464">
    <w:p w14:paraId="5E44F38D" w14:textId="77777777" w:rsidR="006A4BF8" w:rsidRPr="008C1C8E" w:rsidRDefault="006A4BF8" w:rsidP="00285819">
      <w:pPr>
        <w:spacing w:after="0" w:line="240" w:lineRule="auto"/>
        <w:rPr>
          <w:rFonts w:asciiTheme="minorBidi" w:hAnsiTheme="minorBidi"/>
          <w:sz w:val="20"/>
          <w:szCs w:val="20"/>
        </w:rPr>
      </w:pPr>
      <w:r w:rsidRPr="008C1C8E">
        <w:rPr>
          <w:rStyle w:val="a9"/>
          <w:rFonts w:asciiTheme="minorBidi" w:hAnsiTheme="minorBidi"/>
          <w:sz w:val="20"/>
          <w:szCs w:val="20"/>
        </w:rPr>
        <w:footnoteRef/>
      </w:r>
      <w:r w:rsidRPr="008C1C8E">
        <w:rPr>
          <w:rFonts w:asciiTheme="minorBidi" w:hAnsiTheme="minorBidi"/>
          <w:sz w:val="20"/>
          <w:szCs w:val="20"/>
          <w:rtl/>
        </w:rPr>
        <w:t xml:space="preserve"> דזימנין דמיקרי דהיא מייתא ברישא, רש"י.</w:t>
      </w:r>
    </w:p>
  </w:footnote>
  <w:footnote w:id="3465">
    <w:p w14:paraId="16404CEE"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ואין חיוב אלא בחובל בחי דמוציא דם, רש"י.</w:t>
      </w:r>
    </w:p>
  </w:footnote>
  <w:footnote w:id="3466">
    <w:p w14:paraId="3BD3FEBC"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דשמא נתעלפה ואם יחתכוה תמות וצריכים להמתין ואדהכי והכי מיית הולד, מג"א (סקי"א).</w:t>
      </w:r>
    </w:p>
  </w:footnote>
  <w:footnote w:id="3467">
    <w:p w14:paraId="4EE03595"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בביאורו לסמ"ג לאוין סה.</w:t>
      </w:r>
    </w:p>
  </w:footnote>
  <w:footnote w:id="3468">
    <w:p w14:paraId="0A747351"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הב"י לא גרס סוגריים אלו, וכן בגמ' שלנו נמצאות בסוגריים עגולות.</w:t>
      </w:r>
    </w:p>
  </w:footnote>
  <w:footnote w:id="3469">
    <w:p w14:paraId="3078AA44"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וכל שכן חולה, רש"י.</w:t>
      </w:r>
    </w:p>
  </w:footnote>
  <w:footnote w:id="3470">
    <w:p w14:paraId="2028C341" w14:textId="77777777" w:rsidR="006A4BF8" w:rsidRPr="008C1C8E" w:rsidRDefault="006A4BF8" w:rsidP="00285819">
      <w:pPr>
        <w:pStyle w:val="a7"/>
        <w:rPr>
          <w:rFonts w:asciiTheme="minorBidi" w:hAnsiTheme="minorBidi"/>
          <w:color w:val="FF0000"/>
        </w:rPr>
      </w:pPr>
      <w:r w:rsidRPr="008C1C8E">
        <w:rPr>
          <w:rStyle w:val="a9"/>
          <w:rFonts w:asciiTheme="minorBidi" w:hAnsiTheme="minorBidi"/>
        </w:rPr>
        <w:footnoteRef/>
      </w:r>
      <w:r w:rsidRPr="008C1C8E">
        <w:rPr>
          <w:rFonts w:asciiTheme="minorBidi" w:hAnsiTheme="minorBidi"/>
          <w:rtl/>
        </w:rPr>
        <w:t xml:space="preserve"> מדברי הראב"ד משמע שהרמב"ם מדבר כאן בחולה שאין בו סכנה, הה"מ. </w:t>
      </w:r>
      <w:r w:rsidRPr="008C1C8E">
        <w:rPr>
          <w:rFonts w:asciiTheme="minorBidi" w:hAnsiTheme="minorBidi"/>
          <w:color w:val="FF0000"/>
          <w:rtl/>
        </w:rPr>
        <w:t xml:space="preserve">וצל"ע באיזה חולה דיברו הרי"ף וסיעתו, ונ"ל דדיברו בחולה שאיב"ס דאילו יש בו סכנה ודאי שעושים לו מדורה ואין צורך ללמוד היתר מהמקיז דם. ואין נראה כן מהב"ח. </w:t>
      </w:r>
    </w:p>
  </w:footnote>
  <w:footnote w:id="3471">
    <w:p w14:paraId="56D75234"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וכתבו הר"ן והה"מ שהרמב"ם מפרש דהא דאייתינן הא דהקיז דם ונצטנן לא מייתינן לה אלא לדחות מאי דהוו סברי דבימות החמה לא מפני שהחיה הרי היא כהקיז דם, אבל מה שאמרו לחולה לא כדקאי קאי. והוסיף הר"ן דהא דסבור נמי למימר לחיה אין אבל לשום חולה לא- אידחיא לה מדאמר רבי חייא הקיז דם ונצטנן עושין לו מדורה, אלמא יש חולה שעושין לו מדורה ומיהו לחולה זה דוקא הוא שעושין לו מדורה אבל לא לחולה אחר. </w:t>
      </w:r>
    </w:p>
  </w:footnote>
  <w:footnote w:id="3472">
    <w:p w14:paraId="1D797A92" w14:textId="77777777" w:rsidR="006A4BF8" w:rsidRPr="008C1C8E" w:rsidRDefault="006A4BF8" w:rsidP="00285819">
      <w:pPr>
        <w:pStyle w:val="a7"/>
        <w:rPr>
          <w:rFonts w:asciiTheme="minorBidi" w:hAnsiTheme="minorBidi"/>
          <w:color w:val="FF0000"/>
          <w:rtl/>
        </w:rPr>
      </w:pPr>
      <w:r w:rsidRPr="008C1C8E">
        <w:rPr>
          <w:rStyle w:val="a9"/>
          <w:rFonts w:asciiTheme="minorBidi" w:hAnsiTheme="minorBidi"/>
        </w:rPr>
        <w:footnoteRef/>
      </w:r>
      <w:r w:rsidRPr="008C1C8E">
        <w:rPr>
          <w:rFonts w:asciiTheme="minorBidi" w:hAnsiTheme="minorBidi"/>
          <w:rtl/>
        </w:rPr>
        <w:t xml:space="preserve"> ע"י גוי ואם אין ורפא אומר שצריך אז עושים ע"י ישראל, ב"ח ובאה"ט. משמע דאין זה בכלל חילול שבת שעושים לחולה שיש בו סכנה שעושים לכתחילה ע"י גדול בישראל. </w:t>
      </w:r>
      <w:r w:rsidRPr="008C1C8E">
        <w:rPr>
          <w:rFonts w:asciiTheme="minorBidi" w:hAnsiTheme="minorBidi"/>
          <w:color w:val="FF0000"/>
          <w:rtl/>
        </w:rPr>
        <w:t>וצל"ע האם כך גם דעת השו"ע שהרי פסק (שכח סע' יב) כתוס' ור"ן שבחולה שיש בו סכנה מצווה לעשות ע"י ישראל גדול, והרי נראה שכאן היא כחולה שיש בה סכנה כדכתב הראב"ד שלעניין מדורה היולדת נקראת מסוכנת עד ל' יום (וכן נראה גם מבאה"ג שהביא בציוניו על השו"ע את הראב"ד על דין זה). וא"כ הב"ח והבאה"ט כתבו כן בגלל שהם סוברים כהרמ"א שפסק שם שבמקום שאפשר לעשות ע"י גוי ללא דיחוי – עושים, ורק אם א"א עושים ע"י ישראל.</w:t>
      </w:r>
    </w:p>
  </w:footnote>
  <w:footnote w:id="3473">
    <w:p w14:paraId="585FF92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תאומים, וקשורין טבורן זה בזה, רש"י.</w:t>
      </w:r>
    </w:p>
  </w:footnote>
  <w:footnote w:id="3474">
    <w:p w14:paraId="74E6E76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זה אילך וזה אילך, ונמצאו מסוכנין, רש"י.</w:t>
      </w:r>
    </w:p>
  </w:footnote>
  <w:footnote w:id="3475">
    <w:p w14:paraId="5948FD4A"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ובשרו מתקשה, רש"י.</w:t>
      </w:r>
    </w:p>
  </w:footnote>
  <w:footnote w:id="3476">
    <w:p w14:paraId="6029DED1"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 שכן עמא דבר.</w:t>
      </w:r>
    </w:p>
  </w:footnote>
  <w:footnote w:id="3477">
    <w:p w14:paraId="4155D71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דבכולהו יש לו צער אם אין עושין וכיון דלית בהו מלאכה דאורייתא שרו רבנן (תוס' קיט: ד"ה כל), מג"א (סקי"ג).</w:t>
      </w:r>
    </w:p>
  </w:footnote>
  <w:footnote w:id="3478">
    <w:p w14:paraId="152934B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שהרי כמת הוא ואין מילתו מצוה, ואי קשיא אם כן לאו חילול הוא שהרי הוא כמחתך בבשר מת - לקמן נמי מוקי האי חילול במכשירי מילה ואליבא דר' אליעזר, רש"י.</w:t>
      </w:r>
    </w:p>
  </w:footnote>
  <w:footnote w:id="3479">
    <w:p w14:paraId="68D75200"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שדינו כנולד לשמנה ממש, טור</w:t>
      </w:r>
      <w:r w:rsidRPr="008C1C8E">
        <w:rPr>
          <w:rFonts w:asciiTheme="minorBidi" w:hAnsiTheme="minorBidi"/>
          <w:sz w:val="16"/>
          <w:szCs w:val="16"/>
          <w:rtl/>
        </w:rPr>
        <w:t xml:space="preserve"> (כ"כ הב"י בשמו)</w:t>
      </w:r>
      <w:r w:rsidRPr="008C1C8E">
        <w:rPr>
          <w:rFonts w:asciiTheme="minorBidi" w:hAnsiTheme="minorBidi"/>
          <w:rtl/>
        </w:rPr>
        <w:t>. והוא שבעל ופירש, אבל מספיקא מטלטלין כל תינוק, אגודה</w:t>
      </w:r>
      <w:r w:rsidRPr="008C1C8E">
        <w:rPr>
          <w:rFonts w:asciiTheme="minorBidi" w:hAnsiTheme="minorBidi"/>
          <w:sz w:val="16"/>
          <w:szCs w:val="16"/>
          <w:rtl/>
        </w:rPr>
        <w:t xml:space="preserve"> (הביאו המג"א סקט"ז)</w:t>
      </w:r>
      <w:r w:rsidRPr="008C1C8E">
        <w:rPr>
          <w:rFonts w:asciiTheme="minorBidi" w:hAnsiTheme="minorBidi"/>
          <w:rtl/>
        </w:rPr>
        <w:t>.</w:t>
      </w:r>
    </w:p>
  </w:footnote>
  <w:footnote w:id="3480">
    <w:p w14:paraId="2771B2D4"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מפני שחלב הרבה בדדיה, ומביאה לידי חולי, רש"י.</w:t>
      </w:r>
    </w:p>
  </w:footnote>
  <w:footnote w:id="3481">
    <w:p w14:paraId="4FE626E9"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ואע"פ שפוסק דמלאכה שאצל"ג חייב עליה פסקה לההיא דמפיס מורסה (שבת פ"י הי"ז) וטען הה"מ דכרבי יהודה נמי אתיא לדעת הרמב"ם, וא"כ גם בזו יסבור דיכולה לחלוב היא בעצמה מידי דהוה אמפיס מורסא בשבת דשרי, ב"י.</w:t>
      </w:r>
    </w:p>
  </w:footnote>
  <w:footnote w:id="3482">
    <w:p w14:paraId="4B6FA5D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כן פירש הגאון את דברי התוספתא לעיל, הביאו המרדכי </w:t>
      </w:r>
      <w:r w:rsidRPr="008C1C8E">
        <w:rPr>
          <w:rFonts w:asciiTheme="minorBidi" w:hAnsiTheme="minorBidi"/>
          <w:sz w:val="16"/>
          <w:szCs w:val="16"/>
          <w:rtl/>
        </w:rPr>
        <w:t>(סי' שעא)</w:t>
      </w:r>
      <w:r w:rsidRPr="008C1C8E">
        <w:rPr>
          <w:rFonts w:asciiTheme="minorBidi" w:hAnsiTheme="minorBidi"/>
          <w:rtl/>
        </w:rPr>
        <w:t xml:space="preserve">, ואחר שהביא את דעת הגאון כ'- "מיהו יש מפרשים </w:t>
      </w:r>
      <w:r w:rsidRPr="008C1C8E">
        <w:rPr>
          <w:rFonts w:asciiTheme="minorBidi" w:hAnsiTheme="minorBidi"/>
          <w:sz w:val="16"/>
          <w:szCs w:val="16"/>
          <w:rtl/>
        </w:rPr>
        <w:t>(את דברי התוספתא, והם הרוקח סי' סא והאו"ז סי' נח)</w:t>
      </w:r>
      <w:r w:rsidRPr="008C1C8E">
        <w:rPr>
          <w:rFonts w:asciiTheme="minorBidi" w:hAnsiTheme="minorBidi"/>
          <w:rtl/>
        </w:rPr>
        <w:t xml:space="preserve"> דוקא בכלי אסור דהוי מפרק והוי תולדה דדש אבל בקרקע מותר לחלוב מדלא קאמר לא תחלוב סתם".</w:t>
      </w:r>
    </w:p>
  </w:footnote>
  <w:footnote w:id="3483">
    <w:p w14:paraId="15390F5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היינו שבעל ופירש, דאם לא בעל ופירש מטלטלין אפילו לא גמרו שערו וציפרניו, ע"פ תוס' ואגודה.</w:t>
      </w:r>
    </w:p>
  </w:footnote>
  <w:footnote w:id="3484">
    <w:p w14:paraId="490ED40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מידי דהוי אמפיס מורסא, [אבל לתוך הקדירה או לתוך הכלי אסור] כמש"כ סי' שכח סע' לד, מג"א (סקי"ז).</w:t>
      </w:r>
    </w:p>
  </w:footnote>
  <w:footnote w:id="3485">
    <w:p w14:paraId="58E8CC5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לשון ידיך עצבוני (איוב י), שמתקנים ומיישבין עצמותיו וחוליות שדרתו כמדת צלמו, ובגמרא אמר טעמא, רש"י.</w:t>
      </w:r>
    </w:p>
  </w:footnote>
  <w:footnote w:id="3486">
    <w:p w14:paraId="75F3D721"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אונמלוטי"א (לחתל, ללפף), כמו שעושין לקטן שיתיישבו אבריו ולא יתעקם, רש"י.</w:t>
      </w:r>
    </w:p>
  </w:footnote>
  <w:footnote w:id="3487">
    <w:p w14:paraId="26910FAA" w14:textId="77777777" w:rsidR="006A4BF8" w:rsidRPr="008C1C8E" w:rsidRDefault="006A4BF8" w:rsidP="00285819">
      <w:pPr>
        <w:spacing w:after="0" w:line="240" w:lineRule="auto"/>
        <w:rPr>
          <w:rFonts w:asciiTheme="minorBidi" w:hAnsiTheme="minorBidi"/>
          <w:sz w:val="20"/>
          <w:szCs w:val="20"/>
        </w:rPr>
      </w:pPr>
      <w:r w:rsidRPr="008C1C8E">
        <w:rPr>
          <w:rStyle w:val="a9"/>
          <w:rFonts w:asciiTheme="minorBidi" w:hAnsiTheme="minorBidi"/>
          <w:sz w:val="20"/>
          <w:szCs w:val="20"/>
        </w:rPr>
        <w:footnoteRef/>
      </w:r>
      <w:r w:rsidRPr="008C1C8E">
        <w:rPr>
          <w:rFonts w:asciiTheme="minorBidi" w:hAnsiTheme="minorBidi"/>
          <w:sz w:val="20"/>
          <w:szCs w:val="20"/>
          <w:rtl/>
        </w:rPr>
        <w:t xml:space="preserve"> חוליות של שדרה שנתפרקה אחת מהן, ולאחר זמן קמיירי, דאי ביום לידה אמרינן (לעיל קכט:): כל האמור בפרשת תוכחה דיחזקאל עושין לחיה בשבת, רש"י.</w:t>
      </w:r>
    </w:p>
  </w:footnote>
  <w:footnote w:id="3488">
    <w:p w14:paraId="2612BE35" w14:textId="77777777" w:rsidR="006A4BF8" w:rsidRPr="008C1C8E" w:rsidRDefault="006A4BF8" w:rsidP="00285819">
      <w:pPr>
        <w:spacing w:after="0" w:line="240" w:lineRule="auto"/>
        <w:rPr>
          <w:rFonts w:asciiTheme="minorBidi" w:hAnsiTheme="minorBidi"/>
          <w:sz w:val="20"/>
          <w:szCs w:val="20"/>
          <w:rtl/>
        </w:rPr>
      </w:pPr>
      <w:r w:rsidRPr="008C1C8E">
        <w:rPr>
          <w:rStyle w:val="a9"/>
          <w:rFonts w:asciiTheme="minorBidi" w:hAnsiTheme="minorBidi"/>
          <w:sz w:val="20"/>
          <w:szCs w:val="20"/>
        </w:rPr>
        <w:footnoteRef/>
      </w:r>
      <w:r w:rsidRPr="008C1C8E">
        <w:rPr>
          <w:rFonts w:asciiTheme="minorBidi" w:hAnsiTheme="minorBidi"/>
          <w:sz w:val="20"/>
          <w:szCs w:val="20"/>
          <w:rtl/>
        </w:rPr>
        <w:t xml:space="preserve"> להחליק סדר אבריו, כשהוא נולד אבריו מתפרקין, וצריך ליישבן, רש"י.</w:t>
      </w:r>
      <w:r w:rsidRPr="008C1C8E">
        <w:rPr>
          <w:rFonts w:asciiTheme="minorBidi" w:hAnsiTheme="minorBidi"/>
          <w:color w:val="E36C0A" w:themeColor="accent6" w:themeShade="BF"/>
          <w:sz w:val="20"/>
          <w:szCs w:val="20"/>
          <w:rtl/>
        </w:rPr>
        <w:t xml:space="preserve"> (וכ"פ השו"ע </w:t>
      </w:r>
      <w:r w:rsidRPr="008C1C8E">
        <w:rPr>
          <w:rFonts w:asciiTheme="minorBidi" w:hAnsiTheme="minorBidi"/>
          <w:sz w:val="16"/>
          <w:szCs w:val="16"/>
          <w:rtl/>
        </w:rPr>
        <w:t>[כאן]</w:t>
      </w:r>
      <w:r w:rsidRPr="008C1C8E">
        <w:rPr>
          <w:rFonts w:asciiTheme="minorBidi" w:hAnsiTheme="minorBidi"/>
          <w:color w:val="E36C0A" w:themeColor="accent6" w:themeShade="BF"/>
          <w:sz w:val="20"/>
          <w:szCs w:val="20"/>
          <w:rtl/>
        </w:rPr>
        <w:t>)</w:t>
      </w:r>
      <w:r w:rsidRPr="008C1C8E">
        <w:rPr>
          <w:rFonts w:asciiTheme="minorBidi" w:hAnsiTheme="minorBidi"/>
          <w:sz w:val="20"/>
          <w:szCs w:val="20"/>
          <w:rtl/>
        </w:rPr>
        <w:t xml:space="preserve">. אך עיין בסע' יא דשם </w:t>
      </w:r>
      <w:r w:rsidRPr="008C1C8E">
        <w:rPr>
          <w:rFonts w:asciiTheme="minorBidi" w:hAnsiTheme="minorBidi"/>
          <w:color w:val="E36C0A" w:themeColor="accent6" w:themeShade="BF"/>
          <w:sz w:val="20"/>
          <w:szCs w:val="20"/>
          <w:rtl/>
        </w:rPr>
        <w:t xml:space="preserve">פסק השו"ע </w:t>
      </w:r>
      <w:r w:rsidRPr="008C1C8E">
        <w:rPr>
          <w:rFonts w:asciiTheme="minorBidi" w:hAnsiTheme="minorBidi"/>
          <w:sz w:val="20"/>
          <w:szCs w:val="20"/>
          <w:rtl/>
        </w:rPr>
        <w:t xml:space="preserve">את פירוש ר"ח והערוך שפירשו- כשנופלת ערלת הגרון של תינוק משימה החיה אצבעה לתוך פיו ומסלקת הערלה למקומה. ועיין עוד בסי' שכח סמ"ב </w:t>
      </w:r>
      <w:r w:rsidRPr="008C1C8E">
        <w:rPr>
          <w:rFonts w:asciiTheme="minorBidi" w:hAnsiTheme="minorBidi"/>
          <w:color w:val="E36C0A" w:themeColor="accent6" w:themeShade="BF"/>
          <w:sz w:val="20"/>
          <w:szCs w:val="20"/>
          <w:rtl/>
        </w:rPr>
        <w:t xml:space="preserve">שפסק השו"ע </w:t>
      </w:r>
      <w:r w:rsidRPr="008C1C8E">
        <w:rPr>
          <w:rFonts w:asciiTheme="minorBidi" w:hAnsiTheme="minorBidi"/>
          <w:sz w:val="20"/>
          <w:szCs w:val="20"/>
          <w:rtl/>
        </w:rPr>
        <w:t>שם את דברי הרמב"ם (פכ"א הל"א) שאסור לדחוק כריסו של תינוק כדי להוציא הרעי, שמא יבא להשקותו סמנין המשלשלין, וכ' הה"מ דאפשר שכך מפרש הרמב"ם את מחלוקתם של רב נחמן ורב ששת (קכג.) גבי אסובי ינוקא, ותמה עליו דהוה ליה למיפסק כרב ששת דשרי.</w:t>
      </w:r>
    </w:p>
  </w:footnote>
  <w:footnote w:id="3489">
    <w:p w14:paraId="3817BBBD" w14:textId="77777777" w:rsidR="006A4BF8" w:rsidRPr="008C1C8E" w:rsidRDefault="006A4BF8" w:rsidP="00285819">
      <w:pPr>
        <w:spacing w:after="0" w:line="240" w:lineRule="auto"/>
        <w:rPr>
          <w:rFonts w:asciiTheme="minorBidi" w:hAnsiTheme="minorBidi"/>
          <w:sz w:val="20"/>
          <w:szCs w:val="20"/>
          <w:rtl/>
        </w:rPr>
      </w:pPr>
      <w:r w:rsidRPr="008C1C8E">
        <w:rPr>
          <w:rStyle w:val="a9"/>
          <w:rFonts w:asciiTheme="minorBidi" w:hAnsiTheme="minorBidi"/>
          <w:sz w:val="20"/>
          <w:szCs w:val="20"/>
        </w:rPr>
        <w:footnoteRef/>
      </w:r>
      <w:r w:rsidRPr="008C1C8E">
        <w:rPr>
          <w:rFonts w:asciiTheme="minorBidi" w:hAnsiTheme="minorBidi"/>
          <w:sz w:val="20"/>
          <w:szCs w:val="20"/>
          <w:rtl/>
        </w:rPr>
        <w:t xml:space="preserve"> דדמי למתקן, רש"י.</w:t>
      </w:r>
    </w:p>
  </w:footnote>
  <w:footnote w:id="3490">
    <w:p w14:paraId="018A1C41"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להקיא, שותה משקים ומקיא, ולא לרפואה, אלא להריק את מעיו שיוכל לאכול ולשתות [היום] הרבה, כדאמרינן בפרק חבית ואף על גב דלא גזור בה משום שחיקת סממנין דהא לאו לרפואה היא - אסור משום דמתקן גברא, רש"י.</w:t>
      </w:r>
    </w:p>
  </w:footnote>
  <w:footnote w:id="3491">
    <w:p w14:paraId="2A6A8DE1"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והרי הוא כמי שמאכילו ומשקהו, רש"י.</w:t>
      </w:r>
    </w:p>
  </w:footnote>
  <w:footnote w:id="3492">
    <w:p w14:paraId="54D1C748"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אלמא תקוני גברא במידי דלאו לרפואה, דליכא משום שחיקת סממנין – שרי, רש"י.</w:t>
      </w:r>
    </w:p>
  </w:footnote>
  <w:footnote w:id="3493">
    <w:p w14:paraId="0ED6F2A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הקוץ הזה אינו מחובר בו, אלא מופקד ונתון שם, והוצאה זו אינו תיקון, רש"י.</w:t>
      </w:r>
    </w:p>
  </w:footnote>
  <w:footnote w:id="3494">
    <w:p w14:paraId="6726E7FF"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ודמי למלאכה, שמסדרן ומכניסן למקום חבור, רש"י.</w:t>
      </w:r>
    </w:p>
  </w:footnote>
  <w:footnote w:id="3495">
    <w:p w14:paraId="5A9F15D9" w14:textId="77777777" w:rsidR="006A4BF8" w:rsidRPr="008C1C8E" w:rsidRDefault="006A4BF8" w:rsidP="00285819">
      <w:pPr>
        <w:spacing w:after="0" w:line="240" w:lineRule="auto"/>
        <w:rPr>
          <w:rFonts w:asciiTheme="minorBidi" w:hAnsiTheme="minorBidi"/>
          <w:sz w:val="20"/>
          <w:szCs w:val="20"/>
          <w:rtl/>
        </w:rPr>
      </w:pPr>
      <w:r w:rsidRPr="008C1C8E">
        <w:rPr>
          <w:rStyle w:val="a9"/>
          <w:rFonts w:asciiTheme="minorBidi" w:hAnsiTheme="minorBidi"/>
          <w:sz w:val="20"/>
          <w:szCs w:val="20"/>
        </w:rPr>
        <w:footnoteRef/>
      </w:r>
      <w:r w:rsidRPr="008C1C8E">
        <w:rPr>
          <w:rFonts w:asciiTheme="minorBidi" w:hAnsiTheme="minorBidi"/>
          <w:sz w:val="20"/>
          <w:szCs w:val="20"/>
          <w:rtl/>
        </w:rPr>
        <w:t xml:space="preserve"> להב' הגר"א. ולגבי עיצוב חוליות שדרת הולד כ' הגר"א דהשו"ע לא הזכירו כלל משום שנסתפק, דלתוס' אין חילוק בין יום לידה או אח"כ דלעולם אסור, ולרא"ש ביום לידה מותר וכמ"ש רש"י, וכ"כ הר"ן, ומדברי הרמב"ם דלא חילק נ' דלעולם אסור כתוס'.</w:t>
      </w:r>
    </w:p>
  </w:footnote>
  <w:footnote w:id="3496">
    <w:p w14:paraId="24161B79" w14:textId="77777777" w:rsidR="006A4BF8" w:rsidRPr="008C1C8E" w:rsidRDefault="006A4BF8" w:rsidP="00285819">
      <w:pPr>
        <w:pStyle w:val="a7"/>
        <w:rPr>
          <w:rFonts w:asciiTheme="minorBidi" w:hAnsiTheme="minorBidi"/>
          <w:color w:val="FF0000"/>
          <w:rtl/>
        </w:rPr>
      </w:pPr>
      <w:r w:rsidRPr="008C1C8E">
        <w:rPr>
          <w:rStyle w:val="a9"/>
          <w:rFonts w:asciiTheme="minorBidi" w:hAnsiTheme="minorBidi"/>
          <w:color w:val="FF0000"/>
        </w:rPr>
        <w:footnoteRef/>
      </w:r>
      <w:r w:rsidRPr="008C1C8E">
        <w:rPr>
          <w:rFonts w:asciiTheme="minorBidi" w:hAnsiTheme="minorBidi"/>
          <w:color w:val="FF0000"/>
          <w:rtl/>
        </w:rPr>
        <w:t xml:space="preserve"> היינו לגמרי, אפילו לא ביום הלידה, כך כתב הגר"א בשם התוס' ולא הצלחתי להבין מהיכן הבין כך.</w:t>
      </w:r>
    </w:p>
  </w:footnote>
  <w:footnote w:id="3497">
    <w:p w14:paraId="7F28AB2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כך הבין הגר"א בדברי הרא"ש, וכך פשוט, וכך נראה שהבין הב"י בדבריו </w:t>
      </w:r>
      <w:r w:rsidRPr="008C1C8E">
        <w:rPr>
          <w:rFonts w:asciiTheme="minorBidi" w:hAnsiTheme="minorBidi"/>
          <w:color w:val="FF0000"/>
          <w:rtl/>
        </w:rPr>
        <w:t>אך עדיין צל"ע על הב' הב"י בדברי הרא"ש שהרי נראה לפי התחלת דבריו שפרש"י הוא כפירוש הרא"ש והטור, וא"כ קשה מש"כ בהמשך "דוקא ביום הלידה, כ"כ שם הרא"ש וכו'..." דמשמע שפסק הטור כרב נחמן באסובי ינוקא והרי הרא"ש כ' בפירוש שהלכה כרב ששת דשרי, ועיין בב"ח שהקשה כן, אך תיץ רק אליבא דהטור, ואין תרוצו עולה להב' הב"י שחיבר בין פרש"י לטור.</w:t>
      </w:r>
    </w:p>
  </w:footnote>
  <w:footnote w:id="3498">
    <w:p w14:paraId="563BBC5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וכ"פ הב"ח.</w:t>
      </w:r>
    </w:p>
  </w:footnote>
  <w:footnote w:id="3499">
    <w:p w14:paraId="4CB5D52F"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בידיים, מ"ב (סקל"ג).</w:t>
      </w:r>
    </w:p>
  </w:footnote>
  <w:footnote w:id="3500">
    <w:p w14:paraId="76C05C04"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הט"ז והמג"א כ' דהוא דוקא ביום הלידה (כהב' הטור), וכ"פ השו"ע</w:t>
      </w:r>
      <w:r w:rsidRPr="008C1C8E">
        <w:rPr>
          <w:rFonts w:asciiTheme="minorBidi" w:hAnsiTheme="minorBidi"/>
          <w:sz w:val="16"/>
          <w:szCs w:val="16"/>
          <w:rtl/>
        </w:rPr>
        <w:t xml:space="preserve"> </w:t>
      </w:r>
      <w:r w:rsidRPr="008C1C8E">
        <w:rPr>
          <w:rFonts w:asciiTheme="minorBidi" w:hAnsiTheme="minorBidi"/>
          <w:rtl/>
        </w:rPr>
        <w:t>להב' הט"ז, אך כבר הבאנו שלדעת הגר"א השו"ע מתיר אף אחר יום הלידה, וכ' המ"ב (סקל"ד) דאין להחמיר בזה, והוסיף- "מכל מקום אם נתפרקה חוליא של שדרה ממקומה לכו"ע אסור ליישב בידו חוליות של שדרה אחת על חברתה דמחזי כבונה אם לא ביום הלידה דאז יש לצדד להקל אף בזה".</w:t>
      </w:r>
    </w:p>
  </w:footnote>
  <w:footnote w:id="3501">
    <w:p w14:paraId="4C96ED87"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אונמלוטי"א (לחתל, ללפף), כמו שעושין לקטן שיתיישבו אבריו ולא יתעקם, רש"י.</w:t>
      </w:r>
    </w:p>
  </w:footnote>
  <w:footnote w:id="3502">
    <w:p w14:paraId="5523396C"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לעולם (ובזה אף לטור וסיעתו שאוסרים באסובי ינוקא- הכא מותר, וטעמם הוא משום דאורחיה בהכי והוי כמאכילו ומשקהו</w:t>
      </w:r>
      <w:r w:rsidRPr="008C1C8E">
        <w:rPr>
          <w:rFonts w:asciiTheme="minorBidi" w:hAnsiTheme="minorBidi"/>
          <w:sz w:val="16"/>
          <w:szCs w:val="16"/>
          <w:rtl/>
        </w:rPr>
        <w:t xml:space="preserve"> {הם לקחו טעם זה מרש"י אבל רש"י השתמש בטעם זה כדי להבדיל בין עיצוב התינוק דאסור לאסובי ינוקא דשרי}</w:t>
      </w:r>
      <w:r w:rsidRPr="008C1C8E">
        <w:rPr>
          <w:rFonts w:asciiTheme="minorBidi" w:hAnsiTheme="minorBidi"/>
          <w:rtl/>
        </w:rPr>
        <w:t>, ומשמע דלדעת טור וסיעתו- אם יש תינוק שאין כורכין אותו בחול ונתעקמו איבריו אסור לכרכו בשבת, ע"פ המג"א)</w:t>
      </w:r>
    </w:p>
  </w:footnote>
  <w:footnote w:id="3503">
    <w:p w14:paraId="435EB4D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כשנופלת ערלת הגרון של תינוק משימה החיה אצבעה לתוך פיו ומסלקת הערלה למקומה, ר"ח.</w:t>
      </w:r>
    </w:p>
  </w:footnote>
  <w:footnote w:id="3504">
    <w:p w14:paraId="234D207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להקיא, שותה משקים ומקיא, ולא לרפואה, אלא להריק את מעיו שיוכל לאכול ולשתות [היום] הרבה, כדאמרינן בפרק חבית ואע"ג דלא גזור בה משום שחיקת סממנין דהא לאו לרפואה היא - אסור משום דמתקן גברא, רש"י.</w:t>
      </w:r>
    </w:p>
  </w:footnote>
  <w:footnote w:id="3505">
    <w:p w14:paraId="60E3F03D"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לכן מותר אע"פ שפעמים שמקיא התינוק, ר"ח וערוך.</w:t>
      </w:r>
    </w:p>
  </w:footnote>
  <w:footnote w:id="3506">
    <w:p w14:paraId="2384410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שהרי אין לגרום הקאה אפילו בשבת אפילו ביד משום ביזוי אוכלין אא"כ מצטער מרוב המאכל (ע"פ שו"ע סי' שכח סע' לט). </w:t>
      </w:r>
    </w:p>
  </w:footnote>
  <w:footnote w:id="3507">
    <w:p w14:paraId="23BFA6D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חותך את הערלה, רש"י.</w:t>
      </w:r>
    </w:p>
  </w:footnote>
  <w:footnote w:id="3508">
    <w:p w14:paraId="0A6FBB1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את העור המכסה ראש הגיד, רש"י.</w:t>
      </w:r>
    </w:p>
  </w:footnote>
  <w:footnote w:id="3509">
    <w:p w14:paraId="7B69B519"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את הדם, ואף על גב דהיא עשיית חבורה, שאין הדם ניתק מחיבורו אלא על ידי המציצה, רש"י.</w:t>
      </w:r>
    </w:p>
  </w:footnote>
  <w:footnote w:id="3510">
    <w:p w14:paraId="21558C6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תחבושת, רש"י.</w:t>
      </w:r>
    </w:p>
  </w:footnote>
  <w:footnote w:id="3511">
    <w:p w14:paraId="69F8ED50"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בשבת, רש"י.</w:t>
      </w:r>
    </w:p>
  </w:footnote>
  <w:footnote w:id="3512">
    <w:p w14:paraId="0DB50D5A"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שלא סילק ידו, אם ראה שנשתיירו בה ציצין, בין מעכבין את המילה שאינה כשרה עד שיחתכם, בין שאין מעכבין - חוזר וחותך, דכולא חדא מילתא היא, והרי ניתנה שבת לדחות אצלה, רש"י.</w:t>
      </w:r>
    </w:p>
  </w:footnote>
  <w:footnote w:id="3513">
    <w:p w14:paraId="75CDEFC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שיורי ערלה, ובמתניתין מפרש אלו הן ציצין המעכבין, ויש שאינן מעכבין, כגון בשר שאינה חופה רוב העטרה אלא מיעוטה, ומה היא עטרה - שורה גבוה המקפת בגיד סביב, שממנה הגיד משפע ויורד לצד הקרקע, ומשפע ויורד לצד הגוף, רש"י.</w:t>
      </w:r>
    </w:p>
  </w:footnote>
  <w:footnote w:id="3514">
    <w:p w14:paraId="7874034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שהרי הן כמילה עצמה, רש"י.</w:t>
      </w:r>
    </w:p>
  </w:footnote>
  <w:footnote w:id="3515">
    <w:p w14:paraId="15AE82F4"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דהוי כהתחלה בפני עצמה, ועל אלו לא ניתן לחלל את השבת, והיינו דקתני כל צרכי מילה ואפילו ציצין שאין מעכבין - חוזר עליהם כל זמן שלא פירש, רש"י.</w:t>
      </w:r>
    </w:p>
  </w:footnote>
  <w:footnote w:id="3516">
    <w:p w14:paraId="62E27B1E"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לא תימא "רוב העטרה" דקתני מתניתין רוב היקפה, אלא אפילו רוב גובהה במקום אחד, רש"י.</w:t>
      </w:r>
    </w:p>
  </w:footnote>
  <w:footnote w:id="3517">
    <w:p w14:paraId="259A1BBF"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שהרי כמת הוא, ואין מילתו מצוה, ואי קשיא אם כן לאו חילול הוא, שהרי הוא כמחתך בבשר מת - לקמן נמי מוקי האי חילול במכשירי מילה, ואליבא דר' אליעזר, רש"י.</w:t>
      </w:r>
    </w:p>
  </w:footnote>
  <w:footnote w:id="3518">
    <w:p w14:paraId="24272CCE"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מדתלי בהכי שמע מינה עכשיו נתברר שהוא בן קיימא, ולא קודם לכן, רש"י.</w:t>
      </w:r>
    </w:p>
  </w:footnote>
  <w:footnote w:id="3519">
    <w:p w14:paraId="0DEE9A14" w14:textId="77777777" w:rsidR="006A4BF8" w:rsidRPr="008C1C8E" w:rsidRDefault="006A4BF8" w:rsidP="00285819">
      <w:pPr>
        <w:spacing w:after="0" w:line="240" w:lineRule="auto"/>
        <w:rPr>
          <w:rFonts w:asciiTheme="minorBidi" w:hAnsiTheme="minorBidi"/>
          <w:sz w:val="20"/>
          <w:szCs w:val="20"/>
          <w:rtl/>
        </w:rPr>
      </w:pPr>
      <w:r w:rsidRPr="008C1C8E">
        <w:rPr>
          <w:rStyle w:val="a9"/>
          <w:rFonts w:asciiTheme="minorBidi" w:hAnsiTheme="minorBidi"/>
        </w:rPr>
        <w:footnoteRef/>
      </w:r>
      <w:r w:rsidRPr="008C1C8E">
        <w:rPr>
          <w:rFonts w:asciiTheme="minorBidi" w:hAnsiTheme="minorBidi"/>
          <w:rtl/>
        </w:rPr>
        <w:t xml:space="preserve"> </w:t>
      </w:r>
      <w:r w:rsidRPr="008C1C8E">
        <w:rPr>
          <w:rFonts w:asciiTheme="minorBidi" w:hAnsiTheme="minorBidi"/>
          <w:sz w:val="20"/>
          <w:szCs w:val="20"/>
          <w:rtl/>
        </w:rPr>
        <w:t>שלושים יום באדם ובבהמה שמונה ימים - ספיקא הוי, תלמודא פריך עלה, רש"י.</w:t>
      </w:r>
    </w:p>
  </w:footnote>
  <w:footnote w:id="3520">
    <w:p w14:paraId="1599B06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שום קטן ביום השמיני בשבת, דילמא נפל הוא ולא חזי למול, ועושה חבורה שלא לשם מצוה, רש"י.</w:t>
      </w:r>
    </w:p>
  </w:footnote>
  <w:footnote w:id="3521">
    <w:p w14:paraId="44124A8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כלומר: אם כלו לו חדשיו - שפיר קא מהיל, רש"י.</w:t>
      </w:r>
    </w:p>
  </w:footnote>
  <w:footnote w:id="3522">
    <w:p w14:paraId="0CC1B300"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שחוטה הוא, ולא חבורה היא, רש"י.</w:t>
      </w:r>
    </w:p>
  </w:footnote>
  <w:footnote w:id="3523">
    <w:p w14:paraId="7DFCC2F0"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הא דקתני אין מחללין אלא לענין מכשירי מילה לר' אליעזר, דאמר דחו שבת - הני מילי דקים ליה בגויה שכלו לו חדשיו - שעברו תשעה חדשים מששמשה עד שילדתו, ולא שמשה כל ימי עיבורה, אבל ספק - אין מכשיריו דוחין, דילמא לאו בר מימהל הוא, ומחלל שבת בעשותו פחמים וברזל, רש"י.</w:t>
      </w:r>
    </w:p>
  </w:footnote>
  <w:footnote w:id="3524">
    <w:p w14:paraId="64CF7D60" w14:textId="77777777" w:rsidR="006A4BF8" w:rsidRDefault="006A4BF8" w:rsidP="00285819">
      <w:pPr>
        <w:pStyle w:val="a7"/>
      </w:pPr>
      <w:r>
        <w:rPr>
          <w:rStyle w:val="a9"/>
        </w:rPr>
        <w:footnoteRef/>
      </w:r>
      <w:r>
        <w:rPr>
          <w:rtl/>
        </w:rPr>
        <w:t xml:space="preserve"> </w:t>
      </w:r>
      <w:r w:rsidRPr="00AC3D56">
        <w:rPr>
          <w:rFonts w:cs="Arial"/>
          <w:rtl/>
        </w:rPr>
        <w:t>לאו דוקא דאורייתא דהא קי"ל כר"ש דאמר [דף צג ב] מלאכה שאינה צריכה לגופה פטור עליה והכא אינו צריך לכבוי אלא בשביל המת אלא דמ"מ עיקר כבוי דאוריית' כגון מכבה עצים לעשות פחמי' שהוא כבוי הצריך לגופו</w:t>
      </w:r>
      <w:r>
        <w:rPr>
          <w:rFonts w:cs="Arial" w:hint="cs"/>
          <w:rtl/>
        </w:rPr>
        <w:t xml:space="preserve">, ר"ן (על הרי"ף שם). </w:t>
      </w:r>
    </w:p>
  </w:footnote>
  <w:footnote w:id="3525">
    <w:p w14:paraId="0709C66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ואף על גב דאפשר בטלטול - שרי ר' שמעון, הואיל ואין מתכוין לחריץ, ור' יהודה סבר: כיון דאפשר – אסור, רש"י.</w:t>
      </w:r>
    </w:p>
  </w:footnote>
  <w:footnote w:id="3526">
    <w:p w14:paraId="4AA2089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כגון הכא דבגרירת כסא וספסל אפילו במתכוין לעשות חריץ ליכא איסורא דאורייתא, לכן כי לא מיכוין שרי לכתחילה (וכי אמרינן בפרק כלל גדול (עג:) דחופר תולדה דחורש הוא וחייב - הני מילי במרא וכיוצא בו אבל במטה כסא וספסל לא), ב"י.</w:t>
      </w:r>
    </w:p>
  </w:footnote>
  <w:footnote w:id="3527">
    <w:p w14:paraId="453006FC"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לרבץ הבית, ורצפת אבנים היתה בכל העיר, רש"י.</w:t>
      </w:r>
    </w:p>
  </w:footnote>
  <w:footnote w:id="3528">
    <w:p w14:paraId="5E88CDA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שהיה אבק עולה, ומרבה הבל, רש"י.</w:t>
      </w:r>
    </w:p>
  </w:footnote>
  <w:footnote w:id="3529">
    <w:p w14:paraId="4145A2C2"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אבל גדולים מאוד אסור לגרור דהוי פסיק רישיה דעושה חריץ ואסור אפילו בקרקע של שיש </w:t>
      </w:r>
      <w:r w:rsidRPr="008C1C8E">
        <w:rPr>
          <w:rFonts w:asciiTheme="minorBidi" w:hAnsiTheme="minorBidi"/>
          <w:sz w:val="16"/>
          <w:szCs w:val="16"/>
          <w:rtl/>
        </w:rPr>
        <w:t>(ב"י בשם רוקח וכס"מ בשם הרמ"ך)</w:t>
      </w:r>
      <w:r w:rsidRPr="008C1C8E">
        <w:rPr>
          <w:rFonts w:asciiTheme="minorBidi" w:hAnsiTheme="minorBidi"/>
          <w:rtl/>
        </w:rPr>
        <w:t xml:space="preserve"> ואע"ג שכשחופר הוי מלאכה דרבנן אפ"ה אסור, מג"א (סק"א).</w:t>
      </w:r>
    </w:p>
  </w:footnote>
  <w:footnote w:id="3530">
    <w:p w14:paraId="074CD98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ובשלט"ג (שבת לו. אות ו) כ' שגם הרי"ף מסכים שאסור לכבד במכבדת שקייסמיה יכולים להשבר. </w:t>
      </w:r>
    </w:p>
  </w:footnote>
  <w:footnote w:id="3531">
    <w:p w14:paraId="5AFC239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וביש"ש אוסר אפי' ע"י </w:t>
      </w:r>
      <w:r>
        <w:rPr>
          <w:rFonts w:asciiTheme="minorBidi" w:hAnsiTheme="minorBidi"/>
          <w:rtl/>
        </w:rPr>
        <w:t>גוי</w:t>
      </w:r>
      <w:r w:rsidRPr="008C1C8E">
        <w:rPr>
          <w:rFonts w:asciiTheme="minorBidi" w:hAnsiTheme="minorBidi"/>
          <w:rtl/>
        </w:rPr>
        <w:t xml:space="preserve"> אלא שנהגו להקל וגם ע"י כנף אוסר, מג"א (סק"ד).</w:t>
      </w:r>
    </w:p>
  </w:footnote>
  <w:footnote w:id="3532">
    <w:p w14:paraId="15EF6248"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ועל היתר זה </w:t>
      </w:r>
      <w:r w:rsidRPr="008C1C8E">
        <w:rPr>
          <w:rFonts w:asciiTheme="minorBidi" w:hAnsiTheme="minorBidi"/>
          <w:sz w:val="16"/>
          <w:szCs w:val="16"/>
          <w:rtl/>
        </w:rPr>
        <w:t xml:space="preserve">(של בגד או מטלית) </w:t>
      </w:r>
      <w:r w:rsidRPr="008C1C8E">
        <w:rPr>
          <w:rFonts w:asciiTheme="minorBidi" w:hAnsiTheme="minorBidi"/>
          <w:rtl/>
        </w:rPr>
        <w:t>כ' הב"י- "ולא ידענא מאי שנא שהרי הוא מזיז עפר ממקומו וגם משוה גומות כשמכבד בבגד כמו כשמכבד במכבדת", דהיינו דהאיסור הוא משום טלטול ומאי שנא ע"י מכבדת של תמרה או בבגד. ובדרכ"מ כ' שהמנהג כדברי האגור אבל לא תירץ תמיהה זו של הב"י אלא רק כתב מדוע לא שייך במנהגם לחשוש משום אשוויי גומות.</w:t>
      </w:r>
    </w:p>
  </w:footnote>
  <w:footnote w:id="3533">
    <w:p w14:paraId="1B9A1DA1"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והב"ח (בסוף הסימן) כ' דהוה עובדין דחול ונראה גם כן כמזלזלים באיסור שבת על כן אין לכבד במכבדות מקנים ארוכים. וכ' המג"א (סק"ה) דגם במרוצף אסור אם יש חשש שהקיסמים ישברו כגון מטאטא העשוי מענפי אילן.</w:t>
      </w:r>
    </w:p>
  </w:footnote>
  <w:footnote w:id="3534">
    <w:p w14:paraId="026F692E"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וכן בדף קנא ע"ב.</w:t>
      </w:r>
    </w:p>
  </w:footnote>
  <w:footnote w:id="3535">
    <w:p w14:paraId="0722CC5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דלמא אתי לאשויי גומות, רש"י.</w:t>
      </w:r>
    </w:p>
  </w:footnote>
  <w:footnote w:id="3536">
    <w:p w14:paraId="5D0551FD"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ואין נופחין את הקרקע, רמב"ם (פכ"א ה"ג, הובא במג"א סק"ו).</w:t>
      </w:r>
    </w:p>
  </w:footnote>
  <w:footnote w:id="3537">
    <w:p w14:paraId="30272C7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אע"פ שהכיבוד מותר ברצוף אלו הדברים אסורין וגזרו בהם לפי שאין בהם צורך כמו בכיבוד, הה"מ בדעת הרמב"ם</w:t>
      </w:r>
      <w:r w:rsidRPr="008C1C8E">
        <w:rPr>
          <w:rFonts w:asciiTheme="minorBidi" w:hAnsiTheme="minorBidi"/>
          <w:sz w:val="16"/>
          <w:szCs w:val="16"/>
          <w:rtl/>
        </w:rPr>
        <w:t xml:space="preserve"> (הביאו הב"י)</w:t>
      </w:r>
      <w:r w:rsidRPr="008C1C8E">
        <w:rPr>
          <w:rFonts w:asciiTheme="minorBidi" w:hAnsiTheme="minorBidi"/>
          <w:rtl/>
        </w:rPr>
        <w:t>.</w:t>
      </w:r>
    </w:p>
  </w:footnote>
  <w:footnote w:id="3538">
    <w:p w14:paraId="69E1D2C7" w14:textId="77777777" w:rsidR="006A4BF8" w:rsidRPr="008C1C8E" w:rsidRDefault="006A4BF8" w:rsidP="00285819">
      <w:pPr>
        <w:pStyle w:val="a7"/>
        <w:rPr>
          <w:rFonts w:asciiTheme="minorBidi" w:hAnsiTheme="minorBidi"/>
          <w:color w:val="FF0000"/>
          <w:rtl/>
        </w:rPr>
      </w:pPr>
      <w:r w:rsidRPr="008C1C8E">
        <w:rPr>
          <w:rStyle w:val="a9"/>
          <w:rFonts w:asciiTheme="minorBidi" w:hAnsiTheme="minorBidi"/>
        </w:rPr>
        <w:footnoteRef/>
      </w:r>
      <w:r w:rsidRPr="008C1C8E">
        <w:rPr>
          <w:rFonts w:asciiTheme="minorBidi" w:hAnsiTheme="minorBidi"/>
          <w:rtl/>
        </w:rPr>
        <w:t xml:space="preserve"> לשון המחבר, אבל התוס' שם (קמא. ד"ה דילמא) כתבו שמא ישכח וישוה גומות במתכוין, גר"א (סקט"ו). </w:t>
      </w:r>
      <w:r w:rsidRPr="008C1C8E">
        <w:rPr>
          <w:rFonts w:asciiTheme="minorBidi" w:hAnsiTheme="minorBidi"/>
          <w:color w:val="FF0000"/>
          <w:rtl/>
        </w:rPr>
        <w:t>וצל"ע, דהרי התוס' כתבו דבר זה על מה שאמר רבא- "מקנחו בכותל ואין מקנחו בקרקע דילמא אתי לאשוויי גומות", וכתבו- "גזרינן הכא כשיהא עסוק לקנח רגלו ישכח שבת ויתכוין לאשוויי גומות" ולא לגבי צידוד חבית דשם פ"ר הוא שישווה גומות ובזה גם ר"ש מודה.</w:t>
      </w:r>
    </w:p>
  </w:footnote>
  <w:footnote w:id="3539">
    <w:p w14:paraId="17601EA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ופסקו הרמב"ם (פ"ט ה"ח) והטור כחכמים, אבל הר"ן (לו. ד"ה גמ' מחלוקת) כ' שר"ח (גליון צו:) מסכים לדברי הפוסקים כרבי אליעזר משום דאיסורא דאורייתא הוא ולחומרא עבדינן. והב"י כ' על זה- "ואיני מבין דבריו דכיון דחכמים נמי אסרי מה שייך לומר לחומרא עבדינן ועוד מאי קאמר משום דאיסורא דאורייתא הוא הלא זה הוא המחלוקת אי מיתסר מדאורייתא אי מדרבנן".</w:t>
      </w:r>
    </w:p>
  </w:footnote>
  <w:footnote w:id="3540">
    <w:p w14:paraId="5D85620E" w14:textId="77777777" w:rsidR="006A4BF8" w:rsidRPr="008C1C8E" w:rsidRDefault="006A4BF8" w:rsidP="00285819">
      <w:pPr>
        <w:pStyle w:val="af1"/>
        <w:jc w:val="left"/>
        <w:rPr>
          <w:rFonts w:asciiTheme="minorBidi" w:hAnsiTheme="minorBidi" w:cstheme="minorBidi"/>
          <w:sz w:val="20"/>
          <w:szCs w:val="20"/>
          <w:rtl/>
        </w:rPr>
      </w:pPr>
      <w:r w:rsidRPr="008C1C8E">
        <w:rPr>
          <w:rStyle w:val="a9"/>
          <w:rFonts w:asciiTheme="minorBidi" w:hAnsiTheme="minorBidi" w:cstheme="minorBidi"/>
          <w:sz w:val="20"/>
          <w:szCs w:val="20"/>
        </w:rPr>
        <w:footnoteRef/>
      </w:r>
      <w:r w:rsidRPr="008C1C8E">
        <w:rPr>
          <w:rFonts w:asciiTheme="minorBidi" w:hAnsiTheme="minorBidi" w:cstheme="minorBidi"/>
          <w:sz w:val="20"/>
          <w:szCs w:val="20"/>
          <w:rtl/>
        </w:rPr>
        <w:t xml:space="preserve"> על דברי המשנה והגמרא שיש אפשרות שיהיה חייב בגוזז שערו (כגון שגזז בכלי, שתי שערות וכדומה), כתבו </w:t>
      </w:r>
      <w:r w:rsidRPr="008C1C8E">
        <w:rPr>
          <w:rFonts w:asciiTheme="minorBidi" w:hAnsiTheme="minorBidi" w:cstheme="minorBidi"/>
          <w:b/>
          <w:bCs/>
          <w:sz w:val="20"/>
          <w:szCs w:val="20"/>
          <w:rtl/>
        </w:rPr>
        <w:t>התוס'</w:t>
      </w:r>
      <w:r w:rsidRPr="008C1C8E">
        <w:rPr>
          <w:rFonts w:asciiTheme="minorBidi" w:hAnsiTheme="minorBidi" w:cstheme="minorBidi"/>
          <w:sz w:val="20"/>
          <w:szCs w:val="20"/>
          <w:rtl/>
        </w:rPr>
        <w:t xml:space="preserve"> שזהו דוקא לר"י שמחייב על משאצל"ג, אך לר"ש שפוטר - פטור. ותמהו האחרונים שאם אכן כך הוא - כיצד העתיקו הרא"ש, הטור, והשו"ע דין זה, והרי הוא לשיטת ר"י בלבד! </w:t>
      </w:r>
      <w:r w:rsidRPr="008C1C8E">
        <w:rPr>
          <w:rFonts w:asciiTheme="minorBidi" w:hAnsiTheme="minorBidi" w:cstheme="minorBidi"/>
          <w:b/>
          <w:bCs/>
          <w:sz w:val="20"/>
          <w:szCs w:val="20"/>
          <w:rtl/>
        </w:rPr>
        <w:t>המג"א</w:t>
      </w:r>
      <w:r w:rsidRPr="008C1C8E">
        <w:rPr>
          <w:rFonts w:asciiTheme="minorBidi" w:hAnsiTheme="minorBidi" w:cstheme="minorBidi"/>
          <w:sz w:val="20"/>
          <w:szCs w:val="20"/>
          <w:rtl/>
        </w:rPr>
        <w:t xml:space="preserve"> (סק"א) תרץ שמדובר בסעיף זה כשצריך לשערן. </w:t>
      </w:r>
      <w:r w:rsidRPr="008C1C8E">
        <w:rPr>
          <w:rFonts w:asciiTheme="minorBidi" w:hAnsiTheme="minorBidi" w:cstheme="minorBidi"/>
          <w:b/>
          <w:bCs/>
          <w:sz w:val="20"/>
          <w:szCs w:val="20"/>
          <w:rtl/>
        </w:rPr>
        <w:t>הגר"א</w:t>
      </w:r>
      <w:r w:rsidRPr="008C1C8E">
        <w:rPr>
          <w:rFonts w:asciiTheme="minorBidi" w:hAnsiTheme="minorBidi" w:cstheme="minorBidi"/>
          <w:sz w:val="20"/>
          <w:szCs w:val="20"/>
          <w:rtl/>
        </w:rPr>
        <w:t xml:space="preserve"> (סק"ב) כ' שהשו"ע סתם פה להלכה שמשאצל"ג חייב (אך יוצא שהשו"ע סותר את עצמו). </w:t>
      </w:r>
      <w:r w:rsidRPr="008C1C8E">
        <w:rPr>
          <w:rFonts w:asciiTheme="minorBidi" w:hAnsiTheme="minorBidi" w:cstheme="minorBidi"/>
          <w:b/>
          <w:bCs/>
          <w:sz w:val="20"/>
          <w:szCs w:val="20"/>
          <w:rtl/>
        </w:rPr>
        <w:t>ובביה"ל</w:t>
      </w:r>
      <w:r w:rsidRPr="008C1C8E">
        <w:rPr>
          <w:rFonts w:asciiTheme="minorBidi" w:hAnsiTheme="minorBidi" w:cstheme="minorBidi"/>
          <w:sz w:val="20"/>
          <w:szCs w:val="20"/>
          <w:rtl/>
        </w:rPr>
        <w:t xml:space="preserve"> (ד"ה וחייב) הביא דעת הריב"ש שמלאכת גוזז מלאכה מיוחדת היא, ונחשבת מלאכה לכו"ע גם כשאין צריך לשיער, כיון שבמשכן עצמו היתה הגזיזה שלא לצורך השיער והצמר אלא לצורך העור. וכך דעת הר"ן. ואפשר להוכיח שכן דעת הר"ח, הרמב"ן, הסמ"ג והרא"ש, ואפשר לומר שזו גם דעת השו"ע.</w:t>
      </w:r>
    </w:p>
  </w:footnote>
  <w:footnote w:id="3541">
    <w:p w14:paraId="610FAE6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אבל באחת איכא איסורא כמו כל חצי שיעור, כנ"ל פשוט דלא כעולת שבת </w:t>
      </w:r>
      <w:r w:rsidRPr="008C1C8E">
        <w:rPr>
          <w:rFonts w:asciiTheme="minorBidi" w:hAnsiTheme="minorBidi"/>
          <w:sz w:val="16"/>
          <w:szCs w:val="16"/>
          <w:rtl/>
        </w:rPr>
        <w:t>(שכ' דאפילו איסורא ליכא)</w:t>
      </w:r>
      <w:r w:rsidRPr="008C1C8E">
        <w:rPr>
          <w:rFonts w:asciiTheme="minorBidi" w:hAnsiTheme="minorBidi"/>
          <w:rtl/>
        </w:rPr>
        <w:t>, מג"א (סק"ב).</w:t>
      </w:r>
    </w:p>
  </w:footnote>
  <w:footnote w:id="3542">
    <w:p w14:paraId="58DB1115"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דהרי מן החי בודאי שפטור שהרי אין דרך לתלוש מן החי.</w:t>
      </w:r>
    </w:p>
  </w:footnote>
  <w:footnote w:id="3543">
    <w:p w14:paraId="672B2EDD"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ולכן כ' הב"ח שצריך ליזהר כשנוטף שעוה על הספר שלא לסלקו ואם היה מקום כתיבת אות א' אסור, ואם ב' חייב, אך השבות יעקב (ח"ב סי' ד) כ' שאינו כן ואין בזה מעניין מחיקה, אלא בדקוק נקטו בתוספתא שעוה שע"ג פנקס דרק על גבה איכא איסור מוחק משום דיש לו בית קיבול לשעוה משא"כ ע"ג קלף דמותר (אלא שבקלף יש איסור אחר להסיר והוא ממרח שאם מוריד את השעוה עם ידו או עם הציפורן הוא ממרח את השעווה אבל אם יסיר עם בעניין שלא יגע עם ידו או ציפורנו בשעוה מותר).</w:t>
      </w:r>
    </w:p>
  </w:footnote>
  <w:footnote w:id="3544">
    <w:p w14:paraId="7EB1C520"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ואפילו נטף מעצמו על הספר, מג"א (סק"ד).</w:t>
      </w:r>
    </w:p>
  </w:footnote>
  <w:footnote w:id="3545">
    <w:p w14:paraId="04E44B99"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לגדול, אבל לקטן מותר, מרדכי בשם מהר"ם (וכ"כ המג"א והמ"ב).</w:t>
      </w:r>
    </w:p>
  </w:footnote>
  <w:footnote w:id="3546">
    <w:p w14:paraId="4534E08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כיון שבמחיקת אותיות אלו ע"י האכילה אין איסור דאורייתא אבל איסור דרבנן מיהא איכא, אלא שבתינוק אין לחוש דקטן אוכל נבלות אין בי"ד מצווין להפרישו (ורק אסור לתת לו איסור בידיים). </w:t>
      </w:r>
    </w:p>
  </w:footnote>
  <w:footnote w:id="3547">
    <w:p w14:paraId="1895B059"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וכעין זה פסק, שהרי לא כ' שמותר ליתנו לקטן. </w:t>
      </w:r>
      <w:r w:rsidRPr="008C1C8E">
        <w:rPr>
          <w:rFonts w:asciiTheme="minorBidi" w:hAnsiTheme="minorBidi"/>
          <w:color w:val="FF0000"/>
          <w:rtl/>
        </w:rPr>
        <w:t>וצ"ע מהי דעת הרמ"א בליתנו לקטן.</w:t>
      </w:r>
    </w:p>
  </w:footnote>
  <w:footnote w:id="3548">
    <w:p w14:paraId="419B06FF" w14:textId="77777777" w:rsidR="006A4BF8" w:rsidRPr="008C1C8E" w:rsidRDefault="006A4BF8" w:rsidP="00285819">
      <w:pPr>
        <w:pStyle w:val="af1"/>
        <w:jc w:val="left"/>
        <w:rPr>
          <w:rFonts w:asciiTheme="minorBidi" w:hAnsiTheme="minorBidi" w:cstheme="minorBidi"/>
          <w:sz w:val="20"/>
          <w:szCs w:val="20"/>
        </w:rPr>
      </w:pPr>
      <w:r w:rsidRPr="008C1C8E">
        <w:rPr>
          <w:rStyle w:val="a9"/>
          <w:rFonts w:asciiTheme="minorBidi" w:hAnsiTheme="minorBidi" w:cstheme="minorBidi"/>
          <w:sz w:val="20"/>
          <w:szCs w:val="20"/>
        </w:rPr>
        <w:footnoteRef/>
      </w:r>
      <w:r w:rsidRPr="008C1C8E">
        <w:rPr>
          <w:rFonts w:asciiTheme="minorBidi" w:hAnsiTheme="minorBidi" w:cstheme="minorBidi"/>
          <w:sz w:val="20"/>
          <w:szCs w:val="20"/>
          <w:rtl/>
        </w:rPr>
        <w:t xml:space="preserve"> וכן משמע מהט"ז (סק"ב) שכ' שאינו מבין מדוע יש להחמיר, שהרי אפילו במקום שיש אב מלאכה, כגון בורר, אינו שייך במקום אכילה, וכן בטוחן, כ"ש בנידון דידן שהוא מקלקל, והוא איסור דרבנן וצ"ע. ובצי"א (חי"א סי' כ) הביא ראיה לט"ז מדברי הרלב"ג עה"ת (פרשת יתרו) דמתוך שהוא דרך אכילה לא נאסר.</w:t>
      </w:r>
    </w:p>
  </w:footnote>
  <w:footnote w:id="3549">
    <w:p w14:paraId="7368351B"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 הדגמ"ר דלא מבעיא לפי תרוה"ד (המובא בסי' שיד) שמתיר פ"ר באיסור דרבנן - הרי מותר, אלא אפילו למג"א שמחמיר בפ"ר בדרבנן, מ"מ בנ"ד הוא מקלקל ועושה כלאחר יד וגם המג"א מתיר, וכ"ש שהשבירה היא בפיו דרך אכילה. ולכן כתב שזהו היתר גמור, וגם האחרונים תמהו על איסור זה, אלא שלא רצו להקל כנגד מהר"ם. וכן י"ל שמהר"ם שהחמיר דיבר במציאות שהאותיות שבעוגות נעשו בכוונה שיאכלו התינוקות כסגולה, וא"כ זה מתכוין ואינו מקלקל, ולכן התיר רק לתינוקות, אך במציאות אחרת - מותר גם לגדולים. "והמחמיר יחמיר לעצמו אבל לא לאחרים". והחזו"א (סימן סא, סק"א) כתב שניתן להתיר מטעם אחר, והוא שזהו פ"ר דלא אכפת ליה בתרי דרבנן. אך עיקר ההיתר בזה אינו מוכרע, ואין לו מקור בגמרא.</w:t>
      </w:r>
    </w:p>
  </w:footnote>
  <w:footnote w:id="3550">
    <w:p w14:paraId="7FCA5028"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דלא יתכן איסור כתיבה ומחיקה אפי' מדרבנן כשעיקר הכתיבה היא מדבר מאכל משום דאין דרך כתיבה בכך.</w:t>
      </w:r>
    </w:p>
  </w:footnote>
  <w:footnote w:id="3551">
    <w:p w14:paraId="0F71F869"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במג"א </w:t>
      </w:r>
      <w:r w:rsidRPr="008C1C8E">
        <w:rPr>
          <w:rFonts w:asciiTheme="minorBidi" w:hAnsiTheme="minorBidi"/>
          <w:sz w:val="16"/>
          <w:szCs w:val="16"/>
          <w:rtl/>
        </w:rPr>
        <w:t xml:space="preserve">(סק"ה) </w:t>
      </w:r>
      <w:r w:rsidRPr="008C1C8E">
        <w:rPr>
          <w:rFonts w:asciiTheme="minorBidi" w:hAnsiTheme="minorBidi"/>
          <w:rtl/>
        </w:rPr>
        <w:t>הסתפק בזה דעכ"פ רישומו ניכר. ובחזו"א</w:t>
      </w:r>
      <w:r w:rsidRPr="008C1C8E">
        <w:rPr>
          <w:rFonts w:asciiTheme="minorBidi" w:hAnsiTheme="minorBidi"/>
          <w:sz w:val="16"/>
          <w:szCs w:val="16"/>
          <w:rtl/>
        </w:rPr>
        <w:t xml:space="preserve"> (סי' סא סק"א) </w:t>
      </w:r>
      <w:r w:rsidRPr="008C1C8E">
        <w:rPr>
          <w:rFonts w:asciiTheme="minorBidi" w:hAnsiTheme="minorBidi"/>
          <w:rtl/>
        </w:rPr>
        <w:t xml:space="preserve">כ' להחמיר אפילו במי פירות "דמ"מ כתב הוא". ובשש"כ </w:t>
      </w:r>
      <w:r w:rsidRPr="008C1C8E">
        <w:rPr>
          <w:rFonts w:asciiTheme="minorBidi" w:hAnsiTheme="minorBidi"/>
          <w:sz w:val="16"/>
          <w:szCs w:val="16"/>
          <w:rtl/>
        </w:rPr>
        <w:t xml:space="preserve">(פי"א ס"ז) </w:t>
      </w:r>
      <w:r w:rsidRPr="008C1C8E">
        <w:rPr>
          <w:rFonts w:asciiTheme="minorBidi" w:hAnsiTheme="minorBidi"/>
          <w:rtl/>
        </w:rPr>
        <w:t>פסק להחמיר: "דברי מאפה שצויירו עליהם ציורים או אותיות כלשהם מממרח כלשהו מותר לאכלם ואסור לחתוך אותם".</w:t>
      </w:r>
    </w:p>
  </w:footnote>
  <w:footnote w:id="3552">
    <w:p w14:paraId="22537A9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דאין שם כתיבה עליה וממילא לא שייך בזה מחיקה, מ"ב.</w:t>
      </w:r>
    </w:p>
  </w:footnote>
  <w:footnote w:id="3553">
    <w:p w14:paraId="779286EF" w14:textId="77777777" w:rsidR="006A4BF8" w:rsidRPr="008C1C8E" w:rsidRDefault="006A4BF8" w:rsidP="00285819">
      <w:pPr>
        <w:pStyle w:val="af1"/>
        <w:jc w:val="left"/>
        <w:rPr>
          <w:rFonts w:asciiTheme="minorBidi" w:hAnsiTheme="minorBidi" w:cstheme="minorBidi"/>
          <w:sz w:val="20"/>
          <w:szCs w:val="20"/>
          <w:rtl/>
        </w:rPr>
      </w:pPr>
      <w:r w:rsidRPr="008C1C8E">
        <w:rPr>
          <w:rStyle w:val="a9"/>
          <w:rFonts w:asciiTheme="minorBidi" w:hAnsiTheme="minorBidi" w:cstheme="minorBidi"/>
          <w:sz w:val="20"/>
          <w:szCs w:val="20"/>
        </w:rPr>
        <w:footnoteRef/>
      </w:r>
      <w:r w:rsidRPr="008C1C8E">
        <w:rPr>
          <w:rFonts w:asciiTheme="minorBidi" w:hAnsiTheme="minorBidi" w:cstheme="minorBidi"/>
          <w:sz w:val="20"/>
          <w:szCs w:val="20"/>
          <w:rtl/>
        </w:rPr>
        <w:t xml:space="preserve"> מכמה טעמים: א- ס"ס להקל, שמא פ"ר בדרבנן שרי, ואת"ל אסור, שמא פ"ר דלנח"ל - שרי, ושמא פ"ר בדרבנן דלנח"ל דאיכא תרתי לטבותא לכו"ע שרי. </w:t>
      </w:r>
      <w:r w:rsidRPr="008C1C8E">
        <w:rPr>
          <w:rFonts w:asciiTheme="minorBidi" w:hAnsiTheme="minorBidi" w:cstheme="minorBidi"/>
          <w:sz w:val="16"/>
          <w:szCs w:val="16"/>
          <w:rtl/>
        </w:rPr>
        <w:t>(וק"ו כאן שיש תרי דרבנן: שלא ע"מ לכתוב וכלאחר יד)</w:t>
      </w:r>
      <w:r w:rsidRPr="008C1C8E">
        <w:rPr>
          <w:rFonts w:asciiTheme="minorBidi" w:hAnsiTheme="minorBidi" w:cstheme="minorBidi"/>
          <w:sz w:val="20"/>
          <w:szCs w:val="20"/>
          <w:rtl/>
        </w:rPr>
        <w:t>. ב- הכתב נעשה מתחילה ע"מ שלא להתקיים רק לפי שעה, וכ"כ כתבו הפוסקים (בסימן רנט) להתיר סתירת סתימת התנור בשבת, ולא נחשב מוחק בכה"ג. ג- וכשם שקיי"ל אין צביעה באוכלין, ה"ה דאין כתיבה ומחיקה באוכלין, דמי מחלק בין צביעה לכותב (ובלוי"ח דחה טעם זה).</w:t>
      </w:r>
    </w:p>
  </w:footnote>
  <w:footnote w:id="3554">
    <w:p w14:paraId="4B4F72BD"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ולא דמי לעוגה שכתובים עליה אותיות דאסור לשוברן דהואיל ואכלן קא עביד מעשה דאי אפשר לחזור לקרבן אח"כ, אבל אם היה מפרידן זה מזה וחזר וקרבן אפשר דשרי דקריבה לאו מעשה הוא. וכ"ש בספר דעומד לנעול ולפתוח, דקריבתו והרחקתו לאו כלום הוא, רמ"א בתשו' (סי' קיט). וכ' המ"ב (סקי"ז) שכן המנהג וסיים דמ"מ נכון להחמיר כשיש לו ספר אחר.</w:t>
      </w:r>
    </w:p>
  </w:footnote>
  <w:footnote w:id="3555">
    <w:p w14:paraId="41F19680"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אבל על שולחן שנגוב ממשקין (היינו שלחן יבש) מותר משום שאין רישומו ניכר כלל, וכ"מ בתרוה"ד, ע"פ ט"ז (סק"ג).</w:t>
      </w:r>
    </w:p>
  </w:footnote>
  <w:footnote w:id="3556">
    <w:p w14:paraId="6C277E2B"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או"ז (רק שבאו"ז עצמו כתוב "עפר" במקום "אפר"), הוב"א בתרוה"ד (סי' ס"ג).</w:t>
      </w:r>
    </w:p>
  </w:footnote>
  <w:footnote w:id="3557">
    <w:p w14:paraId="42203760"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ולא אמרינן דמאמן ידיו בכתיבה, וה"ה דמותר לראות אומנות בשבת אע"ג שמלמדה (תרוה"ד), מג"א (סק"ח).</w:t>
      </w:r>
    </w:p>
  </w:footnote>
  <w:footnote w:id="3558">
    <w:p w14:paraId="68F92C2C"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סימן, שהיו עושים בקרשי המשכן מפני שמפרקין אותו ולכשיקימוהו לא יחלפו סדר הקרשים, ואתא ר' יוסי למימר דאפילו לא כתב אלא רשם שני רשימות בעלמא לסימן חייב, רש"י.</w:t>
      </w:r>
    </w:p>
  </w:footnote>
  <w:footnote w:id="3559">
    <w:p w14:paraId="3A208D1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נחלקו האחרונים בביאור היתר זה, שהרי לד' ר' יוסי במשנה רושם הוא ככותב. </w:t>
      </w:r>
      <w:r w:rsidRPr="008C1C8E">
        <w:rPr>
          <w:rFonts w:asciiTheme="minorBidi" w:hAnsiTheme="minorBidi"/>
          <w:u w:val="single"/>
          <w:rtl/>
        </w:rPr>
        <w:t>הט"ז</w:t>
      </w:r>
      <w:r w:rsidRPr="008C1C8E">
        <w:rPr>
          <w:rFonts w:asciiTheme="minorBidi" w:hAnsiTheme="minorBidi"/>
          <w:rtl/>
        </w:rPr>
        <w:t xml:space="preserve"> (סק"ד) כ' דמותר כיון דאיכא תרתי לטיבותא, א- שעושה רק רושם אחד, ב- הרושם אינו מתקיים </w:t>
      </w:r>
      <w:r w:rsidRPr="008C1C8E">
        <w:rPr>
          <w:rFonts w:asciiTheme="minorBidi" w:hAnsiTheme="minorBidi"/>
          <w:sz w:val="16"/>
          <w:szCs w:val="16"/>
          <w:rtl/>
        </w:rPr>
        <w:t>(ואינו היה צריך להשמיענו דדוקא רושם אחד מותר אבל שנים אסור, משום דכאן רושם על הספר כל א' במקום המיוחד לו וגם כשרושם בב' מקומות הוה כל אחד סימן לדבר מיוחד, משא"כ במשכן שהיו רושמין שני רישומים להיכר שלא יתחלפו הקרשים ונמצא שלסימן אחד היו עושים ב' רושמים ובזה אסור מדרבנן אפילו באינו מתקיים)</w:t>
      </w:r>
      <w:r w:rsidRPr="008C1C8E">
        <w:rPr>
          <w:rFonts w:asciiTheme="minorBidi" w:hAnsiTheme="minorBidi"/>
          <w:rtl/>
        </w:rPr>
        <w:t xml:space="preserve">. אך </w:t>
      </w:r>
      <w:r w:rsidRPr="008C1C8E">
        <w:rPr>
          <w:rFonts w:asciiTheme="minorBidi" w:hAnsiTheme="minorBidi"/>
          <w:u w:val="single"/>
          <w:rtl/>
        </w:rPr>
        <w:t>בבאה"ל</w:t>
      </w:r>
      <w:r w:rsidRPr="008C1C8E">
        <w:rPr>
          <w:rFonts w:asciiTheme="minorBidi" w:hAnsiTheme="minorBidi"/>
          <w:rtl/>
        </w:rPr>
        <w:t xml:space="preserve"> כ' שהוא תירוץ דחוק והביא את </w:t>
      </w:r>
      <w:r w:rsidRPr="008C1C8E">
        <w:rPr>
          <w:rFonts w:asciiTheme="minorBidi" w:hAnsiTheme="minorBidi"/>
          <w:u w:val="single"/>
          <w:rtl/>
        </w:rPr>
        <w:t>הא"ר</w:t>
      </w:r>
      <w:r w:rsidRPr="008C1C8E">
        <w:rPr>
          <w:rFonts w:asciiTheme="minorBidi" w:hAnsiTheme="minorBidi"/>
          <w:rtl/>
        </w:rPr>
        <w:t xml:space="preserve"> שכ'  דהטור ס"ל שאין הלכה כר' יוסי כמש"כ רע"ב, וא"כ רושם שריטות בעלמא אינו בכלל כותב כלל, ואסור רק מדרבנן, ולכך בדבר שאין מתקיים מותר לגמרי, ודבר ברור הוא שכן הוא דעת הרי"ף הרא"ש הרמב"ם ורי"ו דלא כר' יוסי דהרי כולם פסקו דכותב בשמאל פטור אם לא בשולט בשתי ידיו וזה הוא דלא כר"י וכדאיתא בגמרא שם וזהו ג"כ טעם השו"ע.</w:t>
      </w:r>
    </w:p>
  </w:footnote>
  <w:footnote w:id="3560">
    <w:p w14:paraId="0DD0B36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של קלף, אבל על של נייר אסור, רש"ל ר' יצחק הלוי וט"ז (סק"ד).</w:t>
      </w:r>
    </w:p>
  </w:footnote>
  <w:footnote w:id="3561">
    <w:p w14:paraId="1A7F0AF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וכל זה ברושם דוקא אבל אם עשה עם הציפורן כמין אותיות ודאי אסור, כמ"ש ס"ד (לבוש), מג"א וט"ז. וגם הרושם, אם רושם באיזה כלי שעושה רשימה עמוקה יותר אסור, ילקו"י.</w:t>
      </w:r>
    </w:p>
  </w:footnote>
  <w:footnote w:id="3562">
    <w:p w14:paraId="43C72FD1"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קובץ של פסקי דינים והלכות מאת גאונים קדמונים ובעלי התוספות, מאת מחבר לא ידוע שחי בסוף תקופת בעלי התוספות בצרפת. כולל ארבעים וארבע סימנים בעיקר בהלכות המועדים, איסור והיתר, אישות ועוד. כונה כבר ע"י ראשונים בשם 'ספר הנייר' (פאפייר), ובזמנו היה נפוץ בעיקר בצרפת, פרוייקט השו"ת.</w:t>
      </w:r>
    </w:p>
  </w:footnote>
  <w:footnote w:id="3563">
    <w:p w14:paraId="4B824EF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ואינו דומה אלא למי שיש בבגדיו לולאות וקרסים ומחברן בשבת, ואע"פ שיש בקצה החוט מחט נקובה אין לאוסרה כיון שמחוברת בפתיל והפתיל מחובר בבגד ואינו נפרד לעולם מותר, ודוקא אם יש נקבים מותר אבל לתפור חוט אחד בבתי ידיו וכשפושטו מרחיבו וכשלובשו מותחו ומהדק בתי ידיו תפירה היא זאת דמה לי תפירה ליום אחד מה לי תפירה עולמית, רי"ד.</w:t>
      </w:r>
    </w:p>
  </w:footnote>
  <w:footnote w:id="3564">
    <w:p w14:paraId="611B9AF0"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ואז אפי' החוט תחוב במחט נקובה שרי (שבה"ל), אבל אם נמלך לפעמים להניחה כך לעולם אסור להדקן בשבת בכל גווני, מג"א (ס"ק י"ב-י"ג).</w:t>
      </w:r>
    </w:p>
  </w:footnote>
  <w:footnote w:id="3565">
    <w:p w14:paraId="7B13E125"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להחזיר מוכין שנפלו מן הכר לתוכן, רש"י.</w:t>
      </w:r>
    </w:p>
  </w:footnote>
  <w:footnote w:id="3566">
    <w:p w14:paraId="44B1413A"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שלא היו מעולם לתוכו - אסור, דהשתא עביד ליה מנא, רש"י. אך הרמב"ם פירש </w:t>
      </w:r>
      <w:r w:rsidRPr="008C1C8E">
        <w:rPr>
          <w:rFonts w:asciiTheme="minorBidi" w:hAnsiTheme="minorBidi"/>
          <w:sz w:val="16"/>
          <w:szCs w:val="16"/>
          <w:rtl/>
        </w:rPr>
        <w:t xml:space="preserve">(פכ"ב הכ"ג) </w:t>
      </w:r>
      <w:r w:rsidRPr="008C1C8E">
        <w:rPr>
          <w:rFonts w:asciiTheme="minorBidi" w:hAnsiTheme="minorBidi"/>
          <w:rtl/>
        </w:rPr>
        <w:t>שאסור גזירה שמא יתפור.</w:t>
      </w:r>
    </w:p>
  </w:footnote>
  <w:footnote w:id="3567">
    <w:p w14:paraId="5F20206A"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להחזירו לכר זה שנפלו ממנו, רש"י. </w:t>
      </w:r>
    </w:p>
  </w:footnote>
  <w:footnote w:id="3568">
    <w:p w14:paraId="6E88743F"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דהשתא עביד ליה מנא, רש"י, אך הרמב"ם (פכ"ב הכ"ג) כתב גזירה שמא יתפור.</w:t>
      </w:r>
    </w:p>
  </w:footnote>
  <w:footnote w:id="3569">
    <w:p w14:paraId="03E08AC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לפנינו איתא "רבא", אבל אם כן קשה כיצד פסקו הרמב"ם והרא"ש כאביי ולא כרבא דהרי הלכה כרבא בכל מקום חוץ מ-יע"ל קג"ם, ובאמת הרא"ש והרמב"ם גורסים "רבה" ואז שפיר הלכה כאביי דבתראה הוא, ע"פ מג"א (סקט"ו).</w:t>
      </w:r>
    </w:p>
  </w:footnote>
  <w:footnote w:id="3570">
    <w:p w14:paraId="5837B6F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שצבר מלח ממשרפות מים, דמתרגמינן חריצי ימא (יהושע יא) שממשיך לתוכו מים מן הים והחמה שורפתן והן נעשין מלח, ואותו חריץ קרי מילחתא, רש"י.</w:t>
      </w:r>
    </w:p>
  </w:footnote>
  <w:footnote w:id="3571">
    <w:p w14:paraId="6C7261E4"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שאף הוא כמאסף בשבלין הוא, רש"י.</w:t>
      </w:r>
    </w:p>
  </w:footnote>
  <w:footnote w:id="3572">
    <w:p w14:paraId="7B224AF4"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אבל עימור ליכא שאין עימור אלא בגדולי קרקע וה"ה דישה, מג"א (סקט"ו).</w:t>
      </w:r>
    </w:p>
  </w:footnote>
  <w:footnote w:id="3573">
    <w:p w14:paraId="6DA27ED4"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וצ"ע דלמה לא יתחייב בזה משום בונה כמ"ש ססי' שי"ט גבי המגבן וצ"ל דלא מקרי בונה אלא כשמכוין ליפותו ולהשוותו, מג"א</w:t>
      </w:r>
      <w:r w:rsidRPr="008C1C8E">
        <w:rPr>
          <w:rFonts w:asciiTheme="minorBidi" w:hAnsiTheme="minorBidi"/>
        </w:rPr>
        <w:t xml:space="preserve"> </w:t>
      </w:r>
      <w:r w:rsidRPr="008C1C8E">
        <w:rPr>
          <w:rFonts w:asciiTheme="minorBidi" w:hAnsiTheme="minorBidi"/>
          <w:rtl/>
        </w:rPr>
        <w:t>(סקי"ז).</w:t>
      </w:r>
    </w:p>
  </w:footnote>
  <w:footnote w:id="3574">
    <w:p w14:paraId="0DE88587"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ודוקא שקבצם ממקום שנפלו מן האילן אבל אם קבצם בבית לא, כדאמרינן בביצה דמעמיד ערימה לא הוי גמר מלאכה (כס"מ בשם הרמ"ך), מג"א (סקט"ז).</w:t>
      </w:r>
    </w:p>
  </w:footnote>
  <w:footnote w:id="3575">
    <w:p w14:paraId="2C573EEC"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היינו שלא ילחץ בידו על העיסה של השושומין אגוזים ודבש כדי להוציא את הדבש הבלוע בפנים. ויש מפרשים שעצם העירוב של הדבש עם השושומין והאגוזים היא פעולת החיבוץ. ועי' בסי' שיט סע יז שמובאת שם הלכה זו באורך.</w:t>
      </w:r>
    </w:p>
  </w:footnote>
  <w:footnote w:id="3576">
    <w:p w14:paraId="2A15A406"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צומח במים והויא לה זריעה, רש"י.</w:t>
      </w:r>
    </w:p>
  </w:footnote>
  <w:footnote w:id="3577">
    <w:p w14:paraId="1B424E2D"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זרע פשתן במים נפקא רירא מיניה ומדבקי אהדדי, רש"י.</w:t>
      </w:r>
    </w:p>
  </w:footnote>
  <w:footnote w:id="3578">
    <w:p w14:paraId="59BDDF93"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אי משום דמדבקי ברירייהו מחייבין להו בשלחים נמי עורות שאינן עבודין ונתנן במים רירא קנפקא מינייהו, רש"י.</w:t>
      </w:r>
    </w:p>
  </w:footnote>
  <w:footnote w:id="3579">
    <w:p w14:paraId="6436F253"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גבי זרע פשתן כי מדבקת ברירא דנפקי מינייהו הוי תולדות לישה אבל שלחים לא שייכא בדיבוקא דידהו ענין לישה, רש"י.</w:t>
      </w:r>
    </w:p>
  </w:footnote>
  <w:footnote w:id="3580">
    <w:p w14:paraId="2AFB57E2"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ונראה דוקא זרע קטן כי הני חייב משום לש משום דנתלין אהדדי כמו עיסה משא"כ בשורה חיטין ושעורים שאין נתלין אהדדי, ומשום הכי כתב הרמב"ם (פ"ח ה"ב) וב"י הביאו לעיל סוף סימן של"ו (עמ' תקמד ד"ה כתב הרמב"ם) דהשורה חיטין ושעורים וכיוצא בהן חייב משום זורע עכ"ל ובשורה פשתן ליכא לחיוביה משום זורע, פרישה (אות ב).</w:t>
      </w:r>
    </w:p>
  </w:footnote>
  <w:footnote w:id="3581">
    <w:p w14:paraId="07674B01"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כשצולין דגים על האסכלא שקורין גראדיל"א </w:t>
      </w:r>
      <w:r w:rsidRPr="008C1C8E">
        <w:rPr>
          <w:rFonts w:asciiTheme="minorBidi" w:hAnsiTheme="minorBidi"/>
          <w:sz w:val="16"/>
          <w:szCs w:val="16"/>
          <w:rtl/>
        </w:rPr>
        <w:t>(כעין שבכה שצולים עליה)</w:t>
      </w:r>
      <w:r w:rsidRPr="008C1C8E">
        <w:rPr>
          <w:rFonts w:asciiTheme="minorBidi" w:hAnsiTheme="minorBidi"/>
          <w:rtl/>
        </w:rPr>
        <w:t xml:space="preserve"> בלעז, חותכין קנים או קש שבלים או שוברין חרסים או חותכין נייר ושורין במים וסודרין הנייר על גב האסכלא מפני שהמתכת מתחמם ושורף את הדג, רש"י.</w:t>
      </w:r>
    </w:p>
  </w:footnote>
  <w:footnote w:id="3582">
    <w:p w14:paraId="20B506E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Fonts w:asciiTheme="minorBidi" w:hAnsiTheme="minorBidi"/>
          <w:rtl/>
        </w:rPr>
        <w:t xml:space="preserve"> כדי להניח עליהם וכה"ג, מ"ב (סק"מ).</w:t>
      </w:r>
    </w:p>
  </w:footnote>
  <w:footnote w:id="3583">
    <w:p w14:paraId="5BD7C0AF"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ומיירי בשאין מקפיד על המדה דאל"ה יש בו גם משום מחתך, ואם קורע נייר לקרעים כדי לקנח א"ע בהן או לשאר איזה תשמיש חייב משום קורע שהוא קורע ע"מ לתקן, וכדלקמן בסע' יד. ולקרוע אגרת המחותם אפילו אם יזהר שלא ישבור אותיות החתימה רק יקרע הנייר שסביבה ג"כ אסור לכו"ע ואפילו לומר ל</w:t>
      </w:r>
      <w:r>
        <w:rPr>
          <w:rFonts w:asciiTheme="minorBidi" w:hAnsiTheme="minorBidi"/>
          <w:rtl/>
        </w:rPr>
        <w:t>גוי</w:t>
      </w:r>
      <w:r w:rsidRPr="008C1C8E">
        <w:rPr>
          <w:rFonts w:asciiTheme="minorBidi" w:hAnsiTheme="minorBidi"/>
          <w:rtl/>
        </w:rPr>
        <w:t>יש ליזהר אם לא לצורך גדול ובאגודה כתוב שיאמר ל</w:t>
      </w:r>
      <w:r>
        <w:rPr>
          <w:rFonts w:asciiTheme="minorBidi" w:hAnsiTheme="minorBidi"/>
          <w:rtl/>
        </w:rPr>
        <w:t>גוי</w:t>
      </w:r>
      <w:r w:rsidRPr="008C1C8E">
        <w:rPr>
          <w:rFonts w:asciiTheme="minorBidi" w:hAnsiTheme="minorBidi"/>
          <w:rtl/>
        </w:rPr>
        <w:t>- "איני יכול לקרותו כל זמן שאין פתוח", ואם יבין ה</w:t>
      </w:r>
      <w:r>
        <w:rPr>
          <w:rFonts w:asciiTheme="minorBidi" w:hAnsiTheme="minorBidi"/>
          <w:rtl/>
        </w:rPr>
        <w:t>גוי</w:t>
      </w:r>
      <w:r w:rsidRPr="008C1C8E">
        <w:rPr>
          <w:rFonts w:asciiTheme="minorBidi" w:hAnsiTheme="minorBidi"/>
          <w:rtl/>
        </w:rPr>
        <w:t>מעצמו ויפתחנו לית לן בה, מ"ב (סקמ"א).</w:t>
      </w:r>
    </w:p>
  </w:footnote>
  <w:footnote w:id="3584">
    <w:p w14:paraId="7F07ECCF" w14:textId="77777777" w:rsidR="006A4BF8" w:rsidRPr="008C1C8E" w:rsidRDefault="006A4BF8" w:rsidP="00285819">
      <w:pPr>
        <w:pStyle w:val="a7"/>
        <w:rPr>
          <w:rFonts w:asciiTheme="minorBidi" w:hAnsiTheme="minorBidi"/>
        </w:rPr>
      </w:pPr>
      <w:r w:rsidRPr="008C1C8E">
        <w:rPr>
          <w:rStyle w:val="a9"/>
          <w:rFonts w:asciiTheme="minorBidi" w:hAnsiTheme="minorBidi"/>
        </w:rPr>
        <w:footnoteRef/>
      </w:r>
      <w:r w:rsidRPr="008C1C8E">
        <w:rPr>
          <w:rStyle w:val="a9"/>
          <w:rFonts w:asciiTheme="minorBidi" w:hAnsiTheme="minorBidi"/>
        </w:rPr>
        <w:footnoteRef/>
      </w:r>
      <w:r w:rsidRPr="008C1C8E">
        <w:rPr>
          <w:rFonts w:asciiTheme="minorBidi" w:hAnsiTheme="minorBidi"/>
          <w:rtl/>
        </w:rPr>
        <w:t xml:space="preserve"> דאם נתכוין לקלקל בלבד פטור אבל אסור.</w:t>
      </w:r>
    </w:p>
  </w:footnote>
  <w:footnote w:id="3585">
    <w:p w14:paraId="6E14CF56" w14:textId="77777777" w:rsidR="006A4BF8" w:rsidRPr="008C1C8E" w:rsidRDefault="006A4BF8" w:rsidP="00285819">
      <w:pPr>
        <w:pStyle w:val="a7"/>
        <w:rPr>
          <w:rFonts w:asciiTheme="minorBidi" w:hAnsiTheme="minorBidi"/>
          <w:rtl/>
        </w:rPr>
      </w:pPr>
      <w:r w:rsidRPr="008C1C8E">
        <w:rPr>
          <w:rStyle w:val="a9"/>
          <w:rFonts w:asciiTheme="minorBidi" w:hAnsiTheme="minorBidi"/>
        </w:rPr>
        <w:footnoteRef/>
      </w:r>
      <w:r w:rsidRPr="008C1C8E">
        <w:rPr>
          <w:rFonts w:asciiTheme="minorBidi" w:hAnsiTheme="minorBidi"/>
          <w:rtl/>
        </w:rPr>
        <w:t xml:space="preserve"> נ"ל דאם נדבקו הדפין להדדי ע"י שעוה או בשעת הקשירה מותר לפתחן כמ"ש סי' שי"ד ס"י דלא נעשה לקיום כל שכן הכא דנעשה ממילא, מג"א (סקי"ח).</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5F31A" w14:textId="77777777" w:rsidR="004B2E7C" w:rsidRDefault="004B2E7C" w:rsidP="001F2F31">
    <w:pPr>
      <w:pStyle w:val="a3"/>
      <w:jc w:val="center"/>
      <w:rPr>
        <w:rtl/>
      </w:rPr>
    </w:pPr>
  </w:p>
  <w:p w14:paraId="019C19FF" w14:textId="77777777" w:rsidR="004B2E7C" w:rsidRPr="00492B01" w:rsidRDefault="004B2E7C" w:rsidP="001F2F31">
    <w:pPr>
      <w:pStyle w:val="a3"/>
      <w:jc w:val="center"/>
      <w:rPr>
        <w:color w:val="A6A6A6" w:themeColor="background1" w:themeShade="A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00638" w14:textId="77777777" w:rsidR="004B2E7C" w:rsidRDefault="004B2E7C" w:rsidP="001F2F31">
    <w:pPr>
      <w:pStyle w:val="a3"/>
      <w:jc w:val="center"/>
      <w:rPr>
        <w:rtl/>
      </w:rPr>
    </w:pPr>
  </w:p>
  <w:p w14:paraId="5DAB6A3C" w14:textId="77777777" w:rsidR="004B2E7C" w:rsidRPr="00492B01" w:rsidRDefault="004B2E7C" w:rsidP="001F2F31">
    <w:pPr>
      <w:pStyle w:val="a3"/>
      <w:jc w:val="center"/>
      <w:rPr>
        <w:color w:val="A6A6A6" w:themeColor="background1" w:themeShade="A6"/>
      </w:rPr>
    </w:pPr>
    <w:r w:rsidRPr="00492B01">
      <w:rPr>
        <w:rFonts w:hint="cs"/>
        <w:color w:val="A6A6A6" w:themeColor="background1" w:themeShade="A6"/>
        <w:rtl/>
      </w:rPr>
      <w:t>- סימן ר</w:t>
    </w:r>
    <w:r>
      <w:rPr>
        <w:rFonts w:hint="cs"/>
        <w:color w:val="A6A6A6" w:themeColor="background1" w:themeShade="A6"/>
        <w:rtl/>
      </w:rPr>
      <w:t>נ</w:t>
    </w:r>
    <w:r w:rsidRPr="00492B01">
      <w:rPr>
        <w:rFonts w:hint="cs"/>
        <w:color w:val="A6A6A6" w:themeColor="background1" w:themeShade="A6"/>
        <w:rtl/>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56F9E" w14:textId="77777777" w:rsidR="004B2E7C" w:rsidRDefault="004B2E7C" w:rsidP="001F2F31">
    <w:pPr>
      <w:pStyle w:val="a3"/>
      <w:jc w:val="center"/>
      <w:rPr>
        <w:rtl/>
      </w:rPr>
    </w:pPr>
  </w:p>
  <w:p w14:paraId="2007EB40" w14:textId="77777777" w:rsidR="004B2E7C" w:rsidRPr="00492B01" w:rsidRDefault="004B2E7C" w:rsidP="001F2F31">
    <w:pPr>
      <w:pStyle w:val="a3"/>
      <w:jc w:val="center"/>
      <w:rPr>
        <w:color w:val="A6A6A6" w:themeColor="background1" w:themeShade="A6"/>
      </w:rPr>
    </w:pPr>
    <w:r w:rsidRPr="00492B01">
      <w:rPr>
        <w:rFonts w:hint="cs"/>
        <w:color w:val="A6A6A6" w:themeColor="background1" w:themeShade="A6"/>
        <w:rtl/>
      </w:rPr>
      <w:t>- סימן ר</w:t>
    </w:r>
    <w:r>
      <w:rPr>
        <w:rFonts w:hint="cs"/>
        <w:color w:val="A6A6A6" w:themeColor="background1" w:themeShade="A6"/>
        <w:rtl/>
      </w:rPr>
      <w:t>נא</w:t>
    </w:r>
    <w:r w:rsidRPr="00492B01">
      <w:rPr>
        <w:rFonts w:hint="cs"/>
        <w:color w:val="A6A6A6" w:themeColor="background1" w:themeShade="A6"/>
        <w:rtl/>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0D4F4" w14:textId="77777777" w:rsidR="004B2E7C" w:rsidRDefault="004B2E7C" w:rsidP="001F2F31">
    <w:pPr>
      <w:pStyle w:val="a3"/>
      <w:jc w:val="center"/>
      <w:rPr>
        <w:rtl/>
      </w:rPr>
    </w:pPr>
  </w:p>
  <w:p w14:paraId="41C644D2" w14:textId="77777777" w:rsidR="004B2E7C" w:rsidRPr="00492B01" w:rsidRDefault="004B2E7C" w:rsidP="001F2F31">
    <w:pPr>
      <w:pStyle w:val="a3"/>
      <w:jc w:val="center"/>
      <w:rPr>
        <w:color w:val="A6A6A6" w:themeColor="background1" w:themeShade="A6"/>
      </w:rPr>
    </w:pPr>
    <w:r w:rsidRPr="00492B01">
      <w:rPr>
        <w:rFonts w:hint="cs"/>
        <w:color w:val="A6A6A6" w:themeColor="background1" w:themeShade="A6"/>
        <w:rtl/>
      </w:rPr>
      <w:t>- סימן רנ</w:t>
    </w:r>
    <w:r>
      <w:rPr>
        <w:rFonts w:hint="cs"/>
        <w:color w:val="A6A6A6" w:themeColor="background1" w:themeShade="A6"/>
        <w:rtl/>
      </w:rPr>
      <w:t>ב</w:t>
    </w:r>
    <w:r w:rsidRPr="00492B01">
      <w:rPr>
        <w:rFonts w:hint="cs"/>
        <w:color w:val="A6A6A6" w:themeColor="background1" w:themeShade="A6"/>
        <w:rtl/>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91F3D" w14:textId="77777777" w:rsidR="004B2E7C" w:rsidRDefault="004B2E7C" w:rsidP="001F2F31">
    <w:pPr>
      <w:pStyle w:val="a3"/>
      <w:jc w:val="center"/>
      <w:rPr>
        <w:rtl/>
      </w:rPr>
    </w:pPr>
  </w:p>
  <w:p w14:paraId="4F004B57" w14:textId="77777777" w:rsidR="004B2E7C" w:rsidRPr="00492B01" w:rsidRDefault="004B2E7C" w:rsidP="001F2F31">
    <w:pPr>
      <w:pStyle w:val="a3"/>
      <w:jc w:val="center"/>
      <w:rPr>
        <w:color w:val="A6A6A6" w:themeColor="background1" w:themeShade="A6"/>
      </w:rPr>
    </w:pPr>
    <w:r w:rsidRPr="00492B01">
      <w:rPr>
        <w:rFonts w:hint="cs"/>
        <w:color w:val="A6A6A6" w:themeColor="background1" w:themeShade="A6"/>
        <w:rtl/>
      </w:rPr>
      <w:t>- סימן רנג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9AAC8" w14:textId="77777777" w:rsidR="004B2E7C" w:rsidRDefault="004B2E7C" w:rsidP="001F2F31">
    <w:pPr>
      <w:pStyle w:val="a3"/>
      <w:jc w:val="center"/>
      <w:rPr>
        <w:rtl/>
      </w:rPr>
    </w:pPr>
  </w:p>
  <w:p w14:paraId="6E19BC94" w14:textId="77777777" w:rsidR="004B2E7C" w:rsidRDefault="004B2E7C" w:rsidP="001F2F31">
    <w:pPr>
      <w:pStyle w:val="a3"/>
      <w:jc w:val="center"/>
    </w:pPr>
    <w:r>
      <w:rPr>
        <w:rFonts w:hint="cs"/>
        <w:rtl/>
      </w:rPr>
      <w:t>- סימן רנד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9F2E8" w14:textId="77777777" w:rsidR="004B2E7C" w:rsidRDefault="004B2E7C" w:rsidP="001F2F31">
    <w:pPr>
      <w:pStyle w:val="a3"/>
      <w:jc w:val="center"/>
      <w:rPr>
        <w:rtl/>
      </w:rPr>
    </w:pPr>
  </w:p>
  <w:p w14:paraId="1268AA4A" w14:textId="77777777" w:rsidR="004B2E7C" w:rsidRDefault="004B2E7C" w:rsidP="001F2F31">
    <w:pPr>
      <w:pStyle w:val="a3"/>
      <w:jc w:val="center"/>
    </w:pPr>
    <w:r>
      <w:rPr>
        <w:rFonts w:hint="cs"/>
        <w:rtl/>
      </w:rPr>
      <w:t>- סימן רנה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3EE5C" w14:textId="77777777" w:rsidR="004B2E7C" w:rsidRDefault="004B2E7C" w:rsidP="001F2F31">
    <w:pPr>
      <w:pStyle w:val="a3"/>
      <w:jc w:val="center"/>
      <w:rPr>
        <w:rtl/>
      </w:rPr>
    </w:pPr>
  </w:p>
  <w:p w14:paraId="620BF8AA" w14:textId="77777777" w:rsidR="004B2E7C" w:rsidRDefault="004B2E7C" w:rsidP="001F2F31">
    <w:pPr>
      <w:pStyle w:val="a3"/>
      <w:jc w:val="center"/>
    </w:pPr>
    <w:r>
      <w:rPr>
        <w:rFonts w:hint="cs"/>
        <w:rtl/>
      </w:rPr>
      <w:t>- סימן רנו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1EB0B" w14:textId="77777777" w:rsidR="004B2E7C" w:rsidRDefault="004B2E7C" w:rsidP="001F2F31">
    <w:pPr>
      <w:pStyle w:val="a3"/>
      <w:jc w:val="center"/>
      <w:rPr>
        <w:rtl/>
      </w:rPr>
    </w:pPr>
  </w:p>
  <w:p w14:paraId="0FB2C9B6" w14:textId="77777777" w:rsidR="004B2E7C" w:rsidRDefault="004B2E7C" w:rsidP="001F2F31">
    <w:pPr>
      <w:pStyle w:val="a3"/>
      <w:jc w:val="center"/>
    </w:pPr>
    <w:r>
      <w:rPr>
        <w:rFonts w:hint="cs"/>
        <w:rtl/>
      </w:rPr>
      <w:t>- סימן רנז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A38EC" w14:textId="77777777" w:rsidR="004B2E7C" w:rsidRDefault="004B2E7C" w:rsidP="001F2F31">
    <w:pPr>
      <w:pStyle w:val="a3"/>
      <w:jc w:val="center"/>
      <w:rPr>
        <w:rtl/>
      </w:rPr>
    </w:pPr>
  </w:p>
  <w:p w14:paraId="133675BA" w14:textId="77777777" w:rsidR="004B2E7C" w:rsidRDefault="004B2E7C" w:rsidP="001F2F31">
    <w:pPr>
      <w:pStyle w:val="a3"/>
      <w:jc w:val="center"/>
    </w:pPr>
    <w:r>
      <w:rPr>
        <w:rFonts w:hint="cs"/>
        <w:rtl/>
      </w:rPr>
      <w:t>- סימן רנח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31A04" w14:textId="77777777" w:rsidR="004B2E7C" w:rsidRDefault="004B2E7C" w:rsidP="001F2F31">
    <w:pPr>
      <w:pStyle w:val="a3"/>
      <w:jc w:val="center"/>
      <w:rPr>
        <w:rtl/>
      </w:rPr>
    </w:pPr>
  </w:p>
  <w:p w14:paraId="1EB9CB85" w14:textId="77777777" w:rsidR="004B2E7C" w:rsidRDefault="004B2E7C" w:rsidP="001F2F31">
    <w:pPr>
      <w:pStyle w:val="a3"/>
      <w:jc w:val="center"/>
    </w:pPr>
    <w:r>
      <w:rPr>
        <w:rFonts w:hint="cs"/>
        <w:rtl/>
      </w:rPr>
      <w:t>- סימן רנט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D6841" w14:textId="77777777" w:rsidR="004B2E7C" w:rsidRDefault="004B2E7C" w:rsidP="001F2F31">
    <w:pPr>
      <w:pStyle w:val="a3"/>
      <w:jc w:val="center"/>
      <w:rPr>
        <w:rtl/>
      </w:rPr>
    </w:pPr>
  </w:p>
  <w:p w14:paraId="74054D04" w14:textId="77777777" w:rsidR="004B2E7C" w:rsidRPr="00492B01" w:rsidRDefault="004B2E7C" w:rsidP="001F2F31">
    <w:pPr>
      <w:pStyle w:val="a3"/>
      <w:jc w:val="center"/>
      <w:rPr>
        <w:color w:val="A6A6A6" w:themeColor="background1" w:themeShade="A6"/>
      </w:rPr>
    </w:pPr>
    <w:r w:rsidRPr="00492B01">
      <w:rPr>
        <w:rFonts w:hint="cs"/>
        <w:color w:val="A6A6A6" w:themeColor="background1" w:themeShade="A6"/>
        <w:rtl/>
      </w:rPr>
      <w:t>- סימן ר</w:t>
    </w:r>
    <w:r>
      <w:rPr>
        <w:rFonts w:hint="cs"/>
        <w:color w:val="A6A6A6" w:themeColor="background1" w:themeShade="A6"/>
        <w:rtl/>
      </w:rPr>
      <w:t>מב</w:t>
    </w:r>
    <w:r w:rsidRPr="00492B01">
      <w:rPr>
        <w:rFonts w:hint="cs"/>
        <w:color w:val="A6A6A6" w:themeColor="background1" w:themeShade="A6"/>
        <w:rtl/>
      </w:rP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8A960" w14:textId="77777777" w:rsidR="004B2E7C" w:rsidRDefault="004B2E7C" w:rsidP="001F2F31">
    <w:pPr>
      <w:pStyle w:val="a3"/>
      <w:jc w:val="center"/>
      <w:rPr>
        <w:rtl/>
      </w:rPr>
    </w:pPr>
  </w:p>
  <w:p w14:paraId="3D368850" w14:textId="77777777" w:rsidR="004B2E7C" w:rsidRDefault="004B2E7C" w:rsidP="001F2F31">
    <w:pPr>
      <w:pStyle w:val="a3"/>
      <w:jc w:val="center"/>
    </w:pPr>
    <w:r>
      <w:rPr>
        <w:rFonts w:hint="cs"/>
        <w:rtl/>
      </w:rPr>
      <w:t>- סימן רס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8679F" w14:textId="77777777" w:rsidR="004B2E7C" w:rsidRDefault="004B2E7C" w:rsidP="001F2F31">
    <w:pPr>
      <w:pStyle w:val="a3"/>
      <w:jc w:val="center"/>
      <w:rPr>
        <w:rtl/>
      </w:rPr>
    </w:pPr>
  </w:p>
  <w:p w14:paraId="365C2796" w14:textId="77777777" w:rsidR="004B2E7C" w:rsidRDefault="004B2E7C" w:rsidP="001F2F31">
    <w:pPr>
      <w:pStyle w:val="a3"/>
      <w:jc w:val="center"/>
    </w:pPr>
    <w:r>
      <w:rPr>
        <w:rFonts w:hint="cs"/>
        <w:rtl/>
      </w:rPr>
      <w:t>- סימן רסא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29CC" w14:textId="77777777" w:rsidR="004B2E7C" w:rsidRDefault="004B2E7C" w:rsidP="001F2F31">
    <w:pPr>
      <w:pStyle w:val="a3"/>
      <w:jc w:val="center"/>
      <w:rPr>
        <w:rtl/>
      </w:rPr>
    </w:pPr>
  </w:p>
  <w:p w14:paraId="5A05190D" w14:textId="77777777" w:rsidR="004B2E7C" w:rsidRDefault="004B2E7C" w:rsidP="001F2F31">
    <w:pPr>
      <w:pStyle w:val="a3"/>
      <w:jc w:val="center"/>
    </w:pPr>
    <w:r>
      <w:rPr>
        <w:rFonts w:hint="cs"/>
        <w:rtl/>
      </w:rPr>
      <w:t>- סימן רסב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0F03C" w14:textId="77777777" w:rsidR="004B2E7C" w:rsidRDefault="004B2E7C" w:rsidP="001F2F31">
    <w:pPr>
      <w:pStyle w:val="a3"/>
      <w:jc w:val="center"/>
      <w:rPr>
        <w:rtl/>
      </w:rPr>
    </w:pPr>
  </w:p>
  <w:p w14:paraId="3F6CF115" w14:textId="77777777" w:rsidR="004B2E7C" w:rsidRDefault="004B2E7C" w:rsidP="001F2F31">
    <w:pPr>
      <w:pStyle w:val="a3"/>
      <w:jc w:val="center"/>
    </w:pPr>
    <w:r>
      <w:rPr>
        <w:rFonts w:hint="cs"/>
        <w:rtl/>
      </w:rPr>
      <w:t>- סימן רסג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561C3" w14:textId="77777777" w:rsidR="004B2E7C" w:rsidRDefault="004B2E7C" w:rsidP="001F2F31">
    <w:pPr>
      <w:pStyle w:val="a3"/>
      <w:jc w:val="center"/>
      <w:rPr>
        <w:rtl/>
      </w:rPr>
    </w:pPr>
  </w:p>
  <w:p w14:paraId="4FE46CC0" w14:textId="77777777" w:rsidR="004B2E7C" w:rsidRDefault="004B2E7C" w:rsidP="001F2F31">
    <w:pPr>
      <w:pStyle w:val="a3"/>
      <w:jc w:val="center"/>
    </w:pPr>
    <w:r>
      <w:rPr>
        <w:rFonts w:hint="cs"/>
        <w:rtl/>
      </w:rPr>
      <w:t>- סימן רסד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51012" w14:textId="77777777" w:rsidR="004B2E7C" w:rsidRDefault="004B2E7C" w:rsidP="001F2F31">
    <w:pPr>
      <w:pStyle w:val="a3"/>
      <w:jc w:val="center"/>
      <w:rPr>
        <w:rtl/>
      </w:rPr>
    </w:pPr>
  </w:p>
  <w:p w14:paraId="17F648AD" w14:textId="77777777" w:rsidR="004B2E7C" w:rsidRDefault="004B2E7C" w:rsidP="001F2F31">
    <w:pPr>
      <w:pStyle w:val="a3"/>
      <w:jc w:val="center"/>
    </w:pPr>
    <w:r>
      <w:rPr>
        <w:rFonts w:hint="cs"/>
        <w:rtl/>
      </w:rPr>
      <w:t>- סימן רסה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EE8CB" w14:textId="77777777" w:rsidR="004B2E7C" w:rsidRDefault="004B2E7C" w:rsidP="001F2F31">
    <w:pPr>
      <w:pStyle w:val="a3"/>
      <w:jc w:val="center"/>
      <w:rPr>
        <w:rtl/>
      </w:rPr>
    </w:pPr>
  </w:p>
  <w:p w14:paraId="12B56C2C" w14:textId="77777777" w:rsidR="004B2E7C" w:rsidRDefault="004B2E7C" w:rsidP="001F2F31">
    <w:pPr>
      <w:pStyle w:val="a3"/>
      <w:jc w:val="center"/>
    </w:pPr>
    <w:r>
      <w:rPr>
        <w:rFonts w:hint="cs"/>
        <w:rtl/>
      </w:rPr>
      <w:t>- סימן רסו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5FA6A" w14:textId="77777777" w:rsidR="004B2E7C" w:rsidRDefault="004B2E7C" w:rsidP="001F2F31">
    <w:pPr>
      <w:pStyle w:val="a3"/>
      <w:jc w:val="center"/>
      <w:rPr>
        <w:rtl/>
      </w:rPr>
    </w:pPr>
  </w:p>
  <w:p w14:paraId="0604751A" w14:textId="77777777" w:rsidR="004B2E7C" w:rsidRDefault="004B2E7C" w:rsidP="001F2F31">
    <w:pPr>
      <w:pStyle w:val="a3"/>
      <w:jc w:val="center"/>
    </w:pPr>
    <w:r>
      <w:rPr>
        <w:rFonts w:hint="cs"/>
        <w:rtl/>
      </w:rPr>
      <w:t>- סימן רסז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5B798" w14:textId="77777777" w:rsidR="004B2E7C" w:rsidRDefault="004B2E7C" w:rsidP="001F2F31">
    <w:pPr>
      <w:pStyle w:val="a3"/>
      <w:jc w:val="center"/>
      <w:rPr>
        <w:rtl/>
      </w:rPr>
    </w:pPr>
  </w:p>
  <w:p w14:paraId="2ED1135E" w14:textId="77777777" w:rsidR="004B2E7C" w:rsidRDefault="004B2E7C" w:rsidP="001F2F31">
    <w:pPr>
      <w:pStyle w:val="a3"/>
      <w:jc w:val="center"/>
    </w:pPr>
    <w:r>
      <w:rPr>
        <w:rFonts w:hint="cs"/>
        <w:rtl/>
      </w:rPr>
      <w:t>- סימן רסח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3AC56" w14:textId="77777777" w:rsidR="004B2E7C" w:rsidRDefault="004B2E7C" w:rsidP="001F2F31">
    <w:pPr>
      <w:pStyle w:val="a3"/>
      <w:jc w:val="center"/>
      <w:rPr>
        <w:rtl/>
      </w:rPr>
    </w:pPr>
  </w:p>
  <w:p w14:paraId="73F7285F" w14:textId="77777777" w:rsidR="004B2E7C" w:rsidRDefault="004B2E7C" w:rsidP="001F2F31">
    <w:pPr>
      <w:pStyle w:val="a3"/>
      <w:jc w:val="center"/>
    </w:pPr>
    <w:r>
      <w:rPr>
        <w:rFonts w:hint="cs"/>
        <w:rtl/>
      </w:rPr>
      <w:t>- סימן רסט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761D9" w14:textId="77777777" w:rsidR="004B2E7C" w:rsidRDefault="004B2E7C" w:rsidP="001F2F31">
    <w:pPr>
      <w:pStyle w:val="a3"/>
      <w:jc w:val="center"/>
      <w:rPr>
        <w:rtl/>
      </w:rPr>
    </w:pPr>
  </w:p>
  <w:p w14:paraId="3E21A6FC" w14:textId="77777777" w:rsidR="004B2E7C" w:rsidRPr="00492B01" w:rsidRDefault="004B2E7C" w:rsidP="001F2F31">
    <w:pPr>
      <w:pStyle w:val="a3"/>
      <w:jc w:val="center"/>
      <w:rPr>
        <w:color w:val="A6A6A6" w:themeColor="background1" w:themeShade="A6"/>
      </w:rPr>
    </w:pPr>
    <w:r w:rsidRPr="00492B01">
      <w:rPr>
        <w:rFonts w:hint="cs"/>
        <w:color w:val="A6A6A6" w:themeColor="background1" w:themeShade="A6"/>
        <w:rtl/>
      </w:rPr>
      <w:t>- סימן ר</w:t>
    </w:r>
    <w:r>
      <w:rPr>
        <w:rFonts w:hint="cs"/>
        <w:color w:val="A6A6A6" w:themeColor="background1" w:themeShade="A6"/>
        <w:rtl/>
      </w:rPr>
      <w:t>מג</w:t>
    </w:r>
    <w:r w:rsidRPr="00492B01">
      <w:rPr>
        <w:rFonts w:hint="cs"/>
        <w:color w:val="A6A6A6" w:themeColor="background1" w:themeShade="A6"/>
        <w:rtl/>
      </w:rPr>
      <w:t xml:space="preserve">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9A1D1" w14:textId="77777777" w:rsidR="004B2E7C" w:rsidRDefault="004B2E7C" w:rsidP="001F2F31">
    <w:pPr>
      <w:pStyle w:val="a3"/>
      <w:jc w:val="center"/>
      <w:rPr>
        <w:rtl/>
      </w:rPr>
    </w:pPr>
  </w:p>
  <w:p w14:paraId="6771C3BD" w14:textId="77777777" w:rsidR="004B2E7C" w:rsidRDefault="004B2E7C" w:rsidP="001F2F31">
    <w:pPr>
      <w:pStyle w:val="a3"/>
      <w:jc w:val="center"/>
    </w:pPr>
    <w:r>
      <w:rPr>
        <w:rFonts w:hint="cs"/>
        <w:rtl/>
      </w:rPr>
      <w:t>- סימן ער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BAB67" w14:textId="77777777" w:rsidR="004B2E7C" w:rsidRDefault="004B2E7C" w:rsidP="001F2F31">
    <w:pPr>
      <w:pStyle w:val="a3"/>
      <w:jc w:val="center"/>
      <w:rPr>
        <w:rtl/>
      </w:rPr>
    </w:pPr>
  </w:p>
  <w:p w14:paraId="141B706D" w14:textId="77777777" w:rsidR="004B2E7C" w:rsidRDefault="004B2E7C" w:rsidP="001F2F31">
    <w:pPr>
      <w:pStyle w:val="a3"/>
      <w:jc w:val="center"/>
    </w:pPr>
    <w:r>
      <w:rPr>
        <w:rFonts w:hint="cs"/>
        <w:rtl/>
      </w:rPr>
      <w:t>- סימן רעא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B38C6" w14:textId="77777777" w:rsidR="004B2E7C" w:rsidRDefault="004B2E7C" w:rsidP="001F2F31">
    <w:pPr>
      <w:pStyle w:val="a3"/>
      <w:jc w:val="center"/>
      <w:rPr>
        <w:rtl/>
      </w:rPr>
    </w:pPr>
  </w:p>
  <w:p w14:paraId="120DFB25" w14:textId="77777777" w:rsidR="004B2E7C" w:rsidRDefault="004B2E7C" w:rsidP="001F2F31">
    <w:pPr>
      <w:pStyle w:val="a3"/>
      <w:jc w:val="center"/>
    </w:pPr>
    <w:r>
      <w:rPr>
        <w:rFonts w:hint="cs"/>
        <w:rtl/>
      </w:rPr>
      <w:t>- סימן ערב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42B0" w14:textId="77777777" w:rsidR="004B2E7C" w:rsidRDefault="004B2E7C" w:rsidP="001F2F31">
    <w:pPr>
      <w:pStyle w:val="a3"/>
      <w:jc w:val="center"/>
      <w:rPr>
        <w:rtl/>
      </w:rPr>
    </w:pPr>
  </w:p>
  <w:p w14:paraId="17EE47EF" w14:textId="77777777" w:rsidR="004B2E7C" w:rsidRDefault="004B2E7C" w:rsidP="001F2F31">
    <w:pPr>
      <w:pStyle w:val="a3"/>
      <w:jc w:val="center"/>
    </w:pPr>
    <w:r>
      <w:rPr>
        <w:rFonts w:hint="cs"/>
        <w:rtl/>
      </w:rPr>
      <w:t>- סימן רעג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B63B5" w14:textId="77777777" w:rsidR="004B2E7C" w:rsidRDefault="004B2E7C" w:rsidP="001F2F31">
    <w:pPr>
      <w:pStyle w:val="a3"/>
      <w:jc w:val="center"/>
      <w:rPr>
        <w:rtl/>
      </w:rPr>
    </w:pPr>
  </w:p>
  <w:p w14:paraId="5E7CFD08" w14:textId="77777777" w:rsidR="004B2E7C" w:rsidRDefault="004B2E7C" w:rsidP="001F2F31">
    <w:pPr>
      <w:pStyle w:val="a3"/>
      <w:jc w:val="center"/>
    </w:pPr>
    <w:r>
      <w:rPr>
        <w:rFonts w:hint="cs"/>
        <w:rtl/>
      </w:rPr>
      <w:t>- סימן רעד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E5611" w14:textId="77777777" w:rsidR="004B2E7C" w:rsidRDefault="004B2E7C" w:rsidP="001F2F31">
    <w:pPr>
      <w:pStyle w:val="a3"/>
      <w:jc w:val="center"/>
      <w:rPr>
        <w:rtl/>
      </w:rPr>
    </w:pPr>
  </w:p>
  <w:p w14:paraId="5B58B04D" w14:textId="77777777" w:rsidR="004B2E7C" w:rsidRDefault="004B2E7C" w:rsidP="001F2F31">
    <w:pPr>
      <w:pStyle w:val="a3"/>
      <w:jc w:val="center"/>
    </w:pPr>
    <w:r>
      <w:rPr>
        <w:rFonts w:hint="cs"/>
        <w:rtl/>
      </w:rPr>
      <w:t>- סימן רעה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C1E16" w14:textId="77777777" w:rsidR="004B2E7C" w:rsidRDefault="004B2E7C" w:rsidP="001F2F31">
    <w:pPr>
      <w:pStyle w:val="a3"/>
      <w:jc w:val="center"/>
      <w:rPr>
        <w:rtl/>
      </w:rPr>
    </w:pPr>
  </w:p>
  <w:p w14:paraId="5B3AF101" w14:textId="77777777" w:rsidR="004B2E7C" w:rsidRDefault="004B2E7C" w:rsidP="001F2F31">
    <w:pPr>
      <w:pStyle w:val="a3"/>
      <w:jc w:val="center"/>
    </w:pPr>
    <w:r>
      <w:rPr>
        <w:rFonts w:hint="cs"/>
        <w:rtl/>
      </w:rPr>
      <w:t>- סימן רעו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00341" w14:textId="77777777" w:rsidR="004B2E7C" w:rsidRDefault="004B2E7C" w:rsidP="001F2F31">
    <w:pPr>
      <w:pStyle w:val="a3"/>
      <w:jc w:val="center"/>
      <w:rPr>
        <w:rtl/>
      </w:rPr>
    </w:pPr>
  </w:p>
  <w:p w14:paraId="5F69B63E" w14:textId="77777777" w:rsidR="004B2E7C" w:rsidRDefault="004B2E7C" w:rsidP="001F2F31">
    <w:pPr>
      <w:pStyle w:val="a3"/>
      <w:jc w:val="center"/>
    </w:pPr>
    <w:r>
      <w:rPr>
        <w:rFonts w:hint="cs"/>
        <w:rtl/>
      </w:rPr>
      <w:t>- סימן רעח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12E94" w14:textId="77777777" w:rsidR="004B2E7C" w:rsidRDefault="004B2E7C" w:rsidP="001F2F31">
    <w:pPr>
      <w:pStyle w:val="a3"/>
      <w:jc w:val="center"/>
      <w:rPr>
        <w:rtl/>
      </w:rPr>
    </w:pPr>
  </w:p>
  <w:p w14:paraId="5424D907" w14:textId="77777777" w:rsidR="004B2E7C" w:rsidRDefault="004B2E7C" w:rsidP="001F2F31">
    <w:pPr>
      <w:pStyle w:val="a3"/>
      <w:jc w:val="center"/>
    </w:pPr>
    <w:r>
      <w:rPr>
        <w:rFonts w:hint="cs"/>
        <w:rtl/>
      </w:rPr>
      <w:t>- סימן רעט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1E6E" w14:textId="77777777" w:rsidR="004B2E7C" w:rsidRDefault="004B2E7C" w:rsidP="001F2F31">
    <w:pPr>
      <w:pStyle w:val="a3"/>
      <w:jc w:val="center"/>
      <w:rPr>
        <w:rtl/>
      </w:rPr>
    </w:pPr>
  </w:p>
  <w:p w14:paraId="5F281BBB" w14:textId="77777777" w:rsidR="004B2E7C" w:rsidRDefault="004B2E7C" w:rsidP="001F2F31">
    <w:pPr>
      <w:pStyle w:val="a3"/>
      <w:jc w:val="center"/>
    </w:pPr>
    <w:r>
      <w:rPr>
        <w:rFonts w:hint="cs"/>
        <w:rtl/>
      </w:rPr>
      <w:t>- סימן רפ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23868" w14:textId="77777777" w:rsidR="004B2E7C" w:rsidRDefault="004B2E7C" w:rsidP="001F2F31">
    <w:pPr>
      <w:pStyle w:val="a3"/>
      <w:jc w:val="center"/>
      <w:rPr>
        <w:rtl/>
      </w:rPr>
    </w:pPr>
  </w:p>
  <w:p w14:paraId="1F3AF494" w14:textId="77777777" w:rsidR="004B2E7C" w:rsidRPr="00492B01" w:rsidRDefault="004B2E7C" w:rsidP="001F2F31">
    <w:pPr>
      <w:pStyle w:val="a3"/>
      <w:jc w:val="center"/>
      <w:rPr>
        <w:color w:val="A6A6A6" w:themeColor="background1" w:themeShade="A6"/>
      </w:rPr>
    </w:pPr>
    <w:r w:rsidRPr="00492B01">
      <w:rPr>
        <w:rFonts w:hint="cs"/>
        <w:color w:val="A6A6A6" w:themeColor="background1" w:themeShade="A6"/>
        <w:rtl/>
      </w:rPr>
      <w:t>- סימן ר</w:t>
    </w:r>
    <w:r>
      <w:rPr>
        <w:rFonts w:hint="cs"/>
        <w:color w:val="A6A6A6" w:themeColor="background1" w:themeShade="A6"/>
        <w:rtl/>
      </w:rPr>
      <w:t>מד</w:t>
    </w:r>
    <w:r w:rsidRPr="00492B01">
      <w:rPr>
        <w:rFonts w:hint="cs"/>
        <w:color w:val="A6A6A6" w:themeColor="background1" w:themeShade="A6"/>
        <w:rtl/>
      </w:rPr>
      <w:t xml:space="preserve">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BD0A2" w14:textId="77777777" w:rsidR="004B2E7C" w:rsidRDefault="004B2E7C" w:rsidP="001F2F31">
    <w:pPr>
      <w:pStyle w:val="a3"/>
      <w:jc w:val="center"/>
      <w:rPr>
        <w:rtl/>
      </w:rPr>
    </w:pPr>
  </w:p>
  <w:p w14:paraId="030F77D3" w14:textId="77777777" w:rsidR="004B2E7C" w:rsidRDefault="004B2E7C" w:rsidP="001F2F31">
    <w:pPr>
      <w:pStyle w:val="a3"/>
      <w:jc w:val="center"/>
    </w:pPr>
    <w:r>
      <w:rPr>
        <w:rFonts w:hint="cs"/>
        <w:rtl/>
      </w:rPr>
      <w:t>- סימן רפא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418D5" w14:textId="77777777" w:rsidR="004B2E7C" w:rsidRDefault="004B2E7C" w:rsidP="001F2F31">
    <w:pPr>
      <w:pStyle w:val="a3"/>
      <w:jc w:val="center"/>
      <w:rPr>
        <w:rtl/>
      </w:rPr>
    </w:pPr>
  </w:p>
  <w:p w14:paraId="51997776" w14:textId="77777777" w:rsidR="004B2E7C" w:rsidRDefault="004B2E7C" w:rsidP="001F2F31">
    <w:pPr>
      <w:pStyle w:val="a3"/>
      <w:jc w:val="center"/>
    </w:pPr>
    <w:r>
      <w:rPr>
        <w:rFonts w:hint="cs"/>
        <w:rtl/>
      </w:rPr>
      <w:t>- סימן רפב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1BE26" w14:textId="77777777" w:rsidR="004B2E7C" w:rsidRDefault="004B2E7C" w:rsidP="001F2F31">
    <w:pPr>
      <w:pStyle w:val="a3"/>
      <w:jc w:val="center"/>
      <w:rPr>
        <w:rtl/>
      </w:rPr>
    </w:pPr>
  </w:p>
  <w:p w14:paraId="6EB873AB" w14:textId="77777777" w:rsidR="004B2E7C" w:rsidRDefault="004B2E7C" w:rsidP="001F2F31">
    <w:pPr>
      <w:pStyle w:val="a3"/>
      <w:jc w:val="center"/>
    </w:pPr>
    <w:r>
      <w:rPr>
        <w:rFonts w:hint="cs"/>
        <w:rtl/>
      </w:rPr>
      <w:t>- סימן רפג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B4450" w14:textId="77777777" w:rsidR="004B2E7C" w:rsidRDefault="004B2E7C" w:rsidP="001F2F31">
    <w:pPr>
      <w:pStyle w:val="a3"/>
      <w:jc w:val="center"/>
      <w:rPr>
        <w:rtl/>
      </w:rPr>
    </w:pPr>
  </w:p>
  <w:p w14:paraId="51586A75" w14:textId="77777777" w:rsidR="004B2E7C" w:rsidRDefault="004B2E7C" w:rsidP="001F2F31">
    <w:pPr>
      <w:pStyle w:val="a3"/>
      <w:jc w:val="center"/>
    </w:pPr>
    <w:r>
      <w:rPr>
        <w:rFonts w:hint="cs"/>
        <w:rtl/>
      </w:rPr>
      <w:t>- סימן רפד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60C97" w14:textId="77777777" w:rsidR="004B2E7C" w:rsidRDefault="004B2E7C" w:rsidP="001F2F31">
    <w:pPr>
      <w:pStyle w:val="a3"/>
      <w:jc w:val="center"/>
      <w:rPr>
        <w:rtl/>
      </w:rPr>
    </w:pPr>
  </w:p>
  <w:p w14:paraId="55BDC250" w14:textId="77777777" w:rsidR="004B2E7C" w:rsidRDefault="004B2E7C" w:rsidP="001F2F31">
    <w:pPr>
      <w:pStyle w:val="a3"/>
      <w:jc w:val="center"/>
    </w:pPr>
    <w:r>
      <w:rPr>
        <w:rFonts w:hint="cs"/>
        <w:rtl/>
      </w:rPr>
      <w:t>- סימן רפה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1065F" w14:textId="77777777" w:rsidR="004B2E7C" w:rsidRDefault="004B2E7C" w:rsidP="001F2F31">
    <w:pPr>
      <w:pStyle w:val="a3"/>
      <w:jc w:val="center"/>
      <w:rPr>
        <w:rtl/>
      </w:rPr>
    </w:pPr>
  </w:p>
  <w:p w14:paraId="1E3E4600" w14:textId="77777777" w:rsidR="004B2E7C" w:rsidRDefault="004B2E7C" w:rsidP="001F2F31">
    <w:pPr>
      <w:pStyle w:val="a3"/>
      <w:jc w:val="center"/>
    </w:pPr>
    <w:r>
      <w:rPr>
        <w:rFonts w:hint="cs"/>
        <w:rtl/>
      </w:rPr>
      <w:t>- סימן רפו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C322" w14:textId="77777777" w:rsidR="004B2E7C" w:rsidRDefault="004B2E7C" w:rsidP="001F2F31">
    <w:pPr>
      <w:pStyle w:val="a3"/>
      <w:jc w:val="center"/>
      <w:rPr>
        <w:rtl/>
      </w:rPr>
    </w:pPr>
  </w:p>
  <w:p w14:paraId="6987C5D1" w14:textId="77777777" w:rsidR="004B2E7C" w:rsidRDefault="004B2E7C" w:rsidP="001F2F31">
    <w:pPr>
      <w:pStyle w:val="a3"/>
      <w:jc w:val="center"/>
    </w:pPr>
    <w:r>
      <w:rPr>
        <w:rFonts w:hint="cs"/>
        <w:rtl/>
      </w:rPr>
      <w:t>- סימן רפז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91445" w14:textId="77777777" w:rsidR="004B2E7C" w:rsidRDefault="004B2E7C" w:rsidP="001F2F31">
    <w:pPr>
      <w:pStyle w:val="a3"/>
      <w:jc w:val="center"/>
      <w:rPr>
        <w:rtl/>
      </w:rPr>
    </w:pPr>
  </w:p>
  <w:p w14:paraId="05FB5870" w14:textId="77777777" w:rsidR="004B2E7C" w:rsidRDefault="004B2E7C" w:rsidP="001F2F31">
    <w:pPr>
      <w:pStyle w:val="a3"/>
      <w:jc w:val="center"/>
    </w:pPr>
    <w:r>
      <w:rPr>
        <w:rFonts w:hint="cs"/>
        <w:rtl/>
      </w:rPr>
      <w:t>- סימן רפח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57094" w14:textId="77777777" w:rsidR="004B2E7C" w:rsidRDefault="004B2E7C" w:rsidP="001F2F31">
    <w:pPr>
      <w:pStyle w:val="a3"/>
      <w:jc w:val="center"/>
      <w:rPr>
        <w:rtl/>
      </w:rPr>
    </w:pPr>
  </w:p>
  <w:p w14:paraId="3D5CB715" w14:textId="77777777" w:rsidR="004B2E7C" w:rsidRDefault="004B2E7C" w:rsidP="001F2F31">
    <w:pPr>
      <w:pStyle w:val="a3"/>
      <w:jc w:val="center"/>
    </w:pPr>
    <w:r>
      <w:rPr>
        <w:rFonts w:hint="cs"/>
        <w:rtl/>
      </w:rPr>
      <w:t>- סימן רפט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63F56" w14:textId="77777777" w:rsidR="004B2E7C" w:rsidRDefault="004B2E7C" w:rsidP="001F2F31">
    <w:pPr>
      <w:pStyle w:val="a3"/>
      <w:jc w:val="center"/>
      <w:rPr>
        <w:rtl/>
      </w:rPr>
    </w:pPr>
  </w:p>
  <w:p w14:paraId="7A18B834" w14:textId="77777777" w:rsidR="004B2E7C" w:rsidRDefault="004B2E7C" w:rsidP="001F2F31">
    <w:pPr>
      <w:pStyle w:val="a3"/>
      <w:jc w:val="center"/>
    </w:pPr>
    <w:r>
      <w:rPr>
        <w:rFonts w:hint="cs"/>
        <w:rtl/>
      </w:rPr>
      <w:t>- סימן רצ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7B9FC" w14:textId="77777777" w:rsidR="004B2E7C" w:rsidRDefault="004B2E7C" w:rsidP="001F2F31">
    <w:pPr>
      <w:pStyle w:val="a3"/>
      <w:jc w:val="center"/>
      <w:rPr>
        <w:rtl/>
      </w:rPr>
    </w:pPr>
  </w:p>
  <w:p w14:paraId="0376BD43" w14:textId="77777777" w:rsidR="004B2E7C" w:rsidRPr="00492B01" w:rsidRDefault="004B2E7C" w:rsidP="001F2F31">
    <w:pPr>
      <w:pStyle w:val="a3"/>
      <w:jc w:val="center"/>
      <w:rPr>
        <w:color w:val="A6A6A6" w:themeColor="background1" w:themeShade="A6"/>
      </w:rPr>
    </w:pPr>
    <w:r w:rsidRPr="00492B01">
      <w:rPr>
        <w:rFonts w:hint="cs"/>
        <w:color w:val="A6A6A6" w:themeColor="background1" w:themeShade="A6"/>
        <w:rtl/>
      </w:rPr>
      <w:t>- סימן ר</w:t>
    </w:r>
    <w:r>
      <w:rPr>
        <w:rFonts w:hint="cs"/>
        <w:color w:val="A6A6A6" w:themeColor="background1" w:themeShade="A6"/>
        <w:rtl/>
      </w:rPr>
      <w:t>מה</w:t>
    </w:r>
    <w:r w:rsidRPr="00492B01">
      <w:rPr>
        <w:rFonts w:hint="cs"/>
        <w:color w:val="A6A6A6" w:themeColor="background1" w:themeShade="A6"/>
        <w:rtl/>
      </w:rPr>
      <w:t xml:space="preserve">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8CF19" w14:textId="77777777" w:rsidR="004B2E7C" w:rsidRDefault="004B2E7C" w:rsidP="001F2F31">
    <w:pPr>
      <w:pStyle w:val="a3"/>
      <w:jc w:val="center"/>
      <w:rPr>
        <w:rtl/>
      </w:rPr>
    </w:pPr>
  </w:p>
  <w:p w14:paraId="774DEF0F" w14:textId="77777777" w:rsidR="004B2E7C" w:rsidRDefault="004B2E7C" w:rsidP="001F2F31">
    <w:pPr>
      <w:pStyle w:val="a3"/>
      <w:jc w:val="center"/>
    </w:pPr>
    <w:r>
      <w:rPr>
        <w:rFonts w:hint="cs"/>
        <w:rtl/>
      </w:rPr>
      <w:t>- סימן רצא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AE3F8" w14:textId="77777777" w:rsidR="004B2E7C" w:rsidRDefault="004B2E7C" w:rsidP="001F2F31">
    <w:pPr>
      <w:pStyle w:val="a3"/>
      <w:jc w:val="center"/>
      <w:rPr>
        <w:rtl/>
      </w:rPr>
    </w:pPr>
  </w:p>
  <w:p w14:paraId="2058662E" w14:textId="77777777" w:rsidR="004B2E7C" w:rsidRDefault="004B2E7C" w:rsidP="001F2F31">
    <w:pPr>
      <w:pStyle w:val="a3"/>
      <w:jc w:val="center"/>
    </w:pPr>
    <w:r>
      <w:rPr>
        <w:rFonts w:hint="cs"/>
        <w:rtl/>
      </w:rPr>
      <w:t>- סימן רצב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FF1D1" w14:textId="77777777" w:rsidR="004B2E7C" w:rsidRDefault="004B2E7C" w:rsidP="001F2F31">
    <w:pPr>
      <w:pStyle w:val="a3"/>
      <w:jc w:val="center"/>
      <w:rPr>
        <w:rtl/>
      </w:rPr>
    </w:pPr>
  </w:p>
  <w:p w14:paraId="0D5C921B" w14:textId="77777777" w:rsidR="004B2E7C" w:rsidRDefault="004B2E7C" w:rsidP="001F2F31">
    <w:pPr>
      <w:pStyle w:val="a3"/>
      <w:jc w:val="center"/>
    </w:pPr>
    <w:r>
      <w:rPr>
        <w:rFonts w:hint="cs"/>
        <w:rtl/>
      </w:rPr>
      <w:t>- סימן רצג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E32F" w14:textId="77777777" w:rsidR="004B2E7C" w:rsidRDefault="004B2E7C" w:rsidP="001F2F31">
    <w:pPr>
      <w:pStyle w:val="a3"/>
      <w:jc w:val="center"/>
      <w:rPr>
        <w:rtl/>
      </w:rPr>
    </w:pPr>
  </w:p>
  <w:p w14:paraId="5D104ECD" w14:textId="77777777" w:rsidR="004B2E7C" w:rsidRDefault="004B2E7C" w:rsidP="001F2F31">
    <w:pPr>
      <w:pStyle w:val="a3"/>
      <w:jc w:val="center"/>
    </w:pPr>
    <w:r>
      <w:rPr>
        <w:rFonts w:hint="cs"/>
        <w:rtl/>
      </w:rPr>
      <w:t>- סימן רצד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C16BC" w14:textId="77777777" w:rsidR="004B2E7C" w:rsidRDefault="004B2E7C" w:rsidP="001F2F31">
    <w:pPr>
      <w:pStyle w:val="a3"/>
      <w:jc w:val="center"/>
      <w:rPr>
        <w:rtl/>
      </w:rPr>
    </w:pPr>
  </w:p>
  <w:p w14:paraId="680103AF" w14:textId="77777777" w:rsidR="004B2E7C" w:rsidRDefault="004B2E7C" w:rsidP="001F2F31">
    <w:pPr>
      <w:pStyle w:val="a3"/>
      <w:jc w:val="center"/>
    </w:pPr>
    <w:r>
      <w:rPr>
        <w:rFonts w:hint="cs"/>
        <w:rtl/>
      </w:rPr>
      <w:t>- סימן רצה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52802" w14:textId="77777777" w:rsidR="004B2E7C" w:rsidRDefault="004B2E7C" w:rsidP="001F2F31">
    <w:pPr>
      <w:pStyle w:val="a3"/>
      <w:jc w:val="center"/>
      <w:rPr>
        <w:rtl/>
      </w:rPr>
    </w:pPr>
  </w:p>
  <w:p w14:paraId="227CC712" w14:textId="77777777" w:rsidR="004B2E7C" w:rsidRDefault="004B2E7C" w:rsidP="001F2F31">
    <w:pPr>
      <w:pStyle w:val="a3"/>
      <w:jc w:val="center"/>
    </w:pPr>
    <w:r>
      <w:rPr>
        <w:rFonts w:hint="cs"/>
        <w:rtl/>
      </w:rPr>
      <w:t>- סימן רצו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0ABB5" w14:textId="77777777" w:rsidR="004B2E7C" w:rsidRDefault="004B2E7C" w:rsidP="001F2F31">
    <w:pPr>
      <w:pStyle w:val="a3"/>
      <w:jc w:val="center"/>
      <w:rPr>
        <w:rtl/>
      </w:rPr>
    </w:pPr>
  </w:p>
  <w:p w14:paraId="2B883285" w14:textId="77777777" w:rsidR="004B2E7C" w:rsidRDefault="004B2E7C" w:rsidP="001F2F31">
    <w:pPr>
      <w:pStyle w:val="a3"/>
      <w:jc w:val="center"/>
    </w:pPr>
    <w:r>
      <w:rPr>
        <w:rFonts w:hint="cs"/>
        <w:rtl/>
      </w:rPr>
      <w:t>- סימן רצז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B3263" w14:textId="77777777" w:rsidR="004B2E7C" w:rsidRDefault="004B2E7C" w:rsidP="001F2F31">
    <w:pPr>
      <w:pStyle w:val="a3"/>
      <w:jc w:val="center"/>
      <w:rPr>
        <w:rtl/>
      </w:rPr>
    </w:pPr>
  </w:p>
  <w:p w14:paraId="5D78DCB9" w14:textId="77777777" w:rsidR="004B2E7C" w:rsidRDefault="004B2E7C" w:rsidP="001F2F31">
    <w:pPr>
      <w:pStyle w:val="a3"/>
      <w:jc w:val="center"/>
    </w:pPr>
    <w:r>
      <w:rPr>
        <w:rFonts w:hint="cs"/>
        <w:rtl/>
      </w:rPr>
      <w:t>- סימן רצח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0C75A" w14:textId="77777777" w:rsidR="004B2E7C" w:rsidRDefault="004B2E7C" w:rsidP="001F2F31">
    <w:pPr>
      <w:pStyle w:val="a3"/>
      <w:jc w:val="center"/>
      <w:rPr>
        <w:rtl/>
      </w:rPr>
    </w:pPr>
  </w:p>
  <w:p w14:paraId="411CA488" w14:textId="77777777" w:rsidR="004B2E7C" w:rsidRDefault="004B2E7C" w:rsidP="001F2F31">
    <w:pPr>
      <w:pStyle w:val="a3"/>
      <w:jc w:val="center"/>
    </w:pPr>
    <w:r>
      <w:rPr>
        <w:rFonts w:hint="cs"/>
        <w:rtl/>
      </w:rPr>
      <w:t>- סימן רצט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0DE49" w14:textId="77777777" w:rsidR="004B2E7C" w:rsidRDefault="004B2E7C" w:rsidP="001F2F31">
    <w:pPr>
      <w:pStyle w:val="a3"/>
      <w:jc w:val="center"/>
      <w:rPr>
        <w:rtl/>
      </w:rPr>
    </w:pPr>
  </w:p>
  <w:p w14:paraId="75DC3CA8" w14:textId="77777777" w:rsidR="004B2E7C" w:rsidRDefault="004B2E7C" w:rsidP="001F2F31">
    <w:pPr>
      <w:pStyle w:val="a3"/>
      <w:jc w:val="center"/>
    </w:pPr>
    <w:r>
      <w:rPr>
        <w:rFonts w:hint="cs"/>
        <w:rtl/>
      </w:rPr>
      <w:t>- סימן ש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F2E70" w14:textId="77777777" w:rsidR="004B2E7C" w:rsidRDefault="004B2E7C" w:rsidP="001F2F31">
    <w:pPr>
      <w:pStyle w:val="a3"/>
      <w:jc w:val="center"/>
      <w:rPr>
        <w:rtl/>
      </w:rPr>
    </w:pPr>
  </w:p>
  <w:p w14:paraId="2565566E" w14:textId="77777777" w:rsidR="004B2E7C" w:rsidRPr="00492B01" w:rsidRDefault="004B2E7C" w:rsidP="001F2F31">
    <w:pPr>
      <w:pStyle w:val="a3"/>
      <w:jc w:val="center"/>
      <w:rPr>
        <w:color w:val="A6A6A6" w:themeColor="background1" w:themeShade="A6"/>
      </w:rPr>
    </w:pPr>
    <w:r w:rsidRPr="00492B01">
      <w:rPr>
        <w:rFonts w:hint="cs"/>
        <w:color w:val="A6A6A6" w:themeColor="background1" w:themeShade="A6"/>
        <w:rtl/>
      </w:rPr>
      <w:t>- סימן ר</w:t>
    </w:r>
    <w:r>
      <w:rPr>
        <w:rFonts w:hint="cs"/>
        <w:color w:val="A6A6A6" w:themeColor="background1" w:themeShade="A6"/>
        <w:rtl/>
      </w:rPr>
      <w:t>מו</w:t>
    </w:r>
    <w:r w:rsidRPr="00492B01">
      <w:rPr>
        <w:rFonts w:hint="cs"/>
        <w:color w:val="A6A6A6" w:themeColor="background1" w:themeShade="A6"/>
        <w:rtl/>
      </w:rPr>
      <w:t xml:space="preserve">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964EA" w14:textId="77777777" w:rsidR="004B2E7C" w:rsidRDefault="004B2E7C" w:rsidP="001F2F31">
    <w:pPr>
      <w:pStyle w:val="a3"/>
      <w:jc w:val="center"/>
      <w:rPr>
        <w:rtl/>
      </w:rPr>
    </w:pPr>
  </w:p>
  <w:p w14:paraId="14111C9C" w14:textId="77777777" w:rsidR="004B2E7C" w:rsidRDefault="004B2E7C" w:rsidP="001F2F31">
    <w:pPr>
      <w:pStyle w:val="a3"/>
      <w:jc w:val="center"/>
    </w:pPr>
    <w:r>
      <w:rPr>
        <w:rFonts w:hint="cs"/>
        <w:rtl/>
      </w:rPr>
      <w:t>- סימן שא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91239" w14:textId="77777777" w:rsidR="004B2E7C" w:rsidRDefault="004B2E7C" w:rsidP="001F2F31">
    <w:pPr>
      <w:pStyle w:val="a3"/>
      <w:jc w:val="center"/>
      <w:rPr>
        <w:rtl/>
      </w:rPr>
    </w:pPr>
  </w:p>
  <w:p w14:paraId="493CD12D" w14:textId="77777777" w:rsidR="004B2E7C" w:rsidRDefault="004B2E7C" w:rsidP="001F2F31">
    <w:pPr>
      <w:pStyle w:val="a3"/>
      <w:jc w:val="center"/>
    </w:pPr>
    <w:r>
      <w:rPr>
        <w:rFonts w:hint="cs"/>
        <w:rtl/>
      </w:rPr>
      <w:t>- סימן שב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B0FA8" w14:textId="77777777" w:rsidR="004B2E7C" w:rsidRDefault="004B2E7C" w:rsidP="001F2F31">
    <w:pPr>
      <w:pStyle w:val="a3"/>
      <w:jc w:val="center"/>
      <w:rPr>
        <w:rtl/>
      </w:rPr>
    </w:pPr>
  </w:p>
  <w:p w14:paraId="7F4474D9" w14:textId="77777777" w:rsidR="004B2E7C" w:rsidRDefault="004B2E7C" w:rsidP="001F2F31">
    <w:pPr>
      <w:pStyle w:val="a3"/>
      <w:jc w:val="center"/>
    </w:pPr>
    <w:r>
      <w:rPr>
        <w:rFonts w:hint="cs"/>
        <w:rtl/>
      </w:rPr>
      <w:t>- סימן שג -</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5295D" w14:textId="77777777" w:rsidR="004B2E7C" w:rsidRDefault="004B2E7C" w:rsidP="001F2F31">
    <w:pPr>
      <w:pStyle w:val="a3"/>
      <w:jc w:val="center"/>
      <w:rPr>
        <w:rtl/>
      </w:rPr>
    </w:pPr>
  </w:p>
  <w:p w14:paraId="5B90B73E" w14:textId="77777777" w:rsidR="004B2E7C" w:rsidRDefault="004B2E7C" w:rsidP="001F2F31">
    <w:pPr>
      <w:pStyle w:val="a3"/>
      <w:jc w:val="center"/>
    </w:pPr>
    <w:r>
      <w:rPr>
        <w:rFonts w:hint="cs"/>
        <w:rtl/>
      </w:rPr>
      <w:t>- סימן שד -</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34119" w14:textId="77777777" w:rsidR="004B2E7C" w:rsidRDefault="004B2E7C" w:rsidP="001F2F31">
    <w:pPr>
      <w:pStyle w:val="a3"/>
      <w:jc w:val="center"/>
      <w:rPr>
        <w:rtl/>
      </w:rPr>
    </w:pPr>
  </w:p>
  <w:p w14:paraId="4665170D" w14:textId="77777777" w:rsidR="004B2E7C" w:rsidRDefault="004B2E7C" w:rsidP="001F2F31">
    <w:pPr>
      <w:pStyle w:val="a3"/>
      <w:jc w:val="center"/>
    </w:pPr>
    <w:r>
      <w:rPr>
        <w:rFonts w:hint="cs"/>
        <w:rtl/>
      </w:rPr>
      <w:t>- סימן שה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BFAF" w14:textId="77777777" w:rsidR="004B2E7C" w:rsidRDefault="004B2E7C" w:rsidP="001F2F31">
    <w:pPr>
      <w:pStyle w:val="a3"/>
      <w:jc w:val="center"/>
      <w:rPr>
        <w:rtl/>
      </w:rPr>
    </w:pPr>
  </w:p>
  <w:p w14:paraId="7CB261E1" w14:textId="77777777" w:rsidR="004B2E7C" w:rsidRDefault="004B2E7C" w:rsidP="001F2F31">
    <w:pPr>
      <w:pStyle w:val="a3"/>
      <w:jc w:val="center"/>
    </w:pPr>
    <w:r>
      <w:rPr>
        <w:rFonts w:hint="cs"/>
        <w:rtl/>
      </w:rPr>
      <w:t>- סימן שו -</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BDFB6" w14:textId="77777777" w:rsidR="009A7623" w:rsidRDefault="009A7623" w:rsidP="001F2F31">
    <w:pPr>
      <w:pStyle w:val="a3"/>
      <w:jc w:val="center"/>
      <w:rPr>
        <w:rtl/>
      </w:rPr>
    </w:pPr>
  </w:p>
  <w:p w14:paraId="03322775" w14:textId="37E06A86" w:rsidR="009A7623" w:rsidRDefault="009A7623" w:rsidP="001F2F31">
    <w:pPr>
      <w:pStyle w:val="a3"/>
      <w:jc w:val="center"/>
    </w:pPr>
    <w:r>
      <w:rPr>
        <w:rFonts w:hint="cs"/>
        <w:rtl/>
      </w:rPr>
      <w:t>- סימן ש</w:t>
    </w:r>
    <w:r w:rsidR="004B2E7C">
      <w:rPr>
        <w:rFonts w:hint="cs"/>
        <w:rtl/>
      </w:rPr>
      <w:t>ז</w:t>
    </w:r>
    <w:r>
      <w:rPr>
        <w:rFonts w:hint="cs"/>
        <w:rtl/>
      </w:rPr>
      <w:t xml:space="preserve">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F0FC4" w14:textId="77777777" w:rsidR="004B2E7C" w:rsidRDefault="004B2E7C" w:rsidP="001F2F31">
    <w:pPr>
      <w:pStyle w:val="a3"/>
      <w:jc w:val="center"/>
      <w:rPr>
        <w:rtl/>
      </w:rPr>
    </w:pPr>
  </w:p>
  <w:p w14:paraId="67CC8707" w14:textId="77777777" w:rsidR="004B2E7C" w:rsidRDefault="004B2E7C" w:rsidP="001F2F31">
    <w:pPr>
      <w:pStyle w:val="a3"/>
      <w:jc w:val="center"/>
    </w:pPr>
    <w:r>
      <w:rPr>
        <w:rFonts w:hint="cs"/>
        <w:rtl/>
      </w:rPr>
      <w:t>- סימן שח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B9B0" w14:textId="77777777" w:rsidR="009A7623" w:rsidRDefault="009A7623" w:rsidP="001F2F31">
    <w:pPr>
      <w:pStyle w:val="a3"/>
      <w:jc w:val="center"/>
      <w:rPr>
        <w:rtl/>
      </w:rPr>
    </w:pPr>
  </w:p>
  <w:p w14:paraId="57E5742C" w14:textId="490B1A1E" w:rsidR="009A7623" w:rsidRDefault="009A7623" w:rsidP="001F2F31">
    <w:pPr>
      <w:pStyle w:val="a3"/>
      <w:jc w:val="center"/>
    </w:pPr>
    <w:r>
      <w:rPr>
        <w:rFonts w:hint="cs"/>
        <w:rtl/>
      </w:rPr>
      <w:t>- סימן שט -</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501A4" w14:textId="77777777" w:rsidR="009A7623" w:rsidRDefault="009A7623" w:rsidP="001F2F31">
    <w:pPr>
      <w:pStyle w:val="a3"/>
      <w:jc w:val="center"/>
      <w:rPr>
        <w:rtl/>
      </w:rPr>
    </w:pPr>
  </w:p>
  <w:p w14:paraId="1D7CDF66" w14:textId="58194B45" w:rsidR="009A7623" w:rsidRDefault="009A7623" w:rsidP="001F2F31">
    <w:pPr>
      <w:pStyle w:val="a3"/>
      <w:jc w:val="center"/>
    </w:pPr>
    <w:r>
      <w:rPr>
        <w:rFonts w:hint="cs"/>
        <w:rtl/>
      </w:rPr>
      <w:t>- סימן שי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824EF" w14:textId="77777777" w:rsidR="004B2E7C" w:rsidRDefault="004B2E7C" w:rsidP="001F2F31">
    <w:pPr>
      <w:pStyle w:val="a3"/>
      <w:jc w:val="center"/>
      <w:rPr>
        <w:rtl/>
      </w:rPr>
    </w:pPr>
  </w:p>
  <w:p w14:paraId="2D3DA890" w14:textId="77777777" w:rsidR="004B2E7C" w:rsidRPr="00492B01" w:rsidRDefault="004B2E7C" w:rsidP="001F2F31">
    <w:pPr>
      <w:pStyle w:val="a3"/>
      <w:jc w:val="center"/>
      <w:rPr>
        <w:color w:val="A6A6A6" w:themeColor="background1" w:themeShade="A6"/>
      </w:rPr>
    </w:pPr>
    <w:r w:rsidRPr="00492B01">
      <w:rPr>
        <w:rFonts w:hint="cs"/>
        <w:color w:val="A6A6A6" w:themeColor="background1" w:themeShade="A6"/>
        <w:rtl/>
      </w:rPr>
      <w:t>- סימן ר</w:t>
    </w:r>
    <w:r>
      <w:rPr>
        <w:rFonts w:hint="cs"/>
        <w:color w:val="A6A6A6" w:themeColor="background1" w:themeShade="A6"/>
        <w:rtl/>
      </w:rPr>
      <w:t>מז</w:t>
    </w:r>
    <w:r w:rsidRPr="00492B01">
      <w:rPr>
        <w:rFonts w:hint="cs"/>
        <w:color w:val="A6A6A6" w:themeColor="background1" w:themeShade="A6"/>
        <w:rtl/>
      </w:rPr>
      <w:t xml:space="preserve"> -</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2E7F0" w14:textId="77777777" w:rsidR="009A7623" w:rsidRDefault="009A7623" w:rsidP="001F2F31">
    <w:pPr>
      <w:pStyle w:val="a3"/>
      <w:jc w:val="center"/>
      <w:rPr>
        <w:rtl/>
      </w:rPr>
    </w:pPr>
  </w:p>
  <w:p w14:paraId="3948EFA7" w14:textId="3E1EB11C" w:rsidR="009A7623" w:rsidRDefault="009A7623" w:rsidP="001F2F31">
    <w:pPr>
      <w:pStyle w:val="a3"/>
      <w:jc w:val="center"/>
    </w:pPr>
    <w:r>
      <w:rPr>
        <w:rFonts w:hint="cs"/>
        <w:rtl/>
      </w:rPr>
      <w:t>- סימן שיא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B2691" w14:textId="77777777" w:rsidR="00D42AD3" w:rsidRDefault="00D42AD3" w:rsidP="001F2F31">
    <w:pPr>
      <w:pStyle w:val="a3"/>
      <w:jc w:val="center"/>
      <w:rPr>
        <w:rtl/>
      </w:rPr>
    </w:pPr>
  </w:p>
  <w:p w14:paraId="33837BEB" w14:textId="63785330" w:rsidR="00D42AD3" w:rsidRDefault="00D42AD3" w:rsidP="001F2F31">
    <w:pPr>
      <w:pStyle w:val="a3"/>
      <w:jc w:val="center"/>
    </w:pPr>
    <w:r>
      <w:rPr>
        <w:rFonts w:hint="cs"/>
        <w:rtl/>
      </w:rPr>
      <w:t>- סימן שיב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3E06" w14:textId="77777777" w:rsidR="009A7623" w:rsidRDefault="009A7623" w:rsidP="001F2F31">
    <w:pPr>
      <w:pStyle w:val="a3"/>
      <w:jc w:val="center"/>
      <w:rPr>
        <w:rtl/>
      </w:rPr>
    </w:pPr>
  </w:p>
  <w:p w14:paraId="632F3F59" w14:textId="1CE46788" w:rsidR="009A7623" w:rsidRDefault="009A7623" w:rsidP="001F2F31">
    <w:pPr>
      <w:pStyle w:val="a3"/>
      <w:jc w:val="center"/>
    </w:pPr>
    <w:r>
      <w:rPr>
        <w:rFonts w:hint="cs"/>
        <w:rtl/>
      </w:rPr>
      <w:t>- סימן שיג -</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72C7D" w14:textId="77777777" w:rsidR="009A7623" w:rsidRDefault="009A7623" w:rsidP="001F2F31">
    <w:pPr>
      <w:pStyle w:val="a3"/>
      <w:jc w:val="center"/>
      <w:rPr>
        <w:rtl/>
      </w:rPr>
    </w:pPr>
  </w:p>
  <w:p w14:paraId="4C3294CF" w14:textId="1396EDDE" w:rsidR="009A7623" w:rsidRDefault="009A7623" w:rsidP="001F2F31">
    <w:pPr>
      <w:pStyle w:val="a3"/>
      <w:jc w:val="center"/>
    </w:pPr>
    <w:r>
      <w:rPr>
        <w:rFonts w:hint="cs"/>
        <w:rtl/>
      </w:rPr>
      <w:t>- סימן שיד -</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4004A" w14:textId="77777777" w:rsidR="009A7623" w:rsidRDefault="009A7623" w:rsidP="001F2F31">
    <w:pPr>
      <w:pStyle w:val="a3"/>
      <w:jc w:val="center"/>
      <w:rPr>
        <w:rtl/>
      </w:rPr>
    </w:pPr>
  </w:p>
  <w:p w14:paraId="7FDBCDA7" w14:textId="0AE15FD4" w:rsidR="009A7623" w:rsidRDefault="009A7623" w:rsidP="001F2F31">
    <w:pPr>
      <w:pStyle w:val="a3"/>
      <w:jc w:val="center"/>
    </w:pPr>
    <w:r>
      <w:rPr>
        <w:rFonts w:hint="cs"/>
        <w:rtl/>
      </w:rPr>
      <w:t>- סימן שטו -</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FBEB3" w14:textId="77777777" w:rsidR="009A7623" w:rsidRDefault="009A7623" w:rsidP="001F2F31">
    <w:pPr>
      <w:pStyle w:val="a3"/>
      <w:jc w:val="center"/>
      <w:rPr>
        <w:rtl/>
      </w:rPr>
    </w:pPr>
  </w:p>
  <w:p w14:paraId="52E3BAA8" w14:textId="1BE9C7AE" w:rsidR="009A7623" w:rsidRDefault="009A7623" w:rsidP="001F2F31">
    <w:pPr>
      <w:pStyle w:val="a3"/>
      <w:jc w:val="center"/>
    </w:pPr>
    <w:r>
      <w:rPr>
        <w:rFonts w:hint="cs"/>
        <w:rtl/>
      </w:rPr>
      <w:t>- סימן שטז -</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10C78" w14:textId="77777777" w:rsidR="009A7623" w:rsidRDefault="009A7623" w:rsidP="001F2F31">
    <w:pPr>
      <w:pStyle w:val="a3"/>
      <w:jc w:val="center"/>
      <w:rPr>
        <w:rtl/>
      </w:rPr>
    </w:pPr>
  </w:p>
  <w:p w14:paraId="68C83E8B" w14:textId="0F11D950" w:rsidR="009A7623" w:rsidRDefault="009A7623" w:rsidP="001F2F31">
    <w:pPr>
      <w:pStyle w:val="a3"/>
      <w:jc w:val="center"/>
    </w:pPr>
    <w:r>
      <w:rPr>
        <w:rFonts w:hint="cs"/>
        <w:rtl/>
      </w:rPr>
      <w:t>- סימן ש</w:t>
    </w:r>
    <w:r w:rsidR="00EC001A">
      <w:rPr>
        <w:rFonts w:hint="cs"/>
        <w:rtl/>
      </w:rPr>
      <w:t>יז</w:t>
    </w:r>
    <w:r>
      <w:rPr>
        <w:rFonts w:hint="cs"/>
        <w:rtl/>
      </w:rPr>
      <w:t xml:space="preserve"> -</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688E7" w14:textId="77777777" w:rsidR="00C061A9" w:rsidRDefault="00C061A9" w:rsidP="001F2F31">
    <w:pPr>
      <w:pStyle w:val="a3"/>
      <w:jc w:val="center"/>
      <w:rPr>
        <w:rtl/>
      </w:rPr>
    </w:pPr>
  </w:p>
  <w:p w14:paraId="1C3EDC03" w14:textId="2061C7AA" w:rsidR="00C061A9" w:rsidRDefault="00C061A9" w:rsidP="001F2F31">
    <w:pPr>
      <w:pStyle w:val="a3"/>
      <w:jc w:val="center"/>
    </w:pPr>
    <w:r>
      <w:rPr>
        <w:rFonts w:hint="cs"/>
        <w:rtl/>
      </w:rPr>
      <w:t>- סימן שיח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3061D" w14:textId="77777777" w:rsidR="006A4BF8" w:rsidRDefault="006A4BF8" w:rsidP="001F2F31">
    <w:pPr>
      <w:pStyle w:val="a3"/>
      <w:jc w:val="center"/>
      <w:rPr>
        <w:rtl/>
      </w:rPr>
    </w:pPr>
  </w:p>
  <w:p w14:paraId="04EE415C" w14:textId="77777777" w:rsidR="006A4BF8" w:rsidRDefault="006A4BF8" w:rsidP="001F2F31">
    <w:pPr>
      <w:pStyle w:val="a3"/>
      <w:jc w:val="center"/>
    </w:pPr>
    <w:r>
      <w:rPr>
        <w:rFonts w:hint="cs"/>
        <w:rtl/>
      </w:rPr>
      <w:t>- סימן שיט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5D984" w14:textId="77777777" w:rsidR="006A4BF8" w:rsidRDefault="006A4BF8" w:rsidP="001F2F31">
    <w:pPr>
      <w:pStyle w:val="a3"/>
      <w:jc w:val="center"/>
      <w:rPr>
        <w:rtl/>
      </w:rPr>
    </w:pPr>
  </w:p>
  <w:p w14:paraId="43D66988" w14:textId="77777777" w:rsidR="006A4BF8" w:rsidRDefault="006A4BF8" w:rsidP="001F2F31">
    <w:pPr>
      <w:pStyle w:val="a3"/>
      <w:jc w:val="center"/>
    </w:pPr>
    <w:r>
      <w:rPr>
        <w:rFonts w:hint="cs"/>
        <w:rtl/>
      </w:rPr>
      <w:t>- סימן שכ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4BC9A" w14:textId="77777777" w:rsidR="004B2E7C" w:rsidRDefault="004B2E7C" w:rsidP="001F2F31">
    <w:pPr>
      <w:pStyle w:val="a3"/>
      <w:jc w:val="center"/>
      <w:rPr>
        <w:rtl/>
      </w:rPr>
    </w:pPr>
  </w:p>
  <w:p w14:paraId="4684591B" w14:textId="77777777" w:rsidR="004B2E7C" w:rsidRPr="00492B01" w:rsidRDefault="004B2E7C" w:rsidP="001F2F31">
    <w:pPr>
      <w:pStyle w:val="a3"/>
      <w:jc w:val="center"/>
      <w:rPr>
        <w:color w:val="A6A6A6" w:themeColor="background1" w:themeShade="A6"/>
      </w:rPr>
    </w:pPr>
    <w:r w:rsidRPr="00492B01">
      <w:rPr>
        <w:rFonts w:hint="cs"/>
        <w:color w:val="A6A6A6" w:themeColor="background1" w:themeShade="A6"/>
        <w:rtl/>
      </w:rPr>
      <w:t>- סימן ר</w:t>
    </w:r>
    <w:r>
      <w:rPr>
        <w:rFonts w:hint="cs"/>
        <w:color w:val="A6A6A6" w:themeColor="background1" w:themeShade="A6"/>
        <w:rtl/>
      </w:rPr>
      <w:t>מח</w:t>
    </w:r>
    <w:r w:rsidRPr="00492B01">
      <w:rPr>
        <w:rFonts w:hint="cs"/>
        <w:color w:val="A6A6A6" w:themeColor="background1" w:themeShade="A6"/>
        <w:rtl/>
      </w:rPr>
      <w:t xml:space="preserve"> -</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17A9D" w14:textId="77777777" w:rsidR="006A4BF8" w:rsidRDefault="006A4BF8" w:rsidP="001F2F31">
    <w:pPr>
      <w:pStyle w:val="a3"/>
      <w:jc w:val="center"/>
      <w:rPr>
        <w:rtl/>
      </w:rPr>
    </w:pPr>
  </w:p>
  <w:p w14:paraId="5BB9B1AD" w14:textId="77777777" w:rsidR="006A4BF8" w:rsidRDefault="006A4BF8" w:rsidP="001F2F31">
    <w:pPr>
      <w:pStyle w:val="a3"/>
      <w:jc w:val="center"/>
    </w:pPr>
    <w:r>
      <w:rPr>
        <w:rFonts w:hint="cs"/>
        <w:rtl/>
      </w:rPr>
      <w:t>- סימן שכא -</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AC07F" w14:textId="77777777" w:rsidR="006A4BF8" w:rsidRDefault="006A4BF8" w:rsidP="001F2F31">
    <w:pPr>
      <w:pStyle w:val="a3"/>
      <w:jc w:val="center"/>
      <w:rPr>
        <w:rtl/>
      </w:rPr>
    </w:pPr>
  </w:p>
  <w:p w14:paraId="6E67B6CE" w14:textId="77777777" w:rsidR="006A4BF8" w:rsidRDefault="006A4BF8" w:rsidP="001F2F31">
    <w:pPr>
      <w:pStyle w:val="a3"/>
      <w:jc w:val="center"/>
    </w:pPr>
    <w:r>
      <w:rPr>
        <w:rFonts w:hint="cs"/>
        <w:rtl/>
      </w:rPr>
      <w:t>- סימן שכב -</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549C5" w14:textId="77777777" w:rsidR="006A4BF8" w:rsidRDefault="006A4BF8" w:rsidP="001F2F31">
    <w:pPr>
      <w:pStyle w:val="a3"/>
      <w:jc w:val="center"/>
      <w:rPr>
        <w:rtl/>
      </w:rPr>
    </w:pPr>
  </w:p>
  <w:p w14:paraId="42ABCDDA" w14:textId="77777777" w:rsidR="006A4BF8" w:rsidRDefault="006A4BF8" w:rsidP="001F2F31">
    <w:pPr>
      <w:pStyle w:val="a3"/>
      <w:jc w:val="center"/>
    </w:pPr>
    <w:r>
      <w:rPr>
        <w:rFonts w:hint="cs"/>
        <w:rtl/>
      </w:rPr>
      <w:t>- סימן שכה -</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92970" w14:textId="77777777" w:rsidR="006A4BF8" w:rsidRDefault="006A4BF8" w:rsidP="001F2F31">
    <w:pPr>
      <w:pStyle w:val="a3"/>
      <w:jc w:val="center"/>
      <w:rPr>
        <w:rtl/>
      </w:rPr>
    </w:pPr>
  </w:p>
  <w:p w14:paraId="2EF7A49A" w14:textId="77777777" w:rsidR="006A4BF8" w:rsidRDefault="006A4BF8" w:rsidP="001F2F31">
    <w:pPr>
      <w:pStyle w:val="a3"/>
      <w:jc w:val="center"/>
    </w:pPr>
    <w:r>
      <w:rPr>
        <w:rFonts w:hint="cs"/>
        <w:rtl/>
      </w:rPr>
      <w:t>- סימן שכח -</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E1E72" w14:textId="77777777" w:rsidR="006A4BF8" w:rsidRDefault="006A4BF8" w:rsidP="001F2F31">
    <w:pPr>
      <w:pStyle w:val="a3"/>
      <w:jc w:val="center"/>
      <w:rPr>
        <w:rtl/>
      </w:rPr>
    </w:pPr>
  </w:p>
  <w:p w14:paraId="2AD2E7FD" w14:textId="77777777" w:rsidR="006A4BF8" w:rsidRDefault="006A4BF8" w:rsidP="001F2F31">
    <w:pPr>
      <w:pStyle w:val="a3"/>
      <w:jc w:val="center"/>
    </w:pPr>
    <w:r>
      <w:rPr>
        <w:rFonts w:hint="cs"/>
        <w:rtl/>
      </w:rPr>
      <w:t>- סימן שכט -</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16294" w14:textId="77777777" w:rsidR="006A4BF8" w:rsidRDefault="006A4BF8" w:rsidP="001F2F31">
    <w:pPr>
      <w:pStyle w:val="a3"/>
      <w:jc w:val="center"/>
      <w:rPr>
        <w:rtl/>
      </w:rPr>
    </w:pPr>
  </w:p>
  <w:p w14:paraId="6BFF80A2" w14:textId="77777777" w:rsidR="006A4BF8" w:rsidRDefault="006A4BF8" w:rsidP="001F2F31">
    <w:pPr>
      <w:pStyle w:val="a3"/>
      <w:jc w:val="center"/>
    </w:pPr>
    <w:r>
      <w:rPr>
        <w:rFonts w:hint="cs"/>
        <w:rtl/>
      </w:rPr>
      <w:t>- סימן של -</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8DED4" w14:textId="77777777" w:rsidR="006A4BF8" w:rsidRDefault="006A4BF8" w:rsidP="001F2F31">
    <w:pPr>
      <w:pStyle w:val="a3"/>
      <w:jc w:val="center"/>
      <w:rPr>
        <w:rtl/>
      </w:rPr>
    </w:pPr>
  </w:p>
  <w:p w14:paraId="74096226" w14:textId="77777777" w:rsidR="006A4BF8" w:rsidRDefault="006A4BF8" w:rsidP="001F2F31">
    <w:pPr>
      <w:pStyle w:val="a3"/>
      <w:jc w:val="center"/>
    </w:pPr>
    <w:r>
      <w:rPr>
        <w:rFonts w:hint="cs"/>
        <w:rtl/>
      </w:rPr>
      <w:t>- סימן שלא -</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7C6E3" w14:textId="77777777" w:rsidR="006A4BF8" w:rsidRDefault="006A4BF8" w:rsidP="001F2F31">
    <w:pPr>
      <w:pStyle w:val="a3"/>
      <w:jc w:val="center"/>
      <w:rPr>
        <w:rtl/>
      </w:rPr>
    </w:pPr>
  </w:p>
  <w:p w14:paraId="42C5DED0" w14:textId="77777777" w:rsidR="006A4BF8" w:rsidRDefault="006A4BF8" w:rsidP="001F2F31">
    <w:pPr>
      <w:pStyle w:val="a3"/>
      <w:jc w:val="center"/>
    </w:pPr>
    <w:r>
      <w:rPr>
        <w:rFonts w:hint="cs"/>
        <w:rtl/>
      </w:rPr>
      <w:t>- סימן שלב -</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9B71D" w14:textId="77777777" w:rsidR="006A4BF8" w:rsidRDefault="006A4BF8" w:rsidP="001F2F31">
    <w:pPr>
      <w:pStyle w:val="a3"/>
      <w:jc w:val="center"/>
      <w:rPr>
        <w:rtl/>
      </w:rPr>
    </w:pPr>
  </w:p>
  <w:p w14:paraId="66928B34" w14:textId="77777777" w:rsidR="006A4BF8" w:rsidRDefault="006A4BF8" w:rsidP="001F2F31">
    <w:pPr>
      <w:pStyle w:val="a3"/>
      <w:jc w:val="center"/>
    </w:pPr>
    <w:r>
      <w:rPr>
        <w:rFonts w:hint="cs"/>
        <w:rtl/>
      </w:rPr>
      <w:t>- סימן שלג -</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1EF1A" w14:textId="77777777" w:rsidR="006A4BF8" w:rsidRDefault="006A4BF8" w:rsidP="001F2F31">
    <w:pPr>
      <w:pStyle w:val="a3"/>
      <w:jc w:val="center"/>
      <w:rPr>
        <w:rtl/>
      </w:rPr>
    </w:pPr>
  </w:p>
  <w:p w14:paraId="74AEC203" w14:textId="77777777" w:rsidR="006A4BF8" w:rsidRDefault="006A4BF8" w:rsidP="001F2F31">
    <w:pPr>
      <w:pStyle w:val="a3"/>
      <w:jc w:val="center"/>
    </w:pPr>
    <w:r>
      <w:rPr>
        <w:rFonts w:hint="cs"/>
        <w:rtl/>
      </w:rPr>
      <w:t>- סימן שלד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216DB" w14:textId="77777777" w:rsidR="004B2E7C" w:rsidRDefault="004B2E7C" w:rsidP="001F2F31">
    <w:pPr>
      <w:pStyle w:val="a3"/>
      <w:jc w:val="center"/>
      <w:rPr>
        <w:rtl/>
      </w:rPr>
    </w:pPr>
  </w:p>
  <w:p w14:paraId="6173C32C" w14:textId="77777777" w:rsidR="004B2E7C" w:rsidRPr="00492B01" w:rsidRDefault="004B2E7C" w:rsidP="001F2F31">
    <w:pPr>
      <w:pStyle w:val="a3"/>
      <w:jc w:val="center"/>
      <w:rPr>
        <w:color w:val="A6A6A6" w:themeColor="background1" w:themeShade="A6"/>
      </w:rPr>
    </w:pPr>
    <w:r w:rsidRPr="00492B01">
      <w:rPr>
        <w:rFonts w:hint="cs"/>
        <w:color w:val="A6A6A6" w:themeColor="background1" w:themeShade="A6"/>
        <w:rtl/>
      </w:rPr>
      <w:t>- סימן ר</w:t>
    </w:r>
    <w:r>
      <w:rPr>
        <w:rFonts w:hint="cs"/>
        <w:color w:val="A6A6A6" w:themeColor="background1" w:themeShade="A6"/>
        <w:rtl/>
      </w:rPr>
      <w:t>מט</w:t>
    </w:r>
    <w:r w:rsidRPr="00492B01">
      <w:rPr>
        <w:rFonts w:hint="cs"/>
        <w:color w:val="A6A6A6" w:themeColor="background1" w:themeShade="A6"/>
        <w:rtl/>
      </w:rPr>
      <w:t xml:space="preserve"> -</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1C99E" w14:textId="77777777" w:rsidR="006A4BF8" w:rsidRDefault="006A4BF8" w:rsidP="001F2F31">
    <w:pPr>
      <w:pStyle w:val="a3"/>
      <w:jc w:val="center"/>
      <w:rPr>
        <w:rtl/>
      </w:rPr>
    </w:pPr>
  </w:p>
  <w:p w14:paraId="32F09023" w14:textId="77777777" w:rsidR="006A4BF8" w:rsidRDefault="006A4BF8" w:rsidP="001F2F31">
    <w:pPr>
      <w:pStyle w:val="a3"/>
      <w:jc w:val="center"/>
    </w:pPr>
    <w:r>
      <w:rPr>
        <w:rFonts w:hint="cs"/>
        <w:rtl/>
      </w:rPr>
      <w:t>- סימן שלה -</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C3416" w14:textId="77777777" w:rsidR="006A4BF8" w:rsidRDefault="006A4BF8" w:rsidP="001F2F31">
    <w:pPr>
      <w:pStyle w:val="a3"/>
      <w:jc w:val="center"/>
      <w:rPr>
        <w:rtl/>
      </w:rPr>
    </w:pPr>
  </w:p>
  <w:p w14:paraId="6036EB55" w14:textId="77777777" w:rsidR="006A4BF8" w:rsidRDefault="006A4BF8" w:rsidP="001F2F31">
    <w:pPr>
      <w:pStyle w:val="a3"/>
      <w:jc w:val="center"/>
    </w:pPr>
    <w:r>
      <w:rPr>
        <w:rFonts w:hint="cs"/>
        <w:rtl/>
      </w:rPr>
      <w:t>- סימן שלו -</w: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62C9D" w14:textId="77777777" w:rsidR="006A4BF8" w:rsidRDefault="006A4BF8" w:rsidP="001F2F31">
    <w:pPr>
      <w:pStyle w:val="a3"/>
      <w:jc w:val="center"/>
      <w:rPr>
        <w:rtl/>
      </w:rPr>
    </w:pPr>
  </w:p>
  <w:p w14:paraId="0F2A523D" w14:textId="77777777" w:rsidR="006A4BF8" w:rsidRDefault="006A4BF8" w:rsidP="001F2F31">
    <w:pPr>
      <w:pStyle w:val="a3"/>
      <w:jc w:val="center"/>
    </w:pPr>
    <w:r>
      <w:rPr>
        <w:rFonts w:hint="cs"/>
        <w:rtl/>
      </w:rPr>
      <w:t>- סימן שלז -</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1C47" w14:textId="77777777" w:rsidR="006A4BF8" w:rsidRDefault="006A4BF8" w:rsidP="001F2F31">
    <w:pPr>
      <w:pStyle w:val="a3"/>
      <w:jc w:val="center"/>
      <w:rPr>
        <w:rtl/>
      </w:rPr>
    </w:pPr>
  </w:p>
  <w:p w14:paraId="72DB8F2E" w14:textId="77777777" w:rsidR="006A4BF8" w:rsidRDefault="006A4BF8" w:rsidP="001F2F31">
    <w:pPr>
      <w:pStyle w:val="a3"/>
      <w:jc w:val="center"/>
    </w:pPr>
    <w:r>
      <w:rPr>
        <w:rFonts w:hint="cs"/>
        <w:rtl/>
      </w:rPr>
      <w:t>- סימן שלח -</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53BD" w14:textId="77777777" w:rsidR="006A4BF8" w:rsidRDefault="006A4BF8" w:rsidP="001F2F31">
    <w:pPr>
      <w:pStyle w:val="a3"/>
      <w:jc w:val="center"/>
      <w:rPr>
        <w:rtl/>
      </w:rPr>
    </w:pPr>
  </w:p>
  <w:p w14:paraId="0D4C6423" w14:textId="77777777" w:rsidR="006A4BF8" w:rsidRDefault="006A4BF8" w:rsidP="001F2F31">
    <w:pPr>
      <w:pStyle w:val="a3"/>
      <w:jc w:val="center"/>
    </w:pPr>
    <w:r>
      <w:rPr>
        <w:rFonts w:hint="cs"/>
        <w:rtl/>
      </w:rPr>
      <w:t>- סימן שלט -</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7701B" w14:textId="77777777" w:rsidR="006A4BF8" w:rsidRDefault="006A4BF8" w:rsidP="001F2F31">
    <w:pPr>
      <w:pStyle w:val="a3"/>
      <w:jc w:val="center"/>
      <w:rPr>
        <w:rtl/>
      </w:rPr>
    </w:pPr>
  </w:p>
  <w:p w14:paraId="68946A1D" w14:textId="77777777" w:rsidR="006A4BF8" w:rsidRDefault="006A4BF8" w:rsidP="001F2F31">
    <w:pPr>
      <w:pStyle w:val="a3"/>
      <w:jc w:val="center"/>
    </w:pPr>
    <w:r>
      <w:rPr>
        <w:rFonts w:hint="cs"/>
        <w:rtl/>
      </w:rPr>
      <w:t>- סימן שמ -</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47BC" w14:textId="77777777" w:rsidR="006A4BF8" w:rsidRDefault="006A4BF8" w:rsidP="001F2F31">
    <w:pPr>
      <w:pStyle w:val="a3"/>
      <w:jc w:val="center"/>
      <w:rPr>
        <w:rtl/>
      </w:rPr>
    </w:pPr>
  </w:p>
  <w:p w14:paraId="199DD20A" w14:textId="77777777" w:rsidR="006A4BF8" w:rsidRDefault="006A4BF8" w:rsidP="001F2F31">
    <w:pPr>
      <w:pStyle w:val="a3"/>
      <w:jc w:val="center"/>
    </w:pPr>
    <w:r>
      <w:rPr>
        <w:rFonts w:hint="cs"/>
        <w:rtl/>
      </w:rPr>
      <w:t>- סימן שמא -</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E8F0B" w14:textId="77777777" w:rsidR="006A4BF8" w:rsidRDefault="006A4BF8" w:rsidP="001F2F31">
    <w:pPr>
      <w:pStyle w:val="a3"/>
      <w:jc w:val="center"/>
      <w:rPr>
        <w:rtl/>
      </w:rPr>
    </w:pPr>
  </w:p>
  <w:p w14:paraId="4D126BB7" w14:textId="77777777" w:rsidR="006A4BF8" w:rsidRDefault="006A4BF8" w:rsidP="001F2F31">
    <w:pPr>
      <w:pStyle w:val="a3"/>
      <w:jc w:val="center"/>
    </w:pPr>
    <w:r>
      <w:rPr>
        <w:rFonts w:hint="cs"/>
        <w:rtl/>
      </w:rPr>
      <w:t>- סימן שמב -</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16948" w14:textId="77777777" w:rsidR="006A4BF8" w:rsidRDefault="006A4BF8" w:rsidP="001F2F31">
    <w:pPr>
      <w:pStyle w:val="a3"/>
      <w:jc w:val="center"/>
      <w:rPr>
        <w:rtl/>
      </w:rPr>
    </w:pPr>
  </w:p>
  <w:p w14:paraId="3650E685" w14:textId="77777777" w:rsidR="006A4BF8" w:rsidRDefault="006A4BF8" w:rsidP="001F2F31">
    <w:pPr>
      <w:pStyle w:val="a3"/>
      <w:jc w:val="center"/>
    </w:pPr>
    <w:r>
      <w:rPr>
        <w:rFonts w:hint="cs"/>
        <w:rtl/>
      </w:rPr>
      <w:t>- סימן שמג -</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0FA78" w14:textId="77777777" w:rsidR="00C061A9" w:rsidRDefault="00C061A9" w:rsidP="001F2F31">
    <w:pPr>
      <w:pStyle w:val="a3"/>
      <w:jc w:val="center"/>
      <w:rPr>
        <w:rtl/>
      </w:rPr>
    </w:pPr>
  </w:p>
  <w:p w14:paraId="5C15A02A" w14:textId="642B18D5" w:rsidR="00C061A9" w:rsidRDefault="00C061A9" w:rsidP="001F2F31">
    <w:pPr>
      <w:pStyle w:val="a3"/>
      <w:jc w:val="center"/>
    </w:pPr>
    <w:r>
      <w:rPr>
        <w:rFonts w:hint="cs"/>
        <w:rtl/>
      </w:rPr>
      <w:t>- סימן שדמ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11.25pt;height:11.25pt" o:bullet="t">
        <v:imagedata r:id="rId1" o:title="mso2C1B"/>
      </v:shape>
    </w:pict>
  </w:numPicBullet>
  <w:abstractNum w:abstractNumId="0" w15:restartNumberingAfterBreak="0">
    <w:nsid w:val="01833D97"/>
    <w:multiLevelType w:val="hybridMultilevel"/>
    <w:tmpl w:val="BAE20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44717"/>
    <w:multiLevelType w:val="hybridMultilevel"/>
    <w:tmpl w:val="26AAC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E254FE"/>
    <w:multiLevelType w:val="hybridMultilevel"/>
    <w:tmpl w:val="9C923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11416D"/>
    <w:multiLevelType w:val="hybridMultilevel"/>
    <w:tmpl w:val="7FB24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4D4C5B"/>
    <w:multiLevelType w:val="hybridMultilevel"/>
    <w:tmpl w:val="ECF89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882775"/>
    <w:multiLevelType w:val="hybridMultilevel"/>
    <w:tmpl w:val="711A74D6"/>
    <w:lvl w:ilvl="0" w:tplc="A332568A">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A45F08"/>
    <w:multiLevelType w:val="hybridMultilevel"/>
    <w:tmpl w:val="C6847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BD6A79"/>
    <w:multiLevelType w:val="hybridMultilevel"/>
    <w:tmpl w:val="C938E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2A5D75"/>
    <w:multiLevelType w:val="hybridMultilevel"/>
    <w:tmpl w:val="59080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333017"/>
    <w:multiLevelType w:val="hybridMultilevel"/>
    <w:tmpl w:val="18CEE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1A4189"/>
    <w:multiLevelType w:val="hybridMultilevel"/>
    <w:tmpl w:val="3F7C0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C56A96"/>
    <w:multiLevelType w:val="hybridMultilevel"/>
    <w:tmpl w:val="8D2AF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83540B"/>
    <w:multiLevelType w:val="hybridMultilevel"/>
    <w:tmpl w:val="8EFE35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7E72D7"/>
    <w:multiLevelType w:val="hybridMultilevel"/>
    <w:tmpl w:val="C7F83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1821F5"/>
    <w:multiLevelType w:val="hybridMultilevel"/>
    <w:tmpl w:val="EA207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AB32DC"/>
    <w:multiLevelType w:val="hybridMultilevel"/>
    <w:tmpl w:val="7566412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CDE6049"/>
    <w:multiLevelType w:val="hybridMultilevel"/>
    <w:tmpl w:val="4D4028D6"/>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7" w15:restartNumberingAfterBreak="0">
    <w:nsid w:val="0CF962F6"/>
    <w:multiLevelType w:val="hybridMultilevel"/>
    <w:tmpl w:val="6F0E0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CFE0DEC"/>
    <w:multiLevelType w:val="hybridMultilevel"/>
    <w:tmpl w:val="AF8C2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CFF3370"/>
    <w:multiLevelType w:val="hybridMultilevel"/>
    <w:tmpl w:val="1C9E2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2C42C5"/>
    <w:multiLevelType w:val="hybridMultilevel"/>
    <w:tmpl w:val="6F942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00D6CFE"/>
    <w:multiLevelType w:val="hybridMultilevel"/>
    <w:tmpl w:val="1DA48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1841FD4"/>
    <w:multiLevelType w:val="hybridMultilevel"/>
    <w:tmpl w:val="9678F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1C027E1"/>
    <w:multiLevelType w:val="hybridMultilevel"/>
    <w:tmpl w:val="3F680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2016768"/>
    <w:multiLevelType w:val="hybridMultilevel"/>
    <w:tmpl w:val="BAD65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22E1041"/>
    <w:multiLevelType w:val="hybridMultilevel"/>
    <w:tmpl w:val="8234A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9A4F28"/>
    <w:multiLevelType w:val="hybridMultilevel"/>
    <w:tmpl w:val="6BB6A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365447D"/>
    <w:multiLevelType w:val="hybridMultilevel"/>
    <w:tmpl w:val="B6567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42F7A9B"/>
    <w:multiLevelType w:val="hybridMultilevel"/>
    <w:tmpl w:val="B7C22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47049E1"/>
    <w:multiLevelType w:val="hybridMultilevel"/>
    <w:tmpl w:val="E9621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15535646"/>
    <w:multiLevelType w:val="hybridMultilevel"/>
    <w:tmpl w:val="E2C2B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5592834"/>
    <w:multiLevelType w:val="hybridMultilevel"/>
    <w:tmpl w:val="0470A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75A075F"/>
    <w:multiLevelType w:val="hybridMultilevel"/>
    <w:tmpl w:val="ED3CC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85B137B"/>
    <w:multiLevelType w:val="hybridMultilevel"/>
    <w:tmpl w:val="28CEB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86D4ABE"/>
    <w:multiLevelType w:val="hybridMultilevel"/>
    <w:tmpl w:val="3ACE6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937195E"/>
    <w:multiLevelType w:val="hybridMultilevel"/>
    <w:tmpl w:val="DF266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9CF4202"/>
    <w:multiLevelType w:val="hybridMultilevel"/>
    <w:tmpl w:val="3196B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A294D8E"/>
    <w:multiLevelType w:val="hybridMultilevel"/>
    <w:tmpl w:val="EC7E5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B0250E5"/>
    <w:multiLevelType w:val="hybridMultilevel"/>
    <w:tmpl w:val="3800E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D381AE8"/>
    <w:multiLevelType w:val="hybridMultilevel"/>
    <w:tmpl w:val="C7129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D8E1A40"/>
    <w:multiLevelType w:val="hybridMultilevel"/>
    <w:tmpl w:val="9C82B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EA028C3"/>
    <w:multiLevelType w:val="hybridMultilevel"/>
    <w:tmpl w:val="8D7E9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EC81403"/>
    <w:multiLevelType w:val="hybridMultilevel"/>
    <w:tmpl w:val="DFB01976"/>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3" w15:restartNumberingAfterBreak="0">
    <w:nsid w:val="1F2C0657"/>
    <w:multiLevelType w:val="hybridMultilevel"/>
    <w:tmpl w:val="C1DED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F511320"/>
    <w:multiLevelType w:val="hybridMultilevel"/>
    <w:tmpl w:val="EAB6E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0384DD8"/>
    <w:multiLevelType w:val="hybridMultilevel"/>
    <w:tmpl w:val="20BEA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1143C53"/>
    <w:multiLevelType w:val="hybridMultilevel"/>
    <w:tmpl w:val="6B46D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13D47EA"/>
    <w:multiLevelType w:val="hybridMultilevel"/>
    <w:tmpl w:val="56846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2170463"/>
    <w:multiLevelType w:val="hybridMultilevel"/>
    <w:tmpl w:val="DD98C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2217EA5"/>
    <w:multiLevelType w:val="hybridMultilevel"/>
    <w:tmpl w:val="97460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3CD38A6"/>
    <w:multiLevelType w:val="hybridMultilevel"/>
    <w:tmpl w:val="16261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483661F"/>
    <w:multiLevelType w:val="hybridMultilevel"/>
    <w:tmpl w:val="DFF8D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6217DFB"/>
    <w:multiLevelType w:val="hybridMultilevel"/>
    <w:tmpl w:val="72FE0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860360F"/>
    <w:multiLevelType w:val="hybridMultilevel"/>
    <w:tmpl w:val="30AA5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8AD1F2B"/>
    <w:multiLevelType w:val="hybridMultilevel"/>
    <w:tmpl w:val="22043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90F67DB"/>
    <w:multiLevelType w:val="hybridMultilevel"/>
    <w:tmpl w:val="241CD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94F07A9"/>
    <w:multiLevelType w:val="hybridMultilevel"/>
    <w:tmpl w:val="10E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A151848"/>
    <w:multiLevelType w:val="hybridMultilevel"/>
    <w:tmpl w:val="F74A7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A1B79ED"/>
    <w:multiLevelType w:val="hybridMultilevel"/>
    <w:tmpl w:val="84729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A7B5879"/>
    <w:multiLevelType w:val="hybridMultilevel"/>
    <w:tmpl w:val="C848E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B8F453E"/>
    <w:multiLevelType w:val="hybridMultilevel"/>
    <w:tmpl w:val="359AA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C5C7322"/>
    <w:multiLevelType w:val="hybridMultilevel"/>
    <w:tmpl w:val="C0EA5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D4B5C50"/>
    <w:multiLevelType w:val="hybridMultilevel"/>
    <w:tmpl w:val="A73C1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D956FDD"/>
    <w:multiLevelType w:val="hybridMultilevel"/>
    <w:tmpl w:val="74B0F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E0D5F84"/>
    <w:multiLevelType w:val="hybridMultilevel"/>
    <w:tmpl w:val="BCD4A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E1756D5"/>
    <w:multiLevelType w:val="hybridMultilevel"/>
    <w:tmpl w:val="18AE47D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11E0EAB"/>
    <w:multiLevelType w:val="hybridMultilevel"/>
    <w:tmpl w:val="E81290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315079C8"/>
    <w:multiLevelType w:val="hybridMultilevel"/>
    <w:tmpl w:val="79402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1F07313"/>
    <w:multiLevelType w:val="hybridMultilevel"/>
    <w:tmpl w:val="FCCCB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2302134"/>
    <w:multiLevelType w:val="hybridMultilevel"/>
    <w:tmpl w:val="102A7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2A47D92"/>
    <w:multiLevelType w:val="hybridMultilevel"/>
    <w:tmpl w:val="C7580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572218B"/>
    <w:multiLevelType w:val="hybridMultilevel"/>
    <w:tmpl w:val="EE1E8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6C26A41"/>
    <w:multiLevelType w:val="hybridMultilevel"/>
    <w:tmpl w:val="F2E4C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7AF7131"/>
    <w:multiLevelType w:val="hybridMultilevel"/>
    <w:tmpl w:val="5792D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A7B5013"/>
    <w:multiLevelType w:val="hybridMultilevel"/>
    <w:tmpl w:val="76DAF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B317620"/>
    <w:multiLevelType w:val="hybridMultilevel"/>
    <w:tmpl w:val="3DDEBE40"/>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B781C9C"/>
    <w:multiLevelType w:val="hybridMultilevel"/>
    <w:tmpl w:val="F70C4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C07065D"/>
    <w:multiLevelType w:val="hybridMultilevel"/>
    <w:tmpl w:val="98707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F044085"/>
    <w:multiLevelType w:val="hybridMultilevel"/>
    <w:tmpl w:val="F5824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F264937"/>
    <w:multiLevelType w:val="hybridMultilevel"/>
    <w:tmpl w:val="B07C33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F5F521E"/>
    <w:multiLevelType w:val="hybridMultilevel"/>
    <w:tmpl w:val="3F540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F8A5A07"/>
    <w:multiLevelType w:val="hybridMultilevel"/>
    <w:tmpl w:val="5148A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18A7F4A"/>
    <w:multiLevelType w:val="hybridMultilevel"/>
    <w:tmpl w:val="401A8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2AD1E50"/>
    <w:multiLevelType w:val="hybridMultilevel"/>
    <w:tmpl w:val="36CEE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2D4792A"/>
    <w:multiLevelType w:val="hybridMultilevel"/>
    <w:tmpl w:val="20362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34335D2"/>
    <w:multiLevelType w:val="hybridMultilevel"/>
    <w:tmpl w:val="01465678"/>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86" w15:restartNumberingAfterBreak="0">
    <w:nsid w:val="447E5BC3"/>
    <w:multiLevelType w:val="hybridMultilevel"/>
    <w:tmpl w:val="21C61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4C44911"/>
    <w:multiLevelType w:val="hybridMultilevel"/>
    <w:tmpl w:val="F8207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7375B60"/>
    <w:multiLevelType w:val="hybridMultilevel"/>
    <w:tmpl w:val="46B02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8DF5904"/>
    <w:multiLevelType w:val="hybridMultilevel"/>
    <w:tmpl w:val="4CC47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9BE4554"/>
    <w:multiLevelType w:val="hybridMultilevel"/>
    <w:tmpl w:val="C764F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9DB19C8"/>
    <w:multiLevelType w:val="hybridMultilevel"/>
    <w:tmpl w:val="8C647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C0A6E4B"/>
    <w:multiLevelType w:val="hybridMultilevel"/>
    <w:tmpl w:val="F6B4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C1B5DA3"/>
    <w:multiLevelType w:val="hybridMultilevel"/>
    <w:tmpl w:val="8B608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C9A6E5C"/>
    <w:multiLevelType w:val="hybridMultilevel"/>
    <w:tmpl w:val="AD981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D517280"/>
    <w:multiLevelType w:val="hybridMultilevel"/>
    <w:tmpl w:val="C1009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DAE509F"/>
    <w:multiLevelType w:val="hybridMultilevel"/>
    <w:tmpl w:val="4CF60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DD645EC"/>
    <w:multiLevelType w:val="hybridMultilevel"/>
    <w:tmpl w:val="00DAE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DE872B1"/>
    <w:multiLevelType w:val="hybridMultilevel"/>
    <w:tmpl w:val="604CD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E002B43"/>
    <w:multiLevelType w:val="hybridMultilevel"/>
    <w:tmpl w:val="EDB286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E7D576B"/>
    <w:multiLevelType w:val="hybridMultilevel"/>
    <w:tmpl w:val="64465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03661F1"/>
    <w:multiLevelType w:val="hybridMultilevel"/>
    <w:tmpl w:val="64904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1920D2A"/>
    <w:multiLevelType w:val="hybridMultilevel"/>
    <w:tmpl w:val="6B6C8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41621D4"/>
    <w:multiLevelType w:val="hybridMultilevel"/>
    <w:tmpl w:val="FBA6C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42C6BFD"/>
    <w:multiLevelType w:val="hybridMultilevel"/>
    <w:tmpl w:val="506EF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6F42226"/>
    <w:multiLevelType w:val="hybridMultilevel"/>
    <w:tmpl w:val="530A1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7615FA9"/>
    <w:multiLevelType w:val="hybridMultilevel"/>
    <w:tmpl w:val="4080C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7714FD4"/>
    <w:multiLevelType w:val="hybridMultilevel"/>
    <w:tmpl w:val="7D5A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8230C0B"/>
    <w:multiLevelType w:val="hybridMultilevel"/>
    <w:tmpl w:val="708648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84E0241"/>
    <w:multiLevelType w:val="hybridMultilevel"/>
    <w:tmpl w:val="553C7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8A63153"/>
    <w:multiLevelType w:val="hybridMultilevel"/>
    <w:tmpl w:val="035A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9253480"/>
    <w:multiLevelType w:val="hybridMultilevel"/>
    <w:tmpl w:val="A6EAD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93870E5"/>
    <w:multiLevelType w:val="hybridMultilevel"/>
    <w:tmpl w:val="97481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9694AC7"/>
    <w:multiLevelType w:val="hybridMultilevel"/>
    <w:tmpl w:val="E9C485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9FD7CD8"/>
    <w:multiLevelType w:val="hybridMultilevel"/>
    <w:tmpl w:val="6FD4B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A23352F"/>
    <w:multiLevelType w:val="hybridMultilevel"/>
    <w:tmpl w:val="AC720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A675AA4"/>
    <w:multiLevelType w:val="hybridMultilevel"/>
    <w:tmpl w:val="DA3A8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C822846"/>
    <w:multiLevelType w:val="hybridMultilevel"/>
    <w:tmpl w:val="93D84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CB37B75"/>
    <w:multiLevelType w:val="hybridMultilevel"/>
    <w:tmpl w:val="239EE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D357D44"/>
    <w:multiLevelType w:val="hybridMultilevel"/>
    <w:tmpl w:val="16201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D4C7EDC"/>
    <w:multiLevelType w:val="hybridMultilevel"/>
    <w:tmpl w:val="478E6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DB94742"/>
    <w:multiLevelType w:val="hybridMultilevel"/>
    <w:tmpl w:val="E7FC3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2" w15:restartNumberingAfterBreak="0">
    <w:nsid w:val="5E1775D9"/>
    <w:multiLevelType w:val="hybridMultilevel"/>
    <w:tmpl w:val="A3600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EF06D9B"/>
    <w:multiLevelType w:val="hybridMultilevel"/>
    <w:tmpl w:val="2C8A2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F27315D"/>
    <w:multiLevelType w:val="hybridMultilevel"/>
    <w:tmpl w:val="F7B806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F614BD4"/>
    <w:multiLevelType w:val="hybridMultilevel"/>
    <w:tmpl w:val="7E9A4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F6E54F1"/>
    <w:multiLevelType w:val="hybridMultilevel"/>
    <w:tmpl w:val="CB52A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4212484"/>
    <w:multiLevelType w:val="hybridMultilevel"/>
    <w:tmpl w:val="2C505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43767EB"/>
    <w:multiLevelType w:val="hybridMultilevel"/>
    <w:tmpl w:val="FEF0FA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5A53A8A"/>
    <w:multiLevelType w:val="hybridMultilevel"/>
    <w:tmpl w:val="0CDCB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6922F99"/>
    <w:multiLevelType w:val="hybridMultilevel"/>
    <w:tmpl w:val="55D40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1" w15:restartNumberingAfterBreak="0">
    <w:nsid w:val="670D3215"/>
    <w:multiLevelType w:val="hybridMultilevel"/>
    <w:tmpl w:val="209C5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A940A6D"/>
    <w:multiLevelType w:val="hybridMultilevel"/>
    <w:tmpl w:val="B97EC7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B835540"/>
    <w:multiLevelType w:val="hybridMultilevel"/>
    <w:tmpl w:val="8DE4E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B934322"/>
    <w:multiLevelType w:val="hybridMultilevel"/>
    <w:tmpl w:val="92929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D8B3B54"/>
    <w:multiLevelType w:val="hybridMultilevel"/>
    <w:tmpl w:val="949A54C0"/>
    <w:lvl w:ilvl="0" w:tplc="1286000E">
      <w:start w:val="1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E422E42"/>
    <w:multiLevelType w:val="hybridMultilevel"/>
    <w:tmpl w:val="7C8A4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FBC5F87"/>
    <w:multiLevelType w:val="hybridMultilevel"/>
    <w:tmpl w:val="37587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0605D9B"/>
    <w:multiLevelType w:val="hybridMultilevel"/>
    <w:tmpl w:val="7DD6D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07C281C"/>
    <w:multiLevelType w:val="hybridMultilevel"/>
    <w:tmpl w:val="E1D8A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721602B1"/>
    <w:multiLevelType w:val="hybridMultilevel"/>
    <w:tmpl w:val="B332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2365A75"/>
    <w:multiLevelType w:val="hybridMultilevel"/>
    <w:tmpl w:val="25D23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24C1BEE"/>
    <w:multiLevelType w:val="hybridMultilevel"/>
    <w:tmpl w:val="D6421F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3874C71"/>
    <w:multiLevelType w:val="hybridMultilevel"/>
    <w:tmpl w:val="E52C6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3D32F34"/>
    <w:multiLevelType w:val="hybridMultilevel"/>
    <w:tmpl w:val="E23EF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4582EE9"/>
    <w:multiLevelType w:val="hybridMultilevel"/>
    <w:tmpl w:val="D0DC1216"/>
    <w:lvl w:ilvl="0" w:tplc="1286000E">
      <w:start w:val="1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5CC5A96"/>
    <w:multiLevelType w:val="hybridMultilevel"/>
    <w:tmpl w:val="DD34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60C6CA4"/>
    <w:multiLevelType w:val="hybridMultilevel"/>
    <w:tmpl w:val="EE5E38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6FA3361"/>
    <w:multiLevelType w:val="hybridMultilevel"/>
    <w:tmpl w:val="B7AE4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6FE3D51"/>
    <w:multiLevelType w:val="hybridMultilevel"/>
    <w:tmpl w:val="7F821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76B07FF"/>
    <w:multiLevelType w:val="hybridMultilevel"/>
    <w:tmpl w:val="FF9CA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8720E4C"/>
    <w:multiLevelType w:val="hybridMultilevel"/>
    <w:tmpl w:val="68CE2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8774C90"/>
    <w:multiLevelType w:val="hybridMultilevel"/>
    <w:tmpl w:val="04323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92C66F3"/>
    <w:multiLevelType w:val="hybridMultilevel"/>
    <w:tmpl w:val="7D4C5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A3F1E5F"/>
    <w:multiLevelType w:val="hybridMultilevel"/>
    <w:tmpl w:val="B958E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A416C89"/>
    <w:multiLevelType w:val="hybridMultilevel"/>
    <w:tmpl w:val="0E7CF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7A752BF6"/>
    <w:multiLevelType w:val="hybridMultilevel"/>
    <w:tmpl w:val="A178FAD4"/>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7A7D6C95"/>
    <w:multiLevelType w:val="hybridMultilevel"/>
    <w:tmpl w:val="BB567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A9744FE"/>
    <w:multiLevelType w:val="hybridMultilevel"/>
    <w:tmpl w:val="279E5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D22668A"/>
    <w:multiLevelType w:val="hybridMultilevel"/>
    <w:tmpl w:val="19C4E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D446541"/>
    <w:multiLevelType w:val="hybridMultilevel"/>
    <w:tmpl w:val="69BAA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DDA65EB"/>
    <w:multiLevelType w:val="hybridMultilevel"/>
    <w:tmpl w:val="73F61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7EE559D4"/>
    <w:multiLevelType w:val="hybridMultilevel"/>
    <w:tmpl w:val="40684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1939293">
    <w:abstractNumId w:val="60"/>
  </w:num>
  <w:num w:numId="2" w16cid:durableId="19622679">
    <w:abstractNumId w:val="14"/>
  </w:num>
  <w:num w:numId="3" w16cid:durableId="1020201957">
    <w:abstractNumId w:val="122"/>
  </w:num>
  <w:num w:numId="4" w16cid:durableId="1663771272">
    <w:abstractNumId w:val="13"/>
  </w:num>
  <w:num w:numId="5" w16cid:durableId="407726108">
    <w:abstractNumId w:val="43"/>
  </w:num>
  <w:num w:numId="6" w16cid:durableId="357581979">
    <w:abstractNumId w:val="125"/>
  </w:num>
  <w:num w:numId="7" w16cid:durableId="929125193">
    <w:abstractNumId w:val="101"/>
  </w:num>
  <w:num w:numId="8" w16cid:durableId="1985811306">
    <w:abstractNumId w:val="56"/>
  </w:num>
  <w:num w:numId="9" w16cid:durableId="102695360">
    <w:abstractNumId w:val="154"/>
  </w:num>
  <w:num w:numId="10" w16cid:durableId="1954896273">
    <w:abstractNumId w:val="61"/>
  </w:num>
  <w:num w:numId="11" w16cid:durableId="659431919">
    <w:abstractNumId w:val="123"/>
  </w:num>
  <w:num w:numId="12" w16cid:durableId="1167985311">
    <w:abstractNumId w:val="68"/>
  </w:num>
  <w:num w:numId="13" w16cid:durableId="1618219242">
    <w:abstractNumId w:val="64"/>
  </w:num>
  <w:num w:numId="14" w16cid:durableId="1770462281">
    <w:abstractNumId w:val="76"/>
  </w:num>
  <w:num w:numId="15" w16cid:durableId="817497668">
    <w:abstractNumId w:val="11"/>
  </w:num>
  <w:num w:numId="16" w16cid:durableId="1825967726">
    <w:abstractNumId w:val="49"/>
  </w:num>
  <w:num w:numId="17" w16cid:durableId="2103454224">
    <w:abstractNumId w:val="8"/>
  </w:num>
  <w:num w:numId="18" w16cid:durableId="833106379">
    <w:abstractNumId w:val="20"/>
  </w:num>
  <w:num w:numId="19" w16cid:durableId="302734106">
    <w:abstractNumId w:val="107"/>
  </w:num>
  <w:num w:numId="20" w16cid:durableId="189532534">
    <w:abstractNumId w:val="25"/>
  </w:num>
  <w:num w:numId="21" w16cid:durableId="1013337714">
    <w:abstractNumId w:val="104"/>
  </w:num>
  <w:num w:numId="22" w16cid:durableId="1501654142">
    <w:abstractNumId w:val="87"/>
  </w:num>
  <w:num w:numId="23" w16cid:durableId="138574898">
    <w:abstractNumId w:val="52"/>
  </w:num>
  <w:num w:numId="24" w16cid:durableId="1073355095">
    <w:abstractNumId w:val="10"/>
  </w:num>
  <w:num w:numId="25" w16cid:durableId="229660198">
    <w:abstractNumId w:val="133"/>
  </w:num>
  <w:num w:numId="26" w16cid:durableId="857541426">
    <w:abstractNumId w:val="69"/>
  </w:num>
  <w:num w:numId="27" w16cid:durableId="585307569">
    <w:abstractNumId w:val="7"/>
  </w:num>
  <w:num w:numId="28" w16cid:durableId="316616580">
    <w:abstractNumId w:val="92"/>
  </w:num>
  <w:num w:numId="29" w16cid:durableId="672804995">
    <w:abstractNumId w:val="34"/>
  </w:num>
  <w:num w:numId="30" w16cid:durableId="1624724781">
    <w:abstractNumId w:val="147"/>
  </w:num>
  <w:num w:numId="31" w16cid:durableId="2085905165">
    <w:abstractNumId w:val="17"/>
  </w:num>
  <w:num w:numId="32" w16cid:durableId="379210504">
    <w:abstractNumId w:val="79"/>
  </w:num>
  <w:num w:numId="33" w16cid:durableId="41834445">
    <w:abstractNumId w:val="150"/>
  </w:num>
  <w:num w:numId="34" w16cid:durableId="1192912393">
    <w:abstractNumId w:val="108"/>
  </w:num>
  <w:num w:numId="35" w16cid:durableId="1914392446">
    <w:abstractNumId w:val="55"/>
  </w:num>
  <w:num w:numId="36" w16cid:durableId="1767922067">
    <w:abstractNumId w:val="110"/>
  </w:num>
  <w:num w:numId="37" w16cid:durableId="529882280">
    <w:abstractNumId w:val="48"/>
  </w:num>
  <w:num w:numId="38" w16cid:durableId="1255671531">
    <w:abstractNumId w:val="30"/>
  </w:num>
  <w:num w:numId="39" w16cid:durableId="1235626454">
    <w:abstractNumId w:val="72"/>
  </w:num>
  <w:num w:numId="40" w16cid:durableId="1849251343">
    <w:abstractNumId w:val="4"/>
  </w:num>
  <w:num w:numId="41" w16cid:durableId="689336096">
    <w:abstractNumId w:val="15"/>
  </w:num>
  <w:num w:numId="42" w16cid:durableId="1554391710">
    <w:abstractNumId w:val="124"/>
  </w:num>
  <w:num w:numId="43" w16cid:durableId="944195399">
    <w:abstractNumId w:val="58"/>
  </w:num>
  <w:num w:numId="44" w16cid:durableId="757602256">
    <w:abstractNumId w:val="161"/>
  </w:num>
  <w:num w:numId="45" w16cid:durableId="852452444">
    <w:abstractNumId w:val="131"/>
  </w:num>
  <w:num w:numId="46" w16cid:durableId="1400443857">
    <w:abstractNumId w:val="114"/>
  </w:num>
  <w:num w:numId="47" w16cid:durableId="1225682386">
    <w:abstractNumId w:val="85"/>
  </w:num>
  <w:num w:numId="48" w16cid:durableId="590548896">
    <w:abstractNumId w:val="118"/>
  </w:num>
  <w:num w:numId="49" w16cid:durableId="1602954428">
    <w:abstractNumId w:val="109"/>
  </w:num>
  <w:num w:numId="50" w16cid:durableId="687488529">
    <w:abstractNumId w:val="42"/>
  </w:num>
  <w:num w:numId="51" w16cid:durableId="392703667">
    <w:abstractNumId w:val="148"/>
  </w:num>
  <w:num w:numId="52" w16cid:durableId="792599738">
    <w:abstractNumId w:val="19"/>
  </w:num>
  <w:num w:numId="53" w16cid:durableId="262424055">
    <w:abstractNumId w:val="41"/>
  </w:num>
  <w:num w:numId="54" w16cid:durableId="712389528">
    <w:abstractNumId w:val="73"/>
  </w:num>
  <w:num w:numId="55" w16cid:durableId="739250785">
    <w:abstractNumId w:val="45"/>
  </w:num>
  <w:num w:numId="56" w16cid:durableId="744568734">
    <w:abstractNumId w:val="86"/>
  </w:num>
  <w:num w:numId="57" w16cid:durableId="2057388661">
    <w:abstractNumId w:val="145"/>
  </w:num>
  <w:num w:numId="58" w16cid:durableId="967782176">
    <w:abstractNumId w:val="40"/>
  </w:num>
  <w:num w:numId="59" w16cid:durableId="306008848">
    <w:abstractNumId w:val="155"/>
  </w:num>
  <w:num w:numId="60" w16cid:durableId="691305398">
    <w:abstractNumId w:val="44"/>
  </w:num>
  <w:num w:numId="61" w16cid:durableId="459806423">
    <w:abstractNumId w:val="137"/>
  </w:num>
  <w:num w:numId="62" w16cid:durableId="580261945">
    <w:abstractNumId w:val="63"/>
  </w:num>
  <w:num w:numId="63" w16cid:durableId="1483162182">
    <w:abstractNumId w:val="135"/>
  </w:num>
  <w:num w:numId="64" w16cid:durableId="1521315139">
    <w:abstractNumId w:val="16"/>
  </w:num>
  <w:num w:numId="65" w16cid:durableId="389816260">
    <w:abstractNumId w:val="36"/>
  </w:num>
  <w:num w:numId="66" w16cid:durableId="113327243">
    <w:abstractNumId w:val="153"/>
  </w:num>
  <w:num w:numId="67" w16cid:durableId="1612013996">
    <w:abstractNumId w:val="115"/>
  </w:num>
  <w:num w:numId="68" w16cid:durableId="1459103593">
    <w:abstractNumId w:val="53"/>
  </w:num>
  <w:num w:numId="69" w16cid:durableId="1844931810">
    <w:abstractNumId w:val="1"/>
  </w:num>
  <w:num w:numId="70" w16cid:durableId="397216195">
    <w:abstractNumId w:val="136"/>
  </w:num>
  <w:num w:numId="71" w16cid:durableId="1469779010">
    <w:abstractNumId w:val="157"/>
  </w:num>
  <w:num w:numId="72" w16cid:durableId="1855923389">
    <w:abstractNumId w:val="31"/>
  </w:num>
  <w:num w:numId="73" w16cid:durableId="2136218701">
    <w:abstractNumId w:val="71"/>
  </w:num>
  <w:num w:numId="74" w16cid:durableId="761025435">
    <w:abstractNumId w:val="80"/>
  </w:num>
  <w:num w:numId="75" w16cid:durableId="374163760">
    <w:abstractNumId w:val="23"/>
  </w:num>
  <w:num w:numId="76" w16cid:durableId="1940287426">
    <w:abstractNumId w:val="50"/>
  </w:num>
  <w:num w:numId="77" w16cid:durableId="1672638541">
    <w:abstractNumId w:val="140"/>
  </w:num>
  <w:num w:numId="78" w16cid:durableId="368141029">
    <w:abstractNumId w:val="84"/>
  </w:num>
  <w:num w:numId="79" w16cid:durableId="333731842">
    <w:abstractNumId w:val="2"/>
  </w:num>
  <w:num w:numId="80" w16cid:durableId="1804149682">
    <w:abstractNumId w:val="37"/>
  </w:num>
  <w:num w:numId="81" w16cid:durableId="712074148">
    <w:abstractNumId w:val="81"/>
  </w:num>
  <w:num w:numId="82" w16cid:durableId="1188568778">
    <w:abstractNumId w:val="106"/>
  </w:num>
  <w:num w:numId="83" w16cid:durableId="2008166545">
    <w:abstractNumId w:val="162"/>
  </w:num>
  <w:num w:numId="84" w16cid:durableId="1218979123">
    <w:abstractNumId w:val="77"/>
  </w:num>
  <w:num w:numId="85" w16cid:durableId="603995430">
    <w:abstractNumId w:val="6"/>
  </w:num>
  <w:num w:numId="86" w16cid:durableId="621114083">
    <w:abstractNumId w:val="138"/>
  </w:num>
  <w:num w:numId="87" w16cid:durableId="1160389859">
    <w:abstractNumId w:val="26"/>
  </w:num>
  <w:num w:numId="88" w16cid:durableId="1740901532">
    <w:abstractNumId w:val="89"/>
  </w:num>
  <w:num w:numId="89" w16cid:durableId="488716123">
    <w:abstractNumId w:val="152"/>
  </w:num>
  <w:num w:numId="90" w16cid:durableId="447774420">
    <w:abstractNumId w:val="90"/>
  </w:num>
  <w:num w:numId="91" w16cid:durableId="149055379">
    <w:abstractNumId w:val="83"/>
  </w:num>
  <w:num w:numId="92" w16cid:durableId="1158231690">
    <w:abstractNumId w:val="134"/>
  </w:num>
  <w:num w:numId="93" w16cid:durableId="547498463">
    <w:abstractNumId w:val="149"/>
  </w:num>
  <w:num w:numId="94" w16cid:durableId="1849170029">
    <w:abstractNumId w:val="3"/>
  </w:num>
  <w:num w:numId="95" w16cid:durableId="1078937586">
    <w:abstractNumId w:val="9"/>
  </w:num>
  <w:num w:numId="96" w16cid:durableId="643657316">
    <w:abstractNumId w:val="112"/>
  </w:num>
  <w:num w:numId="97" w16cid:durableId="1431580024">
    <w:abstractNumId w:val="12"/>
  </w:num>
  <w:num w:numId="98" w16cid:durableId="101807509">
    <w:abstractNumId w:val="116"/>
  </w:num>
  <w:num w:numId="99" w16cid:durableId="2061517020">
    <w:abstractNumId w:val="99"/>
  </w:num>
  <w:num w:numId="100" w16cid:durableId="1631085163">
    <w:abstractNumId w:val="91"/>
  </w:num>
  <w:num w:numId="101" w16cid:durableId="1698308172">
    <w:abstractNumId w:val="100"/>
  </w:num>
  <w:num w:numId="102" w16cid:durableId="1705129260">
    <w:abstractNumId w:val="5"/>
  </w:num>
  <w:num w:numId="103" w16cid:durableId="657148343">
    <w:abstractNumId w:val="70"/>
  </w:num>
  <w:num w:numId="104" w16cid:durableId="409160569">
    <w:abstractNumId w:val="102"/>
  </w:num>
  <w:num w:numId="105" w16cid:durableId="356735204">
    <w:abstractNumId w:val="126"/>
  </w:num>
  <w:num w:numId="106" w16cid:durableId="2103606749">
    <w:abstractNumId w:val="24"/>
  </w:num>
  <w:num w:numId="107" w16cid:durableId="1885946556">
    <w:abstractNumId w:val="159"/>
  </w:num>
  <w:num w:numId="108" w16cid:durableId="749885020">
    <w:abstractNumId w:val="127"/>
  </w:num>
  <w:num w:numId="109" w16cid:durableId="1791430640">
    <w:abstractNumId w:val="62"/>
  </w:num>
  <w:num w:numId="110" w16cid:durableId="1421901739">
    <w:abstractNumId w:val="39"/>
  </w:num>
  <w:num w:numId="111" w16cid:durableId="1933590503">
    <w:abstractNumId w:val="111"/>
  </w:num>
  <w:num w:numId="112" w16cid:durableId="1999378429">
    <w:abstractNumId w:val="82"/>
  </w:num>
  <w:num w:numId="113" w16cid:durableId="54743900">
    <w:abstractNumId w:val="158"/>
  </w:num>
  <w:num w:numId="114" w16cid:durableId="176584867">
    <w:abstractNumId w:val="151"/>
  </w:num>
  <w:num w:numId="115" w16cid:durableId="795951410">
    <w:abstractNumId w:val="119"/>
  </w:num>
  <w:num w:numId="116" w16cid:durableId="629047240">
    <w:abstractNumId w:val="57"/>
  </w:num>
  <w:num w:numId="117" w16cid:durableId="670833421">
    <w:abstractNumId w:val="93"/>
  </w:num>
  <w:num w:numId="118" w16cid:durableId="1416169864">
    <w:abstractNumId w:val="51"/>
  </w:num>
  <w:num w:numId="119" w16cid:durableId="1168404956">
    <w:abstractNumId w:val="113"/>
  </w:num>
  <w:num w:numId="120" w16cid:durableId="1154369629">
    <w:abstractNumId w:val="59"/>
  </w:num>
  <w:num w:numId="121" w16cid:durableId="1917326759">
    <w:abstractNumId w:val="0"/>
  </w:num>
  <w:num w:numId="122" w16cid:durableId="372195893">
    <w:abstractNumId w:val="28"/>
  </w:num>
  <w:num w:numId="123" w16cid:durableId="1653563848">
    <w:abstractNumId w:val="35"/>
  </w:num>
  <w:num w:numId="124" w16cid:durableId="70541430">
    <w:abstractNumId w:val="129"/>
  </w:num>
  <w:num w:numId="125" w16cid:durableId="1735662970">
    <w:abstractNumId w:val="88"/>
  </w:num>
  <w:num w:numId="126" w16cid:durableId="618070606">
    <w:abstractNumId w:val="38"/>
  </w:num>
  <w:num w:numId="127" w16cid:durableId="870000491">
    <w:abstractNumId w:val="67"/>
  </w:num>
  <w:num w:numId="128" w16cid:durableId="1994136457">
    <w:abstractNumId w:val="141"/>
  </w:num>
  <w:num w:numId="129" w16cid:durableId="1310555259">
    <w:abstractNumId w:val="74"/>
  </w:num>
  <w:num w:numId="130" w16cid:durableId="1931228945">
    <w:abstractNumId w:val="95"/>
  </w:num>
  <w:num w:numId="131" w16cid:durableId="1016731502">
    <w:abstractNumId w:val="29"/>
  </w:num>
  <w:num w:numId="132" w16cid:durableId="1373652137">
    <w:abstractNumId w:val="130"/>
  </w:num>
  <w:num w:numId="133" w16cid:durableId="1713266021">
    <w:abstractNumId w:val="94"/>
  </w:num>
  <w:num w:numId="134" w16cid:durableId="1588271875">
    <w:abstractNumId w:val="54"/>
  </w:num>
  <w:num w:numId="135" w16cid:durableId="142503872">
    <w:abstractNumId w:val="97"/>
  </w:num>
  <w:num w:numId="136" w16cid:durableId="182984935">
    <w:abstractNumId w:val="22"/>
  </w:num>
  <w:num w:numId="137" w16cid:durableId="1755541932">
    <w:abstractNumId w:val="160"/>
  </w:num>
  <w:num w:numId="138" w16cid:durableId="510530791">
    <w:abstractNumId w:val="105"/>
  </w:num>
  <w:num w:numId="139" w16cid:durableId="1811432699">
    <w:abstractNumId w:val="27"/>
  </w:num>
  <w:num w:numId="140" w16cid:durableId="440804313">
    <w:abstractNumId w:val="98"/>
  </w:num>
  <w:num w:numId="141" w16cid:durableId="1698700578">
    <w:abstractNumId w:val="47"/>
  </w:num>
  <w:num w:numId="142" w16cid:durableId="114833805">
    <w:abstractNumId w:val="156"/>
  </w:num>
  <w:num w:numId="143" w16cid:durableId="1549805456">
    <w:abstractNumId w:val="96"/>
  </w:num>
  <w:num w:numId="144" w16cid:durableId="451246689">
    <w:abstractNumId w:val="18"/>
  </w:num>
  <w:num w:numId="145" w16cid:durableId="350030527">
    <w:abstractNumId w:val="32"/>
  </w:num>
  <w:num w:numId="146" w16cid:durableId="2099985110">
    <w:abstractNumId w:val="75"/>
  </w:num>
  <w:num w:numId="147" w16cid:durableId="213781099">
    <w:abstractNumId w:val="33"/>
  </w:num>
  <w:num w:numId="148" w16cid:durableId="355890083">
    <w:abstractNumId w:val="46"/>
  </w:num>
  <w:num w:numId="149" w16cid:durableId="1025790764">
    <w:abstractNumId w:val="120"/>
  </w:num>
  <w:num w:numId="150" w16cid:durableId="1339505861">
    <w:abstractNumId w:val="78"/>
  </w:num>
  <w:num w:numId="151" w16cid:durableId="1458714889">
    <w:abstractNumId w:val="103"/>
  </w:num>
  <w:num w:numId="152" w16cid:durableId="26412457">
    <w:abstractNumId w:val="143"/>
  </w:num>
  <w:num w:numId="153" w16cid:durableId="990864634">
    <w:abstractNumId w:val="21"/>
  </w:num>
  <w:num w:numId="154" w16cid:durableId="1611279147">
    <w:abstractNumId w:val="144"/>
  </w:num>
  <w:num w:numId="155" w16cid:durableId="751126685">
    <w:abstractNumId w:val="139"/>
  </w:num>
  <w:num w:numId="156" w16cid:durableId="1088233308">
    <w:abstractNumId w:val="66"/>
  </w:num>
  <w:num w:numId="157" w16cid:durableId="446506639">
    <w:abstractNumId w:val="121"/>
  </w:num>
  <w:num w:numId="158" w16cid:durableId="1187450528">
    <w:abstractNumId w:val="142"/>
  </w:num>
  <w:num w:numId="159" w16cid:durableId="905191903">
    <w:abstractNumId w:val="132"/>
  </w:num>
  <w:num w:numId="160" w16cid:durableId="340401350">
    <w:abstractNumId w:val="128"/>
  </w:num>
  <w:num w:numId="161" w16cid:durableId="1413354025">
    <w:abstractNumId w:val="65"/>
  </w:num>
  <w:num w:numId="162" w16cid:durableId="698432245">
    <w:abstractNumId w:val="146"/>
  </w:num>
  <w:num w:numId="163" w16cid:durableId="617182257">
    <w:abstractNumId w:val="117"/>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80"/>
  <w:hideGrammaticalErrors/>
  <w:defaultTabStop w:val="720"/>
  <w:characterSpacingControl w:val="doNotCompress"/>
  <w:hdrShapeDefaults>
    <o:shapedefaults v:ext="edit" spidmax="716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E59"/>
    <w:rsid w:val="0000043A"/>
    <w:rsid w:val="00000C91"/>
    <w:rsid w:val="00001C7C"/>
    <w:rsid w:val="00001DA4"/>
    <w:rsid w:val="00001F1B"/>
    <w:rsid w:val="00001FAF"/>
    <w:rsid w:val="00002807"/>
    <w:rsid w:val="000029F8"/>
    <w:rsid w:val="00002E51"/>
    <w:rsid w:val="00003248"/>
    <w:rsid w:val="0000327E"/>
    <w:rsid w:val="000032EE"/>
    <w:rsid w:val="000033CD"/>
    <w:rsid w:val="0000380F"/>
    <w:rsid w:val="00004068"/>
    <w:rsid w:val="00004DF0"/>
    <w:rsid w:val="00004E59"/>
    <w:rsid w:val="000050F4"/>
    <w:rsid w:val="00005B2D"/>
    <w:rsid w:val="00005BA6"/>
    <w:rsid w:val="00006456"/>
    <w:rsid w:val="000067A5"/>
    <w:rsid w:val="00006CE7"/>
    <w:rsid w:val="00006D26"/>
    <w:rsid w:val="0000707C"/>
    <w:rsid w:val="000073F7"/>
    <w:rsid w:val="000106A9"/>
    <w:rsid w:val="00010BA2"/>
    <w:rsid w:val="00010D63"/>
    <w:rsid w:val="00010E04"/>
    <w:rsid w:val="00010FAB"/>
    <w:rsid w:val="000116BF"/>
    <w:rsid w:val="000119D7"/>
    <w:rsid w:val="00011B8C"/>
    <w:rsid w:val="00013058"/>
    <w:rsid w:val="00013E6B"/>
    <w:rsid w:val="00014C55"/>
    <w:rsid w:val="0001512A"/>
    <w:rsid w:val="000156E6"/>
    <w:rsid w:val="000156FF"/>
    <w:rsid w:val="00016172"/>
    <w:rsid w:val="0001623B"/>
    <w:rsid w:val="0001634F"/>
    <w:rsid w:val="0001659E"/>
    <w:rsid w:val="00016BC9"/>
    <w:rsid w:val="00017C0C"/>
    <w:rsid w:val="00020C70"/>
    <w:rsid w:val="00020E84"/>
    <w:rsid w:val="00021839"/>
    <w:rsid w:val="0002189B"/>
    <w:rsid w:val="000222A8"/>
    <w:rsid w:val="00022985"/>
    <w:rsid w:val="000238A8"/>
    <w:rsid w:val="0002393C"/>
    <w:rsid w:val="000245E0"/>
    <w:rsid w:val="00025218"/>
    <w:rsid w:val="000254C9"/>
    <w:rsid w:val="0002632B"/>
    <w:rsid w:val="00026E50"/>
    <w:rsid w:val="00027778"/>
    <w:rsid w:val="000302A8"/>
    <w:rsid w:val="0003142D"/>
    <w:rsid w:val="00031ECB"/>
    <w:rsid w:val="00032317"/>
    <w:rsid w:val="0003245D"/>
    <w:rsid w:val="0003272C"/>
    <w:rsid w:val="00032C79"/>
    <w:rsid w:val="000343BC"/>
    <w:rsid w:val="0003521E"/>
    <w:rsid w:val="00035394"/>
    <w:rsid w:val="00035D4F"/>
    <w:rsid w:val="000363E5"/>
    <w:rsid w:val="00036A23"/>
    <w:rsid w:val="00036A75"/>
    <w:rsid w:val="00036B96"/>
    <w:rsid w:val="0003716E"/>
    <w:rsid w:val="0003765D"/>
    <w:rsid w:val="00037684"/>
    <w:rsid w:val="000378C5"/>
    <w:rsid w:val="000404D8"/>
    <w:rsid w:val="0004081F"/>
    <w:rsid w:val="00040D35"/>
    <w:rsid w:val="00040F74"/>
    <w:rsid w:val="00041373"/>
    <w:rsid w:val="000416E8"/>
    <w:rsid w:val="000417EB"/>
    <w:rsid w:val="000417EC"/>
    <w:rsid w:val="00041B9A"/>
    <w:rsid w:val="00042432"/>
    <w:rsid w:val="0004276D"/>
    <w:rsid w:val="00042EA6"/>
    <w:rsid w:val="00043465"/>
    <w:rsid w:val="000437C1"/>
    <w:rsid w:val="000443C8"/>
    <w:rsid w:val="00044756"/>
    <w:rsid w:val="000447C3"/>
    <w:rsid w:val="00044B94"/>
    <w:rsid w:val="00045270"/>
    <w:rsid w:val="00045551"/>
    <w:rsid w:val="00045C5E"/>
    <w:rsid w:val="00045EAC"/>
    <w:rsid w:val="000461A0"/>
    <w:rsid w:val="000463CF"/>
    <w:rsid w:val="000463FB"/>
    <w:rsid w:val="000465C3"/>
    <w:rsid w:val="0004668B"/>
    <w:rsid w:val="00046D68"/>
    <w:rsid w:val="00047213"/>
    <w:rsid w:val="00050440"/>
    <w:rsid w:val="000504BE"/>
    <w:rsid w:val="0005052C"/>
    <w:rsid w:val="000505A6"/>
    <w:rsid w:val="00050F9B"/>
    <w:rsid w:val="0005186A"/>
    <w:rsid w:val="00051C09"/>
    <w:rsid w:val="0005221C"/>
    <w:rsid w:val="000526EB"/>
    <w:rsid w:val="00052DC0"/>
    <w:rsid w:val="00053594"/>
    <w:rsid w:val="00054513"/>
    <w:rsid w:val="00054645"/>
    <w:rsid w:val="00054885"/>
    <w:rsid w:val="000550DD"/>
    <w:rsid w:val="000550F3"/>
    <w:rsid w:val="0005672C"/>
    <w:rsid w:val="0005702E"/>
    <w:rsid w:val="000572EB"/>
    <w:rsid w:val="00057D98"/>
    <w:rsid w:val="00057DFA"/>
    <w:rsid w:val="00060040"/>
    <w:rsid w:val="00060066"/>
    <w:rsid w:val="00061093"/>
    <w:rsid w:val="0006131F"/>
    <w:rsid w:val="000627BB"/>
    <w:rsid w:val="00063B4D"/>
    <w:rsid w:val="00063DDC"/>
    <w:rsid w:val="00063ECD"/>
    <w:rsid w:val="00064328"/>
    <w:rsid w:val="000651E0"/>
    <w:rsid w:val="00065650"/>
    <w:rsid w:val="00065A8C"/>
    <w:rsid w:val="00065F78"/>
    <w:rsid w:val="000661B8"/>
    <w:rsid w:val="0006701A"/>
    <w:rsid w:val="0006778D"/>
    <w:rsid w:val="0006784A"/>
    <w:rsid w:val="00070A65"/>
    <w:rsid w:val="00071B0A"/>
    <w:rsid w:val="00071FAD"/>
    <w:rsid w:val="00072219"/>
    <w:rsid w:val="0007272E"/>
    <w:rsid w:val="00073504"/>
    <w:rsid w:val="00073D6D"/>
    <w:rsid w:val="00074C87"/>
    <w:rsid w:val="0007522D"/>
    <w:rsid w:val="000752E4"/>
    <w:rsid w:val="000753D8"/>
    <w:rsid w:val="00075FB8"/>
    <w:rsid w:val="0007663C"/>
    <w:rsid w:val="00076C7C"/>
    <w:rsid w:val="00076F21"/>
    <w:rsid w:val="00077796"/>
    <w:rsid w:val="00077870"/>
    <w:rsid w:val="00077B97"/>
    <w:rsid w:val="00077E29"/>
    <w:rsid w:val="00080112"/>
    <w:rsid w:val="00080BE7"/>
    <w:rsid w:val="00080CFC"/>
    <w:rsid w:val="00080F1D"/>
    <w:rsid w:val="0008106C"/>
    <w:rsid w:val="0008119F"/>
    <w:rsid w:val="00081416"/>
    <w:rsid w:val="000838CD"/>
    <w:rsid w:val="00084E56"/>
    <w:rsid w:val="00084F4A"/>
    <w:rsid w:val="00084F4B"/>
    <w:rsid w:val="00085BCA"/>
    <w:rsid w:val="00085FA9"/>
    <w:rsid w:val="000864D8"/>
    <w:rsid w:val="00086A55"/>
    <w:rsid w:val="00086B13"/>
    <w:rsid w:val="00087797"/>
    <w:rsid w:val="000877F7"/>
    <w:rsid w:val="00087D21"/>
    <w:rsid w:val="00087D31"/>
    <w:rsid w:val="000906DA"/>
    <w:rsid w:val="0009076D"/>
    <w:rsid w:val="000908D5"/>
    <w:rsid w:val="0009096B"/>
    <w:rsid w:val="00090F20"/>
    <w:rsid w:val="000912CF"/>
    <w:rsid w:val="00091E0D"/>
    <w:rsid w:val="000928AB"/>
    <w:rsid w:val="00092B11"/>
    <w:rsid w:val="00092B57"/>
    <w:rsid w:val="00092C7A"/>
    <w:rsid w:val="00094251"/>
    <w:rsid w:val="0009434B"/>
    <w:rsid w:val="000945A3"/>
    <w:rsid w:val="00094BBB"/>
    <w:rsid w:val="000957CB"/>
    <w:rsid w:val="000957E9"/>
    <w:rsid w:val="00096E21"/>
    <w:rsid w:val="00096F4C"/>
    <w:rsid w:val="00097BF7"/>
    <w:rsid w:val="00097DED"/>
    <w:rsid w:val="00097E2B"/>
    <w:rsid w:val="00097FCD"/>
    <w:rsid w:val="000A033E"/>
    <w:rsid w:val="000A048F"/>
    <w:rsid w:val="000A1BC2"/>
    <w:rsid w:val="000A2201"/>
    <w:rsid w:val="000A2219"/>
    <w:rsid w:val="000A238C"/>
    <w:rsid w:val="000A2F25"/>
    <w:rsid w:val="000A3350"/>
    <w:rsid w:val="000A3353"/>
    <w:rsid w:val="000A358A"/>
    <w:rsid w:val="000A424C"/>
    <w:rsid w:val="000A51A8"/>
    <w:rsid w:val="000A663D"/>
    <w:rsid w:val="000A6A64"/>
    <w:rsid w:val="000A6BD7"/>
    <w:rsid w:val="000A6C9F"/>
    <w:rsid w:val="000A6E0E"/>
    <w:rsid w:val="000A6E91"/>
    <w:rsid w:val="000A7599"/>
    <w:rsid w:val="000A7D55"/>
    <w:rsid w:val="000B0007"/>
    <w:rsid w:val="000B0802"/>
    <w:rsid w:val="000B08F1"/>
    <w:rsid w:val="000B09A5"/>
    <w:rsid w:val="000B1064"/>
    <w:rsid w:val="000B1D4B"/>
    <w:rsid w:val="000B231E"/>
    <w:rsid w:val="000B257C"/>
    <w:rsid w:val="000B29ED"/>
    <w:rsid w:val="000B2A73"/>
    <w:rsid w:val="000B2D30"/>
    <w:rsid w:val="000B377D"/>
    <w:rsid w:val="000B41F3"/>
    <w:rsid w:val="000B43D7"/>
    <w:rsid w:val="000B454B"/>
    <w:rsid w:val="000B48F0"/>
    <w:rsid w:val="000B4A9E"/>
    <w:rsid w:val="000B535E"/>
    <w:rsid w:val="000B53EB"/>
    <w:rsid w:val="000B5828"/>
    <w:rsid w:val="000B5D39"/>
    <w:rsid w:val="000B7221"/>
    <w:rsid w:val="000B764E"/>
    <w:rsid w:val="000B7870"/>
    <w:rsid w:val="000B7A46"/>
    <w:rsid w:val="000C01B5"/>
    <w:rsid w:val="000C0947"/>
    <w:rsid w:val="000C0DFA"/>
    <w:rsid w:val="000C1D99"/>
    <w:rsid w:val="000C1DE8"/>
    <w:rsid w:val="000C2D1F"/>
    <w:rsid w:val="000C30E1"/>
    <w:rsid w:val="000C38C0"/>
    <w:rsid w:val="000C41F3"/>
    <w:rsid w:val="000C4C3F"/>
    <w:rsid w:val="000C4F52"/>
    <w:rsid w:val="000C5B97"/>
    <w:rsid w:val="000C5F50"/>
    <w:rsid w:val="000C605D"/>
    <w:rsid w:val="000C60FB"/>
    <w:rsid w:val="000C6229"/>
    <w:rsid w:val="000C6383"/>
    <w:rsid w:val="000C654C"/>
    <w:rsid w:val="000C69F1"/>
    <w:rsid w:val="000C6D2F"/>
    <w:rsid w:val="000C6EA2"/>
    <w:rsid w:val="000C7C03"/>
    <w:rsid w:val="000C7E8B"/>
    <w:rsid w:val="000D177C"/>
    <w:rsid w:val="000D19AF"/>
    <w:rsid w:val="000D2267"/>
    <w:rsid w:val="000D2625"/>
    <w:rsid w:val="000D2809"/>
    <w:rsid w:val="000D2D08"/>
    <w:rsid w:val="000D3547"/>
    <w:rsid w:val="000D40AC"/>
    <w:rsid w:val="000D5519"/>
    <w:rsid w:val="000D6321"/>
    <w:rsid w:val="000D6C18"/>
    <w:rsid w:val="000D6C96"/>
    <w:rsid w:val="000D7999"/>
    <w:rsid w:val="000D7A7F"/>
    <w:rsid w:val="000D7B49"/>
    <w:rsid w:val="000D7ECC"/>
    <w:rsid w:val="000E09F6"/>
    <w:rsid w:val="000E0D9A"/>
    <w:rsid w:val="000E1130"/>
    <w:rsid w:val="000E131D"/>
    <w:rsid w:val="000E1ADC"/>
    <w:rsid w:val="000E1E4C"/>
    <w:rsid w:val="000E2448"/>
    <w:rsid w:val="000E2D07"/>
    <w:rsid w:val="000E2FC3"/>
    <w:rsid w:val="000E3424"/>
    <w:rsid w:val="000E3D27"/>
    <w:rsid w:val="000E4158"/>
    <w:rsid w:val="000E4523"/>
    <w:rsid w:val="000E4BFA"/>
    <w:rsid w:val="000E5744"/>
    <w:rsid w:val="000E5FA7"/>
    <w:rsid w:val="000E63F5"/>
    <w:rsid w:val="000E65AE"/>
    <w:rsid w:val="000E6F62"/>
    <w:rsid w:val="000E7244"/>
    <w:rsid w:val="000F04D4"/>
    <w:rsid w:val="000F101C"/>
    <w:rsid w:val="000F2222"/>
    <w:rsid w:val="000F24CF"/>
    <w:rsid w:val="000F29F4"/>
    <w:rsid w:val="000F32AA"/>
    <w:rsid w:val="000F35EC"/>
    <w:rsid w:val="000F3B5C"/>
    <w:rsid w:val="000F4A2C"/>
    <w:rsid w:val="000F4E96"/>
    <w:rsid w:val="000F698C"/>
    <w:rsid w:val="000F716D"/>
    <w:rsid w:val="0010036E"/>
    <w:rsid w:val="001003D2"/>
    <w:rsid w:val="0010093D"/>
    <w:rsid w:val="00100B49"/>
    <w:rsid w:val="00100E1C"/>
    <w:rsid w:val="00100E1F"/>
    <w:rsid w:val="00101B8D"/>
    <w:rsid w:val="00102A62"/>
    <w:rsid w:val="00102AD7"/>
    <w:rsid w:val="00103243"/>
    <w:rsid w:val="00103D55"/>
    <w:rsid w:val="001045A1"/>
    <w:rsid w:val="001047A6"/>
    <w:rsid w:val="00104C18"/>
    <w:rsid w:val="00104DD8"/>
    <w:rsid w:val="00105302"/>
    <w:rsid w:val="00105349"/>
    <w:rsid w:val="00105363"/>
    <w:rsid w:val="001054AB"/>
    <w:rsid w:val="00105AF1"/>
    <w:rsid w:val="001061CF"/>
    <w:rsid w:val="00106649"/>
    <w:rsid w:val="00106EB1"/>
    <w:rsid w:val="00106EE1"/>
    <w:rsid w:val="001075F3"/>
    <w:rsid w:val="00107812"/>
    <w:rsid w:val="001103BB"/>
    <w:rsid w:val="0011147B"/>
    <w:rsid w:val="00112835"/>
    <w:rsid w:val="001128D5"/>
    <w:rsid w:val="00112DAE"/>
    <w:rsid w:val="00113628"/>
    <w:rsid w:val="001138D2"/>
    <w:rsid w:val="001141D1"/>
    <w:rsid w:val="0011458D"/>
    <w:rsid w:val="001146C8"/>
    <w:rsid w:val="001147FA"/>
    <w:rsid w:val="001162FD"/>
    <w:rsid w:val="0011705F"/>
    <w:rsid w:val="00117BD6"/>
    <w:rsid w:val="00117E3C"/>
    <w:rsid w:val="00120809"/>
    <w:rsid w:val="00121F42"/>
    <w:rsid w:val="0012230B"/>
    <w:rsid w:val="00122571"/>
    <w:rsid w:val="00122B05"/>
    <w:rsid w:val="00122B82"/>
    <w:rsid w:val="00122BFD"/>
    <w:rsid w:val="001234D6"/>
    <w:rsid w:val="001238ED"/>
    <w:rsid w:val="00123F24"/>
    <w:rsid w:val="00124C67"/>
    <w:rsid w:val="00124F15"/>
    <w:rsid w:val="00125184"/>
    <w:rsid w:val="001252AA"/>
    <w:rsid w:val="00125F57"/>
    <w:rsid w:val="001263B0"/>
    <w:rsid w:val="0012661D"/>
    <w:rsid w:val="00127167"/>
    <w:rsid w:val="001301BD"/>
    <w:rsid w:val="001317B0"/>
    <w:rsid w:val="00131967"/>
    <w:rsid w:val="0013199B"/>
    <w:rsid w:val="00132526"/>
    <w:rsid w:val="001327D3"/>
    <w:rsid w:val="00132B9E"/>
    <w:rsid w:val="00133B85"/>
    <w:rsid w:val="00134175"/>
    <w:rsid w:val="001345CC"/>
    <w:rsid w:val="00135133"/>
    <w:rsid w:val="00135285"/>
    <w:rsid w:val="001362C4"/>
    <w:rsid w:val="001366D5"/>
    <w:rsid w:val="001373E4"/>
    <w:rsid w:val="001374A8"/>
    <w:rsid w:val="00140286"/>
    <w:rsid w:val="001402DE"/>
    <w:rsid w:val="00140792"/>
    <w:rsid w:val="00140B2C"/>
    <w:rsid w:val="00140DA8"/>
    <w:rsid w:val="001419F4"/>
    <w:rsid w:val="00141A14"/>
    <w:rsid w:val="0014293F"/>
    <w:rsid w:val="00142E15"/>
    <w:rsid w:val="00142EFD"/>
    <w:rsid w:val="00143337"/>
    <w:rsid w:val="00143834"/>
    <w:rsid w:val="00143C51"/>
    <w:rsid w:val="0014428B"/>
    <w:rsid w:val="00144B2C"/>
    <w:rsid w:val="00144BD1"/>
    <w:rsid w:val="00144ECF"/>
    <w:rsid w:val="001454A2"/>
    <w:rsid w:val="001454BA"/>
    <w:rsid w:val="001455E9"/>
    <w:rsid w:val="0014614F"/>
    <w:rsid w:val="00146CF1"/>
    <w:rsid w:val="001473C1"/>
    <w:rsid w:val="001479E3"/>
    <w:rsid w:val="00150F12"/>
    <w:rsid w:val="00150F40"/>
    <w:rsid w:val="00151109"/>
    <w:rsid w:val="00152B4C"/>
    <w:rsid w:val="00153D8E"/>
    <w:rsid w:val="00153DB1"/>
    <w:rsid w:val="00153EA6"/>
    <w:rsid w:val="00154734"/>
    <w:rsid w:val="0015476E"/>
    <w:rsid w:val="00155474"/>
    <w:rsid w:val="00155A9E"/>
    <w:rsid w:val="00155B89"/>
    <w:rsid w:val="0015600A"/>
    <w:rsid w:val="00156F50"/>
    <w:rsid w:val="001607FD"/>
    <w:rsid w:val="00161425"/>
    <w:rsid w:val="00161F99"/>
    <w:rsid w:val="00162525"/>
    <w:rsid w:val="001629AA"/>
    <w:rsid w:val="00162A9E"/>
    <w:rsid w:val="00162E6B"/>
    <w:rsid w:val="0016340D"/>
    <w:rsid w:val="00163F72"/>
    <w:rsid w:val="00164007"/>
    <w:rsid w:val="0016419A"/>
    <w:rsid w:val="00164752"/>
    <w:rsid w:val="001647E6"/>
    <w:rsid w:val="001650A2"/>
    <w:rsid w:val="00165195"/>
    <w:rsid w:val="0016552D"/>
    <w:rsid w:val="00165ED6"/>
    <w:rsid w:val="001663E3"/>
    <w:rsid w:val="00166509"/>
    <w:rsid w:val="00166996"/>
    <w:rsid w:val="00166B79"/>
    <w:rsid w:val="00166C47"/>
    <w:rsid w:val="00166DD2"/>
    <w:rsid w:val="00166FCD"/>
    <w:rsid w:val="0016749B"/>
    <w:rsid w:val="001701AA"/>
    <w:rsid w:val="001702FE"/>
    <w:rsid w:val="00170E7B"/>
    <w:rsid w:val="0017144E"/>
    <w:rsid w:val="00171499"/>
    <w:rsid w:val="00171650"/>
    <w:rsid w:val="00171855"/>
    <w:rsid w:val="00171DD4"/>
    <w:rsid w:val="00172909"/>
    <w:rsid w:val="00173C3A"/>
    <w:rsid w:val="00174097"/>
    <w:rsid w:val="0017469D"/>
    <w:rsid w:val="001751B1"/>
    <w:rsid w:val="00175AA5"/>
    <w:rsid w:val="0017610D"/>
    <w:rsid w:val="001761E6"/>
    <w:rsid w:val="0017699B"/>
    <w:rsid w:val="001817FD"/>
    <w:rsid w:val="00182CF6"/>
    <w:rsid w:val="00182EA3"/>
    <w:rsid w:val="00183416"/>
    <w:rsid w:val="00183967"/>
    <w:rsid w:val="00184171"/>
    <w:rsid w:val="00184885"/>
    <w:rsid w:val="0018546F"/>
    <w:rsid w:val="00185F16"/>
    <w:rsid w:val="00185F3C"/>
    <w:rsid w:val="001860A1"/>
    <w:rsid w:val="001864AD"/>
    <w:rsid w:val="00186C86"/>
    <w:rsid w:val="00186E81"/>
    <w:rsid w:val="00187571"/>
    <w:rsid w:val="00187B1F"/>
    <w:rsid w:val="0019059B"/>
    <w:rsid w:val="00190FE0"/>
    <w:rsid w:val="00191AA5"/>
    <w:rsid w:val="0019227A"/>
    <w:rsid w:val="001925E4"/>
    <w:rsid w:val="001929B0"/>
    <w:rsid w:val="00193ADC"/>
    <w:rsid w:val="00194000"/>
    <w:rsid w:val="00194683"/>
    <w:rsid w:val="00195057"/>
    <w:rsid w:val="001957FE"/>
    <w:rsid w:val="0019589B"/>
    <w:rsid w:val="00195B93"/>
    <w:rsid w:val="00196274"/>
    <w:rsid w:val="00196688"/>
    <w:rsid w:val="00197226"/>
    <w:rsid w:val="00197532"/>
    <w:rsid w:val="00197DAC"/>
    <w:rsid w:val="001A0055"/>
    <w:rsid w:val="001A08AF"/>
    <w:rsid w:val="001A093E"/>
    <w:rsid w:val="001A15E5"/>
    <w:rsid w:val="001A2DB0"/>
    <w:rsid w:val="001A37ED"/>
    <w:rsid w:val="001A398A"/>
    <w:rsid w:val="001A3B94"/>
    <w:rsid w:val="001A48EC"/>
    <w:rsid w:val="001A4AA0"/>
    <w:rsid w:val="001A4C62"/>
    <w:rsid w:val="001A573F"/>
    <w:rsid w:val="001A5812"/>
    <w:rsid w:val="001A5818"/>
    <w:rsid w:val="001A5D33"/>
    <w:rsid w:val="001A5D8F"/>
    <w:rsid w:val="001A6C6C"/>
    <w:rsid w:val="001A71FD"/>
    <w:rsid w:val="001B040D"/>
    <w:rsid w:val="001B093E"/>
    <w:rsid w:val="001B0CD3"/>
    <w:rsid w:val="001B1190"/>
    <w:rsid w:val="001B1299"/>
    <w:rsid w:val="001B14E1"/>
    <w:rsid w:val="001B1BDB"/>
    <w:rsid w:val="001B2A4A"/>
    <w:rsid w:val="001B3380"/>
    <w:rsid w:val="001B33F5"/>
    <w:rsid w:val="001B3E51"/>
    <w:rsid w:val="001B3E5D"/>
    <w:rsid w:val="001B45BC"/>
    <w:rsid w:val="001B57DD"/>
    <w:rsid w:val="001B58A5"/>
    <w:rsid w:val="001B63D6"/>
    <w:rsid w:val="001B64E0"/>
    <w:rsid w:val="001B68C1"/>
    <w:rsid w:val="001B6E04"/>
    <w:rsid w:val="001B6F03"/>
    <w:rsid w:val="001B7775"/>
    <w:rsid w:val="001B7B8C"/>
    <w:rsid w:val="001B7C05"/>
    <w:rsid w:val="001B7CDE"/>
    <w:rsid w:val="001B7DC7"/>
    <w:rsid w:val="001B7E3B"/>
    <w:rsid w:val="001C0BC9"/>
    <w:rsid w:val="001C0EC1"/>
    <w:rsid w:val="001C156E"/>
    <w:rsid w:val="001C190E"/>
    <w:rsid w:val="001C2791"/>
    <w:rsid w:val="001C2982"/>
    <w:rsid w:val="001C29B3"/>
    <w:rsid w:val="001C2BC0"/>
    <w:rsid w:val="001C3291"/>
    <w:rsid w:val="001C32ED"/>
    <w:rsid w:val="001C3A69"/>
    <w:rsid w:val="001C4214"/>
    <w:rsid w:val="001C4B04"/>
    <w:rsid w:val="001C4D38"/>
    <w:rsid w:val="001C504A"/>
    <w:rsid w:val="001C5D6E"/>
    <w:rsid w:val="001C67D6"/>
    <w:rsid w:val="001C6D25"/>
    <w:rsid w:val="001C706C"/>
    <w:rsid w:val="001C72DD"/>
    <w:rsid w:val="001C772B"/>
    <w:rsid w:val="001C7830"/>
    <w:rsid w:val="001C7C1B"/>
    <w:rsid w:val="001D0479"/>
    <w:rsid w:val="001D04B9"/>
    <w:rsid w:val="001D08C6"/>
    <w:rsid w:val="001D0D08"/>
    <w:rsid w:val="001D0F75"/>
    <w:rsid w:val="001D12CE"/>
    <w:rsid w:val="001D26E2"/>
    <w:rsid w:val="001D2B25"/>
    <w:rsid w:val="001D2D8A"/>
    <w:rsid w:val="001D3403"/>
    <w:rsid w:val="001D35C9"/>
    <w:rsid w:val="001D3E79"/>
    <w:rsid w:val="001D400F"/>
    <w:rsid w:val="001D44E1"/>
    <w:rsid w:val="001D4939"/>
    <w:rsid w:val="001D4C0D"/>
    <w:rsid w:val="001D543F"/>
    <w:rsid w:val="001D58BB"/>
    <w:rsid w:val="001D5F99"/>
    <w:rsid w:val="001D626C"/>
    <w:rsid w:val="001D67B1"/>
    <w:rsid w:val="001D695C"/>
    <w:rsid w:val="001D6998"/>
    <w:rsid w:val="001D773E"/>
    <w:rsid w:val="001E0087"/>
    <w:rsid w:val="001E011D"/>
    <w:rsid w:val="001E0E12"/>
    <w:rsid w:val="001E15C1"/>
    <w:rsid w:val="001E1881"/>
    <w:rsid w:val="001E21CD"/>
    <w:rsid w:val="001E2A92"/>
    <w:rsid w:val="001E305C"/>
    <w:rsid w:val="001E341C"/>
    <w:rsid w:val="001E3474"/>
    <w:rsid w:val="001E3718"/>
    <w:rsid w:val="001E3A88"/>
    <w:rsid w:val="001E3C1B"/>
    <w:rsid w:val="001E3E1F"/>
    <w:rsid w:val="001E3E49"/>
    <w:rsid w:val="001E4BA4"/>
    <w:rsid w:val="001E558D"/>
    <w:rsid w:val="001E5D6F"/>
    <w:rsid w:val="001E5F43"/>
    <w:rsid w:val="001E61F9"/>
    <w:rsid w:val="001E65B4"/>
    <w:rsid w:val="001E65C0"/>
    <w:rsid w:val="001E6B13"/>
    <w:rsid w:val="001E6BBD"/>
    <w:rsid w:val="001E6EFC"/>
    <w:rsid w:val="001E7F9A"/>
    <w:rsid w:val="001F0587"/>
    <w:rsid w:val="001F05AF"/>
    <w:rsid w:val="001F0917"/>
    <w:rsid w:val="001F0F50"/>
    <w:rsid w:val="001F1B8F"/>
    <w:rsid w:val="001F226E"/>
    <w:rsid w:val="001F2ABB"/>
    <w:rsid w:val="001F2F31"/>
    <w:rsid w:val="001F354E"/>
    <w:rsid w:val="001F3AFF"/>
    <w:rsid w:val="001F3FCF"/>
    <w:rsid w:val="001F4D47"/>
    <w:rsid w:val="001F4DBC"/>
    <w:rsid w:val="001F51DD"/>
    <w:rsid w:val="001F564A"/>
    <w:rsid w:val="001F57CB"/>
    <w:rsid w:val="001F584E"/>
    <w:rsid w:val="001F5A7E"/>
    <w:rsid w:val="001F5D84"/>
    <w:rsid w:val="001F682F"/>
    <w:rsid w:val="001F79C2"/>
    <w:rsid w:val="002004B0"/>
    <w:rsid w:val="002008CC"/>
    <w:rsid w:val="00200FAC"/>
    <w:rsid w:val="002013CC"/>
    <w:rsid w:val="002013E0"/>
    <w:rsid w:val="00201F84"/>
    <w:rsid w:val="00202254"/>
    <w:rsid w:val="002024CD"/>
    <w:rsid w:val="00202595"/>
    <w:rsid w:val="0020269B"/>
    <w:rsid w:val="002029F4"/>
    <w:rsid w:val="00202EBA"/>
    <w:rsid w:val="00202EE0"/>
    <w:rsid w:val="00203C5E"/>
    <w:rsid w:val="00203D30"/>
    <w:rsid w:val="002044FB"/>
    <w:rsid w:val="00204740"/>
    <w:rsid w:val="00204BD0"/>
    <w:rsid w:val="00205061"/>
    <w:rsid w:val="002054A8"/>
    <w:rsid w:val="0020562D"/>
    <w:rsid w:val="00205693"/>
    <w:rsid w:val="002065FF"/>
    <w:rsid w:val="00206B55"/>
    <w:rsid w:val="00206FE9"/>
    <w:rsid w:val="002070A9"/>
    <w:rsid w:val="002076AC"/>
    <w:rsid w:val="00207B75"/>
    <w:rsid w:val="00207D20"/>
    <w:rsid w:val="00207EEC"/>
    <w:rsid w:val="002102F3"/>
    <w:rsid w:val="002105DB"/>
    <w:rsid w:val="00211488"/>
    <w:rsid w:val="0021172E"/>
    <w:rsid w:val="00211AA3"/>
    <w:rsid w:val="00212284"/>
    <w:rsid w:val="00212887"/>
    <w:rsid w:val="00213C92"/>
    <w:rsid w:val="00213D67"/>
    <w:rsid w:val="002142B7"/>
    <w:rsid w:val="00214A2B"/>
    <w:rsid w:val="00215158"/>
    <w:rsid w:val="002151A6"/>
    <w:rsid w:val="00215402"/>
    <w:rsid w:val="002154E2"/>
    <w:rsid w:val="00215870"/>
    <w:rsid w:val="00216370"/>
    <w:rsid w:val="00216867"/>
    <w:rsid w:val="00216D73"/>
    <w:rsid w:val="00217241"/>
    <w:rsid w:val="00217B27"/>
    <w:rsid w:val="002208A2"/>
    <w:rsid w:val="00220941"/>
    <w:rsid w:val="00221632"/>
    <w:rsid w:val="002217A8"/>
    <w:rsid w:val="00221951"/>
    <w:rsid w:val="002222CD"/>
    <w:rsid w:val="00222B55"/>
    <w:rsid w:val="002234E4"/>
    <w:rsid w:val="002239A6"/>
    <w:rsid w:val="00224B31"/>
    <w:rsid w:val="00224BF1"/>
    <w:rsid w:val="002254FB"/>
    <w:rsid w:val="002259EC"/>
    <w:rsid w:val="00225EB0"/>
    <w:rsid w:val="00226E61"/>
    <w:rsid w:val="00227F73"/>
    <w:rsid w:val="00227F91"/>
    <w:rsid w:val="0023056F"/>
    <w:rsid w:val="0023089A"/>
    <w:rsid w:val="00230BB9"/>
    <w:rsid w:val="00230D75"/>
    <w:rsid w:val="00231AC8"/>
    <w:rsid w:val="00231B06"/>
    <w:rsid w:val="0023270A"/>
    <w:rsid w:val="00232804"/>
    <w:rsid w:val="002328D7"/>
    <w:rsid w:val="0023341A"/>
    <w:rsid w:val="002336C4"/>
    <w:rsid w:val="00233BF1"/>
    <w:rsid w:val="00233DF3"/>
    <w:rsid w:val="0023461B"/>
    <w:rsid w:val="00234714"/>
    <w:rsid w:val="0023475C"/>
    <w:rsid w:val="002347E9"/>
    <w:rsid w:val="00235027"/>
    <w:rsid w:val="002350F7"/>
    <w:rsid w:val="00235584"/>
    <w:rsid w:val="00235B92"/>
    <w:rsid w:val="00235DEE"/>
    <w:rsid w:val="00235E1D"/>
    <w:rsid w:val="002365A7"/>
    <w:rsid w:val="00236AD9"/>
    <w:rsid w:val="00236BC0"/>
    <w:rsid w:val="00236BE1"/>
    <w:rsid w:val="00236F76"/>
    <w:rsid w:val="0023751E"/>
    <w:rsid w:val="00237756"/>
    <w:rsid w:val="00240A66"/>
    <w:rsid w:val="00240D82"/>
    <w:rsid w:val="00240F28"/>
    <w:rsid w:val="00240FEB"/>
    <w:rsid w:val="002419B9"/>
    <w:rsid w:val="00241D3F"/>
    <w:rsid w:val="00241F00"/>
    <w:rsid w:val="002422C5"/>
    <w:rsid w:val="00242621"/>
    <w:rsid w:val="002428A7"/>
    <w:rsid w:val="00242D99"/>
    <w:rsid w:val="00243108"/>
    <w:rsid w:val="002431D0"/>
    <w:rsid w:val="00243A7D"/>
    <w:rsid w:val="00243CDB"/>
    <w:rsid w:val="00244161"/>
    <w:rsid w:val="002441E7"/>
    <w:rsid w:val="00244560"/>
    <w:rsid w:val="00244D93"/>
    <w:rsid w:val="00244E86"/>
    <w:rsid w:val="002452B8"/>
    <w:rsid w:val="0024577B"/>
    <w:rsid w:val="00245EBD"/>
    <w:rsid w:val="00245F0F"/>
    <w:rsid w:val="002460C2"/>
    <w:rsid w:val="00246118"/>
    <w:rsid w:val="002464B6"/>
    <w:rsid w:val="00246F0E"/>
    <w:rsid w:val="00247DE4"/>
    <w:rsid w:val="00247F03"/>
    <w:rsid w:val="002500DF"/>
    <w:rsid w:val="002513B0"/>
    <w:rsid w:val="00251582"/>
    <w:rsid w:val="00251A78"/>
    <w:rsid w:val="00251D09"/>
    <w:rsid w:val="00251E63"/>
    <w:rsid w:val="00252032"/>
    <w:rsid w:val="00252156"/>
    <w:rsid w:val="00252B2B"/>
    <w:rsid w:val="00253528"/>
    <w:rsid w:val="00254793"/>
    <w:rsid w:val="00254DA0"/>
    <w:rsid w:val="0025578A"/>
    <w:rsid w:val="00256997"/>
    <w:rsid w:val="00256B99"/>
    <w:rsid w:val="00256E0A"/>
    <w:rsid w:val="0025732D"/>
    <w:rsid w:val="002573C2"/>
    <w:rsid w:val="002579D3"/>
    <w:rsid w:val="00257AD7"/>
    <w:rsid w:val="00257ADE"/>
    <w:rsid w:val="002601AF"/>
    <w:rsid w:val="00260D0F"/>
    <w:rsid w:val="0026109B"/>
    <w:rsid w:val="002617B5"/>
    <w:rsid w:val="00261E61"/>
    <w:rsid w:val="0026208C"/>
    <w:rsid w:val="002620C4"/>
    <w:rsid w:val="0026259E"/>
    <w:rsid w:val="00262838"/>
    <w:rsid w:val="00262C5D"/>
    <w:rsid w:val="00262D6E"/>
    <w:rsid w:val="00263042"/>
    <w:rsid w:val="002641F9"/>
    <w:rsid w:val="0026511E"/>
    <w:rsid w:val="002659CF"/>
    <w:rsid w:val="00266703"/>
    <w:rsid w:val="00266839"/>
    <w:rsid w:val="00266FE9"/>
    <w:rsid w:val="0026703B"/>
    <w:rsid w:val="002674ED"/>
    <w:rsid w:val="0026765B"/>
    <w:rsid w:val="002679D6"/>
    <w:rsid w:val="00267CD1"/>
    <w:rsid w:val="002704CC"/>
    <w:rsid w:val="00270B0A"/>
    <w:rsid w:val="00270C93"/>
    <w:rsid w:val="00270F8D"/>
    <w:rsid w:val="00271DD3"/>
    <w:rsid w:val="0027220D"/>
    <w:rsid w:val="00272ECC"/>
    <w:rsid w:val="0027430A"/>
    <w:rsid w:val="0027457B"/>
    <w:rsid w:val="002748C4"/>
    <w:rsid w:val="00275413"/>
    <w:rsid w:val="00275706"/>
    <w:rsid w:val="00275BCC"/>
    <w:rsid w:val="00275C9D"/>
    <w:rsid w:val="00275CD6"/>
    <w:rsid w:val="00275E98"/>
    <w:rsid w:val="00276F6C"/>
    <w:rsid w:val="00277EA3"/>
    <w:rsid w:val="00280C56"/>
    <w:rsid w:val="00282008"/>
    <w:rsid w:val="002823D8"/>
    <w:rsid w:val="0028292A"/>
    <w:rsid w:val="00282FC8"/>
    <w:rsid w:val="00283BD4"/>
    <w:rsid w:val="0028416B"/>
    <w:rsid w:val="0028447E"/>
    <w:rsid w:val="00284861"/>
    <w:rsid w:val="00285819"/>
    <w:rsid w:val="00285A2F"/>
    <w:rsid w:val="00285B70"/>
    <w:rsid w:val="0028671B"/>
    <w:rsid w:val="00286866"/>
    <w:rsid w:val="00286DA6"/>
    <w:rsid w:val="00287398"/>
    <w:rsid w:val="002876E4"/>
    <w:rsid w:val="002879E9"/>
    <w:rsid w:val="00290B0D"/>
    <w:rsid w:val="002910AF"/>
    <w:rsid w:val="0029496C"/>
    <w:rsid w:val="0029579B"/>
    <w:rsid w:val="00295831"/>
    <w:rsid w:val="00295841"/>
    <w:rsid w:val="00295A3E"/>
    <w:rsid w:val="00295EC8"/>
    <w:rsid w:val="0029631F"/>
    <w:rsid w:val="0029669F"/>
    <w:rsid w:val="0029724D"/>
    <w:rsid w:val="00297966"/>
    <w:rsid w:val="002A006D"/>
    <w:rsid w:val="002A0965"/>
    <w:rsid w:val="002A1685"/>
    <w:rsid w:val="002A2381"/>
    <w:rsid w:val="002A2669"/>
    <w:rsid w:val="002A28BB"/>
    <w:rsid w:val="002A2D50"/>
    <w:rsid w:val="002A45F7"/>
    <w:rsid w:val="002A4EE6"/>
    <w:rsid w:val="002A53D9"/>
    <w:rsid w:val="002A57CC"/>
    <w:rsid w:val="002A65D2"/>
    <w:rsid w:val="002A6757"/>
    <w:rsid w:val="002A7C9D"/>
    <w:rsid w:val="002B080B"/>
    <w:rsid w:val="002B13D2"/>
    <w:rsid w:val="002B1683"/>
    <w:rsid w:val="002B1DAE"/>
    <w:rsid w:val="002B24BB"/>
    <w:rsid w:val="002B24C2"/>
    <w:rsid w:val="002B27A3"/>
    <w:rsid w:val="002B2831"/>
    <w:rsid w:val="002B2EB0"/>
    <w:rsid w:val="002B32BA"/>
    <w:rsid w:val="002B3815"/>
    <w:rsid w:val="002B45A4"/>
    <w:rsid w:val="002B45CB"/>
    <w:rsid w:val="002B481E"/>
    <w:rsid w:val="002B52C7"/>
    <w:rsid w:val="002B5B71"/>
    <w:rsid w:val="002B5EA5"/>
    <w:rsid w:val="002B6C9D"/>
    <w:rsid w:val="002B7238"/>
    <w:rsid w:val="002B7907"/>
    <w:rsid w:val="002B7C8F"/>
    <w:rsid w:val="002C0CF9"/>
    <w:rsid w:val="002C0ED6"/>
    <w:rsid w:val="002C0FED"/>
    <w:rsid w:val="002C1339"/>
    <w:rsid w:val="002C163D"/>
    <w:rsid w:val="002C190A"/>
    <w:rsid w:val="002C21C5"/>
    <w:rsid w:val="002C2F56"/>
    <w:rsid w:val="002C2F92"/>
    <w:rsid w:val="002C3287"/>
    <w:rsid w:val="002C4903"/>
    <w:rsid w:val="002C4A17"/>
    <w:rsid w:val="002C4DF0"/>
    <w:rsid w:val="002C59E5"/>
    <w:rsid w:val="002C66D1"/>
    <w:rsid w:val="002C6E5C"/>
    <w:rsid w:val="002C6E60"/>
    <w:rsid w:val="002C7C0C"/>
    <w:rsid w:val="002C7D9D"/>
    <w:rsid w:val="002D04BB"/>
    <w:rsid w:val="002D05DC"/>
    <w:rsid w:val="002D0806"/>
    <w:rsid w:val="002D1601"/>
    <w:rsid w:val="002D18DB"/>
    <w:rsid w:val="002D1F43"/>
    <w:rsid w:val="002D2010"/>
    <w:rsid w:val="002D294B"/>
    <w:rsid w:val="002D33CC"/>
    <w:rsid w:val="002D377E"/>
    <w:rsid w:val="002D4002"/>
    <w:rsid w:val="002D48AE"/>
    <w:rsid w:val="002D513B"/>
    <w:rsid w:val="002D5451"/>
    <w:rsid w:val="002D5463"/>
    <w:rsid w:val="002D55D0"/>
    <w:rsid w:val="002D5888"/>
    <w:rsid w:val="002D62B8"/>
    <w:rsid w:val="002D707C"/>
    <w:rsid w:val="002D7131"/>
    <w:rsid w:val="002D72CD"/>
    <w:rsid w:val="002D74A5"/>
    <w:rsid w:val="002D771B"/>
    <w:rsid w:val="002D7E12"/>
    <w:rsid w:val="002E1714"/>
    <w:rsid w:val="002E1D66"/>
    <w:rsid w:val="002E20C8"/>
    <w:rsid w:val="002E279A"/>
    <w:rsid w:val="002E27EA"/>
    <w:rsid w:val="002E303A"/>
    <w:rsid w:val="002E3B43"/>
    <w:rsid w:val="002E4141"/>
    <w:rsid w:val="002E4721"/>
    <w:rsid w:val="002E4DE8"/>
    <w:rsid w:val="002E5320"/>
    <w:rsid w:val="002E5732"/>
    <w:rsid w:val="002E69F9"/>
    <w:rsid w:val="002E7074"/>
    <w:rsid w:val="002E7D9F"/>
    <w:rsid w:val="002F0D0A"/>
    <w:rsid w:val="002F12FF"/>
    <w:rsid w:val="002F1C18"/>
    <w:rsid w:val="002F29F0"/>
    <w:rsid w:val="002F381C"/>
    <w:rsid w:val="002F3850"/>
    <w:rsid w:val="002F4111"/>
    <w:rsid w:val="002F5172"/>
    <w:rsid w:val="002F58AA"/>
    <w:rsid w:val="002F592A"/>
    <w:rsid w:val="002F665F"/>
    <w:rsid w:val="002F7579"/>
    <w:rsid w:val="003001A3"/>
    <w:rsid w:val="00300569"/>
    <w:rsid w:val="00300C2C"/>
    <w:rsid w:val="003020D6"/>
    <w:rsid w:val="003033C2"/>
    <w:rsid w:val="0030366D"/>
    <w:rsid w:val="00303A91"/>
    <w:rsid w:val="00303B89"/>
    <w:rsid w:val="00304AC8"/>
    <w:rsid w:val="00304C81"/>
    <w:rsid w:val="00304E94"/>
    <w:rsid w:val="003054F8"/>
    <w:rsid w:val="00305B05"/>
    <w:rsid w:val="00305F84"/>
    <w:rsid w:val="00305FB3"/>
    <w:rsid w:val="003065FB"/>
    <w:rsid w:val="00307346"/>
    <w:rsid w:val="00307A0F"/>
    <w:rsid w:val="003102F9"/>
    <w:rsid w:val="0031049A"/>
    <w:rsid w:val="003111B5"/>
    <w:rsid w:val="003113A6"/>
    <w:rsid w:val="0031180E"/>
    <w:rsid w:val="003119CF"/>
    <w:rsid w:val="00311B5A"/>
    <w:rsid w:val="00312B4D"/>
    <w:rsid w:val="003131AC"/>
    <w:rsid w:val="003147A2"/>
    <w:rsid w:val="003149EE"/>
    <w:rsid w:val="00315455"/>
    <w:rsid w:val="0031555B"/>
    <w:rsid w:val="0031575E"/>
    <w:rsid w:val="00315A19"/>
    <w:rsid w:val="00316A33"/>
    <w:rsid w:val="00316B43"/>
    <w:rsid w:val="00317AD3"/>
    <w:rsid w:val="00320AD7"/>
    <w:rsid w:val="003210FD"/>
    <w:rsid w:val="00321A04"/>
    <w:rsid w:val="00321C12"/>
    <w:rsid w:val="00323585"/>
    <w:rsid w:val="00323704"/>
    <w:rsid w:val="003239DC"/>
    <w:rsid w:val="00323FBB"/>
    <w:rsid w:val="003242CA"/>
    <w:rsid w:val="00324A63"/>
    <w:rsid w:val="00325381"/>
    <w:rsid w:val="00325628"/>
    <w:rsid w:val="00325A7D"/>
    <w:rsid w:val="00325FCD"/>
    <w:rsid w:val="003261EC"/>
    <w:rsid w:val="00326317"/>
    <w:rsid w:val="003265E6"/>
    <w:rsid w:val="00326D57"/>
    <w:rsid w:val="00327013"/>
    <w:rsid w:val="00327745"/>
    <w:rsid w:val="00327D5B"/>
    <w:rsid w:val="0033042B"/>
    <w:rsid w:val="003308A2"/>
    <w:rsid w:val="00331156"/>
    <w:rsid w:val="00332AD9"/>
    <w:rsid w:val="00332E1F"/>
    <w:rsid w:val="00332EF3"/>
    <w:rsid w:val="00333597"/>
    <w:rsid w:val="00333D44"/>
    <w:rsid w:val="00334495"/>
    <w:rsid w:val="00334853"/>
    <w:rsid w:val="00334F77"/>
    <w:rsid w:val="00335BFE"/>
    <w:rsid w:val="00336C16"/>
    <w:rsid w:val="003373D2"/>
    <w:rsid w:val="003377CD"/>
    <w:rsid w:val="003422A4"/>
    <w:rsid w:val="0034300D"/>
    <w:rsid w:val="003445E6"/>
    <w:rsid w:val="003448C8"/>
    <w:rsid w:val="00344FEA"/>
    <w:rsid w:val="00345524"/>
    <w:rsid w:val="00345C10"/>
    <w:rsid w:val="00345D80"/>
    <w:rsid w:val="00345D8D"/>
    <w:rsid w:val="00345DD1"/>
    <w:rsid w:val="003464EE"/>
    <w:rsid w:val="00346B2C"/>
    <w:rsid w:val="00346E5B"/>
    <w:rsid w:val="00347209"/>
    <w:rsid w:val="003472AA"/>
    <w:rsid w:val="003472BF"/>
    <w:rsid w:val="003473D1"/>
    <w:rsid w:val="003477B1"/>
    <w:rsid w:val="00347BD3"/>
    <w:rsid w:val="00347FDE"/>
    <w:rsid w:val="00350A14"/>
    <w:rsid w:val="00350D72"/>
    <w:rsid w:val="00351DD9"/>
    <w:rsid w:val="00351DFA"/>
    <w:rsid w:val="00352B63"/>
    <w:rsid w:val="00353D63"/>
    <w:rsid w:val="003545CF"/>
    <w:rsid w:val="0035480F"/>
    <w:rsid w:val="00354EDA"/>
    <w:rsid w:val="0035588A"/>
    <w:rsid w:val="00355C64"/>
    <w:rsid w:val="00356CA6"/>
    <w:rsid w:val="00357387"/>
    <w:rsid w:val="003575C0"/>
    <w:rsid w:val="00357CCA"/>
    <w:rsid w:val="0036045E"/>
    <w:rsid w:val="003608F3"/>
    <w:rsid w:val="003609EE"/>
    <w:rsid w:val="00360E61"/>
    <w:rsid w:val="00360F12"/>
    <w:rsid w:val="003613F1"/>
    <w:rsid w:val="003616A8"/>
    <w:rsid w:val="00361DFD"/>
    <w:rsid w:val="003622A9"/>
    <w:rsid w:val="003623C8"/>
    <w:rsid w:val="003629CB"/>
    <w:rsid w:val="003645EF"/>
    <w:rsid w:val="00364636"/>
    <w:rsid w:val="003648B1"/>
    <w:rsid w:val="00364D38"/>
    <w:rsid w:val="00364FAE"/>
    <w:rsid w:val="00365A08"/>
    <w:rsid w:val="00366109"/>
    <w:rsid w:val="0036675F"/>
    <w:rsid w:val="00367AEB"/>
    <w:rsid w:val="00370120"/>
    <w:rsid w:val="00370291"/>
    <w:rsid w:val="003719C4"/>
    <w:rsid w:val="00371E1B"/>
    <w:rsid w:val="00372929"/>
    <w:rsid w:val="00373291"/>
    <w:rsid w:val="00373307"/>
    <w:rsid w:val="00373335"/>
    <w:rsid w:val="0037466C"/>
    <w:rsid w:val="003746CA"/>
    <w:rsid w:val="00374DB4"/>
    <w:rsid w:val="00375F12"/>
    <w:rsid w:val="00376197"/>
    <w:rsid w:val="003762C2"/>
    <w:rsid w:val="0037656C"/>
    <w:rsid w:val="0037664F"/>
    <w:rsid w:val="003769D9"/>
    <w:rsid w:val="00376D6F"/>
    <w:rsid w:val="0037702D"/>
    <w:rsid w:val="00377793"/>
    <w:rsid w:val="0037795A"/>
    <w:rsid w:val="003801DA"/>
    <w:rsid w:val="0038124D"/>
    <w:rsid w:val="00381533"/>
    <w:rsid w:val="00381C21"/>
    <w:rsid w:val="00382212"/>
    <w:rsid w:val="00382662"/>
    <w:rsid w:val="00382698"/>
    <w:rsid w:val="0038273C"/>
    <w:rsid w:val="00382F33"/>
    <w:rsid w:val="00382FBA"/>
    <w:rsid w:val="003830CC"/>
    <w:rsid w:val="0038328F"/>
    <w:rsid w:val="00383396"/>
    <w:rsid w:val="0038349F"/>
    <w:rsid w:val="00384428"/>
    <w:rsid w:val="003845C2"/>
    <w:rsid w:val="00384E79"/>
    <w:rsid w:val="00385023"/>
    <w:rsid w:val="0038508E"/>
    <w:rsid w:val="00385104"/>
    <w:rsid w:val="00385ED3"/>
    <w:rsid w:val="003868F4"/>
    <w:rsid w:val="00386B63"/>
    <w:rsid w:val="003872C7"/>
    <w:rsid w:val="0038760D"/>
    <w:rsid w:val="00387647"/>
    <w:rsid w:val="00387F38"/>
    <w:rsid w:val="00387F7E"/>
    <w:rsid w:val="00390321"/>
    <w:rsid w:val="00390DEF"/>
    <w:rsid w:val="00390EC1"/>
    <w:rsid w:val="00391A2E"/>
    <w:rsid w:val="00391CC1"/>
    <w:rsid w:val="00391FC1"/>
    <w:rsid w:val="00392B56"/>
    <w:rsid w:val="00392DCC"/>
    <w:rsid w:val="003931EB"/>
    <w:rsid w:val="0039359C"/>
    <w:rsid w:val="00393667"/>
    <w:rsid w:val="00393697"/>
    <w:rsid w:val="003944E2"/>
    <w:rsid w:val="00394624"/>
    <w:rsid w:val="003947A4"/>
    <w:rsid w:val="00394C0C"/>
    <w:rsid w:val="0039559B"/>
    <w:rsid w:val="00396410"/>
    <w:rsid w:val="00396903"/>
    <w:rsid w:val="0039756E"/>
    <w:rsid w:val="003A0F1B"/>
    <w:rsid w:val="003A10BF"/>
    <w:rsid w:val="003A152D"/>
    <w:rsid w:val="003A1727"/>
    <w:rsid w:val="003A1C7B"/>
    <w:rsid w:val="003A2D20"/>
    <w:rsid w:val="003A2FBF"/>
    <w:rsid w:val="003A303D"/>
    <w:rsid w:val="003A3CB9"/>
    <w:rsid w:val="003A3F26"/>
    <w:rsid w:val="003A4452"/>
    <w:rsid w:val="003A4FC1"/>
    <w:rsid w:val="003A61E3"/>
    <w:rsid w:val="003A6E95"/>
    <w:rsid w:val="003A7327"/>
    <w:rsid w:val="003A7CF0"/>
    <w:rsid w:val="003B0060"/>
    <w:rsid w:val="003B0265"/>
    <w:rsid w:val="003B04BC"/>
    <w:rsid w:val="003B075A"/>
    <w:rsid w:val="003B0F04"/>
    <w:rsid w:val="003B1234"/>
    <w:rsid w:val="003B1A6E"/>
    <w:rsid w:val="003B2099"/>
    <w:rsid w:val="003B20A6"/>
    <w:rsid w:val="003B2267"/>
    <w:rsid w:val="003B28B3"/>
    <w:rsid w:val="003B2EED"/>
    <w:rsid w:val="003B3665"/>
    <w:rsid w:val="003B36ED"/>
    <w:rsid w:val="003B4490"/>
    <w:rsid w:val="003B4807"/>
    <w:rsid w:val="003B5AB9"/>
    <w:rsid w:val="003B68E2"/>
    <w:rsid w:val="003B6B6E"/>
    <w:rsid w:val="003B754D"/>
    <w:rsid w:val="003B7790"/>
    <w:rsid w:val="003B7CB4"/>
    <w:rsid w:val="003C021D"/>
    <w:rsid w:val="003C0270"/>
    <w:rsid w:val="003C0432"/>
    <w:rsid w:val="003C1848"/>
    <w:rsid w:val="003C1B57"/>
    <w:rsid w:val="003C225A"/>
    <w:rsid w:val="003C268E"/>
    <w:rsid w:val="003C319B"/>
    <w:rsid w:val="003C337A"/>
    <w:rsid w:val="003C3A99"/>
    <w:rsid w:val="003C3E8E"/>
    <w:rsid w:val="003C4170"/>
    <w:rsid w:val="003C44E2"/>
    <w:rsid w:val="003C4AB5"/>
    <w:rsid w:val="003C5460"/>
    <w:rsid w:val="003C6BB0"/>
    <w:rsid w:val="003C6BB8"/>
    <w:rsid w:val="003C7136"/>
    <w:rsid w:val="003C74FA"/>
    <w:rsid w:val="003C76BC"/>
    <w:rsid w:val="003D04D5"/>
    <w:rsid w:val="003D0722"/>
    <w:rsid w:val="003D09F2"/>
    <w:rsid w:val="003D0AE6"/>
    <w:rsid w:val="003D1709"/>
    <w:rsid w:val="003D1A42"/>
    <w:rsid w:val="003D27E2"/>
    <w:rsid w:val="003D2A78"/>
    <w:rsid w:val="003D39F4"/>
    <w:rsid w:val="003D3DA8"/>
    <w:rsid w:val="003D483A"/>
    <w:rsid w:val="003D4A43"/>
    <w:rsid w:val="003D4C3B"/>
    <w:rsid w:val="003D4E3C"/>
    <w:rsid w:val="003D4E59"/>
    <w:rsid w:val="003D5077"/>
    <w:rsid w:val="003D56D5"/>
    <w:rsid w:val="003D6876"/>
    <w:rsid w:val="003D6B55"/>
    <w:rsid w:val="003D735D"/>
    <w:rsid w:val="003D77C3"/>
    <w:rsid w:val="003D7D3F"/>
    <w:rsid w:val="003D7F00"/>
    <w:rsid w:val="003D7F4E"/>
    <w:rsid w:val="003E1DD2"/>
    <w:rsid w:val="003E301A"/>
    <w:rsid w:val="003E33E6"/>
    <w:rsid w:val="003E36AC"/>
    <w:rsid w:val="003E3DA1"/>
    <w:rsid w:val="003E45B6"/>
    <w:rsid w:val="003E4663"/>
    <w:rsid w:val="003E4A75"/>
    <w:rsid w:val="003E546F"/>
    <w:rsid w:val="003E5852"/>
    <w:rsid w:val="003E5920"/>
    <w:rsid w:val="003E5B0C"/>
    <w:rsid w:val="003E5D2E"/>
    <w:rsid w:val="003E5DE8"/>
    <w:rsid w:val="003E6110"/>
    <w:rsid w:val="003E6FD2"/>
    <w:rsid w:val="003E70A8"/>
    <w:rsid w:val="003E76C9"/>
    <w:rsid w:val="003E7804"/>
    <w:rsid w:val="003E787B"/>
    <w:rsid w:val="003E7880"/>
    <w:rsid w:val="003E790F"/>
    <w:rsid w:val="003E793C"/>
    <w:rsid w:val="003F04A3"/>
    <w:rsid w:val="003F06D1"/>
    <w:rsid w:val="003F0C08"/>
    <w:rsid w:val="003F0E95"/>
    <w:rsid w:val="003F1B9E"/>
    <w:rsid w:val="003F1BDD"/>
    <w:rsid w:val="003F2955"/>
    <w:rsid w:val="003F31D0"/>
    <w:rsid w:val="003F3207"/>
    <w:rsid w:val="003F338A"/>
    <w:rsid w:val="003F3684"/>
    <w:rsid w:val="003F3C27"/>
    <w:rsid w:val="003F3FDD"/>
    <w:rsid w:val="003F48C0"/>
    <w:rsid w:val="003F5672"/>
    <w:rsid w:val="003F5B89"/>
    <w:rsid w:val="003F5C26"/>
    <w:rsid w:val="003F5E84"/>
    <w:rsid w:val="003F61CF"/>
    <w:rsid w:val="003F6225"/>
    <w:rsid w:val="003F7107"/>
    <w:rsid w:val="003F7122"/>
    <w:rsid w:val="003F7F74"/>
    <w:rsid w:val="0040013A"/>
    <w:rsid w:val="00400A00"/>
    <w:rsid w:val="0040186F"/>
    <w:rsid w:val="00401BE5"/>
    <w:rsid w:val="004022DA"/>
    <w:rsid w:val="004027AD"/>
    <w:rsid w:val="00402E65"/>
    <w:rsid w:val="00403C5D"/>
    <w:rsid w:val="004042C0"/>
    <w:rsid w:val="00404CB9"/>
    <w:rsid w:val="00404DF9"/>
    <w:rsid w:val="00405824"/>
    <w:rsid w:val="00405B63"/>
    <w:rsid w:val="00405C59"/>
    <w:rsid w:val="004068AD"/>
    <w:rsid w:val="00406DF3"/>
    <w:rsid w:val="0040702F"/>
    <w:rsid w:val="00407054"/>
    <w:rsid w:val="0040711A"/>
    <w:rsid w:val="00410921"/>
    <w:rsid w:val="00410A6E"/>
    <w:rsid w:val="00411099"/>
    <w:rsid w:val="00412FD8"/>
    <w:rsid w:val="00413790"/>
    <w:rsid w:val="0041467B"/>
    <w:rsid w:val="00415409"/>
    <w:rsid w:val="004158C4"/>
    <w:rsid w:val="00415C0E"/>
    <w:rsid w:val="00415DFB"/>
    <w:rsid w:val="00415F68"/>
    <w:rsid w:val="00416FB7"/>
    <w:rsid w:val="00417077"/>
    <w:rsid w:val="004206F4"/>
    <w:rsid w:val="00420DE2"/>
    <w:rsid w:val="00420ECA"/>
    <w:rsid w:val="00420F78"/>
    <w:rsid w:val="00421772"/>
    <w:rsid w:val="00421C6A"/>
    <w:rsid w:val="0042222A"/>
    <w:rsid w:val="004228D5"/>
    <w:rsid w:val="00422B93"/>
    <w:rsid w:val="004231D0"/>
    <w:rsid w:val="0042325B"/>
    <w:rsid w:val="00423F38"/>
    <w:rsid w:val="004245A4"/>
    <w:rsid w:val="00424A83"/>
    <w:rsid w:val="00424DD5"/>
    <w:rsid w:val="00425238"/>
    <w:rsid w:val="0042621D"/>
    <w:rsid w:val="0042630E"/>
    <w:rsid w:val="00426FDC"/>
    <w:rsid w:val="00427E09"/>
    <w:rsid w:val="00427E73"/>
    <w:rsid w:val="0043002C"/>
    <w:rsid w:val="00430418"/>
    <w:rsid w:val="00430D0F"/>
    <w:rsid w:val="00431AF6"/>
    <w:rsid w:val="004327A2"/>
    <w:rsid w:val="004339F0"/>
    <w:rsid w:val="00433BB4"/>
    <w:rsid w:val="00434553"/>
    <w:rsid w:val="00434A39"/>
    <w:rsid w:val="00434A6A"/>
    <w:rsid w:val="00434B6F"/>
    <w:rsid w:val="00434CEF"/>
    <w:rsid w:val="00434E86"/>
    <w:rsid w:val="00434EE4"/>
    <w:rsid w:val="00435423"/>
    <w:rsid w:val="00435AD9"/>
    <w:rsid w:val="00435D8C"/>
    <w:rsid w:val="0043630C"/>
    <w:rsid w:val="0043650E"/>
    <w:rsid w:val="00437184"/>
    <w:rsid w:val="0043746A"/>
    <w:rsid w:val="00437981"/>
    <w:rsid w:val="00437FE1"/>
    <w:rsid w:val="00440102"/>
    <w:rsid w:val="00440576"/>
    <w:rsid w:val="0044109A"/>
    <w:rsid w:val="004412A7"/>
    <w:rsid w:val="00441353"/>
    <w:rsid w:val="00443435"/>
    <w:rsid w:val="00443D17"/>
    <w:rsid w:val="004441DC"/>
    <w:rsid w:val="004444FF"/>
    <w:rsid w:val="00444C21"/>
    <w:rsid w:val="00445537"/>
    <w:rsid w:val="00445B7C"/>
    <w:rsid w:val="0044614E"/>
    <w:rsid w:val="004463F6"/>
    <w:rsid w:val="0044683A"/>
    <w:rsid w:val="004469F4"/>
    <w:rsid w:val="00446FDC"/>
    <w:rsid w:val="00447BBE"/>
    <w:rsid w:val="00447D0F"/>
    <w:rsid w:val="00447DB9"/>
    <w:rsid w:val="0045060A"/>
    <w:rsid w:val="0045098B"/>
    <w:rsid w:val="00450E38"/>
    <w:rsid w:val="00451610"/>
    <w:rsid w:val="00451A06"/>
    <w:rsid w:val="00451BEA"/>
    <w:rsid w:val="00451FB8"/>
    <w:rsid w:val="00453343"/>
    <w:rsid w:val="00453B01"/>
    <w:rsid w:val="00453CC4"/>
    <w:rsid w:val="00453F4A"/>
    <w:rsid w:val="00454569"/>
    <w:rsid w:val="00454C39"/>
    <w:rsid w:val="00454C6F"/>
    <w:rsid w:val="0045503E"/>
    <w:rsid w:val="00456CE2"/>
    <w:rsid w:val="00457878"/>
    <w:rsid w:val="00457DEA"/>
    <w:rsid w:val="00457F92"/>
    <w:rsid w:val="004604AF"/>
    <w:rsid w:val="00460E85"/>
    <w:rsid w:val="0046258D"/>
    <w:rsid w:val="004625BB"/>
    <w:rsid w:val="004630E7"/>
    <w:rsid w:val="004639BC"/>
    <w:rsid w:val="004644A5"/>
    <w:rsid w:val="0046502D"/>
    <w:rsid w:val="00465980"/>
    <w:rsid w:val="00465D9B"/>
    <w:rsid w:val="004664A5"/>
    <w:rsid w:val="00466738"/>
    <w:rsid w:val="00467B6B"/>
    <w:rsid w:val="00467CAC"/>
    <w:rsid w:val="00467E65"/>
    <w:rsid w:val="00467EA7"/>
    <w:rsid w:val="00467EDB"/>
    <w:rsid w:val="004706B2"/>
    <w:rsid w:val="004718AC"/>
    <w:rsid w:val="00471F2F"/>
    <w:rsid w:val="004724B1"/>
    <w:rsid w:val="00472CF9"/>
    <w:rsid w:val="00472D0B"/>
    <w:rsid w:val="0047329F"/>
    <w:rsid w:val="004735D1"/>
    <w:rsid w:val="004736DC"/>
    <w:rsid w:val="00473995"/>
    <w:rsid w:val="00474238"/>
    <w:rsid w:val="004749F9"/>
    <w:rsid w:val="00474BCB"/>
    <w:rsid w:val="004750BC"/>
    <w:rsid w:val="004753F5"/>
    <w:rsid w:val="00476640"/>
    <w:rsid w:val="004773A2"/>
    <w:rsid w:val="004774C3"/>
    <w:rsid w:val="00477A1B"/>
    <w:rsid w:val="00477C47"/>
    <w:rsid w:val="00477C85"/>
    <w:rsid w:val="00480435"/>
    <w:rsid w:val="0048074C"/>
    <w:rsid w:val="00480EAA"/>
    <w:rsid w:val="0048141A"/>
    <w:rsid w:val="00481626"/>
    <w:rsid w:val="0048194E"/>
    <w:rsid w:val="004831FE"/>
    <w:rsid w:val="004832C4"/>
    <w:rsid w:val="0048336A"/>
    <w:rsid w:val="00483389"/>
    <w:rsid w:val="00483958"/>
    <w:rsid w:val="00483B19"/>
    <w:rsid w:val="0048520C"/>
    <w:rsid w:val="004859E7"/>
    <w:rsid w:val="00486097"/>
    <w:rsid w:val="00486146"/>
    <w:rsid w:val="004871BB"/>
    <w:rsid w:val="004875AD"/>
    <w:rsid w:val="00487EF5"/>
    <w:rsid w:val="00492254"/>
    <w:rsid w:val="0049257E"/>
    <w:rsid w:val="00492B01"/>
    <w:rsid w:val="00492EEA"/>
    <w:rsid w:val="00493C3F"/>
    <w:rsid w:val="00493E55"/>
    <w:rsid w:val="00494EF6"/>
    <w:rsid w:val="00495A23"/>
    <w:rsid w:val="00495C07"/>
    <w:rsid w:val="004964E4"/>
    <w:rsid w:val="00496624"/>
    <w:rsid w:val="00496C74"/>
    <w:rsid w:val="00497229"/>
    <w:rsid w:val="004973EC"/>
    <w:rsid w:val="00497A49"/>
    <w:rsid w:val="00497D40"/>
    <w:rsid w:val="004A03C9"/>
    <w:rsid w:val="004A068F"/>
    <w:rsid w:val="004A19BF"/>
    <w:rsid w:val="004A1C18"/>
    <w:rsid w:val="004A2100"/>
    <w:rsid w:val="004A2EDA"/>
    <w:rsid w:val="004A3219"/>
    <w:rsid w:val="004A325E"/>
    <w:rsid w:val="004A35FC"/>
    <w:rsid w:val="004A3EE9"/>
    <w:rsid w:val="004A4174"/>
    <w:rsid w:val="004A4D9B"/>
    <w:rsid w:val="004A5991"/>
    <w:rsid w:val="004A6401"/>
    <w:rsid w:val="004A74C6"/>
    <w:rsid w:val="004A779A"/>
    <w:rsid w:val="004A7B6B"/>
    <w:rsid w:val="004A7B93"/>
    <w:rsid w:val="004A7DD6"/>
    <w:rsid w:val="004B1FEF"/>
    <w:rsid w:val="004B2812"/>
    <w:rsid w:val="004B2E7C"/>
    <w:rsid w:val="004B3056"/>
    <w:rsid w:val="004B33DF"/>
    <w:rsid w:val="004B3759"/>
    <w:rsid w:val="004B38B6"/>
    <w:rsid w:val="004B4457"/>
    <w:rsid w:val="004B4D84"/>
    <w:rsid w:val="004B4F30"/>
    <w:rsid w:val="004B542A"/>
    <w:rsid w:val="004B5547"/>
    <w:rsid w:val="004B569A"/>
    <w:rsid w:val="004B588F"/>
    <w:rsid w:val="004B5B8B"/>
    <w:rsid w:val="004B6F81"/>
    <w:rsid w:val="004B7549"/>
    <w:rsid w:val="004B7E82"/>
    <w:rsid w:val="004C0E81"/>
    <w:rsid w:val="004C27F6"/>
    <w:rsid w:val="004C2C90"/>
    <w:rsid w:val="004C2DB5"/>
    <w:rsid w:val="004C2E34"/>
    <w:rsid w:val="004C36B4"/>
    <w:rsid w:val="004C4255"/>
    <w:rsid w:val="004C4320"/>
    <w:rsid w:val="004C461A"/>
    <w:rsid w:val="004C4CDF"/>
    <w:rsid w:val="004C4E73"/>
    <w:rsid w:val="004C5375"/>
    <w:rsid w:val="004C5E66"/>
    <w:rsid w:val="004C60A5"/>
    <w:rsid w:val="004C66DF"/>
    <w:rsid w:val="004C6D53"/>
    <w:rsid w:val="004C7089"/>
    <w:rsid w:val="004C7C95"/>
    <w:rsid w:val="004C7EE6"/>
    <w:rsid w:val="004D0553"/>
    <w:rsid w:val="004D06BD"/>
    <w:rsid w:val="004D0A07"/>
    <w:rsid w:val="004D12F3"/>
    <w:rsid w:val="004D2918"/>
    <w:rsid w:val="004D368A"/>
    <w:rsid w:val="004D38ED"/>
    <w:rsid w:val="004D4099"/>
    <w:rsid w:val="004D4828"/>
    <w:rsid w:val="004D49DD"/>
    <w:rsid w:val="004D4AC4"/>
    <w:rsid w:val="004D4B43"/>
    <w:rsid w:val="004D51C5"/>
    <w:rsid w:val="004D5449"/>
    <w:rsid w:val="004D59C1"/>
    <w:rsid w:val="004D5E07"/>
    <w:rsid w:val="004D648A"/>
    <w:rsid w:val="004D6548"/>
    <w:rsid w:val="004D698C"/>
    <w:rsid w:val="004D6A0F"/>
    <w:rsid w:val="004D6A2F"/>
    <w:rsid w:val="004D7779"/>
    <w:rsid w:val="004D79CB"/>
    <w:rsid w:val="004D7B8C"/>
    <w:rsid w:val="004E057C"/>
    <w:rsid w:val="004E0DEA"/>
    <w:rsid w:val="004E1C63"/>
    <w:rsid w:val="004E2F41"/>
    <w:rsid w:val="004E3B8A"/>
    <w:rsid w:val="004E3FA7"/>
    <w:rsid w:val="004E5403"/>
    <w:rsid w:val="004E5E90"/>
    <w:rsid w:val="004E65CB"/>
    <w:rsid w:val="004E6977"/>
    <w:rsid w:val="004E6B36"/>
    <w:rsid w:val="004E77D7"/>
    <w:rsid w:val="004E7EAC"/>
    <w:rsid w:val="004F04C5"/>
    <w:rsid w:val="004F0A0A"/>
    <w:rsid w:val="004F0E2C"/>
    <w:rsid w:val="004F0FF8"/>
    <w:rsid w:val="004F1734"/>
    <w:rsid w:val="004F1D5E"/>
    <w:rsid w:val="004F1E8E"/>
    <w:rsid w:val="004F1EC2"/>
    <w:rsid w:val="004F21A7"/>
    <w:rsid w:val="004F2FBF"/>
    <w:rsid w:val="004F41C5"/>
    <w:rsid w:val="004F56AD"/>
    <w:rsid w:val="004F58E1"/>
    <w:rsid w:val="004F604B"/>
    <w:rsid w:val="004F646A"/>
    <w:rsid w:val="004F6624"/>
    <w:rsid w:val="004F7166"/>
    <w:rsid w:val="004F7815"/>
    <w:rsid w:val="004F7BCD"/>
    <w:rsid w:val="00500B4C"/>
    <w:rsid w:val="00500F03"/>
    <w:rsid w:val="005010EA"/>
    <w:rsid w:val="0050175B"/>
    <w:rsid w:val="0050228F"/>
    <w:rsid w:val="005022B5"/>
    <w:rsid w:val="00502813"/>
    <w:rsid w:val="00502AD7"/>
    <w:rsid w:val="00502BBC"/>
    <w:rsid w:val="00502D26"/>
    <w:rsid w:val="00502DE9"/>
    <w:rsid w:val="00502E0E"/>
    <w:rsid w:val="00502E7A"/>
    <w:rsid w:val="00503C61"/>
    <w:rsid w:val="00503FCD"/>
    <w:rsid w:val="0050417A"/>
    <w:rsid w:val="00504B82"/>
    <w:rsid w:val="00506702"/>
    <w:rsid w:val="00506D94"/>
    <w:rsid w:val="00506F87"/>
    <w:rsid w:val="00507F1A"/>
    <w:rsid w:val="0051006A"/>
    <w:rsid w:val="00510273"/>
    <w:rsid w:val="00510DF4"/>
    <w:rsid w:val="005112F5"/>
    <w:rsid w:val="00511693"/>
    <w:rsid w:val="00511A5A"/>
    <w:rsid w:val="00511B25"/>
    <w:rsid w:val="00511C44"/>
    <w:rsid w:val="00511D0C"/>
    <w:rsid w:val="00511D4D"/>
    <w:rsid w:val="0051273C"/>
    <w:rsid w:val="0051299C"/>
    <w:rsid w:val="00512E06"/>
    <w:rsid w:val="005130FF"/>
    <w:rsid w:val="00513309"/>
    <w:rsid w:val="00513BF3"/>
    <w:rsid w:val="00513E83"/>
    <w:rsid w:val="00514D87"/>
    <w:rsid w:val="00514F9F"/>
    <w:rsid w:val="0051506A"/>
    <w:rsid w:val="00515782"/>
    <w:rsid w:val="00515D50"/>
    <w:rsid w:val="00516194"/>
    <w:rsid w:val="005170C6"/>
    <w:rsid w:val="00517777"/>
    <w:rsid w:val="00520938"/>
    <w:rsid w:val="00520C1F"/>
    <w:rsid w:val="00520DB4"/>
    <w:rsid w:val="00520E01"/>
    <w:rsid w:val="00521987"/>
    <w:rsid w:val="00521E68"/>
    <w:rsid w:val="00522139"/>
    <w:rsid w:val="005231BB"/>
    <w:rsid w:val="00523387"/>
    <w:rsid w:val="00523802"/>
    <w:rsid w:val="00523A01"/>
    <w:rsid w:val="00524190"/>
    <w:rsid w:val="00524246"/>
    <w:rsid w:val="00525EAB"/>
    <w:rsid w:val="00526215"/>
    <w:rsid w:val="005262BD"/>
    <w:rsid w:val="0052632B"/>
    <w:rsid w:val="00526D12"/>
    <w:rsid w:val="005275DF"/>
    <w:rsid w:val="0052765C"/>
    <w:rsid w:val="00527AAB"/>
    <w:rsid w:val="00530C65"/>
    <w:rsid w:val="0053123A"/>
    <w:rsid w:val="00531AAB"/>
    <w:rsid w:val="00531C66"/>
    <w:rsid w:val="00531F88"/>
    <w:rsid w:val="00532054"/>
    <w:rsid w:val="00532353"/>
    <w:rsid w:val="00532491"/>
    <w:rsid w:val="00532849"/>
    <w:rsid w:val="00533159"/>
    <w:rsid w:val="005332B1"/>
    <w:rsid w:val="0053331D"/>
    <w:rsid w:val="005333B3"/>
    <w:rsid w:val="00533DA2"/>
    <w:rsid w:val="00533FB5"/>
    <w:rsid w:val="00534B0A"/>
    <w:rsid w:val="005359F4"/>
    <w:rsid w:val="00535A9B"/>
    <w:rsid w:val="00535E2D"/>
    <w:rsid w:val="00536074"/>
    <w:rsid w:val="0053644A"/>
    <w:rsid w:val="00536DA9"/>
    <w:rsid w:val="00536E98"/>
    <w:rsid w:val="00536FF0"/>
    <w:rsid w:val="00537C81"/>
    <w:rsid w:val="00537D26"/>
    <w:rsid w:val="005401B8"/>
    <w:rsid w:val="00540CB9"/>
    <w:rsid w:val="00540F6A"/>
    <w:rsid w:val="00542879"/>
    <w:rsid w:val="00542BD2"/>
    <w:rsid w:val="00542CAF"/>
    <w:rsid w:val="00542CB4"/>
    <w:rsid w:val="0054403A"/>
    <w:rsid w:val="005440C0"/>
    <w:rsid w:val="005445E3"/>
    <w:rsid w:val="00544B7D"/>
    <w:rsid w:val="00544CAD"/>
    <w:rsid w:val="00544CD2"/>
    <w:rsid w:val="00544DB3"/>
    <w:rsid w:val="00545EF1"/>
    <w:rsid w:val="00546756"/>
    <w:rsid w:val="00546B23"/>
    <w:rsid w:val="00546C8C"/>
    <w:rsid w:val="00547126"/>
    <w:rsid w:val="00547294"/>
    <w:rsid w:val="00547582"/>
    <w:rsid w:val="00547662"/>
    <w:rsid w:val="00550A88"/>
    <w:rsid w:val="00550D6F"/>
    <w:rsid w:val="00551266"/>
    <w:rsid w:val="00551BF8"/>
    <w:rsid w:val="00551DDB"/>
    <w:rsid w:val="0055299C"/>
    <w:rsid w:val="00552E6D"/>
    <w:rsid w:val="00552EAC"/>
    <w:rsid w:val="005536B7"/>
    <w:rsid w:val="00553BDB"/>
    <w:rsid w:val="00553C21"/>
    <w:rsid w:val="005545F9"/>
    <w:rsid w:val="00554673"/>
    <w:rsid w:val="00554EA7"/>
    <w:rsid w:val="00554EF7"/>
    <w:rsid w:val="00555194"/>
    <w:rsid w:val="00555E1A"/>
    <w:rsid w:val="00556551"/>
    <w:rsid w:val="00556763"/>
    <w:rsid w:val="0055758B"/>
    <w:rsid w:val="00560081"/>
    <w:rsid w:val="00560CF0"/>
    <w:rsid w:val="00560EEE"/>
    <w:rsid w:val="00561162"/>
    <w:rsid w:val="00561381"/>
    <w:rsid w:val="00561BD7"/>
    <w:rsid w:val="00561C11"/>
    <w:rsid w:val="005623BD"/>
    <w:rsid w:val="00562750"/>
    <w:rsid w:val="005628FA"/>
    <w:rsid w:val="00562AE9"/>
    <w:rsid w:val="00562BA2"/>
    <w:rsid w:val="00563316"/>
    <w:rsid w:val="005637C6"/>
    <w:rsid w:val="0056384F"/>
    <w:rsid w:val="00563962"/>
    <w:rsid w:val="00563CD6"/>
    <w:rsid w:val="00563FC3"/>
    <w:rsid w:val="00564117"/>
    <w:rsid w:val="00564922"/>
    <w:rsid w:val="00564FE1"/>
    <w:rsid w:val="00565331"/>
    <w:rsid w:val="005654DC"/>
    <w:rsid w:val="0056638F"/>
    <w:rsid w:val="00567309"/>
    <w:rsid w:val="00567CE3"/>
    <w:rsid w:val="0057021B"/>
    <w:rsid w:val="00570C32"/>
    <w:rsid w:val="00571B81"/>
    <w:rsid w:val="00571CB3"/>
    <w:rsid w:val="00571D00"/>
    <w:rsid w:val="00572206"/>
    <w:rsid w:val="00573447"/>
    <w:rsid w:val="0057372C"/>
    <w:rsid w:val="00573CD2"/>
    <w:rsid w:val="00573FBF"/>
    <w:rsid w:val="00575229"/>
    <w:rsid w:val="0057553A"/>
    <w:rsid w:val="00575AEE"/>
    <w:rsid w:val="00576548"/>
    <w:rsid w:val="00576A39"/>
    <w:rsid w:val="00576F7D"/>
    <w:rsid w:val="0057778E"/>
    <w:rsid w:val="00577816"/>
    <w:rsid w:val="0057782A"/>
    <w:rsid w:val="00577C59"/>
    <w:rsid w:val="00577E93"/>
    <w:rsid w:val="00577FD6"/>
    <w:rsid w:val="00577FF6"/>
    <w:rsid w:val="005800CC"/>
    <w:rsid w:val="0058021E"/>
    <w:rsid w:val="00580330"/>
    <w:rsid w:val="00580FA8"/>
    <w:rsid w:val="005811CD"/>
    <w:rsid w:val="005811F4"/>
    <w:rsid w:val="00581422"/>
    <w:rsid w:val="00581C3B"/>
    <w:rsid w:val="00582F25"/>
    <w:rsid w:val="00583820"/>
    <w:rsid w:val="00583E31"/>
    <w:rsid w:val="00583F51"/>
    <w:rsid w:val="005841FA"/>
    <w:rsid w:val="00584B11"/>
    <w:rsid w:val="00585488"/>
    <w:rsid w:val="00585E53"/>
    <w:rsid w:val="00586567"/>
    <w:rsid w:val="0058725F"/>
    <w:rsid w:val="005879F3"/>
    <w:rsid w:val="00587F9E"/>
    <w:rsid w:val="00591890"/>
    <w:rsid w:val="0059197B"/>
    <w:rsid w:val="00592BFD"/>
    <w:rsid w:val="00595197"/>
    <w:rsid w:val="005951A9"/>
    <w:rsid w:val="00595449"/>
    <w:rsid w:val="00596222"/>
    <w:rsid w:val="00596284"/>
    <w:rsid w:val="005979E4"/>
    <w:rsid w:val="005A0413"/>
    <w:rsid w:val="005A1FA8"/>
    <w:rsid w:val="005A1FDD"/>
    <w:rsid w:val="005A23DA"/>
    <w:rsid w:val="005A256C"/>
    <w:rsid w:val="005A26EB"/>
    <w:rsid w:val="005A2779"/>
    <w:rsid w:val="005A3E75"/>
    <w:rsid w:val="005A4AAA"/>
    <w:rsid w:val="005A5627"/>
    <w:rsid w:val="005A5739"/>
    <w:rsid w:val="005A57B8"/>
    <w:rsid w:val="005A5CE4"/>
    <w:rsid w:val="005A62D7"/>
    <w:rsid w:val="005A6C1A"/>
    <w:rsid w:val="005A6C2B"/>
    <w:rsid w:val="005A6EA3"/>
    <w:rsid w:val="005A7E1F"/>
    <w:rsid w:val="005B0441"/>
    <w:rsid w:val="005B1326"/>
    <w:rsid w:val="005B18C7"/>
    <w:rsid w:val="005B1C2E"/>
    <w:rsid w:val="005B21C2"/>
    <w:rsid w:val="005B2660"/>
    <w:rsid w:val="005B293B"/>
    <w:rsid w:val="005B3388"/>
    <w:rsid w:val="005B3EB1"/>
    <w:rsid w:val="005B3FB0"/>
    <w:rsid w:val="005B45FF"/>
    <w:rsid w:val="005B4756"/>
    <w:rsid w:val="005B4A62"/>
    <w:rsid w:val="005B4D49"/>
    <w:rsid w:val="005B505B"/>
    <w:rsid w:val="005B58DF"/>
    <w:rsid w:val="005B5A42"/>
    <w:rsid w:val="005B5B9C"/>
    <w:rsid w:val="005B618A"/>
    <w:rsid w:val="005B61FF"/>
    <w:rsid w:val="005B63CA"/>
    <w:rsid w:val="005B6E2E"/>
    <w:rsid w:val="005B7690"/>
    <w:rsid w:val="005B7875"/>
    <w:rsid w:val="005C0034"/>
    <w:rsid w:val="005C0C88"/>
    <w:rsid w:val="005C119D"/>
    <w:rsid w:val="005C1C27"/>
    <w:rsid w:val="005C28EC"/>
    <w:rsid w:val="005C2BAE"/>
    <w:rsid w:val="005C2E17"/>
    <w:rsid w:val="005C2EBF"/>
    <w:rsid w:val="005C30CA"/>
    <w:rsid w:val="005C3387"/>
    <w:rsid w:val="005C490E"/>
    <w:rsid w:val="005C49E1"/>
    <w:rsid w:val="005C51E8"/>
    <w:rsid w:val="005C621F"/>
    <w:rsid w:val="005C67C9"/>
    <w:rsid w:val="005C694F"/>
    <w:rsid w:val="005C7661"/>
    <w:rsid w:val="005C76D3"/>
    <w:rsid w:val="005D0B70"/>
    <w:rsid w:val="005D0BB7"/>
    <w:rsid w:val="005D1662"/>
    <w:rsid w:val="005D1B72"/>
    <w:rsid w:val="005D1BF7"/>
    <w:rsid w:val="005D1FBF"/>
    <w:rsid w:val="005D2053"/>
    <w:rsid w:val="005D2548"/>
    <w:rsid w:val="005D2657"/>
    <w:rsid w:val="005D2892"/>
    <w:rsid w:val="005D292D"/>
    <w:rsid w:val="005D4314"/>
    <w:rsid w:val="005D43F0"/>
    <w:rsid w:val="005D4919"/>
    <w:rsid w:val="005D6B1D"/>
    <w:rsid w:val="005D7545"/>
    <w:rsid w:val="005D795F"/>
    <w:rsid w:val="005E0132"/>
    <w:rsid w:val="005E04D3"/>
    <w:rsid w:val="005E073D"/>
    <w:rsid w:val="005E1050"/>
    <w:rsid w:val="005E18D5"/>
    <w:rsid w:val="005E1D12"/>
    <w:rsid w:val="005E1DC9"/>
    <w:rsid w:val="005E2A63"/>
    <w:rsid w:val="005E3057"/>
    <w:rsid w:val="005E4A00"/>
    <w:rsid w:val="005E54F0"/>
    <w:rsid w:val="005E574B"/>
    <w:rsid w:val="005E5C7D"/>
    <w:rsid w:val="005E5F5A"/>
    <w:rsid w:val="005E654C"/>
    <w:rsid w:val="005E6776"/>
    <w:rsid w:val="005E6E46"/>
    <w:rsid w:val="005E72DD"/>
    <w:rsid w:val="005E745A"/>
    <w:rsid w:val="005E7C7C"/>
    <w:rsid w:val="005E7F0D"/>
    <w:rsid w:val="005F044D"/>
    <w:rsid w:val="005F0561"/>
    <w:rsid w:val="005F07B2"/>
    <w:rsid w:val="005F0B90"/>
    <w:rsid w:val="005F0EBF"/>
    <w:rsid w:val="005F1B1B"/>
    <w:rsid w:val="005F2717"/>
    <w:rsid w:val="005F2724"/>
    <w:rsid w:val="005F3B08"/>
    <w:rsid w:val="005F4583"/>
    <w:rsid w:val="005F4D89"/>
    <w:rsid w:val="005F4DD7"/>
    <w:rsid w:val="005F52BA"/>
    <w:rsid w:val="005F56AF"/>
    <w:rsid w:val="005F57B2"/>
    <w:rsid w:val="005F58E7"/>
    <w:rsid w:val="005F5D99"/>
    <w:rsid w:val="005F6233"/>
    <w:rsid w:val="005F6B00"/>
    <w:rsid w:val="005F6B3E"/>
    <w:rsid w:val="005F6B42"/>
    <w:rsid w:val="005F6C34"/>
    <w:rsid w:val="005F6E79"/>
    <w:rsid w:val="005F7945"/>
    <w:rsid w:val="005F7DCA"/>
    <w:rsid w:val="005F7E52"/>
    <w:rsid w:val="006003E4"/>
    <w:rsid w:val="0060069A"/>
    <w:rsid w:val="00601528"/>
    <w:rsid w:val="00601645"/>
    <w:rsid w:val="00601862"/>
    <w:rsid w:val="006043D3"/>
    <w:rsid w:val="006046E6"/>
    <w:rsid w:val="00604B30"/>
    <w:rsid w:val="006054E0"/>
    <w:rsid w:val="0060573B"/>
    <w:rsid w:val="00606504"/>
    <w:rsid w:val="00606545"/>
    <w:rsid w:val="006066E5"/>
    <w:rsid w:val="00606762"/>
    <w:rsid w:val="0060692B"/>
    <w:rsid w:val="006071E0"/>
    <w:rsid w:val="00607712"/>
    <w:rsid w:val="00607D99"/>
    <w:rsid w:val="00610B51"/>
    <w:rsid w:val="00610B5D"/>
    <w:rsid w:val="00611858"/>
    <w:rsid w:val="00611B8E"/>
    <w:rsid w:val="00611FC9"/>
    <w:rsid w:val="0061238A"/>
    <w:rsid w:val="0061255C"/>
    <w:rsid w:val="00612616"/>
    <w:rsid w:val="00612B4D"/>
    <w:rsid w:val="00612BD8"/>
    <w:rsid w:val="00612C74"/>
    <w:rsid w:val="00612EFA"/>
    <w:rsid w:val="00612FEA"/>
    <w:rsid w:val="0061388C"/>
    <w:rsid w:val="00613B3B"/>
    <w:rsid w:val="00615193"/>
    <w:rsid w:val="00616631"/>
    <w:rsid w:val="0061669C"/>
    <w:rsid w:val="00616DB7"/>
    <w:rsid w:val="0061770E"/>
    <w:rsid w:val="006178C1"/>
    <w:rsid w:val="006201D3"/>
    <w:rsid w:val="00620BAE"/>
    <w:rsid w:val="00620E29"/>
    <w:rsid w:val="006216F4"/>
    <w:rsid w:val="00621D06"/>
    <w:rsid w:val="00621D5A"/>
    <w:rsid w:val="00622A6D"/>
    <w:rsid w:val="00623711"/>
    <w:rsid w:val="00625E09"/>
    <w:rsid w:val="00625F52"/>
    <w:rsid w:val="00626E00"/>
    <w:rsid w:val="00630E80"/>
    <w:rsid w:val="00631146"/>
    <w:rsid w:val="006319B2"/>
    <w:rsid w:val="00631B2C"/>
    <w:rsid w:val="00631C52"/>
    <w:rsid w:val="00631DFD"/>
    <w:rsid w:val="00633404"/>
    <w:rsid w:val="00633610"/>
    <w:rsid w:val="00633A16"/>
    <w:rsid w:val="00633DDA"/>
    <w:rsid w:val="006340CC"/>
    <w:rsid w:val="006340F0"/>
    <w:rsid w:val="006342C6"/>
    <w:rsid w:val="00635755"/>
    <w:rsid w:val="006357FF"/>
    <w:rsid w:val="0063582C"/>
    <w:rsid w:val="006359CF"/>
    <w:rsid w:val="0063616E"/>
    <w:rsid w:val="00636172"/>
    <w:rsid w:val="006368F3"/>
    <w:rsid w:val="00637FC9"/>
    <w:rsid w:val="006402F5"/>
    <w:rsid w:val="00640551"/>
    <w:rsid w:val="00640D2C"/>
    <w:rsid w:val="0064160A"/>
    <w:rsid w:val="006417D4"/>
    <w:rsid w:val="00641BA9"/>
    <w:rsid w:val="00641C42"/>
    <w:rsid w:val="00642614"/>
    <w:rsid w:val="00642F97"/>
    <w:rsid w:val="00643306"/>
    <w:rsid w:val="006434E6"/>
    <w:rsid w:val="00643C23"/>
    <w:rsid w:val="0064437A"/>
    <w:rsid w:val="00644451"/>
    <w:rsid w:val="00644A83"/>
    <w:rsid w:val="00645028"/>
    <w:rsid w:val="00645110"/>
    <w:rsid w:val="006453FA"/>
    <w:rsid w:val="0064556A"/>
    <w:rsid w:val="0064625C"/>
    <w:rsid w:val="00646759"/>
    <w:rsid w:val="0064746C"/>
    <w:rsid w:val="006479C1"/>
    <w:rsid w:val="00647C93"/>
    <w:rsid w:val="006528A1"/>
    <w:rsid w:val="00652DFC"/>
    <w:rsid w:val="00653FE4"/>
    <w:rsid w:val="0065427B"/>
    <w:rsid w:val="006548E5"/>
    <w:rsid w:val="00654F85"/>
    <w:rsid w:val="00655137"/>
    <w:rsid w:val="0065569D"/>
    <w:rsid w:val="00655FCC"/>
    <w:rsid w:val="00656225"/>
    <w:rsid w:val="00656317"/>
    <w:rsid w:val="006564AA"/>
    <w:rsid w:val="00656EF8"/>
    <w:rsid w:val="00657250"/>
    <w:rsid w:val="00657475"/>
    <w:rsid w:val="006574D9"/>
    <w:rsid w:val="0065787A"/>
    <w:rsid w:val="00657B89"/>
    <w:rsid w:val="00660903"/>
    <w:rsid w:val="00660DC4"/>
    <w:rsid w:val="00660F4B"/>
    <w:rsid w:val="00660FD6"/>
    <w:rsid w:val="006612C0"/>
    <w:rsid w:val="00661595"/>
    <w:rsid w:val="006615A3"/>
    <w:rsid w:val="00662222"/>
    <w:rsid w:val="00662389"/>
    <w:rsid w:val="0066293D"/>
    <w:rsid w:val="00662F84"/>
    <w:rsid w:val="00663385"/>
    <w:rsid w:val="00663594"/>
    <w:rsid w:val="00663A71"/>
    <w:rsid w:val="00663B43"/>
    <w:rsid w:val="00663B54"/>
    <w:rsid w:val="00664312"/>
    <w:rsid w:val="0066447C"/>
    <w:rsid w:val="00664DCB"/>
    <w:rsid w:val="006658E7"/>
    <w:rsid w:val="00665D36"/>
    <w:rsid w:val="00666560"/>
    <w:rsid w:val="00666D7A"/>
    <w:rsid w:val="0066732D"/>
    <w:rsid w:val="00667521"/>
    <w:rsid w:val="006679F6"/>
    <w:rsid w:val="00667ACC"/>
    <w:rsid w:val="006702A5"/>
    <w:rsid w:val="00670602"/>
    <w:rsid w:val="00671F92"/>
    <w:rsid w:val="006724A2"/>
    <w:rsid w:val="00672926"/>
    <w:rsid w:val="00672B81"/>
    <w:rsid w:val="006737C8"/>
    <w:rsid w:val="00673D72"/>
    <w:rsid w:val="006740DD"/>
    <w:rsid w:val="0067410E"/>
    <w:rsid w:val="006746E3"/>
    <w:rsid w:val="006750F3"/>
    <w:rsid w:val="00675C0F"/>
    <w:rsid w:val="00675DD8"/>
    <w:rsid w:val="006760B9"/>
    <w:rsid w:val="00676296"/>
    <w:rsid w:val="0067698E"/>
    <w:rsid w:val="00676FEB"/>
    <w:rsid w:val="00677791"/>
    <w:rsid w:val="00677EB8"/>
    <w:rsid w:val="00680550"/>
    <w:rsid w:val="0068171B"/>
    <w:rsid w:val="0068178D"/>
    <w:rsid w:val="00681BBE"/>
    <w:rsid w:val="00681CB1"/>
    <w:rsid w:val="0068231A"/>
    <w:rsid w:val="00682CAD"/>
    <w:rsid w:val="00682E6D"/>
    <w:rsid w:val="00683108"/>
    <w:rsid w:val="00683643"/>
    <w:rsid w:val="00683BC6"/>
    <w:rsid w:val="00684507"/>
    <w:rsid w:val="00684CAD"/>
    <w:rsid w:val="006851FF"/>
    <w:rsid w:val="00685958"/>
    <w:rsid w:val="00685AA6"/>
    <w:rsid w:val="00685B25"/>
    <w:rsid w:val="00686C3B"/>
    <w:rsid w:val="00686F0C"/>
    <w:rsid w:val="00687D16"/>
    <w:rsid w:val="006906F6"/>
    <w:rsid w:val="00690A9A"/>
    <w:rsid w:val="00690C39"/>
    <w:rsid w:val="00690E35"/>
    <w:rsid w:val="006916AD"/>
    <w:rsid w:val="00691755"/>
    <w:rsid w:val="006917C5"/>
    <w:rsid w:val="00691B8A"/>
    <w:rsid w:val="006921C0"/>
    <w:rsid w:val="0069232E"/>
    <w:rsid w:val="0069253A"/>
    <w:rsid w:val="0069257A"/>
    <w:rsid w:val="0069264F"/>
    <w:rsid w:val="00692FA1"/>
    <w:rsid w:val="006935C2"/>
    <w:rsid w:val="00694682"/>
    <w:rsid w:val="00694B58"/>
    <w:rsid w:val="00694CDE"/>
    <w:rsid w:val="006953C8"/>
    <w:rsid w:val="006957B5"/>
    <w:rsid w:val="00696C30"/>
    <w:rsid w:val="00696D38"/>
    <w:rsid w:val="00696D4C"/>
    <w:rsid w:val="00696E1C"/>
    <w:rsid w:val="00696FEF"/>
    <w:rsid w:val="0069756E"/>
    <w:rsid w:val="006A0272"/>
    <w:rsid w:val="006A0CE0"/>
    <w:rsid w:val="006A0D17"/>
    <w:rsid w:val="006A0FD2"/>
    <w:rsid w:val="006A10E3"/>
    <w:rsid w:val="006A1353"/>
    <w:rsid w:val="006A1B03"/>
    <w:rsid w:val="006A1D13"/>
    <w:rsid w:val="006A202B"/>
    <w:rsid w:val="006A2579"/>
    <w:rsid w:val="006A2BFC"/>
    <w:rsid w:val="006A382A"/>
    <w:rsid w:val="006A3F13"/>
    <w:rsid w:val="006A4049"/>
    <w:rsid w:val="006A42CD"/>
    <w:rsid w:val="006A45F6"/>
    <w:rsid w:val="006A4706"/>
    <w:rsid w:val="006A4BF8"/>
    <w:rsid w:val="006A532C"/>
    <w:rsid w:val="006A53CA"/>
    <w:rsid w:val="006A5419"/>
    <w:rsid w:val="006A5D47"/>
    <w:rsid w:val="006A606B"/>
    <w:rsid w:val="006A7B3A"/>
    <w:rsid w:val="006B067D"/>
    <w:rsid w:val="006B0C26"/>
    <w:rsid w:val="006B0D2D"/>
    <w:rsid w:val="006B1134"/>
    <w:rsid w:val="006B1538"/>
    <w:rsid w:val="006B1577"/>
    <w:rsid w:val="006B16A9"/>
    <w:rsid w:val="006B1C07"/>
    <w:rsid w:val="006B207F"/>
    <w:rsid w:val="006B21F5"/>
    <w:rsid w:val="006B2510"/>
    <w:rsid w:val="006B3855"/>
    <w:rsid w:val="006B3F63"/>
    <w:rsid w:val="006B42BC"/>
    <w:rsid w:val="006B45B1"/>
    <w:rsid w:val="006B5254"/>
    <w:rsid w:val="006B554A"/>
    <w:rsid w:val="006B64D0"/>
    <w:rsid w:val="006B699D"/>
    <w:rsid w:val="006B6AB7"/>
    <w:rsid w:val="006B766D"/>
    <w:rsid w:val="006B7F63"/>
    <w:rsid w:val="006C09A9"/>
    <w:rsid w:val="006C1A35"/>
    <w:rsid w:val="006C2049"/>
    <w:rsid w:val="006C22FD"/>
    <w:rsid w:val="006C255C"/>
    <w:rsid w:val="006C2C5D"/>
    <w:rsid w:val="006C2F57"/>
    <w:rsid w:val="006C3B9F"/>
    <w:rsid w:val="006C3EBB"/>
    <w:rsid w:val="006C4742"/>
    <w:rsid w:val="006C4943"/>
    <w:rsid w:val="006C4E06"/>
    <w:rsid w:val="006C528B"/>
    <w:rsid w:val="006C60FB"/>
    <w:rsid w:val="006C6212"/>
    <w:rsid w:val="006C758C"/>
    <w:rsid w:val="006C764B"/>
    <w:rsid w:val="006C7B38"/>
    <w:rsid w:val="006C7C72"/>
    <w:rsid w:val="006D03FB"/>
    <w:rsid w:val="006D04FF"/>
    <w:rsid w:val="006D093F"/>
    <w:rsid w:val="006D1649"/>
    <w:rsid w:val="006D2015"/>
    <w:rsid w:val="006D225C"/>
    <w:rsid w:val="006D2BD9"/>
    <w:rsid w:val="006D2E7D"/>
    <w:rsid w:val="006D3137"/>
    <w:rsid w:val="006D425F"/>
    <w:rsid w:val="006D452C"/>
    <w:rsid w:val="006D4788"/>
    <w:rsid w:val="006D5497"/>
    <w:rsid w:val="006D5949"/>
    <w:rsid w:val="006D5969"/>
    <w:rsid w:val="006D5D24"/>
    <w:rsid w:val="006D5D93"/>
    <w:rsid w:val="006D6054"/>
    <w:rsid w:val="006D66DD"/>
    <w:rsid w:val="006D78A8"/>
    <w:rsid w:val="006D78F1"/>
    <w:rsid w:val="006E017D"/>
    <w:rsid w:val="006E0A8A"/>
    <w:rsid w:val="006E1657"/>
    <w:rsid w:val="006E1DBC"/>
    <w:rsid w:val="006E25BC"/>
    <w:rsid w:val="006E265A"/>
    <w:rsid w:val="006E3A7A"/>
    <w:rsid w:val="006E3C12"/>
    <w:rsid w:val="006E3DEF"/>
    <w:rsid w:val="006E3E57"/>
    <w:rsid w:val="006E3F43"/>
    <w:rsid w:val="006E442C"/>
    <w:rsid w:val="006E4902"/>
    <w:rsid w:val="006E4FEF"/>
    <w:rsid w:val="006E4FFF"/>
    <w:rsid w:val="006E6026"/>
    <w:rsid w:val="006E6827"/>
    <w:rsid w:val="006E6B36"/>
    <w:rsid w:val="006E7251"/>
    <w:rsid w:val="006E7902"/>
    <w:rsid w:val="006E7EFE"/>
    <w:rsid w:val="006F0EC8"/>
    <w:rsid w:val="006F1396"/>
    <w:rsid w:val="006F16A8"/>
    <w:rsid w:val="006F1AE0"/>
    <w:rsid w:val="006F26A7"/>
    <w:rsid w:val="006F2B29"/>
    <w:rsid w:val="006F2FF3"/>
    <w:rsid w:val="006F3267"/>
    <w:rsid w:val="006F3544"/>
    <w:rsid w:val="006F392A"/>
    <w:rsid w:val="006F3DC9"/>
    <w:rsid w:val="006F4069"/>
    <w:rsid w:val="006F4FD2"/>
    <w:rsid w:val="006F50EE"/>
    <w:rsid w:val="006F5250"/>
    <w:rsid w:val="006F574F"/>
    <w:rsid w:val="006F590D"/>
    <w:rsid w:val="006F673F"/>
    <w:rsid w:val="006F7044"/>
    <w:rsid w:val="006F71C7"/>
    <w:rsid w:val="006F7877"/>
    <w:rsid w:val="006F79D9"/>
    <w:rsid w:val="006F7BAD"/>
    <w:rsid w:val="00700F9E"/>
    <w:rsid w:val="00701169"/>
    <w:rsid w:val="00701366"/>
    <w:rsid w:val="00701B04"/>
    <w:rsid w:val="00702112"/>
    <w:rsid w:val="007021B8"/>
    <w:rsid w:val="007021DA"/>
    <w:rsid w:val="00702560"/>
    <w:rsid w:val="00702601"/>
    <w:rsid w:val="00702DB0"/>
    <w:rsid w:val="00702E48"/>
    <w:rsid w:val="0070316B"/>
    <w:rsid w:val="00703839"/>
    <w:rsid w:val="00703A92"/>
    <w:rsid w:val="00703ADD"/>
    <w:rsid w:val="007041A5"/>
    <w:rsid w:val="0070465B"/>
    <w:rsid w:val="00704D8A"/>
    <w:rsid w:val="00704DC5"/>
    <w:rsid w:val="007050F4"/>
    <w:rsid w:val="007051FD"/>
    <w:rsid w:val="00705CBF"/>
    <w:rsid w:val="00705CE9"/>
    <w:rsid w:val="007064B5"/>
    <w:rsid w:val="007068C0"/>
    <w:rsid w:val="00706E65"/>
    <w:rsid w:val="0070704B"/>
    <w:rsid w:val="00707400"/>
    <w:rsid w:val="00707402"/>
    <w:rsid w:val="0070796E"/>
    <w:rsid w:val="00707A0B"/>
    <w:rsid w:val="00707FE2"/>
    <w:rsid w:val="00710346"/>
    <w:rsid w:val="0071098D"/>
    <w:rsid w:val="00710BF2"/>
    <w:rsid w:val="00710EBA"/>
    <w:rsid w:val="00710FE8"/>
    <w:rsid w:val="00711064"/>
    <w:rsid w:val="00711351"/>
    <w:rsid w:val="0071193F"/>
    <w:rsid w:val="00711A96"/>
    <w:rsid w:val="00711B2B"/>
    <w:rsid w:val="00711DC6"/>
    <w:rsid w:val="00711F69"/>
    <w:rsid w:val="00712413"/>
    <w:rsid w:val="007131B3"/>
    <w:rsid w:val="00714488"/>
    <w:rsid w:val="00714B02"/>
    <w:rsid w:val="00714B76"/>
    <w:rsid w:val="00714CB5"/>
    <w:rsid w:val="007166D7"/>
    <w:rsid w:val="00716FF8"/>
    <w:rsid w:val="00717068"/>
    <w:rsid w:val="007174CC"/>
    <w:rsid w:val="007202C9"/>
    <w:rsid w:val="007202F3"/>
    <w:rsid w:val="007214DD"/>
    <w:rsid w:val="00722AF1"/>
    <w:rsid w:val="00722B5A"/>
    <w:rsid w:val="00722C44"/>
    <w:rsid w:val="0072300F"/>
    <w:rsid w:val="0072340C"/>
    <w:rsid w:val="007234BD"/>
    <w:rsid w:val="00724383"/>
    <w:rsid w:val="007247BC"/>
    <w:rsid w:val="00725463"/>
    <w:rsid w:val="00725641"/>
    <w:rsid w:val="0072571A"/>
    <w:rsid w:val="007259D1"/>
    <w:rsid w:val="00725B60"/>
    <w:rsid w:val="00726F1A"/>
    <w:rsid w:val="00726F74"/>
    <w:rsid w:val="007270A1"/>
    <w:rsid w:val="0072740B"/>
    <w:rsid w:val="00727446"/>
    <w:rsid w:val="00727C16"/>
    <w:rsid w:val="007301CE"/>
    <w:rsid w:val="007311AD"/>
    <w:rsid w:val="00731AF1"/>
    <w:rsid w:val="00731EEE"/>
    <w:rsid w:val="007321BF"/>
    <w:rsid w:val="007326B3"/>
    <w:rsid w:val="007328B5"/>
    <w:rsid w:val="00732A73"/>
    <w:rsid w:val="00732C8C"/>
    <w:rsid w:val="00732D47"/>
    <w:rsid w:val="00732F69"/>
    <w:rsid w:val="007330C2"/>
    <w:rsid w:val="0073322C"/>
    <w:rsid w:val="0073382C"/>
    <w:rsid w:val="00733C60"/>
    <w:rsid w:val="00734A4F"/>
    <w:rsid w:val="00734B96"/>
    <w:rsid w:val="00735B80"/>
    <w:rsid w:val="007363D9"/>
    <w:rsid w:val="0073795A"/>
    <w:rsid w:val="007408FC"/>
    <w:rsid w:val="00740AB7"/>
    <w:rsid w:val="00740B1C"/>
    <w:rsid w:val="00740E9B"/>
    <w:rsid w:val="00741CD5"/>
    <w:rsid w:val="0074273E"/>
    <w:rsid w:val="00742A81"/>
    <w:rsid w:val="007431FC"/>
    <w:rsid w:val="00743272"/>
    <w:rsid w:val="0074395C"/>
    <w:rsid w:val="00743B31"/>
    <w:rsid w:val="0074519C"/>
    <w:rsid w:val="00745A9A"/>
    <w:rsid w:val="00746291"/>
    <w:rsid w:val="00746494"/>
    <w:rsid w:val="00746814"/>
    <w:rsid w:val="00747678"/>
    <w:rsid w:val="00747C94"/>
    <w:rsid w:val="00747CFE"/>
    <w:rsid w:val="007509B1"/>
    <w:rsid w:val="00750F70"/>
    <w:rsid w:val="00751779"/>
    <w:rsid w:val="00752724"/>
    <w:rsid w:val="00752EBB"/>
    <w:rsid w:val="0075383A"/>
    <w:rsid w:val="0075388A"/>
    <w:rsid w:val="007539A5"/>
    <w:rsid w:val="00753E48"/>
    <w:rsid w:val="007545FF"/>
    <w:rsid w:val="007546F9"/>
    <w:rsid w:val="00754F31"/>
    <w:rsid w:val="00755990"/>
    <w:rsid w:val="00755BB2"/>
    <w:rsid w:val="00755C64"/>
    <w:rsid w:val="00755CF9"/>
    <w:rsid w:val="00755E06"/>
    <w:rsid w:val="00755F4A"/>
    <w:rsid w:val="007569B9"/>
    <w:rsid w:val="00757740"/>
    <w:rsid w:val="00757BCD"/>
    <w:rsid w:val="00757D00"/>
    <w:rsid w:val="00757D0A"/>
    <w:rsid w:val="00757EFE"/>
    <w:rsid w:val="00760144"/>
    <w:rsid w:val="007604C2"/>
    <w:rsid w:val="007611E5"/>
    <w:rsid w:val="007618B1"/>
    <w:rsid w:val="00761F1E"/>
    <w:rsid w:val="00762301"/>
    <w:rsid w:val="007626B6"/>
    <w:rsid w:val="00762875"/>
    <w:rsid w:val="00762C23"/>
    <w:rsid w:val="00764594"/>
    <w:rsid w:val="00764708"/>
    <w:rsid w:val="00764C18"/>
    <w:rsid w:val="00765653"/>
    <w:rsid w:val="00765E67"/>
    <w:rsid w:val="00765E9F"/>
    <w:rsid w:val="00766298"/>
    <w:rsid w:val="00766A87"/>
    <w:rsid w:val="00766F8D"/>
    <w:rsid w:val="00767022"/>
    <w:rsid w:val="007670B2"/>
    <w:rsid w:val="007674A4"/>
    <w:rsid w:val="00767582"/>
    <w:rsid w:val="00767848"/>
    <w:rsid w:val="00767965"/>
    <w:rsid w:val="00767D3D"/>
    <w:rsid w:val="00770191"/>
    <w:rsid w:val="00770457"/>
    <w:rsid w:val="00770F30"/>
    <w:rsid w:val="00770FE2"/>
    <w:rsid w:val="00771A6C"/>
    <w:rsid w:val="007729F8"/>
    <w:rsid w:val="00773773"/>
    <w:rsid w:val="007747E7"/>
    <w:rsid w:val="00775C7F"/>
    <w:rsid w:val="00775DCC"/>
    <w:rsid w:val="00775F9E"/>
    <w:rsid w:val="00776747"/>
    <w:rsid w:val="00777039"/>
    <w:rsid w:val="0077769A"/>
    <w:rsid w:val="0078002C"/>
    <w:rsid w:val="00780495"/>
    <w:rsid w:val="007806E5"/>
    <w:rsid w:val="00780B4D"/>
    <w:rsid w:val="00780D97"/>
    <w:rsid w:val="00781085"/>
    <w:rsid w:val="007812A4"/>
    <w:rsid w:val="007816FD"/>
    <w:rsid w:val="00782904"/>
    <w:rsid w:val="00782BC5"/>
    <w:rsid w:val="00783088"/>
    <w:rsid w:val="00783D72"/>
    <w:rsid w:val="00783F9D"/>
    <w:rsid w:val="00784999"/>
    <w:rsid w:val="00784A9F"/>
    <w:rsid w:val="00784D29"/>
    <w:rsid w:val="00785354"/>
    <w:rsid w:val="007853DC"/>
    <w:rsid w:val="007855A0"/>
    <w:rsid w:val="00785699"/>
    <w:rsid w:val="00785E74"/>
    <w:rsid w:val="0078653B"/>
    <w:rsid w:val="007870BA"/>
    <w:rsid w:val="007877D5"/>
    <w:rsid w:val="00787829"/>
    <w:rsid w:val="00787F0E"/>
    <w:rsid w:val="00790F53"/>
    <w:rsid w:val="00790F8D"/>
    <w:rsid w:val="00791422"/>
    <w:rsid w:val="00791DA1"/>
    <w:rsid w:val="00791DD6"/>
    <w:rsid w:val="0079258D"/>
    <w:rsid w:val="0079311E"/>
    <w:rsid w:val="00793189"/>
    <w:rsid w:val="0079318A"/>
    <w:rsid w:val="00794066"/>
    <w:rsid w:val="0079459D"/>
    <w:rsid w:val="0079488F"/>
    <w:rsid w:val="0079528B"/>
    <w:rsid w:val="00795D82"/>
    <w:rsid w:val="007966FB"/>
    <w:rsid w:val="00796BDA"/>
    <w:rsid w:val="00796C37"/>
    <w:rsid w:val="00797AD8"/>
    <w:rsid w:val="007A042F"/>
    <w:rsid w:val="007A064C"/>
    <w:rsid w:val="007A08E8"/>
    <w:rsid w:val="007A0929"/>
    <w:rsid w:val="007A12BE"/>
    <w:rsid w:val="007A195B"/>
    <w:rsid w:val="007A25DA"/>
    <w:rsid w:val="007A2700"/>
    <w:rsid w:val="007A2D7F"/>
    <w:rsid w:val="007A36E9"/>
    <w:rsid w:val="007A36EC"/>
    <w:rsid w:val="007A3D1D"/>
    <w:rsid w:val="007A3F5D"/>
    <w:rsid w:val="007A3F7A"/>
    <w:rsid w:val="007A4644"/>
    <w:rsid w:val="007A4DCA"/>
    <w:rsid w:val="007A587F"/>
    <w:rsid w:val="007A62DB"/>
    <w:rsid w:val="007A65E7"/>
    <w:rsid w:val="007A6ABD"/>
    <w:rsid w:val="007A6D88"/>
    <w:rsid w:val="007A6E07"/>
    <w:rsid w:val="007A7A7C"/>
    <w:rsid w:val="007A7B6F"/>
    <w:rsid w:val="007A7FEA"/>
    <w:rsid w:val="007B0117"/>
    <w:rsid w:val="007B0A04"/>
    <w:rsid w:val="007B0C0E"/>
    <w:rsid w:val="007B2B12"/>
    <w:rsid w:val="007B32AB"/>
    <w:rsid w:val="007B394C"/>
    <w:rsid w:val="007B4146"/>
    <w:rsid w:val="007B514A"/>
    <w:rsid w:val="007B569F"/>
    <w:rsid w:val="007B5DAF"/>
    <w:rsid w:val="007B609B"/>
    <w:rsid w:val="007B69FB"/>
    <w:rsid w:val="007B73C6"/>
    <w:rsid w:val="007B7CF5"/>
    <w:rsid w:val="007C0FA6"/>
    <w:rsid w:val="007C115F"/>
    <w:rsid w:val="007C139F"/>
    <w:rsid w:val="007C1CD4"/>
    <w:rsid w:val="007C202D"/>
    <w:rsid w:val="007C21C9"/>
    <w:rsid w:val="007C2992"/>
    <w:rsid w:val="007C2BEA"/>
    <w:rsid w:val="007C2EBD"/>
    <w:rsid w:val="007C412B"/>
    <w:rsid w:val="007C4699"/>
    <w:rsid w:val="007C4ACF"/>
    <w:rsid w:val="007C541D"/>
    <w:rsid w:val="007C5654"/>
    <w:rsid w:val="007C5716"/>
    <w:rsid w:val="007C5F12"/>
    <w:rsid w:val="007C64A6"/>
    <w:rsid w:val="007C6986"/>
    <w:rsid w:val="007C771D"/>
    <w:rsid w:val="007C7B02"/>
    <w:rsid w:val="007D016C"/>
    <w:rsid w:val="007D0851"/>
    <w:rsid w:val="007D0F31"/>
    <w:rsid w:val="007D1368"/>
    <w:rsid w:val="007D144E"/>
    <w:rsid w:val="007D1FF9"/>
    <w:rsid w:val="007D2487"/>
    <w:rsid w:val="007D28D2"/>
    <w:rsid w:val="007D29D1"/>
    <w:rsid w:val="007D2C9A"/>
    <w:rsid w:val="007D2D64"/>
    <w:rsid w:val="007D2EE8"/>
    <w:rsid w:val="007D33C2"/>
    <w:rsid w:val="007D3735"/>
    <w:rsid w:val="007D37C3"/>
    <w:rsid w:val="007D412B"/>
    <w:rsid w:val="007D557A"/>
    <w:rsid w:val="007D55A8"/>
    <w:rsid w:val="007D5698"/>
    <w:rsid w:val="007D58F8"/>
    <w:rsid w:val="007D5A4B"/>
    <w:rsid w:val="007D5A60"/>
    <w:rsid w:val="007D66AD"/>
    <w:rsid w:val="007E0DB6"/>
    <w:rsid w:val="007E14B1"/>
    <w:rsid w:val="007E17CC"/>
    <w:rsid w:val="007E2254"/>
    <w:rsid w:val="007E279C"/>
    <w:rsid w:val="007E3544"/>
    <w:rsid w:val="007E3A32"/>
    <w:rsid w:val="007E3A67"/>
    <w:rsid w:val="007E3EF9"/>
    <w:rsid w:val="007E4118"/>
    <w:rsid w:val="007E4120"/>
    <w:rsid w:val="007E433E"/>
    <w:rsid w:val="007E457B"/>
    <w:rsid w:val="007E472F"/>
    <w:rsid w:val="007E480B"/>
    <w:rsid w:val="007E5420"/>
    <w:rsid w:val="007E5B1B"/>
    <w:rsid w:val="007E6454"/>
    <w:rsid w:val="007E6E98"/>
    <w:rsid w:val="007E7BC6"/>
    <w:rsid w:val="007F0059"/>
    <w:rsid w:val="007F0566"/>
    <w:rsid w:val="007F06D6"/>
    <w:rsid w:val="007F0A6D"/>
    <w:rsid w:val="007F175B"/>
    <w:rsid w:val="007F1E7F"/>
    <w:rsid w:val="007F24CD"/>
    <w:rsid w:val="007F2542"/>
    <w:rsid w:val="007F282E"/>
    <w:rsid w:val="007F284E"/>
    <w:rsid w:val="007F29A6"/>
    <w:rsid w:val="007F2E47"/>
    <w:rsid w:val="007F3175"/>
    <w:rsid w:val="007F3242"/>
    <w:rsid w:val="007F3977"/>
    <w:rsid w:val="007F3B59"/>
    <w:rsid w:val="007F4FD0"/>
    <w:rsid w:val="007F5248"/>
    <w:rsid w:val="007F5D07"/>
    <w:rsid w:val="007F5D92"/>
    <w:rsid w:val="007F60D3"/>
    <w:rsid w:val="007F6717"/>
    <w:rsid w:val="007F6AAB"/>
    <w:rsid w:val="007F7259"/>
    <w:rsid w:val="008004F8"/>
    <w:rsid w:val="0080099F"/>
    <w:rsid w:val="00800B8D"/>
    <w:rsid w:val="00800BCB"/>
    <w:rsid w:val="00800BE1"/>
    <w:rsid w:val="00801DA3"/>
    <w:rsid w:val="00801E18"/>
    <w:rsid w:val="0080220E"/>
    <w:rsid w:val="00802597"/>
    <w:rsid w:val="0080272D"/>
    <w:rsid w:val="00802B95"/>
    <w:rsid w:val="00802CD0"/>
    <w:rsid w:val="00802D40"/>
    <w:rsid w:val="00802DE2"/>
    <w:rsid w:val="00803C6A"/>
    <w:rsid w:val="00804544"/>
    <w:rsid w:val="00804DE1"/>
    <w:rsid w:val="00805308"/>
    <w:rsid w:val="008055D4"/>
    <w:rsid w:val="00805E52"/>
    <w:rsid w:val="008073A1"/>
    <w:rsid w:val="008076A1"/>
    <w:rsid w:val="00807A00"/>
    <w:rsid w:val="0081002A"/>
    <w:rsid w:val="008101C9"/>
    <w:rsid w:val="008108B6"/>
    <w:rsid w:val="00811391"/>
    <w:rsid w:val="00811A76"/>
    <w:rsid w:val="008123A2"/>
    <w:rsid w:val="00812710"/>
    <w:rsid w:val="00812C62"/>
    <w:rsid w:val="00813BF3"/>
    <w:rsid w:val="00815362"/>
    <w:rsid w:val="008158B8"/>
    <w:rsid w:val="008162EA"/>
    <w:rsid w:val="00816302"/>
    <w:rsid w:val="00816714"/>
    <w:rsid w:val="00816721"/>
    <w:rsid w:val="00816A46"/>
    <w:rsid w:val="00820129"/>
    <w:rsid w:val="0082136A"/>
    <w:rsid w:val="00821BCF"/>
    <w:rsid w:val="00822AE2"/>
    <w:rsid w:val="0082355B"/>
    <w:rsid w:val="00823B5C"/>
    <w:rsid w:val="00823D80"/>
    <w:rsid w:val="00823DAA"/>
    <w:rsid w:val="00823FCE"/>
    <w:rsid w:val="008246DF"/>
    <w:rsid w:val="00825135"/>
    <w:rsid w:val="008259D6"/>
    <w:rsid w:val="00825FEF"/>
    <w:rsid w:val="00825FFB"/>
    <w:rsid w:val="00826B4E"/>
    <w:rsid w:val="00826D11"/>
    <w:rsid w:val="00826FBE"/>
    <w:rsid w:val="008278E4"/>
    <w:rsid w:val="0083018C"/>
    <w:rsid w:val="0083035B"/>
    <w:rsid w:val="00830455"/>
    <w:rsid w:val="0083057D"/>
    <w:rsid w:val="00830CA0"/>
    <w:rsid w:val="008313EA"/>
    <w:rsid w:val="0083161D"/>
    <w:rsid w:val="00831B07"/>
    <w:rsid w:val="008320DF"/>
    <w:rsid w:val="008329BC"/>
    <w:rsid w:val="0083305D"/>
    <w:rsid w:val="00833247"/>
    <w:rsid w:val="008346DE"/>
    <w:rsid w:val="00834872"/>
    <w:rsid w:val="00834BAC"/>
    <w:rsid w:val="00835466"/>
    <w:rsid w:val="00835471"/>
    <w:rsid w:val="008357E2"/>
    <w:rsid w:val="008358C6"/>
    <w:rsid w:val="00835CEA"/>
    <w:rsid w:val="00836697"/>
    <w:rsid w:val="00836E4D"/>
    <w:rsid w:val="008379D8"/>
    <w:rsid w:val="008402C1"/>
    <w:rsid w:val="00842260"/>
    <w:rsid w:val="00842968"/>
    <w:rsid w:val="00843BC0"/>
    <w:rsid w:val="00843C55"/>
    <w:rsid w:val="00844264"/>
    <w:rsid w:val="0084489A"/>
    <w:rsid w:val="008456A6"/>
    <w:rsid w:val="008456DD"/>
    <w:rsid w:val="00845D79"/>
    <w:rsid w:val="008461AF"/>
    <w:rsid w:val="00847816"/>
    <w:rsid w:val="00847917"/>
    <w:rsid w:val="00847B8B"/>
    <w:rsid w:val="008508C2"/>
    <w:rsid w:val="00850A39"/>
    <w:rsid w:val="00851026"/>
    <w:rsid w:val="00851614"/>
    <w:rsid w:val="00851A21"/>
    <w:rsid w:val="00851A67"/>
    <w:rsid w:val="00851DA3"/>
    <w:rsid w:val="00851E4D"/>
    <w:rsid w:val="00852235"/>
    <w:rsid w:val="0085225B"/>
    <w:rsid w:val="008523AC"/>
    <w:rsid w:val="008525C3"/>
    <w:rsid w:val="00852B77"/>
    <w:rsid w:val="00852D4A"/>
    <w:rsid w:val="008541E8"/>
    <w:rsid w:val="00854444"/>
    <w:rsid w:val="00854534"/>
    <w:rsid w:val="00855461"/>
    <w:rsid w:val="008557B9"/>
    <w:rsid w:val="00855B7D"/>
    <w:rsid w:val="00855CAD"/>
    <w:rsid w:val="00855F7F"/>
    <w:rsid w:val="008561D6"/>
    <w:rsid w:val="00856227"/>
    <w:rsid w:val="00856239"/>
    <w:rsid w:val="0085632F"/>
    <w:rsid w:val="008566A8"/>
    <w:rsid w:val="00856AE8"/>
    <w:rsid w:val="00856BCC"/>
    <w:rsid w:val="008575C7"/>
    <w:rsid w:val="00857959"/>
    <w:rsid w:val="0085796F"/>
    <w:rsid w:val="00860490"/>
    <w:rsid w:val="00861810"/>
    <w:rsid w:val="00861B54"/>
    <w:rsid w:val="00861FD4"/>
    <w:rsid w:val="00862AAF"/>
    <w:rsid w:val="00863724"/>
    <w:rsid w:val="008639A0"/>
    <w:rsid w:val="008639DC"/>
    <w:rsid w:val="008641EF"/>
    <w:rsid w:val="00864822"/>
    <w:rsid w:val="00865494"/>
    <w:rsid w:val="00866997"/>
    <w:rsid w:val="00866CBA"/>
    <w:rsid w:val="00866D5B"/>
    <w:rsid w:val="00867B59"/>
    <w:rsid w:val="00867FFE"/>
    <w:rsid w:val="00870C67"/>
    <w:rsid w:val="00871017"/>
    <w:rsid w:val="0087112D"/>
    <w:rsid w:val="008713B6"/>
    <w:rsid w:val="00871A2A"/>
    <w:rsid w:val="00871D70"/>
    <w:rsid w:val="0087246C"/>
    <w:rsid w:val="00872969"/>
    <w:rsid w:val="008729C3"/>
    <w:rsid w:val="00872C1D"/>
    <w:rsid w:val="00872D0F"/>
    <w:rsid w:val="00872FFD"/>
    <w:rsid w:val="00873448"/>
    <w:rsid w:val="00873957"/>
    <w:rsid w:val="0087444A"/>
    <w:rsid w:val="00874862"/>
    <w:rsid w:val="008749AF"/>
    <w:rsid w:val="008754D0"/>
    <w:rsid w:val="00875742"/>
    <w:rsid w:val="008757A5"/>
    <w:rsid w:val="0087596A"/>
    <w:rsid w:val="00875D58"/>
    <w:rsid w:val="00875EE1"/>
    <w:rsid w:val="008760DA"/>
    <w:rsid w:val="008769A6"/>
    <w:rsid w:val="00877C22"/>
    <w:rsid w:val="008800E9"/>
    <w:rsid w:val="0088039C"/>
    <w:rsid w:val="00880656"/>
    <w:rsid w:val="008806D1"/>
    <w:rsid w:val="008806E0"/>
    <w:rsid w:val="008806FF"/>
    <w:rsid w:val="008807C8"/>
    <w:rsid w:val="00880909"/>
    <w:rsid w:val="00880D48"/>
    <w:rsid w:val="00881251"/>
    <w:rsid w:val="00881B86"/>
    <w:rsid w:val="00882F59"/>
    <w:rsid w:val="00883986"/>
    <w:rsid w:val="00883AEF"/>
    <w:rsid w:val="00883D12"/>
    <w:rsid w:val="0088443D"/>
    <w:rsid w:val="0088445B"/>
    <w:rsid w:val="00884992"/>
    <w:rsid w:val="00884DED"/>
    <w:rsid w:val="00885069"/>
    <w:rsid w:val="008850E9"/>
    <w:rsid w:val="00886088"/>
    <w:rsid w:val="00886636"/>
    <w:rsid w:val="008868B6"/>
    <w:rsid w:val="00886A12"/>
    <w:rsid w:val="00886DFC"/>
    <w:rsid w:val="0088740C"/>
    <w:rsid w:val="00890261"/>
    <w:rsid w:val="008907F0"/>
    <w:rsid w:val="00890AFE"/>
    <w:rsid w:val="00891783"/>
    <w:rsid w:val="0089191E"/>
    <w:rsid w:val="00892604"/>
    <w:rsid w:val="00892C7A"/>
    <w:rsid w:val="00892D69"/>
    <w:rsid w:val="00893DA0"/>
    <w:rsid w:val="0089419E"/>
    <w:rsid w:val="0089439F"/>
    <w:rsid w:val="00894408"/>
    <w:rsid w:val="00895098"/>
    <w:rsid w:val="00895317"/>
    <w:rsid w:val="00895B5E"/>
    <w:rsid w:val="00896369"/>
    <w:rsid w:val="00897275"/>
    <w:rsid w:val="008975B1"/>
    <w:rsid w:val="008979CF"/>
    <w:rsid w:val="00897E4E"/>
    <w:rsid w:val="008A00D7"/>
    <w:rsid w:val="008A088E"/>
    <w:rsid w:val="008A08DC"/>
    <w:rsid w:val="008A1A94"/>
    <w:rsid w:val="008A1E8D"/>
    <w:rsid w:val="008A2168"/>
    <w:rsid w:val="008A292E"/>
    <w:rsid w:val="008A2939"/>
    <w:rsid w:val="008A2DDC"/>
    <w:rsid w:val="008A3496"/>
    <w:rsid w:val="008A3E7F"/>
    <w:rsid w:val="008A4371"/>
    <w:rsid w:val="008A5815"/>
    <w:rsid w:val="008A5E65"/>
    <w:rsid w:val="008A5F40"/>
    <w:rsid w:val="008A659F"/>
    <w:rsid w:val="008A6864"/>
    <w:rsid w:val="008A6A65"/>
    <w:rsid w:val="008A6AD4"/>
    <w:rsid w:val="008A6EB6"/>
    <w:rsid w:val="008A6F65"/>
    <w:rsid w:val="008A74E8"/>
    <w:rsid w:val="008A7C01"/>
    <w:rsid w:val="008A7D6D"/>
    <w:rsid w:val="008A7E06"/>
    <w:rsid w:val="008B01C3"/>
    <w:rsid w:val="008B052C"/>
    <w:rsid w:val="008B1148"/>
    <w:rsid w:val="008B1299"/>
    <w:rsid w:val="008B13D9"/>
    <w:rsid w:val="008B1433"/>
    <w:rsid w:val="008B167E"/>
    <w:rsid w:val="008B2391"/>
    <w:rsid w:val="008B3227"/>
    <w:rsid w:val="008B3610"/>
    <w:rsid w:val="008B3866"/>
    <w:rsid w:val="008B3967"/>
    <w:rsid w:val="008B49DD"/>
    <w:rsid w:val="008B4DB5"/>
    <w:rsid w:val="008B4E27"/>
    <w:rsid w:val="008B5303"/>
    <w:rsid w:val="008B53AB"/>
    <w:rsid w:val="008B5875"/>
    <w:rsid w:val="008B5D1C"/>
    <w:rsid w:val="008B5E15"/>
    <w:rsid w:val="008B6135"/>
    <w:rsid w:val="008B6359"/>
    <w:rsid w:val="008B6544"/>
    <w:rsid w:val="008B6F35"/>
    <w:rsid w:val="008B70A8"/>
    <w:rsid w:val="008C1B88"/>
    <w:rsid w:val="008C1C8E"/>
    <w:rsid w:val="008C252C"/>
    <w:rsid w:val="008C2E71"/>
    <w:rsid w:val="008C37A2"/>
    <w:rsid w:val="008C3C6B"/>
    <w:rsid w:val="008C41B2"/>
    <w:rsid w:val="008C4CDA"/>
    <w:rsid w:val="008C592E"/>
    <w:rsid w:val="008C6235"/>
    <w:rsid w:val="008C669E"/>
    <w:rsid w:val="008C6A77"/>
    <w:rsid w:val="008C715D"/>
    <w:rsid w:val="008C7221"/>
    <w:rsid w:val="008C7224"/>
    <w:rsid w:val="008C7A64"/>
    <w:rsid w:val="008C7CC1"/>
    <w:rsid w:val="008D1202"/>
    <w:rsid w:val="008D1F2C"/>
    <w:rsid w:val="008D1F2D"/>
    <w:rsid w:val="008D2054"/>
    <w:rsid w:val="008D2987"/>
    <w:rsid w:val="008D2B25"/>
    <w:rsid w:val="008D2C1D"/>
    <w:rsid w:val="008D2C2C"/>
    <w:rsid w:val="008D4525"/>
    <w:rsid w:val="008D4E70"/>
    <w:rsid w:val="008D5206"/>
    <w:rsid w:val="008D5FB5"/>
    <w:rsid w:val="008D6501"/>
    <w:rsid w:val="008D65D0"/>
    <w:rsid w:val="008D6AD4"/>
    <w:rsid w:val="008D6E64"/>
    <w:rsid w:val="008D71D3"/>
    <w:rsid w:val="008D75E1"/>
    <w:rsid w:val="008D7CE9"/>
    <w:rsid w:val="008E0AFE"/>
    <w:rsid w:val="008E0C6B"/>
    <w:rsid w:val="008E0E1E"/>
    <w:rsid w:val="008E1BA8"/>
    <w:rsid w:val="008E1C58"/>
    <w:rsid w:val="008E1F5B"/>
    <w:rsid w:val="008E2994"/>
    <w:rsid w:val="008E2D02"/>
    <w:rsid w:val="008E4492"/>
    <w:rsid w:val="008E47C8"/>
    <w:rsid w:val="008E4C94"/>
    <w:rsid w:val="008E4D1F"/>
    <w:rsid w:val="008E5025"/>
    <w:rsid w:val="008E5665"/>
    <w:rsid w:val="008E5D08"/>
    <w:rsid w:val="008E5D85"/>
    <w:rsid w:val="008E6104"/>
    <w:rsid w:val="008E6642"/>
    <w:rsid w:val="008E685D"/>
    <w:rsid w:val="008E69BB"/>
    <w:rsid w:val="008E69C7"/>
    <w:rsid w:val="008E6D07"/>
    <w:rsid w:val="008E742E"/>
    <w:rsid w:val="008E7921"/>
    <w:rsid w:val="008F0E1B"/>
    <w:rsid w:val="008F12C9"/>
    <w:rsid w:val="008F156D"/>
    <w:rsid w:val="008F18DC"/>
    <w:rsid w:val="008F1B02"/>
    <w:rsid w:val="008F1D48"/>
    <w:rsid w:val="008F1E22"/>
    <w:rsid w:val="008F26D5"/>
    <w:rsid w:val="008F31A1"/>
    <w:rsid w:val="008F32AF"/>
    <w:rsid w:val="008F3859"/>
    <w:rsid w:val="008F40E6"/>
    <w:rsid w:val="008F4442"/>
    <w:rsid w:val="008F47DC"/>
    <w:rsid w:val="008F4B10"/>
    <w:rsid w:val="008F4C07"/>
    <w:rsid w:val="008F4E48"/>
    <w:rsid w:val="008F6245"/>
    <w:rsid w:val="008F63DB"/>
    <w:rsid w:val="008F64E8"/>
    <w:rsid w:val="008F6D3A"/>
    <w:rsid w:val="008F6FF8"/>
    <w:rsid w:val="008F784E"/>
    <w:rsid w:val="008F79EA"/>
    <w:rsid w:val="00900077"/>
    <w:rsid w:val="00901BB1"/>
    <w:rsid w:val="0090256F"/>
    <w:rsid w:val="00902D9A"/>
    <w:rsid w:val="0090305B"/>
    <w:rsid w:val="00904156"/>
    <w:rsid w:val="009043B8"/>
    <w:rsid w:val="009050FA"/>
    <w:rsid w:val="009053D8"/>
    <w:rsid w:val="0090559D"/>
    <w:rsid w:val="009058CB"/>
    <w:rsid w:val="00905F32"/>
    <w:rsid w:val="00906099"/>
    <w:rsid w:val="009063A5"/>
    <w:rsid w:val="0090653E"/>
    <w:rsid w:val="009066D1"/>
    <w:rsid w:val="00906F63"/>
    <w:rsid w:val="009071A2"/>
    <w:rsid w:val="0090750D"/>
    <w:rsid w:val="00907924"/>
    <w:rsid w:val="00910457"/>
    <w:rsid w:val="00910D3F"/>
    <w:rsid w:val="00911262"/>
    <w:rsid w:val="00911293"/>
    <w:rsid w:val="00911D19"/>
    <w:rsid w:val="009124BF"/>
    <w:rsid w:val="00913738"/>
    <w:rsid w:val="00914424"/>
    <w:rsid w:val="00914619"/>
    <w:rsid w:val="00914CC5"/>
    <w:rsid w:val="00914D90"/>
    <w:rsid w:val="00915985"/>
    <w:rsid w:val="00916290"/>
    <w:rsid w:val="00916B81"/>
    <w:rsid w:val="00917643"/>
    <w:rsid w:val="00917C63"/>
    <w:rsid w:val="00917CA8"/>
    <w:rsid w:val="00920340"/>
    <w:rsid w:val="009205DE"/>
    <w:rsid w:val="009206E5"/>
    <w:rsid w:val="00920702"/>
    <w:rsid w:val="00920DB8"/>
    <w:rsid w:val="0092153A"/>
    <w:rsid w:val="00921789"/>
    <w:rsid w:val="00922010"/>
    <w:rsid w:val="009221CC"/>
    <w:rsid w:val="0092276F"/>
    <w:rsid w:val="00922D03"/>
    <w:rsid w:val="00922EAE"/>
    <w:rsid w:val="00923463"/>
    <w:rsid w:val="009238E5"/>
    <w:rsid w:val="009241A7"/>
    <w:rsid w:val="0092478B"/>
    <w:rsid w:val="00924D28"/>
    <w:rsid w:val="00924EB9"/>
    <w:rsid w:val="00925031"/>
    <w:rsid w:val="009258FD"/>
    <w:rsid w:val="00925DB8"/>
    <w:rsid w:val="00926296"/>
    <w:rsid w:val="00926D42"/>
    <w:rsid w:val="00927007"/>
    <w:rsid w:val="009276AA"/>
    <w:rsid w:val="009300C4"/>
    <w:rsid w:val="009302CF"/>
    <w:rsid w:val="00930468"/>
    <w:rsid w:val="009304C9"/>
    <w:rsid w:val="00931358"/>
    <w:rsid w:val="0093143E"/>
    <w:rsid w:val="00931540"/>
    <w:rsid w:val="009316CE"/>
    <w:rsid w:val="00931986"/>
    <w:rsid w:val="00931A28"/>
    <w:rsid w:val="00931C94"/>
    <w:rsid w:val="00931F2E"/>
    <w:rsid w:val="00932913"/>
    <w:rsid w:val="009329C1"/>
    <w:rsid w:val="00932BEA"/>
    <w:rsid w:val="00932D01"/>
    <w:rsid w:val="00933110"/>
    <w:rsid w:val="0093454C"/>
    <w:rsid w:val="009347A2"/>
    <w:rsid w:val="00935823"/>
    <w:rsid w:val="009360BE"/>
    <w:rsid w:val="009365AB"/>
    <w:rsid w:val="00936955"/>
    <w:rsid w:val="00936986"/>
    <w:rsid w:val="00936C29"/>
    <w:rsid w:val="00936F31"/>
    <w:rsid w:val="0093742B"/>
    <w:rsid w:val="00937D3E"/>
    <w:rsid w:val="00937E79"/>
    <w:rsid w:val="00937F9E"/>
    <w:rsid w:val="00940A3F"/>
    <w:rsid w:val="0094299D"/>
    <w:rsid w:val="00942E39"/>
    <w:rsid w:val="00943229"/>
    <w:rsid w:val="00943769"/>
    <w:rsid w:val="00943B59"/>
    <w:rsid w:val="00943D14"/>
    <w:rsid w:val="00943F16"/>
    <w:rsid w:val="00943F5F"/>
    <w:rsid w:val="00944384"/>
    <w:rsid w:val="0094469B"/>
    <w:rsid w:val="00944B2C"/>
    <w:rsid w:val="00944B51"/>
    <w:rsid w:val="009456C6"/>
    <w:rsid w:val="00945FB6"/>
    <w:rsid w:val="009461A9"/>
    <w:rsid w:val="00946253"/>
    <w:rsid w:val="009462EA"/>
    <w:rsid w:val="009463D1"/>
    <w:rsid w:val="009463EF"/>
    <w:rsid w:val="00946D08"/>
    <w:rsid w:val="00947823"/>
    <w:rsid w:val="00947AD9"/>
    <w:rsid w:val="00947E87"/>
    <w:rsid w:val="00947F45"/>
    <w:rsid w:val="00950A3D"/>
    <w:rsid w:val="00951251"/>
    <w:rsid w:val="00951437"/>
    <w:rsid w:val="00951C51"/>
    <w:rsid w:val="00952470"/>
    <w:rsid w:val="00952775"/>
    <w:rsid w:val="00952A42"/>
    <w:rsid w:val="009534EB"/>
    <w:rsid w:val="00953BB0"/>
    <w:rsid w:val="00954596"/>
    <w:rsid w:val="00954814"/>
    <w:rsid w:val="00955189"/>
    <w:rsid w:val="0095772C"/>
    <w:rsid w:val="0095778F"/>
    <w:rsid w:val="009606CF"/>
    <w:rsid w:val="00960853"/>
    <w:rsid w:val="0096092E"/>
    <w:rsid w:val="00960D5F"/>
    <w:rsid w:val="009617EC"/>
    <w:rsid w:val="009629D8"/>
    <w:rsid w:val="00962CF9"/>
    <w:rsid w:val="00963141"/>
    <w:rsid w:val="00964135"/>
    <w:rsid w:val="0096456E"/>
    <w:rsid w:val="009647BD"/>
    <w:rsid w:val="00964FD2"/>
    <w:rsid w:val="009655F5"/>
    <w:rsid w:val="009657FE"/>
    <w:rsid w:val="00966082"/>
    <w:rsid w:val="0096696F"/>
    <w:rsid w:val="00967692"/>
    <w:rsid w:val="009679F9"/>
    <w:rsid w:val="00967DA3"/>
    <w:rsid w:val="0097053D"/>
    <w:rsid w:val="00970845"/>
    <w:rsid w:val="00971B6E"/>
    <w:rsid w:val="0097242B"/>
    <w:rsid w:val="009727CB"/>
    <w:rsid w:val="0097292B"/>
    <w:rsid w:val="0097294C"/>
    <w:rsid w:val="00973086"/>
    <w:rsid w:val="00973281"/>
    <w:rsid w:val="00974030"/>
    <w:rsid w:val="009743B4"/>
    <w:rsid w:val="009751B3"/>
    <w:rsid w:val="00975683"/>
    <w:rsid w:val="009757B9"/>
    <w:rsid w:val="00976355"/>
    <w:rsid w:val="009766BD"/>
    <w:rsid w:val="00977B16"/>
    <w:rsid w:val="009808EA"/>
    <w:rsid w:val="00980FF9"/>
    <w:rsid w:val="009812AA"/>
    <w:rsid w:val="00981BDA"/>
    <w:rsid w:val="00981DA0"/>
    <w:rsid w:val="0098212F"/>
    <w:rsid w:val="009823A6"/>
    <w:rsid w:val="0098269F"/>
    <w:rsid w:val="009836E4"/>
    <w:rsid w:val="00983912"/>
    <w:rsid w:val="00983DE0"/>
    <w:rsid w:val="00983E7E"/>
    <w:rsid w:val="009844E6"/>
    <w:rsid w:val="00984D4E"/>
    <w:rsid w:val="0098520B"/>
    <w:rsid w:val="00985267"/>
    <w:rsid w:val="009868D9"/>
    <w:rsid w:val="0098697E"/>
    <w:rsid w:val="00986A6E"/>
    <w:rsid w:val="0098725A"/>
    <w:rsid w:val="00987C51"/>
    <w:rsid w:val="00987FD9"/>
    <w:rsid w:val="00990628"/>
    <w:rsid w:val="00990A86"/>
    <w:rsid w:val="00990CAF"/>
    <w:rsid w:val="0099198E"/>
    <w:rsid w:val="00991B57"/>
    <w:rsid w:val="00991BC1"/>
    <w:rsid w:val="009922F2"/>
    <w:rsid w:val="00992355"/>
    <w:rsid w:val="00992491"/>
    <w:rsid w:val="009924C8"/>
    <w:rsid w:val="0099303A"/>
    <w:rsid w:val="009931C8"/>
    <w:rsid w:val="00993349"/>
    <w:rsid w:val="009935D0"/>
    <w:rsid w:val="0099465F"/>
    <w:rsid w:val="009946B9"/>
    <w:rsid w:val="00994C84"/>
    <w:rsid w:val="00994E54"/>
    <w:rsid w:val="00994FBB"/>
    <w:rsid w:val="00996573"/>
    <w:rsid w:val="00996909"/>
    <w:rsid w:val="0099728C"/>
    <w:rsid w:val="009972CD"/>
    <w:rsid w:val="00997469"/>
    <w:rsid w:val="00997DDF"/>
    <w:rsid w:val="009A1772"/>
    <w:rsid w:val="009A1F0D"/>
    <w:rsid w:val="009A1F45"/>
    <w:rsid w:val="009A20A5"/>
    <w:rsid w:val="009A2463"/>
    <w:rsid w:val="009A24B2"/>
    <w:rsid w:val="009A304A"/>
    <w:rsid w:val="009A3265"/>
    <w:rsid w:val="009A3949"/>
    <w:rsid w:val="009A4071"/>
    <w:rsid w:val="009A4666"/>
    <w:rsid w:val="009A4C4B"/>
    <w:rsid w:val="009A4D95"/>
    <w:rsid w:val="009A589E"/>
    <w:rsid w:val="009A5DC0"/>
    <w:rsid w:val="009A6244"/>
    <w:rsid w:val="009A66D5"/>
    <w:rsid w:val="009A759C"/>
    <w:rsid w:val="009A7623"/>
    <w:rsid w:val="009A76C9"/>
    <w:rsid w:val="009A7845"/>
    <w:rsid w:val="009A7A20"/>
    <w:rsid w:val="009B052B"/>
    <w:rsid w:val="009B18B9"/>
    <w:rsid w:val="009B2AD7"/>
    <w:rsid w:val="009B2EA3"/>
    <w:rsid w:val="009B3842"/>
    <w:rsid w:val="009B3AAB"/>
    <w:rsid w:val="009B3B32"/>
    <w:rsid w:val="009B42AD"/>
    <w:rsid w:val="009B440C"/>
    <w:rsid w:val="009B47DD"/>
    <w:rsid w:val="009B4926"/>
    <w:rsid w:val="009B51AF"/>
    <w:rsid w:val="009B6423"/>
    <w:rsid w:val="009B6451"/>
    <w:rsid w:val="009B6548"/>
    <w:rsid w:val="009B71B4"/>
    <w:rsid w:val="009B73DE"/>
    <w:rsid w:val="009B7433"/>
    <w:rsid w:val="009B75CC"/>
    <w:rsid w:val="009B77FB"/>
    <w:rsid w:val="009B7807"/>
    <w:rsid w:val="009C01AF"/>
    <w:rsid w:val="009C0398"/>
    <w:rsid w:val="009C0A19"/>
    <w:rsid w:val="009C144B"/>
    <w:rsid w:val="009C1731"/>
    <w:rsid w:val="009C1CEF"/>
    <w:rsid w:val="009C2252"/>
    <w:rsid w:val="009C23C3"/>
    <w:rsid w:val="009C290F"/>
    <w:rsid w:val="009C3529"/>
    <w:rsid w:val="009C35DB"/>
    <w:rsid w:val="009C3CEC"/>
    <w:rsid w:val="009C3D4F"/>
    <w:rsid w:val="009C40FE"/>
    <w:rsid w:val="009C4625"/>
    <w:rsid w:val="009C49D1"/>
    <w:rsid w:val="009C4BE0"/>
    <w:rsid w:val="009C4C08"/>
    <w:rsid w:val="009C5411"/>
    <w:rsid w:val="009C5A02"/>
    <w:rsid w:val="009C6006"/>
    <w:rsid w:val="009C6616"/>
    <w:rsid w:val="009C6968"/>
    <w:rsid w:val="009C7639"/>
    <w:rsid w:val="009C7994"/>
    <w:rsid w:val="009C7B78"/>
    <w:rsid w:val="009D063E"/>
    <w:rsid w:val="009D13C9"/>
    <w:rsid w:val="009D13D0"/>
    <w:rsid w:val="009D1ADE"/>
    <w:rsid w:val="009D3B22"/>
    <w:rsid w:val="009D3B89"/>
    <w:rsid w:val="009D4078"/>
    <w:rsid w:val="009D4382"/>
    <w:rsid w:val="009D43A3"/>
    <w:rsid w:val="009D4764"/>
    <w:rsid w:val="009D4EE0"/>
    <w:rsid w:val="009D51D3"/>
    <w:rsid w:val="009D59C8"/>
    <w:rsid w:val="009D6C09"/>
    <w:rsid w:val="009D754B"/>
    <w:rsid w:val="009D7ACC"/>
    <w:rsid w:val="009D7B2C"/>
    <w:rsid w:val="009E076D"/>
    <w:rsid w:val="009E0AE0"/>
    <w:rsid w:val="009E1806"/>
    <w:rsid w:val="009E1C6C"/>
    <w:rsid w:val="009E1EE4"/>
    <w:rsid w:val="009E2198"/>
    <w:rsid w:val="009E2210"/>
    <w:rsid w:val="009E27FF"/>
    <w:rsid w:val="009E2C0A"/>
    <w:rsid w:val="009E3013"/>
    <w:rsid w:val="009E3A50"/>
    <w:rsid w:val="009E45A4"/>
    <w:rsid w:val="009E487F"/>
    <w:rsid w:val="009E4AE5"/>
    <w:rsid w:val="009E5400"/>
    <w:rsid w:val="009E5682"/>
    <w:rsid w:val="009E5B85"/>
    <w:rsid w:val="009E6B76"/>
    <w:rsid w:val="009E6D63"/>
    <w:rsid w:val="009E714A"/>
    <w:rsid w:val="009E730C"/>
    <w:rsid w:val="009E7357"/>
    <w:rsid w:val="009E75FC"/>
    <w:rsid w:val="009E762C"/>
    <w:rsid w:val="009E7A2D"/>
    <w:rsid w:val="009E7B18"/>
    <w:rsid w:val="009E7B34"/>
    <w:rsid w:val="009E7CF0"/>
    <w:rsid w:val="009F022E"/>
    <w:rsid w:val="009F130E"/>
    <w:rsid w:val="009F18FF"/>
    <w:rsid w:val="009F1B92"/>
    <w:rsid w:val="009F2248"/>
    <w:rsid w:val="009F224B"/>
    <w:rsid w:val="009F2E9F"/>
    <w:rsid w:val="009F4E53"/>
    <w:rsid w:val="009F4E75"/>
    <w:rsid w:val="009F570B"/>
    <w:rsid w:val="009F5DB5"/>
    <w:rsid w:val="009F5F23"/>
    <w:rsid w:val="009F5FB0"/>
    <w:rsid w:val="009F6068"/>
    <w:rsid w:val="009F64BF"/>
    <w:rsid w:val="009F6AEA"/>
    <w:rsid w:val="009F7511"/>
    <w:rsid w:val="009F783B"/>
    <w:rsid w:val="009F79BE"/>
    <w:rsid w:val="009F79C1"/>
    <w:rsid w:val="009F7DCD"/>
    <w:rsid w:val="009F7E24"/>
    <w:rsid w:val="00A00913"/>
    <w:rsid w:val="00A00FE9"/>
    <w:rsid w:val="00A0218E"/>
    <w:rsid w:val="00A0242C"/>
    <w:rsid w:val="00A02657"/>
    <w:rsid w:val="00A02735"/>
    <w:rsid w:val="00A02E31"/>
    <w:rsid w:val="00A0309A"/>
    <w:rsid w:val="00A031FF"/>
    <w:rsid w:val="00A049B8"/>
    <w:rsid w:val="00A04D1B"/>
    <w:rsid w:val="00A04F10"/>
    <w:rsid w:val="00A0515B"/>
    <w:rsid w:val="00A056DA"/>
    <w:rsid w:val="00A06143"/>
    <w:rsid w:val="00A06209"/>
    <w:rsid w:val="00A068F3"/>
    <w:rsid w:val="00A069F9"/>
    <w:rsid w:val="00A06E0E"/>
    <w:rsid w:val="00A07185"/>
    <w:rsid w:val="00A076DF"/>
    <w:rsid w:val="00A07725"/>
    <w:rsid w:val="00A07911"/>
    <w:rsid w:val="00A100B2"/>
    <w:rsid w:val="00A101CD"/>
    <w:rsid w:val="00A105F5"/>
    <w:rsid w:val="00A10C93"/>
    <w:rsid w:val="00A12EAC"/>
    <w:rsid w:val="00A1344D"/>
    <w:rsid w:val="00A143B0"/>
    <w:rsid w:val="00A14BFB"/>
    <w:rsid w:val="00A15FEC"/>
    <w:rsid w:val="00A1635B"/>
    <w:rsid w:val="00A163AF"/>
    <w:rsid w:val="00A16E04"/>
    <w:rsid w:val="00A17300"/>
    <w:rsid w:val="00A17626"/>
    <w:rsid w:val="00A20484"/>
    <w:rsid w:val="00A20896"/>
    <w:rsid w:val="00A20AF9"/>
    <w:rsid w:val="00A22243"/>
    <w:rsid w:val="00A226DF"/>
    <w:rsid w:val="00A22A2C"/>
    <w:rsid w:val="00A22E25"/>
    <w:rsid w:val="00A22E34"/>
    <w:rsid w:val="00A22ED9"/>
    <w:rsid w:val="00A23842"/>
    <w:rsid w:val="00A23880"/>
    <w:rsid w:val="00A23EBC"/>
    <w:rsid w:val="00A24C36"/>
    <w:rsid w:val="00A25055"/>
    <w:rsid w:val="00A256E7"/>
    <w:rsid w:val="00A25CFC"/>
    <w:rsid w:val="00A25F2E"/>
    <w:rsid w:val="00A26389"/>
    <w:rsid w:val="00A26498"/>
    <w:rsid w:val="00A26CF0"/>
    <w:rsid w:val="00A271F1"/>
    <w:rsid w:val="00A272E1"/>
    <w:rsid w:val="00A274BB"/>
    <w:rsid w:val="00A2777A"/>
    <w:rsid w:val="00A27DB6"/>
    <w:rsid w:val="00A3045A"/>
    <w:rsid w:val="00A310FC"/>
    <w:rsid w:val="00A3179D"/>
    <w:rsid w:val="00A31990"/>
    <w:rsid w:val="00A3203E"/>
    <w:rsid w:val="00A3253B"/>
    <w:rsid w:val="00A331D1"/>
    <w:rsid w:val="00A337B2"/>
    <w:rsid w:val="00A33A0B"/>
    <w:rsid w:val="00A3483C"/>
    <w:rsid w:val="00A35130"/>
    <w:rsid w:val="00A364E0"/>
    <w:rsid w:val="00A36613"/>
    <w:rsid w:val="00A36BC5"/>
    <w:rsid w:val="00A370FC"/>
    <w:rsid w:val="00A375A4"/>
    <w:rsid w:val="00A40475"/>
    <w:rsid w:val="00A40AB1"/>
    <w:rsid w:val="00A4124C"/>
    <w:rsid w:val="00A42F8B"/>
    <w:rsid w:val="00A4309C"/>
    <w:rsid w:val="00A43170"/>
    <w:rsid w:val="00A433C7"/>
    <w:rsid w:val="00A43632"/>
    <w:rsid w:val="00A43AD2"/>
    <w:rsid w:val="00A442ED"/>
    <w:rsid w:val="00A4461E"/>
    <w:rsid w:val="00A449B0"/>
    <w:rsid w:val="00A449C8"/>
    <w:rsid w:val="00A449EF"/>
    <w:rsid w:val="00A450CB"/>
    <w:rsid w:val="00A454EE"/>
    <w:rsid w:val="00A4697B"/>
    <w:rsid w:val="00A46B43"/>
    <w:rsid w:val="00A47284"/>
    <w:rsid w:val="00A477F2"/>
    <w:rsid w:val="00A479D0"/>
    <w:rsid w:val="00A47EEC"/>
    <w:rsid w:val="00A5011E"/>
    <w:rsid w:val="00A5050D"/>
    <w:rsid w:val="00A50660"/>
    <w:rsid w:val="00A51CF0"/>
    <w:rsid w:val="00A522D2"/>
    <w:rsid w:val="00A52AC6"/>
    <w:rsid w:val="00A5356D"/>
    <w:rsid w:val="00A537B7"/>
    <w:rsid w:val="00A53D2C"/>
    <w:rsid w:val="00A54E82"/>
    <w:rsid w:val="00A55069"/>
    <w:rsid w:val="00A557AF"/>
    <w:rsid w:val="00A55A23"/>
    <w:rsid w:val="00A55BC2"/>
    <w:rsid w:val="00A55D22"/>
    <w:rsid w:val="00A5734F"/>
    <w:rsid w:val="00A57F0B"/>
    <w:rsid w:val="00A6048B"/>
    <w:rsid w:val="00A60953"/>
    <w:rsid w:val="00A60B1A"/>
    <w:rsid w:val="00A626A4"/>
    <w:rsid w:val="00A630B7"/>
    <w:rsid w:val="00A630D9"/>
    <w:rsid w:val="00A637CC"/>
    <w:rsid w:val="00A64C10"/>
    <w:rsid w:val="00A64D75"/>
    <w:rsid w:val="00A6512C"/>
    <w:rsid w:val="00A656D6"/>
    <w:rsid w:val="00A666FF"/>
    <w:rsid w:val="00A66766"/>
    <w:rsid w:val="00A66B59"/>
    <w:rsid w:val="00A67144"/>
    <w:rsid w:val="00A67288"/>
    <w:rsid w:val="00A6770B"/>
    <w:rsid w:val="00A67912"/>
    <w:rsid w:val="00A67E4F"/>
    <w:rsid w:val="00A67E98"/>
    <w:rsid w:val="00A700B8"/>
    <w:rsid w:val="00A70789"/>
    <w:rsid w:val="00A709B5"/>
    <w:rsid w:val="00A70B37"/>
    <w:rsid w:val="00A71053"/>
    <w:rsid w:val="00A71264"/>
    <w:rsid w:val="00A7295B"/>
    <w:rsid w:val="00A7419D"/>
    <w:rsid w:val="00A7536D"/>
    <w:rsid w:val="00A7568A"/>
    <w:rsid w:val="00A76047"/>
    <w:rsid w:val="00A76262"/>
    <w:rsid w:val="00A76495"/>
    <w:rsid w:val="00A76543"/>
    <w:rsid w:val="00A7715C"/>
    <w:rsid w:val="00A77336"/>
    <w:rsid w:val="00A802A7"/>
    <w:rsid w:val="00A808DA"/>
    <w:rsid w:val="00A81112"/>
    <w:rsid w:val="00A81A58"/>
    <w:rsid w:val="00A81B4E"/>
    <w:rsid w:val="00A81BA6"/>
    <w:rsid w:val="00A8211D"/>
    <w:rsid w:val="00A82724"/>
    <w:rsid w:val="00A827D9"/>
    <w:rsid w:val="00A82A64"/>
    <w:rsid w:val="00A83B1A"/>
    <w:rsid w:val="00A8415D"/>
    <w:rsid w:val="00A841DA"/>
    <w:rsid w:val="00A84A9C"/>
    <w:rsid w:val="00A84C10"/>
    <w:rsid w:val="00A85E44"/>
    <w:rsid w:val="00A85EC3"/>
    <w:rsid w:val="00A860FD"/>
    <w:rsid w:val="00A8680E"/>
    <w:rsid w:val="00A86C99"/>
    <w:rsid w:val="00A86C9E"/>
    <w:rsid w:val="00A872B4"/>
    <w:rsid w:val="00A87EFB"/>
    <w:rsid w:val="00A90542"/>
    <w:rsid w:val="00A905C6"/>
    <w:rsid w:val="00A90EF2"/>
    <w:rsid w:val="00A910E6"/>
    <w:rsid w:val="00A91926"/>
    <w:rsid w:val="00A91BE2"/>
    <w:rsid w:val="00A91C36"/>
    <w:rsid w:val="00A91CD8"/>
    <w:rsid w:val="00A94340"/>
    <w:rsid w:val="00A947D6"/>
    <w:rsid w:val="00A94C22"/>
    <w:rsid w:val="00A95841"/>
    <w:rsid w:val="00A95A2B"/>
    <w:rsid w:val="00A95DFE"/>
    <w:rsid w:val="00A95E81"/>
    <w:rsid w:val="00A95FA2"/>
    <w:rsid w:val="00A96979"/>
    <w:rsid w:val="00A96BA6"/>
    <w:rsid w:val="00A96C69"/>
    <w:rsid w:val="00A972A5"/>
    <w:rsid w:val="00A97A77"/>
    <w:rsid w:val="00AA0922"/>
    <w:rsid w:val="00AA1031"/>
    <w:rsid w:val="00AA1C50"/>
    <w:rsid w:val="00AA2E43"/>
    <w:rsid w:val="00AA3161"/>
    <w:rsid w:val="00AA3408"/>
    <w:rsid w:val="00AA407B"/>
    <w:rsid w:val="00AA4A95"/>
    <w:rsid w:val="00AA4A9E"/>
    <w:rsid w:val="00AA4F0D"/>
    <w:rsid w:val="00AA5060"/>
    <w:rsid w:val="00AA5272"/>
    <w:rsid w:val="00AA5426"/>
    <w:rsid w:val="00AA5F87"/>
    <w:rsid w:val="00AA627C"/>
    <w:rsid w:val="00AA6467"/>
    <w:rsid w:val="00AA6D69"/>
    <w:rsid w:val="00AA750E"/>
    <w:rsid w:val="00AA7779"/>
    <w:rsid w:val="00AB0541"/>
    <w:rsid w:val="00AB05FE"/>
    <w:rsid w:val="00AB08D4"/>
    <w:rsid w:val="00AB0FA6"/>
    <w:rsid w:val="00AB1170"/>
    <w:rsid w:val="00AB1286"/>
    <w:rsid w:val="00AB1790"/>
    <w:rsid w:val="00AB1EBA"/>
    <w:rsid w:val="00AB20A1"/>
    <w:rsid w:val="00AB2136"/>
    <w:rsid w:val="00AB2CFD"/>
    <w:rsid w:val="00AB3191"/>
    <w:rsid w:val="00AB3D0A"/>
    <w:rsid w:val="00AB3F48"/>
    <w:rsid w:val="00AB4631"/>
    <w:rsid w:val="00AB5D19"/>
    <w:rsid w:val="00AB6216"/>
    <w:rsid w:val="00AB6416"/>
    <w:rsid w:val="00AB6686"/>
    <w:rsid w:val="00AB79D3"/>
    <w:rsid w:val="00AB7B5E"/>
    <w:rsid w:val="00AB7BFB"/>
    <w:rsid w:val="00AB7C7A"/>
    <w:rsid w:val="00AC0042"/>
    <w:rsid w:val="00AC0345"/>
    <w:rsid w:val="00AC075D"/>
    <w:rsid w:val="00AC0873"/>
    <w:rsid w:val="00AC0AF5"/>
    <w:rsid w:val="00AC0C68"/>
    <w:rsid w:val="00AC2D81"/>
    <w:rsid w:val="00AC2ED8"/>
    <w:rsid w:val="00AC37EB"/>
    <w:rsid w:val="00AC3D56"/>
    <w:rsid w:val="00AC41F8"/>
    <w:rsid w:val="00AC47E8"/>
    <w:rsid w:val="00AC4E55"/>
    <w:rsid w:val="00AC573B"/>
    <w:rsid w:val="00AC5CFB"/>
    <w:rsid w:val="00AC62EE"/>
    <w:rsid w:val="00AC64E4"/>
    <w:rsid w:val="00AC687F"/>
    <w:rsid w:val="00AC6DD2"/>
    <w:rsid w:val="00AC73A5"/>
    <w:rsid w:val="00AD01A9"/>
    <w:rsid w:val="00AD036B"/>
    <w:rsid w:val="00AD037B"/>
    <w:rsid w:val="00AD1276"/>
    <w:rsid w:val="00AD2623"/>
    <w:rsid w:val="00AD27B8"/>
    <w:rsid w:val="00AD2E9E"/>
    <w:rsid w:val="00AD4212"/>
    <w:rsid w:val="00AD42FE"/>
    <w:rsid w:val="00AD4DF7"/>
    <w:rsid w:val="00AD5211"/>
    <w:rsid w:val="00AD59BD"/>
    <w:rsid w:val="00AD6315"/>
    <w:rsid w:val="00AD67F9"/>
    <w:rsid w:val="00AD6C97"/>
    <w:rsid w:val="00AD6D8A"/>
    <w:rsid w:val="00AD6F6B"/>
    <w:rsid w:val="00AD724C"/>
    <w:rsid w:val="00AD7250"/>
    <w:rsid w:val="00AE1985"/>
    <w:rsid w:val="00AE1CE4"/>
    <w:rsid w:val="00AE27F2"/>
    <w:rsid w:val="00AE30EF"/>
    <w:rsid w:val="00AE358C"/>
    <w:rsid w:val="00AE3963"/>
    <w:rsid w:val="00AE3D00"/>
    <w:rsid w:val="00AE4CFF"/>
    <w:rsid w:val="00AE4E12"/>
    <w:rsid w:val="00AE5126"/>
    <w:rsid w:val="00AE521D"/>
    <w:rsid w:val="00AE54BB"/>
    <w:rsid w:val="00AE5555"/>
    <w:rsid w:val="00AE6304"/>
    <w:rsid w:val="00AE6430"/>
    <w:rsid w:val="00AE6881"/>
    <w:rsid w:val="00AE6D9D"/>
    <w:rsid w:val="00AE6F8B"/>
    <w:rsid w:val="00AE78FD"/>
    <w:rsid w:val="00AF052A"/>
    <w:rsid w:val="00AF07EB"/>
    <w:rsid w:val="00AF1451"/>
    <w:rsid w:val="00AF3D79"/>
    <w:rsid w:val="00AF427A"/>
    <w:rsid w:val="00AF4F25"/>
    <w:rsid w:val="00AF548F"/>
    <w:rsid w:val="00AF57AA"/>
    <w:rsid w:val="00AF6169"/>
    <w:rsid w:val="00AF6862"/>
    <w:rsid w:val="00AF69FA"/>
    <w:rsid w:val="00AF7094"/>
    <w:rsid w:val="00AF70DA"/>
    <w:rsid w:val="00AF749C"/>
    <w:rsid w:val="00AF776B"/>
    <w:rsid w:val="00AF7856"/>
    <w:rsid w:val="00AF7B76"/>
    <w:rsid w:val="00B00684"/>
    <w:rsid w:val="00B009BF"/>
    <w:rsid w:val="00B02F75"/>
    <w:rsid w:val="00B03730"/>
    <w:rsid w:val="00B04040"/>
    <w:rsid w:val="00B04086"/>
    <w:rsid w:val="00B05450"/>
    <w:rsid w:val="00B0576C"/>
    <w:rsid w:val="00B059A0"/>
    <w:rsid w:val="00B05CDB"/>
    <w:rsid w:val="00B05DBC"/>
    <w:rsid w:val="00B05F55"/>
    <w:rsid w:val="00B0671A"/>
    <w:rsid w:val="00B0690C"/>
    <w:rsid w:val="00B07246"/>
    <w:rsid w:val="00B07549"/>
    <w:rsid w:val="00B075B4"/>
    <w:rsid w:val="00B079BD"/>
    <w:rsid w:val="00B07F1C"/>
    <w:rsid w:val="00B10597"/>
    <w:rsid w:val="00B12366"/>
    <w:rsid w:val="00B123DA"/>
    <w:rsid w:val="00B12B82"/>
    <w:rsid w:val="00B12BF2"/>
    <w:rsid w:val="00B1330F"/>
    <w:rsid w:val="00B134E5"/>
    <w:rsid w:val="00B13C74"/>
    <w:rsid w:val="00B13CD2"/>
    <w:rsid w:val="00B13F4D"/>
    <w:rsid w:val="00B14264"/>
    <w:rsid w:val="00B14BC7"/>
    <w:rsid w:val="00B14D7E"/>
    <w:rsid w:val="00B15402"/>
    <w:rsid w:val="00B155A8"/>
    <w:rsid w:val="00B158B3"/>
    <w:rsid w:val="00B15E22"/>
    <w:rsid w:val="00B15F50"/>
    <w:rsid w:val="00B165EB"/>
    <w:rsid w:val="00B167A2"/>
    <w:rsid w:val="00B1687F"/>
    <w:rsid w:val="00B16BD8"/>
    <w:rsid w:val="00B1702D"/>
    <w:rsid w:val="00B17738"/>
    <w:rsid w:val="00B17F68"/>
    <w:rsid w:val="00B2071C"/>
    <w:rsid w:val="00B21CCB"/>
    <w:rsid w:val="00B21D80"/>
    <w:rsid w:val="00B22346"/>
    <w:rsid w:val="00B229C1"/>
    <w:rsid w:val="00B234E2"/>
    <w:rsid w:val="00B237F6"/>
    <w:rsid w:val="00B23F0C"/>
    <w:rsid w:val="00B240FA"/>
    <w:rsid w:val="00B25314"/>
    <w:rsid w:val="00B2563A"/>
    <w:rsid w:val="00B257A5"/>
    <w:rsid w:val="00B2586C"/>
    <w:rsid w:val="00B259D0"/>
    <w:rsid w:val="00B25DB9"/>
    <w:rsid w:val="00B25DDB"/>
    <w:rsid w:val="00B26358"/>
    <w:rsid w:val="00B26941"/>
    <w:rsid w:val="00B271E1"/>
    <w:rsid w:val="00B278A7"/>
    <w:rsid w:val="00B31B19"/>
    <w:rsid w:val="00B32C2E"/>
    <w:rsid w:val="00B32F95"/>
    <w:rsid w:val="00B330F6"/>
    <w:rsid w:val="00B3344D"/>
    <w:rsid w:val="00B3395A"/>
    <w:rsid w:val="00B33964"/>
    <w:rsid w:val="00B343E9"/>
    <w:rsid w:val="00B34C54"/>
    <w:rsid w:val="00B3561E"/>
    <w:rsid w:val="00B371FD"/>
    <w:rsid w:val="00B3737F"/>
    <w:rsid w:val="00B3749B"/>
    <w:rsid w:val="00B3777D"/>
    <w:rsid w:val="00B401AB"/>
    <w:rsid w:val="00B40386"/>
    <w:rsid w:val="00B40494"/>
    <w:rsid w:val="00B4152E"/>
    <w:rsid w:val="00B41A28"/>
    <w:rsid w:val="00B4252F"/>
    <w:rsid w:val="00B42857"/>
    <w:rsid w:val="00B42F06"/>
    <w:rsid w:val="00B4312C"/>
    <w:rsid w:val="00B43286"/>
    <w:rsid w:val="00B434CB"/>
    <w:rsid w:val="00B4428E"/>
    <w:rsid w:val="00B444B0"/>
    <w:rsid w:val="00B44685"/>
    <w:rsid w:val="00B44F61"/>
    <w:rsid w:val="00B45E01"/>
    <w:rsid w:val="00B46257"/>
    <w:rsid w:val="00B4651D"/>
    <w:rsid w:val="00B46C42"/>
    <w:rsid w:val="00B46CD2"/>
    <w:rsid w:val="00B46D59"/>
    <w:rsid w:val="00B47247"/>
    <w:rsid w:val="00B476FE"/>
    <w:rsid w:val="00B47781"/>
    <w:rsid w:val="00B47E47"/>
    <w:rsid w:val="00B47EE2"/>
    <w:rsid w:val="00B47EF8"/>
    <w:rsid w:val="00B50532"/>
    <w:rsid w:val="00B51A41"/>
    <w:rsid w:val="00B51AEF"/>
    <w:rsid w:val="00B52F74"/>
    <w:rsid w:val="00B5321B"/>
    <w:rsid w:val="00B53823"/>
    <w:rsid w:val="00B541C3"/>
    <w:rsid w:val="00B54301"/>
    <w:rsid w:val="00B543A8"/>
    <w:rsid w:val="00B54B89"/>
    <w:rsid w:val="00B54C7C"/>
    <w:rsid w:val="00B55693"/>
    <w:rsid w:val="00B556BA"/>
    <w:rsid w:val="00B56251"/>
    <w:rsid w:val="00B56E13"/>
    <w:rsid w:val="00B572AD"/>
    <w:rsid w:val="00B573EF"/>
    <w:rsid w:val="00B5788F"/>
    <w:rsid w:val="00B578E2"/>
    <w:rsid w:val="00B57A27"/>
    <w:rsid w:val="00B57C62"/>
    <w:rsid w:val="00B60499"/>
    <w:rsid w:val="00B6096F"/>
    <w:rsid w:val="00B60D05"/>
    <w:rsid w:val="00B61339"/>
    <w:rsid w:val="00B61923"/>
    <w:rsid w:val="00B62973"/>
    <w:rsid w:val="00B62B68"/>
    <w:rsid w:val="00B63292"/>
    <w:rsid w:val="00B6335B"/>
    <w:rsid w:val="00B633EC"/>
    <w:rsid w:val="00B6378D"/>
    <w:rsid w:val="00B63D69"/>
    <w:rsid w:val="00B63DD4"/>
    <w:rsid w:val="00B64061"/>
    <w:rsid w:val="00B64172"/>
    <w:rsid w:val="00B648D6"/>
    <w:rsid w:val="00B66E25"/>
    <w:rsid w:val="00B66EFB"/>
    <w:rsid w:val="00B6712D"/>
    <w:rsid w:val="00B6715C"/>
    <w:rsid w:val="00B67322"/>
    <w:rsid w:val="00B67377"/>
    <w:rsid w:val="00B678D6"/>
    <w:rsid w:val="00B679A9"/>
    <w:rsid w:val="00B67F8E"/>
    <w:rsid w:val="00B70851"/>
    <w:rsid w:val="00B70D2D"/>
    <w:rsid w:val="00B71880"/>
    <w:rsid w:val="00B7221A"/>
    <w:rsid w:val="00B724CF"/>
    <w:rsid w:val="00B72CF0"/>
    <w:rsid w:val="00B73703"/>
    <w:rsid w:val="00B74CB0"/>
    <w:rsid w:val="00B74F3F"/>
    <w:rsid w:val="00B75114"/>
    <w:rsid w:val="00B75E9A"/>
    <w:rsid w:val="00B76126"/>
    <w:rsid w:val="00B76634"/>
    <w:rsid w:val="00B76A4C"/>
    <w:rsid w:val="00B76D52"/>
    <w:rsid w:val="00B76EA3"/>
    <w:rsid w:val="00B77403"/>
    <w:rsid w:val="00B77B88"/>
    <w:rsid w:val="00B77C1B"/>
    <w:rsid w:val="00B8033A"/>
    <w:rsid w:val="00B81C4F"/>
    <w:rsid w:val="00B837C7"/>
    <w:rsid w:val="00B839B7"/>
    <w:rsid w:val="00B84F5C"/>
    <w:rsid w:val="00B854E3"/>
    <w:rsid w:val="00B85CA9"/>
    <w:rsid w:val="00B86AB5"/>
    <w:rsid w:val="00B86B10"/>
    <w:rsid w:val="00B87076"/>
    <w:rsid w:val="00B871B8"/>
    <w:rsid w:val="00B874CD"/>
    <w:rsid w:val="00B878FC"/>
    <w:rsid w:val="00B87CA9"/>
    <w:rsid w:val="00B87E75"/>
    <w:rsid w:val="00B90253"/>
    <w:rsid w:val="00B90597"/>
    <w:rsid w:val="00B905A4"/>
    <w:rsid w:val="00B9119E"/>
    <w:rsid w:val="00B917F1"/>
    <w:rsid w:val="00B91B0A"/>
    <w:rsid w:val="00B91EA1"/>
    <w:rsid w:val="00B92E07"/>
    <w:rsid w:val="00B93D43"/>
    <w:rsid w:val="00B94B03"/>
    <w:rsid w:val="00B94E7F"/>
    <w:rsid w:val="00B9552E"/>
    <w:rsid w:val="00B95D65"/>
    <w:rsid w:val="00B9602D"/>
    <w:rsid w:val="00B96577"/>
    <w:rsid w:val="00B96C06"/>
    <w:rsid w:val="00B96FFC"/>
    <w:rsid w:val="00B970EB"/>
    <w:rsid w:val="00B97912"/>
    <w:rsid w:val="00B97A52"/>
    <w:rsid w:val="00BA016F"/>
    <w:rsid w:val="00BA1075"/>
    <w:rsid w:val="00BA1132"/>
    <w:rsid w:val="00BA1DBC"/>
    <w:rsid w:val="00BA20BC"/>
    <w:rsid w:val="00BA2F57"/>
    <w:rsid w:val="00BA30E4"/>
    <w:rsid w:val="00BA3803"/>
    <w:rsid w:val="00BA3BE6"/>
    <w:rsid w:val="00BA4E2A"/>
    <w:rsid w:val="00BA552B"/>
    <w:rsid w:val="00BA5710"/>
    <w:rsid w:val="00BA5A89"/>
    <w:rsid w:val="00BA69E3"/>
    <w:rsid w:val="00BA72C9"/>
    <w:rsid w:val="00BA7520"/>
    <w:rsid w:val="00BA7623"/>
    <w:rsid w:val="00BA7835"/>
    <w:rsid w:val="00BA7D72"/>
    <w:rsid w:val="00BB1255"/>
    <w:rsid w:val="00BB1924"/>
    <w:rsid w:val="00BB23CF"/>
    <w:rsid w:val="00BB24D0"/>
    <w:rsid w:val="00BB2E84"/>
    <w:rsid w:val="00BB2FB6"/>
    <w:rsid w:val="00BB32FD"/>
    <w:rsid w:val="00BB364E"/>
    <w:rsid w:val="00BB3706"/>
    <w:rsid w:val="00BB3F23"/>
    <w:rsid w:val="00BB419E"/>
    <w:rsid w:val="00BB428E"/>
    <w:rsid w:val="00BB490C"/>
    <w:rsid w:val="00BB5C2A"/>
    <w:rsid w:val="00BB60B5"/>
    <w:rsid w:val="00BB795D"/>
    <w:rsid w:val="00BC0A86"/>
    <w:rsid w:val="00BC0E84"/>
    <w:rsid w:val="00BC212A"/>
    <w:rsid w:val="00BC26F5"/>
    <w:rsid w:val="00BC3340"/>
    <w:rsid w:val="00BC34C5"/>
    <w:rsid w:val="00BC3AD9"/>
    <w:rsid w:val="00BC4228"/>
    <w:rsid w:val="00BC4280"/>
    <w:rsid w:val="00BC44C7"/>
    <w:rsid w:val="00BC4B7C"/>
    <w:rsid w:val="00BC4D0D"/>
    <w:rsid w:val="00BC4F98"/>
    <w:rsid w:val="00BC5B05"/>
    <w:rsid w:val="00BC5DAA"/>
    <w:rsid w:val="00BC678D"/>
    <w:rsid w:val="00BC6973"/>
    <w:rsid w:val="00BC6F83"/>
    <w:rsid w:val="00BC6FD8"/>
    <w:rsid w:val="00BC7C1D"/>
    <w:rsid w:val="00BD04A6"/>
    <w:rsid w:val="00BD05BB"/>
    <w:rsid w:val="00BD07CC"/>
    <w:rsid w:val="00BD0E53"/>
    <w:rsid w:val="00BD13F4"/>
    <w:rsid w:val="00BD1655"/>
    <w:rsid w:val="00BD1992"/>
    <w:rsid w:val="00BD1E5D"/>
    <w:rsid w:val="00BD2081"/>
    <w:rsid w:val="00BD2697"/>
    <w:rsid w:val="00BD2928"/>
    <w:rsid w:val="00BD29B1"/>
    <w:rsid w:val="00BD2D45"/>
    <w:rsid w:val="00BD3493"/>
    <w:rsid w:val="00BD3D7E"/>
    <w:rsid w:val="00BD405E"/>
    <w:rsid w:val="00BD42B8"/>
    <w:rsid w:val="00BD4349"/>
    <w:rsid w:val="00BD526E"/>
    <w:rsid w:val="00BD52DA"/>
    <w:rsid w:val="00BD53CF"/>
    <w:rsid w:val="00BD58E6"/>
    <w:rsid w:val="00BD5FFD"/>
    <w:rsid w:val="00BD66BE"/>
    <w:rsid w:val="00BD6F21"/>
    <w:rsid w:val="00BD71B6"/>
    <w:rsid w:val="00BD728F"/>
    <w:rsid w:val="00BD7569"/>
    <w:rsid w:val="00BE0661"/>
    <w:rsid w:val="00BE0A90"/>
    <w:rsid w:val="00BE1F3E"/>
    <w:rsid w:val="00BE24B0"/>
    <w:rsid w:val="00BE2679"/>
    <w:rsid w:val="00BE2681"/>
    <w:rsid w:val="00BE29FE"/>
    <w:rsid w:val="00BE2C56"/>
    <w:rsid w:val="00BE2CF6"/>
    <w:rsid w:val="00BE36C2"/>
    <w:rsid w:val="00BE452E"/>
    <w:rsid w:val="00BE4791"/>
    <w:rsid w:val="00BE4BEB"/>
    <w:rsid w:val="00BE4C77"/>
    <w:rsid w:val="00BE4E5D"/>
    <w:rsid w:val="00BE542E"/>
    <w:rsid w:val="00BE6400"/>
    <w:rsid w:val="00BE6449"/>
    <w:rsid w:val="00BE6D86"/>
    <w:rsid w:val="00BE6EE0"/>
    <w:rsid w:val="00BE72D8"/>
    <w:rsid w:val="00BF0647"/>
    <w:rsid w:val="00BF0A0D"/>
    <w:rsid w:val="00BF0ADE"/>
    <w:rsid w:val="00BF0D47"/>
    <w:rsid w:val="00BF19B0"/>
    <w:rsid w:val="00BF207C"/>
    <w:rsid w:val="00BF24F2"/>
    <w:rsid w:val="00BF2530"/>
    <w:rsid w:val="00BF29F0"/>
    <w:rsid w:val="00BF2B1E"/>
    <w:rsid w:val="00BF2D3D"/>
    <w:rsid w:val="00BF33A2"/>
    <w:rsid w:val="00BF3529"/>
    <w:rsid w:val="00BF3AB3"/>
    <w:rsid w:val="00BF3BC1"/>
    <w:rsid w:val="00BF3D93"/>
    <w:rsid w:val="00BF4888"/>
    <w:rsid w:val="00BF512D"/>
    <w:rsid w:val="00BF5B5B"/>
    <w:rsid w:val="00BF5CB1"/>
    <w:rsid w:val="00BF5DCF"/>
    <w:rsid w:val="00BF6B6F"/>
    <w:rsid w:val="00BF766D"/>
    <w:rsid w:val="00BF7FBB"/>
    <w:rsid w:val="00C00786"/>
    <w:rsid w:val="00C00B5D"/>
    <w:rsid w:val="00C00DF6"/>
    <w:rsid w:val="00C01476"/>
    <w:rsid w:val="00C02137"/>
    <w:rsid w:val="00C0245C"/>
    <w:rsid w:val="00C03858"/>
    <w:rsid w:val="00C04984"/>
    <w:rsid w:val="00C04D5C"/>
    <w:rsid w:val="00C05379"/>
    <w:rsid w:val="00C060BA"/>
    <w:rsid w:val="00C061A9"/>
    <w:rsid w:val="00C06D53"/>
    <w:rsid w:val="00C07355"/>
    <w:rsid w:val="00C074EA"/>
    <w:rsid w:val="00C103C1"/>
    <w:rsid w:val="00C105BD"/>
    <w:rsid w:val="00C10825"/>
    <w:rsid w:val="00C10DA7"/>
    <w:rsid w:val="00C111FD"/>
    <w:rsid w:val="00C113A4"/>
    <w:rsid w:val="00C113E3"/>
    <w:rsid w:val="00C11FA3"/>
    <w:rsid w:val="00C12D0B"/>
    <w:rsid w:val="00C13F1A"/>
    <w:rsid w:val="00C14054"/>
    <w:rsid w:val="00C14842"/>
    <w:rsid w:val="00C149B4"/>
    <w:rsid w:val="00C15FA8"/>
    <w:rsid w:val="00C15FC0"/>
    <w:rsid w:val="00C162A1"/>
    <w:rsid w:val="00C17993"/>
    <w:rsid w:val="00C17A96"/>
    <w:rsid w:val="00C17F08"/>
    <w:rsid w:val="00C203F3"/>
    <w:rsid w:val="00C203FF"/>
    <w:rsid w:val="00C214C0"/>
    <w:rsid w:val="00C215A4"/>
    <w:rsid w:val="00C21BFC"/>
    <w:rsid w:val="00C22483"/>
    <w:rsid w:val="00C23304"/>
    <w:rsid w:val="00C234BD"/>
    <w:rsid w:val="00C23B9A"/>
    <w:rsid w:val="00C23CA6"/>
    <w:rsid w:val="00C23D6A"/>
    <w:rsid w:val="00C240A1"/>
    <w:rsid w:val="00C24399"/>
    <w:rsid w:val="00C244C7"/>
    <w:rsid w:val="00C245AA"/>
    <w:rsid w:val="00C24D8C"/>
    <w:rsid w:val="00C27547"/>
    <w:rsid w:val="00C275F9"/>
    <w:rsid w:val="00C27897"/>
    <w:rsid w:val="00C2799E"/>
    <w:rsid w:val="00C303B1"/>
    <w:rsid w:val="00C30E15"/>
    <w:rsid w:val="00C30FCA"/>
    <w:rsid w:val="00C310F5"/>
    <w:rsid w:val="00C31191"/>
    <w:rsid w:val="00C3197F"/>
    <w:rsid w:val="00C31F7C"/>
    <w:rsid w:val="00C32957"/>
    <w:rsid w:val="00C32958"/>
    <w:rsid w:val="00C331ED"/>
    <w:rsid w:val="00C347E4"/>
    <w:rsid w:val="00C349B6"/>
    <w:rsid w:val="00C34B2D"/>
    <w:rsid w:val="00C34B88"/>
    <w:rsid w:val="00C34E06"/>
    <w:rsid w:val="00C34F45"/>
    <w:rsid w:val="00C34F47"/>
    <w:rsid w:val="00C35288"/>
    <w:rsid w:val="00C355AF"/>
    <w:rsid w:val="00C35BA7"/>
    <w:rsid w:val="00C36B0F"/>
    <w:rsid w:val="00C37519"/>
    <w:rsid w:val="00C40444"/>
    <w:rsid w:val="00C404F8"/>
    <w:rsid w:val="00C40EC3"/>
    <w:rsid w:val="00C41565"/>
    <w:rsid w:val="00C41881"/>
    <w:rsid w:val="00C41A3B"/>
    <w:rsid w:val="00C42284"/>
    <w:rsid w:val="00C42599"/>
    <w:rsid w:val="00C4272A"/>
    <w:rsid w:val="00C42ADD"/>
    <w:rsid w:val="00C42E5F"/>
    <w:rsid w:val="00C4361C"/>
    <w:rsid w:val="00C437D3"/>
    <w:rsid w:val="00C44022"/>
    <w:rsid w:val="00C44056"/>
    <w:rsid w:val="00C4589C"/>
    <w:rsid w:val="00C45A60"/>
    <w:rsid w:val="00C45B6F"/>
    <w:rsid w:val="00C465B6"/>
    <w:rsid w:val="00C468BB"/>
    <w:rsid w:val="00C47691"/>
    <w:rsid w:val="00C47FEA"/>
    <w:rsid w:val="00C500AE"/>
    <w:rsid w:val="00C51042"/>
    <w:rsid w:val="00C5156C"/>
    <w:rsid w:val="00C516FB"/>
    <w:rsid w:val="00C51F7D"/>
    <w:rsid w:val="00C520A4"/>
    <w:rsid w:val="00C527D4"/>
    <w:rsid w:val="00C52F91"/>
    <w:rsid w:val="00C53140"/>
    <w:rsid w:val="00C5314C"/>
    <w:rsid w:val="00C534F1"/>
    <w:rsid w:val="00C53543"/>
    <w:rsid w:val="00C53BE7"/>
    <w:rsid w:val="00C53C9B"/>
    <w:rsid w:val="00C53F18"/>
    <w:rsid w:val="00C5440C"/>
    <w:rsid w:val="00C547DC"/>
    <w:rsid w:val="00C54A19"/>
    <w:rsid w:val="00C54CCF"/>
    <w:rsid w:val="00C54D29"/>
    <w:rsid w:val="00C555B3"/>
    <w:rsid w:val="00C5580D"/>
    <w:rsid w:val="00C56698"/>
    <w:rsid w:val="00C56758"/>
    <w:rsid w:val="00C56E10"/>
    <w:rsid w:val="00C57730"/>
    <w:rsid w:val="00C57AAC"/>
    <w:rsid w:val="00C60282"/>
    <w:rsid w:val="00C604BC"/>
    <w:rsid w:val="00C60C34"/>
    <w:rsid w:val="00C60F0B"/>
    <w:rsid w:val="00C61050"/>
    <w:rsid w:val="00C6126F"/>
    <w:rsid w:val="00C619B4"/>
    <w:rsid w:val="00C61B2A"/>
    <w:rsid w:val="00C621BD"/>
    <w:rsid w:val="00C622AE"/>
    <w:rsid w:val="00C6298D"/>
    <w:rsid w:val="00C6323F"/>
    <w:rsid w:val="00C637FF"/>
    <w:rsid w:val="00C64683"/>
    <w:rsid w:val="00C64DFF"/>
    <w:rsid w:val="00C65584"/>
    <w:rsid w:val="00C65E80"/>
    <w:rsid w:val="00C6646F"/>
    <w:rsid w:val="00C66A7A"/>
    <w:rsid w:val="00C66D1C"/>
    <w:rsid w:val="00C67E28"/>
    <w:rsid w:val="00C67EDB"/>
    <w:rsid w:val="00C70047"/>
    <w:rsid w:val="00C70593"/>
    <w:rsid w:val="00C70D69"/>
    <w:rsid w:val="00C70F5C"/>
    <w:rsid w:val="00C7115D"/>
    <w:rsid w:val="00C713E9"/>
    <w:rsid w:val="00C71C08"/>
    <w:rsid w:val="00C72FF6"/>
    <w:rsid w:val="00C743B8"/>
    <w:rsid w:val="00C74B1A"/>
    <w:rsid w:val="00C74BA2"/>
    <w:rsid w:val="00C7512C"/>
    <w:rsid w:val="00C764D2"/>
    <w:rsid w:val="00C76CCC"/>
    <w:rsid w:val="00C7769E"/>
    <w:rsid w:val="00C77A2D"/>
    <w:rsid w:val="00C77A7F"/>
    <w:rsid w:val="00C77F0C"/>
    <w:rsid w:val="00C80181"/>
    <w:rsid w:val="00C803BA"/>
    <w:rsid w:val="00C803C5"/>
    <w:rsid w:val="00C80D8E"/>
    <w:rsid w:val="00C80EF3"/>
    <w:rsid w:val="00C8171F"/>
    <w:rsid w:val="00C81C2F"/>
    <w:rsid w:val="00C828F4"/>
    <w:rsid w:val="00C83005"/>
    <w:rsid w:val="00C836F8"/>
    <w:rsid w:val="00C84148"/>
    <w:rsid w:val="00C84451"/>
    <w:rsid w:val="00C84ECF"/>
    <w:rsid w:val="00C84EFB"/>
    <w:rsid w:val="00C85115"/>
    <w:rsid w:val="00C855E5"/>
    <w:rsid w:val="00C855F7"/>
    <w:rsid w:val="00C8594B"/>
    <w:rsid w:val="00C85DFD"/>
    <w:rsid w:val="00C86C78"/>
    <w:rsid w:val="00C87700"/>
    <w:rsid w:val="00C87834"/>
    <w:rsid w:val="00C87EAB"/>
    <w:rsid w:val="00C903E8"/>
    <w:rsid w:val="00C90483"/>
    <w:rsid w:val="00C90550"/>
    <w:rsid w:val="00C90576"/>
    <w:rsid w:val="00C906EA"/>
    <w:rsid w:val="00C91514"/>
    <w:rsid w:val="00C91CE6"/>
    <w:rsid w:val="00C91FD2"/>
    <w:rsid w:val="00C929BA"/>
    <w:rsid w:val="00C92D16"/>
    <w:rsid w:val="00C92E30"/>
    <w:rsid w:val="00C93728"/>
    <w:rsid w:val="00C93E30"/>
    <w:rsid w:val="00C93FCD"/>
    <w:rsid w:val="00C93FFE"/>
    <w:rsid w:val="00C94181"/>
    <w:rsid w:val="00C945A1"/>
    <w:rsid w:val="00C9538B"/>
    <w:rsid w:val="00C95917"/>
    <w:rsid w:val="00C95BB9"/>
    <w:rsid w:val="00C95E5D"/>
    <w:rsid w:val="00C9613C"/>
    <w:rsid w:val="00C965C6"/>
    <w:rsid w:val="00C966F7"/>
    <w:rsid w:val="00C968C5"/>
    <w:rsid w:val="00C96ECC"/>
    <w:rsid w:val="00C97AF5"/>
    <w:rsid w:val="00CA0069"/>
    <w:rsid w:val="00CA0CAC"/>
    <w:rsid w:val="00CA1141"/>
    <w:rsid w:val="00CA21C2"/>
    <w:rsid w:val="00CA249E"/>
    <w:rsid w:val="00CA2B84"/>
    <w:rsid w:val="00CA3666"/>
    <w:rsid w:val="00CA37FF"/>
    <w:rsid w:val="00CA3845"/>
    <w:rsid w:val="00CA4911"/>
    <w:rsid w:val="00CA4A04"/>
    <w:rsid w:val="00CA4CAD"/>
    <w:rsid w:val="00CA4F0E"/>
    <w:rsid w:val="00CA5160"/>
    <w:rsid w:val="00CA55B0"/>
    <w:rsid w:val="00CA5E21"/>
    <w:rsid w:val="00CA5F1E"/>
    <w:rsid w:val="00CA62E5"/>
    <w:rsid w:val="00CA64CE"/>
    <w:rsid w:val="00CA68E6"/>
    <w:rsid w:val="00CA69B9"/>
    <w:rsid w:val="00CA6E36"/>
    <w:rsid w:val="00CA6EA0"/>
    <w:rsid w:val="00CA702B"/>
    <w:rsid w:val="00CA763E"/>
    <w:rsid w:val="00CB046F"/>
    <w:rsid w:val="00CB1553"/>
    <w:rsid w:val="00CB155D"/>
    <w:rsid w:val="00CB16F2"/>
    <w:rsid w:val="00CB1B26"/>
    <w:rsid w:val="00CB1D8C"/>
    <w:rsid w:val="00CB232B"/>
    <w:rsid w:val="00CB26AF"/>
    <w:rsid w:val="00CB283B"/>
    <w:rsid w:val="00CB2C29"/>
    <w:rsid w:val="00CB2D37"/>
    <w:rsid w:val="00CB3AAB"/>
    <w:rsid w:val="00CB3CE1"/>
    <w:rsid w:val="00CB435B"/>
    <w:rsid w:val="00CB4C14"/>
    <w:rsid w:val="00CB50F2"/>
    <w:rsid w:val="00CB5646"/>
    <w:rsid w:val="00CB5ADD"/>
    <w:rsid w:val="00CB62C3"/>
    <w:rsid w:val="00CB6642"/>
    <w:rsid w:val="00CB774E"/>
    <w:rsid w:val="00CB7CEA"/>
    <w:rsid w:val="00CB7D02"/>
    <w:rsid w:val="00CC018B"/>
    <w:rsid w:val="00CC05C2"/>
    <w:rsid w:val="00CC0D8C"/>
    <w:rsid w:val="00CC162E"/>
    <w:rsid w:val="00CC16F6"/>
    <w:rsid w:val="00CC1B73"/>
    <w:rsid w:val="00CC1B9E"/>
    <w:rsid w:val="00CC2350"/>
    <w:rsid w:val="00CC2648"/>
    <w:rsid w:val="00CC2A8C"/>
    <w:rsid w:val="00CC2BA2"/>
    <w:rsid w:val="00CC2E99"/>
    <w:rsid w:val="00CC32BB"/>
    <w:rsid w:val="00CC383D"/>
    <w:rsid w:val="00CC3E59"/>
    <w:rsid w:val="00CC4077"/>
    <w:rsid w:val="00CC54DF"/>
    <w:rsid w:val="00CC5832"/>
    <w:rsid w:val="00CC5AA7"/>
    <w:rsid w:val="00CC5DAE"/>
    <w:rsid w:val="00CC6124"/>
    <w:rsid w:val="00CC6763"/>
    <w:rsid w:val="00CC69D4"/>
    <w:rsid w:val="00CC6D6C"/>
    <w:rsid w:val="00CC749E"/>
    <w:rsid w:val="00CC7944"/>
    <w:rsid w:val="00CC7BF2"/>
    <w:rsid w:val="00CD088D"/>
    <w:rsid w:val="00CD0E9B"/>
    <w:rsid w:val="00CD1C46"/>
    <w:rsid w:val="00CD288B"/>
    <w:rsid w:val="00CD2B87"/>
    <w:rsid w:val="00CD2DDD"/>
    <w:rsid w:val="00CD36BD"/>
    <w:rsid w:val="00CD4004"/>
    <w:rsid w:val="00CD401F"/>
    <w:rsid w:val="00CD4858"/>
    <w:rsid w:val="00CD4EE8"/>
    <w:rsid w:val="00CD5493"/>
    <w:rsid w:val="00CD5828"/>
    <w:rsid w:val="00CD5E6C"/>
    <w:rsid w:val="00CD6041"/>
    <w:rsid w:val="00CD6119"/>
    <w:rsid w:val="00CD6402"/>
    <w:rsid w:val="00CD68E3"/>
    <w:rsid w:val="00CD6EB5"/>
    <w:rsid w:val="00CD6FD6"/>
    <w:rsid w:val="00CD74F8"/>
    <w:rsid w:val="00CD7607"/>
    <w:rsid w:val="00CE068E"/>
    <w:rsid w:val="00CE06D1"/>
    <w:rsid w:val="00CE0845"/>
    <w:rsid w:val="00CE0BE0"/>
    <w:rsid w:val="00CE0C02"/>
    <w:rsid w:val="00CE0EC8"/>
    <w:rsid w:val="00CE2C31"/>
    <w:rsid w:val="00CE2D63"/>
    <w:rsid w:val="00CE34E0"/>
    <w:rsid w:val="00CE3C69"/>
    <w:rsid w:val="00CE3CCC"/>
    <w:rsid w:val="00CE3DC7"/>
    <w:rsid w:val="00CE3FB7"/>
    <w:rsid w:val="00CE58BE"/>
    <w:rsid w:val="00CE5CB5"/>
    <w:rsid w:val="00CE6186"/>
    <w:rsid w:val="00CE6200"/>
    <w:rsid w:val="00CE6A81"/>
    <w:rsid w:val="00CE6AEE"/>
    <w:rsid w:val="00CE73F5"/>
    <w:rsid w:val="00CF004B"/>
    <w:rsid w:val="00CF0430"/>
    <w:rsid w:val="00CF04A1"/>
    <w:rsid w:val="00CF0ECB"/>
    <w:rsid w:val="00CF1885"/>
    <w:rsid w:val="00CF1981"/>
    <w:rsid w:val="00CF1A69"/>
    <w:rsid w:val="00CF2631"/>
    <w:rsid w:val="00CF29CB"/>
    <w:rsid w:val="00CF2C54"/>
    <w:rsid w:val="00CF3383"/>
    <w:rsid w:val="00CF3A3E"/>
    <w:rsid w:val="00CF3CE8"/>
    <w:rsid w:val="00CF3E91"/>
    <w:rsid w:val="00CF468D"/>
    <w:rsid w:val="00CF4FC2"/>
    <w:rsid w:val="00CF5B18"/>
    <w:rsid w:val="00CF5D70"/>
    <w:rsid w:val="00CF62AC"/>
    <w:rsid w:val="00CF7320"/>
    <w:rsid w:val="00D0027F"/>
    <w:rsid w:val="00D002F5"/>
    <w:rsid w:val="00D00E98"/>
    <w:rsid w:val="00D00EA7"/>
    <w:rsid w:val="00D01387"/>
    <w:rsid w:val="00D025C1"/>
    <w:rsid w:val="00D02A82"/>
    <w:rsid w:val="00D03215"/>
    <w:rsid w:val="00D0373D"/>
    <w:rsid w:val="00D03C57"/>
    <w:rsid w:val="00D03CEA"/>
    <w:rsid w:val="00D04150"/>
    <w:rsid w:val="00D04631"/>
    <w:rsid w:val="00D049CD"/>
    <w:rsid w:val="00D04B33"/>
    <w:rsid w:val="00D04D9E"/>
    <w:rsid w:val="00D04EF9"/>
    <w:rsid w:val="00D059AB"/>
    <w:rsid w:val="00D06129"/>
    <w:rsid w:val="00D06304"/>
    <w:rsid w:val="00D06883"/>
    <w:rsid w:val="00D06C5D"/>
    <w:rsid w:val="00D07196"/>
    <w:rsid w:val="00D07B8D"/>
    <w:rsid w:val="00D07DCD"/>
    <w:rsid w:val="00D101E0"/>
    <w:rsid w:val="00D1049E"/>
    <w:rsid w:val="00D10A83"/>
    <w:rsid w:val="00D10D43"/>
    <w:rsid w:val="00D1180D"/>
    <w:rsid w:val="00D11ABD"/>
    <w:rsid w:val="00D11F73"/>
    <w:rsid w:val="00D11F86"/>
    <w:rsid w:val="00D120D4"/>
    <w:rsid w:val="00D123A2"/>
    <w:rsid w:val="00D13E39"/>
    <w:rsid w:val="00D13E9A"/>
    <w:rsid w:val="00D14644"/>
    <w:rsid w:val="00D15317"/>
    <w:rsid w:val="00D1570E"/>
    <w:rsid w:val="00D15E12"/>
    <w:rsid w:val="00D162EA"/>
    <w:rsid w:val="00D16819"/>
    <w:rsid w:val="00D172C6"/>
    <w:rsid w:val="00D17D34"/>
    <w:rsid w:val="00D17FE3"/>
    <w:rsid w:val="00D200AC"/>
    <w:rsid w:val="00D201E6"/>
    <w:rsid w:val="00D20580"/>
    <w:rsid w:val="00D20D5F"/>
    <w:rsid w:val="00D20E84"/>
    <w:rsid w:val="00D20F5D"/>
    <w:rsid w:val="00D21A73"/>
    <w:rsid w:val="00D22DC5"/>
    <w:rsid w:val="00D22DDC"/>
    <w:rsid w:val="00D230CA"/>
    <w:rsid w:val="00D2340A"/>
    <w:rsid w:val="00D235EC"/>
    <w:rsid w:val="00D239EF"/>
    <w:rsid w:val="00D23AC0"/>
    <w:rsid w:val="00D244FD"/>
    <w:rsid w:val="00D2499F"/>
    <w:rsid w:val="00D25412"/>
    <w:rsid w:val="00D269AE"/>
    <w:rsid w:val="00D27272"/>
    <w:rsid w:val="00D307CD"/>
    <w:rsid w:val="00D30917"/>
    <w:rsid w:val="00D30B97"/>
    <w:rsid w:val="00D30E2F"/>
    <w:rsid w:val="00D31228"/>
    <w:rsid w:val="00D315DF"/>
    <w:rsid w:val="00D31988"/>
    <w:rsid w:val="00D31B4B"/>
    <w:rsid w:val="00D32C62"/>
    <w:rsid w:val="00D32D35"/>
    <w:rsid w:val="00D32D64"/>
    <w:rsid w:val="00D33545"/>
    <w:rsid w:val="00D336B7"/>
    <w:rsid w:val="00D33EAD"/>
    <w:rsid w:val="00D340C4"/>
    <w:rsid w:val="00D34CEF"/>
    <w:rsid w:val="00D37022"/>
    <w:rsid w:val="00D378C5"/>
    <w:rsid w:val="00D4001D"/>
    <w:rsid w:val="00D401CD"/>
    <w:rsid w:val="00D4023B"/>
    <w:rsid w:val="00D4161E"/>
    <w:rsid w:val="00D41710"/>
    <w:rsid w:val="00D41AD3"/>
    <w:rsid w:val="00D41FA7"/>
    <w:rsid w:val="00D423BA"/>
    <w:rsid w:val="00D425AF"/>
    <w:rsid w:val="00D42976"/>
    <w:rsid w:val="00D42AD3"/>
    <w:rsid w:val="00D42F3A"/>
    <w:rsid w:val="00D42F64"/>
    <w:rsid w:val="00D435C9"/>
    <w:rsid w:val="00D43F34"/>
    <w:rsid w:val="00D440CC"/>
    <w:rsid w:val="00D444B0"/>
    <w:rsid w:val="00D44C17"/>
    <w:rsid w:val="00D450E8"/>
    <w:rsid w:val="00D45801"/>
    <w:rsid w:val="00D45CFE"/>
    <w:rsid w:val="00D476B2"/>
    <w:rsid w:val="00D47EF3"/>
    <w:rsid w:val="00D510EE"/>
    <w:rsid w:val="00D52138"/>
    <w:rsid w:val="00D52542"/>
    <w:rsid w:val="00D5290E"/>
    <w:rsid w:val="00D53400"/>
    <w:rsid w:val="00D53C3C"/>
    <w:rsid w:val="00D53EEC"/>
    <w:rsid w:val="00D54009"/>
    <w:rsid w:val="00D549AB"/>
    <w:rsid w:val="00D55C9F"/>
    <w:rsid w:val="00D55D2E"/>
    <w:rsid w:val="00D55F81"/>
    <w:rsid w:val="00D5631B"/>
    <w:rsid w:val="00D564B7"/>
    <w:rsid w:val="00D56776"/>
    <w:rsid w:val="00D573CA"/>
    <w:rsid w:val="00D57B1E"/>
    <w:rsid w:val="00D60296"/>
    <w:rsid w:val="00D602B5"/>
    <w:rsid w:val="00D602BD"/>
    <w:rsid w:val="00D60BE4"/>
    <w:rsid w:val="00D610D9"/>
    <w:rsid w:val="00D6170C"/>
    <w:rsid w:val="00D617AB"/>
    <w:rsid w:val="00D61868"/>
    <w:rsid w:val="00D61AB4"/>
    <w:rsid w:val="00D62371"/>
    <w:rsid w:val="00D628CC"/>
    <w:rsid w:val="00D62CDC"/>
    <w:rsid w:val="00D62EC8"/>
    <w:rsid w:val="00D632A8"/>
    <w:rsid w:val="00D633CE"/>
    <w:rsid w:val="00D637A3"/>
    <w:rsid w:val="00D63829"/>
    <w:rsid w:val="00D63B2B"/>
    <w:rsid w:val="00D641E8"/>
    <w:rsid w:val="00D6454B"/>
    <w:rsid w:val="00D649AE"/>
    <w:rsid w:val="00D653C2"/>
    <w:rsid w:val="00D65C6A"/>
    <w:rsid w:val="00D66CC5"/>
    <w:rsid w:val="00D66E7F"/>
    <w:rsid w:val="00D679B2"/>
    <w:rsid w:val="00D67BC2"/>
    <w:rsid w:val="00D704C7"/>
    <w:rsid w:val="00D71291"/>
    <w:rsid w:val="00D717EF"/>
    <w:rsid w:val="00D71AC4"/>
    <w:rsid w:val="00D73169"/>
    <w:rsid w:val="00D73B3A"/>
    <w:rsid w:val="00D764C0"/>
    <w:rsid w:val="00D775CF"/>
    <w:rsid w:val="00D80064"/>
    <w:rsid w:val="00D806E9"/>
    <w:rsid w:val="00D80B03"/>
    <w:rsid w:val="00D80E87"/>
    <w:rsid w:val="00D8110C"/>
    <w:rsid w:val="00D81DAC"/>
    <w:rsid w:val="00D820B2"/>
    <w:rsid w:val="00D82290"/>
    <w:rsid w:val="00D829FB"/>
    <w:rsid w:val="00D83BCC"/>
    <w:rsid w:val="00D841DD"/>
    <w:rsid w:val="00D841FA"/>
    <w:rsid w:val="00D8426E"/>
    <w:rsid w:val="00D849E8"/>
    <w:rsid w:val="00D85097"/>
    <w:rsid w:val="00D853EF"/>
    <w:rsid w:val="00D85579"/>
    <w:rsid w:val="00D86AF9"/>
    <w:rsid w:val="00D8707E"/>
    <w:rsid w:val="00D87336"/>
    <w:rsid w:val="00D87460"/>
    <w:rsid w:val="00D87ADC"/>
    <w:rsid w:val="00D87CF8"/>
    <w:rsid w:val="00D902D0"/>
    <w:rsid w:val="00D90FF1"/>
    <w:rsid w:val="00D91A26"/>
    <w:rsid w:val="00D9274E"/>
    <w:rsid w:val="00D927B4"/>
    <w:rsid w:val="00D92989"/>
    <w:rsid w:val="00D92A79"/>
    <w:rsid w:val="00D936E2"/>
    <w:rsid w:val="00D936FD"/>
    <w:rsid w:val="00D937AF"/>
    <w:rsid w:val="00D94365"/>
    <w:rsid w:val="00D9457B"/>
    <w:rsid w:val="00D94C52"/>
    <w:rsid w:val="00D9501F"/>
    <w:rsid w:val="00D95F34"/>
    <w:rsid w:val="00D96C3A"/>
    <w:rsid w:val="00D97E36"/>
    <w:rsid w:val="00DA0F8A"/>
    <w:rsid w:val="00DA10EB"/>
    <w:rsid w:val="00DA1B75"/>
    <w:rsid w:val="00DA246B"/>
    <w:rsid w:val="00DA24F4"/>
    <w:rsid w:val="00DA2757"/>
    <w:rsid w:val="00DA3258"/>
    <w:rsid w:val="00DA350C"/>
    <w:rsid w:val="00DA395C"/>
    <w:rsid w:val="00DA3DEF"/>
    <w:rsid w:val="00DA4350"/>
    <w:rsid w:val="00DA462D"/>
    <w:rsid w:val="00DA46FD"/>
    <w:rsid w:val="00DA4BCB"/>
    <w:rsid w:val="00DA4EC4"/>
    <w:rsid w:val="00DA50F3"/>
    <w:rsid w:val="00DA551B"/>
    <w:rsid w:val="00DA56BC"/>
    <w:rsid w:val="00DA5B62"/>
    <w:rsid w:val="00DA5B65"/>
    <w:rsid w:val="00DA5CB4"/>
    <w:rsid w:val="00DA6931"/>
    <w:rsid w:val="00DB06D8"/>
    <w:rsid w:val="00DB094B"/>
    <w:rsid w:val="00DB0DDE"/>
    <w:rsid w:val="00DB2F75"/>
    <w:rsid w:val="00DB410A"/>
    <w:rsid w:val="00DB43B8"/>
    <w:rsid w:val="00DB4C1F"/>
    <w:rsid w:val="00DB4DB2"/>
    <w:rsid w:val="00DB4E86"/>
    <w:rsid w:val="00DB5155"/>
    <w:rsid w:val="00DB52EB"/>
    <w:rsid w:val="00DB75F3"/>
    <w:rsid w:val="00DC0187"/>
    <w:rsid w:val="00DC101A"/>
    <w:rsid w:val="00DC147A"/>
    <w:rsid w:val="00DC1B28"/>
    <w:rsid w:val="00DC27D1"/>
    <w:rsid w:val="00DC2F12"/>
    <w:rsid w:val="00DC2F7F"/>
    <w:rsid w:val="00DC306A"/>
    <w:rsid w:val="00DC5056"/>
    <w:rsid w:val="00DC526A"/>
    <w:rsid w:val="00DC5B5D"/>
    <w:rsid w:val="00DC5FAE"/>
    <w:rsid w:val="00DC6548"/>
    <w:rsid w:val="00DC6807"/>
    <w:rsid w:val="00DC6A17"/>
    <w:rsid w:val="00DC6AF0"/>
    <w:rsid w:val="00DC6E74"/>
    <w:rsid w:val="00DC70BF"/>
    <w:rsid w:val="00DC70D4"/>
    <w:rsid w:val="00DC781B"/>
    <w:rsid w:val="00DC7D2A"/>
    <w:rsid w:val="00DD01F4"/>
    <w:rsid w:val="00DD16B9"/>
    <w:rsid w:val="00DD1F86"/>
    <w:rsid w:val="00DD285B"/>
    <w:rsid w:val="00DD292D"/>
    <w:rsid w:val="00DD3262"/>
    <w:rsid w:val="00DD373D"/>
    <w:rsid w:val="00DD3925"/>
    <w:rsid w:val="00DD4E41"/>
    <w:rsid w:val="00DD4FD0"/>
    <w:rsid w:val="00DD51C9"/>
    <w:rsid w:val="00DD5748"/>
    <w:rsid w:val="00DD5BF7"/>
    <w:rsid w:val="00DD6148"/>
    <w:rsid w:val="00DD624C"/>
    <w:rsid w:val="00DD65CD"/>
    <w:rsid w:val="00DD6DF5"/>
    <w:rsid w:val="00DD768E"/>
    <w:rsid w:val="00DD77BB"/>
    <w:rsid w:val="00DD7976"/>
    <w:rsid w:val="00DD79FB"/>
    <w:rsid w:val="00DD7DD4"/>
    <w:rsid w:val="00DE028D"/>
    <w:rsid w:val="00DE15B1"/>
    <w:rsid w:val="00DE18D7"/>
    <w:rsid w:val="00DE1ABE"/>
    <w:rsid w:val="00DE3290"/>
    <w:rsid w:val="00DE3398"/>
    <w:rsid w:val="00DE3599"/>
    <w:rsid w:val="00DE37AA"/>
    <w:rsid w:val="00DE434E"/>
    <w:rsid w:val="00DE524E"/>
    <w:rsid w:val="00DE541A"/>
    <w:rsid w:val="00DE58CA"/>
    <w:rsid w:val="00DE628D"/>
    <w:rsid w:val="00DE641B"/>
    <w:rsid w:val="00DE6809"/>
    <w:rsid w:val="00DE6B84"/>
    <w:rsid w:val="00DE7348"/>
    <w:rsid w:val="00DE74EE"/>
    <w:rsid w:val="00DE7569"/>
    <w:rsid w:val="00DE75E3"/>
    <w:rsid w:val="00DE7AF4"/>
    <w:rsid w:val="00DF0D05"/>
    <w:rsid w:val="00DF0D60"/>
    <w:rsid w:val="00DF1BEF"/>
    <w:rsid w:val="00DF2B9A"/>
    <w:rsid w:val="00DF3148"/>
    <w:rsid w:val="00DF3744"/>
    <w:rsid w:val="00DF47BF"/>
    <w:rsid w:val="00DF4C09"/>
    <w:rsid w:val="00DF589D"/>
    <w:rsid w:val="00DF603D"/>
    <w:rsid w:val="00DF69A0"/>
    <w:rsid w:val="00DF7550"/>
    <w:rsid w:val="00DF7C18"/>
    <w:rsid w:val="00DF7FC1"/>
    <w:rsid w:val="00E01781"/>
    <w:rsid w:val="00E01EE8"/>
    <w:rsid w:val="00E028E4"/>
    <w:rsid w:val="00E02A51"/>
    <w:rsid w:val="00E030F3"/>
    <w:rsid w:val="00E031FB"/>
    <w:rsid w:val="00E0450C"/>
    <w:rsid w:val="00E0518C"/>
    <w:rsid w:val="00E056F8"/>
    <w:rsid w:val="00E05B0E"/>
    <w:rsid w:val="00E073EA"/>
    <w:rsid w:val="00E074A6"/>
    <w:rsid w:val="00E079D3"/>
    <w:rsid w:val="00E07AA6"/>
    <w:rsid w:val="00E100C2"/>
    <w:rsid w:val="00E1034F"/>
    <w:rsid w:val="00E106F9"/>
    <w:rsid w:val="00E10D3C"/>
    <w:rsid w:val="00E11C25"/>
    <w:rsid w:val="00E11C6C"/>
    <w:rsid w:val="00E11E85"/>
    <w:rsid w:val="00E127D8"/>
    <w:rsid w:val="00E1301A"/>
    <w:rsid w:val="00E1317C"/>
    <w:rsid w:val="00E136AC"/>
    <w:rsid w:val="00E13769"/>
    <w:rsid w:val="00E1387D"/>
    <w:rsid w:val="00E13F8A"/>
    <w:rsid w:val="00E14306"/>
    <w:rsid w:val="00E145CA"/>
    <w:rsid w:val="00E151E4"/>
    <w:rsid w:val="00E1531F"/>
    <w:rsid w:val="00E15468"/>
    <w:rsid w:val="00E1575E"/>
    <w:rsid w:val="00E15DD0"/>
    <w:rsid w:val="00E15F81"/>
    <w:rsid w:val="00E16001"/>
    <w:rsid w:val="00E166F9"/>
    <w:rsid w:val="00E1723A"/>
    <w:rsid w:val="00E17892"/>
    <w:rsid w:val="00E17BB7"/>
    <w:rsid w:val="00E17C1C"/>
    <w:rsid w:val="00E17ED6"/>
    <w:rsid w:val="00E20ADF"/>
    <w:rsid w:val="00E20B79"/>
    <w:rsid w:val="00E20FCA"/>
    <w:rsid w:val="00E21244"/>
    <w:rsid w:val="00E21295"/>
    <w:rsid w:val="00E212D3"/>
    <w:rsid w:val="00E21B7B"/>
    <w:rsid w:val="00E2262B"/>
    <w:rsid w:val="00E22E6C"/>
    <w:rsid w:val="00E239A7"/>
    <w:rsid w:val="00E23AB9"/>
    <w:rsid w:val="00E24BC4"/>
    <w:rsid w:val="00E24E02"/>
    <w:rsid w:val="00E24E67"/>
    <w:rsid w:val="00E257C9"/>
    <w:rsid w:val="00E2589E"/>
    <w:rsid w:val="00E25ADF"/>
    <w:rsid w:val="00E25B3F"/>
    <w:rsid w:val="00E25E02"/>
    <w:rsid w:val="00E25F07"/>
    <w:rsid w:val="00E26216"/>
    <w:rsid w:val="00E27BDE"/>
    <w:rsid w:val="00E27C0E"/>
    <w:rsid w:val="00E307C2"/>
    <w:rsid w:val="00E30F7B"/>
    <w:rsid w:val="00E31B6E"/>
    <w:rsid w:val="00E31C87"/>
    <w:rsid w:val="00E3209F"/>
    <w:rsid w:val="00E32123"/>
    <w:rsid w:val="00E324D8"/>
    <w:rsid w:val="00E32885"/>
    <w:rsid w:val="00E32989"/>
    <w:rsid w:val="00E32DB4"/>
    <w:rsid w:val="00E333FF"/>
    <w:rsid w:val="00E3353E"/>
    <w:rsid w:val="00E3435C"/>
    <w:rsid w:val="00E34B4E"/>
    <w:rsid w:val="00E35ABD"/>
    <w:rsid w:val="00E36642"/>
    <w:rsid w:val="00E36894"/>
    <w:rsid w:val="00E369E4"/>
    <w:rsid w:val="00E36D4F"/>
    <w:rsid w:val="00E36F80"/>
    <w:rsid w:val="00E37FF1"/>
    <w:rsid w:val="00E40B3E"/>
    <w:rsid w:val="00E4157C"/>
    <w:rsid w:val="00E41FCD"/>
    <w:rsid w:val="00E422FF"/>
    <w:rsid w:val="00E423DD"/>
    <w:rsid w:val="00E42C8B"/>
    <w:rsid w:val="00E4353E"/>
    <w:rsid w:val="00E438C1"/>
    <w:rsid w:val="00E440E9"/>
    <w:rsid w:val="00E4443B"/>
    <w:rsid w:val="00E446EB"/>
    <w:rsid w:val="00E449A5"/>
    <w:rsid w:val="00E449E7"/>
    <w:rsid w:val="00E44AE0"/>
    <w:rsid w:val="00E44B11"/>
    <w:rsid w:val="00E44B6E"/>
    <w:rsid w:val="00E44E2E"/>
    <w:rsid w:val="00E450CF"/>
    <w:rsid w:val="00E46227"/>
    <w:rsid w:val="00E46855"/>
    <w:rsid w:val="00E46A92"/>
    <w:rsid w:val="00E472A4"/>
    <w:rsid w:val="00E47778"/>
    <w:rsid w:val="00E478F4"/>
    <w:rsid w:val="00E47CB7"/>
    <w:rsid w:val="00E50414"/>
    <w:rsid w:val="00E5075E"/>
    <w:rsid w:val="00E50A07"/>
    <w:rsid w:val="00E50D01"/>
    <w:rsid w:val="00E51066"/>
    <w:rsid w:val="00E51F8E"/>
    <w:rsid w:val="00E52EAA"/>
    <w:rsid w:val="00E53558"/>
    <w:rsid w:val="00E5452D"/>
    <w:rsid w:val="00E549CA"/>
    <w:rsid w:val="00E54AEF"/>
    <w:rsid w:val="00E54BA7"/>
    <w:rsid w:val="00E559BA"/>
    <w:rsid w:val="00E565F5"/>
    <w:rsid w:val="00E56746"/>
    <w:rsid w:val="00E569AE"/>
    <w:rsid w:val="00E56F36"/>
    <w:rsid w:val="00E56FCE"/>
    <w:rsid w:val="00E570DE"/>
    <w:rsid w:val="00E601CB"/>
    <w:rsid w:val="00E60DF4"/>
    <w:rsid w:val="00E60FBB"/>
    <w:rsid w:val="00E61847"/>
    <w:rsid w:val="00E61E7E"/>
    <w:rsid w:val="00E62201"/>
    <w:rsid w:val="00E62C4F"/>
    <w:rsid w:val="00E62EDF"/>
    <w:rsid w:val="00E63017"/>
    <w:rsid w:val="00E6354A"/>
    <w:rsid w:val="00E6355C"/>
    <w:rsid w:val="00E63806"/>
    <w:rsid w:val="00E63CDB"/>
    <w:rsid w:val="00E63F61"/>
    <w:rsid w:val="00E644AD"/>
    <w:rsid w:val="00E64AE0"/>
    <w:rsid w:val="00E6685B"/>
    <w:rsid w:val="00E669D8"/>
    <w:rsid w:val="00E67088"/>
    <w:rsid w:val="00E702F8"/>
    <w:rsid w:val="00E70AA1"/>
    <w:rsid w:val="00E70CF5"/>
    <w:rsid w:val="00E71014"/>
    <w:rsid w:val="00E71F94"/>
    <w:rsid w:val="00E72350"/>
    <w:rsid w:val="00E72D2F"/>
    <w:rsid w:val="00E736C9"/>
    <w:rsid w:val="00E73ABE"/>
    <w:rsid w:val="00E755DD"/>
    <w:rsid w:val="00E757AD"/>
    <w:rsid w:val="00E75D69"/>
    <w:rsid w:val="00E75F38"/>
    <w:rsid w:val="00E76020"/>
    <w:rsid w:val="00E76AED"/>
    <w:rsid w:val="00E800B4"/>
    <w:rsid w:val="00E801BC"/>
    <w:rsid w:val="00E80847"/>
    <w:rsid w:val="00E81279"/>
    <w:rsid w:val="00E8146C"/>
    <w:rsid w:val="00E820CF"/>
    <w:rsid w:val="00E82DF9"/>
    <w:rsid w:val="00E830F8"/>
    <w:rsid w:val="00E83810"/>
    <w:rsid w:val="00E83A7B"/>
    <w:rsid w:val="00E83B5B"/>
    <w:rsid w:val="00E83E9F"/>
    <w:rsid w:val="00E84441"/>
    <w:rsid w:val="00E85909"/>
    <w:rsid w:val="00E859FB"/>
    <w:rsid w:val="00E86026"/>
    <w:rsid w:val="00E86453"/>
    <w:rsid w:val="00E8645F"/>
    <w:rsid w:val="00E865A9"/>
    <w:rsid w:val="00E86646"/>
    <w:rsid w:val="00E87385"/>
    <w:rsid w:val="00E87860"/>
    <w:rsid w:val="00E90140"/>
    <w:rsid w:val="00E90B44"/>
    <w:rsid w:val="00E90C01"/>
    <w:rsid w:val="00E91208"/>
    <w:rsid w:val="00E912DB"/>
    <w:rsid w:val="00E9161E"/>
    <w:rsid w:val="00E919E3"/>
    <w:rsid w:val="00E91D7F"/>
    <w:rsid w:val="00E92141"/>
    <w:rsid w:val="00E92624"/>
    <w:rsid w:val="00E93418"/>
    <w:rsid w:val="00E93C25"/>
    <w:rsid w:val="00E93EAC"/>
    <w:rsid w:val="00E9422A"/>
    <w:rsid w:val="00E94324"/>
    <w:rsid w:val="00E94686"/>
    <w:rsid w:val="00E9474E"/>
    <w:rsid w:val="00E94A49"/>
    <w:rsid w:val="00E951F0"/>
    <w:rsid w:val="00E96462"/>
    <w:rsid w:val="00E96D56"/>
    <w:rsid w:val="00E96F9B"/>
    <w:rsid w:val="00E97D06"/>
    <w:rsid w:val="00E97D23"/>
    <w:rsid w:val="00EA0872"/>
    <w:rsid w:val="00EA09F2"/>
    <w:rsid w:val="00EA0A60"/>
    <w:rsid w:val="00EA1647"/>
    <w:rsid w:val="00EA1F92"/>
    <w:rsid w:val="00EA2885"/>
    <w:rsid w:val="00EA378F"/>
    <w:rsid w:val="00EA3838"/>
    <w:rsid w:val="00EA3901"/>
    <w:rsid w:val="00EA3BFF"/>
    <w:rsid w:val="00EA3E8D"/>
    <w:rsid w:val="00EA3FF2"/>
    <w:rsid w:val="00EA4579"/>
    <w:rsid w:val="00EA45F1"/>
    <w:rsid w:val="00EA4766"/>
    <w:rsid w:val="00EA47DF"/>
    <w:rsid w:val="00EA4D33"/>
    <w:rsid w:val="00EA53D8"/>
    <w:rsid w:val="00EA6107"/>
    <w:rsid w:val="00EA6892"/>
    <w:rsid w:val="00EA6A0F"/>
    <w:rsid w:val="00EA6E69"/>
    <w:rsid w:val="00EA71EE"/>
    <w:rsid w:val="00EA767E"/>
    <w:rsid w:val="00EA76A8"/>
    <w:rsid w:val="00EA7701"/>
    <w:rsid w:val="00EA79F5"/>
    <w:rsid w:val="00EB0522"/>
    <w:rsid w:val="00EB0622"/>
    <w:rsid w:val="00EB0A41"/>
    <w:rsid w:val="00EB0C7F"/>
    <w:rsid w:val="00EB1056"/>
    <w:rsid w:val="00EB13E7"/>
    <w:rsid w:val="00EB1A03"/>
    <w:rsid w:val="00EB1DAD"/>
    <w:rsid w:val="00EB23B4"/>
    <w:rsid w:val="00EB2BEE"/>
    <w:rsid w:val="00EB32EC"/>
    <w:rsid w:val="00EB3454"/>
    <w:rsid w:val="00EB3785"/>
    <w:rsid w:val="00EB3AA6"/>
    <w:rsid w:val="00EB4069"/>
    <w:rsid w:val="00EB410B"/>
    <w:rsid w:val="00EB4111"/>
    <w:rsid w:val="00EB5338"/>
    <w:rsid w:val="00EB5726"/>
    <w:rsid w:val="00EB59EA"/>
    <w:rsid w:val="00EB6602"/>
    <w:rsid w:val="00EB692C"/>
    <w:rsid w:val="00EB6B03"/>
    <w:rsid w:val="00EB742A"/>
    <w:rsid w:val="00EC001A"/>
    <w:rsid w:val="00EC0037"/>
    <w:rsid w:val="00EC1E4B"/>
    <w:rsid w:val="00EC1EB2"/>
    <w:rsid w:val="00EC1FD6"/>
    <w:rsid w:val="00EC237B"/>
    <w:rsid w:val="00EC2B73"/>
    <w:rsid w:val="00EC4AA1"/>
    <w:rsid w:val="00EC4B8E"/>
    <w:rsid w:val="00EC4DC3"/>
    <w:rsid w:val="00EC55AD"/>
    <w:rsid w:val="00EC5B61"/>
    <w:rsid w:val="00EC5BF5"/>
    <w:rsid w:val="00EC5D84"/>
    <w:rsid w:val="00EC5F00"/>
    <w:rsid w:val="00EC72BD"/>
    <w:rsid w:val="00EC72E5"/>
    <w:rsid w:val="00EC7331"/>
    <w:rsid w:val="00EC7C4A"/>
    <w:rsid w:val="00EC7E45"/>
    <w:rsid w:val="00ED0469"/>
    <w:rsid w:val="00ED0607"/>
    <w:rsid w:val="00ED1022"/>
    <w:rsid w:val="00ED137E"/>
    <w:rsid w:val="00ED1BC6"/>
    <w:rsid w:val="00ED207A"/>
    <w:rsid w:val="00ED217D"/>
    <w:rsid w:val="00ED27D2"/>
    <w:rsid w:val="00ED2CE2"/>
    <w:rsid w:val="00ED31DB"/>
    <w:rsid w:val="00ED3420"/>
    <w:rsid w:val="00ED3609"/>
    <w:rsid w:val="00ED41E2"/>
    <w:rsid w:val="00ED4352"/>
    <w:rsid w:val="00ED5AA7"/>
    <w:rsid w:val="00ED6053"/>
    <w:rsid w:val="00ED6064"/>
    <w:rsid w:val="00ED6D29"/>
    <w:rsid w:val="00ED6E2C"/>
    <w:rsid w:val="00ED730A"/>
    <w:rsid w:val="00EE0A42"/>
    <w:rsid w:val="00EE0B7C"/>
    <w:rsid w:val="00EE0DA1"/>
    <w:rsid w:val="00EE0F7D"/>
    <w:rsid w:val="00EE0FE4"/>
    <w:rsid w:val="00EE1312"/>
    <w:rsid w:val="00EE1749"/>
    <w:rsid w:val="00EE28FB"/>
    <w:rsid w:val="00EE290D"/>
    <w:rsid w:val="00EE2DEB"/>
    <w:rsid w:val="00EE327B"/>
    <w:rsid w:val="00EE3B4B"/>
    <w:rsid w:val="00EE53B6"/>
    <w:rsid w:val="00EE56D2"/>
    <w:rsid w:val="00EE588E"/>
    <w:rsid w:val="00EE6C7B"/>
    <w:rsid w:val="00EE6FF4"/>
    <w:rsid w:val="00EE7680"/>
    <w:rsid w:val="00EE77B0"/>
    <w:rsid w:val="00EF06B1"/>
    <w:rsid w:val="00EF1724"/>
    <w:rsid w:val="00EF2D60"/>
    <w:rsid w:val="00EF45C9"/>
    <w:rsid w:val="00EF657F"/>
    <w:rsid w:val="00EF6E80"/>
    <w:rsid w:val="00EF743C"/>
    <w:rsid w:val="00EF7C96"/>
    <w:rsid w:val="00F012B6"/>
    <w:rsid w:val="00F018D0"/>
    <w:rsid w:val="00F027C4"/>
    <w:rsid w:val="00F0285A"/>
    <w:rsid w:val="00F029DA"/>
    <w:rsid w:val="00F02A45"/>
    <w:rsid w:val="00F02AA5"/>
    <w:rsid w:val="00F0319B"/>
    <w:rsid w:val="00F03E0F"/>
    <w:rsid w:val="00F0401B"/>
    <w:rsid w:val="00F0418E"/>
    <w:rsid w:val="00F04892"/>
    <w:rsid w:val="00F04C47"/>
    <w:rsid w:val="00F05357"/>
    <w:rsid w:val="00F056AA"/>
    <w:rsid w:val="00F056FF"/>
    <w:rsid w:val="00F05EF7"/>
    <w:rsid w:val="00F063E6"/>
    <w:rsid w:val="00F068F6"/>
    <w:rsid w:val="00F06DE1"/>
    <w:rsid w:val="00F07130"/>
    <w:rsid w:val="00F1065A"/>
    <w:rsid w:val="00F10960"/>
    <w:rsid w:val="00F11E35"/>
    <w:rsid w:val="00F12994"/>
    <w:rsid w:val="00F13C3E"/>
    <w:rsid w:val="00F13F52"/>
    <w:rsid w:val="00F14255"/>
    <w:rsid w:val="00F1430B"/>
    <w:rsid w:val="00F14805"/>
    <w:rsid w:val="00F14C11"/>
    <w:rsid w:val="00F14CB5"/>
    <w:rsid w:val="00F1575A"/>
    <w:rsid w:val="00F158FD"/>
    <w:rsid w:val="00F15D43"/>
    <w:rsid w:val="00F15ECE"/>
    <w:rsid w:val="00F17443"/>
    <w:rsid w:val="00F174E5"/>
    <w:rsid w:val="00F208F2"/>
    <w:rsid w:val="00F20B98"/>
    <w:rsid w:val="00F20C8C"/>
    <w:rsid w:val="00F20F4C"/>
    <w:rsid w:val="00F2101F"/>
    <w:rsid w:val="00F2152D"/>
    <w:rsid w:val="00F216AD"/>
    <w:rsid w:val="00F21F4C"/>
    <w:rsid w:val="00F22001"/>
    <w:rsid w:val="00F224AE"/>
    <w:rsid w:val="00F227AE"/>
    <w:rsid w:val="00F22C43"/>
    <w:rsid w:val="00F22D40"/>
    <w:rsid w:val="00F24777"/>
    <w:rsid w:val="00F24CBE"/>
    <w:rsid w:val="00F25812"/>
    <w:rsid w:val="00F25A6B"/>
    <w:rsid w:val="00F25A73"/>
    <w:rsid w:val="00F25E89"/>
    <w:rsid w:val="00F269BF"/>
    <w:rsid w:val="00F26B09"/>
    <w:rsid w:val="00F26D69"/>
    <w:rsid w:val="00F2760A"/>
    <w:rsid w:val="00F27778"/>
    <w:rsid w:val="00F27AFF"/>
    <w:rsid w:val="00F300AD"/>
    <w:rsid w:val="00F30C85"/>
    <w:rsid w:val="00F3151B"/>
    <w:rsid w:val="00F317FE"/>
    <w:rsid w:val="00F32067"/>
    <w:rsid w:val="00F32D13"/>
    <w:rsid w:val="00F332E8"/>
    <w:rsid w:val="00F33802"/>
    <w:rsid w:val="00F33C3D"/>
    <w:rsid w:val="00F343E6"/>
    <w:rsid w:val="00F3474E"/>
    <w:rsid w:val="00F34AA0"/>
    <w:rsid w:val="00F35252"/>
    <w:rsid w:val="00F35AB2"/>
    <w:rsid w:val="00F364EF"/>
    <w:rsid w:val="00F369F1"/>
    <w:rsid w:val="00F36D7F"/>
    <w:rsid w:val="00F3761B"/>
    <w:rsid w:val="00F37FDB"/>
    <w:rsid w:val="00F412A2"/>
    <w:rsid w:val="00F41CE7"/>
    <w:rsid w:val="00F41D9A"/>
    <w:rsid w:val="00F42323"/>
    <w:rsid w:val="00F424BB"/>
    <w:rsid w:val="00F42502"/>
    <w:rsid w:val="00F4298B"/>
    <w:rsid w:val="00F42A62"/>
    <w:rsid w:val="00F42AED"/>
    <w:rsid w:val="00F43AB1"/>
    <w:rsid w:val="00F4404B"/>
    <w:rsid w:val="00F44496"/>
    <w:rsid w:val="00F445B8"/>
    <w:rsid w:val="00F44659"/>
    <w:rsid w:val="00F446B7"/>
    <w:rsid w:val="00F44E52"/>
    <w:rsid w:val="00F45317"/>
    <w:rsid w:val="00F45367"/>
    <w:rsid w:val="00F45D40"/>
    <w:rsid w:val="00F45D83"/>
    <w:rsid w:val="00F4621C"/>
    <w:rsid w:val="00F46C95"/>
    <w:rsid w:val="00F46F93"/>
    <w:rsid w:val="00F471F3"/>
    <w:rsid w:val="00F4788B"/>
    <w:rsid w:val="00F47D9A"/>
    <w:rsid w:val="00F47DC3"/>
    <w:rsid w:val="00F501C8"/>
    <w:rsid w:val="00F503D0"/>
    <w:rsid w:val="00F50410"/>
    <w:rsid w:val="00F5092F"/>
    <w:rsid w:val="00F51C5A"/>
    <w:rsid w:val="00F528CE"/>
    <w:rsid w:val="00F529CD"/>
    <w:rsid w:val="00F52A11"/>
    <w:rsid w:val="00F52DE8"/>
    <w:rsid w:val="00F538BE"/>
    <w:rsid w:val="00F53E50"/>
    <w:rsid w:val="00F54088"/>
    <w:rsid w:val="00F55299"/>
    <w:rsid w:val="00F55330"/>
    <w:rsid w:val="00F5556A"/>
    <w:rsid w:val="00F56131"/>
    <w:rsid w:val="00F56881"/>
    <w:rsid w:val="00F57C3C"/>
    <w:rsid w:val="00F608C1"/>
    <w:rsid w:val="00F60F15"/>
    <w:rsid w:val="00F61592"/>
    <w:rsid w:val="00F61968"/>
    <w:rsid w:val="00F61A49"/>
    <w:rsid w:val="00F62218"/>
    <w:rsid w:val="00F623F8"/>
    <w:rsid w:val="00F626B6"/>
    <w:rsid w:val="00F6312A"/>
    <w:rsid w:val="00F631D9"/>
    <w:rsid w:val="00F63421"/>
    <w:rsid w:val="00F637A9"/>
    <w:rsid w:val="00F63ABA"/>
    <w:rsid w:val="00F63BA3"/>
    <w:rsid w:val="00F63DB5"/>
    <w:rsid w:val="00F63DC9"/>
    <w:rsid w:val="00F63FE6"/>
    <w:rsid w:val="00F642E5"/>
    <w:rsid w:val="00F64EFD"/>
    <w:rsid w:val="00F651BD"/>
    <w:rsid w:val="00F65519"/>
    <w:rsid w:val="00F666A9"/>
    <w:rsid w:val="00F66CBE"/>
    <w:rsid w:val="00F674DF"/>
    <w:rsid w:val="00F67538"/>
    <w:rsid w:val="00F7034A"/>
    <w:rsid w:val="00F70DDA"/>
    <w:rsid w:val="00F71005"/>
    <w:rsid w:val="00F7149E"/>
    <w:rsid w:val="00F715C2"/>
    <w:rsid w:val="00F718B3"/>
    <w:rsid w:val="00F719E6"/>
    <w:rsid w:val="00F71FF2"/>
    <w:rsid w:val="00F7229B"/>
    <w:rsid w:val="00F7232D"/>
    <w:rsid w:val="00F72368"/>
    <w:rsid w:val="00F728B1"/>
    <w:rsid w:val="00F72EBC"/>
    <w:rsid w:val="00F72EE8"/>
    <w:rsid w:val="00F731F6"/>
    <w:rsid w:val="00F73501"/>
    <w:rsid w:val="00F7354A"/>
    <w:rsid w:val="00F73B25"/>
    <w:rsid w:val="00F74F85"/>
    <w:rsid w:val="00F76752"/>
    <w:rsid w:val="00F76A96"/>
    <w:rsid w:val="00F7748C"/>
    <w:rsid w:val="00F77C17"/>
    <w:rsid w:val="00F77C3D"/>
    <w:rsid w:val="00F81960"/>
    <w:rsid w:val="00F824CA"/>
    <w:rsid w:val="00F834A2"/>
    <w:rsid w:val="00F83DBF"/>
    <w:rsid w:val="00F8417E"/>
    <w:rsid w:val="00F843EC"/>
    <w:rsid w:val="00F84FFA"/>
    <w:rsid w:val="00F850F9"/>
    <w:rsid w:val="00F854C3"/>
    <w:rsid w:val="00F855DD"/>
    <w:rsid w:val="00F856D2"/>
    <w:rsid w:val="00F85FFC"/>
    <w:rsid w:val="00F86DF7"/>
    <w:rsid w:val="00F8708A"/>
    <w:rsid w:val="00F878CF"/>
    <w:rsid w:val="00F87C66"/>
    <w:rsid w:val="00F9068C"/>
    <w:rsid w:val="00F90FDC"/>
    <w:rsid w:val="00F91448"/>
    <w:rsid w:val="00F91B4D"/>
    <w:rsid w:val="00F92C57"/>
    <w:rsid w:val="00F936DE"/>
    <w:rsid w:val="00F936FC"/>
    <w:rsid w:val="00F93917"/>
    <w:rsid w:val="00F93A53"/>
    <w:rsid w:val="00F93EF9"/>
    <w:rsid w:val="00F940B9"/>
    <w:rsid w:val="00F95DA6"/>
    <w:rsid w:val="00F96B2A"/>
    <w:rsid w:val="00FA0055"/>
    <w:rsid w:val="00FA023D"/>
    <w:rsid w:val="00FA0773"/>
    <w:rsid w:val="00FA0BA5"/>
    <w:rsid w:val="00FA11DE"/>
    <w:rsid w:val="00FA1858"/>
    <w:rsid w:val="00FA1FAA"/>
    <w:rsid w:val="00FA2679"/>
    <w:rsid w:val="00FA28FE"/>
    <w:rsid w:val="00FA29E5"/>
    <w:rsid w:val="00FA2C1B"/>
    <w:rsid w:val="00FA302A"/>
    <w:rsid w:val="00FA3054"/>
    <w:rsid w:val="00FA3754"/>
    <w:rsid w:val="00FA3A37"/>
    <w:rsid w:val="00FA3A70"/>
    <w:rsid w:val="00FA3BDF"/>
    <w:rsid w:val="00FA48AE"/>
    <w:rsid w:val="00FA4C27"/>
    <w:rsid w:val="00FA5D8E"/>
    <w:rsid w:val="00FA60EF"/>
    <w:rsid w:val="00FA694F"/>
    <w:rsid w:val="00FA6D11"/>
    <w:rsid w:val="00FA6D46"/>
    <w:rsid w:val="00FA6F83"/>
    <w:rsid w:val="00FB09A4"/>
    <w:rsid w:val="00FB116F"/>
    <w:rsid w:val="00FB1400"/>
    <w:rsid w:val="00FB1852"/>
    <w:rsid w:val="00FB1944"/>
    <w:rsid w:val="00FB21A8"/>
    <w:rsid w:val="00FB2429"/>
    <w:rsid w:val="00FB296D"/>
    <w:rsid w:val="00FB321C"/>
    <w:rsid w:val="00FB33DD"/>
    <w:rsid w:val="00FB34B8"/>
    <w:rsid w:val="00FB3622"/>
    <w:rsid w:val="00FB3C9F"/>
    <w:rsid w:val="00FB3DA3"/>
    <w:rsid w:val="00FB4828"/>
    <w:rsid w:val="00FB5B2E"/>
    <w:rsid w:val="00FB613E"/>
    <w:rsid w:val="00FB6BC9"/>
    <w:rsid w:val="00FB74CC"/>
    <w:rsid w:val="00FC186B"/>
    <w:rsid w:val="00FC18A1"/>
    <w:rsid w:val="00FC1D8E"/>
    <w:rsid w:val="00FC2825"/>
    <w:rsid w:val="00FC2D6B"/>
    <w:rsid w:val="00FC3527"/>
    <w:rsid w:val="00FC3CD2"/>
    <w:rsid w:val="00FC3D52"/>
    <w:rsid w:val="00FC4302"/>
    <w:rsid w:val="00FC4524"/>
    <w:rsid w:val="00FC4602"/>
    <w:rsid w:val="00FC461D"/>
    <w:rsid w:val="00FC4852"/>
    <w:rsid w:val="00FC4DA1"/>
    <w:rsid w:val="00FC51DB"/>
    <w:rsid w:val="00FC55A4"/>
    <w:rsid w:val="00FC574E"/>
    <w:rsid w:val="00FC5BE5"/>
    <w:rsid w:val="00FC60CC"/>
    <w:rsid w:val="00FC77C9"/>
    <w:rsid w:val="00FC7B11"/>
    <w:rsid w:val="00FD011A"/>
    <w:rsid w:val="00FD0DFD"/>
    <w:rsid w:val="00FD120E"/>
    <w:rsid w:val="00FD154C"/>
    <w:rsid w:val="00FD18F2"/>
    <w:rsid w:val="00FD2752"/>
    <w:rsid w:val="00FD2985"/>
    <w:rsid w:val="00FD2D11"/>
    <w:rsid w:val="00FD2FB7"/>
    <w:rsid w:val="00FD31E4"/>
    <w:rsid w:val="00FD3476"/>
    <w:rsid w:val="00FD3A92"/>
    <w:rsid w:val="00FD46AB"/>
    <w:rsid w:val="00FD4CB5"/>
    <w:rsid w:val="00FD4D92"/>
    <w:rsid w:val="00FD5A59"/>
    <w:rsid w:val="00FD5C71"/>
    <w:rsid w:val="00FD5DF3"/>
    <w:rsid w:val="00FD6104"/>
    <w:rsid w:val="00FD6140"/>
    <w:rsid w:val="00FD6162"/>
    <w:rsid w:val="00FD6582"/>
    <w:rsid w:val="00FD6AB4"/>
    <w:rsid w:val="00FD6AD7"/>
    <w:rsid w:val="00FD6C16"/>
    <w:rsid w:val="00FD6CDC"/>
    <w:rsid w:val="00FD7A76"/>
    <w:rsid w:val="00FD7B02"/>
    <w:rsid w:val="00FD7D9A"/>
    <w:rsid w:val="00FE057B"/>
    <w:rsid w:val="00FE0793"/>
    <w:rsid w:val="00FE0BED"/>
    <w:rsid w:val="00FE0C46"/>
    <w:rsid w:val="00FE17D7"/>
    <w:rsid w:val="00FE1C68"/>
    <w:rsid w:val="00FE1E74"/>
    <w:rsid w:val="00FE2575"/>
    <w:rsid w:val="00FE3185"/>
    <w:rsid w:val="00FE33AE"/>
    <w:rsid w:val="00FE343C"/>
    <w:rsid w:val="00FE3777"/>
    <w:rsid w:val="00FE4454"/>
    <w:rsid w:val="00FE47AA"/>
    <w:rsid w:val="00FE49FF"/>
    <w:rsid w:val="00FE4ADC"/>
    <w:rsid w:val="00FE4E48"/>
    <w:rsid w:val="00FE570C"/>
    <w:rsid w:val="00FE5F70"/>
    <w:rsid w:val="00FE6A7D"/>
    <w:rsid w:val="00FE72FD"/>
    <w:rsid w:val="00FE78DB"/>
    <w:rsid w:val="00FE7E7A"/>
    <w:rsid w:val="00FE7F80"/>
    <w:rsid w:val="00FF0175"/>
    <w:rsid w:val="00FF03CF"/>
    <w:rsid w:val="00FF0416"/>
    <w:rsid w:val="00FF06CE"/>
    <w:rsid w:val="00FF0D2F"/>
    <w:rsid w:val="00FF198F"/>
    <w:rsid w:val="00FF2A49"/>
    <w:rsid w:val="00FF2D21"/>
    <w:rsid w:val="00FF30D0"/>
    <w:rsid w:val="00FF31CF"/>
    <w:rsid w:val="00FF33CC"/>
    <w:rsid w:val="00FF3CBB"/>
    <w:rsid w:val="00FF3FFA"/>
    <w:rsid w:val="00FF4746"/>
    <w:rsid w:val="00FF4942"/>
    <w:rsid w:val="00FF4A7C"/>
    <w:rsid w:val="00FF648D"/>
    <w:rsid w:val="00FF6AA9"/>
    <w:rsid w:val="00FF6C5C"/>
    <w:rsid w:val="00FF75D8"/>
    <w:rsid w:val="00FF770E"/>
    <w:rsid w:val="00FF77FF"/>
    <w:rsid w:val="00FF7C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0951A946"/>
  <w15:docId w15:val="{392E7403-1A30-40ED-A773-6F44E7E1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CC2350"/>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2">
    <w:name w:val="heading 2"/>
    <w:basedOn w:val="a"/>
    <w:next w:val="a"/>
    <w:link w:val="20"/>
    <w:uiPriority w:val="9"/>
    <w:unhideWhenUsed/>
    <w:qFormat/>
    <w:rsid w:val="00CF1885"/>
    <w:pPr>
      <w:keepNext/>
      <w:keepLines/>
      <w:spacing w:before="320" w:after="120"/>
      <w:outlineLvl w:val="1"/>
    </w:pPr>
    <w:rPr>
      <w:rFonts w:asciiTheme="majorHAnsi" w:eastAsiaTheme="majorEastAsia" w:hAnsiTheme="majorHAnsi" w:cs="Arial"/>
      <w:b/>
      <w:bCs/>
      <w:color w:val="4F81BD" w:themeColor="accent1"/>
      <w:sz w:val="26"/>
      <w:szCs w:val="26"/>
    </w:rPr>
  </w:style>
  <w:style w:type="paragraph" w:styleId="3">
    <w:name w:val="heading 3"/>
    <w:basedOn w:val="a"/>
    <w:next w:val="a"/>
    <w:link w:val="30"/>
    <w:uiPriority w:val="9"/>
    <w:unhideWhenUsed/>
    <w:qFormat/>
    <w:rsid w:val="004A640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A640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CC2350"/>
    <w:rPr>
      <w:rFonts w:asciiTheme="majorHAnsi" w:eastAsiaTheme="majorEastAsia" w:hAnsiTheme="majorHAnsi"/>
      <w:b/>
      <w:bCs/>
      <w:color w:val="365F91" w:themeColor="accent1" w:themeShade="BF"/>
      <w:sz w:val="28"/>
      <w:szCs w:val="28"/>
    </w:rPr>
  </w:style>
  <w:style w:type="character" w:customStyle="1" w:styleId="20">
    <w:name w:val="כותרת 2 תו"/>
    <w:basedOn w:val="a0"/>
    <w:link w:val="2"/>
    <w:uiPriority w:val="9"/>
    <w:rsid w:val="00CF1885"/>
    <w:rPr>
      <w:rFonts w:asciiTheme="majorHAnsi" w:eastAsiaTheme="majorEastAsia" w:hAnsiTheme="majorHAnsi" w:cs="Arial"/>
      <w:b/>
      <w:bCs/>
      <w:color w:val="4F81BD" w:themeColor="accent1"/>
      <w:sz w:val="26"/>
      <w:szCs w:val="26"/>
    </w:rPr>
  </w:style>
  <w:style w:type="paragraph" w:styleId="a3">
    <w:name w:val="header"/>
    <w:basedOn w:val="a"/>
    <w:link w:val="a4"/>
    <w:uiPriority w:val="99"/>
    <w:unhideWhenUsed/>
    <w:rsid w:val="00F22D40"/>
    <w:pPr>
      <w:tabs>
        <w:tab w:val="center" w:pos="4153"/>
        <w:tab w:val="right" w:pos="8306"/>
      </w:tabs>
      <w:spacing w:after="0" w:line="240" w:lineRule="auto"/>
    </w:pPr>
  </w:style>
  <w:style w:type="character" w:customStyle="1" w:styleId="a4">
    <w:name w:val="כותרת עליונה תו"/>
    <w:basedOn w:val="a0"/>
    <w:link w:val="a3"/>
    <w:uiPriority w:val="99"/>
    <w:rsid w:val="00F22D40"/>
  </w:style>
  <w:style w:type="paragraph" w:styleId="a5">
    <w:name w:val="footer"/>
    <w:basedOn w:val="a"/>
    <w:link w:val="a6"/>
    <w:uiPriority w:val="99"/>
    <w:unhideWhenUsed/>
    <w:rsid w:val="00F22D40"/>
    <w:pPr>
      <w:tabs>
        <w:tab w:val="center" w:pos="4153"/>
        <w:tab w:val="right" w:pos="8306"/>
      </w:tabs>
      <w:spacing w:after="0" w:line="240" w:lineRule="auto"/>
    </w:pPr>
  </w:style>
  <w:style w:type="character" w:customStyle="1" w:styleId="a6">
    <w:name w:val="כותרת תחתונה תו"/>
    <w:basedOn w:val="a0"/>
    <w:link w:val="a5"/>
    <w:uiPriority w:val="99"/>
    <w:rsid w:val="00F22D40"/>
  </w:style>
  <w:style w:type="paragraph" w:styleId="a7">
    <w:name w:val="footnote text"/>
    <w:basedOn w:val="a"/>
    <w:link w:val="a8"/>
    <w:uiPriority w:val="99"/>
    <w:unhideWhenUsed/>
    <w:rsid w:val="00BD29B1"/>
    <w:pPr>
      <w:spacing w:after="0" w:line="240" w:lineRule="auto"/>
    </w:pPr>
    <w:rPr>
      <w:sz w:val="20"/>
      <w:szCs w:val="20"/>
    </w:rPr>
  </w:style>
  <w:style w:type="character" w:customStyle="1" w:styleId="a8">
    <w:name w:val="טקסט הערת שוליים תו"/>
    <w:basedOn w:val="a0"/>
    <w:link w:val="a7"/>
    <w:uiPriority w:val="99"/>
    <w:rsid w:val="00BD29B1"/>
    <w:rPr>
      <w:sz w:val="20"/>
      <w:szCs w:val="20"/>
    </w:rPr>
  </w:style>
  <w:style w:type="character" w:styleId="a9">
    <w:name w:val="footnote reference"/>
    <w:basedOn w:val="a0"/>
    <w:uiPriority w:val="99"/>
    <w:semiHidden/>
    <w:unhideWhenUsed/>
    <w:rsid w:val="00BD29B1"/>
    <w:rPr>
      <w:vertAlign w:val="superscript"/>
    </w:rPr>
  </w:style>
  <w:style w:type="character" w:customStyle="1" w:styleId="30">
    <w:name w:val="כותרת 3 תו"/>
    <w:basedOn w:val="a0"/>
    <w:link w:val="3"/>
    <w:uiPriority w:val="9"/>
    <w:rsid w:val="004A6401"/>
    <w:rPr>
      <w:rFonts w:asciiTheme="majorHAnsi" w:eastAsiaTheme="majorEastAsia" w:hAnsiTheme="majorHAnsi" w:cstheme="majorBidi"/>
      <w:b/>
      <w:bCs/>
      <w:color w:val="4F81BD" w:themeColor="accent1"/>
    </w:rPr>
  </w:style>
  <w:style w:type="character" w:customStyle="1" w:styleId="40">
    <w:name w:val="כותרת 4 תו"/>
    <w:basedOn w:val="a0"/>
    <w:link w:val="4"/>
    <w:uiPriority w:val="9"/>
    <w:rsid w:val="004A6401"/>
    <w:rPr>
      <w:rFonts w:asciiTheme="majorHAnsi" w:eastAsiaTheme="majorEastAsia" w:hAnsiTheme="majorHAnsi" w:cstheme="majorBidi"/>
      <w:b/>
      <w:bCs/>
      <w:i/>
      <w:iCs/>
      <w:color w:val="4F81BD" w:themeColor="accent1"/>
    </w:rPr>
  </w:style>
  <w:style w:type="paragraph" w:styleId="aa">
    <w:name w:val="List Paragraph"/>
    <w:basedOn w:val="a"/>
    <w:link w:val="ab"/>
    <w:uiPriority w:val="34"/>
    <w:qFormat/>
    <w:rsid w:val="004A6401"/>
    <w:pPr>
      <w:ind w:left="720"/>
      <w:contextualSpacing/>
    </w:pPr>
  </w:style>
  <w:style w:type="table" w:styleId="ac">
    <w:name w:val="Table Grid"/>
    <w:basedOn w:val="a1"/>
    <w:uiPriority w:val="59"/>
    <w:rsid w:val="005B3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endnote text"/>
    <w:basedOn w:val="a"/>
    <w:link w:val="ae"/>
    <w:uiPriority w:val="99"/>
    <w:semiHidden/>
    <w:unhideWhenUsed/>
    <w:rsid w:val="00390321"/>
    <w:pPr>
      <w:spacing w:after="0" w:line="240" w:lineRule="auto"/>
    </w:pPr>
    <w:rPr>
      <w:sz w:val="20"/>
      <w:szCs w:val="20"/>
    </w:rPr>
  </w:style>
  <w:style w:type="character" w:customStyle="1" w:styleId="ae">
    <w:name w:val="טקסט הערת סיום תו"/>
    <w:basedOn w:val="a0"/>
    <w:link w:val="ad"/>
    <w:uiPriority w:val="99"/>
    <w:semiHidden/>
    <w:rsid w:val="00390321"/>
    <w:rPr>
      <w:sz w:val="20"/>
      <w:szCs w:val="20"/>
    </w:rPr>
  </w:style>
  <w:style w:type="character" w:styleId="af">
    <w:name w:val="endnote reference"/>
    <w:basedOn w:val="a0"/>
    <w:uiPriority w:val="99"/>
    <w:semiHidden/>
    <w:unhideWhenUsed/>
    <w:rsid w:val="00390321"/>
    <w:rPr>
      <w:vertAlign w:val="superscript"/>
    </w:rPr>
  </w:style>
  <w:style w:type="paragraph" w:customStyle="1" w:styleId="af0">
    <w:name w:val="כותרת וורט"/>
    <w:basedOn w:val="a"/>
    <w:rsid w:val="009B18B9"/>
    <w:pPr>
      <w:spacing w:after="0" w:line="240" w:lineRule="auto"/>
      <w:jc w:val="center"/>
    </w:pPr>
    <w:rPr>
      <w:rFonts w:ascii="Arial" w:eastAsia="Times New Roman" w:hAnsi="Arial" w:cs="David"/>
      <w:sz w:val="24"/>
      <w:szCs w:val="36"/>
      <w:u w:val="single"/>
    </w:rPr>
  </w:style>
  <w:style w:type="paragraph" w:customStyle="1" w:styleId="af1">
    <w:name w:val="פסקה רגילה"/>
    <w:basedOn w:val="a"/>
    <w:rsid w:val="009B18B9"/>
    <w:pPr>
      <w:spacing w:after="0" w:line="240" w:lineRule="auto"/>
      <w:jc w:val="both"/>
    </w:pPr>
    <w:rPr>
      <w:rFonts w:ascii="Arial" w:eastAsia="Times New Roman" w:hAnsi="Arial" w:cs="David"/>
      <w:sz w:val="24"/>
      <w:szCs w:val="24"/>
    </w:rPr>
  </w:style>
  <w:style w:type="character" w:customStyle="1" w:styleId="ab">
    <w:name w:val="פיסקת רשימה תו"/>
    <w:basedOn w:val="a0"/>
    <w:link w:val="aa"/>
    <w:uiPriority w:val="34"/>
    <w:rsid w:val="00A51CF0"/>
  </w:style>
  <w:style w:type="character" w:styleId="af2">
    <w:name w:val="Placeholder Text"/>
    <w:basedOn w:val="a0"/>
    <w:uiPriority w:val="99"/>
    <w:semiHidden/>
    <w:rsid w:val="006E7902"/>
    <w:rPr>
      <w:color w:val="808080"/>
    </w:rPr>
  </w:style>
  <w:style w:type="paragraph" w:styleId="af3">
    <w:name w:val="Balloon Text"/>
    <w:basedOn w:val="a"/>
    <w:link w:val="af4"/>
    <w:uiPriority w:val="99"/>
    <w:semiHidden/>
    <w:unhideWhenUsed/>
    <w:rsid w:val="006E7902"/>
    <w:pPr>
      <w:spacing w:after="0" w:line="240" w:lineRule="auto"/>
    </w:pPr>
    <w:rPr>
      <w:rFonts w:ascii="Tahoma" w:hAnsi="Tahoma" w:cs="Tahoma"/>
      <w:sz w:val="16"/>
      <w:szCs w:val="16"/>
    </w:rPr>
  </w:style>
  <w:style w:type="character" w:customStyle="1" w:styleId="af4">
    <w:name w:val="טקסט בלונים תו"/>
    <w:basedOn w:val="a0"/>
    <w:link w:val="af3"/>
    <w:uiPriority w:val="99"/>
    <w:semiHidden/>
    <w:rsid w:val="006E7902"/>
    <w:rPr>
      <w:rFonts w:ascii="Tahoma" w:hAnsi="Tahoma" w:cs="Tahoma"/>
      <w:sz w:val="16"/>
      <w:szCs w:val="16"/>
    </w:rPr>
  </w:style>
  <w:style w:type="paragraph" w:styleId="af5">
    <w:name w:val="No Spacing"/>
    <w:uiPriority w:val="1"/>
    <w:qFormat/>
    <w:rsid w:val="00B0671A"/>
    <w:pPr>
      <w:bidi/>
      <w:spacing w:after="0" w:line="240" w:lineRule="auto"/>
    </w:pPr>
  </w:style>
  <w:style w:type="character" w:styleId="Hyperlink">
    <w:name w:val="Hyperlink"/>
    <w:basedOn w:val="a0"/>
    <w:uiPriority w:val="99"/>
    <w:unhideWhenUsed/>
    <w:rsid w:val="009C1CEF"/>
    <w:rPr>
      <w:color w:val="0000FF" w:themeColor="hyperlink"/>
      <w:u w:val="single"/>
    </w:rPr>
  </w:style>
  <w:style w:type="character" w:styleId="FollowedHyperlink">
    <w:name w:val="FollowedHyperlink"/>
    <w:basedOn w:val="a0"/>
    <w:uiPriority w:val="99"/>
    <w:semiHidden/>
    <w:unhideWhenUsed/>
    <w:rsid w:val="009C1CEF"/>
    <w:rPr>
      <w:color w:val="800080" w:themeColor="followedHyperlink"/>
      <w:u w:val="single"/>
    </w:rPr>
  </w:style>
  <w:style w:type="character" w:styleId="af6">
    <w:name w:val="annotation reference"/>
    <w:basedOn w:val="a0"/>
    <w:uiPriority w:val="99"/>
    <w:semiHidden/>
    <w:unhideWhenUsed/>
    <w:rsid w:val="00783088"/>
    <w:rPr>
      <w:sz w:val="16"/>
      <w:szCs w:val="16"/>
    </w:rPr>
  </w:style>
  <w:style w:type="paragraph" w:styleId="af7">
    <w:name w:val="annotation text"/>
    <w:basedOn w:val="a"/>
    <w:link w:val="af8"/>
    <w:uiPriority w:val="99"/>
    <w:semiHidden/>
    <w:unhideWhenUsed/>
    <w:rsid w:val="00783088"/>
    <w:pPr>
      <w:spacing w:line="240" w:lineRule="auto"/>
    </w:pPr>
    <w:rPr>
      <w:sz w:val="20"/>
      <w:szCs w:val="20"/>
    </w:rPr>
  </w:style>
  <w:style w:type="character" w:customStyle="1" w:styleId="af8">
    <w:name w:val="טקסט הערה תו"/>
    <w:basedOn w:val="a0"/>
    <w:link w:val="af7"/>
    <w:uiPriority w:val="99"/>
    <w:semiHidden/>
    <w:rsid w:val="00783088"/>
    <w:rPr>
      <w:sz w:val="20"/>
      <w:szCs w:val="20"/>
    </w:rPr>
  </w:style>
  <w:style w:type="paragraph" w:styleId="af9">
    <w:name w:val="annotation subject"/>
    <w:basedOn w:val="af7"/>
    <w:next w:val="af7"/>
    <w:link w:val="afa"/>
    <w:uiPriority w:val="99"/>
    <w:semiHidden/>
    <w:unhideWhenUsed/>
    <w:rsid w:val="00783088"/>
    <w:rPr>
      <w:b/>
      <w:bCs/>
    </w:rPr>
  </w:style>
  <w:style w:type="character" w:customStyle="1" w:styleId="afa">
    <w:name w:val="נושא הערה תו"/>
    <w:basedOn w:val="af8"/>
    <w:link w:val="af9"/>
    <w:uiPriority w:val="99"/>
    <w:semiHidden/>
    <w:rsid w:val="00783088"/>
    <w:rPr>
      <w:b/>
      <w:bCs/>
      <w:sz w:val="20"/>
      <w:szCs w:val="20"/>
    </w:rPr>
  </w:style>
  <w:style w:type="character" w:styleId="afb">
    <w:name w:val="Unresolved Mention"/>
    <w:basedOn w:val="a0"/>
    <w:uiPriority w:val="99"/>
    <w:semiHidden/>
    <w:unhideWhenUsed/>
    <w:rsid w:val="004B2E7C"/>
    <w:rPr>
      <w:color w:val="605E5C"/>
      <w:shd w:val="clear" w:color="auto" w:fill="E1DFDD"/>
    </w:rPr>
  </w:style>
  <w:style w:type="paragraph" w:customStyle="1" w:styleId="msonormal0">
    <w:name w:val="msonormal"/>
    <w:basedOn w:val="a"/>
    <w:rsid w:val="004B2E7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026461">
      <w:bodyDiv w:val="1"/>
      <w:marLeft w:val="0"/>
      <w:marRight w:val="0"/>
      <w:marTop w:val="0"/>
      <w:marBottom w:val="0"/>
      <w:divBdr>
        <w:top w:val="none" w:sz="0" w:space="0" w:color="auto"/>
        <w:left w:val="none" w:sz="0" w:space="0" w:color="auto"/>
        <w:bottom w:val="none" w:sz="0" w:space="0" w:color="auto"/>
        <w:right w:val="none" w:sz="0" w:space="0" w:color="auto"/>
      </w:divBdr>
      <w:divsChild>
        <w:div w:id="838733356">
          <w:marLeft w:val="0"/>
          <w:marRight w:val="0"/>
          <w:marTop w:val="0"/>
          <w:marBottom w:val="0"/>
          <w:divBdr>
            <w:top w:val="none" w:sz="0" w:space="0" w:color="auto"/>
            <w:left w:val="none" w:sz="0" w:space="0" w:color="auto"/>
            <w:bottom w:val="none" w:sz="0" w:space="0" w:color="auto"/>
            <w:right w:val="none" w:sz="0" w:space="0" w:color="auto"/>
          </w:divBdr>
        </w:div>
        <w:div w:id="1086996913">
          <w:marLeft w:val="0"/>
          <w:marRight w:val="0"/>
          <w:marTop w:val="0"/>
          <w:marBottom w:val="0"/>
          <w:divBdr>
            <w:top w:val="none" w:sz="0" w:space="0" w:color="auto"/>
            <w:left w:val="none" w:sz="0" w:space="0" w:color="auto"/>
            <w:bottom w:val="none" w:sz="0" w:space="0" w:color="auto"/>
            <w:right w:val="none" w:sz="0" w:space="0" w:color="auto"/>
          </w:divBdr>
        </w:div>
      </w:divsChild>
    </w:div>
    <w:div w:id="180384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5.xml"/><Relationship Id="rId21" Type="http://schemas.openxmlformats.org/officeDocument/2006/relationships/header" Target="header10.xml"/><Relationship Id="rId42" Type="http://schemas.openxmlformats.org/officeDocument/2006/relationships/header" Target="header31.xml"/><Relationship Id="rId47" Type="http://schemas.openxmlformats.org/officeDocument/2006/relationships/header" Target="header36.xml"/><Relationship Id="rId63" Type="http://schemas.openxmlformats.org/officeDocument/2006/relationships/header" Target="header52.xml"/><Relationship Id="rId68" Type="http://schemas.openxmlformats.org/officeDocument/2006/relationships/header" Target="header57.xml"/><Relationship Id="rId84" Type="http://schemas.openxmlformats.org/officeDocument/2006/relationships/header" Target="header72.xml"/><Relationship Id="rId89" Type="http://schemas.openxmlformats.org/officeDocument/2006/relationships/header" Target="header77.xm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8.xml"/><Relationship Id="rId107" Type="http://schemas.openxmlformats.org/officeDocument/2006/relationships/header" Target="header95.xml"/><Relationship Id="rId11" Type="http://schemas.openxmlformats.org/officeDocument/2006/relationships/header" Target="header1.xml"/><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4.xml"/><Relationship Id="rId53" Type="http://schemas.openxmlformats.org/officeDocument/2006/relationships/header" Target="header42.xml"/><Relationship Id="rId58" Type="http://schemas.openxmlformats.org/officeDocument/2006/relationships/header" Target="header47.xml"/><Relationship Id="rId66" Type="http://schemas.openxmlformats.org/officeDocument/2006/relationships/header" Target="header55.xml"/><Relationship Id="rId74" Type="http://schemas.openxmlformats.org/officeDocument/2006/relationships/header" Target="header63.xml"/><Relationship Id="rId79" Type="http://schemas.openxmlformats.org/officeDocument/2006/relationships/header" Target="header67.xml"/><Relationship Id="rId87" Type="http://schemas.openxmlformats.org/officeDocument/2006/relationships/header" Target="header75.xml"/><Relationship Id="rId102" Type="http://schemas.openxmlformats.org/officeDocument/2006/relationships/header" Target="header90.xml"/><Relationship Id="rId110" Type="http://schemas.openxmlformats.org/officeDocument/2006/relationships/header" Target="header98.xml"/><Relationship Id="rId5" Type="http://schemas.openxmlformats.org/officeDocument/2006/relationships/webSettings" Target="webSettings.xml"/><Relationship Id="rId61" Type="http://schemas.openxmlformats.org/officeDocument/2006/relationships/header" Target="header50.xml"/><Relationship Id="rId82" Type="http://schemas.openxmlformats.org/officeDocument/2006/relationships/header" Target="header70.xml"/><Relationship Id="rId90" Type="http://schemas.openxmlformats.org/officeDocument/2006/relationships/header" Target="header78.xml"/><Relationship Id="rId95" Type="http://schemas.openxmlformats.org/officeDocument/2006/relationships/header" Target="header83.xml"/><Relationship Id="rId19" Type="http://schemas.openxmlformats.org/officeDocument/2006/relationships/header" Target="header8.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header" Target="header37.xml"/><Relationship Id="rId56" Type="http://schemas.openxmlformats.org/officeDocument/2006/relationships/header" Target="header45.xml"/><Relationship Id="rId64" Type="http://schemas.openxmlformats.org/officeDocument/2006/relationships/header" Target="header53.xml"/><Relationship Id="rId69" Type="http://schemas.openxmlformats.org/officeDocument/2006/relationships/header" Target="header58.xml"/><Relationship Id="rId77" Type="http://schemas.openxmlformats.org/officeDocument/2006/relationships/header" Target="header66.xml"/><Relationship Id="rId100" Type="http://schemas.openxmlformats.org/officeDocument/2006/relationships/header" Target="header88.xml"/><Relationship Id="rId105" Type="http://schemas.openxmlformats.org/officeDocument/2006/relationships/header" Target="header93.xml"/><Relationship Id="rId113" Type="http://schemas.openxmlformats.org/officeDocument/2006/relationships/theme" Target="theme/theme1.xml"/><Relationship Id="rId8" Type="http://schemas.openxmlformats.org/officeDocument/2006/relationships/hyperlink" Target="mailto:itzakmaman@gmail.com" TargetMode="External"/><Relationship Id="rId51" Type="http://schemas.openxmlformats.org/officeDocument/2006/relationships/header" Target="header40.xml"/><Relationship Id="rId72" Type="http://schemas.openxmlformats.org/officeDocument/2006/relationships/header" Target="header61.xml"/><Relationship Id="rId80" Type="http://schemas.openxmlformats.org/officeDocument/2006/relationships/header" Target="header68.xml"/><Relationship Id="rId85" Type="http://schemas.openxmlformats.org/officeDocument/2006/relationships/header" Target="header73.xml"/><Relationship Id="rId93" Type="http://schemas.openxmlformats.org/officeDocument/2006/relationships/header" Target="header81.xml"/><Relationship Id="rId98" Type="http://schemas.openxmlformats.org/officeDocument/2006/relationships/header" Target="header8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5.xml"/><Relationship Id="rId59" Type="http://schemas.openxmlformats.org/officeDocument/2006/relationships/header" Target="header48.xml"/><Relationship Id="rId67" Type="http://schemas.openxmlformats.org/officeDocument/2006/relationships/header" Target="header56.xml"/><Relationship Id="rId103" Type="http://schemas.openxmlformats.org/officeDocument/2006/relationships/header" Target="header91.xml"/><Relationship Id="rId108" Type="http://schemas.openxmlformats.org/officeDocument/2006/relationships/header" Target="header96.xml"/><Relationship Id="rId20" Type="http://schemas.openxmlformats.org/officeDocument/2006/relationships/header" Target="header9.xml"/><Relationship Id="rId41" Type="http://schemas.openxmlformats.org/officeDocument/2006/relationships/header" Target="header30.xml"/><Relationship Id="rId54" Type="http://schemas.openxmlformats.org/officeDocument/2006/relationships/header" Target="header43.xml"/><Relationship Id="rId62" Type="http://schemas.openxmlformats.org/officeDocument/2006/relationships/header" Target="header51.xml"/><Relationship Id="rId70" Type="http://schemas.openxmlformats.org/officeDocument/2006/relationships/header" Target="header59.xml"/><Relationship Id="rId75" Type="http://schemas.openxmlformats.org/officeDocument/2006/relationships/header" Target="header64.xml"/><Relationship Id="rId83" Type="http://schemas.openxmlformats.org/officeDocument/2006/relationships/header" Target="header71.xml"/><Relationship Id="rId88" Type="http://schemas.openxmlformats.org/officeDocument/2006/relationships/header" Target="header76.xml"/><Relationship Id="rId91" Type="http://schemas.openxmlformats.org/officeDocument/2006/relationships/header" Target="header79.xml"/><Relationship Id="rId96" Type="http://schemas.openxmlformats.org/officeDocument/2006/relationships/header" Target="header84.xml"/><Relationship Id="rId111" Type="http://schemas.openxmlformats.org/officeDocument/2006/relationships/header" Target="header9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49" Type="http://schemas.openxmlformats.org/officeDocument/2006/relationships/header" Target="header38.xml"/><Relationship Id="rId57" Type="http://schemas.openxmlformats.org/officeDocument/2006/relationships/header" Target="header46.xml"/><Relationship Id="rId106" Type="http://schemas.openxmlformats.org/officeDocument/2006/relationships/header" Target="header94.xml"/><Relationship Id="rId10" Type="http://schemas.openxmlformats.org/officeDocument/2006/relationships/hyperlink" Target="https://brit-itzak.com/%D7%A1%D7%99%D7%9B%D7%95%D7%9E%D7%99-%D7%A8%D7%91%D7%A0%D7%95%D7%AA/" TargetMode="External"/><Relationship Id="rId31" Type="http://schemas.openxmlformats.org/officeDocument/2006/relationships/header" Target="header20.xml"/><Relationship Id="rId44" Type="http://schemas.openxmlformats.org/officeDocument/2006/relationships/header" Target="header33.xml"/><Relationship Id="rId52" Type="http://schemas.openxmlformats.org/officeDocument/2006/relationships/header" Target="header41.xml"/><Relationship Id="rId60" Type="http://schemas.openxmlformats.org/officeDocument/2006/relationships/header" Target="header49.xml"/><Relationship Id="rId65" Type="http://schemas.openxmlformats.org/officeDocument/2006/relationships/header" Target="header54.xml"/><Relationship Id="rId73" Type="http://schemas.openxmlformats.org/officeDocument/2006/relationships/header" Target="header62.xml"/><Relationship Id="rId78" Type="http://schemas.openxmlformats.org/officeDocument/2006/relationships/footer" Target="footer2.xml"/><Relationship Id="rId81" Type="http://schemas.openxmlformats.org/officeDocument/2006/relationships/header" Target="header69.xml"/><Relationship Id="rId86" Type="http://schemas.openxmlformats.org/officeDocument/2006/relationships/header" Target="header74.xml"/><Relationship Id="rId94" Type="http://schemas.openxmlformats.org/officeDocument/2006/relationships/header" Target="header82.xml"/><Relationship Id="rId99" Type="http://schemas.openxmlformats.org/officeDocument/2006/relationships/header" Target="header87.xml"/><Relationship Id="rId101" Type="http://schemas.openxmlformats.org/officeDocument/2006/relationships/header" Target="header89.xml"/><Relationship Id="rId4" Type="http://schemas.openxmlformats.org/officeDocument/2006/relationships/settings" Target="settings.xml"/><Relationship Id="rId9" Type="http://schemas.openxmlformats.org/officeDocument/2006/relationships/hyperlink" Target="https://brit-itzak.com/%d7%a1%d7%99%d7%9b%d7%95%d7%9e%d7%99-%d7%93%d7%99%d7%99%d7%a0%d7%95%d7%aa/" TargetMode="External"/><Relationship Id="rId13" Type="http://schemas.openxmlformats.org/officeDocument/2006/relationships/header" Target="header2.xml"/><Relationship Id="rId18" Type="http://schemas.openxmlformats.org/officeDocument/2006/relationships/header" Target="header7.xml"/><Relationship Id="rId39" Type="http://schemas.openxmlformats.org/officeDocument/2006/relationships/header" Target="header28.xml"/><Relationship Id="rId109" Type="http://schemas.openxmlformats.org/officeDocument/2006/relationships/header" Target="header97.xml"/><Relationship Id="rId34" Type="http://schemas.openxmlformats.org/officeDocument/2006/relationships/header" Target="header23.xml"/><Relationship Id="rId50" Type="http://schemas.openxmlformats.org/officeDocument/2006/relationships/header" Target="header39.xml"/><Relationship Id="rId55" Type="http://schemas.openxmlformats.org/officeDocument/2006/relationships/header" Target="header44.xml"/><Relationship Id="rId76" Type="http://schemas.openxmlformats.org/officeDocument/2006/relationships/header" Target="header65.xml"/><Relationship Id="rId97" Type="http://schemas.openxmlformats.org/officeDocument/2006/relationships/header" Target="header85.xml"/><Relationship Id="rId104" Type="http://schemas.openxmlformats.org/officeDocument/2006/relationships/header" Target="header92.xml"/><Relationship Id="rId7" Type="http://schemas.openxmlformats.org/officeDocument/2006/relationships/endnotes" Target="endnotes.xml"/><Relationship Id="rId71" Type="http://schemas.openxmlformats.org/officeDocument/2006/relationships/header" Target="header60.xml"/><Relationship Id="rId92" Type="http://schemas.openxmlformats.org/officeDocument/2006/relationships/header" Target="header80.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1D806-F669-4322-8892-A0CB32FB4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214326</TotalTime>
  <Pages>586</Pages>
  <Words>190619</Words>
  <Characters>953097</Characters>
  <Application>Microsoft Office Word</Application>
  <DocSecurity>0</DocSecurity>
  <Lines>7942</Lines>
  <Paragraphs>2282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dc:creator>
  <cp:lastModifiedBy>יצחק ממן</cp:lastModifiedBy>
  <cp:revision>1103</cp:revision>
  <cp:lastPrinted>2022-07-27T17:38:00Z</cp:lastPrinted>
  <dcterms:created xsi:type="dcterms:W3CDTF">2016-05-23T06:49:00Z</dcterms:created>
  <dcterms:modified xsi:type="dcterms:W3CDTF">2022-08-10T17:57:00Z</dcterms:modified>
</cp:coreProperties>
</file>